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5DB9" w:rsidRPr="00454670" w:rsidRDefault="00856D6A">
      <w:pPr>
        <w:pStyle w:val="TitleBCU"/>
        <w:spacing w:before="1440" w:after="1440"/>
        <w:rPr>
          <w:color w:val="000000"/>
          <w:szCs w:val="20"/>
        </w:rPr>
      </w:pPr>
      <w:bookmarkStart w:id="0" w:name="LBTOCRANGE"/>
      <w:r w:rsidRPr="00454670">
        <w:rPr>
          <w:color w:val="000000"/>
          <w:szCs w:val="20"/>
        </w:rPr>
        <w:t>NOTABLE</w:t>
      </w:r>
      <w:r w:rsidR="00C64050">
        <w:rPr>
          <w:color w:val="000000"/>
          <w:szCs w:val="20"/>
        </w:rPr>
        <w:t xml:space="preserve"> </w:t>
      </w:r>
      <w:r w:rsidRPr="00454670">
        <w:rPr>
          <w:color w:val="000000"/>
          <w:szCs w:val="20"/>
        </w:rPr>
        <w:t>DEVELOPMENTS</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INTEREST</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PLANNERS</w:t>
      </w:r>
    </w:p>
    <w:p w:rsidR="00485DB9" w:rsidRPr="00454670" w:rsidRDefault="00856D6A" w:rsidP="00D72DC6">
      <w:pPr>
        <w:pStyle w:val="TitleC"/>
        <w:spacing w:after="4080"/>
        <w:rPr>
          <w:color w:val="000000"/>
          <w:szCs w:val="20"/>
        </w:rPr>
      </w:pPr>
      <w:r w:rsidRPr="00454670">
        <w:rPr>
          <w:color w:val="000000"/>
          <w:szCs w:val="20"/>
        </w:rPr>
        <w:t>Turney</w:t>
      </w:r>
      <w:r w:rsidR="00C64050">
        <w:rPr>
          <w:color w:val="000000"/>
          <w:szCs w:val="20"/>
        </w:rPr>
        <w:t xml:space="preserve"> </w:t>
      </w:r>
      <w:r w:rsidRPr="00454670">
        <w:rPr>
          <w:color w:val="000000"/>
          <w:szCs w:val="20"/>
        </w:rPr>
        <w:t>P.</w:t>
      </w:r>
      <w:r w:rsidR="00C64050">
        <w:rPr>
          <w:color w:val="000000"/>
          <w:szCs w:val="20"/>
        </w:rPr>
        <w:t xml:space="preserve"> </w:t>
      </w:r>
      <w:r w:rsidRPr="00454670">
        <w:rPr>
          <w:color w:val="000000"/>
          <w:szCs w:val="20"/>
        </w:rPr>
        <w:t>Berry</w:t>
      </w:r>
      <w:r w:rsidRPr="00454670">
        <w:rPr>
          <w:color w:val="000000"/>
          <w:szCs w:val="20"/>
        </w:rPr>
        <w:br/>
        <w:t>WYATT,</w:t>
      </w:r>
      <w:r w:rsidR="00C64050">
        <w:rPr>
          <w:color w:val="000000"/>
          <w:szCs w:val="20"/>
        </w:rPr>
        <w:t xml:space="preserve"> </w:t>
      </w:r>
      <w:r w:rsidRPr="00454670">
        <w:rPr>
          <w:color w:val="000000"/>
          <w:szCs w:val="20"/>
        </w:rPr>
        <w:t>TARRANT</w:t>
      </w:r>
      <w:r w:rsidR="00C64050">
        <w:rPr>
          <w:color w:val="000000"/>
          <w:szCs w:val="20"/>
        </w:rPr>
        <w:t xml:space="preserve"> </w:t>
      </w:r>
      <w:r w:rsidRPr="00454670">
        <w:rPr>
          <w:color w:val="000000"/>
          <w:szCs w:val="20"/>
        </w:rPr>
        <w:t>&amp;</w:t>
      </w:r>
      <w:r w:rsidR="00C64050">
        <w:rPr>
          <w:color w:val="000000"/>
          <w:szCs w:val="20"/>
        </w:rPr>
        <w:t xml:space="preserve"> </w:t>
      </w:r>
      <w:r w:rsidRPr="00454670">
        <w:rPr>
          <w:color w:val="000000"/>
          <w:szCs w:val="20"/>
        </w:rPr>
        <w:t>COMBS,</w:t>
      </w:r>
      <w:r w:rsidR="00C64050">
        <w:rPr>
          <w:color w:val="000000"/>
          <w:szCs w:val="20"/>
        </w:rPr>
        <w:t xml:space="preserve"> </w:t>
      </w:r>
      <w:r w:rsidRPr="00454670">
        <w:rPr>
          <w:color w:val="000000"/>
          <w:szCs w:val="20"/>
        </w:rPr>
        <w:t>LLP</w:t>
      </w:r>
      <w:r w:rsidRPr="00454670">
        <w:rPr>
          <w:color w:val="000000"/>
          <w:szCs w:val="20"/>
        </w:rPr>
        <w:br/>
      </w:r>
      <w:r w:rsidR="00D72DC6" w:rsidRPr="00D72DC6">
        <w:rPr>
          <w:color w:val="000000"/>
          <w:szCs w:val="20"/>
        </w:rPr>
        <w:t>400 West Market Street, Suite 2000</w:t>
      </w:r>
      <w:r w:rsidR="00D72DC6">
        <w:rPr>
          <w:color w:val="000000"/>
          <w:szCs w:val="20"/>
        </w:rPr>
        <w:br/>
      </w:r>
      <w:r w:rsidR="00D72DC6" w:rsidRPr="00D72DC6">
        <w:rPr>
          <w:color w:val="000000"/>
          <w:szCs w:val="20"/>
        </w:rPr>
        <w:t>Louisville, Kentucky 40202-3227</w:t>
      </w:r>
      <w:r w:rsidRPr="00454670">
        <w:rPr>
          <w:color w:val="000000"/>
          <w:szCs w:val="20"/>
        </w:rPr>
        <w:br/>
        <w:t>502.562-7505</w:t>
      </w:r>
      <w:r w:rsidR="00C64050">
        <w:rPr>
          <w:color w:val="000000"/>
          <w:szCs w:val="20"/>
        </w:rPr>
        <w:t xml:space="preserve"> </w:t>
      </w:r>
      <w:r w:rsidRPr="00454670">
        <w:rPr>
          <w:color w:val="000000"/>
          <w:szCs w:val="20"/>
        </w:rPr>
        <w:t>–</w:t>
      </w:r>
      <w:r w:rsidR="00C64050">
        <w:rPr>
          <w:color w:val="000000"/>
          <w:szCs w:val="20"/>
        </w:rPr>
        <w:t xml:space="preserve"> </w:t>
      </w:r>
      <w:r w:rsidRPr="00454670">
        <w:rPr>
          <w:color w:val="000000"/>
          <w:szCs w:val="20"/>
        </w:rPr>
        <w:t>Direct</w:t>
      </w:r>
      <w:r w:rsidR="00C64050">
        <w:rPr>
          <w:color w:val="000000"/>
          <w:szCs w:val="20"/>
        </w:rPr>
        <w:t xml:space="preserve"> </w:t>
      </w:r>
      <w:r w:rsidR="00000B38">
        <w:rPr>
          <w:color w:val="000000"/>
          <w:szCs w:val="20"/>
        </w:rPr>
        <w:t>Dial</w:t>
      </w:r>
      <w:r w:rsidR="00000B38">
        <w:rPr>
          <w:color w:val="000000"/>
          <w:szCs w:val="20"/>
        </w:rPr>
        <w:br/>
      </w:r>
      <w:hyperlink r:id="rId9" w:history="1">
        <w:r w:rsidRPr="00454670">
          <w:rPr>
            <w:rStyle w:val="Hyperlink"/>
            <w:color w:val="000000"/>
            <w:szCs w:val="20"/>
          </w:rPr>
          <w:t>tberry@wyattfirm.com</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60"/>
      </w:tblGrid>
      <w:tr w:rsidR="00485DB9" w:rsidRPr="00454670">
        <w:tc>
          <w:tcPr>
            <w:tcW w:w="9576" w:type="dxa"/>
          </w:tcPr>
          <w:p w:rsidR="00485DB9" w:rsidRDefault="00856D6A">
            <w:pPr>
              <w:jc w:val="left"/>
              <w:rPr>
                <w:color w:val="000000"/>
                <w:szCs w:val="20"/>
              </w:rPr>
            </w:pPr>
            <w:r w:rsidRPr="00454670">
              <w:rPr>
                <w:b/>
                <w:color w:val="000000"/>
                <w:szCs w:val="20"/>
              </w:rPr>
              <w:t>Disclaimer</w:t>
            </w:r>
            <w:r w:rsidRPr="00454670">
              <w:rPr>
                <w:color w:val="000000"/>
                <w:szCs w:val="20"/>
              </w:rPr>
              <w:t>:</w:t>
            </w:r>
            <w:r w:rsidR="00C64050">
              <w:rPr>
                <w:color w:val="000000"/>
                <w:szCs w:val="20"/>
              </w:rPr>
              <w:t xml:space="preserve">  </w:t>
            </w:r>
            <w:r w:rsidRPr="00454670">
              <w:rPr>
                <w:color w:val="000000"/>
                <w:szCs w:val="20"/>
              </w:rPr>
              <w:t>This</w:t>
            </w:r>
            <w:r w:rsidR="00C64050">
              <w:rPr>
                <w:color w:val="000000"/>
                <w:szCs w:val="20"/>
              </w:rPr>
              <w:t xml:space="preserve"> </w:t>
            </w:r>
            <w:r w:rsidRPr="00454670">
              <w:rPr>
                <w:color w:val="000000"/>
                <w:szCs w:val="20"/>
              </w:rPr>
              <w:t>information</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intended</w:t>
            </w:r>
            <w:r w:rsidR="00C64050">
              <w:rPr>
                <w:color w:val="000000"/>
                <w:szCs w:val="20"/>
              </w:rPr>
              <w:t xml:space="preserve"> </w:t>
            </w:r>
            <w:r w:rsidRPr="00454670">
              <w:rPr>
                <w:color w:val="000000"/>
                <w:szCs w:val="20"/>
              </w:rPr>
              <w:t>as</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resource</w:t>
            </w:r>
            <w:r w:rsidR="00C64050">
              <w:rPr>
                <w:color w:val="000000"/>
                <w:szCs w:val="20"/>
              </w:rPr>
              <w:t xml:space="preserve"> </w:t>
            </w:r>
            <w:r w:rsidRPr="00454670">
              <w:rPr>
                <w:color w:val="000000"/>
                <w:szCs w:val="20"/>
              </w:rPr>
              <w:t>for</w:t>
            </w:r>
            <w:r w:rsidR="00C64050">
              <w:rPr>
                <w:color w:val="000000"/>
                <w:szCs w:val="20"/>
              </w:rPr>
              <w:t xml:space="preserve"> </w:t>
            </w:r>
            <w:r w:rsidRPr="00454670">
              <w:rPr>
                <w:color w:val="000000"/>
                <w:szCs w:val="20"/>
              </w:rPr>
              <w:t>attorneys</w:t>
            </w:r>
            <w:r w:rsidR="003B7F8D">
              <w:rPr>
                <w:color w:val="000000"/>
                <w:szCs w:val="20"/>
              </w:rPr>
              <w:t>, fiduciaries,</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wealth</w:t>
            </w:r>
            <w:r w:rsidR="00C64050">
              <w:rPr>
                <w:color w:val="000000"/>
                <w:szCs w:val="20"/>
              </w:rPr>
              <w:t xml:space="preserve"> </w:t>
            </w:r>
            <w:r w:rsidRPr="00454670">
              <w:rPr>
                <w:color w:val="000000"/>
                <w:szCs w:val="20"/>
              </w:rPr>
              <w:t>management</w:t>
            </w:r>
            <w:r w:rsidR="00C64050">
              <w:rPr>
                <w:color w:val="000000"/>
                <w:szCs w:val="20"/>
              </w:rPr>
              <w:t xml:space="preserve"> </w:t>
            </w:r>
            <w:r w:rsidRPr="00454670">
              <w:rPr>
                <w:color w:val="000000"/>
                <w:szCs w:val="20"/>
              </w:rPr>
              <w:t>professionals,</w:t>
            </w:r>
            <w:r w:rsidR="00C64050">
              <w:rPr>
                <w:color w:val="000000"/>
                <w:szCs w:val="20"/>
              </w:rPr>
              <w:t xml:space="preserve"> </w:t>
            </w:r>
            <w:r w:rsidRPr="00454670">
              <w:rPr>
                <w:color w:val="000000"/>
                <w:szCs w:val="20"/>
              </w:rPr>
              <w:t>but</w:t>
            </w:r>
            <w:r w:rsidR="00C64050">
              <w:rPr>
                <w:color w:val="000000"/>
                <w:szCs w:val="20"/>
              </w:rPr>
              <w:t xml:space="preserve"> </w:t>
            </w:r>
            <w:r w:rsidRPr="00454670">
              <w:rPr>
                <w:color w:val="000000"/>
                <w:szCs w:val="20"/>
              </w:rPr>
              <w:t>it</w:t>
            </w:r>
            <w:r w:rsidR="00C64050">
              <w:rPr>
                <w:color w:val="000000"/>
                <w:szCs w:val="20"/>
              </w:rPr>
              <w:t xml:space="preserve"> </w:t>
            </w:r>
            <w:r w:rsidRPr="00454670">
              <w:rPr>
                <w:color w:val="000000"/>
                <w:szCs w:val="20"/>
              </w:rPr>
              <w:t>does</w:t>
            </w:r>
            <w:r w:rsidR="00C64050">
              <w:rPr>
                <w:color w:val="000000"/>
                <w:szCs w:val="20"/>
              </w:rPr>
              <w:t xml:space="preserve"> </w:t>
            </w:r>
            <w:r w:rsidRPr="00454670">
              <w:rPr>
                <w:color w:val="000000"/>
                <w:szCs w:val="20"/>
              </w:rPr>
              <w:t>not</w:t>
            </w:r>
            <w:r w:rsidR="00C64050">
              <w:rPr>
                <w:color w:val="000000"/>
                <w:szCs w:val="20"/>
              </w:rPr>
              <w:t xml:space="preserve"> </w:t>
            </w:r>
            <w:r w:rsidRPr="00454670">
              <w:rPr>
                <w:color w:val="000000"/>
                <w:szCs w:val="20"/>
              </w:rPr>
              <w:t>constitute</w:t>
            </w:r>
            <w:r w:rsidR="00C64050">
              <w:rPr>
                <w:color w:val="000000"/>
                <w:szCs w:val="20"/>
              </w:rPr>
              <w:t xml:space="preserve"> </w:t>
            </w:r>
            <w:r w:rsidRPr="00454670">
              <w:rPr>
                <w:color w:val="000000"/>
                <w:szCs w:val="20"/>
              </w:rPr>
              <w:t>legal</w:t>
            </w:r>
            <w:r w:rsidR="00C64050">
              <w:rPr>
                <w:color w:val="000000"/>
                <w:szCs w:val="20"/>
              </w:rPr>
              <w:t xml:space="preserve"> </w:t>
            </w:r>
            <w:r w:rsidRPr="00454670">
              <w:rPr>
                <w:color w:val="000000"/>
                <w:szCs w:val="20"/>
              </w:rPr>
              <w:t>advice</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reliance</w:t>
            </w:r>
            <w:r w:rsidR="00C64050">
              <w:rPr>
                <w:color w:val="000000"/>
                <w:szCs w:val="20"/>
              </w:rPr>
              <w:t xml:space="preserve"> </w:t>
            </w:r>
            <w:r w:rsidRPr="00454670">
              <w:rPr>
                <w:color w:val="000000"/>
                <w:szCs w:val="20"/>
              </w:rPr>
              <w:t>thereon</w:t>
            </w:r>
            <w:r w:rsidR="00C64050">
              <w:rPr>
                <w:color w:val="000000"/>
                <w:szCs w:val="20"/>
              </w:rPr>
              <w:t xml:space="preserve"> </w:t>
            </w:r>
            <w:r w:rsidRPr="00454670">
              <w:rPr>
                <w:color w:val="000000"/>
                <w:szCs w:val="20"/>
              </w:rPr>
              <w:t>does</w:t>
            </w:r>
            <w:r w:rsidR="00C64050">
              <w:rPr>
                <w:color w:val="000000"/>
                <w:szCs w:val="20"/>
              </w:rPr>
              <w:t xml:space="preserve"> </w:t>
            </w:r>
            <w:r w:rsidRPr="00454670">
              <w:rPr>
                <w:color w:val="000000"/>
                <w:szCs w:val="20"/>
              </w:rPr>
              <w:t>not</w:t>
            </w:r>
            <w:r w:rsidR="00C64050">
              <w:rPr>
                <w:color w:val="000000"/>
                <w:szCs w:val="20"/>
              </w:rPr>
              <w:t xml:space="preserve"> </w:t>
            </w:r>
            <w:r w:rsidRPr="00454670">
              <w:rPr>
                <w:color w:val="000000"/>
                <w:szCs w:val="20"/>
              </w:rPr>
              <w:t>establish</w:t>
            </w:r>
            <w:r w:rsidR="00C64050">
              <w:rPr>
                <w:color w:val="000000"/>
                <w:szCs w:val="20"/>
              </w:rPr>
              <w:t xml:space="preserve"> </w:t>
            </w:r>
            <w:r w:rsidRPr="00454670">
              <w:rPr>
                <w:color w:val="000000"/>
                <w:szCs w:val="20"/>
              </w:rPr>
              <w:t>an</w:t>
            </w:r>
            <w:r w:rsidR="00C64050">
              <w:rPr>
                <w:color w:val="000000"/>
                <w:szCs w:val="20"/>
              </w:rPr>
              <w:t xml:space="preserve"> </w:t>
            </w:r>
            <w:r w:rsidRPr="00454670">
              <w:rPr>
                <w:color w:val="000000"/>
                <w:szCs w:val="20"/>
              </w:rPr>
              <w:t>attorney-client</w:t>
            </w:r>
            <w:r w:rsidR="00C64050">
              <w:rPr>
                <w:color w:val="000000"/>
                <w:szCs w:val="20"/>
              </w:rPr>
              <w:t xml:space="preserve"> </w:t>
            </w:r>
            <w:r w:rsidRPr="00454670">
              <w:rPr>
                <w:color w:val="000000"/>
                <w:szCs w:val="20"/>
              </w:rPr>
              <w:t>relationship.</w:t>
            </w:r>
            <w:r w:rsidR="00C64050">
              <w:rPr>
                <w:color w:val="000000"/>
                <w:szCs w:val="20"/>
              </w:rPr>
              <w:t xml:space="preserve">  </w:t>
            </w:r>
            <w:r w:rsidR="00231397">
              <w:rPr>
                <w:color w:val="000000"/>
                <w:szCs w:val="20"/>
              </w:rPr>
              <w:t>T</w:t>
            </w:r>
            <w:r w:rsidRPr="00454670">
              <w:rPr>
                <w:color w:val="000000"/>
                <w:szCs w:val="20"/>
              </w:rPr>
              <w:t>his</w:t>
            </w:r>
            <w:r w:rsidR="00C64050">
              <w:rPr>
                <w:color w:val="000000"/>
                <w:szCs w:val="20"/>
              </w:rPr>
              <w:t xml:space="preserve"> </w:t>
            </w:r>
            <w:r w:rsidRPr="00454670">
              <w:rPr>
                <w:color w:val="000000"/>
                <w:szCs w:val="20"/>
              </w:rPr>
              <w:t>information</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not</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substitute</w:t>
            </w:r>
            <w:r w:rsidR="00C64050">
              <w:rPr>
                <w:color w:val="000000"/>
                <w:szCs w:val="20"/>
              </w:rPr>
              <w:t xml:space="preserve"> </w:t>
            </w:r>
            <w:r w:rsidRPr="00454670">
              <w:rPr>
                <w:color w:val="000000"/>
                <w:szCs w:val="20"/>
              </w:rPr>
              <w:t>for</w:t>
            </w:r>
            <w:r w:rsidR="00C64050">
              <w:rPr>
                <w:color w:val="000000"/>
                <w:szCs w:val="20"/>
              </w:rPr>
              <w:t xml:space="preserve"> </w:t>
            </w:r>
            <w:r w:rsidRPr="00454670">
              <w:rPr>
                <w:color w:val="000000"/>
                <w:szCs w:val="20"/>
              </w:rPr>
              <w:t>an</w:t>
            </w:r>
            <w:r w:rsidR="00C64050">
              <w:rPr>
                <w:color w:val="000000"/>
                <w:szCs w:val="20"/>
              </w:rPr>
              <w:t xml:space="preserve"> </w:t>
            </w:r>
            <w:r w:rsidRPr="00454670">
              <w:rPr>
                <w:color w:val="000000"/>
                <w:szCs w:val="20"/>
              </w:rPr>
              <w:t>attorney’s</w:t>
            </w:r>
            <w:r w:rsidR="00C64050">
              <w:rPr>
                <w:color w:val="000000"/>
                <w:szCs w:val="20"/>
              </w:rPr>
              <w:t xml:space="preserve"> </w:t>
            </w:r>
            <w:r w:rsidRPr="00454670">
              <w:rPr>
                <w:color w:val="000000"/>
                <w:szCs w:val="20"/>
              </w:rPr>
              <w:t>judgment</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application</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relevant</w:t>
            </w:r>
            <w:r w:rsidR="00C64050">
              <w:rPr>
                <w:color w:val="000000"/>
                <w:szCs w:val="20"/>
              </w:rPr>
              <w:t xml:space="preserve"> </w:t>
            </w:r>
            <w:r w:rsidRPr="00454670">
              <w:rPr>
                <w:color w:val="000000"/>
                <w:szCs w:val="20"/>
              </w:rPr>
              <w:t>law</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client’s</w:t>
            </w:r>
            <w:r w:rsidR="00C64050">
              <w:rPr>
                <w:color w:val="000000"/>
                <w:szCs w:val="20"/>
              </w:rPr>
              <w:t xml:space="preserve"> </w:t>
            </w:r>
            <w:r w:rsidRPr="00454670">
              <w:rPr>
                <w:color w:val="000000"/>
                <w:szCs w:val="20"/>
              </w:rPr>
              <w:t>circumstances.</w:t>
            </w:r>
            <w:r w:rsidR="00C64050">
              <w:rPr>
                <w:color w:val="000000"/>
                <w:szCs w:val="20"/>
              </w:rPr>
              <w:t xml:space="preserve">  </w:t>
            </w:r>
          </w:p>
          <w:p w:rsidR="00524A72" w:rsidRDefault="00524A72">
            <w:pPr>
              <w:jc w:val="left"/>
              <w:rPr>
                <w:color w:val="000000"/>
                <w:szCs w:val="20"/>
              </w:rPr>
            </w:pPr>
          </w:p>
          <w:p w:rsidR="00821492" w:rsidRDefault="00821492">
            <w:pPr>
              <w:jc w:val="left"/>
              <w:rPr>
                <w:color w:val="000000"/>
                <w:szCs w:val="20"/>
              </w:rPr>
            </w:pPr>
            <w:r>
              <w:rPr>
                <w:color w:val="000000"/>
                <w:szCs w:val="20"/>
              </w:rPr>
              <w:t>The</w:t>
            </w:r>
            <w:r w:rsidR="00C64050">
              <w:rPr>
                <w:color w:val="000000"/>
                <w:szCs w:val="20"/>
              </w:rPr>
              <w:t xml:space="preserve"> </w:t>
            </w:r>
            <w:r>
              <w:rPr>
                <w:color w:val="000000"/>
                <w:szCs w:val="20"/>
              </w:rPr>
              <w:t>author</w:t>
            </w:r>
            <w:r w:rsidR="00C64050">
              <w:rPr>
                <w:color w:val="000000"/>
                <w:szCs w:val="20"/>
              </w:rPr>
              <w:t xml:space="preserve"> </w:t>
            </w:r>
            <w:r>
              <w:rPr>
                <w:color w:val="000000"/>
                <w:szCs w:val="20"/>
              </w:rPr>
              <w:t>thanks</w:t>
            </w:r>
            <w:r w:rsidR="00C64050">
              <w:rPr>
                <w:color w:val="000000"/>
                <w:szCs w:val="20"/>
              </w:rPr>
              <w:t xml:space="preserve"> </w:t>
            </w:r>
            <w:r>
              <w:rPr>
                <w:color w:val="000000"/>
                <w:szCs w:val="20"/>
              </w:rPr>
              <w:t>Charles</w:t>
            </w:r>
            <w:r w:rsidR="00C64050">
              <w:rPr>
                <w:color w:val="000000"/>
                <w:szCs w:val="20"/>
              </w:rPr>
              <w:t xml:space="preserve"> </w:t>
            </w:r>
            <w:r>
              <w:rPr>
                <w:color w:val="000000"/>
                <w:szCs w:val="20"/>
              </w:rPr>
              <w:t>A.</w:t>
            </w:r>
            <w:r w:rsidR="00C64050">
              <w:rPr>
                <w:color w:val="000000"/>
                <w:szCs w:val="20"/>
              </w:rPr>
              <w:t xml:space="preserve"> </w:t>
            </w:r>
            <w:r>
              <w:rPr>
                <w:color w:val="000000"/>
                <w:szCs w:val="20"/>
              </w:rPr>
              <w:t>Redd</w:t>
            </w:r>
            <w:r w:rsidR="00C64050">
              <w:rPr>
                <w:color w:val="000000"/>
                <w:szCs w:val="20"/>
              </w:rPr>
              <w:t xml:space="preserve"> </w:t>
            </w:r>
            <w:r>
              <w:rPr>
                <w:color w:val="000000"/>
                <w:szCs w:val="20"/>
              </w:rPr>
              <w:t>for</w:t>
            </w:r>
            <w:r w:rsidR="00C64050">
              <w:rPr>
                <w:color w:val="000000"/>
                <w:szCs w:val="20"/>
              </w:rPr>
              <w:t xml:space="preserve"> </w:t>
            </w:r>
            <w:r>
              <w:rPr>
                <w:color w:val="000000"/>
                <w:szCs w:val="20"/>
              </w:rPr>
              <w:t>his</w:t>
            </w:r>
            <w:r w:rsidR="00C64050">
              <w:rPr>
                <w:color w:val="000000"/>
                <w:szCs w:val="20"/>
              </w:rPr>
              <w:t xml:space="preserve"> </w:t>
            </w:r>
            <w:r>
              <w:rPr>
                <w:color w:val="000000"/>
                <w:szCs w:val="20"/>
              </w:rPr>
              <w:t>contribution</w:t>
            </w:r>
            <w:r w:rsidR="00C64050">
              <w:rPr>
                <w:color w:val="000000"/>
                <w:szCs w:val="20"/>
              </w:rPr>
              <w:t xml:space="preserve"> </w:t>
            </w:r>
            <w:r>
              <w:rPr>
                <w:color w:val="000000"/>
                <w:szCs w:val="20"/>
              </w:rPr>
              <w:t>to</w:t>
            </w:r>
            <w:r w:rsidR="00C64050">
              <w:rPr>
                <w:color w:val="000000"/>
                <w:szCs w:val="20"/>
              </w:rPr>
              <w:t xml:space="preserve"> </w:t>
            </w:r>
            <w:r w:rsidR="00D44C7A">
              <w:rPr>
                <w:color w:val="000000"/>
                <w:szCs w:val="20"/>
              </w:rPr>
              <w:t>these</w:t>
            </w:r>
            <w:r w:rsidR="00C64050">
              <w:rPr>
                <w:color w:val="000000"/>
                <w:szCs w:val="20"/>
              </w:rPr>
              <w:t xml:space="preserve"> </w:t>
            </w:r>
            <w:r>
              <w:rPr>
                <w:color w:val="000000"/>
                <w:szCs w:val="20"/>
              </w:rPr>
              <w:t>materials.</w:t>
            </w:r>
            <w:r w:rsidR="00C64050">
              <w:rPr>
                <w:color w:val="000000"/>
                <w:szCs w:val="20"/>
              </w:rPr>
              <w:t xml:space="preserve">  </w:t>
            </w:r>
            <w:r w:rsidR="00231397">
              <w:rPr>
                <w:color w:val="000000"/>
                <w:szCs w:val="20"/>
              </w:rPr>
              <w:t>Mistakes</w:t>
            </w:r>
            <w:r w:rsidR="00C64050">
              <w:rPr>
                <w:color w:val="000000"/>
                <w:szCs w:val="20"/>
              </w:rPr>
              <w:t xml:space="preserve"> </w:t>
            </w:r>
            <w:r w:rsidR="00231397">
              <w:rPr>
                <w:color w:val="000000"/>
                <w:szCs w:val="20"/>
              </w:rPr>
              <w:t>are</w:t>
            </w:r>
            <w:r w:rsidR="00C64050">
              <w:rPr>
                <w:color w:val="000000"/>
                <w:szCs w:val="20"/>
              </w:rPr>
              <w:t xml:space="preserve"> </w:t>
            </w:r>
            <w:r w:rsidR="00231397">
              <w:rPr>
                <w:color w:val="000000"/>
                <w:szCs w:val="20"/>
              </w:rPr>
              <w:t>the</w:t>
            </w:r>
            <w:r w:rsidR="00C64050">
              <w:rPr>
                <w:color w:val="000000"/>
                <w:szCs w:val="20"/>
              </w:rPr>
              <w:t xml:space="preserve"> </w:t>
            </w:r>
            <w:r w:rsidR="00231397">
              <w:rPr>
                <w:color w:val="000000"/>
                <w:szCs w:val="20"/>
              </w:rPr>
              <w:t>author’s</w:t>
            </w:r>
            <w:r w:rsidR="00C64050">
              <w:rPr>
                <w:color w:val="000000"/>
                <w:szCs w:val="20"/>
              </w:rPr>
              <w:t xml:space="preserve"> </w:t>
            </w:r>
            <w:r w:rsidR="00231397">
              <w:rPr>
                <w:color w:val="000000"/>
                <w:szCs w:val="20"/>
              </w:rPr>
              <w:t>own.</w:t>
            </w:r>
          </w:p>
          <w:p w:rsidR="00231397" w:rsidRDefault="00231397">
            <w:pPr>
              <w:jc w:val="left"/>
              <w:rPr>
                <w:color w:val="000000"/>
                <w:szCs w:val="20"/>
              </w:rPr>
            </w:pPr>
          </w:p>
          <w:p w:rsidR="00231397" w:rsidRDefault="00231397">
            <w:pPr>
              <w:jc w:val="left"/>
              <w:rPr>
                <w:color w:val="000000"/>
                <w:szCs w:val="20"/>
              </w:rPr>
            </w:pPr>
          </w:p>
          <w:p w:rsidR="00231397" w:rsidRPr="00454670" w:rsidRDefault="00231397">
            <w:pPr>
              <w:jc w:val="left"/>
              <w:rPr>
                <w:color w:val="000000"/>
                <w:szCs w:val="20"/>
              </w:rPr>
            </w:pPr>
          </w:p>
          <w:p w:rsidR="00485DB9" w:rsidRPr="00454670" w:rsidRDefault="00485DB9">
            <w:pPr>
              <w:jc w:val="left"/>
              <w:rPr>
                <w:color w:val="000000"/>
                <w:szCs w:val="20"/>
              </w:rPr>
            </w:pPr>
          </w:p>
        </w:tc>
      </w:tr>
      <w:tr w:rsidR="00485DB9" w:rsidRPr="00454670">
        <w:tc>
          <w:tcPr>
            <w:tcW w:w="9576" w:type="dxa"/>
          </w:tcPr>
          <w:p w:rsidR="00485DB9" w:rsidRPr="00454670" w:rsidRDefault="00856D6A">
            <w:pPr>
              <w:jc w:val="center"/>
              <w:rPr>
                <w:color w:val="000000"/>
                <w:szCs w:val="20"/>
              </w:rPr>
            </w:pPr>
            <w:r w:rsidRPr="00454670">
              <w:rPr>
                <w:color w:val="000000"/>
                <w:szCs w:val="20"/>
              </w:rPr>
              <w:t>The</w:t>
            </w:r>
            <w:r w:rsidR="00C64050">
              <w:rPr>
                <w:color w:val="000000"/>
                <w:szCs w:val="20"/>
              </w:rPr>
              <w:t xml:space="preserve"> </w:t>
            </w:r>
            <w:r w:rsidRPr="00454670">
              <w:rPr>
                <w:color w:val="000000"/>
                <w:szCs w:val="20"/>
              </w:rPr>
              <w:t>ethical</w:t>
            </w:r>
            <w:r w:rsidR="00C64050">
              <w:rPr>
                <w:color w:val="000000"/>
                <w:szCs w:val="20"/>
              </w:rPr>
              <w:t xml:space="preserve"> </w:t>
            </w:r>
            <w:r w:rsidRPr="00454670">
              <w:rPr>
                <w:color w:val="000000"/>
                <w:szCs w:val="20"/>
              </w:rPr>
              <w:t>rules</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Kentucky</w:t>
            </w:r>
            <w:r w:rsidR="00C64050">
              <w:rPr>
                <w:color w:val="000000"/>
                <w:szCs w:val="20"/>
              </w:rPr>
              <w:t xml:space="preserve"> </w:t>
            </w:r>
            <w:r w:rsidRPr="00454670">
              <w:rPr>
                <w:color w:val="000000"/>
                <w:szCs w:val="20"/>
              </w:rPr>
              <w:t>Bar</w:t>
            </w:r>
            <w:r w:rsidR="00C64050">
              <w:rPr>
                <w:color w:val="000000"/>
                <w:szCs w:val="20"/>
              </w:rPr>
              <w:t xml:space="preserve"> </w:t>
            </w:r>
            <w:r w:rsidRPr="00454670">
              <w:rPr>
                <w:color w:val="000000"/>
                <w:szCs w:val="20"/>
              </w:rPr>
              <w:t>may</w:t>
            </w:r>
            <w:r w:rsidR="00C64050">
              <w:rPr>
                <w:color w:val="000000"/>
                <w:szCs w:val="20"/>
              </w:rPr>
              <w:t xml:space="preserve"> </w:t>
            </w:r>
            <w:r w:rsidRPr="00454670">
              <w:rPr>
                <w:color w:val="000000"/>
                <w:szCs w:val="20"/>
              </w:rPr>
              <w:t>require</w:t>
            </w:r>
            <w:r w:rsidR="00C64050">
              <w:rPr>
                <w:color w:val="000000"/>
                <w:szCs w:val="20"/>
              </w:rPr>
              <w:t xml:space="preserve"> </w:t>
            </w:r>
            <w:r w:rsidRPr="00454670">
              <w:rPr>
                <w:color w:val="000000"/>
                <w:szCs w:val="20"/>
              </w:rPr>
              <w:t>identification</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this</w:t>
            </w:r>
            <w:r w:rsidR="00C64050">
              <w:rPr>
                <w:color w:val="000000"/>
                <w:szCs w:val="20"/>
              </w:rPr>
              <w:t xml:space="preserve"> </w:t>
            </w:r>
            <w:r w:rsidRPr="00454670">
              <w:rPr>
                <w:color w:val="000000"/>
                <w:szCs w:val="20"/>
              </w:rPr>
              <w:t>information</w:t>
            </w:r>
            <w:r w:rsidR="00C64050">
              <w:rPr>
                <w:color w:val="000000"/>
                <w:szCs w:val="20"/>
              </w:rPr>
              <w:t xml:space="preserve"> </w:t>
            </w:r>
            <w:r w:rsidRPr="00454670">
              <w:rPr>
                <w:color w:val="000000"/>
                <w:szCs w:val="20"/>
              </w:rPr>
              <w:t>as</w:t>
            </w:r>
            <w:r w:rsidR="00C64050">
              <w:rPr>
                <w:color w:val="000000"/>
                <w:szCs w:val="20"/>
              </w:rPr>
              <w:t xml:space="preserve"> </w:t>
            </w:r>
            <w:r w:rsidRPr="00454670">
              <w:rPr>
                <w:color w:val="000000"/>
                <w:szCs w:val="20"/>
              </w:rPr>
              <w:t>advertising</w:t>
            </w:r>
            <w:r w:rsidR="00C64050">
              <w:rPr>
                <w:color w:val="000000"/>
                <w:szCs w:val="20"/>
              </w:rPr>
              <w:t xml:space="preserve"> </w:t>
            </w:r>
            <w:r w:rsidRPr="00454670">
              <w:rPr>
                <w:color w:val="000000"/>
                <w:szCs w:val="20"/>
              </w:rPr>
              <w:t>material.</w:t>
            </w:r>
            <w:r w:rsidRPr="00454670">
              <w:rPr>
                <w:color w:val="000000"/>
                <w:szCs w:val="20"/>
              </w:rPr>
              <w:br/>
              <w:t>THIS</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AN</w:t>
            </w:r>
            <w:r w:rsidR="00C64050">
              <w:rPr>
                <w:color w:val="000000"/>
                <w:szCs w:val="20"/>
              </w:rPr>
              <w:t xml:space="preserve"> </w:t>
            </w:r>
            <w:r w:rsidRPr="00454670">
              <w:rPr>
                <w:color w:val="000000"/>
                <w:szCs w:val="20"/>
              </w:rPr>
              <w:t>ADVERTISEMENT.</w:t>
            </w:r>
          </w:p>
          <w:p w:rsidR="00485DB9" w:rsidRPr="00454670" w:rsidRDefault="00485DB9">
            <w:pPr>
              <w:jc w:val="center"/>
              <w:rPr>
                <w:color w:val="000000"/>
                <w:szCs w:val="20"/>
              </w:rPr>
            </w:pPr>
          </w:p>
        </w:tc>
      </w:tr>
    </w:tbl>
    <w:p w:rsidR="004943C7" w:rsidRDefault="00856D6A">
      <w:pPr>
        <w:rPr>
          <w:color w:val="000000"/>
          <w:szCs w:val="20"/>
        </w:rPr>
        <w:sectPr w:rsidR="004943C7" w:rsidSect="007417C1">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noEndnote/>
          <w:titlePg/>
        </w:sectPr>
      </w:pPr>
      <w:r w:rsidRPr="00454670">
        <w:rPr>
          <w:color w:val="000000"/>
          <w:szCs w:val="20"/>
        </w:rPr>
        <w:t>Copyright</w:t>
      </w:r>
      <w:r w:rsidR="00C64050">
        <w:rPr>
          <w:color w:val="000000"/>
          <w:szCs w:val="20"/>
        </w:rPr>
        <w:t xml:space="preserve"> </w:t>
      </w:r>
      <w:r w:rsidRPr="00454670">
        <w:rPr>
          <w:color w:val="000000"/>
          <w:szCs w:val="20"/>
        </w:rPr>
        <w:t>20</w:t>
      </w:r>
      <w:r w:rsidR="009C2376">
        <w:rPr>
          <w:color w:val="000000"/>
          <w:szCs w:val="20"/>
        </w:rPr>
        <w:t>2</w:t>
      </w:r>
      <w:r w:rsidR="00C82498">
        <w:rPr>
          <w:color w:val="000000"/>
          <w:szCs w:val="20"/>
        </w:rPr>
        <w:t>2</w:t>
      </w:r>
      <w:r w:rsidR="00C64050">
        <w:rPr>
          <w:color w:val="000000"/>
          <w:szCs w:val="20"/>
        </w:rPr>
        <w:t xml:space="preserve"> </w:t>
      </w:r>
      <w:r w:rsidRPr="00454670">
        <w:rPr>
          <w:color w:val="000000"/>
          <w:szCs w:val="20"/>
        </w:rPr>
        <w:t>Turney</w:t>
      </w:r>
      <w:r w:rsidR="00C64050">
        <w:rPr>
          <w:color w:val="000000"/>
          <w:szCs w:val="20"/>
        </w:rPr>
        <w:t xml:space="preserve"> </w:t>
      </w:r>
      <w:r w:rsidRPr="00454670">
        <w:rPr>
          <w:color w:val="000000"/>
          <w:szCs w:val="20"/>
        </w:rPr>
        <w:t>P.</w:t>
      </w:r>
      <w:r w:rsidR="00C64050">
        <w:rPr>
          <w:color w:val="000000"/>
          <w:szCs w:val="20"/>
        </w:rPr>
        <w:t xml:space="preserve"> </w:t>
      </w:r>
      <w:r w:rsidRPr="00454670">
        <w:rPr>
          <w:color w:val="000000"/>
          <w:szCs w:val="20"/>
        </w:rPr>
        <w:t>Berry</w:t>
      </w:r>
    </w:p>
    <w:p w:rsidR="000C7C76" w:rsidRDefault="00856D6A" w:rsidP="00675423">
      <w:pPr>
        <w:pStyle w:val="TitleBCU"/>
        <w:keepNext w:val="0"/>
        <w:rPr>
          <w:color w:val="000000"/>
          <w:szCs w:val="20"/>
        </w:rPr>
      </w:pPr>
      <w:r w:rsidRPr="00454670">
        <w:rPr>
          <w:color w:val="000000"/>
          <w:szCs w:val="20"/>
        </w:rPr>
        <w:lastRenderedPageBreak/>
        <w:t>TABLE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CONTENTS</w:t>
      </w:r>
    </w:p>
    <w:p w:rsidR="00675423" w:rsidRPr="00454670" w:rsidRDefault="00675423" w:rsidP="00675423">
      <w:pPr>
        <w:pStyle w:val="TitleBCU"/>
        <w:keepNext w:val="0"/>
      </w:pPr>
    </w:p>
    <w:p w:rsidR="00C82498" w:rsidRDefault="008C0FE2">
      <w:pPr>
        <w:pStyle w:val="TOC1"/>
        <w:rPr>
          <w:rFonts w:asciiTheme="minorHAnsi" w:eastAsiaTheme="minorEastAsia" w:hAnsiTheme="minorHAnsi" w:cstheme="minorBidi"/>
          <w:b w:val="0"/>
          <w:bCs w:val="0"/>
          <w:sz w:val="22"/>
          <w:szCs w:val="22"/>
        </w:rPr>
      </w:pPr>
      <w:r w:rsidRPr="008C0FE2">
        <w:fldChar w:fldCharType="begin"/>
      </w:r>
      <w:r w:rsidRPr="008C0FE2">
        <w:instrText xml:space="preserve"> TOC \x \h \z \t "Heading 1,1,Heading 2,2,Title Part,1,LF Level 1,1,LF Level 2,2" </w:instrText>
      </w:r>
      <w:r w:rsidRPr="008C0FE2">
        <w:fldChar w:fldCharType="separate"/>
      </w:r>
      <w:hyperlink w:anchor="_Toc94704595" w:history="1">
        <w:r w:rsidR="00C82498" w:rsidRPr="00435830">
          <w:rPr>
            <w:rStyle w:val="Hyperlink"/>
          </w:rPr>
          <w:t>PART 1 – 2017 TAX ACT IS STILL WITH US</w:t>
        </w:r>
        <w:r w:rsidR="00C82498">
          <w:rPr>
            <w:webHidden/>
          </w:rPr>
          <w:tab/>
        </w:r>
        <w:r w:rsidR="00C82498">
          <w:rPr>
            <w:webHidden/>
          </w:rPr>
          <w:fldChar w:fldCharType="begin"/>
        </w:r>
        <w:r w:rsidR="00C82498">
          <w:rPr>
            <w:webHidden/>
          </w:rPr>
          <w:instrText xml:space="preserve"> PAGEREF _Toc94704595 \h </w:instrText>
        </w:r>
        <w:r w:rsidR="00C82498">
          <w:rPr>
            <w:webHidden/>
          </w:rPr>
        </w:r>
        <w:r w:rsidR="00C82498">
          <w:rPr>
            <w:webHidden/>
          </w:rPr>
          <w:fldChar w:fldCharType="separate"/>
        </w:r>
        <w:r w:rsidR="00F4601D">
          <w:rPr>
            <w:webHidden/>
          </w:rPr>
          <w:t>1</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596" w:history="1">
        <w:r w:rsidR="00C82498" w:rsidRPr="00435830">
          <w:rPr>
            <w:rStyle w:val="Hyperlink"/>
            <w:rFonts w:ascii="Times New Roman Bold" w:hAnsi="Times New Roman Bold"/>
          </w:rPr>
          <w:t>A.</w:t>
        </w:r>
        <w:r w:rsidR="00C82498">
          <w:rPr>
            <w:rFonts w:asciiTheme="minorHAnsi" w:eastAsiaTheme="minorEastAsia" w:hAnsiTheme="minorHAnsi" w:cstheme="minorBidi"/>
            <w:b w:val="0"/>
            <w:bCs w:val="0"/>
            <w:sz w:val="22"/>
            <w:szCs w:val="22"/>
          </w:rPr>
          <w:tab/>
        </w:r>
        <w:r w:rsidR="00C82498" w:rsidRPr="00435830">
          <w:rPr>
            <w:rStyle w:val="Hyperlink"/>
          </w:rPr>
          <w:t>Effective Date and Sunset</w:t>
        </w:r>
        <w:r w:rsidR="00C82498">
          <w:rPr>
            <w:webHidden/>
          </w:rPr>
          <w:tab/>
        </w:r>
        <w:r w:rsidR="00C82498">
          <w:rPr>
            <w:webHidden/>
          </w:rPr>
          <w:fldChar w:fldCharType="begin"/>
        </w:r>
        <w:r w:rsidR="00C82498">
          <w:rPr>
            <w:webHidden/>
          </w:rPr>
          <w:instrText xml:space="preserve"> PAGEREF _Toc94704596 \h </w:instrText>
        </w:r>
        <w:r w:rsidR="00C82498">
          <w:rPr>
            <w:webHidden/>
          </w:rPr>
        </w:r>
        <w:r w:rsidR="00C82498">
          <w:rPr>
            <w:webHidden/>
          </w:rPr>
          <w:fldChar w:fldCharType="separate"/>
        </w:r>
        <w:r w:rsidR="00F4601D">
          <w:rPr>
            <w:webHidden/>
          </w:rPr>
          <w:t>1</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597" w:history="1">
        <w:r w:rsidR="00C82498" w:rsidRPr="00435830">
          <w:rPr>
            <w:rStyle w:val="Hyperlink"/>
            <w:rFonts w:ascii="Times New Roman Bold" w:hAnsi="Times New Roman Bold"/>
          </w:rPr>
          <w:t>B.</w:t>
        </w:r>
        <w:r w:rsidR="00C82498">
          <w:rPr>
            <w:rFonts w:asciiTheme="minorHAnsi" w:eastAsiaTheme="minorEastAsia" w:hAnsiTheme="minorHAnsi" w:cstheme="minorBidi"/>
            <w:b w:val="0"/>
            <w:bCs w:val="0"/>
            <w:sz w:val="22"/>
            <w:szCs w:val="22"/>
          </w:rPr>
          <w:tab/>
        </w:r>
        <w:r w:rsidR="00C82498" w:rsidRPr="00435830">
          <w:rPr>
            <w:rStyle w:val="Hyperlink"/>
          </w:rPr>
          <w:t>New Basic Exclusion Amounts for Estate and Gift Taxes and New Generation-Skipping Transfer Exemption and Clawback</w:t>
        </w:r>
        <w:r w:rsidR="00C82498">
          <w:rPr>
            <w:webHidden/>
          </w:rPr>
          <w:tab/>
        </w:r>
        <w:r w:rsidR="00C82498">
          <w:rPr>
            <w:webHidden/>
          </w:rPr>
          <w:fldChar w:fldCharType="begin"/>
        </w:r>
        <w:r w:rsidR="00C82498">
          <w:rPr>
            <w:webHidden/>
          </w:rPr>
          <w:instrText xml:space="preserve"> PAGEREF _Toc94704597 \h </w:instrText>
        </w:r>
        <w:r w:rsidR="00C82498">
          <w:rPr>
            <w:webHidden/>
          </w:rPr>
        </w:r>
        <w:r w:rsidR="00C82498">
          <w:rPr>
            <w:webHidden/>
          </w:rPr>
          <w:fldChar w:fldCharType="separate"/>
        </w:r>
        <w:r w:rsidR="00F4601D">
          <w:rPr>
            <w:webHidden/>
          </w:rPr>
          <w:t>1</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598" w:history="1">
        <w:r w:rsidR="00C82498" w:rsidRPr="00435830">
          <w:rPr>
            <w:rStyle w:val="Hyperlink"/>
            <w:rFonts w:ascii="Times New Roman Bold" w:hAnsi="Times New Roman Bold"/>
          </w:rPr>
          <w:t>C.</w:t>
        </w:r>
        <w:r w:rsidR="00C82498">
          <w:rPr>
            <w:rFonts w:asciiTheme="minorHAnsi" w:eastAsiaTheme="minorEastAsia" w:hAnsiTheme="minorHAnsi" w:cstheme="minorBidi"/>
            <w:b w:val="0"/>
            <w:bCs w:val="0"/>
            <w:sz w:val="22"/>
            <w:szCs w:val="22"/>
          </w:rPr>
          <w:tab/>
        </w:r>
        <w:r w:rsidR="00C82498" w:rsidRPr="00435830">
          <w:rPr>
            <w:rStyle w:val="Hyperlink"/>
          </w:rPr>
          <w:t>Inflation Adjustments</w:t>
        </w:r>
        <w:r w:rsidR="00C82498">
          <w:rPr>
            <w:webHidden/>
          </w:rPr>
          <w:tab/>
        </w:r>
        <w:r w:rsidR="00C82498">
          <w:rPr>
            <w:webHidden/>
          </w:rPr>
          <w:fldChar w:fldCharType="begin"/>
        </w:r>
        <w:r w:rsidR="00C82498">
          <w:rPr>
            <w:webHidden/>
          </w:rPr>
          <w:instrText xml:space="preserve"> PAGEREF _Toc94704598 \h </w:instrText>
        </w:r>
        <w:r w:rsidR="00C82498">
          <w:rPr>
            <w:webHidden/>
          </w:rPr>
        </w:r>
        <w:r w:rsidR="00C82498">
          <w:rPr>
            <w:webHidden/>
          </w:rPr>
          <w:fldChar w:fldCharType="separate"/>
        </w:r>
        <w:r w:rsidR="00F4601D">
          <w:rPr>
            <w:webHidden/>
          </w:rPr>
          <w:t>3</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599" w:history="1">
        <w:r w:rsidR="00C82498" w:rsidRPr="00435830">
          <w:rPr>
            <w:rStyle w:val="Hyperlink"/>
            <w:rFonts w:ascii="Times New Roman Bold" w:hAnsi="Times New Roman Bold"/>
          </w:rPr>
          <w:t>D.</w:t>
        </w:r>
        <w:r w:rsidR="00C82498">
          <w:rPr>
            <w:rFonts w:asciiTheme="minorHAnsi" w:eastAsiaTheme="minorEastAsia" w:hAnsiTheme="minorHAnsi" w:cstheme="minorBidi"/>
            <w:b w:val="0"/>
            <w:bCs w:val="0"/>
            <w:sz w:val="22"/>
            <w:szCs w:val="22"/>
          </w:rPr>
          <w:tab/>
        </w:r>
        <w:r w:rsidR="00C82498" w:rsidRPr="00435830">
          <w:rPr>
            <w:rStyle w:val="Hyperlink"/>
          </w:rPr>
          <w:t>Miscellaneous Itemized Deductions.</w:t>
        </w:r>
        <w:r w:rsidR="00C82498">
          <w:rPr>
            <w:webHidden/>
          </w:rPr>
          <w:tab/>
        </w:r>
        <w:r w:rsidR="00C82498">
          <w:rPr>
            <w:webHidden/>
          </w:rPr>
          <w:fldChar w:fldCharType="begin"/>
        </w:r>
        <w:r w:rsidR="00C82498">
          <w:rPr>
            <w:webHidden/>
          </w:rPr>
          <w:instrText xml:space="preserve"> PAGEREF _Toc94704599 \h </w:instrText>
        </w:r>
        <w:r w:rsidR="00C82498">
          <w:rPr>
            <w:webHidden/>
          </w:rPr>
        </w:r>
        <w:r w:rsidR="00C82498">
          <w:rPr>
            <w:webHidden/>
          </w:rPr>
          <w:fldChar w:fldCharType="separate"/>
        </w:r>
        <w:r w:rsidR="00F4601D">
          <w:rPr>
            <w:webHidden/>
          </w:rPr>
          <w:t>3</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00" w:history="1">
        <w:r w:rsidR="00C82498" w:rsidRPr="00435830">
          <w:rPr>
            <w:rStyle w:val="Hyperlink"/>
            <w:rFonts w:ascii="Times New Roman Bold" w:hAnsi="Times New Roman Bold"/>
          </w:rPr>
          <w:t>E.</w:t>
        </w:r>
        <w:r w:rsidR="00C82498">
          <w:rPr>
            <w:rFonts w:asciiTheme="minorHAnsi" w:eastAsiaTheme="minorEastAsia" w:hAnsiTheme="minorHAnsi" w:cstheme="minorBidi"/>
            <w:b w:val="0"/>
            <w:bCs w:val="0"/>
            <w:sz w:val="22"/>
            <w:szCs w:val="22"/>
          </w:rPr>
          <w:tab/>
        </w:r>
        <w:r w:rsidR="00C82498" w:rsidRPr="00435830">
          <w:rPr>
            <w:rStyle w:val="Hyperlink"/>
          </w:rPr>
          <w:t>Divorce – Income Tax.</w:t>
        </w:r>
        <w:r w:rsidR="00C82498">
          <w:rPr>
            <w:webHidden/>
          </w:rPr>
          <w:tab/>
        </w:r>
        <w:r w:rsidR="00C82498">
          <w:rPr>
            <w:webHidden/>
          </w:rPr>
          <w:fldChar w:fldCharType="begin"/>
        </w:r>
        <w:r w:rsidR="00C82498">
          <w:rPr>
            <w:webHidden/>
          </w:rPr>
          <w:instrText xml:space="preserve"> PAGEREF _Toc94704600 \h </w:instrText>
        </w:r>
        <w:r w:rsidR="00C82498">
          <w:rPr>
            <w:webHidden/>
          </w:rPr>
        </w:r>
        <w:r w:rsidR="00C82498">
          <w:rPr>
            <w:webHidden/>
          </w:rPr>
          <w:fldChar w:fldCharType="separate"/>
        </w:r>
        <w:r w:rsidR="00F4601D">
          <w:rPr>
            <w:webHidden/>
          </w:rPr>
          <w:t>10</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01" w:history="1">
        <w:r w:rsidR="00C82498" w:rsidRPr="00435830">
          <w:rPr>
            <w:rStyle w:val="Hyperlink"/>
            <w:rFonts w:ascii="Times New Roman Bold" w:hAnsi="Times New Roman Bold"/>
          </w:rPr>
          <w:t>F.</w:t>
        </w:r>
        <w:r w:rsidR="00C82498">
          <w:rPr>
            <w:rFonts w:asciiTheme="minorHAnsi" w:eastAsiaTheme="minorEastAsia" w:hAnsiTheme="minorHAnsi" w:cstheme="minorBidi"/>
            <w:b w:val="0"/>
            <w:bCs w:val="0"/>
            <w:sz w:val="22"/>
            <w:szCs w:val="22"/>
          </w:rPr>
          <w:tab/>
        </w:r>
        <w:r w:rsidR="00C82498" w:rsidRPr="00435830">
          <w:rPr>
            <w:rStyle w:val="Hyperlink"/>
          </w:rPr>
          <w:t>Basis of Life Insurance Policies.</w:t>
        </w:r>
        <w:r w:rsidR="00C82498">
          <w:rPr>
            <w:webHidden/>
          </w:rPr>
          <w:tab/>
        </w:r>
        <w:r w:rsidR="00C82498">
          <w:rPr>
            <w:webHidden/>
          </w:rPr>
          <w:fldChar w:fldCharType="begin"/>
        </w:r>
        <w:r w:rsidR="00C82498">
          <w:rPr>
            <w:webHidden/>
          </w:rPr>
          <w:instrText xml:space="preserve"> PAGEREF _Toc94704601 \h </w:instrText>
        </w:r>
        <w:r w:rsidR="00C82498">
          <w:rPr>
            <w:webHidden/>
          </w:rPr>
        </w:r>
        <w:r w:rsidR="00C82498">
          <w:rPr>
            <w:webHidden/>
          </w:rPr>
          <w:fldChar w:fldCharType="separate"/>
        </w:r>
        <w:r w:rsidR="00F4601D">
          <w:rPr>
            <w:webHidden/>
          </w:rPr>
          <w:t>10</w:t>
        </w:r>
        <w:r w:rsidR="00C82498">
          <w:rPr>
            <w:webHidden/>
          </w:rPr>
          <w:fldChar w:fldCharType="end"/>
        </w:r>
      </w:hyperlink>
    </w:p>
    <w:p w:rsidR="00C82498" w:rsidRDefault="00EA23AC">
      <w:pPr>
        <w:pStyle w:val="TOC1"/>
        <w:rPr>
          <w:rFonts w:asciiTheme="minorHAnsi" w:eastAsiaTheme="minorEastAsia" w:hAnsiTheme="minorHAnsi" w:cstheme="minorBidi"/>
          <w:b w:val="0"/>
          <w:bCs w:val="0"/>
          <w:sz w:val="22"/>
          <w:szCs w:val="22"/>
        </w:rPr>
      </w:pPr>
      <w:hyperlink w:anchor="_Toc94704602" w:history="1">
        <w:r w:rsidR="00C82498" w:rsidRPr="00435830">
          <w:rPr>
            <w:rStyle w:val="Hyperlink"/>
          </w:rPr>
          <w:t>PART 2 – IS MORE TAX REFORM ON THE WAY?</w:t>
        </w:r>
        <w:r w:rsidR="00C82498">
          <w:rPr>
            <w:webHidden/>
          </w:rPr>
          <w:tab/>
        </w:r>
        <w:r w:rsidR="00C82498">
          <w:rPr>
            <w:webHidden/>
          </w:rPr>
          <w:fldChar w:fldCharType="begin"/>
        </w:r>
        <w:r w:rsidR="00C82498">
          <w:rPr>
            <w:webHidden/>
          </w:rPr>
          <w:instrText xml:space="preserve"> PAGEREF _Toc94704602 \h </w:instrText>
        </w:r>
        <w:r w:rsidR="00C82498">
          <w:rPr>
            <w:webHidden/>
          </w:rPr>
        </w:r>
        <w:r w:rsidR="00C82498">
          <w:rPr>
            <w:webHidden/>
          </w:rPr>
          <w:fldChar w:fldCharType="separate"/>
        </w:r>
        <w:r w:rsidR="00F4601D">
          <w:rPr>
            <w:webHidden/>
          </w:rPr>
          <w:t>11</w:t>
        </w:r>
        <w:r w:rsidR="00C82498">
          <w:rPr>
            <w:webHidden/>
          </w:rPr>
          <w:fldChar w:fldCharType="end"/>
        </w:r>
      </w:hyperlink>
    </w:p>
    <w:p w:rsidR="00C82498" w:rsidRDefault="00EA23AC">
      <w:pPr>
        <w:pStyle w:val="TOC1"/>
        <w:rPr>
          <w:rFonts w:asciiTheme="minorHAnsi" w:eastAsiaTheme="minorEastAsia" w:hAnsiTheme="minorHAnsi" w:cstheme="minorBidi"/>
          <w:b w:val="0"/>
          <w:bCs w:val="0"/>
          <w:sz w:val="22"/>
          <w:szCs w:val="22"/>
        </w:rPr>
      </w:pPr>
      <w:hyperlink w:anchor="_Toc94704603" w:history="1">
        <w:r w:rsidR="00C82498" w:rsidRPr="00435830">
          <w:rPr>
            <w:rStyle w:val="Hyperlink"/>
          </w:rPr>
          <w:t>PART 3 – ESTATE PLANNING PRACTICE IN 2018 AND BEYOND</w:t>
        </w:r>
        <w:r w:rsidR="00C82498">
          <w:rPr>
            <w:webHidden/>
          </w:rPr>
          <w:tab/>
        </w:r>
        <w:r w:rsidR="00C82498">
          <w:rPr>
            <w:webHidden/>
          </w:rPr>
          <w:fldChar w:fldCharType="begin"/>
        </w:r>
        <w:r w:rsidR="00C82498">
          <w:rPr>
            <w:webHidden/>
          </w:rPr>
          <w:instrText xml:space="preserve"> PAGEREF _Toc94704603 \h </w:instrText>
        </w:r>
        <w:r w:rsidR="00C82498">
          <w:rPr>
            <w:webHidden/>
          </w:rPr>
        </w:r>
        <w:r w:rsidR="00C82498">
          <w:rPr>
            <w:webHidden/>
          </w:rPr>
          <w:fldChar w:fldCharType="separate"/>
        </w:r>
        <w:r w:rsidR="00F4601D">
          <w:rPr>
            <w:webHidden/>
          </w:rPr>
          <w:t>19</w:t>
        </w:r>
        <w:r w:rsidR="00C82498">
          <w:rPr>
            <w:webHidden/>
          </w:rPr>
          <w:fldChar w:fldCharType="end"/>
        </w:r>
      </w:hyperlink>
    </w:p>
    <w:p w:rsidR="00C82498" w:rsidRDefault="00EA23AC">
      <w:pPr>
        <w:pStyle w:val="TOC1"/>
        <w:rPr>
          <w:rFonts w:asciiTheme="minorHAnsi" w:eastAsiaTheme="minorEastAsia" w:hAnsiTheme="minorHAnsi" w:cstheme="minorBidi"/>
          <w:b w:val="0"/>
          <w:bCs w:val="0"/>
          <w:sz w:val="22"/>
          <w:szCs w:val="22"/>
        </w:rPr>
      </w:pPr>
      <w:hyperlink w:anchor="_Toc94704604" w:history="1">
        <w:r w:rsidR="00C82498" w:rsidRPr="00435830">
          <w:rPr>
            <w:rStyle w:val="Hyperlink"/>
          </w:rPr>
          <w:t>I.</w:t>
        </w:r>
        <w:r w:rsidR="00C82498">
          <w:rPr>
            <w:rFonts w:asciiTheme="minorHAnsi" w:eastAsiaTheme="minorEastAsia" w:hAnsiTheme="minorHAnsi" w:cstheme="minorBidi"/>
            <w:b w:val="0"/>
            <w:bCs w:val="0"/>
            <w:sz w:val="22"/>
            <w:szCs w:val="22"/>
          </w:rPr>
          <w:tab/>
        </w:r>
        <w:r w:rsidR="00C82498" w:rsidRPr="00435830">
          <w:rPr>
            <w:rStyle w:val="Hyperlink"/>
          </w:rPr>
          <w:t>WHERE WE ARE TODAY</w:t>
        </w:r>
        <w:r w:rsidR="00C82498">
          <w:rPr>
            <w:webHidden/>
          </w:rPr>
          <w:tab/>
        </w:r>
        <w:r w:rsidR="00C82498">
          <w:rPr>
            <w:webHidden/>
          </w:rPr>
          <w:fldChar w:fldCharType="begin"/>
        </w:r>
        <w:r w:rsidR="00C82498">
          <w:rPr>
            <w:webHidden/>
          </w:rPr>
          <w:instrText xml:space="preserve"> PAGEREF _Toc94704604 \h </w:instrText>
        </w:r>
        <w:r w:rsidR="00C82498">
          <w:rPr>
            <w:webHidden/>
          </w:rPr>
        </w:r>
        <w:r w:rsidR="00C82498">
          <w:rPr>
            <w:webHidden/>
          </w:rPr>
          <w:fldChar w:fldCharType="separate"/>
        </w:r>
        <w:r w:rsidR="00F4601D">
          <w:rPr>
            <w:webHidden/>
          </w:rPr>
          <w:t>19</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05" w:history="1">
        <w:r w:rsidR="00C82498" w:rsidRPr="00435830">
          <w:rPr>
            <w:rStyle w:val="Hyperlink"/>
            <w:rFonts w:ascii="Times New Roman Bold" w:hAnsi="Times New Roman Bold"/>
          </w:rPr>
          <w:t>A.</w:t>
        </w:r>
        <w:r w:rsidR="00C82498">
          <w:rPr>
            <w:rFonts w:asciiTheme="minorHAnsi" w:eastAsiaTheme="minorEastAsia" w:hAnsiTheme="minorHAnsi" w:cstheme="minorBidi"/>
            <w:b w:val="0"/>
            <w:bCs w:val="0"/>
            <w:sz w:val="22"/>
            <w:szCs w:val="22"/>
          </w:rPr>
          <w:tab/>
        </w:r>
        <w:r w:rsidR="00C82498" w:rsidRPr="00435830">
          <w:rPr>
            <w:rStyle w:val="Hyperlink"/>
          </w:rPr>
          <w:t>New Planning Approaches</w:t>
        </w:r>
        <w:r w:rsidR="00C82498">
          <w:rPr>
            <w:webHidden/>
          </w:rPr>
          <w:tab/>
        </w:r>
        <w:r w:rsidR="00C82498">
          <w:rPr>
            <w:webHidden/>
          </w:rPr>
          <w:fldChar w:fldCharType="begin"/>
        </w:r>
        <w:r w:rsidR="00C82498">
          <w:rPr>
            <w:webHidden/>
          </w:rPr>
          <w:instrText xml:space="preserve"> PAGEREF _Toc94704605 \h </w:instrText>
        </w:r>
        <w:r w:rsidR="00C82498">
          <w:rPr>
            <w:webHidden/>
          </w:rPr>
        </w:r>
        <w:r w:rsidR="00C82498">
          <w:rPr>
            <w:webHidden/>
          </w:rPr>
          <w:fldChar w:fldCharType="separate"/>
        </w:r>
        <w:r w:rsidR="00F4601D">
          <w:rPr>
            <w:webHidden/>
          </w:rPr>
          <w:t>19</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06" w:history="1">
        <w:r w:rsidR="00C82498" w:rsidRPr="00435830">
          <w:rPr>
            <w:rStyle w:val="Hyperlink"/>
            <w:rFonts w:ascii="Times New Roman Bold" w:hAnsi="Times New Roman Bold"/>
          </w:rPr>
          <w:t>B.</w:t>
        </w:r>
        <w:r w:rsidR="00C82498">
          <w:rPr>
            <w:rFonts w:asciiTheme="minorHAnsi" w:eastAsiaTheme="minorEastAsia" w:hAnsiTheme="minorHAnsi" w:cstheme="minorBidi"/>
            <w:b w:val="0"/>
            <w:bCs w:val="0"/>
            <w:sz w:val="22"/>
            <w:szCs w:val="22"/>
          </w:rPr>
          <w:tab/>
        </w:r>
        <w:r w:rsidR="00C82498" w:rsidRPr="00435830">
          <w:rPr>
            <w:rStyle w:val="Hyperlink"/>
          </w:rPr>
          <w:t>Portability Planning</w:t>
        </w:r>
        <w:r w:rsidR="00C82498">
          <w:rPr>
            <w:webHidden/>
          </w:rPr>
          <w:tab/>
        </w:r>
        <w:r w:rsidR="00C82498">
          <w:rPr>
            <w:webHidden/>
          </w:rPr>
          <w:fldChar w:fldCharType="begin"/>
        </w:r>
        <w:r w:rsidR="00C82498">
          <w:rPr>
            <w:webHidden/>
          </w:rPr>
          <w:instrText xml:space="preserve"> PAGEREF _Toc94704606 \h </w:instrText>
        </w:r>
        <w:r w:rsidR="00C82498">
          <w:rPr>
            <w:webHidden/>
          </w:rPr>
        </w:r>
        <w:r w:rsidR="00C82498">
          <w:rPr>
            <w:webHidden/>
          </w:rPr>
          <w:fldChar w:fldCharType="separate"/>
        </w:r>
        <w:r w:rsidR="00F4601D">
          <w:rPr>
            <w:webHidden/>
          </w:rPr>
          <w:t>20</w:t>
        </w:r>
        <w:r w:rsidR="00C82498">
          <w:rPr>
            <w:webHidden/>
          </w:rPr>
          <w:fldChar w:fldCharType="end"/>
        </w:r>
      </w:hyperlink>
    </w:p>
    <w:p w:rsidR="00C82498" w:rsidRDefault="00EA23AC">
      <w:pPr>
        <w:pStyle w:val="TOC1"/>
        <w:rPr>
          <w:rFonts w:asciiTheme="minorHAnsi" w:eastAsiaTheme="minorEastAsia" w:hAnsiTheme="minorHAnsi" w:cstheme="minorBidi"/>
          <w:b w:val="0"/>
          <w:bCs w:val="0"/>
          <w:sz w:val="22"/>
          <w:szCs w:val="22"/>
        </w:rPr>
      </w:pPr>
      <w:hyperlink w:anchor="_Toc94704607" w:history="1">
        <w:r w:rsidR="00C82498" w:rsidRPr="00435830">
          <w:rPr>
            <w:rStyle w:val="Hyperlink"/>
          </w:rPr>
          <w:t>II.</w:t>
        </w:r>
        <w:r w:rsidR="00C82498">
          <w:rPr>
            <w:rFonts w:asciiTheme="minorHAnsi" w:eastAsiaTheme="minorEastAsia" w:hAnsiTheme="minorHAnsi" w:cstheme="minorBidi"/>
            <w:b w:val="0"/>
            <w:bCs w:val="0"/>
            <w:sz w:val="22"/>
            <w:szCs w:val="22"/>
          </w:rPr>
          <w:tab/>
        </w:r>
        <w:r w:rsidR="00C82498" w:rsidRPr="00435830">
          <w:rPr>
            <w:rStyle w:val="Hyperlink"/>
          </w:rPr>
          <w:t>OBTAINING AND RETAINING BASIS</w:t>
        </w:r>
        <w:r w:rsidR="00C82498">
          <w:rPr>
            <w:webHidden/>
          </w:rPr>
          <w:tab/>
        </w:r>
        <w:r w:rsidR="00C82498">
          <w:rPr>
            <w:webHidden/>
          </w:rPr>
          <w:fldChar w:fldCharType="begin"/>
        </w:r>
        <w:r w:rsidR="00C82498">
          <w:rPr>
            <w:webHidden/>
          </w:rPr>
          <w:instrText xml:space="preserve"> PAGEREF _Toc94704607 \h </w:instrText>
        </w:r>
        <w:r w:rsidR="00C82498">
          <w:rPr>
            <w:webHidden/>
          </w:rPr>
        </w:r>
        <w:r w:rsidR="00C82498">
          <w:rPr>
            <w:webHidden/>
          </w:rPr>
          <w:fldChar w:fldCharType="separate"/>
        </w:r>
        <w:r w:rsidR="00F4601D">
          <w:rPr>
            <w:webHidden/>
          </w:rPr>
          <w:t>22</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08" w:history="1">
        <w:r w:rsidR="00C82498" w:rsidRPr="00435830">
          <w:rPr>
            <w:rStyle w:val="Hyperlink"/>
            <w:rFonts w:ascii="Times New Roman Bold" w:hAnsi="Times New Roman Bold"/>
          </w:rPr>
          <w:t>A.</w:t>
        </w:r>
        <w:r w:rsidR="00C82498">
          <w:rPr>
            <w:rFonts w:asciiTheme="minorHAnsi" w:eastAsiaTheme="minorEastAsia" w:hAnsiTheme="minorHAnsi" w:cstheme="minorBidi"/>
            <w:b w:val="0"/>
            <w:bCs w:val="0"/>
            <w:sz w:val="22"/>
            <w:szCs w:val="22"/>
          </w:rPr>
          <w:tab/>
        </w:r>
        <w:r w:rsidR="00C82498" w:rsidRPr="00435830">
          <w:rPr>
            <w:rStyle w:val="Hyperlink"/>
          </w:rPr>
          <w:t>Generally</w:t>
        </w:r>
        <w:r w:rsidR="00C82498">
          <w:rPr>
            <w:webHidden/>
          </w:rPr>
          <w:tab/>
        </w:r>
        <w:r w:rsidR="00C82498">
          <w:rPr>
            <w:webHidden/>
          </w:rPr>
          <w:fldChar w:fldCharType="begin"/>
        </w:r>
        <w:r w:rsidR="00C82498">
          <w:rPr>
            <w:webHidden/>
          </w:rPr>
          <w:instrText xml:space="preserve"> PAGEREF _Toc94704608 \h </w:instrText>
        </w:r>
        <w:r w:rsidR="00C82498">
          <w:rPr>
            <w:webHidden/>
          </w:rPr>
        </w:r>
        <w:r w:rsidR="00C82498">
          <w:rPr>
            <w:webHidden/>
          </w:rPr>
          <w:fldChar w:fldCharType="separate"/>
        </w:r>
        <w:r w:rsidR="00F4601D">
          <w:rPr>
            <w:webHidden/>
          </w:rPr>
          <w:t>22</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09" w:history="1">
        <w:r w:rsidR="00C82498" w:rsidRPr="00435830">
          <w:rPr>
            <w:rStyle w:val="Hyperlink"/>
            <w:rFonts w:ascii="Times New Roman Bold" w:hAnsi="Times New Roman Bold"/>
          </w:rPr>
          <w:t>B.</w:t>
        </w:r>
        <w:r w:rsidR="00C82498">
          <w:rPr>
            <w:rFonts w:asciiTheme="minorHAnsi" w:eastAsiaTheme="minorEastAsia" w:hAnsiTheme="minorHAnsi" w:cstheme="minorBidi"/>
            <w:b w:val="0"/>
            <w:bCs w:val="0"/>
            <w:sz w:val="22"/>
            <w:szCs w:val="22"/>
          </w:rPr>
          <w:tab/>
        </w:r>
        <w:r w:rsidR="00C82498" w:rsidRPr="00435830">
          <w:rPr>
            <w:rStyle w:val="Hyperlink"/>
          </w:rPr>
          <w:t>Swapping Assets with Existing Grantor Trusts</w:t>
        </w:r>
        <w:r w:rsidR="00C82498">
          <w:rPr>
            <w:webHidden/>
          </w:rPr>
          <w:tab/>
        </w:r>
        <w:r w:rsidR="00C82498">
          <w:rPr>
            <w:webHidden/>
          </w:rPr>
          <w:fldChar w:fldCharType="begin"/>
        </w:r>
        <w:r w:rsidR="00C82498">
          <w:rPr>
            <w:webHidden/>
          </w:rPr>
          <w:instrText xml:space="preserve"> PAGEREF _Toc94704609 \h </w:instrText>
        </w:r>
        <w:r w:rsidR="00C82498">
          <w:rPr>
            <w:webHidden/>
          </w:rPr>
        </w:r>
        <w:r w:rsidR="00C82498">
          <w:rPr>
            <w:webHidden/>
          </w:rPr>
          <w:fldChar w:fldCharType="separate"/>
        </w:r>
        <w:r w:rsidR="00F4601D">
          <w:rPr>
            <w:webHidden/>
          </w:rPr>
          <w:t>22</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10" w:history="1">
        <w:r w:rsidR="00C82498" w:rsidRPr="00435830">
          <w:rPr>
            <w:rStyle w:val="Hyperlink"/>
            <w:rFonts w:ascii="Times New Roman Bold" w:hAnsi="Times New Roman Bold"/>
          </w:rPr>
          <w:t>C.</w:t>
        </w:r>
        <w:r w:rsidR="00C82498">
          <w:rPr>
            <w:rFonts w:asciiTheme="minorHAnsi" w:eastAsiaTheme="minorEastAsia" w:hAnsiTheme="minorHAnsi" w:cstheme="minorBidi"/>
            <w:b w:val="0"/>
            <w:bCs w:val="0"/>
            <w:sz w:val="22"/>
            <w:szCs w:val="22"/>
          </w:rPr>
          <w:tab/>
        </w:r>
        <w:r w:rsidR="00C82498" w:rsidRPr="00435830">
          <w:rPr>
            <w:rStyle w:val="Hyperlink"/>
          </w:rPr>
          <w:t>Should Valuation Discounts Be Undone?</w:t>
        </w:r>
        <w:r w:rsidR="00C82498">
          <w:rPr>
            <w:webHidden/>
          </w:rPr>
          <w:tab/>
        </w:r>
        <w:r w:rsidR="00C82498">
          <w:rPr>
            <w:webHidden/>
          </w:rPr>
          <w:fldChar w:fldCharType="begin"/>
        </w:r>
        <w:r w:rsidR="00C82498">
          <w:rPr>
            <w:webHidden/>
          </w:rPr>
          <w:instrText xml:space="preserve"> PAGEREF _Toc94704610 \h </w:instrText>
        </w:r>
        <w:r w:rsidR="00C82498">
          <w:rPr>
            <w:webHidden/>
          </w:rPr>
        </w:r>
        <w:r w:rsidR="00C82498">
          <w:rPr>
            <w:webHidden/>
          </w:rPr>
          <w:fldChar w:fldCharType="separate"/>
        </w:r>
        <w:r w:rsidR="00F4601D">
          <w:rPr>
            <w:webHidden/>
          </w:rPr>
          <w:t>23</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11" w:history="1">
        <w:r w:rsidR="00C82498" w:rsidRPr="00435830">
          <w:rPr>
            <w:rStyle w:val="Hyperlink"/>
            <w:rFonts w:ascii="Times New Roman Bold" w:hAnsi="Times New Roman Bold"/>
          </w:rPr>
          <w:t>D.</w:t>
        </w:r>
        <w:r w:rsidR="00C82498">
          <w:rPr>
            <w:rFonts w:asciiTheme="minorHAnsi" w:eastAsiaTheme="minorEastAsia" w:hAnsiTheme="minorHAnsi" w:cstheme="minorBidi"/>
            <w:b w:val="0"/>
            <w:bCs w:val="0"/>
            <w:sz w:val="22"/>
            <w:szCs w:val="22"/>
          </w:rPr>
          <w:tab/>
        </w:r>
        <w:r w:rsidR="00C82498" w:rsidRPr="00435830">
          <w:rPr>
            <w:rStyle w:val="Hyperlink"/>
          </w:rPr>
          <w:t>Powers of Appointment For Basis Purposes</w:t>
        </w:r>
        <w:r w:rsidR="00C82498">
          <w:rPr>
            <w:webHidden/>
          </w:rPr>
          <w:tab/>
        </w:r>
        <w:r w:rsidR="00C82498">
          <w:rPr>
            <w:webHidden/>
          </w:rPr>
          <w:fldChar w:fldCharType="begin"/>
        </w:r>
        <w:r w:rsidR="00C82498">
          <w:rPr>
            <w:webHidden/>
          </w:rPr>
          <w:instrText xml:space="preserve"> PAGEREF _Toc94704611 \h </w:instrText>
        </w:r>
        <w:r w:rsidR="00C82498">
          <w:rPr>
            <w:webHidden/>
          </w:rPr>
        </w:r>
        <w:r w:rsidR="00C82498">
          <w:rPr>
            <w:webHidden/>
          </w:rPr>
          <w:fldChar w:fldCharType="separate"/>
        </w:r>
        <w:r w:rsidR="00F4601D">
          <w:rPr>
            <w:webHidden/>
          </w:rPr>
          <w:t>24</w:t>
        </w:r>
        <w:r w:rsidR="00C82498">
          <w:rPr>
            <w:webHidden/>
          </w:rPr>
          <w:fldChar w:fldCharType="end"/>
        </w:r>
      </w:hyperlink>
    </w:p>
    <w:p w:rsidR="00C82498" w:rsidRDefault="00EA23AC">
      <w:pPr>
        <w:pStyle w:val="TOC1"/>
        <w:rPr>
          <w:rFonts w:asciiTheme="minorHAnsi" w:eastAsiaTheme="minorEastAsia" w:hAnsiTheme="minorHAnsi" w:cstheme="minorBidi"/>
          <w:b w:val="0"/>
          <w:bCs w:val="0"/>
          <w:sz w:val="22"/>
          <w:szCs w:val="22"/>
        </w:rPr>
      </w:pPr>
      <w:hyperlink w:anchor="_Toc94704612" w:history="1">
        <w:r w:rsidR="00C82498" w:rsidRPr="00435830">
          <w:rPr>
            <w:rStyle w:val="Hyperlink"/>
          </w:rPr>
          <w:t>PART 4 – FEDERAL RULINGS, CASES AND OTHER DEVELOPMENTS</w:t>
        </w:r>
        <w:r w:rsidR="00C82498">
          <w:rPr>
            <w:webHidden/>
          </w:rPr>
          <w:tab/>
        </w:r>
        <w:r w:rsidR="00C82498">
          <w:rPr>
            <w:webHidden/>
          </w:rPr>
          <w:fldChar w:fldCharType="begin"/>
        </w:r>
        <w:r w:rsidR="00C82498">
          <w:rPr>
            <w:webHidden/>
          </w:rPr>
          <w:instrText xml:space="preserve"> PAGEREF _Toc94704612 \h </w:instrText>
        </w:r>
        <w:r w:rsidR="00C82498">
          <w:rPr>
            <w:webHidden/>
          </w:rPr>
        </w:r>
        <w:r w:rsidR="00C82498">
          <w:rPr>
            <w:webHidden/>
          </w:rPr>
          <w:fldChar w:fldCharType="separate"/>
        </w:r>
        <w:r w:rsidR="00F4601D">
          <w:rPr>
            <w:webHidden/>
          </w:rPr>
          <w:t>29</w:t>
        </w:r>
        <w:r w:rsidR="00C82498">
          <w:rPr>
            <w:webHidden/>
          </w:rPr>
          <w:fldChar w:fldCharType="end"/>
        </w:r>
      </w:hyperlink>
    </w:p>
    <w:p w:rsidR="00C82498" w:rsidRDefault="00EA23AC">
      <w:pPr>
        <w:pStyle w:val="TOC1"/>
        <w:rPr>
          <w:rFonts w:asciiTheme="minorHAnsi" w:eastAsiaTheme="minorEastAsia" w:hAnsiTheme="minorHAnsi" w:cstheme="minorBidi"/>
          <w:b w:val="0"/>
          <w:bCs w:val="0"/>
          <w:sz w:val="22"/>
          <w:szCs w:val="22"/>
        </w:rPr>
      </w:pPr>
      <w:hyperlink w:anchor="_Toc94704613" w:history="1">
        <w:r w:rsidR="00C82498" w:rsidRPr="00435830">
          <w:rPr>
            <w:rStyle w:val="Hyperlink"/>
          </w:rPr>
          <w:t>A.</w:t>
        </w:r>
        <w:r w:rsidR="00C82498">
          <w:rPr>
            <w:rFonts w:asciiTheme="minorHAnsi" w:eastAsiaTheme="minorEastAsia" w:hAnsiTheme="minorHAnsi" w:cstheme="minorBidi"/>
            <w:b w:val="0"/>
            <w:bCs w:val="0"/>
            <w:sz w:val="22"/>
            <w:szCs w:val="22"/>
          </w:rPr>
          <w:tab/>
        </w:r>
        <w:r w:rsidR="00C82498" w:rsidRPr="00435830">
          <w:rPr>
            <w:rStyle w:val="Hyperlink"/>
          </w:rPr>
          <w:t>INCOME TAX MATTERS</w:t>
        </w:r>
        <w:r w:rsidR="00C82498">
          <w:rPr>
            <w:webHidden/>
          </w:rPr>
          <w:tab/>
        </w:r>
        <w:r w:rsidR="00C82498">
          <w:rPr>
            <w:webHidden/>
          </w:rPr>
          <w:fldChar w:fldCharType="begin"/>
        </w:r>
        <w:r w:rsidR="00C82498">
          <w:rPr>
            <w:webHidden/>
          </w:rPr>
          <w:instrText xml:space="preserve"> PAGEREF _Toc94704613 \h </w:instrText>
        </w:r>
        <w:r w:rsidR="00C82498">
          <w:rPr>
            <w:webHidden/>
          </w:rPr>
        </w:r>
        <w:r w:rsidR="00C82498">
          <w:rPr>
            <w:webHidden/>
          </w:rPr>
          <w:fldChar w:fldCharType="separate"/>
        </w:r>
        <w:r w:rsidR="00F4601D">
          <w:rPr>
            <w:webHidden/>
          </w:rPr>
          <w:t>29</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14" w:history="1">
        <w:r w:rsidR="00C82498" w:rsidRPr="00435830">
          <w:rPr>
            <w:rStyle w:val="Hyperlink"/>
            <w:rFonts w:ascii="Times New Roman Bold" w:hAnsi="Times New Roman Bold"/>
            <w:specVanish/>
          </w:rPr>
          <w:t>1.</w:t>
        </w:r>
        <w:r w:rsidR="00C82498">
          <w:rPr>
            <w:rFonts w:asciiTheme="minorHAnsi" w:eastAsiaTheme="minorEastAsia" w:hAnsiTheme="minorHAnsi" w:cstheme="minorBidi"/>
            <w:b w:val="0"/>
            <w:bCs w:val="0"/>
            <w:sz w:val="22"/>
            <w:szCs w:val="22"/>
          </w:rPr>
          <w:tab/>
        </w:r>
        <w:r w:rsidR="00C82498" w:rsidRPr="00435830">
          <w:rPr>
            <w:rStyle w:val="Hyperlink"/>
          </w:rPr>
          <w:t>Consistent Basis Reporting</w:t>
        </w:r>
        <w:r w:rsidR="00C82498">
          <w:rPr>
            <w:webHidden/>
          </w:rPr>
          <w:tab/>
        </w:r>
        <w:r w:rsidR="00C82498">
          <w:rPr>
            <w:webHidden/>
          </w:rPr>
          <w:fldChar w:fldCharType="begin"/>
        </w:r>
        <w:r w:rsidR="00C82498">
          <w:rPr>
            <w:webHidden/>
          </w:rPr>
          <w:instrText xml:space="preserve"> PAGEREF _Toc94704614 \h </w:instrText>
        </w:r>
        <w:r w:rsidR="00C82498">
          <w:rPr>
            <w:webHidden/>
          </w:rPr>
        </w:r>
        <w:r w:rsidR="00C82498">
          <w:rPr>
            <w:webHidden/>
          </w:rPr>
          <w:fldChar w:fldCharType="separate"/>
        </w:r>
        <w:r w:rsidR="00F4601D">
          <w:rPr>
            <w:webHidden/>
          </w:rPr>
          <w:t>29</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15" w:history="1">
        <w:r w:rsidR="00C82498" w:rsidRPr="00435830">
          <w:rPr>
            <w:rStyle w:val="Hyperlink"/>
            <w:rFonts w:ascii="Times New Roman Bold" w:hAnsi="Times New Roman Bold"/>
            <w:specVanish/>
          </w:rPr>
          <w:t>2.</w:t>
        </w:r>
        <w:r w:rsidR="00C82498">
          <w:rPr>
            <w:rFonts w:asciiTheme="minorHAnsi" w:eastAsiaTheme="minorEastAsia" w:hAnsiTheme="minorHAnsi" w:cstheme="minorBidi"/>
            <w:b w:val="0"/>
            <w:bCs w:val="0"/>
            <w:sz w:val="22"/>
            <w:szCs w:val="22"/>
          </w:rPr>
          <w:tab/>
        </w:r>
        <w:r w:rsidR="00C82498" w:rsidRPr="00435830">
          <w:rPr>
            <w:rStyle w:val="Hyperlink"/>
          </w:rPr>
          <w:t>Termination of Trust Results In Capital Gains</w:t>
        </w:r>
        <w:r w:rsidR="00C82498">
          <w:rPr>
            <w:webHidden/>
          </w:rPr>
          <w:tab/>
        </w:r>
        <w:r w:rsidR="00C82498">
          <w:rPr>
            <w:webHidden/>
          </w:rPr>
          <w:fldChar w:fldCharType="begin"/>
        </w:r>
        <w:r w:rsidR="00C82498">
          <w:rPr>
            <w:webHidden/>
          </w:rPr>
          <w:instrText xml:space="preserve"> PAGEREF _Toc94704615 \h </w:instrText>
        </w:r>
        <w:r w:rsidR="00C82498">
          <w:rPr>
            <w:webHidden/>
          </w:rPr>
        </w:r>
        <w:r w:rsidR="00C82498">
          <w:rPr>
            <w:webHidden/>
          </w:rPr>
          <w:fldChar w:fldCharType="separate"/>
        </w:r>
        <w:r w:rsidR="00F4601D">
          <w:rPr>
            <w:webHidden/>
          </w:rPr>
          <w:t>37</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16" w:history="1">
        <w:r w:rsidR="00C82498" w:rsidRPr="00435830">
          <w:rPr>
            <w:rStyle w:val="Hyperlink"/>
            <w:rFonts w:ascii="Times New Roman Bold" w:hAnsi="Times New Roman Bold"/>
            <w:lang w:eastAsia="en-GB"/>
            <w:specVanish/>
          </w:rPr>
          <w:t>3.</w:t>
        </w:r>
        <w:r w:rsidR="00C82498">
          <w:rPr>
            <w:rFonts w:asciiTheme="minorHAnsi" w:eastAsiaTheme="minorEastAsia" w:hAnsiTheme="minorHAnsi" w:cstheme="minorBidi"/>
            <w:b w:val="0"/>
            <w:bCs w:val="0"/>
            <w:sz w:val="22"/>
            <w:szCs w:val="22"/>
          </w:rPr>
          <w:tab/>
        </w:r>
        <w:r w:rsidR="00C82498" w:rsidRPr="00435830">
          <w:rPr>
            <w:rStyle w:val="Hyperlink"/>
            <w:lang w:eastAsia="en-GB"/>
          </w:rPr>
          <w:t>Trust As Agent In Purchase Of Annuity</w:t>
        </w:r>
        <w:r w:rsidR="00C82498">
          <w:rPr>
            <w:webHidden/>
          </w:rPr>
          <w:tab/>
        </w:r>
        <w:r w:rsidR="00C82498">
          <w:rPr>
            <w:webHidden/>
          </w:rPr>
          <w:fldChar w:fldCharType="begin"/>
        </w:r>
        <w:r w:rsidR="00C82498">
          <w:rPr>
            <w:webHidden/>
          </w:rPr>
          <w:instrText xml:space="preserve"> PAGEREF _Toc94704616 \h </w:instrText>
        </w:r>
        <w:r w:rsidR="00C82498">
          <w:rPr>
            <w:webHidden/>
          </w:rPr>
        </w:r>
        <w:r w:rsidR="00C82498">
          <w:rPr>
            <w:webHidden/>
          </w:rPr>
          <w:fldChar w:fldCharType="separate"/>
        </w:r>
        <w:r w:rsidR="00F4601D">
          <w:rPr>
            <w:webHidden/>
          </w:rPr>
          <w:t>39</w:t>
        </w:r>
        <w:r w:rsidR="00C82498">
          <w:rPr>
            <w:webHidden/>
          </w:rPr>
          <w:fldChar w:fldCharType="end"/>
        </w:r>
      </w:hyperlink>
    </w:p>
    <w:p w:rsidR="00C82498" w:rsidRDefault="00EA23AC">
      <w:pPr>
        <w:pStyle w:val="TOC1"/>
        <w:rPr>
          <w:rFonts w:asciiTheme="minorHAnsi" w:eastAsiaTheme="minorEastAsia" w:hAnsiTheme="minorHAnsi" w:cstheme="minorBidi"/>
          <w:b w:val="0"/>
          <w:bCs w:val="0"/>
          <w:sz w:val="22"/>
          <w:szCs w:val="22"/>
        </w:rPr>
      </w:pPr>
      <w:hyperlink w:anchor="_Toc94704617" w:history="1">
        <w:r w:rsidR="00C82498" w:rsidRPr="00435830">
          <w:rPr>
            <w:rStyle w:val="Hyperlink"/>
          </w:rPr>
          <w:t>B.</w:t>
        </w:r>
        <w:r w:rsidR="00C82498">
          <w:rPr>
            <w:rFonts w:asciiTheme="minorHAnsi" w:eastAsiaTheme="minorEastAsia" w:hAnsiTheme="minorHAnsi" w:cstheme="minorBidi"/>
            <w:b w:val="0"/>
            <w:bCs w:val="0"/>
            <w:sz w:val="22"/>
            <w:szCs w:val="22"/>
          </w:rPr>
          <w:tab/>
        </w:r>
        <w:r w:rsidR="00C82498" w:rsidRPr="00435830">
          <w:rPr>
            <w:rStyle w:val="Hyperlink"/>
          </w:rPr>
          <w:t>CHARITABLE AND TAX-EXEMPT MATTERS - Sections 170, 642, 664, 501, 509, 2055, 2522, and 4940-4947</w:t>
        </w:r>
        <w:r w:rsidR="00C82498">
          <w:rPr>
            <w:webHidden/>
          </w:rPr>
          <w:tab/>
        </w:r>
        <w:r w:rsidR="00C82498">
          <w:rPr>
            <w:webHidden/>
          </w:rPr>
          <w:fldChar w:fldCharType="begin"/>
        </w:r>
        <w:r w:rsidR="00C82498">
          <w:rPr>
            <w:webHidden/>
          </w:rPr>
          <w:instrText xml:space="preserve"> PAGEREF _Toc94704617 \h </w:instrText>
        </w:r>
        <w:r w:rsidR="00C82498">
          <w:rPr>
            <w:webHidden/>
          </w:rPr>
        </w:r>
        <w:r w:rsidR="00C82498">
          <w:rPr>
            <w:webHidden/>
          </w:rPr>
          <w:fldChar w:fldCharType="separate"/>
        </w:r>
        <w:r w:rsidR="00F4601D">
          <w:rPr>
            <w:webHidden/>
          </w:rPr>
          <w:t>40</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18" w:history="1">
        <w:r w:rsidR="00C82498" w:rsidRPr="00435830">
          <w:rPr>
            <w:rStyle w:val="Hyperlink"/>
            <w:rFonts w:ascii="Times New Roman Bold" w:hAnsi="Times New Roman Bold"/>
            <w:specVanish/>
          </w:rPr>
          <w:t>1.</w:t>
        </w:r>
        <w:r w:rsidR="00C82498">
          <w:rPr>
            <w:rFonts w:asciiTheme="minorHAnsi" w:eastAsiaTheme="minorEastAsia" w:hAnsiTheme="minorHAnsi" w:cstheme="minorBidi"/>
            <w:b w:val="0"/>
            <w:bCs w:val="0"/>
            <w:sz w:val="22"/>
            <w:szCs w:val="22"/>
          </w:rPr>
          <w:tab/>
        </w:r>
        <w:r w:rsidR="00C82498" w:rsidRPr="00435830">
          <w:rPr>
            <w:rStyle w:val="Hyperlink"/>
          </w:rPr>
          <w:t>Charitable Distributions From Trusts</w:t>
        </w:r>
        <w:r w:rsidR="00C82498">
          <w:rPr>
            <w:webHidden/>
          </w:rPr>
          <w:tab/>
        </w:r>
        <w:r w:rsidR="00C82498">
          <w:rPr>
            <w:webHidden/>
          </w:rPr>
          <w:fldChar w:fldCharType="begin"/>
        </w:r>
        <w:r w:rsidR="00C82498">
          <w:rPr>
            <w:webHidden/>
          </w:rPr>
          <w:instrText xml:space="preserve"> PAGEREF _Toc94704618 \h </w:instrText>
        </w:r>
        <w:r w:rsidR="00C82498">
          <w:rPr>
            <w:webHidden/>
          </w:rPr>
        </w:r>
        <w:r w:rsidR="00C82498">
          <w:rPr>
            <w:webHidden/>
          </w:rPr>
          <w:fldChar w:fldCharType="separate"/>
        </w:r>
        <w:r w:rsidR="00F4601D">
          <w:rPr>
            <w:webHidden/>
          </w:rPr>
          <w:t>40</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19" w:history="1">
        <w:r w:rsidR="00C82498" w:rsidRPr="00435830">
          <w:rPr>
            <w:rStyle w:val="Hyperlink"/>
            <w:rFonts w:ascii="Times New Roman Bold" w:hAnsi="Times New Roman Bold"/>
            <w:specVanish/>
          </w:rPr>
          <w:t>2.</w:t>
        </w:r>
        <w:r w:rsidR="00C82498">
          <w:rPr>
            <w:rFonts w:asciiTheme="minorHAnsi" w:eastAsiaTheme="minorEastAsia" w:hAnsiTheme="minorHAnsi" w:cstheme="minorBidi"/>
            <w:b w:val="0"/>
            <w:bCs w:val="0"/>
            <w:sz w:val="22"/>
            <w:szCs w:val="22"/>
          </w:rPr>
          <w:tab/>
        </w:r>
        <w:r w:rsidR="00C82498" w:rsidRPr="00435830">
          <w:rPr>
            <w:rStyle w:val="Hyperlink"/>
          </w:rPr>
          <w:t>Use of Section 501(c)(4) Organizations to Facilitate Business Interest Ownership</w:t>
        </w:r>
        <w:r w:rsidR="00C82498">
          <w:rPr>
            <w:webHidden/>
          </w:rPr>
          <w:tab/>
        </w:r>
        <w:r w:rsidR="00C82498">
          <w:rPr>
            <w:webHidden/>
          </w:rPr>
          <w:fldChar w:fldCharType="begin"/>
        </w:r>
        <w:r w:rsidR="00C82498">
          <w:rPr>
            <w:webHidden/>
          </w:rPr>
          <w:instrText xml:space="preserve"> PAGEREF _Toc94704619 \h </w:instrText>
        </w:r>
        <w:r w:rsidR="00C82498">
          <w:rPr>
            <w:webHidden/>
          </w:rPr>
        </w:r>
        <w:r w:rsidR="00C82498">
          <w:rPr>
            <w:webHidden/>
          </w:rPr>
          <w:fldChar w:fldCharType="separate"/>
        </w:r>
        <w:r w:rsidR="00F4601D">
          <w:rPr>
            <w:webHidden/>
          </w:rPr>
          <w:t>44</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20" w:history="1">
        <w:r w:rsidR="00C82498" w:rsidRPr="00435830">
          <w:rPr>
            <w:rStyle w:val="Hyperlink"/>
            <w:rFonts w:ascii="Times New Roman Bold" w:hAnsi="Times New Roman Bold"/>
            <w:specVanish/>
          </w:rPr>
          <w:t>3.</w:t>
        </w:r>
        <w:r w:rsidR="00C82498">
          <w:rPr>
            <w:rFonts w:asciiTheme="minorHAnsi" w:eastAsiaTheme="minorEastAsia" w:hAnsiTheme="minorHAnsi" w:cstheme="minorBidi"/>
            <w:b w:val="0"/>
            <w:bCs w:val="0"/>
            <w:sz w:val="22"/>
            <w:szCs w:val="22"/>
          </w:rPr>
          <w:tab/>
        </w:r>
        <w:r w:rsidR="00C82498" w:rsidRPr="00435830">
          <w:rPr>
            <w:rStyle w:val="Hyperlink"/>
          </w:rPr>
          <w:t>Estate Income Tax Deduction</w:t>
        </w:r>
        <w:r w:rsidR="00C82498">
          <w:rPr>
            <w:webHidden/>
          </w:rPr>
          <w:tab/>
        </w:r>
        <w:r w:rsidR="00C82498">
          <w:rPr>
            <w:webHidden/>
          </w:rPr>
          <w:fldChar w:fldCharType="begin"/>
        </w:r>
        <w:r w:rsidR="00C82498">
          <w:rPr>
            <w:webHidden/>
          </w:rPr>
          <w:instrText xml:space="preserve"> PAGEREF _Toc94704620 \h </w:instrText>
        </w:r>
        <w:r w:rsidR="00C82498">
          <w:rPr>
            <w:webHidden/>
          </w:rPr>
        </w:r>
        <w:r w:rsidR="00C82498">
          <w:rPr>
            <w:webHidden/>
          </w:rPr>
          <w:fldChar w:fldCharType="separate"/>
        </w:r>
        <w:r w:rsidR="00F4601D">
          <w:rPr>
            <w:webHidden/>
          </w:rPr>
          <w:t>45</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21" w:history="1">
        <w:r w:rsidR="00C82498" w:rsidRPr="00435830">
          <w:rPr>
            <w:rStyle w:val="Hyperlink"/>
            <w:rFonts w:ascii="Times New Roman Bold" w:hAnsi="Times New Roman Bold"/>
            <w:specVanish/>
          </w:rPr>
          <w:t>4.</w:t>
        </w:r>
        <w:r w:rsidR="00C82498">
          <w:rPr>
            <w:rFonts w:asciiTheme="minorHAnsi" w:eastAsiaTheme="minorEastAsia" w:hAnsiTheme="minorHAnsi" w:cstheme="minorBidi"/>
            <w:b w:val="0"/>
            <w:bCs w:val="0"/>
            <w:sz w:val="22"/>
            <w:szCs w:val="22"/>
          </w:rPr>
          <w:tab/>
        </w:r>
        <w:r w:rsidR="00C82498" w:rsidRPr="00435830">
          <w:rPr>
            <w:rStyle w:val="Hyperlink"/>
          </w:rPr>
          <w:t>Conservation Easement Controversy</w:t>
        </w:r>
        <w:r w:rsidR="00C82498">
          <w:rPr>
            <w:webHidden/>
          </w:rPr>
          <w:tab/>
        </w:r>
        <w:r w:rsidR="00C82498">
          <w:rPr>
            <w:webHidden/>
          </w:rPr>
          <w:fldChar w:fldCharType="begin"/>
        </w:r>
        <w:r w:rsidR="00C82498">
          <w:rPr>
            <w:webHidden/>
          </w:rPr>
          <w:instrText xml:space="preserve"> PAGEREF _Toc94704621 \h </w:instrText>
        </w:r>
        <w:r w:rsidR="00C82498">
          <w:rPr>
            <w:webHidden/>
          </w:rPr>
        </w:r>
        <w:r w:rsidR="00C82498">
          <w:rPr>
            <w:webHidden/>
          </w:rPr>
          <w:fldChar w:fldCharType="separate"/>
        </w:r>
        <w:r w:rsidR="00F4601D">
          <w:rPr>
            <w:webHidden/>
          </w:rPr>
          <w:t>45</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22" w:history="1">
        <w:r w:rsidR="00C82498" w:rsidRPr="00435830">
          <w:rPr>
            <w:rStyle w:val="Hyperlink"/>
            <w:rFonts w:ascii="Times New Roman Bold" w:hAnsi="Times New Roman Bold"/>
            <w:lang w:eastAsia="en-GB"/>
            <w:specVanish/>
          </w:rPr>
          <w:t>5.</w:t>
        </w:r>
        <w:r w:rsidR="00C82498">
          <w:rPr>
            <w:rFonts w:asciiTheme="minorHAnsi" w:eastAsiaTheme="minorEastAsia" w:hAnsiTheme="minorHAnsi" w:cstheme="minorBidi"/>
            <w:b w:val="0"/>
            <w:bCs w:val="0"/>
            <w:sz w:val="22"/>
            <w:szCs w:val="22"/>
          </w:rPr>
          <w:tab/>
        </w:r>
        <w:r w:rsidR="00C82498" w:rsidRPr="00435830">
          <w:rPr>
            <w:rStyle w:val="Hyperlink"/>
          </w:rPr>
          <w:t>Granted In Perpetuity and Protected In Perpetuity Requirements</w:t>
        </w:r>
        <w:r w:rsidR="00C82498">
          <w:rPr>
            <w:webHidden/>
          </w:rPr>
          <w:tab/>
        </w:r>
        <w:r w:rsidR="00C82498">
          <w:rPr>
            <w:webHidden/>
          </w:rPr>
          <w:fldChar w:fldCharType="begin"/>
        </w:r>
        <w:r w:rsidR="00C82498">
          <w:rPr>
            <w:webHidden/>
          </w:rPr>
          <w:instrText xml:space="preserve"> PAGEREF _Toc94704622 \h </w:instrText>
        </w:r>
        <w:r w:rsidR="00C82498">
          <w:rPr>
            <w:webHidden/>
          </w:rPr>
        </w:r>
        <w:r w:rsidR="00C82498">
          <w:rPr>
            <w:webHidden/>
          </w:rPr>
          <w:fldChar w:fldCharType="separate"/>
        </w:r>
        <w:r w:rsidR="00F4601D">
          <w:rPr>
            <w:webHidden/>
          </w:rPr>
          <w:t>47</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23" w:history="1">
        <w:r w:rsidR="00C82498" w:rsidRPr="00435830">
          <w:rPr>
            <w:rStyle w:val="Hyperlink"/>
            <w:rFonts w:ascii="Times New Roman Bold" w:hAnsi="Times New Roman Bold"/>
            <w:specVanish/>
          </w:rPr>
          <w:t>6.</w:t>
        </w:r>
        <w:r w:rsidR="00C82498">
          <w:rPr>
            <w:rFonts w:asciiTheme="minorHAnsi" w:eastAsiaTheme="minorEastAsia" w:hAnsiTheme="minorHAnsi" w:cstheme="minorBidi"/>
            <w:b w:val="0"/>
            <w:bCs w:val="0"/>
            <w:sz w:val="22"/>
            <w:szCs w:val="22"/>
          </w:rPr>
          <w:tab/>
        </w:r>
        <w:r w:rsidR="00C82498" w:rsidRPr="00435830">
          <w:rPr>
            <w:rStyle w:val="Hyperlink"/>
          </w:rPr>
          <w:t>Judicial Extinguishment</w:t>
        </w:r>
        <w:r w:rsidR="00C82498">
          <w:rPr>
            <w:webHidden/>
          </w:rPr>
          <w:tab/>
        </w:r>
        <w:r w:rsidR="00C82498">
          <w:rPr>
            <w:webHidden/>
          </w:rPr>
          <w:fldChar w:fldCharType="begin"/>
        </w:r>
        <w:r w:rsidR="00C82498">
          <w:rPr>
            <w:webHidden/>
          </w:rPr>
          <w:instrText xml:space="preserve"> PAGEREF _Toc94704623 \h </w:instrText>
        </w:r>
        <w:r w:rsidR="00C82498">
          <w:rPr>
            <w:webHidden/>
          </w:rPr>
        </w:r>
        <w:r w:rsidR="00C82498">
          <w:rPr>
            <w:webHidden/>
          </w:rPr>
          <w:fldChar w:fldCharType="separate"/>
        </w:r>
        <w:r w:rsidR="00F4601D">
          <w:rPr>
            <w:webHidden/>
          </w:rPr>
          <w:t>53</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24" w:history="1">
        <w:r w:rsidR="00C82498" w:rsidRPr="00435830">
          <w:rPr>
            <w:rStyle w:val="Hyperlink"/>
            <w:rFonts w:ascii="Times New Roman Bold" w:hAnsi="Times New Roman Bold"/>
            <w:specVanish/>
          </w:rPr>
          <w:t>7.</w:t>
        </w:r>
        <w:r w:rsidR="00C82498">
          <w:rPr>
            <w:rFonts w:asciiTheme="minorHAnsi" w:eastAsiaTheme="minorEastAsia" w:hAnsiTheme="minorHAnsi" w:cstheme="minorBidi"/>
            <w:b w:val="0"/>
            <w:bCs w:val="0"/>
            <w:sz w:val="22"/>
            <w:szCs w:val="22"/>
          </w:rPr>
          <w:tab/>
        </w:r>
        <w:r w:rsidR="00C82498" w:rsidRPr="00435830">
          <w:rPr>
            <w:rStyle w:val="Hyperlink"/>
          </w:rPr>
          <w:t>Golf Course Does Not Automatically Invalidate Conservation Easement Deduction</w:t>
        </w:r>
        <w:r w:rsidR="00C82498">
          <w:rPr>
            <w:webHidden/>
          </w:rPr>
          <w:tab/>
        </w:r>
        <w:r w:rsidR="00C82498">
          <w:rPr>
            <w:webHidden/>
          </w:rPr>
          <w:fldChar w:fldCharType="begin"/>
        </w:r>
        <w:r w:rsidR="00C82498">
          <w:rPr>
            <w:webHidden/>
          </w:rPr>
          <w:instrText xml:space="preserve"> PAGEREF _Toc94704624 \h </w:instrText>
        </w:r>
        <w:r w:rsidR="00C82498">
          <w:rPr>
            <w:webHidden/>
          </w:rPr>
        </w:r>
        <w:r w:rsidR="00C82498">
          <w:rPr>
            <w:webHidden/>
          </w:rPr>
          <w:fldChar w:fldCharType="separate"/>
        </w:r>
        <w:r w:rsidR="00F4601D">
          <w:rPr>
            <w:webHidden/>
          </w:rPr>
          <w:t>64</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25" w:history="1">
        <w:r w:rsidR="00C82498" w:rsidRPr="00435830">
          <w:rPr>
            <w:rStyle w:val="Hyperlink"/>
            <w:rFonts w:ascii="Times New Roman Bold" w:hAnsi="Times New Roman Bold"/>
            <w:specVanish/>
          </w:rPr>
          <w:t>8.</w:t>
        </w:r>
        <w:r w:rsidR="00C82498">
          <w:rPr>
            <w:rFonts w:asciiTheme="minorHAnsi" w:eastAsiaTheme="minorEastAsia" w:hAnsiTheme="minorHAnsi" w:cstheme="minorBidi"/>
            <w:b w:val="0"/>
            <w:bCs w:val="0"/>
            <w:sz w:val="22"/>
            <w:szCs w:val="22"/>
          </w:rPr>
          <w:tab/>
        </w:r>
        <w:r w:rsidR="00C82498" w:rsidRPr="00435830">
          <w:rPr>
            <w:rStyle w:val="Hyperlink"/>
          </w:rPr>
          <w:t>Perpetuity Requirement in Façade Easement</w:t>
        </w:r>
        <w:r w:rsidR="00C82498">
          <w:rPr>
            <w:webHidden/>
          </w:rPr>
          <w:tab/>
        </w:r>
        <w:r w:rsidR="00C82498">
          <w:rPr>
            <w:webHidden/>
          </w:rPr>
          <w:fldChar w:fldCharType="begin"/>
        </w:r>
        <w:r w:rsidR="00C82498">
          <w:rPr>
            <w:webHidden/>
          </w:rPr>
          <w:instrText xml:space="preserve"> PAGEREF _Toc94704625 \h </w:instrText>
        </w:r>
        <w:r w:rsidR="00C82498">
          <w:rPr>
            <w:webHidden/>
          </w:rPr>
        </w:r>
        <w:r w:rsidR="00C82498">
          <w:rPr>
            <w:webHidden/>
          </w:rPr>
          <w:fldChar w:fldCharType="separate"/>
        </w:r>
        <w:r w:rsidR="00F4601D">
          <w:rPr>
            <w:webHidden/>
          </w:rPr>
          <w:t>67</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26" w:history="1">
        <w:r w:rsidR="00C82498" w:rsidRPr="00435830">
          <w:rPr>
            <w:rStyle w:val="Hyperlink"/>
            <w:rFonts w:ascii="Times New Roman Bold" w:hAnsi="Times New Roman Bold"/>
            <w:specVanish/>
          </w:rPr>
          <w:t>9.</w:t>
        </w:r>
        <w:r w:rsidR="00C82498">
          <w:rPr>
            <w:rFonts w:asciiTheme="minorHAnsi" w:eastAsiaTheme="minorEastAsia" w:hAnsiTheme="minorHAnsi" w:cstheme="minorBidi"/>
            <w:b w:val="0"/>
            <w:bCs w:val="0"/>
            <w:sz w:val="22"/>
            <w:szCs w:val="22"/>
          </w:rPr>
          <w:tab/>
        </w:r>
        <w:r w:rsidR="00C82498" w:rsidRPr="00435830">
          <w:rPr>
            <w:rStyle w:val="Hyperlink"/>
          </w:rPr>
          <w:t>No Self-Dealing Where Marital Trust and Charitable Trust Divided Assets</w:t>
        </w:r>
        <w:r w:rsidR="00C82498">
          <w:rPr>
            <w:webHidden/>
          </w:rPr>
          <w:tab/>
        </w:r>
        <w:r w:rsidR="00C82498">
          <w:rPr>
            <w:webHidden/>
          </w:rPr>
          <w:fldChar w:fldCharType="begin"/>
        </w:r>
        <w:r w:rsidR="00C82498">
          <w:rPr>
            <w:webHidden/>
          </w:rPr>
          <w:instrText xml:space="preserve"> PAGEREF _Toc94704626 \h </w:instrText>
        </w:r>
        <w:r w:rsidR="00C82498">
          <w:rPr>
            <w:webHidden/>
          </w:rPr>
        </w:r>
        <w:r w:rsidR="00C82498">
          <w:rPr>
            <w:webHidden/>
          </w:rPr>
          <w:fldChar w:fldCharType="separate"/>
        </w:r>
        <w:r w:rsidR="00F4601D">
          <w:rPr>
            <w:webHidden/>
          </w:rPr>
          <w:t>69</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27" w:history="1">
        <w:r w:rsidR="00C82498" w:rsidRPr="00435830">
          <w:rPr>
            <w:rStyle w:val="Hyperlink"/>
            <w:rFonts w:ascii="Times New Roman Bold" w:hAnsi="Times New Roman Bold"/>
            <w:specVanish/>
          </w:rPr>
          <w:t>10.</w:t>
        </w:r>
        <w:r w:rsidR="00C82498">
          <w:rPr>
            <w:rFonts w:asciiTheme="minorHAnsi" w:eastAsiaTheme="minorEastAsia" w:hAnsiTheme="minorHAnsi" w:cstheme="minorBidi"/>
            <w:b w:val="0"/>
            <w:bCs w:val="0"/>
            <w:sz w:val="22"/>
            <w:szCs w:val="22"/>
          </w:rPr>
          <w:tab/>
        </w:r>
        <w:r w:rsidR="00C82498" w:rsidRPr="00435830">
          <w:rPr>
            <w:rStyle w:val="Hyperlink"/>
          </w:rPr>
          <w:t>Eyewear Contribution Flunks Appraisal Requirements</w:t>
        </w:r>
        <w:r w:rsidR="00C82498">
          <w:rPr>
            <w:webHidden/>
          </w:rPr>
          <w:tab/>
        </w:r>
        <w:r w:rsidR="00C82498">
          <w:rPr>
            <w:webHidden/>
          </w:rPr>
          <w:fldChar w:fldCharType="begin"/>
        </w:r>
        <w:r w:rsidR="00C82498">
          <w:rPr>
            <w:webHidden/>
          </w:rPr>
          <w:instrText xml:space="preserve"> PAGEREF _Toc94704627 \h </w:instrText>
        </w:r>
        <w:r w:rsidR="00C82498">
          <w:rPr>
            <w:webHidden/>
          </w:rPr>
        </w:r>
        <w:r w:rsidR="00C82498">
          <w:rPr>
            <w:webHidden/>
          </w:rPr>
          <w:fldChar w:fldCharType="separate"/>
        </w:r>
        <w:r w:rsidR="00F4601D">
          <w:rPr>
            <w:webHidden/>
          </w:rPr>
          <w:t>70</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28" w:history="1">
        <w:r w:rsidR="00C82498" w:rsidRPr="00435830">
          <w:rPr>
            <w:rStyle w:val="Hyperlink"/>
            <w:rFonts w:ascii="Times New Roman Bold" w:hAnsi="Times New Roman Bold"/>
            <w:specVanish/>
          </w:rPr>
          <w:t>11.</w:t>
        </w:r>
        <w:r w:rsidR="00C82498">
          <w:rPr>
            <w:rFonts w:asciiTheme="minorHAnsi" w:eastAsiaTheme="minorEastAsia" w:hAnsiTheme="minorHAnsi" w:cstheme="minorBidi"/>
            <w:b w:val="0"/>
            <w:bCs w:val="0"/>
            <w:sz w:val="22"/>
            <w:szCs w:val="22"/>
          </w:rPr>
          <w:tab/>
        </w:r>
        <w:r w:rsidR="00C82498" w:rsidRPr="00435830">
          <w:rPr>
            <w:rStyle w:val="Hyperlink"/>
          </w:rPr>
          <w:t>Donation Disallowed Because Appraisal Summary Omitted Basis Information</w:t>
        </w:r>
        <w:r w:rsidR="00C82498">
          <w:rPr>
            <w:webHidden/>
          </w:rPr>
          <w:tab/>
        </w:r>
        <w:r w:rsidR="00C82498">
          <w:rPr>
            <w:webHidden/>
          </w:rPr>
          <w:fldChar w:fldCharType="begin"/>
        </w:r>
        <w:r w:rsidR="00C82498">
          <w:rPr>
            <w:webHidden/>
          </w:rPr>
          <w:instrText xml:space="preserve"> PAGEREF _Toc94704628 \h </w:instrText>
        </w:r>
        <w:r w:rsidR="00C82498">
          <w:rPr>
            <w:webHidden/>
          </w:rPr>
        </w:r>
        <w:r w:rsidR="00C82498">
          <w:rPr>
            <w:webHidden/>
          </w:rPr>
          <w:fldChar w:fldCharType="separate"/>
        </w:r>
        <w:r w:rsidR="00F4601D">
          <w:rPr>
            <w:webHidden/>
          </w:rPr>
          <w:t>73</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29" w:history="1">
        <w:r w:rsidR="00C82498" w:rsidRPr="00435830">
          <w:rPr>
            <w:rStyle w:val="Hyperlink"/>
            <w:rFonts w:ascii="Times New Roman Bold" w:hAnsi="Times New Roman Bold"/>
            <w:specVanish/>
          </w:rPr>
          <w:t>12.</w:t>
        </w:r>
        <w:r w:rsidR="00C82498">
          <w:rPr>
            <w:rFonts w:asciiTheme="minorHAnsi" w:eastAsiaTheme="minorEastAsia" w:hAnsiTheme="minorHAnsi" w:cstheme="minorBidi"/>
            <w:b w:val="0"/>
            <w:bCs w:val="0"/>
            <w:sz w:val="22"/>
            <w:szCs w:val="22"/>
          </w:rPr>
          <w:tab/>
        </w:r>
        <w:r w:rsidR="00C82498" w:rsidRPr="00435830">
          <w:rPr>
            <w:rStyle w:val="Hyperlink"/>
          </w:rPr>
          <w:t>Judicial Ethics, Oklahoma</w:t>
        </w:r>
        <w:r w:rsidR="00C82498">
          <w:rPr>
            <w:webHidden/>
          </w:rPr>
          <w:tab/>
        </w:r>
        <w:r w:rsidR="00C82498">
          <w:rPr>
            <w:webHidden/>
          </w:rPr>
          <w:fldChar w:fldCharType="begin"/>
        </w:r>
        <w:r w:rsidR="00C82498">
          <w:rPr>
            <w:webHidden/>
          </w:rPr>
          <w:instrText xml:space="preserve"> PAGEREF _Toc94704629 \h </w:instrText>
        </w:r>
        <w:r w:rsidR="00C82498">
          <w:rPr>
            <w:webHidden/>
          </w:rPr>
        </w:r>
        <w:r w:rsidR="00C82498">
          <w:rPr>
            <w:webHidden/>
          </w:rPr>
          <w:fldChar w:fldCharType="separate"/>
        </w:r>
        <w:r w:rsidR="00F4601D">
          <w:rPr>
            <w:webHidden/>
          </w:rPr>
          <w:t>76</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30" w:history="1">
        <w:r w:rsidR="00C82498" w:rsidRPr="00435830">
          <w:rPr>
            <w:rStyle w:val="Hyperlink"/>
            <w:rFonts w:ascii="Times New Roman Bold" w:hAnsi="Times New Roman Bold"/>
            <w:specVanish/>
          </w:rPr>
          <w:t>13.</w:t>
        </w:r>
        <w:r w:rsidR="00C82498">
          <w:rPr>
            <w:rFonts w:asciiTheme="minorHAnsi" w:eastAsiaTheme="minorEastAsia" w:hAnsiTheme="minorHAnsi" w:cstheme="minorBidi"/>
            <w:b w:val="0"/>
            <w:bCs w:val="0"/>
            <w:sz w:val="22"/>
            <w:szCs w:val="22"/>
          </w:rPr>
          <w:tab/>
        </w:r>
        <w:r w:rsidR="00C82498" w:rsidRPr="00435830">
          <w:rPr>
            <w:rStyle w:val="Hyperlink"/>
          </w:rPr>
          <w:t>No Self-Dealing Due To Tax Reimbursement Provision After Spouses’ Deaths</w:t>
        </w:r>
        <w:r w:rsidR="00C82498">
          <w:rPr>
            <w:webHidden/>
          </w:rPr>
          <w:tab/>
        </w:r>
        <w:r w:rsidR="00C82498">
          <w:rPr>
            <w:webHidden/>
          </w:rPr>
          <w:fldChar w:fldCharType="begin"/>
        </w:r>
        <w:r w:rsidR="00C82498">
          <w:rPr>
            <w:webHidden/>
          </w:rPr>
          <w:instrText xml:space="preserve"> PAGEREF _Toc94704630 \h </w:instrText>
        </w:r>
        <w:r w:rsidR="00C82498">
          <w:rPr>
            <w:webHidden/>
          </w:rPr>
        </w:r>
        <w:r w:rsidR="00C82498">
          <w:rPr>
            <w:webHidden/>
          </w:rPr>
          <w:fldChar w:fldCharType="separate"/>
        </w:r>
        <w:r w:rsidR="00F4601D">
          <w:rPr>
            <w:webHidden/>
          </w:rPr>
          <w:t>77</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31" w:history="1">
        <w:r w:rsidR="00C82498" w:rsidRPr="00435830">
          <w:rPr>
            <w:rStyle w:val="Hyperlink"/>
            <w:rFonts w:ascii="Times New Roman Bold" w:hAnsi="Times New Roman Bold"/>
            <w:lang w:val="en"/>
            <w:specVanish/>
          </w:rPr>
          <w:t>14.</w:t>
        </w:r>
        <w:r w:rsidR="00C82498">
          <w:rPr>
            <w:rFonts w:asciiTheme="minorHAnsi" w:eastAsiaTheme="minorEastAsia" w:hAnsiTheme="minorHAnsi" w:cstheme="minorBidi"/>
            <w:b w:val="0"/>
            <w:bCs w:val="0"/>
            <w:sz w:val="22"/>
            <w:szCs w:val="22"/>
          </w:rPr>
          <w:tab/>
        </w:r>
        <w:r w:rsidR="00C82498" w:rsidRPr="00435830">
          <w:rPr>
            <w:rStyle w:val="Hyperlink"/>
          </w:rPr>
          <w:t>Pre-Arranged Sales</w:t>
        </w:r>
        <w:r w:rsidR="00C82498">
          <w:rPr>
            <w:webHidden/>
          </w:rPr>
          <w:tab/>
        </w:r>
        <w:r w:rsidR="00C82498">
          <w:rPr>
            <w:webHidden/>
          </w:rPr>
          <w:fldChar w:fldCharType="begin"/>
        </w:r>
        <w:r w:rsidR="00C82498">
          <w:rPr>
            <w:webHidden/>
          </w:rPr>
          <w:instrText xml:space="preserve"> PAGEREF _Toc94704631 \h </w:instrText>
        </w:r>
        <w:r w:rsidR="00C82498">
          <w:rPr>
            <w:webHidden/>
          </w:rPr>
        </w:r>
        <w:r w:rsidR="00C82498">
          <w:rPr>
            <w:webHidden/>
          </w:rPr>
          <w:fldChar w:fldCharType="separate"/>
        </w:r>
        <w:r w:rsidR="00F4601D">
          <w:rPr>
            <w:webHidden/>
          </w:rPr>
          <w:t>78</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32" w:history="1">
        <w:r w:rsidR="00C82498" w:rsidRPr="00435830">
          <w:rPr>
            <w:rStyle w:val="Hyperlink"/>
            <w:rFonts w:ascii="Times New Roman Bold" w:hAnsi="Times New Roman Bold"/>
            <w:specVanish/>
          </w:rPr>
          <w:t>15.</w:t>
        </w:r>
        <w:r w:rsidR="00C82498">
          <w:rPr>
            <w:rFonts w:asciiTheme="minorHAnsi" w:eastAsiaTheme="minorEastAsia" w:hAnsiTheme="minorHAnsi" w:cstheme="minorBidi"/>
            <w:b w:val="0"/>
            <w:bCs w:val="0"/>
            <w:sz w:val="22"/>
            <w:szCs w:val="22"/>
          </w:rPr>
          <w:tab/>
        </w:r>
        <w:r w:rsidR="00C82498" w:rsidRPr="00435830">
          <w:rPr>
            <w:rStyle w:val="Hyperlink"/>
          </w:rPr>
          <w:t>Another Favorable Note to CLT Via Non-Voting LLC Interests Ruling</w:t>
        </w:r>
        <w:r w:rsidR="00C82498">
          <w:rPr>
            <w:webHidden/>
          </w:rPr>
          <w:tab/>
        </w:r>
        <w:r w:rsidR="00C82498">
          <w:rPr>
            <w:webHidden/>
          </w:rPr>
          <w:fldChar w:fldCharType="begin"/>
        </w:r>
        <w:r w:rsidR="00C82498">
          <w:rPr>
            <w:webHidden/>
          </w:rPr>
          <w:instrText xml:space="preserve"> PAGEREF _Toc94704632 \h </w:instrText>
        </w:r>
        <w:r w:rsidR="00C82498">
          <w:rPr>
            <w:webHidden/>
          </w:rPr>
        </w:r>
        <w:r w:rsidR="00C82498">
          <w:rPr>
            <w:webHidden/>
          </w:rPr>
          <w:fldChar w:fldCharType="separate"/>
        </w:r>
        <w:r w:rsidR="00F4601D">
          <w:rPr>
            <w:webHidden/>
          </w:rPr>
          <w:t>82</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33" w:history="1">
        <w:r w:rsidR="00C82498" w:rsidRPr="00435830">
          <w:rPr>
            <w:rStyle w:val="Hyperlink"/>
            <w:rFonts w:ascii="Times New Roman Bold" w:hAnsi="Times New Roman Bold"/>
            <w:specVanish/>
          </w:rPr>
          <w:t>16.</w:t>
        </w:r>
        <w:r w:rsidR="00C82498">
          <w:rPr>
            <w:rFonts w:asciiTheme="minorHAnsi" w:eastAsiaTheme="minorEastAsia" w:hAnsiTheme="minorHAnsi" w:cstheme="minorBidi"/>
            <w:b w:val="0"/>
            <w:bCs w:val="0"/>
            <w:sz w:val="22"/>
            <w:szCs w:val="22"/>
          </w:rPr>
          <w:tab/>
        </w:r>
        <w:r w:rsidR="00C82498" w:rsidRPr="00435830">
          <w:rPr>
            <w:rStyle w:val="Hyperlink"/>
          </w:rPr>
          <w:t>Termination of a CRAT</w:t>
        </w:r>
        <w:r w:rsidR="00C82498">
          <w:rPr>
            <w:webHidden/>
          </w:rPr>
          <w:tab/>
        </w:r>
        <w:r w:rsidR="00C82498">
          <w:rPr>
            <w:webHidden/>
          </w:rPr>
          <w:fldChar w:fldCharType="begin"/>
        </w:r>
        <w:r w:rsidR="00C82498">
          <w:rPr>
            <w:webHidden/>
          </w:rPr>
          <w:instrText xml:space="preserve"> PAGEREF _Toc94704633 \h </w:instrText>
        </w:r>
        <w:r w:rsidR="00C82498">
          <w:rPr>
            <w:webHidden/>
          </w:rPr>
        </w:r>
        <w:r w:rsidR="00C82498">
          <w:rPr>
            <w:webHidden/>
          </w:rPr>
          <w:fldChar w:fldCharType="separate"/>
        </w:r>
        <w:r w:rsidR="00F4601D">
          <w:rPr>
            <w:webHidden/>
          </w:rPr>
          <w:t>84</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34" w:history="1">
        <w:r w:rsidR="00C82498" w:rsidRPr="00435830">
          <w:rPr>
            <w:rStyle w:val="Hyperlink"/>
            <w:rFonts w:ascii="Times New Roman Bold" w:hAnsi="Times New Roman Bold"/>
            <w:specVanish/>
          </w:rPr>
          <w:t>17.</w:t>
        </w:r>
        <w:r w:rsidR="00C82498">
          <w:rPr>
            <w:rFonts w:asciiTheme="minorHAnsi" w:eastAsiaTheme="minorEastAsia" w:hAnsiTheme="minorHAnsi" w:cstheme="minorBidi"/>
            <w:b w:val="0"/>
            <w:bCs w:val="0"/>
            <w:sz w:val="22"/>
            <w:szCs w:val="22"/>
          </w:rPr>
          <w:tab/>
        </w:r>
        <w:r w:rsidR="00C82498" w:rsidRPr="00435830">
          <w:rPr>
            <w:rStyle w:val="Hyperlink"/>
          </w:rPr>
          <w:t>Disqualified Person for Section 4958 Purposes</w:t>
        </w:r>
        <w:r w:rsidR="00C82498">
          <w:rPr>
            <w:webHidden/>
          </w:rPr>
          <w:tab/>
        </w:r>
        <w:r w:rsidR="00C82498">
          <w:rPr>
            <w:webHidden/>
          </w:rPr>
          <w:fldChar w:fldCharType="begin"/>
        </w:r>
        <w:r w:rsidR="00C82498">
          <w:rPr>
            <w:webHidden/>
          </w:rPr>
          <w:instrText xml:space="preserve"> PAGEREF _Toc94704634 \h </w:instrText>
        </w:r>
        <w:r w:rsidR="00C82498">
          <w:rPr>
            <w:webHidden/>
          </w:rPr>
        </w:r>
        <w:r w:rsidR="00C82498">
          <w:rPr>
            <w:webHidden/>
          </w:rPr>
          <w:fldChar w:fldCharType="separate"/>
        </w:r>
        <w:r w:rsidR="00F4601D">
          <w:rPr>
            <w:webHidden/>
          </w:rPr>
          <w:t>85</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35" w:history="1">
        <w:r w:rsidR="00C82498" w:rsidRPr="00435830">
          <w:rPr>
            <w:rStyle w:val="Hyperlink"/>
            <w:rFonts w:ascii="Times New Roman Bold" w:hAnsi="Times New Roman Bold"/>
            <w:specVanish/>
          </w:rPr>
          <w:t>18.</w:t>
        </w:r>
        <w:r w:rsidR="00C82498">
          <w:rPr>
            <w:rFonts w:asciiTheme="minorHAnsi" w:eastAsiaTheme="minorEastAsia" w:hAnsiTheme="minorHAnsi" w:cstheme="minorBidi"/>
            <w:b w:val="0"/>
            <w:bCs w:val="0"/>
            <w:sz w:val="22"/>
            <w:szCs w:val="22"/>
          </w:rPr>
          <w:tab/>
        </w:r>
        <w:r w:rsidR="00C82498" w:rsidRPr="00435830">
          <w:rPr>
            <w:rStyle w:val="Hyperlink"/>
          </w:rPr>
          <w:t>Donor Challenge to Charity’s Promise</w:t>
        </w:r>
        <w:r w:rsidR="00C82498">
          <w:rPr>
            <w:webHidden/>
          </w:rPr>
          <w:tab/>
        </w:r>
        <w:r w:rsidR="00C82498">
          <w:rPr>
            <w:webHidden/>
          </w:rPr>
          <w:fldChar w:fldCharType="begin"/>
        </w:r>
        <w:r w:rsidR="00C82498">
          <w:rPr>
            <w:webHidden/>
          </w:rPr>
          <w:instrText xml:space="preserve"> PAGEREF _Toc94704635 \h </w:instrText>
        </w:r>
        <w:r w:rsidR="00C82498">
          <w:rPr>
            <w:webHidden/>
          </w:rPr>
        </w:r>
        <w:r w:rsidR="00C82498">
          <w:rPr>
            <w:webHidden/>
          </w:rPr>
          <w:fldChar w:fldCharType="separate"/>
        </w:r>
        <w:r w:rsidR="00F4601D">
          <w:rPr>
            <w:webHidden/>
          </w:rPr>
          <w:t>87</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36" w:history="1">
        <w:r w:rsidR="00C82498" w:rsidRPr="00435830">
          <w:rPr>
            <w:rStyle w:val="Hyperlink"/>
            <w:rFonts w:ascii="Times New Roman Bold" w:hAnsi="Times New Roman Bold"/>
            <w:specVanish/>
          </w:rPr>
          <w:t>19.</w:t>
        </w:r>
        <w:r w:rsidR="00C82498">
          <w:rPr>
            <w:rFonts w:asciiTheme="minorHAnsi" w:eastAsiaTheme="minorEastAsia" w:hAnsiTheme="minorHAnsi" w:cstheme="minorBidi"/>
            <w:b w:val="0"/>
            <w:bCs w:val="0"/>
            <w:sz w:val="22"/>
            <w:szCs w:val="22"/>
          </w:rPr>
          <w:tab/>
        </w:r>
        <w:r w:rsidR="00C82498" w:rsidRPr="00435830">
          <w:rPr>
            <w:rStyle w:val="Hyperlink"/>
          </w:rPr>
          <w:t>No Appraisal, No Deduction, But Yes, A Penalty</w:t>
        </w:r>
        <w:r w:rsidR="00C82498">
          <w:rPr>
            <w:webHidden/>
          </w:rPr>
          <w:tab/>
        </w:r>
        <w:r w:rsidR="00C82498">
          <w:rPr>
            <w:webHidden/>
          </w:rPr>
          <w:fldChar w:fldCharType="begin"/>
        </w:r>
        <w:r w:rsidR="00C82498">
          <w:rPr>
            <w:webHidden/>
          </w:rPr>
          <w:instrText xml:space="preserve"> PAGEREF _Toc94704636 \h </w:instrText>
        </w:r>
        <w:r w:rsidR="00C82498">
          <w:rPr>
            <w:webHidden/>
          </w:rPr>
        </w:r>
        <w:r w:rsidR="00C82498">
          <w:rPr>
            <w:webHidden/>
          </w:rPr>
          <w:fldChar w:fldCharType="separate"/>
        </w:r>
        <w:r w:rsidR="00F4601D">
          <w:rPr>
            <w:webHidden/>
          </w:rPr>
          <w:t>89</w:t>
        </w:r>
        <w:r w:rsidR="00C82498">
          <w:rPr>
            <w:webHidden/>
          </w:rPr>
          <w:fldChar w:fldCharType="end"/>
        </w:r>
      </w:hyperlink>
    </w:p>
    <w:p w:rsidR="00C82498" w:rsidRDefault="00EA23AC">
      <w:pPr>
        <w:pStyle w:val="TOC1"/>
        <w:rPr>
          <w:rFonts w:asciiTheme="minorHAnsi" w:eastAsiaTheme="minorEastAsia" w:hAnsiTheme="minorHAnsi" w:cstheme="minorBidi"/>
          <w:b w:val="0"/>
          <w:bCs w:val="0"/>
          <w:sz w:val="22"/>
          <w:szCs w:val="22"/>
        </w:rPr>
      </w:pPr>
      <w:hyperlink w:anchor="_Toc94704637" w:history="1">
        <w:r w:rsidR="00C82498" w:rsidRPr="00435830">
          <w:rPr>
            <w:rStyle w:val="Hyperlink"/>
            <w:specVanish/>
          </w:rPr>
          <w:t>C.</w:t>
        </w:r>
        <w:r w:rsidR="00C82498">
          <w:rPr>
            <w:rFonts w:asciiTheme="minorHAnsi" w:eastAsiaTheme="minorEastAsia" w:hAnsiTheme="minorHAnsi" w:cstheme="minorBidi"/>
            <w:b w:val="0"/>
            <w:bCs w:val="0"/>
            <w:sz w:val="22"/>
            <w:szCs w:val="22"/>
          </w:rPr>
          <w:tab/>
        </w:r>
        <w:r w:rsidR="00C82498" w:rsidRPr="00435830">
          <w:rPr>
            <w:rStyle w:val="Hyperlink"/>
          </w:rPr>
          <w:t>SECTION 408 — IRAs AND RETIREMENT PLANS</w:t>
        </w:r>
        <w:r w:rsidR="00C82498">
          <w:rPr>
            <w:webHidden/>
          </w:rPr>
          <w:tab/>
        </w:r>
        <w:r w:rsidR="00C82498">
          <w:rPr>
            <w:webHidden/>
          </w:rPr>
          <w:fldChar w:fldCharType="begin"/>
        </w:r>
        <w:r w:rsidR="00C82498">
          <w:rPr>
            <w:webHidden/>
          </w:rPr>
          <w:instrText xml:space="preserve"> PAGEREF _Toc94704637 \h </w:instrText>
        </w:r>
        <w:r w:rsidR="00C82498">
          <w:rPr>
            <w:webHidden/>
          </w:rPr>
        </w:r>
        <w:r w:rsidR="00C82498">
          <w:rPr>
            <w:webHidden/>
          </w:rPr>
          <w:fldChar w:fldCharType="separate"/>
        </w:r>
        <w:r w:rsidR="00F4601D">
          <w:rPr>
            <w:webHidden/>
          </w:rPr>
          <w:t>93</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38" w:history="1">
        <w:r w:rsidR="00C82498" w:rsidRPr="00435830">
          <w:rPr>
            <w:rStyle w:val="Hyperlink"/>
            <w:rFonts w:ascii="Times New Roman Bold" w:hAnsi="Times New Roman Bold"/>
            <w:specVanish/>
          </w:rPr>
          <w:t>1.</w:t>
        </w:r>
        <w:r w:rsidR="00C82498">
          <w:rPr>
            <w:rFonts w:asciiTheme="minorHAnsi" w:eastAsiaTheme="minorEastAsia" w:hAnsiTheme="minorHAnsi" w:cstheme="minorBidi"/>
            <w:b w:val="0"/>
            <w:bCs w:val="0"/>
            <w:sz w:val="22"/>
            <w:szCs w:val="22"/>
          </w:rPr>
          <w:tab/>
        </w:r>
        <w:r w:rsidR="00C82498" w:rsidRPr="00435830">
          <w:rPr>
            <w:rStyle w:val="Hyperlink"/>
          </w:rPr>
          <w:t>SECURE Act Changes</w:t>
        </w:r>
        <w:r w:rsidR="00C82498">
          <w:rPr>
            <w:webHidden/>
          </w:rPr>
          <w:tab/>
        </w:r>
        <w:r w:rsidR="00C82498">
          <w:rPr>
            <w:webHidden/>
          </w:rPr>
          <w:fldChar w:fldCharType="begin"/>
        </w:r>
        <w:r w:rsidR="00C82498">
          <w:rPr>
            <w:webHidden/>
          </w:rPr>
          <w:instrText xml:space="preserve"> PAGEREF _Toc94704638 \h </w:instrText>
        </w:r>
        <w:r w:rsidR="00C82498">
          <w:rPr>
            <w:webHidden/>
          </w:rPr>
        </w:r>
        <w:r w:rsidR="00C82498">
          <w:rPr>
            <w:webHidden/>
          </w:rPr>
          <w:fldChar w:fldCharType="separate"/>
        </w:r>
        <w:r w:rsidR="00F4601D">
          <w:rPr>
            <w:webHidden/>
          </w:rPr>
          <w:t>93</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39" w:history="1">
        <w:r w:rsidR="00C82498" w:rsidRPr="00435830">
          <w:rPr>
            <w:rStyle w:val="Hyperlink"/>
            <w:rFonts w:ascii="Times New Roman Bold" w:hAnsi="Times New Roman Bold"/>
            <w:specVanish/>
          </w:rPr>
          <w:t>2.</w:t>
        </w:r>
        <w:r w:rsidR="00C82498">
          <w:rPr>
            <w:rFonts w:asciiTheme="minorHAnsi" w:eastAsiaTheme="minorEastAsia" w:hAnsiTheme="minorHAnsi" w:cstheme="minorBidi"/>
            <w:b w:val="0"/>
            <w:bCs w:val="0"/>
            <w:sz w:val="22"/>
            <w:szCs w:val="22"/>
          </w:rPr>
          <w:tab/>
        </w:r>
        <w:r w:rsidR="00C82498" w:rsidRPr="00435830">
          <w:rPr>
            <w:rStyle w:val="Hyperlink"/>
            <w:rFonts w:eastAsiaTheme="majorEastAsia"/>
          </w:rPr>
          <w:t>Waiver of 2020 Required Minimum Distributions</w:t>
        </w:r>
        <w:r w:rsidR="00C82498">
          <w:rPr>
            <w:webHidden/>
          </w:rPr>
          <w:tab/>
        </w:r>
        <w:r w:rsidR="00C82498">
          <w:rPr>
            <w:webHidden/>
          </w:rPr>
          <w:fldChar w:fldCharType="begin"/>
        </w:r>
        <w:r w:rsidR="00C82498">
          <w:rPr>
            <w:webHidden/>
          </w:rPr>
          <w:instrText xml:space="preserve"> PAGEREF _Toc94704639 \h </w:instrText>
        </w:r>
        <w:r w:rsidR="00C82498">
          <w:rPr>
            <w:webHidden/>
          </w:rPr>
        </w:r>
        <w:r w:rsidR="00C82498">
          <w:rPr>
            <w:webHidden/>
          </w:rPr>
          <w:fldChar w:fldCharType="separate"/>
        </w:r>
        <w:r w:rsidR="00F4601D">
          <w:rPr>
            <w:webHidden/>
          </w:rPr>
          <w:t>95</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40" w:history="1">
        <w:r w:rsidR="00C82498" w:rsidRPr="00435830">
          <w:rPr>
            <w:rStyle w:val="Hyperlink"/>
            <w:rFonts w:ascii="Times New Roman Bold" w:eastAsiaTheme="majorEastAsia" w:hAnsi="Times New Roman Bold"/>
            <w:specVanish/>
          </w:rPr>
          <w:t>3.</w:t>
        </w:r>
        <w:r w:rsidR="00C82498">
          <w:rPr>
            <w:rFonts w:asciiTheme="minorHAnsi" w:eastAsiaTheme="minorEastAsia" w:hAnsiTheme="minorHAnsi" w:cstheme="minorBidi"/>
            <w:b w:val="0"/>
            <w:bCs w:val="0"/>
            <w:sz w:val="22"/>
            <w:szCs w:val="22"/>
          </w:rPr>
          <w:tab/>
        </w:r>
        <w:r w:rsidR="00C82498" w:rsidRPr="00435830">
          <w:rPr>
            <w:rStyle w:val="Hyperlink"/>
            <w:rFonts w:eastAsiaTheme="majorEastAsia"/>
          </w:rPr>
          <w:t>Transfer to Inherited IRA Denied</w:t>
        </w:r>
        <w:r w:rsidR="00C82498">
          <w:rPr>
            <w:webHidden/>
          </w:rPr>
          <w:tab/>
        </w:r>
        <w:r w:rsidR="00C82498">
          <w:rPr>
            <w:webHidden/>
          </w:rPr>
          <w:fldChar w:fldCharType="begin"/>
        </w:r>
        <w:r w:rsidR="00C82498">
          <w:rPr>
            <w:webHidden/>
          </w:rPr>
          <w:instrText xml:space="preserve"> PAGEREF _Toc94704640 \h </w:instrText>
        </w:r>
        <w:r w:rsidR="00C82498">
          <w:rPr>
            <w:webHidden/>
          </w:rPr>
        </w:r>
        <w:r w:rsidR="00C82498">
          <w:rPr>
            <w:webHidden/>
          </w:rPr>
          <w:fldChar w:fldCharType="separate"/>
        </w:r>
        <w:r w:rsidR="00F4601D">
          <w:rPr>
            <w:webHidden/>
          </w:rPr>
          <w:t>96</w:t>
        </w:r>
        <w:r w:rsidR="00C82498">
          <w:rPr>
            <w:webHidden/>
          </w:rPr>
          <w:fldChar w:fldCharType="end"/>
        </w:r>
      </w:hyperlink>
    </w:p>
    <w:p w:rsidR="00C82498" w:rsidRDefault="00EA23AC">
      <w:pPr>
        <w:pStyle w:val="TOC1"/>
        <w:rPr>
          <w:rFonts w:asciiTheme="minorHAnsi" w:eastAsiaTheme="minorEastAsia" w:hAnsiTheme="minorHAnsi" w:cstheme="minorBidi"/>
          <w:b w:val="0"/>
          <w:bCs w:val="0"/>
          <w:sz w:val="22"/>
          <w:szCs w:val="22"/>
        </w:rPr>
      </w:pPr>
      <w:hyperlink w:anchor="_Toc94704641" w:history="1">
        <w:r w:rsidR="00C82498" w:rsidRPr="00435830">
          <w:rPr>
            <w:rStyle w:val="Hyperlink"/>
          </w:rPr>
          <w:t>D.</w:t>
        </w:r>
        <w:r w:rsidR="00C82498">
          <w:rPr>
            <w:rFonts w:asciiTheme="minorHAnsi" w:eastAsiaTheme="minorEastAsia" w:hAnsiTheme="minorHAnsi" w:cstheme="minorBidi"/>
            <w:b w:val="0"/>
            <w:bCs w:val="0"/>
            <w:sz w:val="22"/>
            <w:szCs w:val="22"/>
          </w:rPr>
          <w:tab/>
        </w:r>
        <w:r w:rsidR="00C82498" w:rsidRPr="00435830">
          <w:rPr>
            <w:rStyle w:val="Hyperlink"/>
          </w:rPr>
          <w:t>SECTIONS 671-678 -- GRANTOR TRUST RULES</w:t>
        </w:r>
        <w:r w:rsidR="00C82498">
          <w:rPr>
            <w:webHidden/>
          </w:rPr>
          <w:tab/>
        </w:r>
        <w:r w:rsidR="00C82498">
          <w:rPr>
            <w:webHidden/>
          </w:rPr>
          <w:fldChar w:fldCharType="begin"/>
        </w:r>
        <w:r w:rsidR="00C82498">
          <w:rPr>
            <w:webHidden/>
          </w:rPr>
          <w:instrText xml:space="preserve"> PAGEREF _Toc94704641 \h </w:instrText>
        </w:r>
        <w:r w:rsidR="00C82498">
          <w:rPr>
            <w:webHidden/>
          </w:rPr>
        </w:r>
        <w:r w:rsidR="00C82498">
          <w:rPr>
            <w:webHidden/>
          </w:rPr>
          <w:fldChar w:fldCharType="separate"/>
        </w:r>
        <w:r w:rsidR="00F4601D">
          <w:rPr>
            <w:webHidden/>
          </w:rPr>
          <w:t>97</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42" w:history="1">
        <w:r w:rsidR="00C82498" w:rsidRPr="00435830">
          <w:rPr>
            <w:rStyle w:val="Hyperlink"/>
            <w:rFonts w:ascii="Times New Roman Bold" w:hAnsi="Times New Roman Bold"/>
            <w:lang w:eastAsia="en-GB"/>
            <w:specVanish/>
          </w:rPr>
          <w:t>1.</w:t>
        </w:r>
        <w:r w:rsidR="00C82498">
          <w:rPr>
            <w:rFonts w:asciiTheme="minorHAnsi" w:eastAsiaTheme="minorEastAsia" w:hAnsiTheme="minorHAnsi" w:cstheme="minorBidi"/>
            <w:b w:val="0"/>
            <w:bCs w:val="0"/>
            <w:sz w:val="22"/>
            <w:szCs w:val="22"/>
          </w:rPr>
          <w:tab/>
        </w:r>
        <w:r w:rsidR="00C82498" w:rsidRPr="00435830">
          <w:rPr>
            <w:rStyle w:val="Hyperlink"/>
            <w:lang w:eastAsia="en-GB"/>
          </w:rPr>
          <w:t>Section 678 and a Presently Exercisable General Power of Appointment As A Planning Device</w:t>
        </w:r>
        <w:r w:rsidR="00C82498">
          <w:rPr>
            <w:webHidden/>
          </w:rPr>
          <w:tab/>
        </w:r>
        <w:r w:rsidR="00C82498">
          <w:rPr>
            <w:webHidden/>
          </w:rPr>
          <w:fldChar w:fldCharType="begin"/>
        </w:r>
        <w:r w:rsidR="00C82498">
          <w:rPr>
            <w:webHidden/>
          </w:rPr>
          <w:instrText xml:space="preserve"> PAGEREF _Toc94704642 \h </w:instrText>
        </w:r>
        <w:r w:rsidR="00C82498">
          <w:rPr>
            <w:webHidden/>
          </w:rPr>
        </w:r>
        <w:r w:rsidR="00C82498">
          <w:rPr>
            <w:webHidden/>
          </w:rPr>
          <w:fldChar w:fldCharType="separate"/>
        </w:r>
        <w:r w:rsidR="00F4601D">
          <w:rPr>
            <w:webHidden/>
          </w:rPr>
          <w:t>97</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43" w:history="1">
        <w:r w:rsidR="00C82498" w:rsidRPr="00435830">
          <w:rPr>
            <w:rStyle w:val="Hyperlink"/>
            <w:rFonts w:ascii="Times New Roman Bold" w:hAnsi="Times New Roman Bold"/>
            <w:specVanish/>
          </w:rPr>
          <w:t>2.</w:t>
        </w:r>
        <w:r w:rsidR="00C82498">
          <w:rPr>
            <w:rFonts w:asciiTheme="minorHAnsi" w:eastAsiaTheme="minorEastAsia" w:hAnsiTheme="minorHAnsi" w:cstheme="minorBidi"/>
            <w:b w:val="0"/>
            <w:bCs w:val="0"/>
            <w:sz w:val="22"/>
            <w:szCs w:val="22"/>
          </w:rPr>
          <w:tab/>
        </w:r>
        <w:r w:rsidR="00C82498" w:rsidRPr="00435830">
          <w:rPr>
            <w:rStyle w:val="Hyperlink"/>
          </w:rPr>
          <w:t>Grantor Trusts and Spouses</w:t>
        </w:r>
        <w:r w:rsidR="00C82498">
          <w:rPr>
            <w:webHidden/>
          </w:rPr>
          <w:tab/>
        </w:r>
        <w:r w:rsidR="00C82498">
          <w:rPr>
            <w:webHidden/>
          </w:rPr>
          <w:fldChar w:fldCharType="begin"/>
        </w:r>
        <w:r w:rsidR="00C82498">
          <w:rPr>
            <w:webHidden/>
          </w:rPr>
          <w:instrText xml:space="preserve"> PAGEREF _Toc94704643 \h </w:instrText>
        </w:r>
        <w:r w:rsidR="00C82498">
          <w:rPr>
            <w:webHidden/>
          </w:rPr>
        </w:r>
        <w:r w:rsidR="00C82498">
          <w:rPr>
            <w:webHidden/>
          </w:rPr>
          <w:fldChar w:fldCharType="separate"/>
        </w:r>
        <w:r w:rsidR="00F4601D">
          <w:rPr>
            <w:webHidden/>
          </w:rPr>
          <w:t>103</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44" w:history="1">
        <w:r w:rsidR="00C82498" w:rsidRPr="00435830">
          <w:rPr>
            <w:rStyle w:val="Hyperlink"/>
            <w:rFonts w:ascii="Times New Roman Bold" w:hAnsi="Times New Roman Bold"/>
            <w:specVanish/>
          </w:rPr>
          <w:t>3.</w:t>
        </w:r>
        <w:r w:rsidR="00C82498">
          <w:rPr>
            <w:rFonts w:asciiTheme="minorHAnsi" w:eastAsiaTheme="minorEastAsia" w:hAnsiTheme="minorHAnsi" w:cstheme="minorBidi"/>
            <w:b w:val="0"/>
            <w:bCs w:val="0"/>
            <w:sz w:val="22"/>
            <w:szCs w:val="22"/>
          </w:rPr>
          <w:tab/>
        </w:r>
        <w:r w:rsidR="00C82498" w:rsidRPr="00435830">
          <w:rPr>
            <w:rStyle w:val="Hyperlink"/>
          </w:rPr>
          <w:t>DING Trusts</w:t>
        </w:r>
        <w:r w:rsidR="00C82498">
          <w:rPr>
            <w:webHidden/>
          </w:rPr>
          <w:tab/>
        </w:r>
        <w:r w:rsidR="00C82498">
          <w:rPr>
            <w:webHidden/>
          </w:rPr>
          <w:fldChar w:fldCharType="begin"/>
        </w:r>
        <w:r w:rsidR="00C82498">
          <w:rPr>
            <w:webHidden/>
          </w:rPr>
          <w:instrText xml:space="preserve"> PAGEREF _Toc94704644 \h </w:instrText>
        </w:r>
        <w:r w:rsidR="00C82498">
          <w:rPr>
            <w:webHidden/>
          </w:rPr>
        </w:r>
        <w:r w:rsidR="00C82498">
          <w:rPr>
            <w:webHidden/>
          </w:rPr>
          <w:fldChar w:fldCharType="separate"/>
        </w:r>
        <w:r w:rsidR="00F4601D">
          <w:rPr>
            <w:webHidden/>
          </w:rPr>
          <w:t>103</w:t>
        </w:r>
        <w:r w:rsidR="00C82498">
          <w:rPr>
            <w:webHidden/>
          </w:rPr>
          <w:fldChar w:fldCharType="end"/>
        </w:r>
      </w:hyperlink>
    </w:p>
    <w:p w:rsidR="00C82498" w:rsidRDefault="00EA23AC">
      <w:pPr>
        <w:pStyle w:val="TOC1"/>
        <w:rPr>
          <w:rFonts w:asciiTheme="minorHAnsi" w:eastAsiaTheme="minorEastAsia" w:hAnsiTheme="minorHAnsi" w:cstheme="minorBidi"/>
          <w:b w:val="0"/>
          <w:bCs w:val="0"/>
          <w:sz w:val="22"/>
          <w:szCs w:val="22"/>
        </w:rPr>
      </w:pPr>
      <w:hyperlink w:anchor="_Toc94704645" w:history="1">
        <w:r w:rsidR="00C82498" w:rsidRPr="00435830">
          <w:rPr>
            <w:rStyle w:val="Hyperlink"/>
            <w:specVanish/>
          </w:rPr>
          <w:t>E.</w:t>
        </w:r>
        <w:r w:rsidR="00C82498">
          <w:rPr>
            <w:rFonts w:asciiTheme="minorHAnsi" w:eastAsiaTheme="minorEastAsia" w:hAnsiTheme="minorHAnsi" w:cstheme="minorBidi"/>
            <w:b w:val="0"/>
            <w:bCs w:val="0"/>
            <w:sz w:val="22"/>
            <w:szCs w:val="22"/>
          </w:rPr>
          <w:tab/>
        </w:r>
        <w:r w:rsidR="00C82498" w:rsidRPr="00435830">
          <w:rPr>
            <w:rStyle w:val="Hyperlink"/>
          </w:rPr>
          <w:t>SECTION 1361 – S CORPORATIONS</w:t>
        </w:r>
        <w:r w:rsidR="00C82498">
          <w:rPr>
            <w:webHidden/>
          </w:rPr>
          <w:tab/>
        </w:r>
        <w:r w:rsidR="00C82498">
          <w:rPr>
            <w:webHidden/>
          </w:rPr>
          <w:fldChar w:fldCharType="begin"/>
        </w:r>
        <w:r w:rsidR="00C82498">
          <w:rPr>
            <w:webHidden/>
          </w:rPr>
          <w:instrText xml:space="preserve"> PAGEREF _Toc94704645 \h </w:instrText>
        </w:r>
        <w:r w:rsidR="00C82498">
          <w:rPr>
            <w:webHidden/>
          </w:rPr>
        </w:r>
        <w:r w:rsidR="00C82498">
          <w:rPr>
            <w:webHidden/>
          </w:rPr>
          <w:fldChar w:fldCharType="separate"/>
        </w:r>
        <w:r w:rsidR="00F4601D">
          <w:rPr>
            <w:webHidden/>
          </w:rPr>
          <w:t>110</w:t>
        </w:r>
        <w:r w:rsidR="00C82498">
          <w:rPr>
            <w:webHidden/>
          </w:rPr>
          <w:fldChar w:fldCharType="end"/>
        </w:r>
      </w:hyperlink>
    </w:p>
    <w:p w:rsidR="00C82498" w:rsidRDefault="00EA23AC">
      <w:pPr>
        <w:pStyle w:val="TOC1"/>
        <w:rPr>
          <w:rFonts w:asciiTheme="minorHAnsi" w:eastAsiaTheme="minorEastAsia" w:hAnsiTheme="minorHAnsi" w:cstheme="minorBidi"/>
          <w:b w:val="0"/>
          <w:bCs w:val="0"/>
          <w:sz w:val="22"/>
          <w:szCs w:val="22"/>
        </w:rPr>
      </w:pPr>
      <w:hyperlink w:anchor="_Toc94704646" w:history="1">
        <w:r w:rsidR="00C82498" w:rsidRPr="00435830">
          <w:rPr>
            <w:rStyle w:val="Hyperlink"/>
          </w:rPr>
          <w:t>F.</w:t>
        </w:r>
        <w:r w:rsidR="00C82498">
          <w:rPr>
            <w:rFonts w:asciiTheme="minorHAnsi" w:eastAsiaTheme="minorEastAsia" w:hAnsiTheme="minorHAnsi" w:cstheme="minorBidi"/>
            <w:b w:val="0"/>
            <w:bCs w:val="0"/>
            <w:sz w:val="22"/>
            <w:szCs w:val="22"/>
          </w:rPr>
          <w:tab/>
        </w:r>
        <w:r w:rsidR="00C82498" w:rsidRPr="00435830">
          <w:rPr>
            <w:rStyle w:val="Hyperlink"/>
          </w:rPr>
          <w:t>SECTIONS 2031 and 2512 – VALUATION</w:t>
        </w:r>
        <w:r w:rsidR="00C82498">
          <w:rPr>
            <w:webHidden/>
          </w:rPr>
          <w:tab/>
        </w:r>
        <w:r w:rsidR="00C82498">
          <w:rPr>
            <w:webHidden/>
          </w:rPr>
          <w:fldChar w:fldCharType="begin"/>
        </w:r>
        <w:r w:rsidR="00C82498">
          <w:rPr>
            <w:webHidden/>
          </w:rPr>
          <w:instrText xml:space="preserve"> PAGEREF _Toc94704646 \h </w:instrText>
        </w:r>
        <w:r w:rsidR="00C82498">
          <w:rPr>
            <w:webHidden/>
          </w:rPr>
        </w:r>
        <w:r w:rsidR="00C82498">
          <w:rPr>
            <w:webHidden/>
          </w:rPr>
          <w:fldChar w:fldCharType="separate"/>
        </w:r>
        <w:r w:rsidR="00F4601D">
          <w:rPr>
            <w:webHidden/>
          </w:rPr>
          <w:t>110</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47" w:history="1">
        <w:r w:rsidR="00C82498" w:rsidRPr="00435830">
          <w:rPr>
            <w:rStyle w:val="Hyperlink"/>
            <w:rFonts w:ascii="Times New Roman Bold" w:hAnsi="Times New Roman Bold"/>
            <w:lang w:eastAsia="en-GB"/>
            <w:specVanish/>
          </w:rPr>
          <w:t>1.</w:t>
        </w:r>
        <w:r w:rsidR="00C82498">
          <w:rPr>
            <w:rFonts w:asciiTheme="minorHAnsi" w:eastAsiaTheme="minorEastAsia" w:hAnsiTheme="minorHAnsi" w:cstheme="minorBidi"/>
            <w:b w:val="0"/>
            <w:bCs w:val="0"/>
            <w:sz w:val="22"/>
            <w:szCs w:val="22"/>
          </w:rPr>
          <w:tab/>
        </w:r>
        <w:r w:rsidR="00C82498" w:rsidRPr="00435830">
          <w:rPr>
            <w:rStyle w:val="Hyperlink"/>
          </w:rPr>
          <w:t>Valuation</w:t>
        </w:r>
        <w:r w:rsidR="00C82498" w:rsidRPr="00435830">
          <w:rPr>
            <w:rStyle w:val="Hyperlink"/>
            <w:lang w:eastAsia="en-GB"/>
          </w:rPr>
          <w:t xml:space="preserve"> of LLCs</w:t>
        </w:r>
        <w:r w:rsidR="00C82498">
          <w:rPr>
            <w:webHidden/>
          </w:rPr>
          <w:tab/>
        </w:r>
        <w:r w:rsidR="00C82498">
          <w:rPr>
            <w:webHidden/>
          </w:rPr>
          <w:fldChar w:fldCharType="begin"/>
        </w:r>
        <w:r w:rsidR="00C82498">
          <w:rPr>
            <w:webHidden/>
          </w:rPr>
          <w:instrText xml:space="preserve"> PAGEREF _Toc94704647 \h </w:instrText>
        </w:r>
        <w:r w:rsidR="00C82498">
          <w:rPr>
            <w:webHidden/>
          </w:rPr>
        </w:r>
        <w:r w:rsidR="00C82498">
          <w:rPr>
            <w:webHidden/>
          </w:rPr>
          <w:fldChar w:fldCharType="separate"/>
        </w:r>
        <w:r w:rsidR="00F4601D">
          <w:rPr>
            <w:webHidden/>
          </w:rPr>
          <w:t>110</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48" w:history="1">
        <w:r w:rsidR="00C82498" w:rsidRPr="00435830">
          <w:rPr>
            <w:rStyle w:val="Hyperlink"/>
            <w:rFonts w:ascii="Times New Roman Bold" w:hAnsi="Times New Roman Bold"/>
            <w:lang w:eastAsia="en-GB"/>
            <w:specVanish/>
          </w:rPr>
          <w:t>2.</w:t>
        </w:r>
        <w:r w:rsidR="00C82498">
          <w:rPr>
            <w:rFonts w:asciiTheme="minorHAnsi" w:eastAsiaTheme="minorEastAsia" w:hAnsiTheme="minorHAnsi" w:cstheme="minorBidi"/>
            <w:b w:val="0"/>
            <w:bCs w:val="0"/>
            <w:sz w:val="22"/>
            <w:szCs w:val="22"/>
          </w:rPr>
          <w:tab/>
        </w:r>
        <w:r w:rsidR="00C82498" w:rsidRPr="00435830">
          <w:rPr>
            <w:rStyle w:val="Hyperlink"/>
            <w:lang w:eastAsia="en-GB"/>
          </w:rPr>
          <w:t>Valuation of LLCs Holding Leased Property For Gift, Estate, and Charitable Purposes</w:t>
        </w:r>
        <w:r w:rsidR="00C82498">
          <w:rPr>
            <w:webHidden/>
          </w:rPr>
          <w:tab/>
        </w:r>
        <w:r w:rsidR="00C82498">
          <w:rPr>
            <w:webHidden/>
          </w:rPr>
          <w:fldChar w:fldCharType="begin"/>
        </w:r>
        <w:r w:rsidR="00C82498">
          <w:rPr>
            <w:webHidden/>
          </w:rPr>
          <w:instrText xml:space="preserve"> PAGEREF _Toc94704648 \h </w:instrText>
        </w:r>
        <w:r w:rsidR="00C82498">
          <w:rPr>
            <w:webHidden/>
          </w:rPr>
        </w:r>
        <w:r w:rsidR="00C82498">
          <w:rPr>
            <w:webHidden/>
          </w:rPr>
          <w:fldChar w:fldCharType="separate"/>
        </w:r>
        <w:r w:rsidR="00F4601D">
          <w:rPr>
            <w:webHidden/>
          </w:rPr>
          <w:t>111</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49" w:history="1">
        <w:r w:rsidR="00C82498" w:rsidRPr="00435830">
          <w:rPr>
            <w:rStyle w:val="Hyperlink"/>
            <w:rFonts w:ascii="Times New Roman Bold" w:hAnsi="Times New Roman Bold"/>
            <w:lang w:eastAsia="en-GB"/>
            <w:specVanish/>
          </w:rPr>
          <w:t>3.</w:t>
        </w:r>
        <w:r w:rsidR="00C82498">
          <w:rPr>
            <w:rFonts w:asciiTheme="minorHAnsi" w:eastAsiaTheme="minorEastAsia" w:hAnsiTheme="minorHAnsi" w:cstheme="minorBidi"/>
            <w:b w:val="0"/>
            <w:bCs w:val="0"/>
            <w:sz w:val="22"/>
            <w:szCs w:val="22"/>
          </w:rPr>
          <w:tab/>
        </w:r>
        <w:r w:rsidR="00C82498" w:rsidRPr="00435830">
          <w:rPr>
            <w:rStyle w:val="Hyperlink"/>
            <w:lang w:eastAsia="en-GB"/>
          </w:rPr>
          <w:t>Valuation of Image and Likeness</w:t>
        </w:r>
        <w:r w:rsidR="00C82498">
          <w:rPr>
            <w:webHidden/>
          </w:rPr>
          <w:tab/>
        </w:r>
        <w:r w:rsidR="00C82498">
          <w:rPr>
            <w:webHidden/>
          </w:rPr>
          <w:fldChar w:fldCharType="begin"/>
        </w:r>
        <w:r w:rsidR="00C82498">
          <w:rPr>
            <w:webHidden/>
          </w:rPr>
          <w:instrText xml:space="preserve"> PAGEREF _Toc94704649 \h </w:instrText>
        </w:r>
        <w:r w:rsidR="00C82498">
          <w:rPr>
            <w:webHidden/>
          </w:rPr>
        </w:r>
        <w:r w:rsidR="00C82498">
          <w:rPr>
            <w:webHidden/>
          </w:rPr>
          <w:fldChar w:fldCharType="separate"/>
        </w:r>
        <w:r w:rsidR="00F4601D">
          <w:rPr>
            <w:webHidden/>
          </w:rPr>
          <w:t>113</w:t>
        </w:r>
        <w:r w:rsidR="00C82498">
          <w:rPr>
            <w:webHidden/>
          </w:rPr>
          <w:fldChar w:fldCharType="end"/>
        </w:r>
      </w:hyperlink>
    </w:p>
    <w:p w:rsidR="00C82498" w:rsidRDefault="00EA23AC">
      <w:pPr>
        <w:pStyle w:val="TOC1"/>
        <w:rPr>
          <w:rFonts w:asciiTheme="minorHAnsi" w:eastAsiaTheme="minorEastAsia" w:hAnsiTheme="minorHAnsi" w:cstheme="minorBidi"/>
          <w:b w:val="0"/>
          <w:bCs w:val="0"/>
          <w:sz w:val="22"/>
          <w:szCs w:val="22"/>
        </w:rPr>
      </w:pPr>
      <w:hyperlink w:anchor="_Toc94704650" w:history="1">
        <w:r w:rsidR="00C82498" w:rsidRPr="00435830">
          <w:rPr>
            <w:rStyle w:val="Hyperlink"/>
          </w:rPr>
          <w:t>G.</w:t>
        </w:r>
        <w:r w:rsidR="00C82498">
          <w:rPr>
            <w:rFonts w:asciiTheme="minorHAnsi" w:eastAsiaTheme="minorEastAsia" w:hAnsiTheme="minorHAnsi" w:cstheme="minorBidi"/>
            <w:b w:val="0"/>
            <w:bCs w:val="0"/>
            <w:sz w:val="22"/>
            <w:szCs w:val="22"/>
          </w:rPr>
          <w:tab/>
        </w:r>
        <w:r w:rsidR="00C82498" w:rsidRPr="00435830">
          <w:rPr>
            <w:rStyle w:val="Hyperlink"/>
          </w:rPr>
          <w:t>SECTION 2032 — ALTERNATE VALUATION AND SECTION 2032A — SPECIAL USE VALUATION</w:t>
        </w:r>
        <w:r w:rsidR="00C82498">
          <w:rPr>
            <w:webHidden/>
          </w:rPr>
          <w:tab/>
        </w:r>
        <w:r w:rsidR="00C82498">
          <w:rPr>
            <w:webHidden/>
          </w:rPr>
          <w:fldChar w:fldCharType="begin"/>
        </w:r>
        <w:r w:rsidR="00C82498">
          <w:rPr>
            <w:webHidden/>
          </w:rPr>
          <w:instrText xml:space="preserve"> PAGEREF _Toc94704650 \h </w:instrText>
        </w:r>
        <w:r w:rsidR="00C82498">
          <w:rPr>
            <w:webHidden/>
          </w:rPr>
        </w:r>
        <w:r w:rsidR="00C82498">
          <w:rPr>
            <w:webHidden/>
          </w:rPr>
          <w:fldChar w:fldCharType="separate"/>
        </w:r>
        <w:r w:rsidR="00F4601D">
          <w:rPr>
            <w:webHidden/>
          </w:rPr>
          <w:t>116</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51" w:history="1">
        <w:r w:rsidR="00C82498" w:rsidRPr="00435830">
          <w:rPr>
            <w:rStyle w:val="Hyperlink"/>
            <w:rFonts w:ascii="Times New Roman Bold" w:hAnsi="Times New Roman Bold"/>
            <w:specVanish/>
          </w:rPr>
          <w:t>1.</w:t>
        </w:r>
        <w:r w:rsidR="00C82498">
          <w:rPr>
            <w:rFonts w:asciiTheme="minorHAnsi" w:eastAsiaTheme="minorEastAsia" w:hAnsiTheme="minorHAnsi" w:cstheme="minorBidi"/>
            <w:b w:val="0"/>
            <w:bCs w:val="0"/>
            <w:sz w:val="22"/>
            <w:szCs w:val="22"/>
          </w:rPr>
          <w:tab/>
        </w:r>
        <w:r w:rsidR="00C82498" w:rsidRPr="00435830">
          <w:rPr>
            <w:rStyle w:val="Hyperlink"/>
          </w:rPr>
          <w:t>New Proposed Alternate Valuation Regulations</w:t>
        </w:r>
        <w:r w:rsidR="00C82498">
          <w:rPr>
            <w:webHidden/>
          </w:rPr>
          <w:tab/>
        </w:r>
        <w:r w:rsidR="00C82498">
          <w:rPr>
            <w:webHidden/>
          </w:rPr>
          <w:fldChar w:fldCharType="begin"/>
        </w:r>
        <w:r w:rsidR="00C82498">
          <w:rPr>
            <w:webHidden/>
          </w:rPr>
          <w:instrText xml:space="preserve"> PAGEREF _Toc94704651 \h </w:instrText>
        </w:r>
        <w:r w:rsidR="00C82498">
          <w:rPr>
            <w:webHidden/>
          </w:rPr>
        </w:r>
        <w:r w:rsidR="00C82498">
          <w:rPr>
            <w:webHidden/>
          </w:rPr>
          <w:fldChar w:fldCharType="separate"/>
        </w:r>
        <w:r w:rsidR="00F4601D">
          <w:rPr>
            <w:webHidden/>
          </w:rPr>
          <w:t>116</w:t>
        </w:r>
        <w:r w:rsidR="00C82498">
          <w:rPr>
            <w:webHidden/>
          </w:rPr>
          <w:fldChar w:fldCharType="end"/>
        </w:r>
      </w:hyperlink>
    </w:p>
    <w:p w:rsidR="00C82498" w:rsidRDefault="00EA23AC">
      <w:pPr>
        <w:pStyle w:val="TOC1"/>
        <w:rPr>
          <w:rFonts w:asciiTheme="minorHAnsi" w:eastAsiaTheme="minorEastAsia" w:hAnsiTheme="minorHAnsi" w:cstheme="minorBidi"/>
          <w:b w:val="0"/>
          <w:bCs w:val="0"/>
          <w:sz w:val="22"/>
          <w:szCs w:val="22"/>
        </w:rPr>
      </w:pPr>
      <w:hyperlink w:anchor="_Toc94704652" w:history="1">
        <w:r w:rsidR="00C82498" w:rsidRPr="00435830">
          <w:rPr>
            <w:rStyle w:val="Hyperlink"/>
          </w:rPr>
          <w:t>H.</w:t>
        </w:r>
        <w:r w:rsidR="00C82498">
          <w:rPr>
            <w:rFonts w:asciiTheme="minorHAnsi" w:eastAsiaTheme="minorEastAsia" w:hAnsiTheme="minorHAnsi" w:cstheme="minorBidi"/>
            <w:b w:val="0"/>
            <w:bCs w:val="0"/>
            <w:sz w:val="22"/>
            <w:szCs w:val="22"/>
          </w:rPr>
          <w:tab/>
        </w:r>
        <w:r w:rsidR="00C82498" w:rsidRPr="00435830">
          <w:rPr>
            <w:rStyle w:val="Hyperlink"/>
          </w:rPr>
          <w:t>SECTION 2033 – GROSS ESTATE</w:t>
        </w:r>
        <w:r w:rsidR="00C82498">
          <w:rPr>
            <w:webHidden/>
          </w:rPr>
          <w:tab/>
        </w:r>
        <w:r w:rsidR="00C82498">
          <w:rPr>
            <w:webHidden/>
          </w:rPr>
          <w:fldChar w:fldCharType="begin"/>
        </w:r>
        <w:r w:rsidR="00C82498">
          <w:rPr>
            <w:webHidden/>
          </w:rPr>
          <w:instrText xml:space="preserve"> PAGEREF _Toc94704652 \h </w:instrText>
        </w:r>
        <w:r w:rsidR="00C82498">
          <w:rPr>
            <w:webHidden/>
          </w:rPr>
        </w:r>
        <w:r w:rsidR="00C82498">
          <w:rPr>
            <w:webHidden/>
          </w:rPr>
          <w:fldChar w:fldCharType="separate"/>
        </w:r>
        <w:r w:rsidR="00F4601D">
          <w:rPr>
            <w:webHidden/>
          </w:rPr>
          <w:t>120</w:t>
        </w:r>
        <w:r w:rsidR="00C82498">
          <w:rPr>
            <w:webHidden/>
          </w:rPr>
          <w:fldChar w:fldCharType="end"/>
        </w:r>
      </w:hyperlink>
    </w:p>
    <w:p w:rsidR="00C82498" w:rsidRDefault="00EA23AC">
      <w:pPr>
        <w:pStyle w:val="TOC1"/>
        <w:rPr>
          <w:rFonts w:asciiTheme="minorHAnsi" w:eastAsiaTheme="minorEastAsia" w:hAnsiTheme="minorHAnsi" w:cstheme="minorBidi"/>
          <w:b w:val="0"/>
          <w:bCs w:val="0"/>
          <w:sz w:val="22"/>
          <w:szCs w:val="22"/>
        </w:rPr>
      </w:pPr>
      <w:hyperlink w:anchor="_Toc94704653" w:history="1">
        <w:r w:rsidR="00C82498" w:rsidRPr="00435830">
          <w:rPr>
            <w:rStyle w:val="Hyperlink"/>
          </w:rPr>
          <w:t>I.</w:t>
        </w:r>
        <w:r w:rsidR="00C82498">
          <w:rPr>
            <w:rFonts w:asciiTheme="minorHAnsi" w:eastAsiaTheme="minorEastAsia" w:hAnsiTheme="minorHAnsi" w:cstheme="minorBidi"/>
            <w:b w:val="0"/>
            <w:bCs w:val="0"/>
            <w:sz w:val="22"/>
            <w:szCs w:val="22"/>
          </w:rPr>
          <w:tab/>
        </w:r>
        <w:r w:rsidR="00C82498" w:rsidRPr="00435830">
          <w:rPr>
            <w:rStyle w:val="Hyperlink"/>
          </w:rPr>
          <w:t>SECTIONS 2035-2038 – RETAINED INTERESTS</w:t>
        </w:r>
        <w:r w:rsidR="00C82498">
          <w:rPr>
            <w:webHidden/>
          </w:rPr>
          <w:tab/>
        </w:r>
        <w:r w:rsidR="00C82498">
          <w:rPr>
            <w:webHidden/>
          </w:rPr>
          <w:fldChar w:fldCharType="begin"/>
        </w:r>
        <w:r w:rsidR="00C82498">
          <w:rPr>
            <w:webHidden/>
          </w:rPr>
          <w:instrText xml:space="preserve"> PAGEREF _Toc94704653 \h </w:instrText>
        </w:r>
        <w:r w:rsidR="00C82498">
          <w:rPr>
            <w:webHidden/>
          </w:rPr>
        </w:r>
        <w:r w:rsidR="00C82498">
          <w:rPr>
            <w:webHidden/>
          </w:rPr>
          <w:fldChar w:fldCharType="separate"/>
        </w:r>
        <w:r w:rsidR="00F4601D">
          <w:rPr>
            <w:webHidden/>
          </w:rPr>
          <w:t>120</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54" w:history="1">
        <w:r w:rsidR="00C82498" w:rsidRPr="00435830">
          <w:rPr>
            <w:rStyle w:val="Hyperlink"/>
            <w:rFonts w:ascii="Times New Roman Bold" w:hAnsi="Times New Roman Bold"/>
            <w:specVanish/>
          </w:rPr>
          <w:t>1.</w:t>
        </w:r>
        <w:r w:rsidR="00C82498">
          <w:rPr>
            <w:rFonts w:asciiTheme="minorHAnsi" w:eastAsiaTheme="minorEastAsia" w:hAnsiTheme="minorHAnsi" w:cstheme="minorBidi"/>
            <w:b w:val="0"/>
            <w:bCs w:val="0"/>
            <w:sz w:val="22"/>
            <w:szCs w:val="22"/>
          </w:rPr>
          <w:tab/>
        </w:r>
        <w:r w:rsidR="00C82498" w:rsidRPr="00435830">
          <w:rPr>
            <w:rStyle w:val="Hyperlink"/>
          </w:rPr>
          <w:t>Tax Court Strikes A Blow Against Discount Planning</w:t>
        </w:r>
        <w:r w:rsidR="00C82498">
          <w:rPr>
            <w:webHidden/>
          </w:rPr>
          <w:tab/>
        </w:r>
        <w:r w:rsidR="00C82498">
          <w:rPr>
            <w:webHidden/>
          </w:rPr>
          <w:fldChar w:fldCharType="begin"/>
        </w:r>
        <w:r w:rsidR="00C82498">
          <w:rPr>
            <w:webHidden/>
          </w:rPr>
          <w:instrText xml:space="preserve"> PAGEREF _Toc94704654 \h </w:instrText>
        </w:r>
        <w:r w:rsidR="00C82498">
          <w:rPr>
            <w:webHidden/>
          </w:rPr>
        </w:r>
        <w:r w:rsidR="00C82498">
          <w:rPr>
            <w:webHidden/>
          </w:rPr>
          <w:fldChar w:fldCharType="separate"/>
        </w:r>
        <w:r w:rsidR="00F4601D">
          <w:rPr>
            <w:webHidden/>
          </w:rPr>
          <w:t>120</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55" w:history="1">
        <w:r w:rsidR="00C82498" w:rsidRPr="00435830">
          <w:rPr>
            <w:rStyle w:val="Hyperlink"/>
            <w:rFonts w:ascii="Times New Roman Bold" w:hAnsi="Times New Roman Bold"/>
            <w:specVanish/>
          </w:rPr>
          <w:t>2.</w:t>
        </w:r>
        <w:r w:rsidR="00C82498">
          <w:rPr>
            <w:rFonts w:asciiTheme="minorHAnsi" w:eastAsiaTheme="minorEastAsia" w:hAnsiTheme="minorHAnsi" w:cstheme="minorBidi"/>
            <w:b w:val="0"/>
            <w:bCs w:val="0"/>
            <w:sz w:val="22"/>
            <w:szCs w:val="22"/>
          </w:rPr>
          <w:tab/>
        </w:r>
        <w:r w:rsidR="00C82498" w:rsidRPr="00435830">
          <w:rPr>
            <w:rStyle w:val="Hyperlink"/>
          </w:rPr>
          <w:t>Application of Section 2043 to Defective FLP Transfer</w:t>
        </w:r>
        <w:r w:rsidR="00C82498">
          <w:rPr>
            <w:webHidden/>
          </w:rPr>
          <w:tab/>
        </w:r>
        <w:r w:rsidR="00C82498">
          <w:rPr>
            <w:webHidden/>
          </w:rPr>
          <w:fldChar w:fldCharType="begin"/>
        </w:r>
        <w:r w:rsidR="00C82498">
          <w:rPr>
            <w:webHidden/>
          </w:rPr>
          <w:instrText xml:space="preserve"> PAGEREF _Toc94704655 \h </w:instrText>
        </w:r>
        <w:r w:rsidR="00C82498">
          <w:rPr>
            <w:webHidden/>
          </w:rPr>
        </w:r>
        <w:r w:rsidR="00C82498">
          <w:rPr>
            <w:webHidden/>
          </w:rPr>
          <w:fldChar w:fldCharType="separate"/>
        </w:r>
        <w:r w:rsidR="00F4601D">
          <w:rPr>
            <w:webHidden/>
          </w:rPr>
          <w:t>125</w:t>
        </w:r>
        <w:r w:rsidR="00C82498">
          <w:rPr>
            <w:webHidden/>
          </w:rPr>
          <w:fldChar w:fldCharType="end"/>
        </w:r>
      </w:hyperlink>
    </w:p>
    <w:p w:rsidR="00C82498" w:rsidRDefault="00EA23AC">
      <w:pPr>
        <w:pStyle w:val="TOC1"/>
        <w:rPr>
          <w:rFonts w:asciiTheme="minorHAnsi" w:eastAsiaTheme="minorEastAsia" w:hAnsiTheme="minorHAnsi" w:cstheme="minorBidi"/>
          <w:b w:val="0"/>
          <w:bCs w:val="0"/>
          <w:sz w:val="22"/>
          <w:szCs w:val="22"/>
        </w:rPr>
      </w:pPr>
      <w:hyperlink w:anchor="_Toc94704656" w:history="1">
        <w:r w:rsidR="00C82498" w:rsidRPr="00435830">
          <w:rPr>
            <w:rStyle w:val="Hyperlink"/>
          </w:rPr>
          <w:t>J.</w:t>
        </w:r>
        <w:r w:rsidR="00C82498">
          <w:rPr>
            <w:rFonts w:asciiTheme="minorHAnsi" w:eastAsiaTheme="minorEastAsia" w:hAnsiTheme="minorHAnsi" w:cstheme="minorBidi"/>
            <w:b w:val="0"/>
            <w:bCs w:val="0"/>
            <w:sz w:val="22"/>
            <w:szCs w:val="22"/>
          </w:rPr>
          <w:tab/>
        </w:r>
        <w:r w:rsidR="00C82498" w:rsidRPr="00435830">
          <w:rPr>
            <w:rStyle w:val="Hyperlink"/>
          </w:rPr>
          <w:t>SECTIONS 2041 AND 2514 — GENERAL POWERS OF APPOINTMENT</w:t>
        </w:r>
        <w:r w:rsidR="00C82498">
          <w:rPr>
            <w:webHidden/>
          </w:rPr>
          <w:tab/>
        </w:r>
        <w:r w:rsidR="00C82498">
          <w:rPr>
            <w:webHidden/>
          </w:rPr>
          <w:fldChar w:fldCharType="begin"/>
        </w:r>
        <w:r w:rsidR="00C82498">
          <w:rPr>
            <w:webHidden/>
          </w:rPr>
          <w:instrText xml:space="preserve"> PAGEREF _Toc94704656 \h </w:instrText>
        </w:r>
        <w:r w:rsidR="00C82498">
          <w:rPr>
            <w:webHidden/>
          </w:rPr>
        </w:r>
        <w:r w:rsidR="00C82498">
          <w:rPr>
            <w:webHidden/>
          </w:rPr>
          <w:fldChar w:fldCharType="separate"/>
        </w:r>
        <w:r w:rsidR="00F4601D">
          <w:rPr>
            <w:webHidden/>
          </w:rPr>
          <w:t>130</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57" w:history="1">
        <w:r w:rsidR="00C82498" w:rsidRPr="00435830">
          <w:rPr>
            <w:rStyle w:val="Hyperlink"/>
            <w:rFonts w:ascii="Times New Roman Bold" w:hAnsi="Times New Roman Bold"/>
            <w:specVanish/>
          </w:rPr>
          <w:t>1.</w:t>
        </w:r>
        <w:r w:rsidR="00C82498">
          <w:rPr>
            <w:rFonts w:asciiTheme="minorHAnsi" w:eastAsiaTheme="minorEastAsia" w:hAnsiTheme="minorHAnsi" w:cstheme="minorBidi"/>
            <w:b w:val="0"/>
            <w:bCs w:val="0"/>
            <w:sz w:val="22"/>
            <w:szCs w:val="22"/>
          </w:rPr>
          <w:tab/>
        </w:r>
        <w:r w:rsidR="00C82498" w:rsidRPr="00435830">
          <w:rPr>
            <w:rStyle w:val="Hyperlink"/>
          </w:rPr>
          <w:t>Effect of Change of State Law on General Power in Trustee</w:t>
        </w:r>
        <w:r w:rsidR="00C82498">
          <w:rPr>
            <w:webHidden/>
          </w:rPr>
          <w:tab/>
        </w:r>
        <w:r w:rsidR="00C82498">
          <w:rPr>
            <w:webHidden/>
          </w:rPr>
          <w:fldChar w:fldCharType="begin"/>
        </w:r>
        <w:r w:rsidR="00C82498">
          <w:rPr>
            <w:webHidden/>
          </w:rPr>
          <w:instrText xml:space="preserve"> PAGEREF _Toc94704657 \h </w:instrText>
        </w:r>
        <w:r w:rsidR="00C82498">
          <w:rPr>
            <w:webHidden/>
          </w:rPr>
        </w:r>
        <w:r w:rsidR="00C82498">
          <w:rPr>
            <w:webHidden/>
          </w:rPr>
          <w:fldChar w:fldCharType="separate"/>
        </w:r>
        <w:r w:rsidR="00F4601D">
          <w:rPr>
            <w:webHidden/>
          </w:rPr>
          <w:t>130</w:t>
        </w:r>
        <w:r w:rsidR="00C82498">
          <w:rPr>
            <w:webHidden/>
          </w:rPr>
          <w:fldChar w:fldCharType="end"/>
        </w:r>
      </w:hyperlink>
    </w:p>
    <w:p w:rsidR="00C82498" w:rsidRDefault="00EA23AC">
      <w:pPr>
        <w:pStyle w:val="TOC1"/>
        <w:rPr>
          <w:rFonts w:asciiTheme="minorHAnsi" w:eastAsiaTheme="minorEastAsia" w:hAnsiTheme="minorHAnsi" w:cstheme="minorBidi"/>
          <w:b w:val="0"/>
          <w:bCs w:val="0"/>
          <w:sz w:val="22"/>
          <w:szCs w:val="22"/>
        </w:rPr>
      </w:pPr>
      <w:hyperlink w:anchor="_Toc94704658" w:history="1">
        <w:r w:rsidR="00C82498" w:rsidRPr="00435830">
          <w:rPr>
            <w:rStyle w:val="Hyperlink"/>
          </w:rPr>
          <w:t>K.</w:t>
        </w:r>
        <w:r w:rsidR="00C82498">
          <w:rPr>
            <w:rFonts w:asciiTheme="minorHAnsi" w:eastAsiaTheme="minorEastAsia" w:hAnsiTheme="minorHAnsi" w:cstheme="minorBidi"/>
            <w:b w:val="0"/>
            <w:bCs w:val="0"/>
            <w:sz w:val="22"/>
            <w:szCs w:val="22"/>
          </w:rPr>
          <w:tab/>
        </w:r>
        <w:r w:rsidR="00C82498" w:rsidRPr="00435830">
          <w:rPr>
            <w:rStyle w:val="Hyperlink"/>
          </w:rPr>
          <w:t>SECTIONS 61, 83, 409A, 2042 AND 7872 - LIFE INSURANCE</w:t>
        </w:r>
        <w:r w:rsidR="00C82498">
          <w:rPr>
            <w:webHidden/>
          </w:rPr>
          <w:tab/>
        </w:r>
        <w:r w:rsidR="00C82498">
          <w:rPr>
            <w:webHidden/>
          </w:rPr>
          <w:fldChar w:fldCharType="begin"/>
        </w:r>
        <w:r w:rsidR="00C82498">
          <w:rPr>
            <w:webHidden/>
          </w:rPr>
          <w:instrText xml:space="preserve"> PAGEREF _Toc94704658 \h </w:instrText>
        </w:r>
        <w:r w:rsidR="00C82498">
          <w:rPr>
            <w:webHidden/>
          </w:rPr>
        </w:r>
        <w:r w:rsidR="00C82498">
          <w:rPr>
            <w:webHidden/>
          </w:rPr>
          <w:fldChar w:fldCharType="separate"/>
        </w:r>
        <w:r w:rsidR="00F4601D">
          <w:rPr>
            <w:webHidden/>
          </w:rPr>
          <w:t>132</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59" w:history="1">
        <w:r w:rsidR="00C82498" w:rsidRPr="00435830">
          <w:rPr>
            <w:rStyle w:val="Hyperlink"/>
            <w:rFonts w:ascii="Times New Roman Bold" w:hAnsi="Times New Roman Bold"/>
            <w:lang w:eastAsia="en-GB"/>
            <w:specVanish/>
          </w:rPr>
          <w:t>1.</w:t>
        </w:r>
        <w:r w:rsidR="00C82498">
          <w:rPr>
            <w:rFonts w:asciiTheme="minorHAnsi" w:eastAsiaTheme="minorEastAsia" w:hAnsiTheme="minorHAnsi" w:cstheme="minorBidi"/>
            <w:b w:val="0"/>
            <w:bCs w:val="0"/>
            <w:sz w:val="22"/>
            <w:szCs w:val="22"/>
          </w:rPr>
          <w:tab/>
        </w:r>
        <w:r w:rsidR="00C82498" w:rsidRPr="00435830">
          <w:rPr>
            <w:rStyle w:val="Hyperlink"/>
          </w:rPr>
          <w:t>Analysis of Split Dollar Plan</w:t>
        </w:r>
        <w:r w:rsidR="00C82498">
          <w:rPr>
            <w:webHidden/>
          </w:rPr>
          <w:tab/>
        </w:r>
        <w:r w:rsidR="00C82498">
          <w:rPr>
            <w:webHidden/>
          </w:rPr>
          <w:fldChar w:fldCharType="begin"/>
        </w:r>
        <w:r w:rsidR="00C82498">
          <w:rPr>
            <w:webHidden/>
          </w:rPr>
          <w:instrText xml:space="preserve"> PAGEREF _Toc94704659 \h </w:instrText>
        </w:r>
        <w:r w:rsidR="00C82498">
          <w:rPr>
            <w:webHidden/>
          </w:rPr>
        </w:r>
        <w:r w:rsidR="00C82498">
          <w:rPr>
            <w:webHidden/>
          </w:rPr>
          <w:fldChar w:fldCharType="separate"/>
        </w:r>
        <w:r w:rsidR="00F4601D">
          <w:rPr>
            <w:webHidden/>
          </w:rPr>
          <w:t>132</w:t>
        </w:r>
        <w:r w:rsidR="00C82498">
          <w:rPr>
            <w:webHidden/>
          </w:rPr>
          <w:fldChar w:fldCharType="end"/>
        </w:r>
      </w:hyperlink>
    </w:p>
    <w:p w:rsidR="00C82498" w:rsidRDefault="00EA23AC">
      <w:pPr>
        <w:pStyle w:val="TOC1"/>
        <w:rPr>
          <w:rFonts w:asciiTheme="minorHAnsi" w:eastAsiaTheme="minorEastAsia" w:hAnsiTheme="minorHAnsi" w:cstheme="minorBidi"/>
          <w:b w:val="0"/>
          <w:bCs w:val="0"/>
          <w:sz w:val="22"/>
          <w:szCs w:val="22"/>
        </w:rPr>
      </w:pPr>
      <w:hyperlink w:anchor="_Toc94704660" w:history="1">
        <w:r w:rsidR="00C82498" w:rsidRPr="00435830">
          <w:rPr>
            <w:rStyle w:val="Hyperlink"/>
          </w:rPr>
          <w:t>L.</w:t>
        </w:r>
        <w:r w:rsidR="00C82498">
          <w:rPr>
            <w:rFonts w:asciiTheme="minorHAnsi" w:eastAsiaTheme="minorEastAsia" w:hAnsiTheme="minorHAnsi" w:cstheme="minorBidi"/>
            <w:b w:val="0"/>
            <w:bCs w:val="0"/>
            <w:sz w:val="22"/>
            <w:szCs w:val="22"/>
          </w:rPr>
          <w:tab/>
        </w:r>
        <w:r w:rsidR="00C82498" w:rsidRPr="00435830">
          <w:rPr>
            <w:rStyle w:val="Hyperlink"/>
          </w:rPr>
          <w:t>SECTION 2053 and 2054 - DEBTS AND ADMINISTRATION EXPENSES</w:t>
        </w:r>
        <w:r w:rsidR="00C82498">
          <w:rPr>
            <w:webHidden/>
          </w:rPr>
          <w:tab/>
        </w:r>
        <w:r w:rsidR="00C82498">
          <w:rPr>
            <w:webHidden/>
          </w:rPr>
          <w:fldChar w:fldCharType="begin"/>
        </w:r>
        <w:r w:rsidR="00C82498">
          <w:rPr>
            <w:webHidden/>
          </w:rPr>
          <w:instrText xml:space="preserve"> PAGEREF _Toc94704660 \h </w:instrText>
        </w:r>
        <w:r w:rsidR="00C82498">
          <w:rPr>
            <w:webHidden/>
          </w:rPr>
        </w:r>
        <w:r w:rsidR="00C82498">
          <w:rPr>
            <w:webHidden/>
          </w:rPr>
          <w:fldChar w:fldCharType="separate"/>
        </w:r>
        <w:r w:rsidR="00F4601D">
          <w:rPr>
            <w:webHidden/>
          </w:rPr>
          <w:t>148</w:t>
        </w:r>
        <w:r w:rsidR="00C82498">
          <w:rPr>
            <w:webHidden/>
          </w:rPr>
          <w:fldChar w:fldCharType="end"/>
        </w:r>
      </w:hyperlink>
    </w:p>
    <w:p w:rsidR="00C82498" w:rsidRDefault="00EA23AC">
      <w:pPr>
        <w:pStyle w:val="TOC1"/>
        <w:rPr>
          <w:rFonts w:asciiTheme="minorHAnsi" w:eastAsiaTheme="minorEastAsia" w:hAnsiTheme="minorHAnsi" w:cstheme="minorBidi"/>
          <w:b w:val="0"/>
          <w:bCs w:val="0"/>
          <w:sz w:val="22"/>
          <w:szCs w:val="22"/>
        </w:rPr>
      </w:pPr>
      <w:hyperlink w:anchor="_Toc94704661" w:history="1">
        <w:r w:rsidR="00C82498" w:rsidRPr="00435830">
          <w:rPr>
            <w:rStyle w:val="Hyperlink"/>
          </w:rPr>
          <w:t>M.</w:t>
        </w:r>
        <w:r w:rsidR="00C82498">
          <w:rPr>
            <w:rFonts w:asciiTheme="minorHAnsi" w:eastAsiaTheme="minorEastAsia" w:hAnsiTheme="minorHAnsi" w:cstheme="minorBidi"/>
            <w:b w:val="0"/>
            <w:bCs w:val="0"/>
            <w:sz w:val="22"/>
            <w:szCs w:val="22"/>
          </w:rPr>
          <w:tab/>
        </w:r>
        <w:r w:rsidR="00C82498" w:rsidRPr="00435830">
          <w:rPr>
            <w:rStyle w:val="Hyperlink"/>
          </w:rPr>
          <w:t>SECTIONS 2056, 2056A AND 2519- MARITAL DEDUCTION</w:t>
        </w:r>
        <w:r w:rsidR="00C82498">
          <w:rPr>
            <w:webHidden/>
          </w:rPr>
          <w:tab/>
        </w:r>
        <w:r w:rsidR="00C82498">
          <w:rPr>
            <w:webHidden/>
          </w:rPr>
          <w:fldChar w:fldCharType="begin"/>
        </w:r>
        <w:r w:rsidR="00C82498">
          <w:rPr>
            <w:webHidden/>
          </w:rPr>
          <w:instrText xml:space="preserve"> PAGEREF _Toc94704661 \h </w:instrText>
        </w:r>
        <w:r w:rsidR="00C82498">
          <w:rPr>
            <w:webHidden/>
          </w:rPr>
        </w:r>
        <w:r w:rsidR="00C82498">
          <w:rPr>
            <w:webHidden/>
          </w:rPr>
          <w:fldChar w:fldCharType="separate"/>
        </w:r>
        <w:r w:rsidR="00F4601D">
          <w:rPr>
            <w:webHidden/>
          </w:rPr>
          <w:t>148</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62" w:history="1">
        <w:r w:rsidR="00C82498" w:rsidRPr="00435830">
          <w:rPr>
            <w:rStyle w:val="Hyperlink"/>
            <w:rFonts w:ascii="Times New Roman Bold" w:hAnsi="Times New Roman Bold"/>
            <w:specVanish/>
          </w:rPr>
          <w:t>1.</w:t>
        </w:r>
        <w:r w:rsidR="00C82498">
          <w:rPr>
            <w:rFonts w:asciiTheme="minorHAnsi" w:eastAsiaTheme="minorEastAsia" w:hAnsiTheme="minorHAnsi" w:cstheme="minorBidi"/>
            <w:b w:val="0"/>
            <w:bCs w:val="0"/>
            <w:sz w:val="22"/>
            <w:szCs w:val="22"/>
          </w:rPr>
          <w:tab/>
        </w:r>
        <w:r w:rsidR="00C82498" w:rsidRPr="00435830">
          <w:rPr>
            <w:rStyle w:val="Hyperlink"/>
          </w:rPr>
          <w:t>Termination of QTIP Trust Creates Double Gifts</w:t>
        </w:r>
        <w:r w:rsidR="00C82498">
          <w:rPr>
            <w:webHidden/>
          </w:rPr>
          <w:tab/>
        </w:r>
        <w:r w:rsidR="00C82498">
          <w:rPr>
            <w:webHidden/>
          </w:rPr>
          <w:fldChar w:fldCharType="begin"/>
        </w:r>
        <w:r w:rsidR="00C82498">
          <w:rPr>
            <w:webHidden/>
          </w:rPr>
          <w:instrText xml:space="preserve"> PAGEREF _Toc94704662 \h </w:instrText>
        </w:r>
        <w:r w:rsidR="00C82498">
          <w:rPr>
            <w:webHidden/>
          </w:rPr>
        </w:r>
        <w:r w:rsidR="00C82498">
          <w:rPr>
            <w:webHidden/>
          </w:rPr>
          <w:fldChar w:fldCharType="separate"/>
        </w:r>
        <w:r w:rsidR="00F4601D">
          <w:rPr>
            <w:webHidden/>
          </w:rPr>
          <w:t>148</w:t>
        </w:r>
        <w:r w:rsidR="00C82498">
          <w:rPr>
            <w:webHidden/>
          </w:rPr>
          <w:fldChar w:fldCharType="end"/>
        </w:r>
      </w:hyperlink>
    </w:p>
    <w:p w:rsidR="00C82498" w:rsidRDefault="00EA23AC">
      <w:pPr>
        <w:pStyle w:val="TOC1"/>
        <w:rPr>
          <w:rFonts w:asciiTheme="minorHAnsi" w:eastAsiaTheme="minorEastAsia" w:hAnsiTheme="minorHAnsi" w:cstheme="minorBidi"/>
          <w:b w:val="0"/>
          <w:bCs w:val="0"/>
          <w:sz w:val="22"/>
          <w:szCs w:val="22"/>
        </w:rPr>
      </w:pPr>
      <w:hyperlink w:anchor="_Toc94704663" w:history="1">
        <w:r w:rsidR="00C82498" w:rsidRPr="00435830">
          <w:rPr>
            <w:rStyle w:val="Hyperlink"/>
          </w:rPr>
          <w:t>N.</w:t>
        </w:r>
        <w:r w:rsidR="00C82498">
          <w:rPr>
            <w:rFonts w:asciiTheme="minorHAnsi" w:eastAsiaTheme="minorEastAsia" w:hAnsiTheme="minorHAnsi" w:cstheme="minorBidi"/>
            <w:b w:val="0"/>
            <w:bCs w:val="0"/>
            <w:sz w:val="22"/>
            <w:szCs w:val="22"/>
          </w:rPr>
          <w:tab/>
        </w:r>
        <w:r w:rsidR="00C82498" w:rsidRPr="00435830">
          <w:rPr>
            <w:rStyle w:val="Hyperlink"/>
          </w:rPr>
          <w:t>SECTIONS 2501 TO 2524 – GIFTS</w:t>
        </w:r>
        <w:r w:rsidR="00C82498">
          <w:rPr>
            <w:webHidden/>
          </w:rPr>
          <w:tab/>
        </w:r>
        <w:r w:rsidR="00C82498">
          <w:rPr>
            <w:webHidden/>
          </w:rPr>
          <w:fldChar w:fldCharType="begin"/>
        </w:r>
        <w:r w:rsidR="00C82498">
          <w:rPr>
            <w:webHidden/>
          </w:rPr>
          <w:instrText xml:space="preserve"> PAGEREF _Toc94704663 \h </w:instrText>
        </w:r>
        <w:r w:rsidR="00C82498">
          <w:rPr>
            <w:webHidden/>
          </w:rPr>
        </w:r>
        <w:r w:rsidR="00C82498">
          <w:rPr>
            <w:webHidden/>
          </w:rPr>
          <w:fldChar w:fldCharType="separate"/>
        </w:r>
        <w:r w:rsidR="00F4601D">
          <w:rPr>
            <w:webHidden/>
          </w:rPr>
          <w:t>156</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64" w:history="1">
        <w:r w:rsidR="00C82498" w:rsidRPr="00435830">
          <w:rPr>
            <w:rStyle w:val="Hyperlink"/>
            <w:rFonts w:ascii="Times New Roman Bold" w:hAnsi="Times New Roman Bold"/>
            <w:specVanish/>
          </w:rPr>
          <w:t>1.</w:t>
        </w:r>
        <w:r w:rsidR="00C82498">
          <w:rPr>
            <w:rFonts w:asciiTheme="minorHAnsi" w:eastAsiaTheme="minorEastAsia" w:hAnsiTheme="minorHAnsi" w:cstheme="minorBidi"/>
            <w:b w:val="0"/>
            <w:bCs w:val="0"/>
            <w:sz w:val="22"/>
            <w:szCs w:val="22"/>
          </w:rPr>
          <w:tab/>
        </w:r>
        <w:r w:rsidR="00C82498" w:rsidRPr="00435830">
          <w:rPr>
            <w:rStyle w:val="Hyperlink"/>
          </w:rPr>
          <w:t>Unusual Assignment Clause Produced A Gift</w:t>
        </w:r>
        <w:r w:rsidR="00C82498">
          <w:rPr>
            <w:webHidden/>
          </w:rPr>
          <w:tab/>
        </w:r>
        <w:r w:rsidR="00C82498">
          <w:rPr>
            <w:webHidden/>
          </w:rPr>
          <w:fldChar w:fldCharType="begin"/>
        </w:r>
        <w:r w:rsidR="00C82498">
          <w:rPr>
            <w:webHidden/>
          </w:rPr>
          <w:instrText xml:space="preserve"> PAGEREF _Toc94704664 \h </w:instrText>
        </w:r>
        <w:r w:rsidR="00C82498">
          <w:rPr>
            <w:webHidden/>
          </w:rPr>
        </w:r>
        <w:r w:rsidR="00C82498">
          <w:rPr>
            <w:webHidden/>
          </w:rPr>
          <w:fldChar w:fldCharType="separate"/>
        </w:r>
        <w:r w:rsidR="00F4601D">
          <w:rPr>
            <w:webHidden/>
          </w:rPr>
          <w:t>156</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65" w:history="1">
        <w:r w:rsidR="00C82498" w:rsidRPr="00435830">
          <w:rPr>
            <w:rStyle w:val="Hyperlink"/>
            <w:rFonts w:ascii="Times New Roman Bold" w:hAnsi="Times New Roman Bold"/>
            <w:specVanish/>
          </w:rPr>
          <w:t>2.</w:t>
        </w:r>
        <w:r w:rsidR="00C82498">
          <w:rPr>
            <w:rFonts w:asciiTheme="minorHAnsi" w:eastAsiaTheme="minorEastAsia" w:hAnsiTheme="minorHAnsi" w:cstheme="minorBidi"/>
            <w:b w:val="0"/>
            <w:bCs w:val="0"/>
            <w:sz w:val="22"/>
            <w:szCs w:val="22"/>
          </w:rPr>
          <w:tab/>
        </w:r>
        <w:r w:rsidR="00C82498" w:rsidRPr="00435830">
          <w:rPr>
            <w:rStyle w:val="Hyperlink"/>
          </w:rPr>
          <w:t>Gifts vs. Loans vs. Loans Incapable of Repayment</w:t>
        </w:r>
        <w:r w:rsidR="00C82498">
          <w:rPr>
            <w:webHidden/>
          </w:rPr>
          <w:tab/>
        </w:r>
        <w:r w:rsidR="00C82498">
          <w:rPr>
            <w:webHidden/>
          </w:rPr>
          <w:fldChar w:fldCharType="begin"/>
        </w:r>
        <w:r w:rsidR="00C82498">
          <w:rPr>
            <w:webHidden/>
          </w:rPr>
          <w:instrText xml:space="preserve"> PAGEREF _Toc94704665 \h </w:instrText>
        </w:r>
        <w:r w:rsidR="00C82498">
          <w:rPr>
            <w:webHidden/>
          </w:rPr>
        </w:r>
        <w:r w:rsidR="00C82498">
          <w:rPr>
            <w:webHidden/>
          </w:rPr>
          <w:fldChar w:fldCharType="separate"/>
        </w:r>
        <w:r w:rsidR="00F4601D">
          <w:rPr>
            <w:webHidden/>
          </w:rPr>
          <w:t>159</w:t>
        </w:r>
        <w:r w:rsidR="00C82498">
          <w:rPr>
            <w:webHidden/>
          </w:rPr>
          <w:fldChar w:fldCharType="end"/>
        </w:r>
      </w:hyperlink>
    </w:p>
    <w:p w:rsidR="00C82498" w:rsidRDefault="00EA23AC">
      <w:pPr>
        <w:pStyle w:val="TOC1"/>
        <w:rPr>
          <w:rFonts w:asciiTheme="minorHAnsi" w:eastAsiaTheme="minorEastAsia" w:hAnsiTheme="minorHAnsi" w:cstheme="minorBidi"/>
          <w:b w:val="0"/>
          <w:bCs w:val="0"/>
          <w:sz w:val="22"/>
          <w:szCs w:val="22"/>
        </w:rPr>
      </w:pPr>
      <w:hyperlink w:anchor="_Toc94704666" w:history="1">
        <w:r w:rsidR="00C82498" w:rsidRPr="00435830">
          <w:rPr>
            <w:rStyle w:val="Hyperlink"/>
          </w:rPr>
          <w:t>O.</w:t>
        </w:r>
        <w:r w:rsidR="00C82498">
          <w:rPr>
            <w:rFonts w:asciiTheme="minorHAnsi" w:eastAsiaTheme="minorEastAsia" w:hAnsiTheme="minorHAnsi" w:cstheme="minorBidi"/>
            <w:b w:val="0"/>
            <w:bCs w:val="0"/>
            <w:sz w:val="22"/>
            <w:szCs w:val="22"/>
          </w:rPr>
          <w:tab/>
        </w:r>
        <w:r w:rsidR="00C82498" w:rsidRPr="00435830">
          <w:rPr>
            <w:rStyle w:val="Hyperlink"/>
          </w:rPr>
          <w:t>SECTION 2518 – DISCLAIMERS</w:t>
        </w:r>
        <w:r w:rsidR="00C82498">
          <w:rPr>
            <w:webHidden/>
          </w:rPr>
          <w:tab/>
        </w:r>
        <w:r w:rsidR="00C82498">
          <w:rPr>
            <w:webHidden/>
          </w:rPr>
          <w:fldChar w:fldCharType="begin"/>
        </w:r>
        <w:r w:rsidR="00C82498">
          <w:rPr>
            <w:webHidden/>
          </w:rPr>
          <w:instrText xml:space="preserve"> PAGEREF _Toc94704666 \h </w:instrText>
        </w:r>
        <w:r w:rsidR="00C82498">
          <w:rPr>
            <w:webHidden/>
          </w:rPr>
        </w:r>
        <w:r w:rsidR="00C82498">
          <w:rPr>
            <w:webHidden/>
          </w:rPr>
          <w:fldChar w:fldCharType="separate"/>
        </w:r>
        <w:r w:rsidR="00F4601D">
          <w:rPr>
            <w:webHidden/>
          </w:rPr>
          <w:t>161</w:t>
        </w:r>
        <w:r w:rsidR="00C82498">
          <w:rPr>
            <w:webHidden/>
          </w:rPr>
          <w:fldChar w:fldCharType="end"/>
        </w:r>
      </w:hyperlink>
    </w:p>
    <w:p w:rsidR="00C82498" w:rsidRDefault="00EA23AC">
      <w:pPr>
        <w:pStyle w:val="TOC1"/>
        <w:rPr>
          <w:rFonts w:asciiTheme="minorHAnsi" w:eastAsiaTheme="minorEastAsia" w:hAnsiTheme="minorHAnsi" w:cstheme="minorBidi"/>
          <w:b w:val="0"/>
          <w:bCs w:val="0"/>
          <w:sz w:val="22"/>
          <w:szCs w:val="22"/>
        </w:rPr>
      </w:pPr>
      <w:hyperlink w:anchor="_Toc94704667" w:history="1">
        <w:r w:rsidR="00C82498" w:rsidRPr="00435830">
          <w:rPr>
            <w:rStyle w:val="Hyperlink"/>
          </w:rPr>
          <w:t>P.</w:t>
        </w:r>
        <w:r w:rsidR="00C82498">
          <w:rPr>
            <w:rFonts w:asciiTheme="minorHAnsi" w:eastAsiaTheme="minorEastAsia" w:hAnsiTheme="minorHAnsi" w:cstheme="minorBidi"/>
            <w:b w:val="0"/>
            <w:bCs w:val="0"/>
            <w:sz w:val="22"/>
            <w:szCs w:val="22"/>
          </w:rPr>
          <w:tab/>
        </w:r>
        <w:r w:rsidR="00C82498" w:rsidRPr="00435830">
          <w:rPr>
            <w:rStyle w:val="Hyperlink"/>
          </w:rPr>
          <w:t>SECTIONS 2601-2654 - GENERATION-SKIPPING TRANSFER TAX</w:t>
        </w:r>
        <w:r w:rsidR="00C82498">
          <w:rPr>
            <w:webHidden/>
          </w:rPr>
          <w:tab/>
        </w:r>
        <w:r w:rsidR="00C82498">
          <w:rPr>
            <w:webHidden/>
          </w:rPr>
          <w:fldChar w:fldCharType="begin"/>
        </w:r>
        <w:r w:rsidR="00C82498">
          <w:rPr>
            <w:webHidden/>
          </w:rPr>
          <w:instrText xml:space="preserve"> PAGEREF _Toc94704667 \h </w:instrText>
        </w:r>
        <w:r w:rsidR="00C82498">
          <w:rPr>
            <w:webHidden/>
          </w:rPr>
        </w:r>
        <w:r w:rsidR="00C82498">
          <w:rPr>
            <w:webHidden/>
          </w:rPr>
          <w:fldChar w:fldCharType="separate"/>
        </w:r>
        <w:r w:rsidR="00F4601D">
          <w:rPr>
            <w:webHidden/>
          </w:rPr>
          <w:t>161</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68" w:history="1">
        <w:r w:rsidR="00C82498" w:rsidRPr="00435830">
          <w:rPr>
            <w:rStyle w:val="Hyperlink"/>
            <w:rFonts w:ascii="Times New Roman Bold" w:hAnsi="Times New Roman Bold"/>
            <w:specVanish/>
          </w:rPr>
          <w:t>1.</w:t>
        </w:r>
        <w:r w:rsidR="00C82498">
          <w:rPr>
            <w:rFonts w:asciiTheme="minorHAnsi" w:eastAsiaTheme="minorEastAsia" w:hAnsiTheme="minorHAnsi" w:cstheme="minorBidi"/>
            <w:b w:val="0"/>
            <w:bCs w:val="0"/>
            <w:sz w:val="22"/>
            <w:szCs w:val="22"/>
          </w:rPr>
          <w:tab/>
        </w:r>
        <w:r w:rsidR="00C82498" w:rsidRPr="00435830">
          <w:rPr>
            <w:rStyle w:val="Hyperlink"/>
          </w:rPr>
          <w:t>Modification of GST Grandfathered Trust Allowed Where Property Vested in Same Generation As Before Modification</w:t>
        </w:r>
        <w:r w:rsidR="00C82498">
          <w:rPr>
            <w:webHidden/>
          </w:rPr>
          <w:tab/>
        </w:r>
        <w:r w:rsidR="00C82498">
          <w:rPr>
            <w:webHidden/>
          </w:rPr>
          <w:fldChar w:fldCharType="begin"/>
        </w:r>
        <w:r w:rsidR="00C82498">
          <w:rPr>
            <w:webHidden/>
          </w:rPr>
          <w:instrText xml:space="preserve"> PAGEREF _Toc94704668 \h </w:instrText>
        </w:r>
        <w:r w:rsidR="00C82498">
          <w:rPr>
            <w:webHidden/>
          </w:rPr>
        </w:r>
        <w:r w:rsidR="00C82498">
          <w:rPr>
            <w:webHidden/>
          </w:rPr>
          <w:fldChar w:fldCharType="separate"/>
        </w:r>
        <w:r w:rsidR="00F4601D">
          <w:rPr>
            <w:webHidden/>
          </w:rPr>
          <w:t>161</w:t>
        </w:r>
        <w:r w:rsidR="00C82498">
          <w:rPr>
            <w:webHidden/>
          </w:rPr>
          <w:fldChar w:fldCharType="end"/>
        </w:r>
      </w:hyperlink>
    </w:p>
    <w:p w:rsidR="00C82498" w:rsidRDefault="00EA23AC">
      <w:pPr>
        <w:pStyle w:val="TOC1"/>
        <w:rPr>
          <w:rFonts w:asciiTheme="minorHAnsi" w:eastAsiaTheme="minorEastAsia" w:hAnsiTheme="minorHAnsi" w:cstheme="minorBidi"/>
          <w:b w:val="0"/>
          <w:bCs w:val="0"/>
          <w:sz w:val="22"/>
          <w:szCs w:val="22"/>
        </w:rPr>
      </w:pPr>
      <w:hyperlink w:anchor="_Toc94704669" w:history="1">
        <w:r w:rsidR="00C82498" w:rsidRPr="00435830">
          <w:rPr>
            <w:rStyle w:val="Hyperlink"/>
          </w:rPr>
          <w:t>Q.</w:t>
        </w:r>
        <w:r w:rsidR="00C82498">
          <w:rPr>
            <w:rFonts w:asciiTheme="minorHAnsi" w:eastAsiaTheme="minorEastAsia" w:hAnsiTheme="minorHAnsi" w:cstheme="minorBidi"/>
            <w:b w:val="0"/>
            <w:bCs w:val="0"/>
            <w:sz w:val="22"/>
            <w:szCs w:val="22"/>
          </w:rPr>
          <w:tab/>
        </w:r>
        <w:r w:rsidR="00C82498" w:rsidRPr="00435830">
          <w:rPr>
            <w:rStyle w:val="Hyperlink"/>
          </w:rPr>
          <w:t>SECTIONS 2701-2704 - SPECIAL VALUATION RULES</w:t>
        </w:r>
        <w:r w:rsidR="00C82498">
          <w:rPr>
            <w:webHidden/>
          </w:rPr>
          <w:tab/>
        </w:r>
        <w:r w:rsidR="00C82498">
          <w:rPr>
            <w:webHidden/>
          </w:rPr>
          <w:fldChar w:fldCharType="begin"/>
        </w:r>
        <w:r w:rsidR="00C82498">
          <w:rPr>
            <w:webHidden/>
          </w:rPr>
          <w:instrText xml:space="preserve"> PAGEREF _Toc94704669 \h </w:instrText>
        </w:r>
        <w:r w:rsidR="00C82498">
          <w:rPr>
            <w:webHidden/>
          </w:rPr>
        </w:r>
        <w:r w:rsidR="00C82498">
          <w:rPr>
            <w:webHidden/>
          </w:rPr>
          <w:fldChar w:fldCharType="separate"/>
        </w:r>
        <w:r w:rsidR="00F4601D">
          <w:rPr>
            <w:webHidden/>
          </w:rPr>
          <w:t>161</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70" w:history="1">
        <w:r w:rsidR="00C82498" w:rsidRPr="00435830">
          <w:rPr>
            <w:rStyle w:val="Hyperlink"/>
            <w:rFonts w:ascii="Times New Roman Bold" w:hAnsi="Times New Roman Bold"/>
            <w:specVanish/>
          </w:rPr>
          <w:t>1.</w:t>
        </w:r>
        <w:r w:rsidR="00C82498">
          <w:rPr>
            <w:rFonts w:asciiTheme="minorHAnsi" w:eastAsiaTheme="minorEastAsia" w:hAnsiTheme="minorHAnsi" w:cstheme="minorBidi"/>
            <w:b w:val="0"/>
            <w:bCs w:val="0"/>
            <w:sz w:val="22"/>
            <w:szCs w:val="22"/>
          </w:rPr>
          <w:tab/>
        </w:r>
        <w:r w:rsidR="00C82498" w:rsidRPr="00435830">
          <w:rPr>
            <w:rStyle w:val="Hyperlink"/>
          </w:rPr>
          <w:t>How Might The Doctrine Of Merger Be Used With A GRAT?</w:t>
        </w:r>
        <w:r w:rsidR="00C82498">
          <w:rPr>
            <w:webHidden/>
          </w:rPr>
          <w:tab/>
        </w:r>
        <w:r w:rsidR="00C82498">
          <w:rPr>
            <w:webHidden/>
          </w:rPr>
          <w:fldChar w:fldCharType="begin"/>
        </w:r>
        <w:r w:rsidR="00C82498">
          <w:rPr>
            <w:webHidden/>
          </w:rPr>
          <w:instrText xml:space="preserve"> PAGEREF _Toc94704670 \h </w:instrText>
        </w:r>
        <w:r w:rsidR="00C82498">
          <w:rPr>
            <w:webHidden/>
          </w:rPr>
        </w:r>
        <w:r w:rsidR="00C82498">
          <w:rPr>
            <w:webHidden/>
          </w:rPr>
          <w:fldChar w:fldCharType="separate"/>
        </w:r>
        <w:r w:rsidR="00F4601D">
          <w:rPr>
            <w:webHidden/>
          </w:rPr>
          <w:t>161</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71" w:history="1">
        <w:r w:rsidR="00C82498" w:rsidRPr="00435830">
          <w:rPr>
            <w:rStyle w:val="Hyperlink"/>
            <w:rFonts w:ascii="Times New Roman Bold" w:hAnsi="Times New Roman Bold"/>
            <w:lang w:eastAsia="en-GB"/>
            <w:specVanish/>
          </w:rPr>
          <w:t>2.</w:t>
        </w:r>
        <w:r w:rsidR="00C82498">
          <w:rPr>
            <w:rFonts w:asciiTheme="minorHAnsi" w:eastAsiaTheme="minorEastAsia" w:hAnsiTheme="minorHAnsi" w:cstheme="minorBidi"/>
            <w:b w:val="0"/>
            <w:bCs w:val="0"/>
            <w:sz w:val="22"/>
            <w:szCs w:val="22"/>
          </w:rPr>
          <w:tab/>
        </w:r>
        <w:r w:rsidR="00C82498" w:rsidRPr="00435830">
          <w:rPr>
            <w:rStyle w:val="Hyperlink"/>
            <w:lang w:eastAsia="en-GB"/>
          </w:rPr>
          <w:t>GRAT Inclusion</w:t>
        </w:r>
        <w:r w:rsidR="00C82498">
          <w:rPr>
            <w:webHidden/>
          </w:rPr>
          <w:tab/>
        </w:r>
        <w:r w:rsidR="00C82498">
          <w:rPr>
            <w:webHidden/>
          </w:rPr>
          <w:fldChar w:fldCharType="begin"/>
        </w:r>
        <w:r w:rsidR="00C82498">
          <w:rPr>
            <w:webHidden/>
          </w:rPr>
          <w:instrText xml:space="preserve"> PAGEREF _Toc94704671 \h </w:instrText>
        </w:r>
        <w:r w:rsidR="00C82498">
          <w:rPr>
            <w:webHidden/>
          </w:rPr>
        </w:r>
        <w:r w:rsidR="00C82498">
          <w:rPr>
            <w:webHidden/>
          </w:rPr>
          <w:fldChar w:fldCharType="separate"/>
        </w:r>
        <w:r w:rsidR="00F4601D">
          <w:rPr>
            <w:webHidden/>
          </w:rPr>
          <w:t>162</w:t>
        </w:r>
        <w:r w:rsidR="00C82498">
          <w:rPr>
            <w:webHidden/>
          </w:rPr>
          <w:fldChar w:fldCharType="end"/>
        </w:r>
      </w:hyperlink>
    </w:p>
    <w:p w:rsidR="00C82498" w:rsidRDefault="00EA23AC">
      <w:pPr>
        <w:pStyle w:val="TOC1"/>
        <w:rPr>
          <w:rFonts w:asciiTheme="minorHAnsi" w:eastAsiaTheme="minorEastAsia" w:hAnsiTheme="minorHAnsi" w:cstheme="minorBidi"/>
          <w:b w:val="0"/>
          <w:bCs w:val="0"/>
          <w:sz w:val="22"/>
          <w:szCs w:val="22"/>
        </w:rPr>
      </w:pPr>
      <w:hyperlink w:anchor="_Toc94704672" w:history="1">
        <w:r w:rsidR="00C82498" w:rsidRPr="00435830">
          <w:rPr>
            <w:rStyle w:val="Hyperlink"/>
          </w:rPr>
          <w:t>R.</w:t>
        </w:r>
        <w:r w:rsidR="00C82498">
          <w:rPr>
            <w:rFonts w:asciiTheme="minorHAnsi" w:eastAsiaTheme="minorEastAsia" w:hAnsiTheme="minorHAnsi" w:cstheme="minorBidi"/>
            <w:b w:val="0"/>
            <w:bCs w:val="0"/>
            <w:sz w:val="22"/>
            <w:szCs w:val="22"/>
          </w:rPr>
          <w:tab/>
        </w:r>
        <w:r w:rsidR="00C82498" w:rsidRPr="00435830">
          <w:rPr>
            <w:rStyle w:val="Hyperlink"/>
          </w:rPr>
          <w:t>SECTION 6166 — EXTENSION OF TIME TO PAY TAX</w:t>
        </w:r>
        <w:r w:rsidR="00C82498">
          <w:rPr>
            <w:webHidden/>
          </w:rPr>
          <w:tab/>
        </w:r>
        <w:r w:rsidR="00C82498">
          <w:rPr>
            <w:webHidden/>
          </w:rPr>
          <w:fldChar w:fldCharType="begin"/>
        </w:r>
        <w:r w:rsidR="00C82498">
          <w:rPr>
            <w:webHidden/>
          </w:rPr>
          <w:instrText xml:space="preserve"> PAGEREF _Toc94704672 \h </w:instrText>
        </w:r>
        <w:r w:rsidR="00C82498">
          <w:rPr>
            <w:webHidden/>
          </w:rPr>
        </w:r>
        <w:r w:rsidR="00C82498">
          <w:rPr>
            <w:webHidden/>
          </w:rPr>
          <w:fldChar w:fldCharType="separate"/>
        </w:r>
        <w:r w:rsidR="00F4601D">
          <w:rPr>
            <w:webHidden/>
          </w:rPr>
          <w:t>167</w:t>
        </w:r>
        <w:r w:rsidR="00C82498">
          <w:rPr>
            <w:webHidden/>
          </w:rPr>
          <w:fldChar w:fldCharType="end"/>
        </w:r>
      </w:hyperlink>
    </w:p>
    <w:p w:rsidR="00C82498" w:rsidRDefault="00EA23AC">
      <w:pPr>
        <w:pStyle w:val="TOC1"/>
        <w:rPr>
          <w:rFonts w:asciiTheme="minorHAnsi" w:eastAsiaTheme="minorEastAsia" w:hAnsiTheme="minorHAnsi" w:cstheme="minorBidi"/>
          <w:b w:val="0"/>
          <w:bCs w:val="0"/>
          <w:sz w:val="22"/>
          <w:szCs w:val="22"/>
        </w:rPr>
      </w:pPr>
      <w:hyperlink w:anchor="_Toc94704673" w:history="1">
        <w:r w:rsidR="00C82498" w:rsidRPr="00435830">
          <w:rPr>
            <w:rStyle w:val="Hyperlink"/>
          </w:rPr>
          <w:t>S.</w:t>
        </w:r>
        <w:r w:rsidR="00C82498">
          <w:rPr>
            <w:rFonts w:asciiTheme="minorHAnsi" w:eastAsiaTheme="minorEastAsia" w:hAnsiTheme="minorHAnsi" w:cstheme="minorBidi"/>
            <w:b w:val="0"/>
            <w:bCs w:val="0"/>
            <w:sz w:val="22"/>
            <w:szCs w:val="22"/>
          </w:rPr>
          <w:tab/>
        </w:r>
        <w:r w:rsidR="00C82498" w:rsidRPr="00435830">
          <w:rPr>
            <w:rStyle w:val="Hyperlink"/>
          </w:rPr>
          <w:t>TAX ADMINISTRATION</w:t>
        </w:r>
        <w:r w:rsidR="00C82498">
          <w:rPr>
            <w:webHidden/>
          </w:rPr>
          <w:tab/>
        </w:r>
        <w:r w:rsidR="00C82498">
          <w:rPr>
            <w:webHidden/>
          </w:rPr>
          <w:fldChar w:fldCharType="begin"/>
        </w:r>
        <w:r w:rsidR="00C82498">
          <w:rPr>
            <w:webHidden/>
          </w:rPr>
          <w:instrText xml:space="preserve"> PAGEREF _Toc94704673 \h </w:instrText>
        </w:r>
        <w:r w:rsidR="00C82498">
          <w:rPr>
            <w:webHidden/>
          </w:rPr>
        </w:r>
        <w:r w:rsidR="00C82498">
          <w:rPr>
            <w:webHidden/>
          </w:rPr>
          <w:fldChar w:fldCharType="separate"/>
        </w:r>
        <w:r w:rsidR="00F4601D">
          <w:rPr>
            <w:webHidden/>
          </w:rPr>
          <w:t>167</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74" w:history="1">
        <w:r w:rsidR="00C82498" w:rsidRPr="00435830">
          <w:rPr>
            <w:rStyle w:val="Hyperlink"/>
            <w:rFonts w:ascii="Times New Roman Bold" w:hAnsi="Times New Roman Bold"/>
            <w:specVanish/>
          </w:rPr>
          <w:t>1.</w:t>
        </w:r>
        <w:r w:rsidR="00C82498">
          <w:rPr>
            <w:rFonts w:asciiTheme="minorHAnsi" w:eastAsiaTheme="minorEastAsia" w:hAnsiTheme="minorHAnsi" w:cstheme="minorBidi"/>
            <w:b w:val="0"/>
            <w:bCs w:val="0"/>
            <w:sz w:val="22"/>
            <w:szCs w:val="22"/>
          </w:rPr>
          <w:tab/>
        </w:r>
        <w:r w:rsidR="00C82498" w:rsidRPr="00435830">
          <w:rPr>
            <w:rStyle w:val="Hyperlink"/>
          </w:rPr>
          <w:t>Priority Guidance Plan</w:t>
        </w:r>
        <w:r w:rsidR="00C82498">
          <w:rPr>
            <w:webHidden/>
          </w:rPr>
          <w:tab/>
        </w:r>
        <w:r w:rsidR="00C82498">
          <w:rPr>
            <w:webHidden/>
          </w:rPr>
          <w:fldChar w:fldCharType="begin"/>
        </w:r>
        <w:r w:rsidR="00C82498">
          <w:rPr>
            <w:webHidden/>
          </w:rPr>
          <w:instrText xml:space="preserve"> PAGEREF _Toc94704674 \h </w:instrText>
        </w:r>
        <w:r w:rsidR="00C82498">
          <w:rPr>
            <w:webHidden/>
          </w:rPr>
        </w:r>
        <w:r w:rsidR="00C82498">
          <w:rPr>
            <w:webHidden/>
          </w:rPr>
          <w:fldChar w:fldCharType="separate"/>
        </w:r>
        <w:r w:rsidR="00F4601D">
          <w:rPr>
            <w:webHidden/>
          </w:rPr>
          <w:t>167</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75" w:history="1">
        <w:r w:rsidR="00C82498" w:rsidRPr="00435830">
          <w:rPr>
            <w:rStyle w:val="Hyperlink"/>
            <w:rFonts w:ascii="Times New Roman Bold" w:hAnsi="Times New Roman Bold"/>
            <w:specVanish/>
          </w:rPr>
          <w:t>2.</w:t>
        </w:r>
        <w:r w:rsidR="00C82498">
          <w:rPr>
            <w:rFonts w:asciiTheme="minorHAnsi" w:eastAsiaTheme="minorEastAsia" w:hAnsiTheme="minorHAnsi" w:cstheme="minorBidi"/>
            <w:b w:val="0"/>
            <w:bCs w:val="0"/>
            <w:sz w:val="22"/>
            <w:szCs w:val="22"/>
          </w:rPr>
          <w:tab/>
        </w:r>
        <w:r w:rsidR="00C82498" w:rsidRPr="00435830">
          <w:rPr>
            <w:rStyle w:val="Hyperlink"/>
          </w:rPr>
          <w:t>No Ruling Positions</w:t>
        </w:r>
        <w:r w:rsidR="00C82498">
          <w:rPr>
            <w:webHidden/>
          </w:rPr>
          <w:tab/>
        </w:r>
        <w:r w:rsidR="00C82498">
          <w:rPr>
            <w:webHidden/>
          </w:rPr>
          <w:fldChar w:fldCharType="begin"/>
        </w:r>
        <w:r w:rsidR="00C82498">
          <w:rPr>
            <w:webHidden/>
          </w:rPr>
          <w:instrText xml:space="preserve"> PAGEREF _Toc94704675 \h </w:instrText>
        </w:r>
        <w:r w:rsidR="00C82498">
          <w:rPr>
            <w:webHidden/>
          </w:rPr>
        </w:r>
        <w:r w:rsidR="00C82498">
          <w:rPr>
            <w:webHidden/>
          </w:rPr>
          <w:fldChar w:fldCharType="separate"/>
        </w:r>
        <w:r w:rsidR="00F4601D">
          <w:rPr>
            <w:webHidden/>
          </w:rPr>
          <w:t>169</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76" w:history="1">
        <w:r w:rsidR="00C82498" w:rsidRPr="00435830">
          <w:rPr>
            <w:rStyle w:val="Hyperlink"/>
            <w:rFonts w:ascii="Times New Roman Bold" w:hAnsi="Times New Roman Bold"/>
            <w:lang w:eastAsia="en-GB"/>
            <w:specVanish/>
          </w:rPr>
          <w:t>3.</w:t>
        </w:r>
        <w:r w:rsidR="00C82498">
          <w:rPr>
            <w:rFonts w:asciiTheme="minorHAnsi" w:eastAsiaTheme="minorEastAsia" w:hAnsiTheme="minorHAnsi" w:cstheme="minorBidi"/>
            <w:b w:val="0"/>
            <w:bCs w:val="0"/>
            <w:sz w:val="22"/>
            <w:szCs w:val="22"/>
          </w:rPr>
          <w:tab/>
        </w:r>
        <w:r w:rsidR="00C82498" w:rsidRPr="00435830">
          <w:rPr>
            <w:rStyle w:val="Hyperlink"/>
          </w:rPr>
          <w:t>Alleged</w:t>
        </w:r>
        <w:r w:rsidR="00C82498" w:rsidRPr="00435830">
          <w:rPr>
            <w:rStyle w:val="Hyperlink"/>
            <w:lang w:eastAsia="en-GB"/>
          </w:rPr>
          <w:t xml:space="preserve"> Failure to Advise About Basis</w:t>
        </w:r>
        <w:r w:rsidR="00C82498">
          <w:rPr>
            <w:webHidden/>
          </w:rPr>
          <w:tab/>
        </w:r>
        <w:r w:rsidR="00C82498">
          <w:rPr>
            <w:webHidden/>
          </w:rPr>
          <w:fldChar w:fldCharType="begin"/>
        </w:r>
        <w:r w:rsidR="00C82498">
          <w:rPr>
            <w:webHidden/>
          </w:rPr>
          <w:instrText xml:space="preserve"> PAGEREF _Toc94704676 \h </w:instrText>
        </w:r>
        <w:r w:rsidR="00C82498">
          <w:rPr>
            <w:webHidden/>
          </w:rPr>
        </w:r>
        <w:r w:rsidR="00C82498">
          <w:rPr>
            <w:webHidden/>
          </w:rPr>
          <w:fldChar w:fldCharType="separate"/>
        </w:r>
        <w:r w:rsidR="00F4601D">
          <w:rPr>
            <w:webHidden/>
          </w:rPr>
          <w:t>172</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77" w:history="1">
        <w:r w:rsidR="00C82498" w:rsidRPr="00435830">
          <w:rPr>
            <w:rStyle w:val="Hyperlink"/>
            <w:rFonts w:ascii="Times New Roman Bold" w:hAnsi="Times New Roman Bold"/>
            <w:specVanish/>
          </w:rPr>
          <w:t>4.</w:t>
        </w:r>
        <w:r w:rsidR="00C82498">
          <w:rPr>
            <w:rFonts w:asciiTheme="minorHAnsi" w:eastAsiaTheme="minorEastAsia" w:hAnsiTheme="minorHAnsi" w:cstheme="minorBidi"/>
            <w:b w:val="0"/>
            <w:bCs w:val="0"/>
            <w:sz w:val="22"/>
            <w:szCs w:val="22"/>
          </w:rPr>
          <w:tab/>
        </w:r>
        <w:r w:rsidR="00C82498" w:rsidRPr="00435830">
          <w:rPr>
            <w:rStyle w:val="Hyperlink"/>
          </w:rPr>
          <w:t>Where Estate Tax Paid In Full, Late Return Not Cause For Penalty</w:t>
        </w:r>
        <w:r w:rsidR="00C82498">
          <w:rPr>
            <w:webHidden/>
          </w:rPr>
          <w:tab/>
        </w:r>
        <w:r w:rsidR="00C82498">
          <w:rPr>
            <w:webHidden/>
          </w:rPr>
          <w:fldChar w:fldCharType="begin"/>
        </w:r>
        <w:r w:rsidR="00C82498">
          <w:rPr>
            <w:webHidden/>
          </w:rPr>
          <w:instrText xml:space="preserve"> PAGEREF _Toc94704677 \h </w:instrText>
        </w:r>
        <w:r w:rsidR="00C82498">
          <w:rPr>
            <w:webHidden/>
          </w:rPr>
        </w:r>
        <w:r w:rsidR="00C82498">
          <w:rPr>
            <w:webHidden/>
          </w:rPr>
          <w:fldChar w:fldCharType="separate"/>
        </w:r>
        <w:r w:rsidR="00F4601D">
          <w:rPr>
            <w:webHidden/>
          </w:rPr>
          <w:t>173</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78" w:history="1">
        <w:r w:rsidR="00C82498" w:rsidRPr="00435830">
          <w:rPr>
            <w:rStyle w:val="Hyperlink"/>
            <w:rFonts w:ascii="Times New Roman Bold" w:hAnsi="Times New Roman Bold"/>
            <w:lang w:eastAsia="en-GB"/>
            <w:specVanish/>
          </w:rPr>
          <w:t>5.</w:t>
        </w:r>
        <w:r w:rsidR="00C82498">
          <w:rPr>
            <w:rFonts w:asciiTheme="minorHAnsi" w:eastAsiaTheme="minorEastAsia" w:hAnsiTheme="minorHAnsi" w:cstheme="minorBidi"/>
            <w:b w:val="0"/>
            <w:bCs w:val="0"/>
            <w:sz w:val="22"/>
            <w:szCs w:val="22"/>
          </w:rPr>
          <w:tab/>
        </w:r>
        <w:r w:rsidR="00C82498" w:rsidRPr="00435830">
          <w:rPr>
            <w:rStyle w:val="Hyperlink"/>
            <w:lang w:eastAsia="en-GB"/>
          </w:rPr>
          <w:t>Trustee of Revocable Trust Discharged From Personal Liability for Estate Tax</w:t>
        </w:r>
        <w:r w:rsidR="00C82498">
          <w:rPr>
            <w:webHidden/>
          </w:rPr>
          <w:tab/>
        </w:r>
        <w:r w:rsidR="00C82498">
          <w:rPr>
            <w:webHidden/>
          </w:rPr>
          <w:fldChar w:fldCharType="begin"/>
        </w:r>
        <w:r w:rsidR="00C82498">
          <w:rPr>
            <w:webHidden/>
          </w:rPr>
          <w:instrText xml:space="preserve"> PAGEREF _Toc94704678 \h </w:instrText>
        </w:r>
        <w:r w:rsidR="00C82498">
          <w:rPr>
            <w:webHidden/>
          </w:rPr>
        </w:r>
        <w:r w:rsidR="00C82498">
          <w:rPr>
            <w:webHidden/>
          </w:rPr>
          <w:fldChar w:fldCharType="separate"/>
        </w:r>
        <w:r w:rsidR="00F4601D">
          <w:rPr>
            <w:webHidden/>
          </w:rPr>
          <w:t>175</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79" w:history="1">
        <w:r w:rsidR="00C82498" w:rsidRPr="00435830">
          <w:rPr>
            <w:rStyle w:val="Hyperlink"/>
            <w:rFonts w:ascii="Times New Roman Bold" w:hAnsi="Times New Roman Bold"/>
            <w:lang w:eastAsia="en-GB"/>
            <w:specVanish/>
          </w:rPr>
          <w:t>6.</w:t>
        </w:r>
        <w:r w:rsidR="00C82498">
          <w:rPr>
            <w:rFonts w:asciiTheme="minorHAnsi" w:eastAsiaTheme="minorEastAsia" w:hAnsiTheme="minorHAnsi" w:cstheme="minorBidi"/>
            <w:b w:val="0"/>
            <w:bCs w:val="0"/>
            <w:sz w:val="22"/>
            <w:szCs w:val="22"/>
          </w:rPr>
          <w:tab/>
        </w:r>
        <w:r w:rsidR="00C82498" w:rsidRPr="00435830">
          <w:rPr>
            <w:rStyle w:val="Hyperlink"/>
            <w:lang w:eastAsia="en-GB"/>
          </w:rPr>
          <w:t>Reminder That Private Postage Meter Yields To Official Post Office Time Stamp</w:t>
        </w:r>
        <w:r w:rsidR="00C82498">
          <w:rPr>
            <w:webHidden/>
          </w:rPr>
          <w:tab/>
        </w:r>
        <w:r w:rsidR="00C82498">
          <w:rPr>
            <w:webHidden/>
          </w:rPr>
          <w:fldChar w:fldCharType="begin"/>
        </w:r>
        <w:r w:rsidR="00C82498">
          <w:rPr>
            <w:webHidden/>
          </w:rPr>
          <w:instrText xml:space="preserve"> PAGEREF _Toc94704679 \h </w:instrText>
        </w:r>
        <w:r w:rsidR="00C82498">
          <w:rPr>
            <w:webHidden/>
          </w:rPr>
        </w:r>
        <w:r w:rsidR="00C82498">
          <w:rPr>
            <w:webHidden/>
          </w:rPr>
          <w:fldChar w:fldCharType="separate"/>
        </w:r>
        <w:r w:rsidR="00F4601D">
          <w:rPr>
            <w:webHidden/>
          </w:rPr>
          <w:t>177</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80" w:history="1">
        <w:r w:rsidR="00C82498" w:rsidRPr="00435830">
          <w:rPr>
            <w:rStyle w:val="Hyperlink"/>
            <w:rFonts w:ascii="Times New Roman Bold" w:hAnsi="Times New Roman Bold"/>
            <w:specVanish/>
          </w:rPr>
          <w:t>7.</w:t>
        </w:r>
        <w:r w:rsidR="00C82498">
          <w:rPr>
            <w:rFonts w:asciiTheme="minorHAnsi" w:eastAsiaTheme="minorEastAsia" w:hAnsiTheme="minorHAnsi" w:cstheme="minorBidi"/>
            <w:b w:val="0"/>
            <w:bCs w:val="0"/>
            <w:sz w:val="22"/>
            <w:szCs w:val="22"/>
          </w:rPr>
          <w:tab/>
        </w:r>
        <w:r w:rsidR="00C82498" w:rsidRPr="00435830">
          <w:rPr>
            <w:rStyle w:val="Hyperlink"/>
          </w:rPr>
          <w:t>Executor Personally Liable For Estate Tax</w:t>
        </w:r>
        <w:r w:rsidR="00C82498">
          <w:rPr>
            <w:webHidden/>
          </w:rPr>
          <w:tab/>
        </w:r>
        <w:r w:rsidR="00C82498">
          <w:rPr>
            <w:webHidden/>
          </w:rPr>
          <w:fldChar w:fldCharType="begin"/>
        </w:r>
        <w:r w:rsidR="00C82498">
          <w:rPr>
            <w:webHidden/>
          </w:rPr>
          <w:instrText xml:space="preserve"> PAGEREF _Toc94704680 \h </w:instrText>
        </w:r>
        <w:r w:rsidR="00C82498">
          <w:rPr>
            <w:webHidden/>
          </w:rPr>
        </w:r>
        <w:r w:rsidR="00C82498">
          <w:rPr>
            <w:webHidden/>
          </w:rPr>
          <w:fldChar w:fldCharType="separate"/>
        </w:r>
        <w:r w:rsidR="00F4601D">
          <w:rPr>
            <w:webHidden/>
          </w:rPr>
          <w:t>178</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81" w:history="1">
        <w:r w:rsidR="00C82498" w:rsidRPr="00435830">
          <w:rPr>
            <w:rStyle w:val="Hyperlink"/>
            <w:rFonts w:ascii="Times New Roman Bold" w:hAnsi="Times New Roman Bold"/>
            <w:specVanish/>
          </w:rPr>
          <w:t>8.</w:t>
        </w:r>
        <w:r w:rsidR="00C82498">
          <w:rPr>
            <w:rFonts w:asciiTheme="minorHAnsi" w:eastAsiaTheme="minorEastAsia" w:hAnsiTheme="minorHAnsi" w:cstheme="minorBidi"/>
            <w:b w:val="0"/>
            <w:bCs w:val="0"/>
            <w:sz w:val="22"/>
            <w:szCs w:val="22"/>
          </w:rPr>
          <w:tab/>
        </w:r>
        <w:r w:rsidR="00C82498" w:rsidRPr="00435830">
          <w:rPr>
            <w:rStyle w:val="Hyperlink"/>
          </w:rPr>
          <w:t>Meaning of Tax Reimbursement Clause</w:t>
        </w:r>
        <w:r w:rsidR="00C82498">
          <w:rPr>
            <w:webHidden/>
          </w:rPr>
          <w:tab/>
        </w:r>
        <w:r w:rsidR="00C82498">
          <w:rPr>
            <w:webHidden/>
          </w:rPr>
          <w:fldChar w:fldCharType="begin"/>
        </w:r>
        <w:r w:rsidR="00C82498">
          <w:rPr>
            <w:webHidden/>
          </w:rPr>
          <w:instrText xml:space="preserve"> PAGEREF _Toc94704681 \h </w:instrText>
        </w:r>
        <w:r w:rsidR="00C82498">
          <w:rPr>
            <w:webHidden/>
          </w:rPr>
        </w:r>
        <w:r w:rsidR="00C82498">
          <w:rPr>
            <w:webHidden/>
          </w:rPr>
          <w:fldChar w:fldCharType="separate"/>
        </w:r>
        <w:r w:rsidR="00F4601D">
          <w:rPr>
            <w:webHidden/>
          </w:rPr>
          <w:t>179</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82" w:history="1">
        <w:r w:rsidR="00C82498" w:rsidRPr="00435830">
          <w:rPr>
            <w:rStyle w:val="Hyperlink"/>
            <w:rFonts w:ascii="Times New Roman Bold" w:hAnsi="Times New Roman Bold"/>
            <w:lang w:eastAsia="en-GB"/>
            <w:specVanish/>
          </w:rPr>
          <w:t>9.</w:t>
        </w:r>
        <w:r w:rsidR="00C82498">
          <w:rPr>
            <w:rFonts w:asciiTheme="minorHAnsi" w:eastAsiaTheme="minorEastAsia" w:hAnsiTheme="minorHAnsi" w:cstheme="minorBidi"/>
            <w:b w:val="0"/>
            <w:bCs w:val="0"/>
            <w:sz w:val="22"/>
            <w:szCs w:val="22"/>
          </w:rPr>
          <w:tab/>
        </w:r>
        <w:r w:rsidR="00C82498" w:rsidRPr="00435830">
          <w:rPr>
            <w:rStyle w:val="Hyperlink"/>
          </w:rPr>
          <w:t>User Fee For Closing Letter</w:t>
        </w:r>
        <w:r w:rsidR="00C82498">
          <w:rPr>
            <w:webHidden/>
          </w:rPr>
          <w:tab/>
        </w:r>
        <w:r w:rsidR="00C82498">
          <w:rPr>
            <w:webHidden/>
          </w:rPr>
          <w:fldChar w:fldCharType="begin"/>
        </w:r>
        <w:r w:rsidR="00C82498">
          <w:rPr>
            <w:webHidden/>
          </w:rPr>
          <w:instrText xml:space="preserve"> PAGEREF _Toc94704682 \h </w:instrText>
        </w:r>
        <w:r w:rsidR="00C82498">
          <w:rPr>
            <w:webHidden/>
          </w:rPr>
        </w:r>
        <w:r w:rsidR="00C82498">
          <w:rPr>
            <w:webHidden/>
          </w:rPr>
          <w:fldChar w:fldCharType="separate"/>
        </w:r>
        <w:r w:rsidR="00F4601D">
          <w:rPr>
            <w:webHidden/>
          </w:rPr>
          <w:t>180</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83" w:history="1">
        <w:r w:rsidR="00C82498" w:rsidRPr="00435830">
          <w:rPr>
            <w:rStyle w:val="Hyperlink"/>
            <w:rFonts w:ascii="Times New Roman Bold" w:hAnsi="Times New Roman Bold"/>
            <w:specVanish/>
          </w:rPr>
          <w:t>10.</w:t>
        </w:r>
        <w:r w:rsidR="00C82498">
          <w:rPr>
            <w:rFonts w:asciiTheme="minorHAnsi" w:eastAsiaTheme="minorEastAsia" w:hAnsiTheme="minorHAnsi" w:cstheme="minorBidi"/>
            <w:b w:val="0"/>
            <w:bCs w:val="0"/>
            <w:sz w:val="22"/>
            <w:szCs w:val="22"/>
          </w:rPr>
          <w:tab/>
        </w:r>
        <w:r w:rsidR="00C82498" w:rsidRPr="00435830">
          <w:rPr>
            <w:rStyle w:val="Hyperlink"/>
          </w:rPr>
          <w:t>CBO Publication, Understanding Federal Estate and Gift Taxes</w:t>
        </w:r>
        <w:r w:rsidR="00C82498">
          <w:rPr>
            <w:webHidden/>
          </w:rPr>
          <w:tab/>
        </w:r>
        <w:r w:rsidR="00C82498">
          <w:rPr>
            <w:webHidden/>
          </w:rPr>
          <w:fldChar w:fldCharType="begin"/>
        </w:r>
        <w:r w:rsidR="00C82498">
          <w:rPr>
            <w:webHidden/>
          </w:rPr>
          <w:instrText xml:space="preserve"> PAGEREF _Toc94704683 \h </w:instrText>
        </w:r>
        <w:r w:rsidR="00C82498">
          <w:rPr>
            <w:webHidden/>
          </w:rPr>
        </w:r>
        <w:r w:rsidR="00C82498">
          <w:rPr>
            <w:webHidden/>
          </w:rPr>
          <w:fldChar w:fldCharType="separate"/>
        </w:r>
        <w:r w:rsidR="00F4601D">
          <w:rPr>
            <w:webHidden/>
          </w:rPr>
          <w:t>181</w:t>
        </w:r>
        <w:r w:rsidR="00C82498">
          <w:rPr>
            <w:webHidden/>
          </w:rPr>
          <w:fldChar w:fldCharType="end"/>
        </w:r>
      </w:hyperlink>
    </w:p>
    <w:p w:rsidR="00C82498" w:rsidRDefault="00EA23AC">
      <w:pPr>
        <w:pStyle w:val="TOC1"/>
        <w:rPr>
          <w:rFonts w:asciiTheme="minorHAnsi" w:eastAsiaTheme="minorEastAsia" w:hAnsiTheme="minorHAnsi" w:cstheme="minorBidi"/>
          <w:b w:val="0"/>
          <w:bCs w:val="0"/>
          <w:sz w:val="22"/>
          <w:szCs w:val="22"/>
        </w:rPr>
      </w:pPr>
      <w:hyperlink w:anchor="_Toc94704684" w:history="1">
        <w:r w:rsidR="00C82498" w:rsidRPr="00435830">
          <w:rPr>
            <w:rStyle w:val="Hyperlink"/>
          </w:rPr>
          <w:t>T.</w:t>
        </w:r>
        <w:r w:rsidR="00C82498">
          <w:rPr>
            <w:rFonts w:asciiTheme="minorHAnsi" w:eastAsiaTheme="minorEastAsia" w:hAnsiTheme="minorHAnsi" w:cstheme="minorBidi"/>
            <w:b w:val="0"/>
            <w:bCs w:val="0"/>
            <w:sz w:val="22"/>
            <w:szCs w:val="22"/>
          </w:rPr>
          <w:tab/>
        </w:r>
        <w:r w:rsidR="00C82498" w:rsidRPr="00435830">
          <w:rPr>
            <w:rStyle w:val="Hyperlink"/>
          </w:rPr>
          <w:t>MISCELLANEOUS</w:t>
        </w:r>
        <w:r w:rsidR="00C82498">
          <w:rPr>
            <w:webHidden/>
          </w:rPr>
          <w:tab/>
        </w:r>
        <w:r w:rsidR="00C82498">
          <w:rPr>
            <w:webHidden/>
          </w:rPr>
          <w:fldChar w:fldCharType="begin"/>
        </w:r>
        <w:r w:rsidR="00C82498">
          <w:rPr>
            <w:webHidden/>
          </w:rPr>
          <w:instrText xml:space="preserve"> PAGEREF _Toc94704684 \h </w:instrText>
        </w:r>
        <w:r w:rsidR="00C82498">
          <w:rPr>
            <w:webHidden/>
          </w:rPr>
        </w:r>
        <w:r w:rsidR="00C82498">
          <w:rPr>
            <w:webHidden/>
          </w:rPr>
          <w:fldChar w:fldCharType="separate"/>
        </w:r>
        <w:r w:rsidR="00F4601D">
          <w:rPr>
            <w:webHidden/>
          </w:rPr>
          <w:t>183</w:t>
        </w:r>
        <w:r w:rsidR="00C82498">
          <w:rPr>
            <w:webHidden/>
          </w:rPr>
          <w:fldChar w:fldCharType="end"/>
        </w:r>
      </w:hyperlink>
    </w:p>
    <w:p w:rsidR="00C82498" w:rsidRDefault="00EA23AC">
      <w:pPr>
        <w:pStyle w:val="TOC1"/>
        <w:rPr>
          <w:rFonts w:asciiTheme="minorHAnsi" w:eastAsiaTheme="minorEastAsia" w:hAnsiTheme="minorHAnsi" w:cstheme="minorBidi"/>
          <w:b w:val="0"/>
          <w:bCs w:val="0"/>
          <w:sz w:val="22"/>
          <w:szCs w:val="22"/>
        </w:rPr>
      </w:pPr>
      <w:hyperlink w:anchor="_Toc94704685" w:history="1">
        <w:r w:rsidR="00C82498" w:rsidRPr="00435830">
          <w:rPr>
            <w:rStyle w:val="Hyperlink"/>
          </w:rPr>
          <w:t>PART 4 – STATE DEVELOPMENTS</w:t>
        </w:r>
        <w:r w:rsidR="00C82498">
          <w:rPr>
            <w:webHidden/>
          </w:rPr>
          <w:tab/>
        </w:r>
        <w:r w:rsidR="00C82498">
          <w:rPr>
            <w:webHidden/>
          </w:rPr>
          <w:fldChar w:fldCharType="begin"/>
        </w:r>
        <w:r w:rsidR="00C82498">
          <w:rPr>
            <w:webHidden/>
          </w:rPr>
          <w:instrText xml:space="preserve"> PAGEREF _Toc94704685 \h </w:instrText>
        </w:r>
        <w:r w:rsidR="00C82498">
          <w:rPr>
            <w:webHidden/>
          </w:rPr>
        </w:r>
        <w:r w:rsidR="00C82498">
          <w:rPr>
            <w:webHidden/>
          </w:rPr>
          <w:fldChar w:fldCharType="separate"/>
        </w:r>
        <w:r w:rsidR="00F4601D">
          <w:rPr>
            <w:webHidden/>
          </w:rPr>
          <w:t>183</w:t>
        </w:r>
        <w:r w:rsidR="00C82498">
          <w:rPr>
            <w:webHidden/>
          </w:rPr>
          <w:fldChar w:fldCharType="end"/>
        </w:r>
      </w:hyperlink>
    </w:p>
    <w:p w:rsidR="00C82498" w:rsidRDefault="00EA23AC">
      <w:pPr>
        <w:pStyle w:val="TOC1"/>
        <w:rPr>
          <w:rFonts w:asciiTheme="minorHAnsi" w:eastAsiaTheme="minorEastAsia" w:hAnsiTheme="minorHAnsi" w:cstheme="minorBidi"/>
          <w:b w:val="0"/>
          <w:bCs w:val="0"/>
          <w:sz w:val="22"/>
          <w:szCs w:val="22"/>
        </w:rPr>
      </w:pPr>
      <w:hyperlink w:anchor="_Toc94704686" w:history="1">
        <w:r w:rsidR="00C82498" w:rsidRPr="00435830">
          <w:rPr>
            <w:rStyle w:val="Hyperlink"/>
          </w:rPr>
          <w:t>U.</w:t>
        </w:r>
        <w:r w:rsidR="00C82498">
          <w:rPr>
            <w:rFonts w:asciiTheme="minorHAnsi" w:eastAsiaTheme="minorEastAsia" w:hAnsiTheme="minorHAnsi" w:cstheme="minorBidi"/>
            <w:b w:val="0"/>
            <w:bCs w:val="0"/>
            <w:sz w:val="22"/>
            <w:szCs w:val="22"/>
          </w:rPr>
          <w:tab/>
        </w:r>
        <w:r w:rsidR="00C82498" w:rsidRPr="00435830">
          <w:rPr>
            <w:rStyle w:val="Hyperlink"/>
          </w:rPr>
          <w:t>STATE DEVELOPMENTS</w:t>
        </w:r>
        <w:r w:rsidR="00C82498">
          <w:rPr>
            <w:webHidden/>
          </w:rPr>
          <w:tab/>
        </w:r>
        <w:r w:rsidR="00C82498">
          <w:rPr>
            <w:webHidden/>
          </w:rPr>
          <w:fldChar w:fldCharType="begin"/>
        </w:r>
        <w:r w:rsidR="00C82498">
          <w:rPr>
            <w:webHidden/>
          </w:rPr>
          <w:instrText xml:space="preserve"> PAGEREF _Toc94704686 \h </w:instrText>
        </w:r>
        <w:r w:rsidR="00C82498">
          <w:rPr>
            <w:webHidden/>
          </w:rPr>
        </w:r>
        <w:r w:rsidR="00C82498">
          <w:rPr>
            <w:webHidden/>
          </w:rPr>
          <w:fldChar w:fldCharType="separate"/>
        </w:r>
        <w:r w:rsidR="00F4601D">
          <w:rPr>
            <w:webHidden/>
          </w:rPr>
          <w:t>183</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87" w:history="1">
        <w:r w:rsidR="00C82498" w:rsidRPr="00435830">
          <w:rPr>
            <w:rStyle w:val="Hyperlink"/>
            <w:rFonts w:ascii="Times New Roman Bold" w:hAnsi="Times New Roman Bold"/>
            <w:specVanish/>
          </w:rPr>
          <w:t>1.</w:t>
        </w:r>
        <w:r w:rsidR="00C82498">
          <w:rPr>
            <w:rFonts w:asciiTheme="minorHAnsi" w:eastAsiaTheme="minorEastAsia" w:hAnsiTheme="minorHAnsi" w:cstheme="minorBidi"/>
            <w:b w:val="0"/>
            <w:bCs w:val="0"/>
            <w:sz w:val="22"/>
            <w:szCs w:val="22"/>
          </w:rPr>
          <w:tab/>
        </w:r>
        <w:r w:rsidR="00C82498" w:rsidRPr="00435830">
          <w:rPr>
            <w:rStyle w:val="Hyperlink"/>
          </w:rPr>
          <w:t>Child Support vs. Special Needs</w:t>
        </w:r>
        <w:r w:rsidR="00C82498">
          <w:rPr>
            <w:webHidden/>
          </w:rPr>
          <w:tab/>
        </w:r>
        <w:r w:rsidR="00C82498">
          <w:rPr>
            <w:webHidden/>
          </w:rPr>
          <w:fldChar w:fldCharType="begin"/>
        </w:r>
        <w:r w:rsidR="00C82498">
          <w:rPr>
            <w:webHidden/>
          </w:rPr>
          <w:instrText xml:space="preserve"> PAGEREF _Toc94704687 \h </w:instrText>
        </w:r>
        <w:r w:rsidR="00C82498">
          <w:rPr>
            <w:webHidden/>
          </w:rPr>
        </w:r>
        <w:r w:rsidR="00C82498">
          <w:rPr>
            <w:webHidden/>
          </w:rPr>
          <w:fldChar w:fldCharType="separate"/>
        </w:r>
        <w:r w:rsidR="00F4601D">
          <w:rPr>
            <w:webHidden/>
          </w:rPr>
          <w:t>183</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88" w:history="1">
        <w:r w:rsidR="00C82498" w:rsidRPr="00435830">
          <w:rPr>
            <w:rStyle w:val="Hyperlink"/>
            <w:rFonts w:ascii="Times New Roman Bold" w:hAnsi="Times New Roman Bold"/>
            <w:specVanish/>
          </w:rPr>
          <w:t>2.</w:t>
        </w:r>
        <w:r w:rsidR="00C82498">
          <w:rPr>
            <w:rFonts w:asciiTheme="minorHAnsi" w:eastAsiaTheme="minorEastAsia" w:hAnsiTheme="minorHAnsi" w:cstheme="minorBidi"/>
            <w:b w:val="0"/>
            <w:bCs w:val="0"/>
            <w:sz w:val="22"/>
            <w:szCs w:val="22"/>
          </w:rPr>
          <w:tab/>
        </w:r>
        <w:r w:rsidR="00C82498" w:rsidRPr="00435830">
          <w:rPr>
            <w:rStyle w:val="Hyperlink"/>
          </w:rPr>
          <w:t>South Dakota Refuses To Enforce California Child Support Order</w:t>
        </w:r>
        <w:r w:rsidR="00C82498">
          <w:rPr>
            <w:webHidden/>
          </w:rPr>
          <w:tab/>
        </w:r>
        <w:r w:rsidR="00C82498">
          <w:rPr>
            <w:webHidden/>
          </w:rPr>
          <w:fldChar w:fldCharType="begin"/>
        </w:r>
        <w:r w:rsidR="00C82498">
          <w:rPr>
            <w:webHidden/>
          </w:rPr>
          <w:instrText xml:space="preserve"> PAGEREF _Toc94704688 \h </w:instrText>
        </w:r>
        <w:r w:rsidR="00C82498">
          <w:rPr>
            <w:webHidden/>
          </w:rPr>
        </w:r>
        <w:r w:rsidR="00C82498">
          <w:rPr>
            <w:webHidden/>
          </w:rPr>
          <w:fldChar w:fldCharType="separate"/>
        </w:r>
        <w:r w:rsidR="00F4601D">
          <w:rPr>
            <w:webHidden/>
          </w:rPr>
          <w:t>184</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89" w:history="1">
        <w:r w:rsidR="00C82498" w:rsidRPr="00435830">
          <w:rPr>
            <w:rStyle w:val="Hyperlink"/>
            <w:rFonts w:ascii="Times New Roman Bold" w:hAnsi="Times New Roman Bold"/>
            <w:specVanish/>
          </w:rPr>
          <w:t>3.</w:t>
        </w:r>
        <w:r w:rsidR="00C82498">
          <w:rPr>
            <w:rFonts w:asciiTheme="minorHAnsi" w:eastAsiaTheme="minorEastAsia" w:hAnsiTheme="minorHAnsi" w:cstheme="minorBidi"/>
            <w:b w:val="0"/>
            <w:bCs w:val="0"/>
            <w:sz w:val="22"/>
            <w:szCs w:val="22"/>
          </w:rPr>
          <w:tab/>
        </w:r>
        <w:r w:rsidR="00C82498" w:rsidRPr="00435830">
          <w:rPr>
            <w:rStyle w:val="Hyperlink"/>
          </w:rPr>
          <w:t>Failure to Discuss Basis Planning</w:t>
        </w:r>
        <w:r w:rsidR="00C82498">
          <w:rPr>
            <w:webHidden/>
          </w:rPr>
          <w:tab/>
        </w:r>
        <w:r w:rsidR="00C82498">
          <w:rPr>
            <w:webHidden/>
          </w:rPr>
          <w:fldChar w:fldCharType="begin"/>
        </w:r>
        <w:r w:rsidR="00C82498">
          <w:rPr>
            <w:webHidden/>
          </w:rPr>
          <w:instrText xml:space="preserve"> PAGEREF _Toc94704689 \h </w:instrText>
        </w:r>
        <w:r w:rsidR="00C82498">
          <w:rPr>
            <w:webHidden/>
          </w:rPr>
        </w:r>
        <w:r w:rsidR="00C82498">
          <w:rPr>
            <w:webHidden/>
          </w:rPr>
          <w:fldChar w:fldCharType="separate"/>
        </w:r>
        <w:r w:rsidR="00F4601D">
          <w:rPr>
            <w:webHidden/>
          </w:rPr>
          <w:t>186</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90" w:history="1">
        <w:r w:rsidR="00C82498" w:rsidRPr="00435830">
          <w:rPr>
            <w:rStyle w:val="Hyperlink"/>
            <w:rFonts w:ascii="Times New Roman Bold" w:hAnsi="Times New Roman Bold"/>
            <w:specVanish/>
          </w:rPr>
          <w:t>4.</w:t>
        </w:r>
        <w:r w:rsidR="00C82498">
          <w:rPr>
            <w:rFonts w:asciiTheme="minorHAnsi" w:eastAsiaTheme="minorEastAsia" w:hAnsiTheme="minorHAnsi" w:cstheme="minorBidi"/>
            <w:b w:val="0"/>
            <w:bCs w:val="0"/>
            <w:sz w:val="22"/>
            <w:szCs w:val="22"/>
          </w:rPr>
          <w:tab/>
        </w:r>
        <w:r w:rsidR="00C82498" w:rsidRPr="00435830">
          <w:rPr>
            <w:rStyle w:val="Hyperlink"/>
          </w:rPr>
          <w:t>Trust Protector As Fiduciary With A Duty To Whom?</w:t>
        </w:r>
        <w:r w:rsidR="00C82498">
          <w:rPr>
            <w:webHidden/>
          </w:rPr>
          <w:tab/>
        </w:r>
        <w:r w:rsidR="00C82498">
          <w:rPr>
            <w:webHidden/>
          </w:rPr>
          <w:fldChar w:fldCharType="begin"/>
        </w:r>
        <w:r w:rsidR="00C82498">
          <w:rPr>
            <w:webHidden/>
          </w:rPr>
          <w:instrText xml:space="preserve"> PAGEREF _Toc94704690 \h </w:instrText>
        </w:r>
        <w:r w:rsidR="00C82498">
          <w:rPr>
            <w:webHidden/>
          </w:rPr>
        </w:r>
        <w:r w:rsidR="00C82498">
          <w:rPr>
            <w:webHidden/>
          </w:rPr>
          <w:fldChar w:fldCharType="separate"/>
        </w:r>
        <w:r w:rsidR="00F4601D">
          <w:rPr>
            <w:webHidden/>
          </w:rPr>
          <w:t>187</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91" w:history="1">
        <w:r w:rsidR="00C82498" w:rsidRPr="00435830">
          <w:rPr>
            <w:rStyle w:val="Hyperlink"/>
            <w:rFonts w:ascii="Times New Roman Bold" w:hAnsi="Times New Roman Bold"/>
            <w:specVanish/>
          </w:rPr>
          <w:t>5.</w:t>
        </w:r>
        <w:r w:rsidR="00C82498">
          <w:rPr>
            <w:rFonts w:asciiTheme="minorHAnsi" w:eastAsiaTheme="minorEastAsia" w:hAnsiTheme="minorHAnsi" w:cstheme="minorBidi"/>
            <w:b w:val="0"/>
            <w:bCs w:val="0"/>
            <w:sz w:val="22"/>
            <w:szCs w:val="22"/>
          </w:rPr>
          <w:tab/>
        </w:r>
        <w:r w:rsidR="00C82498" w:rsidRPr="00435830">
          <w:rPr>
            <w:rStyle w:val="Hyperlink"/>
          </w:rPr>
          <w:t>Restrictions On Marriage</w:t>
        </w:r>
        <w:r w:rsidR="00C82498">
          <w:rPr>
            <w:webHidden/>
          </w:rPr>
          <w:tab/>
        </w:r>
        <w:r w:rsidR="00C82498">
          <w:rPr>
            <w:webHidden/>
          </w:rPr>
          <w:fldChar w:fldCharType="begin"/>
        </w:r>
        <w:r w:rsidR="00C82498">
          <w:rPr>
            <w:webHidden/>
          </w:rPr>
          <w:instrText xml:space="preserve"> PAGEREF _Toc94704691 \h </w:instrText>
        </w:r>
        <w:r w:rsidR="00C82498">
          <w:rPr>
            <w:webHidden/>
          </w:rPr>
        </w:r>
        <w:r w:rsidR="00C82498">
          <w:rPr>
            <w:webHidden/>
          </w:rPr>
          <w:fldChar w:fldCharType="separate"/>
        </w:r>
        <w:r w:rsidR="00F4601D">
          <w:rPr>
            <w:webHidden/>
          </w:rPr>
          <w:t>188</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92" w:history="1">
        <w:r w:rsidR="00C82498" w:rsidRPr="00435830">
          <w:rPr>
            <w:rStyle w:val="Hyperlink"/>
            <w:rFonts w:ascii="Times New Roman Bold" w:hAnsi="Times New Roman Bold"/>
            <w:specVanish/>
          </w:rPr>
          <w:t>6.</w:t>
        </w:r>
        <w:r w:rsidR="00C82498">
          <w:rPr>
            <w:rFonts w:asciiTheme="minorHAnsi" w:eastAsiaTheme="minorEastAsia" w:hAnsiTheme="minorHAnsi" w:cstheme="minorBidi"/>
            <w:b w:val="0"/>
            <w:bCs w:val="0"/>
            <w:sz w:val="22"/>
            <w:szCs w:val="22"/>
          </w:rPr>
          <w:tab/>
        </w:r>
        <w:r w:rsidR="00C82498" w:rsidRPr="00435830">
          <w:rPr>
            <w:rStyle w:val="Hyperlink"/>
          </w:rPr>
          <w:t>Former Beneficiary Has Standing To Challenge a Revocable Trust Under California Law</w:t>
        </w:r>
        <w:r w:rsidR="00C82498">
          <w:rPr>
            <w:webHidden/>
          </w:rPr>
          <w:tab/>
        </w:r>
        <w:r w:rsidR="00C82498">
          <w:rPr>
            <w:webHidden/>
          </w:rPr>
          <w:fldChar w:fldCharType="begin"/>
        </w:r>
        <w:r w:rsidR="00C82498">
          <w:rPr>
            <w:webHidden/>
          </w:rPr>
          <w:instrText xml:space="preserve"> PAGEREF _Toc94704692 \h </w:instrText>
        </w:r>
        <w:r w:rsidR="00C82498">
          <w:rPr>
            <w:webHidden/>
          </w:rPr>
        </w:r>
        <w:r w:rsidR="00C82498">
          <w:rPr>
            <w:webHidden/>
          </w:rPr>
          <w:fldChar w:fldCharType="separate"/>
        </w:r>
        <w:r w:rsidR="00F4601D">
          <w:rPr>
            <w:webHidden/>
          </w:rPr>
          <w:t>191</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93" w:history="1">
        <w:r w:rsidR="00C82498" w:rsidRPr="00435830">
          <w:rPr>
            <w:rStyle w:val="Hyperlink"/>
            <w:rFonts w:ascii="Times New Roman Bold" w:hAnsi="Times New Roman Bold"/>
            <w:specVanish/>
          </w:rPr>
          <w:t>7.</w:t>
        </w:r>
        <w:r w:rsidR="00C82498">
          <w:rPr>
            <w:rFonts w:asciiTheme="minorHAnsi" w:eastAsiaTheme="minorEastAsia" w:hAnsiTheme="minorHAnsi" w:cstheme="minorBidi"/>
            <w:b w:val="0"/>
            <w:bCs w:val="0"/>
            <w:sz w:val="22"/>
            <w:szCs w:val="22"/>
          </w:rPr>
          <w:tab/>
        </w:r>
        <w:r w:rsidR="00C82498" w:rsidRPr="00435830">
          <w:rPr>
            <w:rStyle w:val="Hyperlink"/>
          </w:rPr>
          <w:t>Charitable Trust Beneficiary Standing</w:t>
        </w:r>
        <w:r w:rsidR="00C82498">
          <w:rPr>
            <w:webHidden/>
          </w:rPr>
          <w:tab/>
        </w:r>
        <w:r w:rsidR="00C82498">
          <w:rPr>
            <w:webHidden/>
          </w:rPr>
          <w:fldChar w:fldCharType="begin"/>
        </w:r>
        <w:r w:rsidR="00C82498">
          <w:rPr>
            <w:webHidden/>
          </w:rPr>
          <w:instrText xml:space="preserve"> PAGEREF _Toc94704693 \h </w:instrText>
        </w:r>
        <w:r w:rsidR="00C82498">
          <w:rPr>
            <w:webHidden/>
          </w:rPr>
        </w:r>
        <w:r w:rsidR="00C82498">
          <w:rPr>
            <w:webHidden/>
          </w:rPr>
          <w:fldChar w:fldCharType="separate"/>
        </w:r>
        <w:r w:rsidR="00F4601D">
          <w:rPr>
            <w:webHidden/>
          </w:rPr>
          <w:t>197</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94" w:history="1">
        <w:r w:rsidR="00C82498" w:rsidRPr="00435830">
          <w:rPr>
            <w:rStyle w:val="Hyperlink"/>
            <w:rFonts w:ascii="Times New Roman Bold" w:hAnsi="Times New Roman Bold"/>
            <w:specVanish/>
          </w:rPr>
          <w:t>8.</w:t>
        </w:r>
        <w:r w:rsidR="00C82498">
          <w:rPr>
            <w:rFonts w:asciiTheme="minorHAnsi" w:eastAsiaTheme="minorEastAsia" w:hAnsiTheme="minorHAnsi" w:cstheme="minorBidi"/>
            <w:b w:val="0"/>
            <w:bCs w:val="0"/>
            <w:sz w:val="22"/>
            <w:szCs w:val="22"/>
          </w:rPr>
          <w:tab/>
        </w:r>
        <w:r w:rsidR="00C82498" w:rsidRPr="00435830">
          <w:rPr>
            <w:rStyle w:val="Hyperlink"/>
          </w:rPr>
          <w:t>Declaratory Judgment Action Does Not Trigger No Contest Clause</w:t>
        </w:r>
        <w:r w:rsidR="00C82498">
          <w:rPr>
            <w:webHidden/>
          </w:rPr>
          <w:tab/>
        </w:r>
        <w:r w:rsidR="00C82498">
          <w:rPr>
            <w:webHidden/>
          </w:rPr>
          <w:fldChar w:fldCharType="begin"/>
        </w:r>
        <w:r w:rsidR="00C82498">
          <w:rPr>
            <w:webHidden/>
          </w:rPr>
          <w:instrText xml:space="preserve"> PAGEREF _Toc94704694 \h </w:instrText>
        </w:r>
        <w:r w:rsidR="00C82498">
          <w:rPr>
            <w:webHidden/>
          </w:rPr>
        </w:r>
        <w:r w:rsidR="00C82498">
          <w:rPr>
            <w:webHidden/>
          </w:rPr>
          <w:fldChar w:fldCharType="separate"/>
        </w:r>
        <w:r w:rsidR="00F4601D">
          <w:rPr>
            <w:webHidden/>
          </w:rPr>
          <w:t>200</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95" w:history="1">
        <w:r w:rsidR="00C82498" w:rsidRPr="00435830">
          <w:rPr>
            <w:rStyle w:val="Hyperlink"/>
            <w:rFonts w:ascii="Times New Roman Bold" w:hAnsi="Times New Roman Bold"/>
            <w:specVanish/>
          </w:rPr>
          <w:t>9.</w:t>
        </w:r>
        <w:r w:rsidR="00C82498">
          <w:rPr>
            <w:rFonts w:asciiTheme="minorHAnsi" w:eastAsiaTheme="minorEastAsia" w:hAnsiTheme="minorHAnsi" w:cstheme="minorBidi"/>
            <w:b w:val="0"/>
            <w:bCs w:val="0"/>
            <w:sz w:val="22"/>
            <w:szCs w:val="22"/>
          </w:rPr>
          <w:tab/>
        </w:r>
        <w:r w:rsidR="00C82498" w:rsidRPr="00435830">
          <w:rPr>
            <w:rStyle w:val="Hyperlink"/>
          </w:rPr>
          <w:t>Settlement Agreement Among Trust Beneficiaries Void</w:t>
        </w:r>
        <w:r w:rsidR="00C82498">
          <w:rPr>
            <w:webHidden/>
          </w:rPr>
          <w:tab/>
        </w:r>
        <w:r w:rsidR="00C82498">
          <w:rPr>
            <w:webHidden/>
          </w:rPr>
          <w:fldChar w:fldCharType="begin"/>
        </w:r>
        <w:r w:rsidR="00C82498">
          <w:rPr>
            <w:webHidden/>
          </w:rPr>
          <w:instrText xml:space="preserve"> PAGEREF _Toc94704695 \h </w:instrText>
        </w:r>
        <w:r w:rsidR="00C82498">
          <w:rPr>
            <w:webHidden/>
          </w:rPr>
        </w:r>
        <w:r w:rsidR="00C82498">
          <w:rPr>
            <w:webHidden/>
          </w:rPr>
          <w:fldChar w:fldCharType="separate"/>
        </w:r>
        <w:r w:rsidR="00F4601D">
          <w:rPr>
            <w:webHidden/>
          </w:rPr>
          <w:t>203</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96" w:history="1">
        <w:r w:rsidR="00C82498" w:rsidRPr="00435830">
          <w:rPr>
            <w:rStyle w:val="Hyperlink"/>
            <w:rFonts w:ascii="Times New Roman Bold" w:hAnsi="Times New Roman Bold"/>
            <w:specVanish/>
          </w:rPr>
          <w:t>10.</w:t>
        </w:r>
        <w:r w:rsidR="00C82498">
          <w:rPr>
            <w:rFonts w:asciiTheme="minorHAnsi" w:eastAsiaTheme="minorEastAsia" w:hAnsiTheme="minorHAnsi" w:cstheme="minorBidi"/>
            <w:b w:val="0"/>
            <w:bCs w:val="0"/>
            <w:sz w:val="22"/>
            <w:szCs w:val="22"/>
          </w:rPr>
          <w:tab/>
        </w:r>
        <w:r w:rsidR="00C82498" w:rsidRPr="00435830">
          <w:rPr>
            <w:rStyle w:val="Hyperlink"/>
          </w:rPr>
          <w:t>Spousal Election And Revocable Trust – Indiana Law</w:t>
        </w:r>
        <w:r w:rsidR="00C82498">
          <w:rPr>
            <w:webHidden/>
          </w:rPr>
          <w:tab/>
        </w:r>
        <w:r w:rsidR="00C82498">
          <w:rPr>
            <w:webHidden/>
          </w:rPr>
          <w:fldChar w:fldCharType="begin"/>
        </w:r>
        <w:r w:rsidR="00C82498">
          <w:rPr>
            <w:webHidden/>
          </w:rPr>
          <w:instrText xml:space="preserve"> PAGEREF _Toc94704696 \h </w:instrText>
        </w:r>
        <w:r w:rsidR="00C82498">
          <w:rPr>
            <w:webHidden/>
          </w:rPr>
        </w:r>
        <w:r w:rsidR="00C82498">
          <w:rPr>
            <w:webHidden/>
          </w:rPr>
          <w:fldChar w:fldCharType="separate"/>
        </w:r>
        <w:r w:rsidR="00F4601D">
          <w:rPr>
            <w:webHidden/>
          </w:rPr>
          <w:t>206</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97" w:history="1">
        <w:r w:rsidR="00C82498" w:rsidRPr="00435830">
          <w:rPr>
            <w:rStyle w:val="Hyperlink"/>
            <w:rFonts w:ascii="Times New Roman Bold" w:hAnsi="Times New Roman Bold"/>
            <w:specVanish/>
          </w:rPr>
          <w:t>11.</w:t>
        </w:r>
        <w:r w:rsidR="00C82498">
          <w:rPr>
            <w:rFonts w:asciiTheme="minorHAnsi" w:eastAsiaTheme="minorEastAsia" w:hAnsiTheme="minorHAnsi" w:cstheme="minorBidi"/>
            <w:b w:val="0"/>
            <w:bCs w:val="0"/>
            <w:sz w:val="22"/>
            <w:szCs w:val="22"/>
          </w:rPr>
          <w:tab/>
        </w:r>
        <w:r w:rsidR="00C82498" w:rsidRPr="00435830">
          <w:rPr>
            <w:rStyle w:val="Hyperlink"/>
          </w:rPr>
          <w:t>Duty to Consider Other Assets When Making Distribution</w:t>
        </w:r>
        <w:r w:rsidR="00C82498">
          <w:rPr>
            <w:webHidden/>
          </w:rPr>
          <w:tab/>
        </w:r>
        <w:r w:rsidR="00C82498">
          <w:rPr>
            <w:webHidden/>
          </w:rPr>
          <w:fldChar w:fldCharType="begin"/>
        </w:r>
        <w:r w:rsidR="00C82498">
          <w:rPr>
            <w:webHidden/>
          </w:rPr>
          <w:instrText xml:space="preserve"> PAGEREF _Toc94704697 \h </w:instrText>
        </w:r>
        <w:r w:rsidR="00C82498">
          <w:rPr>
            <w:webHidden/>
          </w:rPr>
        </w:r>
        <w:r w:rsidR="00C82498">
          <w:rPr>
            <w:webHidden/>
          </w:rPr>
          <w:fldChar w:fldCharType="separate"/>
        </w:r>
        <w:r w:rsidR="00F4601D">
          <w:rPr>
            <w:webHidden/>
          </w:rPr>
          <w:t>209</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98" w:history="1">
        <w:r w:rsidR="00C82498" w:rsidRPr="00435830">
          <w:rPr>
            <w:rStyle w:val="Hyperlink"/>
            <w:rFonts w:ascii="Times New Roman Bold" w:hAnsi="Times New Roman Bold"/>
            <w:specVanish/>
          </w:rPr>
          <w:t>12.</w:t>
        </w:r>
        <w:r w:rsidR="00C82498">
          <w:rPr>
            <w:rFonts w:asciiTheme="minorHAnsi" w:eastAsiaTheme="minorEastAsia" w:hAnsiTheme="minorHAnsi" w:cstheme="minorBidi"/>
            <w:b w:val="0"/>
            <w:bCs w:val="0"/>
            <w:sz w:val="22"/>
            <w:szCs w:val="22"/>
          </w:rPr>
          <w:tab/>
        </w:r>
        <w:r w:rsidR="00C82498" w:rsidRPr="00435830">
          <w:rPr>
            <w:rStyle w:val="Hyperlink"/>
          </w:rPr>
          <w:t>Georgia Allows Beneficiaries To Amend Trust To Give Themselves The Power To Remove And Replace Trustees</w:t>
        </w:r>
        <w:r w:rsidR="00C82498">
          <w:rPr>
            <w:webHidden/>
          </w:rPr>
          <w:tab/>
        </w:r>
        <w:r w:rsidR="00C82498">
          <w:rPr>
            <w:webHidden/>
          </w:rPr>
          <w:fldChar w:fldCharType="begin"/>
        </w:r>
        <w:r w:rsidR="00C82498">
          <w:rPr>
            <w:webHidden/>
          </w:rPr>
          <w:instrText xml:space="preserve"> PAGEREF _Toc94704698 \h </w:instrText>
        </w:r>
        <w:r w:rsidR="00C82498">
          <w:rPr>
            <w:webHidden/>
          </w:rPr>
        </w:r>
        <w:r w:rsidR="00C82498">
          <w:rPr>
            <w:webHidden/>
          </w:rPr>
          <w:fldChar w:fldCharType="separate"/>
        </w:r>
        <w:r w:rsidR="00F4601D">
          <w:rPr>
            <w:webHidden/>
          </w:rPr>
          <w:t>210</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699" w:history="1">
        <w:r w:rsidR="00C82498" w:rsidRPr="00435830">
          <w:rPr>
            <w:rStyle w:val="Hyperlink"/>
            <w:rFonts w:ascii="Times New Roman Bold" w:hAnsi="Times New Roman Bold"/>
            <w:specVanish/>
          </w:rPr>
          <w:t>13.</w:t>
        </w:r>
        <w:r w:rsidR="00C82498">
          <w:rPr>
            <w:rFonts w:asciiTheme="minorHAnsi" w:eastAsiaTheme="minorEastAsia" w:hAnsiTheme="minorHAnsi" w:cstheme="minorBidi"/>
            <w:b w:val="0"/>
            <w:bCs w:val="0"/>
            <w:sz w:val="22"/>
            <w:szCs w:val="22"/>
          </w:rPr>
          <w:tab/>
        </w:r>
        <w:r w:rsidR="00C82498" w:rsidRPr="00435830">
          <w:rPr>
            <w:rStyle w:val="Hyperlink"/>
          </w:rPr>
          <w:t>Gift Causa Mortis</w:t>
        </w:r>
        <w:r w:rsidR="00C82498">
          <w:rPr>
            <w:webHidden/>
          </w:rPr>
          <w:tab/>
        </w:r>
        <w:r w:rsidR="00C82498">
          <w:rPr>
            <w:webHidden/>
          </w:rPr>
          <w:fldChar w:fldCharType="begin"/>
        </w:r>
        <w:r w:rsidR="00C82498">
          <w:rPr>
            <w:webHidden/>
          </w:rPr>
          <w:instrText xml:space="preserve"> PAGEREF _Toc94704699 \h </w:instrText>
        </w:r>
        <w:r w:rsidR="00C82498">
          <w:rPr>
            <w:webHidden/>
          </w:rPr>
        </w:r>
        <w:r w:rsidR="00C82498">
          <w:rPr>
            <w:webHidden/>
          </w:rPr>
          <w:fldChar w:fldCharType="separate"/>
        </w:r>
        <w:r w:rsidR="00F4601D">
          <w:rPr>
            <w:webHidden/>
          </w:rPr>
          <w:t>211</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700" w:history="1">
        <w:r w:rsidR="00C82498" w:rsidRPr="00435830">
          <w:rPr>
            <w:rStyle w:val="Hyperlink"/>
            <w:rFonts w:ascii="Times New Roman Bold" w:hAnsi="Times New Roman Bold"/>
            <w:specVanish/>
          </w:rPr>
          <w:t>14.</w:t>
        </w:r>
        <w:r w:rsidR="00C82498">
          <w:rPr>
            <w:rFonts w:asciiTheme="minorHAnsi" w:eastAsiaTheme="minorEastAsia" w:hAnsiTheme="minorHAnsi" w:cstheme="minorBidi"/>
            <w:b w:val="0"/>
            <w:bCs w:val="0"/>
            <w:sz w:val="22"/>
            <w:szCs w:val="22"/>
          </w:rPr>
          <w:tab/>
        </w:r>
        <w:r w:rsidR="00C82498" w:rsidRPr="00435830">
          <w:rPr>
            <w:rStyle w:val="Hyperlink"/>
          </w:rPr>
          <w:t>Parol Evidence Allowed In Virginia To Interpret Ambiguity</w:t>
        </w:r>
        <w:r w:rsidR="00C82498">
          <w:rPr>
            <w:webHidden/>
          </w:rPr>
          <w:tab/>
        </w:r>
        <w:r w:rsidR="00C82498">
          <w:rPr>
            <w:webHidden/>
          </w:rPr>
          <w:fldChar w:fldCharType="begin"/>
        </w:r>
        <w:r w:rsidR="00C82498">
          <w:rPr>
            <w:webHidden/>
          </w:rPr>
          <w:instrText xml:space="preserve"> PAGEREF _Toc94704700 \h </w:instrText>
        </w:r>
        <w:r w:rsidR="00C82498">
          <w:rPr>
            <w:webHidden/>
          </w:rPr>
        </w:r>
        <w:r w:rsidR="00C82498">
          <w:rPr>
            <w:webHidden/>
          </w:rPr>
          <w:fldChar w:fldCharType="separate"/>
        </w:r>
        <w:r w:rsidR="00F4601D">
          <w:rPr>
            <w:webHidden/>
          </w:rPr>
          <w:t>215</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701" w:history="1">
        <w:r w:rsidR="00C82498" w:rsidRPr="00435830">
          <w:rPr>
            <w:rStyle w:val="Hyperlink"/>
            <w:rFonts w:ascii="Times New Roman Bold" w:hAnsi="Times New Roman Bold"/>
            <w:specVanish/>
          </w:rPr>
          <w:t>15.</w:t>
        </w:r>
        <w:r w:rsidR="00C82498">
          <w:rPr>
            <w:rFonts w:asciiTheme="minorHAnsi" w:eastAsiaTheme="minorEastAsia" w:hAnsiTheme="minorHAnsi" w:cstheme="minorBidi"/>
            <w:b w:val="0"/>
            <w:bCs w:val="0"/>
            <w:sz w:val="22"/>
            <w:szCs w:val="22"/>
          </w:rPr>
          <w:tab/>
        </w:r>
        <w:r w:rsidR="00C82498" w:rsidRPr="00435830">
          <w:rPr>
            <w:rStyle w:val="Hyperlink"/>
          </w:rPr>
          <w:t>Separation Agreement Anticipating Divorce Waives Intestate Rights</w:t>
        </w:r>
        <w:r w:rsidR="00C82498">
          <w:rPr>
            <w:webHidden/>
          </w:rPr>
          <w:tab/>
        </w:r>
        <w:r w:rsidR="00C82498">
          <w:rPr>
            <w:webHidden/>
          </w:rPr>
          <w:fldChar w:fldCharType="begin"/>
        </w:r>
        <w:r w:rsidR="00C82498">
          <w:rPr>
            <w:webHidden/>
          </w:rPr>
          <w:instrText xml:space="preserve"> PAGEREF _Toc94704701 \h </w:instrText>
        </w:r>
        <w:r w:rsidR="00C82498">
          <w:rPr>
            <w:webHidden/>
          </w:rPr>
        </w:r>
        <w:r w:rsidR="00C82498">
          <w:rPr>
            <w:webHidden/>
          </w:rPr>
          <w:fldChar w:fldCharType="separate"/>
        </w:r>
        <w:r w:rsidR="00F4601D">
          <w:rPr>
            <w:webHidden/>
          </w:rPr>
          <w:t>217</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702" w:history="1">
        <w:r w:rsidR="00C82498" w:rsidRPr="00435830">
          <w:rPr>
            <w:rStyle w:val="Hyperlink"/>
            <w:rFonts w:ascii="Times New Roman Bold" w:hAnsi="Times New Roman Bold"/>
            <w:specVanish/>
          </w:rPr>
          <w:t>16.</w:t>
        </w:r>
        <w:r w:rsidR="00C82498">
          <w:rPr>
            <w:rFonts w:asciiTheme="minorHAnsi" w:eastAsiaTheme="minorEastAsia" w:hAnsiTheme="minorHAnsi" w:cstheme="minorBidi"/>
            <w:b w:val="0"/>
            <w:bCs w:val="0"/>
            <w:sz w:val="22"/>
            <w:szCs w:val="22"/>
          </w:rPr>
          <w:tab/>
        </w:r>
        <w:r w:rsidR="00C82498" w:rsidRPr="00435830">
          <w:rPr>
            <w:rStyle w:val="Hyperlink"/>
          </w:rPr>
          <w:t>Attorney Insurance Policy Does Not Cover Attorney Acting as Trustee</w:t>
        </w:r>
        <w:r w:rsidR="00C82498">
          <w:rPr>
            <w:webHidden/>
          </w:rPr>
          <w:tab/>
        </w:r>
        <w:r w:rsidR="00C82498">
          <w:rPr>
            <w:webHidden/>
          </w:rPr>
          <w:fldChar w:fldCharType="begin"/>
        </w:r>
        <w:r w:rsidR="00C82498">
          <w:rPr>
            <w:webHidden/>
          </w:rPr>
          <w:instrText xml:space="preserve"> PAGEREF _Toc94704702 \h </w:instrText>
        </w:r>
        <w:r w:rsidR="00C82498">
          <w:rPr>
            <w:webHidden/>
          </w:rPr>
        </w:r>
        <w:r w:rsidR="00C82498">
          <w:rPr>
            <w:webHidden/>
          </w:rPr>
          <w:fldChar w:fldCharType="separate"/>
        </w:r>
        <w:r w:rsidR="00F4601D">
          <w:rPr>
            <w:webHidden/>
          </w:rPr>
          <w:t>219</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703" w:history="1">
        <w:r w:rsidR="00C82498" w:rsidRPr="00435830">
          <w:rPr>
            <w:rStyle w:val="Hyperlink"/>
            <w:rFonts w:ascii="Times New Roman Bold" w:hAnsi="Times New Roman Bold"/>
            <w:specVanish/>
          </w:rPr>
          <w:t>17.</w:t>
        </w:r>
        <w:r w:rsidR="00C82498">
          <w:rPr>
            <w:rFonts w:asciiTheme="minorHAnsi" w:eastAsiaTheme="minorEastAsia" w:hAnsiTheme="minorHAnsi" w:cstheme="minorBidi"/>
            <w:b w:val="0"/>
            <w:bCs w:val="0"/>
            <w:sz w:val="22"/>
            <w:szCs w:val="22"/>
          </w:rPr>
          <w:tab/>
        </w:r>
        <w:r w:rsidR="00C82498" w:rsidRPr="00435830">
          <w:rPr>
            <w:rStyle w:val="Hyperlink"/>
          </w:rPr>
          <w:t>Trusts Reformed to Avoid Reciprocity</w:t>
        </w:r>
        <w:r w:rsidR="00C82498">
          <w:rPr>
            <w:webHidden/>
          </w:rPr>
          <w:tab/>
        </w:r>
        <w:r w:rsidR="00C82498">
          <w:rPr>
            <w:webHidden/>
          </w:rPr>
          <w:fldChar w:fldCharType="begin"/>
        </w:r>
        <w:r w:rsidR="00C82498">
          <w:rPr>
            <w:webHidden/>
          </w:rPr>
          <w:instrText xml:space="preserve"> PAGEREF _Toc94704703 \h </w:instrText>
        </w:r>
        <w:r w:rsidR="00C82498">
          <w:rPr>
            <w:webHidden/>
          </w:rPr>
        </w:r>
        <w:r w:rsidR="00C82498">
          <w:rPr>
            <w:webHidden/>
          </w:rPr>
          <w:fldChar w:fldCharType="separate"/>
        </w:r>
        <w:r w:rsidR="00F4601D">
          <w:rPr>
            <w:webHidden/>
          </w:rPr>
          <w:t>220</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704" w:history="1">
        <w:r w:rsidR="00C82498" w:rsidRPr="00435830">
          <w:rPr>
            <w:rStyle w:val="Hyperlink"/>
            <w:rFonts w:ascii="Times New Roman Bold" w:hAnsi="Times New Roman Bold"/>
            <w:specVanish/>
          </w:rPr>
          <w:t>18.</w:t>
        </w:r>
        <w:r w:rsidR="00C82498">
          <w:rPr>
            <w:rFonts w:asciiTheme="minorHAnsi" w:eastAsiaTheme="minorEastAsia" w:hAnsiTheme="minorHAnsi" w:cstheme="minorBidi"/>
            <w:b w:val="0"/>
            <w:bCs w:val="0"/>
            <w:sz w:val="22"/>
            <w:szCs w:val="22"/>
          </w:rPr>
          <w:tab/>
        </w:r>
        <w:r w:rsidR="00C82498" w:rsidRPr="00435830">
          <w:rPr>
            <w:rStyle w:val="Hyperlink"/>
          </w:rPr>
          <w:t>Ethical Obligation To Avoid Counseling Or Assisting A Client In A Criminal Or Fraudulent Situation</w:t>
        </w:r>
        <w:r w:rsidR="00C82498">
          <w:rPr>
            <w:webHidden/>
          </w:rPr>
          <w:tab/>
        </w:r>
        <w:r w:rsidR="00C82498">
          <w:rPr>
            <w:webHidden/>
          </w:rPr>
          <w:fldChar w:fldCharType="begin"/>
        </w:r>
        <w:r w:rsidR="00C82498">
          <w:rPr>
            <w:webHidden/>
          </w:rPr>
          <w:instrText xml:space="preserve"> PAGEREF _Toc94704704 \h </w:instrText>
        </w:r>
        <w:r w:rsidR="00C82498">
          <w:rPr>
            <w:webHidden/>
          </w:rPr>
        </w:r>
        <w:r w:rsidR="00C82498">
          <w:rPr>
            <w:webHidden/>
          </w:rPr>
          <w:fldChar w:fldCharType="separate"/>
        </w:r>
        <w:r w:rsidR="00F4601D">
          <w:rPr>
            <w:webHidden/>
          </w:rPr>
          <w:t>221</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705" w:history="1">
        <w:r w:rsidR="00C82498" w:rsidRPr="00435830">
          <w:rPr>
            <w:rStyle w:val="Hyperlink"/>
            <w:rFonts w:ascii="Times New Roman Bold" w:hAnsi="Times New Roman Bold"/>
            <w:specVanish/>
          </w:rPr>
          <w:t>19.</w:t>
        </w:r>
        <w:r w:rsidR="00C82498">
          <w:rPr>
            <w:rFonts w:asciiTheme="minorHAnsi" w:eastAsiaTheme="minorEastAsia" w:hAnsiTheme="minorHAnsi" w:cstheme="minorBidi"/>
            <w:b w:val="0"/>
            <w:bCs w:val="0"/>
            <w:sz w:val="22"/>
            <w:szCs w:val="22"/>
          </w:rPr>
          <w:tab/>
        </w:r>
        <w:r w:rsidR="00C82498" w:rsidRPr="00435830">
          <w:rPr>
            <w:rStyle w:val="Hyperlink"/>
          </w:rPr>
          <w:t>No-Contest Clause Applied</w:t>
        </w:r>
        <w:r w:rsidR="00C82498">
          <w:rPr>
            <w:webHidden/>
          </w:rPr>
          <w:tab/>
        </w:r>
        <w:r w:rsidR="00C82498">
          <w:rPr>
            <w:webHidden/>
          </w:rPr>
          <w:fldChar w:fldCharType="begin"/>
        </w:r>
        <w:r w:rsidR="00C82498">
          <w:rPr>
            <w:webHidden/>
          </w:rPr>
          <w:instrText xml:space="preserve"> PAGEREF _Toc94704705 \h </w:instrText>
        </w:r>
        <w:r w:rsidR="00C82498">
          <w:rPr>
            <w:webHidden/>
          </w:rPr>
        </w:r>
        <w:r w:rsidR="00C82498">
          <w:rPr>
            <w:webHidden/>
          </w:rPr>
          <w:fldChar w:fldCharType="separate"/>
        </w:r>
        <w:r w:rsidR="00F4601D">
          <w:rPr>
            <w:webHidden/>
          </w:rPr>
          <w:t>222</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706" w:history="1">
        <w:r w:rsidR="00C82498" w:rsidRPr="00435830">
          <w:rPr>
            <w:rStyle w:val="Hyperlink"/>
            <w:rFonts w:ascii="Times New Roman Bold" w:hAnsi="Times New Roman Bold"/>
            <w:specVanish/>
          </w:rPr>
          <w:t>20.</w:t>
        </w:r>
        <w:r w:rsidR="00C82498">
          <w:rPr>
            <w:rFonts w:asciiTheme="minorHAnsi" w:eastAsiaTheme="minorEastAsia" w:hAnsiTheme="minorHAnsi" w:cstheme="minorBidi"/>
            <w:b w:val="0"/>
            <w:bCs w:val="0"/>
            <w:sz w:val="22"/>
            <w:szCs w:val="22"/>
          </w:rPr>
          <w:tab/>
        </w:r>
        <w:r w:rsidR="00C82498" w:rsidRPr="00435830">
          <w:rPr>
            <w:rStyle w:val="Hyperlink"/>
          </w:rPr>
          <w:t>Self-Settled Trust Does Not Become Protected From Creditors After the Settlor’s Death</w:t>
        </w:r>
        <w:r w:rsidR="00C82498">
          <w:rPr>
            <w:webHidden/>
          </w:rPr>
          <w:tab/>
        </w:r>
        <w:r w:rsidR="00C82498">
          <w:rPr>
            <w:webHidden/>
          </w:rPr>
          <w:fldChar w:fldCharType="begin"/>
        </w:r>
        <w:r w:rsidR="00C82498">
          <w:rPr>
            <w:webHidden/>
          </w:rPr>
          <w:instrText xml:space="preserve"> PAGEREF _Toc94704706 \h </w:instrText>
        </w:r>
        <w:r w:rsidR="00C82498">
          <w:rPr>
            <w:webHidden/>
          </w:rPr>
        </w:r>
        <w:r w:rsidR="00C82498">
          <w:rPr>
            <w:webHidden/>
          </w:rPr>
          <w:fldChar w:fldCharType="separate"/>
        </w:r>
        <w:r w:rsidR="00F4601D">
          <w:rPr>
            <w:webHidden/>
          </w:rPr>
          <w:t>224</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707" w:history="1">
        <w:r w:rsidR="00C82498" w:rsidRPr="00435830">
          <w:rPr>
            <w:rStyle w:val="Hyperlink"/>
            <w:rFonts w:ascii="Times New Roman Bold" w:hAnsi="Times New Roman Bold"/>
            <w:specVanish/>
          </w:rPr>
          <w:t>21.</w:t>
        </w:r>
        <w:r w:rsidR="00C82498">
          <w:rPr>
            <w:rFonts w:asciiTheme="minorHAnsi" w:eastAsiaTheme="minorEastAsia" w:hAnsiTheme="minorHAnsi" w:cstheme="minorBidi"/>
            <w:b w:val="0"/>
            <w:bCs w:val="0"/>
            <w:sz w:val="22"/>
            <w:szCs w:val="22"/>
          </w:rPr>
          <w:tab/>
        </w:r>
        <w:r w:rsidR="00C82498" w:rsidRPr="00435830">
          <w:rPr>
            <w:rStyle w:val="Hyperlink"/>
          </w:rPr>
          <w:t>Gifts From Revocable Trust Made By Settlor</w:t>
        </w:r>
        <w:r w:rsidR="00C82498">
          <w:rPr>
            <w:webHidden/>
          </w:rPr>
          <w:tab/>
        </w:r>
        <w:r w:rsidR="00C82498">
          <w:rPr>
            <w:webHidden/>
          </w:rPr>
          <w:fldChar w:fldCharType="begin"/>
        </w:r>
        <w:r w:rsidR="00C82498">
          <w:rPr>
            <w:webHidden/>
          </w:rPr>
          <w:instrText xml:space="preserve"> PAGEREF _Toc94704707 \h </w:instrText>
        </w:r>
        <w:r w:rsidR="00C82498">
          <w:rPr>
            <w:webHidden/>
          </w:rPr>
        </w:r>
        <w:r w:rsidR="00C82498">
          <w:rPr>
            <w:webHidden/>
          </w:rPr>
          <w:fldChar w:fldCharType="separate"/>
        </w:r>
        <w:r w:rsidR="00F4601D">
          <w:rPr>
            <w:webHidden/>
          </w:rPr>
          <w:t>226</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708" w:history="1">
        <w:r w:rsidR="00C82498" w:rsidRPr="00435830">
          <w:rPr>
            <w:rStyle w:val="Hyperlink"/>
            <w:rFonts w:ascii="Times New Roman Bold" w:hAnsi="Times New Roman Bold"/>
            <w:specVanish/>
          </w:rPr>
          <w:t>22.</w:t>
        </w:r>
        <w:r w:rsidR="00C82498">
          <w:rPr>
            <w:rFonts w:asciiTheme="minorHAnsi" w:eastAsiaTheme="minorEastAsia" w:hAnsiTheme="minorHAnsi" w:cstheme="minorBidi"/>
            <w:b w:val="0"/>
            <w:bCs w:val="0"/>
            <w:sz w:val="22"/>
            <w:szCs w:val="22"/>
          </w:rPr>
          <w:tab/>
        </w:r>
        <w:r w:rsidR="00C82498" w:rsidRPr="00435830">
          <w:rPr>
            <w:rStyle w:val="Hyperlink"/>
          </w:rPr>
          <w:t>No “Adoption Out” Under Indiana Trust</w:t>
        </w:r>
        <w:r w:rsidR="00C82498">
          <w:rPr>
            <w:webHidden/>
          </w:rPr>
          <w:tab/>
        </w:r>
        <w:r w:rsidR="00C82498">
          <w:rPr>
            <w:webHidden/>
          </w:rPr>
          <w:fldChar w:fldCharType="begin"/>
        </w:r>
        <w:r w:rsidR="00C82498">
          <w:rPr>
            <w:webHidden/>
          </w:rPr>
          <w:instrText xml:space="preserve"> PAGEREF _Toc94704708 \h </w:instrText>
        </w:r>
        <w:r w:rsidR="00C82498">
          <w:rPr>
            <w:webHidden/>
          </w:rPr>
        </w:r>
        <w:r w:rsidR="00C82498">
          <w:rPr>
            <w:webHidden/>
          </w:rPr>
          <w:fldChar w:fldCharType="separate"/>
        </w:r>
        <w:r w:rsidR="00F4601D">
          <w:rPr>
            <w:webHidden/>
          </w:rPr>
          <w:t>227</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709" w:history="1">
        <w:r w:rsidR="00C82498" w:rsidRPr="00435830">
          <w:rPr>
            <w:rStyle w:val="Hyperlink"/>
            <w:rFonts w:ascii="Times New Roman Bold" w:hAnsi="Times New Roman Bold"/>
            <w:specVanish/>
          </w:rPr>
          <w:t>23.</w:t>
        </w:r>
        <w:r w:rsidR="00C82498">
          <w:rPr>
            <w:rFonts w:asciiTheme="minorHAnsi" w:eastAsiaTheme="minorEastAsia" w:hAnsiTheme="minorHAnsi" w:cstheme="minorBidi"/>
            <w:b w:val="0"/>
            <w:bCs w:val="0"/>
            <w:sz w:val="22"/>
            <w:szCs w:val="22"/>
          </w:rPr>
          <w:tab/>
        </w:r>
        <w:r w:rsidR="00C82498" w:rsidRPr="00435830">
          <w:rPr>
            <w:rStyle w:val="Hyperlink"/>
          </w:rPr>
          <w:t>The Ethics of Lawyers Working Remotely</w:t>
        </w:r>
        <w:r w:rsidR="00C82498">
          <w:rPr>
            <w:webHidden/>
          </w:rPr>
          <w:tab/>
        </w:r>
        <w:r w:rsidR="00C82498">
          <w:rPr>
            <w:webHidden/>
          </w:rPr>
          <w:fldChar w:fldCharType="begin"/>
        </w:r>
        <w:r w:rsidR="00C82498">
          <w:rPr>
            <w:webHidden/>
          </w:rPr>
          <w:instrText xml:space="preserve"> PAGEREF _Toc94704709 \h </w:instrText>
        </w:r>
        <w:r w:rsidR="00C82498">
          <w:rPr>
            <w:webHidden/>
          </w:rPr>
        </w:r>
        <w:r w:rsidR="00C82498">
          <w:rPr>
            <w:webHidden/>
          </w:rPr>
          <w:fldChar w:fldCharType="separate"/>
        </w:r>
        <w:r w:rsidR="00F4601D">
          <w:rPr>
            <w:webHidden/>
          </w:rPr>
          <w:t>229</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710" w:history="1">
        <w:r w:rsidR="00C82498" w:rsidRPr="00435830">
          <w:rPr>
            <w:rStyle w:val="Hyperlink"/>
            <w:rFonts w:ascii="Times New Roman Bold" w:hAnsi="Times New Roman Bold"/>
            <w:specVanish/>
          </w:rPr>
          <w:t>24.</w:t>
        </w:r>
        <w:r w:rsidR="00C82498">
          <w:rPr>
            <w:rFonts w:asciiTheme="minorHAnsi" w:eastAsiaTheme="minorEastAsia" w:hAnsiTheme="minorHAnsi" w:cstheme="minorBidi"/>
            <w:b w:val="0"/>
            <w:bCs w:val="0"/>
            <w:sz w:val="22"/>
            <w:szCs w:val="22"/>
          </w:rPr>
          <w:tab/>
        </w:r>
        <w:r w:rsidR="00C82498" w:rsidRPr="00435830">
          <w:rPr>
            <w:rStyle w:val="Hyperlink"/>
          </w:rPr>
          <w:t>Decanting</w:t>
        </w:r>
        <w:r w:rsidR="00C82498">
          <w:rPr>
            <w:webHidden/>
          </w:rPr>
          <w:tab/>
        </w:r>
        <w:r w:rsidR="00C82498">
          <w:rPr>
            <w:webHidden/>
          </w:rPr>
          <w:fldChar w:fldCharType="begin"/>
        </w:r>
        <w:r w:rsidR="00C82498">
          <w:rPr>
            <w:webHidden/>
          </w:rPr>
          <w:instrText xml:space="preserve"> PAGEREF _Toc94704710 \h </w:instrText>
        </w:r>
        <w:r w:rsidR="00C82498">
          <w:rPr>
            <w:webHidden/>
          </w:rPr>
        </w:r>
        <w:r w:rsidR="00C82498">
          <w:rPr>
            <w:webHidden/>
          </w:rPr>
          <w:fldChar w:fldCharType="separate"/>
        </w:r>
        <w:r w:rsidR="00F4601D">
          <w:rPr>
            <w:webHidden/>
          </w:rPr>
          <w:t>230</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711" w:history="1">
        <w:r w:rsidR="00C82498" w:rsidRPr="00435830">
          <w:rPr>
            <w:rStyle w:val="Hyperlink"/>
            <w:rFonts w:ascii="Times New Roman Bold" w:hAnsi="Times New Roman Bold" w:cstheme="minorHAnsi"/>
            <w:specVanish/>
          </w:rPr>
          <w:t>25.</w:t>
        </w:r>
        <w:r w:rsidR="00C82498">
          <w:rPr>
            <w:rFonts w:asciiTheme="minorHAnsi" w:eastAsiaTheme="minorEastAsia" w:hAnsiTheme="minorHAnsi" w:cstheme="minorBidi"/>
            <w:b w:val="0"/>
            <w:bCs w:val="0"/>
            <w:sz w:val="22"/>
            <w:szCs w:val="22"/>
          </w:rPr>
          <w:tab/>
        </w:r>
        <w:r w:rsidR="00C82498" w:rsidRPr="00435830">
          <w:rPr>
            <w:rStyle w:val="Hyperlink"/>
          </w:rPr>
          <w:t>Entity Transparency</w:t>
        </w:r>
        <w:r w:rsidR="00C82498">
          <w:rPr>
            <w:webHidden/>
          </w:rPr>
          <w:tab/>
        </w:r>
        <w:r w:rsidR="00C82498">
          <w:rPr>
            <w:webHidden/>
          </w:rPr>
          <w:fldChar w:fldCharType="begin"/>
        </w:r>
        <w:r w:rsidR="00C82498">
          <w:rPr>
            <w:webHidden/>
          </w:rPr>
          <w:instrText xml:space="preserve"> PAGEREF _Toc94704711 \h </w:instrText>
        </w:r>
        <w:r w:rsidR="00C82498">
          <w:rPr>
            <w:webHidden/>
          </w:rPr>
        </w:r>
        <w:r w:rsidR="00C82498">
          <w:rPr>
            <w:webHidden/>
          </w:rPr>
          <w:fldChar w:fldCharType="separate"/>
        </w:r>
        <w:r w:rsidR="00F4601D">
          <w:rPr>
            <w:webHidden/>
          </w:rPr>
          <w:t>232</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712" w:history="1">
        <w:r w:rsidR="00C82498" w:rsidRPr="00435830">
          <w:rPr>
            <w:rStyle w:val="Hyperlink"/>
            <w:rFonts w:ascii="Times New Roman Bold" w:hAnsi="Times New Roman Bold"/>
            <w:specVanish/>
          </w:rPr>
          <w:t>26.</w:t>
        </w:r>
        <w:r w:rsidR="00C82498">
          <w:rPr>
            <w:rFonts w:asciiTheme="minorHAnsi" w:eastAsiaTheme="minorEastAsia" w:hAnsiTheme="minorHAnsi" w:cstheme="minorBidi"/>
            <w:b w:val="0"/>
            <w:bCs w:val="0"/>
            <w:sz w:val="22"/>
            <w:szCs w:val="22"/>
          </w:rPr>
          <w:tab/>
        </w:r>
        <w:r w:rsidR="00C82498" w:rsidRPr="00435830">
          <w:rPr>
            <w:rStyle w:val="Hyperlink"/>
          </w:rPr>
          <w:t>Reformation of Special Needs Trust Allowed</w:t>
        </w:r>
        <w:r w:rsidR="00C82498">
          <w:rPr>
            <w:webHidden/>
          </w:rPr>
          <w:tab/>
        </w:r>
        <w:r w:rsidR="00C82498">
          <w:rPr>
            <w:webHidden/>
          </w:rPr>
          <w:fldChar w:fldCharType="begin"/>
        </w:r>
        <w:r w:rsidR="00C82498">
          <w:rPr>
            <w:webHidden/>
          </w:rPr>
          <w:instrText xml:space="preserve"> PAGEREF _Toc94704712 \h </w:instrText>
        </w:r>
        <w:r w:rsidR="00C82498">
          <w:rPr>
            <w:webHidden/>
          </w:rPr>
        </w:r>
        <w:r w:rsidR="00C82498">
          <w:rPr>
            <w:webHidden/>
          </w:rPr>
          <w:fldChar w:fldCharType="separate"/>
        </w:r>
        <w:r w:rsidR="00F4601D">
          <w:rPr>
            <w:webHidden/>
          </w:rPr>
          <w:t>233</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713" w:history="1">
        <w:r w:rsidR="00C82498" w:rsidRPr="00435830">
          <w:rPr>
            <w:rStyle w:val="Hyperlink"/>
            <w:rFonts w:ascii="Times New Roman Bold" w:hAnsi="Times New Roman Bold"/>
            <w:specVanish/>
          </w:rPr>
          <w:t>27.</w:t>
        </w:r>
        <w:r w:rsidR="00C82498">
          <w:rPr>
            <w:rFonts w:asciiTheme="minorHAnsi" w:eastAsiaTheme="minorEastAsia" w:hAnsiTheme="minorHAnsi" w:cstheme="minorBidi"/>
            <w:b w:val="0"/>
            <w:bCs w:val="0"/>
            <w:sz w:val="22"/>
            <w:szCs w:val="22"/>
          </w:rPr>
          <w:tab/>
        </w:r>
        <w:r w:rsidR="00C82498" w:rsidRPr="00435830">
          <w:rPr>
            <w:rStyle w:val="Hyperlink"/>
          </w:rPr>
          <w:t>Exercise of Power of Appointment</w:t>
        </w:r>
        <w:r w:rsidR="00C82498">
          <w:rPr>
            <w:webHidden/>
          </w:rPr>
          <w:tab/>
        </w:r>
        <w:r w:rsidR="00C82498">
          <w:rPr>
            <w:webHidden/>
          </w:rPr>
          <w:fldChar w:fldCharType="begin"/>
        </w:r>
        <w:r w:rsidR="00C82498">
          <w:rPr>
            <w:webHidden/>
          </w:rPr>
          <w:instrText xml:space="preserve"> PAGEREF _Toc94704713 \h </w:instrText>
        </w:r>
        <w:r w:rsidR="00C82498">
          <w:rPr>
            <w:webHidden/>
          </w:rPr>
        </w:r>
        <w:r w:rsidR="00C82498">
          <w:rPr>
            <w:webHidden/>
          </w:rPr>
          <w:fldChar w:fldCharType="separate"/>
        </w:r>
        <w:r w:rsidR="00F4601D">
          <w:rPr>
            <w:webHidden/>
          </w:rPr>
          <w:t>234</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714" w:history="1">
        <w:r w:rsidR="00C82498" w:rsidRPr="00435830">
          <w:rPr>
            <w:rStyle w:val="Hyperlink"/>
            <w:rFonts w:ascii="Times New Roman Bold" w:hAnsi="Times New Roman Bold"/>
            <w:specVanish/>
          </w:rPr>
          <w:t>28.</w:t>
        </w:r>
        <w:r w:rsidR="00C82498">
          <w:rPr>
            <w:rFonts w:asciiTheme="minorHAnsi" w:eastAsiaTheme="minorEastAsia" w:hAnsiTheme="minorHAnsi" w:cstheme="minorBidi"/>
            <w:b w:val="0"/>
            <w:bCs w:val="0"/>
            <w:sz w:val="22"/>
            <w:szCs w:val="22"/>
          </w:rPr>
          <w:tab/>
        </w:r>
        <w:r w:rsidR="00C82498" w:rsidRPr="00435830">
          <w:rPr>
            <w:rStyle w:val="Hyperlink"/>
          </w:rPr>
          <w:t>Trust Termination Would Violate Material Purpose (Nebraska)</w:t>
        </w:r>
        <w:r w:rsidR="00C82498">
          <w:rPr>
            <w:webHidden/>
          </w:rPr>
          <w:tab/>
        </w:r>
        <w:r w:rsidR="00C82498">
          <w:rPr>
            <w:webHidden/>
          </w:rPr>
          <w:fldChar w:fldCharType="begin"/>
        </w:r>
        <w:r w:rsidR="00C82498">
          <w:rPr>
            <w:webHidden/>
          </w:rPr>
          <w:instrText xml:space="preserve"> PAGEREF _Toc94704714 \h </w:instrText>
        </w:r>
        <w:r w:rsidR="00C82498">
          <w:rPr>
            <w:webHidden/>
          </w:rPr>
        </w:r>
        <w:r w:rsidR="00C82498">
          <w:rPr>
            <w:webHidden/>
          </w:rPr>
          <w:fldChar w:fldCharType="separate"/>
        </w:r>
        <w:r w:rsidR="00F4601D">
          <w:rPr>
            <w:webHidden/>
          </w:rPr>
          <w:t>239</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715" w:history="1">
        <w:r w:rsidR="00C82498" w:rsidRPr="00435830">
          <w:rPr>
            <w:rStyle w:val="Hyperlink"/>
            <w:rFonts w:ascii="Times New Roman Bold" w:hAnsi="Times New Roman Bold"/>
            <w:specVanish/>
          </w:rPr>
          <w:t>29.</w:t>
        </w:r>
        <w:r w:rsidR="00C82498">
          <w:rPr>
            <w:rFonts w:asciiTheme="minorHAnsi" w:eastAsiaTheme="minorEastAsia" w:hAnsiTheme="minorHAnsi" w:cstheme="minorBidi"/>
            <w:b w:val="0"/>
            <w:bCs w:val="0"/>
            <w:sz w:val="22"/>
            <w:szCs w:val="22"/>
          </w:rPr>
          <w:tab/>
        </w:r>
        <w:r w:rsidR="00C82498" w:rsidRPr="00435830">
          <w:rPr>
            <w:rStyle w:val="Hyperlink"/>
          </w:rPr>
          <w:t>Conflicts of Law – Will</w:t>
        </w:r>
        <w:r w:rsidR="00C82498">
          <w:rPr>
            <w:webHidden/>
          </w:rPr>
          <w:tab/>
        </w:r>
        <w:r w:rsidR="00C82498">
          <w:rPr>
            <w:webHidden/>
          </w:rPr>
          <w:fldChar w:fldCharType="begin"/>
        </w:r>
        <w:r w:rsidR="00C82498">
          <w:rPr>
            <w:webHidden/>
          </w:rPr>
          <w:instrText xml:space="preserve"> PAGEREF _Toc94704715 \h </w:instrText>
        </w:r>
        <w:r w:rsidR="00C82498">
          <w:rPr>
            <w:webHidden/>
          </w:rPr>
        </w:r>
        <w:r w:rsidR="00C82498">
          <w:rPr>
            <w:webHidden/>
          </w:rPr>
          <w:fldChar w:fldCharType="separate"/>
        </w:r>
        <w:r w:rsidR="00F4601D">
          <w:rPr>
            <w:webHidden/>
          </w:rPr>
          <w:t>240</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716" w:history="1">
        <w:r w:rsidR="00C82498" w:rsidRPr="00435830">
          <w:rPr>
            <w:rStyle w:val="Hyperlink"/>
            <w:rFonts w:ascii="Times New Roman Bold" w:hAnsi="Times New Roman Bold"/>
            <w:specVanish/>
          </w:rPr>
          <w:t>30.</w:t>
        </w:r>
        <w:r w:rsidR="00C82498">
          <w:rPr>
            <w:rFonts w:asciiTheme="minorHAnsi" w:eastAsiaTheme="minorEastAsia" w:hAnsiTheme="minorHAnsi" w:cstheme="minorBidi"/>
            <w:b w:val="0"/>
            <w:bCs w:val="0"/>
            <w:sz w:val="22"/>
            <w:szCs w:val="22"/>
          </w:rPr>
          <w:tab/>
        </w:r>
        <w:r w:rsidR="00C82498" w:rsidRPr="00435830">
          <w:rPr>
            <w:rStyle w:val="Hyperlink"/>
          </w:rPr>
          <w:t>Accepting Will Benefits Precludes Will Contest</w:t>
        </w:r>
        <w:r w:rsidR="00C82498">
          <w:rPr>
            <w:webHidden/>
          </w:rPr>
          <w:tab/>
        </w:r>
        <w:r w:rsidR="00C82498">
          <w:rPr>
            <w:webHidden/>
          </w:rPr>
          <w:fldChar w:fldCharType="begin"/>
        </w:r>
        <w:r w:rsidR="00C82498">
          <w:rPr>
            <w:webHidden/>
          </w:rPr>
          <w:instrText xml:space="preserve"> PAGEREF _Toc94704716 \h </w:instrText>
        </w:r>
        <w:r w:rsidR="00C82498">
          <w:rPr>
            <w:webHidden/>
          </w:rPr>
        </w:r>
        <w:r w:rsidR="00C82498">
          <w:rPr>
            <w:webHidden/>
          </w:rPr>
          <w:fldChar w:fldCharType="separate"/>
        </w:r>
        <w:r w:rsidR="00F4601D">
          <w:rPr>
            <w:webHidden/>
          </w:rPr>
          <w:t>242</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717" w:history="1">
        <w:r w:rsidR="00C82498" w:rsidRPr="00435830">
          <w:rPr>
            <w:rStyle w:val="Hyperlink"/>
            <w:rFonts w:ascii="Times New Roman Bold" w:hAnsi="Times New Roman Bold"/>
            <w:specVanish/>
          </w:rPr>
          <w:t>31.</w:t>
        </w:r>
        <w:r w:rsidR="00C82498">
          <w:rPr>
            <w:rFonts w:asciiTheme="minorHAnsi" w:eastAsiaTheme="minorEastAsia" w:hAnsiTheme="minorHAnsi" w:cstheme="minorBidi"/>
            <w:b w:val="0"/>
            <w:bCs w:val="0"/>
            <w:sz w:val="22"/>
            <w:szCs w:val="22"/>
          </w:rPr>
          <w:tab/>
        </w:r>
        <w:r w:rsidR="00C82498" w:rsidRPr="00435830">
          <w:rPr>
            <w:rStyle w:val="Hyperlink"/>
          </w:rPr>
          <w:t>Common-Law Same Sex Marriage May Be Based On Intent Before Same Sex Marriage Allowed</w:t>
        </w:r>
        <w:r w:rsidR="00C82498">
          <w:rPr>
            <w:webHidden/>
          </w:rPr>
          <w:tab/>
        </w:r>
        <w:r w:rsidR="00C82498">
          <w:rPr>
            <w:webHidden/>
          </w:rPr>
          <w:fldChar w:fldCharType="begin"/>
        </w:r>
        <w:r w:rsidR="00C82498">
          <w:rPr>
            <w:webHidden/>
          </w:rPr>
          <w:instrText xml:space="preserve"> PAGEREF _Toc94704717 \h </w:instrText>
        </w:r>
        <w:r w:rsidR="00C82498">
          <w:rPr>
            <w:webHidden/>
          </w:rPr>
        </w:r>
        <w:r w:rsidR="00C82498">
          <w:rPr>
            <w:webHidden/>
          </w:rPr>
          <w:fldChar w:fldCharType="separate"/>
        </w:r>
        <w:r w:rsidR="00F4601D">
          <w:rPr>
            <w:webHidden/>
          </w:rPr>
          <w:t>243</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718" w:history="1">
        <w:r w:rsidR="00C82498" w:rsidRPr="00435830">
          <w:rPr>
            <w:rStyle w:val="Hyperlink"/>
            <w:rFonts w:ascii="Times New Roman Bold" w:hAnsi="Times New Roman Bold"/>
            <w:specVanish/>
          </w:rPr>
          <w:t>32.</w:t>
        </w:r>
        <w:r w:rsidR="00C82498">
          <w:rPr>
            <w:rFonts w:asciiTheme="minorHAnsi" w:eastAsiaTheme="minorEastAsia" w:hAnsiTheme="minorHAnsi" w:cstheme="minorBidi"/>
            <w:b w:val="0"/>
            <w:bCs w:val="0"/>
            <w:sz w:val="22"/>
            <w:szCs w:val="22"/>
          </w:rPr>
          <w:tab/>
        </w:r>
        <w:r w:rsidR="00C82498" w:rsidRPr="00435830">
          <w:rPr>
            <w:rStyle w:val="Hyperlink"/>
          </w:rPr>
          <w:t>Non-Participants In Mediation Beware</w:t>
        </w:r>
        <w:r w:rsidR="00C82498">
          <w:rPr>
            <w:webHidden/>
          </w:rPr>
          <w:tab/>
        </w:r>
        <w:r w:rsidR="00C82498">
          <w:rPr>
            <w:webHidden/>
          </w:rPr>
          <w:fldChar w:fldCharType="begin"/>
        </w:r>
        <w:r w:rsidR="00C82498">
          <w:rPr>
            <w:webHidden/>
          </w:rPr>
          <w:instrText xml:space="preserve"> PAGEREF _Toc94704718 \h </w:instrText>
        </w:r>
        <w:r w:rsidR="00C82498">
          <w:rPr>
            <w:webHidden/>
          </w:rPr>
        </w:r>
        <w:r w:rsidR="00C82498">
          <w:rPr>
            <w:webHidden/>
          </w:rPr>
          <w:fldChar w:fldCharType="separate"/>
        </w:r>
        <w:r w:rsidR="00F4601D">
          <w:rPr>
            <w:webHidden/>
          </w:rPr>
          <w:t>245</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719" w:history="1">
        <w:r w:rsidR="00C82498" w:rsidRPr="00435830">
          <w:rPr>
            <w:rStyle w:val="Hyperlink"/>
            <w:rFonts w:ascii="Times New Roman Bold" w:hAnsi="Times New Roman Bold"/>
            <w:specVanish/>
          </w:rPr>
          <w:t>33.</w:t>
        </w:r>
        <w:r w:rsidR="00C82498">
          <w:rPr>
            <w:rFonts w:asciiTheme="minorHAnsi" w:eastAsiaTheme="minorEastAsia" w:hAnsiTheme="minorHAnsi" w:cstheme="minorBidi"/>
            <w:b w:val="0"/>
            <w:bCs w:val="0"/>
            <w:sz w:val="22"/>
            <w:szCs w:val="22"/>
          </w:rPr>
          <w:tab/>
        </w:r>
        <w:r w:rsidR="00C82498" w:rsidRPr="00435830">
          <w:rPr>
            <w:rStyle w:val="Hyperlink"/>
          </w:rPr>
          <w:t>Virginia Supreme Court Does Not Know What “Fair Market Value” Means</w:t>
        </w:r>
        <w:r w:rsidR="00C82498">
          <w:rPr>
            <w:webHidden/>
          </w:rPr>
          <w:tab/>
        </w:r>
        <w:r w:rsidR="00C82498">
          <w:rPr>
            <w:webHidden/>
          </w:rPr>
          <w:fldChar w:fldCharType="begin"/>
        </w:r>
        <w:r w:rsidR="00C82498">
          <w:rPr>
            <w:webHidden/>
          </w:rPr>
          <w:instrText xml:space="preserve"> PAGEREF _Toc94704719 \h </w:instrText>
        </w:r>
        <w:r w:rsidR="00C82498">
          <w:rPr>
            <w:webHidden/>
          </w:rPr>
        </w:r>
        <w:r w:rsidR="00C82498">
          <w:rPr>
            <w:webHidden/>
          </w:rPr>
          <w:fldChar w:fldCharType="separate"/>
        </w:r>
        <w:r w:rsidR="00F4601D">
          <w:rPr>
            <w:webHidden/>
          </w:rPr>
          <w:t>245</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720" w:history="1">
        <w:r w:rsidR="00C82498" w:rsidRPr="00435830">
          <w:rPr>
            <w:rStyle w:val="Hyperlink"/>
            <w:rFonts w:ascii="Times New Roman Bold" w:hAnsi="Times New Roman Bold"/>
            <w:specVanish/>
          </w:rPr>
          <w:t>34.</w:t>
        </w:r>
        <w:r w:rsidR="00C82498">
          <w:rPr>
            <w:rFonts w:asciiTheme="minorHAnsi" w:eastAsiaTheme="minorEastAsia" w:hAnsiTheme="minorHAnsi" w:cstheme="minorBidi"/>
            <w:b w:val="0"/>
            <w:bCs w:val="0"/>
            <w:sz w:val="22"/>
            <w:szCs w:val="22"/>
          </w:rPr>
          <w:tab/>
        </w:r>
        <w:r w:rsidR="00C82498" w:rsidRPr="00435830">
          <w:rPr>
            <w:rStyle w:val="Hyperlink"/>
          </w:rPr>
          <w:t>Court In One State Applying The Law of Another Is Problematic</w:t>
        </w:r>
        <w:r w:rsidR="00C82498">
          <w:rPr>
            <w:webHidden/>
          </w:rPr>
          <w:tab/>
        </w:r>
        <w:r w:rsidR="00C82498">
          <w:rPr>
            <w:webHidden/>
          </w:rPr>
          <w:fldChar w:fldCharType="begin"/>
        </w:r>
        <w:r w:rsidR="00C82498">
          <w:rPr>
            <w:webHidden/>
          </w:rPr>
          <w:instrText xml:space="preserve"> PAGEREF _Toc94704720 \h </w:instrText>
        </w:r>
        <w:r w:rsidR="00C82498">
          <w:rPr>
            <w:webHidden/>
          </w:rPr>
        </w:r>
        <w:r w:rsidR="00C82498">
          <w:rPr>
            <w:webHidden/>
          </w:rPr>
          <w:fldChar w:fldCharType="separate"/>
        </w:r>
        <w:r w:rsidR="00F4601D">
          <w:rPr>
            <w:webHidden/>
          </w:rPr>
          <w:t>246</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721" w:history="1">
        <w:r w:rsidR="00C82498" w:rsidRPr="00435830">
          <w:rPr>
            <w:rStyle w:val="Hyperlink"/>
            <w:rFonts w:ascii="Times New Roman Bold" w:hAnsi="Times New Roman Bold"/>
            <w:specVanish/>
          </w:rPr>
          <w:t>35.</w:t>
        </w:r>
        <w:r w:rsidR="00C82498">
          <w:rPr>
            <w:rFonts w:asciiTheme="minorHAnsi" w:eastAsiaTheme="minorEastAsia" w:hAnsiTheme="minorHAnsi" w:cstheme="minorBidi"/>
            <w:b w:val="0"/>
            <w:bCs w:val="0"/>
            <w:sz w:val="22"/>
            <w:szCs w:val="22"/>
          </w:rPr>
          <w:tab/>
        </w:r>
        <w:r w:rsidR="00C82498" w:rsidRPr="00435830">
          <w:rPr>
            <w:rStyle w:val="Hyperlink"/>
          </w:rPr>
          <w:t>In Terrorem Clause In An Undue Influence Situation</w:t>
        </w:r>
        <w:r w:rsidR="00C82498">
          <w:rPr>
            <w:webHidden/>
          </w:rPr>
          <w:tab/>
        </w:r>
        <w:r w:rsidR="00C82498">
          <w:rPr>
            <w:webHidden/>
          </w:rPr>
          <w:fldChar w:fldCharType="begin"/>
        </w:r>
        <w:r w:rsidR="00C82498">
          <w:rPr>
            <w:webHidden/>
          </w:rPr>
          <w:instrText xml:space="preserve"> PAGEREF _Toc94704721 \h </w:instrText>
        </w:r>
        <w:r w:rsidR="00C82498">
          <w:rPr>
            <w:webHidden/>
          </w:rPr>
        </w:r>
        <w:r w:rsidR="00C82498">
          <w:rPr>
            <w:webHidden/>
          </w:rPr>
          <w:fldChar w:fldCharType="separate"/>
        </w:r>
        <w:r w:rsidR="00F4601D">
          <w:rPr>
            <w:webHidden/>
          </w:rPr>
          <w:t>249</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722" w:history="1">
        <w:r w:rsidR="00C82498" w:rsidRPr="00435830">
          <w:rPr>
            <w:rStyle w:val="Hyperlink"/>
            <w:rFonts w:ascii="Times New Roman Bold" w:hAnsi="Times New Roman Bold"/>
            <w:specVanish/>
          </w:rPr>
          <w:t>36.</w:t>
        </w:r>
        <w:r w:rsidR="00C82498">
          <w:rPr>
            <w:rFonts w:asciiTheme="minorHAnsi" w:eastAsiaTheme="minorEastAsia" w:hAnsiTheme="minorHAnsi" w:cstheme="minorBidi"/>
            <w:b w:val="0"/>
            <w:bCs w:val="0"/>
            <w:sz w:val="22"/>
            <w:szCs w:val="22"/>
          </w:rPr>
          <w:tab/>
        </w:r>
        <w:r w:rsidR="00C82498" w:rsidRPr="00435830">
          <w:rPr>
            <w:rStyle w:val="Hyperlink"/>
          </w:rPr>
          <w:t>Family That’s Near Versus With, Can Make A Big Difference</w:t>
        </w:r>
        <w:r w:rsidR="00C82498">
          <w:rPr>
            <w:webHidden/>
          </w:rPr>
          <w:tab/>
        </w:r>
        <w:r w:rsidR="00C82498">
          <w:rPr>
            <w:webHidden/>
          </w:rPr>
          <w:fldChar w:fldCharType="begin"/>
        </w:r>
        <w:r w:rsidR="00C82498">
          <w:rPr>
            <w:webHidden/>
          </w:rPr>
          <w:instrText xml:space="preserve"> PAGEREF _Toc94704722 \h </w:instrText>
        </w:r>
        <w:r w:rsidR="00C82498">
          <w:rPr>
            <w:webHidden/>
          </w:rPr>
        </w:r>
        <w:r w:rsidR="00C82498">
          <w:rPr>
            <w:webHidden/>
          </w:rPr>
          <w:fldChar w:fldCharType="separate"/>
        </w:r>
        <w:r w:rsidR="00F4601D">
          <w:rPr>
            <w:webHidden/>
          </w:rPr>
          <w:t>253</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723" w:history="1">
        <w:r w:rsidR="00C82498" w:rsidRPr="00435830">
          <w:rPr>
            <w:rStyle w:val="Hyperlink"/>
            <w:rFonts w:ascii="Times New Roman Bold" w:hAnsi="Times New Roman Bold"/>
            <w:specVanish/>
          </w:rPr>
          <w:t>37.</w:t>
        </w:r>
        <w:r w:rsidR="00C82498">
          <w:rPr>
            <w:rFonts w:asciiTheme="minorHAnsi" w:eastAsiaTheme="minorEastAsia" w:hAnsiTheme="minorHAnsi" w:cstheme="minorBidi"/>
            <w:b w:val="0"/>
            <w:bCs w:val="0"/>
            <w:sz w:val="22"/>
            <w:szCs w:val="22"/>
          </w:rPr>
          <w:tab/>
        </w:r>
        <w:r w:rsidR="00C82498" w:rsidRPr="00435830">
          <w:rPr>
            <w:rStyle w:val="Hyperlink"/>
          </w:rPr>
          <w:t>Trust Protector Subject To Indirect Undue Influence</w:t>
        </w:r>
        <w:r w:rsidR="00C82498">
          <w:rPr>
            <w:webHidden/>
          </w:rPr>
          <w:tab/>
        </w:r>
        <w:r w:rsidR="00C82498">
          <w:rPr>
            <w:webHidden/>
          </w:rPr>
          <w:fldChar w:fldCharType="begin"/>
        </w:r>
        <w:r w:rsidR="00C82498">
          <w:rPr>
            <w:webHidden/>
          </w:rPr>
          <w:instrText xml:space="preserve"> PAGEREF _Toc94704723 \h </w:instrText>
        </w:r>
        <w:r w:rsidR="00C82498">
          <w:rPr>
            <w:webHidden/>
          </w:rPr>
        </w:r>
        <w:r w:rsidR="00C82498">
          <w:rPr>
            <w:webHidden/>
          </w:rPr>
          <w:fldChar w:fldCharType="separate"/>
        </w:r>
        <w:r w:rsidR="00F4601D">
          <w:rPr>
            <w:webHidden/>
          </w:rPr>
          <w:t>256</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724" w:history="1">
        <w:r w:rsidR="00C82498" w:rsidRPr="00435830">
          <w:rPr>
            <w:rStyle w:val="Hyperlink"/>
            <w:rFonts w:ascii="Times New Roman Bold" w:hAnsi="Times New Roman Bold"/>
            <w:specVanish/>
          </w:rPr>
          <w:t>38.</w:t>
        </w:r>
        <w:r w:rsidR="00C82498">
          <w:rPr>
            <w:rFonts w:asciiTheme="minorHAnsi" w:eastAsiaTheme="minorEastAsia" w:hAnsiTheme="minorHAnsi" w:cstheme="minorBidi"/>
            <w:b w:val="0"/>
            <w:bCs w:val="0"/>
            <w:sz w:val="22"/>
            <w:szCs w:val="22"/>
          </w:rPr>
          <w:tab/>
        </w:r>
        <w:r w:rsidR="00C82498" w:rsidRPr="00435830">
          <w:rPr>
            <w:rStyle w:val="Hyperlink"/>
          </w:rPr>
          <w:t>Co-Trustee May Not Later Challenge A Decanting In Equity</w:t>
        </w:r>
        <w:r w:rsidR="00C82498">
          <w:rPr>
            <w:webHidden/>
          </w:rPr>
          <w:tab/>
        </w:r>
        <w:r w:rsidR="00C82498">
          <w:rPr>
            <w:webHidden/>
          </w:rPr>
          <w:fldChar w:fldCharType="begin"/>
        </w:r>
        <w:r w:rsidR="00C82498">
          <w:rPr>
            <w:webHidden/>
          </w:rPr>
          <w:instrText xml:space="preserve"> PAGEREF _Toc94704724 \h </w:instrText>
        </w:r>
        <w:r w:rsidR="00C82498">
          <w:rPr>
            <w:webHidden/>
          </w:rPr>
        </w:r>
        <w:r w:rsidR="00C82498">
          <w:rPr>
            <w:webHidden/>
          </w:rPr>
          <w:fldChar w:fldCharType="separate"/>
        </w:r>
        <w:r w:rsidR="00F4601D">
          <w:rPr>
            <w:webHidden/>
          </w:rPr>
          <w:t>259</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725" w:history="1">
        <w:r w:rsidR="00C82498" w:rsidRPr="00435830">
          <w:rPr>
            <w:rStyle w:val="Hyperlink"/>
            <w:rFonts w:ascii="Times New Roman Bold" w:hAnsi="Times New Roman Bold"/>
            <w:specVanish/>
          </w:rPr>
          <w:t>39.</w:t>
        </w:r>
        <w:r w:rsidR="00C82498">
          <w:rPr>
            <w:rFonts w:asciiTheme="minorHAnsi" w:eastAsiaTheme="minorEastAsia" w:hAnsiTheme="minorHAnsi" w:cstheme="minorBidi"/>
            <w:b w:val="0"/>
            <w:bCs w:val="0"/>
            <w:sz w:val="22"/>
            <w:szCs w:val="22"/>
          </w:rPr>
          <w:tab/>
        </w:r>
        <w:r w:rsidR="00C82498" w:rsidRPr="00435830">
          <w:rPr>
            <w:rStyle w:val="Hyperlink"/>
          </w:rPr>
          <w:t>Attorney-Client Privilege After Client’s Death</w:t>
        </w:r>
        <w:r w:rsidR="00C82498">
          <w:rPr>
            <w:webHidden/>
          </w:rPr>
          <w:tab/>
        </w:r>
        <w:r w:rsidR="00C82498">
          <w:rPr>
            <w:webHidden/>
          </w:rPr>
          <w:fldChar w:fldCharType="begin"/>
        </w:r>
        <w:r w:rsidR="00C82498">
          <w:rPr>
            <w:webHidden/>
          </w:rPr>
          <w:instrText xml:space="preserve"> PAGEREF _Toc94704725 \h </w:instrText>
        </w:r>
        <w:r w:rsidR="00C82498">
          <w:rPr>
            <w:webHidden/>
          </w:rPr>
        </w:r>
        <w:r w:rsidR="00C82498">
          <w:rPr>
            <w:webHidden/>
          </w:rPr>
          <w:fldChar w:fldCharType="separate"/>
        </w:r>
        <w:r w:rsidR="00F4601D">
          <w:rPr>
            <w:webHidden/>
          </w:rPr>
          <w:t>260</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726" w:history="1">
        <w:r w:rsidR="00C82498" w:rsidRPr="00435830">
          <w:rPr>
            <w:rStyle w:val="Hyperlink"/>
            <w:rFonts w:ascii="Times New Roman Bold" w:hAnsi="Times New Roman Bold"/>
            <w:specVanish/>
          </w:rPr>
          <w:t>40.</w:t>
        </w:r>
        <w:r w:rsidR="00C82498">
          <w:rPr>
            <w:rFonts w:asciiTheme="minorHAnsi" w:eastAsiaTheme="minorEastAsia" w:hAnsiTheme="minorHAnsi" w:cstheme="minorBidi"/>
            <w:b w:val="0"/>
            <w:bCs w:val="0"/>
            <w:sz w:val="22"/>
            <w:szCs w:val="22"/>
          </w:rPr>
          <w:tab/>
        </w:r>
        <w:r w:rsidR="00C82498" w:rsidRPr="00435830">
          <w:rPr>
            <w:rStyle w:val="Hyperlink"/>
          </w:rPr>
          <w:t>Restriction on Sale of Land Not Allowed in Iowa</w:t>
        </w:r>
        <w:r w:rsidR="00C82498">
          <w:rPr>
            <w:webHidden/>
          </w:rPr>
          <w:tab/>
        </w:r>
        <w:r w:rsidR="00C82498">
          <w:rPr>
            <w:webHidden/>
          </w:rPr>
          <w:fldChar w:fldCharType="begin"/>
        </w:r>
        <w:r w:rsidR="00C82498">
          <w:rPr>
            <w:webHidden/>
          </w:rPr>
          <w:instrText xml:space="preserve"> PAGEREF _Toc94704726 \h </w:instrText>
        </w:r>
        <w:r w:rsidR="00C82498">
          <w:rPr>
            <w:webHidden/>
          </w:rPr>
        </w:r>
        <w:r w:rsidR="00C82498">
          <w:rPr>
            <w:webHidden/>
          </w:rPr>
          <w:fldChar w:fldCharType="separate"/>
        </w:r>
        <w:r w:rsidR="00F4601D">
          <w:rPr>
            <w:webHidden/>
          </w:rPr>
          <w:t>263</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727" w:history="1">
        <w:r w:rsidR="00C82498" w:rsidRPr="00435830">
          <w:rPr>
            <w:rStyle w:val="Hyperlink"/>
            <w:rFonts w:ascii="Times New Roman Bold" w:hAnsi="Times New Roman Bold"/>
            <w:specVanish/>
          </w:rPr>
          <w:t>41.</w:t>
        </w:r>
        <w:r w:rsidR="00C82498">
          <w:rPr>
            <w:rFonts w:asciiTheme="minorHAnsi" w:eastAsiaTheme="minorEastAsia" w:hAnsiTheme="minorHAnsi" w:cstheme="minorBidi"/>
            <w:b w:val="0"/>
            <w:bCs w:val="0"/>
            <w:sz w:val="22"/>
            <w:szCs w:val="22"/>
          </w:rPr>
          <w:tab/>
        </w:r>
        <w:r w:rsidR="00C82498" w:rsidRPr="00435830">
          <w:rPr>
            <w:rStyle w:val="Hyperlink"/>
          </w:rPr>
          <w:t>Place of Celebration Controls Existence of Marriage</w:t>
        </w:r>
        <w:r w:rsidR="00C82498">
          <w:rPr>
            <w:webHidden/>
          </w:rPr>
          <w:tab/>
        </w:r>
        <w:r w:rsidR="00C82498">
          <w:rPr>
            <w:webHidden/>
          </w:rPr>
          <w:fldChar w:fldCharType="begin"/>
        </w:r>
        <w:r w:rsidR="00C82498">
          <w:rPr>
            <w:webHidden/>
          </w:rPr>
          <w:instrText xml:space="preserve"> PAGEREF _Toc94704727 \h </w:instrText>
        </w:r>
        <w:r w:rsidR="00C82498">
          <w:rPr>
            <w:webHidden/>
          </w:rPr>
        </w:r>
        <w:r w:rsidR="00C82498">
          <w:rPr>
            <w:webHidden/>
          </w:rPr>
          <w:fldChar w:fldCharType="separate"/>
        </w:r>
        <w:r w:rsidR="00F4601D">
          <w:rPr>
            <w:webHidden/>
          </w:rPr>
          <w:t>265</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728" w:history="1">
        <w:r w:rsidR="00C82498" w:rsidRPr="00435830">
          <w:rPr>
            <w:rStyle w:val="Hyperlink"/>
            <w:rFonts w:ascii="Times New Roman Bold" w:hAnsi="Times New Roman Bold"/>
            <w:specVanish/>
          </w:rPr>
          <w:t>42.</w:t>
        </w:r>
        <w:r w:rsidR="00C82498">
          <w:rPr>
            <w:rFonts w:asciiTheme="minorHAnsi" w:eastAsiaTheme="minorEastAsia" w:hAnsiTheme="minorHAnsi" w:cstheme="minorBidi"/>
            <w:b w:val="0"/>
            <w:bCs w:val="0"/>
            <w:sz w:val="22"/>
            <w:szCs w:val="22"/>
          </w:rPr>
          <w:tab/>
        </w:r>
        <w:r w:rsidR="00C82498" w:rsidRPr="00435830">
          <w:rPr>
            <w:rStyle w:val="Hyperlink"/>
          </w:rPr>
          <w:t>Power to Appoint to Charity Does Not Create Countable Assets for Medicaid Purposes</w:t>
        </w:r>
        <w:r w:rsidR="00C82498">
          <w:rPr>
            <w:webHidden/>
          </w:rPr>
          <w:tab/>
        </w:r>
        <w:r w:rsidR="00C82498">
          <w:rPr>
            <w:webHidden/>
          </w:rPr>
          <w:fldChar w:fldCharType="begin"/>
        </w:r>
        <w:r w:rsidR="00C82498">
          <w:rPr>
            <w:webHidden/>
          </w:rPr>
          <w:instrText xml:space="preserve"> PAGEREF _Toc94704728 \h </w:instrText>
        </w:r>
        <w:r w:rsidR="00C82498">
          <w:rPr>
            <w:webHidden/>
          </w:rPr>
        </w:r>
        <w:r w:rsidR="00C82498">
          <w:rPr>
            <w:webHidden/>
          </w:rPr>
          <w:fldChar w:fldCharType="separate"/>
        </w:r>
        <w:r w:rsidR="00F4601D">
          <w:rPr>
            <w:webHidden/>
          </w:rPr>
          <w:t>266</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729" w:history="1">
        <w:r w:rsidR="00C82498" w:rsidRPr="00435830">
          <w:rPr>
            <w:rStyle w:val="Hyperlink"/>
            <w:rFonts w:ascii="Times New Roman Bold" w:hAnsi="Times New Roman Bold"/>
            <w:specVanish/>
          </w:rPr>
          <w:t>43.</w:t>
        </w:r>
        <w:r w:rsidR="00C82498">
          <w:rPr>
            <w:rFonts w:asciiTheme="minorHAnsi" w:eastAsiaTheme="minorEastAsia" w:hAnsiTheme="minorHAnsi" w:cstheme="minorBidi"/>
            <w:b w:val="0"/>
            <w:bCs w:val="0"/>
            <w:sz w:val="22"/>
            <w:szCs w:val="22"/>
          </w:rPr>
          <w:tab/>
        </w:r>
        <w:r w:rsidR="00C82498" w:rsidRPr="00435830">
          <w:rPr>
            <w:rStyle w:val="Hyperlink"/>
          </w:rPr>
          <w:t>Ethics of Lawyer Responding to On-Line Criticism</w:t>
        </w:r>
        <w:r w:rsidR="00C82498">
          <w:rPr>
            <w:webHidden/>
          </w:rPr>
          <w:tab/>
        </w:r>
        <w:r w:rsidR="00C82498">
          <w:rPr>
            <w:webHidden/>
          </w:rPr>
          <w:fldChar w:fldCharType="begin"/>
        </w:r>
        <w:r w:rsidR="00C82498">
          <w:rPr>
            <w:webHidden/>
          </w:rPr>
          <w:instrText xml:space="preserve"> PAGEREF _Toc94704729 \h </w:instrText>
        </w:r>
        <w:r w:rsidR="00C82498">
          <w:rPr>
            <w:webHidden/>
          </w:rPr>
        </w:r>
        <w:r w:rsidR="00C82498">
          <w:rPr>
            <w:webHidden/>
          </w:rPr>
          <w:fldChar w:fldCharType="separate"/>
        </w:r>
        <w:r w:rsidR="00F4601D">
          <w:rPr>
            <w:webHidden/>
          </w:rPr>
          <w:t>267</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730" w:history="1">
        <w:r w:rsidR="00C82498" w:rsidRPr="00435830">
          <w:rPr>
            <w:rStyle w:val="Hyperlink"/>
            <w:rFonts w:ascii="Times New Roman Bold" w:hAnsi="Times New Roman Bold"/>
            <w:specVanish/>
          </w:rPr>
          <w:t>44.</w:t>
        </w:r>
        <w:r w:rsidR="00C82498">
          <w:rPr>
            <w:rFonts w:asciiTheme="minorHAnsi" w:eastAsiaTheme="minorEastAsia" w:hAnsiTheme="minorHAnsi" w:cstheme="minorBidi"/>
            <w:b w:val="0"/>
            <w:bCs w:val="0"/>
            <w:sz w:val="22"/>
            <w:szCs w:val="22"/>
          </w:rPr>
          <w:tab/>
        </w:r>
        <w:r w:rsidR="00C82498" w:rsidRPr="00435830">
          <w:rPr>
            <w:rStyle w:val="Hyperlink"/>
          </w:rPr>
          <w:t>Amount of Wrongful Death Proceeds Included in An Estate</w:t>
        </w:r>
        <w:r w:rsidR="00C82498">
          <w:rPr>
            <w:webHidden/>
          </w:rPr>
          <w:tab/>
        </w:r>
        <w:r w:rsidR="00C82498">
          <w:rPr>
            <w:webHidden/>
          </w:rPr>
          <w:fldChar w:fldCharType="begin"/>
        </w:r>
        <w:r w:rsidR="00C82498">
          <w:rPr>
            <w:webHidden/>
          </w:rPr>
          <w:instrText xml:space="preserve"> PAGEREF _Toc94704730 \h </w:instrText>
        </w:r>
        <w:r w:rsidR="00C82498">
          <w:rPr>
            <w:webHidden/>
          </w:rPr>
        </w:r>
        <w:r w:rsidR="00C82498">
          <w:rPr>
            <w:webHidden/>
          </w:rPr>
          <w:fldChar w:fldCharType="separate"/>
        </w:r>
        <w:r w:rsidR="00F4601D">
          <w:rPr>
            <w:webHidden/>
          </w:rPr>
          <w:t>268</w:t>
        </w:r>
        <w:r w:rsidR="00C82498">
          <w:rPr>
            <w:webHidden/>
          </w:rPr>
          <w:fldChar w:fldCharType="end"/>
        </w:r>
      </w:hyperlink>
    </w:p>
    <w:p w:rsidR="00C82498" w:rsidRDefault="00EA23AC">
      <w:pPr>
        <w:pStyle w:val="TOC2"/>
        <w:rPr>
          <w:rFonts w:asciiTheme="minorHAnsi" w:eastAsiaTheme="minorEastAsia" w:hAnsiTheme="minorHAnsi" w:cstheme="minorBidi"/>
          <w:b w:val="0"/>
          <w:bCs w:val="0"/>
          <w:sz w:val="22"/>
          <w:szCs w:val="22"/>
        </w:rPr>
      </w:pPr>
      <w:hyperlink w:anchor="_Toc94704731" w:history="1">
        <w:r w:rsidR="00C82498" w:rsidRPr="00435830">
          <w:rPr>
            <w:rStyle w:val="Hyperlink"/>
            <w:rFonts w:ascii="Times New Roman Bold" w:hAnsi="Times New Roman Bold"/>
            <w:specVanish/>
          </w:rPr>
          <w:t>45.</w:t>
        </w:r>
        <w:r w:rsidR="00C82498">
          <w:rPr>
            <w:rFonts w:asciiTheme="minorHAnsi" w:eastAsiaTheme="minorEastAsia" w:hAnsiTheme="minorHAnsi" w:cstheme="minorBidi"/>
            <w:b w:val="0"/>
            <w:bCs w:val="0"/>
            <w:sz w:val="22"/>
            <w:szCs w:val="22"/>
          </w:rPr>
          <w:tab/>
        </w:r>
        <w:r w:rsidR="00C82498" w:rsidRPr="00435830">
          <w:rPr>
            <w:rStyle w:val="Hyperlink"/>
          </w:rPr>
          <w:t>Oregon Grabs Out of State QTIP for Estate Tax</w:t>
        </w:r>
        <w:r w:rsidR="00C82498">
          <w:rPr>
            <w:webHidden/>
          </w:rPr>
          <w:tab/>
        </w:r>
        <w:r w:rsidR="00C82498">
          <w:rPr>
            <w:webHidden/>
          </w:rPr>
          <w:fldChar w:fldCharType="begin"/>
        </w:r>
        <w:r w:rsidR="00C82498">
          <w:rPr>
            <w:webHidden/>
          </w:rPr>
          <w:instrText xml:space="preserve"> PAGEREF _Toc94704731 \h </w:instrText>
        </w:r>
        <w:r w:rsidR="00C82498">
          <w:rPr>
            <w:webHidden/>
          </w:rPr>
        </w:r>
        <w:r w:rsidR="00C82498">
          <w:rPr>
            <w:webHidden/>
          </w:rPr>
          <w:fldChar w:fldCharType="separate"/>
        </w:r>
        <w:r w:rsidR="00F4601D">
          <w:rPr>
            <w:webHidden/>
          </w:rPr>
          <w:t>269</w:t>
        </w:r>
        <w:r w:rsidR="00C82498">
          <w:rPr>
            <w:webHidden/>
          </w:rPr>
          <w:fldChar w:fldCharType="end"/>
        </w:r>
      </w:hyperlink>
    </w:p>
    <w:p w:rsidR="00485DB9" w:rsidRPr="00454670" w:rsidRDefault="008C0FE2">
      <w:pPr>
        <w:pStyle w:val="TitleBCU"/>
        <w:rPr>
          <w:szCs w:val="20"/>
        </w:rPr>
        <w:sectPr w:rsidR="00485DB9" w:rsidRPr="00454670" w:rsidSect="005F0B44">
          <w:footerReference w:type="default" r:id="rId16"/>
          <w:footerReference w:type="first" r:id="rId17"/>
          <w:pgSz w:w="12240" w:h="15840" w:code="1"/>
          <w:pgMar w:top="1440" w:right="1440" w:bottom="1440" w:left="1440" w:header="720" w:footer="720" w:gutter="0"/>
          <w:pgNumType w:fmt="lowerRoman" w:start="1"/>
          <w:cols w:space="720"/>
          <w:noEndnote/>
        </w:sectPr>
      </w:pPr>
      <w:r w:rsidRPr="008C0FE2">
        <w:fldChar w:fldCharType="end"/>
      </w:r>
    </w:p>
    <w:bookmarkEnd w:id="0"/>
    <w:p w:rsidR="00485DB9" w:rsidRPr="00454670" w:rsidRDefault="00856D6A" w:rsidP="00BF3488">
      <w:pPr>
        <w:pStyle w:val="TitleBC"/>
        <w:spacing w:after="600"/>
        <w:rPr>
          <w:color w:val="000000"/>
          <w:szCs w:val="20"/>
          <w:u w:val="single"/>
        </w:rPr>
      </w:pPr>
      <w:r w:rsidRPr="00454670">
        <w:rPr>
          <w:color w:val="000000"/>
          <w:szCs w:val="20"/>
          <w:u w:val="single"/>
        </w:rPr>
        <w:lastRenderedPageBreak/>
        <w:t>NOTABLE</w:t>
      </w:r>
      <w:r w:rsidR="00C64050">
        <w:rPr>
          <w:color w:val="000000"/>
          <w:szCs w:val="20"/>
          <w:u w:val="single"/>
        </w:rPr>
        <w:t xml:space="preserve"> </w:t>
      </w:r>
      <w:r w:rsidRPr="00454670">
        <w:rPr>
          <w:color w:val="000000"/>
          <w:szCs w:val="20"/>
          <w:u w:val="single"/>
        </w:rPr>
        <w:t>DEVELOPMENTS</w:t>
      </w:r>
      <w:r w:rsidR="00C64050">
        <w:rPr>
          <w:color w:val="000000"/>
          <w:szCs w:val="20"/>
          <w:u w:val="single"/>
        </w:rPr>
        <w:t xml:space="preserve"> </w:t>
      </w:r>
      <w:r w:rsidRPr="00454670">
        <w:rPr>
          <w:color w:val="000000"/>
          <w:szCs w:val="20"/>
          <w:u w:val="single"/>
        </w:rPr>
        <w:t>OF</w:t>
      </w:r>
      <w:r w:rsidR="00C64050">
        <w:rPr>
          <w:color w:val="000000"/>
          <w:szCs w:val="20"/>
          <w:u w:val="single"/>
        </w:rPr>
        <w:t xml:space="preserve"> </w:t>
      </w:r>
      <w:r w:rsidRPr="00454670">
        <w:rPr>
          <w:color w:val="000000"/>
          <w:szCs w:val="20"/>
          <w:u w:val="single"/>
        </w:rPr>
        <w:t>INTEREST</w:t>
      </w:r>
      <w:r w:rsidR="00C64050">
        <w:rPr>
          <w:color w:val="000000"/>
          <w:szCs w:val="20"/>
          <w:u w:val="single"/>
        </w:rPr>
        <w:t xml:space="preserve"> </w:t>
      </w:r>
      <w:r w:rsidRPr="00454670">
        <w:rPr>
          <w:color w:val="000000"/>
          <w:szCs w:val="20"/>
          <w:u w:val="single"/>
        </w:rPr>
        <w:t>TO</w:t>
      </w:r>
      <w:r w:rsidR="00C64050">
        <w:rPr>
          <w:color w:val="000000"/>
          <w:szCs w:val="20"/>
          <w:u w:val="single"/>
        </w:rPr>
        <w:t xml:space="preserve"> </w:t>
      </w:r>
      <w:r w:rsidRPr="00454670">
        <w:rPr>
          <w:color w:val="000000"/>
          <w:szCs w:val="20"/>
          <w:u w:val="single"/>
        </w:rPr>
        <w:t>ESTATE</w:t>
      </w:r>
      <w:r w:rsidR="00C64050">
        <w:rPr>
          <w:color w:val="000000"/>
          <w:szCs w:val="20"/>
          <w:u w:val="single"/>
        </w:rPr>
        <w:t xml:space="preserve"> </w:t>
      </w:r>
      <w:r w:rsidRPr="00454670">
        <w:rPr>
          <w:color w:val="000000"/>
          <w:szCs w:val="20"/>
          <w:u w:val="single"/>
        </w:rPr>
        <w:t>PLANNERS</w:t>
      </w:r>
    </w:p>
    <w:p w:rsidR="009B095B" w:rsidRPr="001E7C34" w:rsidRDefault="009B095B" w:rsidP="009B095B">
      <w:pPr>
        <w:pStyle w:val="TitlePart"/>
        <w:rPr>
          <w:vanish/>
          <w:specVanish/>
        </w:rPr>
      </w:pPr>
      <w:bookmarkStart w:id="1" w:name="_Toc94704595"/>
      <w:bookmarkStart w:id="2" w:name="_Toc512231997"/>
      <w:bookmarkStart w:id="3" w:name="_Toc376947583"/>
      <w:bookmarkStart w:id="4" w:name="_Toc376948357"/>
      <w:bookmarkStart w:id="5" w:name="_Toc376949151"/>
      <w:bookmarkStart w:id="6" w:name="_Toc168206530"/>
      <w:bookmarkStart w:id="7" w:name="_Toc168218169"/>
      <w:bookmarkStart w:id="8" w:name="_Toc231154845"/>
      <w:bookmarkStart w:id="9" w:name="_Toc295129785"/>
      <w:bookmarkStart w:id="10" w:name="_Toc295132396"/>
      <w:bookmarkStart w:id="11" w:name="_Toc295133912"/>
      <w:bookmarkStart w:id="12" w:name="_Toc295133947"/>
      <w:bookmarkStart w:id="13" w:name="_Toc295136475"/>
      <w:bookmarkStart w:id="14" w:name="_Toc297645070"/>
      <w:bookmarkStart w:id="15" w:name="_Toc297647138"/>
      <w:bookmarkStart w:id="16" w:name="_Toc297728320"/>
      <w:bookmarkStart w:id="17" w:name="_Toc297732776"/>
      <w:bookmarkStart w:id="18" w:name="_Toc298255173"/>
      <w:bookmarkStart w:id="19" w:name="_Toc298316747"/>
      <w:bookmarkStart w:id="20" w:name="_Toc298334592"/>
      <w:bookmarkStart w:id="21" w:name="_Toc298338090"/>
      <w:bookmarkStart w:id="22" w:name="_Toc301364428"/>
      <w:bookmarkStart w:id="23" w:name="_Toc302465888"/>
      <w:bookmarkStart w:id="24" w:name="_Toc303094263"/>
      <w:bookmarkStart w:id="25" w:name="_Toc303172856"/>
      <w:bookmarkStart w:id="26" w:name="_Toc303181186"/>
      <w:bookmarkStart w:id="27" w:name="_Toc321753595"/>
      <w:bookmarkStart w:id="28" w:name="_Toc322015763"/>
      <w:bookmarkStart w:id="29" w:name="_Toc322015942"/>
      <w:bookmarkStart w:id="30" w:name="_Toc322016480"/>
      <w:r w:rsidRPr="00454670">
        <w:t>PART</w:t>
      </w:r>
      <w:r w:rsidR="00C64050">
        <w:t xml:space="preserve"> </w:t>
      </w:r>
      <w:r>
        <w:t>1</w:t>
      </w:r>
      <w:r w:rsidR="00C64050">
        <w:t xml:space="preserve"> </w:t>
      </w:r>
      <w:r w:rsidRPr="00454670">
        <w:t>–</w:t>
      </w:r>
      <w:r w:rsidR="00C64050">
        <w:t xml:space="preserve"> </w:t>
      </w:r>
      <w:r w:rsidR="003B7F8D">
        <w:t>2017 TAX ACT IS STILL WITH US</w:t>
      </w:r>
      <w:bookmarkEnd w:id="1"/>
    </w:p>
    <w:p w:rsidR="001E7C34" w:rsidRPr="001E7C34" w:rsidRDefault="001E7C34" w:rsidP="009B095B">
      <w:pPr>
        <w:pStyle w:val="TitlePart"/>
        <w:rPr>
          <w:b w:val="0"/>
          <w:u w:val="none"/>
          <w:specVanish/>
        </w:rPr>
      </w:pPr>
    </w:p>
    <w:p w:rsidR="009B095B" w:rsidRPr="00C25106" w:rsidRDefault="002C37F2" w:rsidP="001E7C34">
      <w:pPr>
        <w:pStyle w:val="Body15"/>
      </w:pPr>
      <w:r>
        <w:t>On</w:t>
      </w:r>
      <w:r w:rsidR="00C64050">
        <w:t xml:space="preserve"> </w:t>
      </w:r>
      <w:r w:rsidR="009B095B">
        <w:t>December</w:t>
      </w:r>
      <w:r w:rsidR="00C64050">
        <w:t xml:space="preserve"> </w:t>
      </w:r>
      <w:r w:rsidR="009B095B">
        <w:t>22,</w:t>
      </w:r>
      <w:r w:rsidR="00C64050">
        <w:t xml:space="preserve"> </w:t>
      </w:r>
      <w:r w:rsidR="009B095B">
        <w:t>2017</w:t>
      </w:r>
      <w:r w:rsidR="00C64050">
        <w:t xml:space="preserve"> </w:t>
      </w:r>
      <w:r w:rsidR="009B095B">
        <w:t>was</w:t>
      </w:r>
      <w:r w:rsidR="00C64050">
        <w:t xml:space="preserve"> </w:t>
      </w:r>
      <w:r w:rsidR="009B095B">
        <w:t>enacted</w:t>
      </w:r>
      <w:r w:rsidR="00C64050">
        <w:t xml:space="preserve"> </w:t>
      </w:r>
      <w:r w:rsidR="009B095B">
        <w:t>“</w:t>
      </w:r>
      <w:r w:rsidR="009B095B" w:rsidRPr="00C25106">
        <w:t>An</w:t>
      </w:r>
      <w:r w:rsidR="00C64050">
        <w:t xml:space="preserve"> </w:t>
      </w:r>
      <w:r w:rsidR="009B095B" w:rsidRPr="00C25106">
        <w:t>Act</w:t>
      </w:r>
      <w:r w:rsidR="00C64050">
        <w:t xml:space="preserve"> </w:t>
      </w:r>
      <w:r w:rsidR="009B095B" w:rsidRPr="00C25106">
        <w:t>To</w:t>
      </w:r>
      <w:r w:rsidR="00C64050">
        <w:t xml:space="preserve"> </w:t>
      </w:r>
      <w:r w:rsidR="009B095B" w:rsidRPr="00C25106">
        <w:t>Provide</w:t>
      </w:r>
      <w:r w:rsidR="00C64050">
        <w:t xml:space="preserve"> </w:t>
      </w:r>
      <w:r w:rsidR="009B095B" w:rsidRPr="00C25106">
        <w:t>for</w:t>
      </w:r>
      <w:r w:rsidR="00C64050">
        <w:t xml:space="preserve"> </w:t>
      </w:r>
      <w:r w:rsidR="009B095B" w:rsidRPr="00C25106">
        <w:t>Reconciliation</w:t>
      </w:r>
      <w:r w:rsidR="00C64050">
        <w:t xml:space="preserve"> </w:t>
      </w:r>
      <w:r w:rsidR="009B095B" w:rsidRPr="00C25106">
        <w:t>Pursuant</w:t>
      </w:r>
      <w:r w:rsidR="00C64050">
        <w:t xml:space="preserve"> </w:t>
      </w:r>
      <w:r w:rsidR="009B095B" w:rsidRPr="00C25106">
        <w:t>to</w:t>
      </w:r>
      <w:r w:rsidR="00C64050">
        <w:t xml:space="preserve"> </w:t>
      </w:r>
      <w:r w:rsidR="009B095B" w:rsidRPr="00C25106">
        <w:t>Titles</w:t>
      </w:r>
      <w:r w:rsidR="00C64050">
        <w:t xml:space="preserve"> </w:t>
      </w:r>
      <w:r w:rsidR="009B095B" w:rsidRPr="00C25106">
        <w:t>II</w:t>
      </w:r>
      <w:r w:rsidR="00C64050">
        <w:t xml:space="preserve"> </w:t>
      </w:r>
      <w:r w:rsidR="009B095B" w:rsidRPr="00C25106">
        <w:t>and</w:t>
      </w:r>
      <w:r w:rsidR="00C64050">
        <w:t xml:space="preserve"> </w:t>
      </w:r>
      <w:r w:rsidR="009B095B" w:rsidRPr="00C25106">
        <w:t>V</w:t>
      </w:r>
      <w:r w:rsidR="00C64050">
        <w:t xml:space="preserve"> </w:t>
      </w:r>
      <w:r w:rsidR="009B095B" w:rsidRPr="00C25106">
        <w:t>of</w:t>
      </w:r>
      <w:r w:rsidR="00C64050">
        <w:t xml:space="preserve"> </w:t>
      </w:r>
      <w:r w:rsidR="009B095B" w:rsidRPr="00C25106">
        <w:t>the</w:t>
      </w:r>
      <w:r w:rsidR="00C64050">
        <w:t xml:space="preserve"> </w:t>
      </w:r>
      <w:r w:rsidR="009B095B" w:rsidRPr="00C25106">
        <w:t>Concurrent</w:t>
      </w:r>
      <w:r w:rsidR="00C64050">
        <w:t xml:space="preserve"> </w:t>
      </w:r>
      <w:r w:rsidR="009B095B" w:rsidRPr="00C25106">
        <w:t>Resolution</w:t>
      </w:r>
      <w:r w:rsidR="00C64050">
        <w:t xml:space="preserve"> </w:t>
      </w:r>
      <w:r w:rsidR="009B095B" w:rsidRPr="00C25106">
        <w:t>on</w:t>
      </w:r>
      <w:r w:rsidR="00C64050">
        <w:t xml:space="preserve"> </w:t>
      </w:r>
      <w:r w:rsidR="009B095B" w:rsidRPr="00C25106">
        <w:t>the</w:t>
      </w:r>
      <w:r w:rsidR="00C64050">
        <w:t xml:space="preserve"> </w:t>
      </w:r>
      <w:r w:rsidR="009B095B" w:rsidRPr="00C25106">
        <w:t>Budget</w:t>
      </w:r>
      <w:r w:rsidR="00C64050">
        <w:t xml:space="preserve"> </w:t>
      </w:r>
      <w:r w:rsidR="009B095B" w:rsidRPr="00C25106">
        <w:t>for</w:t>
      </w:r>
      <w:r w:rsidR="00C64050">
        <w:t xml:space="preserve"> </w:t>
      </w:r>
      <w:r w:rsidR="009B095B" w:rsidRPr="00C25106">
        <w:t>Fiscal</w:t>
      </w:r>
      <w:r w:rsidR="00C64050">
        <w:t xml:space="preserve"> </w:t>
      </w:r>
      <w:r w:rsidR="009B095B" w:rsidRPr="00C25106">
        <w:t>Year</w:t>
      </w:r>
      <w:r w:rsidR="00C64050">
        <w:t xml:space="preserve"> </w:t>
      </w:r>
      <w:r w:rsidR="009B095B" w:rsidRPr="00C25106">
        <w:t>2018,</w:t>
      </w:r>
      <w:r w:rsidR="009B095B">
        <w:t>”</w:t>
      </w:r>
      <w:r w:rsidR="00C64050">
        <w:t xml:space="preserve"> </w:t>
      </w:r>
      <w:r w:rsidR="009B095B" w:rsidRPr="00C25106">
        <w:t>Pub.</w:t>
      </w:r>
      <w:r w:rsidR="00C64050">
        <w:t xml:space="preserve"> </w:t>
      </w:r>
      <w:r w:rsidR="009B095B" w:rsidRPr="00C25106">
        <w:t>L.</w:t>
      </w:r>
      <w:r w:rsidR="00C64050">
        <w:t xml:space="preserve"> </w:t>
      </w:r>
      <w:r w:rsidR="009B095B" w:rsidRPr="00C25106">
        <w:t>No.</w:t>
      </w:r>
      <w:r w:rsidR="00C64050">
        <w:t xml:space="preserve"> </w:t>
      </w:r>
      <w:r w:rsidR="009B095B" w:rsidRPr="00C25106">
        <w:t>115-97,</w:t>
      </w:r>
      <w:r w:rsidR="00C64050">
        <w:t xml:space="preserve"> </w:t>
      </w:r>
      <w:r w:rsidR="009B095B" w:rsidRPr="00C25106">
        <w:t>(“2017</w:t>
      </w:r>
      <w:r w:rsidR="00C64050">
        <w:t xml:space="preserve"> </w:t>
      </w:r>
      <w:r w:rsidR="009B095B" w:rsidRPr="00C25106">
        <w:t>Tax</w:t>
      </w:r>
      <w:r w:rsidR="00C64050">
        <w:t xml:space="preserve"> </w:t>
      </w:r>
      <w:r w:rsidR="009B095B" w:rsidRPr="00C25106">
        <w:t>Act”)</w:t>
      </w:r>
      <w:bookmarkEnd w:id="2"/>
      <w:r w:rsidR="009B095B">
        <w:t>.</w:t>
      </w:r>
      <w:r w:rsidR="00C64050">
        <w:t xml:space="preserve">  </w:t>
      </w:r>
      <w:r w:rsidR="009B095B">
        <w:t>The</w:t>
      </w:r>
      <w:r w:rsidR="00C64050">
        <w:t xml:space="preserve"> </w:t>
      </w:r>
      <w:r>
        <w:t>2017</w:t>
      </w:r>
      <w:r w:rsidR="00C64050">
        <w:t xml:space="preserve"> </w:t>
      </w:r>
      <w:r w:rsidR="009B095B">
        <w:t>Tax</w:t>
      </w:r>
      <w:r w:rsidR="00C64050">
        <w:t xml:space="preserve"> </w:t>
      </w:r>
      <w:r w:rsidR="009B095B">
        <w:t>Act</w:t>
      </w:r>
      <w:r w:rsidR="00C64050">
        <w:t xml:space="preserve"> </w:t>
      </w:r>
      <w:r w:rsidR="009B095B">
        <w:t>makes</w:t>
      </w:r>
      <w:r w:rsidR="00C64050">
        <w:t xml:space="preserve"> </w:t>
      </w:r>
      <w:r w:rsidR="009B095B">
        <w:t>significant</w:t>
      </w:r>
      <w:r w:rsidR="00C64050">
        <w:t xml:space="preserve"> </w:t>
      </w:r>
      <w:r w:rsidR="009B095B">
        <w:t>income</w:t>
      </w:r>
      <w:r w:rsidR="00C64050">
        <w:t xml:space="preserve"> </w:t>
      </w:r>
      <w:r w:rsidR="009B095B">
        <w:t>tax</w:t>
      </w:r>
      <w:r w:rsidR="00C64050">
        <w:t xml:space="preserve"> </w:t>
      </w:r>
      <w:r w:rsidR="009B095B">
        <w:t>changes,</w:t>
      </w:r>
      <w:r w:rsidR="00C64050">
        <w:t xml:space="preserve"> </w:t>
      </w:r>
      <w:r w:rsidR="009B095B">
        <w:t>the</w:t>
      </w:r>
      <w:r w:rsidR="00C64050">
        <w:t xml:space="preserve"> </w:t>
      </w:r>
      <w:r w:rsidR="009B095B" w:rsidRPr="001E7C34">
        <w:rPr>
          <w:color w:val="000000"/>
          <w:szCs w:val="20"/>
        </w:rPr>
        <w:t>effects</w:t>
      </w:r>
      <w:r w:rsidR="00C64050">
        <w:t xml:space="preserve"> </w:t>
      </w:r>
      <w:r w:rsidR="009B095B">
        <w:t>of</w:t>
      </w:r>
      <w:r w:rsidR="00C64050">
        <w:t xml:space="preserve"> </w:t>
      </w:r>
      <w:r w:rsidR="009B095B">
        <w:t>which</w:t>
      </w:r>
      <w:r w:rsidR="00C64050">
        <w:t xml:space="preserve"> </w:t>
      </w:r>
      <w:r w:rsidR="009B095B">
        <w:t>will</w:t>
      </w:r>
      <w:r w:rsidR="00C64050">
        <w:t xml:space="preserve"> </w:t>
      </w:r>
      <w:r w:rsidR="009B095B">
        <w:t>not</w:t>
      </w:r>
      <w:r w:rsidR="00C64050">
        <w:t xml:space="preserve"> </w:t>
      </w:r>
      <w:r w:rsidR="009B095B">
        <w:t>really</w:t>
      </w:r>
      <w:r w:rsidR="00C64050">
        <w:t xml:space="preserve"> </w:t>
      </w:r>
      <w:r w:rsidR="009B095B">
        <w:t>be</w:t>
      </w:r>
      <w:r w:rsidR="00C64050">
        <w:t xml:space="preserve"> </w:t>
      </w:r>
      <w:r w:rsidR="009B095B">
        <w:t>understood</w:t>
      </w:r>
      <w:r w:rsidR="00C64050">
        <w:t xml:space="preserve"> </w:t>
      </w:r>
      <w:r w:rsidR="009B095B">
        <w:t>for</w:t>
      </w:r>
      <w:r w:rsidR="00C64050">
        <w:t xml:space="preserve"> </w:t>
      </w:r>
      <w:r w:rsidR="009B095B">
        <w:t>some</w:t>
      </w:r>
      <w:r w:rsidR="00C64050">
        <w:t xml:space="preserve"> </w:t>
      </w:r>
      <w:r w:rsidR="009B095B">
        <w:t>time,</w:t>
      </w:r>
      <w:r w:rsidR="00C64050">
        <w:t xml:space="preserve"> </w:t>
      </w:r>
      <w:r w:rsidR="009B095B">
        <w:t>particularly</w:t>
      </w:r>
      <w:r w:rsidR="00C64050">
        <w:t xml:space="preserve"> </w:t>
      </w:r>
      <w:r w:rsidR="009B095B">
        <w:t>after</w:t>
      </w:r>
      <w:r w:rsidR="00C64050">
        <w:t xml:space="preserve"> </w:t>
      </w:r>
      <w:r w:rsidR="009B095B">
        <w:t>regulations</w:t>
      </w:r>
      <w:r w:rsidR="00C64050">
        <w:t xml:space="preserve"> </w:t>
      </w:r>
      <w:r w:rsidR="009B095B">
        <w:t>are</w:t>
      </w:r>
      <w:r w:rsidR="00C64050">
        <w:t xml:space="preserve"> </w:t>
      </w:r>
      <w:r w:rsidR="009B095B">
        <w:t>issue</w:t>
      </w:r>
      <w:r>
        <w:t>d.</w:t>
      </w:r>
      <w:r w:rsidR="00C64050">
        <w:t xml:space="preserve">  </w:t>
      </w:r>
      <w:r>
        <w:t>The</w:t>
      </w:r>
      <w:r w:rsidR="00C64050">
        <w:t xml:space="preserve"> </w:t>
      </w:r>
      <w:r w:rsidR="009B095B">
        <w:t>major</w:t>
      </w:r>
      <w:r w:rsidR="00C64050">
        <w:t xml:space="preserve"> </w:t>
      </w:r>
      <w:r w:rsidR="009B095B">
        <w:t>transfer</w:t>
      </w:r>
      <w:r w:rsidR="00C64050">
        <w:t xml:space="preserve"> </w:t>
      </w:r>
      <w:r w:rsidR="009B095B">
        <w:t>tax</w:t>
      </w:r>
      <w:r w:rsidR="00C64050">
        <w:t xml:space="preserve"> </w:t>
      </w:r>
      <w:r w:rsidR="009B095B">
        <w:t>change</w:t>
      </w:r>
      <w:r w:rsidR="00C64050">
        <w:t xml:space="preserve"> </w:t>
      </w:r>
      <w:r w:rsidR="009B095B">
        <w:t>i</w:t>
      </w:r>
      <w:r>
        <w:t>s</w:t>
      </w:r>
      <w:r w:rsidR="00C64050">
        <w:t xml:space="preserve"> </w:t>
      </w:r>
      <w:r w:rsidR="009B095B">
        <w:t>the</w:t>
      </w:r>
      <w:r w:rsidR="00C64050">
        <w:t xml:space="preserve"> </w:t>
      </w:r>
      <w:r w:rsidR="009B095B">
        <w:t>doubling</w:t>
      </w:r>
      <w:r w:rsidR="00C64050">
        <w:t xml:space="preserve"> </w:t>
      </w:r>
      <w:r w:rsidR="009B095B">
        <w:t>of</w:t>
      </w:r>
      <w:r w:rsidR="00C64050">
        <w:t xml:space="preserve"> </w:t>
      </w:r>
      <w:r>
        <w:t>the</w:t>
      </w:r>
      <w:r w:rsidR="00C64050">
        <w:t xml:space="preserve"> </w:t>
      </w:r>
      <w:r>
        <w:t>wealth</w:t>
      </w:r>
      <w:r w:rsidR="00C64050">
        <w:t xml:space="preserve"> </w:t>
      </w:r>
      <w:r>
        <w:t>transfer</w:t>
      </w:r>
      <w:r w:rsidR="00C64050">
        <w:t xml:space="preserve"> </w:t>
      </w:r>
      <w:r>
        <w:t>exclusion</w:t>
      </w:r>
      <w:r w:rsidR="009B095B">
        <w:t>.</w:t>
      </w:r>
    </w:p>
    <w:p w:rsidR="009B095B" w:rsidRPr="000D1A25" w:rsidRDefault="009B095B" w:rsidP="000D1A25">
      <w:pPr>
        <w:pStyle w:val="LFLevel2"/>
        <w:rPr>
          <w:b/>
          <w:u w:val="single"/>
        </w:rPr>
      </w:pPr>
      <w:bookmarkStart w:id="31" w:name="_Toc512231998"/>
      <w:bookmarkStart w:id="32" w:name="_Toc94704596"/>
      <w:r w:rsidRPr="000D1A25">
        <w:rPr>
          <w:b/>
          <w:u w:val="single"/>
        </w:rPr>
        <w:t>Effective</w:t>
      </w:r>
      <w:r w:rsidR="00C64050">
        <w:rPr>
          <w:b/>
          <w:u w:val="single"/>
        </w:rPr>
        <w:t xml:space="preserve"> </w:t>
      </w:r>
      <w:r w:rsidRPr="000D1A25">
        <w:rPr>
          <w:b/>
          <w:u w:val="single"/>
        </w:rPr>
        <w:t>Date</w:t>
      </w:r>
      <w:r w:rsidR="00C64050">
        <w:rPr>
          <w:b/>
          <w:u w:val="single"/>
        </w:rPr>
        <w:t xml:space="preserve"> </w:t>
      </w:r>
      <w:r w:rsidRPr="000D1A25">
        <w:rPr>
          <w:b/>
          <w:u w:val="single"/>
        </w:rPr>
        <w:t>and</w:t>
      </w:r>
      <w:r w:rsidR="00C64050">
        <w:rPr>
          <w:b/>
          <w:u w:val="single"/>
        </w:rPr>
        <w:t xml:space="preserve"> </w:t>
      </w:r>
      <w:r w:rsidRPr="000D1A25">
        <w:rPr>
          <w:b/>
          <w:u w:val="single"/>
        </w:rPr>
        <w:t>Sunset</w:t>
      </w:r>
      <w:bookmarkEnd w:id="31"/>
      <w:bookmarkEnd w:id="32"/>
    </w:p>
    <w:p w:rsidR="009B095B" w:rsidRPr="00C25106" w:rsidRDefault="009B095B" w:rsidP="001E7C34">
      <w:pPr>
        <w:pStyle w:val="Body15"/>
      </w:pPr>
      <w:r w:rsidRPr="00C25106">
        <w:t>Most</w:t>
      </w:r>
      <w:r w:rsidR="00C64050">
        <w:t xml:space="preserve"> </w:t>
      </w:r>
      <w:r w:rsidRPr="00C25106">
        <w:t>provisions</w:t>
      </w:r>
      <w:r w:rsidR="00C64050">
        <w:t xml:space="preserve"> </w:t>
      </w:r>
      <w:r w:rsidRPr="00C25106">
        <w:t>in</w:t>
      </w:r>
      <w:r w:rsidR="00C64050">
        <w:t xml:space="preserve"> </w:t>
      </w:r>
      <w:r w:rsidRPr="00C25106">
        <w:t>the</w:t>
      </w:r>
      <w:r w:rsidR="00C64050">
        <w:t xml:space="preserve"> </w:t>
      </w:r>
      <w:r w:rsidRPr="00C25106">
        <w:t>2017</w:t>
      </w:r>
      <w:r w:rsidR="00C64050">
        <w:t xml:space="preserve"> </w:t>
      </w:r>
      <w:r w:rsidRPr="00C25106">
        <w:t>Tax</w:t>
      </w:r>
      <w:r w:rsidR="00C64050">
        <w:t xml:space="preserve"> </w:t>
      </w:r>
      <w:r w:rsidRPr="00C25106">
        <w:t>Act</w:t>
      </w:r>
      <w:r w:rsidR="00C64050">
        <w:t xml:space="preserve"> </w:t>
      </w:r>
      <w:r w:rsidRPr="00C25106">
        <w:t>became</w:t>
      </w:r>
      <w:r w:rsidR="00C64050">
        <w:t xml:space="preserve"> </w:t>
      </w:r>
      <w:r w:rsidRPr="00C25106">
        <w:t>effective</w:t>
      </w:r>
      <w:r w:rsidR="00C64050">
        <w:t xml:space="preserve"> </w:t>
      </w:r>
      <w:r w:rsidRPr="00C25106">
        <w:t>January</w:t>
      </w:r>
      <w:r w:rsidR="00C64050">
        <w:t xml:space="preserve"> </w:t>
      </w:r>
      <w:r w:rsidRPr="00C25106">
        <w:t>1,</w:t>
      </w:r>
      <w:r w:rsidR="00C64050">
        <w:t xml:space="preserve"> </w:t>
      </w:r>
      <w:r w:rsidRPr="00C25106">
        <w:t>2018.</w:t>
      </w:r>
      <w:r w:rsidR="00C64050">
        <w:t xml:space="preserve">  </w:t>
      </w:r>
      <w:r w:rsidRPr="00C25106">
        <w:t>Except</w:t>
      </w:r>
      <w:r w:rsidR="00C64050">
        <w:t xml:space="preserve"> </w:t>
      </w:r>
      <w:r w:rsidRPr="00C25106">
        <w:t>with</w:t>
      </w:r>
      <w:r w:rsidR="00C64050">
        <w:t xml:space="preserve"> </w:t>
      </w:r>
      <w:r w:rsidRPr="00C25106">
        <w:t>respect</w:t>
      </w:r>
      <w:r w:rsidR="00C64050">
        <w:t xml:space="preserve"> </w:t>
      </w:r>
      <w:r w:rsidRPr="00C25106">
        <w:t>to</w:t>
      </w:r>
      <w:r w:rsidR="00C64050">
        <w:t xml:space="preserve"> </w:t>
      </w:r>
      <w:r w:rsidRPr="00C25106">
        <w:t>the</w:t>
      </w:r>
      <w:r w:rsidR="00C64050">
        <w:t xml:space="preserve"> </w:t>
      </w:r>
      <w:r w:rsidRPr="00C25106">
        <w:t>change</w:t>
      </w:r>
      <w:r w:rsidR="00C64050">
        <w:t xml:space="preserve"> </w:t>
      </w:r>
      <w:r w:rsidRPr="00C25106">
        <w:t>in</w:t>
      </w:r>
      <w:r w:rsidR="00C64050">
        <w:t xml:space="preserve"> </w:t>
      </w:r>
      <w:r w:rsidRPr="00C25106">
        <w:t>the</w:t>
      </w:r>
      <w:r w:rsidR="00C64050">
        <w:t xml:space="preserve"> </w:t>
      </w:r>
      <w:r w:rsidRPr="00C25106">
        <w:t>calculation</w:t>
      </w:r>
      <w:r w:rsidR="00C64050">
        <w:t xml:space="preserve"> </w:t>
      </w:r>
      <w:r w:rsidRPr="00C25106">
        <w:t>of</w:t>
      </w:r>
      <w:r w:rsidR="00C64050">
        <w:t xml:space="preserve"> </w:t>
      </w:r>
      <w:r w:rsidRPr="00C25106">
        <w:t>inflation</w:t>
      </w:r>
      <w:r w:rsidR="00C64050">
        <w:t xml:space="preserve"> </w:t>
      </w:r>
      <w:r w:rsidRPr="00C25106">
        <w:t>adjustments,</w:t>
      </w:r>
      <w:r w:rsidR="00C64050">
        <w:t xml:space="preserve"> </w:t>
      </w:r>
      <w:r w:rsidRPr="00C25106">
        <w:t>many</w:t>
      </w:r>
      <w:r w:rsidR="00C64050">
        <w:t xml:space="preserve"> </w:t>
      </w:r>
      <w:r w:rsidRPr="00C25106">
        <w:t>of</w:t>
      </w:r>
      <w:r w:rsidR="00C64050">
        <w:t xml:space="preserve"> </w:t>
      </w:r>
      <w:r w:rsidRPr="00C25106">
        <w:t>the</w:t>
      </w:r>
      <w:r w:rsidR="00C64050">
        <w:t xml:space="preserve"> </w:t>
      </w:r>
      <w:r w:rsidRPr="001E7C34">
        <w:rPr>
          <w:color w:val="000000"/>
          <w:szCs w:val="20"/>
        </w:rPr>
        <w:t>changes</w:t>
      </w:r>
      <w:r w:rsidR="00C64050">
        <w:t xml:space="preserve"> </w:t>
      </w:r>
      <w:r w:rsidRPr="00C25106">
        <w:t>to</w:t>
      </w:r>
      <w:r w:rsidR="00C64050">
        <w:t xml:space="preserve"> </w:t>
      </w:r>
      <w:r w:rsidRPr="00C25106">
        <w:t>business</w:t>
      </w:r>
      <w:r w:rsidR="00C64050">
        <w:t xml:space="preserve"> </w:t>
      </w:r>
      <w:r w:rsidRPr="00C25106">
        <w:t>taxes</w:t>
      </w:r>
      <w:r w:rsidR="00C64050">
        <w:t xml:space="preserve"> </w:t>
      </w:r>
      <w:r w:rsidRPr="00C25106">
        <w:t>and</w:t>
      </w:r>
      <w:r w:rsidR="00C64050">
        <w:t xml:space="preserve"> </w:t>
      </w:r>
      <w:r w:rsidRPr="00C25106">
        <w:t>other</w:t>
      </w:r>
      <w:r w:rsidR="00C64050">
        <w:t xml:space="preserve"> </w:t>
      </w:r>
      <w:r w:rsidRPr="00C25106">
        <w:t>changes,</w:t>
      </w:r>
      <w:r w:rsidR="00C64050">
        <w:t xml:space="preserve"> </w:t>
      </w:r>
      <w:r w:rsidRPr="00C25106">
        <w:t>discussed</w:t>
      </w:r>
      <w:r w:rsidR="00C64050">
        <w:t xml:space="preserve"> </w:t>
      </w:r>
      <w:r w:rsidRPr="00C25106">
        <w:t>below,</w:t>
      </w:r>
      <w:r w:rsidR="00C64050">
        <w:t xml:space="preserve"> </w:t>
      </w:r>
      <w:r w:rsidRPr="00C25106">
        <w:t>many</w:t>
      </w:r>
      <w:r w:rsidR="00C64050">
        <w:t xml:space="preserve"> </w:t>
      </w:r>
      <w:r w:rsidRPr="00C25106">
        <w:t>of</w:t>
      </w:r>
      <w:r w:rsidR="00C64050">
        <w:t xml:space="preserve"> </w:t>
      </w:r>
      <w:r w:rsidRPr="00C25106">
        <w:t>the</w:t>
      </w:r>
      <w:r w:rsidR="00C64050">
        <w:t xml:space="preserve"> </w:t>
      </w:r>
      <w:r w:rsidRPr="00C25106">
        <w:t>provisions</w:t>
      </w:r>
      <w:r w:rsidR="00C64050">
        <w:t xml:space="preserve"> </w:t>
      </w:r>
      <w:r w:rsidRPr="00C25106">
        <w:t>of</w:t>
      </w:r>
      <w:r w:rsidR="00C64050">
        <w:t xml:space="preserve"> </w:t>
      </w:r>
      <w:r w:rsidRPr="00C25106">
        <w:t>the</w:t>
      </w:r>
      <w:r w:rsidR="00C64050">
        <w:t xml:space="preserve"> </w:t>
      </w:r>
      <w:r w:rsidRPr="00C25106">
        <w:t>2017</w:t>
      </w:r>
      <w:r w:rsidR="00C64050">
        <w:t xml:space="preserve"> </w:t>
      </w:r>
      <w:r w:rsidRPr="00C25106">
        <w:t>Tax</w:t>
      </w:r>
      <w:r w:rsidR="00C64050">
        <w:t xml:space="preserve"> </w:t>
      </w:r>
      <w:r w:rsidRPr="00C25106">
        <w:t>Act</w:t>
      </w:r>
      <w:r w:rsidR="00C64050">
        <w:t xml:space="preserve"> </w:t>
      </w:r>
      <w:r w:rsidRPr="00C25106">
        <w:t>will</w:t>
      </w:r>
      <w:r w:rsidR="00C64050">
        <w:t xml:space="preserve"> </w:t>
      </w:r>
      <w:r w:rsidRPr="00C25106">
        <w:t>sunset</w:t>
      </w:r>
      <w:r w:rsidR="00C64050">
        <w:t xml:space="preserve"> </w:t>
      </w:r>
      <w:r w:rsidRPr="00C25106">
        <w:t>on</w:t>
      </w:r>
      <w:r w:rsidR="00C64050">
        <w:t xml:space="preserve"> </w:t>
      </w:r>
      <w:r w:rsidRPr="00C25106">
        <w:t>January</w:t>
      </w:r>
      <w:r w:rsidR="00C64050">
        <w:t xml:space="preserve"> </w:t>
      </w:r>
      <w:r w:rsidRPr="00C25106">
        <w:t>1,</w:t>
      </w:r>
      <w:r w:rsidR="00C64050">
        <w:t xml:space="preserve"> </w:t>
      </w:r>
      <w:r w:rsidRPr="00C25106">
        <w:t>2026</w:t>
      </w:r>
      <w:r w:rsidR="00C64050">
        <w:t xml:space="preserve"> </w:t>
      </w:r>
      <w:r w:rsidRPr="00C25106">
        <w:t>and</w:t>
      </w:r>
      <w:r w:rsidR="00C64050">
        <w:t xml:space="preserve"> </w:t>
      </w:r>
      <w:r w:rsidRPr="00C25106">
        <w:t>the</w:t>
      </w:r>
      <w:r w:rsidR="00C64050">
        <w:t xml:space="preserve"> </w:t>
      </w:r>
      <w:r w:rsidRPr="00C25106">
        <w:t>law</w:t>
      </w:r>
      <w:r w:rsidR="00C64050">
        <w:t xml:space="preserve"> </w:t>
      </w:r>
      <w:r w:rsidRPr="00C25106">
        <w:t>in</w:t>
      </w:r>
      <w:r w:rsidR="00C64050">
        <w:t xml:space="preserve"> </w:t>
      </w:r>
      <w:r w:rsidRPr="00C25106">
        <w:t>effect</w:t>
      </w:r>
      <w:r w:rsidR="00C64050">
        <w:t xml:space="preserve"> </w:t>
      </w:r>
      <w:r w:rsidRPr="00C25106">
        <w:t>on</w:t>
      </w:r>
      <w:r w:rsidR="00C64050">
        <w:t xml:space="preserve"> </w:t>
      </w:r>
      <w:r w:rsidRPr="00C25106">
        <w:t>December</w:t>
      </w:r>
      <w:r w:rsidR="00C64050">
        <w:t xml:space="preserve"> </w:t>
      </w:r>
      <w:r w:rsidRPr="00C25106">
        <w:t>31,</w:t>
      </w:r>
      <w:r w:rsidR="00C64050">
        <w:t xml:space="preserve"> </w:t>
      </w:r>
      <w:r w:rsidRPr="00C25106">
        <w:t>2017</w:t>
      </w:r>
      <w:r w:rsidR="00C64050">
        <w:t xml:space="preserve"> </w:t>
      </w:r>
      <w:r w:rsidRPr="00C25106">
        <w:t>will</w:t>
      </w:r>
      <w:r w:rsidR="00C64050">
        <w:t xml:space="preserve"> </w:t>
      </w:r>
      <w:r w:rsidRPr="00C25106">
        <w:t>become</w:t>
      </w:r>
      <w:r w:rsidR="00C64050">
        <w:t xml:space="preserve"> </w:t>
      </w:r>
      <w:r w:rsidRPr="00C25106">
        <w:t>effective</w:t>
      </w:r>
      <w:r w:rsidR="00C64050">
        <w:t xml:space="preserve"> </w:t>
      </w:r>
      <w:r w:rsidRPr="00C25106">
        <w:t>again,</w:t>
      </w:r>
      <w:r w:rsidR="00C64050">
        <w:t xml:space="preserve"> </w:t>
      </w:r>
      <w:r w:rsidRPr="00C25106">
        <w:t>unless</w:t>
      </w:r>
      <w:r w:rsidR="00C64050">
        <w:t xml:space="preserve"> </w:t>
      </w:r>
      <w:r w:rsidRPr="00C25106">
        <w:t>legislation</w:t>
      </w:r>
      <w:r w:rsidR="00C64050">
        <w:t xml:space="preserve"> </w:t>
      </w:r>
      <w:r w:rsidRPr="00C25106">
        <w:t>is</w:t>
      </w:r>
      <w:r w:rsidR="00C64050">
        <w:t xml:space="preserve"> </w:t>
      </w:r>
      <w:r w:rsidRPr="00C25106">
        <w:t>enacted</w:t>
      </w:r>
      <w:r w:rsidR="00C64050">
        <w:t xml:space="preserve"> </w:t>
      </w:r>
      <w:r w:rsidRPr="00C25106">
        <w:t>altering</w:t>
      </w:r>
      <w:r w:rsidR="00C64050">
        <w:t xml:space="preserve"> </w:t>
      </w:r>
      <w:r w:rsidRPr="00C25106">
        <w:t>this</w:t>
      </w:r>
      <w:r w:rsidR="00C64050">
        <w:t xml:space="preserve"> </w:t>
      </w:r>
      <w:r w:rsidRPr="00C25106">
        <w:t>sunset.</w:t>
      </w:r>
    </w:p>
    <w:p w:rsidR="009B095B" w:rsidRPr="000D1A25" w:rsidRDefault="009B095B" w:rsidP="000D1A25">
      <w:pPr>
        <w:pStyle w:val="LFLevel2"/>
        <w:rPr>
          <w:b/>
          <w:u w:val="single"/>
        </w:rPr>
      </w:pPr>
      <w:bookmarkStart w:id="33" w:name="_Toc512231999"/>
      <w:bookmarkStart w:id="34" w:name="_Toc94704597"/>
      <w:r w:rsidRPr="000D1A25">
        <w:rPr>
          <w:b/>
          <w:u w:val="single"/>
        </w:rPr>
        <w:t>New</w:t>
      </w:r>
      <w:r w:rsidR="00C64050">
        <w:rPr>
          <w:b/>
          <w:u w:val="single"/>
        </w:rPr>
        <w:t xml:space="preserve"> </w:t>
      </w:r>
      <w:r w:rsidRPr="000D1A25">
        <w:rPr>
          <w:b/>
          <w:u w:val="single"/>
        </w:rPr>
        <w:t>Basic</w:t>
      </w:r>
      <w:r w:rsidR="00C64050">
        <w:rPr>
          <w:b/>
          <w:u w:val="single"/>
        </w:rPr>
        <w:t xml:space="preserve"> </w:t>
      </w:r>
      <w:r w:rsidRPr="000D1A25">
        <w:rPr>
          <w:b/>
          <w:u w:val="single"/>
        </w:rPr>
        <w:t>Exclusion</w:t>
      </w:r>
      <w:r w:rsidR="00C64050">
        <w:rPr>
          <w:b/>
          <w:u w:val="single"/>
        </w:rPr>
        <w:t xml:space="preserve"> </w:t>
      </w:r>
      <w:r w:rsidRPr="000D1A25">
        <w:rPr>
          <w:b/>
          <w:u w:val="single"/>
        </w:rPr>
        <w:t>Amounts</w:t>
      </w:r>
      <w:r w:rsidR="00C64050">
        <w:rPr>
          <w:b/>
          <w:u w:val="single"/>
        </w:rPr>
        <w:t xml:space="preserve"> </w:t>
      </w:r>
      <w:r w:rsidRPr="000D1A25">
        <w:rPr>
          <w:b/>
          <w:u w:val="single"/>
        </w:rPr>
        <w:t>for</w:t>
      </w:r>
      <w:r w:rsidR="00C64050">
        <w:rPr>
          <w:b/>
          <w:u w:val="single"/>
        </w:rPr>
        <w:t xml:space="preserve"> </w:t>
      </w:r>
      <w:r w:rsidRPr="000D1A25">
        <w:rPr>
          <w:b/>
          <w:u w:val="single"/>
        </w:rPr>
        <w:t>Estate</w:t>
      </w:r>
      <w:r w:rsidR="00C64050">
        <w:rPr>
          <w:b/>
          <w:u w:val="single"/>
        </w:rPr>
        <w:t xml:space="preserve"> </w:t>
      </w:r>
      <w:r w:rsidRPr="000D1A25">
        <w:rPr>
          <w:b/>
          <w:u w:val="single"/>
        </w:rPr>
        <w:t>and</w:t>
      </w:r>
      <w:r w:rsidR="00C64050">
        <w:rPr>
          <w:b/>
          <w:u w:val="single"/>
        </w:rPr>
        <w:t xml:space="preserve"> </w:t>
      </w:r>
      <w:r w:rsidRPr="000D1A25">
        <w:rPr>
          <w:b/>
          <w:u w:val="single"/>
        </w:rPr>
        <w:t>Gift</w:t>
      </w:r>
      <w:r w:rsidR="00C64050">
        <w:rPr>
          <w:b/>
          <w:u w:val="single"/>
        </w:rPr>
        <w:t xml:space="preserve"> </w:t>
      </w:r>
      <w:r w:rsidRPr="000D1A25">
        <w:rPr>
          <w:b/>
          <w:u w:val="single"/>
        </w:rPr>
        <w:t>Taxes</w:t>
      </w:r>
      <w:r w:rsidR="00C64050">
        <w:rPr>
          <w:b/>
          <w:u w:val="single"/>
        </w:rPr>
        <w:t xml:space="preserve"> </w:t>
      </w:r>
      <w:r w:rsidRPr="000D1A25">
        <w:rPr>
          <w:b/>
          <w:u w:val="single"/>
        </w:rPr>
        <w:t>and</w:t>
      </w:r>
      <w:r w:rsidR="00C64050">
        <w:rPr>
          <w:b/>
          <w:u w:val="single"/>
        </w:rPr>
        <w:t xml:space="preserve"> </w:t>
      </w:r>
      <w:r w:rsidRPr="000D1A25">
        <w:rPr>
          <w:b/>
          <w:u w:val="single"/>
        </w:rPr>
        <w:t>New</w:t>
      </w:r>
      <w:r w:rsidR="00C64050">
        <w:rPr>
          <w:b/>
          <w:u w:val="single"/>
        </w:rPr>
        <w:t xml:space="preserve"> </w:t>
      </w:r>
      <w:r w:rsidRPr="000D1A25">
        <w:rPr>
          <w:b/>
          <w:u w:val="single"/>
        </w:rPr>
        <w:t>Generation-Skipping</w:t>
      </w:r>
      <w:r w:rsidR="00C64050">
        <w:rPr>
          <w:b/>
          <w:u w:val="single"/>
        </w:rPr>
        <w:t xml:space="preserve"> </w:t>
      </w:r>
      <w:r w:rsidRPr="000D1A25">
        <w:rPr>
          <w:b/>
          <w:u w:val="single"/>
        </w:rPr>
        <w:t>Transfer</w:t>
      </w:r>
      <w:r w:rsidR="00C64050">
        <w:rPr>
          <w:b/>
          <w:u w:val="single"/>
        </w:rPr>
        <w:t xml:space="preserve"> </w:t>
      </w:r>
      <w:r w:rsidRPr="000D1A25">
        <w:rPr>
          <w:b/>
          <w:u w:val="single"/>
        </w:rPr>
        <w:t>Exemption</w:t>
      </w:r>
      <w:bookmarkEnd w:id="33"/>
      <w:r w:rsidR="00C64050">
        <w:rPr>
          <w:b/>
          <w:u w:val="single"/>
        </w:rPr>
        <w:t xml:space="preserve"> </w:t>
      </w:r>
      <w:r w:rsidR="00C90BDB">
        <w:rPr>
          <w:b/>
          <w:u w:val="single"/>
        </w:rPr>
        <w:t>and</w:t>
      </w:r>
      <w:r w:rsidR="00C64050">
        <w:rPr>
          <w:b/>
          <w:u w:val="single"/>
        </w:rPr>
        <w:t xml:space="preserve"> </w:t>
      </w:r>
      <w:r w:rsidR="00C90BDB">
        <w:rPr>
          <w:b/>
          <w:u w:val="single"/>
        </w:rPr>
        <w:t>Clawback</w:t>
      </w:r>
      <w:bookmarkEnd w:id="34"/>
    </w:p>
    <w:p w:rsidR="009B095B" w:rsidRPr="00C25106" w:rsidRDefault="009B095B" w:rsidP="001E7C34">
      <w:pPr>
        <w:pStyle w:val="Body15"/>
      </w:pPr>
      <w:r w:rsidRPr="00C25106">
        <w:t>For</w:t>
      </w:r>
      <w:r w:rsidR="00C64050">
        <w:t xml:space="preserve"> </w:t>
      </w:r>
      <w:r w:rsidRPr="00C25106">
        <w:t>estate</w:t>
      </w:r>
      <w:r w:rsidR="00C64050">
        <w:t xml:space="preserve"> </w:t>
      </w:r>
      <w:r w:rsidRPr="00C25106">
        <w:t>and</w:t>
      </w:r>
      <w:r w:rsidR="00C64050">
        <w:t xml:space="preserve"> </w:t>
      </w:r>
      <w:r w:rsidRPr="00C25106">
        <w:t>gift</w:t>
      </w:r>
      <w:r w:rsidR="00C64050">
        <w:t xml:space="preserve"> </w:t>
      </w:r>
      <w:r w:rsidRPr="00C25106">
        <w:t>tax</w:t>
      </w:r>
      <w:r w:rsidR="00C64050">
        <w:t xml:space="preserve"> </w:t>
      </w:r>
      <w:r w:rsidRPr="00C25106">
        <w:t>purposes,</w:t>
      </w:r>
      <w:r w:rsidR="00C64050">
        <w:t xml:space="preserve"> </w:t>
      </w:r>
      <w:r w:rsidRPr="00C25106">
        <w:t>the</w:t>
      </w:r>
      <w:r w:rsidR="00C64050">
        <w:t xml:space="preserve"> </w:t>
      </w:r>
      <w:r w:rsidRPr="00C25106">
        <w:t>2017</w:t>
      </w:r>
      <w:r w:rsidR="00C64050">
        <w:t xml:space="preserve"> </w:t>
      </w:r>
      <w:r w:rsidRPr="00C25106">
        <w:t>Tax</w:t>
      </w:r>
      <w:r w:rsidR="00C64050">
        <w:t xml:space="preserve"> </w:t>
      </w:r>
      <w:r w:rsidRPr="00C25106">
        <w:t>Act</w:t>
      </w:r>
      <w:r w:rsidR="00C64050">
        <w:t xml:space="preserve"> </w:t>
      </w:r>
      <w:r w:rsidRPr="00C25106">
        <w:t>increased</w:t>
      </w:r>
      <w:r w:rsidR="00C64050">
        <w:t xml:space="preserve"> </w:t>
      </w:r>
      <w:r w:rsidRPr="00C25106">
        <w:t>the</w:t>
      </w:r>
      <w:r w:rsidR="00C64050">
        <w:t xml:space="preserve"> </w:t>
      </w:r>
      <w:r w:rsidRPr="00C25106">
        <w:t>basic</w:t>
      </w:r>
      <w:r w:rsidR="00C64050">
        <w:t xml:space="preserve"> </w:t>
      </w:r>
      <w:r w:rsidRPr="00C25106">
        <w:t>exclusion</w:t>
      </w:r>
      <w:r w:rsidR="00C64050">
        <w:t xml:space="preserve"> </w:t>
      </w:r>
      <w:r w:rsidRPr="00C25106">
        <w:t>amount</w:t>
      </w:r>
      <w:r w:rsidR="00C64050">
        <w:t xml:space="preserve"> </w:t>
      </w:r>
      <w:r w:rsidRPr="00C25106">
        <w:t>under</w:t>
      </w:r>
      <w:r w:rsidR="00C64050">
        <w:t xml:space="preserve"> </w:t>
      </w:r>
      <w:r w:rsidR="007469BB">
        <w:t>s</w:t>
      </w:r>
      <w:r>
        <w:t>ection</w:t>
      </w:r>
      <w:r w:rsidR="00C64050">
        <w:t xml:space="preserve"> </w:t>
      </w:r>
      <w:r w:rsidRPr="00C25106">
        <w:t>2010(c)(3)</w:t>
      </w:r>
      <w:r w:rsidR="00C64050">
        <w:t xml:space="preserve"> </w:t>
      </w:r>
      <w:r w:rsidRPr="00C25106">
        <w:t>to</w:t>
      </w:r>
      <w:r w:rsidR="00C64050">
        <w:t xml:space="preserve"> </w:t>
      </w:r>
      <w:r w:rsidRPr="00C25106">
        <w:t>$10</w:t>
      </w:r>
      <w:r w:rsidR="00C64050">
        <w:t xml:space="preserve"> </w:t>
      </w:r>
      <w:r w:rsidRPr="00C25106">
        <w:t>million</w:t>
      </w:r>
      <w:r w:rsidR="00C64050">
        <w:t xml:space="preserve"> </w:t>
      </w:r>
      <w:r w:rsidRPr="00C25106">
        <w:t>as</w:t>
      </w:r>
      <w:r w:rsidR="00C64050">
        <w:t xml:space="preserve"> </w:t>
      </w:r>
      <w:r w:rsidRPr="00C25106">
        <w:t>adjusted</w:t>
      </w:r>
      <w:r w:rsidR="00C64050">
        <w:t xml:space="preserve"> </w:t>
      </w:r>
      <w:r w:rsidRPr="00C25106">
        <w:t>for</w:t>
      </w:r>
      <w:r w:rsidR="00C64050">
        <w:t xml:space="preserve"> </w:t>
      </w:r>
      <w:r w:rsidRPr="00C25106">
        <w:t>inflation</w:t>
      </w:r>
      <w:r w:rsidR="00C64050">
        <w:t xml:space="preserve"> </w:t>
      </w:r>
      <w:r w:rsidRPr="00C25106">
        <w:t>with</w:t>
      </w:r>
      <w:r w:rsidR="00C64050">
        <w:t xml:space="preserve"> </w:t>
      </w:r>
      <w:r w:rsidRPr="00C25106">
        <w:t>a</w:t>
      </w:r>
      <w:r w:rsidR="00C64050">
        <w:t xml:space="preserve"> </w:t>
      </w:r>
      <w:r w:rsidRPr="00C25106">
        <w:t>2010</w:t>
      </w:r>
      <w:r w:rsidR="00C64050">
        <w:t xml:space="preserve"> </w:t>
      </w:r>
      <w:r w:rsidRPr="00C25106">
        <w:t>base</w:t>
      </w:r>
      <w:r w:rsidR="00C64050">
        <w:t xml:space="preserve"> </w:t>
      </w:r>
      <w:r w:rsidRPr="00C25106">
        <w:t>year</w:t>
      </w:r>
      <w:r w:rsidR="00C64050">
        <w:t xml:space="preserve"> </w:t>
      </w:r>
      <w:r w:rsidRPr="00C25106">
        <w:t>(the</w:t>
      </w:r>
      <w:r w:rsidR="00C64050">
        <w:t xml:space="preserve"> </w:t>
      </w:r>
      <w:r w:rsidRPr="00C25106">
        <w:t>same</w:t>
      </w:r>
      <w:r w:rsidR="00C64050">
        <w:t xml:space="preserve"> </w:t>
      </w:r>
      <w:r w:rsidRPr="00C25106">
        <w:t>base</w:t>
      </w:r>
      <w:r w:rsidR="00C64050">
        <w:t xml:space="preserve"> </w:t>
      </w:r>
      <w:r w:rsidRPr="00C25106">
        <w:t>year</w:t>
      </w:r>
      <w:r w:rsidR="00C64050">
        <w:t xml:space="preserve"> </w:t>
      </w:r>
      <w:r w:rsidR="002C37F2">
        <w:t>as</w:t>
      </w:r>
      <w:r w:rsidR="00C64050">
        <w:t xml:space="preserve"> </w:t>
      </w:r>
      <w:r w:rsidRPr="00C25106">
        <w:t>under</w:t>
      </w:r>
      <w:r w:rsidR="00C64050">
        <w:t xml:space="preserve"> </w:t>
      </w:r>
      <w:r w:rsidRPr="00C25106">
        <w:t>prior</w:t>
      </w:r>
      <w:r w:rsidR="00C64050">
        <w:t xml:space="preserve"> </w:t>
      </w:r>
      <w:r w:rsidRPr="00C25106">
        <w:t>law).</w:t>
      </w:r>
      <w:r w:rsidR="00C64050">
        <w:t xml:space="preserve">  </w:t>
      </w:r>
      <w:r w:rsidRPr="00C25106">
        <w:t>Thus,</w:t>
      </w:r>
      <w:r w:rsidR="00C64050">
        <w:t xml:space="preserve"> </w:t>
      </w:r>
      <w:r w:rsidRPr="00C25106">
        <w:t>th</w:t>
      </w:r>
      <w:r w:rsidR="00C57C1C">
        <w:t>e</w:t>
      </w:r>
      <w:r w:rsidR="00C64050">
        <w:t xml:space="preserve"> </w:t>
      </w:r>
      <w:r w:rsidR="00C57C1C">
        <w:t>basic</w:t>
      </w:r>
      <w:r w:rsidR="00C64050">
        <w:t xml:space="preserve"> </w:t>
      </w:r>
      <w:r w:rsidR="00C57C1C">
        <w:t>exclusion</w:t>
      </w:r>
      <w:r w:rsidR="00C64050">
        <w:t xml:space="preserve"> </w:t>
      </w:r>
      <w:r w:rsidR="00C57C1C">
        <w:t>amount</w:t>
      </w:r>
      <w:r w:rsidR="00C64050">
        <w:t xml:space="preserve"> </w:t>
      </w:r>
      <w:r w:rsidR="00C57C1C">
        <w:t>for</w:t>
      </w:r>
      <w:r w:rsidR="00C64050">
        <w:t xml:space="preserve"> </w:t>
      </w:r>
      <w:r w:rsidR="00C57C1C">
        <w:t>202</w:t>
      </w:r>
      <w:r w:rsidR="00A324EF">
        <w:t>1</w:t>
      </w:r>
      <w:r w:rsidR="00C64050">
        <w:t xml:space="preserve"> </w:t>
      </w:r>
      <w:r w:rsidRPr="00C25106">
        <w:t>for</w:t>
      </w:r>
      <w:r w:rsidR="00C64050">
        <w:t xml:space="preserve"> </w:t>
      </w:r>
      <w:r w:rsidRPr="00C25106">
        <w:t>gift</w:t>
      </w:r>
      <w:r w:rsidR="00C64050">
        <w:t xml:space="preserve"> </w:t>
      </w:r>
      <w:r w:rsidRPr="001E7C34">
        <w:rPr>
          <w:color w:val="000000"/>
          <w:szCs w:val="20"/>
        </w:rPr>
        <w:t>and</w:t>
      </w:r>
      <w:r w:rsidR="00C64050">
        <w:t xml:space="preserve"> </w:t>
      </w:r>
      <w:r w:rsidRPr="00C25106">
        <w:t>estate</w:t>
      </w:r>
      <w:r w:rsidR="00C64050">
        <w:t xml:space="preserve"> </w:t>
      </w:r>
      <w:r w:rsidRPr="00C25106">
        <w:t>tax</w:t>
      </w:r>
      <w:r w:rsidR="00C64050">
        <w:t xml:space="preserve"> </w:t>
      </w:r>
      <w:r w:rsidRPr="00C25106">
        <w:t>purposes,</w:t>
      </w:r>
      <w:r w:rsidR="00C64050">
        <w:t xml:space="preserve"> </w:t>
      </w:r>
      <w:r w:rsidRPr="00C25106">
        <w:t>and</w:t>
      </w:r>
      <w:r w:rsidR="00C64050">
        <w:t xml:space="preserve"> </w:t>
      </w:r>
      <w:r w:rsidRPr="00C25106">
        <w:t>the</w:t>
      </w:r>
      <w:r w:rsidR="00C64050">
        <w:t xml:space="preserve"> </w:t>
      </w:r>
      <w:r w:rsidRPr="00C25106">
        <w:t>generation-skipping</w:t>
      </w:r>
      <w:r w:rsidR="00C64050">
        <w:t xml:space="preserve"> </w:t>
      </w:r>
      <w:r w:rsidRPr="00C25106">
        <w:t>transfer</w:t>
      </w:r>
      <w:r w:rsidR="00C64050">
        <w:t xml:space="preserve"> </w:t>
      </w:r>
      <w:r w:rsidRPr="00C25106">
        <w:t>(“GST”)</w:t>
      </w:r>
      <w:r w:rsidR="00C64050">
        <w:t xml:space="preserve"> </w:t>
      </w:r>
      <w:r w:rsidRPr="00C25106">
        <w:t>exemption</w:t>
      </w:r>
      <w:r w:rsidR="00C64050">
        <w:t xml:space="preserve"> </w:t>
      </w:r>
      <w:r w:rsidRPr="00C25106">
        <w:t>amount</w:t>
      </w:r>
      <w:r w:rsidR="00C64050">
        <w:t xml:space="preserve"> </w:t>
      </w:r>
      <w:r w:rsidRPr="00C25106">
        <w:t>under</w:t>
      </w:r>
      <w:r w:rsidR="00C64050">
        <w:t xml:space="preserve"> </w:t>
      </w:r>
      <w:r w:rsidR="002C37F2">
        <w:t>s</w:t>
      </w:r>
      <w:r>
        <w:t>ection</w:t>
      </w:r>
      <w:r w:rsidR="00C64050">
        <w:t xml:space="preserve"> </w:t>
      </w:r>
      <w:r w:rsidR="007469BB">
        <w:t>2631(c),</w:t>
      </w:r>
      <w:r w:rsidR="00C64050">
        <w:t xml:space="preserve"> </w:t>
      </w:r>
      <w:r w:rsidR="007469BB">
        <w:t>is</w:t>
      </w:r>
      <w:r w:rsidR="00C64050">
        <w:t xml:space="preserve"> </w:t>
      </w:r>
      <w:r w:rsidR="007469BB">
        <w:t>$11</w:t>
      </w:r>
      <w:r w:rsidR="00C57C1C">
        <w:t>,</w:t>
      </w:r>
      <w:r w:rsidR="00946CC1">
        <w:t>70</w:t>
      </w:r>
      <w:r w:rsidR="00C57C1C">
        <w:t>0,000</w:t>
      </w:r>
      <w:r w:rsidRPr="00C25106">
        <w:t>.</w:t>
      </w:r>
      <w:r w:rsidR="00C64050">
        <w:t xml:space="preserve">  </w:t>
      </w:r>
      <w:r w:rsidRPr="00C25106">
        <w:t>Under</w:t>
      </w:r>
      <w:r w:rsidR="00C64050">
        <w:t xml:space="preserve"> </w:t>
      </w:r>
      <w:r w:rsidRPr="00C25106">
        <w:t>the</w:t>
      </w:r>
      <w:r w:rsidR="00C64050">
        <w:t xml:space="preserve"> </w:t>
      </w:r>
      <w:r w:rsidRPr="00C25106">
        <w:t>current</w:t>
      </w:r>
      <w:r w:rsidR="00C64050">
        <w:t xml:space="preserve"> </w:t>
      </w:r>
      <w:r w:rsidRPr="00C25106">
        <w:t>applicable</w:t>
      </w:r>
      <w:r w:rsidR="00C64050">
        <w:t xml:space="preserve"> </w:t>
      </w:r>
      <w:r w:rsidRPr="00C25106">
        <w:t>exclusion</w:t>
      </w:r>
      <w:r w:rsidR="00C64050">
        <w:t xml:space="preserve"> </w:t>
      </w:r>
      <w:r w:rsidRPr="00C25106">
        <w:t>amount,</w:t>
      </w:r>
      <w:r w:rsidR="00C64050">
        <w:t xml:space="preserve"> </w:t>
      </w:r>
      <w:r w:rsidRPr="00C25106">
        <w:t>the</w:t>
      </w:r>
      <w:r w:rsidR="00C64050">
        <w:t xml:space="preserve"> </w:t>
      </w:r>
      <w:r w:rsidRPr="00C25106">
        <w:t>number</w:t>
      </w:r>
      <w:r w:rsidR="00C64050">
        <w:t xml:space="preserve"> </w:t>
      </w:r>
      <w:r w:rsidRPr="00C25106">
        <w:t>of</w:t>
      </w:r>
      <w:r w:rsidR="00C64050">
        <w:t xml:space="preserve"> </w:t>
      </w:r>
      <w:r w:rsidRPr="00C25106">
        <w:t>decedent’s</w:t>
      </w:r>
      <w:r w:rsidR="00C64050">
        <w:t xml:space="preserve"> </w:t>
      </w:r>
      <w:r w:rsidRPr="00C25106">
        <w:t>estates</w:t>
      </w:r>
      <w:r w:rsidR="00C64050">
        <w:t xml:space="preserve"> </w:t>
      </w:r>
      <w:r w:rsidRPr="00C25106">
        <w:t>subject</w:t>
      </w:r>
      <w:r w:rsidR="00C64050">
        <w:t xml:space="preserve"> </w:t>
      </w:r>
      <w:r w:rsidRPr="00C25106">
        <w:t>to</w:t>
      </w:r>
      <w:r w:rsidR="00C64050">
        <w:t xml:space="preserve"> </w:t>
      </w:r>
      <w:r w:rsidRPr="00C25106">
        <w:t>federal</w:t>
      </w:r>
      <w:r w:rsidR="00C64050">
        <w:t xml:space="preserve"> </w:t>
      </w:r>
      <w:r w:rsidRPr="00C25106">
        <w:t>estate</w:t>
      </w:r>
      <w:r w:rsidR="00C64050">
        <w:t xml:space="preserve"> </w:t>
      </w:r>
      <w:r w:rsidRPr="00C25106">
        <w:t>tax</w:t>
      </w:r>
      <w:r w:rsidR="00C64050">
        <w:t xml:space="preserve"> </w:t>
      </w:r>
      <w:r w:rsidRPr="00C25106">
        <w:t>may</w:t>
      </w:r>
      <w:r w:rsidR="00C64050">
        <w:t xml:space="preserve"> </w:t>
      </w:r>
      <w:r w:rsidRPr="00C25106">
        <w:t>only</w:t>
      </w:r>
      <w:r w:rsidR="00C64050">
        <w:t xml:space="preserve"> </w:t>
      </w:r>
      <w:r w:rsidRPr="00C25106">
        <w:t>reach</w:t>
      </w:r>
      <w:r w:rsidR="00C64050">
        <w:t xml:space="preserve"> </w:t>
      </w:r>
      <w:r w:rsidRPr="00C25106">
        <w:t>a</w:t>
      </w:r>
      <w:r w:rsidR="00C64050">
        <w:t xml:space="preserve"> </w:t>
      </w:r>
      <w:r w:rsidRPr="00C25106">
        <w:t>few</w:t>
      </w:r>
      <w:r w:rsidR="00C64050">
        <w:t xml:space="preserve"> </w:t>
      </w:r>
      <w:r w:rsidRPr="00C25106">
        <w:t>thousand,</w:t>
      </w:r>
      <w:r w:rsidR="00C64050">
        <w:t xml:space="preserve"> </w:t>
      </w:r>
      <w:r w:rsidRPr="00C25106">
        <w:t>and</w:t>
      </w:r>
      <w:r w:rsidR="00C64050">
        <w:t xml:space="preserve"> </w:t>
      </w:r>
      <w:r w:rsidRPr="00C25106">
        <w:t>taxpayers</w:t>
      </w:r>
      <w:r w:rsidR="00C64050">
        <w:t xml:space="preserve"> </w:t>
      </w:r>
      <w:r w:rsidRPr="00C25106">
        <w:t>have</w:t>
      </w:r>
      <w:r w:rsidR="00C64050">
        <w:t xml:space="preserve"> </w:t>
      </w:r>
      <w:r w:rsidRPr="00C25106">
        <w:t>the</w:t>
      </w:r>
      <w:r w:rsidR="00C64050">
        <w:t xml:space="preserve"> </w:t>
      </w:r>
      <w:r w:rsidRPr="00C25106">
        <w:t>ability</w:t>
      </w:r>
      <w:r w:rsidR="00C64050">
        <w:t xml:space="preserve"> </w:t>
      </w:r>
      <w:r w:rsidRPr="00C25106">
        <w:t>to</w:t>
      </w:r>
      <w:r w:rsidR="00C64050">
        <w:t xml:space="preserve"> </w:t>
      </w:r>
      <w:r w:rsidRPr="00C25106">
        <w:t>make</w:t>
      </w:r>
      <w:r w:rsidR="00C64050">
        <w:t xml:space="preserve"> </w:t>
      </w:r>
      <w:r w:rsidRPr="00C25106">
        <w:t>larger</w:t>
      </w:r>
      <w:r w:rsidR="00C64050">
        <w:t xml:space="preserve"> </w:t>
      </w:r>
      <w:r w:rsidRPr="00C25106">
        <w:t>gifts</w:t>
      </w:r>
      <w:r w:rsidR="00C64050">
        <w:t xml:space="preserve"> </w:t>
      </w:r>
      <w:r w:rsidRPr="00C25106">
        <w:t>during</w:t>
      </w:r>
      <w:r w:rsidR="00C64050">
        <w:t xml:space="preserve"> </w:t>
      </w:r>
      <w:r w:rsidRPr="00C25106">
        <w:t>their</w:t>
      </w:r>
      <w:r w:rsidR="00C64050">
        <w:t xml:space="preserve"> </w:t>
      </w:r>
      <w:r w:rsidRPr="00C25106">
        <w:t>lives</w:t>
      </w:r>
      <w:r w:rsidR="00C64050">
        <w:t xml:space="preserve"> </w:t>
      </w:r>
      <w:r w:rsidRPr="00C25106">
        <w:t>free</w:t>
      </w:r>
      <w:r w:rsidR="00C64050">
        <w:t xml:space="preserve"> </w:t>
      </w:r>
      <w:r w:rsidRPr="00C25106">
        <w:t>of</w:t>
      </w:r>
      <w:r w:rsidR="00C64050">
        <w:t xml:space="preserve"> </w:t>
      </w:r>
      <w:r w:rsidRPr="00C25106">
        <w:t>gift</w:t>
      </w:r>
      <w:r w:rsidR="00C64050">
        <w:t xml:space="preserve"> </w:t>
      </w:r>
      <w:r w:rsidRPr="00C25106">
        <w:t>tax.</w:t>
      </w:r>
      <w:r w:rsidR="00C64050">
        <w:t xml:space="preserve">  </w:t>
      </w:r>
      <w:r>
        <w:t>Just</w:t>
      </w:r>
      <w:r w:rsidR="00C64050">
        <w:t xml:space="preserve"> </w:t>
      </w:r>
      <w:r>
        <w:t>as</w:t>
      </w:r>
      <w:r w:rsidR="00C64050">
        <w:t xml:space="preserve"> </w:t>
      </w:r>
      <w:r>
        <w:t>important,</w:t>
      </w:r>
      <w:r w:rsidR="00C64050">
        <w:t xml:space="preserve"> </w:t>
      </w:r>
      <w:r>
        <w:t>taxpayers</w:t>
      </w:r>
      <w:r w:rsidR="00C64050">
        <w:t xml:space="preserve"> </w:t>
      </w:r>
      <w:r>
        <w:t>with</w:t>
      </w:r>
      <w:r w:rsidR="00C64050">
        <w:t xml:space="preserve"> </w:t>
      </w:r>
      <w:r>
        <w:t>less</w:t>
      </w:r>
      <w:r w:rsidR="00C64050">
        <w:t xml:space="preserve"> </w:t>
      </w:r>
      <w:r>
        <w:t>than</w:t>
      </w:r>
      <w:r w:rsidR="00C64050">
        <w:t xml:space="preserve"> </w:t>
      </w:r>
      <w:r>
        <w:t>the</w:t>
      </w:r>
      <w:r w:rsidR="00C64050">
        <w:t xml:space="preserve"> </w:t>
      </w:r>
      <w:r>
        <w:t>exclusion</w:t>
      </w:r>
      <w:r w:rsidR="00C64050">
        <w:t xml:space="preserve"> </w:t>
      </w:r>
      <w:r>
        <w:t>amount</w:t>
      </w:r>
      <w:r w:rsidR="00C64050">
        <w:t xml:space="preserve"> </w:t>
      </w:r>
      <w:r>
        <w:t>may</w:t>
      </w:r>
      <w:r w:rsidR="00C64050">
        <w:t xml:space="preserve"> </w:t>
      </w:r>
      <w:r>
        <w:t>transfer</w:t>
      </w:r>
      <w:r w:rsidR="00C64050">
        <w:t xml:space="preserve"> </w:t>
      </w:r>
      <w:r>
        <w:t>assets</w:t>
      </w:r>
      <w:r w:rsidR="00C64050">
        <w:t xml:space="preserve"> </w:t>
      </w:r>
      <w:r>
        <w:t>among</w:t>
      </w:r>
      <w:r w:rsidR="00C64050">
        <w:t xml:space="preserve"> </w:t>
      </w:r>
      <w:r>
        <w:t>themselves</w:t>
      </w:r>
      <w:r w:rsidR="00C64050">
        <w:t xml:space="preserve"> </w:t>
      </w:r>
      <w:r>
        <w:t>in</w:t>
      </w:r>
      <w:r w:rsidR="00C64050">
        <w:t xml:space="preserve"> </w:t>
      </w:r>
      <w:r>
        <w:t>order</w:t>
      </w:r>
      <w:r w:rsidR="00C64050">
        <w:t xml:space="preserve"> </w:t>
      </w:r>
      <w:r>
        <w:t>to</w:t>
      </w:r>
      <w:r w:rsidR="00C64050">
        <w:t xml:space="preserve"> </w:t>
      </w:r>
      <w:r>
        <w:t>include</w:t>
      </w:r>
      <w:r w:rsidR="00C64050">
        <w:t xml:space="preserve"> </w:t>
      </w:r>
      <w:r>
        <w:t>assets</w:t>
      </w:r>
      <w:r w:rsidR="00C64050">
        <w:t xml:space="preserve"> </w:t>
      </w:r>
      <w:r>
        <w:t>in</w:t>
      </w:r>
      <w:r w:rsidR="00C64050">
        <w:t xml:space="preserve"> </w:t>
      </w:r>
      <w:r>
        <w:t>the</w:t>
      </w:r>
      <w:r w:rsidR="00C64050">
        <w:t xml:space="preserve"> </w:t>
      </w:r>
      <w:r>
        <w:t>estate</w:t>
      </w:r>
      <w:r w:rsidR="00C64050">
        <w:t xml:space="preserve"> </w:t>
      </w:r>
      <w:r>
        <w:t>of</w:t>
      </w:r>
      <w:r w:rsidR="00C64050">
        <w:t xml:space="preserve"> </w:t>
      </w:r>
      <w:r>
        <w:t>a</w:t>
      </w:r>
      <w:r w:rsidR="00C64050">
        <w:t xml:space="preserve"> </w:t>
      </w:r>
      <w:r>
        <w:t>taxpayer</w:t>
      </w:r>
      <w:r w:rsidR="00C64050">
        <w:t xml:space="preserve"> </w:t>
      </w:r>
      <w:r>
        <w:t>most</w:t>
      </w:r>
      <w:r w:rsidR="00C64050">
        <w:t xml:space="preserve"> </w:t>
      </w:r>
      <w:r>
        <w:t>likely</w:t>
      </w:r>
      <w:r w:rsidR="00C64050">
        <w:t xml:space="preserve"> </w:t>
      </w:r>
      <w:r>
        <w:t>to</w:t>
      </w:r>
      <w:r w:rsidR="00C64050">
        <w:t xml:space="preserve"> </w:t>
      </w:r>
      <w:r>
        <w:t>die</w:t>
      </w:r>
      <w:r w:rsidR="00C64050">
        <w:t xml:space="preserve"> </w:t>
      </w:r>
      <w:r>
        <w:t>soonest.</w:t>
      </w:r>
      <w:r w:rsidR="00C64050">
        <w:t xml:space="preserve">  </w:t>
      </w:r>
      <w:r>
        <w:t>This</w:t>
      </w:r>
      <w:r w:rsidR="00C64050">
        <w:t xml:space="preserve"> </w:t>
      </w:r>
      <w:r>
        <w:t>creates</w:t>
      </w:r>
      <w:r w:rsidR="00C64050">
        <w:t xml:space="preserve"> </w:t>
      </w:r>
      <w:r>
        <w:t>enormous</w:t>
      </w:r>
      <w:r w:rsidR="00C64050">
        <w:t xml:space="preserve"> </w:t>
      </w:r>
      <w:r w:rsidR="002C37F2">
        <w:t>basis</w:t>
      </w:r>
      <w:r w:rsidR="00C64050">
        <w:t xml:space="preserve"> </w:t>
      </w:r>
      <w:r>
        <w:t>planning</w:t>
      </w:r>
      <w:r w:rsidR="00C64050">
        <w:t xml:space="preserve"> </w:t>
      </w:r>
      <w:r>
        <w:t>opportunities.</w:t>
      </w:r>
      <w:r w:rsidR="00C64050">
        <w:t xml:space="preserve">  </w:t>
      </w:r>
    </w:p>
    <w:p w:rsidR="007469BB" w:rsidRDefault="007469BB" w:rsidP="007469BB">
      <w:pPr>
        <w:pStyle w:val="Body15"/>
      </w:pPr>
      <w:r>
        <w:t>On</w:t>
      </w:r>
      <w:r w:rsidR="00C64050">
        <w:t xml:space="preserve"> </w:t>
      </w:r>
      <w:r>
        <w:t>November</w:t>
      </w:r>
      <w:r w:rsidR="00C64050">
        <w:t xml:space="preserve"> </w:t>
      </w:r>
      <w:r>
        <w:t>2</w:t>
      </w:r>
      <w:r w:rsidR="00C57C1C">
        <w:t>6</w:t>
      </w:r>
      <w:r>
        <w:t>,</w:t>
      </w:r>
      <w:r w:rsidR="00C64050">
        <w:t xml:space="preserve"> </w:t>
      </w:r>
      <w:r>
        <w:t>201</w:t>
      </w:r>
      <w:r w:rsidR="00C57C1C">
        <w:t>9</w:t>
      </w:r>
      <w:r>
        <w:t>,</w:t>
      </w:r>
      <w:r w:rsidR="00C64050">
        <w:t xml:space="preserve"> </w:t>
      </w:r>
      <w:r w:rsidR="00B400E5">
        <w:t>final</w:t>
      </w:r>
      <w:r w:rsidR="00C64050">
        <w:t xml:space="preserve"> </w:t>
      </w:r>
      <w:r>
        <w:t>clawback</w:t>
      </w:r>
      <w:r w:rsidR="00C64050">
        <w:t xml:space="preserve"> </w:t>
      </w:r>
      <w:r>
        <w:t>regulations</w:t>
      </w:r>
      <w:r w:rsidR="00C64050">
        <w:t xml:space="preserve"> </w:t>
      </w:r>
      <w:r>
        <w:t>were</w:t>
      </w:r>
      <w:r w:rsidR="00C64050">
        <w:t xml:space="preserve"> </w:t>
      </w:r>
      <w:r>
        <w:t>issued</w:t>
      </w:r>
      <w:r w:rsidR="00C64050">
        <w:t xml:space="preserve"> </w:t>
      </w:r>
      <w:r w:rsidR="00B400E5">
        <w:t>(§20.2010-1(c))</w:t>
      </w:r>
      <w:r>
        <w:t>.</w:t>
      </w:r>
      <w:r w:rsidR="00C64050">
        <w:t xml:space="preserve">  </w:t>
      </w:r>
      <w:r w:rsidR="00C57C1C">
        <w:t>T.D.</w:t>
      </w:r>
      <w:r w:rsidR="00C64050">
        <w:t xml:space="preserve"> </w:t>
      </w:r>
      <w:r w:rsidR="00C57C1C">
        <w:t>9884</w:t>
      </w:r>
      <w:r>
        <w:t>.</w:t>
      </w:r>
      <w:r w:rsidR="00C64050">
        <w:t xml:space="preserve">  </w:t>
      </w:r>
      <w:r>
        <w:t>In</w:t>
      </w:r>
      <w:r w:rsidR="00C64050">
        <w:t xml:space="preserve"> </w:t>
      </w:r>
      <w:r>
        <w:t>a</w:t>
      </w:r>
      <w:r w:rsidR="00C64050">
        <w:t xml:space="preserve"> </w:t>
      </w:r>
      <w:r>
        <w:t>nutshell,</w:t>
      </w:r>
      <w:r w:rsidR="00C64050">
        <w:t xml:space="preserve"> </w:t>
      </w:r>
      <w:r>
        <w:t>the</w:t>
      </w:r>
      <w:r w:rsidR="00C64050">
        <w:t xml:space="preserve"> </w:t>
      </w:r>
      <w:r>
        <w:t>regulations</w:t>
      </w:r>
      <w:r w:rsidR="00C64050">
        <w:t xml:space="preserve"> </w:t>
      </w:r>
      <w:r>
        <w:t>take</w:t>
      </w:r>
      <w:r w:rsidR="00C64050">
        <w:t xml:space="preserve"> </w:t>
      </w:r>
      <w:r>
        <w:t>the</w:t>
      </w:r>
      <w:r w:rsidR="00C64050">
        <w:t xml:space="preserve"> </w:t>
      </w:r>
      <w:r>
        <w:t>positions</w:t>
      </w:r>
      <w:r w:rsidR="00C64050">
        <w:t xml:space="preserve"> </w:t>
      </w:r>
      <w:r>
        <w:t>that</w:t>
      </w:r>
      <w:r w:rsidR="00C64050">
        <w:t xml:space="preserve"> </w:t>
      </w:r>
      <w:r>
        <w:t>(1)</w:t>
      </w:r>
      <w:r w:rsidR="00C64050">
        <w:t xml:space="preserve"> </w:t>
      </w:r>
      <w:r>
        <w:t>donors</w:t>
      </w:r>
      <w:r w:rsidR="00C64050">
        <w:t xml:space="preserve"> </w:t>
      </w:r>
      <w:r>
        <w:t>who</w:t>
      </w:r>
      <w:r w:rsidR="00C64050">
        <w:t xml:space="preserve"> </w:t>
      </w:r>
      <w:r>
        <w:t>paid</w:t>
      </w:r>
      <w:r w:rsidR="00C64050">
        <w:t xml:space="preserve"> </w:t>
      </w:r>
      <w:r>
        <w:t>gift</w:t>
      </w:r>
      <w:r w:rsidR="00C64050">
        <w:t xml:space="preserve"> </w:t>
      </w:r>
      <w:r>
        <w:t>tax</w:t>
      </w:r>
      <w:r w:rsidR="00C64050">
        <w:t xml:space="preserve"> </w:t>
      </w:r>
      <w:r>
        <w:t>on</w:t>
      </w:r>
      <w:r w:rsidR="00C64050">
        <w:t xml:space="preserve"> </w:t>
      </w:r>
      <w:r>
        <w:t>gifts</w:t>
      </w:r>
      <w:r w:rsidR="00C64050">
        <w:t xml:space="preserve"> </w:t>
      </w:r>
      <w:r>
        <w:t>prior</w:t>
      </w:r>
      <w:r w:rsidR="00C64050">
        <w:t xml:space="preserve"> </w:t>
      </w:r>
      <w:r>
        <w:t>to</w:t>
      </w:r>
      <w:r w:rsidR="00C64050">
        <w:t xml:space="preserve"> </w:t>
      </w:r>
      <w:r>
        <w:t>2017</w:t>
      </w:r>
      <w:r w:rsidR="00C64050">
        <w:t xml:space="preserve"> </w:t>
      </w:r>
      <w:r>
        <w:t>in</w:t>
      </w:r>
      <w:r w:rsidR="00C64050">
        <w:t xml:space="preserve"> </w:t>
      </w:r>
      <w:r>
        <w:t>excess</w:t>
      </w:r>
      <w:r w:rsidR="00C64050">
        <w:t xml:space="preserve"> </w:t>
      </w:r>
      <w:r>
        <w:t>of</w:t>
      </w:r>
      <w:r w:rsidR="00C64050">
        <w:t xml:space="preserve"> </w:t>
      </w:r>
      <w:r>
        <w:t>the</w:t>
      </w:r>
      <w:r w:rsidR="00C64050">
        <w:t xml:space="preserve"> </w:t>
      </w:r>
      <w:r>
        <w:t>original</w:t>
      </w:r>
      <w:r w:rsidR="00C64050">
        <w:t xml:space="preserve"> </w:t>
      </w:r>
      <w:r>
        <w:t>basic</w:t>
      </w:r>
      <w:r w:rsidR="00C64050">
        <w:t xml:space="preserve"> </w:t>
      </w:r>
      <w:r>
        <w:t>exclusion</w:t>
      </w:r>
      <w:r w:rsidR="00C64050">
        <w:t xml:space="preserve"> </w:t>
      </w:r>
      <w:r>
        <w:t>amount</w:t>
      </w:r>
      <w:r w:rsidR="00C64050">
        <w:t xml:space="preserve"> </w:t>
      </w:r>
      <w:r>
        <w:t>can</w:t>
      </w:r>
      <w:r w:rsidR="00C64050">
        <w:t xml:space="preserve"> </w:t>
      </w:r>
      <w:r>
        <w:t>make</w:t>
      </w:r>
      <w:r w:rsidR="00C64050">
        <w:t xml:space="preserve"> </w:t>
      </w:r>
      <w:r>
        <w:t>up</w:t>
      </w:r>
      <w:r w:rsidR="00C64050">
        <w:t xml:space="preserve"> </w:t>
      </w:r>
      <w:r>
        <w:t>to</w:t>
      </w:r>
      <w:r w:rsidR="00C64050">
        <w:t xml:space="preserve"> </w:t>
      </w:r>
      <w:r>
        <w:t>$5</w:t>
      </w:r>
      <w:r w:rsidR="00C64050">
        <w:t xml:space="preserve"> </w:t>
      </w:r>
      <w:r>
        <w:t>million</w:t>
      </w:r>
      <w:r w:rsidR="00C64050">
        <w:t xml:space="preserve"> </w:t>
      </w:r>
      <w:r>
        <w:t>of</w:t>
      </w:r>
      <w:r w:rsidR="00C64050">
        <w:t xml:space="preserve"> </w:t>
      </w:r>
      <w:r>
        <w:t>gifts</w:t>
      </w:r>
      <w:r w:rsidR="00C64050">
        <w:t xml:space="preserve"> </w:t>
      </w:r>
      <w:r>
        <w:t>in</w:t>
      </w:r>
      <w:r w:rsidR="00C64050">
        <w:t xml:space="preserve"> </w:t>
      </w:r>
      <w:r>
        <w:t>2018-2025</w:t>
      </w:r>
      <w:r w:rsidR="00C64050">
        <w:t xml:space="preserve"> </w:t>
      </w:r>
      <w:r>
        <w:t>which</w:t>
      </w:r>
      <w:r w:rsidR="00C64050">
        <w:t xml:space="preserve"> </w:t>
      </w:r>
      <w:r>
        <w:t>will</w:t>
      </w:r>
      <w:r w:rsidR="00C64050">
        <w:t xml:space="preserve"> </w:t>
      </w:r>
      <w:r>
        <w:t>be</w:t>
      </w:r>
      <w:r w:rsidR="00C64050">
        <w:t xml:space="preserve"> </w:t>
      </w:r>
      <w:r>
        <w:t>protected</w:t>
      </w:r>
      <w:r w:rsidR="00C64050">
        <w:t xml:space="preserve"> </w:t>
      </w:r>
      <w:r>
        <w:t>from</w:t>
      </w:r>
      <w:r w:rsidR="00C64050">
        <w:t xml:space="preserve"> </w:t>
      </w:r>
      <w:r>
        <w:t>tax</w:t>
      </w:r>
      <w:r w:rsidR="00C64050">
        <w:t xml:space="preserve"> </w:t>
      </w:r>
      <w:r>
        <w:t>by</w:t>
      </w:r>
      <w:r w:rsidR="00C64050">
        <w:t xml:space="preserve"> </w:t>
      </w:r>
      <w:r>
        <w:t>the</w:t>
      </w:r>
      <w:r w:rsidR="00C64050">
        <w:t xml:space="preserve"> </w:t>
      </w:r>
      <w:r>
        <w:t>additional</w:t>
      </w:r>
      <w:r w:rsidR="00C64050">
        <w:t xml:space="preserve"> </w:t>
      </w:r>
      <w:r>
        <w:t>basic</w:t>
      </w:r>
      <w:r w:rsidR="00C64050">
        <w:t xml:space="preserve"> </w:t>
      </w:r>
      <w:r>
        <w:t>exclusion</w:t>
      </w:r>
      <w:r w:rsidR="00C64050">
        <w:t xml:space="preserve"> </w:t>
      </w:r>
      <w:r>
        <w:t>amount</w:t>
      </w:r>
      <w:r w:rsidR="00C64050">
        <w:t xml:space="preserve"> </w:t>
      </w:r>
      <w:r>
        <w:t>and</w:t>
      </w:r>
      <w:r w:rsidR="00C64050">
        <w:t xml:space="preserve"> </w:t>
      </w:r>
      <w:r>
        <w:t>(2)</w:t>
      </w:r>
      <w:r w:rsidR="00C64050">
        <w:t xml:space="preserve"> </w:t>
      </w:r>
      <w:r>
        <w:t>donors</w:t>
      </w:r>
      <w:r w:rsidR="00C64050">
        <w:t xml:space="preserve"> </w:t>
      </w:r>
      <w:r>
        <w:t>who</w:t>
      </w:r>
      <w:r w:rsidR="00C64050">
        <w:t xml:space="preserve"> </w:t>
      </w:r>
      <w:r>
        <w:t>die</w:t>
      </w:r>
      <w:r w:rsidR="00C64050">
        <w:t xml:space="preserve"> </w:t>
      </w:r>
      <w:r>
        <w:rPr>
          <w:u w:val="single"/>
        </w:rPr>
        <w:t>after</w:t>
      </w:r>
      <w:r w:rsidR="00C64050">
        <w:t xml:space="preserve"> </w:t>
      </w:r>
      <w:r>
        <w:t>2025</w:t>
      </w:r>
      <w:r w:rsidR="00C64050">
        <w:t xml:space="preserve"> </w:t>
      </w:r>
      <w:r>
        <w:t>and</w:t>
      </w:r>
      <w:r w:rsidR="00C64050">
        <w:t xml:space="preserve"> </w:t>
      </w:r>
      <w:r>
        <w:t>who</w:t>
      </w:r>
      <w:r w:rsidR="00C64050">
        <w:t xml:space="preserve"> </w:t>
      </w:r>
      <w:r>
        <w:t>made</w:t>
      </w:r>
      <w:r w:rsidR="00C64050">
        <w:t xml:space="preserve"> </w:t>
      </w:r>
      <w:r>
        <w:t>gifts</w:t>
      </w:r>
      <w:r w:rsidR="00C64050">
        <w:t xml:space="preserve"> </w:t>
      </w:r>
      <w:r>
        <w:t>in</w:t>
      </w:r>
      <w:r w:rsidR="00C64050">
        <w:t xml:space="preserve"> </w:t>
      </w:r>
      <w:r>
        <w:t>2018-2025</w:t>
      </w:r>
      <w:r w:rsidR="00C64050">
        <w:t xml:space="preserve"> </w:t>
      </w:r>
      <w:r>
        <w:t>that</w:t>
      </w:r>
      <w:r w:rsidR="00C64050">
        <w:t xml:space="preserve"> </w:t>
      </w:r>
      <w:r>
        <w:t>were</w:t>
      </w:r>
      <w:r w:rsidR="00C64050">
        <w:t xml:space="preserve"> </w:t>
      </w:r>
      <w:r>
        <w:t>protected</w:t>
      </w:r>
      <w:r w:rsidR="00C64050">
        <w:t xml:space="preserve"> </w:t>
      </w:r>
      <w:r>
        <w:t>from</w:t>
      </w:r>
      <w:r w:rsidR="00C64050">
        <w:t xml:space="preserve"> </w:t>
      </w:r>
      <w:r>
        <w:t>gift</w:t>
      </w:r>
      <w:r w:rsidR="00C64050">
        <w:t xml:space="preserve"> </w:t>
      </w:r>
      <w:r>
        <w:t>tax</w:t>
      </w:r>
      <w:r w:rsidR="00C64050">
        <w:t xml:space="preserve"> </w:t>
      </w:r>
      <w:r>
        <w:t>by</w:t>
      </w:r>
      <w:r w:rsidR="00C64050">
        <w:t xml:space="preserve"> </w:t>
      </w:r>
      <w:r>
        <w:t>the</w:t>
      </w:r>
      <w:r w:rsidR="00C64050">
        <w:t xml:space="preserve"> </w:t>
      </w:r>
      <w:r>
        <w:t>additional</w:t>
      </w:r>
      <w:r w:rsidR="00C64050">
        <w:t xml:space="preserve"> </w:t>
      </w:r>
      <w:r>
        <w:t>basic</w:t>
      </w:r>
      <w:r w:rsidR="00C64050">
        <w:t xml:space="preserve"> </w:t>
      </w:r>
      <w:r>
        <w:t>exclusion</w:t>
      </w:r>
      <w:r w:rsidR="00C64050">
        <w:t xml:space="preserve"> </w:t>
      </w:r>
      <w:r>
        <w:t>amount</w:t>
      </w:r>
      <w:r w:rsidR="00C64050">
        <w:t xml:space="preserve"> </w:t>
      </w:r>
      <w:r w:rsidR="00987139">
        <w:t>will</w:t>
      </w:r>
      <w:r w:rsidR="00C64050">
        <w:t xml:space="preserve"> </w:t>
      </w:r>
      <w:r>
        <w:t>be</w:t>
      </w:r>
      <w:r w:rsidR="00C64050">
        <w:t xml:space="preserve"> </w:t>
      </w:r>
      <w:r>
        <w:t>able</w:t>
      </w:r>
      <w:r w:rsidR="00C64050">
        <w:t xml:space="preserve"> </w:t>
      </w:r>
      <w:r>
        <w:t>to</w:t>
      </w:r>
      <w:r w:rsidR="00C64050">
        <w:t xml:space="preserve"> </w:t>
      </w:r>
      <w:r>
        <w:t>preserve</w:t>
      </w:r>
      <w:r w:rsidR="00C64050">
        <w:t xml:space="preserve"> </w:t>
      </w:r>
      <w:r>
        <w:t>the</w:t>
      </w:r>
      <w:r w:rsidR="00C64050">
        <w:t xml:space="preserve"> </w:t>
      </w:r>
      <w:r>
        <w:t>additional</w:t>
      </w:r>
      <w:r w:rsidR="00C64050">
        <w:t xml:space="preserve"> </w:t>
      </w:r>
      <w:r>
        <w:t>basic</w:t>
      </w:r>
      <w:r w:rsidR="00C64050">
        <w:t xml:space="preserve"> </w:t>
      </w:r>
      <w:r>
        <w:t>exclusion</w:t>
      </w:r>
      <w:r w:rsidR="00C64050">
        <w:t xml:space="preserve"> </w:t>
      </w:r>
      <w:r>
        <w:t>amount</w:t>
      </w:r>
      <w:r w:rsidR="00C64050">
        <w:t xml:space="preserve"> </w:t>
      </w:r>
      <w:r>
        <w:t>used</w:t>
      </w:r>
      <w:r w:rsidR="00C64050">
        <w:t xml:space="preserve"> </w:t>
      </w:r>
      <w:r>
        <w:t>against</w:t>
      </w:r>
      <w:r w:rsidR="00C64050">
        <w:t xml:space="preserve"> </w:t>
      </w:r>
      <w:r>
        <w:t>those</w:t>
      </w:r>
      <w:r w:rsidR="00C64050">
        <w:t xml:space="preserve"> </w:t>
      </w:r>
      <w:r>
        <w:t>gifts</w:t>
      </w:r>
      <w:r w:rsidR="00C64050">
        <w:t xml:space="preserve"> </w:t>
      </w:r>
      <w:r>
        <w:t>when</w:t>
      </w:r>
      <w:r w:rsidR="00C64050">
        <w:t xml:space="preserve"> </w:t>
      </w:r>
      <w:r>
        <w:t>their</w:t>
      </w:r>
      <w:r w:rsidR="00C64050">
        <w:t xml:space="preserve"> </w:t>
      </w:r>
      <w:r>
        <w:t>estate</w:t>
      </w:r>
      <w:r w:rsidR="00C64050">
        <w:t xml:space="preserve"> </w:t>
      </w:r>
      <w:r>
        <w:t>taxes</w:t>
      </w:r>
      <w:r w:rsidR="00C64050">
        <w:t xml:space="preserve"> </w:t>
      </w:r>
      <w:r>
        <w:t>are</w:t>
      </w:r>
      <w:r w:rsidR="00C64050">
        <w:t xml:space="preserve"> </w:t>
      </w:r>
      <w:r>
        <w:t>determined.</w:t>
      </w:r>
      <w:r w:rsidR="00C64050">
        <w:t xml:space="preserve">  </w:t>
      </w:r>
      <w:r>
        <w:t>So</w:t>
      </w:r>
      <w:r w:rsidR="00C64050">
        <w:t xml:space="preserve"> </w:t>
      </w:r>
      <w:r>
        <w:t>there</w:t>
      </w:r>
      <w:r w:rsidR="00C64050">
        <w:t xml:space="preserve"> </w:t>
      </w:r>
      <w:r>
        <w:t>is</w:t>
      </w:r>
      <w:r w:rsidR="00C64050">
        <w:t xml:space="preserve"> </w:t>
      </w:r>
      <w:r>
        <w:t>no</w:t>
      </w:r>
      <w:r w:rsidR="00C64050">
        <w:t xml:space="preserve"> </w:t>
      </w:r>
      <w:r>
        <w:t>“clawback”</w:t>
      </w:r>
      <w:r w:rsidR="00C64050">
        <w:t xml:space="preserve"> </w:t>
      </w:r>
      <w:r w:rsidRPr="00CE2110">
        <w:rPr>
          <w:u w:val="single"/>
        </w:rPr>
        <w:t>but</w:t>
      </w:r>
      <w:r w:rsidR="00C64050">
        <w:t xml:space="preserve"> </w:t>
      </w:r>
      <w:r>
        <w:t>in</w:t>
      </w:r>
      <w:r w:rsidR="00C64050">
        <w:t xml:space="preserve"> </w:t>
      </w:r>
      <w:r>
        <w:t>order</w:t>
      </w:r>
      <w:r w:rsidR="00C64050">
        <w:t xml:space="preserve"> </w:t>
      </w:r>
      <w:r>
        <w:t>to</w:t>
      </w:r>
      <w:r w:rsidR="00C64050">
        <w:t xml:space="preserve"> </w:t>
      </w:r>
      <w:r>
        <w:t>preserve</w:t>
      </w:r>
      <w:r w:rsidR="00C64050">
        <w:t xml:space="preserve"> </w:t>
      </w:r>
      <w:r>
        <w:t>the</w:t>
      </w:r>
      <w:r w:rsidR="00C64050">
        <w:t xml:space="preserve"> </w:t>
      </w:r>
      <w:r>
        <w:t>additional</w:t>
      </w:r>
      <w:r w:rsidR="00C64050">
        <w:t xml:space="preserve"> </w:t>
      </w:r>
      <w:r>
        <w:t>basic</w:t>
      </w:r>
      <w:r w:rsidR="00C64050">
        <w:t xml:space="preserve"> </w:t>
      </w:r>
      <w:r>
        <w:t>exclusion</w:t>
      </w:r>
      <w:r w:rsidR="00C64050">
        <w:t xml:space="preserve"> </w:t>
      </w:r>
      <w:r>
        <w:t>amount,</w:t>
      </w:r>
      <w:r w:rsidR="00C64050">
        <w:t xml:space="preserve"> </w:t>
      </w:r>
      <w:r>
        <w:t>a</w:t>
      </w:r>
      <w:r w:rsidR="00C64050">
        <w:t xml:space="preserve"> </w:t>
      </w:r>
      <w:r>
        <w:t>gift</w:t>
      </w:r>
      <w:r w:rsidR="00C64050">
        <w:t xml:space="preserve"> </w:t>
      </w:r>
      <w:r>
        <w:t>will</w:t>
      </w:r>
      <w:r w:rsidR="00C64050">
        <w:t xml:space="preserve"> </w:t>
      </w:r>
      <w:r>
        <w:t>have</w:t>
      </w:r>
      <w:r w:rsidR="00C64050">
        <w:t xml:space="preserve"> </w:t>
      </w:r>
      <w:r>
        <w:t>to</w:t>
      </w:r>
      <w:r w:rsidR="00C64050">
        <w:t xml:space="preserve"> </w:t>
      </w:r>
      <w:r>
        <w:t>be</w:t>
      </w:r>
      <w:r w:rsidR="00C64050">
        <w:t xml:space="preserve"> </w:t>
      </w:r>
      <w:r>
        <w:t>made.</w:t>
      </w:r>
      <w:r w:rsidR="00C64050">
        <w:t xml:space="preserve">  </w:t>
      </w:r>
      <w:r>
        <w:t>In</w:t>
      </w:r>
      <w:r w:rsidR="00C64050">
        <w:t xml:space="preserve"> </w:t>
      </w:r>
      <w:r>
        <w:t>other</w:t>
      </w:r>
      <w:r w:rsidR="00C64050">
        <w:t xml:space="preserve"> </w:t>
      </w:r>
      <w:r>
        <w:t>words,</w:t>
      </w:r>
      <w:r w:rsidR="00C64050">
        <w:t xml:space="preserve"> </w:t>
      </w:r>
      <w:r>
        <w:t>a</w:t>
      </w:r>
      <w:r w:rsidR="00C64050">
        <w:t xml:space="preserve"> </w:t>
      </w:r>
      <w:r>
        <w:t>donor</w:t>
      </w:r>
      <w:r w:rsidR="00C64050">
        <w:t xml:space="preserve"> </w:t>
      </w:r>
      <w:r>
        <w:t>who</w:t>
      </w:r>
      <w:r w:rsidR="00C64050">
        <w:t xml:space="preserve"> </w:t>
      </w:r>
      <w:r>
        <w:t>makes</w:t>
      </w:r>
      <w:r w:rsidR="00C64050">
        <w:t xml:space="preserve"> </w:t>
      </w:r>
      <w:r>
        <w:t>only</w:t>
      </w:r>
      <w:r w:rsidR="00C64050">
        <w:t xml:space="preserve"> </w:t>
      </w:r>
      <w:r>
        <w:t>a</w:t>
      </w:r>
      <w:r w:rsidR="00C64050">
        <w:t xml:space="preserve"> </w:t>
      </w:r>
      <w:r>
        <w:t>$5</w:t>
      </w:r>
      <w:r w:rsidR="00C64050">
        <w:t xml:space="preserve"> </w:t>
      </w:r>
      <w:r>
        <w:t>million</w:t>
      </w:r>
      <w:r w:rsidR="00C64050">
        <w:t xml:space="preserve"> </w:t>
      </w:r>
      <w:r>
        <w:t>gifts</w:t>
      </w:r>
      <w:r w:rsidR="00C64050">
        <w:t xml:space="preserve"> </w:t>
      </w:r>
      <w:r>
        <w:t>before</w:t>
      </w:r>
      <w:r w:rsidR="00C64050">
        <w:t xml:space="preserve"> </w:t>
      </w:r>
      <w:r>
        <w:t>2025</w:t>
      </w:r>
      <w:r w:rsidR="00C64050">
        <w:t xml:space="preserve"> </w:t>
      </w:r>
      <w:r>
        <w:t>and</w:t>
      </w:r>
      <w:r w:rsidR="00C64050">
        <w:t xml:space="preserve"> </w:t>
      </w:r>
      <w:r>
        <w:t>dies</w:t>
      </w:r>
      <w:r w:rsidR="00C64050">
        <w:t xml:space="preserve"> </w:t>
      </w:r>
      <w:r>
        <w:t>after</w:t>
      </w:r>
      <w:r w:rsidR="00C64050">
        <w:t xml:space="preserve"> </w:t>
      </w:r>
      <w:r>
        <w:t>2025</w:t>
      </w:r>
      <w:r w:rsidR="00C64050">
        <w:t xml:space="preserve"> </w:t>
      </w:r>
      <w:r>
        <w:t>will</w:t>
      </w:r>
      <w:r w:rsidR="00C64050">
        <w:t xml:space="preserve"> </w:t>
      </w:r>
      <w:r>
        <w:t>not</w:t>
      </w:r>
      <w:r w:rsidR="00C64050">
        <w:t xml:space="preserve"> </w:t>
      </w:r>
      <w:r>
        <w:t>benefit</w:t>
      </w:r>
      <w:r w:rsidR="00C64050">
        <w:t xml:space="preserve"> </w:t>
      </w:r>
      <w:r>
        <w:t>from</w:t>
      </w:r>
      <w:r w:rsidR="00C64050">
        <w:t xml:space="preserve"> </w:t>
      </w:r>
      <w:r>
        <w:t>the</w:t>
      </w:r>
      <w:r w:rsidR="00C64050">
        <w:t xml:space="preserve"> </w:t>
      </w:r>
      <w:r>
        <w:t>additional</w:t>
      </w:r>
      <w:r w:rsidR="00C64050">
        <w:t xml:space="preserve"> </w:t>
      </w:r>
      <w:r>
        <w:t>exclusion.</w:t>
      </w:r>
    </w:p>
    <w:p w:rsidR="00C57C1C" w:rsidRDefault="00C57C1C" w:rsidP="007469BB">
      <w:pPr>
        <w:pStyle w:val="Body15"/>
      </w:pPr>
      <w:r>
        <w:t>Suppose</w:t>
      </w:r>
      <w:r w:rsidR="00C64050">
        <w:t xml:space="preserve"> </w:t>
      </w:r>
      <w:r>
        <w:t>the</w:t>
      </w:r>
      <w:r w:rsidR="00C64050">
        <w:t xml:space="preserve"> </w:t>
      </w:r>
      <w:r>
        <w:t>first</w:t>
      </w:r>
      <w:r w:rsidR="00C64050">
        <w:t xml:space="preserve"> </w:t>
      </w:r>
      <w:r>
        <w:t>spouse</w:t>
      </w:r>
      <w:r w:rsidR="00C64050">
        <w:t xml:space="preserve"> </w:t>
      </w:r>
      <w:r>
        <w:t>dies</w:t>
      </w:r>
      <w:r w:rsidR="00C64050">
        <w:t xml:space="preserve"> </w:t>
      </w:r>
      <w:r>
        <w:t>before</w:t>
      </w:r>
      <w:r w:rsidR="00C64050">
        <w:t xml:space="preserve"> </w:t>
      </w:r>
      <w:r>
        <w:t>2026</w:t>
      </w:r>
      <w:r w:rsidR="00C64050">
        <w:t xml:space="preserve"> </w:t>
      </w:r>
      <w:r>
        <w:t>and</w:t>
      </w:r>
      <w:r w:rsidR="00C64050">
        <w:t xml:space="preserve"> </w:t>
      </w:r>
      <w:r>
        <w:t>portability</w:t>
      </w:r>
      <w:r w:rsidR="00C64050">
        <w:t xml:space="preserve"> </w:t>
      </w:r>
      <w:r>
        <w:t>is</w:t>
      </w:r>
      <w:r w:rsidR="00C64050">
        <w:t xml:space="preserve"> </w:t>
      </w:r>
      <w:r>
        <w:t>elected.</w:t>
      </w:r>
      <w:r w:rsidR="00C64050">
        <w:t xml:space="preserve">  </w:t>
      </w:r>
      <w:r>
        <w:t>The</w:t>
      </w:r>
      <w:r w:rsidR="00C64050">
        <w:t xml:space="preserve"> </w:t>
      </w:r>
      <w:r>
        <w:t>surviving</w:t>
      </w:r>
      <w:r w:rsidR="00C64050">
        <w:t xml:space="preserve"> </w:t>
      </w:r>
      <w:r>
        <w:t>spouse</w:t>
      </w:r>
      <w:r w:rsidR="00C64050">
        <w:t xml:space="preserve"> </w:t>
      </w:r>
      <w:r>
        <w:t>may</w:t>
      </w:r>
      <w:r w:rsidR="00C64050">
        <w:t xml:space="preserve"> </w:t>
      </w:r>
      <w:r>
        <w:t>use</w:t>
      </w:r>
      <w:r w:rsidR="00C64050">
        <w:t xml:space="preserve"> </w:t>
      </w:r>
      <w:r>
        <w:t>the</w:t>
      </w:r>
      <w:r w:rsidR="00C64050">
        <w:t xml:space="preserve"> </w:t>
      </w:r>
      <w:r>
        <w:t>full</w:t>
      </w:r>
      <w:r w:rsidR="00C64050">
        <w:t xml:space="preserve"> </w:t>
      </w:r>
      <w:r>
        <w:t>unused</w:t>
      </w:r>
      <w:r w:rsidR="00C64050">
        <w:t xml:space="preserve"> </w:t>
      </w:r>
      <w:r>
        <w:t>exclusion</w:t>
      </w:r>
      <w:r w:rsidR="00C64050">
        <w:t xml:space="preserve"> </w:t>
      </w:r>
      <w:r>
        <w:t>amount</w:t>
      </w:r>
      <w:r w:rsidR="00C64050">
        <w:t xml:space="preserve"> </w:t>
      </w:r>
      <w:r>
        <w:t>of</w:t>
      </w:r>
      <w:r w:rsidR="00C64050">
        <w:t xml:space="preserve"> </w:t>
      </w:r>
      <w:r>
        <w:t>the</w:t>
      </w:r>
      <w:r w:rsidR="00C64050">
        <w:t xml:space="preserve"> </w:t>
      </w:r>
      <w:r>
        <w:t>first</w:t>
      </w:r>
      <w:r w:rsidR="00C64050">
        <w:t xml:space="preserve"> </w:t>
      </w:r>
      <w:r>
        <w:t>spouse,</w:t>
      </w:r>
      <w:r w:rsidR="00C64050">
        <w:t xml:space="preserve"> </w:t>
      </w:r>
      <w:r>
        <w:t>even</w:t>
      </w:r>
      <w:r w:rsidR="00C64050">
        <w:t xml:space="preserve"> </w:t>
      </w:r>
      <w:r>
        <w:t>after</w:t>
      </w:r>
      <w:r w:rsidR="00C64050">
        <w:t xml:space="preserve"> </w:t>
      </w:r>
      <w:r>
        <w:t>January</w:t>
      </w:r>
      <w:r w:rsidR="00C64050">
        <w:t xml:space="preserve"> </w:t>
      </w:r>
      <w:r>
        <w:t>1,</w:t>
      </w:r>
      <w:r w:rsidR="00C64050">
        <w:t xml:space="preserve"> </w:t>
      </w:r>
      <w:r>
        <w:t>2026.</w:t>
      </w:r>
      <w:r w:rsidR="00C64050">
        <w:t xml:space="preserve">  </w:t>
      </w:r>
      <w:r w:rsidR="00B72EFB">
        <w:t>Examples</w:t>
      </w:r>
      <w:r w:rsidR="00C64050">
        <w:t xml:space="preserve"> </w:t>
      </w:r>
      <w:r w:rsidR="00B72EFB">
        <w:t>3</w:t>
      </w:r>
      <w:r w:rsidR="00C64050">
        <w:t xml:space="preserve"> </w:t>
      </w:r>
      <w:r w:rsidR="00B72EFB">
        <w:t>and</w:t>
      </w:r>
      <w:r w:rsidR="00C64050">
        <w:t xml:space="preserve"> </w:t>
      </w:r>
      <w:r w:rsidR="00B72EFB">
        <w:t>4</w:t>
      </w:r>
      <w:r w:rsidR="00C64050">
        <w:t xml:space="preserve"> </w:t>
      </w:r>
      <w:r w:rsidR="001C63F6">
        <w:t>of</w:t>
      </w:r>
      <w:r w:rsidR="00C64050">
        <w:t xml:space="preserve"> </w:t>
      </w:r>
      <w:r w:rsidR="001C63F6">
        <w:t>the</w:t>
      </w:r>
      <w:r w:rsidR="00C64050">
        <w:t xml:space="preserve"> </w:t>
      </w:r>
      <w:r w:rsidR="001C63F6">
        <w:t>final</w:t>
      </w:r>
      <w:r w:rsidR="00C64050">
        <w:t xml:space="preserve"> </w:t>
      </w:r>
      <w:r w:rsidR="001C63F6">
        <w:t>regulations</w:t>
      </w:r>
      <w:r w:rsidR="00C64050">
        <w:t xml:space="preserve"> </w:t>
      </w:r>
      <w:r w:rsidR="00B72EFB">
        <w:t>state:</w:t>
      </w:r>
      <w:r w:rsidR="00C64050">
        <w:t xml:space="preserve">  </w:t>
      </w:r>
    </w:p>
    <w:p w:rsidR="00B76023" w:rsidRPr="009C4E26" w:rsidRDefault="00B76023" w:rsidP="009C4E26">
      <w:pPr>
        <w:pStyle w:val="QS10"/>
        <w:rPr>
          <w:color w:val="000000" w:themeColor="text1"/>
        </w:rPr>
      </w:pPr>
      <w:r w:rsidRPr="009C4E26">
        <w:rPr>
          <w:color w:val="000000" w:themeColor="text1"/>
        </w:rPr>
        <w:t>(iii)</w:t>
      </w:r>
      <w:r w:rsidR="00C64050">
        <w:rPr>
          <w:color w:val="000000" w:themeColor="text1"/>
        </w:rPr>
        <w:t xml:space="preserve"> </w:t>
      </w:r>
      <w:r w:rsidRPr="009C4E26">
        <w:rPr>
          <w:color w:val="000000" w:themeColor="text1"/>
          <w:u w:val="single"/>
        </w:rPr>
        <w:t>Example</w:t>
      </w:r>
      <w:r w:rsidR="00C64050">
        <w:rPr>
          <w:color w:val="000000" w:themeColor="text1"/>
          <w:u w:val="single"/>
        </w:rPr>
        <w:t xml:space="preserve"> </w:t>
      </w:r>
      <w:r w:rsidRPr="009C4E26">
        <w:rPr>
          <w:color w:val="000000" w:themeColor="text1"/>
          <w:u w:val="single"/>
        </w:rPr>
        <w:t>3</w:t>
      </w:r>
      <w:r w:rsidRPr="009C4E26">
        <w:rPr>
          <w:color w:val="000000" w:themeColor="text1"/>
        </w:rPr>
        <w:t>.</w:t>
      </w:r>
      <w:r w:rsidR="00C64050">
        <w:rPr>
          <w:color w:val="000000" w:themeColor="text1"/>
        </w:rPr>
        <w:t xml:space="preserve"> </w:t>
      </w:r>
      <w:r w:rsidRPr="009C4E26">
        <w:rPr>
          <w:color w:val="000000" w:themeColor="text1"/>
        </w:rPr>
        <w:t>Individual</w:t>
      </w:r>
      <w:r w:rsidR="00C64050">
        <w:rPr>
          <w:color w:val="000000" w:themeColor="text1"/>
        </w:rPr>
        <w:t xml:space="preserve"> </w:t>
      </w:r>
      <w:r w:rsidRPr="009C4E26">
        <w:rPr>
          <w:color w:val="000000" w:themeColor="text1"/>
        </w:rPr>
        <w:t>B's</w:t>
      </w:r>
      <w:r w:rsidR="00C64050">
        <w:rPr>
          <w:color w:val="000000" w:themeColor="text1"/>
        </w:rPr>
        <w:t xml:space="preserve"> </w:t>
      </w:r>
      <w:r w:rsidRPr="009C4E26">
        <w:rPr>
          <w:color w:val="000000" w:themeColor="text1"/>
        </w:rPr>
        <w:t>predeceased</w:t>
      </w:r>
      <w:r w:rsidR="00C64050">
        <w:rPr>
          <w:color w:val="000000" w:themeColor="text1"/>
        </w:rPr>
        <w:t xml:space="preserve"> </w:t>
      </w:r>
      <w:r w:rsidRPr="009C4E26">
        <w:rPr>
          <w:color w:val="000000" w:themeColor="text1"/>
        </w:rPr>
        <w:t>spouse,</w:t>
      </w:r>
      <w:r w:rsidR="00C64050">
        <w:rPr>
          <w:color w:val="000000" w:themeColor="text1"/>
        </w:rPr>
        <w:t xml:space="preserve"> </w:t>
      </w:r>
      <w:r w:rsidRPr="009C4E26">
        <w:rPr>
          <w:color w:val="000000" w:themeColor="text1"/>
        </w:rPr>
        <w:t>C,</w:t>
      </w:r>
      <w:r w:rsidR="00C64050">
        <w:rPr>
          <w:color w:val="000000" w:themeColor="text1"/>
        </w:rPr>
        <w:t xml:space="preserve"> </w:t>
      </w:r>
      <w:r w:rsidRPr="009C4E26">
        <w:rPr>
          <w:color w:val="000000" w:themeColor="text1"/>
        </w:rPr>
        <w:t>died</w:t>
      </w:r>
      <w:r w:rsidR="00C64050">
        <w:rPr>
          <w:color w:val="000000" w:themeColor="text1"/>
        </w:rPr>
        <w:t xml:space="preserve"> </w:t>
      </w:r>
      <w:r w:rsidRPr="009C4E26">
        <w:rPr>
          <w:color w:val="000000" w:themeColor="text1"/>
        </w:rPr>
        <w:t>before</w:t>
      </w:r>
      <w:r w:rsidR="00C64050">
        <w:rPr>
          <w:color w:val="000000" w:themeColor="text1"/>
        </w:rPr>
        <w:t xml:space="preserve"> </w:t>
      </w:r>
      <w:r w:rsidRPr="009C4E26">
        <w:rPr>
          <w:color w:val="000000" w:themeColor="text1"/>
        </w:rPr>
        <w:t>2026,</w:t>
      </w:r>
      <w:r w:rsidR="00C64050">
        <w:rPr>
          <w:color w:val="000000" w:themeColor="text1"/>
        </w:rPr>
        <w:t xml:space="preserve"> </w:t>
      </w:r>
      <w:r w:rsidRPr="009C4E26">
        <w:rPr>
          <w:color w:val="000000" w:themeColor="text1"/>
        </w:rPr>
        <w:t>at</w:t>
      </w:r>
      <w:r w:rsidR="00C64050">
        <w:rPr>
          <w:color w:val="000000" w:themeColor="text1"/>
        </w:rPr>
        <w:t xml:space="preserve"> </w:t>
      </w:r>
      <w:r w:rsidRPr="009C4E26">
        <w:rPr>
          <w:color w:val="000000" w:themeColor="text1"/>
        </w:rPr>
        <w:t>a</w:t>
      </w:r>
      <w:r w:rsidR="00C64050">
        <w:rPr>
          <w:color w:val="000000" w:themeColor="text1"/>
        </w:rPr>
        <w:t xml:space="preserve"> </w:t>
      </w:r>
      <w:r w:rsidRPr="009C4E26">
        <w:rPr>
          <w:color w:val="000000" w:themeColor="text1"/>
        </w:rPr>
        <w:t>time</w:t>
      </w:r>
      <w:r w:rsidR="00C64050">
        <w:rPr>
          <w:color w:val="000000" w:themeColor="text1"/>
        </w:rPr>
        <w:t xml:space="preserve"> </w:t>
      </w:r>
      <w:r w:rsidRPr="009C4E26">
        <w:rPr>
          <w:color w:val="000000" w:themeColor="text1"/>
        </w:rPr>
        <w:t>when</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basic</w:t>
      </w:r>
      <w:r w:rsidR="00C64050">
        <w:rPr>
          <w:color w:val="000000" w:themeColor="text1"/>
        </w:rPr>
        <w:t xml:space="preserve"> </w:t>
      </w:r>
      <w:r w:rsidRPr="009C4E26">
        <w:rPr>
          <w:color w:val="000000" w:themeColor="text1"/>
        </w:rPr>
        <w:t>exclusion</w:t>
      </w:r>
      <w:r w:rsidR="00C64050">
        <w:rPr>
          <w:color w:val="000000" w:themeColor="text1"/>
        </w:rPr>
        <w:t xml:space="preserve"> </w:t>
      </w:r>
      <w:r w:rsidRPr="009C4E26">
        <w:rPr>
          <w:color w:val="000000" w:themeColor="text1"/>
        </w:rPr>
        <w:t>amount</w:t>
      </w:r>
      <w:r w:rsidR="00C64050">
        <w:rPr>
          <w:color w:val="000000" w:themeColor="text1"/>
        </w:rPr>
        <w:t xml:space="preserve"> </w:t>
      </w:r>
      <w:r w:rsidRPr="009C4E26">
        <w:rPr>
          <w:color w:val="000000" w:themeColor="text1"/>
        </w:rPr>
        <w:t>was</w:t>
      </w:r>
      <w:r w:rsidR="00C64050">
        <w:rPr>
          <w:color w:val="000000" w:themeColor="text1"/>
        </w:rPr>
        <w:t xml:space="preserve"> </w:t>
      </w:r>
      <w:r w:rsidRPr="009C4E26">
        <w:rPr>
          <w:color w:val="000000" w:themeColor="text1"/>
        </w:rPr>
        <w:t>$11.4</w:t>
      </w:r>
      <w:r w:rsidR="00C64050">
        <w:rPr>
          <w:color w:val="000000" w:themeColor="text1"/>
        </w:rPr>
        <w:t xml:space="preserve"> </w:t>
      </w:r>
      <w:r w:rsidRPr="009C4E26">
        <w:rPr>
          <w:color w:val="000000" w:themeColor="text1"/>
        </w:rPr>
        <w:t>million.</w:t>
      </w:r>
      <w:r w:rsidR="00C64050">
        <w:rPr>
          <w:color w:val="000000" w:themeColor="text1"/>
        </w:rPr>
        <w:t xml:space="preserve"> </w:t>
      </w:r>
      <w:r w:rsidRPr="009C4E26">
        <w:rPr>
          <w:color w:val="000000" w:themeColor="text1"/>
        </w:rPr>
        <w:t>C</w:t>
      </w:r>
      <w:r w:rsidR="00C64050">
        <w:rPr>
          <w:color w:val="000000" w:themeColor="text1"/>
        </w:rPr>
        <w:t xml:space="preserve"> </w:t>
      </w:r>
      <w:r w:rsidRPr="009C4E26">
        <w:rPr>
          <w:color w:val="000000" w:themeColor="text1"/>
        </w:rPr>
        <w:t>had</w:t>
      </w:r>
      <w:r w:rsidR="00C64050">
        <w:rPr>
          <w:color w:val="000000" w:themeColor="text1"/>
        </w:rPr>
        <w:t xml:space="preserve"> </w:t>
      </w:r>
      <w:r w:rsidRPr="009C4E26">
        <w:rPr>
          <w:color w:val="000000" w:themeColor="text1"/>
        </w:rPr>
        <w:t>made</w:t>
      </w:r>
      <w:r w:rsidR="00C64050">
        <w:rPr>
          <w:color w:val="000000" w:themeColor="text1"/>
        </w:rPr>
        <w:t xml:space="preserve"> </w:t>
      </w:r>
      <w:r w:rsidRPr="009C4E26">
        <w:rPr>
          <w:color w:val="000000" w:themeColor="text1"/>
        </w:rPr>
        <w:t>no</w:t>
      </w:r>
      <w:r w:rsidR="00C64050">
        <w:rPr>
          <w:color w:val="000000" w:themeColor="text1"/>
        </w:rPr>
        <w:t xml:space="preserve"> </w:t>
      </w:r>
      <w:r w:rsidRPr="009C4E26">
        <w:rPr>
          <w:color w:val="000000" w:themeColor="text1"/>
        </w:rPr>
        <w:t>taxable</w:t>
      </w:r>
      <w:r w:rsidR="00C64050">
        <w:rPr>
          <w:color w:val="000000" w:themeColor="text1"/>
        </w:rPr>
        <w:t xml:space="preserve"> </w:t>
      </w:r>
      <w:r w:rsidRPr="009C4E26">
        <w:rPr>
          <w:color w:val="000000" w:themeColor="text1"/>
        </w:rPr>
        <w:t>gifts</w:t>
      </w:r>
      <w:r w:rsidR="00C64050">
        <w:rPr>
          <w:color w:val="000000" w:themeColor="text1"/>
        </w:rPr>
        <w:t xml:space="preserve"> </w:t>
      </w:r>
      <w:r w:rsidRPr="009C4E26">
        <w:rPr>
          <w:color w:val="000000" w:themeColor="text1"/>
        </w:rPr>
        <w:t>and</w:t>
      </w:r>
      <w:r w:rsidR="00C64050">
        <w:rPr>
          <w:color w:val="000000" w:themeColor="text1"/>
        </w:rPr>
        <w:t xml:space="preserve"> </w:t>
      </w:r>
      <w:r w:rsidRPr="009C4E26">
        <w:rPr>
          <w:color w:val="000000" w:themeColor="text1"/>
        </w:rPr>
        <w:t>had</w:t>
      </w:r>
      <w:r w:rsidR="00C64050">
        <w:rPr>
          <w:color w:val="000000" w:themeColor="text1"/>
        </w:rPr>
        <w:t xml:space="preserve"> </w:t>
      </w:r>
      <w:r w:rsidRPr="009C4E26">
        <w:rPr>
          <w:color w:val="000000" w:themeColor="text1"/>
        </w:rPr>
        <w:t>no</w:t>
      </w:r>
      <w:r w:rsidR="00C64050">
        <w:rPr>
          <w:color w:val="000000" w:themeColor="text1"/>
        </w:rPr>
        <w:t xml:space="preserve"> </w:t>
      </w:r>
      <w:r w:rsidRPr="009C4E26">
        <w:rPr>
          <w:color w:val="000000" w:themeColor="text1"/>
        </w:rPr>
        <w:t>taxable</w:t>
      </w:r>
      <w:r w:rsidR="00C64050">
        <w:rPr>
          <w:color w:val="000000" w:themeColor="text1"/>
        </w:rPr>
        <w:t xml:space="preserve"> </w:t>
      </w:r>
      <w:r w:rsidRPr="009C4E26">
        <w:rPr>
          <w:color w:val="000000" w:themeColor="text1"/>
        </w:rPr>
        <w:t>estate.</w:t>
      </w:r>
      <w:r w:rsidR="00C64050">
        <w:rPr>
          <w:color w:val="000000" w:themeColor="text1"/>
        </w:rPr>
        <w:t xml:space="preserve"> </w:t>
      </w:r>
      <w:r w:rsidRPr="009C4E26">
        <w:rPr>
          <w:color w:val="000000" w:themeColor="text1"/>
        </w:rPr>
        <w:t>C's</w:t>
      </w:r>
      <w:r w:rsidR="00C64050">
        <w:rPr>
          <w:color w:val="000000" w:themeColor="text1"/>
        </w:rPr>
        <w:t xml:space="preserve"> </w:t>
      </w:r>
      <w:r w:rsidRPr="009C4E26">
        <w:rPr>
          <w:color w:val="000000" w:themeColor="text1"/>
        </w:rPr>
        <w:t>executor</w:t>
      </w:r>
      <w:r w:rsidR="00C64050">
        <w:rPr>
          <w:color w:val="000000" w:themeColor="text1"/>
        </w:rPr>
        <w:t xml:space="preserve"> </w:t>
      </w:r>
      <w:r w:rsidRPr="009C4E26">
        <w:rPr>
          <w:color w:val="000000" w:themeColor="text1"/>
        </w:rPr>
        <w:t>elected,</w:t>
      </w:r>
      <w:r w:rsidR="00C64050">
        <w:rPr>
          <w:color w:val="000000" w:themeColor="text1"/>
        </w:rPr>
        <w:t xml:space="preserve"> </w:t>
      </w:r>
      <w:r w:rsidRPr="009C4E26">
        <w:rPr>
          <w:color w:val="000000" w:themeColor="text1"/>
        </w:rPr>
        <w:t>pursuant</w:t>
      </w:r>
      <w:r w:rsidR="00C64050">
        <w:rPr>
          <w:color w:val="000000" w:themeColor="text1"/>
        </w:rPr>
        <w:t xml:space="preserve"> </w:t>
      </w:r>
      <w:r w:rsidRPr="009C4E26">
        <w:rPr>
          <w:color w:val="000000" w:themeColor="text1"/>
        </w:rPr>
        <w:t>to</w:t>
      </w:r>
      <w:r w:rsidR="00C64050">
        <w:rPr>
          <w:color w:val="000000" w:themeColor="text1"/>
        </w:rPr>
        <w:t xml:space="preserve"> </w:t>
      </w:r>
      <w:r w:rsidRPr="009C4E26">
        <w:rPr>
          <w:color w:val="000000" w:themeColor="text1"/>
        </w:rPr>
        <w:t>§</w:t>
      </w:r>
      <w:hyperlink r:id="rId18" w:tooltip="20.2010-2" w:history="1">
        <w:r w:rsidRPr="009C4E26">
          <w:rPr>
            <w:rStyle w:val="Hyperlink"/>
            <w:rFonts w:ascii="Open Sans" w:hAnsi="Open Sans"/>
            <w:color w:val="000000" w:themeColor="text1"/>
          </w:rPr>
          <w:t>20.2010-2</w:t>
        </w:r>
      </w:hyperlink>
      <w:r w:rsidRPr="009C4E26">
        <w:rPr>
          <w:color w:val="000000" w:themeColor="text1"/>
        </w:rPr>
        <w:t>,</w:t>
      </w:r>
      <w:r w:rsidR="00C64050">
        <w:rPr>
          <w:color w:val="000000" w:themeColor="text1"/>
        </w:rPr>
        <w:t xml:space="preserve"> </w:t>
      </w:r>
      <w:r w:rsidRPr="009C4E26">
        <w:rPr>
          <w:color w:val="000000" w:themeColor="text1"/>
        </w:rPr>
        <w:t>to</w:t>
      </w:r>
      <w:r w:rsidR="00C64050">
        <w:rPr>
          <w:color w:val="000000" w:themeColor="text1"/>
        </w:rPr>
        <w:t xml:space="preserve"> </w:t>
      </w:r>
      <w:r w:rsidRPr="009C4E26">
        <w:rPr>
          <w:color w:val="000000" w:themeColor="text1"/>
        </w:rPr>
        <w:t>allow</w:t>
      </w:r>
      <w:r w:rsidR="00C64050">
        <w:rPr>
          <w:color w:val="000000" w:themeColor="text1"/>
        </w:rPr>
        <w:t xml:space="preserve"> </w:t>
      </w:r>
      <w:r w:rsidRPr="009C4E26">
        <w:rPr>
          <w:color w:val="000000" w:themeColor="text1"/>
        </w:rPr>
        <w:t>B</w:t>
      </w:r>
      <w:r w:rsidR="00C64050">
        <w:rPr>
          <w:color w:val="000000" w:themeColor="text1"/>
        </w:rPr>
        <w:t xml:space="preserve"> </w:t>
      </w:r>
      <w:r w:rsidRPr="009C4E26">
        <w:rPr>
          <w:color w:val="000000" w:themeColor="text1"/>
        </w:rPr>
        <w:t>to</w:t>
      </w:r>
      <w:r w:rsidR="00C64050">
        <w:rPr>
          <w:color w:val="000000" w:themeColor="text1"/>
        </w:rPr>
        <w:t xml:space="preserve"> </w:t>
      </w:r>
      <w:r w:rsidRPr="009C4E26">
        <w:rPr>
          <w:color w:val="000000" w:themeColor="text1"/>
        </w:rPr>
        <w:t>take</w:t>
      </w:r>
      <w:r w:rsidR="00C64050">
        <w:rPr>
          <w:color w:val="000000" w:themeColor="text1"/>
        </w:rPr>
        <w:t xml:space="preserve"> </w:t>
      </w:r>
      <w:r w:rsidRPr="009C4E26">
        <w:rPr>
          <w:color w:val="000000" w:themeColor="text1"/>
        </w:rPr>
        <w:t>into</w:t>
      </w:r>
      <w:r w:rsidR="00C64050">
        <w:rPr>
          <w:color w:val="000000" w:themeColor="text1"/>
        </w:rPr>
        <w:t xml:space="preserve"> </w:t>
      </w:r>
      <w:r w:rsidRPr="009C4E26">
        <w:rPr>
          <w:color w:val="000000" w:themeColor="text1"/>
        </w:rPr>
        <w:t>account</w:t>
      </w:r>
      <w:r w:rsidR="00C64050">
        <w:rPr>
          <w:color w:val="000000" w:themeColor="text1"/>
        </w:rPr>
        <w:t xml:space="preserve"> </w:t>
      </w:r>
      <w:r w:rsidRPr="009C4E26">
        <w:rPr>
          <w:color w:val="000000" w:themeColor="text1"/>
        </w:rPr>
        <w:t>C's</w:t>
      </w:r>
      <w:r w:rsidR="00C64050">
        <w:rPr>
          <w:color w:val="000000" w:themeColor="text1"/>
        </w:rPr>
        <w:t xml:space="preserve"> </w:t>
      </w:r>
      <w:r w:rsidRPr="009C4E26">
        <w:rPr>
          <w:color w:val="000000" w:themeColor="text1"/>
        </w:rPr>
        <w:t>$11.4</w:t>
      </w:r>
      <w:r w:rsidR="00C64050">
        <w:rPr>
          <w:color w:val="000000" w:themeColor="text1"/>
        </w:rPr>
        <w:t xml:space="preserve"> </w:t>
      </w:r>
      <w:r w:rsidRPr="009C4E26">
        <w:rPr>
          <w:color w:val="000000" w:themeColor="text1"/>
        </w:rPr>
        <w:t>million</w:t>
      </w:r>
      <w:r w:rsidR="00C64050">
        <w:rPr>
          <w:color w:val="000000" w:themeColor="text1"/>
        </w:rPr>
        <w:t xml:space="preserve"> </w:t>
      </w:r>
      <w:r w:rsidRPr="009C4E26">
        <w:rPr>
          <w:color w:val="000000" w:themeColor="text1"/>
        </w:rPr>
        <w:t>DSUE</w:t>
      </w:r>
      <w:r w:rsidR="00C64050">
        <w:rPr>
          <w:color w:val="000000" w:themeColor="text1"/>
        </w:rPr>
        <w:t xml:space="preserve"> </w:t>
      </w:r>
      <w:r w:rsidRPr="009C4E26">
        <w:rPr>
          <w:color w:val="000000" w:themeColor="text1"/>
        </w:rPr>
        <w:t>amount.</w:t>
      </w:r>
      <w:r w:rsidR="00C64050">
        <w:rPr>
          <w:color w:val="000000" w:themeColor="text1"/>
        </w:rPr>
        <w:t xml:space="preserve"> </w:t>
      </w:r>
      <w:r w:rsidRPr="009C4E26">
        <w:rPr>
          <w:color w:val="000000" w:themeColor="text1"/>
        </w:rPr>
        <w:t>B</w:t>
      </w:r>
      <w:r w:rsidR="00C64050">
        <w:rPr>
          <w:color w:val="000000" w:themeColor="text1"/>
        </w:rPr>
        <w:t xml:space="preserve"> </w:t>
      </w:r>
      <w:r w:rsidRPr="009C4E26">
        <w:rPr>
          <w:color w:val="000000" w:themeColor="text1"/>
        </w:rPr>
        <w:t>made</w:t>
      </w:r>
      <w:r w:rsidR="00C64050">
        <w:rPr>
          <w:color w:val="000000" w:themeColor="text1"/>
        </w:rPr>
        <w:t xml:space="preserve"> </w:t>
      </w:r>
      <w:r w:rsidRPr="009C4E26">
        <w:rPr>
          <w:color w:val="000000" w:themeColor="text1"/>
        </w:rPr>
        <w:t>no</w:t>
      </w:r>
      <w:r w:rsidR="00C64050">
        <w:rPr>
          <w:color w:val="000000" w:themeColor="text1"/>
        </w:rPr>
        <w:t xml:space="preserve"> </w:t>
      </w:r>
      <w:r w:rsidRPr="009C4E26">
        <w:rPr>
          <w:color w:val="000000" w:themeColor="text1"/>
        </w:rPr>
        <w:t>taxable</w:t>
      </w:r>
      <w:r w:rsidR="00C64050">
        <w:rPr>
          <w:color w:val="000000" w:themeColor="text1"/>
        </w:rPr>
        <w:t xml:space="preserve"> </w:t>
      </w:r>
      <w:r w:rsidRPr="009C4E26">
        <w:rPr>
          <w:color w:val="000000" w:themeColor="text1"/>
        </w:rPr>
        <w:t>gifts</w:t>
      </w:r>
      <w:r w:rsidR="00C64050">
        <w:rPr>
          <w:color w:val="000000" w:themeColor="text1"/>
        </w:rPr>
        <w:t xml:space="preserve"> </w:t>
      </w:r>
      <w:r w:rsidRPr="009C4E26">
        <w:rPr>
          <w:color w:val="000000" w:themeColor="text1"/>
        </w:rPr>
        <w:t>and</w:t>
      </w:r>
      <w:r w:rsidR="00C64050">
        <w:rPr>
          <w:color w:val="000000" w:themeColor="text1"/>
        </w:rPr>
        <w:t xml:space="preserve"> </w:t>
      </w:r>
      <w:r w:rsidRPr="009C4E26">
        <w:rPr>
          <w:color w:val="000000" w:themeColor="text1"/>
        </w:rPr>
        <w:t>did</w:t>
      </w:r>
      <w:r w:rsidR="00C64050">
        <w:rPr>
          <w:color w:val="000000" w:themeColor="text1"/>
        </w:rPr>
        <w:t xml:space="preserve"> </w:t>
      </w:r>
      <w:r w:rsidRPr="009C4E26">
        <w:rPr>
          <w:color w:val="000000" w:themeColor="text1"/>
        </w:rPr>
        <w:t>not</w:t>
      </w:r>
      <w:r w:rsidR="00C64050">
        <w:rPr>
          <w:color w:val="000000" w:themeColor="text1"/>
        </w:rPr>
        <w:t xml:space="preserve"> </w:t>
      </w:r>
      <w:r w:rsidRPr="009C4E26">
        <w:rPr>
          <w:color w:val="000000" w:themeColor="text1"/>
        </w:rPr>
        <w:t>remarry.</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basic</w:t>
      </w:r>
      <w:r w:rsidR="00C64050">
        <w:rPr>
          <w:color w:val="000000" w:themeColor="text1"/>
        </w:rPr>
        <w:t xml:space="preserve"> </w:t>
      </w:r>
      <w:r w:rsidRPr="009C4E26">
        <w:rPr>
          <w:color w:val="000000" w:themeColor="text1"/>
        </w:rPr>
        <w:t>exclusion</w:t>
      </w:r>
      <w:r w:rsidR="00C64050">
        <w:rPr>
          <w:color w:val="000000" w:themeColor="text1"/>
        </w:rPr>
        <w:t xml:space="preserve"> </w:t>
      </w:r>
      <w:r w:rsidRPr="009C4E26">
        <w:rPr>
          <w:color w:val="000000" w:themeColor="text1"/>
        </w:rPr>
        <w:t>amount</w:t>
      </w:r>
      <w:r w:rsidR="00C64050">
        <w:rPr>
          <w:color w:val="000000" w:themeColor="text1"/>
        </w:rPr>
        <w:t xml:space="preserve"> </w:t>
      </w:r>
      <w:r w:rsidRPr="009C4E26">
        <w:rPr>
          <w:color w:val="000000" w:themeColor="text1"/>
        </w:rPr>
        <w:t>on</w:t>
      </w:r>
      <w:r w:rsidR="00C64050">
        <w:rPr>
          <w:color w:val="000000" w:themeColor="text1"/>
        </w:rPr>
        <w:t xml:space="preserve"> </w:t>
      </w:r>
      <w:r w:rsidRPr="009C4E26">
        <w:rPr>
          <w:color w:val="000000" w:themeColor="text1"/>
        </w:rPr>
        <w:t>B's</w:t>
      </w:r>
      <w:r w:rsidR="00C64050">
        <w:rPr>
          <w:color w:val="000000" w:themeColor="text1"/>
        </w:rPr>
        <w:t xml:space="preserve"> </w:t>
      </w:r>
      <w:r w:rsidRPr="009C4E26">
        <w:rPr>
          <w:color w:val="000000" w:themeColor="text1"/>
        </w:rPr>
        <w:t>date</w:t>
      </w:r>
      <w:r w:rsidR="00C64050">
        <w:rPr>
          <w:color w:val="000000" w:themeColor="text1"/>
        </w:rPr>
        <w:t xml:space="preserve"> </w:t>
      </w:r>
      <w:r w:rsidRPr="009C4E26">
        <w:rPr>
          <w:color w:val="000000" w:themeColor="text1"/>
        </w:rPr>
        <w:t>of</w:t>
      </w:r>
      <w:r w:rsidR="00C64050">
        <w:rPr>
          <w:color w:val="000000" w:themeColor="text1"/>
        </w:rPr>
        <w:t xml:space="preserve"> </w:t>
      </w:r>
      <w:r w:rsidRPr="009C4E26">
        <w:rPr>
          <w:color w:val="000000" w:themeColor="text1"/>
        </w:rPr>
        <w:t>death</w:t>
      </w:r>
      <w:r w:rsidR="00C64050">
        <w:rPr>
          <w:color w:val="000000" w:themeColor="text1"/>
        </w:rPr>
        <w:t xml:space="preserve"> </w:t>
      </w:r>
      <w:r w:rsidRPr="009C4E26">
        <w:rPr>
          <w:color w:val="000000" w:themeColor="text1"/>
        </w:rPr>
        <w:t>is</w:t>
      </w:r>
      <w:r w:rsidR="00C64050">
        <w:rPr>
          <w:color w:val="000000" w:themeColor="text1"/>
        </w:rPr>
        <w:t xml:space="preserve"> </w:t>
      </w:r>
      <w:r w:rsidRPr="009C4E26">
        <w:rPr>
          <w:color w:val="000000" w:themeColor="text1"/>
        </w:rPr>
        <w:t>$6.8</w:t>
      </w:r>
      <w:r w:rsidR="00C64050">
        <w:rPr>
          <w:color w:val="000000" w:themeColor="text1"/>
        </w:rPr>
        <w:t xml:space="preserve"> </w:t>
      </w:r>
      <w:r w:rsidRPr="009C4E26">
        <w:rPr>
          <w:color w:val="000000" w:themeColor="text1"/>
        </w:rPr>
        <w:t>million.</w:t>
      </w:r>
      <w:r w:rsidR="00C64050">
        <w:rPr>
          <w:color w:val="000000" w:themeColor="text1"/>
        </w:rPr>
        <w:t xml:space="preserve"> </w:t>
      </w:r>
      <w:r w:rsidRPr="009C4E26">
        <w:rPr>
          <w:color w:val="000000" w:themeColor="text1"/>
        </w:rPr>
        <w:t>Because</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total</w:t>
      </w:r>
      <w:r w:rsidR="00C64050">
        <w:rPr>
          <w:color w:val="000000" w:themeColor="text1"/>
        </w:rPr>
        <w:t xml:space="preserve"> </w:t>
      </w:r>
      <w:r w:rsidRPr="009C4E26">
        <w:rPr>
          <w:color w:val="000000" w:themeColor="text1"/>
        </w:rPr>
        <w:t>of</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amounts</w:t>
      </w:r>
      <w:r w:rsidR="00C64050">
        <w:rPr>
          <w:color w:val="000000" w:themeColor="text1"/>
        </w:rPr>
        <w:t xml:space="preserve"> </w:t>
      </w:r>
      <w:r w:rsidRPr="009C4E26">
        <w:rPr>
          <w:color w:val="000000" w:themeColor="text1"/>
        </w:rPr>
        <w:t>allowable</w:t>
      </w:r>
      <w:r w:rsidR="00C64050">
        <w:rPr>
          <w:color w:val="000000" w:themeColor="text1"/>
        </w:rPr>
        <w:t xml:space="preserve"> </w:t>
      </w:r>
      <w:r w:rsidRPr="009C4E26">
        <w:rPr>
          <w:color w:val="000000" w:themeColor="text1"/>
        </w:rPr>
        <w:t>as</w:t>
      </w:r>
      <w:r w:rsidR="00C64050">
        <w:rPr>
          <w:color w:val="000000" w:themeColor="text1"/>
        </w:rPr>
        <w:t xml:space="preserve"> </w:t>
      </w:r>
      <w:r w:rsidRPr="009C4E26">
        <w:rPr>
          <w:color w:val="000000" w:themeColor="text1"/>
        </w:rPr>
        <w:t>a</w:t>
      </w:r>
      <w:r w:rsidR="00C64050">
        <w:rPr>
          <w:color w:val="000000" w:themeColor="text1"/>
        </w:rPr>
        <w:t xml:space="preserve"> </w:t>
      </w:r>
      <w:r w:rsidRPr="009C4E26">
        <w:rPr>
          <w:color w:val="000000" w:themeColor="text1"/>
        </w:rPr>
        <w:t>credit</w:t>
      </w:r>
      <w:r w:rsidR="00C64050">
        <w:rPr>
          <w:color w:val="000000" w:themeColor="text1"/>
        </w:rPr>
        <w:t xml:space="preserve"> </w:t>
      </w:r>
      <w:r w:rsidRPr="009C4E26">
        <w:rPr>
          <w:color w:val="000000" w:themeColor="text1"/>
        </w:rPr>
        <w:t>in</w:t>
      </w:r>
      <w:r w:rsidR="00C64050">
        <w:rPr>
          <w:color w:val="000000" w:themeColor="text1"/>
        </w:rPr>
        <w:t xml:space="preserve"> </w:t>
      </w:r>
      <w:r w:rsidRPr="009C4E26">
        <w:rPr>
          <w:color w:val="000000" w:themeColor="text1"/>
        </w:rPr>
        <w:t>computing</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gift</w:t>
      </w:r>
      <w:r w:rsidR="00C64050">
        <w:rPr>
          <w:color w:val="000000" w:themeColor="text1"/>
        </w:rPr>
        <w:t xml:space="preserve"> </w:t>
      </w:r>
      <w:r w:rsidRPr="009C4E26">
        <w:rPr>
          <w:color w:val="000000" w:themeColor="text1"/>
        </w:rPr>
        <w:t>tax</w:t>
      </w:r>
      <w:r w:rsidR="00C64050">
        <w:rPr>
          <w:color w:val="000000" w:themeColor="text1"/>
        </w:rPr>
        <w:t xml:space="preserve"> </w:t>
      </w:r>
      <w:r w:rsidRPr="009C4E26">
        <w:rPr>
          <w:color w:val="000000" w:themeColor="text1"/>
        </w:rPr>
        <w:t>payable</w:t>
      </w:r>
      <w:r w:rsidR="00C64050">
        <w:rPr>
          <w:color w:val="000000" w:themeColor="text1"/>
        </w:rPr>
        <w:t xml:space="preserve"> </w:t>
      </w:r>
      <w:r w:rsidRPr="009C4E26">
        <w:rPr>
          <w:color w:val="000000" w:themeColor="text1"/>
        </w:rPr>
        <w:t>on</w:t>
      </w:r>
      <w:r w:rsidR="00C64050">
        <w:rPr>
          <w:color w:val="000000" w:themeColor="text1"/>
        </w:rPr>
        <w:t xml:space="preserve"> </w:t>
      </w:r>
      <w:r w:rsidRPr="009C4E26">
        <w:rPr>
          <w:color w:val="000000" w:themeColor="text1"/>
        </w:rPr>
        <w:t>B's</w:t>
      </w:r>
      <w:r w:rsidR="00C64050">
        <w:rPr>
          <w:color w:val="000000" w:themeColor="text1"/>
        </w:rPr>
        <w:t xml:space="preserve"> </w:t>
      </w:r>
      <w:r w:rsidRPr="009C4E26">
        <w:rPr>
          <w:color w:val="000000" w:themeColor="text1"/>
        </w:rPr>
        <w:t>post-1976</w:t>
      </w:r>
      <w:r w:rsidR="00C64050">
        <w:rPr>
          <w:color w:val="000000" w:themeColor="text1"/>
        </w:rPr>
        <w:t xml:space="preserve"> </w:t>
      </w:r>
      <w:r w:rsidRPr="009C4E26">
        <w:rPr>
          <w:color w:val="000000" w:themeColor="text1"/>
        </w:rPr>
        <w:t>gifts</w:t>
      </w:r>
      <w:r w:rsidR="00C64050">
        <w:rPr>
          <w:color w:val="000000" w:themeColor="text1"/>
        </w:rPr>
        <w:t xml:space="preserve"> </w:t>
      </w:r>
      <w:r w:rsidRPr="009C4E26">
        <w:rPr>
          <w:color w:val="000000" w:themeColor="text1"/>
        </w:rPr>
        <w:t>attributable</w:t>
      </w:r>
      <w:r w:rsidR="00C64050">
        <w:rPr>
          <w:color w:val="000000" w:themeColor="text1"/>
        </w:rPr>
        <w:t xml:space="preserve"> </w:t>
      </w:r>
      <w:r w:rsidRPr="009C4E26">
        <w:rPr>
          <w:color w:val="000000" w:themeColor="text1"/>
        </w:rPr>
        <w:t>to</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basic</w:t>
      </w:r>
      <w:r w:rsidR="00C64050">
        <w:rPr>
          <w:color w:val="000000" w:themeColor="text1"/>
        </w:rPr>
        <w:t xml:space="preserve"> </w:t>
      </w:r>
      <w:r w:rsidRPr="009C4E26">
        <w:rPr>
          <w:color w:val="000000" w:themeColor="text1"/>
        </w:rPr>
        <w:t>exclusion</w:t>
      </w:r>
      <w:r w:rsidR="00C64050">
        <w:rPr>
          <w:color w:val="000000" w:themeColor="text1"/>
        </w:rPr>
        <w:t xml:space="preserve"> </w:t>
      </w:r>
      <w:r w:rsidRPr="009C4E26">
        <w:rPr>
          <w:color w:val="000000" w:themeColor="text1"/>
        </w:rPr>
        <w:t>amount</w:t>
      </w:r>
      <w:r w:rsidR="00C64050">
        <w:rPr>
          <w:color w:val="000000" w:themeColor="text1"/>
        </w:rPr>
        <w:t xml:space="preserve"> </w:t>
      </w:r>
      <w:r w:rsidRPr="009C4E26">
        <w:rPr>
          <w:color w:val="000000" w:themeColor="text1"/>
        </w:rPr>
        <w:t>(zero)</w:t>
      </w:r>
      <w:r w:rsidR="00C64050">
        <w:rPr>
          <w:color w:val="000000" w:themeColor="text1"/>
        </w:rPr>
        <w:t xml:space="preserve"> </w:t>
      </w:r>
      <w:r w:rsidRPr="009C4E26">
        <w:rPr>
          <w:color w:val="000000" w:themeColor="text1"/>
        </w:rPr>
        <w:t>is</w:t>
      </w:r>
      <w:r w:rsidR="00C64050">
        <w:rPr>
          <w:color w:val="000000" w:themeColor="text1"/>
        </w:rPr>
        <w:t xml:space="preserve"> </w:t>
      </w:r>
      <w:r w:rsidRPr="009C4E26">
        <w:rPr>
          <w:color w:val="000000" w:themeColor="text1"/>
        </w:rPr>
        <w:t>less</w:t>
      </w:r>
      <w:r w:rsidR="00C64050">
        <w:rPr>
          <w:color w:val="000000" w:themeColor="text1"/>
        </w:rPr>
        <w:t xml:space="preserve"> </w:t>
      </w:r>
      <w:r w:rsidRPr="009C4E26">
        <w:rPr>
          <w:color w:val="000000" w:themeColor="text1"/>
        </w:rPr>
        <w:t>than</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credit</w:t>
      </w:r>
      <w:r w:rsidR="00C64050">
        <w:rPr>
          <w:color w:val="000000" w:themeColor="text1"/>
        </w:rPr>
        <w:t xml:space="preserve"> </w:t>
      </w:r>
      <w:r w:rsidRPr="009C4E26">
        <w:rPr>
          <w:color w:val="000000" w:themeColor="text1"/>
        </w:rPr>
        <w:t>based</w:t>
      </w:r>
      <w:r w:rsidR="00C64050">
        <w:rPr>
          <w:color w:val="000000" w:themeColor="text1"/>
        </w:rPr>
        <w:t xml:space="preserve"> </w:t>
      </w:r>
      <w:r w:rsidRPr="009C4E26">
        <w:rPr>
          <w:color w:val="000000" w:themeColor="text1"/>
        </w:rPr>
        <w:t>on</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basic</w:t>
      </w:r>
      <w:r w:rsidR="00C64050">
        <w:rPr>
          <w:color w:val="000000" w:themeColor="text1"/>
        </w:rPr>
        <w:t xml:space="preserve"> </w:t>
      </w:r>
      <w:r w:rsidRPr="009C4E26">
        <w:rPr>
          <w:color w:val="000000" w:themeColor="text1"/>
        </w:rPr>
        <w:t>exclusion</w:t>
      </w:r>
      <w:r w:rsidR="00C64050">
        <w:rPr>
          <w:color w:val="000000" w:themeColor="text1"/>
        </w:rPr>
        <w:t xml:space="preserve"> </w:t>
      </w:r>
      <w:r w:rsidRPr="009C4E26">
        <w:rPr>
          <w:color w:val="000000" w:themeColor="text1"/>
        </w:rPr>
        <w:t>amount</w:t>
      </w:r>
      <w:r w:rsidR="00C64050">
        <w:rPr>
          <w:color w:val="000000" w:themeColor="text1"/>
        </w:rPr>
        <w:t xml:space="preserve"> </w:t>
      </w:r>
      <w:r w:rsidRPr="009C4E26">
        <w:rPr>
          <w:color w:val="000000" w:themeColor="text1"/>
        </w:rPr>
        <w:t>allowable</w:t>
      </w:r>
      <w:r w:rsidR="00C64050">
        <w:rPr>
          <w:color w:val="000000" w:themeColor="text1"/>
        </w:rPr>
        <w:t xml:space="preserve"> </w:t>
      </w:r>
      <w:r w:rsidRPr="009C4E26">
        <w:rPr>
          <w:color w:val="000000" w:themeColor="text1"/>
        </w:rPr>
        <w:t>on</w:t>
      </w:r>
      <w:r w:rsidR="00C64050">
        <w:rPr>
          <w:color w:val="000000" w:themeColor="text1"/>
        </w:rPr>
        <w:t xml:space="preserve"> </w:t>
      </w:r>
      <w:r w:rsidRPr="009C4E26">
        <w:rPr>
          <w:color w:val="000000" w:themeColor="text1"/>
        </w:rPr>
        <w:t>B's</w:t>
      </w:r>
      <w:r w:rsidR="00C64050">
        <w:rPr>
          <w:color w:val="000000" w:themeColor="text1"/>
        </w:rPr>
        <w:t xml:space="preserve"> </w:t>
      </w:r>
      <w:r w:rsidRPr="009C4E26">
        <w:rPr>
          <w:color w:val="000000" w:themeColor="text1"/>
        </w:rPr>
        <w:t>date</w:t>
      </w:r>
      <w:r w:rsidR="00C64050">
        <w:rPr>
          <w:color w:val="000000" w:themeColor="text1"/>
        </w:rPr>
        <w:t xml:space="preserve"> </w:t>
      </w:r>
      <w:r w:rsidRPr="009C4E26">
        <w:rPr>
          <w:color w:val="000000" w:themeColor="text1"/>
        </w:rPr>
        <w:t>of</w:t>
      </w:r>
      <w:r w:rsidR="00C64050">
        <w:rPr>
          <w:color w:val="000000" w:themeColor="text1"/>
        </w:rPr>
        <w:t xml:space="preserve"> </w:t>
      </w:r>
      <w:r w:rsidRPr="009C4E26">
        <w:rPr>
          <w:color w:val="000000" w:themeColor="text1"/>
        </w:rPr>
        <w:t>death,</w:t>
      </w:r>
      <w:r w:rsidR="00C64050">
        <w:rPr>
          <w:color w:val="000000" w:themeColor="text1"/>
        </w:rPr>
        <w:t xml:space="preserve"> </w:t>
      </w:r>
      <w:r w:rsidRPr="009C4E26">
        <w:rPr>
          <w:color w:val="000000" w:themeColor="text1"/>
        </w:rPr>
        <w:t>this</w:t>
      </w:r>
      <w:r w:rsidR="00C64050">
        <w:rPr>
          <w:color w:val="000000" w:themeColor="text1"/>
        </w:rPr>
        <w:t xml:space="preserve"> </w:t>
      </w:r>
      <w:r w:rsidRPr="009C4E26">
        <w:rPr>
          <w:color w:val="000000" w:themeColor="text1"/>
        </w:rPr>
        <w:t>paragraph</w:t>
      </w:r>
      <w:r w:rsidR="00C64050">
        <w:rPr>
          <w:color w:val="000000" w:themeColor="text1"/>
        </w:rPr>
        <w:t xml:space="preserve"> </w:t>
      </w:r>
      <w:r w:rsidRPr="009C4E26">
        <w:rPr>
          <w:color w:val="000000" w:themeColor="text1"/>
        </w:rPr>
        <w:t>(c)</w:t>
      </w:r>
      <w:r w:rsidR="00C64050">
        <w:rPr>
          <w:color w:val="000000" w:themeColor="text1"/>
        </w:rPr>
        <w:t xml:space="preserve"> </w:t>
      </w:r>
      <w:r w:rsidRPr="009C4E26">
        <w:rPr>
          <w:color w:val="000000" w:themeColor="text1"/>
        </w:rPr>
        <w:t>does</w:t>
      </w:r>
      <w:r w:rsidR="00C64050">
        <w:rPr>
          <w:color w:val="000000" w:themeColor="text1"/>
        </w:rPr>
        <w:t xml:space="preserve"> </w:t>
      </w:r>
      <w:r w:rsidRPr="009C4E26">
        <w:rPr>
          <w:color w:val="000000" w:themeColor="text1"/>
        </w:rPr>
        <w:t>not</w:t>
      </w:r>
      <w:r w:rsidR="00C64050">
        <w:rPr>
          <w:color w:val="000000" w:themeColor="text1"/>
        </w:rPr>
        <w:t xml:space="preserve"> </w:t>
      </w:r>
      <w:r w:rsidRPr="009C4E26">
        <w:rPr>
          <w:color w:val="000000" w:themeColor="text1"/>
        </w:rPr>
        <w:t>apply.</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credit</w:t>
      </w:r>
      <w:r w:rsidR="00C64050">
        <w:rPr>
          <w:color w:val="000000" w:themeColor="text1"/>
        </w:rPr>
        <w:t xml:space="preserve"> </w:t>
      </w:r>
      <w:r w:rsidRPr="009C4E26">
        <w:rPr>
          <w:color w:val="000000" w:themeColor="text1"/>
        </w:rPr>
        <w:t>to</w:t>
      </w:r>
      <w:r w:rsidR="00C64050">
        <w:rPr>
          <w:color w:val="000000" w:themeColor="text1"/>
        </w:rPr>
        <w:t xml:space="preserve"> </w:t>
      </w:r>
      <w:r w:rsidRPr="009C4E26">
        <w:rPr>
          <w:color w:val="000000" w:themeColor="text1"/>
        </w:rPr>
        <w:t>be</w:t>
      </w:r>
      <w:r w:rsidR="00C64050">
        <w:rPr>
          <w:color w:val="000000" w:themeColor="text1"/>
        </w:rPr>
        <w:t xml:space="preserve"> </w:t>
      </w:r>
      <w:r w:rsidRPr="009C4E26">
        <w:rPr>
          <w:color w:val="000000" w:themeColor="text1"/>
        </w:rPr>
        <w:t>applied</w:t>
      </w:r>
      <w:r w:rsidR="00C64050">
        <w:rPr>
          <w:color w:val="000000" w:themeColor="text1"/>
        </w:rPr>
        <w:t xml:space="preserve"> </w:t>
      </w:r>
      <w:r w:rsidRPr="009C4E26">
        <w:rPr>
          <w:color w:val="000000" w:themeColor="text1"/>
        </w:rPr>
        <w:t>for</w:t>
      </w:r>
      <w:r w:rsidR="00C64050">
        <w:rPr>
          <w:color w:val="000000" w:themeColor="text1"/>
        </w:rPr>
        <w:t xml:space="preserve"> </w:t>
      </w:r>
      <w:r w:rsidRPr="009C4E26">
        <w:rPr>
          <w:color w:val="000000" w:themeColor="text1"/>
        </w:rPr>
        <w:t>purposes</w:t>
      </w:r>
      <w:r w:rsidR="00C64050">
        <w:rPr>
          <w:color w:val="000000" w:themeColor="text1"/>
        </w:rPr>
        <w:t xml:space="preserve"> </w:t>
      </w:r>
      <w:r w:rsidRPr="009C4E26">
        <w:rPr>
          <w:color w:val="000000" w:themeColor="text1"/>
        </w:rPr>
        <w:t>of</w:t>
      </w:r>
      <w:r w:rsidR="00C64050">
        <w:rPr>
          <w:color w:val="000000" w:themeColor="text1"/>
        </w:rPr>
        <w:t xml:space="preserve"> </w:t>
      </w:r>
      <w:r w:rsidRPr="009C4E26">
        <w:rPr>
          <w:color w:val="000000" w:themeColor="text1"/>
        </w:rPr>
        <w:t>computing</w:t>
      </w:r>
      <w:r w:rsidR="00C64050">
        <w:rPr>
          <w:color w:val="000000" w:themeColor="text1"/>
        </w:rPr>
        <w:t xml:space="preserve"> </w:t>
      </w:r>
      <w:r w:rsidRPr="009C4E26">
        <w:rPr>
          <w:color w:val="000000" w:themeColor="text1"/>
        </w:rPr>
        <w:t>B's</w:t>
      </w:r>
      <w:r w:rsidR="00C64050">
        <w:rPr>
          <w:color w:val="000000" w:themeColor="text1"/>
        </w:rPr>
        <w:t xml:space="preserve"> </w:t>
      </w:r>
      <w:r w:rsidRPr="009C4E26">
        <w:rPr>
          <w:color w:val="000000" w:themeColor="text1"/>
        </w:rPr>
        <w:t>estate</w:t>
      </w:r>
      <w:r w:rsidR="00C64050">
        <w:rPr>
          <w:color w:val="000000" w:themeColor="text1"/>
        </w:rPr>
        <w:t xml:space="preserve"> </w:t>
      </w:r>
      <w:r w:rsidRPr="009C4E26">
        <w:rPr>
          <w:color w:val="000000" w:themeColor="text1"/>
        </w:rPr>
        <w:t>tax</w:t>
      </w:r>
      <w:r w:rsidR="00C64050">
        <w:rPr>
          <w:color w:val="000000" w:themeColor="text1"/>
        </w:rPr>
        <w:t xml:space="preserve"> </w:t>
      </w:r>
      <w:r w:rsidRPr="009C4E26">
        <w:rPr>
          <w:color w:val="000000" w:themeColor="text1"/>
        </w:rPr>
        <w:t>is</w:t>
      </w:r>
      <w:r w:rsidR="00C64050">
        <w:rPr>
          <w:color w:val="000000" w:themeColor="text1"/>
        </w:rPr>
        <w:t xml:space="preserve"> </w:t>
      </w:r>
      <w:r w:rsidRPr="009C4E26">
        <w:rPr>
          <w:color w:val="000000" w:themeColor="text1"/>
        </w:rPr>
        <w:t>based</w:t>
      </w:r>
      <w:r w:rsidR="00C64050">
        <w:rPr>
          <w:color w:val="000000" w:themeColor="text1"/>
        </w:rPr>
        <w:t xml:space="preserve"> </w:t>
      </w:r>
      <w:r w:rsidRPr="009C4E26">
        <w:rPr>
          <w:color w:val="000000" w:themeColor="text1"/>
        </w:rPr>
        <w:t>on</w:t>
      </w:r>
      <w:r w:rsidR="00C64050">
        <w:rPr>
          <w:color w:val="000000" w:themeColor="text1"/>
        </w:rPr>
        <w:t xml:space="preserve"> </w:t>
      </w:r>
      <w:r w:rsidRPr="009C4E26">
        <w:rPr>
          <w:color w:val="000000" w:themeColor="text1"/>
        </w:rPr>
        <w:t>B's</w:t>
      </w:r>
      <w:r w:rsidR="00C64050">
        <w:rPr>
          <w:color w:val="000000" w:themeColor="text1"/>
        </w:rPr>
        <w:t xml:space="preserve"> </w:t>
      </w:r>
      <w:r w:rsidRPr="009C4E26">
        <w:rPr>
          <w:color w:val="000000" w:themeColor="text1"/>
        </w:rPr>
        <w:t>$18.2</w:t>
      </w:r>
      <w:r w:rsidR="00C64050">
        <w:rPr>
          <w:color w:val="000000" w:themeColor="text1"/>
        </w:rPr>
        <w:t xml:space="preserve"> </w:t>
      </w:r>
      <w:r w:rsidRPr="009C4E26">
        <w:rPr>
          <w:color w:val="000000" w:themeColor="text1"/>
        </w:rPr>
        <w:t>million</w:t>
      </w:r>
      <w:r w:rsidR="00C64050">
        <w:rPr>
          <w:color w:val="000000" w:themeColor="text1"/>
        </w:rPr>
        <w:t xml:space="preserve"> </w:t>
      </w:r>
      <w:r w:rsidRPr="009C4E26">
        <w:rPr>
          <w:color w:val="000000" w:themeColor="text1"/>
        </w:rPr>
        <w:t>applicable</w:t>
      </w:r>
      <w:r w:rsidR="00C64050">
        <w:rPr>
          <w:color w:val="000000" w:themeColor="text1"/>
        </w:rPr>
        <w:t xml:space="preserve"> </w:t>
      </w:r>
      <w:r w:rsidRPr="009C4E26">
        <w:rPr>
          <w:color w:val="000000" w:themeColor="text1"/>
        </w:rPr>
        <w:t>exclusion</w:t>
      </w:r>
      <w:r w:rsidR="00C64050">
        <w:rPr>
          <w:color w:val="000000" w:themeColor="text1"/>
        </w:rPr>
        <w:t xml:space="preserve"> </w:t>
      </w:r>
      <w:r w:rsidRPr="009C4E26">
        <w:rPr>
          <w:color w:val="000000" w:themeColor="text1"/>
        </w:rPr>
        <w:t>amount,</w:t>
      </w:r>
      <w:r w:rsidR="00C64050">
        <w:rPr>
          <w:color w:val="000000" w:themeColor="text1"/>
        </w:rPr>
        <w:t xml:space="preserve"> </w:t>
      </w:r>
      <w:r w:rsidRPr="009C4E26">
        <w:rPr>
          <w:color w:val="000000" w:themeColor="text1"/>
        </w:rPr>
        <w:t>consisting</w:t>
      </w:r>
      <w:r w:rsidR="00C64050">
        <w:rPr>
          <w:color w:val="000000" w:themeColor="text1"/>
        </w:rPr>
        <w:t xml:space="preserve"> </w:t>
      </w:r>
      <w:r w:rsidRPr="009C4E26">
        <w:rPr>
          <w:color w:val="000000" w:themeColor="text1"/>
        </w:rPr>
        <w:t>of</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$6.8</w:t>
      </w:r>
      <w:r w:rsidR="00C64050">
        <w:rPr>
          <w:color w:val="000000" w:themeColor="text1"/>
        </w:rPr>
        <w:t xml:space="preserve"> </w:t>
      </w:r>
      <w:r w:rsidRPr="009C4E26">
        <w:rPr>
          <w:color w:val="000000" w:themeColor="text1"/>
        </w:rPr>
        <w:t>million</w:t>
      </w:r>
      <w:r w:rsidR="00C64050">
        <w:rPr>
          <w:color w:val="000000" w:themeColor="text1"/>
        </w:rPr>
        <w:t xml:space="preserve"> </w:t>
      </w:r>
      <w:r w:rsidRPr="009C4E26">
        <w:rPr>
          <w:color w:val="000000" w:themeColor="text1"/>
        </w:rPr>
        <w:t>basic</w:t>
      </w:r>
      <w:r w:rsidR="00C64050">
        <w:rPr>
          <w:color w:val="000000" w:themeColor="text1"/>
        </w:rPr>
        <w:t xml:space="preserve"> </w:t>
      </w:r>
      <w:r w:rsidRPr="009C4E26">
        <w:rPr>
          <w:color w:val="000000" w:themeColor="text1"/>
        </w:rPr>
        <w:t>exclusion</w:t>
      </w:r>
      <w:r w:rsidR="00C64050">
        <w:rPr>
          <w:color w:val="000000" w:themeColor="text1"/>
        </w:rPr>
        <w:t xml:space="preserve"> </w:t>
      </w:r>
      <w:r w:rsidRPr="009C4E26">
        <w:rPr>
          <w:color w:val="000000" w:themeColor="text1"/>
        </w:rPr>
        <w:t>amount</w:t>
      </w:r>
      <w:r w:rsidR="00C64050">
        <w:rPr>
          <w:color w:val="000000" w:themeColor="text1"/>
        </w:rPr>
        <w:t xml:space="preserve"> </w:t>
      </w:r>
      <w:r w:rsidRPr="009C4E26">
        <w:rPr>
          <w:color w:val="000000" w:themeColor="text1"/>
        </w:rPr>
        <w:t>on</w:t>
      </w:r>
      <w:r w:rsidR="00C64050">
        <w:rPr>
          <w:color w:val="000000" w:themeColor="text1"/>
        </w:rPr>
        <w:t xml:space="preserve"> </w:t>
      </w:r>
      <w:r w:rsidRPr="009C4E26">
        <w:rPr>
          <w:color w:val="000000" w:themeColor="text1"/>
        </w:rPr>
        <w:t>B's</w:t>
      </w:r>
      <w:r w:rsidR="00C64050">
        <w:rPr>
          <w:color w:val="000000" w:themeColor="text1"/>
        </w:rPr>
        <w:t xml:space="preserve"> </w:t>
      </w:r>
      <w:r w:rsidRPr="009C4E26">
        <w:rPr>
          <w:color w:val="000000" w:themeColor="text1"/>
        </w:rPr>
        <w:t>date</w:t>
      </w:r>
      <w:r w:rsidR="00C64050">
        <w:rPr>
          <w:color w:val="000000" w:themeColor="text1"/>
        </w:rPr>
        <w:t xml:space="preserve"> </w:t>
      </w:r>
      <w:r w:rsidRPr="009C4E26">
        <w:rPr>
          <w:color w:val="000000" w:themeColor="text1"/>
        </w:rPr>
        <w:t>of</w:t>
      </w:r>
      <w:r w:rsidR="00C64050">
        <w:rPr>
          <w:color w:val="000000" w:themeColor="text1"/>
        </w:rPr>
        <w:t xml:space="preserve"> </w:t>
      </w:r>
      <w:r w:rsidRPr="009C4E26">
        <w:rPr>
          <w:color w:val="000000" w:themeColor="text1"/>
        </w:rPr>
        <w:t>death</w:t>
      </w:r>
      <w:r w:rsidR="00C64050">
        <w:rPr>
          <w:color w:val="000000" w:themeColor="text1"/>
        </w:rPr>
        <w:t xml:space="preserve"> </w:t>
      </w:r>
      <w:r w:rsidRPr="009C4E26">
        <w:rPr>
          <w:color w:val="000000" w:themeColor="text1"/>
        </w:rPr>
        <w:t>plus</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$11.4</w:t>
      </w:r>
      <w:r w:rsidR="00C64050">
        <w:rPr>
          <w:color w:val="000000" w:themeColor="text1"/>
        </w:rPr>
        <w:t xml:space="preserve"> </w:t>
      </w:r>
      <w:r w:rsidRPr="009C4E26">
        <w:rPr>
          <w:color w:val="000000" w:themeColor="text1"/>
        </w:rPr>
        <w:t>million</w:t>
      </w:r>
      <w:r w:rsidR="00C64050">
        <w:rPr>
          <w:color w:val="000000" w:themeColor="text1"/>
        </w:rPr>
        <w:t xml:space="preserve"> </w:t>
      </w:r>
      <w:r w:rsidRPr="009C4E26">
        <w:rPr>
          <w:color w:val="000000" w:themeColor="text1"/>
        </w:rPr>
        <w:t>DSUE</w:t>
      </w:r>
      <w:r w:rsidR="00C64050">
        <w:rPr>
          <w:color w:val="000000" w:themeColor="text1"/>
        </w:rPr>
        <w:t xml:space="preserve"> </w:t>
      </w:r>
      <w:r w:rsidRPr="009C4E26">
        <w:rPr>
          <w:color w:val="000000" w:themeColor="text1"/>
        </w:rPr>
        <w:t>amount,</w:t>
      </w:r>
      <w:r w:rsidR="00C64050">
        <w:rPr>
          <w:color w:val="000000" w:themeColor="text1"/>
        </w:rPr>
        <w:t xml:space="preserve"> </w:t>
      </w:r>
      <w:r w:rsidRPr="009C4E26">
        <w:rPr>
          <w:color w:val="000000" w:themeColor="text1"/>
        </w:rPr>
        <w:t>subject</w:t>
      </w:r>
      <w:r w:rsidR="00C64050">
        <w:rPr>
          <w:color w:val="000000" w:themeColor="text1"/>
        </w:rPr>
        <w:t xml:space="preserve"> </w:t>
      </w:r>
      <w:r w:rsidRPr="009C4E26">
        <w:rPr>
          <w:color w:val="000000" w:themeColor="text1"/>
        </w:rPr>
        <w:t>to</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limitation</w:t>
      </w:r>
      <w:r w:rsidR="00C64050">
        <w:rPr>
          <w:color w:val="000000" w:themeColor="text1"/>
        </w:rPr>
        <w:t xml:space="preserve"> </w:t>
      </w:r>
      <w:r w:rsidRPr="009C4E26">
        <w:rPr>
          <w:color w:val="000000" w:themeColor="text1"/>
        </w:rPr>
        <w:t>of</w:t>
      </w:r>
      <w:r w:rsidR="00C64050">
        <w:rPr>
          <w:color w:val="000000" w:themeColor="text1"/>
        </w:rPr>
        <w:t xml:space="preserve"> </w:t>
      </w:r>
      <w:hyperlink r:id="rId19" w:anchor="cpyw-0000023" w:tooltip="section 2010(d)" w:history="1">
        <w:r w:rsidRPr="009C4E26">
          <w:rPr>
            <w:rStyle w:val="Hyperlink"/>
            <w:rFonts w:ascii="Open Sans" w:hAnsi="Open Sans"/>
            <w:color w:val="000000" w:themeColor="text1"/>
          </w:rPr>
          <w:t>section</w:t>
        </w:r>
        <w:r w:rsidR="00C64050">
          <w:rPr>
            <w:rStyle w:val="Hyperlink"/>
            <w:rFonts w:ascii="Open Sans" w:hAnsi="Open Sans"/>
            <w:color w:val="000000" w:themeColor="text1"/>
          </w:rPr>
          <w:t xml:space="preserve"> </w:t>
        </w:r>
        <w:r w:rsidRPr="009C4E26">
          <w:rPr>
            <w:rStyle w:val="Hyperlink"/>
            <w:rFonts w:ascii="Open Sans" w:hAnsi="Open Sans"/>
            <w:color w:val="000000" w:themeColor="text1"/>
          </w:rPr>
          <w:t>2010(d)</w:t>
        </w:r>
      </w:hyperlink>
      <w:r w:rsidRPr="009C4E26">
        <w:rPr>
          <w:color w:val="000000" w:themeColor="text1"/>
        </w:rPr>
        <w:t>.</w:t>
      </w:r>
    </w:p>
    <w:p w:rsidR="00B76023" w:rsidRPr="009C4E26" w:rsidRDefault="00B76023" w:rsidP="009C4E26">
      <w:pPr>
        <w:pStyle w:val="QS10"/>
        <w:rPr>
          <w:color w:val="000000" w:themeColor="text1"/>
        </w:rPr>
      </w:pPr>
      <w:r w:rsidRPr="009C4E26">
        <w:rPr>
          <w:color w:val="000000" w:themeColor="text1"/>
        </w:rPr>
        <w:t>(iv)</w:t>
      </w:r>
      <w:r w:rsidR="00C64050">
        <w:rPr>
          <w:color w:val="000000" w:themeColor="text1"/>
        </w:rPr>
        <w:t xml:space="preserve"> </w:t>
      </w:r>
      <w:r w:rsidRPr="009C4E26">
        <w:rPr>
          <w:color w:val="000000" w:themeColor="text1"/>
          <w:u w:val="single"/>
        </w:rPr>
        <w:t>Example</w:t>
      </w:r>
      <w:r w:rsidR="00C64050">
        <w:rPr>
          <w:color w:val="000000" w:themeColor="text1"/>
          <w:u w:val="single"/>
        </w:rPr>
        <w:t xml:space="preserve"> </w:t>
      </w:r>
      <w:r w:rsidRPr="009C4E26">
        <w:rPr>
          <w:color w:val="000000" w:themeColor="text1"/>
          <w:u w:val="single"/>
        </w:rPr>
        <w:t>4</w:t>
      </w:r>
      <w:r w:rsidRPr="009C4E26">
        <w:rPr>
          <w:color w:val="000000" w:themeColor="text1"/>
        </w:rPr>
        <w:t>.</w:t>
      </w:r>
      <w:r w:rsidR="00C64050">
        <w:rPr>
          <w:color w:val="000000" w:themeColor="text1"/>
        </w:rPr>
        <w:t xml:space="preserve"> </w:t>
      </w:r>
      <w:r w:rsidRPr="009C4E26">
        <w:rPr>
          <w:color w:val="000000" w:themeColor="text1"/>
        </w:rPr>
        <w:t>Assume</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facts</w:t>
      </w:r>
      <w:r w:rsidR="00C64050">
        <w:rPr>
          <w:color w:val="000000" w:themeColor="text1"/>
        </w:rPr>
        <w:t xml:space="preserve"> </w:t>
      </w:r>
      <w:r w:rsidRPr="009C4E26">
        <w:rPr>
          <w:color w:val="000000" w:themeColor="text1"/>
        </w:rPr>
        <w:t>are</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same</w:t>
      </w:r>
      <w:r w:rsidR="00C64050">
        <w:rPr>
          <w:color w:val="000000" w:themeColor="text1"/>
        </w:rPr>
        <w:t xml:space="preserve"> </w:t>
      </w:r>
      <w:r w:rsidRPr="009C4E26">
        <w:rPr>
          <w:color w:val="000000" w:themeColor="text1"/>
        </w:rPr>
        <w:t>as</w:t>
      </w:r>
      <w:r w:rsidR="00C64050">
        <w:rPr>
          <w:color w:val="000000" w:themeColor="text1"/>
        </w:rPr>
        <w:t xml:space="preserve"> </w:t>
      </w:r>
      <w:r w:rsidRPr="009C4E26">
        <w:rPr>
          <w:color w:val="000000" w:themeColor="text1"/>
        </w:rPr>
        <w:t>in</w:t>
      </w:r>
      <w:r w:rsidR="00C64050">
        <w:rPr>
          <w:color w:val="000000" w:themeColor="text1"/>
        </w:rPr>
        <w:t xml:space="preserve"> </w:t>
      </w:r>
      <w:r w:rsidRPr="009C4E26">
        <w:rPr>
          <w:color w:val="000000" w:themeColor="text1"/>
          <w:u w:val="single"/>
        </w:rPr>
        <w:t>Example</w:t>
      </w:r>
      <w:r w:rsidR="00C64050">
        <w:rPr>
          <w:color w:val="000000" w:themeColor="text1"/>
          <w:u w:val="single"/>
        </w:rPr>
        <w:t xml:space="preserve"> </w:t>
      </w:r>
      <w:r w:rsidRPr="009C4E26">
        <w:rPr>
          <w:color w:val="000000" w:themeColor="text1"/>
          <w:u w:val="single"/>
        </w:rPr>
        <w:t>3</w:t>
      </w:r>
      <w:r w:rsidR="00C64050">
        <w:rPr>
          <w:color w:val="000000" w:themeColor="text1"/>
        </w:rPr>
        <w:t xml:space="preserve"> </w:t>
      </w:r>
      <w:r w:rsidRPr="009C4E26">
        <w:rPr>
          <w:color w:val="000000" w:themeColor="text1"/>
        </w:rPr>
        <w:t>of</w:t>
      </w:r>
      <w:r w:rsidR="00C64050">
        <w:rPr>
          <w:color w:val="000000" w:themeColor="text1"/>
        </w:rPr>
        <w:t xml:space="preserve"> </w:t>
      </w:r>
      <w:r w:rsidRPr="009C4E26">
        <w:rPr>
          <w:color w:val="000000" w:themeColor="text1"/>
        </w:rPr>
        <w:t>paragraph</w:t>
      </w:r>
      <w:r w:rsidR="00C64050">
        <w:rPr>
          <w:color w:val="000000" w:themeColor="text1"/>
        </w:rPr>
        <w:t xml:space="preserve"> </w:t>
      </w:r>
      <w:r w:rsidRPr="009C4E26">
        <w:rPr>
          <w:color w:val="000000" w:themeColor="text1"/>
        </w:rPr>
        <w:t>(c)(2)(iii)</w:t>
      </w:r>
      <w:r w:rsidR="00C64050">
        <w:rPr>
          <w:color w:val="000000" w:themeColor="text1"/>
        </w:rPr>
        <w:t xml:space="preserve"> </w:t>
      </w:r>
      <w:r w:rsidRPr="009C4E26">
        <w:rPr>
          <w:color w:val="000000" w:themeColor="text1"/>
        </w:rPr>
        <w:t>of</w:t>
      </w:r>
      <w:r w:rsidR="00C64050">
        <w:rPr>
          <w:color w:val="000000" w:themeColor="text1"/>
        </w:rPr>
        <w:t xml:space="preserve"> </w:t>
      </w:r>
      <w:r w:rsidRPr="009C4E26">
        <w:rPr>
          <w:color w:val="000000" w:themeColor="text1"/>
        </w:rPr>
        <w:t>this</w:t>
      </w:r>
      <w:r w:rsidR="00C64050">
        <w:rPr>
          <w:color w:val="000000" w:themeColor="text1"/>
        </w:rPr>
        <w:t xml:space="preserve"> </w:t>
      </w:r>
      <w:r w:rsidRPr="009C4E26">
        <w:rPr>
          <w:color w:val="000000" w:themeColor="text1"/>
        </w:rPr>
        <w:t>section</w:t>
      </w:r>
      <w:r w:rsidR="00C64050">
        <w:rPr>
          <w:color w:val="000000" w:themeColor="text1"/>
        </w:rPr>
        <w:t xml:space="preserve"> </w:t>
      </w:r>
      <w:r w:rsidRPr="009C4E26">
        <w:rPr>
          <w:color w:val="000000" w:themeColor="text1"/>
        </w:rPr>
        <w:t>except</w:t>
      </w:r>
      <w:r w:rsidR="00C64050">
        <w:rPr>
          <w:color w:val="000000" w:themeColor="text1"/>
        </w:rPr>
        <w:t xml:space="preserve"> </w:t>
      </w:r>
      <w:r w:rsidRPr="009C4E26">
        <w:rPr>
          <w:color w:val="000000" w:themeColor="text1"/>
        </w:rPr>
        <w:t>that,</w:t>
      </w:r>
      <w:r w:rsidR="00C64050">
        <w:rPr>
          <w:color w:val="000000" w:themeColor="text1"/>
        </w:rPr>
        <w:t xml:space="preserve"> </w:t>
      </w:r>
      <w:r w:rsidRPr="009C4E26">
        <w:rPr>
          <w:color w:val="000000" w:themeColor="text1"/>
        </w:rPr>
        <w:t>after</w:t>
      </w:r>
      <w:r w:rsidR="00C64050">
        <w:rPr>
          <w:color w:val="000000" w:themeColor="text1"/>
        </w:rPr>
        <w:t xml:space="preserve"> </w:t>
      </w:r>
      <w:r w:rsidRPr="009C4E26">
        <w:rPr>
          <w:color w:val="000000" w:themeColor="text1"/>
        </w:rPr>
        <w:t>C's</w:t>
      </w:r>
      <w:r w:rsidR="00C64050">
        <w:rPr>
          <w:color w:val="000000" w:themeColor="text1"/>
        </w:rPr>
        <w:t xml:space="preserve"> </w:t>
      </w:r>
      <w:r w:rsidRPr="009C4E26">
        <w:rPr>
          <w:color w:val="000000" w:themeColor="text1"/>
        </w:rPr>
        <w:t>death</w:t>
      </w:r>
      <w:r w:rsidR="00C64050">
        <w:rPr>
          <w:color w:val="000000" w:themeColor="text1"/>
        </w:rPr>
        <w:t xml:space="preserve"> </w:t>
      </w:r>
      <w:r w:rsidRPr="009C4E26">
        <w:rPr>
          <w:color w:val="000000" w:themeColor="text1"/>
        </w:rPr>
        <w:t>and</w:t>
      </w:r>
      <w:r w:rsidR="00C64050">
        <w:rPr>
          <w:color w:val="000000" w:themeColor="text1"/>
        </w:rPr>
        <w:t xml:space="preserve"> </w:t>
      </w:r>
      <w:r w:rsidRPr="009C4E26">
        <w:rPr>
          <w:color w:val="000000" w:themeColor="text1"/>
        </w:rPr>
        <w:t>before</w:t>
      </w:r>
      <w:r w:rsidR="00C64050">
        <w:rPr>
          <w:color w:val="000000" w:themeColor="text1"/>
        </w:rPr>
        <w:t xml:space="preserve"> </w:t>
      </w:r>
      <w:r w:rsidRPr="009C4E26">
        <w:rPr>
          <w:color w:val="000000" w:themeColor="text1"/>
        </w:rPr>
        <w:t>2026,</w:t>
      </w:r>
      <w:r w:rsidR="00C64050">
        <w:rPr>
          <w:color w:val="000000" w:themeColor="text1"/>
        </w:rPr>
        <w:t xml:space="preserve"> </w:t>
      </w:r>
      <w:r w:rsidRPr="009C4E26">
        <w:rPr>
          <w:color w:val="000000" w:themeColor="text1"/>
        </w:rPr>
        <w:t>B</w:t>
      </w:r>
      <w:r w:rsidR="00C64050">
        <w:rPr>
          <w:color w:val="000000" w:themeColor="text1"/>
        </w:rPr>
        <w:t xml:space="preserve"> </w:t>
      </w:r>
      <w:r w:rsidRPr="009C4E26">
        <w:rPr>
          <w:color w:val="000000" w:themeColor="text1"/>
        </w:rPr>
        <w:t>makes</w:t>
      </w:r>
      <w:r w:rsidR="00C64050">
        <w:rPr>
          <w:color w:val="000000" w:themeColor="text1"/>
        </w:rPr>
        <w:t xml:space="preserve"> </w:t>
      </w:r>
      <w:r w:rsidRPr="009C4E26">
        <w:rPr>
          <w:color w:val="000000" w:themeColor="text1"/>
        </w:rPr>
        <w:t>taxable</w:t>
      </w:r>
      <w:r w:rsidR="00C64050">
        <w:rPr>
          <w:color w:val="000000" w:themeColor="text1"/>
        </w:rPr>
        <w:t xml:space="preserve"> </w:t>
      </w:r>
      <w:r w:rsidRPr="009C4E26">
        <w:rPr>
          <w:color w:val="000000" w:themeColor="text1"/>
        </w:rPr>
        <w:t>gifts</w:t>
      </w:r>
      <w:r w:rsidR="00C64050">
        <w:rPr>
          <w:color w:val="000000" w:themeColor="text1"/>
        </w:rPr>
        <w:t xml:space="preserve"> </w:t>
      </w:r>
      <w:r w:rsidRPr="009C4E26">
        <w:rPr>
          <w:color w:val="000000" w:themeColor="text1"/>
        </w:rPr>
        <w:t>of</w:t>
      </w:r>
      <w:r w:rsidR="00C64050">
        <w:rPr>
          <w:color w:val="000000" w:themeColor="text1"/>
        </w:rPr>
        <w:t xml:space="preserve"> </w:t>
      </w:r>
      <w:r w:rsidRPr="009C4E26">
        <w:rPr>
          <w:color w:val="000000" w:themeColor="text1"/>
        </w:rPr>
        <w:t>$14</w:t>
      </w:r>
      <w:r w:rsidR="00C64050">
        <w:rPr>
          <w:color w:val="000000" w:themeColor="text1"/>
        </w:rPr>
        <w:t xml:space="preserve"> </w:t>
      </w:r>
      <w:r w:rsidRPr="009C4E26">
        <w:rPr>
          <w:color w:val="000000" w:themeColor="text1"/>
        </w:rPr>
        <w:t>million</w:t>
      </w:r>
      <w:r w:rsidR="00C64050">
        <w:rPr>
          <w:color w:val="000000" w:themeColor="text1"/>
        </w:rPr>
        <w:t xml:space="preserve"> </w:t>
      </w:r>
      <w:r w:rsidRPr="009C4E26">
        <w:rPr>
          <w:color w:val="000000" w:themeColor="text1"/>
        </w:rPr>
        <w:t>in</w:t>
      </w:r>
      <w:r w:rsidR="00C64050">
        <w:rPr>
          <w:color w:val="000000" w:themeColor="text1"/>
        </w:rPr>
        <w:t xml:space="preserve"> </w:t>
      </w:r>
      <w:r w:rsidRPr="009C4E26">
        <w:rPr>
          <w:color w:val="000000" w:themeColor="text1"/>
        </w:rPr>
        <w:t>a</w:t>
      </w:r>
      <w:r w:rsidR="00C64050">
        <w:rPr>
          <w:color w:val="000000" w:themeColor="text1"/>
        </w:rPr>
        <w:t xml:space="preserve"> </w:t>
      </w:r>
      <w:r w:rsidRPr="009C4E26">
        <w:rPr>
          <w:color w:val="000000" w:themeColor="text1"/>
        </w:rPr>
        <w:t>year</w:t>
      </w:r>
      <w:r w:rsidR="00C64050">
        <w:rPr>
          <w:color w:val="000000" w:themeColor="text1"/>
        </w:rPr>
        <w:t xml:space="preserve"> </w:t>
      </w:r>
      <w:r w:rsidRPr="009C4E26">
        <w:rPr>
          <w:color w:val="000000" w:themeColor="text1"/>
        </w:rPr>
        <w:t>when</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basic</w:t>
      </w:r>
      <w:r w:rsidR="00C64050">
        <w:rPr>
          <w:color w:val="000000" w:themeColor="text1"/>
        </w:rPr>
        <w:t xml:space="preserve"> </w:t>
      </w:r>
      <w:r w:rsidRPr="009C4E26">
        <w:rPr>
          <w:color w:val="000000" w:themeColor="text1"/>
        </w:rPr>
        <w:t>exclusion</w:t>
      </w:r>
      <w:r w:rsidR="00C64050">
        <w:rPr>
          <w:color w:val="000000" w:themeColor="text1"/>
        </w:rPr>
        <w:t xml:space="preserve"> </w:t>
      </w:r>
      <w:r w:rsidRPr="009C4E26">
        <w:rPr>
          <w:color w:val="000000" w:themeColor="text1"/>
        </w:rPr>
        <w:t>amount</w:t>
      </w:r>
      <w:r w:rsidR="00C64050">
        <w:rPr>
          <w:color w:val="000000" w:themeColor="text1"/>
        </w:rPr>
        <w:t xml:space="preserve"> </w:t>
      </w:r>
      <w:r w:rsidRPr="009C4E26">
        <w:rPr>
          <w:color w:val="000000" w:themeColor="text1"/>
        </w:rPr>
        <w:t>is</w:t>
      </w:r>
      <w:r w:rsidR="00C64050">
        <w:rPr>
          <w:color w:val="000000" w:themeColor="text1"/>
        </w:rPr>
        <w:t xml:space="preserve"> </w:t>
      </w:r>
      <w:r w:rsidRPr="009C4E26">
        <w:rPr>
          <w:color w:val="000000" w:themeColor="text1"/>
        </w:rPr>
        <w:t>$12</w:t>
      </w:r>
      <w:r w:rsidR="00C64050">
        <w:rPr>
          <w:color w:val="000000" w:themeColor="text1"/>
        </w:rPr>
        <w:t xml:space="preserve"> </w:t>
      </w:r>
      <w:r w:rsidRPr="009C4E26">
        <w:rPr>
          <w:color w:val="000000" w:themeColor="text1"/>
        </w:rPr>
        <w:t>million.</w:t>
      </w:r>
      <w:r w:rsidR="00C64050">
        <w:rPr>
          <w:color w:val="000000" w:themeColor="text1"/>
        </w:rPr>
        <w:t xml:space="preserve"> </w:t>
      </w:r>
      <w:r w:rsidRPr="009C4E26">
        <w:rPr>
          <w:color w:val="000000" w:themeColor="text1"/>
        </w:rPr>
        <w:t>B</w:t>
      </w:r>
      <w:r w:rsidR="00C64050">
        <w:rPr>
          <w:color w:val="000000" w:themeColor="text1"/>
        </w:rPr>
        <w:t xml:space="preserve"> </w:t>
      </w:r>
      <w:r w:rsidRPr="009C4E26">
        <w:rPr>
          <w:color w:val="000000" w:themeColor="text1"/>
        </w:rPr>
        <w:t>is</w:t>
      </w:r>
      <w:r w:rsidR="00C64050">
        <w:rPr>
          <w:color w:val="000000" w:themeColor="text1"/>
        </w:rPr>
        <w:t xml:space="preserve"> </w:t>
      </w:r>
      <w:r w:rsidRPr="009C4E26">
        <w:rPr>
          <w:color w:val="000000" w:themeColor="text1"/>
        </w:rPr>
        <w:t>considered</w:t>
      </w:r>
      <w:r w:rsidR="00C64050">
        <w:rPr>
          <w:color w:val="000000" w:themeColor="text1"/>
        </w:rPr>
        <w:t xml:space="preserve"> </w:t>
      </w:r>
      <w:r w:rsidRPr="009C4E26">
        <w:rPr>
          <w:color w:val="000000" w:themeColor="text1"/>
        </w:rPr>
        <w:t>to</w:t>
      </w:r>
      <w:r w:rsidR="00C64050">
        <w:rPr>
          <w:color w:val="000000" w:themeColor="text1"/>
        </w:rPr>
        <w:t xml:space="preserve"> </w:t>
      </w:r>
      <w:r w:rsidRPr="009C4E26">
        <w:rPr>
          <w:color w:val="000000" w:themeColor="text1"/>
        </w:rPr>
        <w:t>apply</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DSUE</w:t>
      </w:r>
      <w:r w:rsidR="00C64050">
        <w:rPr>
          <w:color w:val="000000" w:themeColor="text1"/>
        </w:rPr>
        <w:t xml:space="preserve"> </w:t>
      </w:r>
      <w:r w:rsidRPr="009C4E26">
        <w:rPr>
          <w:color w:val="000000" w:themeColor="text1"/>
        </w:rPr>
        <w:t>amount</w:t>
      </w:r>
      <w:r w:rsidR="00C64050">
        <w:rPr>
          <w:color w:val="000000" w:themeColor="text1"/>
        </w:rPr>
        <w:t xml:space="preserve"> </w:t>
      </w:r>
      <w:r w:rsidRPr="009C4E26">
        <w:rPr>
          <w:color w:val="000000" w:themeColor="text1"/>
        </w:rPr>
        <w:t>to</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gifts</w:t>
      </w:r>
      <w:r w:rsidR="00C64050">
        <w:rPr>
          <w:color w:val="000000" w:themeColor="text1"/>
        </w:rPr>
        <w:t xml:space="preserve"> </w:t>
      </w:r>
      <w:r w:rsidRPr="009C4E26">
        <w:rPr>
          <w:color w:val="000000" w:themeColor="text1"/>
        </w:rPr>
        <w:t>before</w:t>
      </w:r>
      <w:r w:rsidR="00C64050">
        <w:rPr>
          <w:color w:val="000000" w:themeColor="text1"/>
        </w:rPr>
        <w:t xml:space="preserve"> </w:t>
      </w:r>
      <w:r w:rsidRPr="009C4E26">
        <w:rPr>
          <w:color w:val="000000" w:themeColor="text1"/>
        </w:rPr>
        <w:t>applying</w:t>
      </w:r>
      <w:r w:rsidR="00C64050">
        <w:rPr>
          <w:color w:val="000000" w:themeColor="text1"/>
        </w:rPr>
        <w:t xml:space="preserve"> </w:t>
      </w:r>
      <w:r w:rsidRPr="009C4E26">
        <w:rPr>
          <w:color w:val="000000" w:themeColor="text1"/>
        </w:rPr>
        <w:t>B's</w:t>
      </w:r>
      <w:r w:rsidR="00C64050">
        <w:rPr>
          <w:color w:val="000000" w:themeColor="text1"/>
        </w:rPr>
        <w:t xml:space="preserve"> </w:t>
      </w:r>
      <w:r w:rsidRPr="009C4E26">
        <w:rPr>
          <w:color w:val="000000" w:themeColor="text1"/>
        </w:rPr>
        <w:t>basic</w:t>
      </w:r>
      <w:r w:rsidR="00C64050">
        <w:rPr>
          <w:color w:val="000000" w:themeColor="text1"/>
        </w:rPr>
        <w:t xml:space="preserve"> </w:t>
      </w:r>
      <w:r w:rsidRPr="009C4E26">
        <w:rPr>
          <w:color w:val="000000" w:themeColor="text1"/>
        </w:rPr>
        <w:t>exclusion</w:t>
      </w:r>
      <w:r w:rsidR="00C64050">
        <w:rPr>
          <w:color w:val="000000" w:themeColor="text1"/>
        </w:rPr>
        <w:t xml:space="preserve"> </w:t>
      </w:r>
      <w:r w:rsidRPr="009C4E26">
        <w:rPr>
          <w:color w:val="000000" w:themeColor="text1"/>
        </w:rPr>
        <w:t>amount.</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amount</w:t>
      </w:r>
      <w:r w:rsidR="00C64050">
        <w:rPr>
          <w:color w:val="000000" w:themeColor="text1"/>
        </w:rPr>
        <w:t xml:space="preserve"> </w:t>
      </w:r>
      <w:r w:rsidRPr="009C4E26">
        <w:rPr>
          <w:color w:val="000000" w:themeColor="text1"/>
        </w:rPr>
        <w:t>allowable</w:t>
      </w:r>
      <w:r w:rsidR="00C64050">
        <w:rPr>
          <w:color w:val="000000" w:themeColor="text1"/>
        </w:rPr>
        <w:t xml:space="preserve"> </w:t>
      </w:r>
      <w:r w:rsidRPr="009C4E26">
        <w:rPr>
          <w:color w:val="000000" w:themeColor="text1"/>
        </w:rPr>
        <w:t>as</w:t>
      </w:r>
      <w:r w:rsidR="00C64050">
        <w:rPr>
          <w:color w:val="000000" w:themeColor="text1"/>
        </w:rPr>
        <w:t xml:space="preserve"> </w:t>
      </w:r>
      <w:r w:rsidRPr="009C4E26">
        <w:rPr>
          <w:color w:val="000000" w:themeColor="text1"/>
        </w:rPr>
        <w:t>a</w:t>
      </w:r>
      <w:r w:rsidR="00C64050">
        <w:rPr>
          <w:color w:val="000000" w:themeColor="text1"/>
        </w:rPr>
        <w:t xml:space="preserve"> </w:t>
      </w:r>
      <w:r w:rsidRPr="009C4E26">
        <w:rPr>
          <w:color w:val="000000" w:themeColor="text1"/>
        </w:rPr>
        <w:t>credit</w:t>
      </w:r>
      <w:r w:rsidR="00C64050">
        <w:rPr>
          <w:color w:val="000000" w:themeColor="text1"/>
        </w:rPr>
        <w:t xml:space="preserve"> </w:t>
      </w:r>
      <w:r w:rsidRPr="009C4E26">
        <w:rPr>
          <w:color w:val="000000" w:themeColor="text1"/>
        </w:rPr>
        <w:t>in</w:t>
      </w:r>
      <w:r w:rsidR="00C64050">
        <w:rPr>
          <w:color w:val="000000" w:themeColor="text1"/>
        </w:rPr>
        <w:t xml:space="preserve"> </w:t>
      </w:r>
      <w:r w:rsidRPr="009C4E26">
        <w:rPr>
          <w:color w:val="000000" w:themeColor="text1"/>
        </w:rPr>
        <w:t>computing</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gift</w:t>
      </w:r>
      <w:r w:rsidR="00C64050">
        <w:rPr>
          <w:color w:val="000000" w:themeColor="text1"/>
        </w:rPr>
        <w:t xml:space="preserve"> </w:t>
      </w:r>
      <w:r w:rsidRPr="009C4E26">
        <w:rPr>
          <w:color w:val="000000" w:themeColor="text1"/>
        </w:rPr>
        <w:t>tax</w:t>
      </w:r>
      <w:r w:rsidR="00C64050">
        <w:rPr>
          <w:color w:val="000000" w:themeColor="text1"/>
        </w:rPr>
        <w:t xml:space="preserve"> </w:t>
      </w:r>
      <w:r w:rsidRPr="009C4E26">
        <w:rPr>
          <w:color w:val="000000" w:themeColor="text1"/>
        </w:rPr>
        <w:t>payable</w:t>
      </w:r>
      <w:r w:rsidR="00C64050">
        <w:rPr>
          <w:color w:val="000000" w:themeColor="text1"/>
        </w:rPr>
        <w:t xml:space="preserve"> </w:t>
      </w:r>
      <w:r w:rsidRPr="009C4E26">
        <w:rPr>
          <w:color w:val="000000" w:themeColor="text1"/>
        </w:rPr>
        <w:t>on</w:t>
      </w:r>
      <w:r w:rsidR="00C64050">
        <w:rPr>
          <w:color w:val="000000" w:themeColor="text1"/>
        </w:rPr>
        <w:t xml:space="preserve"> </w:t>
      </w:r>
      <w:r w:rsidRPr="009C4E26">
        <w:rPr>
          <w:color w:val="000000" w:themeColor="text1"/>
        </w:rPr>
        <w:t>B's</w:t>
      </w:r>
      <w:r w:rsidR="00C64050">
        <w:rPr>
          <w:color w:val="000000" w:themeColor="text1"/>
        </w:rPr>
        <w:t xml:space="preserve"> </w:t>
      </w:r>
      <w:r w:rsidRPr="009C4E26">
        <w:rPr>
          <w:color w:val="000000" w:themeColor="text1"/>
        </w:rPr>
        <w:t>post-1976</w:t>
      </w:r>
      <w:r w:rsidR="00C64050">
        <w:rPr>
          <w:color w:val="000000" w:themeColor="text1"/>
        </w:rPr>
        <w:t xml:space="preserve"> </w:t>
      </w:r>
      <w:r w:rsidRPr="009C4E26">
        <w:rPr>
          <w:color w:val="000000" w:themeColor="text1"/>
        </w:rPr>
        <w:t>gifts</w:t>
      </w:r>
      <w:r w:rsidR="00C64050">
        <w:rPr>
          <w:color w:val="000000" w:themeColor="text1"/>
        </w:rPr>
        <w:t xml:space="preserve"> </w:t>
      </w:r>
      <w:r w:rsidRPr="009C4E26">
        <w:rPr>
          <w:color w:val="000000" w:themeColor="text1"/>
        </w:rPr>
        <w:t>for</w:t>
      </w:r>
      <w:r w:rsidR="00C64050">
        <w:rPr>
          <w:color w:val="000000" w:themeColor="text1"/>
        </w:rPr>
        <w:t xml:space="preserve"> </w:t>
      </w:r>
      <w:r w:rsidRPr="009C4E26">
        <w:rPr>
          <w:color w:val="000000" w:themeColor="text1"/>
        </w:rPr>
        <w:t>that</w:t>
      </w:r>
      <w:r w:rsidR="00C64050">
        <w:rPr>
          <w:color w:val="000000" w:themeColor="text1"/>
        </w:rPr>
        <w:t xml:space="preserve"> </w:t>
      </w:r>
      <w:r w:rsidRPr="009C4E26">
        <w:rPr>
          <w:color w:val="000000" w:themeColor="text1"/>
        </w:rPr>
        <w:t>year</w:t>
      </w:r>
      <w:r w:rsidR="00C64050">
        <w:rPr>
          <w:color w:val="000000" w:themeColor="text1"/>
        </w:rPr>
        <w:t xml:space="preserve"> </w:t>
      </w:r>
      <w:r w:rsidRPr="009C4E26">
        <w:rPr>
          <w:color w:val="000000" w:themeColor="text1"/>
        </w:rPr>
        <w:t>($5,545,800)</w:t>
      </w:r>
      <w:r w:rsidR="00C64050">
        <w:rPr>
          <w:color w:val="000000" w:themeColor="text1"/>
        </w:rPr>
        <w:t xml:space="preserve"> </w:t>
      </w:r>
      <w:r w:rsidRPr="009C4E26">
        <w:rPr>
          <w:color w:val="000000" w:themeColor="text1"/>
        </w:rPr>
        <w:t>is</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tax</w:t>
      </w:r>
      <w:r w:rsidR="00C64050">
        <w:rPr>
          <w:color w:val="000000" w:themeColor="text1"/>
        </w:rPr>
        <w:t xml:space="preserve"> </w:t>
      </w:r>
      <w:r w:rsidRPr="009C4E26">
        <w:rPr>
          <w:color w:val="000000" w:themeColor="text1"/>
        </w:rPr>
        <w:t>on</w:t>
      </w:r>
      <w:r w:rsidR="00C64050">
        <w:rPr>
          <w:color w:val="000000" w:themeColor="text1"/>
        </w:rPr>
        <w:t xml:space="preserve"> </w:t>
      </w:r>
      <w:r w:rsidRPr="009C4E26">
        <w:rPr>
          <w:color w:val="000000" w:themeColor="text1"/>
        </w:rPr>
        <w:t>$14</w:t>
      </w:r>
      <w:r w:rsidR="00C64050">
        <w:rPr>
          <w:color w:val="000000" w:themeColor="text1"/>
        </w:rPr>
        <w:t xml:space="preserve"> </w:t>
      </w:r>
      <w:r w:rsidRPr="009C4E26">
        <w:rPr>
          <w:color w:val="000000" w:themeColor="text1"/>
        </w:rPr>
        <w:t>million,</w:t>
      </w:r>
      <w:r w:rsidR="00C64050">
        <w:rPr>
          <w:color w:val="000000" w:themeColor="text1"/>
        </w:rPr>
        <w:t xml:space="preserve"> </w:t>
      </w:r>
      <w:r w:rsidRPr="009C4E26">
        <w:rPr>
          <w:color w:val="000000" w:themeColor="text1"/>
        </w:rPr>
        <w:t>consisting</w:t>
      </w:r>
      <w:r w:rsidR="00C64050">
        <w:rPr>
          <w:color w:val="000000" w:themeColor="text1"/>
        </w:rPr>
        <w:t xml:space="preserve"> </w:t>
      </w:r>
      <w:r w:rsidRPr="009C4E26">
        <w:rPr>
          <w:color w:val="000000" w:themeColor="text1"/>
        </w:rPr>
        <w:t>of</w:t>
      </w:r>
      <w:r w:rsidR="00C64050">
        <w:rPr>
          <w:color w:val="000000" w:themeColor="text1"/>
        </w:rPr>
        <w:t xml:space="preserve"> </w:t>
      </w:r>
      <w:r w:rsidRPr="009C4E26">
        <w:rPr>
          <w:color w:val="000000" w:themeColor="text1"/>
        </w:rPr>
        <w:t>$11.4</w:t>
      </w:r>
      <w:r w:rsidR="00C64050">
        <w:rPr>
          <w:color w:val="000000" w:themeColor="text1"/>
        </w:rPr>
        <w:t xml:space="preserve"> </w:t>
      </w:r>
      <w:r w:rsidRPr="009C4E26">
        <w:rPr>
          <w:color w:val="000000" w:themeColor="text1"/>
        </w:rPr>
        <w:t>million</w:t>
      </w:r>
      <w:r w:rsidR="00C64050">
        <w:rPr>
          <w:color w:val="000000" w:themeColor="text1"/>
        </w:rPr>
        <w:t xml:space="preserve"> </w:t>
      </w:r>
      <w:r w:rsidRPr="009C4E26">
        <w:rPr>
          <w:color w:val="000000" w:themeColor="text1"/>
        </w:rPr>
        <w:t>in</w:t>
      </w:r>
      <w:r w:rsidR="00C64050">
        <w:rPr>
          <w:color w:val="000000" w:themeColor="text1"/>
        </w:rPr>
        <w:t xml:space="preserve"> </w:t>
      </w:r>
      <w:r w:rsidRPr="009C4E26">
        <w:rPr>
          <w:color w:val="000000" w:themeColor="text1"/>
        </w:rPr>
        <w:t>DSUE</w:t>
      </w:r>
      <w:r w:rsidR="00C64050">
        <w:rPr>
          <w:color w:val="000000" w:themeColor="text1"/>
        </w:rPr>
        <w:t xml:space="preserve"> </w:t>
      </w:r>
      <w:r w:rsidRPr="009C4E26">
        <w:rPr>
          <w:color w:val="000000" w:themeColor="text1"/>
        </w:rPr>
        <w:t>amount</w:t>
      </w:r>
      <w:r w:rsidR="00C64050">
        <w:rPr>
          <w:color w:val="000000" w:themeColor="text1"/>
        </w:rPr>
        <w:t xml:space="preserve"> </w:t>
      </w:r>
      <w:r w:rsidRPr="009C4E26">
        <w:rPr>
          <w:color w:val="000000" w:themeColor="text1"/>
        </w:rPr>
        <w:t>and</w:t>
      </w:r>
      <w:r w:rsidR="00C64050">
        <w:rPr>
          <w:color w:val="000000" w:themeColor="text1"/>
        </w:rPr>
        <w:t xml:space="preserve"> </w:t>
      </w:r>
      <w:r w:rsidRPr="009C4E26">
        <w:rPr>
          <w:color w:val="000000" w:themeColor="text1"/>
        </w:rPr>
        <w:t>$2.6</w:t>
      </w:r>
      <w:r w:rsidR="00C64050">
        <w:rPr>
          <w:color w:val="000000" w:themeColor="text1"/>
        </w:rPr>
        <w:t xml:space="preserve"> </w:t>
      </w:r>
      <w:r w:rsidRPr="009C4E26">
        <w:rPr>
          <w:color w:val="000000" w:themeColor="text1"/>
        </w:rPr>
        <w:t>million</w:t>
      </w:r>
      <w:r w:rsidR="00C64050">
        <w:rPr>
          <w:color w:val="000000" w:themeColor="text1"/>
        </w:rPr>
        <w:t xml:space="preserve"> </w:t>
      </w:r>
      <w:r w:rsidRPr="009C4E26">
        <w:rPr>
          <w:color w:val="000000" w:themeColor="text1"/>
        </w:rPr>
        <w:t>in</w:t>
      </w:r>
      <w:r w:rsidR="00C64050">
        <w:rPr>
          <w:color w:val="000000" w:themeColor="text1"/>
        </w:rPr>
        <w:t xml:space="preserve"> </w:t>
      </w:r>
      <w:r w:rsidRPr="009C4E26">
        <w:rPr>
          <w:color w:val="000000" w:themeColor="text1"/>
        </w:rPr>
        <w:t>basic</w:t>
      </w:r>
      <w:r w:rsidR="00C64050">
        <w:rPr>
          <w:color w:val="000000" w:themeColor="text1"/>
        </w:rPr>
        <w:t xml:space="preserve"> </w:t>
      </w:r>
      <w:r w:rsidRPr="009C4E26">
        <w:rPr>
          <w:color w:val="000000" w:themeColor="text1"/>
        </w:rPr>
        <w:t>exclusion</w:t>
      </w:r>
      <w:r w:rsidR="00C64050">
        <w:rPr>
          <w:color w:val="000000" w:themeColor="text1"/>
        </w:rPr>
        <w:t xml:space="preserve"> </w:t>
      </w:r>
      <w:r w:rsidRPr="009C4E26">
        <w:rPr>
          <w:color w:val="000000" w:themeColor="text1"/>
        </w:rPr>
        <w:t>amount.</w:t>
      </w:r>
      <w:r w:rsidR="00C64050">
        <w:rPr>
          <w:color w:val="000000" w:themeColor="text1"/>
        </w:rPr>
        <w:t xml:space="preserve"> </w:t>
      </w:r>
      <w:r w:rsidRPr="009C4E26">
        <w:rPr>
          <w:color w:val="000000" w:themeColor="text1"/>
        </w:rPr>
        <w:t>This</w:t>
      </w:r>
      <w:r w:rsidR="00C64050">
        <w:rPr>
          <w:color w:val="000000" w:themeColor="text1"/>
        </w:rPr>
        <w:t xml:space="preserve"> </w:t>
      </w:r>
      <w:r w:rsidRPr="009C4E26">
        <w:rPr>
          <w:color w:val="000000" w:themeColor="text1"/>
        </w:rPr>
        <w:t>basic</w:t>
      </w:r>
      <w:r w:rsidR="00C64050">
        <w:rPr>
          <w:color w:val="000000" w:themeColor="text1"/>
        </w:rPr>
        <w:t xml:space="preserve"> </w:t>
      </w:r>
      <w:r w:rsidRPr="009C4E26">
        <w:rPr>
          <w:color w:val="000000" w:themeColor="text1"/>
        </w:rPr>
        <w:t>exclusion</w:t>
      </w:r>
      <w:r w:rsidR="00C64050">
        <w:rPr>
          <w:color w:val="000000" w:themeColor="text1"/>
        </w:rPr>
        <w:t xml:space="preserve"> </w:t>
      </w:r>
      <w:r w:rsidRPr="009C4E26">
        <w:rPr>
          <w:color w:val="000000" w:themeColor="text1"/>
        </w:rPr>
        <w:t>amount</w:t>
      </w:r>
      <w:r w:rsidR="00C64050">
        <w:rPr>
          <w:color w:val="000000" w:themeColor="text1"/>
        </w:rPr>
        <w:t xml:space="preserve"> </w:t>
      </w:r>
      <w:r w:rsidRPr="009C4E26">
        <w:rPr>
          <w:color w:val="000000" w:themeColor="text1"/>
        </w:rPr>
        <w:t>is</w:t>
      </w:r>
      <w:r w:rsidR="00C64050">
        <w:rPr>
          <w:color w:val="000000" w:themeColor="text1"/>
        </w:rPr>
        <w:t xml:space="preserve"> </w:t>
      </w:r>
      <w:r w:rsidRPr="009C4E26">
        <w:rPr>
          <w:color w:val="000000" w:themeColor="text1"/>
        </w:rPr>
        <w:t>18.6</w:t>
      </w:r>
      <w:r w:rsidR="00C64050">
        <w:rPr>
          <w:color w:val="000000" w:themeColor="text1"/>
        </w:rPr>
        <w:t xml:space="preserve"> </w:t>
      </w:r>
      <w:r w:rsidRPr="009C4E26">
        <w:rPr>
          <w:color w:val="000000" w:themeColor="text1"/>
        </w:rPr>
        <w:t>percent</w:t>
      </w:r>
      <w:r w:rsidR="00C64050">
        <w:rPr>
          <w:color w:val="000000" w:themeColor="text1"/>
        </w:rPr>
        <w:t xml:space="preserve"> </w:t>
      </w:r>
      <w:r w:rsidRPr="009C4E26">
        <w:rPr>
          <w:color w:val="000000" w:themeColor="text1"/>
        </w:rPr>
        <w:t>of</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$14</w:t>
      </w:r>
      <w:r w:rsidR="00C64050">
        <w:rPr>
          <w:color w:val="000000" w:themeColor="text1"/>
        </w:rPr>
        <w:t xml:space="preserve"> </w:t>
      </w:r>
      <w:r w:rsidRPr="009C4E26">
        <w:rPr>
          <w:color w:val="000000" w:themeColor="text1"/>
        </w:rPr>
        <w:t>million</w:t>
      </w:r>
      <w:r w:rsidR="00C64050">
        <w:rPr>
          <w:color w:val="000000" w:themeColor="text1"/>
        </w:rPr>
        <w:t xml:space="preserve"> </w:t>
      </w:r>
      <w:r w:rsidRPr="009C4E26">
        <w:rPr>
          <w:color w:val="000000" w:themeColor="text1"/>
        </w:rPr>
        <w:t>exclusion</w:t>
      </w:r>
      <w:r w:rsidR="00C64050">
        <w:rPr>
          <w:color w:val="000000" w:themeColor="text1"/>
        </w:rPr>
        <w:t xml:space="preserve"> </w:t>
      </w:r>
      <w:r w:rsidRPr="009C4E26">
        <w:rPr>
          <w:color w:val="000000" w:themeColor="text1"/>
        </w:rPr>
        <w:t>amount</w:t>
      </w:r>
      <w:r w:rsidR="00C64050">
        <w:rPr>
          <w:color w:val="000000" w:themeColor="text1"/>
        </w:rPr>
        <w:t xml:space="preserve"> </w:t>
      </w:r>
      <w:r w:rsidRPr="009C4E26">
        <w:rPr>
          <w:color w:val="000000" w:themeColor="text1"/>
        </w:rPr>
        <w:t>allocable</w:t>
      </w:r>
      <w:r w:rsidR="00C64050">
        <w:rPr>
          <w:color w:val="000000" w:themeColor="text1"/>
        </w:rPr>
        <w:t xml:space="preserve"> </w:t>
      </w:r>
      <w:r w:rsidRPr="009C4E26">
        <w:rPr>
          <w:color w:val="000000" w:themeColor="text1"/>
        </w:rPr>
        <w:t>to</w:t>
      </w:r>
      <w:r w:rsidR="00C64050">
        <w:rPr>
          <w:color w:val="000000" w:themeColor="text1"/>
        </w:rPr>
        <w:t xml:space="preserve"> </w:t>
      </w:r>
      <w:r w:rsidRPr="009C4E26">
        <w:rPr>
          <w:color w:val="000000" w:themeColor="text1"/>
        </w:rPr>
        <w:t>those</w:t>
      </w:r>
      <w:r w:rsidR="00C64050">
        <w:rPr>
          <w:color w:val="000000" w:themeColor="text1"/>
        </w:rPr>
        <w:t xml:space="preserve"> </w:t>
      </w:r>
      <w:r w:rsidRPr="009C4E26">
        <w:rPr>
          <w:color w:val="000000" w:themeColor="text1"/>
        </w:rPr>
        <w:t>gifts,</w:t>
      </w:r>
      <w:r w:rsidR="00C64050">
        <w:rPr>
          <w:color w:val="000000" w:themeColor="text1"/>
        </w:rPr>
        <w:t xml:space="preserve"> </w:t>
      </w:r>
      <w:r w:rsidRPr="009C4E26">
        <w:rPr>
          <w:color w:val="000000" w:themeColor="text1"/>
        </w:rPr>
        <w:t>with</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result</w:t>
      </w:r>
      <w:r w:rsidR="00C64050">
        <w:rPr>
          <w:color w:val="000000" w:themeColor="text1"/>
        </w:rPr>
        <w:t xml:space="preserve"> </w:t>
      </w:r>
      <w:r w:rsidRPr="009C4E26">
        <w:rPr>
          <w:color w:val="000000" w:themeColor="text1"/>
        </w:rPr>
        <w:t>that</w:t>
      </w:r>
      <w:r w:rsidR="00C64050">
        <w:rPr>
          <w:color w:val="000000" w:themeColor="text1"/>
        </w:rPr>
        <w:t xml:space="preserve"> </w:t>
      </w:r>
      <w:r w:rsidRPr="009C4E26">
        <w:rPr>
          <w:color w:val="000000" w:themeColor="text1"/>
        </w:rPr>
        <w:t>$1,031,519</w:t>
      </w:r>
      <w:r w:rsidR="00C64050">
        <w:rPr>
          <w:color w:val="000000" w:themeColor="text1"/>
        </w:rPr>
        <w:t xml:space="preserve"> </w:t>
      </w:r>
      <w:r w:rsidRPr="009C4E26">
        <w:rPr>
          <w:color w:val="000000" w:themeColor="text1"/>
        </w:rPr>
        <w:t>(0.186</w:t>
      </w:r>
      <w:r w:rsidR="00C64050">
        <w:rPr>
          <w:color w:val="000000" w:themeColor="text1"/>
        </w:rPr>
        <w:t xml:space="preserve"> </w:t>
      </w:r>
      <w:r w:rsidRPr="009C4E26">
        <w:rPr>
          <w:color w:val="000000" w:themeColor="text1"/>
        </w:rPr>
        <w:t>x</w:t>
      </w:r>
      <w:r w:rsidR="00C64050">
        <w:rPr>
          <w:color w:val="000000" w:themeColor="text1"/>
        </w:rPr>
        <w:t xml:space="preserve"> </w:t>
      </w:r>
      <w:r w:rsidRPr="009C4E26">
        <w:rPr>
          <w:color w:val="000000" w:themeColor="text1"/>
        </w:rPr>
        <w:t>$5,545,800)</w:t>
      </w:r>
      <w:r w:rsidR="00C64050">
        <w:rPr>
          <w:color w:val="000000" w:themeColor="text1"/>
        </w:rPr>
        <w:t xml:space="preserve"> </w:t>
      </w:r>
      <w:r w:rsidRPr="009C4E26">
        <w:rPr>
          <w:color w:val="000000" w:themeColor="text1"/>
        </w:rPr>
        <w:t>of</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amount</w:t>
      </w:r>
      <w:r w:rsidR="00C64050">
        <w:rPr>
          <w:color w:val="000000" w:themeColor="text1"/>
        </w:rPr>
        <w:t xml:space="preserve"> </w:t>
      </w:r>
      <w:r w:rsidRPr="009C4E26">
        <w:rPr>
          <w:color w:val="000000" w:themeColor="text1"/>
        </w:rPr>
        <w:t>allowable</w:t>
      </w:r>
      <w:r w:rsidR="00C64050">
        <w:rPr>
          <w:color w:val="000000" w:themeColor="text1"/>
        </w:rPr>
        <w:t xml:space="preserve"> </w:t>
      </w:r>
      <w:r w:rsidRPr="009C4E26">
        <w:rPr>
          <w:color w:val="000000" w:themeColor="text1"/>
        </w:rPr>
        <w:t>as</w:t>
      </w:r>
      <w:r w:rsidR="00C64050">
        <w:rPr>
          <w:color w:val="000000" w:themeColor="text1"/>
        </w:rPr>
        <w:t xml:space="preserve"> </w:t>
      </w:r>
      <w:r w:rsidRPr="009C4E26">
        <w:rPr>
          <w:color w:val="000000" w:themeColor="text1"/>
        </w:rPr>
        <w:t>a</w:t>
      </w:r>
      <w:r w:rsidR="00C64050">
        <w:rPr>
          <w:color w:val="000000" w:themeColor="text1"/>
        </w:rPr>
        <w:t xml:space="preserve"> </w:t>
      </w:r>
      <w:r w:rsidRPr="009C4E26">
        <w:rPr>
          <w:color w:val="000000" w:themeColor="text1"/>
        </w:rPr>
        <w:t>credit</w:t>
      </w:r>
      <w:r w:rsidR="00C64050">
        <w:rPr>
          <w:color w:val="000000" w:themeColor="text1"/>
        </w:rPr>
        <w:t xml:space="preserve"> </w:t>
      </w:r>
      <w:r w:rsidRPr="009C4E26">
        <w:rPr>
          <w:color w:val="000000" w:themeColor="text1"/>
        </w:rPr>
        <w:t>for</w:t>
      </w:r>
      <w:r w:rsidR="00C64050">
        <w:rPr>
          <w:color w:val="000000" w:themeColor="text1"/>
        </w:rPr>
        <w:t xml:space="preserve"> </w:t>
      </w:r>
      <w:r w:rsidRPr="009C4E26">
        <w:rPr>
          <w:color w:val="000000" w:themeColor="text1"/>
        </w:rPr>
        <w:t>that</w:t>
      </w:r>
      <w:r w:rsidR="00C64050">
        <w:rPr>
          <w:color w:val="000000" w:themeColor="text1"/>
        </w:rPr>
        <w:t xml:space="preserve"> </w:t>
      </w:r>
      <w:r w:rsidRPr="009C4E26">
        <w:rPr>
          <w:color w:val="000000" w:themeColor="text1"/>
        </w:rPr>
        <w:t>year</w:t>
      </w:r>
      <w:r w:rsidR="00C64050">
        <w:rPr>
          <w:color w:val="000000" w:themeColor="text1"/>
        </w:rPr>
        <w:t xml:space="preserve"> </w:t>
      </w:r>
      <w:r w:rsidRPr="009C4E26">
        <w:rPr>
          <w:color w:val="000000" w:themeColor="text1"/>
        </w:rPr>
        <w:t>in</w:t>
      </w:r>
      <w:r w:rsidR="00C64050">
        <w:rPr>
          <w:color w:val="000000" w:themeColor="text1"/>
        </w:rPr>
        <w:t xml:space="preserve"> </w:t>
      </w:r>
      <w:r w:rsidRPr="009C4E26">
        <w:rPr>
          <w:color w:val="000000" w:themeColor="text1"/>
        </w:rPr>
        <w:t>computing</w:t>
      </w:r>
      <w:r w:rsidR="00C64050">
        <w:rPr>
          <w:color w:val="000000" w:themeColor="text1"/>
        </w:rPr>
        <w:t xml:space="preserve"> </w:t>
      </w:r>
      <w:r w:rsidRPr="009C4E26">
        <w:rPr>
          <w:color w:val="000000" w:themeColor="text1"/>
        </w:rPr>
        <w:t>gift</w:t>
      </w:r>
      <w:r w:rsidR="00C64050">
        <w:rPr>
          <w:color w:val="000000" w:themeColor="text1"/>
        </w:rPr>
        <w:t xml:space="preserve"> </w:t>
      </w:r>
      <w:r w:rsidRPr="009C4E26">
        <w:rPr>
          <w:color w:val="000000" w:themeColor="text1"/>
        </w:rPr>
        <w:t>tax</w:t>
      </w:r>
      <w:r w:rsidR="00C64050">
        <w:rPr>
          <w:color w:val="000000" w:themeColor="text1"/>
        </w:rPr>
        <w:t xml:space="preserve"> </w:t>
      </w:r>
      <w:r w:rsidRPr="009C4E26">
        <w:rPr>
          <w:color w:val="000000" w:themeColor="text1"/>
        </w:rPr>
        <w:t>payable</w:t>
      </w:r>
      <w:r w:rsidR="00C64050">
        <w:rPr>
          <w:color w:val="000000" w:themeColor="text1"/>
        </w:rPr>
        <w:t xml:space="preserve"> </w:t>
      </w:r>
      <w:r w:rsidRPr="009C4E26">
        <w:rPr>
          <w:color w:val="000000" w:themeColor="text1"/>
        </w:rPr>
        <w:t>is</w:t>
      </w:r>
      <w:r w:rsidR="00C64050">
        <w:rPr>
          <w:color w:val="000000" w:themeColor="text1"/>
        </w:rPr>
        <w:t xml:space="preserve"> </w:t>
      </w:r>
      <w:r w:rsidRPr="009C4E26">
        <w:rPr>
          <w:color w:val="000000" w:themeColor="text1"/>
        </w:rPr>
        <w:t>based</w:t>
      </w:r>
      <w:r w:rsidR="00C64050">
        <w:rPr>
          <w:color w:val="000000" w:themeColor="text1"/>
        </w:rPr>
        <w:t xml:space="preserve"> </w:t>
      </w:r>
      <w:r w:rsidRPr="009C4E26">
        <w:rPr>
          <w:color w:val="000000" w:themeColor="text1"/>
        </w:rPr>
        <w:t>solely</w:t>
      </w:r>
      <w:r w:rsidR="00C64050">
        <w:rPr>
          <w:color w:val="000000" w:themeColor="text1"/>
        </w:rPr>
        <w:t xml:space="preserve"> </w:t>
      </w:r>
      <w:r w:rsidRPr="009C4E26">
        <w:rPr>
          <w:color w:val="000000" w:themeColor="text1"/>
        </w:rPr>
        <w:t>on</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basic</w:t>
      </w:r>
      <w:r w:rsidR="00C64050">
        <w:rPr>
          <w:color w:val="000000" w:themeColor="text1"/>
        </w:rPr>
        <w:t xml:space="preserve"> </w:t>
      </w:r>
      <w:r w:rsidRPr="009C4E26">
        <w:rPr>
          <w:color w:val="000000" w:themeColor="text1"/>
        </w:rPr>
        <w:t>exclusion</w:t>
      </w:r>
      <w:r w:rsidR="00C64050">
        <w:rPr>
          <w:color w:val="000000" w:themeColor="text1"/>
        </w:rPr>
        <w:t xml:space="preserve"> </w:t>
      </w:r>
      <w:r w:rsidRPr="009C4E26">
        <w:rPr>
          <w:color w:val="000000" w:themeColor="text1"/>
        </w:rPr>
        <w:t>amount.</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amount</w:t>
      </w:r>
      <w:r w:rsidR="00C64050">
        <w:rPr>
          <w:color w:val="000000" w:themeColor="text1"/>
        </w:rPr>
        <w:t xml:space="preserve"> </w:t>
      </w:r>
      <w:r w:rsidRPr="009C4E26">
        <w:rPr>
          <w:color w:val="000000" w:themeColor="text1"/>
        </w:rPr>
        <w:t>allowable</w:t>
      </w:r>
      <w:r w:rsidR="00C64050">
        <w:rPr>
          <w:color w:val="000000" w:themeColor="text1"/>
        </w:rPr>
        <w:t xml:space="preserve"> </w:t>
      </w:r>
      <w:r w:rsidRPr="009C4E26">
        <w:rPr>
          <w:color w:val="000000" w:themeColor="text1"/>
        </w:rPr>
        <w:t>as</w:t>
      </w:r>
      <w:r w:rsidR="00C64050">
        <w:rPr>
          <w:color w:val="000000" w:themeColor="text1"/>
        </w:rPr>
        <w:t xml:space="preserve"> </w:t>
      </w:r>
      <w:r w:rsidRPr="009C4E26">
        <w:rPr>
          <w:color w:val="000000" w:themeColor="text1"/>
        </w:rPr>
        <w:t>a</w:t>
      </w:r>
      <w:r w:rsidR="00C64050">
        <w:rPr>
          <w:color w:val="000000" w:themeColor="text1"/>
        </w:rPr>
        <w:t xml:space="preserve"> </w:t>
      </w:r>
      <w:r w:rsidRPr="009C4E26">
        <w:rPr>
          <w:color w:val="000000" w:themeColor="text1"/>
        </w:rPr>
        <w:t>credit</w:t>
      </w:r>
      <w:r w:rsidR="00C64050">
        <w:rPr>
          <w:color w:val="000000" w:themeColor="text1"/>
        </w:rPr>
        <w:t xml:space="preserve"> </w:t>
      </w:r>
      <w:r w:rsidRPr="009C4E26">
        <w:rPr>
          <w:color w:val="000000" w:themeColor="text1"/>
        </w:rPr>
        <w:t>based</w:t>
      </w:r>
      <w:r w:rsidR="00C64050">
        <w:rPr>
          <w:color w:val="000000" w:themeColor="text1"/>
        </w:rPr>
        <w:t xml:space="preserve"> </w:t>
      </w:r>
      <w:r w:rsidRPr="009C4E26">
        <w:rPr>
          <w:color w:val="000000" w:themeColor="text1"/>
        </w:rPr>
        <w:t>solely</w:t>
      </w:r>
      <w:r w:rsidR="00C64050">
        <w:rPr>
          <w:color w:val="000000" w:themeColor="text1"/>
        </w:rPr>
        <w:t xml:space="preserve"> </w:t>
      </w:r>
      <w:r w:rsidRPr="009C4E26">
        <w:rPr>
          <w:color w:val="000000" w:themeColor="text1"/>
        </w:rPr>
        <w:t>on</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basic</w:t>
      </w:r>
      <w:r w:rsidR="00C64050">
        <w:rPr>
          <w:color w:val="000000" w:themeColor="text1"/>
        </w:rPr>
        <w:t xml:space="preserve"> </w:t>
      </w:r>
      <w:r w:rsidRPr="009C4E26">
        <w:rPr>
          <w:color w:val="000000" w:themeColor="text1"/>
        </w:rPr>
        <w:t>exclusion</w:t>
      </w:r>
      <w:r w:rsidR="00C64050">
        <w:rPr>
          <w:color w:val="000000" w:themeColor="text1"/>
        </w:rPr>
        <w:t xml:space="preserve"> </w:t>
      </w:r>
      <w:r w:rsidRPr="009C4E26">
        <w:rPr>
          <w:color w:val="000000" w:themeColor="text1"/>
        </w:rPr>
        <w:t>amount</w:t>
      </w:r>
      <w:r w:rsidR="00C64050">
        <w:rPr>
          <w:color w:val="000000" w:themeColor="text1"/>
        </w:rPr>
        <w:t xml:space="preserve"> </w:t>
      </w:r>
      <w:r w:rsidRPr="009C4E26">
        <w:rPr>
          <w:color w:val="000000" w:themeColor="text1"/>
        </w:rPr>
        <w:t>for</w:t>
      </w:r>
      <w:r w:rsidR="00C64050">
        <w:rPr>
          <w:color w:val="000000" w:themeColor="text1"/>
        </w:rPr>
        <w:t xml:space="preserve"> </w:t>
      </w:r>
      <w:r w:rsidRPr="009C4E26">
        <w:rPr>
          <w:color w:val="000000" w:themeColor="text1"/>
        </w:rPr>
        <w:t>purposes</w:t>
      </w:r>
      <w:r w:rsidR="00C64050">
        <w:rPr>
          <w:color w:val="000000" w:themeColor="text1"/>
        </w:rPr>
        <w:t xml:space="preserve"> </w:t>
      </w:r>
      <w:r w:rsidRPr="009C4E26">
        <w:rPr>
          <w:color w:val="000000" w:themeColor="text1"/>
        </w:rPr>
        <w:t>of</w:t>
      </w:r>
      <w:r w:rsidR="00C64050">
        <w:rPr>
          <w:color w:val="000000" w:themeColor="text1"/>
        </w:rPr>
        <w:t xml:space="preserve"> </w:t>
      </w:r>
      <w:r w:rsidRPr="009C4E26">
        <w:rPr>
          <w:color w:val="000000" w:themeColor="text1"/>
        </w:rPr>
        <w:t>computing</w:t>
      </w:r>
      <w:r w:rsidR="00C64050">
        <w:rPr>
          <w:color w:val="000000" w:themeColor="text1"/>
        </w:rPr>
        <w:t xml:space="preserve"> </w:t>
      </w:r>
      <w:r w:rsidRPr="009C4E26">
        <w:rPr>
          <w:color w:val="000000" w:themeColor="text1"/>
        </w:rPr>
        <w:t>B's</w:t>
      </w:r>
      <w:r w:rsidR="00C64050">
        <w:rPr>
          <w:color w:val="000000" w:themeColor="text1"/>
        </w:rPr>
        <w:t xml:space="preserve"> </w:t>
      </w:r>
      <w:r w:rsidRPr="009C4E26">
        <w:rPr>
          <w:color w:val="000000" w:themeColor="text1"/>
        </w:rPr>
        <w:t>estate</w:t>
      </w:r>
      <w:r w:rsidR="00C64050">
        <w:rPr>
          <w:color w:val="000000" w:themeColor="text1"/>
        </w:rPr>
        <w:t xml:space="preserve"> </w:t>
      </w:r>
      <w:r w:rsidRPr="009C4E26">
        <w:rPr>
          <w:color w:val="000000" w:themeColor="text1"/>
        </w:rPr>
        <w:t>tax</w:t>
      </w:r>
      <w:r w:rsidR="00C64050">
        <w:rPr>
          <w:color w:val="000000" w:themeColor="text1"/>
        </w:rPr>
        <w:t xml:space="preserve"> </w:t>
      </w:r>
      <w:r w:rsidRPr="009C4E26">
        <w:rPr>
          <w:color w:val="000000" w:themeColor="text1"/>
        </w:rPr>
        <w:t>($2,665,800)</w:t>
      </w:r>
      <w:r w:rsidR="00C64050">
        <w:rPr>
          <w:color w:val="000000" w:themeColor="text1"/>
        </w:rPr>
        <w:t xml:space="preserve"> </w:t>
      </w:r>
      <w:r w:rsidRPr="009C4E26">
        <w:rPr>
          <w:color w:val="000000" w:themeColor="text1"/>
        </w:rPr>
        <w:t>is</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tax</w:t>
      </w:r>
      <w:r w:rsidR="00C64050">
        <w:rPr>
          <w:color w:val="000000" w:themeColor="text1"/>
        </w:rPr>
        <w:t xml:space="preserve"> </w:t>
      </w:r>
      <w:r w:rsidRPr="009C4E26">
        <w:rPr>
          <w:color w:val="000000" w:themeColor="text1"/>
        </w:rPr>
        <w:t>on</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$6.8</w:t>
      </w:r>
      <w:r w:rsidR="00C64050">
        <w:rPr>
          <w:color w:val="000000" w:themeColor="text1"/>
        </w:rPr>
        <w:t xml:space="preserve"> </w:t>
      </w:r>
      <w:r w:rsidRPr="009C4E26">
        <w:rPr>
          <w:color w:val="000000" w:themeColor="text1"/>
        </w:rPr>
        <w:t>million</w:t>
      </w:r>
      <w:r w:rsidR="00C64050">
        <w:rPr>
          <w:color w:val="000000" w:themeColor="text1"/>
        </w:rPr>
        <w:t xml:space="preserve"> </w:t>
      </w:r>
      <w:r w:rsidRPr="009C4E26">
        <w:rPr>
          <w:color w:val="000000" w:themeColor="text1"/>
        </w:rPr>
        <w:t>basic</w:t>
      </w:r>
      <w:r w:rsidR="00C64050">
        <w:rPr>
          <w:color w:val="000000" w:themeColor="text1"/>
        </w:rPr>
        <w:t xml:space="preserve"> </w:t>
      </w:r>
      <w:r w:rsidRPr="009C4E26">
        <w:rPr>
          <w:color w:val="000000" w:themeColor="text1"/>
        </w:rPr>
        <w:t>exclusion</w:t>
      </w:r>
      <w:r w:rsidR="00C64050">
        <w:rPr>
          <w:color w:val="000000" w:themeColor="text1"/>
        </w:rPr>
        <w:t xml:space="preserve"> </w:t>
      </w:r>
      <w:r w:rsidRPr="009C4E26">
        <w:rPr>
          <w:color w:val="000000" w:themeColor="text1"/>
        </w:rPr>
        <w:t>amount</w:t>
      </w:r>
      <w:r w:rsidR="00C64050">
        <w:rPr>
          <w:color w:val="000000" w:themeColor="text1"/>
        </w:rPr>
        <w:t xml:space="preserve"> </w:t>
      </w:r>
      <w:r w:rsidRPr="009C4E26">
        <w:rPr>
          <w:color w:val="000000" w:themeColor="text1"/>
        </w:rPr>
        <w:t>on</w:t>
      </w:r>
      <w:r w:rsidR="00C64050">
        <w:rPr>
          <w:color w:val="000000" w:themeColor="text1"/>
        </w:rPr>
        <w:t xml:space="preserve"> </w:t>
      </w:r>
      <w:r w:rsidRPr="009C4E26">
        <w:rPr>
          <w:color w:val="000000" w:themeColor="text1"/>
        </w:rPr>
        <w:t>B's</w:t>
      </w:r>
      <w:r w:rsidR="00C64050">
        <w:rPr>
          <w:color w:val="000000" w:themeColor="text1"/>
        </w:rPr>
        <w:t xml:space="preserve"> </w:t>
      </w:r>
      <w:r w:rsidRPr="009C4E26">
        <w:rPr>
          <w:color w:val="000000" w:themeColor="text1"/>
        </w:rPr>
        <w:t>date</w:t>
      </w:r>
      <w:r w:rsidR="00C64050">
        <w:rPr>
          <w:color w:val="000000" w:themeColor="text1"/>
        </w:rPr>
        <w:t xml:space="preserve"> </w:t>
      </w:r>
      <w:r w:rsidRPr="009C4E26">
        <w:rPr>
          <w:color w:val="000000" w:themeColor="text1"/>
        </w:rPr>
        <w:t>of</w:t>
      </w:r>
      <w:r w:rsidR="00C64050">
        <w:rPr>
          <w:color w:val="000000" w:themeColor="text1"/>
        </w:rPr>
        <w:t xml:space="preserve"> </w:t>
      </w:r>
      <w:r w:rsidRPr="009C4E26">
        <w:rPr>
          <w:color w:val="000000" w:themeColor="text1"/>
        </w:rPr>
        <w:t>death.</w:t>
      </w:r>
      <w:r w:rsidR="00C64050">
        <w:rPr>
          <w:color w:val="000000" w:themeColor="text1"/>
        </w:rPr>
        <w:t xml:space="preserve"> </w:t>
      </w:r>
      <w:r w:rsidRPr="009C4E26">
        <w:rPr>
          <w:color w:val="000000" w:themeColor="text1"/>
        </w:rPr>
        <w:t>Because</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portion</w:t>
      </w:r>
      <w:r w:rsidR="00C64050">
        <w:rPr>
          <w:color w:val="000000" w:themeColor="text1"/>
        </w:rPr>
        <w:t xml:space="preserve"> </w:t>
      </w:r>
      <w:r w:rsidRPr="009C4E26">
        <w:rPr>
          <w:color w:val="000000" w:themeColor="text1"/>
        </w:rPr>
        <w:t>of</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credit</w:t>
      </w:r>
      <w:r w:rsidR="00C64050">
        <w:rPr>
          <w:color w:val="000000" w:themeColor="text1"/>
        </w:rPr>
        <w:t xml:space="preserve"> </w:t>
      </w:r>
      <w:r w:rsidRPr="009C4E26">
        <w:rPr>
          <w:color w:val="000000" w:themeColor="text1"/>
        </w:rPr>
        <w:t>allowable</w:t>
      </w:r>
      <w:r w:rsidR="00C64050">
        <w:rPr>
          <w:color w:val="000000" w:themeColor="text1"/>
        </w:rPr>
        <w:t xml:space="preserve"> </w:t>
      </w:r>
      <w:r w:rsidRPr="009C4E26">
        <w:rPr>
          <w:color w:val="000000" w:themeColor="text1"/>
        </w:rPr>
        <w:t>in</w:t>
      </w:r>
      <w:r w:rsidR="00C64050">
        <w:rPr>
          <w:color w:val="000000" w:themeColor="text1"/>
        </w:rPr>
        <w:t xml:space="preserve"> </w:t>
      </w:r>
      <w:r w:rsidRPr="009C4E26">
        <w:rPr>
          <w:color w:val="000000" w:themeColor="text1"/>
        </w:rPr>
        <w:t>computing</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gift</w:t>
      </w:r>
      <w:r w:rsidR="00C64050">
        <w:rPr>
          <w:color w:val="000000" w:themeColor="text1"/>
        </w:rPr>
        <w:t xml:space="preserve"> </w:t>
      </w:r>
      <w:r w:rsidRPr="009C4E26">
        <w:rPr>
          <w:color w:val="000000" w:themeColor="text1"/>
        </w:rPr>
        <w:t>tax</w:t>
      </w:r>
      <w:r w:rsidR="00C64050">
        <w:rPr>
          <w:color w:val="000000" w:themeColor="text1"/>
        </w:rPr>
        <w:t xml:space="preserve"> </w:t>
      </w:r>
      <w:r w:rsidRPr="009C4E26">
        <w:rPr>
          <w:color w:val="000000" w:themeColor="text1"/>
        </w:rPr>
        <w:t>payable</w:t>
      </w:r>
      <w:r w:rsidR="00C64050">
        <w:rPr>
          <w:color w:val="000000" w:themeColor="text1"/>
        </w:rPr>
        <w:t xml:space="preserve"> </w:t>
      </w:r>
      <w:r w:rsidRPr="009C4E26">
        <w:rPr>
          <w:color w:val="000000" w:themeColor="text1"/>
        </w:rPr>
        <w:t>on</w:t>
      </w:r>
      <w:r w:rsidR="00C64050">
        <w:rPr>
          <w:color w:val="000000" w:themeColor="text1"/>
        </w:rPr>
        <w:t xml:space="preserve"> </w:t>
      </w:r>
      <w:r w:rsidRPr="009C4E26">
        <w:rPr>
          <w:color w:val="000000" w:themeColor="text1"/>
        </w:rPr>
        <w:t>B's</w:t>
      </w:r>
      <w:r w:rsidR="00C64050">
        <w:rPr>
          <w:color w:val="000000" w:themeColor="text1"/>
        </w:rPr>
        <w:t xml:space="preserve"> </w:t>
      </w:r>
      <w:r w:rsidRPr="009C4E26">
        <w:rPr>
          <w:color w:val="000000" w:themeColor="text1"/>
        </w:rPr>
        <w:t>post-1976</w:t>
      </w:r>
      <w:r w:rsidR="00C64050">
        <w:rPr>
          <w:color w:val="000000" w:themeColor="text1"/>
        </w:rPr>
        <w:t xml:space="preserve"> </w:t>
      </w:r>
      <w:r w:rsidRPr="009C4E26">
        <w:rPr>
          <w:color w:val="000000" w:themeColor="text1"/>
        </w:rPr>
        <w:t>gifts</w:t>
      </w:r>
      <w:r w:rsidR="00C64050">
        <w:rPr>
          <w:color w:val="000000" w:themeColor="text1"/>
        </w:rPr>
        <w:t xml:space="preserve"> </w:t>
      </w:r>
      <w:r w:rsidRPr="009C4E26">
        <w:rPr>
          <w:color w:val="000000" w:themeColor="text1"/>
        </w:rPr>
        <w:t>based</w:t>
      </w:r>
      <w:r w:rsidR="00C64050">
        <w:rPr>
          <w:color w:val="000000" w:themeColor="text1"/>
        </w:rPr>
        <w:t xml:space="preserve"> </w:t>
      </w:r>
      <w:r w:rsidRPr="009C4E26">
        <w:rPr>
          <w:color w:val="000000" w:themeColor="text1"/>
        </w:rPr>
        <w:t>solely</w:t>
      </w:r>
      <w:r w:rsidR="00C64050">
        <w:rPr>
          <w:color w:val="000000" w:themeColor="text1"/>
        </w:rPr>
        <w:t xml:space="preserve"> </w:t>
      </w:r>
      <w:r w:rsidRPr="009C4E26">
        <w:rPr>
          <w:color w:val="000000" w:themeColor="text1"/>
        </w:rPr>
        <w:t>on</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basic</w:t>
      </w:r>
      <w:r w:rsidR="00C64050">
        <w:rPr>
          <w:color w:val="000000" w:themeColor="text1"/>
        </w:rPr>
        <w:t xml:space="preserve"> </w:t>
      </w:r>
      <w:r w:rsidRPr="009C4E26">
        <w:rPr>
          <w:color w:val="000000" w:themeColor="text1"/>
        </w:rPr>
        <w:t>exclusion</w:t>
      </w:r>
      <w:r w:rsidR="00C64050">
        <w:rPr>
          <w:color w:val="000000" w:themeColor="text1"/>
        </w:rPr>
        <w:t xml:space="preserve"> </w:t>
      </w:r>
      <w:r w:rsidRPr="009C4E26">
        <w:rPr>
          <w:color w:val="000000" w:themeColor="text1"/>
        </w:rPr>
        <w:t>amount</w:t>
      </w:r>
      <w:r w:rsidR="00C64050">
        <w:rPr>
          <w:color w:val="000000" w:themeColor="text1"/>
        </w:rPr>
        <w:t xml:space="preserve"> </w:t>
      </w:r>
      <w:r w:rsidRPr="009C4E26">
        <w:rPr>
          <w:color w:val="000000" w:themeColor="text1"/>
        </w:rPr>
        <w:t>($1,031,519)</w:t>
      </w:r>
      <w:r w:rsidR="00C64050">
        <w:rPr>
          <w:color w:val="000000" w:themeColor="text1"/>
        </w:rPr>
        <w:t xml:space="preserve"> </w:t>
      </w:r>
      <w:r w:rsidRPr="009C4E26">
        <w:rPr>
          <w:color w:val="000000" w:themeColor="text1"/>
        </w:rPr>
        <w:t>is</w:t>
      </w:r>
      <w:r w:rsidR="00C64050">
        <w:rPr>
          <w:color w:val="000000" w:themeColor="text1"/>
        </w:rPr>
        <w:t xml:space="preserve"> </w:t>
      </w:r>
      <w:r w:rsidRPr="009C4E26">
        <w:rPr>
          <w:color w:val="000000" w:themeColor="text1"/>
        </w:rPr>
        <w:t>less</w:t>
      </w:r>
      <w:r w:rsidR="00C64050">
        <w:rPr>
          <w:color w:val="000000" w:themeColor="text1"/>
        </w:rPr>
        <w:t xml:space="preserve"> </w:t>
      </w:r>
      <w:r w:rsidRPr="009C4E26">
        <w:rPr>
          <w:color w:val="000000" w:themeColor="text1"/>
        </w:rPr>
        <w:t>than</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credit</w:t>
      </w:r>
      <w:r w:rsidR="00C64050">
        <w:rPr>
          <w:color w:val="000000" w:themeColor="text1"/>
        </w:rPr>
        <w:t xml:space="preserve"> </w:t>
      </w:r>
      <w:r w:rsidRPr="009C4E26">
        <w:rPr>
          <w:color w:val="000000" w:themeColor="text1"/>
        </w:rPr>
        <w:t>based</w:t>
      </w:r>
      <w:r w:rsidR="00C64050">
        <w:rPr>
          <w:color w:val="000000" w:themeColor="text1"/>
        </w:rPr>
        <w:t xml:space="preserve"> </w:t>
      </w:r>
      <w:r w:rsidRPr="009C4E26">
        <w:rPr>
          <w:color w:val="000000" w:themeColor="text1"/>
        </w:rPr>
        <w:t>solely</w:t>
      </w:r>
      <w:r w:rsidR="00C64050">
        <w:rPr>
          <w:color w:val="000000" w:themeColor="text1"/>
        </w:rPr>
        <w:t xml:space="preserve"> </w:t>
      </w:r>
      <w:r w:rsidRPr="009C4E26">
        <w:rPr>
          <w:color w:val="000000" w:themeColor="text1"/>
        </w:rPr>
        <w:t>on</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basic</w:t>
      </w:r>
      <w:r w:rsidR="00C64050">
        <w:rPr>
          <w:color w:val="000000" w:themeColor="text1"/>
        </w:rPr>
        <w:t xml:space="preserve"> </w:t>
      </w:r>
      <w:r w:rsidRPr="009C4E26">
        <w:rPr>
          <w:color w:val="000000" w:themeColor="text1"/>
        </w:rPr>
        <w:t>exclusion</w:t>
      </w:r>
      <w:r w:rsidR="00C64050">
        <w:rPr>
          <w:color w:val="000000" w:themeColor="text1"/>
        </w:rPr>
        <w:t xml:space="preserve"> </w:t>
      </w:r>
      <w:r w:rsidRPr="009C4E26">
        <w:rPr>
          <w:color w:val="000000" w:themeColor="text1"/>
        </w:rPr>
        <w:t>amount</w:t>
      </w:r>
      <w:r w:rsidR="00C64050">
        <w:rPr>
          <w:color w:val="000000" w:themeColor="text1"/>
        </w:rPr>
        <w:t xml:space="preserve"> </w:t>
      </w:r>
      <w:r w:rsidRPr="009C4E26">
        <w:rPr>
          <w:color w:val="000000" w:themeColor="text1"/>
        </w:rPr>
        <w:t>($2,665,800)</w:t>
      </w:r>
      <w:r w:rsidR="00C64050">
        <w:rPr>
          <w:color w:val="000000" w:themeColor="text1"/>
        </w:rPr>
        <w:t xml:space="preserve"> </w:t>
      </w:r>
      <w:r w:rsidRPr="009C4E26">
        <w:rPr>
          <w:color w:val="000000" w:themeColor="text1"/>
        </w:rPr>
        <w:t>allowable</w:t>
      </w:r>
      <w:r w:rsidR="00C64050">
        <w:rPr>
          <w:color w:val="000000" w:themeColor="text1"/>
        </w:rPr>
        <w:t xml:space="preserve"> </w:t>
      </w:r>
      <w:r w:rsidRPr="009C4E26">
        <w:rPr>
          <w:color w:val="000000" w:themeColor="text1"/>
        </w:rPr>
        <w:t>on</w:t>
      </w:r>
      <w:r w:rsidR="00C64050">
        <w:rPr>
          <w:color w:val="000000" w:themeColor="text1"/>
        </w:rPr>
        <w:t xml:space="preserve"> </w:t>
      </w:r>
      <w:r w:rsidRPr="009C4E26">
        <w:rPr>
          <w:color w:val="000000" w:themeColor="text1"/>
        </w:rPr>
        <w:t>B's</w:t>
      </w:r>
      <w:r w:rsidR="00C64050">
        <w:rPr>
          <w:color w:val="000000" w:themeColor="text1"/>
        </w:rPr>
        <w:t xml:space="preserve"> </w:t>
      </w:r>
      <w:r w:rsidRPr="009C4E26">
        <w:rPr>
          <w:color w:val="000000" w:themeColor="text1"/>
        </w:rPr>
        <w:t>date</w:t>
      </w:r>
      <w:r w:rsidR="00C64050">
        <w:rPr>
          <w:color w:val="000000" w:themeColor="text1"/>
        </w:rPr>
        <w:t xml:space="preserve"> </w:t>
      </w:r>
      <w:r w:rsidRPr="009C4E26">
        <w:rPr>
          <w:color w:val="000000" w:themeColor="text1"/>
        </w:rPr>
        <w:t>of</w:t>
      </w:r>
      <w:r w:rsidR="00C64050">
        <w:rPr>
          <w:color w:val="000000" w:themeColor="text1"/>
        </w:rPr>
        <w:t xml:space="preserve"> </w:t>
      </w:r>
      <w:r w:rsidRPr="009C4E26">
        <w:rPr>
          <w:color w:val="000000" w:themeColor="text1"/>
        </w:rPr>
        <w:t>death,</w:t>
      </w:r>
      <w:r w:rsidR="00C64050">
        <w:rPr>
          <w:color w:val="000000" w:themeColor="text1"/>
        </w:rPr>
        <w:t xml:space="preserve"> </w:t>
      </w:r>
      <w:r w:rsidRPr="009C4E26">
        <w:rPr>
          <w:color w:val="000000" w:themeColor="text1"/>
        </w:rPr>
        <w:t>this</w:t>
      </w:r>
      <w:r w:rsidR="00C64050">
        <w:rPr>
          <w:color w:val="000000" w:themeColor="text1"/>
        </w:rPr>
        <w:t xml:space="preserve"> </w:t>
      </w:r>
      <w:r w:rsidRPr="009C4E26">
        <w:rPr>
          <w:color w:val="000000" w:themeColor="text1"/>
        </w:rPr>
        <w:t>paragraph</w:t>
      </w:r>
      <w:r w:rsidR="00C64050">
        <w:rPr>
          <w:color w:val="000000" w:themeColor="text1"/>
        </w:rPr>
        <w:t xml:space="preserve"> </w:t>
      </w:r>
      <w:r w:rsidRPr="009C4E26">
        <w:rPr>
          <w:color w:val="000000" w:themeColor="text1"/>
        </w:rPr>
        <w:t>(c)</w:t>
      </w:r>
      <w:r w:rsidR="00C64050">
        <w:rPr>
          <w:color w:val="000000" w:themeColor="text1"/>
        </w:rPr>
        <w:t xml:space="preserve"> </w:t>
      </w:r>
      <w:r w:rsidRPr="009C4E26">
        <w:rPr>
          <w:color w:val="000000" w:themeColor="text1"/>
        </w:rPr>
        <w:t>does</w:t>
      </w:r>
      <w:r w:rsidR="00C64050">
        <w:rPr>
          <w:color w:val="000000" w:themeColor="text1"/>
        </w:rPr>
        <w:t xml:space="preserve"> </w:t>
      </w:r>
      <w:r w:rsidRPr="009C4E26">
        <w:rPr>
          <w:color w:val="000000" w:themeColor="text1"/>
        </w:rPr>
        <w:t>not</w:t>
      </w:r>
      <w:r w:rsidR="00C64050">
        <w:rPr>
          <w:color w:val="000000" w:themeColor="text1"/>
        </w:rPr>
        <w:t xml:space="preserve"> </w:t>
      </w:r>
      <w:r w:rsidRPr="009C4E26">
        <w:rPr>
          <w:color w:val="000000" w:themeColor="text1"/>
        </w:rPr>
        <w:t>apply.</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credit</w:t>
      </w:r>
      <w:r w:rsidR="00C64050">
        <w:rPr>
          <w:color w:val="000000" w:themeColor="text1"/>
        </w:rPr>
        <w:t xml:space="preserve"> </w:t>
      </w:r>
      <w:r w:rsidRPr="009C4E26">
        <w:rPr>
          <w:color w:val="000000" w:themeColor="text1"/>
        </w:rPr>
        <w:t>to</w:t>
      </w:r>
      <w:r w:rsidR="00C64050">
        <w:rPr>
          <w:color w:val="000000" w:themeColor="text1"/>
        </w:rPr>
        <w:t xml:space="preserve"> </w:t>
      </w:r>
      <w:r w:rsidRPr="009C4E26">
        <w:rPr>
          <w:color w:val="000000" w:themeColor="text1"/>
        </w:rPr>
        <w:t>be</w:t>
      </w:r>
      <w:r w:rsidR="00C64050">
        <w:rPr>
          <w:color w:val="000000" w:themeColor="text1"/>
        </w:rPr>
        <w:t xml:space="preserve"> </w:t>
      </w:r>
      <w:r w:rsidRPr="009C4E26">
        <w:rPr>
          <w:color w:val="000000" w:themeColor="text1"/>
        </w:rPr>
        <w:t>applied</w:t>
      </w:r>
      <w:r w:rsidR="00C64050">
        <w:rPr>
          <w:color w:val="000000" w:themeColor="text1"/>
        </w:rPr>
        <w:t xml:space="preserve"> </w:t>
      </w:r>
      <w:r w:rsidRPr="009C4E26">
        <w:rPr>
          <w:color w:val="000000" w:themeColor="text1"/>
        </w:rPr>
        <w:t>for</w:t>
      </w:r>
      <w:r w:rsidR="00C64050">
        <w:rPr>
          <w:color w:val="000000" w:themeColor="text1"/>
        </w:rPr>
        <w:t xml:space="preserve"> </w:t>
      </w:r>
      <w:r w:rsidRPr="009C4E26">
        <w:rPr>
          <w:color w:val="000000" w:themeColor="text1"/>
        </w:rPr>
        <w:t>purposes</w:t>
      </w:r>
      <w:r w:rsidR="00C64050">
        <w:rPr>
          <w:color w:val="000000" w:themeColor="text1"/>
        </w:rPr>
        <w:t xml:space="preserve"> </w:t>
      </w:r>
      <w:r w:rsidRPr="009C4E26">
        <w:rPr>
          <w:color w:val="000000" w:themeColor="text1"/>
        </w:rPr>
        <w:t>of</w:t>
      </w:r>
      <w:r w:rsidR="00C64050">
        <w:rPr>
          <w:color w:val="000000" w:themeColor="text1"/>
        </w:rPr>
        <w:t xml:space="preserve"> </w:t>
      </w:r>
      <w:r w:rsidRPr="009C4E26">
        <w:rPr>
          <w:color w:val="000000" w:themeColor="text1"/>
        </w:rPr>
        <w:t>computing</w:t>
      </w:r>
      <w:r w:rsidR="00C64050">
        <w:rPr>
          <w:color w:val="000000" w:themeColor="text1"/>
        </w:rPr>
        <w:t xml:space="preserve"> </w:t>
      </w:r>
      <w:r w:rsidRPr="009C4E26">
        <w:rPr>
          <w:color w:val="000000" w:themeColor="text1"/>
        </w:rPr>
        <w:t>B's</w:t>
      </w:r>
      <w:r w:rsidR="00C64050">
        <w:rPr>
          <w:color w:val="000000" w:themeColor="text1"/>
        </w:rPr>
        <w:t xml:space="preserve"> </w:t>
      </w:r>
      <w:r w:rsidRPr="009C4E26">
        <w:rPr>
          <w:color w:val="000000" w:themeColor="text1"/>
        </w:rPr>
        <w:t>estate</w:t>
      </w:r>
      <w:r w:rsidR="00C64050">
        <w:rPr>
          <w:color w:val="000000" w:themeColor="text1"/>
        </w:rPr>
        <w:t xml:space="preserve"> </w:t>
      </w:r>
      <w:r w:rsidRPr="009C4E26">
        <w:rPr>
          <w:color w:val="000000" w:themeColor="text1"/>
        </w:rPr>
        <w:t>tax</w:t>
      </w:r>
      <w:r w:rsidR="00C64050">
        <w:rPr>
          <w:color w:val="000000" w:themeColor="text1"/>
        </w:rPr>
        <w:t xml:space="preserve"> </w:t>
      </w:r>
      <w:r w:rsidRPr="009C4E26">
        <w:rPr>
          <w:color w:val="000000" w:themeColor="text1"/>
        </w:rPr>
        <w:t>is</w:t>
      </w:r>
      <w:r w:rsidR="00C64050">
        <w:rPr>
          <w:color w:val="000000" w:themeColor="text1"/>
        </w:rPr>
        <w:t xml:space="preserve"> </w:t>
      </w:r>
      <w:r w:rsidRPr="009C4E26">
        <w:rPr>
          <w:color w:val="000000" w:themeColor="text1"/>
        </w:rPr>
        <w:t>based</w:t>
      </w:r>
      <w:r w:rsidR="00C64050">
        <w:rPr>
          <w:color w:val="000000" w:themeColor="text1"/>
        </w:rPr>
        <w:t xml:space="preserve"> </w:t>
      </w:r>
      <w:r w:rsidRPr="009C4E26">
        <w:rPr>
          <w:color w:val="000000" w:themeColor="text1"/>
        </w:rPr>
        <w:t>on</w:t>
      </w:r>
      <w:r w:rsidR="00C64050">
        <w:rPr>
          <w:color w:val="000000" w:themeColor="text1"/>
        </w:rPr>
        <w:t xml:space="preserve"> </w:t>
      </w:r>
      <w:r w:rsidRPr="009C4E26">
        <w:rPr>
          <w:color w:val="000000" w:themeColor="text1"/>
        </w:rPr>
        <w:t>B's</w:t>
      </w:r>
      <w:r w:rsidR="00C64050">
        <w:rPr>
          <w:color w:val="000000" w:themeColor="text1"/>
        </w:rPr>
        <w:t xml:space="preserve"> </w:t>
      </w:r>
      <w:r w:rsidRPr="009C4E26">
        <w:rPr>
          <w:color w:val="000000" w:themeColor="text1"/>
        </w:rPr>
        <w:t>$18.2</w:t>
      </w:r>
      <w:r w:rsidR="00C64050">
        <w:rPr>
          <w:color w:val="000000" w:themeColor="text1"/>
        </w:rPr>
        <w:t xml:space="preserve"> </w:t>
      </w:r>
      <w:r w:rsidRPr="009C4E26">
        <w:rPr>
          <w:color w:val="000000" w:themeColor="text1"/>
        </w:rPr>
        <w:t>million</w:t>
      </w:r>
      <w:r w:rsidR="00C64050">
        <w:rPr>
          <w:color w:val="000000" w:themeColor="text1"/>
        </w:rPr>
        <w:t xml:space="preserve"> </w:t>
      </w:r>
      <w:r w:rsidRPr="009C4E26">
        <w:rPr>
          <w:color w:val="000000" w:themeColor="text1"/>
        </w:rPr>
        <w:t>applicable</w:t>
      </w:r>
      <w:r w:rsidR="00C64050">
        <w:rPr>
          <w:color w:val="000000" w:themeColor="text1"/>
        </w:rPr>
        <w:t xml:space="preserve"> </w:t>
      </w:r>
      <w:r w:rsidRPr="009C4E26">
        <w:rPr>
          <w:color w:val="000000" w:themeColor="text1"/>
        </w:rPr>
        <w:t>exclusion</w:t>
      </w:r>
      <w:r w:rsidR="00C64050">
        <w:rPr>
          <w:color w:val="000000" w:themeColor="text1"/>
        </w:rPr>
        <w:t xml:space="preserve"> </w:t>
      </w:r>
      <w:r w:rsidRPr="009C4E26">
        <w:rPr>
          <w:color w:val="000000" w:themeColor="text1"/>
        </w:rPr>
        <w:t>amount,</w:t>
      </w:r>
      <w:r w:rsidR="00C64050">
        <w:rPr>
          <w:color w:val="000000" w:themeColor="text1"/>
        </w:rPr>
        <w:t xml:space="preserve"> </w:t>
      </w:r>
      <w:r w:rsidRPr="009C4E26">
        <w:rPr>
          <w:color w:val="000000" w:themeColor="text1"/>
        </w:rPr>
        <w:t>consisting</w:t>
      </w:r>
      <w:r w:rsidR="00C64050">
        <w:rPr>
          <w:color w:val="000000" w:themeColor="text1"/>
        </w:rPr>
        <w:t xml:space="preserve"> </w:t>
      </w:r>
      <w:r w:rsidRPr="009C4E26">
        <w:rPr>
          <w:color w:val="000000" w:themeColor="text1"/>
        </w:rPr>
        <w:t>of</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$6.8</w:t>
      </w:r>
      <w:r w:rsidR="00C64050">
        <w:rPr>
          <w:color w:val="000000" w:themeColor="text1"/>
        </w:rPr>
        <w:t xml:space="preserve"> </w:t>
      </w:r>
      <w:r w:rsidRPr="009C4E26">
        <w:rPr>
          <w:color w:val="000000" w:themeColor="text1"/>
        </w:rPr>
        <w:t>million</w:t>
      </w:r>
      <w:r w:rsidR="00C64050">
        <w:rPr>
          <w:color w:val="000000" w:themeColor="text1"/>
        </w:rPr>
        <w:t xml:space="preserve"> </w:t>
      </w:r>
      <w:r w:rsidRPr="009C4E26">
        <w:rPr>
          <w:color w:val="000000" w:themeColor="text1"/>
        </w:rPr>
        <w:t>basic</w:t>
      </w:r>
      <w:r w:rsidR="00C64050">
        <w:rPr>
          <w:color w:val="000000" w:themeColor="text1"/>
        </w:rPr>
        <w:t xml:space="preserve"> </w:t>
      </w:r>
      <w:r w:rsidRPr="009C4E26">
        <w:rPr>
          <w:color w:val="000000" w:themeColor="text1"/>
        </w:rPr>
        <w:t>exclusion</w:t>
      </w:r>
      <w:r w:rsidR="00C64050">
        <w:rPr>
          <w:color w:val="000000" w:themeColor="text1"/>
        </w:rPr>
        <w:t xml:space="preserve"> </w:t>
      </w:r>
      <w:r w:rsidRPr="009C4E26">
        <w:rPr>
          <w:color w:val="000000" w:themeColor="text1"/>
        </w:rPr>
        <w:t>amount</w:t>
      </w:r>
      <w:r w:rsidR="00C64050">
        <w:rPr>
          <w:color w:val="000000" w:themeColor="text1"/>
        </w:rPr>
        <w:t xml:space="preserve"> </w:t>
      </w:r>
      <w:r w:rsidRPr="009C4E26">
        <w:rPr>
          <w:color w:val="000000" w:themeColor="text1"/>
        </w:rPr>
        <w:t>on</w:t>
      </w:r>
      <w:r w:rsidR="00C64050">
        <w:rPr>
          <w:color w:val="000000" w:themeColor="text1"/>
        </w:rPr>
        <w:t xml:space="preserve"> </w:t>
      </w:r>
      <w:r w:rsidRPr="009C4E26">
        <w:rPr>
          <w:color w:val="000000" w:themeColor="text1"/>
        </w:rPr>
        <w:t>B's</w:t>
      </w:r>
      <w:r w:rsidR="00C64050">
        <w:rPr>
          <w:color w:val="000000" w:themeColor="text1"/>
        </w:rPr>
        <w:t xml:space="preserve"> </w:t>
      </w:r>
      <w:r w:rsidRPr="009C4E26">
        <w:rPr>
          <w:color w:val="000000" w:themeColor="text1"/>
        </w:rPr>
        <w:t>date</w:t>
      </w:r>
      <w:r w:rsidR="00C64050">
        <w:rPr>
          <w:color w:val="000000" w:themeColor="text1"/>
        </w:rPr>
        <w:t xml:space="preserve"> </w:t>
      </w:r>
      <w:r w:rsidRPr="009C4E26">
        <w:rPr>
          <w:color w:val="000000" w:themeColor="text1"/>
        </w:rPr>
        <w:t>of</w:t>
      </w:r>
      <w:r w:rsidR="00C64050">
        <w:rPr>
          <w:color w:val="000000" w:themeColor="text1"/>
        </w:rPr>
        <w:t xml:space="preserve"> </w:t>
      </w:r>
      <w:r w:rsidRPr="009C4E26">
        <w:rPr>
          <w:color w:val="000000" w:themeColor="text1"/>
        </w:rPr>
        <w:t>death</w:t>
      </w:r>
      <w:r w:rsidR="00C64050">
        <w:rPr>
          <w:color w:val="000000" w:themeColor="text1"/>
        </w:rPr>
        <w:t xml:space="preserve"> </w:t>
      </w:r>
      <w:r w:rsidRPr="009C4E26">
        <w:rPr>
          <w:color w:val="000000" w:themeColor="text1"/>
        </w:rPr>
        <w:t>plus</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$11.4</w:t>
      </w:r>
      <w:r w:rsidR="00C64050">
        <w:rPr>
          <w:color w:val="000000" w:themeColor="text1"/>
        </w:rPr>
        <w:t xml:space="preserve"> </w:t>
      </w:r>
      <w:r w:rsidRPr="009C4E26">
        <w:rPr>
          <w:color w:val="000000" w:themeColor="text1"/>
        </w:rPr>
        <w:t>million</w:t>
      </w:r>
      <w:r w:rsidR="00C64050">
        <w:rPr>
          <w:color w:val="000000" w:themeColor="text1"/>
        </w:rPr>
        <w:t xml:space="preserve"> </w:t>
      </w:r>
      <w:r w:rsidRPr="009C4E26">
        <w:rPr>
          <w:color w:val="000000" w:themeColor="text1"/>
        </w:rPr>
        <w:t>DSUE</w:t>
      </w:r>
      <w:r w:rsidR="00C64050">
        <w:rPr>
          <w:color w:val="000000" w:themeColor="text1"/>
        </w:rPr>
        <w:t xml:space="preserve"> </w:t>
      </w:r>
      <w:r w:rsidRPr="009C4E26">
        <w:rPr>
          <w:color w:val="000000" w:themeColor="text1"/>
        </w:rPr>
        <w:t>amount,</w:t>
      </w:r>
      <w:r w:rsidR="00C64050">
        <w:rPr>
          <w:color w:val="000000" w:themeColor="text1"/>
        </w:rPr>
        <w:t xml:space="preserve"> </w:t>
      </w:r>
      <w:r w:rsidRPr="009C4E26">
        <w:rPr>
          <w:color w:val="000000" w:themeColor="text1"/>
        </w:rPr>
        <w:t>subject</w:t>
      </w:r>
      <w:r w:rsidR="00C64050">
        <w:rPr>
          <w:color w:val="000000" w:themeColor="text1"/>
        </w:rPr>
        <w:t xml:space="preserve"> </w:t>
      </w:r>
      <w:r w:rsidRPr="009C4E26">
        <w:rPr>
          <w:color w:val="000000" w:themeColor="text1"/>
        </w:rPr>
        <w:t>to</w:t>
      </w:r>
      <w:r w:rsidR="00C64050">
        <w:rPr>
          <w:color w:val="000000" w:themeColor="text1"/>
        </w:rPr>
        <w:t xml:space="preserve"> </w:t>
      </w:r>
      <w:r w:rsidRPr="009C4E26">
        <w:rPr>
          <w:color w:val="000000" w:themeColor="text1"/>
        </w:rPr>
        <w:t>the</w:t>
      </w:r>
      <w:r w:rsidR="00C64050">
        <w:rPr>
          <w:color w:val="000000" w:themeColor="text1"/>
        </w:rPr>
        <w:t xml:space="preserve"> </w:t>
      </w:r>
      <w:r w:rsidRPr="009C4E26">
        <w:rPr>
          <w:color w:val="000000" w:themeColor="text1"/>
        </w:rPr>
        <w:t>limitation</w:t>
      </w:r>
      <w:r w:rsidR="00C64050">
        <w:rPr>
          <w:color w:val="000000" w:themeColor="text1"/>
        </w:rPr>
        <w:t xml:space="preserve"> </w:t>
      </w:r>
      <w:r w:rsidRPr="009C4E26">
        <w:rPr>
          <w:color w:val="000000" w:themeColor="text1"/>
        </w:rPr>
        <w:t>of</w:t>
      </w:r>
      <w:r w:rsidR="00C64050">
        <w:rPr>
          <w:color w:val="000000" w:themeColor="text1"/>
        </w:rPr>
        <w:t xml:space="preserve"> </w:t>
      </w:r>
      <w:r w:rsidRPr="00C82498">
        <w:t>section</w:t>
      </w:r>
      <w:r w:rsidR="00C64050" w:rsidRPr="00C82498">
        <w:t xml:space="preserve"> </w:t>
      </w:r>
      <w:r w:rsidRPr="00C82498">
        <w:t>2010(d)</w:t>
      </w:r>
      <w:r w:rsidRPr="009C4E26">
        <w:rPr>
          <w:color w:val="000000" w:themeColor="text1"/>
        </w:rPr>
        <w:t>.</w:t>
      </w:r>
    </w:p>
    <w:p w:rsidR="00C57C1C" w:rsidRDefault="00C57C1C" w:rsidP="007469BB">
      <w:pPr>
        <w:pStyle w:val="Body15"/>
      </w:pPr>
      <w:r>
        <w:t>The</w:t>
      </w:r>
      <w:r w:rsidR="00C64050">
        <w:t xml:space="preserve"> </w:t>
      </w:r>
      <w:r>
        <w:t>Preamble</w:t>
      </w:r>
      <w:r w:rsidR="00C64050">
        <w:t xml:space="preserve"> </w:t>
      </w:r>
      <w:r>
        <w:t>also</w:t>
      </w:r>
      <w:r w:rsidR="00C64050">
        <w:t xml:space="preserve"> </w:t>
      </w:r>
      <w:r>
        <w:t>has</w:t>
      </w:r>
      <w:r w:rsidR="00C64050">
        <w:t xml:space="preserve"> </w:t>
      </w:r>
      <w:r>
        <w:t>an</w:t>
      </w:r>
      <w:r w:rsidR="00C64050">
        <w:t xml:space="preserve"> </w:t>
      </w:r>
      <w:r>
        <w:t>odd</w:t>
      </w:r>
      <w:r w:rsidR="00C64050">
        <w:t xml:space="preserve"> </w:t>
      </w:r>
      <w:r>
        <w:t>“warning”</w:t>
      </w:r>
      <w:r w:rsidR="00C64050">
        <w:t xml:space="preserve"> </w:t>
      </w:r>
      <w:r>
        <w:t>styled</w:t>
      </w:r>
      <w:r w:rsidR="00C64050">
        <w:t xml:space="preserve"> </w:t>
      </w:r>
      <w:r>
        <w:t>an</w:t>
      </w:r>
      <w:r w:rsidR="00C64050">
        <w:t xml:space="preserve"> </w:t>
      </w:r>
      <w:r>
        <w:t>Anti-abuse</w:t>
      </w:r>
      <w:r w:rsidR="00C64050">
        <w:t xml:space="preserve"> </w:t>
      </w:r>
      <w:r>
        <w:t>Rule</w:t>
      </w:r>
      <w:r w:rsidR="00C64050">
        <w:t xml:space="preserve"> </w:t>
      </w:r>
      <w:r>
        <w:t>which</w:t>
      </w:r>
      <w:r w:rsidR="00C64050">
        <w:t xml:space="preserve"> </w:t>
      </w:r>
      <w:r>
        <w:t>states:</w:t>
      </w:r>
      <w:r w:rsidR="00C64050">
        <w:t xml:space="preserve"> </w:t>
      </w:r>
    </w:p>
    <w:p w:rsidR="009C4E26" w:rsidRDefault="009C4E26" w:rsidP="009C4E26">
      <w:pPr>
        <w:pStyle w:val="QS10"/>
        <w:rPr>
          <w:bCs/>
          <w:szCs w:val="27"/>
        </w:rPr>
      </w:pPr>
      <w:r>
        <w:t>6.</w:t>
      </w:r>
      <w:r w:rsidR="00C64050">
        <w:t xml:space="preserve"> </w:t>
      </w:r>
      <w:r w:rsidRPr="009C4E26">
        <w:rPr>
          <w:u w:val="single"/>
        </w:rPr>
        <w:t>Anti-abuse</w:t>
      </w:r>
      <w:r w:rsidR="00C64050">
        <w:rPr>
          <w:u w:val="single"/>
        </w:rPr>
        <w:t xml:space="preserve"> </w:t>
      </w:r>
      <w:r w:rsidRPr="009C4E26">
        <w:rPr>
          <w:u w:val="single"/>
        </w:rPr>
        <w:t>Rule</w:t>
      </w:r>
    </w:p>
    <w:p w:rsidR="009C4E26" w:rsidRPr="00C82498" w:rsidRDefault="009C4E26" w:rsidP="009C4E26">
      <w:pPr>
        <w:pStyle w:val="QS10"/>
        <w:rPr>
          <w:color w:val="000000" w:themeColor="text1"/>
        </w:rPr>
      </w:pPr>
      <w:r w:rsidRPr="00C82498">
        <w:rPr>
          <w:color w:val="000000" w:themeColor="text1"/>
        </w:rPr>
        <w:t>A</w:t>
      </w:r>
      <w:r w:rsidR="00C64050" w:rsidRPr="00C82498">
        <w:rPr>
          <w:color w:val="000000" w:themeColor="text1"/>
        </w:rPr>
        <w:t xml:space="preserve"> </w:t>
      </w:r>
      <w:r w:rsidRPr="00C82498">
        <w:rPr>
          <w:color w:val="000000" w:themeColor="text1"/>
        </w:rPr>
        <w:t>commenter</w:t>
      </w:r>
      <w:r w:rsidR="00C64050" w:rsidRPr="00C82498">
        <w:rPr>
          <w:color w:val="000000" w:themeColor="text1"/>
        </w:rPr>
        <w:t xml:space="preserve"> </w:t>
      </w:r>
      <w:r w:rsidRPr="00C82498">
        <w:rPr>
          <w:color w:val="000000" w:themeColor="text1"/>
        </w:rPr>
        <w:t>recommended</w:t>
      </w:r>
      <w:r w:rsidR="00C64050" w:rsidRPr="00C82498">
        <w:rPr>
          <w:color w:val="000000" w:themeColor="text1"/>
        </w:rPr>
        <w:t xml:space="preserve"> </w:t>
      </w:r>
      <w:r w:rsidRPr="00C82498">
        <w:rPr>
          <w:color w:val="000000" w:themeColor="text1"/>
        </w:rPr>
        <w:t>consideration</w:t>
      </w:r>
      <w:r w:rsidR="00C64050" w:rsidRPr="00C82498">
        <w:rPr>
          <w:color w:val="000000" w:themeColor="text1"/>
        </w:rPr>
        <w:t xml:space="preserve"> </w:t>
      </w:r>
      <w:r w:rsidRPr="00C82498">
        <w:rPr>
          <w:color w:val="000000" w:themeColor="text1"/>
        </w:rPr>
        <w:t>of</w:t>
      </w:r>
      <w:r w:rsidR="00C64050" w:rsidRPr="00C82498">
        <w:rPr>
          <w:color w:val="000000" w:themeColor="text1"/>
        </w:rPr>
        <w:t xml:space="preserve"> </w:t>
      </w:r>
      <w:r w:rsidRPr="00C82498">
        <w:rPr>
          <w:color w:val="000000" w:themeColor="text1"/>
        </w:rPr>
        <w:t>an</w:t>
      </w:r>
      <w:r w:rsidR="00C64050" w:rsidRPr="00C82498">
        <w:rPr>
          <w:color w:val="000000" w:themeColor="text1"/>
        </w:rPr>
        <w:t xml:space="preserve"> </w:t>
      </w:r>
      <w:r w:rsidRPr="00C82498">
        <w:rPr>
          <w:color w:val="000000" w:themeColor="text1"/>
        </w:rPr>
        <w:t>anti-abuse</w:t>
      </w:r>
      <w:r w:rsidR="00C64050" w:rsidRPr="00C82498">
        <w:rPr>
          <w:color w:val="000000" w:themeColor="text1"/>
        </w:rPr>
        <w:t xml:space="preserve"> </w:t>
      </w:r>
      <w:r w:rsidRPr="00C82498">
        <w:rPr>
          <w:color w:val="000000" w:themeColor="text1"/>
        </w:rPr>
        <w:t>provision</w:t>
      </w:r>
      <w:r w:rsidR="00C64050" w:rsidRPr="00C82498">
        <w:rPr>
          <w:color w:val="000000" w:themeColor="text1"/>
        </w:rPr>
        <w:t xml:space="preserve"> </w:t>
      </w:r>
      <w:r w:rsidRPr="00C82498">
        <w:rPr>
          <w:color w:val="000000" w:themeColor="text1"/>
        </w:rPr>
        <w:t>to</w:t>
      </w:r>
      <w:r w:rsidR="00C64050" w:rsidRPr="00C82498">
        <w:rPr>
          <w:color w:val="000000" w:themeColor="text1"/>
        </w:rPr>
        <w:t xml:space="preserve"> </w:t>
      </w:r>
      <w:r w:rsidRPr="00C82498">
        <w:rPr>
          <w:color w:val="000000" w:themeColor="text1"/>
        </w:rPr>
        <w:t>prevent</w:t>
      </w:r>
      <w:r w:rsidR="00C64050" w:rsidRPr="00C82498">
        <w:rPr>
          <w:color w:val="000000" w:themeColor="text1"/>
        </w:rPr>
        <w:t xml:space="preserve"> </w:t>
      </w:r>
      <w:r w:rsidRPr="00C82498">
        <w:rPr>
          <w:color w:val="000000" w:themeColor="text1"/>
        </w:rPr>
        <w:t>the</w:t>
      </w:r>
      <w:r w:rsidR="00C64050" w:rsidRPr="00C82498">
        <w:rPr>
          <w:color w:val="000000" w:themeColor="text1"/>
        </w:rPr>
        <w:t xml:space="preserve"> </w:t>
      </w:r>
      <w:r w:rsidRPr="00C82498">
        <w:rPr>
          <w:color w:val="000000" w:themeColor="text1"/>
        </w:rPr>
        <w:t>application</w:t>
      </w:r>
      <w:r w:rsidR="00C64050" w:rsidRPr="00C82498">
        <w:rPr>
          <w:color w:val="000000" w:themeColor="text1"/>
        </w:rPr>
        <w:t xml:space="preserve"> </w:t>
      </w:r>
      <w:r w:rsidRPr="00C82498">
        <w:rPr>
          <w:color w:val="000000" w:themeColor="text1"/>
        </w:rPr>
        <w:t>of</w:t>
      </w:r>
      <w:r w:rsidR="00C64050" w:rsidRPr="00C82498">
        <w:rPr>
          <w:color w:val="000000" w:themeColor="text1"/>
        </w:rPr>
        <w:t xml:space="preserve"> </w:t>
      </w:r>
      <w:r w:rsidRPr="00C82498">
        <w:rPr>
          <w:color w:val="000000" w:themeColor="text1"/>
        </w:rPr>
        <w:t>the</w:t>
      </w:r>
      <w:r w:rsidR="00C64050" w:rsidRPr="00C82498">
        <w:rPr>
          <w:color w:val="000000" w:themeColor="text1"/>
        </w:rPr>
        <w:t xml:space="preserve"> </w:t>
      </w:r>
      <w:r w:rsidRPr="00C82498">
        <w:rPr>
          <w:color w:val="000000" w:themeColor="text1"/>
        </w:rPr>
        <w:t>special</w:t>
      </w:r>
      <w:r w:rsidR="00C64050" w:rsidRPr="00C82498">
        <w:rPr>
          <w:color w:val="000000" w:themeColor="text1"/>
        </w:rPr>
        <w:t xml:space="preserve"> </w:t>
      </w:r>
      <w:r w:rsidRPr="00C82498">
        <w:rPr>
          <w:color w:val="000000" w:themeColor="text1"/>
        </w:rPr>
        <w:t>rule</w:t>
      </w:r>
      <w:r w:rsidR="00C64050" w:rsidRPr="00C82498">
        <w:rPr>
          <w:color w:val="000000" w:themeColor="text1"/>
        </w:rPr>
        <w:t xml:space="preserve"> </w:t>
      </w:r>
      <w:r w:rsidRPr="00C82498">
        <w:rPr>
          <w:color w:val="000000" w:themeColor="text1"/>
        </w:rPr>
        <w:t>to</w:t>
      </w:r>
      <w:r w:rsidR="00C64050" w:rsidRPr="00C82498">
        <w:rPr>
          <w:color w:val="000000" w:themeColor="text1"/>
        </w:rPr>
        <w:t xml:space="preserve"> </w:t>
      </w:r>
      <w:r w:rsidRPr="00C82498">
        <w:rPr>
          <w:color w:val="000000" w:themeColor="text1"/>
        </w:rPr>
        <w:t>transfers</w:t>
      </w:r>
      <w:r w:rsidR="00C64050" w:rsidRPr="00C82498">
        <w:rPr>
          <w:color w:val="000000" w:themeColor="text1"/>
        </w:rPr>
        <w:t xml:space="preserve"> </w:t>
      </w:r>
      <w:r w:rsidRPr="00C82498">
        <w:rPr>
          <w:color w:val="000000" w:themeColor="text1"/>
        </w:rPr>
        <w:t>made</w:t>
      </w:r>
      <w:r w:rsidR="00C64050" w:rsidRPr="00C82498">
        <w:rPr>
          <w:color w:val="000000" w:themeColor="text1"/>
        </w:rPr>
        <w:t xml:space="preserve"> </w:t>
      </w:r>
      <w:r w:rsidRPr="00C82498">
        <w:rPr>
          <w:color w:val="000000" w:themeColor="text1"/>
        </w:rPr>
        <w:t>during</w:t>
      </w:r>
      <w:r w:rsidR="00C64050" w:rsidRPr="00C82498">
        <w:rPr>
          <w:color w:val="000000" w:themeColor="text1"/>
        </w:rPr>
        <w:t xml:space="preserve"> </w:t>
      </w:r>
      <w:r w:rsidRPr="00C82498">
        <w:rPr>
          <w:color w:val="000000" w:themeColor="text1"/>
        </w:rPr>
        <w:t>the</w:t>
      </w:r>
      <w:r w:rsidR="00C64050" w:rsidRPr="00C82498">
        <w:rPr>
          <w:color w:val="000000" w:themeColor="text1"/>
        </w:rPr>
        <w:t xml:space="preserve"> </w:t>
      </w:r>
      <w:r w:rsidRPr="00C82498">
        <w:rPr>
          <w:color w:val="000000" w:themeColor="text1"/>
        </w:rPr>
        <w:t>increased</w:t>
      </w:r>
      <w:r w:rsidR="00C64050" w:rsidRPr="00C82498">
        <w:rPr>
          <w:color w:val="000000" w:themeColor="text1"/>
        </w:rPr>
        <w:t xml:space="preserve"> </w:t>
      </w:r>
      <w:r w:rsidRPr="00C82498">
        <w:rPr>
          <w:color w:val="000000" w:themeColor="text1"/>
        </w:rPr>
        <w:t>BEA</w:t>
      </w:r>
      <w:r w:rsidR="00C64050" w:rsidRPr="00C82498">
        <w:rPr>
          <w:color w:val="000000" w:themeColor="text1"/>
        </w:rPr>
        <w:t xml:space="preserve"> </w:t>
      </w:r>
      <w:r w:rsidRPr="00C82498">
        <w:rPr>
          <w:color w:val="000000" w:themeColor="text1"/>
        </w:rPr>
        <w:t>period</w:t>
      </w:r>
      <w:r w:rsidR="00C64050" w:rsidRPr="00C82498">
        <w:rPr>
          <w:color w:val="000000" w:themeColor="text1"/>
        </w:rPr>
        <w:t xml:space="preserve"> </w:t>
      </w:r>
      <w:r w:rsidRPr="00C82498">
        <w:rPr>
          <w:color w:val="000000" w:themeColor="text1"/>
        </w:rPr>
        <w:t>that</w:t>
      </w:r>
      <w:r w:rsidR="00C64050" w:rsidRPr="00C82498">
        <w:rPr>
          <w:color w:val="000000" w:themeColor="text1"/>
        </w:rPr>
        <w:t xml:space="preserve"> </w:t>
      </w:r>
      <w:r w:rsidRPr="00C82498">
        <w:rPr>
          <w:color w:val="000000" w:themeColor="text1"/>
        </w:rPr>
        <w:t>are</w:t>
      </w:r>
      <w:r w:rsidR="00C64050" w:rsidRPr="00C82498">
        <w:rPr>
          <w:color w:val="000000" w:themeColor="text1"/>
        </w:rPr>
        <w:t xml:space="preserve"> </w:t>
      </w:r>
      <w:r w:rsidRPr="00C82498">
        <w:rPr>
          <w:color w:val="000000" w:themeColor="text1"/>
        </w:rPr>
        <w:t>not</w:t>
      </w:r>
      <w:r w:rsidR="00C64050" w:rsidRPr="00C82498">
        <w:rPr>
          <w:color w:val="000000" w:themeColor="text1"/>
        </w:rPr>
        <w:t xml:space="preserve"> </w:t>
      </w:r>
      <w:r w:rsidRPr="00C82498">
        <w:rPr>
          <w:color w:val="000000" w:themeColor="text1"/>
        </w:rPr>
        <w:t>true</w:t>
      </w:r>
      <w:r w:rsidR="00C64050" w:rsidRPr="00C82498">
        <w:rPr>
          <w:color w:val="000000" w:themeColor="text1"/>
        </w:rPr>
        <w:t xml:space="preserve"> </w:t>
      </w:r>
      <w:r w:rsidRPr="00C82498">
        <w:rPr>
          <w:color w:val="000000" w:themeColor="text1"/>
        </w:rPr>
        <w:t>inter</w:t>
      </w:r>
      <w:r w:rsidR="00C64050" w:rsidRPr="00C82498">
        <w:rPr>
          <w:color w:val="000000" w:themeColor="text1"/>
        </w:rPr>
        <w:t xml:space="preserve"> </w:t>
      </w:r>
      <w:r w:rsidRPr="00C82498">
        <w:rPr>
          <w:color w:val="000000" w:themeColor="text1"/>
        </w:rPr>
        <w:t>vivos</w:t>
      </w:r>
      <w:r w:rsidR="00C64050" w:rsidRPr="00C82498">
        <w:rPr>
          <w:color w:val="000000" w:themeColor="text1"/>
        </w:rPr>
        <w:t xml:space="preserve"> </w:t>
      </w:r>
      <w:r w:rsidRPr="00C82498">
        <w:rPr>
          <w:color w:val="000000" w:themeColor="text1"/>
        </w:rPr>
        <w:t>transfers,</w:t>
      </w:r>
      <w:r w:rsidR="00C64050" w:rsidRPr="00C82498">
        <w:rPr>
          <w:color w:val="000000" w:themeColor="text1"/>
        </w:rPr>
        <w:t xml:space="preserve"> </w:t>
      </w:r>
      <w:r w:rsidRPr="00C82498">
        <w:rPr>
          <w:color w:val="000000" w:themeColor="text1"/>
        </w:rPr>
        <w:t>but</w:t>
      </w:r>
      <w:r w:rsidR="00C64050" w:rsidRPr="00C82498">
        <w:rPr>
          <w:color w:val="000000" w:themeColor="text1"/>
        </w:rPr>
        <w:t xml:space="preserve"> </w:t>
      </w:r>
      <w:r w:rsidRPr="00C82498">
        <w:rPr>
          <w:color w:val="000000" w:themeColor="text1"/>
        </w:rPr>
        <w:t>rather</w:t>
      </w:r>
      <w:r w:rsidR="00C64050" w:rsidRPr="00C82498">
        <w:rPr>
          <w:color w:val="000000" w:themeColor="text1"/>
        </w:rPr>
        <w:t xml:space="preserve"> </w:t>
      </w:r>
      <w:r w:rsidRPr="00C82498">
        <w:rPr>
          <w:color w:val="000000" w:themeColor="text1"/>
        </w:rPr>
        <w:t>are</w:t>
      </w:r>
      <w:r w:rsidR="00C64050" w:rsidRPr="00C82498">
        <w:rPr>
          <w:color w:val="000000" w:themeColor="text1"/>
        </w:rPr>
        <w:t xml:space="preserve"> </w:t>
      </w:r>
      <w:r w:rsidRPr="00C82498">
        <w:rPr>
          <w:color w:val="000000" w:themeColor="text1"/>
        </w:rPr>
        <w:t>treated</w:t>
      </w:r>
      <w:r w:rsidR="00C64050" w:rsidRPr="00C82498">
        <w:rPr>
          <w:color w:val="000000" w:themeColor="text1"/>
        </w:rPr>
        <w:t xml:space="preserve"> </w:t>
      </w:r>
      <w:r w:rsidRPr="00C82498">
        <w:rPr>
          <w:color w:val="000000" w:themeColor="text1"/>
        </w:rPr>
        <w:t>as</w:t>
      </w:r>
      <w:r w:rsidR="00C64050" w:rsidRPr="00C82498">
        <w:rPr>
          <w:color w:val="000000" w:themeColor="text1"/>
        </w:rPr>
        <w:t xml:space="preserve"> </w:t>
      </w:r>
      <w:r w:rsidRPr="00C82498">
        <w:rPr>
          <w:color w:val="000000" w:themeColor="text1"/>
        </w:rPr>
        <w:t>testamentary</w:t>
      </w:r>
      <w:r w:rsidR="00C64050" w:rsidRPr="00C82498">
        <w:rPr>
          <w:color w:val="000000" w:themeColor="text1"/>
        </w:rPr>
        <w:t xml:space="preserve"> </w:t>
      </w:r>
      <w:r w:rsidRPr="00C82498">
        <w:rPr>
          <w:color w:val="000000" w:themeColor="text1"/>
        </w:rPr>
        <w:t>transfers</w:t>
      </w:r>
      <w:r w:rsidR="00C64050" w:rsidRPr="00C82498">
        <w:rPr>
          <w:color w:val="000000" w:themeColor="text1"/>
        </w:rPr>
        <w:t xml:space="preserve"> </w:t>
      </w:r>
      <w:r w:rsidRPr="00C82498">
        <w:rPr>
          <w:color w:val="000000" w:themeColor="text1"/>
        </w:rPr>
        <w:t>for</w:t>
      </w:r>
      <w:r w:rsidR="00C64050" w:rsidRPr="00C82498">
        <w:rPr>
          <w:color w:val="000000" w:themeColor="text1"/>
        </w:rPr>
        <w:t xml:space="preserve"> </w:t>
      </w:r>
      <w:r w:rsidRPr="00C82498">
        <w:rPr>
          <w:color w:val="000000" w:themeColor="text1"/>
        </w:rPr>
        <w:t>transfer</w:t>
      </w:r>
      <w:r w:rsidR="00C64050" w:rsidRPr="00C82498">
        <w:rPr>
          <w:color w:val="000000" w:themeColor="text1"/>
        </w:rPr>
        <w:t xml:space="preserve"> </w:t>
      </w:r>
      <w:r w:rsidRPr="00C82498">
        <w:rPr>
          <w:color w:val="000000" w:themeColor="text1"/>
        </w:rPr>
        <w:t>tax</w:t>
      </w:r>
      <w:r w:rsidR="00C64050" w:rsidRPr="00C82498">
        <w:rPr>
          <w:color w:val="000000" w:themeColor="text1"/>
        </w:rPr>
        <w:t xml:space="preserve"> </w:t>
      </w:r>
      <w:r w:rsidRPr="00C82498">
        <w:rPr>
          <w:color w:val="000000" w:themeColor="text1"/>
        </w:rPr>
        <w:t>purposes.</w:t>
      </w:r>
      <w:r w:rsidR="00C64050" w:rsidRPr="00C82498">
        <w:rPr>
          <w:color w:val="000000" w:themeColor="text1"/>
        </w:rPr>
        <w:t xml:space="preserve"> </w:t>
      </w:r>
      <w:r w:rsidRPr="00C82498">
        <w:rPr>
          <w:color w:val="000000" w:themeColor="text1"/>
        </w:rPr>
        <w:t>Examples</w:t>
      </w:r>
      <w:r w:rsidR="00C64050" w:rsidRPr="00C82498">
        <w:rPr>
          <w:color w:val="000000" w:themeColor="text1"/>
        </w:rPr>
        <w:t xml:space="preserve"> </w:t>
      </w:r>
      <w:r w:rsidRPr="00C82498">
        <w:rPr>
          <w:color w:val="000000" w:themeColor="text1"/>
        </w:rPr>
        <w:t>include</w:t>
      </w:r>
      <w:r w:rsidR="00C64050" w:rsidRPr="00C82498">
        <w:rPr>
          <w:color w:val="000000" w:themeColor="text1"/>
        </w:rPr>
        <w:t xml:space="preserve"> </w:t>
      </w:r>
      <w:r w:rsidRPr="00C82498">
        <w:rPr>
          <w:color w:val="000000" w:themeColor="text1"/>
        </w:rPr>
        <w:t>transfers</w:t>
      </w:r>
      <w:r w:rsidR="00C64050" w:rsidRPr="00C82498">
        <w:rPr>
          <w:color w:val="000000" w:themeColor="text1"/>
        </w:rPr>
        <w:t xml:space="preserve"> </w:t>
      </w:r>
      <w:r w:rsidRPr="00C82498">
        <w:rPr>
          <w:color w:val="000000" w:themeColor="text1"/>
        </w:rPr>
        <w:t>subject</w:t>
      </w:r>
      <w:r w:rsidR="00C64050" w:rsidRPr="00C82498">
        <w:rPr>
          <w:color w:val="000000" w:themeColor="text1"/>
        </w:rPr>
        <w:t xml:space="preserve"> </w:t>
      </w:r>
      <w:r w:rsidRPr="00C82498">
        <w:rPr>
          <w:color w:val="000000" w:themeColor="text1"/>
        </w:rPr>
        <w:t>to</w:t>
      </w:r>
      <w:r w:rsidR="00C64050" w:rsidRPr="00C82498">
        <w:rPr>
          <w:color w:val="000000" w:themeColor="text1"/>
        </w:rPr>
        <w:t xml:space="preserve"> </w:t>
      </w:r>
      <w:r w:rsidRPr="00C82498">
        <w:rPr>
          <w:color w:val="000000" w:themeColor="text1"/>
        </w:rPr>
        <w:t>a</w:t>
      </w:r>
      <w:r w:rsidR="00C64050" w:rsidRPr="00C82498">
        <w:rPr>
          <w:color w:val="000000" w:themeColor="text1"/>
        </w:rPr>
        <w:t xml:space="preserve"> </w:t>
      </w:r>
      <w:r w:rsidRPr="00C82498">
        <w:rPr>
          <w:color w:val="000000" w:themeColor="text1"/>
        </w:rPr>
        <w:t>retained</w:t>
      </w:r>
      <w:r w:rsidR="00C64050" w:rsidRPr="00C82498">
        <w:rPr>
          <w:color w:val="000000" w:themeColor="text1"/>
        </w:rPr>
        <w:t xml:space="preserve"> </w:t>
      </w:r>
      <w:r w:rsidRPr="00C82498">
        <w:rPr>
          <w:color w:val="000000" w:themeColor="text1"/>
        </w:rPr>
        <w:t>life</w:t>
      </w:r>
      <w:r w:rsidR="00C64050" w:rsidRPr="00C82498">
        <w:rPr>
          <w:color w:val="000000" w:themeColor="text1"/>
        </w:rPr>
        <w:t xml:space="preserve"> </w:t>
      </w:r>
      <w:r w:rsidRPr="00C82498">
        <w:rPr>
          <w:color w:val="000000" w:themeColor="text1"/>
        </w:rPr>
        <w:t>estate</w:t>
      </w:r>
      <w:r w:rsidR="00C64050" w:rsidRPr="00C82498">
        <w:rPr>
          <w:color w:val="000000" w:themeColor="text1"/>
        </w:rPr>
        <w:t xml:space="preserve"> </w:t>
      </w:r>
      <w:r w:rsidRPr="00C82498">
        <w:rPr>
          <w:color w:val="000000" w:themeColor="text1"/>
        </w:rPr>
        <w:t>or</w:t>
      </w:r>
      <w:r w:rsidR="00C64050" w:rsidRPr="00C82498">
        <w:rPr>
          <w:color w:val="000000" w:themeColor="text1"/>
        </w:rPr>
        <w:t xml:space="preserve"> </w:t>
      </w:r>
      <w:r w:rsidRPr="00C82498">
        <w:rPr>
          <w:color w:val="000000" w:themeColor="text1"/>
        </w:rPr>
        <w:t>other</w:t>
      </w:r>
      <w:r w:rsidR="00C64050" w:rsidRPr="00C82498">
        <w:rPr>
          <w:color w:val="000000" w:themeColor="text1"/>
        </w:rPr>
        <w:t xml:space="preserve"> </w:t>
      </w:r>
      <w:r w:rsidRPr="00C82498">
        <w:rPr>
          <w:color w:val="000000" w:themeColor="text1"/>
        </w:rPr>
        <w:t>retained</w:t>
      </w:r>
      <w:r w:rsidR="00C64050" w:rsidRPr="00C82498">
        <w:rPr>
          <w:color w:val="000000" w:themeColor="text1"/>
        </w:rPr>
        <w:t xml:space="preserve"> </w:t>
      </w:r>
      <w:r w:rsidRPr="00C82498">
        <w:rPr>
          <w:color w:val="000000" w:themeColor="text1"/>
        </w:rPr>
        <w:t>powers</w:t>
      </w:r>
      <w:r w:rsidR="00C64050" w:rsidRPr="00C82498">
        <w:rPr>
          <w:color w:val="000000" w:themeColor="text1"/>
        </w:rPr>
        <w:t xml:space="preserve"> </w:t>
      </w:r>
      <w:r w:rsidRPr="00C82498">
        <w:rPr>
          <w:color w:val="000000" w:themeColor="text1"/>
        </w:rPr>
        <w:t>or</w:t>
      </w:r>
      <w:r w:rsidR="00C64050" w:rsidRPr="00C82498">
        <w:rPr>
          <w:color w:val="000000" w:themeColor="text1"/>
        </w:rPr>
        <w:t xml:space="preserve"> </w:t>
      </w:r>
      <w:r w:rsidRPr="00C82498">
        <w:rPr>
          <w:color w:val="000000" w:themeColor="text1"/>
        </w:rPr>
        <w:t>interests,</w:t>
      </w:r>
      <w:r w:rsidR="00C64050" w:rsidRPr="00C82498">
        <w:rPr>
          <w:color w:val="000000" w:themeColor="text1"/>
        </w:rPr>
        <w:t xml:space="preserve"> </w:t>
      </w:r>
      <w:r w:rsidRPr="00C82498">
        <w:rPr>
          <w:color w:val="000000" w:themeColor="text1"/>
        </w:rPr>
        <w:t>and</w:t>
      </w:r>
      <w:r w:rsidR="00C64050" w:rsidRPr="00C82498">
        <w:rPr>
          <w:color w:val="000000" w:themeColor="text1"/>
        </w:rPr>
        <w:t xml:space="preserve"> </w:t>
      </w:r>
      <w:r w:rsidRPr="00C82498">
        <w:rPr>
          <w:color w:val="000000" w:themeColor="text1"/>
        </w:rPr>
        <w:t>certain</w:t>
      </w:r>
      <w:r w:rsidR="00C64050" w:rsidRPr="00C82498">
        <w:rPr>
          <w:color w:val="000000" w:themeColor="text1"/>
        </w:rPr>
        <w:t xml:space="preserve"> </w:t>
      </w:r>
      <w:r w:rsidRPr="00C82498">
        <w:rPr>
          <w:color w:val="000000" w:themeColor="text1"/>
        </w:rPr>
        <w:t>transfers</w:t>
      </w:r>
      <w:r w:rsidR="00C64050" w:rsidRPr="00C82498">
        <w:rPr>
          <w:color w:val="000000" w:themeColor="text1"/>
        </w:rPr>
        <w:t xml:space="preserve"> </w:t>
      </w:r>
      <w:r w:rsidRPr="00C82498">
        <w:rPr>
          <w:color w:val="000000" w:themeColor="text1"/>
        </w:rPr>
        <w:t>within</w:t>
      </w:r>
      <w:r w:rsidR="00C64050" w:rsidRPr="00C82498">
        <w:rPr>
          <w:color w:val="000000" w:themeColor="text1"/>
        </w:rPr>
        <w:t xml:space="preserve"> </w:t>
      </w:r>
      <w:r w:rsidRPr="00C82498">
        <w:rPr>
          <w:color w:val="000000" w:themeColor="text1"/>
        </w:rPr>
        <w:t>the</w:t>
      </w:r>
      <w:r w:rsidR="00C64050" w:rsidRPr="00C82498">
        <w:rPr>
          <w:color w:val="000000" w:themeColor="text1"/>
        </w:rPr>
        <w:t xml:space="preserve"> </w:t>
      </w:r>
      <w:r w:rsidRPr="00C82498">
        <w:rPr>
          <w:color w:val="000000" w:themeColor="text1"/>
        </w:rPr>
        <w:t>purview</w:t>
      </w:r>
      <w:r w:rsidR="00C64050" w:rsidRPr="00C82498">
        <w:rPr>
          <w:color w:val="000000" w:themeColor="text1"/>
        </w:rPr>
        <w:t xml:space="preserve"> </w:t>
      </w:r>
      <w:r w:rsidRPr="00C82498">
        <w:rPr>
          <w:color w:val="000000" w:themeColor="text1"/>
        </w:rPr>
        <w:t>of</w:t>
      </w:r>
      <w:r w:rsidR="00C64050" w:rsidRPr="00C82498">
        <w:rPr>
          <w:color w:val="000000" w:themeColor="text1"/>
        </w:rPr>
        <w:t xml:space="preserve"> </w:t>
      </w:r>
      <w:r w:rsidRPr="00C82498">
        <w:rPr>
          <w:color w:val="000000" w:themeColor="text1"/>
        </w:rPr>
        <w:t>chapter</w:t>
      </w:r>
      <w:r w:rsidR="00C64050" w:rsidRPr="00C82498">
        <w:rPr>
          <w:color w:val="000000" w:themeColor="text1"/>
        </w:rPr>
        <w:t xml:space="preserve"> </w:t>
      </w:r>
      <w:r w:rsidRPr="00C82498">
        <w:rPr>
          <w:color w:val="000000" w:themeColor="text1"/>
        </w:rPr>
        <w:t>14</w:t>
      </w:r>
      <w:r w:rsidR="00C64050" w:rsidRPr="00C82498">
        <w:rPr>
          <w:color w:val="000000" w:themeColor="text1"/>
        </w:rPr>
        <w:t xml:space="preserve"> </w:t>
      </w:r>
      <w:r w:rsidRPr="00C82498">
        <w:rPr>
          <w:color w:val="000000" w:themeColor="text1"/>
        </w:rPr>
        <w:t>of</w:t>
      </w:r>
      <w:r w:rsidR="00C64050" w:rsidRPr="00C82498">
        <w:rPr>
          <w:color w:val="000000" w:themeColor="text1"/>
        </w:rPr>
        <w:t xml:space="preserve"> </w:t>
      </w:r>
      <w:r w:rsidRPr="00C82498">
        <w:rPr>
          <w:color w:val="000000" w:themeColor="text1"/>
        </w:rPr>
        <w:t>subtitle</w:t>
      </w:r>
      <w:r w:rsidR="00C64050" w:rsidRPr="00C82498">
        <w:rPr>
          <w:color w:val="000000" w:themeColor="text1"/>
        </w:rPr>
        <w:t xml:space="preserve"> </w:t>
      </w:r>
      <w:r w:rsidRPr="00C82498">
        <w:rPr>
          <w:color w:val="000000" w:themeColor="text1"/>
        </w:rPr>
        <w:t>B</w:t>
      </w:r>
      <w:r w:rsidR="00C64050" w:rsidRPr="00C82498">
        <w:rPr>
          <w:color w:val="000000" w:themeColor="text1"/>
        </w:rPr>
        <w:t xml:space="preserve"> </w:t>
      </w:r>
      <w:r w:rsidRPr="00C82498">
        <w:rPr>
          <w:color w:val="000000" w:themeColor="text1"/>
        </w:rPr>
        <w:t>of</w:t>
      </w:r>
      <w:r w:rsidR="00C64050" w:rsidRPr="00C82498">
        <w:rPr>
          <w:color w:val="000000" w:themeColor="text1"/>
        </w:rPr>
        <w:t xml:space="preserve"> </w:t>
      </w:r>
      <w:r w:rsidRPr="00C82498">
        <w:rPr>
          <w:color w:val="000000" w:themeColor="text1"/>
        </w:rPr>
        <w:t>the</w:t>
      </w:r>
      <w:r w:rsidR="00C64050" w:rsidRPr="00C82498">
        <w:rPr>
          <w:color w:val="000000" w:themeColor="text1"/>
        </w:rPr>
        <w:t xml:space="preserve"> </w:t>
      </w:r>
      <w:r w:rsidRPr="00C82498">
        <w:rPr>
          <w:color w:val="000000" w:themeColor="text1"/>
        </w:rPr>
        <w:t>Code.</w:t>
      </w:r>
      <w:r w:rsidR="00C64050" w:rsidRPr="00C82498">
        <w:rPr>
          <w:color w:val="000000" w:themeColor="text1"/>
        </w:rPr>
        <w:t xml:space="preserve"> </w:t>
      </w:r>
      <w:r w:rsidRPr="00C82498">
        <w:rPr>
          <w:color w:val="000000" w:themeColor="text1"/>
        </w:rPr>
        <w:t>The</w:t>
      </w:r>
      <w:r w:rsidR="00C64050" w:rsidRPr="00C82498">
        <w:rPr>
          <w:color w:val="000000" w:themeColor="text1"/>
        </w:rPr>
        <w:t xml:space="preserve"> </w:t>
      </w:r>
      <w:r w:rsidRPr="00C82498">
        <w:rPr>
          <w:color w:val="000000" w:themeColor="text1"/>
        </w:rPr>
        <w:t>purpose</w:t>
      </w:r>
      <w:r w:rsidR="00C64050" w:rsidRPr="00C82498">
        <w:rPr>
          <w:color w:val="000000" w:themeColor="text1"/>
        </w:rPr>
        <w:t xml:space="preserve"> </w:t>
      </w:r>
      <w:r w:rsidRPr="00C82498">
        <w:rPr>
          <w:color w:val="000000" w:themeColor="text1"/>
        </w:rPr>
        <w:t>of</w:t>
      </w:r>
      <w:r w:rsidR="00C64050" w:rsidRPr="00C82498">
        <w:rPr>
          <w:color w:val="000000" w:themeColor="text1"/>
        </w:rPr>
        <w:t xml:space="preserve"> </w:t>
      </w:r>
      <w:r w:rsidRPr="00C82498">
        <w:rPr>
          <w:color w:val="000000" w:themeColor="text1"/>
        </w:rPr>
        <w:t>the</w:t>
      </w:r>
      <w:r w:rsidR="00C64050" w:rsidRPr="00C82498">
        <w:rPr>
          <w:color w:val="000000" w:themeColor="text1"/>
        </w:rPr>
        <w:t xml:space="preserve"> </w:t>
      </w:r>
      <w:r w:rsidRPr="00C82498">
        <w:rPr>
          <w:color w:val="000000" w:themeColor="text1"/>
        </w:rPr>
        <w:t>special</w:t>
      </w:r>
      <w:r w:rsidR="00C64050" w:rsidRPr="00C82498">
        <w:rPr>
          <w:color w:val="000000" w:themeColor="text1"/>
        </w:rPr>
        <w:t xml:space="preserve"> </w:t>
      </w:r>
      <w:r w:rsidRPr="00C82498">
        <w:rPr>
          <w:color w:val="000000" w:themeColor="text1"/>
        </w:rPr>
        <w:t>rule</w:t>
      </w:r>
      <w:r w:rsidR="00C64050" w:rsidRPr="00C82498">
        <w:rPr>
          <w:color w:val="000000" w:themeColor="text1"/>
        </w:rPr>
        <w:t xml:space="preserve"> </w:t>
      </w:r>
      <w:r w:rsidRPr="00C82498">
        <w:rPr>
          <w:color w:val="000000" w:themeColor="text1"/>
        </w:rPr>
        <w:t>is</w:t>
      </w:r>
      <w:r w:rsidR="00C64050" w:rsidRPr="00C82498">
        <w:rPr>
          <w:color w:val="000000" w:themeColor="text1"/>
        </w:rPr>
        <w:t xml:space="preserve"> </w:t>
      </w:r>
      <w:r w:rsidRPr="00C82498">
        <w:rPr>
          <w:color w:val="000000" w:themeColor="text1"/>
        </w:rPr>
        <w:t>to</w:t>
      </w:r>
      <w:r w:rsidR="00C64050" w:rsidRPr="00C82498">
        <w:rPr>
          <w:color w:val="000000" w:themeColor="text1"/>
        </w:rPr>
        <w:t xml:space="preserve"> </w:t>
      </w:r>
      <w:r w:rsidRPr="00C82498">
        <w:rPr>
          <w:color w:val="000000" w:themeColor="text1"/>
        </w:rPr>
        <w:t>ensure</w:t>
      </w:r>
      <w:r w:rsidR="00C64050" w:rsidRPr="00C82498">
        <w:rPr>
          <w:color w:val="000000" w:themeColor="text1"/>
        </w:rPr>
        <w:t xml:space="preserve"> </w:t>
      </w:r>
      <w:r w:rsidRPr="00C82498">
        <w:rPr>
          <w:color w:val="000000" w:themeColor="text1"/>
        </w:rPr>
        <w:t>that</w:t>
      </w:r>
      <w:r w:rsidR="00C64050" w:rsidRPr="00C82498">
        <w:rPr>
          <w:color w:val="000000" w:themeColor="text1"/>
        </w:rPr>
        <w:t xml:space="preserve"> </w:t>
      </w:r>
      <w:r w:rsidRPr="00C82498">
        <w:rPr>
          <w:color w:val="000000" w:themeColor="text1"/>
        </w:rPr>
        <w:t>bona</w:t>
      </w:r>
      <w:r w:rsidR="00C64050" w:rsidRPr="00C82498">
        <w:rPr>
          <w:color w:val="000000" w:themeColor="text1"/>
        </w:rPr>
        <w:t xml:space="preserve"> </w:t>
      </w:r>
      <w:r w:rsidRPr="00C82498">
        <w:rPr>
          <w:color w:val="000000" w:themeColor="text1"/>
        </w:rPr>
        <w:t>fide</w:t>
      </w:r>
      <w:r w:rsidR="00C64050" w:rsidRPr="00C82498">
        <w:rPr>
          <w:color w:val="000000" w:themeColor="text1"/>
        </w:rPr>
        <w:t xml:space="preserve"> </w:t>
      </w:r>
      <w:r w:rsidRPr="00C82498">
        <w:rPr>
          <w:color w:val="000000" w:themeColor="text1"/>
        </w:rPr>
        <w:t>inter</w:t>
      </w:r>
      <w:r w:rsidR="00C64050" w:rsidRPr="00C82498">
        <w:rPr>
          <w:color w:val="000000" w:themeColor="text1"/>
        </w:rPr>
        <w:t xml:space="preserve"> </w:t>
      </w:r>
      <w:r w:rsidRPr="00C82498">
        <w:rPr>
          <w:color w:val="000000" w:themeColor="text1"/>
        </w:rPr>
        <w:t>vivos</w:t>
      </w:r>
      <w:r w:rsidR="00C64050" w:rsidRPr="00C82498">
        <w:rPr>
          <w:color w:val="000000" w:themeColor="text1"/>
        </w:rPr>
        <w:t xml:space="preserve"> </w:t>
      </w:r>
      <w:r w:rsidRPr="00C82498">
        <w:rPr>
          <w:color w:val="000000" w:themeColor="text1"/>
        </w:rPr>
        <w:t>transfers</w:t>
      </w:r>
      <w:r w:rsidR="00C64050" w:rsidRPr="00C82498">
        <w:rPr>
          <w:color w:val="000000" w:themeColor="text1"/>
        </w:rPr>
        <w:t xml:space="preserve"> </w:t>
      </w:r>
      <w:r w:rsidRPr="00C82498">
        <w:rPr>
          <w:color w:val="000000" w:themeColor="text1"/>
        </w:rPr>
        <w:t>are</w:t>
      </w:r>
      <w:r w:rsidR="00C64050" w:rsidRPr="00C82498">
        <w:rPr>
          <w:color w:val="000000" w:themeColor="text1"/>
        </w:rPr>
        <w:t xml:space="preserve"> </w:t>
      </w:r>
      <w:r w:rsidRPr="00C82498">
        <w:rPr>
          <w:color w:val="000000" w:themeColor="text1"/>
        </w:rPr>
        <w:t>not</w:t>
      </w:r>
      <w:r w:rsidR="00C64050" w:rsidRPr="00C82498">
        <w:rPr>
          <w:color w:val="000000" w:themeColor="text1"/>
        </w:rPr>
        <w:t xml:space="preserve"> </w:t>
      </w:r>
      <w:r w:rsidRPr="00C82498">
        <w:rPr>
          <w:color w:val="000000" w:themeColor="text1"/>
        </w:rPr>
        <w:t>subject</w:t>
      </w:r>
      <w:r w:rsidR="00C64050" w:rsidRPr="00C82498">
        <w:rPr>
          <w:color w:val="000000" w:themeColor="text1"/>
        </w:rPr>
        <w:t xml:space="preserve"> </w:t>
      </w:r>
      <w:r w:rsidRPr="00C82498">
        <w:rPr>
          <w:color w:val="000000" w:themeColor="text1"/>
        </w:rPr>
        <w:t>to</w:t>
      </w:r>
      <w:r w:rsidR="00C64050" w:rsidRPr="00C82498">
        <w:rPr>
          <w:color w:val="000000" w:themeColor="text1"/>
        </w:rPr>
        <w:t xml:space="preserve"> </w:t>
      </w:r>
      <w:r w:rsidRPr="00C82498">
        <w:rPr>
          <w:color w:val="000000" w:themeColor="text1"/>
        </w:rPr>
        <w:t>inconsistent</w:t>
      </w:r>
      <w:r w:rsidR="00C64050" w:rsidRPr="00C82498">
        <w:rPr>
          <w:color w:val="000000" w:themeColor="text1"/>
        </w:rPr>
        <w:t xml:space="preserve"> </w:t>
      </w:r>
      <w:r w:rsidRPr="00C82498">
        <w:rPr>
          <w:color w:val="000000" w:themeColor="text1"/>
        </w:rPr>
        <w:t>treatment</w:t>
      </w:r>
      <w:r w:rsidR="00C64050" w:rsidRPr="00C82498">
        <w:rPr>
          <w:color w:val="000000" w:themeColor="text1"/>
        </w:rPr>
        <w:t xml:space="preserve"> </w:t>
      </w:r>
      <w:r w:rsidRPr="00C82498">
        <w:rPr>
          <w:color w:val="000000" w:themeColor="text1"/>
        </w:rPr>
        <w:t>for</w:t>
      </w:r>
      <w:r w:rsidR="00C64050" w:rsidRPr="00C82498">
        <w:rPr>
          <w:color w:val="000000" w:themeColor="text1"/>
        </w:rPr>
        <w:t xml:space="preserve"> </w:t>
      </w:r>
      <w:r w:rsidRPr="00C82498">
        <w:rPr>
          <w:color w:val="000000" w:themeColor="text1"/>
        </w:rPr>
        <w:t>estate</w:t>
      </w:r>
      <w:r w:rsidR="00C64050" w:rsidRPr="00C82498">
        <w:rPr>
          <w:color w:val="000000" w:themeColor="text1"/>
        </w:rPr>
        <w:t xml:space="preserve"> </w:t>
      </w:r>
      <w:r w:rsidRPr="00C82498">
        <w:rPr>
          <w:color w:val="000000" w:themeColor="text1"/>
        </w:rPr>
        <w:t>tax</w:t>
      </w:r>
      <w:r w:rsidR="00C64050" w:rsidRPr="00C82498">
        <w:rPr>
          <w:color w:val="000000" w:themeColor="text1"/>
        </w:rPr>
        <w:t xml:space="preserve"> </w:t>
      </w:r>
      <w:r w:rsidRPr="00C82498">
        <w:rPr>
          <w:color w:val="000000" w:themeColor="text1"/>
        </w:rPr>
        <w:t>purposes.</w:t>
      </w:r>
      <w:r w:rsidR="00C64050" w:rsidRPr="00C82498">
        <w:rPr>
          <w:color w:val="000000" w:themeColor="text1"/>
        </w:rPr>
        <w:t xml:space="preserve"> </w:t>
      </w:r>
      <w:r w:rsidRPr="00C82498">
        <w:rPr>
          <w:color w:val="000000" w:themeColor="text1"/>
        </w:rPr>
        <w:t>Arguably,</w:t>
      </w:r>
      <w:r w:rsidR="00C64050" w:rsidRPr="00C82498">
        <w:rPr>
          <w:color w:val="000000" w:themeColor="text1"/>
        </w:rPr>
        <w:t xml:space="preserve"> </w:t>
      </w:r>
      <w:r w:rsidRPr="00C82498">
        <w:rPr>
          <w:color w:val="000000" w:themeColor="text1"/>
        </w:rPr>
        <w:t>the</w:t>
      </w:r>
      <w:r w:rsidR="00C64050" w:rsidRPr="00C82498">
        <w:rPr>
          <w:color w:val="000000" w:themeColor="text1"/>
        </w:rPr>
        <w:t xml:space="preserve"> </w:t>
      </w:r>
      <w:r w:rsidRPr="00C82498">
        <w:rPr>
          <w:color w:val="000000" w:themeColor="text1"/>
        </w:rPr>
        <w:t>possibility</w:t>
      </w:r>
      <w:r w:rsidR="00C64050" w:rsidRPr="00C82498">
        <w:rPr>
          <w:color w:val="000000" w:themeColor="text1"/>
        </w:rPr>
        <w:t xml:space="preserve"> </w:t>
      </w:r>
      <w:r w:rsidRPr="00C82498">
        <w:rPr>
          <w:color w:val="000000" w:themeColor="text1"/>
        </w:rPr>
        <w:t>of</w:t>
      </w:r>
      <w:r w:rsidR="00C64050" w:rsidRPr="00C82498">
        <w:rPr>
          <w:color w:val="000000" w:themeColor="text1"/>
        </w:rPr>
        <w:t xml:space="preserve"> </w:t>
      </w:r>
      <w:r w:rsidRPr="00C82498">
        <w:rPr>
          <w:color w:val="000000" w:themeColor="text1"/>
        </w:rPr>
        <w:t>inconsistent</w:t>
      </w:r>
      <w:r w:rsidR="00C64050" w:rsidRPr="00C82498">
        <w:rPr>
          <w:color w:val="000000" w:themeColor="text1"/>
        </w:rPr>
        <w:t xml:space="preserve"> </w:t>
      </w:r>
      <w:r w:rsidRPr="00C82498">
        <w:rPr>
          <w:color w:val="000000" w:themeColor="text1"/>
        </w:rPr>
        <w:t>treatment</w:t>
      </w:r>
      <w:r w:rsidR="00C64050" w:rsidRPr="00C82498">
        <w:rPr>
          <w:color w:val="000000" w:themeColor="text1"/>
        </w:rPr>
        <w:t xml:space="preserve"> </w:t>
      </w:r>
      <w:r w:rsidRPr="00C82498">
        <w:rPr>
          <w:color w:val="000000" w:themeColor="text1"/>
        </w:rPr>
        <w:t>does</w:t>
      </w:r>
      <w:r w:rsidR="00C64050" w:rsidRPr="00C82498">
        <w:rPr>
          <w:color w:val="000000" w:themeColor="text1"/>
        </w:rPr>
        <w:t xml:space="preserve"> </w:t>
      </w:r>
      <w:r w:rsidRPr="00C82498">
        <w:rPr>
          <w:color w:val="000000" w:themeColor="text1"/>
        </w:rPr>
        <w:t>not</w:t>
      </w:r>
      <w:r w:rsidR="00C64050" w:rsidRPr="00C82498">
        <w:rPr>
          <w:color w:val="000000" w:themeColor="text1"/>
        </w:rPr>
        <w:t xml:space="preserve"> </w:t>
      </w:r>
      <w:r w:rsidRPr="00C82498">
        <w:rPr>
          <w:color w:val="000000" w:themeColor="text1"/>
        </w:rPr>
        <w:t>arise</w:t>
      </w:r>
      <w:r w:rsidR="00C64050" w:rsidRPr="00C82498">
        <w:rPr>
          <w:color w:val="000000" w:themeColor="text1"/>
        </w:rPr>
        <w:t xml:space="preserve"> </w:t>
      </w:r>
      <w:r w:rsidRPr="00C82498">
        <w:rPr>
          <w:color w:val="000000" w:themeColor="text1"/>
        </w:rPr>
        <w:t>with</w:t>
      </w:r>
      <w:r w:rsidR="00C64050" w:rsidRPr="00C82498">
        <w:rPr>
          <w:color w:val="000000" w:themeColor="text1"/>
        </w:rPr>
        <w:t xml:space="preserve"> </w:t>
      </w:r>
      <w:r w:rsidRPr="00C82498">
        <w:rPr>
          <w:color w:val="000000" w:themeColor="text1"/>
        </w:rPr>
        <w:t>regard</w:t>
      </w:r>
      <w:r w:rsidR="00C64050" w:rsidRPr="00C82498">
        <w:rPr>
          <w:color w:val="000000" w:themeColor="text1"/>
        </w:rPr>
        <w:t xml:space="preserve"> </w:t>
      </w:r>
      <w:r w:rsidRPr="00C82498">
        <w:rPr>
          <w:color w:val="000000" w:themeColor="text1"/>
        </w:rPr>
        <w:t>to</w:t>
      </w:r>
      <w:r w:rsidR="00C64050" w:rsidRPr="00C82498">
        <w:rPr>
          <w:color w:val="000000" w:themeColor="text1"/>
        </w:rPr>
        <w:t xml:space="preserve"> </w:t>
      </w:r>
      <w:r w:rsidRPr="00C82498">
        <w:rPr>
          <w:color w:val="000000" w:themeColor="text1"/>
        </w:rPr>
        <w:t>transfers</w:t>
      </w:r>
      <w:r w:rsidR="00C64050" w:rsidRPr="00C82498">
        <w:rPr>
          <w:color w:val="000000" w:themeColor="text1"/>
        </w:rPr>
        <w:t xml:space="preserve"> </w:t>
      </w:r>
      <w:r w:rsidRPr="00C82498">
        <w:rPr>
          <w:color w:val="000000" w:themeColor="text1"/>
        </w:rPr>
        <w:t>that</w:t>
      </w:r>
      <w:r w:rsidR="00C64050" w:rsidRPr="00C82498">
        <w:rPr>
          <w:color w:val="000000" w:themeColor="text1"/>
        </w:rPr>
        <w:t xml:space="preserve"> </w:t>
      </w:r>
      <w:r w:rsidRPr="00C82498">
        <w:rPr>
          <w:color w:val="000000" w:themeColor="text1"/>
        </w:rPr>
        <w:t>are</w:t>
      </w:r>
      <w:r w:rsidR="00C64050" w:rsidRPr="00C82498">
        <w:rPr>
          <w:color w:val="000000" w:themeColor="text1"/>
        </w:rPr>
        <w:t xml:space="preserve"> </w:t>
      </w:r>
      <w:r w:rsidRPr="00C82498">
        <w:rPr>
          <w:color w:val="000000" w:themeColor="text1"/>
        </w:rPr>
        <w:t>treated</w:t>
      </w:r>
      <w:r w:rsidR="00C64050" w:rsidRPr="00C82498">
        <w:rPr>
          <w:color w:val="000000" w:themeColor="text1"/>
        </w:rPr>
        <w:t xml:space="preserve"> </w:t>
      </w:r>
      <w:r w:rsidRPr="00C82498">
        <w:rPr>
          <w:color w:val="000000" w:themeColor="text1"/>
        </w:rPr>
        <w:t>as</w:t>
      </w:r>
      <w:r w:rsidR="00C64050" w:rsidRPr="00C82498">
        <w:rPr>
          <w:color w:val="000000" w:themeColor="text1"/>
        </w:rPr>
        <w:t xml:space="preserve"> </w:t>
      </w:r>
      <w:r w:rsidRPr="00C82498">
        <w:rPr>
          <w:color w:val="000000" w:themeColor="text1"/>
        </w:rPr>
        <w:t>part</w:t>
      </w:r>
      <w:r w:rsidR="00C64050" w:rsidRPr="00C82498">
        <w:rPr>
          <w:color w:val="000000" w:themeColor="text1"/>
        </w:rPr>
        <w:t xml:space="preserve"> </w:t>
      </w:r>
      <w:r w:rsidRPr="00C82498">
        <w:rPr>
          <w:color w:val="000000" w:themeColor="text1"/>
        </w:rPr>
        <w:t>of</w:t>
      </w:r>
      <w:r w:rsidR="00C64050" w:rsidRPr="00C82498">
        <w:rPr>
          <w:color w:val="000000" w:themeColor="text1"/>
        </w:rPr>
        <w:t xml:space="preserve"> </w:t>
      </w:r>
      <w:r w:rsidRPr="00C82498">
        <w:rPr>
          <w:color w:val="000000" w:themeColor="text1"/>
        </w:rPr>
        <w:t>the</w:t>
      </w:r>
      <w:r w:rsidR="00C64050" w:rsidRPr="00C82498">
        <w:rPr>
          <w:color w:val="000000" w:themeColor="text1"/>
        </w:rPr>
        <w:t xml:space="preserve"> </w:t>
      </w:r>
      <w:r w:rsidRPr="00C82498">
        <w:rPr>
          <w:color w:val="000000" w:themeColor="text1"/>
        </w:rPr>
        <w:t>gross</w:t>
      </w:r>
      <w:r w:rsidR="00C64050" w:rsidRPr="00C82498">
        <w:rPr>
          <w:color w:val="000000" w:themeColor="text1"/>
        </w:rPr>
        <w:t xml:space="preserve"> </w:t>
      </w:r>
      <w:r w:rsidRPr="00C82498">
        <w:rPr>
          <w:color w:val="000000" w:themeColor="text1"/>
        </w:rPr>
        <w:t>estate</w:t>
      </w:r>
      <w:r w:rsidR="00C64050" w:rsidRPr="00C82498">
        <w:rPr>
          <w:color w:val="000000" w:themeColor="text1"/>
        </w:rPr>
        <w:t xml:space="preserve"> </w:t>
      </w:r>
      <w:r w:rsidRPr="00C82498">
        <w:rPr>
          <w:color w:val="000000" w:themeColor="text1"/>
        </w:rPr>
        <w:t>for</w:t>
      </w:r>
      <w:r w:rsidR="00C64050" w:rsidRPr="00C82498">
        <w:rPr>
          <w:color w:val="000000" w:themeColor="text1"/>
        </w:rPr>
        <w:t xml:space="preserve"> </w:t>
      </w:r>
      <w:r w:rsidRPr="00C82498">
        <w:rPr>
          <w:color w:val="000000" w:themeColor="text1"/>
        </w:rPr>
        <w:t>estate</w:t>
      </w:r>
      <w:r w:rsidR="00C64050" w:rsidRPr="00C82498">
        <w:rPr>
          <w:color w:val="000000" w:themeColor="text1"/>
        </w:rPr>
        <w:t xml:space="preserve"> </w:t>
      </w:r>
      <w:r w:rsidRPr="00C82498">
        <w:rPr>
          <w:color w:val="000000" w:themeColor="text1"/>
        </w:rPr>
        <w:t>tax</w:t>
      </w:r>
      <w:r w:rsidR="00C64050" w:rsidRPr="00C82498">
        <w:rPr>
          <w:color w:val="000000" w:themeColor="text1"/>
        </w:rPr>
        <w:t xml:space="preserve"> </w:t>
      </w:r>
      <w:r w:rsidRPr="00C82498">
        <w:rPr>
          <w:color w:val="000000" w:themeColor="text1"/>
        </w:rPr>
        <w:t>purposes,</w:t>
      </w:r>
      <w:r w:rsidR="00C64050" w:rsidRPr="00C82498">
        <w:rPr>
          <w:color w:val="000000" w:themeColor="text1"/>
        </w:rPr>
        <w:t xml:space="preserve"> </w:t>
      </w:r>
      <w:r w:rsidRPr="00C82498">
        <w:rPr>
          <w:color w:val="000000" w:themeColor="text1"/>
        </w:rPr>
        <w:t>rather</w:t>
      </w:r>
      <w:r w:rsidR="00C64050" w:rsidRPr="00C82498">
        <w:rPr>
          <w:color w:val="000000" w:themeColor="text1"/>
        </w:rPr>
        <w:t xml:space="preserve"> </w:t>
      </w:r>
      <w:r w:rsidRPr="00C82498">
        <w:rPr>
          <w:color w:val="000000" w:themeColor="text1"/>
        </w:rPr>
        <w:t>than</w:t>
      </w:r>
      <w:r w:rsidR="00C64050" w:rsidRPr="00C82498">
        <w:rPr>
          <w:color w:val="000000" w:themeColor="text1"/>
        </w:rPr>
        <w:t xml:space="preserve"> </w:t>
      </w:r>
      <w:r w:rsidRPr="00C82498">
        <w:rPr>
          <w:color w:val="000000" w:themeColor="text1"/>
        </w:rPr>
        <w:t>as</w:t>
      </w:r>
      <w:r w:rsidR="00C64050" w:rsidRPr="00C82498">
        <w:rPr>
          <w:color w:val="000000" w:themeColor="text1"/>
        </w:rPr>
        <w:t xml:space="preserve"> </w:t>
      </w:r>
      <w:r w:rsidRPr="00C82498">
        <w:rPr>
          <w:color w:val="000000" w:themeColor="text1"/>
        </w:rPr>
        <w:t>adjusted</w:t>
      </w:r>
      <w:r w:rsidR="00C64050" w:rsidRPr="00C82498">
        <w:rPr>
          <w:color w:val="000000" w:themeColor="text1"/>
        </w:rPr>
        <w:t xml:space="preserve"> </w:t>
      </w:r>
      <w:r w:rsidRPr="00C82498">
        <w:rPr>
          <w:color w:val="000000" w:themeColor="text1"/>
        </w:rPr>
        <w:t>taxable</w:t>
      </w:r>
      <w:r w:rsidR="00C64050" w:rsidRPr="00C82498">
        <w:rPr>
          <w:color w:val="000000" w:themeColor="text1"/>
        </w:rPr>
        <w:t xml:space="preserve"> </w:t>
      </w:r>
      <w:r w:rsidRPr="00C82498">
        <w:rPr>
          <w:color w:val="000000" w:themeColor="text1"/>
        </w:rPr>
        <w:t>gifts.</w:t>
      </w:r>
      <w:r w:rsidR="00C64050" w:rsidRPr="00C82498">
        <w:rPr>
          <w:color w:val="000000" w:themeColor="text1"/>
        </w:rPr>
        <w:t xml:space="preserve"> </w:t>
      </w:r>
      <w:r w:rsidRPr="00C82498">
        <w:rPr>
          <w:color w:val="000000" w:themeColor="text1"/>
        </w:rPr>
        <w:t>An</w:t>
      </w:r>
      <w:r w:rsidR="00C64050" w:rsidRPr="00C82498">
        <w:rPr>
          <w:color w:val="000000" w:themeColor="text1"/>
        </w:rPr>
        <w:t xml:space="preserve"> </w:t>
      </w:r>
      <w:r w:rsidRPr="00C82498">
        <w:rPr>
          <w:color w:val="000000" w:themeColor="text1"/>
        </w:rPr>
        <w:t>anti-abuse</w:t>
      </w:r>
      <w:r w:rsidR="00C64050" w:rsidRPr="00C82498">
        <w:rPr>
          <w:color w:val="000000" w:themeColor="text1"/>
        </w:rPr>
        <w:t xml:space="preserve"> </w:t>
      </w:r>
      <w:r w:rsidRPr="00C82498">
        <w:rPr>
          <w:color w:val="000000" w:themeColor="text1"/>
        </w:rPr>
        <w:t>provision</w:t>
      </w:r>
      <w:r w:rsidR="00C64050" w:rsidRPr="00C82498">
        <w:rPr>
          <w:color w:val="000000" w:themeColor="text1"/>
        </w:rPr>
        <w:t xml:space="preserve"> </w:t>
      </w:r>
      <w:r w:rsidRPr="00C82498">
        <w:rPr>
          <w:color w:val="000000" w:themeColor="text1"/>
        </w:rPr>
        <w:t>could</w:t>
      </w:r>
      <w:r w:rsidR="00C64050" w:rsidRPr="00C82498">
        <w:rPr>
          <w:color w:val="000000" w:themeColor="text1"/>
        </w:rPr>
        <w:t xml:space="preserve"> </w:t>
      </w:r>
      <w:r w:rsidRPr="00C82498">
        <w:rPr>
          <w:color w:val="000000" w:themeColor="text1"/>
        </w:rPr>
        <w:t>except</w:t>
      </w:r>
      <w:r w:rsidR="00C64050" w:rsidRPr="00C82498">
        <w:rPr>
          <w:color w:val="000000" w:themeColor="text1"/>
        </w:rPr>
        <w:t xml:space="preserve"> </w:t>
      </w:r>
      <w:r w:rsidRPr="00C82498">
        <w:rPr>
          <w:color w:val="000000" w:themeColor="text1"/>
        </w:rPr>
        <w:t>from</w:t>
      </w:r>
      <w:r w:rsidR="00C64050" w:rsidRPr="00C82498">
        <w:rPr>
          <w:color w:val="000000" w:themeColor="text1"/>
        </w:rPr>
        <w:t xml:space="preserve"> </w:t>
      </w:r>
      <w:r w:rsidRPr="00C82498">
        <w:rPr>
          <w:color w:val="000000" w:themeColor="text1"/>
        </w:rPr>
        <w:t>the</w:t>
      </w:r>
      <w:r w:rsidR="00C64050" w:rsidRPr="00C82498">
        <w:rPr>
          <w:color w:val="000000" w:themeColor="text1"/>
        </w:rPr>
        <w:t xml:space="preserve"> </w:t>
      </w:r>
      <w:r w:rsidRPr="00C82498">
        <w:rPr>
          <w:color w:val="000000" w:themeColor="text1"/>
        </w:rPr>
        <w:t>application</w:t>
      </w:r>
      <w:r w:rsidR="00C64050" w:rsidRPr="00C82498">
        <w:rPr>
          <w:color w:val="000000" w:themeColor="text1"/>
        </w:rPr>
        <w:t xml:space="preserve"> </w:t>
      </w:r>
      <w:r w:rsidRPr="00C82498">
        <w:rPr>
          <w:color w:val="000000" w:themeColor="text1"/>
        </w:rPr>
        <w:t>of</w:t>
      </w:r>
      <w:r w:rsidR="00C64050" w:rsidRPr="00C82498">
        <w:rPr>
          <w:color w:val="000000" w:themeColor="text1"/>
        </w:rPr>
        <w:t xml:space="preserve"> </w:t>
      </w:r>
      <w:r w:rsidRPr="00C82498">
        <w:rPr>
          <w:color w:val="000000" w:themeColor="text1"/>
        </w:rPr>
        <w:t>the</w:t>
      </w:r>
      <w:r w:rsidR="00C64050" w:rsidRPr="00C82498">
        <w:rPr>
          <w:color w:val="000000" w:themeColor="text1"/>
        </w:rPr>
        <w:t xml:space="preserve"> </w:t>
      </w:r>
      <w:r w:rsidRPr="00C82498">
        <w:rPr>
          <w:color w:val="000000" w:themeColor="text1"/>
        </w:rPr>
        <w:t>special</w:t>
      </w:r>
      <w:r w:rsidR="00C64050" w:rsidRPr="00C82498">
        <w:rPr>
          <w:color w:val="000000" w:themeColor="text1"/>
        </w:rPr>
        <w:t xml:space="preserve"> </w:t>
      </w:r>
      <w:r w:rsidRPr="00C82498">
        <w:rPr>
          <w:color w:val="000000" w:themeColor="text1"/>
        </w:rPr>
        <w:t>rule</w:t>
      </w:r>
      <w:r w:rsidR="00C64050" w:rsidRPr="00C82498">
        <w:rPr>
          <w:color w:val="000000" w:themeColor="text1"/>
        </w:rPr>
        <w:t xml:space="preserve"> </w:t>
      </w:r>
      <w:r w:rsidRPr="00C82498">
        <w:rPr>
          <w:color w:val="000000" w:themeColor="text1"/>
        </w:rPr>
        <w:t>transfers</w:t>
      </w:r>
      <w:r w:rsidR="00C64050" w:rsidRPr="00C82498">
        <w:rPr>
          <w:color w:val="000000" w:themeColor="text1"/>
        </w:rPr>
        <w:t xml:space="preserve"> </w:t>
      </w:r>
      <w:r w:rsidRPr="00C82498">
        <w:rPr>
          <w:color w:val="000000" w:themeColor="text1"/>
        </w:rPr>
        <w:t>where</w:t>
      </w:r>
      <w:r w:rsidR="00C64050" w:rsidRPr="00C82498">
        <w:rPr>
          <w:color w:val="000000" w:themeColor="text1"/>
        </w:rPr>
        <w:t xml:space="preserve"> </w:t>
      </w:r>
      <w:r w:rsidRPr="00C82498">
        <w:rPr>
          <w:color w:val="000000" w:themeColor="text1"/>
        </w:rPr>
        <w:t>value</w:t>
      </w:r>
      <w:r w:rsidR="00C64050" w:rsidRPr="00C82498">
        <w:rPr>
          <w:color w:val="000000" w:themeColor="text1"/>
        </w:rPr>
        <w:t xml:space="preserve"> </w:t>
      </w:r>
      <w:r w:rsidRPr="00C82498">
        <w:rPr>
          <w:color w:val="000000" w:themeColor="text1"/>
        </w:rPr>
        <w:t>is</w:t>
      </w:r>
      <w:r w:rsidR="00C64050" w:rsidRPr="00C82498">
        <w:rPr>
          <w:color w:val="000000" w:themeColor="text1"/>
        </w:rPr>
        <w:t xml:space="preserve"> </w:t>
      </w:r>
      <w:r w:rsidRPr="00C82498">
        <w:rPr>
          <w:color w:val="000000" w:themeColor="text1"/>
        </w:rPr>
        <w:t>included</w:t>
      </w:r>
      <w:r w:rsidR="00C64050" w:rsidRPr="00C82498">
        <w:rPr>
          <w:color w:val="000000" w:themeColor="text1"/>
        </w:rPr>
        <w:t xml:space="preserve"> </w:t>
      </w:r>
      <w:r w:rsidRPr="00C82498">
        <w:rPr>
          <w:color w:val="000000" w:themeColor="text1"/>
        </w:rPr>
        <w:t>in</w:t>
      </w:r>
      <w:r w:rsidR="00C64050" w:rsidRPr="00C82498">
        <w:rPr>
          <w:color w:val="000000" w:themeColor="text1"/>
        </w:rPr>
        <w:t xml:space="preserve"> </w:t>
      </w:r>
      <w:r w:rsidRPr="00C82498">
        <w:rPr>
          <w:color w:val="000000" w:themeColor="text1"/>
        </w:rPr>
        <w:t>the</w:t>
      </w:r>
      <w:r w:rsidR="00C64050" w:rsidRPr="00C82498">
        <w:rPr>
          <w:color w:val="000000" w:themeColor="text1"/>
        </w:rPr>
        <w:t xml:space="preserve"> </w:t>
      </w:r>
      <w:r w:rsidRPr="00C82498">
        <w:rPr>
          <w:color w:val="000000" w:themeColor="text1"/>
        </w:rPr>
        <w:t>donor's</w:t>
      </w:r>
      <w:r w:rsidR="00C64050" w:rsidRPr="00C82498">
        <w:rPr>
          <w:color w:val="000000" w:themeColor="text1"/>
        </w:rPr>
        <w:t xml:space="preserve"> </w:t>
      </w:r>
      <w:r w:rsidRPr="00C82498">
        <w:rPr>
          <w:color w:val="000000" w:themeColor="text1"/>
        </w:rPr>
        <w:t>gross</w:t>
      </w:r>
      <w:r w:rsidR="00C64050" w:rsidRPr="00C82498">
        <w:rPr>
          <w:color w:val="000000" w:themeColor="text1"/>
        </w:rPr>
        <w:t xml:space="preserve"> </w:t>
      </w:r>
      <w:r w:rsidRPr="00C82498">
        <w:rPr>
          <w:color w:val="000000" w:themeColor="text1"/>
        </w:rPr>
        <w:t>estate</w:t>
      </w:r>
      <w:r w:rsidR="00C64050" w:rsidRPr="00C82498">
        <w:rPr>
          <w:color w:val="000000" w:themeColor="text1"/>
        </w:rPr>
        <w:t xml:space="preserve"> </w:t>
      </w:r>
      <w:r w:rsidRPr="00C82498">
        <w:rPr>
          <w:color w:val="000000" w:themeColor="text1"/>
        </w:rPr>
        <w:t>at</w:t>
      </w:r>
      <w:r w:rsidR="00C64050" w:rsidRPr="00C82498">
        <w:rPr>
          <w:color w:val="000000" w:themeColor="text1"/>
        </w:rPr>
        <w:t xml:space="preserve"> </w:t>
      </w:r>
      <w:r w:rsidRPr="00C82498">
        <w:rPr>
          <w:color w:val="000000" w:themeColor="text1"/>
        </w:rPr>
        <w:t>death.</w:t>
      </w:r>
      <w:r w:rsidR="00C64050" w:rsidRPr="00C82498">
        <w:rPr>
          <w:color w:val="000000" w:themeColor="text1"/>
        </w:rPr>
        <w:t xml:space="preserve"> </w:t>
      </w:r>
      <w:r w:rsidRPr="00C82498">
        <w:rPr>
          <w:color w:val="000000" w:themeColor="text1"/>
        </w:rPr>
        <w:t>Although</w:t>
      </w:r>
      <w:r w:rsidR="00C64050" w:rsidRPr="00C82498">
        <w:rPr>
          <w:color w:val="000000" w:themeColor="text1"/>
        </w:rPr>
        <w:t xml:space="preserve"> </w:t>
      </w:r>
      <w:r w:rsidRPr="00C82498">
        <w:rPr>
          <w:color w:val="000000" w:themeColor="text1"/>
        </w:rPr>
        <w:t>the</w:t>
      </w:r>
      <w:r w:rsidR="00C64050" w:rsidRPr="00C82498">
        <w:rPr>
          <w:color w:val="000000" w:themeColor="text1"/>
        </w:rPr>
        <w:t xml:space="preserve"> </w:t>
      </w:r>
      <w:r w:rsidRPr="00C82498">
        <w:rPr>
          <w:color w:val="000000" w:themeColor="text1"/>
        </w:rPr>
        <w:t>Treasury</w:t>
      </w:r>
      <w:r w:rsidR="00C64050" w:rsidRPr="00C82498">
        <w:rPr>
          <w:color w:val="000000" w:themeColor="text1"/>
        </w:rPr>
        <w:t xml:space="preserve"> </w:t>
      </w:r>
      <w:r w:rsidRPr="00C82498">
        <w:rPr>
          <w:color w:val="000000" w:themeColor="text1"/>
        </w:rPr>
        <w:t>Department</w:t>
      </w:r>
      <w:r w:rsidR="00C64050" w:rsidRPr="00C82498">
        <w:rPr>
          <w:color w:val="000000" w:themeColor="text1"/>
        </w:rPr>
        <w:t xml:space="preserve"> </w:t>
      </w:r>
      <w:r w:rsidRPr="00C82498">
        <w:rPr>
          <w:color w:val="000000" w:themeColor="text1"/>
        </w:rPr>
        <w:t>and</w:t>
      </w:r>
      <w:r w:rsidR="00C64050" w:rsidRPr="00C82498">
        <w:rPr>
          <w:color w:val="000000" w:themeColor="text1"/>
        </w:rPr>
        <w:t xml:space="preserve"> </w:t>
      </w:r>
      <w:r w:rsidRPr="00C82498">
        <w:rPr>
          <w:color w:val="000000" w:themeColor="text1"/>
        </w:rPr>
        <w:t>the</w:t>
      </w:r>
      <w:r w:rsidR="00C64050" w:rsidRPr="00C82498">
        <w:rPr>
          <w:color w:val="000000" w:themeColor="text1"/>
        </w:rPr>
        <w:t xml:space="preserve"> </w:t>
      </w:r>
      <w:r w:rsidRPr="00C82498">
        <w:rPr>
          <w:color w:val="000000" w:themeColor="text1"/>
        </w:rPr>
        <w:t>IRS</w:t>
      </w:r>
      <w:r w:rsidR="00C64050" w:rsidRPr="00C82498">
        <w:rPr>
          <w:color w:val="000000" w:themeColor="text1"/>
        </w:rPr>
        <w:t xml:space="preserve"> </w:t>
      </w:r>
      <w:r w:rsidRPr="00C82498">
        <w:rPr>
          <w:color w:val="000000" w:themeColor="text1"/>
        </w:rPr>
        <w:t>agree</w:t>
      </w:r>
      <w:r w:rsidR="00C64050" w:rsidRPr="00C82498">
        <w:rPr>
          <w:color w:val="000000" w:themeColor="text1"/>
        </w:rPr>
        <w:t xml:space="preserve"> </w:t>
      </w:r>
      <w:r w:rsidRPr="00C82498">
        <w:rPr>
          <w:color w:val="000000" w:themeColor="text1"/>
        </w:rPr>
        <w:t>that</w:t>
      </w:r>
      <w:r w:rsidR="00C64050" w:rsidRPr="00C82498">
        <w:rPr>
          <w:color w:val="000000" w:themeColor="text1"/>
        </w:rPr>
        <w:t xml:space="preserve"> </w:t>
      </w:r>
      <w:r w:rsidRPr="00C82498">
        <w:rPr>
          <w:color w:val="000000" w:themeColor="text1"/>
        </w:rPr>
        <w:t>such</w:t>
      </w:r>
      <w:r w:rsidR="00C64050" w:rsidRPr="00C82498">
        <w:rPr>
          <w:color w:val="000000" w:themeColor="text1"/>
        </w:rPr>
        <w:t xml:space="preserve"> </w:t>
      </w:r>
      <w:r w:rsidRPr="00C82498">
        <w:rPr>
          <w:color w:val="000000" w:themeColor="text1"/>
        </w:rPr>
        <w:t>a</w:t>
      </w:r>
      <w:r w:rsidR="00C64050" w:rsidRPr="00C82498">
        <w:rPr>
          <w:color w:val="000000" w:themeColor="text1"/>
        </w:rPr>
        <w:t xml:space="preserve"> </w:t>
      </w:r>
      <w:r w:rsidRPr="00C82498">
        <w:rPr>
          <w:color w:val="000000" w:themeColor="text1"/>
        </w:rPr>
        <w:t>provision</w:t>
      </w:r>
      <w:r w:rsidR="00C64050" w:rsidRPr="00C82498">
        <w:rPr>
          <w:color w:val="000000" w:themeColor="text1"/>
        </w:rPr>
        <w:t xml:space="preserve"> </w:t>
      </w:r>
      <w:r w:rsidRPr="00C82498">
        <w:rPr>
          <w:color w:val="000000" w:themeColor="text1"/>
        </w:rPr>
        <w:t>is</w:t>
      </w:r>
      <w:r w:rsidR="00C64050" w:rsidRPr="00C82498">
        <w:rPr>
          <w:color w:val="000000" w:themeColor="text1"/>
        </w:rPr>
        <w:t xml:space="preserve"> </w:t>
      </w:r>
      <w:r w:rsidRPr="00C82498">
        <w:rPr>
          <w:color w:val="000000" w:themeColor="text1"/>
        </w:rPr>
        <w:t>within</w:t>
      </w:r>
      <w:r w:rsidR="00C64050" w:rsidRPr="00C82498">
        <w:rPr>
          <w:color w:val="000000" w:themeColor="text1"/>
        </w:rPr>
        <w:t xml:space="preserve"> </w:t>
      </w:r>
      <w:r w:rsidRPr="00C82498">
        <w:rPr>
          <w:color w:val="000000" w:themeColor="text1"/>
        </w:rPr>
        <w:t>the</w:t>
      </w:r>
      <w:r w:rsidR="00C64050" w:rsidRPr="00C82498">
        <w:rPr>
          <w:color w:val="000000" w:themeColor="text1"/>
        </w:rPr>
        <w:t xml:space="preserve"> </w:t>
      </w:r>
      <w:r w:rsidRPr="00C82498">
        <w:rPr>
          <w:color w:val="000000" w:themeColor="text1"/>
        </w:rPr>
        <w:t>scope</w:t>
      </w:r>
      <w:r w:rsidR="00C64050" w:rsidRPr="00C82498">
        <w:rPr>
          <w:color w:val="000000" w:themeColor="text1"/>
        </w:rPr>
        <w:t xml:space="preserve"> </w:t>
      </w:r>
      <w:r w:rsidRPr="00C82498">
        <w:rPr>
          <w:color w:val="000000" w:themeColor="text1"/>
        </w:rPr>
        <w:t>of</w:t>
      </w:r>
      <w:r w:rsidR="00C64050" w:rsidRPr="00C82498">
        <w:rPr>
          <w:color w:val="000000" w:themeColor="text1"/>
        </w:rPr>
        <w:t xml:space="preserve"> </w:t>
      </w:r>
      <w:r w:rsidRPr="00C82498">
        <w:rPr>
          <w:color w:val="000000" w:themeColor="text1"/>
        </w:rPr>
        <w:t>the</w:t>
      </w:r>
      <w:r w:rsidR="00C64050" w:rsidRPr="00C82498">
        <w:rPr>
          <w:color w:val="000000" w:themeColor="text1"/>
        </w:rPr>
        <w:t xml:space="preserve"> </w:t>
      </w:r>
      <w:r w:rsidRPr="00C82498">
        <w:rPr>
          <w:color w:val="000000" w:themeColor="text1"/>
        </w:rPr>
        <w:t>regulatory</w:t>
      </w:r>
      <w:r w:rsidR="00C64050" w:rsidRPr="00C82498">
        <w:rPr>
          <w:color w:val="000000" w:themeColor="text1"/>
        </w:rPr>
        <w:t xml:space="preserve"> </w:t>
      </w:r>
      <w:r w:rsidRPr="00C82498">
        <w:rPr>
          <w:color w:val="000000" w:themeColor="text1"/>
        </w:rPr>
        <w:t>authority</w:t>
      </w:r>
      <w:r w:rsidR="00C64050" w:rsidRPr="00C82498">
        <w:rPr>
          <w:color w:val="000000" w:themeColor="text1"/>
        </w:rPr>
        <w:t xml:space="preserve"> </w:t>
      </w:r>
      <w:r w:rsidRPr="00C82498">
        <w:rPr>
          <w:color w:val="000000" w:themeColor="text1"/>
        </w:rPr>
        <w:t>granted</w:t>
      </w:r>
      <w:r w:rsidR="00C64050" w:rsidRPr="00C82498">
        <w:rPr>
          <w:color w:val="000000" w:themeColor="text1"/>
        </w:rPr>
        <w:t xml:space="preserve"> </w:t>
      </w:r>
      <w:r w:rsidRPr="00C82498">
        <w:rPr>
          <w:color w:val="000000" w:themeColor="text1"/>
        </w:rPr>
        <w:t>in</w:t>
      </w:r>
      <w:r w:rsidR="00C64050" w:rsidRPr="00C82498">
        <w:rPr>
          <w:color w:val="000000" w:themeColor="text1"/>
        </w:rPr>
        <w:t xml:space="preserve"> </w:t>
      </w:r>
      <w:hyperlink r:id="rId20" w:anchor="cp6d-0000025" w:tooltip="section 2001(g)(2)" w:history="1">
        <w:r w:rsidRPr="00C82498">
          <w:rPr>
            <w:u w:val="single"/>
          </w:rPr>
          <w:t>section</w:t>
        </w:r>
        <w:r w:rsidR="00C64050" w:rsidRPr="00C82498">
          <w:rPr>
            <w:u w:val="single"/>
          </w:rPr>
          <w:t xml:space="preserve"> </w:t>
        </w:r>
        <w:r w:rsidRPr="00C82498">
          <w:rPr>
            <w:u w:val="single"/>
          </w:rPr>
          <w:t>2001(g)(2)</w:t>
        </w:r>
      </w:hyperlink>
      <w:r w:rsidRPr="00C82498">
        <w:rPr>
          <w:color w:val="000000" w:themeColor="text1"/>
        </w:rPr>
        <w:t>,</w:t>
      </w:r>
      <w:r w:rsidR="00C64050" w:rsidRPr="00C82498">
        <w:rPr>
          <w:color w:val="000000" w:themeColor="text1"/>
        </w:rPr>
        <w:t xml:space="preserve"> </w:t>
      </w:r>
      <w:r w:rsidRPr="00C82498">
        <w:rPr>
          <w:color w:val="000000" w:themeColor="text1"/>
        </w:rPr>
        <w:t>such</w:t>
      </w:r>
      <w:r w:rsidR="00C64050" w:rsidRPr="00C82498">
        <w:rPr>
          <w:color w:val="000000" w:themeColor="text1"/>
        </w:rPr>
        <w:t xml:space="preserve"> </w:t>
      </w:r>
      <w:r w:rsidRPr="00C82498">
        <w:rPr>
          <w:color w:val="000000" w:themeColor="text1"/>
        </w:rPr>
        <w:t>an</w:t>
      </w:r>
      <w:r w:rsidR="00C64050" w:rsidRPr="00C82498">
        <w:rPr>
          <w:color w:val="000000" w:themeColor="text1"/>
        </w:rPr>
        <w:t xml:space="preserve"> </w:t>
      </w:r>
      <w:r w:rsidRPr="00C82498">
        <w:rPr>
          <w:color w:val="000000" w:themeColor="text1"/>
        </w:rPr>
        <w:t>anti-abuse</w:t>
      </w:r>
      <w:r w:rsidR="00C64050" w:rsidRPr="00C82498">
        <w:rPr>
          <w:color w:val="000000" w:themeColor="text1"/>
        </w:rPr>
        <w:t xml:space="preserve"> </w:t>
      </w:r>
      <w:r w:rsidRPr="00C82498">
        <w:rPr>
          <w:color w:val="000000" w:themeColor="text1"/>
        </w:rPr>
        <w:t>provision</w:t>
      </w:r>
      <w:r w:rsidR="00C64050" w:rsidRPr="00C82498">
        <w:rPr>
          <w:color w:val="000000" w:themeColor="text1"/>
        </w:rPr>
        <w:t xml:space="preserve"> </w:t>
      </w:r>
      <w:r w:rsidRPr="00C82498">
        <w:rPr>
          <w:color w:val="000000" w:themeColor="text1"/>
        </w:rPr>
        <w:t>would</w:t>
      </w:r>
      <w:r w:rsidR="00C64050" w:rsidRPr="00C82498">
        <w:rPr>
          <w:color w:val="000000" w:themeColor="text1"/>
        </w:rPr>
        <w:t xml:space="preserve"> </w:t>
      </w:r>
      <w:r w:rsidRPr="00C82498">
        <w:rPr>
          <w:color w:val="000000" w:themeColor="text1"/>
        </w:rPr>
        <w:t>benefit</w:t>
      </w:r>
      <w:r w:rsidR="00C64050" w:rsidRPr="00C82498">
        <w:rPr>
          <w:color w:val="000000" w:themeColor="text1"/>
        </w:rPr>
        <w:t xml:space="preserve"> </w:t>
      </w:r>
      <w:r w:rsidRPr="00C82498">
        <w:rPr>
          <w:color w:val="000000" w:themeColor="text1"/>
        </w:rPr>
        <w:t>from</w:t>
      </w:r>
      <w:r w:rsidR="00C64050" w:rsidRPr="00C82498">
        <w:rPr>
          <w:color w:val="000000" w:themeColor="text1"/>
        </w:rPr>
        <w:t xml:space="preserve"> </w:t>
      </w:r>
      <w:r w:rsidRPr="00C82498">
        <w:rPr>
          <w:color w:val="000000" w:themeColor="text1"/>
        </w:rPr>
        <w:t>prior</w:t>
      </w:r>
      <w:r w:rsidR="00C64050" w:rsidRPr="00C82498">
        <w:rPr>
          <w:color w:val="000000" w:themeColor="text1"/>
        </w:rPr>
        <w:t xml:space="preserve"> </w:t>
      </w:r>
      <w:r w:rsidRPr="00C82498">
        <w:rPr>
          <w:color w:val="000000" w:themeColor="text1"/>
        </w:rPr>
        <w:t>notice</w:t>
      </w:r>
      <w:r w:rsidR="00C64050" w:rsidRPr="00C82498">
        <w:rPr>
          <w:color w:val="000000" w:themeColor="text1"/>
        </w:rPr>
        <w:t xml:space="preserve"> </w:t>
      </w:r>
      <w:r w:rsidRPr="00C82498">
        <w:rPr>
          <w:color w:val="000000" w:themeColor="text1"/>
        </w:rPr>
        <w:t>and</w:t>
      </w:r>
      <w:r w:rsidR="00C64050" w:rsidRPr="00C82498">
        <w:rPr>
          <w:color w:val="000000" w:themeColor="text1"/>
        </w:rPr>
        <w:t xml:space="preserve"> </w:t>
      </w:r>
      <w:r w:rsidRPr="00C82498">
        <w:rPr>
          <w:color w:val="000000" w:themeColor="text1"/>
        </w:rPr>
        <w:t>comment.</w:t>
      </w:r>
      <w:r w:rsidR="00C64050" w:rsidRPr="00C82498">
        <w:rPr>
          <w:color w:val="000000" w:themeColor="text1"/>
        </w:rPr>
        <w:t xml:space="preserve"> </w:t>
      </w:r>
      <w:r w:rsidRPr="00C82498">
        <w:rPr>
          <w:color w:val="000000" w:themeColor="text1"/>
        </w:rPr>
        <w:t>Accordingly,</w:t>
      </w:r>
      <w:r w:rsidR="00C64050" w:rsidRPr="00C82498">
        <w:rPr>
          <w:color w:val="000000" w:themeColor="text1"/>
        </w:rPr>
        <w:t xml:space="preserve"> </w:t>
      </w:r>
      <w:r w:rsidRPr="00C82498">
        <w:rPr>
          <w:color w:val="000000" w:themeColor="text1"/>
        </w:rPr>
        <w:t>this</w:t>
      </w:r>
      <w:r w:rsidR="00C64050" w:rsidRPr="00C82498">
        <w:rPr>
          <w:color w:val="000000" w:themeColor="text1"/>
        </w:rPr>
        <w:t xml:space="preserve"> </w:t>
      </w:r>
      <w:r w:rsidRPr="00C82498">
        <w:rPr>
          <w:color w:val="000000" w:themeColor="text1"/>
        </w:rPr>
        <w:t>issue</w:t>
      </w:r>
      <w:r w:rsidR="00C64050" w:rsidRPr="00C82498">
        <w:rPr>
          <w:color w:val="000000" w:themeColor="text1"/>
        </w:rPr>
        <w:t xml:space="preserve"> </w:t>
      </w:r>
      <w:r w:rsidRPr="00C82498">
        <w:rPr>
          <w:color w:val="000000" w:themeColor="text1"/>
        </w:rPr>
        <w:t>will</w:t>
      </w:r>
      <w:r w:rsidR="00C64050" w:rsidRPr="00C82498">
        <w:rPr>
          <w:color w:val="000000" w:themeColor="text1"/>
        </w:rPr>
        <w:t xml:space="preserve"> </w:t>
      </w:r>
      <w:r w:rsidRPr="00C82498">
        <w:rPr>
          <w:color w:val="000000" w:themeColor="text1"/>
        </w:rPr>
        <w:t>be</w:t>
      </w:r>
      <w:r w:rsidR="00C64050" w:rsidRPr="00C82498">
        <w:rPr>
          <w:color w:val="000000" w:themeColor="text1"/>
        </w:rPr>
        <w:t xml:space="preserve"> </w:t>
      </w:r>
      <w:r w:rsidRPr="00C82498">
        <w:rPr>
          <w:color w:val="000000" w:themeColor="text1"/>
        </w:rPr>
        <w:t>reserved</w:t>
      </w:r>
      <w:r w:rsidR="00C64050" w:rsidRPr="00C82498">
        <w:rPr>
          <w:color w:val="000000" w:themeColor="text1"/>
        </w:rPr>
        <w:t xml:space="preserve"> </w:t>
      </w:r>
      <w:r w:rsidRPr="00C82498">
        <w:rPr>
          <w:color w:val="000000" w:themeColor="text1"/>
        </w:rPr>
        <w:t>to</w:t>
      </w:r>
      <w:r w:rsidR="00C64050" w:rsidRPr="00C82498">
        <w:rPr>
          <w:color w:val="000000" w:themeColor="text1"/>
        </w:rPr>
        <w:t xml:space="preserve"> </w:t>
      </w:r>
      <w:r w:rsidRPr="00C82498">
        <w:rPr>
          <w:color w:val="000000" w:themeColor="text1"/>
        </w:rPr>
        <w:t>allow</w:t>
      </w:r>
      <w:r w:rsidR="00C64050" w:rsidRPr="00C82498">
        <w:rPr>
          <w:color w:val="000000" w:themeColor="text1"/>
        </w:rPr>
        <w:t xml:space="preserve"> </w:t>
      </w:r>
      <w:r w:rsidRPr="00C82498">
        <w:rPr>
          <w:color w:val="000000" w:themeColor="text1"/>
        </w:rPr>
        <w:t>further</w:t>
      </w:r>
      <w:r w:rsidR="00C64050" w:rsidRPr="00C82498">
        <w:rPr>
          <w:color w:val="000000" w:themeColor="text1"/>
        </w:rPr>
        <w:t xml:space="preserve"> </w:t>
      </w:r>
      <w:r w:rsidRPr="00C82498">
        <w:rPr>
          <w:color w:val="000000" w:themeColor="text1"/>
        </w:rPr>
        <w:t>consideration</w:t>
      </w:r>
      <w:r w:rsidR="00C64050" w:rsidRPr="00C82498">
        <w:rPr>
          <w:color w:val="000000" w:themeColor="text1"/>
        </w:rPr>
        <w:t xml:space="preserve"> </w:t>
      </w:r>
      <w:r w:rsidRPr="00C82498">
        <w:rPr>
          <w:color w:val="000000" w:themeColor="text1"/>
        </w:rPr>
        <w:t>of</w:t>
      </w:r>
      <w:r w:rsidR="00C64050" w:rsidRPr="00C82498">
        <w:rPr>
          <w:color w:val="000000" w:themeColor="text1"/>
        </w:rPr>
        <w:t xml:space="preserve"> </w:t>
      </w:r>
      <w:r w:rsidRPr="00C82498">
        <w:rPr>
          <w:color w:val="000000" w:themeColor="text1"/>
        </w:rPr>
        <w:t>this</w:t>
      </w:r>
      <w:r w:rsidR="00C64050" w:rsidRPr="00C82498">
        <w:rPr>
          <w:color w:val="000000" w:themeColor="text1"/>
        </w:rPr>
        <w:t xml:space="preserve"> </w:t>
      </w:r>
      <w:r w:rsidRPr="00C82498">
        <w:rPr>
          <w:color w:val="000000" w:themeColor="text1"/>
        </w:rPr>
        <w:t>comment.</w:t>
      </w:r>
    </w:p>
    <w:p w:rsidR="001C63F6" w:rsidRDefault="001C63F6" w:rsidP="001C63F6">
      <w:pPr>
        <w:pStyle w:val="Body15"/>
      </w:pPr>
      <w:r>
        <w:t>Chapter</w:t>
      </w:r>
      <w:r w:rsidR="00C64050">
        <w:t xml:space="preserve"> </w:t>
      </w:r>
      <w:r>
        <w:t>14</w:t>
      </w:r>
      <w:r w:rsidR="00C64050">
        <w:t xml:space="preserve"> </w:t>
      </w:r>
      <w:r>
        <w:t>has</w:t>
      </w:r>
      <w:r w:rsidR="00C64050">
        <w:t xml:space="preserve"> </w:t>
      </w:r>
      <w:r>
        <w:t>certain</w:t>
      </w:r>
      <w:r w:rsidR="00C64050">
        <w:t xml:space="preserve"> </w:t>
      </w:r>
      <w:r>
        <w:t>deemed</w:t>
      </w:r>
      <w:r w:rsidR="00C64050">
        <w:t xml:space="preserve"> </w:t>
      </w:r>
      <w:r>
        <w:t>valuation</w:t>
      </w:r>
      <w:r w:rsidR="00C64050">
        <w:t xml:space="preserve"> </w:t>
      </w:r>
      <w:r>
        <w:t>rules</w:t>
      </w:r>
      <w:r w:rsidR="00C64050">
        <w:t xml:space="preserve"> </w:t>
      </w:r>
      <w:r>
        <w:t>for</w:t>
      </w:r>
      <w:r w:rsidR="00C64050">
        <w:t xml:space="preserve"> </w:t>
      </w:r>
      <w:r>
        <w:t>preferred</w:t>
      </w:r>
      <w:r w:rsidR="00C64050">
        <w:t xml:space="preserve"> </w:t>
      </w:r>
      <w:r>
        <w:t>partnerships</w:t>
      </w:r>
      <w:r w:rsidR="00C64050">
        <w:t xml:space="preserve"> </w:t>
      </w:r>
      <w:r>
        <w:t>that</w:t>
      </w:r>
      <w:r w:rsidR="00C64050">
        <w:t xml:space="preserve"> </w:t>
      </w:r>
      <w:r>
        <w:t>could</w:t>
      </w:r>
      <w:r w:rsidR="00C64050">
        <w:t xml:space="preserve"> </w:t>
      </w:r>
      <w:r>
        <w:t>fall</w:t>
      </w:r>
      <w:r w:rsidR="00C64050">
        <w:t xml:space="preserve"> </w:t>
      </w:r>
      <w:r>
        <w:t>within</w:t>
      </w:r>
      <w:r w:rsidR="00C64050">
        <w:t xml:space="preserve"> </w:t>
      </w:r>
      <w:r>
        <w:t>the</w:t>
      </w:r>
      <w:r w:rsidR="00C64050">
        <w:t xml:space="preserve"> </w:t>
      </w:r>
      <w:r>
        <w:t>scope</w:t>
      </w:r>
      <w:r w:rsidR="00C64050">
        <w:t xml:space="preserve"> </w:t>
      </w:r>
      <w:r>
        <w:t>of</w:t>
      </w:r>
      <w:r w:rsidR="00C64050">
        <w:t xml:space="preserve"> </w:t>
      </w:r>
      <w:r>
        <w:t>this</w:t>
      </w:r>
      <w:r w:rsidR="00C64050">
        <w:t xml:space="preserve"> </w:t>
      </w:r>
      <w:r>
        <w:t>reservation.</w:t>
      </w:r>
      <w:r w:rsidR="00C64050">
        <w:t xml:space="preserve">  </w:t>
      </w:r>
      <w:r>
        <w:t>Other</w:t>
      </w:r>
      <w:r w:rsidR="00C64050">
        <w:t xml:space="preserve"> </w:t>
      </w:r>
      <w:r>
        <w:t>areas</w:t>
      </w:r>
      <w:r w:rsidR="00C64050">
        <w:t xml:space="preserve"> </w:t>
      </w:r>
      <w:r>
        <w:t>of</w:t>
      </w:r>
      <w:r w:rsidR="00C64050">
        <w:t xml:space="preserve"> </w:t>
      </w:r>
      <w:r>
        <w:t>concern</w:t>
      </w:r>
      <w:r w:rsidR="00C64050">
        <w:t xml:space="preserve"> </w:t>
      </w:r>
      <w:r>
        <w:t>would</w:t>
      </w:r>
      <w:r w:rsidR="00C64050">
        <w:t xml:space="preserve"> </w:t>
      </w:r>
      <w:r>
        <w:t>be</w:t>
      </w:r>
      <w:r w:rsidR="00C64050">
        <w:t xml:space="preserve"> </w:t>
      </w:r>
      <w:r>
        <w:t>gifts</w:t>
      </w:r>
      <w:r w:rsidR="00C64050">
        <w:t xml:space="preserve"> </w:t>
      </w:r>
      <w:r>
        <w:t>with</w:t>
      </w:r>
      <w:r w:rsidR="00C64050">
        <w:t xml:space="preserve"> </w:t>
      </w:r>
      <w:r>
        <w:t>retained</w:t>
      </w:r>
      <w:r w:rsidR="00C64050">
        <w:t xml:space="preserve"> </w:t>
      </w:r>
      <w:r>
        <w:t>income</w:t>
      </w:r>
      <w:r w:rsidR="00C64050">
        <w:t xml:space="preserve"> </w:t>
      </w:r>
      <w:r>
        <w:t>interests</w:t>
      </w:r>
      <w:r w:rsidR="00C64050">
        <w:t xml:space="preserve"> </w:t>
      </w:r>
      <w:r>
        <w:t>–</w:t>
      </w:r>
      <w:r w:rsidR="00C64050">
        <w:t xml:space="preserve"> </w:t>
      </w:r>
      <w:r>
        <w:t>those</w:t>
      </w:r>
      <w:r w:rsidR="00C64050">
        <w:t xml:space="preserve"> </w:t>
      </w:r>
      <w:r>
        <w:t>use</w:t>
      </w:r>
      <w:r w:rsidR="00C64050">
        <w:t xml:space="preserve"> </w:t>
      </w:r>
      <w:r>
        <w:t>current</w:t>
      </w:r>
      <w:r w:rsidR="00C64050">
        <w:t xml:space="preserve"> </w:t>
      </w:r>
      <w:r>
        <w:t>exclusion</w:t>
      </w:r>
      <w:r w:rsidR="00C64050">
        <w:t xml:space="preserve"> </w:t>
      </w:r>
      <w:r>
        <w:t>as</w:t>
      </w:r>
      <w:r w:rsidR="00C64050">
        <w:t xml:space="preserve"> </w:t>
      </w:r>
      <w:r>
        <w:t>completed</w:t>
      </w:r>
      <w:r w:rsidR="00C64050">
        <w:t xml:space="preserve"> </w:t>
      </w:r>
      <w:r>
        <w:t>gifts</w:t>
      </w:r>
      <w:r w:rsidR="00C64050">
        <w:t xml:space="preserve"> </w:t>
      </w:r>
      <w:r>
        <w:t>but</w:t>
      </w:r>
      <w:r w:rsidR="00C64050">
        <w:t xml:space="preserve"> </w:t>
      </w:r>
      <w:r>
        <w:t>require</w:t>
      </w:r>
      <w:r w:rsidR="00C64050">
        <w:t xml:space="preserve"> </w:t>
      </w:r>
      <w:r>
        <w:t>subsequent</w:t>
      </w:r>
      <w:r w:rsidR="00C64050">
        <w:t xml:space="preserve"> </w:t>
      </w:r>
      <w:r>
        <w:t>estate</w:t>
      </w:r>
      <w:r w:rsidR="00C64050">
        <w:t xml:space="preserve"> </w:t>
      </w:r>
      <w:r>
        <w:t>income</w:t>
      </w:r>
      <w:r w:rsidR="00C64050">
        <w:t xml:space="preserve"> </w:t>
      </w:r>
      <w:r>
        <w:t>so</w:t>
      </w:r>
      <w:r w:rsidR="00C64050">
        <w:t xml:space="preserve"> </w:t>
      </w:r>
      <w:r>
        <w:t>that</w:t>
      </w:r>
      <w:r w:rsidR="00C64050">
        <w:t xml:space="preserve"> </w:t>
      </w:r>
      <w:r>
        <w:t>the</w:t>
      </w:r>
      <w:r w:rsidR="00C64050">
        <w:t xml:space="preserve"> </w:t>
      </w:r>
      <w:r>
        <w:t>donor</w:t>
      </w:r>
      <w:r w:rsidR="00C64050">
        <w:t xml:space="preserve"> </w:t>
      </w:r>
      <w:r>
        <w:t>gets</w:t>
      </w:r>
      <w:r w:rsidR="00C64050">
        <w:t xml:space="preserve"> </w:t>
      </w:r>
      <w:r>
        <w:t>a</w:t>
      </w:r>
      <w:r w:rsidR="00C64050">
        <w:t xml:space="preserve"> </w:t>
      </w:r>
      <w:r>
        <w:t>basis</w:t>
      </w:r>
      <w:r w:rsidR="00C64050">
        <w:t xml:space="preserve"> </w:t>
      </w:r>
      <w:r>
        <w:t>step-up</w:t>
      </w:r>
      <w:r w:rsidR="00C64050">
        <w:t xml:space="preserve"> </w:t>
      </w:r>
      <w:r>
        <w:t>at</w:t>
      </w:r>
      <w:r w:rsidR="00C64050">
        <w:t xml:space="preserve"> </w:t>
      </w:r>
      <w:r>
        <w:t>death;</w:t>
      </w:r>
      <w:r w:rsidR="00C64050">
        <w:t xml:space="preserve"> </w:t>
      </w:r>
      <w:r>
        <w:t>consider</w:t>
      </w:r>
      <w:r w:rsidR="00C64050">
        <w:t xml:space="preserve"> </w:t>
      </w:r>
      <w:r>
        <w:t>a</w:t>
      </w:r>
      <w:r w:rsidR="00C64050">
        <w:t xml:space="preserve"> </w:t>
      </w:r>
      <w:r>
        <w:t>common-law</w:t>
      </w:r>
      <w:r w:rsidR="00C64050">
        <w:t xml:space="preserve"> </w:t>
      </w:r>
      <w:r>
        <w:t>GRIT</w:t>
      </w:r>
      <w:r w:rsidR="00C64050">
        <w:t xml:space="preserve"> </w:t>
      </w:r>
      <w:r>
        <w:t>for</w:t>
      </w:r>
      <w:r w:rsidR="00C64050">
        <w:t xml:space="preserve"> </w:t>
      </w:r>
      <w:r>
        <w:t>instance.</w:t>
      </w:r>
      <w:r w:rsidR="00C64050">
        <w:t xml:space="preserve">  </w:t>
      </w:r>
    </w:p>
    <w:p w:rsidR="009B095B" w:rsidRDefault="009B095B" w:rsidP="001E7C34">
      <w:pPr>
        <w:pStyle w:val="Body15"/>
      </w:pPr>
      <w:r w:rsidRPr="00C25106">
        <w:t>The</w:t>
      </w:r>
      <w:r w:rsidR="00C64050">
        <w:t xml:space="preserve"> </w:t>
      </w:r>
      <w:r w:rsidR="001C63F6">
        <w:t>2017</w:t>
      </w:r>
      <w:r w:rsidR="00C64050">
        <w:t xml:space="preserve"> </w:t>
      </w:r>
      <w:r w:rsidR="001C63F6">
        <w:t>Tax</w:t>
      </w:r>
      <w:r w:rsidR="00C64050">
        <w:t xml:space="preserve"> </w:t>
      </w:r>
      <w:r w:rsidR="001C63F6">
        <w:t>Act</w:t>
      </w:r>
      <w:r w:rsidR="00C64050">
        <w:t xml:space="preserve"> </w:t>
      </w:r>
      <w:r w:rsidR="001C63F6">
        <w:t>did</w:t>
      </w:r>
      <w:r w:rsidR="00C64050">
        <w:t xml:space="preserve"> </w:t>
      </w:r>
      <w:r w:rsidR="001C63F6">
        <w:t>not</w:t>
      </w:r>
      <w:r w:rsidR="00C64050">
        <w:t xml:space="preserve"> </w:t>
      </w:r>
      <w:r w:rsidR="001C63F6">
        <w:t>change</w:t>
      </w:r>
      <w:r w:rsidR="00C64050">
        <w:t xml:space="preserve"> </w:t>
      </w:r>
      <w:r w:rsidR="001C63F6">
        <w:t>the</w:t>
      </w:r>
      <w:r w:rsidR="00C64050">
        <w:t xml:space="preserve"> </w:t>
      </w:r>
      <w:r w:rsidRPr="00C25106">
        <w:t>transfer</w:t>
      </w:r>
      <w:r w:rsidR="00C64050">
        <w:t xml:space="preserve"> </w:t>
      </w:r>
      <w:r w:rsidRPr="00C25106">
        <w:t>tax</w:t>
      </w:r>
      <w:r w:rsidR="00C64050">
        <w:t xml:space="preserve"> </w:t>
      </w:r>
      <w:r w:rsidRPr="00C25106">
        <w:t>rates.</w:t>
      </w:r>
      <w:r w:rsidR="00C64050">
        <w:t xml:space="preserve">  </w:t>
      </w:r>
      <w:r w:rsidR="00C90BDB">
        <w:t>The</w:t>
      </w:r>
      <w:r w:rsidR="00C64050">
        <w:t xml:space="preserve"> </w:t>
      </w:r>
      <w:r w:rsidR="00C90BDB">
        <w:t>regulations</w:t>
      </w:r>
      <w:r w:rsidR="00C64050">
        <w:t xml:space="preserve"> </w:t>
      </w:r>
      <w:r w:rsidR="00C90BDB">
        <w:t>dealing</w:t>
      </w:r>
      <w:r w:rsidR="00C64050">
        <w:t xml:space="preserve"> </w:t>
      </w:r>
      <w:r w:rsidR="00C90BDB">
        <w:t>with</w:t>
      </w:r>
      <w:r w:rsidR="00C64050">
        <w:t xml:space="preserve"> </w:t>
      </w:r>
      <w:r w:rsidR="00C90BDB">
        <w:t>clawback</w:t>
      </w:r>
      <w:r w:rsidR="00C64050">
        <w:t xml:space="preserve"> </w:t>
      </w:r>
      <w:r w:rsidR="00C90BDB">
        <w:t>do</w:t>
      </w:r>
      <w:r w:rsidR="00C64050">
        <w:t xml:space="preserve"> </w:t>
      </w:r>
      <w:r w:rsidR="00C90BDB">
        <w:t>not</w:t>
      </w:r>
      <w:r w:rsidR="00C64050">
        <w:t xml:space="preserve"> </w:t>
      </w:r>
      <w:r w:rsidR="00C90BDB">
        <w:t>mention</w:t>
      </w:r>
      <w:r w:rsidR="00C64050">
        <w:t xml:space="preserve"> </w:t>
      </w:r>
      <w:r w:rsidR="00C90BDB">
        <w:t>GST</w:t>
      </w:r>
      <w:r w:rsidR="00C64050">
        <w:t xml:space="preserve"> </w:t>
      </w:r>
      <w:r w:rsidR="00C57C1C">
        <w:t>because,</w:t>
      </w:r>
      <w:r w:rsidR="00C64050">
        <w:t xml:space="preserve"> </w:t>
      </w:r>
      <w:r w:rsidR="00C57C1C">
        <w:t>the</w:t>
      </w:r>
      <w:r w:rsidR="00C64050">
        <w:t xml:space="preserve"> </w:t>
      </w:r>
      <w:r w:rsidR="00C57C1C">
        <w:t>Preamble</w:t>
      </w:r>
      <w:r w:rsidR="00C64050">
        <w:t xml:space="preserve"> </w:t>
      </w:r>
      <w:r w:rsidR="00C57C1C">
        <w:t>states,</w:t>
      </w:r>
      <w:r w:rsidR="00C64050">
        <w:t xml:space="preserve"> </w:t>
      </w:r>
      <w:r w:rsidR="00C57C1C">
        <w:t>GST</w:t>
      </w:r>
      <w:r w:rsidR="00C64050">
        <w:t xml:space="preserve"> </w:t>
      </w:r>
      <w:r w:rsidR="00C57C1C">
        <w:t>is</w:t>
      </w:r>
      <w:r w:rsidR="00C64050">
        <w:t xml:space="preserve"> </w:t>
      </w:r>
      <w:r w:rsidR="00C57C1C">
        <w:t>beyond</w:t>
      </w:r>
      <w:r w:rsidR="00C64050">
        <w:t xml:space="preserve"> </w:t>
      </w:r>
      <w:r w:rsidR="00C57C1C">
        <w:t>the</w:t>
      </w:r>
      <w:r w:rsidR="00C64050">
        <w:t xml:space="preserve"> </w:t>
      </w:r>
      <w:r w:rsidR="00C57C1C">
        <w:t>scope</w:t>
      </w:r>
      <w:r w:rsidR="00C64050">
        <w:t xml:space="preserve"> </w:t>
      </w:r>
      <w:r w:rsidR="00C57C1C">
        <w:t>of</w:t>
      </w:r>
      <w:r w:rsidR="00C64050">
        <w:t xml:space="preserve"> </w:t>
      </w:r>
      <w:r w:rsidR="00C57C1C">
        <w:t>the</w:t>
      </w:r>
      <w:r w:rsidR="00C64050">
        <w:t xml:space="preserve"> </w:t>
      </w:r>
      <w:r w:rsidR="00C57C1C">
        <w:t>project.</w:t>
      </w:r>
      <w:r w:rsidR="00C64050">
        <w:t xml:space="preserve">  </w:t>
      </w:r>
      <w:r w:rsidR="00C57C1C">
        <w:t>However,</w:t>
      </w:r>
      <w:r w:rsidR="00C64050">
        <w:t xml:space="preserve"> </w:t>
      </w:r>
      <w:r w:rsidR="00C57C1C">
        <w:t>the</w:t>
      </w:r>
      <w:r w:rsidR="00C64050">
        <w:t xml:space="preserve"> </w:t>
      </w:r>
      <w:r w:rsidR="00C57C1C">
        <w:t>Preamble</w:t>
      </w:r>
      <w:r w:rsidR="00C64050">
        <w:t xml:space="preserve"> </w:t>
      </w:r>
      <w:r w:rsidR="00C57C1C">
        <w:t>also</w:t>
      </w:r>
      <w:r w:rsidR="00C64050">
        <w:t xml:space="preserve"> </w:t>
      </w:r>
      <w:r w:rsidR="00C57C1C">
        <w:t>notes</w:t>
      </w:r>
      <w:r w:rsidR="00C64050">
        <w:t xml:space="preserve"> </w:t>
      </w:r>
      <w:r w:rsidR="00C57C1C">
        <w:t>that</w:t>
      </w:r>
      <w:r w:rsidR="00C64050">
        <w:t xml:space="preserve"> </w:t>
      </w:r>
      <w:r w:rsidR="00C57C1C">
        <w:t>nothing</w:t>
      </w:r>
      <w:r w:rsidR="00C64050">
        <w:t xml:space="preserve"> </w:t>
      </w:r>
      <w:r w:rsidR="00C57C1C">
        <w:t>in</w:t>
      </w:r>
      <w:r w:rsidR="00C64050">
        <w:t xml:space="preserve"> </w:t>
      </w:r>
      <w:r w:rsidR="00C57C1C">
        <w:t>the</w:t>
      </w:r>
      <w:r w:rsidR="00C64050">
        <w:t xml:space="preserve"> </w:t>
      </w:r>
      <w:r w:rsidR="00C57C1C">
        <w:t>statute</w:t>
      </w:r>
      <w:r w:rsidR="00C64050">
        <w:t xml:space="preserve"> </w:t>
      </w:r>
      <w:r w:rsidR="00C57C1C">
        <w:t>indicates</w:t>
      </w:r>
      <w:r w:rsidR="00C64050">
        <w:t xml:space="preserve"> </w:t>
      </w:r>
      <w:r w:rsidR="00C57C1C">
        <w:t>that</w:t>
      </w:r>
      <w:r w:rsidR="00C64050">
        <w:t xml:space="preserve"> </w:t>
      </w:r>
      <w:r w:rsidR="00C57C1C">
        <w:t>sunset</w:t>
      </w:r>
      <w:r w:rsidR="00C64050">
        <w:t xml:space="preserve"> </w:t>
      </w:r>
      <w:r w:rsidR="00C57C1C">
        <w:t>would</w:t>
      </w:r>
      <w:r w:rsidR="00C64050">
        <w:t xml:space="preserve"> </w:t>
      </w:r>
      <w:r w:rsidR="00C57C1C">
        <w:t>affect</w:t>
      </w:r>
      <w:r w:rsidR="00C64050">
        <w:t xml:space="preserve"> </w:t>
      </w:r>
      <w:r w:rsidR="00C57C1C">
        <w:t>allocation</w:t>
      </w:r>
      <w:r w:rsidR="00C64050">
        <w:t xml:space="preserve"> </w:t>
      </w:r>
      <w:r w:rsidR="00C57C1C">
        <w:t>of</w:t>
      </w:r>
      <w:r w:rsidR="00C64050">
        <w:t xml:space="preserve"> </w:t>
      </w:r>
      <w:r w:rsidR="00C57C1C">
        <w:t>GST</w:t>
      </w:r>
      <w:r w:rsidR="00C64050">
        <w:t xml:space="preserve"> </w:t>
      </w:r>
      <w:r w:rsidR="00C57C1C">
        <w:t>exemption</w:t>
      </w:r>
      <w:r w:rsidR="00C64050">
        <w:t xml:space="preserve"> </w:t>
      </w:r>
      <w:r w:rsidR="00C57C1C">
        <w:t>when</w:t>
      </w:r>
      <w:r w:rsidR="00C64050">
        <w:t xml:space="preserve"> </w:t>
      </w:r>
      <w:r w:rsidR="00C57C1C">
        <w:t>available.</w:t>
      </w:r>
      <w:r w:rsidR="00C90BDB">
        <w:t>.</w:t>
      </w:r>
      <w:r w:rsidR="00C64050">
        <w:t xml:space="preserve">  </w:t>
      </w:r>
      <w:r w:rsidR="00C90BDB">
        <w:t>The</w:t>
      </w:r>
      <w:r w:rsidR="00C64050">
        <w:t xml:space="preserve"> </w:t>
      </w:r>
      <w:r w:rsidR="00C90BDB">
        <w:t>Blue</w:t>
      </w:r>
      <w:r w:rsidR="00C64050">
        <w:t xml:space="preserve"> </w:t>
      </w:r>
      <w:r w:rsidR="00C90BDB">
        <w:t>Book</w:t>
      </w:r>
      <w:r w:rsidR="00C64050">
        <w:t xml:space="preserve"> </w:t>
      </w:r>
      <w:r w:rsidR="00C90BDB">
        <w:t>stated</w:t>
      </w:r>
      <w:r w:rsidR="00C64050">
        <w:t xml:space="preserve"> </w:t>
      </w:r>
      <w:r w:rsidR="00C90BDB">
        <w:t>that</w:t>
      </w:r>
      <w:r w:rsidR="00C64050">
        <w:t xml:space="preserve"> </w:t>
      </w:r>
      <w:r w:rsidR="00C90BDB">
        <w:t>during</w:t>
      </w:r>
      <w:r w:rsidR="00C64050">
        <w:t xml:space="preserve"> </w:t>
      </w:r>
      <w:r w:rsidR="00C90BDB">
        <w:t>2018-2025</w:t>
      </w:r>
      <w:r w:rsidR="00C64050">
        <w:t xml:space="preserve"> </w:t>
      </w:r>
      <w:r w:rsidR="00C90BDB">
        <w:t>additional</w:t>
      </w:r>
      <w:r w:rsidR="00C64050">
        <w:t xml:space="preserve"> </w:t>
      </w:r>
      <w:r w:rsidR="00C90BDB">
        <w:t>GST</w:t>
      </w:r>
      <w:r w:rsidR="00C64050">
        <w:t xml:space="preserve"> </w:t>
      </w:r>
      <w:r w:rsidR="00C90BDB">
        <w:t>exemption</w:t>
      </w:r>
      <w:r w:rsidR="00C64050">
        <w:t xml:space="preserve"> </w:t>
      </w:r>
      <w:r w:rsidR="00C90BDB">
        <w:t>was</w:t>
      </w:r>
      <w:r w:rsidR="00C64050">
        <w:t xml:space="preserve"> </w:t>
      </w:r>
      <w:r w:rsidR="00C90BDB">
        <w:t>available.</w:t>
      </w:r>
      <w:r w:rsidR="00C64050">
        <w:t xml:space="preserve">  </w:t>
      </w:r>
      <w:r w:rsidR="00C90BDB">
        <w:t>Presumably</w:t>
      </w:r>
      <w:r w:rsidR="00C64050">
        <w:t xml:space="preserve"> </w:t>
      </w:r>
      <w:r w:rsidR="00C90BDB">
        <w:t>Treasury</w:t>
      </w:r>
      <w:r w:rsidR="00C64050">
        <w:t xml:space="preserve"> </w:t>
      </w:r>
      <w:r w:rsidR="00C90BDB">
        <w:t>does</w:t>
      </w:r>
      <w:r w:rsidR="00C64050">
        <w:t xml:space="preserve"> </w:t>
      </w:r>
      <w:r w:rsidR="00C90BDB">
        <w:t>not</w:t>
      </w:r>
      <w:r w:rsidR="00C64050">
        <w:t xml:space="preserve"> </w:t>
      </w:r>
      <w:r w:rsidR="00C90BDB">
        <w:t>believe</w:t>
      </w:r>
      <w:r w:rsidR="00C64050">
        <w:t xml:space="preserve"> </w:t>
      </w:r>
      <w:r w:rsidR="00C90BDB">
        <w:t>that</w:t>
      </w:r>
      <w:r w:rsidR="00C64050">
        <w:t xml:space="preserve"> </w:t>
      </w:r>
      <w:r w:rsidR="00C90BDB">
        <w:t>exemption</w:t>
      </w:r>
      <w:r w:rsidR="00C64050">
        <w:t xml:space="preserve"> </w:t>
      </w:r>
      <w:r w:rsidR="00C90BDB">
        <w:t>disappears</w:t>
      </w:r>
      <w:r w:rsidR="00C64050">
        <w:t xml:space="preserve"> </w:t>
      </w:r>
      <w:r w:rsidR="00C90BDB">
        <w:t>once</w:t>
      </w:r>
      <w:r w:rsidR="00C64050">
        <w:t xml:space="preserve"> </w:t>
      </w:r>
      <w:r w:rsidR="00C90BDB">
        <w:t>allocated.</w:t>
      </w:r>
    </w:p>
    <w:p w:rsidR="009B095B" w:rsidRPr="00C25106" w:rsidRDefault="009B095B" w:rsidP="000D1A25">
      <w:pPr>
        <w:pStyle w:val="LFLevel2"/>
        <w:rPr>
          <w:b/>
          <w:szCs w:val="26"/>
        </w:rPr>
      </w:pPr>
      <w:bookmarkStart w:id="35" w:name="_Toc512232000"/>
      <w:bookmarkStart w:id="36" w:name="_Toc94704598"/>
      <w:r w:rsidRPr="000D1A25">
        <w:rPr>
          <w:b/>
          <w:u w:val="single"/>
        </w:rPr>
        <w:t>Inflation</w:t>
      </w:r>
      <w:r w:rsidR="00C64050">
        <w:rPr>
          <w:b/>
          <w:u w:val="single"/>
        </w:rPr>
        <w:t xml:space="preserve"> </w:t>
      </w:r>
      <w:r w:rsidRPr="000D1A25">
        <w:rPr>
          <w:b/>
          <w:u w:val="single"/>
        </w:rPr>
        <w:t>Adjustments</w:t>
      </w:r>
      <w:bookmarkEnd w:id="35"/>
      <w:bookmarkEnd w:id="36"/>
    </w:p>
    <w:p w:rsidR="009B095B" w:rsidRPr="00C25106" w:rsidRDefault="009B095B" w:rsidP="001E7C34">
      <w:pPr>
        <w:pStyle w:val="Body15"/>
      </w:pPr>
      <w:r w:rsidRPr="00C25106">
        <w:t>All</w:t>
      </w:r>
      <w:r w:rsidR="00C64050">
        <w:t xml:space="preserve"> </w:t>
      </w:r>
      <w:r w:rsidRPr="00C25106">
        <w:t>provisions</w:t>
      </w:r>
      <w:r w:rsidR="00C64050">
        <w:t xml:space="preserve"> </w:t>
      </w:r>
      <w:r w:rsidRPr="00C25106">
        <w:t>in</w:t>
      </w:r>
      <w:r w:rsidR="00C64050">
        <w:t xml:space="preserve"> </w:t>
      </w:r>
      <w:r w:rsidRPr="00C25106">
        <w:t>the</w:t>
      </w:r>
      <w:r w:rsidR="00C64050">
        <w:t xml:space="preserve"> </w:t>
      </w:r>
      <w:r w:rsidRPr="00C25106">
        <w:t>Code</w:t>
      </w:r>
      <w:r w:rsidR="00C64050">
        <w:t xml:space="preserve"> </w:t>
      </w:r>
      <w:r w:rsidRPr="00C25106">
        <w:t>that</w:t>
      </w:r>
      <w:r w:rsidR="00C64050">
        <w:t xml:space="preserve"> </w:t>
      </w:r>
      <w:r w:rsidRPr="00C25106">
        <w:t>provide</w:t>
      </w:r>
      <w:r w:rsidR="00C64050">
        <w:t xml:space="preserve"> </w:t>
      </w:r>
      <w:r w:rsidRPr="00C25106">
        <w:t>amounts</w:t>
      </w:r>
      <w:r w:rsidR="00C64050">
        <w:t xml:space="preserve"> </w:t>
      </w:r>
      <w:r w:rsidRPr="00C25106">
        <w:t>subject</w:t>
      </w:r>
      <w:r w:rsidR="00C64050">
        <w:t xml:space="preserve"> </w:t>
      </w:r>
      <w:r w:rsidRPr="00C25106">
        <w:t>to</w:t>
      </w:r>
      <w:r w:rsidR="00C64050">
        <w:t xml:space="preserve"> </w:t>
      </w:r>
      <w:r w:rsidRPr="00C25106">
        <w:t>indexing</w:t>
      </w:r>
      <w:r w:rsidR="00C64050">
        <w:t xml:space="preserve"> </w:t>
      </w:r>
      <w:r w:rsidRPr="00C25106">
        <w:t>for</w:t>
      </w:r>
      <w:r w:rsidR="00C64050">
        <w:t xml:space="preserve"> </w:t>
      </w:r>
      <w:r w:rsidRPr="00C25106">
        <w:t>inflation</w:t>
      </w:r>
      <w:r w:rsidR="00C64050">
        <w:t xml:space="preserve"> </w:t>
      </w:r>
      <w:r w:rsidRPr="00C25106">
        <w:t>will</w:t>
      </w:r>
      <w:r w:rsidR="00C64050">
        <w:t xml:space="preserve"> </w:t>
      </w:r>
      <w:r w:rsidR="0082227E">
        <w:t>use</w:t>
      </w:r>
      <w:r w:rsidR="00C64050">
        <w:t xml:space="preserve"> </w:t>
      </w:r>
      <w:r w:rsidRPr="00C25106">
        <w:t>the</w:t>
      </w:r>
      <w:r w:rsidR="00C64050">
        <w:t xml:space="preserve"> </w:t>
      </w:r>
      <w:r w:rsidRPr="00C25106">
        <w:t>chained</w:t>
      </w:r>
      <w:r w:rsidR="00C64050">
        <w:t xml:space="preserve"> </w:t>
      </w:r>
      <w:r w:rsidRPr="00C25106">
        <w:t>consumer</w:t>
      </w:r>
      <w:r w:rsidR="00C64050">
        <w:t xml:space="preserve"> </w:t>
      </w:r>
      <w:r w:rsidRPr="00C25106">
        <w:t>price</w:t>
      </w:r>
      <w:r w:rsidR="00C64050">
        <w:t xml:space="preserve"> </w:t>
      </w:r>
      <w:r w:rsidRPr="00C25106">
        <w:t>index</w:t>
      </w:r>
      <w:r w:rsidR="00C64050">
        <w:t xml:space="preserve"> </w:t>
      </w:r>
      <w:r w:rsidRPr="00C25106">
        <w:t>for</w:t>
      </w:r>
      <w:r w:rsidR="00C64050">
        <w:t xml:space="preserve"> </w:t>
      </w:r>
      <w:r w:rsidRPr="00C25106">
        <w:t>all</w:t>
      </w:r>
      <w:r w:rsidR="00C64050">
        <w:t xml:space="preserve"> </w:t>
      </w:r>
      <w:r w:rsidRPr="00C25106">
        <w:t>urban</w:t>
      </w:r>
      <w:r w:rsidR="00C64050">
        <w:t xml:space="preserve"> </w:t>
      </w:r>
      <w:r w:rsidRPr="00C25106">
        <w:t>consumers</w:t>
      </w:r>
      <w:r w:rsidR="00C64050">
        <w:t xml:space="preserve"> </w:t>
      </w:r>
      <w:r w:rsidRPr="00C25106">
        <w:t>(“C-CPI-U”</w:t>
      </w:r>
      <w:r w:rsidR="00C64050">
        <w:t xml:space="preserve"> </w:t>
      </w:r>
      <w:r w:rsidRPr="00C25106">
        <w:t>or</w:t>
      </w:r>
      <w:r w:rsidR="00C64050">
        <w:t xml:space="preserve"> </w:t>
      </w:r>
      <w:r w:rsidRPr="00C25106">
        <w:t>“Chained</w:t>
      </w:r>
      <w:r w:rsidR="00C64050">
        <w:t xml:space="preserve"> </w:t>
      </w:r>
      <w:r w:rsidRPr="00C25106">
        <w:t>Consumer</w:t>
      </w:r>
      <w:r w:rsidR="00C64050">
        <w:t xml:space="preserve"> </w:t>
      </w:r>
      <w:r w:rsidRPr="00C25106">
        <w:t>Price</w:t>
      </w:r>
      <w:r w:rsidR="00C64050">
        <w:t xml:space="preserve"> </w:t>
      </w:r>
      <w:r w:rsidRPr="00C25106">
        <w:t>Index”).</w:t>
      </w:r>
      <w:r w:rsidR="00C64050">
        <w:t xml:space="preserve">  </w:t>
      </w:r>
      <w:r>
        <w:t>Section</w:t>
      </w:r>
      <w:r w:rsidR="00C64050">
        <w:t xml:space="preserve"> </w:t>
      </w:r>
      <w:r w:rsidRPr="00C25106">
        <w:t>1(f)(6);</w:t>
      </w:r>
      <w:r w:rsidR="00C64050">
        <w:t xml:space="preserve"> </w:t>
      </w:r>
      <w:r w:rsidRPr="00C25106">
        <w:t>2017</w:t>
      </w:r>
      <w:r w:rsidR="00C64050">
        <w:t xml:space="preserve"> </w:t>
      </w:r>
      <w:r w:rsidRPr="00C25106">
        <w:t>Tax</w:t>
      </w:r>
      <w:r w:rsidR="00C64050">
        <w:t xml:space="preserve"> </w:t>
      </w:r>
      <w:r w:rsidRPr="00C25106">
        <w:t>Act</w:t>
      </w:r>
      <w:r w:rsidR="00C64050">
        <w:t xml:space="preserve"> </w:t>
      </w:r>
      <w:r w:rsidRPr="00C25106">
        <w:t>§</w:t>
      </w:r>
      <w:r w:rsidR="00C64050">
        <w:t xml:space="preserve"> </w:t>
      </w:r>
      <w:r w:rsidRPr="00C25106">
        <w:t>11002.</w:t>
      </w:r>
      <w:r w:rsidR="00C64050">
        <w:t xml:space="preserve">  </w:t>
      </w:r>
      <w:r w:rsidRPr="00C25106">
        <w:t>This</w:t>
      </w:r>
      <w:r w:rsidR="00C64050">
        <w:t xml:space="preserve"> </w:t>
      </w:r>
      <w:r w:rsidRPr="00C25106">
        <w:t>inflation</w:t>
      </w:r>
      <w:r w:rsidR="00C64050">
        <w:t xml:space="preserve"> </w:t>
      </w:r>
      <w:r w:rsidRPr="00C25106">
        <w:t>adjustment</w:t>
      </w:r>
      <w:r w:rsidR="00C64050">
        <w:t xml:space="preserve"> </w:t>
      </w:r>
      <w:r w:rsidRPr="00C25106">
        <w:t>method</w:t>
      </w:r>
      <w:r w:rsidR="00C64050">
        <w:t xml:space="preserve"> </w:t>
      </w:r>
      <w:r w:rsidRPr="00C25106">
        <w:t>is</w:t>
      </w:r>
      <w:r w:rsidR="00C64050">
        <w:t xml:space="preserve"> </w:t>
      </w:r>
      <w:r w:rsidRPr="00C25106">
        <w:t>a</w:t>
      </w:r>
      <w:r w:rsidR="00C64050">
        <w:t xml:space="preserve"> </w:t>
      </w:r>
      <w:r w:rsidRPr="00C25106">
        <w:t>permanent</w:t>
      </w:r>
      <w:r w:rsidR="00C64050">
        <w:t xml:space="preserve"> </w:t>
      </w:r>
      <w:r w:rsidRPr="00C25106">
        <w:t>change</w:t>
      </w:r>
      <w:r w:rsidR="00C64050">
        <w:t xml:space="preserve"> </w:t>
      </w:r>
      <w:r w:rsidRPr="00C25106">
        <w:t>to</w:t>
      </w:r>
      <w:r w:rsidR="00C64050">
        <w:t xml:space="preserve"> </w:t>
      </w:r>
      <w:r w:rsidRPr="00C25106">
        <w:t>the</w:t>
      </w:r>
      <w:r w:rsidR="00C64050">
        <w:t xml:space="preserve"> </w:t>
      </w:r>
      <w:r w:rsidRPr="00C25106">
        <w:t>Code.</w:t>
      </w:r>
      <w:r w:rsidR="00C64050">
        <w:t xml:space="preserve">  </w:t>
      </w:r>
      <w:r w:rsidRPr="00C25106">
        <w:t>The</w:t>
      </w:r>
      <w:r w:rsidR="00C64050">
        <w:t xml:space="preserve"> </w:t>
      </w:r>
      <w:r w:rsidRPr="00C25106">
        <w:t>use</w:t>
      </w:r>
      <w:r w:rsidR="00C64050">
        <w:t xml:space="preserve"> </w:t>
      </w:r>
      <w:r w:rsidRPr="00C25106">
        <w:t>of</w:t>
      </w:r>
      <w:r w:rsidR="00C64050">
        <w:t xml:space="preserve"> </w:t>
      </w:r>
      <w:r w:rsidRPr="00C25106">
        <w:t>the</w:t>
      </w:r>
      <w:r w:rsidR="00C64050">
        <w:t xml:space="preserve"> </w:t>
      </w:r>
      <w:r w:rsidRPr="00C25106">
        <w:t>Chained</w:t>
      </w:r>
      <w:r w:rsidR="00C64050">
        <w:t xml:space="preserve"> </w:t>
      </w:r>
      <w:r w:rsidRPr="00C25106">
        <w:t>Consumer</w:t>
      </w:r>
      <w:r w:rsidR="00C64050">
        <w:t xml:space="preserve"> </w:t>
      </w:r>
      <w:r w:rsidRPr="00C25106">
        <w:t>Price</w:t>
      </w:r>
      <w:r w:rsidR="00C64050">
        <w:t xml:space="preserve"> </w:t>
      </w:r>
      <w:r w:rsidRPr="00C25106">
        <w:t>Index</w:t>
      </w:r>
      <w:r w:rsidR="00C64050">
        <w:t xml:space="preserve"> </w:t>
      </w:r>
      <w:r w:rsidRPr="00C25106">
        <w:t>will</w:t>
      </w:r>
      <w:r w:rsidR="00C64050">
        <w:t xml:space="preserve"> </w:t>
      </w:r>
      <w:r w:rsidRPr="00C25106">
        <w:t>result</w:t>
      </w:r>
      <w:r w:rsidR="00C64050">
        <w:t xml:space="preserve"> </w:t>
      </w:r>
      <w:r w:rsidRPr="00C25106">
        <w:t>in</w:t>
      </w:r>
      <w:r w:rsidR="00C64050">
        <w:t xml:space="preserve"> </w:t>
      </w:r>
      <w:r w:rsidRPr="001E7C34">
        <w:rPr>
          <w:color w:val="000000"/>
          <w:szCs w:val="20"/>
        </w:rPr>
        <w:t>slower</w:t>
      </w:r>
      <w:r w:rsidR="00C64050">
        <w:t xml:space="preserve"> </w:t>
      </w:r>
      <w:r w:rsidRPr="00C25106">
        <w:t>growth</w:t>
      </w:r>
      <w:r w:rsidR="00C64050">
        <w:t xml:space="preserve"> </w:t>
      </w:r>
      <w:r w:rsidRPr="00C25106">
        <w:t>of</w:t>
      </w:r>
      <w:r w:rsidR="00C64050">
        <w:t xml:space="preserve"> </w:t>
      </w:r>
      <w:r w:rsidRPr="00C25106">
        <w:t>inflation</w:t>
      </w:r>
      <w:r w:rsidR="00C64050">
        <w:t xml:space="preserve"> </w:t>
      </w:r>
      <w:r w:rsidRPr="00C25106">
        <w:t>and</w:t>
      </w:r>
      <w:r w:rsidR="00C64050">
        <w:t xml:space="preserve"> </w:t>
      </w:r>
      <w:r w:rsidRPr="00C25106">
        <w:t>a</w:t>
      </w:r>
      <w:r w:rsidR="00C64050">
        <w:t xml:space="preserve"> </w:t>
      </w:r>
      <w:r w:rsidRPr="00C25106">
        <w:t>slower</w:t>
      </w:r>
      <w:r w:rsidR="00C64050">
        <w:t xml:space="preserve"> </w:t>
      </w:r>
      <w:r w:rsidRPr="00C25106">
        <w:t>increase</w:t>
      </w:r>
      <w:r w:rsidR="00C64050">
        <w:t xml:space="preserve"> </w:t>
      </w:r>
      <w:r w:rsidRPr="00C25106">
        <w:t>in</w:t>
      </w:r>
      <w:r w:rsidR="00C64050">
        <w:t xml:space="preserve"> </w:t>
      </w:r>
      <w:r w:rsidRPr="00C25106">
        <w:t>basic</w:t>
      </w:r>
      <w:r w:rsidR="00C64050">
        <w:t xml:space="preserve"> </w:t>
      </w:r>
      <w:r w:rsidRPr="00C25106">
        <w:t>exclusion</w:t>
      </w:r>
      <w:r w:rsidR="00C64050">
        <w:t xml:space="preserve"> </w:t>
      </w:r>
      <w:r w:rsidRPr="00C25106">
        <w:t>amount</w:t>
      </w:r>
      <w:r w:rsidR="00C64050">
        <w:t xml:space="preserve"> </w:t>
      </w:r>
      <w:r w:rsidRPr="00C25106">
        <w:t>than</w:t>
      </w:r>
      <w:r w:rsidR="00C64050">
        <w:t xml:space="preserve"> </w:t>
      </w:r>
      <w:r w:rsidRPr="00C25106">
        <w:t>the</w:t>
      </w:r>
      <w:r w:rsidR="00C64050">
        <w:t xml:space="preserve"> </w:t>
      </w:r>
      <w:r w:rsidRPr="00C25106">
        <w:t>prior</w:t>
      </w:r>
      <w:r w:rsidR="00C64050">
        <w:t xml:space="preserve"> </w:t>
      </w:r>
      <w:r w:rsidRPr="00C25106">
        <w:t>method,</w:t>
      </w:r>
      <w:r w:rsidR="00C64050">
        <w:t xml:space="preserve"> </w:t>
      </w:r>
      <w:r w:rsidRPr="00C25106">
        <w:t>the</w:t>
      </w:r>
      <w:r w:rsidR="00C64050">
        <w:t xml:space="preserve"> </w:t>
      </w:r>
      <w:r w:rsidRPr="00C25106">
        <w:t>Consumer</w:t>
      </w:r>
      <w:r w:rsidR="00C64050">
        <w:t xml:space="preserve"> </w:t>
      </w:r>
      <w:r w:rsidRPr="00C25106">
        <w:t>Price</w:t>
      </w:r>
      <w:r w:rsidR="00C64050">
        <w:t xml:space="preserve"> </w:t>
      </w:r>
      <w:r w:rsidRPr="00C25106">
        <w:t>Index</w:t>
      </w:r>
      <w:r w:rsidR="00C64050">
        <w:t xml:space="preserve"> </w:t>
      </w:r>
      <w:r w:rsidRPr="00C25106">
        <w:t>for</w:t>
      </w:r>
      <w:r w:rsidR="00C64050">
        <w:t xml:space="preserve"> </w:t>
      </w:r>
      <w:r w:rsidRPr="00C25106">
        <w:t>all</w:t>
      </w:r>
      <w:r w:rsidR="00C64050">
        <w:t xml:space="preserve"> </w:t>
      </w:r>
      <w:r w:rsidRPr="00C25106">
        <w:t>Urban</w:t>
      </w:r>
      <w:r w:rsidR="00C64050">
        <w:t xml:space="preserve"> </w:t>
      </w:r>
      <w:r w:rsidRPr="00C25106">
        <w:t>Consumers,</w:t>
      </w:r>
      <w:r w:rsidR="00C64050">
        <w:t xml:space="preserve"> </w:t>
      </w:r>
      <w:r w:rsidRPr="00C25106">
        <w:t>or</w:t>
      </w:r>
      <w:r w:rsidR="00C64050">
        <w:t xml:space="preserve"> </w:t>
      </w:r>
      <w:r w:rsidRPr="00C25106">
        <w:t>CPI-U.</w:t>
      </w:r>
      <w:r w:rsidR="00C64050">
        <w:t xml:space="preserve">  </w:t>
      </w:r>
      <w:r w:rsidRPr="00C25106">
        <w:t>It</w:t>
      </w:r>
      <w:r w:rsidR="00C64050">
        <w:t xml:space="preserve"> </w:t>
      </w:r>
      <w:r w:rsidRPr="00C25106">
        <w:t>will</w:t>
      </w:r>
      <w:r w:rsidR="00C64050">
        <w:t xml:space="preserve"> </w:t>
      </w:r>
      <w:r w:rsidRPr="00C25106">
        <w:t>also</w:t>
      </w:r>
      <w:r w:rsidR="00C64050">
        <w:t xml:space="preserve"> </w:t>
      </w:r>
      <w:r w:rsidRPr="00C25106">
        <w:t>cause</w:t>
      </w:r>
      <w:r w:rsidR="00C64050">
        <w:t xml:space="preserve"> </w:t>
      </w:r>
      <w:r w:rsidRPr="00C25106">
        <w:t>more</w:t>
      </w:r>
      <w:r w:rsidR="00C64050">
        <w:t xml:space="preserve"> </w:t>
      </w:r>
      <w:r w:rsidRPr="00C25106">
        <w:t>taxpayers</w:t>
      </w:r>
      <w:r w:rsidR="00C64050">
        <w:t xml:space="preserve"> </w:t>
      </w:r>
      <w:r w:rsidRPr="00C25106">
        <w:t>to</w:t>
      </w:r>
      <w:r w:rsidR="00C64050">
        <w:t xml:space="preserve"> </w:t>
      </w:r>
      <w:r w:rsidRPr="00C25106">
        <w:t>be</w:t>
      </w:r>
      <w:r w:rsidR="00C64050">
        <w:t xml:space="preserve"> </w:t>
      </w:r>
      <w:r w:rsidRPr="00C25106">
        <w:t>in</w:t>
      </w:r>
      <w:r w:rsidR="00C64050">
        <w:t xml:space="preserve"> </w:t>
      </w:r>
      <w:r>
        <w:t>higher</w:t>
      </w:r>
      <w:r w:rsidR="00C64050">
        <w:t xml:space="preserve"> </w:t>
      </w:r>
      <w:r>
        <w:t>tax</w:t>
      </w:r>
      <w:r w:rsidR="00C64050">
        <w:t xml:space="preserve"> </w:t>
      </w:r>
      <w:r>
        <w:t>brackets</w:t>
      </w:r>
      <w:r w:rsidR="00C64050">
        <w:t xml:space="preserve"> </w:t>
      </w:r>
      <w:r>
        <w:t>over</w:t>
      </w:r>
      <w:r w:rsidR="00C64050">
        <w:t xml:space="preserve"> </w:t>
      </w:r>
      <w:r>
        <w:t>time</w:t>
      </w:r>
      <w:r w:rsidR="00C64050">
        <w:t xml:space="preserve"> </w:t>
      </w:r>
      <w:r>
        <w:t>which</w:t>
      </w:r>
      <w:r w:rsidR="00C64050">
        <w:t xml:space="preserve"> </w:t>
      </w:r>
      <w:r>
        <w:t>is</w:t>
      </w:r>
      <w:r w:rsidR="00C64050">
        <w:t xml:space="preserve"> </w:t>
      </w:r>
      <w:r>
        <w:t>a</w:t>
      </w:r>
      <w:r w:rsidR="00C64050">
        <w:t xml:space="preserve"> </w:t>
      </w:r>
      <w:r>
        <w:t>partial</w:t>
      </w:r>
      <w:r w:rsidR="00C64050">
        <w:t xml:space="preserve"> </w:t>
      </w:r>
      <w:r>
        <w:t>undoing</w:t>
      </w:r>
      <w:r w:rsidR="00C64050">
        <w:t xml:space="preserve"> </w:t>
      </w:r>
      <w:r>
        <w:t>of</w:t>
      </w:r>
      <w:r w:rsidR="00C64050">
        <w:t xml:space="preserve"> </w:t>
      </w:r>
      <w:r>
        <w:t>the</w:t>
      </w:r>
      <w:r w:rsidR="00C64050">
        <w:t xml:space="preserve"> </w:t>
      </w:r>
      <w:r>
        <w:t>effects</w:t>
      </w:r>
      <w:r w:rsidR="00C64050">
        <w:t xml:space="preserve"> </w:t>
      </w:r>
      <w:r>
        <w:t>of</w:t>
      </w:r>
      <w:r w:rsidR="00C64050">
        <w:t xml:space="preserve"> </w:t>
      </w:r>
      <w:r>
        <w:t>ERTA</w:t>
      </w:r>
      <w:r w:rsidR="00C64050">
        <w:t xml:space="preserve"> </w:t>
      </w:r>
      <w:r w:rsidR="0082227E">
        <w:t>from</w:t>
      </w:r>
      <w:r w:rsidR="00C64050">
        <w:t xml:space="preserve"> </w:t>
      </w:r>
      <w:r>
        <w:t>1981.</w:t>
      </w:r>
      <w:r w:rsidR="00C64050">
        <w:t xml:space="preserve">  </w:t>
      </w:r>
    </w:p>
    <w:p w:rsidR="00AE3BD0" w:rsidRDefault="009B095B" w:rsidP="00AE3BD0">
      <w:pPr>
        <w:pStyle w:val="LFLevel2"/>
      </w:pPr>
      <w:bookmarkStart w:id="37" w:name="_Toc512232005"/>
      <w:bookmarkStart w:id="38" w:name="_Toc94704599"/>
      <w:r w:rsidRPr="00C25106">
        <w:rPr>
          <w:b/>
          <w:u w:val="single"/>
        </w:rPr>
        <w:t>Miscellaneous</w:t>
      </w:r>
      <w:r w:rsidR="00C64050">
        <w:rPr>
          <w:b/>
          <w:u w:val="single"/>
        </w:rPr>
        <w:t xml:space="preserve"> </w:t>
      </w:r>
      <w:r w:rsidRPr="00C25106">
        <w:rPr>
          <w:b/>
          <w:u w:val="single"/>
        </w:rPr>
        <w:t>Itemized</w:t>
      </w:r>
      <w:r w:rsidR="00C64050">
        <w:rPr>
          <w:b/>
          <w:u w:val="single"/>
        </w:rPr>
        <w:t xml:space="preserve"> </w:t>
      </w:r>
      <w:r w:rsidRPr="00C25106">
        <w:rPr>
          <w:b/>
          <w:u w:val="single"/>
        </w:rPr>
        <w:t>Deductions</w:t>
      </w:r>
      <w:bookmarkEnd w:id="37"/>
      <w:r>
        <w:t>.</w:t>
      </w:r>
      <w:bookmarkEnd w:id="38"/>
      <w:r w:rsidR="00C64050">
        <w:t xml:space="preserve">  </w:t>
      </w:r>
    </w:p>
    <w:p w:rsidR="009B095B" w:rsidRPr="00C25106" w:rsidRDefault="009B095B" w:rsidP="00AE3BD0">
      <w:pPr>
        <w:pStyle w:val="Body15"/>
      </w:pPr>
      <w:r w:rsidRPr="00AE3BD0">
        <w:rPr>
          <w:color w:val="000000"/>
          <w:szCs w:val="20"/>
        </w:rPr>
        <w:t>Miscellaneous</w:t>
      </w:r>
      <w:r w:rsidR="00C64050" w:rsidRPr="00AE3BD0">
        <w:rPr>
          <w:color w:val="000000"/>
          <w:szCs w:val="20"/>
        </w:rPr>
        <w:t xml:space="preserve"> </w:t>
      </w:r>
      <w:r w:rsidRPr="00AE3BD0">
        <w:rPr>
          <w:color w:val="000000"/>
          <w:szCs w:val="20"/>
        </w:rPr>
        <w:t>itemized</w:t>
      </w:r>
      <w:r w:rsidR="00C64050" w:rsidRPr="00AE3BD0">
        <w:rPr>
          <w:color w:val="000000"/>
          <w:szCs w:val="20"/>
        </w:rPr>
        <w:t xml:space="preserve"> </w:t>
      </w:r>
      <w:r w:rsidRPr="00AE3BD0">
        <w:rPr>
          <w:color w:val="000000"/>
          <w:szCs w:val="20"/>
        </w:rPr>
        <w:t>deductions</w:t>
      </w:r>
      <w:r w:rsidR="00C64050" w:rsidRPr="00AE3BD0">
        <w:rPr>
          <w:color w:val="000000"/>
          <w:szCs w:val="20"/>
        </w:rPr>
        <w:t xml:space="preserve"> </w:t>
      </w:r>
      <w:r w:rsidRPr="00AE3BD0">
        <w:rPr>
          <w:color w:val="000000"/>
          <w:szCs w:val="20"/>
        </w:rPr>
        <w:t>subject</w:t>
      </w:r>
      <w:r w:rsidR="00C64050" w:rsidRPr="00AE3BD0">
        <w:rPr>
          <w:color w:val="000000"/>
          <w:szCs w:val="20"/>
        </w:rPr>
        <w:t xml:space="preserve"> </w:t>
      </w:r>
      <w:r w:rsidRPr="00AE3BD0">
        <w:rPr>
          <w:color w:val="000000"/>
          <w:szCs w:val="20"/>
        </w:rPr>
        <w:t>to</w:t>
      </w:r>
      <w:r w:rsidR="00C64050" w:rsidRPr="00AE3BD0">
        <w:rPr>
          <w:color w:val="000000"/>
          <w:szCs w:val="20"/>
        </w:rPr>
        <w:t xml:space="preserve"> </w:t>
      </w:r>
      <w:r w:rsidRPr="00AE3BD0">
        <w:rPr>
          <w:color w:val="000000"/>
          <w:szCs w:val="20"/>
        </w:rPr>
        <w:t>the</w:t>
      </w:r>
      <w:r w:rsidR="00C64050" w:rsidRPr="00AE3BD0">
        <w:rPr>
          <w:color w:val="000000"/>
          <w:szCs w:val="20"/>
        </w:rPr>
        <w:t xml:space="preserve"> </w:t>
      </w:r>
      <w:r w:rsidRPr="00AE3BD0">
        <w:rPr>
          <w:color w:val="000000"/>
          <w:szCs w:val="20"/>
        </w:rPr>
        <w:t>2%</w:t>
      </w:r>
      <w:r w:rsidR="00C64050" w:rsidRPr="00AE3BD0">
        <w:rPr>
          <w:color w:val="000000"/>
          <w:szCs w:val="20"/>
        </w:rPr>
        <w:t xml:space="preserve"> </w:t>
      </w:r>
      <w:r w:rsidRPr="00AE3BD0">
        <w:rPr>
          <w:color w:val="000000"/>
          <w:szCs w:val="20"/>
        </w:rPr>
        <w:t>floor</w:t>
      </w:r>
      <w:r w:rsidR="00C64050" w:rsidRPr="00AE3BD0">
        <w:rPr>
          <w:color w:val="000000"/>
          <w:szCs w:val="20"/>
        </w:rPr>
        <w:t xml:space="preserve"> </w:t>
      </w:r>
      <w:r w:rsidRPr="00AE3BD0">
        <w:rPr>
          <w:color w:val="000000"/>
          <w:szCs w:val="20"/>
        </w:rPr>
        <w:t>under</w:t>
      </w:r>
      <w:r w:rsidR="00C64050" w:rsidRPr="00AE3BD0">
        <w:rPr>
          <w:color w:val="000000"/>
          <w:szCs w:val="20"/>
        </w:rPr>
        <w:t xml:space="preserve"> </w:t>
      </w:r>
      <w:r w:rsidRPr="00AE3BD0">
        <w:rPr>
          <w:color w:val="000000"/>
          <w:szCs w:val="20"/>
        </w:rPr>
        <w:t>Section</w:t>
      </w:r>
      <w:r w:rsidR="00C64050" w:rsidRPr="00AE3BD0">
        <w:rPr>
          <w:color w:val="000000"/>
          <w:szCs w:val="20"/>
        </w:rPr>
        <w:t xml:space="preserve"> </w:t>
      </w:r>
      <w:r w:rsidRPr="00AE3BD0">
        <w:rPr>
          <w:color w:val="000000"/>
          <w:szCs w:val="20"/>
        </w:rPr>
        <w:t>67(a)-(b)</w:t>
      </w:r>
      <w:r w:rsidR="00C64050" w:rsidRPr="00AE3BD0">
        <w:rPr>
          <w:color w:val="000000"/>
          <w:szCs w:val="20"/>
        </w:rPr>
        <w:t xml:space="preserve"> </w:t>
      </w:r>
      <w:r w:rsidRPr="00AE3BD0">
        <w:rPr>
          <w:color w:val="000000"/>
          <w:szCs w:val="20"/>
        </w:rPr>
        <w:t>are</w:t>
      </w:r>
      <w:r w:rsidR="00C64050" w:rsidRPr="00AE3BD0">
        <w:rPr>
          <w:color w:val="000000"/>
          <w:szCs w:val="20"/>
        </w:rPr>
        <w:t xml:space="preserve"> </w:t>
      </w:r>
      <w:r w:rsidRPr="00AE3BD0">
        <w:rPr>
          <w:color w:val="000000"/>
          <w:szCs w:val="20"/>
        </w:rPr>
        <w:t>suspended.</w:t>
      </w:r>
      <w:r w:rsidR="00C64050" w:rsidRPr="00AE3BD0">
        <w:rPr>
          <w:color w:val="000000"/>
          <w:szCs w:val="20"/>
        </w:rPr>
        <w:t xml:space="preserve">  </w:t>
      </w:r>
      <w:r w:rsidRPr="00AE3BD0">
        <w:rPr>
          <w:color w:val="000000"/>
          <w:szCs w:val="20"/>
        </w:rPr>
        <w:t>Section</w:t>
      </w:r>
      <w:r w:rsidR="00C64050" w:rsidRPr="00AE3BD0">
        <w:rPr>
          <w:color w:val="000000"/>
          <w:szCs w:val="20"/>
        </w:rPr>
        <w:t xml:space="preserve"> </w:t>
      </w:r>
      <w:r w:rsidRPr="00AE3BD0">
        <w:rPr>
          <w:color w:val="000000"/>
          <w:szCs w:val="20"/>
        </w:rPr>
        <w:t>67(g).</w:t>
      </w:r>
      <w:r w:rsidR="00C64050" w:rsidRPr="00AE3BD0">
        <w:rPr>
          <w:color w:val="000000"/>
          <w:szCs w:val="20"/>
        </w:rPr>
        <w:t xml:space="preserve"> </w:t>
      </w:r>
    </w:p>
    <w:p w:rsidR="009C4CA0" w:rsidRDefault="009B095B" w:rsidP="001E7C34">
      <w:pPr>
        <w:pStyle w:val="Body15"/>
      </w:pPr>
      <w:r w:rsidRPr="00C25106">
        <w:t>Because</w:t>
      </w:r>
      <w:r w:rsidR="00C64050">
        <w:t xml:space="preserve"> </w:t>
      </w:r>
      <w:r w:rsidRPr="00C25106">
        <w:t>many</w:t>
      </w:r>
      <w:r w:rsidR="00C64050">
        <w:t xml:space="preserve"> </w:t>
      </w:r>
      <w:r w:rsidRPr="00C25106">
        <w:t>states</w:t>
      </w:r>
      <w:r w:rsidR="00C64050">
        <w:t xml:space="preserve"> </w:t>
      </w:r>
      <w:r w:rsidRPr="00C25106">
        <w:t>base</w:t>
      </w:r>
      <w:r w:rsidR="00C64050">
        <w:t xml:space="preserve"> </w:t>
      </w:r>
      <w:r w:rsidRPr="00C25106">
        <w:t>their</w:t>
      </w:r>
      <w:r w:rsidR="00C64050">
        <w:t xml:space="preserve"> </w:t>
      </w:r>
      <w:r w:rsidRPr="00C25106">
        <w:t>income</w:t>
      </w:r>
      <w:r w:rsidR="00C64050">
        <w:t xml:space="preserve"> </w:t>
      </w:r>
      <w:r w:rsidRPr="00C25106">
        <w:t>tax</w:t>
      </w:r>
      <w:r w:rsidR="00C64050">
        <w:t xml:space="preserve"> </w:t>
      </w:r>
      <w:r w:rsidRPr="00C25106">
        <w:t>calculation</w:t>
      </w:r>
      <w:r w:rsidR="00C64050">
        <w:t xml:space="preserve"> </w:t>
      </w:r>
      <w:r w:rsidRPr="00C25106">
        <w:t>on</w:t>
      </w:r>
      <w:r w:rsidR="00C64050">
        <w:t xml:space="preserve"> </w:t>
      </w:r>
      <w:r w:rsidRPr="00C25106">
        <w:t>federal</w:t>
      </w:r>
      <w:r w:rsidR="00C64050">
        <w:t xml:space="preserve"> </w:t>
      </w:r>
      <w:r w:rsidRPr="00C25106">
        <w:t>taxable</w:t>
      </w:r>
      <w:r w:rsidR="00C64050">
        <w:t xml:space="preserve"> </w:t>
      </w:r>
      <w:r w:rsidRPr="00C25106">
        <w:t>income,</w:t>
      </w:r>
      <w:r w:rsidR="00C64050">
        <w:t xml:space="preserve"> </w:t>
      </w:r>
      <w:r w:rsidRPr="00C25106">
        <w:t>the</w:t>
      </w:r>
      <w:r w:rsidR="00C64050">
        <w:t xml:space="preserve"> </w:t>
      </w:r>
      <w:r w:rsidRPr="00C25106">
        <w:t>elimination</w:t>
      </w:r>
      <w:r w:rsidR="00C64050">
        <w:t xml:space="preserve"> </w:t>
      </w:r>
      <w:r w:rsidRPr="00C25106">
        <w:t>of</w:t>
      </w:r>
      <w:r w:rsidR="00C64050">
        <w:t xml:space="preserve"> </w:t>
      </w:r>
      <w:r w:rsidRPr="00C25106">
        <w:t>many</w:t>
      </w:r>
      <w:r w:rsidR="00C64050">
        <w:t xml:space="preserve"> </w:t>
      </w:r>
      <w:r w:rsidRPr="00C25106">
        <w:t>itemized</w:t>
      </w:r>
      <w:r w:rsidR="00C64050">
        <w:t xml:space="preserve"> </w:t>
      </w:r>
      <w:r w:rsidRPr="00C25106">
        <w:t>deductions</w:t>
      </w:r>
      <w:r w:rsidR="00C64050">
        <w:t xml:space="preserve"> </w:t>
      </w:r>
      <w:r w:rsidRPr="00C25106">
        <w:t>due</w:t>
      </w:r>
      <w:r w:rsidR="00C64050">
        <w:t xml:space="preserve"> </w:t>
      </w:r>
      <w:r w:rsidRPr="00C25106">
        <w:t>to</w:t>
      </w:r>
      <w:r w:rsidR="00C64050">
        <w:t xml:space="preserve"> </w:t>
      </w:r>
      <w:r>
        <w:t>Section</w:t>
      </w:r>
      <w:r w:rsidR="00C64050">
        <w:t xml:space="preserve"> </w:t>
      </w:r>
      <w:r w:rsidRPr="00C25106">
        <w:t>67(g)</w:t>
      </w:r>
      <w:r w:rsidR="00C64050">
        <w:t xml:space="preserve"> </w:t>
      </w:r>
      <w:r w:rsidRPr="00C25106">
        <w:t>will</w:t>
      </w:r>
      <w:r w:rsidR="00C64050">
        <w:t xml:space="preserve"> </w:t>
      </w:r>
      <w:r w:rsidRPr="00C25106">
        <w:t>increase</w:t>
      </w:r>
      <w:r w:rsidR="00C64050">
        <w:t xml:space="preserve"> </w:t>
      </w:r>
      <w:r w:rsidRPr="00C25106">
        <w:t>state</w:t>
      </w:r>
      <w:r w:rsidR="00C64050">
        <w:t xml:space="preserve"> </w:t>
      </w:r>
      <w:r w:rsidRPr="00C25106">
        <w:t>income</w:t>
      </w:r>
      <w:r w:rsidR="00C64050">
        <w:t xml:space="preserve"> </w:t>
      </w:r>
      <w:r w:rsidRPr="00C25106">
        <w:t>taxes</w:t>
      </w:r>
      <w:r w:rsidR="00C64050">
        <w:t xml:space="preserve"> </w:t>
      </w:r>
      <w:r w:rsidRPr="00C25106">
        <w:t>for</w:t>
      </w:r>
      <w:r w:rsidR="00C64050">
        <w:t xml:space="preserve"> </w:t>
      </w:r>
      <w:r w:rsidRPr="00C25106">
        <w:t>many</w:t>
      </w:r>
      <w:r w:rsidR="00C64050">
        <w:t xml:space="preserve"> </w:t>
      </w:r>
      <w:r w:rsidRPr="00C25106">
        <w:t>individuals,</w:t>
      </w:r>
      <w:r w:rsidR="00C64050">
        <w:t xml:space="preserve"> </w:t>
      </w:r>
      <w:r w:rsidRPr="00C25106">
        <w:t>trusts</w:t>
      </w:r>
      <w:r w:rsidR="00C64050">
        <w:t xml:space="preserve"> </w:t>
      </w:r>
      <w:r w:rsidRPr="00C25106">
        <w:t>and</w:t>
      </w:r>
      <w:r w:rsidR="00C64050">
        <w:t xml:space="preserve"> </w:t>
      </w:r>
      <w:r w:rsidRPr="00C25106">
        <w:t>estates</w:t>
      </w:r>
      <w:r w:rsidR="00C64050">
        <w:t xml:space="preserve"> </w:t>
      </w:r>
      <w:r w:rsidRPr="00C25106">
        <w:t>as</w:t>
      </w:r>
      <w:r w:rsidR="00C64050">
        <w:t xml:space="preserve"> </w:t>
      </w:r>
      <w:r w:rsidRPr="00C25106">
        <w:t>well.</w:t>
      </w:r>
      <w:r w:rsidR="00C64050">
        <w:t xml:space="preserve">  </w:t>
      </w:r>
      <w:r w:rsidR="009C4CA0">
        <w:t>Some</w:t>
      </w:r>
      <w:r w:rsidR="00C64050">
        <w:t xml:space="preserve"> </w:t>
      </w:r>
      <w:r w:rsidR="009C4CA0">
        <w:t>states</w:t>
      </w:r>
      <w:r w:rsidR="00C64050">
        <w:t xml:space="preserve"> </w:t>
      </w:r>
      <w:r w:rsidR="009C4CA0">
        <w:t>have</w:t>
      </w:r>
      <w:r w:rsidR="00C64050">
        <w:t xml:space="preserve"> </w:t>
      </w:r>
      <w:r w:rsidR="009C4CA0">
        <w:t>attempted</w:t>
      </w:r>
      <w:r w:rsidR="00C64050">
        <w:t xml:space="preserve"> </w:t>
      </w:r>
      <w:r w:rsidR="009C4CA0">
        <w:t>to</w:t>
      </w:r>
      <w:r w:rsidR="00C64050">
        <w:t xml:space="preserve"> </w:t>
      </w:r>
      <w:r w:rsidR="009C4CA0">
        <w:t>recast</w:t>
      </w:r>
      <w:r w:rsidR="00C64050">
        <w:t xml:space="preserve"> </w:t>
      </w:r>
      <w:r w:rsidR="009C4CA0">
        <w:t>those</w:t>
      </w:r>
      <w:r w:rsidR="00C64050">
        <w:t xml:space="preserve"> </w:t>
      </w:r>
      <w:r w:rsidR="009C4CA0">
        <w:t>deductions</w:t>
      </w:r>
      <w:r w:rsidR="00C64050">
        <w:t xml:space="preserve"> </w:t>
      </w:r>
      <w:r w:rsidR="009C4CA0">
        <w:t>as</w:t>
      </w:r>
      <w:r w:rsidR="00C64050">
        <w:t xml:space="preserve"> </w:t>
      </w:r>
      <w:r w:rsidR="009C4CA0">
        <w:t>charitable</w:t>
      </w:r>
      <w:r w:rsidR="00C64050">
        <w:t xml:space="preserve"> </w:t>
      </w:r>
      <w:r w:rsidR="009C4CA0">
        <w:t>contributions.</w:t>
      </w:r>
      <w:r w:rsidR="00C64050">
        <w:t xml:space="preserve">  </w:t>
      </w:r>
      <w:r w:rsidR="009C4CA0">
        <w:t>To</w:t>
      </w:r>
      <w:r w:rsidR="00C64050">
        <w:t xml:space="preserve"> </w:t>
      </w:r>
      <w:r w:rsidR="009C4CA0">
        <w:t>date,</w:t>
      </w:r>
      <w:r w:rsidR="00C64050">
        <w:t xml:space="preserve"> </w:t>
      </w:r>
      <w:r w:rsidR="009C4CA0">
        <w:t>those</w:t>
      </w:r>
      <w:r w:rsidR="00C64050">
        <w:t xml:space="preserve"> </w:t>
      </w:r>
      <w:r w:rsidR="009C4CA0">
        <w:t>efforts</w:t>
      </w:r>
      <w:r w:rsidR="00C64050">
        <w:t xml:space="preserve"> </w:t>
      </w:r>
      <w:r w:rsidR="009C4CA0">
        <w:t>have</w:t>
      </w:r>
      <w:r w:rsidR="00C64050">
        <w:t xml:space="preserve"> </w:t>
      </w:r>
      <w:r w:rsidR="009C4CA0">
        <w:t>failed.</w:t>
      </w:r>
      <w:r w:rsidR="00C64050">
        <w:t xml:space="preserve">  </w:t>
      </w:r>
      <w:r w:rsidR="009841C8">
        <w:t>In</w:t>
      </w:r>
      <w:r w:rsidR="00C64050">
        <w:t xml:space="preserve"> </w:t>
      </w:r>
      <w:r w:rsidR="009841C8">
        <w:t>fact,</w:t>
      </w:r>
      <w:r w:rsidR="00C64050">
        <w:t xml:space="preserve"> </w:t>
      </w:r>
      <w:r w:rsidR="009841C8">
        <w:t>those</w:t>
      </w:r>
      <w:r w:rsidR="00C64050">
        <w:t xml:space="preserve"> </w:t>
      </w:r>
      <w:r w:rsidR="009841C8">
        <w:t>efforts</w:t>
      </w:r>
      <w:r w:rsidR="00C64050">
        <w:t xml:space="preserve"> </w:t>
      </w:r>
      <w:r w:rsidR="009841C8">
        <w:t>have</w:t>
      </w:r>
      <w:r w:rsidR="00C64050">
        <w:t xml:space="preserve"> </w:t>
      </w:r>
      <w:r w:rsidR="009841C8">
        <w:t>done</w:t>
      </w:r>
      <w:r w:rsidR="00C64050">
        <w:t xml:space="preserve"> </w:t>
      </w:r>
      <w:r w:rsidR="009841C8">
        <w:t>affirmative</w:t>
      </w:r>
      <w:r w:rsidR="00C64050">
        <w:t xml:space="preserve"> </w:t>
      </w:r>
      <w:r w:rsidR="009841C8">
        <w:t>harm.</w:t>
      </w:r>
      <w:r w:rsidR="00C64050">
        <w:t xml:space="preserve">  </w:t>
      </w:r>
      <w:r w:rsidR="009841C8">
        <w:t>Previously,</w:t>
      </w:r>
      <w:r w:rsidR="00C64050">
        <w:t xml:space="preserve"> </w:t>
      </w:r>
      <w:r w:rsidR="009841C8">
        <w:t>the</w:t>
      </w:r>
      <w:r w:rsidR="00C64050">
        <w:t xml:space="preserve"> </w:t>
      </w:r>
      <w:r w:rsidR="009841C8">
        <w:t>IRS</w:t>
      </w:r>
      <w:r w:rsidR="00C64050">
        <w:t xml:space="preserve"> </w:t>
      </w:r>
      <w:r w:rsidR="009841C8">
        <w:t>took</w:t>
      </w:r>
      <w:r w:rsidR="00C64050">
        <w:t xml:space="preserve"> </w:t>
      </w:r>
      <w:r w:rsidR="009841C8">
        <w:t>the</w:t>
      </w:r>
      <w:r w:rsidR="00C64050">
        <w:t xml:space="preserve"> </w:t>
      </w:r>
      <w:r w:rsidR="009841C8">
        <w:t>position</w:t>
      </w:r>
      <w:r w:rsidR="00C64050">
        <w:t xml:space="preserve"> </w:t>
      </w:r>
      <w:r w:rsidR="009841C8">
        <w:t>that</w:t>
      </w:r>
      <w:r w:rsidR="00C64050">
        <w:t xml:space="preserve"> </w:t>
      </w:r>
      <w:r w:rsidR="009841C8">
        <w:t>a</w:t>
      </w:r>
      <w:r w:rsidR="00C64050">
        <w:t xml:space="preserve"> </w:t>
      </w:r>
      <w:r w:rsidR="009841C8">
        <w:t>state</w:t>
      </w:r>
      <w:r w:rsidR="00C64050">
        <w:t xml:space="preserve"> </w:t>
      </w:r>
      <w:r w:rsidR="009841C8">
        <w:t>tax</w:t>
      </w:r>
      <w:r w:rsidR="00C64050">
        <w:t xml:space="preserve"> </w:t>
      </w:r>
      <w:r w:rsidR="009841C8">
        <w:t>credit</w:t>
      </w:r>
      <w:r w:rsidR="00C64050">
        <w:t xml:space="preserve"> </w:t>
      </w:r>
      <w:r w:rsidR="009841C8">
        <w:t>received</w:t>
      </w:r>
      <w:r w:rsidR="00C64050">
        <w:t xml:space="preserve"> </w:t>
      </w:r>
      <w:r w:rsidR="009841C8">
        <w:t>for</w:t>
      </w:r>
      <w:r w:rsidR="00C64050">
        <w:t xml:space="preserve"> </w:t>
      </w:r>
      <w:r w:rsidR="009841C8">
        <w:t>a</w:t>
      </w:r>
      <w:r w:rsidR="00C64050">
        <w:t xml:space="preserve"> </w:t>
      </w:r>
      <w:r w:rsidR="009841C8">
        <w:t>charitable</w:t>
      </w:r>
      <w:r w:rsidR="00C64050">
        <w:t xml:space="preserve"> </w:t>
      </w:r>
      <w:r w:rsidR="009841C8">
        <w:t>contribution</w:t>
      </w:r>
      <w:r w:rsidR="00C64050">
        <w:t xml:space="preserve"> </w:t>
      </w:r>
      <w:r w:rsidR="009841C8">
        <w:t>would</w:t>
      </w:r>
      <w:r w:rsidR="00C64050">
        <w:t xml:space="preserve"> </w:t>
      </w:r>
      <w:r w:rsidR="009841C8">
        <w:t>not</w:t>
      </w:r>
      <w:r w:rsidR="00C64050">
        <w:t xml:space="preserve"> </w:t>
      </w:r>
      <w:r w:rsidR="009841C8">
        <w:t>reduce</w:t>
      </w:r>
      <w:r w:rsidR="00C64050">
        <w:t xml:space="preserve"> </w:t>
      </w:r>
      <w:r w:rsidR="009841C8">
        <w:t>the</w:t>
      </w:r>
      <w:r w:rsidR="00C64050">
        <w:t xml:space="preserve"> </w:t>
      </w:r>
      <w:r w:rsidR="009841C8">
        <w:t>donor’s</w:t>
      </w:r>
      <w:r w:rsidR="00C64050">
        <w:t xml:space="preserve"> </w:t>
      </w:r>
      <w:r w:rsidR="009841C8">
        <w:t>income</w:t>
      </w:r>
      <w:r w:rsidR="00C64050">
        <w:t xml:space="preserve"> </w:t>
      </w:r>
      <w:r w:rsidR="009841C8">
        <w:t>tax</w:t>
      </w:r>
      <w:r w:rsidR="00C64050">
        <w:t xml:space="preserve"> </w:t>
      </w:r>
      <w:r w:rsidR="009841C8">
        <w:t>deduction.</w:t>
      </w:r>
      <w:r w:rsidR="00C64050">
        <w:t xml:space="preserve">  </w:t>
      </w:r>
      <w:r w:rsidR="009841C8">
        <w:rPr>
          <w:u w:val="single"/>
        </w:rPr>
        <w:t>See</w:t>
      </w:r>
      <w:r w:rsidR="00C64050">
        <w:t xml:space="preserve"> </w:t>
      </w:r>
      <w:r w:rsidR="009841C8">
        <w:t>CCA</w:t>
      </w:r>
      <w:r w:rsidR="005A0124">
        <w:t xml:space="preserve"> </w:t>
      </w:r>
      <w:r w:rsidR="009841C8">
        <w:t>201105010.</w:t>
      </w:r>
      <w:r w:rsidR="00C64050">
        <w:t xml:space="preserve">  </w:t>
      </w:r>
      <w:r w:rsidR="006C69ED">
        <w:t>But</w:t>
      </w:r>
      <w:r w:rsidR="00C64050">
        <w:t xml:space="preserve"> </w:t>
      </w:r>
      <w:r w:rsidR="006C69ED">
        <w:t>the</w:t>
      </w:r>
      <w:r w:rsidR="00C64050">
        <w:t xml:space="preserve"> </w:t>
      </w:r>
      <w:r w:rsidR="006C69ED">
        <w:t>IRS</w:t>
      </w:r>
      <w:r w:rsidR="00C64050">
        <w:t xml:space="preserve"> </w:t>
      </w:r>
      <w:r w:rsidR="006C69ED">
        <w:t>has</w:t>
      </w:r>
      <w:r w:rsidR="00C64050">
        <w:t xml:space="preserve"> </w:t>
      </w:r>
      <w:r w:rsidR="006C69ED">
        <w:t>a</w:t>
      </w:r>
      <w:r w:rsidR="00C64050">
        <w:t xml:space="preserve"> </w:t>
      </w:r>
      <w:r w:rsidR="006C69ED">
        <w:t>new</w:t>
      </w:r>
      <w:r w:rsidR="00C64050">
        <w:t xml:space="preserve"> </w:t>
      </w:r>
      <w:r w:rsidR="006C69ED">
        <w:t>position</w:t>
      </w:r>
      <w:r w:rsidR="00C64050">
        <w:t xml:space="preserve"> </w:t>
      </w:r>
      <w:r w:rsidR="006C69ED">
        <w:t>now</w:t>
      </w:r>
      <w:r w:rsidR="007469BB">
        <w:t>:</w:t>
      </w:r>
      <w:r w:rsidR="00C64050">
        <w:t xml:space="preserve"> </w:t>
      </w:r>
      <w:r w:rsidR="007469BB">
        <w:t>a</w:t>
      </w:r>
      <w:r w:rsidR="00C64050">
        <w:t xml:space="preserve"> </w:t>
      </w:r>
      <w:r w:rsidR="007469BB">
        <w:t>tax</w:t>
      </w:r>
      <w:r w:rsidR="00C64050">
        <w:t xml:space="preserve"> </w:t>
      </w:r>
      <w:r w:rsidR="006C69ED">
        <w:t>credit</w:t>
      </w:r>
      <w:r w:rsidR="00C64050">
        <w:t xml:space="preserve"> </w:t>
      </w:r>
      <w:r w:rsidR="006C69ED">
        <w:t>is</w:t>
      </w:r>
      <w:r w:rsidR="00C64050">
        <w:t xml:space="preserve"> </w:t>
      </w:r>
      <w:r w:rsidR="006C69ED">
        <w:t>a</w:t>
      </w:r>
      <w:r w:rsidR="00C64050">
        <w:t xml:space="preserve"> </w:t>
      </w:r>
      <w:r w:rsidR="006C69ED">
        <w:t>quid</w:t>
      </w:r>
      <w:r w:rsidR="00C64050">
        <w:t xml:space="preserve"> </w:t>
      </w:r>
      <w:r w:rsidR="006C69ED">
        <w:t>pro</w:t>
      </w:r>
      <w:r w:rsidR="00C64050">
        <w:t xml:space="preserve"> </w:t>
      </w:r>
      <w:r w:rsidR="006C69ED">
        <w:t>quo.</w:t>
      </w:r>
      <w:r w:rsidR="00C64050">
        <w:t xml:space="preserve">  </w:t>
      </w:r>
      <w:r w:rsidR="009C4CA0">
        <w:t>TD</w:t>
      </w:r>
      <w:r w:rsidR="00C64050">
        <w:t xml:space="preserve"> </w:t>
      </w:r>
      <w:r w:rsidR="009C4CA0">
        <w:t>9864</w:t>
      </w:r>
      <w:r w:rsidR="00C64050">
        <w:t xml:space="preserve"> </w:t>
      </w:r>
      <w:r w:rsidR="009C4CA0">
        <w:t>(June</w:t>
      </w:r>
      <w:r w:rsidR="00C64050">
        <w:t xml:space="preserve"> </w:t>
      </w:r>
      <w:r w:rsidR="009C4CA0">
        <w:t>11,</w:t>
      </w:r>
      <w:r w:rsidR="00C64050">
        <w:t xml:space="preserve"> </w:t>
      </w:r>
      <w:r w:rsidR="009C4CA0">
        <w:t>2019).</w:t>
      </w:r>
      <w:r w:rsidR="00C64050">
        <w:t xml:space="preserve">  </w:t>
      </w:r>
      <w:r w:rsidR="009C4CA0">
        <w:t>The</w:t>
      </w:r>
      <w:r w:rsidR="00C64050">
        <w:t xml:space="preserve"> </w:t>
      </w:r>
      <w:r w:rsidR="009C4CA0">
        <w:t>Preamble</w:t>
      </w:r>
      <w:r w:rsidR="00C64050">
        <w:t xml:space="preserve"> </w:t>
      </w:r>
      <w:r w:rsidR="009C4CA0">
        <w:t>explains:</w:t>
      </w:r>
    </w:p>
    <w:p w:rsidR="00AF149E" w:rsidRDefault="00AF149E" w:rsidP="00AF149E">
      <w:pPr>
        <w:pStyle w:val="QS10"/>
      </w:pPr>
      <w:r>
        <w:t>The</w:t>
      </w:r>
      <w:r w:rsidR="00C64050">
        <w:t xml:space="preserve"> </w:t>
      </w:r>
      <w:r>
        <w:t>new</w:t>
      </w:r>
      <w:r w:rsidR="00C64050">
        <w:t xml:space="preserve"> </w:t>
      </w:r>
      <w:r>
        <w:t>limitation,</w:t>
      </w:r>
      <w:r w:rsidR="00C64050">
        <w:t xml:space="preserve"> </w:t>
      </w:r>
      <w:r>
        <w:t>and</w:t>
      </w:r>
      <w:r w:rsidR="00C64050">
        <w:t xml:space="preserve"> </w:t>
      </w:r>
      <w:r>
        <w:t>the</w:t>
      </w:r>
      <w:r w:rsidR="00C64050">
        <w:t xml:space="preserve"> </w:t>
      </w:r>
      <w:r>
        <w:t>resulting</w:t>
      </w:r>
      <w:r w:rsidR="00C64050">
        <w:t xml:space="preserve"> </w:t>
      </w:r>
      <w:r>
        <w:t>efforts</w:t>
      </w:r>
      <w:r w:rsidR="00C64050">
        <w:t xml:space="preserve"> </w:t>
      </w:r>
      <w:r>
        <w:t>by</w:t>
      </w:r>
      <w:r w:rsidR="00C64050">
        <w:t xml:space="preserve"> </w:t>
      </w:r>
      <w:r>
        <w:t>states</w:t>
      </w:r>
      <w:r w:rsidR="00C64050">
        <w:t xml:space="preserve"> </w:t>
      </w:r>
      <w:r>
        <w:t>and</w:t>
      </w:r>
      <w:r w:rsidR="00C64050">
        <w:t xml:space="preserve"> </w:t>
      </w:r>
      <w:r>
        <w:t>taxpayers</w:t>
      </w:r>
      <w:r w:rsidR="00C64050">
        <w:t xml:space="preserve"> </w:t>
      </w:r>
      <w:r>
        <w:t>to</w:t>
      </w:r>
      <w:r w:rsidR="00C64050">
        <w:t xml:space="preserve"> </w:t>
      </w:r>
      <w:r>
        <w:t>devise</w:t>
      </w:r>
      <w:r w:rsidR="00C64050">
        <w:t xml:space="preserve"> </w:t>
      </w:r>
      <w:r>
        <w:t>alternate</w:t>
      </w:r>
      <w:r w:rsidR="00C64050">
        <w:t xml:space="preserve"> </w:t>
      </w:r>
      <w:r>
        <w:t>means</w:t>
      </w:r>
      <w:r w:rsidR="00C64050">
        <w:t xml:space="preserve"> </w:t>
      </w:r>
      <w:r>
        <w:t>for</w:t>
      </w:r>
      <w:r w:rsidR="00C64050">
        <w:t xml:space="preserve"> </w:t>
      </w:r>
      <w:r>
        <w:t>deducting</w:t>
      </w:r>
      <w:r w:rsidR="00C64050">
        <w:t xml:space="preserve"> </w:t>
      </w:r>
      <w:r>
        <w:t>the</w:t>
      </w:r>
      <w:r w:rsidR="00C64050">
        <w:t xml:space="preserve"> </w:t>
      </w:r>
      <w:r>
        <w:t>disallowed</w:t>
      </w:r>
      <w:r w:rsidR="00C64050">
        <w:t xml:space="preserve"> </w:t>
      </w:r>
      <w:r>
        <w:t>portion</w:t>
      </w:r>
      <w:r w:rsidR="00C64050">
        <w:t xml:space="preserve"> </w:t>
      </w:r>
      <w:r>
        <w:t>of</w:t>
      </w:r>
      <w:r w:rsidR="00C64050">
        <w:t xml:space="preserve"> </w:t>
      </w:r>
      <w:r>
        <w:t>their</w:t>
      </w:r>
      <w:r w:rsidR="00C64050">
        <w:t xml:space="preserve"> </w:t>
      </w:r>
      <w:r>
        <w:t>state</w:t>
      </w:r>
      <w:r w:rsidR="00C64050">
        <w:t xml:space="preserve"> </w:t>
      </w:r>
      <w:r>
        <w:t>and</w:t>
      </w:r>
      <w:r w:rsidR="00C64050">
        <w:t xml:space="preserve"> </w:t>
      </w:r>
      <w:r>
        <w:t>local</w:t>
      </w:r>
      <w:r w:rsidR="00C64050">
        <w:t xml:space="preserve"> </w:t>
      </w:r>
      <w:r>
        <w:t>taxes,</w:t>
      </w:r>
      <w:r w:rsidR="00C64050">
        <w:t xml:space="preserve"> </w:t>
      </w:r>
      <w:r>
        <w:t>has</w:t>
      </w:r>
      <w:r w:rsidR="00C64050">
        <w:t xml:space="preserve"> </w:t>
      </w:r>
      <w:r>
        <w:t>generated</w:t>
      </w:r>
      <w:r w:rsidR="00C64050">
        <w:t xml:space="preserve"> </w:t>
      </w:r>
      <w:r>
        <w:t>increased</w:t>
      </w:r>
      <w:r w:rsidR="00C64050">
        <w:t xml:space="preserve"> </w:t>
      </w:r>
      <w:r>
        <w:t>interest</w:t>
      </w:r>
      <w:r w:rsidR="00C64050">
        <w:t xml:space="preserve"> </w:t>
      </w:r>
      <w:r>
        <w:t>in</w:t>
      </w:r>
      <w:r w:rsidR="00C64050">
        <w:t xml:space="preserve"> </w:t>
      </w:r>
      <w:r>
        <w:t>the</w:t>
      </w:r>
      <w:r w:rsidR="00C64050">
        <w:t xml:space="preserve"> </w:t>
      </w:r>
      <w:r>
        <w:t>question</w:t>
      </w:r>
      <w:r w:rsidR="00C64050">
        <w:t xml:space="preserve"> </w:t>
      </w:r>
      <w:r>
        <w:t>of</w:t>
      </w:r>
      <w:r w:rsidR="00C64050">
        <w:t xml:space="preserve"> </w:t>
      </w:r>
      <w:r>
        <w:t>whether</w:t>
      </w:r>
      <w:r w:rsidR="00C64050">
        <w:t xml:space="preserve"> </w:t>
      </w:r>
      <w:r>
        <w:t>a</w:t>
      </w:r>
      <w:r w:rsidR="00C64050">
        <w:t xml:space="preserve"> </w:t>
      </w:r>
      <w:r>
        <w:t>state</w:t>
      </w:r>
      <w:r w:rsidR="00C64050">
        <w:t xml:space="preserve"> </w:t>
      </w:r>
      <w:r>
        <w:t>or</w:t>
      </w:r>
      <w:r w:rsidR="00C64050">
        <w:t xml:space="preserve"> </w:t>
      </w:r>
      <w:r>
        <w:t>local</w:t>
      </w:r>
      <w:r w:rsidR="00C64050">
        <w:t xml:space="preserve"> </w:t>
      </w:r>
      <w:r>
        <w:t>tax</w:t>
      </w:r>
      <w:r w:rsidR="00C64050">
        <w:t xml:space="preserve"> </w:t>
      </w:r>
      <w:r>
        <w:t>credit</w:t>
      </w:r>
      <w:r w:rsidR="00C64050">
        <w:t xml:space="preserve"> </w:t>
      </w:r>
      <w:r>
        <w:t>should</w:t>
      </w:r>
      <w:r w:rsidR="00C64050">
        <w:t xml:space="preserve"> </w:t>
      </w:r>
      <w:r>
        <w:t>be</w:t>
      </w:r>
      <w:r w:rsidR="00C64050">
        <w:t xml:space="preserve"> </w:t>
      </w:r>
      <w:r>
        <w:t>treated</w:t>
      </w:r>
      <w:r w:rsidR="00C64050">
        <w:t xml:space="preserve"> </w:t>
      </w:r>
      <w:r>
        <w:t>as</w:t>
      </w:r>
      <w:r w:rsidR="00C64050">
        <w:t xml:space="preserve"> </w:t>
      </w:r>
      <w:r>
        <w:t>a</w:t>
      </w:r>
      <w:r w:rsidR="00C64050">
        <w:t xml:space="preserve"> </w:t>
      </w:r>
      <w:r>
        <w:t>return</w:t>
      </w:r>
      <w:r w:rsidR="00C64050">
        <w:t xml:space="preserve"> </w:t>
      </w:r>
      <w:r>
        <w:t>benefit</w:t>
      </w:r>
      <w:r w:rsidR="00C64050">
        <w:t xml:space="preserve"> </w:t>
      </w:r>
      <w:r>
        <w:t>–</w:t>
      </w:r>
      <w:r w:rsidR="00C64050">
        <w:t xml:space="preserve"> </w:t>
      </w:r>
      <w:r>
        <w:t>a</w:t>
      </w:r>
      <w:r w:rsidR="00C64050">
        <w:t xml:space="preserve"> </w:t>
      </w:r>
      <w:r w:rsidRPr="00AF149E">
        <w:rPr>
          <w:u w:val="single"/>
        </w:rPr>
        <w:t>quid</w:t>
      </w:r>
      <w:r w:rsidR="00C64050">
        <w:rPr>
          <w:u w:val="single"/>
        </w:rPr>
        <w:t xml:space="preserve"> </w:t>
      </w:r>
      <w:r w:rsidRPr="00AF149E">
        <w:rPr>
          <w:u w:val="single"/>
        </w:rPr>
        <w:t>pro</w:t>
      </w:r>
      <w:r w:rsidR="00C64050">
        <w:rPr>
          <w:u w:val="single"/>
        </w:rPr>
        <w:t xml:space="preserve"> </w:t>
      </w:r>
      <w:r w:rsidRPr="00AF149E">
        <w:rPr>
          <w:u w:val="single"/>
        </w:rPr>
        <w:t>quo</w:t>
      </w:r>
      <w:r w:rsidR="00C64050">
        <w:t xml:space="preserve"> </w:t>
      </w:r>
      <w:r>
        <w:t>–</w:t>
      </w:r>
      <w:r w:rsidR="00C64050">
        <w:t xml:space="preserve"> </w:t>
      </w:r>
      <w:r>
        <w:t>when</w:t>
      </w:r>
      <w:r w:rsidR="00C64050">
        <w:t xml:space="preserve"> </w:t>
      </w:r>
      <w:r>
        <w:t>received</w:t>
      </w:r>
      <w:r w:rsidR="00C64050">
        <w:t xml:space="preserve"> </w:t>
      </w:r>
      <w:r>
        <w:t>in</w:t>
      </w:r>
      <w:r w:rsidR="00C64050">
        <w:t xml:space="preserve"> </w:t>
      </w:r>
      <w:r>
        <w:t>return</w:t>
      </w:r>
      <w:r w:rsidR="00C64050">
        <w:t xml:space="preserve"> </w:t>
      </w:r>
      <w:r>
        <w:t>for</w:t>
      </w:r>
      <w:r w:rsidR="00C64050">
        <w:t xml:space="preserve"> </w:t>
      </w:r>
      <w:r>
        <w:t>making</w:t>
      </w:r>
      <w:r w:rsidR="00C64050">
        <w:t xml:space="preserve"> </w:t>
      </w:r>
      <w:r>
        <w:t>a</w:t>
      </w:r>
      <w:r w:rsidR="00C64050">
        <w:t xml:space="preserve"> </w:t>
      </w:r>
      <w:r>
        <w:t>payment</w:t>
      </w:r>
      <w:r w:rsidR="00C64050">
        <w:t xml:space="preserve"> </w:t>
      </w:r>
      <w:r>
        <w:t>or</w:t>
      </w:r>
      <w:r w:rsidR="00C64050">
        <w:t xml:space="preserve"> </w:t>
      </w:r>
      <w:r>
        <w:t>transfer</w:t>
      </w:r>
      <w:r w:rsidR="00C64050">
        <w:t xml:space="preserve"> </w:t>
      </w:r>
      <w:r>
        <w:t>to</w:t>
      </w:r>
      <w:r w:rsidR="00C64050">
        <w:t xml:space="preserve"> </w:t>
      </w:r>
      <w:r>
        <w:t>an</w:t>
      </w:r>
      <w:r w:rsidR="00C64050">
        <w:t xml:space="preserve"> </w:t>
      </w:r>
      <w:r>
        <w:t>entity</w:t>
      </w:r>
      <w:r w:rsidR="00C64050">
        <w:t xml:space="preserve"> </w:t>
      </w:r>
      <w:r>
        <w:t>described</w:t>
      </w:r>
      <w:r w:rsidR="00C64050">
        <w:t xml:space="preserve"> </w:t>
      </w:r>
      <w:r>
        <w:t>in</w:t>
      </w:r>
      <w:r w:rsidR="00C64050">
        <w:t xml:space="preserve"> </w:t>
      </w:r>
      <w:r>
        <w:t>section</w:t>
      </w:r>
      <w:r w:rsidR="00C64050">
        <w:t xml:space="preserve"> </w:t>
      </w:r>
      <w:r>
        <w:t>170(c).</w:t>
      </w:r>
      <w:r w:rsidR="00C64050">
        <w:t xml:space="preserve"> </w:t>
      </w:r>
      <w:r>
        <w:t>The</w:t>
      </w:r>
      <w:r w:rsidR="00C64050">
        <w:t xml:space="preserve"> </w:t>
      </w:r>
      <w:r>
        <w:t>Treasury</w:t>
      </w:r>
      <w:r w:rsidR="00C64050">
        <w:t xml:space="preserve"> </w:t>
      </w:r>
      <w:r>
        <w:t>Department</w:t>
      </w:r>
      <w:r w:rsidR="00C64050">
        <w:t xml:space="preserve"> </w:t>
      </w:r>
      <w:r>
        <w:t>and</w:t>
      </w:r>
      <w:r w:rsidR="00C64050">
        <w:t xml:space="preserve"> </w:t>
      </w:r>
      <w:r>
        <w:t>the</w:t>
      </w:r>
      <w:r w:rsidR="00C64050">
        <w:t xml:space="preserve"> </w:t>
      </w:r>
      <w:r>
        <w:t>IRS</w:t>
      </w:r>
      <w:r w:rsidR="00C64050">
        <w:t xml:space="preserve"> </w:t>
      </w:r>
      <w:r>
        <w:t>did</w:t>
      </w:r>
      <w:r w:rsidR="00C64050">
        <w:t xml:space="preserve"> </w:t>
      </w:r>
      <w:r>
        <w:t>not</w:t>
      </w:r>
      <w:r w:rsidR="00C64050">
        <w:t xml:space="preserve"> </w:t>
      </w:r>
      <w:r>
        <w:t>publish</w:t>
      </w:r>
      <w:r w:rsidR="00C64050">
        <w:t xml:space="preserve"> </w:t>
      </w:r>
      <w:r>
        <w:t>formal</w:t>
      </w:r>
      <w:r w:rsidR="00C64050">
        <w:t xml:space="preserve"> </w:t>
      </w:r>
      <w:r>
        <w:t>guidance</w:t>
      </w:r>
      <w:r w:rsidR="00C64050">
        <w:t xml:space="preserve"> </w:t>
      </w:r>
      <w:r>
        <w:t>on</w:t>
      </w:r>
      <w:r w:rsidR="00C64050">
        <w:t xml:space="preserve"> </w:t>
      </w:r>
      <w:r>
        <w:t>this</w:t>
      </w:r>
      <w:r w:rsidR="00C64050">
        <w:t xml:space="preserve"> </w:t>
      </w:r>
      <w:r>
        <w:t>question</w:t>
      </w:r>
      <w:r w:rsidR="00C64050">
        <w:t xml:space="preserve"> </w:t>
      </w:r>
      <w:r>
        <w:t>before</w:t>
      </w:r>
      <w:r w:rsidR="00C64050">
        <w:t xml:space="preserve"> </w:t>
      </w:r>
      <w:r>
        <w:t>the</w:t>
      </w:r>
      <w:r w:rsidR="00C64050">
        <w:t xml:space="preserve"> </w:t>
      </w:r>
      <w:r>
        <w:t>enactment</w:t>
      </w:r>
      <w:r w:rsidR="00C64050">
        <w:t xml:space="preserve"> </w:t>
      </w:r>
      <w:r>
        <w:t>of</w:t>
      </w:r>
      <w:r w:rsidR="00C64050">
        <w:t xml:space="preserve"> </w:t>
      </w:r>
      <w:r>
        <w:t>the</w:t>
      </w:r>
      <w:r w:rsidR="00C64050">
        <w:t xml:space="preserve"> </w:t>
      </w:r>
      <w:r>
        <w:t>limitation</w:t>
      </w:r>
      <w:r w:rsidR="00C64050">
        <w:t xml:space="preserve"> </w:t>
      </w:r>
      <w:r>
        <w:t>under</w:t>
      </w:r>
      <w:r w:rsidR="00C64050">
        <w:t xml:space="preserve"> </w:t>
      </w:r>
      <w:r>
        <w:t>section</w:t>
      </w:r>
      <w:r w:rsidR="00C64050">
        <w:t xml:space="preserve"> </w:t>
      </w:r>
      <w:r>
        <w:t>164(b)(6).</w:t>
      </w:r>
      <w:r w:rsidR="00C64050">
        <w:t xml:space="preserve"> </w:t>
      </w:r>
      <w:r>
        <w:t>In</w:t>
      </w:r>
      <w:r w:rsidR="00C64050">
        <w:t xml:space="preserve"> </w:t>
      </w:r>
      <w:r>
        <w:t>2010,</w:t>
      </w:r>
      <w:r w:rsidR="00C64050">
        <w:t xml:space="preserve"> </w:t>
      </w:r>
      <w:r>
        <w:t>however,</w:t>
      </w:r>
      <w:r w:rsidR="00C64050">
        <w:t xml:space="preserve"> </w:t>
      </w:r>
      <w:r>
        <w:t>the</w:t>
      </w:r>
      <w:r w:rsidR="00C64050">
        <w:t xml:space="preserve"> </w:t>
      </w:r>
      <w:r>
        <w:t>IRS</w:t>
      </w:r>
      <w:r w:rsidR="00C64050">
        <w:t xml:space="preserve"> </w:t>
      </w:r>
      <w:r>
        <w:t>Chief</w:t>
      </w:r>
      <w:r w:rsidR="00C64050">
        <w:t xml:space="preserve"> </w:t>
      </w:r>
      <w:r>
        <w:t>Counsel</w:t>
      </w:r>
      <w:r w:rsidR="00C64050">
        <w:t xml:space="preserve"> </w:t>
      </w:r>
      <w:r>
        <w:t>advised</w:t>
      </w:r>
      <w:r w:rsidR="00C64050">
        <w:t xml:space="preserve"> </w:t>
      </w:r>
      <w:r>
        <w:t>that,</w:t>
      </w:r>
      <w:r w:rsidR="00C64050">
        <w:t xml:space="preserve"> </w:t>
      </w:r>
      <w:r>
        <w:t>under</w:t>
      </w:r>
      <w:r w:rsidR="00C64050">
        <w:t xml:space="preserve"> </w:t>
      </w:r>
      <w:r>
        <w:t>certain</w:t>
      </w:r>
      <w:r w:rsidR="00C64050">
        <w:t xml:space="preserve"> </w:t>
      </w:r>
      <w:r>
        <w:t>circumstances,</w:t>
      </w:r>
      <w:r w:rsidR="00C64050">
        <w:t xml:space="preserve"> </w:t>
      </w:r>
      <w:r>
        <w:t>a</w:t>
      </w:r>
      <w:r w:rsidR="00C64050">
        <w:t xml:space="preserve"> </w:t>
      </w:r>
      <w:r>
        <w:t>taxpayer</w:t>
      </w:r>
      <w:r w:rsidR="00C64050">
        <w:t xml:space="preserve"> </w:t>
      </w:r>
      <w:r>
        <w:t>may</w:t>
      </w:r>
      <w:r w:rsidR="00C64050">
        <w:t xml:space="preserve"> </w:t>
      </w:r>
      <w:r>
        <w:t>take</w:t>
      </w:r>
      <w:r w:rsidR="00C64050">
        <w:t xml:space="preserve"> </w:t>
      </w:r>
      <w:r>
        <w:t>a</w:t>
      </w:r>
      <w:r w:rsidR="00C64050">
        <w:t xml:space="preserve"> </w:t>
      </w:r>
      <w:r>
        <w:t>deduction</w:t>
      </w:r>
      <w:r w:rsidR="00C64050">
        <w:t xml:space="preserve"> </w:t>
      </w:r>
      <w:r>
        <w:t>under</w:t>
      </w:r>
      <w:r w:rsidR="00C64050">
        <w:t xml:space="preserve"> </w:t>
      </w:r>
      <w:r>
        <w:t>section</w:t>
      </w:r>
      <w:r w:rsidR="00C64050">
        <w:t xml:space="preserve"> </w:t>
      </w:r>
      <w:r>
        <w:t>170</w:t>
      </w:r>
      <w:r w:rsidR="00C64050">
        <w:t xml:space="preserve"> </w:t>
      </w:r>
      <w:r>
        <w:t>for</w:t>
      </w:r>
      <w:r w:rsidR="00C64050">
        <w:t xml:space="preserve"> </w:t>
      </w:r>
      <w:r>
        <w:t>the</w:t>
      </w:r>
      <w:r w:rsidR="00C64050">
        <w:t xml:space="preserve"> </w:t>
      </w:r>
      <w:r>
        <w:t>full</w:t>
      </w:r>
      <w:r w:rsidR="00C64050">
        <w:t xml:space="preserve"> </w:t>
      </w:r>
      <w:r>
        <w:t>amount</w:t>
      </w:r>
      <w:r w:rsidR="00C64050">
        <w:t xml:space="preserve"> </w:t>
      </w:r>
      <w:r>
        <w:t>of</w:t>
      </w:r>
      <w:r w:rsidR="00C64050">
        <w:t xml:space="preserve"> </w:t>
      </w:r>
      <w:r>
        <w:t>a</w:t>
      </w:r>
      <w:r w:rsidR="00C64050">
        <w:t xml:space="preserve"> </w:t>
      </w:r>
      <w:r>
        <w:t>contribution</w:t>
      </w:r>
      <w:r w:rsidR="00C64050">
        <w:t xml:space="preserve"> </w:t>
      </w:r>
      <w:r>
        <w:t>made</w:t>
      </w:r>
      <w:r w:rsidR="00C64050">
        <w:t xml:space="preserve"> </w:t>
      </w:r>
      <w:r>
        <w:t>in</w:t>
      </w:r>
      <w:r w:rsidR="00C64050">
        <w:t xml:space="preserve"> </w:t>
      </w:r>
      <w:r>
        <w:t>exchange</w:t>
      </w:r>
      <w:r w:rsidR="00C64050">
        <w:t xml:space="preserve"> </w:t>
      </w:r>
      <w:r>
        <w:t>for</w:t>
      </w:r>
      <w:r w:rsidR="00C64050">
        <w:t xml:space="preserve"> </w:t>
      </w:r>
      <w:r>
        <w:t>a</w:t>
      </w:r>
      <w:r w:rsidR="00C64050">
        <w:t xml:space="preserve"> </w:t>
      </w:r>
      <w:r>
        <w:t>state</w:t>
      </w:r>
      <w:r w:rsidR="00C64050">
        <w:t xml:space="preserve"> </w:t>
      </w:r>
      <w:r>
        <w:t>tax</w:t>
      </w:r>
      <w:r w:rsidR="00C64050">
        <w:t xml:space="preserve"> </w:t>
      </w:r>
      <w:r>
        <w:t>credit,</w:t>
      </w:r>
      <w:r w:rsidR="00C64050">
        <w:t xml:space="preserve"> </w:t>
      </w:r>
      <w:r>
        <w:t>without</w:t>
      </w:r>
      <w:r w:rsidR="00C64050">
        <w:t xml:space="preserve"> </w:t>
      </w:r>
      <w:r>
        <w:t>subtracting</w:t>
      </w:r>
      <w:r w:rsidR="00C64050">
        <w:t xml:space="preserve"> </w:t>
      </w:r>
      <w:r>
        <w:t>the</w:t>
      </w:r>
      <w:r w:rsidR="00C64050">
        <w:t xml:space="preserve"> </w:t>
      </w:r>
      <w:r>
        <w:t>value</w:t>
      </w:r>
      <w:r w:rsidR="00C64050">
        <w:t xml:space="preserve"> </w:t>
      </w:r>
      <w:r>
        <w:t>of</w:t>
      </w:r>
      <w:r w:rsidR="00C64050">
        <w:t xml:space="preserve"> </w:t>
      </w:r>
      <w:r>
        <w:t>the</w:t>
      </w:r>
      <w:r w:rsidR="00C64050">
        <w:t xml:space="preserve"> </w:t>
      </w:r>
      <w:r>
        <w:t>credit</w:t>
      </w:r>
      <w:r w:rsidR="00C64050">
        <w:t xml:space="preserve"> </w:t>
      </w:r>
      <w:r>
        <w:t>received</w:t>
      </w:r>
      <w:r w:rsidR="00C64050">
        <w:t xml:space="preserve"> </w:t>
      </w:r>
      <w:r>
        <w:t>in</w:t>
      </w:r>
      <w:r w:rsidR="00C64050">
        <w:t xml:space="preserve"> </w:t>
      </w:r>
      <w:r>
        <w:t>return.</w:t>
      </w:r>
      <w:r w:rsidR="00C64050">
        <w:t xml:space="preserve"> </w:t>
      </w:r>
      <w:r>
        <w:t>See</w:t>
      </w:r>
      <w:r w:rsidR="00C64050">
        <w:t xml:space="preserve"> </w:t>
      </w:r>
      <w:r>
        <w:t>CCA</w:t>
      </w:r>
      <w:r w:rsidR="00C64050">
        <w:t xml:space="preserve"> </w:t>
      </w:r>
      <w:r>
        <w:t>201105010</w:t>
      </w:r>
      <w:r w:rsidR="00C64050">
        <w:t xml:space="preserve"> </w:t>
      </w:r>
      <w:r>
        <w:t>(Oct.</w:t>
      </w:r>
      <w:r w:rsidR="00C64050">
        <w:t xml:space="preserve"> </w:t>
      </w:r>
      <w:r>
        <w:t>27,</w:t>
      </w:r>
      <w:r w:rsidR="00C64050">
        <w:t xml:space="preserve"> </w:t>
      </w:r>
      <w:r>
        <w:t>2010)</w:t>
      </w:r>
      <w:r w:rsidR="00C64050">
        <w:t xml:space="preserve"> </w:t>
      </w:r>
      <w:r>
        <w:t>(“the</w:t>
      </w:r>
      <w:r w:rsidR="00C64050">
        <w:t xml:space="preserve"> </w:t>
      </w:r>
      <w:r>
        <w:t>2010</w:t>
      </w:r>
      <w:r w:rsidR="00C64050">
        <w:t xml:space="preserve"> </w:t>
      </w:r>
      <w:r>
        <w:t>CCA”).</w:t>
      </w:r>
      <w:r w:rsidR="00C64050">
        <w:t xml:space="preserve"> </w:t>
      </w:r>
      <w:r>
        <w:t>IRS</w:t>
      </w:r>
      <w:r w:rsidR="00C64050">
        <w:t xml:space="preserve"> </w:t>
      </w:r>
      <w:r>
        <w:t>Chief</w:t>
      </w:r>
      <w:r w:rsidR="00C64050">
        <w:t xml:space="preserve"> </w:t>
      </w:r>
      <w:r>
        <w:t>Counsel</w:t>
      </w:r>
      <w:r w:rsidR="00C64050">
        <w:t xml:space="preserve"> </w:t>
      </w:r>
      <w:r>
        <w:t>has</w:t>
      </w:r>
      <w:r w:rsidR="00C64050">
        <w:t xml:space="preserve"> </w:t>
      </w:r>
      <w:r>
        <w:t>also</w:t>
      </w:r>
      <w:r w:rsidR="00C64050">
        <w:t xml:space="preserve"> </w:t>
      </w:r>
      <w:r>
        <w:t>taken</w:t>
      </w:r>
      <w:r w:rsidR="00C64050">
        <w:t xml:space="preserve"> </w:t>
      </w:r>
      <w:r>
        <w:t>the</w:t>
      </w:r>
      <w:r w:rsidR="00C64050">
        <w:t xml:space="preserve"> </w:t>
      </w:r>
      <w:r>
        <w:t>position</w:t>
      </w:r>
      <w:r w:rsidR="00C64050">
        <w:t xml:space="preserve"> </w:t>
      </w:r>
      <w:r>
        <w:t>in</w:t>
      </w:r>
      <w:r w:rsidR="00C64050">
        <w:t xml:space="preserve"> </w:t>
      </w:r>
      <w:r>
        <w:t>Tax</w:t>
      </w:r>
      <w:r w:rsidR="00C64050">
        <w:t xml:space="preserve"> </w:t>
      </w:r>
      <w:r>
        <w:t>Court</w:t>
      </w:r>
      <w:r w:rsidR="00C64050">
        <w:t xml:space="preserve"> </w:t>
      </w:r>
      <w:r>
        <w:t>litigation</w:t>
      </w:r>
      <w:r w:rsidR="00C64050">
        <w:t xml:space="preserve"> </w:t>
      </w:r>
      <w:r>
        <w:t>that</w:t>
      </w:r>
      <w:r w:rsidR="00C64050">
        <w:t xml:space="preserve"> </w:t>
      </w:r>
      <w:r>
        <w:t>the</w:t>
      </w:r>
      <w:r w:rsidR="00C64050">
        <w:t xml:space="preserve"> </w:t>
      </w:r>
      <w:r>
        <w:t>amount</w:t>
      </w:r>
      <w:r w:rsidR="00C64050">
        <w:t xml:space="preserve"> </w:t>
      </w:r>
      <w:r>
        <w:t>of</w:t>
      </w:r>
      <w:r w:rsidR="00C64050">
        <w:t xml:space="preserve"> </w:t>
      </w:r>
      <w:r>
        <w:t>a</w:t>
      </w:r>
      <w:r w:rsidR="00C64050">
        <w:t xml:space="preserve"> </w:t>
      </w:r>
      <w:r>
        <w:t>state</w:t>
      </w:r>
      <w:r w:rsidR="00C64050">
        <w:t xml:space="preserve"> </w:t>
      </w:r>
      <w:r>
        <w:t>or</w:t>
      </w:r>
      <w:r w:rsidR="00C64050">
        <w:t xml:space="preserve"> </w:t>
      </w:r>
      <w:r>
        <w:t>local</w:t>
      </w:r>
      <w:r w:rsidR="00C64050">
        <w:t xml:space="preserve"> </w:t>
      </w:r>
      <w:r>
        <w:t>tax</w:t>
      </w:r>
      <w:r w:rsidR="00C64050">
        <w:t xml:space="preserve"> </w:t>
      </w:r>
      <w:r>
        <w:t>credit</w:t>
      </w:r>
      <w:r w:rsidR="00C64050">
        <w:t xml:space="preserve"> </w:t>
      </w:r>
      <w:r>
        <w:t>that</w:t>
      </w:r>
      <w:r w:rsidR="00C64050">
        <w:t xml:space="preserve"> </w:t>
      </w:r>
      <w:r>
        <w:t>reduces</w:t>
      </w:r>
      <w:r w:rsidR="00C64050">
        <w:t xml:space="preserve"> </w:t>
      </w:r>
      <w:r>
        <w:t>a</w:t>
      </w:r>
      <w:r w:rsidR="00C64050">
        <w:t xml:space="preserve"> </w:t>
      </w:r>
      <w:r>
        <w:t>tax</w:t>
      </w:r>
      <w:r w:rsidR="00C64050">
        <w:t xml:space="preserve"> </w:t>
      </w:r>
      <w:r>
        <w:t>liability</w:t>
      </w:r>
      <w:r w:rsidR="00C64050">
        <w:t xml:space="preserve"> </w:t>
      </w:r>
      <w:r>
        <w:t>is</w:t>
      </w:r>
      <w:r w:rsidR="00C64050">
        <w:t xml:space="preserve"> </w:t>
      </w:r>
      <w:r>
        <w:t>not</w:t>
      </w:r>
      <w:r w:rsidR="00C64050">
        <w:t xml:space="preserve"> </w:t>
      </w:r>
      <w:r>
        <w:t>an</w:t>
      </w:r>
      <w:r w:rsidR="00C64050">
        <w:t xml:space="preserve"> </w:t>
      </w:r>
      <w:r>
        <w:t>accession</w:t>
      </w:r>
      <w:r w:rsidR="00C64050">
        <w:t xml:space="preserve"> </w:t>
      </w:r>
      <w:r>
        <w:t>to</w:t>
      </w:r>
      <w:r w:rsidR="00C64050">
        <w:t xml:space="preserve"> </w:t>
      </w:r>
      <w:r>
        <w:t>wealth</w:t>
      </w:r>
      <w:r w:rsidR="00C64050">
        <w:t xml:space="preserve"> </w:t>
      </w:r>
      <w:r>
        <w:t>includible</w:t>
      </w:r>
      <w:r w:rsidR="00C64050">
        <w:t xml:space="preserve"> </w:t>
      </w:r>
      <w:r>
        <w:t>in</w:t>
      </w:r>
      <w:r w:rsidR="00C64050">
        <w:t xml:space="preserve"> </w:t>
      </w:r>
      <w:r>
        <w:t>income</w:t>
      </w:r>
      <w:r w:rsidR="00C64050">
        <w:t xml:space="preserve"> </w:t>
      </w:r>
      <w:r>
        <w:t>under</w:t>
      </w:r>
      <w:r w:rsidR="00C64050">
        <w:t xml:space="preserve"> </w:t>
      </w:r>
      <w:r>
        <w:t>section</w:t>
      </w:r>
      <w:r w:rsidR="00C64050">
        <w:t xml:space="preserve"> </w:t>
      </w:r>
      <w:r>
        <w:t>61</w:t>
      </w:r>
      <w:r w:rsidR="00C64050">
        <w:t xml:space="preserve"> </w:t>
      </w:r>
      <w:r>
        <w:t>or</w:t>
      </w:r>
      <w:r w:rsidR="00C64050">
        <w:t xml:space="preserve"> </w:t>
      </w:r>
      <w:r>
        <w:t>an</w:t>
      </w:r>
      <w:r w:rsidR="00C64050">
        <w:t xml:space="preserve"> </w:t>
      </w:r>
      <w:r>
        <w:t>amount</w:t>
      </w:r>
      <w:r w:rsidR="00C64050">
        <w:t xml:space="preserve"> </w:t>
      </w:r>
      <w:r>
        <w:t>realized</w:t>
      </w:r>
      <w:r w:rsidR="00C64050">
        <w:t xml:space="preserve"> </w:t>
      </w:r>
      <w:r>
        <w:t>for</w:t>
      </w:r>
      <w:r w:rsidR="00C64050">
        <w:t xml:space="preserve"> </w:t>
      </w:r>
      <w:r>
        <w:t>purposes</w:t>
      </w:r>
      <w:r w:rsidR="00C64050">
        <w:t xml:space="preserve"> </w:t>
      </w:r>
      <w:r>
        <w:t>of</w:t>
      </w:r>
      <w:r w:rsidR="00C64050">
        <w:t xml:space="preserve"> </w:t>
      </w:r>
      <w:r>
        <w:t>section</w:t>
      </w:r>
      <w:r w:rsidR="00C64050">
        <w:t xml:space="preserve"> </w:t>
      </w:r>
      <w:r>
        <w:t>1001.</w:t>
      </w:r>
      <w:r w:rsidR="00C64050">
        <w:t xml:space="preserve"> </w:t>
      </w:r>
      <w:r>
        <w:t>In</w:t>
      </w:r>
      <w:r w:rsidR="00C64050">
        <w:t xml:space="preserve"> </w:t>
      </w:r>
      <w:r>
        <w:t>these</w:t>
      </w:r>
      <w:r w:rsidR="00C64050">
        <w:t xml:space="preserve"> </w:t>
      </w:r>
      <w:r>
        <w:t>cases,</w:t>
      </w:r>
      <w:r w:rsidR="00C64050">
        <w:t xml:space="preserve"> </w:t>
      </w:r>
      <w:r>
        <w:t>the</w:t>
      </w:r>
      <w:r w:rsidR="00C64050">
        <w:t xml:space="preserve"> </w:t>
      </w:r>
      <w:r>
        <w:t>Tax</w:t>
      </w:r>
      <w:r w:rsidR="00C64050">
        <w:t xml:space="preserve"> </w:t>
      </w:r>
      <w:r>
        <w:t>Court</w:t>
      </w:r>
      <w:r w:rsidR="00C64050">
        <w:t xml:space="preserve"> </w:t>
      </w:r>
      <w:r>
        <w:t>agreed</w:t>
      </w:r>
      <w:r w:rsidR="00C64050">
        <w:t xml:space="preserve"> </w:t>
      </w:r>
      <w:r>
        <w:t>with</w:t>
      </w:r>
      <w:r w:rsidR="00C64050">
        <w:t xml:space="preserve"> </w:t>
      </w:r>
      <w:r>
        <w:t>the</w:t>
      </w:r>
      <w:r w:rsidR="00C64050">
        <w:t xml:space="preserve"> </w:t>
      </w:r>
      <w:r>
        <w:t>Chief</w:t>
      </w:r>
      <w:r w:rsidR="00C64050">
        <w:t xml:space="preserve"> </w:t>
      </w:r>
      <w:r>
        <w:t>Counsel’s</w:t>
      </w:r>
      <w:r w:rsidR="00C64050">
        <w:t xml:space="preserve"> </w:t>
      </w:r>
      <w:r>
        <w:t>position.</w:t>
      </w:r>
      <w:r w:rsidR="00C64050">
        <w:t xml:space="preserve"> </w:t>
      </w:r>
      <w:r>
        <w:t>See,</w:t>
      </w:r>
      <w:r w:rsidR="00C64050">
        <w:t xml:space="preserve"> </w:t>
      </w:r>
      <w:r>
        <w:t>for</w:t>
      </w:r>
      <w:r w:rsidR="00C64050">
        <w:t xml:space="preserve"> </w:t>
      </w:r>
      <w:r>
        <w:t>example,</w:t>
      </w:r>
      <w:r w:rsidR="00C64050">
        <w:t xml:space="preserve"> </w:t>
      </w:r>
      <w:r w:rsidRPr="00AF149E">
        <w:rPr>
          <w:u w:val="single"/>
        </w:rPr>
        <w:t>Maines</w:t>
      </w:r>
      <w:r w:rsidR="00C64050">
        <w:rPr>
          <w:u w:val="single"/>
        </w:rPr>
        <w:t xml:space="preserve"> </w:t>
      </w:r>
      <w:r w:rsidRPr="00AF149E">
        <w:rPr>
          <w:u w:val="single"/>
        </w:rPr>
        <w:t>v.</w:t>
      </w:r>
      <w:r w:rsidR="00C64050">
        <w:rPr>
          <w:u w:val="single"/>
        </w:rPr>
        <w:t xml:space="preserve"> </w:t>
      </w:r>
      <w:r w:rsidRPr="00AF149E">
        <w:rPr>
          <w:u w:val="single"/>
        </w:rPr>
        <w:t>Commissioner</w:t>
      </w:r>
      <w:r>
        <w:t>,</w:t>
      </w:r>
      <w:r w:rsidR="00C64050">
        <w:t xml:space="preserve"> </w:t>
      </w:r>
      <w:r>
        <w:t>144</w:t>
      </w:r>
      <w:r w:rsidR="00C64050">
        <w:t xml:space="preserve"> </w:t>
      </w:r>
      <w:r>
        <w:t>T.C.</w:t>
      </w:r>
      <w:r w:rsidR="00C64050">
        <w:t xml:space="preserve"> </w:t>
      </w:r>
      <w:r>
        <w:t>123,</w:t>
      </w:r>
      <w:r w:rsidR="00C64050">
        <w:t xml:space="preserve"> </w:t>
      </w:r>
      <w:r>
        <w:t>134</w:t>
      </w:r>
      <w:r w:rsidR="00C64050">
        <w:t xml:space="preserve"> </w:t>
      </w:r>
      <w:r>
        <w:t>(2015);</w:t>
      </w:r>
      <w:r w:rsidR="00C64050">
        <w:t xml:space="preserve"> </w:t>
      </w:r>
      <w:r w:rsidRPr="00AF149E">
        <w:rPr>
          <w:u w:val="single"/>
        </w:rPr>
        <w:t>Tempel</w:t>
      </w:r>
      <w:r w:rsidR="00C64050">
        <w:rPr>
          <w:u w:val="single"/>
        </w:rPr>
        <w:t xml:space="preserve"> </w:t>
      </w:r>
      <w:r w:rsidRPr="00AF149E">
        <w:rPr>
          <w:u w:val="single"/>
        </w:rPr>
        <w:t>v.</w:t>
      </w:r>
      <w:r w:rsidR="00C64050">
        <w:rPr>
          <w:u w:val="single"/>
        </w:rPr>
        <w:t xml:space="preserve"> </w:t>
      </w:r>
      <w:r w:rsidRPr="00AF149E">
        <w:rPr>
          <w:u w:val="single"/>
        </w:rPr>
        <w:t>Commissioner</w:t>
      </w:r>
      <w:r>
        <w:t>,</w:t>
      </w:r>
      <w:r w:rsidR="00C64050">
        <w:t xml:space="preserve"> </w:t>
      </w:r>
      <w:r>
        <w:t>136</w:t>
      </w:r>
      <w:r w:rsidR="00C64050">
        <w:t xml:space="preserve"> </w:t>
      </w:r>
      <w:r>
        <w:t>T.C.</w:t>
      </w:r>
      <w:r w:rsidR="00C64050">
        <w:t xml:space="preserve"> </w:t>
      </w:r>
      <w:r>
        <w:t>341,</w:t>
      </w:r>
      <w:r w:rsidR="00C64050">
        <w:t xml:space="preserve"> </w:t>
      </w:r>
      <w:r>
        <w:t>351-54</w:t>
      </w:r>
      <w:r w:rsidR="00C64050">
        <w:t xml:space="preserve"> </w:t>
      </w:r>
      <w:r>
        <w:t>(2011);</w:t>
      </w:r>
      <w:r w:rsidR="00C64050">
        <w:t xml:space="preserve"> </w:t>
      </w:r>
      <w:r w:rsidRPr="00AF149E">
        <w:rPr>
          <w:u w:val="single"/>
        </w:rPr>
        <w:t>aff’d</w:t>
      </w:r>
      <w:r w:rsidR="00C64050">
        <w:t xml:space="preserve"> </w:t>
      </w:r>
      <w:r w:rsidRPr="00AF149E">
        <w:rPr>
          <w:u w:val="single"/>
        </w:rPr>
        <w:t>sub</w:t>
      </w:r>
      <w:r w:rsidR="00C64050">
        <w:t xml:space="preserve"> </w:t>
      </w:r>
      <w:r w:rsidRPr="00AF149E">
        <w:rPr>
          <w:u w:val="single"/>
        </w:rPr>
        <w:t>nom</w:t>
      </w:r>
      <w:r>
        <w:t>.</w:t>
      </w:r>
      <w:r w:rsidR="00C64050">
        <w:t xml:space="preserve"> </w:t>
      </w:r>
      <w:r w:rsidRPr="00AF149E">
        <w:rPr>
          <w:u w:val="single"/>
        </w:rPr>
        <w:t>Esgar</w:t>
      </w:r>
      <w:r w:rsidR="00C64050">
        <w:rPr>
          <w:u w:val="single"/>
        </w:rPr>
        <w:t xml:space="preserve"> </w:t>
      </w:r>
      <w:r w:rsidRPr="00AF149E">
        <w:rPr>
          <w:u w:val="single"/>
        </w:rPr>
        <w:t>Corp.</w:t>
      </w:r>
      <w:r w:rsidR="00C64050">
        <w:rPr>
          <w:u w:val="single"/>
        </w:rPr>
        <w:t xml:space="preserve"> </w:t>
      </w:r>
      <w:r w:rsidRPr="00AF149E">
        <w:rPr>
          <w:u w:val="single"/>
        </w:rPr>
        <w:t>v.</w:t>
      </w:r>
      <w:r w:rsidR="00C64050">
        <w:rPr>
          <w:u w:val="single"/>
        </w:rPr>
        <w:t xml:space="preserve"> </w:t>
      </w:r>
      <w:r w:rsidRPr="00AF149E">
        <w:rPr>
          <w:u w:val="single"/>
        </w:rPr>
        <w:t>Commissioner</w:t>
      </w:r>
      <w:r>
        <w:t>,</w:t>
      </w:r>
      <w:r w:rsidR="00C64050">
        <w:t xml:space="preserve"> </w:t>
      </w:r>
      <w:r>
        <w:t>744</w:t>
      </w:r>
      <w:r w:rsidR="00C64050">
        <w:t xml:space="preserve"> </w:t>
      </w:r>
      <w:r>
        <w:t>F.3d</w:t>
      </w:r>
      <w:r w:rsidR="00C64050">
        <w:t xml:space="preserve"> </w:t>
      </w:r>
      <w:r>
        <w:t>648</w:t>
      </w:r>
      <w:r w:rsidR="00C64050">
        <w:t xml:space="preserve"> </w:t>
      </w:r>
      <w:r>
        <w:t>(10th</w:t>
      </w:r>
      <w:r w:rsidR="00C64050">
        <w:t xml:space="preserve"> </w:t>
      </w:r>
      <w:r>
        <w:t>Cir.</w:t>
      </w:r>
      <w:r w:rsidR="00C64050">
        <w:t xml:space="preserve"> </w:t>
      </w:r>
      <w:r>
        <w:t>2014).</w:t>
      </w:r>
      <w:r w:rsidR="00C64050">
        <w:t xml:space="preserve"> </w:t>
      </w:r>
    </w:p>
    <w:p w:rsidR="00AF149E" w:rsidRDefault="00AF149E" w:rsidP="00AF149E">
      <w:pPr>
        <w:pStyle w:val="QS10"/>
      </w:pPr>
      <w:r>
        <w:t>Upon</w:t>
      </w:r>
      <w:r w:rsidR="00C64050">
        <w:t xml:space="preserve"> </w:t>
      </w:r>
      <w:r>
        <w:t>reviewing</w:t>
      </w:r>
      <w:r w:rsidR="00C64050">
        <w:t xml:space="preserve"> </w:t>
      </w:r>
      <w:r>
        <w:t>the</w:t>
      </w:r>
      <w:r w:rsidR="00C64050">
        <w:t xml:space="preserve"> </w:t>
      </w:r>
      <w:r>
        <w:t>authorities</w:t>
      </w:r>
      <w:r w:rsidR="00C64050">
        <w:t xml:space="preserve"> </w:t>
      </w:r>
      <w:r>
        <w:t>under</w:t>
      </w:r>
      <w:r w:rsidR="00C64050">
        <w:t xml:space="preserve"> </w:t>
      </w:r>
      <w:r>
        <w:t>section</w:t>
      </w:r>
      <w:r w:rsidR="00C64050">
        <w:t xml:space="preserve"> </w:t>
      </w:r>
      <w:r>
        <w:t>170,</w:t>
      </w:r>
      <w:r w:rsidR="00C64050">
        <w:t xml:space="preserve"> </w:t>
      </w:r>
      <w:r>
        <w:t>the</w:t>
      </w:r>
      <w:r w:rsidR="00C64050">
        <w:t xml:space="preserve"> </w:t>
      </w:r>
      <w:r>
        <w:t>Treasury</w:t>
      </w:r>
      <w:r w:rsidR="00C64050">
        <w:t xml:space="preserve"> </w:t>
      </w:r>
      <w:r>
        <w:t>Department</w:t>
      </w:r>
      <w:r w:rsidR="00C64050">
        <w:t xml:space="preserve"> </w:t>
      </w:r>
      <w:r>
        <w:t>and</w:t>
      </w:r>
      <w:r w:rsidR="00C64050">
        <w:t xml:space="preserve"> </w:t>
      </w:r>
      <w:r>
        <w:t>the</w:t>
      </w:r>
      <w:r w:rsidR="00C64050">
        <w:t xml:space="preserve"> </w:t>
      </w:r>
      <w:r>
        <w:t>IRS</w:t>
      </w:r>
      <w:r w:rsidR="00C64050">
        <w:t xml:space="preserve"> </w:t>
      </w:r>
      <w:r>
        <w:t>questioned</w:t>
      </w:r>
      <w:r w:rsidR="00C64050">
        <w:t xml:space="preserve"> </w:t>
      </w:r>
      <w:r>
        <w:t>the</w:t>
      </w:r>
      <w:r w:rsidR="00C64050">
        <w:t xml:space="preserve"> </w:t>
      </w:r>
      <w:r>
        <w:t>reasoning</w:t>
      </w:r>
      <w:r w:rsidR="00C64050">
        <w:t xml:space="preserve"> </w:t>
      </w:r>
      <w:r>
        <w:t>of</w:t>
      </w:r>
      <w:r w:rsidR="00C64050">
        <w:t xml:space="preserve"> </w:t>
      </w:r>
      <w:r>
        <w:t>the</w:t>
      </w:r>
      <w:r w:rsidR="00C64050">
        <w:t xml:space="preserve"> </w:t>
      </w:r>
      <w:r>
        <w:t>2010</w:t>
      </w:r>
      <w:r w:rsidR="00C64050">
        <w:t xml:space="preserve"> </w:t>
      </w:r>
      <w:r>
        <w:t>CCA.</w:t>
      </w:r>
      <w:r w:rsidR="00C64050">
        <w:t xml:space="preserve"> </w:t>
      </w:r>
      <w:r>
        <w:t>On</w:t>
      </w:r>
      <w:r w:rsidR="00C64050">
        <w:t xml:space="preserve"> </w:t>
      </w:r>
      <w:r>
        <w:t>June</w:t>
      </w:r>
      <w:r w:rsidR="00C64050">
        <w:t xml:space="preserve"> </w:t>
      </w:r>
      <w:r>
        <w:t>11,</w:t>
      </w:r>
      <w:r w:rsidR="00C64050">
        <w:t xml:space="preserve"> </w:t>
      </w:r>
      <w:r>
        <w:t>2018,</w:t>
      </w:r>
      <w:r w:rsidR="00C64050">
        <w:t xml:space="preserve"> </w:t>
      </w:r>
      <w:r>
        <w:t>the</w:t>
      </w:r>
      <w:r w:rsidR="00C64050">
        <w:t xml:space="preserve"> </w:t>
      </w:r>
      <w:r>
        <w:t>Treasury</w:t>
      </w:r>
      <w:r w:rsidR="00C64050">
        <w:t xml:space="preserve"> </w:t>
      </w:r>
      <w:r>
        <w:t>Department</w:t>
      </w:r>
      <w:r w:rsidR="00C64050">
        <w:t xml:space="preserve"> </w:t>
      </w:r>
      <w:r>
        <w:t>and</w:t>
      </w:r>
      <w:r w:rsidR="00C64050">
        <w:t xml:space="preserve"> </w:t>
      </w:r>
      <w:r>
        <w:t>the</w:t>
      </w:r>
      <w:r w:rsidR="00C64050">
        <w:t xml:space="preserve"> </w:t>
      </w:r>
      <w:r>
        <w:t>IRS</w:t>
      </w:r>
      <w:r w:rsidR="00C64050">
        <w:t xml:space="preserve"> </w:t>
      </w:r>
      <w:r>
        <w:t>issued</w:t>
      </w:r>
      <w:r w:rsidR="00C64050">
        <w:t xml:space="preserve"> </w:t>
      </w:r>
      <w:r>
        <w:t>Notice</w:t>
      </w:r>
      <w:r w:rsidR="00C64050">
        <w:t xml:space="preserve"> </w:t>
      </w:r>
      <w:r>
        <w:t>2018-54,</w:t>
      </w:r>
      <w:r w:rsidR="00C64050">
        <w:t xml:space="preserve"> </w:t>
      </w:r>
      <w:r>
        <w:t>2018-24</w:t>
      </w:r>
      <w:r w:rsidR="00C64050">
        <w:t xml:space="preserve"> </w:t>
      </w:r>
      <w:r>
        <w:t>I.R.B.</w:t>
      </w:r>
      <w:r w:rsidR="00C64050">
        <w:t xml:space="preserve"> </w:t>
      </w:r>
      <w:r>
        <w:t>750,</w:t>
      </w:r>
      <w:r w:rsidR="00C64050">
        <w:t xml:space="preserve"> </w:t>
      </w:r>
      <w:r>
        <w:t>announcing</w:t>
      </w:r>
      <w:r w:rsidR="00C64050">
        <w:t xml:space="preserve"> </w:t>
      </w:r>
      <w:r>
        <w:t>the</w:t>
      </w:r>
      <w:r w:rsidR="00C64050">
        <w:t xml:space="preserve"> </w:t>
      </w:r>
      <w:r>
        <w:t>intention</w:t>
      </w:r>
      <w:r w:rsidR="00C64050">
        <w:t xml:space="preserve"> </w:t>
      </w:r>
      <w:r>
        <w:t>to</w:t>
      </w:r>
      <w:r w:rsidR="00C64050">
        <w:t xml:space="preserve"> </w:t>
      </w:r>
      <w:r>
        <w:t>propose</w:t>
      </w:r>
      <w:r w:rsidR="00C64050">
        <w:t xml:space="preserve"> </w:t>
      </w:r>
      <w:r>
        <w:t>regulations</w:t>
      </w:r>
      <w:r w:rsidR="00C64050">
        <w:t xml:space="preserve"> </w:t>
      </w:r>
      <w:r>
        <w:t>addressing</w:t>
      </w:r>
      <w:r w:rsidR="00C64050">
        <w:t xml:space="preserve"> </w:t>
      </w:r>
      <w:r>
        <w:t>the</w:t>
      </w:r>
      <w:r w:rsidR="00C64050">
        <w:t xml:space="preserve"> </w:t>
      </w:r>
      <w:r>
        <w:t>federal</w:t>
      </w:r>
      <w:r w:rsidR="00C64050">
        <w:t xml:space="preserve"> </w:t>
      </w:r>
      <w:r>
        <w:t>income</w:t>
      </w:r>
      <w:r w:rsidR="00C64050">
        <w:t xml:space="preserve"> </w:t>
      </w:r>
      <w:r>
        <w:t>tax</w:t>
      </w:r>
      <w:r w:rsidR="00C64050">
        <w:t xml:space="preserve"> </w:t>
      </w:r>
      <w:r>
        <w:t>treatment</w:t>
      </w:r>
      <w:r w:rsidR="00C64050">
        <w:t xml:space="preserve"> </w:t>
      </w:r>
      <w:r>
        <w:t>of</w:t>
      </w:r>
      <w:r w:rsidR="00C64050">
        <w:t xml:space="preserve"> </w:t>
      </w:r>
      <w:r>
        <w:t>contributions</w:t>
      </w:r>
      <w:r w:rsidR="00C64050">
        <w:t xml:space="preserve"> </w:t>
      </w:r>
      <w:r>
        <w:t>pursuant</w:t>
      </w:r>
      <w:r w:rsidR="00C64050">
        <w:t xml:space="preserve"> </w:t>
      </w:r>
      <w:r>
        <w:t>to</w:t>
      </w:r>
      <w:r w:rsidR="00C64050">
        <w:t xml:space="preserve"> </w:t>
      </w:r>
      <w:r>
        <w:t>state</w:t>
      </w:r>
      <w:r w:rsidR="00C64050">
        <w:t xml:space="preserve"> </w:t>
      </w:r>
      <w:r>
        <w:t>and</w:t>
      </w:r>
      <w:r w:rsidR="00C64050">
        <w:t xml:space="preserve"> </w:t>
      </w:r>
      <w:r>
        <w:t>local</w:t>
      </w:r>
      <w:r w:rsidR="00C64050">
        <w:t xml:space="preserve"> </w:t>
      </w:r>
      <w:r>
        <w:t>tax</w:t>
      </w:r>
      <w:r w:rsidR="00C64050">
        <w:t xml:space="preserve"> </w:t>
      </w:r>
      <w:r>
        <w:t>credit</w:t>
      </w:r>
      <w:r w:rsidR="00C64050">
        <w:t xml:space="preserve"> </w:t>
      </w:r>
      <w:r>
        <w:t>programs.</w:t>
      </w:r>
      <w:r w:rsidR="00C64050">
        <w:t xml:space="preserve"> </w:t>
      </w:r>
      <w:r>
        <w:t>On</w:t>
      </w:r>
      <w:r w:rsidR="00C64050">
        <w:t xml:space="preserve"> </w:t>
      </w:r>
      <w:r>
        <w:t>August</w:t>
      </w:r>
      <w:r w:rsidR="00C64050">
        <w:t xml:space="preserve"> </w:t>
      </w:r>
      <w:r>
        <w:t>27,</w:t>
      </w:r>
      <w:r w:rsidR="00C64050">
        <w:t xml:space="preserve"> </w:t>
      </w:r>
      <w:r>
        <w:t>2018,</w:t>
      </w:r>
      <w:r w:rsidR="00C64050">
        <w:t xml:space="preserve"> </w:t>
      </w:r>
      <w:r>
        <w:t>the</w:t>
      </w:r>
      <w:r w:rsidR="00C64050">
        <w:t xml:space="preserve"> </w:t>
      </w:r>
      <w:r>
        <w:t>proposed</w:t>
      </w:r>
      <w:r w:rsidR="00C64050">
        <w:t xml:space="preserve"> </w:t>
      </w:r>
      <w:r>
        <w:t>regulations</w:t>
      </w:r>
      <w:r w:rsidR="00C64050">
        <w:t xml:space="preserve"> </w:t>
      </w:r>
      <w:r>
        <w:t>(REG-112176-18)</w:t>
      </w:r>
      <w:r w:rsidR="00C64050">
        <w:t xml:space="preserve"> </w:t>
      </w:r>
      <w:r>
        <w:t>were</w:t>
      </w:r>
      <w:r w:rsidR="00C64050">
        <w:t xml:space="preserve"> </w:t>
      </w:r>
      <w:r>
        <w:t>published</w:t>
      </w:r>
      <w:r w:rsidR="00C64050">
        <w:t xml:space="preserve"> </w:t>
      </w:r>
      <w:r>
        <w:t>in</w:t>
      </w:r>
      <w:r w:rsidR="00C64050">
        <w:t xml:space="preserve"> </w:t>
      </w:r>
      <w:r>
        <w:t>the</w:t>
      </w:r>
      <w:r w:rsidR="00C64050">
        <w:t xml:space="preserve"> </w:t>
      </w:r>
      <w:r w:rsidRPr="00AF149E">
        <w:rPr>
          <w:b/>
        </w:rPr>
        <w:t>Federal</w:t>
      </w:r>
      <w:r w:rsidR="00C64050">
        <w:rPr>
          <w:b/>
        </w:rPr>
        <w:t xml:space="preserve"> </w:t>
      </w:r>
      <w:r w:rsidRPr="00AF149E">
        <w:rPr>
          <w:b/>
        </w:rPr>
        <w:t>Register</w:t>
      </w:r>
      <w:r w:rsidR="00C64050">
        <w:t xml:space="preserve"> </w:t>
      </w:r>
      <w:r>
        <w:t>(83</w:t>
      </w:r>
      <w:r w:rsidR="00C64050">
        <w:t xml:space="preserve"> </w:t>
      </w:r>
      <w:r>
        <w:t>FR</w:t>
      </w:r>
      <w:r w:rsidR="00C64050">
        <w:t xml:space="preserve"> </w:t>
      </w:r>
      <w:r>
        <w:t>43563).</w:t>
      </w:r>
      <w:r w:rsidR="00C64050">
        <w:t xml:space="preserve">  </w:t>
      </w:r>
    </w:p>
    <w:p w:rsidR="00AF149E" w:rsidRDefault="00AF149E" w:rsidP="00AF149E">
      <w:pPr>
        <w:pStyle w:val="QS10"/>
      </w:pPr>
      <w:r>
        <w:t>The</w:t>
      </w:r>
      <w:r w:rsidR="00C64050">
        <w:t xml:space="preserve"> </w:t>
      </w:r>
      <w:r>
        <w:t>proposed</w:t>
      </w:r>
      <w:r w:rsidR="00C64050">
        <w:t xml:space="preserve"> </w:t>
      </w:r>
      <w:r>
        <w:t>regulations</w:t>
      </w:r>
      <w:r w:rsidR="00C64050">
        <w:t xml:space="preserve"> </w:t>
      </w:r>
      <w:r>
        <w:t>generally</w:t>
      </w:r>
      <w:r w:rsidR="00C64050">
        <w:t xml:space="preserve"> </w:t>
      </w:r>
      <w:r>
        <w:t>stated</w:t>
      </w:r>
      <w:r w:rsidR="00C64050">
        <w:t xml:space="preserve"> </w:t>
      </w:r>
      <w:r>
        <w:t>that</w:t>
      </w:r>
      <w:r w:rsidR="00C64050">
        <w:t xml:space="preserve"> </w:t>
      </w:r>
      <w:r>
        <w:t>if</w:t>
      </w:r>
      <w:r w:rsidR="00C64050">
        <w:t xml:space="preserve"> </w:t>
      </w:r>
      <w:r>
        <w:t>a</w:t>
      </w:r>
      <w:r w:rsidR="00C64050">
        <w:t xml:space="preserve"> </w:t>
      </w:r>
      <w:r>
        <w:t>taxpayer</w:t>
      </w:r>
      <w:r w:rsidR="00C64050">
        <w:t xml:space="preserve"> </w:t>
      </w:r>
      <w:r>
        <w:t>makes</w:t>
      </w:r>
      <w:r w:rsidR="00C64050">
        <w:t xml:space="preserve"> </w:t>
      </w:r>
      <w:r>
        <w:t>a</w:t>
      </w:r>
      <w:r w:rsidR="00C64050">
        <w:t xml:space="preserve"> </w:t>
      </w:r>
      <w:r>
        <w:t>payment</w:t>
      </w:r>
      <w:r w:rsidR="00C64050">
        <w:t xml:space="preserve"> </w:t>
      </w:r>
      <w:r>
        <w:t>or</w:t>
      </w:r>
      <w:r w:rsidR="00C64050">
        <w:t xml:space="preserve"> </w:t>
      </w:r>
      <w:r>
        <w:t>transfers</w:t>
      </w:r>
      <w:r w:rsidR="00C64050">
        <w:t xml:space="preserve"> </w:t>
      </w:r>
      <w:r>
        <w:t>property</w:t>
      </w:r>
      <w:r w:rsidR="00C64050">
        <w:t xml:space="preserve"> </w:t>
      </w:r>
      <w:r>
        <w:t>to</w:t>
      </w:r>
      <w:r w:rsidR="00C64050">
        <w:t xml:space="preserve"> </w:t>
      </w:r>
      <w:r>
        <w:t>or</w:t>
      </w:r>
      <w:r w:rsidR="00C64050">
        <w:t xml:space="preserve"> </w:t>
      </w:r>
      <w:r>
        <w:t>for</w:t>
      </w:r>
      <w:r w:rsidR="00C64050">
        <w:t xml:space="preserve"> </w:t>
      </w:r>
      <w:r>
        <w:t>the</w:t>
      </w:r>
      <w:r w:rsidR="00C64050">
        <w:t xml:space="preserve"> </w:t>
      </w:r>
      <w:r>
        <w:t>use</w:t>
      </w:r>
      <w:r w:rsidR="00C64050">
        <w:t xml:space="preserve"> </w:t>
      </w:r>
      <w:r>
        <w:t>of</w:t>
      </w:r>
      <w:r w:rsidR="00C64050">
        <w:t xml:space="preserve"> </w:t>
      </w:r>
      <w:r>
        <w:t>an</w:t>
      </w:r>
      <w:r w:rsidR="00C64050">
        <w:t xml:space="preserve"> </w:t>
      </w:r>
      <w:r>
        <w:t>entity</w:t>
      </w:r>
      <w:r w:rsidR="00C64050">
        <w:t xml:space="preserve"> </w:t>
      </w:r>
      <w:r>
        <w:t>listed</w:t>
      </w:r>
      <w:r w:rsidR="00C64050">
        <w:t xml:space="preserve"> </w:t>
      </w:r>
      <w:r>
        <w:t>in</w:t>
      </w:r>
      <w:r w:rsidR="00C64050">
        <w:t xml:space="preserve"> </w:t>
      </w:r>
      <w:r>
        <w:t>section</w:t>
      </w:r>
      <w:r w:rsidR="00C64050">
        <w:t xml:space="preserve"> </w:t>
      </w:r>
      <w:r>
        <w:t>170(c),</w:t>
      </w:r>
      <w:r w:rsidR="00C64050">
        <w:t xml:space="preserve"> </w:t>
      </w:r>
      <w:r>
        <w:t>and</w:t>
      </w:r>
      <w:r w:rsidR="00C64050">
        <w:t xml:space="preserve"> </w:t>
      </w:r>
      <w:r>
        <w:t>the</w:t>
      </w:r>
      <w:r w:rsidR="00C64050">
        <w:t xml:space="preserve"> </w:t>
      </w:r>
      <w:r>
        <w:t>taxpayer</w:t>
      </w:r>
      <w:r w:rsidR="00C64050">
        <w:t xml:space="preserve"> </w:t>
      </w:r>
      <w:r>
        <w:t>receives</w:t>
      </w:r>
      <w:r w:rsidR="00C64050">
        <w:t xml:space="preserve"> </w:t>
      </w:r>
      <w:r>
        <w:t>or</w:t>
      </w:r>
      <w:r w:rsidR="00C64050">
        <w:t xml:space="preserve"> </w:t>
      </w:r>
      <w:r>
        <w:t>expects</w:t>
      </w:r>
      <w:r w:rsidR="00C64050">
        <w:t xml:space="preserve"> </w:t>
      </w:r>
      <w:r>
        <w:t>to</w:t>
      </w:r>
      <w:r w:rsidR="00C64050">
        <w:t xml:space="preserve"> </w:t>
      </w:r>
      <w:r>
        <w:t>receive</w:t>
      </w:r>
      <w:r w:rsidR="00C64050">
        <w:t xml:space="preserve"> </w:t>
      </w:r>
      <w:r>
        <w:t>a</w:t>
      </w:r>
      <w:r w:rsidR="00C64050">
        <w:t xml:space="preserve"> </w:t>
      </w:r>
      <w:r>
        <w:t>state</w:t>
      </w:r>
      <w:r w:rsidR="00C64050">
        <w:t xml:space="preserve"> </w:t>
      </w:r>
      <w:r>
        <w:t>or</w:t>
      </w:r>
      <w:r w:rsidR="00C64050">
        <w:t xml:space="preserve"> </w:t>
      </w:r>
      <w:r>
        <w:t>local</w:t>
      </w:r>
      <w:r w:rsidR="00C64050">
        <w:t xml:space="preserve"> </w:t>
      </w:r>
      <w:r>
        <w:t>tax</w:t>
      </w:r>
      <w:r w:rsidR="00C64050">
        <w:t xml:space="preserve"> </w:t>
      </w:r>
      <w:r>
        <w:t>credit</w:t>
      </w:r>
      <w:r w:rsidR="00C64050">
        <w:t xml:space="preserve"> </w:t>
      </w:r>
      <w:r>
        <w:t>in</w:t>
      </w:r>
      <w:r w:rsidR="00C64050">
        <w:t xml:space="preserve"> </w:t>
      </w:r>
      <w:r>
        <w:t>return</w:t>
      </w:r>
      <w:r w:rsidR="00C64050">
        <w:t xml:space="preserve"> </w:t>
      </w:r>
      <w:r>
        <w:t>for</w:t>
      </w:r>
      <w:r w:rsidR="00C64050">
        <w:t xml:space="preserve"> </w:t>
      </w:r>
      <w:r>
        <w:t>such</w:t>
      </w:r>
      <w:r w:rsidR="00C64050">
        <w:t xml:space="preserve"> </w:t>
      </w:r>
      <w:r>
        <w:t>payment,</w:t>
      </w:r>
      <w:r w:rsidR="00C64050">
        <w:t xml:space="preserve"> </w:t>
      </w:r>
      <w:r>
        <w:t>the</w:t>
      </w:r>
      <w:r w:rsidR="00C64050">
        <w:t xml:space="preserve"> </w:t>
      </w:r>
      <w:r>
        <w:t>tax</w:t>
      </w:r>
      <w:r w:rsidR="00C64050">
        <w:t xml:space="preserve"> </w:t>
      </w:r>
      <w:r>
        <w:t>credit</w:t>
      </w:r>
      <w:r w:rsidR="00C64050">
        <w:t xml:space="preserve"> </w:t>
      </w:r>
      <w:r>
        <w:t>constitutes</w:t>
      </w:r>
      <w:r w:rsidR="00C64050">
        <w:t xml:space="preserve"> </w:t>
      </w:r>
      <w:r>
        <w:t>a</w:t>
      </w:r>
      <w:r w:rsidR="00C64050">
        <w:t xml:space="preserve"> </w:t>
      </w:r>
      <w:r>
        <w:t>return</w:t>
      </w:r>
      <w:r w:rsidR="00C64050">
        <w:t xml:space="preserve"> </w:t>
      </w:r>
      <w:r>
        <w:t>benefit,</w:t>
      </w:r>
      <w:r w:rsidR="00C64050">
        <w:t xml:space="preserve"> </w:t>
      </w:r>
      <w:r>
        <w:t>or</w:t>
      </w:r>
      <w:r w:rsidR="00C64050">
        <w:t xml:space="preserve"> </w:t>
      </w:r>
      <w:r w:rsidRPr="00AF149E">
        <w:rPr>
          <w:u w:val="single"/>
        </w:rPr>
        <w:t>quid</w:t>
      </w:r>
      <w:r w:rsidR="00C64050">
        <w:rPr>
          <w:u w:val="single"/>
        </w:rPr>
        <w:t xml:space="preserve"> </w:t>
      </w:r>
      <w:r w:rsidRPr="00AF149E">
        <w:rPr>
          <w:u w:val="single"/>
        </w:rPr>
        <w:t>pro</w:t>
      </w:r>
      <w:r w:rsidR="00C64050">
        <w:rPr>
          <w:u w:val="single"/>
        </w:rPr>
        <w:t xml:space="preserve"> </w:t>
      </w:r>
      <w:r w:rsidRPr="00AF149E">
        <w:rPr>
          <w:u w:val="single"/>
        </w:rPr>
        <w:t>quo</w:t>
      </w:r>
      <w:r>
        <w:t>,</w:t>
      </w:r>
      <w:r w:rsidR="00C64050">
        <w:t xml:space="preserve"> </w:t>
      </w:r>
      <w:r>
        <w:t>to</w:t>
      </w:r>
      <w:r w:rsidR="00C64050">
        <w:t xml:space="preserve"> </w:t>
      </w:r>
      <w:r>
        <w:t>the</w:t>
      </w:r>
      <w:r w:rsidR="00C64050">
        <w:t xml:space="preserve"> </w:t>
      </w:r>
      <w:r>
        <w:t>taxpayer</w:t>
      </w:r>
      <w:r w:rsidR="00C64050">
        <w:t xml:space="preserve"> </w:t>
      </w:r>
      <w:r>
        <w:t>and</w:t>
      </w:r>
      <w:r w:rsidR="00C64050">
        <w:t xml:space="preserve"> </w:t>
      </w:r>
      <w:r>
        <w:t>reduces</w:t>
      </w:r>
      <w:r w:rsidR="00C64050">
        <w:t xml:space="preserve"> </w:t>
      </w:r>
      <w:r>
        <w:t>the</w:t>
      </w:r>
      <w:r w:rsidR="00C64050">
        <w:t xml:space="preserve"> </w:t>
      </w:r>
      <w:r>
        <w:t>taxpayer’s</w:t>
      </w:r>
      <w:r w:rsidR="00C64050">
        <w:t xml:space="preserve"> </w:t>
      </w:r>
      <w:r>
        <w:t>charitable</w:t>
      </w:r>
      <w:r w:rsidR="00C64050">
        <w:t xml:space="preserve"> </w:t>
      </w:r>
      <w:r>
        <w:t>contribution</w:t>
      </w:r>
      <w:r w:rsidR="00C64050">
        <w:t xml:space="preserve"> </w:t>
      </w:r>
      <w:r>
        <w:t>deduction.</w:t>
      </w:r>
      <w:r w:rsidR="00C64050">
        <w:t xml:space="preserve"> </w:t>
      </w:r>
      <w:r>
        <w:t>The</w:t>
      </w:r>
      <w:r w:rsidR="00C64050">
        <w:t xml:space="preserve"> </w:t>
      </w:r>
      <w:r>
        <w:t>proposed</w:t>
      </w:r>
      <w:r w:rsidR="00C64050">
        <w:t xml:space="preserve"> </w:t>
      </w:r>
      <w:r>
        <w:t>regulations</w:t>
      </w:r>
      <w:r w:rsidR="00C64050">
        <w:t xml:space="preserve"> </w:t>
      </w:r>
      <w:r>
        <w:t>included</w:t>
      </w:r>
      <w:r w:rsidR="00C64050">
        <w:t xml:space="preserve"> </w:t>
      </w:r>
      <w:r>
        <w:t>a</w:t>
      </w:r>
      <w:r w:rsidR="00C64050">
        <w:t xml:space="preserve"> </w:t>
      </w:r>
      <w:r>
        <w:t>separate</w:t>
      </w:r>
      <w:r w:rsidR="00C64050">
        <w:t xml:space="preserve"> </w:t>
      </w:r>
      <w:r>
        <w:t>rule</w:t>
      </w:r>
      <w:r w:rsidR="00C64050">
        <w:t xml:space="preserve"> </w:t>
      </w:r>
      <w:r>
        <w:t>for</w:t>
      </w:r>
      <w:r w:rsidR="00C64050">
        <w:t xml:space="preserve"> </w:t>
      </w:r>
      <w:r>
        <w:t>state</w:t>
      </w:r>
      <w:r w:rsidR="00C64050">
        <w:t xml:space="preserve"> </w:t>
      </w:r>
      <w:r>
        <w:t>and</w:t>
      </w:r>
      <w:r w:rsidR="00C64050">
        <w:t xml:space="preserve"> </w:t>
      </w:r>
      <w:r>
        <w:t>local</w:t>
      </w:r>
      <w:r w:rsidR="00C64050">
        <w:t xml:space="preserve"> </w:t>
      </w:r>
      <w:r>
        <w:t>tax</w:t>
      </w:r>
      <w:r w:rsidR="00C64050">
        <w:t xml:space="preserve"> </w:t>
      </w:r>
      <w:r>
        <w:t>deductions,</w:t>
      </w:r>
      <w:r w:rsidR="00C64050">
        <w:t xml:space="preserve"> </w:t>
      </w:r>
      <w:r>
        <w:t>providing</w:t>
      </w:r>
      <w:r w:rsidR="00C64050">
        <w:t xml:space="preserve"> </w:t>
      </w:r>
      <w:r>
        <w:t>that</w:t>
      </w:r>
      <w:r w:rsidR="00C64050">
        <w:t xml:space="preserve"> </w:t>
      </w:r>
      <w:r>
        <w:t>they</w:t>
      </w:r>
      <w:r w:rsidR="00C64050">
        <w:t xml:space="preserve"> </w:t>
      </w:r>
      <w:r>
        <w:t>do</w:t>
      </w:r>
      <w:r w:rsidR="00C64050">
        <w:t xml:space="preserve"> </w:t>
      </w:r>
      <w:r>
        <w:t>not</w:t>
      </w:r>
      <w:r w:rsidR="00C64050">
        <w:t xml:space="preserve"> </w:t>
      </w:r>
      <w:r>
        <w:t>constitute</w:t>
      </w:r>
      <w:r w:rsidR="00C64050">
        <w:t xml:space="preserve"> </w:t>
      </w:r>
      <w:r>
        <w:t>a</w:t>
      </w:r>
      <w:r w:rsidR="00C64050">
        <w:t xml:space="preserve"> </w:t>
      </w:r>
      <w:r w:rsidRPr="00AF149E">
        <w:rPr>
          <w:u w:val="single"/>
        </w:rPr>
        <w:t>quid</w:t>
      </w:r>
      <w:r w:rsidR="00C64050">
        <w:rPr>
          <w:u w:val="single"/>
        </w:rPr>
        <w:t xml:space="preserve"> </w:t>
      </w:r>
      <w:r w:rsidRPr="00AF149E">
        <w:rPr>
          <w:u w:val="single"/>
        </w:rPr>
        <w:t>pro</w:t>
      </w:r>
      <w:r w:rsidR="00C64050">
        <w:rPr>
          <w:u w:val="single"/>
        </w:rPr>
        <w:t xml:space="preserve"> </w:t>
      </w:r>
      <w:r w:rsidRPr="00AF149E">
        <w:rPr>
          <w:u w:val="single"/>
        </w:rPr>
        <w:t>quo</w:t>
      </w:r>
      <w:r w:rsidR="00C64050">
        <w:t xml:space="preserve"> </w:t>
      </w:r>
      <w:r>
        <w:t>unless</w:t>
      </w:r>
      <w:r w:rsidR="00C64050">
        <w:t xml:space="preserve"> </w:t>
      </w:r>
      <w:r>
        <w:t>they</w:t>
      </w:r>
      <w:r w:rsidR="00C64050">
        <w:t xml:space="preserve"> </w:t>
      </w:r>
      <w:r>
        <w:t>exceed</w:t>
      </w:r>
      <w:r w:rsidR="00C64050">
        <w:t xml:space="preserve"> </w:t>
      </w:r>
      <w:r>
        <w:t>the</w:t>
      </w:r>
      <w:r w:rsidR="00C64050">
        <w:t xml:space="preserve"> </w:t>
      </w:r>
      <w:r>
        <w:t>amount</w:t>
      </w:r>
      <w:r w:rsidR="00C64050">
        <w:t xml:space="preserve"> </w:t>
      </w:r>
      <w:r>
        <w:t>of</w:t>
      </w:r>
      <w:r w:rsidR="00C64050">
        <w:t xml:space="preserve"> </w:t>
      </w:r>
      <w:r>
        <w:t>the</w:t>
      </w:r>
      <w:r w:rsidR="00C64050">
        <w:t xml:space="preserve"> </w:t>
      </w:r>
      <w:r>
        <w:t>donor’s</w:t>
      </w:r>
      <w:r w:rsidR="00C64050">
        <w:t xml:space="preserve"> </w:t>
      </w:r>
      <w:r>
        <w:t>payment</w:t>
      </w:r>
      <w:r w:rsidR="00C64050">
        <w:t xml:space="preserve"> </w:t>
      </w:r>
      <w:r>
        <w:t>or</w:t>
      </w:r>
      <w:r w:rsidR="00C64050">
        <w:t xml:space="preserve"> </w:t>
      </w:r>
      <w:r>
        <w:t>transfer.</w:t>
      </w:r>
      <w:r w:rsidR="00C64050">
        <w:t xml:space="preserve"> </w:t>
      </w:r>
      <w:r>
        <w:t>The</w:t>
      </w:r>
      <w:r w:rsidR="00C64050">
        <w:t xml:space="preserve"> </w:t>
      </w:r>
      <w:r>
        <w:t>proposed</w:t>
      </w:r>
      <w:r w:rsidR="00C64050">
        <w:t xml:space="preserve"> </w:t>
      </w:r>
      <w:r>
        <w:t>regulations</w:t>
      </w:r>
      <w:r w:rsidR="00C64050">
        <w:t xml:space="preserve"> </w:t>
      </w:r>
      <w:r>
        <w:t>also</w:t>
      </w:r>
      <w:r w:rsidR="00C64050">
        <w:t xml:space="preserve"> </w:t>
      </w:r>
      <w:r>
        <w:t>included</w:t>
      </w:r>
      <w:r w:rsidR="00C64050">
        <w:t xml:space="preserve"> </w:t>
      </w:r>
      <w:r>
        <w:t>an</w:t>
      </w:r>
      <w:r w:rsidR="00C64050">
        <w:t xml:space="preserve"> </w:t>
      </w:r>
      <w:r>
        <w:t>exception</w:t>
      </w:r>
      <w:r w:rsidR="00C64050">
        <w:t xml:space="preserve"> </w:t>
      </w:r>
      <w:r>
        <w:t>under</w:t>
      </w:r>
      <w:r w:rsidR="00C64050">
        <w:t xml:space="preserve"> </w:t>
      </w:r>
      <w:r>
        <w:t>which</w:t>
      </w:r>
      <w:r w:rsidR="00C64050">
        <w:t xml:space="preserve"> </w:t>
      </w:r>
      <w:r>
        <w:t>a</w:t>
      </w:r>
      <w:r w:rsidR="00C64050">
        <w:t xml:space="preserve"> </w:t>
      </w:r>
      <w:r>
        <w:t>state</w:t>
      </w:r>
      <w:r w:rsidR="00C64050">
        <w:t xml:space="preserve"> </w:t>
      </w:r>
      <w:r>
        <w:t>or</w:t>
      </w:r>
      <w:r w:rsidR="00C64050">
        <w:t xml:space="preserve"> </w:t>
      </w:r>
      <w:r>
        <w:t>local</w:t>
      </w:r>
      <w:r w:rsidR="00C64050">
        <w:t xml:space="preserve"> </w:t>
      </w:r>
      <w:r>
        <w:t>tax</w:t>
      </w:r>
      <w:r w:rsidR="00C64050">
        <w:t xml:space="preserve"> </w:t>
      </w:r>
      <w:r>
        <w:t>credit</w:t>
      </w:r>
      <w:r w:rsidR="00C64050">
        <w:t xml:space="preserve"> </w:t>
      </w:r>
      <w:r>
        <w:t>is</w:t>
      </w:r>
      <w:r w:rsidR="00C64050">
        <w:t xml:space="preserve"> </w:t>
      </w:r>
      <w:r>
        <w:t>not</w:t>
      </w:r>
      <w:r w:rsidR="00C64050">
        <w:t xml:space="preserve"> </w:t>
      </w:r>
      <w:r>
        <w:t>treated</w:t>
      </w:r>
      <w:r w:rsidR="00C64050">
        <w:t xml:space="preserve"> </w:t>
      </w:r>
      <w:r>
        <w:t>as</w:t>
      </w:r>
      <w:r w:rsidR="00C64050">
        <w:t xml:space="preserve"> </w:t>
      </w:r>
      <w:r>
        <w:t>a</w:t>
      </w:r>
      <w:r w:rsidR="00C64050">
        <w:t xml:space="preserve"> </w:t>
      </w:r>
      <w:r w:rsidRPr="00AF149E">
        <w:rPr>
          <w:u w:val="single"/>
        </w:rPr>
        <w:t>quid</w:t>
      </w:r>
      <w:r w:rsidR="00C64050">
        <w:rPr>
          <w:u w:val="single"/>
        </w:rPr>
        <w:t xml:space="preserve"> </w:t>
      </w:r>
      <w:r w:rsidRPr="00AF149E">
        <w:rPr>
          <w:u w:val="single"/>
        </w:rPr>
        <w:t>pro</w:t>
      </w:r>
      <w:r w:rsidR="00C64050">
        <w:rPr>
          <w:u w:val="single"/>
        </w:rPr>
        <w:t xml:space="preserve"> </w:t>
      </w:r>
      <w:r w:rsidRPr="00AF149E">
        <w:rPr>
          <w:u w:val="single"/>
        </w:rPr>
        <w:t>quo</w:t>
      </w:r>
      <w:r w:rsidR="00C64050">
        <w:t xml:space="preserve"> </w:t>
      </w:r>
      <w:r>
        <w:t>if</w:t>
      </w:r>
      <w:r w:rsidR="00C64050">
        <w:t xml:space="preserve"> </w:t>
      </w:r>
      <w:r>
        <w:t>the</w:t>
      </w:r>
      <w:r w:rsidR="00C64050">
        <w:t xml:space="preserve"> </w:t>
      </w:r>
      <w:r>
        <w:t>credit</w:t>
      </w:r>
      <w:r w:rsidR="00C64050">
        <w:t xml:space="preserve"> </w:t>
      </w:r>
      <w:r>
        <w:t>does</w:t>
      </w:r>
      <w:r w:rsidR="00C64050">
        <w:t xml:space="preserve"> </w:t>
      </w:r>
      <w:r>
        <w:t>not</w:t>
      </w:r>
      <w:r w:rsidR="00C64050">
        <w:t xml:space="preserve"> </w:t>
      </w:r>
      <w:r>
        <w:t>exceed</w:t>
      </w:r>
      <w:r w:rsidR="00C64050">
        <w:t xml:space="preserve"> </w:t>
      </w:r>
      <w:r>
        <w:t>15</w:t>
      </w:r>
      <w:r w:rsidR="00C64050">
        <w:t xml:space="preserve"> </w:t>
      </w:r>
      <w:r>
        <w:t>percent</w:t>
      </w:r>
      <w:r w:rsidR="00C64050">
        <w:t xml:space="preserve"> </w:t>
      </w:r>
      <w:r>
        <w:t>of</w:t>
      </w:r>
      <w:r w:rsidR="00C64050">
        <w:t xml:space="preserve"> </w:t>
      </w:r>
      <w:r>
        <w:t>the</w:t>
      </w:r>
      <w:r w:rsidR="00C64050">
        <w:t xml:space="preserve"> </w:t>
      </w:r>
      <w:r>
        <w:t>taxpayer’s</w:t>
      </w:r>
      <w:r w:rsidR="00C64050">
        <w:t xml:space="preserve"> </w:t>
      </w:r>
      <w:r>
        <w:t>payment</w:t>
      </w:r>
      <w:r w:rsidR="00C64050">
        <w:t xml:space="preserve"> </w:t>
      </w:r>
      <w:r>
        <w:t>or</w:t>
      </w:r>
      <w:r w:rsidR="00C64050">
        <w:t xml:space="preserve"> </w:t>
      </w:r>
      <w:r>
        <w:t>15</w:t>
      </w:r>
      <w:r w:rsidR="00C64050">
        <w:t xml:space="preserve"> </w:t>
      </w:r>
      <w:r>
        <w:t>percent</w:t>
      </w:r>
      <w:r w:rsidR="00C64050">
        <w:t xml:space="preserve"> </w:t>
      </w:r>
      <w:r>
        <w:t>of</w:t>
      </w:r>
      <w:r w:rsidR="00C64050">
        <w:t xml:space="preserve"> </w:t>
      </w:r>
      <w:r>
        <w:t>the</w:t>
      </w:r>
      <w:r w:rsidR="00C64050">
        <w:t xml:space="preserve"> </w:t>
      </w:r>
      <w:r>
        <w:t>fair</w:t>
      </w:r>
      <w:r w:rsidR="00C64050">
        <w:t xml:space="preserve"> </w:t>
      </w:r>
      <w:r>
        <w:t>market</w:t>
      </w:r>
      <w:r w:rsidR="00C64050">
        <w:t xml:space="preserve"> </w:t>
      </w:r>
      <w:r>
        <w:t>value</w:t>
      </w:r>
      <w:r w:rsidR="00C64050">
        <w:t xml:space="preserve"> </w:t>
      </w:r>
      <w:r>
        <w:t>of</w:t>
      </w:r>
      <w:r w:rsidR="00C64050">
        <w:t xml:space="preserve"> </w:t>
      </w:r>
      <w:r>
        <w:t>the</w:t>
      </w:r>
      <w:r w:rsidR="00C64050">
        <w:t xml:space="preserve"> </w:t>
      </w:r>
      <w:r>
        <w:t>property</w:t>
      </w:r>
      <w:r w:rsidR="00C64050">
        <w:t xml:space="preserve"> </w:t>
      </w:r>
      <w:r>
        <w:t>transferred</w:t>
      </w:r>
      <w:r w:rsidR="00C64050">
        <w:t xml:space="preserve"> </w:t>
      </w:r>
      <w:r>
        <w:t>by</w:t>
      </w:r>
      <w:r w:rsidR="00C64050">
        <w:t xml:space="preserve"> </w:t>
      </w:r>
      <w:r>
        <w:t>the</w:t>
      </w:r>
      <w:r w:rsidR="00C64050">
        <w:t xml:space="preserve"> </w:t>
      </w:r>
      <w:r>
        <w:t>taxpayer.</w:t>
      </w:r>
      <w:r w:rsidR="00C64050">
        <w:t xml:space="preserve"> </w:t>
      </w:r>
      <w:r>
        <w:t>Finally,</w:t>
      </w:r>
      <w:r w:rsidR="00C64050">
        <w:t xml:space="preserve"> </w:t>
      </w:r>
      <w:r>
        <w:t>the</w:t>
      </w:r>
      <w:r w:rsidR="00C64050">
        <w:t xml:space="preserve"> </w:t>
      </w:r>
      <w:r>
        <w:t>proposed</w:t>
      </w:r>
      <w:r w:rsidR="00C64050">
        <w:t xml:space="preserve"> </w:t>
      </w:r>
      <w:r>
        <w:t>regulations</w:t>
      </w:r>
      <w:r w:rsidR="00C64050">
        <w:t xml:space="preserve"> </w:t>
      </w:r>
      <w:r>
        <w:t>would</w:t>
      </w:r>
      <w:r w:rsidR="00C64050">
        <w:t xml:space="preserve"> </w:t>
      </w:r>
      <w:r>
        <w:t>amend</w:t>
      </w:r>
      <w:r w:rsidR="00C64050">
        <w:t xml:space="preserve"> </w:t>
      </w:r>
      <w:r>
        <w:t>§1.642(c)-3</w:t>
      </w:r>
      <w:r w:rsidR="00C64050">
        <w:t xml:space="preserve"> </w:t>
      </w:r>
      <w:r>
        <w:t>to</w:t>
      </w:r>
      <w:r w:rsidR="00C64050">
        <w:t xml:space="preserve"> </w:t>
      </w:r>
      <w:r>
        <w:t>provide</w:t>
      </w:r>
      <w:r w:rsidR="00C64050">
        <w:t xml:space="preserve"> </w:t>
      </w:r>
      <w:r>
        <w:t>similar</w:t>
      </w:r>
      <w:r w:rsidR="00C64050">
        <w:t xml:space="preserve"> </w:t>
      </w:r>
      <w:r>
        <w:t>rules</w:t>
      </w:r>
      <w:r w:rsidR="00C64050">
        <w:t xml:space="preserve"> </w:t>
      </w:r>
      <w:r>
        <w:t>for</w:t>
      </w:r>
      <w:r w:rsidR="00C64050">
        <w:t xml:space="preserve"> </w:t>
      </w:r>
      <w:r>
        <w:t>payments</w:t>
      </w:r>
      <w:r w:rsidR="00C64050">
        <w:t xml:space="preserve"> </w:t>
      </w:r>
      <w:r>
        <w:t>made</w:t>
      </w:r>
      <w:r w:rsidR="00C64050">
        <w:t xml:space="preserve"> </w:t>
      </w:r>
      <w:r>
        <w:t>for</w:t>
      </w:r>
      <w:r w:rsidR="00C64050">
        <w:t xml:space="preserve"> </w:t>
      </w:r>
      <w:r>
        <w:t>a</w:t>
      </w:r>
      <w:r w:rsidR="00C64050">
        <w:t xml:space="preserve"> </w:t>
      </w:r>
      <w:r>
        <w:t>purpose</w:t>
      </w:r>
      <w:r w:rsidR="00C64050">
        <w:t xml:space="preserve"> </w:t>
      </w:r>
      <w:r>
        <w:t>specified</w:t>
      </w:r>
      <w:r w:rsidR="00C64050">
        <w:t xml:space="preserve"> </w:t>
      </w:r>
      <w:r>
        <w:t>in</w:t>
      </w:r>
      <w:r w:rsidR="00C64050">
        <w:t xml:space="preserve"> </w:t>
      </w:r>
      <w:r>
        <w:t>section</w:t>
      </w:r>
      <w:r w:rsidR="00C64050">
        <w:t xml:space="preserve"> </w:t>
      </w:r>
      <w:r>
        <w:t>170(c)</w:t>
      </w:r>
      <w:r w:rsidR="00C64050">
        <w:t xml:space="preserve"> </w:t>
      </w:r>
      <w:r>
        <w:t>by</w:t>
      </w:r>
      <w:r w:rsidR="00C64050">
        <w:t xml:space="preserve"> </w:t>
      </w:r>
      <w:r>
        <w:t>a</w:t>
      </w:r>
      <w:r w:rsidR="00C64050">
        <w:t xml:space="preserve"> </w:t>
      </w:r>
      <w:r>
        <w:t>trust</w:t>
      </w:r>
      <w:r w:rsidR="00C64050">
        <w:t xml:space="preserve"> </w:t>
      </w:r>
      <w:r>
        <w:t>or</w:t>
      </w:r>
      <w:r w:rsidR="00C64050">
        <w:t xml:space="preserve"> </w:t>
      </w:r>
      <w:r>
        <w:t>decedent’s</w:t>
      </w:r>
      <w:r w:rsidR="00C64050">
        <w:t xml:space="preserve"> </w:t>
      </w:r>
      <w:r>
        <w:t>estate.</w:t>
      </w:r>
      <w:r w:rsidR="00C64050">
        <w:t xml:space="preserve">  </w:t>
      </w:r>
    </w:p>
    <w:p w:rsidR="009C4CA0" w:rsidRDefault="00AF149E" w:rsidP="00AF149E">
      <w:pPr>
        <w:pStyle w:val="QS10"/>
      </w:pPr>
      <w:r>
        <w:t>The</w:t>
      </w:r>
      <w:r w:rsidR="00C64050">
        <w:t xml:space="preserve"> </w:t>
      </w:r>
      <w:r>
        <w:t>Treasury</w:t>
      </w:r>
      <w:r w:rsidR="00C64050">
        <w:t xml:space="preserve"> </w:t>
      </w:r>
      <w:r>
        <w:t>Department</w:t>
      </w:r>
      <w:r w:rsidR="00C64050">
        <w:t xml:space="preserve"> </w:t>
      </w:r>
      <w:r>
        <w:t>and</w:t>
      </w:r>
      <w:r w:rsidR="00C64050">
        <w:t xml:space="preserve"> </w:t>
      </w:r>
      <w:r>
        <w:t>the</w:t>
      </w:r>
      <w:r w:rsidR="00C64050">
        <w:t xml:space="preserve"> </w:t>
      </w:r>
      <w:r>
        <w:t>IRS</w:t>
      </w:r>
      <w:r w:rsidR="00C64050">
        <w:t xml:space="preserve"> </w:t>
      </w:r>
      <w:r>
        <w:t>received</w:t>
      </w:r>
      <w:r w:rsidR="00C64050">
        <w:t xml:space="preserve"> </w:t>
      </w:r>
      <w:r>
        <w:t>over</w:t>
      </w:r>
      <w:r w:rsidR="00C64050">
        <w:t xml:space="preserve"> </w:t>
      </w:r>
      <w:r>
        <w:t>7,700</w:t>
      </w:r>
      <w:r w:rsidR="00C64050">
        <w:t xml:space="preserve"> </w:t>
      </w:r>
      <w:r>
        <w:t>comments</w:t>
      </w:r>
      <w:r w:rsidR="00C64050">
        <w:t xml:space="preserve"> </w:t>
      </w:r>
      <w:r>
        <w:t>responding</w:t>
      </w:r>
      <w:r w:rsidR="00C64050">
        <w:t xml:space="preserve"> </w:t>
      </w:r>
      <w:r>
        <w:t>to</w:t>
      </w:r>
      <w:r w:rsidR="00C64050">
        <w:t xml:space="preserve"> </w:t>
      </w:r>
      <w:r>
        <w:t>the</w:t>
      </w:r>
      <w:r w:rsidR="00C64050">
        <w:t xml:space="preserve"> </w:t>
      </w:r>
      <w:r>
        <w:t>proposed</w:t>
      </w:r>
      <w:r w:rsidR="00C64050">
        <w:t xml:space="preserve"> </w:t>
      </w:r>
      <w:r>
        <w:t>regulations</w:t>
      </w:r>
      <w:r w:rsidR="00C64050">
        <w:t xml:space="preserve"> </w:t>
      </w:r>
      <w:r>
        <w:t>and</w:t>
      </w:r>
      <w:r w:rsidR="00C64050">
        <w:t xml:space="preserve"> </w:t>
      </w:r>
      <w:r>
        <w:t>25</w:t>
      </w:r>
      <w:r w:rsidR="00C64050">
        <w:t xml:space="preserve"> </w:t>
      </w:r>
      <w:r>
        <w:t>requests</w:t>
      </w:r>
      <w:r w:rsidR="00C64050">
        <w:t xml:space="preserve"> </w:t>
      </w:r>
      <w:r>
        <w:t>to</w:t>
      </w:r>
      <w:r w:rsidR="00C64050">
        <w:t xml:space="preserve"> </w:t>
      </w:r>
      <w:r>
        <w:t>speak</w:t>
      </w:r>
      <w:r w:rsidR="00C64050">
        <w:t xml:space="preserve"> </w:t>
      </w:r>
      <w:r>
        <w:t>at</w:t>
      </w:r>
      <w:r w:rsidR="00C64050">
        <w:t xml:space="preserve"> </w:t>
      </w:r>
      <w:r>
        <w:t>the</w:t>
      </w:r>
      <w:r w:rsidR="00C64050">
        <w:t xml:space="preserve"> </w:t>
      </w:r>
      <w:r>
        <w:t>public</w:t>
      </w:r>
      <w:r w:rsidR="00C64050">
        <w:t xml:space="preserve"> </w:t>
      </w:r>
      <w:r>
        <w:t>hearing,</w:t>
      </w:r>
      <w:r w:rsidR="00C64050">
        <w:t xml:space="preserve"> </w:t>
      </w:r>
      <w:r>
        <w:t>which</w:t>
      </w:r>
      <w:r w:rsidR="00C64050">
        <w:t xml:space="preserve"> </w:t>
      </w:r>
      <w:r>
        <w:t>was</w:t>
      </w:r>
      <w:r w:rsidR="00C64050">
        <w:t xml:space="preserve"> </w:t>
      </w:r>
      <w:r>
        <w:t>held</w:t>
      </w:r>
      <w:r w:rsidR="00C64050">
        <w:t xml:space="preserve"> </w:t>
      </w:r>
      <w:r>
        <w:t>on</w:t>
      </w:r>
      <w:r w:rsidR="00C64050">
        <w:t xml:space="preserve"> </w:t>
      </w:r>
      <w:r>
        <w:t>November</w:t>
      </w:r>
      <w:r w:rsidR="00C64050">
        <w:t xml:space="preserve"> </w:t>
      </w:r>
      <w:r>
        <w:t>5,</w:t>
      </w:r>
      <w:r w:rsidR="00C64050">
        <w:t xml:space="preserve"> </w:t>
      </w:r>
      <w:r>
        <w:t>2018.</w:t>
      </w:r>
      <w:r w:rsidR="00C64050">
        <w:t xml:space="preserve"> </w:t>
      </w:r>
      <w:r>
        <w:t>Copies</w:t>
      </w:r>
      <w:r w:rsidR="00C64050">
        <w:t xml:space="preserve"> </w:t>
      </w:r>
      <w:r>
        <w:t>of</w:t>
      </w:r>
      <w:r w:rsidR="00C64050">
        <w:t xml:space="preserve"> </w:t>
      </w:r>
      <w:r>
        <w:t>written</w:t>
      </w:r>
      <w:r w:rsidR="00C64050">
        <w:t xml:space="preserve"> </w:t>
      </w:r>
      <w:r>
        <w:t>comments</w:t>
      </w:r>
      <w:r w:rsidR="00C64050">
        <w:t xml:space="preserve"> </w:t>
      </w:r>
      <w:r>
        <w:t>received</w:t>
      </w:r>
      <w:r w:rsidR="00C64050">
        <w:t xml:space="preserve"> </w:t>
      </w:r>
      <w:r>
        <w:t>and</w:t>
      </w:r>
      <w:r w:rsidR="00C64050">
        <w:t xml:space="preserve"> </w:t>
      </w:r>
      <w:r>
        <w:t>the</w:t>
      </w:r>
      <w:r w:rsidR="00C64050">
        <w:t xml:space="preserve"> </w:t>
      </w:r>
      <w:r>
        <w:t>list</w:t>
      </w:r>
      <w:r w:rsidR="00C64050">
        <w:t xml:space="preserve"> </w:t>
      </w:r>
      <w:r>
        <w:t>of</w:t>
      </w:r>
      <w:r w:rsidR="00C64050">
        <w:t xml:space="preserve"> </w:t>
      </w:r>
      <w:r>
        <w:t>speakers</w:t>
      </w:r>
      <w:r w:rsidR="00C64050">
        <w:t xml:space="preserve"> </w:t>
      </w:r>
      <w:r>
        <w:t>at</w:t>
      </w:r>
      <w:r w:rsidR="00C64050">
        <w:t xml:space="preserve"> </w:t>
      </w:r>
      <w:r>
        <w:t>the</w:t>
      </w:r>
      <w:r w:rsidR="00C64050">
        <w:t xml:space="preserve"> </w:t>
      </w:r>
      <w:r>
        <w:t>public</w:t>
      </w:r>
      <w:r w:rsidR="00C64050">
        <w:t xml:space="preserve"> </w:t>
      </w:r>
      <w:r>
        <w:t>hearing</w:t>
      </w:r>
      <w:r w:rsidR="00C64050">
        <w:t xml:space="preserve"> </w:t>
      </w:r>
      <w:r>
        <w:t>are</w:t>
      </w:r>
      <w:r w:rsidR="00C64050">
        <w:t xml:space="preserve"> </w:t>
      </w:r>
      <w:r>
        <w:t>available</w:t>
      </w:r>
      <w:r w:rsidR="00C64050">
        <w:t xml:space="preserve"> </w:t>
      </w:r>
      <w:r>
        <w:t>for</w:t>
      </w:r>
      <w:r w:rsidR="00C64050">
        <w:t xml:space="preserve"> </w:t>
      </w:r>
      <w:r>
        <w:t>public</w:t>
      </w:r>
      <w:r w:rsidR="00C64050">
        <w:t xml:space="preserve"> </w:t>
      </w:r>
      <w:r>
        <w:t>inspection</w:t>
      </w:r>
      <w:r w:rsidR="00C64050">
        <w:t xml:space="preserve"> </w:t>
      </w:r>
      <w:r>
        <w:t>at</w:t>
      </w:r>
      <w:r w:rsidR="00C64050">
        <w:t xml:space="preserve"> </w:t>
      </w:r>
      <w:r>
        <w:t>www.regulations.gov</w:t>
      </w:r>
      <w:r w:rsidR="00C64050">
        <w:t xml:space="preserve"> </w:t>
      </w:r>
      <w:r>
        <w:t>or</w:t>
      </w:r>
      <w:r w:rsidR="00C64050">
        <w:t xml:space="preserve"> </w:t>
      </w:r>
      <w:r>
        <w:t>upon</w:t>
      </w:r>
      <w:r w:rsidR="00C64050">
        <w:t xml:space="preserve"> </w:t>
      </w:r>
      <w:r>
        <w:t>request.</w:t>
      </w:r>
      <w:r w:rsidR="00C64050">
        <w:t xml:space="preserve"> </w:t>
      </w:r>
      <w:r>
        <w:t>The</w:t>
      </w:r>
      <w:r w:rsidR="00C64050">
        <w:t xml:space="preserve"> </w:t>
      </w:r>
      <w:r>
        <w:t>comments</w:t>
      </w:r>
      <w:r w:rsidR="00C64050">
        <w:t xml:space="preserve"> </w:t>
      </w:r>
      <w:r>
        <w:t>and</w:t>
      </w:r>
      <w:r w:rsidR="00C64050">
        <w:t xml:space="preserve"> </w:t>
      </w:r>
      <w:r>
        <w:t>revisions</w:t>
      </w:r>
      <w:r w:rsidR="00C64050">
        <w:t xml:space="preserve"> </w:t>
      </w:r>
      <w:r>
        <w:t>are</w:t>
      </w:r>
      <w:r w:rsidR="00C64050">
        <w:t xml:space="preserve"> </w:t>
      </w:r>
      <w:r>
        <w:t>discussed</w:t>
      </w:r>
      <w:r w:rsidR="00C64050">
        <w:t xml:space="preserve"> </w:t>
      </w:r>
      <w:r>
        <w:t>generally</w:t>
      </w:r>
      <w:r w:rsidR="00C64050">
        <w:t xml:space="preserve"> </w:t>
      </w:r>
      <w:r>
        <w:t>in</w:t>
      </w:r>
      <w:r w:rsidR="00C64050">
        <w:t xml:space="preserve"> </w:t>
      </w:r>
      <w:r>
        <w:t>this</w:t>
      </w:r>
      <w:r w:rsidR="00C64050">
        <w:t xml:space="preserve"> </w:t>
      </w:r>
      <w:r>
        <w:t>preamble.</w:t>
      </w:r>
      <w:r w:rsidR="00C64050">
        <w:t xml:space="preserve"> </w:t>
      </w:r>
      <w:r>
        <w:t>After</w:t>
      </w:r>
      <w:r w:rsidR="00C64050">
        <w:t xml:space="preserve"> </w:t>
      </w:r>
      <w:r>
        <w:t>considering</w:t>
      </w:r>
      <w:r w:rsidR="00C64050">
        <w:t xml:space="preserve"> </w:t>
      </w:r>
      <w:r>
        <w:t>the</w:t>
      </w:r>
      <w:r w:rsidR="00C64050">
        <w:t xml:space="preserve"> </w:t>
      </w:r>
      <w:r>
        <w:t>comments</w:t>
      </w:r>
      <w:r w:rsidR="00C64050">
        <w:t xml:space="preserve"> </w:t>
      </w:r>
      <w:r>
        <w:t>received</w:t>
      </w:r>
      <w:r w:rsidR="00C64050">
        <w:t xml:space="preserve"> </w:t>
      </w:r>
      <w:r>
        <w:t>and</w:t>
      </w:r>
      <w:r w:rsidR="00C64050">
        <w:t xml:space="preserve"> </w:t>
      </w:r>
      <w:r>
        <w:t>the</w:t>
      </w:r>
      <w:r w:rsidR="00C64050">
        <w:t xml:space="preserve"> </w:t>
      </w:r>
      <w:r>
        <w:t>concerns</w:t>
      </w:r>
      <w:r w:rsidR="00C64050">
        <w:t xml:space="preserve"> </w:t>
      </w:r>
      <w:r>
        <w:t>expressed</w:t>
      </w:r>
      <w:r w:rsidR="00C64050">
        <w:t xml:space="preserve"> </w:t>
      </w:r>
      <w:r>
        <w:t>at</w:t>
      </w:r>
      <w:r w:rsidR="00C64050">
        <w:t xml:space="preserve"> </w:t>
      </w:r>
      <w:r>
        <w:t>the</w:t>
      </w:r>
      <w:r w:rsidR="00C64050">
        <w:t xml:space="preserve"> </w:t>
      </w:r>
      <w:r>
        <w:t>public</w:t>
      </w:r>
      <w:r w:rsidR="00C64050">
        <w:t xml:space="preserve"> </w:t>
      </w:r>
      <w:r>
        <w:t>hearing,</w:t>
      </w:r>
      <w:r w:rsidR="00C64050">
        <w:t xml:space="preserve"> </w:t>
      </w:r>
      <w:r>
        <w:t>the</w:t>
      </w:r>
      <w:r w:rsidR="00C64050">
        <w:t xml:space="preserve"> </w:t>
      </w:r>
      <w:r>
        <w:t>Treasury</w:t>
      </w:r>
      <w:r w:rsidR="00C64050">
        <w:t xml:space="preserve"> </w:t>
      </w:r>
      <w:r>
        <w:t>Department</w:t>
      </w:r>
      <w:r w:rsidR="00C64050">
        <w:t xml:space="preserve"> </w:t>
      </w:r>
      <w:r>
        <w:t>and</w:t>
      </w:r>
      <w:r w:rsidR="00C64050">
        <w:t xml:space="preserve"> </w:t>
      </w:r>
      <w:r>
        <w:t>the</w:t>
      </w:r>
      <w:r w:rsidR="00C64050">
        <w:t xml:space="preserve"> </w:t>
      </w:r>
      <w:r>
        <w:t>IRS</w:t>
      </w:r>
      <w:r w:rsidR="00C64050">
        <w:t xml:space="preserve"> </w:t>
      </w:r>
      <w:r>
        <w:t>adopt</w:t>
      </w:r>
      <w:r w:rsidR="00C64050">
        <w:t xml:space="preserve"> </w:t>
      </w:r>
      <w:r>
        <w:t>the</w:t>
      </w:r>
      <w:r w:rsidR="00C64050">
        <w:t xml:space="preserve"> </w:t>
      </w:r>
      <w:r>
        <w:t>proposed</w:t>
      </w:r>
      <w:r w:rsidR="00C64050">
        <w:t xml:space="preserve"> </w:t>
      </w:r>
      <w:r>
        <w:t>regulations</w:t>
      </w:r>
      <w:r w:rsidR="00C64050">
        <w:t xml:space="preserve"> </w:t>
      </w:r>
      <w:r>
        <w:t>with</w:t>
      </w:r>
      <w:r w:rsidR="00C64050">
        <w:t xml:space="preserve"> </w:t>
      </w:r>
      <w:r>
        <w:t>certain</w:t>
      </w:r>
      <w:r w:rsidR="00C64050">
        <w:t xml:space="preserve"> </w:t>
      </w:r>
      <w:r>
        <w:t>revisions</w:t>
      </w:r>
      <w:r w:rsidR="00C64050">
        <w:t xml:space="preserve"> </w:t>
      </w:r>
      <w:r>
        <w:t>explained</w:t>
      </w:r>
      <w:r w:rsidR="00C64050">
        <w:t xml:space="preserve"> </w:t>
      </w:r>
      <w:r>
        <w:t>subsequently.</w:t>
      </w:r>
    </w:p>
    <w:p w:rsidR="004E10A3" w:rsidRDefault="00AF688B" w:rsidP="006C69ED">
      <w:pPr>
        <w:pStyle w:val="Body15"/>
      </w:pPr>
      <w:r>
        <w:t xml:space="preserve">Suppose Congress repeals the SALT  cap.  Will Treasury reverse its position, again?  </w:t>
      </w:r>
    </w:p>
    <w:p w:rsidR="006C69ED" w:rsidRPr="00C25106" w:rsidRDefault="006C69ED" w:rsidP="006C69ED">
      <w:pPr>
        <w:pStyle w:val="Body15"/>
      </w:pPr>
      <w:r w:rsidRPr="00C25106">
        <w:t>Note</w:t>
      </w:r>
      <w:r w:rsidR="00C64050">
        <w:t xml:space="preserve"> </w:t>
      </w:r>
      <w:r w:rsidRPr="00C25106">
        <w:t>that</w:t>
      </w:r>
      <w:r w:rsidR="00C64050">
        <w:t xml:space="preserve"> </w:t>
      </w:r>
      <w:r w:rsidR="00AF688B">
        <w:t xml:space="preserve">the cap </w:t>
      </w:r>
      <w:r w:rsidRPr="00C25106">
        <w:t>does</w:t>
      </w:r>
      <w:r w:rsidR="00C64050">
        <w:t xml:space="preserve"> </w:t>
      </w:r>
      <w:r w:rsidRPr="00C25106">
        <w:t>not</w:t>
      </w:r>
      <w:r w:rsidR="00C64050">
        <w:t xml:space="preserve"> </w:t>
      </w:r>
      <w:r w:rsidRPr="00C25106">
        <w:t>include</w:t>
      </w:r>
      <w:r w:rsidR="00C64050">
        <w:t xml:space="preserve"> </w:t>
      </w:r>
      <w:r w:rsidRPr="00C25106">
        <w:t>expenses</w:t>
      </w:r>
      <w:r w:rsidR="00C64050">
        <w:t xml:space="preserve"> </w:t>
      </w:r>
      <w:r w:rsidRPr="00C25106">
        <w:t>of</w:t>
      </w:r>
      <w:r w:rsidR="00C64050">
        <w:t xml:space="preserve"> </w:t>
      </w:r>
      <w:r w:rsidRPr="00C25106">
        <w:t>an</w:t>
      </w:r>
      <w:r w:rsidR="00C64050">
        <w:t xml:space="preserve"> </w:t>
      </w:r>
      <w:r w:rsidRPr="00C25106">
        <w:t>estate</w:t>
      </w:r>
      <w:r w:rsidR="00C64050">
        <w:t xml:space="preserve"> </w:t>
      </w:r>
      <w:r w:rsidRPr="00C25106">
        <w:t>or</w:t>
      </w:r>
      <w:r w:rsidR="00C64050">
        <w:t xml:space="preserve"> </w:t>
      </w:r>
      <w:r w:rsidRPr="001E7C34">
        <w:rPr>
          <w:color w:val="000000"/>
          <w:szCs w:val="20"/>
        </w:rPr>
        <w:t>trust</w:t>
      </w:r>
      <w:r w:rsidR="00C64050">
        <w:t xml:space="preserve"> </w:t>
      </w:r>
      <w:r w:rsidRPr="00C25106">
        <w:t>not</w:t>
      </w:r>
      <w:r w:rsidR="00C64050">
        <w:t xml:space="preserve"> </w:t>
      </w:r>
      <w:r w:rsidRPr="00C25106">
        <w:t>subject</w:t>
      </w:r>
      <w:r w:rsidR="00C64050">
        <w:t xml:space="preserve"> </w:t>
      </w:r>
      <w:r w:rsidRPr="00C25106">
        <w:t>to</w:t>
      </w:r>
      <w:r w:rsidR="00C64050">
        <w:t xml:space="preserve"> </w:t>
      </w:r>
      <w:r w:rsidRPr="00C25106">
        <w:t>the</w:t>
      </w:r>
      <w:r w:rsidR="00C64050">
        <w:t xml:space="preserve"> </w:t>
      </w:r>
      <w:r w:rsidRPr="00C25106">
        <w:t>2%</w:t>
      </w:r>
      <w:r w:rsidR="00C64050">
        <w:t xml:space="preserve"> </w:t>
      </w:r>
      <w:r w:rsidRPr="00C25106">
        <w:t>floor</w:t>
      </w:r>
      <w:r w:rsidR="00C64050">
        <w:t xml:space="preserve"> </w:t>
      </w:r>
      <w:r w:rsidRPr="00C25106">
        <w:t>under</w:t>
      </w:r>
      <w:r w:rsidR="00C64050">
        <w:t xml:space="preserve"> </w:t>
      </w:r>
      <w:r w:rsidR="001C63F6">
        <w:t>s</w:t>
      </w:r>
      <w:r>
        <w:t>ection</w:t>
      </w:r>
      <w:r w:rsidR="00C64050">
        <w:t xml:space="preserve"> </w:t>
      </w:r>
      <w:r w:rsidRPr="00C25106">
        <w:t>67(e).</w:t>
      </w:r>
      <w:r w:rsidR="00C64050">
        <w:t xml:space="preserve">  </w:t>
      </w:r>
      <w:r w:rsidRPr="00C25106">
        <w:t>Expenses</w:t>
      </w:r>
      <w:r w:rsidR="00C64050">
        <w:t xml:space="preserve"> </w:t>
      </w:r>
      <w:r w:rsidRPr="00C25106">
        <w:t>of</w:t>
      </w:r>
      <w:r w:rsidR="00C64050">
        <w:t xml:space="preserve"> </w:t>
      </w:r>
      <w:r w:rsidRPr="00C25106">
        <w:t>an</w:t>
      </w:r>
      <w:r w:rsidR="00C64050">
        <w:t xml:space="preserve"> </w:t>
      </w:r>
      <w:r w:rsidRPr="00C25106">
        <w:t>estate</w:t>
      </w:r>
      <w:r w:rsidR="00C64050">
        <w:t xml:space="preserve"> </w:t>
      </w:r>
      <w:r w:rsidRPr="00C25106">
        <w:t>or</w:t>
      </w:r>
      <w:r w:rsidR="00C64050">
        <w:t xml:space="preserve"> </w:t>
      </w:r>
      <w:r w:rsidRPr="00C25106">
        <w:t>trust</w:t>
      </w:r>
      <w:r w:rsidR="00C64050">
        <w:t xml:space="preserve"> </w:t>
      </w:r>
      <w:r w:rsidRPr="00C25106">
        <w:t>are</w:t>
      </w:r>
      <w:r w:rsidR="00C64050">
        <w:t xml:space="preserve"> </w:t>
      </w:r>
      <w:r w:rsidRPr="00C25106">
        <w:t>not</w:t>
      </w:r>
      <w:r w:rsidR="00C64050">
        <w:t xml:space="preserve"> </w:t>
      </w:r>
      <w:r w:rsidRPr="00C25106">
        <w:t>subject</w:t>
      </w:r>
      <w:r w:rsidR="00C64050">
        <w:t xml:space="preserve"> </w:t>
      </w:r>
      <w:r w:rsidRPr="00C25106">
        <w:t>to</w:t>
      </w:r>
      <w:r w:rsidR="00C64050">
        <w:t xml:space="preserve"> </w:t>
      </w:r>
      <w:r w:rsidRPr="00C25106">
        <w:t>the</w:t>
      </w:r>
      <w:r w:rsidR="00C64050">
        <w:t xml:space="preserve"> </w:t>
      </w:r>
      <w:r w:rsidRPr="00C25106">
        <w:t>2%</w:t>
      </w:r>
      <w:r w:rsidR="00C64050">
        <w:t xml:space="preserve"> </w:t>
      </w:r>
      <w:r w:rsidRPr="00C25106">
        <w:t>floor</w:t>
      </w:r>
      <w:r w:rsidR="00C64050">
        <w:t xml:space="preserve"> </w:t>
      </w:r>
      <w:r w:rsidRPr="00C25106">
        <w:t>if</w:t>
      </w:r>
      <w:r w:rsidR="00C64050">
        <w:t xml:space="preserve"> </w:t>
      </w:r>
      <w:r w:rsidRPr="00C25106">
        <w:t>such</w:t>
      </w:r>
      <w:r w:rsidR="00C64050">
        <w:t xml:space="preserve"> </w:t>
      </w:r>
      <w:r w:rsidRPr="00C25106">
        <w:t>expenses</w:t>
      </w:r>
      <w:r w:rsidR="00C64050">
        <w:t xml:space="preserve"> </w:t>
      </w:r>
      <w:r w:rsidRPr="00C25106">
        <w:t>would</w:t>
      </w:r>
      <w:r w:rsidR="00C64050">
        <w:t xml:space="preserve"> </w:t>
      </w:r>
      <w:r w:rsidRPr="00C25106">
        <w:t>not</w:t>
      </w:r>
      <w:r w:rsidR="00C64050">
        <w:t xml:space="preserve"> </w:t>
      </w:r>
      <w:r w:rsidRPr="00C25106">
        <w:t>have</w:t>
      </w:r>
      <w:r w:rsidR="00C64050">
        <w:t xml:space="preserve"> </w:t>
      </w:r>
      <w:r w:rsidRPr="00C25106">
        <w:t>been</w:t>
      </w:r>
      <w:r w:rsidR="00C64050">
        <w:t xml:space="preserve"> </w:t>
      </w:r>
      <w:r w:rsidRPr="00C25106">
        <w:t>incurred</w:t>
      </w:r>
      <w:r w:rsidR="00C64050">
        <w:t xml:space="preserve"> </w:t>
      </w:r>
      <w:r w:rsidRPr="00C25106">
        <w:t>if</w:t>
      </w:r>
      <w:r w:rsidR="00C64050">
        <w:t xml:space="preserve"> </w:t>
      </w:r>
      <w:r w:rsidRPr="00C25106">
        <w:t>the</w:t>
      </w:r>
      <w:r w:rsidR="00C64050">
        <w:t xml:space="preserve"> </w:t>
      </w:r>
      <w:r w:rsidRPr="00C25106">
        <w:t>property</w:t>
      </w:r>
      <w:r w:rsidR="00C64050">
        <w:t xml:space="preserve"> </w:t>
      </w:r>
      <w:r w:rsidRPr="00C25106">
        <w:t>were</w:t>
      </w:r>
      <w:r w:rsidR="00C64050">
        <w:t xml:space="preserve"> </w:t>
      </w:r>
      <w:r w:rsidRPr="00C25106">
        <w:t>not</w:t>
      </w:r>
      <w:r w:rsidR="00C64050">
        <w:t xml:space="preserve"> </w:t>
      </w:r>
      <w:r w:rsidRPr="00C25106">
        <w:t>held</w:t>
      </w:r>
      <w:r w:rsidR="00C64050">
        <w:t xml:space="preserve"> </w:t>
      </w:r>
      <w:r w:rsidRPr="00C25106">
        <w:t>in</w:t>
      </w:r>
      <w:r w:rsidR="00C64050">
        <w:t xml:space="preserve"> </w:t>
      </w:r>
      <w:r w:rsidRPr="00C25106">
        <w:t>a</w:t>
      </w:r>
      <w:r w:rsidR="00C64050">
        <w:t xml:space="preserve"> </w:t>
      </w:r>
      <w:r w:rsidRPr="00C25106">
        <w:t>trust</w:t>
      </w:r>
      <w:r w:rsidR="00C64050">
        <w:t xml:space="preserve"> </w:t>
      </w:r>
      <w:r w:rsidRPr="00C25106">
        <w:t>or</w:t>
      </w:r>
      <w:r w:rsidR="00C64050">
        <w:t xml:space="preserve"> </w:t>
      </w:r>
      <w:r w:rsidRPr="00C25106">
        <w:t>estate.</w:t>
      </w:r>
      <w:r w:rsidR="00C64050">
        <w:t xml:space="preserve">  </w:t>
      </w:r>
      <w:r w:rsidRPr="00C25106">
        <w:t>Thus,</w:t>
      </w:r>
      <w:r w:rsidR="00C64050">
        <w:t xml:space="preserve"> </w:t>
      </w:r>
      <w:r w:rsidRPr="00C25106">
        <w:t>executor</w:t>
      </w:r>
      <w:r w:rsidR="00C64050">
        <w:t xml:space="preserve"> </w:t>
      </w:r>
      <w:r w:rsidRPr="00C25106">
        <w:t>and</w:t>
      </w:r>
      <w:r w:rsidR="00C64050">
        <w:t xml:space="preserve"> </w:t>
      </w:r>
      <w:r w:rsidRPr="00C25106">
        <w:t>trustee</w:t>
      </w:r>
      <w:r w:rsidR="00C64050">
        <w:t xml:space="preserve"> </w:t>
      </w:r>
      <w:r w:rsidRPr="00C25106">
        <w:t>fees</w:t>
      </w:r>
      <w:r w:rsidR="00C64050">
        <w:t xml:space="preserve"> </w:t>
      </w:r>
      <w:r w:rsidRPr="00C25106">
        <w:t>and</w:t>
      </w:r>
      <w:r w:rsidR="00C64050">
        <w:t xml:space="preserve"> </w:t>
      </w:r>
      <w:r w:rsidRPr="00C25106">
        <w:t>attorney's</w:t>
      </w:r>
      <w:r w:rsidR="00C64050">
        <w:t xml:space="preserve"> </w:t>
      </w:r>
      <w:r w:rsidRPr="00C25106">
        <w:t>fees</w:t>
      </w:r>
      <w:r w:rsidR="00C64050">
        <w:t xml:space="preserve"> </w:t>
      </w:r>
      <w:r w:rsidRPr="00C25106">
        <w:t>related</w:t>
      </w:r>
      <w:r w:rsidR="00C64050">
        <w:t xml:space="preserve"> </w:t>
      </w:r>
      <w:r w:rsidRPr="00C25106">
        <w:t>to</w:t>
      </w:r>
      <w:r w:rsidR="00C64050">
        <w:t xml:space="preserve"> </w:t>
      </w:r>
      <w:r w:rsidRPr="00C25106">
        <w:t>trust</w:t>
      </w:r>
      <w:r w:rsidR="00C64050">
        <w:t xml:space="preserve"> </w:t>
      </w:r>
      <w:r w:rsidRPr="00C25106">
        <w:t>and</w:t>
      </w:r>
      <w:r w:rsidR="00C64050">
        <w:t xml:space="preserve"> </w:t>
      </w:r>
      <w:r w:rsidRPr="00C25106">
        <w:t>estate</w:t>
      </w:r>
      <w:r w:rsidR="00C64050">
        <w:t xml:space="preserve"> </w:t>
      </w:r>
      <w:r w:rsidRPr="00C25106">
        <w:t>administration</w:t>
      </w:r>
      <w:r w:rsidR="00C64050">
        <w:t xml:space="preserve"> </w:t>
      </w:r>
      <w:r w:rsidRPr="00C25106">
        <w:t>shou</w:t>
      </w:r>
      <w:r>
        <w:t>ld</w:t>
      </w:r>
      <w:r w:rsidR="00C64050">
        <w:t xml:space="preserve"> </w:t>
      </w:r>
      <w:r>
        <w:t>continue</w:t>
      </w:r>
      <w:r w:rsidR="00C64050">
        <w:t xml:space="preserve"> </w:t>
      </w:r>
      <w:r>
        <w:t>to</w:t>
      </w:r>
      <w:r w:rsidR="00C64050">
        <w:t xml:space="preserve"> </w:t>
      </w:r>
      <w:r>
        <w:t>be</w:t>
      </w:r>
      <w:r w:rsidR="00C64050">
        <w:t xml:space="preserve"> </w:t>
      </w:r>
      <w:r>
        <w:t>deductible.</w:t>
      </w:r>
      <w:r w:rsidR="00C64050">
        <w:t xml:space="preserve">  </w:t>
      </w:r>
    </w:p>
    <w:p w:rsidR="006C69ED" w:rsidRDefault="006C69ED" w:rsidP="006C69ED">
      <w:pPr>
        <w:pStyle w:val="Body15"/>
      </w:pPr>
      <w:r w:rsidRPr="00C25106">
        <w:t>The</w:t>
      </w:r>
      <w:r w:rsidR="00C64050">
        <w:t xml:space="preserve"> </w:t>
      </w:r>
      <w:r w:rsidRPr="00C25106">
        <w:t>income</w:t>
      </w:r>
      <w:r w:rsidR="00C64050">
        <w:t xml:space="preserve"> </w:t>
      </w:r>
      <w:r w:rsidRPr="00C25106">
        <w:t>tax</w:t>
      </w:r>
      <w:r w:rsidR="00C64050">
        <w:t xml:space="preserve"> </w:t>
      </w:r>
      <w:r w:rsidRPr="00C25106">
        <w:t>deduction</w:t>
      </w:r>
      <w:r w:rsidR="00C64050">
        <w:t xml:space="preserve"> </w:t>
      </w:r>
      <w:r w:rsidRPr="00C25106">
        <w:t>for</w:t>
      </w:r>
      <w:r w:rsidR="00C64050">
        <w:t xml:space="preserve"> </w:t>
      </w:r>
      <w:r w:rsidRPr="00C25106">
        <w:t>estate</w:t>
      </w:r>
      <w:r w:rsidR="00C64050">
        <w:t xml:space="preserve"> </w:t>
      </w:r>
      <w:r w:rsidRPr="00C25106">
        <w:t>tax</w:t>
      </w:r>
      <w:r w:rsidR="00C64050">
        <w:t xml:space="preserve"> </w:t>
      </w:r>
      <w:r w:rsidRPr="00C25106">
        <w:t>attributable</w:t>
      </w:r>
      <w:r w:rsidR="00C64050">
        <w:t xml:space="preserve"> </w:t>
      </w:r>
      <w:r w:rsidRPr="00C25106">
        <w:t>to</w:t>
      </w:r>
      <w:r w:rsidR="00C64050">
        <w:t xml:space="preserve"> </w:t>
      </w:r>
      <w:r w:rsidRPr="00C25106">
        <w:t>income</w:t>
      </w:r>
      <w:r w:rsidR="00C64050">
        <w:t xml:space="preserve"> </w:t>
      </w:r>
      <w:r w:rsidRPr="00C25106">
        <w:t>in</w:t>
      </w:r>
      <w:r w:rsidR="00C64050">
        <w:t xml:space="preserve"> </w:t>
      </w:r>
      <w:r w:rsidRPr="00C25106">
        <w:t>respect</w:t>
      </w:r>
      <w:r w:rsidR="00C64050">
        <w:t xml:space="preserve"> </w:t>
      </w:r>
      <w:r w:rsidRPr="00C25106">
        <w:t>of</w:t>
      </w:r>
      <w:r w:rsidR="00C64050">
        <w:t xml:space="preserve"> </w:t>
      </w:r>
      <w:r w:rsidRPr="00C25106">
        <w:t>a</w:t>
      </w:r>
      <w:r w:rsidR="00C64050">
        <w:t xml:space="preserve"> </w:t>
      </w:r>
      <w:r w:rsidRPr="00C25106">
        <w:t>decedent</w:t>
      </w:r>
      <w:r w:rsidR="00C64050">
        <w:t xml:space="preserve"> </w:t>
      </w:r>
      <w:r w:rsidRPr="00C25106">
        <w:t>under</w:t>
      </w:r>
      <w:r w:rsidR="00C64050">
        <w:t xml:space="preserve"> </w:t>
      </w:r>
      <w:r w:rsidR="001C63F6">
        <w:t>s</w:t>
      </w:r>
      <w:r>
        <w:t>ection</w:t>
      </w:r>
      <w:r w:rsidR="00C64050">
        <w:t xml:space="preserve"> </w:t>
      </w:r>
      <w:r w:rsidRPr="00C25106">
        <w:t>691(c)</w:t>
      </w:r>
      <w:r w:rsidR="00C64050">
        <w:t xml:space="preserve"> </w:t>
      </w:r>
      <w:r w:rsidRPr="00C25106">
        <w:t>was</w:t>
      </w:r>
      <w:r w:rsidR="00C64050">
        <w:t xml:space="preserve"> </w:t>
      </w:r>
      <w:r w:rsidRPr="00C25106">
        <w:t>not</w:t>
      </w:r>
      <w:r w:rsidR="00C64050">
        <w:t xml:space="preserve"> </w:t>
      </w:r>
      <w:r>
        <w:t>altered</w:t>
      </w:r>
      <w:r w:rsidR="00C64050">
        <w:t xml:space="preserve"> </w:t>
      </w:r>
      <w:r>
        <w:t>by</w:t>
      </w:r>
      <w:r w:rsidR="00C64050">
        <w:t xml:space="preserve"> </w:t>
      </w:r>
      <w:r>
        <w:t>the</w:t>
      </w:r>
      <w:r w:rsidR="00C64050">
        <w:t xml:space="preserve"> </w:t>
      </w:r>
      <w:r>
        <w:t>2017</w:t>
      </w:r>
      <w:r w:rsidR="00C64050">
        <w:t xml:space="preserve"> </w:t>
      </w:r>
      <w:r>
        <w:t>Tax</w:t>
      </w:r>
      <w:r w:rsidR="00C64050">
        <w:t xml:space="preserve"> </w:t>
      </w:r>
      <w:r>
        <w:t>Act.</w:t>
      </w:r>
      <w:r w:rsidR="00C64050">
        <w:t xml:space="preserve">  </w:t>
      </w:r>
    </w:p>
    <w:p w:rsidR="00891FBC" w:rsidRDefault="009C4E26" w:rsidP="001E7C34">
      <w:pPr>
        <w:pStyle w:val="Body15"/>
      </w:pPr>
      <w:r>
        <w:t>Section</w:t>
      </w:r>
      <w:r w:rsidR="00C64050">
        <w:t xml:space="preserve"> </w:t>
      </w:r>
      <w:r w:rsidRPr="00C25106">
        <w:t>642(h)(2)</w:t>
      </w:r>
      <w:r w:rsidR="00C64050">
        <w:t xml:space="preserve"> </w:t>
      </w:r>
      <w:r w:rsidRPr="00C25106">
        <w:t>states</w:t>
      </w:r>
      <w:r w:rsidR="00C64050">
        <w:t xml:space="preserve"> </w:t>
      </w:r>
      <w:r w:rsidRPr="00C25106">
        <w:t>that</w:t>
      </w:r>
      <w:r w:rsidR="00C64050">
        <w:t xml:space="preserve"> </w:t>
      </w:r>
      <w:r w:rsidRPr="00C25106">
        <w:t>on</w:t>
      </w:r>
      <w:r w:rsidR="00C64050">
        <w:t xml:space="preserve"> </w:t>
      </w:r>
      <w:r w:rsidRPr="00C25106">
        <w:t>termination</w:t>
      </w:r>
      <w:r w:rsidR="00C64050">
        <w:t xml:space="preserve"> </w:t>
      </w:r>
      <w:r w:rsidRPr="00C25106">
        <w:t>of</w:t>
      </w:r>
      <w:r w:rsidR="00C64050">
        <w:t xml:space="preserve"> </w:t>
      </w:r>
      <w:r w:rsidRPr="00C25106">
        <w:t>an</w:t>
      </w:r>
      <w:r w:rsidR="00C64050">
        <w:t xml:space="preserve"> </w:t>
      </w:r>
      <w:r w:rsidRPr="00C25106">
        <w:t>estate</w:t>
      </w:r>
      <w:r w:rsidR="00C64050">
        <w:t xml:space="preserve"> </w:t>
      </w:r>
      <w:r w:rsidRPr="00C25106">
        <w:t>or</w:t>
      </w:r>
      <w:r w:rsidR="00C64050">
        <w:t xml:space="preserve"> </w:t>
      </w:r>
      <w:r w:rsidRPr="00C25106">
        <w:t>trust</w:t>
      </w:r>
      <w:r w:rsidR="00C64050">
        <w:t xml:space="preserve"> </w:t>
      </w:r>
      <w:r w:rsidRPr="00C25106">
        <w:t>any</w:t>
      </w:r>
      <w:r w:rsidR="00C64050">
        <w:t xml:space="preserve"> </w:t>
      </w:r>
      <w:r w:rsidRPr="00C25106">
        <w:t>deductions</w:t>
      </w:r>
      <w:r w:rsidR="00C64050">
        <w:t xml:space="preserve"> </w:t>
      </w:r>
      <w:r w:rsidRPr="00C25106">
        <w:t>(other</w:t>
      </w:r>
      <w:r w:rsidR="00C64050">
        <w:t xml:space="preserve"> </w:t>
      </w:r>
      <w:r w:rsidRPr="00C25106">
        <w:t>than</w:t>
      </w:r>
      <w:r w:rsidR="00C64050">
        <w:t xml:space="preserve"> </w:t>
      </w:r>
      <w:r w:rsidRPr="00C25106">
        <w:t>the</w:t>
      </w:r>
      <w:r w:rsidR="00C64050">
        <w:t xml:space="preserve"> </w:t>
      </w:r>
      <w:r w:rsidRPr="00C25106">
        <w:t>estate</w:t>
      </w:r>
      <w:r w:rsidR="00C64050">
        <w:t xml:space="preserve"> </w:t>
      </w:r>
      <w:r w:rsidRPr="00C25106">
        <w:t>or</w:t>
      </w:r>
      <w:r w:rsidR="00C64050">
        <w:t xml:space="preserve"> </w:t>
      </w:r>
      <w:r w:rsidRPr="00C25106">
        <w:t>trust</w:t>
      </w:r>
      <w:r w:rsidR="00C64050">
        <w:t xml:space="preserve"> </w:t>
      </w:r>
      <w:r w:rsidRPr="00C25106">
        <w:t>exemption</w:t>
      </w:r>
      <w:r w:rsidR="00C64050">
        <w:t xml:space="preserve"> </w:t>
      </w:r>
      <w:r w:rsidRPr="00C25106">
        <w:t>and</w:t>
      </w:r>
      <w:r w:rsidR="00C64050">
        <w:t xml:space="preserve"> </w:t>
      </w:r>
      <w:r w:rsidRPr="00C25106">
        <w:t>other</w:t>
      </w:r>
      <w:r w:rsidR="00C64050">
        <w:t xml:space="preserve"> </w:t>
      </w:r>
      <w:r w:rsidRPr="00C25106">
        <w:t>than</w:t>
      </w:r>
      <w:r w:rsidR="00C64050">
        <w:t xml:space="preserve"> </w:t>
      </w:r>
      <w:r w:rsidRPr="00C25106">
        <w:t>the</w:t>
      </w:r>
      <w:r w:rsidR="00C64050">
        <w:t xml:space="preserve"> </w:t>
      </w:r>
      <w:r w:rsidRPr="00C25106">
        <w:t>charitable</w:t>
      </w:r>
      <w:r w:rsidR="00C64050">
        <w:t xml:space="preserve"> </w:t>
      </w:r>
      <w:r w:rsidRPr="00C25106">
        <w:t>deduction)</w:t>
      </w:r>
      <w:r w:rsidR="00C64050">
        <w:t xml:space="preserve"> </w:t>
      </w:r>
      <w:r w:rsidRPr="00C25106">
        <w:t>for</w:t>
      </w:r>
      <w:r w:rsidR="00C64050">
        <w:t xml:space="preserve"> </w:t>
      </w:r>
      <w:r w:rsidRPr="00C25106">
        <w:t>the</w:t>
      </w:r>
      <w:r w:rsidR="00C64050">
        <w:t xml:space="preserve"> </w:t>
      </w:r>
      <w:r w:rsidRPr="00C25106">
        <w:t>estate</w:t>
      </w:r>
      <w:r w:rsidR="00C64050">
        <w:t xml:space="preserve"> </w:t>
      </w:r>
      <w:r w:rsidRPr="00C25106">
        <w:t>or</w:t>
      </w:r>
      <w:r w:rsidR="00C64050">
        <w:t xml:space="preserve"> </w:t>
      </w:r>
      <w:r w:rsidRPr="00C25106">
        <w:t>trust</w:t>
      </w:r>
      <w:r w:rsidR="00C64050">
        <w:t xml:space="preserve"> </w:t>
      </w:r>
      <w:r w:rsidRPr="00C25106">
        <w:t>in</w:t>
      </w:r>
      <w:r w:rsidR="00C64050">
        <w:t xml:space="preserve"> </w:t>
      </w:r>
      <w:r w:rsidRPr="00C25106">
        <w:t>excess</w:t>
      </w:r>
      <w:r w:rsidR="00C64050">
        <w:t xml:space="preserve"> </w:t>
      </w:r>
      <w:r w:rsidRPr="00C25106">
        <w:t>of</w:t>
      </w:r>
      <w:r w:rsidR="00C64050">
        <w:t xml:space="preserve"> </w:t>
      </w:r>
      <w:r w:rsidRPr="00C25106">
        <w:t>gross</w:t>
      </w:r>
      <w:r w:rsidR="00C64050">
        <w:t xml:space="preserve"> </w:t>
      </w:r>
      <w:r w:rsidRPr="00C25106">
        <w:t>income</w:t>
      </w:r>
      <w:r w:rsidR="00C64050">
        <w:t xml:space="preserve"> </w:t>
      </w:r>
      <w:r w:rsidRPr="00C25106">
        <w:t>are</w:t>
      </w:r>
      <w:r w:rsidR="00C64050">
        <w:t xml:space="preserve"> </w:t>
      </w:r>
      <w:r w:rsidRPr="00C25106">
        <w:t>allowable</w:t>
      </w:r>
      <w:r w:rsidR="00C64050">
        <w:t xml:space="preserve"> </w:t>
      </w:r>
      <w:r w:rsidRPr="00C25106">
        <w:t>as</w:t>
      </w:r>
      <w:r w:rsidR="00C64050">
        <w:t xml:space="preserve"> </w:t>
      </w:r>
      <w:r w:rsidRPr="00C25106">
        <w:t>deductions</w:t>
      </w:r>
      <w:r w:rsidR="00C64050">
        <w:t xml:space="preserve"> </w:t>
      </w:r>
      <w:r w:rsidRPr="00C25106">
        <w:t>to</w:t>
      </w:r>
      <w:r w:rsidR="00C64050">
        <w:t xml:space="preserve"> </w:t>
      </w:r>
      <w:r w:rsidRPr="00C25106">
        <w:t>the</w:t>
      </w:r>
      <w:r w:rsidR="00C64050">
        <w:t xml:space="preserve"> </w:t>
      </w:r>
      <w:r w:rsidRPr="00C25106">
        <w:t>beneficiaries.</w:t>
      </w:r>
      <w:r w:rsidR="00C64050">
        <w:t xml:space="preserve">  </w:t>
      </w:r>
      <w:r w:rsidRPr="00C25106">
        <w:t>This</w:t>
      </w:r>
      <w:r w:rsidR="00C64050">
        <w:t xml:space="preserve"> </w:t>
      </w:r>
      <w:r w:rsidRPr="00C25106">
        <w:t>deduction</w:t>
      </w:r>
      <w:r w:rsidR="00C64050">
        <w:t xml:space="preserve"> </w:t>
      </w:r>
      <w:r w:rsidRPr="00C25106">
        <w:t>is</w:t>
      </w:r>
      <w:r w:rsidR="00C64050">
        <w:t xml:space="preserve"> </w:t>
      </w:r>
      <w:r w:rsidRPr="00C25106">
        <w:t>eliminated</w:t>
      </w:r>
      <w:r w:rsidR="00C64050">
        <w:t xml:space="preserve"> </w:t>
      </w:r>
      <w:r w:rsidRPr="00C25106">
        <w:t>due</w:t>
      </w:r>
      <w:r w:rsidR="00C64050">
        <w:t xml:space="preserve"> </w:t>
      </w:r>
      <w:r w:rsidRPr="00C25106">
        <w:t>the</w:t>
      </w:r>
      <w:r w:rsidR="00C64050">
        <w:t xml:space="preserve"> </w:t>
      </w:r>
      <w:r w:rsidRPr="00C25106">
        <w:t>suspension</w:t>
      </w:r>
      <w:r w:rsidR="00C64050">
        <w:t xml:space="preserve"> </w:t>
      </w:r>
      <w:r w:rsidRPr="00C25106">
        <w:t>of</w:t>
      </w:r>
      <w:r w:rsidR="00C64050">
        <w:t xml:space="preserve"> </w:t>
      </w:r>
      <w:r w:rsidRPr="00C25106">
        <w:t>miscellaneous</w:t>
      </w:r>
      <w:r w:rsidR="00C64050">
        <w:t xml:space="preserve"> </w:t>
      </w:r>
      <w:r w:rsidRPr="00C25106">
        <w:t>itemized</w:t>
      </w:r>
      <w:r w:rsidR="00C64050">
        <w:t xml:space="preserve"> </w:t>
      </w:r>
      <w:r w:rsidRPr="00C25106">
        <w:t>deductions</w:t>
      </w:r>
      <w:r w:rsidR="00C64050">
        <w:t xml:space="preserve"> </w:t>
      </w:r>
      <w:r w:rsidRPr="00C25106">
        <w:t>for</w:t>
      </w:r>
      <w:r w:rsidR="00C64050">
        <w:t xml:space="preserve"> </w:t>
      </w:r>
      <w:r w:rsidRPr="00C25106">
        <w:t>individuals</w:t>
      </w:r>
      <w:r w:rsidR="00C64050">
        <w:t xml:space="preserve"> </w:t>
      </w:r>
      <w:r w:rsidRPr="00C25106">
        <w:t>under</w:t>
      </w:r>
      <w:r w:rsidR="00C64050">
        <w:t xml:space="preserve"> </w:t>
      </w:r>
      <w:r>
        <w:t>section</w:t>
      </w:r>
      <w:r w:rsidR="00C64050">
        <w:t xml:space="preserve"> </w:t>
      </w:r>
      <w:r w:rsidRPr="00C25106">
        <w:t>67(g).</w:t>
      </w:r>
      <w:r w:rsidR="00C64050">
        <w:t xml:space="preserve">  </w:t>
      </w:r>
      <w:r w:rsidRPr="00C25106">
        <w:t>Beneficiaries</w:t>
      </w:r>
      <w:r w:rsidR="00C64050">
        <w:t xml:space="preserve"> </w:t>
      </w:r>
      <w:r w:rsidRPr="00C25106">
        <w:t>may</w:t>
      </w:r>
      <w:r w:rsidR="00C64050">
        <w:t xml:space="preserve"> </w:t>
      </w:r>
      <w:r w:rsidRPr="00C25106">
        <w:t>still</w:t>
      </w:r>
      <w:r w:rsidR="00C64050">
        <w:t xml:space="preserve"> </w:t>
      </w:r>
      <w:r w:rsidRPr="00C25106">
        <w:t>claim</w:t>
      </w:r>
      <w:r w:rsidR="00C64050">
        <w:t xml:space="preserve"> </w:t>
      </w:r>
      <w:r w:rsidRPr="00C25106">
        <w:t>a</w:t>
      </w:r>
      <w:r w:rsidR="00C64050">
        <w:t xml:space="preserve"> </w:t>
      </w:r>
      <w:r w:rsidRPr="00C25106">
        <w:t>trust</w:t>
      </w:r>
      <w:r w:rsidR="00C64050">
        <w:t xml:space="preserve"> </w:t>
      </w:r>
      <w:r w:rsidRPr="00C25106">
        <w:t>or</w:t>
      </w:r>
      <w:r w:rsidR="00C64050">
        <w:t xml:space="preserve"> </w:t>
      </w:r>
      <w:r w:rsidRPr="00C25106">
        <w:t>estate’s</w:t>
      </w:r>
      <w:r w:rsidR="00C64050">
        <w:t xml:space="preserve"> </w:t>
      </w:r>
      <w:r w:rsidRPr="00C25106">
        <w:t>net</w:t>
      </w:r>
      <w:r w:rsidR="00C64050">
        <w:t xml:space="preserve"> </w:t>
      </w:r>
      <w:r w:rsidRPr="00C25106">
        <w:t>operating</w:t>
      </w:r>
      <w:r w:rsidR="00C64050">
        <w:t xml:space="preserve"> </w:t>
      </w:r>
      <w:r w:rsidRPr="00C25106">
        <w:t>losses</w:t>
      </w:r>
      <w:r w:rsidR="00C64050">
        <w:t xml:space="preserve"> </w:t>
      </w:r>
      <w:r w:rsidRPr="00C25106">
        <w:t>or</w:t>
      </w:r>
      <w:r w:rsidR="00C64050">
        <w:t xml:space="preserve"> </w:t>
      </w:r>
      <w:r w:rsidRPr="00C25106">
        <w:t>capital</w:t>
      </w:r>
      <w:r w:rsidR="00C64050">
        <w:t xml:space="preserve"> </w:t>
      </w:r>
      <w:r w:rsidRPr="00C25106">
        <w:t>loss</w:t>
      </w:r>
      <w:r w:rsidR="00C64050">
        <w:t xml:space="preserve"> </w:t>
      </w:r>
      <w:r w:rsidRPr="00C25106">
        <w:t>carryovers</w:t>
      </w:r>
      <w:r w:rsidR="00C64050">
        <w:t xml:space="preserve"> </w:t>
      </w:r>
      <w:r w:rsidRPr="00C25106">
        <w:t>upon</w:t>
      </w:r>
      <w:r w:rsidR="00C64050">
        <w:t xml:space="preserve"> </w:t>
      </w:r>
      <w:r w:rsidRPr="00C25106">
        <w:t>trust</w:t>
      </w:r>
      <w:r w:rsidR="00C64050">
        <w:t xml:space="preserve"> </w:t>
      </w:r>
      <w:r w:rsidRPr="00C25106">
        <w:t>or</w:t>
      </w:r>
      <w:r w:rsidR="00C64050">
        <w:t xml:space="preserve"> </w:t>
      </w:r>
      <w:r w:rsidRPr="00C25106">
        <w:t>estate</w:t>
      </w:r>
      <w:r w:rsidR="00C64050">
        <w:t xml:space="preserve"> </w:t>
      </w:r>
      <w:r w:rsidRPr="00C25106">
        <w:t>termination</w:t>
      </w:r>
      <w:r w:rsidR="00C64050">
        <w:t xml:space="preserve"> </w:t>
      </w:r>
      <w:r w:rsidRPr="00C25106">
        <w:t>under</w:t>
      </w:r>
      <w:r w:rsidR="00C64050">
        <w:t xml:space="preserve"> </w:t>
      </w:r>
      <w:r>
        <w:t>section</w:t>
      </w:r>
      <w:r w:rsidR="00C64050">
        <w:t xml:space="preserve"> </w:t>
      </w:r>
      <w:r w:rsidRPr="00C25106">
        <w:t>642(h)(1).</w:t>
      </w:r>
      <w:r w:rsidR="00C64050">
        <w:t xml:space="preserve">  </w:t>
      </w:r>
      <w:r>
        <w:t>T</w:t>
      </w:r>
      <w:r w:rsidR="00005489">
        <w:t>he</w:t>
      </w:r>
      <w:r w:rsidR="00C64050">
        <w:t xml:space="preserve"> </w:t>
      </w:r>
      <w:r w:rsidR="00005489">
        <w:t>IRS</w:t>
      </w:r>
      <w:r w:rsidR="00C64050">
        <w:t xml:space="preserve"> </w:t>
      </w:r>
      <w:r w:rsidR="00005489">
        <w:t>and</w:t>
      </w:r>
      <w:r w:rsidR="00C64050">
        <w:t xml:space="preserve"> </w:t>
      </w:r>
      <w:r w:rsidR="00005489">
        <w:t>Treasury</w:t>
      </w:r>
      <w:r w:rsidR="00C64050">
        <w:t xml:space="preserve"> </w:t>
      </w:r>
      <w:r w:rsidR="00891FBC">
        <w:t>have</w:t>
      </w:r>
      <w:r w:rsidR="00C64050">
        <w:t xml:space="preserve"> </w:t>
      </w:r>
      <w:r w:rsidR="00891FBC">
        <w:t>issued</w:t>
      </w:r>
      <w:r w:rsidR="00C64050">
        <w:t xml:space="preserve"> </w:t>
      </w:r>
      <w:r w:rsidR="00891FBC">
        <w:t>generally</w:t>
      </w:r>
      <w:r w:rsidR="00C64050">
        <w:t xml:space="preserve"> </w:t>
      </w:r>
      <w:r w:rsidR="00891FBC">
        <w:t>taxpayer-friendly</w:t>
      </w:r>
      <w:r w:rsidR="00C64050">
        <w:t xml:space="preserve"> </w:t>
      </w:r>
      <w:r w:rsidR="00891FBC">
        <w:t>regulations</w:t>
      </w:r>
      <w:r w:rsidR="00C64050">
        <w:t xml:space="preserve"> </w:t>
      </w:r>
      <w:r w:rsidR="00891FBC">
        <w:t>dealing</w:t>
      </w:r>
      <w:r w:rsidR="00C64050">
        <w:t xml:space="preserve"> </w:t>
      </w:r>
      <w:r w:rsidR="00891FBC">
        <w:t>with</w:t>
      </w:r>
      <w:r w:rsidR="00C64050">
        <w:t xml:space="preserve"> </w:t>
      </w:r>
      <w:r w:rsidR="00891FBC">
        <w:t>section</w:t>
      </w:r>
      <w:r w:rsidR="00C64050">
        <w:t xml:space="preserve"> </w:t>
      </w:r>
      <w:r w:rsidR="00891FBC">
        <w:t>67(g).</w:t>
      </w:r>
      <w:r w:rsidR="00C64050">
        <w:t xml:space="preserve">  </w:t>
      </w:r>
      <w:r w:rsidR="009C2376">
        <w:t>T.D. 9918.</w:t>
      </w:r>
      <w:r w:rsidR="00C64050">
        <w:t xml:space="preserve">  </w:t>
      </w:r>
      <w:r w:rsidR="00891FBC">
        <w:t>The</w:t>
      </w:r>
      <w:r w:rsidR="00C64050">
        <w:t xml:space="preserve"> </w:t>
      </w:r>
      <w:r w:rsidR="00891FBC">
        <w:t>summary</w:t>
      </w:r>
      <w:r w:rsidR="00C64050">
        <w:t xml:space="preserve"> </w:t>
      </w:r>
      <w:r w:rsidR="00891FBC">
        <w:t>states:</w:t>
      </w:r>
    </w:p>
    <w:p w:rsidR="00891FBC" w:rsidRDefault="009C2376" w:rsidP="001254D2">
      <w:pPr>
        <w:pStyle w:val="QS10"/>
      </w:pPr>
      <w:r w:rsidRPr="009C2376">
        <w:t>This document contains final regulations clarifying that the following deductions allowed to an estate or non-grantor trust are not miscellaneous itemized deductions: Costs paid or incurred in connection with the administration of an estate or non-grantor trust that would not have been incurred if the property were not held in the estate or trust, the personal exemption of an estate or non-grantor trust, the distribution deduction for trusts distributing current income, and the distribution deduction for estates and trusts accumulating income. Therefore, these deductions are not affected by the suspension of the deductibility of miscellaneous itemized deductions for taxable years beginning after December 31, 2017, and before January 1, 2026. The final regulations also provide guidance on determining the character, amount, and allocation of deductions in excess of gross income succeeded to by a beneficiary on the termination of an estate or non-grantor trust. The final regulations affect estates, non-grantor trusts (including the S portion of an electing small business trust), and their beneficiaries.</w:t>
      </w:r>
    </w:p>
    <w:p w:rsidR="00005489" w:rsidRDefault="00891FBC" w:rsidP="001E7C34">
      <w:pPr>
        <w:pStyle w:val="Body15"/>
      </w:pPr>
      <w:r>
        <w:t>The</w:t>
      </w:r>
      <w:r w:rsidR="00C64050">
        <w:t xml:space="preserve"> </w:t>
      </w:r>
      <w:r w:rsidR="00BA0895">
        <w:t>final</w:t>
      </w:r>
      <w:r w:rsidR="00C64050">
        <w:t xml:space="preserve"> </w:t>
      </w:r>
      <w:r>
        <w:t>regulations</w:t>
      </w:r>
      <w:r w:rsidR="00C64050">
        <w:t xml:space="preserve"> </w:t>
      </w:r>
      <w:r w:rsidR="00BA0895">
        <w:t xml:space="preserve">amend Treas. Reg. §1.67-4(a), </w:t>
      </w:r>
      <w:r w:rsidR="00BA0895">
        <w:rPr>
          <w:u w:val="single"/>
        </w:rPr>
        <w:t>Costs paid or incurred by estates or non-grantor trusts</w:t>
      </w:r>
      <w:r w:rsidR="00BA0895">
        <w:t xml:space="preserve"> to read as follows</w:t>
      </w:r>
      <w:r>
        <w:t>:</w:t>
      </w:r>
    </w:p>
    <w:p w:rsidR="006F6915" w:rsidRPr="006F6915" w:rsidRDefault="006F6915" w:rsidP="006F6915">
      <w:pPr>
        <w:pStyle w:val="QS10"/>
      </w:pPr>
      <w:r w:rsidRPr="006F6915">
        <w:t xml:space="preserve">(a) </w:t>
      </w:r>
      <w:r>
        <w:t>Deductions — (1) S</w:t>
      </w:r>
      <w:r w:rsidRPr="006F6915">
        <w:t>ection 67(e) deductio</w:t>
      </w:r>
      <w:r>
        <w:t xml:space="preserve">ns — (i) </w:t>
      </w:r>
      <w:r w:rsidRPr="006F6915">
        <w:t>In general</w:t>
      </w:r>
      <w:r>
        <w:t xml:space="preserve">.  </w:t>
      </w:r>
      <w:r w:rsidRPr="006F6915">
        <w:t xml:space="preserve"> An estate or trust (including the S portion of an electing small business trust) not described in </w:t>
      </w:r>
      <w:hyperlink r:id="rId21" w:anchor="co_pp_34b7000062e27" w:history="1">
        <w:r w:rsidRPr="006F6915">
          <w:rPr>
            <w:rStyle w:val="Hyperlink"/>
            <w:color w:val="auto"/>
            <w:u w:val="none"/>
          </w:rPr>
          <w:t>§ 1.67-2T(g)(1)(i)</w:t>
        </w:r>
      </w:hyperlink>
      <w:r w:rsidRPr="006F6915">
        <w:t> (a non-grantor trust) must compute its adjusted gross income in the same manner as an individual, except that the following deductions (</w:t>
      </w:r>
      <w:hyperlink r:id="rId22" w:anchor="co_pp_7fdd00001ca15" w:history="1">
        <w:r w:rsidRPr="006F6915">
          <w:rPr>
            <w:rStyle w:val="Hyperlink"/>
            <w:color w:val="auto"/>
            <w:u w:val="none"/>
          </w:rPr>
          <w:t>section 67(e)</w:t>
        </w:r>
      </w:hyperlink>
      <w:r w:rsidRPr="006F6915">
        <w:t> deductions) are allowed in arriving at adjusted gross income:</w:t>
      </w:r>
    </w:p>
    <w:p w:rsidR="006F6915" w:rsidRPr="006F6915" w:rsidRDefault="006F6915" w:rsidP="006F6915">
      <w:pPr>
        <w:pStyle w:val="QS10"/>
      </w:pPr>
      <w:r w:rsidRPr="006F6915">
        <w:t>(A) Costs that are paid or incurred in connection with the administration of the estate or trust that would not have been incurred if the property were not held in such estate or trust; and</w:t>
      </w:r>
    </w:p>
    <w:p w:rsidR="006F6915" w:rsidRPr="006F6915" w:rsidRDefault="006F6915" w:rsidP="006F6915">
      <w:pPr>
        <w:pStyle w:val="QS10"/>
      </w:pPr>
      <w:r w:rsidRPr="006F6915">
        <w:t>(B) Deductions allowable under </w:t>
      </w:r>
      <w:hyperlink r:id="rId23" w:anchor="co_pp_a83b000018c76" w:history="1">
        <w:r w:rsidRPr="006F6915">
          <w:rPr>
            <w:rStyle w:val="Hyperlink"/>
            <w:color w:val="auto"/>
            <w:u w:val="none"/>
          </w:rPr>
          <w:t>section 642(b)</w:t>
        </w:r>
      </w:hyperlink>
      <w:r w:rsidRPr="006F6915">
        <w:t> (relating to the personal exemption) and </w:t>
      </w:r>
      <w:hyperlink r:id="rId24" w:history="1">
        <w:r w:rsidRPr="006F6915">
          <w:rPr>
            <w:rStyle w:val="Hyperlink"/>
            <w:color w:val="auto"/>
            <w:u w:val="none"/>
          </w:rPr>
          <w:t>sections 651</w:t>
        </w:r>
      </w:hyperlink>
      <w:r w:rsidRPr="006F6915">
        <w:t> and </w:t>
      </w:r>
      <w:hyperlink r:id="rId25" w:history="1">
        <w:r w:rsidRPr="006F6915">
          <w:rPr>
            <w:rStyle w:val="Hyperlink"/>
            <w:color w:val="auto"/>
            <w:u w:val="none"/>
          </w:rPr>
          <w:t>661</w:t>
        </w:r>
      </w:hyperlink>
      <w:r w:rsidRPr="006F6915">
        <w:t> (relating to distributions).</w:t>
      </w:r>
    </w:p>
    <w:p w:rsidR="006F6915" w:rsidRPr="006F6915" w:rsidRDefault="006F6915" w:rsidP="006F6915">
      <w:pPr>
        <w:pStyle w:val="QS10"/>
      </w:pPr>
      <w:r w:rsidRPr="006F6915">
        <w:t>(ii) Not disallowed under </w:t>
      </w:r>
      <w:hyperlink r:id="rId26" w:anchor="co_pp_16f4000091d86" w:history="1">
        <w:r w:rsidRPr="006F6915">
          <w:rPr>
            <w:rStyle w:val="Hyperlink"/>
            <w:color w:val="auto"/>
            <w:u w:val="none"/>
          </w:rPr>
          <w:t>section 67(g)</w:t>
        </w:r>
      </w:hyperlink>
      <w:r w:rsidRPr="006F6915">
        <w:t>. </w:t>
      </w:r>
      <w:hyperlink r:id="rId27" w:anchor="co_pp_7fdd00001ca15" w:history="1">
        <w:r w:rsidRPr="006F6915">
          <w:rPr>
            <w:rStyle w:val="Hyperlink"/>
            <w:color w:val="auto"/>
            <w:u w:val="none"/>
          </w:rPr>
          <w:t>Section 67(e)</w:t>
        </w:r>
      </w:hyperlink>
      <w:r w:rsidRPr="006F6915">
        <w:t> deductions are not itemized deductions under </w:t>
      </w:r>
      <w:hyperlink r:id="rId28" w:anchor="co_pp_5ba1000067d06" w:history="1">
        <w:r w:rsidRPr="006F6915">
          <w:rPr>
            <w:rStyle w:val="Hyperlink"/>
            <w:color w:val="auto"/>
            <w:u w:val="none"/>
          </w:rPr>
          <w:t>section 63(d)</w:t>
        </w:r>
      </w:hyperlink>
      <w:r w:rsidRPr="006F6915">
        <w:t> and are not miscellaneous itemized deductions under </w:t>
      </w:r>
      <w:hyperlink r:id="rId29" w:anchor="co_pp_a83b000018c76" w:history="1">
        <w:r w:rsidRPr="006F6915">
          <w:rPr>
            <w:rStyle w:val="Hyperlink"/>
            <w:color w:val="auto"/>
            <w:u w:val="none"/>
          </w:rPr>
          <w:t>section 67(b)</w:t>
        </w:r>
      </w:hyperlink>
      <w:r w:rsidRPr="006F6915">
        <w:t>. Therefore, </w:t>
      </w:r>
      <w:hyperlink r:id="rId30" w:anchor="co_pp_7fdd00001ca15" w:history="1">
        <w:r w:rsidRPr="006F6915">
          <w:rPr>
            <w:rStyle w:val="Hyperlink"/>
            <w:color w:val="auto"/>
            <w:u w:val="none"/>
          </w:rPr>
          <w:t>section 67(e)</w:t>
        </w:r>
      </w:hyperlink>
      <w:r w:rsidRPr="006F6915">
        <w:t> deductions are not disallowed under </w:t>
      </w:r>
      <w:hyperlink r:id="rId31" w:anchor="co_pp_16f4000091d86" w:history="1">
        <w:r w:rsidRPr="006F6915">
          <w:rPr>
            <w:rStyle w:val="Hyperlink"/>
            <w:color w:val="auto"/>
            <w:u w:val="none"/>
          </w:rPr>
          <w:t>section 67(g)</w:t>
        </w:r>
      </w:hyperlink>
      <w:r w:rsidRPr="006F6915">
        <w:t>.</w:t>
      </w:r>
    </w:p>
    <w:p w:rsidR="006F6915" w:rsidRDefault="006F6915" w:rsidP="006F6915">
      <w:pPr>
        <w:pStyle w:val="QS10"/>
      </w:pPr>
      <w:r w:rsidRPr="006F6915">
        <w:t>(2) Deductions subject to 2-percent floor. A cost is not a </w:t>
      </w:r>
      <w:hyperlink r:id="rId32" w:anchor="co_pp_7fdd00001ca15" w:history="1">
        <w:r w:rsidRPr="006F6915">
          <w:rPr>
            <w:rStyle w:val="Hyperlink"/>
            <w:color w:val="auto"/>
            <w:u w:val="none"/>
          </w:rPr>
          <w:t>section 67(e)</w:t>
        </w:r>
      </w:hyperlink>
      <w:r w:rsidRPr="006F6915">
        <w:t> deduction and thus is subject to both the 2-percent floor in </w:t>
      </w:r>
      <w:hyperlink r:id="rId33" w:anchor="co_pp_8b3b0000958a4" w:history="1">
        <w:r w:rsidRPr="006F6915">
          <w:rPr>
            <w:rStyle w:val="Hyperlink"/>
            <w:color w:val="auto"/>
            <w:u w:val="none"/>
          </w:rPr>
          <w:t>section 67(a)</w:t>
        </w:r>
      </w:hyperlink>
      <w:r w:rsidRPr="006F6915">
        <w:t> and </w:t>
      </w:r>
      <w:hyperlink r:id="rId34" w:anchor="co_pp_16f4000091d86" w:history="1">
        <w:r w:rsidRPr="006F6915">
          <w:rPr>
            <w:rStyle w:val="Hyperlink"/>
            <w:color w:val="auto"/>
            <w:u w:val="none"/>
          </w:rPr>
          <w:t>section 67(g)</w:t>
        </w:r>
      </w:hyperlink>
      <w:r w:rsidRPr="006F6915">
        <w:t> to the extent that it is included in the definition of miscellaneous itemized deductions under </w:t>
      </w:r>
      <w:hyperlink r:id="rId35" w:anchor="co_pp_a83b000018c76" w:history="1">
        <w:r w:rsidRPr="006F6915">
          <w:rPr>
            <w:rStyle w:val="Hyperlink"/>
            <w:color w:val="auto"/>
            <w:u w:val="none"/>
          </w:rPr>
          <w:t>section 67(b)</w:t>
        </w:r>
      </w:hyperlink>
      <w:r w:rsidRPr="006F6915">
        <w:t>, is incurred by an estate or non-grantor trust (including the S portion of an electing small business trust), and commonly or customarily would be incurred by a hypothetical individual holding the same property.</w:t>
      </w:r>
    </w:p>
    <w:p w:rsidR="00981D2C" w:rsidRDefault="00981D2C" w:rsidP="007469BB">
      <w:pPr>
        <w:pStyle w:val="Body15"/>
      </w:pPr>
      <w:r>
        <w:t>The most interesting aspect of the final regulations is the ability to pass out unused deductions</w:t>
      </w:r>
      <w:r w:rsidR="00AF688B">
        <w:t xml:space="preserve"> when an estate or trust terminates</w:t>
      </w:r>
      <w:r>
        <w:t>.  The Summary to the final regulations stated as follows:</w:t>
      </w:r>
    </w:p>
    <w:p w:rsidR="00981D2C" w:rsidRPr="00981D2C" w:rsidRDefault="00981D2C" w:rsidP="00981D2C">
      <w:pPr>
        <w:pStyle w:val="QS10"/>
      </w:pPr>
      <w:r w:rsidRPr="00981D2C">
        <w:t>1. In General</w:t>
      </w:r>
    </w:p>
    <w:p w:rsidR="00981D2C" w:rsidRPr="00981D2C" w:rsidRDefault="00981D2C" w:rsidP="00981D2C">
      <w:pPr>
        <w:pStyle w:val="QS10"/>
      </w:pPr>
      <w:r w:rsidRPr="00981D2C">
        <w:t>Section 642(h) provides that if, on the termination of an estate or trust, the estate or trust has: (1) A net operating loss carryover under section 172 or a capital loss carryover under section 1212, or (2) for the last taxable year of the estate or trust, deductions (other than the deductions allowed under section 642(b) (relating to the personal exemption) or section 642(c) (relating to charitable contributions)) in excess of gross income for such year, then such carryover or excess will be allowed as a deduction, in accordance with the regulations prescribed by the Secretary of the Treasury or his delegate (Secretary), to the beneficiaries succeeding to the property of the estate or trust.</w:t>
      </w:r>
    </w:p>
    <w:p w:rsidR="00981D2C" w:rsidRPr="00981D2C" w:rsidRDefault="00981D2C" w:rsidP="00981D2C">
      <w:pPr>
        <w:pStyle w:val="QS10"/>
      </w:pPr>
      <w:r w:rsidRPr="00981D2C">
        <w:t>Section 1.642(h)-2(a), as articulated in the proposed regulations and these final regulations, provides that if, on termination of an estate or trust, the estate or trust has for its last taxable year deductions (other than the deductions allowed under section 642(b) or section 642(c)) in excess of gross income, the excess deductions are allowed under section 642(h)(2) as items of deduction to the beneficiaries succeeding to the property of the terminated estate or trust.</w:t>
      </w:r>
    </w:p>
    <w:p w:rsidR="00981D2C" w:rsidRPr="00981D2C" w:rsidRDefault="00981D2C" w:rsidP="00981D2C">
      <w:pPr>
        <w:pStyle w:val="QS10"/>
      </w:pPr>
      <w:r w:rsidRPr="00981D2C">
        <w:t>2. Character and Amount of Excess Deductions</w:t>
      </w:r>
    </w:p>
    <w:p w:rsidR="00981D2C" w:rsidRPr="00981D2C" w:rsidRDefault="00981D2C" w:rsidP="00981D2C">
      <w:pPr>
        <w:pStyle w:val="QS10"/>
      </w:pPr>
      <w:r w:rsidRPr="00981D2C">
        <w:t>Section 1.642(h)-2(b)(1) of the proposed regulations provides that each deduction comprising the excess deductions under section 642(h)(2) retains, in the hands of the beneficiary, its character (specifically, as allowable in arriving at adjusted gross income, as a non-miscellaneous itemized deduction, or as a miscellaneous itemized deduction) while in the estate or trust. The character of these deductions does not change when succeeded to by a beneficiary on termination of the estate or trust. Furthermore, an item of deduction succeeded to by a beneficiary remains subject to any limitation applicable under the Code in the computation of the beneficiary's tax liability.</w:t>
      </w:r>
    </w:p>
    <w:p w:rsidR="00981D2C" w:rsidRDefault="00981D2C" w:rsidP="007469BB">
      <w:pPr>
        <w:pStyle w:val="Body15"/>
      </w:pPr>
      <w:r>
        <w:t>The final regulations contain two examples explaining the operation of these rules:</w:t>
      </w:r>
    </w:p>
    <w:p w:rsidR="00566A85" w:rsidRPr="00566A85" w:rsidRDefault="00566A85" w:rsidP="00566A85">
      <w:pPr>
        <w:pStyle w:val="QS10"/>
      </w:pPr>
      <w:r w:rsidRPr="00566A85">
        <w:t>§ 1.642(h)-5 Examples.</w:t>
      </w:r>
    </w:p>
    <w:p w:rsidR="00566A85" w:rsidRPr="00566A85" w:rsidRDefault="00566A85" w:rsidP="00566A85">
      <w:pPr>
        <w:pStyle w:val="QS10"/>
      </w:pPr>
      <w:r w:rsidRPr="00566A85">
        <w:t>Paragraphs (a) and (b) of this section (Examples 1 and 2) illustrate the application of section 642(h).</w:t>
      </w:r>
    </w:p>
    <w:p w:rsidR="00566A85" w:rsidRPr="00566A85" w:rsidRDefault="00566A85" w:rsidP="00566A85">
      <w:pPr>
        <w:pStyle w:val="QS10"/>
      </w:pPr>
      <w:r w:rsidRPr="00566A85">
        <w:t>(a) Example 1: Computations under section 642(h) when an estate has a net operating loss—(1) Facts. On January 31, 2020, A dies leaving a will that provides for the distribution of all of A's estate equally to B and an existing trust for C. The period of administration of the estate terminates on December 31, 2020, at which time all the property of the estate is distributed to B and the trust. For tax purposes, B and the trust report income on a calendar year basis. During the period of administration, the estate has the following items of income and deductions:</w:t>
      </w:r>
    </w:p>
    <w:p w:rsidR="009E5ED9" w:rsidRDefault="009E5ED9">
      <w:r>
        <w:br w:type="page"/>
      </w:r>
    </w:p>
    <w:tbl>
      <w:tblPr>
        <w:tblW w:w="0" w:type="auto"/>
        <w:tblInd w:w="1470" w:type="dxa"/>
        <w:tblCellMar>
          <w:top w:w="15" w:type="dxa"/>
          <w:left w:w="15" w:type="dxa"/>
          <w:bottom w:w="15" w:type="dxa"/>
          <w:right w:w="15" w:type="dxa"/>
        </w:tblCellMar>
        <w:tblLook w:val="04A0" w:firstRow="1" w:lastRow="0" w:firstColumn="1" w:lastColumn="0" w:noHBand="0" w:noVBand="1"/>
      </w:tblPr>
      <w:tblGrid>
        <w:gridCol w:w="1590"/>
        <w:gridCol w:w="4860"/>
      </w:tblGrid>
      <w:tr w:rsidR="00566A85" w:rsidRPr="00566A85" w:rsidTr="008B303B">
        <w:tc>
          <w:tcPr>
            <w:tcW w:w="6450" w:type="dxa"/>
            <w:gridSpan w:val="2"/>
            <w:tcBorders>
              <w:top w:val="nil"/>
              <w:left w:val="nil"/>
              <w:bottom w:val="single" w:sz="6" w:space="0" w:color="CCCCCC"/>
              <w:right w:val="nil"/>
            </w:tcBorders>
            <w:tcMar>
              <w:top w:w="0" w:type="dxa"/>
              <w:left w:w="36" w:type="dxa"/>
              <w:bottom w:w="0" w:type="dxa"/>
              <w:right w:w="36" w:type="dxa"/>
            </w:tcMar>
            <w:hideMark/>
          </w:tcPr>
          <w:p w:rsidR="00566A85" w:rsidRPr="00F3384B" w:rsidRDefault="00566A85" w:rsidP="008B303B">
            <w:pPr>
              <w:tabs>
                <w:tab w:val="left" w:pos="720"/>
              </w:tabs>
              <w:jc w:val="center"/>
              <w:divId w:val="214508098"/>
              <w:rPr>
                <w:b/>
                <w:szCs w:val="20"/>
                <w:u w:val="single"/>
              </w:rPr>
            </w:pPr>
            <w:r w:rsidRPr="00F3384B">
              <w:rPr>
                <w:b/>
                <w:bCs w:val="0"/>
                <w:szCs w:val="20"/>
                <w:u w:val="single"/>
              </w:rPr>
              <w:t>Table 1 to Paragraph (a)(1)</w:t>
            </w:r>
          </w:p>
        </w:tc>
      </w:tr>
      <w:tr w:rsidR="00566A85" w:rsidRPr="00566A85" w:rsidTr="008B303B">
        <w:tc>
          <w:tcPr>
            <w:tcW w:w="1590" w:type="dxa"/>
            <w:tcBorders>
              <w:top w:val="nil"/>
              <w:left w:val="nil"/>
              <w:bottom w:val="single" w:sz="6" w:space="0" w:color="CCCCCC"/>
              <w:right w:val="nil"/>
            </w:tcBorders>
            <w:tcMar>
              <w:top w:w="0" w:type="dxa"/>
              <w:left w:w="36" w:type="dxa"/>
              <w:bottom w:w="0" w:type="dxa"/>
              <w:right w:w="36" w:type="dxa"/>
            </w:tcMar>
            <w:hideMark/>
          </w:tcPr>
          <w:p w:rsidR="00566A85" w:rsidRPr="00566A85" w:rsidRDefault="00566A85">
            <w:pPr>
              <w:jc w:val="center"/>
              <w:rPr>
                <w:b/>
                <w:bCs w:val="0"/>
                <w:szCs w:val="20"/>
              </w:rPr>
            </w:pPr>
          </w:p>
        </w:tc>
        <w:tc>
          <w:tcPr>
            <w:tcW w:w="4860" w:type="dxa"/>
            <w:tcBorders>
              <w:top w:val="nil"/>
              <w:left w:val="nil"/>
              <w:bottom w:val="single" w:sz="6" w:space="0" w:color="CCCCCC"/>
              <w:right w:val="nil"/>
            </w:tcBorders>
            <w:tcMar>
              <w:top w:w="0" w:type="dxa"/>
              <w:left w:w="36" w:type="dxa"/>
              <w:bottom w:w="0" w:type="dxa"/>
              <w:right w:w="36" w:type="dxa"/>
            </w:tcMar>
            <w:hideMark/>
          </w:tcPr>
          <w:p w:rsidR="00566A85" w:rsidRPr="00566A85" w:rsidRDefault="00566A85">
            <w:pPr>
              <w:jc w:val="center"/>
              <w:rPr>
                <w:szCs w:val="20"/>
              </w:rPr>
            </w:pPr>
          </w:p>
        </w:tc>
      </w:tr>
      <w:tr w:rsidR="00566A85" w:rsidRPr="00566A85" w:rsidTr="008B303B">
        <w:tc>
          <w:tcPr>
            <w:tcW w:w="1590" w:type="dxa"/>
            <w:tcBorders>
              <w:top w:val="nil"/>
              <w:left w:val="nil"/>
              <w:bottom w:val="nil"/>
              <w:right w:val="nil"/>
            </w:tcBorders>
            <w:tcMar>
              <w:top w:w="0" w:type="dxa"/>
              <w:left w:w="36" w:type="dxa"/>
              <w:bottom w:w="0" w:type="dxa"/>
              <w:right w:w="36" w:type="dxa"/>
            </w:tcMar>
            <w:hideMark/>
          </w:tcPr>
          <w:p w:rsidR="00566A85" w:rsidRPr="00566A85" w:rsidRDefault="00566A85" w:rsidP="00566A85">
            <w:pPr>
              <w:rPr>
                <w:szCs w:val="20"/>
              </w:rPr>
            </w:pPr>
            <w:r w:rsidRPr="008B303B">
              <w:rPr>
                <w:szCs w:val="20"/>
                <w:u w:val="single"/>
              </w:rPr>
              <w:t>Income</w:t>
            </w:r>
            <w:r w:rsidRPr="00566A85">
              <w:rPr>
                <w:szCs w:val="20"/>
              </w:rPr>
              <w:t>:</w:t>
            </w:r>
          </w:p>
        </w:tc>
        <w:tc>
          <w:tcPr>
            <w:tcW w:w="4860" w:type="dxa"/>
            <w:tcBorders>
              <w:top w:val="nil"/>
              <w:left w:val="nil"/>
              <w:bottom w:val="nil"/>
              <w:right w:val="nil"/>
            </w:tcBorders>
            <w:tcMar>
              <w:top w:w="0" w:type="dxa"/>
              <w:left w:w="36" w:type="dxa"/>
              <w:bottom w:w="0" w:type="dxa"/>
              <w:right w:w="36" w:type="dxa"/>
            </w:tcMar>
            <w:hideMark/>
          </w:tcPr>
          <w:p w:rsidR="00566A85" w:rsidRPr="00566A85" w:rsidRDefault="00566A85">
            <w:pPr>
              <w:rPr>
                <w:szCs w:val="20"/>
              </w:rPr>
            </w:pPr>
          </w:p>
        </w:tc>
      </w:tr>
      <w:tr w:rsidR="00566A85" w:rsidRPr="00566A85" w:rsidTr="008B303B">
        <w:tc>
          <w:tcPr>
            <w:tcW w:w="1590" w:type="dxa"/>
            <w:tcBorders>
              <w:top w:val="nil"/>
              <w:left w:val="nil"/>
              <w:bottom w:val="nil"/>
              <w:right w:val="nil"/>
            </w:tcBorders>
            <w:tcMar>
              <w:top w:w="0" w:type="dxa"/>
              <w:left w:w="36" w:type="dxa"/>
              <w:bottom w:w="0" w:type="dxa"/>
              <w:right w:w="36" w:type="dxa"/>
            </w:tcMar>
            <w:hideMark/>
          </w:tcPr>
          <w:p w:rsidR="00566A85" w:rsidRPr="00566A85" w:rsidRDefault="00566A85" w:rsidP="00566A85">
            <w:pPr>
              <w:rPr>
                <w:szCs w:val="20"/>
              </w:rPr>
            </w:pPr>
            <w:r w:rsidRPr="00566A85">
              <w:rPr>
                <w:szCs w:val="20"/>
              </w:rPr>
              <w:t>Taxable interest</w:t>
            </w:r>
          </w:p>
        </w:tc>
        <w:tc>
          <w:tcPr>
            <w:tcW w:w="4860" w:type="dxa"/>
            <w:tcBorders>
              <w:top w:val="nil"/>
              <w:left w:val="nil"/>
              <w:bottom w:val="nil"/>
              <w:right w:val="nil"/>
            </w:tcBorders>
            <w:tcMar>
              <w:top w:w="0" w:type="dxa"/>
              <w:left w:w="36" w:type="dxa"/>
              <w:bottom w:w="0" w:type="dxa"/>
              <w:right w:w="36" w:type="dxa"/>
            </w:tcMar>
            <w:hideMark/>
          </w:tcPr>
          <w:p w:rsidR="00566A85" w:rsidRPr="00566A85" w:rsidRDefault="008B303B" w:rsidP="008B303B">
            <w:pPr>
              <w:rPr>
                <w:szCs w:val="20"/>
              </w:rPr>
            </w:pPr>
            <w:r>
              <w:rPr>
                <w:szCs w:val="20"/>
              </w:rPr>
              <w:tab/>
            </w:r>
            <w:r>
              <w:rPr>
                <w:szCs w:val="20"/>
              </w:rPr>
              <w:tab/>
            </w:r>
            <w:r>
              <w:rPr>
                <w:szCs w:val="20"/>
              </w:rPr>
              <w:tab/>
            </w:r>
            <w:r>
              <w:rPr>
                <w:szCs w:val="20"/>
              </w:rPr>
              <w:tab/>
            </w:r>
            <w:r w:rsidR="007C4C43">
              <w:rPr>
                <w:szCs w:val="20"/>
              </w:rPr>
              <w:t xml:space="preserve">     </w:t>
            </w:r>
            <w:r w:rsidR="00566A85" w:rsidRPr="00566A85">
              <w:rPr>
                <w:szCs w:val="20"/>
              </w:rPr>
              <w:t>$2,500</w:t>
            </w:r>
          </w:p>
        </w:tc>
      </w:tr>
      <w:tr w:rsidR="00566A85" w:rsidRPr="00566A85" w:rsidTr="008B303B">
        <w:tc>
          <w:tcPr>
            <w:tcW w:w="1590" w:type="dxa"/>
            <w:tcBorders>
              <w:top w:val="nil"/>
              <w:left w:val="nil"/>
              <w:bottom w:val="nil"/>
              <w:right w:val="nil"/>
            </w:tcBorders>
            <w:tcMar>
              <w:top w:w="0" w:type="dxa"/>
              <w:left w:w="36" w:type="dxa"/>
              <w:bottom w:w="0" w:type="dxa"/>
              <w:right w:w="36" w:type="dxa"/>
            </w:tcMar>
            <w:hideMark/>
          </w:tcPr>
          <w:p w:rsidR="00566A85" w:rsidRPr="00566A85" w:rsidRDefault="00566A85" w:rsidP="00566A85">
            <w:pPr>
              <w:rPr>
                <w:szCs w:val="20"/>
              </w:rPr>
            </w:pPr>
            <w:r w:rsidRPr="00566A85">
              <w:rPr>
                <w:szCs w:val="20"/>
              </w:rPr>
              <w:t>Business income</w:t>
            </w:r>
          </w:p>
        </w:tc>
        <w:tc>
          <w:tcPr>
            <w:tcW w:w="4860" w:type="dxa"/>
            <w:tcBorders>
              <w:top w:val="nil"/>
              <w:left w:val="nil"/>
              <w:bottom w:val="nil"/>
              <w:right w:val="nil"/>
            </w:tcBorders>
            <w:tcMar>
              <w:top w:w="0" w:type="dxa"/>
              <w:left w:w="36" w:type="dxa"/>
              <w:bottom w:w="0" w:type="dxa"/>
              <w:right w:w="36" w:type="dxa"/>
            </w:tcMar>
            <w:hideMark/>
          </w:tcPr>
          <w:p w:rsidR="00566A85" w:rsidRPr="008B303B" w:rsidRDefault="008B303B" w:rsidP="008B303B">
            <w:pPr>
              <w:rPr>
                <w:szCs w:val="20"/>
                <w:u w:val="single"/>
              </w:rPr>
            </w:pPr>
            <w:r>
              <w:rPr>
                <w:szCs w:val="20"/>
              </w:rPr>
              <w:tab/>
            </w:r>
            <w:r>
              <w:rPr>
                <w:szCs w:val="20"/>
              </w:rPr>
              <w:tab/>
            </w:r>
            <w:r>
              <w:rPr>
                <w:szCs w:val="20"/>
              </w:rPr>
              <w:tab/>
            </w:r>
            <w:r>
              <w:rPr>
                <w:szCs w:val="20"/>
              </w:rPr>
              <w:tab/>
              <w:t xml:space="preserve"> </w:t>
            </w:r>
            <w:r w:rsidR="007C4C43">
              <w:rPr>
                <w:szCs w:val="20"/>
              </w:rPr>
              <w:t xml:space="preserve">     </w:t>
            </w:r>
            <w:r>
              <w:rPr>
                <w:szCs w:val="20"/>
              </w:rPr>
              <w:t xml:space="preserve"> </w:t>
            </w:r>
            <w:r w:rsidR="00566A85" w:rsidRPr="008B303B">
              <w:rPr>
                <w:szCs w:val="20"/>
                <w:u w:val="single"/>
              </w:rPr>
              <w:t>3,000</w:t>
            </w:r>
          </w:p>
        </w:tc>
      </w:tr>
      <w:tr w:rsidR="00566A85" w:rsidRPr="00566A85" w:rsidTr="008B303B">
        <w:tc>
          <w:tcPr>
            <w:tcW w:w="1590" w:type="dxa"/>
            <w:tcBorders>
              <w:top w:val="nil"/>
              <w:left w:val="nil"/>
              <w:bottom w:val="single" w:sz="6" w:space="0" w:color="CCCCCC"/>
              <w:right w:val="nil"/>
            </w:tcBorders>
            <w:tcMar>
              <w:top w:w="0" w:type="dxa"/>
              <w:left w:w="36" w:type="dxa"/>
              <w:bottom w:w="0" w:type="dxa"/>
              <w:right w:w="36" w:type="dxa"/>
            </w:tcMar>
            <w:hideMark/>
          </w:tcPr>
          <w:p w:rsidR="008B303B" w:rsidRDefault="008B303B" w:rsidP="00566A85">
            <w:pPr>
              <w:rPr>
                <w:szCs w:val="20"/>
              </w:rPr>
            </w:pPr>
          </w:p>
          <w:p w:rsidR="00566A85" w:rsidRPr="00566A85" w:rsidRDefault="00566A85" w:rsidP="00566A85">
            <w:pPr>
              <w:rPr>
                <w:szCs w:val="20"/>
              </w:rPr>
            </w:pPr>
            <w:r w:rsidRPr="00566A85">
              <w:rPr>
                <w:szCs w:val="20"/>
              </w:rPr>
              <w:t>Total income</w:t>
            </w:r>
          </w:p>
        </w:tc>
        <w:tc>
          <w:tcPr>
            <w:tcW w:w="4860" w:type="dxa"/>
            <w:tcBorders>
              <w:top w:val="nil"/>
              <w:left w:val="nil"/>
              <w:bottom w:val="single" w:sz="6" w:space="0" w:color="CCCCCC"/>
              <w:right w:val="nil"/>
            </w:tcBorders>
            <w:tcMar>
              <w:top w:w="0" w:type="dxa"/>
              <w:left w:w="36" w:type="dxa"/>
              <w:bottom w:w="0" w:type="dxa"/>
              <w:right w:w="36" w:type="dxa"/>
            </w:tcMar>
            <w:hideMark/>
          </w:tcPr>
          <w:p w:rsidR="008B303B" w:rsidRDefault="008B303B" w:rsidP="00566A85">
            <w:pPr>
              <w:jc w:val="right"/>
              <w:rPr>
                <w:szCs w:val="20"/>
              </w:rPr>
            </w:pPr>
          </w:p>
          <w:p w:rsidR="00566A85" w:rsidRPr="00566A85" w:rsidRDefault="00566A85" w:rsidP="00566A85">
            <w:pPr>
              <w:jc w:val="right"/>
              <w:rPr>
                <w:szCs w:val="20"/>
              </w:rPr>
            </w:pPr>
            <w:r w:rsidRPr="00566A85">
              <w:rPr>
                <w:szCs w:val="20"/>
              </w:rPr>
              <w:t>5,500</w:t>
            </w:r>
          </w:p>
        </w:tc>
      </w:tr>
    </w:tbl>
    <w:p w:rsidR="008B303B" w:rsidRDefault="008B303B" w:rsidP="00566A85">
      <w:pPr>
        <w:rPr>
          <w:rFonts w:ascii="Arial" w:hAnsi="Arial" w:cs="Arial"/>
          <w:vanish/>
          <w:color w:val="212121"/>
          <w:szCs w:val="20"/>
        </w:rPr>
      </w:pPr>
    </w:p>
    <w:tbl>
      <w:tblPr>
        <w:tblW w:w="0" w:type="auto"/>
        <w:tblInd w:w="1440" w:type="dxa"/>
        <w:tblCellMar>
          <w:top w:w="15" w:type="dxa"/>
          <w:left w:w="15" w:type="dxa"/>
          <w:bottom w:w="15" w:type="dxa"/>
          <w:right w:w="15" w:type="dxa"/>
        </w:tblCellMar>
        <w:tblLook w:val="04A0" w:firstRow="1" w:lastRow="0" w:firstColumn="1" w:lastColumn="0" w:noHBand="0" w:noVBand="1"/>
      </w:tblPr>
      <w:tblGrid>
        <w:gridCol w:w="3659"/>
        <w:gridCol w:w="2821"/>
      </w:tblGrid>
      <w:tr w:rsidR="00566A85" w:rsidRPr="00566A85" w:rsidTr="008B303B">
        <w:tc>
          <w:tcPr>
            <w:tcW w:w="6480" w:type="dxa"/>
            <w:gridSpan w:val="2"/>
            <w:tcBorders>
              <w:top w:val="nil"/>
              <w:left w:val="nil"/>
              <w:bottom w:val="single" w:sz="6" w:space="0" w:color="CCCCCC"/>
              <w:right w:val="nil"/>
            </w:tcBorders>
            <w:tcMar>
              <w:top w:w="0" w:type="dxa"/>
              <w:left w:w="36" w:type="dxa"/>
              <w:bottom w:w="0" w:type="dxa"/>
              <w:right w:w="36" w:type="dxa"/>
            </w:tcMar>
            <w:hideMark/>
          </w:tcPr>
          <w:p w:rsidR="00566A85" w:rsidRPr="00F3384B" w:rsidRDefault="00566A85">
            <w:pPr>
              <w:jc w:val="center"/>
              <w:divId w:val="1652564385"/>
              <w:rPr>
                <w:b/>
                <w:szCs w:val="20"/>
                <w:u w:val="single"/>
              </w:rPr>
            </w:pPr>
            <w:r w:rsidRPr="00F3384B">
              <w:rPr>
                <w:b/>
                <w:bCs w:val="0"/>
                <w:szCs w:val="20"/>
                <w:u w:val="single"/>
              </w:rPr>
              <w:t>Table 2 to Paragraph (a)(1)</w:t>
            </w:r>
          </w:p>
        </w:tc>
      </w:tr>
      <w:tr w:rsidR="00566A85" w:rsidRPr="00566A85" w:rsidTr="008B303B">
        <w:tc>
          <w:tcPr>
            <w:tcW w:w="3659" w:type="dxa"/>
            <w:tcBorders>
              <w:top w:val="nil"/>
              <w:left w:val="nil"/>
              <w:bottom w:val="single" w:sz="6" w:space="0" w:color="CCCCCC"/>
              <w:right w:val="nil"/>
            </w:tcBorders>
            <w:tcMar>
              <w:top w:w="0" w:type="dxa"/>
              <w:left w:w="36" w:type="dxa"/>
              <w:bottom w:w="0" w:type="dxa"/>
              <w:right w:w="36" w:type="dxa"/>
            </w:tcMar>
            <w:hideMark/>
          </w:tcPr>
          <w:p w:rsidR="00566A85" w:rsidRPr="00566A85" w:rsidRDefault="00566A85">
            <w:pPr>
              <w:jc w:val="center"/>
              <w:rPr>
                <w:b/>
                <w:bCs w:val="0"/>
                <w:szCs w:val="20"/>
              </w:rPr>
            </w:pPr>
          </w:p>
        </w:tc>
        <w:tc>
          <w:tcPr>
            <w:tcW w:w="2821" w:type="dxa"/>
            <w:tcBorders>
              <w:top w:val="nil"/>
              <w:left w:val="nil"/>
              <w:bottom w:val="single" w:sz="6" w:space="0" w:color="CCCCCC"/>
              <w:right w:val="nil"/>
            </w:tcBorders>
            <w:tcMar>
              <w:top w:w="0" w:type="dxa"/>
              <w:left w:w="36" w:type="dxa"/>
              <w:bottom w:w="0" w:type="dxa"/>
              <w:right w:w="36" w:type="dxa"/>
            </w:tcMar>
            <w:hideMark/>
          </w:tcPr>
          <w:p w:rsidR="00566A85" w:rsidRPr="00566A85" w:rsidRDefault="00566A85">
            <w:pPr>
              <w:jc w:val="center"/>
              <w:rPr>
                <w:szCs w:val="20"/>
              </w:rPr>
            </w:pPr>
          </w:p>
        </w:tc>
      </w:tr>
      <w:tr w:rsidR="00566A85" w:rsidRPr="00566A85" w:rsidTr="008B303B">
        <w:tc>
          <w:tcPr>
            <w:tcW w:w="3659" w:type="dxa"/>
            <w:tcBorders>
              <w:top w:val="nil"/>
              <w:left w:val="nil"/>
              <w:bottom w:val="nil"/>
              <w:right w:val="nil"/>
            </w:tcBorders>
            <w:tcMar>
              <w:top w:w="0" w:type="dxa"/>
              <w:left w:w="36" w:type="dxa"/>
              <w:bottom w:w="0" w:type="dxa"/>
              <w:right w:w="36" w:type="dxa"/>
            </w:tcMar>
            <w:hideMark/>
          </w:tcPr>
          <w:p w:rsidR="00566A85" w:rsidRPr="00566A85" w:rsidRDefault="00566A85" w:rsidP="00566A85">
            <w:pPr>
              <w:rPr>
                <w:szCs w:val="20"/>
              </w:rPr>
            </w:pPr>
            <w:r w:rsidRPr="008B303B">
              <w:rPr>
                <w:szCs w:val="20"/>
                <w:u w:val="single"/>
              </w:rPr>
              <w:t>Deductions</w:t>
            </w:r>
            <w:r w:rsidRPr="00566A85">
              <w:rPr>
                <w:szCs w:val="20"/>
              </w:rPr>
              <w:t>:</w:t>
            </w:r>
          </w:p>
        </w:tc>
        <w:tc>
          <w:tcPr>
            <w:tcW w:w="2821" w:type="dxa"/>
            <w:tcBorders>
              <w:top w:val="nil"/>
              <w:left w:val="nil"/>
              <w:bottom w:val="nil"/>
              <w:right w:val="nil"/>
            </w:tcBorders>
            <w:tcMar>
              <w:top w:w="0" w:type="dxa"/>
              <w:left w:w="36" w:type="dxa"/>
              <w:bottom w:w="0" w:type="dxa"/>
              <w:right w:w="36" w:type="dxa"/>
            </w:tcMar>
            <w:hideMark/>
          </w:tcPr>
          <w:p w:rsidR="00566A85" w:rsidRPr="00566A85" w:rsidRDefault="00566A85">
            <w:pPr>
              <w:rPr>
                <w:szCs w:val="20"/>
              </w:rPr>
            </w:pPr>
          </w:p>
        </w:tc>
      </w:tr>
      <w:tr w:rsidR="00566A85" w:rsidRPr="00566A85" w:rsidTr="008B303B">
        <w:tc>
          <w:tcPr>
            <w:tcW w:w="3659" w:type="dxa"/>
            <w:tcBorders>
              <w:top w:val="nil"/>
              <w:left w:val="nil"/>
              <w:bottom w:val="nil"/>
              <w:right w:val="nil"/>
            </w:tcBorders>
            <w:tcMar>
              <w:top w:w="0" w:type="dxa"/>
              <w:left w:w="36" w:type="dxa"/>
              <w:bottom w:w="0" w:type="dxa"/>
              <w:right w:w="36" w:type="dxa"/>
            </w:tcMar>
            <w:hideMark/>
          </w:tcPr>
          <w:p w:rsidR="008B303B" w:rsidRDefault="00566A85" w:rsidP="00566A85">
            <w:pPr>
              <w:rPr>
                <w:szCs w:val="20"/>
              </w:rPr>
            </w:pPr>
            <w:r w:rsidRPr="00566A85">
              <w:rPr>
                <w:szCs w:val="20"/>
              </w:rPr>
              <w:t xml:space="preserve">Business expenses (including administrative </w:t>
            </w:r>
          </w:p>
          <w:p w:rsidR="00566A85" w:rsidRPr="00566A85" w:rsidRDefault="00566A85" w:rsidP="00566A85">
            <w:pPr>
              <w:rPr>
                <w:szCs w:val="20"/>
              </w:rPr>
            </w:pPr>
            <w:r w:rsidRPr="00566A85">
              <w:rPr>
                <w:szCs w:val="20"/>
              </w:rPr>
              <w:t>expense allocable to business income)</w:t>
            </w:r>
          </w:p>
        </w:tc>
        <w:tc>
          <w:tcPr>
            <w:tcW w:w="2821" w:type="dxa"/>
            <w:tcBorders>
              <w:top w:val="nil"/>
              <w:left w:val="nil"/>
              <w:bottom w:val="nil"/>
              <w:right w:val="nil"/>
            </w:tcBorders>
            <w:tcMar>
              <w:top w:w="0" w:type="dxa"/>
              <w:left w:w="36" w:type="dxa"/>
              <w:bottom w:w="0" w:type="dxa"/>
              <w:right w:w="36" w:type="dxa"/>
            </w:tcMar>
            <w:hideMark/>
          </w:tcPr>
          <w:p w:rsidR="00566A85" w:rsidRPr="00566A85" w:rsidRDefault="008B303B" w:rsidP="008B303B">
            <w:pPr>
              <w:rPr>
                <w:szCs w:val="20"/>
              </w:rPr>
            </w:pPr>
            <w:r>
              <w:rPr>
                <w:szCs w:val="20"/>
              </w:rPr>
              <w:tab/>
            </w:r>
            <w:r>
              <w:rPr>
                <w:szCs w:val="20"/>
              </w:rPr>
              <w:tab/>
            </w:r>
            <w:r w:rsidR="00566A85" w:rsidRPr="00566A85">
              <w:rPr>
                <w:szCs w:val="20"/>
              </w:rPr>
              <w:t>5,000</w:t>
            </w:r>
          </w:p>
        </w:tc>
      </w:tr>
      <w:tr w:rsidR="00566A85" w:rsidRPr="00566A85" w:rsidTr="008B303B">
        <w:tc>
          <w:tcPr>
            <w:tcW w:w="3659" w:type="dxa"/>
            <w:tcBorders>
              <w:top w:val="nil"/>
              <w:left w:val="nil"/>
              <w:bottom w:val="nil"/>
              <w:right w:val="nil"/>
            </w:tcBorders>
            <w:tcMar>
              <w:top w:w="0" w:type="dxa"/>
              <w:left w:w="36" w:type="dxa"/>
              <w:bottom w:w="0" w:type="dxa"/>
              <w:right w:w="36" w:type="dxa"/>
            </w:tcMar>
            <w:hideMark/>
          </w:tcPr>
          <w:p w:rsidR="008B303B" w:rsidRDefault="008B303B" w:rsidP="008B303B">
            <w:pPr>
              <w:rPr>
                <w:szCs w:val="20"/>
              </w:rPr>
            </w:pPr>
          </w:p>
          <w:p w:rsidR="00566A85" w:rsidRPr="00566A85" w:rsidRDefault="00566A85" w:rsidP="008B303B">
            <w:pPr>
              <w:rPr>
                <w:szCs w:val="20"/>
              </w:rPr>
            </w:pPr>
            <w:r w:rsidRPr="00566A85">
              <w:rPr>
                <w:szCs w:val="20"/>
              </w:rPr>
              <w:t>Administrative expenses not allocable to business income that would not have been incurred if property had not been held in a trust or estate (section 67(e) deductions)</w:t>
            </w:r>
          </w:p>
        </w:tc>
        <w:tc>
          <w:tcPr>
            <w:tcW w:w="2821" w:type="dxa"/>
            <w:tcBorders>
              <w:top w:val="nil"/>
              <w:left w:val="nil"/>
              <w:bottom w:val="nil"/>
              <w:right w:val="nil"/>
            </w:tcBorders>
            <w:tcMar>
              <w:top w:w="0" w:type="dxa"/>
              <w:left w:w="36" w:type="dxa"/>
              <w:bottom w:w="0" w:type="dxa"/>
              <w:right w:w="36" w:type="dxa"/>
            </w:tcMar>
            <w:hideMark/>
          </w:tcPr>
          <w:p w:rsidR="008B303B" w:rsidRDefault="008B303B" w:rsidP="008B303B">
            <w:pPr>
              <w:rPr>
                <w:szCs w:val="20"/>
              </w:rPr>
            </w:pPr>
          </w:p>
          <w:p w:rsidR="00566A85" w:rsidRPr="008B303B" w:rsidRDefault="008B303B" w:rsidP="008B303B">
            <w:pPr>
              <w:rPr>
                <w:szCs w:val="20"/>
                <w:u w:val="single"/>
              </w:rPr>
            </w:pPr>
            <w:r>
              <w:rPr>
                <w:szCs w:val="20"/>
              </w:rPr>
              <w:tab/>
            </w:r>
            <w:r>
              <w:rPr>
                <w:szCs w:val="20"/>
              </w:rPr>
              <w:tab/>
            </w:r>
            <w:r w:rsidR="00566A85" w:rsidRPr="008B303B">
              <w:rPr>
                <w:szCs w:val="20"/>
                <w:u w:val="single"/>
              </w:rPr>
              <w:t>9,800</w:t>
            </w:r>
          </w:p>
        </w:tc>
      </w:tr>
      <w:tr w:rsidR="00566A85" w:rsidRPr="00566A85" w:rsidTr="008B303B">
        <w:tc>
          <w:tcPr>
            <w:tcW w:w="3659" w:type="dxa"/>
            <w:tcBorders>
              <w:top w:val="nil"/>
              <w:left w:val="nil"/>
              <w:bottom w:val="single" w:sz="6" w:space="0" w:color="CCCCCC"/>
              <w:right w:val="nil"/>
            </w:tcBorders>
            <w:tcMar>
              <w:top w:w="0" w:type="dxa"/>
              <w:left w:w="36" w:type="dxa"/>
              <w:bottom w:w="0" w:type="dxa"/>
              <w:right w:w="36" w:type="dxa"/>
            </w:tcMar>
            <w:hideMark/>
          </w:tcPr>
          <w:p w:rsidR="008B303B" w:rsidRDefault="008B303B" w:rsidP="00566A85">
            <w:pPr>
              <w:rPr>
                <w:szCs w:val="20"/>
              </w:rPr>
            </w:pPr>
          </w:p>
          <w:p w:rsidR="00566A85" w:rsidRPr="00566A85" w:rsidRDefault="00566A85" w:rsidP="00566A85">
            <w:pPr>
              <w:rPr>
                <w:szCs w:val="20"/>
              </w:rPr>
            </w:pPr>
            <w:r w:rsidRPr="00566A85">
              <w:rPr>
                <w:szCs w:val="20"/>
              </w:rPr>
              <w:t>Total deductions</w:t>
            </w:r>
          </w:p>
        </w:tc>
        <w:tc>
          <w:tcPr>
            <w:tcW w:w="2821" w:type="dxa"/>
            <w:tcBorders>
              <w:top w:val="nil"/>
              <w:left w:val="nil"/>
              <w:bottom w:val="single" w:sz="6" w:space="0" w:color="CCCCCC"/>
              <w:right w:val="nil"/>
            </w:tcBorders>
            <w:tcMar>
              <w:top w:w="0" w:type="dxa"/>
              <w:left w:w="36" w:type="dxa"/>
              <w:bottom w:w="0" w:type="dxa"/>
              <w:right w:w="36" w:type="dxa"/>
            </w:tcMar>
            <w:hideMark/>
          </w:tcPr>
          <w:p w:rsidR="008B303B" w:rsidRDefault="008B303B" w:rsidP="00566A85">
            <w:pPr>
              <w:jc w:val="right"/>
              <w:rPr>
                <w:szCs w:val="20"/>
              </w:rPr>
            </w:pPr>
          </w:p>
          <w:p w:rsidR="00566A85" w:rsidRPr="00566A85" w:rsidRDefault="00566A85" w:rsidP="00566A85">
            <w:pPr>
              <w:jc w:val="right"/>
              <w:rPr>
                <w:szCs w:val="20"/>
              </w:rPr>
            </w:pPr>
            <w:r w:rsidRPr="00566A85">
              <w:rPr>
                <w:szCs w:val="20"/>
              </w:rPr>
              <w:t>14,800</w:t>
            </w:r>
          </w:p>
        </w:tc>
      </w:tr>
    </w:tbl>
    <w:p w:rsidR="00566A85" w:rsidRDefault="00566A85" w:rsidP="00566A85">
      <w:pPr>
        <w:rPr>
          <w:color w:val="212121"/>
          <w:szCs w:val="20"/>
        </w:rPr>
      </w:pPr>
    </w:p>
    <w:p w:rsidR="00566A85" w:rsidRDefault="00566A85" w:rsidP="008B303B">
      <w:pPr>
        <w:pStyle w:val="QS10"/>
      </w:pPr>
      <w:r w:rsidRPr="00566A85">
        <w:t>(2) Computation of net operating loss. (i) The amount of the net operating loss carryover is computed as follows:</w:t>
      </w:r>
    </w:p>
    <w:p w:rsidR="00566A85" w:rsidRPr="00566A85" w:rsidRDefault="00566A85" w:rsidP="00566A85">
      <w:pPr>
        <w:rPr>
          <w:color w:val="212121"/>
          <w:szCs w:val="20"/>
        </w:rPr>
      </w:pPr>
    </w:p>
    <w:tbl>
      <w:tblPr>
        <w:tblW w:w="0" w:type="auto"/>
        <w:tblInd w:w="1440" w:type="dxa"/>
        <w:tblCellMar>
          <w:top w:w="15" w:type="dxa"/>
          <w:left w:w="15" w:type="dxa"/>
          <w:bottom w:w="15" w:type="dxa"/>
          <w:right w:w="15" w:type="dxa"/>
        </w:tblCellMar>
        <w:tblLook w:val="04A0" w:firstRow="1" w:lastRow="0" w:firstColumn="1" w:lastColumn="0" w:noHBand="0" w:noVBand="1"/>
      </w:tblPr>
      <w:tblGrid>
        <w:gridCol w:w="4590"/>
        <w:gridCol w:w="1080"/>
        <w:gridCol w:w="810"/>
      </w:tblGrid>
      <w:tr w:rsidR="00566A85" w:rsidRPr="00566A85" w:rsidTr="00F21E52">
        <w:tc>
          <w:tcPr>
            <w:tcW w:w="6480" w:type="dxa"/>
            <w:gridSpan w:val="3"/>
            <w:tcBorders>
              <w:top w:val="nil"/>
              <w:left w:val="nil"/>
              <w:bottom w:val="single" w:sz="6" w:space="0" w:color="CCCCCC"/>
              <w:right w:val="nil"/>
            </w:tcBorders>
            <w:tcMar>
              <w:top w:w="0" w:type="dxa"/>
              <w:left w:w="36" w:type="dxa"/>
              <w:bottom w:w="0" w:type="dxa"/>
              <w:right w:w="36" w:type="dxa"/>
            </w:tcMar>
            <w:hideMark/>
          </w:tcPr>
          <w:p w:rsidR="00566A85" w:rsidRPr="00F3384B" w:rsidRDefault="00566A85">
            <w:pPr>
              <w:jc w:val="center"/>
              <w:divId w:val="1734042594"/>
              <w:rPr>
                <w:b/>
                <w:szCs w:val="20"/>
                <w:u w:val="single"/>
              </w:rPr>
            </w:pPr>
            <w:r w:rsidRPr="00F3384B">
              <w:rPr>
                <w:b/>
                <w:bCs w:val="0"/>
                <w:szCs w:val="20"/>
                <w:u w:val="single"/>
              </w:rPr>
              <w:t>Table 3 to Paragraph (a)(2)(i)</w:t>
            </w:r>
          </w:p>
        </w:tc>
      </w:tr>
      <w:tr w:rsidR="00566A85" w:rsidRPr="00566A85" w:rsidTr="00F21E52">
        <w:tc>
          <w:tcPr>
            <w:tcW w:w="5670" w:type="dxa"/>
            <w:gridSpan w:val="2"/>
            <w:tcBorders>
              <w:top w:val="nil"/>
              <w:left w:val="nil"/>
              <w:bottom w:val="single" w:sz="6" w:space="0" w:color="CCCCCC"/>
              <w:right w:val="nil"/>
            </w:tcBorders>
            <w:tcMar>
              <w:top w:w="0" w:type="dxa"/>
              <w:left w:w="36" w:type="dxa"/>
              <w:bottom w:w="0" w:type="dxa"/>
              <w:right w:w="36" w:type="dxa"/>
            </w:tcMar>
            <w:hideMark/>
          </w:tcPr>
          <w:p w:rsidR="00566A85" w:rsidRPr="00566A85" w:rsidRDefault="00566A85">
            <w:pPr>
              <w:jc w:val="center"/>
              <w:rPr>
                <w:b/>
                <w:bCs w:val="0"/>
                <w:szCs w:val="20"/>
              </w:rPr>
            </w:pPr>
          </w:p>
        </w:tc>
        <w:tc>
          <w:tcPr>
            <w:tcW w:w="810" w:type="dxa"/>
            <w:tcBorders>
              <w:top w:val="nil"/>
              <w:left w:val="nil"/>
              <w:bottom w:val="single" w:sz="6" w:space="0" w:color="CCCCCC"/>
              <w:right w:val="nil"/>
            </w:tcBorders>
            <w:tcMar>
              <w:top w:w="0" w:type="dxa"/>
              <w:left w:w="36" w:type="dxa"/>
              <w:bottom w:w="0" w:type="dxa"/>
              <w:right w:w="36" w:type="dxa"/>
            </w:tcMar>
            <w:hideMark/>
          </w:tcPr>
          <w:p w:rsidR="00566A85" w:rsidRPr="00566A85" w:rsidRDefault="00566A85">
            <w:pPr>
              <w:jc w:val="center"/>
              <w:rPr>
                <w:szCs w:val="20"/>
              </w:rPr>
            </w:pPr>
          </w:p>
        </w:tc>
      </w:tr>
      <w:tr w:rsidR="00F21E52" w:rsidRPr="00566A85" w:rsidTr="00F21E52">
        <w:tc>
          <w:tcPr>
            <w:tcW w:w="4590" w:type="dxa"/>
            <w:tcBorders>
              <w:top w:val="nil"/>
              <w:left w:val="nil"/>
              <w:bottom w:val="nil"/>
              <w:right w:val="nil"/>
            </w:tcBorders>
            <w:tcMar>
              <w:top w:w="0" w:type="dxa"/>
              <w:left w:w="36" w:type="dxa"/>
              <w:bottom w:w="0" w:type="dxa"/>
              <w:right w:w="36" w:type="dxa"/>
            </w:tcMar>
            <w:hideMark/>
          </w:tcPr>
          <w:p w:rsidR="00F21E52" w:rsidRPr="00566A85" w:rsidRDefault="00F21E52" w:rsidP="00566A85">
            <w:pPr>
              <w:rPr>
                <w:szCs w:val="20"/>
              </w:rPr>
            </w:pPr>
            <w:r w:rsidRPr="00566A85">
              <w:rPr>
                <w:szCs w:val="20"/>
              </w:rPr>
              <w:t>Gross income</w:t>
            </w:r>
          </w:p>
        </w:tc>
        <w:tc>
          <w:tcPr>
            <w:tcW w:w="1080" w:type="dxa"/>
            <w:tcBorders>
              <w:top w:val="nil"/>
              <w:left w:val="nil"/>
              <w:bottom w:val="nil"/>
              <w:right w:val="nil"/>
            </w:tcBorders>
          </w:tcPr>
          <w:p w:rsidR="00F21E52" w:rsidRPr="00566A85" w:rsidRDefault="00F21E52" w:rsidP="00F21E52">
            <w:pPr>
              <w:jc w:val="right"/>
              <w:rPr>
                <w:szCs w:val="20"/>
              </w:rPr>
            </w:pPr>
            <w:r>
              <w:rPr>
                <w:szCs w:val="20"/>
              </w:rPr>
              <w:t>$5,500</w:t>
            </w:r>
          </w:p>
        </w:tc>
        <w:tc>
          <w:tcPr>
            <w:tcW w:w="810" w:type="dxa"/>
            <w:tcBorders>
              <w:top w:val="nil"/>
              <w:left w:val="nil"/>
              <w:bottom w:val="nil"/>
              <w:right w:val="nil"/>
            </w:tcBorders>
            <w:tcMar>
              <w:top w:w="0" w:type="dxa"/>
              <w:left w:w="36" w:type="dxa"/>
              <w:bottom w:w="0" w:type="dxa"/>
              <w:right w:w="36" w:type="dxa"/>
            </w:tcMar>
            <w:hideMark/>
          </w:tcPr>
          <w:p w:rsidR="00F21E52" w:rsidRPr="00566A85" w:rsidRDefault="00F21E52" w:rsidP="00566A85">
            <w:pPr>
              <w:jc w:val="right"/>
              <w:rPr>
                <w:szCs w:val="20"/>
              </w:rPr>
            </w:pPr>
          </w:p>
        </w:tc>
      </w:tr>
      <w:tr w:rsidR="00566A85" w:rsidRPr="00566A85" w:rsidTr="00F21E52">
        <w:tc>
          <w:tcPr>
            <w:tcW w:w="5670" w:type="dxa"/>
            <w:gridSpan w:val="2"/>
            <w:tcBorders>
              <w:top w:val="nil"/>
              <w:left w:val="nil"/>
              <w:bottom w:val="nil"/>
              <w:right w:val="nil"/>
            </w:tcBorders>
            <w:tcMar>
              <w:top w:w="0" w:type="dxa"/>
              <w:left w:w="36" w:type="dxa"/>
              <w:bottom w:w="0" w:type="dxa"/>
              <w:right w:w="36" w:type="dxa"/>
            </w:tcMar>
            <w:hideMark/>
          </w:tcPr>
          <w:p w:rsidR="008B303B" w:rsidRDefault="008B303B" w:rsidP="00566A85">
            <w:pPr>
              <w:rPr>
                <w:szCs w:val="20"/>
              </w:rPr>
            </w:pPr>
          </w:p>
          <w:p w:rsidR="00566A85" w:rsidRPr="00566A85" w:rsidRDefault="00566A85" w:rsidP="00F21E52">
            <w:pPr>
              <w:rPr>
                <w:szCs w:val="20"/>
              </w:rPr>
            </w:pPr>
            <w:r w:rsidRPr="00566A85">
              <w:rPr>
                <w:szCs w:val="20"/>
              </w:rPr>
              <w:t>Total deductions</w:t>
            </w:r>
            <w:r w:rsidR="00F21E52">
              <w:rPr>
                <w:szCs w:val="20"/>
              </w:rPr>
              <w:tab/>
            </w:r>
            <w:r w:rsidR="00F21E52">
              <w:rPr>
                <w:szCs w:val="20"/>
              </w:rPr>
              <w:tab/>
            </w:r>
            <w:r w:rsidR="00F21E52">
              <w:rPr>
                <w:szCs w:val="20"/>
              </w:rPr>
              <w:tab/>
            </w:r>
            <w:r w:rsidR="00F21E52">
              <w:rPr>
                <w:szCs w:val="20"/>
              </w:rPr>
              <w:tab/>
              <w:t xml:space="preserve">      14,800</w:t>
            </w:r>
          </w:p>
        </w:tc>
        <w:tc>
          <w:tcPr>
            <w:tcW w:w="810" w:type="dxa"/>
            <w:tcBorders>
              <w:top w:val="nil"/>
              <w:left w:val="nil"/>
              <w:bottom w:val="nil"/>
              <w:right w:val="nil"/>
            </w:tcBorders>
            <w:tcMar>
              <w:top w:w="0" w:type="dxa"/>
              <w:left w:w="36" w:type="dxa"/>
              <w:bottom w:w="0" w:type="dxa"/>
              <w:right w:w="36" w:type="dxa"/>
            </w:tcMar>
            <w:hideMark/>
          </w:tcPr>
          <w:p w:rsidR="00566A85" w:rsidRPr="00566A85" w:rsidRDefault="00566A85" w:rsidP="00566A85">
            <w:pPr>
              <w:jc w:val="right"/>
              <w:rPr>
                <w:szCs w:val="20"/>
              </w:rPr>
            </w:pPr>
          </w:p>
        </w:tc>
      </w:tr>
      <w:tr w:rsidR="00566A85" w:rsidRPr="00566A85" w:rsidTr="00F21E52">
        <w:tc>
          <w:tcPr>
            <w:tcW w:w="5670" w:type="dxa"/>
            <w:gridSpan w:val="2"/>
            <w:tcBorders>
              <w:top w:val="nil"/>
              <w:left w:val="nil"/>
              <w:bottom w:val="nil"/>
              <w:right w:val="nil"/>
            </w:tcBorders>
            <w:tcMar>
              <w:top w:w="0" w:type="dxa"/>
              <w:left w:w="36" w:type="dxa"/>
              <w:bottom w:w="0" w:type="dxa"/>
              <w:right w:w="36" w:type="dxa"/>
            </w:tcMar>
            <w:hideMark/>
          </w:tcPr>
          <w:p w:rsidR="00F21E52" w:rsidRDefault="00F21E52" w:rsidP="00566A85">
            <w:pPr>
              <w:rPr>
                <w:szCs w:val="20"/>
              </w:rPr>
            </w:pPr>
            <w:r>
              <w:rPr>
                <w:szCs w:val="20"/>
              </w:rPr>
              <w:t xml:space="preserve">     </w:t>
            </w:r>
            <w:r w:rsidR="00566A85" w:rsidRPr="00566A85">
              <w:rPr>
                <w:szCs w:val="20"/>
              </w:rPr>
              <w:t xml:space="preserve">Less adjustment under section 172(d)(4) </w:t>
            </w:r>
          </w:p>
          <w:p w:rsidR="008B303B" w:rsidRDefault="00F21E52" w:rsidP="00566A85">
            <w:pPr>
              <w:rPr>
                <w:szCs w:val="20"/>
              </w:rPr>
            </w:pPr>
            <w:r>
              <w:rPr>
                <w:szCs w:val="20"/>
              </w:rPr>
              <w:t xml:space="preserve">     </w:t>
            </w:r>
            <w:r w:rsidR="00566A85" w:rsidRPr="00566A85">
              <w:rPr>
                <w:szCs w:val="20"/>
              </w:rPr>
              <w:t xml:space="preserve">(allowable non-business expenses ($9,800) </w:t>
            </w:r>
          </w:p>
          <w:p w:rsidR="00566A85" w:rsidRPr="00F21E52" w:rsidRDefault="00F21E52" w:rsidP="00F21E52">
            <w:pPr>
              <w:rPr>
                <w:szCs w:val="20"/>
                <w:u w:val="single"/>
              </w:rPr>
            </w:pPr>
            <w:r>
              <w:rPr>
                <w:szCs w:val="20"/>
              </w:rPr>
              <w:t xml:space="preserve">     </w:t>
            </w:r>
            <w:r w:rsidRPr="00566A85">
              <w:rPr>
                <w:szCs w:val="20"/>
              </w:rPr>
              <w:t>L</w:t>
            </w:r>
            <w:r w:rsidR="00566A85" w:rsidRPr="00566A85">
              <w:rPr>
                <w:szCs w:val="20"/>
              </w:rPr>
              <w:t>imited to non-business income ($2,500))</w:t>
            </w:r>
            <w:r>
              <w:rPr>
                <w:szCs w:val="20"/>
              </w:rPr>
              <w:t xml:space="preserve">        </w:t>
            </w:r>
            <w:r>
              <w:rPr>
                <w:szCs w:val="20"/>
                <w:u w:val="single"/>
              </w:rPr>
              <w:t>7,300</w:t>
            </w:r>
          </w:p>
        </w:tc>
        <w:tc>
          <w:tcPr>
            <w:tcW w:w="810" w:type="dxa"/>
            <w:tcBorders>
              <w:top w:val="nil"/>
              <w:left w:val="nil"/>
              <w:bottom w:val="nil"/>
              <w:right w:val="nil"/>
            </w:tcBorders>
            <w:tcMar>
              <w:top w:w="0" w:type="dxa"/>
              <w:left w:w="36" w:type="dxa"/>
              <w:bottom w:w="0" w:type="dxa"/>
              <w:right w:w="36" w:type="dxa"/>
            </w:tcMar>
            <w:hideMark/>
          </w:tcPr>
          <w:p w:rsidR="00566A85" w:rsidRPr="00566A85" w:rsidRDefault="00566A85" w:rsidP="00566A85">
            <w:pPr>
              <w:jc w:val="right"/>
              <w:rPr>
                <w:szCs w:val="20"/>
              </w:rPr>
            </w:pPr>
          </w:p>
        </w:tc>
      </w:tr>
      <w:tr w:rsidR="00F21E52" w:rsidRPr="00566A85" w:rsidTr="00F21E52">
        <w:tc>
          <w:tcPr>
            <w:tcW w:w="4590" w:type="dxa"/>
            <w:tcBorders>
              <w:top w:val="nil"/>
              <w:left w:val="nil"/>
              <w:bottom w:val="nil"/>
              <w:right w:val="nil"/>
            </w:tcBorders>
            <w:tcMar>
              <w:top w:w="0" w:type="dxa"/>
              <w:left w:w="36" w:type="dxa"/>
              <w:bottom w:w="0" w:type="dxa"/>
              <w:right w:w="36" w:type="dxa"/>
            </w:tcMar>
            <w:hideMark/>
          </w:tcPr>
          <w:p w:rsidR="00F21E52" w:rsidRDefault="00F21E52" w:rsidP="00566A85">
            <w:pPr>
              <w:rPr>
                <w:szCs w:val="20"/>
              </w:rPr>
            </w:pPr>
          </w:p>
          <w:p w:rsidR="00F21E52" w:rsidRDefault="00F21E52" w:rsidP="00566A85">
            <w:pPr>
              <w:rPr>
                <w:szCs w:val="20"/>
              </w:rPr>
            </w:pPr>
            <w:r w:rsidRPr="00566A85">
              <w:rPr>
                <w:szCs w:val="20"/>
              </w:rPr>
              <w:t>Deductions as adjusted</w:t>
            </w:r>
          </w:p>
        </w:tc>
        <w:tc>
          <w:tcPr>
            <w:tcW w:w="1080" w:type="dxa"/>
            <w:tcBorders>
              <w:top w:val="nil"/>
              <w:left w:val="nil"/>
              <w:bottom w:val="nil"/>
              <w:right w:val="nil"/>
            </w:tcBorders>
          </w:tcPr>
          <w:p w:rsidR="00F21E52" w:rsidRDefault="00F21E52" w:rsidP="00566A85">
            <w:pPr>
              <w:rPr>
                <w:szCs w:val="20"/>
              </w:rPr>
            </w:pPr>
          </w:p>
          <w:p w:rsidR="00F21E52" w:rsidRPr="00F21E52" w:rsidRDefault="00F21E52" w:rsidP="00F21E52">
            <w:pPr>
              <w:jc w:val="right"/>
              <w:rPr>
                <w:szCs w:val="20"/>
                <w:u w:val="single"/>
              </w:rPr>
            </w:pPr>
            <w:r>
              <w:rPr>
                <w:szCs w:val="20"/>
                <w:u w:val="single"/>
              </w:rPr>
              <w:t>7,500</w:t>
            </w:r>
          </w:p>
        </w:tc>
        <w:tc>
          <w:tcPr>
            <w:tcW w:w="810" w:type="dxa"/>
            <w:tcBorders>
              <w:top w:val="nil"/>
              <w:left w:val="nil"/>
              <w:bottom w:val="nil"/>
              <w:right w:val="nil"/>
            </w:tcBorders>
            <w:tcMar>
              <w:top w:w="0" w:type="dxa"/>
              <w:left w:w="36" w:type="dxa"/>
              <w:bottom w:w="0" w:type="dxa"/>
              <w:right w:w="36" w:type="dxa"/>
            </w:tcMar>
            <w:hideMark/>
          </w:tcPr>
          <w:p w:rsidR="00F21E52" w:rsidRPr="00F21E52" w:rsidRDefault="00F21E52" w:rsidP="00566A85">
            <w:pPr>
              <w:jc w:val="right"/>
              <w:rPr>
                <w:szCs w:val="20"/>
                <w:u w:val="single"/>
              </w:rPr>
            </w:pPr>
          </w:p>
        </w:tc>
      </w:tr>
      <w:tr w:rsidR="00566A85" w:rsidRPr="00566A85" w:rsidTr="00F21E52">
        <w:tc>
          <w:tcPr>
            <w:tcW w:w="5670" w:type="dxa"/>
            <w:gridSpan w:val="2"/>
            <w:tcBorders>
              <w:top w:val="nil"/>
              <w:left w:val="nil"/>
              <w:bottom w:val="single" w:sz="6" w:space="0" w:color="CCCCCC"/>
              <w:right w:val="nil"/>
            </w:tcBorders>
            <w:tcMar>
              <w:top w:w="0" w:type="dxa"/>
              <w:left w:w="36" w:type="dxa"/>
              <w:bottom w:w="0" w:type="dxa"/>
              <w:right w:w="36" w:type="dxa"/>
            </w:tcMar>
            <w:hideMark/>
          </w:tcPr>
          <w:p w:rsidR="008B303B" w:rsidRDefault="008B303B" w:rsidP="00566A85">
            <w:pPr>
              <w:rPr>
                <w:szCs w:val="20"/>
              </w:rPr>
            </w:pPr>
          </w:p>
          <w:p w:rsidR="00566A85" w:rsidRPr="00566A85" w:rsidRDefault="00566A85" w:rsidP="00566A85">
            <w:pPr>
              <w:rPr>
                <w:szCs w:val="20"/>
              </w:rPr>
            </w:pPr>
            <w:r w:rsidRPr="00566A85">
              <w:rPr>
                <w:szCs w:val="20"/>
              </w:rPr>
              <w:t>Net operating loss</w:t>
            </w:r>
          </w:p>
        </w:tc>
        <w:tc>
          <w:tcPr>
            <w:tcW w:w="810" w:type="dxa"/>
            <w:tcBorders>
              <w:top w:val="nil"/>
              <w:left w:val="nil"/>
              <w:bottom w:val="single" w:sz="6" w:space="0" w:color="CCCCCC"/>
              <w:right w:val="nil"/>
            </w:tcBorders>
            <w:tcMar>
              <w:top w:w="0" w:type="dxa"/>
              <w:left w:w="36" w:type="dxa"/>
              <w:bottom w:w="0" w:type="dxa"/>
              <w:right w:w="36" w:type="dxa"/>
            </w:tcMar>
            <w:hideMark/>
          </w:tcPr>
          <w:p w:rsidR="008B303B" w:rsidRDefault="008B303B" w:rsidP="00566A85">
            <w:pPr>
              <w:jc w:val="right"/>
              <w:rPr>
                <w:szCs w:val="20"/>
              </w:rPr>
            </w:pPr>
          </w:p>
          <w:p w:rsidR="00566A85" w:rsidRPr="00566A85" w:rsidRDefault="00566A85" w:rsidP="00566A85">
            <w:pPr>
              <w:jc w:val="right"/>
              <w:rPr>
                <w:szCs w:val="20"/>
              </w:rPr>
            </w:pPr>
            <w:r w:rsidRPr="00566A85">
              <w:rPr>
                <w:szCs w:val="20"/>
              </w:rPr>
              <w:t>2,000</w:t>
            </w:r>
          </w:p>
        </w:tc>
      </w:tr>
    </w:tbl>
    <w:p w:rsidR="0020528E" w:rsidRDefault="0020528E" w:rsidP="00566A85">
      <w:pPr>
        <w:rPr>
          <w:color w:val="212121"/>
          <w:szCs w:val="20"/>
        </w:rPr>
      </w:pPr>
    </w:p>
    <w:p w:rsidR="00566A85" w:rsidRPr="0020528E" w:rsidRDefault="00566A85" w:rsidP="00F21E52">
      <w:pPr>
        <w:pStyle w:val="QS10"/>
      </w:pPr>
      <w:r w:rsidRPr="0020528E">
        <w:t>(ii) Under section 642(h)(1), B and the trust are each allocated $1,000 of the $2,000 unused net operating loss carryover of the terminated estate in 2020, with the allowance of any net operating loss carryover to B and the trust determined under section 172. Neither B nor the trust can carry back any of the net operating loss of A's estate made available to them under section 642(h)(1). See § 1.642(h)-1(b).</w:t>
      </w:r>
    </w:p>
    <w:p w:rsidR="00566A85" w:rsidRPr="0020528E" w:rsidRDefault="00566A85" w:rsidP="00F21E52">
      <w:pPr>
        <w:pStyle w:val="QS10"/>
      </w:pPr>
      <w:r w:rsidRPr="0020528E">
        <w:t>(3) Section 642(h)(2) excess deductions. The $7,300 of non-business deductions not taken into account in determining the net operating loss of the estate are excess deductions on termination of the estate under section 642(h)(2). Under § 1.642(h)-2(b)(1), such deductions retain their character as section 67(e) deductions. Under § 1.642(h)-4, B and the trust each are allocated $3,650 of excess deductions based on B's and the trust's respective shares of the burden of each cost.</w:t>
      </w:r>
    </w:p>
    <w:p w:rsidR="00B3044E" w:rsidRDefault="00B3044E">
      <w:pPr>
        <w:rPr>
          <w:bCs w:val="0"/>
        </w:rPr>
      </w:pPr>
      <w:r>
        <w:br w:type="page"/>
      </w:r>
    </w:p>
    <w:p w:rsidR="00566A85" w:rsidRPr="0020528E" w:rsidRDefault="00566A85" w:rsidP="00F21E52">
      <w:pPr>
        <w:pStyle w:val="QS10"/>
      </w:pPr>
      <w:r w:rsidRPr="0020528E">
        <w:t>(4) Consequences for C. The net operating loss carryover and excess deductions are not allowable directly to C, the trust beneficiary. To the extent the distributable net income of the trust is reduced by the net operating loss carryover and excess deductions, however, C may receive an indirect benefit from the carryover and excess deductions.</w:t>
      </w:r>
    </w:p>
    <w:p w:rsidR="00566A85" w:rsidRPr="00175932" w:rsidRDefault="00566A85" w:rsidP="00175932">
      <w:pPr>
        <w:pStyle w:val="QS10"/>
      </w:pPr>
      <w:r w:rsidRPr="00175932">
        <w:t>(b) Example 2: Computations under section 642(h)(2)—(1) Facts. D dies in 2019 leaving an estate of which the residuary legatees are E (75%) and F (25%). The estate's income and deductions in its final year are as follows:</w:t>
      </w:r>
    </w:p>
    <w:tbl>
      <w:tblPr>
        <w:tblW w:w="0" w:type="auto"/>
        <w:tblInd w:w="1350" w:type="dxa"/>
        <w:tblCellMar>
          <w:top w:w="15" w:type="dxa"/>
          <w:left w:w="15" w:type="dxa"/>
          <w:bottom w:w="15" w:type="dxa"/>
          <w:right w:w="15" w:type="dxa"/>
        </w:tblCellMar>
        <w:tblLook w:val="04A0" w:firstRow="1" w:lastRow="0" w:firstColumn="1" w:lastColumn="0" w:noHBand="0" w:noVBand="1"/>
      </w:tblPr>
      <w:tblGrid>
        <w:gridCol w:w="4590"/>
        <w:gridCol w:w="1980"/>
      </w:tblGrid>
      <w:tr w:rsidR="00566A85" w:rsidRPr="0020528E" w:rsidTr="00F3384B">
        <w:tc>
          <w:tcPr>
            <w:tcW w:w="6570" w:type="dxa"/>
            <w:gridSpan w:val="2"/>
            <w:tcBorders>
              <w:top w:val="nil"/>
              <w:left w:val="nil"/>
              <w:bottom w:val="single" w:sz="6" w:space="0" w:color="CCCCCC"/>
              <w:right w:val="nil"/>
            </w:tcBorders>
            <w:tcMar>
              <w:top w:w="0" w:type="dxa"/>
              <w:left w:w="36" w:type="dxa"/>
              <w:bottom w:w="0" w:type="dxa"/>
              <w:right w:w="36" w:type="dxa"/>
            </w:tcMar>
            <w:hideMark/>
          </w:tcPr>
          <w:p w:rsidR="00566A85" w:rsidRPr="00175932" w:rsidRDefault="00566A85">
            <w:pPr>
              <w:jc w:val="center"/>
              <w:divId w:val="1096318752"/>
              <w:rPr>
                <w:b/>
                <w:szCs w:val="20"/>
                <w:u w:val="single"/>
              </w:rPr>
            </w:pPr>
            <w:r w:rsidRPr="00175932">
              <w:rPr>
                <w:b/>
                <w:bCs w:val="0"/>
                <w:szCs w:val="20"/>
                <w:u w:val="single"/>
              </w:rPr>
              <w:t>Table 4 to Paragraph (b)(1)</w:t>
            </w:r>
          </w:p>
        </w:tc>
      </w:tr>
      <w:tr w:rsidR="00566A85" w:rsidRPr="0020528E" w:rsidTr="00F3384B">
        <w:tc>
          <w:tcPr>
            <w:tcW w:w="4590" w:type="dxa"/>
            <w:tcBorders>
              <w:top w:val="nil"/>
              <w:left w:val="nil"/>
              <w:bottom w:val="single" w:sz="6" w:space="0" w:color="CCCCCC"/>
              <w:right w:val="nil"/>
            </w:tcBorders>
            <w:tcMar>
              <w:top w:w="0" w:type="dxa"/>
              <w:left w:w="36" w:type="dxa"/>
              <w:bottom w:w="0" w:type="dxa"/>
              <w:right w:w="36" w:type="dxa"/>
            </w:tcMar>
            <w:hideMark/>
          </w:tcPr>
          <w:p w:rsidR="00566A85" w:rsidRPr="0020528E" w:rsidRDefault="00566A85">
            <w:pPr>
              <w:jc w:val="center"/>
              <w:rPr>
                <w:b/>
                <w:bCs w:val="0"/>
                <w:szCs w:val="20"/>
              </w:rPr>
            </w:pPr>
          </w:p>
        </w:tc>
        <w:tc>
          <w:tcPr>
            <w:tcW w:w="1980" w:type="dxa"/>
            <w:tcBorders>
              <w:top w:val="nil"/>
              <w:left w:val="nil"/>
              <w:bottom w:val="single" w:sz="6" w:space="0" w:color="CCCCCC"/>
              <w:right w:val="nil"/>
            </w:tcBorders>
            <w:tcMar>
              <w:top w:w="0" w:type="dxa"/>
              <w:left w:w="36" w:type="dxa"/>
              <w:bottom w:w="0" w:type="dxa"/>
              <w:right w:w="36" w:type="dxa"/>
            </w:tcMar>
            <w:hideMark/>
          </w:tcPr>
          <w:p w:rsidR="00566A85" w:rsidRPr="0020528E" w:rsidRDefault="00566A85">
            <w:pPr>
              <w:jc w:val="center"/>
              <w:rPr>
                <w:szCs w:val="20"/>
              </w:rPr>
            </w:pPr>
          </w:p>
        </w:tc>
      </w:tr>
      <w:tr w:rsidR="00566A85" w:rsidRPr="0020528E" w:rsidTr="00F3384B">
        <w:tc>
          <w:tcPr>
            <w:tcW w:w="4590" w:type="dxa"/>
            <w:tcBorders>
              <w:top w:val="nil"/>
              <w:left w:val="nil"/>
              <w:bottom w:val="nil"/>
              <w:right w:val="nil"/>
            </w:tcBorders>
            <w:tcMar>
              <w:top w:w="0" w:type="dxa"/>
              <w:left w:w="36" w:type="dxa"/>
              <w:bottom w:w="0" w:type="dxa"/>
              <w:right w:w="36" w:type="dxa"/>
            </w:tcMar>
            <w:hideMark/>
          </w:tcPr>
          <w:p w:rsidR="00566A85" w:rsidRPr="0020528E" w:rsidRDefault="00566A85" w:rsidP="00566A85">
            <w:pPr>
              <w:rPr>
                <w:szCs w:val="20"/>
              </w:rPr>
            </w:pPr>
            <w:r w:rsidRPr="00175932">
              <w:rPr>
                <w:szCs w:val="20"/>
                <w:u w:val="single"/>
              </w:rPr>
              <w:t>Income</w:t>
            </w:r>
            <w:r w:rsidRPr="0020528E">
              <w:rPr>
                <w:szCs w:val="20"/>
              </w:rPr>
              <w:t>:</w:t>
            </w:r>
          </w:p>
        </w:tc>
        <w:tc>
          <w:tcPr>
            <w:tcW w:w="1980" w:type="dxa"/>
            <w:tcBorders>
              <w:top w:val="nil"/>
              <w:left w:val="nil"/>
              <w:bottom w:val="nil"/>
              <w:right w:val="nil"/>
            </w:tcBorders>
            <w:tcMar>
              <w:top w:w="0" w:type="dxa"/>
              <w:left w:w="36" w:type="dxa"/>
              <w:bottom w:w="0" w:type="dxa"/>
              <w:right w:w="36" w:type="dxa"/>
            </w:tcMar>
            <w:hideMark/>
          </w:tcPr>
          <w:p w:rsidR="00566A85" w:rsidRPr="0020528E" w:rsidRDefault="00566A85">
            <w:pPr>
              <w:rPr>
                <w:szCs w:val="20"/>
              </w:rPr>
            </w:pPr>
          </w:p>
        </w:tc>
      </w:tr>
      <w:tr w:rsidR="00566A85" w:rsidRPr="0020528E" w:rsidTr="00F3384B">
        <w:tc>
          <w:tcPr>
            <w:tcW w:w="4590" w:type="dxa"/>
            <w:tcBorders>
              <w:top w:val="nil"/>
              <w:left w:val="nil"/>
              <w:bottom w:val="nil"/>
              <w:right w:val="nil"/>
            </w:tcBorders>
            <w:tcMar>
              <w:top w:w="0" w:type="dxa"/>
              <w:left w:w="36" w:type="dxa"/>
              <w:bottom w:w="0" w:type="dxa"/>
              <w:right w:w="36" w:type="dxa"/>
            </w:tcMar>
            <w:hideMark/>
          </w:tcPr>
          <w:p w:rsidR="00566A85" w:rsidRPr="0020528E" w:rsidRDefault="00566A85" w:rsidP="00566A85">
            <w:pPr>
              <w:rPr>
                <w:szCs w:val="20"/>
              </w:rPr>
            </w:pPr>
            <w:r w:rsidRPr="0020528E">
              <w:rPr>
                <w:szCs w:val="20"/>
              </w:rPr>
              <w:t>Dividends</w:t>
            </w:r>
          </w:p>
        </w:tc>
        <w:tc>
          <w:tcPr>
            <w:tcW w:w="1980" w:type="dxa"/>
            <w:tcBorders>
              <w:top w:val="nil"/>
              <w:left w:val="nil"/>
              <w:bottom w:val="nil"/>
              <w:right w:val="nil"/>
            </w:tcBorders>
            <w:tcMar>
              <w:top w:w="0" w:type="dxa"/>
              <w:left w:w="36" w:type="dxa"/>
              <w:bottom w:w="0" w:type="dxa"/>
              <w:right w:w="36" w:type="dxa"/>
            </w:tcMar>
            <w:hideMark/>
          </w:tcPr>
          <w:p w:rsidR="00566A85" w:rsidRPr="0020528E" w:rsidRDefault="00566A85" w:rsidP="00F3384B">
            <w:pPr>
              <w:rPr>
                <w:szCs w:val="20"/>
              </w:rPr>
            </w:pPr>
            <w:r w:rsidRPr="0020528E">
              <w:rPr>
                <w:szCs w:val="20"/>
              </w:rPr>
              <w:t>$3,000</w:t>
            </w:r>
          </w:p>
        </w:tc>
      </w:tr>
      <w:tr w:rsidR="00566A85" w:rsidRPr="0020528E" w:rsidTr="00F3384B">
        <w:tc>
          <w:tcPr>
            <w:tcW w:w="4590" w:type="dxa"/>
            <w:tcBorders>
              <w:top w:val="nil"/>
              <w:left w:val="nil"/>
              <w:bottom w:val="nil"/>
              <w:right w:val="nil"/>
            </w:tcBorders>
            <w:tcMar>
              <w:top w:w="0" w:type="dxa"/>
              <w:left w:w="36" w:type="dxa"/>
              <w:bottom w:w="0" w:type="dxa"/>
              <w:right w:w="36" w:type="dxa"/>
            </w:tcMar>
            <w:hideMark/>
          </w:tcPr>
          <w:p w:rsidR="00566A85" w:rsidRPr="0020528E" w:rsidRDefault="00566A85" w:rsidP="00566A85">
            <w:pPr>
              <w:rPr>
                <w:szCs w:val="20"/>
              </w:rPr>
            </w:pPr>
            <w:r w:rsidRPr="0020528E">
              <w:rPr>
                <w:szCs w:val="20"/>
              </w:rPr>
              <w:t>Taxable Interest</w:t>
            </w:r>
          </w:p>
        </w:tc>
        <w:tc>
          <w:tcPr>
            <w:tcW w:w="1980" w:type="dxa"/>
            <w:tcBorders>
              <w:top w:val="nil"/>
              <w:left w:val="nil"/>
              <w:bottom w:val="nil"/>
              <w:right w:val="nil"/>
            </w:tcBorders>
            <w:tcMar>
              <w:top w:w="0" w:type="dxa"/>
              <w:left w:w="36" w:type="dxa"/>
              <w:bottom w:w="0" w:type="dxa"/>
              <w:right w:w="36" w:type="dxa"/>
            </w:tcMar>
            <w:hideMark/>
          </w:tcPr>
          <w:p w:rsidR="00566A85" w:rsidRPr="0020528E" w:rsidRDefault="00F3384B" w:rsidP="00F3384B">
            <w:pPr>
              <w:rPr>
                <w:szCs w:val="20"/>
              </w:rPr>
            </w:pPr>
            <w:r>
              <w:rPr>
                <w:szCs w:val="20"/>
              </w:rPr>
              <w:t xml:space="preserve">     </w:t>
            </w:r>
            <w:r w:rsidR="00566A85" w:rsidRPr="0020528E">
              <w:rPr>
                <w:szCs w:val="20"/>
              </w:rPr>
              <w:t>500</w:t>
            </w:r>
          </w:p>
        </w:tc>
      </w:tr>
      <w:tr w:rsidR="00566A85" w:rsidRPr="0020528E" w:rsidTr="00F3384B">
        <w:tc>
          <w:tcPr>
            <w:tcW w:w="4590" w:type="dxa"/>
            <w:tcBorders>
              <w:top w:val="nil"/>
              <w:left w:val="nil"/>
              <w:bottom w:val="nil"/>
              <w:right w:val="nil"/>
            </w:tcBorders>
            <w:tcMar>
              <w:top w:w="0" w:type="dxa"/>
              <w:left w:w="36" w:type="dxa"/>
              <w:bottom w:w="0" w:type="dxa"/>
              <w:right w:w="36" w:type="dxa"/>
            </w:tcMar>
            <w:hideMark/>
          </w:tcPr>
          <w:p w:rsidR="00566A85" w:rsidRPr="0020528E" w:rsidRDefault="00566A85" w:rsidP="00566A85">
            <w:pPr>
              <w:rPr>
                <w:szCs w:val="20"/>
              </w:rPr>
            </w:pPr>
            <w:r w:rsidRPr="0020528E">
              <w:rPr>
                <w:szCs w:val="20"/>
              </w:rPr>
              <w:t>Rent</w:t>
            </w:r>
          </w:p>
        </w:tc>
        <w:tc>
          <w:tcPr>
            <w:tcW w:w="1980" w:type="dxa"/>
            <w:tcBorders>
              <w:top w:val="nil"/>
              <w:left w:val="nil"/>
              <w:bottom w:val="nil"/>
              <w:right w:val="nil"/>
            </w:tcBorders>
            <w:tcMar>
              <w:top w:w="0" w:type="dxa"/>
              <w:left w:w="36" w:type="dxa"/>
              <w:bottom w:w="0" w:type="dxa"/>
              <w:right w:w="36" w:type="dxa"/>
            </w:tcMar>
            <w:hideMark/>
          </w:tcPr>
          <w:p w:rsidR="00566A85" w:rsidRPr="0020528E" w:rsidRDefault="00F3384B" w:rsidP="00F3384B">
            <w:pPr>
              <w:rPr>
                <w:szCs w:val="20"/>
              </w:rPr>
            </w:pPr>
            <w:r>
              <w:rPr>
                <w:szCs w:val="20"/>
              </w:rPr>
              <w:t xml:space="preserve">  </w:t>
            </w:r>
            <w:r w:rsidR="00566A85" w:rsidRPr="0020528E">
              <w:rPr>
                <w:szCs w:val="20"/>
              </w:rPr>
              <w:t>2,000</w:t>
            </w:r>
          </w:p>
        </w:tc>
      </w:tr>
      <w:tr w:rsidR="00566A85" w:rsidRPr="0020528E" w:rsidTr="00F3384B">
        <w:tc>
          <w:tcPr>
            <w:tcW w:w="4590" w:type="dxa"/>
            <w:tcBorders>
              <w:top w:val="nil"/>
              <w:left w:val="nil"/>
              <w:bottom w:val="nil"/>
              <w:right w:val="nil"/>
            </w:tcBorders>
            <w:tcMar>
              <w:top w:w="0" w:type="dxa"/>
              <w:left w:w="36" w:type="dxa"/>
              <w:bottom w:w="0" w:type="dxa"/>
              <w:right w:w="36" w:type="dxa"/>
            </w:tcMar>
            <w:hideMark/>
          </w:tcPr>
          <w:p w:rsidR="00566A85" w:rsidRPr="0020528E" w:rsidRDefault="00566A85" w:rsidP="00566A85">
            <w:pPr>
              <w:rPr>
                <w:szCs w:val="20"/>
              </w:rPr>
            </w:pPr>
            <w:r w:rsidRPr="0020528E">
              <w:rPr>
                <w:szCs w:val="20"/>
              </w:rPr>
              <w:t>Capital Gain</w:t>
            </w:r>
          </w:p>
        </w:tc>
        <w:tc>
          <w:tcPr>
            <w:tcW w:w="1980" w:type="dxa"/>
            <w:tcBorders>
              <w:top w:val="nil"/>
              <w:left w:val="nil"/>
              <w:bottom w:val="nil"/>
              <w:right w:val="nil"/>
            </w:tcBorders>
            <w:tcMar>
              <w:top w:w="0" w:type="dxa"/>
              <w:left w:w="36" w:type="dxa"/>
              <w:bottom w:w="0" w:type="dxa"/>
              <w:right w:w="36" w:type="dxa"/>
            </w:tcMar>
            <w:hideMark/>
          </w:tcPr>
          <w:p w:rsidR="00566A85" w:rsidRPr="00F3384B" w:rsidRDefault="00F3384B" w:rsidP="00F3384B">
            <w:pPr>
              <w:rPr>
                <w:szCs w:val="20"/>
                <w:u w:val="single"/>
              </w:rPr>
            </w:pPr>
            <w:r w:rsidRPr="00F3384B">
              <w:rPr>
                <w:szCs w:val="20"/>
                <w:u w:val="single"/>
              </w:rPr>
              <w:t xml:space="preserve">  </w:t>
            </w:r>
            <w:r w:rsidR="00566A85" w:rsidRPr="00F3384B">
              <w:rPr>
                <w:szCs w:val="20"/>
                <w:u w:val="single"/>
              </w:rPr>
              <w:t>1,000</w:t>
            </w:r>
          </w:p>
        </w:tc>
      </w:tr>
      <w:tr w:rsidR="00566A85" w:rsidRPr="0020528E" w:rsidTr="00F3384B">
        <w:tc>
          <w:tcPr>
            <w:tcW w:w="4590" w:type="dxa"/>
            <w:tcBorders>
              <w:top w:val="nil"/>
              <w:left w:val="nil"/>
              <w:bottom w:val="single" w:sz="6" w:space="0" w:color="CCCCCC"/>
              <w:right w:val="nil"/>
            </w:tcBorders>
            <w:tcMar>
              <w:top w:w="0" w:type="dxa"/>
              <w:left w:w="36" w:type="dxa"/>
              <w:bottom w:w="0" w:type="dxa"/>
              <w:right w:w="36" w:type="dxa"/>
            </w:tcMar>
            <w:hideMark/>
          </w:tcPr>
          <w:p w:rsidR="00F3384B" w:rsidRDefault="00F3384B" w:rsidP="00566A85">
            <w:pPr>
              <w:rPr>
                <w:szCs w:val="20"/>
              </w:rPr>
            </w:pPr>
          </w:p>
          <w:p w:rsidR="00566A85" w:rsidRPr="0020528E" w:rsidRDefault="00566A85" w:rsidP="00566A85">
            <w:pPr>
              <w:rPr>
                <w:szCs w:val="20"/>
              </w:rPr>
            </w:pPr>
            <w:r w:rsidRPr="0020528E">
              <w:rPr>
                <w:szCs w:val="20"/>
              </w:rPr>
              <w:t>Total Income</w:t>
            </w:r>
          </w:p>
        </w:tc>
        <w:tc>
          <w:tcPr>
            <w:tcW w:w="1980" w:type="dxa"/>
            <w:tcBorders>
              <w:top w:val="nil"/>
              <w:left w:val="nil"/>
              <w:bottom w:val="single" w:sz="6" w:space="0" w:color="CCCCCC"/>
              <w:right w:val="nil"/>
            </w:tcBorders>
            <w:tcMar>
              <w:top w:w="0" w:type="dxa"/>
              <w:left w:w="36" w:type="dxa"/>
              <w:bottom w:w="0" w:type="dxa"/>
              <w:right w:w="36" w:type="dxa"/>
            </w:tcMar>
            <w:hideMark/>
          </w:tcPr>
          <w:p w:rsidR="00F3384B" w:rsidRDefault="00F3384B" w:rsidP="00566A85">
            <w:pPr>
              <w:jc w:val="right"/>
              <w:rPr>
                <w:szCs w:val="20"/>
              </w:rPr>
            </w:pPr>
          </w:p>
          <w:p w:rsidR="00566A85" w:rsidRPr="0020528E" w:rsidRDefault="00566A85" w:rsidP="00566A85">
            <w:pPr>
              <w:jc w:val="right"/>
              <w:rPr>
                <w:szCs w:val="20"/>
              </w:rPr>
            </w:pPr>
            <w:r w:rsidRPr="0020528E">
              <w:rPr>
                <w:szCs w:val="20"/>
              </w:rPr>
              <w:t>6,500</w:t>
            </w:r>
          </w:p>
        </w:tc>
      </w:tr>
    </w:tbl>
    <w:p w:rsidR="0066705E" w:rsidRDefault="0066705E"/>
    <w:tbl>
      <w:tblPr>
        <w:tblW w:w="0" w:type="auto"/>
        <w:tblInd w:w="1350" w:type="dxa"/>
        <w:tblCellMar>
          <w:top w:w="15" w:type="dxa"/>
          <w:left w:w="15" w:type="dxa"/>
          <w:bottom w:w="15" w:type="dxa"/>
          <w:right w:w="15" w:type="dxa"/>
        </w:tblCellMar>
        <w:tblLook w:val="04A0" w:firstRow="1" w:lastRow="0" w:firstColumn="1" w:lastColumn="0" w:noHBand="0" w:noVBand="1"/>
      </w:tblPr>
      <w:tblGrid>
        <w:gridCol w:w="4590"/>
        <w:gridCol w:w="1980"/>
      </w:tblGrid>
      <w:tr w:rsidR="00566A85" w:rsidRPr="0020528E" w:rsidTr="00F3384B">
        <w:tc>
          <w:tcPr>
            <w:tcW w:w="6570" w:type="dxa"/>
            <w:gridSpan w:val="2"/>
            <w:tcBorders>
              <w:top w:val="nil"/>
              <w:left w:val="nil"/>
              <w:bottom w:val="single" w:sz="6" w:space="0" w:color="CCCCCC"/>
              <w:right w:val="nil"/>
            </w:tcBorders>
            <w:tcMar>
              <w:top w:w="0" w:type="dxa"/>
              <w:left w:w="36" w:type="dxa"/>
              <w:bottom w:w="0" w:type="dxa"/>
              <w:right w:w="36" w:type="dxa"/>
            </w:tcMar>
            <w:hideMark/>
          </w:tcPr>
          <w:p w:rsidR="00566A85" w:rsidRPr="00F3384B" w:rsidRDefault="00566A85">
            <w:pPr>
              <w:jc w:val="center"/>
              <w:divId w:val="196239494"/>
              <w:rPr>
                <w:b/>
                <w:szCs w:val="20"/>
                <w:u w:val="single"/>
              </w:rPr>
            </w:pPr>
            <w:r w:rsidRPr="00F3384B">
              <w:rPr>
                <w:b/>
                <w:bCs w:val="0"/>
                <w:szCs w:val="20"/>
                <w:u w:val="single"/>
              </w:rPr>
              <w:t>Table 5 to Paragraph (b)(1)</w:t>
            </w:r>
          </w:p>
        </w:tc>
      </w:tr>
      <w:tr w:rsidR="00566A85" w:rsidRPr="0020528E" w:rsidTr="00F3384B">
        <w:tc>
          <w:tcPr>
            <w:tcW w:w="4590" w:type="dxa"/>
            <w:tcBorders>
              <w:top w:val="nil"/>
              <w:left w:val="nil"/>
              <w:bottom w:val="single" w:sz="6" w:space="0" w:color="CCCCCC"/>
              <w:right w:val="nil"/>
            </w:tcBorders>
            <w:tcMar>
              <w:top w:w="0" w:type="dxa"/>
              <w:left w:w="36" w:type="dxa"/>
              <w:bottom w:w="0" w:type="dxa"/>
              <w:right w:w="36" w:type="dxa"/>
            </w:tcMar>
            <w:hideMark/>
          </w:tcPr>
          <w:p w:rsidR="00566A85" w:rsidRPr="0020528E" w:rsidRDefault="00566A85">
            <w:pPr>
              <w:jc w:val="center"/>
              <w:rPr>
                <w:b/>
                <w:bCs w:val="0"/>
                <w:szCs w:val="20"/>
              </w:rPr>
            </w:pPr>
          </w:p>
        </w:tc>
        <w:tc>
          <w:tcPr>
            <w:tcW w:w="1980" w:type="dxa"/>
            <w:tcBorders>
              <w:top w:val="nil"/>
              <w:left w:val="nil"/>
              <w:bottom w:val="single" w:sz="6" w:space="0" w:color="CCCCCC"/>
              <w:right w:val="nil"/>
            </w:tcBorders>
            <w:tcMar>
              <w:top w:w="0" w:type="dxa"/>
              <w:left w:w="36" w:type="dxa"/>
              <w:bottom w:w="0" w:type="dxa"/>
              <w:right w:w="36" w:type="dxa"/>
            </w:tcMar>
            <w:hideMark/>
          </w:tcPr>
          <w:p w:rsidR="00566A85" w:rsidRPr="0020528E" w:rsidRDefault="00566A85">
            <w:pPr>
              <w:jc w:val="center"/>
              <w:rPr>
                <w:szCs w:val="20"/>
              </w:rPr>
            </w:pPr>
          </w:p>
        </w:tc>
      </w:tr>
      <w:tr w:rsidR="00566A85" w:rsidRPr="0020528E" w:rsidTr="00F3384B">
        <w:tc>
          <w:tcPr>
            <w:tcW w:w="4590" w:type="dxa"/>
            <w:tcBorders>
              <w:top w:val="nil"/>
              <w:left w:val="nil"/>
              <w:bottom w:val="nil"/>
              <w:right w:val="nil"/>
            </w:tcBorders>
            <w:tcMar>
              <w:top w:w="0" w:type="dxa"/>
              <w:left w:w="36" w:type="dxa"/>
              <w:bottom w:w="0" w:type="dxa"/>
              <w:right w:w="36" w:type="dxa"/>
            </w:tcMar>
            <w:hideMark/>
          </w:tcPr>
          <w:p w:rsidR="00566A85" w:rsidRPr="00F3384B" w:rsidRDefault="00566A85" w:rsidP="00566A85">
            <w:pPr>
              <w:rPr>
                <w:szCs w:val="20"/>
                <w:u w:val="single"/>
              </w:rPr>
            </w:pPr>
            <w:r w:rsidRPr="00F3384B">
              <w:rPr>
                <w:szCs w:val="20"/>
                <w:u w:val="single"/>
              </w:rPr>
              <w:t>Deductions:</w:t>
            </w:r>
          </w:p>
        </w:tc>
        <w:tc>
          <w:tcPr>
            <w:tcW w:w="1980" w:type="dxa"/>
            <w:tcBorders>
              <w:top w:val="nil"/>
              <w:left w:val="nil"/>
              <w:bottom w:val="nil"/>
              <w:right w:val="nil"/>
            </w:tcBorders>
            <w:tcMar>
              <w:top w:w="0" w:type="dxa"/>
              <w:left w:w="36" w:type="dxa"/>
              <w:bottom w:w="0" w:type="dxa"/>
              <w:right w:w="36" w:type="dxa"/>
            </w:tcMar>
            <w:hideMark/>
          </w:tcPr>
          <w:p w:rsidR="00566A85" w:rsidRPr="0020528E" w:rsidRDefault="00566A85">
            <w:pPr>
              <w:rPr>
                <w:szCs w:val="20"/>
              </w:rPr>
            </w:pPr>
          </w:p>
        </w:tc>
      </w:tr>
      <w:tr w:rsidR="00566A85" w:rsidRPr="0020528E" w:rsidTr="00F3384B">
        <w:tc>
          <w:tcPr>
            <w:tcW w:w="4590" w:type="dxa"/>
            <w:tcBorders>
              <w:top w:val="nil"/>
              <w:left w:val="nil"/>
              <w:bottom w:val="nil"/>
              <w:right w:val="nil"/>
            </w:tcBorders>
            <w:tcMar>
              <w:top w:w="0" w:type="dxa"/>
              <w:left w:w="36" w:type="dxa"/>
              <w:bottom w:w="0" w:type="dxa"/>
              <w:right w:w="36" w:type="dxa"/>
            </w:tcMar>
            <w:hideMark/>
          </w:tcPr>
          <w:p w:rsidR="00566A85" w:rsidRPr="0020528E" w:rsidRDefault="00566A85" w:rsidP="00566A85">
            <w:pPr>
              <w:rPr>
                <w:szCs w:val="20"/>
              </w:rPr>
            </w:pPr>
            <w:r w:rsidRPr="0020528E">
              <w:rPr>
                <w:szCs w:val="20"/>
              </w:rPr>
              <w:t>Section 62(a)(4) deductions:</w:t>
            </w:r>
          </w:p>
        </w:tc>
        <w:tc>
          <w:tcPr>
            <w:tcW w:w="1980" w:type="dxa"/>
            <w:tcBorders>
              <w:top w:val="nil"/>
              <w:left w:val="nil"/>
              <w:bottom w:val="nil"/>
              <w:right w:val="nil"/>
            </w:tcBorders>
            <w:tcMar>
              <w:top w:w="0" w:type="dxa"/>
              <w:left w:w="36" w:type="dxa"/>
              <w:bottom w:w="0" w:type="dxa"/>
              <w:right w:w="36" w:type="dxa"/>
            </w:tcMar>
            <w:hideMark/>
          </w:tcPr>
          <w:p w:rsidR="00566A85" w:rsidRPr="0020528E" w:rsidRDefault="00566A85">
            <w:pPr>
              <w:rPr>
                <w:szCs w:val="20"/>
              </w:rPr>
            </w:pPr>
          </w:p>
        </w:tc>
      </w:tr>
      <w:tr w:rsidR="00566A85" w:rsidRPr="0020528E" w:rsidTr="00F3384B">
        <w:tc>
          <w:tcPr>
            <w:tcW w:w="4590" w:type="dxa"/>
            <w:tcBorders>
              <w:top w:val="nil"/>
              <w:left w:val="nil"/>
              <w:bottom w:val="nil"/>
              <w:right w:val="nil"/>
            </w:tcBorders>
            <w:tcMar>
              <w:top w:w="0" w:type="dxa"/>
              <w:left w:w="36" w:type="dxa"/>
              <w:bottom w:w="0" w:type="dxa"/>
              <w:right w:w="36" w:type="dxa"/>
            </w:tcMar>
            <w:hideMark/>
          </w:tcPr>
          <w:p w:rsidR="00566A85" w:rsidRPr="0020528E" w:rsidRDefault="00F3384B" w:rsidP="00566A85">
            <w:pPr>
              <w:rPr>
                <w:szCs w:val="20"/>
              </w:rPr>
            </w:pPr>
            <w:r>
              <w:rPr>
                <w:szCs w:val="20"/>
              </w:rPr>
              <w:t xml:space="preserve">     </w:t>
            </w:r>
            <w:r w:rsidR="00566A85" w:rsidRPr="0020528E">
              <w:rPr>
                <w:szCs w:val="20"/>
              </w:rPr>
              <w:t>Rental real estate expenses</w:t>
            </w:r>
          </w:p>
        </w:tc>
        <w:tc>
          <w:tcPr>
            <w:tcW w:w="1980" w:type="dxa"/>
            <w:tcBorders>
              <w:top w:val="nil"/>
              <w:left w:val="nil"/>
              <w:bottom w:val="nil"/>
              <w:right w:val="nil"/>
            </w:tcBorders>
            <w:tcMar>
              <w:top w:w="0" w:type="dxa"/>
              <w:left w:w="36" w:type="dxa"/>
              <w:bottom w:w="0" w:type="dxa"/>
              <w:right w:w="36" w:type="dxa"/>
            </w:tcMar>
            <w:hideMark/>
          </w:tcPr>
          <w:p w:rsidR="00566A85" w:rsidRPr="0020528E" w:rsidRDefault="007C4C43" w:rsidP="00F3384B">
            <w:pPr>
              <w:rPr>
                <w:szCs w:val="20"/>
              </w:rPr>
            </w:pPr>
            <w:r>
              <w:rPr>
                <w:szCs w:val="20"/>
              </w:rPr>
              <w:t xml:space="preserve">  </w:t>
            </w:r>
            <w:r w:rsidR="00566A85" w:rsidRPr="0020528E">
              <w:rPr>
                <w:szCs w:val="20"/>
              </w:rPr>
              <w:t>2,000</w:t>
            </w:r>
          </w:p>
        </w:tc>
      </w:tr>
      <w:tr w:rsidR="00566A85" w:rsidRPr="0020528E" w:rsidTr="00F3384B">
        <w:tc>
          <w:tcPr>
            <w:tcW w:w="4590" w:type="dxa"/>
            <w:tcBorders>
              <w:top w:val="nil"/>
              <w:left w:val="nil"/>
              <w:bottom w:val="nil"/>
              <w:right w:val="nil"/>
            </w:tcBorders>
            <w:tcMar>
              <w:top w:w="0" w:type="dxa"/>
              <w:left w:w="36" w:type="dxa"/>
              <w:bottom w:w="0" w:type="dxa"/>
              <w:right w:w="36" w:type="dxa"/>
            </w:tcMar>
            <w:hideMark/>
          </w:tcPr>
          <w:p w:rsidR="00F3384B" w:rsidRDefault="00F3384B" w:rsidP="00566A85">
            <w:pPr>
              <w:rPr>
                <w:szCs w:val="20"/>
              </w:rPr>
            </w:pPr>
          </w:p>
          <w:p w:rsidR="00566A85" w:rsidRPr="0020528E" w:rsidRDefault="00566A85" w:rsidP="00566A85">
            <w:pPr>
              <w:rPr>
                <w:szCs w:val="20"/>
              </w:rPr>
            </w:pPr>
            <w:r w:rsidRPr="0020528E">
              <w:rPr>
                <w:szCs w:val="20"/>
              </w:rPr>
              <w:t>Section 67(e) deductions:</w:t>
            </w:r>
          </w:p>
        </w:tc>
        <w:tc>
          <w:tcPr>
            <w:tcW w:w="1980" w:type="dxa"/>
            <w:tcBorders>
              <w:top w:val="nil"/>
              <w:left w:val="nil"/>
              <w:bottom w:val="nil"/>
              <w:right w:val="nil"/>
            </w:tcBorders>
            <w:tcMar>
              <w:top w:w="0" w:type="dxa"/>
              <w:left w:w="36" w:type="dxa"/>
              <w:bottom w:w="0" w:type="dxa"/>
              <w:right w:w="36" w:type="dxa"/>
            </w:tcMar>
            <w:hideMark/>
          </w:tcPr>
          <w:p w:rsidR="00566A85" w:rsidRPr="0020528E" w:rsidRDefault="00566A85">
            <w:pPr>
              <w:rPr>
                <w:szCs w:val="20"/>
              </w:rPr>
            </w:pPr>
          </w:p>
        </w:tc>
      </w:tr>
      <w:tr w:rsidR="00566A85" w:rsidRPr="0020528E" w:rsidTr="00F3384B">
        <w:tc>
          <w:tcPr>
            <w:tcW w:w="4590" w:type="dxa"/>
            <w:tcBorders>
              <w:top w:val="nil"/>
              <w:left w:val="nil"/>
              <w:bottom w:val="nil"/>
              <w:right w:val="nil"/>
            </w:tcBorders>
            <w:tcMar>
              <w:top w:w="0" w:type="dxa"/>
              <w:left w:w="36" w:type="dxa"/>
              <w:bottom w:w="0" w:type="dxa"/>
              <w:right w:w="36" w:type="dxa"/>
            </w:tcMar>
            <w:hideMark/>
          </w:tcPr>
          <w:p w:rsidR="00566A85" w:rsidRPr="0020528E" w:rsidRDefault="00F3384B" w:rsidP="00566A85">
            <w:pPr>
              <w:rPr>
                <w:szCs w:val="20"/>
              </w:rPr>
            </w:pPr>
            <w:r>
              <w:rPr>
                <w:szCs w:val="20"/>
              </w:rPr>
              <w:t xml:space="preserve">     </w:t>
            </w:r>
            <w:r w:rsidR="00566A85" w:rsidRPr="0020528E">
              <w:rPr>
                <w:szCs w:val="20"/>
              </w:rPr>
              <w:t>Probate fees</w:t>
            </w:r>
            <w:r>
              <w:rPr>
                <w:szCs w:val="20"/>
              </w:rPr>
              <w:tab/>
            </w:r>
            <w:r>
              <w:rPr>
                <w:szCs w:val="20"/>
              </w:rPr>
              <w:tab/>
            </w:r>
            <w:r>
              <w:rPr>
                <w:szCs w:val="20"/>
              </w:rPr>
              <w:tab/>
            </w:r>
            <w:r>
              <w:rPr>
                <w:szCs w:val="20"/>
              </w:rPr>
              <w:tab/>
              <w:t xml:space="preserve">     1,500</w:t>
            </w:r>
          </w:p>
        </w:tc>
        <w:tc>
          <w:tcPr>
            <w:tcW w:w="1980" w:type="dxa"/>
            <w:tcBorders>
              <w:top w:val="nil"/>
              <w:left w:val="nil"/>
              <w:bottom w:val="nil"/>
              <w:right w:val="nil"/>
            </w:tcBorders>
            <w:tcMar>
              <w:top w:w="0" w:type="dxa"/>
              <w:left w:w="36" w:type="dxa"/>
              <w:bottom w:w="0" w:type="dxa"/>
              <w:right w:w="36" w:type="dxa"/>
            </w:tcMar>
            <w:hideMark/>
          </w:tcPr>
          <w:p w:rsidR="00566A85" w:rsidRPr="0020528E" w:rsidRDefault="00566A85" w:rsidP="00F3384B">
            <w:pPr>
              <w:rPr>
                <w:szCs w:val="20"/>
              </w:rPr>
            </w:pPr>
          </w:p>
        </w:tc>
      </w:tr>
      <w:tr w:rsidR="00566A85" w:rsidRPr="0020528E" w:rsidTr="00F3384B">
        <w:tc>
          <w:tcPr>
            <w:tcW w:w="4590" w:type="dxa"/>
            <w:tcBorders>
              <w:top w:val="nil"/>
              <w:left w:val="nil"/>
              <w:bottom w:val="nil"/>
              <w:right w:val="nil"/>
            </w:tcBorders>
            <w:tcMar>
              <w:top w:w="0" w:type="dxa"/>
              <w:left w:w="36" w:type="dxa"/>
              <w:bottom w:w="0" w:type="dxa"/>
              <w:right w:w="36" w:type="dxa"/>
            </w:tcMar>
            <w:hideMark/>
          </w:tcPr>
          <w:p w:rsidR="00566A85" w:rsidRPr="0020528E" w:rsidRDefault="00F3384B" w:rsidP="00566A85">
            <w:pPr>
              <w:rPr>
                <w:szCs w:val="20"/>
              </w:rPr>
            </w:pPr>
            <w:r>
              <w:rPr>
                <w:szCs w:val="20"/>
              </w:rPr>
              <w:t xml:space="preserve">     </w:t>
            </w:r>
            <w:r w:rsidR="00566A85" w:rsidRPr="0020528E">
              <w:rPr>
                <w:szCs w:val="20"/>
              </w:rPr>
              <w:t>Estate tax preparation fees</w:t>
            </w:r>
            <w:r>
              <w:rPr>
                <w:szCs w:val="20"/>
              </w:rPr>
              <w:tab/>
            </w:r>
            <w:r>
              <w:rPr>
                <w:szCs w:val="20"/>
              </w:rPr>
              <w:tab/>
              <w:t xml:space="preserve">     8,000</w:t>
            </w:r>
          </w:p>
        </w:tc>
        <w:tc>
          <w:tcPr>
            <w:tcW w:w="1980" w:type="dxa"/>
            <w:tcBorders>
              <w:top w:val="nil"/>
              <w:left w:val="nil"/>
              <w:bottom w:val="nil"/>
              <w:right w:val="nil"/>
            </w:tcBorders>
            <w:tcMar>
              <w:top w:w="0" w:type="dxa"/>
              <w:left w:w="36" w:type="dxa"/>
              <w:bottom w:w="0" w:type="dxa"/>
              <w:right w:w="36" w:type="dxa"/>
            </w:tcMar>
            <w:hideMark/>
          </w:tcPr>
          <w:p w:rsidR="00566A85" w:rsidRPr="0020528E" w:rsidRDefault="00566A85" w:rsidP="00F3384B">
            <w:pPr>
              <w:rPr>
                <w:szCs w:val="20"/>
              </w:rPr>
            </w:pPr>
          </w:p>
        </w:tc>
      </w:tr>
      <w:tr w:rsidR="00566A85" w:rsidRPr="0020528E" w:rsidTr="00F3384B">
        <w:tc>
          <w:tcPr>
            <w:tcW w:w="4590" w:type="dxa"/>
            <w:tcBorders>
              <w:top w:val="nil"/>
              <w:left w:val="nil"/>
              <w:bottom w:val="nil"/>
              <w:right w:val="nil"/>
            </w:tcBorders>
            <w:tcMar>
              <w:top w:w="0" w:type="dxa"/>
              <w:left w:w="36" w:type="dxa"/>
              <w:bottom w:w="0" w:type="dxa"/>
              <w:right w:w="36" w:type="dxa"/>
            </w:tcMar>
            <w:hideMark/>
          </w:tcPr>
          <w:p w:rsidR="00566A85" w:rsidRPr="0020528E" w:rsidRDefault="00F3384B" w:rsidP="00566A85">
            <w:pPr>
              <w:rPr>
                <w:szCs w:val="20"/>
              </w:rPr>
            </w:pPr>
            <w:r>
              <w:rPr>
                <w:szCs w:val="20"/>
              </w:rPr>
              <w:t xml:space="preserve">     </w:t>
            </w:r>
            <w:r w:rsidR="00566A85" w:rsidRPr="0020528E">
              <w:rPr>
                <w:szCs w:val="20"/>
              </w:rPr>
              <w:t>Legal fees</w:t>
            </w:r>
            <w:r>
              <w:rPr>
                <w:szCs w:val="20"/>
              </w:rPr>
              <w:tab/>
            </w:r>
            <w:r>
              <w:rPr>
                <w:szCs w:val="20"/>
              </w:rPr>
              <w:tab/>
            </w:r>
            <w:r>
              <w:rPr>
                <w:szCs w:val="20"/>
              </w:rPr>
              <w:tab/>
            </w:r>
            <w:r>
              <w:rPr>
                <w:szCs w:val="20"/>
              </w:rPr>
              <w:tab/>
              <w:t xml:space="preserve">     2,500</w:t>
            </w:r>
          </w:p>
        </w:tc>
        <w:tc>
          <w:tcPr>
            <w:tcW w:w="1980" w:type="dxa"/>
            <w:tcBorders>
              <w:top w:val="nil"/>
              <w:left w:val="nil"/>
              <w:bottom w:val="nil"/>
              <w:right w:val="nil"/>
            </w:tcBorders>
            <w:tcMar>
              <w:top w:w="0" w:type="dxa"/>
              <w:left w:w="36" w:type="dxa"/>
              <w:bottom w:w="0" w:type="dxa"/>
              <w:right w:w="36" w:type="dxa"/>
            </w:tcMar>
            <w:hideMark/>
          </w:tcPr>
          <w:p w:rsidR="00566A85" w:rsidRPr="0020528E" w:rsidRDefault="00566A85" w:rsidP="00F3384B">
            <w:pPr>
              <w:rPr>
                <w:szCs w:val="20"/>
              </w:rPr>
            </w:pPr>
          </w:p>
        </w:tc>
      </w:tr>
      <w:tr w:rsidR="00566A85" w:rsidRPr="0020528E" w:rsidTr="00F3384B">
        <w:tc>
          <w:tcPr>
            <w:tcW w:w="4590" w:type="dxa"/>
            <w:tcBorders>
              <w:top w:val="nil"/>
              <w:left w:val="nil"/>
              <w:bottom w:val="nil"/>
              <w:right w:val="nil"/>
            </w:tcBorders>
            <w:tcMar>
              <w:top w:w="0" w:type="dxa"/>
              <w:left w:w="36" w:type="dxa"/>
              <w:bottom w:w="0" w:type="dxa"/>
              <w:right w:w="36" w:type="dxa"/>
            </w:tcMar>
            <w:hideMark/>
          </w:tcPr>
          <w:p w:rsidR="00566A85" w:rsidRPr="0020528E" w:rsidRDefault="00F3384B" w:rsidP="00566A85">
            <w:pPr>
              <w:rPr>
                <w:szCs w:val="20"/>
              </w:rPr>
            </w:pPr>
            <w:r>
              <w:rPr>
                <w:szCs w:val="20"/>
              </w:rPr>
              <w:t xml:space="preserve">          </w:t>
            </w:r>
            <w:r w:rsidR="00566A85" w:rsidRPr="0020528E">
              <w:rPr>
                <w:szCs w:val="20"/>
              </w:rPr>
              <w:t>Total Section 67(e) deductions</w:t>
            </w:r>
          </w:p>
        </w:tc>
        <w:tc>
          <w:tcPr>
            <w:tcW w:w="1980" w:type="dxa"/>
            <w:tcBorders>
              <w:top w:val="nil"/>
              <w:left w:val="nil"/>
              <w:bottom w:val="nil"/>
              <w:right w:val="nil"/>
            </w:tcBorders>
            <w:tcMar>
              <w:top w:w="0" w:type="dxa"/>
              <w:left w:w="36" w:type="dxa"/>
              <w:bottom w:w="0" w:type="dxa"/>
              <w:right w:w="36" w:type="dxa"/>
            </w:tcMar>
            <w:hideMark/>
          </w:tcPr>
          <w:p w:rsidR="00566A85" w:rsidRPr="0020528E" w:rsidRDefault="00566A85" w:rsidP="007C4C43">
            <w:pPr>
              <w:rPr>
                <w:szCs w:val="20"/>
              </w:rPr>
            </w:pPr>
            <w:r w:rsidRPr="0020528E">
              <w:rPr>
                <w:szCs w:val="20"/>
              </w:rPr>
              <w:t>12,000</w:t>
            </w:r>
          </w:p>
        </w:tc>
      </w:tr>
      <w:tr w:rsidR="00566A85" w:rsidRPr="0020528E" w:rsidTr="00F3384B">
        <w:tc>
          <w:tcPr>
            <w:tcW w:w="4590" w:type="dxa"/>
            <w:tcBorders>
              <w:top w:val="nil"/>
              <w:left w:val="nil"/>
              <w:bottom w:val="nil"/>
              <w:right w:val="nil"/>
            </w:tcBorders>
            <w:tcMar>
              <w:top w:w="0" w:type="dxa"/>
              <w:left w:w="36" w:type="dxa"/>
              <w:bottom w:w="0" w:type="dxa"/>
              <w:right w:w="36" w:type="dxa"/>
            </w:tcMar>
            <w:hideMark/>
          </w:tcPr>
          <w:p w:rsidR="00F3384B" w:rsidRDefault="00F3384B" w:rsidP="00566A85">
            <w:pPr>
              <w:rPr>
                <w:szCs w:val="20"/>
              </w:rPr>
            </w:pPr>
          </w:p>
          <w:p w:rsidR="00566A85" w:rsidRPr="0020528E" w:rsidRDefault="00566A85" w:rsidP="00566A85">
            <w:pPr>
              <w:rPr>
                <w:szCs w:val="20"/>
              </w:rPr>
            </w:pPr>
            <w:r w:rsidRPr="0020528E">
              <w:rPr>
                <w:szCs w:val="20"/>
              </w:rPr>
              <w:t>Non-miscellaneous itemized deductions:</w:t>
            </w:r>
          </w:p>
        </w:tc>
        <w:tc>
          <w:tcPr>
            <w:tcW w:w="1980" w:type="dxa"/>
            <w:tcBorders>
              <w:top w:val="nil"/>
              <w:left w:val="nil"/>
              <w:bottom w:val="nil"/>
              <w:right w:val="nil"/>
            </w:tcBorders>
            <w:tcMar>
              <w:top w:w="0" w:type="dxa"/>
              <w:left w:w="36" w:type="dxa"/>
              <w:bottom w:w="0" w:type="dxa"/>
              <w:right w:w="36" w:type="dxa"/>
            </w:tcMar>
            <w:hideMark/>
          </w:tcPr>
          <w:p w:rsidR="00566A85" w:rsidRPr="0020528E" w:rsidRDefault="00566A85">
            <w:pPr>
              <w:rPr>
                <w:szCs w:val="20"/>
              </w:rPr>
            </w:pPr>
          </w:p>
        </w:tc>
      </w:tr>
      <w:tr w:rsidR="00566A85" w:rsidRPr="0020528E" w:rsidTr="00F3384B">
        <w:tc>
          <w:tcPr>
            <w:tcW w:w="4590" w:type="dxa"/>
            <w:tcBorders>
              <w:top w:val="nil"/>
              <w:left w:val="nil"/>
              <w:bottom w:val="nil"/>
              <w:right w:val="nil"/>
            </w:tcBorders>
            <w:tcMar>
              <w:top w:w="0" w:type="dxa"/>
              <w:left w:w="36" w:type="dxa"/>
              <w:bottom w:w="0" w:type="dxa"/>
              <w:right w:w="36" w:type="dxa"/>
            </w:tcMar>
            <w:hideMark/>
          </w:tcPr>
          <w:p w:rsidR="00566A85" w:rsidRPr="0020528E" w:rsidRDefault="00F3384B" w:rsidP="00566A85">
            <w:pPr>
              <w:rPr>
                <w:szCs w:val="20"/>
              </w:rPr>
            </w:pPr>
            <w:r>
              <w:rPr>
                <w:szCs w:val="20"/>
              </w:rPr>
              <w:t xml:space="preserve">     </w:t>
            </w:r>
            <w:r w:rsidR="00566A85" w:rsidRPr="0020528E">
              <w:rPr>
                <w:szCs w:val="20"/>
              </w:rPr>
              <w:t>Personal property taxes</w:t>
            </w:r>
          </w:p>
        </w:tc>
        <w:tc>
          <w:tcPr>
            <w:tcW w:w="1980" w:type="dxa"/>
            <w:tcBorders>
              <w:top w:val="nil"/>
              <w:left w:val="nil"/>
              <w:bottom w:val="nil"/>
              <w:right w:val="nil"/>
            </w:tcBorders>
            <w:tcMar>
              <w:top w:w="0" w:type="dxa"/>
              <w:left w:w="36" w:type="dxa"/>
              <w:bottom w:w="0" w:type="dxa"/>
              <w:right w:w="36" w:type="dxa"/>
            </w:tcMar>
            <w:hideMark/>
          </w:tcPr>
          <w:p w:rsidR="00566A85" w:rsidRPr="007C4C43" w:rsidRDefault="007C4C43" w:rsidP="007C4C43">
            <w:pPr>
              <w:rPr>
                <w:szCs w:val="20"/>
                <w:u w:val="single"/>
              </w:rPr>
            </w:pPr>
            <w:r>
              <w:rPr>
                <w:szCs w:val="20"/>
                <w:u w:val="single"/>
              </w:rPr>
              <w:t xml:space="preserve">  </w:t>
            </w:r>
            <w:r w:rsidR="00566A85" w:rsidRPr="007C4C43">
              <w:rPr>
                <w:szCs w:val="20"/>
                <w:u w:val="single"/>
              </w:rPr>
              <w:t>3,500</w:t>
            </w:r>
          </w:p>
        </w:tc>
      </w:tr>
      <w:tr w:rsidR="00566A85" w:rsidRPr="0020528E" w:rsidTr="00F3384B">
        <w:tc>
          <w:tcPr>
            <w:tcW w:w="4590" w:type="dxa"/>
            <w:tcBorders>
              <w:top w:val="nil"/>
              <w:left w:val="nil"/>
              <w:bottom w:val="single" w:sz="6" w:space="0" w:color="CCCCCC"/>
              <w:right w:val="nil"/>
            </w:tcBorders>
            <w:tcMar>
              <w:top w:w="0" w:type="dxa"/>
              <w:left w:w="36" w:type="dxa"/>
              <w:bottom w:w="0" w:type="dxa"/>
              <w:right w:w="36" w:type="dxa"/>
            </w:tcMar>
            <w:hideMark/>
          </w:tcPr>
          <w:p w:rsidR="00566A85" w:rsidRPr="0020528E" w:rsidRDefault="00F3384B" w:rsidP="00566A85">
            <w:pPr>
              <w:rPr>
                <w:szCs w:val="20"/>
              </w:rPr>
            </w:pPr>
            <w:r>
              <w:rPr>
                <w:szCs w:val="20"/>
              </w:rPr>
              <w:t xml:space="preserve">           </w:t>
            </w:r>
            <w:r w:rsidR="00566A85" w:rsidRPr="0020528E">
              <w:rPr>
                <w:szCs w:val="20"/>
              </w:rPr>
              <w:t>Total deductions</w:t>
            </w:r>
          </w:p>
        </w:tc>
        <w:tc>
          <w:tcPr>
            <w:tcW w:w="1980" w:type="dxa"/>
            <w:tcBorders>
              <w:top w:val="nil"/>
              <w:left w:val="nil"/>
              <w:bottom w:val="single" w:sz="6" w:space="0" w:color="CCCCCC"/>
              <w:right w:val="nil"/>
            </w:tcBorders>
            <w:tcMar>
              <w:top w:w="0" w:type="dxa"/>
              <w:left w:w="36" w:type="dxa"/>
              <w:bottom w:w="0" w:type="dxa"/>
              <w:right w:w="36" w:type="dxa"/>
            </w:tcMar>
            <w:hideMark/>
          </w:tcPr>
          <w:p w:rsidR="00566A85" w:rsidRPr="0020528E" w:rsidRDefault="00566A85" w:rsidP="00566A85">
            <w:pPr>
              <w:jc w:val="right"/>
              <w:rPr>
                <w:szCs w:val="20"/>
              </w:rPr>
            </w:pPr>
            <w:r w:rsidRPr="0020528E">
              <w:rPr>
                <w:szCs w:val="20"/>
              </w:rPr>
              <w:t>17,500</w:t>
            </w:r>
          </w:p>
        </w:tc>
      </w:tr>
    </w:tbl>
    <w:p w:rsidR="0020528E" w:rsidRDefault="0020528E" w:rsidP="00566A85">
      <w:pPr>
        <w:rPr>
          <w:color w:val="212121"/>
          <w:szCs w:val="20"/>
        </w:rPr>
      </w:pPr>
    </w:p>
    <w:p w:rsidR="00566A85" w:rsidRPr="00175932" w:rsidRDefault="00566A85" w:rsidP="00175932">
      <w:pPr>
        <w:pStyle w:val="QS10"/>
      </w:pPr>
      <w:r w:rsidRPr="00175932">
        <w:t>(2) Determination of character. Pursuant to § 1.642(h)-2(b)(2), the character and amount of the excess deductions is determined by allocating the deductions among the estate's items of income as provided under § 1.652(b)-3. Under § 1.652(b)-3(a), the $2,000 of rental real estate expenses is allocated to the $2,000 of rental income. In the exercise of the executor's discretion pursuant to § 1.652(b)-3(b), D's executor allocates $3,500 of personal property taxes and $1,000 of section 67(e) deductions to the remaining income. As a result, the excess deductions on termination of the estate are $11,000, all consisting of section 67(e) deductions.</w:t>
      </w:r>
    </w:p>
    <w:p w:rsidR="00566A85" w:rsidRPr="00175932" w:rsidRDefault="00566A85" w:rsidP="00175932">
      <w:pPr>
        <w:pStyle w:val="QS10"/>
      </w:pPr>
      <w:r w:rsidRPr="00175932">
        <w:t>(3) Allocations among beneficiaries. Pursuant to § 1.642(h)-4, the excess deductions are allocated in accordance with E's (75 percent) and F's (25 percent) interests in the residuary estate. E's share of the excess deductions is $8,250, all consisting of section 67(e) deductions. F's share of the excess deductions is $2,750, also all consisting of section 67(e) deductions.</w:t>
      </w:r>
    </w:p>
    <w:p w:rsidR="00981D2C" w:rsidRPr="00175932" w:rsidRDefault="00566A85" w:rsidP="00175932">
      <w:pPr>
        <w:pStyle w:val="QS10"/>
      </w:pPr>
      <w:r w:rsidRPr="00175932">
        <w:t>(4) Separate statement. If the executor instead allocated $4,500 of section 67(e) deductions to the remaining income of the estate, the excess deductions on termination of the estate would be $11,000, consisting of $7,500 of section 67(e) deductions and $3,500 of personal property taxes. The non-miscellaneous itemized deduction for personal property taxes may be subject to limitation on the returns of both B and C's trust under section 164(b)(6)(B) and would have to be separately stated as provided in § 1.642(h)-2(b)(1).</w:t>
      </w:r>
    </w:p>
    <w:p w:rsidR="00981D2C" w:rsidRDefault="00981D2C" w:rsidP="007469BB">
      <w:pPr>
        <w:pStyle w:val="Body15"/>
      </w:pPr>
      <w:r>
        <w:t>Example 2 above was criticized as it appeared in the proposed regulations which resulted in the modification:</w:t>
      </w:r>
    </w:p>
    <w:p w:rsidR="007C4C43" w:rsidRPr="007C4C43" w:rsidRDefault="007C4C43" w:rsidP="007C4C43">
      <w:pPr>
        <w:pStyle w:val="QS10"/>
      </w:pPr>
      <w:r w:rsidRPr="007C4C43">
        <w:t>Section </w:t>
      </w:r>
      <w:hyperlink r:id="rId36" w:history="1">
        <w:r w:rsidRPr="007C4C43">
          <w:rPr>
            <w:rStyle w:val="Hyperlink"/>
            <w:color w:val="auto"/>
            <w:u w:val="none"/>
          </w:rPr>
          <w:t>§ 1.642(h)-5(b)</w:t>
        </w:r>
      </w:hyperlink>
      <w:r w:rsidRPr="007C4C43">
        <w:t>, Example 2, of the proposed regulations (Example 2) demonstrates computations under </w:t>
      </w:r>
      <w:hyperlink r:id="rId37" w:anchor="co_pp_1d410000745d2" w:history="1">
        <w:r w:rsidRPr="007C4C43">
          <w:rPr>
            <w:rStyle w:val="Hyperlink"/>
            <w:color w:val="auto"/>
            <w:u w:val="none"/>
          </w:rPr>
          <w:t>section 642(h)(2)</w:t>
        </w:r>
      </w:hyperlink>
      <w:r w:rsidRPr="007C4C43">
        <w:t>. The expenses in Example 2 include rental real estate taxes in an attempt to illustrate a deduction subject to limitation under </w:t>
      </w:r>
      <w:hyperlink r:id="rId38" w:anchor="co_pp_61d20000b6d76" w:history="1">
        <w:r w:rsidRPr="007C4C43">
          <w:rPr>
            <w:rStyle w:val="Hyperlink"/>
            <w:color w:val="auto"/>
            <w:u w:val="none"/>
          </w:rPr>
          <w:t>section 164(b)(6)</w:t>
        </w:r>
      </w:hyperlink>
      <w:r w:rsidRPr="007C4C43">
        <w:t> to the beneficiary that must be separately stated as provided in </w:t>
      </w:r>
      <w:hyperlink r:id="rId39" w:anchor="co_pp_a83b000018c76" w:history="1">
        <w:r w:rsidRPr="007C4C43">
          <w:rPr>
            <w:rStyle w:val="Hyperlink"/>
            <w:color w:val="auto"/>
            <w:u w:val="none"/>
          </w:rPr>
          <w:t>§ 1.642(h)-2(b)(1)</w:t>
        </w:r>
      </w:hyperlink>
      <w:r w:rsidRPr="007C4C43">
        <w:t>.</w:t>
      </w:r>
    </w:p>
    <w:p w:rsidR="007C4C43" w:rsidRPr="007C4C43" w:rsidRDefault="007C4C43" w:rsidP="007C4C43">
      <w:pPr>
        <w:pStyle w:val="QS10"/>
      </w:pPr>
      <w:r w:rsidRPr="007C4C43">
        <w:t>Multiple commenters noted that Example 2 raises several issues that could be potentially relevant to that example, such as whether the decedent was in a trade or business and the application of </w:t>
      </w:r>
      <w:hyperlink r:id="rId40" w:history="1">
        <w:r w:rsidRPr="007C4C43">
          <w:rPr>
            <w:rStyle w:val="Hyperlink"/>
            <w:color w:val="auto"/>
            <w:u w:val="none"/>
          </w:rPr>
          <w:t>section 469</w:t>
        </w:r>
      </w:hyperlink>
      <w:r w:rsidRPr="007C4C43">
        <w:t> to estates and trusts. To avoid these issues, which are extraneous to the point being illustrated, one commenter suggested that the example be revised so that the entire amount of real estate expenses on rental property equals the amount of rental income. The Treasury Department and the IRS did not intend to raise such issues in the example and consider both issues to be outside the scope of these regulations. Accordingly, the Treasury Department and the IRS adopt the suggestion by the commenter and modify Example 2 to avoid these issues by having rental real estate expenses entirely offset rental income with no unused deduction.</w:t>
      </w:r>
    </w:p>
    <w:p w:rsidR="007C4C43" w:rsidRPr="007C4C43" w:rsidRDefault="007C4C43" w:rsidP="007C4C43">
      <w:pPr>
        <w:pStyle w:val="QS10"/>
      </w:pPr>
      <w:r w:rsidRPr="007C4C43">
        <w:t>Commenters also noted that Example 2 does not properly allocate rental real estate expenses because the example characterizes the rental real estate taxes as itemized deductions. These commenters asserted that real estate taxes on property held for the production of rental income are not itemized deductions but instead are allowed in computing gross income and cited to </w:t>
      </w:r>
      <w:hyperlink r:id="rId41" w:anchor="co_pp_d40e000072291" w:history="1">
        <w:r w:rsidRPr="007C4C43">
          <w:rPr>
            <w:rStyle w:val="Hyperlink"/>
            <w:color w:val="auto"/>
            <w:u w:val="none"/>
          </w:rPr>
          <w:t>section 62(a)(4)</w:t>
        </w:r>
      </w:hyperlink>
      <w:r w:rsidRPr="007C4C43">
        <w:t> as providing that ordinary and necessary expenses paid or incurred during the taxable year for the management, conservation, or maintenance of property held for the production of income under </w:t>
      </w:r>
      <w:hyperlink r:id="rId42" w:anchor="co_pp_58730000872b1" w:history="1">
        <w:r w:rsidRPr="007C4C43">
          <w:rPr>
            <w:rStyle w:val="Hyperlink"/>
            <w:color w:val="auto"/>
            <w:u w:val="none"/>
          </w:rPr>
          <w:t>section 212(2)</w:t>
        </w:r>
      </w:hyperlink>
      <w:r w:rsidRPr="007C4C43">
        <w:t> that are attributable to property held for the production of rents are deductible as above-the-line deductions in arriving at adjusted gross income. One commenter suggested that, if the goal of Example 2 is to illustrate state and local taxes passing through to the beneficiary, then the example should include state income taxes rather than real estate taxes on rental real estate. The Treasury Department and the IRS have revised this example in the final regulations to include personal property tax paid by the trust rather than taxes attributable to rental real estate.</w:t>
      </w:r>
    </w:p>
    <w:p w:rsidR="007C4C43" w:rsidRPr="007C4C43" w:rsidRDefault="007C4C43" w:rsidP="007C4C43">
      <w:pPr>
        <w:pStyle w:val="QS10"/>
      </w:pPr>
      <w:r w:rsidRPr="007C4C43">
        <w:t>Lastly, commenters noted that Example 2 does not demonstrate the broad range of trustee discretion in </w:t>
      </w:r>
      <w:hyperlink r:id="rId43" w:anchor="co_pp_a83b000018c76" w:history="1">
        <w:r w:rsidRPr="007C4C43">
          <w:rPr>
            <w:rStyle w:val="Hyperlink"/>
            <w:color w:val="auto"/>
            <w:u w:val="none"/>
          </w:rPr>
          <w:t>§ 1.652(b)-3(b)</w:t>
        </w:r>
      </w:hyperlink>
      <w:r w:rsidRPr="007C4C43">
        <w:t> and </w:t>
      </w:r>
      <w:hyperlink r:id="rId44" w:anchor="co_pp_5ba1000067d06" w:history="1">
        <w:r w:rsidRPr="007C4C43">
          <w:rPr>
            <w:rStyle w:val="Hyperlink"/>
            <w:color w:val="auto"/>
            <w:u w:val="none"/>
          </w:rPr>
          <w:t>(d)</w:t>
        </w:r>
      </w:hyperlink>
      <w:r w:rsidRPr="007C4C43">
        <w:t> for deductions that are not directly attributable to a class of income, or deductions that are, but which exceed such class of income, respectively. In response to these comments, the Treasury Department and the IRS have modified Example 2 to illustrate the application of trustee discretion as found in </w:t>
      </w:r>
      <w:hyperlink r:id="rId45" w:anchor="co_pp_a83b000018c76" w:history="1">
        <w:r w:rsidRPr="007C4C43">
          <w:rPr>
            <w:rStyle w:val="Hyperlink"/>
            <w:color w:val="auto"/>
            <w:u w:val="none"/>
          </w:rPr>
          <w:t>§ 1.652(b)-3(b)</w:t>
        </w:r>
      </w:hyperlink>
      <w:r w:rsidRPr="007C4C43">
        <w:t> and </w:t>
      </w:r>
      <w:hyperlink r:id="rId46" w:anchor="co_pp_5ba1000067d06" w:history="1">
        <w:r w:rsidRPr="007C4C43">
          <w:rPr>
            <w:rStyle w:val="Hyperlink"/>
            <w:color w:val="auto"/>
            <w:u w:val="none"/>
          </w:rPr>
          <w:t>(d)</w:t>
        </w:r>
      </w:hyperlink>
      <w:r w:rsidRPr="007C4C43">
        <w:t>.</w:t>
      </w:r>
    </w:p>
    <w:p w:rsidR="00A1638F" w:rsidRDefault="007469BB" w:rsidP="00A1638F">
      <w:pPr>
        <w:pStyle w:val="Body15"/>
      </w:pPr>
      <w:r>
        <w:t>Section</w:t>
      </w:r>
      <w:r w:rsidR="00C64050">
        <w:t xml:space="preserve"> </w:t>
      </w:r>
      <w:r w:rsidR="00CE47C2" w:rsidRPr="00CE47C2">
        <w:t>643(f)</w:t>
      </w:r>
      <w:r w:rsidR="00C64050">
        <w:t xml:space="preserve"> </w:t>
      </w:r>
      <w:r w:rsidR="00CE47C2" w:rsidRPr="00CE47C2">
        <w:t>provides</w:t>
      </w:r>
      <w:r w:rsidR="00C64050">
        <w:t xml:space="preserve"> </w:t>
      </w:r>
      <w:r w:rsidR="00CE47C2" w:rsidRPr="00CE47C2">
        <w:t>that,</w:t>
      </w:r>
      <w:r w:rsidR="00C64050">
        <w:t xml:space="preserve"> </w:t>
      </w:r>
      <w:r w:rsidR="00CE47C2" w:rsidRPr="00CE47C2">
        <w:t>for</w:t>
      </w:r>
      <w:r w:rsidR="00C64050">
        <w:t xml:space="preserve"> </w:t>
      </w:r>
      <w:r w:rsidR="00CE47C2" w:rsidRPr="00CE47C2">
        <w:t>purposes</w:t>
      </w:r>
      <w:r w:rsidR="00C64050">
        <w:t xml:space="preserve"> </w:t>
      </w:r>
      <w:r w:rsidR="00CE47C2" w:rsidRPr="00CE47C2">
        <w:t>of</w:t>
      </w:r>
      <w:r w:rsidR="00C64050">
        <w:t xml:space="preserve"> </w:t>
      </w:r>
      <w:r w:rsidR="00CE47C2" w:rsidRPr="00CE47C2">
        <w:t>subchapter</w:t>
      </w:r>
      <w:r w:rsidR="00C64050">
        <w:t xml:space="preserve"> </w:t>
      </w:r>
      <w:r w:rsidR="00CE47C2" w:rsidRPr="00CE47C2">
        <w:t>J</w:t>
      </w:r>
      <w:r w:rsidR="00C64050">
        <w:t xml:space="preserve"> </w:t>
      </w:r>
      <w:r w:rsidR="00CE47C2" w:rsidRPr="00CE47C2">
        <w:t>of</w:t>
      </w:r>
      <w:r w:rsidR="00C64050">
        <w:t xml:space="preserve"> </w:t>
      </w:r>
      <w:r w:rsidR="00CE47C2" w:rsidRPr="00CE47C2">
        <w:t>the</w:t>
      </w:r>
      <w:r w:rsidR="00C64050">
        <w:t xml:space="preserve"> </w:t>
      </w:r>
      <w:r>
        <w:t>Code</w:t>
      </w:r>
      <w:r w:rsidR="00C64050">
        <w:t xml:space="preserve"> </w:t>
      </w:r>
      <w:r w:rsidR="00CE47C2" w:rsidRPr="00CE47C2">
        <w:t>(§§</w:t>
      </w:r>
      <w:r w:rsidR="00C64050">
        <w:t xml:space="preserve"> </w:t>
      </w:r>
      <w:r w:rsidR="00CE47C2" w:rsidRPr="00CE47C2">
        <w:t>641-685),</w:t>
      </w:r>
      <w:r w:rsidR="00C64050">
        <w:t xml:space="preserve"> </w:t>
      </w:r>
      <w:r w:rsidR="00CE47C2" w:rsidRPr="00CE47C2">
        <w:t>pursuant</w:t>
      </w:r>
      <w:r w:rsidR="00C64050">
        <w:t xml:space="preserve"> </w:t>
      </w:r>
      <w:r w:rsidR="00CE47C2" w:rsidRPr="00CE47C2">
        <w:t>to</w:t>
      </w:r>
      <w:r w:rsidR="00C64050">
        <w:t xml:space="preserve"> </w:t>
      </w:r>
      <w:r w:rsidR="00CE47C2" w:rsidRPr="00CE47C2">
        <w:t>regulations,</w:t>
      </w:r>
      <w:r w:rsidR="00C64050">
        <w:t xml:space="preserve"> </w:t>
      </w:r>
      <w:r w:rsidR="00CE47C2" w:rsidRPr="00CE47C2">
        <w:t>two</w:t>
      </w:r>
      <w:r w:rsidR="00C64050">
        <w:t xml:space="preserve"> </w:t>
      </w:r>
      <w:r w:rsidR="00CE47C2" w:rsidRPr="00CE47C2">
        <w:t>or</w:t>
      </w:r>
      <w:r w:rsidR="00C64050">
        <w:t xml:space="preserve"> </w:t>
      </w:r>
      <w:r w:rsidR="00CE47C2" w:rsidRPr="00CE47C2">
        <w:t>more</w:t>
      </w:r>
      <w:r w:rsidR="00C64050">
        <w:t xml:space="preserve"> </w:t>
      </w:r>
      <w:r w:rsidR="00CE47C2" w:rsidRPr="00CE47C2">
        <w:t>trusts</w:t>
      </w:r>
      <w:r w:rsidR="00C64050">
        <w:t xml:space="preserve"> </w:t>
      </w:r>
      <w:r w:rsidR="00CE47C2" w:rsidRPr="00CE47C2">
        <w:t>shall</w:t>
      </w:r>
      <w:r w:rsidR="00C64050">
        <w:t xml:space="preserve"> </w:t>
      </w:r>
      <w:r w:rsidR="00CE47C2" w:rsidRPr="00CE47C2">
        <w:t>be</w:t>
      </w:r>
      <w:r w:rsidR="00C64050">
        <w:t xml:space="preserve"> </w:t>
      </w:r>
      <w:r w:rsidR="00CE47C2" w:rsidRPr="00CE47C2">
        <w:t>treated</w:t>
      </w:r>
      <w:r w:rsidR="00C64050">
        <w:t xml:space="preserve"> </w:t>
      </w:r>
      <w:r w:rsidR="00CE47C2" w:rsidRPr="00CE47C2">
        <w:t>as</w:t>
      </w:r>
      <w:r w:rsidR="00C64050">
        <w:t xml:space="preserve"> </w:t>
      </w:r>
      <w:r w:rsidR="00CE47C2" w:rsidRPr="00CE47C2">
        <w:t>one</w:t>
      </w:r>
      <w:r w:rsidR="00C64050">
        <w:t xml:space="preserve"> </w:t>
      </w:r>
      <w:r w:rsidR="00CE47C2" w:rsidRPr="00CE47C2">
        <w:t>trust</w:t>
      </w:r>
      <w:r w:rsidR="00C64050">
        <w:t xml:space="preserve"> </w:t>
      </w:r>
      <w:r w:rsidR="00CE47C2" w:rsidRPr="00CE47C2">
        <w:t>if:</w:t>
      </w:r>
      <w:r w:rsidR="00C64050">
        <w:t xml:space="preserve">  </w:t>
      </w:r>
      <w:r w:rsidR="00CE47C2" w:rsidRPr="00CE47C2">
        <w:t>(1)</w:t>
      </w:r>
      <w:r w:rsidR="00C64050">
        <w:t xml:space="preserve"> </w:t>
      </w:r>
      <w:r w:rsidR="00CE47C2" w:rsidRPr="00CE47C2">
        <w:t>such</w:t>
      </w:r>
      <w:r w:rsidR="00C64050">
        <w:t xml:space="preserve"> </w:t>
      </w:r>
      <w:r w:rsidR="00CE47C2" w:rsidRPr="00CE47C2">
        <w:t>trusts</w:t>
      </w:r>
      <w:r w:rsidR="00C64050">
        <w:t xml:space="preserve"> </w:t>
      </w:r>
      <w:r w:rsidR="00CE47C2" w:rsidRPr="00CE47C2">
        <w:t>have</w:t>
      </w:r>
      <w:r w:rsidR="00C64050">
        <w:t xml:space="preserve"> </w:t>
      </w:r>
      <w:r w:rsidR="00CE47C2" w:rsidRPr="00CE47C2">
        <w:t>substantially</w:t>
      </w:r>
      <w:r w:rsidR="00C64050">
        <w:t xml:space="preserve"> </w:t>
      </w:r>
      <w:r w:rsidR="00CE47C2" w:rsidRPr="00CE47C2">
        <w:t>the</w:t>
      </w:r>
      <w:r w:rsidR="00C64050">
        <w:t xml:space="preserve"> </w:t>
      </w:r>
      <w:r w:rsidR="00CE47C2" w:rsidRPr="00CE47C2">
        <w:t>same</w:t>
      </w:r>
      <w:r w:rsidR="00C64050">
        <w:t xml:space="preserve"> </w:t>
      </w:r>
      <w:r w:rsidR="00CE47C2" w:rsidRPr="00CE47C2">
        <w:t>grantor</w:t>
      </w:r>
      <w:r w:rsidR="00C64050">
        <w:t xml:space="preserve"> </w:t>
      </w:r>
      <w:r w:rsidR="00CE47C2" w:rsidRPr="00CE47C2">
        <w:t>or</w:t>
      </w:r>
      <w:r w:rsidR="00C64050">
        <w:t xml:space="preserve"> </w:t>
      </w:r>
      <w:r w:rsidR="00CE47C2" w:rsidRPr="00CE47C2">
        <w:t>grantors</w:t>
      </w:r>
      <w:r w:rsidR="00C64050">
        <w:t xml:space="preserve"> </w:t>
      </w:r>
      <w:r w:rsidR="00CE47C2" w:rsidRPr="00CE47C2">
        <w:t>and</w:t>
      </w:r>
      <w:r w:rsidR="00C64050">
        <w:t xml:space="preserve"> </w:t>
      </w:r>
      <w:r w:rsidR="00CE47C2" w:rsidRPr="00CE47C2">
        <w:t>substantially</w:t>
      </w:r>
      <w:r w:rsidR="00C64050">
        <w:t xml:space="preserve"> </w:t>
      </w:r>
      <w:r w:rsidR="00CE47C2" w:rsidRPr="00CE47C2">
        <w:t>the</w:t>
      </w:r>
      <w:r w:rsidR="00C64050">
        <w:t xml:space="preserve"> </w:t>
      </w:r>
      <w:r w:rsidR="00CE47C2" w:rsidRPr="00CE47C2">
        <w:t>same</w:t>
      </w:r>
      <w:r w:rsidR="00C64050">
        <w:t xml:space="preserve"> </w:t>
      </w:r>
      <w:r w:rsidR="00CE47C2" w:rsidRPr="00CE47C2">
        <w:t>primary</w:t>
      </w:r>
      <w:r w:rsidR="00C64050">
        <w:t xml:space="preserve"> </w:t>
      </w:r>
      <w:r w:rsidR="00CE47C2" w:rsidRPr="00CE47C2">
        <w:t>beneficiary</w:t>
      </w:r>
      <w:r w:rsidR="00C64050">
        <w:t xml:space="preserve"> </w:t>
      </w:r>
      <w:r w:rsidR="00CE47C2" w:rsidRPr="00CE47C2">
        <w:t>or</w:t>
      </w:r>
      <w:r w:rsidR="00C64050">
        <w:t xml:space="preserve"> </w:t>
      </w:r>
      <w:r w:rsidR="00CE47C2" w:rsidRPr="00CE47C2">
        <w:t>beneficiaries</w:t>
      </w:r>
      <w:r w:rsidR="00C64050">
        <w:t xml:space="preserve"> </w:t>
      </w:r>
      <w:r w:rsidR="00CE47C2" w:rsidRPr="00CE47C2">
        <w:t>and</w:t>
      </w:r>
      <w:r w:rsidR="00C64050">
        <w:t xml:space="preserve"> </w:t>
      </w:r>
      <w:r w:rsidR="00CE47C2" w:rsidRPr="00CE47C2">
        <w:t>(2)</w:t>
      </w:r>
      <w:r w:rsidR="00C64050">
        <w:t xml:space="preserve"> </w:t>
      </w:r>
      <w:r w:rsidR="00CE47C2" w:rsidRPr="00CE47C2">
        <w:t>a</w:t>
      </w:r>
      <w:r w:rsidR="00C64050">
        <w:t xml:space="preserve"> </w:t>
      </w:r>
      <w:r w:rsidR="00CE47C2" w:rsidRPr="00CE47C2">
        <w:t>principal</w:t>
      </w:r>
      <w:r w:rsidR="00C64050">
        <w:t xml:space="preserve"> </w:t>
      </w:r>
      <w:r w:rsidR="00CE47C2" w:rsidRPr="00CE47C2">
        <w:t>purpose</w:t>
      </w:r>
      <w:r w:rsidR="00C64050">
        <w:t xml:space="preserve"> </w:t>
      </w:r>
      <w:r w:rsidR="00CE47C2" w:rsidRPr="00CE47C2">
        <w:t>of</w:t>
      </w:r>
      <w:r w:rsidR="00C64050">
        <w:t xml:space="preserve"> </w:t>
      </w:r>
      <w:r w:rsidR="00CE47C2" w:rsidRPr="00CE47C2">
        <w:t>such</w:t>
      </w:r>
      <w:r w:rsidR="00C64050">
        <w:t xml:space="preserve"> </w:t>
      </w:r>
      <w:r w:rsidR="00CE47C2" w:rsidRPr="00CE47C2">
        <w:t>trust</w:t>
      </w:r>
      <w:r w:rsidR="00C64050">
        <w:t xml:space="preserve"> </w:t>
      </w:r>
      <w:r w:rsidR="00CE47C2" w:rsidRPr="00CE47C2">
        <w:t>is</w:t>
      </w:r>
      <w:r w:rsidR="00C64050">
        <w:t xml:space="preserve"> </w:t>
      </w:r>
      <w:r w:rsidR="00CE47C2" w:rsidRPr="00CE47C2">
        <w:t>the</w:t>
      </w:r>
      <w:r w:rsidR="00C64050">
        <w:t xml:space="preserve"> </w:t>
      </w:r>
      <w:r w:rsidR="00CE47C2" w:rsidRPr="00CE47C2">
        <w:t>avoidance</w:t>
      </w:r>
      <w:r w:rsidR="00C64050">
        <w:t xml:space="preserve"> </w:t>
      </w:r>
      <w:r w:rsidR="00CE47C2" w:rsidRPr="00CE47C2">
        <w:t>of</w:t>
      </w:r>
      <w:r w:rsidR="00C64050">
        <w:t xml:space="preserve"> </w:t>
      </w:r>
      <w:r w:rsidR="00CE47C2" w:rsidRPr="00CE47C2">
        <w:t>the</w:t>
      </w:r>
      <w:r w:rsidR="00C64050">
        <w:t xml:space="preserve"> </w:t>
      </w:r>
      <w:r w:rsidR="00CE47C2" w:rsidRPr="00CE47C2">
        <w:t>income</w:t>
      </w:r>
      <w:r w:rsidR="00C64050">
        <w:t xml:space="preserve"> </w:t>
      </w:r>
      <w:r w:rsidR="00CE47C2" w:rsidRPr="00CE47C2">
        <w:t>tax.</w:t>
      </w:r>
      <w:r w:rsidR="00C64050">
        <w:t xml:space="preserve">  </w:t>
      </w:r>
      <w:r w:rsidR="00CE47C2" w:rsidRPr="00CE47C2">
        <w:t>For</w:t>
      </w:r>
      <w:r w:rsidR="00C64050">
        <w:t xml:space="preserve"> </w:t>
      </w:r>
      <w:r w:rsidR="00CE47C2" w:rsidRPr="00CE47C2">
        <w:t>purposes</w:t>
      </w:r>
      <w:r w:rsidR="00C64050">
        <w:t xml:space="preserve"> </w:t>
      </w:r>
      <w:r w:rsidR="00CE47C2" w:rsidRPr="00CE47C2">
        <w:t>of</w:t>
      </w:r>
      <w:r w:rsidR="00C64050">
        <w:t xml:space="preserve"> </w:t>
      </w:r>
      <w:r w:rsidR="00E12C3A">
        <w:t>section</w:t>
      </w:r>
      <w:r w:rsidR="00C64050">
        <w:t xml:space="preserve"> </w:t>
      </w:r>
      <w:r w:rsidR="00CE47C2" w:rsidRPr="00CE47C2">
        <w:t>643(f),</w:t>
      </w:r>
      <w:r w:rsidR="00C64050">
        <w:t xml:space="preserve"> </w:t>
      </w:r>
      <w:r w:rsidR="00CE47C2" w:rsidRPr="00CE47C2">
        <w:t>spouses</w:t>
      </w:r>
      <w:r w:rsidR="00C64050">
        <w:t xml:space="preserve"> </w:t>
      </w:r>
      <w:r w:rsidR="00CE47C2" w:rsidRPr="00CE47C2">
        <w:t>shall</w:t>
      </w:r>
      <w:r w:rsidR="00C64050">
        <w:t xml:space="preserve"> </w:t>
      </w:r>
      <w:r w:rsidR="00CE47C2" w:rsidRPr="00CE47C2">
        <w:t>be</w:t>
      </w:r>
      <w:r w:rsidR="00C64050">
        <w:t xml:space="preserve"> </w:t>
      </w:r>
      <w:r w:rsidR="00CE47C2" w:rsidRPr="00CE47C2">
        <w:t>treated</w:t>
      </w:r>
      <w:r w:rsidR="00C64050">
        <w:t xml:space="preserve"> </w:t>
      </w:r>
      <w:r w:rsidR="00CE47C2" w:rsidRPr="00CE47C2">
        <w:t>as</w:t>
      </w:r>
      <w:r w:rsidR="00C64050">
        <w:t xml:space="preserve"> </w:t>
      </w:r>
      <w:r w:rsidR="00CE47C2" w:rsidRPr="00CE47C2">
        <w:t>one</w:t>
      </w:r>
      <w:r w:rsidR="00C64050">
        <w:t xml:space="preserve"> </w:t>
      </w:r>
      <w:r w:rsidR="00CE47C2" w:rsidRPr="00CE47C2">
        <w:t>person.</w:t>
      </w:r>
      <w:r w:rsidR="00C64050">
        <w:t xml:space="preserve">  </w:t>
      </w:r>
      <w:r w:rsidR="00CE47C2" w:rsidRPr="00CE47C2">
        <w:t>No</w:t>
      </w:r>
      <w:r w:rsidR="00C64050">
        <w:t xml:space="preserve"> </w:t>
      </w:r>
      <w:r w:rsidR="00CE47C2" w:rsidRPr="00CE47C2">
        <w:t>regulations</w:t>
      </w:r>
      <w:r w:rsidR="00C64050">
        <w:t xml:space="preserve"> </w:t>
      </w:r>
      <w:r w:rsidR="00CE47C2" w:rsidRPr="00CE47C2">
        <w:t>have</w:t>
      </w:r>
      <w:r w:rsidR="00C64050">
        <w:t xml:space="preserve"> </w:t>
      </w:r>
      <w:r w:rsidR="00CE47C2" w:rsidRPr="00CE47C2">
        <w:t>been</w:t>
      </w:r>
      <w:r w:rsidR="00C64050">
        <w:t xml:space="preserve"> </w:t>
      </w:r>
      <w:r w:rsidR="00CE47C2" w:rsidRPr="00CE47C2">
        <w:t>issued</w:t>
      </w:r>
      <w:r w:rsidR="00C64050">
        <w:t xml:space="preserve"> </w:t>
      </w:r>
      <w:r w:rsidR="00CE47C2" w:rsidRPr="00CE47C2">
        <w:t>under</w:t>
      </w:r>
      <w:r w:rsidR="00C64050">
        <w:t xml:space="preserve"> </w:t>
      </w:r>
      <w:r w:rsidR="00CE47C2" w:rsidRPr="00CE47C2">
        <w:t>this</w:t>
      </w:r>
      <w:r w:rsidR="00C64050">
        <w:t xml:space="preserve"> </w:t>
      </w:r>
      <w:r w:rsidR="00CE47C2" w:rsidRPr="00CE47C2">
        <w:t>subsection.</w:t>
      </w:r>
      <w:r w:rsidR="00C64050">
        <w:t xml:space="preserve">  </w:t>
      </w:r>
    </w:p>
    <w:p w:rsidR="00AE3BD0" w:rsidRPr="00A1638F" w:rsidRDefault="00A1638F" w:rsidP="00A1638F">
      <w:pPr>
        <w:pStyle w:val="LFLevel2"/>
        <w:rPr>
          <w:bCs w:val="0"/>
        </w:rPr>
      </w:pPr>
      <w:r>
        <w:br w:type="page"/>
      </w:r>
      <w:bookmarkStart w:id="39" w:name="_Toc94704600"/>
      <w:r>
        <w:rPr>
          <w:b/>
          <w:u w:val="single"/>
        </w:rPr>
        <w:t>Di</w:t>
      </w:r>
      <w:r w:rsidR="00AE3BD0" w:rsidRPr="00AE3BD0">
        <w:rPr>
          <w:b/>
          <w:u w:val="single"/>
        </w:rPr>
        <w:t>vorce – Income Tax</w:t>
      </w:r>
      <w:r w:rsidR="00AE3BD0">
        <w:t>.</w:t>
      </w:r>
      <w:bookmarkEnd w:id="39"/>
    </w:p>
    <w:p w:rsidR="009B095B" w:rsidRPr="00C25106" w:rsidRDefault="009B095B" w:rsidP="001E7C34">
      <w:pPr>
        <w:pStyle w:val="Body15"/>
      </w:pPr>
      <w:r w:rsidRPr="00C25106">
        <w:t>The</w:t>
      </w:r>
      <w:r w:rsidR="00C64050">
        <w:t xml:space="preserve"> </w:t>
      </w:r>
      <w:r w:rsidRPr="00C25106">
        <w:t>2017</w:t>
      </w:r>
      <w:r w:rsidR="00C64050">
        <w:t xml:space="preserve"> </w:t>
      </w:r>
      <w:r w:rsidRPr="00C25106">
        <w:t>Tax</w:t>
      </w:r>
      <w:r w:rsidR="00C64050">
        <w:t xml:space="preserve"> </w:t>
      </w:r>
      <w:r w:rsidRPr="00C25106">
        <w:t>Act</w:t>
      </w:r>
      <w:r w:rsidR="00C64050">
        <w:t xml:space="preserve"> </w:t>
      </w:r>
      <w:r w:rsidRPr="00C25106">
        <w:t>repealed</w:t>
      </w:r>
      <w:r w:rsidR="00C64050">
        <w:t xml:space="preserve"> </w:t>
      </w:r>
      <w:r w:rsidR="0082227E">
        <w:t>section</w:t>
      </w:r>
      <w:r w:rsidR="00C64050">
        <w:t xml:space="preserve"> </w:t>
      </w:r>
      <w:r w:rsidRPr="00C25106">
        <w:t>682,</w:t>
      </w:r>
      <w:r w:rsidR="00C64050">
        <w:t xml:space="preserve"> </w:t>
      </w:r>
      <w:r w:rsidRPr="00C25106">
        <w:t>which</w:t>
      </w:r>
      <w:r w:rsidR="00C64050">
        <w:t xml:space="preserve"> </w:t>
      </w:r>
      <w:r w:rsidRPr="00C25106">
        <w:t>provided</w:t>
      </w:r>
      <w:r w:rsidR="00C64050">
        <w:t xml:space="preserve"> </w:t>
      </w:r>
      <w:r w:rsidRPr="00C25106">
        <w:t>that</w:t>
      </w:r>
      <w:r w:rsidR="00C64050">
        <w:t xml:space="preserve"> </w:t>
      </w:r>
      <w:r w:rsidRPr="00C25106">
        <w:t>if</w:t>
      </w:r>
      <w:r w:rsidR="00C64050">
        <w:t xml:space="preserve"> </w:t>
      </w:r>
      <w:r w:rsidRPr="00C25106">
        <w:t>one</w:t>
      </w:r>
      <w:r w:rsidR="00C64050">
        <w:t xml:space="preserve"> </w:t>
      </w:r>
      <w:r w:rsidRPr="00C25106">
        <w:t>spouse</w:t>
      </w:r>
      <w:r w:rsidR="00C64050">
        <w:t xml:space="preserve"> </w:t>
      </w:r>
      <w:r w:rsidRPr="001E7C34">
        <w:rPr>
          <w:color w:val="000000"/>
          <w:szCs w:val="20"/>
        </w:rPr>
        <w:t>created</w:t>
      </w:r>
      <w:r w:rsidR="00C64050">
        <w:t xml:space="preserve"> </w:t>
      </w:r>
      <w:r w:rsidRPr="00C25106">
        <w:t>a</w:t>
      </w:r>
      <w:r w:rsidR="00C64050">
        <w:t xml:space="preserve"> </w:t>
      </w:r>
      <w:r w:rsidRPr="00C25106">
        <w:t>grantor</w:t>
      </w:r>
      <w:r w:rsidR="00C64050">
        <w:t xml:space="preserve"> </w:t>
      </w:r>
      <w:r w:rsidRPr="00C25106">
        <w:t>trust</w:t>
      </w:r>
      <w:r w:rsidR="00C64050">
        <w:t xml:space="preserve"> </w:t>
      </w:r>
      <w:r w:rsidRPr="00C25106">
        <w:t>for</w:t>
      </w:r>
      <w:r w:rsidR="00C64050">
        <w:t xml:space="preserve"> </w:t>
      </w:r>
      <w:r w:rsidRPr="00C25106">
        <w:t>the</w:t>
      </w:r>
      <w:r w:rsidR="00C64050">
        <w:t xml:space="preserve"> </w:t>
      </w:r>
      <w:r w:rsidRPr="00C25106">
        <w:t>benefit</w:t>
      </w:r>
      <w:r w:rsidR="00C64050">
        <w:t xml:space="preserve"> </w:t>
      </w:r>
      <w:r w:rsidRPr="00C25106">
        <w:t>of</w:t>
      </w:r>
      <w:r w:rsidR="00C64050">
        <w:t xml:space="preserve"> </w:t>
      </w:r>
      <w:r w:rsidRPr="00C25106">
        <w:t>the</w:t>
      </w:r>
      <w:r w:rsidR="00C64050">
        <w:t xml:space="preserve"> </w:t>
      </w:r>
      <w:r w:rsidRPr="00C25106">
        <w:t>other</w:t>
      </w:r>
      <w:r w:rsidR="00C64050">
        <w:t xml:space="preserve"> </w:t>
      </w:r>
      <w:r w:rsidRPr="00C25106">
        <w:t>spouse</w:t>
      </w:r>
      <w:r w:rsidR="00C64050">
        <w:t xml:space="preserve"> </w:t>
      </w:r>
      <w:r w:rsidRPr="00C25106">
        <w:t>and</w:t>
      </w:r>
      <w:r w:rsidR="00C64050">
        <w:t xml:space="preserve"> </w:t>
      </w:r>
      <w:r w:rsidRPr="00C25106">
        <w:t>the</w:t>
      </w:r>
      <w:r w:rsidR="00C64050">
        <w:t xml:space="preserve"> </w:t>
      </w:r>
      <w:r w:rsidRPr="00C25106">
        <w:t>spouses</w:t>
      </w:r>
      <w:r w:rsidR="00C64050">
        <w:t xml:space="preserve"> </w:t>
      </w:r>
      <w:r w:rsidRPr="00C25106">
        <w:t>divorced,</w:t>
      </w:r>
      <w:r w:rsidR="00C64050">
        <w:t xml:space="preserve"> </w:t>
      </w:r>
      <w:r w:rsidRPr="00C25106">
        <w:t>thereafter</w:t>
      </w:r>
      <w:r w:rsidR="00C64050">
        <w:t xml:space="preserve"> </w:t>
      </w:r>
      <w:r w:rsidRPr="00C25106">
        <w:t>the</w:t>
      </w:r>
      <w:r w:rsidR="00C64050">
        <w:t xml:space="preserve"> </w:t>
      </w:r>
      <w:r w:rsidRPr="00C25106">
        <w:t>trust</w:t>
      </w:r>
      <w:r w:rsidR="00C64050">
        <w:t xml:space="preserve"> </w:t>
      </w:r>
      <w:r w:rsidRPr="00C25106">
        <w:t>income</w:t>
      </w:r>
      <w:r w:rsidR="00C64050">
        <w:t xml:space="preserve"> </w:t>
      </w:r>
      <w:r w:rsidRPr="00C25106">
        <w:t>would</w:t>
      </w:r>
      <w:r w:rsidR="00C64050">
        <w:t xml:space="preserve"> </w:t>
      </w:r>
      <w:r w:rsidRPr="00C25106">
        <w:t>not</w:t>
      </w:r>
      <w:r w:rsidR="00C64050">
        <w:t xml:space="preserve"> </w:t>
      </w:r>
      <w:r w:rsidRPr="00C25106">
        <w:t>be</w:t>
      </w:r>
      <w:r w:rsidR="00C64050">
        <w:t xml:space="preserve"> </w:t>
      </w:r>
      <w:r w:rsidRPr="00C25106">
        <w:t>taxed</w:t>
      </w:r>
      <w:r w:rsidR="00C64050">
        <w:t xml:space="preserve"> </w:t>
      </w:r>
      <w:r w:rsidRPr="00C25106">
        <w:t>to</w:t>
      </w:r>
      <w:r w:rsidR="00C64050">
        <w:t xml:space="preserve"> </w:t>
      </w:r>
      <w:r w:rsidRPr="00C25106">
        <w:t>the</w:t>
      </w:r>
      <w:r w:rsidR="00C64050">
        <w:t xml:space="preserve"> </w:t>
      </w:r>
      <w:r w:rsidRPr="00C25106">
        <w:t>grantor</w:t>
      </w:r>
      <w:r w:rsidR="00C64050">
        <w:t xml:space="preserve"> </w:t>
      </w:r>
      <w:r w:rsidRPr="00C25106">
        <w:t>spouse</w:t>
      </w:r>
      <w:r w:rsidR="00C64050">
        <w:t xml:space="preserve"> </w:t>
      </w:r>
      <w:r w:rsidRPr="00C25106">
        <w:t>to</w:t>
      </w:r>
      <w:r w:rsidR="00C64050">
        <w:t xml:space="preserve"> </w:t>
      </w:r>
      <w:r w:rsidRPr="00C25106">
        <w:t>the</w:t>
      </w:r>
      <w:r w:rsidR="00C64050">
        <w:t xml:space="preserve"> </w:t>
      </w:r>
      <w:r w:rsidRPr="00C25106">
        <w:t>extent</w:t>
      </w:r>
      <w:r w:rsidR="00C64050">
        <w:t xml:space="preserve"> </w:t>
      </w:r>
      <w:r w:rsidRPr="00C25106">
        <w:t>of</w:t>
      </w:r>
      <w:r w:rsidR="00C64050">
        <w:t xml:space="preserve"> </w:t>
      </w:r>
      <w:r w:rsidRPr="00C25106">
        <w:t>any</w:t>
      </w:r>
      <w:r w:rsidR="00C64050">
        <w:t xml:space="preserve"> </w:t>
      </w:r>
      <w:r w:rsidRPr="00C25106">
        <w:t>income</w:t>
      </w:r>
      <w:r w:rsidR="00C64050">
        <w:t xml:space="preserve"> </w:t>
      </w:r>
      <w:r w:rsidRPr="00C25106">
        <w:t>that</w:t>
      </w:r>
      <w:r w:rsidR="00C64050">
        <w:t xml:space="preserve"> </w:t>
      </w:r>
      <w:r w:rsidRPr="00C25106">
        <w:t>the</w:t>
      </w:r>
      <w:r w:rsidR="00C64050">
        <w:t xml:space="preserve"> </w:t>
      </w:r>
      <w:r w:rsidRPr="00C25106">
        <w:t>donee-spouse</w:t>
      </w:r>
      <w:r w:rsidR="00C64050">
        <w:t xml:space="preserve"> </w:t>
      </w:r>
      <w:r w:rsidRPr="00C25106">
        <w:t>is</w:t>
      </w:r>
      <w:r w:rsidR="00C64050">
        <w:t xml:space="preserve"> </w:t>
      </w:r>
      <w:r w:rsidRPr="00C25106">
        <w:t>entitled</w:t>
      </w:r>
      <w:r w:rsidR="00C64050">
        <w:t xml:space="preserve"> </w:t>
      </w:r>
      <w:r w:rsidRPr="00C25106">
        <w:t>to</w:t>
      </w:r>
      <w:r w:rsidR="00C64050">
        <w:t xml:space="preserve"> </w:t>
      </w:r>
      <w:r w:rsidRPr="00C25106">
        <w:t>receive.</w:t>
      </w:r>
      <w:r w:rsidR="00C64050">
        <w:t xml:space="preserve">  </w:t>
      </w:r>
      <w:r w:rsidRPr="00C25106">
        <w:t>These</w:t>
      </w:r>
      <w:r w:rsidR="00C64050">
        <w:t xml:space="preserve"> </w:t>
      </w:r>
      <w:r w:rsidRPr="00C25106">
        <w:t>changes</w:t>
      </w:r>
      <w:r w:rsidR="00C64050">
        <w:t xml:space="preserve"> </w:t>
      </w:r>
      <w:r w:rsidRPr="00C25106">
        <w:t>are</w:t>
      </w:r>
      <w:r w:rsidR="00C64050">
        <w:t xml:space="preserve"> </w:t>
      </w:r>
      <w:r w:rsidRPr="00C25106">
        <w:t>effective</w:t>
      </w:r>
      <w:r w:rsidR="00C64050">
        <w:t xml:space="preserve"> </w:t>
      </w:r>
      <w:r w:rsidRPr="00C25106">
        <w:t>for</w:t>
      </w:r>
      <w:r w:rsidR="00C64050">
        <w:t xml:space="preserve"> </w:t>
      </w:r>
      <w:r w:rsidRPr="00C25106">
        <w:t>divorce</w:t>
      </w:r>
      <w:r w:rsidR="00C64050">
        <w:t xml:space="preserve"> </w:t>
      </w:r>
      <w:r w:rsidRPr="00C25106">
        <w:t>decrees</w:t>
      </w:r>
      <w:r w:rsidR="00C64050">
        <w:t xml:space="preserve"> </w:t>
      </w:r>
      <w:r w:rsidRPr="00C25106">
        <w:t>and</w:t>
      </w:r>
      <w:r w:rsidR="00C64050">
        <w:t xml:space="preserve"> </w:t>
      </w:r>
      <w:r w:rsidRPr="00C25106">
        <w:t>separation</w:t>
      </w:r>
      <w:r w:rsidR="00C64050">
        <w:t xml:space="preserve"> </w:t>
      </w:r>
      <w:r w:rsidRPr="00C25106">
        <w:t>agreements</w:t>
      </w:r>
      <w:r w:rsidR="00C64050">
        <w:t xml:space="preserve"> </w:t>
      </w:r>
      <w:r w:rsidRPr="00C25106">
        <w:t>entered</w:t>
      </w:r>
      <w:r w:rsidR="00C64050">
        <w:t xml:space="preserve"> </w:t>
      </w:r>
      <w:r w:rsidRPr="00C25106">
        <w:t>into</w:t>
      </w:r>
      <w:r w:rsidR="00C64050">
        <w:t xml:space="preserve"> </w:t>
      </w:r>
      <w:r w:rsidRPr="00C25106">
        <w:t>after</w:t>
      </w:r>
      <w:r w:rsidR="00C64050">
        <w:t xml:space="preserve"> </w:t>
      </w:r>
      <w:r w:rsidRPr="00C25106">
        <w:t>2018.</w:t>
      </w:r>
      <w:r w:rsidR="00C64050">
        <w:t xml:space="preserve">  </w:t>
      </w:r>
      <w:r w:rsidRPr="00C25106">
        <w:t>Thus,</w:t>
      </w:r>
      <w:r w:rsidR="00C64050">
        <w:t xml:space="preserve"> </w:t>
      </w:r>
      <w:r w:rsidRPr="00C25106">
        <w:t>taxpayers</w:t>
      </w:r>
      <w:r w:rsidR="00C64050">
        <w:t xml:space="preserve"> </w:t>
      </w:r>
      <w:r w:rsidRPr="00C25106">
        <w:t>seeking</w:t>
      </w:r>
      <w:r w:rsidR="00C64050">
        <w:t xml:space="preserve"> </w:t>
      </w:r>
      <w:r w:rsidRPr="00C25106">
        <w:t>a</w:t>
      </w:r>
      <w:r w:rsidR="00C64050">
        <w:t xml:space="preserve"> </w:t>
      </w:r>
      <w:r w:rsidRPr="00C25106">
        <w:t>divorce</w:t>
      </w:r>
      <w:r w:rsidR="00C64050">
        <w:t xml:space="preserve"> </w:t>
      </w:r>
      <w:r w:rsidRPr="00C25106">
        <w:t>during</w:t>
      </w:r>
      <w:r w:rsidR="00C64050">
        <w:t xml:space="preserve"> </w:t>
      </w:r>
      <w:r w:rsidRPr="00C25106">
        <w:t>2018</w:t>
      </w:r>
      <w:r w:rsidR="00C64050">
        <w:t xml:space="preserve"> </w:t>
      </w:r>
      <w:r>
        <w:t>will</w:t>
      </w:r>
      <w:r w:rsidR="00C64050">
        <w:t xml:space="preserve"> </w:t>
      </w:r>
      <w:r>
        <w:t>likely</w:t>
      </w:r>
      <w:r w:rsidR="00C64050">
        <w:t xml:space="preserve"> </w:t>
      </w:r>
      <w:r>
        <w:t>benefit</w:t>
      </w:r>
      <w:r w:rsidR="00C64050">
        <w:t xml:space="preserve"> </w:t>
      </w:r>
      <w:r>
        <w:t>if</w:t>
      </w:r>
      <w:r w:rsidR="00C64050">
        <w:t xml:space="preserve"> </w:t>
      </w:r>
      <w:r w:rsidRPr="00C25106">
        <w:t>the</w:t>
      </w:r>
      <w:r w:rsidR="00C64050">
        <w:t xml:space="preserve"> </w:t>
      </w:r>
      <w:r w:rsidRPr="00C25106">
        <w:t>divorce</w:t>
      </w:r>
      <w:r w:rsidR="00C64050">
        <w:t xml:space="preserve"> </w:t>
      </w:r>
      <w:r w:rsidRPr="00C25106">
        <w:t>is</w:t>
      </w:r>
      <w:r w:rsidR="00C64050">
        <w:t xml:space="preserve"> </w:t>
      </w:r>
      <w:r w:rsidRPr="00C25106">
        <w:t>finalized</w:t>
      </w:r>
      <w:r w:rsidR="00C64050">
        <w:t xml:space="preserve"> </w:t>
      </w:r>
      <w:r w:rsidRPr="001E7C34">
        <w:rPr>
          <w:color w:val="000000"/>
          <w:szCs w:val="20"/>
        </w:rPr>
        <w:t>before</w:t>
      </w:r>
      <w:r w:rsidR="00C64050">
        <w:t xml:space="preserve"> </w:t>
      </w:r>
      <w:r w:rsidRPr="00C25106">
        <w:t>the</w:t>
      </w:r>
      <w:r w:rsidR="00C64050">
        <w:t xml:space="preserve"> </w:t>
      </w:r>
      <w:r w:rsidRPr="00C25106">
        <w:t>end</w:t>
      </w:r>
      <w:r w:rsidR="00C64050">
        <w:t xml:space="preserve"> </w:t>
      </w:r>
      <w:r w:rsidRPr="00C25106">
        <w:t>of</w:t>
      </w:r>
      <w:r w:rsidR="00C64050">
        <w:t xml:space="preserve"> </w:t>
      </w:r>
      <w:r w:rsidRPr="00C25106">
        <w:t>the</w:t>
      </w:r>
      <w:r w:rsidR="00C64050">
        <w:t xml:space="preserve"> </w:t>
      </w:r>
      <w:r w:rsidRPr="00C25106">
        <w:t>calendar</w:t>
      </w:r>
      <w:r w:rsidR="00C64050">
        <w:t xml:space="preserve"> </w:t>
      </w:r>
      <w:r w:rsidRPr="00C25106">
        <w:t>year.</w:t>
      </w:r>
      <w:r w:rsidR="00C64050">
        <w:t xml:space="preserve">  </w:t>
      </w:r>
      <w:r w:rsidRPr="00C25106">
        <w:t>Modifications</w:t>
      </w:r>
      <w:r w:rsidR="00C64050">
        <w:t xml:space="preserve"> </w:t>
      </w:r>
      <w:r w:rsidRPr="00C25106">
        <w:t>entered</w:t>
      </w:r>
      <w:r w:rsidR="00C64050">
        <w:t xml:space="preserve"> </w:t>
      </w:r>
      <w:r w:rsidRPr="00C25106">
        <w:t>into</w:t>
      </w:r>
      <w:r w:rsidR="00C64050">
        <w:t xml:space="preserve"> </w:t>
      </w:r>
      <w:r w:rsidRPr="00C25106">
        <w:t>after</w:t>
      </w:r>
      <w:r w:rsidR="00C64050">
        <w:t xml:space="preserve"> </w:t>
      </w:r>
      <w:r w:rsidRPr="00C25106">
        <w:t>2018</w:t>
      </w:r>
      <w:r w:rsidR="00C64050">
        <w:t xml:space="preserve"> </w:t>
      </w:r>
      <w:r w:rsidRPr="00C25106">
        <w:t>are</w:t>
      </w:r>
      <w:r w:rsidR="00C64050">
        <w:t xml:space="preserve"> </w:t>
      </w:r>
      <w:r w:rsidRPr="00C25106">
        <w:t>subject</w:t>
      </w:r>
      <w:r w:rsidR="00C64050">
        <w:t xml:space="preserve"> </w:t>
      </w:r>
      <w:r w:rsidRPr="00C25106">
        <w:t>to</w:t>
      </w:r>
      <w:r w:rsidR="00C64050">
        <w:t xml:space="preserve"> </w:t>
      </w:r>
      <w:r w:rsidRPr="00C25106">
        <w:t>the</w:t>
      </w:r>
      <w:r w:rsidR="00C64050">
        <w:t xml:space="preserve"> </w:t>
      </w:r>
      <w:r w:rsidRPr="00C25106">
        <w:t>2017</w:t>
      </w:r>
      <w:r w:rsidR="00C64050">
        <w:t xml:space="preserve"> </w:t>
      </w:r>
      <w:r w:rsidRPr="00C25106">
        <w:t>Tax</w:t>
      </w:r>
      <w:r w:rsidR="00C64050">
        <w:t xml:space="preserve"> </w:t>
      </w:r>
      <w:r w:rsidRPr="00C25106">
        <w:t>Act</w:t>
      </w:r>
      <w:r w:rsidR="00C64050">
        <w:t xml:space="preserve"> </w:t>
      </w:r>
      <w:r w:rsidRPr="00C25106">
        <w:t>if</w:t>
      </w:r>
      <w:r w:rsidR="00C64050">
        <w:t xml:space="preserve"> </w:t>
      </w:r>
      <w:r w:rsidRPr="00C25106">
        <w:t>the</w:t>
      </w:r>
      <w:r w:rsidR="00C64050">
        <w:t xml:space="preserve"> </w:t>
      </w:r>
      <w:r w:rsidRPr="00C25106">
        <w:t>modification</w:t>
      </w:r>
      <w:r w:rsidR="00C64050">
        <w:t xml:space="preserve"> </w:t>
      </w:r>
      <w:r w:rsidRPr="00C25106">
        <w:t>expressly</w:t>
      </w:r>
      <w:r w:rsidR="00C64050">
        <w:t xml:space="preserve"> </w:t>
      </w:r>
      <w:r w:rsidRPr="00C25106">
        <w:t>states</w:t>
      </w:r>
      <w:r w:rsidR="00C64050">
        <w:t xml:space="preserve"> </w:t>
      </w:r>
      <w:r w:rsidRPr="00C25106">
        <w:t>that</w:t>
      </w:r>
      <w:r w:rsidR="00C64050">
        <w:t xml:space="preserve"> </w:t>
      </w:r>
      <w:r w:rsidRPr="00C25106">
        <w:t>this</w:t>
      </w:r>
      <w:r w:rsidR="00C64050">
        <w:t xml:space="preserve"> </w:t>
      </w:r>
      <w:r w:rsidRPr="00C25106">
        <w:t>provision</w:t>
      </w:r>
      <w:r w:rsidR="00C64050">
        <w:t xml:space="preserve"> </w:t>
      </w:r>
      <w:r w:rsidRPr="00C25106">
        <w:t>of</w:t>
      </w:r>
      <w:r w:rsidR="00C64050">
        <w:t xml:space="preserve"> </w:t>
      </w:r>
      <w:r w:rsidRPr="00C25106">
        <w:t>2017</w:t>
      </w:r>
      <w:r w:rsidR="00C64050">
        <w:t xml:space="preserve"> </w:t>
      </w:r>
      <w:r w:rsidRPr="00C25106">
        <w:t>Tax</w:t>
      </w:r>
      <w:r w:rsidR="00C64050">
        <w:t xml:space="preserve"> </w:t>
      </w:r>
      <w:r w:rsidRPr="00C25106">
        <w:t>Act</w:t>
      </w:r>
      <w:r w:rsidR="00C64050">
        <w:t xml:space="preserve"> </w:t>
      </w:r>
      <w:r w:rsidRPr="00C25106">
        <w:t>applies.</w:t>
      </w:r>
      <w:r w:rsidR="00C64050">
        <w:t xml:space="preserve">  </w:t>
      </w:r>
      <w:r w:rsidRPr="00C25106">
        <w:t>2017</w:t>
      </w:r>
      <w:r w:rsidR="00C64050">
        <w:t xml:space="preserve"> </w:t>
      </w:r>
      <w:r w:rsidRPr="00C25106">
        <w:t>Tax</w:t>
      </w:r>
      <w:r w:rsidR="00C64050">
        <w:t xml:space="preserve"> </w:t>
      </w:r>
      <w:r w:rsidRPr="00C25106">
        <w:t>Act</w:t>
      </w:r>
      <w:r w:rsidR="00C64050">
        <w:t xml:space="preserve"> </w:t>
      </w:r>
      <w:r w:rsidRPr="00C25106">
        <w:t>§</w:t>
      </w:r>
      <w:r w:rsidR="00C64050">
        <w:t xml:space="preserve"> </w:t>
      </w:r>
      <w:r w:rsidRPr="00C25106">
        <w:t>11051(c)(2).</w:t>
      </w:r>
      <w:r w:rsidR="00C64050">
        <w:t xml:space="preserve">  </w:t>
      </w:r>
      <w:r w:rsidRPr="00C25106">
        <w:t>No</w:t>
      </w:r>
      <w:r w:rsidR="00C64050">
        <w:t xml:space="preserve"> </w:t>
      </w:r>
      <w:r w:rsidRPr="00C25106">
        <w:t>sunset</w:t>
      </w:r>
      <w:r w:rsidR="00C64050">
        <w:t xml:space="preserve"> </w:t>
      </w:r>
      <w:r w:rsidRPr="00C25106">
        <w:t>applies</w:t>
      </w:r>
      <w:r w:rsidR="00C64050">
        <w:t xml:space="preserve"> </w:t>
      </w:r>
      <w:r w:rsidRPr="00C25106">
        <w:t>to</w:t>
      </w:r>
      <w:r w:rsidR="00C64050">
        <w:t xml:space="preserve"> </w:t>
      </w:r>
      <w:r w:rsidRPr="00C25106">
        <w:t>the</w:t>
      </w:r>
      <w:r w:rsidR="00C64050">
        <w:t xml:space="preserve"> </w:t>
      </w:r>
      <w:r w:rsidRPr="00C25106">
        <w:t>repeal</w:t>
      </w:r>
      <w:r w:rsidR="00C64050">
        <w:t xml:space="preserve"> </w:t>
      </w:r>
      <w:r w:rsidRPr="00C25106">
        <w:t>of</w:t>
      </w:r>
      <w:r w:rsidR="00C64050">
        <w:t xml:space="preserve"> </w:t>
      </w:r>
      <w:r w:rsidRPr="00C25106">
        <w:t>the</w:t>
      </w:r>
      <w:r w:rsidR="00C64050">
        <w:t xml:space="preserve"> </w:t>
      </w:r>
      <w:r w:rsidRPr="00C25106">
        <w:t>above</w:t>
      </w:r>
      <w:r w:rsidR="00C64050">
        <w:t xml:space="preserve"> </w:t>
      </w:r>
      <w:r w:rsidRPr="00C25106">
        <w:t>provisions</w:t>
      </w:r>
      <w:r w:rsidR="00C64050">
        <w:t xml:space="preserve"> </w:t>
      </w:r>
      <w:r w:rsidRPr="00C25106">
        <w:t>regarding</w:t>
      </w:r>
      <w:r w:rsidR="00C64050">
        <w:t xml:space="preserve"> </w:t>
      </w:r>
      <w:r w:rsidRPr="00C25106">
        <w:t>alimony</w:t>
      </w:r>
      <w:r w:rsidR="00C64050">
        <w:t xml:space="preserve"> </w:t>
      </w:r>
      <w:r w:rsidRPr="00C25106">
        <w:t>and</w:t>
      </w:r>
      <w:r w:rsidR="00C64050">
        <w:t xml:space="preserve"> </w:t>
      </w:r>
      <w:r w:rsidRPr="00C25106">
        <w:t>separate</w:t>
      </w:r>
      <w:r w:rsidR="00C64050">
        <w:t xml:space="preserve"> </w:t>
      </w:r>
      <w:r w:rsidRPr="00C25106">
        <w:t>maintenance</w:t>
      </w:r>
      <w:r w:rsidR="00C64050">
        <w:t xml:space="preserve"> </w:t>
      </w:r>
      <w:r w:rsidRPr="00C25106">
        <w:t>payments</w:t>
      </w:r>
      <w:r w:rsidR="00C64050">
        <w:t xml:space="preserve"> </w:t>
      </w:r>
      <w:r w:rsidRPr="00C25106">
        <w:t>and</w:t>
      </w:r>
      <w:r w:rsidR="00C64050">
        <w:t xml:space="preserve"> </w:t>
      </w:r>
      <w:r w:rsidR="0082227E">
        <w:t>section</w:t>
      </w:r>
      <w:r w:rsidR="00C64050">
        <w:t xml:space="preserve"> </w:t>
      </w:r>
      <w:r w:rsidRPr="00C25106">
        <w:t>682.</w:t>
      </w:r>
      <w:r w:rsidR="00C64050">
        <w:t xml:space="preserve">  </w:t>
      </w:r>
      <w:r w:rsidRPr="00C25106">
        <w:t>The</w:t>
      </w:r>
      <w:r w:rsidR="00C64050">
        <w:t xml:space="preserve"> </w:t>
      </w:r>
      <w:r w:rsidRPr="00C25106">
        <w:t>IRS</w:t>
      </w:r>
      <w:r w:rsidR="00C64050">
        <w:t xml:space="preserve"> </w:t>
      </w:r>
      <w:r w:rsidRPr="00C25106">
        <w:t>intends</w:t>
      </w:r>
      <w:r w:rsidR="00C64050">
        <w:t xml:space="preserve"> </w:t>
      </w:r>
      <w:r w:rsidRPr="00C25106">
        <w:t>to</w:t>
      </w:r>
      <w:r w:rsidR="00C64050">
        <w:t xml:space="preserve"> </w:t>
      </w:r>
      <w:r w:rsidRPr="00C25106">
        <w:t>issue</w:t>
      </w:r>
      <w:r w:rsidR="00C64050">
        <w:t xml:space="preserve"> </w:t>
      </w:r>
      <w:r w:rsidRPr="00C25106">
        <w:t>regulations</w:t>
      </w:r>
      <w:r w:rsidR="00C64050">
        <w:t xml:space="preserve"> </w:t>
      </w:r>
      <w:r w:rsidRPr="00C25106">
        <w:t>regarding</w:t>
      </w:r>
      <w:r w:rsidR="00C64050">
        <w:t xml:space="preserve"> </w:t>
      </w:r>
      <w:r w:rsidRPr="00C25106">
        <w:t>the</w:t>
      </w:r>
      <w:r w:rsidR="00C64050">
        <w:t xml:space="preserve"> </w:t>
      </w:r>
      <w:r w:rsidRPr="00C25106">
        <w:t>application</w:t>
      </w:r>
      <w:r w:rsidR="00C64050">
        <w:t xml:space="preserve"> </w:t>
      </w:r>
      <w:r w:rsidRPr="00C25106">
        <w:t>of</w:t>
      </w:r>
      <w:r w:rsidR="00C64050">
        <w:t xml:space="preserve"> </w:t>
      </w:r>
      <w:r w:rsidR="0082227E">
        <w:t>section</w:t>
      </w:r>
      <w:r w:rsidR="00C64050">
        <w:t xml:space="preserve"> </w:t>
      </w:r>
      <w:r w:rsidRPr="00C25106">
        <w:t>682</w:t>
      </w:r>
      <w:r w:rsidR="00C64050">
        <w:t xml:space="preserve"> </w:t>
      </w:r>
      <w:r w:rsidRPr="00C25106">
        <w:t>before</w:t>
      </w:r>
      <w:r w:rsidR="00C64050">
        <w:t xml:space="preserve"> </w:t>
      </w:r>
      <w:r w:rsidRPr="00C25106">
        <w:t>its</w:t>
      </w:r>
      <w:r w:rsidR="00C64050">
        <w:t xml:space="preserve"> </w:t>
      </w:r>
      <w:r w:rsidRPr="00C25106">
        <w:t>repeal</w:t>
      </w:r>
      <w:r w:rsidR="00C64050">
        <w:t xml:space="preserve"> </w:t>
      </w:r>
      <w:r w:rsidRPr="00C25106">
        <w:t>is</w:t>
      </w:r>
      <w:r w:rsidR="00C64050">
        <w:t xml:space="preserve"> </w:t>
      </w:r>
      <w:r w:rsidRPr="00C25106">
        <w:t>effective.</w:t>
      </w:r>
      <w:r w:rsidR="00C64050">
        <w:t xml:space="preserve">  </w:t>
      </w:r>
      <w:r w:rsidRPr="00C25106">
        <w:t>Notice</w:t>
      </w:r>
      <w:r w:rsidR="00C64050">
        <w:t xml:space="preserve"> </w:t>
      </w:r>
      <w:r w:rsidRPr="00C25106">
        <w:t>2018-37</w:t>
      </w:r>
      <w:r>
        <w:t>.</w:t>
      </w:r>
      <w:r w:rsidR="00C64050">
        <w:t xml:space="preserve">  </w:t>
      </w:r>
      <w:r w:rsidRPr="00C25106">
        <w:t>In</w:t>
      </w:r>
      <w:r w:rsidR="00C64050">
        <w:t xml:space="preserve"> </w:t>
      </w:r>
      <w:r w:rsidRPr="00C25106">
        <w:t>the</w:t>
      </w:r>
      <w:r w:rsidR="00C64050">
        <w:t xml:space="preserve"> </w:t>
      </w:r>
      <w:r w:rsidRPr="00C25106">
        <w:t>Notice,</w:t>
      </w:r>
      <w:r w:rsidR="00C64050">
        <w:t xml:space="preserve"> </w:t>
      </w:r>
      <w:r w:rsidRPr="00C25106">
        <w:t>the</w:t>
      </w:r>
      <w:r w:rsidR="00C64050">
        <w:t xml:space="preserve"> </w:t>
      </w:r>
      <w:r w:rsidRPr="00C25106">
        <w:t>IRS</w:t>
      </w:r>
      <w:r w:rsidR="00C64050">
        <w:t xml:space="preserve"> </w:t>
      </w:r>
      <w:r w:rsidRPr="00C25106">
        <w:t>requested</w:t>
      </w:r>
      <w:r w:rsidR="00C64050">
        <w:t xml:space="preserve"> </w:t>
      </w:r>
      <w:r w:rsidRPr="00C25106">
        <w:t>comments</w:t>
      </w:r>
      <w:r w:rsidR="00C64050">
        <w:t xml:space="preserve"> </w:t>
      </w:r>
      <w:r w:rsidRPr="00C25106">
        <w:t>on</w:t>
      </w:r>
      <w:r w:rsidR="00C64050">
        <w:t xml:space="preserve"> </w:t>
      </w:r>
      <w:r w:rsidRPr="00C25106">
        <w:t>whether</w:t>
      </w:r>
      <w:r w:rsidR="00C64050">
        <w:t xml:space="preserve"> </w:t>
      </w:r>
      <w:r w:rsidRPr="00C25106">
        <w:t>guidance</w:t>
      </w:r>
      <w:r w:rsidR="00C64050">
        <w:t xml:space="preserve"> </w:t>
      </w:r>
      <w:r w:rsidRPr="00C25106">
        <w:t>is</w:t>
      </w:r>
      <w:r w:rsidR="00C64050">
        <w:t xml:space="preserve"> </w:t>
      </w:r>
      <w:r w:rsidRPr="00C25106">
        <w:t>needed</w:t>
      </w:r>
      <w:r w:rsidR="00C64050">
        <w:t xml:space="preserve"> </w:t>
      </w:r>
      <w:r w:rsidRPr="00C25106">
        <w:t>regarding</w:t>
      </w:r>
      <w:r w:rsidR="00C64050">
        <w:t xml:space="preserve"> </w:t>
      </w:r>
      <w:r w:rsidRPr="00C25106">
        <w:t>the</w:t>
      </w:r>
      <w:r w:rsidR="00C64050">
        <w:t xml:space="preserve"> </w:t>
      </w:r>
      <w:r w:rsidRPr="00C25106">
        <w:t>application</w:t>
      </w:r>
      <w:r w:rsidR="00C64050">
        <w:t xml:space="preserve"> </w:t>
      </w:r>
      <w:r w:rsidRPr="00C25106">
        <w:t>of</w:t>
      </w:r>
      <w:r w:rsidR="00C64050">
        <w:t xml:space="preserve"> </w:t>
      </w:r>
      <w:r w:rsidR="0082227E">
        <w:t>section</w:t>
      </w:r>
      <w:r>
        <w:t>s</w:t>
      </w:r>
      <w:r w:rsidR="00C64050">
        <w:t xml:space="preserve"> </w:t>
      </w:r>
      <w:r w:rsidRPr="00C25106">
        <w:t>672(e)(1)(A),</w:t>
      </w:r>
      <w:r w:rsidR="00C64050">
        <w:t xml:space="preserve"> </w:t>
      </w:r>
      <w:r w:rsidRPr="00C25106">
        <w:t>674(d),</w:t>
      </w:r>
      <w:r w:rsidR="00C64050">
        <w:t xml:space="preserve"> </w:t>
      </w:r>
      <w:r w:rsidRPr="00C25106">
        <w:t>and</w:t>
      </w:r>
      <w:r w:rsidR="00C64050">
        <w:t xml:space="preserve"> </w:t>
      </w:r>
      <w:r w:rsidRPr="00C25106">
        <w:t>677</w:t>
      </w:r>
      <w:r w:rsidR="00C64050">
        <w:t xml:space="preserve"> </w:t>
      </w:r>
      <w:r w:rsidRPr="00C25106">
        <w:t>following</w:t>
      </w:r>
      <w:r w:rsidR="00C64050">
        <w:t xml:space="preserve"> </w:t>
      </w:r>
      <w:r w:rsidRPr="00C25106">
        <w:t>a</w:t>
      </w:r>
      <w:r w:rsidR="00C64050">
        <w:t xml:space="preserve"> </w:t>
      </w:r>
      <w:r w:rsidRPr="00C25106">
        <w:t>divorce</w:t>
      </w:r>
      <w:r w:rsidR="00C64050">
        <w:t xml:space="preserve"> </w:t>
      </w:r>
      <w:r w:rsidRPr="00C25106">
        <w:t>or</w:t>
      </w:r>
      <w:r w:rsidR="00C64050">
        <w:t xml:space="preserve"> </w:t>
      </w:r>
      <w:r w:rsidRPr="00C25106">
        <w:t>separa</w:t>
      </w:r>
      <w:r>
        <w:t>tion</w:t>
      </w:r>
      <w:r w:rsidR="00C64050">
        <w:t xml:space="preserve"> </w:t>
      </w:r>
      <w:r w:rsidRPr="001E7C34">
        <w:rPr>
          <w:color w:val="000000"/>
          <w:szCs w:val="20"/>
        </w:rPr>
        <w:t>in</w:t>
      </w:r>
      <w:r w:rsidR="00C64050">
        <w:t xml:space="preserve"> </w:t>
      </w:r>
      <w:r>
        <w:t>light</w:t>
      </w:r>
      <w:r w:rsidR="00C64050">
        <w:t xml:space="preserve"> </w:t>
      </w:r>
      <w:r>
        <w:t>of</w:t>
      </w:r>
      <w:r w:rsidR="00C64050">
        <w:t xml:space="preserve"> </w:t>
      </w:r>
      <w:r>
        <w:t>the</w:t>
      </w:r>
      <w:r w:rsidR="00C64050">
        <w:t xml:space="preserve"> </w:t>
      </w:r>
      <w:r>
        <w:t>repeal</w:t>
      </w:r>
      <w:r w:rsidR="00C64050">
        <w:t xml:space="preserve"> </w:t>
      </w:r>
      <w:r>
        <w:t>of</w:t>
      </w:r>
      <w:r w:rsidR="00C64050">
        <w:t xml:space="preserve"> </w:t>
      </w:r>
      <w:r w:rsidR="0082227E">
        <w:t>section</w:t>
      </w:r>
      <w:r w:rsidR="00C64050">
        <w:t xml:space="preserve"> </w:t>
      </w:r>
      <w:r w:rsidRPr="00C25106">
        <w:t>682.</w:t>
      </w:r>
      <w:r w:rsidR="00C64050">
        <w:t xml:space="preserve">  </w:t>
      </w:r>
    </w:p>
    <w:p w:rsidR="009B095B" w:rsidRPr="00C25106" w:rsidRDefault="007065B0" w:rsidP="001E7C34">
      <w:pPr>
        <w:pStyle w:val="Body15"/>
      </w:pPr>
      <w:r w:rsidRPr="00C25106">
        <w:t>In</w:t>
      </w:r>
      <w:r w:rsidR="00C64050">
        <w:t xml:space="preserve"> </w:t>
      </w:r>
      <w:r w:rsidRPr="00C25106">
        <w:t>light</w:t>
      </w:r>
      <w:r w:rsidR="00C64050">
        <w:t xml:space="preserve"> </w:t>
      </w:r>
      <w:r w:rsidRPr="00C25106">
        <w:t>of</w:t>
      </w:r>
      <w:r w:rsidR="00C64050">
        <w:t xml:space="preserve"> </w:t>
      </w:r>
      <w:r w:rsidRPr="00C25106">
        <w:t>the</w:t>
      </w:r>
      <w:r w:rsidR="00C64050">
        <w:t xml:space="preserve"> </w:t>
      </w:r>
      <w:r w:rsidRPr="00C25106">
        <w:t>repeal</w:t>
      </w:r>
      <w:r w:rsidR="00C64050">
        <w:t xml:space="preserve"> </w:t>
      </w:r>
      <w:r w:rsidRPr="00C25106">
        <w:t>of</w:t>
      </w:r>
      <w:r w:rsidR="00C64050">
        <w:t xml:space="preserve"> </w:t>
      </w:r>
      <w:r>
        <w:t>section</w:t>
      </w:r>
      <w:r w:rsidR="00C64050">
        <w:t xml:space="preserve"> </w:t>
      </w:r>
      <w:r w:rsidRPr="00C25106">
        <w:t>682,</w:t>
      </w:r>
      <w:r w:rsidR="00C64050">
        <w:t xml:space="preserve"> </w:t>
      </w:r>
      <w:r>
        <w:t>sections</w:t>
      </w:r>
      <w:r w:rsidR="00C64050">
        <w:t xml:space="preserve"> </w:t>
      </w:r>
      <w:r w:rsidRPr="00C25106">
        <w:t>672(e)(1)(A),</w:t>
      </w:r>
      <w:r w:rsidR="00C64050">
        <w:t xml:space="preserve"> </w:t>
      </w:r>
      <w:r w:rsidRPr="00C25106">
        <w:t>674(a)</w:t>
      </w:r>
      <w:r w:rsidR="00C64050">
        <w:t xml:space="preserve"> </w:t>
      </w:r>
      <w:r w:rsidRPr="00C25106">
        <w:t>and</w:t>
      </w:r>
      <w:r w:rsidR="00C64050">
        <w:t xml:space="preserve"> </w:t>
      </w:r>
      <w:r w:rsidRPr="00C25106">
        <w:t>677(a)</w:t>
      </w:r>
      <w:r w:rsidR="00C64050">
        <w:t xml:space="preserve"> </w:t>
      </w:r>
      <w:r w:rsidRPr="00C25106">
        <w:t>may</w:t>
      </w:r>
      <w:r w:rsidR="00C64050">
        <w:t xml:space="preserve"> </w:t>
      </w:r>
      <w:r w:rsidRPr="00C25106">
        <w:t>have</w:t>
      </w:r>
      <w:r w:rsidR="00C64050">
        <w:t xml:space="preserve"> </w:t>
      </w:r>
      <w:r w:rsidRPr="00C25106">
        <w:t>the</w:t>
      </w:r>
      <w:r w:rsidR="00C64050">
        <w:t xml:space="preserve"> </w:t>
      </w:r>
      <w:r w:rsidRPr="00C25106">
        <w:t>effect</w:t>
      </w:r>
      <w:r w:rsidR="00C64050">
        <w:t xml:space="preserve"> </w:t>
      </w:r>
      <w:r w:rsidRPr="00C25106">
        <w:t>of</w:t>
      </w:r>
      <w:r w:rsidR="00C64050">
        <w:t xml:space="preserve"> </w:t>
      </w:r>
      <w:r w:rsidRPr="00C25106">
        <w:t>triggering</w:t>
      </w:r>
      <w:r w:rsidR="00C64050">
        <w:t xml:space="preserve"> </w:t>
      </w:r>
      <w:r w:rsidRPr="00C25106">
        <w:t>grantor</w:t>
      </w:r>
      <w:r w:rsidR="00C64050">
        <w:t xml:space="preserve"> </w:t>
      </w:r>
      <w:r w:rsidRPr="00C25106">
        <w:t>trust</w:t>
      </w:r>
      <w:r w:rsidR="00C64050">
        <w:t xml:space="preserve"> </w:t>
      </w:r>
      <w:r w:rsidRPr="00C25106">
        <w:t>status</w:t>
      </w:r>
      <w:r w:rsidR="00C64050">
        <w:t xml:space="preserve"> </w:t>
      </w:r>
      <w:r w:rsidRPr="00C25106">
        <w:t>due</w:t>
      </w:r>
      <w:r w:rsidR="00C64050">
        <w:t xml:space="preserve"> </w:t>
      </w:r>
      <w:r w:rsidRPr="00C25106">
        <w:t>to</w:t>
      </w:r>
      <w:r w:rsidR="00C64050">
        <w:t xml:space="preserve"> </w:t>
      </w:r>
      <w:r w:rsidRPr="00C25106">
        <w:t>the</w:t>
      </w:r>
      <w:r w:rsidR="00C64050">
        <w:t xml:space="preserve"> </w:t>
      </w:r>
      <w:r w:rsidRPr="00C25106">
        <w:t>non-grantor</w:t>
      </w:r>
      <w:r w:rsidR="00C64050">
        <w:t xml:space="preserve"> </w:t>
      </w:r>
      <w:r w:rsidRPr="00C25106">
        <w:t>spouse’s</w:t>
      </w:r>
      <w:r w:rsidR="00C64050">
        <w:t xml:space="preserve"> </w:t>
      </w:r>
      <w:r w:rsidRPr="00C25106">
        <w:t>powers</w:t>
      </w:r>
      <w:r w:rsidR="00C64050">
        <w:t xml:space="preserve"> </w:t>
      </w:r>
      <w:r w:rsidRPr="00C25106">
        <w:t>over</w:t>
      </w:r>
      <w:r w:rsidR="00C64050">
        <w:t xml:space="preserve"> </w:t>
      </w:r>
      <w:r w:rsidRPr="00C25106">
        <w:t>a</w:t>
      </w:r>
      <w:r w:rsidR="00C64050">
        <w:t xml:space="preserve"> </w:t>
      </w:r>
      <w:r w:rsidRPr="00C25106">
        <w:t>trust</w:t>
      </w:r>
      <w:r w:rsidR="00C64050">
        <w:t xml:space="preserve"> </w:t>
      </w:r>
      <w:r w:rsidRPr="00C25106">
        <w:t>even</w:t>
      </w:r>
      <w:r w:rsidR="00C64050">
        <w:t xml:space="preserve"> </w:t>
      </w:r>
      <w:r w:rsidRPr="00C25106">
        <w:t>after</w:t>
      </w:r>
      <w:r w:rsidR="00C64050">
        <w:t xml:space="preserve"> </w:t>
      </w:r>
      <w:r w:rsidRPr="00C25106">
        <w:t>the</w:t>
      </w:r>
      <w:r w:rsidR="00C64050">
        <w:t xml:space="preserve"> </w:t>
      </w:r>
      <w:r w:rsidRPr="00C25106">
        <w:t>spouses</w:t>
      </w:r>
      <w:r w:rsidR="00C64050">
        <w:t xml:space="preserve"> </w:t>
      </w:r>
      <w:r w:rsidRPr="00C25106">
        <w:t>divorce.</w:t>
      </w:r>
      <w:r w:rsidR="00C64050">
        <w:t xml:space="preserve">  </w:t>
      </w:r>
      <w:r w:rsidR="00017F3F">
        <w:t>S</w:t>
      </w:r>
      <w:r w:rsidR="0082227E">
        <w:t>ection</w:t>
      </w:r>
      <w:r w:rsidR="00C64050">
        <w:t xml:space="preserve">  </w:t>
      </w:r>
      <w:r w:rsidR="009B095B" w:rsidRPr="00C25106">
        <w:t>672(e)(1)(A)</w:t>
      </w:r>
      <w:r w:rsidR="00C64050">
        <w:t xml:space="preserve"> </w:t>
      </w:r>
      <w:r w:rsidR="009B095B" w:rsidRPr="00C25106">
        <w:t>provides</w:t>
      </w:r>
      <w:r w:rsidR="00C64050">
        <w:t xml:space="preserve"> </w:t>
      </w:r>
      <w:r w:rsidR="009B095B" w:rsidRPr="00C25106">
        <w:t>that</w:t>
      </w:r>
      <w:r w:rsidR="00C64050">
        <w:t xml:space="preserve"> </w:t>
      </w:r>
      <w:r w:rsidR="009B095B" w:rsidRPr="00C25106">
        <w:t>the</w:t>
      </w:r>
      <w:r w:rsidR="00C64050">
        <w:t xml:space="preserve"> </w:t>
      </w:r>
      <w:r w:rsidR="009B095B" w:rsidRPr="00C25106">
        <w:t>grantor</w:t>
      </w:r>
      <w:r w:rsidR="00C64050">
        <w:t xml:space="preserve"> </w:t>
      </w:r>
      <w:r w:rsidR="009B095B" w:rsidRPr="00C25106">
        <w:t>of</w:t>
      </w:r>
      <w:r w:rsidR="00C64050">
        <w:t xml:space="preserve"> </w:t>
      </w:r>
      <w:r w:rsidR="009B095B" w:rsidRPr="00C25106">
        <w:t>a</w:t>
      </w:r>
      <w:r w:rsidR="00C64050">
        <w:t xml:space="preserve"> </w:t>
      </w:r>
      <w:r w:rsidR="009B095B" w:rsidRPr="00C25106">
        <w:t>trust</w:t>
      </w:r>
      <w:r w:rsidR="00C64050">
        <w:t xml:space="preserve"> </w:t>
      </w:r>
      <w:r w:rsidR="009B095B" w:rsidRPr="00C25106">
        <w:t>shall</w:t>
      </w:r>
      <w:r w:rsidR="00C64050">
        <w:t xml:space="preserve"> </w:t>
      </w:r>
      <w:r w:rsidR="009B095B" w:rsidRPr="00C25106">
        <w:t>be</w:t>
      </w:r>
      <w:r w:rsidR="00C64050">
        <w:t xml:space="preserve"> </w:t>
      </w:r>
      <w:r w:rsidR="009B095B" w:rsidRPr="00C25106">
        <w:t>treated</w:t>
      </w:r>
      <w:r w:rsidR="00C64050">
        <w:t xml:space="preserve"> </w:t>
      </w:r>
      <w:r w:rsidR="009B095B" w:rsidRPr="00C25106">
        <w:t>as</w:t>
      </w:r>
      <w:r w:rsidR="00C64050">
        <w:t xml:space="preserve"> </w:t>
      </w:r>
      <w:r w:rsidR="009B095B" w:rsidRPr="00C25106">
        <w:t>holding</w:t>
      </w:r>
      <w:r w:rsidR="00C64050">
        <w:t xml:space="preserve"> </w:t>
      </w:r>
      <w:r w:rsidR="009B095B" w:rsidRPr="001E7C34">
        <w:rPr>
          <w:color w:val="000000"/>
          <w:szCs w:val="20"/>
        </w:rPr>
        <w:t>any</w:t>
      </w:r>
      <w:r w:rsidR="00C64050">
        <w:t xml:space="preserve"> </w:t>
      </w:r>
      <w:r w:rsidR="009B095B" w:rsidRPr="00C25106">
        <w:t>power</w:t>
      </w:r>
      <w:r w:rsidR="00C64050">
        <w:t xml:space="preserve"> </w:t>
      </w:r>
      <w:r w:rsidR="009B095B" w:rsidRPr="00C25106">
        <w:t>or</w:t>
      </w:r>
      <w:r w:rsidR="00C64050">
        <w:t xml:space="preserve"> </w:t>
      </w:r>
      <w:r w:rsidR="009B095B" w:rsidRPr="00C25106">
        <w:t>interest</w:t>
      </w:r>
      <w:r w:rsidR="00C64050">
        <w:t xml:space="preserve"> </w:t>
      </w:r>
      <w:r w:rsidR="009B095B" w:rsidRPr="00C25106">
        <w:t>in</w:t>
      </w:r>
      <w:r w:rsidR="00C64050">
        <w:t xml:space="preserve"> </w:t>
      </w:r>
      <w:r w:rsidR="009B095B" w:rsidRPr="00C25106">
        <w:t>such</w:t>
      </w:r>
      <w:r w:rsidR="00C64050">
        <w:t xml:space="preserve"> </w:t>
      </w:r>
      <w:r w:rsidR="009B095B" w:rsidRPr="00C25106">
        <w:t>trust</w:t>
      </w:r>
      <w:r w:rsidR="00C64050">
        <w:t xml:space="preserve"> </w:t>
      </w:r>
      <w:r w:rsidR="009B095B" w:rsidRPr="00C25106">
        <w:t>held</w:t>
      </w:r>
      <w:r w:rsidR="00C64050">
        <w:t xml:space="preserve"> </w:t>
      </w:r>
      <w:r w:rsidR="009B095B" w:rsidRPr="00C25106">
        <w:t>by</w:t>
      </w:r>
      <w:r w:rsidR="00C64050">
        <w:t xml:space="preserve"> </w:t>
      </w:r>
      <w:r w:rsidR="009B095B" w:rsidRPr="00C25106">
        <w:t>any</w:t>
      </w:r>
      <w:r w:rsidR="00C64050">
        <w:t xml:space="preserve"> </w:t>
      </w:r>
      <w:r w:rsidR="009B095B" w:rsidRPr="00C25106">
        <w:t>individual</w:t>
      </w:r>
      <w:r w:rsidR="00C64050">
        <w:t xml:space="preserve"> </w:t>
      </w:r>
      <w:r w:rsidR="009B095B" w:rsidRPr="00C25106">
        <w:t>who</w:t>
      </w:r>
      <w:r w:rsidR="00C64050">
        <w:t xml:space="preserve"> </w:t>
      </w:r>
      <w:r w:rsidR="009B095B" w:rsidRPr="00C25106">
        <w:t>was</w:t>
      </w:r>
      <w:r w:rsidR="00C64050">
        <w:t xml:space="preserve"> </w:t>
      </w:r>
      <w:r w:rsidR="009B095B" w:rsidRPr="00C25106">
        <w:t>the</w:t>
      </w:r>
      <w:r w:rsidR="00C64050">
        <w:t xml:space="preserve"> </w:t>
      </w:r>
      <w:r w:rsidR="009B095B" w:rsidRPr="00C25106">
        <w:t>spouse</w:t>
      </w:r>
      <w:r w:rsidR="00C64050">
        <w:t xml:space="preserve"> </w:t>
      </w:r>
      <w:r w:rsidR="009B095B" w:rsidRPr="00C25106">
        <w:t>of</w:t>
      </w:r>
      <w:r w:rsidR="00C64050">
        <w:t xml:space="preserve"> </w:t>
      </w:r>
      <w:r w:rsidR="009B095B" w:rsidRPr="00C25106">
        <w:t>the</w:t>
      </w:r>
      <w:r w:rsidR="00C64050">
        <w:t xml:space="preserve"> </w:t>
      </w:r>
      <w:r w:rsidR="009B095B" w:rsidRPr="00C25106">
        <w:t>grantor</w:t>
      </w:r>
      <w:r w:rsidR="00C64050">
        <w:t xml:space="preserve"> </w:t>
      </w:r>
      <w:r w:rsidR="009B095B" w:rsidRPr="00C25106">
        <w:t>at</w:t>
      </w:r>
      <w:r w:rsidR="00C64050">
        <w:t xml:space="preserve"> </w:t>
      </w:r>
      <w:r w:rsidR="009B095B" w:rsidRPr="00C25106">
        <w:t>the</w:t>
      </w:r>
      <w:r w:rsidR="00C64050">
        <w:t xml:space="preserve"> </w:t>
      </w:r>
      <w:r w:rsidR="009B095B" w:rsidRPr="00C25106">
        <w:t>time</w:t>
      </w:r>
      <w:r w:rsidR="00C64050">
        <w:t xml:space="preserve"> </w:t>
      </w:r>
      <w:r w:rsidR="009B095B" w:rsidRPr="00C25106">
        <w:t>of</w:t>
      </w:r>
      <w:r w:rsidR="00C64050">
        <w:t xml:space="preserve"> </w:t>
      </w:r>
      <w:r w:rsidR="009B095B" w:rsidRPr="00C25106">
        <w:t>the</w:t>
      </w:r>
      <w:r w:rsidR="00C64050">
        <w:t xml:space="preserve"> </w:t>
      </w:r>
      <w:r w:rsidR="009B095B" w:rsidRPr="00C25106">
        <w:t>creation</w:t>
      </w:r>
      <w:r w:rsidR="00C64050">
        <w:t xml:space="preserve"> </w:t>
      </w:r>
      <w:r w:rsidR="009B095B" w:rsidRPr="00C25106">
        <w:t>of</w:t>
      </w:r>
      <w:r w:rsidR="00C64050">
        <w:t xml:space="preserve"> </w:t>
      </w:r>
      <w:r w:rsidR="009B095B" w:rsidRPr="00C25106">
        <w:t>such</w:t>
      </w:r>
      <w:r w:rsidR="00C64050">
        <w:t xml:space="preserve"> </w:t>
      </w:r>
      <w:r w:rsidR="009B095B" w:rsidRPr="00C25106">
        <w:t>power</w:t>
      </w:r>
      <w:r w:rsidR="00C64050">
        <w:t xml:space="preserve"> </w:t>
      </w:r>
      <w:r w:rsidR="009B095B" w:rsidRPr="00C25106">
        <w:t>or</w:t>
      </w:r>
      <w:r w:rsidR="00C64050">
        <w:t xml:space="preserve"> </w:t>
      </w:r>
      <w:r w:rsidR="009B095B" w:rsidRPr="00C25106">
        <w:t>interest.</w:t>
      </w:r>
      <w:r w:rsidR="00C64050">
        <w:t xml:space="preserve">  </w:t>
      </w:r>
      <w:r w:rsidR="00E12C3A">
        <w:t>S</w:t>
      </w:r>
      <w:r w:rsidR="0082227E">
        <w:t>ection</w:t>
      </w:r>
      <w:r w:rsidR="00C64050">
        <w:t xml:space="preserve"> </w:t>
      </w:r>
      <w:r w:rsidR="009B095B" w:rsidRPr="00C25106">
        <w:t>674(a)</w:t>
      </w:r>
      <w:r w:rsidR="00C64050">
        <w:t xml:space="preserve"> </w:t>
      </w:r>
      <w:r w:rsidR="009B095B" w:rsidRPr="00C25106">
        <w:t>provides,</w:t>
      </w:r>
      <w:r w:rsidR="00C64050">
        <w:t xml:space="preserve"> </w:t>
      </w:r>
      <w:r w:rsidR="009B095B" w:rsidRPr="00C25106">
        <w:t>in</w:t>
      </w:r>
      <w:r w:rsidR="00C64050">
        <w:t xml:space="preserve"> </w:t>
      </w:r>
      <w:r w:rsidR="009B095B" w:rsidRPr="00C25106">
        <w:t>general,</w:t>
      </w:r>
      <w:r w:rsidR="00C64050">
        <w:t xml:space="preserve"> </w:t>
      </w:r>
      <w:r w:rsidR="009B095B" w:rsidRPr="00C25106">
        <w:t>that</w:t>
      </w:r>
      <w:r w:rsidR="00C64050">
        <w:t xml:space="preserve"> </w:t>
      </w:r>
      <w:r w:rsidR="009B095B" w:rsidRPr="00C25106">
        <w:t>the</w:t>
      </w:r>
      <w:r w:rsidR="00C64050">
        <w:t xml:space="preserve"> </w:t>
      </w:r>
      <w:r w:rsidR="009B095B" w:rsidRPr="00C25106">
        <w:t>grantor</w:t>
      </w:r>
      <w:r w:rsidR="00C64050">
        <w:t xml:space="preserve"> </w:t>
      </w:r>
      <w:r w:rsidR="009B095B" w:rsidRPr="00C25106">
        <w:t>shall</w:t>
      </w:r>
      <w:r w:rsidR="00C64050">
        <w:t xml:space="preserve"> </w:t>
      </w:r>
      <w:r w:rsidR="009B095B" w:rsidRPr="00C25106">
        <w:t>be</w:t>
      </w:r>
      <w:r w:rsidR="00C64050">
        <w:t xml:space="preserve"> </w:t>
      </w:r>
      <w:r w:rsidR="009B095B" w:rsidRPr="00C25106">
        <w:t>treated</w:t>
      </w:r>
      <w:r w:rsidR="00C64050">
        <w:t xml:space="preserve"> </w:t>
      </w:r>
      <w:r w:rsidR="009B095B" w:rsidRPr="00C25106">
        <w:t>as</w:t>
      </w:r>
      <w:r w:rsidR="00C64050">
        <w:t xml:space="preserve"> </w:t>
      </w:r>
      <w:r w:rsidR="009B095B" w:rsidRPr="00C25106">
        <w:t>the</w:t>
      </w:r>
      <w:r w:rsidR="00C64050">
        <w:t xml:space="preserve"> </w:t>
      </w:r>
      <w:r w:rsidR="009B095B" w:rsidRPr="00C25106">
        <w:t>owner</w:t>
      </w:r>
      <w:r w:rsidR="00C64050">
        <w:t xml:space="preserve"> </w:t>
      </w:r>
      <w:r w:rsidR="009B095B" w:rsidRPr="00C25106">
        <w:t>of</w:t>
      </w:r>
      <w:r w:rsidR="00C64050">
        <w:t xml:space="preserve"> </w:t>
      </w:r>
      <w:r w:rsidR="009B095B" w:rsidRPr="00C25106">
        <w:t>any</w:t>
      </w:r>
      <w:r w:rsidR="00C64050">
        <w:t xml:space="preserve"> </w:t>
      </w:r>
      <w:r w:rsidR="009B095B" w:rsidRPr="00C25106">
        <w:t>portion</w:t>
      </w:r>
      <w:r w:rsidR="00C64050">
        <w:t xml:space="preserve"> </w:t>
      </w:r>
      <w:r w:rsidR="009B095B" w:rsidRPr="00C25106">
        <w:t>of</w:t>
      </w:r>
      <w:r w:rsidR="00C64050">
        <w:t xml:space="preserve"> </w:t>
      </w:r>
      <w:r w:rsidR="009B095B" w:rsidRPr="00C25106">
        <w:t>a</w:t>
      </w:r>
      <w:r w:rsidR="00C64050">
        <w:t xml:space="preserve"> </w:t>
      </w:r>
      <w:r w:rsidR="009B095B" w:rsidRPr="00C25106">
        <w:t>trust</w:t>
      </w:r>
      <w:r w:rsidR="00C64050">
        <w:t xml:space="preserve"> </w:t>
      </w:r>
      <w:r w:rsidR="009B095B" w:rsidRPr="00C25106">
        <w:t>in</w:t>
      </w:r>
      <w:r w:rsidR="00C64050">
        <w:t xml:space="preserve"> </w:t>
      </w:r>
      <w:r w:rsidR="009B095B" w:rsidRPr="00C25106">
        <w:t>respect</w:t>
      </w:r>
      <w:r w:rsidR="00C64050">
        <w:t xml:space="preserve"> </w:t>
      </w:r>
      <w:r w:rsidR="009B095B" w:rsidRPr="00C25106">
        <w:t>of</w:t>
      </w:r>
      <w:r w:rsidR="00C64050">
        <w:t xml:space="preserve"> </w:t>
      </w:r>
      <w:r w:rsidR="009B095B" w:rsidRPr="00C25106">
        <w:t>which</w:t>
      </w:r>
      <w:r w:rsidR="00C64050">
        <w:t xml:space="preserve"> </w:t>
      </w:r>
      <w:r w:rsidR="009B095B" w:rsidRPr="00C25106">
        <w:t>the</w:t>
      </w:r>
      <w:r w:rsidR="00C64050">
        <w:t xml:space="preserve"> </w:t>
      </w:r>
      <w:r w:rsidR="009B095B" w:rsidRPr="00C25106">
        <w:t>beneficial</w:t>
      </w:r>
      <w:r w:rsidR="00C64050">
        <w:t xml:space="preserve"> </w:t>
      </w:r>
      <w:r w:rsidR="009B095B" w:rsidRPr="00C25106">
        <w:t>enjoyment</w:t>
      </w:r>
      <w:r w:rsidR="00C64050">
        <w:t xml:space="preserve"> </w:t>
      </w:r>
      <w:r w:rsidR="009B095B" w:rsidRPr="00C25106">
        <w:t>of</w:t>
      </w:r>
      <w:r w:rsidR="00C64050">
        <w:t xml:space="preserve"> </w:t>
      </w:r>
      <w:r w:rsidR="009B095B" w:rsidRPr="00C25106">
        <w:t>the</w:t>
      </w:r>
      <w:r w:rsidR="00C64050">
        <w:t xml:space="preserve"> </w:t>
      </w:r>
      <w:r w:rsidR="009B095B" w:rsidRPr="00C25106">
        <w:t>trust</w:t>
      </w:r>
      <w:r w:rsidR="00C64050">
        <w:t xml:space="preserve"> </w:t>
      </w:r>
      <w:r w:rsidR="009B095B" w:rsidRPr="00C25106">
        <w:t>assets</w:t>
      </w:r>
      <w:r w:rsidR="00C64050">
        <w:t xml:space="preserve"> </w:t>
      </w:r>
      <w:r w:rsidR="009B095B" w:rsidRPr="00C25106">
        <w:t>is</w:t>
      </w:r>
      <w:r w:rsidR="00C64050">
        <w:t xml:space="preserve"> </w:t>
      </w:r>
      <w:r w:rsidR="009B095B" w:rsidRPr="00C25106">
        <w:t>subject</w:t>
      </w:r>
      <w:r w:rsidR="00C64050">
        <w:t xml:space="preserve"> </w:t>
      </w:r>
      <w:r w:rsidR="009B095B" w:rsidRPr="00C25106">
        <w:t>to</w:t>
      </w:r>
      <w:r w:rsidR="00C64050">
        <w:t xml:space="preserve"> </w:t>
      </w:r>
      <w:r w:rsidR="009B095B" w:rsidRPr="00C25106">
        <w:t>a</w:t>
      </w:r>
      <w:r w:rsidR="00C64050">
        <w:t xml:space="preserve"> </w:t>
      </w:r>
      <w:r w:rsidR="009B095B" w:rsidRPr="00C25106">
        <w:t>power</w:t>
      </w:r>
      <w:r w:rsidR="00C64050">
        <w:t xml:space="preserve"> </w:t>
      </w:r>
      <w:r w:rsidR="009B095B" w:rsidRPr="00C25106">
        <w:t>of</w:t>
      </w:r>
      <w:r w:rsidR="00C64050">
        <w:t xml:space="preserve"> </w:t>
      </w:r>
      <w:r w:rsidR="009B095B" w:rsidRPr="00C25106">
        <w:t>disposition,</w:t>
      </w:r>
      <w:r w:rsidR="00C64050">
        <w:t xml:space="preserve"> </w:t>
      </w:r>
      <w:r w:rsidR="009B095B" w:rsidRPr="00C25106">
        <w:t>exercisable</w:t>
      </w:r>
      <w:r w:rsidR="00C64050">
        <w:t xml:space="preserve"> </w:t>
      </w:r>
      <w:r w:rsidR="009B095B" w:rsidRPr="00C25106">
        <w:t>by</w:t>
      </w:r>
      <w:r w:rsidR="00C64050">
        <w:t xml:space="preserve"> </w:t>
      </w:r>
      <w:r w:rsidR="009B095B" w:rsidRPr="00C25106">
        <w:t>the</w:t>
      </w:r>
      <w:r w:rsidR="00C64050">
        <w:t xml:space="preserve"> </w:t>
      </w:r>
      <w:r w:rsidR="009B095B" w:rsidRPr="00C25106">
        <w:t>grantor</w:t>
      </w:r>
      <w:r w:rsidR="00C64050">
        <w:t xml:space="preserve"> </w:t>
      </w:r>
      <w:r w:rsidR="009B095B" w:rsidRPr="00C25106">
        <w:t>or</w:t>
      </w:r>
      <w:r w:rsidR="00C64050">
        <w:t xml:space="preserve"> </w:t>
      </w:r>
      <w:r w:rsidR="009B095B" w:rsidRPr="00C25106">
        <w:t>a</w:t>
      </w:r>
      <w:r w:rsidR="00C64050">
        <w:t xml:space="preserve"> </w:t>
      </w:r>
      <w:r w:rsidR="009B095B" w:rsidRPr="00C25106">
        <w:t>nonadverse</w:t>
      </w:r>
      <w:r w:rsidR="00C64050">
        <w:t xml:space="preserve"> </w:t>
      </w:r>
      <w:r w:rsidR="009B095B" w:rsidRPr="00C25106">
        <w:t>party,</w:t>
      </w:r>
      <w:r w:rsidR="00C64050">
        <w:t xml:space="preserve"> </w:t>
      </w:r>
      <w:r w:rsidR="009B095B" w:rsidRPr="00C25106">
        <w:t>or</w:t>
      </w:r>
      <w:r w:rsidR="00C64050">
        <w:t xml:space="preserve"> </w:t>
      </w:r>
      <w:r w:rsidR="009B095B" w:rsidRPr="00C25106">
        <w:t>both,</w:t>
      </w:r>
      <w:r w:rsidR="00C64050">
        <w:t xml:space="preserve"> </w:t>
      </w:r>
      <w:r w:rsidR="009B095B" w:rsidRPr="00C25106">
        <w:t>without</w:t>
      </w:r>
      <w:r w:rsidR="00C64050">
        <w:t xml:space="preserve"> </w:t>
      </w:r>
      <w:r w:rsidR="009B095B" w:rsidRPr="00C25106">
        <w:t>the</w:t>
      </w:r>
      <w:r w:rsidR="00C64050">
        <w:t xml:space="preserve"> </w:t>
      </w:r>
      <w:r w:rsidR="009B095B" w:rsidRPr="00C25106">
        <w:t>approval</w:t>
      </w:r>
      <w:r w:rsidR="00C64050">
        <w:t xml:space="preserve"> </w:t>
      </w:r>
      <w:r w:rsidR="009B095B" w:rsidRPr="00C25106">
        <w:t>or</w:t>
      </w:r>
      <w:r w:rsidR="00C64050">
        <w:t xml:space="preserve"> </w:t>
      </w:r>
      <w:r w:rsidR="009B095B" w:rsidRPr="00C25106">
        <w:t>consent</w:t>
      </w:r>
      <w:r w:rsidR="00C64050">
        <w:t xml:space="preserve"> </w:t>
      </w:r>
      <w:r w:rsidR="009B095B" w:rsidRPr="00C25106">
        <w:t>of</w:t>
      </w:r>
      <w:r w:rsidR="00C64050">
        <w:t xml:space="preserve"> </w:t>
      </w:r>
      <w:r w:rsidR="009B095B" w:rsidRPr="00C25106">
        <w:t>any</w:t>
      </w:r>
      <w:r w:rsidR="00C64050">
        <w:t xml:space="preserve"> </w:t>
      </w:r>
      <w:r w:rsidR="009B095B" w:rsidRPr="00C25106">
        <w:t>adverse</w:t>
      </w:r>
      <w:r w:rsidR="00C64050">
        <w:t xml:space="preserve"> </w:t>
      </w:r>
      <w:r w:rsidR="009B095B" w:rsidRPr="00C25106">
        <w:t>party.</w:t>
      </w:r>
      <w:r w:rsidR="00C64050">
        <w:t xml:space="preserve">  </w:t>
      </w:r>
      <w:r w:rsidR="009B095B" w:rsidRPr="00C25106">
        <w:t>However,</w:t>
      </w:r>
      <w:r w:rsidR="00C64050">
        <w:t xml:space="preserve"> </w:t>
      </w:r>
      <w:r w:rsidR="0082227E">
        <w:t>section</w:t>
      </w:r>
      <w:r w:rsidR="00C64050">
        <w:t xml:space="preserve"> </w:t>
      </w:r>
      <w:r w:rsidR="009B095B" w:rsidRPr="00C25106">
        <w:t>674(d)</w:t>
      </w:r>
      <w:r w:rsidR="00C64050">
        <w:t xml:space="preserve"> </w:t>
      </w:r>
      <w:r w:rsidR="009B095B" w:rsidRPr="00C25106">
        <w:t>provides</w:t>
      </w:r>
      <w:r w:rsidR="00C64050">
        <w:t xml:space="preserve"> </w:t>
      </w:r>
      <w:r w:rsidR="009B095B" w:rsidRPr="00C25106">
        <w:t>that</w:t>
      </w:r>
      <w:r w:rsidR="00C64050">
        <w:t xml:space="preserve"> </w:t>
      </w:r>
      <w:r w:rsidR="0082227E">
        <w:t>section</w:t>
      </w:r>
      <w:r w:rsidR="00C64050">
        <w:t xml:space="preserve"> </w:t>
      </w:r>
      <w:r w:rsidR="009B095B" w:rsidRPr="00C25106">
        <w:t>674(a)</w:t>
      </w:r>
      <w:r w:rsidR="00C64050">
        <w:t xml:space="preserve"> </w:t>
      </w:r>
      <w:r w:rsidR="009B095B" w:rsidRPr="00C25106">
        <w:t>shall</w:t>
      </w:r>
      <w:r w:rsidR="00C64050">
        <w:t xml:space="preserve"> </w:t>
      </w:r>
      <w:r w:rsidR="009B095B" w:rsidRPr="00C25106">
        <w:t>not</w:t>
      </w:r>
      <w:r w:rsidR="00C64050">
        <w:t xml:space="preserve"> </w:t>
      </w:r>
      <w:r w:rsidR="009B095B" w:rsidRPr="00C25106">
        <w:t>apply</w:t>
      </w:r>
      <w:r w:rsidR="00C64050">
        <w:t xml:space="preserve"> </w:t>
      </w:r>
      <w:r w:rsidR="009B095B" w:rsidRPr="00C25106">
        <w:t>to</w:t>
      </w:r>
      <w:r w:rsidR="00C64050">
        <w:t xml:space="preserve"> </w:t>
      </w:r>
      <w:r w:rsidR="009B095B" w:rsidRPr="00C25106">
        <w:t>a</w:t>
      </w:r>
      <w:r w:rsidR="00C64050">
        <w:t xml:space="preserve"> </w:t>
      </w:r>
      <w:r w:rsidR="009B095B" w:rsidRPr="00C25106">
        <w:t>power</w:t>
      </w:r>
      <w:r w:rsidR="00C64050">
        <w:t xml:space="preserve"> </w:t>
      </w:r>
      <w:r w:rsidR="009B095B" w:rsidRPr="00C25106">
        <w:t>solely</w:t>
      </w:r>
      <w:r w:rsidR="00C64050">
        <w:t xml:space="preserve"> </w:t>
      </w:r>
      <w:r w:rsidR="009B095B" w:rsidRPr="00C25106">
        <w:t>exercisable</w:t>
      </w:r>
      <w:r w:rsidR="00C64050">
        <w:t xml:space="preserve"> </w:t>
      </w:r>
      <w:r w:rsidR="009B095B" w:rsidRPr="00C25106">
        <w:t>(without</w:t>
      </w:r>
      <w:r w:rsidR="00C64050">
        <w:t xml:space="preserve"> </w:t>
      </w:r>
      <w:r w:rsidR="009B095B" w:rsidRPr="00C25106">
        <w:t>the</w:t>
      </w:r>
      <w:r w:rsidR="00C64050">
        <w:t xml:space="preserve"> </w:t>
      </w:r>
      <w:r w:rsidR="009B095B" w:rsidRPr="00C25106">
        <w:t>approval</w:t>
      </w:r>
      <w:r w:rsidR="00C64050">
        <w:t xml:space="preserve"> </w:t>
      </w:r>
      <w:r w:rsidR="009B095B" w:rsidRPr="00C25106">
        <w:t>or</w:t>
      </w:r>
      <w:r w:rsidR="00C64050">
        <w:t xml:space="preserve"> </w:t>
      </w:r>
      <w:r w:rsidR="009B095B" w:rsidRPr="00C25106">
        <w:t>consent</w:t>
      </w:r>
      <w:r w:rsidR="00C64050">
        <w:t xml:space="preserve"> </w:t>
      </w:r>
      <w:r w:rsidR="009B095B" w:rsidRPr="00C25106">
        <w:t>of</w:t>
      </w:r>
      <w:r w:rsidR="00C64050">
        <w:t xml:space="preserve"> </w:t>
      </w:r>
      <w:r w:rsidR="009B095B" w:rsidRPr="00C25106">
        <w:t>any</w:t>
      </w:r>
      <w:r w:rsidR="00C64050">
        <w:t xml:space="preserve"> </w:t>
      </w:r>
      <w:r w:rsidR="009B095B" w:rsidRPr="00C25106">
        <w:t>other</w:t>
      </w:r>
      <w:r w:rsidR="00C64050">
        <w:t xml:space="preserve"> </w:t>
      </w:r>
      <w:r w:rsidR="009B095B" w:rsidRPr="00C25106">
        <w:t>person)</w:t>
      </w:r>
      <w:r w:rsidR="00C64050">
        <w:t xml:space="preserve"> </w:t>
      </w:r>
      <w:r w:rsidR="009B095B" w:rsidRPr="00C25106">
        <w:t>by</w:t>
      </w:r>
      <w:r w:rsidR="00C64050">
        <w:t xml:space="preserve"> </w:t>
      </w:r>
      <w:r w:rsidR="009B095B" w:rsidRPr="00C25106">
        <w:t>a</w:t>
      </w:r>
      <w:r w:rsidR="00C64050">
        <w:t xml:space="preserve"> </w:t>
      </w:r>
      <w:r w:rsidR="009B095B" w:rsidRPr="00C25106">
        <w:t>Trustee</w:t>
      </w:r>
      <w:r w:rsidR="00C64050">
        <w:t xml:space="preserve"> </w:t>
      </w:r>
      <w:r w:rsidR="009B095B" w:rsidRPr="00C25106">
        <w:t>or</w:t>
      </w:r>
      <w:r w:rsidR="00C64050">
        <w:t xml:space="preserve"> </w:t>
      </w:r>
      <w:r w:rsidR="009B095B" w:rsidRPr="00C25106">
        <w:t>Trustees,</w:t>
      </w:r>
      <w:r w:rsidR="00C64050">
        <w:t xml:space="preserve"> </w:t>
      </w:r>
      <w:r w:rsidR="009B095B" w:rsidRPr="00C25106">
        <w:t>none</w:t>
      </w:r>
      <w:r w:rsidR="00C64050">
        <w:t xml:space="preserve"> </w:t>
      </w:r>
      <w:r w:rsidR="009B095B" w:rsidRPr="00C25106">
        <w:t>of</w:t>
      </w:r>
      <w:r w:rsidR="00C64050">
        <w:t xml:space="preserve"> </w:t>
      </w:r>
      <w:r w:rsidR="009B095B" w:rsidRPr="00C25106">
        <w:t>whom</w:t>
      </w:r>
      <w:r w:rsidR="00C64050">
        <w:t xml:space="preserve"> </w:t>
      </w:r>
      <w:r w:rsidR="009B095B" w:rsidRPr="00C25106">
        <w:t>is</w:t>
      </w:r>
      <w:r w:rsidR="00C64050">
        <w:t xml:space="preserve"> </w:t>
      </w:r>
      <w:r w:rsidR="009B095B" w:rsidRPr="00C25106">
        <w:t>the</w:t>
      </w:r>
      <w:r w:rsidR="00C64050">
        <w:t xml:space="preserve"> </w:t>
      </w:r>
      <w:r w:rsidR="009B095B" w:rsidRPr="00C25106">
        <w:t>grantor</w:t>
      </w:r>
      <w:r w:rsidR="00C64050">
        <w:t xml:space="preserve"> </w:t>
      </w:r>
      <w:r w:rsidR="009B095B" w:rsidRPr="00C25106">
        <w:t>or</w:t>
      </w:r>
      <w:r w:rsidR="00C64050">
        <w:t xml:space="preserve"> </w:t>
      </w:r>
      <w:r w:rsidR="009B095B" w:rsidRPr="00C25106">
        <w:t>spouse</w:t>
      </w:r>
      <w:r w:rsidR="00C64050">
        <w:t xml:space="preserve"> </w:t>
      </w:r>
      <w:r w:rsidR="009B095B" w:rsidRPr="00C25106">
        <w:t>living</w:t>
      </w:r>
      <w:r w:rsidR="00C64050">
        <w:t xml:space="preserve"> </w:t>
      </w:r>
      <w:r w:rsidR="009B095B" w:rsidRPr="00C25106">
        <w:t>with</w:t>
      </w:r>
      <w:r w:rsidR="00C64050">
        <w:t xml:space="preserve"> </w:t>
      </w:r>
      <w:r w:rsidR="009B095B" w:rsidRPr="00C25106">
        <w:t>the</w:t>
      </w:r>
      <w:r w:rsidR="00C64050">
        <w:t xml:space="preserve"> </w:t>
      </w:r>
      <w:r w:rsidR="009B095B" w:rsidRPr="00C25106">
        <w:t>grantor,</w:t>
      </w:r>
      <w:r w:rsidR="00C64050">
        <w:t xml:space="preserve"> </w:t>
      </w:r>
      <w:r w:rsidR="009B095B" w:rsidRPr="00C25106">
        <w:t>to</w:t>
      </w:r>
      <w:r w:rsidR="00C64050">
        <w:t xml:space="preserve"> </w:t>
      </w:r>
      <w:r w:rsidR="009B095B" w:rsidRPr="00C25106">
        <w:t>distribute,</w:t>
      </w:r>
      <w:r w:rsidR="00C64050">
        <w:t xml:space="preserve"> </w:t>
      </w:r>
      <w:r w:rsidR="009B095B" w:rsidRPr="00C25106">
        <w:t>apportion</w:t>
      </w:r>
      <w:r w:rsidR="00C64050">
        <w:t xml:space="preserve"> </w:t>
      </w:r>
      <w:r w:rsidR="009B095B" w:rsidRPr="00C25106">
        <w:t>or</w:t>
      </w:r>
      <w:r w:rsidR="00C64050">
        <w:t xml:space="preserve"> </w:t>
      </w:r>
      <w:r w:rsidR="009B095B" w:rsidRPr="00C25106">
        <w:t>accumulate</w:t>
      </w:r>
      <w:r w:rsidR="00C64050">
        <w:t xml:space="preserve"> </w:t>
      </w:r>
      <w:r w:rsidR="009B095B" w:rsidRPr="00C25106">
        <w:t>income</w:t>
      </w:r>
      <w:r w:rsidR="00C64050">
        <w:t xml:space="preserve"> </w:t>
      </w:r>
      <w:r w:rsidR="009B095B" w:rsidRPr="00C25106">
        <w:t>to</w:t>
      </w:r>
      <w:r w:rsidR="00C64050">
        <w:t xml:space="preserve"> </w:t>
      </w:r>
      <w:r w:rsidR="009B095B" w:rsidRPr="00C25106">
        <w:t>or</w:t>
      </w:r>
      <w:r w:rsidR="00C64050">
        <w:t xml:space="preserve"> </w:t>
      </w:r>
      <w:r w:rsidR="009B095B" w:rsidRPr="00C25106">
        <w:t>for</w:t>
      </w:r>
      <w:r w:rsidR="00C64050">
        <w:t xml:space="preserve"> </w:t>
      </w:r>
      <w:r w:rsidR="009B095B" w:rsidRPr="00C25106">
        <w:t>a</w:t>
      </w:r>
      <w:r w:rsidR="00C64050">
        <w:t xml:space="preserve"> </w:t>
      </w:r>
      <w:r w:rsidR="009B095B" w:rsidRPr="00C25106">
        <w:t>beneficiary</w:t>
      </w:r>
      <w:r w:rsidR="00C64050">
        <w:t xml:space="preserve"> </w:t>
      </w:r>
      <w:r w:rsidR="009B095B" w:rsidRPr="00C25106">
        <w:t>or</w:t>
      </w:r>
      <w:r w:rsidR="00C64050">
        <w:t xml:space="preserve"> </w:t>
      </w:r>
      <w:r w:rsidR="009B095B" w:rsidRPr="00C25106">
        <w:t>beneficiaries,</w:t>
      </w:r>
      <w:r w:rsidR="00C64050">
        <w:t xml:space="preserve"> </w:t>
      </w:r>
      <w:r w:rsidR="009B095B" w:rsidRPr="00C25106">
        <w:t>or</w:t>
      </w:r>
      <w:r w:rsidR="00C64050">
        <w:t xml:space="preserve"> </w:t>
      </w:r>
      <w:r w:rsidR="009B095B" w:rsidRPr="00C25106">
        <w:t>to,</w:t>
      </w:r>
      <w:r w:rsidR="00C64050">
        <w:t xml:space="preserve"> </w:t>
      </w:r>
      <w:r w:rsidR="009B095B" w:rsidRPr="00C25106">
        <w:t>for,</w:t>
      </w:r>
      <w:r w:rsidR="00C64050">
        <w:t xml:space="preserve"> </w:t>
      </w:r>
      <w:r w:rsidR="009B095B" w:rsidRPr="00C25106">
        <w:t>or</w:t>
      </w:r>
      <w:r w:rsidR="00C64050">
        <w:t xml:space="preserve"> </w:t>
      </w:r>
      <w:r w:rsidR="009B095B" w:rsidRPr="00C25106">
        <w:t>within</w:t>
      </w:r>
      <w:r w:rsidR="00C64050">
        <w:t xml:space="preserve"> </w:t>
      </w:r>
      <w:r w:rsidR="009B095B" w:rsidRPr="00C25106">
        <w:t>a</w:t>
      </w:r>
      <w:r w:rsidR="00C64050">
        <w:t xml:space="preserve"> </w:t>
      </w:r>
      <w:r w:rsidR="009B095B" w:rsidRPr="00C25106">
        <w:t>class</w:t>
      </w:r>
      <w:r w:rsidR="00C64050">
        <w:t xml:space="preserve"> </w:t>
      </w:r>
      <w:r w:rsidR="009B095B" w:rsidRPr="00C25106">
        <w:t>of</w:t>
      </w:r>
      <w:r w:rsidR="00C64050">
        <w:t xml:space="preserve"> </w:t>
      </w:r>
      <w:r w:rsidR="009B095B" w:rsidRPr="00C25106">
        <w:t>beneficiaries,</w:t>
      </w:r>
      <w:r w:rsidR="00C64050">
        <w:t xml:space="preserve"> </w:t>
      </w:r>
      <w:r w:rsidR="009B095B" w:rsidRPr="00C25106">
        <w:t>if</w:t>
      </w:r>
      <w:r w:rsidR="00C64050">
        <w:t xml:space="preserve"> </w:t>
      </w:r>
      <w:r w:rsidR="009B095B" w:rsidRPr="00C25106">
        <w:t>such</w:t>
      </w:r>
      <w:r w:rsidR="00C64050">
        <w:t xml:space="preserve"> </w:t>
      </w:r>
      <w:r w:rsidR="009B095B" w:rsidRPr="00C25106">
        <w:t>power</w:t>
      </w:r>
      <w:r w:rsidR="00C64050">
        <w:t xml:space="preserve"> </w:t>
      </w:r>
      <w:r w:rsidR="009B095B" w:rsidRPr="00C25106">
        <w:t>is</w:t>
      </w:r>
      <w:r w:rsidR="00C64050">
        <w:t xml:space="preserve"> </w:t>
      </w:r>
      <w:r w:rsidR="009B095B" w:rsidRPr="00C25106">
        <w:t>limited</w:t>
      </w:r>
      <w:r w:rsidR="00C64050">
        <w:t xml:space="preserve"> </w:t>
      </w:r>
      <w:r w:rsidR="009B095B" w:rsidRPr="00C25106">
        <w:t>by</w:t>
      </w:r>
      <w:r w:rsidR="00C64050">
        <w:t xml:space="preserve"> </w:t>
      </w:r>
      <w:r w:rsidR="009B095B" w:rsidRPr="00C25106">
        <w:t>a</w:t>
      </w:r>
      <w:r w:rsidR="00C64050">
        <w:t xml:space="preserve"> </w:t>
      </w:r>
      <w:r w:rsidR="009B095B" w:rsidRPr="00C25106">
        <w:t>reasonably</w:t>
      </w:r>
      <w:r w:rsidR="00C64050">
        <w:t xml:space="preserve"> </w:t>
      </w:r>
      <w:r w:rsidR="009B095B" w:rsidRPr="00C25106">
        <w:t>definite</w:t>
      </w:r>
      <w:r w:rsidR="00C64050">
        <w:t xml:space="preserve"> </w:t>
      </w:r>
      <w:r w:rsidR="009B095B" w:rsidRPr="00C25106">
        <w:t>external</w:t>
      </w:r>
      <w:r w:rsidR="00C64050">
        <w:t xml:space="preserve"> </w:t>
      </w:r>
      <w:r w:rsidR="009B095B" w:rsidRPr="00C25106">
        <w:t>standard</w:t>
      </w:r>
      <w:r w:rsidR="00C64050">
        <w:t xml:space="preserve"> </w:t>
      </w:r>
      <w:r w:rsidR="009B095B" w:rsidRPr="00C25106">
        <w:t>that</w:t>
      </w:r>
      <w:r w:rsidR="00C64050">
        <w:t xml:space="preserve"> </w:t>
      </w:r>
      <w:r w:rsidR="009B095B" w:rsidRPr="00C25106">
        <w:t>is</w:t>
      </w:r>
      <w:r w:rsidR="00C64050">
        <w:t xml:space="preserve"> </w:t>
      </w:r>
      <w:r w:rsidR="009B095B" w:rsidRPr="00C25106">
        <w:t>set</w:t>
      </w:r>
      <w:r w:rsidR="00C64050">
        <w:t xml:space="preserve"> </w:t>
      </w:r>
      <w:r w:rsidR="009B095B" w:rsidRPr="00C25106">
        <w:t>forth</w:t>
      </w:r>
      <w:r w:rsidR="00C64050">
        <w:t xml:space="preserve"> </w:t>
      </w:r>
      <w:r w:rsidR="009B095B" w:rsidRPr="00C25106">
        <w:t>in</w:t>
      </w:r>
      <w:r w:rsidR="00C64050">
        <w:t xml:space="preserve"> </w:t>
      </w:r>
      <w:r w:rsidR="009B095B" w:rsidRPr="00C25106">
        <w:t>the</w:t>
      </w:r>
      <w:r w:rsidR="00C64050">
        <w:t xml:space="preserve"> </w:t>
      </w:r>
      <w:r w:rsidR="009B095B" w:rsidRPr="00C25106">
        <w:t>trust</w:t>
      </w:r>
      <w:r w:rsidR="00C64050">
        <w:t xml:space="preserve"> </w:t>
      </w:r>
      <w:r w:rsidR="009B095B" w:rsidRPr="00C25106">
        <w:t>instrument.</w:t>
      </w:r>
      <w:r w:rsidR="00C64050">
        <w:t xml:space="preserve">  </w:t>
      </w:r>
      <w:r w:rsidR="00017F3F">
        <w:t>S</w:t>
      </w:r>
      <w:r w:rsidR="0082227E">
        <w:t>ection</w:t>
      </w:r>
      <w:r w:rsidR="00C64050">
        <w:t xml:space="preserve"> </w:t>
      </w:r>
      <w:r w:rsidR="009B095B" w:rsidRPr="00C25106">
        <w:t>677(a)</w:t>
      </w:r>
      <w:r w:rsidR="00C64050">
        <w:t xml:space="preserve"> </w:t>
      </w:r>
      <w:r w:rsidR="009B095B" w:rsidRPr="00C25106">
        <w:t>provides</w:t>
      </w:r>
      <w:r w:rsidR="00C64050">
        <w:t xml:space="preserve"> </w:t>
      </w:r>
      <w:r w:rsidR="009B095B" w:rsidRPr="00C25106">
        <w:t>that</w:t>
      </w:r>
      <w:r w:rsidR="00C64050">
        <w:t xml:space="preserve"> </w:t>
      </w:r>
      <w:r w:rsidR="009B095B" w:rsidRPr="00C25106">
        <w:t>the</w:t>
      </w:r>
      <w:r w:rsidR="00C64050">
        <w:t xml:space="preserve"> </w:t>
      </w:r>
      <w:r w:rsidR="009B095B" w:rsidRPr="00C25106">
        <w:t>grantor</w:t>
      </w:r>
      <w:r w:rsidR="00C64050">
        <w:t xml:space="preserve"> </w:t>
      </w:r>
      <w:r w:rsidR="009B095B" w:rsidRPr="00C25106">
        <w:t>of</w:t>
      </w:r>
      <w:r w:rsidR="00C64050">
        <w:t xml:space="preserve"> </w:t>
      </w:r>
      <w:r w:rsidR="009B095B" w:rsidRPr="00C25106">
        <w:t>a</w:t>
      </w:r>
      <w:r w:rsidR="00C64050">
        <w:t xml:space="preserve"> </w:t>
      </w:r>
      <w:r w:rsidR="009B095B" w:rsidRPr="00C25106">
        <w:t>trust</w:t>
      </w:r>
      <w:r w:rsidR="00C64050">
        <w:t xml:space="preserve"> </w:t>
      </w:r>
      <w:r w:rsidR="009B095B" w:rsidRPr="00C25106">
        <w:t>shall</w:t>
      </w:r>
      <w:r w:rsidR="00C64050">
        <w:t xml:space="preserve"> </w:t>
      </w:r>
      <w:r w:rsidR="009B095B" w:rsidRPr="00C25106">
        <w:t>be</w:t>
      </w:r>
      <w:r w:rsidR="00C64050">
        <w:t xml:space="preserve"> </w:t>
      </w:r>
      <w:r w:rsidR="009B095B" w:rsidRPr="00C25106">
        <w:t>treated</w:t>
      </w:r>
      <w:r w:rsidR="00C64050">
        <w:t xml:space="preserve"> </w:t>
      </w:r>
      <w:r w:rsidR="009B095B" w:rsidRPr="00C25106">
        <w:t>as</w:t>
      </w:r>
      <w:r w:rsidR="00C64050">
        <w:t xml:space="preserve"> </w:t>
      </w:r>
      <w:r w:rsidR="009B095B" w:rsidRPr="00C25106">
        <w:t>the</w:t>
      </w:r>
      <w:r w:rsidR="00C64050">
        <w:t xml:space="preserve"> </w:t>
      </w:r>
      <w:r w:rsidR="009B095B" w:rsidRPr="00C25106">
        <w:t>owner</w:t>
      </w:r>
      <w:r w:rsidR="00C64050">
        <w:t xml:space="preserve"> </w:t>
      </w:r>
      <w:r w:rsidR="009B095B" w:rsidRPr="00C25106">
        <w:t>of</w:t>
      </w:r>
      <w:r w:rsidR="00C64050">
        <w:t xml:space="preserve"> </w:t>
      </w:r>
      <w:r w:rsidR="009B095B" w:rsidRPr="00C25106">
        <w:t>any</w:t>
      </w:r>
      <w:r w:rsidR="00C64050">
        <w:t xml:space="preserve"> </w:t>
      </w:r>
      <w:r w:rsidR="009B095B" w:rsidRPr="00C25106">
        <w:t>portion</w:t>
      </w:r>
      <w:r w:rsidR="00C64050">
        <w:t xml:space="preserve"> </w:t>
      </w:r>
      <w:r w:rsidR="009B095B" w:rsidRPr="00C25106">
        <w:t>of</w:t>
      </w:r>
      <w:r w:rsidR="00C64050">
        <w:t xml:space="preserve"> </w:t>
      </w:r>
      <w:r w:rsidR="009B095B" w:rsidRPr="00C25106">
        <w:t>a</w:t>
      </w:r>
      <w:r w:rsidR="00C64050">
        <w:t xml:space="preserve"> </w:t>
      </w:r>
      <w:r w:rsidR="009B095B" w:rsidRPr="00C25106">
        <w:t>trust,</w:t>
      </w:r>
      <w:r w:rsidR="00C64050">
        <w:t xml:space="preserve"> </w:t>
      </w:r>
      <w:r w:rsidR="009B095B" w:rsidRPr="00C25106">
        <w:t>whether</w:t>
      </w:r>
      <w:r w:rsidR="00C64050">
        <w:t xml:space="preserve"> </w:t>
      </w:r>
      <w:r w:rsidR="009B095B" w:rsidRPr="00C25106">
        <w:t>or</w:t>
      </w:r>
      <w:r w:rsidR="00C64050">
        <w:t xml:space="preserve"> </w:t>
      </w:r>
      <w:r w:rsidR="009B095B" w:rsidRPr="00C25106">
        <w:t>not</w:t>
      </w:r>
      <w:r w:rsidR="00C64050">
        <w:t xml:space="preserve"> </w:t>
      </w:r>
      <w:r w:rsidR="009B095B" w:rsidRPr="00C25106">
        <w:t>the</w:t>
      </w:r>
      <w:r w:rsidR="00C64050">
        <w:t xml:space="preserve"> </w:t>
      </w:r>
      <w:r w:rsidR="009B095B" w:rsidRPr="00C25106">
        <w:t>grantor</w:t>
      </w:r>
      <w:r w:rsidR="00C64050">
        <w:t xml:space="preserve"> </w:t>
      </w:r>
      <w:r w:rsidR="009B095B" w:rsidRPr="00C25106">
        <w:t>is</w:t>
      </w:r>
      <w:r w:rsidR="00C64050">
        <w:t xml:space="preserve"> </w:t>
      </w:r>
      <w:r w:rsidR="009B095B" w:rsidRPr="00C25106">
        <w:t>treated</w:t>
      </w:r>
      <w:r w:rsidR="00C64050">
        <w:t xml:space="preserve"> </w:t>
      </w:r>
      <w:r w:rsidR="009B095B" w:rsidRPr="00C25106">
        <w:t>as</w:t>
      </w:r>
      <w:r w:rsidR="00C64050">
        <w:t xml:space="preserve"> </w:t>
      </w:r>
      <w:r w:rsidR="009B095B" w:rsidRPr="00C25106">
        <w:t>such</w:t>
      </w:r>
      <w:r w:rsidR="00C64050">
        <w:t xml:space="preserve"> </w:t>
      </w:r>
      <w:r w:rsidR="009B095B" w:rsidRPr="00C25106">
        <w:t>owner</w:t>
      </w:r>
      <w:r w:rsidR="00C64050">
        <w:t xml:space="preserve"> </w:t>
      </w:r>
      <w:r w:rsidR="009B095B" w:rsidRPr="00C25106">
        <w:t>under</w:t>
      </w:r>
      <w:r w:rsidR="00C64050">
        <w:t xml:space="preserve"> </w:t>
      </w:r>
      <w:r w:rsidR="0082227E">
        <w:t>section</w:t>
      </w:r>
      <w:r w:rsidR="00C64050">
        <w:t xml:space="preserve"> </w:t>
      </w:r>
      <w:r w:rsidR="009B095B" w:rsidRPr="00C25106">
        <w:t>674,</w:t>
      </w:r>
      <w:r w:rsidR="00C64050">
        <w:t xml:space="preserve"> </w:t>
      </w:r>
      <w:r w:rsidR="009B095B" w:rsidRPr="00C25106">
        <w:t>whose</w:t>
      </w:r>
      <w:r w:rsidR="00C64050">
        <w:t xml:space="preserve"> </w:t>
      </w:r>
      <w:r w:rsidR="009B095B" w:rsidRPr="00C25106">
        <w:t>income</w:t>
      </w:r>
      <w:r w:rsidR="00C64050">
        <w:t xml:space="preserve"> </w:t>
      </w:r>
      <w:r w:rsidR="009B095B" w:rsidRPr="00C25106">
        <w:t>without</w:t>
      </w:r>
      <w:r w:rsidR="00C64050">
        <w:t xml:space="preserve"> </w:t>
      </w:r>
      <w:r w:rsidR="009B095B" w:rsidRPr="00C25106">
        <w:t>the</w:t>
      </w:r>
      <w:r w:rsidR="00C64050">
        <w:t xml:space="preserve"> </w:t>
      </w:r>
      <w:r w:rsidR="009B095B" w:rsidRPr="00C25106">
        <w:t>approval</w:t>
      </w:r>
      <w:r w:rsidR="00C64050">
        <w:t xml:space="preserve"> </w:t>
      </w:r>
      <w:r w:rsidR="009B095B" w:rsidRPr="00C25106">
        <w:t>or</w:t>
      </w:r>
      <w:r w:rsidR="00C64050">
        <w:t xml:space="preserve"> </w:t>
      </w:r>
      <w:r w:rsidR="009B095B" w:rsidRPr="00C25106">
        <w:t>consent</w:t>
      </w:r>
      <w:r w:rsidR="00C64050">
        <w:t xml:space="preserve"> </w:t>
      </w:r>
      <w:r w:rsidR="009B095B" w:rsidRPr="00C25106">
        <w:t>of</w:t>
      </w:r>
      <w:r w:rsidR="00C64050">
        <w:t xml:space="preserve"> </w:t>
      </w:r>
      <w:r w:rsidR="009B095B" w:rsidRPr="00C25106">
        <w:t>any</w:t>
      </w:r>
      <w:r w:rsidR="00C64050">
        <w:t xml:space="preserve"> </w:t>
      </w:r>
      <w:r w:rsidR="009B095B" w:rsidRPr="00C25106">
        <w:t>adverse</w:t>
      </w:r>
      <w:r w:rsidR="00C64050">
        <w:t xml:space="preserve"> </w:t>
      </w:r>
      <w:r w:rsidR="009B095B" w:rsidRPr="00C25106">
        <w:t>party</w:t>
      </w:r>
      <w:r w:rsidR="00C64050">
        <w:t xml:space="preserve"> </w:t>
      </w:r>
      <w:r w:rsidR="009B095B" w:rsidRPr="00C25106">
        <w:t>is,</w:t>
      </w:r>
      <w:r w:rsidR="00C64050">
        <w:t xml:space="preserve"> </w:t>
      </w:r>
      <w:r w:rsidR="009B095B" w:rsidRPr="00C25106">
        <w:t>or,</w:t>
      </w:r>
      <w:r w:rsidR="00C64050">
        <w:t xml:space="preserve"> </w:t>
      </w:r>
      <w:r w:rsidR="009B095B" w:rsidRPr="00C25106">
        <w:t>in</w:t>
      </w:r>
      <w:r w:rsidR="00C64050">
        <w:t xml:space="preserve"> </w:t>
      </w:r>
      <w:r w:rsidR="009B095B" w:rsidRPr="00C25106">
        <w:t>the</w:t>
      </w:r>
      <w:r w:rsidR="00C64050">
        <w:t xml:space="preserve"> </w:t>
      </w:r>
      <w:r w:rsidR="009B095B" w:rsidRPr="00C25106">
        <w:t>discretion</w:t>
      </w:r>
      <w:r w:rsidR="00C64050">
        <w:t xml:space="preserve"> </w:t>
      </w:r>
      <w:r w:rsidR="009B095B" w:rsidRPr="00C25106">
        <w:t>of</w:t>
      </w:r>
      <w:r w:rsidR="00C64050">
        <w:t xml:space="preserve"> </w:t>
      </w:r>
      <w:r w:rsidR="009B095B" w:rsidRPr="00C25106">
        <w:t>the</w:t>
      </w:r>
      <w:r w:rsidR="00C64050">
        <w:t xml:space="preserve"> </w:t>
      </w:r>
      <w:r w:rsidR="009B095B" w:rsidRPr="00C25106">
        <w:t>grantor</w:t>
      </w:r>
      <w:r w:rsidR="00C64050">
        <w:t xml:space="preserve"> </w:t>
      </w:r>
      <w:r w:rsidR="009B095B" w:rsidRPr="00C25106">
        <w:t>or</w:t>
      </w:r>
      <w:r w:rsidR="00C64050">
        <w:t xml:space="preserve"> </w:t>
      </w:r>
      <w:r w:rsidR="009B095B" w:rsidRPr="00C25106">
        <w:t>a</w:t>
      </w:r>
      <w:r w:rsidR="00C64050">
        <w:t xml:space="preserve"> </w:t>
      </w:r>
      <w:r w:rsidR="009B095B" w:rsidRPr="00C25106">
        <w:t>nonadverse</w:t>
      </w:r>
      <w:r w:rsidR="00C64050">
        <w:t xml:space="preserve"> </w:t>
      </w:r>
      <w:r w:rsidR="009B095B" w:rsidRPr="00C25106">
        <w:t>party,</w:t>
      </w:r>
      <w:r w:rsidR="00C64050">
        <w:t xml:space="preserve"> </w:t>
      </w:r>
      <w:r w:rsidR="009B095B" w:rsidRPr="00C25106">
        <w:t>or</w:t>
      </w:r>
      <w:r w:rsidR="00C64050">
        <w:t xml:space="preserve"> </w:t>
      </w:r>
      <w:r w:rsidR="009B095B" w:rsidRPr="00C25106">
        <w:t>both,</w:t>
      </w:r>
      <w:r w:rsidR="00C64050">
        <w:t xml:space="preserve"> </w:t>
      </w:r>
      <w:r w:rsidR="009B095B" w:rsidRPr="00C25106">
        <w:t>may</w:t>
      </w:r>
      <w:r w:rsidR="00C64050">
        <w:t xml:space="preserve"> </w:t>
      </w:r>
      <w:r w:rsidR="009B095B" w:rsidRPr="00C25106">
        <w:t>be</w:t>
      </w:r>
      <w:r w:rsidR="00C64050">
        <w:t xml:space="preserve"> </w:t>
      </w:r>
      <w:r w:rsidR="009B095B" w:rsidRPr="00C25106">
        <w:t>distributed</w:t>
      </w:r>
      <w:r w:rsidR="00C64050">
        <w:t xml:space="preserve"> </w:t>
      </w:r>
      <w:r w:rsidR="009B095B" w:rsidRPr="00C25106">
        <w:t>to</w:t>
      </w:r>
      <w:r w:rsidR="00C64050">
        <w:t xml:space="preserve"> </w:t>
      </w:r>
      <w:r w:rsidR="009B095B" w:rsidRPr="00C25106">
        <w:t>the</w:t>
      </w:r>
      <w:r w:rsidR="00C64050">
        <w:t xml:space="preserve"> </w:t>
      </w:r>
      <w:r w:rsidR="009B095B" w:rsidRPr="00C25106">
        <w:t>grantor</w:t>
      </w:r>
      <w:r w:rsidR="00C64050">
        <w:t xml:space="preserve"> </w:t>
      </w:r>
      <w:r w:rsidR="009B095B" w:rsidRPr="00C25106">
        <w:t>or</w:t>
      </w:r>
      <w:r w:rsidR="00C64050">
        <w:t xml:space="preserve"> </w:t>
      </w:r>
      <w:r w:rsidR="009B095B" w:rsidRPr="00C25106">
        <w:t>the</w:t>
      </w:r>
      <w:r w:rsidR="00C64050">
        <w:t xml:space="preserve"> </w:t>
      </w:r>
      <w:r w:rsidR="009B095B" w:rsidRPr="00C25106">
        <w:t>grantor’s</w:t>
      </w:r>
      <w:r w:rsidR="00C64050">
        <w:t xml:space="preserve"> </w:t>
      </w:r>
      <w:r w:rsidR="009B095B" w:rsidRPr="00C25106">
        <w:t>spouse,</w:t>
      </w:r>
      <w:r w:rsidR="00C64050">
        <w:t xml:space="preserve"> </w:t>
      </w:r>
      <w:r w:rsidR="009B095B" w:rsidRPr="00C25106">
        <w:t>or</w:t>
      </w:r>
      <w:r w:rsidR="00C64050">
        <w:t xml:space="preserve"> </w:t>
      </w:r>
      <w:r w:rsidR="009B095B" w:rsidRPr="00C25106">
        <w:t>held</w:t>
      </w:r>
      <w:r w:rsidR="00C64050">
        <w:t xml:space="preserve"> </w:t>
      </w:r>
      <w:r w:rsidR="009B095B" w:rsidRPr="00C25106">
        <w:t>or</w:t>
      </w:r>
      <w:r w:rsidR="00C64050">
        <w:t xml:space="preserve"> </w:t>
      </w:r>
      <w:r w:rsidR="009B095B" w:rsidRPr="00C25106">
        <w:t>accumulated</w:t>
      </w:r>
      <w:r w:rsidR="00C64050">
        <w:t xml:space="preserve"> </w:t>
      </w:r>
      <w:r w:rsidR="009B095B" w:rsidRPr="00C25106">
        <w:t>for</w:t>
      </w:r>
      <w:r w:rsidR="00C64050">
        <w:t xml:space="preserve"> </w:t>
      </w:r>
      <w:r w:rsidR="009B095B" w:rsidRPr="00C25106">
        <w:t>future</w:t>
      </w:r>
      <w:r w:rsidR="00C64050">
        <w:t xml:space="preserve"> </w:t>
      </w:r>
      <w:r w:rsidR="009B095B" w:rsidRPr="00C25106">
        <w:t>distribution</w:t>
      </w:r>
      <w:r w:rsidR="00C64050">
        <w:t xml:space="preserve"> </w:t>
      </w:r>
      <w:r w:rsidR="009B095B" w:rsidRPr="00C25106">
        <w:t>to</w:t>
      </w:r>
      <w:r w:rsidR="00C64050">
        <w:t xml:space="preserve"> </w:t>
      </w:r>
      <w:r w:rsidR="009B095B" w:rsidRPr="00C25106">
        <w:t>the</w:t>
      </w:r>
      <w:r w:rsidR="00C64050">
        <w:t xml:space="preserve"> </w:t>
      </w:r>
      <w:r w:rsidR="009B095B" w:rsidRPr="00C25106">
        <w:t>grantor</w:t>
      </w:r>
      <w:r w:rsidR="00C64050">
        <w:t xml:space="preserve"> </w:t>
      </w:r>
      <w:r w:rsidR="009B095B" w:rsidRPr="00C25106">
        <w:t>or</w:t>
      </w:r>
      <w:r w:rsidR="00C64050">
        <w:t xml:space="preserve"> </w:t>
      </w:r>
      <w:r w:rsidR="009B095B" w:rsidRPr="00C25106">
        <w:t>the</w:t>
      </w:r>
      <w:r w:rsidR="00C64050">
        <w:t xml:space="preserve"> </w:t>
      </w:r>
      <w:r w:rsidR="009B095B" w:rsidRPr="00C25106">
        <w:t>grantor’s</w:t>
      </w:r>
      <w:r w:rsidR="00C64050">
        <w:t xml:space="preserve"> </w:t>
      </w:r>
      <w:r w:rsidR="009B095B" w:rsidRPr="00C25106">
        <w:t>spouse.</w:t>
      </w:r>
      <w:r w:rsidR="00C64050">
        <w:t xml:space="preserve">  </w:t>
      </w:r>
    </w:p>
    <w:p w:rsidR="00AE3BD0" w:rsidRPr="00AE3BD0" w:rsidRDefault="009B095B" w:rsidP="00AE3BD0">
      <w:pPr>
        <w:pStyle w:val="LFLevel2"/>
      </w:pPr>
      <w:bookmarkStart w:id="40" w:name="_Toc512232012"/>
      <w:bookmarkStart w:id="41" w:name="_Toc94704601"/>
      <w:r w:rsidRPr="00C25106">
        <w:rPr>
          <w:b/>
          <w:u w:val="single"/>
        </w:rPr>
        <w:t>Basis</w:t>
      </w:r>
      <w:r w:rsidR="00C64050">
        <w:rPr>
          <w:b/>
          <w:u w:val="single"/>
        </w:rPr>
        <w:t xml:space="preserve"> </w:t>
      </w:r>
      <w:r w:rsidRPr="00C25106">
        <w:rPr>
          <w:b/>
          <w:u w:val="single"/>
        </w:rPr>
        <w:t>of</w:t>
      </w:r>
      <w:r w:rsidR="00C64050">
        <w:rPr>
          <w:b/>
          <w:u w:val="single"/>
        </w:rPr>
        <w:t xml:space="preserve"> </w:t>
      </w:r>
      <w:r w:rsidRPr="00C25106">
        <w:rPr>
          <w:b/>
          <w:u w:val="single"/>
        </w:rPr>
        <w:t>Life</w:t>
      </w:r>
      <w:r w:rsidR="00C64050">
        <w:rPr>
          <w:b/>
          <w:u w:val="single"/>
        </w:rPr>
        <w:t xml:space="preserve"> </w:t>
      </w:r>
      <w:r w:rsidRPr="00C25106">
        <w:rPr>
          <w:b/>
          <w:u w:val="single"/>
        </w:rPr>
        <w:t>Insurance</w:t>
      </w:r>
      <w:r w:rsidR="00C64050">
        <w:rPr>
          <w:b/>
          <w:u w:val="single"/>
        </w:rPr>
        <w:t xml:space="preserve"> </w:t>
      </w:r>
      <w:r w:rsidRPr="00C25106">
        <w:rPr>
          <w:b/>
          <w:u w:val="single"/>
        </w:rPr>
        <w:t>Policies</w:t>
      </w:r>
      <w:bookmarkEnd w:id="40"/>
      <w:r w:rsidRPr="00C25106">
        <w:rPr>
          <w:b/>
        </w:rPr>
        <w:t>.</w:t>
      </w:r>
      <w:bookmarkEnd w:id="41"/>
      <w:r w:rsidR="00C64050">
        <w:rPr>
          <w:b/>
        </w:rPr>
        <w:t xml:space="preserve">  </w:t>
      </w:r>
    </w:p>
    <w:p w:rsidR="009B095B" w:rsidRPr="00C25106" w:rsidRDefault="009B095B" w:rsidP="00AE3BD0">
      <w:pPr>
        <w:pStyle w:val="Body15"/>
      </w:pPr>
      <w:r w:rsidRPr="00C25106">
        <w:t>For</w:t>
      </w:r>
      <w:r w:rsidR="00C64050">
        <w:t xml:space="preserve"> </w:t>
      </w:r>
      <w:r w:rsidRPr="00C25106">
        <w:t>purposes</w:t>
      </w:r>
      <w:r w:rsidR="00C64050">
        <w:t xml:space="preserve"> </w:t>
      </w:r>
      <w:r w:rsidRPr="00C25106">
        <w:t>of</w:t>
      </w:r>
      <w:r w:rsidR="00C64050">
        <w:t xml:space="preserve"> </w:t>
      </w:r>
      <w:r w:rsidRPr="00C25106">
        <w:t>life</w:t>
      </w:r>
      <w:r w:rsidR="00C64050">
        <w:t xml:space="preserve"> </w:t>
      </w:r>
      <w:r w:rsidRPr="00C25106">
        <w:t>settlements</w:t>
      </w:r>
      <w:r w:rsidR="00C64050">
        <w:t xml:space="preserve"> </w:t>
      </w:r>
      <w:r w:rsidRPr="00C25106">
        <w:t>of</w:t>
      </w:r>
      <w:r w:rsidR="00C64050">
        <w:t xml:space="preserve"> </w:t>
      </w:r>
      <w:r w:rsidRPr="00C25106">
        <w:t>life</w:t>
      </w:r>
      <w:r w:rsidR="00C64050">
        <w:t xml:space="preserve"> </w:t>
      </w:r>
      <w:r w:rsidRPr="00C25106">
        <w:t>insurance</w:t>
      </w:r>
      <w:r w:rsidR="00C64050">
        <w:t xml:space="preserve"> </w:t>
      </w:r>
      <w:r w:rsidRPr="00C25106">
        <w:t>policies,</w:t>
      </w:r>
      <w:r w:rsidR="00C64050">
        <w:t xml:space="preserve"> </w:t>
      </w:r>
      <w:r w:rsidRPr="00C25106">
        <w:t>the</w:t>
      </w:r>
      <w:r w:rsidR="00C64050">
        <w:t xml:space="preserve"> </w:t>
      </w:r>
      <w:r w:rsidRPr="00C25106">
        <w:t>2017</w:t>
      </w:r>
      <w:r w:rsidR="00C64050">
        <w:t xml:space="preserve"> </w:t>
      </w:r>
      <w:r w:rsidRPr="00C25106">
        <w:t>Tax</w:t>
      </w:r>
      <w:r w:rsidR="00C64050">
        <w:t xml:space="preserve"> </w:t>
      </w:r>
      <w:r w:rsidRPr="00C25106">
        <w:t>Act</w:t>
      </w:r>
      <w:r w:rsidR="00C64050">
        <w:t xml:space="preserve"> </w:t>
      </w:r>
      <w:r w:rsidRPr="00C25106">
        <w:t>provides</w:t>
      </w:r>
      <w:r w:rsidR="00C64050">
        <w:t xml:space="preserve"> </w:t>
      </w:r>
      <w:r w:rsidRPr="00C25106">
        <w:t>that</w:t>
      </w:r>
      <w:r w:rsidR="00C64050">
        <w:t xml:space="preserve"> </w:t>
      </w:r>
      <w:r w:rsidRPr="00C25106">
        <w:t>a</w:t>
      </w:r>
      <w:r w:rsidR="00C64050">
        <w:t xml:space="preserve"> </w:t>
      </w:r>
      <w:r w:rsidRPr="00C25106">
        <w:t>taxpayer’s</w:t>
      </w:r>
      <w:r w:rsidR="00C64050">
        <w:t xml:space="preserve"> </w:t>
      </w:r>
      <w:r w:rsidRPr="00C25106">
        <w:t>basis</w:t>
      </w:r>
      <w:r w:rsidR="00C64050">
        <w:t xml:space="preserve"> </w:t>
      </w:r>
      <w:r w:rsidRPr="00C25106">
        <w:t>in</w:t>
      </w:r>
      <w:r w:rsidR="00C64050">
        <w:t xml:space="preserve"> </w:t>
      </w:r>
      <w:r w:rsidRPr="00C25106">
        <w:t>a</w:t>
      </w:r>
      <w:r w:rsidR="00C64050">
        <w:t xml:space="preserve"> </w:t>
      </w:r>
      <w:r w:rsidRPr="00C25106">
        <w:t>life</w:t>
      </w:r>
      <w:r w:rsidR="00C64050">
        <w:t xml:space="preserve"> </w:t>
      </w:r>
      <w:r w:rsidRPr="00C25106">
        <w:t>insurance</w:t>
      </w:r>
      <w:r w:rsidR="00C64050">
        <w:t xml:space="preserve"> </w:t>
      </w:r>
      <w:r w:rsidRPr="00C25106">
        <w:t>policy</w:t>
      </w:r>
      <w:r w:rsidR="00C64050">
        <w:t xml:space="preserve"> </w:t>
      </w:r>
      <w:r w:rsidRPr="00C25106">
        <w:t>is</w:t>
      </w:r>
      <w:r w:rsidR="00C64050">
        <w:t xml:space="preserve"> </w:t>
      </w:r>
      <w:r w:rsidRPr="00C25106">
        <w:t>not</w:t>
      </w:r>
      <w:r w:rsidR="00C64050">
        <w:t xml:space="preserve"> </w:t>
      </w:r>
      <w:r w:rsidRPr="00C25106">
        <w:t>reduced</w:t>
      </w:r>
      <w:r w:rsidR="00C64050">
        <w:t xml:space="preserve"> </w:t>
      </w:r>
      <w:r w:rsidRPr="00C25106">
        <w:t>by</w:t>
      </w:r>
      <w:r w:rsidR="00C64050">
        <w:t xml:space="preserve"> </w:t>
      </w:r>
      <w:r w:rsidRPr="000D1A25">
        <w:rPr>
          <w:color w:val="000000"/>
        </w:rPr>
        <w:t>the</w:t>
      </w:r>
      <w:r w:rsidR="00C64050">
        <w:t xml:space="preserve"> </w:t>
      </w:r>
      <w:r w:rsidRPr="00C25106">
        <w:t>cost</w:t>
      </w:r>
      <w:r w:rsidR="00C64050">
        <w:t xml:space="preserve"> </w:t>
      </w:r>
      <w:r w:rsidRPr="00C25106">
        <w:t>of</w:t>
      </w:r>
      <w:r w:rsidR="00C64050">
        <w:t xml:space="preserve"> </w:t>
      </w:r>
      <w:r w:rsidRPr="00C25106">
        <w:t>insurance.</w:t>
      </w:r>
      <w:r w:rsidR="00C64050">
        <w:t xml:space="preserve">  </w:t>
      </w:r>
      <w:r w:rsidRPr="00C25106">
        <w:t>This</w:t>
      </w:r>
      <w:r w:rsidR="00C64050">
        <w:t xml:space="preserve"> </w:t>
      </w:r>
      <w:r w:rsidRPr="00C25106">
        <w:t>provision</w:t>
      </w:r>
      <w:r w:rsidR="00C64050">
        <w:t xml:space="preserve"> </w:t>
      </w:r>
      <w:r w:rsidRPr="00C25106">
        <w:t>reverses</w:t>
      </w:r>
      <w:r w:rsidR="00C64050">
        <w:t xml:space="preserve"> </w:t>
      </w:r>
      <w:r w:rsidRPr="00C25106">
        <w:t>the</w:t>
      </w:r>
      <w:r w:rsidR="00C64050">
        <w:t xml:space="preserve"> </w:t>
      </w:r>
      <w:r w:rsidRPr="00C25106">
        <w:t>IRS’s</w:t>
      </w:r>
      <w:r w:rsidR="00C64050">
        <w:t xml:space="preserve"> </w:t>
      </w:r>
      <w:r w:rsidRPr="00C25106">
        <w:t>position,</w:t>
      </w:r>
      <w:r w:rsidR="00C64050">
        <w:t xml:space="preserve"> </w:t>
      </w:r>
      <w:r w:rsidRPr="00C25106">
        <w:t>stated</w:t>
      </w:r>
      <w:r w:rsidR="00C64050">
        <w:t xml:space="preserve"> </w:t>
      </w:r>
      <w:r w:rsidRPr="00C25106">
        <w:t>in</w:t>
      </w:r>
      <w:r w:rsidR="00C64050">
        <w:t xml:space="preserve"> </w:t>
      </w:r>
      <w:r w:rsidRPr="00C25106">
        <w:t>Rev.</w:t>
      </w:r>
      <w:r w:rsidR="00C64050">
        <w:t xml:space="preserve"> </w:t>
      </w:r>
      <w:r w:rsidRPr="00C25106">
        <w:t>Rul.</w:t>
      </w:r>
      <w:r w:rsidR="00C64050">
        <w:t xml:space="preserve"> </w:t>
      </w:r>
      <w:r w:rsidRPr="00C25106">
        <w:t>2009-13</w:t>
      </w:r>
      <w:r w:rsidR="00C64050">
        <w:t xml:space="preserve"> </w:t>
      </w:r>
      <w:r w:rsidRPr="00C25106">
        <w:t>that</w:t>
      </w:r>
      <w:r w:rsidR="00C64050">
        <w:t xml:space="preserve"> </w:t>
      </w:r>
      <w:r w:rsidRPr="00C25106">
        <w:t>a</w:t>
      </w:r>
      <w:r w:rsidR="00C64050">
        <w:t xml:space="preserve"> </w:t>
      </w:r>
      <w:r w:rsidRPr="00C25106">
        <w:t>taxpayer’s</w:t>
      </w:r>
      <w:r w:rsidR="00C64050">
        <w:t xml:space="preserve"> </w:t>
      </w:r>
      <w:r w:rsidRPr="00C25106">
        <w:t>basis</w:t>
      </w:r>
      <w:r w:rsidR="00C64050">
        <w:t xml:space="preserve"> </w:t>
      </w:r>
      <w:r w:rsidRPr="00C25106">
        <w:t>does</w:t>
      </w:r>
      <w:r w:rsidR="00C64050">
        <w:t xml:space="preserve"> </w:t>
      </w:r>
      <w:r w:rsidRPr="00C25106">
        <w:t>include</w:t>
      </w:r>
      <w:r w:rsidR="00C64050">
        <w:t xml:space="preserve"> </w:t>
      </w:r>
      <w:r w:rsidRPr="00C25106">
        <w:t>such</w:t>
      </w:r>
      <w:r w:rsidR="00C64050">
        <w:t xml:space="preserve"> </w:t>
      </w:r>
      <w:r w:rsidRPr="00C25106">
        <w:t>charges.</w:t>
      </w:r>
      <w:r w:rsidR="00C64050">
        <w:t xml:space="preserve">  </w:t>
      </w:r>
      <w:r w:rsidR="00C16F25">
        <w:t>Accordingly,</w:t>
      </w:r>
      <w:r w:rsidR="00C64050">
        <w:t xml:space="preserve"> </w:t>
      </w:r>
      <w:r w:rsidR="00C16F25">
        <w:t>the</w:t>
      </w:r>
      <w:r w:rsidR="00C64050">
        <w:t xml:space="preserve"> </w:t>
      </w:r>
      <w:r w:rsidR="00C16F25">
        <w:t>IRS</w:t>
      </w:r>
      <w:r w:rsidR="00C64050">
        <w:t xml:space="preserve"> </w:t>
      </w:r>
      <w:r w:rsidR="00C16F25">
        <w:t>has</w:t>
      </w:r>
      <w:r w:rsidR="00C64050">
        <w:t xml:space="preserve"> </w:t>
      </w:r>
      <w:r w:rsidR="00C16F25">
        <w:t>issued</w:t>
      </w:r>
      <w:r w:rsidR="00C64050">
        <w:t xml:space="preserve"> </w:t>
      </w:r>
      <w:r w:rsidR="00C16F25">
        <w:t>Rev.</w:t>
      </w:r>
      <w:r w:rsidR="00C64050">
        <w:t xml:space="preserve"> </w:t>
      </w:r>
      <w:r w:rsidR="00C16F25">
        <w:t>Rul.</w:t>
      </w:r>
      <w:r w:rsidR="00C64050">
        <w:t xml:space="preserve"> </w:t>
      </w:r>
      <w:r w:rsidR="00C16F25">
        <w:t>2020-05</w:t>
      </w:r>
      <w:r w:rsidR="00C64050">
        <w:t xml:space="preserve"> </w:t>
      </w:r>
      <w:r w:rsidR="00C16F25">
        <w:t>which</w:t>
      </w:r>
      <w:r w:rsidR="00C64050">
        <w:t xml:space="preserve"> </w:t>
      </w:r>
      <w:r w:rsidR="00C16F25">
        <w:t>revises</w:t>
      </w:r>
      <w:r w:rsidR="00C64050">
        <w:t xml:space="preserve"> </w:t>
      </w:r>
      <w:r w:rsidR="00C16F25">
        <w:t>the</w:t>
      </w:r>
      <w:r w:rsidR="00C64050">
        <w:t xml:space="preserve"> </w:t>
      </w:r>
      <w:r w:rsidR="00C16F25">
        <w:t>examples</w:t>
      </w:r>
      <w:r w:rsidR="00C64050">
        <w:t xml:space="preserve"> </w:t>
      </w:r>
      <w:r w:rsidR="00C16F25">
        <w:t>to</w:t>
      </w:r>
      <w:r w:rsidR="00C64050">
        <w:t xml:space="preserve"> </w:t>
      </w:r>
      <w:r w:rsidR="00C16F25">
        <w:t>reflect</w:t>
      </w:r>
      <w:r w:rsidR="00C64050">
        <w:t xml:space="preserve"> </w:t>
      </w:r>
      <w:r w:rsidR="00C16F25">
        <w:t>the</w:t>
      </w:r>
      <w:r w:rsidR="00C64050">
        <w:t xml:space="preserve"> </w:t>
      </w:r>
      <w:r w:rsidR="00C16F25">
        <w:t>change.</w:t>
      </w:r>
    </w:p>
    <w:p w:rsidR="009B095B" w:rsidRDefault="009B095B" w:rsidP="001E7C34">
      <w:pPr>
        <w:pStyle w:val="Body15"/>
      </w:pPr>
      <w:r w:rsidRPr="00C25106">
        <w:t>New</w:t>
      </w:r>
      <w:r w:rsidR="00C64050">
        <w:t xml:space="preserve"> </w:t>
      </w:r>
      <w:r w:rsidRPr="00C25106">
        <w:t>reporting</w:t>
      </w:r>
      <w:r w:rsidR="00C64050">
        <w:t xml:space="preserve"> </w:t>
      </w:r>
      <w:r w:rsidRPr="00C25106">
        <w:t>requirements</w:t>
      </w:r>
      <w:r w:rsidR="00C64050">
        <w:t xml:space="preserve"> </w:t>
      </w:r>
      <w:r w:rsidRPr="00C25106">
        <w:t>are</w:t>
      </w:r>
      <w:r w:rsidR="00C64050">
        <w:t xml:space="preserve"> </w:t>
      </w:r>
      <w:r w:rsidRPr="00C25106">
        <w:t>imposed</w:t>
      </w:r>
      <w:r w:rsidR="00C64050">
        <w:t xml:space="preserve"> </w:t>
      </w:r>
      <w:r w:rsidRPr="00C25106">
        <w:t>for</w:t>
      </w:r>
      <w:r w:rsidR="00C64050">
        <w:t xml:space="preserve"> </w:t>
      </w:r>
      <w:r w:rsidRPr="00C25106">
        <w:t>life</w:t>
      </w:r>
      <w:r w:rsidR="00C64050">
        <w:t xml:space="preserve"> </w:t>
      </w:r>
      <w:r w:rsidRPr="00C25106">
        <w:t>settlements.</w:t>
      </w:r>
      <w:r w:rsidR="00C64050">
        <w:t xml:space="preserve">  </w:t>
      </w:r>
      <w:r>
        <w:t>Section</w:t>
      </w:r>
      <w:r w:rsidR="00C64050">
        <w:t xml:space="preserve"> </w:t>
      </w:r>
      <w:r w:rsidRPr="00C25106">
        <w:t>6050Y.</w:t>
      </w:r>
      <w:r w:rsidR="00C64050">
        <w:t xml:space="preserve">  </w:t>
      </w:r>
      <w:r w:rsidRPr="00C25106">
        <w:t>The</w:t>
      </w:r>
      <w:r w:rsidR="00C64050">
        <w:t xml:space="preserve"> </w:t>
      </w:r>
      <w:r w:rsidRPr="00C25106">
        <w:t>transfer</w:t>
      </w:r>
      <w:r w:rsidR="00C64050">
        <w:t xml:space="preserve"> </w:t>
      </w:r>
      <w:r w:rsidRPr="00C25106">
        <w:t>for</w:t>
      </w:r>
      <w:r w:rsidR="00C64050">
        <w:t xml:space="preserve"> </w:t>
      </w:r>
      <w:r w:rsidRPr="00C25106">
        <w:t>value</w:t>
      </w:r>
      <w:r w:rsidR="00C64050">
        <w:t xml:space="preserve"> </w:t>
      </w:r>
      <w:r w:rsidRPr="00C25106">
        <w:t>rules</w:t>
      </w:r>
      <w:r w:rsidR="00C64050">
        <w:t xml:space="preserve"> </w:t>
      </w:r>
      <w:r w:rsidRPr="00C25106">
        <w:t>are</w:t>
      </w:r>
      <w:r w:rsidR="00C64050">
        <w:t xml:space="preserve"> </w:t>
      </w:r>
      <w:r w:rsidRPr="00C25106">
        <w:t>excluded</w:t>
      </w:r>
      <w:r w:rsidR="00C64050">
        <w:t xml:space="preserve"> </w:t>
      </w:r>
      <w:r w:rsidRPr="00C25106">
        <w:t>from</w:t>
      </w:r>
      <w:r w:rsidR="00C64050">
        <w:t xml:space="preserve"> </w:t>
      </w:r>
      <w:r w:rsidRPr="00C25106">
        <w:t>life</w:t>
      </w:r>
      <w:r w:rsidR="00C64050">
        <w:t xml:space="preserve"> </w:t>
      </w:r>
      <w:r w:rsidRPr="00C25106">
        <w:t>settlements.</w:t>
      </w:r>
      <w:r w:rsidR="00C64050">
        <w:t xml:space="preserve"> </w:t>
      </w:r>
      <w:r>
        <w:t>Section</w:t>
      </w:r>
      <w:r w:rsidR="00C64050">
        <w:t xml:space="preserve"> </w:t>
      </w:r>
      <w:r w:rsidRPr="00C25106">
        <w:t>101(a)(2).</w:t>
      </w:r>
      <w:r w:rsidR="00C64050">
        <w:t xml:space="preserve">  </w:t>
      </w:r>
      <w:r w:rsidRPr="00C25106">
        <w:t>These</w:t>
      </w:r>
      <w:r w:rsidR="00C64050">
        <w:t xml:space="preserve"> </w:t>
      </w:r>
      <w:r w:rsidRPr="00C25106">
        <w:t>provisions</w:t>
      </w:r>
      <w:r w:rsidR="00C64050">
        <w:t xml:space="preserve"> </w:t>
      </w:r>
      <w:r w:rsidRPr="00C25106">
        <w:t>do</w:t>
      </w:r>
      <w:r w:rsidR="00C64050">
        <w:t xml:space="preserve"> </w:t>
      </w:r>
      <w:r w:rsidRPr="00C25106">
        <w:t>not</w:t>
      </w:r>
      <w:r w:rsidR="00C64050">
        <w:t xml:space="preserve"> </w:t>
      </w:r>
      <w:r w:rsidRPr="00C25106">
        <w:t>sunset</w:t>
      </w:r>
      <w:r w:rsidR="00C64050">
        <w:t xml:space="preserve"> </w:t>
      </w:r>
      <w:r w:rsidRPr="00C25106">
        <w:t>after</w:t>
      </w:r>
      <w:r w:rsidR="00C64050">
        <w:t xml:space="preserve"> </w:t>
      </w:r>
      <w:r w:rsidRPr="00C25106">
        <w:t>2025.</w:t>
      </w:r>
    </w:p>
    <w:p w:rsidR="00EB10BA" w:rsidRDefault="00EB10BA" w:rsidP="00EB10BA">
      <w:pPr>
        <w:pStyle w:val="TitlePart"/>
      </w:pPr>
      <w:bookmarkStart w:id="42" w:name="_Toc94704602"/>
      <w:r>
        <w:t xml:space="preserve">PART 2 </w:t>
      </w:r>
      <w:r w:rsidR="00122279">
        <w:t>–</w:t>
      </w:r>
      <w:r>
        <w:t xml:space="preserve"> </w:t>
      </w:r>
      <w:r w:rsidR="00122279">
        <w:t>IS MORE TAX REFORM ON THE WAY?</w:t>
      </w:r>
      <w:bookmarkEnd w:id="42"/>
    </w:p>
    <w:p w:rsidR="002501F3" w:rsidRDefault="009826DC" w:rsidP="002501F3">
      <w:pPr>
        <w:pStyle w:val="Body15"/>
      </w:pPr>
      <w:r>
        <w:t xml:space="preserve">As of </w:t>
      </w:r>
      <w:r w:rsidR="00DF688B">
        <w:t>August 30</w:t>
      </w:r>
      <w:r>
        <w:t>,</w:t>
      </w:r>
      <w:r w:rsidR="002501F3">
        <w:t xml:space="preserve"> 2021, the Senate has a </w:t>
      </w:r>
      <w:r>
        <w:t xml:space="preserve">Democrat </w:t>
      </w:r>
      <w:r w:rsidR="002501F3">
        <w:t>majority derived from the Vice-President’s power to break tie votes.  The existing filibuster rules remain because a majority of current senators dread minority status more than they enjoy majority status; that is, by nature they prefer to block what they perceive as awful more than they hope to enact what they think is likely to improve things a little.  For purposes of “hammering the rich” this suggests no retroactivity and small rather than grand steps, on wealth transfer taxes.  Might the applicable exclusion be reduced sooner than January 1, 2026?  Sure, although that would be a largely cosmetic step; the increase is already in budget projections so the additional revenue would be that from 2022-2025, a mere four years.  Might it be reduced below the “sunset” level?  Perhaps – it was $3.5 million not very long ago (2009).  The Tax Policy Center (</w:t>
      </w:r>
      <w:hyperlink r:id="rId47" w:history="1">
        <w:r w:rsidR="002501F3" w:rsidRPr="00903AB2">
          <w:rPr>
            <w:rStyle w:val="Hyperlink"/>
          </w:rPr>
          <w:t>www.taxpolicycenter.org</w:t>
        </w:r>
      </w:hyperlink>
      <w:r w:rsidR="002501F3">
        <w:t>) projects that a restoration of the 2009 estate tax ($3.5 million, no indexing, 45% rate) would subject 0.65% of estates taxable by 2030 and raise $67.2 billion, versus making the current rules permanent which would tax 0.10% of estates and raise $22.3 billion.  One could imagine a principle that we would not have a generally applicable tax unless it applied to at least 1% of taxpayers.  Congress is not in the principles business but such in this instance would lead to an interesting discussion:  apply the estate tax more broadly or repeal it?</w:t>
      </w:r>
    </w:p>
    <w:p w:rsidR="002501F3" w:rsidRDefault="002501F3" w:rsidP="002501F3">
      <w:pPr>
        <w:pStyle w:val="Body15"/>
      </w:pPr>
      <w:r>
        <w:t xml:space="preserve">What of other suggestions.  Wealth taxes are the current rage – a rare instance of US political figures who generally admire European leadership not liking what they have done, which is reject wealth taxes – because it would generate “instant” revenue.  Some supporters of such taxes are in the Biden administration.  Over the long expanse of history wealth taxes generally are imposed when a country stares in the face of war.  Accordingly other approaches may be more likely.  </w:t>
      </w:r>
      <w:r w:rsidR="006A743D">
        <w:t>Some are within the existing system:  eliminating valuation discounts as “allowed” after Rev. Rul. 93-12 and/or changing the effect of Rev. Rul. 85-13 to eliminate or limit the benefits of sales to grantor trusts or the effectiveness of GRATs.  Others are new or novel.</w:t>
      </w:r>
    </w:p>
    <w:p w:rsidR="002501F3" w:rsidRDefault="002501F3" w:rsidP="002501F3">
      <w:pPr>
        <w:pStyle w:val="Body15"/>
      </w:pPr>
      <w:r>
        <w:t>Ending the step-up in basis seems like an obvious move if it contains provisions to “protect” those who do not pay estate tax now.  A benefit of reducing the applicable exclusion is that it would reduce the number of taxpayers who feel entitled to both no estate tax and a step-up, so that the step-up could then be eliminated with less cost.  At least theoretically.  Other proposals such as imposing the estate tax on assets held in grantor trusts (a Sanders proposal) seem like long-shots.  What about having capital gains realized at death?  That perhaps is not quite as long a long-shot but at this point the proposals are hardly thought through enough to consider in any detail.</w:t>
      </w:r>
      <w:r w:rsidR="009826DC">
        <w:t xml:space="preserve">  For instance, farms and businesses might be protected but what is a business?  Suppose I practice law but own a rental house?  Is that a business?  Suppose I own 25?</w:t>
      </w:r>
    </w:p>
    <w:p w:rsidR="009826DC" w:rsidRDefault="009826DC" w:rsidP="002501F3">
      <w:pPr>
        <w:pStyle w:val="Body15"/>
      </w:pPr>
      <w:r>
        <w:t>If capital gains rates increase, there may be a rationale to end the step-up because otherwise “everyone” will just hold assets until death.  Once you start down that path, you may want to eliminate other planning, such as using grantor trusts.</w:t>
      </w:r>
    </w:p>
    <w:p w:rsidR="002501F3" w:rsidRDefault="002501F3" w:rsidP="002501F3">
      <w:pPr>
        <w:pStyle w:val="Body15"/>
      </w:pPr>
      <w:r>
        <w:t>Lawyers in high-cost areas like New York and Washington have long proclaimed that at low enough tax rates taxpayers will pay taxes rather than tax lawyers.  In most of the country the cost of tax planning is so inexpensive that rates are irrelevant to the planning decision.  A rate of 40% or 45% is not foreordained for the estate tax; within the last generation the marginal rate was as high as 60%.  A return to graduated rates, perhaps steeply, could be perceived as striking a blow against “the rich.”  Similarly, on the income tax side steeply graduated rates could yield interesting results – both budget and sociological – if Congress were willing.  Suppose there were no step-up in basis but there were a lower capital gains rate if assets were sold within two years of a decedent’s death.  Such innovation would require creativity and where creativity might come from is unclear.</w:t>
      </w:r>
    </w:p>
    <w:p w:rsidR="002501F3" w:rsidRDefault="002501F3" w:rsidP="002501F3">
      <w:pPr>
        <w:pStyle w:val="Body15"/>
      </w:pPr>
      <w:r>
        <w:t xml:space="preserve">An increase in the capital gains rate seems likely.  Accordingly, selling before the increase is desirable if a sale is to occur anyway.  For assets in trust there is an easy solution.  Suppose the assets are in trust 1.  Trust 2 is created, that is not a grantor trust with respect to trust 1 but that has similar beneficiaries, albeit not identical terms with trust 1..  A distribution is made from trust 1 to trust 2 “on behalf of” the </w:t>
      </w:r>
      <w:r w:rsidR="009C7E03">
        <w:t>beneficiaries.  This may require an amendment of trust 1.  Under section 643(e) an election may be made AFTER the end of 2021 (when we know whether the capital gains rates went up in 2021 or not).  Section 643(e) provides:</w:t>
      </w:r>
    </w:p>
    <w:p w:rsidR="009C7E03" w:rsidRPr="001B0663" w:rsidRDefault="009C7E03" w:rsidP="00454202">
      <w:pPr>
        <w:spacing w:after="240"/>
        <w:ind w:left="720" w:right="720"/>
        <w:jc w:val="both"/>
        <w:rPr>
          <w:smallCaps/>
          <w:color w:val="000000" w:themeColor="text1"/>
          <w:szCs w:val="20"/>
          <w:shd w:val="clear" w:color="auto" w:fill="FFFFFF"/>
        </w:rPr>
      </w:pPr>
      <w:r w:rsidRPr="001B0663">
        <w:rPr>
          <w:color w:val="333333"/>
          <w:szCs w:val="20"/>
          <w:shd w:val="clear" w:color="auto" w:fill="FFFFFF"/>
        </w:rPr>
        <w:t>(</w:t>
      </w:r>
      <w:r w:rsidRPr="001B0663">
        <w:rPr>
          <w:color w:val="000000" w:themeColor="text1"/>
          <w:szCs w:val="20"/>
          <w:shd w:val="clear" w:color="auto" w:fill="FFFFFF"/>
        </w:rPr>
        <w:t>e)</w:t>
      </w:r>
      <w:r w:rsidR="00337A28" w:rsidRPr="001B0663">
        <w:rPr>
          <w:color w:val="000000" w:themeColor="text1"/>
          <w:szCs w:val="20"/>
          <w:shd w:val="clear" w:color="auto" w:fill="FFFFFF"/>
        </w:rPr>
        <w:t xml:space="preserve"> </w:t>
      </w:r>
      <w:r w:rsidRPr="001B0663">
        <w:rPr>
          <w:smallCaps/>
          <w:color w:val="000000" w:themeColor="text1"/>
          <w:szCs w:val="20"/>
          <w:shd w:val="clear" w:color="auto" w:fill="FFFFFF"/>
        </w:rPr>
        <w:t>Treatment of property distributed in kind</w:t>
      </w:r>
    </w:p>
    <w:p w:rsidR="009C7E03" w:rsidRPr="001B0663" w:rsidRDefault="009C7E03" w:rsidP="00454202">
      <w:pPr>
        <w:spacing w:after="240"/>
        <w:ind w:left="1440" w:right="720"/>
        <w:jc w:val="both"/>
        <w:rPr>
          <w:bCs w:val="0"/>
          <w:color w:val="000000" w:themeColor="text1"/>
          <w:szCs w:val="20"/>
        </w:rPr>
      </w:pPr>
      <w:bookmarkStart w:id="43" w:name="e_1"/>
      <w:bookmarkEnd w:id="43"/>
      <w:r w:rsidRPr="001B0663">
        <w:rPr>
          <w:color w:val="000000" w:themeColor="text1"/>
          <w:szCs w:val="20"/>
        </w:rPr>
        <w:t xml:space="preserve">(1) </w:t>
      </w:r>
      <w:r w:rsidRPr="001B0663">
        <w:rPr>
          <w:smallCaps/>
          <w:color w:val="000000" w:themeColor="text1"/>
          <w:szCs w:val="20"/>
        </w:rPr>
        <w:t xml:space="preserve">Basis of beneficiary. </w:t>
      </w:r>
      <w:r w:rsidRPr="001B0663">
        <w:rPr>
          <w:bCs w:val="0"/>
          <w:color w:val="000000" w:themeColor="text1"/>
          <w:szCs w:val="20"/>
        </w:rPr>
        <w:t>The basis of any property received by a </w:t>
      </w:r>
      <w:hyperlink r:id="rId48" w:history="1">
        <w:r w:rsidRPr="001B0663">
          <w:rPr>
            <w:bCs w:val="0"/>
            <w:color w:val="000000" w:themeColor="text1"/>
            <w:szCs w:val="20"/>
          </w:rPr>
          <w:t>beneficiary</w:t>
        </w:r>
      </w:hyperlink>
      <w:r w:rsidRPr="001B0663">
        <w:rPr>
          <w:bCs w:val="0"/>
          <w:color w:val="000000" w:themeColor="text1"/>
          <w:szCs w:val="20"/>
        </w:rPr>
        <w:t> in a distribution from an estate or trust shall be—</w:t>
      </w:r>
    </w:p>
    <w:p w:rsidR="009C7E03" w:rsidRPr="001B0663" w:rsidRDefault="009C7E03" w:rsidP="00454202">
      <w:pPr>
        <w:shd w:val="clear" w:color="auto" w:fill="FFFFFF"/>
        <w:spacing w:after="240"/>
        <w:ind w:left="1440" w:right="720" w:firstLine="720"/>
        <w:jc w:val="both"/>
        <w:rPr>
          <w:bCs w:val="0"/>
          <w:color w:val="000000" w:themeColor="text1"/>
          <w:szCs w:val="20"/>
        </w:rPr>
      </w:pPr>
      <w:bookmarkStart w:id="44" w:name="e_1_A"/>
      <w:bookmarkEnd w:id="44"/>
      <w:r w:rsidRPr="001B0663">
        <w:rPr>
          <w:color w:val="000000" w:themeColor="text1"/>
          <w:szCs w:val="20"/>
        </w:rPr>
        <w:t xml:space="preserve">(A) </w:t>
      </w:r>
      <w:r w:rsidRPr="001B0663">
        <w:rPr>
          <w:bCs w:val="0"/>
          <w:color w:val="000000" w:themeColor="text1"/>
          <w:szCs w:val="20"/>
        </w:rPr>
        <w:t>the adjusted basis of such property in the hands of the estate or trust immediately before the distribution, adjusted for</w:t>
      </w:r>
    </w:p>
    <w:p w:rsidR="009C7E03" w:rsidRPr="001B0663" w:rsidRDefault="009C7E03" w:rsidP="00454202">
      <w:pPr>
        <w:shd w:val="clear" w:color="auto" w:fill="FFFFFF"/>
        <w:spacing w:after="240"/>
        <w:ind w:left="1440" w:right="720" w:firstLine="720"/>
        <w:jc w:val="both"/>
        <w:rPr>
          <w:bCs w:val="0"/>
          <w:color w:val="000000" w:themeColor="text1"/>
          <w:szCs w:val="20"/>
        </w:rPr>
      </w:pPr>
      <w:bookmarkStart w:id="45" w:name="e_1_B"/>
      <w:bookmarkEnd w:id="45"/>
      <w:r w:rsidRPr="001B0663">
        <w:rPr>
          <w:color w:val="000000" w:themeColor="text1"/>
          <w:szCs w:val="20"/>
        </w:rPr>
        <w:t xml:space="preserve">(B) </w:t>
      </w:r>
      <w:r w:rsidRPr="001B0663">
        <w:rPr>
          <w:bCs w:val="0"/>
          <w:color w:val="000000" w:themeColor="text1"/>
          <w:szCs w:val="20"/>
        </w:rPr>
        <w:t>any gain or loss recognized to the estate or trust on the distribution.</w:t>
      </w:r>
    </w:p>
    <w:p w:rsidR="009C7E03" w:rsidRPr="001B0663" w:rsidRDefault="009C7E03" w:rsidP="00454202">
      <w:pPr>
        <w:spacing w:after="240"/>
        <w:ind w:left="1440" w:right="720"/>
        <w:jc w:val="both"/>
        <w:rPr>
          <w:bCs w:val="0"/>
          <w:color w:val="000000" w:themeColor="text1"/>
          <w:szCs w:val="20"/>
        </w:rPr>
      </w:pPr>
      <w:bookmarkStart w:id="46" w:name="e_2"/>
      <w:bookmarkEnd w:id="46"/>
      <w:r w:rsidRPr="001B0663">
        <w:rPr>
          <w:color w:val="000000" w:themeColor="text1"/>
          <w:szCs w:val="20"/>
        </w:rPr>
        <w:t xml:space="preserve">(2) </w:t>
      </w:r>
      <w:r w:rsidRPr="001B0663">
        <w:rPr>
          <w:smallCaps/>
          <w:color w:val="000000" w:themeColor="text1"/>
          <w:szCs w:val="20"/>
        </w:rPr>
        <w:t xml:space="preserve">Amount of distribution. </w:t>
      </w:r>
      <w:r w:rsidRPr="001B0663">
        <w:rPr>
          <w:bCs w:val="0"/>
          <w:color w:val="000000" w:themeColor="text1"/>
          <w:szCs w:val="20"/>
        </w:rPr>
        <w:t>In the case of any distribution of property (other than </w:t>
      </w:r>
      <w:hyperlink r:id="rId49" w:history="1">
        <w:r w:rsidRPr="001B0663">
          <w:rPr>
            <w:bCs w:val="0"/>
            <w:color w:val="000000" w:themeColor="text1"/>
            <w:szCs w:val="20"/>
          </w:rPr>
          <w:t>cash</w:t>
        </w:r>
      </w:hyperlink>
      <w:r w:rsidRPr="001B0663">
        <w:rPr>
          <w:bCs w:val="0"/>
          <w:color w:val="000000" w:themeColor="text1"/>
          <w:szCs w:val="20"/>
        </w:rPr>
        <w:t>), the amount taken into account under sections </w:t>
      </w:r>
      <w:hyperlink r:id="rId50" w:anchor="a_2" w:history="1">
        <w:r w:rsidRPr="001B0663">
          <w:rPr>
            <w:bCs w:val="0"/>
            <w:color w:val="000000" w:themeColor="text1"/>
            <w:szCs w:val="20"/>
          </w:rPr>
          <w:t>661(a)(2)</w:t>
        </w:r>
      </w:hyperlink>
      <w:r w:rsidRPr="001B0663">
        <w:rPr>
          <w:bCs w:val="0"/>
          <w:color w:val="000000" w:themeColor="text1"/>
          <w:szCs w:val="20"/>
        </w:rPr>
        <w:t> and </w:t>
      </w:r>
      <w:hyperlink r:id="rId51" w:anchor="a_2" w:history="1">
        <w:r w:rsidRPr="001B0663">
          <w:rPr>
            <w:bCs w:val="0"/>
            <w:color w:val="000000" w:themeColor="text1"/>
            <w:szCs w:val="20"/>
          </w:rPr>
          <w:t>662(a)(2)</w:t>
        </w:r>
      </w:hyperlink>
      <w:r w:rsidRPr="001B0663">
        <w:rPr>
          <w:bCs w:val="0"/>
          <w:color w:val="000000" w:themeColor="text1"/>
          <w:szCs w:val="20"/>
        </w:rPr>
        <w:t> shall be the lesser of—</w:t>
      </w:r>
    </w:p>
    <w:p w:rsidR="009C7E03" w:rsidRPr="001B0663" w:rsidRDefault="009C7E03" w:rsidP="00454202">
      <w:pPr>
        <w:shd w:val="clear" w:color="auto" w:fill="FFFFFF"/>
        <w:spacing w:after="240"/>
        <w:ind w:left="1440" w:right="720" w:firstLine="720"/>
        <w:jc w:val="both"/>
        <w:rPr>
          <w:bCs w:val="0"/>
          <w:color w:val="000000" w:themeColor="text1"/>
          <w:szCs w:val="20"/>
        </w:rPr>
      </w:pPr>
      <w:bookmarkStart w:id="47" w:name="e_2_A"/>
      <w:bookmarkEnd w:id="47"/>
      <w:r w:rsidRPr="001B0663">
        <w:rPr>
          <w:color w:val="000000" w:themeColor="text1"/>
          <w:szCs w:val="20"/>
        </w:rPr>
        <w:t xml:space="preserve">(A) </w:t>
      </w:r>
      <w:r w:rsidRPr="001B0663">
        <w:rPr>
          <w:bCs w:val="0"/>
          <w:color w:val="000000" w:themeColor="text1"/>
          <w:szCs w:val="20"/>
        </w:rPr>
        <w:t>the basis of such property in the hands of the </w:t>
      </w:r>
      <w:hyperlink r:id="rId52" w:history="1">
        <w:r w:rsidRPr="001B0663">
          <w:rPr>
            <w:bCs w:val="0"/>
            <w:color w:val="000000" w:themeColor="text1"/>
            <w:szCs w:val="20"/>
          </w:rPr>
          <w:t>beneficiary</w:t>
        </w:r>
      </w:hyperlink>
      <w:r w:rsidRPr="001B0663">
        <w:rPr>
          <w:bCs w:val="0"/>
          <w:color w:val="000000" w:themeColor="text1"/>
          <w:szCs w:val="20"/>
        </w:rPr>
        <w:t> (as determined under paragraph (1)), or</w:t>
      </w:r>
    </w:p>
    <w:p w:rsidR="009C7E03" w:rsidRPr="001B0663" w:rsidRDefault="009C7E03" w:rsidP="00454202">
      <w:pPr>
        <w:shd w:val="clear" w:color="auto" w:fill="FFFFFF"/>
        <w:spacing w:after="240"/>
        <w:ind w:left="1440" w:right="720" w:firstLine="720"/>
        <w:jc w:val="both"/>
        <w:rPr>
          <w:bCs w:val="0"/>
          <w:color w:val="000000" w:themeColor="text1"/>
          <w:szCs w:val="20"/>
        </w:rPr>
      </w:pPr>
      <w:bookmarkStart w:id="48" w:name="e_2_B"/>
      <w:bookmarkEnd w:id="48"/>
      <w:r w:rsidRPr="001B0663">
        <w:rPr>
          <w:color w:val="000000" w:themeColor="text1"/>
          <w:szCs w:val="20"/>
        </w:rPr>
        <w:t xml:space="preserve">(B) </w:t>
      </w:r>
      <w:r w:rsidRPr="001B0663">
        <w:rPr>
          <w:bCs w:val="0"/>
          <w:color w:val="000000" w:themeColor="text1"/>
          <w:szCs w:val="20"/>
        </w:rPr>
        <w:t>the fair market value of such prop</w:t>
      </w:r>
      <w:r w:rsidRPr="001B0663">
        <w:rPr>
          <w:bCs w:val="0"/>
          <w:color w:val="000000" w:themeColor="text1"/>
          <w:szCs w:val="20"/>
        </w:rPr>
        <w:softHyphen/>
        <w:t>erty.</w:t>
      </w:r>
    </w:p>
    <w:p w:rsidR="009C7E03" w:rsidRPr="001B0663" w:rsidRDefault="009C7E03" w:rsidP="00454202">
      <w:pPr>
        <w:spacing w:after="240"/>
        <w:ind w:left="1440" w:right="720"/>
        <w:jc w:val="both"/>
        <w:rPr>
          <w:bCs w:val="0"/>
          <w:color w:val="000000" w:themeColor="text1"/>
          <w:szCs w:val="20"/>
        </w:rPr>
      </w:pPr>
      <w:bookmarkStart w:id="49" w:name="e_3"/>
      <w:bookmarkEnd w:id="49"/>
      <w:r w:rsidRPr="001B0663">
        <w:rPr>
          <w:color w:val="000000" w:themeColor="text1"/>
          <w:szCs w:val="20"/>
        </w:rPr>
        <w:t xml:space="preserve">(3) </w:t>
      </w:r>
      <w:r w:rsidRPr="001B0663">
        <w:rPr>
          <w:smallCaps/>
          <w:color w:val="000000" w:themeColor="text1"/>
          <w:szCs w:val="20"/>
        </w:rPr>
        <w:t xml:space="preserve">Election to </w:t>
      </w:r>
      <w:r w:rsidRPr="00454202">
        <w:rPr>
          <w:smallCaps/>
          <w:color w:val="000000" w:themeColor="text1"/>
          <w:szCs w:val="20"/>
        </w:rPr>
        <w:t>recognize</w:t>
      </w:r>
      <w:r w:rsidRPr="001B0663">
        <w:rPr>
          <w:smallCaps/>
          <w:color w:val="000000" w:themeColor="text1"/>
          <w:szCs w:val="20"/>
        </w:rPr>
        <w:t xml:space="preserve"> gain</w:t>
      </w:r>
    </w:p>
    <w:p w:rsidR="009C7E03" w:rsidRPr="001B0663" w:rsidRDefault="009C7E03" w:rsidP="00454202">
      <w:pPr>
        <w:shd w:val="clear" w:color="auto" w:fill="FFFFFF"/>
        <w:spacing w:after="240"/>
        <w:ind w:left="2160" w:right="720"/>
        <w:jc w:val="both"/>
        <w:rPr>
          <w:bCs w:val="0"/>
          <w:color w:val="000000" w:themeColor="text1"/>
          <w:szCs w:val="20"/>
        </w:rPr>
      </w:pPr>
      <w:bookmarkStart w:id="50" w:name="e_3_A"/>
      <w:bookmarkEnd w:id="50"/>
      <w:r w:rsidRPr="001B0663">
        <w:rPr>
          <w:color w:val="000000" w:themeColor="text1"/>
          <w:szCs w:val="20"/>
        </w:rPr>
        <w:t xml:space="preserve">(A) </w:t>
      </w:r>
      <w:r w:rsidRPr="001B0663">
        <w:rPr>
          <w:bCs w:val="0"/>
          <w:color w:val="000000" w:themeColor="text1"/>
          <w:szCs w:val="20"/>
        </w:rPr>
        <w:t>In general. In the case of any distribution of property (other than </w:t>
      </w:r>
      <w:hyperlink r:id="rId53" w:history="1">
        <w:r w:rsidRPr="001B0663">
          <w:rPr>
            <w:bCs w:val="0"/>
            <w:color w:val="000000" w:themeColor="text1"/>
            <w:szCs w:val="20"/>
          </w:rPr>
          <w:t>cash</w:t>
        </w:r>
      </w:hyperlink>
      <w:r w:rsidRPr="001B0663">
        <w:rPr>
          <w:bCs w:val="0"/>
          <w:color w:val="000000" w:themeColor="text1"/>
          <w:szCs w:val="20"/>
        </w:rPr>
        <w:t>) to which an election under this paragraph applies—</w:t>
      </w:r>
    </w:p>
    <w:p w:rsidR="009C7E03" w:rsidRPr="001B0663" w:rsidRDefault="009C7E03" w:rsidP="00454202">
      <w:pPr>
        <w:shd w:val="clear" w:color="auto" w:fill="FFFFFF"/>
        <w:spacing w:after="240"/>
        <w:ind w:left="2160" w:right="720" w:firstLine="720"/>
        <w:jc w:val="both"/>
        <w:rPr>
          <w:bCs w:val="0"/>
          <w:color w:val="000000" w:themeColor="text1"/>
          <w:szCs w:val="20"/>
        </w:rPr>
      </w:pPr>
      <w:bookmarkStart w:id="51" w:name="e_3_A_i"/>
      <w:bookmarkEnd w:id="51"/>
      <w:r w:rsidRPr="001B0663">
        <w:rPr>
          <w:color w:val="000000" w:themeColor="text1"/>
          <w:szCs w:val="20"/>
        </w:rPr>
        <w:t xml:space="preserve">(i) </w:t>
      </w:r>
      <w:r w:rsidRPr="001B0663">
        <w:rPr>
          <w:bCs w:val="0"/>
          <w:color w:val="000000" w:themeColor="text1"/>
          <w:szCs w:val="20"/>
        </w:rPr>
        <w:t>paragraph (2) shall not apply,</w:t>
      </w:r>
    </w:p>
    <w:p w:rsidR="009C7E03" w:rsidRPr="001B0663" w:rsidRDefault="009C7E03" w:rsidP="00454202">
      <w:pPr>
        <w:shd w:val="clear" w:color="auto" w:fill="FFFFFF"/>
        <w:spacing w:after="240"/>
        <w:ind w:left="2160" w:right="720" w:firstLine="720"/>
        <w:jc w:val="both"/>
        <w:rPr>
          <w:bCs w:val="0"/>
          <w:color w:val="000000" w:themeColor="text1"/>
          <w:szCs w:val="20"/>
        </w:rPr>
      </w:pPr>
      <w:bookmarkStart w:id="52" w:name="e_3_A_ii"/>
      <w:bookmarkEnd w:id="52"/>
      <w:r w:rsidRPr="001B0663">
        <w:rPr>
          <w:color w:val="000000" w:themeColor="text1"/>
          <w:szCs w:val="20"/>
        </w:rPr>
        <w:t>(ii)</w:t>
      </w:r>
      <w:r w:rsidR="00337A28" w:rsidRPr="001B0663">
        <w:rPr>
          <w:color w:val="000000" w:themeColor="text1"/>
          <w:szCs w:val="20"/>
        </w:rPr>
        <w:t xml:space="preserve"> </w:t>
      </w:r>
      <w:r w:rsidRPr="001B0663">
        <w:rPr>
          <w:bCs w:val="0"/>
          <w:color w:val="000000" w:themeColor="text1"/>
          <w:szCs w:val="20"/>
        </w:rPr>
        <w:t>gain or loss shall be recognized by the estate or trust in the same manner as if such property had been sold to the distributee at its fair market value, and</w:t>
      </w:r>
    </w:p>
    <w:p w:rsidR="00337A28" w:rsidRPr="001B0663" w:rsidRDefault="009C7E03" w:rsidP="00454202">
      <w:pPr>
        <w:shd w:val="clear" w:color="auto" w:fill="FFFFFF"/>
        <w:spacing w:after="240"/>
        <w:ind w:left="2160" w:right="720" w:firstLine="720"/>
        <w:jc w:val="both"/>
        <w:rPr>
          <w:bCs w:val="0"/>
          <w:color w:val="000000" w:themeColor="text1"/>
          <w:szCs w:val="20"/>
        </w:rPr>
      </w:pPr>
      <w:bookmarkStart w:id="53" w:name="e_3_A_iii"/>
      <w:bookmarkEnd w:id="53"/>
      <w:r w:rsidRPr="001B0663">
        <w:rPr>
          <w:color w:val="000000" w:themeColor="text1"/>
          <w:szCs w:val="20"/>
        </w:rPr>
        <w:t>(iii)</w:t>
      </w:r>
      <w:r w:rsidR="00337A28" w:rsidRPr="001B0663">
        <w:rPr>
          <w:color w:val="000000" w:themeColor="text1"/>
          <w:szCs w:val="20"/>
        </w:rPr>
        <w:t xml:space="preserve"> </w:t>
      </w:r>
      <w:r w:rsidRPr="001B0663">
        <w:rPr>
          <w:bCs w:val="0"/>
          <w:color w:val="000000" w:themeColor="text1"/>
          <w:szCs w:val="20"/>
        </w:rPr>
        <w:t xml:space="preserve">the amount taken into account under </w:t>
      </w:r>
      <w:r w:rsidR="00E02C36" w:rsidRPr="001B0663">
        <w:rPr>
          <w:bCs w:val="0"/>
          <w:color w:val="000000" w:themeColor="text1"/>
          <w:szCs w:val="20"/>
        </w:rPr>
        <w:t>s</w:t>
      </w:r>
      <w:r w:rsidRPr="001B0663">
        <w:rPr>
          <w:bCs w:val="0"/>
          <w:color w:val="000000" w:themeColor="text1"/>
          <w:szCs w:val="20"/>
        </w:rPr>
        <w:t>ections </w:t>
      </w:r>
      <w:hyperlink r:id="rId54" w:anchor="a_2" w:history="1">
        <w:r w:rsidRPr="001B0663">
          <w:rPr>
            <w:bCs w:val="0"/>
            <w:color w:val="000000" w:themeColor="text1"/>
            <w:szCs w:val="20"/>
          </w:rPr>
          <w:t>661(a)(2)</w:t>
        </w:r>
      </w:hyperlink>
      <w:r w:rsidRPr="001B0663">
        <w:rPr>
          <w:bCs w:val="0"/>
          <w:color w:val="000000" w:themeColor="text1"/>
          <w:szCs w:val="20"/>
        </w:rPr>
        <w:t> and </w:t>
      </w:r>
      <w:hyperlink r:id="rId55" w:anchor="a_2" w:history="1">
        <w:r w:rsidRPr="001B0663">
          <w:rPr>
            <w:bCs w:val="0"/>
            <w:color w:val="000000" w:themeColor="text1"/>
            <w:szCs w:val="20"/>
          </w:rPr>
          <w:t>662(a)(2)</w:t>
        </w:r>
      </w:hyperlink>
      <w:r w:rsidRPr="001B0663">
        <w:rPr>
          <w:bCs w:val="0"/>
          <w:color w:val="000000" w:themeColor="text1"/>
          <w:szCs w:val="20"/>
        </w:rPr>
        <w:t> shall be the fair market value of such property.</w:t>
      </w:r>
    </w:p>
    <w:p w:rsidR="009C7E03" w:rsidRPr="00337A28" w:rsidRDefault="009C7E03" w:rsidP="00454202">
      <w:pPr>
        <w:shd w:val="clear" w:color="auto" w:fill="FFFFFF"/>
        <w:spacing w:after="240"/>
        <w:ind w:left="2160" w:right="720" w:firstLine="720"/>
        <w:jc w:val="both"/>
        <w:rPr>
          <w:bCs w:val="0"/>
          <w:color w:val="000000" w:themeColor="text1"/>
          <w:szCs w:val="20"/>
        </w:rPr>
      </w:pPr>
      <w:bookmarkStart w:id="54" w:name="e_3_B"/>
      <w:bookmarkEnd w:id="54"/>
      <w:r w:rsidRPr="001B0663">
        <w:rPr>
          <w:color w:val="000000" w:themeColor="text1"/>
          <w:szCs w:val="20"/>
        </w:rPr>
        <w:t>(B)</w:t>
      </w:r>
      <w:r w:rsidR="00337A28" w:rsidRPr="001B0663">
        <w:rPr>
          <w:color w:val="000000" w:themeColor="text1"/>
          <w:szCs w:val="20"/>
        </w:rPr>
        <w:t xml:space="preserve"> </w:t>
      </w:r>
      <w:r w:rsidRPr="001B0663">
        <w:rPr>
          <w:bCs w:val="0"/>
          <w:color w:val="000000" w:themeColor="text1"/>
          <w:szCs w:val="20"/>
        </w:rPr>
        <w:t>Election</w:t>
      </w:r>
      <w:r w:rsidR="00337A28" w:rsidRPr="001B0663">
        <w:rPr>
          <w:bCs w:val="0"/>
          <w:color w:val="000000" w:themeColor="text1"/>
          <w:szCs w:val="20"/>
        </w:rPr>
        <w:t xml:space="preserve">.  </w:t>
      </w:r>
      <w:r w:rsidRPr="001B0663">
        <w:rPr>
          <w:bCs w:val="0"/>
          <w:color w:val="000000" w:themeColor="text1"/>
          <w:szCs w:val="20"/>
        </w:rPr>
        <w:t>Any election under this paragraph shall apply to all distributions made by the estate or trust during a </w:t>
      </w:r>
      <w:hyperlink r:id="rId56" w:history="1">
        <w:r w:rsidRPr="001B0663">
          <w:rPr>
            <w:bCs w:val="0"/>
            <w:color w:val="000000" w:themeColor="text1"/>
            <w:szCs w:val="20"/>
          </w:rPr>
          <w:t>taxable</w:t>
        </w:r>
      </w:hyperlink>
      <w:r w:rsidRPr="001B0663">
        <w:rPr>
          <w:bCs w:val="0"/>
          <w:color w:val="000000" w:themeColor="text1"/>
          <w:szCs w:val="20"/>
        </w:rPr>
        <w:t> year and shall be made on the return of such estate or trust for such </w:t>
      </w:r>
      <w:hyperlink r:id="rId57" w:history="1">
        <w:r w:rsidRPr="001B0663">
          <w:rPr>
            <w:bCs w:val="0"/>
            <w:color w:val="000000" w:themeColor="text1"/>
            <w:szCs w:val="20"/>
          </w:rPr>
          <w:t>taxable</w:t>
        </w:r>
      </w:hyperlink>
      <w:r w:rsidRPr="001B0663">
        <w:rPr>
          <w:bCs w:val="0"/>
          <w:color w:val="000000" w:themeColor="text1"/>
          <w:szCs w:val="20"/>
        </w:rPr>
        <w:t> year.</w:t>
      </w:r>
    </w:p>
    <w:p w:rsidR="005F0B44" w:rsidRDefault="005F0B44">
      <w:pPr>
        <w:rPr>
          <w:bCs w:val="0"/>
          <w:color w:val="000000" w:themeColor="text1"/>
          <w:szCs w:val="20"/>
        </w:rPr>
      </w:pPr>
      <w:r>
        <w:rPr>
          <w:bCs w:val="0"/>
          <w:color w:val="000000" w:themeColor="text1"/>
          <w:szCs w:val="20"/>
        </w:rPr>
        <w:br w:type="page"/>
      </w:r>
    </w:p>
    <w:p w:rsidR="009C7E03" w:rsidRPr="009C7E03" w:rsidRDefault="009C7E03" w:rsidP="00454202">
      <w:pPr>
        <w:shd w:val="clear" w:color="auto" w:fill="FFFFFF"/>
        <w:spacing w:after="240"/>
        <w:ind w:left="720" w:right="720"/>
        <w:jc w:val="both"/>
        <w:rPr>
          <w:bCs w:val="0"/>
          <w:color w:val="000000" w:themeColor="text1"/>
          <w:szCs w:val="20"/>
        </w:rPr>
      </w:pPr>
      <w:r w:rsidRPr="009C7E03">
        <w:rPr>
          <w:bCs w:val="0"/>
          <w:color w:val="000000" w:themeColor="text1"/>
          <w:szCs w:val="20"/>
        </w:rPr>
        <w:t>Any such election, once made, may be revoked only with the consent of the Secretary.</w:t>
      </w:r>
    </w:p>
    <w:p w:rsidR="009C7E03" w:rsidRPr="009C7E03" w:rsidRDefault="009C7E03" w:rsidP="00454202">
      <w:pPr>
        <w:spacing w:after="240"/>
        <w:ind w:left="1440" w:right="720"/>
        <w:jc w:val="both"/>
        <w:rPr>
          <w:rFonts w:ascii="Verdana" w:hAnsi="Verdana"/>
          <w:bCs w:val="0"/>
          <w:color w:val="333333"/>
          <w:sz w:val="24"/>
        </w:rPr>
      </w:pPr>
      <w:bookmarkStart w:id="55" w:name="e_4"/>
      <w:bookmarkEnd w:id="55"/>
      <w:r w:rsidRPr="009C7E03">
        <w:rPr>
          <w:color w:val="000000" w:themeColor="text1"/>
          <w:szCs w:val="20"/>
        </w:rPr>
        <w:t>(4)</w:t>
      </w:r>
      <w:r w:rsidR="00337A28" w:rsidRPr="00337A28">
        <w:rPr>
          <w:color w:val="000000" w:themeColor="text1"/>
          <w:szCs w:val="20"/>
        </w:rPr>
        <w:t xml:space="preserve"> </w:t>
      </w:r>
      <w:r w:rsidRPr="009C7E03">
        <w:rPr>
          <w:smallCaps/>
          <w:color w:val="000000" w:themeColor="text1"/>
          <w:szCs w:val="20"/>
        </w:rPr>
        <w:t>Exception for distribu</w:t>
      </w:r>
      <w:r w:rsidR="00337A28" w:rsidRPr="00337A28">
        <w:rPr>
          <w:smallCaps/>
          <w:color w:val="000000" w:themeColor="text1"/>
          <w:szCs w:val="20"/>
        </w:rPr>
        <w:t>tions described in section 663(</w:t>
      </w:r>
      <w:r w:rsidR="00337A28" w:rsidRPr="009C7E03">
        <w:rPr>
          <w:bCs w:val="0"/>
          <w:color w:val="000000" w:themeColor="text1"/>
          <w:szCs w:val="20"/>
        </w:rPr>
        <w:t>a</w:t>
      </w:r>
      <w:r w:rsidR="00337A28" w:rsidRPr="00337A28">
        <w:rPr>
          <w:bCs w:val="0"/>
          <w:color w:val="000000" w:themeColor="text1"/>
          <w:szCs w:val="20"/>
        </w:rPr>
        <w:t>).</w:t>
      </w:r>
      <w:r w:rsidR="00337A28" w:rsidRPr="00337A28">
        <w:rPr>
          <w:smallCaps/>
          <w:color w:val="000000" w:themeColor="text1"/>
          <w:szCs w:val="20"/>
        </w:rPr>
        <w:t xml:space="preserve"> </w:t>
      </w:r>
      <w:r w:rsidRPr="009C7E03">
        <w:rPr>
          <w:bCs w:val="0"/>
          <w:color w:val="000000" w:themeColor="text1"/>
          <w:szCs w:val="20"/>
        </w:rPr>
        <w:t>This subsection shall not apply to any distribution described in section 663(a).</w:t>
      </w:r>
    </w:p>
    <w:p w:rsidR="00337A28" w:rsidRDefault="00337A28" w:rsidP="00454202">
      <w:pPr>
        <w:pStyle w:val="Body15"/>
      </w:pPr>
      <w:r>
        <w:t xml:space="preserve">The following chart describes the major features of the proposals </w:t>
      </w:r>
      <w:r w:rsidR="000E21EC">
        <w:t>thus far</w:t>
      </w:r>
      <w:r>
        <w:t xml:space="preserve"> (as of </w:t>
      </w:r>
      <w:r w:rsidR="00DF688B">
        <w:t>August 30</w:t>
      </w:r>
      <w:r>
        <w:t>, 2021).</w:t>
      </w:r>
    </w:p>
    <w:p w:rsidR="00C4619E" w:rsidRDefault="00C4619E" w:rsidP="00454202">
      <w:pPr>
        <w:pStyle w:val="Body15"/>
      </w:pPr>
    </w:p>
    <w:p w:rsidR="00C4619E" w:rsidRDefault="00C4619E">
      <w:pPr>
        <w:sectPr w:rsidR="00C4619E" w:rsidSect="005F0B44">
          <w:footerReference w:type="first" r:id="rId58"/>
          <w:pgSz w:w="12240" w:h="15840" w:code="1"/>
          <w:pgMar w:top="1440" w:right="1440" w:bottom="1152" w:left="1440" w:header="720" w:footer="720" w:gutter="0"/>
          <w:pgNumType w:start="1"/>
          <w:cols w:space="720"/>
          <w:noEndnote/>
          <w:titlePg/>
          <w:docGrid w:linePitch="272"/>
        </w:sectPr>
      </w:pPr>
    </w:p>
    <w:p w:rsidR="00363600" w:rsidRPr="00363600" w:rsidRDefault="00363600" w:rsidP="00363600">
      <w:pPr>
        <w:spacing w:after="240"/>
        <w:jc w:val="center"/>
        <w:rPr>
          <w:b/>
          <w:smallCaps/>
          <w:szCs w:val="20"/>
        </w:rPr>
      </w:pPr>
      <w:r w:rsidRPr="00363600">
        <w:rPr>
          <w:b/>
          <w:smallCaps/>
          <w:szCs w:val="20"/>
        </w:rPr>
        <w:t>Possible 2021 Federal Tax Legislation of Interest to Estate Planners</w:t>
      </w:r>
    </w:p>
    <w:p w:rsidR="00363600" w:rsidRPr="00363600" w:rsidRDefault="00363600" w:rsidP="00363600">
      <w:pPr>
        <w:rPr>
          <w:szCs w:val="20"/>
        </w:rPr>
      </w:pPr>
    </w:p>
    <w:tbl>
      <w:tblPr>
        <w:tblStyle w:val="TableGrid"/>
        <w:tblW w:w="13315" w:type="dxa"/>
        <w:tblLook w:val="04A0" w:firstRow="1" w:lastRow="0" w:firstColumn="1" w:lastColumn="0" w:noHBand="0" w:noVBand="1"/>
      </w:tblPr>
      <w:tblGrid>
        <w:gridCol w:w="1435"/>
        <w:gridCol w:w="2520"/>
        <w:gridCol w:w="2520"/>
        <w:gridCol w:w="2340"/>
        <w:gridCol w:w="2250"/>
        <w:gridCol w:w="2250"/>
      </w:tblGrid>
      <w:tr w:rsidR="00C83436" w:rsidRPr="00363600" w:rsidTr="00D2007B">
        <w:trPr>
          <w:cantSplit/>
          <w:tblHeader/>
        </w:trPr>
        <w:tc>
          <w:tcPr>
            <w:tcW w:w="1435" w:type="dxa"/>
          </w:tcPr>
          <w:p w:rsidR="00C83436" w:rsidRPr="00D2007B" w:rsidRDefault="00C83436" w:rsidP="00C83436">
            <w:pPr>
              <w:pStyle w:val="BodyText"/>
              <w:rPr>
                <w:b/>
                <w:sz w:val="20"/>
                <w:szCs w:val="20"/>
              </w:rPr>
            </w:pPr>
          </w:p>
        </w:tc>
        <w:tc>
          <w:tcPr>
            <w:tcW w:w="2520" w:type="dxa"/>
            <w:tcBorders>
              <w:bottom w:val="single" w:sz="4" w:space="0" w:color="auto"/>
            </w:tcBorders>
          </w:tcPr>
          <w:p w:rsidR="00C83436" w:rsidRPr="00D2007B" w:rsidRDefault="00C83436" w:rsidP="00C83436">
            <w:pPr>
              <w:pStyle w:val="BodyText"/>
              <w:spacing w:after="0"/>
              <w:jc w:val="center"/>
              <w:rPr>
                <w:b/>
                <w:sz w:val="20"/>
                <w:szCs w:val="20"/>
              </w:rPr>
            </w:pPr>
            <w:r w:rsidRPr="00D2007B">
              <w:rPr>
                <w:b/>
                <w:sz w:val="20"/>
                <w:szCs w:val="20"/>
              </w:rPr>
              <w:t>STEP Act</w:t>
            </w:r>
            <w:r w:rsidRPr="00D2007B">
              <w:rPr>
                <w:rStyle w:val="FootnoteReference"/>
                <w:b/>
                <w:sz w:val="20"/>
                <w:szCs w:val="20"/>
              </w:rPr>
              <w:footnoteReference w:id="2"/>
            </w:r>
          </w:p>
          <w:p w:rsidR="00C83436" w:rsidRPr="00D2007B" w:rsidRDefault="00C83436" w:rsidP="00C83436">
            <w:pPr>
              <w:pStyle w:val="BodyText"/>
              <w:spacing w:after="0"/>
              <w:jc w:val="center"/>
              <w:rPr>
                <w:b/>
                <w:sz w:val="20"/>
                <w:szCs w:val="20"/>
              </w:rPr>
            </w:pPr>
            <w:r w:rsidRPr="00D2007B">
              <w:rPr>
                <w:b/>
                <w:sz w:val="20"/>
                <w:szCs w:val="20"/>
              </w:rPr>
              <w:t>S. ___</w:t>
            </w:r>
          </w:p>
          <w:p w:rsidR="00C83436" w:rsidRPr="00D2007B" w:rsidRDefault="00C83436" w:rsidP="00C83436">
            <w:pPr>
              <w:pStyle w:val="BodyText"/>
              <w:spacing w:after="0"/>
              <w:jc w:val="center"/>
              <w:rPr>
                <w:b/>
                <w:sz w:val="20"/>
                <w:szCs w:val="20"/>
              </w:rPr>
            </w:pPr>
            <w:r w:rsidRPr="00D2007B">
              <w:rPr>
                <w:b/>
                <w:sz w:val="20"/>
                <w:szCs w:val="20"/>
              </w:rPr>
              <w:t>(Discussion Draft)</w:t>
            </w:r>
            <w:r w:rsidRPr="00D2007B">
              <w:rPr>
                <w:rStyle w:val="FootnoteReference"/>
                <w:b/>
                <w:sz w:val="20"/>
                <w:szCs w:val="20"/>
              </w:rPr>
              <w:footnoteReference w:id="3"/>
            </w:r>
          </w:p>
          <w:p w:rsidR="00C83436" w:rsidRPr="00D2007B" w:rsidRDefault="00C83436" w:rsidP="00C83436">
            <w:pPr>
              <w:pStyle w:val="BodyText"/>
              <w:spacing w:after="0"/>
              <w:jc w:val="center"/>
              <w:rPr>
                <w:b/>
                <w:sz w:val="20"/>
                <w:szCs w:val="20"/>
              </w:rPr>
            </w:pPr>
            <w:r w:rsidRPr="00D2007B">
              <w:rPr>
                <w:b/>
                <w:sz w:val="20"/>
                <w:szCs w:val="20"/>
              </w:rPr>
              <w:t>Sen. Van Hollen, et al.</w:t>
            </w:r>
            <w:r w:rsidRPr="00D2007B">
              <w:rPr>
                <w:rStyle w:val="FootnoteReference"/>
                <w:b/>
                <w:sz w:val="20"/>
                <w:szCs w:val="20"/>
              </w:rPr>
              <w:footnoteReference w:id="4"/>
            </w:r>
          </w:p>
          <w:p w:rsidR="00C83436" w:rsidRPr="00D2007B" w:rsidRDefault="00C83436" w:rsidP="00C83436">
            <w:pPr>
              <w:pStyle w:val="BodyText"/>
              <w:jc w:val="center"/>
              <w:rPr>
                <w:b/>
                <w:sz w:val="20"/>
                <w:szCs w:val="20"/>
              </w:rPr>
            </w:pPr>
            <w:r w:rsidRPr="00D2007B">
              <w:rPr>
                <w:b/>
                <w:sz w:val="20"/>
                <w:szCs w:val="20"/>
              </w:rPr>
              <w:t>March 29, 2021</w:t>
            </w:r>
          </w:p>
        </w:tc>
        <w:tc>
          <w:tcPr>
            <w:tcW w:w="2520" w:type="dxa"/>
          </w:tcPr>
          <w:p w:rsidR="00C83436" w:rsidRPr="00D2007B" w:rsidRDefault="00C83436" w:rsidP="00C83436">
            <w:pPr>
              <w:pStyle w:val="BodyText"/>
              <w:spacing w:after="0"/>
              <w:jc w:val="center"/>
              <w:rPr>
                <w:b/>
                <w:sz w:val="20"/>
                <w:szCs w:val="20"/>
              </w:rPr>
            </w:pPr>
            <w:r w:rsidRPr="00D2007B">
              <w:rPr>
                <w:b/>
                <w:sz w:val="20"/>
                <w:szCs w:val="20"/>
              </w:rPr>
              <w:t>For the 99.5% Act</w:t>
            </w:r>
          </w:p>
          <w:p w:rsidR="00C83436" w:rsidRPr="00D2007B" w:rsidRDefault="00C83436" w:rsidP="00C83436">
            <w:pPr>
              <w:pStyle w:val="BodyText"/>
              <w:spacing w:after="0"/>
              <w:jc w:val="center"/>
              <w:rPr>
                <w:b/>
                <w:sz w:val="20"/>
                <w:szCs w:val="20"/>
              </w:rPr>
            </w:pPr>
            <w:r w:rsidRPr="00D2007B">
              <w:rPr>
                <w:b/>
                <w:sz w:val="20"/>
                <w:szCs w:val="20"/>
              </w:rPr>
              <w:t>S. 994</w:t>
            </w:r>
          </w:p>
          <w:p w:rsidR="00C83436" w:rsidRPr="00D2007B" w:rsidRDefault="00C83436" w:rsidP="00C83436">
            <w:pPr>
              <w:pStyle w:val="BodyText"/>
              <w:spacing w:after="0"/>
              <w:jc w:val="center"/>
              <w:rPr>
                <w:b/>
                <w:sz w:val="20"/>
                <w:szCs w:val="20"/>
              </w:rPr>
            </w:pPr>
          </w:p>
          <w:p w:rsidR="00C83436" w:rsidRPr="00D2007B" w:rsidRDefault="00C83436" w:rsidP="00C83436">
            <w:pPr>
              <w:pStyle w:val="BodyText"/>
              <w:spacing w:after="0"/>
              <w:jc w:val="center"/>
              <w:rPr>
                <w:b/>
                <w:sz w:val="20"/>
                <w:szCs w:val="20"/>
              </w:rPr>
            </w:pPr>
            <w:r w:rsidRPr="00D2007B">
              <w:rPr>
                <w:b/>
                <w:sz w:val="20"/>
                <w:szCs w:val="20"/>
              </w:rPr>
              <w:t>Sen. Sanders, et al.</w:t>
            </w:r>
            <w:r w:rsidRPr="00D2007B">
              <w:rPr>
                <w:rStyle w:val="FootnoteReference"/>
                <w:b/>
                <w:sz w:val="20"/>
                <w:szCs w:val="20"/>
              </w:rPr>
              <w:footnoteReference w:id="5"/>
            </w:r>
          </w:p>
          <w:p w:rsidR="00C83436" w:rsidRPr="00D2007B" w:rsidRDefault="00C83436" w:rsidP="00C83436">
            <w:pPr>
              <w:pStyle w:val="BodyText"/>
              <w:spacing w:after="0"/>
              <w:jc w:val="center"/>
              <w:rPr>
                <w:b/>
                <w:sz w:val="20"/>
                <w:szCs w:val="20"/>
              </w:rPr>
            </w:pPr>
            <w:r w:rsidRPr="00D2007B">
              <w:rPr>
                <w:b/>
                <w:sz w:val="20"/>
                <w:szCs w:val="20"/>
              </w:rPr>
              <w:t>March 25, 2021</w:t>
            </w:r>
          </w:p>
        </w:tc>
        <w:tc>
          <w:tcPr>
            <w:tcW w:w="2340" w:type="dxa"/>
          </w:tcPr>
          <w:p w:rsidR="00C83436" w:rsidRPr="00D2007B" w:rsidRDefault="00C83436" w:rsidP="00C83436">
            <w:pPr>
              <w:pStyle w:val="BodyText"/>
              <w:spacing w:after="0"/>
              <w:jc w:val="center"/>
              <w:rPr>
                <w:b/>
                <w:sz w:val="20"/>
                <w:szCs w:val="20"/>
              </w:rPr>
            </w:pPr>
          </w:p>
          <w:p w:rsidR="00C83436" w:rsidRPr="00D2007B" w:rsidRDefault="00C83436" w:rsidP="00C83436">
            <w:pPr>
              <w:pStyle w:val="BodyText"/>
              <w:spacing w:after="0"/>
              <w:jc w:val="center"/>
              <w:rPr>
                <w:b/>
                <w:sz w:val="20"/>
                <w:szCs w:val="20"/>
              </w:rPr>
            </w:pPr>
            <w:r w:rsidRPr="00D2007B">
              <w:rPr>
                <w:b/>
                <w:sz w:val="20"/>
                <w:szCs w:val="20"/>
              </w:rPr>
              <w:t>H.R. 2286</w:t>
            </w:r>
          </w:p>
          <w:p w:rsidR="00C83436" w:rsidRPr="00D2007B" w:rsidRDefault="00C83436" w:rsidP="00C83436">
            <w:pPr>
              <w:pStyle w:val="BodyText"/>
              <w:spacing w:after="0"/>
              <w:jc w:val="center"/>
              <w:rPr>
                <w:b/>
                <w:sz w:val="20"/>
                <w:szCs w:val="20"/>
              </w:rPr>
            </w:pPr>
          </w:p>
          <w:p w:rsidR="00C83436" w:rsidRPr="00D2007B" w:rsidRDefault="00C83436" w:rsidP="00C83436">
            <w:pPr>
              <w:pStyle w:val="BodyText"/>
              <w:spacing w:after="0"/>
              <w:jc w:val="center"/>
              <w:rPr>
                <w:b/>
                <w:sz w:val="20"/>
                <w:szCs w:val="20"/>
              </w:rPr>
            </w:pPr>
            <w:r w:rsidRPr="00D2007B">
              <w:rPr>
                <w:b/>
                <w:sz w:val="20"/>
                <w:szCs w:val="20"/>
              </w:rPr>
              <w:t>Rep. Pascrell</w:t>
            </w:r>
          </w:p>
          <w:p w:rsidR="00C83436" w:rsidRPr="00D2007B" w:rsidRDefault="00C83436" w:rsidP="00C83436">
            <w:pPr>
              <w:pStyle w:val="BodyText"/>
              <w:spacing w:after="0"/>
              <w:jc w:val="center"/>
              <w:rPr>
                <w:b/>
                <w:sz w:val="20"/>
                <w:szCs w:val="20"/>
              </w:rPr>
            </w:pPr>
            <w:r w:rsidRPr="00D2007B">
              <w:rPr>
                <w:b/>
                <w:sz w:val="20"/>
                <w:szCs w:val="20"/>
              </w:rPr>
              <w:t>March 29, 2021</w:t>
            </w:r>
          </w:p>
          <w:p w:rsidR="00C83436" w:rsidRPr="00D2007B" w:rsidRDefault="00C83436" w:rsidP="00C83436">
            <w:pPr>
              <w:pStyle w:val="BodyText"/>
              <w:spacing w:after="0"/>
              <w:jc w:val="center"/>
              <w:rPr>
                <w:b/>
                <w:sz w:val="20"/>
                <w:szCs w:val="20"/>
              </w:rPr>
            </w:pPr>
          </w:p>
        </w:tc>
        <w:tc>
          <w:tcPr>
            <w:tcW w:w="2250" w:type="dxa"/>
          </w:tcPr>
          <w:p w:rsidR="00C83436" w:rsidRPr="00D2007B" w:rsidRDefault="00C83436" w:rsidP="00C83436">
            <w:pPr>
              <w:pStyle w:val="BodyText"/>
              <w:spacing w:after="0"/>
              <w:jc w:val="center"/>
              <w:rPr>
                <w:b/>
                <w:sz w:val="20"/>
                <w:szCs w:val="20"/>
              </w:rPr>
            </w:pPr>
            <w:r w:rsidRPr="00D2007B">
              <w:rPr>
                <w:b/>
                <w:sz w:val="20"/>
                <w:szCs w:val="20"/>
              </w:rPr>
              <w:t>American Families Plan</w:t>
            </w:r>
          </w:p>
          <w:p w:rsidR="00C83436" w:rsidRPr="00D2007B" w:rsidRDefault="00C83436" w:rsidP="00C83436">
            <w:pPr>
              <w:pStyle w:val="BodyText"/>
              <w:spacing w:after="0"/>
              <w:jc w:val="center"/>
              <w:rPr>
                <w:b/>
                <w:sz w:val="20"/>
                <w:szCs w:val="20"/>
              </w:rPr>
            </w:pPr>
          </w:p>
          <w:p w:rsidR="00C83436" w:rsidRPr="00D2007B" w:rsidRDefault="00C83436" w:rsidP="00C83436">
            <w:pPr>
              <w:pStyle w:val="BodyText"/>
              <w:spacing w:after="0"/>
              <w:jc w:val="center"/>
              <w:rPr>
                <w:b/>
                <w:sz w:val="20"/>
                <w:szCs w:val="20"/>
              </w:rPr>
            </w:pPr>
            <w:r w:rsidRPr="00D2007B">
              <w:rPr>
                <w:b/>
                <w:sz w:val="20"/>
                <w:szCs w:val="20"/>
              </w:rPr>
              <w:t>(Fact Sheet)</w:t>
            </w:r>
          </w:p>
          <w:p w:rsidR="00C83436" w:rsidRPr="00D2007B" w:rsidRDefault="00C83436" w:rsidP="00C83436">
            <w:pPr>
              <w:pStyle w:val="BodyText"/>
              <w:spacing w:after="0"/>
              <w:jc w:val="center"/>
              <w:rPr>
                <w:b/>
                <w:sz w:val="20"/>
                <w:szCs w:val="20"/>
              </w:rPr>
            </w:pPr>
            <w:r w:rsidRPr="00D2007B">
              <w:rPr>
                <w:b/>
                <w:sz w:val="20"/>
                <w:szCs w:val="20"/>
              </w:rPr>
              <w:t>President Biden</w:t>
            </w:r>
          </w:p>
          <w:p w:rsidR="00C83436" w:rsidRPr="00D2007B" w:rsidRDefault="00C83436" w:rsidP="00C83436">
            <w:pPr>
              <w:pStyle w:val="BodyText"/>
              <w:spacing w:after="0"/>
              <w:jc w:val="center"/>
              <w:rPr>
                <w:b/>
                <w:sz w:val="20"/>
                <w:szCs w:val="20"/>
              </w:rPr>
            </w:pPr>
            <w:r w:rsidRPr="00D2007B">
              <w:rPr>
                <w:b/>
                <w:sz w:val="20"/>
                <w:szCs w:val="20"/>
              </w:rPr>
              <w:t>April 28, 2021</w:t>
            </w:r>
          </w:p>
        </w:tc>
        <w:tc>
          <w:tcPr>
            <w:tcW w:w="2250" w:type="dxa"/>
          </w:tcPr>
          <w:p w:rsidR="00C83436" w:rsidRPr="00D2007B" w:rsidRDefault="00C83436" w:rsidP="00C83436">
            <w:pPr>
              <w:pStyle w:val="BodyText"/>
              <w:spacing w:after="0"/>
              <w:jc w:val="center"/>
              <w:rPr>
                <w:b/>
                <w:sz w:val="20"/>
                <w:szCs w:val="20"/>
              </w:rPr>
            </w:pPr>
            <w:r w:rsidRPr="00D2007B">
              <w:rPr>
                <w:b/>
                <w:sz w:val="20"/>
                <w:szCs w:val="20"/>
              </w:rPr>
              <w:t>“Greenbook”</w:t>
            </w:r>
            <w:r w:rsidRPr="00D2007B">
              <w:rPr>
                <w:rStyle w:val="FootnoteReference"/>
                <w:b/>
                <w:sz w:val="20"/>
                <w:szCs w:val="20"/>
              </w:rPr>
              <w:footnoteReference w:id="6"/>
            </w:r>
          </w:p>
          <w:p w:rsidR="00C83436" w:rsidRPr="00D2007B" w:rsidRDefault="00C83436" w:rsidP="00C83436">
            <w:pPr>
              <w:pStyle w:val="BodyText"/>
              <w:spacing w:after="0"/>
              <w:jc w:val="center"/>
              <w:rPr>
                <w:b/>
                <w:sz w:val="20"/>
                <w:szCs w:val="20"/>
              </w:rPr>
            </w:pPr>
          </w:p>
          <w:p w:rsidR="00C83436" w:rsidRPr="00D2007B" w:rsidRDefault="00C83436" w:rsidP="00C83436">
            <w:pPr>
              <w:pStyle w:val="BodyText"/>
              <w:spacing w:after="0"/>
              <w:jc w:val="center"/>
              <w:rPr>
                <w:b/>
                <w:sz w:val="20"/>
                <w:szCs w:val="20"/>
              </w:rPr>
            </w:pPr>
          </w:p>
          <w:p w:rsidR="00C83436" w:rsidRPr="00D2007B" w:rsidRDefault="00C83436" w:rsidP="00C83436">
            <w:pPr>
              <w:pStyle w:val="BodyText"/>
              <w:spacing w:after="0"/>
              <w:jc w:val="center"/>
              <w:rPr>
                <w:b/>
                <w:sz w:val="20"/>
                <w:szCs w:val="20"/>
              </w:rPr>
            </w:pPr>
            <w:r w:rsidRPr="00D2007B">
              <w:rPr>
                <w:b/>
                <w:sz w:val="20"/>
                <w:szCs w:val="20"/>
              </w:rPr>
              <w:t>Treasury Department</w:t>
            </w:r>
          </w:p>
          <w:p w:rsidR="00C83436" w:rsidRPr="00D2007B" w:rsidRDefault="00C83436" w:rsidP="00C83436">
            <w:pPr>
              <w:pStyle w:val="BodyText"/>
              <w:spacing w:after="0"/>
              <w:jc w:val="center"/>
              <w:rPr>
                <w:b/>
                <w:sz w:val="20"/>
                <w:szCs w:val="20"/>
              </w:rPr>
            </w:pPr>
            <w:r w:rsidRPr="00D2007B">
              <w:rPr>
                <w:b/>
                <w:sz w:val="20"/>
                <w:szCs w:val="20"/>
              </w:rPr>
              <w:t>May 28, 2021</w:t>
            </w:r>
          </w:p>
        </w:tc>
      </w:tr>
      <w:tr w:rsidR="00C83436" w:rsidRPr="00363600" w:rsidTr="00D2007B">
        <w:tc>
          <w:tcPr>
            <w:tcW w:w="1435" w:type="dxa"/>
          </w:tcPr>
          <w:p w:rsidR="00C83436" w:rsidRPr="00D2007B" w:rsidRDefault="00C83436" w:rsidP="00C83436">
            <w:pPr>
              <w:pStyle w:val="BodyText"/>
              <w:spacing w:after="0"/>
              <w:jc w:val="center"/>
              <w:rPr>
                <w:b/>
                <w:sz w:val="20"/>
                <w:szCs w:val="20"/>
              </w:rPr>
            </w:pPr>
            <w:r w:rsidRPr="00D2007B">
              <w:rPr>
                <w:b/>
                <w:sz w:val="20"/>
                <w:szCs w:val="20"/>
              </w:rPr>
              <w:t>Transfer Tax</w:t>
            </w:r>
          </w:p>
          <w:p w:rsidR="00C83436" w:rsidRPr="00D2007B" w:rsidRDefault="00C83436" w:rsidP="00C83436">
            <w:pPr>
              <w:pStyle w:val="BodyText"/>
              <w:spacing w:after="0"/>
              <w:jc w:val="center"/>
              <w:rPr>
                <w:sz w:val="20"/>
                <w:szCs w:val="20"/>
              </w:rPr>
            </w:pPr>
            <w:r w:rsidRPr="00D2007B">
              <w:rPr>
                <w:b/>
                <w:sz w:val="20"/>
                <w:szCs w:val="20"/>
              </w:rPr>
              <w:t>Rates</w:t>
            </w:r>
          </w:p>
        </w:tc>
        <w:tc>
          <w:tcPr>
            <w:tcW w:w="2520" w:type="dxa"/>
            <w:tcBorders>
              <w:top w:val="single" w:sz="4" w:space="0" w:color="auto"/>
            </w:tcBorders>
          </w:tcPr>
          <w:p w:rsidR="00C83436" w:rsidRPr="00D2007B" w:rsidRDefault="00C83436" w:rsidP="00C83436">
            <w:pPr>
              <w:pStyle w:val="BodyText"/>
              <w:spacing w:after="0"/>
              <w:jc w:val="left"/>
              <w:rPr>
                <w:sz w:val="20"/>
                <w:szCs w:val="20"/>
              </w:rPr>
            </w:pPr>
          </w:p>
        </w:tc>
        <w:tc>
          <w:tcPr>
            <w:tcW w:w="2520" w:type="dxa"/>
          </w:tcPr>
          <w:p w:rsidR="00C83436" w:rsidRPr="00D2007B" w:rsidRDefault="00C83436" w:rsidP="00C83436">
            <w:pPr>
              <w:pStyle w:val="BodyText"/>
              <w:spacing w:after="0"/>
              <w:jc w:val="left"/>
              <w:rPr>
                <w:sz w:val="20"/>
                <w:szCs w:val="20"/>
              </w:rPr>
            </w:pPr>
            <w:r w:rsidRPr="00D2007B">
              <w:rPr>
                <w:sz w:val="20"/>
                <w:szCs w:val="20"/>
              </w:rPr>
              <w:t>45% up to $10 million</w:t>
            </w:r>
          </w:p>
          <w:p w:rsidR="00C83436" w:rsidRPr="00D2007B" w:rsidRDefault="00C83436" w:rsidP="00C83436">
            <w:pPr>
              <w:pStyle w:val="BodyText"/>
              <w:spacing w:after="0"/>
              <w:jc w:val="left"/>
              <w:rPr>
                <w:sz w:val="20"/>
                <w:szCs w:val="20"/>
              </w:rPr>
            </w:pPr>
            <w:r w:rsidRPr="00D2007B">
              <w:rPr>
                <w:sz w:val="20"/>
                <w:szCs w:val="20"/>
              </w:rPr>
              <w:t>50% up to $50 million</w:t>
            </w:r>
          </w:p>
          <w:p w:rsidR="00C83436" w:rsidRPr="00D2007B" w:rsidRDefault="00C83436" w:rsidP="00C83436">
            <w:pPr>
              <w:pStyle w:val="BodyText"/>
              <w:spacing w:after="0"/>
              <w:jc w:val="left"/>
              <w:rPr>
                <w:sz w:val="20"/>
                <w:szCs w:val="20"/>
              </w:rPr>
            </w:pPr>
            <w:r w:rsidRPr="00D2007B">
              <w:rPr>
                <w:sz w:val="20"/>
                <w:szCs w:val="20"/>
              </w:rPr>
              <w:t>55% up to $1 billion</w:t>
            </w:r>
          </w:p>
          <w:p w:rsidR="00C83436" w:rsidRPr="00D2007B" w:rsidRDefault="00C83436" w:rsidP="00C83436">
            <w:pPr>
              <w:pStyle w:val="BodyText"/>
              <w:spacing w:after="0"/>
              <w:jc w:val="left"/>
              <w:rPr>
                <w:sz w:val="20"/>
                <w:szCs w:val="20"/>
              </w:rPr>
            </w:pPr>
            <w:r w:rsidRPr="00D2007B">
              <w:rPr>
                <w:sz w:val="20"/>
                <w:szCs w:val="20"/>
              </w:rPr>
              <w:t xml:space="preserve">65% at and over $1 billion </w:t>
            </w:r>
          </w:p>
        </w:tc>
        <w:tc>
          <w:tcPr>
            <w:tcW w:w="2340" w:type="dxa"/>
          </w:tcPr>
          <w:p w:rsidR="00C83436" w:rsidRPr="00D2007B" w:rsidRDefault="00C83436" w:rsidP="00C83436">
            <w:pPr>
              <w:pStyle w:val="BodyText"/>
              <w:spacing w:after="0"/>
              <w:jc w:val="left"/>
              <w:rPr>
                <w:sz w:val="20"/>
                <w:szCs w:val="20"/>
              </w:rPr>
            </w:pPr>
          </w:p>
        </w:tc>
        <w:tc>
          <w:tcPr>
            <w:tcW w:w="2250" w:type="dxa"/>
          </w:tcPr>
          <w:p w:rsidR="00C83436" w:rsidRPr="00D2007B" w:rsidRDefault="00C83436" w:rsidP="00C83436">
            <w:pPr>
              <w:pStyle w:val="BodyText"/>
              <w:spacing w:after="0"/>
              <w:jc w:val="left"/>
              <w:rPr>
                <w:sz w:val="20"/>
                <w:szCs w:val="20"/>
              </w:rPr>
            </w:pPr>
            <w:r w:rsidRPr="00D2007B">
              <w:rPr>
                <w:sz w:val="20"/>
                <w:szCs w:val="20"/>
              </w:rPr>
              <w:t xml:space="preserve">45% (informally floated  during campaign and </w:t>
            </w:r>
            <w:r w:rsidRPr="00D2007B">
              <w:rPr>
                <w:b/>
                <w:sz w:val="20"/>
                <w:szCs w:val="20"/>
                <w:u w:val="single"/>
              </w:rPr>
              <w:t>NOT</w:t>
            </w:r>
            <w:r w:rsidRPr="00D2007B">
              <w:rPr>
                <w:sz w:val="20"/>
                <w:szCs w:val="20"/>
              </w:rPr>
              <w:t xml:space="preserve"> part of American Families Plan)</w:t>
            </w:r>
          </w:p>
        </w:tc>
        <w:tc>
          <w:tcPr>
            <w:tcW w:w="2250" w:type="dxa"/>
          </w:tcPr>
          <w:p w:rsidR="00C83436" w:rsidRPr="00D2007B" w:rsidRDefault="00C83436" w:rsidP="00C83436">
            <w:pPr>
              <w:pStyle w:val="BodyText"/>
              <w:spacing w:after="0"/>
              <w:jc w:val="left"/>
              <w:rPr>
                <w:sz w:val="20"/>
                <w:szCs w:val="20"/>
              </w:rPr>
            </w:pPr>
          </w:p>
        </w:tc>
      </w:tr>
      <w:tr w:rsidR="00C83436" w:rsidRPr="00363600" w:rsidTr="00D2007B">
        <w:tc>
          <w:tcPr>
            <w:tcW w:w="1435" w:type="dxa"/>
          </w:tcPr>
          <w:p w:rsidR="00C83436" w:rsidRPr="00D2007B" w:rsidRDefault="00C83436" w:rsidP="00C83436">
            <w:pPr>
              <w:pStyle w:val="BodyText"/>
              <w:spacing w:after="0"/>
              <w:jc w:val="center"/>
              <w:rPr>
                <w:b/>
                <w:sz w:val="20"/>
                <w:szCs w:val="20"/>
              </w:rPr>
            </w:pPr>
            <w:r w:rsidRPr="00D2007B">
              <w:rPr>
                <w:b/>
                <w:sz w:val="20"/>
                <w:szCs w:val="20"/>
              </w:rPr>
              <w:t>Transfer Tax Exemptions</w:t>
            </w:r>
          </w:p>
        </w:tc>
        <w:tc>
          <w:tcPr>
            <w:tcW w:w="2520" w:type="dxa"/>
            <w:tcBorders>
              <w:top w:val="single" w:sz="4" w:space="0" w:color="auto"/>
            </w:tcBorders>
          </w:tcPr>
          <w:p w:rsidR="00C83436" w:rsidRPr="00D2007B" w:rsidRDefault="00C83436" w:rsidP="00C83436">
            <w:pPr>
              <w:pStyle w:val="BodyText"/>
              <w:spacing w:after="0"/>
              <w:jc w:val="left"/>
              <w:rPr>
                <w:sz w:val="20"/>
                <w:szCs w:val="20"/>
              </w:rPr>
            </w:pPr>
          </w:p>
        </w:tc>
        <w:tc>
          <w:tcPr>
            <w:tcW w:w="2520" w:type="dxa"/>
          </w:tcPr>
          <w:p w:rsidR="00C83436" w:rsidRPr="00D2007B" w:rsidRDefault="00C83436" w:rsidP="00C83436">
            <w:pPr>
              <w:pStyle w:val="BodyText"/>
              <w:spacing w:after="0"/>
              <w:jc w:val="left"/>
              <w:rPr>
                <w:sz w:val="20"/>
                <w:szCs w:val="20"/>
              </w:rPr>
            </w:pPr>
            <w:r w:rsidRPr="00D2007B">
              <w:rPr>
                <w:sz w:val="20"/>
                <w:szCs w:val="20"/>
              </w:rPr>
              <w:t>$3.5 million for estate tax and GST tax</w:t>
            </w:r>
          </w:p>
          <w:p w:rsidR="00C83436" w:rsidRPr="00D2007B" w:rsidRDefault="00C83436" w:rsidP="00C83436">
            <w:pPr>
              <w:pStyle w:val="BodyText"/>
              <w:spacing w:after="0"/>
              <w:jc w:val="left"/>
              <w:rPr>
                <w:sz w:val="20"/>
                <w:szCs w:val="20"/>
              </w:rPr>
            </w:pPr>
            <w:r w:rsidRPr="00D2007B">
              <w:rPr>
                <w:sz w:val="20"/>
                <w:szCs w:val="20"/>
              </w:rPr>
              <w:t>$1 million for gift tax</w:t>
            </w:r>
          </w:p>
        </w:tc>
        <w:tc>
          <w:tcPr>
            <w:tcW w:w="2340" w:type="dxa"/>
          </w:tcPr>
          <w:p w:rsidR="00C83436" w:rsidRPr="00D2007B" w:rsidRDefault="00C83436" w:rsidP="00C83436">
            <w:pPr>
              <w:pStyle w:val="BodyText"/>
              <w:spacing w:after="0"/>
              <w:jc w:val="left"/>
              <w:rPr>
                <w:sz w:val="20"/>
                <w:szCs w:val="20"/>
              </w:rPr>
            </w:pPr>
          </w:p>
        </w:tc>
        <w:tc>
          <w:tcPr>
            <w:tcW w:w="2250" w:type="dxa"/>
          </w:tcPr>
          <w:p w:rsidR="00C83436" w:rsidRPr="00D2007B" w:rsidRDefault="00C83436" w:rsidP="00C83436">
            <w:pPr>
              <w:pStyle w:val="BodyText"/>
              <w:spacing w:after="0"/>
              <w:jc w:val="left"/>
              <w:rPr>
                <w:sz w:val="20"/>
                <w:szCs w:val="20"/>
              </w:rPr>
            </w:pPr>
            <w:r w:rsidRPr="00D2007B">
              <w:rPr>
                <w:sz w:val="20"/>
                <w:szCs w:val="20"/>
              </w:rPr>
              <w:t xml:space="preserve">$3.5 million for estate tax (informally floated  during campaign and </w:t>
            </w:r>
            <w:r w:rsidRPr="00D2007B">
              <w:rPr>
                <w:b/>
                <w:sz w:val="20"/>
                <w:szCs w:val="20"/>
                <w:u w:val="single"/>
              </w:rPr>
              <w:t>NOT</w:t>
            </w:r>
            <w:r w:rsidRPr="00D2007B">
              <w:rPr>
                <w:sz w:val="20"/>
                <w:szCs w:val="20"/>
              </w:rPr>
              <w:t xml:space="preserve"> part of American Families Plan)</w:t>
            </w:r>
          </w:p>
        </w:tc>
        <w:tc>
          <w:tcPr>
            <w:tcW w:w="2250" w:type="dxa"/>
          </w:tcPr>
          <w:p w:rsidR="00C83436" w:rsidRPr="00D2007B" w:rsidRDefault="00C83436" w:rsidP="00C83436">
            <w:pPr>
              <w:pStyle w:val="BodyText"/>
              <w:spacing w:after="0"/>
              <w:jc w:val="left"/>
              <w:rPr>
                <w:sz w:val="20"/>
                <w:szCs w:val="20"/>
              </w:rPr>
            </w:pPr>
          </w:p>
        </w:tc>
      </w:tr>
      <w:tr w:rsidR="00C83436" w:rsidRPr="00363600" w:rsidTr="00D2007B">
        <w:tc>
          <w:tcPr>
            <w:tcW w:w="1435" w:type="dxa"/>
          </w:tcPr>
          <w:p w:rsidR="00C83436" w:rsidRPr="00D2007B" w:rsidRDefault="00C83436" w:rsidP="00C83436">
            <w:pPr>
              <w:pStyle w:val="BodyText"/>
              <w:spacing w:after="0"/>
              <w:jc w:val="center"/>
              <w:rPr>
                <w:b/>
                <w:sz w:val="20"/>
                <w:szCs w:val="20"/>
              </w:rPr>
            </w:pPr>
            <w:r w:rsidRPr="00D2007B">
              <w:rPr>
                <w:b/>
                <w:sz w:val="20"/>
                <w:szCs w:val="20"/>
              </w:rPr>
              <w:t>Income Tax Rates</w:t>
            </w:r>
          </w:p>
        </w:tc>
        <w:tc>
          <w:tcPr>
            <w:tcW w:w="2520" w:type="dxa"/>
          </w:tcPr>
          <w:p w:rsidR="00C83436" w:rsidRPr="00D2007B" w:rsidRDefault="00C83436" w:rsidP="00C83436">
            <w:pPr>
              <w:pStyle w:val="BodyText"/>
              <w:spacing w:after="0"/>
              <w:jc w:val="left"/>
              <w:rPr>
                <w:sz w:val="20"/>
                <w:szCs w:val="20"/>
              </w:rPr>
            </w:pPr>
          </w:p>
        </w:tc>
        <w:tc>
          <w:tcPr>
            <w:tcW w:w="2520" w:type="dxa"/>
          </w:tcPr>
          <w:p w:rsidR="00C83436" w:rsidRPr="00D2007B" w:rsidRDefault="00C83436" w:rsidP="00C83436">
            <w:pPr>
              <w:pStyle w:val="BodyText"/>
              <w:spacing w:after="0"/>
              <w:jc w:val="left"/>
              <w:rPr>
                <w:sz w:val="20"/>
                <w:szCs w:val="20"/>
              </w:rPr>
            </w:pPr>
          </w:p>
        </w:tc>
        <w:tc>
          <w:tcPr>
            <w:tcW w:w="2340" w:type="dxa"/>
          </w:tcPr>
          <w:p w:rsidR="00C83436" w:rsidRPr="00D2007B" w:rsidRDefault="00C83436" w:rsidP="00C83436">
            <w:pPr>
              <w:pStyle w:val="BodyText"/>
              <w:spacing w:after="0"/>
              <w:jc w:val="left"/>
              <w:rPr>
                <w:sz w:val="20"/>
                <w:szCs w:val="20"/>
              </w:rPr>
            </w:pPr>
          </w:p>
        </w:tc>
        <w:tc>
          <w:tcPr>
            <w:tcW w:w="2250" w:type="dxa"/>
          </w:tcPr>
          <w:p w:rsidR="00C83436" w:rsidRPr="00D2007B" w:rsidRDefault="00C83436" w:rsidP="00C83436">
            <w:pPr>
              <w:pStyle w:val="BodyText"/>
              <w:spacing w:after="0"/>
              <w:jc w:val="left"/>
              <w:rPr>
                <w:sz w:val="20"/>
                <w:szCs w:val="20"/>
              </w:rPr>
            </w:pPr>
            <w:r w:rsidRPr="00D2007B">
              <w:rPr>
                <w:sz w:val="20"/>
                <w:szCs w:val="20"/>
              </w:rPr>
              <w:t>39.6% ordinary income top rate;</w:t>
            </w:r>
          </w:p>
          <w:p w:rsidR="00C83436" w:rsidRPr="00D2007B" w:rsidRDefault="00C83436" w:rsidP="00C83436">
            <w:pPr>
              <w:pStyle w:val="BodyText"/>
              <w:spacing w:after="0"/>
              <w:jc w:val="left"/>
              <w:rPr>
                <w:sz w:val="20"/>
                <w:szCs w:val="20"/>
              </w:rPr>
            </w:pPr>
            <w:r w:rsidRPr="00D2007B">
              <w:rPr>
                <w:sz w:val="20"/>
                <w:szCs w:val="20"/>
              </w:rPr>
              <w:t>39.6% LTCG rate if household income $1 million or more</w:t>
            </w:r>
          </w:p>
        </w:tc>
        <w:tc>
          <w:tcPr>
            <w:tcW w:w="2250" w:type="dxa"/>
          </w:tcPr>
          <w:p w:rsidR="00C83436" w:rsidRPr="00D2007B" w:rsidRDefault="00C83436" w:rsidP="00C83436">
            <w:pPr>
              <w:pStyle w:val="BodyText"/>
              <w:spacing w:after="0"/>
              <w:jc w:val="left"/>
              <w:rPr>
                <w:sz w:val="20"/>
                <w:szCs w:val="20"/>
              </w:rPr>
            </w:pPr>
            <w:r w:rsidRPr="00D2007B">
              <w:rPr>
                <w:sz w:val="20"/>
                <w:szCs w:val="20"/>
              </w:rPr>
              <w:t>39.6% ordinary income top rate;</w:t>
            </w:r>
          </w:p>
          <w:p w:rsidR="00C83436" w:rsidRPr="00D2007B" w:rsidRDefault="00C83436" w:rsidP="00C83436">
            <w:pPr>
              <w:pStyle w:val="BodyText"/>
              <w:spacing w:after="0"/>
              <w:jc w:val="left"/>
              <w:rPr>
                <w:sz w:val="20"/>
                <w:szCs w:val="20"/>
              </w:rPr>
            </w:pPr>
            <w:r w:rsidRPr="00D2007B">
              <w:rPr>
                <w:sz w:val="20"/>
                <w:szCs w:val="20"/>
              </w:rPr>
              <w:t>39.6% LTCG and qualified dividends rate if household income $1 million or more</w:t>
            </w:r>
          </w:p>
        </w:tc>
      </w:tr>
      <w:tr w:rsidR="00C83436" w:rsidRPr="00363600" w:rsidTr="00D2007B">
        <w:tc>
          <w:tcPr>
            <w:tcW w:w="1435" w:type="dxa"/>
          </w:tcPr>
          <w:p w:rsidR="00C83436" w:rsidRPr="00D2007B" w:rsidRDefault="00C83436" w:rsidP="00C83436">
            <w:pPr>
              <w:pStyle w:val="BodyText"/>
              <w:spacing w:after="0"/>
              <w:jc w:val="center"/>
              <w:rPr>
                <w:b/>
                <w:sz w:val="20"/>
                <w:szCs w:val="20"/>
              </w:rPr>
            </w:pPr>
            <w:r w:rsidRPr="00D2007B">
              <w:rPr>
                <w:b/>
                <w:sz w:val="20"/>
                <w:szCs w:val="20"/>
              </w:rPr>
              <w:t>Valuation</w:t>
            </w:r>
          </w:p>
        </w:tc>
        <w:tc>
          <w:tcPr>
            <w:tcW w:w="2520" w:type="dxa"/>
          </w:tcPr>
          <w:p w:rsidR="00C83436" w:rsidRPr="00D2007B" w:rsidRDefault="00C83436" w:rsidP="00C83436">
            <w:pPr>
              <w:pStyle w:val="BodyText"/>
              <w:spacing w:after="0"/>
              <w:jc w:val="left"/>
              <w:rPr>
                <w:sz w:val="20"/>
                <w:szCs w:val="20"/>
              </w:rPr>
            </w:pPr>
          </w:p>
        </w:tc>
        <w:tc>
          <w:tcPr>
            <w:tcW w:w="2520" w:type="dxa"/>
          </w:tcPr>
          <w:p w:rsidR="00C83436" w:rsidRPr="00D2007B" w:rsidRDefault="00C83436" w:rsidP="00C83436">
            <w:pPr>
              <w:pStyle w:val="BodyText"/>
              <w:spacing w:after="0"/>
              <w:jc w:val="left"/>
              <w:rPr>
                <w:sz w:val="20"/>
                <w:szCs w:val="20"/>
              </w:rPr>
            </w:pPr>
            <w:r w:rsidRPr="00D2007B">
              <w:rPr>
                <w:sz w:val="20"/>
                <w:szCs w:val="20"/>
              </w:rPr>
              <w:t>No discounts for non-business assets inside entity; no entity-level discounts if transferor, transferee and family have control or majority ownership unless entity equity is actively traded</w:t>
            </w:r>
          </w:p>
        </w:tc>
        <w:tc>
          <w:tcPr>
            <w:tcW w:w="2340" w:type="dxa"/>
          </w:tcPr>
          <w:p w:rsidR="00C83436" w:rsidRPr="00D2007B" w:rsidRDefault="00C83436" w:rsidP="00C83436">
            <w:pPr>
              <w:pStyle w:val="BodyText"/>
              <w:spacing w:after="0"/>
              <w:jc w:val="left"/>
              <w:rPr>
                <w:sz w:val="20"/>
                <w:szCs w:val="20"/>
              </w:rPr>
            </w:pPr>
          </w:p>
        </w:tc>
        <w:tc>
          <w:tcPr>
            <w:tcW w:w="2250" w:type="dxa"/>
          </w:tcPr>
          <w:p w:rsidR="00C83436" w:rsidRPr="00D2007B" w:rsidRDefault="00C83436" w:rsidP="00C83436">
            <w:pPr>
              <w:pStyle w:val="BodyText"/>
              <w:spacing w:after="0"/>
              <w:jc w:val="left"/>
              <w:rPr>
                <w:sz w:val="20"/>
                <w:szCs w:val="20"/>
              </w:rPr>
            </w:pPr>
          </w:p>
        </w:tc>
        <w:tc>
          <w:tcPr>
            <w:tcW w:w="2250" w:type="dxa"/>
          </w:tcPr>
          <w:p w:rsidR="00C83436" w:rsidRPr="00D2007B" w:rsidRDefault="00C83436" w:rsidP="00C83436">
            <w:pPr>
              <w:pStyle w:val="BodyText"/>
              <w:spacing w:after="0"/>
              <w:jc w:val="left"/>
              <w:rPr>
                <w:sz w:val="20"/>
                <w:szCs w:val="20"/>
              </w:rPr>
            </w:pPr>
          </w:p>
        </w:tc>
      </w:tr>
      <w:tr w:rsidR="00D22AC5" w:rsidRPr="00363600" w:rsidTr="00D2007B">
        <w:trPr>
          <w:trHeight w:val="1942"/>
        </w:trPr>
        <w:tc>
          <w:tcPr>
            <w:tcW w:w="1435" w:type="dxa"/>
          </w:tcPr>
          <w:p w:rsidR="00D22AC5" w:rsidRPr="00363600" w:rsidRDefault="00D22AC5" w:rsidP="00D22AC5">
            <w:pPr>
              <w:pStyle w:val="BodyText"/>
              <w:spacing w:after="0"/>
              <w:jc w:val="center"/>
              <w:rPr>
                <w:b/>
                <w:sz w:val="20"/>
                <w:szCs w:val="20"/>
              </w:rPr>
            </w:pPr>
            <w:r w:rsidRPr="00363600">
              <w:rPr>
                <w:b/>
                <w:sz w:val="20"/>
                <w:szCs w:val="20"/>
              </w:rPr>
              <w:t>Basis Adjustment</w:t>
            </w:r>
          </w:p>
          <w:p w:rsidR="00D22AC5" w:rsidRPr="00363600" w:rsidRDefault="00D22AC5" w:rsidP="00D22AC5">
            <w:pPr>
              <w:pStyle w:val="BodyText"/>
              <w:spacing w:after="0"/>
              <w:jc w:val="center"/>
              <w:rPr>
                <w:b/>
                <w:sz w:val="20"/>
                <w:szCs w:val="20"/>
              </w:rPr>
            </w:pPr>
            <w:r w:rsidRPr="00363600">
              <w:rPr>
                <w:b/>
                <w:sz w:val="20"/>
                <w:szCs w:val="20"/>
              </w:rPr>
              <w:t>At Death</w:t>
            </w:r>
          </w:p>
        </w:tc>
        <w:tc>
          <w:tcPr>
            <w:tcW w:w="2520" w:type="dxa"/>
          </w:tcPr>
          <w:p w:rsidR="00D22AC5" w:rsidRPr="00363600" w:rsidRDefault="00D22AC5" w:rsidP="00D22AC5">
            <w:pPr>
              <w:pStyle w:val="BodyText"/>
              <w:spacing w:after="0"/>
              <w:jc w:val="left"/>
              <w:rPr>
                <w:sz w:val="20"/>
                <w:szCs w:val="20"/>
              </w:rPr>
            </w:pPr>
          </w:p>
        </w:tc>
        <w:tc>
          <w:tcPr>
            <w:tcW w:w="2520" w:type="dxa"/>
          </w:tcPr>
          <w:p w:rsidR="00D22AC5" w:rsidRPr="00363600" w:rsidRDefault="00D22AC5" w:rsidP="00D22AC5">
            <w:pPr>
              <w:pStyle w:val="BodyText"/>
              <w:spacing w:after="0"/>
              <w:jc w:val="left"/>
              <w:rPr>
                <w:sz w:val="20"/>
                <w:szCs w:val="20"/>
              </w:rPr>
            </w:pPr>
            <w:r w:rsidRPr="00363600">
              <w:rPr>
                <w:sz w:val="20"/>
                <w:szCs w:val="20"/>
              </w:rPr>
              <w:t>Not for assets held in decedent’s grantor trust</w:t>
            </w:r>
          </w:p>
          <w:p w:rsidR="00D22AC5" w:rsidRPr="00363600" w:rsidRDefault="00D22AC5" w:rsidP="00D22AC5">
            <w:pPr>
              <w:pStyle w:val="BodyText"/>
              <w:spacing w:after="0"/>
              <w:jc w:val="left"/>
              <w:rPr>
                <w:sz w:val="20"/>
                <w:szCs w:val="20"/>
              </w:rPr>
            </w:pPr>
            <w:r w:rsidRPr="00363600">
              <w:rPr>
                <w:sz w:val="20"/>
                <w:szCs w:val="20"/>
              </w:rPr>
              <w:t>that’s not included in decedent’s gross estate</w:t>
            </w:r>
          </w:p>
        </w:tc>
        <w:tc>
          <w:tcPr>
            <w:tcW w:w="2340" w:type="dxa"/>
          </w:tcPr>
          <w:p w:rsidR="00D22AC5" w:rsidRPr="00363600" w:rsidRDefault="00D22AC5" w:rsidP="00D22AC5">
            <w:pPr>
              <w:pStyle w:val="BodyText"/>
              <w:spacing w:after="0"/>
              <w:jc w:val="left"/>
              <w:rPr>
                <w:sz w:val="20"/>
                <w:szCs w:val="20"/>
              </w:rPr>
            </w:pPr>
          </w:p>
        </w:tc>
        <w:tc>
          <w:tcPr>
            <w:tcW w:w="2250" w:type="dxa"/>
          </w:tcPr>
          <w:p w:rsidR="00D22AC5" w:rsidRPr="00363600" w:rsidRDefault="00D22AC5" w:rsidP="00D22AC5">
            <w:pPr>
              <w:pStyle w:val="BodyText"/>
              <w:spacing w:after="0"/>
              <w:jc w:val="left"/>
              <w:rPr>
                <w:sz w:val="20"/>
                <w:szCs w:val="20"/>
              </w:rPr>
            </w:pPr>
            <w:r w:rsidRPr="00363600">
              <w:rPr>
                <w:sz w:val="20"/>
                <w:szCs w:val="20"/>
              </w:rPr>
              <w:t>Not for gains of over $1 million (single) or $2.5</w:t>
            </w:r>
          </w:p>
          <w:p w:rsidR="00D22AC5" w:rsidRPr="00363600" w:rsidRDefault="00D22AC5" w:rsidP="00D22AC5">
            <w:pPr>
              <w:pStyle w:val="BodyText"/>
              <w:spacing w:after="0"/>
              <w:jc w:val="left"/>
              <w:rPr>
                <w:sz w:val="20"/>
                <w:szCs w:val="20"/>
              </w:rPr>
            </w:pPr>
            <w:r w:rsidRPr="00363600">
              <w:rPr>
                <w:sz w:val="20"/>
                <w:szCs w:val="20"/>
              </w:rPr>
              <w:t>million (spouses); exemptions for family-owned businesses and farms if family continues to operate</w:t>
            </w:r>
          </w:p>
        </w:tc>
        <w:tc>
          <w:tcPr>
            <w:tcW w:w="2250" w:type="dxa"/>
          </w:tcPr>
          <w:p w:rsidR="00D22AC5" w:rsidRPr="00D22AC5" w:rsidRDefault="00D22AC5" w:rsidP="00D22AC5">
            <w:pPr>
              <w:pStyle w:val="BodyText"/>
              <w:spacing w:after="0"/>
              <w:jc w:val="left"/>
              <w:rPr>
                <w:sz w:val="20"/>
                <w:szCs w:val="20"/>
              </w:rPr>
            </w:pPr>
          </w:p>
        </w:tc>
      </w:tr>
      <w:tr w:rsidR="00D22AC5" w:rsidRPr="00363600" w:rsidTr="00D2007B">
        <w:tc>
          <w:tcPr>
            <w:tcW w:w="1435" w:type="dxa"/>
          </w:tcPr>
          <w:p w:rsidR="00D22AC5" w:rsidRPr="00363600" w:rsidRDefault="00D22AC5" w:rsidP="00D22AC5">
            <w:pPr>
              <w:pStyle w:val="BodyText"/>
              <w:spacing w:after="0"/>
              <w:jc w:val="center"/>
              <w:rPr>
                <w:b/>
                <w:sz w:val="20"/>
                <w:szCs w:val="20"/>
              </w:rPr>
            </w:pPr>
            <w:r w:rsidRPr="00363600">
              <w:rPr>
                <w:b/>
                <w:sz w:val="20"/>
                <w:szCs w:val="20"/>
              </w:rPr>
              <w:t>Deemed Sale Rules</w:t>
            </w:r>
          </w:p>
        </w:tc>
        <w:tc>
          <w:tcPr>
            <w:tcW w:w="2520" w:type="dxa"/>
          </w:tcPr>
          <w:p w:rsidR="00D22AC5" w:rsidRPr="00363600" w:rsidRDefault="00D22AC5" w:rsidP="00D22AC5">
            <w:pPr>
              <w:pStyle w:val="BodyText"/>
              <w:spacing w:after="0"/>
              <w:jc w:val="left"/>
              <w:rPr>
                <w:sz w:val="20"/>
                <w:szCs w:val="20"/>
              </w:rPr>
            </w:pPr>
            <w:r w:rsidRPr="00363600">
              <w:rPr>
                <w:sz w:val="20"/>
                <w:szCs w:val="20"/>
              </w:rPr>
              <w:t xml:space="preserve">Gifted assets deemed sold for FMV; assets held at death deemed sold for FMV (LTCG tax deductible for estate tax purposes); above rules don’t apply to “ordinary” TPP or to assets passing to spouse, QTIP trust, charity, trust for charity or grantor trust includable in gross estate; all assets held in trust (other than in an excepted trust) deemed sold for FMV every 21 years (or on 12/31/26 if trust created before 2006); assets in grantor trust deemed sold for FMV – </w:t>
            </w:r>
            <w:r w:rsidRPr="00363600">
              <w:rPr>
                <w:b/>
                <w:sz w:val="20"/>
                <w:szCs w:val="20"/>
                <w:u w:val="single"/>
              </w:rPr>
              <w:t>if</w:t>
            </w:r>
            <w:r w:rsidRPr="00363600">
              <w:rPr>
                <w:sz w:val="20"/>
                <w:szCs w:val="20"/>
              </w:rPr>
              <w:t>:</w:t>
            </w:r>
          </w:p>
          <w:p w:rsidR="00D22AC5" w:rsidRPr="00363600" w:rsidRDefault="00D22AC5" w:rsidP="00D22AC5">
            <w:pPr>
              <w:pStyle w:val="BodyText"/>
              <w:numPr>
                <w:ilvl w:val="0"/>
                <w:numId w:val="45"/>
              </w:numPr>
              <w:spacing w:after="0"/>
              <w:ind w:right="0"/>
              <w:jc w:val="left"/>
              <w:rPr>
                <w:sz w:val="20"/>
                <w:szCs w:val="20"/>
              </w:rPr>
            </w:pPr>
            <w:r w:rsidRPr="00363600">
              <w:rPr>
                <w:sz w:val="20"/>
                <w:szCs w:val="20"/>
              </w:rPr>
              <w:t>Assets are distributed;</w:t>
            </w:r>
          </w:p>
          <w:p w:rsidR="00D22AC5" w:rsidRPr="00363600" w:rsidRDefault="00D22AC5" w:rsidP="00D22AC5">
            <w:pPr>
              <w:pStyle w:val="BodyText"/>
              <w:numPr>
                <w:ilvl w:val="0"/>
                <w:numId w:val="45"/>
              </w:numPr>
              <w:spacing w:after="0"/>
              <w:ind w:right="0"/>
              <w:jc w:val="left"/>
              <w:rPr>
                <w:sz w:val="20"/>
                <w:szCs w:val="20"/>
              </w:rPr>
            </w:pPr>
            <w:r w:rsidRPr="00363600">
              <w:rPr>
                <w:sz w:val="20"/>
                <w:szCs w:val="20"/>
              </w:rPr>
              <w:t>Grantor trust status ceases; or</w:t>
            </w:r>
          </w:p>
          <w:p w:rsidR="00D22AC5" w:rsidRPr="00363600" w:rsidRDefault="00D22AC5" w:rsidP="00D22AC5">
            <w:pPr>
              <w:pStyle w:val="BodyText"/>
              <w:numPr>
                <w:ilvl w:val="0"/>
                <w:numId w:val="45"/>
              </w:numPr>
              <w:spacing w:after="0"/>
              <w:ind w:right="0"/>
              <w:jc w:val="left"/>
              <w:rPr>
                <w:sz w:val="20"/>
                <w:szCs w:val="20"/>
              </w:rPr>
            </w:pPr>
            <w:r w:rsidRPr="00363600">
              <w:rPr>
                <w:sz w:val="20"/>
                <w:szCs w:val="20"/>
              </w:rPr>
              <w:t>Includability in gross estate ceases</w:t>
            </w:r>
          </w:p>
          <w:p w:rsidR="00D22AC5" w:rsidRPr="00363600" w:rsidRDefault="00D22AC5" w:rsidP="00D22AC5">
            <w:pPr>
              <w:pStyle w:val="BodyText"/>
              <w:spacing w:after="0"/>
              <w:ind w:left="60"/>
              <w:jc w:val="left"/>
              <w:rPr>
                <w:sz w:val="20"/>
                <w:szCs w:val="20"/>
              </w:rPr>
            </w:pPr>
            <w:r w:rsidRPr="00363600">
              <w:rPr>
                <w:sz w:val="20"/>
                <w:szCs w:val="20"/>
              </w:rPr>
              <w:t>Appraisal costs income tax deductible; no underpayment of estimated tax penalties for tax arising from deemed sales at death; 6166-type deferral possible for up to 15 years; $100,000 indexed) lifetime exclusion of gain; $1 million (indexed) exclusion of gain at death (reduced by amount of lifetime exclusion used)</w:t>
            </w:r>
          </w:p>
        </w:tc>
        <w:tc>
          <w:tcPr>
            <w:tcW w:w="2520" w:type="dxa"/>
          </w:tcPr>
          <w:p w:rsidR="00D22AC5" w:rsidRPr="00363600" w:rsidRDefault="00D22AC5" w:rsidP="00D22AC5">
            <w:pPr>
              <w:pStyle w:val="BodyText"/>
              <w:spacing w:after="0"/>
              <w:jc w:val="left"/>
              <w:rPr>
                <w:sz w:val="20"/>
                <w:szCs w:val="20"/>
              </w:rPr>
            </w:pPr>
          </w:p>
        </w:tc>
        <w:tc>
          <w:tcPr>
            <w:tcW w:w="2340" w:type="dxa"/>
          </w:tcPr>
          <w:p w:rsidR="00D22AC5" w:rsidRPr="00363600" w:rsidRDefault="00D22AC5" w:rsidP="00D22AC5">
            <w:pPr>
              <w:pStyle w:val="BodyText"/>
              <w:spacing w:after="0"/>
              <w:jc w:val="left"/>
              <w:rPr>
                <w:sz w:val="20"/>
                <w:szCs w:val="20"/>
              </w:rPr>
            </w:pPr>
            <w:r w:rsidRPr="00363600">
              <w:rPr>
                <w:sz w:val="20"/>
                <w:szCs w:val="20"/>
              </w:rPr>
              <w:t xml:space="preserve">Gifted assets deemed sold for FMV; assets held at death deemed sold for FMV; above rules don’t apply to “ordinary” TPP or to assets passing to spouse, QDOT trust the entirety of which spouse can appoint, charity or grantor trust includable in gross estate; certain trust modifications and decantings would be deemed sales for FMV; assets held 30 years in trust (other than in an excepted trust) deemed sold for FMV every 30 years (or on 01/01/22 if then already held 30 years); assets in grantor trust deemed sold for FMV – </w:t>
            </w:r>
            <w:r w:rsidRPr="00363600">
              <w:rPr>
                <w:b/>
                <w:sz w:val="20"/>
                <w:szCs w:val="20"/>
                <w:u w:val="single"/>
              </w:rPr>
              <w:t>if</w:t>
            </w:r>
            <w:r w:rsidRPr="00363600">
              <w:rPr>
                <w:sz w:val="20"/>
                <w:szCs w:val="20"/>
              </w:rPr>
              <w:t>:</w:t>
            </w:r>
          </w:p>
          <w:p w:rsidR="00D22AC5" w:rsidRPr="00363600" w:rsidRDefault="00D22AC5" w:rsidP="00D22AC5">
            <w:pPr>
              <w:pStyle w:val="BodyText"/>
              <w:numPr>
                <w:ilvl w:val="0"/>
                <w:numId w:val="45"/>
              </w:numPr>
              <w:spacing w:after="0"/>
              <w:ind w:right="0"/>
              <w:jc w:val="left"/>
              <w:rPr>
                <w:sz w:val="20"/>
                <w:szCs w:val="20"/>
              </w:rPr>
            </w:pPr>
            <w:r w:rsidRPr="00363600">
              <w:rPr>
                <w:sz w:val="20"/>
                <w:szCs w:val="20"/>
              </w:rPr>
              <w:t>Assets are distributed;</w:t>
            </w:r>
          </w:p>
          <w:p w:rsidR="00D22AC5" w:rsidRPr="00363600" w:rsidRDefault="00D22AC5" w:rsidP="00D22AC5">
            <w:pPr>
              <w:pStyle w:val="BodyText"/>
              <w:numPr>
                <w:ilvl w:val="0"/>
                <w:numId w:val="45"/>
              </w:numPr>
              <w:spacing w:after="0"/>
              <w:ind w:right="0"/>
              <w:jc w:val="left"/>
              <w:rPr>
                <w:sz w:val="20"/>
                <w:szCs w:val="20"/>
              </w:rPr>
            </w:pPr>
            <w:r w:rsidRPr="00363600">
              <w:rPr>
                <w:sz w:val="20"/>
                <w:szCs w:val="20"/>
              </w:rPr>
              <w:t>Grantor trust status ceases; or</w:t>
            </w:r>
          </w:p>
          <w:p w:rsidR="00D22AC5" w:rsidRPr="00363600" w:rsidRDefault="00D22AC5" w:rsidP="00D22AC5">
            <w:pPr>
              <w:pStyle w:val="BodyText"/>
              <w:numPr>
                <w:ilvl w:val="0"/>
                <w:numId w:val="45"/>
              </w:numPr>
              <w:spacing w:after="0"/>
              <w:ind w:right="0"/>
              <w:jc w:val="left"/>
              <w:rPr>
                <w:sz w:val="20"/>
                <w:szCs w:val="20"/>
              </w:rPr>
            </w:pPr>
            <w:r w:rsidRPr="00363600">
              <w:rPr>
                <w:sz w:val="20"/>
                <w:szCs w:val="20"/>
              </w:rPr>
              <w:t>Includability in gross estate ceases</w:t>
            </w:r>
          </w:p>
          <w:p w:rsidR="00D22AC5" w:rsidRPr="00363600" w:rsidRDefault="00D22AC5" w:rsidP="00D22AC5">
            <w:pPr>
              <w:pStyle w:val="BodyText"/>
              <w:spacing w:after="0"/>
              <w:ind w:left="60"/>
              <w:jc w:val="left"/>
              <w:rPr>
                <w:sz w:val="20"/>
                <w:szCs w:val="20"/>
              </w:rPr>
            </w:pPr>
            <w:r w:rsidRPr="00363600">
              <w:rPr>
                <w:sz w:val="20"/>
                <w:szCs w:val="20"/>
              </w:rPr>
              <w:t>6166-type deferral possible for up to 7 years; $1 million (indexed after 2022) exclusion of net capital gain; annual exclusion gifts also excluded</w:t>
            </w:r>
          </w:p>
        </w:tc>
        <w:tc>
          <w:tcPr>
            <w:tcW w:w="2250" w:type="dxa"/>
          </w:tcPr>
          <w:p w:rsidR="00D22AC5" w:rsidRPr="00363600" w:rsidRDefault="00D22AC5" w:rsidP="00D22AC5">
            <w:pPr>
              <w:pStyle w:val="BodyText"/>
              <w:spacing w:after="0"/>
              <w:jc w:val="left"/>
              <w:rPr>
                <w:sz w:val="20"/>
                <w:szCs w:val="20"/>
              </w:rPr>
            </w:pPr>
          </w:p>
        </w:tc>
        <w:tc>
          <w:tcPr>
            <w:tcW w:w="2250" w:type="dxa"/>
          </w:tcPr>
          <w:p w:rsidR="00D22AC5" w:rsidRPr="00D22AC5" w:rsidRDefault="00D22AC5" w:rsidP="007C6243">
            <w:pPr>
              <w:pStyle w:val="BodyText"/>
              <w:spacing w:after="0"/>
              <w:jc w:val="left"/>
              <w:rPr>
                <w:sz w:val="20"/>
                <w:szCs w:val="20"/>
              </w:rPr>
            </w:pPr>
            <w:r w:rsidRPr="00D22AC5">
              <w:rPr>
                <w:sz w:val="20"/>
                <w:szCs w:val="20"/>
              </w:rPr>
              <w:t xml:space="preserve">Gifted assets deemed sold for FMV; assets held at death deemed sold for FMV (capital gains tax deductible for estate tax purposes); above rules don’t apply to “ordinary” TPP or to assets passing to surviving “U.S.” spouse or to charity (special rule for transfers to split-interest trusts); assets held in trust, partnership or non-corporate entity deemed sold for FMV every 90 years (or on 01/01/30 if then already held 90 years); appraisal costs income tax deductible; no underpayment of estimated tax penalties for tax arising from deemed sales at death; capital gains tax would not be due on family-owned and operated businesses; 6166-type deferral possible for up to 15 years (except for publicly traded securities, etc.); $1 million (indexed after 2022) aggregate exclusion of gain (portable to spouse) for transfers during life and at death; current basis rules would apply to those transfers; value of “partial interests” determined without discounts; transfers into or out of trusts (unless deemed wholly-owned and revocable by “donor”), partnerships or other non-corporate </w:t>
            </w:r>
            <w:r w:rsidR="000E21EC" w:rsidRPr="00D22AC5">
              <w:rPr>
                <w:sz w:val="20"/>
                <w:szCs w:val="20"/>
              </w:rPr>
              <w:t>entities</w:t>
            </w:r>
            <w:r w:rsidRPr="00D22AC5">
              <w:rPr>
                <w:sz w:val="20"/>
                <w:szCs w:val="20"/>
              </w:rPr>
              <w:t xml:space="preserve"> deemed sold for FMV</w:t>
            </w:r>
          </w:p>
        </w:tc>
      </w:tr>
      <w:tr w:rsidR="00D2007B" w:rsidRPr="00363600" w:rsidTr="00D2007B">
        <w:tc>
          <w:tcPr>
            <w:tcW w:w="1435" w:type="dxa"/>
          </w:tcPr>
          <w:p w:rsidR="00D2007B" w:rsidRPr="00363600" w:rsidRDefault="00D2007B" w:rsidP="00D22AC5">
            <w:pPr>
              <w:pStyle w:val="BodyText"/>
              <w:spacing w:after="0"/>
              <w:jc w:val="center"/>
              <w:rPr>
                <w:b/>
                <w:sz w:val="20"/>
                <w:szCs w:val="20"/>
              </w:rPr>
            </w:pPr>
            <w:r>
              <w:rPr>
                <w:b/>
                <w:sz w:val="20"/>
                <w:szCs w:val="20"/>
              </w:rPr>
              <w:t>GRATs</w:t>
            </w:r>
          </w:p>
        </w:tc>
        <w:tc>
          <w:tcPr>
            <w:tcW w:w="2520" w:type="dxa"/>
          </w:tcPr>
          <w:p w:rsidR="00D2007B" w:rsidRPr="00363600" w:rsidRDefault="00D2007B" w:rsidP="00D22AC5">
            <w:pPr>
              <w:pStyle w:val="BodyText"/>
              <w:spacing w:after="0"/>
              <w:rPr>
                <w:sz w:val="20"/>
                <w:szCs w:val="20"/>
              </w:rPr>
            </w:pPr>
          </w:p>
        </w:tc>
        <w:tc>
          <w:tcPr>
            <w:tcW w:w="2520" w:type="dxa"/>
          </w:tcPr>
          <w:p w:rsidR="00D2007B" w:rsidRPr="00363600" w:rsidRDefault="00D2007B" w:rsidP="00D2007B">
            <w:pPr>
              <w:pStyle w:val="BodyText"/>
              <w:spacing w:after="0"/>
              <w:jc w:val="left"/>
              <w:rPr>
                <w:sz w:val="20"/>
                <w:szCs w:val="20"/>
              </w:rPr>
            </w:pPr>
            <w:r w:rsidRPr="00363600">
              <w:rPr>
                <w:sz w:val="20"/>
                <w:szCs w:val="20"/>
              </w:rPr>
              <w:t>Minimum term 10 years; maximum term 10 years plus life expectancy; $500,000 or 25% minimum remainder interest at outset; no decrease in annuity payment amount during term</w:t>
            </w:r>
          </w:p>
        </w:tc>
        <w:tc>
          <w:tcPr>
            <w:tcW w:w="2340" w:type="dxa"/>
          </w:tcPr>
          <w:p w:rsidR="00D2007B" w:rsidRPr="00363600" w:rsidRDefault="00D2007B" w:rsidP="00D22AC5">
            <w:pPr>
              <w:pStyle w:val="BodyText"/>
              <w:spacing w:after="0"/>
              <w:rPr>
                <w:sz w:val="20"/>
                <w:szCs w:val="20"/>
              </w:rPr>
            </w:pPr>
          </w:p>
        </w:tc>
        <w:tc>
          <w:tcPr>
            <w:tcW w:w="2250" w:type="dxa"/>
          </w:tcPr>
          <w:p w:rsidR="00D2007B" w:rsidRPr="00363600" w:rsidRDefault="00D2007B" w:rsidP="00D22AC5">
            <w:pPr>
              <w:pStyle w:val="BodyText"/>
              <w:spacing w:after="0"/>
              <w:rPr>
                <w:sz w:val="20"/>
                <w:szCs w:val="20"/>
              </w:rPr>
            </w:pPr>
          </w:p>
        </w:tc>
        <w:tc>
          <w:tcPr>
            <w:tcW w:w="2250" w:type="dxa"/>
          </w:tcPr>
          <w:p w:rsidR="00D2007B" w:rsidRDefault="00D2007B" w:rsidP="00D22AC5">
            <w:pPr>
              <w:pStyle w:val="BodyText"/>
              <w:spacing w:after="0"/>
            </w:pPr>
          </w:p>
        </w:tc>
      </w:tr>
      <w:tr w:rsidR="00D22AC5" w:rsidRPr="00363600" w:rsidTr="00D2007B">
        <w:tc>
          <w:tcPr>
            <w:tcW w:w="1435" w:type="dxa"/>
          </w:tcPr>
          <w:p w:rsidR="00D22AC5" w:rsidRPr="00363600" w:rsidRDefault="00D22AC5" w:rsidP="00D22AC5">
            <w:pPr>
              <w:pStyle w:val="BodyText"/>
              <w:spacing w:after="0"/>
              <w:jc w:val="center"/>
              <w:rPr>
                <w:b/>
                <w:sz w:val="20"/>
                <w:szCs w:val="20"/>
              </w:rPr>
            </w:pPr>
            <w:r w:rsidRPr="00363600">
              <w:rPr>
                <w:b/>
                <w:sz w:val="20"/>
                <w:szCs w:val="20"/>
              </w:rPr>
              <w:t>Treatment of Grantor</w:t>
            </w:r>
          </w:p>
          <w:p w:rsidR="00D22AC5" w:rsidRPr="00363600" w:rsidRDefault="00D22AC5" w:rsidP="00D22AC5">
            <w:pPr>
              <w:pStyle w:val="BodyText"/>
              <w:spacing w:after="0"/>
              <w:jc w:val="center"/>
              <w:rPr>
                <w:b/>
                <w:sz w:val="20"/>
                <w:szCs w:val="20"/>
              </w:rPr>
            </w:pPr>
            <w:r w:rsidRPr="00363600">
              <w:rPr>
                <w:b/>
                <w:sz w:val="20"/>
                <w:szCs w:val="20"/>
              </w:rPr>
              <w:t>Trusts</w:t>
            </w:r>
          </w:p>
        </w:tc>
        <w:tc>
          <w:tcPr>
            <w:tcW w:w="2520" w:type="dxa"/>
          </w:tcPr>
          <w:p w:rsidR="00D22AC5" w:rsidRPr="00363600" w:rsidRDefault="00D22AC5" w:rsidP="00D22AC5">
            <w:pPr>
              <w:pStyle w:val="BodyText"/>
              <w:spacing w:after="0"/>
              <w:jc w:val="left"/>
              <w:rPr>
                <w:sz w:val="20"/>
                <w:szCs w:val="20"/>
              </w:rPr>
            </w:pPr>
          </w:p>
        </w:tc>
        <w:tc>
          <w:tcPr>
            <w:tcW w:w="2520" w:type="dxa"/>
          </w:tcPr>
          <w:p w:rsidR="00D22AC5" w:rsidRPr="00363600" w:rsidRDefault="00D22AC5" w:rsidP="00D22AC5">
            <w:pPr>
              <w:pStyle w:val="BodyText"/>
              <w:spacing w:after="0"/>
              <w:jc w:val="left"/>
              <w:rPr>
                <w:sz w:val="20"/>
                <w:szCs w:val="20"/>
              </w:rPr>
            </w:pPr>
            <w:r w:rsidRPr="00363600">
              <w:rPr>
                <w:sz w:val="20"/>
                <w:szCs w:val="20"/>
              </w:rPr>
              <w:t xml:space="preserve">Included in gross estate; distributions are gifts; cessation of grantor trust status is gift – </w:t>
            </w:r>
            <w:r w:rsidRPr="00363600">
              <w:rPr>
                <w:b/>
                <w:sz w:val="20"/>
                <w:szCs w:val="20"/>
                <w:u w:val="single"/>
              </w:rPr>
              <w:t>if</w:t>
            </w:r>
            <w:r w:rsidRPr="00363600">
              <w:rPr>
                <w:sz w:val="20"/>
                <w:szCs w:val="20"/>
              </w:rPr>
              <w:t>:</w:t>
            </w:r>
          </w:p>
          <w:p w:rsidR="00D22AC5" w:rsidRPr="00363600" w:rsidRDefault="00D22AC5" w:rsidP="00D22AC5">
            <w:pPr>
              <w:pStyle w:val="BodyText"/>
              <w:numPr>
                <w:ilvl w:val="0"/>
                <w:numId w:val="42"/>
              </w:numPr>
              <w:spacing w:after="0"/>
              <w:ind w:right="0"/>
              <w:jc w:val="left"/>
              <w:rPr>
                <w:sz w:val="20"/>
                <w:szCs w:val="20"/>
              </w:rPr>
            </w:pPr>
            <w:r w:rsidRPr="00363600">
              <w:rPr>
                <w:sz w:val="20"/>
                <w:szCs w:val="20"/>
              </w:rPr>
              <w:t>Grantor is deemed owner; or</w:t>
            </w:r>
          </w:p>
          <w:p w:rsidR="00D22AC5" w:rsidRPr="00363600" w:rsidRDefault="00D22AC5" w:rsidP="00D22AC5">
            <w:pPr>
              <w:pStyle w:val="BodyText"/>
              <w:numPr>
                <w:ilvl w:val="0"/>
                <w:numId w:val="42"/>
              </w:numPr>
              <w:spacing w:after="0"/>
              <w:ind w:right="0"/>
              <w:jc w:val="left"/>
              <w:rPr>
                <w:sz w:val="20"/>
                <w:szCs w:val="20"/>
              </w:rPr>
            </w:pPr>
            <w:r w:rsidRPr="00363600">
              <w:rPr>
                <w:sz w:val="20"/>
                <w:szCs w:val="20"/>
              </w:rPr>
              <w:t>Non-grantor is deemed owner and engages in sale or exchange with trust</w:t>
            </w:r>
          </w:p>
        </w:tc>
        <w:tc>
          <w:tcPr>
            <w:tcW w:w="2340" w:type="dxa"/>
          </w:tcPr>
          <w:p w:rsidR="00D22AC5" w:rsidRPr="00363600" w:rsidRDefault="00D22AC5" w:rsidP="00D22AC5">
            <w:pPr>
              <w:pStyle w:val="BodyText"/>
              <w:spacing w:after="0"/>
              <w:jc w:val="left"/>
              <w:rPr>
                <w:sz w:val="20"/>
                <w:szCs w:val="20"/>
              </w:rPr>
            </w:pPr>
          </w:p>
        </w:tc>
        <w:tc>
          <w:tcPr>
            <w:tcW w:w="2250" w:type="dxa"/>
          </w:tcPr>
          <w:p w:rsidR="00D22AC5" w:rsidRPr="00363600" w:rsidRDefault="00D22AC5" w:rsidP="00D22AC5">
            <w:pPr>
              <w:pStyle w:val="BodyText"/>
              <w:spacing w:after="0"/>
              <w:jc w:val="left"/>
              <w:rPr>
                <w:sz w:val="20"/>
                <w:szCs w:val="20"/>
              </w:rPr>
            </w:pPr>
          </w:p>
        </w:tc>
        <w:tc>
          <w:tcPr>
            <w:tcW w:w="2250" w:type="dxa"/>
          </w:tcPr>
          <w:p w:rsidR="00D22AC5" w:rsidRDefault="00D22AC5" w:rsidP="00D22AC5">
            <w:pPr>
              <w:pStyle w:val="BodyText"/>
              <w:spacing w:after="0"/>
              <w:jc w:val="left"/>
            </w:pPr>
          </w:p>
        </w:tc>
      </w:tr>
      <w:tr w:rsidR="00D22AC5" w:rsidRPr="00363600" w:rsidTr="00D2007B">
        <w:tc>
          <w:tcPr>
            <w:tcW w:w="1435" w:type="dxa"/>
          </w:tcPr>
          <w:p w:rsidR="00D22AC5" w:rsidRPr="00363600" w:rsidRDefault="00D22AC5" w:rsidP="00D22AC5">
            <w:pPr>
              <w:pStyle w:val="BodyText"/>
              <w:spacing w:after="0"/>
              <w:jc w:val="center"/>
              <w:rPr>
                <w:b/>
                <w:sz w:val="20"/>
                <w:szCs w:val="20"/>
              </w:rPr>
            </w:pPr>
            <w:r w:rsidRPr="00363600">
              <w:rPr>
                <w:b/>
                <w:sz w:val="20"/>
                <w:szCs w:val="20"/>
              </w:rPr>
              <w:t>GST Exemption</w:t>
            </w:r>
          </w:p>
        </w:tc>
        <w:tc>
          <w:tcPr>
            <w:tcW w:w="2520" w:type="dxa"/>
          </w:tcPr>
          <w:p w:rsidR="00D22AC5" w:rsidRPr="00363600" w:rsidRDefault="00D22AC5" w:rsidP="00D22AC5">
            <w:pPr>
              <w:pStyle w:val="BodyText"/>
              <w:spacing w:after="0"/>
              <w:jc w:val="left"/>
              <w:rPr>
                <w:sz w:val="20"/>
                <w:szCs w:val="20"/>
              </w:rPr>
            </w:pPr>
          </w:p>
        </w:tc>
        <w:tc>
          <w:tcPr>
            <w:tcW w:w="2520" w:type="dxa"/>
          </w:tcPr>
          <w:p w:rsidR="00D22AC5" w:rsidRPr="00363600" w:rsidRDefault="00D22AC5" w:rsidP="00D22AC5">
            <w:pPr>
              <w:pStyle w:val="BodyText"/>
              <w:spacing w:after="0"/>
              <w:jc w:val="left"/>
              <w:rPr>
                <w:sz w:val="20"/>
                <w:szCs w:val="20"/>
              </w:rPr>
            </w:pPr>
            <w:r w:rsidRPr="00363600">
              <w:rPr>
                <w:sz w:val="20"/>
                <w:szCs w:val="20"/>
              </w:rPr>
              <w:t>Allocation to trust lasts for 50 years from date of trust creation or date of statute’s enactment</w:t>
            </w:r>
          </w:p>
        </w:tc>
        <w:tc>
          <w:tcPr>
            <w:tcW w:w="2340" w:type="dxa"/>
          </w:tcPr>
          <w:p w:rsidR="00D22AC5" w:rsidRPr="00363600" w:rsidRDefault="00D22AC5" w:rsidP="00D22AC5">
            <w:pPr>
              <w:pStyle w:val="BodyText"/>
              <w:spacing w:after="0"/>
              <w:jc w:val="left"/>
              <w:rPr>
                <w:sz w:val="20"/>
                <w:szCs w:val="20"/>
              </w:rPr>
            </w:pPr>
          </w:p>
        </w:tc>
        <w:tc>
          <w:tcPr>
            <w:tcW w:w="2250" w:type="dxa"/>
          </w:tcPr>
          <w:p w:rsidR="00D22AC5" w:rsidRPr="00363600" w:rsidRDefault="00D22AC5" w:rsidP="00D22AC5">
            <w:pPr>
              <w:pStyle w:val="BodyText"/>
              <w:spacing w:after="0"/>
              <w:jc w:val="left"/>
              <w:rPr>
                <w:sz w:val="20"/>
                <w:szCs w:val="20"/>
              </w:rPr>
            </w:pPr>
          </w:p>
        </w:tc>
        <w:tc>
          <w:tcPr>
            <w:tcW w:w="2250" w:type="dxa"/>
          </w:tcPr>
          <w:p w:rsidR="00D22AC5" w:rsidRDefault="00D22AC5" w:rsidP="00D22AC5">
            <w:pPr>
              <w:pStyle w:val="BodyText"/>
              <w:spacing w:after="0"/>
              <w:jc w:val="left"/>
            </w:pPr>
          </w:p>
        </w:tc>
      </w:tr>
      <w:tr w:rsidR="00D22AC5" w:rsidRPr="00363600" w:rsidTr="00D2007B">
        <w:tc>
          <w:tcPr>
            <w:tcW w:w="1435" w:type="dxa"/>
          </w:tcPr>
          <w:p w:rsidR="00D22AC5" w:rsidRPr="00363600" w:rsidRDefault="00D22AC5" w:rsidP="00D22AC5">
            <w:pPr>
              <w:pStyle w:val="BodyText"/>
              <w:spacing w:after="0"/>
              <w:jc w:val="center"/>
              <w:rPr>
                <w:b/>
                <w:sz w:val="20"/>
                <w:szCs w:val="20"/>
              </w:rPr>
            </w:pPr>
            <w:r w:rsidRPr="00363600">
              <w:rPr>
                <w:b/>
                <w:sz w:val="20"/>
                <w:szCs w:val="20"/>
              </w:rPr>
              <w:t>Annual Exclusion</w:t>
            </w:r>
          </w:p>
          <w:p w:rsidR="00D22AC5" w:rsidRPr="00363600" w:rsidRDefault="00D22AC5" w:rsidP="00D22AC5">
            <w:pPr>
              <w:pStyle w:val="BodyText"/>
              <w:spacing w:after="0"/>
              <w:jc w:val="center"/>
              <w:rPr>
                <w:b/>
                <w:sz w:val="20"/>
                <w:szCs w:val="20"/>
              </w:rPr>
            </w:pPr>
            <w:r w:rsidRPr="00363600">
              <w:rPr>
                <w:b/>
                <w:sz w:val="20"/>
                <w:szCs w:val="20"/>
              </w:rPr>
              <w:t>Gifts</w:t>
            </w:r>
          </w:p>
        </w:tc>
        <w:tc>
          <w:tcPr>
            <w:tcW w:w="2520" w:type="dxa"/>
          </w:tcPr>
          <w:p w:rsidR="00D22AC5" w:rsidRPr="00363600" w:rsidRDefault="00D22AC5" w:rsidP="00D22AC5">
            <w:pPr>
              <w:pStyle w:val="BodyText"/>
              <w:spacing w:after="0"/>
              <w:jc w:val="left"/>
              <w:rPr>
                <w:sz w:val="20"/>
                <w:szCs w:val="20"/>
              </w:rPr>
            </w:pPr>
          </w:p>
        </w:tc>
        <w:tc>
          <w:tcPr>
            <w:tcW w:w="2520" w:type="dxa"/>
          </w:tcPr>
          <w:p w:rsidR="00D22AC5" w:rsidRPr="00363600" w:rsidRDefault="00D22AC5" w:rsidP="00D22AC5">
            <w:pPr>
              <w:pStyle w:val="BodyText"/>
              <w:spacing w:after="0"/>
              <w:jc w:val="left"/>
              <w:rPr>
                <w:sz w:val="20"/>
                <w:szCs w:val="20"/>
              </w:rPr>
            </w:pPr>
            <w:r w:rsidRPr="00363600">
              <w:rPr>
                <w:b/>
                <w:sz w:val="20"/>
                <w:szCs w:val="20"/>
                <w:u w:val="single"/>
              </w:rPr>
              <w:t>Per donor</w:t>
            </w:r>
            <w:r w:rsidRPr="00363600">
              <w:rPr>
                <w:sz w:val="20"/>
                <w:szCs w:val="20"/>
              </w:rPr>
              <w:t xml:space="preserve"> limit of double annual exclusion amount – </w:t>
            </w:r>
            <w:r w:rsidRPr="00363600">
              <w:rPr>
                <w:b/>
                <w:sz w:val="20"/>
                <w:szCs w:val="20"/>
                <w:u w:val="single"/>
              </w:rPr>
              <w:t>if</w:t>
            </w:r>
            <w:r w:rsidRPr="00363600">
              <w:rPr>
                <w:sz w:val="20"/>
                <w:szCs w:val="20"/>
              </w:rPr>
              <w:t>:</w:t>
            </w:r>
          </w:p>
          <w:p w:rsidR="00D22AC5" w:rsidRPr="00363600" w:rsidRDefault="00D22AC5" w:rsidP="00D22AC5">
            <w:pPr>
              <w:pStyle w:val="BodyText"/>
              <w:numPr>
                <w:ilvl w:val="0"/>
                <w:numId w:val="43"/>
              </w:numPr>
              <w:spacing w:after="0"/>
              <w:ind w:right="0"/>
              <w:jc w:val="left"/>
              <w:rPr>
                <w:sz w:val="20"/>
                <w:szCs w:val="20"/>
              </w:rPr>
            </w:pPr>
            <w:r w:rsidRPr="00363600">
              <w:rPr>
                <w:sz w:val="20"/>
                <w:szCs w:val="20"/>
              </w:rPr>
              <w:t>Gift in trust;</w:t>
            </w:r>
          </w:p>
          <w:p w:rsidR="00D22AC5" w:rsidRPr="00363600" w:rsidRDefault="00D22AC5" w:rsidP="00D22AC5">
            <w:pPr>
              <w:pStyle w:val="BodyText"/>
              <w:numPr>
                <w:ilvl w:val="0"/>
                <w:numId w:val="43"/>
              </w:numPr>
              <w:spacing w:after="0"/>
              <w:ind w:right="0"/>
              <w:jc w:val="left"/>
              <w:rPr>
                <w:sz w:val="20"/>
                <w:szCs w:val="20"/>
              </w:rPr>
            </w:pPr>
            <w:r w:rsidRPr="00363600">
              <w:rPr>
                <w:sz w:val="20"/>
                <w:szCs w:val="20"/>
              </w:rPr>
              <w:t>Gift of pass-through entity interest; or</w:t>
            </w:r>
          </w:p>
          <w:p w:rsidR="00D22AC5" w:rsidRPr="00363600" w:rsidRDefault="00D22AC5" w:rsidP="00D22AC5">
            <w:pPr>
              <w:pStyle w:val="BodyText"/>
              <w:numPr>
                <w:ilvl w:val="0"/>
                <w:numId w:val="43"/>
              </w:numPr>
              <w:spacing w:after="0"/>
              <w:ind w:right="0"/>
              <w:jc w:val="left"/>
              <w:rPr>
                <w:sz w:val="20"/>
                <w:szCs w:val="20"/>
              </w:rPr>
            </w:pPr>
            <w:r w:rsidRPr="00363600">
              <w:rPr>
                <w:sz w:val="20"/>
                <w:szCs w:val="20"/>
              </w:rPr>
              <w:t>Gifted asset can’t be sold or liquidated immediately</w:t>
            </w:r>
          </w:p>
        </w:tc>
        <w:tc>
          <w:tcPr>
            <w:tcW w:w="2340" w:type="dxa"/>
          </w:tcPr>
          <w:p w:rsidR="00D22AC5" w:rsidRPr="00363600" w:rsidRDefault="00D22AC5" w:rsidP="00D22AC5">
            <w:pPr>
              <w:pStyle w:val="BodyText"/>
              <w:spacing w:after="0"/>
              <w:jc w:val="left"/>
              <w:rPr>
                <w:sz w:val="20"/>
                <w:szCs w:val="20"/>
              </w:rPr>
            </w:pPr>
          </w:p>
        </w:tc>
        <w:tc>
          <w:tcPr>
            <w:tcW w:w="2250" w:type="dxa"/>
          </w:tcPr>
          <w:p w:rsidR="00D22AC5" w:rsidRPr="00363600" w:rsidRDefault="00D22AC5" w:rsidP="00D22AC5">
            <w:pPr>
              <w:pStyle w:val="BodyText"/>
              <w:spacing w:after="0"/>
              <w:jc w:val="left"/>
              <w:rPr>
                <w:sz w:val="20"/>
                <w:szCs w:val="20"/>
              </w:rPr>
            </w:pPr>
          </w:p>
        </w:tc>
        <w:tc>
          <w:tcPr>
            <w:tcW w:w="2250" w:type="dxa"/>
          </w:tcPr>
          <w:p w:rsidR="00D22AC5" w:rsidRPr="00E07049" w:rsidRDefault="00D22AC5" w:rsidP="00D22AC5">
            <w:pPr>
              <w:pStyle w:val="BodyText"/>
              <w:spacing w:after="0"/>
              <w:jc w:val="center"/>
              <w:rPr>
                <w:b/>
              </w:rPr>
            </w:pPr>
          </w:p>
        </w:tc>
      </w:tr>
      <w:tr w:rsidR="00D22AC5" w:rsidRPr="00363600" w:rsidTr="00D2007B">
        <w:tc>
          <w:tcPr>
            <w:tcW w:w="1435" w:type="dxa"/>
          </w:tcPr>
          <w:p w:rsidR="00D22AC5" w:rsidRPr="00363600" w:rsidRDefault="00D22AC5" w:rsidP="00D22AC5">
            <w:pPr>
              <w:pStyle w:val="BodyText"/>
              <w:spacing w:after="0"/>
              <w:jc w:val="center"/>
              <w:rPr>
                <w:b/>
                <w:sz w:val="20"/>
                <w:szCs w:val="20"/>
              </w:rPr>
            </w:pPr>
            <w:r w:rsidRPr="00363600">
              <w:rPr>
                <w:b/>
                <w:sz w:val="20"/>
                <w:szCs w:val="20"/>
              </w:rPr>
              <w:t>Reporting to IRS</w:t>
            </w:r>
          </w:p>
        </w:tc>
        <w:tc>
          <w:tcPr>
            <w:tcW w:w="2520" w:type="dxa"/>
          </w:tcPr>
          <w:p w:rsidR="00D22AC5" w:rsidRPr="00363600" w:rsidRDefault="00D22AC5" w:rsidP="00D22AC5">
            <w:pPr>
              <w:pStyle w:val="BodyText"/>
              <w:spacing w:after="0"/>
              <w:jc w:val="left"/>
              <w:rPr>
                <w:sz w:val="20"/>
                <w:szCs w:val="20"/>
              </w:rPr>
            </w:pPr>
            <w:r w:rsidRPr="00363600">
              <w:rPr>
                <w:sz w:val="20"/>
                <w:szCs w:val="20"/>
              </w:rPr>
              <w:t xml:space="preserve">Annual full accounting; names, addresses and EINs of grantor, Trustee and all beneficiaries – </w:t>
            </w:r>
            <w:r w:rsidRPr="00363600">
              <w:rPr>
                <w:b/>
                <w:sz w:val="20"/>
                <w:szCs w:val="20"/>
                <w:u w:val="single"/>
              </w:rPr>
              <w:t>if</w:t>
            </w:r>
            <w:r w:rsidRPr="00363600">
              <w:rPr>
                <w:sz w:val="20"/>
                <w:szCs w:val="20"/>
              </w:rPr>
              <w:t xml:space="preserve"> trust:</w:t>
            </w:r>
          </w:p>
          <w:p w:rsidR="00D22AC5" w:rsidRPr="00363600" w:rsidRDefault="00D22AC5" w:rsidP="00D22AC5">
            <w:pPr>
              <w:pStyle w:val="BodyText"/>
              <w:numPr>
                <w:ilvl w:val="0"/>
                <w:numId w:val="44"/>
              </w:numPr>
              <w:spacing w:after="0"/>
              <w:ind w:right="0"/>
              <w:jc w:val="left"/>
              <w:rPr>
                <w:sz w:val="20"/>
                <w:szCs w:val="20"/>
              </w:rPr>
            </w:pPr>
            <w:r w:rsidRPr="00363600">
              <w:rPr>
                <w:sz w:val="20"/>
                <w:szCs w:val="20"/>
              </w:rPr>
              <w:t xml:space="preserve">Is over $1 million; </w:t>
            </w:r>
            <w:r w:rsidRPr="00363600">
              <w:rPr>
                <w:b/>
                <w:sz w:val="20"/>
                <w:szCs w:val="20"/>
                <w:u w:val="single"/>
              </w:rPr>
              <w:t>or</w:t>
            </w:r>
          </w:p>
          <w:p w:rsidR="00D22AC5" w:rsidRPr="00363600" w:rsidRDefault="00D22AC5" w:rsidP="00D22AC5">
            <w:pPr>
              <w:pStyle w:val="BodyText"/>
              <w:numPr>
                <w:ilvl w:val="0"/>
                <w:numId w:val="44"/>
              </w:numPr>
              <w:spacing w:after="0"/>
              <w:ind w:right="0"/>
              <w:jc w:val="left"/>
              <w:rPr>
                <w:sz w:val="20"/>
                <w:szCs w:val="20"/>
              </w:rPr>
            </w:pPr>
            <w:r w:rsidRPr="00363600">
              <w:rPr>
                <w:sz w:val="20"/>
                <w:szCs w:val="20"/>
              </w:rPr>
              <w:t>Has over $20,000 in gross income</w:t>
            </w:r>
          </w:p>
        </w:tc>
        <w:tc>
          <w:tcPr>
            <w:tcW w:w="2520" w:type="dxa"/>
          </w:tcPr>
          <w:p w:rsidR="00D22AC5" w:rsidRPr="00363600" w:rsidRDefault="00D22AC5" w:rsidP="00D22AC5">
            <w:pPr>
              <w:pStyle w:val="BodyText"/>
              <w:spacing w:after="0"/>
              <w:jc w:val="left"/>
              <w:rPr>
                <w:sz w:val="20"/>
                <w:szCs w:val="20"/>
              </w:rPr>
            </w:pPr>
          </w:p>
        </w:tc>
        <w:tc>
          <w:tcPr>
            <w:tcW w:w="2340" w:type="dxa"/>
          </w:tcPr>
          <w:p w:rsidR="00D22AC5" w:rsidRPr="00363600" w:rsidRDefault="00D22AC5" w:rsidP="00D22AC5">
            <w:pPr>
              <w:pStyle w:val="BodyText"/>
              <w:spacing w:after="0"/>
              <w:jc w:val="left"/>
              <w:rPr>
                <w:sz w:val="20"/>
                <w:szCs w:val="20"/>
              </w:rPr>
            </w:pPr>
            <w:r w:rsidRPr="00363600">
              <w:rPr>
                <w:sz w:val="20"/>
                <w:szCs w:val="20"/>
              </w:rPr>
              <w:t>Name and EIN of transferee of asset(s) along with asset description(s), basis and FMV; basis and FMV also to be reported to recipient</w:t>
            </w:r>
          </w:p>
        </w:tc>
        <w:tc>
          <w:tcPr>
            <w:tcW w:w="2250" w:type="dxa"/>
          </w:tcPr>
          <w:p w:rsidR="00D22AC5" w:rsidRPr="00363600" w:rsidRDefault="00D22AC5" w:rsidP="00D22AC5">
            <w:pPr>
              <w:pStyle w:val="BodyText"/>
              <w:spacing w:after="0"/>
              <w:jc w:val="left"/>
              <w:rPr>
                <w:sz w:val="20"/>
                <w:szCs w:val="20"/>
              </w:rPr>
            </w:pPr>
          </w:p>
        </w:tc>
        <w:tc>
          <w:tcPr>
            <w:tcW w:w="2250" w:type="dxa"/>
          </w:tcPr>
          <w:p w:rsidR="00D22AC5" w:rsidRDefault="00D22AC5" w:rsidP="00D22AC5">
            <w:pPr>
              <w:pStyle w:val="BodyText"/>
              <w:spacing w:after="0"/>
              <w:jc w:val="left"/>
            </w:pPr>
          </w:p>
        </w:tc>
      </w:tr>
      <w:tr w:rsidR="00D22AC5" w:rsidRPr="00363600" w:rsidTr="00D2007B">
        <w:tc>
          <w:tcPr>
            <w:tcW w:w="1435" w:type="dxa"/>
          </w:tcPr>
          <w:p w:rsidR="00D22AC5" w:rsidRPr="00363600" w:rsidRDefault="00D22AC5" w:rsidP="00D22AC5">
            <w:pPr>
              <w:pStyle w:val="BodyText"/>
              <w:spacing w:after="0"/>
              <w:jc w:val="center"/>
              <w:rPr>
                <w:b/>
                <w:sz w:val="20"/>
                <w:szCs w:val="20"/>
              </w:rPr>
            </w:pPr>
            <w:r w:rsidRPr="00363600">
              <w:rPr>
                <w:b/>
                <w:sz w:val="20"/>
                <w:szCs w:val="20"/>
              </w:rPr>
              <w:t>Effective Date(s)</w:t>
            </w:r>
          </w:p>
        </w:tc>
        <w:tc>
          <w:tcPr>
            <w:tcW w:w="2520" w:type="dxa"/>
          </w:tcPr>
          <w:p w:rsidR="00D22AC5" w:rsidRPr="00363600" w:rsidRDefault="00D22AC5" w:rsidP="00D22AC5">
            <w:pPr>
              <w:pStyle w:val="BodyText"/>
              <w:spacing w:after="0"/>
              <w:jc w:val="left"/>
              <w:rPr>
                <w:sz w:val="20"/>
                <w:szCs w:val="20"/>
              </w:rPr>
            </w:pPr>
            <w:r w:rsidRPr="00363600">
              <w:rPr>
                <w:sz w:val="20"/>
                <w:szCs w:val="20"/>
              </w:rPr>
              <w:t>Deaths and transfers after 12/31/</w:t>
            </w:r>
            <w:r w:rsidRPr="00363600">
              <w:rPr>
                <w:b/>
                <w:sz w:val="20"/>
                <w:szCs w:val="20"/>
                <w:u w:val="single"/>
              </w:rPr>
              <w:t>20</w:t>
            </w:r>
          </w:p>
        </w:tc>
        <w:tc>
          <w:tcPr>
            <w:tcW w:w="2520" w:type="dxa"/>
          </w:tcPr>
          <w:p w:rsidR="00D22AC5" w:rsidRPr="00363600" w:rsidRDefault="00D22AC5" w:rsidP="00D22AC5">
            <w:pPr>
              <w:pStyle w:val="BodyText"/>
              <w:spacing w:after="0"/>
              <w:jc w:val="left"/>
              <w:rPr>
                <w:sz w:val="20"/>
                <w:szCs w:val="20"/>
              </w:rPr>
            </w:pPr>
            <w:r w:rsidRPr="00363600">
              <w:rPr>
                <w:sz w:val="20"/>
                <w:szCs w:val="20"/>
              </w:rPr>
              <w:t>Various</w:t>
            </w:r>
          </w:p>
        </w:tc>
        <w:tc>
          <w:tcPr>
            <w:tcW w:w="2340" w:type="dxa"/>
          </w:tcPr>
          <w:p w:rsidR="00D22AC5" w:rsidRPr="00363600" w:rsidRDefault="00D22AC5" w:rsidP="00D22AC5">
            <w:pPr>
              <w:pStyle w:val="BodyText"/>
              <w:spacing w:after="0"/>
              <w:jc w:val="left"/>
              <w:rPr>
                <w:sz w:val="20"/>
                <w:szCs w:val="20"/>
              </w:rPr>
            </w:pPr>
            <w:r w:rsidRPr="00363600">
              <w:rPr>
                <w:sz w:val="20"/>
                <w:szCs w:val="20"/>
              </w:rPr>
              <w:t>Deaths and transfers after 12/31/21</w:t>
            </w:r>
          </w:p>
        </w:tc>
        <w:tc>
          <w:tcPr>
            <w:tcW w:w="2250" w:type="dxa"/>
          </w:tcPr>
          <w:p w:rsidR="00D22AC5" w:rsidRPr="00363600" w:rsidRDefault="00D22AC5" w:rsidP="00D22AC5">
            <w:pPr>
              <w:pStyle w:val="BodyText"/>
              <w:spacing w:after="0"/>
              <w:jc w:val="left"/>
              <w:rPr>
                <w:sz w:val="20"/>
                <w:szCs w:val="20"/>
              </w:rPr>
            </w:pPr>
          </w:p>
        </w:tc>
        <w:tc>
          <w:tcPr>
            <w:tcW w:w="2250" w:type="dxa"/>
          </w:tcPr>
          <w:p w:rsidR="00D22AC5" w:rsidRPr="00E72422" w:rsidRDefault="00E72422" w:rsidP="00D22AC5">
            <w:pPr>
              <w:pStyle w:val="BodyText"/>
              <w:spacing w:after="0"/>
              <w:jc w:val="left"/>
              <w:rPr>
                <w:sz w:val="20"/>
                <w:szCs w:val="20"/>
              </w:rPr>
            </w:pPr>
            <w:r w:rsidRPr="00E72422">
              <w:rPr>
                <w:sz w:val="20"/>
                <w:szCs w:val="20"/>
              </w:rPr>
              <w:t>Deaths and transfers after 12/31/21</w:t>
            </w:r>
            <w:r>
              <w:rPr>
                <w:rStyle w:val="FootnoteReference"/>
              </w:rPr>
              <w:footnoteReference w:id="7"/>
            </w:r>
          </w:p>
        </w:tc>
      </w:tr>
    </w:tbl>
    <w:p w:rsidR="00363600" w:rsidRPr="00363600" w:rsidRDefault="00363600" w:rsidP="00363600">
      <w:pPr>
        <w:pStyle w:val="BodyText"/>
        <w:rPr>
          <w:sz w:val="20"/>
          <w:szCs w:val="20"/>
        </w:rPr>
      </w:pPr>
    </w:p>
    <w:p w:rsidR="00454202" w:rsidRDefault="00454202"/>
    <w:p w:rsidR="00D2007B" w:rsidRDefault="00D2007B">
      <w:pPr>
        <w:sectPr w:rsidR="00D2007B" w:rsidSect="005F0B44">
          <w:footerReference w:type="default" r:id="rId59"/>
          <w:footerReference w:type="first" r:id="rId60"/>
          <w:pgSz w:w="15840" w:h="12240" w:orient="landscape" w:code="1"/>
          <w:pgMar w:top="1440" w:right="1440" w:bottom="1440" w:left="1440" w:header="720" w:footer="720" w:gutter="0"/>
          <w:pgNumType w:start="14"/>
          <w:cols w:space="720"/>
          <w:noEndnote/>
          <w:docGrid w:linePitch="272"/>
        </w:sectPr>
      </w:pPr>
    </w:p>
    <w:p w:rsidR="009E5ED9" w:rsidRDefault="009E5ED9">
      <w:pPr>
        <w:rPr>
          <w:b/>
          <w:szCs w:val="20"/>
          <w:u w:val="single"/>
        </w:rPr>
      </w:pPr>
    </w:p>
    <w:p w:rsidR="008059B8" w:rsidRPr="00454670" w:rsidRDefault="000C7C76" w:rsidP="007E738C">
      <w:pPr>
        <w:pStyle w:val="TitlePart"/>
        <w:rPr>
          <w:vanish/>
          <w:specVanish/>
        </w:rPr>
      </w:pPr>
      <w:bookmarkStart w:id="56" w:name="_Toc94704603"/>
      <w:r w:rsidRPr="00454670">
        <w:t>PART</w:t>
      </w:r>
      <w:r w:rsidR="00C64050">
        <w:t xml:space="preserve"> </w:t>
      </w:r>
      <w:r w:rsidR="00C03F54">
        <w:t>3</w:t>
      </w:r>
      <w:r w:rsidR="00C64050">
        <w:t xml:space="preserve"> </w:t>
      </w:r>
      <w:r w:rsidRPr="00454670">
        <w:t>–</w:t>
      </w:r>
      <w:r w:rsidR="00C64050">
        <w:t xml:space="preserve"> </w:t>
      </w:r>
      <w:r w:rsidR="00C83382">
        <w:t>ESTATE</w:t>
      </w:r>
      <w:r w:rsidR="00C64050">
        <w:t xml:space="preserve"> </w:t>
      </w:r>
      <w:r w:rsidRPr="00454670">
        <w:t>PLANNING</w:t>
      </w:r>
      <w:r w:rsidR="00C64050">
        <w:t xml:space="preserve"> </w:t>
      </w:r>
      <w:r w:rsidR="00C83382">
        <w:t>PRACTICE</w:t>
      </w:r>
      <w:r w:rsidR="00C64050">
        <w:t xml:space="preserve"> </w:t>
      </w:r>
      <w:r w:rsidR="00C83382">
        <w:t>IN</w:t>
      </w:r>
      <w:r w:rsidR="00C64050">
        <w:t xml:space="preserve"> </w:t>
      </w:r>
      <w:r w:rsidR="00C83382">
        <w:t>2018</w:t>
      </w:r>
      <w:r w:rsidR="00C64050">
        <w:t xml:space="preserve"> </w:t>
      </w:r>
      <w:r w:rsidRPr="00454670">
        <w:t>AND</w:t>
      </w:r>
      <w:r w:rsidR="00C64050">
        <w:t xml:space="preserve"> </w:t>
      </w:r>
      <w:r w:rsidRPr="00454670">
        <w:t>BEYOND</w:t>
      </w:r>
      <w:bookmarkEnd w:id="3"/>
      <w:bookmarkEnd w:id="4"/>
      <w:bookmarkEnd w:id="5"/>
      <w:bookmarkEnd w:id="56"/>
    </w:p>
    <w:p w:rsidR="00420125" w:rsidRPr="00454670" w:rsidRDefault="00420125" w:rsidP="000C7C76">
      <w:pPr>
        <w:pStyle w:val="TitleBCU"/>
        <w:rPr>
          <w:szCs w:val="20"/>
        </w:rPr>
      </w:pPr>
    </w:p>
    <w:p w:rsidR="007A58AD" w:rsidRDefault="007A58AD" w:rsidP="00B66CCE">
      <w:pPr>
        <w:pStyle w:val="LFLevel1"/>
        <w:numPr>
          <w:ilvl w:val="0"/>
          <w:numId w:val="30"/>
        </w:numPr>
      </w:pPr>
      <w:bookmarkStart w:id="57" w:name="_Toc94704604"/>
      <w:r>
        <w:t>WHERE</w:t>
      </w:r>
      <w:r w:rsidR="00C64050">
        <w:t xml:space="preserve"> </w:t>
      </w:r>
      <w:r>
        <w:t>WE</w:t>
      </w:r>
      <w:r w:rsidR="00C64050">
        <w:t xml:space="preserve"> </w:t>
      </w:r>
      <w:r>
        <w:t>ARE</w:t>
      </w:r>
      <w:r w:rsidR="00C64050">
        <w:t xml:space="preserve"> </w:t>
      </w:r>
      <w:r>
        <w:t>TODAY</w:t>
      </w:r>
      <w:bookmarkEnd w:id="57"/>
    </w:p>
    <w:p w:rsidR="008059B8" w:rsidRPr="00D70884" w:rsidRDefault="00F06C52" w:rsidP="00456BDE">
      <w:pPr>
        <w:pStyle w:val="LFLevel2"/>
        <w:rPr>
          <w:b/>
          <w:u w:val="single"/>
        </w:rPr>
      </w:pPr>
      <w:bookmarkStart w:id="58" w:name="_Toc94704605"/>
      <w:r>
        <w:rPr>
          <w:b/>
          <w:u w:val="single"/>
        </w:rPr>
        <w:t>New</w:t>
      </w:r>
      <w:r w:rsidR="00C64050">
        <w:rPr>
          <w:b/>
          <w:u w:val="single"/>
        </w:rPr>
        <w:t xml:space="preserve"> </w:t>
      </w:r>
      <w:r>
        <w:rPr>
          <w:b/>
          <w:u w:val="single"/>
        </w:rPr>
        <w:t>Planning</w:t>
      </w:r>
      <w:r w:rsidR="00C64050">
        <w:rPr>
          <w:b/>
          <w:u w:val="single"/>
        </w:rPr>
        <w:t xml:space="preserve"> </w:t>
      </w:r>
      <w:r w:rsidR="009B2FEC" w:rsidRPr="00D70884">
        <w:rPr>
          <w:b/>
          <w:u w:val="single"/>
        </w:rPr>
        <w:t>Approaches</w:t>
      </w:r>
      <w:bookmarkEnd w:id="58"/>
    </w:p>
    <w:p w:rsidR="008059B8" w:rsidRPr="00454670" w:rsidRDefault="008059B8" w:rsidP="002A2547">
      <w:pPr>
        <w:pStyle w:val="LFLevel3"/>
        <w:ind w:left="0" w:firstLine="1440"/>
      </w:pPr>
      <w:r w:rsidRPr="00454670">
        <w:t>Given</w:t>
      </w:r>
      <w:r w:rsidR="00C64050">
        <w:t xml:space="preserve"> </w:t>
      </w:r>
      <w:r w:rsidR="00963A39">
        <w:t>the</w:t>
      </w:r>
      <w:r w:rsidR="00C64050">
        <w:t xml:space="preserve"> </w:t>
      </w:r>
      <w:r w:rsidR="00963A39">
        <w:t>large</w:t>
      </w:r>
      <w:r w:rsidR="00C64050">
        <w:t xml:space="preserve"> </w:t>
      </w:r>
      <w:r w:rsidRPr="00454670">
        <w:t>Applicable</w:t>
      </w:r>
      <w:r w:rsidR="00C64050">
        <w:t xml:space="preserve"> </w:t>
      </w:r>
      <w:r w:rsidRPr="00454670">
        <w:t>Exclusion</w:t>
      </w:r>
      <w:r w:rsidR="00C64050">
        <w:t xml:space="preserve"> </w:t>
      </w:r>
      <w:r w:rsidRPr="00454670">
        <w:t>Amount</w:t>
      </w:r>
      <w:r w:rsidR="00963A39">
        <w:t>,</w:t>
      </w:r>
      <w:r w:rsidR="00C64050">
        <w:t xml:space="preserve"> </w:t>
      </w:r>
      <w:r w:rsidRPr="00454670">
        <w:t>it</w:t>
      </w:r>
      <w:r w:rsidR="00C64050">
        <w:t xml:space="preserve"> </w:t>
      </w:r>
      <w:r w:rsidRPr="00454670">
        <w:t>becomes</w:t>
      </w:r>
      <w:r w:rsidR="00C64050">
        <w:t xml:space="preserve"> </w:t>
      </w:r>
      <w:r w:rsidRPr="00454670">
        <w:t>clear</w:t>
      </w:r>
      <w:r w:rsidR="00C64050">
        <w:t xml:space="preserve"> </w:t>
      </w:r>
      <w:r w:rsidRPr="00454670">
        <w:t>that</w:t>
      </w:r>
      <w:r w:rsidR="00C64050">
        <w:t xml:space="preserve"> </w:t>
      </w:r>
      <w:r w:rsidR="00E63C54">
        <w:t>for</w:t>
      </w:r>
      <w:r w:rsidR="00C64050">
        <w:t xml:space="preserve"> </w:t>
      </w:r>
      <w:r w:rsidR="00E63C54">
        <w:t>many</w:t>
      </w:r>
      <w:r w:rsidR="00C64050">
        <w:t xml:space="preserve"> </w:t>
      </w:r>
      <w:r w:rsidR="00E63C54">
        <w:t>even</w:t>
      </w:r>
      <w:r w:rsidR="00C64050">
        <w:t xml:space="preserve"> </w:t>
      </w:r>
      <w:r w:rsidR="00E63C54">
        <w:t>traditional</w:t>
      </w:r>
      <w:r w:rsidR="00C64050">
        <w:t xml:space="preserve"> </w:t>
      </w:r>
      <w:r w:rsidR="00E63C54">
        <w:t>clients</w:t>
      </w:r>
      <w:r w:rsidR="00C64050">
        <w:t xml:space="preserve"> </w:t>
      </w:r>
      <w:r w:rsidR="00E63C54">
        <w:t>the</w:t>
      </w:r>
      <w:r w:rsidR="00C64050">
        <w:t xml:space="preserve"> </w:t>
      </w:r>
      <w:r w:rsidR="00E63C54">
        <w:t>estate</w:t>
      </w:r>
      <w:r w:rsidR="00C64050">
        <w:t xml:space="preserve"> </w:t>
      </w:r>
      <w:r w:rsidR="00E63C54">
        <w:t>tax</w:t>
      </w:r>
      <w:r w:rsidR="00C64050">
        <w:t xml:space="preserve"> </w:t>
      </w:r>
      <w:r w:rsidR="00E63C54">
        <w:t>has</w:t>
      </w:r>
      <w:r w:rsidR="00C64050">
        <w:t xml:space="preserve"> </w:t>
      </w:r>
      <w:r w:rsidR="00E63C54">
        <w:t>disappeared</w:t>
      </w:r>
      <w:r w:rsidR="00C64050">
        <w:t xml:space="preserve"> </w:t>
      </w:r>
      <w:r w:rsidR="00E63C54">
        <w:t>as</w:t>
      </w:r>
      <w:r w:rsidR="00C64050">
        <w:t xml:space="preserve"> </w:t>
      </w:r>
      <w:r w:rsidR="00E63C54">
        <w:t>an</w:t>
      </w:r>
      <w:r w:rsidR="00C64050">
        <w:t xml:space="preserve"> </w:t>
      </w:r>
      <w:r w:rsidR="00E63C54">
        <w:t>issue.</w:t>
      </w:r>
      <w:r w:rsidR="00C64050">
        <w:t xml:space="preserve">  </w:t>
      </w:r>
      <w:r w:rsidR="00E63C54">
        <w:t>This</w:t>
      </w:r>
      <w:r w:rsidR="00C64050">
        <w:t xml:space="preserve"> </w:t>
      </w:r>
      <w:r w:rsidR="00E63C54">
        <w:t>could</w:t>
      </w:r>
      <w:r w:rsidR="00C64050">
        <w:t xml:space="preserve"> </w:t>
      </w:r>
      <w:r w:rsidR="00E63C54">
        <w:t>change</w:t>
      </w:r>
      <w:r w:rsidR="00C64050">
        <w:t xml:space="preserve"> </w:t>
      </w:r>
      <w:r w:rsidR="00E63C54">
        <w:t>depending</w:t>
      </w:r>
      <w:r w:rsidR="00C64050">
        <w:t xml:space="preserve"> </w:t>
      </w:r>
      <w:r w:rsidR="00E63C54">
        <w:t>on</w:t>
      </w:r>
      <w:r w:rsidR="00C64050">
        <w:t xml:space="preserve"> </w:t>
      </w:r>
      <w:r w:rsidR="00E63C54">
        <w:t>political</w:t>
      </w:r>
      <w:r w:rsidR="00C64050">
        <w:t xml:space="preserve"> </w:t>
      </w:r>
      <w:r w:rsidR="00E63C54">
        <w:t>developments</w:t>
      </w:r>
      <w:r w:rsidR="00C64050">
        <w:t xml:space="preserve"> </w:t>
      </w:r>
      <w:r w:rsidR="002C7598">
        <w:t>and</w:t>
      </w:r>
      <w:r w:rsidR="00C64050">
        <w:t xml:space="preserve"> </w:t>
      </w:r>
      <w:r w:rsidR="002C7598">
        <w:t>is</w:t>
      </w:r>
      <w:r w:rsidR="00C64050">
        <w:t xml:space="preserve"> </w:t>
      </w:r>
      <w:r w:rsidR="002C7598">
        <w:t>to</w:t>
      </w:r>
      <w:r w:rsidR="00C64050">
        <w:t xml:space="preserve"> </w:t>
      </w:r>
      <w:r w:rsidR="002C7598">
        <w:t>change</w:t>
      </w:r>
      <w:r w:rsidR="00C64050">
        <w:t xml:space="preserve"> </w:t>
      </w:r>
      <w:r w:rsidR="002C7598">
        <w:t>anyway</w:t>
      </w:r>
      <w:r w:rsidR="00C64050">
        <w:t xml:space="preserve"> </w:t>
      </w:r>
      <w:r w:rsidR="002C7598">
        <w:t>on</w:t>
      </w:r>
      <w:r w:rsidR="00C64050">
        <w:t xml:space="preserve"> </w:t>
      </w:r>
      <w:r w:rsidR="002C7598">
        <w:t>January</w:t>
      </w:r>
      <w:r w:rsidR="00C64050">
        <w:t xml:space="preserve"> </w:t>
      </w:r>
      <w:r w:rsidR="002C7598">
        <w:t>1</w:t>
      </w:r>
      <w:r w:rsidR="00E12C3A">
        <w:t>,</w:t>
      </w:r>
      <w:r w:rsidR="00C64050">
        <w:t xml:space="preserve"> </w:t>
      </w:r>
      <w:r w:rsidR="00E12C3A">
        <w:t>2026;</w:t>
      </w:r>
      <w:r w:rsidR="00C64050">
        <w:t xml:space="preserve"> </w:t>
      </w:r>
      <w:r w:rsidR="00E12C3A">
        <w:t>many</w:t>
      </w:r>
      <w:r w:rsidR="00C64050">
        <w:t xml:space="preserve"> </w:t>
      </w:r>
      <w:r w:rsidR="00E12C3A">
        <w:t>clients</w:t>
      </w:r>
      <w:r w:rsidR="00C64050">
        <w:t xml:space="preserve"> </w:t>
      </w:r>
      <w:r w:rsidR="00E12C3A">
        <w:t>are</w:t>
      </w:r>
      <w:r w:rsidR="00C64050">
        <w:t xml:space="preserve"> </w:t>
      </w:r>
      <w:r w:rsidR="00E12C3A">
        <w:t>under</w:t>
      </w:r>
      <w:r w:rsidR="00C64050">
        <w:t xml:space="preserve"> </w:t>
      </w:r>
      <w:r w:rsidR="00E12C3A">
        <w:t>$</w:t>
      </w:r>
      <w:r w:rsidR="00447D04">
        <w:t>24</w:t>
      </w:r>
      <w:r w:rsidR="00C64050">
        <w:t xml:space="preserve"> </w:t>
      </w:r>
      <w:r w:rsidR="002C7598">
        <w:t>million</w:t>
      </w:r>
      <w:r w:rsidR="00C64050">
        <w:t xml:space="preserve"> </w:t>
      </w:r>
      <w:r w:rsidR="002C7598">
        <w:t>but</w:t>
      </w:r>
      <w:r w:rsidR="00C64050">
        <w:t xml:space="preserve"> </w:t>
      </w:r>
      <w:r w:rsidR="002C7598">
        <w:t>above</w:t>
      </w:r>
      <w:r w:rsidR="00C64050">
        <w:t xml:space="preserve"> </w:t>
      </w:r>
      <w:r w:rsidR="002C7598">
        <w:t>$</w:t>
      </w:r>
      <w:r w:rsidR="00447D04">
        <w:t>12</w:t>
      </w:r>
      <w:r w:rsidR="00C64050">
        <w:t xml:space="preserve"> </w:t>
      </w:r>
      <w:r w:rsidR="002C7598">
        <w:t>million.</w:t>
      </w:r>
    </w:p>
    <w:p w:rsidR="002C7598" w:rsidRPr="002C7598" w:rsidRDefault="002C7598" w:rsidP="00A25224">
      <w:pPr>
        <w:pStyle w:val="LFLevel3"/>
        <w:ind w:left="0" w:firstLine="1440"/>
        <w:rPr>
          <w:color w:val="000000"/>
        </w:rPr>
      </w:pPr>
      <w:r>
        <w:t>As</w:t>
      </w:r>
      <w:r w:rsidR="00C64050">
        <w:t xml:space="preserve"> </w:t>
      </w:r>
      <w:r>
        <w:t>2026</w:t>
      </w:r>
      <w:r w:rsidR="00C64050">
        <w:t xml:space="preserve"> </w:t>
      </w:r>
      <w:r>
        <w:t>approaches,</w:t>
      </w:r>
      <w:r w:rsidR="00C64050">
        <w:t xml:space="preserve"> </w:t>
      </w:r>
      <w:r>
        <w:t>absent</w:t>
      </w:r>
      <w:r w:rsidR="00C64050">
        <w:t xml:space="preserve"> </w:t>
      </w:r>
      <w:r>
        <w:t>change,</w:t>
      </w:r>
      <w:r w:rsidR="00C64050">
        <w:t xml:space="preserve"> </w:t>
      </w:r>
      <w:r>
        <w:t>we</w:t>
      </w:r>
      <w:r w:rsidR="00C64050">
        <w:t xml:space="preserve"> </w:t>
      </w:r>
      <w:r>
        <w:t>will</w:t>
      </w:r>
      <w:r w:rsidR="00C64050">
        <w:t xml:space="preserve"> </w:t>
      </w:r>
      <w:r>
        <w:t>be</w:t>
      </w:r>
      <w:r w:rsidR="00C64050">
        <w:t xml:space="preserve"> </w:t>
      </w:r>
      <w:r>
        <w:t>faced</w:t>
      </w:r>
      <w:r w:rsidR="00C64050">
        <w:t xml:space="preserve"> </w:t>
      </w:r>
      <w:r>
        <w:t>with</w:t>
      </w:r>
      <w:r w:rsidR="00C64050">
        <w:t xml:space="preserve"> </w:t>
      </w:r>
      <w:r>
        <w:t>enormous</w:t>
      </w:r>
      <w:r w:rsidR="00C64050">
        <w:t xml:space="preserve"> </w:t>
      </w:r>
      <w:r>
        <w:t>pressure</w:t>
      </w:r>
      <w:r w:rsidR="00C64050">
        <w:t xml:space="preserve"> </w:t>
      </w:r>
      <w:r>
        <w:t>to</w:t>
      </w:r>
      <w:r w:rsidR="00C64050">
        <w:t xml:space="preserve"> </w:t>
      </w:r>
      <w:r>
        <w:t>enable</w:t>
      </w:r>
      <w:r w:rsidR="00C64050">
        <w:t xml:space="preserve"> </w:t>
      </w:r>
      <w:r>
        <w:t>clients</w:t>
      </w:r>
      <w:r w:rsidR="00C64050">
        <w:t xml:space="preserve"> </w:t>
      </w:r>
      <w:r>
        <w:t>to</w:t>
      </w:r>
      <w:r w:rsidR="00C64050">
        <w:t xml:space="preserve"> </w:t>
      </w:r>
      <w:r>
        <w:t>make</w:t>
      </w:r>
      <w:r w:rsidR="00C64050">
        <w:t xml:space="preserve"> </w:t>
      </w:r>
      <w:r>
        <w:t>gifts</w:t>
      </w:r>
      <w:r w:rsidR="00C64050">
        <w:t xml:space="preserve"> </w:t>
      </w:r>
      <w:r>
        <w:t>to</w:t>
      </w:r>
      <w:r w:rsidR="00C64050">
        <w:t xml:space="preserve"> </w:t>
      </w:r>
      <w:r>
        <w:t>use</w:t>
      </w:r>
      <w:r w:rsidR="00C64050">
        <w:t xml:space="preserve"> </w:t>
      </w:r>
      <w:r>
        <w:t>the</w:t>
      </w:r>
      <w:r w:rsidR="00C64050">
        <w:t xml:space="preserve"> </w:t>
      </w:r>
      <w:r>
        <w:t>soon</w:t>
      </w:r>
      <w:r w:rsidR="00C64050">
        <w:t xml:space="preserve"> </w:t>
      </w:r>
      <w:r>
        <w:t>to</w:t>
      </w:r>
      <w:r w:rsidR="00C64050">
        <w:t xml:space="preserve"> </w:t>
      </w:r>
      <w:r>
        <w:t>exercise</w:t>
      </w:r>
      <w:r w:rsidR="00C64050">
        <w:t xml:space="preserve"> </w:t>
      </w:r>
      <w:r>
        <w:t>basis</w:t>
      </w:r>
      <w:r w:rsidR="00C64050">
        <w:t xml:space="preserve"> </w:t>
      </w:r>
      <w:r>
        <w:t>exemption</w:t>
      </w:r>
      <w:r w:rsidR="00C64050">
        <w:t xml:space="preserve"> </w:t>
      </w:r>
      <w:r>
        <w:t>amount.</w:t>
      </w:r>
      <w:r w:rsidR="00C64050">
        <w:t xml:space="preserve">  </w:t>
      </w:r>
      <w:r w:rsidR="00E12C3A">
        <w:t>Laying</w:t>
      </w:r>
      <w:r w:rsidR="00C64050">
        <w:t xml:space="preserve"> </w:t>
      </w:r>
      <w:r w:rsidR="00E12C3A">
        <w:t>the</w:t>
      </w:r>
      <w:r w:rsidR="00C64050">
        <w:t xml:space="preserve"> </w:t>
      </w:r>
      <w:r w:rsidR="00E12C3A">
        <w:t>groundwork</w:t>
      </w:r>
      <w:r w:rsidR="00C64050">
        <w:t xml:space="preserve"> </w:t>
      </w:r>
      <w:r>
        <w:t>today</w:t>
      </w:r>
      <w:r w:rsidR="00C64050">
        <w:t xml:space="preserve"> </w:t>
      </w:r>
      <w:r>
        <w:t>for</w:t>
      </w:r>
      <w:r w:rsidR="00C64050">
        <w:t xml:space="preserve"> </w:t>
      </w:r>
      <w:r>
        <w:t>such</w:t>
      </w:r>
      <w:r w:rsidR="00C64050">
        <w:t xml:space="preserve"> </w:t>
      </w:r>
      <w:r>
        <w:t>a</w:t>
      </w:r>
      <w:r w:rsidR="00C64050">
        <w:t xml:space="preserve"> </w:t>
      </w:r>
      <w:r>
        <w:t>possibility</w:t>
      </w:r>
      <w:r w:rsidR="00C64050">
        <w:t xml:space="preserve"> </w:t>
      </w:r>
      <w:r>
        <w:t>seems</w:t>
      </w:r>
      <w:r w:rsidR="00C64050">
        <w:t xml:space="preserve"> </w:t>
      </w:r>
      <w:r>
        <w:t>wise.</w:t>
      </w:r>
      <w:r w:rsidR="00C64050">
        <w:t xml:space="preserve"> </w:t>
      </w:r>
    </w:p>
    <w:p w:rsidR="008059B8" w:rsidRPr="002C7598" w:rsidRDefault="008059B8" w:rsidP="00A25224">
      <w:pPr>
        <w:pStyle w:val="LFLevel3"/>
        <w:ind w:left="0" w:firstLine="1440"/>
        <w:rPr>
          <w:color w:val="000000"/>
        </w:rPr>
      </w:pPr>
      <w:r w:rsidRPr="002C7598">
        <w:rPr>
          <w:color w:val="000000"/>
        </w:rPr>
        <w:t>Estate</w:t>
      </w:r>
      <w:r w:rsidR="00C64050">
        <w:rPr>
          <w:color w:val="000000"/>
        </w:rPr>
        <w:t xml:space="preserve"> </w:t>
      </w:r>
      <w:r w:rsidRPr="002C7598">
        <w:rPr>
          <w:color w:val="000000"/>
        </w:rPr>
        <w:t>planners</w:t>
      </w:r>
      <w:r w:rsidR="00C64050">
        <w:rPr>
          <w:color w:val="000000"/>
        </w:rPr>
        <w:t xml:space="preserve"> </w:t>
      </w:r>
      <w:r w:rsidRPr="002C7598">
        <w:rPr>
          <w:color w:val="000000"/>
        </w:rPr>
        <w:t>will</w:t>
      </w:r>
      <w:r w:rsidR="00C64050">
        <w:rPr>
          <w:color w:val="000000"/>
        </w:rPr>
        <w:t xml:space="preserve"> </w:t>
      </w:r>
      <w:r w:rsidRPr="002C7598">
        <w:rPr>
          <w:color w:val="000000"/>
        </w:rPr>
        <w:t>focus</w:t>
      </w:r>
      <w:r w:rsidR="00C64050">
        <w:rPr>
          <w:color w:val="000000"/>
        </w:rPr>
        <w:t xml:space="preserve"> </w:t>
      </w:r>
      <w:r w:rsidRPr="002C7598">
        <w:rPr>
          <w:color w:val="000000"/>
        </w:rPr>
        <w:t>more</w:t>
      </w:r>
      <w:r w:rsidR="00C64050">
        <w:rPr>
          <w:color w:val="000000"/>
        </w:rPr>
        <w:t xml:space="preserve"> </w:t>
      </w:r>
      <w:r w:rsidRPr="002C7598">
        <w:rPr>
          <w:color w:val="000000"/>
        </w:rPr>
        <w:t>of</w:t>
      </w:r>
      <w:r w:rsidR="00C64050">
        <w:rPr>
          <w:color w:val="000000"/>
        </w:rPr>
        <w:t xml:space="preserve"> </w:t>
      </w:r>
      <w:r w:rsidRPr="002C7598">
        <w:rPr>
          <w:color w:val="000000"/>
        </w:rPr>
        <w:t>the</w:t>
      </w:r>
      <w:r w:rsidR="00C64050">
        <w:rPr>
          <w:color w:val="000000"/>
        </w:rPr>
        <w:t xml:space="preserve"> </w:t>
      </w:r>
      <w:r w:rsidRPr="002C7598">
        <w:rPr>
          <w:color w:val="000000"/>
        </w:rPr>
        <w:t>tax</w:t>
      </w:r>
      <w:r w:rsidR="00C64050">
        <w:rPr>
          <w:color w:val="000000"/>
        </w:rPr>
        <w:t xml:space="preserve"> </w:t>
      </w:r>
      <w:r w:rsidRPr="002C7598">
        <w:rPr>
          <w:color w:val="000000"/>
        </w:rPr>
        <w:t>planning</w:t>
      </w:r>
      <w:r w:rsidR="00C64050">
        <w:rPr>
          <w:color w:val="000000"/>
        </w:rPr>
        <w:t xml:space="preserve"> </w:t>
      </w:r>
      <w:r w:rsidRPr="002C7598">
        <w:rPr>
          <w:color w:val="000000"/>
        </w:rPr>
        <w:t>for</w:t>
      </w:r>
      <w:r w:rsidR="00C64050">
        <w:rPr>
          <w:color w:val="000000"/>
        </w:rPr>
        <w:t xml:space="preserve"> </w:t>
      </w:r>
      <w:r w:rsidRPr="002C7598">
        <w:rPr>
          <w:color w:val="000000"/>
        </w:rPr>
        <w:t>clients</w:t>
      </w:r>
      <w:r w:rsidR="00C64050">
        <w:rPr>
          <w:color w:val="000000"/>
        </w:rPr>
        <w:t xml:space="preserve"> </w:t>
      </w:r>
      <w:r w:rsidRPr="002C7598">
        <w:rPr>
          <w:color w:val="000000"/>
        </w:rPr>
        <w:t>on</w:t>
      </w:r>
      <w:r w:rsidR="00C64050">
        <w:rPr>
          <w:color w:val="000000"/>
        </w:rPr>
        <w:t xml:space="preserve"> </w:t>
      </w:r>
      <w:r w:rsidRPr="002C7598">
        <w:rPr>
          <w:color w:val="000000"/>
        </w:rPr>
        <w:t>the</w:t>
      </w:r>
      <w:r w:rsidR="00C64050">
        <w:rPr>
          <w:color w:val="000000"/>
        </w:rPr>
        <w:t xml:space="preserve"> </w:t>
      </w:r>
      <w:r w:rsidRPr="002C7598">
        <w:rPr>
          <w:color w:val="000000"/>
        </w:rPr>
        <w:t>income</w:t>
      </w:r>
      <w:r w:rsidR="00C64050">
        <w:rPr>
          <w:color w:val="000000"/>
        </w:rPr>
        <w:t xml:space="preserve"> </w:t>
      </w:r>
      <w:r w:rsidRPr="002C7598">
        <w:rPr>
          <w:color w:val="000000"/>
        </w:rPr>
        <w:t>tax,</w:t>
      </w:r>
      <w:r w:rsidR="00C64050">
        <w:rPr>
          <w:color w:val="000000"/>
        </w:rPr>
        <w:t xml:space="preserve"> </w:t>
      </w:r>
      <w:r w:rsidRPr="002C7598">
        <w:rPr>
          <w:color w:val="000000"/>
        </w:rPr>
        <w:t>rather</w:t>
      </w:r>
      <w:r w:rsidR="00C64050">
        <w:rPr>
          <w:color w:val="000000"/>
        </w:rPr>
        <w:t xml:space="preserve"> </w:t>
      </w:r>
      <w:r w:rsidRPr="002C7598">
        <w:rPr>
          <w:color w:val="000000"/>
        </w:rPr>
        <w:t>than</w:t>
      </w:r>
      <w:r w:rsidR="00C64050">
        <w:rPr>
          <w:color w:val="000000"/>
        </w:rPr>
        <w:t xml:space="preserve"> </w:t>
      </w:r>
      <w:r w:rsidRPr="002C7598">
        <w:rPr>
          <w:color w:val="000000"/>
        </w:rPr>
        <w:t>the</w:t>
      </w:r>
      <w:r w:rsidR="00C64050">
        <w:rPr>
          <w:color w:val="000000"/>
        </w:rPr>
        <w:t xml:space="preserve"> </w:t>
      </w:r>
      <w:r w:rsidRPr="002C7598">
        <w:rPr>
          <w:color w:val="000000"/>
        </w:rPr>
        <w:t>transfer</w:t>
      </w:r>
      <w:r w:rsidR="00C64050">
        <w:rPr>
          <w:color w:val="000000"/>
        </w:rPr>
        <w:t xml:space="preserve"> </w:t>
      </w:r>
      <w:r w:rsidRPr="002C7598">
        <w:rPr>
          <w:color w:val="000000"/>
        </w:rPr>
        <w:t>taxes.</w:t>
      </w:r>
      <w:r w:rsidR="00C64050">
        <w:rPr>
          <w:color w:val="000000"/>
        </w:rPr>
        <w:t xml:space="preserve">  </w:t>
      </w:r>
      <w:r w:rsidRPr="002C7598">
        <w:rPr>
          <w:color w:val="000000"/>
        </w:rPr>
        <w:t>In</w:t>
      </w:r>
      <w:r w:rsidR="00C64050">
        <w:rPr>
          <w:color w:val="000000"/>
        </w:rPr>
        <w:t xml:space="preserve"> </w:t>
      </w:r>
      <w:r w:rsidRPr="002C7598">
        <w:rPr>
          <w:color w:val="000000"/>
        </w:rPr>
        <w:t>particular,</w:t>
      </w:r>
      <w:r w:rsidR="00C64050">
        <w:rPr>
          <w:color w:val="000000"/>
        </w:rPr>
        <w:t xml:space="preserve"> </w:t>
      </w:r>
      <w:r w:rsidRPr="002C7598">
        <w:rPr>
          <w:color w:val="000000"/>
        </w:rPr>
        <w:t>it</w:t>
      </w:r>
      <w:r w:rsidR="00C64050">
        <w:rPr>
          <w:color w:val="000000"/>
        </w:rPr>
        <w:t xml:space="preserve"> </w:t>
      </w:r>
      <w:r w:rsidRPr="002C7598">
        <w:rPr>
          <w:color w:val="000000"/>
        </w:rPr>
        <w:t>is</w:t>
      </w:r>
      <w:r w:rsidR="00C64050">
        <w:rPr>
          <w:color w:val="000000"/>
        </w:rPr>
        <w:t xml:space="preserve"> </w:t>
      </w:r>
      <w:r w:rsidRPr="002C7598">
        <w:rPr>
          <w:color w:val="000000"/>
        </w:rPr>
        <w:t>likely</w:t>
      </w:r>
      <w:r w:rsidR="00C64050">
        <w:rPr>
          <w:color w:val="000000"/>
        </w:rPr>
        <w:t xml:space="preserve"> </w:t>
      </w:r>
      <w:r w:rsidRPr="002C7598">
        <w:rPr>
          <w:color w:val="000000"/>
        </w:rPr>
        <w:t>estate</w:t>
      </w:r>
      <w:r w:rsidR="00C64050">
        <w:rPr>
          <w:color w:val="000000"/>
        </w:rPr>
        <w:t xml:space="preserve"> </w:t>
      </w:r>
      <w:r w:rsidRPr="002C7598">
        <w:rPr>
          <w:color w:val="000000"/>
        </w:rPr>
        <w:t>planning</w:t>
      </w:r>
      <w:r w:rsidR="00C64050">
        <w:rPr>
          <w:color w:val="000000"/>
        </w:rPr>
        <w:t xml:space="preserve"> </w:t>
      </w:r>
      <w:r w:rsidRPr="002C7598">
        <w:rPr>
          <w:color w:val="000000"/>
        </w:rPr>
        <w:t>will</w:t>
      </w:r>
      <w:r w:rsidR="00C64050">
        <w:rPr>
          <w:color w:val="000000"/>
        </w:rPr>
        <w:t xml:space="preserve"> </w:t>
      </w:r>
      <w:r w:rsidRPr="002C7598">
        <w:rPr>
          <w:color w:val="000000"/>
        </w:rPr>
        <w:t>focus</w:t>
      </w:r>
      <w:r w:rsidR="00C64050">
        <w:rPr>
          <w:color w:val="000000"/>
        </w:rPr>
        <w:t xml:space="preserve"> </w:t>
      </w:r>
      <w:r w:rsidRPr="002C7598">
        <w:rPr>
          <w:color w:val="000000"/>
        </w:rPr>
        <w:t>on</w:t>
      </w:r>
      <w:r w:rsidR="00C64050">
        <w:rPr>
          <w:color w:val="000000"/>
        </w:rPr>
        <w:t xml:space="preserve"> </w:t>
      </w:r>
      <w:r w:rsidRPr="002C7598">
        <w:rPr>
          <w:color w:val="000000"/>
        </w:rPr>
        <w:t>tax</w:t>
      </w:r>
      <w:r w:rsidR="00C64050">
        <w:rPr>
          <w:color w:val="000000"/>
        </w:rPr>
        <w:t xml:space="preserve"> </w:t>
      </w:r>
      <w:r w:rsidRPr="002C7598">
        <w:rPr>
          <w:color w:val="000000"/>
        </w:rPr>
        <w:t>basis</w:t>
      </w:r>
      <w:r w:rsidR="00C64050">
        <w:rPr>
          <w:color w:val="000000"/>
        </w:rPr>
        <w:t xml:space="preserve"> </w:t>
      </w:r>
      <w:r w:rsidRPr="002C7598">
        <w:rPr>
          <w:color w:val="000000"/>
        </w:rPr>
        <w:t>planning</w:t>
      </w:r>
      <w:r w:rsidR="00C64050">
        <w:rPr>
          <w:color w:val="000000"/>
        </w:rPr>
        <w:t xml:space="preserve"> </w:t>
      </w:r>
      <w:r w:rsidRPr="002C7598">
        <w:rPr>
          <w:color w:val="000000"/>
        </w:rPr>
        <w:t>and</w:t>
      </w:r>
      <w:r w:rsidR="00C64050">
        <w:rPr>
          <w:color w:val="000000"/>
        </w:rPr>
        <w:t xml:space="preserve"> </w:t>
      </w:r>
      <w:r w:rsidRPr="002C7598">
        <w:rPr>
          <w:color w:val="000000"/>
        </w:rPr>
        <w:t>maximizing</w:t>
      </w:r>
      <w:r w:rsidR="00C64050">
        <w:rPr>
          <w:color w:val="000000"/>
        </w:rPr>
        <w:t xml:space="preserve"> </w:t>
      </w:r>
      <w:r w:rsidRPr="002C7598">
        <w:rPr>
          <w:color w:val="000000"/>
        </w:rPr>
        <w:t>the</w:t>
      </w:r>
      <w:r w:rsidR="00C64050">
        <w:rPr>
          <w:color w:val="000000"/>
        </w:rPr>
        <w:t xml:space="preserve"> </w:t>
      </w:r>
      <w:r w:rsidRPr="002C7598">
        <w:rPr>
          <w:color w:val="000000"/>
        </w:rPr>
        <w:t>“step-up”</w:t>
      </w:r>
      <w:r w:rsidR="00C64050">
        <w:rPr>
          <w:color w:val="000000"/>
        </w:rPr>
        <w:t xml:space="preserve"> </w:t>
      </w:r>
      <w:r w:rsidRPr="002C7598">
        <w:rPr>
          <w:color w:val="000000"/>
        </w:rPr>
        <w:t>in</w:t>
      </w:r>
      <w:r w:rsidR="00C64050">
        <w:rPr>
          <w:color w:val="000000"/>
        </w:rPr>
        <w:t xml:space="preserve"> </w:t>
      </w:r>
      <w:r w:rsidRPr="002C7598">
        <w:rPr>
          <w:color w:val="000000"/>
        </w:rPr>
        <w:t>basis</w:t>
      </w:r>
      <w:r w:rsidR="00C64050">
        <w:rPr>
          <w:color w:val="000000"/>
        </w:rPr>
        <w:t xml:space="preserve"> </w:t>
      </w:r>
      <w:r w:rsidRPr="002C7598">
        <w:rPr>
          <w:color w:val="000000"/>
        </w:rPr>
        <w:t>at</w:t>
      </w:r>
      <w:r w:rsidR="00C64050">
        <w:rPr>
          <w:color w:val="000000"/>
        </w:rPr>
        <w:t xml:space="preserve"> </w:t>
      </w:r>
      <w:r w:rsidRPr="002C7598">
        <w:rPr>
          <w:color w:val="000000"/>
        </w:rPr>
        <w:t>death.</w:t>
      </w:r>
      <w:r w:rsidR="00C64050">
        <w:rPr>
          <w:color w:val="000000"/>
        </w:rPr>
        <w:t xml:space="preserve"> </w:t>
      </w:r>
    </w:p>
    <w:p w:rsidR="008059B8" w:rsidRPr="00454670" w:rsidRDefault="00C64050" w:rsidP="008056F7">
      <w:pPr>
        <w:pStyle w:val="LFLevel3"/>
        <w:ind w:left="0" w:firstLine="1440"/>
      </w:pPr>
      <w:r>
        <w:t xml:space="preserve"> </w:t>
      </w:r>
      <w:r w:rsidR="008059B8" w:rsidRPr="00454670">
        <w:t>Because</w:t>
      </w:r>
      <w:r>
        <w:t xml:space="preserve"> </w:t>
      </w:r>
      <w:r w:rsidR="008059B8" w:rsidRPr="00454670">
        <w:t>the</w:t>
      </w:r>
      <w:r>
        <w:t xml:space="preserve"> </w:t>
      </w:r>
      <w:r w:rsidR="008059B8" w:rsidRPr="00454670">
        <w:t>“step-up”</w:t>
      </w:r>
      <w:r>
        <w:t xml:space="preserve"> </w:t>
      </w:r>
      <w:r w:rsidR="008059B8" w:rsidRPr="00454670">
        <w:t>in</w:t>
      </w:r>
      <w:r>
        <w:t xml:space="preserve"> </w:t>
      </w:r>
      <w:r w:rsidR="008059B8" w:rsidRPr="00454670">
        <w:t>basis</w:t>
      </w:r>
      <w:r>
        <w:t xml:space="preserve"> </w:t>
      </w:r>
      <w:r w:rsidR="008059B8" w:rsidRPr="00454670">
        <w:t>may</w:t>
      </w:r>
      <w:r>
        <w:t xml:space="preserve"> </w:t>
      </w:r>
      <w:r w:rsidR="008059B8" w:rsidRPr="00454670">
        <w:t>come</w:t>
      </w:r>
      <w:r>
        <w:t xml:space="preserve"> </w:t>
      </w:r>
      <w:r w:rsidR="008059B8" w:rsidRPr="00454670">
        <w:t>at</w:t>
      </w:r>
      <w:r>
        <w:t xml:space="preserve"> </w:t>
      </w:r>
      <w:r w:rsidR="008059B8" w:rsidRPr="00454670">
        <w:t>little</w:t>
      </w:r>
      <w:r>
        <w:t xml:space="preserve"> </w:t>
      </w:r>
      <w:r w:rsidR="008059B8" w:rsidRPr="00454670">
        <w:t>or</w:t>
      </w:r>
      <w:r>
        <w:t xml:space="preserve"> </w:t>
      </w:r>
      <w:r w:rsidR="008059B8" w:rsidRPr="00454670">
        <w:t>no</w:t>
      </w:r>
      <w:r>
        <w:t xml:space="preserve"> </w:t>
      </w:r>
      <w:r w:rsidR="008059B8" w:rsidRPr="00454670">
        <w:t>transfer</w:t>
      </w:r>
      <w:r>
        <w:t xml:space="preserve"> </w:t>
      </w:r>
      <w:r w:rsidR="008059B8" w:rsidRPr="00454670">
        <w:t>tax</w:t>
      </w:r>
      <w:r>
        <w:t xml:space="preserve"> </w:t>
      </w:r>
      <w:r w:rsidR="008059B8" w:rsidRPr="00454670">
        <w:t>cost,</w:t>
      </w:r>
      <w:r>
        <w:t xml:space="preserve"> </w:t>
      </w:r>
      <w:r w:rsidR="008059B8" w:rsidRPr="00454670">
        <w:t>estate</w:t>
      </w:r>
      <w:r>
        <w:t xml:space="preserve"> </w:t>
      </w:r>
      <w:r w:rsidR="008059B8" w:rsidRPr="00454670">
        <w:t>planners</w:t>
      </w:r>
      <w:r>
        <w:t xml:space="preserve"> </w:t>
      </w:r>
      <w:r w:rsidR="008059B8" w:rsidRPr="00454670">
        <w:t>will</w:t>
      </w:r>
      <w:r>
        <w:t xml:space="preserve"> </w:t>
      </w:r>
      <w:r w:rsidR="008059B8" w:rsidRPr="00454670">
        <w:t>seek</w:t>
      </w:r>
      <w:r>
        <w:t xml:space="preserve"> </w:t>
      </w:r>
      <w:r w:rsidR="008059B8" w:rsidRPr="00454670">
        <w:t>to</w:t>
      </w:r>
      <w:r>
        <w:t xml:space="preserve"> </w:t>
      </w:r>
      <w:r w:rsidR="008059B8" w:rsidRPr="00454670">
        <w:t>force</w:t>
      </w:r>
      <w:r>
        <w:t xml:space="preserve"> </w:t>
      </w:r>
      <w:r w:rsidR="008059B8" w:rsidRPr="00454670">
        <w:t>estate</w:t>
      </w:r>
      <w:r>
        <w:t xml:space="preserve"> </w:t>
      </w:r>
      <w:r w:rsidR="008059B8" w:rsidRPr="00454670">
        <w:t>tax</w:t>
      </w:r>
      <w:r>
        <w:t xml:space="preserve"> </w:t>
      </w:r>
      <w:r w:rsidR="008059B8" w:rsidRPr="00454670">
        <w:t>inclusion</w:t>
      </w:r>
      <w:r>
        <w:t xml:space="preserve"> </w:t>
      </w:r>
      <w:r w:rsidR="008059B8" w:rsidRPr="00454670">
        <w:t>in</w:t>
      </w:r>
      <w:r>
        <w:t xml:space="preserve"> </w:t>
      </w:r>
      <w:r w:rsidR="008059B8" w:rsidRPr="00454670">
        <w:t>the</w:t>
      </w:r>
      <w:r>
        <w:t xml:space="preserve"> </w:t>
      </w:r>
      <w:r w:rsidR="008059B8" w:rsidRPr="00454670">
        <w:t>future.</w:t>
      </w:r>
    </w:p>
    <w:p w:rsidR="008059B8" w:rsidRDefault="008059B8" w:rsidP="002A2547">
      <w:pPr>
        <w:pStyle w:val="LFLevel3"/>
        <w:ind w:left="0" w:firstLine="1440"/>
      </w:pPr>
      <w:r w:rsidRPr="00454670">
        <w:t>The</w:t>
      </w:r>
      <w:r w:rsidR="00C64050">
        <w:t xml:space="preserve"> </w:t>
      </w:r>
      <w:r w:rsidRPr="00454670">
        <w:t>state</w:t>
      </w:r>
      <w:r w:rsidR="00C64050">
        <w:t xml:space="preserve"> </w:t>
      </w:r>
      <w:r w:rsidRPr="00454670">
        <w:t>of</w:t>
      </w:r>
      <w:r w:rsidR="00C64050">
        <w:t xml:space="preserve"> </w:t>
      </w:r>
      <w:r w:rsidRPr="00454670">
        <w:t>residence</w:t>
      </w:r>
      <w:r w:rsidR="00C64050">
        <w:t xml:space="preserve"> </w:t>
      </w:r>
      <w:r w:rsidRPr="00454670">
        <w:t>of</w:t>
      </w:r>
      <w:r w:rsidR="00C64050">
        <w:t xml:space="preserve"> </w:t>
      </w:r>
      <w:r w:rsidRPr="00454670">
        <w:t>the</w:t>
      </w:r>
      <w:r w:rsidR="00C64050">
        <w:t xml:space="preserve"> </w:t>
      </w:r>
      <w:r w:rsidRPr="00454670">
        <w:t>client</w:t>
      </w:r>
      <w:r w:rsidR="00C64050">
        <w:t xml:space="preserve"> </w:t>
      </w:r>
      <w:r w:rsidRPr="00454670">
        <w:t>and</w:t>
      </w:r>
      <w:r w:rsidR="00C64050">
        <w:t xml:space="preserve"> </w:t>
      </w:r>
      <w:r w:rsidRPr="00454670">
        <w:t>his</w:t>
      </w:r>
      <w:r w:rsidR="00C64050">
        <w:t xml:space="preserve"> </w:t>
      </w:r>
      <w:r w:rsidRPr="00454670">
        <w:t>or</w:t>
      </w:r>
      <w:r w:rsidR="00C64050">
        <w:t xml:space="preserve"> </w:t>
      </w:r>
      <w:r w:rsidRPr="00454670">
        <w:t>her</w:t>
      </w:r>
      <w:r w:rsidR="00C64050">
        <w:t xml:space="preserve"> </w:t>
      </w:r>
      <w:r w:rsidRPr="00454670">
        <w:t>beneficiaries</w:t>
      </w:r>
      <w:r w:rsidR="00C64050">
        <w:t xml:space="preserve"> </w:t>
      </w:r>
      <w:r w:rsidRPr="00454670">
        <w:t>will</w:t>
      </w:r>
      <w:r w:rsidR="00C64050">
        <w:t xml:space="preserve"> </w:t>
      </w:r>
      <w:r w:rsidRPr="00454670">
        <w:t>greatly</w:t>
      </w:r>
      <w:r w:rsidR="00C64050">
        <w:t xml:space="preserve"> </w:t>
      </w:r>
      <w:r w:rsidR="002A6275">
        <w:t>affect</w:t>
      </w:r>
      <w:r w:rsidR="00C64050">
        <w:t xml:space="preserve"> </w:t>
      </w:r>
      <w:r w:rsidRPr="00454670">
        <w:t>the</w:t>
      </w:r>
      <w:r w:rsidR="00C64050">
        <w:t xml:space="preserve"> </w:t>
      </w:r>
      <w:r w:rsidRPr="00454670">
        <w:t>estate</w:t>
      </w:r>
      <w:r w:rsidR="00C64050">
        <w:t xml:space="preserve"> </w:t>
      </w:r>
      <w:r w:rsidRPr="00454670">
        <w:t>plan.</w:t>
      </w:r>
      <w:r w:rsidR="00C64050">
        <w:t xml:space="preserve">  </w:t>
      </w:r>
      <w:r w:rsidRPr="00454670">
        <w:t>In</w:t>
      </w:r>
      <w:r w:rsidR="00C64050">
        <w:t xml:space="preserve"> </w:t>
      </w:r>
      <w:r w:rsidRPr="00454670">
        <w:t>other</w:t>
      </w:r>
      <w:r w:rsidR="00C64050">
        <w:t xml:space="preserve"> </w:t>
      </w:r>
      <w:r w:rsidRPr="00454670">
        <w:t>words,</w:t>
      </w:r>
      <w:r w:rsidR="00C64050">
        <w:t xml:space="preserve"> </w:t>
      </w:r>
      <w:r w:rsidRPr="00454670">
        <w:t>if</w:t>
      </w:r>
      <w:r w:rsidR="00C64050">
        <w:t xml:space="preserve"> </w:t>
      </w:r>
      <w:r w:rsidRPr="00454670">
        <w:t>a</w:t>
      </w:r>
      <w:r w:rsidR="00C64050">
        <w:t xml:space="preserve"> </w:t>
      </w:r>
      <w:r w:rsidRPr="00454670">
        <w:t>client</w:t>
      </w:r>
      <w:r w:rsidR="00C64050">
        <w:t xml:space="preserve"> </w:t>
      </w:r>
      <w:r w:rsidRPr="00454670">
        <w:t>is</w:t>
      </w:r>
      <w:r w:rsidR="00C64050">
        <w:t xml:space="preserve"> </w:t>
      </w:r>
      <w:r w:rsidRPr="00454670">
        <w:t>domiciled</w:t>
      </w:r>
      <w:r w:rsidR="00C64050">
        <w:t xml:space="preserve"> </w:t>
      </w:r>
      <w:r w:rsidRPr="00454670">
        <w:t>in</w:t>
      </w:r>
      <w:r w:rsidR="00C64050">
        <w:t xml:space="preserve"> </w:t>
      </w:r>
      <w:r w:rsidRPr="00454670">
        <w:t>California,</w:t>
      </w:r>
      <w:r w:rsidR="00C64050">
        <w:t xml:space="preserve"> </w:t>
      </w:r>
      <w:r w:rsidRPr="00454670">
        <w:t>and</w:t>
      </w:r>
      <w:r w:rsidR="00C64050">
        <w:t xml:space="preserve"> </w:t>
      </w:r>
      <w:r w:rsidRPr="00454670">
        <w:t>his</w:t>
      </w:r>
      <w:r w:rsidR="00C64050">
        <w:t xml:space="preserve"> </w:t>
      </w:r>
      <w:r w:rsidRPr="00454670">
        <w:t>or</w:t>
      </w:r>
      <w:r w:rsidR="00C64050">
        <w:t xml:space="preserve"> </w:t>
      </w:r>
      <w:r w:rsidRPr="00454670">
        <w:t>her</w:t>
      </w:r>
      <w:r w:rsidR="00C64050">
        <w:t xml:space="preserve"> </w:t>
      </w:r>
      <w:r w:rsidRPr="00454670">
        <w:t>beneficiaries</w:t>
      </w:r>
      <w:r w:rsidR="00C64050">
        <w:t xml:space="preserve"> </w:t>
      </w:r>
      <w:r w:rsidRPr="00454670">
        <w:t>living</w:t>
      </w:r>
      <w:r w:rsidR="00C64050">
        <w:t xml:space="preserve"> </w:t>
      </w:r>
      <w:r w:rsidRPr="00454670">
        <w:t>in</w:t>
      </w:r>
      <w:r w:rsidR="00C64050">
        <w:t xml:space="preserve"> </w:t>
      </w:r>
      <w:r w:rsidRPr="00454670">
        <w:t>California,</w:t>
      </w:r>
      <w:r w:rsidR="00C64050">
        <w:t xml:space="preserve"> </w:t>
      </w:r>
      <w:r w:rsidRPr="00454670">
        <w:t>then</w:t>
      </w:r>
      <w:r w:rsidR="00C64050">
        <w:t xml:space="preserve"> </w:t>
      </w:r>
      <w:r w:rsidRPr="00454670">
        <w:t>dying</w:t>
      </w:r>
      <w:r w:rsidR="00C64050">
        <w:t xml:space="preserve"> </w:t>
      </w:r>
      <w:r w:rsidRPr="00454670">
        <w:t>with</w:t>
      </w:r>
      <w:r w:rsidR="00C64050">
        <w:t xml:space="preserve"> </w:t>
      </w:r>
      <w:r w:rsidRPr="00454670">
        <w:t>the</w:t>
      </w:r>
      <w:r w:rsidR="00C64050">
        <w:t xml:space="preserve"> </w:t>
      </w:r>
      <w:r w:rsidRPr="00454670">
        <w:t>assets</w:t>
      </w:r>
      <w:r w:rsidR="00C64050">
        <w:t xml:space="preserve"> </w:t>
      </w:r>
      <w:r w:rsidRPr="00454670">
        <w:t>may</w:t>
      </w:r>
      <w:r w:rsidR="00C64050">
        <w:t xml:space="preserve"> </w:t>
      </w:r>
      <w:r w:rsidRPr="00454670">
        <w:t>be</w:t>
      </w:r>
      <w:r w:rsidR="00C64050">
        <w:t xml:space="preserve"> </w:t>
      </w:r>
      <w:r w:rsidRPr="00454670">
        <w:t>the</w:t>
      </w:r>
      <w:r w:rsidR="00C64050">
        <w:t xml:space="preserve"> </w:t>
      </w:r>
      <w:r w:rsidRPr="00454670">
        <w:t>extent</w:t>
      </w:r>
      <w:r w:rsidR="00C64050">
        <w:t xml:space="preserve"> </w:t>
      </w:r>
      <w:r w:rsidRPr="00454670">
        <w:t>of</w:t>
      </w:r>
      <w:r w:rsidR="00C64050">
        <w:t xml:space="preserve"> </w:t>
      </w:r>
      <w:r w:rsidRPr="00454670">
        <w:t>the</w:t>
      </w:r>
      <w:r w:rsidR="00C64050">
        <w:t xml:space="preserve"> </w:t>
      </w:r>
      <w:r w:rsidRPr="00454670">
        <w:t>tax</w:t>
      </w:r>
      <w:r w:rsidR="00C64050">
        <w:t xml:space="preserve"> </w:t>
      </w:r>
      <w:r w:rsidRPr="00454670">
        <w:t>planning.</w:t>
      </w:r>
      <w:r w:rsidR="00C64050">
        <w:t xml:space="preserve">  </w:t>
      </w:r>
      <w:r w:rsidRPr="00454670">
        <w:t>On</w:t>
      </w:r>
      <w:r w:rsidR="00C64050">
        <w:t xml:space="preserve"> </w:t>
      </w:r>
      <w:r w:rsidRPr="00454670">
        <w:t>the</w:t>
      </w:r>
      <w:r w:rsidR="00C64050">
        <w:t xml:space="preserve"> </w:t>
      </w:r>
      <w:r w:rsidRPr="00454670">
        <w:t>other</w:t>
      </w:r>
      <w:r w:rsidR="00C64050">
        <w:t xml:space="preserve"> </w:t>
      </w:r>
      <w:r w:rsidRPr="00454670">
        <w:t>hand,</w:t>
      </w:r>
      <w:r w:rsidR="00C64050">
        <w:t xml:space="preserve"> </w:t>
      </w:r>
      <w:r w:rsidRPr="00454670">
        <w:t>if</w:t>
      </w:r>
      <w:r w:rsidR="00C64050">
        <w:t xml:space="preserve"> </w:t>
      </w:r>
      <w:r w:rsidRPr="00454670">
        <w:t>the</w:t>
      </w:r>
      <w:r w:rsidR="00C64050">
        <w:t xml:space="preserve"> </w:t>
      </w:r>
      <w:r w:rsidRPr="00454670">
        <w:t>beneficiaries</w:t>
      </w:r>
      <w:r w:rsidR="00C64050">
        <w:t xml:space="preserve"> </w:t>
      </w:r>
      <w:r w:rsidRPr="00454670">
        <w:t>live</w:t>
      </w:r>
      <w:r w:rsidR="00C64050">
        <w:t xml:space="preserve"> </w:t>
      </w:r>
      <w:r w:rsidRPr="00454670">
        <w:t>in</w:t>
      </w:r>
      <w:r w:rsidR="00C64050">
        <w:t xml:space="preserve"> </w:t>
      </w:r>
      <w:r w:rsidRPr="00454670">
        <w:t>a</w:t>
      </w:r>
      <w:r w:rsidR="00C64050">
        <w:t xml:space="preserve"> </w:t>
      </w:r>
      <w:r w:rsidRPr="00454670">
        <w:t>state</w:t>
      </w:r>
      <w:r w:rsidR="00C64050">
        <w:t xml:space="preserve"> </w:t>
      </w:r>
      <w:r w:rsidRPr="00454670">
        <w:t>like</w:t>
      </w:r>
      <w:r w:rsidR="00C64050">
        <w:t xml:space="preserve"> </w:t>
      </w:r>
      <w:r w:rsidRPr="00454670">
        <w:t>Texas</w:t>
      </w:r>
      <w:r w:rsidR="00C64050">
        <w:t xml:space="preserve"> </w:t>
      </w:r>
      <w:r w:rsidRPr="00454670">
        <w:t>that</w:t>
      </w:r>
      <w:r w:rsidR="00C64050">
        <w:t xml:space="preserve"> </w:t>
      </w:r>
      <w:r w:rsidRPr="00454670">
        <w:t>has</w:t>
      </w:r>
      <w:r w:rsidR="00C64050">
        <w:t xml:space="preserve"> </w:t>
      </w:r>
      <w:r w:rsidRPr="00454670">
        <w:t>no</w:t>
      </w:r>
      <w:r w:rsidR="00C64050">
        <w:t xml:space="preserve"> </w:t>
      </w:r>
      <w:r w:rsidRPr="00454670">
        <w:t>state</w:t>
      </w:r>
      <w:r w:rsidR="00C64050">
        <w:t xml:space="preserve"> </w:t>
      </w:r>
      <w:r w:rsidRPr="00454670">
        <w:t>income</w:t>
      </w:r>
      <w:r w:rsidR="00C64050">
        <w:t xml:space="preserve"> </w:t>
      </w:r>
      <w:r w:rsidRPr="00454670">
        <w:t>tax,</w:t>
      </w:r>
      <w:r w:rsidR="00C64050">
        <w:t xml:space="preserve"> </w:t>
      </w:r>
      <w:r w:rsidRPr="00454670">
        <w:t>then</w:t>
      </w:r>
      <w:r w:rsidR="00C64050">
        <w:t xml:space="preserve"> </w:t>
      </w:r>
      <w:r w:rsidRPr="00454670">
        <w:t>transferring</w:t>
      </w:r>
      <w:r w:rsidR="00C64050">
        <w:t xml:space="preserve"> </w:t>
      </w:r>
      <w:r w:rsidRPr="00454670">
        <w:t>the</w:t>
      </w:r>
      <w:r w:rsidR="00C64050">
        <w:t xml:space="preserve"> </w:t>
      </w:r>
      <w:r w:rsidRPr="00454670">
        <w:t>assets</w:t>
      </w:r>
      <w:r w:rsidR="00C64050">
        <w:t xml:space="preserve"> </w:t>
      </w:r>
      <w:r w:rsidRPr="00454670">
        <w:t>out</w:t>
      </w:r>
      <w:r w:rsidR="00C64050">
        <w:t xml:space="preserve"> </w:t>
      </w:r>
      <w:r w:rsidRPr="00454670">
        <w:t>of</w:t>
      </w:r>
      <w:r w:rsidR="00C64050">
        <w:t xml:space="preserve"> </w:t>
      </w:r>
      <w:r w:rsidRPr="00454670">
        <w:t>the</w:t>
      </w:r>
      <w:r w:rsidR="00C64050">
        <w:t xml:space="preserve"> </w:t>
      </w:r>
      <w:r w:rsidRPr="00454670">
        <w:t>estate</w:t>
      </w:r>
      <w:r w:rsidR="00C64050">
        <w:t xml:space="preserve"> </w:t>
      </w:r>
      <w:r w:rsidRPr="00454670">
        <w:t>during</w:t>
      </w:r>
      <w:r w:rsidR="00C64050">
        <w:t xml:space="preserve"> </w:t>
      </w:r>
      <w:r w:rsidRPr="00454670">
        <w:t>the</w:t>
      </w:r>
      <w:r w:rsidR="00C64050">
        <w:t xml:space="preserve"> </w:t>
      </w:r>
      <w:r w:rsidRPr="00454670">
        <w:t>lifetime</w:t>
      </w:r>
      <w:r w:rsidR="00C64050">
        <w:t xml:space="preserve"> </w:t>
      </w:r>
      <w:r w:rsidRPr="00454670">
        <w:t>of</w:t>
      </w:r>
      <w:r w:rsidR="00C64050">
        <w:t xml:space="preserve"> </w:t>
      </w:r>
      <w:r w:rsidRPr="00454670">
        <w:t>the</w:t>
      </w:r>
      <w:r w:rsidR="00C64050">
        <w:t xml:space="preserve"> </w:t>
      </w:r>
      <w:r w:rsidRPr="00454670">
        <w:t>client</w:t>
      </w:r>
      <w:r w:rsidR="00C64050">
        <w:t xml:space="preserve"> </w:t>
      </w:r>
      <w:r w:rsidRPr="00454670">
        <w:t>may</w:t>
      </w:r>
      <w:r w:rsidR="00C64050">
        <w:t xml:space="preserve"> </w:t>
      </w:r>
      <w:r w:rsidRPr="00454670">
        <w:t>be</w:t>
      </w:r>
      <w:r w:rsidR="00C64050">
        <w:t xml:space="preserve"> </w:t>
      </w:r>
      <w:r w:rsidRPr="00454670">
        <w:t>warranted.</w:t>
      </w:r>
      <w:r w:rsidR="00C64050">
        <w:t xml:space="preserve">  </w:t>
      </w:r>
      <w:r w:rsidRPr="00454670">
        <w:t>As</w:t>
      </w:r>
      <w:r w:rsidR="00C64050">
        <w:t xml:space="preserve"> </w:t>
      </w:r>
      <w:r w:rsidRPr="00454670">
        <w:t>a</w:t>
      </w:r>
      <w:r w:rsidR="00C64050">
        <w:t xml:space="preserve"> </w:t>
      </w:r>
      <w:r w:rsidRPr="00454670">
        <w:t>result,</w:t>
      </w:r>
      <w:r w:rsidR="00C64050">
        <w:t xml:space="preserve"> </w:t>
      </w:r>
      <w:r w:rsidRPr="00454670">
        <w:t>estate</w:t>
      </w:r>
      <w:r w:rsidR="00C64050">
        <w:t xml:space="preserve"> </w:t>
      </w:r>
      <w:r w:rsidRPr="00454670">
        <w:t>planners</w:t>
      </w:r>
      <w:r w:rsidR="00C64050">
        <w:t xml:space="preserve"> </w:t>
      </w:r>
      <w:r w:rsidRPr="00454670">
        <w:t>will</w:t>
      </w:r>
      <w:r w:rsidR="00C64050">
        <w:t xml:space="preserve"> </w:t>
      </w:r>
      <w:r w:rsidRPr="00454670">
        <w:t>need</w:t>
      </w:r>
      <w:r w:rsidR="00C64050">
        <w:t xml:space="preserve"> </w:t>
      </w:r>
      <w:r w:rsidRPr="00454670">
        <w:t>to</w:t>
      </w:r>
      <w:r w:rsidR="00C64050">
        <w:t xml:space="preserve"> </w:t>
      </w:r>
      <w:r w:rsidRPr="00454670">
        <w:t>ask</w:t>
      </w:r>
      <w:r w:rsidR="00C64050">
        <w:t xml:space="preserve"> </w:t>
      </w:r>
      <w:r w:rsidRPr="00454670">
        <w:t>clients</w:t>
      </w:r>
      <w:r w:rsidR="00C64050">
        <w:t xml:space="preserve"> </w:t>
      </w:r>
      <w:r w:rsidRPr="00454670">
        <w:t>two</w:t>
      </w:r>
      <w:r w:rsidR="00C64050">
        <w:t xml:space="preserve"> </w:t>
      </w:r>
      <w:r w:rsidRPr="00454670">
        <w:t>questions</w:t>
      </w:r>
      <w:r w:rsidR="00C64050">
        <w:t xml:space="preserve"> </w:t>
      </w:r>
      <w:r w:rsidRPr="00454670">
        <w:t>that,</w:t>
      </w:r>
      <w:r w:rsidR="00C64050">
        <w:t xml:space="preserve"> </w:t>
      </w:r>
      <w:r w:rsidRPr="00454670">
        <w:t>in</w:t>
      </w:r>
      <w:r w:rsidR="00C64050">
        <w:t xml:space="preserve"> </w:t>
      </w:r>
      <w:r w:rsidRPr="00454670">
        <w:t>the</w:t>
      </w:r>
      <w:r w:rsidR="00C64050">
        <w:t xml:space="preserve"> </w:t>
      </w:r>
      <w:r w:rsidRPr="00454670">
        <w:t>past,</w:t>
      </w:r>
      <w:r w:rsidR="00C64050">
        <w:t xml:space="preserve"> </w:t>
      </w:r>
      <w:r w:rsidRPr="00454670">
        <w:t>did</w:t>
      </w:r>
      <w:r w:rsidR="00C64050">
        <w:t xml:space="preserve"> </w:t>
      </w:r>
      <w:r w:rsidRPr="00454670">
        <w:t>not</w:t>
      </w:r>
      <w:r w:rsidR="00C64050">
        <w:t xml:space="preserve"> </w:t>
      </w:r>
      <w:r w:rsidRPr="00454670">
        <w:t>significantly</w:t>
      </w:r>
      <w:r w:rsidR="00C64050">
        <w:t xml:space="preserve"> </w:t>
      </w:r>
      <w:r w:rsidRPr="00454670">
        <w:t>matter:</w:t>
      </w:r>
      <w:r w:rsidR="00C64050">
        <w:t xml:space="preserve">  </w:t>
      </w:r>
      <w:r w:rsidR="002C7598">
        <w:t>(a)</w:t>
      </w:r>
      <w:r w:rsidR="00C64050">
        <w:t xml:space="preserve"> </w:t>
      </w:r>
      <w:r w:rsidRPr="00454670">
        <w:t>Where</w:t>
      </w:r>
      <w:r w:rsidR="00C64050">
        <w:t xml:space="preserve"> </w:t>
      </w:r>
      <w:r w:rsidRPr="00454670">
        <w:t>are</w:t>
      </w:r>
      <w:r w:rsidR="00C64050">
        <w:t xml:space="preserve"> </w:t>
      </w:r>
      <w:r w:rsidRPr="00454670">
        <w:t>you</w:t>
      </w:r>
      <w:r w:rsidR="00C64050">
        <w:t xml:space="preserve"> </w:t>
      </w:r>
      <w:r w:rsidRPr="002C7598">
        <w:rPr>
          <w:color w:val="000000"/>
        </w:rPr>
        <w:t>likely</w:t>
      </w:r>
      <w:r w:rsidR="00C64050">
        <w:t xml:space="preserve"> </w:t>
      </w:r>
      <w:r w:rsidRPr="00454670">
        <w:t>to</w:t>
      </w:r>
      <w:r w:rsidR="00C64050">
        <w:t xml:space="preserve"> </w:t>
      </w:r>
      <w:r w:rsidRPr="00454670">
        <w:t>be</w:t>
      </w:r>
      <w:r w:rsidR="00C64050">
        <w:t xml:space="preserve"> </w:t>
      </w:r>
      <w:r w:rsidRPr="00454670">
        <w:t>domiciled</w:t>
      </w:r>
      <w:r w:rsidR="00C64050">
        <w:t xml:space="preserve"> </w:t>
      </w:r>
      <w:r w:rsidRPr="00454670">
        <w:t>at</w:t>
      </w:r>
      <w:r w:rsidR="00C64050">
        <w:t xml:space="preserve"> </w:t>
      </w:r>
      <w:r w:rsidRPr="00454670">
        <w:t>your</w:t>
      </w:r>
      <w:r w:rsidR="00C64050">
        <w:t xml:space="preserve"> </w:t>
      </w:r>
      <w:r w:rsidRPr="00454670">
        <w:t>death?</w:t>
      </w:r>
      <w:r w:rsidR="00C64050">
        <w:t xml:space="preserve"> </w:t>
      </w:r>
      <w:r w:rsidR="002C7598">
        <w:t>and</w:t>
      </w:r>
      <w:r w:rsidR="00C64050">
        <w:t xml:space="preserve"> </w:t>
      </w:r>
      <w:r w:rsidR="002C7598">
        <w:t>(b)</w:t>
      </w:r>
      <w:r w:rsidR="00C64050">
        <w:t xml:space="preserve"> </w:t>
      </w:r>
      <w:r w:rsidRPr="00454670">
        <w:t>Naturally,</w:t>
      </w:r>
      <w:r w:rsidR="00C64050">
        <w:t xml:space="preserve"> </w:t>
      </w:r>
      <w:r w:rsidRPr="00454670">
        <w:t>at</w:t>
      </w:r>
      <w:r w:rsidR="00C64050">
        <w:t xml:space="preserve"> </w:t>
      </w:r>
      <w:r w:rsidRPr="00454670">
        <w:t>your</w:t>
      </w:r>
      <w:r w:rsidR="00C64050">
        <w:t xml:space="preserve"> </w:t>
      </w:r>
      <w:r w:rsidRPr="00454670">
        <w:t>death,</w:t>
      </w:r>
      <w:r w:rsidR="00C64050">
        <w:t xml:space="preserve"> </w:t>
      </w:r>
      <w:r w:rsidRPr="00454670">
        <w:t>your</w:t>
      </w:r>
      <w:r w:rsidR="00C64050">
        <w:t xml:space="preserve"> </w:t>
      </w:r>
      <w:r w:rsidRPr="00454670">
        <w:t>children,</w:t>
      </w:r>
      <w:r w:rsidR="00C64050">
        <w:t xml:space="preserve"> </w:t>
      </w:r>
      <w:r w:rsidRPr="00454670">
        <w:t>grandchildren,</w:t>
      </w:r>
      <w:r w:rsidR="00C64050">
        <w:t xml:space="preserve"> </w:t>
      </w:r>
      <w:r w:rsidRPr="00454670">
        <w:t>and</w:t>
      </w:r>
      <w:r w:rsidR="00C64050">
        <w:t xml:space="preserve"> </w:t>
      </w:r>
      <w:r w:rsidRPr="00454670">
        <w:t>other</w:t>
      </w:r>
      <w:r w:rsidR="00C64050">
        <w:t xml:space="preserve"> </w:t>
      </w:r>
      <w:r w:rsidRPr="00454670">
        <w:t>beneficiaries</w:t>
      </w:r>
      <w:r w:rsidR="00C64050">
        <w:t xml:space="preserve"> </w:t>
      </w:r>
      <w:r w:rsidRPr="00454670">
        <w:t>will</w:t>
      </w:r>
      <w:r w:rsidR="00C64050">
        <w:t xml:space="preserve"> </w:t>
      </w:r>
      <w:r w:rsidRPr="00454670">
        <w:t>be</w:t>
      </w:r>
      <w:r w:rsidR="00C64050">
        <w:t xml:space="preserve"> </w:t>
      </w:r>
      <w:r w:rsidRPr="00454670">
        <w:t>lovingly</w:t>
      </w:r>
      <w:r w:rsidR="00C64050">
        <w:t xml:space="preserve"> </w:t>
      </w:r>
      <w:r w:rsidRPr="00454670">
        <w:t>at</w:t>
      </w:r>
      <w:r w:rsidR="00C64050">
        <w:t xml:space="preserve"> </w:t>
      </w:r>
      <w:r w:rsidRPr="00454670">
        <w:t>your</w:t>
      </w:r>
      <w:r w:rsidR="00C64050">
        <w:t xml:space="preserve"> </w:t>
      </w:r>
      <w:r w:rsidRPr="00454670">
        <w:t>bedside,</w:t>
      </w:r>
      <w:r w:rsidR="00C64050">
        <w:t xml:space="preserve"> </w:t>
      </w:r>
      <w:r w:rsidRPr="00454670">
        <w:t>but</w:t>
      </w:r>
      <w:r w:rsidR="00C64050">
        <w:t xml:space="preserve"> </w:t>
      </w:r>
      <w:r w:rsidRPr="00454670">
        <w:t>where</w:t>
      </w:r>
      <w:r w:rsidR="00C64050">
        <w:t xml:space="preserve"> </w:t>
      </w:r>
      <w:r w:rsidRPr="00454670">
        <w:t>are</w:t>
      </w:r>
      <w:r w:rsidR="00C64050">
        <w:t xml:space="preserve"> </w:t>
      </w:r>
      <w:r w:rsidRPr="00454670">
        <w:t>they</w:t>
      </w:r>
      <w:r w:rsidR="00C64050">
        <w:t xml:space="preserve"> </w:t>
      </w:r>
      <w:r w:rsidRPr="00454670">
        <w:t>likely</w:t>
      </w:r>
      <w:r w:rsidR="00C64050">
        <w:t xml:space="preserve"> </w:t>
      </w:r>
      <w:r w:rsidRPr="00454670">
        <w:t>to</w:t>
      </w:r>
      <w:r w:rsidR="00C64050">
        <w:t xml:space="preserve"> </w:t>
      </w:r>
      <w:r w:rsidRPr="00454670">
        <w:t>be</w:t>
      </w:r>
      <w:r w:rsidR="00C64050">
        <w:t xml:space="preserve"> </w:t>
      </w:r>
      <w:r w:rsidRPr="00454670">
        <w:t>domiciled</w:t>
      </w:r>
      <w:r w:rsidR="00C64050">
        <w:t xml:space="preserve"> </w:t>
      </w:r>
      <w:r w:rsidRPr="00454670">
        <w:t>then?</w:t>
      </w:r>
    </w:p>
    <w:p w:rsidR="00D017BD" w:rsidRPr="00D017BD" w:rsidRDefault="00D017BD" w:rsidP="00D017BD">
      <w:pPr>
        <w:pStyle w:val="Body15"/>
      </w:pPr>
      <w:r>
        <w:t xml:space="preserve">Another example </w:t>
      </w:r>
      <w:r w:rsidR="00CD6FC4">
        <w:t xml:space="preserve">of the importance of domicile can be seen in </w:t>
      </w:r>
      <w:r>
        <w:rPr>
          <w:u w:val="single"/>
        </w:rPr>
        <w:t>Shaffer v. Commissioner of Revenue</w:t>
      </w:r>
      <w:r>
        <w:t>, 148 N.E.3d 1197 (Ma. 2020)</w:t>
      </w:r>
      <w:r w:rsidR="00CD6FC4">
        <w:t>,</w:t>
      </w:r>
      <w:r>
        <w:t xml:space="preserve"> in which the first spouse to die </w:t>
      </w:r>
      <w:r w:rsidR="00CD6FC4">
        <w:t xml:space="preserve">did </w:t>
      </w:r>
      <w:r>
        <w:t xml:space="preserve">so domiciled in New York leaving a QTIP trust for the survivor who </w:t>
      </w:r>
      <w:r w:rsidR="00CD6FC4">
        <w:t xml:space="preserve">later </w:t>
      </w:r>
      <w:r>
        <w:t>died domiciled in Massachusetts in 2011.  Massachusetts had a</w:t>
      </w:r>
      <w:r w:rsidR="00CD6FC4">
        <w:t>n</w:t>
      </w:r>
      <w:r>
        <w:t xml:space="preserve"> estate tax based on the size of the federal estate, which included the QTIP assets.  The estate argued no Massachusetts QTIP election had been made but the court determined that was not relevant here.  The estate also argued that the estate tax was unconstitutional when applied in this manner.</w:t>
      </w:r>
      <w:r w:rsidR="009156F5">
        <w:t xml:space="preserve">  The court concluded that the state could tax transfers of property rights and that the decedent’s right in the QTIP transferred to the remainder beneficiaries at her death.  The US Supreme Court declined to hear the case.</w:t>
      </w:r>
    </w:p>
    <w:p w:rsidR="00363600" w:rsidRDefault="00363600">
      <w:pPr>
        <w:rPr>
          <w:rFonts w:eastAsia="MS Mincho"/>
          <w:b/>
          <w:szCs w:val="20"/>
          <w:u w:val="single"/>
        </w:rPr>
      </w:pPr>
      <w:bookmarkStart w:id="59" w:name="_Toc376946722"/>
      <w:bookmarkStart w:id="60" w:name="_Toc376948362"/>
      <w:bookmarkStart w:id="61" w:name="_Toc376949156"/>
      <w:r>
        <w:rPr>
          <w:b/>
          <w:u w:val="single"/>
        </w:rPr>
        <w:br w:type="page"/>
      </w:r>
    </w:p>
    <w:p w:rsidR="008059B8" w:rsidRPr="00D70884" w:rsidRDefault="008059B8" w:rsidP="00456BDE">
      <w:pPr>
        <w:pStyle w:val="LFLevel2"/>
        <w:rPr>
          <w:b/>
          <w:u w:val="single"/>
        </w:rPr>
      </w:pPr>
      <w:bookmarkStart w:id="62" w:name="_Toc94704606"/>
      <w:r w:rsidRPr="00D70884">
        <w:rPr>
          <w:b/>
          <w:u w:val="single"/>
        </w:rPr>
        <w:t>Portability</w:t>
      </w:r>
      <w:r w:rsidR="00C64050">
        <w:rPr>
          <w:b/>
          <w:u w:val="single"/>
        </w:rPr>
        <w:t xml:space="preserve"> </w:t>
      </w:r>
      <w:bookmarkEnd w:id="59"/>
      <w:bookmarkEnd w:id="60"/>
      <w:bookmarkEnd w:id="61"/>
      <w:r w:rsidR="001D718C" w:rsidRPr="00D70884">
        <w:rPr>
          <w:b/>
          <w:u w:val="single"/>
        </w:rPr>
        <w:t>Planning</w:t>
      </w:r>
      <w:bookmarkEnd w:id="62"/>
    </w:p>
    <w:p w:rsidR="008059B8" w:rsidRPr="00454670" w:rsidRDefault="001D718C" w:rsidP="009676E9">
      <w:pPr>
        <w:pStyle w:val="LFLevel3"/>
        <w:ind w:left="0" w:firstLine="1440"/>
      </w:pPr>
      <w:r>
        <w:t>P</w:t>
      </w:r>
      <w:r w:rsidR="008059B8" w:rsidRPr="00454670">
        <w:t>ortability,</w:t>
      </w:r>
      <w:r w:rsidR="00C64050">
        <w:t xml:space="preserve"> </w:t>
      </w:r>
      <w:r w:rsidR="008059B8" w:rsidRPr="00454670">
        <w:t>at</w:t>
      </w:r>
      <w:r w:rsidR="00C64050">
        <w:t xml:space="preserve"> </w:t>
      </w:r>
      <w:r w:rsidR="008059B8" w:rsidRPr="00454670">
        <w:t>least</w:t>
      </w:r>
      <w:r w:rsidR="00C64050">
        <w:t xml:space="preserve"> </w:t>
      </w:r>
      <w:r w:rsidR="008059B8" w:rsidRPr="00454670">
        <w:t>in</w:t>
      </w:r>
      <w:r w:rsidR="00C64050">
        <w:t xml:space="preserve"> </w:t>
      </w:r>
      <w:r w:rsidR="008059B8" w:rsidRPr="00454670">
        <w:t>theory,</w:t>
      </w:r>
      <w:r w:rsidR="00C64050">
        <w:t xml:space="preserve"> </w:t>
      </w:r>
      <w:r w:rsidR="008059B8" w:rsidRPr="00454670">
        <w:t>can</w:t>
      </w:r>
      <w:r w:rsidR="00C64050">
        <w:t xml:space="preserve"> </w:t>
      </w:r>
      <w:r w:rsidR="008059B8" w:rsidRPr="00454670">
        <w:t>provide</w:t>
      </w:r>
      <w:r w:rsidR="00C64050">
        <w:t xml:space="preserve"> </w:t>
      </w:r>
      <w:r w:rsidR="008059B8" w:rsidRPr="00454670">
        <w:t>additional</w:t>
      </w:r>
      <w:r w:rsidR="00C64050">
        <w:t xml:space="preserve"> </w:t>
      </w:r>
      <w:r w:rsidR="008059B8" w:rsidRPr="00454670">
        <w:t>capacity</w:t>
      </w:r>
      <w:r w:rsidR="00C64050">
        <w:t xml:space="preserve"> </w:t>
      </w:r>
      <w:r w:rsidR="008059B8" w:rsidRPr="00454670">
        <w:t>for</w:t>
      </w:r>
      <w:r w:rsidR="00C64050">
        <w:t xml:space="preserve"> </w:t>
      </w:r>
      <w:r w:rsidR="008059B8" w:rsidRPr="00454670">
        <w:t>the</w:t>
      </w:r>
      <w:r w:rsidR="00C64050">
        <w:t xml:space="preserve"> </w:t>
      </w:r>
      <w:r w:rsidR="008059B8" w:rsidRPr="00454670">
        <w:t>surviving</w:t>
      </w:r>
      <w:r w:rsidR="00C64050">
        <w:t xml:space="preserve"> </w:t>
      </w:r>
      <w:r w:rsidR="008059B8" w:rsidRPr="00454670">
        <w:t>spouse’s</w:t>
      </w:r>
      <w:r w:rsidR="00C64050">
        <w:t xml:space="preserve"> </w:t>
      </w:r>
      <w:r w:rsidR="008059B8" w:rsidRPr="00454670">
        <w:t>estate</w:t>
      </w:r>
      <w:r w:rsidR="00C64050">
        <w:t xml:space="preserve"> </w:t>
      </w:r>
      <w:r w:rsidR="008059B8" w:rsidRPr="00454670">
        <w:t>to</w:t>
      </w:r>
      <w:r w:rsidR="00C64050">
        <w:t xml:space="preserve"> </w:t>
      </w:r>
      <w:r w:rsidR="008059B8" w:rsidRPr="00454670">
        <w:t>benefit</w:t>
      </w:r>
      <w:r w:rsidR="00C64050">
        <w:t xml:space="preserve"> </w:t>
      </w:r>
      <w:r w:rsidR="008059B8" w:rsidRPr="00454670">
        <w:t>from</w:t>
      </w:r>
      <w:r w:rsidR="00C64050">
        <w:t xml:space="preserve"> </w:t>
      </w:r>
      <w:r w:rsidR="008059B8" w:rsidRPr="00454670">
        <w:t>a</w:t>
      </w:r>
      <w:r w:rsidR="00C64050">
        <w:t xml:space="preserve"> </w:t>
      </w:r>
      <w:r w:rsidR="008059B8" w:rsidRPr="00454670">
        <w:t>“step-up”</w:t>
      </w:r>
      <w:r w:rsidR="00C64050">
        <w:t xml:space="preserve"> </w:t>
      </w:r>
      <w:r w:rsidR="008059B8" w:rsidRPr="00454670">
        <w:t>in</w:t>
      </w:r>
      <w:r w:rsidR="00C64050">
        <w:t xml:space="preserve"> </w:t>
      </w:r>
      <w:r w:rsidR="008059B8" w:rsidRPr="00454670">
        <w:t>basis</w:t>
      </w:r>
      <w:r w:rsidR="00C64050">
        <w:t xml:space="preserve"> </w:t>
      </w:r>
      <w:r w:rsidR="008059B8" w:rsidRPr="00454670">
        <w:t>with</w:t>
      </w:r>
      <w:r w:rsidR="00C64050">
        <w:t xml:space="preserve"> </w:t>
      </w:r>
      <w:r w:rsidR="008059B8" w:rsidRPr="00454670">
        <w:t>little</w:t>
      </w:r>
      <w:r w:rsidR="00C64050">
        <w:t xml:space="preserve"> </w:t>
      </w:r>
      <w:r w:rsidR="008059B8" w:rsidRPr="00454670">
        <w:t>or</w:t>
      </w:r>
      <w:r w:rsidR="00C64050">
        <w:t xml:space="preserve"> </w:t>
      </w:r>
      <w:r w:rsidR="008059B8" w:rsidRPr="00454670">
        <w:t>no</w:t>
      </w:r>
      <w:r w:rsidR="00C64050">
        <w:t xml:space="preserve"> </w:t>
      </w:r>
      <w:r w:rsidR="008059B8" w:rsidRPr="00454670">
        <w:t>transfer</w:t>
      </w:r>
      <w:r w:rsidR="00C64050">
        <w:t xml:space="preserve"> </w:t>
      </w:r>
      <w:r w:rsidR="008059B8" w:rsidRPr="00454670">
        <w:t>tax</w:t>
      </w:r>
      <w:r w:rsidR="00C64050">
        <w:t xml:space="preserve"> </w:t>
      </w:r>
      <w:r w:rsidR="008059B8" w:rsidRPr="00454670">
        <w:t>costs.</w:t>
      </w:r>
      <w:r w:rsidR="00C64050">
        <w:t xml:space="preserve">  </w:t>
      </w:r>
      <w:r w:rsidR="00773C5D">
        <w:t>The</w:t>
      </w:r>
      <w:r w:rsidR="00C64050">
        <w:t xml:space="preserve"> </w:t>
      </w:r>
      <w:r w:rsidR="00773C5D">
        <w:t>extent</w:t>
      </w:r>
      <w:r w:rsidR="00C64050">
        <w:t xml:space="preserve"> </w:t>
      </w:r>
      <w:r w:rsidR="00773C5D">
        <w:t>to</w:t>
      </w:r>
      <w:r w:rsidR="00C64050">
        <w:t xml:space="preserve"> </w:t>
      </w:r>
      <w:r w:rsidR="00773C5D">
        <w:t>which</w:t>
      </w:r>
      <w:r w:rsidR="00C64050">
        <w:t xml:space="preserve"> </w:t>
      </w:r>
      <w:r w:rsidR="00773C5D">
        <w:t>portability</w:t>
      </w:r>
      <w:r w:rsidR="00C64050">
        <w:t xml:space="preserve"> </w:t>
      </w:r>
      <w:r w:rsidR="00773C5D">
        <w:t>is</w:t>
      </w:r>
      <w:r w:rsidR="00C64050">
        <w:t xml:space="preserve"> </w:t>
      </w:r>
      <w:r w:rsidR="00773C5D">
        <w:t>being</w:t>
      </w:r>
      <w:r w:rsidR="00C64050">
        <w:t xml:space="preserve"> </w:t>
      </w:r>
      <w:r w:rsidR="00773C5D">
        <w:t>used</w:t>
      </w:r>
      <w:r w:rsidR="00C64050">
        <w:t xml:space="preserve"> </w:t>
      </w:r>
      <w:r w:rsidR="00773C5D">
        <w:t>is</w:t>
      </w:r>
      <w:r w:rsidR="00C64050">
        <w:t xml:space="preserve"> </w:t>
      </w:r>
      <w:r w:rsidR="00773C5D">
        <w:t>uncertain.</w:t>
      </w:r>
      <w:r w:rsidR="00C64050">
        <w:t xml:space="preserve">  </w:t>
      </w:r>
      <w:r w:rsidR="00773C5D">
        <w:t>The</w:t>
      </w:r>
      <w:r w:rsidR="00C64050">
        <w:t xml:space="preserve"> </w:t>
      </w:r>
      <w:r w:rsidR="00773C5D">
        <w:t>2017</w:t>
      </w:r>
      <w:r w:rsidR="00C64050">
        <w:t xml:space="preserve"> </w:t>
      </w:r>
      <w:r w:rsidR="00773C5D">
        <w:t>IRS</w:t>
      </w:r>
      <w:r w:rsidR="00C64050">
        <w:t xml:space="preserve"> </w:t>
      </w:r>
      <w:r w:rsidR="00773C5D">
        <w:t>statistical</w:t>
      </w:r>
      <w:r w:rsidR="00C64050">
        <w:t xml:space="preserve"> </w:t>
      </w:r>
      <w:r w:rsidR="00773C5D">
        <w:t>data</w:t>
      </w:r>
      <w:r w:rsidR="00C64050">
        <w:t xml:space="preserve"> </w:t>
      </w:r>
      <w:r w:rsidR="00773C5D">
        <w:t>showed</w:t>
      </w:r>
      <w:r w:rsidR="00C64050">
        <w:t xml:space="preserve"> </w:t>
      </w:r>
      <w:r w:rsidR="00773C5D">
        <w:t>only</w:t>
      </w:r>
      <w:r w:rsidR="00C64050">
        <w:t xml:space="preserve"> </w:t>
      </w:r>
      <w:r w:rsidR="00773C5D">
        <w:t>681</w:t>
      </w:r>
      <w:r w:rsidR="00C64050">
        <w:t xml:space="preserve"> </w:t>
      </w:r>
      <w:r w:rsidR="00773C5D">
        <w:t>nontaxable</w:t>
      </w:r>
      <w:r w:rsidR="00C64050">
        <w:t xml:space="preserve"> </w:t>
      </w:r>
      <w:r w:rsidR="00773C5D">
        <w:t>portability</w:t>
      </w:r>
      <w:r w:rsidR="00C64050">
        <w:t xml:space="preserve"> </w:t>
      </w:r>
      <w:r w:rsidR="00773C5D">
        <w:t>returns</w:t>
      </w:r>
      <w:r w:rsidR="00C64050">
        <w:t xml:space="preserve"> </w:t>
      </w:r>
      <w:r w:rsidR="00773C5D">
        <w:t>filed.</w:t>
      </w:r>
    </w:p>
    <w:p w:rsidR="008059B8" w:rsidRPr="00454670" w:rsidRDefault="008059B8" w:rsidP="009676E9">
      <w:pPr>
        <w:pStyle w:val="LFLevel3"/>
        <w:ind w:left="0" w:firstLine="1440"/>
      </w:pPr>
      <w:r w:rsidRPr="00454670">
        <w:t>In</w:t>
      </w:r>
      <w:r w:rsidR="00C64050">
        <w:t xml:space="preserve"> </w:t>
      </w:r>
      <w:r w:rsidRPr="00454670">
        <w:t>traditional</w:t>
      </w:r>
      <w:r w:rsidR="00C64050">
        <w:t xml:space="preserve"> </w:t>
      </w:r>
      <w:r w:rsidRPr="00454670">
        <w:t>by-pass</w:t>
      </w:r>
      <w:r w:rsidR="00C64050">
        <w:t xml:space="preserve"> </w:t>
      </w:r>
      <w:r w:rsidRPr="00454670">
        <w:t>trust</w:t>
      </w:r>
      <w:r w:rsidR="00C64050">
        <w:t xml:space="preserve"> </w:t>
      </w:r>
      <w:r w:rsidRPr="00454670">
        <w:t>planning,</w:t>
      </w:r>
      <w:r w:rsidR="00C64050">
        <w:t xml:space="preserve"> </w:t>
      </w:r>
      <w:r w:rsidRPr="00454670">
        <w:t>upon</w:t>
      </w:r>
      <w:r w:rsidR="00C64050">
        <w:t xml:space="preserve"> </w:t>
      </w:r>
      <w:r w:rsidRPr="00454670">
        <w:t>the</w:t>
      </w:r>
      <w:r w:rsidR="00C64050">
        <w:t xml:space="preserve"> </w:t>
      </w:r>
      <w:r w:rsidRPr="00454670">
        <w:t>death</w:t>
      </w:r>
      <w:r w:rsidR="00C64050">
        <w:t xml:space="preserve"> </w:t>
      </w:r>
      <w:r w:rsidRPr="00454670">
        <w:t>an</w:t>
      </w:r>
      <w:r w:rsidR="00C64050">
        <w:t xml:space="preserve"> </w:t>
      </w:r>
      <w:r w:rsidRPr="00454670">
        <w:t>individual</w:t>
      </w:r>
      <w:r w:rsidR="00C64050">
        <w:t xml:space="preserve"> </w:t>
      </w:r>
      <w:r w:rsidRPr="00454670">
        <w:t>who</w:t>
      </w:r>
      <w:r w:rsidR="00C64050">
        <w:t xml:space="preserve"> </w:t>
      </w:r>
      <w:r w:rsidRPr="00454670">
        <w:t>has</w:t>
      </w:r>
      <w:r w:rsidR="00C64050">
        <w:t xml:space="preserve"> </w:t>
      </w:r>
      <w:r w:rsidRPr="00454670">
        <w:t>a</w:t>
      </w:r>
      <w:r w:rsidR="00C64050">
        <w:t xml:space="preserve"> </w:t>
      </w:r>
      <w:r w:rsidRPr="00454670">
        <w:t>surviving</w:t>
      </w:r>
      <w:r w:rsidR="00C64050">
        <w:t xml:space="preserve"> </w:t>
      </w:r>
      <w:r w:rsidRPr="00454670">
        <w:t>spouse,</w:t>
      </w:r>
      <w:r w:rsidR="00C64050">
        <w:t xml:space="preserve"> </w:t>
      </w:r>
      <w:r w:rsidRPr="00454670">
        <w:t>assets</w:t>
      </w:r>
      <w:r w:rsidR="00C64050">
        <w:t xml:space="preserve"> </w:t>
      </w:r>
      <w:r w:rsidRPr="00454670">
        <w:t>of</w:t>
      </w:r>
      <w:r w:rsidR="00C64050">
        <w:t xml:space="preserve"> </w:t>
      </w:r>
      <w:r w:rsidRPr="00454670">
        <w:t>the</w:t>
      </w:r>
      <w:r w:rsidR="00C64050">
        <w:t xml:space="preserve"> </w:t>
      </w:r>
      <w:r w:rsidRPr="00454670">
        <w:t>estate</w:t>
      </w:r>
      <w:r w:rsidR="00C64050">
        <w:t xml:space="preserve"> </w:t>
      </w:r>
      <w:r w:rsidRPr="00454670">
        <w:t>equal</w:t>
      </w:r>
      <w:r w:rsidR="00C64050">
        <w:t xml:space="preserve"> </w:t>
      </w:r>
      <w:r w:rsidRPr="00454670">
        <w:t>in</w:t>
      </w:r>
      <w:r w:rsidR="00C64050">
        <w:t xml:space="preserve"> </w:t>
      </w:r>
      <w:r w:rsidRPr="00454670">
        <w:t>value</w:t>
      </w:r>
      <w:r w:rsidR="00C64050">
        <w:t xml:space="preserve"> </w:t>
      </w:r>
      <w:r w:rsidRPr="00454670">
        <w:t>to</w:t>
      </w:r>
      <w:r w:rsidR="00C64050">
        <w:t xml:space="preserve"> </w:t>
      </w:r>
      <w:r w:rsidRPr="00454670">
        <w:t>the</w:t>
      </w:r>
      <w:r w:rsidR="00C64050">
        <w:t xml:space="preserve"> </w:t>
      </w:r>
      <w:r w:rsidRPr="00454670">
        <w:t>decedent’s</w:t>
      </w:r>
      <w:r w:rsidR="00C64050">
        <w:t xml:space="preserve"> </w:t>
      </w:r>
      <w:r w:rsidRPr="00454670">
        <w:t>unused</w:t>
      </w:r>
      <w:r w:rsidR="00C64050">
        <w:t xml:space="preserve"> </w:t>
      </w:r>
      <w:r w:rsidRPr="00454670">
        <w:t>Applicable</w:t>
      </w:r>
      <w:r w:rsidR="00C64050">
        <w:t xml:space="preserve"> </w:t>
      </w:r>
      <w:r w:rsidRPr="00454670">
        <w:t>Exclusion</w:t>
      </w:r>
      <w:r w:rsidR="00C64050">
        <w:t xml:space="preserve"> </w:t>
      </w:r>
      <w:r w:rsidRPr="00454670">
        <w:t>Amount</w:t>
      </w:r>
      <w:r w:rsidR="00C64050">
        <w:t xml:space="preserve"> </w:t>
      </w:r>
      <w:r w:rsidRPr="00454670">
        <w:t>fund</w:t>
      </w:r>
      <w:r w:rsidR="00C64050">
        <w:t xml:space="preserve"> </w:t>
      </w:r>
      <w:r w:rsidRPr="00454670">
        <w:t>a</w:t>
      </w:r>
      <w:r w:rsidR="00C64050">
        <w:t xml:space="preserve"> </w:t>
      </w:r>
      <w:r w:rsidRPr="00454670">
        <w:t>trust</w:t>
      </w:r>
      <w:r w:rsidR="00C64050">
        <w:t xml:space="preserve"> </w:t>
      </w:r>
      <w:r w:rsidRPr="00454670">
        <w:t>(typically</w:t>
      </w:r>
      <w:r w:rsidR="00C64050">
        <w:t xml:space="preserve"> </w:t>
      </w:r>
      <w:r w:rsidRPr="00454670">
        <w:t>for</w:t>
      </w:r>
      <w:r w:rsidR="00C64050">
        <w:t xml:space="preserve"> </w:t>
      </w:r>
      <w:r w:rsidRPr="00454670">
        <w:t>the</w:t>
      </w:r>
      <w:r w:rsidR="00C64050">
        <w:t xml:space="preserve"> </w:t>
      </w:r>
      <w:r w:rsidRPr="00454670">
        <w:t>benefit</w:t>
      </w:r>
      <w:r w:rsidR="00C64050">
        <w:t xml:space="preserve"> </w:t>
      </w:r>
      <w:r w:rsidRPr="00454670">
        <w:t>of</w:t>
      </w:r>
      <w:r w:rsidR="00C64050">
        <w:t xml:space="preserve"> </w:t>
      </w:r>
      <w:r w:rsidRPr="00454670">
        <w:t>the</w:t>
      </w:r>
      <w:r w:rsidR="00C64050">
        <w:t xml:space="preserve"> </w:t>
      </w:r>
      <w:r w:rsidRPr="00454670">
        <w:t>surviving</w:t>
      </w:r>
      <w:r w:rsidR="00C64050">
        <w:t xml:space="preserve"> </w:t>
      </w:r>
      <w:r w:rsidRPr="00454670">
        <w:t>spouse</w:t>
      </w:r>
      <w:r w:rsidR="00C64050">
        <w:t xml:space="preserve"> </w:t>
      </w:r>
      <w:r w:rsidRPr="00454670">
        <w:t>and,</w:t>
      </w:r>
      <w:r w:rsidR="00C64050">
        <w:t xml:space="preserve"> </w:t>
      </w:r>
      <w:r w:rsidRPr="00454670">
        <w:t>perhaps,</w:t>
      </w:r>
      <w:r w:rsidR="00C64050">
        <w:t xml:space="preserve"> </w:t>
      </w:r>
      <w:r w:rsidRPr="00454670">
        <w:t>descendants).</w:t>
      </w:r>
      <w:r w:rsidR="00C64050">
        <w:t xml:space="preserve">  </w:t>
      </w:r>
      <w:r w:rsidRPr="00454670">
        <w:t>The</w:t>
      </w:r>
      <w:r w:rsidR="00C64050">
        <w:t xml:space="preserve"> </w:t>
      </w:r>
      <w:r w:rsidRPr="00454670">
        <w:t>trust</w:t>
      </w:r>
      <w:r w:rsidR="00C64050">
        <w:t xml:space="preserve"> </w:t>
      </w:r>
      <w:r w:rsidRPr="00454670">
        <w:t>is</w:t>
      </w:r>
      <w:r w:rsidR="00C64050">
        <w:t xml:space="preserve"> </w:t>
      </w:r>
      <w:r w:rsidRPr="00454670">
        <w:t>structured</w:t>
      </w:r>
      <w:r w:rsidR="00C64050">
        <w:t xml:space="preserve"> </w:t>
      </w:r>
      <w:r w:rsidRPr="00454670">
        <w:t>to</w:t>
      </w:r>
      <w:r w:rsidR="00C64050">
        <w:t xml:space="preserve"> </w:t>
      </w:r>
      <w:r w:rsidRPr="00454670">
        <w:t>avoid</w:t>
      </w:r>
      <w:r w:rsidR="00C64050">
        <w:t xml:space="preserve"> </w:t>
      </w:r>
      <w:r w:rsidRPr="00454670">
        <w:t>estate</w:t>
      </w:r>
      <w:r w:rsidR="00C64050">
        <w:t xml:space="preserve"> </w:t>
      </w:r>
      <w:r w:rsidRPr="00454670">
        <w:t>tax</w:t>
      </w:r>
      <w:r w:rsidR="00C64050">
        <w:t xml:space="preserve"> </w:t>
      </w:r>
      <w:r w:rsidRPr="00454670">
        <w:t>inclusion</w:t>
      </w:r>
      <w:r w:rsidR="00C64050">
        <w:t xml:space="preserve"> </w:t>
      </w:r>
      <w:r w:rsidRPr="00454670">
        <w:t>at</w:t>
      </w:r>
      <w:r w:rsidR="00C64050">
        <w:t xml:space="preserve"> </w:t>
      </w:r>
      <w:r w:rsidRPr="00454670">
        <w:t>the</w:t>
      </w:r>
      <w:r w:rsidR="00C64050">
        <w:t xml:space="preserve"> </w:t>
      </w:r>
      <w:r w:rsidRPr="00454670">
        <w:t>surviving</w:t>
      </w:r>
      <w:r w:rsidR="00C64050">
        <w:t xml:space="preserve"> </w:t>
      </w:r>
      <w:r w:rsidRPr="00454670">
        <w:t>spouse’s</w:t>
      </w:r>
      <w:r w:rsidR="00C64050">
        <w:t xml:space="preserve"> </w:t>
      </w:r>
      <w:r w:rsidRPr="00454670">
        <w:t>estate.</w:t>
      </w:r>
      <w:r w:rsidR="00C64050">
        <w:t xml:space="preserve">  </w:t>
      </w:r>
      <w:r w:rsidRPr="00454670">
        <w:t>The</w:t>
      </w:r>
      <w:r w:rsidR="00C64050">
        <w:t xml:space="preserve"> </w:t>
      </w:r>
      <w:r w:rsidRPr="00454670">
        <w:t>marital</w:t>
      </w:r>
      <w:r w:rsidR="00C64050">
        <w:t xml:space="preserve"> </w:t>
      </w:r>
      <w:r w:rsidRPr="00454670">
        <w:t>deduction</w:t>
      </w:r>
      <w:r w:rsidR="00C64050">
        <w:t xml:space="preserve"> </w:t>
      </w:r>
      <w:r w:rsidRPr="00454670">
        <w:t>portion</w:t>
      </w:r>
      <w:r w:rsidR="00C64050">
        <w:t xml:space="preserve"> </w:t>
      </w:r>
      <w:r w:rsidRPr="00454670">
        <w:t>is</w:t>
      </w:r>
      <w:r w:rsidR="00C64050">
        <w:t xml:space="preserve"> </w:t>
      </w:r>
      <w:r w:rsidRPr="00454670">
        <w:t>funded</w:t>
      </w:r>
      <w:r w:rsidR="00C64050">
        <w:t xml:space="preserve"> </w:t>
      </w:r>
      <w:r w:rsidRPr="00454670">
        <w:t>with</w:t>
      </w:r>
      <w:r w:rsidR="00C64050">
        <w:t xml:space="preserve"> </w:t>
      </w:r>
      <w:r w:rsidRPr="00454670">
        <w:t>any</w:t>
      </w:r>
      <w:r w:rsidR="00C64050">
        <w:t xml:space="preserve"> </w:t>
      </w:r>
      <w:r w:rsidRPr="00454670">
        <w:t>assets</w:t>
      </w:r>
      <w:r w:rsidR="00C64050">
        <w:t xml:space="preserve"> </w:t>
      </w:r>
      <w:r w:rsidRPr="00454670">
        <w:t>in</w:t>
      </w:r>
      <w:r w:rsidR="00C64050">
        <w:t xml:space="preserve"> </w:t>
      </w:r>
      <w:r w:rsidRPr="00454670">
        <w:t>excess</w:t>
      </w:r>
      <w:r w:rsidR="00C64050">
        <w:t xml:space="preserve"> </w:t>
      </w:r>
      <w:r w:rsidRPr="00454670">
        <w:t>of</w:t>
      </w:r>
      <w:r w:rsidR="00C64050">
        <w:t xml:space="preserve"> </w:t>
      </w:r>
      <w:r w:rsidRPr="00454670">
        <w:t>the</w:t>
      </w:r>
      <w:r w:rsidR="00C64050">
        <w:t xml:space="preserve"> </w:t>
      </w:r>
      <w:r w:rsidRPr="00454670">
        <w:t>unused</w:t>
      </w:r>
      <w:r w:rsidR="00C64050">
        <w:t xml:space="preserve"> </w:t>
      </w:r>
      <w:r w:rsidRPr="00454670">
        <w:t>Applicable</w:t>
      </w:r>
      <w:r w:rsidR="00C64050">
        <w:t xml:space="preserve"> </w:t>
      </w:r>
      <w:r w:rsidRPr="00454670">
        <w:t>Exclusion</w:t>
      </w:r>
      <w:r w:rsidR="00C64050">
        <w:t xml:space="preserve"> </w:t>
      </w:r>
      <w:r w:rsidRPr="00454670">
        <w:t>Amount.</w:t>
      </w:r>
      <w:r w:rsidR="00C64050">
        <w:t xml:space="preserve">  </w:t>
      </w:r>
      <w:r w:rsidRPr="00454670">
        <w:t>The</w:t>
      </w:r>
      <w:r w:rsidR="00C64050">
        <w:t xml:space="preserve"> </w:t>
      </w:r>
      <w:r w:rsidRPr="00454670">
        <w:t>by-pass</w:t>
      </w:r>
      <w:r w:rsidR="00C64050">
        <w:t xml:space="preserve"> </w:t>
      </w:r>
      <w:r w:rsidRPr="00454670">
        <w:t>trust</w:t>
      </w:r>
      <w:r w:rsidR="00C64050">
        <w:t xml:space="preserve"> </w:t>
      </w:r>
      <w:r w:rsidRPr="00454670">
        <w:t>avoids</w:t>
      </w:r>
      <w:r w:rsidR="00C64050">
        <w:t xml:space="preserve"> </w:t>
      </w:r>
      <w:r w:rsidRPr="00454670">
        <w:t>estate</w:t>
      </w:r>
      <w:r w:rsidR="00C64050">
        <w:t xml:space="preserve"> </w:t>
      </w:r>
      <w:r w:rsidRPr="00454670">
        <w:t>tax</w:t>
      </w:r>
      <w:r w:rsidR="00C64050">
        <w:t xml:space="preserve"> </w:t>
      </w:r>
      <w:r w:rsidRPr="00454670">
        <w:t>inclusion</w:t>
      </w:r>
      <w:r w:rsidR="00C64050">
        <w:t xml:space="preserve"> </w:t>
      </w:r>
      <w:r w:rsidRPr="00454670">
        <w:t>at</w:t>
      </w:r>
      <w:r w:rsidR="00C64050">
        <w:t xml:space="preserve"> </w:t>
      </w:r>
      <w:r w:rsidRPr="00454670">
        <w:t>the</w:t>
      </w:r>
      <w:r w:rsidR="00C64050">
        <w:t xml:space="preserve"> </w:t>
      </w:r>
      <w:r w:rsidRPr="00454670">
        <w:t>surviving</w:t>
      </w:r>
      <w:r w:rsidR="00C64050">
        <w:t xml:space="preserve"> </w:t>
      </w:r>
      <w:r w:rsidRPr="00454670">
        <w:t>spouse’s</w:t>
      </w:r>
      <w:r w:rsidR="00C64050">
        <w:t xml:space="preserve"> </w:t>
      </w:r>
      <w:r w:rsidRPr="00454670">
        <w:t>estate.</w:t>
      </w:r>
      <w:r w:rsidR="00C64050">
        <w:t xml:space="preserve">  </w:t>
      </w:r>
      <w:r w:rsidRPr="00454670">
        <w:t>From</w:t>
      </w:r>
      <w:r w:rsidR="00C64050">
        <w:t xml:space="preserve"> </w:t>
      </w:r>
      <w:r w:rsidRPr="00454670">
        <w:t>an</w:t>
      </w:r>
      <w:r w:rsidR="00C64050">
        <w:t xml:space="preserve"> </w:t>
      </w:r>
      <w:r w:rsidRPr="00454670">
        <w:t>income</w:t>
      </w:r>
      <w:r w:rsidR="00C64050">
        <w:t xml:space="preserve"> </w:t>
      </w:r>
      <w:r w:rsidRPr="00454670">
        <w:t>tax</w:t>
      </w:r>
      <w:r w:rsidR="00C64050">
        <w:t xml:space="preserve"> </w:t>
      </w:r>
      <w:r w:rsidRPr="00454670">
        <w:t>standpoint,</w:t>
      </w:r>
      <w:r w:rsidR="00C64050">
        <w:t xml:space="preserve"> </w:t>
      </w:r>
      <w:r w:rsidRPr="00454670">
        <w:t>however,</w:t>
      </w:r>
      <w:r w:rsidR="00C64050">
        <w:t xml:space="preserve"> </w:t>
      </w:r>
      <w:r w:rsidRPr="00454670">
        <w:t>the</w:t>
      </w:r>
      <w:r w:rsidR="00C64050">
        <w:t xml:space="preserve"> </w:t>
      </w:r>
      <w:r w:rsidRPr="00454670">
        <w:t>assets</w:t>
      </w:r>
      <w:r w:rsidR="00C64050">
        <w:t xml:space="preserve"> </w:t>
      </w:r>
      <w:r w:rsidRPr="00454670">
        <w:t>in</w:t>
      </w:r>
      <w:r w:rsidR="00C64050">
        <w:t xml:space="preserve"> </w:t>
      </w:r>
      <w:r w:rsidRPr="00454670">
        <w:t>the</w:t>
      </w:r>
      <w:r w:rsidR="00C64050">
        <w:t xml:space="preserve"> </w:t>
      </w:r>
      <w:r w:rsidRPr="00454670">
        <w:t>by-pass</w:t>
      </w:r>
      <w:r w:rsidR="00C64050">
        <w:t xml:space="preserve"> </w:t>
      </w:r>
      <w:r w:rsidRPr="00454670">
        <w:t>trust</w:t>
      </w:r>
      <w:r w:rsidR="00C64050">
        <w:t xml:space="preserve"> </w:t>
      </w:r>
      <w:r w:rsidRPr="00454670">
        <w:t>do</w:t>
      </w:r>
      <w:r w:rsidR="00C64050">
        <w:t xml:space="preserve"> </w:t>
      </w:r>
      <w:r w:rsidRPr="00454670">
        <w:t>not</w:t>
      </w:r>
      <w:r w:rsidR="00C64050">
        <w:t xml:space="preserve"> </w:t>
      </w:r>
      <w:r w:rsidRPr="00454670">
        <w:t>receive</w:t>
      </w:r>
      <w:r w:rsidR="00C64050">
        <w:t xml:space="preserve"> </w:t>
      </w:r>
      <w:r w:rsidRPr="00454670">
        <w:t>a</w:t>
      </w:r>
      <w:r w:rsidR="00C64050">
        <w:t xml:space="preserve"> </w:t>
      </w:r>
      <w:r w:rsidRPr="00454670">
        <w:t>“step-up”</w:t>
      </w:r>
      <w:r w:rsidR="00C64050">
        <w:t xml:space="preserve"> </w:t>
      </w:r>
      <w:r w:rsidRPr="00454670">
        <w:t>in</w:t>
      </w:r>
      <w:r w:rsidR="00C64050">
        <w:t xml:space="preserve"> </w:t>
      </w:r>
      <w:r w:rsidRPr="00454670">
        <w:t>basis</w:t>
      </w:r>
      <w:r w:rsidR="00C64050">
        <w:t xml:space="preserve"> </w:t>
      </w:r>
      <w:r w:rsidRPr="00454670">
        <w:t>upon</w:t>
      </w:r>
      <w:r w:rsidR="00C64050">
        <w:t xml:space="preserve"> </w:t>
      </w:r>
      <w:r w:rsidRPr="00454670">
        <w:t>the</w:t>
      </w:r>
      <w:r w:rsidR="00C64050">
        <w:t xml:space="preserve"> </w:t>
      </w:r>
      <w:r w:rsidRPr="00454670">
        <w:t>death</w:t>
      </w:r>
      <w:r w:rsidR="00C64050">
        <w:t xml:space="preserve"> </w:t>
      </w:r>
      <w:r w:rsidRPr="00454670">
        <w:t>of</w:t>
      </w:r>
      <w:r w:rsidR="00C64050">
        <w:t xml:space="preserve"> </w:t>
      </w:r>
      <w:r w:rsidRPr="00454670">
        <w:t>the</w:t>
      </w:r>
      <w:r w:rsidR="00C64050">
        <w:t xml:space="preserve"> </w:t>
      </w:r>
      <w:r w:rsidRPr="00454670">
        <w:t>surviving</w:t>
      </w:r>
      <w:r w:rsidR="00C64050">
        <w:t xml:space="preserve"> </w:t>
      </w:r>
      <w:r w:rsidRPr="00454670">
        <w:t>spouse.</w:t>
      </w:r>
      <w:r w:rsidR="00C64050">
        <w:t xml:space="preserve">  </w:t>
      </w:r>
      <w:r w:rsidRPr="00454670">
        <w:t>Furthermore,</w:t>
      </w:r>
      <w:r w:rsidR="00C64050">
        <w:t xml:space="preserve"> </w:t>
      </w:r>
      <w:r w:rsidRPr="00454670">
        <w:t>while</w:t>
      </w:r>
      <w:r w:rsidR="00C64050">
        <w:t xml:space="preserve"> </w:t>
      </w:r>
      <w:r w:rsidRPr="00454670">
        <w:t>the</w:t>
      </w:r>
      <w:r w:rsidR="00C64050">
        <w:t xml:space="preserve"> </w:t>
      </w:r>
      <w:r w:rsidRPr="00454670">
        <w:t>assets</w:t>
      </w:r>
      <w:r w:rsidR="00C64050">
        <w:t xml:space="preserve"> </w:t>
      </w:r>
      <w:r w:rsidRPr="00454670">
        <w:t>remain</w:t>
      </w:r>
      <w:r w:rsidR="00C64050">
        <w:t xml:space="preserve"> </w:t>
      </w:r>
      <w:r w:rsidRPr="00454670">
        <w:t>in</w:t>
      </w:r>
      <w:r w:rsidR="00C64050">
        <w:t xml:space="preserve"> </w:t>
      </w:r>
      <w:r w:rsidRPr="00454670">
        <w:t>the</w:t>
      </w:r>
      <w:r w:rsidR="00C64050">
        <w:t xml:space="preserve"> </w:t>
      </w:r>
      <w:r w:rsidRPr="00454670">
        <w:t>by-pass</w:t>
      </w:r>
      <w:r w:rsidR="00C64050">
        <w:t xml:space="preserve"> </w:t>
      </w:r>
      <w:r w:rsidRPr="00454670">
        <w:t>trust,</w:t>
      </w:r>
      <w:r w:rsidR="00C64050">
        <w:t xml:space="preserve"> </w:t>
      </w:r>
      <w:r w:rsidRPr="00454670">
        <w:t>any</w:t>
      </w:r>
      <w:r w:rsidR="00C64050">
        <w:t xml:space="preserve"> </w:t>
      </w:r>
      <w:r w:rsidRPr="00454670">
        <w:t>undistributed</w:t>
      </w:r>
      <w:r w:rsidR="00C64050">
        <w:t xml:space="preserve"> </w:t>
      </w:r>
      <w:r w:rsidRPr="00454670">
        <w:t>taxable</w:t>
      </w:r>
      <w:r w:rsidR="00C64050">
        <w:t xml:space="preserve"> </w:t>
      </w:r>
      <w:r w:rsidRPr="00454670">
        <w:t>income</w:t>
      </w:r>
      <w:r w:rsidR="00C64050">
        <w:t xml:space="preserve"> </w:t>
      </w:r>
      <w:r w:rsidRPr="00454670">
        <w:t>above</w:t>
      </w:r>
      <w:r w:rsidR="00C64050">
        <w:t xml:space="preserve"> </w:t>
      </w:r>
      <w:r w:rsidR="001D718C">
        <w:t>minimal</w:t>
      </w:r>
      <w:r w:rsidR="00C64050">
        <w:t xml:space="preserve"> </w:t>
      </w:r>
      <w:r w:rsidR="001D718C">
        <w:t>amounts</w:t>
      </w:r>
      <w:r w:rsidR="00C64050">
        <w:t xml:space="preserve"> </w:t>
      </w:r>
      <w:r w:rsidRPr="00454670">
        <w:t>will</w:t>
      </w:r>
      <w:r w:rsidR="00C64050">
        <w:t xml:space="preserve"> </w:t>
      </w:r>
      <w:r w:rsidRPr="00454670">
        <w:t>be</w:t>
      </w:r>
      <w:r w:rsidR="00C64050">
        <w:t xml:space="preserve"> </w:t>
      </w:r>
      <w:r w:rsidRPr="00454670">
        <w:t>subject</w:t>
      </w:r>
      <w:r w:rsidR="00C64050">
        <w:t xml:space="preserve"> </w:t>
      </w:r>
      <w:r w:rsidRPr="00454670">
        <w:t>to</w:t>
      </w:r>
      <w:r w:rsidR="00C64050">
        <w:t xml:space="preserve"> </w:t>
      </w:r>
      <w:r w:rsidRPr="00454670">
        <w:t>the</w:t>
      </w:r>
      <w:r w:rsidR="00C64050">
        <w:t xml:space="preserve"> </w:t>
      </w:r>
      <w:r w:rsidRPr="00454670">
        <w:t>highest</w:t>
      </w:r>
      <w:r w:rsidR="00C64050">
        <w:t xml:space="preserve"> </w:t>
      </w:r>
      <w:r w:rsidRPr="00454670">
        <w:t>income</w:t>
      </w:r>
      <w:r w:rsidR="00C64050">
        <w:t xml:space="preserve"> </w:t>
      </w:r>
      <w:r w:rsidRPr="00454670">
        <w:t>tax</w:t>
      </w:r>
      <w:r w:rsidR="00C64050">
        <w:t xml:space="preserve"> </w:t>
      </w:r>
      <w:r w:rsidRPr="00454670">
        <w:t>rates</w:t>
      </w:r>
      <w:r w:rsidR="00C64050">
        <w:t xml:space="preserve"> </w:t>
      </w:r>
      <w:r w:rsidRPr="00454670">
        <w:t>at</w:t>
      </w:r>
      <w:r w:rsidR="00C64050">
        <w:t xml:space="preserve"> </w:t>
      </w:r>
      <w:r w:rsidRPr="00454670">
        <w:t>the</w:t>
      </w:r>
      <w:r w:rsidR="00C64050">
        <w:t xml:space="preserve"> </w:t>
      </w:r>
      <w:r w:rsidRPr="00454670">
        <w:t>trust</w:t>
      </w:r>
      <w:r w:rsidR="00C64050">
        <w:t xml:space="preserve"> </w:t>
      </w:r>
      <w:r w:rsidRPr="00454670">
        <w:t>level.</w:t>
      </w:r>
    </w:p>
    <w:p w:rsidR="008059B8" w:rsidRPr="00454670" w:rsidRDefault="008059B8" w:rsidP="009676E9">
      <w:pPr>
        <w:pStyle w:val="LFLevel3"/>
        <w:ind w:left="0" w:firstLine="1440"/>
      </w:pPr>
      <w:r w:rsidRPr="00454670">
        <w:t>In</w:t>
      </w:r>
      <w:r w:rsidR="00C64050">
        <w:t xml:space="preserve"> </w:t>
      </w:r>
      <w:r w:rsidRPr="00454670">
        <w:t>portability</w:t>
      </w:r>
      <w:r w:rsidR="00C64050">
        <w:t xml:space="preserve"> </w:t>
      </w:r>
      <w:r w:rsidRPr="00454670">
        <w:t>planning,</w:t>
      </w:r>
      <w:r w:rsidR="00C64050">
        <w:t xml:space="preserve"> </w:t>
      </w:r>
      <w:r w:rsidRPr="00454670">
        <w:t>the</w:t>
      </w:r>
      <w:r w:rsidR="00C64050">
        <w:t xml:space="preserve"> </w:t>
      </w:r>
      <w:r w:rsidRPr="00454670">
        <w:t>decedent’s</w:t>
      </w:r>
      <w:r w:rsidR="00C64050">
        <w:t xml:space="preserve"> </w:t>
      </w:r>
      <w:r w:rsidRPr="00454670">
        <w:t>estate</w:t>
      </w:r>
      <w:r w:rsidR="00C64050">
        <w:t xml:space="preserve"> </w:t>
      </w:r>
      <w:r w:rsidRPr="00454670">
        <w:t>would</w:t>
      </w:r>
      <w:r w:rsidR="00C64050">
        <w:t xml:space="preserve"> </w:t>
      </w:r>
      <w:r w:rsidRPr="00454670">
        <w:t>typically</w:t>
      </w:r>
      <w:r w:rsidR="00C64050">
        <w:t xml:space="preserve"> </w:t>
      </w:r>
      <w:r w:rsidRPr="00454670">
        <w:t>pass</w:t>
      </w:r>
      <w:r w:rsidR="00C64050">
        <w:t xml:space="preserve"> </w:t>
      </w:r>
      <w:r w:rsidRPr="00454670">
        <w:t>to</w:t>
      </w:r>
      <w:r w:rsidR="00C64050">
        <w:t xml:space="preserve"> </w:t>
      </w:r>
      <w:r w:rsidRPr="00454670">
        <w:t>the</w:t>
      </w:r>
      <w:r w:rsidR="00C64050">
        <w:t xml:space="preserve"> </w:t>
      </w:r>
      <w:r w:rsidRPr="00454670">
        <w:t>surviving</w:t>
      </w:r>
      <w:r w:rsidR="00C64050">
        <w:t xml:space="preserve"> </w:t>
      </w:r>
      <w:r w:rsidRPr="00454670">
        <w:t>spouse</w:t>
      </w:r>
      <w:r w:rsidR="00C64050">
        <w:t xml:space="preserve"> </w:t>
      </w:r>
      <w:r w:rsidRPr="00454670">
        <w:t>under</w:t>
      </w:r>
      <w:r w:rsidR="00C64050">
        <w:t xml:space="preserve"> </w:t>
      </w:r>
      <w:r w:rsidRPr="00454670">
        <w:t>the</w:t>
      </w:r>
      <w:r w:rsidR="00C64050">
        <w:t xml:space="preserve"> </w:t>
      </w:r>
      <w:r w:rsidRPr="00454670">
        <w:t>marital</w:t>
      </w:r>
      <w:r w:rsidR="00C64050">
        <w:t xml:space="preserve"> </w:t>
      </w:r>
      <w:r w:rsidRPr="00454670">
        <w:t>deduction,</w:t>
      </w:r>
      <w:r w:rsidR="00C64050">
        <w:t xml:space="preserve"> </w:t>
      </w:r>
      <w:r w:rsidRPr="00454670">
        <w:t>and</w:t>
      </w:r>
      <w:r w:rsidR="00C64050">
        <w:t xml:space="preserve"> </w:t>
      </w:r>
      <w:r w:rsidRPr="00454670">
        <w:t>the</w:t>
      </w:r>
      <w:r w:rsidR="00C64050">
        <w:t xml:space="preserve"> </w:t>
      </w:r>
      <w:r w:rsidRPr="00454670">
        <w:t>DSUE</w:t>
      </w:r>
      <w:r w:rsidR="00C64050">
        <w:t xml:space="preserve"> </w:t>
      </w:r>
      <w:r w:rsidRPr="00454670">
        <w:t>Amount</w:t>
      </w:r>
      <w:r w:rsidR="00C64050">
        <w:t xml:space="preserve"> </w:t>
      </w:r>
      <w:r w:rsidRPr="00454670">
        <w:t>would</w:t>
      </w:r>
      <w:r w:rsidR="00C64050">
        <w:t xml:space="preserve"> </w:t>
      </w:r>
      <w:r w:rsidRPr="00454670">
        <w:t>be</w:t>
      </w:r>
      <w:r w:rsidR="00C64050">
        <w:t xml:space="preserve"> </w:t>
      </w:r>
      <w:r w:rsidRPr="00454670">
        <w:t>added</w:t>
      </w:r>
      <w:r w:rsidR="00C64050">
        <w:t xml:space="preserve"> </w:t>
      </w:r>
      <w:r w:rsidRPr="00454670">
        <w:t>to</w:t>
      </w:r>
      <w:r w:rsidR="00C64050">
        <w:t xml:space="preserve"> </w:t>
      </w:r>
      <w:r w:rsidRPr="00454670">
        <w:t>the</w:t>
      </w:r>
      <w:r w:rsidR="00C64050">
        <w:t xml:space="preserve"> </w:t>
      </w:r>
      <w:r w:rsidRPr="00454670">
        <w:t>surviving</w:t>
      </w:r>
      <w:r w:rsidR="00C64050">
        <w:t xml:space="preserve"> </w:t>
      </w:r>
      <w:r w:rsidRPr="00454670">
        <w:t>spouse’s</w:t>
      </w:r>
      <w:r w:rsidR="00C64050">
        <w:t xml:space="preserve"> </w:t>
      </w:r>
      <w:r w:rsidRPr="00454670">
        <w:t>Applicable</w:t>
      </w:r>
      <w:r w:rsidR="00C64050">
        <w:t xml:space="preserve"> </w:t>
      </w:r>
      <w:r w:rsidRPr="00454670">
        <w:t>Exclusion</w:t>
      </w:r>
      <w:r w:rsidR="00C64050">
        <w:t xml:space="preserve"> </w:t>
      </w:r>
      <w:r w:rsidRPr="00454670">
        <w:t>Amount.</w:t>
      </w:r>
      <w:r w:rsidR="00C64050">
        <w:t xml:space="preserve">  </w:t>
      </w:r>
      <w:r w:rsidRPr="00454670">
        <w:t>Because</w:t>
      </w:r>
      <w:r w:rsidR="00C64050">
        <w:t xml:space="preserve"> </w:t>
      </w:r>
      <w:r w:rsidRPr="00454670">
        <w:t>all</w:t>
      </w:r>
      <w:r w:rsidR="00C64050">
        <w:t xml:space="preserve"> </w:t>
      </w:r>
      <w:r w:rsidRPr="00454670">
        <w:t>of</w:t>
      </w:r>
      <w:r w:rsidR="00C64050">
        <w:t xml:space="preserve"> </w:t>
      </w:r>
      <w:r w:rsidRPr="00454670">
        <w:t>the</w:t>
      </w:r>
      <w:r w:rsidR="00C64050">
        <w:t xml:space="preserve"> </w:t>
      </w:r>
      <w:r w:rsidRPr="00454670">
        <w:t>assets</w:t>
      </w:r>
      <w:r w:rsidR="00C64050">
        <w:t xml:space="preserve"> </w:t>
      </w:r>
      <w:r w:rsidRPr="00454670">
        <w:t>passing</w:t>
      </w:r>
      <w:r w:rsidR="00C64050">
        <w:t xml:space="preserve"> </w:t>
      </w:r>
      <w:r w:rsidRPr="00454670">
        <w:t>from</w:t>
      </w:r>
      <w:r w:rsidR="00C64050">
        <w:t xml:space="preserve"> </w:t>
      </w:r>
      <w:r w:rsidRPr="00454670">
        <w:t>the</w:t>
      </w:r>
      <w:r w:rsidR="00C64050">
        <w:t xml:space="preserve"> </w:t>
      </w:r>
      <w:r w:rsidRPr="00454670">
        <w:t>decedent</w:t>
      </w:r>
      <w:r w:rsidR="00C64050">
        <w:t xml:space="preserve"> </w:t>
      </w:r>
      <w:r w:rsidRPr="00454670">
        <w:t>to</w:t>
      </w:r>
      <w:r w:rsidR="00C64050">
        <w:t xml:space="preserve"> </w:t>
      </w:r>
      <w:r w:rsidRPr="00454670">
        <w:t>the</w:t>
      </w:r>
      <w:r w:rsidR="00C64050">
        <w:t xml:space="preserve"> </w:t>
      </w:r>
      <w:r w:rsidRPr="00454670">
        <w:t>surviving</w:t>
      </w:r>
      <w:r w:rsidR="00C64050">
        <w:t xml:space="preserve"> </w:t>
      </w:r>
      <w:r w:rsidRPr="00454670">
        <w:t>spouse</w:t>
      </w:r>
      <w:r w:rsidR="00C64050">
        <w:t xml:space="preserve"> </w:t>
      </w:r>
      <w:r w:rsidRPr="00454670">
        <w:t>in</w:t>
      </w:r>
      <w:r w:rsidR="00C64050">
        <w:t xml:space="preserve"> </w:t>
      </w:r>
      <w:r w:rsidRPr="00454670">
        <w:t>addition</w:t>
      </w:r>
      <w:r w:rsidR="00C64050">
        <w:t xml:space="preserve"> </w:t>
      </w:r>
      <w:r w:rsidRPr="00454670">
        <w:t>to</w:t>
      </w:r>
      <w:r w:rsidR="00C64050">
        <w:t xml:space="preserve"> </w:t>
      </w:r>
      <w:r w:rsidRPr="00454670">
        <w:t>the</w:t>
      </w:r>
      <w:r w:rsidR="00C64050">
        <w:t xml:space="preserve"> </w:t>
      </w:r>
      <w:r w:rsidRPr="00454670">
        <w:t>spouse’s</w:t>
      </w:r>
      <w:r w:rsidR="00C64050">
        <w:t xml:space="preserve"> </w:t>
      </w:r>
      <w:r w:rsidRPr="00454670">
        <w:t>own</w:t>
      </w:r>
      <w:r w:rsidR="00C64050">
        <w:t xml:space="preserve"> </w:t>
      </w:r>
      <w:r w:rsidRPr="00454670">
        <w:t>asset</w:t>
      </w:r>
      <w:r w:rsidR="00C64050">
        <w:t xml:space="preserve"> </w:t>
      </w:r>
      <w:r w:rsidRPr="00454670">
        <w:t>will</w:t>
      </w:r>
      <w:r w:rsidR="00C64050">
        <w:t xml:space="preserve"> </w:t>
      </w:r>
      <w:r w:rsidRPr="00454670">
        <w:t>be</w:t>
      </w:r>
      <w:r w:rsidR="00C64050">
        <w:t xml:space="preserve"> </w:t>
      </w:r>
      <w:r w:rsidRPr="00454670">
        <w:t>subject</w:t>
      </w:r>
      <w:r w:rsidR="00C64050">
        <w:t xml:space="preserve"> </w:t>
      </w:r>
      <w:r w:rsidRPr="00454670">
        <w:t>to</w:t>
      </w:r>
      <w:r w:rsidR="00C64050">
        <w:t xml:space="preserve"> </w:t>
      </w:r>
      <w:r w:rsidRPr="00454670">
        <w:t>estate</w:t>
      </w:r>
      <w:r w:rsidR="00C64050">
        <w:t xml:space="preserve"> </w:t>
      </w:r>
      <w:r w:rsidRPr="00454670">
        <w:t>taxes</w:t>
      </w:r>
      <w:r w:rsidR="00C64050">
        <w:t xml:space="preserve"> </w:t>
      </w:r>
      <w:r w:rsidRPr="00454670">
        <w:t>at</w:t>
      </w:r>
      <w:r w:rsidR="00C64050">
        <w:t xml:space="preserve"> </w:t>
      </w:r>
      <w:r w:rsidRPr="00454670">
        <w:t>his</w:t>
      </w:r>
      <w:r w:rsidR="00C64050">
        <w:t xml:space="preserve"> </w:t>
      </w:r>
      <w:r w:rsidRPr="00454670">
        <w:t>or</w:t>
      </w:r>
      <w:r w:rsidR="00C64050">
        <w:t xml:space="preserve"> </w:t>
      </w:r>
      <w:r w:rsidRPr="00454670">
        <w:t>her</w:t>
      </w:r>
      <w:r w:rsidR="00C64050">
        <w:t xml:space="preserve"> </w:t>
      </w:r>
      <w:r w:rsidRPr="00454670">
        <w:t>death,</w:t>
      </w:r>
      <w:r w:rsidR="00C64050">
        <w:t xml:space="preserve"> </w:t>
      </w:r>
      <w:r w:rsidRPr="00454670">
        <w:t>the</w:t>
      </w:r>
      <w:r w:rsidR="00C64050">
        <w:t xml:space="preserve"> </w:t>
      </w:r>
      <w:r w:rsidRPr="00454670">
        <w:t>assets</w:t>
      </w:r>
      <w:r w:rsidR="00C64050">
        <w:t xml:space="preserve"> </w:t>
      </w:r>
      <w:r w:rsidRPr="00454670">
        <w:t>will</w:t>
      </w:r>
      <w:r w:rsidR="00C64050">
        <w:t xml:space="preserve"> </w:t>
      </w:r>
      <w:r w:rsidRPr="00454670">
        <w:t>receive</w:t>
      </w:r>
      <w:r w:rsidR="00C64050">
        <w:t xml:space="preserve"> </w:t>
      </w:r>
      <w:r w:rsidRPr="00454670">
        <w:t>a</w:t>
      </w:r>
      <w:r w:rsidR="00C64050">
        <w:t xml:space="preserve"> </w:t>
      </w:r>
      <w:r w:rsidRPr="00454670">
        <w:t>“step-up”</w:t>
      </w:r>
      <w:r w:rsidR="00C64050">
        <w:t xml:space="preserve"> </w:t>
      </w:r>
      <w:r w:rsidRPr="00454670">
        <w:t>in</w:t>
      </w:r>
      <w:r w:rsidR="00C64050">
        <w:t xml:space="preserve"> </w:t>
      </w:r>
      <w:r w:rsidRPr="00454670">
        <w:t>basis.</w:t>
      </w:r>
      <w:r w:rsidR="00C64050">
        <w:t xml:space="preserve">  </w:t>
      </w:r>
      <w:r w:rsidRPr="00454670">
        <w:t>Additional</w:t>
      </w:r>
      <w:r w:rsidR="00C64050">
        <w:t xml:space="preserve"> </w:t>
      </w:r>
      <w:r w:rsidRPr="00454670">
        <w:t>income</w:t>
      </w:r>
      <w:r w:rsidR="00C64050">
        <w:t xml:space="preserve"> </w:t>
      </w:r>
      <w:r w:rsidRPr="00454670">
        <w:t>tax</w:t>
      </w:r>
      <w:r w:rsidR="00C64050">
        <w:t xml:space="preserve"> </w:t>
      </w:r>
      <w:r w:rsidRPr="00454670">
        <w:t>benefits</w:t>
      </w:r>
      <w:r w:rsidR="00C64050">
        <w:t xml:space="preserve"> </w:t>
      </w:r>
      <w:r w:rsidRPr="00454670">
        <w:t>might</w:t>
      </w:r>
      <w:r w:rsidR="00C64050">
        <w:t xml:space="preserve"> </w:t>
      </w:r>
      <w:r w:rsidRPr="00454670">
        <w:t>be</w:t>
      </w:r>
      <w:r w:rsidR="00C64050">
        <w:t xml:space="preserve"> </w:t>
      </w:r>
      <w:r w:rsidRPr="00454670">
        <w:t>achieved</w:t>
      </w:r>
      <w:r w:rsidR="00C64050">
        <w:t xml:space="preserve"> </w:t>
      </w:r>
      <w:r w:rsidRPr="00454670">
        <w:t>if</w:t>
      </w:r>
      <w:r w:rsidR="00C64050">
        <w:t xml:space="preserve"> </w:t>
      </w:r>
      <w:r w:rsidRPr="00454670">
        <w:t>the</w:t>
      </w:r>
      <w:r w:rsidR="00C64050">
        <w:t xml:space="preserve"> </w:t>
      </w:r>
      <w:r w:rsidRPr="00454670">
        <w:t>assets</w:t>
      </w:r>
      <w:r w:rsidR="00C64050">
        <w:t xml:space="preserve"> </w:t>
      </w:r>
      <w:r w:rsidRPr="00454670">
        <w:t>that</w:t>
      </w:r>
      <w:r w:rsidR="00C64050">
        <w:t xml:space="preserve"> </w:t>
      </w:r>
      <w:r w:rsidRPr="00454670">
        <w:t>would</w:t>
      </w:r>
      <w:r w:rsidR="00C64050">
        <w:t xml:space="preserve"> </w:t>
      </w:r>
      <w:r w:rsidRPr="00454670">
        <w:t>otherwise</w:t>
      </w:r>
      <w:r w:rsidR="00C64050">
        <w:t xml:space="preserve"> </w:t>
      </w:r>
      <w:r w:rsidRPr="00454670">
        <w:t>have</w:t>
      </w:r>
      <w:r w:rsidR="00C64050">
        <w:t xml:space="preserve"> </w:t>
      </w:r>
      <w:r w:rsidRPr="00454670">
        <w:t>funded</w:t>
      </w:r>
      <w:r w:rsidR="00C64050">
        <w:t xml:space="preserve"> </w:t>
      </w:r>
      <w:r w:rsidRPr="00454670">
        <w:t>the</w:t>
      </w:r>
      <w:r w:rsidR="00C64050">
        <w:t xml:space="preserve"> </w:t>
      </w:r>
      <w:r w:rsidRPr="00454670">
        <w:t>by-pass</w:t>
      </w:r>
      <w:r w:rsidR="00C64050">
        <w:t xml:space="preserve"> </w:t>
      </w:r>
      <w:r w:rsidRPr="00454670">
        <w:t>trust</w:t>
      </w:r>
      <w:r w:rsidR="00C64050">
        <w:t xml:space="preserve"> </w:t>
      </w:r>
      <w:r w:rsidRPr="00454670">
        <w:t>are</w:t>
      </w:r>
      <w:r w:rsidR="00C64050">
        <w:t xml:space="preserve"> </w:t>
      </w:r>
      <w:r w:rsidRPr="00454670">
        <w:t>taxed</w:t>
      </w:r>
      <w:r w:rsidR="00C64050">
        <w:t xml:space="preserve"> </w:t>
      </w:r>
      <w:r w:rsidRPr="00454670">
        <w:t>to</w:t>
      </w:r>
      <w:r w:rsidR="00C64050">
        <w:t xml:space="preserve"> </w:t>
      </w:r>
      <w:r w:rsidRPr="00454670">
        <w:t>the</w:t>
      </w:r>
      <w:r w:rsidR="00C64050">
        <w:t xml:space="preserve"> </w:t>
      </w:r>
      <w:r w:rsidRPr="00454670">
        <w:t>surviving</w:t>
      </w:r>
      <w:r w:rsidR="00C64050">
        <w:t xml:space="preserve"> </w:t>
      </w:r>
      <w:r w:rsidRPr="00454670">
        <w:t>spouse,</w:t>
      </w:r>
      <w:r w:rsidR="00C64050">
        <w:t xml:space="preserve"> </w:t>
      </w:r>
      <w:r w:rsidRPr="00454670">
        <w:t>possibly</w:t>
      </w:r>
      <w:r w:rsidR="00C64050">
        <w:t xml:space="preserve"> </w:t>
      </w:r>
      <w:r w:rsidRPr="00454670">
        <w:t>benefiting</w:t>
      </w:r>
      <w:r w:rsidR="00C64050">
        <w:t xml:space="preserve"> </w:t>
      </w:r>
      <w:r w:rsidRPr="00454670">
        <w:t>from</w:t>
      </w:r>
      <w:r w:rsidR="00C64050">
        <w:t xml:space="preserve"> </w:t>
      </w:r>
      <w:r w:rsidRPr="00454670">
        <w:t>being</w:t>
      </w:r>
      <w:r w:rsidR="00C64050">
        <w:t xml:space="preserve"> </w:t>
      </w:r>
      <w:r w:rsidRPr="00454670">
        <w:t>taxed</w:t>
      </w:r>
      <w:r w:rsidR="00C64050">
        <w:t xml:space="preserve"> </w:t>
      </w:r>
      <w:r w:rsidRPr="00454670">
        <w:t>a</w:t>
      </w:r>
      <w:r w:rsidR="00C64050">
        <w:t xml:space="preserve"> </w:t>
      </w:r>
      <w:r w:rsidRPr="00454670">
        <w:t>lower</w:t>
      </w:r>
      <w:r w:rsidR="00C64050">
        <w:t xml:space="preserve"> </w:t>
      </w:r>
      <w:r w:rsidRPr="00454670">
        <w:t>marginal</w:t>
      </w:r>
      <w:r w:rsidR="00C64050">
        <w:t xml:space="preserve"> </w:t>
      </w:r>
      <w:r w:rsidRPr="00454670">
        <w:t>income</w:t>
      </w:r>
      <w:r w:rsidR="00C64050">
        <w:t xml:space="preserve"> </w:t>
      </w:r>
      <w:r w:rsidRPr="00454670">
        <w:t>tax</w:t>
      </w:r>
      <w:r w:rsidR="00C64050">
        <w:t xml:space="preserve"> </w:t>
      </w:r>
      <w:r w:rsidRPr="00454670">
        <w:t>bracket.</w:t>
      </w:r>
      <w:r w:rsidR="00C64050">
        <w:t xml:space="preserve">  </w:t>
      </w:r>
      <w:r w:rsidRPr="00454670">
        <w:t>In</w:t>
      </w:r>
      <w:r w:rsidR="00C64050">
        <w:t xml:space="preserve"> </w:t>
      </w:r>
      <w:r w:rsidRPr="00454670">
        <w:t>addition,</w:t>
      </w:r>
      <w:r w:rsidR="00C64050">
        <w:t xml:space="preserve"> </w:t>
      </w:r>
      <w:r w:rsidRPr="00454670">
        <w:t>if</w:t>
      </w:r>
      <w:r w:rsidR="00C64050">
        <w:t xml:space="preserve"> </w:t>
      </w:r>
      <w:r w:rsidRPr="00454670">
        <w:t>the</w:t>
      </w:r>
      <w:r w:rsidR="00C64050">
        <w:t xml:space="preserve"> </w:t>
      </w:r>
      <w:r w:rsidRPr="00454670">
        <w:t>by-pass</w:t>
      </w:r>
      <w:r w:rsidR="00C64050">
        <w:t xml:space="preserve"> </w:t>
      </w:r>
      <w:r w:rsidRPr="00454670">
        <w:t>trust</w:t>
      </w:r>
      <w:r w:rsidR="00C64050">
        <w:t xml:space="preserve"> </w:t>
      </w:r>
      <w:r w:rsidRPr="00454670">
        <w:t>would</w:t>
      </w:r>
      <w:r w:rsidR="00C64050">
        <w:t xml:space="preserve"> </w:t>
      </w:r>
      <w:r w:rsidRPr="00454670">
        <w:t>have</w:t>
      </w:r>
      <w:r w:rsidR="00C64050">
        <w:t xml:space="preserve"> </w:t>
      </w:r>
      <w:r w:rsidRPr="00454670">
        <w:t>been</w:t>
      </w:r>
      <w:r w:rsidR="00C64050">
        <w:t xml:space="preserve"> </w:t>
      </w:r>
      <w:r w:rsidRPr="00454670">
        <w:t>subject</w:t>
      </w:r>
      <w:r w:rsidR="00C64050">
        <w:t xml:space="preserve"> </w:t>
      </w:r>
      <w:r w:rsidRPr="00454670">
        <w:t>to</w:t>
      </w:r>
      <w:r w:rsidR="00C64050">
        <w:t xml:space="preserve"> </w:t>
      </w:r>
      <w:r w:rsidRPr="00454670">
        <w:t>a</w:t>
      </w:r>
      <w:r w:rsidR="00C64050">
        <w:t xml:space="preserve"> </w:t>
      </w:r>
      <w:r w:rsidRPr="00454670">
        <w:t>high</w:t>
      </w:r>
      <w:r w:rsidR="00C64050">
        <w:t xml:space="preserve"> </w:t>
      </w:r>
      <w:r w:rsidRPr="00454670">
        <w:t>state</w:t>
      </w:r>
      <w:r w:rsidR="00C64050">
        <w:t xml:space="preserve"> </w:t>
      </w:r>
      <w:r w:rsidRPr="00454670">
        <w:t>income</w:t>
      </w:r>
      <w:r w:rsidR="00C64050">
        <w:t xml:space="preserve"> </w:t>
      </w:r>
      <w:r w:rsidRPr="00454670">
        <w:t>tax</w:t>
      </w:r>
      <w:r w:rsidR="00C64050">
        <w:t xml:space="preserve"> </w:t>
      </w:r>
      <w:r w:rsidRPr="00454670">
        <w:t>burden,</w:t>
      </w:r>
      <w:r w:rsidR="00C64050">
        <w:t xml:space="preserve"> </w:t>
      </w:r>
      <w:r w:rsidRPr="00454670">
        <w:t>having</w:t>
      </w:r>
      <w:r w:rsidR="00C64050">
        <w:t xml:space="preserve"> </w:t>
      </w:r>
      <w:r w:rsidRPr="00454670">
        <w:t>the</w:t>
      </w:r>
      <w:r w:rsidR="00C64050">
        <w:t xml:space="preserve"> </w:t>
      </w:r>
      <w:r w:rsidRPr="00454670">
        <w:t>assets</w:t>
      </w:r>
      <w:r w:rsidR="00C64050">
        <w:t xml:space="preserve"> </w:t>
      </w:r>
      <w:r w:rsidRPr="00454670">
        <w:t>taxed</w:t>
      </w:r>
      <w:r w:rsidR="00C64050">
        <w:t xml:space="preserve"> </w:t>
      </w:r>
      <w:r w:rsidRPr="00454670">
        <w:t>to</w:t>
      </w:r>
      <w:r w:rsidR="00C64050">
        <w:t xml:space="preserve"> </w:t>
      </w:r>
      <w:r w:rsidRPr="00454670">
        <w:t>a</w:t>
      </w:r>
      <w:r w:rsidR="00C64050">
        <w:t xml:space="preserve"> </w:t>
      </w:r>
      <w:r w:rsidRPr="00454670">
        <w:t>surviving</w:t>
      </w:r>
      <w:r w:rsidR="00C64050">
        <w:t xml:space="preserve"> </w:t>
      </w:r>
      <w:r w:rsidRPr="00454670">
        <w:t>spouse</w:t>
      </w:r>
      <w:r w:rsidR="00C64050">
        <w:t xml:space="preserve"> </w:t>
      </w:r>
      <w:r w:rsidRPr="00454670">
        <w:t>who</w:t>
      </w:r>
      <w:r w:rsidR="00C64050">
        <w:t xml:space="preserve"> </w:t>
      </w:r>
      <w:r w:rsidRPr="00454670">
        <w:t>moves</w:t>
      </w:r>
      <w:r w:rsidR="00C64050">
        <w:t xml:space="preserve"> </w:t>
      </w:r>
      <w:r w:rsidRPr="00454670">
        <w:t>to</w:t>
      </w:r>
      <w:r w:rsidR="00C64050">
        <w:t xml:space="preserve"> </w:t>
      </w:r>
      <w:r w:rsidRPr="00454670">
        <w:t>a</w:t>
      </w:r>
      <w:r w:rsidR="00C64050">
        <w:t xml:space="preserve"> </w:t>
      </w:r>
      <w:r w:rsidRPr="00454670">
        <w:t>low</w:t>
      </w:r>
      <w:r w:rsidR="00C64050">
        <w:t xml:space="preserve"> </w:t>
      </w:r>
      <w:r w:rsidRPr="00454670">
        <w:t>or</w:t>
      </w:r>
      <w:r w:rsidR="00C64050">
        <w:t xml:space="preserve"> </w:t>
      </w:r>
      <w:r w:rsidRPr="00454670">
        <w:t>no</w:t>
      </w:r>
      <w:r w:rsidR="00C64050">
        <w:t xml:space="preserve"> </w:t>
      </w:r>
      <w:r w:rsidRPr="00454670">
        <w:t>income</w:t>
      </w:r>
      <w:r w:rsidR="00C64050">
        <w:t xml:space="preserve"> </w:t>
      </w:r>
      <w:r w:rsidRPr="00454670">
        <w:t>tax</w:t>
      </w:r>
      <w:r w:rsidR="00C64050">
        <w:t xml:space="preserve"> </w:t>
      </w:r>
      <w:r w:rsidRPr="00454670">
        <w:t>state</w:t>
      </w:r>
      <w:r w:rsidR="00C64050">
        <w:t xml:space="preserve"> </w:t>
      </w:r>
      <w:r w:rsidRPr="00454670">
        <w:t>would</w:t>
      </w:r>
      <w:r w:rsidR="00C64050">
        <w:t xml:space="preserve"> </w:t>
      </w:r>
      <w:r w:rsidRPr="00454670">
        <w:t>provide</w:t>
      </w:r>
      <w:r w:rsidR="00C64050">
        <w:t xml:space="preserve"> </w:t>
      </w:r>
      <w:r w:rsidRPr="00454670">
        <w:t>additional</w:t>
      </w:r>
      <w:r w:rsidR="00C64050">
        <w:t xml:space="preserve"> </w:t>
      </w:r>
      <w:r w:rsidRPr="00454670">
        <w:t>income</w:t>
      </w:r>
      <w:r w:rsidR="00C64050">
        <w:t xml:space="preserve"> </w:t>
      </w:r>
      <w:r w:rsidRPr="00454670">
        <w:t>tax</w:t>
      </w:r>
      <w:r w:rsidR="00C64050">
        <w:t xml:space="preserve"> </w:t>
      </w:r>
      <w:r w:rsidRPr="00454670">
        <w:t>savings</w:t>
      </w:r>
      <w:r w:rsidR="00C64050">
        <w:t xml:space="preserve"> </w:t>
      </w:r>
      <w:r w:rsidRPr="00454670">
        <w:t>over</w:t>
      </w:r>
      <w:r w:rsidR="00C64050">
        <w:t xml:space="preserve"> </w:t>
      </w:r>
      <w:r w:rsidRPr="00454670">
        <w:t>traditional</w:t>
      </w:r>
      <w:r w:rsidR="00C64050">
        <w:t xml:space="preserve"> </w:t>
      </w:r>
      <w:r w:rsidRPr="00454670">
        <w:t>by-pass</w:t>
      </w:r>
      <w:r w:rsidR="00C64050">
        <w:t xml:space="preserve"> </w:t>
      </w:r>
      <w:r w:rsidRPr="00454670">
        <w:t>trust</w:t>
      </w:r>
      <w:r w:rsidR="00C64050">
        <w:t xml:space="preserve"> </w:t>
      </w:r>
      <w:r w:rsidRPr="00454670">
        <w:t>planning.</w:t>
      </w:r>
    </w:p>
    <w:p w:rsidR="00963A39" w:rsidRDefault="008059B8" w:rsidP="00E663E3">
      <w:pPr>
        <w:pStyle w:val="LFLevel3"/>
        <w:spacing w:before="240"/>
        <w:ind w:left="0" w:firstLine="1440"/>
      </w:pPr>
      <w:r w:rsidRPr="00454670">
        <w:t>Of</w:t>
      </w:r>
      <w:r w:rsidR="00C64050">
        <w:t xml:space="preserve"> </w:t>
      </w:r>
      <w:r w:rsidRPr="00454670">
        <w:t>course,</w:t>
      </w:r>
      <w:r w:rsidR="00C64050">
        <w:t xml:space="preserve"> </w:t>
      </w:r>
      <w:r w:rsidRPr="00454670">
        <w:t>there</w:t>
      </w:r>
      <w:r w:rsidR="00C64050">
        <w:t xml:space="preserve"> </w:t>
      </w:r>
      <w:r w:rsidRPr="00454670">
        <w:t>are</w:t>
      </w:r>
      <w:r w:rsidR="00C64050">
        <w:t xml:space="preserve"> </w:t>
      </w:r>
      <w:r w:rsidRPr="00454670">
        <w:t>other</w:t>
      </w:r>
      <w:r w:rsidR="00C64050">
        <w:t xml:space="preserve"> </w:t>
      </w:r>
      <w:r w:rsidRPr="00454670">
        <w:t>considerations,</w:t>
      </w:r>
      <w:r w:rsidR="00C64050">
        <w:t xml:space="preserve"> </w:t>
      </w:r>
      <w:r w:rsidRPr="00454670">
        <w:t>including</w:t>
      </w:r>
      <w:r w:rsidR="00C64050">
        <w:t xml:space="preserve"> </w:t>
      </w:r>
      <w:r w:rsidRPr="00454670">
        <w:t>creditor</w:t>
      </w:r>
      <w:r w:rsidR="00C64050">
        <w:t xml:space="preserve"> </w:t>
      </w:r>
      <w:r w:rsidRPr="00454670">
        <w:t>protection</w:t>
      </w:r>
      <w:r w:rsidR="00E663E3">
        <w:t>,</w:t>
      </w:r>
      <w:r w:rsidR="00C64050">
        <w:t xml:space="preserve"> </w:t>
      </w:r>
      <w:r w:rsidRPr="00454670">
        <w:t>“next</w:t>
      </w:r>
      <w:r w:rsidR="00C64050">
        <w:t xml:space="preserve"> </w:t>
      </w:r>
      <w:r w:rsidRPr="00454670">
        <w:t>spouse”</w:t>
      </w:r>
      <w:r w:rsidR="00C64050">
        <w:t xml:space="preserve"> </w:t>
      </w:r>
      <w:r w:rsidRPr="00454670">
        <w:t>issues</w:t>
      </w:r>
      <w:r w:rsidR="00C64050">
        <w:t xml:space="preserve"> </w:t>
      </w:r>
      <w:r w:rsidR="00E663E3">
        <w:t>and</w:t>
      </w:r>
      <w:r w:rsidR="00C64050">
        <w:t xml:space="preserve"> </w:t>
      </w:r>
      <w:r w:rsidR="00E663E3">
        <w:t>potential</w:t>
      </w:r>
      <w:r w:rsidR="00C64050">
        <w:t xml:space="preserve"> </w:t>
      </w:r>
      <w:r w:rsidR="00E663E3">
        <w:t>“Medicaid”</w:t>
      </w:r>
      <w:r w:rsidR="00C64050">
        <w:t xml:space="preserve"> </w:t>
      </w:r>
      <w:r w:rsidR="00E663E3">
        <w:t>planning</w:t>
      </w:r>
      <w:r w:rsidRPr="00454670">
        <w:t>,</w:t>
      </w:r>
      <w:r w:rsidR="00C64050">
        <w:t xml:space="preserve"> </w:t>
      </w:r>
      <w:r w:rsidRPr="00454670">
        <w:t>which</w:t>
      </w:r>
      <w:r w:rsidR="00C64050">
        <w:t xml:space="preserve"> </w:t>
      </w:r>
      <w:r w:rsidRPr="00454670">
        <w:t>would</w:t>
      </w:r>
      <w:r w:rsidR="00C64050">
        <w:t xml:space="preserve"> </w:t>
      </w:r>
      <w:r w:rsidRPr="00454670">
        <w:t>favor</w:t>
      </w:r>
      <w:r w:rsidR="00C64050">
        <w:t xml:space="preserve"> </w:t>
      </w:r>
      <w:r w:rsidRPr="00454670">
        <w:t>by-pass</w:t>
      </w:r>
      <w:r w:rsidR="00C64050">
        <w:t xml:space="preserve"> </w:t>
      </w:r>
      <w:r w:rsidRPr="00454670">
        <w:t>trust</w:t>
      </w:r>
      <w:r w:rsidR="00C64050">
        <w:t xml:space="preserve"> </w:t>
      </w:r>
      <w:r w:rsidRPr="00454670">
        <w:t>planning.</w:t>
      </w:r>
      <w:r w:rsidR="00C64050">
        <w:t xml:space="preserve">  </w:t>
      </w:r>
      <w:r w:rsidR="00E663E3">
        <w:t>F</w:t>
      </w:r>
      <w:r w:rsidRPr="00454670">
        <w:t>rom</w:t>
      </w:r>
      <w:r w:rsidR="00C64050">
        <w:t xml:space="preserve"> </w:t>
      </w:r>
      <w:r w:rsidRPr="00454670">
        <w:t>a</w:t>
      </w:r>
      <w:r w:rsidR="00C64050">
        <w:t xml:space="preserve"> </w:t>
      </w:r>
      <w:r w:rsidRPr="00454670">
        <w:t>tax</w:t>
      </w:r>
      <w:r w:rsidR="00C64050">
        <w:t xml:space="preserve"> </w:t>
      </w:r>
      <w:r w:rsidRPr="00454670">
        <w:t>standpoint,</w:t>
      </w:r>
      <w:r w:rsidR="00C64050">
        <w:t xml:space="preserve"> </w:t>
      </w:r>
      <w:r w:rsidRPr="00454670">
        <w:t>the</w:t>
      </w:r>
      <w:r w:rsidR="00C64050">
        <w:t xml:space="preserve"> </w:t>
      </w:r>
      <w:r w:rsidRPr="00454670">
        <w:t>trade-off</w:t>
      </w:r>
      <w:r w:rsidR="00C64050">
        <w:t xml:space="preserve"> </w:t>
      </w:r>
      <w:r w:rsidRPr="00454670">
        <w:t>is</w:t>
      </w:r>
      <w:r w:rsidR="00C64050">
        <w:t xml:space="preserve"> </w:t>
      </w:r>
      <w:r w:rsidRPr="00454670">
        <w:t>the</w:t>
      </w:r>
      <w:r w:rsidR="00C64050">
        <w:t xml:space="preserve"> </w:t>
      </w:r>
      <w:r w:rsidRPr="00454670">
        <w:t>potential</w:t>
      </w:r>
      <w:r w:rsidR="00C64050">
        <w:t xml:space="preserve"> </w:t>
      </w:r>
      <w:r w:rsidRPr="00454670">
        <w:t>estate</w:t>
      </w:r>
      <w:r w:rsidR="00C64050">
        <w:t xml:space="preserve"> </w:t>
      </w:r>
      <w:r w:rsidRPr="00454670">
        <w:t>tax</w:t>
      </w:r>
      <w:r w:rsidR="00C64050">
        <w:t xml:space="preserve"> </w:t>
      </w:r>
      <w:r w:rsidRPr="00454670">
        <w:t>savings</w:t>
      </w:r>
      <w:r w:rsidR="00C64050">
        <w:t xml:space="preserve"> </w:t>
      </w:r>
      <w:r w:rsidRPr="00454670">
        <w:t>of</w:t>
      </w:r>
      <w:r w:rsidR="00C64050">
        <w:t xml:space="preserve"> </w:t>
      </w:r>
      <w:r w:rsidRPr="00454670">
        <w:t>traditional</w:t>
      </w:r>
      <w:r w:rsidR="00C64050">
        <w:t xml:space="preserve"> </w:t>
      </w:r>
      <w:r w:rsidRPr="00454670">
        <w:t>by-pass</w:t>
      </w:r>
      <w:r w:rsidR="00C64050">
        <w:t xml:space="preserve"> </w:t>
      </w:r>
      <w:r w:rsidRPr="00454670">
        <w:t>trust</w:t>
      </w:r>
      <w:r w:rsidR="00C64050">
        <w:t xml:space="preserve"> </w:t>
      </w:r>
      <w:r w:rsidRPr="00454670">
        <w:t>planning</w:t>
      </w:r>
      <w:r w:rsidR="00C64050">
        <w:t xml:space="preserve"> </w:t>
      </w:r>
      <w:r w:rsidRPr="00454670">
        <w:t>against</w:t>
      </w:r>
      <w:r w:rsidR="00C64050">
        <w:t xml:space="preserve"> </w:t>
      </w:r>
      <w:r w:rsidRPr="00454670">
        <w:t>the</w:t>
      </w:r>
      <w:r w:rsidR="00C64050">
        <w:t xml:space="preserve"> </w:t>
      </w:r>
      <w:r w:rsidRPr="00454670">
        <w:t>potential</w:t>
      </w:r>
      <w:r w:rsidR="00C64050">
        <w:t xml:space="preserve"> </w:t>
      </w:r>
      <w:r w:rsidRPr="00454670">
        <w:t>income</w:t>
      </w:r>
      <w:r w:rsidR="00C64050">
        <w:t xml:space="preserve"> </w:t>
      </w:r>
      <w:r w:rsidRPr="00454670">
        <w:t>tax</w:t>
      </w:r>
      <w:r w:rsidR="00C64050">
        <w:t xml:space="preserve"> </w:t>
      </w:r>
      <w:r w:rsidRPr="00454670">
        <w:t>savings</w:t>
      </w:r>
      <w:r w:rsidR="00C64050">
        <w:t xml:space="preserve"> </w:t>
      </w:r>
      <w:r w:rsidRPr="00454670">
        <w:t>of</w:t>
      </w:r>
      <w:r w:rsidR="00C64050">
        <w:t xml:space="preserve"> </w:t>
      </w:r>
      <w:r w:rsidRPr="00454670">
        <w:t>portability</w:t>
      </w:r>
      <w:r w:rsidR="00C64050">
        <w:t xml:space="preserve"> </w:t>
      </w:r>
      <w:r w:rsidRPr="00454670">
        <w:t>planning.</w:t>
      </w:r>
      <w:r w:rsidR="00C64050">
        <w:t xml:space="preserve">  </w:t>
      </w:r>
      <w:r w:rsidRPr="00454670">
        <w:t>Because</w:t>
      </w:r>
      <w:r w:rsidR="00C64050">
        <w:t xml:space="preserve"> </w:t>
      </w:r>
      <w:r w:rsidRPr="00454670">
        <w:t>the</w:t>
      </w:r>
      <w:r w:rsidR="00C64050">
        <w:t xml:space="preserve"> </w:t>
      </w:r>
      <w:r w:rsidRPr="00454670">
        <w:t>DSUE</w:t>
      </w:r>
      <w:r w:rsidR="00C64050">
        <w:t xml:space="preserve"> </w:t>
      </w:r>
      <w:r w:rsidRPr="00454670">
        <w:t>Amount</w:t>
      </w:r>
      <w:r w:rsidR="00C64050">
        <w:t xml:space="preserve"> </w:t>
      </w:r>
      <w:r w:rsidRPr="00454670">
        <w:t>does</w:t>
      </w:r>
      <w:r w:rsidR="00C64050">
        <w:t xml:space="preserve"> </w:t>
      </w:r>
      <w:r w:rsidRPr="00454670">
        <w:t>not</w:t>
      </w:r>
      <w:r w:rsidR="00C64050">
        <w:t xml:space="preserve"> </w:t>
      </w:r>
      <w:r w:rsidRPr="00454670">
        <w:t>grow</w:t>
      </w:r>
      <w:r w:rsidR="00C64050">
        <w:t xml:space="preserve"> </w:t>
      </w:r>
      <w:r w:rsidRPr="00454670">
        <w:t>with</w:t>
      </w:r>
      <w:r w:rsidR="00C64050">
        <w:t xml:space="preserve"> </w:t>
      </w:r>
      <w:r w:rsidRPr="00454670">
        <w:t>the</w:t>
      </w:r>
      <w:r w:rsidR="00C64050">
        <w:t xml:space="preserve"> </w:t>
      </w:r>
      <w:r w:rsidRPr="00454670">
        <w:t>cost-of-living</w:t>
      </w:r>
      <w:r w:rsidR="00C64050">
        <w:t xml:space="preserve"> </w:t>
      </w:r>
      <w:r w:rsidRPr="00454670">
        <w:t>index,</w:t>
      </w:r>
      <w:r w:rsidR="00C64050">
        <w:t xml:space="preserve"> </w:t>
      </w:r>
      <w:r w:rsidRPr="00454670">
        <w:t>very</w:t>
      </w:r>
      <w:r w:rsidR="00C64050">
        <w:t xml:space="preserve"> </w:t>
      </w:r>
      <w:r w:rsidRPr="00454670">
        <w:t>large</w:t>
      </w:r>
      <w:r w:rsidR="00C64050">
        <w:t xml:space="preserve"> </w:t>
      </w:r>
      <w:r w:rsidRPr="00454670">
        <w:t>estates</w:t>
      </w:r>
      <w:r w:rsidR="00C64050">
        <w:t xml:space="preserve"> </w:t>
      </w:r>
      <w:r w:rsidRPr="00454670">
        <w:t>will</w:t>
      </w:r>
      <w:r w:rsidR="00C64050">
        <w:t xml:space="preserve"> </w:t>
      </w:r>
      <w:r w:rsidRPr="00454670">
        <w:t>benefit</w:t>
      </w:r>
      <w:r w:rsidR="00C64050">
        <w:t xml:space="preserve"> </w:t>
      </w:r>
      <w:r w:rsidRPr="00454670">
        <w:t>more</w:t>
      </w:r>
      <w:r w:rsidR="00C64050">
        <w:t xml:space="preserve"> </w:t>
      </w:r>
      <w:r w:rsidRPr="00454670">
        <w:t>with</w:t>
      </w:r>
      <w:r w:rsidR="00C64050">
        <w:t xml:space="preserve"> </w:t>
      </w:r>
      <w:r w:rsidRPr="00454670">
        <w:t>traditional</w:t>
      </w:r>
      <w:r w:rsidR="00C64050">
        <w:t xml:space="preserve"> </w:t>
      </w:r>
      <w:r w:rsidRPr="00454670">
        <w:t>by-pass</w:t>
      </w:r>
      <w:r w:rsidR="00C64050">
        <w:t xml:space="preserve"> </w:t>
      </w:r>
      <w:r w:rsidRPr="00454670">
        <w:t>trust</w:t>
      </w:r>
      <w:r w:rsidR="00C64050">
        <w:t xml:space="preserve"> </w:t>
      </w:r>
      <w:r w:rsidRPr="00454670">
        <w:t>planning</w:t>
      </w:r>
      <w:r w:rsidR="00C64050">
        <w:t xml:space="preserve"> </w:t>
      </w:r>
      <w:r w:rsidRPr="00454670">
        <w:t>because</w:t>
      </w:r>
      <w:r w:rsidR="00C64050">
        <w:t xml:space="preserve"> </w:t>
      </w:r>
      <w:r w:rsidRPr="00454670">
        <w:t>all</w:t>
      </w:r>
      <w:r w:rsidR="00C64050">
        <w:t xml:space="preserve"> </w:t>
      </w:r>
      <w:r w:rsidRPr="00454670">
        <w:t>of</w:t>
      </w:r>
      <w:r w:rsidR="00C64050">
        <w:t xml:space="preserve"> </w:t>
      </w:r>
      <w:r w:rsidRPr="00454670">
        <w:t>the</w:t>
      </w:r>
      <w:r w:rsidR="00C64050">
        <w:t xml:space="preserve"> </w:t>
      </w:r>
      <w:r w:rsidRPr="00454670">
        <w:t>assets,</w:t>
      </w:r>
      <w:r w:rsidR="00C64050">
        <w:t xml:space="preserve"> </w:t>
      </w:r>
      <w:r w:rsidRPr="00454670">
        <w:t>including</w:t>
      </w:r>
      <w:r w:rsidR="00C64050">
        <w:t xml:space="preserve"> </w:t>
      </w:r>
      <w:r w:rsidRPr="00454670">
        <w:t>any</w:t>
      </w:r>
      <w:r w:rsidR="00C64050">
        <w:t xml:space="preserve"> </w:t>
      </w:r>
      <w:r w:rsidRPr="00454670">
        <w:t>appreciation</w:t>
      </w:r>
      <w:r w:rsidR="00C64050">
        <w:t xml:space="preserve"> </w:t>
      </w:r>
      <w:r w:rsidRPr="00454670">
        <w:t>after</w:t>
      </w:r>
      <w:r w:rsidR="00C64050">
        <w:t xml:space="preserve"> </w:t>
      </w:r>
      <w:r w:rsidRPr="00454670">
        <w:t>the</w:t>
      </w:r>
      <w:r w:rsidR="00C64050">
        <w:t xml:space="preserve"> </w:t>
      </w:r>
      <w:r w:rsidRPr="00454670">
        <w:t>decedent’s</w:t>
      </w:r>
      <w:r w:rsidR="00C64050">
        <w:t xml:space="preserve"> </w:t>
      </w:r>
      <w:r w:rsidRPr="00454670">
        <w:t>death,</w:t>
      </w:r>
      <w:r w:rsidR="00C64050">
        <w:t xml:space="preserve"> </w:t>
      </w:r>
      <w:r w:rsidRPr="00454670">
        <w:t>will</w:t>
      </w:r>
      <w:r w:rsidR="00C64050">
        <w:t xml:space="preserve"> </w:t>
      </w:r>
      <w:r w:rsidRPr="00454670">
        <w:t>pass</w:t>
      </w:r>
      <w:r w:rsidR="00C64050">
        <w:t xml:space="preserve"> </w:t>
      </w:r>
      <w:r w:rsidRPr="00454670">
        <w:t>free</w:t>
      </w:r>
      <w:r w:rsidR="00C64050">
        <w:t xml:space="preserve"> </w:t>
      </w:r>
      <w:r w:rsidRPr="00454670">
        <w:t>of</w:t>
      </w:r>
      <w:r w:rsidR="00C64050">
        <w:t xml:space="preserve"> </w:t>
      </w:r>
      <w:r w:rsidRPr="00454670">
        <w:t>transfer</w:t>
      </w:r>
      <w:r w:rsidR="00C64050">
        <w:t xml:space="preserve"> </w:t>
      </w:r>
      <w:r w:rsidRPr="00454670">
        <w:t>taxes.</w:t>
      </w:r>
      <w:r w:rsidR="00C64050">
        <w:t xml:space="preserve">  </w:t>
      </w:r>
      <w:r w:rsidRPr="00454670">
        <w:t>On</w:t>
      </w:r>
      <w:r w:rsidR="00C64050">
        <w:t xml:space="preserve"> </w:t>
      </w:r>
      <w:r w:rsidRPr="00454670">
        <w:t>the</w:t>
      </w:r>
      <w:r w:rsidR="00C64050">
        <w:t xml:space="preserve"> </w:t>
      </w:r>
      <w:r w:rsidRPr="00454670">
        <w:t>other</w:t>
      </w:r>
      <w:r w:rsidR="00C64050">
        <w:t xml:space="preserve"> </w:t>
      </w:r>
      <w:r w:rsidRPr="00454670">
        <w:t>hand,</w:t>
      </w:r>
      <w:r w:rsidR="00C64050">
        <w:t xml:space="preserve"> </w:t>
      </w:r>
      <w:r w:rsidRPr="00454670">
        <w:t>smaller</w:t>
      </w:r>
      <w:r w:rsidR="00C64050">
        <w:t xml:space="preserve"> </w:t>
      </w:r>
      <w:r w:rsidRPr="00454670">
        <w:t>but</w:t>
      </w:r>
      <w:r w:rsidR="00C64050">
        <w:t xml:space="preserve"> </w:t>
      </w:r>
      <w:r w:rsidRPr="00454670">
        <w:t>still</w:t>
      </w:r>
      <w:r w:rsidR="00C64050">
        <w:t xml:space="preserve"> </w:t>
      </w:r>
      <w:r w:rsidRPr="00454670">
        <w:t>significant</w:t>
      </w:r>
      <w:r w:rsidR="00C64050">
        <w:t xml:space="preserve"> </w:t>
      </w:r>
      <w:r w:rsidRPr="00454670">
        <w:t>estates</w:t>
      </w:r>
      <w:r w:rsidR="00C64050">
        <w:t xml:space="preserve"> </w:t>
      </w:r>
      <w:r w:rsidRPr="00454670">
        <w:t>should</w:t>
      </w:r>
      <w:r w:rsidR="00C64050">
        <w:t xml:space="preserve"> </w:t>
      </w:r>
      <w:r w:rsidRPr="00454670">
        <w:t>consider</w:t>
      </w:r>
      <w:r w:rsidR="00C64050">
        <w:t xml:space="preserve"> </w:t>
      </w:r>
      <w:r w:rsidRPr="00454670">
        <w:t>portability</w:t>
      </w:r>
      <w:r w:rsidR="00C64050">
        <w:t xml:space="preserve"> </w:t>
      </w:r>
      <w:r w:rsidRPr="00454670">
        <w:t>as</w:t>
      </w:r>
      <w:r w:rsidR="00C64050">
        <w:t xml:space="preserve"> </w:t>
      </w:r>
      <w:r w:rsidRPr="00454670">
        <w:t>an</w:t>
      </w:r>
      <w:r w:rsidR="00C64050">
        <w:t xml:space="preserve"> </w:t>
      </w:r>
      <w:r w:rsidRPr="00454670">
        <w:t>option</w:t>
      </w:r>
      <w:r w:rsidR="00C64050">
        <w:t xml:space="preserve"> </w:t>
      </w:r>
      <w:r w:rsidR="007F5207">
        <w:t>because</w:t>
      </w:r>
      <w:r w:rsidR="00C64050">
        <w:t xml:space="preserve"> </w:t>
      </w:r>
      <w:r w:rsidR="007F5207">
        <w:t>the</w:t>
      </w:r>
      <w:r w:rsidR="00C64050">
        <w:t xml:space="preserve"> </w:t>
      </w:r>
      <w:r w:rsidR="007F5207">
        <w:t>combined</w:t>
      </w:r>
      <w:r w:rsidR="00C64050">
        <w:t xml:space="preserve"> </w:t>
      </w:r>
      <w:r w:rsidR="007F5207">
        <w:t>exclusions</w:t>
      </w:r>
      <w:r w:rsidR="00C64050">
        <w:t xml:space="preserve"> </w:t>
      </w:r>
      <w:r w:rsidR="007F5207">
        <w:t>--</w:t>
      </w:r>
      <w:r w:rsidR="00C64050">
        <w:t xml:space="preserve"> </w:t>
      </w:r>
      <w:r w:rsidRPr="00454670">
        <w:t>the</w:t>
      </w:r>
      <w:r w:rsidR="00C64050">
        <w:t xml:space="preserve"> </w:t>
      </w:r>
      <w:r w:rsidRPr="00454670">
        <w:t>DSUE</w:t>
      </w:r>
      <w:r w:rsidR="00C64050">
        <w:t xml:space="preserve"> </w:t>
      </w:r>
      <w:r w:rsidRPr="00454670">
        <w:t>Amount</w:t>
      </w:r>
      <w:r w:rsidR="00C64050">
        <w:t xml:space="preserve"> </w:t>
      </w:r>
      <w:r w:rsidRPr="00454670">
        <w:t>frozen</w:t>
      </w:r>
      <w:r w:rsidR="00C64050">
        <w:t xml:space="preserve"> </w:t>
      </w:r>
      <w:r w:rsidR="001D718C">
        <w:t>but</w:t>
      </w:r>
      <w:r w:rsidR="00C64050">
        <w:t xml:space="preserve"> </w:t>
      </w:r>
      <w:r w:rsidRPr="00454670">
        <w:t>the</w:t>
      </w:r>
      <w:r w:rsidR="00C64050">
        <w:t xml:space="preserve"> </w:t>
      </w:r>
      <w:r w:rsidRPr="00454670">
        <w:t>surviving</w:t>
      </w:r>
      <w:r w:rsidR="00C64050">
        <w:t xml:space="preserve"> </w:t>
      </w:r>
      <w:r w:rsidRPr="00454670">
        <w:t>spouse’s</w:t>
      </w:r>
      <w:r w:rsidR="00C64050">
        <w:t xml:space="preserve"> </w:t>
      </w:r>
      <w:r w:rsidRPr="00454670">
        <w:t>Applicable</w:t>
      </w:r>
      <w:r w:rsidR="00C64050">
        <w:t xml:space="preserve"> </w:t>
      </w:r>
      <w:r w:rsidRPr="00454670">
        <w:t>Exclusion</w:t>
      </w:r>
      <w:r w:rsidR="00C64050">
        <w:t xml:space="preserve"> </w:t>
      </w:r>
      <w:r w:rsidRPr="00454670">
        <w:t>Amount</w:t>
      </w:r>
      <w:r w:rsidR="00C64050">
        <w:t xml:space="preserve"> </w:t>
      </w:r>
      <w:r w:rsidRPr="00454670">
        <w:t>growing</w:t>
      </w:r>
      <w:r w:rsidR="00C64050">
        <w:t xml:space="preserve"> </w:t>
      </w:r>
      <w:r w:rsidR="007F5207">
        <w:t>with</w:t>
      </w:r>
      <w:r w:rsidR="00C64050">
        <w:t xml:space="preserve"> </w:t>
      </w:r>
      <w:r w:rsidR="007F5207">
        <w:t>the</w:t>
      </w:r>
      <w:r w:rsidR="00C64050">
        <w:t xml:space="preserve"> </w:t>
      </w:r>
      <w:r w:rsidR="007F5207">
        <w:t>cost-of-living</w:t>
      </w:r>
      <w:r w:rsidR="00C64050">
        <w:t xml:space="preserve"> </w:t>
      </w:r>
      <w:r w:rsidR="007F5207">
        <w:t>index</w:t>
      </w:r>
      <w:r w:rsidR="00C64050">
        <w:t xml:space="preserve"> </w:t>
      </w:r>
      <w:r w:rsidR="007F5207">
        <w:t>--</w:t>
      </w:r>
      <w:r w:rsidR="00C64050">
        <w:t xml:space="preserve"> </w:t>
      </w:r>
      <w:r w:rsidRPr="00454670">
        <w:t>is</w:t>
      </w:r>
      <w:r w:rsidR="00C64050">
        <w:t xml:space="preserve"> </w:t>
      </w:r>
      <w:r w:rsidRPr="00454670">
        <w:t>likely</w:t>
      </w:r>
      <w:r w:rsidR="00C64050">
        <w:t xml:space="preserve"> </w:t>
      </w:r>
      <w:r w:rsidRPr="00454670">
        <w:t>to</w:t>
      </w:r>
      <w:r w:rsidR="00C64050">
        <w:t xml:space="preserve"> </w:t>
      </w:r>
      <w:r w:rsidRPr="00454670">
        <w:t>allow</w:t>
      </w:r>
      <w:r w:rsidR="00C64050">
        <w:t xml:space="preserve"> </w:t>
      </w:r>
      <w:r w:rsidRPr="00454670">
        <w:t>the</w:t>
      </w:r>
      <w:r w:rsidR="00C64050">
        <w:t xml:space="preserve"> </w:t>
      </w:r>
      <w:r w:rsidRPr="00454670">
        <w:t>assets</w:t>
      </w:r>
      <w:r w:rsidR="00C64050">
        <w:t xml:space="preserve"> </w:t>
      </w:r>
      <w:r w:rsidRPr="00454670">
        <w:t>to</w:t>
      </w:r>
      <w:r w:rsidR="00C64050">
        <w:t xml:space="preserve"> </w:t>
      </w:r>
      <w:r w:rsidRPr="00454670">
        <w:t>pass</w:t>
      </w:r>
      <w:r w:rsidR="00C64050">
        <w:t xml:space="preserve"> </w:t>
      </w:r>
      <w:r w:rsidRPr="00454670">
        <w:t>at</w:t>
      </w:r>
      <w:r w:rsidR="00C64050">
        <w:t xml:space="preserve"> </w:t>
      </w:r>
      <w:r w:rsidRPr="00454670">
        <w:t>the</w:t>
      </w:r>
      <w:r w:rsidR="00C64050">
        <w:t xml:space="preserve"> </w:t>
      </w:r>
      <w:r w:rsidRPr="00454670">
        <w:t>surviving</w:t>
      </w:r>
      <w:r w:rsidR="00C64050">
        <w:t xml:space="preserve"> </w:t>
      </w:r>
      <w:r w:rsidRPr="00454670">
        <w:t>spouse’s</w:t>
      </w:r>
      <w:r w:rsidR="00C64050">
        <w:t xml:space="preserve"> </w:t>
      </w:r>
      <w:r w:rsidRPr="00454670">
        <w:t>death</w:t>
      </w:r>
      <w:r w:rsidR="00C64050">
        <w:t xml:space="preserve"> </w:t>
      </w:r>
      <w:r w:rsidRPr="00454670">
        <w:t>with</w:t>
      </w:r>
      <w:r w:rsidR="00C64050">
        <w:t xml:space="preserve"> </w:t>
      </w:r>
      <w:r w:rsidRPr="00454670">
        <w:t>a</w:t>
      </w:r>
      <w:r w:rsidR="00C64050">
        <w:t xml:space="preserve"> </w:t>
      </w:r>
      <w:r w:rsidRPr="00454670">
        <w:t>full</w:t>
      </w:r>
      <w:r w:rsidR="00C64050">
        <w:t xml:space="preserve"> </w:t>
      </w:r>
      <w:r w:rsidRPr="00454670">
        <w:t>step-up</w:t>
      </w:r>
      <w:r w:rsidR="00C64050">
        <w:t xml:space="preserve"> </w:t>
      </w:r>
      <w:r w:rsidRPr="00454670">
        <w:t>in</w:t>
      </w:r>
      <w:r w:rsidR="00C64050">
        <w:t xml:space="preserve"> </w:t>
      </w:r>
      <w:r w:rsidRPr="00454670">
        <w:t>basis</w:t>
      </w:r>
      <w:r w:rsidR="00C64050">
        <w:t xml:space="preserve"> </w:t>
      </w:r>
      <w:r w:rsidRPr="00454670">
        <w:t>with</w:t>
      </w:r>
      <w:r w:rsidR="00C64050">
        <w:t xml:space="preserve"> </w:t>
      </w:r>
      <w:r w:rsidRPr="00454670">
        <w:t>little</w:t>
      </w:r>
      <w:r w:rsidR="00C64050">
        <w:t xml:space="preserve"> </w:t>
      </w:r>
      <w:r w:rsidRPr="00454670">
        <w:t>or</w:t>
      </w:r>
      <w:r w:rsidR="00C64050">
        <w:t xml:space="preserve"> </w:t>
      </w:r>
      <w:r w:rsidRPr="00454670">
        <w:t>no</w:t>
      </w:r>
      <w:r w:rsidR="00C64050">
        <w:t xml:space="preserve"> </w:t>
      </w:r>
      <w:r w:rsidRPr="00454670">
        <w:t>transfer</w:t>
      </w:r>
      <w:r w:rsidR="00C64050">
        <w:t xml:space="preserve"> </w:t>
      </w:r>
      <w:r w:rsidRPr="00454670">
        <w:t>tax</w:t>
      </w:r>
      <w:r w:rsidR="00C64050">
        <w:t xml:space="preserve"> </w:t>
      </w:r>
      <w:r w:rsidRPr="00454670">
        <w:t>costs</w:t>
      </w:r>
      <w:r w:rsidR="00C64050">
        <w:t xml:space="preserve"> </w:t>
      </w:r>
      <w:r w:rsidRPr="00454670">
        <w:t>(unless</w:t>
      </w:r>
      <w:r w:rsidR="00C64050">
        <w:t xml:space="preserve"> </w:t>
      </w:r>
      <w:r w:rsidRPr="00454670">
        <w:t>the</w:t>
      </w:r>
      <w:r w:rsidR="00C64050">
        <w:t xml:space="preserve"> </w:t>
      </w:r>
      <w:r w:rsidRPr="00454670">
        <w:t>assets</w:t>
      </w:r>
      <w:r w:rsidR="00C64050">
        <w:t xml:space="preserve"> </w:t>
      </w:r>
      <w:r w:rsidRPr="00454670">
        <w:t>are</w:t>
      </w:r>
      <w:r w:rsidR="00C64050">
        <w:t xml:space="preserve"> </w:t>
      </w:r>
      <w:r w:rsidRPr="00454670">
        <w:t>subject</w:t>
      </w:r>
      <w:r w:rsidR="00C64050">
        <w:t xml:space="preserve"> </w:t>
      </w:r>
      <w:r w:rsidRPr="00454670">
        <w:t>to</w:t>
      </w:r>
      <w:r w:rsidR="00C64050">
        <w:t xml:space="preserve"> </w:t>
      </w:r>
      <w:r w:rsidRPr="00454670">
        <w:t>significant</w:t>
      </w:r>
      <w:r w:rsidR="00C64050">
        <w:t xml:space="preserve"> </w:t>
      </w:r>
      <w:r w:rsidRPr="00454670">
        <w:t>state</w:t>
      </w:r>
      <w:r w:rsidR="00C64050">
        <w:t xml:space="preserve"> </w:t>
      </w:r>
      <w:r w:rsidRPr="00454670">
        <w:t>death</w:t>
      </w:r>
      <w:r w:rsidR="00C64050">
        <w:t xml:space="preserve"> </w:t>
      </w:r>
      <w:r w:rsidRPr="00454670">
        <w:t>taxes</w:t>
      </w:r>
      <w:r w:rsidR="00C64050">
        <w:t xml:space="preserve"> </w:t>
      </w:r>
      <w:r w:rsidRPr="00454670">
        <w:t>at</w:t>
      </w:r>
      <w:r w:rsidR="00C64050">
        <w:t xml:space="preserve"> </w:t>
      </w:r>
      <w:r w:rsidRPr="00454670">
        <w:t>that</w:t>
      </w:r>
      <w:r w:rsidR="00C64050">
        <w:t xml:space="preserve"> </w:t>
      </w:r>
      <w:r w:rsidRPr="00454670">
        <w:t>time).</w:t>
      </w:r>
      <w:r w:rsidR="00C64050">
        <w:t xml:space="preserve">  </w:t>
      </w:r>
    </w:p>
    <w:p w:rsidR="008059B8" w:rsidRPr="00454670" w:rsidRDefault="00E663E3" w:rsidP="00963A39">
      <w:pPr>
        <w:pStyle w:val="Body15"/>
      </w:pPr>
      <w:r>
        <w:t>Estates</w:t>
      </w:r>
      <w:r w:rsidR="00C64050">
        <w:t xml:space="preserve"> </w:t>
      </w:r>
      <w:r>
        <w:t>where</w:t>
      </w:r>
      <w:r w:rsidR="00C64050">
        <w:t xml:space="preserve"> </w:t>
      </w:r>
      <w:r>
        <w:t>a</w:t>
      </w:r>
      <w:r w:rsidR="00C64050">
        <w:t xml:space="preserve"> </w:t>
      </w:r>
      <w:r>
        <w:t>surviving</w:t>
      </w:r>
      <w:r w:rsidR="00C64050">
        <w:t xml:space="preserve"> </w:t>
      </w:r>
      <w:r>
        <w:t>spouse</w:t>
      </w:r>
      <w:r w:rsidR="00C64050">
        <w:t xml:space="preserve"> </w:t>
      </w:r>
      <w:r>
        <w:t>may</w:t>
      </w:r>
      <w:r w:rsidR="00C64050">
        <w:t xml:space="preserve"> </w:t>
      </w:r>
      <w:r>
        <w:t>need</w:t>
      </w:r>
      <w:r w:rsidR="00C64050">
        <w:t xml:space="preserve"> </w:t>
      </w:r>
      <w:r>
        <w:t>to</w:t>
      </w:r>
      <w:r w:rsidR="00C64050">
        <w:t xml:space="preserve"> </w:t>
      </w:r>
      <w:r>
        <w:t>qualify</w:t>
      </w:r>
      <w:r w:rsidR="00C64050">
        <w:t xml:space="preserve"> </w:t>
      </w:r>
      <w:r>
        <w:t>for</w:t>
      </w:r>
      <w:r w:rsidR="00C64050">
        <w:t xml:space="preserve"> </w:t>
      </w:r>
      <w:r>
        <w:t>government</w:t>
      </w:r>
      <w:r w:rsidR="00C64050">
        <w:t xml:space="preserve"> </w:t>
      </w:r>
      <w:r>
        <w:t>assistance</w:t>
      </w:r>
      <w:r w:rsidR="00C64050">
        <w:t xml:space="preserve"> </w:t>
      </w:r>
      <w:r>
        <w:t>should</w:t>
      </w:r>
      <w:r w:rsidR="00C64050">
        <w:t xml:space="preserve"> </w:t>
      </w:r>
      <w:r>
        <w:t>consider</w:t>
      </w:r>
      <w:r w:rsidR="00C64050">
        <w:t xml:space="preserve"> </w:t>
      </w:r>
      <w:r>
        <w:t>a</w:t>
      </w:r>
      <w:r w:rsidR="00C64050">
        <w:t xml:space="preserve"> </w:t>
      </w:r>
      <w:r>
        <w:t>modified</w:t>
      </w:r>
      <w:r w:rsidR="00C64050">
        <w:t xml:space="preserve"> </w:t>
      </w:r>
      <w:r>
        <w:t>by</w:t>
      </w:r>
      <w:r w:rsidR="00196AE9">
        <w:t>-</w:t>
      </w:r>
      <w:r>
        <w:t>pass</w:t>
      </w:r>
      <w:r w:rsidR="00C64050">
        <w:t xml:space="preserve"> </w:t>
      </w:r>
      <w:r>
        <w:t>trust</w:t>
      </w:r>
      <w:r w:rsidR="00C64050">
        <w:t xml:space="preserve"> </w:t>
      </w:r>
      <w:r>
        <w:t>type</w:t>
      </w:r>
      <w:r w:rsidR="00C64050">
        <w:t xml:space="preserve"> </w:t>
      </w:r>
      <w:r>
        <w:t>planning;</w:t>
      </w:r>
      <w:r w:rsidR="00C64050">
        <w:t xml:space="preserve"> </w:t>
      </w:r>
      <w:r>
        <w:t>the</w:t>
      </w:r>
      <w:r w:rsidR="00C64050">
        <w:t xml:space="preserve"> </w:t>
      </w:r>
      <w:r>
        <w:t>trust</w:t>
      </w:r>
      <w:r w:rsidR="00C64050">
        <w:t xml:space="preserve"> </w:t>
      </w:r>
      <w:r>
        <w:t>for</w:t>
      </w:r>
      <w:r w:rsidR="00C64050">
        <w:t xml:space="preserve"> </w:t>
      </w:r>
      <w:r>
        <w:t>the</w:t>
      </w:r>
      <w:r w:rsidR="00C64050">
        <w:t xml:space="preserve"> </w:t>
      </w:r>
      <w:r>
        <w:t>surviving</w:t>
      </w:r>
      <w:r w:rsidR="00C64050">
        <w:t xml:space="preserve"> </w:t>
      </w:r>
      <w:r>
        <w:t>spouse</w:t>
      </w:r>
      <w:r w:rsidR="00C64050">
        <w:t xml:space="preserve"> </w:t>
      </w:r>
      <w:r>
        <w:t>is</w:t>
      </w:r>
      <w:r w:rsidR="00C64050">
        <w:t xml:space="preserve"> </w:t>
      </w:r>
      <w:r>
        <w:t>designed</w:t>
      </w:r>
      <w:r w:rsidR="00C64050">
        <w:t xml:space="preserve"> </w:t>
      </w:r>
      <w:r>
        <w:t>specifically</w:t>
      </w:r>
      <w:r w:rsidR="00C64050">
        <w:t xml:space="preserve"> </w:t>
      </w:r>
      <w:r>
        <w:t>with</w:t>
      </w:r>
      <w:r w:rsidR="00C64050">
        <w:t xml:space="preserve"> </w:t>
      </w:r>
      <w:r>
        <w:t>governmental</w:t>
      </w:r>
      <w:r w:rsidR="00C64050">
        <w:t xml:space="preserve"> </w:t>
      </w:r>
      <w:r>
        <w:t>assistance</w:t>
      </w:r>
      <w:r w:rsidR="00C64050">
        <w:t xml:space="preserve"> </w:t>
      </w:r>
      <w:r>
        <w:t>in</w:t>
      </w:r>
      <w:r w:rsidR="00C64050">
        <w:t xml:space="preserve"> </w:t>
      </w:r>
      <w:r>
        <w:t>mind.</w:t>
      </w:r>
      <w:r w:rsidR="00C64050">
        <w:t xml:space="preserve">  </w:t>
      </w:r>
      <w:r>
        <w:t>For</w:t>
      </w:r>
      <w:r w:rsidR="00C64050">
        <w:t xml:space="preserve"> </w:t>
      </w:r>
      <w:r>
        <w:t>example,</w:t>
      </w:r>
      <w:r w:rsidR="00C64050">
        <w:t xml:space="preserve"> </w:t>
      </w:r>
      <w:r>
        <w:t>perhaps</w:t>
      </w:r>
      <w:r w:rsidR="00C64050">
        <w:t xml:space="preserve"> </w:t>
      </w:r>
      <w:r>
        <w:t>a</w:t>
      </w:r>
      <w:r w:rsidR="00C64050">
        <w:t xml:space="preserve"> </w:t>
      </w:r>
      <w:r>
        <w:t>child</w:t>
      </w:r>
      <w:r w:rsidR="00C64050">
        <w:t xml:space="preserve"> </w:t>
      </w:r>
      <w:r>
        <w:t>or</w:t>
      </w:r>
      <w:r w:rsidR="00C64050">
        <w:t xml:space="preserve"> </w:t>
      </w:r>
      <w:r>
        <w:t>other</w:t>
      </w:r>
      <w:r w:rsidR="00C64050">
        <w:t xml:space="preserve"> </w:t>
      </w:r>
      <w:r>
        <w:t>person</w:t>
      </w:r>
      <w:r w:rsidR="00C64050">
        <w:t xml:space="preserve"> </w:t>
      </w:r>
      <w:r>
        <w:t>should</w:t>
      </w:r>
      <w:r w:rsidR="00C64050">
        <w:t xml:space="preserve"> </w:t>
      </w:r>
      <w:r>
        <w:t>be</w:t>
      </w:r>
      <w:r w:rsidR="00C64050">
        <w:t xml:space="preserve"> </w:t>
      </w:r>
      <w:r>
        <w:t>allowed</w:t>
      </w:r>
      <w:r w:rsidR="00C64050">
        <w:t xml:space="preserve"> </w:t>
      </w:r>
      <w:r>
        <w:t>to</w:t>
      </w:r>
      <w:r w:rsidR="00C64050">
        <w:t xml:space="preserve"> </w:t>
      </w:r>
      <w:r>
        <w:t>terminate</w:t>
      </w:r>
      <w:r w:rsidR="00C64050">
        <w:t xml:space="preserve"> </w:t>
      </w:r>
      <w:r>
        <w:t>the</w:t>
      </w:r>
      <w:r w:rsidR="00C64050">
        <w:t xml:space="preserve"> </w:t>
      </w:r>
      <w:r>
        <w:t>spouse’s</w:t>
      </w:r>
      <w:r w:rsidR="00C64050">
        <w:t xml:space="preserve"> </w:t>
      </w:r>
      <w:r w:rsidR="00423353">
        <w:t>interest</w:t>
      </w:r>
      <w:r w:rsidR="00C64050">
        <w:t xml:space="preserve"> </w:t>
      </w:r>
      <w:r>
        <w:t>in</w:t>
      </w:r>
      <w:r w:rsidR="00C64050">
        <w:t xml:space="preserve"> </w:t>
      </w:r>
      <w:r>
        <w:t>the</w:t>
      </w:r>
      <w:r w:rsidR="00C64050">
        <w:t xml:space="preserve"> </w:t>
      </w:r>
      <w:r>
        <w:t>trust</w:t>
      </w:r>
      <w:r w:rsidR="00C64050">
        <w:t xml:space="preserve"> </w:t>
      </w:r>
      <w:r>
        <w:t>(or</w:t>
      </w:r>
      <w:r w:rsidR="00C64050">
        <w:t xml:space="preserve"> </w:t>
      </w:r>
      <w:r>
        <w:t>otherwise</w:t>
      </w:r>
      <w:r w:rsidR="00C64050">
        <w:t xml:space="preserve"> </w:t>
      </w:r>
      <w:r>
        <w:t>modify</w:t>
      </w:r>
      <w:r w:rsidR="00C64050">
        <w:t xml:space="preserve"> </w:t>
      </w:r>
      <w:r>
        <w:t>it).</w:t>
      </w:r>
      <w:r w:rsidR="00C64050">
        <w:t xml:space="preserve">  </w:t>
      </w:r>
      <w:r>
        <w:t>Consider</w:t>
      </w:r>
      <w:r w:rsidR="00C64050">
        <w:t xml:space="preserve"> </w:t>
      </w:r>
      <w:r w:rsidR="00196AE9">
        <w:t>a</w:t>
      </w:r>
      <w:r w:rsidR="00C64050">
        <w:t xml:space="preserve"> </w:t>
      </w:r>
      <w:r w:rsidR="00196AE9">
        <w:t>trust</w:t>
      </w:r>
      <w:r w:rsidR="00C64050">
        <w:t xml:space="preserve"> </w:t>
      </w:r>
      <w:r w:rsidR="00196AE9">
        <w:t>“for”</w:t>
      </w:r>
      <w:r w:rsidR="00C64050">
        <w:t xml:space="preserve"> </w:t>
      </w:r>
      <w:r w:rsidR="00196AE9">
        <w:t>the</w:t>
      </w:r>
      <w:r w:rsidR="00C64050">
        <w:t xml:space="preserve"> </w:t>
      </w:r>
      <w:r w:rsidR="00196AE9">
        <w:t>surviving</w:t>
      </w:r>
      <w:r w:rsidR="00C64050">
        <w:t xml:space="preserve"> </w:t>
      </w:r>
      <w:r w:rsidR="00196AE9">
        <w:t>spouse</w:t>
      </w:r>
      <w:r w:rsidR="00C64050">
        <w:t xml:space="preserve"> </w:t>
      </w:r>
      <w:r w:rsidR="00196AE9">
        <w:t>in</w:t>
      </w:r>
      <w:r w:rsidR="00C64050">
        <w:t xml:space="preserve"> </w:t>
      </w:r>
      <w:r w:rsidR="00196AE9">
        <w:t>which</w:t>
      </w:r>
      <w:r w:rsidR="00C64050">
        <w:t xml:space="preserve"> </w:t>
      </w:r>
      <w:r w:rsidR="00196AE9">
        <w:t>the</w:t>
      </w:r>
      <w:r w:rsidR="00C64050">
        <w:t xml:space="preserve"> </w:t>
      </w:r>
      <w:r w:rsidR="00196AE9">
        <w:t>descendants</w:t>
      </w:r>
      <w:r w:rsidR="00C64050">
        <w:t xml:space="preserve"> </w:t>
      </w:r>
      <w:r w:rsidR="00196AE9">
        <w:t>are</w:t>
      </w:r>
      <w:r w:rsidR="00C64050">
        <w:t xml:space="preserve"> </w:t>
      </w:r>
      <w:r w:rsidR="00196AE9">
        <w:t>beneficiaries.</w:t>
      </w:r>
      <w:r w:rsidR="00C64050">
        <w:t xml:space="preserve">  </w:t>
      </w:r>
      <w:r w:rsidR="00196AE9">
        <w:t>A</w:t>
      </w:r>
      <w:r w:rsidR="00C64050">
        <w:t xml:space="preserve"> </w:t>
      </w:r>
      <w:r w:rsidR="00196AE9" w:rsidRPr="00963A39">
        <w:rPr>
          <w:color w:val="000000"/>
          <w:szCs w:val="20"/>
        </w:rPr>
        <w:t>trusted</w:t>
      </w:r>
      <w:r w:rsidR="00C64050">
        <w:t xml:space="preserve"> </w:t>
      </w:r>
      <w:r w:rsidR="00196AE9">
        <w:t>child</w:t>
      </w:r>
      <w:r w:rsidR="00C64050">
        <w:t xml:space="preserve"> </w:t>
      </w:r>
      <w:r w:rsidR="00196AE9">
        <w:t>or</w:t>
      </w:r>
      <w:r w:rsidR="00C64050">
        <w:t xml:space="preserve"> </w:t>
      </w:r>
      <w:r w:rsidR="00196AE9">
        <w:t>other</w:t>
      </w:r>
      <w:r w:rsidR="00C64050">
        <w:t xml:space="preserve"> </w:t>
      </w:r>
      <w:r w:rsidR="00196AE9">
        <w:t>person</w:t>
      </w:r>
      <w:r w:rsidR="00C64050">
        <w:t xml:space="preserve"> </w:t>
      </w:r>
      <w:r w:rsidR="00196AE9">
        <w:t>could</w:t>
      </w:r>
      <w:r w:rsidR="00C64050">
        <w:t xml:space="preserve"> </w:t>
      </w:r>
      <w:r w:rsidR="00196AE9">
        <w:t>have</w:t>
      </w:r>
      <w:r w:rsidR="00C64050">
        <w:t xml:space="preserve"> </w:t>
      </w:r>
      <w:r w:rsidR="00196AE9">
        <w:t>a</w:t>
      </w:r>
      <w:r w:rsidR="00C64050">
        <w:t xml:space="preserve"> </w:t>
      </w:r>
      <w:r w:rsidR="00196AE9">
        <w:t>lifetime</w:t>
      </w:r>
      <w:r w:rsidR="00C64050">
        <w:t xml:space="preserve"> </w:t>
      </w:r>
      <w:r w:rsidR="00196AE9">
        <w:t>special</w:t>
      </w:r>
      <w:r w:rsidR="00C64050">
        <w:t xml:space="preserve"> </w:t>
      </w:r>
      <w:r w:rsidR="00196AE9">
        <w:t>power</w:t>
      </w:r>
      <w:r w:rsidR="00C64050">
        <w:t xml:space="preserve"> </w:t>
      </w:r>
      <w:r w:rsidR="00196AE9">
        <w:t>of</w:t>
      </w:r>
      <w:r w:rsidR="00C64050">
        <w:t xml:space="preserve"> </w:t>
      </w:r>
      <w:r w:rsidR="00196AE9">
        <w:t>appointment</w:t>
      </w:r>
      <w:r w:rsidR="00C64050">
        <w:t xml:space="preserve"> </w:t>
      </w:r>
      <w:r w:rsidR="00196AE9">
        <w:t>in</w:t>
      </w:r>
      <w:r w:rsidR="00C64050">
        <w:t xml:space="preserve"> </w:t>
      </w:r>
      <w:r w:rsidR="00196AE9">
        <w:t>favor</w:t>
      </w:r>
      <w:r w:rsidR="00C64050">
        <w:t xml:space="preserve"> </w:t>
      </w:r>
      <w:r w:rsidR="00196AE9">
        <w:t>of</w:t>
      </w:r>
      <w:r w:rsidR="00C64050">
        <w:t xml:space="preserve"> </w:t>
      </w:r>
      <w:r w:rsidR="00196AE9">
        <w:t>anyone;</w:t>
      </w:r>
      <w:r w:rsidR="00C64050">
        <w:t xml:space="preserve"> </w:t>
      </w:r>
      <w:r w:rsidR="00196AE9">
        <w:t>that</w:t>
      </w:r>
      <w:r w:rsidR="00C64050">
        <w:t xml:space="preserve"> </w:t>
      </w:r>
      <w:r w:rsidR="00196AE9">
        <w:t>power</w:t>
      </w:r>
      <w:r w:rsidR="00C64050">
        <w:t xml:space="preserve"> </w:t>
      </w:r>
      <w:r w:rsidR="00196AE9">
        <w:t>would</w:t>
      </w:r>
      <w:r w:rsidR="00C64050">
        <w:t xml:space="preserve"> </w:t>
      </w:r>
      <w:r w:rsidR="00196AE9">
        <w:t>be</w:t>
      </w:r>
      <w:r w:rsidR="00C64050">
        <w:t xml:space="preserve"> </w:t>
      </w:r>
      <w:r w:rsidR="00196AE9">
        <w:t>ex</w:t>
      </w:r>
      <w:r w:rsidR="0073744A">
        <w:t>ercised</w:t>
      </w:r>
      <w:r w:rsidR="00C64050">
        <w:t xml:space="preserve"> </w:t>
      </w:r>
      <w:r w:rsidR="0073744A">
        <w:t>e</w:t>
      </w:r>
      <w:r w:rsidR="00196AE9">
        <w:t>very</w:t>
      </w:r>
      <w:r w:rsidR="00C64050">
        <w:t xml:space="preserve"> </w:t>
      </w:r>
      <w:r w:rsidR="00196AE9">
        <w:t>month,</w:t>
      </w:r>
      <w:r w:rsidR="00C64050">
        <w:t xml:space="preserve"> </w:t>
      </w:r>
      <w:r w:rsidR="00196AE9">
        <w:t>quarter,</w:t>
      </w:r>
      <w:r w:rsidR="00C64050">
        <w:t xml:space="preserve"> </w:t>
      </w:r>
      <w:r w:rsidR="00196AE9">
        <w:t>or</w:t>
      </w:r>
      <w:r w:rsidR="00C64050">
        <w:t xml:space="preserve"> </w:t>
      </w:r>
      <w:r w:rsidR="00196AE9">
        <w:t>year</w:t>
      </w:r>
      <w:r w:rsidR="00C64050">
        <w:t xml:space="preserve"> </w:t>
      </w:r>
      <w:r w:rsidR="00196AE9">
        <w:t>in</w:t>
      </w:r>
      <w:r w:rsidR="00C64050">
        <w:t xml:space="preserve"> </w:t>
      </w:r>
      <w:r w:rsidR="00196AE9">
        <w:t>favor</w:t>
      </w:r>
      <w:r w:rsidR="00C64050">
        <w:t xml:space="preserve"> </w:t>
      </w:r>
      <w:r w:rsidR="00196AE9">
        <w:t>of</w:t>
      </w:r>
      <w:r w:rsidR="00C64050">
        <w:t xml:space="preserve"> </w:t>
      </w:r>
      <w:r w:rsidR="00196AE9">
        <w:t>the</w:t>
      </w:r>
      <w:r w:rsidR="00C64050">
        <w:t xml:space="preserve"> </w:t>
      </w:r>
      <w:r w:rsidR="00196AE9">
        <w:t>spouse</w:t>
      </w:r>
      <w:r w:rsidR="00C64050">
        <w:t xml:space="preserve"> </w:t>
      </w:r>
      <w:r w:rsidR="00196AE9">
        <w:t>until</w:t>
      </w:r>
      <w:r w:rsidR="00C64050">
        <w:t xml:space="preserve"> </w:t>
      </w:r>
      <w:r w:rsidR="00196AE9">
        <w:t>that</w:t>
      </w:r>
      <w:r w:rsidR="00C64050">
        <w:t xml:space="preserve"> </w:t>
      </w:r>
      <w:r w:rsidR="00196AE9">
        <w:t>was</w:t>
      </w:r>
      <w:r w:rsidR="00C64050">
        <w:t xml:space="preserve"> </w:t>
      </w:r>
      <w:r w:rsidR="00196AE9">
        <w:t>inappropriate.</w:t>
      </w:r>
      <w:r w:rsidR="00C64050">
        <w:t xml:space="preserve">  </w:t>
      </w:r>
      <w:r w:rsidR="00196AE9">
        <w:t>The</w:t>
      </w:r>
      <w:r w:rsidR="00C64050">
        <w:t xml:space="preserve"> </w:t>
      </w:r>
      <w:r w:rsidR="00196AE9">
        <w:t>spouse</w:t>
      </w:r>
      <w:r w:rsidR="00C64050">
        <w:t xml:space="preserve"> </w:t>
      </w:r>
      <w:r w:rsidR="00196AE9">
        <w:t>would</w:t>
      </w:r>
      <w:r w:rsidR="00C64050">
        <w:t xml:space="preserve"> </w:t>
      </w:r>
      <w:r w:rsidR="00196AE9">
        <w:t>say</w:t>
      </w:r>
      <w:r w:rsidR="00C64050">
        <w:t xml:space="preserve"> </w:t>
      </w:r>
      <w:r w:rsidR="00196AE9">
        <w:t>accurately</w:t>
      </w:r>
      <w:r w:rsidR="00C64050">
        <w:t xml:space="preserve"> </w:t>
      </w:r>
      <w:r w:rsidR="00196AE9">
        <w:t>that</w:t>
      </w:r>
      <w:r w:rsidR="00C64050">
        <w:t xml:space="preserve"> </w:t>
      </w:r>
      <w:r w:rsidR="00196AE9">
        <w:t>no</w:t>
      </w:r>
      <w:r w:rsidR="00C64050">
        <w:t xml:space="preserve"> </w:t>
      </w:r>
      <w:r w:rsidR="00196AE9">
        <w:t>trusts</w:t>
      </w:r>
      <w:r w:rsidR="00C64050">
        <w:t xml:space="preserve"> </w:t>
      </w:r>
      <w:r w:rsidR="00196AE9">
        <w:t>were</w:t>
      </w:r>
      <w:r w:rsidR="00C64050">
        <w:t xml:space="preserve"> </w:t>
      </w:r>
      <w:r w:rsidR="00196AE9">
        <w:t>for</w:t>
      </w:r>
      <w:r w:rsidR="00C64050">
        <w:t xml:space="preserve"> </w:t>
      </w:r>
      <w:r w:rsidR="00196AE9">
        <w:t>his</w:t>
      </w:r>
      <w:r w:rsidR="00C64050">
        <w:t xml:space="preserve"> </w:t>
      </w:r>
      <w:r w:rsidR="00196AE9">
        <w:t>or</w:t>
      </w:r>
      <w:r w:rsidR="00C64050">
        <w:t xml:space="preserve"> </w:t>
      </w:r>
      <w:r w:rsidR="00196AE9">
        <w:t>her</w:t>
      </w:r>
      <w:r w:rsidR="00C64050">
        <w:t xml:space="preserve"> </w:t>
      </w:r>
      <w:r w:rsidR="00196AE9">
        <w:t>benefit.</w:t>
      </w:r>
      <w:r w:rsidR="00C64050">
        <w:t xml:space="preserve">  </w:t>
      </w:r>
      <w:r w:rsidR="005A4613">
        <w:t>For</w:t>
      </w:r>
      <w:r w:rsidR="00C64050">
        <w:t xml:space="preserve"> </w:t>
      </w:r>
      <w:r w:rsidR="005A4613">
        <w:t>Medicaid</w:t>
      </w:r>
      <w:r w:rsidR="00C64050">
        <w:t xml:space="preserve"> </w:t>
      </w:r>
      <w:r w:rsidR="005A4613">
        <w:t>purposes,</w:t>
      </w:r>
      <w:r w:rsidR="00C64050">
        <w:t xml:space="preserve"> </w:t>
      </w:r>
      <w:r w:rsidR="005A4613">
        <w:t>trusts</w:t>
      </w:r>
      <w:r w:rsidR="00C64050">
        <w:t xml:space="preserve"> </w:t>
      </w:r>
      <w:r w:rsidR="005A4613">
        <w:t>under</w:t>
      </w:r>
      <w:r w:rsidR="00C64050">
        <w:t xml:space="preserve"> </w:t>
      </w:r>
      <w:r w:rsidR="005A4613">
        <w:t>Will</w:t>
      </w:r>
      <w:r w:rsidR="00C64050">
        <w:t xml:space="preserve"> </w:t>
      </w:r>
      <w:r w:rsidR="005A4613">
        <w:t>are</w:t>
      </w:r>
      <w:r w:rsidR="00C64050">
        <w:t xml:space="preserve"> </w:t>
      </w:r>
      <w:r w:rsidR="005A4613">
        <w:t>favored</w:t>
      </w:r>
      <w:r w:rsidR="00C64050">
        <w:t xml:space="preserve"> </w:t>
      </w:r>
      <w:r w:rsidR="005A4613">
        <w:t>over</w:t>
      </w:r>
      <w:r w:rsidR="00C64050">
        <w:t xml:space="preserve"> </w:t>
      </w:r>
      <w:r w:rsidR="005A4613">
        <w:t>trust</w:t>
      </w:r>
      <w:r w:rsidR="00C64050">
        <w:t xml:space="preserve"> </w:t>
      </w:r>
      <w:r w:rsidR="005A4613">
        <w:t>agreements.</w:t>
      </w:r>
    </w:p>
    <w:p w:rsidR="008059B8" w:rsidRDefault="008059B8" w:rsidP="009676E9">
      <w:pPr>
        <w:pStyle w:val="LFLevel3"/>
        <w:ind w:left="0" w:firstLine="1440"/>
      </w:pPr>
      <w:r w:rsidRPr="00454670">
        <w:t>In</w:t>
      </w:r>
      <w:r w:rsidR="00C64050">
        <w:t xml:space="preserve"> </w:t>
      </w:r>
      <w:r w:rsidRPr="00454670">
        <w:t>evaluating</w:t>
      </w:r>
      <w:r w:rsidR="00C64050">
        <w:t xml:space="preserve"> </w:t>
      </w:r>
      <w:r w:rsidRPr="00454670">
        <w:t>the</w:t>
      </w:r>
      <w:r w:rsidR="00C64050">
        <w:t xml:space="preserve"> </w:t>
      </w:r>
      <w:r w:rsidRPr="00454670">
        <w:t>income</w:t>
      </w:r>
      <w:r w:rsidR="00C64050">
        <w:t xml:space="preserve"> </w:t>
      </w:r>
      <w:r w:rsidRPr="00454670">
        <w:t>tax</w:t>
      </w:r>
      <w:r w:rsidR="00C64050">
        <w:t xml:space="preserve"> </w:t>
      </w:r>
      <w:r w:rsidRPr="00454670">
        <w:t>savings</w:t>
      </w:r>
      <w:r w:rsidR="00C64050">
        <w:t xml:space="preserve"> </w:t>
      </w:r>
      <w:r w:rsidRPr="00454670">
        <w:t>of</w:t>
      </w:r>
      <w:r w:rsidR="00C64050">
        <w:t xml:space="preserve"> </w:t>
      </w:r>
      <w:r w:rsidRPr="00454670">
        <w:t>portability</w:t>
      </w:r>
      <w:r w:rsidR="00C64050">
        <w:t xml:space="preserve"> </w:t>
      </w:r>
      <w:r w:rsidRPr="00454670">
        <w:t>planning,</w:t>
      </w:r>
      <w:r w:rsidR="00C64050">
        <w:t xml:space="preserve"> </w:t>
      </w:r>
      <w:r w:rsidRPr="00454670">
        <w:t>planners</w:t>
      </w:r>
      <w:r w:rsidR="00C64050">
        <w:t xml:space="preserve"> </w:t>
      </w:r>
      <w:r w:rsidRPr="00454670">
        <w:t>will</w:t>
      </w:r>
      <w:r w:rsidR="00C64050">
        <w:t xml:space="preserve"> </w:t>
      </w:r>
      <w:r w:rsidRPr="00454670">
        <w:t>want</w:t>
      </w:r>
      <w:r w:rsidR="00C64050">
        <w:t xml:space="preserve"> </w:t>
      </w:r>
      <w:r w:rsidRPr="00454670">
        <w:t>to</w:t>
      </w:r>
      <w:r w:rsidR="00C64050">
        <w:t xml:space="preserve"> </w:t>
      </w:r>
      <w:r w:rsidRPr="00454670">
        <w:t>consider</w:t>
      </w:r>
      <w:r w:rsidR="00C64050">
        <w:t xml:space="preserve"> </w:t>
      </w:r>
      <w:r w:rsidRPr="00454670">
        <w:t>that</w:t>
      </w:r>
      <w:r w:rsidR="00C64050">
        <w:t xml:space="preserve"> </w:t>
      </w:r>
      <w:r w:rsidRPr="00454670">
        <w:t>even</w:t>
      </w:r>
      <w:r w:rsidR="00C64050">
        <w:t xml:space="preserve"> </w:t>
      </w:r>
      <w:r w:rsidRPr="00454670">
        <w:t>for</w:t>
      </w:r>
      <w:r w:rsidR="00C64050">
        <w:t xml:space="preserve"> </w:t>
      </w:r>
      <w:r w:rsidRPr="00454670">
        <w:t>very</w:t>
      </w:r>
      <w:r w:rsidR="00C64050">
        <w:t xml:space="preserve"> </w:t>
      </w:r>
      <w:r w:rsidRPr="00454670">
        <w:t>large</w:t>
      </w:r>
      <w:r w:rsidR="00C64050">
        <w:t xml:space="preserve"> </w:t>
      </w:r>
      <w:r w:rsidRPr="00454670">
        <w:t>estates,</w:t>
      </w:r>
      <w:r w:rsidR="00C64050">
        <w:t xml:space="preserve"> </w:t>
      </w:r>
      <w:r w:rsidRPr="00454670">
        <w:t>the</w:t>
      </w:r>
      <w:r w:rsidR="00C64050">
        <w:t xml:space="preserve"> </w:t>
      </w:r>
      <w:r w:rsidRPr="00454670">
        <w:t>surviving</w:t>
      </w:r>
      <w:r w:rsidR="00C64050">
        <w:t xml:space="preserve"> </w:t>
      </w:r>
      <w:r w:rsidRPr="00454670">
        <w:t>spouse</w:t>
      </w:r>
      <w:r w:rsidR="00C64050">
        <w:t xml:space="preserve"> </w:t>
      </w:r>
      <w:r w:rsidRPr="00454670">
        <w:t>has</w:t>
      </w:r>
      <w:r w:rsidR="00C64050">
        <w:t xml:space="preserve"> </w:t>
      </w:r>
      <w:r w:rsidRPr="00454670">
        <w:t>the</w:t>
      </w:r>
      <w:r w:rsidR="00C64050">
        <w:t xml:space="preserve"> </w:t>
      </w:r>
      <w:r w:rsidRPr="00454670">
        <w:t>option</w:t>
      </w:r>
      <w:r w:rsidR="00C64050">
        <w:t xml:space="preserve"> </w:t>
      </w:r>
      <w:r w:rsidRPr="00454670">
        <w:t>of</w:t>
      </w:r>
      <w:r w:rsidR="00C64050">
        <w:t xml:space="preserve"> </w:t>
      </w:r>
      <w:r w:rsidRPr="00454670">
        <w:t>using</w:t>
      </w:r>
      <w:r w:rsidR="00C64050">
        <w:t xml:space="preserve"> </w:t>
      </w:r>
      <w:r w:rsidRPr="00454670">
        <w:t>the</w:t>
      </w:r>
      <w:r w:rsidR="00C64050">
        <w:t xml:space="preserve"> </w:t>
      </w:r>
      <w:r w:rsidRPr="00454670">
        <w:t>DSUE</w:t>
      </w:r>
      <w:r w:rsidR="00C64050">
        <w:t xml:space="preserve"> </w:t>
      </w:r>
      <w:r w:rsidRPr="00454670">
        <w:t>Amount</w:t>
      </w:r>
      <w:r w:rsidR="00C64050">
        <w:t xml:space="preserve"> </w:t>
      </w:r>
      <w:r w:rsidRPr="00454670">
        <w:t>by</w:t>
      </w:r>
      <w:r w:rsidR="00C64050">
        <w:t xml:space="preserve"> </w:t>
      </w:r>
      <w:r w:rsidRPr="00454670">
        <w:t>making</w:t>
      </w:r>
      <w:r w:rsidR="00C64050">
        <w:t xml:space="preserve"> </w:t>
      </w:r>
      <w:r w:rsidRPr="00454670">
        <w:t>a</w:t>
      </w:r>
      <w:r w:rsidR="00C64050">
        <w:t xml:space="preserve"> </w:t>
      </w:r>
      <w:r w:rsidRPr="00454670">
        <w:t>taxable</w:t>
      </w:r>
      <w:r w:rsidR="00C64050">
        <w:t xml:space="preserve"> </w:t>
      </w:r>
      <w:r w:rsidRPr="00454670">
        <w:t>gift</w:t>
      </w:r>
      <w:r w:rsidR="00C64050">
        <w:t xml:space="preserve"> </w:t>
      </w:r>
      <w:r w:rsidRPr="00454670">
        <w:t>to</w:t>
      </w:r>
      <w:r w:rsidR="00C64050">
        <w:t xml:space="preserve"> </w:t>
      </w:r>
      <w:r w:rsidR="001D718C">
        <w:t>a</w:t>
      </w:r>
      <w:r w:rsidR="00C64050">
        <w:t xml:space="preserve"> </w:t>
      </w:r>
      <w:r w:rsidR="001D718C">
        <w:t>grantor</w:t>
      </w:r>
      <w:r w:rsidR="00C64050">
        <w:t xml:space="preserve"> </w:t>
      </w:r>
      <w:r w:rsidR="001D718C">
        <w:t>trust</w:t>
      </w:r>
      <w:r w:rsidRPr="00454670">
        <w:t>.</w:t>
      </w:r>
      <w:r w:rsidR="00C64050">
        <w:t xml:space="preserve">  </w:t>
      </w:r>
      <w:r w:rsidR="001D718C">
        <w:t>T</w:t>
      </w:r>
      <w:r w:rsidRPr="00454670">
        <w:t>he</w:t>
      </w:r>
      <w:r w:rsidR="00C64050">
        <w:t xml:space="preserve"> </w:t>
      </w:r>
      <w:r w:rsidRPr="00454670">
        <w:t>DSUE</w:t>
      </w:r>
      <w:r w:rsidR="00C64050">
        <w:t xml:space="preserve"> </w:t>
      </w:r>
      <w:r w:rsidRPr="00454670">
        <w:t>Amount</w:t>
      </w:r>
      <w:r w:rsidR="00C64050">
        <w:t xml:space="preserve"> </w:t>
      </w:r>
      <w:r w:rsidRPr="00454670">
        <w:t>is</w:t>
      </w:r>
      <w:r w:rsidR="00C64050">
        <w:t xml:space="preserve"> </w:t>
      </w:r>
      <w:r w:rsidRPr="00454670">
        <w:t>applied</w:t>
      </w:r>
      <w:r w:rsidR="00C64050">
        <w:t xml:space="preserve"> </w:t>
      </w:r>
      <w:r w:rsidRPr="00454670">
        <w:t>against</w:t>
      </w:r>
      <w:r w:rsidR="00C64050">
        <w:t xml:space="preserve"> </w:t>
      </w:r>
      <w:r w:rsidRPr="00454670">
        <w:t>a</w:t>
      </w:r>
      <w:r w:rsidR="00C64050">
        <w:t xml:space="preserve"> </w:t>
      </w:r>
      <w:r w:rsidRPr="00454670">
        <w:t>surviving</w:t>
      </w:r>
      <w:r w:rsidR="00C64050">
        <w:t xml:space="preserve"> </w:t>
      </w:r>
      <w:r w:rsidRPr="00454670">
        <w:t>spouse’s</w:t>
      </w:r>
      <w:r w:rsidR="00C64050">
        <w:t xml:space="preserve"> </w:t>
      </w:r>
      <w:r w:rsidRPr="00454670">
        <w:t>taxable</w:t>
      </w:r>
      <w:r w:rsidR="00C64050">
        <w:t xml:space="preserve"> </w:t>
      </w:r>
      <w:r w:rsidRPr="00454670">
        <w:t>gift</w:t>
      </w:r>
      <w:r w:rsidR="00C64050">
        <w:t xml:space="preserve"> </w:t>
      </w:r>
      <w:r w:rsidRPr="00454670">
        <w:t>first</w:t>
      </w:r>
      <w:r w:rsidR="00C64050">
        <w:t xml:space="preserve"> </w:t>
      </w:r>
      <w:r w:rsidRPr="00454670">
        <w:t>before</w:t>
      </w:r>
      <w:r w:rsidR="00C64050">
        <w:t xml:space="preserve"> </w:t>
      </w:r>
      <w:r w:rsidRPr="00454670">
        <w:t>reducing</w:t>
      </w:r>
      <w:r w:rsidR="00C64050">
        <w:t xml:space="preserve"> </w:t>
      </w:r>
      <w:r w:rsidRPr="00454670">
        <w:t>the</w:t>
      </w:r>
      <w:r w:rsidR="00C64050">
        <w:t xml:space="preserve"> </w:t>
      </w:r>
      <w:r w:rsidRPr="00454670">
        <w:t>surviving</w:t>
      </w:r>
      <w:r w:rsidR="00C64050">
        <w:t xml:space="preserve"> </w:t>
      </w:r>
      <w:r w:rsidRPr="00454670">
        <w:t>spouse’s</w:t>
      </w:r>
      <w:r w:rsidR="00C64050">
        <w:t xml:space="preserve"> </w:t>
      </w:r>
      <w:r w:rsidRPr="00454670">
        <w:t>Applicable</w:t>
      </w:r>
      <w:r w:rsidR="00C64050">
        <w:t xml:space="preserve"> </w:t>
      </w:r>
      <w:r w:rsidRPr="00454670">
        <w:t>Exclusion</w:t>
      </w:r>
      <w:r w:rsidR="00C64050">
        <w:t xml:space="preserve"> </w:t>
      </w:r>
      <w:r w:rsidRPr="00454670">
        <w:t>Amount</w:t>
      </w:r>
      <w:r w:rsidR="00C64050">
        <w:t xml:space="preserve"> </w:t>
      </w:r>
      <w:r w:rsidRPr="00454670">
        <w:t>(referred</w:t>
      </w:r>
      <w:r w:rsidR="00C64050">
        <w:t xml:space="preserve"> </w:t>
      </w:r>
      <w:r w:rsidRPr="00454670">
        <w:t>to</w:t>
      </w:r>
      <w:r w:rsidR="00C64050">
        <w:t xml:space="preserve"> </w:t>
      </w:r>
      <w:r w:rsidRPr="00454670">
        <w:t>as</w:t>
      </w:r>
      <w:r w:rsidR="00C64050">
        <w:t xml:space="preserve"> </w:t>
      </w:r>
      <w:r w:rsidRPr="00454670">
        <w:t>the</w:t>
      </w:r>
      <w:r w:rsidR="00C64050">
        <w:t xml:space="preserve"> </w:t>
      </w:r>
      <w:r w:rsidRPr="00454670">
        <w:t>basic</w:t>
      </w:r>
      <w:r w:rsidR="00C64050">
        <w:t xml:space="preserve"> </w:t>
      </w:r>
      <w:r w:rsidRPr="00454670">
        <w:t>exclusion</w:t>
      </w:r>
      <w:r w:rsidR="00C64050">
        <w:t xml:space="preserve"> </w:t>
      </w:r>
      <w:r w:rsidRPr="00454670">
        <w:t>amount).</w:t>
      </w:r>
      <w:r w:rsidR="00C64050">
        <w:t xml:space="preserve">  </w:t>
      </w:r>
      <w:r w:rsidRPr="00454670">
        <w:t>The</w:t>
      </w:r>
      <w:r w:rsidR="00C64050">
        <w:t xml:space="preserve"> </w:t>
      </w:r>
      <w:r w:rsidR="001D718C">
        <w:t>grantor</w:t>
      </w:r>
      <w:r w:rsidR="00C64050">
        <w:t xml:space="preserve"> </w:t>
      </w:r>
      <w:r w:rsidR="001D718C">
        <w:t>trust</w:t>
      </w:r>
      <w:r w:rsidR="00C64050">
        <w:t xml:space="preserve"> </w:t>
      </w:r>
      <w:r w:rsidRPr="00454670">
        <w:t>would</w:t>
      </w:r>
      <w:r w:rsidR="00C64050">
        <w:t xml:space="preserve"> </w:t>
      </w:r>
      <w:r w:rsidRPr="00454670">
        <w:t>provide</w:t>
      </w:r>
      <w:r w:rsidR="00C64050">
        <w:t xml:space="preserve"> </w:t>
      </w:r>
      <w:r w:rsidRPr="00454670">
        <w:t>the</w:t>
      </w:r>
      <w:r w:rsidR="00C64050">
        <w:t xml:space="preserve"> </w:t>
      </w:r>
      <w:r w:rsidRPr="00454670">
        <w:t>same</w:t>
      </w:r>
      <w:r w:rsidR="00C64050">
        <w:t xml:space="preserve"> </w:t>
      </w:r>
      <w:r w:rsidRPr="00454670">
        <w:t>estate</w:t>
      </w:r>
      <w:r w:rsidR="00C64050">
        <w:t xml:space="preserve"> </w:t>
      </w:r>
      <w:r w:rsidRPr="00454670">
        <w:t>tax</w:t>
      </w:r>
      <w:r w:rsidR="00C64050">
        <w:t xml:space="preserve"> </w:t>
      </w:r>
      <w:r w:rsidRPr="00454670">
        <w:t>benefits</w:t>
      </w:r>
      <w:r w:rsidR="00C64050">
        <w:t xml:space="preserve"> </w:t>
      </w:r>
      <w:r w:rsidRPr="00454670">
        <w:t>as</w:t>
      </w:r>
      <w:r w:rsidR="00C64050">
        <w:t xml:space="preserve"> </w:t>
      </w:r>
      <w:r w:rsidRPr="00454670">
        <w:t>the</w:t>
      </w:r>
      <w:r w:rsidR="00C64050">
        <w:t xml:space="preserve"> </w:t>
      </w:r>
      <w:r w:rsidRPr="00454670">
        <w:t>by-pass</w:t>
      </w:r>
      <w:r w:rsidR="00C64050">
        <w:t xml:space="preserve"> </w:t>
      </w:r>
      <w:r w:rsidRPr="00454670">
        <w:t>trust,</w:t>
      </w:r>
      <w:r w:rsidR="00C64050">
        <w:t xml:space="preserve"> </w:t>
      </w:r>
      <w:r w:rsidRPr="00454670">
        <w:t>but</w:t>
      </w:r>
      <w:r w:rsidR="00C64050">
        <w:t xml:space="preserve"> </w:t>
      </w:r>
      <w:r w:rsidRPr="00454670">
        <w:t>the</w:t>
      </w:r>
      <w:r w:rsidR="00C64050">
        <w:t xml:space="preserve"> </w:t>
      </w:r>
      <w:r w:rsidRPr="00454670">
        <w:t>assets</w:t>
      </w:r>
      <w:r w:rsidR="00C64050">
        <w:t xml:space="preserve"> </w:t>
      </w:r>
      <w:r w:rsidRPr="00454670">
        <w:t>would</w:t>
      </w:r>
      <w:r w:rsidR="00C64050">
        <w:t xml:space="preserve"> </w:t>
      </w:r>
      <w:r w:rsidRPr="00454670">
        <w:t>be</w:t>
      </w:r>
      <w:r w:rsidR="00C64050">
        <w:t xml:space="preserve"> </w:t>
      </w:r>
      <w:r w:rsidRPr="00454670">
        <w:t>taxed</w:t>
      </w:r>
      <w:r w:rsidR="00C64050">
        <w:t xml:space="preserve"> </w:t>
      </w:r>
      <w:r w:rsidRPr="00454670">
        <w:t>to</w:t>
      </w:r>
      <w:r w:rsidR="00C64050">
        <w:t xml:space="preserve"> </w:t>
      </w:r>
      <w:r w:rsidRPr="00454670">
        <w:t>the</w:t>
      </w:r>
      <w:r w:rsidR="00C64050">
        <w:t xml:space="preserve"> </w:t>
      </w:r>
      <w:r w:rsidRPr="00454670">
        <w:t>surviving</w:t>
      </w:r>
      <w:r w:rsidR="00C64050">
        <w:t xml:space="preserve"> </w:t>
      </w:r>
      <w:r w:rsidRPr="00454670">
        <w:t>spouse</w:t>
      </w:r>
      <w:r w:rsidR="00C64050">
        <w:t xml:space="preserve"> </w:t>
      </w:r>
      <w:r w:rsidRPr="00454670">
        <w:t>as</w:t>
      </w:r>
      <w:r w:rsidR="00C64050">
        <w:t xml:space="preserve"> </w:t>
      </w:r>
      <w:r w:rsidRPr="00454670">
        <w:t>a</w:t>
      </w:r>
      <w:r w:rsidR="00C64050">
        <w:t xml:space="preserve"> </w:t>
      </w:r>
      <w:r w:rsidRPr="00454670">
        <w:t>grantor</w:t>
      </w:r>
      <w:r w:rsidR="00C64050">
        <w:t xml:space="preserve"> </w:t>
      </w:r>
      <w:r w:rsidRPr="00454670">
        <w:t>trust</w:t>
      </w:r>
      <w:r w:rsidR="00C64050">
        <w:t xml:space="preserve"> </w:t>
      </w:r>
      <w:r w:rsidRPr="00454670">
        <w:t>thus</w:t>
      </w:r>
      <w:r w:rsidR="00C64050">
        <w:t xml:space="preserve"> </w:t>
      </w:r>
      <w:r w:rsidRPr="00454670">
        <w:t>allowing</w:t>
      </w:r>
      <w:r w:rsidR="00C64050">
        <w:t xml:space="preserve"> </w:t>
      </w:r>
      <w:r w:rsidRPr="00454670">
        <w:t>the</w:t>
      </w:r>
      <w:r w:rsidR="00C64050">
        <w:t xml:space="preserve"> </w:t>
      </w:r>
      <w:r w:rsidRPr="00454670">
        <w:t>trust</w:t>
      </w:r>
      <w:r w:rsidR="00C64050">
        <w:t xml:space="preserve"> </w:t>
      </w:r>
      <w:r w:rsidRPr="00454670">
        <w:t>assets</w:t>
      </w:r>
      <w:r w:rsidR="00C64050">
        <w:t xml:space="preserve"> </w:t>
      </w:r>
      <w:r w:rsidRPr="00454670">
        <w:t>to</w:t>
      </w:r>
      <w:r w:rsidR="00C64050">
        <w:t xml:space="preserve"> </w:t>
      </w:r>
      <w:r w:rsidRPr="00454670">
        <w:t>appreciate</w:t>
      </w:r>
      <w:r w:rsidR="00C64050">
        <w:t xml:space="preserve"> </w:t>
      </w:r>
      <w:r w:rsidRPr="00454670">
        <w:t>out</w:t>
      </w:r>
      <w:r w:rsidR="00C64050">
        <w:t xml:space="preserve"> </w:t>
      </w:r>
      <w:r w:rsidRPr="00454670">
        <w:t>of</w:t>
      </w:r>
      <w:r w:rsidR="00C64050">
        <w:t xml:space="preserve"> </w:t>
      </w:r>
      <w:r w:rsidRPr="00454670">
        <w:t>the</w:t>
      </w:r>
      <w:r w:rsidR="00C64050">
        <w:t xml:space="preserve"> </w:t>
      </w:r>
      <w:r w:rsidRPr="00454670">
        <w:t>surviving</w:t>
      </w:r>
      <w:r w:rsidR="00C64050">
        <w:t xml:space="preserve"> </w:t>
      </w:r>
      <w:r w:rsidRPr="00454670">
        <w:t>spouse’s</w:t>
      </w:r>
      <w:r w:rsidR="00C64050">
        <w:t xml:space="preserve"> </w:t>
      </w:r>
      <w:r w:rsidRPr="00454670">
        <w:t>estate</w:t>
      </w:r>
      <w:r w:rsidR="00C64050">
        <w:t xml:space="preserve"> </w:t>
      </w:r>
      <w:r w:rsidRPr="00454670">
        <w:t>without</w:t>
      </w:r>
      <w:r w:rsidR="00C64050">
        <w:t xml:space="preserve"> </w:t>
      </w:r>
      <w:r w:rsidRPr="00454670">
        <w:t>being</w:t>
      </w:r>
      <w:r w:rsidR="00C64050">
        <w:t xml:space="preserve"> </w:t>
      </w:r>
      <w:r w:rsidRPr="00454670">
        <w:t>burdened</w:t>
      </w:r>
      <w:r w:rsidR="00C64050">
        <w:t xml:space="preserve"> </w:t>
      </w:r>
      <w:r w:rsidRPr="00454670">
        <w:t>by</w:t>
      </w:r>
      <w:r w:rsidR="00C64050">
        <w:t xml:space="preserve"> </w:t>
      </w:r>
      <w:r w:rsidRPr="00454670">
        <w:t>income</w:t>
      </w:r>
      <w:r w:rsidR="00C64050">
        <w:t xml:space="preserve"> </w:t>
      </w:r>
      <w:r w:rsidRPr="00454670">
        <w:t>taxes.</w:t>
      </w:r>
      <w:r w:rsidR="00C64050">
        <w:t xml:space="preserve">  </w:t>
      </w:r>
      <w:r w:rsidRPr="00454670">
        <w:t>If</w:t>
      </w:r>
      <w:r w:rsidR="00C64050">
        <w:t xml:space="preserve"> </w:t>
      </w:r>
      <w:r w:rsidRPr="00454670">
        <w:t>the</w:t>
      </w:r>
      <w:r w:rsidR="00C64050">
        <w:t xml:space="preserve"> </w:t>
      </w:r>
      <w:r w:rsidRPr="00454670">
        <w:t>assets</w:t>
      </w:r>
      <w:r w:rsidR="00C64050">
        <w:t xml:space="preserve"> </w:t>
      </w:r>
      <w:r w:rsidRPr="00454670">
        <w:t>appreciate,</w:t>
      </w:r>
      <w:r w:rsidR="00C64050">
        <w:t xml:space="preserve"> </w:t>
      </w:r>
      <w:r w:rsidRPr="00454670">
        <w:t>then</w:t>
      </w:r>
      <w:r w:rsidR="00C64050">
        <w:t xml:space="preserve"> </w:t>
      </w:r>
      <w:r w:rsidRPr="00454670">
        <w:t>this</w:t>
      </w:r>
      <w:r w:rsidR="00C64050">
        <w:t xml:space="preserve"> </w:t>
      </w:r>
      <w:r w:rsidRPr="00454670">
        <w:t>essentially</w:t>
      </w:r>
      <w:r w:rsidR="00C64050">
        <w:t xml:space="preserve"> </w:t>
      </w:r>
      <w:r w:rsidRPr="00454670">
        <w:t>solves</w:t>
      </w:r>
      <w:r w:rsidR="00C64050">
        <w:t xml:space="preserve"> </w:t>
      </w:r>
      <w:r w:rsidRPr="00454670">
        <w:t>the</w:t>
      </w:r>
      <w:r w:rsidR="00C64050">
        <w:t xml:space="preserve"> </w:t>
      </w:r>
      <w:r w:rsidRPr="00454670">
        <w:t>problem</w:t>
      </w:r>
      <w:r w:rsidR="00C64050">
        <w:t xml:space="preserve"> </w:t>
      </w:r>
      <w:r w:rsidRPr="00454670">
        <w:t>of</w:t>
      </w:r>
      <w:r w:rsidR="00C64050">
        <w:t xml:space="preserve"> </w:t>
      </w:r>
      <w:r w:rsidRPr="00454670">
        <w:t>the</w:t>
      </w:r>
      <w:r w:rsidR="00C64050">
        <w:t xml:space="preserve"> </w:t>
      </w:r>
      <w:r w:rsidRPr="00454670">
        <w:t>DSUE</w:t>
      </w:r>
      <w:r w:rsidR="00C64050">
        <w:t xml:space="preserve"> </w:t>
      </w:r>
      <w:r w:rsidRPr="00454670">
        <w:t>Amount</w:t>
      </w:r>
      <w:r w:rsidR="00C64050">
        <w:t xml:space="preserve"> </w:t>
      </w:r>
      <w:r w:rsidRPr="00454670">
        <w:t>being</w:t>
      </w:r>
      <w:r w:rsidR="00C64050">
        <w:t xml:space="preserve"> </w:t>
      </w:r>
      <w:r w:rsidRPr="00454670">
        <w:t>frozen</w:t>
      </w:r>
      <w:r w:rsidR="00C64050">
        <w:t xml:space="preserve"> </w:t>
      </w:r>
      <w:r w:rsidRPr="00454670">
        <w:t>in</w:t>
      </w:r>
      <w:r w:rsidR="00C64050">
        <w:t xml:space="preserve"> </w:t>
      </w:r>
      <w:r w:rsidRPr="00454670">
        <w:t>value.</w:t>
      </w:r>
      <w:r w:rsidR="00C64050">
        <w:t xml:space="preserve">  </w:t>
      </w:r>
      <w:r w:rsidRPr="00454670">
        <w:t>Moreover,</w:t>
      </w:r>
      <w:r w:rsidR="00C64050">
        <w:t xml:space="preserve"> </w:t>
      </w:r>
      <w:r w:rsidR="00663772">
        <w:t>the</w:t>
      </w:r>
      <w:r w:rsidR="00C64050">
        <w:t xml:space="preserve"> </w:t>
      </w:r>
      <w:r w:rsidR="00663772">
        <w:t>grantor</w:t>
      </w:r>
      <w:r w:rsidR="00C64050">
        <w:t xml:space="preserve"> </w:t>
      </w:r>
      <w:r w:rsidR="00663772">
        <w:t>trust</w:t>
      </w:r>
      <w:r w:rsidR="00C64050">
        <w:t xml:space="preserve"> </w:t>
      </w:r>
      <w:r w:rsidR="00663772">
        <w:t>likely</w:t>
      </w:r>
      <w:r w:rsidR="00C64050">
        <w:t xml:space="preserve"> </w:t>
      </w:r>
      <w:r w:rsidRPr="00454670">
        <w:t>provides</w:t>
      </w:r>
      <w:r w:rsidR="00C64050">
        <w:t xml:space="preserve"> </w:t>
      </w:r>
      <w:r w:rsidRPr="00454670">
        <w:t>for</w:t>
      </w:r>
      <w:r w:rsidR="00C64050">
        <w:t xml:space="preserve"> </w:t>
      </w:r>
      <w:r w:rsidRPr="00454670">
        <w:t>a</w:t>
      </w:r>
      <w:r w:rsidR="00C64050">
        <w:t xml:space="preserve"> </w:t>
      </w:r>
      <w:r w:rsidRPr="00454670">
        <w:t>power</w:t>
      </w:r>
      <w:r w:rsidR="00C64050">
        <w:t xml:space="preserve"> </w:t>
      </w:r>
      <w:r w:rsidRPr="00454670">
        <w:t>to</w:t>
      </w:r>
      <w:r w:rsidR="00C64050">
        <w:t xml:space="preserve"> </w:t>
      </w:r>
      <w:r w:rsidRPr="00454670">
        <w:t>exchange</w:t>
      </w:r>
      <w:r w:rsidR="00C64050">
        <w:t xml:space="preserve"> </w:t>
      </w:r>
      <w:r w:rsidRPr="00454670">
        <w:t>assets</w:t>
      </w:r>
      <w:r w:rsidR="00C64050">
        <w:t xml:space="preserve"> </w:t>
      </w:r>
      <w:r w:rsidRPr="00454670">
        <w:t>of</w:t>
      </w:r>
      <w:r w:rsidR="00C64050">
        <w:t xml:space="preserve"> </w:t>
      </w:r>
      <w:r w:rsidRPr="00454670">
        <w:t>equivalent</w:t>
      </w:r>
      <w:r w:rsidR="00C64050">
        <w:t xml:space="preserve"> </w:t>
      </w:r>
      <w:r w:rsidRPr="00454670">
        <w:t>value</w:t>
      </w:r>
      <w:r w:rsidR="00C64050">
        <w:t xml:space="preserve"> </w:t>
      </w:r>
      <w:r w:rsidRPr="00454670">
        <w:t>with</w:t>
      </w:r>
      <w:r w:rsidR="00C64050">
        <w:t xml:space="preserve"> </w:t>
      </w:r>
      <w:r w:rsidRPr="00454670">
        <w:t>the</w:t>
      </w:r>
      <w:r w:rsidR="00C64050">
        <w:t xml:space="preserve"> </w:t>
      </w:r>
      <w:r w:rsidRPr="00454670">
        <w:t>surviving</w:t>
      </w:r>
      <w:r w:rsidR="00C64050">
        <w:t xml:space="preserve"> </w:t>
      </w:r>
      <w:r w:rsidRPr="00454670">
        <w:t>spouse</w:t>
      </w:r>
      <w:r w:rsidR="00C64050">
        <w:t xml:space="preserve"> </w:t>
      </w:r>
      <w:r w:rsidR="00663772">
        <w:t>who</w:t>
      </w:r>
      <w:r w:rsidR="00C64050">
        <w:t xml:space="preserve"> </w:t>
      </w:r>
      <w:r w:rsidRPr="00454670">
        <w:t>can</w:t>
      </w:r>
      <w:r w:rsidR="00C64050">
        <w:t xml:space="preserve"> </w:t>
      </w:r>
      <w:r w:rsidRPr="00454670">
        <w:t>exchange</w:t>
      </w:r>
      <w:r w:rsidR="00C64050">
        <w:t xml:space="preserve"> </w:t>
      </w:r>
      <w:r w:rsidRPr="00454670">
        <w:t>high</w:t>
      </w:r>
      <w:r w:rsidR="00C64050">
        <w:t xml:space="preserve"> </w:t>
      </w:r>
      <w:r w:rsidRPr="00454670">
        <w:t>basis</w:t>
      </w:r>
      <w:r w:rsidR="00C64050">
        <w:t xml:space="preserve"> </w:t>
      </w:r>
      <w:r w:rsidRPr="00454670">
        <w:t>assets</w:t>
      </w:r>
      <w:r w:rsidR="00C64050">
        <w:t xml:space="preserve"> </w:t>
      </w:r>
      <w:r w:rsidRPr="00454670">
        <w:t>for</w:t>
      </w:r>
      <w:r w:rsidR="00C64050">
        <w:t xml:space="preserve"> </w:t>
      </w:r>
      <w:r w:rsidRPr="00454670">
        <w:t>low</w:t>
      </w:r>
      <w:r w:rsidR="00C64050">
        <w:t xml:space="preserve"> </w:t>
      </w:r>
      <w:r w:rsidRPr="00454670">
        <w:t>basis</w:t>
      </w:r>
      <w:r w:rsidR="00C64050">
        <w:t xml:space="preserve"> </w:t>
      </w:r>
      <w:r w:rsidRPr="00454670">
        <w:t>assets</w:t>
      </w:r>
      <w:r w:rsidR="00C64050">
        <w:t xml:space="preserve"> </w:t>
      </w:r>
      <w:r w:rsidRPr="00454670">
        <w:t>of</w:t>
      </w:r>
      <w:r w:rsidR="00C64050">
        <w:t xml:space="preserve"> </w:t>
      </w:r>
      <w:r w:rsidRPr="00454670">
        <w:t>the</w:t>
      </w:r>
      <w:r w:rsidR="00C64050">
        <w:t xml:space="preserve"> </w:t>
      </w:r>
      <w:r w:rsidR="00663772">
        <w:t>grantor</w:t>
      </w:r>
      <w:r w:rsidR="00C64050">
        <w:t xml:space="preserve"> </w:t>
      </w:r>
      <w:r w:rsidR="00663772">
        <w:t>trust</w:t>
      </w:r>
      <w:r w:rsidR="00C64050">
        <w:t xml:space="preserve"> </w:t>
      </w:r>
      <w:r w:rsidRPr="00454670">
        <w:t>prior</w:t>
      </w:r>
      <w:r w:rsidR="00C64050">
        <w:t xml:space="preserve"> </w:t>
      </w:r>
      <w:r w:rsidRPr="00454670">
        <w:t>to</w:t>
      </w:r>
      <w:r w:rsidR="00C64050">
        <w:t xml:space="preserve"> </w:t>
      </w:r>
      <w:r w:rsidRPr="00454670">
        <w:t>death</w:t>
      </w:r>
      <w:r w:rsidR="00C64050">
        <w:t xml:space="preserve"> </w:t>
      </w:r>
      <w:r w:rsidRPr="00454670">
        <w:t>and</w:t>
      </w:r>
      <w:r w:rsidR="00C64050">
        <w:t xml:space="preserve"> </w:t>
      </w:r>
      <w:r w:rsidRPr="00454670">
        <w:t>essentially</w:t>
      </w:r>
      <w:r w:rsidR="00C64050">
        <w:t xml:space="preserve"> </w:t>
      </w:r>
      <w:r w:rsidRPr="00454670">
        <w:t>effectuate</w:t>
      </w:r>
      <w:r w:rsidR="00C64050">
        <w:t xml:space="preserve"> </w:t>
      </w:r>
      <w:r w:rsidRPr="00454670">
        <w:t>a</w:t>
      </w:r>
      <w:r w:rsidR="00C64050">
        <w:t xml:space="preserve"> </w:t>
      </w:r>
      <w:r w:rsidRPr="00454670">
        <w:t>“step-up”</w:t>
      </w:r>
      <w:r w:rsidR="00C64050">
        <w:t xml:space="preserve"> </w:t>
      </w:r>
      <w:r w:rsidRPr="00454670">
        <w:t>in</w:t>
      </w:r>
      <w:r w:rsidR="00C64050">
        <w:t xml:space="preserve"> </w:t>
      </w:r>
      <w:r w:rsidRPr="00454670">
        <w:t>basis</w:t>
      </w:r>
      <w:r w:rsidR="00C64050">
        <w:t xml:space="preserve"> </w:t>
      </w:r>
      <w:r w:rsidRPr="00454670">
        <w:t>for</w:t>
      </w:r>
      <w:r w:rsidR="00C64050">
        <w:t xml:space="preserve"> </w:t>
      </w:r>
      <w:r w:rsidRPr="00454670">
        <w:t>the</w:t>
      </w:r>
      <w:r w:rsidR="00C64050">
        <w:t xml:space="preserve"> </w:t>
      </w:r>
      <w:r w:rsidRPr="00454670">
        <w:t>assets</w:t>
      </w:r>
      <w:r w:rsidR="00C64050">
        <w:t xml:space="preserve"> </w:t>
      </w:r>
      <w:r w:rsidRPr="00454670">
        <w:t>in</w:t>
      </w:r>
      <w:r w:rsidR="00C64050">
        <w:t xml:space="preserve"> </w:t>
      </w:r>
      <w:r w:rsidRPr="00454670">
        <w:t>the</w:t>
      </w:r>
      <w:r w:rsidR="00C64050">
        <w:t xml:space="preserve"> </w:t>
      </w:r>
      <w:r w:rsidR="00663772">
        <w:t>grantor</w:t>
      </w:r>
      <w:r w:rsidR="00C64050">
        <w:t xml:space="preserve"> </w:t>
      </w:r>
      <w:r w:rsidR="00663772">
        <w:t>trust</w:t>
      </w:r>
      <w:r w:rsidRPr="00454670">
        <w:t>.</w:t>
      </w:r>
      <w:r w:rsidR="00C64050">
        <w:t xml:space="preserve">  </w:t>
      </w:r>
    </w:p>
    <w:p w:rsidR="00663772" w:rsidRPr="00454670" w:rsidRDefault="00663772" w:rsidP="00663772">
      <w:pPr>
        <w:pStyle w:val="LFLevel3"/>
        <w:ind w:left="0" w:firstLine="1440"/>
      </w:pPr>
      <w:r w:rsidRPr="00454670">
        <w:t>Although</w:t>
      </w:r>
      <w:r w:rsidR="00C64050">
        <w:t xml:space="preserve"> </w:t>
      </w:r>
      <w:r w:rsidRPr="00454670">
        <w:t>a</w:t>
      </w:r>
      <w:r w:rsidR="00C64050">
        <w:t xml:space="preserve"> </w:t>
      </w:r>
      <w:r w:rsidRPr="00454670">
        <w:t>“step-up”</w:t>
      </w:r>
      <w:r w:rsidR="00C64050">
        <w:t xml:space="preserve"> </w:t>
      </w:r>
      <w:r w:rsidRPr="00454670">
        <w:t>in</w:t>
      </w:r>
      <w:r w:rsidR="00C64050">
        <w:t xml:space="preserve"> </w:t>
      </w:r>
      <w:r w:rsidRPr="00454670">
        <w:t>basis</w:t>
      </w:r>
      <w:r w:rsidR="00C64050">
        <w:t xml:space="preserve"> </w:t>
      </w:r>
      <w:r w:rsidRPr="00454670">
        <w:t>is</w:t>
      </w:r>
      <w:r w:rsidR="00C64050">
        <w:t xml:space="preserve"> </w:t>
      </w:r>
      <w:r w:rsidRPr="00454670">
        <w:t>great</w:t>
      </w:r>
      <w:r w:rsidR="00C64050">
        <w:t xml:space="preserve"> </w:t>
      </w:r>
      <w:r w:rsidRPr="00454670">
        <w:t>in</w:t>
      </w:r>
      <w:r w:rsidR="00C64050">
        <w:t xml:space="preserve"> </w:t>
      </w:r>
      <w:r w:rsidRPr="00454670">
        <w:t>theory,</w:t>
      </w:r>
      <w:r w:rsidR="00C64050">
        <w:t xml:space="preserve"> </w:t>
      </w:r>
      <w:r w:rsidRPr="00454670">
        <w:t>no</w:t>
      </w:r>
      <w:r w:rsidR="00C64050">
        <w:t xml:space="preserve"> </w:t>
      </w:r>
      <w:r w:rsidRPr="00454670">
        <w:t>tax</w:t>
      </w:r>
      <w:r w:rsidR="00C64050">
        <w:t xml:space="preserve"> </w:t>
      </w:r>
      <w:r w:rsidRPr="00454670">
        <w:t>will</w:t>
      </w:r>
      <w:r w:rsidR="00C64050">
        <w:t xml:space="preserve"> </w:t>
      </w:r>
      <w:r w:rsidRPr="00454670">
        <w:t>be</w:t>
      </w:r>
      <w:r w:rsidR="00C64050">
        <w:t xml:space="preserve"> </w:t>
      </w:r>
      <w:r w:rsidRPr="00454670">
        <w:t>saved</w:t>
      </w:r>
      <w:r w:rsidR="00C64050">
        <w:t xml:space="preserve"> </w:t>
      </w:r>
      <w:r w:rsidRPr="00454670">
        <w:t>if</w:t>
      </w:r>
      <w:r w:rsidR="00C64050">
        <w:t xml:space="preserve"> </w:t>
      </w:r>
      <w:r w:rsidRPr="00454670">
        <w:t>there</w:t>
      </w:r>
      <w:r w:rsidR="00C64050">
        <w:t xml:space="preserve"> </w:t>
      </w:r>
      <w:r w:rsidRPr="00454670">
        <w:t>is</w:t>
      </w:r>
      <w:r w:rsidR="00C64050">
        <w:t xml:space="preserve"> </w:t>
      </w:r>
      <w:r w:rsidRPr="00454670">
        <w:t>a</w:t>
      </w:r>
      <w:r w:rsidR="00C64050">
        <w:t xml:space="preserve"> </w:t>
      </w:r>
      <w:r w:rsidRPr="00454670">
        <w:t>loss</w:t>
      </w:r>
      <w:r w:rsidR="00C64050">
        <w:t xml:space="preserve"> </w:t>
      </w:r>
      <w:r w:rsidRPr="00454670">
        <w:t>at</w:t>
      </w:r>
      <w:r w:rsidR="00C64050">
        <w:t xml:space="preserve"> </w:t>
      </w:r>
      <w:r w:rsidRPr="00454670">
        <w:t>the</w:t>
      </w:r>
      <w:r w:rsidR="00C64050">
        <w:t xml:space="preserve"> </w:t>
      </w:r>
      <w:r w:rsidRPr="00454670">
        <w:t>time</w:t>
      </w:r>
      <w:r w:rsidR="00C64050">
        <w:t xml:space="preserve"> </w:t>
      </w:r>
      <w:r w:rsidRPr="00454670">
        <w:t>of</w:t>
      </w:r>
      <w:r w:rsidR="00C64050">
        <w:t xml:space="preserve"> </w:t>
      </w:r>
      <w:r w:rsidRPr="00454670">
        <w:t>death</w:t>
      </w:r>
      <w:r w:rsidR="00C64050">
        <w:t xml:space="preserve"> </w:t>
      </w:r>
      <w:r w:rsidRPr="00454670">
        <w:t>resulting</w:t>
      </w:r>
      <w:r w:rsidR="00C64050">
        <w:t xml:space="preserve"> </w:t>
      </w:r>
      <w:r w:rsidRPr="00454670">
        <w:t>in</w:t>
      </w:r>
      <w:r w:rsidR="00C64050">
        <w:t xml:space="preserve"> </w:t>
      </w:r>
      <w:r w:rsidRPr="00454670">
        <w:t>a</w:t>
      </w:r>
      <w:r w:rsidR="00C64050">
        <w:t xml:space="preserve"> </w:t>
      </w:r>
      <w:r w:rsidRPr="00454670">
        <w:t>“step-down”</w:t>
      </w:r>
      <w:r w:rsidR="00C64050">
        <w:t xml:space="preserve"> </w:t>
      </w:r>
      <w:r w:rsidRPr="00454670">
        <w:t>in</w:t>
      </w:r>
      <w:r w:rsidR="00C64050">
        <w:t xml:space="preserve"> </w:t>
      </w:r>
      <w:r w:rsidRPr="00454670">
        <w:t>basis</w:t>
      </w:r>
      <w:r w:rsidR="00C64050">
        <w:t xml:space="preserve"> </w:t>
      </w:r>
      <w:r w:rsidRPr="00454670">
        <w:t>or</w:t>
      </w:r>
      <w:r w:rsidR="00C64050">
        <w:t xml:space="preserve"> </w:t>
      </w:r>
      <w:r w:rsidRPr="00454670">
        <w:t>the</w:t>
      </w:r>
      <w:r w:rsidR="00C64050">
        <w:t xml:space="preserve"> </w:t>
      </w:r>
      <w:r w:rsidRPr="00454670">
        <w:t>asset</w:t>
      </w:r>
      <w:r w:rsidR="00C64050">
        <w:t xml:space="preserve"> </w:t>
      </w:r>
      <w:r w:rsidRPr="00454670">
        <w:t>is</w:t>
      </w:r>
      <w:r w:rsidR="00C64050">
        <w:t xml:space="preserve"> </w:t>
      </w:r>
      <w:r w:rsidRPr="00454670">
        <w:t>income</w:t>
      </w:r>
      <w:r w:rsidR="00C64050">
        <w:t xml:space="preserve"> </w:t>
      </w:r>
      <w:r w:rsidRPr="00454670">
        <w:t>in</w:t>
      </w:r>
      <w:r w:rsidR="00C64050">
        <w:t xml:space="preserve"> </w:t>
      </w:r>
      <w:r w:rsidRPr="00454670">
        <w:t>respect</w:t>
      </w:r>
      <w:r w:rsidR="00C64050">
        <w:t xml:space="preserve"> </w:t>
      </w:r>
      <w:r w:rsidRPr="00454670">
        <w:t>of</w:t>
      </w:r>
      <w:r w:rsidR="00C64050">
        <w:t xml:space="preserve"> </w:t>
      </w:r>
      <w:r w:rsidRPr="00454670">
        <w:t>a</w:t>
      </w:r>
      <w:r w:rsidR="00C64050">
        <w:t xml:space="preserve"> </w:t>
      </w:r>
      <w:r w:rsidRPr="00454670">
        <w:t>decedent</w:t>
      </w:r>
      <w:r w:rsidR="00C64050">
        <w:t xml:space="preserve"> </w:t>
      </w:r>
      <w:r w:rsidRPr="00454670">
        <w:t>(IRD).</w:t>
      </w:r>
      <w:r w:rsidR="00C64050">
        <w:t xml:space="preserve">  </w:t>
      </w:r>
      <w:r w:rsidRPr="00454670">
        <w:t>Furthermore,</w:t>
      </w:r>
      <w:r w:rsidR="00C64050">
        <w:t xml:space="preserve"> </w:t>
      </w:r>
      <w:r w:rsidRPr="00454670">
        <w:t>even</w:t>
      </w:r>
      <w:r w:rsidR="00C64050">
        <w:t xml:space="preserve"> </w:t>
      </w:r>
      <w:r w:rsidRPr="00454670">
        <w:t>if</w:t>
      </w:r>
      <w:r w:rsidR="00C64050">
        <w:t xml:space="preserve"> </w:t>
      </w:r>
      <w:r w:rsidRPr="00454670">
        <w:t>the</w:t>
      </w:r>
      <w:r w:rsidR="00C64050">
        <w:t xml:space="preserve"> </w:t>
      </w:r>
      <w:r w:rsidRPr="00454670">
        <w:t>assets</w:t>
      </w:r>
      <w:r w:rsidR="00C64050">
        <w:t xml:space="preserve"> </w:t>
      </w:r>
      <w:r w:rsidR="005A4613">
        <w:t>receive</w:t>
      </w:r>
      <w:r w:rsidR="00C64050">
        <w:t xml:space="preserve"> </w:t>
      </w:r>
      <w:r w:rsidRPr="00454670">
        <w:t>a</w:t>
      </w:r>
      <w:r w:rsidR="00C64050">
        <w:t xml:space="preserve"> </w:t>
      </w:r>
      <w:r w:rsidRPr="00454670">
        <w:t>“step-up”</w:t>
      </w:r>
      <w:r w:rsidR="00C64050">
        <w:t xml:space="preserve"> </w:t>
      </w:r>
      <w:r w:rsidRPr="00454670">
        <w:t>in</w:t>
      </w:r>
      <w:r w:rsidR="00C64050">
        <w:t xml:space="preserve"> </w:t>
      </w:r>
      <w:r w:rsidRPr="00454670">
        <w:t>basis,</w:t>
      </w:r>
      <w:r w:rsidR="00C64050">
        <w:t xml:space="preserve"> </w:t>
      </w:r>
      <w:r w:rsidRPr="00454670">
        <w:t>will</w:t>
      </w:r>
      <w:r w:rsidR="00C64050">
        <w:t xml:space="preserve"> </w:t>
      </w:r>
      <w:r w:rsidRPr="00454670">
        <w:t>anyone</w:t>
      </w:r>
      <w:r w:rsidR="00C64050">
        <w:t xml:space="preserve"> </w:t>
      </w:r>
      <w:r w:rsidRPr="00454670">
        <w:t>benefit?</w:t>
      </w:r>
      <w:r w:rsidR="00C64050">
        <w:t xml:space="preserve">  </w:t>
      </w:r>
      <w:r w:rsidRPr="00454670">
        <w:t>Many</w:t>
      </w:r>
      <w:r w:rsidR="00C64050">
        <w:t xml:space="preserve"> </w:t>
      </w:r>
      <w:r w:rsidRPr="00454670">
        <w:t>assets,</w:t>
      </w:r>
      <w:r w:rsidR="00C64050">
        <w:t xml:space="preserve"> </w:t>
      </w:r>
      <w:r w:rsidRPr="00454670">
        <w:t>like</w:t>
      </w:r>
      <w:r w:rsidR="00C64050">
        <w:t xml:space="preserve"> </w:t>
      </w:r>
      <w:r w:rsidRPr="00454670">
        <w:t>family-owned</w:t>
      </w:r>
      <w:r w:rsidR="00C64050">
        <w:t xml:space="preserve"> </w:t>
      </w:r>
      <w:r w:rsidRPr="00454670">
        <w:t>businesses,</w:t>
      </w:r>
      <w:r w:rsidR="00C64050">
        <w:t xml:space="preserve"> </w:t>
      </w:r>
      <w:r w:rsidRPr="00454670">
        <w:t>may</w:t>
      </w:r>
      <w:r w:rsidR="00C64050">
        <w:t xml:space="preserve"> </w:t>
      </w:r>
      <w:r w:rsidRPr="00454670">
        <w:t>never</w:t>
      </w:r>
      <w:r w:rsidR="00C64050">
        <w:t xml:space="preserve"> </w:t>
      </w:r>
      <w:r w:rsidRPr="00454670">
        <w:t>be</w:t>
      </w:r>
      <w:r w:rsidR="00C64050">
        <w:t xml:space="preserve"> </w:t>
      </w:r>
      <w:r w:rsidRPr="00454670">
        <w:t>sold</w:t>
      </w:r>
      <w:r w:rsidR="00C64050">
        <w:t xml:space="preserve"> </w:t>
      </w:r>
      <w:r w:rsidRPr="00454670">
        <w:t>or</w:t>
      </w:r>
      <w:r w:rsidR="00C64050">
        <w:t xml:space="preserve"> </w:t>
      </w:r>
      <w:r w:rsidRPr="00454670">
        <w:t>may</w:t>
      </w:r>
      <w:r w:rsidR="00C64050">
        <w:t xml:space="preserve"> </w:t>
      </w:r>
      <w:r w:rsidRPr="00454670">
        <w:t>be</w:t>
      </w:r>
      <w:r w:rsidR="00C64050">
        <w:t xml:space="preserve"> </w:t>
      </w:r>
      <w:r w:rsidRPr="00454670">
        <w:t>sold</w:t>
      </w:r>
      <w:r w:rsidR="00C64050">
        <w:t xml:space="preserve"> </w:t>
      </w:r>
      <w:r w:rsidRPr="00454670">
        <w:t>so</w:t>
      </w:r>
      <w:r w:rsidR="00C64050">
        <w:t xml:space="preserve"> </w:t>
      </w:r>
      <w:r w:rsidRPr="00454670">
        <w:t>far</w:t>
      </w:r>
      <w:r w:rsidR="00C64050">
        <w:t xml:space="preserve"> </w:t>
      </w:r>
      <w:r w:rsidRPr="00454670">
        <w:t>in</w:t>
      </w:r>
      <w:r w:rsidR="00C64050">
        <w:t xml:space="preserve"> </w:t>
      </w:r>
      <w:r w:rsidRPr="00454670">
        <w:t>the</w:t>
      </w:r>
      <w:r w:rsidR="00C64050">
        <w:t xml:space="preserve"> </w:t>
      </w:r>
      <w:r w:rsidRPr="00454670">
        <w:t>future</w:t>
      </w:r>
      <w:r w:rsidR="00C64050">
        <w:t xml:space="preserve"> </w:t>
      </w:r>
      <w:r w:rsidRPr="00454670">
        <w:t>that</w:t>
      </w:r>
      <w:r w:rsidR="00C64050">
        <w:t xml:space="preserve"> </w:t>
      </w:r>
      <w:r w:rsidRPr="00454670">
        <w:t>the</w:t>
      </w:r>
      <w:r w:rsidR="00C64050">
        <w:t xml:space="preserve"> </w:t>
      </w:r>
      <w:r w:rsidRPr="00454670">
        <w:t>benefit</w:t>
      </w:r>
      <w:r w:rsidR="00C64050">
        <w:t xml:space="preserve"> </w:t>
      </w:r>
      <w:r w:rsidRPr="00454670">
        <w:t>of</w:t>
      </w:r>
      <w:r w:rsidR="00C64050">
        <w:t xml:space="preserve"> </w:t>
      </w:r>
      <w:r w:rsidRPr="00454670">
        <w:t>a</w:t>
      </w:r>
      <w:r w:rsidR="00C64050">
        <w:t xml:space="preserve"> </w:t>
      </w:r>
      <w:r w:rsidRPr="00454670">
        <w:t>step-up</w:t>
      </w:r>
      <w:r w:rsidR="00C64050">
        <w:t xml:space="preserve"> </w:t>
      </w:r>
      <w:r w:rsidRPr="00454670">
        <w:t>is</w:t>
      </w:r>
      <w:r w:rsidR="00C64050">
        <w:t xml:space="preserve"> </w:t>
      </w:r>
      <w:r w:rsidRPr="00454670">
        <w:t>attenuated.</w:t>
      </w:r>
      <w:r w:rsidR="00C64050">
        <w:t xml:space="preserve"> </w:t>
      </w:r>
      <w:r w:rsidRPr="00454670">
        <w:t>On</w:t>
      </w:r>
      <w:r w:rsidR="00C64050">
        <w:t xml:space="preserve"> </w:t>
      </w:r>
      <w:r w:rsidRPr="00454670">
        <w:t>the</w:t>
      </w:r>
      <w:r w:rsidR="00C64050">
        <w:t xml:space="preserve"> </w:t>
      </w:r>
      <w:r w:rsidRPr="00454670">
        <w:t>other</w:t>
      </w:r>
      <w:r w:rsidR="00C64050">
        <w:t xml:space="preserve"> </w:t>
      </w:r>
      <w:r w:rsidRPr="00454670">
        <w:t>hand,</w:t>
      </w:r>
      <w:r w:rsidR="00C64050">
        <w:t xml:space="preserve"> </w:t>
      </w:r>
      <w:r w:rsidRPr="00454670">
        <w:t>if</w:t>
      </w:r>
      <w:r w:rsidR="00C64050">
        <w:t xml:space="preserve"> </w:t>
      </w:r>
      <w:r w:rsidRPr="00454670">
        <w:t>the</w:t>
      </w:r>
      <w:r w:rsidR="00C64050">
        <w:t xml:space="preserve"> </w:t>
      </w:r>
      <w:r w:rsidRPr="00454670">
        <w:t>asset</w:t>
      </w:r>
      <w:r w:rsidR="00C64050">
        <w:t xml:space="preserve"> </w:t>
      </w:r>
      <w:r w:rsidRPr="00454670">
        <w:t>that</w:t>
      </w:r>
      <w:r w:rsidR="00C64050">
        <w:t xml:space="preserve"> </w:t>
      </w:r>
      <w:r w:rsidRPr="00454670">
        <w:t>receives</w:t>
      </w:r>
      <w:r w:rsidR="00C64050">
        <w:t xml:space="preserve"> </w:t>
      </w:r>
      <w:r w:rsidRPr="00454670">
        <w:t>a</w:t>
      </w:r>
      <w:r w:rsidR="00C64050">
        <w:t xml:space="preserve"> </w:t>
      </w:r>
      <w:r w:rsidRPr="00454670">
        <w:t>“step-up”</w:t>
      </w:r>
      <w:r w:rsidR="00C64050">
        <w:t xml:space="preserve"> </w:t>
      </w:r>
      <w:r w:rsidRPr="00454670">
        <w:t>in</w:t>
      </w:r>
      <w:r w:rsidR="00C64050">
        <w:t xml:space="preserve"> </w:t>
      </w:r>
      <w:r w:rsidRPr="00454670">
        <w:t>basis</w:t>
      </w:r>
      <w:r w:rsidR="00C64050">
        <w:t xml:space="preserve"> </w:t>
      </w:r>
      <w:r w:rsidRPr="00454670">
        <w:t>is</w:t>
      </w:r>
      <w:r w:rsidR="00C64050">
        <w:t xml:space="preserve"> </w:t>
      </w:r>
      <w:r w:rsidRPr="00454670">
        <w:t>either</w:t>
      </w:r>
      <w:r w:rsidR="00C64050">
        <w:t xml:space="preserve"> </w:t>
      </w:r>
      <w:r w:rsidRPr="00454670">
        <w:t>depreciable</w:t>
      </w:r>
      <w:r w:rsidR="00C64050">
        <w:t xml:space="preserve"> </w:t>
      </w:r>
      <w:r w:rsidRPr="00454670">
        <w:t>or</w:t>
      </w:r>
      <w:r w:rsidR="00C64050">
        <w:t xml:space="preserve"> </w:t>
      </w:r>
      <w:r w:rsidRPr="00454670">
        <w:t>depletable</w:t>
      </w:r>
      <w:r w:rsidR="00C64050">
        <w:t xml:space="preserve"> </w:t>
      </w:r>
      <w:r w:rsidRPr="00454670">
        <w:t>under</w:t>
      </w:r>
      <w:r w:rsidR="00C64050">
        <w:t xml:space="preserve"> </w:t>
      </w:r>
      <w:r w:rsidRPr="00454670">
        <w:t>the</w:t>
      </w:r>
      <w:r w:rsidR="00C64050">
        <w:t xml:space="preserve"> </w:t>
      </w:r>
      <w:r w:rsidRPr="00454670">
        <w:t>Code,</w:t>
      </w:r>
      <w:r w:rsidR="00C64050">
        <w:t xml:space="preserve"> </w:t>
      </w:r>
      <w:r w:rsidRPr="00454670">
        <w:t>the</w:t>
      </w:r>
      <w:r w:rsidR="00C64050">
        <w:t xml:space="preserve"> </w:t>
      </w:r>
      <w:r w:rsidRPr="00454670">
        <w:t>deductions</w:t>
      </w:r>
      <w:r w:rsidR="00C64050">
        <w:t xml:space="preserve"> </w:t>
      </w:r>
      <w:r w:rsidRPr="00454670">
        <w:t>that</w:t>
      </w:r>
      <w:r w:rsidR="00C64050">
        <w:t xml:space="preserve"> </w:t>
      </w:r>
      <w:r w:rsidRPr="00454670">
        <w:t>arise</w:t>
      </w:r>
      <w:r w:rsidR="00C64050">
        <w:t xml:space="preserve"> </w:t>
      </w:r>
      <w:r w:rsidRPr="00454670">
        <w:t>do</w:t>
      </w:r>
      <w:r w:rsidR="00C64050">
        <w:t xml:space="preserve"> </w:t>
      </w:r>
      <w:r w:rsidRPr="00454670">
        <w:t>result</w:t>
      </w:r>
      <w:r w:rsidR="00C64050">
        <w:t xml:space="preserve"> </w:t>
      </w:r>
      <w:r w:rsidRPr="00454670">
        <w:t>in</w:t>
      </w:r>
      <w:r w:rsidR="00C64050">
        <w:t xml:space="preserve"> </w:t>
      </w:r>
      <w:r w:rsidRPr="00454670">
        <w:t>tax</w:t>
      </w:r>
      <w:r w:rsidR="00C64050">
        <w:t xml:space="preserve"> </w:t>
      </w:r>
      <w:r w:rsidRPr="00454670">
        <w:t>benefits</w:t>
      </w:r>
      <w:r w:rsidR="00C64050">
        <w:t xml:space="preserve"> </w:t>
      </w:r>
      <w:r w:rsidRPr="00454670">
        <w:t>to</w:t>
      </w:r>
      <w:r w:rsidR="00C64050">
        <w:t xml:space="preserve"> </w:t>
      </w:r>
      <w:r w:rsidRPr="00454670">
        <w:t>the</w:t>
      </w:r>
      <w:r w:rsidR="00C64050">
        <w:t xml:space="preserve"> </w:t>
      </w:r>
      <w:r w:rsidRPr="00454670">
        <w:t>owners</w:t>
      </w:r>
      <w:r w:rsidR="00C64050">
        <w:t xml:space="preserve"> </w:t>
      </w:r>
      <w:r w:rsidRPr="00454670">
        <w:t>of</w:t>
      </w:r>
      <w:r w:rsidR="00C64050">
        <w:t xml:space="preserve"> </w:t>
      </w:r>
      <w:r w:rsidRPr="00454670">
        <w:t>that</w:t>
      </w:r>
      <w:r w:rsidR="00C64050">
        <w:t xml:space="preserve"> </w:t>
      </w:r>
      <w:r w:rsidRPr="00454670">
        <w:t>asset.</w:t>
      </w:r>
      <w:r w:rsidR="00C64050">
        <w:t xml:space="preserve">  </w:t>
      </w:r>
      <w:r w:rsidRPr="00454670">
        <w:t>Similarly,</w:t>
      </w:r>
      <w:r w:rsidR="00C64050">
        <w:t xml:space="preserve"> </w:t>
      </w:r>
      <w:r w:rsidRPr="00454670">
        <w:t>an</w:t>
      </w:r>
      <w:r w:rsidR="00C64050">
        <w:t xml:space="preserve"> </w:t>
      </w:r>
      <w:r w:rsidRPr="00454670">
        <w:t>increase</w:t>
      </w:r>
      <w:r w:rsidR="00C64050">
        <w:t xml:space="preserve"> </w:t>
      </w:r>
      <w:r w:rsidRPr="00454670">
        <w:t>in</w:t>
      </w:r>
      <w:r w:rsidR="00C64050">
        <w:t xml:space="preserve"> </w:t>
      </w:r>
      <w:r w:rsidRPr="00454670">
        <w:t>the</w:t>
      </w:r>
      <w:r w:rsidR="00C64050">
        <w:t xml:space="preserve"> </w:t>
      </w:r>
      <w:r w:rsidRPr="00454670">
        <w:t>tax</w:t>
      </w:r>
      <w:r w:rsidR="00C64050">
        <w:t xml:space="preserve"> </w:t>
      </w:r>
      <w:r w:rsidRPr="00454670">
        <w:t>basis</w:t>
      </w:r>
      <w:r w:rsidR="00C64050">
        <w:t xml:space="preserve"> </w:t>
      </w:r>
      <w:r w:rsidRPr="00454670">
        <w:t>of</w:t>
      </w:r>
      <w:r w:rsidR="00C64050">
        <w:t xml:space="preserve"> </w:t>
      </w:r>
      <w:r w:rsidRPr="00454670">
        <w:t>an</w:t>
      </w:r>
      <w:r w:rsidR="00C64050">
        <w:t xml:space="preserve"> </w:t>
      </w:r>
      <w:r w:rsidRPr="00454670">
        <w:t>interest</w:t>
      </w:r>
      <w:r w:rsidR="00C64050">
        <w:t xml:space="preserve"> </w:t>
      </w:r>
      <w:r w:rsidRPr="00454670">
        <w:t>in</w:t>
      </w:r>
      <w:r w:rsidR="00C64050">
        <w:t xml:space="preserve"> </w:t>
      </w:r>
      <w:r w:rsidRPr="00454670">
        <w:t>a</w:t>
      </w:r>
      <w:r w:rsidR="00C64050">
        <w:t xml:space="preserve"> </w:t>
      </w:r>
      <w:r w:rsidRPr="00454670">
        <w:t>partnership</w:t>
      </w:r>
      <w:r w:rsidR="00C64050">
        <w:t xml:space="preserve"> </w:t>
      </w:r>
      <w:r w:rsidRPr="00454670">
        <w:t>or</w:t>
      </w:r>
      <w:r w:rsidR="00C64050">
        <w:t xml:space="preserve"> </w:t>
      </w:r>
      <w:r w:rsidRPr="00454670">
        <w:t>in</w:t>
      </w:r>
      <w:r w:rsidR="00C64050">
        <w:t xml:space="preserve"> </w:t>
      </w:r>
      <w:r w:rsidRPr="00454670">
        <w:t>S</w:t>
      </w:r>
      <w:r w:rsidR="00C64050">
        <w:t xml:space="preserve"> </w:t>
      </w:r>
      <w:r w:rsidRPr="00454670">
        <w:t>corporation</w:t>
      </w:r>
      <w:r w:rsidR="00C64050">
        <w:t xml:space="preserve"> </w:t>
      </w:r>
      <w:r w:rsidRPr="00454670">
        <w:t>shares</w:t>
      </w:r>
      <w:r w:rsidR="00C64050">
        <w:t xml:space="preserve"> </w:t>
      </w:r>
      <w:r w:rsidRPr="00454670">
        <w:t>may</w:t>
      </w:r>
      <w:r w:rsidR="00C64050">
        <w:t xml:space="preserve"> </w:t>
      </w:r>
      <w:r w:rsidRPr="00454670">
        <w:t>not</w:t>
      </w:r>
      <w:r w:rsidR="00C64050">
        <w:t xml:space="preserve"> </w:t>
      </w:r>
      <w:r w:rsidRPr="00454670">
        <w:t>provide</w:t>
      </w:r>
      <w:r w:rsidR="00C64050">
        <w:t xml:space="preserve"> </w:t>
      </w:r>
      <w:r w:rsidRPr="00454670">
        <w:t>immediate</w:t>
      </w:r>
      <w:r w:rsidR="00C64050">
        <w:t xml:space="preserve"> </w:t>
      </w:r>
      <w:r w:rsidRPr="00454670">
        <w:t>tax</w:t>
      </w:r>
      <w:r w:rsidR="00C64050">
        <w:t xml:space="preserve"> </w:t>
      </w:r>
      <w:r w:rsidRPr="00454670">
        <w:t>benefits,</w:t>
      </w:r>
      <w:r w:rsidR="00C64050">
        <w:t xml:space="preserve"> </w:t>
      </w:r>
      <w:r w:rsidRPr="00454670">
        <w:t>but</w:t>
      </w:r>
      <w:r w:rsidR="00C64050">
        <w:t xml:space="preserve"> </w:t>
      </w:r>
      <w:r w:rsidRPr="00454670">
        <w:t>they</w:t>
      </w:r>
      <w:r w:rsidR="00C64050">
        <w:t xml:space="preserve"> </w:t>
      </w:r>
      <w:r w:rsidRPr="00454670">
        <w:t>do</w:t>
      </w:r>
      <w:r w:rsidR="00C64050">
        <w:t xml:space="preserve"> </w:t>
      </w:r>
      <w:r w:rsidRPr="00454670">
        <w:t>allow</w:t>
      </w:r>
      <w:r w:rsidR="00C64050">
        <w:t xml:space="preserve"> </w:t>
      </w:r>
      <w:r w:rsidRPr="00454670">
        <w:t>additional</w:t>
      </w:r>
      <w:r w:rsidR="00C64050">
        <w:t xml:space="preserve"> </w:t>
      </w:r>
      <w:r w:rsidRPr="00454670">
        <w:t>capacity</w:t>
      </w:r>
      <w:r w:rsidR="00C64050">
        <w:t xml:space="preserve"> </w:t>
      </w:r>
      <w:r w:rsidRPr="00454670">
        <w:t>of</w:t>
      </w:r>
      <w:r w:rsidR="00C64050">
        <w:t xml:space="preserve"> </w:t>
      </w:r>
      <w:r w:rsidRPr="00454670">
        <w:t>the</w:t>
      </w:r>
      <w:r w:rsidR="00C64050">
        <w:t xml:space="preserve"> </w:t>
      </w:r>
      <w:r w:rsidRPr="00454670">
        <w:t>partner</w:t>
      </w:r>
      <w:r w:rsidR="00C64050">
        <w:t xml:space="preserve"> </w:t>
      </w:r>
      <w:r w:rsidRPr="00454670">
        <w:t>or</w:t>
      </w:r>
      <w:r w:rsidR="00C64050">
        <w:t xml:space="preserve"> </w:t>
      </w:r>
      <w:r w:rsidRPr="00454670">
        <w:t>shareholder</w:t>
      </w:r>
      <w:r w:rsidR="00C64050">
        <w:t xml:space="preserve"> </w:t>
      </w:r>
      <w:r w:rsidRPr="00454670">
        <w:t>to</w:t>
      </w:r>
      <w:r w:rsidR="00C64050">
        <w:t xml:space="preserve"> </w:t>
      </w:r>
      <w:r w:rsidRPr="00454670">
        <w:t>receive</w:t>
      </w:r>
      <w:r w:rsidR="00C64050">
        <w:t xml:space="preserve"> </w:t>
      </w:r>
      <w:r w:rsidRPr="00454670">
        <w:t>tax</w:t>
      </w:r>
      <w:r w:rsidR="00C64050">
        <w:t xml:space="preserve"> </w:t>
      </w:r>
      <w:r w:rsidRPr="00454670">
        <w:t>free</w:t>
      </w:r>
      <w:r w:rsidR="00C64050">
        <w:t xml:space="preserve"> </w:t>
      </w:r>
      <w:r w:rsidRPr="00454670">
        <w:t>distributions</w:t>
      </w:r>
      <w:r w:rsidR="00C64050">
        <w:t xml:space="preserve"> </w:t>
      </w:r>
      <w:r w:rsidRPr="00454670">
        <w:t>from</w:t>
      </w:r>
      <w:r w:rsidR="00C64050">
        <w:t xml:space="preserve"> </w:t>
      </w:r>
      <w:r w:rsidRPr="00454670">
        <w:t>the</w:t>
      </w:r>
      <w:r w:rsidR="00C64050">
        <w:t xml:space="preserve"> </w:t>
      </w:r>
      <w:r w:rsidRPr="00454670">
        <w:t>entity.</w:t>
      </w:r>
      <w:r w:rsidR="00C64050">
        <w:t xml:space="preserve">  </w:t>
      </w:r>
      <w:r w:rsidRPr="00454670">
        <w:t>These</w:t>
      </w:r>
      <w:r w:rsidR="00C64050">
        <w:t xml:space="preserve"> </w:t>
      </w:r>
      <w:r w:rsidRPr="00454670">
        <w:t>concepts</w:t>
      </w:r>
      <w:r w:rsidR="00C64050">
        <w:t xml:space="preserve"> </w:t>
      </w:r>
      <w:r w:rsidRPr="00454670">
        <w:t>and</w:t>
      </w:r>
      <w:r w:rsidR="00C64050">
        <w:t xml:space="preserve"> </w:t>
      </w:r>
      <w:r w:rsidRPr="00454670">
        <w:t>how</w:t>
      </w:r>
      <w:r w:rsidR="00C64050">
        <w:t xml:space="preserve"> </w:t>
      </w:r>
      <w:r w:rsidRPr="00454670">
        <w:t>certain</w:t>
      </w:r>
      <w:r w:rsidR="00C64050">
        <w:t xml:space="preserve"> </w:t>
      </w:r>
      <w:r w:rsidRPr="00454670">
        <w:t>assets</w:t>
      </w:r>
      <w:r w:rsidR="00C64050">
        <w:t xml:space="preserve"> </w:t>
      </w:r>
      <w:r w:rsidRPr="00454670">
        <w:t>benefit</w:t>
      </w:r>
      <w:r w:rsidR="00C64050">
        <w:t xml:space="preserve"> </w:t>
      </w:r>
      <w:r w:rsidRPr="00454670">
        <w:t>or</w:t>
      </w:r>
      <w:r w:rsidR="00C64050">
        <w:t xml:space="preserve"> </w:t>
      </w:r>
      <w:r w:rsidRPr="00454670">
        <w:t>don’t</w:t>
      </w:r>
      <w:r w:rsidR="00C64050">
        <w:t xml:space="preserve"> </w:t>
      </w:r>
      <w:r w:rsidRPr="00454670">
        <w:t>benefit</w:t>
      </w:r>
      <w:r w:rsidR="00C64050">
        <w:t xml:space="preserve"> </w:t>
      </w:r>
      <w:r w:rsidRPr="00454670">
        <w:t>from</w:t>
      </w:r>
      <w:r w:rsidR="00C64050">
        <w:t xml:space="preserve"> </w:t>
      </w:r>
      <w:r w:rsidRPr="00454670">
        <w:t>the</w:t>
      </w:r>
      <w:r w:rsidR="00C64050">
        <w:t xml:space="preserve"> </w:t>
      </w:r>
      <w:r w:rsidRPr="00454670">
        <w:t>basis</w:t>
      </w:r>
      <w:r w:rsidR="00C64050">
        <w:t xml:space="preserve"> </w:t>
      </w:r>
      <w:r w:rsidRPr="00454670">
        <w:t>adjustment</w:t>
      </w:r>
      <w:r w:rsidR="00C64050">
        <w:t xml:space="preserve"> </w:t>
      </w:r>
      <w:r w:rsidRPr="00454670">
        <w:t>at</w:t>
      </w:r>
      <w:r w:rsidR="00C64050">
        <w:t xml:space="preserve"> </w:t>
      </w:r>
      <w:r w:rsidRPr="00454670">
        <w:t>death</w:t>
      </w:r>
      <w:r w:rsidR="00C64050">
        <w:t xml:space="preserve"> </w:t>
      </w:r>
      <w:r w:rsidRPr="00454670">
        <w:t>are</w:t>
      </w:r>
      <w:r w:rsidR="00C64050">
        <w:t xml:space="preserve"> </w:t>
      </w:r>
      <w:r w:rsidRPr="00454670">
        <w:t>discussed</w:t>
      </w:r>
      <w:r w:rsidR="00C64050">
        <w:t xml:space="preserve"> </w:t>
      </w:r>
      <w:r w:rsidRPr="00454670">
        <w:t>in</w:t>
      </w:r>
      <w:r w:rsidR="00C64050">
        <w:t xml:space="preserve"> </w:t>
      </w:r>
      <w:r w:rsidRPr="00454670">
        <w:t>more</w:t>
      </w:r>
      <w:r w:rsidR="00C64050">
        <w:t xml:space="preserve"> </w:t>
      </w:r>
      <w:r w:rsidRPr="00454670">
        <w:t>detail</w:t>
      </w:r>
      <w:r w:rsidR="00C64050">
        <w:t xml:space="preserve"> </w:t>
      </w:r>
      <w:r w:rsidRPr="00454670">
        <w:t>below.</w:t>
      </w:r>
    </w:p>
    <w:p w:rsidR="008059B8" w:rsidRPr="00454670" w:rsidRDefault="008059B8" w:rsidP="009676E9">
      <w:pPr>
        <w:pStyle w:val="LFLevel3"/>
        <w:ind w:left="0" w:firstLine="1440"/>
      </w:pPr>
      <w:r w:rsidRPr="00454670">
        <w:t>Portability</w:t>
      </w:r>
      <w:r w:rsidR="00C64050">
        <w:t xml:space="preserve"> </w:t>
      </w:r>
      <w:r w:rsidRPr="00454670">
        <w:t>planning</w:t>
      </w:r>
      <w:r w:rsidR="00C64050">
        <w:t xml:space="preserve"> </w:t>
      </w:r>
      <w:r w:rsidRPr="00454670">
        <w:t>is</w:t>
      </w:r>
      <w:r w:rsidR="00C64050">
        <w:t xml:space="preserve"> </w:t>
      </w:r>
      <w:r w:rsidRPr="00454670">
        <w:t>slightly</w:t>
      </w:r>
      <w:r w:rsidR="00C64050">
        <w:t xml:space="preserve"> </w:t>
      </w:r>
      <w:r w:rsidRPr="00454670">
        <w:t>less</w:t>
      </w:r>
      <w:r w:rsidR="00C64050">
        <w:t xml:space="preserve"> </w:t>
      </w:r>
      <w:r w:rsidRPr="00454670">
        <w:t>appealing</w:t>
      </w:r>
      <w:r w:rsidR="00C64050">
        <w:t xml:space="preserve"> </w:t>
      </w:r>
      <w:r w:rsidRPr="00454670">
        <w:t>to</w:t>
      </w:r>
      <w:r w:rsidR="00C64050">
        <w:t xml:space="preserve"> </w:t>
      </w:r>
      <w:r w:rsidRPr="00454670">
        <w:t>couples</w:t>
      </w:r>
      <w:r w:rsidR="00C64050">
        <w:t xml:space="preserve"> </w:t>
      </w:r>
      <w:r w:rsidRPr="00454670">
        <w:t>in</w:t>
      </w:r>
      <w:r w:rsidR="00C64050">
        <w:t xml:space="preserve"> </w:t>
      </w:r>
      <w:r w:rsidRPr="00454670">
        <w:t>community</w:t>
      </w:r>
      <w:r w:rsidR="00C64050">
        <w:t xml:space="preserve"> </w:t>
      </w:r>
      <w:r w:rsidRPr="00454670">
        <w:t>property</w:t>
      </w:r>
      <w:r w:rsidR="00C64050">
        <w:t xml:space="preserve"> </w:t>
      </w:r>
      <w:r w:rsidRPr="00454670">
        <w:t>states</w:t>
      </w:r>
      <w:r w:rsidR="00C64050">
        <w:t xml:space="preserve"> </w:t>
      </w:r>
      <w:r w:rsidRPr="00454670">
        <w:t>because,</w:t>
      </w:r>
      <w:r w:rsidR="00C64050">
        <w:t xml:space="preserve"> </w:t>
      </w:r>
      <w:r w:rsidRPr="00454670">
        <w:t>as</w:t>
      </w:r>
      <w:r w:rsidR="00C64050">
        <w:t xml:space="preserve"> </w:t>
      </w:r>
      <w:r w:rsidRPr="00454670">
        <w:t>discussed</w:t>
      </w:r>
      <w:r w:rsidR="00C64050">
        <w:t xml:space="preserve"> </w:t>
      </w:r>
      <w:r w:rsidRPr="00454670">
        <w:t>below,</w:t>
      </w:r>
      <w:r w:rsidR="00C64050">
        <w:t xml:space="preserve"> </w:t>
      </w:r>
      <w:r w:rsidRPr="00454670">
        <w:t>all</w:t>
      </w:r>
      <w:r w:rsidR="00C64050">
        <w:t xml:space="preserve"> </w:t>
      </w:r>
      <w:r w:rsidRPr="00454670">
        <w:t>community</w:t>
      </w:r>
      <w:r w:rsidR="00C64050">
        <w:t xml:space="preserve"> </w:t>
      </w:r>
      <w:r w:rsidRPr="00454670">
        <w:t>property</w:t>
      </w:r>
      <w:r w:rsidR="00C64050">
        <w:t xml:space="preserve"> </w:t>
      </w:r>
      <w:r w:rsidRPr="00454670">
        <w:t>gets</w:t>
      </w:r>
      <w:r w:rsidR="00C64050">
        <w:t xml:space="preserve"> </w:t>
      </w:r>
      <w:r w:rsidRPr="00454670">
        <w:t>a</w:t>
      </w:r>
      <w:r w:rsidR="00C64050">
        <w:t xml:space="preserve"> </w:t>
      </w:r>
      <w:r w:rsidRPr="00454670">
        <w:t>“step-up”</w:t>
      </w:r>
      <w:r w:rsidR="00C64050">
        <w:t xml:space="preserve"> </w:t>
      </w:r>
      <w:r w:rsidRPr="00454670">
        <w:t>in</w:t>
      </w:r>
      <w:r w:rsidR="00C64050">
        <w:t xml:space="preserve"> </w:t>
      </w:r>
      <w:r w:rsidRPr="00454670">
        <w:t>basis</w:t>
      </w:r>
      <w:r w:rsidR="00C64050">
        <w:t xml:space="preserve"> </w:t>
      </w:r>
      <w:r w:rsidRPr="00454670">
        <w:t>on</w:t>
      </w:r>
      <w:r w:rsidR="00C64050">
        <w:t xml:space="preserve"> </w:t>
      </w:r>
      <w:r w:rsidRPr="00454670">
        <w:t>the</w:t>
      </w:r>
      <w:r w:rsidR="00C64050">
        <w:t xml:space="preserve"> </w:t>
      </w:r>
      <w:r w:rsidRPr="00454670">
        <w:t>first</w:t>
      </w:r>
      <w:r w:rsidR="00C64050">
        <w:t xml:space="preserve"> </w:t>
      </w:r>
      <w:r w:rsidRPr="00454670">
        <w:t>spouse’s</w:t>
      </w:r>
      <w:r w:rsidR="00C64050">
        <w:t xml:space="preserve"> </w:t>
      </w:r>
      <w:r w:rsidRPr="00454670">
        <w:t>death.</w:t>
      </w:r>
      <w:r w:rsidR="00C64050">
        <w:t xml:space="preserve">  </w:t>
      </w:r>
      <w:r w:rsidRPr="00454670">
        <w:t>Thus,</w:t>
      </w:r>
      <w:r w:rsidR="00C64050">
        <w:t xml:space="preserve"> </w:t>
      </w:r>
      <w:r w:rsidRPr="00454670">
        <w:t>the</w:t>
      </w:r>
      <w:r w:rsidR="00C64050">
        <w:t xml:space="preserve"> </w:t>
      </w:r>
      <w:r w:rsidRPr="00454670">
        <w:t>need</w:t>
      </w:r>
      <w:r w:rsidR="00C64050">
        <w:t xml:space="preserve"> </w:t>
      </w:r>
      <w:r w:rsidRPr="00454670">
        <w:t>for</w:t>
      </w:r>
      <w:r w:rsidR="00C64050">
        <w:t xml:space="preserve"> </w:t>
      </w:r>
      <w:r w:rsidRPr="00454670">
        <w:t>additional</w:t>
      </w:r>
      <w:r w:rsidR="00C64050">
        <w:t xml:space="preserve"> </w:t>
      </w:r>
      <w:r w:rsidRPr="00454670">
        <w:t>transfer</w:t>
      </w:r>
      <w:r w:rsidR="00C64050">
        <w:t xml:space="preserve"> </w:t>
      </w:r>
      <w:r w:rsidRPr="00454670">
        <w:t>tax</w:t>
      </w:r>
      <w:r w:rsidR="00C64050">
        <w:t xml:space="preserve"> </w:t>
      </w:r>
      <w:r w:rsidRPr="00454670">
        <w:t>exclusion</w:t>
      </w:r>
      <w:r w:rsidR="00C64050">
        <w:t xml:space="preserve"> </w:t>
      </w:r>
      <w:r w:rsidRPr="00454670">
        <w:t>in</w:t>
      </w:r>
      <w:r w:rsidR="00C64050">
        <w:t xml:space="preserve"> </w:t>
      </w:r>
      <w:r w:rsidRPr="00454670">
        <w:t>order</w:t>
      </w:r>
      <w:r w:rsidR="00C64050">
        <w:t xml:space="preserve"> </w:t>
      </w:r>
      <w:r w:rsidRPr="00454670">
        <w:t>to</w:t>
      </w:r>
      <w:r w:rsidR="00C64050">
        <w:t xml:space="preserve"> </w:t>
      </w:r>
      <w:r w:rsidRPr="00454670">
        <w:t>benefit</w:t>
      </w:r>
      <w:r w:rsidR="00C64050">
        <w:t xml:space="preserve"> </w:t>
      </w:r>
      <w:r w:rsidRPr="00454670">
        <w:t>from</w:t>
      </w:r>
      <w:r w:rsidR="00C64050">
        <w:t xml:space="preserve"> </w:t>
      </w:r>
      <w:r w:rsidRPr="00454670">
        <w:t>a</w:t>
      </w:r>
      <w:r w:rsidR="00C64050">
        <w:t xml:space="preserve"> </w:t>
      </w:r>
      <w:r w:rsidRPr="00454670">
        <w:t>subsequent</w:t>
      </w:r>
      <w:r w:rsidR="00C64050">
        <w:t xml:space="preserve"> </w:t>
      </w:r>
      <w:r w:rsidRPr="00454670">
        <w:t>“step-up”</w:t>
      </w:r>
      <w:r w:rsidR="00C64050">
        <w:t xml:space="preserve"> </w:t>
      </w:r>
      <w:r w:rsidRPr="00454670">
        <w:t>in</w:t>
      </w:r>
      <w:r w:rsidR="00C64050">
        <w:t xml:space="preserve"> </w:t>
      </w:r>
      <w:r w:rsidRPr="00454670">
        <w:t>basis</w:t>
      </w:r>
      <w:r w:rsidR="00C64050">
        <w:t xml:space="preserve"> </w:t>
      </w:r>
      <w:r w:rsidRPr="00454670">
        <w:t>is</w:t>
      </w:r>
      <w:r w:rsidR="00C64050">
        <w:t xml:space="preserve"> </w:t>
      </w:r>
      <w:r w:rsidRPr="00454670">
        <w:t>less</w:t>
      </w:r>
      <w:r w:rsidR="00C64050">
        <w:t xml:space="preserve"> </w:t>
      </w:r>
      <w:r w:rsidRPr="00454670">
        <w:t>crucial.</w:t>
      </w:r>
      <w:r w:rsidR="00C64050">
        <w:t xml:space="preserve">  </w:t>
      </w:r>
      <w:r w:rsidRPr="00454670">
        <w:t>This</w:t>
      </w:r>
      <w:r w:rsidR="00C64050">
        <w:t xml:space="preserve"> </w:t>
      </w:r>
      <w:r w:rsidRPr="00454670">
        <w:t>is</w:t>
      </w:r>
      <w:r w:rsidR="00C64050">
        <w:t xml:space="preserve"> </w:t>
      </w:r>
      <w:r w:rsidRPr="00454670">
        <w:t>not</w:t>
      </w:r>
      <w:r w:rsidR="00C64050">
        <w:t xml:space="preserve"> </w:t>
      </w:r>
      <w:r w:rsidRPr="00454670">
        <w:t>true,</w:t>
      </w:r>
      <w:r w:rsidR="00C64050">
        <w:t xml:space="preserve"> </w:t>
      </w:r>
      <w:r w:rsidRPr="00454670">
        <w:t>however,</w:t>
      </w:r>
      <w:r w:rsidR="00C64050">
        <w:t xml:space="preserve"> </w:t>
      </w:r>
      <w:r w:rsidRPr="00454670">
        <w:t>for</w:t>
      </w:r>
      <w:r w:rsidR="00C64050">
        <w:t xml:space="preserve"> </w:t>
      </w:r>
      <w:r w:rsidRPr="00454670">
        <w:t>assets</w:t>
      </w:r>
      <w:r w:rsidR="00C64050">
        <w:t xml:space="preserve"> </w:t>
      </w:r>
      <w:r w:rsidRPr="00454670">
        <w:t>that</w:t>
      </w:r>
      <w:r w:rsidR="00C64050">
        <w:t xml:space="preserve"> </w:t>
      </w:r>
      <w:r w:rsidRPr="00454670">
        <w:t>are</w:t>
      </w:r>
      <w:r w:rsidR="00C64050">
        <w:t xml:space="preserve"> </w:t>
      </w:r>
      <w:r w:rsidRPr="00454670">
        <w:t>depreciable</w:t>
      </w:r>
      <w:r w:rsidR="00C64050">
        <w:t xml:space="preserve"> </w:t>
      </w:r>
      <w:r w:rsidRPr="00454670">
        <w:t>(commercial</w:t>
      </w:r>
      <w:r w:rsidR="00C64050">
        <w:t xml:space="preserve"> </w:t>
      </w:r>
      <w:r w:rsidRPr="00454670">
        <w:t>real</w:t>
      </w:r>
      <w:r w:rsidR="00C64050">
        <w:t xml:space="preserve"> </w:t>
      </w:r>
      <w:r w:rsidRPr="00454670">
        <w:t>property)</w:t>
      </w:r>
      <w:r w:rsidR="00C64050">
        <w:t xml:space="preserve"> </w:t>
      </w:r>
      <w:r w:rsidRPr="00454670">
        <w:t>or</w:t>
      </w:r>
      <w:r w:rsidR="00C64050">
        <w:t xml:space="preserve"> </w:t>
      </w:r>
      <w:r w:rsidRPr="00454670">
        <w:t>depletable</w:t>
      </w:r>
      <w:r w:rsidR="00C64050">
        <w:t xml:space="preserve"> </w:t>
      </w:r>
      <w:r w:rsidRPr="00454670">
        <w:t>(mineral</w:t>
      </w:r>
      <w:r w:rsidR="00C64050">
        <w:t xml:space="preserve"> </w:t>
      </w:r>
      <w:r w:rsidRPr="00454670">
        <w:t>interests).</w:t>
      </w:r>
      <w:r w:rsidR="00C64050">
        <w:t xml:space="preserve">  </w:t>
      </w:r>
      <w:r w:rsidRPr="00454670">
        <w:t>As</w:t>
      </w:r>
      <w:r w:rsidR="00C64050">
        <w:t xml:space="preserve"> </w:t>
      </w:r>
      <w:r w:rsidRPr="00454670">
        <w:t>discussed</w:t>
      </w:r>
      <w:r w:rsidR="00C64050">
        <w:t xml:space="preserve"> </w:t>
      </w:r>
      <w:r w:rsidRPr="00454670">
        <w:t>below,</w:t>
      </w:r>
      <w:r w:rsidR="00C64050">
        <w:t xml:space="preserve"> </w:t>
      </w:r>
      <w:r w:rsidRPr="00454670">
        <w:t>these</w:t>
      </w:r>
      <w:r w:rsidR="00C64050">
        <w:t xml:space="preserve"> </w:t>
      </w:r>
      <w:r w:rsidRPr="00454670">
        <w:t>types</w:t>
      </w:r>
      <w:r w:rsidR="00C64050">
        <w:t xml:space="preserve"> </w:t>
      </w:r>
      <w:r w:rsidRPr="00454670">
        <w:t>of</w:t>
      </w:r>
      <w:r w:rsidR="00C64050">
        <w:t xml:space="preserve"> </w:t>
      </w:r>
      <w:r w:rsidRPr="00454670">
        <w:t>assets</w:t>
      </w:r>
      <w:r w:rsidR="00C64050">
        <w:t xml:space="preserve"> </w:t>
      </w:r>
      <w:r w:rsidRPr="00454670">
        <w:t>will</w:t>
      </w:r>
      <w:r w:rsidR="00C64050">
        <w:t xml:space="preserve"> </w:t>
      </w:r>
      <w:r w:rsidRPr="00454670">
        <w:t>receive</w:t>
      </w:r>
      <w:r w:rsidR="00C64050">
        <w:t xml:space="preserve"> </w:t>
      </w:r>
      <w:r w:rsidRPr="00454670">
        <w:t>a</w:t>
      </w:r>
      <w:r w:rsidR="00C64050">
        <w:t xml:space="preserve"> </w:t>
      </w:r>
      <w:r w:rsidRPr="00454670">
        <w:t>“step-up”</w:t>
      </w:r>
      <w:r w:rsidR="00C64050">
        <w:t xml:space="preserve"> </w:t>
      </w:r>
      <w:r w:rsidRPr="00454670">
        <w:t>in</w:t>
      </w:r>
      <w:r w:rsidR="00C64050">
        <w:t xml:space="preserve"> </w:t>
      </w:r>
      <w:r w:rsidRPr="00454670">
        <w:t>basis</w:t>
      </w:r>
      <w:r w:rsidR="00C64050">
        <w:t xml:space="preserve"> </w:t>
      </w:r>
      <w:r w:rsidRPr="00454670">
        <w:t>but</w:t>
      </w:r>
      <w:r w:rsidR="00C64050">
        <w:t xml:space="preserve"> </w:t>
      </w:r>
      <w:r w:rsidRPr="00454670">
        <w:t>over</w:t>
      </w:r>
      <w:r w:rsidR="00C64050">
        <w:t xml:space="preserve"> </w:t>
      </w:r>
      <w:r w:rsidRPr="00454670">
        <w:t>time,</w:t>
      </w:r>
      <w:r w:rsidR="00C64050">
        <w:t xml:space="preserve"> </w:t>
      </w:r>
      <w:r w:rsidRPr="00454670">
        <w:t>the</w:t>
      </w:r>
      <w:r w:rsidR="00C64050">
        <w:t xml:space="preserve"> </w:t>
      </w:r>
      <w:r w:rsidRPr="00454670">
        <w:t>basis</w:t>
      </w:r>
      <w:r w:rsidR="00C64050">
        <w:t xml:space="preserve"> </w:t>
      </w:r>
      <w:r w:rsidRPr="00454670">
        <w:t>of</w:t>
      </w:r>
      <w:r w:rsidR="00C64050">
        <w:t xml:space="preserve"> </w:t>
      </w:r>
      <w:r w:rsidRPr="00454670">
        <w:t>the</w:t>
      </w:r>
      <w:r w:rsidR="00C64050">
        <w:t xml:space="preserve"> </w:t>
      </w:r>
      <w:r w:rsidRPr="00454670">
        <w:t>asset</w:t>
      </w:r>
      <w:r w:rsidR="00C64050">
        <w:t xml:space="preserve"> </w:t>
      </w:r>
      <w:r w:rsidRPr="00454670">
        <w:t>will</w:t>
      </w:r>
      <w:r w:rsidR="00C64050">
        <w:t xml:space="preserve"> </w:t>
      </w:r>
      <w:r w:rsidRPr="00454670">
        <w:t>be</w:t>
      </w:r>
      <w:r w:rsidR="00C64050">
        <w:t xml:space="preserve"> </w:t>
      </w:r>
      <w:r w:rsidRPr="00454670">
        <w:t>reduced</w:t>
      </w:r>
      <w:r w:rsidR="00C64050">
        <w:t xml:space="preserve"> </w:t>
      </w:r>
      <w:r w:rsidRPr="00454670">
        <w:t>by</w:t>
      </w:r>
      <w:r w:rsidR="00C64050">
        <w:t xml:space="preserve"> </w:t>
      </w:r>
      <w:r w:rsidRPr="00454670">
        <w:t>the</w:t>
      </w:r>
      <w:r w:rsidR="00C64050">
        <w:t xml:space="preserve"> </w:t>
      </w:r>
      <w:r w:rsidRPr="00454670">
        <w:t>ongoing</w:t>
      </w:r>
      <w:r w:rsidR="00C64050">
        <w:t xml:space="preserve"> </w:t>
      </w:r>
      <w:r w:rsidRPr="00454670">
        <w:t>depreciation</w:t>
      </w:r>
      <w:r w:rsidR="00C64050">
        <w:t xml:space="preserve"> </w:t>
      </w:r>
      <w:r w:rsidRPr="00454670">
        <w:t>deductions.</w:t>
      </w:r>
      <w:r w:rsidR="00C64050">
        <w:t xml:space="preserve">  </w:t>
      </w:r>
      <w:r w:rsidRPr="00454670">
        <w:t>As</w:t>
      </w:r>
      <w:r w:rsidR="00C64050">
        <w:t xml:space="preserve"> </w:t>
      </w:r>
      <w:r w:rsidRPr="00454670">
        <w:t>such,</w:t>
      </w:r>
      <w:r w:rsidR="00C64050">
        <w:t xml:space="preserve"> </w:t>
      </w:r>
      <w:r w:rsidRPr="00454670">
        <w:t>even</w:t>
      </w:r>
      <w:r w:rsidR="00C64050">
        <w:t xml:space="preserve"> </w:t>
      </w:r>
      <w:r w:rsidRPr="00454670">
        <w:t>in</w:t>
      </w:r>
      <w:r w:rsidR="00C64050">
        <w:t xml:space="preserve"> </w:t>
      </w:r>
      <w:r w:rsidRPr="00454670">
        <w:t>community</w:t>
      </w:r>
      <w:r w:rsidR="00C64050">
        <w:t xml:space="preserve"> </w:t>
      </w:r>
      <w:r w:rsidRPr="00454670">
        <w:t>property</w:t>
      </w:r>
      <w:r w:rsidR="00C64050">
        <w:t xml:space="preserve"> </w:t>
      </w:r>
      <w:r w:rsidRPr="00454670">
        <w:t>states,</w:t>
      </w:r>
      <w:r w:rsidR="00C64050">
        <w:t xml:space="preserve"> </w:t>
      </w:r>
      <w:r w:rsidRPr="00454670">
        <w:t>if</w:t>
      </w:r>
      <w:r w:rsidR="00C64050">
        <w:t xml:space="preserve"> </w:t>
      </w:r>
      <w:r w:rsidRPr="00454670">
        <w:t>there</w:t>
      </w:r>
      <w:r w:rsidR="00C64050">
        <w:t xml:space="preserve"> </w:t>
      </w:r>
      <w:r w:rsidRPr="00454670">
        <w:t>are</w:t>
      </w:r>
      <w:r w:rsidR="00C64050">
        <w:t xml:space="preserve"> </w:t>
      </w:r>
      <w:r w:rsidRPr="00454670">
        <w:t>significant</w:t>
      </w:r>
      <w:r w:rsidR="00C64050">
        <w:t xml:space="preserve"> </w:t>
      </w:r>
      <w:r w:rsidRPr="00454670">
        <w:t>depreciable</w:t>
      </w:r>
      <w:r w:rsidR="00C64050">
        <w:t xml:space="preserve"> </w:t>
      </w:r>
      <w:r w:rsidRPr="00454670">
        <w:t>or</w:t>
      </w:r>
      <w:r w:rsidR="00C64050">
        <w:t xml:space="preserve"> </w:t>
      </w:r>
      <w:r w:rsidRPr="00454670">
        <w:t>depletable</w:t>
      </w:r>
      <w:r w:rsidR="00C64050">
        <w:t xml:space="preserve"> </w:t>
      </w:r>
      <w:r w:rsidRPr="00454670">
        <w:t>assets,</w:t>
      </w:r>
      <w:r w:rsidR="00C64050">
        <w:t xml:space="preserve"> </w:t>
      </w:r>
      <w:r w:rsidRPr="00454670">
        <w:t>portability</w:t>
      </w:r>
      <w:r w:rsidR="00C64050">
        <w:t xml:space="preserve"> </w:t>
      </w:r>
      <w:r w:rsidRPr="00454670">
        <w:t>should</w:t>
      </w:r>
      <w:r w:rsidR="00C64050">
        <w:t xml:space="preserve"> </w:t>
      </w:r>
      <w:r w:rsidRPr="00454670">
        <w:t>be</w:t>
      </w:r>
      <w:r w:rsidR="00C64050">
        <w:t xml:space="preserve"> </w:t>
      </w:r>
      <w:r w:rsidRPr="00454670">
        <w:t>considered.</w:t>
      </w:r>
    </w:p>
    <w:p w:rsidR="00363600" w:rsidRDefault="00363600">
      <w:pPr>
        <w:rPr>
          <w:rFonts w:eastAsia="MS Mincho"/>
          <w:b/>
          <w:szCs w:val="20"/>
        </w:rPr>
      </w:pPr>
      <w:r>
        <w:br w:type="page"/>
      </w:r>
    </w:p>
    <w:p w:rsidR="008059B8" w:rsidRPr="00454670" w:rsidRDefault="00802D80" w:rsidP="009676E9">
      <w:pPr>
        <w:pStyle w:val="LFLevel1"/>
        <w:rPr>
          <w:rFonts w:ascii="Times New Roman" w:hAnsi="Times New Roman"/>
        </w:rPr>
      </w:pPr>
      <w:bookmarkStart w:id="63" w:name="_Toc94704607"/>
      <w:r>
        <w:rPr>
          <w:rFonts w:ascii="Times New Roman" w:hAnsi="Times New Roman"/>
        </w:rPr>
        <w:t>OBTAINING</w:t>
      </w:r>
      <w:r w:rsidR="00C64050">
        <w:rPr>
          <w:rFonts w:ascii="Times New Roman" w:hAnsi="Times New Roman"/>
        </w:rPr>
        <w:t xml:space="preserve"> </w:t>
      </w:r>
      <w:r>
        <w:rPr>
          <w:rFonts w:ascii="Times New Roman" w:hAnsi="Times New Roman"/>
        </w:rPr>
        <w:t>AND</w:t>
      </w:r>
      <w:r w:rsidR="00C64050">
        <w:rPr>
          <w:rFonts w:ascii="Times New Roman" w:hAnsi="Times New Roman"/>
        </w:rPr>
        <w:t xml:space="preserve"> </w:t>
      </w:r>
      <w:r>
        <w:rPr>
          <w:rFonts w:ascii="Times New Roman" w:hAnsi="Times New Roman"/>
        </w:rPr>
        <w:t>RETAINING</w:t>
      </w:r>
      <w:r w:rsidR="00C64050">
        <w:rPr>
          <w:rFonts w:ascii="Times New Roman" w:hAnsi="Times New Roman"/>
        </w:rPr>
        <w:t xml:space="preserve"> </w:t>
      </w:r>
      <w:r>
        <w:rPr>
          <w:rFonts w:ascii="Times New Roman" w:hAnsi="Times New Roman"/>
        </w:rPr>
        <w:t>BASIS</w:t>
      </w:r>
      <w:bookmarkEnd w:id="63"/>
    </w:p>
    <w:p w:rsidR="008059B8" w:rsidRPr="00D70884" w:rsidRDefault="008059B8" w:rsidP="00456BDE">
      <w:pPr>
        <w:pStyle w:val="LFLevel2"/>
        <w:rPr>
          <w:b/>
          <w:u w:val="single"/>
        </w:rPr>
      </w:pPr>
      <w:bookmarkStart w:id="64" w:name="_Toc376946732"/>
      <w:bookmarkStart w:id="65" w:name="_Toc376948372"/>
      <w:bookmarkStart w:id="66" w:name="_Toc376949166"/>
      <w:bookmarkStart w:id="67" w:name="_Toc94704608"/>
      <w:r w:rsidRPr="00D70884">
        <w:rPr>
          <w:b/>
          <w:u w:val="single"/>
        </w:rPr>
        <w:t>Generally</w:t>
      </w:r>
      <w:bookmarkEnd w:id="64"/>
      <w:bookmarkEnd w:id="65"/>
      <w:bookmarkEnd w:id="66"/>
      <w:bookmarkEnd w:id="67"/>
    </w:p>
    <w:p w:rsidR="008059B8" w:rsidRPr="00454670" w:rsidRDefault="008059B8" w:rsidP="00120A9D">
      <w:pPr>
        <w:pStyle w:val="LFLevel3"/>
        <w:ind w:left="0" w:firstLine="1440"/>
      </w:pPr>
      <w:r w:rsidRPr="00454670">
        <w:t>As</w:t>
      </w:r>
      <w:r w:rsidR="00C64050">
        <w:t xml:space="preserve"> </w:t>
      </w:r>
      <w:r w:rsidRPr="00454670">
        <w:t>discussed</w:t>
      </w:r>
      <w:r w:rsidR="00C64050">
        <w:t xml:space="preserve"> </w:t>
      </w:r>
      <w:r w:rsidRPr="00454670">
        <w:t>above,</w:t>
      </w:r>
      <w:r w:rsidR="00C64050">
        <w:t xml:space="preserve"> </w:t>
      </w:r>
      <w:r w:rsidRPr="00454670">
        <w:t>estate</w:t>
      </w:r>
      <w:r w:rsidR="00C64050">
        <w:t xml:space="preserve"> </w:t>
      </w:r>
      <w:r w:rsidRPr="00454670">
        <w:t>planning</w:t>
      </w:r>
      <w:r w:rsidR="00C64050">
        <w:t xml:space="preserve"> </w:t>
      </w:r>
      <w:r w:rsidRPr="00454670">
        <w:t>will</w:t>
      </w:r>
      <w:r w:rsidR="00C64050">
        <w:t xml:space="preserve"> </w:t>
      </w:r>
      <w:r w:rsidRPr="00454670">
        <w:t>increasingly</w:t>
      </w:r>
      <w:r w:rsidR="00C64050">
        <w:t xml:space="preserve"> </w:t>
      </w:r>
      <w:r w:rsidRPr="00454670">
        <w:t>focus</w:t>
      </w:r>
      <w:r w:rsidR="00C64050">
        <w:t xml:space="preserve"> </w:t>
      </w:r>
      <w:r w:rsidRPr="00454670">
        <w:t>on</w:t>
      </w:r>
      <w:r w:rsidR="00C64050">
        <w:t xml:space="preserve"> </w:t>
      </w:r>
      <w:r w:rsidRPr="00454670">
        <w:t>the</w:t>
      </w:r>
      <w:r w:rsidR="00C64050">
        <w:t xml:space="preserve"> </w:t>
      </w:r>
      <w:r w:rsidRPr="00454670">
        <w:t>income</w:t>
      </w:r>
      <w:r w:rsidR="00C64050">
        <w:t xml:space="preserve"> </w:t>
      </w:r>
      <w:r w:rsidRPr="00454670">
        <w:t>tax</w:t>
      </w:r>
      <w:r w:rsidR="00C64050">
        <w:t xml:space="preserve"> </w:t>
      </w:r>
      <w:r w:rsidRPr="00454670">
        <w:t>savings</w:t>
      </w:r>
      <w:r w:rsidR="00C64050">
        <w:t xml:space="preserve"> </w:t>
      </w:r>
      <w:r w:rsidRPr="00454670">
        <w:t>resulting</w:t>
      </w:r>
      <w:r w:rsidR="00C64050">
        <w:t xml:space="preserve"> </w:t>
      </w:r>
      <w:r w:rsidRPr="00454670">
        <w:t>from</w:t>
      </w:r>
      <w:r w:rsidR="00C64050">
        <w:t xml:space="preserve"> </w:t>
      </w:r>
      <w:r w:rsidRPr="00454670">
        <w:t>the</w:t>
      </w:r>
      <w:r w:rsidR="00C64050">
        <w:t xml:space="preserve"> </w:t>
      </w:r>
      <w:r w:rsidRPr="00454670">
        <w:t>“step-up”</w:t>
      </w:r>
      <w:r w:rsidR="00C64050">
        <w:t xml:space="preserve"> </w:t>
      </w:r>
      <w:r w:rsidRPr="00454670">
        <w:t>in</w:t>
      </w:r>
      <w:r w:rsidR="00C64050">
        <w:t xml:space="preserve"> </w:t>
      </w:r>
      <w:r w:rsidRPr="00454670">
        <w:t>basis.</w:t>
      </w:r>
      <w:r w:rsidR="00C64050">
        <w:t xml:space="preserve">  </w:t>
      </w:r>
      <w:r w:rsidRPr="00454670">
        <w:t>Estate</w:t>
      </w:r>
      <w:r w:rsidR="00C64050">
        <w:t xml:space="preserve"> </w:t>
      </w:r>
      <w:r w:rsidRPr="00454670">
        <w:t>planners</w:t>
      </w:r>
      <w:r w:rsidR="00C64050">
        <w:t xml:space="preserve"> </w:t>
      </w:r>
      <w:r w:rsidRPr="00454670">
        <w:t>will</w:t>
      </w:r>
      <w:r w:rsidR="00C64050">
        <w:t xml:space="preserve"> </w:t>
      </w:r>
      <w:r w:rsidRPr="00454670">
        <w:t>seek</w:t>
      </w:r>
      <w:r w:rsidR="00C64050">
        <w:t xml:space="preserve"> </w:t>
      </w:r>
      <w:r w:rsidRPr="00454670">
        <w:t>to</w:t>
      </w:r>
      <w:r w:rsidR="00C64050">
        <w:t xml:space="preserve"> </w:t>
      </w:r>
      <w:r w:rsidRPr="00454670">
        <w:t>maximizing</w:t>
      </w:r>
      <w:r w:rsidR="00C64050">
        <w:t xml:space="preserve"> </w:t>
      </w:r>
      <w:r w:rsidRPr="00454670">
        <w:t>the</w:t>
      </w:r>
      <w:r w:rsidR="00C64050">
        <w:t xml:space="preserve"> </w:t>
      </w:r>
      <w:r w:rsidRPr="00454670">
        <w:t>“step-up”</w:t>
      </w:r>
      <w:r w:rsidR="00C64050">
        <w:t xml:space="preserve"> </w:t>
      </w:r>
      <w:r w:rsidRPr="00454670">
        <w:t>up</w:t>
      </w:r>
      <w:r w:rsidR="00C64050">
        <w:t xml:space="preserve"> </w:t>
      </w:r>
      <w:r w:rsidRPr="00454670">
        <w:t>in</w:t>
      </w:r>
      <w:r w:rsidR="00C64050">
        <w:t xml:space="preserve"> </w:t>
      </w:r>
      <w:r w:rsidRPr="00454670">
        <w:t>basis</w:t>
      </w:r>
      <w:r w:rsidR="00C64050">
        <w:t xml:space="preserve"> </w:t>
      </w:r>
      <w:r w:rsidRPr="00454670">
        <w:t>by</w:t>
      </w:r>
      <w:r w:rsidR="00C64050">
        <w:t xml:space="preserve"> </w:t>
      </w:r>
      <w:r w:rsidRPr="00454670">
        <w:t>ensuring</w:t>
      </w:r>
      <w:r w:rsidR="00C64050">
        <w:t xml:space="preserve"> </w:t>
      </w:r>
      <w:r w:rsidRPr="00454670">
        <w:t>that</w:t>
      </w:r>
      <w:r w:rsidR="00C64050">
        <w:t xml:space="preserve"> </w:t>
      </w:r>
      <w:r w:rsidRPr="00454670">
        <w:t>the</w:t>
      </w:r>
      <w:r w:rsidR="00C64050">
        <w:t xml:space="preserve"> </w:t>
      </w:r>
      <w:r w:rsidRPr="00454670">
        <w:t>assets</w:t>
      </w:r>
      <w:r w:rsidR="00C64050">
        <w:t xml:space="preserve"> </w:t>
      </w:r>
      <w:r w:rsidRPr="00454670">
        <w:t>that</w:t>
      </w:r>
      <w:r w:rsidR="00C64050">
        <w:t xml:space="preserve"> </w:t>
      </w:r>
      <w:r w:rsidRPr="00454670">
        <w:t>are</w:t>
      </w:r>
      <w:r w:rsidR="00C64050">
        <w:t xml:space="preserve"> </w:t>
      </w:r>
      <w:r w:rsidRPr="00454670">
        <w:t>includible</w:t>
      </w:r>
      <w:r w:rsidR="00C64050">
        <w:t xml:space="preserve"> </w:t>
      </w:r>
      <w:r w:rsidRPr="00454670">
        <w:t>in</w:t>
      </w:r>
      <w:r w:rsidR="00C64050">
        <w:t xml:space="preserve"> </w:t>
      </w:r>
      <w:r w:rsidRPr="00454670">
        <w:t>the</w:t>
      </w:r>
      <w:r w:rsidR="00C64050">
        <w:t xml:space="preserve"> </w:t>
      </w:r>
      <w:r w:rsidRPr="00454670">
        <w:t>estate</w:t>
      </w:r>
      <w:r w:rsidR="00C64050">
        <w:t xml:space="preserve"> </w:t>
      </w:r>
      <w:r w:rsidRPr="00454670">
        <w:t>of</w:t>
      </w:r>
      <w:r w:rsidR="00C64050">
        <w:t xml:space="preserve"> </w:t>
      </w:r>
      <w:r w:rsidRPr="00454670">
        <w:t>a</w:t>
      </w:r>
      <w:r w:rsidR="00C64050">
        <w:t xml:space="preserve"> </w:t>
      </w:r>
      <w:r w:rsidRPr="00454670">
        <w:t>decedent</w:t>
      </w:r>
      <w:r w:rsidR="00C64050">
        <w:t xml:space="preserve"> </w:t>
      </w:r>
      <w:r w:rsidRPr="00454670">
        <w:t>are</w:t>
      </w:r>
      <w:r w:rsidR="00C64050">
        <w:t xml:space="preserve"> </w:t>
      </w:r>
      <w:r w:rsidRPr="00454670">
        <w:t>the</w:t>
      </w:r>
      <w:r w:rsidR="00C64050">
        <w:t xml:space="preserve"> </w:t>
      </w:r>
      <w:r w:rsidRPr="00454670">
        <w:t>type</w:t>
      </w:r>
      <w:r w:rsidR="00C64050">
        <w:t xml:space="preserve"> </w:t>
      </w:r>
      <w:r w:rsidRPr="00454670">
        <w:t>of</w:t>
      </w:r>
      <w:r w:rsidR="00C64050">
        <w:t xml:space="preserve"> </w:t>
      </w:r>
      <w:r w:rsidRPr="00454670">
        <w:t>assets</w:t>
      </w:r>
      <w:r w:rsidR="00C64050">
        <w:t xml:space="preserve"> </w:t>
      </w:r>
      <w:r w:rsidRPr="00454670">
        <w:t>that</w:t>
      </w:r>
      <w:r w:rsidR="00C64050">
        <w:t xml:space="preserve"> </w:t>
      </w:r>
      <w:r w:rsidRPr="00454670">
        <w:t>will:</w:t>
      </w:r>
    </w:p>
    <w:p w:rsidR="008059B8" w:rsidRPr="00454670" w:rsidRDefault="008059B8" w:rsidP="003E38A9">
      <w:pPr>
        <w:pStyle w:val="LFLevel4"/>
        <w:ind w:left="0" w:firstLine="2160"/>
      </w:pPr>
      <w:r w:rsidRPr="00454670">
        <w:t>Benefit</w:t>
      </w:r>
      <w:r w:rsidR="00C64050">
        <w:t xml:space="preserve"> </w:t>
      </w:r>
      <w:r w:rsidRPr="00454670">
        <w:t>from</w:t>
      </w:r>
      <w:r w:rsidR="00C64050">
        <w:t xml:space="preserve"> </w:t>
      </w:r>
      <w:r w:rsidRPr="00454670">
        <w:t>a</w:t>
      </w:r>
      <w:r w:rsidR="00C64050">
        <w:t xml:space="preserve"> </w:t>
      </w:r>
      <w:r w:rsidRPr="00454670">
        <w:t>“step-up”</w:t>
      </w:r>
      <w:r w:rsidR="00C64050">
        <w:t xml:space="preserve"> </w:t>
      </w:r>
      <w:r w:rsidRPr="00454670">
        <w:t>(avoiding</w:t>
      </w:r>
      <w:r w:rsidR="00C64050">
        <w:t xml:space="preserve"> </w:t>
      </w:r>
      <w:r w:rsidRPr="00454670">
        <w:t>the</w:t>
      </w:r>
      <w:r w:rsidR="00C64050">
        <w:t xml:space="preserve"> </w:t>
      </w:r>
      <w:r w:rsidRPr="00454670">
        <w:t>inclusion</w:t>
      </w:r>
      <w:r w:rsidR="00C64050">
        <w:t xml:space="preserve"> </w:t>
      </w:r>
      <w:r w:rsidRPr="00454670">
        <w:t>cash</w:t>
      </w:r>
      <w:r w:rsidR="00C64050">
        <w:t xml:space="preserve"> </w:t>
      </w:r>
      <w:r w:rsidRPr="00454670">
        <w:t>or</w:t>
      </w:r>
      <w:r w:rsidR="00C64050">
        <w:t xml:space="preserve"> </w:t>
      </w:r>
      <w:r w:rsidRPr="00454670">
        <w:t>property</w:t>
      </w:r>
      <w:r w:rsidR="00C64050">
        <w:t xml:space="preserve"> </w:t>
      </w:r>
      <w:r w:rsidRPr="00454670">
        <w:t>that</w:t>
      </w:r>
      <w:r w:rsidR="00C64050">
        <w:t xml:space="preserve"> </w:t>
      </w:r>
      <w:r w:rsidRPr="00454670">
        <w:t>has</w:t>
      </w:r>
      <w:r w:rsidR="00C64050">
        <w:t xml:space="preserve"> </w:t>
      </w:r>
      <w:r w:rsidRPr="00454670">
        <w:t>a</w:t>
      </w:r>
      <w:r w:rsidR="00C64050">
        <w:t xml:space="preserve"> </w:t>
      </w:r>
      <w:r w:rsidRPr="00454670">
        <w:t>basis</w:t>
      </w:r>
      <w:r w:rsidR="00C64050">
        <w:t xml:space="preserve"> </w:t>
      </w:r>
      <w:r w:rsidRPr="00454670">
        <w:t>greater</w:t>
      </w:r>
      <w:r w:rsidR="00C64050">
        <w:t xml:space="preserve"> </w:t>
      </w:r>
      <w:r w:rsidRPr="00454670">
        <w:t>than</w:t>
      </w:r>
      <w:r w:rsidR="00C64050">
        <w:t xml:space="preserve"> </w:t>
      </w:r>
      <w:r w:rsidRPr="00454670">
        <w:t>fair</w:t>
      </w:r>
      <w:r w:rsidR="00C64050">
        <w:t xml:space="preserve"> </w:t>
      </w:r>
      <w:r w:rsidRPr="00454670">
        <w:t>market</w:t>
      </w:r>
      <w:r w:rsidR="00C64050">
        <w:t xml:space="preserve"> </w:t>
      </w:r>
      <w:r w:rsidRPr="00454670">
        <w:t>value)</w:t>
      </w:r>
    </w:p>
    <w:p w:rsidR="008059B8" w:rsidRPr="00454670" w:rsidRDefault="008059B8" w:rsidP="003E38A9">
      <w:pPr>
        <w:pStyle w:val="LFLevel4"/>
        <w:ind w:left="0" w:firstLine="2160"/>
      </w:pPr>
      <w:r w:rsidRPr="00454670">
        <w:t>Benefit</w:t>
      </w:r>
      <w:r w:rsidR="00C64050">
        <w:t xml:space="preserve"> </w:t>
      </w:r>
      <w:r w:rsidRPr="00454670">
        <w:t>the</w:t>
      </w:r>
      <w:r w:rsidR="00C64050">
        <w:t xml:space="preserve"> </w:t>
      </w:r>
      <w:r w:rsidRPr="00454670">
        <w:t>most</w:t>
      </w:r>
      <w:r w:rsidR="00C64050">
        <w:t xml:space="preserve"> </w:t>
      </w:r>
      <w:r w:rsidRPr="00454670">
        <w:t>from</w:t>
      </w:r>
      <w:r w:rsidR="00C64050">
        <w:t xml:space="preserve"> </w:t>
      </w:r>
      <w:r w:rsidRPr="00454670">
        <w:t>the</w:t>
      </w:r>
      <w:r w:rsidR="00C64050">
        <w:t xml:space="preserve"> </w:t>
      </w:r>
      <w:r w:rsidRPr="00454670">
        <w:t>“step-up”</w:t>
      </w:r>
      <w:r w:rsidR="00C64050">
        <w:t xml:space="preserve"> </w:t>
      </w:r>
      <w:r w:rsidRPr="00454670">
        <w:t>(for</w:t>
      </w:r>
      <w:r w:rsidR="00C64050">
        <w:t xml:space="preserve"> </w:t>
      </w:r>
      <w:r w:rsidRPr="00454670">
        <w:t>example,</w:t>
      </w:r>
      <w:r w:rsidR="00C64050">
        <w:t xml:space="preserve"> </w:t>
      </w:r>
      <w:r w:rsidRPr="00454670">
        <w:t>very</w:t>
      </w:r>
      <w:r w:rsidR="00C64050">
        <w:t xml:space="preserve"> </w:t>
      </w:r>
      <w:r w:rsidRPr="00454670">
        <w:t>low</w:t>
      </w:r>
      <w:r w:rsidR="00C64050">
        <w:t xml:space="preserve"> </w:t>
      </w:r>
      <w:r w:rsidRPr="00454670">
        <w:t>basis</w:t>
      </w:r>
      <w:r w:rsidR="00C64050">
        <w:t xml:space="preserve"> </w:t>
      </w:r>
      <w:r w:rsidRPr="00454670">
        <w:t>assets,</w:t>
      </w:r>
      <w:r w:rsidR="00C64050">
        <w:t xml:space="preserve"> </w:t>
      </w:r>
      <w:r w:rsidRPr="00454670">
        <w:t>collectibles,</w:t>
      </w:r>
      <w:r w:rsidR="00C64050">
        <w:t xml:space="preserve"> </w:t>
      </w:r>
      <w:r w:rsidRPr="00454670">
        <w:t>and</w:t>
      </w:r>
      <w:r w:rsidR="00C64050">
        <w:t xml:space="preserve"> </w:t>
      </w:r>
      <w:r w:rsidRPr="00454670">
        <w:t>“negative</w:t>
      </w:r>
      <w:r w:rsidR="00C64050">
        <w:t xml:space="preserve"> </w:t>
      </w:r>
      <w:r w:rsidRPr="00454670">
        <w:t>basis”</w:t>
      </w:r>
      <w:r w:rsidR="00C64050">
        <w:t xml:space="preserve"> </w:t>
      </w:r>
      <w:r w:rsidRPr="00454670">
        <w:t>assets);</w:t>
      </w:r>
      <w:r w:rsidR="00C64050">
        <w:t xml:space="preserve"> </w:t>
      </w:r>
      <w:r w:rsidRPr="00454670">
        <w:t>and</w:t>
      </w:r>
    </w:p>
    <w:p w:rsidR="008059B8" w:rsidRPr="00454670" w:rsidRDefault="008059B8" w:rsidP="003E38A9">
      <w:pPr>
        <w:pStyle w:val="LFLevel4"/>
        <w:ind w:left="0" w:firstLine="2160"/>
      </w:pPr>
      <w:r w:rsidRPr="00454670">
        <w:t>Provide</w:t>
      </w:r>
      <w:r w:rsidR="00C64050">
        <w:t xml:space="preserve"> </w:t>
      </w:r>
      <w:r w:rsidRPr="00454670">
        <w:t>significant</w:t>
      </w:r>
      <w:r w:rsidR="00C64050">
        <w:t xml:space="preserve"> </w:t>
      </w:r>
      <w:r w:rsidRPr="00454670">
        <w:t>income</w:t>
      </w:r>
      <w:r w:rsidR="00C64050">
        <w:t xml:space="preserve"> </w:t>
      </w:r>
      <w:r w:rsidRPr="00454670">
        <w:t>tax</w:t>
      </w:r>
      <w:r w:rsidR="00C64050">
        <w:t xml:space="preserve"> </w:t>
      </w:r>
      <w:r w:rsidRPr="00454670">
        <w:t>benefits</w:t>
      </w:r>
      <w:r w:rsidR="00C64050">
        <w:t xml:space="preserve"> </w:t>
      </w:r>
      <w:r w:rsidRPr="00454670">
        <w:t>to</w:t>
      </w:r>
      <w:r w:rsidR="00C64050">
        <w:t xml:space="preserve"> </w:t>
      </w:r>
      <w:r w:rsidRPr="00454670">
        <w:t>the</w:t>
      </w:r>
      <w:r w:rsidR="00C64050">
        <w:t xml:space="preserve"> </w:t>
      </w:r>
      <w:r w:rsidRPr="00454670">
        <w:t>beneficiaries</w:t>
      </w:r>
      <w:r w:rsidR="00C64050">
        <w:t xml:space="preserve"> </w:t>
      </w:r>
      <w:r w:rsidRPr="00454670">
        <w:t>(assets</w:t>
      </w:r>
      <w:r w:rsidR="00C64050">
        <w:t xml:space="preserve"> </w:t>
      </w:r>
      <w:r w:rsidRPr="00454670">
        <w:t>are</w:t>
      </w:r>
      <w:r w:rsidR="00C64050">
        <w:t xml:space="preserve"> </w:t>
      </w:r>
      <w:r w:rsidRPr="00454670">
        <w:t>likely</w:t>
      </w:r>
      <w:r w:rsidR="00C64050">
        <w:t xml:space="preserve"> </w:t>
      </w:r>
      <w:r w:rsidRPr="00454670">
        <w:t>to</w:t>
      </w:r>
      <w:r w:rsidR="00C64050">
        <w:t xml:space="preserve"> </w:t>
      </w:r>
      <w:r w:rsidRPr="00454670">
        <w:t>be</w:t>
      </w:r>
      <w:r w:rsidR="00C64050">
        <w:t xml:space="preserve"> </w:t>
      </w:r>
      <w:r w:rsidRPr="00454670">
        <w:t>sold</w:t>
      </w:r>
      <w:r w:rsidR="00C64050">
        <w:t xml:space="preserve"> </w:t>
      </w:r>
      <w:r w:rsidRPr="00454670">
        <w:t>in</w:t>
      </w:r>
      <w:r w:rsidR="00C64050">
        <w:t xml:space="preserve"> </w:t>
      </w:r>
      <w:r w:rsidRPr="00454670">
        <w:t>a</w:t>
      </w:r>
      <w:r w:rsidR="00C64050">
        <w:t xml:space="preserve"> </w:t>
      </w:r>
      <w:r w:rsidRPr="00454670">
        <w:t>taxable</w:t>
      </w:r>
      <w:r w:rsidR="00C64050">
        <w:t xml:space="preserve"> </w:t>
      </w:r>
      <w:r w:rsidRPr="00454670">
        <w:t>transaction</w:t>
      </w:r>
      <w:r w:rsidR="00C64050">
        <w:t xml:space="preserve"> </w:t>
      </w:r>
      <w:r w:rsidRPr="00454670">
        <w:t>after</w:t>
      </w:r>
      <w:r w:rsidR="00C64050">
        <w:t xml:space="preserve"> </w:t>
      </w:r>
      <w:r w:rsidRPr="00454670">
        <w:t>“step-up”</w:t>
      </w:r>
      <w:r w:rsidR="00C64050">
        <w:t xml:space="preserve"> </w:t>
      </w:r>
      <w:r w:rsidRPr="00454670">
        <w:t>or</w:t>
      </w:r>
      <w:r w:rsidR="00C64050">
        <w:t xml:space="preserve"> </w:t>
      </w:r>
      <w:r w:rsidRPr="00454670">
        <w:t>depreciable/depletable</w:t>
      </w:r>
      <w:r w:rsidR="00C64050">
        <w:t xml:space="preserve"> </w:t>
      </w:r>
      <w:r w:rsidRPr="00454670">
        <w:t>assets</w:t>
      </w:r>
      <w:r w:rsidR="00C64050">
        <w:t xml:space="preserve"> </w:t>
      </w:r>
      <w:r w:rsidRPr="00454670">
        <w:t>giving</w:t>
      </w:r>
      <w:r w:rsidR="00C64050">
        <w:t xml:space="preserve"> </w:t>
      </w:r>
      <w:r w:rsidRPr="00454670">
        <w:t>rise</w:t>
      </w:r>
      <w:r w:rsidR="00C64050">
        <w:t xml:space="preserve"> </w:t>
      </w:r>
      <w:r w:rsidRPr="00454670">
        <w:t>to</w:t>
      </w:r>
      <w:r w:rsidR="00C64050">
        <w:t xml:space="preserve"> </w:t>
      </w:r>
      <w:r w:rsidRPr="00454670">
        <w:t>ongoing</w:t>
      </w:r>
      <w:r w:rsidR="00C64050">
        <w:t xml:space="preserve"> </w:t>
      </w:r>
      <w:r w:rsidRPr="00454670">
        <w:t>income</w:t>
      </w:r>
      <w:r w:rsidR="00C64050">
        <w:t xml:space="preserve"> </w:t>
      </w:r>
      <w:r w:rsidRPr="00454670">
        <w:t>tax</w:t>
      </w:r>
      <w:r w:rsidR="00C64050">
        <w:t xml:space="preserve"> </w:t>
      </w:r>
      <w:r w:rsidRPr="00454670">
        <w:t>deductions).</w:t>
      </w:r>
    </w:p>
    <w:p w:rsidR="008059B8" w:rsidRPr="00454670" w:rsidRDefault="008059B8" w:rsidP="00120A9D">
      <w:pPr>
        <w:pStyle w:val="LFLevel3"/>
        <w:ind w:left="0" w:firstLine="1440"/>
      </w:pPr>
      <w:r w:rsidRPr="00454670">
        <w:t>In</w:t>
      </w:r>
      <w:r w:rsidR="00C64050">
        <w:t xml:space="preserve"> </w:t>
      </w:r>
      <w:r w:rsidRPr="00454670">
        <w:t>addition</w:t>
      </w:r>
      <w:r w:rsidR="00C64050">
        <w:t xml:space="preserve"> </w:t>
      </w:r>
      <w:r w:rsidRPr="00454670">
        <w:t>to</w:t>
      </w:r>
      <w:r w:rsidR="00C64050">
        <w:t xml:space="preserve"> </w:t>
      </w:r>
      <w:r w:rsidRPr="00454670">
        <w:t>the</w:t>
      </w:r>
      <w:r w:rsidR="00C64050">
        <w:t xml:space="preserve"> </w:t>
      </w:r>
      <w:r w:rsidRPr="00454670">
        <w:t>foregoing,</w:t>
      </w:r>
      <w:r w:rsidR="00C64050">
        <w:t xml:space="preserve"> </w:t>
      </w:r>
      <w:r w:rsidRPr="00454670">
        <w:t>estate</w:t>
      </w:r>
      <w:r w:rsidR="00C64050">
        <w:t xml:space="preserve"> </w:t>
      </w:r>
      <w:r w:rsidRPr="00454670">
        <w:t>planners</w:t>
      </w:r>
      <w:r w:rsidR="00C64050">
        <w:t xml:space="preserve"> </w:t>
      </w:r>
      <w:r w:rsidRPr="00454670">
        <w:t>will</w:t>
      </w:r>
      <w:r w:rsidR="00C64050">
        <w:t xml:space="preserve"> </w:t>
      </w:r>
      <w:r w:rsidRPr="00454670">
        <w:t>increasingly</w:t>
      </w:r>
      <w:r w:rsidR="00C64050">
        <w:t xml:space="preserve"> </w:t>
      </w:r>
      <w:r w:rsidRPr="00454670">
        <w:t>seek</w:t>
      </w:r>
      <w:r w:rsidR="00C64050">
        <w:t xml:space="preserve"> </w:t>
      </w:r>
      <w:r w:rsidRPr="00454670">
        <w:t>to:</w:t>
      </w:r>
    </w:p>
    <w:p w:rsidR="008059B8" w:rsidRPr="00454670" w:rsidRDefault="008059B8" w:rsidP="003E38A9">
      <w:pPr>
        <w:pStyle w:val="LFLevel4"/>
        <w:ind w:left="0" w:firstLine="2160"/>
      </w:pPr>
      <w:r w:rsidRPr="00454670">
        <w:t>Maximize</w:t>
      </w:r>
      <w:r w:rsidR="00C64050">
        <w:t xml:space="preserve"> </w:t>
      </w:r>
      <w:r w:rsidRPr="00454670">
        <w:t>the</w:t>
      </w:r>
      <w:r w:rsidR="00C64050">
        <w:t xml:space="preserve"> </w:t>
      </w:r>
      <w:r w:rsidRPr="00454670">
        <w:t>value</w:t>
      </w:r>
      <w:r w:rsidR="00C64050">
        <w:t xml:space="preserve"> </w:t>
      </w:r>
      <w:r w:rsidRPr="00454670">
        <w:t>of</w:t>
      </w:r>
      <w:r w:rsidR="00C64050">
        <w:t xml:space="preserve"> </w:t>
      </w:r>
      <w:r w:rsidRPr="00454670">
        <w:t>certain</w:t>
      </w:r>
      <w:r w:rsidR="00C64050">
        <w:t xml:space="preserve"> </w:t>
      </w:r>
      <w:r w:rsidRPr="00454670">
        <w:t>assets</w:t>
      </w:r>
      <w:r w:rsidR="00C64050">
        <w:t xml:space="preserve"> </w:t>
      </w:r>
      <w:r w:rsidRPr="00454670">
        <w:t>because</w:t>
      </w:r>
      <w:r w:rsidR="00C64050">
        <w:t xml:space="preserve"> </w:t>
      </w:r>
      <w:r w:rsidRPr="00454670">
        <w:t>the</w:t>
      </w:r>
      <w:r w:rsidR="00C64050">
        <w:t xml:space="preserve"> </w:t>
      </w:r>
      <w:r w:rsidRPr="00454670">
        <w:t>step-up”</w:t>
      </w:r>
      <w:r w:rsidR="00C64050">
        <w:t xml:space="preserve"> </w:t>
      </w:r>
      <w:r w:rsidRPr="00454670">
        <w:t>in</w:t>
      </w:r>
      <w:r w:rsidR="00C64050">
        <w:t xml:space="preserve"> </w:t>
      </w:r>
      <w:r w:rsidRPr="00454670">
        <w:t>basis</w:t>
      </w:r>
      <w:r w:rsidR="00C64050">
        <w:t xml:space="preserve"> </w:t>
      </w:r>
      <w:r w:rsidRPr="00454670">
        <w:t>is</w:t>
      </w:r>
      <w:r w:rsidR="00C64050">
        <w:t xml:space="preserve"> </w:t>
      </w:r>
      <w:r w:rsidRPr="00454670">
        <w:t>based</w:t>
      </w:r>
      <w:r w:rsidR="00C64050">
        <w:t xml:space="preserve"> </w:t>
      </w:r>
      <w:r w:rsidRPr="00454670">
        <w:t>on</w:t>
      </w:r>
      <w:r w:rsidR="00C64050">
        <w:t xml:space="preserve"> </w:t>
      </w:r>
      <w:r w:rsidRPr="00454670">
        <w:t>fair</w:t>
      </w:r>
      <w:r w:rsidR="00C64050">
        <w:t xml:space="preserve"> </w:t>
      </w:r>
      <w:r w:rsidRPr="00454670">
        <w:t>market</w:t>
      </w:r>
      <w:r w:rsidR="00C64050">
        <w:t xml:space="preserve"> </w:t>
      </w:r>
      <w:r w:rsidRPr="00454670">
        <w:t>value</w:t>
      </w:r>
      <w:r w:rsidR="00C64050">
        <w:t xml:space="preserve"> </w:t>
      </w:r>
      <w:r w:rsidRPr="00454670">
        <w:t>(rather</w:t>
      </w:r>
      <w:r w:rsidR="00C64050">
        <w:t xml:space="preserve"> </w:t>
      </w:r>
      <w:r w:rsidRPr="00454670">
        <w:t>than</w:t>
      </w:r>
      <w:r w:rsidR="00C64050">
        <w:t xml:space="preserve"> </w:t>
      </w:r>
      <w:r w:rsidRPr="00454670">
        <w:t>trying</w:t>
      </w:r>
      <w:r w:rsidR="00C64050">
        <w:t xml:space="preserve"> </w:t>
      </w:r>
      <w:r w:rsidRPr="00454670">
        <w:t>to</w:t>
      </w:r>
      <w:r w:rsidR="00C64050">
        <w:t xml:space="preserve"> </w:t>
      </w:r>
      <w:r w:rsidRPr="00454670">
        <w:t>reduce</w:t>
      </w:r>
      <w:r w:rsidR="00C64050">
        <w:t xml:space="preserve"> </w:t>
      </w:r>
      <w:r w:rsidRPr="00454670">
        <w:t>the</w:t>
      </w:r>
      <w:r w:rsidR="00C64050">
        <w:t xml:space="preserve"> </w:t>
      </w:r>
      <w:r w:rsidRPr="00454670">
        <w:t>value</w:t>
      </w:r>
      <w:r w:rsidR="00C64050">
        <w:t xml:space="preserve"> </w:t>
      </w:r>
      <w:r w:rsidRPr="00454670">
        <w:t>for</w:t>
      </w:r>
      <w:r w:rsidR="00C64050">
        <w:t xml:space="preserve"> </w:t>
      </w:r>
      <w:r w:rsidRPr="00454670">
        <w:t>transfer</w:t>
      </w:r>
      <w:r w:rsidR="00C64050">
        <w:t xml:space="preserve"> </w:t>
      </w:r>
      <w:r w:rsidRPr="00454670">
        <w:t>tax</w:t>
      </w:r>
      <w:r w:rsidR="00C64050">
        <w:t xml:space="preserve"> </w:t>
      </w:r>
      <w:r w:rsidRPr="00454670">
        <w:t>purposes);</w:t>
      </w:r>
      <w:r w:rsidR="00C64050">
        <w:t xml:space="preserve"> </w:t>
      </w:r>
      <w:r w:rsidRPr="00454670">
        <w:t>and</w:t>
      </w:r>
    </w:p>
    <w:p w:rsidR="008059B8" w:rsidRPr="00454670" w:rsidRDefault="008059B8" w:rsidP="003E38A9">
      <w:pPr>
        <w:pStyle w:val="LFLevel4"/>
        <w:ind w:left="0" w:firstLine="2160"/>
      </w:pPr>
      <w:r w:rsidRPr="00454670">
        <w:t>Intentionally</w:t>
      </w:r>
      <w:r w:rsidR="00C64050">
        <w:t xml:space="preserve"> </w:t>
      </w:r>
      <w:r w:rsidRPr="00454670">
        <w:t>create</w:t>
      </w:r>
      <w:r w:rsidR="00C64050">
        <w:t xml:space="preserve"> </w:t>
      </w:r>
      <w:r w:rsidRPr="00454670">
        <w:t>estate</w:t>
      </w:r>
      <w:r w:rsidR="00C64050">
        <w:t xml:space="preserve"> </w:t>
      </w:r>
      <w:r w:rsidRPr="00454670">
        <w:t>tax</w:t>
      </w:r>
      <w:r w:rsidR="00C64050">
        <w:t xml:space="preserve"> </w:t>
      </w:r>
      <w:r w:rsidRPr="00454670">
        <w:t>inclusion,</w:t>
      </w:r>
      <w:r w:rsidR="00C64050">
        <w:t xml:space="preserve"> </w:t>
      </w:r>
      <w:r w:rsidRPr="00454670">
        <w:t>especially</w:t>
      </w:r>
      <w:r w:rsidR="00C64050">
        <w:t xml:space="preserve"> </w:t>
      </w:r>
      <w:r w:rsidRPr="00454670">
        <w:t>if</w:t>
      </w:r>
      <w:r w:rsidR="00C64050">
        <w:t xml:space="preserve"> </w:t>
      </w:r>
      <w:r w:rsidRPr="00454670">
        <w:t>the</w:t>
      </w:r>
      <w:r w:rsidR="00C64050">
        <w:t xml:space="preserve"> </w:t>
      </w:r>
      <w:r w:rsidRPr="00454670">
        <w:t>decedent</w:t>
      </w:r>
      <w:r w:rsidR="00C64050">
        <w:t xml:space="preserve"> </w:t>
      </w:r>
      <w:r w:rsidRPr="00454670">
        <w:t>lives</w:t>
      </w:r>
      <w:r w:rsidR="00C64050">
        <w:t xml:space="preserve"> </w:t>
      </w:r>
      <w:r w:rsidRPr="00454670">
        <w:t>in</w:t>
      </w:r>
      <w:r w:rsidR="00C64050">
        <w:t xml:space="preserve"> </w:t>
      </w:r>
      <w:r w:rsidRPr="00454670">
        <w:t>a</w:t>
      </w:r>
      <w:r w:rsidR="00C64050">
        <w:t xml:space="preserve"> </w:t>
      </w:r>
      <w:r w:rsidRPr="00454670">
        <w:t>state</w:t>
      </w:r>
      <w:r w:rsidR="00C64050">
        <w:t xml:space="preserve"> </w:t>
      </w:r>
      <w:r w:rsidRPr="00454670">
        <w:t>with</w:t>
      </w:r>
      <w:r w:rsidR="00C64050">
        <w:t xml:space="preserve"> </w:t>
      </w:r>
      <w:r w:rsidRPr="00454670">
        <w:t>no</w:t>
      </w:r>
      <w:r w:rsidR="00C64050">
        <w:t xml:space="preserve"> </w:t>
      </w:r>
      <w:r w:rsidRPr="00454670">
        <w:t>state</w:t>
      </w:r>
      <w:r w:rsidR="00C64050">
        <w:t xml:space="preserve"> </w:t>
      </w:r>
      <w:r w:rsidRPr="00454670">
        <w:t>death</w:t>
      </w:r>
      <w:r w:rsidR="00C64050">
        <w:t xml:space="preserve"> </w:t>
      </w:r>
      <w:r w:rsidRPr="00454670">
        <w:t>tax</w:t>
      </w:r>
      <w:r w:rsidR="00C64050">
        <w:t xml:space="preserve"> </w:t>
      </w:r>
      <w:r w:rsidRPr="00454670">
        <w:t>and</w:t>
      </w:r>
      <w:r w:rsidR="00C64050">
        <w:t xml:space="preserve"> </w:t>
      </w:r>
      <w:r w:rsidRPr="00454670">
        <w:t>if</w:t>
      </w:r>
      <w:r w:rsidR="00C64050">
        <w:t xml:space="preserve"> </w:t>
      </w:r>
      <w:r w:rsidRPr="00454670">
        <w:t>the</w:t>
      </w:r>
      <w:r w:rsidR="00C64050">
        <w:t xml:space="preserve"> </w:t>
      </w:r>
      <w:r w:rsidRPr="00454670">
        <w:t>decedent</w:t>
      </w:r>
      <w:r w:rsidR="00C64050">
        <w:t xml:space="preserve"> </w:t>
      </w:r>
      <w:r w:rsidRPr="00454670">
        <w:t>has</w:t>
      </w:r>
      <w:r w:rsidR="00C64050">
        <w:t xml:space="preserve"> </w:t>
      </w:r>
      <w:r w:rsidRPr="00454670">
        <w:t>significant</w:t>
      </w:r>
      <w:r w:rsidR="00C64050">
        <w:t xml:space="preserve"> </w:t>
      </w:r>
      <w:r w:rsidRPr="00454670">
        <w:t>unused</w:t>
      </w:r>
      <w:r w:rsidR="00C64050">
        <w:t xml:space="preserve"> </w:t>
      </w:r>
      <w:r w:rsidRPr="00454670">
        <w:t>Available</w:t>
      </w:r>
      <w:r w:rsidR="00C64050">
        <w:t xml:space="preserve"> </w:t>
      </w:r>
      <w:r w:rsidRPr="00454670">
        <w:t>Exclusion</w:t>
      </w:r>
      <w:r w:rsidR="00C64050">
        <w:t xml:space="preserve"> </w:t>
      </w:r>
      <w:r w:rsidRPr="00454670">
        <w:t>Amount</w:t>
      </w:r>
      <w:r w:rsidR="00C64050">
        <w:t xml:space="preserve"> </w:t>
      </w:r>
      <w:r w:rsidRPr="00454670">
        <w:t>above</w:t>
      </w:r>
      <w:r w:rsidR="00C64050">
        <w:t xml:space="preserve"> </w:t>
      </w:r>
      <w:r w:rsidRPr="00454670">
        <w:t>his</w:t>
      </w:r>
      <w:r w:rsidR="00C64050">
        <w:t xml:space="preserve"> </w:t>
      </w:r>
      <w:r w:rsidRPr="00454670">
        <w:t>or</w:t>
      </w:r>
      <w:r w:rsidR="00C64050">
        <w:t xml:space="preserve"> </w:t>
      </w:r>
      <w:r w:rsidRPr="00454670">
        <w:t>her</w:t>
      </w:r>
      <w:r w:rsidR="00C64050">
        <w:t xml:space="preserve"> </w:t>
      </w:r>
      <w:r w:rsidRPr="00454670">
        <w:t>assets.</w:t>
      </w:r>
    </w:p>
    <w:p w:rsidR="008059B8" w:rsidRPr="00D70884" w:rsidRDefault="008059B8" w:rsidP="00456BDE">
      <w:pPr>
        <w:pStyle w:val="LFLevel2"/>
        <w:rPr>
          <w:b/>
          <w:u w:val="single"/>
        </w:rPr>
      </w:pPr>
      <w:bookmarkStart w:id="68" w:name="_Toc376946733"/>
      <w:bookmarkStart w:id="69" w:name="_Toc376948373"/>
      <w:bookmarkStart w:id="70" w:name="_Toc376949167"/>
      <w:bookmarkStart w:id="71" w:name="_Toc94704609"/>
      <w:r w:rsidRPr="00D70884">
        <w:rPr>
          <w:b/>
          <w:u w:val="single"/>
        </w:rPr>
        <w:t>Swapping</w:t>
      </w:r>
      <w:r w:rsidR="00C64050">
        <w:rPr>
          <w:b/>
          <w:u w:val="single"/>
        </w:rPr>
        <w:t xml:space="preserve"> </w:t>
      </w:r>
      <w:r w:rsidRPr="00D70884">
        <w:rPr>
          <w:b/>
          <w:u w:val="single"/>
        </w:rPr>
        <w:t>Assets</w:t>
      </w:r>
      <w:r w:rsidR="00C64050">
        <w:rPr>
          <w:b/>
          <w:u w:val="single"/>
        </w:rPr>
        <w:t xml:space="preserve"> </w:t>
      </w:r>
      <w:r w:rsidRPr="00D70884">
        <w:rPr>
          <w:b/>
          <w:u w:val="single"/>
        </w:rPr>
        <w:t>with</w:t>
      </w:r>
      <w:r w:rsidR="00C64050">
        <w:rPr>
          <w:b/>
          <w:u w:val="single"/>
        </w:rPr>
        <w:t xml:space="preserve"> </w:t>
      </w:r>
      <w:r w:rsidRPr="00D70884">
        <w:rPr>
          <w:b/>
          <w:u w:val="single"/>
        </w:rPr>
        <w:t>Existing</w:t>
      </w:r>
      <w:r w:rsidR="00C64050">
        <w:rPr>
          <w:b/>
          <w:u w:val="single"/>
        </w:rPr>
        <w:t xml:space="preserve"> </w:t>
      </w:r>
      <w:bookmarkEnd w:id="68"/>
      <w:bookmarkEnd w:id="69"/>
      <w:bookmarkEnd w:id="70"/>
      <w:r w:rsidR="00802D80" w:rsidRPr="00D70884">
        <w:rPr>
          <w:b/>
          <w:u w:val="single"/>
        </w:rPr>
        <w:t>Grantor</w:t>
      </w:r>
      <w:r w:rsidR="00C64050">
        <w:rPr>
          <w:b/>
          <w:u w:val="single"/>
        </w:rPr>
        <w:t xml:space="preserve"> </w:t>
      </w:r>
      <w:r w:rsidR="00802D80" w:rsidRPr="00D70884">
        <w:rPr>
          <w:b/>
          <w:u w:val="single"/>
        </w:rPr>
        <w:t>Trusts</w:t>
      </w:r>
      <w:bookmarkEnd w:id="71"/>
    </w:p>
    <w:p w:rsidR="008059B8" w:rsidRPr="00454670" w:rsidRDefault="0034507F" w:rsidP="00120A9D">
      <w:pPr>
        <w:pStyle w:val="LFLevel3"/>
        <w:ind w:left="0" w:firstLine="1440"/>
      </w:pPr>
      <w:r>
        <w:t>M</w:t>
      </w:r>
      <w:r w:rsidR="008059B8" w:rsidRPr="00454670">
        <w:t>any</w:t>
      </w:r>
      <w:r w:rsidR="00C64050">
        <w:t xml:space="preserve"> </w:t>
      </w:r>
      <w:r w:rsidR="008059B8" w:rsidRPr="00454670">
        <w:t>individuals</w:t>
      </w:r>
      <w:r w:rsidR="00C64050">
        <w:t xml:space="preserve"> </w:t>
      </w:r>
      <w:r>
        <w:t>have</w:t>
      </w:r>
      <w:r w:rsidR="00C64050">
        <w:t xml:space="preserve"> </w:t>
      </w:r>
      <w:r w:rsidR="008059B8" w:rsidRPr="00454670">
        <w:t>made</w:t>
      </w:r>
      <w:r w:rsidR="00C64050">
        <w:t xml:space="preserve"> </w:t>
      </w:r>
      <w:r w:rsidR="008059B8" w:rsidRPr="00454670">
        <w:t>significant</w:t>
      </w:r>
      <w:r w:rsidR="00C64050">
        <w:t xml:space="preserve"> </w:t>
      </w:r>
      <w:r w:rsidR="008059B8" w:rsidRPr="00454670">
        <w:t>taxable</w:t>
      </w:r>
      <w:r w:rsidR="00C64050">
        <w:t xml:space="preserve"> </w:t>
      </w:r>
      <w:r w:rsidR="008059B8" w:rsidRPr="00454670">
        <w:t>gifts,</w:t>
      </w:r>
      <w:r w:rsidR="00C64050">
        <w:t xml:space="preserve"> </w:t>
      </w:r>
      <w:r w:rsidR="008059B8" w:rsidRPr="00454670">
        <w:t>using</w:t>
      </w:r>
      <w:r w:rsidR="00C64050">
        <w:t xml:space="preserve"> </w:t>
      </w:r>
      <w:r w:rsidR="008059B8" w:rsidRPr="00454670">
        <w:t>all</w:t>
      </w:r>
      <w:r w:rsidR="00C64050">
        <w:t xml:space="preserve"> </w:t>
      </w:r>
      <w:r w:rsidR="008059B8" w:rsidRPr="00454670">
        <w:t>or</w:t>
      </w:r>
      <w:r w:rsidR="00C64050">
        <w:t xml:space="preserve"> </w:t>
      </w:r>
      <w:r w:rsidR="008059B8" w:rsidRPr="00454670">
        <w:t>a</w:t>
      </w:r>
      <w:r w:rsidR="00C64050">
        <w:t xml:space="preserve"> </w:t>
      </w:r>
      <w:r w:rsidR="008059B8" w:rsidRPr="00454670">
        <w:t>significant</w:t>
      </w:r>
      <w:r w:rsidR="00C64050">
        <w:t xml:space="preserve"> </w:t>
      </w:r>
      <w:r w:rsidR="008059B8" w:rsidRPr="00454670">
        <w:t>portion</w:t>
      </w:r>
      <w:r w:rsidR="00C64050">
        <w:t xml:space="preserve"> </w:t>
      </w:r>
      <w:r w:rsidR="008059B8" w:rsidRPr="00454670">
        <w:t>of</w:t>
      </w:r>
      <w:r w:rsidR="00C64050">
        <w:t xml:space="preserve"> </w:t>
      </w:r>
      <w:r w:rsidR="008059B8" w:rsidRPr="00454670">
        <w:t>their</w:t>
      </w:r>
      <w:r w:rsidR="00C64050">
        <w:t xml:space="preserve"> </w:t>
      </w:r>
      <w:r w:rsidR="008059B8" w:rsidRPr="00454670">
        <w:t>Available</w:t>
      </w:r>
      <w:r w:rsidR="00C64050">
        <w:t xml:space="preserve"> </w:t>
      </w:r>
      <w:r w:rsidR="008059B8" w:rsidRPr="00454670">
        <w:t>Exclusion</w:t>
      </w:r>
      <w:r w:rsidR="00C64050">
        <w:t xml:space="preserve"> </w:t>
      </w:r>
      <w:r w:rsidR="008059B8" w:rsidRPr="00454670">
        <w:t>Amounts.</w:t>
      </w:r>
      <w:r w:rsidR="00C64050">
        <w:t xml:space="preserve">  </w:t>
      </w:r>
      <w:r w:rsidR="008059B8" w:rsidRPr="00454670">
        <w:t>Many</w:t>
      </w:r>
      <w:r w:rsidR="00C64050">
        <w:t xml:space="preserve"> </w:t>
      </w:r>
      <w:r w:rsidR="008059B8" w:rsidRPr="00454670">
        <w:t>of</w:t>
      </w:r>
      <w:r w:rsidR="00C64050">
        <w:t xml:space="preserve"> </w:t>
      </w:r>
      <w:r w:rsidR="008059B8" w:rsidRPr="00454670">
        <w:t>those</w:t>
      </w:r>
      <w:r w:rsidR="00C64050">
        <w:t xml:space="preserve"> </w:t>
      </w:r>
      <w:r w:rsidR="008059B8" w:rsidRPr="00454670">
        <w:t>gifts</w:t>
      </w:r>
      <w:r w:rsidR="00C64050">
        <w:t xml:space="preserve"> </w:t>
      </w:r>
      <w:r w:rsidR="008059B8" w:rsidRPr="00454670">
        <w:t>were</w:t>
      </w:r>
      <w:r w:rsidR="00C64050">
        <w:t xml:space="preserve"> </w:t>
      </w:r>
      <w:r w:rsidR="008059B8" w:rsidRPr="00454670">
        <w:t>made</w:t>
      </w:r>
      <w:r w:rsidR="00C64050">
        <w:t xml:space="preserve"> </w:t>
      </w:r>
      <w:r w:rsidR="008059B8" w:rsidRPr="00454670">
        <w:t>to</w:t>
      </w:r>
      <w:r w:rsidR="00C64050">
        <w:t xml:space="preserve"> </w:t>
      </w:r>
      <w:r w:rsidR="008059B8" w:rsidRPr="00454670">
        <w:t>grantor</w:t>
      </w:r>
      <w:r w:rsidR="00C64050">
        <w:t xml:space="preserve"> </w:t>
      </w:r>
      <w:r w:rsidR="008059B8" w:rsidRPr="00454670">
        <w:t>trusts.</w:t>
      </w:r>
    </w:p>
    <w:p w:rsidR="008059B8" w:rsidRPr="00454670" w:rsidRDefault="008059B8" w:rsidP="00120A9D">
      <w:pPr>
        <w:pStyle w:val="LFLevel3"/>
        <w:ind w:left="0" w:firstLine="1440"/>
      </w:pPr>
      <w:r w:rsidRPr="00454670">
        <w:t>A</w:t>
      </w:r>
      <w:r w:rsidR="00C64050">
        <w:t xml:space="preserve"> </w:t>
      </w:r>
      <w:r w:rsidRPr="00454670">
        <w:t>common</w:t>
      </w:r>
      <w:r w:rsidR="00C64050">
        <w:t xml:space="preserve"> </w:t>
      </w:r>
      <w:r w:rsidRPr="00454670">
        <w:t>power</w:t>
      </w:r>
      <w:r w:rsidR="00C64050">
        <w:t xml:space="preserve"> </w:t>
      </w:r>
      <w:r w:rsidRPr="00454670">
        <w:t>used</w:t>
      </w:r>
      <w:r w:rsidR="00C64050">
        <w:t xml:space="preserve"> </w:t>
      </w:r>
      <w:r w:rsidRPr="00454670">
        <w:t>to</w:t>
      </w:r>
      <w:r w:rsidR="00C64050">
        <w:t xml:space="preserve"> </w:t>
      </w:r>
      <w:r w:rsidRPr="00454670">
        <w:t>achieve</w:t>
      </w:r>
      <w:r w:rsidR="00C64050">
        <w:t xml:space="preserve"> </w:t>
      </w:r>
      <w:r w:rsidRPr="00454670">
        <w:t>grantor</w:t>
      </w:r>
      <w:r w:rsidR="00C64050">
        <w:t xml:space="preserve"> </w:t>
      </w:r>
      <w:r w:rsidRPr="00454670">
        <w:t>trust</w:t>
      </w:r>
      <w:r w:rsidR="00C64050">
        <w:t xml:space="preserve"> </w:t>
      </w:r>
      <w:r w:rsidRPr="00454670">
        <w:t>status</w:t>
      </w:r>
      <w:r w:rsidR="00C64050">
        <w:t xml:space="preserve"> </w:t>
      </w:r>
      <w:r w:rsidRPr="00454670">
        <w:t>for</w:t>
      </w:r>
      <w:r w:rsidR="00C64050">
        <w:t xml:space="preserve"> </w:t>
      </w:r>
      <w:r w:rsidRPr="00454670">
        <w:t>the</w:t>
      </w:r>
      <w:r w:rsidR="00C64050">
        <w:t xml:space="preserve"> </w:t>
      </w:r>
      <w:r w:rsidR="007F5207">
        <w:t>grantor</w:t>
      </w:r>
      <w:r w:rsidR="00C64050">
        <w:t xml:space="preserve"> </w:t>
      </w:r>
      <w:r w:rsidR="007F5207">
        <w:t>trust</w:t>
      </w:r>
      <w:r w:rsidR="00C64050">
        <w:t xml:space="preserve"> </w:t>
      </w:r>
      <w:r w:rsidRPr="00454670">
        <w:t>is</w:t>
      </w:r>
      <w:r w:rsidR="00C64050">
        <w:t xml:space="preserve"> </w:t>
      </w:r>
      <w:r w:rsidRPr="00454670">
        <w:t>one</w:t>
      </w:r>
      <w:r w:rsidR="00C64050">
        <w:t xml:space="preserve"> </w:t>
      </w:r>
      <w:r w:rsidRPr="00454670">
        <w:t>described</w:t>
      </w:r>
      <w:r w:rsidR="00C64050">
        <w:t xml:space="preserve"> </w:t>
      </w:r>
      <w:r w:rsidRPr="00454670">
        <w:t>under</w:t>
      </w:r>
      <w:r w:rsidR="00C64050">
        <w:t xml:space="preserve"> </w:t>
      </w:r>
      <w:r w:rsidRPr="00454670">
        <w:t>section</w:t>
      </w:r>
      <w:r w:rsidR="00C64050">
        <w:t xml:space="preserve"> </w:t>
      </w:r>
      <w:r w:rsidRPr="00454670">
        <w:t>675(4)(C),</w:t>
      </w:r>
      <w:r w:rsidR="00C64050">
        <w:t xml:space="preserve"> </w:t>
      </w:r>
      <w:r w:rsidRPr="00454670">
        <w:t>namely</w:t>
      </w:r>
      <w:r w:rsidR="00C64050">
        <w:t xml:space="preserve"> </w:t>
      </w:r>
      <w:r w:rsidRPr="00454670">
        <w:t>giving</w:t>
      </w:r>
      <w:r w:rsidR="00C64050">
        <w:t xml:space="preserve"> </w:t>
      </w:r>
      <w:r w:rsidRPr="00454670">
        <w:t>the</w:t>
      </w:r>
      <w:r w:rsidR="00C64050">
        <w:t xml:space="preserve"> </w:t>
      </w:r>
      <w:r w:rsidRPr="00454670">
        <w:t>grantor,</w:t>
      </w:r>
      <w:r w:rsidR="00C64050">
        <w:t xml:space="preserve"> </w:t>
      </w:r>
      <w:r w:rsidRPr="00454670">
        <w:t>the</w:t>
      </w:r>
      <w:r w:rsidR="00C64050">
        <w:t xml:space="preserve"> </w:t>
      </w:r>
      <w:r w:rsidRPr="00454670">
        <w:t>power,</w:t>
      </w:r>
      <w:r w:rsidR="00C64050">
        <w:t xml:space="preserve"> </w:t>
      </w:r>
      <w:r w:rsidRPr="00454670">
        <w:t>in</w:t>
      </w:r>
      <w:r w:rsidR="00C64050">
        <w:t xml:space="preserve"> </w:t>
      </w:r>
      <w:r w:rsidRPr="00454670">
        <w:t>a</w:t>
      </w:r>
      <w:r w:rsidR="00C64050">
        <w:t xml:space="preserve"> </w:t>
      </w:r>
      <w:r w:rsidRPr="00454670">
        <w:t>non-fiduciary</w:t>
      </w:r>
      <w:r w:rsidR="00C64050">
        <w:t xml:space="preserve"> </w:t>
      </w:r>
      <w:r w:rsidRPr="00454670">
        <w:t>capacity,</w:t>
      </w:r>
      <w:r w:rsidR="00C64050">
        <w:t xml:space="preserve"> </w:t>
      </w:r>
      <w:r w:rsidRPr="00454670">
        <w:t>to</w:t>
      </w:r>
      <w:r w:rsidR="00C64050">
        <w:t xml:space="preserve"> </w:t>
      </w:r>
      <w:r w:rsidRPr="00454670">
        <w:t>reacquire</w:t>
      </w:r>
      <w:r w:rsidR="00C64050">
        <w:t xml:space="preserve"> </w:t>
      </w:r>
      <w:r w:rsidRPr="00454670">
        <w:t>the</w:t>
      </w:r>
      <w:r w:rsidR="00C64050">
        <w:t xml:space="preserve"> </w:t>
      </w:r>
      <w:r w:rsidRPr="00454670">
        <w:t>trust</w:t>
      </w:r>
      <w:r w:rsidR="00C64050">
        <w:t xml:space="preserve"> </w:t>
      </w:r>
      <w:r w:rsidRPr="00454670">
        <w:t>corpus</w:t>
      </w:r>
      <w:r w:rsidR="00C64050">
        <w:t xml:space="preserve"> </w:t>
      </w:r>
      <w:r w:rsidRPr="00454670">
        <w:t>by</w:t>
      </w:r>
      <w:r w:rsidR="00C64050">
        <w:t xml:space="preserve"> </w:t>
      </w:r>
      <w:r w:rsidRPr="00454670">
        <w:t>substituting</w:t>
      </w:r>
      <w:r w:rsidR="00C64050">
        <w:t xml:space="preserve"> </w:t>
      </w:r>
      <w:r w:rsidRPr="00454670">
        <w:t>other</w:t>
      </w:r>
      <w:r w:rsidR="00C64050">
        <w:t xml:space="preserve"> </w:t>
      </w:r>
      <w:r w:rsidRPr="00454670">
        <w:t>property</w:t>
      </w:r>
      <w:r w:rsidR="00C64050">
        <w:t xml:space="preserve"> </w:t>
      </w:r>
      <w:r w:rsidRPr="00454670">
        <w:t>of</w:t>
      </w:r>
      <w:r w:rsidR="00C64050">
        <w:t xml:space="preserve"> </w:t>
      </w:r>
      <w:r w:rsidRPr="00454670">
        <w:t>an</w:t>
      </w:r>
      <w:r w:rsidR="00C64050">
        <w:t xml:space="preserve"> </w:t>
      </w:r>
      <w:r w:rsidRPr="00454670">
        <w:t>equivalent</w:t>
      </w:r>
      <w:r w:rsidR="00C64050">
        <w:t xml:space="preserve"> </w:t>
      </w:r>
      <w:r w:rsidRPr="00454670">
        <w:t>value.</w:t>
      </w:r>
      <w:r w:rsidR="00C64050">
        <w:t xml:space="preserve">  </w:t>
      </w:r>
      <w:r w:rsidRPr="00454670">
        <w:t>For</w:t>
      </w:r>
      <w:r w:rsidR="00C64050">
        <w:t xml:space="preserve"> </w:t>
      </w:r>
      <w:r w:rsidRPr="00454670">
        <w:t>income</w:t>
      </w:r>
      <w:r w:rsidR="00C64050">
        <w:t xml:space="preserve"> </w:t>
      </w:r>
      <w:r w:rsidRPr="00454670">
        <w:t>tax</w:t>
      </w:r>
      <w:r w:rsidR="00C64050">
        <w:t xml:space="preserve"> </w:t>
      </w:r>
      <w:r w:rsidRPr="00454670">
        <w:t>purposes,</w:t>
      </w:r>
      <w:r w:rsidR="00C64050">
        <w:t xml:space="preserve"> </w:t>
      </w:r>
      <w:r w:rsidRPr="00454670">
        <w:t>transacti</w:t>
      </w:r>
      <w:r w:rsidR="00802D80">
        <w:t>ons</w:t>
      </w:r>
      <w:r w:rsidR="00C64050">
        <w:t xml:space="preserve"> </w:t>
      </w:r>
      <w:r w:rsidR="00802D80">
        <w:t>between</w:t>
      </w:r>
      <w:r w:rsidR="00C64050">
        <w:t xml:space="preserve"> </w:t>
      </w:r>
      <w:r w:rsidR="00802D80">
        <w:t>the</w:t>
      </w:r>
      <w:r w:rsidR="00C64050">
        <w:t xml:space="preserve"> </w:t>
      </w:r>
      <w:r w:rsidR="00802D80">
        <w:t>grantor</w:t>
      </w:r>
      <w:r w:rsidR="00C64050">
        <w:t xml:space="preserve"> </w:t>
      </w:r>
      <w:r w:rsidR="00802D80">
        <w:t>and</w:t>
      </w:r>
      <w:r w:rsidR="00C64050">
        <w:t xml:space="preserve"> </w:t>
      </w:r>
      <w:r w:rsidR="00802D80">
        <w:t>the</w:t>
      </w:r>
      <w:r w:rsidR="00C64050">
        <w:t xml:space="preserve"> </w:t>
      </w:r>
      <w:r w:rsidR="00802D80">
        <w:t>grantor</w:t>
      </w:r>
      <w:r w:rsidR="00C64050">
        <w:t xml:space="preserve"> </w:t>
      </w:r>
      <w:r w:rsidR="00802D80">
        <w:t>trust</w:t>
      </w:r>
      <w:r w:rsidR="00C64050">
        <w:t xml:space="preserve"> </w:t>
      </w:r>
      <w:r w:rsidRPr="00454670">
        <w:t>will</w:t>
      </w:r>
      <w:r w:rsidR="00C64050">
        <w:t xml:space="preserve"> </w:t>
      </w:r>
      <w:r w:rsidRPr="00454670">
        <w:t>be</w:t>
      </w:r>
      <w:r w:rsidR="00C64050">
        <w:t xml:space="preserve"> </w:t>
      </w:r>
      <w:r w:rsidRPr="00454670">
        <w:t>disregarded</w:t>
      </w:r>
      <w:r w:rsidR="000B0242">
        <w:t>, at least as of now</w:t>
      </w:r>
      <w:r w:rsidRPr="00454670">
        <w:t>.</w:t>
      </w:r>
      <w:r w:rsidR="00C64050">
        <w:t xml:space="preserve">  </w:t>
      </w:r>
      <w:r w:rsidRPr="00454670">
        <w:t>As</w:t>
      </w:r>
      <w:r w:rsidR="00C64050">
        <w:t xml:space="preserve"> </w:t>
      </w:r>
      <w:r w:rsidRPr="00454670">
        <w:t>such,</w:t>
      </w:r>
      <w:r w:rsidR="00C64050">
        <w:t xml:space="preserve"> </w:t>
      </w:r>
      <w:r w:rsidRPr="00454670">
        <w:t>grantors</w:t>
      </w:r>
      <w:r w:rsidR="00C64050">
        <w:t xml:space="preserve"> </w:t>
      </w:r>
      <w:r w:rsidRPr="00454670">
        <w:t>may</w:t>
      </w:r>
      <w:r w:rsidR="00C64050">
        <w:t xml:space="preserve"> </w:t>
      </w:r>
      <w:r w:rsidRPr="00454670">
        <w:t>exercise</w:t>
      </w:r>
      <w:r w:rsidR="00C64050">
        <w:t xml:space="preserve"> </w:t>
      </w:r>
      <w:r w:rsidRPr="00454670">
        <w:t>the</w:t>
      </w:r>
      <w:r w:rsidR="00C64050">
        <w:t xml:space="preserve"> </w:t>
      </w:r>
      <w:r w:rsidRPr="00454670">
        <w:t>power</w:t>
      </w:r>
      <w:r w:rsidR="00C64050">
        <w:t xml:space="preserve"> </w:t>
      </w:r>
      <w:r w:rsidRPr="00454670">
        <w:t>to</w:t>
      </w:r>
      <w:r w:rsidR="00C64050">
        <w:t xml:space="preserve"> </w:t>
      </w:r>
      <w:r w:rsidRPr="00454670">
        <w:t>swap</w:t>
      </w:r>
      <w:r w:rsidR="00C64050">
        <w:t xml:space="preserve"> </w:t>
      </w:r>
      <w:r w:rsidRPr="00454670">
        <w:t>high</w:t>
      </w:r>
      <w:r w:rsidR="00C64050">
        <w:t xml:space="preserve"> </w:t>
      </w:r>
      <w:r w:rsidRPr="00454670">
        <w:t>basis</w:t>
      </w:r>
      <w:r w:rsidR="00C64050">
        <w:t xml:space="preserve"> </w:t>
      </w:r>
      <w:r w:rsidRPr="00454670">
        <w:t>assets</w:t>
      </w:r>
      <w:r w:rsidR="00C64050">
        <w:t xml:space="preserve"> </w:t>
      </w:r>
      <w:r w:rsidRPr="00454670">
        <w:t>for</w:t>
      </w:r>
      <w:r w:rsidR="00C64050">
        <w:t xml:space="preserve"> </w:t>
      </w:r>
      <w:r w:rsidRPr="00454670">
        <w:t>low</w:t>
      </w:r>
      <w:r w:rsidR="00C64050">
        <w:t xml:space="preserve"> </w:t>
      </w:r>
      <w:r w:rsidRPr="00454670">
        <w:t>basis</w:t>
      </w:r>
      <w:r w:rsidR="00C64050">
        <w:t xml:space="preserve"> </w:t>
      </w:r>
      <w:r w:rsidRPr="00454670">
        <w:t>assets</w:t>
      </w:r>
      <w:r w:rsidR="00C64050">
        <w:t xml:space="preserve"> </w:t>
      </w:r>
      <w:r w:rsidRPr="00454670">
        <w:t>without</w:t>
      </w:r>
      <w:r w:rsidR="00C64050">
        <w:t xml:space="preserve"> </w:t>
      </w:r>
      <w:r w:rsidRPr="00454670">
        <w:t>jeopardizing</w:t>
      </w:r>
      <w:r w:rsidR="00C64050">
        <w:t xml:space="preserve"> </w:t>
      </w:r>
      <w:r w:rsidRPr="00454670">
        <w:t>the</w:t>
      </w:r>
      <w:r w:rsidR="00C64050">
        <w:t xml:space="preserve"> </w:t>
      </w:r>
      <w:r w:rsidRPr="00454670">
        <w:t>estate</w:t>
      </w:r>
      <w:r w:rsidR="00C64050">
        <w:t xml:space="preserve"> </w:t>
      </w:r>
      <w:r w:rsidRPr="00454670">
        <w:t>tax</w:t>
      </w:r>
      <w:r w:rsidR="00C64050">
        <w:t xml:space="preserve"> </w:t>
      </w:r>
      <w:r w:rsidRPr="00454670">
        <w:t>includibility</w:t>
      </w:r>
      <w:r w:rsidR="00C64050">
        <w:t xml:space="preserve"> </w:t>
      </w:r>
      <w:r w:rsidRPr="00454670">
        <w:t>of</w:t>
      </w:r>
      <w:r w:rsidR="00C64050">
        <w:t xml:space="preserve"> </w:t>
      </w:r>
      <w:r w:rsidRPr="00454670">
        <w:t>the</w:t>
      </w:r>
      <w:r w:rsidR="00C64050">
        <w:t xml:space="preserve"> </w:t>
      </w:r>
      <w:r w:rsidRPr="00454670">
        <w:t>assets</w:t>
      </w:r>
      <w:r w:rsidR="00C64050">
        <w:t xml:space="preserve"> </w:t>
      </w:r>
      <w:r w:rsidRPr="00454670">
        <w:t>and</w:t>
      </w:r>
      <w:r w:rsidR="00C64050">
        <w:t xml:space="preserve"> </w:t>
      </w:r>
      <w:r w:rsidRPr="00454670">
        <w:t>without</w:t>
      </w:r>
      <w:r w:rsidR="00C64050">
        <w:t xml:space="preserve"> </w:t>
      </w:r>
      <w:r w:rsidRPr="00454670">
        <w:t>having</w:t>
      </w:r>
      <w:r w:rsidR="00C64050">
        <w:t xml:space="preserve"> </w:t>
      </w:r>
      <w:r w:rsidRPr="00454670">
        <w:t>a</w:t>
      </w:r>
      <w:r w:rsidR="00C64050">
        <w:t xml:space="preserve"> </w:t>
      </w:r>
      <w:r w:rsidRPr="00454670">
        <w:t>taxable</w:t>
      </w:r>
      <w:r w:rsidR="00C64050">
        <w:t xml:space="preserve"> </w:t>
      </w:r>
      <w:r w:rsidRPr="00454670">
        <w:t>transaction</w:t>
      </w:r>
      <w:r w:rsidR="00C64050">
        <w:t xml:space="preserve"> </w:t>
      </w:r>
      <w:r w:rsidRPr="00454670">
        <w:t>for</w:t>
      </w:r>
      <w:r w:rsidR="00C64050">
        <w:t xml:space="preserve"> </w:t>
      </w:r>
      <w:r w:rsidRPr="00454670">
        <w:t>income</w:t>
      </w:r>
      <w:r w:rsidR="00C64050">
        <w:t xml:space="preserve"> </w:t>
      </w:r>
      <w:r w:rsidRPr="00454670">
        <w:t>tax</w:t>
      </w:r>
      <w:r w:rsidR="00C64050">
        <w:t xml:space="preserve"> </w:t>
      </w:r>
      <w:r w:rsidRPr="00454670">
        <w:t>purposes.</w:t>
      </w:r>
    </w:p>
    <w:p w:rsidR="008059B8" w:rsidRPr="00454670" w:rsidRDefault="008059B8" w:rsidP="00120A9D">
      <w:pPr>
        <w:pStyle w:val="LFLevel3"/>
        <w:ind w:left="0" w:firstLine="1440"/>
      </w:pPr>
      <w:r w:rsidRPr="00454670">
        <w:t>To</w:t>
      </w:r>
      <w:r w:rsidR="00C64050">
        <w:t xml:space="preserve"> </w:t>
      </w:r>
      <w:r w:rsidRPr="00454670">
        <w:t>maximize</w:t>
      </w:r>
      <w:r w:rsidR="00C64050">
        <w:t xml:space="preserve"> </w:t>
      </w:r>
      <w:r w:rsidRPr="00454670">
        <w:t>the</w:t>
      </w:r>
      <w:r w:rsidR="00C64050">
        <w:t xml:space="preserve"> </w:t>
      </w:r>
      <w:r w:rsidRPr="00454670">
        <w:t>benefits</w:t>
      </w:r>
      <w:r w:rsidR="00C64050">
        <w:t xml:space="preserve"> </w:t>
      </w:r>
      <w:r w:rsidRPr="00454670">
        <w:t>of</w:t>
      </w:r>
      <w:r w:rsidR="00C64050">
        <w:t xml:space="preserve"> </w:t>
      </w:r>
      <w:r w:rsidRPr="00454670">
        <w:t>the</w:t>
      </w:r>
      <w:r w:rsidR="00C64050">
        <w:t xml:space="preserve"> </w:t>
      </w:r>
      <w:r w:rsidRPr="00454670">
        <w:t>swap</w:t>
      </w:r>
      <w:r w:rsidR="00C64050">
        <w:t xml:space="preserve"> </w:t>
      </w:r>
      <w:r w:rsidRPr="00454670">
        <w:t>power,</w:t>
      </w:r>
      <w:r w:rsidR="00C64050">
        <w:t xml:space="preserve"> </w:t>
      </w:r>
      <w:r w:rsidRPr="00454670">
        <w:t>it</w:t>
      </w:r>
      <w:r w:rsidR="00C64050">
        <w:t xml:space="preserve"> </w:t>
      </w:r>
      <w:r w:rsidRPr="00454670">
        <w:t>must</w:t>
      </w:r>
      <w:r w:rsidR="00C64050">
        <w:t xml:space="preserve"> </w:t>
      </w:r>
      <w:r w:rsidRPr="00454670">
        <w:t>be</w:t>
      </w:r>
      <w:r w:rsidR="00C64050">
        <w:t xml:space="preserve"> </w:t>
      </w:r>
      <w:r w:rsidRPr="00454670">
        <w:t>exercised</w:t>
      </w:r>
      <w:r w:rsidR="00C64050">
        <w:t xml:space="preserve"> </w:t>
      </w:r>
      <w:r w:rsidRPr="00454670">
        <w:t>as</w:t>
      </w:r>
      <w:r w:rsidR="00C64050">
        <w:t xml:space="preserve"> </w:t>
      </w:r>
      <w:r w:rsidRPr="00454670">
        <w:t>assets</w:t>
      </w:r>
      <w:r w:rsidR="00C64050">
        <w:t xml:space="preserve"> </w:t>
      </w:r>
      <w:r w:rsidRPr="00454670">
        <w:t>appreciate</w:t>
      </w:r>
      <w:r w:rsidR="00C64050">
        <w:t xml:space="preserve"> </w:t>
      </w:r>
      <w:r w:rsidRPr="00454670">
        <w:t>or</w:t>
      </w:r>
      <w:r w:rsidR="00C64050">
        <w:t xml:space="preserve"> </w:t>
      </w:r>
      <w:r w:rsidRPr="00454670">
        <w:t>are</w:t>
      </w:r>
      <w:r w:rsidR="00C64050">
        <w:t xml:space="preserve"> </w:t>
      </w:r>
      <w:r w:rsidRPr="00454670">
        <w:t>sold</w:t>
      </w:r>
      <w:r w:rsidR="00C64050">
        <w:t xml:space="preserve"> </w:t>
      </w:r>
      <w:r w:rsidRPr="00454670">
        <w:t>over</w:t>
      </w:r>
      <w:r w:rsidR="00C64050">
        <w:t xml:space="preserve"> </w:t>
      </w:r>
      <w:r w:rsidRPr="00454670">
        <w:t>time.</w:t>
      </w:r>
      <w:r w:rsidR="00C64050">
        <w:t xml:space="preserve">  </w:t>
      </w:r>
      <w:r w:rsidRPr="00454670">
        <w:t>When</w:t>
      </w:r>
      <w:r w:rsidR="00C64050">
        <w:t xml:space="preserve"> </w:t>
      </w:r>
      <w:r w:rsidRPr="00454670">
        <w:t>exercised</w:t>
      </w:r>
      <w:r w:rsidR="00C64050">
        <w:t xml:space="preserve"> </w:t>
      </w:r>
      <w:r w:rsidRPr="00454670">
        <w:t>properly,</w:t>
      </w:r>
      <w:r w:rsidR="00C64050">
        <w:t xml:space="preserve"> </w:t>
      </w:r>
      <w:r w:rsidRPr="00454670">
        <w:t>this</w:t>
      </w:r>
      <w:r w:rsidR="00C64050">
        <w:t xml:space="preserve"> </w:t>
      </w:r>
      <w:r w:rsidRPr="00454670">
        <w:t>can</w:t>
      </w:r>
      <w:r w:rsidR="00C64050">
        <w:t xml:space="preserve"> </w:t>
      </w:r>
      <w:r w:rsidRPr="00454670">
        <w:t>ensure</w:t>
      </w:r>
      <w:r w:rsidR="00C64050">
        <w:t xml:space="preserve"> </w:t>
      </w:r>
      <w:r w:rsidRPr="00454670">
        <w:t>that</w:t>
      </w:r>
      <w:r w:rsidR="00C64050">
        <w:t xml:space="preserve"> </w:t>
      </w:r>
      <w:r w:rsidRPr="00454670">
        <w:t>only</w:t>
      </w:r>
      <w:r w:rsidR="00C64050">
        <w:t xml:space="preserve"> </w:t>
      </w:r>
      <w:r w:rsidRPr="00454670">
        <w:t>those</w:t>
      </w:r>
      <w:r w:rsidR="00C64050">
        <w:t xml:space="preserve"> </w:t>
      </w:r>
      <w:r w:rsidRPr="00454670">
        <w:t>assets</w:t>
      </w:r>
      <w:r w:rsidR="00C64050">
        <w:t xml:space="preserve"> </w:t>
      </w:r>
      <w:r w:rsidRPr="00454670">
        <w:t>that</w:t>
      </w:r>
      <w:r w:rsidR="00C64050">
        <w:t xml:space="preserve"> </w:t>
      </w:r>
      <w:r w:rsidRPr="00454670">
        <w:t>benefit</w:t>
      </w:r>
      <w:r w:rsidR="00C64050">
        <w:t xml:space="preserve"> </w:t>
      </w:r>
      <w:r w:rsidRPr="00454670">
        <w:t>the</w:t>
      </w:r>
      <w:r w:rsidR="00C64050">
        <w:t xml:space="preserve"> </w:t>
      </w:r>
      <w:r w:rsidRPr="00454670">
        <w:t>most</w:t>
      </w:r>
      <w:r w:rsidR="00C64050">
        <w:t xml:space="preserve"> </w:t>
      </w:r>
      <w:r w:rsidRPr="00454670">
        <w:t>from</w:t>
      </w:r>
      <w:r w:rsidR="00C64050">
        <w:t xml:space="preserve"> </w:t>
      </w:r>
      <w:r w:rsidRPr="00454670">
        <w:t>the</w:t>
      </w:r>
      <w:r w:rsidR="00C64050">
        <w:t xml:space="preserve"> </w:t>
      </w:r>
      <w:r w:rsidRPr="00454670">
        <w:t>step-up</w:t>
      </w:r>
      <w:r w:rsidR="00C64050">
        <w:t xml:space="preserve"> </w:t>
      </w:r>
      <w:r w:rsidRPr="00454670">
        <w:t>will</w:t>
      </w:r>
      <w:r w:rsidR="00C64050">
        <w:t xml:space="preserve"> </w:t>
      </w:r>
      <w:r w:rsidRPr="00454670">
        <w:t>be</w:t>
      </w:r>
      <w:r w:rsidR="00C64050">
        <w:t xml:space="preserve"> </w:t>
      </w:r>
      <w:r w:rsidRPr="00454670">
        <w:t>subject</w:t>
      </w:r>
      <w:r w:rsidR="00C64050">
        <w:t xml:space="preserve"> </w:t>
      </w:r>
      <w:r w:rsidRPr="00454670">
        <w:t>to</w:t>
      </w:r>
      <w:r w:rsidR="00C64050">
        <w:t xml:space="preserve"> </w:t>
      </w:r>
      <w:r w:rsidRPr="00454670">
        <w:t>estate</w:t>
      </w:r>
      <w:r w:rsidR="00C64050">
        <w:t xml:space="preserve"> </w:t>
      </w:r>
      <w:r w:rsidRPr="00454670">
        <w:t>inclusion.</w:t>
      </w:r>
    </w:p>
    <w:p w:rsidR="008059B8" w:rsidRPr="00454670" w:rsidRDefault="008059B8" w:rsidP="003E38A9">
      <w:pPr>
        <w:pStyle w:val="LFLevel4"/>
        <w:ind w:left="0" w:firstLine="2160"/>
      </w:pPr>
      <w:r w:rsidRPr="00454670">
        <w:t>If</w:t>
      </w:r>
      <w:r w:rsidR="00C64050">
        <w:t xml:space="preserve"> </w:t>
      </w:r>
      <w:r w:rsidRPr="00454670">
        <w:t>grantor</w:t>
      </w:r>
      <w:r w:rsidR="00C64050">
        <w:t xml:space="preserve"> </w:t>
      </w:r>
      <w:r w:rsidRPr="00454670">
        <w:t>does</w:t>
      </w:r>
      <w:r w:rsidR="00C64050">
        <w:t xml:space="preserve"> </w:t>
      </w:r>
      <w:r w:rsidRPr="00454670">
        <w:t>not</w:t>
      </w:r>
      <w:r w:rsidR="00C64050">
        <w:t xml:space="preserve"> </w:t>
      </w:r>
      <w:r w:rsidRPr="00454670">
        <w:t>have</w:t>
      </w:r>
      <w:r w:rsidR="00C64050">
        <w:t xml:space="preserve"> </w:t>
      </w:r>
      <w:r w:rsidRPr="00454670">
        <w:t>sufficient</w:t>
      </w:r>
      <w:r w:rsidR="00C64050">
        <w:t xml:space="preserve"> </w:t>
      </w:r>
      <w:r w:rsidRPr="00454670">
        <w:t>other</w:t>
      </w:r>
      <w:r w:rsidR="00C64050">
        <w:t xml:space="preserve"> </w:t>
      </w:r>
      <w:r w:rsidRPr="00454670">
        <w:t>assets,</w:t>
      </w:r>
      <w:r w:rsidR="00C64050">
        <w:t xml:space="preserve"> </w:t>
      </w:r>
      <w:r w:rsidRPr="00454670">
        <w:t>repurchase</w:t>
      </w:r>
      <w:r w:rsidR="00C64050">
        <w:t xml:space="preserve"> </w:t>
      </w:r>
      <w:r w:rsidRPr="00454670">
        <w:t>will</w:t>
      </w:r>
      <w:r w:rsidR="00C64050">
        <w:t xml:space="preserve"> </w:t>
      </w:r>
      <w:r w:rsidRPr="00454670">
        <w:t>be</w:t>
      </w:r>
      <w:r w:rsidR="00C64050">
        <w:t xml:space="preserve"> </w:t>
      </w:r>
      <w:r w:rsidRPr="00454670">
        <w:t>difficult</w:t>
      </w:r>
      <w:r w:rsidR="00C64050">
        <w:t xml:space="preserve"> </w:t>
      </w:r>
      <w:r w:rsidRPr="00454670">
        <w:t>-</w:t>
      </w:r>
      <w:r w:rsidR="00C64050">
        <w:t xml:space="preserve"> </w:t>
      </w:r>
      <w:r w:rsidRPr="00454670">
        <w:t>although</w:t>
      </w:r>
      <w:r w:rsidR="00C64050">
        <w:t xml:space="preserve"> </w:t>
      </w:r>
      <w:r w:rsidRPr="00454670">
        <w:t>the</w:t>
      </w:r>
      <w:r w:rsidR="00C64050">
        <w:t xml:space="preserve"> </w:t>
      </w:r>
      <w:r w:rsidRPr="00454670">
        <w:t>donor</w:t>
      </w:r>
      <w:r w:rsidR="00C64050">
        <w:t xml:space="preserve"> </w:t>
      </w:r>
      <w:r w:rsidRPr="00454670">
        <w:t>could</w:t>
      </w:r>
      <w:r w:rsidR="00C64050">
        <w:t xml:space="preserve"> </w:t>
      </w:r>
      <w:r w:rsidRPr="00454670">
        <w:t>borrow</w:t>
      </w:r>
      <w:r w:rsidR="00C64050">
        <w:t xml:space="preserve"> </w:t>
      </w:r>
      <w:r w:rsidRPr="00454670">
        <w:t>cash</w:t>
      </w:r>
      <w:r w:rsidR="00C64050">
        <w:t xml:space="preserve"> </w:t>
      </w:r>
      <w:r w:rsidRPr="00454670">
        <w:t>from</w:t>
      </w:r>
      <w:r w:rsidR="00C64050">
        <w:t xml:space="preserve"> </w:t>
      </w:r>
      <w:r w:rsidRPr="00454670">
        <w:t>a</w:t>
      </w:r>
      <w:r w:rsidR="00C64050">
        <w:t xml:space="preserve"> </w:t>
      </w:r>
      <w:r w:rsidRPr="00454670">
        <w:t>third</w:t>
      </w:r>
      <w:r w:rsidR="00C64050">
        <w:t xml:space="preserve"> </w:t>
      </w:r>
      <w:r w:rsidRPr="00454670">
        <w:t>party.</w:t>
      </w:r>
      <w:r w:rsidR="00C64050">
        <w:t xml:space="preserve">  </w:t>
      </w:r>
      <w:r w:rsidR="001236A7">
        <w:t>What</w:t>
      </w:r>
      <w:r w:rsidR="00C64050">
        <w:t xml:space="preserve"> </w:t>
      </w:r>
      <w:r w:rsidR="001236A7">
        <w:t>are</w:t>
      </w:r>
      <w:r w:rsidR="00C64050">
        <w:t xml:space="preserve"> </w:t>
      </w:r>
      <w:r w:rsidR="001236A7">
        <w:t>the</w:t>
      </w:r>
      <w:r w:rsidR="00C64050">
        <w:t xml:space="preserve"> </w:t>
      </w:r>
      <w:r w:rsidR="001236A7">
        <w:t>results</w:t>
      </w:r>
      <w:r w:rsidR="00C64050">
        <w:t xml:space="preserve"> </w:t>
      </w:r>
      <w:r w:rsidR="001236A7">
        <w:t>if</w:t>
      </w:r>
      <w:r w:rsidR="00C64050">
        <w:t xml:space="preserve"> </w:t>
      </w:r>
      <w:r w:rsidR="001236A7">
        <w:t>cash</w:t>
      </w:r>
      <w:r w:rsidR="00C64050">
        <w:t xml:space="preserve"> </w:t>
      </w:r>
      <w:r w:rsidR="001236A7">
        <w:t>is</w:t>
      </w:r>
      <w:r w:rsidR="00C64050">
        <w:t xml:space="preserve"> </w:t>
      </w:r>
      <w:r w:rsidR="001236A7">
        <w:t>borrowed</w:t>
      </w:r>
      <w:r w:rsidR="00C64050">
        <w:t xml:space="preserve"> </w:t>
      </w:r>
      <w:r w:rsidR="001236A7">
        <w:t>by</w:t>
      </w:r>
      <w:r w:rsidR="00C64050">
        <w:t xml:space="preserve"> </w:t>
      </w:r>
      <w:r w:rsidR="001236A7">
        <w:t>the</w:t>
      </w:r>
      <w:r w:rsidR="00C64050">
        <w:t xml:space="preserve"> </w:t>
      </w:r>
      <w:r w:rsidR="001236A7">
        <w:t>grantor,</w:t>
      </w:r>
      <w:r w:rsidR="00C64050">
        <w:t xml:space="preserve"> </w:t>
      </w:r>
      <w:r w:rsidR="001236A7">
        <w:t>the</w:t>
      </w:r>
      <w:r w:rsidR="00C64050">
        <w:t xml:space="preserve"> </w:t>
      </w:r>
      <w:r w:rsidR="001236A7">
        <w:t>grantor</w:t>
      </w:r>
      <w:r w:rsidR="00C64050">
        <w:t xml:space="preserve"> </w:t>
      </w:r>
      <w:r w:rsidR="001236A7">
        <w:t>buys</w:t>
      </w:r>
      <w:r w:rsidR="00C64050">
        <w:t xml:space="preserve"> </w:t>
      </w:r>
      <w:r w:rsidR="001236A7">
        <w:t>assets</w:t>
      </w:r>
      <w:r w:rsidR="00C64050">
        <w:t xml:space="preserve"> </w:t>
      </w:r>
      <w:r w:rsidR="001236A7">
        <w:t>from</w:t>
      </w:r>
      <w:r w:rsidR="00C64050">
        <w:t xml:space="preserve"> </w:t>
      </w:r>
      <w:r w:rsidR="001236A7">
        <w:t>the</w:t>
      </w:r>
      <w:r w:rsidR="00C64050">
        <w:t xml:space="preserve"> </w:t>
      </w:r>
      <w:r w:rsidR="001236A7">
        <w:t>trust,</w:t>
      </w:r>
      <w:r w:rsidR="00C64050">
        <w:t xml:space="preserve"> </w:t>
      </w:r>
      <w:r w:rsidR="001236A7">
        <w:t>the</w:t>
      </w:r>
      <w:r w:rsidR="00C64050">
        <w:t xml:space="preserve"> </w:t>
      </w:r>
      <w:r w:rsidR="001236A7">
        <w:t>trust</w:t>
      </w:r>
      <w:r w:rsidR="00C64050">
        <w:t xml:space="preserve"> </w:t>
      </w:r>
      <w:r w:rsidR="001236A7">
        <w:t>loans</w:t>
      </w:r>
      <w:r w:rsidR="00C64050">
        <w:t xml:space="preserve"> </w:t>
      </w:r>
      <w:r w:rsidR="001236A7">
        <w:t>the</w:t>
      </w:r>
      <w:r w:rsidR="00C64050">
        <w:t xml:space="preserve"> </w:t>
      </w:r>
      <w:r w:rsidR="001236A7">
        <w:t>cash</w:t>
      </w:r>
      <w:r w:rsidR="00C64050">
        <w:t xml:space="preserve"> </w:t>
      </w:r>
      <w:r w:rsidR="001236A7">
        <w:t>back</w:t>
      </w:r>
      <w:r w:rsidR="00C64050">
        <w:t xml:space="preserve"> </w:t>
      </w:r>
      <w:r w:rsidR="001236A7">
        <w:t>to</w:t>
      </w:r>
      <w:r w:rsidR="00C64050">
        <w:t xml:space="preserve"> </w:t>
      </w:r>
      <w:r w:rsidR="001236A7">
        <w:t>the</w:t>
      </w:r>
      <w:r w:rsidR="00C64050">
        <w:t xml:space="preserve"> </w:t>
      </w:r>
      <w:r w:rsidR="001236A7">
        <w:t>grantor</w:t>
      </w:r>
      <w:r w:rsidR="00280E7C">
        <w:t>,</w:t>
      </w:r>
      <w:r w:rsidR="00C64050">
        <w:t xml:space="preserve"> </w:t>
      </w:r>
      <w:r w:rsidR="00280E7C">
        <w:t>the</w:t>
      </w:r>
      <w:r w:rsidR="00C64050">
        <w:t xml:space="preserve"> </w:t>
      </w:r>
      <w:r w:rsidR="00280E7C">
        <w:t>grantor</w:t>
      </w:r>
      <w:r w:rsidR="00C64050">
        <w:t xml:space="preserve"> </w:t>
      </w:r>
      <w:r w:rsidR="001236A7">
        <w:t>pays</w:t>
      </w:r>
      <w:r w:rsidR="00C64050">
        <w:t xml:space="preserve"> </w:t>
      </w:r>
      <w:r w:rsidR="001236A7">
        <w:t>back</w:t>
      </w:r>
      <w:r w:rsidR="00C64050">
        <w:t xml:space="preserve"> </w:t>
      </w:r>
      <w:r w:rsidR="001236A7">
        <w:t>the</w:t>
      </w:r>
      <w:r w:rsidR="00C64050">
        <w:t xml:space="preserve"> </w:t>
      </w:r>
      <w:r w:rsidR="001236A7">
        <w:t>third</w:t>
      </w:r>
      <w:r w:rsidR="00C64050">
        <w:t xml:space="preserve"> </w:t>
      </w:r>
      <w:r w:rsidR="001236A7">
        <w:t>party</w:t>
      </w:r>
      <w:r w:rsidR="00C64050">
        <w:t xml:space="preserve"> </w:t>
      </w:r>
      <w:r w:rsidR="001236A7">
        <w:t>lender</w:t>
      </w:r>
      <w:r w:rsidR="00C64050">
        <w:t xml:space="preserve"> </w:t>
      </w:r>
      <w:r w:rsidR="001236A7">
        <w:t>and,</w:t>
      </w:r>
      <w:r w:rsidR="00C64050">
        <w:t xml:space="preserve"> </w:t>
      </w:r>
      <w:r w:rsidR="001236A7">
        <w:t>at</w:t>
      </w:r>
      <w:r w:rsidR="00C64050">
        <w:t xml:space="preserve"> </w:t>
      </w:r>
      <w:r w:rsidR="001236A7">
        <w:t>death,</w:t>
      </w:r>
      <w:r w:rsidR="00C64050">
        <w:t xml:space="preserve"> </w:t>
      </w:r>
      <w:r w:rsidR="001236A7">
        <w:t>the</w:t>
      </w:r>
      <w:r w:rsidR="00C64050">
        <w:t xml:space="preserve"> </w:t>
      </w:r>
      <w:r w:rsidR="001236A7">
        <w:t>grantor’s</w:t>
      </w:r>
      <w:r w:rsidR="00C64050">
        <w:t xml:space="preserve"> </w:t>
      </w:r>
      <w:r w:rsidR="001236A7">
        <w:t>estate</w:t>
      </w:r>
      <w:r w:rsidR="00C64050">
        <w:t xml:space="preserve"> </w:t>
      </w:r>
      <w:r w:rsidR="00280E7C">
        <w:t>satisfies</w:t>
      </w:r>
      <w:r w:rsidR="00C64050">
        <w:t xml:space="preserve"> </w:t>
      </w:r>
      <w:r w:rsidR="001236A7">
        <w:t>the</w:t>
      </w:r>
      <w:r w:rsidR="00C64050">
        <w:t xml:space="preserve"> </w:t>
      </w:r>
      <w:r w:rsidR="001236A7">
        <w:t>note</w:t>
      </w:r>
      <w:r w:rsidR="00C64050">
        <w:t xml:space="preserve"> </w:t>
      </w:r>
      <w:r w:rsidR="001236A7">
        <w:t>to</w:t>
      </w:r>
      <w:r w:rsidR="00C64050">
        <w:t xml:space="preserve"> </w:t>
      </w:r>
      <w:r w:rsidR="001236A7">
        <w:t>the</w:t>
      </w:r>
      <w:r w:rsidR="00C64050">
        <w:t xml:space="preserve"> </w:t>
      </w:r>
      <w:r w:rsidR="001236A7">
        <w:t>trust</w:t>
      </w:r>
      <w:r w:rsidR="00C64050">
        <w:t xml:space="preserve"> </w:t>
      </w:r>
      <w:r w:rsidR="001236A7">
        <w:t>with</w:t>
      </w:r>
      <w:r w:rsidR="00C64050">
        <w:t xml:space="preserve"> </w:t>
      </w:r>
      <w:r w:rsidR="001236A7">
        <w:t>assets</w:t>
      </w:r>
      <w:r w:rsidR="00C64050">
        <w:t xml:space="preserve"> </w:t>
      </w:r>
      <w:r w:rsidR="0034507F">
        <w:t>having</w:t>
      </w:r>
      <w:r w:rsidR="00C64050">
        <w:t xml:space="preserve"> </w:t>
      </w:r>
      <w:r w:rsidR="0034507F">
        <w:t>fair</w:t>
      </w:r>
      <w:r w:rsidR="00C64050">
        <w:t xml:space="preserve"> </w:t>
      </w:r>
      <w:r w:rsidR="0034507F">
        <w:t>market</w:t>
      </w:r>
      <w:r w:rsidR="00C64050">
        <w:t xml:space="preserve"> </w:t>
      </w:r>
      <w:r w:rsidR="0034507F">
        <w:t>value</w:t>
      </w:r>
      <w:r w:rsidR="00C64050">
        <w:t xml:space="preserve"> </w:t>
      </w:r>
      <w:r w:rsidR="0034507F">
        <w:t>basis</w:t>
      </w:r>
      <w:r w:rsidR="001236A7">
        <w:t>?</w:t>
      </w:r>
    </w:p>
    <w:p w:rsidR="008059B8" w:rsidRPr="00454670" w:rsidRDefault="008059B8" w:rsidP="003E38A9">
      <w:pPr>
        <w:pStyle w:val="LFLevel4"/>
        <w:ind w:left="0" w:firstLine="2160"/>
      </w:pPr>
      <w:r w:rsidRPr="00454670">
        <w:t>The</w:t>
      </w:r>
      <w:r w:rsidR="00C64050">
        <w:t xml:space="preserve"> </w:t>
      </w:r>
      <w:r w:rsidRPr="00454670">
        <w:t>income</w:t>
      </w:r>
      <w:r w:rsidR="00C64050">
        <w:t xml:space="preserve"> </w:t>
      </w:r>
      <w:r w:rsidRPr="00454670">
        <w:t>tax</w:t>
      </w:r>
      <w:r w:rsidR="00C64050">
        <w:t xml:space="preserve"> </w:t>
      </w:r>
      <w:r w:rsidRPr="00454670">
        <w:t>consequences</w:t>
      </w:r>
      <w:r w:rsidR="00C64050">
        <w:t xml:space="preserve"> </w:t>
      </w:r>
      <w:r w:rsidRPr="00454670">
        <w:t>if</w:t>
      </w:r>
      <w:r w:rsidR="00C64050">
        <w:t xml:space="preserve"> </w:t>
      </w:r>
      <w:r w:rsidRPr="00454670">
        <w:t>a</w:t>
      </w:r>
      <w:r w:rsidR="00C64050">
        <w:t xml:space="preserve"> </w:t>
      </w:r>
      <w:r w:rsidRPr="00454670">
        <w:t>note</w:t>
      </w:r>
      <w:r w:rsidR="00C64050">
        <w:t xml:space="preserve"> </w:t>
      </w:r>
      <w:r w:rsidRPr="00454670">
        <w:t>is</w:t>
      </w:r>
      <w:r w:rsidR="00C64050">
        <w:t xml:space="preserve"> </w:t>
      </w:r>
      <w:r w:rsidRPr="00454670">
        <w:t>used</w:t>
      </w:r>
      <w:r w:rsidR="00C64050">
        <w:t xml:space="preserve"> </w:t>
      </w:r>
      <w:r w:rsidRPr="00454670">
        <w:t>to</w:t>
      </w:r>
      <w:r w:rsidR="00C64050">
        <w:t xml:space="preserve"> </w:t>
      </w:r>
      <w:r w:rsidRPr="00454670">
        <w:t>repurchase</w:t>
      </w:r>
      <w:r w:rsidR="00C64050">
        <w:t xml:space="preserve"> </w:t>
      </w:r>
      <w:r w:rsidRPr="00454670">
        <w:t>property</w:t>
      </w:r>
      <w:r w:rsidR="00C64050">
        <w:t xml:space="preserve"> </w:t>
      </w:r>
      <w:r w:rsidRPr="00454670">
        <w:t>are</w:t>
      </w:r>
      <w:r w:rsidR="00C64050">
        <w:t xml:space="preserve"> </w:t>
      </w:r>
      <w:r w:rsidRPr="00454670">
        <w:t>uncertain</w:t>
      </w:r>
      <w:r w:rsidR="00C64050">
        <w:t xml:space="preserve"> </w:t>
      </w:r>
      <w:r w:rsidRPr="00454670">
        <w:t>because</w:t>
      </w:r>
      <w:r w:rsidR="00C64050">
        <w:t xml:space="preserve"> </w:t>
      </w:r>
      <w:r w:rsidRPr="00454670">
        <w:t>the</w:t>
      </w:r>
      <w:r w:rsidR="00C64050">
        <w:t xml:space="preserve"> </w:t>
      </w:r>
      <w:r w:rsidRPr="00454670">
        <w:t>trust’s</w:t>
      </w:r>
      <w:r w:rsidR="00C64050">
        <w:t xml:space="preserve"> </w:t>
      </w:r>
      <w:r w:rsidRPr="00454670">
        <w:t>basis</w:t>
      </w:r>
      <w:r w:rsidR="00C64050">
        <w:t xml:space="preserve"> </w:t>
      </w:r>
      <w:r w:rsidRPr="00454670">
        <w:t>in</w:t>
      </w:r>
      <w:r w:rsidR="00C64050">
        <w:t xml:space="preserve"> </w:t>
      </w:r>
      <w:r w:rsidRPr="00454670">
        <w:t>note</w:t>
      </w:r>
      <w:r w:rsidR="00C64050">
        <w:t xml:space="preserve"> </w:t>
      </w:r>
      <w:r w:rsidRPr="00454670">
        <w:t>may</w:t>
      </w:r>
      <w:r w:rsidR="00C64050">
        <w:t xml:space="preserve"> </w:t>
      </w:r>
      <w:r w:rsidRPr="00454670">
        <w:t>equal</w:t>
      </w:r>
      <w:r w:rsidR="00C64050">
        <w:t xml:space="preserve"> </w:t>
      </w:r>
      <w:r w:rsidRPr="00454670">
        <w:t>grantor’s</w:t>
      </w:r>
      <w:r w:rsidR="00C64050">
        <w:t xml:space="preserve"> </w:t>
      </w:r>
      <w:r w:rsidRPr="00454670">
        <w:t>original</w:t>
      </w:r>
      <w:r w:rsidR="00C64050">
        <w:t xml:space="preserve"> </w:t>
      </w:r>
      <w:r w:rsidR="00221E15" w:rsidRPr="00454670">
        <w:t>carryover</w:t>
      </w:r>
      <w:r w:rsidR="00C64050">
        <w:t xml:space="preserve"> </w:t>
      </w:r>
      <w:r w:rsidRPr="00454670">
        <w:t>basis</w:t>
      </w:r>
      <w:r w:rsidR="00C64050">
        <w:t xml:space="preserve"> </w:t>
      </w:r>
      <w:r w:rsidRPr="00454670">
        <w:t>in</w:t>
      </w:r>
      <w:r w:rsidR="00C64050">
        <w:t xml:space="preserve"> </w:t>
      </w:r>
      <w:r w:rsidRPr="00454670">
        <w:t>the</w:t>
      </w:r>
      <w:r w:rsidR="00C64050">
        <w:t xml:space="preserve"> </w:t>
      </w:r>
      <w:r w:rsidRPr="00454670">
        <w:t>asset</w:t>
      </w:r>
      <w:r w:rsidR="00C64050">
        <w:t xml:space="preserve"> </w:t>
      </w:r>
      <w:r w:rsidRPr="00454670">
        <w:t>given</w:t>
      </w:r>
      <w:r w:rsidR="00C64050">
        <w:t xml:space="preserve"> </w:t>
      </w:r>
      <w:r w:rsidRPr="00454670">
        <w:t>to</w:t>
      </w:r>
      <w:r w:rsidR="00C64050">
        <w:t xml:space="preserve"> </w:t>
      </w:r>
      <w:r w:rsidRPr="00454670">
        <w:t>the</w:t>
      </w:r>
      <w:r w:rsidR="00C64050">
        <w:t xml:space="preserve"> </w:t>
      </w:r>
      <w:r w:rsidRPr="00454670">
        <w:t>trust</w:t>
      </w:r>
      <w:r w:rsidR="00C64050">
        <w:t xml:space="preserve"> </w:t>
      </w:r>
      <w:r w:rsidRPr="00454670">
        <w:t>and</w:t>
      </w:r>
      <w:r w:rsidR="00C64050">
        <w:t xml:space="preserve"> </w:t>
      </w:r>
      <w:r w:rsidRPr="00454670">
        <w:t>now</w:t>
      </w:r>
      <w:r w:rsidR="00C64050">
        <w:t xml:space="preserve"> </w:t>
      </w:r>
      <w:r w:rsidRPr="00454670">
        <w:t>reacquired</w:t>
      </w:r>
      <w:r w:rsidR="00C64050">
        <w:t xml:space="preserve"> </w:t>
      </w:r>
      <w:r w:rsidRPr="00454670">
        <w:t>so</w:t>
      </w:r>
      <w:r w:rsidR="00C64050">
        <w:t xml:space="preserve"> </w:t>
      </w:r>
      <w:r w:rsidRPr="00454670">
        <w:t>paying</w:t>
      </w:r>
      <w:r w:rsidR="00C64050">
        <w:t xml:space="preserve"> </w:t>
      </w:r>
      <w:r w:rsidRPr="00454670">
        <w:t>off</w:t>
      </w:r>
      <w:r w:rsidR="00C64050">
        <w:t xml:space="preserve"> </w:t>
      </w:r>
      <w:r w:rsidRPr="00454670">
        <w:t>the</w:t>
      </w:r>
      <w:r w:rsidR="00C64050">
        <w:t xml:space="preserve"> </w:t>
      </w:r>
      <w:r w:rsidRPr="00454670">
        <w:t>note</w:t>
      </w:r>
      <w:r w:rsidR="00C64050">
        <w:t xml:space="preserve"> </w:t>
      </w:r>
      <w:r w:rsidRPr="00454670">
        <w:t>may</w:t>
      </w:r>
      <w:r w:rsidR="00C64050">
        <w:t xml:space="preserve"> </w:t>
      </w:r>
      <w:r w:rsidRPr="00454670">
        <w:t>generate</w:t>
      </w:r>
      <w:r w:rsidR="00C64050">
        <w:t xml:space="preserve"> </w:t>
      </w:r>
      <w:r w:rsidRPr="00454670">
        <w:t>gain).</w:t>
      </w:r>
      <w:r w:rsidR="00C64050">
        <w:t xml:space="preserve">  </w:t>
      </w:r>
      <w:r w:rsidR="00C311A2">
        <w:t>In</w:t>
      </w:r>
      <w:r w:rsidR="00C64050">
        <w:t xml:space="preserve"> </w:t>
      </w:r>
      <w:r w:rsidR="00C311A2">
        <w:t>other</w:t>
      </w:r>
      <w:r w:rsidR="00C64050">
        <w:t xml:space="preserve"> </w:t>
      </w:r>
      <w:r w:rsidR="00C311A2">
        <w:t>words,</w:t>
      </w:r>
      <w:r w:rsidR="00C64050">
        <w:t xml:space="preserve"> </w:t>
      </w:r>
      <w:r w:rsidR="00C311A2">
        <w:t>if</w:t>
      </w:r>
      <w:r w:rsidR="00C64050">
        <w:t xml:space="preserve"> </w:t>
      </w:r>
      <w:r w:rsidR="00C311A2">
        <w:t>grantor</w:t>
      </w:r>
      <w:r w:rsidR="00C64050">
        <w:t xml:space="preserve"> </w:t>
      </w:r>
      <w:r w:rsidR="00C311A2">
        <w:t>trust</w:t>
      </w:r>
      <w:r w:rsidR="00C64050">
        <w:t xml:space="preserve"> </w:t>
      </w:r>
      <w:r w:rsidR="00C311A2">
        <w:t>status</w:t>
      </w:r>
      <w:r w:rsidR="00C64050">
        <w:t xml:space="preserve"> </w:t>
      </w:r>
      <w:r w:rsidR="00C311A2">
        <w:t>terminates</w:t>
      </w:r>
      <w:r w:rsidR="00C64050">
        <w:t xml:space="preserve"> </w:t>
      </w:r>
      <w:r w:rsidR="00C311A2">
        <w:t>because</w:t>
      </w:r>
      <w:r w:rsidR="00C64050">
        <w:t xml:space="preserve"> </w:t>
      </w:r>
      <w:r w:rsidR="00C311A2">
        <w:t>the</w:t>
      </w:r>
      <w:r w:rsidR="00C64050">
        <w:t xml:space="preserve"> </w:t>
      </w:r>
      <w:r w:rsidR="00C311A2">
        <w:t>grantor</w:t>
      </w:r>
      <w:r w:rsidR="00C64050">
        <w:t xml:space="preserve"> </w:t>
      </w:r>
      <w:r w:rsidR="00C311A2">
        <w:t>dies,</w:t>
      </w:r>
      <w:r w:rsidR="00C64050">
        <w:t xml:space="preserve"> </w:t>
      </w:r>
      <w:r w:rsidR="00C311A2">
        <w:t>and</w:t>
      </w:r>
      <w:r w:rsidR="00C64050">
        <w:t xml:space="preserve"> </w:t>
      </w:r>
      <w:r w:rsidR="00C311A2">
        <w:t>the</w:t>
      </w:r>
      <w:r w:rsidR="00C64050">
        <w:t xml:space="preserve"> </w:t>
      </w:r>
      <w:r w:rsidR="00C311A2">
        <w:t>trust</w:t>
      </w:r>
      <w:r w:rsidR="00C64050">
        <w:t xml:space="preserve"> </w:t>
      </w:r>
      <w:r w:rsidR="001236A7">
        <w:t>owns</w:t>
      </w:r>
      <w:r w:rsidR="00C64050">
        <w:t xml:space="preserve"> </w:t>
      </w:r>
      <w:r w:rsidR="00C311A2">
        <w:t>a</w:t>
      </w:r>
      <w:r w:rsidR="00C64050">
        <w:t xml:space="preserve"> </w:t>
      </w:r>
      <w:r w:rsidR="00C311A2">
        <w:t>note</w:t>
      </w:r>
      <w:r w:rsidR="00C64050">
        <w:t xml:space="preserve"> </w:t>
      </w:r>
      <w:r w:rsidR="00C311A2">
        <w:t>from</w:t>
      </w:r>
      <w:r w:rsidR="00C64050">
        <w:t xml:space="preserve"> </w:t>
      </w:r>
      <w:r w:rsidR="00C311A2">
        <w:t>the</w:t>
      </w:r>
      <w:r w:rsidR="00C64050">
        <w:t xml:space="preserve"> </w:t>
      </w:r>
      <w:r w:rsidR="00C311A2">
        <w:t>grantor</w:t>
      </w:r>
      <w:r w:rsidR="00C64050">
        <w:t xml:space="preserve"> </w:t>
      </w:r>
      <w:r w:rsidR="00C311A2">
        <w:t>–</w:t>
      </w:r>
      <w:r w:rsidR="00C64050">
        <w:t xml:space="preserve"> </w:t>
      </w:r>
      <w:r w:rsidR="00C311A2">
        <w:t>now</w:t>
      </w:r>
      <w:r w:rsidR="00C64050">
        <w:t xml:space="preserve"> </w:t>
      </w:r>
      <w:r w:rsidR="00C311A2">
        <w:t>the</w:t>
      </w:r>
      <w:r w:rsidR="00C64050">
        <w:t xml:space="preserve"> </w:t>
      </w:r>
      <w:r w:rsidR="00C311A2">
        <w:t>grantor’s</w:t>
      </w:r>
      <w:r w:rsidR="00C64050">
        <w:t xml:space="preserve"> </w:t>
      </w:r>
      <w:r w:rsidR="00C311A2">
        <w:t>estate</w:t>
      </w:r>
      <w:r w:rsidR="00C64050">
        <w:t xml:space="preserve"> </w:t>
      </w:r>
      <w:r w:rsidR="00C311A2">
        <w:t>–</w:t>
      </w:r>
      <w:r w:rsidR="00C64050">
        <w:t xml:space="preserve"> </w:t>
      </w:r>
      <w:r w:rsidR="00C311A2">
        <w:t>the</w:t>
      </w:r>
      <w:r w:rsidR="00C64050">
        <w:t xml:space="preserve"> </w:t>
      </w:r>
      <w:r w:rsidR="00C311A2">
        <w:t>note</w:t>
      </w:r>
      <w:r w:rsidR="00C64050">
        <w:t xml:space="preserve"> </w:t>
      </w:r>
      <w:r w:rsidR="00C311A2">
        <w:t>likely</w:t>
      </w:r>
      <w:r w:rsidR="00C64050">
        <w:t xml:space="preserve"> </w:t>
      </w:r>
      <w:r w:rsidR="00C311A2">
        <w:t>does</w:t>
      </w:r>
      <w:r w:rsidR="00C64050">
        <w:t xml:space="preserve"> </w:t>
      </w:r>
      <w:r w:rsidR="00C311A2">
        <w:t>not</w:t>
      </w:r>
      <w:r w:rsidR="00C64050">
        <w:t xml:space="preserve"> </w:t>
      </w:r>
      <w:r w:rsidR="00C311A2">
        <w:t>receive</w:t>
      </w:r>
      <w:r w:rsidR="00C64050">
        <w:t xml:space="preserve"> </w:t>
      </w:r>
      <w:r w:rsidR="00C311A2">
        <w:t>a</w:t>
      </w:r>
      <w:r w:rsidR="00C64050">
        <w:t xml:space="preserve"> </w:t>
      </w:r>
      <w:r w:rsidR="00C311A2">
        <w:t>step-up</w:t>
      </w:r>
      <w:r w:rsidR="00C64050">
        <w:t xml:space="preserve"> </w:t>
      </w:r>
      <w:r w:rsidR="00C311A2">
        <w:t>in</w:t>
      </w:r>
      <w:r w:rsidR="00C64050">
        <w:t xml:space="preserve"> </w:t>
      </w:r>
      <w:r w:rsidR="00C311A2">
        <w:t>basis</w:t>
      </w:r>
      <w:r w:rsidR="00C64050">
        <w:t xml:space="preserve"> </w:t>
      </w:r>
      <w:r w:rsidR="00C311A2">
        <w:t>so</w:t>
      </w:r>
      <w:r w:rsidR="00C64050">
        <w:t xml:space="preserve"> </w:t>
      </w:r>
      <w:r w:rsidR="00C311A2">
        <w:t>when</w:t>
      </w:r>
      <w:r w:rsidR="00C64050">
        <w:t xml:space="preserve"> </w:t>
      </w:r>
      <w:r w:rsidR="00C311A2">
        <w:t>the</w:t>
      </w:r>
      <w:r w:rsidR="00C64050">
        <w:t xml:space="preserve"> </w:t>
      </w:r>
      <w:r w:rsidR="00C311A2">
        <w:t>estate</w:t>
      </w:r>
      <w:r w:rsidR="00C64050">
        <w:t xml:space="preserve"> </w:t>
      </w:r>
      <w:r w:rsidR="00C311A2">
        <w:t>pays</w:t>
      </w:r>
      <w:r w:rsidR="00C64050">
        <w:t xml:space="preserve"> </w:t>
      </w:r>
      <w:r w:rsidR="00C311A2">
        <w:t>it</w:t>
      </w:r>
      <w:r w:rsidR="00C64050">
        <w:t xml:space="preserve"> </w:t>
      </w:r>
      <w:r w:rsidR="00C311A2">
        <w:t>off</w:t>
      </w:r>
      <w:r w:rsidR="00C64050">
        <w:t xml:space="preserve"> </w:t>
      </w:r>
      <w:r w:rsidR="00C311A2">
        <w:t>the</w:t>
      </w:r>
      <w:r w:rsidR="00C64050">
        <w:t xml:space="preserve"> </w:t>
      </w:r>
      <w:r w:rsidR="00C311A2">
        <w:t>trust</w:t>
      </w:r>
      <w:r w:rsidR="00C64050">
        <w:t xml:space="preserve"> </w:t>
      </w:r>
      <w:r w:rsidR="00C311A2">
        <w:t>will</w:t>
      </w:r>
      <w:r w:rsidR="00C64050">
        <w:t xml:space="preserve"> </w:t>
      </w:r>
      <w:r w:rsidR="00C311A2">
        <w:t>have</w:t>
      </w:r>
      <w:r w:rsidR="00C64050">
        <w:t xml:space="preserve"> </w:t>
      </w:r>
      <w:r w:rsidR="00C311A2">
        <w:t>gain.</w:t>
      </w:r>
    </w:p>
    <w:p w:rsidR="008059B8" w:rsidRPr="00454670" w:rsidRDefault="008059B8" w:rsidP="003E38A9">
      <w:pPr>
        <w:pStyle w:val="LFLevel4"/>
        <w:ind w:left="0" w:firstLine="2160"/>
      </w:pPr>
      <w:r w:rsidRPr="00454670">
        <w:t>Because</w:t>
      </w:r>
      <w:r w:rsidR="00C64050">
        <w:t xml:space="preserve"> </w:t>
      </w:r>
      <w:r w:rsidRPr="00454670">
        <w:t>the</w:t>
      </w:r>
      <w:r w:rsidR="00C64050">
        <w:t xml:space="preserve"> </w:t>
      </w:r>
      <w:r w:rsidRPr="00454670">
        <w:t>sudden</w:t>
      </w:r>
      <w:r w:rsidR="00C64050">
        <w:t xml:space="preserve"> </w:t>
      </w:r>
      <w:r w:rsidRPr="00454670">
        <w:t>or</w:t>
      </w:r>
      <w:r w:rsidR="00C64050">
        <w:t xml:space="preserve"> </w:t>
      </w:r>
      <w:r w:rsidRPr="00454670">
        <w:t>unexpected</w:t>
      </w:r>
      <w:r w:rsidR="00C64050">
        <w:t xml:space="preserve"> </w:t>
      </w:r>
      <w:r w:rsidRPr="00454670">
        <w:t>death</w:t>
      </w:r>
      <w:r w:rsidR="00C64050">
        <w:t xml:space="preserve"> </w:t>
      </w:r>
      <w:r w:rsidRPr="00454670">
        <w:t>of</w:t>
      </w:r>
      <w:r w:rsidR="00C64050">
        <w:t xml:space="preserve"> </w:t>
      </w:r>
      <w:r w:rsidRPr="00454670">
        <w:t>the</w:t>
      </w:r>
      <w:r w:rsidR="00C64050">
        <w:t xml:space="preserve"> </w:t>
      </w:r>
      <w:r w:rsidRPr="00454670">
        <w:t>grantor</w:t>
      </w:r>
      <w:r w:rsidR="00C64050">
        <w:t xml:space="preserve"> </w:t>
      </w:r>
      <w:r w:rsidRPr="00454670">
        <w:t>may</w:t>
      </w:r>
      <w:r w:rsidR="00C64050">
        <w:t xml:space="preserve"> </w:t>
      </w:r>
      <w:r w:rsidRPr="00454670">
        <w:t>make</w:t>
      </w:r>
      <w:r w:rsidR="00C64050">
        <w:t xml:space="preserve"> </w:t>
      </w:r>
      <w:r w:rsidRPr="00454670">
        <w:t>a</w:t>
      </w:r>
      <w:r w:rsidR="00C64050">
        <w:t xml:space="preserve"> </w:t>
      </w:r>
      <w:r w:rsidRPr="00454670">
        <w:t>repurchase</w:t>
      </w:r>
      <w:r w:rsidR="00C64050">
        <w:t xml:space="preserve"> </w:t>
      </w:r>
      <w:r w:rsidRPr="00454670">
        <w:t>difficult</w:t>
      </w:r>
      <w:r w:rsidR="00C64050">
        <w:t xml:space="preserve"> </w:t>
      </w:r>
      <w:r w:rsidRPr="00454670">
        <w:t>or</w:t>
      </w:r>
      <w:r w:rsidR="00C64050">
        <w:t xml:space="preserve"> </w:t>
      </w:r>
      <w:r w:rsidRPr="00454670">
        <w:t>impossible,</w:t>
      </w:r>
      <w:r w:rsidR="00C64050">
        <w:t xml:space="preserve"> </w:t>
      </w:r>
      <w:r w:rsidRPr="00454670">
        <w:t>estate</w:t>
      </w:r>
      <w:r w:rsidR="00C64050">
        <w:t xml:space="preserve"> </w:t>
      </w:r>
      <w:r w:rsidRPr="00454670">
        <w:t>planners</w:t>
      </w:r>
      <w:r w:rsidR="00C64050">
        <w:t xml:space="preserve"> </w:t>
      </w:r>
      <w:r w:rsidRPr="00454670">
        <w:t>may</w:t>
      </w:r>
      <w:r w:rsidR="00C64050">
        <w:t xml:space="preserve"> </w:t>
      </w:r>
      <w:r w:rsidRPr="00454670">
        <w:t>want</w:t>
      </w:r>
      <w:r w:rsidR="00C64050">
        <w:t xml:space="preserve"> </w:t>
      </w:r>
      <w:r w:rsidRPr="00454670">
        <w:t>to</w:t>
      </w:r>
      <w:r w:rsidR="00C64050">
        <w:t xml:space="preserve"> </w:t>
      </w:r>
      <w:r w:rsidRPr="00454670">
        <w:t>consider</w:t>
      </w:r>
      <w:r w:rsidR="00C64050">
        <w:t xml:space="preserve"> </w:t>
      </w:r>
      <w:r w:rsidRPr="00454670">
        <w:t>drafting</w:t>
      </w:r>
      <w:r w:rsidR="00C64050">
        <w:t xml:space="preserve"> </w:t>
      </w:r>
      <w:r w:rsidRPr="00454670">
        <w:t>“standby”</w:t>
      </w:r>
      <w:r w:rsidR="00C64050">
        <w:t xml:space="preserve"> </w:t>
      </w:r>
      <w:r w:rsidRPr="00454670">
        <w:t>purchase</w:t>
      </w:r>
      <w:r w:rsidR="00C64050">
        <w:t xml:space="preserve"> </w:t>
      </w:r>
      <w:r w:rsidRPr="00454670">
        <w:t>instruments</w:t>
      </w:r>
      <w:r w:rsidR="00C64050">
        <w:t xml:space="preserve"> </w:t>
      </w:r>
      <w:r w:rsidRPr="00454670">
        <w:t>to</w:t>
      </w:r>
      <w:r w:rsidR="00C64050">
        <w:t xml:space="preserve"> </w:t>
      </w:r>
      <w:r w:rsidRPr="00454670">
        <w:t>facilitate</w:t>
      </w:r>
      <w:r w:rsidR="00C64050">
        <w:t xml:space="preserve"> </w:t>
      </w:r>
      <w:r w:rsidRPr="00454670">
        <w:t>fast</w:t>
      </w:r>
      <w:r w:rsidR="00C64050">
        <w:t xml:space="preserve"> </w:t>
      </w:r>
      <w:r w:rsidRPr="00454670">
        <w:t>implementation</w:t>
      </w:r>
      <w:r w:rsidR="00C64050">
        <w:t xml:space="preserve"> </w:t>
      </w:r>
      <w:r w:rsidRPr="00454670">
        <w:t>of</w:t>
      </w:r>
      <w:r w:rsidR="00C64050">
        <w:t xml:space="preserve"> </w:t>
      </w:r>
      <w:r w:rsidRPr="00454670">
        <w:t>repurchase.</w:t>
      </w:r>
    </w:p>
    <w:p w:rsidR="008059B8" w:rsidRPr="00D70884" w:rsidRDefault="00C311A2" w:rsidP="009676E9">
      <w:pPr>
        <w:pStyle w:val="LFLevel2"/>
        <w:rPr>
          <w:b/>
          <w:u w:val="single"/>
        </w:rPr>
      </w:pPr>
      <w:bookmarkStart w:id="72" w:name="_Toc376946734"/>
      <w:bookmarkStart w:id="73" w:name="_Toc376948374"/>
      <w:bookmarkStart w:id="74" w:name="_Toc376949168"/>
      <w:bookmarkStart w:id="75" w:name="_Toc94704610"/>
      <w:r w:rsidRPr="00D70884">
        <w:rPr>
          <w:b/>
          <w:u w:val="single"/>
        </w:rPr>
        <w:t>Should</w:t>
      </w:r>
      <w:r w:rsidR="00C64050">
        <w:rPr>
          <w:b/>
          <w:u w:val="single"/>
        </w:rPr>
        <w:t xml:space="preserve"> </w:t>
      </w:r>
      <w:r w:rsidR="008059B8" w:rsidRPr="00D70884">
        <w:rPr>
          <w:b/>
          <w:u w:val="single"/>
        </w:rPr>
        <w:t>Valuation</w:t>
      </w:r>
      <w:r w:rsidR="00C64050">
        <w:rPr>
          <w:b/>
          <w:u w:val="single"/>
        </w:rPr>
        <w:t xml:space="preserve"> </w:t>
      </w:r>
      <w:r w:rsidR="008059B8" w:rsidRPr="00D70884">
        <w:rPr>
          <w:b/>
          <w:u w:val="single"/>
        </w:rPr>
        <w:t>Discounts</w:t>
      </w:r>
      <w:r w:rsidR="00C64050">
        <w:rPr>
          <w:b/>
          <w:u w:val="single"/>
        </w:rPr>
        <w:t xml:space="preserve"> </w:t>
      </w:r>
      <w:r w:rsidRPr="00D70884">
        <w:rPr>
          <w:b/>
          <w:u w:val="single"/>
        </w:rPr>
        <w:t>Be</w:t>
      </w:r>
      <w:r w:rsidR="00C64050">
        <w:rPr>
          <w:b/>
          <w:u w:val="single"/>
        </w:rPr>
        <w:t xml:space="preserve"> </w:t>
      </w:r>
      <w:r w:rsidRPr="00D70884">
        <w:rPr>
          <w:b/>
          <w:u w:val="single"/>
        </w:rPr>
        <w:t>Undone?</w:t>
      </w:r>
      <w:bookmarkEnd w:id="72"/>
      <w:bookmarkEnd w:id="73"/>
      <w:bookmarkEnd w:id="74"/>
      <w:bookmarkEnd w:id="75"/>
    </w:p>
    <w:p w:rsidR="008059B8" w:rsidRPr="00454670" w:rsidRDefault="008059B8" w:rsidP="00120A9D">
      <w:pPr>
        <w:pStyle w:val="LFLevel3"/>
        <w:ind w:left="0" w:firstLine="1440"/>
      </w:pPr>
      <w:r w:rsidRPr="00454670">
        <w:t>Where</w:t>
      </w:r>
      <w:r w:rsidR="00C64050">
        <w:t xml:space="preserve"> </w:t>
      </w:r>
      <w:r w:rsidRPr="00454670">
        <w:t>assets</w:t>
      </w:r>
      <w:r w:rsidR="00C64050">
        <w:t xml:space="preserve"> </w:t>
      </w:r>
      <w:r w:rsidRPr="00454670">
        <w:t>have</w:t>
      </w:r>
      <w:r w:rsidR="00C64050">
        <w:t xml:space="preserve"> </w:t>
      </w:r>
      <w:r w:rsidRPr="00454670">
        <w:t>been</w:t>
      </w:r>
      <w:r w:rsidR="00C64050">
        <w:t xml:space="preserve"> </w:t>
      </w:r>
      <w:r w:rsidRPr="00454670">
        <w:t>divided</w:t>
      </w:r>
      <w:r w:rsidR="00C64050">
        <w:t xml:space="preserve"> </w:t>
      </w:r>
      <w:r w:rsidRPr="00454670">
        <w:t>among</w:t>
      </w:r>
      <w:r w:rsidR="00C64050">
        <w:t xml:space="preserve"> </w:t>
      </w:r>
      <w:r w:rsidRPr="00454670">
        <w:t>generations</w:t>
      </w:r>
      <w:r w:rsidR="00C64050">
        <w:t xml:space="preserve"> </w:t>
      </w:r>
      <w:r w:rsidRPr="00454670">
        <w:t>to</w:t>
      </w:r>
      <w:r w:rsidR="00C64050">
        <w:t xml:space="preserve"> </w:t>
      </w:r>
      <w:r w:rsidRPr="00454670">
        <w:t>create</w:t>
      </w:r>
      <w:r w:rsidR="00C64050">
        <w:t xml:space="preserve"> </w:t>
      </w:r>
      <w:r w:rsidRPr="00454670">
        <w:t>discounts,</w:t>
      </w:r>
      <w:r w:rsidR="00C64050">
        <w:t xml:space="preserve"> </w:t>
      </w:r>
      <w:r w:rsidRPr="00454670">
        <w:t>consideration</w:t>
      </w:r>
      <w:r w:rsidR="00C64050">
        <w:t xml:space="preserve"> </w:t>
      </w:r>
      <w:r w:rsidRPr="00454670">
        <w:t>should</w:t>
      </w:r>
      <w:r w:rsidR="00C64050">
        <w:t xml:space="preserve"> </w:t>
      </w:r>
      <w:r w:rsidRPr="00454670">
        <w:t>be</w:t>
      </w:r>
      <w:r w:rsidR="00C64050">
        <w:t xml:space="preserve"> </w:t>
      </w:r>
      <w:r w:rsidRPr="00454670">
        <w:t>given</w:t>
      </w:r>
      <w:r w:rsidR="00C64050">
        <w:t xml:space="preserve"> </w:t>
      </w:r>
      <w:r w:rsidRPr="00454670">
        <w:t>to</w:t>
      </w:r>
      <w:r w:rsidR="00C64050">
        <w:t xml:space="preserve"> </w:t>
      </w:r>
      <w:r w:rsidRPr="00454670">
        <w:t>undoing</w:t>
      </w:r>
      <w:r w:rsidR="00C64050">
        <w:t xml:space="preserve"> </w:t>
      </w:r>
      <w:r w:rsidRPr="00454670">
        <w:t>those</w:t>
      </w:r>
      <w:r w:rsidR="00C64050">
        <w:t xml:space="preserve"> </w:t>
      </w:r>
      <w:r w:rsidRPr="00454670">
        <w:t>arrangements</w:t>
      </w:r>
      <w:r w:rsidR="00C64050">
        <w:t xml:space="preserve"> </w:t>
      </w:r>
      <w:r w:rsidRPr="00454670">
        <w:t>if</w:t>
      </w:r>
      <w:r w:rsidR="00C64050">
        <w:t xml:space="preserve"> </w:t>
      </w:r>
      <w:r w:rsidRPr="00454670">
        <w:t>the</w:t>
      </w:r>
      <w:r w:rsidR="00C64050">
        <w:t xml:space="preserve"> </w:t>
      </w:r>
      <w:r w:rsidRPr="00454670">
        <w:t>effect</w:t>
      </w:r>
      <w:r w:rsidR="00C64050">
        <w:t xml:space="preserve"> </w:t>
      </w:r>
      <w:r w:rsidRPr="00454670">
        <w:t>is</w:t>
      </w:r>
      <w:r w:rsidR="00C64050">
        <w:t xml:space="preserve"> </w:t>
      </w:r>
      <w:r w:rsidRPr="00454670">
        <w:t>to</w:t>
      </w:r>
      <w:r w:rsidR="00C64050">
        <w:t xml:space="preserve"> </w:t>
      </w:r>
      <w:r w:rsidRPr="00454670">
        <w:t>depress</w:t>
      </w:r>
      <w:r w:rsidR="00C64050">
        <w:t xml:space="preserve"> </w:t>
      </w:r>
      <w:r w:rsidRPr="00454670">
        <w:t>the</w:t>
      </w:r>
      <w:r w:rsidR="00C64050">
        <w:t xml:space="preserve"> </w:t>
      </w:r>
      <w:r w:rsidRPr="00454670">
        <w:t>value</w:t>
      </w:r>
      <w:r w:rsidR="00C64050">
        <w:t xml:space="preserve"> </w:t>
      </w:r>
      <w:r w:rsidRPr="00454670">
        <w:t>of</w:t>
      </w:r>
      <w:r w:rsidR="00C64050">
        <w:t xml:space="preserve"> </w:t>
      </w:r>
      <w:r w:rsidRPr="00454670">
        <w:t>an</w:t>
      </w:r>
      <w:r w:rsidR="00C64050">
        <w:t xml:space="preserve"> </w:t>
      </w:r>
      <w:r w:rsidRPr="00454670">
        <w:t>estate</w:t>
      </w:r>
      <w:r w:rsidR="00C64050">
        <w:t xml:space="preserve"> </w:t>
      </w:r>
      <w:r w:rsidRPr="00454670">
        <w:t>below</w:t>
      </w:r>
      <w:r w:rsidR="00C64050">
        <w:t xml:space="preserve"> </w:t>
      </w:r>
      <w:r w:rsidRPr="00454670">
        <w:t>the</w:t>
      </w:r>
      <w:r w:rsidR="00C64050">
        <w:t xml:space="preserve"> </w:t>
      </w:r>
      <w:r w:rsidRPr="00454670">
        <w:t>amount</w:t>
      </w:r>
      <w:r w:rsidR="00C64050">
        <w:t xml:space="preserve"> </w:t>
      </w:r>
      <w:r w:rsidRPr="00454670">
        <w:t>of</w:t>
      </w:r>
      <w:r w:rsidR="00C64050">
        <w:t xml:space="preserve"> </w:t>
      </w:r>
      <w:r w:rsidRPr="00454670">
        <w:t>Available</w:t>
      </w:r>
      <w:r w:rsidR="00C64050">
        <w:t xml:space="preserve"> </w:t>
      </w:r>
      <w:r w:rsidRPr="00454670">
        <w:t>Exemption</w:t>
      </w:r>
      <w:r w:rsidR="00C64050">
        <w:t xml:space="preserve"> </w:t>
      </w:r>
      <w:r w:rsidRPr="00454670">
        <w:t>Amount</w:t>
      </w:r>
      <w:r w:rsidR="00C64050">
        <w:t xml:space="preserve"> </w:t>
      </w:r>
      <w:r w:rsidRPr="00454670">
        <w:t>in</w:t>
      </w:r>
      <w:r w:rsidR="00C64050">
        <w:t xml:space="preserve"> </w:t>
      </w:r>
      <w:r w:rsidRPr="00454670">
        <w:t>order</w:t>
      </w:r>
      <w:r w:rsidR="00C64050">
        <w:t xml:space="preserve"> </w:t>
      </w:r>
      <w:r w:rsidRPr="00454670">
        <w:t>to</w:t>
      </w:r>
      <w:r w:rsidR="00C64050">
        <w:t xml:space="preserve"> </w:t>
      </w:r>
      <w:r w:rsidRPr="00454670">
        <w:t>increase</w:t>
      </w:r>
      <w:r w:rsidR="00C64050">
        <w:t xml:space="preserve"> </w:t>
      </w:r>
      <w:r w:rsidRPr="00454670">
        <w:t>the</w:t>
      </w:r>
      <w:r w:rsidR="00C64050">
        <w:t xml:space="preserve"> </w:t>
      </w:r>
      <w:r w:rsidRPr="00454670">
        <w:t>income</w:t>
      </w:r>
      <w:r w:rsidR="00C64050">
        <w:t xml:space="preserve"> </w:t>
      </w:r>
      <w:r w:rsidRPr="00454670">
        <w:t>tax</w:t>
      </w:r>
      <w:r w:rsidR="00C64050">
        <w:t xml:space="preserve"> </w:t>
      </w:r>
      <w:r w:rsidRPr="00454670">
        <w:t>basis</w:t>
      </w:r>
      <w:r w:rsidR="00C64050">
        <w:t xml:space="preserve"> </w:t>
      </w:r>
      <w:r w:rsidRPr="00454670">
        <w:t>of</w:t>
      </w:r>
      <w:r w:rsidR="00C64050">
        <w:t xml:space="preserve"> </w:t>
      </w:r>
      <w:r w:rsidRPr="00454670">
        <w:t>the</w:t>
      </w:r>
      <w:r w:rsidR="00C64050">
        <w:t xml:space="preserve"> </w:t>
      </w:r>
      <w:r w:rsidRPr="00454670">
        <w:t>assets.</w:t>
      </w:r>
    </w:p>
    <w:p w:rsidR="008059B8" w:rsidRPr="00454670" w:rsidRDefault="008059B8" w:rsidP="00120A9D">
      <w:pPr>
        <w:pStyle w:val="LFLevel3"/>
        <w:ind w:left="0" w:firstLine="1440"/>
      </w:pPr>
      <w:r w:rsidRPr="00454670">
        <w:t>Discount</w:t>
      </w:r>
      <w:r w:rsidR="00C64050">
        <w:t xml:space="preserve"> </w:t>
      </w:r>
      <w:r w:rsidRPr="00454670">
        <w:t>entities</w:t>
      </w:r>
      <w:r w:rsidR="00C64050">
        <w:t xml:space="preserve"> </w:t>
      </w:r>
      <w:r w:rsidRPr="00454670">
        <w:t>could</w:t>
      </w:r>
      <w:r w:rsidR="00C64050">
        <w:t xml:space="preserve"> </w:t>
      </w:r>
      <w:r w:rsidRPr="00454670">
        <w:t>be</w:t>
      </w:r>
      <w:r w:rsidR="00C64050">
        <w:t xml:space="preserve"> </w:t>
      </w:r>
      <w:r w:rsidRPr="00454670">
        <w:t>dissolved</w:t>
      </w:r>
      <w:r w:rsidR="00C64050">
        <w:t xml:space="preserve"> </w:t>
      </w:r>
      <w:r w:rsidRPr="00454670">
        <w:t>or</w:t>
      </w:r>
      <w:r w:rsidR="00C64050">
        <w:t xml:space="preserve"> </w:t>
      </w:r>
      <w:r w:rsidRPr="00454670">
        <w:t>restated</w:t>
      </w:r>
      <w:r w:rsidR="00C64050">
        <w:t xml:space="preserve"> </w:t>
      </w:r>
      <w:r w:rsidRPr="00454670">
        <w:t>to</w:t>
      </w:r>
      <w:r w:rsidR="00C64050">
        <w:t xml:space="preserve"> </w:t>
      </w:r>
      <w:r w:rsidRPr="00454670">
        <w:t>allow</w:t>
      </w:r>
      <w:r w:rsidR="00C64050">
        <w:t xml:space="preserve"> </w:t>
      </w:r>
      <w:r w:rsidRPr="00454670">
        <w:t>the</w:t>
      </w:r>
      <w:r w:rsidR="00C64050">
        <w:t xml:space="preserve"> </w:t>
      </w:r>
      <w:r w:rsidRPr="00454670">
        <w:t>parties</w:t>
      </w:r>
      <w:r w:rsidR="00C64050">
        <w:t xml:space="preserve"> </w:t>
      </w:r>
      <w:r w:rsidRPr="00454670">
        <w:t>to</w:t>
      </w:r>
      <w:r w:rsidR="00C64050">
        <w:t xml:space="preserve"> </w:t>
      </w:r>
      <w:r w:rsidRPr="00454670">
        <w:t>the</w:t>
      </w:r>
      <w:r w:rsidR="00C64050">
        <w:t xml:space="preserve"> </w:t>
      </w:r>
      <w:r w:rsidRPr="00454670">
        <w:t>entity</w:t>
      </w:r>
      <w:r w:rsidR="00C64050">
        <w:t xml:space="preserve"> </w:t>
      </w:r>
      <w:r w:rsidRPr="00454670">
        <w:t>to</w:t>
      </w:r>
      <w:r w:rsidR="00C64050">
        <w:t xml:space="preserve"> </w:t>
      </w:r>
      <w:r w:rsidRPr="00454670">
        <w:t>withdraw.</w:t>
      </w:r>
    </w:p>
    <w:p w:rsidR="008059B8" w:rsidRPr="00454670" w:rsidRDefault="008059B8" w:rsidP="00E12C3A">
      <w:pPr>
        <w:pStyle w:val="LFLevel4"/>
        <w:ind w:left="0" w:firstLine="2160"/>
      </w:pPr>
      <w:r w:rsidRPr="00454670">
        <w:t>An</w:t>
      </w:r>
      <w:r w:rsidR="00C64050">
        <w:t xml:space="preserve"> </w:t>
      </w:r>
      <w:r w:rsidRPr="00454670">
        <w:t>option</w:t>
      </w:r>
      <w:r w:rsidR="00C64050">
        <w:t xml:space="preserve"> </w:t>
      </w:r>
      <w:r w:rsidRPr="00454670">
        <w:t>could</w:t>
      </w:r>
      <w:r w:rsidR="00C64050">
        <w:t xml:space="preserve"> </w:t>
      </w:r>
      <w:r w:rsidRPr="00454670">
        <w:t>be</w:t>
      </w:r>
      <w:r w:rsidR="00C64050">
        <w:t xml:space="preserve"> </w:t>
      </w:r>
      <w:r w:rsidRPr="00454670">
        <w:t>given</w:t>
      </w:r>
      <w:r w:rsidR="00C64050">
        <w:t xml:space="preserve"> </w:t>
      </w:r>
      <w:r w:rsidRPr="00454670">
        <w:t>to</w:t>
      </w:r>
      <w:r w:rsidR="00C64050">
        <w:t xml:space="preserve"> </w:t>
      </w:r>
      <w:r w:rsidRPr="00454670">
        <w:t>a</w:t>
      </w:r>
      <w:r w:rsidR="00C64050">
        <w:t xml:space="preserve"> </w:t>
      </w:r>
      <w:r w:rsidRPr="00454670">
        <w:t>parent</w:t>
      </w:r>
      <w:r w:rsidR="00C64050">
        <w:t xml:space="preserve"> </w:t>
      </w:r>
      <w:r w:rsidRPr="00454670">
        <w:t>allowing</w:t>
      </w:r>
      <w:r w:rsidR="00C64050">
        <w:t xml:space="preserve"> </w:t>
      </w:r>
      <w:r w:rsidRPr="00454670">
        <w:t>the</w:t>
      </w:r>
      <w:r w:rsidR="00C64050">
        <w:t xml:space="preserve"> </w:t>
      </w:r>
      <w:r w:rsidRPr="00454670">
        <w:t>sale</w:t>
      </w:r>
      <w:r w:rsidR="00C64050">
        <w:t xml:space="preserve"> </w:t>
      </w:r>
      <w:r w:rsidRPr="00454670">
        <w:t>of</w:t>
      </w:r>
      <w:r w:rsidR="00C64050">
        <w:t xml:space="preserve"> </w:t>
      </w:r>
      <w:r w:rsidRPr="00454670">
        <w:t>the</w:t>
      </w:r>
      <w:r w:rsidR="00C64050">
        <w:t xml:space="preserve"> </w:t>
      </w:r>
      <w:r w:rsidRPr="00454670">
        <w:t>parent’s</w:t>
      </w:r>
      <w:r w:rsidR="00C64050">
        <w:t xml:space="preserve"> </w:t>
      </w:r>
      <w:r w:rsidRPr="00454670">
        <w:t>interest</w:t>
      </w:r>
      <w:r w:rsidR="00C64050">
        <w:t xml:space="preserve"> </w:t>
      </w:r>
      <w:r w:rsidRPr="00454670">
        <w:t>to</w:t>
      </w:r>
      <w:r w:rsidR="00C64050">
        <w:t xml:space="preserve"> </w:t>
      </w:r>
      <w:r w:rsidRPr="00454670">
        <w:t>a</w:t>
      </w:r>
      <w:r w:rsidR="00C64050">
        <w:t xml:space="preserve"> </w:t>
      </w:r>
      <w:r w:rsidRPr="00454670">
        <w:t>child</w:t>
      </w:r>
      <w:r w:rsidR="00C64050">
        <w:t xml:space="preserve"> </w:t>
      </w:r>
      <w:r w:rsidRPr="00454670">
        <w:t>or</w:t>
      </w:r>
      <w:r w:rsidR="00C64050">
        <w:t xml:space="preserve"> </w:t>
      </w:r>
      <w:r w:rsidRPr="00454670">
        <w:t>children</w:t>
      </w:r>
      <w:r w:rsidR="00C64050">
        <w:t xml:space="preserve"> </w:t>
      </w:r>
      <w:r w:rsidRPr="00454670">
        <w:t>for</w:t>
      </w:r>
      <w:r w:rsidR="00C64050">
        <w:t xml:space="preserve"> </w:t>
      </w:r>
      <w:r w:rsidRPr="00454670">
        <w:t>undiscounted</w:t>
      </w:r>
      <w:r w:rsidR="00C64050">
        <w:t xml:space="preserve"> </w:t>
      </w:r>
      <w:r w:rsidRPr="00454670">
        <w:t>fair</w:t>
      </w:r>
      <w:r w:rsidR="00C64050">
        <w:t xml:space="preserve"> </w:t>
      </w:r>
      <w:r w:rsidRPr="00454670">
        <w:t>market</w:t>
      </w:r>
      <w:r w:rsidR="00C64050">
        <w:t xml:space="preserve"> </w:t>
      </w:r>
      <w:r w:rsidRPr="00454670">
        <w:t>value</w:t>
      </w:r>
      <w:r w:rsidR="00C64050">
        <w:t xml:space="preserve"> </w:t>
      </w:r>
      <w:r w:rsidRPr="00454670">
        <w:t>at</w:t>
      </w:r>
      <w:r w:rsidR="00C64050">
        <w:t xml:space="preserve"> </w:t>
      </w:r>
      <w:r w:rsidRPr="00454670">
        <w:t>death.</w:t>
      </w:r>
      <w:r w:rsidR="00C64050">
        <w:t xml:space="preserve">  </w:t>
      </w:r>
      <w:r w:rsidRPr="00454670">
        <w:t>Giving</w:t>
      </w:r>
      <w:r w:rsidR="00C64050">
        <w:t xml:space="preserve"> </w:t>
      </w:r>
      <w:r w:rsidRPr="00454670">
        <w:t>such</w:t>
      </w:r>
      <w:r w:rsidR="00C64050">
        <w:t xml:space="preserve"> </w:t>
      </w:r>
      <w:r w:rsidRPr="00454670">
        <w:t>an</w:t>
      </w:r>
      <w:r w:rsidR="00C64050">
        <w:t xml:space="preserve"> </w:t>
      </w:r>
      <w:r w:rsidRPr="00454670">
        <w:t>option</w:t>
      </w:r>
      <w:r w:rsidR="00C64050">
        <w:t xml:space="preserve"> </w:t>
      </w:r>
      <w:r w:rsidRPr="00454670">
        <w:t>to</w:t>
      </w:r>
      <w:r w:rsidR="00C64050">
        <w:t xml:space="preserve"> </w:t>
      </w:r>
      <w:r w:rsidRPr="00454670">
        <w:t>a</w:t>
      </w:r>
      <w:r w:rsidR="00C64050">
        <w:t xml:space="preserve"> </w:t>
      </w:r>
      <w:r w:rsidRPr="00454670">
        <w:t>parent</w:t>
      </w:r>
      <w:r w:rsidR="00C64050">
        <w:t xml:space="preserve"> </w:t>
      </w:r>
      <w:r w:rsidRPr="00454670">
        <w:t>would</w:t>
      </w:r>
      <w:r w:rsidR="00C64050">
        <w:t xml:space="preserve"> </w:t>
      </w:r>
      <w:r w:rsidRPr="00454670">
        <w:t>be</w:t>
      </w:r>
      <w:r w:rsidR="00C64050">
        <w:t xml:space="preserve"> </w:t>
      </w:r>
      <w:r w:rsidRPr="00454670">
        <w:t>a</w:t>
      </w:r>
      <w:r w:rsidR="00C64050">
        <w:t xml:space="preserve"> </w:t>
      </w:r>
      <w:r w:rsidRPr="00454670">
        <w:t>gift</w:t>
      </w:r>
      <w:r w:rsidR="00C64050">
        <w:t xml:space="preserve"> </w:t>
      </w:r>
      <w:r w:rsidRPr="00454670">
        <w:t>unless</w:t>
      </w:r>
      <w:r w:rsidR="00C64050">
        <w:t xml:space="preserve"> </w:t>
      </w:r>
      <w:r w:rsidRPr="00454670">
        <w:t>accompanied</w:t>
      </w:r>
      <w:r w:rsidR="00C64050">
        <w:t xml:space="preserve"> </w:t>
      </w:r>
      <w:r w:rsidRPr="00454670">
        <w:t>by</w:t>
      </w:r>
      <w:r w:rsidR="00C64050">
        <w:t xml:space="preserve"> </w:t>
      </w:r>
      <w:r w:rsidRPr="00454670">
        <w:t>adequate</w:t>
      </w:r>
      <w:r w:rsidR="00C64050">
        <w:t xml:space="preserve"> </w:t>
      </w:r>
      <w:r w:rsidRPr="00454670">
        <w:t>and</w:t>
      </w:r>
      <w:r w:rsidR="00C64050">
        <w:t xml:space="preserve"> </w:t>
      </w:r>
      <w:r w:rsidRPr="00454670">
        <w:t>full</w:t>
      </w:r>
      <w:r w:rsidR="00C64050">
        <w:t xml:space="preserve"> </w:t>
      </w:r>
      <w:r w:rsidRPr="00454670">
        <w:t>consideration.</w:t>
      </w:r>
    </w:p>
    <w:p w:rsidR="008059B8" w:rsidRPr="00454670" w:rsidRDefault="008059B8" w:rsidP="003E38A9">
      <w:pPr>
        <w:pStyle w:val="LFLevel4"/>
        <w:ind w:left="0" w:firstLine="2160"/>
      </w:pPr>
      <w:r w:rsidRPr="00454670">
        <w:t>If</w:t>
      </w:r>
      <w:r w:rsidR="00C64050">
        <w:t xml:space="preserve"> </w:t>
      </w:r>
      <w:r w:rsidRPr="00454670">
        <w:t>undivided</w:t>
      </w:r>
      <w:r w:rsidR="00C64050">
        <w:t xml:space="preserve"> </w:t>
      </w:r>
      <w:r w:rsidRPr="00454670">
        <w:t>interests</w:t>
      </w:r>
      <w:r w:rsidR="00C64050">
        <w:t xml:space="preserve"> </w:t>
      </w:r>
      <w:r w:rsidRPr="00454670">
        <w:t>in</w:t>
      </w:r>
      <w:r w:rsidR="00C64050">
        <w:t xml:space="preserve"> </w:t>
      </w:r>
      <w:r w:rsidRPr="00454670">
        <w:t>property</w:t>
      </w:r>
      <w:r w:rsidR="00C64050">
        <w:t xml:space="preserve"> </w:t>
      </w:r>
      <w:r w:rsidRPr="00454670">
        <w:t>are</w:t>
      </w:r>
      <w:r w:rsidR="00C64050">
        <w:t xml:space="preserve"> </w:t>
      </w:r>
      <w:r w:rsidRPr="00454670">
        <w:t>owned,</w:t>
      </w:r>
      <w:r w:rsidR="00C64050">
        <w:t xml:space="preserve"> </w:t>
      </w:r>
      <w:r w:rsidRPr="00454670">
        <w:t>agreements</w:t>
      </w:r>
      <w:r w:rsidR="00C64050">
        <w:t xml:space="preserve"> </w:t>
      </w:r>
      <w:r w:rsidRPr="00454670">
        <w:t>could</w:t>
      </w:r>
      <w:r w:rsidR="00C64050">
        <w:t xml:space="preserve"> </w:t>
      </w:r>
      <w:r w:rsidRPr="00454670">
        <w:t>be</w:t>
      </w:r>
      <w:r w:rsidR="00C64050">
        <w:t xml:space="preserve"> </w:t>
      </w:r>
      <w:r w:rsidRPr="00454670">
        <w:t>entered</w:t>
      </w:r>
      <w:r w:rsidR="00C64050">
        <w:t xml:space="preserve"> </w:t>
      </w:r>
      <w:r w:rsidRPr="00454670">
        <w:t>into</w:t>
      </w:r>
      <w:r w:rsidR="00C64050">
        <w:t xml:space="preserve"> </w:t>
      </w:r>
      <w:r w:rsidRPr="00454670">
        <w:t>that</w:t>
      </w:r>
      <w:r w:rsidR="00C64050">
        <w:t xml:space="preserve"> </w:t>
      </w:r>
      <w:r w:rsidRPr="00454670">
        <w:t>require</w:t>
      </w:r>
      <w:r w:rsidR="00C64050">
        <w:t xml:space="preserve"> </w:t>
      </w:r>
      <w:r w:rsidRPr="00454670">
        <w:t>all</w:t>
      </w:r>
      <w:r w:rsidR="00C64050">
        <w:t xml:space="preserve"> </w:t>
      </w:r>
      <w:r w:rsidRPr="00454670">
        <w:t>generations</w:t>
      </w:r>
      <w:r w:rsidR="00C64050">
        <w:t xml:space="preserve"> </w:t>
      </w:r>
      <w:r w:rsidRPr="00454670">
        <w:t>to</w:t>
      </w:r>
      <w:r w:rsidR="00C64050">
        <w:t xml:space="preserve"> </w:t>
      </w:r>
      <w:r w:rsidRPr="00454670">
        <w:t>consent</w:t>
      </w:r>
      <w:r w:rsidR="00C64050">
        <w:t xml:space="preserve"> </w:t>
      </w:r>
      <w:r w:rsidRPr="00454670">
        <w:t>to</w:t>
      </w:r>
      <w:r w:rsidR="00C64050">
        <w:t xml:space="preserve"> </w:t>
      </w:r>
      <w:r w:rsidRPr="00454670">
        <w:t>the</w:t>
      </w:r>
      <w:r w:rsidR="00C64050">
        <w:t xml:space="preserve"> </w:t>
      </w:r>
      <w:r w:rsidRPr="00454670">
        <w:t>sale</w:t>
      </w:r>
      <w:r w:rsidR="00C64050">
        <w:t xml:space="preserve"> </w:t>
      </w:r>
      <w:r w:rsidRPr="00454670">
        <w:t>of</w:t>
      </w:r>
      <w:r w:rsidR="00C64050">
        <w:t xml:space="preserve"> </w:t>
      </w:r>
      <w:r w:rsidRPr="00454670">
        <w:t>the</w:t>
      </w:r>
      <w:r w:rsidR="00C64050">
        <w:t xml:space="preserve"> </w:t>
      </w:r>
      <w:r w:rsidRPr="00454670">
        <w:t>property</w:t>
      </w:r>
      <w:r w:rsidR="00C64050">
        <w:t xml:space="preserve"> </w:t>
      </w:r>
      <w:r w:rsidRPr="00454670">
        <w:t>as</w:t>
      </w:r>
      <w:r w:rsidR="00C64050">
        <w:t xml:space="preserve"> </w:t>
      </w:r>
      <w:r w:rsidRPr="00454670">
        <w:t>one</w:t>
      </w:r>
      <w:r w:rsidR="00C64050">
        <w:t xml:space="preserve"> </w:t>
      </w:r>
      <w:r w:rsidRPr="00454670">
        <w:t>tract</w:t>
      </w:r>
      <w:r w:rsidR="00C64050">
        <w:t xml:space="preserve"> </w:t>
      </w:r>
      <w:r w:rsidRPr="00454670">
        <w:t>if</w:t>
      </w:r>
      <w:r w:rsidR="00C64050">
        <w:t xml:space="preserve"> </w:t>
      </w:r>
      <w:r w:rsidRPr="00454670">
        <w:t>any</w:t>
      </w:r>
      <w:r w:rsidR="00C64050">
        <w:t xml:space="preserve"> </w:t>
      </w:r>
      <w:r w:rsidRPr="00454670">
        <w:t>one</w:t>
      </w:r>
      <w:r w:rsidR="00C64050">
        <w:t xml:space="preserve"> </w:t>
      </w:r>
      <w:r w:rsidRPr="00454670">
        <w:t>owner</w:t>
      </w:r>
      <w:r w:rsidR="00C64050">
        <w:t xml:space="preserve"> </w:t>
      </w:r>
      <w:r w:rsidRPr="00454670">
        <w:t>wanted</w:t>
      </w:r>
      <w:r w:rsidR="00C64050">
        <w:t xml:space="preserve"> </w:t>
      </w:r>
      <w:r w:rsidRPr="00454670">
        <w:t>to</w:t>
      </w:r>
      <w:r w:rsidR="00C64050">
        <w:t xml:space="preserve"> </w:t>
      </w:r>
      <w:r w:rsidRPr="00454670">
        <w:t>sell.</w:t>
      </w:r>
      <w:r w:rsidR="00C64050">
        <w:t xml:space="preserve">  </w:t>
      </w:r>
      <w:r w:rsidRPr="00454670">
        <w:t>Quite</w:t>
      </w:r>
      <w:r w:rsidR="00C64050">
        <w:t xml:space="preserve"> </w:t>
      </w:r>
      <w:r w:rsidRPr="00454670">
        <w:t>obviously</w:t>
      </w:r>
      <w:r w:rsidR="00C64050">
        <w:t xml:space="preserve"> </w:t>
      </w:r>
      <w:r w:rsidRPr="00454670">
        <w:t>such</w:t>
      </w:r>
      <w:r w:rsidR="00C64050">
        <w:t xml:space="preserve"> </w:t>
      </w:r>
      <w:r w:rsidRPr="00454670">
        <w:t>agreements</w:t>
      </w:r>
      <w:r w:rsidR="00C64050">
        <w:t xml:space="preserve"> </w:t>
      </w:r>
      <w:r w:rsidRPr="00454670">
        <w:t>may</w:t>
      </w:r>
      <w:r w:rsidR="00C64050">
        <w:t xml:space="preserve"> </w:t>
      </w:r>
      <w:r w:rsidRPr="00454670">
        <w:t>be</w:t>
      </w:r>
      <w:r w:rsidR="00C64050">
        <w:t xml:space="preserve"> </w:t>
      </w:r>
      <w:r w:rsidRPr="00454670">
        <w:t>contrary</w:t>
      </w:r>
      <w:r w:rsidR="00C64050">
        <w:t xml:space="preserve"> </w:t>
      </w:r>
      <w:r w:rsidRPr="00454670">
        <w:t>to</w:t>
      </w:r>
      <w:r w:rsidR="00C64050">
        <w:t xml:space="preserve"> </w:t>
      </w:r>
      <w:r w:rsidRPr="00454670">
        <w:t>other</w:t>
      </w:r>
      <w:r w:rsidR="00C64050">
        <w:t xml:space="preserve"> </w:t>
      </w:r>
      <w:r w:rsidRPr="00454670">
        <w:t>estate</w:t>
      </w:r>
      <w:r w:rsidR="00C64050">
        <w:t xml:space="preserve"> </w:t>
      </w:r>
      <w:r w:rsidRPr="00454670">
        <w:t>planning</w:t>
      </w:r>
      <w:r w:rsidR="00C64050">
        <w:t xml:space="preserve"> </w:t>
      </w:r>
      <w:r w:rsidRPr="00454670">
        <w:t>or</w:t>
      </w:r>
      <w:r w:rsidR="00C64050">
        <w:t xml:space="preserve"> </w:t>
      </w:r>
      <w:r w:rsidRPr="00454670">
        <w:t>ownership</w:t>
      </w:r>
      <w:r w:rsidR="00C64050">
        <w:t xml:space="preserve"> </w:t>
      </w:r>
      <w:r w:rsidRPr="00454670">
        <w:t>goals</w:t>
      </w:r>
      <w:r w:rsidR="00C64050">
        <w:t xml:space="preserve"> </w:t>
      </w:r>
      <w:r w:rsidRPr="00454670">
        <w:t>of</w:t>
      </w:r>
      <w:r w:rsidR="00C64050">
        <w:t xml:space="preserve"> </w:t>
      </w:r>
      <w:r w:rsidRPr="00454670">
        <w:t>the</w:t>
      </w:r>
      <w:r w:rsidR="00C64050">
        <w:t xml:space="preserve"> </w:t>
      </w:r>
      <w:r w:rsidRPr="00454670">
        <w:t>family.</w:t>
      </w:r>
      <w:r w:rsidR="00C64050">
        <w:t xml:space="preserve">  </w:t>
      </w:r>
    </w:p>
    <w:p w:rsidR="0073744A" w:rsidRDefault="008059B8" w:rsidP="003E38A9">
      <w:pPr>
        <w:pStyle w:val="LFLevel4"/>
        <w:ind w:left="0" w:firstLine="2160"/>
      </w:pPr>
      <w:r w:rsidRPr="00454670">
        <w:t>The</w:t>
      </w:r>
      <w:r w:rsidR="00C64050">
        <w:t xml:space="preserve"> </w:t>
      </w:r>
      <w:r w:rsidRPr="00454670">
        <w:t>ability</w:t>
      </w:r>
      <w:r w:rsidR="00C64050">
        <w:t xml:space="preserve"> </w:t>
      </w:r>
      <w:r w:rsidRPr="00454670">
        <w:t>of</w:t>
      </w:r>
      <w:r w:rsidR="00C64050">
        <w:t xml:space="preserve"> </w:t>
      </w:r>
      <w:r w:rsidRPr="00454670">
        <w:t>the</w:t>
      </w:r>
      <w:r w:rsidR="00C64050">
        <w:t xml:space="preserve"> </w:t>
      </w:r>
      <w:r w:rsidRPr="00454670">
        <w:t>IRS</w:t>
      </w:r>
      <w:r w:rsidR="00C64050">
        <w:t xml:space="preserve"> </w:t>
      </w:r>
      <w:r w:rsidRPr="00454670">
        <w:t>to</w:t>
      </w:r>
      <w:r w:rsidR="00C64050">
        <w:t xml:space="preserve"> </w:t>
      </w:r>
      <w:r w:rsidRPr="00454670">
        <w:t>ignore</w:t>
      </w:r>
      <w:r w:rsidR="00C64050">
        <w:t xml:space="preserve"> </w:t>
      </w:r>
      <w:r w:rsidRPr="00454670">
        <w:t>provisions</w:t>
      </w:r>
      <w:r w:rsidR="00C64050">
        <w:t xml:space="preserve"> </w:t>
      </w:r>
      <w:r w:rsidRPr="00454670">
        <w:t>of</w:t>
      </w:r>
      <w:r w:rsidR="00C64050">
        <w:t xml:space="preserve"> </w:t>
      </w:r>
      <w:r w:rsidRPr="00454670">
        <w:t>an</w:t>
      </w:r>
      <w:r w:rsidR="00C64050">
        <w:t xml:space="preserve"> </w:t>
      </w:r>
      <w:r w:rsidRPr="00454670">
        <w:t>agreement</w:t>
      </w:r>
      <w:r w:rsidR="00C64050">
        <w:t xml:space="preserve"> </w:t>
      </w:r>
      <w:r w:rsidRPr="00454670">
        <w:t>that</w:t>
      </w:r>
      <w:r w:rsidR="00C64050">
        <w:t xml:space="preserve"> </w:t>
      </w:r>
      <w:r w:rsidRPr="00454670">
        <w:t>increase</w:t>
      </w:r>
      <w:r w:rsidR="00C64050">
        <w:t xml:space="preserve"> </w:t>
      </w:r>
      <w:r w:rsidRPr="00454670">
        <w:t>the</w:t>
      </w:r>
      <w:r w:rsidR="00C64050">
        <w:t xml:space="preserve"> </w:t>
      </w:r>
      <w:r w:rsidRPr="00454670">
        <w:t>value</w:t>
      </w:r>
      <w:r w:rsidR="00C64050">
        <w:t xml:space="preserve"> </w:t>
      </w:r>
      <w:r w:rsidRPr="00454670">
        <w:t>of</w:t>
      </w:r>
      <w:r w:rsidR="00C64050">
        <w:t xml:space="preserve"> </w:t>
      </w:r>
      <w:r w:rsidRPr="00454670">
        <w:t>assets</w:t>
      </w:r>
      <w:r w:rsidR="00C64050">
        <w:t xml:space="preserve"> </w:t>
      </w:r>
      <w:r w:rsidRPr="00454670">
        <w:t>in</w:t>
      </w:r>
      <w:r w:rsidR="00C64050">
        <w:t xml:space="preserve"> </w:t>
      </w:r>
      <w:r w:rsidRPr="00454670">
        <w:t>the</w:t>
      </w:r>
      <w:r w:rsidR="00C64050">
        <w:t xml:space="preserve"> </w:t>
      </w:r>
      <w:r w:rsidRPr="00454670">
        <w:t>hands</w:t>
      </w:r>
      <w:r w:rsidR="00C64050">
        <w:t xml:space="preserve"> </w:t>
      </w:r>
      <w:r w:rsidRPr="00454670">
        <w:t>of</w:t>
      </w:r>
      <w:r w:rsidR="00C64050">
        <w:t xml:space="preserve"> </w:t>
      </w:r>
      <w:r w:rsidRPr="00454670">
        <w:t>a</w:t>
      </w:r>
      <w:r w:rsidR="00C64050">
        <w:t xml:space="preserve"> </w:t>
      </w:r>
      <w:r w:rsidRPr="00454670">
        <w:t>parent,</w:t>
      </w:r>
      <w:r w:rsidR="00C64050">
        <w:t xml:space="preserve"> </w:t>
      </w:r>
      <w:r w:rsidRPr="00454670">
        <w:t>but</w:t>
      </w:r>
      <w:r w:rsidR="00C64050">
        <w:t xml:space="preserve"> </w:t>
      </w:r>
      <w:r w:rsidRPr="00454670">
        <w:t>not</w:t>
      </w:r>
      <w:r w:rsidR="00C64050">
        <w:t xml:space="preserve"> </w:t>
      </w:r>
      <w:r w:rsidRPr="00454670">
        <w:t>in</w:t>
      </w:r>
      <w:r w:rsidR="00C64050">
        <w:t xml:space="preserve"> </w:t>
      </w:r>
      <w:r w:rsidRPr="00454670">
        <w:t>the</w:t>
      </w:r>
      <w:r w:rsidR="00C64050">
        <w:t xml:space="preserve"> </w:t>
      </w:r>
      <w:r w:rsidRPr="00454670">
        <w:t>hands</w:t>
      </w:r>
      <w:r w:rsidR="00C64050">
        <w:t xml:space="preserve"> </w:t>
      </w:r>
      <w:r w:rsidRPr="00454670">
        <w:t>of</w:t>
      </w:r>
      <w:r w:rsidR="00C64050">
        <w:t xml:space="preserve"> </w:t>
      </w:r>
      <w:r w:rsidRPr="00454670">
        <w:t>a</w:t>
      </w:r>
      <w:r w:rsidR="00C64050">
        <w:t xml:space="preserve"> </w:t>
      </w:r>
      <w:r w:rsidRPr="00454670">
        <w:t>child,</w:t>
      </w:r>
      <w:r w:rsidR="00C64050">
        <w:t xml:space="preserve"> </w:t>
      </w:r>
      <w:r w:rsidRPr="00454670">
        <w:t>is</w:t>
      </w:r>
      <w:r w:rsidR="00C64050">
        <w:t xml:space="preserve"> </w:t>
      </w:r>
      <w:r w:rsidRPr="00454670">
        <w:t>uncertain.</w:t>
      </w:r>
      <w:r w:rsidR="00C64050">
        <w:t xml:space="preserve">  </w:t>
      </w:r>
      <w:r w:rsidRPr="00454670">
        <w:t>By</w:t>
      </w:r>
      <w:r w:rsidR="00C64050">
        <w:t xml:space="preserve"> </w:t>
      </w:r>
      <w:r w:rsidRPr="00454670">
        <w:t>its</w:t>
      </w:r>
      <w:r w:rsidR="00C64050">
        <w:t xml:space="preserve"> </w:t>
      </w:r>
      <w:r w:rsidRPr="00454670">
        <w:t>literal</w:t>
      </w:r>
      <w:r w:rsidR="00C64050">
        <w:t xml:space="preserve"> </w:t>
      </w:r>
      <w:r w:rsidRPr="00454670">
        <w:t>terms</w:t>
      </w:r>
      <w:r w:rsidR="001236A7">
        <w:t>,</w:t>
      </w:r>
      <w:r w:rsidR="00C64050">
        <w:t xml:space="preserve"> </w:t>
      </w:r>
      <w:r w:rsidRPr="00454670">
        <w:t>section</w:t>
      </w:r>
      <w:r w:rsidR="00C64050">
        <w:t xml:space="preserve"> </w:t>
      </w:r>
      <w:r w:rsidRPr="00454670">
        <w:t>2703</w:t>
      </w:r>
      <w:r w:rsidR="00C64050">
        <w:t xml:space="preserve"> </w:t>
      </w:r>
      <w:r w:rsidRPr="00454670">
        <w:t>of</w:t>
      </w:r>
      <w:r w:rsidR="00C64050">
        <w:t xml:space="preserve"> </w:t>
      </w:r>
      <w:r w:rsidRPr="00454670">
        <w:t>the</w:t>
      </w:r>
      <w:r w:rsidR="00C64050">
        <w:t xml:space="preserve"> </w:t>
      </w:r>
      <w:r w:rsidRPr="00454670">
        <w:t>Code</w:t>
      </w:r>
      <w:r w:rsidR="00C64050">
        <w:t xml:space="preserve"> </w:t>
      </w:r>
      <w:r w:rsidRPr="00454670">
        <w:t>applies</w:t>
      </w:r>
      <w:r w:rsidR="00C64050">
        <w:t xml:space="preserve"> </w:t>
      </w:r>
      <w:r w:rsidRPr="00454670">
        <w:t>only</w:t>
      </w:r>
      <w:r w:rsidR="00C64050">
        <w:t xml:space="preserve"> </w:t>
      </w:r>
      <w:r w:rsidRPr="00454670">
        <w:t>to</w:t>
      </w:r>
      <w:r w:rsidR="00C64050">
        <w:t xml:space="preserve"> </w:t>
      </w:r>
      <w:r w:rsidRPr="00454670">
        <w:t>provisions</w:t>
      </w:r>
      <w:r w:rsidR="00C64050">
        <w:t xml:space="preserve"> </w:t>
      </w:r>
      <w:r w:rsidRPr="00454670">
        <w:t>that</w:t>
      </w:r>
      <w:r w:rsidR="00C64050">
        <w:t xml:space="preserve"> </w:t>
      </w:r>
      <w:r w:rsidRPr="00454670">
        <w:t>reduce</w:t>
      </w:r>
      <w:r w:rsidR="00C64050">
        <w:t xml:space="preserve"> </w:t>
      </w:r>
      <w:r w:rsidRPr="00454670">
        <w:t>value</w:t>
      </w:r>
      <w:r w:rsidR="00C64050">
        <w:t xml:space="preserve"> </w:t>
      </w:r>
      <w:r w:rsidRPr="00454670">
        <w:t>and</w:t>
      </w:r>
      <w:r w:rsidR="00C64050">
        <w:t xml:space="preserve"> </w:t>
      </w:r>
      <w:r w:rsidRPr="00454670">
        <w:t>to</w:t>
      </w:r>
      <w:r w:rsidR="00C64050">
        <w:t xml:space="preserve"> </w:t>
      </w:r>
      <w:r w:rsidRPr="00454670">
        <w:t>restrictions</w:t>
      </w:r>
      <w:r w:rsidR="00C64050">
        <w:t xml:space="preserve"> </w:t>
      </w:r>
      <w:r w:rsidRPr="00454670">
        <w:t>on</w:t>
      </w:r>
      <w:r w:rsidR="00C64050">
        <w:t xml:space="preserve"> </w:t>
      </w:r>
      <w:r w:rsidRPr="00454670">
        <w:t>the</w:t>
      </w:r>
      <w:r w:rsidR="00C64050">
        <w:t xml:space="preserve"> </w:t>
      </w:r>
      <w:r w:rsidRPr="00454670">
        <w:t>right</w:t>
      </w:r>
      <w:r w:rsidR="00C64050">
        <w:t xml:space="preserve"> </w:t>
      </w:r>
      <w:r w:rsidRPr="00454670">
        <w:t>to</w:t>
      </w:r>
      <w:r w:rsidR="00C64050">
        <w:t xml:space="preserve"> </w:t>
      </w:r>
      <w:r w:rsidRPr="00454670">
        <w:t>sell</w:t>
      </w:r>
      <w:r w:rsidR="00C64050">
        <w:t xml:space="preserve"> </w:t>
      </w:r>
      <w:r w:rsidRPr="00454670">
        <w:t>or</w:t>
      </w:r>
      <w:r w:rsidR="00C64050">
        <w:t xml:space="preserve"> </w:t>
      </w:r>
      <w:r w:rsidRPr="00454670">
        <w:t>use</w:t>
      </w:r>
      <w:r w:rsidR="00C64050">
        <w:t xml:space="preserve"> </w:t>
      </w:r>
      <w:r w:rsidRPr="00454670">
        <w:t>property.</w:t>
      </w:r>
      <w:r w:rsidR="00C64050">
        <w:t xml:space="preserve">  </w:t>
      </w:r>
      <w:r w:rsidRPr="00454670">
        <w:t>To</w:t>
      </w:r>
      <w:r w:rsidR="00C64050">
        <w:t xml:space="preserve"> </w:t>
      </w:r>
      <w:r w:rsidRPr="00454670">
        <w:t>illustrate,</w:t>
      </w:r>
      <w:r w:rsidR="00C64050">
        <w:t xml:space="preserve"> </w:t>
      </w:r>
      <w:r w:rsidRPr="00454670">
        <w:t>in</w:t>
      </w:r>
      <w:r w:rsidR="00C64050">
        <w:t xml:space="preserve"> </w:t>
      </w:r>
      <w:r w:rsidRPr="00C311A2">
        <w:rPr>
          <w:u w:val="single"/>
        </w:rPr>
        <w:t>Estate</w:t>
      </w:r>
      <w:r w:rsidR="00C64050">
        <w:rPr>
          <w:u w:val="single"/>
        </w:rPr>
        <w:t xml:space="preserve"> </w:t>
      </w:r>
      <w:r w:rsidRPr="00C311A2">
        <w:rPr>
          <w:u w:val="single"/>
        </w:rPr>
        <w:t>of</w:t>
      </w:r>
      <w:r w:rsidR="00C64050">
        <w:rPr>
          <w:u w:val="single"/>
        </w:rPr>
        <w:t xml:space="preserve"> </w:t>
      </w:r>
      <w:r w:rsidRPr="00C311A2">
        <w:rPr>
          <w:u w:val="single"/>
        </w:rPr>
        <w:t>James</w:t>
      </w:r>
      <w:r w:rsidR="00C64050">
        <w:rPr>
          <w:u w:val="single"/>
        </w:rPr>
        <w:t xml:space="preserve"> </w:t>
      </w:r>
      <w:r w:rsidRPr="00C311A2">
        <w:rPr>
          <w:u w:val="single"/>
        </w:rPr>
        <w:t>A.</w:t>
      </w:r>
      <w:r w:rsidR="00C64050">
        <w:rPr>
          <w:u w:val="single"/>
        </w:rPr>
        <w:t xml:space="preserve"> </w:t>
      </w:r>
      <w:r w:rsidRPr="00C311A2">
        <w:rPr>
          <w:u w:val="single"/>
        </w:rPr>
        <w:t>Elkins,</w:t>
      </w:r>
      <w:r w:rsidR="00C64050">
        <w:rPr>
          <w:u w:val="single"/>
        </w:rPr>
        <w:t xml:space="preserve"> </w:t>
      </w:r>
      <w:r w:rsidRPr="00C311A2">
        <w:rPr>
          <w:u w:val="single"/>
        </w:rPr>
        <w:t>Jr.,</w:t>
      </w:r>
      <w:r w:rsidR="00C64050">
        <w:rPr>
          <w:u w:val="single"/>
        </w:rPr>
        <w:t xml:space="preserve"> </w:t>
      </w:r>
      <w:r w:rsidRPr="00C311A2">
        <w:rPr>
          <w:u w:val="single"/>
        </w:rPr>
        <w:t>et</w:t>
      </w:r>
      <w:r w:rsidR="00C64050">
        <w:rPr>
          <w:u w:val="single"/>
        </w:rPr>
        <w:t xml:space="preserve"> </w:t>
      </w:r>
      <w:r w:rsidRPr="00C311A2">
        <w:rPr>
          <w:u w:val="single"/>
        </w:rPr>
        <w:t>al.</w:t>
      </w:r>
      <w:r w:rsidR="00C64050">
        <w:rPr>
          <w:u w:val="single"/>
        </w:rPr>
        <w:t xml:space="preserve"> </w:t>
      </w:r>
      <w:r w:rsidRPr="00C311A2">
        <w:rPr>
          <w:u w:val="single"/>
        </w:rPr>
        <w:t>v.</w:t>
      </w:r>
      <w:r w:rsidR="00C64050">
        <w:rPr>
          <w:u w:val="single"/>
        </w:rPr>
        <w:t xml:space="preserve"> </w:t>
      </w:r>
      <w:r w:rsidRPr="00C311A2">
        <w:rPr>
          <w:u w:val="single"/>
        </w:rPr>
        <w:t>Commissioner</w:t>
      </w:r>
      <w:r w:rsidRPr="00454670">
        <w:t>,</w:t>
      </w:r>
      <w:r w:rsidR="00C64050">
        <w:t xml:space="preserve"> </w:t>
      </w:r>
      <w:r w:rsidRPr="00454670">
        <w:t>140</w:t>
      </w:r>
      <w:r w:rsidR="00C64050">
        <w:t xml:space="preserve"> </w:t>
      </w:r>
      <w:r w:rsidRPr="00454670">
        <w:t>T.C.</w:t>
      </w:r>
      <w:r w:rsidR="00C64050">
        <w:t xml:space="preserve"> </w:t>
      </w:r>
      <w:r w:rsidRPr="00454670">
        <w:t>No.</w:t>
      </w:r>
      <w:r w:rsidR="00C64050">
        <w:t xml:space="preserve"> </w:t>
      </w:r>
      <w:r w:rsidRPr="00454670">
        <w:t>5</w:t>
      </w:r>
      <w:r w:rsidR="00C64050">
        <w:t xml:space="preserve"> </w:t>
      </w:r>
      <w:r w:rsidRPr="00454670">
        <w:t>(2013),</w:t>
      </w:r>
      <w:r w:rsidR="00C64050">
        <w:t xml:space="preserve"> </w:t>
      </w:r>
      <w:r w:rsidRPr="00454670">
        <w:t>the</w:t>
      </w:r>
      <w:r w:rsidR="00C64050">
        <w:t xml:space="preserve"> </w:t>
      </w:r>
      <w:r w:rsidRPr="00454670">
        <w:t>Tax</w:t>
      </w:r>
      <w:r w:rsidR="00C64050">
        <w:t xml:space="preserve"> </w:t>
      </w:r>
      <w:r w:rsidRPr="00454670">
        <w:t>Court</w:t>
      </w:r>
      <w:r w:rsidR="00C64050">
        <w:t xml:space="preserve"> </w:t>
      </w:r>
      <w:r w:rsidRPr="00454670">
        <w:t>applied</w:t>
      </w:r>
      <w:r w:rsidR="00C64050">
        <w:t xml:space="preserve"> </w:t>
      </w:r>
      <w:r w:rsidRPr="00454670">
        <w:t>section</w:t>
      </w:r>
      <w:r w:rsidR="00C64050">
        <w:t xml:space="preserve"> </w:t>
      </w:r>
      <w:r w:rsidRPr="00454670">
        <w:t>2703</w:t>
      </w:r>
      <w:r w:rsidR="00C64050">
        <w:t xml:space="preserve"> </w:t>
      </w:r>
      <w:r w:rsidRPr="00454670">
        <w:t>to</w:t>
      </w:r>
      <w:r w:rsidR="00C64050">
        <w:t xml:space="preserve"> </w:t>
      </w:r>
      <w:r w:rsidRPr="00454670">
        <w:t>ignore</w:t>
      </w:r>
      <w:r w:rsidR="00C64050">
        <w:t xml:space="preserve"> </w:t>
      </w:r>
      <w:r w:rsidRPr="00454670">
        <w:t>a</w:t>
      </w:r>
      <w:r w:rsidR="00C64050">
        <w:t xml:space="preserve"> </w:t>
      </w:r>
      <w:r w:rsidRPr="00454670">
        <w:t>family</w:t>
      </w:r>
      <w:r w:rsidR="00C64050">
        <w:t xml:space="preserve"> </w:t>
      </w:r>
      <w:r w:rsidRPr="00454670">
        <w:t>co-tenancy</w:t>
      </w:r>
      <w:r w:rsidR="00C64050">
        <w:t xml:space="preserve"> </w:t>
      </w:r>
      <w:r w:rsidRPr="00454670">
        <w:t>agreement</w:t>
      </w:r>
      <w:r w:rsidR="00C64050">
        <w:t xml:space="preserve"> </w:t>
      </w:r>
      <w:r w:rsidRPr="00454670">
        <w:t>requiring</w:t>
      </w:r>
      <w:r w:rsidR="00C64050">
        <w:t xml:space="preserve"> </w:t>
      </w:r>
      <w:r w:rsidRPr="00454670">
        <w:t>all</w:t>
      </w:r>
      <w:r w:rsidR="00C64050">
        <w:t xml:space="preserve"> </w:t>
      </w:r>
      <w:r w:rsidRPr="00454670">
        <w:t>owners</w:t>
      </w:r>
      <w:r w:rsidR="00C64050">
        <w:t xml:space="preserve"> </w:t>
      </w:r>
      <w:r w:rsidRPr="00454670">
        <w:t>of</w:t>
      </w:r>
      <w:r w:rsidR="00C64050">
        <w:t xml:space="preserve"> </w:t>
      </w:r>
      <w:r w:rsidRPr="00454670">
        <w:t>fractional</w:t>
      </w:r>
      <w:r w:rsidR="00C64050">
        <w:t xml:space="preserve"> </w:t>
      </w:r>
      <w:r w:rsidRPr="00454670">
        <w:t>interests</w:t>
      </w:r>
      <w:r w:rsidR="00C64050">
        <w:t xml:space="preserve"> </w:t>
      </w:r>
      <w:r w:rsidRPr="00454670">
        <w:t>in</w:t>
      </w:r>
      <w:r w:rsidR="00C64050">
        <w:t xml:space="preserve"> </w:t>
      </w:r>
      <w:r w:rsidRPr="00454670">
        <w:t>art</w:t>
      </w:r>
      <w:r w:rsidR="00C64050">
        <w:t xml:space="preserve"> </w:t>
      </w:r>
      <w:r w:rsidRPr="00454670">
        <w:t>to</w:t>
      </w:r>
      <w:r w:rsidR="00C64050">
        <w:t xml:space="preserve"> </w:t>
      </w:r>
      <w:r w:rsidRPr="00454670">
        <w:t>agree</w:t>
      </w:r>
      <w:r w:rsidR="00C64050">
        <w:t xml:space="preserve"> </w:t>
      </w:r>
      <w:r w:rsidRPr="00454670">
        <w:t>before</w:t>
      </w:r>
      <w:r w:rsidR="00C64050">
        <w:t xml:space="preserve"> </w:t>
      </w:r>
      <w:r w:rsidRPr="00454670">
        <w:t>the</w:t>
      </w:r>
      <w:r w:rsidR="00C64050">
        <w:t xml:space="preserve"> </w:t>
      </w:r>
      <w:r w:rsidRPr="00454670">
        <w:t>art</w:t>
      </w:r>
      <w:r w:rsidR="00C64050">
        <w:t xml:space="preserve"> </w:t>
      </w:r>
      <w:r w:rsidRPr="00454670">
        <w:t>could</w:t>
      </w:r>
      <w:r w:rsidR="00C64050">
        <w:t xml:space="preserve"> </w:t>
      </w:r>
      <w:r w:rsidRPr="00454670">
        <w:t>be</w:t>
      </w:r>
      <w:r w:rsidR="00C64050">
        <w:t xml:space="preserve"> </w:t>
      </w:r>
      <w:r w:rsidRPr="00454670">
        <w:t>sold.</w:t>
      </w:r>
      <w:r w:rsidR="00C64050">
        <w:t xml:space="preserve">  </w:t>
      </w:r>
      <w:r w:rsidRPr="00454670">
        <w:t>The</w:t>
      </w:r>
      <w:r w:rsidR="00C64050">
        <w:t xml:space="preserve"> </w:t>
      </w:r>
      <w:r w:rsidRPr="00454670">
        <w:t>purpose</w:t>
      </w:r>
      <w:r w:rsidR="00C64050">
        <w:t xml:space="preserve"> </w:t>
      </w:r>
      <w:r w:rsidRPr="00454670">
        <w:t>of</w:t>
      </w:r>
      <w:r w:rsidR="00C64050">
        <w:t xml:space="preserve"> </w:t>
      </w:r>
      <w:r w:rsidRPr="00454670">
        <w:t>that</w:t>
      </w:r>
      <w:r w:rsidR="00C64050">
        <w:t xml:space="preserve"> </w:t>
      </w:r>
      <w:r w:rsidRPr="00454670">
        <w:t>agreement</w:t>
      </w:r>
      <w:r w:rsidR="00C64050">
        <w:t xml:space="preserve"> </w:t>
      </w:r>
      <w:r w:rsidRPr="00454670">
        <w:t>was</w:t>
      </w:r>
      <w:r w:rsidR="00C64050">
        <w:t xml:space="preserve"> </w:t>
      </w:r>
      <w:r w:rsidRPr="00454670">
        <w:t>to</w:t>
      </w:r>
      <w:r w:rsidR="00C64050">
        <w:t xml:space="preserve"> </w:t>
      </w:r>
      <w:r w:rsidRPr="00454670">
        <w:t>limit</w:t>
      </w:r>
      <w:r w:rsidR="00C64050">
        <w:t xml:space="preserve"> </w:t>
      </w:r>
      <w:r w:rsidRPr="00454670">
        <w:t>the</w:t>
      </w:r>
      <w:r w:rsidR="00C64050">
        <w:t xml:space="preserve"> </w:t>
      </w:r>
      <w:r w:rsidRPr="00454670">
        <w:t>marketability</w:t>
      </w:r>
      <w:r w:rsidR="00C64050">
        <w:t xml:space="preserve"> </w:t>
      </w:r>
      <w:r w:rsidRPr="00454670">
        <w:t>of</w:t>
      </w:r>
      <w:r w:rsidR="00C64050">
        <w:t xml:space="preserve"> </w:t>
      </w:r>
      <w:r w:rsidRPr="00454670">
        <w:t>a</w:t>
      </w:r>
      <w:r w:rsidR="00C64050">
        <w:t xml:space="preserve"> </w:t>
      </w:r>
      <w:r w:rsidRPr="00454670">
        <w:t>fractional</w:t>
      </w:r>
      <w:r w:rsidR="00C64050">
        <w:t xml:space="preserve"> </w:t>
      </w:r>
      <w:r w:rsidRPr="00454670">
        <w:t>interest.</w:t>
      </w:r>
      <w:r w:rsidR="00C64050">
        <w:t xml:space="preserve">  </w:t>
      </w:r>
    </w:p>
    <w:p w:rsidR="008059B8" w:rsidRPr="00454670" w:rsidRDefault="008059B8" w:rsidP="0073744A">
      <w:pPr>
        <w:pStyle w:val="Body15"/>
      </w:pPr>
      <w:r w:rsidRPr="00454670">
        <w:t>But</w:t>
      </w:r>
      <w:r w:rsidR="00C64050">
        <w:t xml:space="preserve"> </w:t>
      </w:r>
      <w:r w:rsidRPr="00454670">
        <w:t>what</w:t>
      </w:r>
      <w:r w:rsidR="00C64050">
        <w:t xml:space="preserve"> </w:t>
      </w:r>
      <w:r w:rsidRPr="00454670">
        <w:t>might</w:t>
      </w:r>
      <w:r w:rsidR="00C64050">
        <w:t xml:space="preserve"> </w:t>
      </w:r>
      <w:r w:rsidRPr="00454670">
        <w:t>the</w:t>
      </w:r>
      <w:r w:rsidR="00C64050">
        <w:t xml:space="preserve"> </w:t>
      </w:r>
      <w:r w:rsidRPr="00454670">
        <w:t>effect</w:t>
      </w:r>
      <w:r w:rsidR="00C64050">
        <w:t xml:space="preserve"> </w:t>
      </w:r>
      <w:r w:rsidRPr="00454670">
        <w:t>on</w:t>
      </w:r>
      <w:r w:rsidR="00C64050">
        <w:t xml:space="preserve"> </w:t>
      </w:r>
      <w:r w:rsidRPr="00454670">
        <w:t>value</w:t>
      </w:r>
      <w:r w:rsidR="00C64050">
        <w:t xml:space="preserve"> </w:t>
      </w:r>
      <w:r w:rsidRPr="00454670">
        <w:t>be</w:t>
      </w:r>
      <w:r w:rsidR="00C64050">
        <w:t xml:space="preserve"> </w:t>
      </w:r>
      <w:r w:rsidRPr="00454670">
        <w:t>of</w:t>
      </w:r>
      <w:r w:rsidR="00C64050">
        <w:t xml:space="preserve"> </w:t>
      </w:r>
      <w:r w:rsidRPr="00454670">
        <w:t>an</w:t>
      </w:r>
      <w:r w:rsidR="00C64050">
        <w:t xml:space="preserve"> </w:t>
      </w:r>
      <w:r w:rsidRPr="00454670">
        <w:t>agreement</w:t>
      </w:r>
      <w:r w:rsidR="00C64050">
        <w:t xml:space="preserve"> </w:t>
      </w:r>
      <w:r w:rsidRPr="00454670">
        <w:t>which</w:t>
      </w:r>
      <w:r w:rsidR="00C64050">
        <w:t xml:space="preserve"> </w:t>
      </w:r>
      <w:r w:rsidRPr="00454670">
        <w:t>provided,</w:t>
      </w:r>
      <w:r w:rsidR="00C64050">
        <w:t xml:space="preserve"> </w:t>
      </w:r>
      <w:r w:rsidRPr="00454670">
        <w:t>instead,</w:t>
      </w:r>
      <w:r w:rsidR="00C64050">
        <w:t xml:space="preserve"> </w:t>
      </w:r>
      <w:r w:rsidRPr="00454670">
        <w:t>that</w:t>
      </w:r>
      <w:r w:rsidR="00C64050">
        <w:t xml:space="preserve"> </w:t>
      </w:r>
      <w:r w:rsidRPr="0034507F">
        <w:rPr>
          <w:u w:val="single"/>
        </w:rPr>
        <w:t>any</w:t>
      </w:r>
      <w:r w:rsidR="00C64050">
        <w:t xml:space="preserve"> </w:t>
      </w:r>
      <w:r w:rsidRPr="00454670">
        <w:t>fractional</w:t>
      </w:r>
      <w:r w:rsidR="00C64050">
        <w:t xml:space="preserve"> </w:t>
      </w:r>
      <w:r w:rsidRPr="00454670">
        <w:t>owner</w:t>
      </w:r>
      <w:r w:rsidR="00C64050">
        <w:t xml:space="preserve"> </w:t>
      </w:r>
      <w:r w:rsidRPr="00454670">
        <w:t>could</w:t>
      </w:r>
      <w:r w:rsidR="00C64050">
        <w:t xml:space="preserve"> </w:t>
      </w:r>
      <w:r w:rsidRPr="0034507F">
        <w:rPr>
          <w:u w:val="single"/>
        </w:rPr>
        <w:t>compel</w:t>
      </w:r>
      <w:r w:rsidR="00C64050">
        <w:rPr>
          <w:u w:val="single"/>
        </w:rPr>
        <w:t xml:space="preserve"> </w:t>
      </w:r>
      <w:r w:rsidRPr="0034507F">
        <w:rPr>
          <w:u w:val="single"/>
        </w:rPr>
        <w:t>the</w:t>
      </w:r>
      <w:r w:rsidR="00C64050">
        <w:rPr>
          <w:u w:val="single"/>
        </w:rPr>
        <w:t xml:space="preserve"> </w:t>
      </w:r>
      <w:r w:rsidRPr="0034507F">
        <w:rPr>
          <w:u w:val="single"/>
        </w:rPr>
        <w:t>sale</w:t>
      </w:r>
      <w:r w:rsidR="00C64050">
        <w:t xml:space="preserve"> </w:t>
      </w:r>
      <w:r w:rsidRPr="00454670">
        <w:t>of</w:t>
      </w:r>
      <w:r w:rsidR="00C64050">
        <w:t xml:space="preserve"> </w:t>
      </w:r>
      <w:r w:rsidRPr="00454670">
        <w:t>the</w:t>
      </w:r>
      <w:r w:rsidR="00C64050">
        <w:t xml:space="preserve"> </w:t>
      </w:r>
      <w:r w:rsidRPr="00454670">
        <w:t>entire</w:t>
      </w:r>
      <w:r w:rsidR="00C64050">
        <w:t xml:space="preserve"> </w:t>
      </w:r>
      <w:r w:rsidRPr="00454670">
        <w:t>asset?</w:t>
      </w:r>
      <w:r w:rsidR="00C64050">
        <w:t xml:space="preserve">  </w:t>
      </w:r>
      <w:r w:rsidRPr="00454670">
        <w:t>Similarly,</w:t>
      </w:r>
      <w:r w:rsidR="00C64050">
        <w:t xml:space="preserve"> </w:t>
      </w:r>
      <w:r w:rsidRPr="00454670">
        <w:t>a</w:t>
      </w:r>
      <w:r w:rsidR="00C64050">
        <w:t xml:space="preserve"> </w:t>
      </w:r>
      <w:r w:rsidRPr="00454670">
        <w:t>provision</w:t>
      </w:r>
      <w:r w:rsidR="00C64050">
        <w:t xml:space="preserve"> </w:t>
      </w:r>
      <w:r w:rsidRPr="00454670">
        <w:t>that</w:t>
      </w:r>
      <w:r w:rsidR="00C64050">
        <w:t xml:space="preserve"> </w:t>
      </w:r>
      <w:r w:rsidRPr="00454670">
        <w:t>allowed</w:t>
      </w:r>
      <w:r w:rsidR="00C64050">
        <w:t xml:space="preserve"> </w:t>
      </w:r>
      <w:r w:rsidRPr="00454670">
        <w:t>a</w:t>
      </w:r>
      <w:r w:rsidR="00C64050">
        <w:t xml:space="preserve"> </w:t>
      </w:r>
      <w:r w:rsidRPr="00454670">
        <w:t>shareholder</w:t>
      </w:r>
      <w:r w:rsidR="00C64050">
        <w:t xml:space="preserve"> </w:t>
      </w:r>
      <w:r w:rsidRPr="00454670">
        <w:t>in</w:t>
      </w:r>
      <w:r w:rsidR="00C64050">
        <w:t xml:space="preserve"> </w:t>
      </w:r>
      <w:r w:rsidRPr="00454670">
        <w:t>business</w:t>
      </w:r>
      <w:r w:rsidR="00C64050">
        <w:t xml:space="preserve"> </w:t>
      </w:r>
      <w:r w:rsidRPr="00454670">
        <w:t>to</w:t>
      </w:r>
      <w:r w:rsidR="00C64050">
        <w:t xml:space="preserve"> </w:t>
      </w:r>
      <w:r w:rsidRPr="00454670">
        <w:t>put</w:t>
      </w:r>
      <w:r w:rsidR="00C64050">
        <w:t xml:space="preserve"> </w:t>
      </w:r>
      <w:r w:rsidRPr="00454670">
        <w:t>stock</w:t>
      </w:r>
      <w:r w:rsidR="00C64050">
        <w:t xml:space="preserve"> </w:t>
      </w:r>
      <w:r w:rsidRPr="00454670">
        <w:t>to</w:t>
      </w:r>
      <w:r w:rsidR="00C64050">
        <w:t xml:space="preserve"> </w:t>
      </w:r>
      <w:r w:rsidRPr="00454670">
        <w:t>the</w:t>
      </w:r>
      <w:r w:rsidR="00C64050">
        <w:t xml:space="preserve"> </w:t>
      </w:r>
      <w:r w:rsidRPr="00454670">
        <w:t>business</w:t>
      </w:r>
      <w:r w:rsidR="00C64050">
        <w:t xml:space="preserve"> </w:t>
      </w:r>
      <w:r w:rsidRPr="00454670">
        <w:t>at</w:t>
      </w:r>
      <w:r w:rsidR="00C64050">
        <w:t xml:space="preserve"> </w:t>
      </w:r>
      <w:r w:rsidRPr="00454670">
        <w:t>death</w:t>
      </w:r>
      <w:r w:rsidR="00C64050">
        <w:t xml:space="preserve"> </w:t>
      </w:r>
      <w:r w:rsidRPr="00454670">
        <w:t>for</w:t>
      </w:r>
      <w:r w:rsidR="00C64050">
        <w:t xml:space="preserve"> </w:t>
      </w:r>
      <w:r w:rsidRPr="00454670">
        <w:t>fair</w:t>
      </w:r>
      <w:r w:rsidR="00C64050">
        <w:t xml:space="preserve"> </w:t>
      </w:r>
      <w:r w:rsidRPr="00454670">
        <w:t>market</w:t>
      </w:r>
      <w:r w:rsidR="00C64050">
        <w:t xml:space="preserve"> </w:t>
      </w:r>
      <w:r w:rsidRPr="00454670">
        <w:t>value</w:t>
      </w:r>
      <w:r w:rsidR="00C64050">
        <w:t xml:space="preserve"> </w:t>
      </w:r>
      <w:r w:rsidRPr="00454670">
        <w:t>would</w:t>
      </w:r>
      <w:r w:rsidR="00C64050">
        <w:t xml:space="preserve"> </w:t>
      </w:r>
      <w:r w:rsidRPr="00454670">
        <w:t>seem</w:t>
      </w:r>
      <w:r w:rsidR="00C64050">
        <w:t xml:space="preserve"> </w:t>
      </w:r>
      <w:r w:rsidRPr="00454670">
        <w:t>to</w:t>
      </w:r>
      <w:r w:rsidR="00C64050">
        <w:t xml:space="preserve"> </w:t>
      </w:r>
      <w:r w:rsidRPr="00454670">
        <w:t>be</w:t>
      </w:r>
      <w:r w:rsidR="00C64050">
        <w:t xml:space="preserve"> </w:t>
      </w:r>
      <w:r w:rsidRPr="00454670">
        <w:t>outside</w:t>
      </w:r>
      <w:r w:rsidR="00C64050">
        <w:t xml:space="preserve"> </w:t>
      </w:r>
      <w:r w:rsidRPr="00454670">
        <w:t>the</w:t>
      </w:r>
      <w:r w:rsidR="00C64050">
        <w:t xml:space="preserve"> </w:t>
      </w:r>
      <w:r w:rsidRPr="00454670">
        <w:t>scope</w:t>
      </w:r>
      <w:r w:rsidR="00C64050">
        <w:t xml:space="preserve"> </w:t>
      </w:r>
      <w:r w:rsidRPr="00454670">
        <w:t>of</w:t>
      </w:r>
      <w:r w:rsidR="00C64050">
        <w:t xml:space="preserve"> </w:t>
      </w:r>
      <w:r w:rsidRPr="00454670">
        <w:t>the</w:t>
      </w:r>
      <w:r w:rsidR="00C64050">
        <w:t xml:space="preserve"> </w:t>
      </w:r>
      <w:r w:rsidRPr="00454670">
        <w:t>section.</w:t>
      </w:r>
      <w:r w:rsidR="00C64050">
        <w:t xml:space="preserve">  </w:t>
      </w:r>
      <w:r w:rsidRPr="00454670">
        <w:t>In</w:t>
      </w:r>
      <w:r w:rsidR="00C64050">
        <w:t xml:space="preserve"> </w:t>
      </w:r>
      <w:r w:rsidRPr="00454670">
        <w:t>many</w:t>
      </w:r>
      <w:r w:rsidR="00C64050">
        <w:t xml:space="preserve"> </w:t>
      </w:r>
      <w:r w:rsidRPr="00454670">
        <w:t>instances</w:t>
      </w:r>
      <w:r w:rsidR="001236A7">
        <w:t>,</w:t>
      </w:r>
      <w:r w:rsidR="00C64050">
        <w:t xml:space="preserve"> </w:t>
      </w:r>
      <w:r w:rsidRPr="00454670">
        <w:t>amending</w:t>
      </w:r>
      <w:r w:rsidR="00C64050">
        <w:t xml:space="preserve"> </w:t>
      </w:r>
      <w:r w:rsidRPr="00454670">
        <w:t>old</w:t>
      </w:r>
      <w:r w:rsidR="00C64050">
        <w:t xml:space="preserve"> </w:t>
      </w:r>
      <w:r w:rsidRPr="00454670">
        <w:t>agreements</w:t>
      </w:r>
      <w:r w:rsidR="00C64050">
        <w:t xml:space="preserve"> </w:t>
      </w:r>
      <w:r w:rsidRPr="00454670">
        <w:t>to</w:t>
      </w:r>
      <w:r w:rsidR="00C64050">
        <w:t xml:space="preserve"> </w:t>
      </w:r>
      <w:r w:rsidRPr="00454670">
        <w:t>include</w:t>
      </w:r>
      <w:r w:rsidR="00C64050">
        <w:t xml:space="preserve"> </w:t>
      </w:r>
      <w:r w:rsidRPr="00454670">
        <w:t>such</w:t>
      </w:r>
      <w:r w:rsidR="00C64050">
        <w:t xml:space="preserve"> </w:t>
      </w:r>
      <w:r w:rsidRPr="00454670">
        <w:t>provisions</w:t>
      </w:r>
      <w:r w:rsidR="00C64050">
        <w:t xml:space="preserve"> </w:t>
      </w:r>
      <w:r w:rsidRPr="00454670">
        <w:t>will</w:t>
      </w:r>
      <w:r w:rsidR="00C64050">
        <w:t xml:space="preserve"> </w:t>
      </w:r>
      <w:r w:rsidRPr="00454670">
        <w:t>be</w:t>
      </w:r>
      <w:r w:rsidR="00C64050">
        <w:t xml:space="preserve"> </w:t>
      </w:r>
      <w:r w:rsidRPr="00454670">
        <w:t>more</w:t>
      </w:r>
      <w:r w:rsidR="00C64050">
        <w:t xml:space="preserve"> </w:t>
      </w:r>
      <w:r w:rsidRPr="00454670">
        <w:t>likely</w:t>
      </w:r>
      <w:r w:rsidR="00C64050">
        <w:t xml:space="preserve"> </w:t>
      </w:r>
      <w:r w:rsidRPr="00454670">
        <w:t>to</w:t>
      </w:r>
      <w:r w:rsidR="00C64050">
        <w:t xml:space="preserve"> </w:t>
      </w:r>
      <w:r w:rsidRPr="00454670">
        <w:t>create</w:t>
      </w:r>
      <w:r w:rsidR="00C64050">
        <w:t xml:space="preserve"> </w:t>
      </w:r>
      <w:r w:rsidRPr="00454670">
        <w:t>gift</w:t>
      </w:r>
      <w:r w:rsidR="00C64050">
        <w:t xml:space="preserve"> </w:t>
      </w:r>
      <w:r w:rsidRPr="00454670">
        <w:t>from</w:t>
      </w:r>
      <w:r w:rsidR="00C64050">
        <w:t xml:space="preserve"> </w:t>
      </w:r>
      <w:r w:rsidRPr="00454670">
        <w:t>the</w:t>
      </w:r>
      <w:r w:rsidR="00C64050">
        <w:t xml:space="preserve"> </w:t>
      </w:r>
      <w:r w:rsidRPr="00454670">
        <w:t>younger</w:t>
      </w:r>
      <w:r w:rsidR="00C64050">
        <w:t xml:space="preserve"> </w:t>
      </w:r>
      <w:r w:rsidRPr="00454670">
        <w:t>owners</w:t>
      </w:r>
      <w:r w:rsidR="00C64050">
        <w:t xml:space="preserve"> </w:t>
      </w:r>
      <w:r w:rsidRPr="00454670">
        <w:t>to</w:t>
      </w:r>
      <w:r w:rsidR="00C64050">
        <w:t xml:space="preserve"> </w:t>
      </w:r>
      <w:r w:rsidRPr="00454670">
        <w:t>the</w:t>
      </w:r>
      <w:r w:rsidR="00C64050">
        <w:t xml:space="preserve"> </w:t>
      </w:r>
      <w:r w:rsidRPr="00454670">
        <w:t>older</w:t>
      </w:r>
      <w:r w:rsidR="00C64050">
        <w:t xml:space="preserve"> </w:t>
      </w:r>
      <w:r w:rsidRPr="00454670">
        <w:t>than</w:t>
      </w:r>
      <w:r w:rsidR="00C64050">
        <w:t xml:space="preserve"> </w:t>
      </w:r>
      <w:r w:rsidRPr="00454670">
        <w:t>would</w:t>
      </w:r>
      <w:r w:rsidR="00C64050">
        <w:t xml:space="preserve"> </w:t>
      </w:r>
      <w:r w:rsidRPr="00454670">
        <w:t>terminating</w:t>
      </w:r>
      <w:r w:rsidR="00C64050">
        <w:t xml:space="preserve"> </w:t>
      </w:r>
      <w:r w:rsidRPr="00454670">
        <w:t>an</w:t>
      </w:r>
      <w:r w:rsidR="00C64050">
        <w:t xml:space="preserve"> </w:t>
      </w:r>
      <w:r w:rsidRPr="00454670">
        <w:t>old</w:t>
      </w:r>
      <w:r w:rsidR="00C64050">
        <w:t xml:space="preserve"> </w:t>
      </w:r>
      <w:r w:rsidRPr="00454670">
        <w:t>agreement</w:t>
      </w:r>
      <w:r w:rsidR="00C64050">
        <w:t xml:space="preserve"> </w:t>
      </w:r>
      <w:r w:rsidRPr="00454670">
        <w:t>and</w:t>
      </w:r>
      <w:r w:rsidR="00C64050">
        <w:t xml:space="preserve"> </w:t>
      </w:r>
      <w:r w:rsidRPr="00454670">
        <w:t>creating</w:t>
      </w:r>
      <w:r w:rsidR="00C64050">
        <w:t xml:space="preserve"> </w:t>
      </w:r>
      <w:r w:rsidRPr="00454670">
        <w:t>a</w:t>
      </w:r>
      <w:r w:rsidR="00C64050">
        <w:t xml:space="preserve"> </w:t>
      </w:r>
      <w:r w:rsidRPr="00454670">
        <w:t>new</w:t>
      </w:r>
      <w:r w:rsidR="00C64050">
        <w:t xml:space="preserve"> </w:t>
      </w:r>
      <w:r w:rsidRPr="00454670">
        <w:t>one.</w:t>
      </w:r>
    </w:p>
    <w:p w:rsidR="008059B8" w:rsidRPr="00D70884" w:rsidRDefault="008059B8" w:rsidP="009676E9">
      <w:pPr>
        <w:pStyle w:val="LFLevel2"/>
        <w:rPr>
          <w:b/>
          <w:u w:val="single"/>
        </w:rPr>
      </w:pPr>
      <w:bookmarkStart w:id="76" w:name="_Toc376946735"/>
      <w:bookmarkStart w:id="77" w:name="_Toc376948375"/>
      <w:bookmarkStart w:id="78" w:name="_Toc376949169"/>
      <w:bookmarkStart w:id="79" w:name="_Toc94704611"/>
      <w:r w:rsidRPr="00D70884">
        <w:rPr>
          <w:b/>
          <w:u w:val="single"/>
        </w:rPr>
        <w:t>Powers</w:t>
      </w:r>
      <w:r w:rsidR="00C64050">
        <w:rPr>
          <w:b/>
          <w:u w:val="single"/>
        </w:rPr>
        <w:t xml:space="preserve"> </w:t>
      </w:r>
      <w:r w:rsidRPr="00D70884">
        <w:rPr>
          <w:b/>
          <w:u w:val="single"/>
        </w:rPr>
        <w:t>of</w:t>
      </w:r>
      <w:r w:rsidR="00C64050">
        <w:rPr>
          <w:b/>
          <w:u w:val="single"/>
        </w:rPr>
        <w:t xml:space="preserve"> </w:t>
      </w:r>
      <w:r w:rsidRPr="00D70884">
        <w:rPr>
          <w:b/>
          <w:u w:val="single"/>
        </w:rPr>
        <w:t>Appointment</w:t>
      </w:r>
      <w:bookmarkEnd w:id="76"/>
      <w:bookmarkEnd w:id="77"/>
      <w:bookmarkEnd w:id="78"/>
      <w:r w:rsidR="00C64050">
        <w:rPr>
          <w:b/>
          <w:u w:val="single"/>
        </w:rPr>
        <w:t xml:space="preserve"> </w:t>
      </w:r>
      <w:r w:rsidR="00702A5D">
        <w:rPr>
          <w:b/>
          <w:u w:val="single"/>
        </w:rPr>
        <w:t>For</w:t>
      </w:r>
      <w:r w:rsidR="00C64050">
        <w:rPr>
          <w:b/>
          <w:u w:val="single"/>
        </w:rPr>
        <w:t xml:space="preserve"> </w:t>
      </w:r>
      <w:r w:rsidR="00702A5D">
        <w:rPr>
          <w:b/>
          <w:u w:val="single"/>
        </w:rPr>
        <w:t>Basis</w:t>
      </w:r>
      <w:r w:rsidR="00C64050">
        <w:rPr>
          <w:b/>
          <w:u w:val="single"/>
        </w:rPr>
        <w:t xml:space="preserve"> </w:t>
      </w:r>
      <w:r w:rsidR="00702A5D">
        <w:rPr>
          <w:b/>
          <w:u w:val="single"/>
        </w:rPr>
        <w:t>Purposes</w:t>
      </w:r>
      <w:bookmarkEnd w:id="79"/>
    </w:p>
    <w:p w:rsidR="008059B8" w:rsidRPr="00AD1AC7" w:rsidRDefault="008059B8" w:rsidP="00120A9D">
      <w:pPr>
        <w:pStyle w:val="LFLevel3"/>
        <w:ind w:left="0" w:firstLine="1440"/>
        <w:rPr>
          <w:u w:val="single"/>
        </w:rPr>
      </w:pPr>
      <w:r w:rsidRPr="00AD1AC7">
        <w:rPr>
          <w:u w:val="single"/>
        </w:rPr>
        <w:t>Generally</w:t>
      </w:r>
    </w:p>
    <w:p w:rsidR="00447D04" w:rsidRDefault="00447D04" w:rsidP="00E36DAA">
      <w:pPr>
        <w:pStyle w:val="LFLevel4"/>
        <w:ind w:left="0" w:firstLine="2160"/>
      </w:pPr>
      <w:r>
        <w:t>Consideration</w:t>
      </w:r>
      <w:r w:rsidR="00C64050">
        <w:t xml:space="preserve"> </w:t>
      </w:r>
      <w:r>
        <w:t>should</w:t>
      </w:r>
      <w:r w:rsidR="00C64050">
        <w:t xml:space="preserve"> </w:t>
      </w:r>
      <w:r>
        <w:t>be</w:t>
      </w:r>
      <w:r w:rsidR="00C64050">
        <w:t xml:space="preserve"> </w:t>
      </w:r>
      <w:r>
        <w:t>given</w:t>
      </w:r>
      <w:r w:rsidR="00C64050">
        <w:t xml:space="preserve"> </w:t>
      </w:r>
      <w:r>
        <w:t>to</w:t>
      </w:r>
      <w:r w:rsidR="00C64050">
        <w:t xml:space="preserve"> </w:t>
      </w:r>
      <w:r>
        <w:t>using</w:t>
      </w:r>
      <w:r w:rsidR="00C64050">
        <w:t xml:space="preserve"> </w:t>
      </w:r>
      <w:r>
        <w:t>a</w:t>
      </w:r>
      <w:r w:rsidR="00C64050">
        <w:t xml:space="preserve"> </w:t>
      </w:r>
      <w:r>
        <w:t>“circumscribed</w:t>
      </w:r>
      <w:r w:rsidR="00C64050">
        <w:t xml:space="preserve"> </w:t>
      </w:r>
      <w:r>
        <w:t>general</w:t>
      </w:r>
      <w:r w:rsidR="00C64050">
        <w:t xml:space="preserve"> </w:t>
      </w:r>
      <w:r>
        <w:t>power”</w:t>
      </w:r>
      <w:r w:rsidR="00C64050">
        <w:t xml:space="preserve"> </w:t>
      </w:r>
      <w:r>
        <w:t>that</w:t>
      </w:r>
      <w:r w:rsidR="00C64050">
        <w:t xml:space="preserve"> </w:t>
      </w:r>
      <w:r>
        <w:t>has</w:t>
      </w:r>
      <w:r w:rsidR="00C64050">
        <w:t xml:space="preserve"> </w:t>
      </w:r>
      <w:r>
        <w:t>the</w:t>
      </w:r>
      <w:r w:rsidR="00C64050">
        <w:t xml:space="preserve"> </w:t>
      </w:r>
      <w:r>
        <w:t>following</w:t>
      </w:r>
      <w:r w:rsidR="00C64050">
        <w:t xml:space="preserve"> </w:t>
      </w:r>
      <w:r>
        <w:t>characteristics:</w:t>
      </w:r>
      <w:r w:rsidR="00C64050">
        <w:t xml:space="preserve"> </w:t>
      </w:r>
      <w:r>
        <w:t>(1)</w:t>
      </w:r>
      <w:r w:rsidR="00C64050">
        <w:t xml:space="preserve"> </w:t>
      </w:r>
      <w:r>
        <w:t>a</w:t>
      </w:r>
      <w:r w:rsidR="00C64050">
        <w:t xml:space="preserve"> </w:t>
      </w:r>
      <w:r>
        <w:t>testamentary</w:t>
      </w:r>
      <w:r w:rsidR="00C64050">
        <w:t xml:space="preserve"> </w:t>
      </w:r>
      <w:r>
        <w:t>power,</w:t>
      </w:r>
      <w:r w:rsidR="00C64050">
        <w:t xml:space="preserve"> </w:t>
      </w:r>
      <w:r>
        <w:t>(2)</w:t>
      </w:r>
      <w:r w:rsidR="00C64050">
        <w:t xml:space="preserve"> </w:t>
      </w:r>
      <w:r>
        <w:t>in</w:t>
      </w:r>
      <w:r w:rsidR="00C64050">
        <w:t xml:space="preserve"> </w:t>
      </w:r>
      <w:r>
        <w:t>favor</w:t>
      </w:r>
      <w:r w:rsidR="00C64050">
        <w:t xml:space="preserve"> </w:t>
      </w:r>
      <w:r>
        <w:t>of</w:t>
      </w:r>
      <w:r w:rsidR="00C64050">
        <w:t xml:space="preserve"> </w:t>
      </w:r>
      <w:r>
        <w:t>t</w:t>
      </w:r>
      <w:r w:rsidR="00D22649">
        <w:t>h</w:t>
      </w:r>
      <w:r>
        <w:t>e</w:t>
      </w:r>
      <w:r w:rsidR="00C64050">
        <w:t xml:space="preserve"> </w:t>
      </w:r>
      <w:r>
        <w:t>creditor</w:t>
      </w:r>
      <w:r w:rsidR="00C64050">
        <w:t xml:space="preserve"> </w:t>
      </w:r>
      <w:r>
        <w:t>of</w:t>
      </w:r>
      <w:r w:rsidR="00C64050">
        <w:t xml:space="preserve"> </w:t>
      </w:r>
      <w:r>
        <w:t>the</w:t>
      </w:r>
      <w:r w:rsidR="00C64050">
        <w:t xml:space="preserve"> </w:t>
      </w:r>
      <w:r>
        <w:t>powerholder’s</w:t>
      </w:r>
      <w:r w:rsidR="00C64050">
        <w:t xml:space="preserve"> </w:t>
      </w:r>
      <w:r>
        <w:t>estate,</w:t>
      </w:r>
      <w:r w:rsidR="00C64050">
        <w:t xml:space="preserve"> </w:t>
      </w:r>
      <w:r>
        <w:t>(3)</w:t>
      </w:r>
      <w:r w:rsidR="00C64050">
        <w:t xml:space="preserve"> </w:t>
      </w:r>
      <w:r w:rsidR="00D22649">
        <w:t>with</w:t>
      </w:r>
      <w:r w:rsidR="00C64050">
        <w:t xml:space="preserve"> </w:t>
      </w:r>
      <w:r w:rsidR="00D22649">
        <w:t>the</w:t>
      </w:r>
      <w:r w:rsidR="00C64050">
        <w:t xml:space="preserve"> </w:t>
      </w:r>
      <w:r w:rsidR="00D22649">
        <w:t>consent</w:t>
      </w:r>
      <w:r w:rsidR="00C64050">
        <w:t xml:space="preserve"> </w:t>
      </w:r>
      <w:r w:rsidR="00D22649">
        <w:t>of</w:t>
      </w:r>
      <w:r w:rsidR="00C64050">
        <w:t xml:space="preserve"> </w:t>
      </w:r>
      <w:r w:rsidR="00D22649">
        <w:t>a</w:t>
      </w:r>
      <w:r w:rsidR="00C64050">
        <w:t xml:space="preserve"> </w:t>
      </w:r>
      <w:r w:rsidR="00D22649">
        <w:t>non-adverse</w:t>
      </w:r>
      <w:r w:rsidR="00C64050">
        <w:t xml:space="preserve"> </w:t>
      </w:r>
      <w:r w:rsidR="00D22649">
        <w:t>party,</w:t>
      </w:r>
      <w:r w:rsidR="00C64050">
        <w:t xml:space="preserve"> </w:t>
      </w:r>
      <w:r w:rsidR="00D22649">
        <w:t>(4)</w:t>
      </w:r>
      <w:r w:rsidR="00C64050">
        <w:t xml:space="preserve"> </w:t>
      </w:r>
      <w:r w:rsidR="00D22649">
        <w:t>only</w:t>
      </w:r>
      <w:r w:rsidR="00C64050">
        <w:t xml:space="preserve"> </w:t>
      </w:r>
      <w:r w:rsidR="00D22649">
        <w:t>over</w:t>
      </w:r>
      <w:r w:rsidR="00C64050">
        <w:t xml:space="preserve"> </w:t>
      </w:r>
      <w:r w:rsidR="00D22649">
        <w:t>assets</w:t>
      </w:r>
      <w:r w:rsidR="00C64050">
        <w:t xml:space="preserve"> </w:t>
      </w:r>
      <w:r w:rsidR="00D22649">
        <w:t>with</w:t>
      </w:r>
      <w:r w:rsidR="00C64050">
        <w:t xml:space="preserve"> </w:t>
      </w:r>
      <w:r w:rsidR="00D22649">
        <w:t>a</w:t>
      </w:r>
      <w:r w:rsidR="00C64050">
        <w:t xml:space="preserve"> </w:t>
      </w:r>
      <w:r w:rsidR="00D22649">
        <w:t>fair</w:t>
      </w:r>
      <w:r w:rsidR="00C64050">
        <w:t xml:space="preserve"> </w:t>
      </w:r>
      <w:r w:rsidR="00D22649">
        <w:t>market</w:t>
      </w:r>
      <w:r w:rsidR="00C64050">
        <w:t xml:space="preserve"> </w:t>
      </w:r>
      <w:r w:rsidR="00D22649">
        <w:t>value</w:t>
      </w:r>
      <w:r w:rsidR="00C64050">
        <w:t xml:space="preserve"> </w:t>
      </w:r>
      <w:r w:rsidR="00D22649">
        <w:t>in</w:t>
      </w:r>
      <w:r w:rsidR="00C64050">
        <w:t xml:space="preserve"> </w:t>
      </w:r>
      <w:r w:rsidR="00D22649">
        <w:t>e</w:t>
      </w:r>
      <w:r w:rsidR="007065B0">
        <w:t>x</w:t>
      </w:r>
      <w:r w:rsidR="00D22649">
        <w:t>cess</w:t>
      </w:r>
      <w:r w:rsidR="00C64050">
        <w:t xml:space="preserve"> </w:t>
      </w:r>
      <w:r w:rsidR="00D22649">
        <w:t>of</w:t>
      </w:r>
      <w:r w:rsidR="00C64050">
        <w:t xml:space="preserve"> </w:t>
      </w:r>
      <w:r w:rsidR="00D22649">
        <w:t>basis,</w:t>
      </w:r>
      <w:r w:rsidR="00C64050">
        <w:t xml:space="preserve"> </w:t>
      </w:r>
      <w:r w:rsidR="00D22649">
        <w:t>and</w:t>
      </w:r>
      <w:r w:rsidR="00C64050">
        <w:t xml:space="preserve"> </w:t>
      </w:r>
      <w:r w:rsidR="00D22649">
        <w:t>(5)</w:t>
      </w:r>
      <w:r w:rsidR="00C64050">
        <w:t xml:space="preserve"> </w:t>
      </w:r>
      <w:r w:rsidR="00D22649">
        <w:t>capped</w:t>
      </w:r>
      <w:r w:rsidR="00C64050">
        <w:t xml:space="preserve"> </w:t>
      </w:r>
      <w:r w:rsidR="00D22649">
        <w:t>such</w:t>
      </w:r>
      <w:r w:rsidR="00C64050">
        <w:t xml:space="preserve"> </w:t>
      </w:r>
      <w:r w:rsidR="00D22649">
        <w:t>that</w:t>
      </w:r>
      <w:r w:rsidR="00C64050">
        <w:t xml:space="preserve"> </w:t>
      </w:r>
      <w:r w:rsidR="00D22649">
        <w:t>the</w:t>
      </w:r>
      <w:r w:rsidR="00C64050">
        <w:t xml:space="preserve"> </w:t>
      </w:r>
      <w:r w:rsidR="00D22649">
        <w:t>amount</w:t>
      </w:r>
      <w:r w:rsidR="00C64050">
        <w:t xml:space="preserve"> </w:t>
      </w:r>
      <w:r w:rsidR="00D22649">
        <w:t>subject</w:t>
      </w:r>
      <w:r w:rsidR="00C64050">
        <w:t xml:space="preserve"> </w:t>
      </w:r>
      <w:r w:rsidR="00D22649">
        <w:t>to</w:t>
      </w:r>
      <w:r w:rsidR="00C64050">
        <w:t xml:space="preserve"> </w:t>
      </w:r>
      <w:r w:rsidR="00D22649">
        <w:t>the</w:t>
      </w:r>
      <w:r w:rsidR="00C64050">
        <w:t xml:space="preserve"> </w:t>
      </w:r>
      <w:r w:rsidR="00D22649">
        <w:t>power</w:t>
      </w:r>
      <w:r w:rsidR="00C64050">
        <w:t xml:space="preserve"> </w:t>
      </w:r>
      <w:r w:rsidR="00D22649">
        <w:t>when</w:t>
      </w:r>
      <w:r w:rsidR="00C64050">
        <w:t xml:space="preserve"> </w:t>
      </w:r>
      <w:r w:rsidR="00D22649">
        <w:t>added</w:t>
      </w:r>
      <w:r w:rsidR="00C64050">
        <w:t xml:space="preserve"> </w:t>
      </w:r>
      <w:r w:rsidR="00D22649">
        <w:t>to</w:t>
      </w:r>
      <w:r w:rsidR="00C64050">
        <w:t xml:space="preserve"> </w:t>
      </w:r>
      <w:r w:rsidR="00D22649">
        <w:t>the</w:t>
      </w:r>
      <w:r w:rsidR="00C64050">
        <w:t xml:space="preserve"> </w:t>
      </w:r>
      <w:r w:rsidR="00D22649">
        <w:t>other</w:t>
      </w:r>
      <w:r w:rsidR="00C64050">
        <w:t xml:space="preserve"> </w:t>
      </w:r>
      <w:r w:rsidR="00D22649">
        <w:t>assets</w:t>
      </w:r>
      <w:r w:rsidR="00C64050">
        <w:t xml:space="preserve"> </w:t>
      </w:r>
      <w:r w:rsidR="00D22649">
        <w:t>of</w:t>
      </w:r>
      <w:r w:rsidR="00C64050">
        <w:t xml:space="preserve"> </w:t>
      </w:r>
      <w:r w:rsidR="00D22649">
        <w:t>the</w:t>
      </w:r>
      <w:r w:rsidR="00C64050">
        <w:t xml:space="preserve"> </w:t>
      </w:r>
      <w:r w:rsidR="00D22649">
        <w:t>powerholder</w:t>
      </w:r>
      <w:r w:rsidR="00C64050">
        <w:t xml:space="preserve"> </w:t>
      </w:r>
      <w:r w:rsidR="00D22649">
        <w:t>produces</w:t>
      </w:r>
      <w:r w:rsidR="00C64050">
        <w:t xml:space="preserve"> </w:t>
      </w:r>
      <w:r w:rsidR="00D22649">
        <w:t>a</w:t>
      </w:r>
      <w:r w:rsidR="00C64050">
        <w:t xml:space="preserve"> </w:t>
      </w:r>
      <w:r w:rsidR="00D22649">
        <w:t>total</w:t>
      </w:r>
      <w:r w:rsidR="00C64050">
        <w:t xml:space="preserve"> </w:t>
      </w:r>
      <w:r w:rsidR="00D22649">
        <w:t>that</w:t>
      </w:r>
      <w:r w:rsidR="00C64050">
        <w:t xml:space="preserve"> </w:t>
      </w:r>
      <w:r w:rsidR="00D22649">
        <w:t>is</w:t>
      </w:r>
      <w:r w:rsidR="00C64050">
        <w:t xml:space="preserve"> </w:t>
      </w:r>
      <w:r w:rsidR="00D22649">
        <w:t>$1,000</w:t>
      </w:r>
      <w:r w:rsidR="00C64050">
        <w:t xml:space="preserve"> </w:t>
      </w:r>
      <w:r w:rsidR="00D22649">
        <w:t>less</w:t>
      </w:r>
      <w:r w:rsidR="00C64050">
        <w:t xml:space="preserve"> </w:t>
      </w:r>
      <w:r w:rsidR="00D22649">
        <w:t>than</w:t>
      </w:r>
      <w:r w:rsidR="00C64050">
        <w:t xml:space="preserve"> </w:t>
      </w:r>
      <w:r w:rsidR="00D22649">
        <w:t>the</w:t>
      </w:r>
      <w:r w:rsidR="00C64050">
        <w:t xml:space="preserve"> </w:t>
      </w:r>
      <w:r w:rsidR="00D22649">
        <w:t>powerholder’s</w:t>
      </w:r>
      <w:r w:rsidR="00C64050">
        <w:t xml:space="preserve"> </w:t>
      </w:r>
      <w:r w:rsidR="00D22649">
        <w:t>Basic</w:t>
      </w:r>
      <w:r w:rsidR="00C64050">
        <w:t xml:space="preserve"> </w:t>
      </w:r>
      <w:r w:rsidR="00D22649">
        <w:t>Exclusion</w:t>
      </w:r>
      <w:r w:rsidR="00C64050">
        <w:t xml:space="preserve"> </w:t>
      </w:r>
      <w:r w:rsidR="00D22649">
        <w:t>Amount.</w:t>
      </w:r>
    </w:p>
    <w:p w:rsidR="00E36DAA" w:rsidRDefault="00E36DAA" w:rsidP="00E36DAA">
      <w:pPr>
        <w:pStyle w:val="LFLevel4"/>
        <w:ind w:left="0" w:firstLine="2160"/>
      </w:pPr>
      <w:r>
        <w:t>The</w:t>
      </w:r>
      <w:r w:rsidR="00C64050">
        <w:t xml:space="preserve"> </w:t>
      </w:r>
      <w:r>
        <w:t>rights</w:t>
      </w:r>
      <w:r w:rsidR="00C64050">
        <w:t xml:space="preserve"> </w:t>
      </w:r>
      <w:r>
        <w:t>of</w:t>
      </w:r>
      <w:r w:rsidR="00C64050">
        <w:t xml:space="preserve"> </w:t>
      </w:r>
      <w:r>
        <w:t>creditors</w:t>
      </w:r>
      <w:r w:rsidR="00C64050">
        <w:t xml:space="preserve"> </w:t>
      </w:r>
      <w:r>
        <w:t>to</w:t>
      </w:r>
      <w:r w:rsidR="00C64050">
        <w:t xml:space="preserve"> </w:t>
      </w:r>
      <w:r>
        <w:t>property</w:t>
      </w:r>
      <w:r w:rsidR="00C64050">
        <w:t xml:space="preserve"> </w:t>
      </w:r>
      <w:r>
        <w:t>over</w:t>
      </w:r>
      <w:r w:rsidR="00C64050">
        <w:t xml:space="preserve"> </w:t>
      </w:r>
      <w:r>
        <w:t>which</w:t>
      </w:r>
      <w:r w:rsidR="00C64050">
        <w:t xml:space="preserve"> </w:t>
      </w:r>
      <w:r>
        <w:t>a</w:t>
      </w:r>
      <w:r w:rsidR="00C64050">
        <w:t xml:space="preserve"> </w:t>
      </w:r>
      <w:r>
        <w:t>powerholder</w:t>
      </w:r>
      <w:r w:rsidR="00C64050">
        <w:t xml:space="preserve"> </w:t>
      </w:r>
      <w:r>
        <w:t>has</w:t>
      </w:r>
      <w:r w:rsidR="00C64050">
        <w:t xml:space="preserve"> </w:t>
      </w:r>
      <w:r>
        <w:t>a</w:t>
      </w:r>
      <w:r w:rsidR="00C64050">
        <w:t xml:space="preserve"> </w:t>
      </w:r>
      <w:r>
        <w:t>testamentary</w:t>
      </w:r>
      <w:r w:rsidR="00C64050">
        <w:t xml:space="preserve"> </w:t>
      </w:r>
      <w:r>
        <w:t>general</w:t>
      </w:r>
      <w:r w:rsidR="00C64050">
        <w:t xml:space="preserve"> </w:t>
      </w:r>
      <w:r>
        <w:t>power</w:t>
      </w:r>
      <w:r w:rsidR="00C64050">
        <w:t xml:space="preserve"> </w:t>
      </w:r>
      <w:r>
        <w:t>is</w:t>
      </w:r>
      <w:r w:rsidR="00C64050">
        <w:t xml:space="preserve"> </w:t>
      </w:r>
      <w:r>
        <w:t>worth</w:t>
      </w:r>
      <w:r w:rsidR="00C64050">
        <w:t xml:space="preserve"> </w:t>
      </w:r>
      <w:r>
        <w:t>considering.</w:t>
      </w:r>
      <w:r w:rsidR="00C64050">
        <w:t xml:space="preserve">  </w:t>
      </w:r>
      <w:r>
        <w:rPr>
          <w:szCs w:val="24"/>
        </w:rPr>
        <w:t>The</w:t>
      </w:r>
      <w:r w:rsidR="00C64050">
        <w:rPr>
          <w:szCs w:val="24"/>
        </w:rPr>
        <w:t xml:space="preserve"> </w:t>
      </w:r>
      <w:r>
        <w:rPr>
          <w:szCs w:val="24"/>
        </w:rPr>
        <w:t>majority</w:t>
      </w:r>
      <w:r w:rsidR="00C64050">
        <w:rPr>
          <w:szCs w:val="24"/>
        </w:rPr>
        <w:t xml:space="preserve"> </w:t>
      </w:r>
      <w:r>
        <w:rPr>
          <w:szCs w:val="24"/>
        </w:rPr>
        <w:t>view</w:t>
      </w:r>
      <w:r w:rsidR="00C64050">
        <w:rPr>
          <w:szCs w:val="24"/>
        </w:rPr>
        <w:t xml:space="preserve"> </w:t>
      </w:r>
      <w:r>
        <w:rPr>
          <w:szCs w:val="24"/>
        </w:rPr>
        <w:t>at</w:t>
      </w:r>
      <w:r w:rsidR="00C64050">
        <w:rPr>
          <w:szCs w:val="24"/>
        </w:rPr>
        <w:t xml:space="preserve"> </w:t>
      </w:r>
      <w:r>
        <w:rPr>
          <w:szCs w:val="24"/>
        </w:rPr>
        <w:t>common</w:t>
      </w:r>
      <w:r w:rsidR="00C64050">
        <w:rPr>
          <w:szCs w:val="24"/>
        </w:rPr>
        <w:t xml:space="preserve"> </w:t>
      </w:r>
      <w:r>
        <w:rPr>
          <w:szCs w:val="24"/>
        </w:rPr>
        <w:t>law</w:t>
      </w:r>
      <w:r w:rsidR="00C64050">
        <w:rPr>
          <w:szCs w:val="24"/>
        </w:rPr>
        <w:t xml:space="preserve"> </w:t>
      </w:r>
      <w:r>
        <w:rPr>
          <w:szCs w:val="24"/>
        </w:rPr>
        <w:t>is</w:t>
      </w:r>
      <w:r w:rsidR="00C64050">
        <w:rPr>
          <w:szCs w:val="24"/>
        </w:rPr>
        <w:t xml:space="preserve"> </w:t>
      </w:r>
      <w:r>
        <w:rPr>
          <w:szCs w:val="24"/>
        </w:rPr>
        <w:t>that</w:t>
      </w:r>
      <w:r w:rsidR="00C64050">
        <w:rPr>
          <w:szCs w:val="24"/>
        </w:rPr>
        <w:t xml:space="preserve"> </w:t>
      </w:r>
      <w:r>
        <w:rPr>
          <w:szCs w:val="24"/>
        </w:rPr>
        <w:t>the</w:t>
      </w:r>
      <w:r w:rsidR="00C64050">
        <w:rPr>
          <w:szCs w:val="24"/>
        </w:rPr>
        <w:t xml:space="preserve"> </w:t>
      </w:r>
      <w:r>
        <w:rPr>
          <w:szCs w:val="24"/>
        </w:rPr>
        <w:t>powerholder</w:t>
      </w:r>
      <w:r w:rsidR="00C64050">
        <w:rPr>
          <w:szCs w:val="24"/>
        </w:rPr>
        <w:t xml:space="preserve"> </w:t>
      </w:r>
      <w:r>
        <w:rPr>
          <w:szCs w:val="24"/>
        </w:rPr>
        <w:t>of</w:t>
      </w:r>
      <w:r w:rsidR="00C64050">
        <w:rPr>
          <w:szCs w:val="24"/>
        </w:rPr>
        <w:t xml:space="preserve"> </w:t>
      </w:r>
      <w:r>
        <w:rPr>
          <w:szCs w:val="24"/>
        </w:rPr>
        <w:t>a</w:t>
      </w:r>
      <w:r w:rsidR="00C64050">
        <w:rPr>
          <w:szCs w:val="24"/>
        </w:rPr>
        <w:t xml:space="preserve"> </w:t>
      </w:r>
      <w:r>
        <w:rPr>
          <w:szCs w:val="24"/>
        </w:rPr>
        <w:t>power,</w:t>
      </w:r>
      <w:r w:rsidR="00C64050">
        <w:rPr>
          <w:szCs w:val="24"/>
        </w:rPr>
        <w:t xml:space="preserve"> </w:t>
      </w:r>
      <w:r>
        <w:rPr>
          <w:szCs w:val="24"/>
        </w:rPr>
        <w:t>conferred</w:t>
      </w:r>
      <w:r w:rsidR="00C64050">
        <w:rPr>
          <w:szCs w:val="24"/>
        </w:rPr>
        <w:t xml:space="preserve"> </w:t>
      </w:r>
      <w:r>
        <w:rPr>
          <w:szCs w:val="24"/>
        </w:rPr>
        <w:t>on</w:t>
      </w:r>
      <w:r w:rsidR="00C64050">
        <w:rPr>
          <w:szCs w:val="24"/>
        </w:rPr>
        <w:t xml:space="preserve"> </w:t>
      </w:r>
      <w:r>
        <w:rPr>
          <w:szCs w:val="24"/>
        </w:rPr>
        <w:t>the</w:t>
      </w:r>
      <w:r w:rsidR="00C64050">
        <w:rPr>
          <w:szCs w:val="24"/>
        </w:rPr>
        <w:t xml:space="preserve"> </w:t>
      </w:r>
      <w:r>
        <w:rPr>
          <w:szCs w:val="24"/>
        </w:rPr>
        <w:t>powerholder</w:t>
      </w:r>
      <w:r w:rsidR="00C64050">
        <w:rPr>
          <w:szCs w:val="24"/>
        </w:rPr>
        <w:t xml:space="preserve"> </w:t>
      </w:r>
      <w:r>
        <w:rPr>
          <w:szCs w:val="24"/>
        </w:rPr>
        <w:t>by</w:t>
      </w:r>
      <w:r w:rsidR="00C64050">
        <w:rPr>
          <w:szCs w:val="24"/>
        </w:rPr>
        <w:t xml:space="preserve"> </w:t>
      </w:r>
      <w:r>
        <w:rPr>
          <w:szCs w:val="24"/>
        </w:rPr>
        <w:t>another,</w:t>
      </w:r>
      <w:r w:rsidR="00C64050">
        <w:rPr>
          <w:szCs w:val="24"/>
        </w:rPr>
        <w:t xml:space="preserve"> </w:t>
      </w:r>
      <w:r>
        <w:rPr>
          <w:szCs w:val="24"/>
        </w:rPr>
        <w:t>is</w:t>
      </w:r>
      <w:r w:rsidR="00C64050">
        <w:rPr>
          <w:szCs w:val="24"/>
        </w:rPr>
        <w:t xml:space="preserve"> </w:t>
      </w:r>
      <w:r>
        <w:rPr>
          <w:szCs w:val="24"/>
        </w:rPr>
        <w:t>treated</w:t>
      </w:r>
      <w:r w:rsidR="00C64050">
        <w:rPr>
          <w:szCs w:val="24"/>
        </w:rPr>
        <w:t xml:space="preserve"> </w:t>
      </w:r>
      <w:r>
        <w:rPr>
          <w:szCs w:val="24"/>
        </w:rPr>
        <w:t>as</w:t>
      </w:r>
      <w:r w:rsidR="00C64050">
        <w:rPr>
          <w:szCs w:val="24"/>
        </w:rPr>
        <w:t xml:space="preserve"> </w:t>
      </w:r>
      <w:r>
        <w:rPr>
          <w:szCs w:val="24"/>
        </w:rPr>
        <w:t>the</w:t>
      </w:r>
      <w:r w:rsidR="00C64050">
        <w:rPr>
          <w:szCs w:val="24"/>
        </w:rPr>
        <w:t xml:space="preserve"> </w:t>
      </w:r>
      <w:r>
        <w:rPr>
          <w:szCs w:val="24"/>
        </w:rPr>
        <w:t>beneficial</w:t>
      </w:r>
      <w:r w:rsidR="00C64050">
        <w:rPr>
          <w:szCs w:val="24"/>
        </w:rPr>
        <w:t xml:space="preserve"> </w:t>
      </w:r>
      <w:r>
        <w:rPr>
          <w:szCs w:val="24"/>
        </w:rPr>
        <w:t>owner</w:t>
      </w:r>
      <w:r w:rsidR="00C64050">
        <w:rPr>
          <w:szCs w:val="24"/>
        </w:rPr>
        <w:t xml:space="preserve"> </w:t>
      </w:r>
      <w:r>
        <w:rPr>
          <w:szCs w:val="24"/>
        </w:rPr>
        <w:t>of</w:t>
      </w:r>
      <w:r w:rsidR="00C64050">
        <w:rPr>
          <w:szCs w:val="24"/>
        </w:rPr>
        <w:t xml:space="preserve"> </w:t>
      </w:r>
      <w:r>
        <w:rPr>
          <w:szCs w:val="24"/>
        </w:rPr>
        <w:t>the</w:t>
      </w:r>
      <w:r w:rsidR="00C64050">
        <w:rPr>
          <w:szCs w:val="24"/>
        </w:rPr>
        <w:t xml:space="preserve"> </w:t>
      </w:r>
      <w:r>
        <w:rPr>
          <w:szCs w:val="24"/>
        </w:rPr>
        <w:t>appointive</w:t>
      </w:r>
      <w:r w:rsidR="00C64050">
        <w:rPr>
          <w:szCs w:val="24"/>
        </w:rPr>
        <w:t xml:space="preserve"> </w:t>
      </w:r>
      <w:r>
        <w:rPr>
          <w:szCs w:val="24"/>
        </w:rPr>
        <w:t>property</w:t>
      </w:r>
      <w:r w:rsidR="00C64050">
        <w:rPr>
          <w:szCs w:val="24"/>
        </w:rPr>
        <w:t xml:space="preserve"> </w:t>
      </w:r>
      <w:r>
        <w:rPr>
          <w:szCs w:val="24"/>
        </w:rPr>
        <w:t>for</w:t>
      </w:r>
      <w:r w:rsidR="00C64050">
        <w:rPr>
          <w:szCs w:val="24"/>
        </w:rPr>
        <w:t xml:space="preserve"> </w:t>
      </w:r>
      <w:r>
        <w:rPr>
          <w:szCs w:val="24"/>
        </w:rPr>
        <w:t>purposes</w:t>
      </w:r>
      <w:r w:rsidR="00C64050">
        <w:rPr>
          <w:szCs w:val="24"/>
        </w:rPr>
        <w:t xml:space="preserve"> </w:t>
      </w:r>
      <w:r>
        <w:rPr>
          <w:szCs w:val="24"/>
        </w:rPr>
        <w:t>of</w:t>
      </w:r>
      <w:r w:rsidR="00C64050">
        <w:rPr>
          <w:szCs w:val="24"/>
        </w:rPr>
        <w:t xml:space="preserve"> </w:t>
      </w:r>
      <w:r>
        <w:rPr>
          <w:szCs w:val="24"/>
        </w:rPr>
        <w:t>creditors’</w:t>
      </w:r>
      <w:r w:rsidR="00C64050">
        <w:rPr>
          <w:szCs w:val="24"/>
        </w:rPr>
        <w:t xml:space="preserve"> </w:t>
      </w:r>
      <w:r>
        <w:rPr>
          <w:szCs w:val="24"/>
        </w:rPr>
        <w:t>rights</w:t>
      </w:r>
      <w:r w:rsidR="00C64050">
        <w:rPr>
          <w:szCs w:val="24"/>
        </w:rPr>
        <w:t xml:space="preserve"> </w:t>
      </w:r>
      <w:r>
        <w:rPr>
          <w:szCs w:val="24"/>
        </w:rPr>
        <w:t>only</w:t>
      </w:r>
      <w:r w:rsidR="00C64050">
        <w:rPr>
          <w:szCs w:val="24"/>
        </w:rPr>
        <w:t xml:space="preserve"> </w:t>
      </w:r>
      <w:r>
        <w:rPr>
          <w:szCs w:val="24"/>
        </w:rPr>
        <w:t>if</w:t>
      </w:r>
      <w:r w:rsidR="00C64050">
        <w:rPr>
          <w:szCs w:val="24"/>
        </w:rPr>
        <w:t xml:space="preserve"> </w:t>
      </w:r>
      <w:r>
        <w:rPr>
          <w:szCs w:val="24"/>
        </w:rPr>
        <w:t>(1)</w:t>
      </w:r>
      <w:r w:rsidR="00C64050">
        <w:rPr>
          <w:szCs w:val="24"/>
        </w:rPr>
        <w:t xml:space="preserve"> </w:t>
      </w:r>
      <w:r>
        <w:rPr>
          <w:szCs w:val="24"/>
        </w:rPr>
        <w:t>the</w:t>
      </w:r>
      <w:r w:rsidR="00C64050">
        <w:rPr>
          <w:szCs w:val="24"/>
        </w:rPr>
        <w:t xml:space="preserve"> </w:t>
      </w:r>
      <w:r>
        <w:rPr>
          <w:szCs w:val="24"/>
        </w:rPr>
        <w:t>power</w:t>
      </w:r>
      <w:r w:rsidR="00C64050">
        <w:rPr>
          <w:szCs w:val="24"/>
        </w:rPr>
        <w:t xml:space="preserve"> </w:t>
      </w:r>
      <w:r>
        <w:rPr>
          <w:szCs w:val="24"/>
        </w:rPr>
        <w:t>is</w:t>
      </w:r>
      <w:r w:rsidR="00C64050">
        <w:rPr>
          <w:szCs w:val="24"/>
        </w:rPr>
        <w:t xml:space="preserve"> </w:t>
      </w:r>
      <w:r>
        <w:rPr>
          <w:szCs w:val="24"/>
        </w:rPr>
        <w:t>general</w:t>
      </w:r>
      <w:r w:rsidR="00C64050">
        <w:rPr>
          <w:szCs w:val="24"/>
        </w:rPr>
        <w:t xml:space="preserve"> </w:t>
      </w:r>
      <w:r w:rsidRPr="00837CD1">
        <w:rPr>
          <w:i/>
          <w:iCs/>
          <w:szCs w:val="24"/>
        </w:rPr>
        <w:t>and</w:t>
      </w:r>
      <w:r w:rsidR="00C64050">
        <w:rPr>
          <w:szCs w:val="24"/>
        </w:rPr>
        <w:t xml:space="preserve"> </w:t>
      </w:r>
      <w:r>
        <w:rPr>
          <w:szCs w:val="24"/>
        </w:rPr>
        <w:t>(2)</w:t>
      </w:r>
      <w:r w:rsidR="00C64050">
        <w:rPr>
          <w:szCs w:val="24"/>
        </w:rPr>
        <w:t xml:space="preserve"> </w:t>
      </w:r>
      <w:r>
        <w:rPr>
          <w:szCs w:val="24"/>
        </w:rPr>
        <w:t>the</w:t>
      </w:r>
      <w:r w:rsidR="00C64050">
        <w:rPr>
          <w:szCs w:val="24"/>
        </w:rPr>
        <w:t xml:space="preserve"> </w:t>
      </w:r>
      <w:r w:rsidRPr="00E36DAA">
        <w:t>powerholder</w:t>
      </w:r>
      <w:r w:rsidR="00C64050">
        <w:rPr>
          <w:szCs w:val="24"/>
        </w:rPr>
        <w:t xml:space="preserve"> </w:t>
      </w:r>
      <w:r>
        <w:rPr>
          <w:szCs w:val="24"/>
        </w:rPr>
        <w:t>exercises</w:t>
      </w:r>
      <w:r w:rsidR="00C64050">
        <w:rPr>
          <w:szCs w:val="24"/>
        </w:rPr>
        <w:t xml:space="preserve"> </w:t>
      </w:r>
      <w:r>
        <w:rPr>
          <w:szCs w:val="24"/>
        </w:rPr>
        <w:t>the</w:t>
      </w:r>
      <w:r w:rsidR="00C64050">
        <w:rPr>
          <w:szCs w:val="24"/>
        </w:rPr>
        <w:t xml:space="preserve"> </w:t>
      </w:r>
      <w:r>
        <w:rPr>
          <w:szCs w:val="24"/>
        </w:rPr>
        <w:t>power.</w:t>
      </w:r>
      <w:r w:rsidR="00C64050">
        <w:rPr>
          <w:szCs w:val="24"/>
        </w:rPr>
        <w:t xml:space="preserve"> </w:t>
      </w:r>
      <w:r>
        <w:rPr>
          <w:szCs w:val="24"/>
        </w:rPr>
        <w:t>No</w:t>
      </w:r>
      <w:r w:rsidR="00C64050">
        <w:rPr>
          <w:szCs w:val="24"/>
        </w:rPr>
        <w:t xml:space="preserve"> </w:t>
      </w:r>
      <w:r>
        <w:rPr>
          <w:szCs w:val="24"/>
        </w:rPr>
        <w:t>distinction</w:t>
      </w:r>
      <w:r w:rsidR="00C64050">
        <w:rPr>
          <w:szCs w:val="24"/>
        </w:rPr>
        <w:t xml:space="preserve"> </w:t>
      </w:r>
      <w:r>
        <w:rPr>
          <w:szCs w:val="24"/>
        </w:rPr>
        <w:t>is</w:t>
      </w:r>
      <w:r w:rsidR="00C64050">
        <w:rPr>
          <w:szCs w:val="24"/>
        </w:rPr>
        <w:t xml:space="preserve"> </w:t>
      </w:r>
      <w:r>
        <w:rPr>
          <w:szCs w:val="24"/>
        </w:rPr>
        <w:t>made</w:t>
      </w:r>
      <w:r w:rsidR="00C64050">
        <w:rPr>
          <w:szCs w:val="24"/>
        </w:rPr>
        <w:t xml:space="preserve"> </w:t>
      </w:r>
      <w:r>
        <w:rPr>
          <w:szCs w:val="24"/>
        </w:rPr>
        <w:t>between</w:t>
      </w:r>
      <w:r w:rsidR="00C64050">
        <w:rPr>
          <w:szCs w:val="24"/>
        </w:rPr>
        <w:t xml:space="preserve"> </w:t>
      </w:r>
      <w:r>
        <w:rPr>
          <w:szCs w:val="24"/>
        </w:rPr>
        <w:t>a</w:t>
      </w:r>
      <w:r w:rsidR="00C64050">
        <w:rPr>
          <w:szCs w:val="24"/>
        </w:rPr>
        <w:t xml:space="preserve"> </w:t>
      </w:r>
      <w:r>
        <w:rPr>
          <w:szCs w:val="24"/>
        </w:rPr>
        <w:t>testamentary</w:t>
      </w:r>
      <w:r w:rsidR="00C64050">
        <w:rPr>
          <w:szCs w:val="24"/>
        </w:rPr>
        <w:t xml:space="preserve"> </w:t>
      </w:r>
      <w:r>
        <w:rPr>
          <w:szCs w:val="24"/>
        </w:rPr>
        <w:t>and</w:t>
      </w:r>
      <w:r w:rsidR="00C64050">
        <w:rPr>
          <w:szCs w:val="24"/>
        </w:rPr>
        <w:t xml:space="preserve"> </w:t>
      </w:r>
      <w:r>
        <w:rPr>
          <w:szCs w:val="24"/>
        </w:rPr>
        <w:t>a</w:t>
      </w:r>
      <w:r w:rsidR="00C64050">
        <w:rPr>
          <w:szCs w:val="24"/>
        </w:rPr>
        <w:t xml:space="preserve"> </w:t>
      </w:r>
      <w:r>
        <w:rPr>
          <w:szCs w:val="24"/>
        </w:rPr>
        <w:t>presently</w:t>
      </w:r>
      <w:r w:rsidR="00C64050">
        <w:rPr>
          <w:szCs w:val="24"/>
        </w:rPr>
        <w:t xml:space="preserve"> </w:t>
      </w:r>
      <w:r>
        <w:rPr>
          <w:szCs w:val="24"/>
        </w:rPr>
        <w:t>exercisable</w:t>
      </w:r>
      <w:r w:rsidR="00C64050">
        <w:rPr>
          <w:szCs w:val="24"/>
        </w:rPr>
        <w:t xml:space="preserve"> </w:t>
      </w:r>
      <w:r>
        <w:rPr>
          <w:szCs w:val="24"/>
        </w:rPr>
        <w:t>power.</w:t>
      </w:r>
      <w:r w:rsidR="00C64050">
        <w:rPr>
          <w:szCs w:val="24"/>
        </w:rPr>
        <w:t xml:space="preserve">  </w:t>
      </w:r>
      <w:r>
        <w:rPr>
          <w:szCs w:val="24"/>
        </w:rPr>
        <w:t>Creditors</w:t>
      </w:r>
      <w:r w:rsidR="00C64050">
        <w:rPr>
          <w:szCs w:val="24"/>
        </w:rPr>
        <w:t xml:space="preserve"> </w:t>
      </w:r>
      <w:r>
        <w:rPr>
          <w:szCs w:val="24"/>
        </w:rPr>
        <w:t>of</w:t>
      </w:r>
      <w:r w:rsidR="00C64050">
        <w:rPr>
          <w:szCs w:val="24"/>
        </w:rPr>
        <w:t xml:space="preserve"> </w:t>
      </w:r>
      <w:r>
        <w:rPr>
          <w:szCs w:val="24"/>
        </w:rPr>
        <w:t>a</w:t>
      </w:r>
      <w:r w:rsidR="00C64050">
        <w:rPr>
          <w:szCs w:val="24"/>
        </w:rPr>
        <w:t xml:space="preserve"> </w:t>
      </w:r>
      <w:r>
        <w:rPr>
          <w:szCs w:val="24"/>
        </w:rPr>
        <w:t>powerholder</w:t>
      </w:r>
      <w:r w:rsidR="00C64050">
        <w:rPr>
          <w:szCs w:val="24"/>
        </w:rPr>
        <w:t xml:space="preserve"> </w:t>
      </w:r>
      <w:r>
        <w:rPr>
          <w:szCs w:val="24"/>
        </w:rPr>
        <w:t>of</w:t>
      </w:r>
      <w:r w:rsidR="00C64050">
        <w:rPr>
          <w:szCs w:val="24"/>
        </w:rPr>
        <w:t xml:space="preserve"> </w:t>
      </w:r>
      <w:r>
        <w:rPr>
          <w:szCs w:val="24"/>
        </w:rPr>
        <w:t>a</w:t>
      </w:r>
      <w:r w:rsidR="00C64050">
        <w:rPr>
          <w:szCs w:val="24"/>
        </w:rPr>
        <w:t xml:space="preserve"> </w:t>
      </w:r>
      <w:r w:rsidRPr="00837CD1">
        <w:rPr>
          <w:i/>
          <w:iCs/>
          <w:szCs w:val="24"/>
        </w:rPr>
        <w:t>non</w:t>
      </w:r>
      <w:r>
        <w:rPr>
          <w:szCs w:val="24"/>
        </w:rPr>
        <w:t>general</w:t>
      </w:r>
      <w:r w:rsidR="00C64050">
        <w:rPr>
          <w:szCs w:val="24"/>
        </w:rPr>
        <w:t xml:space="preserve"> </w:t>
      </w:r>
      <w:r>
        <w:rPr>
          <w:szCs w:val="24"/>
        </w:rPr>
        <w:t>power,</w:t>
      </w:r>
      <w:r w:rsidR="00C64050">
        <w:rPr>
          <w:szCs w:val="24"/>
        </w:rPr>
        <w:t xml:space="preserve"> </w:t>
      </w:r>
      <w:r>
        <w:rPr>
          <w:szCs w:val="24"/>
        </w:rPr>
        <w:t>on</w:t>
      </w:r>
      <w:r w:rsidR="00C64050">
        <w:rPr>
          <w:szCs w:val="24"/>
        </w:rPr>
        <w:t xml:space="preserve"> </w:t>
      </w:r>
      <w:r>
        <w:rPr>
          <w:szCs w:val="24"/>
        </w:rPr>
        <w:t>the</w:t>
      </w:r>
      <w:r w:rsidR="00C64050">
        <w:rPr>
          <w:szCs w:val="24"/>
        </w:rPr>
        <w:t xml:space="preserve"> </w:t>
      </w:r>
      <w:r>
        <w:rPr>
          <w:szCs w:val="24"/>
        </w:rPr>
        <w:t>other</w:t>
      </w:r>
      <w:r w:rsidR="00C64050">
        <w:rPr>
          <w:szCs w:val="24"/>
        </w:rPr>
        <w:t xml:space="preserve"> </w:t>
      </w:r>
      <w:r>
        <w:rPr>
          <w:szCs w:val="24"/>
        </w:rPr>
        <w:t>hand,</w:t>
      </w:r>
      <w:r w:rsidR="00C64050">
        <w:rPr>
          <w:szCs w:val="24"/>
        </w:rPr>
        <w:t xml:space="preserve"> </w:t>
      </w:r>
      <w:r>
        <w:rPr>
          <w:szCs w:val="24"/>
        </w:rPr>
        <w:t>cannot</w:t>
      </w:r>
      <w:r w:rsidR="00C64050">
        <w:rPr>
          <w:szCs w:val="24"/>
        </w:rPr>
        <w:t xml:space="preserve"> </w:t>
      </w:r>
      <w:r>
        <w:rPr>
          <w:szCs w:val="24"/>
        </w:rPr>
        <w:t>reach</w:t>
      </w:r>
      <w:r w:rsidR="00C64050">
        <w:rPr>
          <w:szCs w:val="24"/>
        </w:rPr>
        <w:t xml:space="preserve"> </w:t>
      </w:r>
      <w:r>
        <w:rPr>
          <w:szCs w:val="24"/>
        </w:rPr>
        <w:t>the</w:t>
      </w:r>
      <w:r w:rsidR="00C64050">
        <w:rPr>
          <w:szCs w:val="24"/>
        </w:rPr>
        <w:t xml:space="preserve"> </w:t>
      </w:r>
      <w:r>
        <w:rPr>
          <w:szCs w:val="24"/>
        </w:rPr>
        <w:t>appointive</w:t>
      </w:r>
      <w:r w:rsidR="00C64050">
        <w:rPr>
          <w:szCs w:val="24"/>
        </w:rPr>
        <w:t xml:space="preserve"> </w:t>
      </w:r>
      <w:r>
        <w:rPr>
          <w:szCs w:val="24"/>
        </w:rPr>
        <w:t>assets</w:t>
      </w:r>
      <w:r w:rsidR="00C64050">
        <w:rPr>
          <w:szCs w:val="24"/>
        </w:rPr>
        <w:t xml:space="preserve"> </w:t>
      </w:r>
      <w:r>
        <w:rPr>
          <w:szCs w:val="24"/>
        </w:rPr>
        <w:t>even</w:t>
      </w:r>
      <w:r w:rsidR="00C64050">
        <w:rPr>
          <w:szCs w:val="24"/>
        </w:rPr>
        <w:t xml:space="preserve"> </w:t>
      </w:r>
      <w:r>
        <w:rPr>
          <w:szCs w:val="24"/>
        </w:rPr>
        <w:t>if</w:t>
      </w:r>
      <w:r w:rsidR="00C64050">
        <w:rPr>
          <w:szCs w:val="24"/>
        </w:rPr>
        <w:t xml:space="preserve"> </w:t>
      </w:r>
      <w:r>
        <w:rPr>
          <w:szCs w:val="24"/>
        </w:rPr>
        <w:t>the</w:t>
      </w:r>
      <w:r w:rsidR="00C64050">
        <w:rPr>
          <w:szCs w:val="24"/>
        </w:rPr>
        <w:t xml:space="preserve"> </w:t>
      </w:r>
      <w:r>
        <w:rPr>
          <w:szCs w:val="24"/>
        </w:rPr>
        <w:t>power</w:t>
      </w:r>
      <w:r w:rsidR="00C64050">
        <w:rPr>
          <w:szCs w:val="24"/>
        </w:rPr>
        <w:t xml:space="preserve"> </w:t>
      </w:r>
      <w:r>
        <w:rPr>
          <w:szCs w:val="24"/>
        </w:rPr>
        <w:t>was</w:t>
      </w:r>
      <w:r w:rsidR="00C64050">
        <w:rPr>
          <w:szCs w:val="24"/>
        </w:rPr>
        <w:t xml:space="preserve"> </w:t>
      </w:r>
      <w:r>
        <w:rPr>
          <w:szCs w:val="24"/>
        </w:rPr>
        <w:t>effectively</w:t>
      </w:r>
      <w:r w:rsidR="00C64050">
        <w:rPr>
          <w:szCs w:val="24"/>
        </w:rPr>
        <w:t xml:space="preserve"> </w:t>
      </w:r>
      <w:r>
        <w:rPr>
          <w:szCs w:val="24"/>
        </w:rPr>
        <w:t>exercised.</w:t>
      </w:r>
      <w:r w:rsidR="00C64050">
        <w:rPr>
          <w:szCs w:val="24"/>
        </w:rPr>
        <w:t xml:space="preserve"> </w:t>
      </w:r>
      <w:r>
        <w:rPr>
          <w:szCs w:val="24"/>
        </w:rPr>
        <w:t>The</w:t>
      </w:r>
      <w:r w:rsidR="00C64050">
        <w:rPr>
          <w:szCs w:val="24"/>
        </w:rPr>
        <w:t xml:space="preserve"> </w:t>
      </w:r>
      <w:r>
        <w:rPr>
          <w:szCs w:val="24"/>
        </w:rPr>
        <w:t>theory</w:t>
      </w:r>
      <w:r w:rsidR="00C64050">
        <w:rPr>
          <w:szCs w:val="24"/>
        </w:rPr>
        <w:t xml:space="preserve"> </w:t>
      </w:r>
      <w:r>
        <w:rPr>
          <w:szCs w:val="24"/>
        </w:rPr>
        <w:t>is</w:t>
      </w:r>
      <w:r w:rsidR="00C64050">
        <w:rPr>
          <w:szCs w:val="24"/>
        </w:rPr>
        <w:t xml:space="preserve"> </w:t>
      </w:r>
      <w:r>
        <w:rPr>
          <w:szCs w:val="24"/>
        </w:rPr>
        <w:t>that</w:t>
      </w:r>
      <w:r w:rsidR="00C64050">
        <w:rPr>
          <w:szCs w:val="24"/>
        </w:rPr>
        <w:t xml:space="preserve"> </w:t>
      </w:r>
      <w:r>
        <w:rPr>
          <w:szCs w:val="24"/>
        </w:rPr>
        <w:t>the</w:t>
      </w:r>
      <w:r w:rsidR="00C64050">
        <w:rPr>
          <w:szCs w:val="24"/>
        </w:rPr>
        <w:t xml:space="preserve"> </w:t>
      </w:r>
      <w:r>
        <w:rPr>
          <w:szCs w:val="24"/>
        </w:rPr>
        <w:t>donor</w:t>
      </w:r>
      <w:r w:rsidR="00C64050">
        <w:rPr>
          <w:szCs w:val="24"/>
        </w:rPr>
        <w:t xml:space="preserve"> </w:t>
      </w:r>
      <w:r>
        <w:rPr>
          <w:szCs w:val="24"/>
        </w:rPr>
        <w:t>who</w:t>
      </w:r>
      <w:r w:rsidR="00C64050">
        <w:rPr>
          <w:szCs w:val="24"/>
        </w:rPr>
        <w:t xml:space="preserve"> </w:t>
      </w:r>
      <w:r>
        <w:rPr>
          <w:szCs w:val="24"/>
        </w:rPr>
        <w:t>creates</w:t>
      </w:r>
      <w:r w:rsidR="00C64050">
        <w:rPr>
          <w:szCs w:val="24"/>
        </w:rPr>
        <w:t xml:space="preserve"> </w:t>
      </w:r>
      <w:r>
        <w:rPr>
          <w:szCs w:val="24"/>
        </w:rPr>
        <w:t>a</w:t>
      </w:r>
      <w:r w:rsidR="00C64050">
        <w:rPr>
          <w:szCs w:val="24"/>
        </w:rPr>
        <w:t xml:space="preserve"> </w:t>
      </w:r>
      <w:r>
        <w:rPr>
          <w:szCs w:val="24"/>
        </w:rPr>
        <w:t>nongeneral</w:t>
      </w:r>
      <w:r w:rsidR="00C64050">
        <w:rPr>
          <w:szCs w:val="24"/>
        </w:rPr>
        <w:t xml:space="preserve"> </w:t>
      </w:r>
      <w:r>
        <w:rPr>
          <w:szCs w:val="24"/>
        </w:rPr>
        <w:t>power</w:t>
      </w:r>
      <w:r w:rsidR="00C64050">
        <w:rPr>
          <w:szCs w:val="24"/>
        </w:rPr>
        <w:t xml:space="preserve"> </w:t>
      </w:r>
      <w:r>
        <w:rPr>
          <w:szCs w:val="24"/>
        </w:rPr>
        <w:t>did</w:t>
      </w:r>
      <w:r w:rsidR="00C64050">
        <w:rPr>
          <w:szCs w:val="24"/>
        </w:rPr>
        <w:t xml:space="preserve"> </w:t>
      </w:r>
      <w:r>
        <w:rPr>
          <w:szCs w:val="24"/>
        </w:rPr>
        <w:t>not</w:t>
      </w:r>
      <w:r w:rsidR="00C64050">
        <w:rPr>
          <w:szCs w:val="24"/>
        </w:rPr>
        <w:t xml:space="preserve"> </w:t>
      </w:r>
      <w:r>
        <w:rPr>
          <w:szCs w:val="24"/>
        </w:rPr>
        <w:t>intend</w:t>
      </w:r>
      <w:r w:rsidR="00C64050">
        <w:rPr>
          <w:szCs w:val="24"/>
        </w:rPr>
        <w:t xml:space="preserve"> </w:t>
      </w:r>
      <w:r>
        <w:rPr>
          <w:szCs w:val="24"/>
        </w:rPr>
        <w:t>to</w:t>
      </w:r>
      <w:r w:rsidR="00C64050">
        <w:rPr>
          <w:szCs w:val="24"/>
        </w:rPr>
        <w:t xml:space="preserve"> </w:t>
      </w:r>
      <w:r>
        <w:rPr>
          <w:szCs w:val="24"/>
        </w:rPr>
        <w:t>benefit</w:t>
      </w:r>
      <w:r w:rsidR="00C64050">
        <w:rPr>
          <w:szCs w:val="24"/>
        </w:rPr>
        <w:t xml:space="preserve"> </w:t>
      </w:r>
      <w:r>
        <w:rPr>
          <w:szCs w:val="24"/>
        </w:rPr>
        <w:t>the</w:t>
      </w:r>
      <w:r w:rsidR="00C64050">
        <w:rPr>
          <w:szCs w:val="24"/>
        </w:rPr>
        <w:t xml:space="preserve"> </w:t>
      </w:r>
      <w:r>
        <w:rPr>
          <w:szCs w:val="24"/>
        </w:rPr>
        <w:t>powerholder.</w:t>
      </w:r>
      <w:r w:rsidR="00C64050">
        <w:rPr>
          <w:szCs w:val="24"/>
        </w:rPr>
        <w:t xml:space="preserve">  </w:t>
      </w:r>
    </w:p>
    <w:p w:rsidR="00E36DAA" w:rsidRDefault="00E36DAA" w:rsidP="00366A7B">
      <w:pPr>
        <w:pStyle w:val="Body15"/>
      </w:pPr>
      <w:r>
        <w:t>When</w:t>
      </w:r>
      <w:r w:rsidR="00C64050">
        <w:t xml:space="preserve"> </w:t>
      </w:r>
      <w:r>
        <w:t>the</w:t>
      </w:r>
      <w:r w:rsidR="00C64050">
        <w:t xml:space="preserve"> </w:t>
      </w:r>
      <w:r>
        <w:t>powerholder</w:t>
      </w:r>
      <w:r w:rsidR="00C64050">
        <w:t xml:space="preserve"> </w:t>
      </w:r>
      <w:r>
        <w:t>of</w:t>
      </w:r>
      <w:r w:rsidR="00C64050">
        <w:t xml:space="preserve"> </w:t>
      </w:r>
      <w:r>
        <w:t>a</w:t>
      </w:r>
      <w:r w:rsidR="00C64050">
        <w:t xml:space="preserve"> </w:t>
      </w:r>
      <w:r>
        <w:t>general</w:t>
      </w:r>
      <w:r w:rsidR="00C64050">
        <w:t xml:space="preserve"> </w:t>
      </w:r>
      <w:r>
        <w:t>power</w:t>
      </w:r>
      <w:r w:rsidR="00C64050">
        <w:t xml:space="preserve"> </w:t>
      </w:r>
      <w:r>
        <w:t>exercises</w:t>
      </w:r>
      <w:r w:rsidR="00C64050">
        <w:t xml:space="preserve"> </w:t>
      </w:r>
      <w:r>
        <w:t>the</w:t>
      </w:r>
      <w:r w:rsidR="00C64050">
        <w:t xml:space="preserve"> </w:t>
      </w:r>
      <w:r>
        <w:t>power</w:t>
      </w:r>
      <w:r w:rsidR="00C64050">
        <w:t xml:space="preserve"> </w:t>
      </w:r>
      <w:r w:rsidRPr="00837CD1">
        <w:rPr>
          <w:iCs/>
        </w:rPr>
        <w:t>by</w:t>
      </w:r>
      <w:r w:rsidR="00C64050">
        <w:rPr>
          <w:iCs/>
        </w:rPr>
        <w:t xml:space="preserve"> </w:t>
      </w:r>
      <w:r w:rsidRPr="00837CD1">
        <w:rPr>
          <w:iCs/>
        </w:rPr>
        <w:t>will</w:t>
      </w:r>
      <w:r w:rsidRPr="00837CD1">
        <w:t>,</w:t>
      </w:r>
      <w:r w:rsidR="00C64050">
        <w:t xml:space="preserve"> </w:t>
      </w:r>
      <w:r>
        <w:t>the</w:t>
      </w:r>
      <w:r w:rsidR="00C64050">
        <w:t xml:space="preserve"> </w:t>
      </w:r>
      <w:r>
        <w:t>view</w:t>
      </w:r>
      <w:r w:rsidR="00C64050">
        <w:t xml:space="preserve"> </w:t>
      </w:r>
      <w:r>
        <w:t>that</w:t>
      </w:r>
      <w:r w:rsidR="00C64050">
        <w:t xml:space="preserve"> </w:t>
      </w:r>
      <w:r>
        <w:t>the</w:t>
      </w:r>
      <w:r w:rsidR="00C64050">
        <w:t xml:space="preserve"> </w:t>
      </w:r>
      <w:r>
        <w:t>appointed</w:t>
      </w:r>
      <w:r w:rsidR="00C64050">
        <w:t xml:space="preserve"> </w:t>
      </w:r>
      <w:r>
        <w:t>property</w:t>
      </w:r>
      <w:r w:rsidR="00C64050">
        <w:t xml:space="preserve"> </w:t>
      </w:r>
      <w:r>
        <w:t>is</w:t>
      </w:r>
      <w:r w:rsidR="00C64050">
        <w:t xml:space="preserve"> </w:t>
      </w:r>
      <w:r>
        <w:t>treated</w:t>
      </w:r>
      <w:r w:rsidR="00C64050">
        <w:t xml:space="preserve"> </w:t>
      </w:r>
      <w:r>
        <w:t>as</w:t>
      </w:r>
      <w:r w:rsidR="00C64050">
        <w:t xml:space="preserve"> </w:t>
      </w:r>
      <w:r>
        <w:t>if</w:t>
      </w:r>
      <w:r w:rsidR="00C64050">
        <w:t xml:space="preserve"> </w:t>
      </w:r>
      <w:r>
        <w:t>it</w:t>
      </w:r>
      <w:r w:rsidR="00C64050">
        <w:t xml:space="preserve"> </w:t>
      </w:r>
      <w:r>
        <w:t>were</w:t>
      </w:r>
      <w:r w:rsidR="00C64050">
        <w:t xml:space="preserve"> </w:t>
      </w:r>
      <w:r>
        <w:t>owned</w:t>
      </w:r>
      <w:r w:rsidR="00C64050">
        <w:t xml:space="preserve"> </w:t>
      </w:r>
      <w:r>
        <w:t>by</w:t>
      </w:r>
      <w:r w:rsidR="00C64050">
        <w:t xml:space="preserve"> </w:t>
      </w:r>
      <w:r>
        <w:t>the</w:t>
      </w:r>
      <w:r w:rsidR="00C64050">
        <w:t xml:space="preserve"> </w:t>
      </w:r>
      <w:r>
        <w:t>powerholder</w:t>
      </w:r>
      <w:r w:rsidR="00C64050">
        <w:t xml:space="preserve"> </w:t>
      </w:r>
      <w:r>
        <w:t>means</w:t>
      </w:r>
      <w:r w:rsidR="00C64050">
        <w:t xml:space="preserve"> </w:t>
      </w:r>
      <w:r>
        <w:t>that</w:t>
      </w:r>
      <w:r w:rsidR="00C64050">
        <w:t xml:space="preserve"> </w:t>
      </w:r>
      <w:r>
        <w:t>the</w:t>
      </w:r>
      <w:r w:rsidR="00C64050">
        <w:t xml:space="preserve"> </w:t>
      </w:r>
      <w:r>
        <w:t>creditors</w:t>
      </w:r>
      <w:r w:rsidR="00C64050">
        <w:t xml:space="preserve"> </w:t>
      </w:r>
      <w:r>
        <w:t>of</w:t>
      </w:r>
      <w:r w:rsidR="00C64050">
        <w:t xml:space="preserve"> </w:t>
      </w:r>
      <w:r>
        <w:t>the</w:t>
      </w:r>
      <w:r w:rsidR="00C64050">
        <w:t xml:space="preserve"> </w:t>
      </w:r>
      <w:r>
        <w:t>powerholder’s</w:t>
      </w:r>
      <w:r w:rsidR="00C64050">
        <w:t xml:space="preserve"> </w:t>
      </w:r>
      <w:r>
        <w:t>estate</w:t>
      </w:r>
      <w:r w:rsidR="00C64050">
        <w:t xml:space="preserve"> </w:t>
      </w:r>
      <w:r>
        <w:t>can</w:t>
      </w:r>
      <w:r w:rsidR="00C64050">
        <w:t xml:space="preserve"> </w:t>
      </w:r>
      <w:r>
        <w:t>reach</w:t>
      </w:r>
      <w:r w:rsidR="00C64050">
        <w:t xml:space="preserve"> </w:t>
      </w:r>
      <w:r>
        <w:t>the</w:t>
      </w:r>
      <w:r w:rsidR="00C64050">
        <w:t xml:space="preserve"> </w:t>
      </w:r>
      <w:r>
        <w:t>appointed</w:t>
      </w:r>
      <w:r w:rsidR="00C64050">
        <w:t xml:space="preserve"> </w:t>
      </w:r>
      <w:r>
        <w:t>property</w:t>
      </w:r>
      <w:r w:rsidR="00C64050">
        <w:t xml:space="preserve"> </w:t>
      </w:r>
      <w:r>
        <w:t>for</w:t>
      </w:r>
      <w:r w:rsidR="00C64050">
        <w:t xml:space="preserve"> </w:t>
      </w:r>
      <w:r>
        <w:t>the</w:t>
      </w:r>
      <w:r w:rsidR="00C64050">
        <w:t xml:space="preserve"> </w:t>
      </w:r>
      <w:r>
        <w:t>payment</w:t>
      </w:r>
      <w:r w:rsidR="00C64050">
        <w:t xml:space="preserve"> </w:t>
      </w:r>
      <w:r>
        <w:t>of</w:t>
      </w:r>
      <w:r w:rsidR="00C64050">
        <w:t xml:space="preserve"> </w:t>
      </w:r>
      <w:r>
        <w:t>their</w:t>
      </w:r>
      <w:r w:rsidR="00C64050">
        <w:t xml:space="preserve"> </w:t>
      </w:r>
      <w:r>
        <w:t>claims.</w:t>
      </w:r>
      <w:r w:rsidR="00C64050">
        <w:t xml:space="preserve"> </w:t>
      </w:r>
      <w:r>
        <w:t>See,</w:t>
      </w:r>
      <w:r w:rsidR="00C64050">
        <w:t xml:space="preserve"> </w:t>
      </w:r>
      <w:r>
        <w:t>e.g.,</w:t>
      </w:r>
      <w:r w:rsidR="00C64050">
        <w:t xml:space="preserve"> </w:t>
      </w:r>
      <w:r w:rsidRPr="00F06C52">
        <w:rPr>
          <w:u w:val="single"/>
        </w:rPr>
        <w:t>Clapp</w:t>
      </w:r>
      <w:r w:rsidR="00C64050">
        <w:rPr>
          <w:u w:val="single"/>
        </w:rPr>
        <w:t xml:space="preserve"> </w:t>
      </w:r>
      <w:r w:rsidRPr="00F06C52">
        <w:rPr>
          <w:u w:val="single"/>
        </w:rPr>
        <w:t>v.</w:t>
      </w:r>
      <w:r w:rsidR="00C64050">
        <w:rPr>
          <w:u w:val="single"/>
        </w:rPr>
        <w:t xml:space="preserve"> </w:t>
      </w:r>
      <w:r w:rsidRPr="00F06C52">
        <w:rPr>
          <w:u w:val="single"/>
        </w:rPr>
        <w:t>Ingraham</w:t>
      </w:r>
      <w:r>
        <w:t>,</w:t>
      </w:r>
      <w:r w:rsidR="00C64050">
        <w:t xml:space="preserve"> </w:t>
      </w:r>
      <w:r>
        <w:t>126</w:t>
      </w:r>
      <w:r w:rsidR="00C64050">
        <w:t xml:space="preserve"> </w:t>
      </w:r>
      <w:r>
        <w:t>Mass.</w:t>
      </w:r>
      <w:r w:rsidR="00C64050">
        <w:t xml:space="preserve"> </w:t>
      </w:r>
      <w:r>
        <w:t>200</w:t>
      </w:r>
      <w:r w:rsidR="00C64050">
        <w:t xml:space="preserve"> </w:t>
      </w:r>
      <w:r>
        <w:t>(1879).</w:t>
      </w:r>
      <w:r w:rsidR="00C64050">
        <w:t xml:space="preserve"> </w:t>
      </w:r>
      <w:r>
        <w:t>The</w:t>
      </w:r>
      <w:r w:rsidR="00C64050">
        <w:t xml:space="preserve"> </w:t>
      </w:r>
      <w:r>
        <w:t>rule</w:t>
      </w:r>
      <w:r w:rsidR="00C64050">
        <w:t xml:space="preserve"> </w:t>
      </w:r>
      <w:r>
        <w:t>prevails</w:t>
      </w:r>
      <w:r w:rsidR="00C64050">
        <w:t xml:space="preserve"> </w:t>
      </w:r>
      <w:r>
        <w:t>even</w:t>
      </w:r>
      <w:r w:rsidR="00C64050">
        <w:t xml:space="preserve"> </w:t>
      </w:r>
      <w:r>
        <w:t>if</w:t>
      </w:r>
      <w:r w:rsidR="00C64050">
        <w:t xml:space="preserve"> </w:t>
      </w:r>
      <w:r>
        <w:t>this</w:t>
      </w:r>
      <w:r w:rsidR="00C64050">
        <w:t xml:space="preserve"> </w:t>
      </w:r>
      <w:r>
        <w:t>is</w:t>
      </w:r>
      <w:r w:rsidR="00C64050">
        <w:t xml:space="preserve"> </w:t>
      </w:r>
      <w:r>
        <w:t>contrary</w:t>
      </w:r>
      <w:r w:rsidR="00C64050">
        <w:t xml:space="preserve"> </w:t>
      </w:r>
      <w:r>
        <w:t>to</w:t>
      </w:r>
      <w:r w:rsidR="00C64050">
        <w:t xml:space="preserve"> </w:t>
      </w:r>
      <w:r>
        <w:t>the</w:t>
      </w:r>
      <w:r w:rsidR="00C64050">
        <w:t xml:space="preserve"> </w:t>
      </w:r>
      <w:r>
        <w:t>expressed</w:t>
      </w:r>
      <w:r w:rsidR="00C64050">
        <w:t xml:space="preserve"> </w:t>
      </w:r>
      <w:r>
        <w:t>wishes</w:t>
      </w:r>
      <w:r w:rsidR="00C64050">
        <w:t xml:space="preserve"> </w:t>
      </w:r>
      <w:r>
        <w:t>of</w:t>
      </w:r>
      <w:r w:rsidR="00C64050">
        <w:t xml:space="preserve"> </w:t>
      </w:r>
      <w:r>
        <w:t>the</w:t>
      </w:r>
      <w:r w:rsidR="00C64050">
        <w:t xml:space="preserve"> </w:t>
      </w:r>
      <w:r>
        <w:t>donor</w:t>
      </w:r>
      <w:r w:rsidR="00C64050">
        <w:t xml:space="preserve"> </w:t>
      </w:r>
      <w:r>
        <w:t>of</w:t>
      </w:r>
      <w:r w:rsidR="00C64050">
        <w:t xml:space="preserve"> </w:t>
      </w:r>
      <w:r>
        <w:t>the</w:t>
      </w:r>
      <w:r w:rsidR="00C64050">
        <w:t xml:space="preserve"> </w:t>
      </w:r>
      <w:r>
        <w:t>power.</w:t>
      </w:r>
      <w:r w:rsidR="00C64050">
        <w:t xml:space="preserve"> </w:t>
      </w:r>
      <w:r>
        <w:t>See,</w:t>
      </w:r>
      <w:r w:rsidR="00C64050">
        <w:t xml:space="preserve"> </w:t>
      </w:r>
      <w:r>
        <w:t>e.g.,</w:t>
      </w:r>
      <w:r w:rsidR="00C64050">
        <w:t xml:space="preserve"> </w:t>
      </w:r>
      <w:r w:rsidRPr="00F06C52">
        <w:rPr>
          <w:u w:val="single"/>
        </w:rPr>
        <w:t>State</w:t>
      </w:r>
      <w:r w:rsidR="00C64050">
        <w:rPr>
          <w:u w:val="single"/>
        </w:rPr>
        <w:t xml:space="preserve"> </w:t>
      </w:r>
      <w:r w:rsidRPr="00F06C52">
        <w:rPr>
          <w:u w:val="single"/>
        </w:rPr>
        <w:t>Street</w:t>
      </w:r>
      <w:r w:rsidR="00C64050">
        <w:rPr>
          <w:u w:val="single"/>
        </w:rPr>
        <w:t xml:space="preserve"> </w:t>
      </w:r>
      <w:r w:rsidRPr="00F06C52">
        <w:rPr>
          <w:u w:val="single"/>
        </w:rPr>
        <w:t>Trust</w:t>
      </w:r>
      <w:r w:rsidR="00C64050">
        <w:rPr>
          <w:u w:val="single"/>
        </w:rPr>
        <w:t xml:space="preserve"> </w:t>
      </w:r>
      <w:r w:rsidRPr="00F06C52">
        <w:rPr>
          <w:u w:val="single"/>
        </w:rPr>
        <w:t>Co.</w:t>
      </w:r>
      <w:r w:rsidR="00C64050">
        <w:rPr>
          <w:u w:val="single"/>
        </w:rPr>
        <w:t xml:space="preserve"> </w:t>
      </w:r>
      <w:r w:rsidRPr="00F06C52">
        <w:rPr>
          <w:u w:val="single"/>
        </w:rPr>
        <w:t>v.</w:t>
      </w:r>
      <w:r w:rsidR="00C64050">
        <w:rPr>
          <w:u w:val="single"/>
        </w:rPr>
        <w:t xml:space="preserve"> </w:t>
      </w:r>
      <w:r w:rsidRPr="00F06C52">
        <w:rPr>
          <w:u w:val="single"/>
        </w:rPr>
        <w:t>Kissel,</w:t>
      </w:r>
      <w:r w:rsidR="00C64050">
        <w:t xml:space="preserve"> </w:t>
      </w:r>
      <w:r>
        <w:t>19</w:t>
      </w:r>
      <w:r w:rsidR="00C64050">
        <w:t xml:space="preserve"> </w:t>
      </w:r>
      <w:r>
        <w:t>N.E.2d</w:t>
      </w:r>
      <w:r w:rsidR="00C64050">
        <w:t xml:space="preserve"> </w:t>
      </w:r>
      <w:r>
        <w:t>25</w:t>
      </w:r>
      <w:r w:rsidR="00C64050">
        <w:t xml:space="preserve"> </w:t>
      </w:r>
      <w:r>
        <w:t>(Mass.</w:t>
      </w:r>
      <w:r w:rsidR="00C64050">
        <w:t xml:space="preserve"> </w:t>
      </w:r>
      <w:r>
        <w:t>1939).</w:t>
      </w:r>
    </w:p>
    <w:p w:rsidR="00E36DAA" w:rsidRDefault="00E36DAA" w:rsidP="00366A7B">
      <w:pPr>
        <w:pStyle w:val="Body15"/>
      </w:pPr>
      <w:r>
        <w:t>The</w:t>
      </w:r>
      <w:r w:rsidR="00C64050">
        <w:t xml:space="preserve"> </w:t>
      </w:r>
      <w:r>
        <w:t>exercise</w:t>
      </w:r>
      <w:r w:rsidR="00C64050">
        <w:t xml:space="preserve"> </w:t>
      </w:r>
      <w:r>
        <w:t>of</w:t>
      </w:r>
      <w:r w:rsidR="00C64050">
        <w:t xml:space="preserve"> </w:t>
      </w:r>
      <w:r>
        <w:t>the</w:t>
      </w:r>
      <w:r w:rsidR="00C64050">
        <w:t xml:space="preserve"> </w:t>
      </w:r>
      <w:r>
        <w:t>power</w:t>
      </w:r>
      <w:r w:rsidR="00C64050">
        <w:t xml:space="preserve"> </w:t>
      </w:r>
      <w:r>
        <w:t>by</w:t>
      </w:r>
      <w:r w:rsidR="00C64050">
        <w:t xml:space="preserve"> </w:t>
      </w:r>
      <w:r>
        <w:t>will</w:t>
      </w:r>
      <w:r w:rsidR="00C64050">
        <w:t xml:space="preserve"> </w:t>
      </w:r>
      <w:r>
        <w:t>does</w:t>
      </w:r>
      <w:r w:rsidR="00C64050">
        <w:t xml:space="preserve"> </w:t>
      </w:r>
      <w:r>
        <w:t>not</w:t>
      </w:r>
      <w:r w:rsidR="00C64050">
        <w:t xml:space="preserve"> </w:t>
      </w:r>
      <w:r>
        <w:t>confer</w:t>
      </w:r>
      <w:r w:rsidR="00C64050">
        <w:t xml:space="preserve"> </w:t>
      </w:r>
      <w:r>
        <w:t>actual</w:t>
      </w:r>
      <w:r w:rsidR="00C64050">
        <w:t xml:space="preserve"> </w:t>
      </w:r>
      <w:r>
        <w:t>beneficial</w:t>
      </w:r>
      <w:r w:rsidR="00C64050">
        <w:t xml:space="preserve"> </w:t>
      </w:r>
      <w:r>
        <w:t>ownership</w:t>
      </w:r>
      <w:r w:rsidR="00C64050">
        <w:t xml:space="preserve"> </w:t>
      </w:r>
      <w:r>
        <w:t>of</w:t>
      </w:r>
      <w:r w:rsidR="00C64050">
        <w:t xml:space="preserve"> </w:t>
      </w:r>
      <w:r>
        <w:t>the</w:t>
      </w:r>
      <w:r w:rsidR="00C64050">
        <w:t xml:space="preserve"> </w:t>
      </w:r>
      <w:r>
        <w:t>appointive</w:t>
      </w:r>
      <w:r w:rsidR="00C64050">
        <w:t xml:space="preserve"> </w:t>
      </w:r>
      <w:r>
        <w:t>assets</w:t>
      </w:r>
      <w:r w:rsidR="00C64050">
        <w:t xml:space="preserve"> </w:t>
      </w:r>
      <w:r>
        <w:t>on</w:t>
      </w:r>
      <w:r w:rsidR="00C64050">
        <w:t xml:space="preserve"> </w:t>
      </w:r>
      <w:r>
        <w:t>the</w:t>
      </w:r>
      <w:r w:rsidR="00C64050">
        <w:t xml:space="preserve"> </w:t>
      </w:r>
      <w:r>
        <w:t>powerholder</w:t>
      </w:r>
      <w:r w:rsidR="00C64050">
        <w:t xml:space="preserve"> </w:t>
      </w:r>
      <w:r>
        <w:t>for</w:t>
      </w:r>
      <w:r w:rsidR="00C64050">
        <w:t xml:space="preserve"> </w:t>
      </w:r>
      <w:r>
        <w:t>all</w:t>
      </w:r>
      <w:r w:rsidR="00C64050">
        <w:t xml:space="preserve"> </w:t>
      </w:r>
      <w:r>
        <w:t>purposes.</w:t>
      </w:r>
      <w:r w:rsidR="00C64050">
        <w:t xml:space="preserve"> </w:t>
      </w:r>
      <w:r>
        <w:t>The</w:t>
      </w:r>
      <w:r w:rsidR="00C64050">
        <w:t xml:space="preserve"> </w:t>
      </w:r>
      <w:r>
        <w:t>assets</w:t>
      </w:r>
      <w:r w:rsidR="00C64050">
        <w:t xml:space="preserve"> </w:t>
      </w:r>
      <w:r>
        <w:t>do</w:t>
      </w:r>
      <w:r w:rsidR="00C64050">
        <w:t xml:space="preserve"> </w:t>
      </w:r>
      <w:r>
        <w:t>not</w:t>
      </w:r>
      <w:r w:rsidR="00C64050">
        <w:t xml:space="preserve"> </w:t>
      </w:r>
      <w:r>
        <w:t>ordinarily</w:t>
      </w:r>
      <w:r w:rsidR="00C64050">
        <w:t xml:space="preserve"> </w:t>
      </w:r>
      <w:r>
        <w:t>become</w:t>
      </w:r>
      <w:r w:rsidR="00C64050">
        <w:t xml:space="preserve"> </w:t>
      </w:r>
      <w:r>
        <w:t>part</w:t>
      </w:r>
      <w:r w:rsidR="00C64050">
        <w:t xml:space="preserve"> </w:t>
      </w:r>
      <w:r>
        <w:t>of</w:t>
      </w:r>
      <w:r w:rsidR="00C64050">
        <w:t xml:space="preserve"> </w:t>
      </w:r>
      <w:r>
        <w:t>the</w:t>
      </w:r>
      <w:r w:rsidR="00C64050">
        <w:t xml:space="preserve"> </w:t>
      </w:r>
      <w:r>
        <w:t>powerholder’s</w:t>
      </w:r>
      <w:r w:rsidR="00C64050">
        <w:t xml:space="preserve"> </w:t>
      </w:r>
      <w:r>
        <w:t>probate</w:t>
      </w:r>
      <w:r w:rsidR="00C64050">
        <w:t xml:space="preserve"> </w:t>
      </w:r>
      <w:r>
        <w:t>estate.</w:t>
      </w:r>
      <w:r w:rsidR="00C64050">
        <w:t xml:space="preserve"> </w:t>
      </w:r>
      <w:r>
        <w:t>Thus,</w:t>
      </w:r>
      <w:r w:rsidR="00C64050">
        <w:t xml:space="preserve"> </w:t>
      </w:r>
      <w:r>
        <w:t>in</w:t>
      </w:r>
      <w:r w:rsidR="00C64050">
        <w:t xml:space="preserve"> </w:t>
      </w:r>
      <w:r>
        <w:t>terms</w:t>
      </w:r>
      <w:r w:rsidR="00C64050">
        <w:t xml:space="preserve"> </w:t>
      </w:r>
      <w:r>
        <w:t>of</w:t>
      </w:r>
      <w:r w:rsidR="00C64050">
        <w:t xml:space="preserve"> </w:t>
      </w:r>
      <w:r>
        <w:t>priority,</w:t>
      </w:r>
      <w:r w:rsidR="00C64050">
        <w:t xml:space="preserve"> </w:t>
      </w:r>
      <w:r>
        <w:t>the</w:t>
      </w:r>
      <w:r w:rsidR="00C64050">
        <w:t xml:space="preserve"> </w:t>
      </w:r>
      <w:r>
        <w:t>powerholder’s</w:t>
      </w:r>
      <w:r w:rsidR="00C64050">
        <w:t xml:space="preserve"> </w:t>
      </w:r>
      <w:r>
        <w:t>own</w:t>
      </w:r>
      <w:r w:rsidR="00C64050">
        <w:t xml:space="preserve"> </w:t>
      </w:r>
      <w:r>
        <w:t>estate</w:t>
      </w:r>
      <w:r w:rsidR="00C64050">
        <w:t xml:space="preserve"> </w:t>
      </w:r>
      <w:r>
        <w:t>assets</w:t>
      </w:r>
      <w:r w:rsidR="00C64050">
        <w:t xml:space="preserve"> </w:t>
      </w:r>
      <w:r>
        <w:t>are</w:t>
      </w:r>
      <w:r w:rsidR="00C64050">
        <w:t xml:space="preserve"> </w:t>
      </w:r>
      <w:r>
        <w:t>ordinarily</w:t>
      </w:r>
      <w:r w:rsidR="00C64050">
        <w:t xml:space="preserve"> </w:t>
      </w:r>
      <w:r>
        <w:t>used</w:t>
      </w:r>
      <w:r w:rsidR="00C64050">
        <w:t xml:space="preserve"> </w:t>
      </w:r>
      <w:r>
        <w:t>first</w:t>
      </w:r>
      <w:r w:rsidR="00C64050">
        <w:t xml:space="preserve"> </w:t>
      </w:r>
      <w:r>
        <w:t>to</w:t>
      </w:r>
      <w:r w:rsidR="00C64050">
        <w:t xml:space="preserve"> </w:t>
      </w:r>
      <w:r>
        <w:t>pay</w:t>
      </w:r>
      <w:r w:rsidR="00C64050">
        <w:t xml:space="preserve"> </w:t>
      </w:r>
      <w:r>
        <w:t>estate</w:t>
      </w:r>
      <w:r w:rsidR="00C64050">
        <w:t xml:space="preserve"> </w:t>
      </w:r>
      <w:r>
        <w:t>debts,</w:t>
      </w:r>
      <w:r w:rsidR="00C64050">
        <w:t xml:space="preserve"> </w:t>
      </w:r>
      <w:r>
        <w:t>so</w:t>
      </w:r>
      <w:r w:rsidR="00C64050">
        <w:t xml:space="preserve"> </w:t>
      </w:r>
      <w:r>
        <w:t>that</w:t>
      </w:r>
      <w:r w:rsidR="00C64050">
        <w:t xml:space="preserve"> </w:t>
      </w:r>
      <w:r>
        <w:t>the</w:t>
      </w:r>
      <w:r w:rsidR="00C64050">
        <w:t xml:space="preserve"> </w:t>
      </w:r>
      <w:r>
        <w:t>appointive</w:t>
      </w:r>
      <w:r w:rsidR="00C64050">
        <w:t xml:space="preserve"> </w:t>
      </w:r>
      <w:r>
        <w:t>assets</w:t>
      </w:r>
      <w:r w:rsidR="00C64050">
        <w:t xml:space="preserve"> </w:t>
      </w:r>
      <w:r>
        <w:t>are</w:t>
      </w:r>
      <w:r w:rsidR="00C64050">
        <w:t xml:space="preserve"> </w:t>
      </w:r>
      <w:r>
        <w:t>used</w:t>
      </w:r>
      <w:r w:rsidR="00C64050">
        <w:t xml:space="preserve"> </w:t>
      </w:r>
      <w:r>
        <w:t>only</w:t>
      </w:r>
      <w:r w:rsidR="00C64050">
        <w:t xml:space="preserve"> </w:t>
      </w:r>
      <w:r>
        <w:t>to</w:t>
      </w:r>
      <w:r w:rsidR="00C64050">
        <w:t xml:space="preserve"> </w:t>
      </w:r>
      <w:r>
        <w:t>the</w:t>
      </w:r>
      <w:r w:rsidR="00C64050">
        <w:t xml:space="preserve"> </w:t>
      </w:r>
      <w:r>
        <w:t>extent</w:t>
      </w:r>
      <w:r w:rsidR="00C64050">
        <w:t xml:space="preserve"> </w:t>
      </w:r>
      <w:r>
        <w:t>the</w:t>
      </w:r>
      <w:r w:rsidR="00C64050">
        <w:t xml:space="preserve"> </w:t>
      </w:r>
      <w:r>
        <w:t>powerholder’s</w:t>
      </w:r>
      <w:r w:rsidR="00C64050">
        <w:t xml:space="preserve"> </w:t>
      </w:r>
      <w:r>
        <w:t>probate</w:t>
      </w:r>
      <w:r w:rsidR="00C64050">
        <w:t xml:space="preserve"> </w:t>
      </w:r>
      <w:r>
        <w:t>estate</w:t>
      </w:r>
      <w:r w:rsidR="00C64050">
        <w:t xml:space="preserve"> </w:t>
      </w:r>
      <w:r>
        <w:t>is</w:t>
      </w:r>
      <w:r w:rsidR="00C64050">
        <w:t xml:space="preserve"> </w:t>
      </w:r>
      <w:r>
        <w:t>insufficient.</w:t>
      </w:r>
    </w:p>
    <w:p w:rsidR="00E36DAA" w:rsidRDefault="00E36DAA" w:rsidP="00366A7B">
      <w:pPr>
        <w:pStyle w:val="Body15"/>
      </w:pPr>
      <w:r>
        <w:t>Under</w:t>
      </w:r>
      <w:r w:rsidR="00C64050">
        <w:t xml:space="preserve"> </w:t>
      </w:r>
      <w:r>
        <w:t>the</w:t>
      </w:r>
      <w:r w:rsidR="00C64050">
        <w:t xml:space="preserve"> </w:t>
      </w:r>
      <w:r>
        <w:t>majority</w:t>
      </w:r>
      <w:r w:rsidR="00C64050">
        <w:t xml:space="preserve"> </w:t>
      </w:r>
      <w:r>
        <w:t>view</w:t>
      </w:r>
      <w:r w:rsidR="00C64050">
        <w:t xml:space="preserve"> </w:t>
      </w:r>
      <w:r>
        <w:t>at</w:t>
      </w:r>
      <w:r w:rsidR="00C64050">
        <w:t xml:space="preserve"> </w:t>
      </w:r>
      <w:r>
        <w:t>common</w:t>
      </w:r>
      <w:r w:rsidR="00C64050">
        <w:t xml:space="preserve"> </w:t>
      </w:r>
      <w:r>
        <w:t>law,</w:t>
      </w:r>
      <w:r w:rsidR="00C64050">
        <w:t xml:space="preserve"> </w:t>
      </w:r>
      <w:r>
        <w:t>the</w:t>
      </w:r>
      <w:r w:rsidR="00C64050">
        <w:t xml:space="preserve"> </w:t>
      </w:r>
      <w:r>
        <w:t>powerholder’s</w:t>
      </w:r>
      <w:r w:rsidR="00C64050">
        <w:t xml:space="preserve"> </w:t>
      </w:r>
      <w:r>
        <w:t>creditors</w:t>
      </w:r>
      <w:r w:rsidR="00C64050">
        <w:t xml:space="preserve"> </w:t>
      </w:r>
      <w:r>
        <w:t>can</w:t>
      </w:r>
      <w:r w:rsidR="00C64050">
        <w:t xml:space="preserve"> </w:t>
      </w:r>
      <w:r>
        <w:t>reach</w:t>
      </w:r>
      <w:r w:rsidR="00C64050">
        <w:t xml:space="preserve"> </w:t>
      </w:r>
      <w:r>
        <w:t>the</w:t>
      </w:r>
      <w:r w:rsidR="00C64050">
        <w:t xml:space="preserve"> </w:t>
      </w:r>
      <w:r>
        <w:t>appointive</w:t>
      </w:r>
      <w:r w:rsidR="00C64050">
        <w:t xml:space="preserve"> </w:t>
      </w:r>
      <w:r>
        <w:t>assets</w:t>
      </w:r>
      <w:r w:rsidR="00C64050">
        <w:t xml:space="preserve"> </w:t>
      </w:r>
      <w:r>
        <w:t>only</w:t>
      </w:r>
      <w:r w:rsidR="00C64050">
        <w:t xml:space="preserve"> </w:t>
      </w:r>
      <w:r>
        <w:t>to</w:t>
      </w:r>
      <w:r w:rsidR="00C64050">
        <w:t xml:space="preserve"> </w:t>
      </w:r>
      <w:r>
        <w:t>the</w:t>
      </w:r>
      <w:r w:rsidR="00C64050">
        <w:t xml:space="preserve"> </w:t>
      </w:r>
      <w:r>
        <w:t>extent</w:t>
      </w:r>
      <w:r w:rsidR="00C64050">
        <w:t xml:space="preserve"> </w:t>
      </w:r>
      <w:r>
        <w:t>the</w:t>
      </w:r>
      <w:r w:rsidR="00C64050">
        <w:t xml:space="preserve"> </w:t>
      </w:r>
      <w:r>
        <w:t>powerholder’s</w:t>
      </w:r>
      <w:r w:rsidR="00C64050">
        <w:t xml:space="preserve"> </w:t>
      </w:r>
      <w:r>
        <w:t>exercise</w:t>
      </w:r>
      <w:r w:rsidR="00C64050">
        <w:t xml:space="preserve"> </w:t>
      </w:r>
      <w:r>
        <w:t>was</w:t>
      </w:r>
      <w:r w:rsidR="00C64050">
        <w:t xml:space="preserve"> </w:t>
      </w:r>
      <w:r>
        <w:t>an</w:t>
      </w:r>
      <w:r w:rsidR="00C64050">
        <w:t xml:space="preserve"> </w:t>
      </w:r>
      <w:r>
        <w:rPr>
          <w:i/>
          <w:iCs/>
        </w:rPr>
        <w:t>effective</w:t>
      </w:r>
      <w:r w:rsidR="00C64050">
        <w:t xml:space="preserve"> </w:t>
      </w:r>
      <w:r>
        <w:t>exercise.</w:t>
      </w:r>
      <w:r w:rsidR="00C64050">
        <w:t xml:space="preserve"> </w:t>
      </w:r>
      <w:r>
        <w:t>A</w:t>
      </w:r>
      <w:r w:rsidR="00C64050">
        <w:t xml:space="preserve"> </w:t>
      </w:r>
      <w:r>
        <w:t>few</w:t>
      </w:r>
      <w:r w:rsidR="00C64050">
        <w:t xml:space="preserve"> </w:t>
      </w:r>
      <w:r>
        <w:t>states,</w:t>
      </w:r>
      <w:r w:rsidR="00C64050">
        <w:t xml:space="preserve"> </w:t>
      </w:r>
      <w:r>
        <w:t>however,</w:t>
      </w:r>
      <w:r w:rsidR="00C64050">
        <w:t xml:space="preserve"> </w:t>
      </w:r>
      <w:r>
        <w:t>follow</w:t>
      </w:r>
      <w:r w:rsidR="00C64050">
        <w:t xml:space="preserve"> </w:t>
      </w:r>
      <w:r>
        <w:t>the</w:t>
      </w:r>
      <w:r w:rsidR="00C64050">
        <w:t xml:space="preserve"> </w:t>
      </w:r>
      <w:r>
        <w:t>view</w:t>
      </w:r>
      <w:r w:rsidR="00C64050">
        <w:t xml:space="preserve"> </w:t>
      </w:r>
      <w:r>
        <w:t>that</w:t>
      </w:r>
      <w:r w:rsidR="00C64050">
        <w:t xml:space="preserve"> </w:t>
      </w:r>
      <w:r>
        <w:t>even</w:t>
      </w:r>
      <w:r w:rsidR="00C64050">
        <w:t xml:space="preserve"> </w:t>
      </w:r>
      <w:r>
        <w:t>an</w:t>
      </w:r>
      <w:r w:rsidR="00C64050">
        <w:t xml:space="preserve"> </w:t>
      </w:r>
      <w:r>
        <w:t>ineffective</w:t>
      </w:r>
      <w:r w:rsidR="00C64050">
        <w:t xml:space="preserve"> </w:t>
      </w:r>
      <w:r>
        <w:t>exercise</w:t>
      </w:r>
      <w:r w:rsidR="00C64050">
        <w:t xml:space="preserve"> </w:t>
      </w:r>
      <w:r>
        <w:t>entitles</w:t>
      </w:r>
      <w:r w:rsidR="00C64050">
        <w:t xml:space="preserve"> </w:t>
      </w:r>
      <w:r>
        <w:t>the</w:t>
      </w:r>
      <w:r w:rsidR="00C64050">
        <w:t xml:space="preserve"> </w:t>
      </w:r>
      <w:r>
        <w:t>powerholder’s</w:t>
      </w:r>
      <w:r w:rsidR="00C64050">
        <w:t xml:space="preserve"> </w:t>
      </w:r>
      <w:r>
        <w:t>creditors</w:t>
      </w:r>
      <w:r w:rsidR="00C64050">
        <w:t xml:space="preserve"> </w:t>
      </w:r>
      <w:r>
        <w:t>to</w:t>
      </w:r>
      <w:r w:rsidR="00C64050">
        <w:t xml:space="preserve"> </w:t>
      </w:r>
      <w:r>
        <w:t>reach</w:t>
      </w:r>
      <w:r w:rsidR="00C64050">
        <w:t xml:space="preserve"> </w:t>
      </w:r>
      <w:r>
        <w:t>the</w:t>
      </w:r>
      <w:r w:rsidR="00C64050">
        <w:t xml:space="preserve"> </w:t>
      </w:r>
      <w:r>
        <w:t>appointive</w:t>
      </w:r>
      <w:r w:rsidR="00C64050">
        <w:t xml:space="preserve"> </w:t>
      </w:r>
      <w:r>
        <w:t>assets.</w:t>
      </w:r>
      <w:r w:rsidR="00C64050">
        <w:t xml:space="preserve"> </w:t>
      </w:r>
      <w:r>
        <w:t>See,</w:t>
      </w:r>
      <w:r w:rsidR="00C64050">
        <w:t xml:space="preserve"> </w:t>
      </w:r>
      <w:r>
        <w:t>e.g.,</w:t>
      </w:r>
      <w:r w:rsidR="00C64050">
        <w:t xml:space="preserve"> </w:t>
      </w:r>
      <w:r w:rsidRPr="00F06C52">
        <w:rPr>
          <w:u w:val="single"/>
        </w:rPr>
        <w:t>Estate</w:t>
      </w:r>
      <w:r w:rsidR="00C64050">
        <w:rPr>
          <w:u w:val="single"/>
        </w:rPr>
        <w:t xml:space="preserve"> </w:t>
      </w:r>
      <w:r w:rsidRPr="00F06C52">
        <w:rPr>
          <w:u w:val="single"/>
        </w:rPr>
        <w:t>of</w:t>
      </w:r>
      <w:r w:rsidR="00C64050">
        <w:rPr>
          <w:u w:val="single"/>
        </w:rPr>
        <w:t xml:space="preserve"> </w:t>
      </w:r>
      <w:r w:rsidRPr="00F06C52">
        <w:rPr>
          <w:u w:val="single"/>
        </w:rPr>
        <w:t>Breault</w:t>
      </w:r>
      <w:r>
        <w:t>,</w:t>
      </w:r>
      <w:r w:rsidR="00C64050">
        <w:t xml:space="preserve"> </w:t>
      </w:r>
      <w:r>
        <w:t>211</w:t>
      </w:r>
      <w:r w:rsidR="00C64050">
        <w:t xml:space="preserve"> </w:t>
      </w:r>
      <w:r>
        <w:t>N.E.2d</w:t>
      </w:r>
      <w:r w:rsidR="00C64050">
        <w:t xml:space="preserve"> </w:t>
      </w:r>
      <w:r>
        <w:t>424</w:t>
      </w:r>
      <w:r w:rsidR="00C64050">
        <w:t xml:space="preserve"> </w:t>
      </w:r>
      <w:r>
        <w:t>(Ill.</w:t>
      </w:r>
      <w:r w:rsidR="00C64050">
        <w:t xml:space="preserve"> </w:t>
      </w:r>
      <w:r>
        <w:t>App.</w:t>
      </w:r>
      <w:r w:rsidR="00C64050">
        <w:t xml:space="preserve"> </w:t>
      </w:r>
      <w:r>
        <w:t>Ct.</w:t>
      </w:r>
      <w:r w:rsidR="00C64050">
        <w:t xml:space="preserve"> </w:t>
      </w:r>
      <w:r>
        <w:t>1965).</w:t>
      </w:r>
      <w:r w:rsidR="00C64050">
        <w:t xml:space="preserve"> </w:t>
      </w:r>
      <w:r>
        <w:t>Moreover,</w:t>
      </w:r>
      <w:r w:rsidR="00C64050">
        <w:t xml:space="preserve"> </w:t>
      </w:r>
      <w:r>
        <w:t>even</w:t>
      </w:r>
      <w:r w:rsidR="00C64050">
        <w:t xml:space="preserve"> </w:t>
      </w:r>
      <w:r>
        <w:t>in</w:t>
      </w:r>
      <w:r w:rsidR="00C64050">
        <w:t xml:space="preserve"> </w:t>
      </w:r>
      <w:r>
        <w:t>states</w:t>
      </w:r>
      <w:r w:rsidR="00C64050">
        <w:t xml:space="preserve"> </w:t>
      </w:r>
      <w:r>
        <w:t>adhering</w:t>
      </w:r>
      <w:r w:rsidR="00C64050">
        <w:t xml:space="preserve"> </w:t>
      </w:r>
      <w:r>
        <w:t>to</w:t>
      </w:r>
      <w:r w:rsidR="00C64050">
        <w:t xml:space="preserve"> </w:t>
      </w:r>
      <w:r>
        <w:t>the</w:t>
      </w:r>
      <w:r w:rsidR="00C64050">
        <w:t xml:space="preserve"> </w:t>
      </w:r>
      <w:r>
        <w:t>majority</w:t>
      </w:r>
      <w:r w:rsidR="00C64050">
        <w:t xml:space="preserve"> </w:t>
      </w:r>
      <w:r>
        <w:t>view,</w:t>
      </w:r>
      <w:r w:rsidR="00C64050">
        <w:t xml:space="preserve"> </w:t>
      </w:r>
      <w:r>
        <w:t>an</w:t>
      </w:r>
      <w:r w:rsidR="00C64050">
        <w:t xml:space="preserve"> </w:t>
      </w:r>
      <w:r>
        <w:t>ineffective</w:t>
      </w:r>
      <w:r w:rsidR="00C64050">
        <w:t xml:space="preserve"> </w:t>
      </w:r>
      <w:r>
        <w:t>exercise</w:t>
      </w:r>
      <w:r w:rsidR="00C64050">
        <w:t xml:space="preserve"> </w:t>
      </w:r>
      <w:r>
        <w:t>can</w:t>
      </w:r>
      <w:r w:rsidR="00C64050">
        <w:t xml:space="preserve"> </w:t>
      </w:r>
      <w:r>
        <w:t>sometimes</w:t>
      </w:r>
      <w:r w:rsidR="00C64050">
        <w:t xml:space="preserve"> </w:t>
      </w:r>
      <w:r>
        <w:t>“capture”</w:t>
      </w:r>
      <w:r w:rsidR="00C64050">
        <w:t xml:space="preserve"> </w:t>
      </w:r>
      <w:r>
        <w:t>the</w:t>
      </w:r>
      <w:r w:rsidR="00C64050">
        <w:t xml:space="preserve"> </w:t>
      </w:r>
      <w:r>
        <w:t>appointive</w:t>
      </w:r>
      <w:r w:rsidR="00C64050">
        <w:t xml:space="preserve"> </w:t>
      </w:r>
      <w:r>
        <w:t>assets</w:t>
      </w:r>
      <w:r w:rsidR="00C64050">
        <w:t xml:space="preserve"> </w:t>
      </w:r>
      <w:r>
        <w:t>for</w:t>
      </w:r>
      <w:r w:rsidR="00C64050">
        <w:t xml:space="preserve"> </w:t>
      </w:r>
      <w:r>
        <w:t>the</w:t>
      </w:r>
      <w:r w:rsidR="00C64050">
        <w:t xml:space="preserve"> </w:t>
      </w:r>
      <w:r>
        <w:t>powerholder’s</w:t>
      </w:r>
      <w:r w:rsidR="00C64050">
        <w:t xml:space="preserve"> </w:t>
      </w:r>
      <w:r>
        <w:t>estate,</w:t>
      </w:r>
      <w:r w:rsidR="00C64050">
        <w:t xml:space="preserve"> </w:t>
      </w:r>
      <w:r>
        <w:t>in</w:t>
      </w:r>
      <w:r w:rsidR="00C64050">
        <w:t xml:space="preserve"> </w:t>
      </w:r>
      <w:r>
        <w:t>which</w:t>
      </w:r>
      <w:r w:rsidR="00C64050">
        <w:t xml:space="preserve"> </w:t>
      </w:r>
      <w:r>
        <w:t>case</w:t>
      </w:r>
      <w:r w:rsidR="00C64050">
        <w:t xml:space="preserve"> </w:t>
      </w:r>
      <w:r>
        <w:t>the</w:t>
      </w:r>
      <w:r w:rsidR="00C64050">
        <w:t xml:space="preserve"> </w:t>
      </w:r>
      <w:r>
        <w:t>appointive</w:t>
      </w:r>
      <w:r w:rsidR="00C64050">
        <w:t xml:space="preserve"> </w:t>
      </w:r>
      <w:r>
        <w:t>assets</w:t>
      </w:r>
      <w:r w:rsidR="00C64050">
        <w:t xml:space="preserve"> </w:t>
      </w:r>
      <w:r>
        <w:t>become</w:t>
      </w:r>
      <w:r w:rsidR="00C64050">
        <w:t xml:space="preserve"> </w:t>
      </w:r>
      <w:r>
        <w:t>part</w:t>
      </w:r>
      <w:r w:rsidR="00C64050">
        <w:t xml:space="preserve"> </w:t>
      </w:r>
      <w:r>
        <w:t>of</w:t>
      </w:r>
      <w:r w:rsidR="00C64050">
        <w:t xml:space="preserve"> </w:t>
      </w:r>
      <w:r>
        <w:t>the</w:t>
      </w:r>
      <w:r w:rsidR="00C64050">
        <w:t xml:space="preserve"> </w:t>
      </w:r>
      <w:r>
        <w:t>powerholder’s</w:t>
      </w:r>
      <w:r w:rsidR="00C64050">
        <w:t xml:space="preserve"> </w:t>
      </w:r>
      <w:r>
        <w:t>probate</w:t>
      </w:r>
      <w:r w:rsidR="00C64050">
        <w:t xml:space="preserve"> </w:t>
      </w:r>
      <w:r>
        <w:t>estate</w:t>
      </w:r>
      <w:r w:rsidR="00C64050">
        <w:t xml:space="preserve"> </w:t>
      </w:r>
      <w:r>
        <w:t>for</w:t>
      </w:r>
      <w:r w:rsidR="00C64050">
        <w:t xml:space="preserve"> </w:t>
      </w:r>
      <w:r>
        <w:t>all</w:t>
      </w:r>
      <w:r w:rsidR="00C64050">
        <w:t xml:space="preserve"> </w:t>
      </w:r>
      <w:r>
        <w:t>purposes,</w:t>
      </w:r>
      <w:r w:rsidR="00C64050">
        <w:t xml:space="preserve"> </w:t>
      </w:r>
      <w:r>
        <w:t>including</w:t>
      </w:r>
      <w:r w:rsidR="00C64050">
        <w:t xml:space="preserve"> </w:t>
      </w:r>
      <w:r>
        <w:t>creditors’</w:t>
      </w:r>
      <w:r w:rsidR="00C64050">
        <w:t xml:space="preserve"> </w:t>
      </w:r>
      <w:r>
        <w:t>rights.</w:t>
      </w:r>
      <w:r w:rsidR="00C64050">
        <w:t xml:space="preserve"> </w:t>
      </w:r>
    </w:p>
    <w:p w:rsidR="00E36DAA" w:rsidRDefault="00E36DAA" w:rsidP="00366A7B">
      <w:pPr>
        <w:pStyle w:val="Body15"/>
        <w:rPr>
          <w:vertAlign w:val="superscript"/>
        </w:rPr>
      </w:pPr>
      <w:r>
        <w:t>When</w:t>
      </w:r>
      <w:r w:rsidR="00C64050">
        <w:t xml:space="preserve"> </w:t>
      </w:r>
      <w:r>
        <w:t>the</w:t>
      </w:r>
      <w:r w:rsidR="00C64050">
        <w:t xml:space="preserve"> </w:t>
      </w:r>
      <w:r>
        <w:t>powerholder</w:t>
      </w:r>
      <w:r w:rsidR="00C64050">
        <w:t xml:space="preserve"> </w:t>
      </w:r>
      <w:r>
        <w:t>of</w:t>
      </w:r>
      <w:r w:rsidR="00C64050">
        <w:t xml:space="preserve"> </w:t>
      </w:r>
      <w:r>
        <w:t>a</w:t>
      </w:r>
      <w:r w:rsidR="00C64050">
        <w:t xml:space="preserve"> </w:t>
      </w:r>
      <w:r>
        <w:t>general</w:t>
      </w:r>
      <w:r w:rsidR="00C64050">
        <w:t xml:space="preserve"> </w:t>
      </w:r>
      <w:r>
        <w:t>power</w:t>
      </w:r>
      <w:r w:rsidR="00C64050">
        <w:t xml:space="preserve"> </w:t>
      </w:r>
      <w:r>
        <w:t>makes</w:t>
      </w:r>
      <w:r w:rsidR="00C64050">
        <w:t xml:space="preserve"> </w:t>
      </w:r>
      <w:r>
        <w:t>an</w:t>
      </w:r>
      <w:r w:rsidR="00C64050">
        <w:t xml:space="preserve"> </w:t>
      </w:r>
      <w:r>
        <w:t>inter</w:t>
      </w:r>
      <w:r w:rsidR="00C64050">
        <w:t xml:space="preserve"> </w:t>
      </w:r>
      <w:r>
        <w:t>vivos</w:t>
      </w:r>
      <w:r w:rsidR="00C64050">
        <w:t xml:space="preserve"> </w:t>
      </w:r>
      <w:r>
        <w:t>appointment,</w:t>
      </w:r>
      <w:r w:rsidR="00C64050">
        <w:t xml:space="preserve"> </w:t>
      </w:r>
      <w:r>
        <w:t>treating</w:t>
      </w:r>
      <w:r w:rsidR="00C64050">
        <w:t xml:space="preserve"> </w:t>
      </w:r>
      <w:r>
        <w:t>the</w:t>
      </w:r>
      <w:r w:rsidR="00C64050">
        <w:t xml:space="preserve"> </w:t>
      </w:r>
      <w:r>
        <w:t>appointed</w:t>
      </w:r>
      <w:r w:rsidR="00C64050">
        <w:t xml:space="preserve"> </w:t>
      </w:r>
      <w:r>
        <w:t>assets</w:t>
      </w:r>
      <w:r w:rsidR="00C64050">
        <w:t xml:space="preserve"> </w:t>
      </w:r>
      <w:r>
        <w:t>as</w:t>
      </w:r>
      <w:r w:rsidR="00C64050">
        <w:t xml:space="preserve"> </w:t>
      </w:r>
      <w:r>
        <w:t>if</w:t>
      </w:r>
      <w:r w:rsidR="00C64050">
        <w:t xml:space="preserve"> </w:t>
      </w:r>
      <w:r>
        <w:t>they</w:t>
      </w:r>
      <w:r w:rsidR="00C64050">
        <w:t xml:space="preserve"> </w:t>
      </w:r>
      <w:r>
        <w:t>were</w:t>
      </w:r>
      <w:r w:rsidR="00C64050">
        <w:t xml:space="preserve"> </w:t>
      </w:r>
      <w:r>
        <w:t>owned</w:t>
      </w:r>
      <w:r w:rsidR="00C64050">
        <w:t xml:space="preserve"> </w:t>
      </w:r>
      <w:r>
        <w:t>by</w:t>
      </w:r>
      <w:r w:rsidR="00C64050">
        <w:t xml:space="preserve"> </w:t>
      </w:r>
      <w:r>
        <w:t>the</w:t>
      </w:r>
      <w:r w:rsidR="00C64050">
        <w:t xml:space="preserve"> </w:t>
      </w:r>
      <w:r>
        <w:t>powerholder</w:t>
      </w:r>
      <w:r w:rsidR="00C64050">
        <w:t xml:space="preserve"> </w:t>
      </w:r>
      <w:r>
        <w:t>does</w:t>
      </w:r>
      <w:r w:rsidR="00C64050">
        <w:t xml:space="preserve"> </w:t>
      </w:r>
      <w:r>
        <w:t>not</w:t>
      </w:r>
      <w:r w:rsidR="00C64050">
        <w:t xml:space="preserve"> </w:t>
      </w:r>
      <w:r>
        <w:t>automatically</w:t>
      </w:r>
      <w:r w:rsidR="00C64050">
        <w:t xml:space="preserve"> </w:t>
      </w:r>
      <w:r>
        <w:t>mean</w:t>
      </w:r>
      <w:r w:rsidR="00C64050">
        <w:t xml:space="preserve"> </w:t>
      </w:r>
      <w:r>
        <w:t>that</w:t>
      </w:r>
      <w:r w:rsidR="00C64050">
        <w:t xml:space="preserve"> </w:t>
      </w:r>
      <w:r>
        <w:t>the</w:t>
      </w:r>
      <w:r w:rsidR="00C64050">
        <w:t xml:space="preserve"> </w:t>
      </w:r>
      <w:r>
        <w:t>powerholder’s</w:t>
      </w:r>
      <w:r w:rsidR="00C64050">
        <w:t xml:space="preserve"> </w:t>
      </w:r>
      <w:r>
        <w:t>creditors</w:t>
      </w:r>
      <w:r w:rsidR="00C64050">
        <w:t xml:space="preserve"> </w:t>
      </w:r>
      <w:r>
        <w:t>can</w:t>
      </w:r>
      <w:r w:rsidR="00C64050">
        <w:t xml:space="preserve"> </w:t>
      </w:r>
      <w:r>
        <w:t>subject</w:t>
      </w:r>
      <w:r w:rsidR="00C64050">
        <w:t xml:space="preserve"> </w:t>
      </w:r>
      <w:r>
        <w:t>the</w:t>
      </w:r>
      <w:r w:rsidR="00C64050">
        <w:t xml:space="preserve"> </w:t>
      </w:r>
      <w:r>
        <w:t>appointed</w:t>
      </w:r>
      <w:r w:rsidR="00C64050">
        <w:t xml:space="preserve"> </w:t>
      </w:r>
      <w:r>
        <w:t>assets</w:t>
      </w:r>
      <w:r w:rsidR="00C64050">
        <w:t xml:space="preserve"> </w:t>
      </w:r>
      <w:r>
        <w:t>to</w:t>
      </w:r>
      <w:r w:rsidR="00C64050">
        <w:t xml:space="preserve"> </w:t>
      </w:r>
      <w:r>
        <w:t>the</w:t>
      </w:r>
      <w:r w:rsidR="00C64050">
        <w:t xml:space="preserve"> </w:t>
      </w:r>
      <w:r>
        <w:t>payment</w:t>
      </w:r>
      <w:r w:rsidR="00C64050">
        <w:t xml:space="preserve"> </w:t>
      </w:r>
      <w:r>
        <w:t>of</w:t>
      </w:r>
      <w:r w:rsidR="00C64050">
        <w:t xml:space="preserve"> </w:t>
      </w:r>
      <w:r>
        <w:t>their</w:t>
      </w:r>
      <w:r w:rsidR="00C64050">
        <w:t xml:space="preserve"> </w:t>
      </w:r>
      <w:r>
        <w:t>claims.</w:t>
      </w:r>
      <w:r w:rsidR="00C64050">
        <w:t xml:space="preserve"> </w:t>
      </w:r>
      <w:r>
        <w:t>If</w:t>
      </w:r>
      <w:r w:rsidR="00C64050">
        <w:t xml:space="preserve"> </w:t>
      </w:r>
      <w:r>
        <w:t>the</w:t>
      </w:r>
      <w:r w:rsidR="00C64050">
        <w:t xml:space="preserve"> </w:t>
      </w:r>
      <w:r>
        <w:t>appointment</w:t>
      </w:r>
      <w:r w:rsidR="00C64050">
        <w:t xml:space="preserve"> </w:t>
      </w:r>
      <w:r>
        <w:t>is</w:t>
      </w:r>
      <w:r w:rsidR="00C64050">
        <w:t xml:space="preserve"> </w:t>
      </w:r>
      <w:r>
        <w:t>in</w:t>
      </w:r>
      <w:r w:rsidR="00C64050">
        <w:t xml:space="preserve"> </w:t>
      </w:r>
      <w:r>
        <w:t>favor</w:t>
      </w:r>
      <w:r w:rsidR="00C64050">
        <w:t xml:space="preserve"> </w:t>
      </w:r>
      <w:r>
        <w:t>of</w:t>
      </w:r>
      <w:r w:rsidR="00C64050">
        <w:t xml:space="preserve"> </w:t>
      </w:r>
      <w:r>
        <w:t>a</w:t>
      </w:r>
      <w:r w:rsidR="00C64050">
        <w:t xml:space="preserve"> </w:t>
      </w:r>
      <w:r>
        <w:rPr>
          <w:i/>
          <w:iCs/>
        </w:rPr>
        <w:t>creditor</w:t>
      </w:r>
      <w:r>
        <w:t>,</w:t>
      </w:r>
      <w:r w:rsidR="00C64050">
        <w:t xml:space="preserve"> </w:t>
      </w:r>
      <w:r>
        <w:t>the</w:t>
      </w:r>
      <w:r w:rsidR="00C64050">
        <w:t xml:space="preserve"> </w:t>
      </w:r>
      <w:r>
        <w:t>powerholder’s</w:t>
      </w:r>
      <w:r w:rsidR="00C64050">
        <w:t xml:space="preserve"> </w:t>
      </w:r>
      <w:r>
        <w:t>other,</w:t>
      </w:r>
      <w:r w:rsidR="00C64050">
        <w:t xml:space="preserve"> </w:t>
      </w:r>
      <w:r>
        <w:t>unsatisfied</w:t>
      </w:r>
      <w:r w:rsidR="00C64050">
        <w:t xml:space="preserve"> </w:t>
      </w:r>
      <w:r>
        <w:t>creditors</w:t>
      </w:r>
      <w:r w:rsidR="00C64050">
        <w:t xml:space="preserve"> </w:t>
      </w:r>
      <w:r>
        <w:t>can</w:t>
      </w:r>
      <w:r w:rsidR="00C64050">
        <w:t xml:space="preserve"> </w:t>
      </w:r>
      <w:r>
        <w:t>reach</w:t>
      </w:r>
      <w:r w:rsidR="00C64050">
        <w:t xml:space="preserve"> </w:t>
      </w:r>
      <w:r>
        <w:t>the</w:t>
      </w:r>
      <w:r w:rsidR="00C64050">
        <w:t xml:space="preserve"> </w:t>
      </w:r>
      <w:r>
        <w:t>appointed</w:t>
      </w:r>
      <w:r w:rsidR="00C64050">
        <w:t xml:space="preserve"> </w:t>
      </w:r>
      <w:r>
        <w:t>assets</w:t>
      </w:r>
      <w:r w:rsidR="00C64050">
        <w:t xml:space="preserve"> </w:t>
      </w:r>
      <w:r>
        <w:t>only</w:t>
      </w:r>
      <w:r w:rsidR="00C64050">
        <w:t xml:space="preserve"> </w:t>
      </w:r>
      <w:r>
        <w:t>by</w:t>
      </w:r>
      <w:r w:rsidR="00C64050">
        <w:t xml:space="preserve"> </w:t>
      </w:r>
      <w:r>
        <w:t>having</w:t>
      </w:r>
      <w:r w:rsidR="00C64050">
        <w:t xml:space="preserve"> </w:t>
      </w:r>
      <w:r>
        <w:t>the</w:t>
      </w:r>
      <w:r w:rsidR="00C64050">
        <w:t xml:space="preserve"> </w:t>
      </w:r>
      <w:r>
        <w:t>appointment</w:t>
      </w:r>
      <w:r w:rsidR="00C64050">
        <w:t xml:space="preserve"> </w:t>
      </w:r>
      <w:r>
        <w:t>avoided</w:t>
      </w:r>
      <w:r w:rsidR="00C64050">
        <w:t xml:space="preserve"> </w:t>
      </w:r>
      <w:r>
        <w:t>as</w:t>
      </w:r>
      <w:r w:rsidR="00C64050">
        <w:t xml:space="preserve"> </w:t>
      </w:r>
      <w:r>
        <w:t>a</w:t>
      </w:r>
      <w:r w:rsidR="00C64050">
        <w:t xml:space="preserve"> </w:t>
      </w:r>
      <w:r>
        <w:t>“preference”</w:t>
      </w:r>
      <w:r w:rsidR="00C64050">
        <w:t xml:space="preserve"> </w:t>
      </w:r>
      <w:r>
        <w:t>in</w:t>
      </w:r>
      <w:r w:rsidR="00C64050">
        <w:t xml:space="preserve"> </w:t>
      </w:r>
      <w:r>
        <w:t>bankruptcy</w:t>
      </w:r>
      <w:r w:rsidR="00C64050">
        <w:t xml:space="preserve"> </w:t>
      </w:r>
      <w:r>
        <w:t>proceedings.</w:t>
      </w:r>
      <w:r w:rsidR="00C64050">
        <w:t xml:space="preserve"> </w:t>
      </w:r>
      <w:r>
        <w:t>Apart</w:t>
      </w:r>
      <w:r w:rsidR="00C64050">
        <w:t xml:space="preserve"> </w:t>
      </w:r>
      <w:r>
        <w:t>from</w:t>
      </w:r>
      <w:r w:rsidR="00C64050">
        <w:t xml:space="preserve"> </w:t>
      </w:r>
      <w:r>
        <w:t>bankruptcy,</w:t>
      </w:r>
      <w:r w:rsidR="00C64050">
        <w:t xml:space="preserve"> </w:t>
      </w:r>
      <w:r>
        <w:t>the</w:t>
      </w:r>
      <w:r w:rsidR="00C64050">
        <w:t xml:space="preserve"> </w:t>
      </w:r>
      <w:r>
        <w:t>powerholder</w:t>
      </w:r>
      <w:r w:rsidR="00C64050">
        <w:t xml:space="preserve"> </w:t>
      </w:r>
      <w:r>
        <w:t>can</w:t>
      </w:r>
      <w:r w:rsidR="00C64050">
        <w:t xml:space="preserve"> </w:t>
      </w:r>
      <w:r>
        <w:t>choose</w:t>
      </w:r>
      <w:r w:rsidR="00C64050">
        <w:t xml:space="preserve"> </w:t>
      </w:r>
      <w:r>
        <w:t>to</w:t>
      </w:r>
      <w:r w:rsidR="00C64050">
        <w:t xml:space="preserve"> </w:t>
      </w:r>
      <w:r>
        <w:t>pay</w:t>
      </w:r>
      <w:r w:rsidR="00C64050">
        <w:t xml:space="preserve"> </w:t>
      </w:r>
      <w:r>
        <w:t>one</w:t>
      </w:r>
      <w:r w:rsidR="00C64050">
        <w:t xml:space="preserve"> </w:t>
      </w:r>
      <w:r>
        <w:t>creditor</w:t>
      </w:r>
      <w:r w:rsidR="00C64050">
        <w:t xml:space="preserve"> </w:t>
      </w:r>
      <w:r>
        <w:t>rather</w:t>
      </w:r>
      <w:r w:rsidR="00C64050">
        <w:t xml:space="preserve"> </w:t>
      </w:r>
      <w:r>
        <w:t>than</w:t>
      </w:r>
      <w:r w:rsidR="00C64050">
        <w:t xml:space="preserve"> </w:t>
      </w:r>
      <w:r>
        <w:t>another</w:t>
      </w:r>
      <w:r w:rsidR="00C64050">
        <w:t xml:space="preserve"> </w:t>
      </w:r>
      <w:r>
        <w:t>with</w:t>
      </w:r>
      <w:r w:rsidR="00C64050">
        <w:t xml:space="preserve"> </w:t>
      </w:r>
      <w:r>
        <w:t>his</w:t>
      </w:r>
      <w:r w:rsidR="00C64050">
        <w:t xml:space="preserve"> </w:t>
      </w:r>
      <w:r>
        <w:t>or</w:t>
      </w:r>
      <w:r w:rsidR="00C64050">
        <w:t xml:space="preserve"> </w:t>
      </w:r>
      <w:r>
        <w:t>her</w:t>
      </w:r>
      <w:r w:rsidR="00C64050">
        <w:t xml:space="preserve"> </w:t>
      </w:r>
      <w:r>
        <w:t>owned</w:t>
      </w:r>
      <w:r w:rsidR="00C64050">
        <w:t xml:space="preserve"> </w:t>
      </w:r>
      <w:r>
        <w:t>assets,</w:t>
      </w:r>
      <w:r w:rsidR="00C64050">
        <w:t xml:space="preserve"> </w:t>
      </w:r>
      <w:r>
        <w:t>and</w:t>
      </w:r>
      <w:r w:rsidR="00C64050">
        <w:t xml:space="preserve"> </w:t>
      </w:r>
      <w:r>
        <w:t>the</w:t>
      </w:r>
      <w:r w:rsidR="00C64050">
        <w:t xml:space="preserve"> </w:t>
      </w:r>
      <w:r>
        <w:t>same</w:t>
      </w:r>
      <w:r w:rsidR="00C64050">
        <w:t xml:space="preserve"> </w:t>
      </w:r>
      <w:r>
        <w:t>is</w:t>
      </w:r>
      <w:r w:rsidR="00C64050">
        <w:t xml:space="preserve"> </w:t>
      </w:r>
      <w:r>
        <w:t>true</w:t>
      </w:r>
      <w:r w:rsidR="00C64050">
        <w:t xml:space="preserve"> </w:t>
      </w:r>
      <w:r>
        <w:t>with</w:t>
      </w:r>
      <w:r w:rsidR="00C64050">
        <w:t xml:space="preserve"> </w:t>
      </w:r>
      <w:r>
        <w:t>respect</w:t>
      </w:r>
      <w:r w:rsidR="00C64050">
        <w:t xml:space="preserve"> </w:t>
      </w:r>
      <w:r>
        <w:t>to</w:t>
      </w:r>
      <w:r w:rsidR="00C64050">
        <w:t xml:space="preserve"> </w:t>
      </w:r>
      <w:r>
        <w:t>appointive</w:t>
      </w:r>
      <w:r w:rsidR="00C64050">
        <w:t xml:space="preserve"> </w:t>
      </w:r>
      <w:r>
        <w:t>assets.</w:t>
      </w:r>
      <w:r w:rsidR="00C64050">
        <w:t xml:space="preserve"> </w:t>
      </w:r>
      <w:r>
        <w:t>If</w:t>
      </w:r>
      <w:r w:rsidR="00C64050">
        <w:t xml:space="preserve"> </w:t>
      </w:r>
      <w:r>
        <w:t>the</w:t>
      </w:r>
      <w:r w:rsidR="00C64050">
        <w:t xml:space="preserve"> </w:t>
      </w:r>
      <w:r>
        <w:t>appointment</w:t>
      </w:r>
      <w:r w:rsidR="00C64050">
        <w:t xml:space="preserve"> </w:t>
      </w:r>
      <w:r>
        <w:t>is</w:t>
      </w:r>
      <w:r w:rsidR="00C64050">
        <w:t xml:space="preserve"> </w:t>
      </w:r>
      <w:r>
        <w:t>in</w:t>
      </w:r>
      <w:r w:rsidR="00C64050">
        <w:t xml:space="preserve"> </w:t>
      </w:r>
      <w:r>
        <w:t>favor</w:t>
      </w:r>
      <w:r w:rsidR="00C64050">
        <w:t xml:space="preserve"> </w:t>
      </w:r>
      <w:r>
        <w:t>of</w:t>
      </w:r>
      <w:r w:rsidR="00C64050">
        <w:t xml:space="preserve"> </w:t>
      </w:r>
      <w:r>
        <w:t>a</w:t>
      </w:r>
      <w:r w:rsidR="00C64050">
        <w:t xml:space="preserve"> </w:t>
      </w:r>
      <w:r>
        <w:rPr>
          <w:i/>
          <w:iCs/>
        </w:rPr>
        <w:t>volunteer</w:t>
      </w:r>
      <w:r w:rsidR="00C64050">
        <w:t xml:space="preserve"> </w:t>
      </w:r>
      <w:r>
        <w:t>(i.e.,</w:t>
      </w:r>
      <w:r w:rsidR="00C64050">
        <w:t xml:space="preserve"> </w:t>
      </w:r>
      <w:r>
        <w:t>the</w:t>
      </w:r>
      <w:r w:rsidR="00C64050">
        <w:t xml:space="preserve"> </w:t>
      </w:r>
      <w:r>
        <w:t>appointment</w:t>
      </w:r>
      <w:r w:rsidR="00C64050">
        <w:t xml:space="preserve"> </w:t>
      </w:r>
      <w:r>
        <w:t>is</w:t>
      </w:r>
      <w:r w:rsidR="00C64050">
        <w:t xml:space="preserve"> </w:t>
      </w:r>
      <w:r>
        <w:t>gratuitous),</w:t>
      </w:r>
      <w:r w:rsidR="00C64050">
        <w:t xml:space="preserve"> </w:t>
      </w:r>
      <w:r>
        <w:t>the</w:t>
      </w:r>
      <w:r w:rsidR="00C64050">
        <w:t xml:space="preserve"> </w:t>
      </w:r>
      <w:r>
        <w:t>powerholder’s</w:t>
      </w:r>
      <w:r w:rsidR="00C64050">
        <w:t xml:space="preserve"> </w:t>
      </w:r>
      <w:r>
        <w:t>creditors</w:t>
      </w:r>
      <w:r w:rsidR="00C64050">
        <w:t xml:space="preserve"> </w:t>
      </w:r>
      <w:r>
        <w:t>can</w:t>
      </w:r>
      <w:r w:rsidR="00C64050">
        <w:t xml:space="preserve"> </w:t>
      </w:r>
      <w:r>
        <w:t>reach</w:t>
      </w:r>
      <w:r w:rsidR="00C64050">
        <w:t xml:space="preserve"> </w:t>
      </w:r>
      <w:r>
        <w:t>the</w:t>
      </w:r>
      <w:r w:rsidR="00C64050">
        <w:t xml:space="preserve"> </w:t>
      </w:r>
      <w:r>
        <w:t>appointed</w:t>
      </w:r>
      <w:r w:rsidR="00C64050">
        <w:t xml:space="preserve"> </w:t>
      </w:r>
      <w:r>
        <w:t>assets</w:t>
      </w:r>
      <w:r w:rsidR="00C64050">
        <w:t xml:space="preserve"> </w:t>
      </w:r>
      <w:r>
        <w:t>only</w:t>
      </w:r>
      <w:r w:rsidR="00C64050">
        <w:t xml:space="preserve"> </w:t>
      </w:r>
      <w:r>
        <w:t>if</w:t>
      </w:r>
      <w:r w:rsidR="00C64050">
        <w:t xml:space="preserve"> </w:t>
      </w:r>
      <w:r>
        <w:t>the</w:t>
      </w:r>
      <w:r w:rsidR="00C64050">
        <w:t xml:space="preserve"> </w:t>
      </w:r>
      <w:r>
        <w:t>transfer</w:t>
      </w:r>
      <w:r w:rsidR="00C64050">
        <w:t xml:space="preserve"> </w:t>
      </w:r>
      <w:r>
        <w:t>is</w:t>
      </w:r>
      <w:r w:rsidR="00C64050">
        <w:t xml:space="preserve"> </w:t>
      </w:r>
      <w:r>
        <w:t>the</w:t>
      </w:r>
      <w:r w:rsidR="00C64050">
        <w:t xml:space="preserve"> </w:t>
      </w:r>
      <w:r>
        <w:t>equivalent</w:t>
      </w:r>
      <w:r w:rsidR="00C64050">
        <w:t xml:space="preserve"> </w:t>
      </w:r>
      <w:r>
        <w:t>of</w:t>
      </w:r>
      <w:r w:rsidR="00C64050">
        <w:t xml:space="preserve"> </w:t>
      </w:r>
      <w:r>
        <w:t>a</w:t>
      </w:r>
      <w:r w:rsidR="00C64050">
        <w:t xml:space="preserve"> </w:t>
      </w:r>
      <w:r>
        <w:t>fraudulent</w:t>
      </w:r>
      <w:r w:rsidR="00C64050">
        <w:t xml:space="preserve"> </w:t>
      </w:r>
      <w:r>
        <w:t>transfer</w:t>
      </w:r>
      <w:r w:rsidR="00C64050">
        <w:t xml:space="preserve"> </w:t>
      </w:r>
      <w:r>
        <w:t>under</w:t>
      </w:r>
      <w:r w:rsidR="00C64050">
        <w:t xml:space="preserve"> </w:t>
      </w:r>
      <w:r>
        <w:t>applicable</w:t>
      </w:r>
      <w:r w:rsidR="00C64050">
        <w:t xml:space="preserve"> </w:t>
      </w:r>
      <w:r>
        <w:t>state</w:t>
      </w:r>
      <w:r w:rsidR="00C64050">
        <w:t xml:space="preserve"> </w:t>
      </w:r>
      <w:r>
        <w:t>law.</w:t>
      </w:r>
    </w:p>
    <w:p w:rsidR="00E36DAA" w:rsidRDefault="00E36DAA" w:rsidP="00366A7B">
      <w:pPr>
        <w:pStyle w:val="Body15"/>
      </w:pPr>
      <w:r>
        <w:t>In</w:t>
      </w:r>
      <w:r w:rsidR="00C64050">
        <w:t xml:space="preserve"> </w:t>
      </w:r>
      <w:r>
        <w:t>a</w:t>
      </w:r>
      <w:r w:rsidR="00C64050">
        <w:t xml:space="preserve"> </w:t>
      </w:r>
      <w:r>
        <w:t>minority</w:t>
      </w:r>
      <w:r w:rsidR="00C64050">
        <w:t xml:space="preserve"> </w:t>
      </w:r>
      <w:r>
        <w:t>of</w:t>
      </w:r>
      <w:r w:rsidR="00C64050">
        <w:t xml:space="preserve"> </w:t>
      </w:r>
      <w:r>
        <w:t>jurisdictions,</w:t>
      </w:r>
      <w:r w:rsidR="00C64050">
        <w:t xml:space="preserve"> </w:t>
      </w:r>
      <w:r>
        <w:t>the</w:t>
      </w:r>
      <w:r w:rsidR="00C64050">
        <w:t xml:space="preserve"> </w:t>
      </w:r>
      <w:r>
        <w:t>powerholder</w:t>
      </w:r>
      <w:r w:rsidR="00C64050">
        <w:t xml:space="preserve"> </w:t>
      </w:r>
      <w:r>
        <w:t>of</w:t>
      </w:r>
      <w:r w:rsidR="00C64050">
        <w:t xml:space="preserve"> </w:t>
      </w:r>
      <w:r>
        <w:t>a</w:t>
      </w:r>
      <w:r w:rsidR="00C64050">
        <w:t xml:space="preserve"> </w:t>
      </w:r>
      <w:r>
        <w:t>general</w:t>
      </w:r>
      <w:r w:rsidR="00C64050">
        <w:t xml:space="preserve"> </w:t>
      </w:r>
      <w:r>
        <w:t>power,</w:t>
      </w:r>
      <w:r w:rsidR="00C64050">
        <w:t xml:space="preserve"> </w:t>
      </w:r>
      <w:r>
        <w:t>conferred</w:t>
      </w:r>
      <w:r w:rsidR="00C64050">
        <w:t xml:space="preserve"> </w:t>
      </w:r>
      <w:r>
        <w:t>on</w:t>
      </w:r>
      <w:r w:rsidR="00C64050">
        <w:t xml:space="preserve"> </w:t>
      </w:r>
      <w:r>
        <w:t>him</w:t>
      </w:r>
      <w:r w:rsidR="00C64050">
        <w:t xml:space="preserve"> </w:t>
      </w:r>
      <w:r>
        <w:t>or</w:t>
      </w:r>
      <w:r w:rsidR="00C64050">
        <w:t xml:space="preserve"> </w:t>
      </w:r>
      <w:r>
        <w:t>her</w:t>
      </w:r>
      <w:r w:rsidR="00C64050">
        <w:t xml:space="preserve"> </w:t>
      </w:r>
      <w:r>
        <w:t>by</w:t>
      </w:r>
      <w:r w:rsidR="00C64050">
        <w:t xml:space="preserve"> </w:t>
      </w:r>
      <w:r>
        <w:t>another,</w:t>
      </w:r>
      <w:r w:rsidR="00C64050">
        <w:t xml:space="preserve"> </w:t>
      </w:r>
      <w:r>
        <w:t>is</w:t>
      </w:r>
      <w:r w:rsidR="00C64050">
        <w:t xml:space="preserve"> </w:t>
      </w:r>
      <w:r>
        <w:rPr>
          <w:i/>
          <w:iCs/>
        </w:rPr>
        <w:t>not</w:t>
      </w:r>
      <w:r w:rsidR="00C64050">
        <w:t xml:space="preserve"> </w:t>
      </w:r>
      <w:r>
        <w:t>treated</w:t>
      </w:r>
      <w:r w:rsidR="00C64050">
        <w:t xml:space="preserve"> </w:t>
      </w:r>
      <w:r>
        <w:t>as</w:t>
      </w:r>
      <w:r w:rsidR="00C64050">
        <w:t xml:space="preserve"> </w:t>
      </w:r>
      <w:r>
        <w:t>the</w:t>
      </w:r>
      <w:r w:rsidR="00C64050">
        <w:t xml:space="preserve"> </w:t>
      </w:r>
      <w:r>
        <w:t>owner</w:t>
      </w:r>
      <w:r w:rsidR="00C64050">
        <w:t xml:space="preserve"> </w:t>
      </w:r>
      <w:r>
        <w:t>of</w:t>
      </w:r>
      <w:r w:rsidR="00C64050">
        <w:t xml:space="preserve"> </w:t>
      </w:r>
      <w:r>
        <w:t>the</w:t>
      </w:r>
      <w:r w:rsidR="00C64050">
        <w:t xml:space="preserve"> </w:t>
      </w:r>
      <w:r>
        <w:t>appointive</w:t>
      </w:r>
      <w:r w:rsidR="00C64050">
        <w:t xml:space="preserve"> </w:t>
      </w:r>
      <w:r>
        <w:t>property</w:t>
      </w:r>
      <w:r w:rsidR="00C64050">
        <w:t xml:space="preserve"> </w:t>
      </w:r>
      <w:r>
        <w:t>even</w:t>
      </w:r>
      <w:r w:rsidR="00C64050">
        <w:t xml:space="preserve"> </w:t>
      </w:r>
      <w:r>
        <w:t>if</w:t>
      </w:r>
      <w:r w:rsidR="00C64050">
        <w:t xml:space="preserve"> </w:t>
      </w:r>
      <w:r>
        <w:t>the</w:t>
      </w:r>
      <w:r w:rsidR="00C64050">
        <w:t xml:space="preserve"> </w:t>
      </w:r>
      <w:r>
        <w:t>power</w:t>
      </w:r>
      <w:r w:rsidR="00C64050">
        <w:t xml:space="preserve"> </w:t>
      </w:r>
      <w:r>
        <w:t>is</w:t>
      </w:r>
      <w:r w:rsidR="00C64050">
        <w:t xml:space="preserve"> </w:t>
      </w:r>
      <w:r>
        <w:t>exercised.</w:t>
      </w:r>
      <w:r w:rsidR="00C64050">
        <w:t xml:space="preserve"> </w:t>
      </w:r>
      <w:r>
        <w:t>See,</w:t>
      </w:r>
      <w:r w:rsidR="00C64050">
        <w:t xml:space="preserve"> </w:t>
      </w:r>
      <w:r>
        <w:t>e.g.,</w:t>
      </w:r>
      <w:r w:rsidR="00C64050">
        <w:t xml:space="preserve"> </w:t>
      </w:r>
      <w:r w:rsidRPr="00AE21C9">
        <w:rPr>
          <w:u w:val="single"/>
        </w:rPr>
        <w:t>St.</w:t>
      </w:r>
      <w:r w:rsidR="00C64050">
        <w:rPr>
          <w:u w:val="single"/>
        </w:rPr>
        <w:t xml:space="preserve"> </w:t>
      </w:r>
      <w:r w:rsidRPr="00AE21C9">
        <w:rPr>
          <w:u w:val="single"/>
        </w:rPr>
        <w:t>Matthews</w:t>
      </w:r>
      <w:r w:rsidR="00C64050">
        <w:rPr>
          <w:u w:val="single"/>
        </w:rPr>
        <w:t xml:space="preserve"> </w:t>
      </w:r>
      <w:r w:rsidRPr="00AE21C9">
        <w:rPr>
          <w:u w:val="single"/>
        </w:rPr>
        <w:t>Bank</w:t>
      </w:r>
      <w:r w:rsidR="00C64050">
        <w:rPr>
          <w:u w:val="single"/>
        </w:rPr>
        <w:t xml:space="preserve"> </w:t>
      </w:r>
      <w:r w:rsidRPr="00AE21C9">
        <w:rPr>
          <w:u w:val="single"/>
        </w:rPr>
        <w:t>v.</w:t>
      </w:r>
      <w:r w:rsidR="00C64050">
        <w:rPr>
          <w:u w:val="single"/>
        </w:rPr>
        <w:t xml:space="preserve"> </w:t>
      </w:r>
      <w:r w:rsidRPr="00AE21C9">
        <w:rPr>
          <w:u w:val="single"/>
        </w:rPr>
        <w:t>DeCharette,</w:t>
      </w:r>
      <w:r w:rsidR="00C64050">
        <w:t xml:space="preserve"> </w:t>
      </w:r>
      <w:r>
        <w:t>83</w:t>
      </w:r>
      <w:r w:rsidR="00C64050">
        <w:t xml:space="preserve"> </w:t>
      </w:r>
      <w:r>
        <w:t>S.W.2d</w:t>
      </w:r>
      <w:r w:rsidR="00C64050">
        <w:t xml:space="preserve"> </w:t>
      </w:r>
      <w:r>
        <w:t>471</w:t>
      </w:r>
      <w:r w:rsidR="00C64050">
        <w:t xml:space="preserve"> </w:t>
      </w:r>
      <w:r>
        <w:t>(Ky.</w:t>
      </w:r>
      <w:r w:rsidR="00C64050">
        <w:t xml:space="preserve"> </w:t>
      </w:r>
      <w:r>
        <w:t>1935).</w:t>
      </w:r>
      <w:r w:rsidR="00C64050">
        <w:t xml:space="preserve"> </w:t>
      </w:r>
      <w:r>
        <w:t>Of</w:t>
      </w:r>
      <w:r w:rsidR="00C64050">
        <w:t xml:space="preserve"> </w:t>
      </w:r>
      <w:r>
        <w:t>course,</w:t>
      </w:r>
      <w:r w:rsidR="00C64050">
        <w:t xml:space="preserve"> </w:t>
      </w:r>
      <w:r>
        <w:t>if</w:t>
      </w:r>
      <w:r w:rsidR="00C64050">
        <w:t xml:space="preserve"> </w:t>
      </w:r>
      <w:r>
        <w:t>the</w:t>
      </w:r>
      <w:r w:rsidR="00C64050">
        <w:t xml:space="preserve"> </w:t>
      </w:r>
      <w:r>
        <w:t>powerholder</w:t>
      </w:r>
      <w:r w:rsidR="00C64050">
        <w:t xml:space="preserve"> </w:t>
      </w:r>
      <w:r>
        <w:t>exercises</w:t>
      </w:r>
      <w:r w:rsidR="00C64050">
        <w:t xml:space="preserve"> </w:t>
      </w:r>
      <w:r>
        <w:t>the</w:t>
      </w:r>
      <w:r w:rsidR="00C64050">
        <w:t xml:space="preserve"> </w:t>
      </w:r>
      <w:r>
        <w:t>power</w:t>
      </w:r>
      <w:r w:rsidR="00C64050">
        <w:t xml:space="preserve"> </w:t>
      </w:r>
      <w:r>
        <w:t>in</w:t>
      </w:r>
      <w:r w:rsidR="00C64050">
        <w:t xml:space="preserve"> </w:t>
      </w:r>
      <w:r>
        <w:t>favor</w:t>
      </w:r>
      <w:r w:rsidR="00C64050">
        <w:t xml:space="preserve"> </w:t>
      </w:r>
      <w:r>
        <w:t>of</w:t>
      </w:r>
      <w:r w:rsidR="00C64050">
        <w:t xml:space="preserve"> </w:t>
      </w:r>
      <w:r>
        <w:t>himself</w:t>
      </w:r>
      <w:r w:rsidR="00C64050">
        <w:t xml:space="preserve"> </w:t>
      </w:r>
      <w:r>
        <w:t>or</w:t>
      </w:r>
      <w:r w:rsidR="00C64050">
        <w:t xml:space="preserve"> </w:t>
      </w:r>
      <w:r>
        <w:t>herself</w:t>
      </w:r>
      <w:r w:rsidR="00C64050">
        <w:t xml:space="preserve"> </w:t>
      </w:r>
      <w:r>
        <w:t>or</w:t>
      </w:r>
      <w:r w:rsidR="00C64050">
        <w:t xml:space="preserve"> </w:t>
      </w:r>
      <w:r>
        <w:t>his</w:t>
      </w:r>
      <w:r w:rsidR="00C64050">
        <w:t xml:space="preserve"> </w:t>
      </w:r>
      <w:r>
        <w:t>or</w:t>
      </w:r>
      <w:r w:rsidR="00C64050">
        <w:t xml:space="preserve"> </w:t>
      </w:r>
      <w:r>
        <w:t>her</w:t>
      </w:r>
      <w:r w:rsidR="00C64050">
        <w:t xml:space="preserve"> </w:t>
      </w:r>
      <w:r>
        <w:t>estate,</w:t>
      </w:r>
      <w:r w:rsidR="00C64050">
        <w:t xml:space="preserve"> </w:t>
      </w:r>
      <w:r>
        <w:t>the</w:t>
      </w:r>
      <w:r w:rsidR="00C64050">
        <w:t xml:space="preserve"> </w:t>
      </w:r>
      <w:r>
        <w:t>appointed</w:t>
      </w:r>
      <w:r w:rsidR="00C64050">
        <w:t xml:space="preserve"> </w:t>
      </w:r>
      <w:r>
        <w:t>property</w:t>
      </w:r>
      <w:r w:rsidR="00C64050">
        <w:t xml:space="preserve"> </w:t>
      </w:r>
      <w:r>
        <w:t>becomes</w:t>
      </w:r>
      <w:r w:rsidR="00C64050">
        <w:t xml:space="preserve"> </w:t>
      </w:r>
      <w:r>
        <w:t>owned</w:t>
      </w:r>
      <w:r w:rsidR="00C64050">
        <w:t xml:space="preserve"> </w:t>
      </w:r>
      <w:r>
        <w:t>in</w:t>
      </w:r>
      <w:r w:rsidR="00C64050">
        <w:t xml:space="preserve"> </w:t>
      </w:r>
      <w:r>
        <w:t>the</w:t>
      </w:r>
      <w:r w:rsidR="00C64050">
        <w:t xml:space="preserve"> </w:t>
      </w:r>
      <w:r>
        <w:t>technical</w:t>
      </w:r>
      <w:r w:rsidR="00C64050">
        <w:t xml:space="preserve"> </w:t>
      </w:r>
      <w:r>
        <w:t>sense,</w:t>
      </w:r>
      <w:r w:rsidR="00C64050">
        <w:t xml:space="preserve"> </w:t>
      </w:r>
      <w:r>
        <w:t>and</w:t>
      </w:r>
      <w:r w:rsidR="00C64050">
        <w:t xml:space="preserve"> </w:t>
      </w:r>
      <w:r>
        <w:t>creditors</w:t>
      </w:r>
      <w:r w:rsidR="00C64050">
        <w:t xml:space="preserve"> </w:t>
      </w:r>
      <w:r>
        <w:t>even</w:t>
      </w:r>
      <w:r w:rsidR="00C64050">
        <w:t xml:space="preserve"> </w:t>
      </w:r>
      <w:r>
        <w:t>in</w:t>
      </w:r>
      <w:r w:rsidR="00C64050">
        <w:t xml:space="preserve"> </w:t>
      </w:r>
      <w:r>
        <w:t>states</w:t>
      </w:r>
      <w:r w:rsidR="00C64050">
        <w:t xml:space="preserve"> </w:t>
      </w:r>
      <w:r>
        <w:t>adhering</w:t>
      </w:r>
      <w:r w:rsidR="00C64050">
        <w:t xml:space="preserve"> </w:t>
      </w:r>
      <w:r>
        <w:t>to</w:t>
      </w:r>
      <w:r w:rsidR="00C64050">
        <w:t xml:space="preserve"> </w:t>
      </w:r>
      <w:r>
        <w:t>the</w:t>
      </w:r>
      <w:r w:rsidR="00C64050">
        <w:t xml:space="preserve"> </w:t>
      </w:r>
      <w:r>
        <w:t>minority</w:t>
      </w:r>
      <w:r w:rsidR="00C64050">
        <w:t xml:space="preserve"> </w:t>
      </w:r>
      <w:r>
        <w:t>view</w:t>
      </w:r>
      <w:r w:rsidR="00C64050">
        <w:t xml:space="preserve"> </w:t>
      </w:r>
      <w:r>
        <w:t>would</w:t>
      </w:r>
      <w:r w:rsidR="00C64050">
        <w:t xml:space="preserve"> </w:t>
      </w:r>
      <w:r>
        <w:t>be</w:t>
      </w:r>
      <w:r w:rsidR="00C64050">
        <w:t xml:space="preserve"> </w:t>
      </w:r>
      <w:r>
        <w:t>able</w:t>
      </w:r>
      <w:r w:rsidR="00C64050">
        <w:t xml:space="preserve"> </w:t>
      </w:r>
      <w:r>
        <w:t>to</w:t>
      </w:r>
      <w:r w:rsidR="00C64050">
        <w:t xml:space="preserve"> </w:t>
      </w:r>
      <w:r>
        <w:t>subject</w:t>
      </w:r>
      <w:r w:rsidR="00C64050">
        <w:t xml:space="preserve"> </w:t>
      </w:r>
      <w:r>
        <w:t>the</w:t>
      </w:r>
      <w:r w:rsidR="00C64050">
        <w:t xml:space="preserve"> </w:t>
      </w:r>
      <w:r>
        <w:t>assets</w:t>
      </w:r>
      <w:r w:rsidR="00C64050">
        <w:t xml:space="preserve"> </w:t>
      </w:r>
      <w:r>
        <w:t>to</w:t>
      </w:r>
      <w:r w:rsidR="00C64050">
        <w:t xml:space="preserve"> </w:t>
      </w:r>
      <w:r>
        <w:t>the</w:t>
      </w:r>
      <w:r w:rsidR="00C64050">
        <w:t xml:space="preserve"> </w:t>
      </w:r>
      <w:r>
        <w:t>payment</w:t>
      </w:r>
      <w:r w:rsidR="00C64050">
        <w:t xml:space="preserve"> </w:t>
      </w:r>
      <w:r>
        <w:t>of</w:t>
      </w:r>
      <w:r w:rsidR="00C64050">
        <w:t xml:space="preserve"> </w:t>
      </w:r>
      <w:r>
        <w:t>their</w:t>
      </w:r>
      <w:r w:rsidR="00C64050">
        <w:t xml:space="preserve"> </w:t>
      </w:r>
      <w:r>
        <w:t>claims</w:t>
      </w:r>
      <w:r w:rsidR="00C64050">
        <w:t xml:space="preserve"> </w:t>
      </w:r>
      <w:r>
        <w:t>to</w:t>
      </w:r>
      <w:r w:rsidR="00C64050">
        <w:t xml:space="preserve"> </w:t>
      </w:r>
      <w:r>
        <w:t>the</w:t>
      </w:r>
      <w:r w:rsidR="00C64050">
        <w:t xml:space="preserve"> </w:t>
      </w:r>
      <w:r>
        <w:t>same</w:t>
      </w:r>
      <w:r w:rsidR="00C64050">
        <w:t xml:space="preserve"> </w:t>
      </w:r>
      <w:r>
        <w:t>extent</w:t>
      </w:r>
      <w:r w:rsidR="00C64050">
        <w:t xml:space="preserve"> </w:t>
      </w:r>
      <w:r>
        <w:t>as</w:t>
      </w:r>
      <w:r w:rsidR="00C64050">
        <w:t xml:space="preserve"> </w:t>
      </w:r>
      <w:r>
        <w:t>other</w:t>
      </w:r>
      <w:r w:rsidR="00C64050">
        <w:t xml:space="preserve"> </w:t>
      </w:r>
      <w:r>
        <w:t>property</w:t>
      </w:r>
      <w:r w:rsidR="00C64050">
        <w:t xml:space="preserve"> </w:t>
      </w:r>
      <w:r>
        <w:t>owned</w:t>
      </w:r>
      <w:r w:rsidR="00C64050">
        <w:t xml:space="preserve"> </w:t>
      </w:r>
      <w:r>
        <w:t>beneficially</w:t>
      </w:r>
      <w:r w:rsidR="00C64050">
        <w:t xml:space="preserve"> </w:t>
      </w:r>
      <w:r>
        <w:t>by</w:t>
      </w:r>
      <w:r w:rsidR="00C64050">
        <w:t xml:space="preserve"> </w:t>
      </w:r>
      <w:r>
        <w:t>the</w:t>
      </w:r>
      <w:r w:rsidR="00C64050">
        <w:t xml:space="preserve"> </w:t>
      </w:r>
      <w:r>
        <w:t>powerholder.</w:t>
      </w:r>
      <w:r w:rsidR="00C64050">
        <w:t xml:space="preserve">  </w:t>
      </w:r>
      <w:r>
        <w:t>A</w:t>
      </w:r>
      <w:r w:rsidR="00C64050">
        <w:t xml:space="preserve"> </w:t>
      </w:r>
      <w:r w:rsidR="00E12C3A">
        <w:t>few</w:t>
      </w:r>
      <w:r w:rsidR="00C64050">
        <w:t xml:space="preserve"> </w:t>
      </w:r>
      <w:r>
        <w:t>states</w:t>
      </w:r>
      <w:r w:rsidR="00C64050">
        <w:t xml:space="preserve"> </w:t>
      </w:r>
      <w:r w:rsidR="00E12C3A">
        <w:t>have</w:t>
      </w:r>
      <w:r w:rsidR="00C64050">
        <w:t xml:space="preserve"> </w:t>
      </w:r>
      <w:r>
        <w:t>enacted</w:t>
      </w:r>
      <w:r w:rsidR="00C64050">
        <w:t xml:space="preserve"> </w:t>
      </w:r>
      <w:r>
        <w:t>legislation</w:t>
      </w:r>
      <w:r w:rsidR="00C64050">
        <w:t xml:space="preserve"> </w:t>
      </w:r>
      <w:r>
        <w:t>that</w:t>
      </w:r>
      <w:r w:rsidR="00C64050">
        <w:t xml:space="preserve"> </w:t>
      </w:r>
      <w:r>
        <w:t>affect</w:t>
      </w:r>
      <w:r w:rsidR="00C64050">
        <w:t xml:space="preserve"> </w:t>
      </w:r>
      <w:r>
        <w:t>the</w:t>
      </w:r>
      <w:r w:rsidR="00C64050">
        <w:t xml:space="preserve"> </w:t>
      </w:r>
      <w:r>
        <w:t>rights</w:t>
      </w:r>
      <w:r w:rsidR="00C64050">
        <w:t xml:space="preserve"> </w:t>
      </w:r>
      <w:r>
        <w:t>of</w:t>
      </w:r>
      <w:r w:rsidR="00C64050">
        <w:t xml:space="preserve"> </w:t>
      </w:r>
      <w:r>
        <w:t>the</w:t>
      </w:r>
      <w:r w:rsidR="00C64050">
        <w:t xml:space="preserve"> </w:t>
      </w:r>
      <w:r>
        <w:t>powerholder’s</w:t>
      </w:r>
      <w:r w:rsidR="00C64050">
        <w:t xml:space="preserve"> </w:t>
      </w:r>
      <w:r>
        <w:t>creditors.</w:t>
      </w:r>
      <w:r w:rsidR="00C64050">
        <w:t xml:space="preserve"> </w:t>
      </w:r>
      <w:r>
        <w:t>The</w:t>
      </w:r>
      <w:r w:rsidR="00C64050">
        <w:t xml:space="preserve"> </w:t>
      </w:r>
      <w:r>
        <w:t>legislation</w:t>
      </w:r>
      <w:r w:rsidR="00C64050">
        <w:t xml:space="preserve"> </w:t>
      </w:r>
      <w:r>
        <w:t>is</w:t>
      </w:r>
      <w:r w:rsidR="00C64050">
        <w:t xml:space="preserve"> </w:t>
      </w:r>
      <w:r>
        <w:t>not</w:t>
      </w:r>
      <w:r w:rsidR="00C64050">
        <w:t xml:space="preserve"> </w:t>
      </w:r>
      <w:r>
        <w:t>uniform.</w:t>
      </w:r>
      <w:r w:rsidR="00C64050">
        <w:t xml:space="preserve"> </w:t>
      </w:r>
      <w:r>
        <w:t>Some</w:t>
      </w:r>
      <w:r w:rsidR="00C64050">
        <w:t xml:space="preserve"> </w:t>
      </w:r>
      <w:r>
        <w:t>of</w:t>
      </w:r>
      <w:r w:rsidR="00C64050">
        <w:t xml:space="preserve"> </w:t>
      </w:r>
      <w:r>
        <w:t>the</w:t>
      </w:r>
      <w:r w:rsidR="00C64050">
        <w:t xml:space="preserve"> </w:t>
      </w:r>
      <w:r>
        <w:t>legislation</w:t>
      </w:r>
      <w:r w:rsidR="00C64050">
        <w:t xml:space="preserve"> </w:t>
      </w:r>
      <w:r>
        <w:t>expands</w:t>
      </w:r>
      <w:r w:rsidR="00C64050">
        <w:t xml:space="preserve"> </w:t>
      </w:r>
      <w:r>
        <w:t>the</w:t>
      </w:r>
      <w:r w:rsidR="00C64050">
        <w:t xml:space="preserve"> </w:t>
      </w:r>
      <w:r>
        <w:t>rights</w:t>
      </w:r>
      <w:r w:rsidR="00C64050">
        <w:t xml:space="preserve"> </w:t>
      </w:r>
      <w:r>
        <w:t>of</w:t>
      </w:r>
      <w:r w:rsidR="00C64050">
        <w:t xml:space="preserve"> </w:t>
      </w:r>
      <w:r>
        <w:t>the</w:t>
      </w:r>
      <w:r w:rsidR="00C64050">
        <w:t xml:space="preserve"> </w:t>
      </w:r>
      <w:r>
        <w:t>powerholder’s</w:t>
      </w:r>
      <w:r w:rsidR="00C64050">
        <w:t xml:space="preserve"> </w:t>
      </w:r>
      <w:r>
        <w:t>creditors</w:t>
      </w:r>
      <w:r w:rsidR="00C64050">
        <w:t xml:space="preserve"> </w:t>
      </w:r>
      <w:r>
        <w:t>and</w:t>
      </w:r>
      <w:r w:rsidR="00C64050">
        <w:t xml:space="preserve"> </w:t>
      </w:r>
      <w:r>
        <w:t>some</w:t>
      </w:r>
      <w:r w:rsidR="00C64050">
        <w:t xml:space="preserve"> </w:t>
      </w:r>
      <w:r>
        <w:t>contracts</w:t>
      </w:r>
      <w:r w:rsidR="00C64050">
        <w:t xml:space="preserve"> </w:t>
      </w:r>
      <w:r>
        <w:t>them.</w:t>
      </w:r>
    </w:p>
    <w:p w:rsidR="00E36DAA" w:rsidRDefault="00E36DAA" w:rsidP="00366A7B">
      <w:pPr>
        <w:pStyle w:val="Body15"/>
      </w:pPr>
      <w:r>
        <w:t>The</w:t>
      </w:r>
      <w:r w:rsidR="00C64050">
        <w:t xml:space="preserve"> </w:t>
      </w:r>
      <w:r>
        <w:t>Uniform</w:t>
      </w:r>
      <w:r w:rsidR="00C64050">
        <w:t xml:space="preserve"> </w:t>
      </w:r>
      <w:r>
        <w:t>Powers</w:t>
      </w:r>
      <w:r w:rsidR="00C64050">
        <w:t xml:space="preserve"> </w:t>
      </w:r>
      <w:r>
        <w:t>of</w:t>
      </w:r>
      <w:r w:rsidR="00C64050">
        <w:t xml:space="preserve"> </w:t>
      </w:r>
      <w:r>
        <w:t>Appointment</w:t>
      </w:r>
      <w:r w:rsidR="00C64050">
        <w:t xml:space="preserve"> </w:t>
      </w:r>
      <w:r>
        <w:t>Act</w:t>
      </w:r>
      <w:r w:rsidR="00C64050">
        <w:t xml:space="preserve"> </w:t>
      </w:r>
      <w:r>
        <w:t>takes</w:t>
      </w:r>
      <w:r w:rsidR="00C64050">
        <w:t xml:space="preserve"> </w:t>
      </w:r>
      <w:r>
        <w:t>the</w:t>
      </w:r>
      <w:r w:rsidR="00C64050">
        <w:t xml:space="preserve"> </w:t>
      </w:r>
      <w:r>
        <w:t>following</w:t>
      </w:r>
      <w:r w:rsidR="00C64050">
        <w:t xml:space="preserve"> </w:t>
      </w:r>
      <w:r>
        <w:t>position.</w:t>
      </w:r>
      <w:r w:rsidR="00C64050">
        <w:t xml:space="preserve"> </w:t>
      </w:r>
      <w:r>
        <w:t>If</w:t>
      </w:r>
      <w:r w:rsidR="00C64050">
        <w:t xml:space="preserve"> </w:t>
      </w:r>
      <w:r>
        <w:t>the</w:t>
      </w:r>
      <w:r w:rsidR="00C64050">
        <w:t xml:space="preserve"> </w:t>
      </w:r>
      <w:r>
        <w:t>power</w:t>
      </w:r>
      <w:r w:rsidR="00C64050">
        <w:t xml:space="preserve"> </w:t>
      </w:r>
      <w:r>
        <w:t>is</w:t>
      </w:r>
      <w:r w:rsidR="00C64050">
        <w:t xml:space="preserve"> </w:t>
      </w:r>
      <w:r>
        <w:t>conferred</w:t>
      </w:r>
      <w:r w:rsidR="00C64050">
        <w:t xml:space="preserve"> </w:t>
      </w:r>
      <w:r>
        <w:t>by</w:t>
      </w:r>
      <w:r w:rsidR="00C64050">
        <w:t xml:space="preserve"> </w:t>
      </w:r>
      <w:r>
        <w:t>another,</w:t>
      </w:r>
      <w:r w:rsidR="00C64050">
        <w:t xml:space="preserve"> </w:t>
      </w:r>
      <w:r>
        <w:t>the</w:t>
      </w:r>
      <w:r w:rsidR="00C64050">
        <w:t xml:space="preserve"> </w:t>
      </w:r>
      <w:r>
        <w:t>rights</w:t>
      </w:r>
      <w:r w:rsidR="00C64050">
        <w:t xml:space="preserve"> </w:t>
      </w:r>
      <w:r>
        <w:t>of</w:t>
      </w:r>
      <w:r w:rsidR="00C64050">
        <w:t xml:space="preserve"> </w:t>
      </w:r>
      <w:r>
        <w:t>the</w:t>
      </w:r>
      <w:r w:rsidR="00C64050">
        <w:t xml:space="preserve"> </w:t>
      </w:r>
      <w:r>
        <w:t>powerholder’s</w:t>
      </w:r>
      <w:r w:rsidR="00C64050">
        <w:t xml:space="preserve"> </w:t>
      </w:r>
      <w:r>
        <w:t>creditors</w:t>
      </w:r>
      <w:r w:rsidR="00C64050">
        <w:t xml:space="preserve"> </w:t>
      </w:r>
      <w:r>
        <w:t>depend</w:t>
      </w:r>
      <w:r w:rsidR="00C64050">
        <w:t xml:space="preserve"> </w:t>
      </w:r>
      <w:r>
        <w:t>on</w:t>
      </w:r>
      <w:r w:rsidR="00C64050">
        <w:t xml:space="preserve"> </w:t>
      </w:r>
      <w:r>
        <w:t>whether</w:t>
      </w:r>
      <w:r w:rsidR="00C64050">
        <w:t xml:space="preserve"> </w:t>
      </w:r>
      <w:r>
        <w:t>the</w:t>
      </w:r>
      <w:r w:rsidR="00C64050">
        <w:t xml:space="preserve"> </w:t>
      </w:r>
      <w:r>
        <w:t>power</w:t>
      </w:r>
      <w:r w:rsidR="00C64050">
        <w:t xml:space="preserve"> </w:t>
      </w:r>
      <w:r>
        <w:t>is</w:t>
      </w:r>
      <w:r w:rsidR="00C64050">
        <w:t xml:space="preserve"> </w:t>
      </w:r>
      <w:r>
        <w:t>general</w:t>
      </w:r>
      <w:r w:rsidR="00C64050">
        <w:t xml:space="preserve"> </w:t>
      </w:r>
      <w:r>
        <w:t>or</w:t>
      </w:r>
      <w:r w:rsidR="00C64050">
        <w:t xml:space="preserve"> </w:t>
      </w:r>
      <w:r>
        <w:t>nongeneral.</w:t>
      </w:r>
      <w:r w:rsidR="00C64050">
        <w:t xml:space="preserve"> </w:t>
      </w:r>
      <w:r>
        <w:t>If</w:t>
      </w:r>
      <w:r w:rsidR="00C64050">
        <w:t xml:space="preserve"> </w:t>
      </w:r>
      <w:r>
        <w:t>the</w:t>
      </w:r>
      <w:r w:rsidR="00C64050">
        <w:t xml:space="preserve"> </w:t>
      </w:r>
      <w:r>
        <w:t>power</w:t>
      </w:r>
      <w:r w:rsidR="00C64050">
        <w:t xml:space="preserve"> </w:t>
      </w:r>
      <w:r>
        <w:t>is</w:t>
      </w:r>
      <w:r w:rsidR="00C64050">
        <w:t xml:space="preserve"> </w:t>
      </w:r>
      <w:r>
        <w:t>general,</w:t>
      </w:r>
      <w:r w:rsidR="00C64050">
        <w:t xml:space="preserve"> </w:t>
      </w:r>
      <w:r>
        <w:t>the</w:t>
      </w:r>
      <w:r w:rsidR="00C64050">
        <w:t xml:space="preserve"> </w:t>
      </w:r>
      <w:r>
        <w:t>appointive</w:t>
      </w:r>
      <w:r w:rsidR="00C64050">
        <w:t xml:space="preserve"> </w:t>
      </w:r>
      <w:r>
        <w:t>property</w:t>
      </w:r>
      <w:r w:rsidR="00C64050">
        <w:t xml:space="preserve"> </w:t>
      </w:r>
      <w:r>
        <w:t>is</w:t>
      </w:r>
      <w:r w:rsidR="00C64050">
        <w:t xml:space="preserve"> </w:t>
      </w:r>
      <w:r>
        <w:t>subject</w:t>
      </w:r>
      <w:r w:rsidR="00C64050">
        <w:t xml:space="preserve"> </w:t>
      </w:r>
      <w:r>
        <w:t>to</w:t>
      </w:r>
      <w:r w:rsidR="00C64050">
        <w:t xml:space="preserve"> </w:t>
      </w:r>
      <w:r>
        <w:t>a</w:t>
      </w:r>
      <w:r w:rsidR="00C64050">
        <w:t xml:space="preserve"> </w:t>
      </w:r>
      <w:r>
        <w:t>claim</w:t>
      </w:r>
      <w:r w:rsidR="00C64050">
        <w:t xml:space="preserve"> </w:t>
      </w:r>
      <w:r>
        <w:t>of</w:t>
      </w:r>
      <w:r w:rsidR="00C64050">
        <w:t xml:space="preserve"> </w:t>
      </w:r>
      <w:r>
        <w:t>(1)</w:t>
      </w:r>
      <w:r w:rsidR="00C64050">
        <w:t xml:space="preserve"> </w:t>
      </w:r>
      <w:r>
        <w:t>a</w:t>
      </w:r>
      <w:r w:rsidR="00C64050">
        <w:t xml:space="preserve"> </w:t>
      </w:r>
      <w:r>
        <w:t>creditor</w:t>
      </w:r>
      <w:r w:rsidR="00C64050">
        <w:t xml:space="preserve"> </w:t>
      </w:r>
      <w:r>
        <w:t>of</w:t>
      </w:r>
      <w:r w:rsidR="00C64050">
        <w:t xml:space="preserve"> </w:t>
      </w:r>
      <w:r>
        <w:t>the</w:t>
      </w:r>
      <w:r w:rsidR="00C64050">
        <w:t xml:space="preserve"> </w:t>
      </w:r>
      <w:r>
        <w:t>powerholder,</w:t>
      </w:r>
      <w:r w:rsidR="00C64050">
        <w:t xml:space="preserve"> </w:t>
      </w:r>
      <w:r>
        <w:t>to</w:t>
      </w:r>
      <w:r w:rsidR="00C64050">
        <w:t xml:space="preserve"> </w:t>
      </w:r>
      <w:r>
        <w:t>the</w:t>
      </w:r>
      <w:r w:rsidR="00C64050">
        <w:t xml:space="preserve"> </w:t>
      </w:r>
      <w:r>
        <w:t>extent</w:t>
      </w:r>
      <w:r w:rsidR="00C64050">
        <w:t xml:space="preserve"> </w:t>
      </w:r>
      <w:r>
        <w:t>the</w:t>
      </w:r>
      <w:r w:rsidR="00C64050">
        <w:t xml:space="preserve"> </w:t>
      </w:r>
      <w:r>
        <w:t>powerholder’s</w:t>
      </w:r>
      <w:r w:rsidR="00C64050">
        <w:t xml:space="preserve"> </w:t>
      </w:r>
      <w:r>
        <w:t>property</w:t>
      </w:r>
      <w:r w:rsidR="00C64050">
        <w:t xml:space="preserve"> </w:t>
      </w:r>
      <w:r>
        <w:t>is</w:t>
      </w:r>
      <w:r w:rsidR="00C64050">
        <w:t xml:space="preserve"> </w:t>
      </w:r>
      <w:r>
        <w:t>insufficient,</w:t>
      </w:r>
      <w:r w:rsidR="00C64050">
        <w:t xml:space="preserve"> </w:t>
      </w:r>
      <w:r>
        <w:t>if</w:t>
      </w:r>
      <w:r w:rsidR="00C64050">
        <w:t xml:space="preserve"> </w:t>
      </w:r>
      <w:r>
        <w:t>the</w:t>
      </w:r>
      <w:r w:rsidR="00C64050">
        <w:t xml:space="preserve"> </w:t>
      </w:r>
      <w:r>
        <w:t>power</w:t>
      </w:r>
      <w:r w:rsidR="00C64050">
        <w:t xml:space="preserve"> </w:t>
      </w:r>
      <w:r>
        <w:t>is</w:t>
      </w:r>
      <w:r w:rsidR="00C64050">
        <w:t xml:space="preserve"> </w:t>
      </w:r>
      <w:r>
        <w:t>presently</w:t>
      </w:r>
      <w:r w:rsidR="00C64050">
        <w:t xml:space="preserve"> </w:t>
      </w:r>
      <w:r>
        <w:t>exercisable</w:t>
      </w:r>
      <w:r w:rsidR="00C64050">
        <w:t xml:space="preserve"> </w:t>
      </w:r>
      <w:r>
        <w:t>(whether</w:t>
      </w:r>
      <w:r w:rsidR="00C64050">
        <w:t xml:space="preserve"> </w:t>
      </w:r>
      <w:r>
        <w:t>or</w:t>
      </w:r>
      <w:r w:rsidR="00C64050">
        <w:t xml:space="preserve"> </w:t>
      </w:r>
      <w:r>
        <w:t>not</w:t>
      </w:r>
      <w:r w:rsidR="00C64050">
        <w:t xml:space="preserve"> </w:t>
      </w:r>
      <w:r>
        <w:t>actually</w:t>
      </w:r>
      <w:r w:rsidR="00C64050">
        <w:t xml:space="preserve"> </w:t>
      </w:r>
      <w:r>
        <w:t>exercised),</w:t>
      </w:r>
      <w:r w:rsidR="00C64050">
        <w:t xml:space="preserve"> </w:t>
      </w:r>
      <w:r>
        <w:t>and</w:t>
      </w:r>
      <w:r w:rsidR="00C64050">
        <w:t xml:space="preserve"> </w:t>
      </w:r>
      <w:r>
        <w:t>(2)</w:t>
      </w:r>
      <w:r w:rsidR="00C64050">
        <w:t xml:space="preserve"> </w:t>
      </w:r>
      <w:r>
        <w:t>a</w:t>
      </w:r>
      <w:r w:rsidR="00C64050">
        <w:t xml:space="preserve"> </w:t>
      </w:r>
      <w:r>
        <w:t>creditor</w:t>
      </w:r>
      <w:r w:rsidR="00C64050">
        <w:t xml:space="preserve"> </w:t>
      </w:r>
      <w:r>
        <w:t>of</w:t>
      </w:r>
      <w:r w:rsidR="00C64050">
        <w:t xml:space="preserve"> </w:t>
      </w:r>
      <w:r>
        <w:t>the</w:t>
      </w:r>
      <w:r w:rsidR="00C64050">
        <w:t xml:space="preserve"> </w:t>
      </w:r>
      <w:r>
        <w:t>powerholder’s</w:t>
      </w:r>
      <w:r w:rsidR="00C64050">
        <w:t xml:space="preserve"> </w:t>
      </w:r>
      <w:r>
        <w:t>estate,</w:t>
      </w:r>
      <w:r w:rsidR="00C64050">
        <w:t xml:space="preserve"> </w:t>
      </w:r>
      <w:r>
        <w:t>to</w:t>
      </w:r>
      <w:r w:rsidR="00C64050">
        <w:t xml:space="preserve"> </w:t>
      </w:r>
      <w:r>
        <w:t>the</w:t>
      </w:r>
      <w:r w:rsidR="00C64050">
        <w:t xml:space="preserve"> </w:t>
      </w:r>
      <w:r>
        <w:t>extent</w:t>
      </w:r>
      <w:r w:rsidR="00C64050">
        <w:t xml:space="preserve"> </w:t>
      </w:r>
      <w:r>
        <w:t>the</w:t>
      </w:r>
      <w:r w:rsidR="00C64050">
        <w:t xml:space="preserve"> </w:t>
      </w:r>
      <w:r>
        <w:t>estate</w:t>
      </w:r>
      <w:r w:rsidR="00C64050">
        <w:t xml:space="preserve"> </w:t>
      </w:r>
      <w:r>
        <w:t>is</w:t>
      </w:r>
      <w:r w:rsidR="00C64050">
        <w:t xml:space="preserve"> </w:t>
      </w:r>
      <w:r>
        <w:t>insufficient,</w:t>
      </w:r>
      <w:r w:rsidR="00C64050">
        <w:t xml:space="preserve"> </w:t>
      </w:r>
      <w:r>
        <w:t>subject</w:t>
      </w:r>
      <w:r w:rsidR="00C64050">
        <w:t xml:space="preserve"> </w:t>
      </w:r>
      <w:r>
        <w:t>to</w:t>
      </w:r>
      <w:r w:rsidR="00C64050">
        <w:t xml:space="preserve"> </w:t>
      </w:r>
      <w:r>
        <w:t>the</w:t>
      </w:r>
      <w:r w:rsidR="00C64050">
        <w:t xml:space="preserve"> </w:t>
      </w:r>
      <w:r>
        <w:t>right</w:t>
      </w:r>
      <w:r w:rsidR="00C64050">
        <w:t xml:space="preserve"> </w:t>
      </w:r>
      <w:r>
        <w:t>of</w:t>
      </w:r>
      <w:r w:rsidR="00C64050">
        <w:t xml:space="preserve"> </w:t>
      </w:r>
      <w:r>
        <w:t>a</w:t>
      </w:r>
      <w:r w:rsidR="00C64050">
        <w:t xml:space="preserve"> </w:t>
      </w:r>
      <w:r>
        <w:t>decedent</w:t>
      </w:r>
      <w:r w:rsidR="00C64050">
        <w:t xml:space="preserve"> </w:t>
      </w:r>
      <w:r>
        <w:t>to</w:t>
      </w:r>
      <w:r w:rsidR="00C64050">
        <w:t xml:space="preserve"> </w:t>
      </w:r>
      <w:r>
        <w:t>direct</w:t>
      </w:r>
      <w:r w:rsidR="00C64050">
        <w:t xml:space="preserve"> </w:t>
      </w:r>
      <w:r>
        <w:t>the</w:t>
      </w:r>
      <w:r w:rsidR="00C64050">
        <w:t xml:space="preserve"> </w:t>
      </w:r>
      <w:r>
        <w:t>source</w:t>
      </w:r>
      <w:r w:rsidR="00C64050">
        <w:t xml:space="preserve"> </w:t>
      </w:r>
      <w:r>
        <w:t>from</w:t>
      </w:r>
      <w:r w:rsidR="00C64050">
        <w:t xml:space="preserve"> </w:t>
      </w:r>
      <w:r>
        <w:t>which</w:t>
      </w:r>
      <w:r w:rsidR="00C64050">
        <w:t xml:space="preserve"> </w:t>
      </w:r>
      <w:r>
        <w:t>liabilities</w:t>
      </w:r>
      <w:r w:rsidR="00C64050">
        <w:t xml:space="preserve"> </w:t>
      </w:r>
      <w:r>
        <w:t>are</w:t>
      </w:r>
      <w:r w:rsidR="00C64050">
        <w:t xml:space="preserve"> </w:t>
      </w:r>
      <w:r>
        <w:t>paid.</w:t>
      </w:r>
      <w:r w:rsidR="00C64050">
        <w:t xml:space="preserve"> </w:t>
      </w:r>
      <w:r>
        <w:t>See</w:t>
      </w:r>
      <w:r w:rsidR="00C64050">
        <w:t xml:space="preserve"> </w:t>
      </w:r>
      <w:r>
        <w:t>Uniform</w:t>
      </w:r>
      <w:r w:rsidR="00C64050">
        <w:t xml:space="preserve"> </w:t>
      </w:r>
      <w:r>
        <w:t>Act</w:t>
      </w:r>
      <w:r w:rsidR="00C64050">
        <w:t xml:space="preserve"> </w:t>
      </w:r>
      <w:r>
        <w:t>§502.</w:t>
      </w:r>
      <w:r w:rsidR="00C64050">
        <w:t xml:space="preserve"> </w:t>
      </w:r>
      <w:r>
        <w:t>If</w:t>
      </w:r>
      <w:r w:rsidR="00C64050">
        <w:t xml:space="preserve"> </w:t>
      </w:r>
      <w:r>
        <w:t>the</w:t>
      </w:r>
      <w:r w:rsidR="00C64050">
        <w:t xml:space="preserve"> </w:t>
      </w:r>
      <w:r>
        <w:t>power</w:t>
      </w:r>
      <w:r w:rsidR="00C64050">
        <w:t xml:space="preserve"> </w:t>
      </w:r>
      <w:r>
        <w:t>is</w:t>
      </w:r>
      <w:r w:rsidR="00C64050">
        <w:t xml:space="preserve"> </w:t>
      </w:r>
      <w:r>
        <w:t>nongeneral,</w:t>
      </w:r>
      <w:r w:rsidR="00C64050">
        <w:t xml:space="preserve"> </w:t>
      </w:r>
      <w:r>
        <w:t>the</w:t>
      </w:r>
      <w:r w:rsidR="00C64050">
        <w:t xml:space="preserve"> </w:t>
      </w:r>
      <w:r>
        <w:t>general</w:t>
      </w:r>
      <w:r w:rsidR="00C64050">
        <w:t xml:space="preserve"> </w:t>
      </w:r>
      <w:r>
        <w:t>rule</w:t>
      </w:r>
      <w:r w:rsidR="00C64050">
        <w:t xml:space="preserve"> </w:t>
      </w:r>
      <w:r>
        <w:t>is</w:t>
      </w:r>
      <w:r w:rsidR="00C64050">
        <w:t xml:space="preserve"> </w:t>
      </w:r>
      <w:r>
        <w:t>that</w:t>
      </w:r>
      <w:r w:rsidR="00C64050">
        <w:t xml:space="preserve"> </w:t>
      </w:r>
      <w:r>
        <w:t>creditors</w:t>
      </w:r>
      <w:r w:rsidR="00C64050">
        <w:t xml:space="preserve"> </w:t>
      </w:r>
      <w:r>
        <w:t>have</w:t>
      </w:r>
      <w:r w:rsidR="00C64050">
        <w:t xml:space="preserve"> </w:t>
      </w:r>
      <w:r>
        <w:t>no</w:t>
      </w:r>
      <w:r w:rsidR="00C64050">
        <w:t xml:space="preserve"> </w:t>
      </w:r>
      <w:r>
        <w:t>rights</w:t>
      </w:r>
      <w:r w:rsidR="00C64050">
        <w:t xml:space="preserve"> </w:t>
      </w:r>
      <w:r>
        <w:t>in</w:t>
      </w:r>
      <w:r w:rsidR="00C64050">
        <w:t xml:space="preserve"> </w:t>
      </w:r>
      <w:r>
        <w:t>the</w:t>
      </w:r>
      <w:r w:rsidR="00C64050">
        <w:t xml:space="preserve"> </w:t>
      </w:r>
      <w:r>
        <w:t>appointive</w:t>
      </w:r>
      <w:r w:rsidR="00C64050">
        <w:t xml:space="preserve"> </w:t>
      </w:r>
      <w:r>
        <w:t>property.</w:t>
      </w:r>
      <w:r w:rsidR="00C64050">
        <w:t xml:space="preserve"> </w:t>
      </w:r>
      <w:r>
        <w:t>See</w:t>
      </w:r>
      <w:r w:rsidR="00C64050">
        <w:t xml:space="preserve"> </w:t>
      </w:r>
      <w:r>
        <w:t>Uniform</w:t>
      </w:r>
      <w:r w:rsidR="00C64050">
        <w:t xml:space="preserve"> </w:t>
      </w:r>
      <w:r>
        <w:t>Act</w:t>
      </w:r>
      <w:r w:rsidR="00C64050">
        <w:t xml:space="preserve"> </w:t>
      </w:r>
      <w:r>
        <w:t>§504(a).</w:t>
      </w:r>
      <w:r w:rsidR="00C64050">
        <w:t xml:space="preserve">  </w:t>
      </w:r>
      <w:r w:rsidR="00702A5D">
        <w:t>Some</w:t>
      </w:r>
      <w:r w:rsidR="00C64050">
        <w:t xml:space="preserve"> </w:t>
      </w:r>
      <w:r w:rsidR="00702A5D">
        <w:t>states</w:t>
      </w:r>
      <w:r w:rsidR="00C64050">
        <w:t xml:space="preserve"> </w:t>
      </w:r>
      <w:r w:rsidR="007065B0">
        <w:t>(including</w:t>
      </w:r>
      <w:r w:rsidR="00C64050">
        <w:t xml:space="preserve"> </w:t>
      </w:r>
      <w:r w:rsidR="007065B0">
        <w:t>Kentucky)</w:t>
      </w:r>
      <w:r w:rsidR="00C64050">
        <w:t xml:space="preserve"> </w:t>
      </w:r>
      <w:r w:rsidR="00702A5D">
        <w:t>have</w:t>
      </w:r>
      <w:r w:rsidR="00C64050">
        <w:t xml:space="preserve"> </w:t>
      </w:r>
      <w:r w:rsidR="00702A5D">
        <w:t>reversed</w:t>
      </w:r>
      <w:r w:rsidR="00C64050">
        <w:t xml:space="preserve"> </w:t>
      </w:r>
      <w:r w:rsidR="00702A5D">
        <w:t>this</w:t>
      </w:r>
      <w:r w:rsidR="00C64050">
        <w:t xml:space="preserve"> </w:t>
      </w:r>
      <w:r w:rsidR="00702A5D">
        <w:t>rule</w:t>
      </w:r>
      <w:r w:rsidR="00C64050">
        <w:t xml:space="preserve"> </w:t>
      </w:r>
      <w:r w:rsidR="00702A5D">
        <w:t>when</w:t>
      </w:r>
      <w:r w:rsidR="00C64050">
        <w:t xml:space="preserve"> </w:t>
      </w:r>
      <w:r w:rsidR="00702A5D">
        <w:t>adopting</w:t>
      </w:r>
      <w:r w:rsidR="00C64050">
        <w:t xml:space="preserve"> </w:t>
      </w:r>
      <w:r w:rsidR="00702A5D">
        <w:t>the</w:t>
      </w:r>
      <w:r w:rsidR="00C64050">
        <w:t xml:space="preserve"> </w:t>
      </w:r>
      <w:r w:rsidR="00702A5D">
        <w:t>act.</w:t>
      </w:r>
    </w:p>
    <w:p w:rsidR="003C3A1A" w:rsidRDefault="00C83382" w:rsidP="00C83382">
      <w:pPr>
        <w:pStyle w:val="LFLevel3"/>
        <w:ind w:left="0" w:firstLine="1440"/>
      </w:pPr>
      <w:r w:rsidRPr="003C3A1A">
        <w:rPr>
          <w:u w:val="single"/>
        </w:rPr>
        <w:t>Power</w:t>
      </w:r>
      <w:r w:rsidR="00C64050">
        <w:rPr>
          <w:u w:val="single"/>
        </w:rPr>
        <w:t xml:space="preserve"> </w:t>
      </w:r>
      <w:r w:rsidRPr="003C3A1A">
        <w:rPr>
          <w:u w:val="single"/>
        </w:rPr>
        <w:t>of</w:t>
      </w:r>
      <w:r w:rsidR="00C64050">
        <w:rPr>
          <w:u w:val="single"/>
        </w:rPr>
        <w:t xml:space="preserve"> </w:t>
      </w:r>
      <w:r w:rsidRPr="003C3A1A">
        <w:rPr>
          <w:u w:val="single"/>
        </w:rPr>
        <w:t>Appointment</w:t>
      </w:r>
      <w:r w:rsidR="00C64050">
        <w:rPr>
          <w:u w:val="single"/>
        </w:rPr>
        <w:t xml:space="preserve"> </w:t>
      </w:r>
      <w:r w:rsidRPr="003C3A1A">
        <w:rPr>
          <w:u w:val="single"/>
        </w:rPr>
        <w:t>Not</w:t>
      </w:r>
      <w:r w:rsidR="00C64050">
        <w:rPr>
          <w:u w:val="single"/>
        </w:rPr>
        <w:t xml:space="preserve"> </w:t>
      </w:r>
      <w:r w:rsidRPr="003C3A1A">
        <w:rPr>
          <w:u w:val="single"/>
        </w:rPr>
        <w:t>Subject</w:t>
      </w:r>
      <w:r w:rsidR="00C64050">
        <w:rPr>
          <w:u w:val="single"/>
        </w:rPr>
        <w:t xml:space="preserve"> </w:t>
      </w:r>
      <w:r w:rsidRPr="003C3A1A">
        <w:rPr>
          <w:u w:val="single"/>
        </w:rPr>
        <w:t>to</w:t>
      </w:r>
      <w:r w:rsidR="00C64050">
        <w:rPr>
          <w:u w:val="single"/>
        </w:rPr>
        <w:t xml:space="preserve"> </w:t>
      </w:r>
      <w:r w:rsidRPr="003C3A1A">
        <w:rPr>
          <w:u w:val="single"/>
        </w:rPr>
        <w:t>Fiduciary</w:t>
      </w:r>
      <w:r w:rsidR="00C64050">
        <w:rPr>
          <w:u w:val="single"/>
        </w:rPr>
        <w:t xml:space="preserve"> </w:t>
      </w:r>
      <w:r w:rsidRPr="003C3A1A">
        <w:rPr>
          <w:u w:val="single"/>
        </w:rPr>
        <w:t>Standard.</w:t>
      </w:r>
      <w:r w:rsidR="00C64050">
        <w:t xml:space="preserve">  </w:t>
      </w:r>
      <w:r>
        <w:t>In</w:t>
      </w:r>
      <w:r w:rsidR="00C64050">
        <w:t xml:space="preserve"> </w:t>
      </w:r>
      <w:r w:rsidRPr="003C3A1A">
        <w:rPr>
          <w:u w:val="single"/>
        </w:rPr>
        <w:t>In</w:t>
      </w:r>
      <w:r w:rsidR="00C64050">
        <w:rPr>
          <w:u w:val="single"/>
        </w:rPr>
        <w:t xml:space="preserve"> </w:t>
      </w:r>
      <w:r w:rsidRPr="003C3A1A">
        <w:rPr>
          <w:u w:val="single"/>
        </w:rPr>
        <w:t>re</w:t>
      </w:r>
      <w:r w:rsidR="00C64050">
        <w:rPr>
          <w:u w:val="single"/>
        </w:rPr>
        <w:t xml:space="preserve"> </w:t>
      </w:r>
      <w:r w:rsidRPr="003C3A1A">
        <w:rPr>
          <w:u w:val="single"/>
        </w:rPr>
        <w:t>Estate</w:t>
      </w:r>
      <w:r w:rsidR="00C64050">
        <w:rPr>
          <w:u w:val="single"/>
        </w:rPr>
        <w:t xml:space="preserve"> </w:t>
      </w:r>
      <w:r w:rsidRPr="003C3A1A">
        <w:rPr>
          <w:u w:val="single"/>
        </w:rPr>
        <w:t>of</w:t>
      </w:r>
      <w:r w:rsidR="00C64050">
        <w:rPr>
          <w:u w:val="single"/>
        </w:rPr>
        <w:t xml:space="preserve"> </w:t>
      </w:r>
      <w:r w:rsidRPr="003C3A1A">
        <w:rPr>
          <w:u w:val="single"/>
        </w:rPr>
        <w:t>Zucker</w:t>
      </w:r>
      <w:r>
        <w:t>,</w:t>
      </w:r>
      <w:r w:rsidR="00C64050">
        <w:t xml:space="preserve"> </w:t>
      </w:r>
      <w:r>
        <w:t>2015</w:t>
      </w:r>
      <w:r w:rsidR="00C64050">
        <w:t xml:space="preserve"> </w:t>
      </w:r>
      <w:r>
        <w:t>WL</w:t>
      </w:r>
      <w:r w:rsidR="00C64050">
        <w:t xml:space="preserve"> </w:t>
      </w:r>
      <w:r>
        <w:t>5254061</w:t>
      </w:r>
      <w:r w:rsidR="00C64050">
        <w:t xml:space="preserve"> </w:t>
      </w:r>
      <w:r>
        <w:t>(Pa.</w:t>
      </w:r>
      <w:r w:rsidR="00C64050">
        <w:t xml:space="preserve"> </w:t>
      </w:r>
      <w:r>
        <w:t>Superior</w:t>
      </w:r>
      <w:r w:rsidR="00C64050">
        <w:t xml:space="preserve"> </w:t>
      </w:r>
      <w:r>
        <w:t>Ct.</w:t>
      </w:r>
      <w:r w:rsidR="00C64050">
        <w:t xml:space="preserve"> </w:t>
      </w:r>
      <w:r>
        <w:t>2015),</w:t>
      </w:r>
      <w:r w:rsidR="00C64050">
        <w:t xml:space="preserve"> </w:t>
      </w:r>
      <w:r>
        <w:t>decedent’s</w:t>
      </w:r>
      <w:r w:rsidR="00C64050">
        <w:t xml:space="preserve"> </w:t>
      </w:r>
      <w:r>
        <w:t>wife,</w:t>
      </w:r>
      <w:r w:rsidR="00C64050">
        <w:t xml:space="preserve"> </w:t>
      </w:r>
      <w:r>
        <w:t>Syma,</w:t>
      </w:r>
      <w:r w:rsidR="00C64050">
        <w:t xml:space="preserve"> </w:t>
      </w:r>
      <w:r>
        <w:t>exercised</w:t>
      </w:r>
      <w:r w:rsidR="00C64050">
        <w:t xml:space="preserve"> </w:t>
      </w:r>
      <w:r>
        <w:t>a</w:t>
      </w:r>
      <w:r w:rsidR="00C64050">
        <w:t xml:space="preserve"> </w:t>
      </w:r>
      <w:r>
        <w:t>power</w:t>
      </w:r>
      <w:r w:rsidR="00C64050">
        <w:t xml:space="preserve"> </w:t>
      </w:r>
      <w:r>
        <w:t>of</w:t>
      </w:r>
      <w:r w:rsidR="00C64050">
        <w:t xml:space="preserve"> </w:t>
      </w:r>
      <w:r>
        <w:t>appointment</w:t>
      </w:r>
      <w:r w:rsidR="00C64050">
        <w:t xml:space="preserve"> </w:t>
      </w:r>
      <w:r>
        <w:t>in</w:t>
      </w:r>
      <w:r w:rsidR="00C64050">
        <w:t xml:space="preserve"> </w:t>
      </w:r>
      <w:r>
        <w:t>favor</w:t>
      </w:r>
      <w:r w:rsidR="00C64050">
        <w:t xml:space="preserve"> </w:t>
      </w:r>
      <w:r>
        <w:t>of</w:t>
      </w:r>
      <w:r w:rsidR="00C64050">
        <w:t xml:space="preserve"> </w:t>
      </w:r>
      <w:r>
        <w:t>two</w:t>
      </w:r>
      <w:r w:rsidR="00C64050">
        <w:t xml:space="preserve"> </w:t>
      </w:r>
      <w:r>
        <w:t>of</w:t>
      </w:r>
      <w:r w:rsidR="00C64050">
        <w:t xml:space="preserve"> </w:t>
      </w:r>
      <w:r>
        <w:t>three</w:t>
      </w:r>
      <w:r w:rsidR="00C64050">
        <w:t xml:space="preserve"> </w:t>
      </w:r>
      <w:r>
        <w:t>children</w:t>
      </w:r>
      <w:r w:rsidR="003C3A1A">
        <w:t>.</w:t>
      </w:r>
      <w:r w:rsidR="00C64050">
        <w:t xml:space="preserve">  </w:t>
      </w:r>
      <w:r w:rsidR="003C3A1A">
        <w:t>The</w:t>
      </w:r>
      <w:r w:rsidR="00C64050">
        <w:t xml:space="preserve"> </w:t>
      </w:r>
      <w:r w:rsidR="003C3A1A">
        <w:t>third,</w:t>
      </w:r>
      <w:r w:rsidR="00C64050">
        <w:t xml:space="preserve"> </w:t>
      </w:r>
      <w:r w:rsidR="003C3A1A">
        <w:t>Wendy,</w:t>
      </w:r>
      <w:r w:rsidR="00C64050">
        <w:t xml:space="preserve"> </w:t>
      </w:r>
      <w:r w:rsidR="003C3A1A">
        <w:t>objected</w:t>
      </w:r>
      <w:r w:rsidR="00C64050">
        <w:t xml:space="preserve"> </w:t>
      </w:r>
      <w:r w:rsidR="003C3A1A">
        <w:t>claiming:</w:t>
      </w:r>
    </w:p>
    <w:p w:rsidR="00C83382" w:rsidRDefault="00C83382" w:rsidP="003C3A1A">
      <w:pPr>
        <w:pStyle w:val="QS10"/>
      </w:pPr>
      <w:r w:rsidRPr="004128CA">
        <w:t>Wendy</w:t>
      </w:r>
      <w:r w:rsidR="00C64050">
        <w:t xml:space="preserve"> </w:t>
      </w:r>
      <w:r w:rsidRPr="004128CA">
        <w:t>alleged</w:t>
      </w:r>
      <w:r w:rsidR="00C64050">
        <w:t xml:space="preserve"> </w:t>
      </w:r>
      <w:r w:rsidRPr="004128CA">
        <w:t>that</w:t>
      </w:r>
      <w:r w:rsidR="00C64050">
        <w:t xml:space="preserve"> </w:t>
      </w:r>
      <w:r w:rsidRPr="004128CA">
        <w:t>Syma's</w:t>
      </w:r>
      <w:r w:rsidR="00C64050">
        <w:t xml:space="preserve"> </w:t>
      </w:r>
      <w:r w:rsidRPr="004128CA">
        <w:t>appointment</w:t>
      </w:r>
      <w:r w:rsidR="00C64050">
        <w:t xml:space="preserve"> </w:t>
      </w:r>
      <w:r w:rsidRPr="004128CA">
        <w:t>was</w:t>
      </w:r>
      <w:r w:rsidR="00C64050">
        <w:t xml:space="preserve"> </w:t>
      </w:r>
      <w:r w:rsidRPr="004128CA">
        <w:t>not</w:t>
      </w:r>
      <w:r w:rsidR="00C64050">
        <w:t xml:space="preserve"> </w:t>
      </w:r>
      <w:r w:rsidRPr="004128CA">
        <w:t>a</w:t>
      </w:r>
      <w:r w:rsidR="00C64050">
        <w:t xml:space="preserve"> </w:t>
      </w:r>
      <w:r w:rsidRPr="004128CA">
        <w:t>proper</w:t>
      </w:r>
      <w:r w:rsidR="00C64050">
        <w:t xml:space="preserve"> </w:t>
      </w:r>
      <w:r w:rsidRPr="004128CA">
        <w:t>exercise</w:t>
      </w:r>
      <w:r w:rsidR="00C64050">
        <w:t xml:space="preserve"> </w:t>
      </w:r>
      <w:r w:rsidRPr="004128CA">
        <w:t>of</w:t>
      </w:r>
      <w:r w:rsidR="00C64050">
        <w:t xml:space="preserve"> </w:t>
      </w:r>
      <w:r w:rsidRPr="004128CA">
        <w:t>the</w:t>
      </w:r>
      <w:r w:rsidR="00C64050">
        <w:t xml:space="preserve"> </w:t>
      </w:r>
      <w:r w:rsidRPr="004128CA">
        <w:t>power</w:t>
      </w:r>
      <w:r w:rsidR="00C64050">
        <w:t xml:space="preserve"> </w:t>
      </w:r>
      <w:r w:rsidRPr="004128CA">
        <w:t>as</w:t>
      </w:r>
      <w:r w:rsidR="00C64050">
        <w:t xml:space="preserve"> </w:t>
      </w:r>
      <w:r w:rsidRPr="004128CA">
        <w:t>it</w:t>
      </w:r>
      <w:r w:rsidR="00C64050">
        <w:t xml:space="preserve"> </w:t>
      </w:r>
      <w:r w:rsidRPr="004128CA">
        <w:t>was</w:t>
      </w:r>
      <w:r w:rsidR="00C64050">
        <w:t xml:space="preserve"> </w:t>
      </w:r>
      <w:r w:rsidRPr="004128CA">
        <w:t>done</w:t>
      </w:r>
      <w:r w:rsidR="00C64050">
        <w:t xml:space="preserve"> </w:t>
      </w:r>
      <w:r w:rsidRPr="004128CA">
        <w:t>“in</w:t>
      </w:r>
      <w:r w:rsidR="00C64050">
        <w:t xml:space="preserve"> </w:t>
      </w:r>
      <w:r w:rsidRPr="004128CA">
        <w:t>bad</w:t>
      </w:r>
      <w:r w:rsidR="00C64050">
        <w:t xml:space="preserve"> </w:t>
      </w:r>
      <w:r w:rsidRPr="004128CA">
        <w:t>faith,</w:t>
      </w:r>
      <w:r w:rsidR="00C64050">
        <w:t xml:space="preserve"> </w:t>
      </w:r>
      <w:r w:rsidRPr="004128CA">
        <w:t>based</w:t>
      </w:r>
      <w:r w:rsidR="00C64050">
        <w:t xml:space="preserve"> </w:t>
      </w:r>
      <w:r w:rsidRPr="004128CA">
        <w:t>on</w:t>
      </w:r>
      <w:r w:rsidR="00C64050">
        <w:t xml:space="preserve"> </w:t>
      </w:r>
      <w:r w:rsidRPr="004128CA">
        <w:t>hate</w:t>
      </w:r>
      <w:r w:rsidR="00C64050">
        <w:t xml:space="preserve"> </w:t>
      </w:r>
      <w:r w:rsidRPr="004128CA">
        <w:t>and</w:t>
      </w:r>
      <w:r w:rsidR="00C64050">
        <w:t xml:space="preserve"> </w:t>
      </w:r>
      <w:r w:rsidRPr="004128CA">
        <w:t>malice</w:t>
      </w:r>
      <w:r w:rsidR="00C64050">
        <w:t xml:space="preserve"> </w:t>
      </w:r>
      <w:r w:rsidRPr="004128CA">
        <w:t>toward</w:t>
      </w:r>
      <w:r w:rsidR="00C64050">
        <w:t xml:space="preserve"> </w:t>
      </w:r>
      <w:r w:rsidRPr="004128CA">
        <w:t>Wendy,</w:t>
      </w:r>
      <w:r w:rsidR="00C64050">
        <w:t xml:space="preserve"> </w:t>
      </w:r>
      <w:r w:rsidRPr="004128CA">
        <w:t>contrary</w:t>
      </w:r>
      <w:r w:rsidR="00C64050">
        <w:t xml:space="preserve"> </w:t>
      </w:r>
      <w:r w:rsidRPr="004128CA">
        <w:t>to</w:t>
      </w:r>
      <w:r w:rsidR="00C64050">
        <w:t xml:space="preserve"> </w:t>
      </w:r>
      <w:r w:rsidRPr="004128CA">
        <w:t>[the</w:t>
      </w:r>
      <w:r w:rsidR="00C64050">
        <w:t xml:space="preserve"> </w:t>
      </w:r>
      <w:r w:rsidRPr="004128CA">
        <w:t>Decedent's]</w:t>
      </w:r>
      <w:r w:rsidR="00C64050">
        <w:t xml:space="preserve"> </w:t>
      </w:r>
      <w:r w:rsidRPr="004128CA">
        <w:t>intent</w:t>
      </w:r>
      <w:r w:rsidR="00C64050">
        <w:t xml:space="preserve"> </w:t>
      </w:r>
      <w:r w:rsidRPr="004128CA">
        <w:t>to</w:t>
      </w:r>
      <w:r w:rsidR="00C64050">
        <w:t xml:space="preserve"> </w:t>
      </w:r>
      <w:r w:rsidRPr="004128CA">
        <w:t>benefit</w:t>
      </w:r>
      <w:r w:rsidR="00C64050">
        <w:t xml:space="preserve"> </w:t>
      </w:r>
      <w:r w:rsidRPr="004128CA">
        <w:t>his</w:t>
      </w:r>
      <w:r w:rsidR="00C64050">
        <w:t xml:space="preserve"> </w:t>
      </w:r>
      <w:r w:rsidRPr="004128CA">
        <w:t>issue</w:t>
      </w:r>
      <w:r w:rsidR="00C64050">
        <w:t xml:space="preserve"> </w:t>
      </w:r>
      <w:r w:rsidRPr="004128CA">
        <w:t>equally</w:t>
      </w:r>
      <w:r w:rsidR="00C64050">
        <w:t xml:space="preserve"> </w:t>
      </w:r>
      <w:r w:rsidRPr="004128CA">
        <w:t>(absent</w:t>
      </w:r>
      <w:r w:rsidR="00C64050">
        <w:t xml:space="preserve"> </w:t>
      </w:r>
      <w:r w:rsidRPr="004128CA">
        <w:t>a</w:t>
      </w:r>
      <w:r w:rsidR="00C64050">
        <w:t xml:space="preserve"> </w:t>
      </w:r>
      <w:r w:rsidRPr="004128CA">
        <w:t>good</w:t>
      </w:r>
      <w:r w:rsidR="00C64050">
        <w:t xml:space="preserve"> </w:t>
      </w:r>
      <w:r w:rsidRPr="004128CA">
        <w:t>faith</w:t>
      </w:r>
      <w:r w:rsidR="00C64050">
        <w:t xml:space="preserve"> </w:t>
      </w:r>
      <w:r w:rsidRPr="004128CA">
        <w:t>reason</w:t>
      </w:r>
      <w:r w:rsidR="00C64050">
        <w:t xml:space="preserve"> </w:t>
      </w:r>
      <w:r w:rsidRPr="004128CA">
        <w:t>to</w:t>
      </w:r>
      <w:r w:rsidR="00C64050">
        <w:t xml:space="preserve"> </w:t>
      </w:r>
      <w:r w:rsidRPr="004128CA">
        <w:t>the</w:t>
      </w:r>
      <w:r w:rsidR="00C64050">
        <w:t xml:space="preserve"> </w:t>
      </w:r>
      <w:r w:rsidRPr="004128CA">
        <w:t>contrary)</w:t>
      </w:r>
      <w:r w:rsidR="00C64050">
        <w:t xml:space="preserve"> </w:t>
      </w:r>
      <w:r w:rsidRPr="004128CA">
        <w:t>and</w:t>
      </w:r>
      <w:r w:rsidR="00C64050">
        <w:t xml:space="preserve"> </w:t>
      </w:r>
      <w:r w:rsidRPr="004128CA">
        <w:t>the</w:t>
      </w:r>
      <w:r w:rsidR="00C64050">
        <w:t xml:space="preserve"> </w:t>
      </w:r>
      <w:r w:rsidRPr="004128CA">
        <w:t>duty</w:t>
      </w:r>
      <w:r w:rsidR="00C64050">
        <w:t xml:space="preserve"> </w:t>
      </w:r>
      <w:r w:rsidRPr="004128CA">
        <w:t>imposed</w:t>
      </w:r>
      <w:r w:rsidR="00C64050">
        <w:t xml:space="preserve"> </w:t>
      </w:r>
      <w:r w:rsidRPr="004128CA">
        <w:t>on</w:t>
      </w:r>
      <w:r w:rsidR="00C64050">
        <w:t xml:space="preserve"> </w:t>
      </w:r>
      <w:r w:rsidRPr="004128CA">
        <w:t>Syma</w:t>
      </w:r>
      <w:r w:rsidR="00C64050">
        <w:t xml:space="preserve"> </w:t>
      </w:r>
      <w:r w:rsidRPr="004128CA">
        <w:t>to</w:t>
      </w:r>
      <w:r w:rsidR="00C64050">
        <w:t xml:space="preserve"> </w:t>
      </w:r>
      <w:r w:rsidRPr="004128CA">
        <w:t>act</w:t>
      </w:r>
      <w:r w:rsidR="00C64050">
        <w:t xml:space="preserve"> </w:t>
      </w:r>
      <w:r w:rsidRPr="004128CA">
        <w:t>in</w:t>
      </w:r>
      <w:r w:rsidR="00C64050">
        <w:t xml:space="preserve"> </w:t>
      </w:r>
      <w:r w:rsidRPr="004128CA">
        <w:t>good</w:t>
      </w:r>
      <w:r w:rsidR="00C64050">
        <w:t xml:space="preserve"> </w:t>
      </w:r>
      <w:r w:rsidRPr="004128CA">
        <w:t>faith</w:t>
      </w:r>
      <w:r w:rsidR="00C64050">
        <w:t xml:space="preserve"> </w:t>
      </w:r>
      <w:r w:rsidRPr="004128CA">
        <w:t>when</w:t>
      </w:r>
      <w:r w:rsidR="00C64050">
        <w:t xml:space="preserve"> </w:t>
      </w:r>
      <w:r w:rsidRPr="004128CA">
        <w:t>exercising</w:t>
      </w:r>
      <w:r w:rsidR="00C64050">
        <w:t xml:space="preserve"> </w:t>
      </w:r>
      <w:r w:rsidRPr="004128CA">
        <w:t>a</w:t>
      </w:r>
      <w:r w:rsidR="00C64050">
        <w:t xml:space="preserve"> </w:t>
      </w:r>
      <w:r w:rsidRPr="004128CA">
        <w:t>testamentary</w:t>
      </w:r>
      <w:r w:rsidR="00C64050">
        <w:t xml:space="preserve"> </w:t>
      </w:r>
      <w:r w:rsidRPr="004128CA">
        <w:t>power</w:t>
      </w:r>
      <w:r w:rsidR="00C64050">
        <w:t xml:space="preserve"> </w:t>
      </w:r>
      <w:r w:rsidRPr="004128CA">
        <w:t>imposed</w:t>
      </w:r>
      <w:r w:rsidR="00C64050">
        <w:t xml:space="preserve"> </w:t>
      </w:r>
      <w:r w:rsidRPr="004128CA">
        <w:t>by</w:t>
      </w:r>
      <w:r w:rsidR="00C64050">
        <w:t xml:space="preserve"> </w:t>
      </w:r>
      <w:r w:rsidRPr="004128CA">
        <w:t>Pennsylvania</w:t>
      </w:r>
      <w:r w:rsidR="00C64050">
        <w:t xml:space="preserve"> </w:t>
      </w:r>
      <w:r w:rsidRPr="004128CA">
        <w:t>law.”</w:t>
      </w:r>
    </w:p>
    <w:p w:rsidR="00A32861" w:rsidRDefault="00A32861">
      <w:pPr>
        <w:rPr>
          <w:bCs w:val="0"/>
        </w:rPr>
      </w:pPr>
      <w:r>
        <w:br w:type="page"/>
      </w:r>
    </w:p>
    <w:p w:rsidR="00C83382" w:rsidRDefault="00C83382" w:rsidP="00C83382">
      <w:pPr>
        <w:pStyle w:val="Body15"/>
      </w:pPr>
      <w:r>
        <w:t>The</w:t>
      </w:r>
      <w:r w:rsidR="00C64050">
        <w:t xml:space="preserve"> </w:t>
      </w:r>
      <w:r>
        <w:t>court</w:t>
      </w:r>
      <w:r w:rsidR="00C64050">
        <w:t xml:space="preserve"> </w:t>
      </w:r>
      <w:r>
        <w:t>disagreed,</w:t>
      </w:r>
      <w:r w:rsidR="00C64050">
        <w:t xml:space="preserve"> </w:t>
      </w:r>
      <w:r>
        <w:t>declining</w:t>
      </w:r>
      <w:r w:rsidR="00C64050">
        <w:t xml:space="preserve"> </w:t>
      </w:r>
      <w:r>
        <w:t>even</w:t>
      </w:r>
      <w:r w:rsidR="00C64050">
        <w:t xml:space="preserve"> </w:t>
      </w:r>
      <w:r>
        <w:t>to</w:t>
      </w:r>
      <w:r w:rsidR="00C64050">
        <w:t xml:space="preserve"> </w:t>
      </w:r>
      <w:r>
        <w:t>impose</w:t>
      </w:r>
      <w:r w:rsidR="00C64050">
        <w:t xml:space="preserve"> </w:t>
      </w:r>
      <w:r>
        <w:t>a</w:t>
      </w:r>
      <w:r w:rsidR="00C64050">
        <w:t xml:space="preserve"> </w:t>
      </w:r>
      <w:r>
        <w:t>good</w:t>
      </w:r>
      <w:r w:rsidR="00C64050">
        <w:t xml:space="preserve"> </w:t>
      </w:r>
      <w:r>
        <w:t>faith</w:t>
      </w:r>
      <w:r w:rsidR="00C64050">
        <w:t xml:space="preserve"> </w:t>
      </w:r>
      <w:r>
        <w:t>standard.</w:t>
      </w:r>
      <w:r w:rsidR="00C64050">
        <w:t xml:space="preserve">  </w:t>
      </w:r>
      <w:r>
        <w:t>The</w:t>
      </w:r>
      <w:r w:rsidR="00C64050">
        <w:t xml:space="preserve"> </w:t>
      </w:r>
      <w:r>
        <w:t>opinion</w:t>
      </w:r>
      <w:r w:rsidR="00C64050">
        <w:t xml:space="preserve"> </w:t>
      </w:r>
      <w:r>
        <w:t>states:</w:t>
      </w:r>
    </w:p>
    <w:p w:rsidR="00C83382" w:rsidRDefault="00C83382" w:rsidP="00C83382">
      <w:pPr>
        <w:pStyle w:val="QS10"/>
      </w:pPr>
      <w:r w:rsidRPr="009B4D7B">
        <w:t>We</w:t>
      </w:r>
      <w:r w:rsidR="00C64050">
        <w:t xml:space="preserve"> </w:t>
      </w:r>
      <w:r w:rsidRPr="009B4D7B">
        <w:t>have</w:t>
      </w:r>
      <w:r w:rsidR="00C64050">
        <w:t xml:space="preserve"> </w:t>
      </w:r>
      <w:r w:rsidRPr="009B4D7B">
        <w:t>reviewed</w:t>
      </w:r>
      <w:r w:rsidR="00C64050">
        <w:t xml:space="preserve"> </w:t>
      </w:r>
      <w:r w:rsidRPr="009B4D7B">
        <w:t>the</w:t>
      </w:r>
      <w:r w:rsidR="00C64050">
        <w:t xml:space="preserve"> </w:t>
      </w:r>
      <w:r w:rsidRPr="009B4D7B">
        <w:t>language</w:t>
      </w:r>
      <w:r w:rsidR="00C64050">
        <w:t xml:space="preserve"> </w:t>
      </w:r>
      <w:r w:rsidRPr="009B4D7B">
        <w:t>contained</w:t>
      </w:r>
      <w:r w:rsidR="00C64050">
        <w:t xml:space="preserve"> </w:t>
      </w:r>
      <w:r w:rsidRPr="009B4D7B">
        <w:t>in</w:t>
      </w:r>
      <w:r w:rsidR="00C64050">
        <w:t xml:space="preserve"> </w:t>
      </w:r>
      <w:r w:rsidRPr="009B4D7B">
        <w:t>Decedent's</w:t>
      </w:r>
      <w:r w:rsidR="00C64050">
        <w:t xml:space="preserve"> </w:t>
      </w:r>
      <w:r w:rsidRPr="009B4D7B">
        <w:t>will</w:t>
      </w:r>
      <w:r w:rsidR="00C64050">
        <w:t xml:space="preserve"> </w:t>
      </w:r>
      <w:r w:rsidRPr="009B4D7B">
        <w:t>and</w:t>
      </w:r>
      <w:r w:rsidR="00C64050">
        <w:t xml:space="preserve"> </w:t>
      </w:r>
      <w:r w:rsidRPr="009B4D7B">
        <w:t>in</w:t>
      </w:r>
      <w:r w:rsidR="00C64050">
        <w:t xml:space="preserve"> </w:t>
      </w:r>
      <w:r w:rsidRPr="009B4D7B">
        <w:t>the</w:t>
      </w:r>
      <w:r w:rsidR="00C64050">
        <w:t xml:space="preserve"> </w:t>
      </w:r>
      <w:r w:rsidRPr="009B4D7B">
        <w:t>codicil</w:t>
      </w:r>
      <w:r w:rsidR="00C64050">
        <w:t xml:space="preserve"> </w:t>
      </w:r>
      <w:r w:rsidRPr="009B4D7B">
        <w:t>to</w:t>
      </w:r>
      <w:r w:rsidR="00C64050">
        <w:t xml:space="preserve"> </w:t>
      </w:r>
      <w:r w:rsidRPr="009B4D7B">
        <w:t>Syma's</w:t>
      </w:r>
      <w:r w:rsidR="00C64050">
        <w:t xml:space="preserve"> </w:t>
      </w:r>
      <w:r w:rsidRPr="009B4D7B">
        <w:t>will</w:t>
      </w:r>
      <w:r w:rsidR="00C64050">
        <w:t xml:space="preserve"> </w:t>
      </w:r>
      <w:r w:rsidRPr="009B4D7B">
        <w:t>in</w:t>
      </w:r>
      <w:r w:rsidR="00C64050">
        <w:t xml:space="preserve"> </w:t>
      </w:r>
      <w:r w:rsidRPr="009B4D7B">
        <w:t>which</w:t>
      </w:r>
      <w:r w:rsidR="00C64050">
        <w:t xml:space="preserve"> </w:t>
      </w:r>
      <w:r w:rsidRPr="009B4D7B">
        <w:t>she</w:t>
      </w:r>
      <w:r w:rsidR="00C64050">
        <w:t xml:space="preserve"> </w:t>
      </w:r>
      <w:r w:rsidRPr="009B4D7B">
        <w:t>directed</w:t>
      </w:r>
      <w:r w:rsidR="00C64050">
        <w:t xml:space="preserve"> </w:t>
      </w:r>
      <w:r w:rsidRPr="009B4D7B">
        <w:t>that</w:t>
      </w:r>
      <w:r w:rsidR="00C64050">
        <w:t xml:space="preserve"> </w:t>
      </w:r>
      <w:r w:rsidRPr="009B4D7B">
        <w:t>the</w:t>
      </w:r>
      <w:r w:rsidR="00C64050">
        <w:t xml:space="preserve"> </w:t>
      </w:r>
      <w:r w:rsidRPr="009B4D7B">
        <w:t>principal</w:t>
      </w:r>
      <w:r w:rsidR="00C64050">
        <w:t xml:space="preserve"> </w:t>
      </w:r>
      <w:r w:rsidRPr="009B4D7B">
        <w:t>contained</w:t>
      </w:r>
      <w:r w:rsidR="00C64050">
        <w:t xml:space="preserve"> </w:t>
      </w:r>
      <w:r w:rsidRPr="009B4D7B">
        <w:t>in</w:t>
      </w:r>
      <w:r w:rsidR="00C64050">
        <w:t xml:space="preserve"> </w:t>
      </w:r>
      <w:r w:rsidRPr="009B4D7B">
        <w:t>the</w:t>
      </w:r>
      <w:r w:rsidR="00C64050">
        <w:t xml:space="preserve"> </w:t>
      </w:r>
      <w:r w:rsidRPr="009B4D7B">
        <w:t>marital</w:t>
      </w:r>
      <w:r w:rsidR="00C64050">
        <w:t xml:space="preserve"> </w:t>
      </w:r>
      <w:r w:rsidRPr="009B4D7B">
        <w:t>trust</w:t>
      </w:r>
      <w:r w:rsidR="00C64050">
        <w:t xml:space="preserve"> </w:t>
      </w:r>
      <w:r w:rsidRPr="009B4D7B">
        <w:t>be</w:t>
      </w:r>
      <w:r w:rsidR="00C64050">
        <w:t xml:space="preserve"> </w:t>
      </w:r>
      <w:r w:rsidRPr="009B4D7B">
        <w:t>divided</w:t>
      </w:r>
      <w:r w:rsidR="00C64050">
        <w:t xml:space="preserve"> </w:t>
      </w:r>
      <w:r w:rsidRPr="009B4D7B">
        <w:t>into</w:t>
      </w:r>
      <w:r w:rsidR="00C64050">
        <w:t xml:space="preserve"> </w:t>
      </w:r>
      <w:r w:rsidRPr="009B4D7B">
        <w:t>two</w:t>
      </w:r>
      <w:r w:rsidR="00C64050">
        <w:t xml:space="preserve"> </w:t>
      </w:r>
      <w:r w:rsidRPr="009B4D7B">
        <w:t>trusts</w:t>
      </w:r>
      <w:r w:rsidR="00C64050">
        <w:t xml:space="preserve"> </w:t>
      </w:r>
      <w:r w:rsidRPr="009B4D7B">
        <w:t>for</w:t>
      </w:r>
      <w:r w:rsidR="00C64050">
        <w:t xml:space="preserve"> </w:t>
      </w:r>
      <w:r w:rsidRPr="009B4D7B">
        <w:t>the</w:t>
      </w:r>
      <w:r w:rsidR="00C64050">
        <w:t xml:space="preserve"> </w:t>
      </w:r>
      <w:r w:rsidRPr="009B4D7B">
        <w:t>benefit</w:t>
      </w:r>
      <w:r w:rsidR="00C64050">
        <w:t xml:space="preserve"> </w:t>
      </w:r>
      <w:r w:rsidRPr="009B4D7B">
        <w:t>of</w:t>
      </w:r>
      <w:r w:rsidR="00C64050">
        <w:t xml:space="preserve"> </w:t>
      </w:r>
      <w:r w:rsidRPr="009B4D7B">
        <w:t>Scott</w:t>
      </w:r>
      <w:r w:rsidR="00C64050">
        <w:t xml:space="preserve"> </w:t>
      </w:r>
      <w:r w:rsidRPr="009B4D7B">
        <w:t>and</w:t>
      </w:r>
      <w:r w:rsidR="00C64050">
        <w:t xml:space="preserve"> </w:t>
      </w:r>
      <w:r w:rsidRPr="009B4D7B">
        <w:t>Karyn</w:t>
      </w:r>
      <w:r w:rsidR="00C64050">
        <w:t xml:space="preserve"> </w:t>
      </w:r>
      <w:r w:rsidRPr="009B4D7B">
        <w:t>and</w:t>
      </w:r>
      <w:r w:rsidR="00C64050">
        <w:t xml:space="preserve"> </w:t>
      </w:r>
      <w:r w:rsidRPr="009B4D7B">
        <w:t>their</w:t>
      </w:r>
      <w:r w:rsidR="00C64050">
        <w:t xml:space="preserve"> </w:t>
      </w:r>
      <w:r w:rsidRPr="009B4D7B">
        <w:t>issue.</w:t>
      </w:r>
      <w:r w:rsidR="00C64050">
        <w:t xml:space="preserve"> </w:t>
      </w:r>
      <w:r w:rsidRPr="009B4D7B">
        <w:t>We</w:t>
      </w:r>
      <w:r w:rsidR="00C64050">
        <w:t xml:space="preserve"> </w:t>
      </w:r>
      <w:r w:rsidRPr="009B4D7B">
        <w:t>have</w:t>
      </w:r>
      <w:r w:rsidR="00C64050">
        <w:t xml:space="preserve"> </w:t>
      </w:r>
      <w:r w:rsidRPr="009B4D7B">
        <w:t>also</w:t>
      </w:r>
      <w:r w:rsidR="00C64050">
        <w:t xml:space="preserve"> </w:t>
      </w:r>
      <w:r w:rsidRPr="009B4D7B">
        <w:t>reviewed</w:t>
      </w:r>
      <w:r w:rsidR="00C64050">
        <w:t xml:space="preserve"> </w:t>
      </w:r>
      <w:r w:rsidRPr="009B4D7B">
        <w:t>the</w:t>
      </w:r>
      <w:r w:rsidR="00C64050">
        <w:t xml:space="preserve"> </w:t>
      </w:r>
      <w:r w:rsidRPr="009B4D7B">
        <w:t>case</w:t>
      </w:r>
      <w:r w:rsidR="00C64050">
        <w:t xml:space="preserve"> </w:t>
      </w:r>
      <w:r w:rsidRPr="009B4D7B">
        <w:t>law</w:t>
      </w:r>
      <w:r w:rsidR="00C64050">
        <w:t xml:space="preserve"> </w:t>
      </w:r>
      <w:r w:rsidRPr="009B4D7B">
        <w:t>provided</w:t>
      </w:r>
      <w:r w:rsidR="00C64050">
        <w:t xml:space="preserve"> </w:t>
      </w:r>
      <w:r w:rsidRPr="009B4D7B">
        <w:t>by</w:t>
      </w:r>
      <w:r w:rsidR="00C64050">
        <w:t xml:space="preserve"> </w:t>
      </w:r>
      <w:r w:rsidRPr="009B4D7B">
        <w:t>the</w:t>
      </w:r>
      <w:r w:rsidR="00C64050">
        <w:t xml:space="preserve"> </w:t>
      </w:r>
      <w:r w:rsidRPr="009B4D7B">
        <w:t>parties</w:t>
      </w:r>
      <w:r w:rsidR="00C64050">
        <w:t xml:space="preserve"> </w:t>
      </w:r>
      <w:r w:rsidRPr="009B4D7B">
        <w:t>and</w:t>
      </w:r>
      <w:r w:rsidR="00C64050">
        <w:t xml:space="preserve"> </w:t>
      </w:r>
      <w:r w:rsidRPr="009B4D7B">
        <w:t>the</w:t>
      </w:r>
      <w:r w:rsidR="00C64050">
        <w:t xml:space="preserve"> </w:t>
      </w:r>
      <w:r w:rsidRPr="009B4D7B">
        <w:t>orphans'</w:t>
      </w:r>
      <w:r w:rsidR="00C64050">
        <w:t xml:space="preserve"> </w:t>
      </w:r>
      <w:r w:rsidRPr="009B4D7B">
        <w:t>court.</w:t>
      </w:r>
      <w:r w:rsidR="00C64050">
        <w:t xml:space="preserve"> </w:t>
      </w:r>
      <w:r w:rsidRPr="009B4D7B">
        <w:t>We</w:t>
      </w:r>
      <w:r w:rsidR="00C64050">
        <w:t xml:space="preserve"> </w:t>
      </w:r>
      <w:r w:rsidRPr="009B4D7B">
        <w:t>conclude</w:t>
      </w:r>
      <w:r w:rsidR="00C64050">
        <w:t xml:space="preserve"> </w:t>
      </w:r>
      <w:r w:rsidRPr="009B4D7B">
        <w:t>that</w:t>
      </w:r>
      <w:r w:rsidR="00C64050">
        <w:t xml:space="preserve"> </w:t>
      </w:r>
      <w:r w:rsidRPr="009B4D7B">
        <w:t>none</w:t>
      </w:r>
      <w:r w:rsidR="00C64050">
        <w:t xml:space="preserve"> </w:t>
      </w:r>
      <w:r w:rsidRPr="009B4D7B">
        <w:t>of</w:t>
      </w:r>
      <w:r w:rsidR="00C64050">
        <w:t xml:space="preserve"> </w:t>
      </w:r>
      <w:r w:rsidRPr="009B4D7B">
        <w:t>the</w:t>
      </w:r>
      <w:r w:rsidR="00C64050">
        <w:t xml:space="preserve"> </w:t>
      </w:r>
      <w:r w:rsidRPr="009B4D7B">
        <w:t>cases,</w:t>
      </w:r>
      <w:r w:rsidR="00C64050">
        <w:t xml:space="preserve"> </w:t>
      </w:r>
      <w:r w:rsidRPr="009B4D7B">
        <w:t>in</w:t>
      </w:r>
      <w:r w:rsidR="00C64050">
        <w:t xml:space="preserve"> </w:t>
      </w:r>
      <w:r w:rsidRPr="009B4D7B">
        <w:t>which</w:t>
      </w:r>
      <w:r w:rsidR="00C64050">
        <w:t xml:space="preserve"> </w:t>
      </w:r>
      <w:r w:rsidRPr="009B4D7B">
        <w:t>challenges</w:t>
      </w:r>
      <w:r w:rsidR="00C64050">
        <w:t xml:space="preserve"> </w:t>
      </w:r>
      <w:r w:rsidRPr="009B4D7B">
        <w:t>to</w:t>
      </w:r>
      <w:r w:rsidR="00C64050">
        <w:t xml:space="preserve"> </w:t>
      </w:r>
      <w:r w:rsidRPr="009B4D7B">
        <w:t>the</w:t>
      </w:r>
      <w:r w:rsidR="00C64050">
        <w:t xml:space="preserve"> </w:t>
      </w:r>
      <w:r w:rsidRPr="009B4D7B">
        <w:t>exercise</w:t>
      </w:r>
      <w:r w:rsidR="00C64050">
        <w:t xml:space="preserve"> </w:t>
      </w:r>
      <w:r w:rsidRPr="009B4D7B">
        <w:t>of</w:t>
      </w:r>
      <w:r w:rsidR="00C64050">
        <w:t xml:space="preserve"> </w:t>
      </w:r>
      <w:r w:rsidRPr="009B4D7B">
        <w:t>the</w:t>
      </w:r>
      <w:r w:rsidR="00C64050">
        <w:t xml:space="preserve"> </w:t>
      </w:r>
      <w:r w:rsidRPr="009B4D7B">
        <w:t>power</w:t>
      </w:r>
      <w:r w:rsidR="00C64050">
        <w:t xml:space="preserve"> </w:t>
      </w:r>
      <w:r w:rsidRPr="009B4D7B">
        <w:t>of</w:t>
      </w:r>
      <w:r w:rsidR="00C64050">
        <w:t xml:space="preserve"> </w:t>
      </w:r>
      <w:r w:rsidRPr="009B4D7B">
        <w:t>appointment</w:t>
      </w:r>
      <w:r w:rsidR="00C64050">
        <w:t xml:space="preserve"> </w:t>
      </w:r>
      <w:r w:rsidRPr="009B4D7B">
        <w:t>were</w:t>
      </w:r>
      <w:r w:rsidR="00C64050">
        <w:t xml:space="preserve"> </w:t>
      </w:r>
      <w:r w:rsidRPr="009B4D7B">
        <w:t>raised,</w:t>
      </w:r>
      <w:r w:rsidR="00C64050">
        <w:t xml:space="preserve"> </w:t>
      </w:r>
      <w:r w:rsidRPr="009B4D7B">
        <w:t>direct</w:t>
      </w:r>
      <w:r w:rsidR="00C64050">
        <w:t xml:space="preserve"> </w:t>
      </w:r>
      <w:r w:rsidRPr="009B4D7B">
        <w:t>that</w:t>
      </w:r>
      <w:r w:rsidR="00C64050">
        <w:t xml:space="preserve"> </w:t>
      </w:r>
      <w:r w:rsidRPr="009B4D7B">
        <w:t>the</w:t>
      </w:r>
      <w:r w:rsidR="00C64050">
        <w:t xml:space="preserve"> </w:t>
      </w:r>
      <w:r w:rsidRPr="009B4D7B">
        <w:t>appointments</w:t>
      </w:r>
      <w:r w:rsidR="00C64050">
        <w:t xml:space="preserve"> </w:t>
      </w:r>
      <w:r w:rsidRPr="009B4D7B">
        <w:t>must</w:t>
      </w:r>
      <w:r w:rsidR="00C64050">
        <w:t xml:space="preserve"> </w:t>
      </w:r>
      <w:r w:rsidRPr="009B4D7B">
        <w:t>be</w:t>
      </w:r>
      <w:r w:rsidR="00C64050">
        <w:t xml:space="preserve"> </w:t>
      </w:r>
      <w:r w:rsidRPr="009B4D7B">
        <w:t>made</w:t>
      </w:r>
      <w:r w:rsidR="00C64050">
        <w:t xml:space="preserve"> </w:t>
      </w:r>
      <w:r w:rsidRPr="009B4D7B">
        <w:t>in</w:t>
      </w:r>
      <w:r w:rsidR="00C64050">
        <w:t xml:space="preserve"> </w:t>
      </w:r>
      <w:r w:rsidRPr="009B4D7B">
        <w:t>good</w:t>
      </w:r>
      <w:r w:rsidR="00C64050">
        <w:t xml:space="preserve"> </w:t>
      </w:r>
      <w:r w:rsidRPr="009B4D7B">
        <w:t>faith.</w:t>
      </w:r>
      <w:r w:rsidR="00C64050">
        <w:t xml:space="preserve"> </w:t>
      </w:r>
      <w:r w:rsidRPr="009B4D7B">
        <w:t>Rather,</w:t>
      </w:r>
      <w:r w:rsidR="00C64050">
        <w:t xml:space="preserve"> </w:t>
      </w:r>
      <w:r w:rsidRPr="009B4D7B">
        <w:t>we</w:t>
      </w:r>
      <w:r w:rsidR="00C64050">
        <w:t xml:space="preserve"> </w:t>
      </w:r>
      <w:r w:rsidRPr="009B4D7B">
        <w:t>state</w:t>
      </w:r>
      <w:r w:rsidR="00C64050">
        <w:t xml:space="preserve"> </w:t>
      </w:r>
      <w:r w:rsidRPr="009B4D7B">
        <w:t>again</w:t>
      </w:r>
      <w:r w:rsidR="00C64050">
        <w:t xml:space="preserve"> </w:t>
      </w:r>
      <w:r w:rsidRPr="009B4D7B">
        <w:t>that</w:t>
      </w:r>
      <w:r w:rsidR="00C64050">
        <w:t xml:space="preserve"> </w:t>
      </w:r>
      <w:r w:rsidRPr="009B4D7B">
        <w:t>a</w:t>
      </w:r>
      <w:r w:rsidR="00C64050">
        <w:t xml:space="preserve"> </w:t>
      </w:r>
      <w:r w:rsidRPr="009B4D7B">
        <w:t>donee's</w:t>
      </w:r>
      <w:r w:rsidR="00C64050">
        <w:t xml:space="preserve"> </w:t>
      </w:r>
      <w:r w:rsidRPr="009B4D7B">
        <w:t>duty</w:t>
      </w:r>
      <w:r w:rsidR="00C64050">
        <w:t xml:space="preserve"> </w:t>
      </w:r>
      <w:r w:rsidRPr="009B4D7B">
        <w:t>is</w:t>
      </w:r>
      <w:r w:rsidR="00C64050">
        <w:t xml:space="preserve"> </w:t>
      </w:r>
      <w:r w:rsidRPr="009B4D7B">
        <w:t>to</w:t>
      </w:r>
      <w:r w:rsidR="00C64050">
        <w:t xml:space="preserve"> </w:t>
      </w:r>
      <w:r w:rsidRPr="009B4D7B">
        <w:t>the</w:t>
      </w:r>
      <w:r w:rsidR="00C64050">
        <w:t xml:space="preserve"> </w:t>
      </w:r>
      <w:r w:rsidRPr="009B4D7B">
        <w:t>donor</w:t>
      </w:r>
      <w:r w:rsidR="00C64050">
        <w:t xml:space="preserve"> </w:t>
      </w:r>
      <w:r w:rsidRPr="009B4D7B">
        <w:t>and</w:t>
      </w:r>
      <w:r w:rsidR="00C64050">
        <w:t xml:space="preserve"> </w:t>
      </w:r>
      <w:r w:rsidRPr="009B4D7B">
        <w:t>the</w:t>
      </w:r>
      <w:r w:rsidR="00C64050">
        <w:t xml:space="preserve"> </w:t>
      </w:r>
      <w:r w:rsidRPr="009B4D7B">
        <w:t>donee</w:t>
      </w:r>
      <w:r w:rsidR="00C64050">
        <w:t xml:space="preserve"> </w:t>
      </w:r>
      <w:r w:rsidRPr="009B4D7B">
        <w:t>must</w:t>
      </w:r>
      <w:r w:rsidR="00C64050">
        <w:t xml:space="preserve"> </w:t>
      </w:r>
      <w:r w:rsidRPr="009B4D7B">
        <w:t>exercise</w:t>
      </w:r>
      <w:r w:rsidR="00C64050">
        <w:t xml:space="preserve"> </w:t>
      </w:r>
      <w:r w:rsidRPr="009B4D7B">
        <w:t>that</w:t>
      </w:r>
      <w:r w:rsidR="00C64050">
        <w:t xml:space="preserve"> </w:t>
      </w:r>
      <w:r w:rsidRPr="009B4D7B">
        <w:t>power</w:t>
      </w:r>
      <w:r w:rsidR="00C64050">
        <w:t xml:space="preserve"> </w:t>
      </w:r>
      <w:r w:rsidRPr="009B4D7B">
        <w:t>within</w:t>
      </w:r>
      <w:r w:rsidR="00C64050">
        <w:t xml:space="preserve"> </w:t>
      </w:r>
      <w:r w:rsidRPr="009B4D7B">
        <w:t>the</w:t>
      </w:r>
      <w:r w:rsidR="00C64050">
        <w:t xml:space="preserve"> </w:t>
      </w:r>
      <w:r w:rsidRPr="009B4D7B">
        <w:t>donor's</w:t>
      </w:r>
      <w:r w:rsidR="00C64050">
        <w:t xml:space="preserve"> </w:t>
      </w:r>
      <w:r w:rsidRPr="009B4D7B">
        <w:t>established</w:t>
      </w:r>
      <w:r w:rsidR="00C64050">
        <w:t xml:space="preserve"> </w:t>
      </w:r>
      <w:r w:rsidRPr="009B4D7B">
        <w:t>conditions.</w:t>
      </w:r>
      <w:r w:rsidR="00C64050">
        <w:t xml:space="preserve"> </w:t>
      </w:r>
      <w:r w:rsidRPr="009B4D7B">
        <w:t>Moreover,</w:t>
      </w:r>
      <w:r w:rsidR="00C64050">
        <w:t xml:space="preserve"> </w:t>
      </w:r>
      <w:r w:rsidRPr="009B4D7B">
        <w:t>the</w:t>
      </w:r>
      <w:r w:rsidR="00C64050">
        <w:t xml:space="preserve"> </w:t>
      </w:r>
      <w:r w:rsidRPr="009B4D7B">
        <w:t>donee</w:t>
      </w:r>
      <w:r w:rsidR="00C64050">
        <w:t xml:space="preserve"> </w:t>
      </w:r>
      <w:r w:rsidRPr="009B4D7B">
        <w:t>has</w:t>
      </w:r>
      <w:r w:rsidR="00C64050">
        <w:t xml:space="preserve"> </w:t>
      </w:r>
      <w:r w:rsidRPr="009B4D7B">
        <w:t>the</w:t>
      </w:r>
      <w:r w:rsidR="00C64050">
        <w:t xml:space="preserve"> </w:t>
      </w:r>
      <w:r w:rsidRPr="009B4D7B">
        <w:t>right</w:t>
      </w:r>
      <w:r w:rsidR="00C64050">
        <w:t xml:space="preserve"> </w:t>
      </w:r>
      <w:r w:rsidRPr="009B4D7B">
        <w:t>to</w:t>
      </w:r>
      <w:r w:rsidR="00C64050">
        <w:t xml:space="preserve"> </w:t>
      </w:r>
      <w:r w:rsidRPr="009B4D7B">
        <w:t>select</w:t>
      </w:r>
      <w:r w:rsidR="00C64050">
        <w:t xml:space="preserve"> </w:t>
      </w:r>
      <w:r w:rsidRPr="009B4D7B">
        <w:t>some</w:t>
      </w:r>
      <w:r w:rsidR="00C64050">
        <w:t xml:space="preserve"> </w:t>
      </w:r>
      <w:r w:rsidRPr="009B4D7B">
        <w:t>of</w:t>
      </w:r>
      <w:r w:rsidR="00C64050">
        <w:t xml:space="preserve"> </w:t>
      </w:r>
      <w:r w:rsidRPr="009B4D7B">
        <w:t>the</w:t>
      </w:r>
      <w:r w:rsidR="00C64050">
        <w:t xml:space="preserve"> </w:t>
      </w:r>
      <w:r w:rsidRPr="009B4D7B">
        <w:t>potential</w:t>
      </w:r>
      <w:r w:rsidR="00C64050">
        <w:t xml:space="preserve"> </w:t>
      </w:r>
      <w:r w:rsidRPr="009B4D7B">
        <w:t>appointees</w:t>
      </w:r>
      <w:r w:rsidR="00C64050">
        <w:t xml:space="preserve"> </w:t>
      </w:r>
      <w:r w:rsidRPr="009B4D7B">
        <w:t>to</w:t>
      </w:r>
      <w:r w:rsidR="00C64050">
        <w:t xml:space="preserve"> </w:t>
      </w:r>
      <w:r w:rsidRPr="009B4D7B">
        <w:t>the</w:t>
      </w:r>
      <w:r w:rsidR="00C64050">
        <w:t xml:space="preserve"> </w:t>
      </w:r>
      <w:r w:rsidRPr="009B4D7B">
        <w:t>exclusion</w:t>
      </w:r>
      <w:r w:rsidR="00C64050">
        <w:t xml:space="preserve"> </w:t>
      </w:r>
      <w:r w:rsidRPr="009B4D7B">
        <w:t>of</w:t>
      </w:r>
      <w:r w:rsidR="00C64050">
        <w:t xml:space="preserve"> </w:t>
      </w:r>
      <w:r w:rsidRPr="009B4D7B">
        <w:t>others.</w:t>
      </w:r>
      <w:r w:rsidR="00C64050">
        <w:t xml:space="preserve"> </w:t>
      </w:r>
      <w:r w:rsidRPr="009B4D7B">
        <w:t>See</w:t>
      </w:r>
      <w:r w:rsidR="00C64050">
        <w:t xml:space="preserve"> </w:t>
      </w:r>
      <w:r w:rsidRPr="009B4D7B">
        <w:t>Estate</w:t>
      </w:r>
      <w:r w:rsidR="00C64050">
        <w:t xml:space="preserve"> </w:t>
      </w:r>
      <w:r w:rsidRPr="009B4D7B">
        <w:t>of</w:t>
      </w:r>
      <w:r w:rsidR="00C64050">
        <w:t xml:space="preserve"> </w:t>
      </w:r>
      <w:r w:rsidRPr="009B4D7B">
        <w:t>Kohler,</w:t>
      </w:r>
      <w:r w:rsidR="00C64050">
        <w:t xml:space="preserve"> </w:t>
      </w:r>
      <w:r w:rsidRPr="009B4D7B">
        <w:t>344</w:t>
      </w:r>
      <w:r w:rsidR="00C64050">
        <w:t xml:space="preserve"> </w:t>
      </w:r>
      <w:r w:rsidRPr="009B4D7B">
        <w:t>A.2d</w:t>
      </w:r>
      <w:r w:rsidR="00C64050">
        <w:t xml:space="preserve"> </w:t>
      </w:r>
      <w:r w:rsidRPr="009B4D7B">
        <w:t>at</w:t>
      </w:r>
      <w:r w:rsidR="00C64050">
        <w:t xml:space="preserve"> </w:t>
      </w:r>
      <w:r w:rsidRPr="009B4D7B">
        <w:t>472.</w:t>
      </w:r>
      <w:r w:rsidR="00C64050">
        <w:t xml:space="preserve"> </w:t>
      </w:r>
      <w:r w:rsidRPr="009B4D7B">
        <w:t>No</w:t>
      </w:r>
      <w:r w:rsidR="00C64050">
        <w:t xml:space="preserve"> </w:t>
      </w:r>
      <w:r w:rsidRPr="009B4D7B">
        <w:t>duty</w:t>
      </w:r>
      <w:r w:rsidR="00C64050">
        <w:t xml:space="preserve"> </w:t>
      </w:r>
      <w:r w:rsidRPr="009B4D7B">
        <w:t>of</w:t>
      </w:r>
      <w:r w:rsidR="00C64050">
        <w:t xml:space="preserve"> </w:t>
      </w:r>
      <w:r w:rsidRPr="009B4D7B">
        <w:t>good</w:t>
      </w:r>
      <w:r w:rsidR="00C64050">
        <w:t xml:space="preserve"> </w:t>
      </w:r>
      <w:r w:rsidRPr="009B4D7B">
        <w:t>faith</w:t>
      </w:r>
      <w:r w:rsidR="00C64050">
        <w:t xml:space="preserve"> </w:t>
      </w:r>
      <w:r w:rsidRPr="009B4D7B">
        <w:t>has</w:t>
      </w:r>
      <w:r w:rsidR="00C64050">
        <w:t xml:space="preserve"> </w:t>
      </w:r>
      <w:r w:rsidRPr="009B4D7B">
        <w:t>been</w:t>
      </w:r>
      <w:r w:rsidR="00C64050">
        <w:t xml:space="preserve"> </w:t>
      </w:r>
      <w:r w:rsidRPr="009B4D7B">
        <w:t>established.</w:t>
      </w:r>
      <w:r w:rsidR="00C64050">
        <w:t xml:space="preserve"> </w:t>
      </w:r>
      <w:r w:rsidRPr="009B4D7B">
        <w:t>Therefore,</w:t>
      </w:r>
      <w:r w:rsidR="00C64050">
        <w:t xml:space="preserve"> </w:t>
      </w:r>
      <w:r w:rsidRPr="009B4D7B">
        <w:t>we</w:t>
      </w:r>
      <w:r w:rsidR="00C64050">
        <w:t xml:space="preserve"> </w:t>
      </w:r>
      <w:r w:rsidRPr="009B4D7B">
        <w:t>conclude</w:t>
      </w:r>
      <w:r w:rsidR="00C64050">
        <w:t xml:space="preserve"> </w:t>
      </w:r>
      <w:r w:rsidRPr="009B4D7B">
        <w:t>that</w:t>
      </w:r>
      <w:r w:rsidR="00C64050">
        <w:t xml:space="preserve"> </w:t>
      </w:r>
      <w:r w:rsidRPr="009B4D7B">
        <w:t>the</w:t>
      </w:r>
      <w:r w:rsidR="00C64050">
        <w:t xml:space="preserve"> </w:t>
      </w:r>
      <w:r w:rsidRPr="009B4D7B">
        <w:t>orphans'</w:t>
      </w:r>
      <w:r w:rsidR="00C64050">
        <w:t xml:space="preserve"> </w:t>
      </w:r>
      <w:r w:rsidRPr="009B4D7B">
        <w:t>court's</w:t>
      </w:r>
      <w:r w:rsidR="00C64050">
        <w:t xml:space="preserve"> </w:t>
      </w:r>
      <w:r w:rsidRPr="009B4D7B">
        <w:t>grant</w:t>
      </w:r>
      <w:r w:rsidR="00C64050">
        <w:t xml:space="preserve"> </w:t>
      </w:r>
      <w:r w:rsidRPr="009B4D7B">
        <w:t>of</w:t>
      </w:r>
      <w:r w:rsidR="00C64050">
        <w:t xml:space="preserve"> </w:t>
      </w:r>
      <w:r w:rsidRPr="009B4D7B">
        <w:t>Scott</w:t>
      </w:r>
      <w:r w:rsidR="00C64050">
        <w:t xml:space="preserve"> </w:t>
      </w:r>
      <w:r w:rsidRPr="009B4D7B">
        <w:t>and</w:t>
      </w:r>
      <w:r w:rsidR="00C64050">
        <w:t xml:space="preserve"> </w:t>
      </w:r>
      <w:r w:rsidRPr="009B4D7B">
        <w:t>Karyn's</w:t>
      </w:r>
      <w:r w:rsidR="00C64050">
        <w:t xml:space="preserve"> </w:t>
      </w:r>
      <w:r w:rsidRPr="009B4D7B">
        <w:t>motion</w:t>
      </w:r>
      <w:r w:rsidR="00C64050">
        <w:t xml:space="preserve"> </w:t>
      </w:r>
      <w:r w:rsidRPr="009B4D7B">
        <w:t>for</w:t>
      </w:r>
      <w:r w:rsidR="00C64050">
        <w:t xml:space="preserve"> </w:t>
      </w:r>
      <w:r w:rsidRPr="009B4D7B">
        <w:t>judgment</w:t>
      </w:r>
      <w:r w:rsidR="00C64050">
        <w:t xml:space="preserve"> </w:t>
      </w:r>
      <w:r w:rsidRPr="009B4D7B">
        <w:t>on</w:t>
      </w:r>
      <w:r w:rsidR="00C64050">
        <w:t xml:space="preserve"> </w:t>
      </w:r>
      <w:r w:rsidRPr="009B4D7B">
        <w:t>the</w:t>
      </w:r>
      <w:r w:rsidR="00C64050">
        <w:t xml:space="preserve"> </w:t>
      </w:r>
      <w:r w:rsidRPr="009B4D7B">
        <w:t>pleadings</w:t>
      </w:r>
      <w:r w:rsidR="00C64050">
        <w:t xml:space="preserve"> </w:t>
      </w:r>
      <w:r w:rsidRPr="009B4D7B">
        <w:t>was</w:t>
      </w:r>
      <w:r w:rsidR="00C64050">
        <w:t xml:space="preserve"> </w:t>
      </w:r>
      <w:r w:rsidRPr="009B4D7B">
        <w:t>proper.</w:t>
      </w:r>
      <w:r w:rsidR="00C64050">
        <w:t xml:space="preserve"> </w:t>
      </w:r>
      <w:r w:rsidRPr="009B4D7B">
        <w:t>The</w:t>
      </w:r>
      <w:r w:rsidR="00C64050">
        <w:t xml:space="preserve"> </w:t>
      </w:r>
      <w:r w:rsidRPr="009B4D7B">
        <w:t>orphans'</w:t>
      </w:r>
      <w:r w:rsidR="00C64050">
        <w:t xml:space="preserve"> </w:t>
      </w:r>
      <w:r w:rsidRPr="009B4D7B">
        <w:t>court</w:t>
      </w:r>
      <w:r w:rsidR="00C64050">
        <w:t xml:space="preserve"> </w:t>
      </w:r>
      <w:r w:rsidRPr="009B4D7B">
        <w:t>did</w:t>
      </w:r>
      <w:r w:rsidR="00C64050">
        <w:t xml:space="preserve"> </w:t>
      </w:r>
      <w:r w:rsidRPr="009B4D7B">
        <w:t>not</w:t>
      </w:r>
      <w:r w:rsidR="00C64050">
        <w:t xml:space="preserve"> </w:t>
      </w:r>
      <w:r w:rsidRPr="009B4D7B">
        <w:t>commit</w:t>
      </w:r>
      <w:r w:rsidR="00C64050">
        <w:t xml:space="preserve"> </w:t>
      </w:r>
      <w:r w:rsidRPr="009B4D7B">
        <w:t>an</w:t>
      </w:r>
      <w:r w:rsidR="00C64050">
        <w:t xml:space="preserve"> </w:t>
      </w:r>
      <w:r w:rsidRPr="009B4D7B">
        <w:t>error</w:t>
      </w:r>
      <w:r w:rsidR="00C64050">
        <w:t xml:space="preserve"> </w:t>
      </w:r>
      <w:r w:rsidRPr="009B4D7B">
        <w:t>of</w:t>
      </w:r>
      <w:r w:rsidR="00C64050">
        <w:t xml:space="preserve"> </w:t>
      </w:r>
      <w:r w:rsidRPr="009B4D7B">
        <w:t>law.</w:t>
      </w:r>
    </w:p>
    <w:p w:rsidR="00C83382" w:rsidRDefault="00C83382" w:rsidP="00C83382">
      <w:pPr>
        <w:pStyle w:val="Body15"/>
      </w:pPr>
      <w:r>
        <w:t>The</w:t>
      </w:r>
      <w:r w:rsidR="00C64050">
        <w:t xml:space="preserve"> </w:t>
      </w:r>
      <w:r>
        <w:t>court</w:t>
      </w:r>
      <w:r w:rsidR="00C64050">
        <w:t xml:space="preserve"> </w:t>
      </w:r>
      <w:r>
        <w:t>notes</w:t>
      </w:r>
      <w:r w:rsidR="00C64050">
        <w:t xml:space="preserve"> </w:t>
      </w:r>
      <w:r>
        <w:t>that</w:t>
      </w:r>
      <w:r w:rsidR="00C64050">
        <w:t xml:space="preserve"> </w:t>
      </w:r>
      <w:r>
        <w:t>Syma</w:t>
      </w:r>
      <w:r w:rsidR="00C64050">
        <w:t xml:space="preserve"> </w:t>
      </w:r>
      <w:r>
        <w:t>was</w:t>
      </w:r>
      <w:r w:rsidR="00C64050">
        <w:t xml:space="preserve"> </w:t>
      </w:r>
      <w:r>
        <w:t>not</w:t>
      </w:r>
      <w:r w:rsidR="00C64050">
        <w:t xml:space="preserve"> </w:t>
      </w:r>
      <w:r>
        <w:t>the</w:t>
      </w:r>
      <w:r w:rsidR="00C64050">
        <w:t xml:space="preserve"> </w:t>
      </w:r>
      <w:r>
        <w:t>trustee.</w:t>
      </w:r>
      <w:r w:rsidR="00C64050">
        <w:t xml:space="preserve">  </w:t>
      </w:r>
      <w:r>
        <w:t>Does</w:t>
      </w:r>
      <w:r w:rsidR="00C64050">
        <w:t xml:space="preserve"> </w:t>
      </w:r>
      <w:r>
        <w:t>that</w:t>
      </w:r>
      <w:r w:rsidR="00C64050">
        <w:t xml:space="preserve"> </w:t>
      </w:r>
      <w:r>
        <w:t>matter?</w:t>
      </w:r>
      <w:r w:rsidR="00C64050">
        <w:t xml:space="preserve">  </w:t>
      </w:r>
      <w:r>
        <w:t>Suppose</w:t>
      </w:r>
      <w:r w:rsidR="00C64050">
        <w:t xml:space="preserve"> </w:t>
      </w:r>
      <w:r>
        <w:t>she</w:t>
      </w:r>
      <w:r w:rsidR="00C64050">
        <w:t xml:space="preserve"> </w:t>
      </w:r>
      <w:r>
        <w:t>had</w:t>
      </w:r>
      <w:r w:rsidR="00C64050">
        <w:t xml:space="preserve"> </w:t>
      </w:r>
      <w:r>
        <w:t>been;</w:t>
      </w:r>
      <w:r w:rsidR="00C64050">
        <w:t xml:space="preserve"> </w:t>
      </w:r>
      <w:r>
        <w:t>her</w:t>
      </w:r>
      <w:r w:rsidR="00C64050">
        <w:t xml:space="preserve"> </w:t>
      </w:r>
      <w:r>
        <w:t>exercise</w:t>
      </w:r>
      <w:r w:rsidR="00C64050">
        <w:t xml:space="preserve"> </w:t>
      </w:r>
      <w:r>
        <w:t>of</w:t>
      </w:r>
      <w:r w:rsidR="00C64050">
        <w:t xml:space="preserve"> </w:t>
      </w:r>
      <w:r>
        <w:t>a</w:t>
      </w:r>
      <w:r w:rsidR="00C64050">
        <w:t xml:space="preserve"> </w:t>
      </w:r>
      <w:r>
        <w:t>testamentary</w:t>
      </w:r>
      <w:r w:rsidR="00C64050">
        <w:t xml:space="preserve"> </w:t>
      </w:r>
      <w:r>
        <w:t>power</w:t>
      </w:r>
      <w:r w:rsidR="00C64050">
        <w:t xml:space="preserve"> </w:t>
      </w:r>
      <w:r>
        <w:t>of</w:t>
      </w:r>
      <w:r w:rsidR="00C64050">
        <w:t xml:space="preserve"> </w:t>
      </w:r>
      <w:r>
        <w:t>appointment</w:t>
      </w:r>
      <w:r w:rsidR="00C64050">
        <w:t xml:space="preserve"> </w:t>
      </w:r>
      <w:r>
        <w:t>would</w:t>
      </w:r>
      <w:r w:rsidR="00C64050">
        <w:t xml:space="preserve"> </w:t>
      </w:r>
      <w:r>
        <w:t>seem</w:t>
      </w:r>
      <w:r w:rsidR="00C64050">
        <w:t xml:space="preserve"> </w:t>
      </w:r>
      <w:r>
        <w:t>to</w:t>
      </w:r>
      <w:r w:rsidR="00C64050">
        <w:t xml:space="preserve"> </w:t>
      </w:r>
      <w:r>
        <w:t>occur</w:t>
      </w:r>
      <w:r w:rsidR="00C64050">
        <w:t xml:space="preserve"> </w:t>
      </w:r>
      <w:r>
        <w:t>after</w:t>
      </w:r>
      <w:r w:rsidR="00C64050">
        <w:t xml:space="preserve"> </w:t>
      </w:r>
      <w:r>
        <w:t>service</w:t>
      </w:r>
      <w:r w:rsidR="00C64050">
        <w:t xml:space="preserve"> </w:t>
      </w:r>
      <w:r>
        <w:t>as</w:t>
      </w:r>
      <w:r w:rsidR="00C64050">
        <w:t xml:space="preserve"> </w:t>
      </w:r>
      <w:r>
        <w:t>trustee</w:t>
      </w:r>
      <w:r w:rsidR="00C64050">
        <w:t xml:space="preserve"> </w:t>
      </w:r>
      <w:r>
        <w:t>ended.</w:t>
      </w:r>
      <w:r w:rsidR="00C64050">
        <w:t xml:space="preserve">  </w:t>
      </w:r>
      <w:r>
        <w:t>May</w:t>
      </w:r>
      <w:r w:rsidR="00C64050">
        <w:t xml:space="preserve"> </w:t>
      </w:r>
      <w:r>
        <w:t>a</w:t>
      </w:r>
      <w:r w:rsidR="00C64050">
        <w:t xml:space="preserve"> </w:t>
      </w:r>
      <w:r>
        <w:t>trustee</w:t>
      </w:r>
      <w:r w:rsidR="00C64050">
        <w:t xml:space="preserve"> </w:t>
      </w:r>
      <w:r>
        <w:t>exercise</w:t>
      </w:r>
      <w:r w:rsidR="00C64050">
        <w:t xml:space="preserve"> </w:t>
      </w:r>
      <w:r>
        <w:t>an</w:t>
      </w:r>
      <w:r w:rsidR="00C64050">
        <w:t xml:space="preserve"> </w:t>
      </w:r>
      <w:r>
        <w:t>inter</w:t>
      </w:r>
      <w:r w:rsidR="00C64050">
        <w:t xml:space="preserve"> </w:t>
      </w:r>
      <w:r>
        <w:t>vivos</w:t>
      </w:r>
      <w:r w:rsidR="00C64050">
        <w:t xml:space="preserve"> </w:t>
      </w:r>
      <w:r>
        <w:t>power</w:t>
      </w:r>
      <w:r w:rsidR="00C64050">
        <w:t xml:space="preserve"> </w:t>
      </w:r>
      <w:r>
        <w:t>without</w:t>
      </w:r>
      <w:r w:rsidR="00C64050">
        <w:t xml:space="preserve"> </w:t>
      </w:r>
      <w:r>
        <w:t>following</w:t>
      </w:r>
      <w:r w:rsidR="00C64050">
        <w:t xml:space="preserve"> </w:t>
      </w:r>
      <w:r>
        <w:t>a</w:t>
      </w:r>
      <w:r w:rsidR="00C64050">
        <w:t xml:space="preserve"> </w:t>
      </w:r>
      <w:r>
        <w:t>fiduciary</w:t>
      </w:r>
      <w:r w:rsidR="00C64050">
        <w:t xml:space="preserve"> </w:t>
      </w:r>
      <w:r>
        <w:t>standard?</w:t>
      </w:r>
    </w:p>
    <w:p w:rsidR="00631C16" w:rsidRDefault="00631C16" w:rsidP="00C83382">
      <w:pPr>
        <w:pStyle w:val="Body15"/>
      </w:pPr>
      <w:r>
        <w:t>The</w:t>
      </w:r>
      <w:r w:rsidR="00C64050">
        <w:t xml:space="preserve"> </w:t>
      </w:r>
      <w:r>
        <w:t>California</w:t>
      </w:r>
      <w:r w:rsidR="00C64050">
        <w:t xml:space="preserve"> </w:t>
      </w:r>
      <w:r>
        <w:t>Court</w:t>
      </w:r>
      <w:r w:rsidR="00C64050">
        <w:t xml:space="preserve"> </w:t>
      </w:r>
      <w:r>
        <w:t>of</w:t>
      </w:r>
      <w:r w:rsidR="00C64050">
        <w:t xml:space="preserve"> </w:t>
      </w:r>
      <w:r>
        <w:t>Appeals</w:t>
      </w:r>
      <w:r w:rsidR="00C64050">
        <w:t xml:space="preserve"> </w:t>
      </w:r>
      <w:r>
        <w:t>held</w:t>
      </w:r>
      <w:r w:rsidR="00C64050">
        <w:t xml:space="preserve"> </w:t>
      </w:r>
      <w:r>
        <w:t>in</w:t>
      </w:r>
      <w:r w:rsidR="00C64050">
        <w:t xml:space="preserve"> </w:t>
      </w:r>
      <w:r>
        <w:rPr>
          <w:u w:val="single"/>
        </w:rPr>
        <w:t>Tubbs</w:t>
      </w:r>
      <w:r w:rsidR="00C64050">
        <w:rPr>
          <w:u w:val="single"/>
        </w:rPr>
        <w:t xml:space="preserve"> </w:t>
      </w:r>
      <w:r>
        <w:rPr>
          <w:u w:val="single"/>
        </w:rPr>
        <w:t>v.</w:t>
      </w:r>
      <w:r w:rsidR="00C64050">
        <w:rPr>
          <w:u w:val="single"/>
        </w:rPr>
        <w:t xml:space="preserve"> </w:t>
      </w:r>
      <w:r>
        <w:rPr>
          <w:u w:val="single"/>
        </w:rPr>
        <w:t>Berkowitz</w:t>
      </w:r>
      <w:r>
        <w:t>,</w:t>
      </w:r>
      <w:r w:rsidR="00C64050">
        <w:t xml:space="preserve"> </w:t>
      </w:r>
      <w:r>
        <w:t>47</w:t>
      </w:r>
      <w:r w:rsidR="00C64050">
        <w:t xml:space="preserve"> </w:t>
      </w:r>
      <w:r>
        <w:t>Cal.App.5</w:t>
      </w:r>
      <w:r w:rsidRPr="00631C16">
        <w:rPr>
          <w:vertAlign w:val="superscript"/>
        </w:rPr>
        <w:t>th</w:t>
      </w:r>
      <w:r w:rsidR="00C64050">
        <w:t xml:space="preserve"> </w:t>
      </w:r>
      <w:r>
        <w:t>548</w:t>
      </w:r>
      <w:r w:rsidR="002302AE">
        <w:t xml:space="preserve"> (Cal.App. 2020)</w:t>
      </w:r>
      <w:r>
        <w:t>,</w:t>
      </w:r>
      <w:r w:rsidR="00C64050">
        <w:t xml:space="preserve"> </w:t>
      </w:r>
      <w:r>
        <w:t>that</w:t>
      </w:r>
      <w:r w:rsidR="00C64050">
        <w:t xml:space="preserve"> </w:t>
      </w:r>
      <w:r>
        <w:t>where</w:t>
      </w:r>
      <w:r w:rsidR="00C64050">
        <w:t xml:space="preserve"> </w:t>
      </w:r>
      <w:r>
        <w:t>a</w:t>
      </w:r>
      <w:r w:rsidR="00C64050">
        <w:t xml:space="preserve"> </w:t>
      </w:r>
      <w:r>
        <w:t>surviving</w:t>
      </w:r>
      <w:r w:rsidR="00C64050">
        <w:t xml:space="preserve"> </w:t>
      </w:r>
      <w:r>
        <w:t>spouse</w:t>
      </w:r>
      <w:r w:rsidR="00C64050">
        <w:t xml:space="preserve"> </w:t>
      </w:r>
      <w:r>
        <w:t>is</w:t>
      </w:r>
      <w:r w:rsidR="00C64050">
        <w:t xml:space="preserve"> </w:t>
      </w:r>
      <w:r>
        <w:t>named</w:t>
      </w:r>
      <w:r w:rsidR="00C64050">
        <w:t xml:space="preserve"> </w:t>
      </w:r>
      <w:r>
        <w:t>both</w:t>
      </w:r>
      <w:r w:rsidR="00C64050">
        <w:t xml:space="preserve"> </w:t>
      </w:r>
      <w:r>
        <w:t>as</w:t>
      </w:r>
      <w:r w:rsidR="00C64050">
        <w:t xml:space="preserve"> </w:t>
      </w:r>
      <w:r>
        <w:t>trustee</w:t>
      </w:r>
      <w:r w:rsidR="00C64050">
        <w:t xml:space="preserve"> </w:t>
      </w:r>
      <w:r>
        <w:t>of</w:t>
      </w:r>
      <w:r w:rsidR="00C64050">
        <w:t xml:space="preserve"> </w:t>
      </w:r>
      <w:r>
        <w:t>a</w:t>
      </w:r>
      <w:r w:rsidR="00C64050">
        <w:t xml:space="preserve"> </w:t>
      </w:r>
      <w:r>
        <w:t>marital</w:t>
      </w:r>
      <w:r w:rsidR="00C64050">
        <w:t xml:space="preserve"> </w:t>
      </w:r>
      <w:r>
        <w:t>trust</w:t>
      </w:r>
      <w:r w:rsidR="00C64050">
        <w:t xml:space="preserve"> </w:t>
      </w:r>
      <w:r>
        <w:t>and</w:t>
      </w:r>
      <w:r w:rsidR="00C64050">
        <w:t xml:space="preserve"> </w:t>
      </w:r>
      <w:r>
        <w:t>is</w:t>
      </w:r>
      <w:r w:rsidR="00C64050">
        <w:t xml:space="preserve"> </w:t>
      </w:r>
      <w:r>
        <w:t>given</w:t>
      </w:r>
      <w:r w:rsidR="00C64050">
        <w:t xml:space="preserve"> </w:t>
      </w:r>
      <w:r>
        <w:t>a</w:t>
      </w:r>
      <w:r w:rsidR="00C64050">
        <w:t xml:space="preserve"> </w:t>
      </w:r>
      <w:r>
        <w:t>lifetime</w:t>
      </w:r>
      <w:r w:rsidR="00C64050">
        <w:t xml:space="preserve"> </w:t>
      </w:r>
      <w:r>
        <w:t>general</w:t>
      </w:r>
      <w:r w:rsidR="00C64050">
        <w:t xml:space="preserve"> </w:t>
      </w:r>
      <w:r>
        <w:t>power</w:t>
      </w:r>
      <w:r w:rsidR="00C64050">
        <w:t xml:space="preserve"> </w:t>
      </w:r>
      <w:r>
        <w:t>of</w:t>
      </w:r>
      <w:r w:rsidR="00C64050">
        <w:t xml:space="preserve"> </w:t>
      </w:r>
      <w:r>
        <w:t>appointment</w:t>
      </w:r>
      <w:r w:rsidR="00C64050">
        <w:t xml:space="preserve"> </w:t>
      </w:r>
      <w:r>
        <w:t>over</w:t>
      </w:r>
      <w:r w:rsidR="00C64050">
        <w:t xml:space="preserve"> </w:t>
      </w:r>
      <w:r>
        <w:t>the</w:t>
      </w:r>
      <w:r w:rsidR="00C64050">
        <w:t xml:space="preserve"> </w:t>
      </w:r>
      <w:r>
        <w:t>marital</w:t>
      </w:r>
      <w:r w:rsidR="00C64050">
        <w:t xml:space="preserve"> </w:t>
      </w:r>
      <w:r>
        <w:t>trust</w:t>
      </w:r>
      <w:r w:rsidR="00C64050">
        <w:t xml:space="preserve"> </w:t>
      </w:r>
      <w:r>
        <w:t>assets,</w:t>
      </w:r>
      <w:r w:rsidR="00C64050">
        <w:t xml:space="preserve"> </w:t>
      </w:r>
      <w:r>
        <w:t>the</w:t>
      </w:r>
      <w:r w:rsidR="00C64050">
        <w:t xml:space="preserve"> </w:t>
      </w:r>
      <w:r>
        <w:t>surviving</w:t>
      </w:r>
      <w:r w:rsidR="00C64050">
        <w:t xml:space="preserve"> </w:t>
      </w:r>
      <w:r>
        <w:t>spouse</w:t>
      </w:r>
      <w:r w:rsidR="00C64050">
        <w:t xml:space="preserve"> </w:t>
      </w:r>
      <w:r>
        <w:t>could</w:t>
      </w:r>
      <w:r w:rsidR="00C64050">
        <w:t xml:space="preserve"> </w:t>
      </w:r>
      <w:r>
        <w:t>exercise</w:t>
      </w:r>
      <w:r w:rsidR="00C64050">
        <w:t xml:space="preserve"> </w:t>
      </w:r>
      <w:r>
        <w:t>the</w:t>
      </w:r>
      <w:r w:rsidR="00C64050">
        <w:t xml:space="preserve"> </w:t>
      </w:r>
      <w:r>
        <w:t>nonfiduciary</w:t>
      </w:r>
      <w:r w:rsidR="00C64050">
        <w:t xml:space="preserve"> </w:t>
      </w:r>
      <w:r>
        <w:t>power</w:t>
      </w:r>
      <w:r w:rsidR="00C64050">
        <w:t xml:space="preserve"> </w:t>
      </w:r>
      <w:r>
        <w:t>of</w:t>
      </w:r>
      <w:r w:rsidR="00C64050">
        <w:t xml:space="preserve"> </w:t>
      </w:r>
      <w:r>
        <w:t>appointment</w:t>
      </w:r>
      <w:r w:rsidR="00C64050">
        <w:t xml:space="preserve"> </w:t>
      </w:r>
      <w:r>
        <w:t>even</w:t>
      </w:r>
      <w:r w:rsidR="00C64050">
        <w:t xml:space="preserve"> </w:t>
      </w:r>
      <w:r>
        <w:t>while</w:t>
      </w:r>
      <w:r w:rsidR="00C64050">
        <w:t xml:space="preserve"> </w:t>
      </w:r>
      <w:r>
        <w:t>serving</w:t>
      </w:r>
      <w:r w:rsidR="00C64050">
        <w:t xml:space="preserve"> </w:t>
      </w:r>
      <w:r>
        <w:t>as</w:t>
      </w:r>
      <w:r w:rsidR="00C64050">
        <w:t xml:space="preserve"> </w:t>
      </w:r>
      <w:r>
        <w:t>trustee.</w:t>
      </w:r>
      <w:r w:rsidR="00C64050">
        <w:t xml:space="preserve">  </w:t>
      </w:r>
      <w:r>
        <w:t>The</w:t>
      </w:r>
      <w:r w:rsidR="00C64050">
        <w:t xml:space="preserve"> </w:t>
      </w:r>
      <w:r>
        <w:t>opinion</w:t>
      </w:r>
      <w:r w:rsidR="00C64050">
        <w:t xml:space="preserve"> </w:t>
      </w:r>
      <w:r>
        <w:t>states:</w:t>
      </w:r>
    </w:p>
    <w:p w:rsidR="00631C16" w:rsidRPr="00631C16" w:rsidRDefault="00631C16" w:rsidP="00631C16">
      <w:pPr>
        <w:pStyle w:val="QS10"/>
        <w:rPr>
          <w:szCs w:val="20"/>
        </w:rPr>
      </w:pPr>
      <w:r w:rsidRPr="00631C16">
        <w:rPr>
          <w:szCs w:val="20"/>
        </w:rPr>
        <w:t>A</w:t>
      </w:r>
      <w:r w:rsidR="00C64050">
        <w:rPr>
          <w:szCs w:val="20"/>
        </w:rPr>
        <w:t xml:space="preserve"> </w:t>
      </w:r>
      <w:r w:rsidRPr="00631C16">
        <w:rPr>
          <w:szCs w:val="20"/>
        </w:rPr>
        <w:t>trustee</w:t>
      </w:r>
      <w:r w:rsidR="00C64050">
        <w:rPr>
          <w:szCs w:val="20"/>
        </w:rPr>
        <w:t xml:space="preserve"> </w:t>
      </w:r>
      <w:r w:rsidRPr="00631C16">
        <w:rPr>
          <w:szCs w:val="20"/>
        </w:rPr>
        <w:t>“has</w:t>
      </w:r>
      <w:r w:rsidR="00C64050">
        <w:rPr>
          <w:szCs w:val="20"/>
        </w:rPr>
        <w:t xml:space="preserve"> </w:t>
      </w:r>
      <w:r w:rsidRPr="00631C16">
        <w:rPr>
          <w:szCs w:val="20"/>
        </w:rPr>
        <w:t>a</w:t>
      </w:r>
      <w:r w:rsidR="00C64050">
        <w:rPr>
          <w:szCs w:val="20"/>
        </w:rPr>
        <w:t xml:space="preserve"> </w:t>
      </w:r>
      <w:r w:rsidRPr="00631C16">
        <w:rPr>
          <w:szCs w:val="20"/>
        </w:rPr>
        <w:t>duty</w:t>
      </w:r>
      <w:r w:rsidR="00C64050">
        <w:rPr>
          <w:szCs w:val="20"/>
        </w:rPr>
        <w:t xml:space="preserve"> </w:t>
      </w:r>
      <w:r w:rsidRPr="00631C16">
        <w:rPr>
          <w:szCs w:val="20"/>
        </w:rPr>
        <w:t>to</w:t>
      </w:r>
      <w:r w:rsidR="00C64050">
        <w:rPr>
          <w:szCs w:val="20"/>
        </w:rPr>
        <w:t xml:space="preserve"> </w:t>
      </w:r>
      <w:r w:rsidRPr="00631C16">
        <w:rPr>
          <w:szCs w:val="20"/>
        </w:rPr>
        <w:t>administer</w:t>
      </w:r>
      <w:r w:rsidR="00C64050">
        <w:rPr>
          <w:szCs w:val="20"/>
        </w:rPr>
        <w:t xml:space="preserve"> </w:t>
      </w:r>
      <w:r w:rsidRPr="00631C16">
        <w:rPr>
          <w:szCs w:val="20"/>
        </w:rPr>
        <w:t>the</w:t>
      </w:r>
      <w:r w:rsidR="00C64050">
        <w:rPr>
          <w:szCs w:val="20"/>
        </w:rPr>
        <w:t xml:space="preserve"> </w:t>
      </w:r>
      <w:r w:rsidRPr="00631C16">
        <w:rPr>
          <w:szCs w:val="20"/>
        </w:rPr>
        <w:t>trust</w:t>
      </w:r>
      <w:r w:rsidR="00C64050">
        <w:rPr>
          <w:szCs w:val="20"/>
        </w:rPr>
        <w:t xml:space="preserve"> </w:t>
      </w:r>
      <w:r w:rsidRPr="00631C16">
        <w:rPr>
          <w:szCs w:val="20"/>
        </w:rPr>
        <w:t>according</w:t>
      </w:r>
      <w:r w:rsidR="00C64050">
        <w:rPr>
          <w:szCs w:val="20"/>
        </w:rPr>
        <w:t xml:space="preserve"> </w:t>
      </w:r>
      <w:r w:rsidRPr="00631C16">
        <w:rPr>
          <w:szCs w:val="20"/>
        </w:rPr>
        <w:t>to</w:t>
      </w:r>
      <w:r w:rsidR="00C64050">
        <w:rPr>
          <w:szCs w:val="20"/>
        </w:rPr>
        <w:t xml:space="preserve"> </w:t>
      </w:r>
      <w:r w:rsidRPr="00631C16">
        <w:rPr>
          <w:szCs w:val="20"/>
        </w:rPr>
        <w:t>the</w:t>
      </w:r>
      <w:r w:rsidR="00C64050">
        <w:rPr>
          <w:szCs w:val="20"/>
        </w:rPr>
        <w:t xml:space="preserve"> </w:t>
      </w:r>
      <w:r w:rsidRPr="00631C16">
        <w:rPr>
          <w:szCs w:val="20"/>
        </w:rPr>
        <w:t>trust</w:t>
      </w:r>
      <w:r w:rsidR="00C64050">
        <w:rPr>
          <w:szCs w:val="20"/>
        </w:rPr>
        <w:t xml:space="preserve"> </w:t>
      </w:r>
      <w:r w:rsidRPr="00631C16">
        <w:rPr>
          <w:szCs w:val="20"/>
        </w:rPr>
        <w:t>instrument</w:t>
      </w:r>
      <w:r w:rsidR="00C64050">
        <w:rPr>
          <w:szCs w:val="20"/>
        </w:rPr>
        <w:t xml:space="preserve"> </w:t>
      </w:r>
      <w:r w:rsidRPr="00631C16">
        <w:rPr>
          <w:szCs w:val="20"/>
        </w:rPr>
        <w:t>....”</w:t>
      </w:r>
      <w:r w:rsidR="00C64050">
        <w:rPr>
          <w:szCs w:val="20"/>
        </w:rPr>
        <w:t xml:space="preserve"> </w:t>
      </w:r>
      <w:r w:rsidRPr="00631C16">
        <w:rPr>
          <w:szCs w:val="20"/>
        </w:rPr>
        <w:t>(§</w:t>
      </w:r>
      <w:r w:rsidR="00C64050">
        <w:rPr>
          <w:szCs w:val="20"/>
        </w:rPr>
        <w:t xml:space="preserve"> </w:t>
      </w:r>
      <w:r w:rsidRPr="00631C16">
        <w:rPr>
          <w:szCs w:val="20"/>
        </w:rPr>
        <w:t>16000.)</w:t>
      </w:r>
      <w:r w:rsidR="00C64050">
        <w:rPr>
          <w:szCs w:val="20"/>
        </w:rPr>
        <w:t xml:space="preserve"> </w:t>
      </w:r>
      <w:r w:rsidRPr="00631C16">
        <w:rPr>
          <w:szCs w:val="20"/>
        </w:rPr>
        <w:t>A</w:t>
      </w:r>
      <w:r w:rsidR="00C64050">
        <w:rPr>
          <w:szCs w:val="20"/>
        </w:rPr>
        <w:t xml:space="preserve"> </w:t>
      </w:r>
      <w:r w:rsidRPr="00631C16">
        <w:rPr>
          <w:szCs w:val="20"/>
        </w:rPr>
        <w:t>trustee</w:t>
      </w:r>
      <w:r w:rsidR="00C64050">
        <w:rPr>
          <w:szCs w:val="20"/>
        </w:rPr>
        <w:t xml:space="preserve"> </w:t>
      </w:r>
      <w:r w:rsidRPr="00631C16">
        <w:rPr>
          <w:szCs w:val="20"/>
        </w:rPr>
        <w:t>also</w:t>
      </w:r>
      <w:r w:rsidR="00C64050">
        <w:rPr>
          <w:szCs w:val="20"/>
        </w:rPr>
        <w:t xml:space="preserve"> </w:t>
      </w:r>
      <w:r w:rsidRPr="00631C16">
        <w:rPr>
          <w:szCs w:val="20"/>
        </w:rPr>
        <w:t>only</w:t>
      </w:r>
      <w:r w:rsidR="00C64050">
        <w:rPr>
          <w:szCs w:val="20"/>
        </w:rPr>
        <w:t xml:space="preserve"> </w:t>
      </w:r>
      <w:r w:rsidRPr="00631C16">
        <w:rPr>
          <w:szCs w:val="20"/>
        </w:rPr>
        <w:t>has</w:t>
      </w:r>
      <w:r w:rsidR="00C64050">
        <w:rPr>
          <w:szCs w:val="20"/>
        </w:rPr>
        <w:t xml:space="preserve"> </w:t>
      </w:r>
      <w:r w:rsidRPr="00631C16">
        <w:rPr>
          <w:szCs w:val="20"/>
        </w:rPr>
        <w:t>the</w:t>
      </w:r>
      <w:r w:rsidR="00C64050">
        <w:rPr>
          <w:szCs w:val="20"/>
        </w:rPr>
        <w:t xml:space="preserve"> </w:t>
      </w:r>
      <w:r w:rsidRPr="00631C16">
        <w:rPr>
          <w:szCs w:val="20"/>
        </w:rPr>
        <w:t>powers</w:t>
      </w:r>
      <w:r w:rsidR="00C64050">
        <w:rPr>
          <w:szCs w:val="20"/>
        </w:rPr>
        <w:t xml:space="preserve"> </w:t>
      </w:r>
      <w:r w:rsidRPr="00631C16">
        <w:rPr>
          <w:szCs w:val="20"/>
        </w:rPr>
        <w:t>conferred</w:t>
      </w:r>
      <w:r w:rsidR="00C64050">
        <w:rPr>
          <w:szCs w:val="20"/>
        </w:rPr>
        <w:t xml:space="preserve"> </w:t>
      </w:r>
      <w:r w:rsidRPr="00631C16">
        <w:rPr>
          <w:szCs w:val="20"/>
        </w:rPr>
        <w:t>by</w:t>
      </w:r>
      <w:r w:rsidR="00C64050">
        <w:rPr>
          <w:szCs w:val="20"/>
        </w:rPr>
        <w:t xml:space="preserve"> </w:t>
      </w:r>
      <w:r w:rsidRPr="00631C16">
        <w:rPr>
          <w:szCs w:val="20"/>
        </w:rPr>
        <w:t>the</w:t>
      </w:r>
      <w:r w:rsidR="00C64050">
        <w:rPr>
          <w:szCs w:val="20"/>
        </w:rPr>
        <w:t xml:space="preserve"> </w:t>
      </w:r>
      <w:r w:rsidRPr="00631C16">
        <w:rPr>
          <w:szCs w:val="20"/>
        </w:rPr>
        <w:t>trust</w:t>
      </w:r>
      <w:r w:rsidR="00C64050">
        <w:rPr>
          <w:szCs w:val="20"/>
        </w:rPr>
        <w:t xml:space="preserve"> </w:t>
      </w:r>
      <w:r w:rsidRPr="00631C16">
        <w:rPr>
          <w:szCs w:val="20"/>
        </w:rPr>
        <w:t>instrument</w:t>
      </w:r>
      <w:r w:rsidR="00C64050">
        <w:rPr>
          <w:szCs w:val="20"/>
        </w:rPr>
        <w:t xml:space="preserve"> </w:t>
      </w:r>
      <w:r w:rsidRPr="00631C16">
        <w:rPr>
          <w:szCs w:val="20"/>
        </w:rPr>
        <w:t>and</w:t>
      </w:r>
      <w:r w:rsidR="00C64050">
        <w:rPr>
          <w:szCs w:val="20"/>
        </w:rPr>
        <w:t xml:space="preserve"> </w:t>
      </w:r>
      <w:r w:rsidRPr="00631C16">
        <w:rPr>
          <w:szCs w:val="20"/>
        </w:rPr>
        <w:t>the</w:t>
      </w:r>
      <w:r w:rsidR="00C64050">
        <w:rPr>
          <w:szCs w:val="20"/>
        </w:rPr>
        <w:t xml:space="preserve"> </w:t>
      </w:r>
      <w:r w:rsidRPr="00631C16">
        <w:rPr>
          <w:szCs w:val="20"/>
        </w:rPr>
        <w:t>powers</w:t>
      </w:r>
      <w:r w:rsidR="00C64050">
        <w:rPr>
          <w:szCs w:val="20"/>
        </w:rPr>
        <w:t xml:space="preserve"> </w:t>
      </w:r>
      <w:r w:rsidRPr="00631C16">
        <w:rPr>
          <w:szCs w:val="20"/>
        </w:rPr>
        <w:t>conferred</w:t>
      </w:r>
      <w:r w:rsidR="00C64050">
        <w:rPr>
          <w:szCs w:val="20"/>
        </w:rPr>
        <w:t xml:space="preserve"> </w:t>
      </w:r>
      <w:r w:rsidRPr="00631C16">
        <w:rPr>
          <w:szCs w:val="20"/>
        </w:rPr>
        <w:t>by</w:t>
      </w:r>
      <w:r w:rsidR="00C64050">
        <w:rPr>
          <w:szCs w:val="20"/>
        </w:rPr>
        <w:t xml:space="preserve"> </w:t>
      </w:r>
      <w:r w:rsidRPr="00631C16">
        <w:rPr>
          <w:szCs w:val="20"/>
        </w:rPr>
        <w:t>statute,</w:t>
      </w:r>
      <w:r w:rsidR="00C64050">
        <w:rPr>
          <w:szCs w:val="20"/>
        </w:rPr>
        <w:t xml:space="preserve"> </w:t>
      </w:r>
      <w:r w:rsidRPr="00631C16">
        <w:rPr>
          <w:szCs w:val="20"/>
        </w:rPr>
        <w:t>unless</w:t>
      </w:r>
      <w:r w:rsidR="00C64050">
        <w:rPr>
          <w:szCs w:val="20"/>
        </w:rPr>
        <w:t xml:space="preserve"> </w:t>
      </w:r>
      <w:r w:rsidRPr="00631C16">
        <w:rPr>
          <w:szCs w:val="20"/>
        </w:rPr>
        <w:t>limited</w:t>
      </w:r>
      <w:r w:rsidR="00C64050">
        <w:rPr>
          <w:szCs w:val="20"/>
        </w:rPr>
        <w:t xml:space="preserve"> </w:t>
      </w:r>
      <w:r w:rsidRPr="00631C16">
        <w:rPr>
          <w:szCs w:val="20"/>
        </w:rPr>
        <w:t>by</w:t>
      </w:r>
      <w:r w:rsidR="00C64050">
        <w:rPr>
          <w:szCs w:val="20"/>
        </w:rPr>
        <w:t xml:space="preserve"> </w:t>
      </w:r>
      <w:r w:rsidRPr="00631C16">
        <w:rPr>
          <w:szCs w:val="20"/>
        </w:rPr>
        <w:t>the</w:t>
      </w:r>
      <w:r w:rsidR="00C64050">
        <w:rPr>
          <w:szCs w:val="20"/>
        </w:rPr>
        <w:t xml:space="preserve"> </w:t>
      </w:r>
      <w:r w:rsidRPr="00631C16">
        <w:rPr>
          <w:szCs w:val="20"/>
        </w:rPr>
        <w:t>trust</w:t>
      </w:r>
      <w:r w:rsidR="00C64050">
        <w:rPr>
          <w:szCs w:val="20"/>
        </w:rPr>
        <w:t xml:space="preserve"> </w:t>
      </w:r>
      <w:r w:rsidRPr="00631C16">
        <w:rPr>
          <w:szCs w:val="20"/>
        </w:rPr>
        <w:t>instrument.</w:t>
      </w:r>
      <w:r w:rsidR="00C64050">
        <w:rPr>
          <w:szCs w:val="20"/>
        </w:rPr>
        <w:t xml:space="preserve"> </w:t>
      </w:r>
      <w:r w:rsidRPr="00631C16">
        <w:rPr>
          <w:szCs w:val="20"/>
        </w:rPr>
        <w:t>(§</w:t>
      </w:r>
      <w:r w:rsidR="00C64050">
        <w:rPr>
          <w:szCs w:val="20"/>
        </w:rPr>
        <w:t xml:space="preserve"> </w:t>
      </w:r>
      <w:r w:rsidRPr="00631C16">
        <w:rPr>
          <w:szCs w:val="20"/>
        </w:rPr>
        <w:t>16200.)</w:t>
      </w:r>
      <w:r w:rsidR="00C64050">
        <w:rPr>
          <w:szCs w:val="20"/>
        </w:rPr>
        <w:t xml:space="preserve"> </w:t>
      </w:r>
      <w:r w:rsidRPr="00631C16">
        <w:rPr>
          <w:szCs w:val="20"/>
        </w:rPr>
        <w:t>Here,</w:t>
      </w:r>
      <w:r w:rsidR="00C64050">
        <w:rPr>
          <w:szCs w:val="20"/>
        </w:rPr>
        <w:t xml:space="preserve"> </w:t>
      </w:r>
      <w:r w:rsidRPr="00631C16">
        <w:rPr>
          <w:szCs w:val="20"/>
        </w:rPr>
        <w:t>the</w:t>
      </w:r>
      <w:r w:rsidR="00C64050">
        <w:rPr>
          <w:szCs w:val="20"/>
        </w:rPr>
        <w:t xml:space="preserve"> </w:t>
      </w:r>
      <w:r w:rsidRPr="00631C16">
        <w:rPr>
          <w:szCs w:val="20"/>
        </w:rPr>
        <w:t>very</w:t>
      </w:r>
      <w:r w:rsidR="00C64050">
        <w:rPr>
          <w:szCs w:val="20"/>
        </w:rPr>
        <w:t xml:space="preserve"> </w:t>
      </w:r>
      <w:r w:rsidRPr="00631C16">
        <w:rPr>
          <w:szCs w:val="20"/>
        </w:rPr>
        <w:t>language</w:t>
      </w:r>
      <w:r w:rsidR="00C64050">
        <w:rPr>
          <w:szCs w:val="20"/>
        </w:rPr>
        <w:t xml:space="preserve"> </w:t>
      </w:r>
      <w:r w:rsidRPr="00631C16">
        <w:rPr>
          <w:szCs w:val="20"/>
        </w:rPr>
        <w:t>of</w:t>
      </w:r>
      <w:r w:rsidR="00C64050">
        <w:rPr>
          <w:szCs w:val="20"/>
        </w:rPr>
        <w:t xml:space="preserve"> </w:t>
      </w:r>
      <w:r w:rsidRPr="00631C16">
        <w:rPr>
          <w:szCs w:val="20"/>
        </w:rPr>
        <w:t>the</w:t>
      </w:r>
      <w:r w:rsidR="00C64050">
        <w:rPr>
          <w:szCs w:val="20"/>
        </w:rPr>
        <w:t xml:space="preserve"> </w:t>
      </w:r>
      <w:r w:rsidRPr="00631C16">
        <w:rPr>
          <w:szCs w:val="20"/>
        </w:rPr>
        <w:t>Marital</w:t>
      </w:r>
      <w:r w:rsidR="00C64050">
        <w:rPr>
          <w:szCs w:val="20"/>
        </w:rPr>
        <w:t xml:space="preserve"> </w:t>
      </w:r>
      <w:r w:rsidRPr="00631C16">
        <w:rPr>
          <w:szCs w:val="20"/>
        </w:rPr>
        <w:t>Trust</w:t>
      </w:r>
      <w:r w:rsidR="00C64050">
        <w:rPr>
          <w:szCs w:val="20"/>
        </w:rPr>
        <w:t xml:space="preserve"> </w:t>
      </w:r>
      <w:r w:rsidRPr="00631C16">
        <w:rPr>
          <w:szCs w:val="20"/>
        </w:rPr>
        <w:t>allowed</w:t>
      </w:r>
      <w:r w:rsidR="00C64050">
        <w:rPr>
          <w:szCs w:val="20"/>
        </w:rPr>
        <w:t xml:space="preserve"> </w:t>
      </w:r>
      <w:r w:rsidRPr="00631C16">
        <w:rPr>
          <w:szCs w:val="20"/>
        </w:rPr>
        <w:t>Berkowitz</w:t>
      </w:r>
      <w:r w:rsidR="00C64050">
        <w:rPr>
          <w:szCs w:val="20"/>
        </w:rPr>
        <w:t xml:space="preserve"> </w:t>
      </w:r>
      <w:r w:rsidRPr="00631C16">
        <w:rPr>
          <w:szCs w:val="20"/>
        </w:rPr>
        <w:t>to</w:t>
      </w:r>
      <w:r w:rsidR="00C64050">
        <w:rPr>
          <w:szCs w:val="20"/>
        </w:rPr>
        <w:t xml:space="preserve"> </w:t>
      </w:r>
      <w:r w:rsidRPr="00631C16">
        <w:rPr>
          <w:szCs w:val="20"/>
        </w:rPr>
        <w:t>act</w:t>
      </w:r>
      <w:r w:rsidR="00C64050">
        <w:rPr>
          <w:szCs w:val="20"/>
        </w:rPr>
        <w:t xml:space="preserve"> </w:t>
      </w:r>
      <w:r w:rsidRPr="00631C16">
        <w:rPr>
          <w:szCs w:val="20"/>
        </w:rPr>
        <w:t>in</w:t>
      </w:r>
      <w:r w:rsidR="00C64050">
        <w:rPr>
          <w:szCs w:val="20"/>
        </w:rPr>
        <w:t xml:space="preserve"> </w:t>
      </w:r>
      <w:r w:rsidRPr="00631C16">
        <w:rPr>
          <w:szCs w:val="20"/>
        </w:rPr>
        <w:t>his</w:t>
      </w:r>
      <w:r w:rsidR="00C64050">
        <w:rPr>
          <w:szCs w:val="20"/>
        </w:rPr>
        <w:t xml:space="preserve"> </w:t>
      </w:r>
      <w:r w:rsidRPr="00631C16">
        <w:rPr>
          <w:szCs w:val="20"/>
        </w:rPr>
        <w:t>capacity</w:t>
      </w:r>
      <w:r w:rsidR="00C64050">
        <w:rPr>
          <w:szCs w:val="20"/>
        </w:rPr>
        <w:t xml:space="preserve"> </w:t>
      </w:r>
      <w:r w:rsidRPr="00631C16">
        <w:rPr>
          <w:szCs w:val="20"/>
        </w:rPr>
        <w:t>as</w:t>
      </w:r>
      <w:r w:rsidR="00C64050">
        <w:rPr>
          <w:szCs w:val="20"/>
        </w:rPr>
        <w:t xml:space="preserve"> </w:t>
      </w:r>
      <w:r w:rsidRPr="00631C16">
        <w:rPr>
          <w:szCs w:val="20"/>
        </w:rPr>
        <w:t>the</w:t>
      </w:r>
      <w:r w:rsidR="00C64050">
        <w:rPr>
          <w:szCs w:val="20"/>
        </w:rPr>
        <w:t xml:space="preserve"> </w:t>
      </w:r>
      <w:r w:rsidRPr="00631C16">
        <w:rPr>
          <w:szCs w:val="20"/>
        </w:rPr>
        <w:t>surviving</w:t>
      </w:r>
      <w:r w:rsidR="00C64050">
        <w:rPr>
          <w:szCs w:val="20"/>
        </w:rPr>
        <w:t xml:space="preserve"> </w:t>
      </w:r>
      <w:r w:rsidRPr="00631C16">
        <w:rPr>
          <w:szCs w:val="20"/>
        </w:rPr>
        <w:t>spouse</w:t>
      </w:r>
      <w:r w:rsidR="00C64050">
        <w:rPr>
          <w:szCs w:val="20"/>
        </w:rPr>
        <w:t xml:space="preserve"> </w:t>
      </w:r>
      <w:r w:rsidRPr="00631C16">
        <w:rPr>
          <w:szCs w:val="20"/>
        </w:rPr>
        <w:t>(not</w:t>
      </w:r>
      <w:r w:rsidR="00C64050">
        <w:rPr>
          <w:szCs w:val="20"/>
        </w:rPr>
        <w:t xml:space="preserve"> </w:t>
      </w:r>
      <w:r w:rsidRPr="00631C16">
        <w:rPr>
          <w:szCs w:val="20"/>
        </w:rPr>
        <w:t>the</w:t>
      </w:r>
      <w:r w:rsidR="00C64050">
        <w:rPr>
          <w:szCs w:val="20"/>
        </w:rPr>
        <w:t xml:space="preserve"> </w:t>
      </w:r>
      <w:r w:rsidRPr="00631C16">
        <w:rPr>
          <w:szCs w:val="20"/>
        </w:rPr>
        <w:t>trustee)</w:t>
      </w:r>
      <w:r w:rsidR="00C64050">
        <w:rPr>
          <w:szCs w:val="20"/>
        </w:rPr>
        <w:t xml:space="preserve"> </w:t>
      </w:r>
      <w:r w:rsidRPr="00631C16">
        <w:rPr>
          <w:szCs w:val="20"/>
        </w:rPr>
        <w:t>and</w:t>
      </w:r>
      <w:r w:rsidR="00C64050">
        <w:rPr>
          <w:szCs w:val="20"/>
        </w:rPr>
        <w:t xml:space="preserve"> </w:t>
      </w:r>
      <w:r w:rsidRPr="00631C16">
        <w:rPr>
          <w:szCs w:val="20"/>
        </w:rPr>
        <w:t>designate</w:t>
      </w:r>
      <w:r w:rsidR="00C64050">
        <w:rPr>
          <w:szCs w:val="20"/>
        </w:rPr>
        <w:t xml:space="preserve"> </w:t>
      </w:r>
      <w:r w:rsidRPr="00631C16">
        <w:rPr>
          <w:szCs w:val="20"/>
        </w:rPr>
        <w:t>himself</w:t>
      </w:r>
      <w:r w:rsidR="00C64050">
        <w:rPr>
          <w:szCs w:val="20"/>
        </w:rPr>
        <w:t xml:space="preserve"> </w:t>
      </w:r>
      <w:r w:rsidRPr="00631C16">
        <w:rPr>
          <w:szCs w:val="20"/>
        </w:rPr>
        <w:t>as</w:t>
      </w:r>
      <w:r w:rsidR="00C64050">
        <w:rPr>
          <w:szCs w:val="20"/>
        </w:rPr>
        <w:t xml:space="preserve"> </w:t>
      </w:r>
      <w:r w:rsidRPr="00631C16">
        <w:rPr>
          <w:szCs w:val="20"/>
        </w:rPr>
        <w:t>the</w:t>
      </w:r>
      <w:r w:rsidR="00C64050">
        <w:rPr>
          <w:szCs w:val="20"/>
        </w:rPr>
        <w:t xml:space="preserve"> </w:t>
      </w:r>
      <w:r w:rsidRPr="00631C16">
        <w:rPr>
          <w:szCs w:val="20"/>
        </w:rPr>
        <w:t>recipient</w:t>
      </w:r>
      <w:r w:rsidR="00C64050">
        <w:rPr>
          <w:szCs w:val="20"/>
        </w:rPr>
        <w:t xml:space="preserve"> </w:t>
      </w:r>
      <w:r w:rsidRPr="00631C16">
        <w:rPr>
          <w:szCs w:val="20"/>
        </w:rPr>
        <w:t>of</w:t>
      </w:r>
      <w:r w:rsidR="00C64050">
        <w:rPr>
          <w:szCs w:val="20"/>
        </w:rPr>
        <w:t xml:space="preserve"> </w:t>
      </w:r>
      <w:r w:rsidRPr="00631C16">
        <w:rPr>
          <w:szCs w:val="20"/>
        </w:rPr>
        <w:t>the</w:t>
      </w:r>
      <w:r w:rsidR="00C64050">
        <w:rPr>
          <w:szCs w:val="20"/>
        </w:rPr>
        <w:t xml:space="preserve"> </w:t>
      </w:r>
      <w:r w:rsidRPr="00631C16">
        <w:rPr>
          <w:szCs w:val="20"/>
        </w:rPr>
        <w:t>Trust</w:t>
      </w:r>
      <w:r w:rsidR="00C64050">
        <w:rPr>
          <w:szCs w:val="20"/>
        </w:rPr>
        <w:t xml:space="preserve"> </w:t>
      </w:r>
      <w:r w:rsidRPr="00631C16">
        <w:rPr>
          <w:szCs w:val="20"/>
        </w:rPr>
        <w:t>assets.</w:t>
      </w:r>
      <w:r w:rsidR="00C64050">
        <w:rPr>
          <w:szCs w:val="20"/>
        </w:rPr>
        <w:t xml:space="preserve"> </w:t>
      </w:r>
      <w:r w:rsidRPr="00631C16">
        <w:rPr>
          <w:szCs w:val="20"/>
        </w:rPr>
        <w:t>The</w:t>
      </w:r>
      <w:r w:rsidR="00C64050">
        <w:rPr>
          <w:szCs w:val="20"/>
        </w:rPr>
        <w:t xml:space="preserve"> </w:t>
      </w:r>
      <w:r w:rsidRPr="00631C16">
        <w:rPr>
          <w:szCs w:val="20"/>
        </w:rPr>
        <w:t>Marital</w:t>
      </w:r>
      <w:r w:rsidR="00C64050">
        <w:rPr>
          <w:szCs w:val="20"/>
        </w:rPr>
        <w:t xml:space="preserve"> </w:t>
      </w:r>
      <w:r w:rsidRPr="00631C16">
        <w:rPr>
          <w:szCs w:val="20"/>
        </w:rPr>
        <w:t>Trust</w:t>
      </w:r>
      <w:r w:rsidR="00C64050">
        <w:rPr>
          <w:szCs w:val="20"/>
        </w:rPr>
        <w:t xml:space="preserve"> </w:t>
      </w:r>
      <w:r w:rsidRPr="00631C16">
        <w:rPr>
          <w:szCs w:val="20"/>
        </w:rPr>
        <w:t>then</w:t>
      </w:r>
      <w:r w:rsidR="00C64050">
        <w:rPr>
          <w:szCs w:val="20"/>
        </w:rPr>
        <w:t xml:space="preserve"> </w:t>
      </w:r>
      <w:r w:rsidRPr="00631C16">
        <w:rPr>
          <w:szCs w:val="20"/>
        </w:rPr>
        <w:t>required</w:t>
      </w:r>
      <w:r w:rsidR="00C64050">
        <w:rPr>
          <w:szCs w:val="20"/>
        </w:rPr>
        <w:t xml:space="preserve"> </w:t>
      </w:r>
      <w:r w:rsidRPr="00631C16">
        <w:rPr>
          <w:szCs w:val="20"/>
        </w:rPr>
        <w:t>the</w:t>
      </w:r>
      <w:r w:rsidR="00C64050">
        <w:rPr>
          <w:szCs w:val="20"/>
        </w:rPr>
        <w:t xml:space="preserve"> </w:t>
      </w:r>
      <w:r w:rsidRPr="00631C16">
        <w:rPr>
          <w:szCs w:val="20"/>
        </w:rPr>
        <w:t>trustee</w:t>
      </w:r>
      <w:r w:rsidR="00C64050">
        <w:rPr>
          <w:szCs w:val="20"/>
        </w:rPr>
        <w:t xml:space="preserve"> </w:t>
      </w:r>
      <w:r w:rsidRPr="00631C16">
        <w:rPr>
          <w:szCs w:val="20"/>
        </w:rPr>
        <w:t>to</w:t>
      </w:r>
      <w:r w:rsidR="00C64050">
        <w:rPr>
          <w:szCs w:val="20"/>
        </w:rPr>
        <w:t xml:space="preserve"> </w:t>
      </w:r>
      <w:r w:rsidRPr="00631C16">
        <w:rPr>
          <w:szCs w:val="20"/>
        </w:rPr>
        <w:t>distribute</w:t>
      </w:r>
      <w:r w:rsidR="00C64050">
        <w:rPr>
          <w:szCs w:val="20"/>
        </w:rPr>
        <w:t xml:space="preserve"> </w:t>
      </w:r>
      <w:r w:rsidRPr="00631C16">
        <w:rPr>
          <w:szCs w:val="20"/>
        </w:rPr>
        <w:t>the</w:t>
      </w:r>
      <w:r w:rsidR="00C64050">
        <w:rPr>
          <w:szCs w:val="20"/>
        </w:rPr>
        <w:t xml:space="preserve"> </w:t>
      </w:r>
      <w:r w:rsidRPr="00631C16">
        <w:rPr>
          <w:szCs w:val="20"/>
        </w:rPr>
        <w:t>assets</w:t>
      </w:r>
      <w:r w:rsidR="00C64050">
        <w:rPr>
          <w:szCs w:val="20"/>
        </w:rPr>
        <w:t xml:space="preserve"> </w:t>
      </w:r>
      <w:r w:rsidRPr="00631C16">
        <w:rPr>
          <w:szCs w:val="20"/>
        </w:rPr>
        <w:t>to</w:t>
      </w:r>
      <w:r w:rsidR="00C64050">
        <w:rPr>
          <w:szCs w:val="20"/>
        </w:rPr>
        <w:t xml:space="preserve"> </w:t>
      </w:r>
      <w:r w:rsidRPr="00631C16">
        <w:rPr>
          <w:szCs w:val="20"/>
        </w:rPr>
        <w:t>any</w:t>
      </w:r>
      <w:r w:rsidR="00C64050">
        <w:rPr>
          <w:szCs w:val="20"/>
        </w:rPr>
        <w:t xml:space="preserve"> </w:t>
      </w:r>
      <w:r w:rsidRPr="00631C16">
        <w:rPr>
          <w:szCs w:val="20"/>
        </w:rPr>
        <w:t>person</w:t>
      </w:r>
      <w:r w:rsidR="00C64050">
        <w:rPr>
          <w:szCs w:val="20"/>
        </w:rPr>
        <w:t xml:space="preserve"> </w:t>
      </w:r>
      <w:r w:rsidRPr="00631C16">
        <w:rPr>
          <w:szCs w:val="20"/>
        </w:rPr>
        <w:t>designated</w:t>
      </w:r>
      <w:r w:rsidR="00C64050">
        <w:rPr>
          <w:szCs w:val="20"/>
        </w:rPr>
        <w:t xml:space="preserve"> </w:t>
      </w:r>
      <w:r w:rsidRPr="00631C16">
        <w:rPr>
          <w:szCs w:val="20"/>
        </w:rPr>
        <w:t>by</w:t>
      </w:r>
      <w:r w:rsidR="00C64050">
        <w:rPr>
          <w:szCs w:val="20"/>
        </w:rPr>
        <w:t xml:space="preserve"> </w:t>
      </w:r>
      <w:r w:rsidRPr="00631C16">
        <w:rPr>
          <w:szCs w:val="20"/>
        </w:rPr>
        <w:t>the</w:t>
      </w:r>
      <w:r w:rsidR="00C64050">
        <w:rPr>
          <w:szCs w:val="20"/>
        </w:rPr>
        <w:t xml:space="preserve"> </w:t>
      </w:r>
      <w:r w:rsidRPr="00631C16">
        <w:rPr>
          <w:szCs w:val="20"/>
        </w:rPr>
        <w:t>surviving</w:t>
      </w:r>
      <w:r w:rsidR="00C64050">
        <w:rPr>
          <w:szCs w:val="20"/>
        </w:rPr>
        <w:t xml:space="preserve"> </w:t>
      </w:r>
      <w:r w:rsidRPr="00631C16">
        <w:rPr>
          <w:szCs w:val="20"/>
        </w:rPr>
        <w:t>spouse,</w:t>
      </w:r>
      <w:r w:rsidR="00C64050">
        <w:rPr>
          <w:szCs w:val="20"/>
        </w:rPr>
        <w:t xml:space="preserve"> </w:t>
      </w:r>
      <w:r w:rsidRPr="00631C16">
        <w:rPr>
          <w:szCs w:val="20"/>
        </w:rPr>
        <w:t>including</w:t>
      </w:r>
      <w:r w:rsidR="00C64050">
        <w:rPr>
          <w:szCs w:val="20"/>
        </w:rPr>
        <w:t xml:space="preserve"> </w:t>
      </w:r>
      <w:r w:rsidRPr="00631C16">
        <w:rPr>
          <w:szCs w:val="20"/>
        </w:rPr>
        <w:t>the</w:t>
      </w:r>
      <w:r w:rsidR="00C64050">
        <w:rPr>
          <w:szCs w:val="20"/>
        </w:rPr>
        <w:t xml:space="preserve"> </w:t>
      </w:r>
      <w:r w:rsidRPr="00631C16">
        <w:rPr>
          <w:szCs w:val="20"/>
        </w:rPr>
        <w:t>surviving</w:t>
      </w:r>
      <w:r w:rsidR="00C64050">
        <w:rPr>
          <w:szCs w:val="20"/>
        </w:rPr>
        <w:t xml:space="preserve"> </w:t>
      </w:r>
      <w:r w:rsidRPr="00631C16">
        <w:rPr>
          <w:szCs w:val="20"/>
        </w:rPr>
        <w:t>spouse</w:t>
      </w:r>
      <w:r w:rsidR="00C64050">
        <w:rPr>
          <w:szCs w:val="20"/>
        </w:rPr>
        <w:t xml:space="preserve"> </w:t>
      </w:r>
      <w:r w:rsidRPr="00631C16">
        <w:rPr>
          <w:szCs w:val="20"/>
        </w:rPr>
        <w:t>himself.</w:t>
      </w:r>
      <w:r w:rsidR="00C64050">
        <w:rPr>
          <w:szCs w:val="20"/>
        </w:rPr>
        <w:t xml:space="preserve"> </w:t>
      </w:r>
      <w:r w:rsidRPr="00631C16">
        <w:rPr>
          <w:szCs w:val="20"/>
        </w:rPr>
        <w:t>Thus,</w:t>
      </w:r>
      <w:r w:rsidR="00C64050">
        <w:rPr>
          <w:szCs w:val="20"/>
        </w:rPr>
        <w:t xml:space="preserve"> </w:t>
      </w:r>
      <w:r w:rsidRPr="00631C16">
        <w:rPr>
          <w:szCs w:val="20"/>
        </w:rPr>
        <w:t>under</w:t>
      </w:r>
      <w:r w:rsidR="00C64050">
        <w:rPr>
          <w:szCs w:val="20"/>
        </w:rPr>
        <w:t xml:space="preserve"> </w:t>
      </w:r>
      <w:r w:rsidRPr="00631C16">
        <w:rPr>
          <w:szCs w:val="20"/>
        </w:rPr>
        <w:t>the</w:t>
      </w:r>
      <w:r w:rsidR="00C64050">
        <w:rPr>
          <w:szCs w:val="20"/>
        </w:rPr>
        <w:t xml:space="preserve"> </w:t>
      </w:r>
      <w:r w:rsidRPr="00631C16">
        <w:rPr>
          <w:szCs w:val="20"/>
        </w:rPr>
        <w:t>plain</w:t>
      </w:r>
      <w:r w:rsidR="00C64050">
        <w:rPr>
          <w:szCs w:val="20"/>
        </w:rPr>
        <w:t xml:space="preserve"> </w:t>
      </w:r>
      <w:r w:rsidRPr="00631C16">
        <w:rPr>
          <w:szCs w:val="20"/>
        </w:rPr>
        <w:t>terms</w:t>
      </w:r>
      <w:r w:rsidR="00C64050">
        <w:rPr>
          <w:szCs w:val="20"/>
        </w:rPr>
        <w:t xml:space="preserve"> </w:t>
      </w:r>
      <w:r w:rsidRPr="00631C16">
        <w:rPr>
          <w:szCs w:val="20"/>
        </w:rPr>
        <w:t>of</w:t>
      </w:r>
      <w:r w:rsidR="00C64050">
        <w:rPr>
          <w:szCs w:val="20"/>
        </w:rPr>
        <w:t xml:space="preserve"> </w:t>
      </w:r>
      <w:r w:rsidRPr="00631C16">
        <w:rPr>
          <w:szCs w:val="20"/>
        </w:rPr>
        <w:t>the</w:t>
      </w:r>
      <w:r w:rsidR="00C64050">
        <w:rPr>
          <w:szCs w:val="20"/>
        </w:rPr>
        <w:t xml:space="preserve"> </w:t>
      </w:r>
      <w:r w:rsidRPr="00631C16">
        <w:rPr>
          <w:szCs w:val="20"/>
        </w:rPr>
        <w:t>Marital</w:t>
      </w:r>
      <w:r w:rsidR="00C64050">
        <w:rPr>
          <w:szCs w:val="20"/>
        </w:rPr>
        <w:t xml:space="preserve"> </w:t>
      </w:r>
      <w:r w:rsidRPr="00631C16">
        <w:rPr>
          <w:szCs w:val="20"/>
        </w:rPr>
        <w:t>Trust,</w:t>
      </w:r>
      <w:r w:rsidR="00C64050">
        <w:rPr>
          <w:szCs w:val="20"/>
        </w:rPr>
        <w:t xml:space="preserve"> </w:t>
      </w:r>
      <w:r w:rsidRPr="00631C16">
        <w:rPr>
          <w:szCs w:val="20"/>
        </w:rPr>
        <w:t>Berkowitz</w:t>
      </w:r>
      <w:r w:rsidR="00C64050">
        <w:rPr>
          <w:szCs w:val="20"/>
        </w:rPr>
        <w:t xml:space="preserve"> </w:t>
      </w:r>
      <w:r w:rsidRPr="00631C16">
        <w:rPr>
          <w:szCs w:val="20"/>
        </w:rPr>
        <w:t>(acting</w:t>
      </w:r>
      <w:r w:rsidR="00C64050">
        <w:rPr>
          <w:szCs w:val="20"/>
        </w:rPr>
        <w:t xml:space="preserve"> </w:t>
      </w:r>
      <w:r w:rsidRPr="00631C16">
        <w:rPr>
          <w:szCs w:val="20"/>
        </w:rPr>
        <w:t>as</w:t>
      </w:r>
      <w:r w:rsidR="00C64050">
        <w:rPr>
          <w:szCs w:val="20"/>
        </w:rPr>
        <w:t xml:space="preserve"> </w:t>
      </w:r>
      <w:r w:rsidRPr="00631C16">
        <w:rPr>
          <w:szCs w:val="20"/>
        </w:rPr>
        <w:t>the</w:t>
      </w:r>
      <w:r w:rsidR="00C64050">
        <w:rPr>
          <w:szCs w:val="20"/>
        </w:rPr>
        <w:t xml:space="preserve"> </w:t>
      </w:r>
      <w:r w:rsidRPr="00631C16">
        <w:rPr>
          <w:szCs w:val="20"/>
        </w:rPr>
        <w:t>trustee)</w:t>
      </w:r>
      <w:r w:rsidR="00C64050">
        <w:rPr>
          <w:szCs w:val="20"/>
        </w:rPr>
        <w:t xml:space="preserve"> </w:t>
      </w:r>
      <w:r w:rsidRPr="00631C16">
        <w:rPr>
          <w:szCs w:val="20"/>
        </w:rPr>
        <w:t>was</w:t>
      </w:r>
      <w:r w:rsidR="00C64050">
        <w:rPr>
          <w:szCs w:val="20"/>
        </w:rPr>
        <w:t xml:space="preserve"> </w:t>
      </w:r>
      <w:r w:rsidRPr="00631C16">
        <w:rPr>
          <w:szCs w:val="20"/>
        </w:rPr>
        <w:t>required</w:t>
      </w:r>
      <w:r w:rsidR="00C64050">
        <w:rPr>
          <w:szCs w:val="20"/>
        </w:rPr>
        <w:t xml:space="preserve"> </w:t>
      </w:r>
      <w:r w:rsidRPr="00631C16">
        <w:rPr>
          <w:szCs w:val="20"/>
        </w:rPr>
        <w:t>to</w:t>
      </w:r>
      <w:r w:rsidR="00C64050">
        <w:rPr>
          <w:szCs w:val="20"/>
        </w:rPr>
        <w:t xml:space="preserve"> </w:t>
      </w:r>
      <w:r w:rsidRPr="00631C16">
        <w:rPr>
          <w:szCs w:val="20"/>
        </w:rPr>
        <w:t>transfer</w:t>
      </w:r>
      <w:r w:rsidR="00C64050">
        <w:rPr>
          <w:szCs w:val="20"/>
        </w:rPr>
        <w:t xml:space="preserve"> </w:t>
      </w:r>
      <w:r w:rsidRPr="00631C16">
        <w:rPr>
          <w:szCs w:val="20"/>
        </w:rPr>
        <w:t>the</w:t>
      </w:r>
      <w:r w:rsidR="00C64050">
        <w:rPr>
          <w:szCs w:val="20"/>
        </w:rPr>
        <w:t xml:space="preserve"> </w:t>
      </w:r>
      <w:r w:rsidRPr="00631C16">
        <w:rPr>
          <w:szCs w:val="20"/>
        </w:rPr>
        <w:t>assets</w:t>
      </w:r>
      <w:r w:rsidR="00C64050">
        <w:rPr>
          <w:szCs w:val="20"/>
        </w:rPr>
        <w:t xml:space="preserve"> </w:t>
      </w:r>
      <w:r w:rsidRPr="00631C16">
        <w:rPr>
          <w:szCs w:val="20"/>
        </w:rPr>
        <w:t>once</w:t>
      </w:r>
      <w:r w:rsidR="00C64050">
        <w:rPr>
          <w:szCs w:val="20"/>
        </w:rPr>
        <w:t xml:space="preserve"> </w:t>
      </w:r>
      <w:r w:rsidRPr="00631C16">
        <w:rPr>
          <w:szCs w:val="20"/>
        </w:rPr>
        <w:t>he</w:t>
      </w:r>
      <w:r w:rsidR="00C64050">
        <w:rPr>
          <w:szCs w:val="20"/>
        </w:rPr>
        <w:t xml:space="preserve"> </w:t>
      </w:r>
      <w:r w:rsidRPr="00631C16">
        <w:rPr>
          <w:szCs w:val="20"/>
        </w:rPr>
        <w:t>exercised</w:t>
      </w:r>
      <w:r w:rsidR="00C64050">
        <w:rPr>
          <w:szCs w:val="20"/>
        </w:rPr>
        <w:t xml:space="preserve"> </w:t>
      </w:r>
      <w:r w:rsidRPr="00631C16">
        <w:rPr>
          <w:szCs w:val="20"/>
        </w:rPr>
        <w:t>the</w:t>
      </w:r>
      <w:r w:rsidR="00C64050">
        <w:rPr>
          <w:szCs w:val="20"/>
        </w:rPr>
        <w:t xml:space="preserve"> </w:t>
      </w:r>
      <w:r w:rsidRPr="00631C16">
        <w:rPr>
          <w:szCs w:val="20"/>
        </w:rPr>
        <w:t>power</w:t>
      </w:r>
      <w:r w:rsidR="00C64050">
        <w:rPr>
          <w:szCs w:val="20"/>
        </w:rPr>
        <w:t xml:space="preserve"> </w:t>
      </w:r>
      <w:r w:rsidRPr="00631C16">
        <w:rPr>
          <w:szCs w:val="20"/>
        </w:rPr>
        <w:t>of</w:t>
      </w:r>
      <w:r w:rsidR="00C64050">
        <w:rPr>
          <w:szCs w:val="20"/>
        </w:rPr>
        <w:t xml:space="preserve"> </w:t>
      </w:r>
      <w:r w:rsidRPr="00631C16">
        <w:rPr>
          <w:szCs w:val="20"/>
        </w:rPr>
        <w:t>appointment</w:t>
      </w:r>
      <w:r w:rsidR="00C64050">
        <w:rPr>
          <w:szCs w:val="20"/>
        </w:rPr>
        <w:t xml:space="preserve"> </w:t>
      </w:r>
      <w:r w:rsidRPr="00631C16">
        <w:rPr>
          <w:szCs w:val="20"/>
        </w:rPr>
        <w:t>in</w:t>
      </w:r>
      <w:r w:rsidR="00C64050">
        <w:rPr>
          <w:szCs w:val="20"/>
        </w:rPr>
        <w:t xml:space="preserve"> </w:t>
      </w:r>
      <w:r w:rsidRPr="00631C16">
        <w:rPr>
          <w:szCs w:val="20"/>
        </w:rPr>
        <w:t>his</w:t>
      </w:r>
      <w:r w:rsidR="00C64050">
        <w:rPr>
          <w:szCs w:val="20"/>
        </w:rPr>
        <w:t xml:space="preserve"> </w:t>
      </w:r>
      <w:r w:rsidRPr="00631C16">
        <w:rPr>
          <w:szCs w:val="20"/>
        </w:rPr>
        <w:t>favor.</w:t>
      </w:r>
      <w:r w:rsidR="00C64050">
        <w:rPr>
          <w:szCs w:val="20"/>
        </w:rPr>
        <w:t xml:space="preserve"> </w:t>
      </w:r>
      <w:r w:rsidRPr="00631C16">
        <w:rPr>
          <w:szCs w:val="20"/>
        </w:rPr>
        <w:t>He</w:t>
      </w:r>
      <w:r w:rsidR="00C64050">
        <w:rPr>
          <w:szCs w:val="20"/>
        </w:rPr>
        <w:t xml:space="preserve"> </w:t>
      </w:r>
      <w:r w:rsidRPr="00631C16">
        <w:rPr>
          <w:szCs w:val="20"/>
        </w:rPr>
        <w:t>could</w:t>
      </w:r>
      <w:r w:rsidR="00C64050">
        <w:rPr>
          <w:szCs w:val="20"/>
        </w:rPr>
        <w:t xml:space="preserve"> </w:t>
      </w:r>
      <w:r w:rsidRPr="00631C16">
        <w:rPr>
          <w:szCs w:val="20"/>
        </w:rPr>
        <w:t>not</w:t>
      </w:r>
      <w:r w:rsidR="00C64050">
        <w:rPr>
          <w:szCs w:val="20"/>
        </w:rPr>
        <w:t xml:space="preserve"> </w:t>
      </w:r>
      <w:r w:rsidRPr="00631C16">
        <w:rPr>
          <w:szCs w:val="20"/>
        </w:rPr>
        <w:t>possibly</w:t>
      </w:r>
      <w:r w:rsidR="00C64050">
        <w:rPr>
          <w:szCs w:val="20"/>
        </w:rPr>
        <w:t xml:space="preserve"> </w:t>
      </w:r>
      <w:r w:rsidRPr="00631C16">
        <w:rPr>
          <w:szCs w:val="20"/>
        </w:rPr>
        <w:t>have</w:t>
      </w:r>
      <w:r w:rsidR="00C64050">
        <w:rPr>
          <w:szCs w:val="20"/>
        </w:rPr>
        <w:t xml:space="preserve"> </w:t>
      </w:r>
      <w:r w:rsidRPr="00631C16">
        <w:rPr>
          <w:szCs w:val="20"/>
        </w:rPr>
        <w:t>breached</w:t>
      </w:r>
      <w:r w:rsidR="00C64050">
        <w:rPr>
          <w:szCs w:val="20"/>
        </w:rPr>
        <w:t xml:space="preserve"> </w:t>
      </w:r>
      <w:r w:rsidRPr="00631C16">
        <w:rPr>
          <w:szCs w:val="20"/>
        </w:rPr>
        <w:t>any</w:t>
      </w:r>
      <w:r w:rsidR="00C64050">
        <w:rPr>
          <w:szCs w:val="20"/>
        </w:rPr>
        <w:t xml:space="preserve"> </w:t>
      </w:r>
      <w:r w:rsidRPr="00631C16">
        <w:rPr>
          <w:szCs w:val="20"/>
        </w:rPr>
        <w:t>fiduciary</w:t>
      </w:r>
      <w:r w:rsidR="00C64050">
        <w:rPr>
          <w:szCs w:val="20"/>
        </w:rPr>
        <w:t xml:space="preserve"> </w:t>
      </w:r>
      <w:r w:rsidRPr="00631C16">
        <w:rPr>
          <w:szCs w:val="20"/>
        </w:rPr>
        <w:t>duties</w:t>
      </w:r>
      <w:r w:rsidR="00C64050">
        <w:rPr>
          <w:szCs w:val="20"/>
        </w:rPr>
        <w:t xml:space="preserve"> </w:t>
      </w:r>
      <w:r w:rsidRPr="00631C16">
        <w:rPr>
          <w:szCs w:val="20"/>
        </w:rPr>
        <w:t>by</w:t>
      </w:r>
      <w:r w:rsidR="00C64050">
        <w:rPr>
          <w:szCs w:val="20"/>
        </w:rPr>
        <w:t xml:space="preserve"> </w:t>
      </w:r>
      <w:r w:rsidRPr="00631C16">
        <w:rPr>
          <w:szCs w:val="20"/>
        </w:rPr>
        <w:t>doing</w:t>
      </w:r>
      <w:r w:rsidR="00C64050">
        <w:rPr>
          <w:szCs w:val="20"/>
        </w:rPr>
        <w:t xml:space="preserve"> </w:t>
      </w:r>
      <w:r w:rsidRPr="00631C16">
        <w:rPr>
          <w:szCs w:val="20"/>
        </w:rPr>
        <w:t>something</w:t>
      </w:r>
      <w:r w:rsidR="00C64050">
        <w:rPr>
          <w:szCs w:val="20"/>
        </w:rPr>
        <w:t xml:space="preserve"> </w:t>
      </w:r>
      <w:r w:rsidRPr="00631C16">
        <w:rPr>
          <w:szCs w:val="20"/>
        </w:rPr>
        <w:t>that</w:t>
      </w:r>
      <w:r w:rsidR="00C64050">
        <w:rPr>
          <w:szCs w:val="20"/>
        </w:rPr>
        <w:t xml:space="preserve"> </w:t>
      </w:r>
      <w:r w:rsidRPr="00631C16">
        <w:rPr>
          <w:szCs w:val="20"/>
        </w:rPr>
        <w:t>was</w:t>
      </w:r>
      <w:r w:rsidR="00C64050">
        <w:rPr>
          <w:szCs w:val="20"/>
        </w:rPr>
        <w:t xml:space="preserve"> </w:t>
      </w:r>
      <w:r w:rsidRPr="00631C16">
        <w:rPr>
          <w:szCs w:val="20"/>
        </w:rPr>
        <w:t>expressly</w:t>
      </w:r>
      <w:r w:rsidR="00C64050">
        <w:rPr>
          <w:szCs w:val="20"/>
        </w:rPr>
        <w:t xml:space="preserve"> </w:t>
      </w:r>
      <w:r w:rsidRPr="00631C16">
        <w:rPr>
          <w:szCs w:val="20"/>
        </w:rPr>
        <w:t>authorized</w:t>
      </w:r>
      <w:r w:rsidR="00C64050">
        <w:rPr>
          <w:szCs w:val="20"/>
        </w:rPr>
        <w:t xml:space="preserve"> </w:t>
      </w:r>
      <w:r w:rsidRPr="00631C16">
        <w:rPr>
          <w:szCs w:val="20"/>
        </w:rPr>
        <w:t>and</w:t>
      </w:r>
      <w:r w:rsidR="00C64050">
        <w:rPr>
          <w:szCs w:val="20"/>
        </w:rPr>
        <w:t xml:space="preserve"> </w:t>
      </w:r>
      <w:r w:rsidRPr="00631C16">
        <w:rPr>
          <w:szCs w:val="20"/>
        </w:rPr>
        <w:t>required</w:t>
      </w:r>
      <w:r w:rsidR="00C64050">
        <w:rPr>
          <w:szCs w:val="20"/>
        </w:rPr>
        <w:t xml:space="preserve"> </w:t>
      </w:r>
      <w:r w:rsidRPr="00631C16">
        <w:rPr>
          <w:szCs w:val="20"/>
        </w:rPr>
        <w:t>under</w:t>
      </w:r>
      <w:r w:rsidR="00C64050">
        <w:rPr>
          <w:szCs w:val="20"/>
        </w:rPr>
        <w:t xml:space="preserve"> </w:t>
      </w:r>
      <w:r w:rsidRPr="00631C16">
        <w:rPr>
          <w:szCs w:val="20"/>
        </w:rPr>
        <w:t>the</w:t>
      </w:r>
      <w:r w:rsidR="00C64050">
        <w:rPr>
          <w:szCs w:val="20"/>
        </w:rPr>
        <w:t xml:space="preserve"> </w:t>
      </w:r>
      <w:r w:rsidRPr="00631C16">
        <w:rPr>
          <w:szCs w:val="20"/>
        </w:rPr>
        <w:t>terms</w:t>
      </w:r>
      <w:r w:rsidR="00C64050">
        <w:rPr>
          <w:szCs w:val="20"/>
        </w:rPr>
        <w:t xml:space="preserve"> </w:t>
      </w:r>
      <w:r w:rsidRPr="00631C16">
        <w:rPr>
          <w:szCs w:val="20"/>
        </w:rPr>
        <w:t>of</w:t>
      </w:r>
      <w:r w:rsidR="00C64050">
        <w:rPr>
          <w:szCs w:val="20"/>
        </w:rPr>
        <w:t xml:space="preserve"> </w:t>
      </w:r>
      <w:r w:rsidRPr="00631C16">
        <w:rPr>
          <w:szCs w:val="20"/>
        </w:rPr>
        <w:t>the</w:t>
      </w:r>
      <w:r w:rsidR="00C64050">
        <w:rPr>
          <w:szCs w:val="20"/>
        </w:rPr>
        <w:t xml:space="preserve"> </w:t>
      </w:r>
      <w:r w:rsidRPr="00631C16">
        <w:rPr>
          <w:szCs w:val="20"/>
        </w:rPr>
        <w:t>Marital</w:t>
      </w:r>
      <w:r w:rsidR="00C64050">
        <w:rPr>
          <w:szCs w:val="20"/>
        </w:rPr>
        <w:t xml:space="preserve"> </w:t>
      </w:r>
      <w:r w:rsidRPr="00631C16">
        <w:rPr>
          <w:szCs w:val="20"/>
        </w:rPr>
        <w:t>Trust.</w:t>
      </w:r>
      <w:r w:rsidR="00C64050">
        <w:rPr>
          <w:szCs w:val="20"/>
        </w:rPr>
        <w:t xml:space="preserve"> </w:t>
      </w:r>
      <w:r w:rsidRPr="00631C16">
        <w:rPr>
          <w:szCs w:val="20"/>
        </w:rPr>
        <w:t>(</w:t>
      </w:r>
      <w:r w:rsidRPr="00631C16">
        <w:rPr>
          <w:rStyle w:val="Emphasis"/>
          <w:szCs w:val="20"/>
        </w:rPr>
        <w:t>Hearst</w:t>
      </w:r>
      <w:r w:rsidR="00C64050">
        <w:rPr>
          <w:rStyle w:val="Emphasis"/>
          <w:szCs w:val="20"/>
        </w:rPr>
        <w:t xml:space="preserve"> </w:t>
      </w:r>
      <w:r w:rsidRPr="00631C16">
        <w:rPr>
          <w:rStyle w:val="Emphasis"/>
          <w:szCs w:val="20"/>
        </w:rPr>
        <w:t>v.</w:t>
      </w:r>
      <w:r w:rsidR="00C64050">
        <w:rPr>
          <w:rStyle w:val="Emphasis"/>
          <w:szCs w:val="20"/>
        </w:rPr>
        <w:t xml:space="preserve"> </w:t>
      </w:r>
      <w:r w:rsidRPr="00631C16">
        <w:rPr>
          <w:rStyle w:val="Emphasis"/>
          <w:szCs w:val="20"/>
        </w:rPr>
        <w:t>Ganzi</w:t>
      </w:r>
      <w:r w:rsidR="00C64050">
        <w:rPr>
          <w:szCs w:val="20"/>
        </w:rPr>
        <w:t xml:space="preserve"> </w:t>
      </w:r>
      <w:r w:rsidRPr="00631C16">
        <w:rPr>
          <w:szCs w:val="20"/>
        </w:rPr>
        <w:t>(2006)</w:t>
      </w:r>
      <w:r w:rsidR="00C64050">
        <w:rPr>
          <w:szCs w:val="20"/>
        </w:rPr>
        <w:t xml:space="preserve"> </w:t>
      </w:r>
      <w:r w:rsidRPr="00631C16">
        <w:rPr>
          <w:szCs w:val="20"/>
        </w:rPr>
        <w:t>145</w:t>
      </w:r>
      <w:r w:rsidR="00C64050">
        <w:rPr>
          <w:szCs w:val="20"/>
        </w:rPr>
        <w:t xml:space="preserve"> </w:t>
      </w:r>
      <w:r w:rsidRPr="00631C16">
        <w:rPr>
          <w:szCs w:val="20"/>
        </w:rPr>
        <w:t>Cal.App.4th</w:t>
      </w:r>
      <w:r w:rsidR="00C64050">
        <w:rPr>
          <w:szCs w:val="20"/>
        </w:rPr>
        <w:t xml:space="preserve"> </w:t>
      </w:r>
      <w:r w:rsidRPr="00631C16">
        <w:rPr>
          <w:szCs w:val="20"/>
        </w:rPr>
        <w:t>1195,</w:t>
      </w:r>
      <w:r w:rsidR="00C64050">
        <w:rPr>
          <w:szCs w:val="20"/>
        </w:rPr>
        <w:t xml:space="preserve"> </w:t>
      </w:r>
      <w:r w:rsidRPr="00631C16">
        <w:rPr>
          <w:szCs w:val="20"/>
        </w:rPr>
        <w:t>1207-1208,</w:t>
      </w:r>
      <w:r w:rsidR="00C64050">
        <w:rPr>
          <w:szCs w:val="20"/>
        </w:rPr>
        <w:t xml:space="preserve"> </w:t>
      </w:r>
      <w:r w:rsidRPr="00631C16">
        <w:rPr>
          <w:szCs w:val="20"/>
        </w:rPr>
        <w:t>52</w:t>
      </w:r>
      <w:r w:rsidR="00C64050">
        <w:rPr>
          <w:szCs w:val="20"/>
        </w:rPr>
        <w:t xml:space="preserve"> </w:t>
      </w:r>
      <w:r w:rsidRPr="00631C16">
        <w:rPr>
          <w:szCs w:val="20"/>
        </w:rPr>
        <w:t>Cal.Rptr.3d</w:t>
      </w:r>
      <w:r w:rsidR="00C64050">
        <w:rPr>
          <w:szCs w:val="20"/>
        </w:rPr>
        <w:t xml:space="preserve"> </w:t>
      </w:r>
      <w:r w:rsidRPr="00631C16">
        <w:rPr>
          <w:szCs w:val="20"/>
        </w:rPr>
        <w:t>473</w:t>
      </w:r>
      <w:r w:rsidR="00C64050">
        <w:rPr>
          <w:szCs w:val="20"/>
        </w:rPr>
        <w:t xml:space="preserve"> </w:t>
      </w:r>
      <w:r w:rsidRPr="00631C16">
        <w:rPr>
          <w:szCs w:val="20"/>
        </w:rPr>
        <w:t>[trustees</w:t>
      </w:r>
      <w:r w:rsidR="00C64050">
        <w:rPr>
          <w:szCs w:val="20"/>
        </w:rPr>
        <w:t xml:space="preserve"> </w:t>
      </w:r>
      <w:r w:rsidRPr="00631C16">
        <w:rPr>
          <w:szCs w:val="20"/>
        </w:rPr>
        <w:t>did</w:t>
      </w:r>
      <w:r w:rsidR="00C64050">
        <w:rPr>
          <w:szCs w:val="20"/>
        </w:rPr>
        <w:t xml:space="preserve"> </w:t>
      </w:r>
      <w:r w:rsidRPr="00631C16">
        <w:rPr>
          <w:szCs w:val="20"/>
        </w:rPr>
        <w:t>not</w:t>
      </w:r>
      <w:r w:rsidR="00C64050">
        <w:rPr>
          <w:szCs w:val="20"/>
        </w:rPr>
        <w:t xml:space="preserve"> </w:t>
      </w:r>
      <w:r w:rsidRPr="00631C16">
        <w:rPr>
          <w:szCs w:val="20"/>
        </w:rPr>
        <w:t>breach</w:t>
      </w:r>
      <w:r w:rsidR="00C64050">
        <w:rPr>
          <w:szCs w:val="20"/>
        </w:rPr>
        <w:t xml:space="preserve"> </w:t>
      </w:r>
      <w:r w:rsidRPr="00631C16">
        <w:rPr>
          <w:szCs w:val="20"/>
        </w:rPr>
        <w:t>their</w:t>
      </w:r>
      <w:r w:rsidR="00C64050">
        <w:rPr>
          <w:szCs w:val="20"/>
        </w:rPr>
        <w:t xml:space="preserve"> </w:t>
      </w:r>
      <w:r w:rsidRPr="00631C16">
        <w:rPr>
          <w:szCs w:val="20"/>
        </w:rPr>
        <w:t>fiduciary</w:t>
      </w:r>
      <w:r w:rsidR="00C64050">
        <w:rPr>
          <w:szCs w:val="20"/>
        </w:rPr>
        <w:t xml:space="preserve"> </w:t>
      </w:r>
      <w:r w:rsidRPr="00631C16">
        <w:rPr>
          <w:szCs w:val="20"/>
        </w:rPr>
        <w:t>duties</w:t>
      </w:r>
      <w:r w:rsidR="00C64050">
        <w:rPr>
          <w:szCs w:val="20"/>
        </w:rPr>
        <w:t xml:space="preserve"> </w:t>
      </w:r>
      <w:r w:rsidRPr="00631C16">
        <w:rPr>
          <w:szCs w:val="20"/>
        </w:rPr>
        <w:t>where</w:t>
      </w:r>
      <w:r w:rsidR="00C64050">
        <w:rPr>
          <w:szCs w:val="20"/>
        </w:rPr>
        <w:t xml:space="preserve"> </w:t>
      </w:r>
      <w:r w:rsidRPr="00631C16">
        <w:rPr>
          <w:szCs w:val="20"/>
        </w:rPr>
        <w:t>their</w:t>
      </w:r>
      <w:r w:rsidR="00C64050">
        <w:rPr>
          <w:szCs w:val="20"/>
        </w:rPr>
        <w:t xml:space="preserve"> </w:t>
      </w:r>
      <w:r w:rsidRPr="00631C16">
        <w:rPr>
          <w:szCs w:val="20"/>
        </w:rPr>
        <w:t>actions</w:t>
      </w:r>
      <w:r w:rsidR="00C64050">
        <w:rPr>
          <w:szCs w:val="20"/>
        </w:rPr>
        <w:t xml:space="preserve"> </w:t>
      </w:r>
      <w:r w:rsidRPr="00631C16">
        <w:rPr>
          <w:szCs w:val="20"/>
        </w:rPr>
        <w:t>were</w:t>
      </w:r>
      <w:r w:rsidR="00C64050">
        <w:rPr>
          <w:szCs w:val="20"/>
        </w:rPr>
        <w:t xml:space="preserve"> </w:t>
      </w:r>
      <w:r w:rsidRPr="00631C16">
        <w:rPr>
          <w:szCs w:val="20"/>
        </w:rPr>
        <w:t>explicitly</w:t>
      </w:r>
      <w:r w:rsidR="00C64050">
        <w:rPr>
          <w:szCs w:val="20"/>
        </w:rPr>
        <w:t xml:space="preserve"> </w:t>
      </w:r>
      <w:r w:rsidRPr="00631C16">
        <w:rPr>
          <w:szCs w:val="20"/>
        </w:rPr>
        <w:t>authorized</w:t>
      </w:r>
      <w:r w:rsidR="00C64050">
        <w:rPr>
          <w:szCs w:val="20"/>
        </w:rPr>
        <w:t xml:space="preserve"> </w:t>
      </w:r>
      <w:r w:rsidRPr="00631C16">
        <w:rPr>
          <w:szCs w:val="20"/>
        </w:rPr>
        <w:t>by</w:t>
      </w:r>
      <w:r w:rsidR="00C64050">
        <w:rPr>
          <w:szCs w:val="20"/>
        </w:rPr>
        <w:t xml:space="preserve"> </w:t>
      </w:r>
      <w:r w:rsidRPr="00631C16">
        <w:rPr>
          <w:szCs w:val="20"/>
        </w:rPr>
        <w:t>the</w:t>
      </w:r>
      <w:r w:rsidR="00C64050">
        <w:rPr>
          <w:szCs w:val="20"/>
        </w:rPr>
        <w:t xml:space="preserve"> </w:t>
      </w:r>
      <w:r w:rsidRPr="00631C16">
        <w:rPr>
          <w:szCs w:val="20"/>
        </w:rPr>
        <w:t>trust].)</w:t>
      </w:r>
    </w:p>
    <w:p w:rsidR="00631C16" w:rsidRPr="00631C16" w:rsidRDefault="00631C16" w:rsidP="00631C16">
      <w:pPr>
        <w:pStyle w:val="QS10"/>
        <w:rPr>
          <w:szCs w:val="20"/>
        </w:rPr>
      </w:pPr>
      <w:r w:rsidRPr="00631C16">
        <w:rPr>
          <w:szCs w:val="20"/>
        </w:rPr>
        <w:t>Finally,</w:t>
      </w:r>
      <w:r w:rsidR="00C64050">
        <w:rPr>
          <w:szCs w:val="20"/>
        </w:rPr>
        <w:t xml:space="preserve"> </w:t>
      </w:r>
      <w:r w:rsidRPr="00631C16">
        <w:rPr>
          <w:szCs w:val="20"/>
        </w:rPr>
        <w:t>we</w:t>
      </w:r>
      <w:r w:rsidR="00C64050">
        <w:rPr>
          <w:szCs w:val="20"/>
        </w:rPr>
        <w:t xml:space="preserve"> </w:t>
      </w:r>
      <w:r w:rsidRPr="00631C16">
        <w:rPr>
          <w:szCs w:val="20"/>
        </w:rPr>
        <w:t>note</w:t>
      </w:r>
      <w:r w:rsidR="00C64050">
        <w:rPr>
          <w:szCs w:val="20"/>
        </w:rPr>
        <w:t xml:space="preserve"> </w:t>
      </w:r>
      <w:r w:rsidRPr="00631C16">
        <w:rPr>
          <w:szCs w:val="20"/>
        </w:rPr>
        <w:t>that</w:t>
      </w:r>
      <w:r w:rsidR="00C64050">
        <w:rPr>
          <w:szCs w:val="20"/>
        </w:rPr>
        <w:t xml:space="preserve"> </w:t>
      </w:r>
      <w:r w:rsidRPr="00631C16">
        <w:rPr>
          <w:szCs w:val="20"/>
        </w:rPr>
        <w:t>Berkowitz's</w:t>
      </w:r>
      <w:r w:rsidR="00C64050">
        <w:rPr>
          <w:szCs w:val="20"/>
        </w:rPr>
        <w:t xml:space="preserve"> </w:t>
      </w:r>
      <w:r w:rsidRPr="00631C16">
        <w:rPr>
          <w:szCs w:val="20"/>
        </w:rPr>
        <w:t>exercise</w:t>
      </w:r>
      <w:r w:rsidR="00C64050">
        <w:rPr>
          <w:szCs w:val="20"/>
        </w:rPr>
        <w:t xml:space="preserve"> </w:t>
      </w:r>
      <w:r w:rsidRPr="00631C16">
        <w:rPr>
          <w:szCs w:val="20"/>
        </w:rPr>
        <w:t>of</w:t>
      </w:r>
      <w:r w:rsidR="00C64050">
        <w:rPr>
          <w:szCs w:val="20"/>
        </w:rPr>
        <w:t xml:space="preserve"> </w:t>
      </w:r>
      <w:r w:rsidRPr="00631C16">
        <w:rPr>
          <w:szCs w:val="20"/>
        </w:rPr>
        <w:t>his</w:t>
      </w:r>
      <w:r w:rsidR="00C64050">
        <w:rPr>
          <w:szCs w:val="20"/>
        </w:rPr>
        <w:t xml:space="preserve"> </w:t>
      </w:r>
      <w:r w:rsidRPr="00631C16">
        <w:rPr>
          <w:szCs w:val="20"/>
        </w:rPr>
        <w:t>power</w:t>
      </w:r>
      <w:r w:rsidR="00C64050">
        <w:rPr>
          <w:szCs w:val="20"/>
        </w:rPr>
        <w:t xml:space="preserve"> </w:t>
      </w:r>
      <w:r w:rsidRPr="00631C16">
        <w:rPr>
          <w:szCs w:val="20"/>
        </w:rPr>
        <w:t>of</w:t>
      </w:r>
      <w:r w:rsidR="00C64050">
        <w:rPr>
          <w:szCs w:val="20"/>
        </w:rPr>
        <w:t xml:space="preserve"> </w:t>
      </w:r>
      <w:r w:rsidRPr="00631C16">
        <w:rPr>
          <w:szCs w:val="20"/>
        </w:rPr>
        <w:t>appointment</w:t>
      </w:r>
      <w:r w:rsidR="00C64050">
        <w:rPr>
          <w:szCs w:val="20"/>
        </w:rPr>
        <w:t xml:space="preserve"> </w:t>
      </w:r>
      <w:r w:rsidRPr="00631C16">
        <w:rPr>
          <w:szCs w:val="20"/>
        </w:rPr>
        <w:t>would</w:t>
      </w:r>
      <w:r w:rsidR="00C64050">
        <w:rPr>
          <w:szCs w:val="20"/>
        </w:rPr>
        <w:t xml:space="preserve"> </w:t>
      </w:r>
      <w:r w:rsidRPr="00631C16">
        <w:rPr>
          <w:szCs w:val="20"/>
        </w:rPr>
        <w:t>have</w:t>
      </w:r>
      <w:r w:rsidR="00C64050">
        <w:rPr>
          <w:szCs w:val="20"/>
        </w:rPr>
        <w:t xml:space="preserve"> </w:t>
      </w:r>
      <w:r w:rsidRPr="00631C16">
        <w:rPr>
          <w:szCs w:val="20"/>
        </w:rPr>
        <w:t>been</w:t>
      </w:r>
      <w:r w:rsidR="00C64050">
        <w:rPr>
          <w:szCs w:val="20"/>
        </w:rPr>
        <w:t xml:space="preserve"> </w:t>
      </w:r>
      <w:r w:rsidRPr="00631C16">
        <w:rPr>
          <w:szCs w:val="20"/>
        </w:rPr>
        <w:t>unobjectionable</w:t>
      </w:r>
      <w:r w:rsidR="00C64050">
        <w:rPr>
          <w:szCs w:val="20"/>
        </w:rPr>
        <w:t xml:space="preserve"> </w:t>
      </w:r>
      <w:r w:rsidRPr="00631C16">
        <w:rPr>
          <w:szCs w:val="20"/>
        </w:rPr>
        <w:t>if</w:t>
      </w:r>
      <w:r w:rsidR="00C64050">
        <w:rPr>
          <w:szCs w:val="20"/>
        </w:rPr>
        <w:t xml:space="preserve"> </w:t>
      </w:r>
      <w:r w:rsidRPr="00631C16">
        <w:rPr>
          <w:szCs w:val="20"/>
        </w:rPr>
        <w:t>he</w:t>
      </w:r>
      <w:r w:rsidR="00C64050">
        <w:rPr>
          <w:szCs w:val="20"/>
        </w:rPr>
        <w:t xml:space="preserve"> </w:t>
      </w:r>
      <w:r w:rsidRPr="00631C16">
        <w:rPr>
          <w:szCs w:val="20"/>
        </w:rPr>
        <w:t>had</w:t>
      </w:r>
      <w:r w:rsidR="00C64050">
        <w:rPr>
          <w:szCs w:val="20"/>
        </w:rPr>
        <w:t xml:space="preserve"> </w:t>
      </w:r>
      <w:r w:rsidRPr="00631C16">
        <w:rPr>
          <w:szCs w:val="20"/>
        </w:rPr>
        <w:t>resigned</w:t>
      </w:r>
      <w:r w:rsidR="00C64050">
        <w:rPr>
          <w:szCs w:val="20"/>
        </w:rPr>
        <w:t xml:space="preserve"> </w:t>
      </w:r>
      <w:r w:rsidRPr="00631C16">
        <w:rPr>
          <w:szCs w:val="20"/>
        </w:rPr>
        <w:t>as</w:t>
      </w:r>
      <w:r w:rsidR="00C64050">
        <w:rPr>
          <w:szCs w:val="20"/>
        </w:rPr>
        <w:t xml:space="preserve"> </w:t>
      </w:r>
      <w:r w:rsidRPr="00631C16">
        <w:rPr>
          <w:szCs w:val="20"/>
        </w:rPr>
        <w:t>trustee</w:t>
      </w:r>
      <w:r w:rsidR="00C64050">
        <w:rPr>
          <w:szCs w:val="20"/>
        </w:rPr>
        <w:t xml:space="preserve"> </w:t>
      </w:r>
      <w:r w:rsidRPr="00631C16">
        <w:rPr>
          <w:szCs w:val="20"/>
        </w:rPr>
        <w:t>before</w:t>
      </w:r>
      <w:r w:rsidR="00C64050">
        <w:rPr>
          <w:szCs w:val="20"/>
        </w:rPr>
        <w:t xml:space="preserve"> </w:t>
      </w:r>
      <w:r w:rsidRPr="00631C16">
        <w:rPr>
          <w:szCs w:val="20"/>
        </w:rPr>
        <w:t>exercising</w:t>
      </w:r>
      <w:r w:rsidR="00C64050">
        <w:rPr>
          <w:szCs w:val="20"/>
        </w:rPr>
        <w:t xml:space="preserve"> </w:t>
      </w:r>
      <w:r w:rsidRPr="00631C16">
        <w:rPr>
          <w:szCs w:val="20"/>
        </w:rPr>
        <w:t>the</w:t>
      </w:r>
      <w:r w:rsidR="00C64050">
        <w:rPr>
          <w:szCs w:val="20"/>
        </w:rPr>
        <w:t xml:space="preserve"> </w:t>
      </w:r>
      <w:r w:rsidRPr="00631C16">
        <w:rPr>
          <w:szCs w:val="20"/>
        </w:rPr>
        <w:t>power.</w:t>
      </w:r>
      <w:r w:rsidR="00C64050">
        <w:rPr>
          <w:szCs w:val="20"/>
        </w:rPr>
        <w:t xml:space="preserve"> </w:t>
      </w:r>
      <w:r w:rsidRPr="00631C16">
        <w:rPr>
          <w:szCs w:val="20"/>
        </w:rPr>
        <w:t>In</w:t>
      </w:r>
      <w:r w:rsidR="00C64050">
        <w:rPr>
          <w:szCs w:val="20"/>
        </w:rPr>
        <w:t xml:space="preserve"> </w:t>
      </w:r>
      <w:r w:rsidRPr="00631C16">
        <w:rPr>
          <w:szCs w:val="20"/>
        </w:rPr>
        <w:t>that</w:t>
      </w:r>
      <w:r w:rsidR="00C64050">
        <w:rPr>
          <w:szCs w:val="20"/>
        </w:rPr>
        <w:t xml:space="preserve"> </w:t>
      </w:r>
      <w:r w:rsidRPr="00631C16">
        <w:rPr>
          <w:szCs w:val="20"/>
        </w:rPr>
        <w:t>scenario,</w:t>
      </w:r>
      <w:r w:rsidR="00C64050">
        <w:rPr>
          <w:szCs w:val="20"/>
        </w:rPr>
        <w:t xml:space="preserve"> </w:t>
      </w:r>
      <w:r w:rsidRPr="00631C16">
        <w:rPr>
          <w:szCs w:val="20"/>
        </w:rPr>
        <w:t>the</w:t>
      </w:r>
      <w:r w:rsidR="00C64050">
        <w:rPr>
          <w:szCs w:val="20"/>
        </w:rPr>
        <w:t xml:space="preserve"> </w:t>
      </w:r>
      <w:r w:rsidRPr="00631C16">
        <w:rPr>
          <w:szCs w:val="20"/>
        </w:rPr>
        <w:t>successor</w:t>
      </w:r>
      <w:r w:rsidR="00C64050">
        <w:rPr>
          <w:szCs w:val="20"/>
        </w:rPr>
        <w:t xml:space="preserve"> </w:t>
      </w:r>
      <w:r w:rsidRPr="00631C16">
        <w:rPr>
          <w:szCs w:val="20"/>
        </w:rPr>
        <w:t>trustee</w:t>
      </w:r>
      <w:r w:rsidR="00C64050">
        <w:rPr>
          <w:szCs w:val="20"/>
        </w:rPr>
        <w:t xml:space="preserve"> </w:t>
      </w:r>
      <w:r w:rsidRPr="00631C16">
        <w:rPr>
          <w:szCs w:val="20"/>
        </w:rPr>
        <w:t>(Tubbs)</w:t>
      </w:r>
      <w:r w:rsidR="00C64050">
        <w:rPr>
          <w:szCs w:val="20"/>
        </w:rPr>
        <w:t xml:space="preserve"> </w:t>
      </w:r>
      <w:r w:rsidRPr="00631C16">
        <w:rPr>
          <w:szCs w:val="20"/>
        </w:rPr>
        <w:t>would</w:t>
      </w:r>
      <w:r w:rsidR="00C64050">
        <w:rPr>
          <w:szCs w:val="20"/>
        </w:rPr>
        <w:t xml:space="preserve"> </w:t>
      </w:r>
      <w:r w:rsidRPr="00631C16">
        <w:rPr>
          <w:szCs w:val="20"/>
        </w:rPr>
        <w:t>have</w:t>
      </w:r>
      <w:r w:rsidR="00C64050">
        <w:rPr>
          <w:szCs w:val="20"/>
        </w:rPr>
        <w:t xml:space="preserve"> </w:t>
      </w:r>
      <w:r w:rsidRPr="00631C16">
        <w:rPr>
          <w:szCs w:val="20"/>
        </w:rPr>
        <w:t>been</w:t>
      </w:r>
      <w:r w:rsidR="00C64050">
        <w:rPr>
          <w:szCs w:val="20"/>
        </w:rPr>
        <w:t xml:space="preserve"> </w:t>
      </w:r>
      <w:r w:rsidRPr="00631C16">
        <w:rPr>
          <w:szCs w:val="20"/>
        </w:rPr>
        <w:t>required</w:t>
      </w:r>
      <w:r w:rsidR="00C64050">
        <w:rPr>
          <w:szCs w:val="20"/>
        </w:rPr>
        <w:t xml:space="preserve"> </w:t>
      </w:r>
      <w:r w:rsidRPr="00631C16">
        <w:rPr>
          <w:szCs w:val="20"/>
        </w:rPr>
        <w:t>to</w:t>
      </w:r>
      <w:r w:rsidR="00C64050">
        <w:rPr>
          <w:szCs w:val="20"/>
        </w:rPr>
        <w:t xml:space="preserve"> </w:t>
      </w:r>
      <w:r w:rsidRPr="00631C16">
        <w:rPr>
          <w:szCs w:val="20"/>
        </w:rPr>
        <w:t>transfer</w:t>
      </w:r>
      <w:r w:rsidR="00C64050">
        <w:rPr>
          <w:szCs w:val="20"/>
        </w:rPr>
        <w:t xml:space="preserve"> </w:t>
      </w:r>
      <w:r w:rsidRPr="00631C16">
        <w:rPr>
          <w:szCs w:val="20"/>
        </w:rPr>
        <w:t>the</w:t>
      </w:r>
      <w:r w:rsidR="00C64050">
        <w:rPr>
          <w:szCs w:val="20"/>
        </w:rPr>
        <w:t xml:space="preserve"> </w:t>
      </w:r>
      <w:r w:rsidRPr="00631C16">
        <w:rPr>
          <w:szCs w:val="20"/>
        </w:rPr>
        <w:t>assets</w:t>
      </w:r>
      <w:r w:rsidR="00C64050">
        <w:rPr>
          <w:szCs w:val="20"/>
        </w:rPr>
        <w:t xml:space="preserve"> </w:t>
      </w:r>
      <w:r w:rsidRPr="00631C16">
        <w:rPr>
          <w:szCs w:val="20"/>
        </w:rPr>
        <w:t>to</w:t>
      </w:r>
      <w:r w:rsidR="00C64050">
        <w:rPr>
          <w:szCs w:val="20"/>
        </w:rPr>
        <w:t xml:space="preserve"> </w:t>
      </w:r>
      <w:r w:rsidRPr="00631C16">
        <w:rPr>
          <w:szCs w:val="20"/>
        </w:rPr>
        <w:t>Berkowitz</w:t>
      </w:r>
      <w:r w:rsidR="00C64050">
        <w:rPr>
          <w:szCs w:val="20"/>
        </w:rPr>
        <w:t xml:space="preserve"> </w:t>
      </w:r>
      <w:r w:rsidRPr="00631C16">
        <w:rPr>
          <w:szCs w:val="20"/>
        </w:rPr>
        <w:t>once</w:t>
      </w:r>
      <w:r w:rsidR="00C64050">
        <w:rPr>
          <w:szCs w:val="20"/>
        </w:rPr>
        <w:t xml:space="preserve"> </w:t>
      </w:r>
      <w:r w:rsidRPr="00631C16">
        <w:rPr>
          <w:szCs w:val="20"/>
        </w:rPr>
        <w:t>he</w:t>
      </w:r>
      <w:r w:rsidR="00C64050">
        <w:rPr>
          <w:szCs w:val="20"/>
        </w:rPr>
        <w:t xml:space="preserve"> </w:t>
      </w:r>
      <w:r w:rsidRPr="00631C16">
        <w:rPr>
          <w:szCs w:val="20"/>
        </w:rPr>
        <w:t>exercised</w:t>
      </w:r>
      <w:r w:rsidR="00C64050">
        <w:rPr>
          <w:szCs w:val="20"/>
        </w:rPr>
        <w:t xml:space="preserve"> </w:t>
      </w:r>
      <w:r w:rsidRPr="00631C16">
        <w:rPr>
          <w:szCs w:val="20"/>
        </w:rPr>
        <w:t>the</w:t>
      </w:r>
      <w:r w:rsidR="00C64050">
        <w:rPr>
          <w:szCs w:val="20"/>
        </w:rPr>
        <w:t xml:space="preserve"> </w:t>
      </w:r>
      <w:r w:rsidRPr="00631C16">
        <w:rPr>
          <w:szCs w:val="20"/>
        </w:rPr>
        <w:t>power</w:t>
      </w:r>
      <w:r w:rsidR="00C64050">
        <w:rPr>
          <w:szCs w:val="20"/>
        </w:rPr>
        <w:t xml:space="preserve"> </w:t>
      </w:r>
      <w:r w:rsidRPr="00631C16">
        <w:rPr>
          <w:szCs w:val="20"/>
        </w:rPr>
        <w:t>of</w:t>
      </w:r>
      <w:r w:rsidR="00C64050">
        <w:rPr>
          <w:szCs w:val="20"/>
        </w:rPr>
        <w:t xml:space="preserve"> </w:t>
      </w:r>
      <w:r w:rsidRPr="00631C16">
        <w:rPr>
          <w:szCs w:val="20"/>
        </w:rPr>
        <w:t>appointment</w:t>
      </w:r>
      <w:r w:rsidR="00C64050">
        <w:rPr>
          <w:szCs w:val="20"/>
        </w:rPr>
        <w:t xml:space="preserve"> </w:t>
      </w:r>
      <w:r w:rsidRPr="00631C16">
        <w:rPr>
          <w:szCs w:val="20"/>
        </w:rPr>
        <w:t>in</w:t>
      </w:r>
      <w:r w:rsidR="00C64050">
        <w:rPr>
          <w:szCs w:val="20"/>
        </w:rPr>
        <w:t xml:space="preserve"> </w:t>
      </w:r>
      <w:r w:rsidRPr="00631C16">
        <w:rPr>
          <w:szCs w:val="20"/>
        </w:rPr>
        <w:t>his</w:t>
      </w:r>
      <w:r w:rsidR="00C64050">
        <w:rPr>
          <w:szCs w:val="20"/>
        </w:rPr>
        <w:t xml:space="preserve"> </w:t>
      </w:r>
      <w:r w:rsidRPr="00631C16">
        <w:rPr>
          <w:szCs w:val="20"/>
        </w:rPr>
        <w:t>favor.</w:t>
      </w:r>
      <w:r w:rsidR="00C64050">
        <w:rPr>
          <w:szCs w:val="20"/>
        </w:rPr>
        <w:t xml:space="preserve"> </w:t>
      </w:r>
      <w:r w:rsidRPr="00631C16">
        <w:rPr>
          <w:szCs w:val="20"/>
        </w:rPr>
        <w:t>Tubbs</w:t>
      </w:r>
      <w:r w:rsidR="00C64050">
        <w:rPr>
          <w:szCs w:val="20"/>
        </w:rPr>
        <w:t xml:space="preserve"> </w:t>
      </w:r>
      <w:r w:rsidRPr="00631C16">
        <w:rPr>
          <w:szCs w:val="20"/>
        </w:rPr>
        <w:t>claims</w:t>
      </w:r>
      <w:r w:rsidR="00C64050">
        <w:rPr>
          <w:szCs w:val="20"/>
        </w:rPr>
        <w:t xml:space="preserve"> </w:t>
      </w:r>
      <w:r w:rsidRPr="00631C16">
        <w:rPr>
          <w:szCs w:val="20"/>
        </w:rPr>
        <w:t>“those</w:t>
      </w:r>
      <w:r w:rsidR="00C64050">
        <w:rPr>
          <w:szCs w:val="20"/>
        </w:rPr>
        <w:t xml:space="preserve"> </w:t>
      </w:r>
      <w:r w:rsidRPr="00631C16">
        <w:rPr>
          <w:szCs w:val="20"/>
        </w:rPr>
        <w:t>are</w:t>
      </w:r>
      <w:r w:rsidR="00C64050">
        <w:rPr>
          <w:szCs w:val="20"/>
        </w:rPr>
        <w:t xml:space="preserve"> </w:t>
      </w:r>
      <w:r w:rsidRPr="00631C16">
        <w:rPr>
          <w:szCs w:val="20"/>
        </w:rPr>
        <w:t>not</w:t>
      </w:r>
      <w:r w:rsidR="00C64050">
        <w:rPr>
          <w:szCs w:val="20"/>
        </w:rPr>
        <w:t xml:space="preserve"> </w:t>
      </w:r>
      <w:r w:rsidRPr="00631C16">
        <w:rPr>
          <w:szCs w:val="20"/>
        </w:rPr>
        <w:t>the</w:t>
      </w:r>
      <w:r w:rsidR="00C64050">
        <w:rPr>
          <w:szCs w:val="20"/>
        </w:rPr>
        <w:t xml:space="preserve"> </w:t>
      </w:r>
      <w:r w:rsidRPr="00631C16">
        <w:rPr>
          <w:szCs w:val="20"/>
        </w:rPr>
        <w:t>facts</w:t>
      </w:r>
      <w:r w:rsidR="00C64050">
        <w:rPr>
          <w:szCs w:val="20"/>
        </w:rPr>
        <w:t xml:space="preserve"> </w:t>
      </w:r>
      <w:r w:rsidRPr="00631C16">
        <w:rPr>
          <w:szCs w:val="20"/>
        </w:rPr>
        <w:t>before</w:t>
      </w:r>
      <w:r w:rsidR="00C64050">
        <w:rPr>
          <w:szCs w:val="20"/>
        </w:rPr>
        <w:t xml:space="preserve"> </w:t>
      </w:r>
      <w:r w:rsidRPr="00631C16">
        <w:rPr>
          <w:szCs w:val="20"/>
        </w:rPr>
        <w:t>this</w:t>
      </w:r>
      <w:r w:rsidR="00C64050">
        <w:rPr>
          <w:szCs w:val="20"/>
        </w:rPr>
        <w:t xml:space="preserve"> </w:t>
      </w:r>
      <w:r w:rsidRPr="00631C16">
        <w:rPr>
          <w:szCs w:val="20"/>
        </w:rPr>
        <w:t>Court,”</w:t>
      </w:r>
      <w:r w:rsidR="00C64050">
        <w:rPr>
          <w:szCs w:val="20"/>
        </w:rPr>
        <w:t xml:space="preserve"> </w:t>
      </w:r>
      <w:r w:rsidRPr="00631C16">
        <w:rPr>
          <w:szCs w:val="20"/>
        </w:rPr>
        <w:t>but</w:t>
      </w:r>
      <w:r w:rsidR="00C64050">
        <w:rPr>
          <w:szCs w:val="20"/>
        </w:rPr>
        <w:t xml:space="preserve"> </w:t>
      </w:r>
      <w:r w:rsidRPr="00631C16">
        <w:rPr>
          <w:szCs w:val="20"/>
        </w:rPr>
        <w:t>we</w:t>
      </w:r>
      <w:r w:rsidR="00C64050">
        <w:rPr>
          <w:szCs w:val="20"/>
        </w:rPr>
        <w:t xml:space="preserve"> </w:t>
      </w:r>
      <w:r w:rsidRPr="00631C16">
        <w:rPr>
          <w:szCs w:val="20"/>
        </w:rPr>
        <w:t>see</w:t>
      </w:r>
      <w:r w:rsidR="00C64050">
        <w:rPr>
          <w:szCs w:val="20"/>
        </w:rPr>
        <w:t xml:space="preserve"> </w:t>
      </w:r>
      <w:r w:rsidRPr="00631C16">
        <w:rPr>
          <w:szCs w:val="20"/>
        </w:rPr>
        <w:t>no</w:t>
      </w:r>
      <w:r w:rsidR="00C64050">
        <w:rPr>
          <w:szCs w:val="20"/>
        </w:rPr>
        <w:t xml:space="preserve"> </w:t>
      </w:r>
      <w:r w:rsidRPr="00631C16">
        <w:rPr>
          <w:szCs w:val="20"/>
        </w:rPr>
        <w:t>reason</w:t>
      </w:r>
      <w:r w:rsidR="00C64050">
        <w:rPr>
          <w:szCs w:val="20"/>
        </w:rPr>
        <w:t xml:space="preserve"> </w:t>
      </w:r>
      <w:r w:rsidRPr="00631C16">
        <w:rPr>
          <w:szCs w:val="20"/>
        </w:rPr>
        <w:t>why</w:t>
      </w:r>
      <w:r w:rsidR="00C64050">
        <w:rPr>
          <w:szCs w:val="20"/>
        </w:rPr>
        <w:t xml:space="preserve"> </w:t>
      </w:r>
      <w:r w:rsidRPr="00631C16">
        <w:rPr>
          <w:szCs w:val="20"/>
        </w:rPr>
        <w:t>the</w:t>
      </w:r>
      <w:r w:rsidR="00C64050">
        <w:rPr>
          <w:szCs w:val="20"/>
        </w:rPr>
        <w:t xml:space="preserve"> </w:t>
      </w:r>
      <w:r w:rsidRPr="00631C16">
        <w:rPr>
          <w:szCs w:val="20"/>
        </w:rPr>
        <w:t>result</w:t>
      </w:r>
      <w:r w:rsidR="00C64050">
        <w:rPr>
          <w:szCs w:val="20"/>
        </w:rPr>
        <w:t xml:space="preserve"> </w:t>
      </w:r>
      <w:r w:rsidRPr="00631C16">
        <w:rPr>
          <w:szCs w:val="20"/>
        </w:rPr>
        <w:t>should</w:t>
      </w:r>
      <w:r w:rsidR="00C64050">
        <w:rPr>
          <w:szCs w:val="20"/>
        </w:rPr>
        <w:t xml:space="preserve"> </w:t>
      </w:r>
      <w:r w:rsidRPr="00631C16">
        <w:rPr>
          <w:szCs w:val="20"/>
        </w:rPr>
        <w:t>be</w:t>
      </w:r>
      <w:r w:rsidR="00C64050">
        <w:rPr>
          <w:szCs w:val="20"/>
        </w:rPr>
        <w:t xml:space="preserve"> </w:t>
      </w:r>
      <w:r w:rsidRPr="00631C16">
        <w:rPr>
          <w:szCs w:val="20"/>
        </w:rPr>
        <w:t>different</w:t>
      </w:r>
      <w:r w:rsidR="00C64050">
        <w:rPr>
          <w:szCs w:val="20"/>
        </w:rPr>
        <w:t xml:space="preserve"> </w:t>
      </w:r>
      <w:r w:rsidRPr="00631C16">
        <w:rPr>
          <w:szCs w:val="20"/>
        </w:rPr>
        <w:t>where</w:t>
      </w:r>
      <w:r w:rsidR="00C64050">
        <w:rPr>
          <w:szCs w:val="20"/>
        </w:rPr>
        <w:t xml:space="preserve"> </w:t>
      </w:r>
      <w:r w:rsidRPr="00631C16">
        <w:rPr>
          <w:szCs w:val="20"/>
        </w:rPr>
        <w:t>Berkowitz</w:t>
      </w:r>
      <w:r w:rsidR="00C64050">
        <w:rPr>
          <w:szCs w:val="20"/>
        </w:rPr>
        <w:t xml:space="preserve"> </w:t>
      </w:r>
      <w:r w:rsidRPr="00631C16">
        <w:rPr>
          <w:szCs w:val="20"/>
        </w:rPr>
        <w:t>was</w:t>
      </w:r>
      <w:r w:rsidR="00C64050">
        <w:rPr>
          <w:szCs w:val="20"/>
        </w:rPr>
        <w:t xml:space="preserve"> </w:t>
      </w:r>
      <w:r w:rsidRPr="00631C16">
        <w:rPr>
          <w:szCs w:val="20"/>
        </w:rPr>
        <w:t>both</w:t>
      </w:r>
      <w:r w:rsidR="00C64050">
        <w:rPr>
          <w:szCs w:val="20"/>
        </w:rPr>
        <w:t xml:space="preserve"> </w:t>
      </w:r>
      <w:r w:rsidRPr="00631C16">
        <w:rPr>
          <w:szCs w:val="20"/>
        </w:rPr>
        <w:t>the</w:t>
      </w:r>
      <w:r w:rsidR="00C64050">
        <w:rPr>
          <w:szCs w:val="20"/>
        </w:rPr>
        <w:t xml:space="preserve"> </w:t>
      </w:r>
      <w:r w:rsidRPr="00631C16">
        <w:rPr>
          <w:szCs w:val="20"/>
        </w:rPr>
        <w:t>donee</w:t>
      </w:r>
      <w:r w:rsidR="00C64050">
        <w:rPr>
          <w:szCs w:val="20"/>
        </w:rPr>
        <w:t xml:space="preserve"> </w:t>
      </w:r>
      <w:r w:rsidRPr="00631C16">
        <w:rPr>
          <w:szCs w:val="20"/>
        </w:rPr>
        <w:t>and</w:t>
      </w:r>
      <w:r w:rsidR="00C64050">
        <w:rPr>
          <w:szCs w:val="20"/>
        </w:rPr>
        <w:t xml:space="preserve"> </w:t>
      </w:r>
      <w:r w:rsidRPr="00631C16">
        <w:rPr>
          <w:szCs w:val="20"/>
        </w:rPr>
        <w:t>the</w:t>
      </w:r>
      <w:r w:rsidR="00C64050">
        <w:rPr>
          <w:szCs w:val="20"/>
        </w:rPr>
        <w:t xml:space="preserve"> </w:t>
      </w:r>
      <w:r w:rsidRPr="00631C16">
        <w:rPr>
          <w:szCs w:val="20"/>
        </w:rPr>
        <w:t>trustee</w:t>
      </w:r>
      <w:r w:rsidR="00C64050">
        <w:rPr>
          <w:szCs w:val="20"/>
        </w:rPr>
        <w:t xml:space="preserve"> </w:t>
      </w:r>
      <w:r w:rsidRPr="00631C16">
        <w:rPr>
          <w:szCs w:val="20"/>
        </w:rPr>
        <w:t>who</w:t>
      </w:r>
      <w:r w:rsidR="00C64050">
        <w:rPr>
          <w:szCs w:val="20"/>
        </w:rPr>
        <w:t xml:space="preserve"> </w:t>
      </w:r>
      <w:r w:rsidRPr="00631C16">
        <w:rPr>
          <w:szCs w:val="20"/>
        </w:rPr>
        <w:t>had</w:t>
      </w:r>
      <w:r w:rsidR="00C64050">
        <w:rPr>
          <w:szCs w:val="20"/>
        </w:rPr>
        <w:t xml:space="preserve"> </w:t>
      </w:r>
      <w:r w:rsidRPr="00631C16">
        <w:rPr>
          <w:szCs w:val="20"/>
        </w:rPr>
        <w:t>no</w:t>
      </w:r>
      <w:r w:rsidR="00C64050">
        <w:rPr>
          <w:szCs w:val="20"/>
        </w:rPr>
        <w:t xml:space="preserve"> </w:t>
      </w:r>
      <w:r w:rsidRPr="00631C16">
        <w:rPr>
          <w:szCs w:val="20"/>
        </w:rPr>
        <w:t>discretion</w:t>
      </w:r>
      <w:r w:rsidR="00C64050">
        <w:rPr>
          <w:szCs w:val="20"/>
        </w:rPr>
        <w:t xml:space="preserve"> </w:t>
      </w:r>
      <w:r w:rsidRPr="00631C16">
        <w:rPr>
          <w:szCs w:val="20"/>
        </w:rPr>
        <w:t>but</w:t>
      </w:r>
      <w:r w:rsidR="00C64050">
        <w:rPr>
          <w:szCs w:val="20"/>
        </w:rPr>
        <w:t xml:space="preserve"> </w:t>
      </w:r>
      <w:r w:rsidRPr="00631C16">
        <w:rPr>
          <w:szCs w:val="20"/>
        </w:rPr>
        <w:t>to</w:t>
      </w:r>
      <w:r w:rsidR="00C64050">
        <w:rPr>
          <w:szCs w:val="20"/>
        </w:rPr>
        <w:t xml:space="preserve"> </w:t>
      </w:r>
      <w:r w:rsidRPr="00631C16">
        <w:rPr>
          <w:szCs w:val="20"/>
        </w:rPr>
        <w:t>follow</w:t>
      </w:r>
      <w:r w:rsidR="00C64050">
        <w:rPr>
          <w:szCs w:val="20"/>
        </w:rPr>
        <w:t xml:space="preserve"> </w:t>
      </w:r>
      <w:r w:rsidRPr="00631C16">
        <w:rPr>
          <w:szCs w:val="20"/>
        </w:rPr>
        <w:t>the</w:t>
      </w:r>
      <w:r w:rsidR="00C64050">
        <w:rPr>
          <w:szCs w:val="20"/>
        </w:rPr>
        <w:t xml:space="preserve"> </w:t>
      </w:r>
      <w:r w:rsidRPr="00631C16">
        <w:rPr>
          <w:szCs w:val="20"/>
        </w:rPr>
        <w:t>terms</w:t>
      </w:r>
      <w:r w:rsidR="00C64050">
        <w:rPr>
          <w:szCs w:val="20"/>
        </w:rPr>
        <w:t xml:space="preserve"> </w:t>
      </w:r>
      <w:r w:rsidRPr="00631C16">
        <w:rPr>
          <w:szCs w:val="20"/>
        </w:rPr>
        <w:t>of</w:t>
      </w:r>
      <w:r w:rsidR="00C64050">
        <w:rPr>
          <w:szCs w:val="20"/>
        </w:rPr>
        <w:t xml:space="preserve"> </w:t>
      </w:r>
      <w:r w:rsidRPr="00631C16">
        <w:rPr>
          <w:szCs w:val="20"/>
        </w:rPr>
        <w:t>the</w:t>
      </w:r>
      <w:r w:rsidR="00C64050">
        <w:rPr>
          <w:szCs w:val="20"/>
        </w:rPr>
        <w:t xml:space="preserve"> </w:t>
      </w:r>
      <w:r w:rsidRPr="00631C16">
        <w:rPr>
          <w:szCs w:val="20"/>
        </w:rPr>
        <w:t>power</w:t>
      </w:r>
      <w:r w:rsidR="00C64050">
        <w:rPr>
          <w:szCs w:val="20"/>
        </w:rPr>
        <w:t xml:space="preserve"> </w:t>
      </w:r>
      <w:r w:rsidRPr="00631C16">
        <w:rPr>
          <w:szCs w:val="20"/>
        </w:rPr>
        <w:t>of</w:t>
      </w:r>
      <w:r w:rsidR="00C64050">
        <w:rPr>
          <w:szCs w:val="20"/>
        </w:rPr>
        <w:t xml:space="preserve"> </w:t>
      </w:r>
      <w:r w:rsidRPr="00631C16">
        <w:rPr>
          <w:szCs w:val="20"/>
        </w:rPr>
        <w:t>appointment.</w:t>
      </w:r>
    </w:p>
    <w:p w:rsidR="00631C16" w:rsidRDefault="00631C16" w:rsidP="00C83382">
      <w:pPr>
        <w:pStyle w:val="Body15"/>
      </w:pPr>
      <w:r>
        <w:t>No</w:t>
      </w:r>
      <w:r w:rsidR="00C64050">
        <w:t xml:space="preserve"> </w:t>
      </w:r>
      <w:r>
        <w:t>authority</w:t>
      </w:r>
      <w:r w:rsidR="00C64050">
        <w:t xml:space="preserve"> </w:t>
      </w:r>
      <w:r>
        <w:t>is</w:t>
      </w:r>
      <w:r w:rsidR="00C64050">
        <w:t xml:space="preserve"> </w:t>
      </w:r>
      <w:r>
        <w:t>cited</w:t>
      </w:r>
      <w:r w:rsidR="00C64050">
        <w:t xml:space="preserve"> </w:t>
      </w:r>
      <w:r>
        <w:t>on</w:t>
      </w:r>
      <w:r w:rsidR="00C64050">
        <w:t xml:space="preserve"> </w:t>
      </w:r>
      <w:r>
        <w:t>the</w:t>
      </w:r>
      <w:r w:rsidR="00C64050">
        <w:t xml:space="preserve"> </w:t>
      </w:r>
      <w:r>
        <w:t>point</w:t>
      </w:r>
      <w:r w:rsidR="00C64050">
        <w:t xml:space="preserve"> </w:t>
      </w:r>
      <w:r>
        <w:t>(either</w:t>
      </w:r>
      <w:r w:rsidR="00C64050">
        <w:t xml:space="preserve"> </w:t>
      </w:r>
      <w:r>
        <w:t>way).</w:t>
      </w:r>
    </w:p>
    <w:p w:rsidR="00B81ED3" w:rsidRDefault="00B81ED3" w:rsidP="00C83382">
      <w:pPr>
        <w:pStyle w:val="Body15"/>
      </w:pPr>
      <w:r>
        <w:t xml:space="preserve">To the contrary is </w:t>
      </w:r>
      <w:r>
        <w:rPr>
          <w:u w:val="single"/>
        </w:rPr>
        <w:t>Peterson v. Peterson</w:t>
      </w:r>
      <w:r>
        <w:t>, 835 S.E.2d 651 (Ga. App. 2019), a much litigated matter whose facts were described as follows:</w:t>
      </w:r>
    </w:p>
    <w:p w:rsidR="009F62CF" w:rsidRDefault="009F62CF" w:rsidP="009F62CF">
      <w:pPr>
        <w:pStyle w:val="QS10"/>
      </w:pPr>
      <w:r>
        <w:t>Charles Hugh Peterson died testate in 1994 and was survived by his wife, Mary, and their three sons Alex, David, and Calhoun. Mr. Peterson’s will, which was probated in 1995, created two testamentary trusts: a marital trust for the primary benefit of Mary, and a residual “by-pass” trust for the benefit of Mary and the couple’s three sons. Mary and her three sons were each designated a co-executor of the will and a co-trustee of both the marital and by-pass trusts. Item 5 of Mr. Peterson’s will created a marital trust for Mary, while Item 6 created a by-pass trust for Mary and their three sons. The relevant portion of the will creating the terms of the by-pass trust reads as follows:</w:t>
      </w:r>
    </w:p>
    <w:p w:rsidR="009F62CF" w:rsidRDefault="009F62CF" w:rsidP="009F62CF">
      <w:pPr>
        <w:pStyle w:val="QS10"/>
        <w:ind w:left="2160"/>
      </w:pPr>
      <w:r>
        <w:t>Trustees shall hold and manage the property in this trust and ... may encroach on such part of the principal thereof as the Trustees may deem necessary to provide for the support in reasonable comfort of my wife and to provide for the proper support and education of my descendants[.] To the extent practicable, however, I request the Trustees in making encroachment for the benefit of my wife to encroach first on any trust created for my wife ... before encroaching on this trust for my wife[.]</w:t>
      </w:r>
    </w:p>
    <w:p w:rsidR="009F62CF" w:rsidRDefault="009F62CF" w:rsidP="009F62CF">
      <w:pPr>
        <w:pStyle w:val="QS10"/>
        <w:ind w:left="2160"/>
      </w:pPr>
      <w:r>
        <w:t>My primary desire is that my wife be supported in reasonable comfort during her lifetime and that my children be supported in reasonable comfort during their lives; my secondary desire is that the principal of this trust be preserved as well as possible consonant with the consummation of my primary objective[.]</w:t>
      </w:r>
    </w:p>
    <w:p w:rsidR="009F62CF" w:rsidRDefault="009F62CF" w:rsidP="009F62CF">
      <w:pPr>
        <w:pStyle w:val="QS10"/>
        <w:ind w:left="2160"/>
      </w:pPr>
      <w:r>
        <w:t>[My wife] shall have no power to appoint [trust] property to herself, to her estate, to her creditors, or to the creditors of her estate.</w:t>
      </w:r>
    </w:p>
    <w:p w:rsidR="00C03F54" w:rsidRDefault="00C03F54" w:rsidP="00C03F54">
      <w:pPr>
        <w:pStyle w:val="QS10"/>
        <w:jc w:val="center"/>
      </w:pPr>
      <w:r>
        <w:t>* * *</w:t>
      </w:r>
    </w:p>
    <w:p w:rsidR="009F62CF" w:rsidRDefault="009F62CF" w:rsidP="009F62CF">
      <w:pPr>
        <w:pStyle w:val="QS10"/>
      </w:pPr>
      <w:r>
        <w:t>Sometime after the will was probated, a dispute arose between the co-executors and co-trustees over the administration of the estate and the by-pass trust, pitting Mary and Calhoun against Alex and David. Alex and David filed petitions for accounting and damages for breach of duties as executors and trustees against Mary and Calhoun, and sought the removal of Mary and Calhoun as executors and trustees in probate court. Mary and Calhoun each moved for summary judgment on all claims, and the superior court granted their motions. Alex and David appealed those rulings.</w:t>
      </w:r>
    </w:p>
    <w:p w:rsidR="009F62CF" w:rsidRPr="009F62CF" w:rsidRDefault="009F62CF" w:rsidP="009F62CF">
      <w:pPr>
        <w:pStyle w:val="QS10"/>
      </w:pPr>
      <w:r>
        <w:t>In the first appearance of this case before this Court, we reversed the trial court’s g</w:t>
      </w:r>
      <w:r w:rsidRPr="009F62CF">
        <w:t>rant of summary judgment to Calhoun in an unpublished opinion. See </w:t>
      </w:r>
      <w:r w:rsidRPr="009F62CF">
        <w:rPr>
          <w:i/>
        </w:rPr>
        <w:t>Peterson I</w:t>
      </w:r>
      <w:r w:rsidRPr="009F62CF">
        <w:t>. One month later, the Supreme Court of Georgia in </w:t>
      </w:r>
      <w:r w:rsidRPr="009F62CF">
        <w:rPr>
          <w:i/>
        </w:rPr>
        <w:t>Peterson II</w:t>
      </w:r>
      <w:r w:rsidRPr="009F62CF">
        <w:t> reversed the trial court’s grant of summary judgment to Mary for similar reasons. Both cases held that material issues of fact remained with respect to Appellees’ failure</w:t>
      </w:r>
      <w:r>
        <w:t xml:space="preserve"> to fully fund the trusts at issue in the case and whether Appellees wasted assets. </w:t>
      </w:r>
      <w:r w:rsidRPr="009F62CF">
        <w:t>See </w:t>
      </w:r>
      <w:r w:rsidRPr="009F62CF">
        <w:rPr>
          <w:i/>
        </w:rPr>
        <w:t>Peterson I</w:t>
      </w:r>
      <w:r w:rsidRPr="009F62CF">
        <w:t>, slip op. at pp. 7-8, 10; </w:t>
      </w:r>
      <w:r w:rsidRPr="009F62CF">
        <w:rPr>
          <w:i/>
        </w:rPr>
        <w:t>Peterson II</w:t>
      </w:r>
      <w:r w:rsidRPr="009F62CF">
        <w:t>, 303 Ga. at 215-217 (3), 811 S.E.2d 309.</w:t>
      </w:r>
    </w:p>
    <w:p w:rsidR="007F0295" w:rsidRDefault="00326C56" w:rsidP="007F0295">
      <w:pPr>
        <w:pStyle w:val="Body15"/>
      </w:pPr>
      <w:r>
        <w:t xml:space="preserve">The trial court had held that Mary did not owe the other beneficiaries a fiduciary duty when exercising the power of appointment.  Mary </w:t>
      </w:r>
      <w:r w:rsidR="00B81ED3">
        <w:t xml:space="preserve">cited a Connecticut case, </w:t>
      </w:r>
      <w:r w:rsidR="00B81ED3">
        <w:rPr>
          <w:u w:val="single"/>
        </w:rPr>
        <w:t>Connecticut Bank &amp; Trust Co. v. Lyman</w:t>
      </w:r>
      <w:r w:rsidR="00B81ED3">
        <w:t>, 170 A.2d 130 (Conn. 1961) but the Geor</w:t>
      </w:r>
      <w:r w:rsidR="009F62CF">
        <w:t xml:space="preserve">gia court noted in </w:t>
      </w:r>
      <w:r w:rsidR="009F62CF">
        <w:rPr>
          <w:u w:val="single"/>
        </w:rPr>
        <w:t>Lyman</w:t>
      </w:r>
      <w:r w:rsidR="009F62CF">
        <w:t xml:space="preserve"> the powerholder was not a trustee.</w:t>
      </w:r>
      <w:r w:rsidR="007F0295">
        <w:t xml:space="preserve">  </w:t>
      </w:r>
      <w:r>
        <w:t xml:space="preserve">The Georgia Court of Appeals went the other way, deciding Mary </w:t>
      </w:r>
      <w:r>
        <w:rPr>
          <w:u w:val="single"/>
        </w:rPr>
        <w:t>did</w:t>
      </w:r>
      <w:r>
        <w:t xml:space="preserve"> have a fiduciary duty:</w:t>
      </w:r>
    </w:p>
    <w:p w:rsidR="007F0295" w:rsidRDefault="007F0295" w:rsidP="007F0295">
      <w:pPr>
        <w:pStyle w:val="QS10"/>
      </w:pPr>
      <w:r>
        <w:t>In the present case, the potentiality of conflicts of interests with respect to Mary’s requests for conveyance of all property in the by-pass trust to Calhoun is well documented in the litany of litigation that has transcended decades among the co-trustees and co-beneficiaries. As we find no law which could excuse Mary from her fiduciary duty under the trust, even if acting solely as a beneficiary under the trust, we find that the trial court erred in concluding that Mary could act exclusively in her capacity as a beneficiary of both trusts in exercising her appointment power to convey trust assets.</w:t>
      </w:r>
    </w:p>
    <w:p w:rsidR="00326C56" w:rsidRDefault="00326C56" w:rsidP="00415A8F">
      <w:pPr>
        <w:pStyle w:val="Body15"/>
      </w:pPr>
      <w:r>
        <w:t>Having a power exercised when the powerholder is a trustee (or perhaps an advisor) is perilous.</w:t>
      </w:r>
    </w:p>
    <w:p w:rsidR="00415A8F" w:rsidRPr="00664E09" w:rsidRDefault="00415A8F" w:rsidP="00415A8F">
      <w:pPr>
        <w:pStyle w:val="Body15"/>
      </w:pPr>
      <w:r>
        <w:t>Because</w:t>
      </w:r>
      <w:r w:rsidR="00C64050">
        <w:t xml:space="preserve"> </w:t>
      </w:r>
      <w:r>
        <w:t>the</w:t>
      </w:r>
      <w:r w:rsidR="00C64050">
        <w:t xml:space="preserve"> </w:t>
      </w:r>
      <w:r>
        <w:t>holder</w:t>
      </w:r>
      <w:r w:rsidR="00C64050">
        <w:t xml:space="preserve"> </w:t>
      </w:r>
      <w:r>
        <w:t>of</w:t>
      </w:r>
      <w:r w:rsidR="00C64050">
        <w:t xml:space="preserve"> </w:t>
      </w:r>
      <w:r>
        <w:t>a</w:t>
      </w:r>
      <w:r w:rsidR="00C64050">
        <w:t xml:space="preserve"> </w:t>
      </w:r>
      <w:r>
        <w:t>power</w:t>
      </w:r>
      <w:r w:rsidR="00C64050">
        <w:t xml:space="preserve"> </w:t>
      </w:r>
      <w:r>
        <w:t>of</w:t>
      </w:r>
      <w:r w:rsidR="00C64050">
        <w:t xml:space="preserve"> </w:t>
      </w:r>
      <w:r>
        <w:t>appointment</w:t>
      </w:r>
      <w:r w:rsidR="00C64050">
        <w:t xml:space="preserve"> </w:t>
      </w:r>
      <w:r>
        <w:t>is</w:t>
      </w:r>
      <w:r w:rsidR="00C64050">
        <w:t xml:space="preserve"> </w:t>
      </w:r>
      <w:r>
        <w:t>not</w:t>
      </w:r>
      <w:r w:rsidR="00C64050">
        <w:t xml:space="preserve"> </w:t>
      </w:r>
      <w:r>
        <w:t>a</w:t>
      </w:r>
      <w:r w:rsidR="00C64050">
        <w:t xml:space="preserve"> </w:t>
      </w:r>
      <w:r>
        <w:t>fiduciary,</w:t>
      </w:r>
      <w:r w:rsidR="00C64050">
        <w:t xml:space="preserve"> </w:t>
      </w:r>
      <w:r>
        <w:t>the</w:t>
      </w:r>
      <w:r w:rsidR="00C64050">
        <w:t xml:space="preserve"> </w:t>
      </w:r>
      <w:r>
        <w:t>holder</w:t>
      </w:r>
      <w:r w:rsidR="00C64050">
        <w:t xml:space="preserve"> </w:t>
      </w:r>
      <w:r>
        <w:t>of</w:t>
      </w:r>
      <w:r w:rsidR="00C64050">
        <w:t xml:space="preserve"> </w:t>
      </w:r>
      <w:r>
        <w:t>a</w:t>
      </w:r>
      <w:r w:rsidR="00C64050">
        <w:t xml:space="preserve"> </w:t>
      </w:r>
      <w:r>
        <w:t>lifetime</w:t>
      </w:r>
      <w:r w:rsidR="00C64050">
        <w:t xml:space="preserve"> </w:t>
      </w:r>
      <w:r>
        <w:t>power</w:t>
      </w:r>
      <w:r w:rsidR="00C64050">
        <w:t xml:space="preserve"> </w:t>
      </w:r>
      <w:r>
        <w:t>may</w:t>
      </w:r>
      <w:r w:rsidR="00C64050">
        <w:t xml:space="preserve"> </w:t>
      </w:r>
      <w:r>
        <w:t>have</w:t>
      </w:r>
      <w:r w:rsidR="00C64050">
        <w:t xml:space="preserve"> </w:t>
      </w:r>
      <w:r>
        <w:t>his</w:t>
      </w:r>
      <w:r w:rsidR="00C64050">
        <w:t xml:space="preserve"> </w:t>
      </w:r>
      <w:r>
        <w:t>or</w:t>
      </w:r>
      <w:r w:rsidR="00C64050">
        <w:t xml:space="preserve"> </w:t>
      </w:r>
      <w:r>
        <w:t>her</w:t>
      </w:r>
      <w:r w:rsidR="00C64050">
        <w:t xml:space="preserve"> </w:t>
      </w:r>
      <w:r>
        <w:t>actions</w:t>
      </w:r>
      <w:r w:rsidR="00C64050">
        <w:t xml:space="preserve"> </w:t>
      </w:r>
      <w:r>
        <w:t>attributed</w:t>
      </w:r>
      <w:r w:rsidR="00C64050">
        <w:t xml:space="preserve"> </w:t>
      </w:r>
      <w:r>
        <w:t>to</w:t>
      </w:r>
      <w:r w:rsidR="00C64050">
        <w:t xml:space="preserve"> </w:t>
      </w:r>
      <w:r w:rsidR="003C3A1A">
        <w:t>a</w:t>
      </w:r>
      <w:r w:rsidR="00C64050">
        <w:t xml:space="preserve"> </w:t>
      </w:r>
      <w:r w:rsidR="003C3A1A">
        <w:t>grantor</w:t>
      </w:r>
      <w:r w:rsidR="00C64050">
        <w:t xml:space="preserve"> </w:t>
      </w:r>
      <w:r w:rsidR="003C3A1A">
        <w:t>or</w:t>
      </w:r>
      <w:r w:rsidR="00C64050">
        <w:t xml:space="preserve"> </w:t>
      </w:r>
      <w:r w:rsidR="003C3A1A">
        <w:t>beneficiary</w:t>
      </w:r>
      <w:r>
        <w:t>.</w:t>
      </w:r>
      <w:r w:rsidR="00C64050">
        <w:t xml:space="preserve">  </w:t>
      </w:r>
      <w:r w:rsidRPr="00664E09">
        <w:t>In</w:t>
      </w:r>
      <w:r w:rsidR="00C64050">
        <w:t xml:space="preserve"> </w:t>
      </w:r>
      <w:r w:rsidRPr="00664E09">
        <w:t>the</w:t>
      </w:r>
      <w:r w:rsidR="00C64050">
        <w:t xml:space="preserve"> </w:t>
      </w:r>
      <w:r w:rsidRPr="00664E09">
        <w:t>1970s</w:t>
      </w:r>
      <w:r w:rsidR="00C64050">
        <w:t xml:space="preserve"> </w:t>
      </w:r>
      <w:r w:rsidRPr="00664E09">
        <w:t>two</w:t>
      </w:r>
      <w:r w:rsidR="00C64050">
        <w:t xml:space="preserve"> </w:t>
      </w:r>
      <w:r w:rsidRPr="00664E09">
        <w:t>cases</w:t>
      </w:r>
      <w:r w:rsidR="00C64050">
        <w:t xml:space="preserve"> </w:t>
      </w:r>
      <w:r w:rsidRPr="00664E09">
        <w:t>dealing</w:t>
      </w:r>
      <w:r w:rsidR="00C64050">
        <w:t xml:space="preserve"> </w:t>
      </w:r>
      <w:r w:rsidRPr="00664E09">
        <w:t>with</w:t>
      </w:r>
      <w:r w:rsidR="00C64050">
        <w:t xml:space="preserve"> </w:t>
      </w:r>
      <w:r w:rsidRPr="00664E09">
        <w:t>the</w:t>
      </w:r>
      <w:r w:rsidR="00C64050">
        <w:t xml:space="preserve"> </w:t>
      </w:r>
      <w:r w:rsidRPr="00664E09">
        <w:t>Goodwyn</w:t>
      </w:r>
      <w:r w:rsidR="00C64050">
        <w:t xml:space="preserve"> </w:t>
      </w:r>
      <w:r w:rsidRPr="00664E09">
        <w:t>family</w:t>
      </w:r>
      <w:r w:rsidR="00C64050">
        <w:t xml:space="preserve"> </w:t>
      </w:r>
      <w:r w:rsidRPr="00664E09">
        <w:t>established</w:t>
      </w:r>
      <w:r w:rsidR="00C64050">
        <w:t xml:space="preserve"> </w:t>
      </w:r>
      <w:r w:rsidRPr="00664E09">
        <w:t>the</w:t>
      </w:r>
      <w:r w:rsidR="00C64050">
        <w:t xml:space="preserve"> </w:t>
      </w:r>
      <w:r w:rsidRPr="00664E09">
        <w:t>principle</w:t>
      </w:r>
      <w:r w:rsidR="00C64050">
        <w:t xml:space="preserve"> </w:t>
      </w:r>
      <w:r w:rsidRPr="00664E09">
        <w:t>that</w:t>
      </w:r>
      <w:r w:rsidR="00C64050">
        <w:t xml:space="preserve"> </w:t>
      </w:r>
      <w:r w:rsidRPr="00664E09">
        <w:t>if</w:t>
      </w:r>
      <w:r w:rsidR="00C64050">
        <w:t xml:space="preserve"> </w:t>
      </w:r>
      <w:r w:rsidRPr="00664E09">
        <w:t>a</w:t>
      </w:r>
      <w:r w:rsidR="00C64050">
        <w:t xml:space="preserve"> </w:t>
      </w:r>
      <w:r w:rsidRPr="00664E09">
        <w:t>trust</w:t>
      </w:r>
      <w:r w:rsidR="00C64050">
        <w:t xml:space="preserve"> </w:t>
      </w:r>
      <w:r w:rsidRPr="00664E09">
        <w:t>agreement</w:t>
      </w:r>
      <w:r w:rsidR="00C64050">
        <w:t xml:space="preserve"> </w:t>
      </w:r>
      <w:r w:rsidRPr="00664E09">
        <w:t>prohibited</w:t>
      </w:r>
      <w:r w:rsidR="00C64050">
        <w:t xml:space="preserve"> </w:t>
      </w:r>
      <w:r w:rsidRPr="00664E09">
        <w:t>the</w:t>
      </w:r>
      <w:r w:rsidR="00C64050">
        <w:t xml:space="preserve"> </w:t>
      </w:r>
      <w:r w:rsidRPr="00664E09">
        <w:t>grantor</w:t>
      </w:r>
      <w:r w:rsidR="00C64050">
        <w:t xml:space="preserve"> </w:t>
      </w:r>
      <w:r w:rsidRPr="00664E09">
        <w:t>from</w:t>
      </w:r>
      <w:r w:rsidR="00C64050">
        <w:t xml:space="preserve"> </w:t>
      </w:r>
      <w:r w:rsidRPr="00664E09">
        <w:t>acting</w:t>
      </w:r>
      <w:r w:rsidR="00C64050">
        <w:t xml:space="preserve"> </w:t>
      </w:r>
      <w:r w:rsidRPr="00664E09">
        <w:t>as</w:t>
      </w:r>
      <w:r w:rsidR="00C64050">
        <w:t xml:space="preserve"> </w:t>
      </w:r>
      <w:r w:rsidRPr="00664E09">
        <w:t>de</w:t>
      </w:r>
      <w:r w:rsidR="00C64050">
        <w:t xml:space="preserve"> </w:t>
      </w:r>
      <w:r w:rsidRPr="00664E09">
        <w:t>facto</w:t>
      </w:r>
      <w:r w:rsidR="00C64050">
        <w:t xml:space="preserve"> </w:t>
      </w:r>
      <w:r w:rsidRPr="00664E09">
        <w:t>trustee</w:t>
      </w:r>
      <w:r w:rsidR="00C64050">
        <w:t xml:space="preserve"> </w:t>
      </w:r>
      <w:r w:rsidRPr="00664E09">
        <w:t>the</w:t>
      </w:r>
      <w:r w:rsidR="00C64050">
        <w:t xml:space="preserve"> </w:t>
      </w:r>
      <w:r w:rsidRPr="00664E09">
        <w:t>mere</w:t>
      </w:r>
      <w:r w:rsidR="00C64050">
        <w:t xml:space="preserve"> </w:t>
      </w:r>
      <w:r w:rsidRPr="00664E09">
        <w:t>fact</w:t>
      </w:r>
      <w:r w:rsidR="00C64050">
        <w:t xml:space="preserve"> </w:t>
      </w:r>
      <w:r w:rsidRPr="00664E09">
        <w:t>that</w:t>
      </w:r>
      <w:r w:rsidR="00C64050">
        <w:t xml:space="preserve"> </w:t>
      </w:r>
      <w:r w:rsidRPr="00664E09">
        <w:t>the</w:t>
      </w:r>
      <w:r w:rsidR="00C64050">
        <w:t xml:space="preserve"> </w:t>
      </w:r>
      <w:r w:rsidRPr="00664E09">
        <w:t>grantor</w:t>
      </w:r>
      <w:r w:rsidR="00C64050">
        <w:t xml:space="preserve"> </w:t>
      </w:r>
      <w:r w:rsidRPr="00664E09">
        <w:t>did</w:t>
      </w:r>
      <w:r w:rsidR="00C64050">
        <w:t xml:space="preserve"> </w:t>
      </w:r>
      <w:r w:rsidRPr="00664E09">
        <w:t>in</w:t>
      </w:r>
      <w:r w:rsidR="00C64050">
        <w:t xml:space="preserve"> </w:t>
      </w:r>
      <w:r w:rsidRPr="00664E09">
        <w:t>fact</w:t>
      </w:r>
      <w:r w:rsidR="00C64050">
        <w:t xml:space="preserve"> </w:t>
      </w:r>
      <w:r w:rsidRPr="00664E09">
        <w:t>act</w:t>
      </w:r>
      <w:r w:rsidR="00C64050">
        <w:t xml:space="preserve"> </w:t>
      </w:r>
      <w:r w:rsidRPr="00664E09">
        <w:t>as</w:t>
      </w:r>
      <w:r w:rsidR="00C64050">
        <w:t xml:space="preserve"> </w:t>
      </w:r>
      <w:r w:rsidRPr="00664E09">
        <w:t>de</w:t>
      </w:r>
      <w:r w:rsidR="00C64050">
        <w:t xml:space="preserve"> </w:t>
      </w:r>
      <w:r w:rsidRPr="00664E09">
        <w:t>facto</w:t>
      </w:r>
      <w:r w:rsidR="00C64050">
        <w:t xml:space="preserve"> </w:t>
      </w:r>
      <w:r w:rsidRPr="00664E09">
        <w:t>trustee</w:t>
      </w:r>
      <w:r w:rsidR="00C64050">
        <w:t xml:space="preserve"> </w:t>
      </w:r>
      <w:r w:rsidRPr="00664E09">
        <w:t>would</w:t>
      </w:r>
      <w:r w:rsidR="00C64050">
        <w:t xml:space="preserve"> </w:t>
      </w:r>
      <w:r w:rsidRPr="00664E09">
        <w:t>not</w:t>
      </w:r>
      <w:r w:rsidR="00C64050">
        <w:t xml:space="preserve"> </w:t>
      </w:r>
      <w:r w:rsidRPr="00664E09">
        <w:t>established</w:t>
      </w:r>
      <w:r w:rsidR="00C64050">
        <w:t xml:space="preserve"> </w:t>
      </w:r>
      <w:r w:rsidRPr="00664E09">
        <w:t>a</w:t>
      </w:r>
      <w:r w:rsidR="00C64050">
        <w:t xml:space="preserve"> </w:t>
      </w:r>
      <w:r w:rsidRPr="00664E09">
        <w:t>retained</w:t>
      </w:r>
      <w:r w:rsidR="00C64050">
        <w:t xml:space="preserve"> </w:t>
      </w:r>
      <w:r w:rsidRPr="00664E09">
        <w:t>interest</w:t>
      </w:r>
      <w:r w:rsidR="00C64050">
        <w:t xml:space="preserve"> </w:t>
      </w:r>
      <w:r w:rsidRPr="00664E09">
        <w:t>under</w:t>
      </w:r>
      <w:r w:rsidR="00C64050">
        <w:t xml:space="preserve"> </w:t>
      </w:r>
      <w:r w:rsidRPr="00664E09">
        <w:t>section</w:t>
      </w:r>
      <w:r w:rsidR="00C64050">
        <w:t xml:space="preserve"> </w:t>
      </w:r>
      <w:r w:rsidRPr="00664E09">
        <w:t>2036,</w:t>
      </w:r>
      <w:r w:rsidR="00C64050">
        <w:t xml:space="preserve"> </w:t>
      </w:r>
      <w:r w:rsidRPr="002C7598">
        <w:rPr>
          <w:u w:val="single"/>
        </w:rPr>
        <w:t>Estate</w:t>
      </w:r>
      <w:r w:rsidR="00C64050">
        <w:rPr>
          <w:u w:val="single"/>
        </w:rPr>
        <w:t xml:space="preserve"> </w:t>
      </w:r>
      <w:r w:rsidRPr="002C7598">
        <w:rPr>
          <w:u w:val="single"/>
        </w:rPr>
        <w:t>of</w:t>
      </w:r>
      <w:r w:rsidR="00C64050">
        <w:rPr>
          <w:u w:val="single"/>
        </w:rPr>
        <w:t xml:space="preserve"> </w:t>
      </w:r>
      <w:r w:rsidRPr="002C7598">
        <w:rPr>
          <w:u w:val="single"/>
        </w:rPr>
        <w:t>Goodwyn</w:t>
      </w:r>
      <w:r w:rsidRPr="00664E09">
        <w:t>,</w:t>
      </w:r>
      <w:r w:rsidR="00C64050">
        <w:t xml:space="preserve"> </w:t>
      </w:r>
      <w:r w:rsidRPr="00664E09">
        <w:t>T.</w:t>
      </w:r>
      <w:r w:rsidR="00C64050">
        <w:t xml:space="preserve"> </w:t>
      </w:r>
      <w:r w:rsidRPr="00664E09">
        <w:t>C.</w:t>
      </w:r>
      <w:r w:rsidR="00C64050">
        <w:t xml:space="preserve"> </w:t>
      </w:r>
      <w:r w:rsidRPr="00664E09">
        <w:t>Memo.</w:t>
      </w:r>
      <w:r w:rsidR="00C64050">
        <w:t xml:space="preserve"> </w:t>
      </w:r>
      <w:r w:rsidRPr="00664E09">
        <w:t>1973-153,</w:t>
      </w:r>
      <w:r w:rsidR="00C64050">
        <w:t xml:space="preserve"> </w:t>
      </w:r>
      <w:r w:rsidRPr="00664E09">
        <w:t>nor</w:t>
      </w:r>
      <w:r w:rsidR="00C64050">
        <w:t xml:space="preserve"> </w:t>
      </w:r>
      <w:r w:rsidRPr="00664E09">
        <w:t>a</w:t>
      </w:r>
      <w:r w:rsidR="00C64050">
        <w:t xml:space="preserve"> </w:t>
      </w:r>
      <w:r w:rsidRPr="00664E09">
        <w:t>power</w:t>
      </w:r>
      <w:r w:rsidR="00C64050">
        <w:t xml:space="preserve"> </w:t>
      </w:r>
      <w:r w:rsidRPr="00664E09">
        <w:t>for</w:t>
      </w:r>
      <w:r w:rsidR="00C64050">
        <w:t xml:space="preserve"> </w:t>
      </w:r>
      <w:r w:rsidRPr="00664E09">
        <w:t>the</w:t>
      </w:r>
      <w:r w:rsidR="00C64050">
        <w:t xml:space="preserve"> </w:t>
      </w:r>
      <w:r w:rsidRPr="00664E09">
        <w:t>grantor</w:t>
      </w:r>
      <w:r w:rsidR="00C64050">
        <w:t xml:space="preserve"> </w:t>
      </w:r>
      <w:r w:rsidRPr="00664E09">
        <w:t>trust</w:t>
      </w:r>
      <w:r w:rsidR="00C64050">
        <w:t xml:space="preserve"> </w:t>
      </w:r>
      <w:r w:rsidRPr="00664E09">
        <w:t>provisions</w:t>
      </w:r>
      <w:r w:rsidR="00C64050">
        <w:t xml:space="preserve"> </w:t>
      </w:r>
      <w:r w:rsidRPr="00664E09">
        <w:t>of</w:t>
      </w:r>
      <w:r w:rsidR="00C64050">
        <w:t xml:space="preserve"> </w:t>
      </w:r>
      <w:r w:rsidRPr="00664E09">
        <w:t>sections</w:t>
      </w:r>
      <w:r w:rsidR="00C64050">
        <w:t xml:space="preserve"> </w:t>
      </w:r>
      <w:r w:rsidRPr="00664E09">
        <w:t>671ff,</w:t>
      </w:r>
      <w:r w:rsidR="00C64050">
        <w:t xml:space="preserve"> </w:t>
      </w:r>
      <w:r w:rsidRPr="00B518E8">
        <w:rPr>
          <w:u w:val="single"/>
        </w:rPr>
        <w:t>Estate</w:t>
      </w:r>
      <w:r w:rsidR="00C64050">
        <w:rPr>
          <w:u w:val="single"/>
        </w:rPr>
        <w:t xml:space="preserve"> </w:t>
      </w:r>
      <w:r w:rsidRPr="00B518E8">
        <w:rPr>
          <w:u w:val="single"/>
        </w:rPr>
        <w:t>of</w:t>
      </w:r>
      <w:r w:rsidR="00C64050">
        <w:rPr>
          <w:u w:val="single"/>
        </w:rPr>
        <w:t xml:space="preserve"> </w:t>
      </w:r>
      <w:r w:rsidRPr="00B518E8">
        <w:rPr>
          <w:u w:val="single"/>
        </w:rPr>
        <w:t>Goodwyn</w:t>
      </w:r>
      <w:r w:rsidR="00C64050">
        <w:rPr>
          <w:u w:val="single"/>
        </w:rPr>
        <w:t xml:space="preserve"> </w:t>
      </w:r>
      <w:r w:rsidRPr="00B518E8">
        <w:rPr>
          <w:u w:val="single"/>
        </w:rPr>
        <w:t>v.</w:t>
      </w:r>
      <w:r w:rsidR="00C64050">
        <w:rPr>
          <w:u w:val="single"/>
        </w:rPr>
        <w:t xml:space="preserve"> </w:t>
      </w:r>
      <w:r w:rsidRPr="00B518E8">
        <w:rPr>
          <w:u w:val="single"/>
        </w:rPr>
        <w:t>Commissioner</w:t>
      </w:r>
      <w:r w:rsidRPr="00664E09">
        <w:t>,</w:t>
      </w:r>
      <w:r w:rsidR="00C64050">
        <w:t xml:space="preserve"> </w:t>
      </w:r>
      <w:r w:rsidRPr="00664E09">
        <w:t>T.C.</w:t>
      </w:r>
      <w:r w:rsidR="00C64050">
        <w:t xml:space="preserve"> </w:t>
      </w:r>
      <w:r w:rsidRPr="00664E09">
        <w:t>Memo.</w:t>
      </w:r>
      <w:r w:rsidR="00C64050">
        <w:t xml:space="preserve"> </w:t>
      </w:r>
      <w:r w:rsidRPr="00664E09">
        <w:t>1976-238.</w:t>
      </w:r>
      <w:r w:rsidR="00C64050">
        <w:t xml:space="preserve">  </w:t>
      </w:r>
    </w:p>
    <w:p w:rsidR="00415A8F" w:rsidRPr="00AC11DB" w:rsidRDefault="00415A8F" w:rsidP="00415A8F">
      <w:pPr>
        <w:pStyle w:val="QS10"/>
      </w:pPr>
      <w:r w:rsidRPr="00AC11DB">
        <w:t>Under</w:t>
      </w:r>
      <w:r w:rsidR="00C64050">
        <w:t xml:space="preserve"> </w:t>
      </w:r>
      <w:r w:rsidRPr="00AC11DB">
        <w:t>the</w:t>
      </w:r>
      <w:r w:rsidR="00C64050">
        <w:t xml:space="preserve"> </w:t>
      </w:r>
      <w:r w:rsidRPr="00AC11DB">
        <w:t>terms</w:t>
      </w:r>
      <w:r w:rsidR="00C64050">
        <w:t xml:space="preserve"> </w:t>
      </w:r>
      <w:r w:rsidRPr="00AC11DB">
        <w:t>of</w:t>
      </w:r>
      <w:r w:rsidR="00C64050">
        <w:t xml:space="preserve"> </w:t>
      </w:r>
      <w:r w:rsidRPr="00AC11DB">
        <w:t>the</w:t>
      </w:r>
      <w:r w:rsidR="00C64050">
        <w:t xml:space="preserve"> </w:t>
      </w:r>
      <w:r w:rsidRPr="00AC11DB">
        <w:t>deeds</w:t>
      </w:r>
      <w:r w:rsidR="00C64050">
        <w:t xml:space="preserve"> </w:t>
      </w:r>
      <w:r w:rsidRPr="00AC11DB">
        <w:t>creating</w:t>
      </w:r>
      <w:r w:rsidR="00C64050">
        <w:t xml:space="preserve"> </w:t>
      </w:r>
      <w:r w:rsidRPr="00AC11DB">
        <w:t>these</w:t>
      </w:r>
      <w:r w:rsidR="00C64050">
        <w:t xml:space="preserve"> </w:t>
      </w:r>
      <w:r w:rsidRPr="00AC11DB">
        <w:t>trusts,</w:t>
      </w:r>
      <w:r w:rsidR="00C64050">
        <w:t xml:space="preserve"> </w:t>
      </w:r>
      <w:r w:rsidRPr="00AC11DB">
        <w:t>the</w:t>
      </w:r>
      <w:r w:rsidR="00C64050">
        <w:t xml:space="preserve"> </w:t>
      </w:r>
      <w:r w:rsidRPr="00AC11DB">
        <w:t>trustees</w:t>
      </w:r>
      <w:r w:rsidR="00C64050">
        <w:t xml:space="preserve"> </w:t>
      </w:r>
      <w:r w:rsidRPr="00AC11DB">
        <w:t>were</w:t>
      </w:r>
      <w:r w:rsidR="00C64050">
        <w:t xml:space="preserve"> </w:t>
      </w:r>
      <w:r w:rsidRPr="00AC11DB">
        <w:t>granted</w:t>
      </w:r>
      <w:r w:rsidR="00C64050">
        <w:t xml:space="preserve"> </w:t>
      </w:r>
      <w:r w:rsidRPr="00AC11DB">
        <w:t>broad</w:t>
      </w:r>
      <w:r w:rsidR="00C64050">
        <w:t xml:space="preserve"> </w:t>
      </w:r>
      <w:r w:rsidRPr="00AC11DB">
        <w:t>discretionary</w:t>
      </w:r>
      <w:r w:rsidR="00C64050">
        <w:t xml:space="preserve"> </w:t>
      </w:r>
      <w:r w:rsidRPr="00AC11DB">
        <w:t>powers</w:t>
      </w:r>
      <w:r w:rsidR="00C64050">
        <w:t xml:space="preserve"> </w:t>
      </w:r>
      <w:r w:rsidRPr="00AC11DB">
        <w:t>with</w:t>
      </w:r>
      <w:r w:rsidR="00C64050">
        <w:t xml:space="preserve"> </w:t>
      </w:r>
      <w:r w:rsidRPr="00AC11DB">
        <w:t>respect</w:t>
      </w:r>
      <w:r w:rsidR="00C64050">
        <w:t xml:space="preserve"> </w:t>
      </w:r>
      <w:r w:rsidRPr="00AC11DB">
        <w:t>to</w:t>
      </w:r>
      <w:r w:rsidR="00C64050">
        <w:t xml:space="preserve"> </w:t>
      </w:r>
      <w:r w:rsidRPr="00AC11DB">
        <w:t>both</w:t>
      </w:r>
      <w:r w:rsidR="00C64050">
        <w:t xml:space="preserve"> </w:t>
      </w:r>
      <w:r w:rsidRPr="00AC11DB">
        <w:t>the</w:t>
      </w:r>
      <w:r w:rsidR="00C64050">
        <w:t xml:space="preserve"> </w:t>
      </w:r>
      <w:r w:rsidRPr="00AC11DB">
        <w:t>distribution</w:t>
      </w:r>
      <w:r w:rsidR="00C64050">
        <w:t xml:space="preserve"> </w:t>
      </w:r>
      <w:r w:rsidRPr="00AC11DB">
        <w:t>of</w:t>
      </w:r>
      <w:r w:rsidR="00C64050">
        <w:t xml:space="preserve"> </w:t>
      </w:r>
      <w:r w:rsidRPr="00AC11DB">
        <w:t>income</w:t>
      </w:r>
      <w:r w:rsidR="00C64050">
        <w:t xml:space="preserve"> </w:t>
      </w:r>
      <w:r w:rsidRPr="00AC11DB">
        <w:t>to</w:t>
      </w:r>
      <w:r w:rsidR="00C64050">
        <w:t xml:space="preserve"> </w:t>
      </w:r>
      <w:r w:rsidRPr="00AC11DB">
        <w:t>the</w:t>
      </w:r>
      <w:r w:rsidR="00C64050">
        <w:t xml:space="preserve"> </w:t>
      </w:r>
      <w:r w:rsidRPr="00AC11DB">
        <w:t>beneficiaries</w:t>
      </w:r>
      <w:r w:rsidR="00C64050">
        <w:t xml:space="preserve"> </w:t>
      </w:r>
      <w:r w:rsidRPr="00AC11DB">
        <w:t>and</w:t>
      </w:r>
      <w:r w:rsidR="00C64050">
        <w:t xml:space="preserve"> </w:t>
      </w:r>
      <w:r w:rsidRPr="00AC11DB">
        <w:t>the</w:t>
      </w:r>
      <w:r w:rsidR="00C64050">
        <w:t xml:space="preserve"> </w:t>
      </w:r>
      <w:r w:rsidRPr="00AC11DB">
        <w:t>investment</w:t>
      </w:r>
      <w:r w:rsidR="00C64050">
        <w:t xml:space="preserve"> </w:t>
      </w:r>
      <w:r w:rsidRPr="00AC11DB">
        <w:t>and</w:t>
      </w:r>
      <w:r w:rsidR="00C64050">
        <w:t xml:space="preserve"> </w:t>
      </w:r>
      <w:r w:rsidRPr="00AC11DB">
        <w:t>management</w:t>
      </w:r>
      <w:r w:rsidR="00C64050">
        <w:t xml:space="preserve"> </w:t>
      </w:r>
      <w:r w:rsidRPr="00AC11DB">
        <w:t>of</w:t>
      </w:r>
      <w:r w:rsidR="00C64050">
        <w:t xml:space="preserve"> </w:t>
      </w:r>
      <w:r w:rsidRPr="00AC11DB">
        <w:t>the</w:t>
      </w:r>
      <w:r w:rsidR="00C64050">
        <w:t xml:space="preserve"> </w:t>
      </w:r>
      <w:r w:rsidRPr="00AC11DB">
        <w:t>corpus</w:t>
      </w:r>
      <w:r w:rsidR="00C64050">
        <w:t xml:space="preserve"> </w:t>
      </w:r>
      <w:r w:rsidRPr="00AC11DB">
        <w:t>of</w:t>
      </w:r>
      <w:r w:rsidR="00C64050">
        <w:t xml:space="preserve"> </w:t>
      </w:r>
      <w:r w:rsidRPr="00AC11DB">
        <w:t>the</w:t>
      </w:r>
      <w:r w:rsidR="00C64050">
        <w:t xml:space="preserve"> </w:t>
      </w:r>
      <w:r w:rsidRPr="00AC11DB">
        <w:t>trusts.</w:t>
      </w:r>
      <w:r w:rsidR="00C64050">
        <w:t xml:space="preserve"> </w:t>
      </w:r>
      <w:r w:rsidRPr="00AC11DB">
        <w:t>Notwithstanding</w:t>
      </w:r>
      <w:r w:rsidR="00C64050">
        <w:t xml:space="preserve"> </w:t>
      </w:r>
      <w:r w:rsidRPr="00AC11DB">
        <w:t>the</w:t>
      </w:r>
      <w:r w:rsidR="00C64050">
        <w:t xml:space="preserve"> </w:t>
      </w:r>
      <w:r w:rsidRPr="00AC11DB">
        <w:t>designation</w:t>
      </w:r>
      <w:r w:rsidR="00C64050">
        <w:t xml:space="preserve"> </w:t>
      </w:r>
      <w:r w:rsidRPr="00AC11DB">
        <w:t>of</w:t>
      </w:r>
      <w:r w:rsidR="00C64050">
        <w:t xml:space="preserve"> </w:t>
      </w:r>
      <w:r w:rsidRPr="00AC11DB">
        <w:t>Richards</w:t>
      </w:r>
      <w:r w:rsidR="00C64050">
        <w:t xml:space="preserve"> </w:t>
      </w:r>
      <w:r w:rsidRPr="00AC11DB">
        <w:t>and</w:t>
      </w:r>
      <w:r w:rsidR="00C64050">
        <w:t xml:space="preserve"> </w:t>
      </w:r>
      <w:r w:rsidRPr="00AC11DB">
        <w:t>Russell</w:t>
      </w:r>
      <w:r w:rsidR="00C64050">
        <w:t xml:space="preserve"> </w:t>
      </w:r>
      <w:r w:rsidRPr="00AC11DB">
        <w:t>as</w:t>
      </w:r>
      <w:r w:rsidR="00C64050">
        <w:t xml:space="preserve"> </w:t>
      </w:r>
      <w:r w:rsidRPr="00AC11DB">
        <w:t>trustees,</w:t>
      </w:r>
      <w:r w:rsidR="00C64050">
        <w:t xml:space="preserve"> </w:t>
      </w:r>
      <w:r w:rsidRPr="00AC11DB">
        <w:t>it</w:t>
      </w:r>
      <w:r w:rsidR="00C64050">
        <w:t xml:space="preserve"> </w:t>
      </w:r>
      <w:r w:rsidRPr="00AC11DB">
        <w:t>further</w:t>
      </w:r>
      <w:r w:rsidR="00C64050">
        <w:t xml:space="preserve"> </w:t>
      </w:r>
      <w:r w:rsidRPr="00AC11DB">
        <w:t>appears</w:t>
      </w:r>
      <w:r w:rsidR="00C64050">
        <w:t xml:space="preserve"> </w:t>
      </w:r>
      <w:r w:rsidRPr="00AC11DB">
        <w:t>that</w:t>
      </w:r>
      <w:r w:rsidR="00C64050">
        <w:t xml:space="preserve"> </w:t>
      </w:r>
      <w:r w:rsidRPr="00AC11DB">
        <w:t>at</w:t>
      </w:r>
      <w:r w:rsidR="00C64050">
        <w:t xml:space="preserve"> </w:t>
      </w:r>
      <w:r w:rsidRPr="00AC11DB">
        <w:t>all</w:t>
      </w:r>
      <w:r w:rsidR="00C64050">
        <w:t xml:space="preserve"> </w:t>
      </w:r>
      <w:r w:rsidRPr="00AC11DB">
        <w:t>times</w:t>
      </w:r>
      <w:r w:rsidR="00C64050">
        <w:t xml:space="preserve"> </w:t>
      </w:r>
      <w:r w:rsidRPr="00AC11DB">
        <w:t>from</w:t>
      </w:r>
      <w:r w:rsidR="00C64050">
        <w:t xml:space="preserve"> </w:t>
      </w:r>
      <w:r w:rsidRPr="00AC11DB">
        <w:t>the</w:t>
      </w:r>
      <w:r w:rsidR="00C64050">
        <w:t xml:space="preserve"> </w:t>
      </w:r>
      <w:r w:rsidRPr="00AC11DB">
        <w:t>establishment</w:t>
      </w:r>
      <w:r w:rsidR="00C64050">
        <w:t xml:space="preserve"> </w:t>
      </w:r>
      <w:r w:rsidRPr="00AC11DB">
        <w:t>of</w:t>
      </w:r>
      <w:r w:rsidR="00C64050">
        <w:t xml:space="preserve"> </w:t>
      </w:r>
      <w:r w:rsidRPr="00AC11DB">
        <w:t>the</w:t>
      </w:r>
      <w:r w:rsidR="00C64050">
        <w:t xml:space="preserve"> </w:t>
      </w:r>
      <w:r w:rsidRPr="00AC11DB">
        <w:t>trusts</w:t>
      </w:r>
      <w:r w:rsidR="00C64050">
        <w:t xml:space="preserve"> </w:t>
      </w:r>
      <w:r w:rsidRPr="00AC11DB">
        <w:t>until</w:t>
      </w:r>
      <w:r w:rsidR="00C64050">
        <w:t xml:space="preserve"> </w:t>
      </w:r>
      <w:r w:rsidRPr="00AC11DB">
        <w:t>his</w:t>
      </w:r>
      <w:r w:rsidR="00C64050">
        <w:t xml:space="preserve"> </w:t>
      </w:r>
      <w:r w:rsidRPr="00AC11DB">
        <w:t>last</w:t>
      </w:r>
      <w:r w:rsidR="00C64050">
        <w:t xml:space="preserve"> </w:t>
      </w:r>
      <w:r w:rsidRPr="00AC11DB">
        <w:t>illness,</w:t>
      </w:r>
      <w:r w:rsidR="00C64050">
        <w:t xml:space="preserve"> </w:t>
      </w:r>
      <w:r w:rsidRPr="00AC11DB">
        <w:t>the</w:t>
      </w:r>
      <w:r w:rsidR="00C64050">
        <w:t xml:space="preserve"> </w:t>
      </w:r>
      <w:r w:rsidRPr="00AC11DB">
        <w:t>decedent</w:t>
      </w:r>
      <w:r w:rsidR="00C64050">
        <w:t xml:space="preserve"> </w:t>
      </w:r>
      <w:r w:rsidRPr="00AC11DB">
        <w:t>exercised</w:t>
      </w:r>
      <w:r w:rsidR="00C64050">
        <w:t xml:space="preserve"> </w:t>
      </w:r>
      <w:r w:rsidRPr="00AC11DB">
        <w:t>complete</w:t>
      </w:r>
      <w:r w:rsidR="00C64050">
        <w:t xml:space="preserve"> </w:t>
      </w:r>
      <w:r w:rsidRPr="00AC11DB">
        <w:t>control</w:t>
      </w:r>
      <w:r w:rsidR="00C64050">
        <w:t xml:space="preserve"> </w:t>
      </w:r>
      <w:r w:rsidRPr="00AC11DB">
        <w:t>with</w:t>
      </w:r>
      <w:r w:rsidR="00C64050">
        <w:t xml:space="preserve"> </w:t>
      </w:r>
      <w:r w:rsidRPr="00AC11DB">
        <w:t>respect</w:t>
      </w:r>
      <w:r w:rsidR="00C64050">
        <w:t xml:space="preserve"> </w:t>
      </w:r>
      <w:r w:rsidRPr="00AC11DB">
        <w:t>to</w:t>
      </w:r>
      <w:r w:rsidR="00C64050">
        <w:t xml:space="preserve"> </w:t>
      </w:r>
      <w:r w:rsidRPr="00AC11DB">
        <w:t>the</w:t>
      </w:r>
      <w:r w:rsidR="00C64050">
        <w:t xml:space="preserve"> </w:t>
      </w:r>
      <w:r w:rsidRPr="00AC11DB">
        <w:t>purchase</w:t>
      </w:r>
      <w:r w:rsidR="00C64050">
        <w:t xml:space="preserve"> </w:t>
      </w:r>
      <w:r w:rsidRPr="00AC11DB">
        <w:t>and</w:t>
      </w:r>
      <w:r w:rsidR="00C64050">
        <w:t xml:space="preserve"> </w:t>
      </w:r>
      <w:r w:rsidRPr="00AC11DB">
        <w:t>sale</w:t>
      </w:r>
      <w:r w:rsidR="00C64050">
        <w:t xml:space="preserve"> </w:t>
      </w:r>
      <w:r w:rsidRPr="00AC11DB">
        <w:t>of</w:t>
      </w:r>
      <w:r w:rsidR="00C64050">
        <w:t xml:space="preserve"> </w:t>
      </w:r>
      <w:r w:rsidRPr="00AC11DB">
        <w:t>trust</w:t>
      </w:r>
      <w:r w:rsidR="00C64050">
        <w:t xml:space="preserve"> </w:t>
      </w:r>
      <w:r w:rsidRPr="00AC11DB">
        <w:t>assets,</w:t>
      </w:r>
      <w:r w:rsidR="00C64050">
        <w:t xml:space="preserve"> </w:t>
      </w:r>
      <w:r w:rsidRPr="00AC11DB">
        <w:t>investment</w:t>
      </w:r>
      <w:r w:rsidR="00C64050">
        <w:t xml:space="preserve"> </w:t>
      </w:r>
      <w:r w:rsidRPr="00AC11DB">
        <w:t>of</w:t>
      </w:r>
      <w:r w:rsidR="00C64050">
        <w:t xml:space="preserve"> </w:t>
      </w:r>
      <w:r w:rsidRPr="00AC11DB">
        <w:t>any</w:t>
      </w:r>
      <w:r w:rsidR="00C64050">
        <w:t xml:space="preserve"> </w:t>
      </w:r>
      <w:r w:rsidRPr="00AC11DB">
        <w:t>proceeds,</w:t>
      </w:r>
      <w:r w:rsidR="00C64050">
        <w:t xml:space="preserve"> </w:t>
      </w:r>
      <w:r w:rsidRPr="00AC11DB">
        <w:t>and</w:t>
      </w:r>
      <w:r w:rsidR="00C64050">
        <w:t xml:space="preserve"> </w:t>
      </w:r>
      <w:r w:rsidRPr="00AC11DB">
        <w:t>the</w:t>
      </w:r>
      <w:r w:rsidR="00C64050">
        <w:t xml:space="preserve"> </w:t>
      </w:r>
      <w:r w:rsidRPr="00AC11DB">
        <w:t>determination</w:t>
      </w:r>
      <w:r w:rsidR="00C64050">
        <w:t xml:space="preserve"> </w:t>
      </w:r>
      <w:r w:rsidRPr="00AC11DB">
        <w:t>of</w:t>
      </w:r>
      <w:r w:rsidR="00C64050">
        <w:t xml:space="preserve"> </w:t>
      </w:r>
      <w:r w:rsidRPr="00AC11DB">
        <w:t>the</w:t>
      </w:r>
      <w:r w:rsidR="00C64050">
        <w:t xml:space="preserve"> </w:t>
      </w:r>
      <w:r w:rsidRPr="00AC11DB">
        <w:t>amounts,</w:t>
      </w:r>
      <w:r w:rsidR="00C64050">
        <w:t xml:space="preserve"> </w:t>
      </w:r>
      <w:r w:rsidRPr="00AC11DB">
        <w:t>if</w:t>
      </w:r>
      <w:r w:rsidR="00C64050">
        <w:t xml:space="preserve"> </w:t>
      </w:r>
      <w:r w:rsidRPr="00AC11DB">
        <w:t>any,</w:t>
      </w:r>
      <w:r w:rsidR="00C64050">
        <w:t xml:space="preserve"> </w:t>
      </w:r>
      <w:r w:rsidRPr="00AC11DB">
        <w:t>to</w:t>
      </w:r>
      <w:r w:rsidR="00C64050">
        <w:t xml:space="preserve"> </w:t>
      </w:r>
      <w:r w:rsidRPr="00AC11DB">
        <w:t>be</w:t>
      </w:r>
      <w:r w:rsidR="00C64050">
        <w:t xml:space="preserve"> </w:t>
      </w:r>
      <w:r w:rsidRPr="00AC11DB">
        <w:t>distributed</w:t>
      </w:r>
      <w:r w:rsidR="00C64050">
        <w:t xml:space="preserve"> </w:t>
      </w:r>
      <w:r w:rsidRPr="00AC11DB">
        <w:t>to</w:t>
      </w:r>
      <w:r w:rsidR="00C64050">
        <w:t xml:space="preserve"> </w:t>
      </w:r>
      <w:r w:rsidRPr="00AC11DB">
        <w:t>the</w:t>
      </w:r>
      <w:r w:rsidR="00C64050">
        <w:t xml:space="preserve"> </w:t>
      </w:r>
      <w:r w:rsidRPr="00AC11DB">
        <w:t>respective</w:t>
      </w:r>
      <w:r w:rsidR="00C64050">
        <w:t xml:space="preserve"> </w:t>
      </w:r>
      <w:r w:rsidRPr="00AC11DB">
        <w:t>beneficiaries.</w:t>
      </w:r>
    </w:p>
    <w:p w:rsidR="00415A8F" w:rsidRPr="00AC11DB" w:rsidRDefault="00415A8F" w:rsidP="00415A8F">
      <w:pPr>
        <w:pStyle w:val="QS10"/>
      </w:pPr>
      <w:r w:rsidRPr="00AC11DB">
        <w:t>The</w:t>
      </w:r>
      <w:r w:rsidR="00C64050">
        <w:t xml:space="preserve"> </w:t>
      </w:r>
      <w:r w:rsidRPr="00AC11DB">
        <w:t>assets</w:t>
      </w:r>
      <w:r w:rsidR="00C64050">
        <w:t xml:space="preserve"> </w:t>
      </w:r>
      <w:r w:rsidRPr="00AC11DB">
        <w:t>of</w:t>
      </w:r>
      <w:r w:rsidR="00C64050">
        <w:t xml:space="preserve"> </w:t>
      </w:r>
      <w:r w:rsidRPr="00AC11DB">
        <w:t>the</w:t>
      </w:r>
      <w:r w:rsidR="00C64050">
        <w:t xml:space="preserve"> </w:t>
      </w:r>
      <w:r w:rsidRPr="00AC11DB">
        <w:t>various</w:t>
      </w:r>
      <w:r w:rsidR="00C64050">
        <w:t xml:space="preserve"> </w:t>
      </w:r>
      <w:r w:rsidRPr="00AC11DB">
        <w:t>trusts,</w:t>
      </w:r>
      <w:r w:rsidR="00C64050">
        <w:t xml:space="preserve"> </w:t>
      </w:r>
      <w:r w:rsidRPr="00AC11DB">
        <w:t>together</w:t>
      </w:r>
      <w:r w:rsidR="00C64050">
        <w:t xml:space="preserve"> </w:t>
      </w:r>
      <w:r w:rsidRPr="00AC11DB">
        <w:t>with</w:t>
      </w:r>
      <w:r w:rsidR="00C64050">
        <w:t xml:space="preserve"> </w:t>
      </w:r>
      <w:r w:rsidRPr="00AC11DB">
        <w:t>other</w:t>
      </w:r>
      <w:r w:rsidR="00C64050">
        <w:t xml:space="preserve"> </w:t>
      </w:r>
      <w:r w:rsidRPr="00AC11DB">
        <w:t>trusts,</w:t>
      </w:r>
      <w:r w:rsidR="00C64050">
        <w:t xml:space="preserve"> </w:t>
      </w:r>
      <w:r w:rsidRPr="00AC11DB">
        <w:t>as</w:t>
      </w:r>
      <w:r w:rsidR="00C64050">
        <w:t xml:space="preserve"> </w:t>
      </w:r>
      <w:r w:rsidRPr="00AC11DB">
        <w:t>well</w:t>
      </w:r>
      <w:r w:rsidR="00C64050">
        <w:t xml:space="preserve"> </w:t>
      </w:r>
      <w:r w:rsidRPr="00AC11DB">
        <w:t>as</w:t>
      </w:r>
      <w:r w:rsidR="00C64050">
        <w:t xml:space="preserve"> </w:t>
      </w:r>
      <w:r w:rsidRPr="00AC11DB">
        <w:t>property</w:t>
      </w:r>
      <w:r w:rsidR="00C64050">
        <w:t xml:space="preserve"> </w:t>
      </w:r>
      <w:r w:rsidRPr="00AC11DB">
        <w:t>owned</w:t>
      </w:r>
      <w:r w:rsidR="00C64050">
        <w:t xml:space="preserve"> </w:t>
      </w:r>
      <w:r w:rsidRPr="00AC11DB">
        <w:t>by</w:t>
      </w:r>
      <w:r w:rsidR="00C64050">
        <w:t xml:space="preserve"> </w:t>
      </w:r>
      <w:r w:rsidRPr="00AC11DB">
        <w:t>the</w:t>
      </w:r>
      <w:r w:rsidR="00C64050">
        <w:t xml:space="preserve"> </w:t>
      </w:r>
      <w:r w:rsidRPr="00AC11DB">
        <w:t>decedent,</w:t>
      </w:r>
      <w:r w:rsidR="00C64050">
        <w:t xml:space="preserve"> </w:t>
      </w:r>
      <w:r w:rsidRPr="00AC11DB">
        <w:t>were</w:t>
      </w:r>
      <w:r w:rsidR="00C64050">
        <w:t xml:space="preserve"> </w:t>
      </w:r>
      <w:r w:rsidRPr="00AC11DB">
        <w:t>accounted</w:t>
      </w:r>
      <w:r w:rsidR="00C64050">
        <w:t xml:space="preserve"> </w:t>
      </w:r>
      <w:r w:rsidRPr="00AC11DB">
        <w:t>for</w:t>
      </w:r>
      <w:r w:rsidR="00C64050">
        <w:t xml:space="preserve"> </w:t>
      </w:r>
      <w:r w:rsidRPr="00AC11DB">
        <w:t>by</w:t>
      </w:r>
      <w:r w:rsidR="00C64050">
        <w:t xml:space="preserve"> </w:t>
      </w:r>
      <w:r w:rsidRPr="00AC11DB">
        <w:t>a</w:t>
      </w:r>
      <w:r w:rsidR="00C64050">
        <w:t xml:space="preserve"> </w:t>
      </w:r>
      <w:r w:rsidRPr="00AC11DB">
        <w:t>single</w:t>
      </w:r>
      <w:r w:rsidR="00C64050">
        <w:t xml:space="preserve"> </w:t>
      </w:r>
      <w:r w:rsidRPr="00AC11DB">
        <w:t>set</w:t>
      </w:r>
      <w:r w:rsidR="00C64050">
        <w:t xml:space="preserve"> </w:t>
      </w:r>
      <w:r w:rsidRPr="00AC11DB">
        <w:t>of</w:t>
      </w:r>
      <w:r w:rsidR="00C64050">
        <w:t xml:space="preserve"> </w:t>
      </w:r>
      <w:r w:rsidRPr="00AC11DB">
        <w:t>records</w:t>
      </w:r>
      <w:r w:rsidR="00C64050">
        <w:t xml:space="preserve"> </w:t>
      </w:r>
      <w:r w:rsidRPr="00AC11DB">
        <w:t>maintained</w:t>
      </w:r>
      <w:r w:rsidR="00C64050">
        <w:t xml:space="preserve"> </w:t>
      </w:r>
      <w:r w:rsidRPr="00AC11DB">
        <w:t>in</w:t>
      </w:r>
      <w:r w:rsidR="00C64050">
        <w:t xml:space="preserve"> </w:t>
      </w:r>
      <w:r w:rsidRPr="00AC11DB">
        <w:t>the</w:t>
      </w:r>
      <w:r w:rsidR="00C64050">
        <w:t xml:space="preserve"> </w:t>
      </w:r>
      <w:r w:rsidRPr="00AC11DB">
        <w:t>offices</w:t>
      </w:r>
      <w:r w:rsidR="00C64050">
        <w:t xml:space="preserve"> </w:t>
      </w:r>
      <w:r w:rsidRPr="00AC11DB">
        <w:t>of</w:t>
      </w:r>
      <w:r w:rsidR="00C64050">
        <w:t xml:space="preserve"> </w:t>
      </w:r>
      <w:r w:rsidRPr="00AC11DB">
        <w:t>the</w:t>
      </w:r>
      <w:r w:rsidR="00C64050">
        <w:t xml:space="preserve"> </w:t>
      </w:r>
      <w:r w:rsidRPr="00AC11DB">
        <w:t>decedent.</w:t>
      </w:r>
      <w:r w:rsidR="00C64050">
        <w:t xml:space="preserve"> </w:t>
      </w:r>
      <w:r w:rsidRPr="00AC11DB">
        <w:t>Except</w:t>
      </w:r>
      <w:r w:rsidR="00C64050">
        <w:t xml:space="preserve"> </w:t>
      </w:r>
      <w:r w:rsidRPr="00AC11DB">
        <w:t>for</w:t>
      </w:r>
      <w:r w:rsidR="00C64050">
        <w:t xml:space="preserve"> </w:t>
      </w:r>
      <w:r w:rsidRPr="00AC11DB">
        <w:t>the</w:t>
      </w:r>
      <w:r w:rsidR="00C64050">
        <w:t xml:space="preserve"> </w:t>
      </w:r>
      <w:r w:rsidRPr="00AC11DB">
        <w:t>Federal</w:t>
      </w:r>
      <w:r w:rsidR="00C64050">
        <w:t xml:space="preserve"> </w:t>
      </w:r>
      <w:r w:rsidRPr="00AC11DB">
        <w:t>income</w:t>
      </w:r>
      <w:r w:rsidR="00C64050">
        <w:t xml:space="preserve"> </w:t>
      </w:r>
      <w:r w:rsidRPr="00AC11DB">
        <w:t>tax</w:t>
      </w:r>
      <w:r w:rsidR="00C64050">
        <w:t xml:space="preserve"> </w:t>
      </w:r>
      <w:r w:rsidRPr="00AC11DB">
        <w:t>returns</w:t>
      </w:r>
      <w:r w:rsidR="00C64050">
        <w:t xml:space="preserve"> </w:t>
      </w:r>
      <w:r w:rsidRPr="00AC11DB">
        <w:t>prepared</w:t>
      </w:r>
      <w:r w:rsidR="00C64050">
        <w:t xml:space="preserve"> </w:t>
      </w:r>
      <w:r w:rsidRPr="00AC11DB">
        <w:t>and</w:t>
      </w:r>
      <w:r w:rsidR="00C64050">
        <w:t xml:space="preserve"> </w:t>
      </w:r>
      <w:r w:rsidRPr="00AC11DB">
        <w:t>filed</w:t>
      </w:r>
      <w:r w:rsidR="00C64050">
        <w:t xml:space="preserve"> </w:t>
      </w:r>
      <w:r w:rsidRPr="00AC11DB">
        <w:t>by</w:t>
      </w:r>
      <w:r w:rsidR="00C64050">
        <w:t xml:space="preserve"> </w:t>
      </w:r>
      <w:r w:rsidRPr="00AC11DB">
        <w:t>the</w:t>
      </w:r>
      <w:r w:rsidR="00C64050">
        <w:t xml:space="preserve"> </w:t>
      </w:r>
      <w:r w:rsidRPr="00AC11DB">
        <w:t>decedent</w:t>
      </w:r>
      <w:r w:rsidR="00C64050">
        <w:t xml:space="preserve"> </w:t>
      </w:r>
      <w:r w:rsidRPr="00AC11DB">
        <w:t>on</w:t>
      </w:r>
      <w:r w:rsidR="00C64050">
        <w:t xml:space="preserve"> </w:t>
      </w:r>
      <w:r w:rsidRPr="00AC11DB">
        <w:t>behalf</w:t>
      </w:r>
      <w:r w:rsidR="00C64050">
        <w:t xml:space="preserve"> </w:t>
      </w:r>
      <w:r w:rsidRPr="00AC11DB">
        <w:t>of</w:t>
      </w:r>
      <w:r w:rsidR="00C64050">
        <w:t xml:space="preserve"> </w:t>
      </w:r>
      <w:r w:rsidRPr="00AC11DB">
        <w:t>the</w:t>
      </w:r>
      <w:r w:rsidR="00C64050">
        <w:t xml:space="preserve"> </w:t>
      </w:r>
      <w:r w:rsidRPr="00AC11DB">
        <w:t>various</w:t>
      </w:r>
      <w:r w:rsidR="00C64050">
        <w:t xml:space="preserve"> </w:t>
      </w:r>
      <w:r w:rsidRPr="00AC11DB">
        <w:t>trusts,</w:t>
      </w:r>
      <w:r w:rsidR="00C64050">
        <w:t xml:space="preserve"> </w:t>
      </w:r>
      <w:r w:rsidRPr="00AC11DB">
        <w:t>no</w:t>
      </w:r>
      <w:r w:rsidR="00C64050">
        <w:t xml:space="preserve"> </w:t>
      </w:r>
      <w:r w:rsidRPr="00AC11DB">
        <w:t>separate</w:t>
      </w:r>
      <w:r w:rsidR="00C64050">
        <w:t xml:space="preserve"> </w:t>
      </w:r>
      <w:r w:rsidRPr="00AC11DB">
        <w:t>records</w:t>
      </w:r>
      <w:r w:rsidR="00C64050">
        <w:t xml:space="preserve"> </w:t>
      </w:r>
      <w:r w:rsidRPr="00AC11DB">
        <w:t>were</w:t>
      </w:r>
      <w:r w:rsidR="00C64050">
        <w:t xml:space="preserve"> </w:t>
      </w:r>
      <w:r w:rsidRPr="00AC11DB">
        <w:t>maintained</w:t>
      </w:r>
      <w:r w:rsidR="00C64050">
        <w:t xml:space="preserve"> </w:t>
      </w:r>
      <w:r w:rsidRPr="00AC11DB">
        <w:t>showing</w:t>
      </w:r>
      <w:r w:rsidR="00C64050">
        <w:t xml:space="preserve"> </w:t>
      </w:r>
      <w:r w:rsidRPr="00AC11DB">
        <w:t>the</w:t>
      </w:r>
      <w:r w:rsidR="00C64050">
        <w:t xml:space="preserve"> </w:t>
      </w:r>
      <w:r w:rsidRPr="00AC11DB">
        <w:t>assets</w:t>
      </w:r>
      <w:r w:rsidR="00C64050">
        <w:t xml:space="preserve"> </w:t>
      </w:r>
      <w:r w:rsidRPr="00AC11DB">
        <w:t>and</w:t>
      </w:r>
      <w:r w:rsidR="00C64050">
        <w:t xml:space="preserve"> </w:t>
      </w:r>
      <w:r w:rsidRPr="00AC11DB">
        <w:t>income</w:t>
      </w:r>
      <w:r w:rsidR="00C64050">
        <w:t xml:space="preserve"> </w:t>
      </w:r>
      <w:r w:rsidRPr="00AC11DB">
        <w:t>of</w:t>
      </w:r>
      <w:r w:rsidR="00C64050">
        <w:t xml:space="preserve"> </w:t>
      </w:r>
      <w:r w:rsidRPr="00AC11DB">
        <w:t>any</w:t>
      </w:r>
      <w:r w:rsidR="00C64050">
        <w:t xml:space="preserve"> </w:t>
      </w:r>
      <w:r w:rsidRPr="00AC11DB">
        <w:t>of</w:t>
      </w:r>
      <w:r w:rsidR="00C64050">
        <w:t xml:space="preserve"> </w:t>
      </w:r>
      <w:r w:rsidRPr="00AC11DB">
        <w:t>these</w:t>
      </w:r>
      <w:r w:rsidR="00C64050">
        <w:t xml:space="preserve"> </w:t>
      </w:r>
      <w:r w:rsidRPr="00AC11DB">
        <w:t>trusts.</w:t>
      </w:r>
    </w:p>
    <w:p w:rsidR="00415A8F" w:rsidRPr="00C555DE" w:rsidRDefault="00415A8F" w:rsidP="00415A8F">
      <w:pPr>
        <w:pStyle w:val="QS10"/>
        <w:rPr>
          <w:color w:val="000000" w:themeColor="text1"/>
        </w:rPr>
      </w:pPr>
      <w:r w:rsidRPr="00AC11DB">
        <w:t>The</w:t>
      </w:r>
      <w:r w:rsidR="00C64050">
        <w:t xml:space="preserve"> </w:t>
      </w:r>
      <w:r w:rsidRPr="00AC11DB">
        <w:t>respondent</w:t>
      </w:r>
      <w:r w:rsidR="00C64050">
        <w:t xml:space="preserve"> </w:t>
      </w:r>
      <w:r w:rsidRPr="00AC11DB">
        <w:t>argues</w:t>
      </w:r>
      <w:r w:rsidR="00C64050">
        <w:t xml:space="preserve"> </w:t>
      </w:r>
      <w:r w:rsidRPr="00AC11DB">
        <w:t>that</w:t>
      </w:r>
      <w:r w:rsidR="00C64050">
        <w:t xml:space="preserve"> </w:t>
      </w:r>
      <w:r w:rsidRPr="00AC11DB">
        <w:t>the</w:t>
      </w:r>
      <w:r w:rsidR="00C64050">
        <w:t xml:space="preserve"> </w:t>
      </w:r>
      <w:r w:rsidRPr="00AC11DB">
        <w:t>decedent</w:t>
      </w:r>
      <w:r w:rsidR="00C64050">
        <w:t xml:space="preserve"> </w:t>
      </w:r>
      <w:r w:rsidRPr="00AC11DB">
        <w:t>should</w:t>
      </w:r>
      <w:r w:rsidR="00C64050">
        <w:t xml:space="preserve"> </w:t>
      </w:r>
      <w:r w:rsidRPr="00AC11DB">
        <w:t>be</w:t>
      </w:r>
      <w:r w:rsidR="00C64050">
        <w:t xml:space="preserve"> </w:t>
      </w:r>
      <w:r w:rsidRPr="00AC11DB">
        <w:t>treated</w:t>
      </w:r>
      <w:r w:rsidR="00C64050">
        <w:t xml:space="preserve"> </w:t>
      </w:r>
      <w:r w:rsidRPr="00AC11DB">
        <w:t>as</w:t>
      </w:r>
      <w:r w:rsidR="00C64050">
        <w:t xml:space="preserve"> </w:t>
      </w:r>
      <w:r w:rsidRPr="00AC11DB">
        <w:t>trustee,</w:t>
      </w:r>
      <w:r w:rsidR="00C64050">
        <w:t xml:space="preserve"> </w:t>
      </w:r>
      <w:r w:rsidRPr="00AC11DB">
        <w:t>in</w:t>
      </w:r>
      <w:r w:rsidR="00C64050">
        <w:t xml:space="preserve"> </w:t>
      </w:r>
      <w:r w:rsidRPr="00AC11DB">
        <w:t>fact,</w:t>
      </w:r>
      <w:r w:rsidR="00C64050">
        <w:t xml:space="preserve"> </w:t>
      </w:r>
      <w:r w:rsidRPr="00AC11DB">
        <w:t>pos</w:t>
      </w:r>
      <w:r w:rsidRPr="00C555DE">
        <w:rPr>
          <w:color w:val="000000" w:themeColor="text1"/>
        </w:rPr>
        <w:t>sessing</w:t>
      </w:r>
      <w:r w:rsidR="00C64050">
        <w:rPr>
          <w:color w:val="000000" w:themeColor="text1"/>
        </w:rPr>
        <w:t xml:space="preserve"> </w:t>
      </w:r>
      <w:r w:rsidRPr="00C555DE">
        <w:rPr>
          <w:color w:val="000000" w:themeColor="text1"/>
        </w:rPr>
        <w:t>such</w:t>
      </w:r>
      <w:r w:rsidR="00C64050">
        <w:rPr>
          <w:color w:val="000000" w:themeColor="text1"/>
        </w:rPr>
        <w:t xml:space="preserve"> </w:t>
      </w:r>
      <w:r w:rsidRPr="00C555DE">
        <w:rPr>
          <w:color w:val="000000" w:themeColor="text1"/>
        </w:rPr>
        <w:t>rights</w:t>
      </w:r>
      <w:r w:rsidR="00C64050">
        <w:rPr>
          <w:color w:val="000000" w:themeColor="text1"/>
        </w:rPr>
        <w:t xml:space="preserve"> </w:t>
      </w:r>
      <w:r w:rsidRPr="00C555DE">
        <w:rPr>
          <w:color w:val="000000" w:themeColor="text1"/>
        </w:rPr>
        <w:t>and</w:t>
      </w:r>
      <w:r w:rsidR="00C64050">
        <w:rPr>
          <w:color w:val="000000" w:themeColor="text1"/>
        </w:rPr>
        <w:t xml:space="preserve"> </w:t>
      </w:r>
      <w:r w:rsidRPr="00C555DE">
        <w:rPr>
          <w:color w:val="000000" w:themeColor="text1"/>
        </w:rPr>
        <w:t>powers</w:t>
      </w:r>
      <w:r w:rsidR="00C64050">
        <w:rPr>
          <w:color w:val="000000" w:themeColor="text1"/>
        </w:rPr>
        <w:t xml:space="preserve"> </w:t>
      </w:r>
      <w:r w:rsidRPr="00C555DE">
        <w:rPr>
          <w:color w:val="000000" w:themeColor="text1"/>
        </w:rPr>
        <w:t>as</w:t>
      </w:r>
      <w:r w:rsidR="00C64050">
        <w:rPr>
          <w:color w:val="000000" w:themeColor="text1"/>
        </w:rPr>
        <w:t xml:space="preserve"> </w:t>
      </w:r>
      <w:r w:rsidRPr="00C555DE">
        <w:rPr>
          <w:color w:val="000000" w:themeColor="text1"/>
        </w:rPr>
        <w:t>to</w:t>
      </w:r>
      <w:r w:rsidR="00C64050">
        <w:rPr>
          <w:color w:val="000000" w:themeColor="text1"/>
        </w:rPr>
        <w:t xml:space="preserve"> </w:t>
      </w:r>
      <w:r w:rsidRPr="00C555DE">
        <w:rPr>
          <w:color w:val="000000" w:themeColor="text1"/>
        </w:rPr>
        <w:t>cause</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inclusion</w:t>
      </w:r>
      <w:r w:rsidR="00C64050">
        <w:rPr>
          <w:color w:val="000000" w:themeColor="text1"/>
        </w:rPr>
        <w:t xml:space="preserve"> </w:t>
      </w:r>
      <w:r w:rsidRPr="00C555DE">
        <w:rPr>
          <w:color w:val="000000" w:themeColor="text1"/>
        </w:rPr>
        <w:t>of</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assets</w:t>
      </w:r>
      <w:r w:rsidR="00C64050">
        <w:rPr>
          <w:color w:val="000000" w:themeColor="text1"/>
        </w:rPr>
        <w:t xml:space="preserve"> </w:t>
      </w:r>
      <w:r w:rsidRPr="00C555DE">
        <w:rPr>
          <w:color w:val="000000" w:themeColor="text1"/>
        </w:rPr>
        <w:t>thereof</w:t>
      </w:r>
      <w:r w:rsidR="00C64050">
        <w:rPr>
          <w:color w:val="000000" w:themeColor="text1"/>
        </w:rPr>
        <w:t xml:space="preserve"> </w:t>
      </w:r>
      <w:r w:rsidRPr="00C555DE">
        <w:rPr>
          <w:color w:val="000000" w:themeColor="text1"/>
        </w:rPr>
        <w:t>in</w:t>
      </w:r>
      <w:r w:rsidR="00C64050">
        <w:rPr>
          <w:color w:val="000000" w:themeColor="text1"/>
        </w:rPr>
        <w:t xml:space="preserve"> </w:t>
      </w:r>
      <w:r w:rsidRPr="00C555DE">
        <w:rPr>
          <w:color w:val="000000" w:themeColor="text1"/>
        </w:rPr>
        <w:t>his</w:t>
      </w:r>
      <w:r w:rsidR="00C64050">
        <w:rPr>
          <w:color w:val="000000" w:themeColor="text1"/>
        </w:rPr>
        <w:t xml:space="preserve"> </w:t>
      </w:r>
      <w:r w:rsidRPr="00C555DE">
        <w:rPr>
          <w:color w:val="000000" w:themeColor="text1"/>
        </w:rPr>
        <w:t>gross</w:t>
      </w:r>
      <w:r w:rsidR="00C64050">
        <w:rPr>
          <w:color w:val="000000" w:themeColor="text1"/>
        </w:rPr>
        <w:t xml:space="preserve"> </w:t>
      </w:r>
      <w:r w:rsidRPr="00C555DE">
        <w:rPr>
          <w:color w:val="000000" w:themeColor="text1"/>
        </w:rPr>
        <w:t>estate,</w:t>
      </w:r>
      <w:r w:rsidR="00C64050">
        <w:rPr>
          <w:color w:val="000000" w:themeColor="text1"/>
        </w:rPr>
        <w:t xml:space="preserve"> </w:t>
      </w:r>
      <w:r w:rsidRPr="00C555DE">
        <w:rPr>
          <w:color w:val="000000" w:themeColor="text1"/>
        </w:rPr>
        <w:t>relying</w:t>
      </w:r>
      <w:r w:rsidR="00C64050">
        <w:rPr>
          <w:color w:val="000000" w:themeColor="text1"/>
        </w:rPr>
        <w:t xml:space="preserve"> </w:t>
      </w:r>
      <w:r w:rsidRPr="00C555DE">
        <w:rPr>
          <w:color w:val="000000" w:themeColor="text1"/>
        </w:rPr>
        <w:t>on</w:t>
      </w:r>
      <w:r w:rsidR="00C64050">
        <w:rPr>
          <w:color w:val="000000" w:themeColor="text1"/>
        </w:rPr>
        <w:t xml:space="preserve"> </w:t>
      </w:r>
      <w:r w:rsidRPr="00C555DE">
        <w:rPr>
          <w:color w:val="000000" w:themeColor="text1"/>
        </w:rPr>
        <w:t>sections</w:t>
      </w:r>
      <w:r w:rsidR="00C64050">
        <w:rPr>
          <w:color w:val="000000" w:themeColor="text1"/>
        </w:rPr>
        <w:t xml:space="preserve"> </w:t>
      </w:r>
      <w:r w:rsidRPr="00C555DE">
        <w:rPr>
          <w:color w:val="000000" w:themeColor="text1"/>
        </w:rPr>
        <w:t>2033,</w:t>
      </w:r>
      <w:r w:rsidR="00C64050">
        <w:rPr>
          <w:color w:val="000000" w:themeColor="text1"/>
        </w:rPr>
        <w:t xml:space="preserve"> </w:t>
      </w:r>
      <w:r w:rsidRPr="00C555DE">
        <w:rPr>
          <w:color w:val="000000" w:themeColor="text1"/>
        </w:rPr>
        <w:t>2036</w:t>
      </w:r>
      <w:r w:rsidR="00C64050">
        <w:rPr>
          <w:color w:val="000000" w:themeColor="text1"/>
        </w:rPr>
        <w:t xml:space="preserve"> </w:t>
      </w:r>
      <w:r w:rsidRPr="00C555DE">
        <w:rPr>
          <w:color w:val="000000" w:themeColor="text1"/>
        </w:rPr>
        <w:t>(a)(2),</w:t>
      </w:r>
      <w:r w:rsidR="00C64050">
        <w:rPr>
          <w:color w:val="000000" w:themeColor="text1"/>
        </w:rPr>
        <w:t xml:space="preserve"> </w:t>
      </w:r>
      <w:r w:rsidRPr="00C555DE">
        <w:rPr>
          <w:color w:val="000000" w:themeColor="text1"/>
        </w:rPr>
        <w:t>and</w:t>
      </w:r>
      <w:r w:rsidR="00C64050">
        <w:rPr>
          <w:color w:val="000000" w:themeColor="text1"/>
        </w:rPr>
        <w:t xml:space="preserve"> </w:t>
      </w:r>
      <w:r w:rsidRPr="00C555DE">
        <w:rPr>
          <w:color w:val="000000" w:themeColor="text1"/>
        </w:rPr>
        <w:t>2038.</w:t>
      </w:r>
      <w:r w:rsidR="00C64050">
        <w:rPr>
          <w:color w:val="000000" w:themeColor="text1"/>
        </w:rPr>
        <w:t xml:space="preserve"> </w:t>
      </w:r>
      <w:r w:rsidRPr="00C555DE">
        <w:rPr>
          <w:color w:val="000000" w:themeColor="text1"/>
        </w:rPr>
        <w:t>Section</w:t>
      </w:r>
      <w:r w:rsidR="00C64050">
        <w:rPr>
          <w:color w:val="000000" w:themeColor="text1"/>
        </w:rPr>
        <w:t xml:space="preserve"> </w:t>
      </w:r>
      <w:r w:rsidRPr="00C555DE">
        <w:rPr>
          <w:color w:val="000000" w:themeColor="text1"/>
        </w:rPr>
        <w:t>2033</w:t>
      </w:r>
      <w:r w:rsidR="00C64050">
        <w:rPr>
          <w:color w:val="000000" w:themeColor="text1"/>
        </w:rPr>
        <w:t xml:space="preserve"> </w:t>
      </w:r>
      <w:r w:rsidRPr="00C555DE">
        <w:rPr>
          <w:color w:val="000000" w:themeColor="text1"/>
        </w:rPr>
        <w:t>requires</w:t>
      </w:r>
      <w:r w:rsidR="00C64050">
        <w:rPr>
          <w:color w:val="000000" w:themeColor="text1"/>
        </w:rPr>
        <w:t xml:space="preserve"> </w:t>
      </w:r>
      <w:r w:rsidRPr="00C555DE">
        <w:rPr>
          <w:color w:val="000000" w:themeColor="text1"/>
        </w:rPr>
        <w:t>a</w:t>
      </w:r>
      <w:r w:rsidR="00C64050">
        <w:rPr>
          <w:color w:val="000000" w:themeColor="text1"/>
        </w:rPr>
        <w:t xml:space="preserve"> </w:t>
      </w:r>
      <w:r w:rsidRPr="00C555DE">
        <w:rPr>
          <w:color w:val="000000" w:themeColor="text1"/>
        </w:rPr>
        <w:t>finding</w:t>
      </w:r>
      <w:r w:rsidR="00C64050">
        <w:rPr>
          <w:color w:val="000000" w:themeColor="text1"/>
        </w:rPr>
        <w:t xml:space="preserve"> </w:t>
      </w:r>
      <w:r w:rsidRPr="00C555DE">
        <w:rPr>
          <w:color w:val="000000" w:themeColor="text1"/>
        </w:rPr>
        <w:t>that</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decedent</w:t>
      </w:r>
      <w:r w:rsidR="00C64050">
        <w:rPr>
          <w:color w:val="000000" w:themeColor="text1"/>
        </w:rPr>
        <w:t xml:space="preserve"> </w:t>
      </w:r>
      <w:r w:rsidRPr="00C555DE">
        <w:rPr>
          <w:color w:val="000000" w:themeColor="text1"/>
        </w:rPr>
        <w:t>had</w:t>
      </w:r>
      <w:r w:rsidR="00C64050">
        <w:rPr>
          <w:color w:val="000000" w:themeColor="text1"/>
        </w:rPr>
        <w:t xml:space="preserve"> </w:t>
      </w:r>
      <w:r w:rsidRPr="00C555DE">
        <w:rPr>
          <w:color w:val="000000" w:themeColor="text1"/>
        </w:rPr>
        <w:t>an</w:t>
      </w:r>
      <w:r w:rsidR="00C64050">
        <w:rPr>
          <w:color w:val="000000" w:themeColor="text1"/>
        </w:rPr>
        <w:t xml:space="preserve"> </w:t>
      </w:r>
      <w:r w:rsidRPr="00C555DE">
        <w:rPr>
          <w:color w:val="000000" w:themeColor="text1"/>
        </w:rPr>
        <w:t>interest</w:t>
      </w:r>
      <w:r w:rsidR="00C64050">
        <w:rPr>
          <w:color w:val="000000" w:themeColor="text1"/>
        </w:rPr>
        <w:t xml:space="preserve"> </w:t>
      </w:r>
      <w:r w:rsidRPr="00C555DE">
        <w:rPr>
          <w:color w:val="000000" w:themeColor="text1"/>
        </w:rPr>
        <w:t>in</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assets</w:t>
      </w:r>
      <w:r w:rsidR="00C64050">
        <w:rPr>
          <w:color w:val="000000" w:themeColor="text1"/>
        </w:rPr>
        <w:t xml:space="preserve"> </w:t>
      </w:r>
      <w:r w:rsidRPr="00C555DE">
        <w:rPr>
          <w:color w:val="000000" w:themeColor="text1"/>
        </w:rPr>
        <w:t>of</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trusts</w:t>
      </w:r>
      <w:r w:rsidR="00C64050">
        <w:rPr>
          <w:color w:val="000000" w:themeColor="text1"/>
        </w:rPr>
        <w:t xml:space="preserve"> </w:t>
      </w:r>
      <w:r w:rsidRPr="00C555DE">
        <w:rPr>
          <w:color w:val="000000" w:themeColor="text1"/>
        </w:rPr>
        <w:t>at</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time</w:t>
      </w:r>
      <w:r w:rsidR="00C64050">
        <w:rPr>
          <w:color w:val="000000" w:themeColor="text1"/>
        </w:rPr>
        <w:t xml:space="preserve"> </w:t>
      </w:r>
      <w:r w:rsidRPr="00C555DE">
        <w:rPr>
          <w:color w:val="000000" w:themeColor="text1"/>
        </w:rPr>
        <w:t>of</w:t>
      </w:r>
      <w:r w:rsidR="00C64050">
        <w:rPr>
          <w:color w:val="000000" w:themeColor="text1"/>
        </w:rPr>
        <w:t xml:space="preserve"> </w:t>
      </w:r>
      <w:r w:rsidRPr="00C555DE">
        <w:rPr>
          <w:color w:val="000000" w:themeColor="text1"/>
        </w:rPr>
        <w:t>his</w:t>
      </w:r>
      <w:r w:rsidR="00C64050">
        <w:rPr>
          <w:color w:val="000000" w:themeColor="text1"/>
        </w:rPr>
        <w:t xml:space="preserve"> </w:t>
      </w:r>
      <w:r w:rsidRPr="00C555DE">
        <w:rPr>
          <w:color w:val="000000" w:themeColor="text1"/>
        </w:rPr>
        <w:t>death.</w:t>
      </w:r>
      <w:r w:rsidR="00C64050">
        <w:rPr>
          <w:color w:val="000000" w:themeColor="text1"/>
        </w:rPr>
        <w:t xml:space="preserve">  </w:t>
      </w:r>
      <w:r w:rsidRPr="00C555DE">
        <w:rPr>
          <w:color w:val="000000" w:themeColor="text1"/>
        </w:rPr>
        <w:t>There</w:t>
      </w:r>
      <w:r w:rsidR="00C64050">
        <w:rPr>
          <w:color w:val="000000" w:themeColor="text1"/>
        </w:rPr>
        <w:t xml:space="preserve"> </w:t>
      </w:r>
      <w:r w:rsidRPr="00C555DE">
        <w:rPr>
          <w:color w:val="000000" w:themeColor="text1"/>
        </w:rPr>
        <w:t>is</w:t>
      </w:r>
      <w:r w:rsidR="00C64050">
        <w:rPr>
          <w:color w:val="000000" w:themeColor="text1"/>
        </w:rPr>
        <w:t xml:space="preserve"> </w:t>
      </w:r>
      <w:r w:rsidRPr="00C555DE">
        <w:rPr>
          <w:color w:val="000000" w:themeColor="text1"/>
        </w:rPr>
        <w:t>no</w:t>
      </w:r>
      <w:r w:rsidR="00C64050">
        <w:rPr>
          <w:color w:val="000000" w:themeColor="text1"/>
        </w:rPr>
        <w:t xml:space="preserve"> </w:t>
      </w:r>
      <w:r w:rsidRPr="00C555DE">
        <w:rPr>
          <w:color w:val="000000" w:themeColor="text1"/>
        </w:rPr>
        <w:t>basis</w:t>
      </w:r>
      <w:r w:rsidR="00C64050">
        <w:rPr>
          <w:color w:val="000000" w:themeColor="text1"/>
        </w:rPr>
        <w:t xml:space="preserve"> </w:t>
      </w:r>
      <w:r w:rsidRPr="00C555DE">
        <w:rPr>
          <w:color w:val="000000" w:themeColor="text1"/>
        </w:rPr>
        <w:t>for</w:t>
      </w:r>
      <w:r w:rsidR="00C64050">
        <w:rPr>
          <w:color w:val="000000" w:themeColor="text1"/>
        </w:rPr>
        <w:t xml:space="preserve"> </w:t>
      </w:r>
      <w:r w:rsidRPr="00C555DE">
        <w:rPr>
          <w:color w:val="000000" w:themeColor="text1"/>
        </w:rPr>
        <w:t>such</w:t>
      </w:r>
      <w:r w:rsidR="00C64050">
        <w:rPr>
          <w:color w:val="000000" w:themeColor="text1"/>
        </w:rPr>
        <w:t xml:space="preserve"> </w:t>
      </w:r>
      <w:r w:rsidRPr="00C555DE">
        <w:rPr>
          <w:color w:val="000000" w:themeColor="text1"/>
        </w:rPr>
        <w:t>a</w:t>
      </w:r>
      <w:r w:rsidR="00C64050">
        <w:rPr>
          <w:color w:val="000000" w:themeColor="text1"/>
        </w:rPr>
        <w:t xml:space="preserve"> </w:t>
      </w:r>
      <w:r w:rsidRPr="00C555DE">
        <w:rPr>
          <w:color w:val="000000" w:themeColor="text1"/>
        </w:rPr>
        <w:t>finding.</w:t>
      </w:r>
      <w:r w:rsidR="00C64050">
        <w:rPr>
          <w:color w:val="000000" w:themeColor="text1"/>
        </w:rPr>
        <w:t xml:space="preserve"> </w:t>
      </w:r>
      <w:r w:rsidRPr="00C555DE">
        <w:rPr>
          <w:color w:val="000000" w:themeColor="text1"/>
        </w:rPr>
        <w:t>Section</w:t>
      </w:r>
      <w:r w:rsidR="00C64050">
        <w:rPr>
          <w:color w:val="000000" w:themeColor="text1"/>
        </w:rPr>
        <w:t xml:space="preserve"> </w:t>
      </w:r>
      <w:r w:rsidRPr="00C555DE">
        <w:rPr>
          <w:color w:val="000000" w:themeColor="text1"/>
        </w:rPr>
        <w:t>2038(a)(1)</w:t>
      </w:r>
      <w:r w:rsidR="00C64050">
        <w:rPr>
          <w:color w:val="000000" w:themeColor="text1"/>
        </w:rPr>
        <w:t xml:space="preserve"> </w:t>
      </w:r>
      <w:r w:rsidRPr="00C555DE">
        <w:rPr>
          <w:color w:val="000000" w:themeColor="text1"/>
        </w:rPr>
        <w:t>relates</w:t>
      </w:r>
      <w:r w:rsidR="00C64050">
        <w:rPr>
          <w:color w:val="000000" w:themeColor="text1"/>
        </w:rPr>
        <w:t xml:space="preserve"> </w:t>
      </w:r>
      <w:r w:rsidRPr="00C555DE">
        <w:rPr>
          <w:color w:val="000000" w:themeColor="text1"/>
        </w:rPr>
        <w:t>to</w:t>
      </w:r>
      <w:r w:rsidR="00C64050">
        <w:rPr>
          <w:color w:val="000000" w:themeColor="text1"/>
        </w:rPr>
        <w:t xml:space="preserve"> </w:t>
      </w:r>
      <w:r w:rsidRPr="00C555DE">
        <w:rPr>
          <w:color w:val="000000" w:themeColor="text1"/>
        </w:rPr>
        <w:t>"a</w:t>
      </w:r>
      <w:r w:rsidR="00C64050">
        <w:rPr>
          <w:color w:val="000000" w:themeColor="text1"/>
        </w:rPr>
        <w:t xml:space="preserve"> </w:t>
      </w:r>
      <w:r w:rsidRPr="00C555DE">
        <w:rPr>
          <w:color w:val="000000" w:themeColor="text1"/>
        </w:rPr>
        <w:t>power"</w:t>
      </w:r>
      <w:r w:rsidR="00C64050">
        <w:rPr>
          <w:color w:val="000000" w:themeColor="text1"/>
        </w:rPr>
        <w:t xml:space="preserve"> </w:t>
      </w:r>
      <w:r w:rsidRPr="00C555DE">
        <w:rPr>
          <w:color w:val="000000" w:themeColor="text1"/>
        </w:rPr>
        <w:t>exercisable</w:t>
      </w:r>
      <w:r w:rsidR="00C64050">
        <w:rPr>
          <w:color w:val="000000" w:themeColor="text1"/>
        </w:rPr>
        <w:t xml:space="preserve"> </w:t>
      </w:r>
      <w:r w:rsidRPr="00C555DE">
        <w:rPr>
          <w:color w:val="000000" w:themeColor="text1"/>
        </w:rPr>
        <w:t>by</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decedent</w:t>
      </w:r>
      <w:r w:rsidR="00C64050">
        <w:rPr>
          <w:color w:val="000000" w:themeColor="text1"/>
        </w:rPr>
        <w:t xml:space="preserve"> </w:t>
      </w:r>
      <w:r w:rsidRPr="00C555DE">
        <w:rPr>
          <w:color w:val="000000" w:themeColor="text1"/>
        </w:rPr>
        <w:t>"to</w:t>
      </w:r>
      <w:r w:rsidR="00C64050">
        <w:rPr>
          <w:color w:val="000000" w:themeColor="text1"/>
        </w:rPr>
        <w:t xml:space="preserve"> </w:t>
      </w:r>
      <w:r w:rsidRPr="00C555DE">
        <w:rPr>
          <w:color w:val="000000" w:themeColor="text1"/>
        </w:rPr>
        <w:t>alter,</w:t>
      </w:r>
      <w:r w:rsidR="00C64050">
        <w:rPr>
          <w:color w:val="000000" w:themeColor="text1"/>
        </w:rPr>
        <w:t xml:space="preserve"> </w:t>
      </w:r>
      <w:r w:rsidRPr="00C555DE">
        <w:rPr>
          <w:color w:val="000000" w:themeColor="text1"/>
        </w:rPr>
        <w:t>amend,</w:t>
      </w:r>
      <w:r w:rsidR="00C64050">
        <w:rPr>
          <w:color w:val="000000" w:themeColor="text1"/>
        </w:rPr>
        <w:t xml:space="preserve"> </w:t>
      </w:r>
      <w:r w:rsidRPr="00C555DE">
        <w:rPr>
          <w:color w:val="000000" w:themeColor="text1"/>
        </w:rPr>
        <w:t>revoke,</w:t>
      </w:r>
      <w:r w:rsidR="00C64050">
        <w:rPr>
          <w:color w:val="000000" w:themeColor="text1"/>
        </w:rPr>
        <w:t xml:space="preserve"> </w:t>
      </w:r>
      <w:r w:rsidRPr="00C555DE">
        <w:rPr>
          <w:color w:val="000000" w:themeColor="text1"/>
        </w:rPr>
        <w:t>or</w:t>
      </w:r>
      <w:r w:rsidR="00C64050">
        <w:rPr>
          <w:color w:val="000000" w:themeColor="text1"/>
        </w:rPr>
        <w:t xml:space="preserve"> </w:t>
      </w:r>
      <w:r w:rsidRPr="00C555DE">
        <w:rPr>
          <w:color w:val="000000" w:themeColor="text1"/>
        </w:rPr>
        <w:t>terminate,"</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trusts.</w:t>
      </w:r>
      <w:r w:rsidR="00C64050">
        <w:rPr>
          <w:color w:val="000000" w:themeColor="text1"/>
        </w:rPr>
        <w:t xml:space="preserve"> </w:t>
      </w:r>
      <w:r w:rsidRPr="00C555DE">
        <w:rPr>
          <w:color w:val="000000" w:themeColor="text1"/>
        </w:rPr>
        <w:t>No</w:t>
      </w:r>
      <w:r w:rsidR="00C64050">
        <w:rPr>
          <w:color w:val="000000" w:themeColor="text1"/>
        </w:rPr>
        <w:t xml:space="preserve"> </w:t>
      </w:r>
      <w:r w:rsidRPr="00C555DE">
        <w:rPr>
          <w:color w:val="000000" w:themeColor="text1"/>
        </w:rPr>
        <w:t>such</w:t>
      </w:r>
      <w:r w:rsidR="00C64050">
        <w:rPr>
          <w:color w:val="000000" w:themeColor="text1"/>
        </w:rPr>
        <w:t xml:space="preserve"> </w:t>
      </w:r>
      <w:r w:rsidRPr="00C555DE">
        <w:rPr>
          <w:color w:val="000000" w:themeColor="text1"/>
        </w:rPr>
        <w:t>power</w:t>
      </w:r>
      <w:r w:rsidR="00C64050">
        <w:rPr>
          <w:color w:val="000000" w:themeColor="text1"/>
        </w:rPr>
        <w:t xml:space="preserve"> </w:t>
      </w:r>
      <w:r w:rsidRPr="00C555DE">
        <w:rPr>
          <w:color w:val="000000" w:themeColor="text1"/>
        </w:rPr>
        <w:t>was</w:t>
      </w:r>
      <w:r w:rsidR="00C64050">
        <w:rPr>
          <w:color w:val="000000" w:themeColor="text1"/>
        </w:rPr>
        <w:t xml:space="preserve"> </w:t>
      </w:r>
      <w:r w:rsidRPr="00C555DE">
        <w:rPr>
          <w:color w:val="000000" w:themeColor="text1"/>
        </w:rPr>
        <w:t>reserved</w:t>
      </w:r>
      <w:r w:rsidR="00C64050">
        <w:rPr>
          <w:color w:val="000000" w:themeColor="text1"/>
        </w:rPr>
        <w:t xml:space="preserve"> </w:t>
      </w:r>
      <w:r w:rsidRPr="00C555DE">
        <w:rPr>
          <w:color w:val="000000" w:themeColor="text1"/>
        </w:rPr>
        <w:t>by</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decedent.</w:t>
      </w:r>
      <w:r w:rsidR="00C64050">
        <w:rPr>
          <w:color w:val="000000" w:themeColor="text1"/>
        </w:rPr>
        <w:t xml:space="preserve"> </w:t>
      </w:r>
      <w:r w:rsidRPr="00C555DE">
        <w:rPr>
          <w:color w:val="000000" w:themeColor="text1"/>
        </w:rPr>
        <w:t>Accordingly,</w:t>
      </w:r>
      <w:r w:rsidR="00C64050">
        <w:rPr>
          <w:color w:val="000000" w:themeColor="text1"/>
        </w:rPr>
        <w:t xml:space="preserve"> </w:t>
      </w:r>
      <w:r w:rsidRPr="00C555DE">
        <w:rPr>
          <w:color w:val="000000" w:themeColor="text1"/>
        </w:rPr>
        <w:t>in</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final</w:t>
      </w:r>
      <w:r w:rsidR="00C64050">
        <w:rPr>
          <w:color w:val="000000" w:themeColor="text1"/>
        </w:rPr>
        <w:t xml:space="preserve"> </w:t>
      </w:r>
      <w:r w:rsidRPr="00C555DE">
        <w:rPr>
          <w:color w:val="000000" w:themeColor="text1"/>
        </w:rPr>
        <w:t>analysis</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respondent's</w:t>
      </w:r>
      <w:r w:rsidR="00C64050">
        <w:rPr>
          <w:color w:val="000000" w:themeColor="text1"/>
        </w:rPr>
        <w:t xml:space="preserve"> </w:t>
      </w:r>
      <w:r w:rsidRPr="00C555DE">
        <w:rPr>
          <w:color w:val="000000" w:themeColor="text1"/>
        </w:rPr>
        <w:t>position</w:t>
      </w:r>
      <w:r w:rsidR="00C64050">
        <w:rPr>
          <w:color w:val="000000" w:themeColor="text1"/>
        </w:rPr>
        <w:t xml:space="preserve"> </w:t>
      </w:r>
      <w:r w:rsidRPr="00C555DE">
        <w:rPr>
          <w:color w:val="000000" w:themeColor="text1"/>
        </w:rPr>
        <w:t>is</w:t>
      </w:r>
      <w:r w:rsidR="00C64050">
        <w:rPr>
          <w:color w:val="000000" w:themeColor="text1"/>
        </w:rPr>
        <w:t xml:space="preserve"> </w:t>
      </w:r>
      <w:r w:rsidRPr="00C555DE">
        <w:rPr>
          <w:color w:val="000000" w:themeColor="text1"/>
        </w:rPr>
        <w:t>predicated</w:t>
      </w:r>
      <w:r w:rsidR="00C64050">
        <w:rPr>
          <w:color w:val="000000" w:themeColor="text1"/>
        </w:rPr>
        <w:t xml:space="preserve"> </w:t>
      </w:r>
      <w:r w:rsidRPr="00C555DE">
        <w:rPr>
          <w:color w:val="000000" w:themeColor="text1"/>
        </w:rPr>
        <w:t>on</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determination</w:t>
      </w:r>
      <w:r w:rsidR="00C64050">
        <w:rPr>
          <w:color w:val="000000" w:themeColor="text1"/>
        </w:rPr>
        <w:t xml:space="preserve"> </w:t>
      </w:r>
      <w:r w:rsidRPr="00C555DE">
        <w:rPr>
          <w:color w:val="000000" w:themeColor="text1"/>
        </w:rPr>
        <w:t>that</w:t>
      </w:r>
      <w:r w:rsidR="00C64050">
        <w:rPr>
          <w:color w:val="000000" w:themeColor="text1"/>
        </w:rPr>
        <w:t xml:space="preserve"> </w:t>
      </w:r>
      <w:r w:rsidRPr="00C555DE">
        <w:rPr>
          <w:color w:val="000000" w:themeColor="text1"/>
        </w:rPr>
        <w:t>by</w:t>
      </w:r>
      <w:r w:rsidR="00C64050">
        <w:rPr>
          <w:color w:val="000000" w:themeColor="text1"/>
        </w:rPr>
        <w:t xml:space="preserve"> </w:t>
      </w:r>
      <w:r w:rsidRPr="00C555DE">
        <w:rPr>
          <w:color w:val="000000" w:themeColor="text1"/>
        </w:rPr>
        <w:t>reason</w:t>
      </w:r>
      <w:r w:rsidR="00C64050">
        <w:rPr>
          <w:color w:val="000000" w:themeColor="text1"/>
        </w:rPr>
        <w:t xml:space="preserve"> </w:t>
      </w:r>
      <w:r w:rsidRPr="00C555DE">
        <w:rPr>
          <w:color w:val="000000" w:themeColor="text1"/>
        </w:rPr>
        <w:t>of</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de</w:t>
      </w:r>
      <w:r w:rsidR="00C64050">
        <w:rPr>
          <w:color w:val="000000" w:themeColor="text1"/>
        </w:rPr>
        <w:t xml:space="preserve"> </w:t>
      </w:r>
      <w:r w:rsidRPr="00C555DE">
        <w:rPr>
          <w:color w:val="000000" w:themeColor="text1"/>
        </w:rPr>
        <w:t>facto</w:t>
      </w:r>
      <w:r w:rsidR="00C64050">
        <w:rPr>
          <w:color w:val="000000" w:themeColor="text1"/>
        </w:rPr>
        <w:t xml:space="preserve"> </w:t>
      </w:r>
      <w:r w:rsidRPr="00C555DE">
        <w:rPr>
          <w:color w:val="000000" w:themeColor="text1"/>
        </w:rPr>
        <w:t>control</w:t>
      </w:r>
      <w:r w:rsidR="00C64050">
        <w:rPr>
          <w:color w:val="000000" w:themeColor="text1"/>
        </w:rPr>
        <w:t xml:space="preserve"> </w:t>
      </w:r>
      <w:r w:rsidRPr="00C555DE">
        <w:rPr>
          <w:color w:val="000000" w:themeColor="text1"/>
        </w:rPr>
        <w:t>exercised</w:t>
      </w:r>
      <w:r w:rsidR="00C64050">
        <w:rPr>
          <w:color w:val="000000" w:themeColor="text1"/>
        </w:rPr>
        <w:t xml:space="preserve"> </w:t>
      </w:r>
      <w:r w:rsidRPr="00C555DE">
        <w:rPr>
          <w:color w:val="000000" w:themeColor="text1"/>
        </w:rPr>
        <w:t>by</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decedent</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trusts</w:t>
      </w:r>
      <w:r w:rsidR="00C64050">
        <w:rPr>
          <w:color w:val="000000" w:themeColor="text1"/>
        </w:rPr>
        <w:t xml:space="preserve"> </w:t>
      </w:r>
      <w:r w:rsidRPr="00C555DE">
        <w:rPr>
          <w:color w:val="000000" w:themeColor="text1"/>
        </w:rPr>
        <w:t>are</w:t>
      </w:r>
      <w:r w:rsidR="00C64050">
        <w:rPr>
          <w:color w:val="000000" w:themeColor="text1"/>
        </w:rPr>
        <w:t xml:space="preserve"> </w:t>
      </w:r>
      <w:r w:rsidRPr="00C555DE">
        <w:rPr>
          <w:color w:val="000000" w:themeColor="text1"/>
        </w:rPr>
        <w:t>includable</w:t>
      </w:r>
      <w:r w:rsidR="00C64050">
        <w:rPr>
          <w:color w:val="000000" w:themeColor="text1"/>
        </w:rPr>
        <w:t xml:space="preserve"> </w:t>
      </w:r>
      <w:r w:rsidRPr="00C555DE">
        <w:rPr>
          <w:color w:val="000000" w:themeColor="text1"/>
        </w:rPr>
        <w:t>in</w:t>
      </w:r>
      <w:r w:rsidR="00C64050">
        <w:rPr>
          <w:color w:val="000000" w:themeColor="text1"/>
        </w:rPr>
        <w:t xml:space="preserve"> </w:t>
      </w:r>
      <w:r w:rsidRPr="00C555DE">
        <w:rPr>
          <w:color w:val="000000" w:themeColor="text1"/>
        </w:rPr>
        <w:t>his</w:t>
      </w:r>
      <w:r w:rsidR="00C64050">
        <w:rPr>
          <w:color w:val="000000" w:themeColor="text1"/>
        </w:rPr>
        <w:t xml:space="preserve"> </w:t>
      </w:r>
      <w:r w:rsidRPr="00C555DE">
        <w:rPr>
          <w:color w:val="000000" w:themeColor="text1"/>
        </w:rPr>
        <w:t>estate</w:t>
      </w:r>
      <w:r w:rsidR="00C64050">
        <w:rPr>
          <w:color w:val="000000" w:themeColor="text1"/>
        </w:rPr>
        <w:t xml:space="preserve"> </w:t>
      </w:r>
      <w:r w:rsidRPr="00C555DE">
        <w:rPr>
          <w:color w:val="000000" w:themeColor="text1"/>
        </w:rPr>
        <w:t>pursuant</w:t>
      </w:r>
      <w:r w:rsidR="00C64050">
        <w:rPr>
          <w:color w:val="000000" w:themeColor="text1"/>
        </w:rPr>
        <w:t xml:space="preserve"> </w:t>
      </w:r>
      <w:r w:rsidRPr="00C555DE">
        <w:rPr>
          <w:color w:val="000000" w:themeColor="text1"/>
        </w:rPr>
        <w:t>to</w:t>
      </w:r>
      <w:r w:rsidR="00C64050">
        <w:rPr>
          <w:color w:val="000000" w:themeColor="text1"/>
        </w:rPr>
        <w:t xml:space="preserve"> </w:t>
      </w:r>
      <w:r w:rsidRPr="00C555DE">
        <w:rPr>
          <w:color w:val="000000" w:themeColor="text1"/>
        </w:rPr>
        <w:t>section</w:t>
      </w:r>
      <w:r w:rsidR="00C64050">
        <w:rPr>
          <w:color w:val="000000" w:themeColor="text1"/>
        </w:rPr>
        <w:t xml:space="preserve"> </w:t>
      </w:r>
      <w:r w:rsidRPr="00C555DE">
        <w:rPr>
          <w:color w:val="000000" w:themeColor="text1"/>
        </w:rPr>
        <w:t>2036(a)(2).</w:t>
      </w:r>
      <w:hyperlink r:id="rId61" w:anchor="fid5" w:history="1">
        <w:r w:rsidRPr="00C555DE">
          <w:rPr>
            <w:rStyle w:val="Hyperlink"/>
            <w:rFonts w:asciiTheme="minorHAnsi" w:hAnsiTheme="minorHAnsi"/>
            <w:color w:val="000000" w:themeColor="text1"/>
            <w:szCs w:val="20"/>
            <w:vertAlign w:val="superscript"/>
          </w:rPr>
          <w:t>5</w:t>
        </w:r>
      </w:hyperlink>
      <w:r w:rsidR="00C64050">
        <w:rPr>
          <w:color w:val="000000" w:themeColor="text1"/>
        </w:rPr>
        <w:t xml:space="preserve"> </w:t>
      </w:r>
      <w:r w:rsidRPr="00C555DE">
        <w:rPr>
          <w:color w:val="000000" w:themeColor="text1"/>
        </w:rPr>
        <w:t>It</w:t>
      </w:r>
      <w:r w:rsidR="00C64050">
        <w:rPr>
          <w:color w:val="000000" w:themeColor="text1"/>
        </w:rPr>
        <w:t xml:space="preserve"> </w:t>
      </w:r>
      <w:r w:rsidRPr="00C555DE">
        <w:rPr>
          <w:color w:val="000000" w:themeColor="text1"/>
        </w:rPr>
        <w:t>is</w:t>
      </w:r>
      <w:r w:rsidR="00C64050">
        <w:rPr>
          <w:color w:val="000000" w:themeColor="text1"/>
        </w:rPr>
        <w:t xml:space="preserve"> </w:t>
      </w:r>
      <w:r w:rsidRPr="00C555DE">
        <w:rPr>
          <w:color w:val="000000" w:themeColor="text1"/>
        </w:rPr>
        <w:t>clear</w:t>
      </w:r>
      <w:r w:rsidR="00C64050">
        <w:rPr>
          <w:color w:val="000000" w:themeColor="text1"/>
        </w:rPr>
        <w:t xml:space="preserve"> </w:t>
      </w:r>
      <w:r w:rsidRPr="00C555DE">
        <w:rPr>
          <w:color w:val="000000" w:themeColor="text1"/>
        </w:rPr>
        <w:t>that</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powers</w:t>
      </w:r>
      <w:r w:rsidR="00C64050">
        <w:rPr>
          <w:color w:val="000000" w:themeColor="text1"/>
        </w:rPr>
        <w:t xml:space="preserve"> </w:t>
      </w:r>
      <w:r w:rsidRPr="00C555DE">
        <w:rPr>
          <w:color w:val="000000" w:themeColor="text1"/>
        </w:rPr>
        <w:t>granted</w:t>
      </w:r>
      <w:r w:rsidR="00C64050">
        <w:rPr>
          <w:color w:val="000000" w:themeColor="text1"/>
        </w:rPr>
        <w:t xml:space="preserve"> </w:t>
      </w:r>
      <w:r w:rsidRPr="00C555DE">
        <w:rPr>
          <w:color w:val="000000" w:themeColor="text1"/>
        </w:rPr>
        <w:t>to</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trustees</w:t>
      </w:r>
      <w:r w:rsidR="00C64050">
        <w:rPr>
          <w:color w:val="000000" w:themeColor="text1"/>
        </w:rPr>
        <w:t xml:space="preserve"> </w:t>
      </w:r>
      <w:r w:rsidRPr="00C555DE">
        <w:rPr>
          <w:color w:val="000000" w:themeColor="text1"/>
        </w:rPr>
        <w:t>would,</w:t>
      </w:r>
      <w:r w:rsidR="00C64050">
        <w:rPr>
          <w:color w:val="000000" w:themeColor="text1"/>
        </w:rPr>
        <w:t xml:space="preserve"> </w:t>
      </w:r>
      <w:r w:rsidRPr="00C555DE">
        <w:rPr>
          <w:color w:val="000000" w:themeColor="text1"/>
        </w:rPr>
        <w:t>if</w:t>
      </w:r>
      <w:r w:rsidR="00C64050">
        <w:rPr>
          <w:color w:val="000000" w:themeColor="text1"/>
        </w:rPr>
        <w:t xml:space="preserve"> </w:t>
      </w:r>
      <w:r w:rsidRPr="00C555DE">
        <w:rPr>
          <w:color w:val="000000" w:themeColor="text1"/>
        </w:rPr>
        <w:t>reserved</w:t>
      </w:r>
      <w:r w:rsidR="00C64050">
        <w:rPr>
          <w:color w:val="000000" w:themeColor="text1"/>
        </w:rPr>
        <w:t xml:space="preserve"> </w:t>
      </w:r>
      <w:r w:rsidRPr="00C555DE">
        <w:rPr>
          <w:color w:val="000000" w:themeColor="text1"/>
        </w:rPr>
        <w:t>by</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decedent,</w:t>
      </w:r>
      <w:r w:rsidR="00C64050">
        <w:rPr>
          <w:color w:val="000000" w:themeColor="text1"/>
        </w:rPr>
        <w:t xml:space="preserve"> </w:t>
      </w:r>
      <w:r w:rsidRPr="00C555DE">
        <w:rPr>
          <w:color w:val="000000" w:themeColor="text1"/>
        </w:rPr>
        <w:t>be</w:t>
      </w:r>
      <w:r w:rsidR="00C64050">
        <w:rPr>
          <w:color w:val="000000" w:themeColor="text1"/>
        </w:rPr>
        <w:t xml:space="preserve"> </w:t>
      </w:r>
      <w:r w:rsidRPr="00C555DE">
        <w:rPr>
          <w:color w:val="000000" w:themeColor="text1"/>
        </w:rPr>
        <w:t>such</w:t>
      </w:r>
      <w:r w:rsidR="00C64050">
        <w:rPr>
          <w:color w:val="000000" w:themeColor="text1"/>
        </w:rPr>
        <w:t xml:space="preserve"> </w:t>
      </w:r>
      <w:r w:rsidRPr="00C555DE">
        <w:rPr>
          <w:color w:val="000000" w:themeColor="text1"/>
        </w:rPr>
        <w:t>as</w:t>
      </w:r>
      <w:r w:rsidR="00C64050">
        <w:rPr>
          <w:color w:val="000000" w:themeColor="text1"/>
        </w:rPr>
        <w:t xml:space="preserve"> </w:t>
      </w:r>
      <w:r w:rsidRPr="00C555DE">
        <w:rPr>
          <w:color w:val="000000" w:themeColor="text1"/>
        </w:rPr>
        <w:t>to</w:t>
      </w:r>
      <w:r w:rsidR="00C64050">
        <w:rPr>
          <w:color w:val="000000" w:themeColor="text1"/>
        </w:rPr>
        <w:t xml:space="preserve"> </w:t>
      </w:r>
      <w:r w:rsidRPr="00C555DE">
        <w:rPr>
          <w:color w:val="000000" w:themeColor="text1"/>
        </w:rPr>
        <w:t>require</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inclusion</w:t>
      </w:r>
      <w:r w:rsidR="00C64050">
        <w:rPr>
          <w:color w:val="000000" w:themeColor="text1"/>
        </w:rPr>
        <w:t xml:space="preserve"> </w:t>
      </w:r>
      <w:r w:rsidRPr="00C555DE">
        <w:rPr>
          <w:color w:val="000000" w:themeColor="text1"/>
        </w:rPr>
        <w:t>of</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assets</w:t>
      </w:r>
      <w:r w:rsidR="00C64050">
        <w:rPr>
          <w:color w:val="000000" w:themeColor="text1"/>
        </w:rPr>
        <w:t xml:space="preserve"> </w:t>
      </w:r>
      <w:r w:rsidRPr="00C555DE">
        <w:rPr>
          <w:color w:val="000000" w:themeColor="text1"/>
        </w:rPr>
        <w:t>of</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trusts</w:t>
      </w:r>
      <w:r w:rsidR="00C64050">
        <w:rPr>
          <w:color w:val="000000" w:themeColor="text1"/>
        </w:rPr>
        <w:t xml:space="preserve"> </w:t>
      </w:r>
      <w:r w:rsidRPr="00C555DE">
        <w:rPr>
          <w:color w:val="000000" w:themeColor="text1"/>
        </w:rPr>
        <w:t>in</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estate</w:t>
      </w:r>
      <w:r w:rsidR="00C64050">
        <w:rPr>
          <w:color w:val="000000" w:themeColor="text1"/>
        </w:rPr>
        <w:t xml:space="preserve"> </w:t>
      </w:r>
      <w:r w:rsidRPr="00C555DE">
        <w:rPr>
          <w:color w:val="000000" w:themeColor="text1"/>
        </w:rPr>
        <w:t>of</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decedent.</w:t>
      </w:r>
      <w:r w:rsidR="00C64050">
        <w:rPr>
          <w:color w:val="000000" w:themeColor="text1"/>
        </w:rPr>
        <w:t xml:space="preserve"> </w:t>
      </w:r>
      <w:r w:rsidRPr="00C555DE">
        <w:rPr>
          <w:i/>
          <w:iCs/>
          <w:color w:val="000000" w:themeColor="text1"/>
        </w:rPr>
        <w:t>United</w:t>
      </w:r>
      <w:r w:rsidR="00C64050">
        <w:rPr>
          <w:i/>
          <w:iCs/>
          <w:color w:val="000000" w:themeColor="text1"/>
        </w:rPr>
        <w:t xml:space="preserve"> </w:t>
      </w:r>
      <w:r w:rsidRPr="00C555DE">
        <w:rPr>
          <w:i/>
          <w:iCs/>
          <w:color w:val="000000" w:themeColor="text1"/>
        </w:rPr>
        <w:t>States</w:t>
      </w:r>
      <w:r w:rsidR="00C64050">
        <w:rPr>
          <w:i/>
          <w:iCs/>
          <w:color w:val="000000" w:themeColor="text1"/>
        </w:rPr>
        <w:t xml:space="preserve"> </w:t>
      </w:r>
      <w:r w:rsidRPr="00C555DE">
        <w:rPr>
          <w:i/>
          <w:iCs/>
          <w:color w:val="000000" w:themeColor="text1"/>
        </w:rPr>
        <w:t>v.</w:t>
      </w:r>
      <w:r w:rsidR="00C64050">
        <w:rPr>
          <w:i/>
          <w:iCs/>
          <w:color w:val="000000" w:themeColor="text1"/>
        </w:rPr>
        <w:t xml:space="preserve"> </w:t>
      </w:r>
      <w:r w:rsidRPr="00C555DE">
        <w:rPr>
          <w:i/>
          <w:iCs/>
          <w:color w:val="000000" w:themeColor="text1"/>
        </w:rPr>
        <w:t>O'Malley</w:t>
      </w:r>
      <w:r w:rsidR="00C64050">
        <w:rPr>
          <w:color w:val="000000" w:themeColor="text1"/>
        </w:rPr>
        <w:t xml:space="preserve"> </w:t>
      </w:r>
      <w:r w:rsidRPr="00C555DE">
        <w:rPr>
          <w:color w:val="000000" w:themeColor="text1"/>
        </w:rPr>
        <w:t>[66-1</w:t>
      </w:r>
      <w:r w:rsidR="00C64050">
        <w:rPr>
          <w:color w:val="000000" w:themeColor="text1"/>
        </w:rPr>
        <w:t xml:space="preserve"> </w:t>
      </w:r>
      <w:r w:rsidRPr="00C555DE">
        <w:rPr>
          <w:color w:val="000000" w:themeColor="text1"/>
        </w:rPr>
        <w:t>USTC</w:t>
      </w:r>
      <w:r w:rsidR="00C64050">
        <w:rPr>
          <w:color w:val="000000" w:themeColor="text1"/>
        </w:rPr>
        <w:t xml:space="preserve"> </w:t>
      </w:r>
      <w:r w:rsidRPr="00C555DE">
        <w:rPr>
          <w:color w:val="000000" w:themeColor="text1"/>
        </w:rPr>
        <w:t>¶</w:t>
      </w:r>
      <w:r w:rsidR="00C64050">
        <w:rPr>
          <w:color w:val="000000" w:themeColor="text1"/>
        </w:rPr>
        <w:t xml:space="preserve"> </w:t>
      </w:r>
      <w:r w:rsidRPr="00C555DE">
        <w:rPr>
          <w:color w:val="000000" w:themeColor="text1"/>
        </w:rPr>
        <w:t>12,388],</w:t>
      </w:r>
      <w:r w:rsidR="00C64050">
        <w:rPr>
          <w:color w:val="000000" w:themeColor="text1"/>
        </w:rPr>
        <w:t xml:space="preserve"> </w:t>
      </w:r>
      <w:hyperlink r:id="rId62" w:history="1">
        <w:r w:rsidRPr="00C555DE">
          <w:rPr>
            <w:rStyle w:val="Hyperlink"/>
            <w:rFonts w:asciiTheme="minorHAnsi" w:hAnsiTheme="minorHAnsi"/>
            <w:color w:val="000000" w:themeColor="text1"/>
            <w:szCs w:val="20"/>
          </w:rPr>
          <w:t>383</w:t>
        </w:r>
        <w:r w:rsidR="00C64050">
          <w:rPr>
            <w:rStyle w:val="Hyperlink"/>
            <w:rFonts w:asciiTheme="minorHAnsi" w:hAnsiTheme="minorHAnsi"/>
            <w:color w:val="000000" w:themeColor="text1"/>
            <w:szCs w:val="20"/>
          </w:rPr>
          <w:t xml:space="preserve"> </w:t>
        </w:r>
        <w:r w:rsidRPr="00C555DE">
          <w:rPr>
            <w:rStyle w:val="Hyperlink"/>
            <w:rFonts w:asciiTheme="minorHAnsi" w:hAnsiTheme="minorHAnsi"/>
            <w:color w:val="000000" w:themeColor="text1"/>
            <w:szCs w:val="20"/>
          </w:rPr>
          <w:t>U.S.</w:t>
        </w:r>
        <w:r w:rsidR="00C64050">
          <w:rPr>
            <w:rStyle w:val="Hyperlink"/>
            <w:rFonts w:asciiTheme="minorHAnsi" w:hAnsiTheme="minorHAnsi"/>
            <w:color w:val="000000" w:themeColor="text1"/>
            <w:szCs w:val="20"/>
          </w:rPr>
          <w:t xml:space="preserve"> </w:t>
        </w:r>
        <w:r w:rsidRPr="00C555DE">
          <w:rPr>
            <w:rStyle w:val="Hyperlink"/>
            <w:rFonts w:asciiTheme="minorHAnsi" w:hAnsiTheme="minorHAnsi"/>
            <w:color w:val="000000" w:themeColor="text1"/>
            <w:szCs w:val="20"/>
          </w:rPr>
          <w:t>627</w:t>
        </w:r>
      </w:hyperlink>
      <w:r w:rsidR="00C64050">
        <w:rPr>
          <w:color w:val="000000" w:themeColor="text1"/>
        </w:rPr>
        <w:t xml:space="preserve"> </w:t>
      </w:r>
      <w:r w:rsidRPr="00C555DE">
        <w:rPr>
          <w:color w:val="000000" w:themeColor="text1"/>
        </w:rPr>
        <w:t>(1966).</w:t>
      </w:r>
      <w:r w:rsidR="00C64050">
        <w:rPr>
          <w:color w:val="000000" w:themeColor="text1"/>
        </w:rPr>
        <w:t xml:space="preserve"> </w:t>
      </w:r>
      <w:r w:rsidRPr="00C555DE">
        <w:rPr>
          <w:color w:val="000000" w:themeColor="text1"/>
        </w:rPr>
        <w:t>Does</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fact</w:t>
      </w:r>
      <w:r w:rsidR="00C64050">
        <w:rPr>
          <w:color w:val="000000" w:themeColor="text1"/>
        </w:rPr>
        <w:t xml:space="preserve"> </w:t>
      </w:r>
      <w:r w:rsidRPr="00C555DE">
        <w:rPr>
          <w:color w:val="000000" w:themeColor="text1"/>
        </w:rPr>
        <w:t>that</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decedent</w:t>
      </w:r>
      <w:r w:rsidR="00C64050">
        <w:rPr>
          <w:color w:val="000000" w:themeColor="text1"/>
        </w:rPr>
        <w:t xml:space="preserve"> </w:t>
      </w:r>
      <w:r w:rsidRPr="00C555DE">
        <w:rPr>
          <w:color w:val="000000" w:themeColor="text1"/>
        </w:rPr>
        <w:t>was</w:t>
      </w:r>
      <w:r w:rsidR="00C64050">
        <w:rPr>
          <w:color w:val="000000" w:themeColor="text1"/>
        </w:rPr>
        <w:t xml:space="preserve"> </w:t>
      </w:r>
      <w:r w:rsidRPr="00C555DE">
        <w:rPr>
          <w:color w:val="000000" w:themeColor="text1"/>
        </w:rPr>
        <w:t>able</w:t>
      </w:r>
      <w:r w:rsidR="00C64050">
        <w:rPr>
          <w:color w:val="000000" w:themeColor="text1"/>
        </w:rPr>
        <w:t xml:space="preserve"> </w:t>
      </w:r>
      <w:r w:rsidRPr="00C555DE">
        <w:rPr>
          <w:color w:val="000000" w:themeColor="text1"/>
        </w:rPr>
        <w:t>to</w:t>
      </w:r>
      <w:r w:rsidR="00C64050">
        <w:rPr>
          <w:color w:val="000000" w:themeColor="text1"/>
        </w:rPr>
        <w:t xml:space="preserve"> </w:t>
      </w:r>
      <w:r w:rsidRPr="00C555DE">
        <w:rPr>
          <w:color w:val="000000" w:themeColor="text1"/>
        </w:rPr>
        <w:t>exercise</w:t>
      </w:r>
      <w:r w:rsidR="00C64050">
        <w:rPr>
          <w:color w:val="000000" w:themeColor="text1"/>
        </w:rPr>
        <w:t xml:space="preserve"> </w:t>
      </w:r>
      <w:r w:rsidRPr="00C555DE">
        <w:rPr>
          <w:color w:val="000000" w:themeColor="text1"/>
        </w:rPr>
        <w:t>such</w:t>
      </w:r>
      <w:r w:rsidR="00C64050">
        <w:rPr>
          <w:color w:val="000000" w:themeColor="text1"/>
        </w:rPr>
        <w:t xml:space="preserve"> </w:t>
      </w:r>
      <w:r w:rsidRPr="00C555DE">
        <w:rPr>
          <w:color w:val="000000" w:themeColor="text1"/>
        </w:rPr>
        <w:t>powers</w:t>
      </w:r>
      <w:r w:rsidR="00C64050">
        <w:rPr>
          <w:color w:val="000000" w:themeColor="text1"/>
        </w:rPr>
        <w:t xml:space="preserve"> </w:t>
      </w:r>
      <w:r w:rsidRPr="00C555DE">
        <w:rPr>
          <w:color w:val="000000" w:themeColor="text1"/>
        </w:rPr>
        <w:t>through</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cooperation</w:t>
      </w:r>
      <w:r w:rsidR="00C64050">
        <w:rPr>
          <w:color w:val="000000" w:themeColor="text1"/>
        </w:rPr>
        <w:t xml:space="preserve"> </w:t>
      </w:r>
      <w:r w:rsidRPr="00C555DE">
        <w:rPr>
          <w:color w:val="000000" w:themeColor="text1"/>
        </w:rPr>
        <w:t>of</w:t>
      </w:r>
      <w:r w:rsidR="00C64050">
        <w:rPr>
          <w:color w:val="000000" w:themeColor="text1"/>
        </w:rPr>
        <w:t xml:space="preserve"> </w:t>
      </w:r>
      <w:r w:rsidRPr="00C555DE">
        <w:rPr>
          <w:color w:val="000000" w:themeColor="text1"/>
        </w:rPr>
        <w:t>unrelated</w:t>
      </w:r>
      <w:r w:rsidR="00C64050">
        <w:rPr>
          <w:color w:val="000000" w:themeColor="text1"/>
        </w:rPr>
        <w:t xml:space="preserve"> </w:t>
      </w:r>
      <w:r w:rsidRPr="00C555DE">
        <w:rPr>
          <w:color w:val="000000" w:themeColor="text1"/>
        </w:rPr>
        <w:t>trustees</w:t>
      </w:r>
      <w:r w:rsidR="00C64050">
        <w:rPr>
          <w:color w:val="000000" w:themeColor="text1"/>
        </w:rPr>
        <w:t xml:space="preserve"> </w:t>
      </w:r>
      <w:r w:rsidRPr="00C555DE">
        <w:rPr>
          <w:color w:val="000000" w:themeColor="text1"/>
        </w:rPr>
        <w:t>require</w:t>
      </w:r>
      <w:r w:rsidR="00C64050">
        <w:rPr>
          <w:color w:val="000000" w:themeColor="text1"/>
        </w:rPr>
        <w:t xml:space="preserve"> </w:t>
      </w:r>
      <w:r w:rsidRPr="00C555DE">
        <w:rPr>
          <w:color w:val="000000" w:themeColor="text1"/>
        </w:rPr>
        <w:t>a</w:t>
      </w:r>
      <w:r w:rsidR="00C64050">
        <w:rPr>
          <w:color w:val="000000" w:themeColor="text1"/>
        </w:rPr>
        <w:t xml:space="preserve"> </w:t>
      </w:r>
      <w:r w:rsidRPr="00C555DE">
        <w:rPr>
          <w:color w:val="000000" w:themeColor="text1"/>
        </w:rPr>
        <w:t>different</w:t>
      </w:r>
      <w:r w:rsidR="00C64050">
        <w:rPr>
          <w:color w:val="000000" w:themeColor="text1"/>
        </w:rPr>
        <w:t xml:space="preserve"> </w:t>
      </w:r>
      <w:r w:rsidRPr="00C555DE">
        <w:rPr>
          <w:color w:val="000000" w:themeColor="text1"/>
        </w:rPr>
        <w:t>result?</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question</w:t>
      </w:r>
      <w:r w:rsidR="00C64050">
        <w:rPr>
          <w:color w:val="000000" w:themeColor="text1"/>
        </w:rPr>
        <w:t xml:space="preserve"> </w:t>
      </w:r>
      <w:r w:rsidRPr="00C555DE">
        <w:rPr>
          <w:color w:val="000000" w:themeColor="text1"/>
        </w:rPr>
        <w:t>thus</w:t>
      </w:r>
      <w:r w:rsidR="00C64050">
        <w:rPr>
          <w:color w:val="000000" w:themeColor="text1"/>
        </w:rPr>
        <w:t xml:space="preserve"> </w:t>
      </w:r>
      <w:r w:rsidRPr="00C555DE">
        <w:rPr>
          <w:color w:val="000000" w:themeColor="text1"/>
        </w:rPr>
        <w:t>presented</w:t>
      </w:r>
      <w:r w:rsidR="00C64050">
        <w:rPr>
          <w:color w:val="000000" w:themeColor="text1"/>
        </w:rPr>
        <w:t xml:space="preserve"> </w:t>
      </w:r>
      <w:r w:rsidRPr="00C555DE">
        <w:rPr>
          <w:color w:val="000000" w:themeColor="text1"/>
        </w:rPr>
        <w:t>for</w:t>
      </w:r>
      <w:r w:rsidR="00C64050">
        <w:rPr>
          <w:color w:val="000000" w:themeColor="text1"/>
        </w:rPr>
        <w:t xml:space="preserve"> </w:t>
      </w:r>
      <w:r w:rsidRPr="00C555DE">
        <w:rPr>
          <w:color w:val="000000" w:themeColor="text1"/>
        </w:rPr>
        <w:t>decision</w:t>
      </w:r>
      <w:r w:rsidR="00C64050">
        <w:rPr>
          <w:color w:val="000000" w:themeColor="text1"/>
        </w:rPr>
        <w:t xml:space="preserve"> </w:t>
      </w:r>
      <w:r w:rsidRPr="00C555DE">
        <w:rPr>
          <w:color w:val="000000" w:themeColor="text1"/>
        </w:rPr>
        <w:t>is</w:t>
      </w:r>
      <w:r w:rsidR="00C64050">
        <w:rPr>
          <w:color w:val="000000" w:themeColor="text1"/>
        </w:rPr>
        <w:t xml:space="preserve"> </w:t>
      </w:r>
      <w:r w:rsidRPr="00C555DE">
        <w:rPr>
          <w:color w:val="000000" w:themeColor="text1"/>
        </w:rPr>
        <w:t>whether</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value</w:t>
      </w:r>
      <w:r w:rsidR="00C64050">
        <w:rPr>
          <w:color w:val="000000" w:themeColor="text1"/>
        </w:rPr>
        <w:t xml:space="preserve"> </w:t>
      </w:r>
      <w:r w:rsidRPr="00C555DE">
        <w:rPr>
          <w:color w:val="000000" w:themeColor="text1"/>
        </w:rPr>
        <w:t>of</w:t>
      </w:r>
      <w:r w:rsidR="00C64050">
        <w:rPr>
          <w:color w:val="000000" w:themeColor="text1"/>
        </w:rPr>
        <w:t xml:space="preserve"> </w:t>
      </w:r>
      <w:r w:rsidRPr="00C555DE">
        <w:rPr>
          <w:color w:val="000000" w:themeColor="text1"/>
        </w:rPr>
        <w:t>such</w:t>
      </w:r>
      <w:r w:rsidR="00C64050">
        <w:rPr>
          <w:color w:val="000000" w:themeColor="text1"/>
        </w:rPr>
        <w:t xml:space="preserve"> </w:t>
      </w:r>
      <w:r w:rsidRPr="00C555DE">
        <w:rPr>
          <w:color w:val="000000" w:themeColor="text1"/>
        </w:rPr>
        <w:t>trusts</w:t>
      </w:r>
      <w:r w:rsidR="00C64050">
        <w:rPr>
          <w:color w:val="000000" w:themeColor="text1"/>
        </w:rPr>
        <w:t xml:space="preserve"> </w:t>
      </w:r>
      <w:r w:rsidRPr="00C555DE">
        <w:rPr>
          <w:color w:val="000000" w:themeColor="text1"/>
        </w:rPr>
        <w:t>is</w:t>
      </w:r>
      <w:r w:rsidR="00C64050">
        <w:rPr>
          <w:color w:val="000000" w:themeColor="text1"/>
        </w:rPr>
        <w:t xml:space="preserve"> </w:t>
      </w:r>
      <w:r w:rsidRPr="00C555DE">
        <w:rPr>
          <w:color w:val="000000" w:themeColor="text1"/>
        </w:rPr>
        <w:t>includable</w:t>
      </w:r>
      <w:r w:rsidR="00C64050">
        <w:rPr>
          <w:color w:val="000000" w:themeColor="text1"/>
        </w:rPr>
        <w:t xml:space="preserve"> </w:t>
      </w:r>
      <w:r w:rsidRPr="00C555DE">
        <w:rPr>
          <w:color w:val="000000" w:themeColor="text1"/>
        </w:rPr>
        <w:t>in</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estate</w:t>
      </w:r>
      <w:r w:rsidR="00C64050">
        <w:rPr>
          <w:color w:val="000000" w:themeColor="text1"/>
        </w:rPr>
        <w:t xml:space="preserve"> </w:t>
      </w:r>
      <w:r w:rsidRPr="00C555DE">
        <w:rPr>
          <w:color w:val="000000" w:themeColor="text1"/>
        </w:rPr>
        <w:t>of</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decedent</w:t>
      </w:r>
      <w:r w:rsidR="00C64050">
        <w:rPr>
          <w:color w:val="000000" w:themeColor="text1"/>
        </w:rPr>
        <w:t xml:space="preserve"> </w:t>
      </w:r>
      <w:r w:rsidRPr="00C555DE">
        <w:rPr>
          <w:color w:val="000000" w:themeColor="text1"/>
        </w:rPr>
        <w:t>by</w:t>
      </w:r>
      <w:r w:rsidR="00C64050">
        <w:rPr>
          <w:color w:val="000000" w:themeColor="text1"/>
        </w:rPr>
        <w:t xml:space="preserve"> </w:t>
      </w:r>
      <w:r w:rsidRPr="00C555DE">
        <w:rPr>
          <w:color w:val="000000" w:themeColor="text1"/>
        </w:rPr>
        <w:t>reason</w:t>
      </w:r>
      <w:r w:rsidR="00C64050">
        <w:rPr>
          <w:color w:val="000000" w:themeColor="text1"/>
        </w:rPr>
        <w:t xml:space="preserve"> </w:t>
      </w:r>
      <w:r w:rsidRPr="00C555DE">
        <w:rPr>
          <w:color w:val="000000" w:themeColor="text1"/>
        </w:rPr>
        <w:t>of</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de</w:t>
      </w:r>
      <w:r w:rsidR="00C64050">
        <w:rPr>
          <w:color w:val="000000" w:themeColor="text1"/>
        </w:rPr>
        <w:t xml:space="preserve"> </w:t>
      </w:r>
      <w:r w:rsidRPr="00C555DE">
        <w:rPr>
          <w:color w:val="000000" w:themeColor="text1"/>
        </w:rPr>
        <w:t>facto</w:t>
      </w:r>
      <w:r w:rsidR="00C64050">
        <w:rPr>
          <w:color w:val="000000" w:themeColor="text1"/>
        </w:rPr>
        <w:t xml:space="preserve"> </w:t>
      </w:r>
      <w:r w:rsidRPr="00C555DE">
        <w:rPr>
          <w:color w:val="000000" w:themeColor="text1"/>
        </w:rPr>
        <w:t>control</w:t>
      </w:r>
      <w:r w:rsidR="00C64050">
        <w:rPr>
          <w:color w:val="000000" w:themeColor="text1"/>
        </w:rPr>
        <w:t xml:space="preserve"> </w:t>
      </w:r>
      <w:r w:rsidRPr="00C555DE">
        <w:rPr>
          <w:color w:val="000000" w:themeColor="text1"/>
        </w:rPr>
        <w:t>over</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trusts</w:t>
      </w:r>
      <w:r w:rsidR="00C64050">
        <w:rPr>
          <w:color w:val="000000" w:themeColor="text1"/>
        </w:rPr>
        <w:t xml:space="preserve"> </w:t>
      </w:r>
      <w:r w:rsidRPr="00C555DE">
        <w:rPr>
          <w:color w:val="000000" w:themeColor="text1"/>
        </w:rPr>
        <w:t>exercised</w:t>
      </w:r>
      <w:r w:rsidR="00C64050">
        <w:rPr>
          <w:color w:val="000000" w:themeColor="text1"/>
        </w:rPr>
        <w:t xml:space="preserve"> </w:t>
      </w:r>
      <w:r w:rsidRPr="00C555DE">
        <w:rPr>
          <w:color w:val="000000" w:themeColor="text1"/>
        </w:rPr>
        <w:t>by</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decedent,</w:t>
      </w:r>
      <w:r w:rsidR="00C64050">
        <w:rPr>
          <w:color w:val="000000" w:themeColor="text1"/>
        </w:rPr>
        <w:t xml:space="preserve"> </w:t>
      </w:r>
      <w:r w:rsidRPr="00C555DE">
        <w:rPr>
          <w:color w:val="000000" w:themeColor="text1"/>
        </w:rPr>
        <w:t>notwithstanding</w:t>
      </w:r>
      <w:r w:rsidR="00C64050">
        <w:rPr>
          <w:color w:val="000000" w:themeColor="text1"/>
        </w:rPr>
        <w:t xml:space="preserve"> </w:t>
      </w:r>
      <w:r w:rsidRPr="00C555DE">
        <w:rPr>
          <w:color w:val="000000" w:themeColor="text1"/>
        </w:rPr>
        <w:t>that</w:t>
      </w:r>
      <w:r w:rsidR="00C64050">
        <w:rPr>
          <w:color w:val="000000" w:themeColor="text1"/>
        </w:rPr>
        <w:t xml:space="preserve"> </w:t>
      </w:r>
      <w:r w:rsidRPr="00C555DE">
        <w:rPr>
          <w:color w:val="000000" w:themeColor="text1"/>
        </w:rPr>
        <w:t>no</w:t>
      </w:r>
      <w:r w:rsidR="00C64050">
        <w:rPr>
          <w:color w:val="000000" w:themeColor="text1"/>
        </w:rPr>
        <w:t xml:space="preserve"> </w:t>
      </w:r>
      <w:r w:rsidRPr="00C555DE">
        <w:rPr>
          <w:color w:val="000000" w:themeColor="text1"/>
        </w:rPr>
        <w:t>power</w:t>
      </w:r>
      <w:r w:rsidR="00C64050">
        <w:rPr>
          <w:color w:val="000000" w:themeColor="text1"/>
        </w:rPr>
        <w:t xml:space="preserve"> </w:t>
      </w:r>
      <w:r w:rsidRPr="00C555DE">
        <w:rPr>
          <w:color w:val="000000" w:themeColor="text1"/>
        </w:rPr>
        <w:t>to</w:t>
      </w:r>
      <w:r w:rsidR="00C64050">
        <w:rPr>
          <w:color w:val="000000" w:themeColor="text1"/>
        </w:rPr>
        <w:t xml:space="preserve"> </w:t>
      </w:r>
      <w:r w:rsidRPr="00C555DE">
        <w:rPr>
          <w:color w:val="000000" w:themeColor="text1"/>
        </w:rPr>
        <w:t>exercise</w:t>
      </w:r>
      <w:r w:rsidR="00C64050">
        <w:rPr>
          <w:color w:val="000000" w:themeColor="text1"/>
        </w:rPr>
        <w:t xml:space="preserve"> </w:t>
      </w:r>
      <w:r w:rsidRPr="00C555DE">
        <w:rPr>
          <w:color w:val="000000" w:themeColor="text1"/>
        </w:rPr>
        <w:t>such</w:t>
      </w:r>
      <w:r w:rsidR="00C64050">
        <w:rPr>
          <w:color w:val="000000" w:themeColor="text1"/>
        </w:rPr>
        <w:t xml:space="preserve"> </w:t>
      </w:r>
      <w:r w:rsidRPr="00C555DE">
        <w:rPr>
          <w:color w:val="000000" w:themeColor="text1"/>
        </w:rPr>
        <w:t>control</w:t>
      </w:r>
      <w:r w:rsidR="00C64050">
        <w:rPr>
          <w:color w:val="000000" w:themeColor="text1"/>
        </w:rPr>
        <w:t xml:space="preserve"> </w:t>
      </w:r>
      <w:r w:rsidRPr="00C555DE">
        <w:rPr>
          <w:color w:val="000000" w:themeColor="text1"/>
        </w:rPr>
        <w:t>was</w:t>
      </w:r>
      <w:r w:rsidR="00C64050">
        <w:rPr>
          <w:color w:val="000000" w:themeColor="text1"/>
        </w:rPr>
        <w:t xml:space="preserve"> </w:t>
      </w:r>
      <w:r w:rsidRPr="00C555DE">
        <w:rPr>
          <w:color w:val="000000" w:themeColor="text1"/>
        </w:rPr>
        <w:t>reserved</w:t>
      </w:r>
      <w:r w:rsidR="00C64050">
        <w:rPr>
          <w:color w:val="000000" w:themeColor="text1"/>
        </w:rPr>
        <w:t xml:space="preserve"> </w:t>
      </w:r>
      <w:r w:rsidRPr="00C555DE">
        <w:rPr>
          <w:color w:val="000000" w:themeColor="text1"/>
        </w:rPr>
        <w:t>to</w:t>
      </w:r>
      <w:r w:rsidR="00C64050">
        <w:rPr>
          <w:color w:val="000000" w:themeColor="text1"/>
        </w:rPr>
        <w:t xml:space="preserve"> </w:t>
      </w:r>
      <w:r w:rsidRPr="00C555DE">
        <w:rPr>
          <w:color w:val="000000" w:themeColor="text1"/>
        </w:rPr>
        <w:t>or</w:t>
      </w:r>
      <w:r w:rsidR="00C64050">
        <w:rPr>
          <w:color w:val="000000" w:themeColor="text1"/>
        </w:rPr>
        <w:t xml:space="preserve"> </w:t>
      </w:r>
      <w:r w:rsidRPr="00C555DE">
        <w:rPr>
          <w:color w:val="000000" w:themeColor="text1"/>
        </w:rPr>
        <w:t>by</w:t>
      </w:r>
      <w:r w:rsidR="00C64050">
        <w:rPr>
          <w:color w:val="000000" w:themeColor="text1"/>
        </w:rPr>
        <w:t xml:space="preserve"> </w:t>
      </w:r>
      <w:r w:rsidRPr="00C555DE">
        <w:rPr>
          <w:color w:val="000000" w:themeColor="text1"/>
        </w:rPr>
        <w:t>the</w:t>
      </w:r>
      <w:r w:rsidR="00C64050">
        <w:rPr>
          <w:color w:val="000000" w:themeColor="text1"/>
        </w:rPr>
        <w:t xml:space="preserve"> </w:t>
      </w:r>
      <w:r w:rsidRPr="00C555DE">
        <w:rPr>
          <w:color w:val="000000" w:themeColor="text1"/>
        </w:rPr>
        <w:t>decedent</w:t>
      </w:r>
      <w:r w:rsidR="00C64050">
        <w:rPr>
          <w:color w:val="000000" w:themeColor="text1"/>
        </w:rPr>
        <w:t xml:space="preserve"> </w:t>
      </w:r>
      <w:r w:rsidRPr="00C555DE">
        <w:rPr>
          <w:color w:val="000000" w:themeColor="text1"/>
        </w:rPr>
        <w:t>once</w:t>
      </w:r>
      <w:r w:rsidR="00C64050">
        <w:rPr>
          <w:color w:val="000000" w:themeColor="text1"/>
        </w:rPr>
        <w:t xml:space="preserve"> </w:t>
      </w:r>
      <w:r w:rsidRPr="00C555DE">
        <w:rPr>
          <w:color w:val="000000" w:themeColor="text1"/>
        </w:rPr>
        <w:t>he</w:t>
      </w:r>
      <w:r w:rsidR="00C64050">
        <w:rPr>
          <w:color w:val="000000" w:themeColor="text1"/>
        </w:rPr>
        <w:t xml:space="preserve"> </w:t>
      </w:r>
      <w:r w:rsidRPr="00C555DE">
        <w:rPr>
          <w:color w:val="000000" w:themeColor="text1"/>
        </w:rPr>
        <w:t>resigned</w:t>
      </w:r>
      <w:r w:rsidR="00C64050">
        <w:rPr>
          <w:color w:val="000000" w:themeColor="text1"/>
        </w:rPr>
        <w:t xml:space="preserve"> </w:t>
      </w:r>
      <w:r w:rsidRPr="00C555DE">
        <w:rPr>
          <w:color w:val="000000" w:themeColor="text1"/>
        </w:rPr>
        <w:t>his</w:t>
      </w:r>
      <w:r w:rsidR="00C64050">
        <w:rPr>
          <w:color w:val="000000" w:themeColor="text1"/>
        </w:rPr>
        <w:t xml:space="preserve"> </w:t>
      </w:r>
      <w:r w:rsidRPr="00C555DE">
        <w:rPr>
          <w:color w:val="000000" w:themeColor="text1"/>
        </w:rPr>
        <w:t>duties</w:t>
      </w:r>
      <w:r w:rsidR="00C64050">
        <w:rPr>
          <w:color w:val="000000" w:themeColor="text1"/>
        </w:rPr>
        <w:t xml:space="preserve"> </w:t>
      </w:r>
      <w:r w:rsidRPr="00C555DE">
        <w:rPr>
          <w:color w:val="000000" w:themeColor="text1"/>
        </w:rPr>
        <w:t>as</w:t>
      </w:r>
      <w:r w:rsidR="00C64050">
        <w:rPr>
          <w:color w:val="000000" w:themeColor="text1"/>
        </w:rPr>
        <w:t xml:space="preserve"> </w:t>
      </w:r>
      <w:r w:rsidRPr="00C555DE">
        <w:rPr>
          <w:color w:val="000000" w:themeColor="text1"/>
        </w:rPr>
        <w:t>trustee</w:t>
      </w:r>
      <w:r w:rsidR="00C64050">
        <w:rPr>
          <w:color w:val="000000" w:themeColor="text1"/>
        </w:rPr>
        <w:t xml:space="preserve"> </w:t>
      </w:r>
      <w:r w:rsidRPr="00C555DE">
        <w:rPr>
          <w:color w:val="000000" w:themeColor="text1"/>
        </w:rPr>
        <w:t>of</w:t>
      </w:r>
      <w:r w:rsidR="00C64050">
        <w:rPr>
          <w:color w:val="000000" w:themeColor="text1"/>
        </w:rPr>
        <w:t xml:space="preserve"> </w:t>
      </w:r>
      <w:r w:rsidRPr="00C555DE">
        <w:rPr>
          <w:color w:val="000000" w:themeColor="text1"/>
        </w:rPr>
        <w:t>certain</w:t>
      </w:r>
      <w:r w:rsidR="00C64050">
        <w:rPr>
          <w:color w:val="000000" w:themeColor="text1"/>
        </w:rPr>
        <w:t xml:space="preserve"> </w:t>
      </w:r>
      <w:r w:rsidRPr="00C555DE">
        <w:rPr>
          <w:color w:val="000000" w:themeColor="text1"/>
        </w:rPr>
        <w:t>of</w:t>
      </w:r>
      <w:r w:rsidR="00C64050">
        <w:rPr>
          <w:color w:val="000000" w:themeColor="text1"/>
        </w:rPr>
        <w:t xml:space="preserve"> </w:t>
      </w:r>
      <w:r w:rsidRPr="00C555DE">
        <w:rPr>
          <w:color w:val="000000" w:themeColor="text1"/>
        </w:rPr>
        <w:t>these</w:t>
      </w:r>
      <w:r w:rsidR="00C64050">
        <w:rPr>
          <w:color w:val="000000" w:themeColor="text1"/>
        </w:rPr>
        <w:t xml:space="preserve"> </w:t>
      </w:r>
      <w:r w:rsidRPr="00C555DE">
        <w:rPr>
          <w:color w:val="000000" w:themeColor="text1"/>
        </w:rPr>
        <w:t>trusts.</w:t>
      </w:r>
    </w:p>
    <w:p w:rsidR="00D14C98" w:rsidRDefault="00D14C98" w:rsidP="00415A8F">
      <w:pPr>
        <w:pStyle w:val="Body15"/>
        <w:rPr>
          <w:lang w:eastAsia="en-GB"/>
        </w:rPr>
      </w:pPr>
      <w:r>
        <w:rPr>
          <w:lang w:eastAsia="en-GB"/>
        </w:rPr>
        <w:t>[footnotes</w:t>
      </w:r>
      <w:r w:rsidR="00C64050">
        <w:rPr>
          <w:lang w:eastAsia="en-GB"/>
        </w:rPr>
        <w:t xml:space="preserve"> </w:t>
      </w:r>
      <w:r>
        <w:rPr>
          <w:lang w:eastAsia="en-GB"/>
        </w:rPr>
        <w:t>omitted]</w:t>
      </w:r>
    </w:p>
    <w:p w:rsidR="00415A8F" w:rsidRPr="003C3A1A" w:rsidRDefault="00415A8F" w:rsidP="00415A8F">
      <w:pPr>
        <w:pStyle w:val="Body15"/>
        <w:rPr>
          <w:lang w:eastAsia="en-GB"/>
        </w:rPr>
      </w:pPr>
      <w:r>
        <w:rPr>
          <w:lang w:eastAsia="en-GB"/>
        </w:rPr>
        <w:t>The</w:t>
      </w:r>
      <w:r w:rsidR="00C64050">
        <w:rPr>
          <w:lang w:eastAsia="en-GB"/>
        </w:rPr>
        <w:t xml:space="preserve"> </w:t>
      </w:r>
      <w:r>
        <w:rPr>
          <w:u w:val="single"/>
          <w:lang w:eastAsia="en-GB"/>
        </w:rPr>
        <w:t>Goodwyn</w:t>
      </w:r>
      <w:r w:rsidR="00C64050">
        <w:rPr>
          <w:lang w:eastAsia="en-GB"/>
        </w:rPr>
        <w:t xml:space="preserve"> </w:t>
      </w:r>
      <w:r>
        <w:rPr>
          <w:lang w:eastAsia="en-GB"/>
        </w:rPr>
        <w:t>rationales</w:t>
      </w:r>
      <w:r w:rsidR="00C64050">
        <w:rPr>
          <w:lang w:eastAsia="en-GB"/>
        </w:rPr>
        <w:t xml:space="preserve"> </w:t>
      </w:r>
      <w:r>
        <w:rPr>
          <w:lang w:eastAsia="en-GB"/>
        </w:rPr>
        <w:t>appear</w:t>
      </w:r>
      <w:r w:rsidR="00C64050">
        <w:rPr>
          <w:lang w:eastAsia="en-GB"/>
        </w:rPr>
        <w:t xml:space="preserve"> </w:t>
      </w:r>
      <w:r>
        <w:rPr>
          <w:lang w:eastAsia="en-GB"/>
        </w:rPr>
        <w:t>to</w:t>
      </w:r>
      <w:r w:rsidR="00C64050">
        <w:rPr>
          <w:lang w:eastAsia="en-GB"/>
        </w:rPr>
        <w:t xml:space="preserve"> </w:t>
      </w:r>
      <w:r>
        <w:rPr>
          <w:lang w:eastAsia="en-GB"/>
        </w:rPr>
        <w:t>be</w:t>
      </w:r>
      <w:r w:rsidR="00C64050">
        <w:rPr>
          <w:lang w:eastAsia="en-GB"/>
        </w:rPr>
        <w:t xml:space="preserve"> </w:t>
      </w:r>
      <w:r>
        <w:rPr>
          <w:lang w:eastAsia="en-GB"/>
        </w:rPr>
        <w:t>based</w:t>
      </w:r>
      <w:r w:rsidR="00C64050">
        <w:rPr>
          <w:lang w:eastAsia="en-GB"/>
        </w:rPr>
        <w:t xml:space="preserve"> </w:t>
      </w:r>
      <w:r>
        <w:rPr>
          <w:lang w:eastAsia="en-GB"/>
        </w:rPr>
        <w:t>on</w:t>
      </w:r>
      <w:r w:rsidR="00C64050">
        <w:rPr>
          <w:lang w:eastAsia="en-GB"/>
        </w:rPr>
        <w:t xml:space="preserve"> </w:t>
      </w:r>
      <w:r>
        <w:rPr>
          <w:lang w:eastAsia="en-GB"/>
        </w:rPr>
        <w:t>a</w:t>
      </w:r>
      <w:r w:rsidR="00C64050">
        <w:rPr>
          <w:lang w:eastAsia="en-GB"/>
        </w:rPr>
        <w:t xml:space="preserve"> </w:t>
      </w:r>
      <w:r>
        <w:rPr>
          <w:lang w:eastAsia="en-GB"/>
        </w:rPr>
        <w:t>trustee</w:t>
      </w:r>
      <w:r w:rsidR="00C64050">
        <w:rPr>
          <w:lang w:eastAsia="en-GB"/>
        </w:rPr>
        <w:t xml:space="preserve"> </w:t>
      </w:r>
      <w:r>
        <w:rPr>
          <w:lang w:eastAsia="en-GB"/>
        </w:rPr>
        <w:t>having</w:t>
      </w:r>
      <w:r w:rsidR="00C64050">
        <w:rPr>
          <w:lang w:eastAsia="en-GB"/>
        </w:rPr>
        <w:t xml:space="preserve"> </w:t>
      </w:r>
      <w:r>
        <w:rPr>
          <w:lang w:eastAsia="en-GB"/>
        </w:rPr>
        <w:t>authority;</w:t>
      </w:r>
      <w:r w:rsidR="00C64050">
        <w:rPr>
          <w:lang w:eastAsia="en-GB"/>
        </w:rPr>
        <w:t xml:space="preserve"> </w:t>
      </w:r>
      <w:r>
        <w:rPr>
          <w:lang w:eastAsia="en-GB"/>
        </w:rPr>
        <w:t>if</w:t>
      </w:r>
      <w:r w:rsidR="00C64050">
        <w:rPr>
          <w:lang w:eastAsia="en-GB"/>
        </w:rPr>
        <w:t xml:space="preserve"> </w:t>
      </w:r>
      <w:r>
        <w:rPr>
          <w:lang w:eastAsia="en-GB"/>
        </w:rPr>
        <w:t>an</w:t>
      </w:r>
      <w:r w:rsidR="00C64050">
        <w:rPr>
          <w:lang w:eastAsia="en-GB"/>
        </w:rPr>
        <w:t xml:space="preserve"> </w:t>
      </w:r>
      <w:r>
        <w:rPr>
          <w:lang w:eastAsia="en-GB"/>
        </w:rPr>
        <w:t>advisor</w:t>
      </w:r>
      <w:r w:rsidR="00C64050">
        <w:rPr>
          <w:lang w:eastAsia="en-GB"/>
        </w:rPr>
        <w:t xml:space="preserve"> </w:t>
      </w:r>
      <w:r>
        <w:rPr>
          <w:lang w:eastAsia="en-GB"/>
        </w:rPr>
        <w:t>who</w:t>
      </w:r>
      <w:r w:rsidR="00C64050">
        <w:rPr>
          <w:lang w:eastAsia="en-GB"/>
        </w:rPr>
        <w:t xml:space="preserve"> </w:t>
      </w:r>
      <w:r>
        <w:rPr>
          <w:lang w:eastAsia="en-GB"/>
        </w:rPr>
        <w:t>is</w:t>
      </w:r>
      <w:r w:rsidR="00C64050">
        <w:rPr>
          <w:lang w:eastAsia="en-GB"/>
        </w:rPr>
        <w:t xml:space="preserve"> </w:t>
      </w:r>
      <w:r>
        <w:rPr>
          <w:lang w:eastAsia="en-GB"/>
        </w:rPr>
        <w:t>not</w:t>
      </w:r>
      <w:r w:rsidR="00C64050">
        <w:rPr>
          <w:lang w:eastAsia="en-GB"/>
        </w:rPr>
        <w:t xml:space="preserve"> </w:t>
      </w:r>
      <w:r>
        <w:rPr>
          <w:lang w:eastAsia="en-GB"/>
        </w:rPr>
        <w:t>a</w:t>
      </w:r>
      <w:r w:rsidR="00C64050">
        <w:rPr>
          <w:lang w:eastAsia="en-GB"/>
        </w:rPr>
        <w:t xml:space="preserve"> </w:t>
      </w:r>
      <w:r>
        <w:rPr>
          <w:lang w:eastAsia="en-GB"/>
        </w:rPr>
        <w:t>fiduciary</w:t>
      </w:r>
      <w:r w:rsidR="00C64050">
        <w:rPr>
          <w:lang w:eastAsia="en-GB"/>
        </w:rPr>
        <w:t xml:space="preserve"> </w:t>
      </w:r>
      <w:r>
        <w:rPr>
          <w:lang w:eastAsia="en-GB"/>
        </w:rPr>
        <w:t>can</w:t>
      </w:r>
      <w:r w:rsidR="00C64050">
        <w:rPr>
          <w:lang w:eastAsia="en-GB"/>
        </w:rPr>
        <w:t xml:space="preserve"> </w:t>
      </w:r>
      <w:r>
        <w:rPr>
          <w:lang w:eastAsia="en-GB"/>
        </w:rPr>
        <w:t>direct</w:t>
      </w:r>
      <w:r w:rsidR="00C64050">
        <w:rPr>
          <w:lang w:eastAsia="en-GB"/>
        </w:rPr>
        <w:t xml:space="preserve"> </w:t>
      </w:r>
      <w:r>
        <w:rPr>
          <w:lang w:eastAsia="en-GB"/>
        </w:rPr>
        <w:t>a</w:t>
      </w:r>
      <w:r w:rsidR="00C64050">
        <w:rPr>
          <w:lang w:eastAsia="en-GB"/>
        </w:rPr>
        <w:t xml:space="preserve"> </w:t>
      </w:r>
      <w:r>
        <w:rPr>
          <w:lang w:eastAsia="en-GB"/>
        </w:rPr>
        <w:t>trustee,</w:t>
      </w:r>
      <w:r w:rsidR="00C64050">
        <w:rPr>
          <w:lang w:eastAsia="en-GB"/>
        </w:rPr>
        <w:t xml:space="preserve"> </w:t>
      </w:r>
      <w:r>
        <w:rPr>
          <w:lang w:eastAsia="en-GB"/>
        </w:rPr>
        <w:t>and</w:t>
      </w:r>
      <w:r w:rsidR="00C64050">
        <w:rPr>
          <w:lang w:eastAsia="en-GB"/>
        </w:rPr>
        <w:t xml:space="preserve"> </w:t>
      </w:r>
      <w:r>
        <w:rPr>
          <w:lang w:eastAsia="en-GB"/>
        </w:rPr>
        <w:t>the</w:t>
      </w:r>
      <w:r w:rsidR="00C64050">
        <w:rPr>
          <w:lang w:eastAsia="en-GB"/>
        </w:rPr>
        <w:t xml:space="preserve"> </w:t>
      </w:r>
      <w:r>
        <w:rPr>
          <w:lang w:eastAsia="en-GB"/>
        </w:rPr>
        <w:t>trustee</w:t>
      </w:r>
      <w:r w:rsidR="00C64050">
        <w:rPr>
          <w:lang w:eastAsia="en-GB"/>
        </w:rPr>
        <w:t xml:space="preserve"> </w:t>
      </w:r>
      <w:r>
        <w:rPr>
          <w:lang w:eastAsia="en-GB"/>
        </w:rPr>
        <w:t>must</w:t>
      </w:r>
      <w:r w:rsidR="00C64050">
        <w:rPr>
          <w:lang w:eastAsia="en-GB"/>
        </w:rPr>
        <w:t xml:space="preserve"> </w:t>
      </w:r>
      <w:r>
        <w:rPr>
          <w:lang w:eastAsia="en-GB"/>
        </w:rPr>
        <w:t>follow</w:t>
      </w:r>
      <w:r w:rsidR="00C64050">
        <w:rPr>
          <w:lang w:eastAsia="en-GB"/>
        </w:rPr>
        <w:t xml:space="preserve"> </w:t>
      </w:r>
      <w:r>
        <w:rPr>
          <w:lang w:eastAsia="en-GB"/>
        </w:rPr>
        <w:t>the</w:t>
      </w:r>
      <w:r w:rsidR="00C64050">
        <w:rPr>
          <w:lang w:eastAsia="en-GB"/>
        </w:rPr>
        <w:t xml:space="preserve"> </w:t>
      </w:r>
      <w:r>
        <w:rPr>
          <w:lang w:eastAsia="en-GB"/>
        </w:rPr>
        <w:t>direction,</w:t>
      </w:r>
      <w:r w:rsidR="00C64050">
        <w:rPr>
          <w:lang w:eastAsia="en-GB"/>
        </w:rPr>
        <w:t xml:space="preserve"> </w:t>
      </w:r>
      <w:r>
        <w:rPr>
          <w:lang w:eastAsia="en-GB"/>
        </w:rPr>
        <w:t>then</w:t>
      </w:r>
      <w:r w:rsidR="00C64050">
        <w:rPr>
          <w:lang w:eastAsia="en-GB"/>
        </w:rPr>
        <w:t xml:space="preserve"> </w:t>
      </w:r>
      <w:r>
        <w:rPr>
          <w:lang w:eastAsia="en-GB"/>
        </w:rPr>
        <w:t>will</w:t>
      </w:r>
      <w:r w:rsidR="00C64050">
        <w:rPr>
          <w:lang w:eastAsia="en-GB"/>
        </w:rPr>
        <w:t xml:space="preserve"> </w:t>
      </w:r>
      <w:r>
        <w:rPr>
          <w:u w:val="single"/>
          <w:lang w:eastAsia="en-GB"/>
        </w:rPr>
        <w:t>Goodwyn</w:t>
      </w:r>
      <w:r w:rsidR="00C64050">
        <w:rPr>
          <w:lang w:eastAsia="en-GB"/>
        </w:rPr>
        <w:t xml:space="preserve"> </w:t>
      </w:r>
      <w:r>
        <w:rPr>
          <w:lang w:eastAsia="en-GB"/>
        </w:rPr>
        <w:t>protect</w:t>
      </w:r>
      <w:r w:rsidR="00C64050">
        <w:rPr>
          <w:lang w:eastAsia="en-GB"/>
        </w:rPr>
        <w:t xml:space="preserve"> </w:t>
      </w:r>
      <w:r>
        <w:rPr>
          <w:lang w:eastAsia="en-GB"/>
        </w:rPr>
        <w:t>the</w:t>
      </w:r>
      <w:r w:rsidR="00C64050">
        <w:rPr>
          <w:lang w:eastAsia="en-GB"/>
        </w:rPr>
        <w:t xml:space="preserve"> </w:t>
      </w:r>
      <w:r>
        <w:rPr>
          <w:lang w:eastAsia="en-GB"/>
        </w:rPr>
        <w:t>grantor</w:t>
      </w:r>
      <w:r w:rsidR="00C64050">
        <w:rPr>
          <w:lang w:eastAsia="en-GB"/>
        </w:rPr>
        <w:t xml:space="preserve"> </w:t>
      </w:r>
      <w:r>
        <w:rPr>
          <w:lang w:eastAsia="en-GB"/>
        </w:rPr>
        <w:t>whose</w:t>
      </w:r>
      <w:r w:rsidR="00C64050">
        <w:rPr>
          <w:lang w:eastAsia="en-GB"/>
        </w:rPr>
        <w:t xml:space="preserve"> </w:t>
      </w:r>
      <w:r>
        <w:rPr>
          <w:lang w:eastAsia="en-GB"/>
        </w:rPr>
        <w:t>advisor</w:t>
      </w:r>
      <w:r w:rsidR="00C64050">
        <w:rPr>
          <w:lang w:eastAsia="en-GB"/>
        </w:rPr>
        <w:t xml:space="preserve"> </w:t>
      </w:r>
      <w:r>
        <w:rPr>
          <w:lang w:eastAsia="en-GB"/>
        </w:rPr>
        <w:t>follows</w:t>
      </w:r>
      <w:r w:rsidR="00C64050">
        <w:rPr>
          <w:lang w:eastAsia="en-GB"/>
        </w:rPr>
        <w:t xml:space="preserve"> </w:t>
      </w:r>
      <w:r>
        <w:rPr>
          <w:lang w:eastAsia="en-GB"/>
        </w:rPr>
        <w:t>the</w:t>
      </w:r>
      <w:r w:rsidR="00C64050">
        <w:rPr>
          <w:lang w:eastAsia="en-GB"/>
        </w:rPr>
        <w:t xml:space="preserve"> </w:t>
      </w:r>
      <w:r>
        <w:rPr>
          <w:lang w:eastAsia="en-GB"/>
        </w:rPr>
        <w:t>grantor’s</w:t>
      </w:r>
      <w:r w:rsidR="00C64050">
        <w:rPr>
          <w:lang w:eastAsia="en-GB"/>
        </w:rPr>
        <w:t xml:space="preserve"> </w:t>
      </w:r>
      <w:r>
        <w:rPr>
          <w:lang w:eastAsia="en-GB"/>
        </w:rPr>
        <w:t>advice</w:t>
      </w:r>
      <w:r w:rsidR="00C64050">
        <w:rPr>
          <w:lang w:eastAsia="en-GB"/>
        </w:rPr>
        <w:t xml:space="preserve"> </w:t>
      </w:r>
      <w:r>
        <w:rPr>
          <w:lang w:eastAsia="en-GB"/>
        </w:rPr>
        <w:t>regularly.</w:t>
      </w:r>
      <w:r w:rsidR="00C64050">
        <w:rPr>
          <w:lang w:eastAsia="en-GB"/>
        </w:rPr>
        <w:t xml:space="preserve">  </w:t>
      </w:r>
      <w:r w:rsidR="003C3A1A">
        <w:rPr>
          <w:lang w:eastAsia="en-GB"/>
        </w:rPr>
        <w:t>Similarly,</w:t>
      </w:r>
      <w:r w:rsidR="00C64050">
        <w:rPr>
          <w:lang w:eastAsia="en-GB"/>
        </w:rPr>
        <w:t xml:space="preserve"> </w:t>
      </w:r>
      <w:r w:rsidR="003C3A1A">
        <w:rPr>
          <w:lang w:eastAsia="en-GB"/>
        </w:rPr>
        <w:t>where</w:t>
      </w:r>
      <w:r w:rsidR="00C64050">
        <w:rPr>
          <w:lang w:eastAsia="en-GB"/>
        </w:rPr>
        <w:t xml:space="preserve"> </w:t>
      </w:r>
      <w:r w:rsidR="003C3A1A">
        <w:rPr>
          <w:lang w:eastAsia="en-GB"/>
        </w:rPr>
        <w:t>a</w:t>
      </w:r>
      <w:r w:rsidR="00C64050">
        <w:rPr>
          <w:lang w:eastAsia="en-GB"/>
        </w:rPr>
        <w:t xml:space="preserve"> </w:t>
      </w:r>
      <w:r w:rsidR="003C3A1A">
        <w:rPr>
          <w:lang w:eastAsia="en-GB"/>
        </w:rPr>
        <w:t>grantor</w:t>
      </w:r>
      <w:r w:rsidR="00C64050">
        <w:rPr>
          <w:lang w:eastAsia="en-GB"/>
        </w:rPr>
        <w:t xml:space="preserve"> </w:t>
      </w:r>
      <w:r w:rsidR="003C3A1A">
        <w:rPr>
          <w:lang w:eastAsia="en-GB"/>
        </w:rPr>
        <w:t>gives</w:t>
      </w:r>
      <w:r w:rsidR="00C64050">
        <w:rPr>
          <w:lang w:eastAsia="en-GB"/>
        </w:rPr>
        <w:t xml:space="preserve"> </w:t>
      </w:r>
      <w:r w:rsidR="003C3A1A">
        <w:rPr>
          <w:lang w:eastAsia="en-GB"/>
        </w:rPr>
        <w:t>an</w:t>
      </w:r>
      <w:r w:rsidR="00C64050">
        <w:rPr>
          <w:lang w:eastAsia="en-GB"/>
        </w:rPr>
        <w:t xml:space="preserve"> </w:t>
      </w:r>
      <w:r w:rsidR="003C3A1A">
        <w:rPr>
          <w:lang w:eastAsia="en-GB"/>
        </w:rPr>
        <w:t>inter</w:t>
      </w:r>
      <w:r w:rsidR="00C64050">
        <w:rPr>
          <w:lang w:eastAsia="en-GB"/>
        </w:rPr>
        <w:t xml:space="preserve"> </w:t>
      </w:r>
      <w:r w:rsidR="003C3A1A">
        <w:rPr>
          <w:lang w:eastAsia="en-GB"/>
        </w:rPr>
        <w:t>vivos</w:t>
      </w:r>
      <w:r w:rsidR="00C64050">
        <w:rPr>
          <w:lang w:eastAsia="en-GB"/>
        </w:rPr>
        <w:t xml:space="preserve"> </w:t>
      </w:r>
      <w:r w:rsidR="003C3A1A">
        <w:rPr>
          <w:lang w:eastAsia="en-GB"/>
        </w:rPr>
        <w:t>power</w:t>
      </w:r>
      <w:r w:rsidR="00C64050">
        <w:rPr>
          <w:lang w:eastAsia="en-GB"/>
        </w:rPr>
        <w:t xml:space="preserve"> </w:t>
      </w:r>
      <w:r w:rsidR="003C3A1A">
        <w:rPr>
          <w:lang w:eastAsia="en-GB"/>
        </w:rPr>
        <w:t>of</w:t>
      </w:r>
      <w:r w:rsidR="00C64050">
        <w:rPr>
          <w:lang w:eastAsia="en-GB"/>
        </w:rPr>
        <w:t xml:space="preserve"> </w:t>
      </w:r>
      <w:r w:rsidR="003C3A1A">
        <w:rPr>
          <w:lang w:eastAsia="en-GB"/>
        </w:rPr>
        <w:t>appointment</w:t>
      </w:r>
      <w:r w:rsidR="00C64050">
        <w:rPr>
          <w:lang w:eastAsia="en-GB"/>
        </w:rPr>
        <w:t xml:space="preserve"> </w:t>
      </w:r>
      <w:r w:rsidR="003C3A1A">
        <w:rPr>
          <w:lang w:eastAsia="en-GB"/>
        </w:rPr>
        <w:t>to</w:t>
      </w:r>
      <w:r w:rsidR="00C64050">
        <w:rPr>
          <w:lang w:eastAsia="en-GB"/>
        </w:rPr>
        <w:t xml:space="preserve"> </w:t>
      </w:r>
      <w:r w:rsidR="003C3A1A">
        <w:rPr>
          <w:lang w:eastAsia="en-GB"/>
        </w:rPr>
        <w:t>someone</w:t>
      </w:r>
      <w:r w:rsidR="00C64050">
        <w:rPr>
          <w:lang w:eastAsia="en-GB"/>
        </w:rPr>
        <w:t xml:space="preserve"> </w:t>
      </w:r>
      <w:r w:rsidR="003C3A1A">
        <w:rPr>
          <w:lang w:eastAsia="en-GB"/>
        </w:rPr>
        <w:t>during</w:t>
      </w:r>
      <w:r w:rsidR="00C64050">
        <w:rPr>
          <w:lang w:eastAsia="en-GB"/>
        </w:rPr>
        <w:t xml:space="preserve"> </w:t>
      </w:r>
      <w:r w:rsidR="003C3A1A">
        <w:rPr>
          <w:lang w:eastAsia="en-GB"/>
        </w:rPr>
        <w:t>the</w:t>
      </w:r>
      <w:r w:rsidR="00C64050">
        <w:rPr>
          <w:lang w:eastAsia="en-GB"/>
        </w:rPr>
        <w:t xml:space="preserve"> </w:t>
      </w:r>
      <w:r w:rsidR="003C3A1A">
        <w:rPr>
          <w:lang w:eastAsia="en-GB"/>
        </w:rPr>
        <w:t>grantor’s</w:t>
      </w:r>
      <w:r w:rsidR="00C64050">
        <w:rPr>
          <w:lang w:eastAsia="en-GB"/>
        </w:rPr>
        <w:t xml:space="preserve"> </w:t>
      </w:r>
      <w:r w:rsidR="003C3A1A">
        <w:rPr>
          <w:lang w:eastAsia="en-GB"/>
        </w:rPr>
        <w:t>lifetime</w:t>
      </w:r>
      <w:r w:rsidR="00C64050">
        <w:rPr>
          <w:lang w:eastAsia="en-GB"/>
        </w:rPr>
        <w:t xml:space="preserve"> </w:t>
      </w:r>
      <w:r w:rsidR="003C3A1A">
        <w:rPr>
          <w:lang w:eastAsia="en-GB"/>
        </w:rPr>
        <w:t>the</w:t>
      </w:r>
      <w:r w:rsidR="00C64050">
        <w:rPr>
          <w:lang w:eastAsia="en-GB"/>
        </w:rPr>
        <w:t xml:space="preserve"> </w:t>
      </w:r>
      <w:r w:rsidR="003C3A1A">
        <w:rPr>
          <w:u w:val="single"/>
          <w:lang w:eastAsia="en-GB"/>
        </w:rPr>
        <w:t>Goodwyn</w:t>
      </w:r>
      <w:r w:rsidR="00C64050">
        <w:rPr>
          <w:lang w:eastAsia="en-GB"/>
        </w:rPr>
        <w:t xml:space="preserve"> </w:t>
      </w:r>
      <w:r w:rsidR="003C3A1A">
        <w:rPr>
          <w:lang w:eastAsia="en-GB"/>
        </w:rPr>
        <w:t>rationale</w:t>
      </w:r>
      <w:r w:rsidR="00C64050">
        <w:rPr>
          <w:lang w:eastAsia="en-GB"/>
        </w:rPr>
        <w:t xml:space="preserve"> </w:t>
      </w:r>
      <w:r w:rsidR="003C3A1A">
        <w:rPr>
          <w:lang w:eastAsia="en-GB"/>
        </w:rPr>
        <w:t>is</w:t>
      </w:r>
      <w:r w:rsidR="00C64050">
        <w:rPr>
          <w:lang w:eastAsia="en-GB"/>
        </w:rPr>
        <w:t xml:space="preserve"> </w:t>
      </w:r>
      <w:r w:rsidR="003C3A1A">
        <w:rPr>
          <w:lang w:eastAsia="en-GB"/>
        </w:rPr>
        <w:t>inapplicable.</w:t>
      </w:r>
    </w:p>
    <w:p w:rsidR="000C7C76" w:rsidRPr="00454670" w:rsidRDefault="000C7C76" w:rsidP="007E738C">
      <w:pPr>
        <w:pStyle w:val="TitlePart"/>
        <w:rPr>
          <w:vanish/>
          <w:specVanish/>
        </w:rPr>
      </w:pPr>
      <w:bookmarkStart w:id="80" w:name="_Toc376947584"/>
      <w:bookmarkStart w:id="81" w:name="_Toc376948378"/>
      <w:bookmarkStart w:id="82" w:name="_Toc376949172"/>
      <w:bookmarkStart w:id="83" w:name="_Toc94704612"/>
      <w:r w:rsidRPr="00454670">
        <w:t>PART</w:t>
      </w:r>
      <w:r w:rsidR="00C64050">
        <w:t xml:space="preserve"> </w:t>
      </w:r>
      <w:r w:rsidR="00326C56">
        <w:t>4</w:t>
      </w:r>
      <w:r w:rsidR="00C64050">
        <w:t xml:space="preserve"> </w:t>
      </w:r>
      <w:r w:rsidRPr="00454670">
        <w:t>–</w:t>
      </w:r>
      <w:r w:rsidR="00C64050">
        <w:t xml:space="preserve"> </w:t>
      </w:r>
      <w:r w:rsidRPr="00454670">
        <w:t>FEDERAL</w:t>
      </w:r>
      <w:r w:rsidR="00C64050">
        <w:t xml:space="preserve"> </w:t>
      </w:r>
      <w:r w:rsidRPr="00454670">
        <w:t>RULINGS,</w:t>
      </w:r>
      <w:r w:rsidR="00C64050">
        <w:t xml:space="preserve"> </w:t>
      </w:r>
      <w:r w:rsidRPr="00454670">
        <w:t>CASES</w:t>
      </w:r>
      <w:r w:rsidR="00C64050">
        <w:t xml:space="preserve"> </w:t>
      </w:r>
      <w:r w:rsidRPr="00454670">
        <w:t>AND</w:t>
      </w:r>
      <w:r w:rsidR="00C64050">
        <w:t xml:space="preserve"> </w:t>
      </w:r>
      <w:r w:rsidRPr="00454670">
        <w:t>OTHER</w:t>
      </w:r>
      <w:r w:rsidR="00C64050">
        <w:t xml:space="preserve"> </w:t>
      </w:r>
      <w:r w:rsidRPr="00454670">
        <w:t>DEVELOPMENTS</w:t>
      </w:r>
      <w:bookmarkEnd w:id="80"/>
      <w:bookmarkEnd w:id="81"/>
      <w:bookmarkEnd w:id="82"/>
      <w:bookmarkEnd w:id="83"/>
    </w:p>
    <w:p w:rsidR="0023196F" w:rsidRPr="00454670" w:rsidRDefault="0023196F" w:rsidP="000C7C76">
      <w:pPr>
        <w:pStyle w:val="TitleBCU"/>
        <w:rPr>
          <w:szCs w:val="20"/>
        </w:rPr>
      </w:pPr>
    </w:p>
    <w:p w:rsidR="00485DB9" w:rsidRPr="00454670" w:rsidRDefault="00856D6A" w:rsidP="0023196F">
      <w:pPr>
        <w:pStyle w:val="Heading1"/>
      </w:pPr>
      <w:bookmarkStart w:id="84" w:name="_Toc376946738"/>
      <w:bookmarkStart w:id="85" w:name="_Toc376947585"/>
      <w:bookmarkStart w:id="86" w:name="_Toc376948379"/>
      <w:bookmarkStart w:id="87" w:name="_Toc376949173"/>
      <w:bookmarkStart w:id="88" w:name="_Toc94704613"/>
      <w:r w:rsidRPr="00454670">
        <w:t>INCOME</w:t>
      </w:r>
      <w:r w:rsidR="00C64050">
        <w:t xml:space="preserve"> </w:t>
      </w:r>
      <w:r w:rsidRPr="00454670">
        <w:t>TAX</w:t>
      </w:r>
      <w:r w:rsidR="00C64050">
        <w:t xml:space="preserve"> </w:t>
      </w:r>
      <w:r w:rsidRPr="00454670">
        <w:t>MATTERS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84"/>
      <w:bookmarkEnd w:id="85"/>
      <w:bookmarkEnd w:id="86"/>
      <w:bookmarkEnd w:id="87"/>
      <w:bookmarkEnd w:id="88"/>
    </w:p>
    <w:p w:rsidR="004D5B93" w:rsidRPr="00D053AF" w:rsidRDefault="00801686" w:rsidP="00713963">
      <w:pPr>
        <w:pStyle w:val="Heading20"/>
        <w:tabs>
          <w:tab w:val="clear" w:pos="2700"/>
          <w:tab w:val="num" w:pos="1440"/>
        </w:tabs>
        <w:ind w:left="0"/>
        <w:rPr>
          <w:b/>
          <w:vanish/>
          <w:u w:val="single"/>
          <w:specVanish/>
        </w:rPr>
      </w:pPr>
      <w:bookmarkStart w:id="89" w:name="_Toc94704614"/>
      <w:r w:rsidRPr="00D053AF">
        <w:rPr>
          <w:b/>
          <w:u w:val="single"/>
        </w:rPr>
        <w:t>Consistent</w:t>
      </w:r>
      <w:r w:rsidR="00C64050">
        <w:rPr>
          <w:b/>
          <w:u w:val="single"/>
        </w:rPr>
        <w:t xml:space="preserve"> </w:t>
      </w:r>
      <w:r w:rsidRPr="00D053AF">
        <w:rPr>
          <w:b/>
          <w:u w:val="single"/>
        </w:rPr>
        <w:t>Basis</w:t>
      </w:r>
      <w:r w:rsidR="00C64050">
        <w:rPr>
          <w:b/>
          <w:u w:val="single"/>
        </w:rPr>
        <w:t xml:space="preserve"> </w:t>
      </w:r>
      <w:r w:rsidRPr="00D053AF">
        <w:rPr>
          <w:b/>
          <w:u w:val="single"/>
        </w:rPr>
        <w:t>Reporting</w:t>
      </w:r>
      <w:bookmarkEnd w:id="89"/>
    </w:p>
    <w:p w:rsidR="00801686" w:rsidRPr="00B7048F" w:rsidRDefault="00801686" w:rsidP="004D5B93">
      <w:pPr>
        <w:pStyle w:val="Heading2Body"/>
      </w:pPr>
      <w:r>
        <w:t>.</w:t>
      </w:r>
      <w:r w:rsidR="00C64050">
        <w:t xml:space="preserve">  </w:t>
      </w:r>
      <w:r w:rsidR="00D14C98">
        <w:t>[WE</w:t>
      </w:r>
      <w:r w:rsidR="00C64050">
        <w:t xml:space="preserve"> </w:t>
      </w:r>
      <w:r w:rsidR="00D14C98">
        <w:t>AWAIT</w:t>
      </w:r>
      <w:r w:rsidR="00C64050">
        <w:t xml:space="preserve"> </w:t>
      </w:r>
      <w:r w:rsidR="00D14C98">
        <w:t>FINAL</w:t>
      </w:r>
      <w:r w:rsidR="00C64050">
        <w:t xml:space="preserve"> </w:t>
      </w:r>
      <w:r w:rsidR="00D14C98">
        <w:t>REGULATIONS]</w:t>
      </w:r>
      <w:r w:rsidR="00C64050">
        <w:t xml:space="preserve">  </w:t>
      </w:r>
      <w:r>
        <w:t>The</w:t>
      </w:r>
      <w:r w:rsidR="00C64050">
        <w:t xml:space="preserve"> </w:t>
      </w:r>
      <w:r>
        <w:t>IRS</w:t>
      </w:r>
      <w:r w:rsidR="00C64050">
        <w:t xml:space="preserve"> </w:t>
      </w:r>
      <w:r>
        <w:t>has</w:t>
      </w:r>
      <w:r w:rsidR="00C64050">
        <w:t xml:space="preserve"> </w:t>
      </w:r>
      <w:r>
        <w:t>issued</w:t>
      </w:r>
      <w:r w:rsidR="00C64050">
        <w:t xml:space="preserve"> </w:t>
      </w:r>
      <w:r>
        <w:t>Proposed</w:t>
      </w:r>
      <w:r w:rsidR="00C64050">
        <w:t xml:space="preserve"> </w:t>
      </w:r>
      <w:r>
        <w:t>Regulations</w:t>
      </w:r>
      <w:r w:rsidR="00C64050">
        <w:t xml:space="preserve"> </w:t>
      </w:r>
      <w:r>
        <w:t>under</w:t>
      </w:r>
      <w:r w:rsidR="00C64050">
        <w:t xml:space="preserve"> </w:t>
      </w:r>
      <w:r>
        <w:t>new</w:t>
      </w:r>
      <w:r w:rsidR="00C64050">
        <w:t xml:space="preserve"> </w:t>
      </w:r>
      <w:r>
        <w:t>sections</w:t>
      </w:r>
      <w:r w:rsidR="00C64050">
        <w:t xml:space="preserve"> </w:t>
      </w:r>
      <w:r>
        <w:t>1014(</w:t>
      </w:r>
      <w:r w:rsidR="005A0124">
        <w:t>f</w:t>
      </w:r>
      <w:r>
        <w:t>)</w:t>
      </w:r>
      <w:r w:rsidR="00C64050">
        <w:t xml:space="preserve"> </w:t>
      </w:r>
      <w:r>
        <w:t>and</w:t>
      </w:r>
      <w:r w:rsidR="00C64050">
        <w:t xml:space="preserve"> </w:t>
      </w:r>
      <w:r>
        <w:t>6035.</w:t>
      </w:r>
      <w:r w:rsidR="00C64050">
        <w:t xml:space="preserve">  </w:t>
      </w:r>
      <w:r>
        <w:t>REG-127923-15.</w:t>
      </w:r>
      <w:r w:rsidR="00C64050">
        <w:t xml:space="preserve">  </w:t>
      </w:r>
      <w:r w:rsidR="00B7048F">
        <w:t>Treasury</w:t>
      </w:r>
      <w:r w:rsidR="00C64050">
        <w:t xml:space="preserve"> </w:t>
      </w:r>
      <w:r w:rsidR="00B7048F">
        <w:t>did</w:t>
      </w:r>
      <w:r w:rsidR="00C64050">
        <w:t xml:space="preserve"> </w:t>
      </w:r>
      <w:r w:rsidR="00B7048F">
        <w:rPr>
          <w:u w:val="single"/>
        </w:rPr>
        <w:t>not</w:t>
      </w:r>
      <w:r w:rsidR="00C64050">
        <w:t xml:space="preserve"> </w:t>
      </w:r>
      <w:r w:rsidR="00B7048F">
        <w:t>identify</w:t>
      </w:r>
      <w:r w:rsidR="00C64050">
        <w:t xml:space="preserve"> </w:t>
      </w:r>
      <w:r w:rsidR="00B7048F">
        <w:t>these</w:t>
      </w:r>
      <w:r w:rsidR="00C64050">
        <w:t xml:space="preserve"> </w:t>
      </w:r>
      <w:r w:rsidR="00B7048F">
        <w:t>Proposed</w:t>
      </w:r>
      <w:r w:rsidR="00C64050">
        <w:t xml:space="preserve"> </w:t>
      </w:r>
      <w:r w:rsidR="00B7048F">
        <w:t>Regulations</w:t>
      </w:r>
      <w:r w:rsidR="00C64050">
        <w:t xml:space="preserve"> </w:t>
      </w:r>
      <w:r w:rsidR="00B7048F">
        <w:t>as</w:t>
      </w:r>
      <w:r w:rsidR="00C64050">
        <w:t xml:space="preserve"> </w:t>
      </w:r>
      <w:r w:rsidR="00B7048F">
        <w:t>ones</w:t>
      </w:r>
      <w:r w:rsidR="00C64050">
        <w:t xml:space="preserve"> </w:t>
      </w:r>
      <w:r w:rsidR="00B7048F">
        <w:t>which</w:t>
      </w:r>
      <w:r w:rsidR="00C64050">
        <w:t xml:space="preserve"> </w:t>
      </w:r>
      <w:r w:rsidR="00B7048F">
        <w:t>impose</w:t>
      </w:r>
      <w:r w:rsidR="00C64050">
        <w:t xml:space="preserve"> </w:t>
      </w:r>
      <w:r w:rsidR="00B7048F">
        <w:t>an</w:t>
      </w:r>
      <w:r w:rsidR="00C64050">
        <w:t xml:space="preserve"> </w:t>
      </w:r>
      <w:r w:rsidR="00B7048F">
        <w:t>undue</w:t>
      </w:r>
      <w:r w:rsidR="00C64050">
        <w:t xml:space="preserve"> </w:t>
      </w:r>
      <w:r w:rsidR="00B7048F">
        <w:t>financial</w:t>
      </w:r>
      <w:r w:rsidR="00C64050">
        <w:t xml:space="preserve"> </w:t>
      </w:r>
      <w:r w:rsidR="00B7048F">
        <w:t>burden</w:t>
      </w:r>
      <w:r w:rsidR="00C64050">
        <w:t xml:space="preserve"> </w:t>
      </w:r>
      <w:r w:rsidR="00B7048F">
        <w:t>on</w:t>
      </w:r>
      <w:r w:rsidR="00C64050">
        <w:t xml:space="preserve"> </w:t>
      </w:r>
      <w:r w:rsidR="00B7048F">
        <w:t>taxpayers,</w:t>
      </w:r>
      <w:r w:rsidR="00C64050">
        <w:t xml:space="preserve"> </w:t>
      </w:r>
      <w:r w:rsidR="00B7048F">
        <w:t>add</w:t>
      </w:r>
      <w:r w:rsidR="00C64050">
        <w:t xml:space="preserve"> </w:t>
      </w:r>
      <w:r w:rsidR="00B7048F">
        <w:t>undue</w:t>
      </w:r>
      <w:r w:rsidR="00C64050">
        <w:t xml:space="preserve"> </w:t>
      </w:r>
      <w:r w:rsidR="00B7048F">
        <w:t>complexity</w:t>
      </w:r>
      <w:r w:rsidR="00C64050">
        <w:t xml:space="preserve"> </w:t>
      </w:r>
      <w:r w:rsidR="00B7048F">
        <w:t>to</w:t>
      </w:r>
      <w:r w:rsidR="00C64050">
        <w:t xml:space="preserve"> </w:t>
      </w:r>
      <w:r w:rsidR="00B7048F">
        <w:t>the</w:t>
      </w:r>
      <w:r w:rsidR="00C64050">
        <w:t xml:space="preserve"> </w:t>
      </w:r>
      <w:r w:rsidR="00B7048F">
        <w:t>Federal</w:t>
      </w:r>
      <w:r w:rsidR="00C64050">
        <w:t xml:space="preserve"> </w:t>
      </w:r>
      <w:r w:rsidR="00B7048F">
        <w:t>tax</w:t>
      </w:r>
      <w:r w:rsidR="00C64050">
        <w:t xml:space="preserve"> </w:t>
      </w:r>
      <w:r w:rsidR="00B7048F">
        <w:t>laws,</w:t>
      </w:r>
      <w:r w:rsidR="00C64050">
        <w:t xml:space="preserve"> </w:t>
      </w:r>
      <w:r w:rsidR="00B7048F">
        <w:t>or</w:t>
      </w:r>
      <w:r w:rsidR="00C64050">
        <w:t xml:space="preserve"> </w:t>
      </w:r>
      <w:r w:rsidR="00B7048F">
        <w:t>exceed</w:t>
      </w:r>
      <w:r w:rsidR="00C64050">
        <w:t xml:space="preserve"> </w:t>
      </w:r>
      <w:r w:rsidR="00B7048F">
        <w:t>the</w:t>
      </w:r>
      <w:r w:rsidR="00C64050">
        <w:t xml:space="preserve"> </w:t>
      </w:r>
      <w:r w:rsidR="00B7048F">
        <w:t>statutory</w:t>
      </w:r>
      <w:r w:rsidR="00C64050">
        <w:t xml:space="preserve"> </w:t>
      </w:r>
      <w:r w:rsidR="004C35D5">
        <w:t>authority</w:t>
      </w:r>
      <w:r w:rsidR="00C64050">
        <w:t xml:space="preserve"> </w:t>
      </w:r>
      <w:r w:rsidR="00B7048F">
        <w:t>of</w:t>
      </w:r>
      <w:r w:rsidR="00C64050">
        <w:t xml:space="preserve"> </w:t>
      </w:r>
      <w:r w:rsidR="004C35D5">
        <w:t>the</w:t>
      </w:r>
      <w:r w:rsidR="00C64050">
        <w:t xml:space="preserve"> </w:t>
      </w:r>
      <w:r w:rsidR="00B7048F">
        <w:t>IRS</w:t>
      </w:r>
      <w:r w:rsidR="00C64050">
        <w:t xml:space="preserve"> </w:t>
      </w:r>
      <w:r w:rsidR="00B7048F">
        <w:t>Notice</w:t>
      </w:r>
      <w:r w:rsidR="00C64050">
        <w:t xml:space="preserve"> </w:t>
      </w:r>
      <w:r w:rsidR="00B7048F">
        <w:t>2017-38.</w:t>
      </w:r>
      <w:r w:rsidR="00C64050">
        <w:t xml:space="preserve">  </w:t>
      </w:r>
      <w:r w:rsidR="00D772AB">
        <w:t>The</w:t>
      </w:r>
      <w:r w:rsidR="00C64050">
        <w:t xml:space="preserve"> </w:t>
      </w:r>
      <w:r w:rsidR="00D772AB">
        <w:t>second</w:t>
      </w:r>
      <w:r w:rsidR="00C64050">
        <w:t xml:space="preserve"> </w:t>
      </w:r>
      <w:r w:rsidR="00D772AB">
        <w:t>quarter</w:t>
      </w:r>
      <w:r w:rsidR="00C64050">
        <w:t xml:space="preserve"> </w:t>
      </w:r>
      <w:r w:rsidR="00D772AB">
        <w:t>update</w:t>
      </w:r>
      <w:r w:rsidR="00C64050">
        <w:t xml:space="preserve"> </w:t>
      </w:r>
      <w:r w:rsidR="00D772AB">
        <w:t>to</w:t>
      </w:r>
      <w:r w:rsidR="00C64050">
        <w:t xml:space="preserve"> </w:t>
      </w:r>
      <w:r w:rsidR="00D772AB">
        <w:t>2017-2018</w:t>
      </w:r>
      <w:r w:rsidR="00C64050">
        <w:t xml:space="preserve"> </w:t>
      </w:r>
      <w:r w:rsidR="00D772AB">
        <w:t>Priority</w:t>
      </w:r>
      <w:r w:rsidR="00C64050">
        <w:t xml:space="preserve"> </w:t>
      </w:r>
      <w:r w:rsidR="00D772AB">
        <w:t>Guidance</w:t>
      </w:r>
      <w:r w:rsidR="00C64050">
        <w:t xml:space="preserve"> </w:t>
      </w:r>
      <w:r w:rsidR="00D772AB">
        <w:t>Plan</w:t>
      </w:r>
      <w:r w:rsidR="00C64050">
        <w:t xml:space="preserve"> </w:t>
      </w:r>
      <w:r w:rsidR="00D772AB">
        <w:t>puts</w:t>
      </w:r>
      <w:r w:rsidR="00C64050">
        <w:t xml:space="preserve"> </w:t>
      </w:r>
      <w:r w:rsidR="00D772AB">
        <w:t>regulations</w:t>
      </w:r>
      <w:r w:rsidR="00C64050">
        <w:t xml:space="preserve"> </w:t>
      </w:r>
      <w:r w:rsidR="00D772AB">
        <w:t>under</w:t>
      </w:r>
      <w:r w:rsidR="00C64050">
        <w:t xml:space="preserve"> </w:t>
      </w:r>
      <w:r w:rsidR="00D772AB">
        <w:t>section</w:t>
      </w:r>
      <w:r w:rsidR="00C64050">
        <w:t xml:space="preserve"> </w:t>
      </w:r>
      <w:r w:rsidR="00D772AB">
        <w:t>1014(f)</w:t>
      </w:r>
      <w:r w:rsidR="00C64050">
        <w:t xml:space="preserve"> </w:t>
      </w:r>
      <w:r w:rsidR="00D772AB">
        <w:t>and</w:t>
      </w:r>
      <w:r w:rsidR="00C64050">
        <w:t xml:space="preserve"> </w:t>
      </w:r>
      <w:r w:rsidR="00D772AB">
        <w:t>6045</w:t>
      </w:r>
      <w:r w:rsidR="00C64050">
        <w:t xml:space="preserve"> </w:t>
      </w:r>
      <w:r w:rsidR="00D772AB">
        <w:t>in</w:t>
      </w:r>
      <w:r w:rsidR="00C64050">
        <w:t xml:space="preserve"> </w:t>
      </w:r>
      <w:r w:rsidR="00D772AB">
        <w:t>the</w:t>
      </w:r>
      <w:r w:rsidR="00C64050">
        <w:t xml:space="preserve"> </w:t>
      </w:r>
      <w:r w:rsidR="00D772AB">
        <w:t>“Near-Term</w:t>
      </w:r>
      <w:r w:rsidR="00C64050">
        <w:t xml:space="preserve"> </w:t>
      </w:r>
      <w:r w:rsidR="00D772AB">
        <w:t>Burden</w:t>
      </w:r>
      <w:r w:rsidR="00C64050">
        <w:t xml:space="preserve"> </w:t>
      </w:r>
      <w:r w:rsidR="00D772AB">
        <w:t>Reduction”</w:t>
      </w:r>
      <w:r w:rsidR="00C64050">
        <w:t xml:space="preserve"> </w:t>
      </w:r>
      <w:r w:rsidR="00D772AB">
        <w:t>category.</w:t>
      </w:r>
    </w:p>
    <w:p w:rsidR="00801686" w:rsidRDefault="00801686" w:rsidP="00801686">
      <w:pPr>
        <w:pStyle w:val="Body15"/>
      </w:pPr>
      <w:r>
        <w:t>Prop.</w:t>
      </w:r>
      <w:r w:rsidR="00C64050">
        <w:t xml:space="preserve"> </w:t>
      </w:r>
      <w:r>
        <w:t>Reg.</w:t>
      </w:r>
      <w:r w:rsidR="00C64050">
        <w:t xml:space="preserve"> </w:t>
      </w:r>
      <w:r>
        <w:t>§</w:t>
      </w:r>
      <w:r w:rsidR="00C64050">
        <w:t xml:space="preserve"> </w:t>
      </w:r>
      <w:r>
        <w:t>1.1014-10</w:t>
      </w:r>
      <w:r w:rsidR="00C64050">
        <w:t xml:space="preserve"> </w:t>
      </w:r>
      <w:r>
        <w:t>deals</w:t>
      </w:r>
      <w:r w:rsidR="00C64050">
        <w:t xml:space="preserve"> </w:t>
      </w:r>
      <w:r>
        <w:t>with</w:t>
      </w:r>
      <w:r w:rsidR="00C64050">
        <w:t xml:space="preserve"> </w:t>
      </w:r>
      <w:r>
        <w:t>basis</w:t>
      </w:r>
      <w:r w:rsidR="00C64050">
        <w:t xml:space="preserve"> </w:t>
      </w:r>
      <w:r>
        <w:t>consistency.</w:t>
      </w:r>
      <w:r w:rsidR="00C64050">
        <w:t xml:space="preserve">  </w:t>
      </w:r>
      <w:r>
        <w:t>The</w:t>
      </w:r>
      <w:r w:rsidR="00C64050">
        <w:t xml:space="preserve"> </w:t>
      </w:r>
      <w:r>
        <w:t>summary</w:t>
      </w:r>
      <w:r w:rsidR="00C64050">
        <w:t xml:space="preserve"> </w:t>
      </w:r>
      <w:r>
        <w:t>to</w:t>
      </w:r>
      <w:r w:rsidR="00C64050">
        <w:t xml:space="preserve"> </w:t>
      </w:r>
      <w:r>
        <w:t>the</w:t>
      </w:r>
      <w:r w:rsidR="00C64050">
        <w:t xml:space="preserve"> </w:t>
      </w:r>
      <w:r>
        <w:t>Proposed</w:t>
      </w:r>
      <w:r w:rsidR="00C64050">
        <w:t xml:space="preserve"> </w:t>
      </w:r>
      <w:r>
        <w:t>Regulations</w:t>
      </w:r>
      <w:r w:rsidR="00C64050">
        <w:t xml:space="preserve"> </w:t>
      </w:r>
      <w:r>
        <w:t>states</w:t>
      </w:r>
      <w:r w:rsidR="00C64050">
        <w:t xml:space="preserve"> </w:t>
      </w:r>
      <w:r>
        <w:t>in</w:t>
      </w:r>
      <w:r w:rsidR="00C64050">
        <w:t xml:space="preserve"> </w:t>
      </w:r>
      <w:r>
        <w:t>part:</w:t>
      </w:r>
    </w:p>
    <w:p w:rsidR="00465BBA" w:rsidRPr="006076BD" w:rsidRDefault="00465BBA" w:rsidP="006076BD">
      <w:pPr>
        <w:pStyle w:val="QS10"/>
      </w:pPr>
      <w:r w:rsidRPr="006076BD">
        <w:t>A.</w:t>
      </w:r>
      <w:r w:rsidR="00C64050">
        <w:t xml:space="preserve"> </w:t>
      </w:r>
      <w:hyperlink r:id="rId63" w:anchor="co_pp_ae0d0000c5150" w:history="1">
        <w:r w:rsidRPr="006076BD">
          <w:t>Section</w:t>
        </w:r>
        <w:r w:rsidR="00C64050">
          <w:t xml:space="preserve"> </w:t>
        </w:r>
        <w:r w:rsidRPr="006076BD">
          <w:t>1014(f)</w:t>
        </w:r>
      </w:hyperlink>
    </w:p>
    <w:p w:rsidR="00465BBA" w:rsidRPr="006076BD" w:rsidRDefault="00EA23AC" w:rsidP="006076BD">
      <w:pPr>
        <w:pStyle w:val="QS10"/>
      </w:pPr>
      <w:hyperlink r:id="rId64" w:anchor="co_pp_ae0d0000c5150" w:history="1">
        <w:r w:rsidR="00465BBA" w:rsidRPr="006076BD">
          <w:t>Section</w:t>
        </w:r>
        <w:r w:rsidR="00C64050">
          <w:t xml:space="preserve"> </w:t>
        </w:r>
        <w:r w:rsidR="00465BBA" w:rsidRPr="006076BD">
          <w:t>1014(f)</w:t>
        </w:r>
      </w:hyperlink>
      <w:r w:rsidR="00C64050">
        <w:t xml:space="preserve"> </w:t>
      </w:r>
      <w:r w:rsidR="00465BBA" w:rsidRPr="006076BD">
        <w:t>imposes</w:t>
      </w:r>
      <w:r w:rsidR="00C64050">
        <w:t xml:space="preserve"> </w:t>
      </w:r>
      <w:r w:rsidR="00465BBA" w:rsidRPr="006076BD">
        <w:t>an</w:t>
      </w:r>
      <w:r w:rsidR="00C64050">
        <w:t xml:space="preserve"> </w:t>
      </w:r>
      <w:r w:rsidR="00465BBA" w:rsidRPr="006076BD">
        <w:t>obligation</w:t>
      </w:r>
      <w:r w:rsidR="00C64050">
        <w:t xml:space="preserve"> </w:t>
      </w:r>
      <w:r w:rsidR="00465BBA" w:rsidRPr="006076BD">
        <w:t>of</w:t>
      </w:r>
      <w:r w:rsidR="00C64050">
        <w:t xml:space="preserve"> </w:t>
      </w:r>
      <w:r w:rsidR="00465BBA" w:rsidRPr="006076BD">
        <w:t>consistency</w:t>
      </w:r>
      <w:r w:rsidR="00C64050">
        <w:t xml:space="preserve"> </w:t>
      </w:r>
      <w:r w:rsidR="00465BBA" w:rsidRPr="006076BD">
        <w:t>between</w:t>
      </w:r>
      <w:r w:rsidR="00C64050">
        <w:t xml:space="preserve"> </w:t>
      </w:r>
      <w:r w:rsidR="00465BBA" w:rsidRPr="006076BD">
        <w:t>the</w:t>
      </w:r>
      <w:r w:rsidR="00C64050">
        <w:t xml:space="preserve"> </w:t>
      </w:r>
      <w:r w:rsidR="00465BBA" w:rsidRPr="006076BD">
        <w:t>basis</w:t>
      </w:r>
      <w:r w:rsidR="00C64050">
        <w:t xml:space="preserve"> </w:t>
      </w:r>
      <w:r w:rsidR="00465BBA" w:rsidRPr="006076BD">
        <w:t>of</w:t>
      </w:r>
      <w:r w:rsidR="00C64050">
        <w:t xml:space="preserve"> </w:t>
      </w:r>
      <w:r w:rsidR="00465BBA" w:rsidRPr="006076BD">
        <w:t>certain</w:t>
      </w:r>
      <w:r w:rsidR="00C64050">
        <w:t xml:space="preserve"> </w:t>
      </w:r>
      <w:r w:rsidR="00465BBA" w:rsidRPr="006076BD">
        <w:t>inherited</w:t>
      </w:r>
      <w:r w:rsidR="00C64050">
        <w:t xml:space="preserve"> </w:t>
      </w:r>
      <w:r w:rsidR="00465BBA" w:rsidRPr="006076BD">
        <w:t>property</w:t>
      </w:r>
      <w:r w:rsidR="00C64050">
        <w:t xml:space="preserve"> </w:t>
      </w:r>
      <w:r w:rsidR="00465BBA" w:rsidRPr="006076BD">
        <w:t>and</w:t>
      </w:r>
      <w:r w:rsidR="00C64050">
        <w:t xml:space="preserve"> </w:t>
      </w:r>
      <w:r w:rsidR="00465BBA" w:rsidRPr="006076BD">
        <w:t>the</w:t>
      </w:r>
      <w:r w:rsidR="00C64050">
        <w:t xml:space="preserve"> </w:t>
      </w:r>
      <w:r w:rsidR="00465BBA" w:rsidRPr="006076BD">
        <w:t>value</w:t>
      </w:r>
      <w:r w:rsidR="00C64050">
        <w:t xml:space="preserve"> </w:t>
      </w:r>
      <w:r w:rsidR="00465BBA" w:rsidRPr="006076BD">
        <w:t>of</w:t>
      </w:r>
      <w:r w:rsidR="00C64050">
        <w:t xml:space="preserve"> </w:t>
      </w:r>
      <w:r w:rsidR="00465BBA" w:rsidRPr="006076BD">
        <w:t>that</w:t>
      </w:r>
      <w:r w:rsidR="00C64050">
        <w:t xml:space="preserve"> </w:t>
      </w:r>
      <w:r w:rsidR="00465BBA" w:rsidRPr="006076BD">
        <w:t>property</w:t>
      </w:r>
      <w:r w:rsidR="00C64050">
        <w:t xml:space="preserve"> </w:t>
      </w:r>
      <w:r w:rsidR="00465BBA" w:rsidRPr="006076BD">
        <w:t>for</w:t>
      </w:r>
      <w:r w:rsidR="00C64050">
        <w:t xml:space="preserve"> </w:t>
      </w:r>
      <w:r w:rsidR="00465BBA" w:rsidRPr="006076BD">
        <w:t>Federal</w:t>
      </w:r>
      <w:r w:rsidR="00C64050">
        <w:t xml:space="preserve"> </w:t>
      </w:r>
      <w:r w:rsidR="00465BBA" w:rsidRPr="006076BD">
        <w:t>estate</w:t>
      </w:r>
      <w:r w:rsidR="00C64050">
        <w:t xml:space="preserve"> </w:t>
      </w:r>
      <w:r w:rsidR="00465BBA" w:rsidRPr="006076BD">
        <w:t>tax</w:t>
      </w:r>
      <w:r w:rsidR="00C64050">
        <w:t xml:space="preserve"> </w:t>
      </w:r>
      <w:r w:rsidR="00465BBA" w:rsidRPr="006076BD">
        <w:t>purposes.</w:t>
      </w:r>
      <w:r w:rsidR="00C64050">
        <w:t xml:space="preserve"> </w:t>
      </w:r>
    </w:p>
    <w:p w:rsidR="00465BBA" w:rsidRPr="006076BD" w:rsidRDefault="00EA23AC" w:rsidP="006076BD">
      <w:pPr>
        <w:pStyle w:val="QS10"/>
      </w:pPr>
      <w:hyperlink r:id="rId65" w:anchor="co_pp_9daf00009de57" w:history="1">
        <w:r w:rsidR="00465BBA" w:rsidRPr="006076BD">
          <w:t>Section</w:t>
        </w:r>
        <w:r w:rsidR="00C64050">
          <w:t xml:space="preserve"> </w:t>
        </w:r>
        <w:r w:rsidR="00465BBA" w:rsidRPr="006076BD">
          <w:t>1014(f)(1)</w:t>
        </w:r>
      </w:hyperlink>
      <w:r w:rsidR="00C64050">
        <w:t xml:space="preserve"> </w:t>
      </w:r>
      <w:r w:rsidR="00465BBA" w:rsidRPr="006076BD">
        <w:t>provides</w:t>
      </w:r>
      <w:r w:rsidR="00C64050">
        <w:t xml:space="preserve"> </w:t>
      </w:r>
      <w:r w:rsidR="00465BBA" w:rsidRPr="006076BD">
        <w:t>that</w:t>
      </w:r>
      <w:r w:rsidR="00C64050">
        <w:t xml:space="preserve"> </w:t>
      </w:r>
      <w:r w:rsidR="00465BBA" w:rsidRPr="006076BD">
        <w:t>the</w:t>
      </w:r>
      <w:r w:rsidR="00C64050">
        <w:t xml:space="preserve"> </w:t>
      </w:r>
      <w:r w:rsidR="00465BBA" w:rsidRPr="006076BD">
        <w:t>basis</w:t>
      </w:r>
      <w:r w:rsidR="00C64050">
        <w:t xml:space="preserve"> </w:t>
      </w:r>
      <w:r w:rsidR="00465BBA" w:rsidRPr="006076BD">
        <w:t>of</w:t>
      </w:r>
      <w:r w:rsidR="00C64050">
        <w:t xml:space="preserve"> </w:t>
      </w:r>
      <w:r w:rsidR="00465BBA" w:rsidRPr="006076BD">
        <w:t>property</w:t>
      </w:r>
      <w:r w:rsidR="00C64050">
        <w:t xml:space="preserve"> </w:t>
      </w:r>
      <w:r w:rsidR="00465BBA" w:rsidRPr="006076BD">
        <w:t>acquired</w:t>
      </w:r>
      <w:r w:rsidR="00C64050">
        <w:t xml:space="preserve"> </w:t>
      </w:r>
      <w:r w:rsidR="00465BBA" w:rsidRPr="006076BD">
        <w:t>from</w:t>
      </w:r>
      <w:r w:rsidR="00C64050">
        <w:t xml:space="preserve"> </w:t>
      </w:r>
      <w:r w:rsidR="00465BBA" w:rsidRPr="006076BD">
        <w:t>a</w:t>
      </w:r>
      <w:r w:rsidR="00C64050">
        <w:t xml:space="preserve"> </w:t>
      </w:r>
      <w:r w:rsidR="00465BBA" w:rsidRPr="006076BD">
        <w:t>decedent</w:t>
      </w:r>
      <w:r w:rsidR="00C64050">
        <w:t xml:space="preserve"> </w:t>
      </w:r>
      <w:r w:rsidR="00465BBA" w:rsidRPr="006076BD">
        <w:t>cannot</w:t>
      </w:r>
      <w:r w:rsidR="00C64050">
        <w:t xml:space="preserve"> </w:t>
      </w:r>
      <w:r w:rsidR="00465BBA" w:rsidRPr="006076BD">
        <w:t>exceed</w:t>
      </w:r>
      <w:r w:rsidR="00C64050">
        <w:t xml:space="preserve"> </w:t>
      </w:r>
      <w:r w:rsidR="00465BBA" w:rsidRPr="006076BD">
        <w:t>that</w:t>
      </w:r>
      <w:r w:rsidR="00C64050">
        <w:t xml:space="preserve"> </w:t>
      </w:r>
      <w:r w:rsidR="00465BBA" w:rsidRPr="006076BD">
        <w:t>property's</w:t>
      </w:r>
      <w:r w:rsidR="00C64050">
        <w:t xml:space="preserve"> </w:t>
      </w:r>
      <w:r w:rsidR="00465BBA" w:rsidRPr="006076BD">
        <w:t>final</w:t>
      </w:r>
      <w:r w:rsidR="00C64050">
        <w:t xml:space="preserve"> </w:t>
      </w:r>
      <w:r w:rsidR="00465BBA" w:rsidRPr="006076BD">
        <w:t>value</w:t>
      </w:r>
      <w:r w:rsidR="00C64050">
        <w:t xml:space="preserve"> </w:t>
      </w:r>
      <w:r w:rsidR="00465BBA" w:rsidRPr="006076BD">
        <w:t>for</w:t>
      </w:r>
      <w:r w:rsidR="00C64050">
        <w:t xml:space="preserve"> </w:t>
      </w:r>
      <w:r w:rsidR="00465BBA" w:rsidRPr="006076BD">
        <w:t>purposes</w:t>
      </w:r>
      <w:r w:rsidR="00C64050">
        <w:t xml:space="preserve"> </w:t>
      </w:r>
      <w:r w:rsidR="00465BBA" w:rsidRPr="006076BD">
        <w:t>of</w:t>
      </w:r>
      <w:r w:rsidR="00C64050">
        <w:t xml:space="preserve"> </w:t>
      </w:r>
      <w:r w:rsidR="00465BBA" w:rsidRPr="006076BD">
        <w:t>the</w:t>
      </w:r>
      <w:r w:rsidR="00C64050">
        <w:t xml:space="preserve"> </w:t>
      </w:r>
      <w:r w:rsidR="00465BBA" w:rsidRPr="006076BD">
        <w:t>Federal</w:t>
      </w:r>
      <w:r w:rsidR="00C64050">
        <w:t xml:space="preserve"> </w:t>
      </w:r>
      <w:r w:rsidR="00465BBA" w:rsidRPr="006076BD">
        <w:t>estate</w:t>
      </w:r>
      <w:r w:rsidR="00C64050">
        <w:t xml:space="preserve"> </w:t>
      </w:r>
      <w:r w:rsidR="00465BBA" w:rsidRPr="006076BD">
        <w:t>tax</w:t>
      </w:r>
      <w:r w:rsidR="00C64050">
        <w:t xml:space="preserve"> </w:t>
      </w:r>
      <w:r w:rsidR="00465BBA" w:rsidRPr="006076BD">
        <w:t>imposed</w:t>
      </w:r>
      <w:r w:rsidR="00C64050">
        <w:t xml:space="preserve"> </w:t>
      </w:r>
      <w:r w:rsidR="00465BBA" w:rsidRPr="006076BD">
        <w:t>on</w:t>
      </w:r>
      <w:r w:rsidR="00C64050">
        <w:t xml:space="preserve"> </w:t>
      </w:r>
      <w:r w:rsidR="00465BBA" w:rsidRPr="006076BD">
        <w:t>the</w:t>
      </w:r>
      <w:r w:rsidR="00C64050">
        <w:t xml:space="preserve"> </w:t>
      </w:r>
      <w:r w:rsidR="00465BBA" w:rsidRPr="006076BD">
        <w:t>estate</w:t>
      </w:r>
      <w:r w:rsidR="00C64050">
        <w:t xml:space="preserve"> </w:t>
      </w:r>
      <w:r w:rsidR="00465BBA" w:rsidRPr="006076BD">
        <w:t>of</w:t>
      </w:r>
      <w:r w:rsidR="00C64050">
        <w:t xml:space="preserve"> </w:t>
      </w:r>
      <w:r w:rsidR="00465BBA" w:rsidRPr="006076BD">
        <w:t>the</w:t>
      </w:r>
      <w:r w:rsidR="00C64050">
        <w:t xml:space="preserve"> </w:t>
      </w:r>
      <w:r w:rsidR="00465BBA" w:rsidRPr="006076BD">
        <w:t>decedent,</w:t>
      </w:r>
      <w:r w:rsidR="00C64050">
        <w:t xml:space="preserve"> </w:t>
      </w:r>
      <w:r w:rsidR="00465BBA" w:rsidRPr="006076BD">
        <w:t>or,</w:t>
      </w:r>
      <w:r w:rsidR="00C64050">
        <w:t xml:space="preserve"> </w:t>
      </w:r>
      <w:r w:rsidR="00465BBA" w:rsidRPr="006076BD">
        <w:t>if</w:t>
      </w:r>
      <w:r w:rsidR="00C64050">
        <w:t xml:space="preserve"> </w:t>
      </w:r>
      <w:r w:rsidR="00465BBA" w:rsidRPr="006076BD">
        <w:t>the</w:t>
      </w:r>
      <w:r w:rsidR="00C64050">
        <w:t xml:space="preserve"> </w:t>
      </w:r>
      <w:r w:rsidR="00465BBA" w:rsidRPr="006076BD">
        <w:t>final</w:t>
      </w:r>
      <w:r w:rsidR="00C64050">
        <w:t xml:space="preserve"> </w:t>
      </w:r>
      <w:r w:rsidR="00465BBA" w:rsidRPr="006076BD">
        <w:t>value</w:t>
      </w:r>
      <w:r w:rsidR="00C64050">
        <w:t xml:space="preserve"> </w:t>
      </w:r>
      <w:r w:rsidR="00465BBA" w:rsidRPr="006076BD">
        <w:t>has</w:t>
      </w:r>
      <w:r w:rsidR="00C64050">
        <w:t xml:space="preserve"> </w:t>
      </w:r>
      <w:r w:rsidR="00465BBA" w:rsidRPr="006076BD">
        <w:t>not</w:t>
      </w:r>
      <w:r w:rsidR="00C64050">
        <w:t xml:space="preserve"> </w:t>
      </w:r>
      <w:r w:rsidR="00465BBA" w:rsidRPr="006076BD">
        <w:t>been</w:t>
      </w:r>
      <w:r w:rsidR="00C64050">
        <w:t xml:space="preserve"> </w:t>
      </w:r>
      <w:r w:rsidR="00465BBA" w:rsidRPr="006076BD">
        <w:t>determined,</w:t>
      </w:r>
      <w:r w:rsidR="00C64050">
        <w:t xml:space="preserve"> </w:t>
      </w:r>
      <w:r w:rsidR="00465BBA" w:rsidRPr="006076BD">
        <w:t>the</w:t>
      </w:r>
      <w:r w:rsidR="00C64050">
        <w:t xml:space="preserve"> </w:t>
      </w:r>
      <w:r w:rsidR="00465BBA" w:rsidRPr="006076BD">
        <w:t>value</w:t>
      </w:r>
      <w:r w:rsidR="00C64050">
        <w:t xml:space="preserve"> </w:t>
      </w:r>
      <w:r w:rsidR="00465BBA" w:rsidRPr="006076BD">
        <w:t>reported</w:t>
      </w:r>
      <w:r w:rsidR="00C64050">
        <w:t xml:space="preserve"> </w:t>
      </w:r>
      <w:r w:rsidR="00465BBA" w:rsidRPr="006076BD">
        <w:t>on</w:t>
      </w:r>
      <w:r w:rsidR="00C64050">
        <w:t xml:space="preserve"> </w:t>
      </w:r>
      <w:r w:rsidR="00465BBA" w:rsidRPr="006076BD">
        <w:t>a</w:t>
      </w:r>
      <w:r w:rsidR="00C64050">
        <w:t xml:space="preserve"> </w:t>
      </w:r>
      <w:r w:rsidR="00465BBA" w:rsidRPr="006076BD">
        <w:t>statement</w:t>
      </w:r>
      <w:r w:rsidR="00C64050">
        <w:t xml:space="preserve"> </w:t>
      </w:r>
      <w:r w:rsidR="00465BBA" w:rsidRPr="006076BD">
        <w:t>required</w:t>
      </w:r>
      <w:r w:rsidR="00C64050">
        <w:t xml:space="preserve"> </w:t>
      </w:r>
      <w:r w:rsidR="00465BBA" w:rsidRPr="006076BD">
        <w:t>by</w:t>
      </w:r>
      <w:r w:rsidR="00C64050">
        <w:t xml:space="preserve"> </w:t>
      </w:r>
      <w:r w:rsidR="00465BBA" w:rsidRPr="006076BD">
        <w:t>section</w:t>
      </w:r>
      <w:r w:rsidR="00C64050">
        <w:t xml:space="preserve"> </w:t>
      </w:r>
      <w:r w:rsidR="00465BBA" w:rsidRPr="006076BD">
        <w:t>6035(a).</w:t>
      </w:r>
    </w:p>
    <w:p w:rsidR="00465BBA" w:rsidRPr="006076BD" w:rsidRDefault="00EA23AC" w:rsidP="006076BD">
      <w:pPr>
        <w:pStyle w:val="QS10"/>
      </w:pPr>
      <w:hyperlink r:id="rId66" w:anchor="co_pp_ac4e0000281c0" w:history="1">
        <w:r w:rsidR="00465BBA" w:rsidRPr="006076BD">
          <w:t>Section</w:t>
        </w:r>
        <w:r w:rsidR="00C64050">
          <w:t xml:space="preserve"> </w:t>
        </w:r>
        <w:r w:rsidR="00465BBA" w:rsidRPr="006076BD">
          <w:t>1014(f)(2)</w:t>
        </w:r>
      </w:hyperlink>
      <w:r w:rsidR="00C64050">
        <w:t xml:space="preserve"> </w:t>
      </w:r>
      <w:r w:rsidR="00465BBA" w:rsidRPr="006076BD">
        <w:t>provides</w:t>
      </w:r>
      <w:r w:rsidR="00C64050">
        <w:t xml:space="preserve"> </w:t>
      </w:r>
      <w:r w:rsidR="00465BBA" w:rsidRPr="006076BD">
        <w:t>that</w:t>
      </w:r>
      <w:r w:rsidR="00C64050">
        <w:t xml:space="preserve"> </w:t>
      </w:r>
      <w:hyperlink r:id="rId67" w:anchor="co_pp_9daf00009de57" w:history="1">
        <w:r w:rsidR="00465BBA" w:rsidRPr="006076BD">
          <w:t>section</w:t>
        </w:r>
        <w:r w:rsidR="00C64050">
          <w:t xml:space="preserve"> </w:t>
        </w:r>
        <w:r w:rsidR="00465BBA" w:rsidRPr="006076BD">
          <w:t>1014(f)(1)</w:t>
        </w:r>
      </w:hyperlink>
      <w:r w:rsidR="00C64050">
        <w:t xml:space="preserve"> </w:t>
      </w:r>
      <w:r w:rsidR="00465BBA" w:rsidRPr="006076BD">
        <w:t>only</w:t>
      </w:r>
      <w:r w:rsidR="00C64050">
        <w:t xml:space="preserve"> </w:t>
      </w:r>
      <w:r w:rsidR="00465BBA" w:rsidRPr="006076BD">
        <w:t>applies</w:t>
      </w:r>
      <w:r w:rsidR="00C64050">
        <w:t xml:space="preserve"> </w:t>
      </w:r>
      <w:r w:rsidR="00465BBA" w:rsidRPr="006076BD">
        <w:t>to</w:t>
      </w:r>
      <w:r w:rsidR="00C64050">
        <w:t xml:space="preserve"> </w:t>
      </w:r>
      <w:r w:rsidR="00465BBA" w:rsidRPr="006076BD">
        <w:t>property</w:t>
      </w:r>
      <w:r w:rsidR="00C64050">
        <w:t xml:space="preserve"> </w:t>
      </w:r>
      <w:r w:rsidR="00465BBA" w:rsidRPr="006076BD">
        <w:t>the</w:t>
      </w:r>
      <w:r w:rsidR="00C64050">
        <w:t xml:space="preserve"> </w:t>
      </w:r>
      <w:r w:rsidR="00465BBA" w:rsidRPr="006076BD">
        <w:t>inclusion</w:t>
      </w:r>
      <w:r w:rsidR="00C64050">
        <w:t xml:space="preserve"> </w:t>
      </w:r>
      <w:r w:rsidR="00465BBA" w:rsidRPr="006076BD">
        <w:t>of</w:t>
      </w:r>
      <w:r w:rsidR="00C64050">
        <w:t xml:space="preserve"> </w:t>
      </w:r>
      <w:r w:rsidR="00465BBA" w:rsidRPr="006076BD">
        <w:t>which</w:t>
      </w:r>
      <w:r w:rsidR="00C64050">
        <w:t xml:space="preserve"> </w:t>
      </w:r>
      <w:r w:rsidR="00465BBA" w:rsidRPr="006076BD">
        <w:t>in</w:t>
      </w:r>
      <w:r w:rsidR="00C64050">
        <w:t xml:space="preserve"> </w:t>
      </w:r>
      <w:r w:rsidR="00465BBA" w:rsidRPr="006076BD">
        <w:t>the</w:t>
      </w:r>
      <w:r w:rsidR="00C64050">
        <w:t xml:space="preserve"> </w:t>
      </w:r>
      <w:r w:rsidR="00465BBA" w:rsidRPr="006076BD">
        <w:t>decedent's</w:t>
      </w:r>
      <w:r w:rsidR="00C64050">
        <w:t xml:space="preserve"> </w:t>
      </w:r>
      <w:r w:rsidR="00465BBA" w:rsidRPr="006076BD">
        <w:t>gross</w:t>
      </w:r>
      <w:r w:rsidR="00C64050">
        <w:t xml:space="preserve"> </w:t>
      </w:r>
      <w:r w:rsidR="00465BBA" w:rsidRPr="006076BD">
        <w:t>estate</w:t>
      </w:r>
      <w:r w:rsidR="00C64050">
        <w:t xml:space="preserve"> </w:t>
      </w:r>
      <w:r w:rsidR="00465BBA" w:rsidRPr="006076BD">
        <w:t>increased</w:t>
      </w:r>
      <w:r w:rsidR="00C64050">
        <w:t xml:space="preserve"> </w:t>
      </w:r>
      <w:r w:rsidR="00465BBA" w:rsidRPr="006076BD">
        <w:t>the</w:t>
      </w:r>
      <w:r w:rsidR="00C64050">
        <w:t xml:space="preserve"> </w:t>
      </w:r>
      <w:r w:rsidR="00465BBA" w:rsidRPr="006076BD">
        <w:t>estate's</w:t>
      </w:r>
      <w:r w:rsidR="00C64050">
        <w:t xml:space="preserve"> </w:t>
      </w:r>
      <w:r w:rsidR="00465BBA" w:rsidRPr="006076BD">
        <w:t>liability</w:t>
      </w:r>
      <w:r w:rsidR="00C64050">
        <w:t xml:space="preserve"> </w:t>
      </w:r>
      <w:r w:rsidR="00465BBA" w:rsidRPr="006076BD">
        <w:t>for</w:t>
      </w:r>
      <w:r w:rsidR="00C64050">
        <w:t xml:space="preserve"> </w:t>
      </w:r>
      <w:r w:rsidR="00465BBA" w:rsidRPr="006076BD">
        <w:t>the</w:t>
      </w:r>
      <w:r w:rsidR="00C64050">
        <w:t xml:space="preserve"> </w:t>
      </w:r>
      <w:r w:rsidR="00465BBA" w:rsidRPr="006076BD">
        <w:t>Federal</w:t>
      </w:r>
      <w:r w:rsidR="00C64050">
        <w:t xml:space="preserve"> </w:t>
      </w:r>
      <w:r w:rsidR="00465BBA" w:rsidRPr="006076BD">
        <w:t>estate</w:t>
      </w:r>
      <w:r w:rsidR="00C64050">
        <w:t xml:space="preserve"> </w:t>
      </w:r>
      <w:r w:rsidR="00465BBA" w:rsidRPr="006076BD">
        <w:t>tax</w:t>
      </w:r>
      <w:r w:rsidR="00C64050">
        <w:t xml:space="preserve"> </w:t>
      </w:r>
      <w:r w:rsidR="00465BBA" w:rsidRPr="006076BD">
        <w:t>(reduced</w:t>
      </w:r>
      <w:r w:rsidR="00C64050">
        <w:t xml:space="preserve"> </w:t>
      </w:r>
      <w:r w:rsidR="00465BBA" w:rsidRPr="006076BD">
        <w:t>by</w:t>
      </w:r>
      <w:r w:rsidR="00C64050">
        <w:t xml:space="preserve"> </w:t>
      </w:r>
      <w:r w:rsidR="00465BBA" w:rsidRPr="006076BD">
        <w:t>credits</w:t>
      </w:r>
      <w:r w:rsidR="00C64050">
        <w:t xml:space="preserve"> </w:t>
      </w:r>
      <w:r w:rsidR="00465BBA" w:rsidRPr="006076BD">
        <w:t>allowable</w:t>
      </w:r>
      <w:r w:rsidR="00C64050">
        <w:t xml:space="preserve"> </w:t>
      </w:r>
      <w:r w:rsidR="00465BBA" w:rsidRPr="006076BD">
        <w:t>against</w:t>
      </w:r>
      <w:r w:rsidR="00C64050">
        <w:t xml:space="preserve"> </w:t>
      </w:r>
      <w:r w:rsidR="00465BBA" w:rsidRPr="006076BD">
        <w:t>the</w:t>
      </w:r>
      <w:r w:rsidR="00C64050">
        <w:t xml:space="preserve"> </w:t>
      </w:r>
      <w:r w:rsidR="00465BBA" w:rsidRPr="006076BD">
        <w:t>tax).</w:t>
      </w:r>
    </w:p>
    <w:p w:rsidR="00465BBA" w:rsidRPr="006076BD" w:rsidRDefault="00EA23AC" w:rsidP="006076BD">
      <w:pPr>
        <w:pStyle w:val="QS10"/>
      </w:pPr>
      <w:hyperlink r:id="rId68" w:anchor="co_pp_f8fc0000f70d0" w:history="1">
        <w:r w:rsidR="00465BBA" w:rsidRPr="006076BD">
          <w:t>Section</w:t>
        </w:r>
        <w:r w:rsidR="00C64050">
          <w:t xml:space="preserve"> </w:t>
        </w:r>
        <w:r w:rsidR="00465BBA" w:rsidRPr="006076BD">
          <w:t>1014(f)(3)</w:t>
        </w:r>
      </w:hyperlink>
      <w:r w:rsidR="00C64050">
        <w:t xml:space="preserve"> </w:t>
      </w:r>
      <w:r w:rsidR="00465BBA" w:rsidRPr="006076BD">
        <w:t>provides</w:t>
      </w:r>
      <w:r w:rsidR="00C64050">
        <w:t xml:space="preserve"> </w:t>
      </w:r>
      <w:r w:rsidR="00465BBA" w:rsidRPr="006076BD">
        <w:t>that,</w:t>
      </w:r>
      <w:r w:rsidR="00C64050">
        <w:t xml:space="preserve"> </w:t>
      </w:r>
      <w:r w:rsidR="00465BBA" w:rsidRPr="006076BD">
        <w:t>for</w:t>
      </w:r>
      <w:r w:rsidR="00C64050">
        <w:t xml:space="preserve"> </w:t>
      </w:r>
      <w:r w:rsidR="00465BBA" w:rsidRPr="006076BD">
        <w:t>purposes</w:t>
      </w:r>
      <w:r w:rsidR="00C64050">
        <w:t xml:space="preserve"> </w:t>
      </w:r>
      <w:r w:rsidR="00465BBA" w:rsidRPr="006076BD">
        <w:t>of</w:t>
      </w:r>
      <w:r w:rsidR="00C64050">
        <w:t xml:space="preserve"> </w:t>
      </w:r>
      <w:hyperlink r:id="rId69" w:anchor="co_pp_9daf00009de57" w:history="1">
        <w:r w:rsidR="00465BBA" w:rsidRPr="006076BD">
          <w:t>section</w:t>
        </w:r>
        <w:r w:rsidR="00C64050">
          <w:t xml:space="preserve"> </w:t>
        </w:r>
        <w:r w:rsidR="00465BBA" w:rsidRPr="006076BD">
          <w:t>1014(f)(1)</w:t>
        </w:r>
      </w:hyperlink>
      <w:r w:rsidR="00465BBA" w:rsidRPr="006076BD">
        <w:t>,</w:t>
      </w:r>
      <w:r w:rsidR="00C64050">
        <w:t xml:space="preserve"> </w:t>
      </w:r>
      <w:r w:rsidR="00465BBA" w:rsidRPr="006076BD">
        <w:t>the</w:t>
      </w:r>
      <w:r w:rsidR="00C64050">
        <w:t xml:space="preserve"> </w:t>
      </w:r>
      <w:r w:rsidR="00465BBA" w:rsidRPr="006076BD">
        <w:t>basis</w:t>
      </w:r>
      <w:r w:rsidR="00C64050">
        <w:t xml:space="preserve"> </w:t>
      </w:r>
      <w:r w:rsidR="00465BBA" w:rsidRPr="006076BD">
        <w:t>of</w:t>
      </w:r>
      <w:r w:rsidR="00C64050">
        <w:t xml:space="preserve"> </w:t>
      </w:r>
      <w:r w:rsidR="00465BBA" w:rsidRPr="006076BD">
        <w:t>property</w:t>
      </w:r>
      <w:r w:rsidR="00C64050">
        <w:t xml:space="preserve"> </w:t>
      </w:r>
      <w:r w:rsidR="00465BBA" w:rsidRPr="006076BD">
        <w:t>has</w:t>
      </w:r>
      <w:r w:rsidR="00C64050">
        <w:t xml:space="preserve"> </w:t>
      </w:r>
      <w:r w:rsidR="00465BBA" w:rsidRPr="006076BD">
        <w:t>been</w:t>
      </w:r>
      <w:r w:rsidR="00C64050">
        <w:t xml:space="preserve"> </w:t>
      </w:r>
      <w:r w:rsidR="00465BBA" w:rsidRPr="006076BD">
        <w:t>determined</w:t>
      </w:r>
      <w:r w:rsidR="00C64050">
        <w:t xml:space="preserve"> </w:t>
      </w:r>
      <w:r w:rsidR="00465BBA" w:rsidRPr="006076BD">
        <w:t>for</w:t>
      </w:r>
      <w:r w:rsidR="00C64050">
        <w:t xml:space="preserve"> </w:t>
      </w:r>
      <w:r w:rsidR="00465BBA" w:rsidRPr="006076BD">
        <w:t>Federal</w:t>
      </w:r>
      <w:r w:rsidR="00C64050">
        <w:t xml:space="preserve"> </w:t>
      </w:r>
      <w:r w:rsidR="00465BBA" w:rsidRPr="006076BD">
        <w:t>estate</w:t>
      </w:r>
      <w:r w:rsidR="00C64050">
        <w:t xml:space="preserve"> </w:t>
      </w:r>
      <w:r w:rsidR="00465BBA" w:rsidRPr="006076BD">
        <w:t>tax</w:t>
      </w:r>
      <w:r w:rsidR="00C64050">
        <w:t xml:space="preserve"> </w:t>
      </w:r>
      <w:r w:rsidR="00465BBA" w:rsidRPr="006076BD">
        <w:t>purposes</w:t>
      </w:r>
      <w:r w:rsidR="00C64050">
        <w:t xml:space="preserve"> </w:t>
      </w:r>
      <w:r w:rsidR="00465BBA" w:rsidRPr="006076BD">
        <w:t>if</w:t>
      </w:r>
      <w:r w:rsidR="00C64050">
        <w:t xml:space="preserve"> </w:t>
      </w:r>
      <w:r w:rsidR="00465BBA" w:rsidRPr="006076BD">
        <w:t>(A)</w:t>
      </w:r>
      <w:r w:rsidR="00C64050">
        <w:t xml:space="preserve"> </w:t>
      </w:r>
      <w:r w:rsidR="00465BBA" w:rsidRPr="006076BD">
        <w:t>the</w:t>
      </w:r>
      <w:r w:rsidR="00C64050">
        <w:t xml:space="preserve"> </w:t>
      </w:r>
      <w:r w:rsidR="00465BBA" w:rsidRPr="006076BD">
        <w:t>value</w:t>
      </w:r>
      <w:r w:rsidR="00C64050">
        <w:t xml:space="preserve"> </w:t>
      </w:r>
      <w:r w:rsidR="00465BBA" w:rsidRPr="006076BD">
        <w:t>of</w:t>
      </w:r>
      <w:r w:rsidR="00C64050">
        <w:t xml:space="preserve"> </w:t>
      </w:r>
      <w:r w:rsidR="00465BBA" w:rsidRPr="006076BD">
        <w:t>the</w:t>
      </w:r>
      <w:r w:rsidR="00C64050">
        <w:t xml:space="preserve"> </w:t>
      </w:r>
      <w:r w:rsidR="00465BBA" w:rsidRPr="006076BD">
        <w:t>property</w:t>
      </w:r>
      <w:r w:rsidR="00C64050">
        <w:t xml:space="preserve"> </w:t>
      </w:r>
      <w:r w:rsidR="00465BBA" w:rsidRPr="006076BD">
        <w:t>is</w:t>
      </w:r>
      <w:r w:rsidR="00C64050">
        <w:t xml:space="preserve"> </w:t>
      </w:r>
      <w:r w:rsidR="00465BBA" w:rsidRPr="006076BD">
        <w:t>shown</w:t>
      </w:r>
      <w:r w:rsidR="00C64050">
        <w:t xml:space="preserve"> </w:t>
      </w:r>
      <w:r w:rsidR="00465BBA" w:rsidRPr="006076BD">
        <w:t>on</w:t>
      </w:r>
      <w:r w:rsidR="00C64050">
        <w:t xml:space="preserve"> </w:t>
      </w:r>
      <w:r w:rsidR="00465BBA" w:rsidRPr="006076BD">
        <w:t>a</w:t>
      </w:r>
      <w:r w:rsidR="00C64050">
        <w:t xml:space="preserve"> </w:t>
      </w:r>
      <w:r w:rsidR="00465BBA" w:rsidRPr="006076BD">
        <w:t>return</w:t>
      </w:r>
      <w:r w:rsidR="00C64050">
        <w:t xml:space="preserve"> </w:t>
      </w:r>
      <w:r w:rsidR="00465BBA" w:rsidRPr="006076BD">
        <w:t>under</w:t>
      </w:r>
      <w:r w:rsidR="00C64050">
        <w:t xml:space="preserve"> </w:t>
      </w:r>
      <w:r w:rsidR="00465BBA" w:rsidRPr="006076BD">
        <w:t>section</w:t>
      </w:r>
      <w:r w:rsidR="00C64050">
        <w:t xml:space="preserve"> </w:t>
      </w:r>
      <w:r w:rsidR="00465BBA" w:rsidRPr="006076BD">
        <w:t>6018</w:t>
      </w:r>
      <w:r w:rsidR="00C64050">
        <w:t xml:space="preserve"> </w:t>
      </w:r>
      <w:r w:rsidR="00465BBA" w:rsidRPr="006076BD">
        <w:t>and</w:t>
      </w:r>
      <w:r w:rsidR="00C64050">
        <w:t xml:space="preserve"> </w:t>
      </w:r>
      <w:r w:rsidR="00465BBA" w:rsidRPr="006076BD">
        <w:t>that</w:t>
      </w:r>
      <w:r w:rsidR="00C64050">
        <w:t xml:space="preserve"> </w:t>
      </w:r>
      <w:r w:rsidR="00465BBA" w:rsidRPr="006076BD">
        <w:t>value</w:t>
      </w:r>
      <w:r w:rsidR="00C64050">
        <w:t xml:space="preserve"> </w:t>
      </w:r>
      <w:r w:rsidR="00465BBA" w:rsidRPr="006076BD">
        <w:t>is</w:t>
      </w:r>
      <w:r w:rsidR="00C64050">
        <w:t xml:space="preserve"> </w:t>
      </w:r>
      <w:r w:rsidR="00465BBA" w:rsidRPr="006076BD">
        <w:t>not</w:t>
      </w:r>
      <w:r w:rsidR="00C64050">
        <w:t xml:space="preserve"> </w:t>
      </w:r>
      <w:r w:rsidR="00465BBA" w:rsidRPr="006076BD">
        <w:t>contested</w:t>
      </w:r>
      <w:r w:rsidR="00C64050">
        <w:t xml:space="preserve"> </w:t>
      </w:r>
      <w:r w:rsidR="00465BBA" w:rsidRPr="006076BD">
        <w:t>by</w:t>
      </w:r>
      <w:r w:rsidR="00C64050">
        <w:t xml:space="preserve"> </w:t>
      </w:r>
      <w:r w:rsidR="00465BBA" w:rsidRPr="006076BD">
        <w:t>the</w:t>
      </w:r>
      <w:r w:rsidR="00C64050">
        <w:t xml:space="preserve"> </w:t>
      </w:r>
      <w:r w:rsidR="00465BBA" w:rsidRPr="006076BD">
        <w:t>Secretary</w:t>
      </w:r>
      <w:r w:rsidR="00C64050">
        <w:t xml:space="preserve"> </w:t>
      </w:r>
      <w:r w:rsidR="00465BBA" w:rsidRPr="006076BD">
        <w:t>before</w:t>
      </w:r>
      <w:r w:rsidR="00C64050">
        <w:t xml:space="preserve"> </w:t>
      </w:r>
      <w:r w:rsidR="00465BBA" w:rsidRPr="006076BD">
        <w:t>the</w:t>
      </w:r>
      <w:r w:rsidR="00C64050">
        <w:t xml:space="preserve"> </w:t>
      </w:r>
      <w:r w:rsidR="00465BBA" w:rsidRPr="006076BD">
        <w:t>expiration</w:t>
      </w:r>
      <w:r w:rsidR="00C64050">
        <w:t xml:space="preserve"> </w:t>
      </w:r>
      <w:r w:rsidR="00465BBA" w:rsidRPr="006076BD">
        <w:t>of</w:t>
      </w:r>
      <w:r w:rsidR="00C64050">
        <w:t xml:space="preserve"> </w:t>
      </w:r>
      <w:r w:rsidR="00465BBA" w:rsidRPr="006076BD">
        <w:t>the</w:t>
      </w:r>
      <w:r w:rsidR="00C64050">
        <w:t xml:space="preserve"> </w:t>
      </w:r>
      <w:r w:rsidR="00465BBA" w:rsidRPr="006076BD">
        <w:t>time</w:t>
      </w:r>
      <w:r w:rsidR="00C64050">
        <w:t xml:space="preserve"> </w:t>
      </w:r>
      <w:r w:rsidR="00465BBA" w:rsidRPr="006076BD">
        <w:t>for</w:t>
      </w:r>
      <w:r w:rsidR="00C64050">
        <w:t xml:space="preserve"> </w:t>
      </w:r>
      <w:r w:rsidR="00465BBA" w:rsidRPr="006076BD">
        <w:t>assessing</w:t>
      </w:r>
      <w:r w:rsidR="00C64050">
        <w:t xml:space="preserve"> </w:t>
      </w:r>
      <w:r w:rsidR="00465BBA" w:rsidRPr="006076BD">
        <w:t>the</w:t>
      </w:r>
      <w:r w:rsidR="00C64050">
        <w:t xml:space="preserve"> </w:t>
      </w:r>
      <w:r w:rsidR="00465BBA" w:rsidRPr="006076BD">
        <w:t>estate</w:t>
      </w:r>
      <w:r w:rsidR="00C64050">
        <w:t xml:space="preserve"> </w:t>
      </w:r>
      <w:r w:rsidR="00465BBA" w:rsidRPr="006076BD">
        <w:t>tax;</w:t>
      </w:r>
      <w:r w:rsidR="00C64050">
        <w:t xml:space="preserve"> </w:t>
      </w:r>
      <w:r w:rsidR="00465BBA" w:rsidRPr="006076BD">
        <w:t>(B)</w:t>
      </w:r>
      <w:r w:rsidR="00C64050">
        <w:t xml:space="preserve"> </w:t>
      </w:r>
      <w:r w:rsidR="00465BBA" w:rsidRPr="006076BD">
        <w:t>in</w:t>
      </w:r>
      <w:r w:rsidR="00C64050">
        <w:t xml:space="preserve"> </w:t>
      </w:r>
      <w:r w:rsidR="00465BBA" w:rsidRPr="006076BD">
        <w:t>a</w:t>
      </w:r>
      <w:r w:rsidR="00C64050">
        <w:t xml:space="preserve"> </w:t>
      </w:r>
      <w:r w:rsidR="00465BBA" w:rsidRPr="006076BD">
        <w:t>case</w:t>
      </w:r>
      <w:r w:rsidR="00C64050">
        <w:t xml:space="preserve"> </w:t>
      </w:r>
      <w:r w:rsidR="00465BBA" w:rsidRPr="006076BD">
        <w:t>not</w:t>
      </w:r>
      <w:r w:rsidR="00C64050">
        <w:t xml:space="preserve"> </w:t>
      </w:r>
      <w:r w:rsidR="00465BBA" w:rsidRPr="006076BD">
        <w:t>described</w:t>
      </w:r>
      <w:r w:rsidR="00C64050">
        <w:t xml:space="preserve"> </w:t>
      </w:r>
      <w:r w:rsidR="00465BBA" w:rsidRPr="006076BD">
        <w:t>in</w:t>
      </w:r>
      <w:r w:rsidR="00C64050">
        <w:t xml:space="preserve"> </w:t>
      </w:r>
      <w:r w:rsidR="00465BBA" w:rsidRPr="006076BD">
        <w:t>(A),</w:t>
      </w:r>
      <w:r w:rsidR="00C64050">
        <w:t xml:space="preserve"> </w:t>
      </w:r>
      <w:r w:rsidR="00465BBA" w:rsidRPr="006076BD">
        <w:t>the</w:t>
      </w:r>
      <w:r w:rsidR="00C64050">
        <w:t xml:space="preserve"> </w:t>
      </w:r>
      <w:r w:rsidR="00465BBA" w:rsidRPr="006076BD">
        <w:t>value</w:t>
      </w:r>
      <w:r w:rsidR="00C64050">
        <w:t xml:space="preserve"> </w:t>
      </w:r>
      <w:r w:rsidR="00465BBA" w:rsidRPr="006076BD">
        <w:t>is</w:t>
      </w:r>
      <w:r w:rsidR="00C64050">
        <w:t xml:space="preserve"> </w:t>
      </w:r>
      <w:r w:rsidR="00465BBA" w:rsidRPr="006076BD">
        <w:t>specified</w:t>
      </w:r>
      <w:r w:rsidR="00C64050">
        <w:t xml:space="preserve"> </w:t>
      </w:r>
      <w:r w:rsidR="00465BBA" w:rsidRPr="006076BD">
        <w:t>by</w:t>
      </w:r>
      <w:r w:rsidR="00C64050">
        <w:t xml:space="preserve"> </w:t>
      </w:r>
      <w:r w:rsidR="00465BBA" w:rsidRPr="006076BD">
        <w:t>the</w:t>
      </w:r>
      <w:r w:rsidR="00C64050">
        <w:t xml:space="preserve"> </w:t>
      </w:r>
      <w:r w:rsidR="00465BBA" w:rsidRPr="006076BD">
        <w:t>Secretary</w:t>
      </w:r>
      <w:r w:rsidR="00C64050">
        <w:t xml:space="preserve"> </w:t>
      </w:r>
      <w:r w:rsidR="00465BBA" w:rsidRPr="006076BD">
        <w:t>and</w:t>
      </w:r>
      <w:r w:rsidR="00C64050">
        <w:t xml:space="preserve"> </w:t>
      </w:r>
      <w:r w:rsidR="00465BBA" w:rsidRPr="006076BD">
        <w:t>that</w:t>
      </w:r>
      <w:r w:rsidR="00C64050">
        <w:t xml:space="preserve"> </w:t>
      </w:r>
      <w:r w:rsidR="00465BBA" w:rsidRPr="006076BD">
        <w:t>value</w:t>
      </w:r>
      <w:r w:rsidR="00C64050">
        <w:t xml:space="preserve"> </w:t>
      </w:r>
      <w:r w:rsidR="00465BBA" w:rsidRPr="006076BD">
        <w:t>is</w:t>
      </w:r>
      <w:r w:rsidR="00C64050">
        <w:t xml:space="preserve"> </w:t>
      </w:r>
      <w:r w:rsidR="00465BBA" w:rsidRPr="006076BD">
        <w:t>not</w:t>
      </w:r>
      <w:r w:rsidR="00C64050">
        <w:t xml:space="preserve"> </w:t>
      </w:r>
      <w:r w:rsidR="00465BBA" w:rsidRPr="006076BD">
        <w:t>timely</w:t>
      </w:r>
      <w:r w:rsidR="00C64050">
        <w:t xml:space="preserve"> </w:t>
      </w:r>
      <w:r w:rsidR="00465BBA" w:rsidRPr="006076BD">
        <w:t>contested</w:t>
      </w:r>
      <w:r w:rsidR="00C64050">
        <w:t xml:space="preserve"> </w:t>
      </w:r>
      <w:r w:rsidR="00465BBA" w:rsidRPr="006076BD">
        <w:t>by</w:t>
      </w:r>
      <w:r w:rsidR="00C64050">
        <w:t xml:space="preserve"> </w:t>
      </w:r>
      <w:r w:rsidR="00465BBA" w:rsidRPr="006076BD">
        <w:t>the</w:t>
      </w:r>
      <w:r w:rsidR="00C64050">
        <w:t xml:space="preserve"> </w:t>
      </w:r>
      <w:r w:rsidR="00465BBA" w:rsidRPr="006076BD">
        <w:t>executor</w:t>
      </w:r>
      <w:r w:rsidR="00C64050">
        <w:t xml:space="preserve"> </w:t>
      </w:r>
      <w:r w:rsidR="00465BBA" w:rsidRPr="006076BD">
        <w:t>of</w:t>
      </w:r>
      <w:r w:rsidR="00C64050">
        <w:t xml:space="preserve"> </w:t>
      </w:r>
      <w:r w:rsidR="00465BBA" w:rsidRPr="006076BD">
        <w:t>the</w:t>
      </w:r>
      <w:r w:rsidR="00C64050">
        <w:t xml:space="preserve"> </w:t>
      </w:r>
      <w:r w:rsidR="00465BBA" w:rsidRPr="006076BD">
        <w:t>estate;</w:t>
      </w:r>
      <w:r w:rsidR="00C64050">
        <w:t xml:space="preserve"> </w:t>
      </w:r>
      <w:r w:rsidR="00465BBA" w:rsidRPr="006076BD">
        <w:t>or</w:t>
      </w:r>
      <w:r w:rsidR="00C64050">
        <w:t xml:space="preserve"> </w:t>
      </w:r>
      <w:r w:rsidR="00465BBA" w:rsidRPr="006076BD">
        <w:t>(C)</w:t>
      </w:r>
      <w:r w:rsidR="00C64050">
        <w:t xml:space="preserve"> </w:t>
      </w:r>
      <w:r w:rsidR="00465BBA" w:rsidRPr="006076BD">
        <w:t>the</w:t>
      </w:r>
      <w:r w:rsidR="00C64050">
        <w:t xml:space="preserve"> </w:t>
      </w:r>
      <w:r w:rsidR="00465BBA" w:rsidRPr="006076BD">
        <w:t>value</w:t>
      </w:r>
      <w:r w:rsidR="00C64050">
        <w:t xml:space="preserve"> </w:t>
      </w:r>
      <w:r w:rsidR="00465BBA" w:rsidRPr="006076BD">
        <w:t>is</w:t>
      </w:r>
      <w:r w:rsidR="00C64050">
        <w:t xml:space="preserve"> </w:t>
      </w:r>
      <w:r w:rsidR="00465BBA" w:rsidRPr="006076BD">
        <w:t>determined</w:t>
      </w:r>
      <w:r w:rsidR="00C64050">
        <w:t xml:space="preserve"> </w:t>
      </w:r>
      <w:r w:rsidR="00465BBA" w:rsidRPr="006076BD">
        <w:t>by</w:t>
      </w:r>
      <w:r w:rsidR="00C64050">
        <w:t xml:space="preserve"> </w:t>
      </w:r>
      <w:r w:rsidR="00465BBA" w:rsidRPr="006076BD">
        <w:t>a</w:t>
      </w:r>
      <w:r w:rsidR="00C64050">
        <w:t xml:space="preserve"> </w:t>
      </w:r>
      <w:r w:rsidR="00465BBA" w:rsidRPr="006076BD">
        <w:t>court</w:t>
      </w:r>
      <w:r w:rsidR="00C64050">
        <w:t xml:space="preserve"> </w:t>
      </w:r>
      <w:r w:rsidR="00465BBA" w:rsidRPr="006076BD">
        <w:t>or</w:t>
      </w:r>
      <w:r w:rsidR="00C64050">
        <w:t xml:space="preserve"> </w:t>
      </w:r>
      <w:r w:rsidR="00465BBA" w:rsidRPr="006076BD">
        <w:t>pursuant</w:t>
      </w:r>
      <w:r w:rsidR="00C64050">
        <w:t xml:space="preserve"> </w:t>
      </w:r>
      <w:r w:rsidR="00465BBA" w:rsidRPr="006076BD">
        <w:t>to</w:t>
      </w:r>
      <w:r w:rsidR="00C64050">
        <w:t xml:space="preserve"> </w:t>
      </w:r>
      <w:r w:rsidR="00465BBA" w:rsidRPr="006076BD">
        <w:t>a</w:t>
      </w:r>
      <w:r w:rsidR="00C64050">
        <w:t xml:space="preserve"> </w:t>
      </w:r>
      <w:r w:rsidR="00465BBA" w:rsidRPr="006076BD">
        <w:t>settlement</w:t>
      </w:r>
      <w:r w:rsidR="00C64050">
        <w:t xml:space="preserve"> </w:t>
      </w:r>
      <w:r w:rsidR="00465BBA" w:rsidRPr="006076BD">
        <w:t>agreement</w:t>
      </w:r>
      <w:r w:rsidR="00C64050">
        <w:t xml:space="preserve"> </w:t>
      </w:r>
      <w:r w:rsidR="00465BBA" w:rsidRPr="006076BD">
        <w:t>with</w:t>
      </w:r>
      <w:r w:rsidR="00C64050">
        <w:t xml:space="preserve"> </w:t>
      </w:r>
      <w:r w:rsidR="00465BBA" w:rsidRPr="006076BD">
        <w:t>the</w:t>
      </w:r>
      <w:r w:rsidR="00C64050">
        <w:t xml:space="preserve"> </w:t>
      </w:r>
      <w:r w:rsidR="00465BBA" w:rsidRPr="006076BD">
        <w:t>Secretary.</w:t>
      </w:r>
    </w:p>
    <w:p w:rsidR="00801686" w:rsidRDefault="00801686" w:rsidP="00801686">
      <w:pPr>
        <w:pStyle w:val="Body15"/>
      </w:pPr>
      <w:r>
        <w:t>With</w:t>
      </w:r>
      <w:r w:rsidR="00C64050">
        <w:t xml:space="preserve"> </w:t>
      </w:r>
      <w:r>
        <w:t>r</w:t>
      </w:r>
      <w:r w:rsidR="00E93476">
        <w:t>espect</w:t>
      </w:r>
      <w:r w:rsidR="00C64050">
        <w:t xml:space="preserve"> </w:t>
      </w:r>
      <w:r w:rsidR="00E93476">
        <w:t>to</w:t>
      </w:r>
      <w:r w:rsidR="00C64050">
        <w:t xml:space="preserve"> </w:t>
      </w:r>
      <w:r w:rsidR="00E93476">
        <w:t>§</w:t>
      </w:r>
      <w:r w:rsidR="00C64050">
        <w:t xml:space="preserve"> </w:t>
      </w:r>
      <w:r w:rsidR="00E93476">
        <w:t>1014(f)(2),</w:t>
      </w:r>
      <w:r w:rsidR="00C64050">
        <w:t xml:space="preserve"> </w:t>
      </w:r>
      <w:r w:rsidR="00E93476">
        <w:t>and</w:t>
      </w:r>
      <w:r w:rsidR="00C64050">
        <w:t xml:space="preserve"> </w:t>
      </w:r>
      <w:r w:rsidRPr="00546012">
        <w:rPr>
          <w:u w:val="single"/>
        </w:rPr>
        <w:t>property</w:t>
      </w:r>
      <w:r w:rsidR="00C64050">
        <w:rPr>
          <w:u w:val="single"/>
        </w:rPr>
        <w:t xml:space="preserve"> </w:t>
      </w:r>
      <w:r w:rsidR="00E93476">
        <w:rPr>
          <w:u w:val="single"/>
        </w:rPr>
        <w:t>that</w:t>
      </w:r>
      <w:r w:rsidR="00C64050">
        <w:rPr>
          <w:u w:val="single"/>
        </w:rPr>
        <w:t xml:space="preserve"> </w:t>
      </w:r>
      <w:r w:rsidR="00E93476">
        <w:rPr>
          <w:u w:val="single"/>
        </w:rPr>
        <w:t>is</w:t>
      </w:r>
      <w:r w:rsidR="00C64050">
        <w:rPr>
          <w:u w:val="single"/>
        </w:rPr>
        <w:t xml:space="preserve"> </w:t>
      </w:r>
      <w:r w:rsidR="00E93476">
        <w:rPr>
          <w:u w:val="single"/>
        </w:rPr>
        <w:t>both</w:t>
      </w:r>
      <w:r w:rsidR="00C64050">
        <w:rPr>
          <w:u w:val="single"/>
        </w:rPr>
        <w:t xml:space="preserve"> </w:t>
      </w:r>
      <w:r w:rsidRPr="00546012">
        <w:rPr>
          <w:u w:val="single"/>
        </w:rPr>
        <w:t>subject</w:t>
      </w:r>
      <w:r w:rsidR="00C64050">
        <w:rPr>
          <w:u w:val="single"/>
        </w:rPr>
        <w:t xml:space="preserve"> </w:t>
      </w:r>
      <w:r w:rsidRPr="00546012">
        <w:rPr>
          <w:u w:val="single"/>
        </w:rPr>
        <w:t>to</w:t>
      </w:r>
      <w:r w:rsidR="00C64050">
        <w:rPr>
          <w:u w:val="single"/>
        </w:rPr>
        <w:t xml:space="preserve"> </w:t>
      </w:r>
      <w:r w:rsidR="00546012" w:rsidRPr="00546012">
        <w:rPr>
          <w:u w:val="single"/>
        </w:rPr>
        <w:t>and</w:t>
      </w:r>
      <w:r w:rsidR="00C64050">
        <w:rPr>
          <w:u w:val="single"/>
        </w:rPr>
        <w:t xml:space="preserve"> </w:t>
      </w:r>
      <w:r w:rsidR="00546012" w:rsidRPr="00546012">
        <w:rPr>
          <w:u w:val="single"/>
        </w:rPr>
        <w:t>excluded</w:t>
      </w:r>
      <w:r w:rsidR="00C64050">
        <w:rPr>
          <w:u w:val="single"/>
        </w:rPr>
        <w:t xml:space="preserve"> </w:t>
      </w:r>
      <w:r w:rsidR="00E93476">
        <w:rPr>
          <w:u w:val="single"/>
        </w:rPr>
        <w:t>from</w:t>
      </w:r>
      <w:r w:rsidR="00C64050">
        <w:rPr>
          <w:u w:val="single"/>
        </w:rPr>
        <w:t xml:space="preserve"> </w:t>
      </w:r>
      <w:r w:rsidR="00E93476">
        <w:rPr>
          <w:u w:val="single"/>
        </w:rPr>
        <w:t>the</w:t>
      </w:r>
      <w:r w:rsidR="00C64050">
        <w:rPr>
          <w:u w:val="single"/>
        </w:rPr>
        <w:t xml:space="preserve"> </w:t>
      </w:r>
      <w:r w:rsidR="00E93476">
        <w:rPr>
          <w:u w:val="single"/>
        </w:rPr>
        <w:t>requirements</w:t>
      </w:r>
      <w:r>
        <w:t>,</w:t>
      </w:r>
      <w:r w:rsidR="00C64050">
        <w:t xml:space="preserve"> </w:t>
      </w:r>
      <w:r>
        <w:t>Prop.</w:t>
      </w:r>
      <w:r w:rsidR="00C64050">
        <w:t xml:space="preserve"> </w:t>
      </w:r>
      <w:r>
        <w:t>Reg.</w:t>
      </w:r>
      <w:r w:rsidR="00C64050">
        <w:t xml:space="preserve"> </w:t>
      </w:r>
      <w:r>
        <w:t>§1.1014-10(b)</w:t>
      </w:r>
      <w:r w:rsidR="00C64050">
        <w:t xml:space="preserve"> </w:t>
      </w:r>
      <w:r>
        <w:t>states:</w:t>
      </w:r>
    </w:p>
    <w:p w:rsidR="005A33D6" w:rsidRPr="005A33D6" w:rsidRDefault="005A33D6" w:rsidP="006076BD">
      <w:pPr>
        <w:pStyle w:val="QS10"/>
      </w:pPr>
      <w:r w:rsidRPr="005A33D6">
        <w:t>(b)</w:t>
      </w:r>
      <w:r w:rsidR="00C64050">
        <w:t xml:space="preserve"> </w:t>
      </w:r>
      <w:r w:rsidRPr="005A33D6">
        <w:t>Property</w:t>
      </w:r>
      <w:r w:rsidR="00C64050">
        <w:t xml:space="preserve"> </w:t>
      </w:r>
      <w:r w:rsidRPr="005A33D6">
        <w:t>subject</w:t>
      </w:r>
      <w:r w:rsidR="00C64050">
        <w:t xml:space="preserve"> </w:t>
      </w:r>
      <w:r w:rsidRPr="005A33D6">
        <w:t>to</w:t>
      </w:r>
      <w:r w:rsidR="00C64050">
        <w:t xml:space="preserve"> </w:t>
      </w:r>
      <w:r w:rsidRPr="005A33D6">
        <w:t>consistency</w:t>
      </w:r>
      <w:r w:rsidR="00C64050">
        <w:t xml:space="preserve"> </w:t>
      </w:r>
      <w:r w:rsidRPr="005A33D6">
        <w:t>requirement—(1)</w:t>
      </w:r>
      <w:r w:rsidR="00C64050">
        <w:t xml:space="preserve"> </w:t>
      </w:r>
      <w:r w:rsidRPr="005A33D6">
        <w:t>In</w:t>
      </w:r>
      <w:r w:rsidR="00C64050">
        <w:t xml:space="preserve"> </w:t>
      </w:r>
      <w:r w:rsidRPr="005A33D6">
        <w:t>general.</w:t>
      </w:r>
      <w:r w:rsidR="00C64050">
        <w:t xml:space="preserve"> </w:t>
      </w:r>
      <w:r w:rsidRPr="005A33D6">
        <w:t>Property</w:t>
      </w:r>
      <w:r w:rsidR="00C64050">
        <w:t xml:space="preserve"> </w:t>
      </w:r>
      <w:r w:rsidRPr="005A33D6">
        <w:t>subject</w:t>
      </w:r>
      <w:r w:rsidR="00C64050">
        <w:t xml:space="preserve"> </w:t>
      </w:r>
      <w:r w:rsidRPr="005A33D6">
        <w:t>to</w:t>
      </w:r>
      <w:r w:rsidR="00C64050">
        <w:t xml:space="preserve"> </w:t>
      </w:r>
      <w:r w:rsidRPr="005A33D6">
        <w:t>the</w:t>
      </w:r>
      <w:r w:rsidR="00C64050">
        <w:t xml:space="preserve"> </w:t>
      </w:r>
      <w:r w:rsidRPr="005A33D6">
        <w:t>consistency</w:t>
      </w:r>
      <w:r w:rsidR="00C64050">
        <w:t xml:space="preserve"> </w:t>
      </w:r>
      <w:r w:rsidRPr="005A33D6">
        <w:t>requirement</w:t>
      </w:r>
      <w:r w:rsidR="00C64050">
        <w:t xml:space="preserve"> </w:t>
      </w:r>
      <w:r w:rsidRPr="005A33D6">
        <w:t>in</w:t>
      </w:r>
      <w:r w:rsidR="00C64050">
        <w:t xml:space="preserve"> </w:t>
      </w:r>
      <w:r w:rsidRPr="005A33D6">
        <w:t>paragraph</w:t>
      </w:r>
      <w:r w:rsidR="00C64050">
        <w:t xml:space="preserve"> </w:t>
      </w:r>
      <w:r w:rsidRPr="005A33D6">
        <w:t>(a)(1)</w:t>
      </w:r>
      <w:r w:rsidR="00C64050">
        <w:t xml:space="preserve"> </w:t>
      </w:r>
      <w:r w:rsidRPr="005A33D6">
        <w:t>of</w:t>
      </w:r>
      <w:r w:rsidR="00C64050">
        <w:t xml:space="preserve"> </w:t>
      </w:r>
      <w:r w:rsidRPr="005A33D6">
        <w:t>this</w:t>
      </w:r>
      <w:r w:rsidR="00C64050">
        <w:t xml:space="preserve"> </w:t>
      </w:r>
      <w:r w:rsidRPr="005A33D6">
        <w:t>section</w:t>
      </w:r>
      <w:r w:rsidR="00C64050">
        <w:t xml:space="preserve"> </w:t>
      </w:r>
      <w:r w:rsidRPr="005A33D6">
        <w:t>is</w:t>
      </w:r>
      <w:r w:rsidR="00C64050">
        <w:t xml:space="preserve"> </w:t>
      </w:r>
      <w:r w:rsidRPr="005A33D6">
        <w:t>any</w:t>
      </w:r>
      <w:r w:rsidR="00C64050">
        <w:t xml:space="preserve"> </w:t>
      </w:r>
      <w:r w:rsidRPr="005A33D6">
        <w:t>property</w:t>
      </w:r>
      <w:r w:rsidR="00C64050">
        <w:t xml:space="preserve"> </w:t>
      </w:r>
      <w:r w:rsidRPr="005A33D6">
        <w:t>that</w:t>
      </w:r>
      <w:r w:rsidR="00C64050">
        <w:t xml:space="preserve"> </w:t>
      </w:r>
      <w:r w:rsidRPr="005A33D6">
        <w:t>is</w:t>
      </w:r>
      <w:r w:rsidR="00C64050">
        <w:t xml:space="preserve"> </w:t>
      </w:r>
      <w:r w:rsidRPr="005A33D6">
        <w:t>includable</w:t>
      </w:r>
      <w:r w:rsidR="00C64050">
        <w:t xml:space="preserve"> </w:t>
      </w:r>
      <w:r w:rsidRPr="005A33D6">
        <w:t>in</w:t>
      </w:r>
      <w:r w:rsidR="00C64050">
        <w:t xml:space="preserve"> </w:t>
      </w:r>
      <w:r w:rsidRPr="005A33D6">
        <w:t>the</w:t>
      </w:r>
      <w:r w:rsidR="00C64050">
        <w:t xml:space="preserve"> </w:t>
      </w:r>
      <w:r w:rsidRPr="005A33D6">
        <w:t>decedent's</w:t>
      </w:r>
      <w:r w:rsidR="00C64050">
        <w:t xml:space="preserve"> </w:t>
      </w:r>
      <w:r w:rsidRPr="005A33D6">
        <w:t>gross</w:t>
      </w:r>
      <w:r w:rsidR="00C64050">
        <w:t xml:space="preserve"> </w:t>
      </w:r>
      <w:r w:rsidRPr="005A33D6">
        <w:t>estate</w:t>
      </w:r>
      <w:r w:rsidR="00C64050">
        <w:t xml:space="preserve"> </w:t>
      </w:r>
      <w:r w:rsidRPr="005A33D6">
        <w:t>under</w:t>
      </w:r>
      <w:r w:rsidR="00C64050">
        <w:t xml:space="preserve"> </w:t>
      </w:r>
      <w:r w:rsidRPr="005A33D6">
        <w:t>section</w:t>
      </w:r>
      <w:r w:rsidR="00C64050">
        <w:t xml:space="preserve"> </w:t>
      </w:r>
      <w:r w:rsidRPr="005A33D6">
        <w:t>2031,</w:t>
      </w:r>
      <w:r w:rsidR="005A0124">
        <w:t xml:space="preserve"> </w:t>
      </w:r>
      <w:r w:rsidRPr="005A33D6">
        <w:t>any</w:t>
      </w:r>
      <w:r w:rsidR="00C64050">
        <w:t xml:space="preserve"> </w:t>
      </w:r>
      <w:r w:rsidRPr="005A33D6">
        <w:t>property</w:t>
      </w:r>
      <w:r w:rsidR="00C64050">
        <w:t xml:space="preserve"> </w:t>
      </w:r>
      <w:r w:rsidRPr="005A33D6">
        <w:t>subject</w:t>
      </w:r>
      <w:r w:rsidR="00C64050">
        <w:t xml:space="preserve"> </w:t>
      </w:r>
      <w:r w:rsidRPr="005A33D6">
        <w:t>to</w:t>
      </w:r>
      <w:r w:rsidR="00C64050">
        <w:t xml:space="preserve"> </w:t>
      </w:r>
      <w:r w:rsidRPr="005A33D6">
        <w:t>tax</w:t>
      </w:r>
      <w:r w:rsidR="00C64050">
        <w:t xml:space="preserve"> </w:t>
      </w:r>
      <w:r w:rsidRPr="005A33D6">
        <w:t>under</w:t>
      </w:r>
      <w:r w:rsidR="00C64050">
        <w:t xml:space="preserve"> </w:t>
      </w:r>
      <w:r w:rsidRPr="005A33D6">
        <w:t>section</w:t>
      </w:r>
      <w:r w:rsidR="00C64050">
        <w:t xml:space="preserve"> </w:t>
      </w:r>
      <w:r w:rsidRPr="005A33D6">
        <w:t>2106,</w:t>
      </w:r>
      <w:r w:rsidR="00C64050">
        <w:t xml:space="preserve"> </w:t>
      </w:r>
      <w:r w:rsidRPr="005A33D6">
        <w:t>and</w:t>
      </w:r>
      <w:r w:rsidR="00C64050">
        <w:t xml:space="preserve"> </w:t>
      </w:r>
      <w:r w:rsidRPr="005A33D6">
        <w:t>any</w:t>
      </w:r>
      <w:r w:rsidR="00C64050">
        <w:t xml:space="preserve"> </w:t>
      </w:r>
      <w:r w:rsidRPr="005A33D6">
        <w:t>other</w:t>
      </w:r>
      <w:r w:rsidR="00C64050">
        <w:t xml:space="preserve"> </w:t>
      </w:r>
      <w:r w:rsidRPr="005A33D6">
        <w:t>property</w:t>
      </w:r>
      <w:r w:rsidR="00C64050">
        <w:t xml:space="preserve"> </w:t>
      </w:r>
      <w:r w:rsidRPr="005A33D6">
        <w:t>the</w:t>
      </w:r>
      <w:r w:rsidR="00C64050">
        <w:t xml:space="preserve"> </w:t>
      </w:r>
      <w:r w:rsidRPr="005A33D6">
        <w:t>basis</w:t>
      </w:r>
      <w:r w:rsidR="00C64050">
        <w:t xml:space="preserve"> </w:t>
      </w:r>
      <w:r w:rsidRPr="005A33D6">
        <w:t>of</w:t>
      </w:r>
      <w:r w:rsidR="00C64050">
        <w:t xml:space="preserve"> </w:t>
      </w:r>
      <w:r w:rsidRPr="005A33D6">
        <w:t>which</w:t>
      </w:r>
      <w:r w:rsidR="00C64050">
        <w:t xml:space="preserve"> </w:t>
      </w:r>
      <w:r w:rsidRPr="005A33D6">
        <w:t>is</w:t>
      </w:r>
      <w:r w:rsidR="00C64050">
        <w:t xml:space="preserve"> </w:t>
      </w:r>
      <w:r w:rsidRPr="005A33D6">
        <w:t>determined</w:t>
      </w:r>
      <w:r w:rsidR="00C64050">
        <w:t xml:space="preserve"> </w:t>
      </w:r>
      <w:r w:rsidRPr="005A33D6">
        <w:t>in</w:t>
      </w:r>
      <w:r w:rsidR="00C64050">
        <w:t xml:space="preserve"> </w:t>
      </w:r>
      <w:r w:rsidRPr="005A33D6">
        <w:t>whole</w:t>
      </w:r>
      <w:r w:rsidR="00C64050">
        <w:t xml:space="preserve"> </w:t>
      </w:r>
      <w:r w:rsidRPr="005A33D6">
        <w:t>or</w:t>
      </w:r>
      <w:r w:rsidR="00C64050">
        <w:t xml:space="preserve"> </w:t>
      </w:r>
      <w:r w:rsidRPr="005A33D6">
        <w:t>in</w:t>
      </w:r>
      <w:r w:rsidR="00C64050">
        <w:t xml:space="preserve"> </w:t>
      </w:r>
      <w:r w:rsidRPr="005A33D6">
        <w:t>part</w:t>
      </w:r>
      <w:r w:rsidR="00C64050">
        <w:t xml:space="preserve"> </w:t>
      </w:r>
      <w:r w:rsidRPr="005A33D6">
        <w:t>by</w:t>
      </w:r>
      <w:r w:rsidR="00C64050">
        <w:t xml:space="preserve"> </w:t>
      </w:r>
      <w:r w:rsidRPr="005A33D6">
        <w:t>reference</w:t>
      </w:r>
      <w:r w:rsidR="00C64050">
        <w:t xml:space="preserve"> </w:t>
      </w:r>
      <w:r w:rsidRPr="005A33D6">
        <w:t>to</w:t>
      </w:r>
      <w:r w:rsidR="00C64050">
        <w:t xml:space="preserve"> </w:t>
      </w:r>
      <w:r w:rsidRPr="005A33D6">
        <w:t>the</w:t>
      </w:r>
      <w:r w:rsidR="00C64050">
        <w:t xml:space="preserve"> </w:t>
      </w:r>
      <w:r w:rsidRPr="005A33D6">
        <w:t>basis</w:t>
      </w:r>
      <w:r w:rsidR="00C64050">
        <w:t xml:space="preserve"> </w:t>
      </w:r>
      <w:r w:rsidRPr="005A33D6">
        <w:t>of</w:t>
      </w:r>
      <w:r w:rsidR="00C64050">
        <w:t xml:space="preserve"> </w:t>
      </w:r>
      <w:r w:rsidRPr="005A33D6">
        <w:t>such</w:t>
      </w:r>
      <w:r w:rsidR="00C64050">
        <w:t xml:space="preserve"> </w:t>
      </w:r>
      <w:r w:rsidRPr="005A33D6">
        <w:t>property</w:t>
      </w:r>
      <w:r w:rsidR="00C64050">
        <w:t xml:space="preserve"> </w:t>
      </w:r>
      <w:r w:rsidRPr="005A33D6">
        <w:t>(for</w:t>
      </w:r>
      <w:r w:rsidR="00C64050">
        <w:t xml:space="preserve"> </w:t>
      </w:r>
      <w:r w:rsidRPr="005A33D6">
        <w:t>example</w:t>
      </w:r>
      <w:r w:rsidR="00C64050">
        <w:t xml:space="preserve"> </w:t>
      </w:r>
      <w:r w:rsidRPr="005A33D6">
        <w:t>as</w:t>
      </w:r>
      <w:r w:rsidR="00C64050">
        <w:t xml:space="preserve"> </w:t>
      </w:r>
      <w:r w:rsidRPr="005A33D6">
        <w:t>the</w:t>
      </w:r>
      <w:r w:rsidR="00C64050">
        <w:t xml:space="preserve"> </w:t>
      </w:r>
      <w:r w:rsidRPr="005A33D6">
        <w:t>result</w:t>
      </w:r>
      <w:r w:rsidR="00C64050">
        <w:t xml:space="preserve"> </w:t>
      </w:r>
      <w:r w:rsidRPr="005A33D6">
        <w:t>of</w:t>
      </w:r>
      <w:r w:rsidR="00C64050">
        <w:t xml:space="preserve"> </w:t>
      </w:r>
      <w:r w:rsidRPr="005A33D6">
        <w:t>a</w:t>
      </w:r>
      <w:r w:rsidR="00C64050">
        <w:t xml:space="preserve"> </w:t>
      </w:r>
      <w:r w:rsidRPr="005A33D6">
        <w:t>like-kind</w:t>
      </w:r>
      <w:r w:rsidR="00C64050">
        <w:t xml:space="preserve"> </w:t>
      </w:r>
      <w:r w:rsidRPr="005A33D6">
        <w:t>exchange</w:t>
      </w:r>
      <w:r w:rsidR="00C64050">
        <w:t xml:space="preserve"> </w:t>
      </w:r>
      <w:r w:rsidRPr="005A33D6">
        <w:t>or</w:t>
      </w:r>
      <w:r w:rsidR="00C64050">
        <w:t xml:space="preserve"> </w:t>
      </w:r>
      <w:r w:rsidRPr="005A33D6">
        <w:t>involuntary</w:t>
      </w:r>
      <w:r w:rsidR="00C64050">
        <w:t xml:space="preserve"> </w:t>
      </w:r>
      <w:r w:rsidRPr="005A33D6">
        <w:t>conversion)</w:t>
      </w:r>
      <w:r w:rsidR="00C64050">
        <w:t xml:space="preserve"> </w:t>
      </w:r>
      <w:r w:rsidRPr="005A33D6">
        <w:t>that</w:t>
      </w:r>
      <w:r w:rsidR="00C64050">
        <w:t xml:space="preserve"> </w:t>
      </w:r>
      <w:r w:rsidRPr="005A33D6">
        <w:t>generates</w:t>
      </w:r>
      <w:r w:rsidR="00C64050">
        <w:t xml:space="preserve"> </w:t>
      </w:r>
      <w:r w:rsidRPr="005A33D6">
        <w:t>a</w:t>
      </w:r>
      <w:r w:rsidR="00C64050">
        <w:t xml:space="preserve"> </w:t>
      </w:r>
      <w:r w:rsidRPr="005A33D6">
        <w:t>tax</w:t>
      </w:r>
      <w:r w:rsidR="00C64050">
        <w:t xml:space="preserve"> </w:t>
      </w:r>
      <w:r w:rsidRPr="005A33D6">
        <w:t>liability</w:t>
      </w:r>
      <w:r w:rsidR="00C64050">
        <w:t xml:space="preserve"> </w:t>
      </w:r>
      <w:r w:rsidRPr="005A33D6">
        <w:t>under</w:t>
      </w:r>
      <w:r w:rsidR="00C64050">
        <w:t xml:space="preserve"> </w:t>
      </w:r>
      <w:r w:rsidRPr="005A33D6">
        <w:t>chapter</w:t>
      </w:r>
      <w:r w:rsidR="00C64050">
        <w:t xml:space="preserve"> </w:t>
      </w:r>
      <w:r w:rsidRPr="005A33D6">
        <w:t>11</w:t>
      </w:r>
      <w:r w:rsidR="00C64050">
        <w:t xml:space="preserve"> </w:t>
      </w:r>
      <w:r w:rsidRPr="005A33D6">
        <w:t>of</w:t>
      </w:r>
      <w:r w:rsidR="00C64050">
        <w:t xml:space="preserve"> </w:t>
      </w:r>
      <w:r w:rsidRPr="005A33D6">
        <w:t>subtitle</w:t>
      </w:r>
      <w:r w:rsidR="00C64050">
        <w:t xml:space="preserve"> </w:t>
      </w:r>
      <w:r w:rsidRPr="005A33D6">
        <w:t>B</w:t>
      </w:r>
      <w:r w:rsidR="00C64050">
        <w:t xml:space="preserve"> </w:t>
      </w:r>
      <w:r w:rsidRPr="005A33D6">
        <w:t>of</w:t>
      </w:r>
      <w:r w:rsidR="00C64050">
        <w:t xml:space="preserve"> </w:t>
      </w:r>
      <w:r w:rsidRPr="005A33D6">
        <w:t>the</w:t>
      </w:r>
      <w:r w:rsidR="00C64050">
        <w:t xml:space="preserve"> </w:t>
      </w:r>
      <w:r w:rsidRPr="005A33D6">
        <w:t>Code</w:t>
      </w:r>
      <w:r w:rsidR="00C64050">
        <w:t xml:space="preserve"> </w:t>
      </w:r>
      <w:r w:rsidRPr="005A33D6">
        <w:t>(chapter</w:t>
      </w:r>
      <w:r w:rsidR="00C64050">
        <w:t xml:space="preserve"> </w:t>
      </w:r>
      <w:r w:rsidRPr="005A33D6">
        <w:t>11)</w:t>
      </w:r>
      <w:r w:rsidR="00C64050">
        <w:t xml:space="preserve"> </w:t>
      </w:r>
      <w:r w:rsidRPr="005A33D6">
        <w:t>on</w:t>
      </w:r>
      <w:r w:rsidR="00C64050">
        <w:t xml:space="preserve"> </w:t>
      </w:r>
      <w:r w:rsidRPr="005A33D6">
        <w:t>the</w:t>
      </w:r>
      <w:r w:rsidR="00C64050">
        <w:t xml:space="preserve"> </w:t>
      </w:r>
      <w:r w:rsidRPr="005A33D6">
        <w:t>decedent's</w:t>
      </w:r>
      <w:r w:rsidR="00C64050">
        <w:t xml:space="preserve"> </w:t>
      </w:r>
      <w:r w:rsidRPr="005A33D6">
        <w:t>estate</w:t>
      </w:r>
      <w:r w:rsidR="00C64050">
        <w:t xml:space="preserve"> </w:t>
      </w:r>
      <w:r w:rsidRPr="005A33D6">
        <w:t>in</w:t>
      </w:r>
      <w:r w:rsidR="00C64050">
        <w:t xml:space="preserve"> </w:t>
      </w:r>
      <w:r w:rsidRPr="005A33D6">
        <w:t>excess</w:t>
      </w:r>
      <w:r w:rsidR="00C64050">
        <w:t xml:space="preserve"> </w:t>
      </w:r>
      <w:r w:rsidRPr="005A33D6">
        <w:t>of</w:t>
      </w:r>
      <w:r w:rsidR="00C64050">
        <w:t xml:space="preserve"> </w:t>
      </w:r>
      <w:r w:rsidRPr="005A33D6">
        <w:t>allowable</w:t>
      </w:r>
      <w:r w:rsidR="00C64050">
        <w:t xml:space="preserve"> </w:t>
      </w:r>
      <w:r w:rsidRPr="005A33D6">
        <w:t>credits,</w:t>
      </w:r>
      <w:r w:rsidR="00C64050">
        <w:t xml:space="preserve"> </w:t>
      </w:r>
      <w:r w:rsidRPr="005A33D6">
        <w:t>except</w:t>
      </w:r>
      <w:r w:rsidR="00C64050">
        <w:t xml:space="preserve"> </w:t>
      </w:r>
      <w:r w:rsidRPr="005A33D6">
        <w:t>the</w:t>
      </w:r>
      <w:r w:rsidR="00C64050">
        <w:t xml:space="preserve"> </w:t>
      </w:r>
      <w:r w:rsidRPr="005A33D6">
        <w:t>credit</w:t>
      </w:r>
      <w:r w:rsidR="00C64050">
        <w:t xml:space="preserve"> </w:t>
      </w:r>
      <w:r w:rsidRPr="005A33D6">
        <w:t>for</w:t>
      </w:r>
      <w:r w:rsidR="00C64050">
        <w:t xml:space="preserve"> </w:t>
      </w:r>
      <w:r w:rsidRPr="005A33D6">
        <w:t>prepayment</w:t>
      </w:r>
      <w:r w:rsidR="00C64050">
        <w:t xml:space="preserve"> </w:t>
      </w:r>
      <w:r w:rsidRPr="005A33D6">
        <w:t>of</w:t>
      </w:r>
      <w:r w:rsidR="00C64050">
        <w:t xml:space="preserve"> </w:t>
      </w:r>
      <w:r w:rsidRPr="005A33D6">
        <w:t>tax</w:t>
      </w:r>
      <w:r w:rsidR="00C64050">
        <w:t xml:space="preserve"> </w:t>
      </w:r>
      <w:r w:rsidRPr="005A33D6">
        <w:t>under</w:t>
      </w:r>
      <w:r w:rsidR="00C64050">
        <w:t xml:space="preserve"> </w:t>
      </w:r>
      <w:r w:rsidRPr="005A33D6">
        <w:t>chapter</w:t>
      </w:r>
      <w:r w:rsidR="00C64050">
        <w:t xml:space="preserve"> </w:t>
      </w:r>
      <w:r w:rsidRPr="005A33D6">
        <w:t>11.</w:t>
      </w:r>
    </w:p>
    <w:p w:rsidR="005A33D6" w:rsidRPr="005A33D6" w:rsidRDefault="005A33D6" w:rsidP="006076BD">
      <w:pPr>
        <w:pStyle w:val="QS10"/>
      </w:pPr>
      <w:r w:rsidRPr="005A33D6">
        <w:t>(2)</w:t>
      </w:r>
      <w:r w:rsidR="00C64050">
        <w:t xml:space="preserve"> </w:t>
      </w:r>
      <w:r w:rsidRPr="005A33D6">
        <w:t>Exclusions.</w:t>
      </w:r>
      <w:r w:rsidR="00C64050">
        <w:t xml:space="preserve"> </w:t>
      </w:r>
      <w:r w:rsidRPr="005A33D6">
        <w:t>For</w:t>
      </w:r>
      <w:r w:rsidR="00C64050">
        <w:t xml:space="preserve"> </w:t>
      </w:r>
      <w:r w:rsidRPr="005A33D6">
        <w:t>purposes</w:t>
      </w:r>
      <w:r w:rsidR="00C64050">
        <w:t xml:space="preserve"> </w:t>
      </w:r>
      <w:r w:rsidRPr="005A33D6">
        <w:t>of</w:t>
      </w:r>
      <w:r w:rsidR="00C64050">
        <w:t xml:space="preserve"> </w:t>
      </w:r>
      <w:r w:rsidRPr="005A33D6">
        <w:t>paragraph</w:t>
      </w:r>
      <w:r w:rsidR="00C64050">
        <w:t xml:space="preserve"> </w:t>
      </w:r>
      <w:r w:rsidRPr="005A33D6">
        <w:t>(b)(1)</w:t>
      </w:r>
      <w:r w:rsidR="00C64050">
        <w:t xml:space="preserve"> </w:t>
      </w:r>
      <w:r w:rsidRPr="005A33D6">
        <w:t>of</w:t>
      </w:r>
      <w:r w:rsidR="00C64050">
        <w:t xml:space="preserve"> </w:t>
      </w:r>
      <w:r w:rsidRPr="005A33D6">
        <w:t>this</w:t>
      </w:r>
      <w:r w:rsidR="00C64050">
        <w:t xml:space="preserve"> </w:t>
      </w:r>
      <w:r w:rsidRPr="005A33D6">
        <w:t>section,</w:t>
      </w:r>
      <w:r w:rsidR="00C64050">
        <w:t xml:space="preserve"> </w:t>
      </w:r>
      <w:r w:rsidRPr="005A33D6">
        <w:t>property</w:t>
      </w:r>
      <w:r w:rsidR="00C64050">
        <w:t xml:space="preserve"> </w:t>
      </w:r>
      <w:r w:rsidRPr="005A33D6">
        <w:t>that</w:t>
      </w:r>
      <w:r w:rsidR="00C64050">
        <w:t xml:space="preserve"> </w:t>
      </w:r>
      <w:r w:rsidRPr="005A33D6">
        <w:t>qualifies</w:t>
      </w:r>
      <w:r w:rsidR="00C64050">
        <w:t xml:space="preserve"> </w:t>
      </w:r>
      <w:r w:rsidRPr="005A33D6">
        <w:t>for</w:t>
      </w:r>
      <w:r w:rsidR="00C64050">
        <w:t xml:space="preserve"> </w:t>
      </w:r>
      <w:r w:rsidRPr="005A33D6">
        <w:t>an</w:t>
      </w:r>
      <w:r w:rsidR="00C64050">
        <w:t xml:space="preserve"> </w:t>
      </w:r>
      <w:r w:rsidRPr="005A33D6">
        <w:t>estate</w:t>
      </w:r>
      <w:r w:rsidR="00C64050">
        <w:t xml:space="preserve"> </w:t>
      </w:r>
      <w:r w:rsidRPr="005A33D6">
        <w:t>tax</w:t>
      </w:r>
      <w:r w:rsidR="00C64050">
        <w:t xml:space="preserve"> </w:t>
      </w:r>
      <w:r w:rsidRPr="005A33D6">
        <w:t>charitable</w:t>
      </w:r>
      <w:r w:rsidR="00C64050">
        <w:t xml:space="preserve"> </w:t>
      </w:r>
      <w:r w:rsidRPr="005A33D6">
        <w:t>or</w:t>
      </w:r>
      <w:r w:rsidR="00C64050">
        <w:t xml:space="preserve"> </w:t>
      </w:r>
      <w:r w:rsidRPr="005A33D6">
        <w:t>marital</w:t>
      </w:r>
      <w:r w:rsidR="00C64050">
        <w:t xml:space="preserve"> </w:t>
      </w:r>
      <w:r w:rsidRPr="005A33D6">
        <w:t>deduction</w:t>
      </w:r>
      <w:r w:rsidR="00C64050">
        <w:t xml:space="preserve"> </w:t>
      </w:r>
      <w:r w:rsidRPr="005A33D6">
        <w:t>under</w:t>
      </w:r>
      <w:r w:rsidR="00C64050">
        <w:t xml:space="preserve"> </w:t>
      </w:r>
      <w:r w:rsidRPr="005A33D6">
        <w:t>section</w:t>
      </w:r>
      <w:r w:rsidR="00C64050">
        <w:t xml:space="preserve"> </w:t>
      </w:r>
      <w:r w:rsidRPr="005A33D6">
        <w:t>2055,</w:t>
      </w:r>
      <w:r w:rsidR="00C64050">
        <w:t xml:space="preserve"> </w:t>
      </w:r>
      <w:r w:rsidRPr="005A33D6">
        <w:t>2056,</w:t>
      </w:r>
      <w:r w:rsidR="00C64050">
        <w:t xml:space="preserve"> </w:t>
      </w:r>
      <w:r w:rsidRPr="005A33D6">
        <w:t>or</w:t>
      </w:r>
      <w:r w:rsidR="00C64050">
        <w:t xml:space="preserve"> </w:t>
      </w:r>
      <w:r w:rsidRPr="005A33D6">
        <w:t>2056A,</w:t>
      </w:r>
      <w:r w:rsidR="00C64050">
        <w:t xml:space="preserve"> </w:t>
      </w:r>
      <w:r w:rsidRPr="005A33D6">
        <w:t>respectively,</w:t>
      </w:r>
      <w:r w:rsidR="00C64050">
        <w:t xml:space="preserve"> </w:t>
      </w:r>
      <w:r w:rsidRPr="005A33D6">
        <w:t>does</w:t>
      </w:r>
      <w:r w:rsidR="00C64050">
        <w:t xml:space="preserve"> </w:t>
      </w:r>
      <w:r w:rsidRPr="005A33D6">
        <w:t>not</w:t>
      </w:r>
      <w:r w:rsidR="00C64050">
        <w:t xml:space="preserve"> </w:t>
      </w:r>
      <w:r w:rsidRPr="005A33D6">
        <w:t>generate</w:t>
      </w:r>
      <w:r w:rsidR="00C64050">
        <w:t xml:space="preserve"> </w:t>
      </w:r>
      <w:r w:rsidRPr="005A33D6">
        <w:t>a</w:t>
      </w:r>
      <w:r w:rsidR="00C64050">
        <w:t xml:space="preserve"> </w:t>
      </w:r>
      <w:r w:rsidRPr="005A33D6">
        <w:t>tax</w:t>
      </w:r>
      <w:r w:rsidR="00C64050">
        <w:t xml:space="preserve"> </w:t>
      </w:r>
      <w:r w:rsidRPr="005A33D6">
        <w:t>liability</w:t>
      </w:r>
      <w:r w:rsidR="00C64050">
        <w:t xml:space="preserve"> </w:t>
      </w:r>
      <w:r w:rsidRPr="005A33D6">
        <w:t>under</w:t>
      </w:r>
      <w:r w:rsidR="00C64050">
        <w:t xml:space="preserve"> </w:t>
      </w:r>
      <w:r w:rsidRPr="005A33D6">
        <w:t>chapter</w:t>
      </w:r>
      <w:r w:rsidR="00C64050">
        <w:t xml:space="preserve"> </w:t>
      </w:r>
      <w:r w:rsidRPr="005A33D6">
        <w:t>11</w:t>
      </w:r>
      <w:r w:rsidR="00C64050">
        <w:t xml:space="preserve"> </w:t>
      </w:r>
      <w:r w:rsidRPr="005A33D6">
        <w:t>and</w:t>
      </w:r>
      <w:r w:rsidR="00C64050">
        <w:t xml:space="preserve"> </w:t>
      </w:r>
      <w:r w:rsidRPr="005A33D6">
        <w:t>therefore</w:t>
      </w:r>
      <w:r w:rsidR="00C64050">
        <w:t xml:space="preserve"> </w:t>
      </w:r>
      <w:r w:rsidRPr="005A33D6">
        <w:t>is</w:t>
      </w:r>
      <w:r w:rsidR="00C64050">
        <w:t xml:space="preserve"> </w:t>
      </w:r>
      <w:r w:rsidRPr="005A33D6">
        <w:t>excluded</w:t>
      </w:r>
      <w:r w:rsidR="00C64050">
        <w:t xml:space="preserve"> </w:t>
      </w:r>
      <w:r w:rsidRPr="005A33D6">
        <w:t>from</w:t>
      </w:r>
      <w:r w:rsidR="00C64050">
        <w:t xml:space="preserve"> </w:t>
      </w:r>
      <w:r w:rsidRPr="005A33D6">
        <w:t>the</w:t>
      </w:r>
      <w:r w:rsidR="00C64050">
        <w:t xml:space="preserve"> </w:t>
      </w:r>
      <w:r w:rsidRPr="005A33D6">
        <w:t>property</w:t>
      </w:r>
      <w:r w:rsidR="00C64050">
        <w:t xml:space="preserve"> </w:t>
      </w:r>
      <w:r w:rsidRPr="005A33D6">
        <w:t>subject</w:t>
      </w:r>
      <w:r w:rsidR="00C64050">
        <w:t xml:space="preserve"> </w:t>
      </w:r>
      <w:r w:rsidRPr="005A33D6">
        <w:t>to</w:t>
      </w:r>
      <w:r w:rsidR="00C64050">
        <w:t xml:space="preserve"> </w:t>
      </w:r>
      <w:r w:rsidRPr="005A33D6">
        <w:t>the</w:t>
      </w:r>
      <w:r w:rsidR="00C64050">
        <w:t xml:space="preserve"> </w:t>
      </w:r>
      <w:r w:rsidRPr="005A33D6">
        <w:t>consistency</w:t>
      </w:r>
      <w:r w:rsidR="00C64050">
        <w:t xml:space="preserve"> </w:t>
      </w:r>
      <w:r w:rsidRPr="005A33D6">
        <w:t>requirement</w:t>
      </w:r>
      <w:r w:rsidR="00C64050">
        <w:t xml:space="preserve"> </w:t>
      </w:r>
      <w:r w:rsidRPr="005A33D6">
        <w:t>in</w:t>
      </w:r>
      <w:r w:rsidR="00C64050">
        <w:t xml:space="preserve"> </w:t>
      </w:r>
      <w:r w:rsidRPr="005A33D6">
        <w:t>paragraph</w:t>
      </w:r>
      <w:r w:rsidR="00C64050">
        <w:t xml:space="preserve"> </w:t>
      </w:r>
      <w:r w:rsidRPr="005A33D6">
        <w:t>(a)(1)</w:t>
      </w:r>
      <w:r w:rsidR="00C64050">
        <w:t xml:space="preserve"> </w:t>
      </w:r>
      <w:r w:rsidRPr="005A33D6">
        <w:t>of</w:t>
      </w:r>
      <w:r w:rsidR="00C64050">
        <w:t xml:space="preserve"> </w:t>
      </w:r>
      <w:r w:rsidRPr="005A33D6">
        <w:t>this</w:t>
      </w:r>
      <w:r w:rsidR="00C64050">
        <w:t xml:space="preserve"> </w:t>
      </w:r>
      <w:r w:rsidRPr="005A33D6">
        <w:t>section.</w:t>
      </w:r>
      <w:r w:rsidR="00C64050">
        <w:t xml:space="preserve"> </w:t>
      </w:r>
      <w:r w:rsidRPr="005A33D6">
        <w:t>For</w:t>
      </w:r>
      <w:r w:rsidR="00C64050">
        <w:t xml:space="preserve"> </w:t>
      </w:r>
      <w:r w:rsidRPr="005A33D6">
        <w:t>purposes</w:t>
      </w:r>
      <w:r w:rsidR="00C64050">
        <w:t xml:space="preserve"> </w:t>
      </w:r>
      <w:r w:rsidRPr="005A33D6">
        <w:t>of</w:t>
      </w:r>
      <w:r w:rsidR="00C64050">
        <w:t xml:space="preserve"> </w:t>
      </w:r>
      <w:r w:rsidRPr="005A33D6">
        <w:t>paragraph</w:t>
      </w:r>
      <w:r w:rsidR="00C64050">
        <w:t xml:space="preserve"> </w:t>
      </w:r>
      <w:r w:rsidRPr="005A33D6">
        <w:t>(b)(1)</w:t>
      </w:r>
      <w:r w:rsidR="00C64050">
        <w:t xml:space="preserve"> </w:t>
      </w:r>
      <w:r w:rsidRPr="005A33D6">
        <w:t>of</w:t>
      </w:r>
      <w:r w:rsidR="00C64050">
        <w:t xml:space="preserve"> </w:t>
      </w:r>
      <w:r w:rsidRPr="005A33D6">
        <w:t>this</w:t>
      </w:r>
      <w:r w:rsidR="00C64050">
        <w:t xml:space="preserve"> </w:t>
      </w:r>
      <w:r w:rsidRPr="005A33D6">
        <w:t>section,</w:t>
      </w:r>
      <w:r w:rsidR="00C64050">
        <w:t xml:space="preserve"> </w:t>
      </w:r>
      <w:r w:rsidRPr="005A33D6">
        <w:t>tangible</w:t>
      </w:r>
      <w:r w:rsidR="00C64050">
        <w:t xml:space="preserve"> </w:t>
      </w:r>
      <w:r w:rsidRPr="005A33D6">
        <w:t>personal</w:t>
      </w:r>
      <w:r w:rsidR="00C64050">
        <w:t xml:space="preserve"> </w:t>
      </w:r>
      <w:r w:rsidRPr="005A33D6">
        <w:t>property</w:t>
      </w:r>
      <w:r w:rsidR="00C64050">
        <w:t xml:space="preserve"> </w:t>
      </w:r>
      <w:r w:rsidRPr="005A33D6">
        <w:t>for</w:t>
      </w:r>
      <w:r w:rsidR="00C64050">
        <w:t xml:space="preserve"> </w:t>
      </w:r>
      <w:r w:rsidRPr="005A33D6">
        <w:t>which</w:t>
      </w:r>
      <w:r w:rsidR="00C64050">
        <w:t xml:space="preserve"> </w:t>
      </w:r>
      <w:r w:rsidRPr="005A33D6">
        <w:t>an</w:t>
      </w:r>
      <w:r w:rsidR="00C64050">
        <w:t xml:space="preserve"> </w:t>
      </w:r>
      <w:r w:rsidRPr="005A33D6">
        <w:t>appraisal</w:t>
      </w:r>
      <w:r w:rsidR="00C64050">
        <w:t xml:space="preserve"> </w:t>
      </w:r>
      <w:r w:rsidRPr="005A33D6">
        <w:t>is</w:t>
      </w:r>
      <w:r w:rsidR="00C64050">
        <w:t xml:space="preserve"> </w:t>
      </w:r>
      <w:r w:rsidRPr="005A33D6">
        <w:t>not</w:t>
      </w:r>
      <w:r w:rsidR="00C64050">
        <w:t xml:space="preserve"> </w:t>
      </w:r>
      <w:r w:rsidRPr="005A33D6">
        <w:t>required</w:t>
      </w:r>
      <w:r w:rsidR="00C64050">
        <w:t xml:space="preserve"> </w:t>
      </w:r>
      <w:r w:rsidRPr="005A33D6">
        <w:t>under</w:t>
      </w:r>
      <w:r w:rsidR="00C64050">
        <w:t xml:space="preserve"> </w:t>
      </w:r>
      <w:r w:rsidRPr="005A33D6">
        <w:t>§</w:t>
      </w:r>
      <w:r w:rsidR="00C64050">
        <w:t xml:space="preserve"> </w:t>
      </w:r>
      <w:r w:rsidRPr="005A33D6">
        <w:t>20.2031-6(b)</w:t>
      </w:r>
      <w:r w:rsidR="00C64050">
        <w:t xml:space="preserve"> </w:t>
      </w:r>
      <w:r w:rsidRPr="005A33D6">
        <w:t>is</w:t>
      </w:r>
      <w:r w:rsidR="00C64050">
        <w:t xml:space="preserve"> </w:t>
      </w:r>
      <w:r w:rsidRPr="005A33D6">
        <w:t>deemed</w:t>
      </w:r>
      <w:r w:rsidR="00C64050">
        <w:t xml:space="preserve"> </w:t>
      </w:r>
      <w:r w:rsidRPr="005A33D6">
        <w:t>not</w:t>
      </w:r>
      <w:r w:rsidR="00C64050">
        <w:t xml:space="preserve"> </w:t>
      </w:r>
      <w:r w:rsidRPr="005A33D6">
        <w:t>to</w:t>
      </w:r>
      <w:r w:rsidR="00C64050">
        <w:t xml:space="preserve"> </w:t>
      </w:r>
      <w:r w:rsidRPr="005A33D6">
        <w:t>generate</w:t>
      </w:r>
      <w:r w:rsidR="00C64050">
        <w:t xml:space="preserve"> </w:t>
      </w:r>
      <w:r w:rsidRPr="005A33D6">
        <w:t>a</w:t>
      </w:r>
      <w:r w:rsidR="00C64050">
        <w:t xml:space="preserve"> </w:t>
      </w:r>
      <w:r w:rsidRPr="005A33D6">
        <w:t>tax</w:t>
      </w:r>
      <w:r w:rsidR="00C64050">
        <w:t xml:space="preserve"> </w:t>
      </w:r>
      <w:r w:rsidRPr="005A33D6">
        <w:t>liability</w:t>
      </w:r>
      <w:r w:rsidR="00C64050">
        <w:t xml:space="preserve"> </w:t>
      </w:r>
      <w:r w:rsidRPr="005A33D6">
        <w:t>under</w:t>
      </w:r>
      <w:r w:rsidR="00C64050">
        <w:t xml:space="preserve"> </w:t>
      </w:r>
      <w:r w:rsidRPr="005A33D6">
        <w:t>chapter</w:t>
      </w:r>
      <w:r w:rsidR="00C64050">
        <w:t xml:space="preserve"> </w:t>
      </w:r>
      <w:r w:rsidRPr="005A33D6">
        <w:t>11</w:t>
      </w:r>
      <w:r w:rsidR="00C64050">
        <w:t xml:space="preserve"> </w:t>
      </w:r>
      <w:r w:rsidRPr="005A33D6">
        <w:t>and</w:t>
      </w:r>
      <w:r w:rsidR="00C64050">
        <w:t xml:space="preserve"> </w:t>
      </w:r>
      <w:r w:rsidRPr="005A33D6">
        <w:t>therefore</w:t>
      </w:r>
      <w:r w:rsidR="00C64050">
        <w:t xml:space="preserve"> </w:t>
      </w:r>
      <w:r w:rsidRPr="005A33D6">
        <w:t>also</w:t>
      </w:r>
      <w:r w:rsidR="00C64050">
        <w:t xml:space="preserve"> </w:t>
      </w:r>
      <w:r w:rsidRPr="005A33D6">
        <w:t>is</w:t>
      </w:r>
      <w:r w:rsidR="00C64050">
        <w:t xml:space="preserve"> </w:t>
      </w:r>
      <w:r w:rsidRPr="005A33D6">
        <w:t>excluded</w:t>
      </w:r>
      <w:r w:rsidR="00C64050">
        <w:t xml:space="preserve"> </w:t>
      </w:r>
      <w:r w:rsidRPr="005A33D6">
        <w:t>from</w:t>
      </w:r>
      <w:r w:rsidR="00C64050">
        <w:t xml:space="preserve"> </w:t>
      </w:r>
      <w:r w:rsidRPr="005A33D6">
        <w:t>the</w:t>
      </w:r>
      <w:r w:rsidR="00C64050">
        <w:t xml:space="preserve"> </w:t>
      </w:r>
      <w:r w:rsidRPr="005A33D6">
        <w:t>property</w:t>
      </w:r>
      <w:r w:rsidR="00C64050">
        <w:t xml:space="preserve"> </w:t>
      </w:r>
      <w:r w:rsidRPr="005A33D6">
        <w:t>subject</w:t>
      </w:r>
      <w:r w:rsidR="00C64050">
        <w:t xml:space="preserve"> </w:t>
      </w:r>
      <w:r w:rsidRPr="005A33D6">
        <w:t>to</w:t>
      </w:r>
      <w:r w:rsidR="00C64050">
        <w:t xml:space="preserve"> </w:t>
      </w:r>
      <w:r w:rsidRPr="005A33D6">
        <w:t>the</w:t>
      </w:r>
      <w:r w:rsidR="00C64050">
        <w:t xml:space="preserve"> </w:t>
      </w:r>
      <w:r w:rsidRPr="005A33D6">
        <w:t>consistency</w:t>
      </w:r>
      <w:r w:rsidR="00C64050">
        <w:t xml:space="preserve"> </w:t>
      </w:r>
      <w:r w:rsidRPr="005A33D6">
        <w:t>requirement</w:t>
      </w:r>
      <w:r w:rsidR="00C64050">
        <w:t xml:space="preserve"> </w:t>
      </w:r>
      <w:r w:rsidRPr="005A33D6">
        <w:t>in</w:t>
      </w:r>
      <w:r w:rsidR="00C64050">
        <w:t xml:space="preserve"> </w:t>
      </w:r>
      <w:r w:rsidRPr="005A33D6">
        <w:t>paragraph</w:t>
      </w:r>
      <w:r w:rsidR="00C64050">
        <w:t xml:space="preserve"> </w:t>
      </w:r>
      <w:r w:rsidRPr="005A33D6">
        <w:t>(a)(1)</w:t>
      </w:r>
      <w:r w:rsidR="00C64050">
        <w:t xml:space="preserve"> </w:t>
      </w:r>
      <w:r w:rsidRPr="005A33D6">
        <w:t>of</w:t>
      </w:r>
      <w:r w:rsidR="00C64050">
        <w:t xml:space="preserve"> </w:t>
      </w:r>
      <w:r w:rsidRPr="005A33D6">
        <w:t>this</w:t>
      </w:r>
      <w:r w:rsidR="00C64050">
        <w:t xml:space="preserve"> </w:t>
      </w:r>
      <w:r w:rsidRPr="005A33D6">
        <w:t>section.</w:t>
      </w:r>
    </w:p>
    <w:p w:rsidR="005A33D6" w:rsidRPr="005A33D6" w:rsidRDefault="005A33D6" w:rsidP="006076BD">
      <w:pPr>
        <w:pStyle w:val="QS10"/>
      </w:pPr>
      <w:r w:rsidRPr="005A33D6">
        <w:t>(3)</w:t>
      </w:r>
      <w:r w:rsidR="00C64050">
        <w:t xml:space="preserve"> </w:t>
      </w:r>
      <w:r w:rsidRPr="005A33D6">
        <w:t>Application.</w:t>
      </w:r>
      <w:r w:rsidR="00C64050">
        <w:t xml:space="preserve"> </w:t>
      </w:r>
      <w:r w:rsidRPr="005A33D6">
        <w:t>For</w:t>
      </w:r>
      <w:r w:rsidR="00C64050">
        <w:t xml:space="preserve"> </w:t>
      </w:r>
      <w:r w:rsidRPr="005A33D6">
        <w:t>purposes</w:t>
      </w:r>
      <w:r w:rsidR="00C64050">
        <w:t xml:space="preserve"> </w:t>
      </w:r>
      <w:r w:rsidRPr="005A33D6">
        <w:t>of</w:t>
      </w:r>
      <w:r w:rsidR="00C64050">
        <w:t xml:space="preserve"> </w:t>
      </w:r>
      <w:r w:rsidRPr="005A33D6">
        <w:t>paragraph</w:t>
      </w:r>
      <w:r w:rsidR="00C64050">
        <w:t xml:space="preserve"> </w:t>
      </w:r>
      <w:r w:rsidRPr="005A33D6">
        <w:t>(b)(1)</w:t>
      </w:r>
      <w:r w:rsidR="00C64050">
        <w:t xml:space="preserve"> </w:t>
      </w:r>
      <w:r w:rsidRPr="005A33D6">
        <w:t>of</w:t>
      </w:r>
      <w:r w:rsidR="00C64050">
        <w:t xml:space="preserve"> </w:t>
      </w:r>
      <w:r w:rsidRPr="005A33D6">
        <w:t>this</w:t>
      </w:r>
      <w:r w:rsidR="00C64050">
        <w:t xml:space="preserve"> </w:t>
      </w:r>
      <w:r w:rsidRPr="005A33D6">
        <w:t>section,</w:t>
      </w:r>
      <w:r w:rsidR="00C64050">
        <w:t xml:space="preserve"> </w:t>
      </w:r>
      <w:r w:rsidRPr="005A33D6">
        <w:t>if</w:t>
      </w:r>
      <w:r w:rsidR="00C64050">
        <w:t xml:space="preserve"> </w:t>
      </w:r>
      <w:r w:rsidRPr="005A33D6">
        <w:t>a</w:t>
      </w:r>
      <w:r w:rsidR="00C64050">
        <w:t xml:space="preserve"> </w:t>
      </w:r>
      <w:r w:rsidRPr="005A33D6">
        <w:t>liability</w:t>
      </w:r>
      <w:r w:rsidR="00C64050">
        <w:t xml:space="preserve"> </w:t>
      </w:r>
      <w:r w:rsidRPr="005A33D6">
        <w:t>under</w:t>
      </w:r>
      <w:r w:rsidR="00C64050">
        <w:t xml:space="preserve"> </w:t>
      </w:r>
      <w:r w:rsidRPr="005A33D6">
        <w:t>chapter</w:t>
      </w:r>
      <w:r w:rsidR="00C64050">
        <w:t xml:space="preserve"> </w:t>
      </w:r>
      <w:r w:rsidRPr="005A33D6">
        <w:t>11</w:t>
      </w:r>
      <w:r w:rsidR="00C64050">
        <w:t xml:space="preserve"> </w:t>
      </w:r>
      <w:r w:rsidRPr="005A33D6">
        <w:t>is</w:t>
      </w:r>
      <w:r w:rsidR="00C64050">
        <w:t xml:space="preserve"> </w:t>
      </w:r>
      <w:r w:rsidRPr="005A33D6">
        <w:t>payable</w:t>
      </w:r>
      <w:r w:rsidR="00C64050">
        <w:t xml:space="preserve"> </w:t>
      </w:r>
      <w:r w:rsidRPr="005A33D6">
        <w:t>after</w:t>
      </w:r>
      <w:r w:rsidR="00C64050">
        <w:t xml:space="preserve"> </w:t>
      </w:r>
      <w:r w:rsidRPr="005A33D6">
        <w:t>the</w:t>
      </w:r>
      <w:r w:rsidR="00C64050">
        <w:t xml:space="preserve"> </w:t>
      </w:r>
      <w:r w:rsidRPr="005A33D6">
        <w:t>application</w:t>
      </w:r>
      <w:r w:rsidR="00C64050">
        <w:t xml:space="preserve"> </w:t>
      </w:r>
      <w:r w:rsidRPr="005A33D6">
        <w:t>of</w:t>
      </w:r>
      <w:r w:rsidR="00C64050">
        <w:t xml:space="preserve"> </w:t>
      </w:r>
      <w:r w:rsidRPr="005A33D6">
        <w:t>all</w:t>
      </w:r>
      <w:r w:rsidR="00C64050">
        <w:t xml:space="preserve"> </w:t>
      </w:r>
      <w:r w:rsidRPr="005A33D6">
        <w:t>available</w:t>
      </w:r>
      <w:r w:rsidR="00C64050">
        <w:t xml:space="preserve"> </w:t>
      </w:r>
      <w:r w:rsidRPr="005A33D6">
        <w:t>credits</w:t>
      </w:r>
      <w:r w:rsidR="00C64050">
        <w:t xml:space="preserve"> </w:t>
      </w:r>
      <w:r w:rsidRPr="005A33D6">
        <w:t>(other</w:t>
      </w:r>
      <w:r w:rsidR="00C64050">
        <w:t xml:space="preserve"> </w:t>
      </w:r>
      <w:r w:rsidRPr="005A33D6">
        <w:t>than</w:t>
      </w:r>
      <w:r w:rsidR="00C64050">
        <w:t xml:space="preserve"> </w:t>
      </w:r>
      <w:r w:rsidRPr="005A33D6">
        <w:t>a</w:t>
      </w:r>
      <w:r w:rsidR="00C64050">
        <w:t xml:space="preserve"> </w:t>
      </w:r>
      <w:r w:rsidRPr="005A33D6">
        <w:t>credit</w:t>
      </w:r>
      <w:r w:rsidR="00C64050">
        <w:t xml:space="preserve"> </w:t>
      </w:r>
      <w:r w:rsidRPr="005A33D6">
        <w:t>for</w:t>
      </w:r>
      <w:r w:rsidR="00C64050">
        <w:t xml:space="preserve"> </w:t>
      </w:r>
      <w:r w:rsidRPr="005A33D6">
        <w:t>a</w:t>
      </w:r>
      <w:r w:rsidR="00C64050">
        <w:t xml:space="preserve"> </w:t>
      </w:r>
      <w:r w:rsidRPr="005A33D6">
        <w:t>prepayment</w:t>
      </w:r>
      <w:r w:rsidR="00C64050">
        <w:t xml:space="preserve"> </w:t>
      </w:r>
      <w:r w:rsidRPr="005A33D6">
        <w:t>of</w:t>
      </w:r>
      <w:r w:rsidR="00C64050">
        <w:t xml:space="preserve"> </w:t>
      </w:r>
      <w:r w:rsidRPr="005A33D6">
        <w:t>estate</w:t>
      </w:r>
      <w:r w:rsidR="00C64050">
        <w:t xml:space="preserve"> </w:t>
      </w:r>
      <w:r w:rsidRPr="005A33D6">
        <w:t>tax),</w:t>
      </w:r>
      <w:r w:rsidR="00C64050">
        <w:t xml:space="preserve"> </w:t>
      </w:r>
      <w:r w:rsidRPr="005A33D6">
        <w:t>the</w:t>
      </w:r>
      <w:r w:rsidR="00C64050">
        <w:t xml:space="preserve"> </w:t>
      </w:r>
      <w:r w:rsidRPr="005A33D6">
        <w:t>consistency</w:t>
      </w:r>
      <w:r w:rsidR="00C64050">
        <w:t xml:space="preserve"> </w:t>
      </w:r>
      <w:r w:rsidRPr="005A33D6">
        <w:t>requirement</w:t>
      </w:r>
      <w:r w:rsidR="00C64050">
        <w:t xml:space="preserve"> </w:t>
      </w:r>
      <w:r w:rsidRPr="005A33D6">
        <w:t>in</w:t>
      </w:r>
      <w:r w:rsidR="00C64050">
        <w:t xml:space="preserve"> </w:t>
      </w:r>
      <w:r w:rsidRPr="005A33D6">
        <w:t>paragraph</w:t>
      </w:r>
      <w:r w:rsidR="00C64050">
        <w:t xml:space="preserve"> </w:t>
      </w:r>
      <w:r w:rsidRPr="005A33D6">
        <w:t>(a)(1)</w:t>
      </w:r>
      <w:r w:rsidR="00C64050">
        <w:t xml:space="preserve"> </w:t>
      </w:r>
      <w:r w:rsidRPr="005A33D6">
        <w:t>of</w:t>
      </w:r>
      <w:r w:rsidR="00C64050">
        <w:t xml:space="preserve"> </w:t>
      </w:r>
      <w:r w:rsidRPr="005A33D6">
        <w:t>this</w:t>
      </w:r>
      <w:r w:rsidR="00C64050">
        <w:t xml:space="preserve"> </w:t>
      </w:r>
      <w:r w:rsidRPr="005A33D6">
        <w:t>section</w:t>
      </w:r>
      <w:r w:rsidR="00C64050">
        <w:t xml:space="preserve"> </w:t>
      </w:r>
      <w:r w:rsidRPr="005A33D6">
        <w:t>applies</w:t>
      </w:r>
      <w:r w:rsidR="00C64050">
        <w:t xml:space="preserve"> </w:t>
      </w:r>
      <w:r w:rsidRPr="005A33D6">
        <w:t>to</w:t>
      </w:r>
      <w:r w:rsidR="00C64050">
        <w:t xml:space="preserve"> </w:t>
      </w:r>
      <w:r w:rsidRPr="005A33D6">
        <w:t>the</w:t>
      </w:r>
      <w:r w:rsidR="00C64050">
        <w:t xml:space="preserve"> </w:t>
      </w:r>
      <w:r w:rsidRPr="005A33D6">
        <w:t>entire</w:t>
      </w:r>
      <w:r w:rsidR="00C64050">
        <w:t xml:space="preserve"> </w:t>
      </w:r>
      <w:r w:rsidRPr="005A33D6">
        <w:t>gross</w:t>
      </w:r>
      <w:r w:rsidR="00C64050">
        <w:t xml:space="preserve"> </w:t>
      </w:r>
      <w:r w:rsidRPr="005A33D6">
        <w:t>estate</w:t>
      </w:r>
      <w:r w:rsidR="00C64050">
        <w:t xml:space="preserve"> </w:t>
      </w:r>
      <w:r w:rsidRPr="005A33D6">
        <w:t>(other</w:t>
      </w:r>
      <w:r w:rsidR="00C64050">
        <w:t xml:space="preserve"> </w:t>
      </w:r>
      <w:r w:rsidRPr="005A33D6">
        <w:t>than</w:t>
      </w:r>
      <w:r w:rsidR="00C64050">
        <w:t xml:space="preserve"> </w:t>
      </w:r>
      <w:r w:rsidRPr="005A33D6">
        <w:t>property</w:t>
      </w:r>
      <w:r w:rsidR="00C64050">
        <w:t xml:space="preserve"> </w:t>
      </w:r>
      <w:r w:rsidRPr="005A33D6">
        <w:t>excluded</w:t>
      </w:r>
      <w:r w:rsidR="00C64050">
        <w:t xml:space="preserve"> </w:t>
      </w:r>
      <w:r w:rsidRPr="005A33D6">
        <w:t>under</w:t>
      </w:r>
      <w:r w:rsidR="00C64050">
        <w:t xml:space="preserve"> </w:t>
      </w:r>
      <w:r w:rsidRPr="005A33D6">
        <w:t>paragraph</w:t>
      </w:r>
      <w:r w:rsidR="00C64050">
        <w:t xml:space="preserve"> </w:t>
      </w:r>
      <w:r w:rsidRPr="005A33D6">
        <w:t>(b)(2)</w:t>
      </w:r>
      <w:r w:rsidR="00C64050">
        <w:t xml:space="preserve"> </w:t>
      </w:r>
      <w:r w:rsidRPr="005A33D6">
        <w:t>of</w:t>
      </w:r>
      <w:r w:rsidR="00C64050">
        <w:t xml:space="preserve"> </w:t>
      </w:r>
      <w:r w:rsidRPr="005A33D6">
        <w:t>this</w:t>
      </w:r>
      <w:r w:rsidR="00C64050">
        <w:t xml:space="preserve"> </w:t>
      </w:r>
      <w:r w:rsidRPr="005A33D6">
        <w:t>section)</w:t>
      </w:r>
      <w:r w:rsidR="00C64050">
        <w:t xml:space="preserve"> </w:t>
      </w:r>
      <w:r w:rsidRPr="005A33D6">
        <w:t>because</w:t>
      </w:r>
      <w:r w:rsidR="00C64050">
        <w:t xml:space="preserve"> </w:t>
      </w:r>
      <w:r w:rsidRPr="005A33D6">
        <w:t>all</w:t>
      </w:r>
      <w:r w:rsidR="00C64050">
        <w:t xml:space="preserve"> </w:t>
      </w:r>
      <w:r w:rsidRPr="005A33D6">
        <w:t>such</w:t>
      </w:r>
      <w:r w:rsidR="00C64050">
        <w:t xml:space="preserve"> </w:t>
      </w:r>
      <w:r w:rsidRPr="005A33D6">
        <w:t>property</w:t>
      </w:r>
      <w:r w:rsidR="00C64050">
        <w:t xml:space="preserve"> </w:t>
      </w:r>
      <w:r w:rsidRPr="005A33D6">
        <w:t>contributes</w:t>
      </w:r>
      <w:r w:rsidR="00C64050">
        <w:t xml:space="preserve"> </w:t>
      </w:r>
      <w:r w:rsidRPr="005A33D6">
        <w:t>to</w:t>
      </w:r>
      <w:r w:rsidR="00C64050">
        <w:t xml:space="preserve"> </w:t>
      </w:r>
      <w:r w:rsidRPr="005A33D6">
        <w:t>the</w:t>
      </w:r>
      <w:r w:rsidR="00C64050">
        <w:t xml:space="preserve"> </w:t>
      </w:r>
      <w:r w:rsidRPr="005A33D6">
        <w:t>liability</w:t>
      </w:r>
      <w:r w:rsidR="00C64050">
        <w:t xml:space="preserve"> </w:t>
      </w:r>
      <w:r w:rsidRPr="005A33D6">
        <w:t>under</w:t>
      </w:r>
      <w:r w:rsidR="00C64050">
        <w:t xml:space="preserve"> </w:t>
      </w:r>
      <w:r w:rsidRPr="005A33D6">
        <w:t>chapter</w:t>
      </w:r>
      <w:r w:rsidR="00C64050">
        <w:t xml:space="preserve"> </w:t>
      </w:r>
      <w:r w:rsidRPr="005A33D6">
        <w:t>11</w:t>
      </w:r>
      <w:r w:rsidR="00C64050">
        <w:t xml:space="preserve"> </w:t>
      </w:r>
      <w:r w:rsidRPr="005A33D6">
        <w:t>and</w:t>
      </w:r>
      <w:r w:rsidR="00C64050">
        <w:t xml:space="preserve"> </w:t>
      </w:r>
      <w:r w:rsidRPr="005A33D6">
        <w:t>therefore</w:t>
      </w:r>
      <w:r w:rsidR="00C64050">
        <w:t xml:space="preserve"> </w:t>
      </w:r>
      <w:r w:rsidRPr="005A33D6">
        <w:t>is</w:t>
      </w:r>
      <w:r w:rsidR="00C64050">
        <w:t xml:space="preserve"> </w:t>
      </w:r>
      <w:r w:rsidRPr="005A33D6">
        <w:t>treated</w:t>
      </w:r>
      <w:r w:rsidR="00C64050">
        <w:t xml:space="preserve"> </w:t>
      </w:r>
      <w:r w:rsidRPr="005A33D6">
        <w:t>as</w:t>
      </w:r>
      <w:r w:rsidR="00C64050">
        <w:t xml:space="preserve"> </w:t>
      </w:r>
      <w:r w:rsidRPr="005A33D6">
        <w:t>generating</w:t>
      </w:r>
      <w:r w:rsidR="00C64050">
        <w:t xml:space="preserve"> </w:t>
      </w:r>
      <w:r w:rsidRPr="005A33D6">
        <w:t>a</w:t>
      </w:r>
      <w:r w:rsidR="00C64050">
        <w:t xml:space="preserve"> </w:t>
      </w:r>
      <w:r w:rsidRPr="005A33D6">
        <w:t>tax</w:t>
      </w:r>
      <w:r w:rsidR="00C64050">
        <w:t xml:space="preserve"> </w:t>
      </w:r>
      <w:r w:rsidRPr="005A33D6">
        <w:t>liability</w:t>
      </w:r>
      <w:r w:rsidR="00C64050">
        <w:t xml:space="preserve"> </w:t>
      </w:r>
      <w:r w:rsidRPr="005A33D6">
        <w:t>under</w:t>
      </w:r>
      <w:r w:rsidR="00C64050">
        <w:t xml:space="preserve"> </w:t>
      </w:r>
      <w:r w:rsidRPr="005A33D6">
        <w:t>chapter</w:t>
      </w:r>
      <w:r w:rsidR="00C64050">
        <w:t xml:space="preserve"> </w:t>
      </w:r>
      <w:r w:rsidRPr="005A33D6">
        <w:t>11.</w:t>
      </w:r>
      <w:r w:rsidR="00C64050">
        <w:t xml:space="preserve"> </w:t>
      </w:r>
      <w:r w:rsidRPr="005A33D6">
        <w:t>If,</w:t>
      </w:r>
      <w:r w:rsidR="00C64050">
        <w:t xml:space="preserve"> </w:t>
      </w:r>
      <w:r w:rsidRPr="005A33D6">
        <w:t>however,</w:t>
      </w:r>
      <w:r w:rsidR="00C64050">
        <w:t xml:space="preserve"> </w:t>
      </w:r>
      <w:r w:rsidRPr="005A33D6">
        <w:t>after</w:t>
      </w:r>
      <w:r w:rsidR="00C64050">
        <w:t xml:space="preserve"> </w:t>
      </w:r>
      <w:r w:rsidRPr="005A33D6">
        <w:t>the</w:t>
      </w:r>
      <w:r w:rsidR="00C64050">
        <w:t xml:space="preserve"> </w:t>
      </w:r>
      <w:r w:rsidRPr="005A33D6">
        <w:t>application</w:t>
      </w:r>
      <w:r w:rsidR="00C64050">
        <w:t xml:space="preserve"> </w:t>
      </w:r>
      <w:r w:rsidRPr="005A33D6">
        <w:t>of</w:t>
      </w:r>
      <w:r w:rsidR="00C64050">
        <w:t xml:space="preserve"> </w:t>
      </w:r>
      <w:r w:rsidRPr="005A33D6">
        <w:t>all</w:t>
      </w:r>
      <w:r w:rsidR="00C64050">
        <w:t xml:space="preserve"> </w:t>
      </w:r>
      <w:r w:rsidRPr="005A33D6">
        <w:t>such</w:t>
      </w:r>
      <w:r w:rsidR="00C64050">
        <w:t xml:space="preserve"> </w:t>
      </w:r>
      <w:r w:rsidRPr="005A33D6">
        <w:t>available</w:t>
      </w:r>
      <w:r w:rsidR="00C64050">
        <w:t xml:space="preserve"> </w:t>
      </w:r>
      <w:r w:rsidRPr="005A33D6">
        <w:t>credits,</w:t>
      </w:r>
      <w:r w:rsidR="00C64050">
        <w:t xml:space="preserve"> </w:t>
      </w:r>
      <w:r w:rsidRPr="005A33D6">
        <w:t>no</w:t>
      </w:r>
      <w:r w:rsidR="00C64050">
        <w:t xml:space="preserve"> </w:t>
      </w:r>
      <w:r w:rsidRPr="005A33D6">
        <w:t>tax</w:t>
      </w:r>
      <w:r w:rsidR="00C64050">
        <w:t xml:space="preserve"> </w:t>
      </w:r>
      <w:r w:rsidRPr="005A33D6">
        <w:t>under</w:t>
      </w:r>
      <w:r w:rsidR="00C64050">
        <w:t xml:space="preserve"> </w:t>
      </w:r>
      <w:r w:rsidRPr="005A33D6">
        <w:t>chapter</w:t>
      </w:r>
      <w:r w:rsidR="00C64050">
        <w:t xml:space="preserve"> </w:t>
      </w:r>
      <w:r w:rsidRPr="005A33D6">
        <w:t>11</w:t>
      </w:r>
      <w:r w:rsidR="00C64050">
        <w:t xml:space="preserve"> </w:t>
      </w:r>
      <w:r w:rsidRPr="005A33D6">
        <w:t>is</w:t>
      </w:r>
      <w:r w:rsidR="00C64050">
        <w:t xml:space="preserve"> </w:t>
      </w:r>
      <w:r w:rsidRPr="005A33D6">
        <w:t>payable,</w:t>
      </w:r>
      <w:r w:rsidR="00C64050">
        <w:t xml:space="preserve"> </w:t>
      </w:r>
      <w:r w:rsidRPr="005A33D6">
        <w:t>the</w:t>
      </w:r>
      <w:r w:rsidR="00C64050">
        <w:t xml:space="preserve"> </w:t>
      </w:r>
      <w:r w:rsidRPr="005A33D6">
        <w:t>entire</w:t>
      </w:r>
      <w:r w:rsidR="00C64050">
        <w:t xml:space="preserve"> </w:t>
      </w:r>
      <w:r w:rsidRPr="005A33D6">
        <w:t>gross</w:t>
      </w:r>
      <w:r w:rsidR="00C64050">
        <w:t xml:space="preserve"> </w:t>
      </w:r>
      <w:r w:rsidRPr="005A33D6">
        <w:t>estate</w:t>
      </w:r>
      <w:r w:rsidR="00C64050">
        <w:t xml:space="preserve"> </w:t>
      </w:r>
      <w:r w:rsidRPr="005A33D6">
        <w:t>is</w:t>
      </w:r>
      <w:r w:rsidR="00C64050">
        <w:t xml:space="preserve"> </w:t>
      </w:r>
      <w:r w:rsidRPr="005A33D6">
        <w:t>excluded</w:t>
      </w:r>
      <w:r w:rsidR="00C64050">
        <w:t xml:space="preserve"> </w:t>
      </w:r>
      <w:r w:rsidRPr="005A33D6">
        <w:t>from</w:t>
      </w:r>
      <w:r w:rsidR="00C64050">
        <w:t xml:space="preserve"> </w:t>
      </w:r>
      <w:r w:rsidRPr="005A33D6">
        <w:t>the</w:t>
      </w:r>
      <w:r w:rsidR="00C64050">
        <w:t xml:space="preserve"> </w:t>
      </w:r>
      <w:r w:rsidRPr="005A33D6">
        <w:t>application</w:t>
      </w:r>
      <w:r w:rsidR="00C64050">
        <w:t xml:space="preserve"> </w:t>
      </w:r>
      <w:r w:rsidRPr="005A33D6">
        <w:t>of</w:t>
      </w:r>
      <w:r w:rsidR="00C64050">
        <w:t xml:space="preserve"> </w:t>
      </w:r>
      <w:r w:rsidRPr="005A33D6">
        <w:t>the</w:t>
      </w:r>
      <w:r w:rsidR="00C64050">
        <w:t xml:space="preserve"> </w:t>
      </w:r>
      <w:r w:rsidRPr="005A33D6">
        <w:t>consistency</w:t>
      </w:r>
      <w:r w:rsidR="00C64050">
        <w:t xml:space="preserve"> </w:t>
      </w:r>
      <w:r w:rsidRPr="005A33D6">
        <w:t>requirement.</w:t>
      </w:r>
    </w:p>
    <w:p w:rsidR="00546012" w:rsidRPr="00E93476" w:rsidRDefault="00546012" w:rsidP="00801686">
      <w:pPr>
        <w:pStyle w:val="Body15"/>
      </w:pPr>
      <w:r>
        <w:t>In</w:t>
      </w:r>
      <w:r w:rsidR="00C64050">
        <w:t xml:space="preserve"> </w:t>
      </w:r>
      <w:r>
        <w:t>other</w:t>
      </w:r>
      <w:r w:rsidR="00C64050">
        <w:t xml:space="preserve"> </w:t>
      </w:r>
      <w:r>
        <w:t>words,</w:t>
      </w:r>
      <w:r w:rsidR="00C64050">
        <w:t xml:space="preserve"> </w:t>
      </w:r>
      <w:r>
        <w:t>gross</w:t>
      </w:r>
      <w:r w:rsidR="00C64050">
        <w:t xml:space="preserve"> </w:t>
      </w:r>
      <w:r>
        <w:t>estates</w:t>
      </w:r>
      <w:r w:rsidR="00C64050">
        <w:t xml:space="preserve"> </w:t>
      </w:r>
      <w:r>
        <w:t>under</w:t>
      </w:r>
      <w:r w:rsidR="00C64050">
        <w:t xml:space="preserve"> </w:t>
      </w:r>
      <w:r>
        <w:t>the</w:t>
      </w:r>
      <w:r w:rsidR="00C64050">
        <w:t xml:space="preserve"> </w:t>
      </w:r>
      <w:r w:rsidR="000F6A95">
        <w:t>Applicable</w:t>
      </w:r>
      <w:r w:rsidR="00C64050">
        <w:t xml:space="preserve"> </w:t>
      </w:r>
      <w:r w:rsidR="000F6A95">
        <w:t>Exclusion</w:t>
      </w:r>
      <w:r w:rsidR="00C64050">
        <w:t xml:space="preserve"> </w:t>
      </w:r>
      <w:r w:rsidR="000F6A95">
        <w:t>Amount</w:t>
      </w:r>
      <w:r w:rsidR="00C64050">
        <w:t xml:space="preserve"> </w:t>
      </w:r>
      <w:r w:rsidR="009E3D88">
        <w:t>are</w:t>
      </w:r>
      <w:r w:rsidR="00C64050">
        <w:t xml:space="preserve"> </w:t>
      </w:r>
      <w:r w:rsidR="00E93476">
        <w:t>outside</w:t>
      </w:r>
      <w:r w:rsidR="00C64050">
        <w:t xml:space="preserve"> </w:t>
      </w:r>
      <w:r w:rsidR="00E93476">
        <w:t>the</w:t>
      </w:r>
      <w:r w:rsidR="00C64050">
        <w:t xml:space="preserve"> </w:t>
      </w:r>
      <w:r w:rsidR="00E93476">
        <w:t>consistency</w:t>
      </w:r>
      <w:r w:rsidR="00C64050">
        <w:t xml:space="preserve"> </w:t>
      </w:r>
      <w:r w:rsidR="00E93476">
        <w:t>requirement</w:t>
      </w:r>
      <w:r w:rsidR="00C64050">
        <w:t xml:space="preserve"> </w:t>
      </w:r>
      <w:r w:rsidR="00E93476">
        <w:t>(but</w:t>
      </w:r>
      <w:r w:rsidR="00C64050">
        <w:t xml:space="preserve"> </w:t>
      </w:r>
      <w:r w:rsidR="00E93476">
        <w:t>note</w:t>
      </w:r>
      <w:r w:rsidR="00C64050">
        <w:t xml:space="preserve"> </w:t>
      </w:r>
      <w:r w:rsidR="0061686A">
        <w:t>that</w:t>
      </w:r>
      <w:r w:rsidR="00C64050">
        <w:t xml:space="preserve"> </w:t>
      </w:r>
      <w:r w:rsidR="00E93476">
        <w:t>the</w:t>
      </w:r>
      <w:r w:rsidR="00C64050">
        <w:t xml:space="preserve"> </w:t>
      </w:r>
      <w:r w:rsidR="00E93476">
        <w:rPr>
          <w:u w:val="single"/>
        </w:rPr>
        <w:t>reporting</w:t>
      </w:r>
      <w:r w:rsidR="00C64050">
        <w:t xml:space="preserve"> </w:t>
      </w:r>
      <w:r w:rsidR="00E93476">
        <w:t>requirements</w:t>
      </w:r>
      <w:r w:rsidR="00C64050">
        <w:t xml:space="preserve"> </w:t>
      </w:r>
      <w:r w:rsidR="00E93476">
        <w:t>are</w:t>
      </w:r>
      <w:r w:rsidR="00C64050">
        <w:t xml:space="preserve"> </w:t>
      </w:r>
      <w:r w:rsidR="00E93476">
        <w:t>separate).</w:t>
      </w:r>
      <w:r w:rsidR="00C64050">
        <w:t xml:space="preserve">  </w:t>
      </w:r>
      <w:r w:rsidR="00E93476">
        <w:t>Property</w:t>
      </w:r>
      <w:r w:rsidR="00C64050">
        <w:t xml:space="preserve"> </w:t>
      </w:r>
      <w:r w:rsidR="00E93476">
        <w:t>for</w:t>
      </w:r>
      <w:r w:rsidR="00C64050">
        <w:t xml:space="preserve"> </w:t>
      </w:r>
      <w:r w:rsidR="00E93476">
        <w:t>which</w:t>
      </w:r>
      <w:r w:rsidR="00C64050">
        <w:t xml:space="preserve"> </w:t>
      </w:r>
      <w:r w:rsidR="00E93476">
        <w:t>a</w:t>
      </w:r>
      <w:r w:rsidR="00C64050">
        <w:t xml:space="preserve"> </w:t>
      </w:r>
      <w:r w:rsidR="00E93476">
        <w:t>marital</w:t>
      </w:r>
      <w:r w:rsidR="00C64050">
        <w:t xml:space="preserve"> </w:t>
      </w:r>
      <w:r w:rsidR="00E93476">
        <w:t>or</w:t>
      </w:r>
      <w:r w:rsidR="00C64050">
        <w:t xml:space="preserve"> </w:t>
      </w:r>
      <w:r w:rsidR="00E93476">
        <w:t>charitable</w:t>
      </w:r>
      <w:r w:rsidR="00C64050">
        <w:t xml:space="preserve"> </w:t>
      </w:r>
      <w:r w:rsidR="00E93476">
        <w:t>deduction</w:t>
      </w:r>
      <w:r w:rsidR="00C64050">
        <w:t xml:space="preserve"> </w:t>
      </w:r>
      <w:r w:rsidR="00E93476">
        <w:t>is</w:t>
      </w:r>
      <w:r w:rsidR="00C64050">
        <w:t xml:space="preserve"> </w:t>
      </w:r>
      <w:r w:rsidR="00E93476">
        <w:t>allowed</w:t>
      </w:r>
      <w:r w:rsidR="00C64050">
        <w:t xml:space="preserve"> </w:t>
      </w:r>
      <w:r w:rsidR="00E93476">
        <w:t>is</w:t>
      </w:r>
      <w:r w:rsidR="00C64050">
        <w:t xml:space="preserve"> </w:t>
      </w:r>
      <w:r w:rsidR="00E93476">
        <w:t>not</w:t>
      </w:r>
      <w:r w:rsidR="00C64050">
        <w:t xml:space="preserve"> </w:t>
      </w:r>
      <w:r w:rsidR="00E93476">
        <w:t>subject</w:t>
      </w:r>
      <w:r w:rsidR="00C64050">
        <w:t xml:space="preserve"> </w:t>
      </w:r>
      <w:r w:rsidR="00E93476">
        <w:t>to</w:t>
      </w:r>
      <w:r w:rsidR="00C64050">
        <w:t xml:space="preserve"> </w:t>
      </w:r>
      <w:r w:rsidR="00E93476">
        <w:t>the</w:t>
      </w:r>
      <w:r w:rsidR="00C64050">
        <w:t xml:space="preserve"> </w:t>
      </w:r>
      <w:r w:rsidR="00E93476">
        <w:t>consistency</w:t>
      </w:r>
      <w:r w:rsidR="00C64050">
        <w:t xml:space="preserve"> </w:t>
      </w:r>
      <w:r w:rsidR="00E93476">
        <w:t>rules</w:t>
      </w:r>
      <w:r w:rsidR="00C64050">
        <w:t xml:space="preserve"> </w:t>
      </w:r>
      <w:r w:rsidR="00E93476">
        <w:t>either,</w:t>
      </w:r>
      <w:r w:rsidR="00C64050">
        <w:t xml:space="preserve"> </w:t>
      </w:r>
      <w:r w:rsidR="00E93476">
        <w:t>nor</w:t>
      </w:r>
      <w:r w:rsidR="00C64050">
        <w:t xml:space="preserve"> </w:t>
      </w:r>
      <w:r w:rsidR="00E93476">
        <w:t>is</w:t>
      </w:r>
      <w:r w:rsidR="00C64050">
        <w:t xml:space="preserve"> </w:t>
      </w:r>
      <w:r w:rsidR="00E93476">
        <w:t>tangible</w:t>
      </w:r>
      <w:r w:rsidR="00C64050">
        <w:t xml:space="preserve"> </w:t>
      </w:r>
      <w:r w:rsidR="00E93476">
        <w:t>personal</w:t>
      </w:r>
      <w:r w:rsidR="00C64050">
        <w:t xml:space="preserve"> </w:t>
      </w:r>
      <w:r w:rsidR="00E93476">
        <w:t>property</w:t>
      </w:r>
      <w:r w:rsidR="00C64050">
        <w:t xml:space="preserve"> </w:t>
      </w:r>
      <w:r w:rsidR="00E93476">
        <w:t>worth</w:t>
      </w:r>
      <w:r w:rsidR="00C64050">
        <w:t xml:space="preserve"> </w:t>
      </w:r>
      <w:r w:rsidR="00E93476">
        <w:t>$3,000</w:t>
      </w:r>
      <w:r w:rsidR="00C64050">
        <w:t xml:space="preserve"> </w:t>
      </w:r>
      <w:r w:rsidR="00E93476">
        <w:t>or</w:t>
      </w:r>
      <w:r w:rsidR="00C64050">
        <w:t xml:space="preserve"> </w:t>
      </w:r>
      <w:r w:rsidR="00E93476">
        <w:t>less</w:t>
      </w:r>
      <w:r w:rsidR="00C64050">
        <w:t xml:space="preserve"> </w:t>
      </w:r>
      <w:r w:rsidR="00E93476">
        <w:t>(no</w:t>
      </w:r>
      <w:r w:rsidR="00C64050">
        <w:t xml:space="preserve"> </w:t>
      </w:r>
      <w:r w:rsidR="00E93476">
        <w:t>appraisal</w:t>
      </w:r>
      <w:r w:rsidR="00C64050">
        <w:t xml:space="preserve"> </w:t>
      </w:r>
      <w:r w:rsidR="00E93476">
        <w:t>req</w:t>
      </w:r>
      <w:r w:rsidR="000F6A95">
        <w:t>uired</w:t>
      </w:r>
      <w:r w:rsidR="00C64050">
        <w:t xml:space="preserve"> </w:t>
      </w:r>
      <w:r w:rsidR="000F6A95">
        <w:t>per</w:t>
      </w:r>
      <w:r w:rsidR="00C64050">
        <w:t xml:space="preserve"> </w:t>
      </w:r>
      <w:r w:rsidR="000F6A95">
        <w:t>Treas.</w:t>
      </w:r>
      <w:r w:rsidR="00C64050">
        <w:t xml:space="preserve"> </w:t>
      </w:r>
      <w:r w:rsidR="000F6A95">
        <w:t>Reg.</w:t>
      </w:r>
      <w:r w:rsidR="00C64050">
        <w:t xml:space="preserve"> </w:t>
      </w:r>
      <w:r w:rsidR="000F6A95">
        <w:t>§</w:t>
      </w:r>
      <w:r w:rsidR="00C64050">
        <w:t xml:space="preserve"> </w:t>
      </w:r>
      <w:r w:rsidR="000F6A95">
        <w:t>20.2031-</w:t>
      </w:r>
      <w:r w:rsidR="00E93476">
        <w:t>6(b)).</w:t>
      </w:r>
      <w:r w:rsidR="00C64050">
        <w:t xml:space="preserve">  </w:t>
      </w:r>
      <w:r w:rsidR="00E93476">
        <w:t>IRD</w:t>
      </w:r>
      <w:r w:rsidR="00C64050">
        <w:t xml:space="preserve"> </w:t>
      </w:r>
      <w:r w:rsidR="00E93476">
        <w:t>and</w:t>
      </w:r>
      <w:r w:rsidR="00C64050">
        <w:t xml:space="preserve"> </w:t>
      </w:r>
      <w:r w:rsidR="00E93476">
        <w:t>cash</w:t>
      </w:r>
      <w:r w:rsidR="00C64050">
        <w:t xml:space="preserve"> </w:t>
      </w:r>
      <w:r w:rsidR="00E93476">
        <w:t>are</w:t>
      </w:r>
      <w:r w:rsidR="00C64050">
        <w:t xml:space="preserve"> </w:t>
      </w:r>
      <w:r w:rsidR="00E93476">
        <w:t>likewise</w:t>
      </w:r>
      <w:r w:rsidR="00C64050">
        <w:t xml:space="preserve"> </w:t>
      </w:r>
      <w:r w:rsidR="00E93476">
        <w:t>excluded</w:t>
      </w:r>
      <w:r w:rsidR="00C64050">
        <w:t xml:space="preserve"> </w:t>
      </w:r>
      <w:r w:rsidR="00E93476">
        <w:t>but</w:t>
      </w:r>
      <w:r w:rsidR="00C64050">
        <w:t xml:space="preserve"> </w:t>
      </w:r>
      <w:r w:rsidR="00E93476">
        <w:t>not</w:t>
      </w:r>
      <w:r w:rsidR="00C64050">
        <w:t xml:space="preserve"> </w:t>
      </w:r>
      <w:r w:rsidR="00E93476">
        <w:t>if</w:t>
      </w:r>
      <w:r w:rsidR="00C64050">
        <w:t xml:space="preserve"> </w:t>
      </w:r>
      <w:r w:rsidR="00E93476">
        <w:t>the</w:t>
      </w:r>
      <w:r w:rsidR="00C64050">
        <w:t xml:space="preserve"> </w:t>
      </w:r>
      <w:r w:rsidR="00E93476">
        <w:t>value</w:t>
      </w:r>
      <w:r w:rsidR="00C64050">
        <w:t xml:space="preserve"> </w:t>
      </w:r>
      <w:r w:rsidR="00E93476">
        <w:t>is</w:t>
      </w:r>
      <w:r w:rsidR="00C64050">
        <w:t xml:space="preserve"> </w:t>
      </w:r>
      <w:r w:rsidR="00E93476">
        <w:t>as</w:t>
      </w:r>
      <w:r w:rsidR="00C64050">
        <w:t xml:space="preserve"> </w:t>
      </w:r>
      <w:r w:rsidR="00E93476">
        <w:t>a</w:t>
      </w:r>
      <w:r w:rsidR="00C64050">
        <w:t xml:space="preserve"> </w:t>
      </w:r>
      <w:r w:rsidR="00E93476">
        <w:t>numismatic.</w:t>
      </w:r>
    </w:p>
    <w:p w:rsidR="00801686" w:rsidRDefault="00801686" w:rsidP="00801686">
      <w:pPr>
        <w:pStyle w:val="Body15"/>
      </w:pPr>
      <w:r>
        <w:t>A</w:t>
      </w:r>
      <w:r w:rsidR="00C64050">
        <w:t xml:space="preserve"> </w:t>
      </w:r>
      <w:r>
        <w:t>taxpayer’s</w:t>
      </w:r>
      <w:r w:rsidR="00C64050">
        <w:t xml:space="preserve"> </w:t>
      </w:r>
      <w:r>
        <w:t>initial</w:t>
      </w:r>
      <w:r w:rsidR="00C64050">
        <w:t xml:space="preserve"> </w:t>
      </w:r>
      <w:r>
        <w:t>basis</w:t>
      </w:r>
      <w:r w:rsidR="00C64050">
        <w:t xml:space="preserve"> </w:t>
      </w:r>
      <w:r>
        <w:t>may</w:t>
      </w:r>
      <w:r w:rsidR="00C64050">
        <w:t xml:space="preserve"> </w:t>
      </w:r>
      <w:r>
        <w:t>not</w:t>
      </w:r>
      <w:r w:rsidR="00C64050">
        <w:t xml:space="preserve"> </w:t>
      </w:r>
      <w:r>
        <w:t>exceed</w:t>
      </w:r>
      <w:r w:rsidR="00C64050">
        <w:t xml:space="preserve"> </w:t>
      </w:r>
      <w:r>
        <w:t>the</w:t>
      </w:r>
      <w:r w:rsidR="00C64050">
        <w:t xml:space="preserve"> </w:t>
      </w:r>
      <w:r>
        <w:t>final</w:t>
      </w:r>
      <w:r w:rsidR="00C64050">
        <w:t xml:space="preserve"> </w:t>
      </w:r>
      <w:r>
        <w:t>value</w:t>
      </w:r>
      <w:r w:rsidR="00C64050">
        <w:t xml:space="preserve"> </w:t>
      </w:r>
      <w:r>
        <w:t>of</w:t>
      </w:r>
      <w:r w:rsidR="00C64050">
        <w:t xml:space="preserve"> </w:t>
      </w:r>
      <w:r>
        <w:t>the</w:t>
      </w:r>
      <w:r w:rsidR="00C64050">
        <w:t xml:space="preserve"> </w:t>
      </w:r>
      <w:r>
        <w:t>property</w:t>
      </w:r>
      <w:r w:rsidR="00C64050">
        <w:t xml:space="preserve"> </w:t>
      </w:r>
      <w:r>
        <w:t>which</w:t>
      </w:r>
      <w:r w:rsidR="00C64050">
        <w:t xml:space="preserve"> </w:t>
      </w:r>
      <w:r>
        <w:t>the</w:t>
      </w:r>
      <w:r w:rsidR="00C64050">
        <w:t xml:space="preserve"> </w:t>
      </w:r>
      <w:r>
        <w:t>summary</w:t>
      </w:r>
      <w:r w:rsidR="00C64050">
        <w:t xml:space="preserve"> </w:t>
      </w:r>
      <w:r>
        <w:t>explains</w:t>
      </w:r>
      <w:r w:rsidR="00C64050">
        <w:t xml:space="preserve"> </w:t>
      </w:r>
      <w:r>
        <w:t>this</w:t>
      </w:r>
      <w:r w:rsidR="00C64050">
        <w:t xml:space="preserve"> </w:t>
      </w:r>
      <w:r>
        <w:t>way:</w:t>
      </w:r>
    </w:p>
    <w:p w:rsidR="00801686" w:rsidRPr="006076BD" w:rsidRDefault="00465BBA" w:rsidP="006076BD">
      <w:pPr>
        <w:pStyle w:val="QS10"/>
      </w:pPr>
      <w:r w:rsidRPr="006076BD">
        <w:t>Proposed</w:t>
      </w:r>
      <w:r w:rsidR="00C64050">
        <w:t xml:space="preserve"> </w:t>
      </w:r>
      <w:r w:rsidRPr="006076BD">
        <w:t>§</w:t>
      </w:r>
      <w:r w:rsidR="00C64050">
        <w:t xml:space="preserve"> </w:t>
      </w:r>
      <w:r w:rsidRPr="006076BD">
        <w:t>1.1014-10(a)(1)</w:t>
      </w:r>
      <w:r w:rsidR="00C64050">
        <w:t xml:space="preserve"> </w:t>
      </w:r>
      <w:r w:rsidRPr="006076BD">
        <w:t>provides</w:t>
      </w:r>
      <w:r w:rsidR="00C64050">
        <w:t xml:space="preserve"> </w:t>
      </w:r>
      <w:r w:rsidRPr="006076BD">
        <w:t>that</w:t>
      </w:r>
      <w:r w:rsidR="00C64050">
        <w:t xml:space="preserve"> </w:t>
      </w:r>
      <w:r w:rsidRPr="006076BD">
        <w:t>a</w:t>
      </w:r>
      <w:r w:rsidR="00C64050">
        <w:t xml:space="preserve"> </w:t>
      </w:r>
      <w:r w:rsidRPr="006076BD">
        <w:t>taxpayer's</w:t>
      </w:r>
      <w:r w:rsidR="00C64050">
        <w:t xml:space="preserve"> </w:t>
      </w:r>
      <w:r w:rsidRPr="006076BD">
        <w:t>initial</w:t>
      </w:r>
      <w:r w:rsidR="00C64050">
        <w:t xml:space="preserve"> </w:t>
      </w:r>
      <w:r w:rsidRPr="006076BD">
        <w:t>basis</w:t>
      </w:r>
      <w:r w:rsidR="00C64050">
        <w:t xml:space="preserve"> </w:t>
      </w:r>
      <w:r w:rsidRPr="006076BD">
        <w:t>in</w:t>
      </w:r>
      <w:r w:rsidR="00C64050">
        <w:t xml:space="preserve"> </w:t>
      </w:r>
      <w:r w:rsidRPr="006076BD">
        <w:t>certain</w:t>
      </w:r>
      <w:r w:rsidR="00C64050">
        <w:t xml:space="preserve"> </w:t>
      </w:r>
      <w:r w:rsidRPr="006076BD">
        <w:t>property</w:t>
      </w:r>
      <w:r w:rsidR="00C64050">
        <w:t xml:space="preserve"> </w:t>
      </w:r>
      <w:r w:rsidRPr="006076BD">
        <w:t>acquired</w:t>
      </w:r>
      <w:r w:rsidR="00C64050">
        <w:t xml:space="preserve"> </w:t>
      </w:r>
      <w:r w:rsidRPr="006076BD">
        <w:t>from</w:t>
      </w:r>
      <w:r w:rsidR="00C64050">
        <w:t xml:space="preserve"> </w:t>
      </w:r>
      <w:r w:rsidRPr="006076BD">
        <w:t>a</w:t>
      </w:r>
      <w:r w:rsidR="00C64050">
        <w:t xml:space="preserve"> </w:t>
      </w:r>
      <w:r w:rsidRPr="006076BD">
        <w:t>decedent</w:t>
      </w:r>
      <w:r w:rsidR="00C64050">
        <w:t xml:space="preserve"> </w:t>
      </w:r>
      <w:r w:rsidRPr="006076BD">
        <w:t>may</w:t>
      </w:r>
      <w:r w:rsidR="00C64050">
        <w:t xml:space="preserve"> </w:t>
      </w:r>
      <w:r w:rsidRPr="006076BD">
        <w:t>not</w:t>
      </w:r>
      <w:r w:rsidR="00C64050">
        <w:t xml:space="preserve"> </w:t>
      </w:r>
      <w:r w:rsidRPr="006076BD">
        <w:t>exceed</w:t>
      </w:r>
      <w:r w:rsidR="00C64050">
        <w:t xml:space="preserve"> </w:t>
      </w:r>
      <w:r w:rsidRPr="006076BD">
        <w:t>the</w:t>
      </w:r>
      <w:r w:rsidR="00C64050">
        <w:t xml:space="preserve"> </w:t>
      </w:r>
      <w:r w:rsidRPr="006076BD">
        <w:t>final</w:t>
      </w:r>
      <w:r w:rsidR="00C64050">
        <w:t xml:space="preserve"> </w:t>
      </w:r>
      <w:r w:rsidRPr="006076BD">
        <w:t>value</w:t>
      </w:r>
      <w:r w:rsidR="00C64050">
        <w:t xml:space="preserve"> </w:t>
      </w:r>
      <w:r w:rsidRPr="006076BD">
        <w:t>of</w:t>
      </w:r>
      <w:r w:rsidR="00C64050">
        <w:t xml:space="preserve"> </w:t>
      </w:r>
      <w:r w:rsidRPr="006076BD">
        <w:t>the</w:t>
      </w:r>
      <w:r w:rsidR="00C64050">
        <w:t xml:space="preserve"> </w:t>
      </w:r>
      <w:r w:rsidRPr="006076BD">
        <w:t>property</w:t>
      </w:r>
      <w:r w:rsidR="00C64050">
        <w:t xml:space="preserve"> </w:t>
      </w:r>
      <w:r w:rsidRPr="006076BD">
        <w:t>as</w:t>
      </w:r>
      <w:r w:rsidR="00C64050">
        <w:t xml:space="preserve"> </w:t>
      </w:r>
      <w:r w:rsidRPr="006076BD">
        <w:t>that</w:t>
      </w:r>
      <w:r w:rsidR="00C64050">
        <w:t xml:space="preserve"> </w:t>
      </w:r>
      <w:r w:rsidRPr="006076BD">
        <w:t>term</w:t>
      </w:r>
      <w:r w:rsidR="00C64050">
        <w:t xml:space="preserve"> </w:t>
      </w:r>
      <w:r w:rsidRPr="006076BD">
        <w:t>is</w:t>
      </w:r>
      <w:r w:rsidR="00C64050">
        <w:t xml:space="preserve"> </w:t>
      </w:r>
      <w:r w:rsidRPr="006076BD">
        <w:t>defined</w:t>
      </w:r>
      <w:r w:rsidR="00C64050">
        <w:t xml:space="preserve"> </w:t>
      </w:r>
      <w:r w:rsidRPr="006076BD">
        <w:t>in</w:t>
      </w:r>
      <w:r w:rsidR="00C64050">
        <w:t xml:space="preserve"> </w:t>
      </w:r>
      <w:r w:rsidRPr="006076BD">
        <w:t>§</w:t>
      </w:r>
      <w:r w:rsidR="00C64050">
        <w:t xml:space="preserve"> </w:t>
      </w:r>
      <w:r w:rsidRPr="006076BD">
        <w:t>1.1014-10(c).</w:t>
      </w:r>
      <w:r w:rsidR="00C64050">
        <w:t xml:space="preserve"> </w:t>
      </w:r>
      <w:r w:rsidRPr="006076BD">
        <w:t>This</w:t>
      </w:r>
      <w:r w:rsidR="00C64050">
        <w:t xml:space="preserve"> </w:t>
      </w:r>
      <w:r w:rsidRPr="006076BD">
        <w:t>limitation</w:t>
      </w:r>
      <w:r w:rsidR="00C64050">
        <w:t xml:space="preserve"> </w:t>
      </w:r>
      <w:r w:rsidRPr="006076BD">
        <w:t>applies</w:t>
      </w:r>
      <w:r w:rsidR="00C64050">
        <w:t xml:space="preserve"> </w:t>
      </w:r>
      <w:r w:rsidRPr="006076BD">
        <w:t>to</w:t>
      </w:r>
      <w:r w:rsidR="00C64050">
        <w:t xml:space="preserve"> </w:t>
      </w:r>
      <w:r w:rsidRPr="006076BD">
        <w:t>the</w:t>
      </w:r>
      <w:r w:rsidR="00C64050">
        <w:t xml:space="preserve"> </w:t>
      </w:r>
      <w:r w:rsidRPr="006076BD">
        <w:t>property</w:t>
      </w:r>
      <w:r w:rsidR="00C64050">
        <w:t xml:space="preserve"> </w:t>
      </w:r>
      <w:r w:rsidRPr="006076BD">
        <w:t>whenever</w:t>
      </w:r>
      <w:r w:rsidR="00C64050">
        <w:t xml:space="preserve"> </w:t>
      </w:r>
      <w:r w:rsidRPr="006076BD">
        <w:t>the</w:t>
      </w:r>
      <w:r w:rsidR="00C64050">
        <w:t xml:space="preserve"> </w:t>
      </w:r>
      <w:r w:rsidRPr="006076BD">
        <w:t>taxpayer</w:t>
      </w:r>
      <w:r w:rsidR="00C64050">
        <w:t xml:space="preserve"> </w:t>
      </w:r>
      <w:r w:rsidRPr="006076BD">
        <w:t>reports</w:t>
      </w:r>
      <w:r w:rsidR="00C64050">
        <w:t xml:space="preserve"> </w:t>
      </w:r>
      <w:r w:rsidRPr="006076BD">
        <w:t>to</w:t>
      </w:r>
      <w:r w:rsidR="00C64050">
        <w:t xml:space="preserve"> </w:t>
      </w:r>
      <w:r w:rsidRPr="006076BD">
        <w:t>the</w:t>
      </w:r>
      <w:r w:rsidR="00C64050">
        <w:t xml:space="preserve"> </w:t>
      </w:r>
      <w:r w:rsidRPr="006076BD">
        <w:t>IRS</w:t>
      </w:r>
      <w:r w:rsidR="00C64050">
        <w:t xml:space="preserve"> </w:t>
      </w:r>
      <w:r w:rsidRPr="006076BD">
        <w:t>a</w:t>
      </w:r>
      <w:r w:rsidR="00C64050">
        <w:t xml:space="preserve"> </w:t>
      </w:r>
      <w:r w:rsidRPr="006076BD">
        <w:t>taxable</w:t>
      </w:r>
      <w:r w:rsidR="00C64050">
        <w:t xml:space="preserve"> </w:t>
      </w:r>
      <w:r w:rsidRPr="006076BD">
        <w:t>event</w:t>
      </w:r>
      <w:r w:rsidR="00C64050">
        <w:t xml:space="preserve"> </w:t>
      </w:r>
      <w:r w:rsidRPr="006076BD">
        <w:t>with</w:t>
      </w:r>
      <w:r w:rsidR="00C64050">
        <w:t xml:space="preserve"> </w:t>
      </w:r>
      <w:r w:rsidRPr="006076BD">
        <w:t>respect</w:t>
      </w:r>
      <w:r w:rsidR="00C64050">
        <w:t xml:space="preserve"> </w:t>
      </w:r>
      <w:r w:rsidRPr="006076BD">
        <w:t>to</w:t>
      </w:r>
      <w:r w:rsidR="00C64050">
        <w:t xml:space="preserve"> </w:t>
      </w:r>
      <w:r w:rsidRPr="006076BD">
        <w:t>the</w:t>
      </w:r>
      <w:r w:rsidR="00C64050">
        <w:t xml:space="preserve"> </w:t>
      </w:r>
      <w:r w:rsidRPr="006076BD">
        <w:t>property</w:t>
      </w:r>
      <w:r w:rsidR="00C64050">
        <w:t xml:space="preserve"> </w:t>
      </w:r>
      <w:r w:rsidRPr="006076BD">
        <w:t>(for</w:t>
      </w:r>
      <w:r w:rsidR="00C64050">
        <w:t xml:space="preserve"> </w:t>
      </w:r>
      <w:r w:rsidRPr="006076BD">
        <w:t>example,</w:t>
      </w:r>
      <w:r w:rsidR="00C64050">
        <w:t xml:space="preserve"> </w:t>
      </w:r>
      <w:r w:rsidRPr="006076BD">
        <w:t>depreciation</w:t>
      </w:r>
      <w:r w:rsidR="00C64050">
        <w:t xml:space="preserve"> </w:t>
      </w:r>
      <w:r w:rsidRPr="006076BD">
        <w:t>or</w:t>
      </w:r>
      <w:r w:rsidR="00C64050">
        <w:t xml:space="preserve"> </w:t>
      </w:r>
      <w:r w:rsidRPr="006076BD">
        <w:t>amortization)</w:t>
      </w:r>
      <w:r w:rsidR="00C64050">
        <w:t xml:space="preserve"> </w:t>
      </w:r>
      <w:r w:rsidRPr="006076BD">
        <w:t>and</w:t>
      </w:r>
      <w:r w:rsidR="00C64050">
        <w:t xml:space="preserve"> </w:t>
      </w:r>
      <w:r w:rsidRPr="006076BD">
        <w:t>continues</w:t>
      </w:r>
      <w:r w:rsidR="00C64050">
        <w:t xml:space="preserve"> </w:t>
      </w:r>
      <w:r w:rsidRPr="006076BD">
        <w:t>to</w:t>
      </w:r>
      <w:r w:rsidR="00C64050">
        <w:t xml:space="preserve"> </w:t>
      </w:r>
      <w:r w:rsidRPr="006076BD">
        <w:t>apply</w:t>
      </w:r>
      <w:r w:rsidR="00C64050">
        <w:t xml:space="preserve"> </w:t>
      </w:r>
      <w:r w:rsidRPr="006076BD">
        <w:t>until</w:t>
      </w:r>
      <w:r w:rsidR="00C64050">
        <w:t xml:space="preserve"> </w:t>
      </w:r>
      <w:r w:rsidRPr="006076BD">
        <w:t>the</w:t>
      </w:r>
      <w:r w:rsidR="00C64050">
        <w:t xml:space="preserve"> </w:t>
      </w:r>
      <w:r w:rsidRPr="006076BD">
        <w:t>property</w:t>
      </w:r>
      <w:r w:rsidR="00C64050">
        <w:t xml:space="preserve"> </w:t>
      </w:r>
      <w:r w:rsidRPr="006076BD">
        <w:t>is</w:t>
      </w:r>
      <w:r w:rsidR="00C64050">
        <w:t xml:space="preserve"> </w:t>
      </w:r>
      <w:r w:rsidRPr="006076BD">
        <w:t>sold,</w:t>
      </w:r>
      <w:r w:rsidR="00C64050">
        <w:t xml:space="preserve"> </w:t>
      </w:r>
      <w:r w:rsidRPr="006076BD">
        <w:t>exchanged,</w:t>
      </w:r>
      <w:r w:rsidR="00C64050">
        <w:t xml:space="preserve"> </w:t>
      </w:r>
      <w:r w:rsidRPr="006076BD">
        <w:t>or</w:t>
      </w:r>
      <w:r w:rsidR="00C64050">
        <w:t xml:space="preserve"> </w:t>
      </w:r>
      <w:r w:rsidRPr="006076BD">
        <w:t>otherwise</w:t>
      </w:r>
      <w:r w:rsidR="00C64050">
        <w:t xml:space="preserve"> </w:t>
      </w:r>
      <w:r w:rsidRPr="006076BD">
        <w:t>disposed</w:t>
      </w:r>
      <w:r w:rsidR="00C64050">
        <w:t xml:space="preserve"> </w:t>
      </w:r>
      <w:r w:rsidRPr="006076BD">
        <w:t>of</w:t>
      </w:r>
      <w:r w:rsidR="00C64050">
        <w:t xml:space="preserve"> </w:t>
      </w:r>
      <w:r w:rsidRPr="006076BD">
        <w:t>in</w:t>
      </w:r>
      <w:r w:rsidR="00C64050">
        <w:t xml:space="preserve"> </w:t>
      </w:r>
      <w:r w:rsidRPr="006076BD">
        <w:t>one</w:t>
      </w:r>
      <w:r w:rsidR="00C64050">
        <w:t xml:space="preserve"> </w:t>
      </w:r>
      <w:r w:rsidRPr="006076BD">
        <w:t>or</w:t>
      </w:r>
      <w:r w:rsidR="00C64050">
        <w:t xml:space="preserve"> </w:t>
      </w:r>
      <w:r w:rsidRPr="006076BD">
        <w:t>more</w:t>
      </w:r>
      <w:r w:rsidR="00C64050">
        <w:t xml:space="preserve"> </w:t>
      </w:r>
      <w:r w:rsidRPr="006076BD">
        <w:t>transactions</w:t>
      </w:r>
      <w:r w:rsidR="00C64050">
        <w:t xml:space="preserve"> </w:t>
      </w:r>
      <w:r w:rsidRPr="006076BD">
        <w:t>that</w:t>
      </w:r>
      <w:r w:rsidR="00C64050">
        <w:t xml:space="preserve"> </w:t>
      </w:r>
      <w:r w:rsidRPr="006076BD">
        <w:t>result</w:t>
      </w:r>
      <w:r w:rsidR="00C64050">
        <w:t xml:space="preserve"> </w:t>
      </w:r>
      <w:r w:rsidRPr="006076BD">
        <w:t>in</w:t>
      </w:r>
      <w:r w:rsidR="00C64050">
        <w:t xml:space="preserve"> </w:t>
      </w:r>
      <w:r w:rsidRPr="006076BD">
        <w:t>the</w:t>
      </w:r>
      <w:r w:rsidR="00C64050">
        <w:t xml:space="preserve"> </w:t>
      </w:r>
      <w:r w:rsidRPr="006076BD">
        <w:t>recognition</w:t>
      </w:r>
      <w:r w:rsidR="00C64050">
        <w:t xml:space="preserve"> </w:t>
      </w:r>
      <w:r w:rsidRPr="006076BD">
        <w:t>of</w:t>
      </w:r>
      <w:r w:rsidR="00C64050">
        <w:t xml:space="preserve"> </w:t>
      </w:r>
      <w:r w:rsidRPr="006076BD">
        <w:t>gain</w:t>
      </w:r>
      <w:r w:rsidR="00C64050">
        <w:t xml:space="preserve"> </w:t>
      </w:r>
      <w:r w:rsidRPr="006076BD">
        <w:t>or</w:t>
      </w:r>
      <w:r w:rsidR="00C64050">
        <w:t xml:space="preserve"> </w:t>
      </w:r>
      <w:r w:rsidRPr="006076BD">
        <w:t>loss</w:t>
      </w:r>
      <w:r w:rsidR="00C64050">
        <w:t xml:space="preserve"> </w:t>
      </w:r>
      <w:r w:rsidRPr="006076BD">
        <w:t>for</w:t>
      </w:r>
      <w:r w:rsidR="00C64050">
        <w:t xml:space="preserve"> </w:t>
      </w:r>
      <w:r w:rsidRPr="006076BD">
        <w:t>Federal</w:t>
      </w:r>
      <w:r w:rsidR="00C64050">
        <w:t xml:space="preserve"> </w:t>
      </w:r>
      <w:r w:rsidRPr="006076BD">
        <w:t>income</w:t>
      </w:r>
      <w:r w:rsidR="00C64050">
        <w:t xml:space="preserve"> </w:t>
      </w:r>
      <w:r w:rsidRPr="006076BD">
        <w:t>tax</w:t>
      </w:r>
      <w:r w:rsidR="00C64050">
        <w:t xml:space="preserve"> </w:t>
      </w:r>
      <w:r w:rsidRPr="006076BD">
        <w:t>purposes.</w:t>
      </w:r>
      <w:r w:rsidR="00C64050">
        <w:t xml:space="preserve"> </w:t>
      </w:r>
      <w:r w:rsidRPr="006076BD">
        <w:t>The</w:t>
      </w:r>
      <w:r w:rsidR="00C64050">
        <w:t xml:space="preserve"> </w:t>
      </w:r>
      <w:r w:rsidRPr="006076BD">
        <w:t>property</w:t>
      </w:r>
      <w:r w:rsidR="00C64050">
        <w:t xml:space="preserve"> </w:t>
      </w:r>
      <w:r w:rsidRPr="006076BD">
        <w:t>for</w:t>
      </w:r>
      <w:r w:rsidR="00C64050">
        <w:t xml:space="preserve"> </w:t>
      </w:r>
      <w:r w:rsidRPr="006076BD">
        <w:t>this</w:t>
      </w:r>
      <w:r w:rsidR="00C64050">
        <w:t xml:space="preserve"> </w:t>
      </w:r>
      <w:r w:rsidRPr="006076BD">
        <w:t>purpose</w:t>
      </w:r>
      <w:r w:rsidR="00C64050">
        <w:t xml:space="preserve"> </w:t>
      </w:r>
      <w:r w:rsidRPr="006076BD">
        <w:t>includes</w:t>
      </w:r>
      <w:r w:rsidR="00C64050">
        <w:t xml:space="preserve"> </w:t>
      </w:r>
      <w:r w:rsidRPr="006076BD">
        <w:t>any</w:t>
      </w:r>
      <w:r w:rsidR="00C64050">
        <w:t xml:space="preserve"> </w:t>
      </w:r>
      <w:r w:rsidRPr="006076BD">
        <w:t>other</w:t>
      </w:r>
      <w:r w:rsidR="00C64050">
        <w:t xml:space="preserve"> </w:t>
      </w:r>
      <w:r w:rsidRPr="006076BD">
        <w:t>property</w:t>
      </w:r>
      <w:r w:rsidR="00C64050">
        <w:t xml:space="preserve"> </w:t>
      </w:r>
      <w:r w:rsidRPr="006076BD">
        <w:t>the</w:t>
      </w:r>
      <w:r w:rsidR="00C64050">
        <w:t xml:space="preserve"> </w:t>
      </w:r>
      <w:r w:rsidRPr="006076BD">
        <w:t>basis</w:t>
      </w:r>
      <w:r w:rsidR="00C64050">
        <w:t xml:space="preserve"> </w:t>
      </w:r>
      <w:r w:rsidRPr="006076BD">
        <w:t>of</w:t>
      </w:r>
      <w:r w:rsidR="00C64050">
        <w:t xml:space="preserve"> </w:t>
      </w:r>
      <w:r w:rsidRPr="006076BD">
        <w:t>which</w:t>
      </w:r>
      <w:r w:rsidR="00C64050">
        <w:t xml:space="preserve"> </w:t>
      </w:r>
      <w:r w:rsidRPr="006076BD">
        <w:t>is</w:t>
      </w:r>
      <w:r w:rsidR="00C64050">
        <w:t xml:space="preserve"> </w:t>
      </w:r>
      <w:r w:rsidRPr="006076BD">
        <w:t>determined</w:t>
      </w:r>
      <w:r w:rsidR="00C64050">
        <w:t xml:space="preserve"> </w:t>
      </w:r>
      <w:r w:rsidRPr="006076BD">
        <w:t>in</w:t>
      </w:r>
      <w:r w:rsidR="00C64050">
        <w:t xml:space="preserve"> </w:t>
      </w:r>
      <w:r w:rsidRPr="006076BD">
        <w:t>whole</w:t>
      </w:r>
      <w:r w:rsidR="00C64050">
        <w:t xml:space="preserve"> </w:t>
      </w:r>
      <w:r w:rsidRPr="006076BD">
        <w:t>or</w:t>
      </w:r>
      <w:r w:rsidR="00C64050">
        <w:t xml:space="preserve"> </w:t>
      </w:r>
      <w:r w:rsidRPr="006076BD">
        <w:t>in</w:t>
      </w:r>
      <w:r w:rsidR="00C64050">
        <w:t xml:space="preserve"> </w:t>
      </w:r>
      <w:r w:rsidRPr="006076BD">
        <w:t>part</w:t>
      </w:r>
      <w:r w:rsidR="00C64050">
        <w:t xml:space="preserve"> </w:t>
      </w:r>
      <w:r w:rsidRPr="006076BD">
        <w:t>by</w:t>
      </w:r>
      <w:r w:rsidR="00C64050">
        <w:t xml:space="preserve"> </w:t>
      </w:r>
      <w:r w:rsidRPr="006076BD">
        <w:t>reference</w:t>
      </w:r>
      <w:r w:rsidR="00C64050">
        <w:t xml:space="preserve"> </w:t>
      </w:r>
      <w:r w:rsidRPr="006076BD">
        <w:t>to</w:t>
      </w:r>
      <w:r w:rsidR="00C64050">
        <w:t xml:space="preserve"> </w:t>
      </w:r>
      <w:r w:rsidRPr="006076BD">
        <w:t>the</w:t>
      </w:r>
      <w:r w:rsidR="00C64050">
        <w:t xml:space="preserve"> </w:t>
      </w:r>
      <w:r w:rsidRPr="006076BD">
        <w:t>basis</w:t>
      </w:r>
      <w:r w:rsidR="00C64050">
        <w:t xml:space="preserve"> </w:t>
      </w:r>
      <w:r w:rsidRPr="006076BD">
        <w:t>of</w:t>
      </w:r>
      <w:r w:rsidR="00C64050">
        <w:t xml:space="preserve"> </w:t>
      </w:r>
      <w:r w:rsidRPr="006076BD">
        <w:t>the</w:t>
      </w:r>
      <w:r w:rsidR="00C64050">
        <w:t xml:space="preserve"> </w:t>
      </w:r>
      <w:r w:rsidRPr="006076BD">
        <w:t>property</w:t>
      </w:r>
      <w:r w:rsidR="00C64050">
        <w:t xml:space="preserve"> </w:t>
      </w:r>
      <w:r w:rsidRPr="006076BD">
        <w:t>acquired</w:t>
      </w:r>
      <w:r w:rsidR="00C64050">
        <w:t xml:space="preserve"> </w:t>
      </w:r>
      <w:r w:rsidRPr="006076BD">
        <w:t>from</w:t>
      </w:r>
      <w:r w:rsidR="00C64050">
        <w:t xml:space="preserve"> </w:t>
      </w:r>
      <w:r w:rsidRPr="006076BD">
        <w:t>the</w:t>
      </w:r>
      <w:r w:rsidR="00C64050">
        <w:t xml:space="preserve"> </w:t>
      </w:r>
      <w:r w:rsidRPr="006076BD">
        <w:t>estate</w:t>
      </w:r>
      <w:r w:rsidR="00C64050">
        <w:t xml:space="preserve"> </w:t>
      </w:r>
      <w:r w:rsidRPr="006076BD">
        <w:t>or</w:t>
      </w:r>
      <w:r w:rsidR="00C64050">
        <w:t xml:space="preserve"> </w:t>
      </w:r>
      <w:r w:rsidRPr="006076BD">
        <w:t>as</w:t>
      </w:r>
      <w:r w:rsidR="00C64050">
        <w:t xml:space="preserve"> </w:t>
      </w:r>
      <w:r w:rsidRPr="006076BD">
        <w:t>a</w:t>
      </w:r>
      <w:r w:rsidR="00C64050">
        <w:t xml:space="preserve"> </w:t>
      </w:r>
      <w:r w:rsidRPr="006076BD">
        <w:t>result</w:t>
      </w:r>
      <w:r w:rsidR="00C64050">
        <w:t xml:space="preserve"> </w:t>
      </w:r>
      <w:r w:rsidRPr="006076BD">
        <w:t>of</w:t>
      </w:r>
      <w:r w:rsidR="00C64050">
        <w:t xml:space="preserve"> </w:t>
      </w:r>
      <w:r w:rsidRPr="006076BD">
        <w:t>the</w:t>
      </w:r>
      <w:r w:rsidR="00C64050">
        <w:t xml:space="preserve"> </w:t>
      </w:r>
      <w:r w:rsidRPr="006076BD">
        <w:t>death</w:t>
      </w:r>
      <w:r w:rsidR="00C64050">
        <w:t xml:space="preserve"> </w:t>
      </w:r>
      <w:r w:rsidRPr="006076BD">
        <w:t>of</w:t>
      </w:r>
      <w:r w:rsidR="00C64050">
        <w:t xml:space="preserve"> </w:t>
      </w:r>
      <w:r w:rsidRPr="006076BD">
        <w:t>the</w:t>
      </w:r>
      <w:r w:rsidR="00C64050">
        <w:t xml:space="preserve"> </w:t>
      </w:r>
      <w:r w:rsidRPr="006076BD">
        <w:t>decedent</w:t>
      </w:r>
      <w:r w:rsidR="00C64050">
        <w:t xml:space="preserve"> </w:t>
      </w:r>
      <w:r w:rsidRPr="006076BD">
        <w:t>(for</w:t>
      </w:r>
      <w:r w:rsidR="00C64050">
        <w:t xml:space="preserve"> </w:t>
      </w:r>
      <w:r w:rsidRPr="006076BD">
        <w:t>example</w:t>
      </w:r>
      <w:r w:rsidR="00C64050">
        <w:t xml:space="preserve"> </w:t>
      </w:r>
      <w:r w:rsidRPr="006076BD">
        <w:t>as</w:t>
      </w:r>
      <w:r w:rsidR="00C64050">
        <w:t xml:space="preserve"> </w:t>
      </w:r>
      <w:r w:rsidRPr="006076BD">
        <w:t>the</w:t>
      </w:r>
      <w:r w:rsidR="00C64050">
        <w:t xml:space="preserve"> </w:t>
      </w:r>
      <w:r w:rsidRPr="006076BD">
        <w:t>result</w:t>
      </w:r>
      <w:r w:rsidR="00C64050">
        <w:t xml:space="preserve"> </w:t>
      </w:r>
      <w:r w:rsidRPr="006076BD">
        <w:t>of</w:t>
      </w:r>
      <w:r w:rsidR="00C64050">
        <w:t xml:space="preserve"> </w:t>
      </w:r>
      <w:r w:rsidRPr="006076BD">
        <w:t>a</w:t>
      </w:r>
      <w:r w:rsidR="00C64050">
        <w:t xml:space="preserve"> </w:t>
      </w:r>
      <w:r w:rsidRPr="006076BD">
        <w:t>like-kind</w:t>
      </w:r>
      <w:r w:rsidR="00C64050">
        <w:t xml:space="preserve"> </w:t>
      </w:r>
      <w:r w:rsidRPr="006076BD">
        <w:t>exchange</w:t>
      </w:r>
      <w:r w:rsidR="00C64050">
        <w:t xml:space="preserve"> </w:t>
      </w:r>
      <w:r w:rsidRPr="006076BD">
        <w:t>or</w:t>
      </w:r>
      <w:r w:rsidR="00C64050">
        <w:t xml:space="preserve"> </w:t>
      </w:r>
      <w:r w:rsidRPr="006076BD">
        <w:t>involuntary</w:t>
      </w:r>
      <w:r w:rsidR="00C64050">
        <w:t xml:space="preserve"> </w:t>
      </w:r>
      <w:r w:rsidRPr="006076BD">
        <w:t>conversion).</w:t>
      </w:r>
    </w:p>
    <w:p w:rsidR="00801686" w:rsidRPr="006076BD" w:rsidRDefault="00801686" w:rsidP="006076BD">
      <w:pPr>
        <w:pStyle w:val="QS10"/>
        <w:jc w:val="center"/>
      </w:pPr>
      <w:r w:rsidRPr="006076BD">
        <w:t>***</w:t>
      </w:r>
    </w:p>
    <w:p w:rsidR="00465BBA" w:rsidRPr="006076BD" w:rsidRDefault="00EA23AC" w:rsidP="006076BD">
      <w:pPr>
        <w:pStyle w:val="QS10"/>
      </w:pPr>
      <w:hyperlink r:id="rId70" w:anchor="co_pp_f8fc0000f70d0" w:history="1">
        <w:r w:rsidR="00465BBA" w:rsidRPr="006076BD">
          <w:t>Section</w:t>
        </w:r>
        <w:r w:rsidR="00C64050">
          <w:t xml:space="preserve"> </w:t>
        </w:r>
        <w:r w:rsidR="00465BBA" w:rsidRPr="006076BD">
          <w:t>1014(f)(3)</w:t>
        </w:r>
      </w:hyperlink>
      <w:r w:rsidR="00C64050">
        <w:t xml:space="preserve"> </w:t>
      </w:r>
      <w:r w:rsidR="00465BBA" w:rsidRPr="006076BD">
        <w:t>provides</w:t>
      </w:r>
      <w:r w:rsidR="00C64050">
        <w:t xml:space="preserve"> </w:t>
      </w:r>
      <w:r w:rsidR="00465BBA" w:rsidRPr="006076BD">
        <w:t>that,</w:t>
      </w:r>
      <w:r w:rsidR="00C64050">
        <w:t xml:space="preserve"> </w:t>
      </w:r>
      <w:r w:rsidR="00465BBA" w:rsidRPr="006076BD">
        <w:t>for</w:t>
      </w:r>
      <w:r w:rsidR="00C64050">
        <w:t xml:space="preserve"> </w:t>
      </w:r>
      <w:r w:rsidR="00465BBA" w:rsidRPr="006076BD">
        <w:t>purposes</w:t>
      </w:r>
      <w:r w:rsidR="00C64050">
        <w:t xml:space="preserve"> </w:t>
      </w:r>
      <w:r w:rsidR="00465BBA" w:rsidRPr="006076BD">
        <w:t>of</w:t>
      </w:r>
      <w:r w:rsidR="00C64050">
        <w:t xml:space="preserve"> </w:t>
      </w:r>
      <w:hyperlink r:id="rId71" w:anchor="co_pp_9daf00009de57" w:history="1">
        <w:r w:rsidR="00465BBA" w:rsidRPr="006076BD">
          <w:t>section</w:t>
        </w:r>
        <w:r w:rsidR="00C64050">
          <w:t xml:space="preserve"> </w:t>
        </w:r>
        <w:r w:rsidR="00465BBA" w:rsidRPr="006076BD">
          <w:t>1014(f)(1)</w:t>
        </w:r>
      </w:hyperlink>
      <w:r w:rsidR="00465BBA" w:rsidRPr="006076BD">
        <w:t>,</w:t>
      </w:r>
      <w:r w:rsidR="00C64050">
        <w:t xml:space="preserve"> </w:t>
      </w:r>
      <w:r w:rsidR="00465BBA" w:rsidRPr="006076BD">
        <w:t>the</w:t>
      </w:r>
      <w:r w:rsidR="00C64050">
        <w:t xml:space="preserve"> </w:t>
      </w:r>
      <w:r w:rsidR="00465BBA" w:rsidRPr="006076BD">
        <w:t>final</w:t>
      </w:r>
      <w:r w:rsidR="00C64050">
        <w:t xml:space="preserve"> </w:t>
      </w:r>
      <w:r w:rsidR="00465BBA" w:rsidRPr="006076BD">
        <w:t>value</w:t>
      </w:r>
      <w:r w:rsidR="00C64050">
        <w:t xml:space="preserve"> </w:t>
      </w:r>
      <w:r w:rsidR="00465BBA" w:rsidRPr="006076BD">
        <w:t>of</w:t>
      </w:r>
      <w:r w:rsidR="00C64050">
        <w:t xml:space="preserve"> </w:t>
      </w:r>
      <w:r w:rsidR="00465BBA" w:rsidRPr="006076BD">
        <w:t>property</w:t>
      </w:r>
      <w:r w:rsidR="00C64050">
        <w:t xml:space="preserve"> </w:t>
      </w:r>
      <w:r w:rsidR="00465BBA" w:rsidRPr="006076BD">
        <w:t>has</w:t>
      </w:r>
      <w:r w:rsidR="00C64050">
        <w:t xml:space="preserve"> </w:t>
      </w:r>
      <w:r w:rsidR="00465BBA" w:rsidRPr="006076BD">
        <w:t>been</w:t>
      </w:r>
      <w:r w:rsidR="00C64050">
        <w:t xml:space="preserve"> </w:t>
      </w:r>
      <w:r w:rsidR="00465BBA" w:rsidRPr="006076BD">
        <w:t>determined</w:t>
      </w:r>
      <w:r w:rsidR="00C64050">
        <w:t xml:space="preserve"> </w:t>
      </w:r>
      <w:r w:rsidR="00465BBA" w:rsidRPr="006076BD">
        <w:t>for</w:t>
      </w:r>
      <w:r w:rsidR="00C64050">
        <w:t xml:space="preserve"> </w:t>
      </w:r>
      <w:r w:rsidR="00465BBA" w:rsidRPr="006076BD">
        <w:t>Federal</w:t>
      </w:r>
      <w:r w:rsidR="00C64050">
        <w:t xml:space="preserve"> </w:t>
      </w:r>
      <w:r w:rsidR="00465BBA" w:rsidRPr="006076BD">
        <w:t>estate</w:t>
      </w:r>
      <w:r w:rsidR="00C64050">
        <w:t xml:space="preserve"> </w:t>
      </w:r>
      <w:r w:rsidR="00465BBA" w:rsidRPr="006076BD">
        <w:t>tax</w:t>
      </w:r>
      <w:r w:rsidR="00C64050">
        <w:t xml:space="preserve"> </w:t>
      </w:r>
      <w:r w:rsidR="00465BBA" w:rsidRPr="006076BD">
        <w:t>purposes</w:t>
      </w:r>
      <w:r w:rsidR="00C64050">
        <w:t xml:space="preserve"> </w:t>
      </w:r>
      <w:r w:rsidR="00465BBA" w:rsidRPr="006076BD">
        <w:t>if:</w:t>
      </w:r>
      <w:r w:rsidR="00C64050">
        <w:t xml:space="preserve"> </w:t>
      </w:r>
      <w:r w:rsidR="00465BBA" w:rsidRPr="006076BD">
        <w:t>(A)</w:t>
      </w:r>
      <w:r w:rsidR="00C64050">
        <w:t xml:space="preserve"> </w:t>
      </w:r>
      <w:r w:rsidR="00465BBA" w:rsidRPr="006076BD">
        <w:t>The</w:t>
      </w:r>
      <w:r w:rsidR="00C64050">
        <w:t xml:space="preserve"> </w:t>
      </w:r>
      <w:r w:rsidR="00465BBA" w:rsidRPr="006076BD">
        <w:t>value</w:t>
      </w:r>
      <w:r w:rsidR="00C64050">
        <w:t xml:space="preserve"> </w:t>
      </w:r>
      <w:r w:rsidR="00465BBA" w:rsidRPr="006076BD">
        <w:t>is</w:t>
      </w:r>
      <w:r w:rsidR="00C64050">
        <w:t xml:space="preserve"> </w:t>
      </w:r>
      <w:r w:rsidR="00465BBA" w:rsidRPr="006076BD">
        <w:t>reported</w:t>
      </w:r>
      <w:r w:rsidR="00C64050">
        <w:t xml:space="preserve"> </w:t>
      </w:r>
      <w:r w:rsidR="00465BBA" w:rsidRPr="006076BD">
        <w:t>on</w:t>
      </w:r>
      <w:r w:rsidR="00C64050">
        <w:t xml:space="preserve"> </w:t>
      </w:r>
      <w:r w:rsidR="00465BBA" w:rsidRPr="006076BD">
        <w:t>a</w:t>
      </w:r>
      <w:r w:rsidR="00C64050">
        <w:t xml:space="preserve"> </w:t>
      </w:r>
      <w:r w:rsidR="00465BBA" w:rsidRPr="006076BD">
        <w:t>Federal</w:t>
      </w:r>
      <w:r w:rsidR="00C64050">
        <w:t xml:space="preserve"> </w:t>
      </w:r>
      <w:r w:rsidR="00465BBA" w:rsidRPr="006076BD">
        <w:t>estate</w:t>
      </w:r>
      <w:r w:rsidR="00C64050">
        <w:t xml:space="preserve"> </w:t>
      </w:r>
      <w:r w:rsidR="00465BBA" w:rsidRPr="006076BD">
        <w:t>tax</w:t>
      </w:r>
      <w:r w:rsidR="00C64050">
        <w:t xml:space="preserve"> </w:t>
      </w:r>
      <w:r w:rsidR="00465BBA" w:rsidRPr="006076BD">
        <w:t>return</w:t>
      </w:r>
      <w:r w:rsidR="00C64050">
        <w:t xml:space="preserve"> </w:t>
      </w:r>
      <w:r w:rsidR="00465BBA" w:rsidRPr="006076BD">
        <w:t>filed</w:t>
      </w:r>
      <w:r w:rsidR="00C64050">
        <w:t xml:space="preserve"> </w:t>
      </w:r>
      <w:r w:rsidR="00465BBA" w:rsidRPr="006076BD">
        <w:t>with</w:t>
      </w:r>
      <w:r w:rsidR="00C64050">
        <w:t xml:space="preserve"> </w:t>
      </w:r>
      <w:r w:rsidR="00465BBA" w:rsidRPr="006076BD">
        <w:t>the</w:t>
      </w:r>
      <w:r w:rsidR="00C64050">
        <w:t xml:space="preserve"> </w:t>
      </w:r>
      <w:r w:rsidR="00465BBA" w:rsidRPr="006076BD">
        <w:t>IRS</w:t>
      </w:r>
      <w:r w:rsidR="00C64050">
        <w:t xml:space="preserve"> </w:t>
      </w:r>
      <w:r w:rsidR="00465BBA" w:rsidRPr="006076BD">
        <w:t>and</w:t>
      </w:r>
      <w:r w:rsidR="00C64050">
        <w:t xml:space="preserve"> </w:t>
      </w:r>
      <w:r w:rsidR="00465BBA" w:rsidRPr="006076BD">
        <w:t>is</w:t>
      </w:r>
      <w:r w:rsidR="00C64050">
        <w:t xml:space="preserve"> </w:t>
      </w:r>
      <w:r w:rsidR="00465BBA" w:rsidRPr="006076BD">
        <w:t>not</w:t>
      </w:r>
      <w:r w:rsidR="00C64050">
        <w:t xml:space="preserve"> </w:t>
      </w:r>
      <w:r w:rsidR="00465BBA" w:rsidRPr="006076BD">
        <w:t>contested</w:t>
      </w:r>
      <w:r w:rsidR="00C64050">
        <w:t xml:space="preserve"> </w:t>
      </w:r>
      <w:r w:rsidR="00465BBA" w:rsidRPr="006076BD">
        <w:t>by</w:t>
      </w:r>
      <w:r w:rsidR="00C64050">
        <w:t xml:space="preserve"> </w:t>
      </w:r>
      <w:r w:rsidR="00465BBA" w:rsidRPr="006076BD">
        <w:t>the</w:t>
      </w:r>
      <w:r w:rsidR="00C64050">
        <w:t xml:space="preserve"> </w:t>
      </w:r>
      <w:r w:rsidR="00465BBA" w:rsidRPr="006076BD">
        <w:t>IRS</w:t>
      </w:r>
      <w:r w:rsidR="00C64050">
        <w:t xml:space="preserve"> </w:t>
      </w:r>
      <w:r w:rsidR="00465BBA" w:rsidRPr="006076BD">
        <w:t>before</w:t>
      </w:r>
      <w:r w:rsidR="00C64050">
        <w:t xml:space="preserve"> </w:t>
      </w:r>
      <w:r w:rsidR="00465BBA" w:rsidRPr="006076BD">
        <w:t>the</w:t>
      </w:r>
      <w:r w:rsidR="00C64050">
        <w:t xml:space="preserve"> </w:t>
      </w:r>
      <w:r w:rsidR="00465BBA" w:rsidRPr="006076BD">
        <w:t>period</w:t>
      </w:r>
      <w:r w:rsidR="00C64050">
        <w:t xml:space="preserve"> </w:t>
      </w:r>
      <w:r w:rsidR="00465BBA" w:rsidRPr="006076BD">
        <w:t>of</w:t>
      </w:r>
      <w:r w:rsidR="00C64050">
        <w:t xml:space="preserve"> </w:t>
      </w:r>
      <w:r w:rsidR="00465BBA" w:rsidRPr="006076BD">
        <w:t>limitation</w:t>
      </w:r>
      <w:r w:rsidR="00C64050">
        <w:t xml:space="preserve"> </w:t>
      </w:r>
      <w:r w:rsidR="00465BBA" w:rsidRPr="006076BD">
        <w:t>on</w:t>
      </w:r>
      <w:r w:rsidR="00C64050">
        <w:t xml:space="preserve"> </w:t>
      </w:r>
      <w:r w:rsidR="00465BBA" w:rsidRPr="006076BD">
        <w:t>assessment</w:t>
      </w:r>
      <w:r w:rsidR="00C64050">
        <w:t xml:space="preserve"> </w:t>
      </w:r>
      <w:r w:rsidR="00465BBA" w:rsidRPr="006076BD">
        <w:t>expires;</w:t>
      </w:r>
      <w:r w:rsidR="00C64050">
        <w:t xml:space="preserve"> </w:t>
      </w:r>
      <w:r w:rsidR="00465BBA" w:rsidRPr="006076BD">
        <w:t>(B)</w:t>
      </w:r>
      <w:r w:rsidR="00C64050">
        <w:t xml:space="preserve"> </w:t>
      </w:r>
      <w:r w:rsidR="00465BBA" w:rsidRPr="006076BD">
        <w:t>the</w:t>
      </w:r>
      <w:r w:rsidR="00C64050">
        <w:t xml:space="preserve"> </w:t>
      </w:r>
      <w:r w:rsidR="00465BBA" w:rsidRPr="006076BD">
        <w:t>value</w:t>
      </w:r>
      <w:r w:rsidR="00C64050">
        <w:t xml:space="preserve"> </w:t>
      </w:r>
      <w:r w:rsidR="00465BBA" w:rsidRPr="006076BD">
        <w:t>is</w:t>
      </w:r>
      <w:r w:rsidR="00C64050">
        <w:t xml:space="preserve"> </w:t>
      </w:r>
      <w:r w:rsidR="00465BBA" w:rsidRPr="006076BD">
        <w:t>specified</w:t>
      </w:r>
      <w:r w:rsidR="00C64050">
        <w:t xml:space="preserve"> </w:t>
      </w:r>
      <w:r w:rsidR="00465BBA" w:rsidRPr="006076BD">
        <w:t>by</w:t>
      </w:r>
      <w:r w:rsidR="00C64050">
        <w:t xml:space="preserve"> </w:t>
      </w:r>
      <w:r w:rsidR="00465BBA" w:rsidRPr="006076BD">
        <w:t>the</w:t>
      </w:r>
      <w:r w:rsidR="00C64050">
        <w:t xml:space="preserve"> </w:t>
      </w:r>
      <w:r w:rsidR="00465BBA" w:rsidRPr="006076BD">
        <w:t>IRS</w:t>
      </w:r>
      <w:r w:rsidR="00C64050">
        <w:t xml:space="preserve"> </w:t>
      </w:r>
      <w:r w:rsidR="00465BBA" w:rsidRPr="006076BD">
        <w:t>and</w:t>
      </w:r>
      <w:r w:rsidR="00C64050">
        <w:t xml:space="preserve"> </w:t>
      </w:r>
      <w:r w:rsidR="00465BBA" w:rsidRPr="006076BD">
        <w:t>is</w:t>
      </w:r>
      <w:r w:rsidR="00C64050">
        <w:t xml:space="preserve"> </w:t>
      </w:r>
      <w:r w:rsidR="00465BBA" w:rsidRPr="006076BD">
        <w:t>not</w:t>
      </w:r>
      <w:r w:rsidR="00C64050">
        <w:t xml:space="preserve"> </w:t>
      </w:r>
      <w:r w:rsidR="00465BBA" w:rsidRPr="006076BD">
        <w:t>timely</w:t>
      </w:r>
      <w:r w:rsidR="00C64050">
        <w:t xml:space="preserve"> </w:t>
      </w:r>
      <w:r w:rsidR="00465BBA" w:rsidRPr="006076BD">
        <w:t>contested</w:t>
      </w:r>
      <w:r w:rsidR="00C64050">
        <w:t xml:space="preserve"> </w:t>
      </w:r>
      <w:r w:rsidR="00465BBA" w:rsidRPr="006076BD">
        <w:t>by</w:t>
      </w:r>
      <w:r w:rsidR="00C64050">
        <w:t xml:space="preserve"> </w:t>
      </w:r>
      <w:r w:rsidR="00465BBA" w:rsidRPr="006076BD">
        <w:t>the</w:t>
      </w:r>
      <w:r w:rsidR="00C64050">
        <w:t xml:space="preserve"> </w:t>
      </w:r>
      <w:r w:rsidR="00465BBA" w:rsidRPr="006076BD">
        <w:t>executor</w:t>
      </w:r>
      <w:r w:rsidR="00C64050">
        <w:t xml:space="preserve"> </w:t>
      </w:r>
      <w:r w:rsidR="00465BBA" w:rsidRPr="006076BD">
        <w:t>of</w:t>
      </w:r>
      <w:r w:rsidR="00C64050">
        <w:t xml:space="preserve"> </w:t>
      </w:r>
      <w:r w:rsidR="00465BBA" w:rsidRPr="006076BD">
        <w:t>the</w:t>
      </w:r>
      <w:r w:rsidR="00C64050">
        <w:t xml:space="preserve"> </w:t>
      </w:r>
      <w:r w:rsidR="00465BBA" w:rsidRPr="006076BD">
        <w:t>estate;</w:t>
      </w:r>
      <w:r w:rsidR="00C64050">
        <w:t xml:space="preserve"> </w:t>
      </w:r>
      <w:r w:rsidR="00465BBA" w:rsidRPr="006076BD">
        <w:t>or</w:t>
      </w:r>
      <w:r w:rsidR="00C64050">
        <w:t xml:space="preserve"> </w:t>
      </w:r>
      <w:r w:rsidR="00465BBA" w:rsidRPr="006076BD">
        <w:t>(C)</w:t>
      </w:r>
      <w:r w:rsidR="00C64050">
        <w:t xml:space="preserve"> </w:t>
      </w:r>
      <w:r w:rsidR="00465BBA" w:rsidRPr="006076BD">
        <w:t>the</w:t>
      </w:r>
      <w:r w:rsidR="00C64050">
        <w:t xml:space="preserve"> </w:t>
      </w:r>
      <w:r w:rsidR="00465BBA" w:rsidRPr="006076BD">
        <w:t>value</w:t>
      </w:r>
      <w:r w:rsidR="00C64050">
        <w:t xml:space="preserve"> </w:t>
      </w:r>
      <w:r w:rsidR="00465BBA" w:rsidRPr="006076BD">
        <w:t>is</w:t>
      </w:r>
      <w:r w:rsidR="00C64050">
        <w:t xml:space="preserve"> </w:t>
      </w:r>
      <w:r w:rsidR="00465BBA" w:rsidRPr="006076BD">
        <w:t>determined</w:t>
      </w:r>
      <w:r w:rsidR="00C64050">
        <w:t xml:space="preserve"> </w:t>
      </w:r>
      <w:r w:rsidR="00465BBA" w:rsidRPr="006076BD">
        <w:t>by</w:t>
      </w:r>
      <w:r w:rsidR="00C64050">
        <w:t xml:space="preserve"> </w:t>
      </w:r>
      <w:r w:rsidR="00465BBA" w:rsidRPr="006076BD">
        <w:t>a</w:t>
      </w:r>
      <w:r w:rsidR="00C64050">
        <w:t xml:space="preserve"> </w:t>
      </w:r>
      <w:r w:rsidR="00465BBA" w:rsidRPr="006076BD">
        <w:t>court</w:t>
      </w:r>
      <w:r w:rsidR="00C64050">
        <w:t xml:space="preserve"> </w:t>
      </w:r>
      <w:r w:rsidR="00465BBA" w:rsidRPr="006076BD">
        <w:t>or</w:t>
      </w:r>
      <w:r w:rsidR="00C64050">
        <w:t xml:space="preserve"> </w:t>
      </w:r>
      <w:r w:rsidR="00465BBA" w:rsidRPr="006076BD">
        <w:t>pursuant</w:t>
      </w:r>
      <w:r w:rsidR="00C64050">
        <w:t xml:space="preserve"> </w:t>
      </w:r>
      <w:r w:rsidR="00465BBA" w:rsidRPr="006076BD">
        <w:t>to</w:t>
      </w:r>
      <w:r w:rsidR="00C64050">
        <w:t xml:space="preserve"> </w:t>
      </w:r>
      <w:r w:rsidR="00465BBA" w:rsidRPr="006076BD">
        <w:t>a</w:t>
      </w:r>
      <w:r w:rsidR="00C64050">
        <w:t xml:space="preserve"> </w:t>
      </w:r>
      <w:r w:rsidR="00465BBA" w:rsidRPr="006076BD">
        <w:t>settlement</w:t>
      </w:r>
      <w:r w:rsidR="00C64050">
        <w:t xml:space="preserve"> </w:t>
      </w:r>
      <w:r w:rsidR="00465BBA" w:rsidRPr="006076BD">
        <w:t>agreement</w:t>
      </w:r>
      <w:r w:rsidR="00C64050">
        <w:t xml:space="preserve"> </w:t>
      </w:r>
      <w:r w:rsidR="00465BBA" w:rsidRPr="006076BD">
        <w:t>with</w:t>
      </w:r>
      <w:r w:rsidR="00C64050">
        <w:t xml:space="preserve"> </w:t>
      </w:r>
      <w:r w:rsidR="00465BBA" w:rsidRPr="006076BD">
        <w:t>the</w:t>
      </w:r>
      <w:r w:rsidR="00C64050">
        <w:t xml:space="preserve"> </w:t>
      </w:r>
      <w:r w:rsidR="00465BBA" w:rsidRPr="006076BD">
        <w:t>IRS.</w:t>
      </w:r>
    </w:p>
    <w:p w:rsidR="00465BBA" w:rsidRPr="006076BD" w:rsidRDefault="00465BBA" w:rsidP="006076BD">
      <w:pPr>
        <w:pStyle w:val="QS10"/>
      </w:pPr>
      <w:r w:rsidRPr="006076BD">
        <w:t>Proposed</w:t>
      </w:r>
      <w:r w:rsidR="00C64050">
        <w:t xml:space="preserve"> </w:t>
      </w:r>
      <w:r w:rsidRPr="006076BD">
        <w:t>§</w:t>
      </w:r>
      <w:r w:rsidR="00C64050">
        <w:t xml:space="preserve"> </w:t>
      </w:r>
      <w:r w:rsidRPr="006076BD">
        <w:t>1.1014-10(c)(1)</w:t>
      </w:r>
      <w:r w:rsidR="00C64050">
        <w:t xml:space="preserve"> </w:t>
      </w:r>
      <w:r w:rsidRPr="006076BD">
        <w:t>defines</w:t>
      </w:r>
      <w:r w:rsidR="00C64050">
        <w:t xml:space="preserve"> </w:t>
      </w:r>
      <w:r w:rsidRPr="006076BD">
        <w:t>the</w:t>
      </w:r>
      <w:r w:rsidR="00C64050">
        <w:t xml:space="preserve"> </w:t>
      </w:r>
      <w:r w:rsidRPr="006076BD">
        <w:t>final</w:t>
      </w:r>
      <w:r w:rsidR="00C64050">
        <w:t xml:space="preserve"> </w:t>
      </w:r>
      <w:r w:rsidRPr="006076BD">
        <w:t>value</w:t>
      </w:r>
      <w:r w:rsidR="00C64050">
        <w:t xml:space="preserve"> </w:t>
      </w:r>
      <w:r w:rsidRPr="006076BD">
        <w:t>of</w:t>
      </w:r>
      <w:r w:rsidR="00C64050">
        <w:t xml:space="preserve"> </w:t>
      </w:r>
      <w:r w:rsidRPr="006076BD">
        <w:t>property</w:t>
      </w:r>
      <w:r w:rsidR="00C64050">
        <w:t xml:space="preserve"> </w:t>
      </w:r>
      <w:r w:rsidRPr="006076BD">
        <w:t>that</w:t>
      </w:r>
      <w:r w:rsidR="00C64050">
        <w:t xml:space="preserve"> </w:t>
      </w:r>
      <w:r w:rsidRPr="006076BD">
        <w:t>is</w:t>
      </w:r>
      <w:r w:rsidR="00C64050">
        <w:t xml:space="preserve"> </w:t>
      </w:r>
      <w:r w:rsidRPr="006076BD">
        <w:t>reported</w:t>
      </w:r>
      <w:r w:rsidR="00C64050">
        <w:t xml:space="preserve"> </w:t>
      </w:r>
      <w:r w:rsidRPr="006076BD">
        <w:t>on</w:t>
      </w:r>
      <w:r w:rsidR="00C64050">
        <w:t xml:space="preserve"> </w:t>
      </w:r>
      <w:r w:rsidRPr="006076BD">
        <w:t>a</w:t>
      </w:r>
      <w:r w:rsidR="00C64050">
        <w:t xml:space="preserve"> </w:t>
      </w:r>
      <w:r w:rsidRPr="006076BD">
        <w:t>Federal</w:t>
      </w:r>
      <w:r w:rsidR="00C64050">
        <w:t xml:space="preserve"> </w:t>
      </w:r>
      <w:r w:rsidRPr="006076BD">
        <w:t>estate</w:t>
      </w:r>
      <w:r w:rsidR="00C64050">
        <w:t xml:space="preserve"> </w:t>
      </w:r>
      <w:r w:rsidRPr="006076BD">
        <w:t>tax</w:t>
      </w:r>
      <w:r w:rsidR="00C64050">
        <w:t xml:space="preserve"> </w:t>
      </w:r>
      <w:r w:rsidRPr="006076BD">
        <w:t>return</w:t>
      </w:r>
      <w:r w:rsidR="00C64050">
        <w:t xml:space="preserve"> </w:t>
      </w:r>
      <w:r w:rsidRPr="006076BD">
        <w:t>filed</w:t>
      </w:r>
      <w:r w:rsidR="00C64050">
        <w:t xml:space="preserve"> </w:t>
      </w:r>
      <w:r w:rsidRPr="006076BD">
        <w:t>with</w:t>
      </w:r>
      <w:r w:rsidR="00C64050">
        <w:t xml:space="preserve"> </w:t>
      </w:r>
      <w:r w:rsidRPr="006076BD">
        <w:t>the</w:t>
      </w:r>
      <w:r w:rsidR="00C64050">
        <w:t xml:space="preserve"> </w:t>
      </w:r>
      <w:r w:rsidRPr="006076BD">
        <w:t>IRS.</w:t>
      </w:r>
      <w:r w:rsidR="00C64050">
        <w:t xml:space="preserve"> </w:t>
      </w:r>
      <w:r w:rsidRPr="006076BD">
        <w:t>That</w:t>
      </w:r>
      <w:r w:rsidR="00C64050">
        <w:t xml:space="preserve"> </w:t>
      </w:r>
      <w:r w:rsidRPr="006076BD">
        <w:t>value</w:t>
      </w:r>
      <w:r w:rsidR="00C64050">
        <w:t xml:space="preserve"> </w:t>
      </w:r>
      <w:r w:rsidRPr="006076BD">
        <w:t>is</w:t>
      </w:r>
      <w:r w:rsidR="00C64050">
        <w:t xml:space="preserve"> </w:t>
      </w:r>
      <w:r w:rsidRPr="006076BD">
        <w:t>the</w:t>
      </w:r>
      <w:r w:rsidR="00C64050">
        <w:t xml:space="preserve"> </w:t>
      </w:r>
      <w:r w:rsidRPr="006076BD">
        <w:t>value</w:t>
      </w:r>
      <w:r w:rsidR="00C64050">
        <w:t xml:space="preserve"> </w:t>
      </w:r>
      <w:r w:rsidRPr="006076BD">
        <w:t>reported</w:t>
      </w:r>
      <w:r w:rsidR="00C64050">
        <w:t xml:space="preserve"> </w:t>
      </w:r>
      <w:r w:rsidRPr="006076BD">
        <w:t>on</w:t>
      </w:r>
      <w:r w:rsidR="00C64050">
        <w:t xml:space="preserve"> </w:t>
      </w:r>
      <w:r w:rsidRPr="006076BD">
        <w:t>the</w:t>
      </w:r>
      <w:r w:rsidR="00C64050">
        <w:t xml:space="preserve"> </w:t>
      </w:r>
      <w:r w:rsidRPr="006076BD">
        <w:t>Federal</w:t>
      </w:r>
      <w:r w:rsidR="00C64050">
        <w:t xml:space="preserve"> </w:t>
      </w:r>
      <w:r w:rsidRPr="006076BD">
        <w:t>estate</w:t>
      </w:r>
      <w:r w:rsidR="00C64050">
        <w:t xml:space="preserve"> </w:t>
      </w:r>
      <w:r w:rsidRPr="006076BD">
        <w:t>tax</w:t>
      </w:r>
      <w:r w:rsidR="00C64050">
        <w:t xml:space="preserve"> </w:t>
      </w:r>
      <w:r w:rsidRPr="006076BD">
        <w:t>return</w:t>
      </w:r>
      <w:r w:rsidR="00C64050">
        <w:t xml:space="preserve"> </w:t>
      </w:r>
      <w:r w:rsidRPr="006076BD">
        <w:t>once</w:t>
      </w:r>
      <w:r w:rsidR="00C64050">
        <w:t xml:space="preserve"> </w:t>
      </w:r>
      <w:r w:rsidRPr="006076BD">
        <w:t>the</w:t>
      </w:r>
      <w:r w:rsidR="00C64050">
        <w:t xml:space="preserve"> </w:t>
      </w:r>
      <w:r w:rsidRPr="006076BD">
        <w:t>period</w:t>
      </w:r>
      <w:r w:rsidR="00C64050">
        <w:t xml:space="preserve"> </w:t>
      </w:r>
      <w:r w:rsidRPr="006076BD">
        <w:t>of</w:t>
      </w:r>
      <w:r w:rsidR="00C64050">
        <w:t xml:space="preserve"> </w:t>
      </w:r>
      <w:r w:rsidRPr="006076BD">
        <w:t>limitations</w:t>
      </w:r>
      <w:r w:rsidR="00C64050">
        <w:t xml:space="preserve"> </w:t>
      </w:r>
      <w:r w:rsidRPr="006076BD">
        <w:t>on</w:t>
      </w:r>
      <w:r w:rsidR="00C64050">
        <w:t xml:space="preserve"> </w:t>
      </w:r>
      <w:r w:rsidRPr="006076BD">
        <w:t>assessment</w:t>
      </w:r>
      <w:r w:rsidR="00C64050">
        <w:t xml:space="preserve"> </w:t>
      </w:r>
      <w:r w:rsidRPr="006076BD">
        <w:t>for</w:t>
      </w:r>
      <w:r w:rsidR="00C64050">
        <w:t xml:space="preserve"> </w:t>
      </w:r>
      <w:r w:rsidRPr="006076BD">
        <w:t>adjusting</w:t>
      </w:r>
      <w:r w:rsidR="00C64050">
        <w:t xml:space="preserve"> </w:t>
      </w:r>
      <w:r w:rsidRPr="006076BD">
        <w:t>or</w:t>
      </w:r>
      <w:r w:rsidR="00C64050">
        <w:t xml:space="preserve"> </w:t>
      </w:r>
      <w:r w:rsidRPr="006076BD">
        <w:t>contesting</w:t>
      </w:r>
      <w:r w:rsidR="00C64050">
        <w:t xml:space="preserve"> </w:t>
      </w:r>
      <w:r w:rsidRPr="006076BD">
        <w:t>that</w:t>
      </w:r>
      <w:r w:rsidR="00C64050">
        <w:t xml:space="preserve"> </w:t>
      </w:r>
      <w:r w:rsidRPr="006076BD">
        <w:t>value</w:t>
      </w:r>
      <w:r w:rsidR="00C64050">
        <w:t xml:space="preserve"> </w:t>
      </w:r>
      <w:r w:rsidRPr="006076BD">
        <w:t>has</w:t>
      </w:r>
      <w:r w:rsidR="00C64050">
        <w:t xml:space="preserve"> </w:t>
      </w:r>
      <w:r w:rsidRPr="006076BD">
        <w:t>expired.</w:t>
      </w:r>
      <w:r w:rsidR="00C64050">
        <w:t xml:space="preserve"> </w:t>
      </w:r>
      <w:r w:rsidRPr="006076BD">
        <w:t>The</w:t>
      </w:r>
      <w:r w:rsidR="00C64050">
        <w:t xml:space="preserve"> </w:t>
      </w:r>
      <w:r w:rsidRPr="006076BD">
        <w:t>IRS</w:t>
      </w:r>
      <w:r w:rsidR="00C64050">
        <w:t xml:space="preserve"> </w:t>
      </w:r>
      <w:r w:rsidRPr="006076BD">
        <w:t>may</w:t>
      </w:r>
      <w:r w:rsidR="00C64050">
        <w:t xml:space="preserve"> </w:t>
      </w:r>
      <w:r w:rsidRPr="006076BD">
        <w:t>specify</w:t>
      </w:r>
      <w:r w:rsidR="00C64050">
        <w:t xml:space="preserve"> </w:t>
      </w:r>
      <w:r w:rsidRPr="006076BD">
        <w:t>a</w:t>
      </w:r>
      <w:r w:rsidR="00C64050">
        <w:t xml:space="preserve"> </w:t>
      </w:r>
      <w:r w:rsidRPr="006076BD">
        <w:t>value</w:t>
      </w:r>
      <w:r w:rsidR="00C64050">
        <w:t xml:space="preserve"> </w:t>
      </w:r>
      <w:r w:rsidRPr="006076BD">
        <w:t>for</w:t>
      </w:r>
      <w:r w:rsidR="00C64050">
        <w:t xml:space="preserve"> </w:t>
      </w:r>
      <w:r w:rsidRPr="006076BD">
        <w:t>the</w:t>
      </w:r>
      <w:r w:rsidR="00C64050">
        <w:t xml:space="preserve"> </w:t>
      </w:r>
      <w:r w:rsidRPr="006076BD">
        <w:t>property</w:t>
      </w:r>
      <w:r w:rsidR="00C64050">
        <w:t xml:space="preserve"> </w:t>
      </w:r>
      <w:r w:rsidRPr="006076BD">
        <w:t>by</w:t>
      </w:r>
      <w:r w:rsidR="00C64050">
        <w:t xml:space="preserve"> </w:t>
      </w:r>
      <w:r w:rsidRPr="006076BD">
        <w:t>determining</w:t>
      </w:r>
      <w:r w:rsidR="00C64050">
        <w:t xml:space="preserve"> </w:t>
      </w:r>
      <w:r w:rsidRPr="006076BD">
        <w:t>a</w:t>
      </w:r>
      <w:r w:rsidR="00C64050">
        <w:t xml:space="preserve"> </w:t>
      </w:r>
      <w:r w:rsidRPr="006076BD">
        <w:t>value</w:t>
      </w:r>
      <w:r w:rsidR="00C64050">
        <w:t xml:space="preserve"> </w:t>
      </w:r>
      <w:r w:rsidRPr="006076BD">
        <w:t>in</w:t>
      </w:r>
      <w:r w:rsidR="00C64050">
        <w:t xml:space="preserve"> </w:t>
      </w:r>
      <w:r w:rsidRPr="006076BD">
        <w:t>the</w:t>
      </w:r>
      <w:r w:rsidR="00C64050">
        <w:t xml:space="preserve"> </w:t>
      </w:r>
      <w:r w:rsidRPr="006076BD">
        <w:t>course</w:t>
      </w:r>
      <w:r w:rsidR="00C64050">
        <w:t xml:space="preserve"> </w:t>
      </w:r>
      <w:r w:rsidRPr="006076BD">
        <w:t>of</w:t>
      </w:r>
      <w:r w:rsidR="00C64050">
        <w:t xml:space="preserve"> </w:t>
      </w:r>
      <w:r w:rsidRPr="006076BD">
        <w:t>carrying</w:t>
      </w:r>
      <w:r w:rsidR="00C64050">
        <w:t xml:space="preserve"> </w:t>
      </w:r>
      <w:r w:rsidRPr="006076BD">
        <w:t>out</w:t>
      </w:r>
      <w:r w:rsidR="00C64050">
        <w:t xml:space="preserve"> </w:t>
      </w:r>
      <w:r w:rsidRPr="006076BD">
        <w:t>its</w:t>
      </w:r>
      <w:r w:rsidR="00C64050">
        <w:t xml:space="preserve"> </w:t>
      </w:r>
      <w:r w:rsidRPr="006076BD">
        <w:t>responsibilities</w:t>
      </w:r>
      <w:r w:rsidR="00C64050">
        <w:t xml:space="preserve"> </w:t>
      </w:r>
      <w:r w:rsidRPr="006076BD">
        <w:t>under</w:t>
      </w:r>
      <w:r w:rsidR="00C64050">
        <w:t xml:space="preserve"> </w:t>
      </w:r>
      <w:r w:rsidRPr="006076BD">
        <w:t>section</w:t>
      </w:r>
      <w:r w:rsidR="00C64050">
        <w:t xml:space="preserve"> </w:t>
      </w:r>
      <w:r w:rsidRPr="006076BD">
        <w:t>7803(a)(2).</w:t>
      </w:r>
      <w:r w:rsidR="00C64050">
        <w:t xml:space="preserve"> </w:t>
      </w:r>
      <w:r w:rsidRPr="006076BD">
        <w:t>If</w:t>
      </w:r>
      <w:r w:rsidR="00C64050">
        <w:t xml:space="preserve"> </w:t>
      </w:r>
      <w:r w:rsidRPr="006076BD">
        <w:t>the</w:t>
      </w:r>
      <w:r w:rsidR="00C64050">
        <w:t xml:space="preserve"> </w:t>
      </w:r>
      <w:r w:rsidRPr="006076BD">
        <w:t>IRS</w:t>
      </w:r>
      <w:r w:rsidR="00C64050">
        <w:t xml:space="preserve"> </w:t>
      </w:r>
      <w:r w:rsidRPr="006076BD">
        <w:t>determines</w:t>
      </w:r>
      <w:r w:rsidR="00C64050">
        <w:t xml:space="preserve"> </w:t>
      </w:r>
      <w:r w:rsidRPr="006076BD">
        <w:t>a</w:t>
      </w:r>
      <w:r w:rsidR="00C64050">
        <w:t xml:space="preserve"> </w:t>
      </w:r>
      <w:r w:rsidRPr="006076BD">
        <w:t>value</w:t>
      </w:r>
      <w:r w:rsidR="00C64050">
        <w:t xml:space="preserve"> </w:t>
      </w:r>
      <w:r w:rsidRPr="006076BD">
        <w:t>different</w:t>
      </w:r>
      <w:r w:rsidR="00C64050">
        <w:t xml:space="preserve"> </w:t>
      </w:r>
      <w:r w:rsidRPr="006076BD">
        <w:t>from</w:t>
      </w:r>
      <w:r w:rsidR="00C64050">
        <w:t xml:space="preserve"> </w:t>
      </w:r>
      <w:r w:rsidRPr="006076BD">
        <w:t>the</w:t>
      </w:r>
      <w:r w:rsidR="00C64050">
        <w:t xml:space="preserve"> </w:t>
      </w:r>
      <w:r w:rsidRPr="006076BD">
        <w:t>value</w:t>
      </w:r>
      <w:r w:rsidR="00C64050">
        <w:t xml:space="preserve"> </w:t>
      </w:r>
      <w:r w:rsidRPr="006076BD">
        <w:t>reported,</w:t>
      </w:r>
      <w:r w:rsidR="00C64050">
        <w:t xml:space="preserve"> </w:t>
      </w:r>
      <w:r w:rsidRPr="006076BD">
        <w:t>the</w:t>
      </w:r>
      <w:r w:rsidR="00C64050">
        <w:t xml:space="preserve"> </w:t>
      </w:r>
      <w:r w:rsidRPr="006076BD">
        <w:t>final</w:t>
      </w:r>
      <w:r w:rsidR="00C64050">
        <w:t xml:space="preserve"> </w:t>
      </w:r>
      <w:r w:rsidRPr="006076BD">
        <w:t>value</w:t>
      </w:r>
      <w:r w:rsidR="00C64050">
        <w:t xml:space="preserve"> </w:t>
      </w:r>
      <w:r w:rsidRPr="006076BD">
        <w:t>is</w:t>
      </w:r>
      <w:r w:rsidR="00C64050">
        <w:t xml:space="preserve"> </w:t>
      </w:r>
      <w:r w:rsidRPr="006076BD">
        <w:t>the</w:t>
      </w:r>
      <w:r w:rsidR="00C64050">
        <w:t xml:space="preserve"> </w:t>
      </w:r>
      <w:r w:rsidRPr="006076BD">
        <w:t>value</w:t>
      </w:r>
      <w:r w:rsidR="00C64050">
        <w:t xml:space="preserve"> </w:t>
      </w:r>
      <w:r w:rsidRPr="006076BD">
        <w:t>determined</w:t>
      </w:r>
      <w:r w:rsidR="00C64050">
        <w:t xml:space="preserve"> </w:t>
      </w:r>
      <w:r w:rsidRPr="006076BD">
        <w:t>by</w:t>
      </w:r>
      <w:r w:rsidR="00C64050">
        <w:t xml:space="preserve"> </w:t>
      </w:r>
      <w:r w:rsidRPr="006076BD">
        <w:t>the</w:t>
      </w:r>
      <w:r w:rsidR="00C64050">
        <w:t xml:space="preserve"> </w:t>
      </w:r>
      <w:r w:rsidRPr="006076BD">
        <w:t>IRS</w:t>
      </w:r>
      <w:r w:rsidR="00C64050">
        <w:t xml:space="preserve"> </w:t>
      </w:r>
      <w:r w:rsidRPr="006076BD">
        <w:t>once</w:t>
      </w:r>
      <w:r w:rsidR="00C64050">
        <w:t xml:space="preserve"> </w:t>
      </w:r>
      <w:r w:rsidRPr="006076BD">
        <w:t>that</w:t>
      </w:r>
      <w:r w:rsidR="00C64050">
        <w:t xml:space="preserve"> </w:t>
      </w:r>
      <w:r w:rsidRPr="006076BD">
        <w:t>value</w:t>
      </w:r>
      <w:r w:rsidR="00C64050">
        <w:t xml:space="preserve"> </w:t>
      </w:r>
      <w:r w:rsidRPr="006076BD">
        <w:t>can</w:t>
      </w:r>
      <w:r w:rsidR="00C64050">
        <w:t xml:space="preserve"> </w:t>
      </w:r>
      <w:r w:rsidRPr="006076BD">
        <w:t>no</w:t>
      </w:r>
      <w:r w:rsidR="00C64050">
        <w:t xml:space="preserve"> </w:t>
      </w:r>
      <w:r w:rsidRPr="006076BD">
        <w:t>longer</w:t>
      </w:r>
      <w:r w:rsidR="00C64050">
        <w:t xml:space="preserve"> </w:t>
      </w:r>
      <w:r w:rsidRPr="006076BD">
        <w:t>be</w:t>
      </w:r>
      <w:r w:rsidR="00C64050">
        <w:t xml:space="preserve"> </w:t>
      </w:r>
      <w:r w:rsidRPr="006076BD">
        <w:t>contested</w:t>
      </w:r>
      <w:r w:rsidR="00C64050">
        <w:t xml:space="preserve"> </w:t>
      </w:r>
      <w:r w:rsidRPr="006076BD">
        <w:t>by</w:t>
      </w:r>
      <w:r w:rsidR="00C64050">
        <w:t xml:space="preserve"> </w:t>
      </w:r>
      <w:r w:rsidRPr="006076BD">
        <w:t>the</w:t>
      </w:r>
      <w:r w:rsidR="00C64050">
        <w:t xml:space="preserve"> </w:t>
      </w:r>
      <w:r w:rsidRPr="006076BD">
        <w:t>estate.</w:t>
      </w:r>
      <w:r w:rsidR="00C64050">
        <w:t xml:space="preserve"> </w:t>
      </w:r>
      <w:r w:rsidRPr="006076BD">
        <w:t>If</w:t>
      </w:r>
      <w:r w:rsidR="00C64050">
        <w:t xml:space="preserve"> </w:t>
      </w:r>
      <w:r w:rsidRPr="006076BD">
        <w:t>the</w:t>
      </w:r>
      <w:r w:rsidR="00C64050">
        <w:t xml:space="preserve"> </w:t>
      </w:r>
      <w:r w:rsidRPr="006076BD">
        <w:t>value</w:t>
      </w:r>
      <w:r w:rsidR="00C64050">
        <w:t xml:space="preserve"> </w:t>
      </w:r>
      <w:r w:rsidRPr="006076BD">
        <w:t>determined</w:t>
      </w:r>
      <w:r w:rsidR="00C64050">
        <w:t xml:space="preserve"> </w:t>
      </w:r>
      <w:r w:rsidRPr="006076BD">
        <w:t>or</w:t>
      </w:r>
      <w:r w:rsidR="00C64050">
        <w:t xml:space="preserve"> </w:t>
      </w:r>
      <w:r w:rsidRPr="006076BD">
        <w:t>specified</w:t>
      </w:r>
      <w:r w:rsidR="00C64050">
        <w:t xml:space="preserve"> </w:t>
      </w:r>
      <w:r w:rsidRPr="006076BD">
        <w:t>by</w:t>
      </w:r>
      <w:r w:rsidR="00C64050">
        <w:t xml:space="preserve"> </w:t>
      </w:r>
      <w:r w:rsidRPr="006076BD">
        <w:t>the</w:t>
      </w:r>
      <w:r w:rsidR="00C64050">
        <w:t xml:space="preserve"> </w:t>
      </w:r>
      <w:r w:rsidRPr="006076BD">
        <w:t>IRS</w:t>
      </w:r>
      <w:r w:rsidR="00C64050">
        <w:t xml:space="preserve"> </w:t>
      </w:r>
      <w:r w:rsidRPr="006076BD">
        <w:t>is</w:t>
      </w:r>
      <w:r w:rsidR="00C64050">
        <w:t xml:space="preserve"> </w:t>
      </w:r>
      <w:r w:rsidRPr="006076BD">
        <w:t>timely</w:t>
      </w:r>
      <w:r w:rsidR="00C64050">
        <w:t xml:space="preserve"> </w:t>
      </w:r>
      <w:r w:rsidRPr="006076BD">
        <w:t>contested</w:t>
      </w:r>
      <w:r w:rsidR="00C64050">
        <w:t xml:space="preserve"> </w:t>
      </w:r>
      <w:r w:rsidRPr="006076BD">
        <w:t>by</w:t>
      </w:r>
      <w:r w:rsidR="00C64050">
        <w:t xml:space="preserve"> </w:t>
      </w:r>
      <w:r w:rsidRPr="006076BD">
        <w:t>the</w:t>
      </w:r>
      <w:r w:rsidR="00C64050">
        <w:t xml:space="preserve"> </w:t>
      </w:r>
      <w:r w:rsidRPr="006076BD">
        <w:t>estate,</w:t>
      </w:r>
      <w:r w:rsidR="00C64050">
        <w:t xml:space="preserve"> </w:t>
      </w:r>
      <w:r w:rsidRPr="006076BD">
        <w:t>the</w:t>
      </w:r>
      <w:r w:rsidR="00C64050">
        <w:t xml:space="preserve"> </w:t>
      </w:r>
      <w:r w:rsidRPr="006076BD">
        <w:t>final</w:t>
      </w:r>
      <w:r w:rsidR="00C64050">
        <w:t xml:space="preserve"> </w:t>
      </w:r>
      <w:r w:rsidRPr="006076BD">
        <w:t>value</w:t>
      </w:r>
      <w:r w:rsidR="00C64050">
        <w:t xml:space="preserve"> </w:t>
      </w:r>
      <w:r w:rsidRPr="006076BD">
        <w:t>is</w:t>
      </w:r>
      <w:r w:rsidR="00C64050">
        <w:t xml:space="preserve"> </w:t>
      </w:r>
      <w:r w:rsidRPr="006076BD">
        <w:t>the</w:t>
      </w:r>
      <w:r w:rsidR="00C64050">
        <w:t xml:space="preserve"> </w:t>
      </w:r>
      <w:r w:rsidRPr="006076BD">
        <w:t>value</w:t>
      </w:r>
      <w:r w:rsidR="00C64050">
        <w:t xml:space="preserve"> </w:t>
      </w:r>
      <w:r w:rsidRPr="006076BD">
        <w:t>determined</w:t>
      </w:r>
      <w:r w:rsidR="00C64050">
        <w:t xml:space="preserve"> </w:t>
      </w:r>
      <w:r w:rsidRPr="006076BD">
        <w:t>in</w:t>
      </w:r>
      <w:r w:rsidR="00C64050">
        <w:t xml:space="preserve"> </w:t>
      </w:r>
      <w:r w:rsidRPr="006076BD">
        <w:t>an</w:t>
      </w:r>
      <w:r w:rsidR="00C64050">
        <w:t xml:space="preserve"> </w:t>
      </w:r>
      <w:r w:rsidRPr="006076BD">
        <w:t>agreement</w:t>
      </w:r>
      <w:r w:rsidR="00C64050">
        <w:t xml:space="preserve"> </w:t>
      </w:r>
      <w:r w:rsidRPr="006076BD">
        <w:t>that</w:t>
      </w:r>
      <w:r w:rsidR="00C64050">
        <w:t xml:space="preserve"> </w:t>
      </w:r>
      <w:r w:rsidRPr="006076BD">
        <w:t>is</w:t>
      </w:r>
      <w:r w:rsidR="00C64050">
        <w:t xml:space="preserve"> </w:t>
      </w:r>
      <w:r w:rsidRPr="006076BD">
        <w:t>binding</w:t>
      </w:r>
      <w:r w:rsidR="00C64050">
        <w:t xml:space="preserve"> </w:t>
      </w:r>
      <w:r w:rsidRPr="006076BD">
        <w:t>on</w:t>
      </w:r>
      <w:r w:rsidR="00C64050">
        <w:t xml:space="preserve"> </w:t>
      </w:r>
      <w:r w:rsidRPr="006076BD">
        <w:t>all</w:t>
      </w:r>
      <w:r w:rsidR="00C64050">
        <w:t xml:space="preserve"> </w:t>
      </w:r>
      <w:r w:rsidRPr="006076BD">
        <w:t>parties,</w:t>
      </w:r>
      <w:r w:rsidR="00C64050">
        <w:t xml:space="preserve"> </w:t>
      </w:r>
      <w:r w:rsidRPr="006076BD">
        <w:t>or</w:t>
      </w:r>
      <w:r w:rsidR="00C64050">
        <w:t xml:space="preserve"> </w:t>
      </w:r>
      <w:r w:rsidRPr="006076BD">
        <w:t>the</w:t>
      </w:r>
      <w:r w:rsidR="00C64050">
        <w:t xml:space="preserve"> </w:t>
      </w:r>
      <w:r w:rsidRPr="006076BD">
        <w:t>value</w:t>
      </w:r>
      <w:r w:rsidR="00C64050">
        <w:t xml:space="preserve"> </w:t>
      </w:r>
      <w:r w:rsidRPr="006076BD">
        <w:t>determined</w:t>
      </w:r>
      <w:r w:rsidR="00C64050">
        <w:t xml:space="preserve"> </w:t>
      </w:r>
      <w:r w:rsidRPr="006076BD">
        <w:t>by</w:t>
      </w:r>
      <w:r w:rsidR="00C64050">
        <w:t xml:space="preserve"> </w:t>
      </w:r>
      <w:r w:rsidRPr="006076BD">
        <w:t>a</w:t>
      </w:r>
      <w:r w:rsidR="00C64050">
        <w:t xml:space="preserve"> </w:t>
      </w:r>
      <w:r w:rsidRPr="006076BD">
        <w:t>court</w:t>
      </w:r>
      <w:r w:rsidR="00C64050">
        <w:t xml:space="preserve"> </w:t>
      </w:r>
      <w:r w:rsidRPr="006076BD">
        <w:t>once</w:t>
      </w:r>
      <w:r w:rsidR="00C64050">
        <w:t xml:space="preserve"> </w:t>
      </w:r>
      <w:r w:rsidRPr="006076BD">
        <w:t>the</w:t>
      </w:r>
      <w:r w:rsidR="00C64050">
        <w:t xml:space="preserve"> </w:t>
      </w:r>
      <w:r w:rsidRPr="006076BD">
        <w:t>court's</w:t>
      </w:r>
      <w:r w:rsidR="00C64050">
        <w:t xml:space="preserve"> </w:t>
      </w:r>
      <w:r w:rsidRPr="006076BD">
        <w:t>determination</w:t>
      </w:r>
      <w:r w:rsidR="00C64050">
        <w:t xml:space="preserve"> </w:t>
      </w:r>
      <w:r w:rsidRPr="006076BD">
        <w:t>is</w:t>
      </w:r>
      <w:r w:rsidR="00C64050">
        <w:t xml:space="preserve"> </w:t>
      </w:r>
      <w:r w:rsidRPr="006076BD">
        <w:t>final.</w:t>
      </w:r>
    </w:p>
    <w:p w:rsidR="00465BBA" w:rsidRPr="006076BD" w:rsidRDefault="00465BBA" w:rsidP="006076BD">
      <w:pPr>
        <w:pStyle w:val="QS10"/>
      </w:pPr>
      <w:r w:rsidRPr="006076BD">
        <w:t>Proposed</w:t>
      </w:r>
      <w:r w:rsidR="00C64050">
        <w:t xml:space="preserve"> </w:t>
      </w:r>
      <w:r w:rsidRPr="006076BD">
        <w:t>§</w:t>
      </w:r>
      <w:r w:rsidR="00C64050">
        <w:t xml:space="preserve"> </w:t>
      </w:r>
      <w:r w:rsidRPr="006076BD">
        <w:t>1.1014-10(c)(2)</w:t>
      </w:r>
      <w:r w:rsidR="00C64050">
        <w:t xml:space="preserve"> </w:t>
      </w:r>
      <w:r w:rsidRPr="006076BD">
        <w:t>provides</w:t>
      </w:r>
      <w:r w:rsidR="00C64050">
        <w:t xml:space="preserve"> </w:t>
      </w:r>
      <w:r w:rsidRPr="006076BD">
        <w:t>that</w:t>
      </w:r>
      <w:r w:rsidR="00C64050">
        <w:t xml:space="preserve"> </w:t>
      </w:r>
      <w:r w:rsidRPr="006076BD">
        <w:t>the</w:t>
      </w:r>
      <w:r w:rsidR="00C64050">
        <w:t xml:space="preserve"> </w:t>
      </w:r>
      <w:r w:rsidRPr="006076BD">
        <w:t>recipient</w:t>
      </w:r>
      <w:r w:rsidR="00C64050">
        <w:t xml:space="preserve"> </w:t>
      </w:r>
      <w:r w:rsidRPr="006076BD">
        <w:t>of</w:t>
      </w:r>
      <w:r w:rsidR="00C64050">
        <w:t xml:space="preserve"> </w:t>
      </w:r>
      <w:r w:rsidRPr="006076BD">
        <w:t>property</w:t>
      </w:r>
      <w:r w:rsidR="00C64050">
        <w:t xml:space="preserve"> </w:t>
      </w:r>
      <w:r w:rsidRPr="006076BD">
        <w:t>to</w:t>
      </w:r>
      <w:r w:rsidR="00C64050">
        <w:t xml:space="preserve"> </w:t>
      </w:r>
      <w:r w:rsidRPr="006076BD">
        <w:t>which</w:t>
      </w:r>
      <w:r w:rsidR="00C64050">
        <w:t xml:space="preserve"> </w:t>
      </w:r>
      <w:r w:rsidRPr="006076BD">
        <w:t>the</w:t>
      </w:r>
      <w:r w:rsidR="00C64050">
        <w:t xml:space="preserve"> </w:t>
      </w:r>
      <w:r w:rsidRPr="006076BD">
        <w:t>consistency</w:t>
      </w:r>
      <w:r w:rsidR="00C64050">
        <w:t xml:space="preserve"> </w:t>
      </w:r>
      <w:r w:rsidRPr="006076BD">
        <w:t>requirement</w:t>
      </w:r>
      <w:r w:rsidR="00C64050">
        <w:t xml:space="preserve"> </w:t>
      </w:r>
      <w:r w:rsidRPr="006076BD">
        <w:t>applies</w:t>
      </w:r>
      <w:r w:rsidR="00C64050">
        <w:t xml:space="preserve"> </w:t>
      </w:r>
      <w:r w:rsidRPr="006076BD">
        <w:t>may</w:t>
      </w:r>
      <w:r w:rsidR="00C64050">
        <w:t xml:space="preserve"> </w:t>
      </w:r>
      <w:r w:rsidRPr="006076BD">
        <w:t>not</w:t>
      </w:r>
      <w:r w:rsidR="00C64050">
        <w:t xml:space="preserve"> </w:t>
      </w:r>
      <w:r w:rsidRPr="006076BD">
        <w:t>claim</w:t>
      </w:r>
      <w:r w:rsidR="00C64050">
        <w:t xml:space="preserve"> </w:t>
      </w:r>
      <w:r w:rsidRPr="006076BD">
        <w:t>a</w:t>
      </w:r>
      <w:r w:rsidR="00C64050">
        <w:t xml:space="preserve"> </w:t>
      </w:r>
      <w:r w:rsidRPr="006076BD">
        <w:t>basis</w:t>
      </w:r>
      <w:r w:rsidR="00C64050">
        <w:t xml:space="preserve"> </w:t>
      </w:r>
      <w:r w:rsidRPr="006076BD">
        <w:t>in</w:t>
      </w:r>
      <w:r w:rsidR="00C64050">
        <w:t xml:space="preserve"> </w:t>
      </w:r>
      <w:r w:rsidRPr="006076BD">
        <w:t>excess</w:t>
      </w:r>
      <w:r w:rsidR="00C64050">
        <w:t xml:space="preserve"> </w:t>
      </w:r>
      <w:r w:rsidRPr="006076BD">
        <w:t>of</w:t>
      </w:r>
      <w:r w:rsidR="00C64050">
        <w:t xml:space="preserve"> </w:t>
      </w:r>
      <w:r w:rsidRPr="006076BD">
        <w:t>the</w:t>
      </w:r>
      <w:r w:rsidR="00C64050">
        <w:t xml:space="preserve"> </w:t>
      </w:r>
      <w:r w:rsidRPr="006076BD">
        <w:t>value</w:t>
      </w:r>
      <w:r w:rsidR="00C64050">
        <w:t xml:space="preserve"> </w:t>
      </w:r>
      <w:r w:rsidRPr="006076BD">
        <w:t>reported</w:t>
      </w:r>
      <w:r w:rsidR="00C64050">
        <w:t xml:space="preserve"> </w:t>
      </w:r>
      <w:r w:rsidRPr="006076BD">
        <w:t>on</w:t>
      </w:r>
      <w:r w:rsidR="00C64050">
        <w:t xml:space="preserve"> </w:t>
      </w:r>
      <w:r w:rsidRPr="006076BD">
        <w:t>the</w:t>
      </w:r>
      <w:r w:rsidR="00C64050">
        <w:t xml:space="preserve"> </w:t>
      </w:r>
      <w:r w:rsidRPr="006076BD">
        <w:t>statement</w:t>
      </w:r>
      <w:r w:rsidR="00C64050">
        <w:t xml:space="preserve"> </w:t>
      </w:r>
      <w:r w:rsidRPr="006076BD">
        <w:t>required</w:t>
      </w:r>
      <w:r w:rsidR="00C64050">
        <w:t xml:space="preserve"> </w:t>
      </w:r>
      <w:r w:rsidRPr="006076BD">
        <w:t>to</w:t>
      </w:r>
      <w:r w:rsidR="00C64050">
        <w:t xml:space="preserve"> </w:t>
      </w:r>
      <w:r w:rsidRPr="006076BD">
        <w:t>be</w:t>
      </w:r>
      <w:r w:rsidR="00C64050">
        <w:t xml:space="preserve"> </w:t>
      </w:r>
      <w:r w:rsidRPr="006076BD">
        <w:t>furnished</w:t>
      </w:r>
      <w:r w:rsidR="00C64050">
        <w:t xml:space="preserve"> </w:t>
      </w:r>
      <w:r w:rsidRPr="006076BD">
        <w:t>under</w:t>
      </w:r>
      <w:r w:rsidR="00C64050">
        <w:t xml:space="preserve"> </w:t>
      </w:r>
      <w:hyperlink r:id="rId72" w:anchor="co_pp_8b3b0000958a4" w:history="1">
        <w:r w:rsidRPr="006076BD">
          <w:t>section</w:t>
        </w:r>
        <w:r w:rsidR="00C64050">
          <w:t xml:space="preserve"> </w:t>
        </w:r>
        <w:r w:rsidRPr="006076BD">
          <w:t>6035(a)</w:t>
        </w:r>
      </w:hyperlink>
      <w:r w:rsidR="00C64050">
        <w:t xml:space="preserve"> </w:t>
      </w:r>
      <w:r w:rsidRPr="006076BD">
        <w:t>(the</w:t>
      </w:r>
      <w:r w:rsidR="00C64050">
        <w:t xml:space="preserve"> </w:t>
      </w:r>
      <w:r w:rsidRPr="006076BD">
        <w:t>value</w:t>
      </w:r>
      <w:r w:rsidR="00C64050">
        <w:t xml:space="preserve"> </w:t>
      </w:r>
      <w:r w:rsidRPr="006076BD">
        <w:t>shown</w:t>
      </w:r>
      <w:r w:rsidR="00C64050">
        <w:t xml:space="preserve"> </w:t>
      </w:r>
      <w:r w:rsidRPr="006076BD">
        <w:t>on</w:t>
      </w:r>
      <w:r w:rsidR="00C64050">
        <w:t xml:space="preserve"> </w:t>
      </w:r>
      <w:r w:rsidRPr="006076BD">
        <w:t>the</w:t>
      </w:r>
      <w:r w:rsidR="00C64050">
        <w:t xml:space="preserve"> </w:t>
      </w:r>
      <w:r w:rsidRPr="006076BD">
        <w:t>Federal</w:t>
      </w:r>
      <w:r w:rsidR="00C64050">
        <w:t xml:space="preserve"> </w:t>
      </w:r>
      <w:r w:rsidRPr="006076BD">
        <w:t>estate</w:t>
      </w:r>
      <w:r w:rsidR="00C64050">
        <w:t xml:space="preserve"> </w:t>
      </w:r>
      <w:r w:rsidRPr="006076BD">
        <w:t>tax</w:t>
      </w:r>
      <w:r w:rsidR="00C64050">
        <w:t xml:space="preserve"> </w:t>
      </w:r>
      <w:r w:rsidRPr="006076BD">
        <w:t>return)</w:t>
      </w:r>
      <w:r w:rsidR="00C64050">
        <w:t xml:space="preserve"> </w:t>
      </w:r>
      <w:r w:rsidRPr="006076BD">
        <w:t>if</w:t>
      </w:r>
      <w:r w:rsidR="00C64050">
        <w:t xml:space="preserve"> </w:t>
      </w:r>
      <w:r w:rsidRPr="006076BD">
        <w:t>the</w:t>
      </w:r>
      <w:r w:rsidR="00C64050">
        <w:t xml:space="preserve"> </w:t>
      </w:r>
      <w:r w:rsidRPr="006076BD">
        <w:t>taxpayer's</w:t>
      </w:r>
      <w:r w:rsidR="00C64050">
        <w:t xml:space="preserve"> </w:t>
      </w:r>
      <w:r w:rsidRPr="006076BD">
        <w:t>basis</w:t>
      </w:r>
      <w:r w:rsidR="00C64050">
        <w:t xml:space="preserve"> </w:t>
      </w:r>
      <w:r w:rsidRPr="006076BD">
        <w:t>in</w:t>
      </w:r>
      <w:r w:rsidR="00C64050">
        <w:t xml:space="preserve"> </w:t>
      </w:r>
      <w:r w:rsidRPr="006076BD">
        <w:t>the</w:t>
      </w:r>
      <w:r w:rsidR="00C64050">
        <w:t xml:space="preserve"> </w:t>
      </w:r>
      <w:r w:rsidRPr="006076BD">
        <w:t>property</w:t>
      </w:r>
      <w:r w:rsidR="00C64050">
        <w:t xml:space="preserve"> </w:t>
      </w:r>
      <w:r w:rsidRPr="006076BD">
        <w:t>is</w:t>
      </w:r>
      <w:r w:rsidR="00C64050">
        <w:t xml:space="preserve"> </w:t>
      </w:r>
      <w:r w:rsidRPr="006076BD">
        <w:t>relevant</w:t>
      </w:r>
      <w:r w:rsidR="00C64050">
        <w:t xml:space="preserve"> </w:t>
      </w:r>
      <w:r w:rsidRPr="006076BD">
        <w:t>for</w:t>
      </w:r>
      <w:r w:rsidR="00C64050">
        <w:t xml:space="preserve"> </w:t>
      </w:r>
      <w:r w:rsidRPr="006076BD">
        <w:t>any</w:t>
      </w:r>
      <w:r w:rsidR="00C64050">
        <w:t xml:space="preserve"> </w:t>
      </w:r>
      <w:r w:rsidRPr="006076BD">
        <w:t>purpose</w:t>
      </w:r>
      <w:r w:rsidR="00C64050">
        <w:t xml:space="preserve"> </w:t>
      </w:r>
      <w:r w:rsidRPr="006076BD">
        <w:t>under</w:t>
      </w:r>
      <w:r w:rsidR="00C64050">
        <w:t xml:space="preserve"> </w:t>
      </w:r>
      <w:r w:rsidRPr="006076BD">
        <w:t>the</w:t>
      </w:r>
      <w:r w:rsidR="00C64050">
        <w:t xml:space="preserve"> </w:t>
      </w:r>
      <w:r w:rsidRPr="006076BD">
        <w:t>Internal</w:t>
      </w:r>
      <w:r w:rsidR="00C64050">
        <w:t xml:space="preserve"> </w:t>
      </w:r>
      <w:r w:rsidRPr="006076BD">
        <w:t>Revenue</w:t>
      </w:r>
      <w:r w:rsidR="00C64050">
        <w:t xml:space="preserve"> </w:t>
      </w:r>
      <w:r w:rsidRPr="006076BD">
        <w:t>Code</w:t>
      </w:r>
      <w:r w:rsidR="00C64050">
        <w:t xml:space="preserve"> </w:t>
      </w:r>
      <w:r w:rsidRPr="006076BD">
        <w:t>before</w:t>
      </w:r>
      <w:r w:rsidR="00C64050">
        <w:t xml:space="preserve"> </w:t>
      </w:r>
      <w:r w:rsidRPr="006076BD">
        <w:t>the</w:t>
      </w:r>
      <w:r w:rsidR="00C64050">
        <w:t xml:space="preserve"> </w:t>
      </w:r>
      <w:r w:rsidRPr="006076BD">
        <w:t>final</w:t>
      </w:r>
      <w:r w:rsidR="00C64050">
        <w:t xml:space="preserve"> </w:t>
      </w:r>
      <w:r w:rsidRPr="006076BD">
        <w:t>value</w:t>
      </w:r>
      <w:r w:rsidR="00C64050">
        <w:t xml:space="preserve"> </w:t>
      </w:r>
      <w:r w:rsidRPr="006076BD">
        <w:t>of</w:t>
      </w:r>
      <w:r w:rsidR="00C64050">
        <w:t xml:space="preserve"> </w:t>
      </w:r>
      <w:r w:rsidRPr="006076BD">
        <w:t>that</w:t>
      </w:r>
      <w:r w:rsidR="00C64050">
        <w:t xml:space="preserve"> </w:t>
      </w:r>
      <w:r w:rsidRPr="006076BD">
        <w:t>property</w:t>
      </w:r>
      <w:r w:rsidR="00C64050">
        <w:t xml:space="preserve"> </w:t>
      </w:r>
      <w:r w:rsidRPr="006076BD">
        <w:t>has</w:t>
      </w:r>
      <w:r w:rsidR="00C64050">
        <w:t xml:space="preserve"> </w:t>
      </w:r>
      <w:r w:rsidRPr="006076BD">
        <w:t>been</w:t>
      </w:r>
      <w:r w:rsidR="00C64050">
        <w:t xml:space="preserve"> </w:t>
      </w:r>
      <w:r w:rsidRPr="006076BD">
        <w:t>determined</w:t>
      </w:r>
      <w:r w:rsidR="00C64050">
        <w:t xml:space="preserve"> </w:t>
      </w:r>
      <w:r w:rsidRPr="006076BD">
        <w:t>under</w:t>
      </w:r>
      <w:r w:rsidR="00C64050">
        <w:t xml:space="preserve"> </w:t>
      </w:r>
      <w:r w:rsidRPr="006076BD">
        <w:t>proposed</w:t>
      </w:r>
      <w:r w:rsidR="00C64050">
        <w:t xml:space="preserve"> </w:t>
      </w:r>
      <w:r w:rsidRPr="006076BD">
        <w:t>§</w:t>
      </w:r>
      <w:r w:rsidR="00C64050">
        <w:t xml:space="preserve"> </w:t>
      </w:r>
      <w:r w:rsidRPr="006076BD">
        <w:t>1.1014-10(c)(1).</w:t>
      </w:r>
      <w:r w:rsidR="00C64050">
        <w:t xml:space="preserve"> </w:t>
      </w:r>
      <w:r w:rsidRPr="006076BD">
        <w:t>However,</w:t>
      </w:r>
      <w:r w:rsidR="00C64050">
        <w:t xml:space="preserve"> </w:t>
      </w:r>
      <w:r w:rsidRPr="006076BD">
        <w:t>under</w:t>
      </w:r>
      <w:r w:rsidR="00C64050">
        <w:t xml:space="preserve"> </w:t>
      </w:r>
      <w:hyperlink r:id="rId73" w:anchor="co_pp_9daf00009de57" w:history="1">
        <w:r w:rsidRPr="006076BD">
          <w:t>section</w:t>
        </w:r>
        <w:r w:rsidR="00C64050">
          <w:t xml:space="preserve"> </w:t>
        </w:r>
        <w:r w:rsidRPr="006076BD">
          <w:t>1014(f)(1)</w:t>
        </w:r>
      </w:hyperlink>
      <w:r w:rsidRPr="006076BD">
        <w:t>,</w:t>
      </w:r>
      <w:r w:rsidR="00C64050">
        <w:t xml:space="preserve"> </w:t>
      </w:r>
      <w:r w:rsidRPr="006076BD">
        <w:t>basis</w:t>
      </w:r>
      <w:r w:rsidR="00C64050">
        <w:t xml:space="preserve"> </w:t>
      </w:r>
      <w:r w:rsidRPr="006076BD">
        <w:t>cannot</w:t>
      </w:r>
      <w:r w:rsidR="00C64050">
        <w:t xml:space="preserve"> </w:t>
      </w:r>
      <w:r w:rsidRPr="006076BD">
        <w:t>exceed</w:t>
      </w:r>
      <w:r w:rsidR="00C64050">
        <w:t xml:space="preserve"> </w:t>
      </w:r>
      <w:r w:rsidRPr="006076BD">
        <w:t>the</w:t>
      </w:r>
      <w:r w:rsidR="00C64050">
        <w:t xml:space="preserve"> </w:t>
      </w:r>
      <w:r w:rsidRPr="006076BD">
        <w:t>property's</w:t>
      </w:r>
      <w:r w:rsidR="00C64050">
        <w:t xml:space="preserve"> </w:t>
      </w:r>
      <w:r w:rsidRPr="006076BD">
        <w:t>final</w:t>
      </w:r>
      <w:r w:rsidR="00C64050">
        <w:t xml:space="preserve"> </w:t>
      </w:r>
      <w:r w:rsidRPr="006076BD">
        <w:t>value.</w:t>
      </w:r>
      <w:r w:rsidR="00C64050">
        <w:t xml:space="preserve"> </w:t>
      </w:r>
      <w:r w:rsidRPr="006076BD">
        <w:t>Therefore,</w:t>
      </w:r>
      <w:r w:rsidR="00C64050">
        <w:t xml:space="preserve"> </w:t>
      </w:r>
      <w:r w:rsidRPr="006076BD">
        <w:t>proposed</w:t>
      </w:r>
      <w:r w:rsidR="00C64050">
        <w:t xml:space="preserve"> </w:t>
      </w:r>
      <w:r w:rsidRPr="006076BD">
        <w:t>§</w:t>
      </w:r>
      <w:r w:rsidR="00C64050">
        <w:t xml:space="preserve"> </w:t>
      </w:r>
      <w:r w:rsidRPr="006076BD">
        <w:t>1.1014-10(c)(2)</w:t>
      </w:r>
      <w:r w:rsidR="00C64050">
        <w:t xml:space="preserve"> </w:t>
      </w:r>
      <w:r w:rsidRPr="006076BD">
        <w:t>provides</w:t>
      </w:r>
      <w:r w:rsidR="00C64050">
        <w:t xml:space="preserve"> </w:t>
      </w:r>
      <w:r w:rsidRPr="006076BD">
        <w:t>that,</w:t>
      </w:r>
      <w:r w:rsidR="00C64050">
        <w:t xml:space="preserve"> </w:t>
      </w:r>
      <w:r w:rsidRPr="006076BD">
        <w:t>if</w:t>
      </w:r>
      <w:r w:rsidR="00C64050">
        <w:t xml:space="preserve"> </w:t>
      </w:r>
      <w:r w:rsidRPr="006076BD">
        <w:t>the</w:t>
      </w:r>
      <w:r w:rsidR="00C64050">
        <w:t xml:space="preserve"> </w:t>
      </w:r>
      <w:r w:rsidRPr="006076BD">
        <w:t>final</w:t>
      </w:r>
      <w:r w:rsidR="00C64050">
        <w:t xml:space="preserve"> </w:t>
      </w:r>
      <w:r w:rsidRPr="006076BD">
        <w:t>value</w:t>
      </w:r>
      <w:r w:rsidR="00C64050">
        <w:t xml:space="preserve"> </w:t>
      </w:r>
      <w:r w:rsidRPr="006076BD">
        <w:t>is</w:t>
      </w:r>
      <w:r w:rsidR="00C64050">
        <w:t xml:space="preserve"> </w:t>
      </w:r>
      <w:r w:rsidRPr="006076BD">
        <w:t>determined</w:t>
      </w:r>
      <w:r w:rsidR="00C64050">
        <w:t xml:space="preserve"> </w:t>
      </w:r>
      <w:r w:rsidRPr="006076BD">
        <w:t>before</w:t>
      </w:r>
      <w:r w:rsidR="00C64050">
        <w:t xml:space="preserve"> </w:t>
      </w:r>
      <w:r w:rsidRPr="006076BD">
        <w:t>the</w:t>
      </w:r>
      <w:r w:rsidR="00C64050">
        <w:t xml:space="preserve"> </w:t>
      </w:r>
      <w:r w:rsidRPr="006076BD">
        <w:t>period</w:t>
      </w:r>
      <w:r w:rsidR="00C64050">
        <w:t xml:space="preserve"> </w:t>
      </w:r>
      <w:r w:rsidRPr="006076BD">
        <w:t>of</w:t>
      </w:r>
      <w:r w:rsidR="00C64050">
        <w:t xml:space="preserve"> </w:t>
      </w:r>
      <w:r w:rsidRPr="006076BD">
        <w:t>limitation</w:t>
      </w:r>
      <w:r w:rsidR="00C64050">
        <w:t xml:space="preserve"> </w:t>
      </w:r>
      <w:r w:rsidRPr="006076BD">
        <w:t>on</w:t>
      </w:r>
      <w:r w:rsidR="00C64050">
        <w:t xml:space="preserve"> </w:t>
      </w:r>
      <w:r w:rsidRPr="006076BD">
        <w:t>assessment</w:t>
      </w:r>
      <w:r w:rsidR="00C64050">
        <w:t xml:space="preserve"> </w:t>
      </w:r>
      <w:r w:rsidRPr="006076BD">
        <w:t>expires</w:t>
      </w:r>
      <w:r w:rsidR="00C64050">
        <w:t xml:space="preserve"> </w:t>
      </w:r>
      <w:r w:rsidRPr="006076BD">
        <w:t>for</w:t>
      </w:r>
      <w:r w:rsidR="00C64050">
        <w:t xml:space="preserve"> </w:t>
      </w:r>
      <w:r w:rsidRPr="006076BD">
        <w:t>any</w:t>
      </w:r>
      <w:r w:rsidR="00C64050">
        <w:t xml:space="preserve"> </w:t>
      </w:r>
      <w:r w:rsidRPr="006076BD">
        <w:t>Federal</w:t>
      </w:r>
      <w:r w:rsidR="00C64050">
        <w:t xml:space="preserve"> </w:t>
      </w:r>
      <w:r w:rsidRPr="006076BD">
        <w:t>income</w:t>
      </w:r>
      <w:r w:rsidR="00C64050">
        <w:t xml:space="preserve"> </w:t>
      </w:r>
      <w:r w:rsidRPr="006076BD">
        <w:t>tax</w:t>
      </w:r>
      <w:r w:rsidR="00C64050">
        <w:t xml:space="preserve"> </w:t>
      </w:r>
      <w:r w:rsidRPr="006076BD">
        <w:t>return</w:t>
      </w:r>
      <w:r w:rsidR="00C64050">
        <w:t xml:space="preserve"> </w:t>
      </w:r>
      <w:r w:rsidRPr="006076BD">
        <w:t>of</w:t>
      </w:r>
      <w:r w:rsidR="00C64050">
        <w:t xml:space="preserve"> </w:t>
      </w:r>
      <w:r w:rsidRPr="006076BD">
        <w:t>the</w:t>
      </w:r>
      <w:r w:rsidR="00C64050">
        <w:t xml:space="preserve"> </w:t>
      </w:r>
      <w:r w:rsidRPr="006076BD">
        <w:t>recipient</w:t>
      </w:r>
      <w:r w:rsidR="00C64050">
        <w:t xml:space="preserve"> </w:t>
      </w:r>
      <w:r w:rsidRPr="006076BD">
        <w:t>on</w:t>
      </w:r>
      <w:r w:rsidR="00C64050">
        <w:t xml:space="preserve"> </w:t>
      </w:r>
      <w:r w:rsidRPr="006076BD">
        <w:t>which</w:t>
      </w:r>
      <w:r w:rsidR="00C64050">
        <w:t xml:space="preserve"> </w:t>
      </w:r>
      <w:r w:rsidRPr="006076BD">
        <w:t>the</w:t>
      </w:r>
      <w:r w:rsidR="00C64050">
        <w:t xml:space="preserve"> </w:t>
      </w:r>
      <w:r w:rsidRPr="006076BD">
        <w:t>taxpayer's</w:t>
      </w:r>
      <w:r w:rsidR="00C64050">
        <w:t xml:space="preserve"> </w:t>
      </w:r>
      <w:r w:rsidRPr="006076BD">
        <w:t>basis</w:t>
      </w:r>
      <w:r w:rsidR="00C64050">
        <w:t xml:space="preserve"> </w:t>
      </w:r>
      <w:r w:rsidRPr="006076BD">
        <w:t>is</w:t>
      </w:r>
      <w:r w:rsidR="00C64050">
        <w:t xml:space="preserve"> </w:t>
      </w:r>
      <w:r w:rsidRPr="006076BD">
        <w:t>relevant</w:t>
      </w:r>
      <w:r w:rsidR="00C64050">
        <w:t xml:space="preserve"> </w:t>
      </w:r>
      <w:r w:rsidRPr="006076BD">
        <w:t>and</w:t>
      </w:r>
      <w:r w:rsidR="00C64050">
        <w:t xml:space="preserve"> </w:t>
      </w:r>
      <w:r w:rsidRPr="006076BD">
        <w:t>the</w:t>
      </w:r>
      <w:r w:rsidR="00C64050">
        <w:t xml:space="preserve"> </w:t>
      </w:r>
      <w:r w:rsidRPr="006076BD">
        <w:t>final</w:t>
      </w:r>
      <w:r w:rsidR="00C64050">
        <w:t xml:space="preserve"> </w:t>
      </w:r>
      <w:r w:rsidRPr="006076BD">
        <w:t>value</w:t>
      </w:r>
      <w:r w:rsidR="00C64050">
        <w:t xml:space="preserve"> </w:t>
      </w:r>
      <w:r w:rsidRPr="006076BD">
        <w:t>differs</w:t>
      </w:r>
      <w:r w:rsidR="00C64050">
        <w:t xml:space="preserve"> </w:t>
      </w:r>
      <w:r w:rsidRPr="006076BD">
        <w:t>from</w:t>
      </w:r>
      <w:r w:rsidR="00C64050">
        <w:t xml:space="preserve"> </w:t>
      </w:r>
      <w:r w:rsidRPr="006076BD">
        <w:t>the</w:t>
      </w:r>
      <w:r w:rsidR="00C64050">
        <w:t xml:space="preserve"> </w:t>
      </w:r>
      <w:r w:rsidRPr="006076BD">
        <w:t>initial</w:t>
      </w:r>
      <w:r w:rsidR="00C64050">
        <w:t xml:space="preserve"> </w:t>
      </w:r>
      <w:r w:rsidRPr="006076BD">
        <w:t>basis</w:t>
      </w:r>
      <w:r w:rsidR="00C64050">
        <w:t xml:space="preserve"> </w:t>
      </w:r>
      <w:r w:rsidRPr="006076BD">
        <w:t>claimed</w:t>
      </w:r>
      <w:r w:rsidR="00C64050">
        <w:t xml:space="preserve"> </w:t>
      </w:r>
      <w:r w:rsidRPr="006076BD">
        <w:t>with</w:t>
      </w:r>
      <w:r w:rsidR="00C64050">
        <w:t xml:space="preserve"> </w:t>
      </w:r>
      <w:r w:rsidRPr="006076BD">
        <w:t>respect</w:t>
      </w:r>
      <w:r w:rsidR="00C64050">
        <w:t xml:space="preserve"> </w:t>
      </w:r>
      <w:r w:rsidRPr="006076BD">
        <w:t>to</w:t>
      </w:r>
      <w:r w:rsidR="00C64050">
        <w:t xml:space="preserve"> </w:t>
      </w:r>
      <w:r w:rsidRPr="006076BD">
        <w:t>that</w:t>
      </w:r>
      <w:r w:rsidR="00C64050">
        <w:t xml:space="preserve"> </w:t>
      </w:r>
      <w:r w:rsidRPr="006076BD">
        <w:t>return,</w:t>
      </w:r>
      <w:r w:rsidR="00C64050">
        <w:t xml:space="preserve"> </w:t>
      </w:r>
      <w:r w:rsidRPr="006076BD">
        <w:t>a</w:t>
      </w:r>
      <w:r w:rsidR="00C64050">
        <w:t xml:space="preserve"> </w:t>
      </w:r>
      <w:r w:rsidRPr="006076BD">
        <w:t>deficiency</w:t>
      </w:r>
      <w:r w:rsidR="00C64050">
        <w:t xml:space="preserve"> </w:t>
      </w:r>
      <w:r w:rsidRPr="006076BD">
        <w:t>and</w:t>
      </w:r>
      <w:r w:rsidR="00C64050">
        <w:t xml:space="preserve"> </w:t>
      </w:r>
      <w:r w:rsidRPr="006076BD">
        <w:t>an</w:t>
      </w:r>
      <w:r w:rsidR="00C64050">
        <w:t xml:space="preserve"> </w:t>
      </w:r>
      <w:r w:rsidRPr="006076BD">
        <w:t>underpayment</w:t>
      </w:r>
      <w:r w:rsidR="00C64050">
        <w:t xml:space="preserve"> </w:t>
      </w:r>
      <w:r w:rsidRPr="006076BD">
        <w:t>may</w:t>
      </w:r>
      <w:r w:rsidR="00C64050">
        <w:t xml:space="preserve"> </w:t>
      </w:r>
      <w:r w:rsidRPr="006076BD">
        <w:t>result.</w:t>
      </w:r>
    </w:p>
    <w:p w:rsidR="007909BB" w:rsidRDefault="007909BB" w:rsidP="00801686">
      <w:pPr>
        <w:pStyle w:val="Body15"/>
      </w:pPr>
      <w:r>
        <w:t>These</w:t>
      </w:r>
      <w:r w:rsidR="00C64050">
        <w:t xml:space="preserve"> </w:t>
      </w:r>
      <w:r>
        <w:t>requirements</w:t>
      </w:r>
      <w:r w:rsidR="00C64050">
        <w:t xml:space="preserve"> </w:t>
      </w:r>
      <w:r>
        <w:t>may</w:t>
      </w:r>
      <w:r w:rsidR="00C64050">
        <w:t xml:space="preserve"> </w:t>
      </w:r>
      <w:r>
        <w:t>create</w:t>
      </w:r>
      <w:r w:rsidR="00C64050">
        <w:t xml:space="preserve"> </w:t>
      </w:r>
      <w:r>
        <w:t>problems</w:t>
      </w:r>
      <w:r w:rsidR="00C64050">
        <w:t xml:space="preserve"> </w:t>
      </w:r>
      <w:r>
        <w:t>for</w:t>
      </w:r>
      <w:r w:rsidR="00C64050">
        <w:t xml:space="preserve"> </w:t>
      </w:r>
      <w:r>
        <w:t>personal</w:t>
      </w:r>
      <w:r w:rsidR="00C64050">
        <w:t xml:space="preserve"> </w:t>
      </w:r>
      <w:r>
        <w:t>representatives</w:t>
      </w:r>
      <w:r w:rsidR="00C64050">
        <w:t xml:space="preserve"> </w:t>
      </w:r>
      <w:r>
        <w:t>who</w:t>
      </w:r>
      <w:r w:rsidR="00C64050">
        <w:t xml:space="preserve"> </w:t>
      </w:r>
      <w:r>
        <w:t>“horse</w:t>
      </w:r>
      <w:r w:rsidR="00C64050">
        <w:t xml:space="preserve"> </w:t>
      </w:r>
      <w:r>
        <w:t>trade”</w:t>
      </w:r>
      <w:r w:rsidR="00C64050">
        <w:t xml:space="preserve"> </w:t>
      </w:r>
      <w:r>
        <w:t>with</w:t>
      </w:r>
      <w:r w:rsidR="00C64050">
        <w:t xml:space="preserve"> </w:t>
      </w:r>
      <w:r>
        <w:t>the</w:t>
      </w:r>
      <w:r w:rsidR="00C64050">
        <w:t xml:space="preserve"> </w:t>
      </w:r>
      <w:r>
        <w:t>IRS</w:t>
      </w:r>
      <w:r w:rsidR="00C64050">
        <w:t xml:space="preserve"> </w:t>
      </w:r>
      <w:r>
        <w:t>during</w:t>
      </w:r>
      <w:r w:rsidR="00C64050">
        <w:t xml:space="preserve"> </w:t>
      </w:r>
      <w:r>
        <w:t>estate</w:t>
      </w:r>
      <w:r w:rsidR="00C64050">
        <w:t xml:space="preserve"> </w:t>
      </w:r>
      <w:r>
        <w:t>tax</w:t>
      </w:r>
      <w:r w:rsidR="00C64050">
        <w:t xml:space="preserve"> </w:t>
      </w:r>
      <w:r>
        <w:t>audits.</w:t>
      </w:r>
      <w:r w:rsidR="00C64050">
        <w:t xml:space="preserve">  </w:t>
      </w:r>
      <w:r>
        <w:t>Not</w:t>
      </w:r>
      <w:r w:rsidR="00C64050">
        <w:t xml:space="preserve"> </w:t>
      </w:r>
      <w:r>
        <w:t>only</w:t>
      </w:r>
      <w:r w:rsidR="00C64050">
        <w:t xml:space="preserve"> </w:t>
      </w:r>
      <w:r>
        <w:t>does</w:t>
      </w:r>
      <w:r w:rsidR="00C64050">
        <w:t xml:space="preserve"> </w:t>
      </w:r>
      <w:r>
        <w:t>the</w:t>
      </w:r>
      <w:r w:rsidR="00C64050">
        <w:t xml:space="preserve"> </w:t>
      </w:r>
      <w:r>
        <w:t>amount</w:t>
      </w:r>
      <w:r w:rsidR="00C64050">
        <w:t xml:space="preserve"> </w:t>
      </w:r>
      <w:r>
        <w:t>of</w:t>
      </w:r>
      <w:r w:rsidR="00C64050">
        <w:t xml:space="preserve"> </w:t>
      </w:r>
      <w:r>
        <w:t>estate</w:t>
      </w:r>
      <w:r w:rsidR="00C64050">
        <w:t xml:space="preserve"> </w:t>
      </w:r>
      <w:r>
        <w:t>tax</w:t>
      </w:r>
      <w:r w:rsidR="00C64050">
        <w:t xml:space="preserve"> </w:t>
      </w:r>
      <w:r>
        <w:t>matter,</w:t>
      </w:r>
      <w:r w:rsidR="00C64050">
        <w:t xml:space="preserve"> </w:t>
      </w:r>
      <w:r>
        <w:t>but</w:t>
      </w:r>
      <w:r w:rsidR="00C64050">
        <w:t xml:space="preserve"> </w:t>
      </w:r>
      <w:r>
        <w:t>t</w:t>
      </w:r>
      <w:r w:rsidR="000F6A95">
        <w:t>he</w:t>
      </w:r>
      <w:r w:rsidR="00C64050">
        <w:t xml:space="preserve"> </w:t>
      </w:r>
      <w:r w:rsidR="000F6A95">
        <w:t>valuation</w:t>
      </w:r>
      <w:r w:rsidR="00C64050">
        <w:t xml:space="preserve"> </w:t>
      </w:r>
      <w:r w:rsidR="000F6A95">
        <w:t>of</w:t>
      </w:r>
      <w:r w:rsidR="00C64050">
        <w:t xml:space="preserve"> </w:t>
      </w:r>
      <w:r w:rsidR="000F6A95">
        <w:t>specific</w:t>
      </w:r>
      <w:r w:rsidR="00C64050">
        <w:t xml:space="preserve"> </w:t>
      </w:r>
      <w:r w:rsidR="000F6A95">
        <w:t>assets</w:t>
      </w:r>
      <w:r w:rsidR="00C64050">
        <w:t xml:space="preserve"> </w:t>
      </w:r>
      <w:r w:rsidR="000F6A95">
        <w:t>does</w:t>
      </w:r>
      <w:r w:rsidR="00C64050">
        <w:t xml:space="preserve"> </w:t>
      </w:r>
      <w:r w:rsidR="000F6A95">
        <w:t>as</w:t>
      </w:r>
      <w:r w:rsidR="00C64050">
        <w:t xml:space="preserve"> </w:t>
      </w:r>
      <w:r w:rsidR="000F6A95">
        <w:t>well.</w:t>
      </w:r>
    </w:p>
    <w:p w:rsidR="007909BB" w:rsidRDefault="007909BB" w:rsidP="00801686">
      <w:pPr>
        <w:pStyle w:val="Body15"/>
      </w:pPr>
      <w:r>
        <w:t>Suppose</w:t>
      </w:r>
      <w:r w:rsidR="00C64050">
        <w:t xml:space="preserve"> </w:t>
      </w:r>
      <w:r>
        <w:t>a</w:t>
      </w:r>
      <w:r w:rsidR="00C64050">
        <w:t xml:space="preserve"> </w:t>
      </w:r>
      <w:r>
        <w:t>beneficiary</w:t>
      </w:r>
      <w:r w:rsidR="00C64050">
        <w:t xml:space="preserve"> </w:t>
      </w:r>
      <w:r>
        <w:t>disagrees</w:t>
      </w:r>
      <w:r w:rsidR="00C64050">
        <w:t xml:space="preserve"> </w:t>
      </w:r>
      <w:r>
        <w:t>with</w:t>
      </w:r>
      <w:r w:rsidR="00C64050">
        <w:t xml:space="preserve"> </w:t>
      </w:r>
      <w:r>
        <w:t>a</w:t>
      </w:r>
      <w:r w:rsidR="00C64050">
        <w:t xml:space="preserve"> </w:t>
      </w:r>
      <w:r>
        <w:t>personal</w:t>
      </w:r>
      <w:r w:rsidR="00C64050">
        <w:t xml:space="preserve"> </w:t>
      </w:r>
      <w:r>
        <w:t>representative.</w:t>
      </w:r>
      <w:r w:rsidR="00C64050">
        <w:t xml:space="preserve">  </w:t>
      </w:r>
      <w:r>
        <w:t>That</w:t>
      </w:r>
      <w:r w:rsidR="00C64050">
        <w:t xml:space="preserve"> </w:t>
      </w:r>
      <w:r>
        <w:t>is</w:t>
      </w:r>
      <w:r w:rsidR="00C64050">
        <w:t xml:space="preserve"> </w:t>
      </w:r>
      <w:r>
        <w:t>a</w:t>
      </w:r>
      <w:r w:rsidR="00C64050">
        <w:t xml:space="preserve"> </w:t>
      </w:r>
      <w:r>
        <w:t>state</w:t>
      </w:r>
      <w:r w:rsidR="00C64050">
        <w:t xml:space="preserve"> </w:t>
      </w:r>
      <w:r>
        <w:t>law</w:t>
      </w:r>
      <w:r w:rsidR="00C64050">
        <w:t xml:space="preserve"> </w:t>
      </w:r>
      <w:r>
        <w:t>actionable</w:t>
      </w:r>
      <w:r w:rsidR="00C64050">
        <w:t xml:space="preserve"> </w:t>
      </w:r>
      <w:r>
        <w:t>item</w:t>
      </w:r>
      <w:r w:rsidR="00C64050">
        <w:t xml:space="preserve"> </w:t>
      </w:r>
      <w:r>
        <w:t>except</w:t>
      </w:r>
      <w:r w:rsidR="00C64050">
        <w:t xml:space="preserve"> </w:t>
      </w:r>
      <w:r>
        <w:t>that</w:t>
      </w:r>
      <w:r w:rsidR="00C64050">
        <w:t xml:space="preserve"> </w:t>
      </w:r>
      <w:r>
        <w:t>a</w:t>
      </w:r>
      <w:r w:rsidR="00C64050">
        <w:t xml:space="preserve"> </w:t>
      </w:r>
      <w:r>
        <w:t>beneficiary</w:t>
      </w:r>
      <w:r w:rsidR="00C64050">
        <w:t xml:space="preserve"> </w:t>
      </w:r>
      <w:r>
        <w:t>who</w:t>
      </w:r>
      <w:r w:rsidR="00C64050">
        <w:t xml:space="preserve"> </w:t>
      </w:r>
      <w:r>
        <w:t>wins</w:t>
      </w:r>
      <w:r w:rsidR="00C64050">
        <w:t xml:space="preserve"> </w:t>
      </w:r>
      <w:r>
        <w:t>may</w:t>
      </w:r>
      <w:r w:rsidR="00C64050">
        <w:t xml:space="preserve"> </w:t>
      </w:r>
      <w:r>
        <w:t>have</w:t>
      </w:r>
      <w:r w:rsidR="00C64050">
        <w:t xml:space="preserve"> </w:t>
      </w:r>
      <w:r>
        <w:t>no</w:t>
      </w:r>
      <w:r w:rsidR="00C64050">
        <w:t xml:space="preserve"> </w:t>
      </w:r>
      <w:r>
        <w:t>federal</w:t>
      </w:r>
      <w:r w:rsidR="00C64050">
        <w:t xml:space="preserve"> </w:t>
      </w:r>
      <w:r>
        <w:t>recourse.</w:t>
      </w:r>
      <w:r w:rsidR="00C64050">
        <w:t xml:space="preserve">  </w:t>
      </w:r>
      <w:r>
        <w:t>Suggestions</w:t>
      </w:r>
      <w:r w:rsidR="00C64050">
        <w:t xml:space="preserve"> </w:t>
      </w:r>
      <w:r>
        <w:t>that</w:t>
      </w:r>
      <w:r w:rsidR="00C64050">
        <w:t xml:space="preserve"> </w:t>
      </w:r>
      <w:r>
        <w:t>a</w:t>
      </w:r>
      <w:r w:rsidR="00C64050">
        <w:t xml:space="preserve"> </w:t>
      </w:r>
      <w:r>
        <w:t>beneficiary</w:t>
      </w:r>
      <w:r w:rsidR="00C64050">
        <w:t xml:space="preserve"> </w:t>
      </w:r>
      <w:r>
        <w:t>should</w:t>
      </w:r>
      <w:r w:rsidR="00C64050">
        <w:t xml:space="preserve"> </w:t>
      </w:r>
      <w:r>
        <w:t>be</w:t>
      </w:r>
      <w:r w:rsidR="00C64050">
        <w:t xml:space="preserve"> </w:t>
      </w:r>
      <w:r>
        <w:t>able</w:t>
      </w:r>
      <w:r w:rsidR="00C64050">
        <w:t xml:space="preserve"> </w:t>
      </w:r>
      <w:r>
        <w:t>to</w:t>
      </w:r>
      <w:r w:rsidR="00C64050">
        <w:t xml:space="preserve"> </w:t>
      </w:r>
      <w:r>
        <w:t>file</w:t>
      </w:r>
      <w:r w:rsidR="00C64050">
        <w:t xml:space="preserve"> </w:t>
      </w:r>
      <w:r>
        <w:t>a</w:t>
      </w:r>
      <w:r w:rsidR="00C64050">
        <w:t xml:space="preserve"> </w:t>
      </w:r>
      <w:r>
        <w:t>protective</w:t>
      </w:r>
      <w:r w:rsidR="00C64050">
        <w:t xml:space="preserve"> </w:t>
      </w:r>
      <w:r>
        <w:t>claim</w:t>
      </w:r>
      <w:r w:rsidR="00C64050">
        <w:t xml:space="preserve"> </w:t>
      </w:r>
      <w:r>
        <w:t>have</w:t>
      </w:r>
      <w:r w:rsidR="00C64050">
        <w:t xml:space="preserve"> </w:t>
      </w:r>
      <w:r>
        <w:t>been</w:t>
      </w:r>
      <w:r w:rsidR="00C64050">
        <w:t xml:space="preserve"> </w:t>
      </w:r>
      <w:r>
        <w:t>made.</w:t>
      </w:r>
    </w:p>
    <w:p w:rsidR="00801686" w:rsidRDefault="00801686" w:rsidP="00801686">
      <w:pPr>
        <w:pStyle w:val="Body15"/>
      </w:pPr>
      <w:r>
        <w:t>What</w:t>
      </w:r>
      <w:r w:rsidR="00C64050">
        <w:t xml:space="preserve"> </w:t>
      </w:r>
      <w:r>
        <w:t>if</w:t>
      </w:r>
      <w:r w:rsidR="00C64050">
        <w:t xml:space="preserve"> </w:t>
      </w:r>
      <w:r>
        <w:t>property</w:t>
      </w:r>
      <w:r w:rsidR="00C64050">
        <w:t xml:space="preserve"> </w:t>
      </w:r>
      <w:r>
        <w:t>is</w:t>
      </w:r>
      <w:r w:rsidR="00C64050">
        <w:t xml:space="preserve"> </w:t>
      </w:r>
      <w:r>
        <w:t>omitted</w:t>
      </w:r>
      <w:r w:rsidR="00C64050">
        <w:t xml:space="preserve"> </w:t>
      </w:r>
      <w:r w:rsidR="007909BB">
        <w:t>from</w:t>
      </w:r>
      <w:r w:rsidR="00C64050">
        <w:t xml:space="preserve"> </w:t>
      </w:r>
      <w:r w:rsidR="007909BB">
        <w:t>the</w:t>
      </w:r>
      <w:r w:rsidR="00C64050">
        <w:t xml:space="preserve"> </w:t>
      </w:r>
      <w:r w:rsidR="007909BB">
        <w:t>Form</w:t>
      </w:r>
      <w:r w:rsidR="00C64050">
        <w:t xml:space="preserve"> </w:t>
      </w:r>
      <w:r w:rsidR="007909BB">
        <w:t>706</w:t>
      </w:r>
      <w:r w:rsidR="00C64050">
        <w:t xml:space="preserve"> </w:t>
      </w:r>
      <w:r>
        <w:t>or</w:t>
      </w:r>
      <w:r w:rsidR="00C64050">
        <w:t xml:space="preserve"> </w:t>
      </w:r>
      <w:r>
        <w:t>discovered</w:t>
      </w:r>
      <w:r w:rsidR="00C64050">
        <w:t xml:space="preserve"> </w:t>
      </w:r>
      <w:r>
        <w:t>later</w:t>
      </w:r>
      <w:r w:rsidR="00C64050">
        <w:t xml:space="preserve"> </w:t>
      </w:r>
      <w:r w:rsidR="007909BB">
        <w:t>after</w:t>
      </w:r>
      <w:r w:rsidR="00C64050">
        <w:t xml:space="preserve"> </w:t>
      </w:r>
      <w:r w:rsidR="007909BB">
        <w:t>the</w:t>
      </w:r>
      <w:r w:rsidR="00C64050">
        <w:t xml:space="preserve"> </w:t>
      </w:r>
      <w:r w:rsidR="007909BB">
        <w:t>Form</w:t>
      </w:r>
      <w:r w:rsidR="00C64050">
        <w:t xml:space="preserve"> </w:t>
      </w:r>
      <w:r w:rsidR="007909BB">
        <w:t>706</w:t>
      </w:r>
      <w:r w:rsidR="00C64050">
        <w:t xml:space="preserve"> </w:t>
      </w:r>
      <w:r w:rsidR="007909BB">
        <w:t>has</w:t>
      </w:r>
      <w:r w:rsidR="00C64050">
        <w:t xml:space="preserve"> </w:t>
      </w:r>
      <w:r w:rsidR="007909BB">
        <w:t>been</w:t>
      </w:r>
      <w:r w:rsidR="00C64050">
        <w:t xml:space="preserve"> </w:t>
      </w:r>
      <w:r w:rsidR="007909BB">
        <w:t>filed</w:t>
      </w:r>
      <w:r>
        <w:t>?</w:t>
      </w:r>
      <w:r w:rsidR="00C64050">
        <w:t xml:space="preserve">  </w:t>
      </w:r>
      <w:r>
        <w:t>Prop.</w:t>
      </w:r>
      <w:r w:rsidR="00C64050">
        <w:t xml:space="preserve"> </w:t>
      </w:r>
      <w:r>
        <w:t>Reg.</w:t>
      </w:r>
      <w:r w:rsidR="00C64050">
        <w:t xml:space="preserve"> </w:t>
      </w:r>
      <w:r>
        <w:t>§1.1014-10(c)(3)</w:t>
      </w:r>
      <w:r w:rsidR="00C64050">
        <w:t xml:space="preserve"> </w:t>
      </w:r>
      <w:r>
        <w:t>provides:</w:t>
      </w:r>
    </w:p>
    <w:p w:rsidR="005A33D6" w:rsidRPr="005A33D6" w:rsidRDefault="005A33D6" w:rsidP="006076BD">
      <w:pPr>
        <w:pStyle w:val="QS10"/>
      </w:pPr>
      <w:r w:rsidRPr="005A33D6">
        <w:t>(3)</w:t>
      </w:r>
      <w:r w:rsidR="00C64050">
        <w:t xml:space="preserve"> </w:t>
      </w:r>
      <w:r w:rsidRPr="005A33D6">
        <w:t>After-discovered</w:t>
      </w:r>
      <w:r w:rsidR="00C64050">
        <w:t xml:space="preserve"> </w:t>
      </w:r>
      <w:r w:rsidRPr="005A33D6">
        <w:t>or</w:t>
      </w:r>
      <w:r w:rsidR="00C64050">
        <w:t xml:space="preserve"> </w:t>
      </w:r>
      <w:r w:rsidRPr="005A33D6">
        <w:t>omitted</w:t>
      </w:r>
      <w:r w:rsidR="00C64050">
        <w:t xml:space="preserve"> </w:t>
      </w:r>
      <w:r w:rsidRPr="005A33D6">
        <w:t>property—(i)</w:t>
      </w:r>
      <w:r w:rsidR="00C64050">
        <w:t xml:space="preserve"> </w:t>
      </w:r>
      <w:r w:rsidRPr="005A33D6">
        <w:t>Return</w:t>
      </w:r>
      <w:r w:rsidR="00C64050">
        <w:t xml:space="preserve"> </w:t>
      </w:r>
      <w:r w:rsidRPr="005A33D6">
        <w:t>under</w:t>
      </w:r>
      <w:r w:rsidR="00C64050">
        <w:t xml:space="preserve"> </w:t>
      </w:r>
      <w:r w:rsidRPr="005A33D6">
        <w:t>section</w:t>
      </w:r>
      <w:r w:rsidR="00C64050">
        <w:t xml:space="preserve"> </w:t>
      </w:r>
      <w:r w:rsidRPr="005A33D6">
        <w:t>6018</w:t>
      </w:r>
      <w:r w:rsidR="00C64050">
        <w:t xml:space="preserve"> </w:t>
      </w:r>
      <w:r w:rsidRPr="005A33D6">
        <w:t>filed.</w:t>
      </w:r>
      <w:r w:rsidR="00C64050">
        <w:t xml:space="preserve"> </w:t>
      </w:r>
      <w:r w:rsidRPr="005A33D6">
        <w:t>In</w:t>
      </w:r>
      <w:r w:rsidR="00C64050">
        <w:t xml:space="preserve"> </w:t>
      </w:r>
      <w:r w:rsidRPr="005A33D6">
        <w:t>the</w:t>
      </w:r>
      <w:r w:rsidR="00C64050">
        <w:t xml:space="preserve"> </w:t>
      </w:r>
      <w:r w:rsidRPr="005A33D6">
        <w:t>event</w:t>
      </w:r>
      <w:r w:rsidR="00C64050">
        <w:t xml:space="preserve"> </w:t>
      </w:r>
      <w:r w:rsidRPr="005A33D6">
        <w:t>property</w:t>
      </w:r>
      <w:r w:rsidR="00C64050">
        <w:t xml:space="preserve"> </w:t>
      </w:r>
      <w:r w:rsidRPr="005A33D6">
        <w:t>described</w:t>
      </w:r>
      <w:r w:rsidR="00C64050">
        <w:t xml:space="preserve"> </w:t>
      </w:r>
      <w:r w:rsidRPr="005A33D6">
        <w:t>in</w:t>
      </w:r>
      <w:r w:rsidR="00C64050">
        <w:t xml:space="preserve"> </w:t>
      </w:r>
      <w:r w:rsidRPr="005A33D6">
        <w:t>paragraph</w:t>
      </w:r>
      <w:r w:rsidR="00C64050">
        <w:t xml:space="preserve"> </w:t>
      </w:r>
      <w:r w:rsidRPr="005A33D6">
        <w:t>(b)(1)</w:t>
      </w:r>
      <w:r w:rsidR="00C64050">
        <w:t xml:space="preserve"> </w:t>
      </w:r>
      <w:r w:rsidRPr="005A33D6">
        <w:t>of</w:t>
      </w:r>
      <w:r w:rsidR="00C64050">
        <w:t xml:space="preserve"> </w:t>
      </w:r>
      <w:r w:rsidRPr="005A33D6">
        <w:t>this</w:t>
      </w:r>
      <w:r w:rsidR="00C64050">
        <w:t xml:space="preserve"> </w:t>
      </w:r>
      <w:r w:rsidRPr="005A33D6">
        <w:t>section</w:t>
      </w:r>
      <w:r w:rsidR="00C64050">
        <w:t xml:space="preserve"> </w:t>
      </w:r>
      <w:r w:rsidRPr="005A33D6">
        <w:t>is</w:t>
      </w:r>
      <w:r w:rsidR="00C64050">
        <w:t xml:space="preserve"> </w:t>
      </w:r>
      <w:r w:rsidRPr="005A33D6">
        <w:t>discovered</w:t>
      </w:r>
      <w:r w:rsidR="00C64050">
        <w:t xml:space="preserve"> </w:t>
      </w:r>
      <w:r w:rsidRPr="005A33D6">
        <w:t>after</w:t>
      </w:r>
      <w:r w:rsidR="00C64050">
        <w:t xml:space="preserve"> </w:t>
      </w:r>
      <w:r w:rsidRPr="005A33D6">
        <w:t>the</w:t>
      </w:r>
      <w:r w:rsidR="00C64050">
        <w:t xml:space="preserve"> </w:t>
      </w:r>
      <w:r w:rsidRPr="005A33D6">
        <w:t>estate</w:t>
      </w:r>
      <w:r w:rsidR="00C64050">
        <w:t xml:space="preserve"> </w:t>
      </w:r>
      <w:r w:rsidRPr="005A33D6">
        <w:t>tax</w:t>
      </w:r>
      <w:r w:rsidR="00C64050">
        <w:t xml:space="preserve"> </w:t>
      </w:r>
      <w:r w:rsidRPr="005A33D6">
        <w:t>return</w:t>
      </w:r>
      <w:r w:rsidR="00C64050">
        <w:t xml:space="preserve"> </w:t>
      </w:r>
      <w:r w:rsidRPr="005A33D6">
        <w:t>under</w:t>
      </w:r>
      <w:r w:rsidR="00C64050">
        <w:t xml:space="preserve"> </w:t>
      </w:r>
      <w:r w:rsidRPr="005A33D6">
        <w:t>section</w:t>
      </w:r>
      <w:r w:rsidR="00C64050">
        <w:t xml:space="preserve"> </w:t>
      </w:r>
      <w:r w:rsidRPr="005A33D6">
        <w:t>6018</w:t>
      </w:r>
      <w:r w:rsidR="00C64050">
        <w:t xml:space="preserve"> </w:t>
      </w:r>
      <w:r w:rsidRPr="005A33D6">
        <w:t>has</w:t>
      </w:r>
      <w:r w:rsidR="00C64050">
        <w:t xml:space="preserve"> </w:t>
      </w:r>
      <w:r w:rsidRPr="005A33D6">
        <w:t>been</w:t>
      </w:r>
      <w:r w:rsidR="00C64050">
        <w:t xml:space="preserve"> </w:t>
      </w:r>
      <w:r w:rsidRPr="005A33D6">
        <w:t>filed</w:t>
      </w:r>
      <w:r w:rsidR="00C64050">
        <w:t xml:space="preserve"> </w:t>
      </w:r>
      <w:r w:rsidRPr="005A33D6">
        <w:t>or</w:t>
      </w:r>
      <w:r w:rsidR="00C64050">
        <w:t xml:space="preserve"> </w:t>
      </w:r>
      <w:r w:rsidRPr="005A33D6">
        <w:t>otherwise</w:t>
      </w:r>
      <w:r w:rsidR="00C64050">
        <w:t xml:space="preserve"> </w:t>
      </w:r>
      <w:r w:rsidRPr="005A33D6">
        <w:t>is</w:t>
      </w:r>
      <w:r w:rsidR="00C64050">
        <w:t xml:space="preserve"> </w:t>
      </w:r>
      <w:r w:rsidRPr="005A33D6">
        <w:t>omitted</w:t>
      </w:r>
      <w:r w:rsidR="00C64050">
        <w:t xml:space="preserve"> </w:t>
      </w:r>
      <w:r w:rsidRPr="005A33D6">
        <w:t>from</w:t>
      </w:r>
      <w:r w:rsidR="00C64050">
        <w:t xml:space="preserve"> </w:t>
      </w:r>
      <w:r w:rsidRPr="005A33D6">
        <w:t>that</w:t>
      </w:r>
      <w:r w:rsidR="00C64050">
        <w:t xml:space="preserve"> </w:t>
      </w:r>
      <w:r w:rsidRPr="005A33D6">
        <w:t>return</w:t>
      </w:r>
      <w:r w:rsidR="00C64050">
        <w:t xml:space="preserve"> </w:t>
      </w:r>
      <w:r w:rsidRPr="005A33D6">
        <w:t>(after-discovered</w:t>
      </w:r>
      <w:r w:rsidR="00C64050">
        <w:t xml:space="preserve"> </w:t>
      </w:r>
      <w:r w:rsidRPr="005A33D6">
        <w:t>or</w:t>
      </w:r>
      <w:r w:rsidR="00C64050">
        <w:t xml:space="preserve"> </w:t>
      </w:r>
      <w:r w:rsidRPr="005A33D6">
        <w:t>omitted</w:t>
      </w:r>
      <w:r w:rsidR="00C64050">
        <w:t xml:space="preserve"> </w:t>
      </w:r>
      <w:r w:rsidRPr="005A33D6">
        <w:t>property),</w:t>
      </w:r>
      <w:r w:rsidR="00C64050">
        <w:t xml:space="preserve"> </w:t>
      </w:r>
      <w:r w:rsidRPr="005A33D6">
        <w:t>the</w:t>
      </w:r>
      <w:r w:rsidR="00C64050">
        <w:t xml:space="preserve"> </w:t>
      </w:r>
      <w:r w:rsidRPr="005A33D6">
        <w:t>final</w:t>
      </w:r>
      <w:r w:rsidR="00C64050">
        <w:t xml:space="preserve"> </w:t>
      </w:r>
      <w:r w:rsidRPr="005A33D6">
        <w:t>value</w:t>
      </w:r>
      <w:r w:rsidR="00C64050">
        <w:t xml:space="preserve"> </w:t>
      </w:r>
      <w:r w:rsidRPr="005A33D6">
        <w:t>of</w:t>
      </w:r>
      <w:r w:rsidR="00C64050">
        <w:t xml:space="preserve"> </w:t>
      </w:r>
      <w:r w:rsidRPr="005A33D6">
        <w:t>that</w:t>
      </w:r>
      <w:r w:rsidR="00C64050">
        <w:t xml:space="preserve"> </w:t>
      </w:r>
      <w:r w:rsidRPr="005A33D6">
        <w:t>property</w:t>
      </w:r>
      <w:r w:rsidR="00C64050">
        <w:t xml:space="preserve"> </w:t>
      </w:r>
      <w:r w:rsidRPr="005A33D6">
        <w:t>is</w:t>
      </w:r>
      <w:r w:rsidR="00C64050">
        <w:t xml:space="preserve"> </w:t>
      </w:r>
      <w:r w:rsidRPr="005A33D6">
        <w:t>determined</w:t>
      </w:r>
      <w:r w:rsidR="00C64050">
        <w:t xml:space="preserve"> </w:t>
      </w:r>
      <w:r w:rsidRPr="005A33D6">
        <w:t>under</w:t>
      </w:r>
      <w:r w:rsidR="00C64050">
        <w:t xml:space="preserve"> </w:t>
      </w:r>
      <w:r w:rsidRPr="005A33D6">
        <w:t>section</w:t>
      </w:r>
      <w:r w:rsidR="00C64050">
        <w:t xml:space="preserve"> </w:t>
      </w:r>
      <w:r w:rsidRPr="005A33D6">
        <w:t>(c)(3)(i)(A)</w:t>
      </w:r>
      <w:r w:rsidR="00C64050">
        <w:t xml:space="preserve"> </w:t>
      </w:r>
      <w:r w:rsidRPr="005A33D6">
        <w:t>or</w:t>
      </w:r>
      <w:r w:rsidR="00C64050">
        <w:t xml:space="preserve"> </w:t>
      </w:r>
      <w:r w:rsidRPr="005A33D6">
        <w:t>(B)</w:t>
      </w:r>
      <w:r w:rsidR="00C64050">
        <w:t xml:space="preserve"> </w:t>
      </w:r>
      <w:r w:rsidRPr="005A33D6">
        <w:t>of</w:t>
      </w:r>
      <w:r w:rsidR="00C64050">
        <w:t xml:space="preserve"> </w:t>
      </w:r>
      <w:r w:rsidRPr="005A33D6">
        <w:t>this</w:t>
      </w:r>
      <w:r w:rsidR="00C64050">
        <w:t xml:space="preserve"> </w:t>
      </w:r>
      <w:r w:rsidRPr="005A33D6">
        <w:t>section.</w:t>
      </w:r>
    </w:p>
    <w:p w:rsidR="005A33D6" w:rsidRPr="005A33D6" w:rsidRDefault="005A33D6" w:rsidP="006076BD">
      <w:pPr>
        <w:pStyle w:val="QS10"/>
      </w:pPr>
      <w:r w:rsidRPr="005A33D6">
        <w:t>(A)</w:t>
      </w:r>
      <w:r w:rsidR="00C64050">
        <w:t xml:space="preserve"> </w:t>
      </w:r>
      <w:r w:rsidRPr="005A33D6">
        <w:t>Reporting</w:t>
      </w:r>
      <w:r w:rsidR="00C64050">
        <w:t xml:space="preserve"> </w:t>
      </w:r>
      <w:r w:rsidRPr="005A33D6">
        <w:t>prior</w:t>
      </w:r>
      <w:r w:rsidR="00C64050">
        <w:t xml:space="preserve"> </w:t>
      </w:r>
      <w:r w:rsidRPr="005A33D6">
        <w:t>to</w:t>
      </w:r>
      <w:r w:rsidR="00C64050">
        <w:t xml:space="preserve"> </w:t>
      </w:r>
      <w:r w:rsidRPr="005A33D6">
        <w:t>expiration</w:t>
      </w:r>
      <w:r w:rsidR="00C64050">
        <w:t xml:space="preserve"> </w:t>
      </w:r>
      <w:r w:rsidRPr="005A33D6">
        <w:t>of</w:t>
      </w:r>
      <w:r w:rsidR="00C64050">
        <w:t xml:space="preserve"> </w:t>
      </w:r>
      <w:r w:rsidRPr="005A33D6">
        <w:t>period</w:t>
      </w:r>
      <w:r w:rsidR="00C64050">
        <w:t xml:space="preserve"> </w:t>
      </w:r>
      <w:r w:rsidRPr="005A33D6">
        <w:t>of</w:t>
      </w:r>
      <w:r w:rsidR="00C64050">
        <w:t xml:space="preserve"> </w:t>
      </w:r>
      <w:r w:rsidRPr="005A33D6">
        <w:t>limitation</w:t>
      </w:r>
      <w:r w:rsidR="00C64050">
        <w:t xml:space="preserve"> </w:t>
      </w:r>
      <w:r w:rsidRPr="005A33D6">
        <w:t>on</w:t>
      </w:r>
      <w:r w:rsidR="00C64050">
        <w:t xml:space="preserve"> </w:t>
      </w:r>
      <w:r w:rsidRPr="005A33D6">
        <w:t>assessment.</w:t>
      </w:r>
      <w:r w:rsidR="00C64050">
        <w:t xml:space="preserve"> </w:t>
      </w:r>
      <w:r w:rsidRPr="005A33D6">
        <w:t>The</w:t>
      </w:r>
      <w:r w:rsidR="00C64050">
        <w:t xml:space="preserve"> </w:t>
      </w:r>
      <w:r w:rsidRPr="005A33D6">
        <w:t>final</w:t>
      </w:r>
      <w:r w:rsidR="00C64050">
        <w:t xml:space="preserve"> </w:t>
      </w:r>
      <w:r w:rsidRPr="005A33D6">
        <w:t>value</w:t>
      </w:r>
      <w:r w:rsidR="00C64050">
        <w:t xml:space="preserve"> </w:t>
      </w:r>
      <w:r w:rsidRPr="005A33D6">
        <w:t>of</w:t>
      </w:r>
      <w:r w:rsidR="00C64050">
        <w:t xml:space="preserve"> </w:t>
      </w:r>
      <w:r w:rsidRPr="005A33D6">
        <w:t>the</w:t>
      </w:r>
      <w:r w:rsidR="00C64050">
        <w:t xml:space="preserve"> </w:t>
      </w:r>
      <w:r w:rsidRPr="005A33D6">
        <w:t>after-discovered</w:t>
      </w:r>
      <w:r w:rsidR="00C64050">
        <w:t xml:space="preserve"> </w:t>
      </w:r>
      <w:r w:rsidRPr="005A33D6">
        <w:t>or</w:t>
      </w:r>
      <w:r w:rsidR="00C64050">
        <w:t xml:space="preserve"> </w:t>
      </w:r>
      <w:r w:rsidRPr="005A33D6">
        <w:t>omitted</w:t>
      </w:r>
      <w:r w:rsidR="00C64050">
        <w:t xml:space="preserve"> </w:t>
      </w:r>
      <w:r w:rsidRPr="005A33D6">
        <w:t>property</w:t>
      </w:r>
      <w:r w:rsidR="00C64050">
        <w:t xml:space="preserve"> </w:t>
      </w:r>
      <w:r w:rsidRPr="005A33D6">
        <w:t>is</w:t>
      </w:r>
      <w:r w:rsidR="00C64050">
        <w:t xml:space="preserve"> </w:t>
      </w:r>
      <w:r w:rsidRPr="005A33D6">
        <w:t>determined</w:t>
      </w:r>
      <w:r w:rsidR="00C64050">
        <w:t xml:space="preserve"> </w:t>
      </w:r>
      <w:r w:rsidRPr="005A33D6">
        <w:t>in</w:t>
      </w:r>
      <w:r w:rsidR="00C64050">
        <w:t xml:space="preserve"> </w:t>
      </w:r>
      <w:r w:rsidRPr="005A33D6">
        <w:t>accordance</w:t>
      </w:r>
      <w:r w:rsidR="00C64050">
        <w:t xml:space="preserve"> </w:t>
      </w:r>
      <w:r w:rsidRPr="005A33D6">
        <w:t>with</w:t>
      </w:r>
      <w:r w:rsidR="00C64050">
        <w:t xml:space="preserve"> </w:t>
      </w:r>
      <w:r w:rsidRPr="005A33D6">
        <w:t>paragraph</w:t>
      </w:r>
      <w:r w:rsidR="00C64050">
        <w:t xml:space="preserve"> </w:t>
      </w:r>
      <w:r w:rsidRPr="005A33D6">
        <w:t>(c)(1)</w:t>
      </w:r>
      <w:r w:rsidR="00C64050">
        <w:t xml:space="preserve"> </w:t>
      </w:r>
      <w:r w:rsidRPr="005A33D6">
        <w:t>or</w:t>
      </w:r>
      <w:r w:rsidR="00C64050">
        <w:t xml:space="preserve"> </w:t>
      </w:r>
      <w:r w:rsidRPr="005A33D6">
        <w:t>(2)</w:t>
      </w:r>
      <w:r w:rsidR="00C64050">
        <w:t xml:space="preserve"> </w:t>
      </w:r>
      <w:r w:rsidRPr="005A33D6">
        <w:t>of</w:t>
      </w:r>
      <w:r w:rsidR="00C64050">
        <w:t xml:space="preserve"> </w:t>
      </w:r>
      <w:r w:rsidRPr="005A33D6">
        <w:t>this</w:t>
      </w:r>
      <w:r w:rsidR="00C64050">
        <w:t xml:space="preserve"> </w:t>
      </w:r>
      <w:r w:rsidRPr="005A33D6">
        <w:t>section</w:t>
      </w:r>
      <w:r w:rsidR="00C64050">
        <w:t xml:space="preserve"> </w:t>
      </w:r>
      <w:r w:rsidRPr="005A33D6">
        <w:t>if</w:t>
      </w:r>
      <w:r w:rsidR="00C64050">
        <w:t xml:space="preserve"> </w:t>
      </w:r>
      <w:r w:rsidRPr="005A33D6">
        <w:t>the</w:t>
      </w:r>
      <w:r w:rsidR="00C64050">
        <w:t xml:space="preserve"> </w:t>
      </w:r>
      <w:r w:rsidRPr="005A33D6">
        <w:t>executor,</w:t>
      </w:r>
      <w:r w:rsidR="00C64050">
        <w:t xml:space="preserve"> </w:t>
      </w:r>
      <w:r w:rsidRPr="005A33D6">
        <w:t>prior</w:t>
      </w:r>
      <w:r w:rsidR="00C64050">
        <w:t xml:space="preserve"> </w:t>
      </w:r>
      <w:r w:rsidRPr="005A33D6">
        <w:t>to</w:t>
      </w:r>
      <w:r w:rsidR="00C64050">
        <w:t xml:space="preserve"> </w:t>
      </w:r>
      <w:r w:rsidRPr="005A33D6">
        <w:t>the</w:t>
      </w:r>
      <w:r w:rsidR="00C64050">
        <w:t xml:space="preserve"> </w:t>
      </w:r>
      <w:r w:rsidRPr="005A33D6">
        <w:t>expiration</w:t>
      </w:r>
      <w:r w:rsidR="00C64050">
        <w:t xml:space="preserve"> </w:t>
      </w:r>
      <w:r w:rsidRPr="005A33D6">
        <w:t>of</w:t>
      </w:r>
      <w:r w:rsidR="00C64050">
        <w:t xml:space="preserve"> </w:t>
      </w:r>
      <w:r w:rsidRPr="005A33D6">
        <w:t>the</w:t>
      </w:r>
      <w:r w:rsidR="00C64050">
        <w:t xml:space="preserve"> </w:t>
      </w:r>
      <w:r w:rsidRPr="005A33D6">
        <w:t>period</w:t>
      </w:r>
      <w:r w:rsidR="00C64050">
        <w:t xml:space="preserve"> </w:t>
      </w:r>
      <w:r w:rsidRPr="005A33D6">
        <w:t>of</w:t>
      </w:r>
      <w:r w:rsidR="00C64050">
        <w:t xml:space="preserve"> </w:t>
      </w:r>
      <w:r w:rsidRPr="005A33D6">
        <w:t>limitation</w:t>
      </w:r>
      <w:r w:rsidR="00C64050">
        <w:t xml:space="preserve"> </w:t>
      </w:r>
      <w:r w:rsidRPr="005A33D6">
        <w:t>on</w:t>
      </w:r>
      <w:r w:rsidR="00C64050">
        <w:t xml:space="preserve"> </w:t>
      </w:r>
      <w:r w:rsidRPr="005A33D6">
        <w:t>assessment</w:t>
      </w:r>
      <w:r w:rsidR="00C64050">
        <w:t xml:space="preserve"> </w:t>
      </w:r>
      <w:r w:rsidRPr="005A33D6">
        <w:t>of</w:t>
      </w:r>
      <w:r w:rsidR="00C64050">
        <w:t xml:space="preserve"> </w:t>
      </w:r>
      <w:r w:rsidRPr="005A33D6">
        <w:t>the</w:t>
      </w:r>
      <w:r w:rsidR="00C64050">
        <w:t xml:space="preserve"> </w:t>
      </w:r>
      <w:r w:rsidRPr="005A33D6">
        <w:t>tax</w:t>
      </w:r>
      <w:r w:rsidR="00C64050">
        <w:t xml:space="preserve"> </w:t>
      </w:r>
      <w:r w:rsidRPr="005A33D6">
        <w:t>imposed</w:t>
      </w:r>
      <w:r w:rsidR="00C64050">
        <w:t xml:space="preserve"> </w:t>
      </w:r>
      <w:r w:rsidRPr="005A33D6">
        <w:t>on</w:t>
      </w:r>
      <w:r w:rsidR="00C64050">
        <w:t xml:space="preserve"> </w:t>
      </w:r>
      <w:r w:rsidRPr="005A33D6">
        <w:t>the</w:t>
      </w:r>
      <w:r w:rsidR="00C64050">
        <w:t xml:space="preserve"> </w:t>
      </w:r>
      <w:r w:rsidRPr="005A33D6">
        <w:t>estate</w:t>
      </w:r>
      <w:r w:rsidR="00C64050">
        <w:t xml:space="preserve"> </w:t>
      </w:r>
      <w:r w:rsidRPr="005A33D6">
        <w:t>by</w:t>
      </w:r>
      <w:r w:rsidR="00C64050">
        <w:t xml:space="preserve"> </w:t>
      </w:r>
      <w:r w:rsidRPr="005A33D6">
        <w:t>chapter</w:t>
      </w:r>
      <w:r w:rsidR="00C64050">
        <w:t xml:space="preserve"> </w:t>
      </w:r>
      <w:r w:rsidRPr="005A33D6">
        <w:t>11,</w:t>
      </w:r>
      <w:r w:rsidR="00C64050">
        <w:t xml:space="preserve"> </w:t>
      </w:r>
      <w:r w:rsidRPr="005A33D6">
        <w:t>files</w:t>
      </w:r>
      <w:r w:rsidR="00C64050">
        <w:t xml:space="preserve"> </w:t>
      </w:r>
      <w:r w:rsidRPr="005A33D6">
        <w:t>with</w:t>
      </w:r>
      <w:r w:rsidR="00C64050">
        <w:t xml:space="preserve"> </w:t>
      </w:r>
      <w:r w:rsidRPr="005A33D6">
        <w:t>the</w:t>
      </w:r>
      <w:r w:rsidR="00C64050">
        <w:t xml:space="preserve"> </w:t>
      </w:r>
      <w:r w:rsidRPr="005A33D6">
        <w:t>IRS</w:t>
      </w:r>
      <w:r w:rsidR="00C64050">
        <w:t xml:space="preserve"> </w:t>
      </w:r>
      <w:r w:rsidRPr="005A33D6">
        <w:t>an</w:t>
      </w:r>
      <w:r w:rsidR="00C64050">
        <w:t xml:space="preserve"> </w:t>
      </w:r>
      <w:r w:rsidRPr="005A33D6">
        <w:t>initial</w:t>
      </w:r>
      <w:r w:rsidR="00C64050">
        <w:t xml:space="preserve"> </w:t>
      </w:r>
      <w:r w:rsidRPr="005A33D6">
        <w:t>or</w:t>
      </w:r>
      <w:r w:rsidR="00C64050">
        <w:t xml:space="preserve"> </w:t>
      </w:r>
      <w:r w:rsidRPr="005A33D6">
        <w:t>supplemental</w:t>
      </w:r>
      <w:r w:rsidR="00C64050">
        <w:t xml:space="preserve"> </w:t>
      </w:r>
      <w:r w:rsidRPr="005A33D6">
        <w:t>estate</w:t>
      </w:r>
      <w:r w:rsidR="00C64050">
        <w:t xml:space="preserve"> </w:t>
      </w:r>
      <w:r w:rsidRPr="005A33D6">
        <w:t>tax</w:t>
      </w:r>
      <w:r w:rsidR="00C64050">
        <w:t xml:space="preserve"> </w:t>
      </w:r>
      <w:r w:rsidRPr="005A33D6">
        <w:t>return</w:t>
      </w:r>
      <w:r w:rsidR="00C64050">
        <w:t xml:space="preserve"> </w:t>
      </w:r>
      <w:r w:rsidRPr="005A33D6">
        <w:t>under</w:t>
      </w:r>
      <w:r w:rsidR="00C64050">
        <w:t xml:space="preserve"> </w:t>
      </w:r>
      <w:r w:rsidRPr="005A33D6">
        <w:t>section</w:t>
      </w:r>
      <w:r w:rsidR="00C64050">
        <w:t xml:space="preserve"> </w:t>
      </w:r>
      <w:r w:rsidRPr="005A33D6">
        <w:t>6018</w:t>
      </w:r>
      <w:r w:rsidR="00C64050">
        <w:t xml:space="preserve"> </w:t>
      </w:r>
      <w:r w:rsidRPr="005A33D6">
        <w:t>reporting</w:t>
      </w:r>
      <w:r w:rsidR="00C64050">
        <w:t xml:space="preserve"> </w:t>
      </w:r>
      <w:r w:rsidRPr="005A33D6">
        <w:t>the</w:t>
      </w:r>
      <w:r w:rsidR="00C64050">
        <w:t xml:space="preserve"> </w:t>
      </w:r>
      <w:r w:rsidRPr="005A33D6">
        <w:t>property.</w:t>
      </w:r>
    </w:p>
    <w:p w:rsidR="005A33D6" w:rsidRPr="006076BD" w:rsidRDefault="005A33D6" w:rsidP="006076BD">
      <w:pPr>
        <w:pStyle w:val="QS10"/>
      </w:pPr>
      <w:r w:rsidRPr="005A33D6">
        <w:t>(B)</w:t>
      </w:r>
      <w:r w:rsidR="00C64050">
        <w:t xml:space="preserve"> </w:t>
      </w:r>
      <w:r w:rsidRPr="005A33D6">
        <w:t>No</w:t>
      </w:r>
      <w:r w:rsidR="00C64050">
        <w:t xml:space="preserve"> </w:t>
      </w:r>
      <w:r w:rsidRPr="005A33D6">
        <w:t>reporting</w:t>
      </w:r>
      <w:r w:rsidR="00C64050">
        <w:t xml:space="preserve"> </w:t>
      </w:r>
      <w:r w:rsidRPr="005A33D6">
        <w:t>prior</w:t>
      </w:r>
      <w:r w:rsidR="00C64050">
        <w:t xml:space="preserve"> </w:t>
      </w:r>
      <w:r w:rsidRPr="005A33D6">
        <w:t>to</w:t>
      </w:r>
      <w:r w:rsidR="00C64050">
        <w:t xml:space="preserve"> </w:t>
      </w:r>
      <w:r w:rsidRPr="005A33D6">
        <w:t>expiration</w:t>
      </w:r>
      <w:r w:rsidR="00C64050">
        <w:t xml:space="preserve"> </w:t>
      </w:r>
      <w:r w:rsidRPr="005A33D6">
        <w:t>of</w:t>
      </w:r>
      <w:r w:rsidR="00C64050">
        <w:t xml:space="preserve"> </w:t>
      </w:r>
      <w:r w:rsidRPr="005A33D6">
        <w:t>period</w:t>
      </w:r>
      <w:r w:rsidR="00C64050">
        <w:t xml:space="preserve"> </w:t>
      </w:r>
      <w:r w:rsidRPr="005A33D6">
        <w:t>of</w:t>
      </w:r>
      <w:r w:rsidR="00C64050">
        <w:t xml:space="preserve"> </w:t>
      </w:r>
      <w:r w:rsidRPr="005A33D6">
        <w:t>limitation</w:t>
      </w:r>
      <w:r w:rsidR="00C64050">
        <w:t xml:space="preserve"> </w:t>
      </w:r>
      <w:r w:rsidRPr="005A33D6">
        <w:t>on</w:t>
      </w:r>
      <w:r w:rsidR="00C64050">
        <w:t xml:space="preserve"> </w:t>
      </w:r>
      <w:r w:rsidRPr="005A33D6">
        <w:t>assessment.</w:t>
      </w:r>
      <w:r w:rsidR="00C64050">
        <w:t xml:space="preserve"> </w:t>
      </w:r>
      <w:r w:rsidRPr="005A33D6">
        <w:t>If</w:t>
      </w:r>
      <w:r w:rsidR="00C64050">
        <w:t xml:space="preserve"> </w:t>
      </w:r>
      <w:r w:rsidRPr="005A33D6">
        <w:t>the</w:t>
      </w:r>
      <w:r w:rsidR="00C64050">
        <w:t xml:space="preserve"> </w:t>
      </w:r>
      <w:r w:rsidRPr="005A33D6">
        <w:t>executor</w:t>
      </w:r>
      <w:r w:rsidR="00C64050">
        <w:t xml:space="preserve"> </w:t>
      </w:r>
      <w:r w:rsidRPr="005A33D6">
        <w:t>does</w:t>
      </w:r>
      <w:r w:rsidR="00C64050">
        <w:t xml:space="preserve"> </w:t>
      </w:r>
      <w:r w:rsidRPr="005A33D6">
        <w:t>not</w:t>
      </w:r>
      <w:r w:rsidR="00C64050">
        <w:t xml:space="preserve"> </w:t>
      </w:r>
      <w:r w:rsidRPr="005A33D6">
        <w:t>report</w:t>
      </w:r>
      <w:r w:rsidR="00C64050">
        <w:t xml:space="preserve"> </w:t>
      </w:r>
      <w:r w:rsidRPr="005A33D6">
        <w:t>the</w:t>
      </w:r>
      <w:r w:rsidR="00C64050">
        <w:t xml:space="preserve"> </w:t>
      </w:r>
      <w:r w:rsidRPr="005A33D6">
        <w:t>after-discovered</w:t>
      </w:r>
      <w:r w:rsidR="00C64050">
        <w:t xml:space="preserve"> </w:t>
      </w:r>
      <w:r w:rsidRPr="005A33D6">
        <w:t>or</w:t>
      </w:r>
      <w:r w:rsidR="00C64050">
        <w:t xml:space="preserve"> </w:t>
      </w:r>
      <w:r w:rsidRPr="005A33D6">
        <w:t>omitted</w:t>
      </w:r>
      <w:r w:rsidR="00C64050">
        <w:t xml:space="preserve"> </w:t>
      </w:r>
      <w:r w:rsidRPr="005A33D6">
        <w:t>property</w:t>
      </w:r>
      <w:r w:rsidR="00C64050">
        <w:t xml:space="preserve"> </w:t>
      </w:r>
      <w:r w:rsidRPr="005A33D6">
        <w:t>on</w:t>
      </w:r>
      <w:r w:rsidR="00C64050">
        <w:t xml:space="preserve"> </w:t>
      </w:r>
      <w:r w:rsidRPr="005A33D6">
        <w:t>an</w:t>
      </w:r>
      <w:r w:rsidR="00C64050">
        <w:t xml:space="preserve"> </w:t>
      </w:r>
      <w:r w:rsidRPr="005A33D6">
        <w:t>initial</w:t>
      </w:r>
      <w:r w:rsidR="00C64050">
        <w:t xml:space="preserve"> </w:t>
      </w:r>
      <w:r w:rsidRPr="005A33D6">
        <w:t>or</w:t>
      </w:r>
      <w:r w:rsidR="00C64050">
        <w:t xml:space="preserve"> </w:t>
      </w:r>
      <w:r w:rsidRPr="005A33D6">
        <w:t>supplemental</w:t>
      </w:r>
      <w:r w:rsidR="00C64050">
        <w:t xml:space="preserve"> </w:t>
      </w:r>
      <w:r w:rsidRPr="005A33D6">
        <w:t>Federal</w:t>
      </w:r>
      <w:r w:rsidR="00C64050">
        <w:t xml:space="preserve"> </w:t>
      </w:r>
      <w:r w:rsidRPr="005A33D6">
        <w:t>estate</w:t>
      </w:r>
      <w:r w:rsidR="00C64050">
        <w:t xml:space="preserve"> </w:t>
      </w:r>
      <w:r w:rsidRPr="005A33D6">
        <w:t>tax</w:t>
      </w:r>
      <w:r w:rsidR="00C64050">
        <w:t xml:space="preserve"> </w:t>
      </w:r>
      <w:r w:rsidRPr="005A33D6">
        <w:t>return</w:t>
      </w:r>
      <w:r w:rsidR="00C64050">
        <w:t xml:space="preserve"> </w:t>
      </w:r>
      <w:r w:rsidRPr="005A33D6">
        <w:t>filed</w:t>
      </w:r>
      <w:r w:rsidR="00C64050">
        <w:t xml:space="preserve"> </w:t>
      </w:r>
      <w:r w:rsidRPr="005A33D6">
        <w:t>prior</w:t>
      </w:r>
      <w:r w:rsidR="00C64050">
        <w:t xml:space="preserve"> </w:t>
      </w:r>
      <w:r w:rsidRPr="005A33D6">
        <w:t>to</w:t>
      </w:r>
      <w:r w:rsidR="00C64050">
        <w:t xml:space="preserve"> </w:t>
      </w:r>
      <w:r w:rsidRPr="005A33D6">
        <w:t>the</w:t>
      </w:r>
      <w:r w:rsidR="00C64050">
        <w:t xml:space="preserve"> </w:t>
      </w:r>
      <w:r w:rsidRPr="005A33D6">
        <w:t>expiration</w:t>
      </w:r>
      <w:r w:rsidR="00C64050">
        <w:t xml:space="preserve"> </w:t>
      </w:r>
      <w:r w:rsidRPr="005A33D6">
        <w:t>of</w:t>
      </w:r>
      <w:r w:rsidR="00C64050">
        <w:t xml:space="preserve"> </w:t>
      </w:r>
      <w:r w:rsidRPr="005A33D6">
        <w:t>the</w:t>
      </w:r>
      <w:r w:rsidR="00C64050">
        <w:t xml:space="preserve"> </w:t>
      </w:r>
      <w:r w:rsidRPr="005A33D6">
        <w:t>period</w:t>
      </w:r>
      <w:r w:rsidR="00C64050">
        <w:t xml:space="preserve"> </w:t>
      </w:r>
      <w:r w:rsidRPr="005A33D6">
        <w:t>of</w:t>
      </w:r>
      <w:r w:rsidR="00C64050">
        <w:t xml:space="preserve"> </w:t>
      </w:r>
      <w:r w:rsidRPr="005A33D6">
        <w:t>limitation</w:t>
      </w:r>
      <w:r w:rsidR="00C64050">
        <w:t xml:space="preserve"> </w:t>
      </w:r>
      <w:r w:rsidRPr="005A33D6">
        <w:t>on</w:t>
      </w:r>
      <w:r w:rsidR="00C64050">
        <w:t xml:space="preserve"> </w:t>
      </w:r>
      <w:r w:rsidRPr="005A33D6">
        <w:t>assessment</w:t>
      </w:r>
      <w:r w:rsidR="00C64050">
        <w:t xml:space="preserve"> </w:t>
      </w:r>
      <w:r w:rsidRPr="005A33D6">
        <w:t>of</w:t>
      </w:r>
      <w:r w:rsidR="00C64050">
        <w:t xml:space="preserve"> </w:t>
      </w:r>
      <w:r w:rsidRPr="005A33D6">
        <w:t>the</w:t>
      </w:r>
      <w:r w:rsidR="00C64050">
        <w:t xml:space="preserve"> </w:t>
      </w:r>
      <w:r w:rsidRPr="005A33D6">
        <w:t>tax</w:t>
      </w:r>
      <w:r w:rsidR="00C64050">
        <w:t xml:space="preserve"> </w:t>
      </w:r>
      <w:r w:rsidRPr="005A33D6">
        <w:t>imposed</w:t>
      </w:r>
      <w:r w:rsidR="00C64050">
        <w:t xml:space="preserve"> </w:t>
      </w:r>
      <w:r w:rsidRPr="005A33D6">
        <w:t>on</w:t>
      </w:r>
      <w:r w:rsidR="00C64050">
        <w:t xml:space="preserve"> </w:t>
      </w:r>
      <w:r w:rsidRPr="005A33D6">
        <w:t>the</w:t>
      </w:r>
      <w:r w:rsidR="00C64050">
        <w:t xml:space="preserve"> </w:t>
      </w:r>
      <w:r w:rsidRPr="005A33D6">
        <w:t>estate</w:t>
      </w:r>
      <w:r w:rsidR="00C64050">
        <w:t xml:space="preserve"> </w:t>
      </w:r>
      <w:r w:rsidRPr="005A33D6">
        <w:t>by</w:t>
      </w:r>
      <w:r w:rsidR="00C64050">
        <w:t xml:space="preserve"> </w:t>
      </w:r>
      <w:r w:rsidRPr="005A33D6">
        <w:t>chapter</w:t>
      </w:r>
      <w:r w:rsidR="00C64050">
        <w:t xml:space="preserve"> </w:t>
      </w:r>
      <w:r w:rsidRPr="005A33D6">
        <w:t>11,</w:t>
      </w:r>
      <w:r w:rsidR="00C64050">
        <w:t xml:space="preserve"> </w:t>
      </w:r>
      <w:r w:rsidRPr="005A33D6">
        <w:t>the</w:t>
      </w:r>
      <w:r w:rsidR="00C64050">
        <w:t xml:space="preserve"> </w:t>
      </w:r>
      <w:r w:rsidRPr="005A33D6">
        <w:t>final</w:t>
      </w:r>
      <w:r w:rsidR="00C64050">
        <w:t xml:space="preserve"> </w:t>
      </w:r>
      <w:r w:rsidRPr="005A33D6">
        <w:t>value</w:t>
      </w:r>
      <w:r w:rsidR="00C64050">
        <w:t xml:space="preserve"> </w:t>
      </w:r>
      <w:r w:rsidRPr="005A33D6">
        <w:t>of</w:t>
      </w:r>
      <w:r w:rsidR="00C64050">
        <w:t xml:space="preserve"> </w:t>
      </w:r>
      <w:r w:rsidRPr="005A33D6">
        <w:t>that</w:t>
      </w:r>
      <w:r w:rsidR="00C64050">
        <w:t xml:space="preserve"> </w:t>
      </w:r>
      <w:r w:rsidRPr="005A33D6">
        <w:t>unreported</w:t>
      </w:r>
      <w:r w:rsidR="00C64050">
        <w:t xml:space="preserve"> </w:t>
      </w:r>
      <w:r w:rsidRPr="005A33D6">
        <w:t>property</w:t>
      </w:r>
      <w:r w:rsidR="00C64050">
        <w:t xml:space="preserve"> </w:t>
      </w:r>
      <w:r w:rsidRPr="005A33D6">
        <w:t>is</w:t>
      </w:r>
      <w:r w:rsidR="00C64050">
        <w:t xml:space="preserve"> </w:t>
      </w:r>
      <w:r w:rsidRPr="005A33D6">
        <w:t>zero.</w:t>
      </w:r>
      <w:r w:rsidR="00C64050">
        <w:t xml:space="preserve"> </w:t>
      </w:r>
      <w:r w:rsidRPr="005A33D6">
        <w:t>See</w:t>
      </w:r>
      <w:r w:rsidR="00C64050">
        <w:t xml:space="preserve"> </w:t>
      </w:r>
      <w:r w:rsidRPr="005A33D6">
        <w:t>Example</w:t>
      </w:r>
      <w:r w:rsidR="00C64050">
        <w:t xml:space="preserve"> </w:t>
      </w:r>
      <w:r w:rsidRPr="005A33D6">
        <w:t>3</w:t>
      </w:r>
      <w:r w:rsidR="00C64050">
        <w:t xml:space="preserve"> </w:t>
      </w:r>
      <w:r w:rsidRPr="005A33D6">
        <w:t>of</w:t>
      </w:r>
      <w:r w:rsidR="00C64050">
        <w:t xml:space="preserve"> </w:t>
      </w:r>
      <w:r w:rsidRPr="005A33D6">
        <w:t>paragraph</w:t>
      </w:r>
      <w:r w:rsidR="00C64050">
        <w:t xml:space="preserve"> </w:t>
      </w:r>
      <w:r w:rsidRPr="005A33D6">
        <w:t>(e)</w:t>
      </w:r>
      <w:r w:rsidR="00C64050">
        <w:t xml:space="preserve"> </w:t>
      </w:r>
      <w:r w:rsidRPr="005A33D6">
        <w:t>of</w:t>
      </w:r>
      <w:r w:rsidR="00C64050">
        <w:t xml:space="preserve"> </w:t>
      </w:r>
      <w:r w:rsidRPr="005A33D6">
        <w:t>this</w:t>
      </w:r>
      <w:r w:rsidR="00C64050">
        <w:t xml:space="preserve"> </w:t>
      </w:r>
      <w:r w:rsidRPr="005A33D6">
        <w:t>section.</w:t>
      </w:r>
    </w:p>
    <w:p w:rsidR="005A33D6" w:rsidRPr="005A33D6" w:rsidRDefault="005A33D6" w:rsidP="006076BD">
      <w:pPr>
        <w:pStyle w:val="QS10"/>
      </w:pPr>
      <w:r w:rsidRPr="006076BD">
        <w:t>(ii)</w:t>
      </w:r>
      <w:r w:rsidR="00C64050">
        <w:t xml:space="preserve"> </w:t>
      </w:r>
      <w:r w:rsidRPr="006076BD">
        <w:t>No</w:t>
      </w:r>
      <w:r w:rsidR="00C64050">
        <w:t xml:space="preserve"> </w:t>
      </w:r>
      <w:r w:rsidRPr="006076BD">
        <w:t>return</w:t>
      </w:r>
      <w:r w:rsidR="00C64050">
        <w:t xml:space="preserve"> </w:t>
      </w:r>
      <w:r w:rsidRPr="006076BD">
        <w:t>under</w:t>
      </w:r>
      <w:r w:rsidR="00C64050">
        <w:t xml:space="preserve"> </w:t>
      </w:r>
      <w:r w:rsidRPr="006076BD">
        <w:t>section</w:t>
      </w:r>
      <w:r w:rsidR="00C64050">
        <w:t xml:space="preserve"> </w:t>
      </w:r>
      <w:r w:rsidRPr="006076BD">
        <w:t>6018</w:t>
      </w:r>
      <w:r w:rsidR="00C64050">
        <w:t xml:space="preserve"> </w:t>
      </w:r>
      <w:r w:rsidRPr="006076BD">
        <w:t>filed.</w:t>
      </w:r>
      <w:r w:rsidR="00C64050">
        <w:t xml:space="preserve"> </w:t>
      </w:r>
      <w:r w:rsidRPr="006076BD">
        <w:t>If</w:t>
      </w:r>
      <w:r w:rsidR="00C64050">
        <w:t xml:space="preserve"> </w:t>
      </w:r>
      <w:r w:rsidRPr="006076BD">
        <w:t>no</w:t>
      </w:r>
      <w:r w:rsidR="00C64050">
        <w:t xml:space="preserve"> </w:t>
      </w:r>
      <w:r w:rsidRPr="006076BD">
        <w:t>return</w:t>
      </w:r>
      <w:r w:rsidR="00C64050">
        <w:t xml:space="preserve"> </w:t>
      </w:r>
      <w:r w:rsidRPr="006076BD">
        <w:t>described</w:t>
      </w:r>
      <w:r w:rsidR="00C64050">
        <w:t xml:space="preserve"> </w:t>
      </w:r>
      <w:r w:rsidRPr="006076BD">
        <w:t>in</w:t>
      </w:r>
      <w:r w:rsidR="00C64050">
        <w:t xml:space="preserve"> </w:t>
      </w:r>
      <w:r w:rsidRPr="006076BD">
        <w:t>section</w:t>
      </w:r>
      <w:r w:rsidR="00C64050">
        <w:t xml:space="preserve"> </w:t>
      </w:r>
      <w:r w:rsidRPr="006076BD">
        <w:t>6018</w:t>
      </w:r>
      <w:r w:rsidR="00C64050">
        <w:t xml:space="preserve"> </w:t>
      </w:r>
      <w:r w:rsidRPr="006076BD">
        <w:t>has</w:t>
      </w:r>
      <w:r w:rsidR="00C64050">
        <w:t xml:space="preserve"> </w:t>
      </w:r>
      <w:r w:rsidRPr="006076BD">
        <w:t>been</w:t>
      </w:r>
      <w:r w:rsidR="00C64050">
        <w:t xml:space="preserve"> </w:t>
      </w:r>
      <w:r w:rsidRPr="006076BD">
        <w:t>filed,</w:t>
      </w:r>
      <w:r w:rsidR="00C64050">
        <w:t xml:space="preserve"> </w:t>
      </w:r>
      <w:r w:rsidRPr="006076BD">
        <w:t>and</w:t>
      </w:r>
      <w:r w:rsidR="00C64050">
        <w:t xml:space="preserve"> </w:t>
      </w:r>
      <w:r w:rsidRPr="006076BD">
        <w:t>if</w:t>
      </w:r>
      <w:r w:rsidR="00C64050">
        <w:t xml:space="preserve"> </w:t>
      </w:r>
      <w:r w:rsidRPr="006076BD">
        <w:t>the</w:t>
      </w:r>
      <w:r w:rsidR="00C64050">
        <w:t xml:space="preserve"> </w:t>
      </w:r>
      <w:r w:rsidRPr="006076BD">
        <w:t>inclusion</w:t>
      </w:r>
      <w:r w:rsidR="00C64050">
        <w:t xml:space="preserve"> </w:t>
      </w:r>
      <w:r w:rsidRPr="006076BD">
        <w:t>in</w:t>
      </w:r>
      <w:r w:rsidR="00C64050">
        <w:t xml:space="preserve"> </w:t>
      </w:r>
      <w:r w:rsidRPr="006076BD">
        <w:t>the</w:t>
      </w:r>
      <w:r w:rsidR="00C64050">
        <w:t xml:space="preserve"> </w:t>
      </w:r>
      <w:r w:rsidRPr="006076BD">
        <w:t>decedent's</w:t>
      </w:r>
      <w:r w:rsidR="00C64050">
        <w:t xml:space="preserve"> </w:t>
      </w:r>
      <w:r w:rsidRPr="006076BD">
        <w:t>gross</w:t>
      </w:r>
      <w:r w:rsidR="00C64050">
        <w:t xml:space="preserve"> </w:t>
      </w:r>
      <w:r w:rsidRPr="006076BD">
        <w:t>estate</w:t>
      </w:r>
      <w:r w:rsidR="00C64050">
        <w:t xml:space="preserve"> </w:t>
      </w:r>
      <w:r w:rsidRPr="006076BD">
        <w:t>of</w:t>
      </w:r>
      <w:r w:rsidR="00C64050">
        <w:t xml:space="preserve"> </w:t>
      </w:r>
      <w:r w:rsidRPr="006076BD">
        <w:t>the</w:t>
      </w:r>
      <w:r w:rsidR="00C64050">
        <w:t xml:space="preserve"> </w:t>
      </w:r>
      <w:r w:rsidRPr="006076BD">
        <w:t>after-discovered</w:t>
      </w:r>
      <w:r w:rsidR="00C64050">
        <w:t xml:space="preserve"> </w:t>
      </w:r>
      <w:r w:rsidRPr="006076BD">
        <w:t>or</w:t>
      </w:r>
      <w:r w:rsidR="00C64050">
        <w:t xml:space="preserve"> </w:t>
      </w:r>
      <w:r w:rsidRPr="006076BD">
        <w:t>omitted</w:t>
      </w:r>
      <w:r w:rsidR="00C64050">
        <w:t xml:space="preserve"> </w:t>
      </w:r>
      <w:r w:rsidRPr="006076BD">
        <w:t>property</w:t>
      </w:r>
      <w:r w:rsidR="00C64050">
        <w:t xml:space="preserve"> </w:t>
      </w:r>
      <w:r w:rsidRPr="006076BD">
        <w:t>would</w:t>
      </w:r>
      <w:r w:rsidR="00C64050">
        <w:t xml:space="preserve"> </w:t>
      </w:r>
      <w:r w:rsidRPr="006076BD">
        <w:t>have</w:t>
      </w:r>
      <w:r w:rsidR="00C64050">
        <w:t xml:space="preserve"> </w:t>
      </w:r>
      <w:r w:rsidRPr="006076BD">
        <w:t>generated</w:t>
      </w:r>
      <w:r w:rsidR="00C64050">
        <w:t xml:space="preserve"> </w:t>
      </w:r>
      <w:r w:rsidRPr="006076BD">
        <w:t>or</w:t>
      </w:r>
      <w:r w:rsidR="00C64050">
        <w:t xml:space="preserve"> </w:t>
      </w:r>
      <w:r w:rsidRPr="006076BD">
        <w:t>increased</w:t>
      </w:r>
      <w:r w:rsidR="00C64050">
        <w:t xml:space="preserve"> </w:t>
      </w:r>
      <w:r w:rsidRPr="006076BD">
        <w:t>the</w:t>
      </w:r>
      <w:r w:rsidR="00C64050">
        <w:t xml:space="preserve"> </w:t>
      </w:r>
      <w:r w:rsidRPr="006076BD">
        <w:t>estate's</w:t>
      </w:r>
      <w:r w:rsidR="00C64050">
        <w:t xml:space="preserve"> </w:t>
      </w:r>
      <w:r w:rsidRPr="006076BD">
        <w:t>tax</w:t>
      </w:r>
      <w:r w:rsidR="00C64050">
        <w:t xml:space="preserve"> </w:t>
      </w:r>
      <w:r w:rsidRPr="006076BD">
        <w:t>liability</w:t>
      </w:r>
      <w:r w:rsidR="00C64050">
        <w:t xml:space="preserve"> </w:t>
      </w:r>
      <w:r w:rsidRPr="006076BD">
        <w:t>under</w:t>
      </w:r>
      <w:r w:rsidR="00C64050">
        <w:t xml:space="preserve"> </w:t>
      </w:r>
      <w:r w:rsidRPr="006076BD">
        <w:t>chapter</w:t>
      </w:r>
      <w:r w:rsidR="00C64050">
        <w:t xml:space="preserve"> </w:t>
      </w:r>
      <w:r w:rsidRPr="006076BD">
        <w:t>11,</w:t>
      </w:r>
      <w:r w:rsidR="00C64050">
        <w:t xml:space="preserve"> </w:t>
      </w:r>
      <w:r w:rsidRPr="006076BD">
        <w:t>the</w:t>
      </w:r>
      <w:r w:rsidR="00C64050">
        <w:t xml:space="preserve"> </w:t>
      </w:r>
      <w:r w:rsidRPr="006076BD">
        <w:t>final</w:t>
      </w:r>
      <w:r w:rsidR="00C64050">
        <w:t xml:space="preserve"> </w:t>
      </w:r>
      <w:r w:rsidRPr="006076BD">
        <w:t>value,</w:t>
      </w:r>
      <w:r w:rsidR="00C64050">
        <w:t xml:space="preserve"> </w:t>
      </w:r>
      <w:r w:rsidRPr="006076BD">
        <w:t>for</w:t>
      </w:r>
      <w:r w:rsidR="00C64050">
        <w:t xml:space="preserve"> </w:t>
      </w:r>
      <w:r w:rsidRPr="006076BD">
        <w:t>purposes</w:t>
      </w:r>
      <w:r w:rsidR="00C64050">
        <w:t xml:space="preserve"> </w:t>
      </w:r>
      <w:r w:rsidRPr="006076BD">
        <w:t>of</w:t>
      </w:r>
      <w:r w:rsidR="00C64050">
        <w:t xml:space="preserve"> </w:t>
      </w:r>
      <w:hyperlink r:id="rId74" w:anchor="co_pp_ae0d0000c5150" w:history="1">
        <w:r w:rsidRPr="006076BD">
          <w:t>section</w:t>
        </w:r>
        <w:r w:rsidR="00C64050">
          <w:t xml:space="preserve"> </w:t>
        </w:r>
        <w:r w:rsidRPr="006076BD">
          <w:t>1014(f)</w:t>
        </w:r>
      </w:hyperlink>
      <w:r w:rsidRPr="006076BD">
        <w:t>,</w:t>
      </w:r>
      <w:r w:rsidR="00C64050">
        <w:t xml:space="preserve"> </w:t>
      </w:r>
      <w:r w:rsidRPr="006076BD">
        <w:t>of</w:t>
      </w:r>
      <w:r w:rsidR="00C64050">
        <w:t xml:space="preserve"> </w:t>
      </w:r>
      <w:r w:rsidRPr="006076BD">
        <w:t>all</w:t>
      </w:r>
      <w:r w:rsidR="00C64050">
        <w:t xml:space="preserve"> </w:t>
      </w:r>
      <w:r w:rsidRPr="006076BD">
        <w:t>property</w:t>
      </w:r>
      <w:r w:rsidR="00C64050">
        <w:t xml:space="preserve"> </w:t>
      </w:r>
      <w:r w:rsidRPr="006076BD">
        <w:t>described</w:t>
      </w:r>
      <w:r w:rsidR="00C64050">
        <w:t xml:space="preserve"> </w:t>
      </w:r>
      <w:r w:rsidRPr="006076BD">
        <w:t>in</w:t>
      </w:r>
      <w:r w:rsidR="00C64050">
        <w:t xml:space="preserve"> </w:t>
      </w:r>
      <w:r w:rsidRPr="006076BD">
        <w:t>paragraph</w:t>
      </w:r>
      <w:r w:rsidR="00C64050">
        <w:t xml:space="preserve"> </w:t>
      </w:r>
      <w:r w:rsidRPr="006076BD">
        <w:t>(b)</w:t>
      </w:r>
      <w:r w:rsidR="00C64050">
        <w:t xml:space="preserve"> </w:t>
      </w:r>
      <w:r w:rsidRPr="006076BD">
        <w:t>of</w:t>
      </w:r>
      <w:r w:rsidR="00C64050">
        <w:t xml:space="preserve"> </w:t>
      </w:r>
      <w:r w:rsidRPr="006076BD">
        <w:t>this</w:t>
      </w:r>
      <w:r w:rsidR="00C64050">
        <w:t xml:space="preserve"> </w:t>
      </w:r>
      <w:r w:rsidRPr="006076BD">
        <w:t>section</w:t>
      </w:r>
      <w:r w:rsidR="00C64050">
        <w:t xml:space="preserve"> </w:t>
      </w:r>
      <w:r w:rsidRPr="006076BD">
        <w:t>is</w:t>
      </w:r>
      <w:r w:rsidR="00C64050">
        <w:t xml:space="preserve"> </w:t>
      </w:r>
      <w:r w:rsidRPr="006076BD">
        <w:t>zero</w:t>
      </w:r>
      <w:r w:rsidR="00C64050">
        <w:t xml:space="preserve"> </w:t>
      </w:r>
      <w:r w:rsidRPr="006076BD">
        <w:t>until</w:t>
      </w:r>
      <w:r w:rsidR="00C64050">
        <w:t xml:space="preserve"> </w:t>
      </w:r>
      <w:r w:rsidRPr="006076BD">
        <w:t>the</w:t>
      </w:r>
      <w:r w:rsidR="00C64050">
        <w:t xml:space="preserve"> </w:t>
      </w:r>
      <w:r w:rsidRPr="006076BD">
        <w:t>final</w:t>
      </w:r>
      <w:r w:rsidR="00C64050">
        <w:t xml:space="preserve"> </w:t>
      </w:r>
      <w:r w:rsidRPr="006076BD">
        <w:t>value</w:t>
      </w:r>
      <w:r w:rsidR="00C64050">
        <w:t xml:space="preserve"> </w:t>
      </w:r>
      <w:r w:rsidRPr="006076BD">
        <w:t>is</w:t>
      </w:r>
      <w:r w:rsidR="00C64050">
        <w:t xml:space="preserve"> </w:t>
      </w:r>
      <w:r w:rsidRPr="006076BD">
        <w:t>determined</w:t>
      </w:r>
      <w:r w:rsidR="00C64050">
        <w:t xml:space="preserve"> </w:t>
      </w:r>
      <w:r w:rsidRPr="006076BD">
        <w:t>under</w:t>
      </w:r>
      <w:r w:rsidR="00C64050">
        <w:t xml:space="preserve"> </w:t>
      </w:r>
      <w:r w:rsidRPr="006076BD">
        <w:t>paragraph</w:t>
      </w:r>
      <w:r w:rsidR="00C64050">
        <w:t xml:space="preserve"> </w:t>
      </w:r>
      <w:r w:rsidRPr="006076BD">
        <w:t>(c)(1)</w:t>
      </w:r>
      <w:r w:rsidR="00C64050">
        <w:t xml:space="preserve"> </w:t>
      </w:r>
      <w:r w:rsidRPr="006076BD">
        <w:t>or</w:t>
      </w:r>
      <w:r w:rsidR="00C64050">
        <w:t xml:space="preserve"> </w:t>
      </w:r>
      <w:r w:rsidRPr="006076BD">
        <w:t>(2)</w:t>
      </w:r>
      <w:r w:rsidR="00C64050">
        <w:t xml:space="preserve"> </w:t>
      </w:r>
      <w:r w:rsidRPr="006076BD">
        <w:t>of</w:t>
      </w:r>
      <w:r w:rsidR="00C64050">
        <w:t xml:space="preserve"> </w:t>
      </w:r>
      <w:r w:rsidRPr="006076BD">
        <w:t>this</w:t>
      </w:r>
      <w:r w:rsidR="00C64050">
        <w:t xml:space="preserve"> </w:t>
      </w:r>
      <w:r w:rsidRPr="006076BD">
        <w:t>section.</w:t>
      </w:r>
      <w:r w:rsidR="00C64050">
        <w:t xml:space="preserve"> </w:t>
      </w:r>
      <w:r w:rsidRPr="006076BD">
        <w:t>Specifically,</w:t>
      </w:r>
      <w:r w:rsidR="00C64050">
        <w:t xml:space="preserve"> </w:t>
      </w:r>
      <w:r w:rsidRPr="006076BD">
        <w:t>if</w:t>
      </w:r>
      <w:r w:rsidR="00C64050">
        <w:t xml:space="preserve"> </w:t>
      </w:r>
      <w:r w:rsidRPr="006076BD">
        <w:t>the</w:t>
      </w:r>
      <w:r w:rsidR="00C64050">
        <w:t xml:space="preserve"> </w:t>
      </w:r>
      <w:r w:rsidRPr="006076BD">
        <w:t>executor</w:t>
      </w:r>
      <w:r w:rsidR="00C64050">
        <w:t xml:space="preserve"> </w:t>
      </w:r>
      <w:r w:rsidRPr="006076BD">
        <w:t>files</w:t>
      </w:r>
      <w:r w:rsidR="00C64050">
        <w:t xml:space="preserve"> </w:t>
      </w:r>
      <w:r w:rsidRPr="006076BD">
        <w:t>a</w:t>
      </w:r>
      <w:r w:rsidR="00C64050">
        <w:t xml:space="preserve"> </w:t>
      </w:r>
      <w:r w:rsidRPr="006076BD">
        <w:t>return</w:t>
      </w:r>
      <w:r w:rsidR="00C64050">
        <w:t xml:space="preserve"> </w:t>
      </w:r>
      <w:r w:rsidRPr="006076BD">
        <w:t>pursuant</w:t>
      </w:r>
      <w:r w:rsidR="00C64050">
        <w:t xml:space="preserve"> </w:t>
      </w:r>
      <w:r w:rsidRPr="006076BD">
        <w:t>to</w:t>
      </w:r>
      <w:r w:rsidR="00C64050">
        <w:t xml:space="preserve"> </w:t>
      </w:r>
      <w:r w:rsidRPr="006076BD">
        <w:t>section</w:t>
      </w:r>
      <w:r w:rsidR="00C64050">
        <w:t xml:space="preserve"> </w:t>
      </w:r>
      <w:r w:rsidRPr="006076BD">
        <w:t>6018(a)</w:t>
      </w:r>
      <w:r w:rsidR="00C64050">
        <w:t xml:space="preserve"> </w:t>
      </w:r>
      <w:r w:rsidRPr="006076BD">
        <w:t>or</w:t>
      </w:r>
      <w:r w:rsidR="00C64050">
        <w:t xml:space="preserve"> </w:t>
      </w:r>
      <w:r w:rsidRPr="006076BD">
        <w:t>(b)</w:t>
      </w:r>
      <w:r w:rsidR="00C64050">
        <w:t xml:space="preserve"> </w:t>
      </w:r>
      <w:r w:rsidRPr="006076BD">
        <w:t>that</w:t>
      </w:r>
      <w:r w:rsidR="00C64050">
        <w:t xml:space="preserve"> </w:t>
      </w:r>
      <w:r w:rsidRPr="006076BD">
        <w:t>includes</w:t>
      </w:r>
      <w:r w:rsidR="00C64050">
        <w:t xml:space="preserve"> </w:t>
      </w:r>
      <w:r w:rsidRPr="006076BD">
        <w:t>this</w:t>
      </w:r>
      <w:r w:rsidR="00C64050">
        <w:t xml:space="preserve"> </w:t>
      </w:r>
      <w:r w:rsidRPr="006076BD">
        <w:t>property</w:t>
      </w:r>
      <w:r w:rsidR="00C64050">
        <w:t xml:space="preserve"> </w:t>
      </w:r>
      <w:r w:rsidRPr="006076BD">
        <w:t>or</w:t>
      </w:r>
      <w:r w:rsidR="00C64050">
        <w:t xml:space="preserve"> </w:t>
      </w:r>
      <w:r w:rsidRPr="006076BD">
        <w:t>the</w:t>
      </w:r>
      <w:r w:rsidR="00C64050">
        <w:t xml:space="preserve"> </w:t>
      </w:r>
      <w:r w:rsidRPr="006076BD">
        <w:t>IRS</w:t>
      </w:r>
      <w:r w:rsidR="00C64050">
        <w:t xml:space="preserve"> </w:t>
      </w:r>
      <w:r w:rsidRPr="006076BD">
        <w:t>determines</w:t>
      </w:r>
      <w:r w:rsidR="00C64050">
        <w:t xml:space="preserve"> </w:t>
      </w:r>
      <w:r w:rsidRPr="006076BD">
        <w:t>a</w:t>
      </w:r>
      <w:r w:rsidR="00C64050">
        <w:t xml:space="preserve"> </w:t>
      </w:r>
      <w:r w:rsidRPr="006076BD">
        <w:t>value</w:t>
      </w:r>
      <w:r w:rsidR="00C64050">
        <w:t xml:space="preserve"> </w:t>
      </w:r>
      <w:r w:rsidRPr="006076BD">
        <w:t>for</w:t>
      </w:r>
      <w:r w:rsidR="00C64050">
        <w:t xml:space="preserve"> </w:t>
      </w:r>
      <w:r w:rsidRPr="006076BD">
        <w:t>the</w:t>
      </w:r>
      <w:r w:rsidR="00C64050">
        <w:t xml:space="preserve"> </w:t>
      </w:r>
      <w:r w:rsidRPr="006076BD">
        <w:t>pro</w:t>
      </w:r>
      <w:r w:rsidRPr="005A33D6">
        <w:t>perty,</w:t>
      </w:r>
      <w:r w:rsidR="00C64050">
        <w:t xml:space="preserve"> </w:t>
      </w:r>
      <w:r w:rsidRPr="005A33D6">
        <w:t>the</w:t>
      </w:r>
      <w:r w:rsidR="00C64050">
        <w:t xml:space="preserve"> </w:t>
      </w:r>
      <w:r w:rsidRPr="005A33D6">
        <w:t>final</w:t>
      </w:r>
      <w:r w:rsidR="00C64050">
        <w:t xml:space="preserve"> </w:t>
      </w:r>
      <w:r w:rsidRPr="005A33D6">
        <w:t>value</w:t>
      </w:r>
      <w:r w:rsidR="00C64050">
        <w:t xml:space="preserve"> </w:t>
      </w:r>
      <w:r w:rsidRPr="005A33D6">
        <w:t>of</w:t>
      </w:r>
      <w:r w:rsidR="00C64050">
        <w:t xml:space="preserve"> </w:t>
      </w:r>
      <w:r w:rsidRPr="005A33D6">
        <w:t>all</w:t>
      </w:r>
      <w:r w:rsidR="00C64050">
        <w:t xml:space="preserve"> </w:t>
      </w:r>
      <w:r w:rsidRPr="005A33D6">
        <w:t>property</w:t>
      </w:r>
      <w:r w:rsidR="00C64050">
        <w:t xml:space="preserve"> </w:t>
      </w:r>
      <w:r w:rsidRPr="005A33D6">
        <w:t>described</w:t>
      </w:r>
      <w:r w:rsidR="00C64050">
        <w:t xml:space="preserve"> </w:t>
      </w:r>
      <w:r w:rsidRPr="005A33D6">
        <w:t>in</w:t>
      </w:r>
      <w:r w:rsidR="00C64050">
        <w:t xml:space="preserve"> </w:t>
      </w:r>
      <w:r w:rsidRPr="005A33D6">
        <w:t>paragraph</w:t>
      </w:r>
      <w:r w:rsidR="00C64050">
        <w:t xml:space="preserve"> </w:t>
      </w:r>
      <w:r w:rsidRPr="005A33D6">
        <w:t>(b)</w:t>
      </w:r>
      <w:r w:rsidR="00C64050">
        <w:t xml:space="preserve"> </w:t>
      </w:r>
      <w:r w:rsidRPr="005A33D6">
        <w:t>of</w:t>
      </w:r>
      <w:r w:rsidR="00C64050">
        <w:t xml:space="preserve"> </w:t>
      </w:r>
      <w:r w:rsidRPr="005A33D6">
        <w:t>this</w:t>
      </w:r>
      <w:r w:rsidR="00C64050">
        <w:t xml:space="preserve"> </w:t>
      </w:r>
      <w:r w:rsidRPr="005A33D6">
        <w:t>section</w:t>
      </w:r>
      <w:r w:rsidR="00C64050">
        <w:t xml:space="preserve"> </w:t>
      </w:r>
      <w:r w:rsidRPr="005A33D6">
        <w:t>includible</w:t>
      </w:r>
      <w:r w:rsidR="00C64050">
        <w:t xml:space="preserve"> </w:t>
      </w:r>
      <w:r w:rsidRPr="005A33D6">
        <w:t>in</w:t>
      </w:r>
      <w:r w:rsidR="00C64050">
        <w:t xml:space="preserve"> </w:t>
      </w:r>
      <w:r w:rsidRPr="005A33D6">
        <w:t>the</w:t>
      </w:r>
      <w:r w:rsidR="00C64050">
        <w:t xml:space="preserve"> </w:t>
      </w:r>
      <w:r w:rsidRPr="005A33D6">
        <w:t>gross</w:t>
      </w:r>
      <w:r w:rsidR="00C64050">
        <w:t xml:space="preserve"> </w:t>
      </w:r>
      <w:r w:rsidRPr="005A33D6">
        <w:t>estate</w:t>
      </w:r>
      <w:r w:rsidR="00C64050">
        <w:t xml:space="preserve"> </w:t>
      </w:r>
      <w:r w:rsidRPr="005A33D6">
        <w:t>then</w:t>
      </w:r>
      <w:r w:rsidR="00C64050">
        <w:t xml:space="preserve"> </w:t>
      </w:r>
      <w:r w:rsidRPr="005A33D6">
        <w:t>is</w:t>
      </w:r>
      <w:r w:rsidR="00C64050">
        <w:t xml:space="preserve"> </w:t>
      </w:r>
      <w:r w:rsidRPr="005A33D6">
        <w:t>determined</w:t>
      </w:r>
      <w:r w:rsidR="00C64050">
        <w:t xml:space="preserve"> </w:t>
      </w:r>
      <w:r w:rsidRPr="005A33D6">
        <w:t>under</w:t>
      </w:r>
      <w:r w:rsidR="00C64050">
        <w:t xml:space="preserve"> </w:t>
      </w:r>
      <w:r w:rsidRPr="005A33D6">
        <w:t>paragraph</w:t>
      </w:r>
      <w:r w:rsidR="00C64050">
        <w:t xml:space="preserve"> </w:t>
      </w:r>
      <w:r w:rsidRPr="005A33D6">
        <w:t>(c)(1)</w:t>
      </w:r>
      <w:r w:rsidR="00C64050">
        <w:t xml:space="preserve"> </w:t>
      </w:r>
      <w:r w:rsidRPr="005A33D6">
        <w:t>or</w:t>
      </w:r>
      <w:r w:rsidR="00C64050">
        <w:t xml:space="preserve"> </w:t>
      </w:r>
      <w:r w:rsidRPr="005A33D6">
        <w:t>(2)</w:t>
      </w:r>
      <w:r w:rsidR="00C64050">
        <w:t xml:space="preserve"> </w:t>
      </w:r>
      <w:r w:rsidRPr="005A33D6">
        <w:t>of</w:t>
      </w:r>
      <w:r w:rsidR="00C64050">
        <w:t xml:space="preserve"> </w:t>
      </w:r>
      <w:r w:rsidRPr="005A33D6">
        <w:t>this</w:t>
      </w:r>
      <w:r w:rsidR="00C64050">
        <w:t xml:space="preserve"> </w:t>
      </w:r>
      <w:r w:rsidRPr="005A33D6">
        <w:t>section.</w:t>
      </w:r>
    </w:p>
    <w:p w:rsidR="00801686" w:rsidRDefault="0061686A" w:rsidP="00801686">
      <w:pPr>
        <w:pStyle w:val="Body15"/>
      </w:pPr>
      <w:r>
        <w:t>Section</w:t>
      </w:r>
      <w:r w:rsidR="00C64050">
        <w:t xml:space="preserve"> </w:t>
      </w:r>
      <w:r>
        <w:t>6035</w:t>
      </w:r>
      <w:r w:rsidR="00C64050">
        <w:t xml:space="preserve"> </w:t>
      </w:r>
      <w:r>
        <w:t>creates</w:t>
      </w:r>
      <w:r w:rsidR="00C64050">
        <w:t xml:space="preserve"> </w:t>
      </w:r>
      <w:r w:rsidR="007909BB">
        <w:rPr>
          <w:u w:val="single"/>
        </w:rPr>
        <w:t>separate</w:t>
      </w:r>
      <w:r w:rsidR="00C64050">
        <w:t xml:space="preserve"> </w:t>
      </w:r>
      <w:r w:rsidR="007909BB">
        <w:t>notification</w:t>
      </w:r>
      <w:r w:rsidR="00C64050">
        <w:t xml:space="preserve"> </w:t>
      </w:r>
      <w:r w:rsidR="007909BB">
        <w:t>requirements.</w:t>
      </w:r>
      <w:r w:rsidR="00C64050">
        <w:t xml:space="preserve">  </w:t>
      </w:r>
      <w:r w:rsidR="007909BB">
        <w:t>Those</w:t>
      </w:r>
      <w:r w:rsidR="00C64050">
        <w:t xml:space="preserve"> </w:t>
      </w:r>
      <w:r w:rsidR="007909BB">
        <w:t>requirements</w:t>
      </w:r>
      <w:r w:rsidR="00C64050">
        <w:t xml:space="preserve"> </w:t>
      </w:r>
      <w:r w:rsidR="007909BB">
        <w:t>are</w:t>
      </w:r>
      <w:r w:rsidR="00C64050">
        <w:t xml:space="preserve"> </w:t>
      </w:r>
      <w:r w:rsidR="007909BB">
        <w:t>burdensome.</w:t>
      </w:r>
      <w:r w:rsidR="00C64050">
        <w:t xml:space="preserve">  </w:t>
      </w:r>
      <w:r w:rsidR="000037A4">
        <w:t>The</w:t>
      </w:r>
      <w:r w:rsidR="00C64050">
        <w:t xml:space="preserve"> </w:t>
      </w:r>
      <w:r w:rsidR="000037A4">
        <w:t>basic</w:t>
      </w:r>
      <w:r w:rsidR="00C64050">
        <w:t xml:space="preserve"> </w:t>
      </w:r>
      <w:r w:rsidR="000037A4">
        <w:t>requirements</w:t>
      </w:r>
      <w:r w:rsidR="00C64050">
        <w:t xml:space="preserve"> </w:t>
      </w:r>
      <w:r w:rsidR="000037A4">
        <w:t>are</w:t>
      </w:r>
      <w:r w:rsidR="00C64050">
        <w:t xml:space="preserve"> </w:t>
      </w:r>
      <w:r w:rsidR="000037A4">
        <w:t>described</w:t>
      </w:r>
      <w:r w:rsidR="00C64050">
        <w:t xml:space="preserve"> </w:t>
      </w:r>
      <w:r w:rsidR="000037A4">
        <w:t>by</w:t>
      </w:r>
      <w:r w:rsidR="00C64050">
        <w:t xml:space="preserve"> </w:t>
      </w:r>
      <w:r w:rsidR="000037A4">
        <w:t>the</w:t>
      </w:r>
      <w:r w:rsidR="00C64050">
        <w:t xml:space="preserve"> </w:t>
      </w:r>
      <w:r w:rsidR="000037A4">
        <w:t>summary</w:t>
      </w:r>
      <w:r w:rsidR="00C64050">
        <w:t xml:space="preserve"> </w:t>
      </w:r>
      <w:r w:rsidR="000037A4">
        <w:t>as</w:t>
      </w:r>
      <w:r w:rsidR="00C64050">
        <w:t xml:space="preserve"> </w:t>
      </w:r>
      <w:r w:rsidR="000037A4">
        <w:t>follows:</w:t>
      </w:r>
    </w:p>
    <w:p w:rsidR="00465BBA" w:rsidRPr="006076BD" w:rsidRDefault="00465BBA" w:rsidP="006076BD">
      <w:pPr>
        <w:pStyle w:val="QS10"/>
      </w:pPr>
      <w:r w:rsidRPr="006076BD">
        <w:t>7.</w:t>
      </w:r>
      <w:r w:rsidR="00C64050">
        <w:t xml:space="preserve"> </w:t>
      </w:r>
      <w:r w:rsidRPr="006076BD">
        <w:t>Requirement</w:t>
      </w:r>
      <w:r w:rsidR="00C64050">
        <w:t xml:space="preserve"> </w:t>
      </w:r>
      <w:r w:rsidRPr="006076BD">
        <w:t>To</w:t>
      </w:r>
      <w:r w:rsidR="00C64050">
        <w:t xml:space="preserve"> </w:t>
      </w:r>
      <w:r w:rsidRPr="006076BD">
        <w:t>Provide</w:t>
      </w:r>
      <w:r w:rsidR="00C64050">
        <w:t xml:space="preserve"> </w:t>
      </w:r>
      <w:r w:rsidRPr="006076BD">
        <w:t>Information</w:t>
      </w:r>
      <w:r w:rsidR="00C64050">
        <w:t xml:space="preserve"> </w:t>
      </w:r>
      <w:r w:rsidRPr="006076BD">
        <w:t>Return</w:t>
      </w:r>
      <w:r w:rsidR="00C64050">
        <w:t xml:space="preserve"> </w:t>
      </w:r>
      <w:r w:rsidRPr="006076BD">
        <w:t>and</w:t>
      </w:r>
      <w:r w:rsidR="00C64050">
        <w:t xml:space="preserve"> </w:t>
      </w:r>
      <w:r w:rsidRPr="006076BD">
        <w:t>Statement(s)</w:t>
      </w:r>
      <w:r w:rsidR="00C64050">
        <w:t xml:space="preserve"> </w:t>
      </w:r>
      <w:r w:rsidRPr="006076BD">
        <w:t>Under</w:t>
      </w:r>
      <w:r w:rsidR="00C64050">
        <w:t xml:space="preserve"> </w:t>
      </w:r>
      <w:hyperlink r:id="rId75" w:history="1">
        <w:r w:rsidRPr="006076BD">
          <w:t>Section</w:t>
        </w:r>
        <w:r w:rsidR="00C64050">
          <w:t xml:space="preserve"> </w:t>
        </w:r>
        <w:r w:rsidRPr="006076BD">
          <w:t>6035</w:t>
        </w:r>
      </w:hyperlink>
      <w:r w:rsidR="00C64050">
        <w:t xml:space="preserve"> </w:t>
      </w:r>
    </w:p>
    <w:p w:rsidR="00465BBA" w:rsidRPr="006076BD" w:rsidRDefault="00465BBA" w:rsidP="006076BD">
      <w:pPr>
        <w:pStyle w:val="QS10"/>
      </w:pPr>
      <w:r w:rsidRPr="006076BD">
        <w:t>The</w:t>
      </w:r>
      <w:r w:rsidR="00C64050">
        <w:t xml:space="preserve"> </w:t>
      </w:r>
      <w:r w:rsidRPr="006076BD">
        <w:t>proposed</w:t>
      </w:r>
      <w:r w:rsidR="00C64050">
        <w:t xml:space="preserve"> </w:t>
      </w:r>
      <w:r w:rsidRPr="006076BD">
        <w:t>regulations</w:t>
      </w:r>
      <w:r w:rsidR="00C64050">
        <w:t xml:space="preserve"> </w:t>
      </w:r>
      <w:r w:rsidRPr="006076BD">
        <w:t>define</w:t>
      </w:r>
      <w:r w:rsidR="00C64050">
        <w:t xml:space="preserve"> </w:t>
      </w:r>
      <w:r w:rsidRPr="006076BD">
        <w:t>the</w:t>
      </w:r>
      <w:r w:rsidR="00C64050">
        <w:t xml:space="preserve"> </w:t>
      </w:r>
      <w:r w:rsidRPr="006076BD">
        <w:t>term</w:t>
      </w:r>
      <w:r w:rsidR="00C64050">
        <w:t xml:space="preserve"> </w:t>
      </w:r>
      <w:r w:rsidRPr="006076BD">
        <w:t>Information</w:t>
      </w:r>
      <w:r w:rsidR="00C64050">
        <w:t xml:space="preserve"> </w:t>
      </w:r>
      <w:r w:rsidRPr="006076BD">
        <w:t>Return</w:t>
      </w:r>
      <w:r w:rsidR="00C64050">
        <w:t xml:space="preserve"> </w:t>
      </w:r>
      <w:r w:rsidRPr="006076BD">
        <w:t>as</w:t>
      </w:r>
      <w:r w:rsidR="00C64050">
        <w:t xml:space="preserve"> </w:t>
      </w:r>
      <w:r w:rsidRPr="006076BD">
        <w:t>the</w:t>
      </w:r>
      <w:r w:rsidR="00C64050">
        <w:t xml:space="preserve"> </w:t>
      </w:r>
      <w:r w:rsidRPr="006076BD">
        <w:t>Form</w:t>
      </w:r>
      <w:r w:rsidR="00C64050">
        <w:t xml:space="preserve"> </w:t>
      </w:r>
      <w:r w:rsidRPr="006076BD">
        <w:t>8971,</w:t>
      </w:r>
      <w:r w:rsidR="00C64050">
        <w:t xml:space="preserve"> </w:t>
      </w:r>
      <w:r w:rsidRPr="006076BD">
        <w:t>Information</w:t>
      </w:r>
      <w:r w:rsidR="00C64050">
        <w:t xml:space="preserve"> </w:t>
      </w:r>
      <w:r w:rsidRPr="006076BD">
        <w:t>Regarding</w:t>
      </w:r>
      <w:r w:rsidR="00C64050">
        <w:t xml:space="preserve"> </w:t>
      </w:r>
      <w:r w:rsidRPr="006076BD">
        <w:t>Beneficiaries</w:t>
      </w:r>
      <w:r w:rsidR="00C64050">
        <w:t xml:space="preserve"> </w:t>
      </w:r>
      <w:r w:rsidRPr="006076BD">
        <w:t>Acquiring</w:t>
      </w:r>
      <w:r w:rsidR="00C64050">
        <w:t xml:space="preserve"> </w:t>
      </w:r>
      <w:r w:rsidRPr="006076BD">
        <w:t>Property</w:t>
      </w:r>
      <w:r w:rsidR="00C64050">
        <w:t xml:space="preserve"> </w:t>
      </w:r>
      <w:r w:rsidRPr="006076BD">
        <w:t>from</w:t>
      </w:r>
      <w:r w:rsidR="00C64050">
        <w:t xml:space="preserve"> </w:t>
      </w:r>
      <w:r w:rsidRPr="006076BD">
        <w:t>a</w:t>
      </w:r>
      <w:r w:rsidR="00C64050">
        <w:t xml:space="preserve"> </w:t>
      </w:r>
      <w:r w:rsidRPr="006076BD">
        <w:t>Decedent,</w:t>
      </w:r>
      <w:r w:rsidR="00C64050">
        <w:t xml:space="preserve"> </w:t>
      </w:r>
      <w:r w:rsidRPr="006076BD">
        <w:t>which</w:t>
      </w:r>
      <w:r w:rsidR="00C64050">
        <w:t xml:space="preserve"> </w:t>
      </w:r>
      <w:r w:rsidRPr="006076BD">
        <w:t>includes</w:t>
      </w:r>
      <w:r w:rsidR="00C64050">
        <w:t xml:space="preserve"> </w:t>
      </w:r>
      <w:r w:rsidRPr="006076BD">
        <w:t>a</w:t>
      </w:r>
      <w:r w:rsidR="00C64050">
        <w:t xml:space="preserve"> </w:t>
      </w:r>
      <w:r w:rsidRPr="006076BD">
        <w:t>copy</w:t>
      </w:r>
      <w:r w:rsidR="00C64050">
        <w:t xml:space="preserve"> </w:t>
      </w:r>
      <w:r w:rsidRPr="006076BD">
        <w:t>of</w:t>
      </w:r>
      <w:r w:rsidR="00C64050">
        <w:t xml:space="preserve"> </w:t>
      </w:r>
      <w:r w:rsidRPr="006076BD">
        <w:t>a</w:t>
      </w:r>
      <w:r w:rsidR="00C64050">
        <w:t xml:space="preserve"> </w:t>
      </w:r>
      <w:r w:rsidRPr="006076BD">
        <w:t>Schedule</w:t>
      </w:r>
      <w:r w:rsidR="00C64050">
        <w:t xml:space="preserve"> </w:t>
      </w:r>
      <w:r w:rsidRPr="006076BD">
        <w:t>A</w:t>
      </w:r>
      <w:r w:rsidR="00C64050">
        <w:t xml:space="preserve"> </w:t>
      </w:r>
      <w:r w:rsidRPr="006076BD">
        <w:t>(Statement)</w:t>
      </w:r>
      <w:r w:rsidR="00C64050">
        <w:t xml:space="preserve"> </w:t>
      </w:r>
      <w:r w:rsidRPr="006076BD">
        <w:t>for</w:t>
      </w:r>
      <w:r w:rsidR="00C64050">
        <w:t xml:space="preserve"> </w:t>
      </w:r>
      <w:r w:rsidRPr="006076BD">
        <w:t>each</w:t>
      </w:r>
      <w:r w:rsidR="00C64050">
        <w:t xml:space="preserve"> </w:t>
      </w:r>
      <w:r w:rsidRPr="006076BD">
        <w:t>person</w:t>
      </w:r>
      <w:r w:rsidR="00C64050">
        <w:t xml:space="preserve"> </w:t>
      </w:r>
      <w:r w:rsidRPr="006076BD">
        <w:t>who</w:t>
      </w:r>
      <w:r w:rsidR="00C64050">
        <w:t xml:space="preserve"> </w:t>
      </w:r>
      <w:r w:rsidRPr="006076BD">
        <w:t>has</w:t>
      </w:r>
      <w:r w:rsidR="00C64050">
        <w:t xml:space="preserve"> </w:t>
      </w:r>
      <w:r w:rsidRPr="006076BD">
        <w:t>received</w:t>
      </w:r>
      <w:r w:rsidR="00C64050">
        <w:t xml:space="preserve"> </w:t>
      </w:r>
      <w:r w:rsidRPr="006076BD">
        <w:t>or</w:t>
      </w:r>
      <w:r w:rsidR="00C64050">
        <w:t xml:space="preserve"> </w:t>
      </w:r>
      <w:r w:rsidRPr="006076BD">
        <w:t>will</w:t>
      </w:r>
      <w:r w:rsidR="00C64050">
        <w:t xml:space="preserve"> </w:t>
      </w:r>
      <w:r w:rsidRPr="006076BD">
        <w:t>receive</w:t>
      </w:r>
      <w:r w:rsidR="00C64050">
        <w:t xml:space="preserve"> </w:t>
      </w:r>
      <w:r w:rsidRPr="006076BD">
        <w:t>property</w:t>
      </w:r>
      <w:r w:rsidR="00C64050">
        <w:t xml:space="preserve"> </w:t>
      </w:r>
      <w:r w:rsidRPr="006076BD">
        <w:t>from</w:t>
      </w:r>
      <w:r w:rsidR="00C64050">
        <w:t xml:space="preserve"> </w:t>
      </w:r>
      <w:r w:rsidRPr="006076BD">
        <w:t>the</w:t>
      </w:r>
      <w:r w:rsidR="00C64050">
        <w:t xml:space="preserve"> </w:t>
      </w:r>
      <w:r w:rsidRPr="006076BD">
        <w:t>estate</w:t>
      </w:r>
      <w:r w:rsidR="00C64050">
        <w:t xml:space="preserve"> </w:t>
      </w:r>
      <w:r w:rsidRPr="006076BD">
        <w:t>or</w:t>
      </w:r>
      <w:r w:rsidR="00C64050">
        <w:t xml:space="preserve"> </w:t>
      </w:r>
      <w:r w:rsidRPr="006076BD">
        <w:t>by</w:t>
      </w:r>
      <w:r w:rsidR="00C64050">
        <w:t xml:space="preserve"> </w:t>
      </w:r>
      <w:r w:rsidRPr="006076BD">
        <w:t>reason</w:t>
      </w:r>
      <w:r w:rsidR="00C64050">
        <w:t xml:space="preserve"> </w:t>
      </w:r>
      <w:r w:rsidRPr="006076BD">
        <w:t>of</w:t>
      </w:r>
      <w:r w:rsidR="00C64050">
        <w:t xml:space="preserve"> </w:t>
      </w:r>
      <w:r w:rsidRPr="006076BD">
        <w:t>the</w:t>
      </w:r>
      <w:r w:rsidR="00C64050">
        <w:t xml:space="preserve"> </w:t>
      </w:r>
      <w:r w:rsidRPr="006076BD">
        <w:t>decedent's</w:t>
      </w:r>
      <w:r w:rsidR="00C64050">
        <w:t xml:space="preserve"> </w:t>
      </w:r>
      <w:r w:rsidRPr="006076BD">
        <w:t>death.</w:t>
      </w:r>
    </w:p>
    <w:p w:rsidR="00465BBA" w:rsidRPr="006076BD" w:rsidRDefault="00465BBA" w:rsidP="006076BD">
      <w:pPr>
        <w:pStyle w:val="QS10"/>
      </w:pPr>
      <w:r w:rsidRPr="006076BD">
        <w:t>Proposed</w:t>
      </w:r>
      <w:r w:rsidR="00C64050">
        <w:t xml:space="preserve"> </w:t>
      </w:r>
      <w:r w:rsidRPr="006076BD">
        <w:t>§</w:t>
      </w:r>
      <w:r w:rsidR="00C64050">
        <w:t xml:space="preserve"> </w:t>
      </w:r>
      <w:r w:rsidRPr="006076BD">
        <w:t>1.6035-1(a)(1)</w:t>
      </w:r>
      <w:r w:rsidR="00C64050">
        <w:t xml:space="preserve"> </w:t>
      </w:r>
      <w:r w:rsidRPr="006076BD">
        <w:t>provides</w:t>
      </w:r>
      <w:r w:rsidR="00C64050">
        <w:t xml:space="preserve"> </w:t>
      </w:r>
      <w:r w:rsidRPr="006076BD">
        <w:t>that</w:t>
      </w:r>
      <w:r w:rsidR="00C64050">
        <w:t xml:space="preserve"> </w:t>
      </w:r>
      <w:r w:rsidRPr="006076BD">
        <w:t>an</w:t>
      </w:r>
      <w:r w:rsidR="00C64050">
        <w:t xml:space="preserve"> </w:t>
      </w:r>
      <w:r w:rsidRPr="006076BD">
        <w:t>executor</w:t>
      </w:r>
      <w:r w:rsidR="00C64050">
        <w:t xml:space="preserve"> </w:t>
      </w:r>
      <w:r w:rsidRPr="006076BD">
        <w:t>who</w:t>
      </w:r>
      <w:r w:rsidR="00C64050">
        <w:t xml:space="preserve"> </w:t>
      </w:r>
      <w:r w:rsidRPr="006076BD">
        <w:t>is</w:t>
      </w:r>
      <w:r w:rsidR="00C64050">
        <w:t xml:space="preserve"> </w:t>
      </w:r>
      <w:r w:rsidRPr="006076BD">
        <w:t>required</w:t>
      </w:r>
      <w:r w:rsidR="00C64050">
        <w:t xml:space="preserve"> </w:t>
      </w:r>
      <w:r w:rsidRPr="006076BD">
        <w:t>to</w:t>
      </w:r>
      <w:r w:rsidR="00C64050">
        <w:t xml:space="preserve"> </w:t>
      </w:r>
      <w:r w:rsidRPr="006076BD">
        <w:t>file</w:t>
      </w:r>
      <w:r w:rsidR="00C64050">
        <w:t xml:space="preserve"> </w:t>
      </w:r>
      <w:r w:rsidRPr="006076BD">
        <w:t>a</w:t>
      </w:r>
      <w:r w:rsidR="00C64050">
        <w:t xml:space="preserve"> </w:t>
      </w:r>
      <w:r w:rsidRPr="006076BD">
        <w:t>Federal</w:t>
      </w:r>
      <w:r w:rsidR="00C64050">
        <w:t xml:space="preserve"> </w:t>
      </w:r>
      <w:r w:rsidRPr="006076BD">
        <w:t>estate</w:t>
      </w:r>
      <w:r w:rsidR="00C64050">
        <w:t xml:space="preserve"> </w:t>
      </w:r>
      <w:r w:rsidRPr="006076BD">
        <w:t>tax</w:t>
      </w:r>
      <w:r w:rsidR="00C64050">
        <w:t xml:space="preserve"> </w:t>
      </w:r>
      <w:r w:rsidRPr="006076BD">
        <w:t>return</w:t>
      </w:r>
      <w:r w:rsidR="00C64050">
        <w:t xml:space="preserve"> </w:t>
      </w:r>
      <w:r w:rsidRPr="006076BD">
        <w:t>also</w:t>
      </w:r>
      <w:r w:rsidR="00C64050">
        <w:t xml:space="preserve"> </w:t>
      </w:r>
      <w:r w:rsidRPr="006076BD">
        <w:t>is</w:t>
      </w:r>
      <w:r w:rsidR="00C64050">
        <w:t xml:space="preserve"> </w:t>
      </w:r>
      <w:r w:rsidRPr="006076BD">
        <w:t>required</w:t>
      </w:r>
      <w:r w:rsidR="00C64050">
        <w:t xml:space="preserve"> </w:t>
      </w:r>
      <w:r w:rsidRPr="006076BD">
        <w:t>to</w:t>
      </w:r>
      <w:r w:rsidR="00C64050">
        <w:t xml:space="preserve"> </w:t>
      </w:r>
      <w:r w:rsidRPr="006076BD">
        <w:t>file</w:t>
      </w:r>
      <w:r w:rsidR="00C64050">
        <w:t xml:space="preserve"> </w:t>
      </w:r>
      <w:r w:rsidRPr="006076BD">
        <w:t>an</w:t>
      </w:r>
      <w:r w:rsidR="00C64050">
        <w:t xml:space="preserve"> </w:t>
      </w:r>
      <w:r w:rsidRPr="006076BD">
        <w:t>Information</w:t>
      </w:r>
      <w:r w:rsidR="00C64050">
        <w:t xml:space="preserve"> </w:t>
      </w:r>
      <w:r w:rsidRPr="006076BD">
        <w:t>Return</w:t>
      </w:r>
      <w:r w:rsidR="00C64050">
        <w:t xml:space="preserve"> </w:t>
      </w:r>
      <w:r w:rsidRPr="006076BD">
        <w:t>with</w:t>
      </w:r>
      <w:r w:rsidR="00C64050">
        <w:t xml:space="preserve"> </w:t>
      </w:r>
      <w:r w:rsidRPr="006076BD">
        <w:t>the</w:t>
      </w:r>
      <w:r w:rsidR="00C64050">
        <w:t xml:space="preserve"> </w:t>
      </w:r>
      <w:r w:rsidRPr="006076BD">
        <w:t>IRS</w:t>
      </w:r>
      <w:r w:rsidR="00C64050">
        <w:t xml:space="preserve"> </w:t>
      </w:r>
      <w:r w:rsidRPr="006076BD">
        <w:t>to</w:t>
      </w:r>
      <w:r w:rsidR="00C64050">
        <w:t xml:space="preserve"> </w:t>
      </w:r>
      <w:r w:rsidRPr="006076BD">
        <w:t>report</w:t>
      </w:r>
      <w:r w:rsidR="00C64050">
        <w:t xml:space="preserve"> </w:t>
      </w:r>
      <w:r w:rsidRPr="006076BD">
        <w:t>the</w:t>
      </w:r>
      <w:r w:rsidR="00C64050">
        <w:t xml:space="preserve"> </w:t>
      </w:r>
      <w:r w:rsidRPr="006076BD">
        <w:t>final</w:t>
      </w:r>
      <w:r w:rsidR="00C64050">
        <w:t xml:space="preserve"> </w:t>
      </w:r>
      <w:r w:rsidRPr="006076BD">
        <w:t>value</w:t>
      </w:r>
      <w:r w:rsidR="00C64050">
        <w:t xml:space="preserve"> </w:t>
      </w:r>
      <w:r w:rsidRPr="006076BD">
        <w:t>of</w:t>
      </w:r>
      <w:r w:rsidR="00C64050">
        <w:t xml:space="preserve"> </w:t>
      </w:r>
      <w:r w:rsidRPr="006076BD">
        <w:t>certain</w:t>
      </w:r>
      <w:r w:rsidR="00C64050">
        <w:t xml:space="preserve"> </w:t>
      </w:r>
      <w:r w:rsidRPr="006076BD">
        <w:t>property,</w:t>
      </w:r>
      <w:r w:rsidR="00C64050">
        <w:t xml:space="preserve"> </w:t>
      </w:r>
      <w:r w:rsidRPr="006076BD">
        <w:t>the</w:t>
      </w:r>
      <w:r w:rsidR="00C64050">
        <w:t xml:space="preserve"> </w:t>
      </w:r>
      <w:r w:rsidRPr="006076BD">
        <w:t>recipient</w:t>
      </w:r>
      <w:r w:rsidR="00C64050">
        <w:t xml:space="preserve"> </w:t>
      </w:r>
      <w:r w:rsidRPr="006076BD">
        <w:t>of</w:t>
      </w:r>
      <w:r w:rsidR="00C64050">
        <w:t xml:space="preserve"> </w:t>
      </w:r>
      <w:r w:rsidRPr="006076BD">
        <w:t>that</w:t>
      </w:r>
      <w:r w:rsidR="00C64050">
        <w:t xml:space="preserve"> </w:t>
      </w:r>
      <w:r w:rsidRPr="006076BD">
        <w:t>property,</w:t>
      </w:r>
      <w:r w:rsidR="00C64050">
        <w:t xml:space="preserve"> </w:t>
      </w:r>
      <w:r w:rsidRPr="006076BD">
        <w:t>and</w:t>
      </w:r>
      <w:r w:rsidR="00C64050">
        <w:t xml:space="preserve"> </w:t>
      </w:r>
      <w:r w:rsidRPr="006076BD">
        <w:t>other</w:t>
      </w:r>
      <w:r w:rsidR="00C64050">
        <w:t xml:space="preserve"> </w:t>
      </w:r>
      <w:r w:rsidRPr="006076BD">
        <w:t>information</w:t>
      </w:r>
      <w:r w:rsidR="00C64050">
        <w:t xml:space="preserve"> </w:t>
      </w:r>
      <w:r w:rsidRPr="006076BD">
        <w:t>prescribed</w:t>
      </w:r>
      <w:r w:rsidR="00C64050">
        <w:t xml:space="preserve"> </w:t>
      </w:r>
      <w:r w:rsidRPr="006076BD">
        <w:t>by</w:t>
      </w:r>
      <w:r w:rsidR="00C64050">
        <w:t xml:space="preserve"> </w:t>
      </w:r>
      <w:r w:rsidRPr="006076BD">
        <w:t>the</w:t>
      </w:r>
      <w:r w:rsidR="00C64050">
        <w:t xml:space="preserve"> </w:t>
      </w:r>
      <w:r w:rsidRPr="006076BD">
        <w:t>Information</w:t>
      </w:r>
      <w:r w:rsidR="00C64050">
        <w:t xml:space="preserve"> </w:t>
      </w:r>
      <w:r w:rsidRPr="006076BD">
        <w:t>Return</w:t>
      </w:r>
      <w:r w:rsidR="00C64050">
        <w:t xml:space="preserve"> </w:t>
      </w:r>
      <w:r w:rsidRPr="006076BD">
        <w:t>and</w:t>
      </w:r>
      <w:r w:rsidR="00C64050">
        <w:t xml:space="preserve"> </w:t>
      </w:r>
      <w:r w:rsidRPr="006076BD">
        <w:t>the</w:t>
      </w:r>
      <w:r w:rsidR="00C64050">
        <w:t xml:space="preserve"> </w:t>
      </w:r>
      <w:r w:rsidRPr="006076BD">
        <w:t>related</w:t>
      </w:r>
      <w:r w:rsidR="00C64050">
        <w:t xml:space="preserve"> </w:t>
      </w:r>
      <w:r w:rsidRPr="006076BD">
        <w:t>instructions.</w:t>
      </w:r>
      <w:r w:rsidR="00C64050">
        <w:t xml:space="preserve"> </w:t>
      </w:r>
      <w:r w:rsidRPr="006076BD">
        <w:t>The</w:t>
      </w:r>
      <w:r w:rsidR="00C64050">
        <w:t xml:space="preserve"> </w:t>
      </w:r>
      <w:r w:rsidRPr="006076BD">
        <w:t>executor</w:t>
      </w:r>
      <w:r w:rsidR="00C64050">
        <w:t xml:space="preserve"> </w:t>
      </w:r>
      <w:r w:rsidRPr="006076BD">
        <w:t>also</w:t>
      </w:r>
      <w:r w:rsidR="00C64050">
        <w:t xml:space="preserve"> </w:t>
      </w:r>
      <w:r w:rsidRPr="006076BD">
        <w:t>is</w:t>
      </w:r>
      <w:r w:rsidR="00C64050">
        <w:t xml:space="preserve"> </w:t>
      </w:r>
      <w:r w:rsidRPr="006076BD">
        <w:t>required</w:t>
      </w:r>
      <w:r w:rsidR="00C64050">
        <w:t xml:space="preserve"> </w:t>
      </w:r>
      <w:r w:rsidRPr="006076BD">
        <w:t>to</w:t>
      </w:r>
      <w:r w:rsidR="00C64050">
        <w:t xml:space="preserve"> </w:t>
      </w:r>
      <w:r w:rsidRPr="006076BD">
        <w:t>furnish</w:t>
      </w:r>
      <w:r w:rsidR="00C64050">
        <w:t xml:space="preserve"> </w:t>
      </w:r>
      <w:r w:rsidRPr="006076BD">
        <w:t>a</w:t>
      </w:r>
      <w:r w:rsidR="00C64050">
        <w:t xml:space="preserve"> </w:t>
      </w:r>
      <w:r w:rsidRPr="006076BD">
        <w:t>Statement</w:t>
      </w:r>
      <w:r w:rsidR="00C64050">
        <w:t xml:space="preserve"> </w:t>
      </w:r>
      <w:r w:rsidRPr="006076BD">
        <w:t>to</w:t>
      </w:r>
      <w:r w:rsidR="00C64050">
        <w:t xml:space="preserve"> </w:t>
      </w:r>
      <w:r w:rsidRPr="006076BD">
        <w:t>each</w:t>
      </w:r>
      <w:r w:rsidR="00C64050">
        <w:t xml:space="preserve"> </w:t>
      </w:r>
      <w:r w:rsidRPr="006076BD">
        <w:t>beneficiary</w:t>
      </w:r>
      <w:r w:rsidR="00C64050">
        <w:t xml:space="preserve"> </w:t>
      </w:r>
      <w:r w:rsidRPr="006076BD">
        <w:t>who</w:t>
      </w:r>
      <w:r w:rsidR="00C64050">
        <w:t xml:space="preserve"> </w:t>
      </w:r>
      <w:r w:rsidRPr="006076BD">
        <w:t>has</w:t>
      </w:r>
      <w:r w:rsidR="00C64050">
        <w:t xml:space="preserve"> </w:t>
      </w:r>
      <w:r w:rsidRPr="006076BD">
        <w:t>acquired</w:t>
      </w:r>
      <w:r w:rsidR="00C64050">
        <w:t xml:space="preserve"> </w:t>
      </w:r>
      <w:r w:rsidRPr="006076BD">
        <w:t>(or</w:t>
      </w:r>
      <w:r w:rsidR="00C64050">
        <w:t xml:space="preserve"> </w:t>
      </w:r>
      <w:r w:rsidRPr="006076BD">
        <w:t>will</w:t>
      </w:r>
      <w:r w:rsidR="00C64050">
        <w:t xml:space="preserve"> </w:t>
      </w:r>
      <w:r w:rsidRPr="006076BD">
        <w:t>acquire)</w:t>
      </w:r>
      <w:r w:rsidR="00C64050">
        <w:t xml:space="preserve"> </w:t>
      </w:r>
      <w:r w:rsidRPr="006076BD">
        <w:t>property</w:t>
      </w:r>
      <w:r w:rsidR="00C64050">
        <w:t xml:space="preserve"> </w:t>
      </w:r>
      <w:r w:rsidRPr="006076BD">
        <w:t>from</w:t>
      </w:r>
      <w:r w:rsidR="00C64050">
        <w:t xml:space="preserve"> </w:t>
      </w:r>
      <w:r w:rsidRPr="006076BD">
        <w:t>the</w:t>
      </w:r>
      <w:r w:rsidR="00C64050">
        <w:t xml:space="preserve"> </w:t>
      </w:r>
      <w:r w:rsidRPr="006076BD">
        <w:t>decedent</w:t>
      </w:r>
      <w:r w:rsidR="00C64050">
        <w:t xml:space="preserve"> </w:t>
      </w:r>
      <w:r w:rsidRPr="006076BD">
        <w:t>or</w:t>
      </w:r>
      <w:r w:rsidR="00C64050">
        <w:t xml:space="preserve"> </w:t>
      </w:r>
      <w:r w:rsidRPr="006076BD">
        <w:t>by</w:t>
      </w:r>
      <w:r w:rsidR="00C64050">
        <w:t xml:space="preserve"> </w:t>
      </w:r>
      <w:r w:rsidRPr="006076BD">
        <w:t>reason</w:t>
      </w:r>
      <w:r w:rsidR="00C64050">
        <w:t xml:space="preserve"> </w:t>
      </w:r>
      <w:r w:rsidRPr="006076BD">
        <w:t>of</w:t>
      </w:r>
      <w:r w:rsidR="00C64050">
        <w:t xml:space="preserve"> </w:t>
      </w:r>
      <w:r w:rsidRPr="006076BD">
        <w:t>the</w:t>
      </w:r>
      <w:r w:rsidR="00C64050">
        <w:t xml:space="preserve"> </w:t>
      </w:r>
      <w:r w:rsidRPr="006076BD">
        <w:t>death</w:t>
      </w:r>
      <w:r w:rsidR="00C64050">
        <w:t xml:space="preserve"> </w:t>
      </w:r>
      <w:r w:rsidRPr="006076BD">
        <w:t>of</w:t>
      </w:r>
      <w:r w:rsidR="00C64050">
        <w:t xml:space="preserve"> </w:t>
      </w:r>
      <w:r w:rsidRPr="006076BD">
        <w:t>the</w:t>
      </w:r>
      <w:r w:rsidR="00C64050">
        <w:t xml:space="preserve"> </w:t>
      </w:r>
      <w:r w:rsidRPr="006076BD">
        <w:t>decedent</w:t>
      </w:r>
      <w:r w:rsidR="00C64050">
        <w:t xml:space="preserve"> </w:t>
      </w:r>
      <w:r w:rsidRPr="006076BD">
        <w:t>to</w:t>
      </w:r>
      <w:r w:rsidR="00C64050">
        <w:t xml:space="preserve"> </w:t>
      </w:r>
      <w:r w:rsidRPr="006076BD">
        <w:t>report</w:t>
      </w:r>
      <w:r w:rsidR="00C64050">
        <w:t xml:space="preserve"> </w:t>
      </w:r>
      <w:r w:rsidRPr="006076BD">
        <w:t>the</w:t>
      </w:r>
      <w:r w:rsidR="00C64050">
        <w:t xml:space="preserve"> </w:t>
      </w:r>
      <w:r w:rsidRPr="006076BD">
        <w:t>property</w:t>
      </w:r>
      <w:r w:rsidR="00C64050">
        <w:t xml:space="preserve"> </w:t>
      </w:r>
      <w:r w:rsidRPr="006076BD">
        <w:t>the</w:t>
      </w:r>
      <w:r w:rsidR="00C64050">
        <w:t xml:space="preserve"> </w:t>
      </w:r>
      <w:r w:rsidRPr="006076BD">
        <w:t>beneficiary</w:t>
      </w:r>
      <w:r w:rsidR="00C64050">
        <w:t xml:space="preserve"> </w:t>
      </w:r>
      <w:r w:rsidRPr="006076BD">
        <w:t>has</w:t>
      </w:r>
      <w:r w:rsidR="00C64050">
        <w:t xml:space="preserve"> </w:t>
      </w:r>
      <w:r w:rsidRPr="006076BD">
        <w:t>acquired</w:t>
      </w:r>
      <w:r w:rsidR="00C64050">
        <w:t xml:space="preserve"> </w:t>
      </w:r>
      <w:r w:rsidRPr="006076BD">
        <w:t>(or</w:t>
      </w:r>
      <w:r w:rsidR="00C64050">
        <w:t xml:space="preserve"> </w:t>
      </w:r>
      <w:r w:rsidRPr="006076BD">
        <w:t>will</w:t>
      </w:r>
      <w:r w:rsidR="00C64050">
        <w:t xml:space="preserve"> </w:t>
      </w:r>
      <w:r w:rsidRPr="006076BD">
        <w:t>acquire)</w:t>
      </w:r>
      <w:r w:rsidR="00C64050">
        <w:t xml:space="preserve"> </w:t>
      </w:r>
      <w:r w:rsidRPr="006076BD">
        <w:t>and</w:t>
      </w:r>
      <w:r w:rsidR="00C64050">
        <w:t xml:space="preserve"> </w:t>
      </w:r>
      <w:r w:rsidRPr="006076BD">
        <w:t>the</w:t>
      </w:r>
      <w:r w:rsidR="00C64050">
        <w:t xml:space="preserve"> </w:t>
      </w:r>
      <w:r w:rsidRPr="006076BD">
        <w:t>final</w:t>
      </w:r>
      <w:r w:rsidR="00C64050">
        <w:t xml:space="preserve"> </w:t>
      </w:r>
      <w:r w:rsidRPr="006076BD">
        <w:t>value</w:t>
      </w:r>
      <w:r w:rsidR="00C64050">
        <w:t xml:space="preserve"> </w:t>
      </w:r>
      <w:r w:rsidRPr="006076BD">
        <w:t>of</w:t>
      </w:r>
      <w:r w:rsidR="00C64050">
        <w:t xml:space="preserve"> </w:t>
      </w:r>
      <w:r w:rsidRPr="006076BD">
        <w:t>that</w:t>
      </w:r>
      <w:r w:rsidR="00C64050">
        <w:t xml:space="preserve"> </w:t>
      </w:r>
      <w:r w:rsidRPr="006076BD">
        <w:t>property.</w:t>
      </w:r>
    </w:p>
    <w:p w:rsidR="00465BBA" w:rsidRPr="006076BD" w:rsidRDefault="00465BBA" w:rsidP="006076BD">
      <w:pPr>
        <w:pStyle w:val="QS10"/>
      </w:pPr>
      <w:r w:rsidRPr="006076BD">
        <w:t>8.</w:t>
      </w:r>
      <w:r w:rsidR="00C64050">
        <w:t xml:space="preserve"> </w:t>
      </w:r>
      <w:r w:rsidRPr="006076BD">
        <w:t>Circumstances</w:t>
      </w:r>
      <w:r w:rsidR="00C64050">
        <w:t xml:space="preserve"> </w:t>
      </w:r>
      <w:r w:rsidRPr="006076BD">
        <w:t>Under</w:t>
      </w:r>
      <w:r w:rsidR="00C64050">
        <w:t xml:space="preserve"> </w:t>
      </w:r>
      <w:r w:rsidRPr="006076BD">
        <w:t>Which</w:t>
      </w:r>
      <w:r w:rsidR="00C64050">
        <w:t xml:space="preserve"> </w:t>
      </w:r>
      <w:r w:rsidRPr="006076BD">
        <w:t>No</w:t>
      </w:r>
      <w:r w:rsidR="00C64050">
        <w:t xml:space="preserve"> </w:t>
      </w:r>
      <w:r w:rsidRPr="006076BD">
        <w:t>Information</w:t>
      </w:r>
      <w:r w:rsidR="00C64050">
        <w:t xml:space="preserve"> </w:t>
      </w:r>
      <w:r w:rsidRPr="006076BD">
        <w:t>Return</w:t>
      </w:r>
      <w:r w:rsidR="00C64050">
        <w:t xml:space="preserve"> </w:t>
      </w:r>
      <w:r w:rsidRPr="006076BD">
        <w:t>or</w:t>
      </w:r>
      <w:r w:rsidR="00C64050">
        <w:t xml:space="preserve"> </w:t>
      </w:r>
      <w:r w:rsidRPr="006076BD">
        <w:t>Statement(s)</w:t>
      </w:r>
      <w:r w:rsidR="00C64050">
        <w:t xml:space="preserve"> </w:t>
      </w:r>
      <w:r w:rsidRPr="006076BD">
        <w:t>Is</w:t>
      </w:r>
      <w:r w:rsidR="00C64050">
        <w:t xml:space="preserve"> </w:t>
      </w:r>
      <w:r w:rsidRPr="006076BD">
        <w:t>Required</w:t>
      </w:r>
      <w:r w:rsidR="00C64050">
        <w:t xml:space="preserve"> </w:t>
      </w:r>
      <w:r w:rsidRPr="006076BD">
        <w:t>Under</w:t>
      </w:r>
      <w:r w:rsidR="00C64050">
        <w:t xml:space="preserve"> </w:t>
      </w:r>
      <w:hyperlink r:id="rId76" w:history="1">
        <w:r w:rsidRPr="006076BD">
          <w:t>Section</w:t>
        </w:r>
        <w:r w:rsidR="00C64050">
          <w:t xml:space="preserve"> </w:t>
        </w:r>
        <w:r w:rsidRPr="006076BD">
          <w:t>6035</w:t>
        </w:r>
      </w:hyperlink>
      <w:r w:rsidR="00C64050">
        <w:t xml:space="preserve"> </w:t>
      </w:r>
    </w:p>
    <w:p w:rsidR="00465BBA" w:rsidRPr="006076BD" w:rsidRDefault="00465BBA" w:rsidP="006076BD">
      <w:pPr>
        <w:pStyle w:val="QS10"/>
      </w:pPr>
      <w:r w:rsidRPr="006076BD">
        <w:t>Commenters</w:t>
      </w:r>
      <w:r w:rsidR="00C64050">
        <w:t xml:space="preserve"> </w:t>
      </w:r>
      <w:r w:rsidRPr="006076BD">
        <w:t>expressed</w:t>
      </w:r>
      <w:r w:rsidR="00C64050">
        <w:t xml:space="preserve"> </w:t>
      </w:r>
      <w:r w:rsidRPr="006076BD">
        <w:t>concern</w:t>
      </w:r>
      <w:r w:rsidR="00C64050">
        <w:t xml:space="preserve"> </w:t>
      </w:r>
      <w:r w:rsidRPr="006076BD">
        <w:t>that</w:t>
      </w:r>
      <w:r w:rsidR="00C64050">
        <w:t xml:space="preserve"> </w:t>
      </w:r>
      <w:r w:rsidRPr="006076BD">
        <w:t>the</w:t>
      </w:r>
      <w:r w:rsidR="00C64050">
        <w:t xml:space="preserve"> </w:t>
      </w:r>
      <w:hyperlink r:id="rId77" w:history="1">
        <w:r w:rsidRPr="006076BD">
          <w:t>section</w:t>
        </w:r>
        <w:r w:rsidR="00C64050">
          <w:t xml:space="preserve"> </w:t>
        </w:r>
        <w:r w:rsidRPr="006076BD">
          <w:t>6035</w:t>
        </w:r>
      </w:hyperlink>
      <w:r w:rsidR="00C64050">
        <w:t xml:space="preserve"> </w:t>
      </w:r>
      <w:r w:rsidRPr="006076BD">
        <w:t>filing</w:t>
      </w:r>
      <w:r w:rsidR="00C64050">
        <w:t xml:space="preserve"> </w:t>
      </w:r>
      <w:r w:rsidRPr="006076BD">
        <w:t>requirements</w:t>
      </w:r>
      <w:r w:rsidR="00C64050">
        <w:t xml:space="preserve"> </w:t>
      </w:r>
      <w:r w:rsidRPr="006076BD">
        <w:t>might</w:t>
      </w:r>
      <w:r w:rsidR="00C64050">
        <w:t xml:space="preserve"> </w:t>
      </w:r>
      <w:r w:rsidRPr="006076BD">
        <w:t>extend</w:t>
      </w:r>
      <w:r w:rsidR="00C64050">
        <w:t xml:space="preserve"> </w:t>
      </w:r>
      <w:r w:rsidRPr="006076BD">
        <w:t>to</w:t>
      </w:r>
      <w:r w:rsidR="00C64050">
        <w:t xml:space="preserve"> </w:t>
      </w:r>
      <w:r w:rsidRPr="006076BD">
        <w:t>a</w:t>
      </w:r>
      <w:r w:rsidR="00C64050">
        <w:t xml:space="preserve"> </w:t>
      </w:r>
      <w:r w:rsidRPr="006076BD">
        <w:t>return</w:t>
      </w:r>
      <w:r w:rsidR="00C64050">
        <w:t xml:space="preserve"> </w:t>
      </w:r>
      <w:r w:rsidRPr="006076BD">
        <w:t>filed</w:t>
      </w:r>
      <w:r w:rsidR="00C64050">
        <w:t xml:space="preserve"> </w:t>
      </w:r>
      <w:r w:rsidRPr="006076BD">
        <w:t>by</w:t>
      </w:r>
      <w:r w:rsidR="00C64050">
        <w:t xml:space="preserve"> </w:t>
      </w:r>
      <w:r w:rsidRPr="006076BD">
        <w:t>an</w:t>
      </w:r>
      <w:r w:rsidR="00C64050">
        <w:t xml:space="preserve"> </w:t>
      </w:r>
      <w:r w:rsidRPr="006076BD">
        <w:t>estate</w:t>
      </w:r>
      <w:r w:rsidR="00C64050">
        <w:t xml:space="preserve"> </w:t>
      </w:r>
      <w:r w:rsidRPr="006076BD">
        <w:t>solely</w:t>
      </w:r>
      <w:r w:rsidR="00C64050">
        <w:t xml:space="preserve"> </w:t>
      </w:r>
      <w:r w:rsidRPr="006076BD">
        <w:t>to</w:t>
      </w:r>
      <w:r w:rsidR="00C64050">
        <w:t xml:space="preserve"> </w:t>
      </w:r>
      <w:r w:rsidRPr="006076BD">
        <w:t>make</w:t>
      </w:r>
      <w:r w:rsidR="00C64050">
        <w:t xml:space="preserve"> </w:t>
      </w:r>
      <w:r w:rsidRPr="006076BD">
        <w:t>the</w:t>
      </w:r>
      <w:r w:rsidR="00C64050">
        <w:t xml:space="preserve"> </w:t>
      </w:r>
      <w:r w:rsidRPr="006076BD">
        <w:t>portability</w:t>
      </w:r>
      <w:r w:rsidR="00C64050">
        <w:t xml:space="preserve"> </w:t>
      </w:r>
      <w:r w:rsidRPr="006076BD">
        <w:t>election</w:t>
      </w:r>
      <w:r w:rsidR="00C64050">
        <w:t xml:space="preserve"> </w:t>
      </w:r>
      <w:r w:rsidRPr="006076BD">
        <w:t>under</w:t>
      </w:r>
      <w:r w:rsidR="00C64050">
        <w:t xml:space="preserve"> </w:t>
      </w:r>
      <w:r w:rsidRPr="006076BD">
        <w:t>section</w:t>
      </w:r>
      <w:r w:rsidR="00C64050">
        <w:t xml:space="preserve"> </w:t>
      </w:r>
      <w:r w:rsidRPr="006076BD">
        <w:t>2010(c)(5),</w:t>
      </w:r>
      <w:r w:rsidR="00C64050">
        <w:t xml:space="preserve"> </w:t>
      </w:r>
      <w:r w:rsidRPr="006076BD">
        <w:t>or</w:t>
      </w:r>
      <w:r w:rsidR="00C64050">
        <w:t xml:space="preserve"> </w:t>
      </w:r>
      <w:r w:rsidRPr="006076BD">
        <w:t>a</w:t>
      </w:r>
      <w:r w:rsidR="00C64050">
        <w:t xml:space="preserve"> </w:t>
      </w:r>
      <w:r w:rsidRPr="006076BD">
        <w:t>generation-skipping</w:t>
      </w:r>
      <w:r w:rsidR="00C64050">
        <w:t xml:space="preserve"> </w:t>
      </w:r>
      <w:r w:rsidRPr="006076BD">
        <w:t>transfer</w:t>
      </w:r>
      <w:r w:rsidR="00C64050">
        <w:t xml:space="preserve"> </w:t>
      </w:r>
      <w:r w:rsidRPr="006076BD">
        <w:t>tax</w:t>
      </w:r>
      <w:r w:rsidR="00C64050">
        <w:t xml:space="preserve"> </w:t>
      </w:r>
      <w:r w:rsidRPr="006076BD">
        <w:t>election</w:t>
      </w:r>
      <w:r w:rsidR="00C64050">
        <w:t xml:space="preserve"> </w:t>
      </w:r>
      <w:r w:rsidRPr="006076BD">
        <w:t>or</w:t>
      </w:r>
      <w:r w:rsidR="00C64050">
        <w:t xml:space="preserve"> </w:t>
      </w:r>
      <w:r w:rsidRPr="006076BD">
        <w:t>exemption</w:t>
      </w:r>
      <w:r w:rsidR="00C64050">
        <w:t xml:space="preserve"> </w:t>
      </w:r>
      <w:r w:rsidRPr="006076BD">
        <w:t>allocation.</w:t>
      </w:r>
      <w:r w:rsidR="00C64050">
        <w:t xml:space="preserve"> </w:t>
      </w:r>
      <w:r w:rsidRPr="006076BD">
        <w:t>The</w:t>
      </w:r>
      <w:r w:rsidR="00C64050">
        <w:t xml:space="preserve"> </w:t>
      </w:r>
      <w:r w:rsidRPr="006076BD">
        <w:t>proposed</w:t>
      </w:r>
      <w:r w:rsidR="00C64050">
        <w:t xml:space="preserve"> </w:t>
      </w:r>
      <w:r w:rsidRPr="006076BD">
        <w:t>regulations</w:t>
      </w:r>
      <w:r w:rsidR="00C64050">
        <w:t xml:space="preserve"> </w:t>
      </w:r>
      <w:r w:rsidRPr="006076BD">
        <w:t>provide</w:t>
      </w:r>
      <w:r w:rsidR="00C64050">
        <w:t xml:space="preserve"> </w:t>
      </w:r>
      <w:r w:rsidRPr="006076BD">
        <w:t>that</w:t>
      </w:r>
      <w:r w:rsidR="00C64050">
        <w:t xml:space="preserve"> </w:t>
      </w:r>
      <w:r w:rsidRPr="006076BD">
        <w:t>the</w:t>
      </w:r>
      <w:r w:rsidR="00C64050">
        <w:t xml:space="preserve"> </w:t>
      </w:r>
      <w:r w:rsidRPr="006076BD">
        <w:t>filing</w:t>
      </w:r>
      <w:r w:rsidR="00C64050">
        <w:t xml:space="preserve"> </w:t>
      </w:r>
      <w:r w:rsidRPr="006076BD">
        <w:t>requirements</w:t>
      </w:r>
      <w:r w:rsidR="00C64050">
        <w:t xml:space="preserve"> </w:t>
      </w:r>
      <w:r w:rsidRPr="006076BD">
        <w:t>of</w:t>
      </w:r>
      <w:r w:rsidR="00C64050">
        <w:t xml:space="preserve"> </w:t>
      </w:r>
      <w:hyperlink r:id="rId78" w:history="1">
        <w:r w:rsidRPr="006076BD">
          <w:t>section</w:t>
        </w:r>
        <w:r w:rsidR="00C64050">
          <w:t xml:space="preserve"> </w:t>
        </w:r>
        <w:r w:rsidRPr="006076BD">
          <w:t>6035</w:t>
        </w:r>
      </w:hyperlink>
      <w:r w:rsidR="00C64050">
        <w:t xml:space="preserve"> </w:t>
      </w:r>
      <w:r w:rsidRPr="006076BD">
        <w:t>do</w:t>
      </w:r>
      <w:r w:rsidR="00C64050">
        <w:t xml:space="preserve"> </w:t>
      </w:r>
      <w:r w:rsidRPr="006076BD">
        <w:t>not</w:t>
      </w:r>
      <w:r w:rsidR="00C64050">
        <w:t xml:space="preserve"> </w:t>
      </w:r>
      <w:r w:rsidRPr="006076BD">
        <w:t>apply</w:t>
      </w:r>
      <w:r w:rsidR="00C64050">
        <w:t xml:space="preserve"> </w:t>
      </w:r>
      <w:r w:rsidRPr="006076BD">
        <w:t>to</w:t>
      </w:r>
      <w:r w:rsidR="00C64050">
        <w:t xml:space="preserve"> </w:t>
      </w:r>
      <w:r w:rsidRPr="006076BD">
        <w:t>such</w:t>
      </w:r>
      <w:r w:rsidR="00C64050">
        <w:t xml:space="preserve"> </w:t>
      </w:r>
      <w:r w:rsidRPr="006076BD">
        <w:t>returns</w:t>
      </w:r>
      <w:r w:rsidR="00C64050">
        <w:t xml:space="preserve"> </w:t>
      </w:r>
      <w:r w:rsidRPr="006076BD">
        <w:t>because</w:t>
      </w:r>
      <w:r w:rsidR="00C64050">
        <w:t xml:space="preserve"> </w:t>
      </w:r>
      <w:r w:rsidRPr="006076BD">
        <w:t>these</w:t>
      </w:r>
      <w:r w:rsidR="00C64050">
        <w:t xml:space="preserve"> </w:t>
      </w:r>
      <w:r w:rsidRPr="006076BD">
        <w:t>returns</w:t>
      </w:r>
      <w:r w:rsidR="00C64050">
        <w:t xml:space="preserve"> </w:t>
      </w:r>
      <w:r w:rsidRPr="006076BD">
        <w:t>are</w:t>
      </w:r>
      <w:r w:rsidR="00C64050">
        <w:t xml:space="preserve"> </w:t>
      </w:r>
      <w:r w:rsidRPr="006076BD">
        <w:t>not</w:t>
      </w:r>
      <w:r w:rsidR="00C64050">
        <w:t xml:space="preserve"> </w:t>
      </w:r>
      <w:r w:rsidRPr="006076BD">
        <w:t>required</w:t>
      </w:r>
      <w:r w:rsidR="00C64050">
        <w:t xml:space="preserve"> </w:t>
      </w:r>
      <w:r w:rsidRPr="006076BD">
        <w:t>by</w:t>
      </w:r>
      <w:r w:rsidR="00C64050">
        <w:t xml:space="preserve"> </w:t>
      </w:r>
      <w:r w:rsidRPr="006076BD">
        <w:t>section</w:t>
      </w:r>
      <w:r w:rsidR="00C64050">
        <w:t xml:space="preserve"> </w:t>
      </w:r>
      <w:r w:rsidRPr="006076BD">
        <w:t>6018.</w:t>
      </w:r>
    </w:p>
    <w:p w:rsidR="00465BBA" w:rsidRPr="006076BD" w:rsidRDefault="00465BBA" w:rsidP="006076BD">
      <w:pPr>
        <w:pStyle w:val="QS10"/>
      </w:pPr>
      <w:r w:rsidRPr="006076BD">
        <w:t>9.</w:t>
      </w:r>
      <w:r w:rsidR="00C64050">
        <w:t xml:space="preserve"> </w:t>
      </w:r>
      <w:r w:rsidRPr="006076BD">
        <w:t>Property</w:t>
      </w:r>
      <w:r w:rsidR="00C64050">
        <w:t xml:space="preserve"> </w:t>
      </w:r>
      <w:r w:rsidRPr="006076BD">
        <w:t>To</w:t>
      </w:r>
      <w:r w:rsidR="00C64050">
        <w:t xml:space="preserve"> </w:t>
      </w:r>
      <w:r w:rsidRPr="006076BD">
        <w:t>Be</w:t>
      </w:r>
      <w:r w:rsidR="00C64050">
        <w:t xml:space="preserve"> </w:t>
      </w:r>
      <w:r w:rsidRPr="006076BD">
        <w:t>Reported</w:t>
      </w:r>
      <w:r w:rsidR="00C64050">
        <w:t xml:space="preserve"> </w:t>
      </w:r>
      <w:r w:rsidRPr="006076BD">
        <w:t>on</w:t>
      </w:r>
      <w:r w:rsidR="00C64050">
        <w:t xml:space="preserve"> </w:t>
      </w:r>
      <w:r w:rsidRPr="006076BD">
        <w:t>an</w:t>
      </w:r>
      <w:r w:rsidR="00C64050">
        <w:t xml:space="preserve"> </w:t>
      </w:r>
      <w:r w:rsidRPr="006076BD">
        <w:t>Information</w:t>
      </w:r>
      <w:r w:rsidR="00C64050">
        <w:t xml:space="preserve"> </w:t>
      </w:r>
      <w:r w:rsidRPr="006076BD">
        <w:t>Return</w:t>
      </w:r>
      <w:r w:rsidR="00C64050">
        <w:t xml:space="preserve"> </w:t>
      </w:r>
      <w:r w:rsidRPr="006076BD">
        <w:t>and</w:t>
      </w:r>
      <w:r w:rsidR="00C64050">
        <w:t xml:space="preserve"> </w:t>
      </w:r>
      <w:r w:rsidRPr="006076BD">
        <w:t>Statement(s)</w:t>
      </w:r>
      <w:r w:rsidR="00C64050">
        <w:t xml:space="preserve"> </w:t>
      </w:r>
    </w:p>
    <w:p w:rsidR="00465BBA" w:rsidRPr="006076BD" w:rsidRDefault="00465BBA" w:rsidP="006076BD">
      <w:pPr>
        <w:pStyle w:val="QS10"/>
      </w:pPr>
      <w:r w:rsidRPr="006076BD">
        <w:t>Commenters</w:t>
      </w:r>
      <w:r w:rsidR="00C64050">
        <w:t xml:space="preserve"> </w:t>
      </w:r>
      <w:r w:rsidRPr="006076BD">
        <w:t>requested</w:t>
      </w:r>
      <w:r w:rsidR="00C64050">
        <w:t xml:space="preserve"> </w:t>
      </w:r>
      <w:r w:rsidRPr="006076BD">
        <w:t>that</w:t>
      </w:r>
      <w:r w:rsidR="00C64050">
        <w:t xml:space="preserve"> </w:t>
      </w:r>
      <w:r w:rsidRPr="006076BD">
        <w:t>the</w:t>
      </w:r>
      <w:r w:rsidR="00C64050">
        <w:t xml:space="preserve"> </w:t>
      </w:r>
      <w:r w:rsidRPr="006076BD">
        <w:t>regulations</w:t>
      </w:r>
      <w:r w:rsidR="00C64050">
        <w:t xml:space="preserve"> </w:t>
      </w:r>
      <w:r w:rsidRPr="006076BD">
        <w:t>clarify</w:t>
      </w:r>
      <w:r w:rsidR="00C64050">
        <w:t xml:space="preserve"> </w:t>
      </w:r>
      <w:r w:rsidRPr="006076BD">
        <w:t>the</w:t>
      </w:r>
      <w:r w:rsidR="00C64050">
        <w:t xml:space="preserve"> </w:t>
      </w:r>
      <w:r w:rsidRPr="006076BD">
        <w:t>types</w:t>
      </w:r>
      <w:r w:rsidR="00C64050">
        <w:t xml:space="preserve"> </w:t>
      </w:r>
      <w:r w:rsidRPr="006076BD">
        <w:t>of</w:t>
      </w:r>
      <w:r w:rsidR="00C64050">
        <w:t xml:space="preserve"> </w:t>
      </w:r>
      <w:r w:rsidRPr="006076BD">
        <w:t>property</w:t>
      </w:r>
      <w:r w:rsidR="00C64050">
        <w:t xml:space="preserve"> </w:t>
      </w:r>
      <w:r w:rsidRPr="006076BD">
        <w:t>to</w:t>
      </w:r>
      <w:r w:rsidR="00C64050">
        <w:t xml:space="preserve"> </w:t>
      </w:r>
      <w:r w:rsidRPr="006076BD">
        <w:t>be</w:t>
      </w:r>
      <w:r w:rsidR="00C64050">
        <w:t xml:space="preserve"> </w:t>
      </w:r>
      <w:r w:rsidRPr="006076BD">
        <w:t>reported</w:t>
      </w:r>
      <w:r w:rsidR="00C64050">
        <w:t xml:space="preserve"> </w:t>
      </w:r>
      <w:r w:rsidRPr="006076BD">
        <w:t>on</w:t>
      </w:r>
      <w:r w:rsidR="00C64050">
        <w:t xml:space="preserve"> </w:t>
      </w:r>
      <w:r w:rsidRPr="006076BD">
        <w:t>the</w:t>
      </w:r>
      <w:r w:rsidR="00C64050">
        <w:t xml:space="preserve"> </w:t>
      </w:r>
      <w:r w:rsidRPr="006076BD">
        <w:t>Information</w:t>
      </w:r>
      <w:r w:rsidR="00C64050">
        <w:t xml:space="preserve"> </w:t>
      </w:r>
      <w:r w:rsidRPr="006076BD">
        <w:t>Return</w:t>
      </w:r>
      <w:r w:rsidR="00C64050">
        <w:t xml:space="preserve"> </w:t>
      </w:r>
      <w:r w:rsidRPr="006076BD">
        <w:t>and</w:t>
      </w:r>
      <w:r w:rsidR="00C64050">
        <w:t xml:space="preserve"> </w:t>
      </w:r>
      <w:r w:rsidRPr="006076BD">
        <w:t>one</w:t>
      </w:r>
      <w:r w:rsidR="00C64050">
        <w:t xml:space="preserve"> </w:t>
      </w:r>
      <w:r w:rsidRPr="006076BD">
        <w:t>or</w:t>
      </w:r>
      <w:r w:rsidR="00C64050">
        <w:t xml:space="preserve"> </w:t>
      </w:r>
      <w:r w:rsidRPr="006076BD">
        <w:t>more</w:t>
      </w:r>
      <w:r w:rsidR="00C64050">
        <w:t xml:space="preserve"> </w:t>
      </w:r>
      <w:r w:rsidRPr="006076BD">
        <w:t>Statements.</w:t>
      </w:r>
      <w:r w:rsidR="00C64050">
        <w:t xml:space="preserve"> </w:t>
      </w:r>
      <w:r w:rsidRPr="006076BD">
        <w:t>In</w:t>
      </w:r>
      <w:r w:rsidR="00C64050">
        <w:t xml:space="preserve"> </w:t>
      </w:r>
      <w:r w:rsidRPr="006076BD">
        <w:t>response,</w:t>
      </w:r>
      <w:r w:rsidR="00C64050">
        <w:t xml:space="preserve"> </w:t>
      </w:r>
      <w:r w:rsidRPr="006076BD">
        <w:t>proposed</w:t>
      </w:r>
      <w:r w:rsidR="00C64050">
        <w:t xml:space="preserve"> </w:t>
      </w:r>
      <w:r w:rsidRPr="006076BD">
        <w:t>§</w:t>
      </w:r>
      <w:r w:rsidR="00C64050">
        <w:t xml:space="preserve"> </w:t>
      </w:r>
      <w:r w:rsidRPr="006076BD">
        <w:t>1.6035-1(b)</w:t>
      </w:r>
      <w:r w:rsidR="00C64050">
        <w:t xml:space="preserve"> </w:t>
      </w:r>
      <w:r w:rsidRPr="006076BD">
        <w:t>defines</w:t>
      </w:r>
      <w:r w:rsidR="00C64050">
        <w:t xml:space="preserve"> </w:t>
      </w:r>
      <w:r w:rsidRPr="006076BD">
        <w:t>the</w:t>
      </w:r>
      <w:r w:rsidR="00C64050">
        <w:t xml:space="preserve"> </w:t>
      </w:r>
      <w:r w:rsidRPr="006076BD">
        <w:t>property</w:t>
      </w:r>
      <w:r w:rsidR="00C64050">
        <w:t xml:space="preserve"> </w:t>
      </w:r>
      <w:r w:rsidRPr="006076BD">
        <w:t>to</w:t>
      </w:r>
      <w:r w:rsidR="00C64050">
        <w:t xml:space="preserve"> </w:t>
      </w:r>
      <w:r w:rsidRPr="006076BD">
        <w:t>be</w:t>
      </w:r>
      <w:r w:rsidR="00C64050">
        <w:t xml:space="preserve"> </w:t>
      </w:r>
      <w:r w:rsidRPr="006076BD">
        <w:t>reported</w:t>
      </w:r>
      <w:r w:rsidR="00C64050">
        <w:t xml:space="preserve"> </w:t>
      </w:r>
      <w:r w:rsidRPr="006076BD">
        <w:t>on</w:t>
      </w:r>
      <w:r w:rsidR="00C64050">
        <w:t xml:space="preserve"> </w:t>
      </w:r>
      <w:r w:rsidRPr="006076BD">
        <w:t>an</w:t>
      </w:r>
      <w:r w:rsidR="00C64050">
        <w:t xml:space="preserve"> </w:t>
      </w:r>
      <w:r w:rsidRPr="006076BD">
        <w:t>Information</w:t>
      </w:r>
      <w:r w:rsidR="00C64050">
        <w:t xml:space="preserve"> </w:t>
      </w:r>
      <w:r w:rsidRPr="006076BD">
        <w:t>Return</w:t>
      </w:r>
      <w:r w:rsidR="00C64050">
        <w:t xml:space="preserve"> </w:t>
      </w:r>
      <w:r w:rsidRPr="006076BD">
        <w:t>and</w:t>
      </w:r>
      <w:r w:rsidR="00C64050">
        <w:t xml:space="preserve"> </w:t>
      </w:r>
      <w:r w:rsidRPr="006076BD">
        <w:t>Statement(s)</w:t>
      </w:r>
      <w:r w:rsidR="00C64050">
        <w:t xml:space="preserve"> </w:t>
      </w:r>
      <w:r w:rsidRPr="006076BD">
        <w:t>as</w:t>
      </w:r>
      <w:r w:rsidR="00C64050">
        <w:t xml:space="preserve"> </w:t>
      </w:r>
      <w:r w:rsidRPr="006076BD">
        <w:t>all</w:t>
      </w:r>
      <w:r w:rsidR="00C64050">
        <w:t xml:space="preserve"> </w:t>
      </w:r>
      <w:r w:rsidRPr="006076BD">
        <w:t>property</w:t>
      </w:r>
      <w:r w:rsidR="00C64050">
        <w:t xml:space="preserve"> </w:t>
      </w:r>
      <w:r w:rsidRPr="006076BD">
        <w:t>included</w:t>
      </w:r>
      <w:r w:rsidR="00C64050">
        <w:t xml:space="preserve"> </w:t>
      </w:r>
      <w:r w:rsidRPr="006076BD">
        <w:t>in</w:t>
      </w:r>
      <w:r w:rsidR="00C64050">
        <w:t xml:space="preserve"> </w:t>
      </w:r>
      <w:r w:rsidRPr="006076BD">
        <w:t>the</w:t>
      </w:r>
      <w:r w:rsidR="00C64050">
        <w:t xml:space="preserve"> </w:t>
      </w:r>
      <w:r w:rsidRPr="006076BD">
        <w:t>gross</w:t>
      </w:r>
      <w:r w:rsidR="00C64050">
        <w:t xml:space="preserve"> </w:t>
      </w:r>
      <w:r w:rsidRPr="006076BD">
        <w:t>estate</w:t>
      </w:r>
      <w:r w:rsidR="00C64050">
        <w:t xml:space="preserve"> </w:t>
      </w:r>
      <w:r w:rsidRPr="006076BD">
        <w:t>for</w:t>
      </w:r>
      <w:r w:rsidR="00C64050">
        <w:t xml:space="preserve"> </w:t>
      </w:r>
      <w:r w:rsidRPr="006076BD">
        <w:t>Federal</w:t>
      </w:r>
      <w:r w:rsidR="00C64050">
        <w:t xml:space="preserve"> </w:t>
      </w:r>
      <w:r w:rsidRPr="006076BD">
        <w:t>estate</w:t>
      </w:r>
      <w:r w:rsidR="00C64050">
        <w:t xml:space="preserve"> </w:t>
      </w:r>
      <w:r w:rsidRPr="006076BD">
        <w:t>tax</w:t>
      </w:r>
      <w:r w:rsidR="00C64050">
        <w:t xml:space="preserve"> </w:t>
      </w:r>
      <w:r w:rsidRPr="006076BD">
        <w:t>purposes</w:t>
      </w:r>
      <w:r w:rsidR="00C64050">
        <w:t xml:space="preserve"> </w:t>
      </w:r>
      <w:r w:rsidRPr="006076BD">
        <w:t>with</w:t>
      </w:r>
      <w:r w:rsidR="00C64050">
        <w:t xml:space="preserve"> </w:t>
      </w:r>
      <w:r w:rsidRPr="006076BD">
        <w:t>four</w:t>
      </w:r>
      <w:r w:rsidR="00C64050">
        <w:t xml:space="preserve"> </w:t>
      </w:r>
      <w:r w:rsidRPr="006076BD">
        <w:t>exceptions:</w:t>
      </w:r>
      <w:r w:rsidR="00C64050">
        <w:t xml:space="preserve"> </w:t>
      </w:r>
      <w:r w:rsidRPr="006076BD">
        <w:t>Cash</w:t>
      </w:r>
      <w:r w:rsidR="00C64050">
        <w:t xml:space="preserve"> </w:t>
      </w:r>
      <w:r w:rsidRPr="006076BD">
        <w:t>(other</w:t>
      </w:r>
      <w:r w:rsidR="00C64050">
        <w:t xml:space="preserve"> </w:t>
      </w:r>
      <w:r w:rsidRPr="006076BD">
        <w:t>than</w:t>
      </w:r>
      <w:r w:rsidR="00C64050">
        <w:t xml:space="preserve"> </w:t>
      </w:r>
      <w:r w:rsidRPr="006076BD">
        <w:t>coins</w:t>
      </w:r>
      <w:r w:rsidR="00C64050">
        <w:t xml:space="preserve"> </w:t>
      </w:r>
      <w:r w:rsidRPr="006076BD">
        <w:t>or</w:t>
      </w:r>
      <w:r w:rsidR="00C64050">
        <w:t xml:space="preserve"> </w:t>
      </w:r>
      <w:r w:rsidRPr="006076BD">
        <w:t>paper</w:t>
      </w:r>
      <w:r w:rsidR="00C64050">
        <w:t xml:space="preserve"> </w:t>
      </w:r>
      <w:r w:rsidRPr="006076BD">
        <w:t>bills</w:t>
      </w:r>
      <w:r w:rsidR="00C64050">
        <w:t xml:space="preserve"> </w:t>
      </w:r>
      <w:r w:rsidRPr="006076BD">
        <w:t>with</w:t>
      </w:r>
      <w:r w:rsidR="00C64050">
        <w:t xml:space="preserve"> </w:t>
      </w:r>
      <w:r w:rsidRPr="006076BD">
        <w:t>numismatic</w:t>
      </w:r>
      <w:r w:rsidR="00C64050">
        <w:t xml:space="preserve"> </w:t>
      </w:r>
      <w:r w:rsidRPr="006076BD">
        <w:t>value);</w:t>
      </w:r>
      <w:r w:rsidR="00C64050">
        <w:t xml:space="preserve"> </w:t>
      </w:r>
      <w:r w:rsidRPr="006076BD">
        <w:t>income</w:t>
      </w:r>
      <w:r w:rsidR="00C64050">
        <w:t xml:space="preserve"> </w:t>
      </w:r>
      <w:r w:rsidRPr="006076BD">
        <w:t>in</w:t>
      </w:r>
      <w:r w:rsidR="00C64050">
        <w:t xml:space="preserve"> </w:t>
      </w:r>
      <w:r w:rsidRPr="006076BD">
        <w:t>respect</w:t>
      </w:r>
      <w:r w:rsidR="00C64050">
        <w:t xml:space="preserve"> </w:t>
      </w:r>
      <w:r w:rsidRPr="006076BD">
        <w:t>of</w:t>
      </w:r>
      <w:r w:rsidR="00C64050">
        <w:t xml:space="preserve"> </w:t>
      </w:r>
      <w:r w:rsidRPr="006076BD">
        <w:t>a</w:t>
      </w:r>
      <w:r w:rsidR="00C64050">
        <w:t xml:space="preserve"> </w:t>
      </w:r>
      <w:r w:rsidRPr="006076BD">
        <w:t>decedent;</w:t>
      </w:r>
      <w:r w:rsidR="00C64050">
        <w:t xml:space="preserve"> </w:t>
      </w:r>
      <w:r w:rsidRPr="006076BD">
        <w:t>those</w:t>
      </w:r>
      <w:r w:rsidR="00C64050">
        <w:t xml:space="preserve"> </w:t>
      </w:r>
      <w:r w:rsidRPr="006076BD">
        <w:t>items</w:t>
      </w:r>
      <w:r w:rsidR="00C64050">
        <w:t xml:space="preserve"> </w:t>
      </w:r>
      <w:r w:rsidRPr="006076BD">
        <w:t>of</w:t>
      </w:r>
      <w:r w:rsidR="00C64050">
        <w:t xml:space="preserve"> </w:t>
      </w:r>
      <w:r w:rsidRPr="006076BD">
        <w:t>tangible</w:t>
      </w:r>
      <w:r w:rsidR="00C64050">
        <w:t xml:space="preserve"> </w:t>
      </w:r>
      <w:r w:rsidRPr="006076BD">
        <w:t>personal</w:t>
      </w:r>
      <w:r w:rsidR="00C64050">
        <w:t xml:space="preserve"> </w:t>
      </w:r>
      <w:r w:rsidRPr="006076BD">
        <w:t>property</w:t>
      </w:r>
      <w:r w:rsidR="00C64050">
        <w:t xml:space="preserve"> </w:t>
      </w:r>
      <w:r w:rsidRPr="006076BD">
        <w:t>for</w:t>
      </w:r>
      <w:r w:rsidR="00C64050">
        <w:t xml:space="preserve"> </w:t>
      </w:r>
      <w:r w:rsidRPr="006076BD">
        <w:t>which</w:t>
      </w:r>
      <w:r w:rsidR="00C64050">
        <w:t xml:space="preserve"> </w:t>
      </w:r>
      <w:r w:rsidRPr="006076BD">
        <w:t>an</w:t>
      </w:r>
      <w:r w:rsidR="00C64050">
        <w:t xml:space="preserve"> </w:t>
      </w:r>
      <w:r w:rsidRPr="006076BD">
        <w:t>appraisal</w:t>
      </w:r>
      <w:r w:rsidR="00C64050">
        <w:t xml:space="preserve"> </w:t>
      </w:r>
      <w:r w:rsidRPr="006076BD">
        <w:t>is</w:t>
      </w:r>
      <w:r w:rsidR="00C64050">
        <w:t xml:space="preserve"> </w:t>
      </w:r>
      <w:r w:rsidRPr="006076BD">
        <w:t>not</w:t>
      </w:r>
      <w:r w:rsidR="00C64050">
        <w:t xml:space="preserve"> </w:t>
      </w:r>
      <w:r w:rsidRPr="006076BD">
        <w:t>required</w:t>
      </w:r>
      <w:r w:rsidR="00C64050">
        <w:t xml:space="preserve"> </w:t>
      </w:r>
      <w:r w:rsidRPr="006076BD">
        <w:t>under</w:t>
      </w:r>
      <w:r w:rsidR="00C64050">
        <w:t xml:space="preserve"> </w:t>
      </w:r>
      <w:r w:rsidRPr="006076BD">
        <w:t>§</w:t>
      </w:r>
      <w:r w:rsidR="00C64050">
        <w:t xml:space="preserve"> </w:t>
      </w:r>
      <w:r w:rsidRPr="006076BD">
        <w:t>20.2031-6(b);</w:t>
      </w:r>
      <w:r w:rsidR="00C64050">
        <w:t xml:space="preserve"> </w:t>
      </w:r>
      <w:r w:rsidRPr="006076BD">
        <w:t>and</w:t>
      </w:r>
      <w:r w:rsidR="00C64050">
        <w:t xml:space="preserve"> </w:t>
      </w:r>
      <w:r w:rsidRPr="006076BD">
        <w:t>property</w:t>
      </w:r>
      <w:r w:rsidR="00C64050">
        <w:t xml:space="preserve"> </w:t>
      </w:r>
      <w:r w:rsidRPr="006076BD">
        <w:t>that</w:t>
      </w:r>
      <w:r w:rsidR="00C64050">
        <w:t xml:space="preserve"> </w:t>
      </w:r>
      <w:r w:rsidRPr="006076BD">
        <w:t>is</w:t>
      </w:r>
      <w:r w:rsidR="00C64050">
        <w:t xml:space="preserve"> </w:t>
      </w:r>
      <w:r w:rsidRPr="006076BD">
        <w:t>sold</w:t>
      </w:r>
      <w:r w:rsidR="00C64050">
        <w:t xml:space="preserve"> </w:t>
      </w:r>
      <w:r w:rsidRPr="006076BD">
        <w:t>or</w:t>
      </w:r>
      <w:r w:rsidR="00C64050">
        <w:t xml:space="preserve"> </w:t>
      </w:r>
      <w:r w:rsidRPr="006076BD">
        <w:t>otherwise</w:t>
      </w:r>
      <w:r w:rsidR="00C64050">
        <w:t xml:space="preserve"> </w:t>
      </w:r>
      <w:r w:rsidRPr="006076BD">
        <w:t>disposed</w:t>
      </w:r>
      <w:r w:rsidR="00C64050">
        <w:t xml:space="preserve"> </w:t>
      </w:r>
      <w:r w:rsidRPr="006076BD">
        <w:t>of</w:t>
      </w:r>
      <w:r w:rsidR="00C64050">
        <w:t xml:space="preserve"> </w:t>
      </w:r>
      <w:r w:rsidRPr="006076BD">
        <w:t>by</w:t>
      </w:r>
      <w:r w:rsidR="00C64050">
        <w:t xml:space="preserve"> </w:t>
      </w:r>
      <w:r w:rsidRPr="006076BD">
        <w:t>the</w:t>
      </w:r>
      <w:r w:rsidR="00C64050">
        <w:t xml:space="preserve"> </w:t>
      </w:r>
      <w:r w:rsidRPr="006076BD">
        <w:t>estate</w:t>
      </w:r>
      <w:r w:rsidR="00C64050">
        <w:t xml:space="preserve"> </w:t>
      </w:r>
      <w:r w:rsidRPr="006076BD">
        <w:t>(and</w:t>
      </w:r>
      <w:r w:rsidR="00C64050">
        <w:t xml:space="preserve"> </w:t>
      </w:r>
      <w:r w:rsidRPr="006076BD">
        <w:t>therefore</w:t>
      </w:r>
      <w:r w:rsidR="00C64050">
        <w:t xml:space="preserve"> </w:t>
      </w:r>
      <w:r w:rsidRPr="006076BD">
        <w:t>not</w:t>
      </w:r>
      <w:r w:rsidR="00C64050">
        <w:t xml:space="preserve"> </w:t>
      </w:r>
      <w:r w:rsidRPr="006076BD">
        <w:t>distributed</w:t>
      </w:r>
      <w:r w:rsidR="00C64050">
        <w:t xml:space="preserve"> </w:t>
      </w:r>
      <w:r w:rsidRPr="006076BD">
        <w:t>to</w:t>
      </w:r>
      <w:r w:rsidR="00C64050">
        <w:t xml:space="preserve"> </w:t>
      </w:r>
      <w:r w:rsidRPr="006076BD">
        <w:t>a</w:t>
      </w:r>
      <w:r w:rsidR="00C64050">
        <w:t xml:space="preserve"> </w:t>
      </w:r>
      <w:r w:rsidRPr="006076BD">
        <w:t>beneficiary)</w:t>
      </w:r>
      <w:r w:rsidR="00C64050">
        <w:t xml:space="preserve"> </w:t>
      </w:r>
      <w:r w:rsidRPr="006076BD">
        <w:t>in</w:t>
      </w:r>
      <w:r w:rsidR="00C64050">
        <w:t xml:space="preserve"> </w:t>
      </w:r>
      <w:r w:rsidRPr="006076BD">
        <w:t>a</w:t>
      </w:r>
      <w:r w:rsidR="00C64050">
        <w:t xml:space="preserve"> </w:t>
      </w:r>
      <w:r w:rsidRPr="006076BD">
        <w:t>transaction</w:t>
      </w:r>
      <w:r w:rsidR="00C64050">
        <w:t xml:space="preserve"> </w:t>
      </w:r>
      <w:r w:rsidRPr="006076BD">
        <w:t>in</w:t>
      </w:r>
      <w:r w:rsidR="00C64050">
        <w:t xml:space="preserve"> </w:t>
      </w:r>
      <w:r w:rsidRPr="006076BD">
        <w:t>which</w:t>
      </w:r>
      <w:r w:rsidR="00C64050">
        <w:t xml:space="preserve"> </w:t>
      </w:r>
      <w:r w:rsidRPr="006076BD">
        <w:t>capital</w:t>
      </w:r>
      <w:r w:rsidR="00C64050">
        <w:t xml:space="preserve"> </w:t>
      </w:r>
      <w:r w:rsidRPr="006076BD">
        <w:t>gain</w:t>
      </w:r>
      <w:r w:rsidR="00C64050">
        <w:t xml:space="preserve"> </w:t>
      </w:r>
      <w:r w:rsidRPr="006076BD">
        <w:t>or</w:t>
      </w:r>
      <w:r w:rsidR="00C64050">
        <w:t xml:space="preserve"> </w:t>
      </w:r>
      <w:r w:rsidRPr="006076BD">
        <w:t>loss</w:t>
      </w:r>
      <w:r w:rsidR="00C64050">
        <w:t xml:space="preserve"> </w:t>
      </w:r>
      <w:r w:rsidRPr="006076BD">
        <w:t>is</w:t>
      </w:r>
      <w:r w:rsidR="00C64050">
        <w:t xml:space="preserve"> </w:t>
      </w:r>
      <w:r w:rsidRPr="006076BD">
        <w:t>recognized.</w:t>
      </w:r>
    </w:p>
    <w:p w:rsidR="00465BBA" w:rsidRPr="006076BD" w:rsidRDefault="00465BBA" w:rsidP="006076BD">
      <w:pPr>
        <w:pStyle w:val="QS10"/>
      </w:pPr>
      <w:r w:rsidRPr="006076BD">
        <w:t>10.</w:t>
      </w:r>
      <w:r w:rsidR="00C64050">
        <w:t xml:space="preserve"> </w:t>
      </w:r>
      <w:r w:rsidRPr="006076BD">
        <w:t>Beneficiaries</w:t>
      </w:r>
      <w:r w:rsidR="00C64050">
        <w:t xml:space="preserve"> </w:t>
      </w:r>
    </w:p>
    <w:p w:rsidR="00465BBA" w:rsidRPr="006076BD" w:rsidRDefault="00465BBA" w:rsidP="006076BD">
      <w:pPr>
        <w:pStyle w:val="QS10"/>
      </w:pPr>
      <w:r w:rsidRPr="006076BD">
        <w:t>Proposed</w:t>
      </w:r>
      <w:r w:rsidR="00C64050">
        <w:t xml:space="preserve"> </w:t>
      </w:r>
      <w:r w:rsidRPr="006076BD">
        <w:t>§</w:t>
      </w:r>
      <w:r w:rsidR="00C64050">
        <w:t xml:space="preserve"> </w:t>
      </w:r>
      <w:r w:rsidRPr="006076BD">
        <w:t>1.6035-1(c)(1)</w:t>
      </w:r>
      <w:r w:rsidR="00C64050">
        <w:t xml:space="preserve"> </w:t>
      </w:r>
      <w:r w:rsidRPr="006076BD">
        <w:t>provides</w:t>
      </w:r>
      <w:r w:rsidR="00C64050">
        <w:t xml:space="preserve"> </w:t>
      </w:r>
      <w:r w:rsidRPr="006076BD">
        <w:t>that</w:t>
      </w:r>
      <w:r w:rsidR="00C64050">
        <w:t xml:space="preserve"> </w:t>
      </w:r>
      <w:r w:rsidRPr="006076BD">
        <w:t>each</w:t>
      </w:r>
      <w:r w:rsidR="00C64050">
        <w:t xml:space="preserve"> </w:t>
      </w:r>
      <w:r w:rsidRPr="006076BD">
        <w:t>beneficiary</w:t>
      </w:r>
      <w:r w:rsidR="00C64050">
        <w:t xml:space="preserve"> </w:t>
      </w:r>
      <w:r w:rsidRPr="006076BD">
        <w:t>(including</w:t>
      </w:r>
      <w:r w:rsidR="00C64050">
        <w:t xml:space="preserve"> </w:t>
      </w:r>
      <w:r w:rsidRPr="006076BD">
        <w:t>a</w:t>
      </w:r>
      <w:r w:rsidR="00C64050">
        <w:t xml:space="preserve"> </w:t>
      </w:r>
      <w:r w:rsidRPr="006076BD">
        <w:t>beneficiary</w:t>
      </w:r>
      <w:r w:rsidR="00C64050">
        <w:t xml:space="preserve"> </w:t>
      </w:r>
      <w:r w:rsidRPr="006076BD">
        <w:t>who</w:t>
      </w:r>
      <w:r w:rsidR="00C64050">
        <w:t xml:space="preserve"> </w:t>
      </w:r>
      <w:r w:rsidRPr="006076BD">
        <w:t>is</w:t>
      </w:r>
      <w:r w:rsidR="00C64050">
        <w:t xml:space="preserve"> </w:t>
      </w:r>
      <w:r w:rsidRPr="006076BD">
        <w:t>also</w:t>
      </w:r>
      <w:r w:rsidR="00C64050">
        <w:t xml:space="preserve"> </w:t>
      </w:r>
      <w:r w:rsidRPr="006076BD">
        <w:t>the</w:t>
      </w:r>
      <w:r w:rsidR="00C64050">
        <w:t xml:space="preserve"> </w:t>
      </w:r>
      <w:r w:rsidRPr="006076BD">
        <w:t>executor</w:t>
      </w:r>
      <w:r w:rsidR="00C64050">
        <w:t xml:space="preserve"> </w:t>
      </w:r>
      <w:r w:rsidRPr="006076BD">
        <w:t>of</w:t>
      </w:r>
      <w:r w:rsidR="00C64050">
        <w:t xml:space="preserve"> </w:t>
      </w:r>
      <w:r w:rsidRPr="006076BD">
        <w:t>the</w:t>
      </w:r>
      <w:r w:rsidR="00C64050">
        <w:t xml:space="preserve"> </w:t>
      </w:r>
      <w:r w:rsidRPr="006076BD">
        <w:t>estate)</w:t>
      </w:r>
      <w:r w:rsidR="00C64050">
        <w:t xml:space="preserve"> </w:t>
      </w:r>
      <w:r w:rsidRPr="006076BD">
        <w:t>who</w:t>
      </w:r>
      <w:r w:rsidR="00C64050">
        <w:t xml:space="preserve"> </w:t>
      </w:r>
      <w:r w:rsidRPr="006076BD">
        <w:t>receives</w:t>
      </w:r>
      <w:r w:rsidR="00C64050">
        <w:t xml:space="preserve"> </w:t>
      </w:r>
      <w:r w:rsidRPr="006076BD">
        <w:t>property</w:t>
      </w:r>
      <w:r w:rsidR="00C64050">
        <w:t xml:space="preserve"> </w:t>
      </w:r>
      <w:r w:rsidRPr="006076BD">
        <w:t>to</w:t>
      </w:r>
      <w:r w:rsidR="00C64050">
        <w:t xml:space="preserve"> </w:t>
      </w:r>
      <w:r w:rsidRPr="006076BD">
        <w:t>be</w:t>
      </w:r>
      <w:r w:rsidR="00C64050">
        <w:t xml:space="preserve"> </w:t>
      </w:r>
      <w:r w:rsidRPr="006076BD">
        <w:t>reported</w:t>
      </w:r>
      <w:r w:rsidR="00C64050">
        <w:t xml:space="preserve"> </w:t>
      </w:r>
      <w:r w:rsidRPr="006076BD">
        <w:t>on</w:t>
      </w:r>
      <w:r w:rsidR="00C64050">
        <w:t xml:space="preserve"> </w:t>
      </w:r>
      <w:r w:rsidRPr="006076BD">
        <w:t>the</w:t>
      </w:r>
      <w:r w:rsidR="00C64050">
        <w:t xml:space="preserve"> </w:t>
      </w:r>
      <w:r w:rsidRPr="006076BD">
        <w:t>estate's</w:t>
      </w:r>
      <w:r w:rsidR="00C64050">
        <w:t xml:space="preserve"> </w:t>
      </w:r>
      <w:r w:rsidRPr="006076BD">
        <w:t>Information</w:t>
      </w:r>
      <w:r w:rsidR="00C64050">
        <w:t xml:space="preserve"> </w:t>
      </w:r>
      <w:r w:rsidRPr="006076BD">
        <w:t>Return</w:t>
      </w:r>
      <w:r w:rsidR="00C64050">
        <w:t xml:space="preserve"> </w:t>
      </w:r>
      <w:r w:rsidRPr="006076BD">
        <w:t>must</w:t>
      </w:r>
      <w:r w:rsidR="00C64050">
        <w:t xml:space="preserve"> </w:t>
      </w:r>
      <w:r w:rsidRPr="006076BD">
        <w:t>receive</w:t>
      </w:r>
      <w:r w:rsidR="00C64050">
        <w:t xml:space="preserve"> </w:t>
      </w:r>
      <w:r w:rsidRPr="006076BD">
        <w:t>a</w:t>
      </w:r>
      <w:r w:rsidR="00C64050">
        <w:t xml:space="preserve"> </w:t>
      </w:r>
      <w:r w:rsidRPr="006076BD">
        <w:t>copy</w:t>
      </w:r>
      <w:r w:rsidR="00C64050">
        <w:t xml:space="preserve"> </w:t>
      </w:r>
      <w:r w:rsidRPr="006076BD">
        <w:t>of</w:t>
      </w:r>
      <w:r w:rsidR="00C64050">
        <w:t xml:space="preserve"> </w:t>
      </w:r>
      <w:r w:rsidRPr="006076BD">
        <w:t>the</w:t>
      </w:r>
      <w:r w:rsidR="00C64050">
        <w:t xml:space="preserve"> </w:t>
      </w:r>
      <w:r w:rsidRPr="006076BD">
        <w:t>Statement</w:t>
      </w:r>
      <w:r w:rsidR="00C64050">
        <w:t xml:space="preserve"> </w:t>
      </w:r>
      <w:r w:rsidRPr="006076BD">
        <w:t>reporting</w:t>
      </w:r>
      <w:r w:rsidR="00C64050">
        <w:t xml:space="preserve"> </w:t>
      </w:r>
      <w:r w:rsidRPr="006076BD">
        <w:t>the</w:t>
      </w:r>
      <w:r w:rsidR="00C64050">
        <w:t xml:space="preserve"> </w:t>
      </w:r>
      <w:r w:rsidRPr="006076BD">
        <w:t>property</w:t>
      </w:r>
      <w:r w:rsidR="00C64050">
        <w:t xml:space="preserve"> </w:t>
      </w:r>
      <w:r w:rsidRPr="006076BD">
        <w:t>distributable</w:t>
      </w:r>
      <w:r w:rsidR="00C64050">
        <w:t xml:space="preserve"> </w:t>
      </w:r>
      <w:r w:rsidRPr="006076BD">
        <w:t>to</w:t>
      </w:r>
      <w:r w:rsidR="00C64050">
        <w:t xml:space="preserve"> </w:t>
      </w:r>
      <w:r w:rsidRPr="006076BD">
        <w:t>that</w:t>
      </w:r>
      <w:r w:rsidR="00C64050">
        <w:t xml:space="preserve"> </w:t>
      </w:r>
      <w:r w:rsidRPr="006076BD">
        <w:t>beneficiary.</w:t>
      </w:r>
      <w:r w:rsidR="00C64050">
        <w:t xml:space="preserve"> </w:t>
      </w:r>
      <w:r w:rsidRPr="006076BD">
        <w:t>Proposed</w:t>
      </w:r>
      <w:r w:rsidR="00C64050">
        <w:t xml:space="preserve"> </w:t>
      </w:r>
      <w:r w:rsidRPr="006076BD">
        <w:t>§</w:t>
      </w:r>
      <w:r w:rsidR="00C64050">
        <w:t xml:space="preserve"> </w:t>
      </w:r>
      <w:r w:rsidRPr="006076BD">
        <w:t>1.6035-1(c)(2)</w:t>
      </w:r>
      <w:r w:rsidR="00C64050">
        <w:t xml:space="preserve"> </w:t>
      </w:r>
      <w:r w:rsidRPr="006076BD">
        <w:t>provides</w:t>
      </w:r>
      <w:r w:rsidR="00C64050">
        <w:t xml:space="preserve"> </w:t>
      </w:r>
      <w:r w:rsidRPr="006076BD">
        <w:t>that,</w:t>
      </w:r>
      <w:r w:rsidR="00C64050">
        <w:t xml:space="preserve"> </w:t>
      </w:r>
      <w:r w:rsidRPr="006076BD">
        <w:t>if</w:t>
      </w:r>
      <w:r w:rsidR="00C64050">
        <w:t xml:space="preserve"> </w:t>
      </w:r>
      <w:r w:rsidRPr="006076BD">
        <w:t>the</w:t>
      </w:r>
      <w:r w:rsidR="00C64050">
        <w:t xml:space="preserve"> </w:t>
      </w:r>
      <w:r w:rsidRPr="006076BD">
        <w:t>beneficiary</w:t>
      </w:r>
      <w:r w:rsidR="00C64050">
        <w:t xml:space="preserve"> </w:t>
      </w:r>
      <w:r w:rsidRPr="006076BD">
        <w:t>is</w:t>
      </w:r>
      <w:r w:rsidR="00C64050">
        <w:t xml:space="preserve"> </w:t>
      </w:r>
      <w:r w:rsidRPr="006076BD">
        <w:t>a</w:t>
      </w:r>
      <w:r w:rsidR="00C64050">
        <w:t xml:space="preserve"> </w:t>
      </w:r>
      <w:r w:rsidRPr="006076BD">
        <w:t>trust,</w:t>
      </w:r>
      <w:r w:rsidR="00C64050">
        <w:t xml:space="preserve"> </w:t>
      </w:r>
      <w:r w:rsidRPr="006076BD">
        <w:t>estate,</w:t>
      </w:r>
      <w:r w:rsidR="00C64050">
        <w:t xml:space="preserve"> </w:t>
      </w:r>
      <w:r w:rsidRPr="006076BD">
        <w:t>or</w:t>
      </w:r>
      <w:r w:rsidR="00C64050">
        <w:t xml:space="preserve"> </w:t>
      </w:r>
      <w:r w:rsidRPr="006076BD">
        <w:t>business</w:t>
      </w:r>
      <w:r w:rsidR="00C64050">
        <w:t xml:space="preserve"> </w:t>
      </w:r>
      <w:r w:rsidRPr="006076BD">
        <w:t>entity</w:t>
      </w:r>
      <w:r w:rsidR="00C64050">
        <w:t xml:space="preserve"> </w:t>
      </w:r>
      <w:r w:rsidRPr="006076BD">
        <w:t>instead</w:t>
      </w:r>
      <w:r w:rsidR="00C64050">
        <w:t xml:space="preserve"> </w:t>
      </w:r>
      <w:r w:rsidRPr="006076BD">
        <w:t>of</w:t>
      </w:r>
      <w:r w:rsidR="00C64050">
        <w:t xml:space="preserve"> </w:t>
      </w:r>
      <w:r w:rsidRPr="006076BD">
        <w:t>an</w:t>
      </w:r>
      <w:r w:rsidR="00C64050">
        <w:t xml:space="preserve"> </w:t>
      </w:r>
      <w:r w:rsidRPr="006076BD">
        <w:t>individual,</w:t>
      </w:r>
      <w:r w:rsidR="00C64050">
        <w:t xml:space="preserve"> </w:t>
      </w:r>
      <w:r w:rsidRPr="006076BD">
        <w:t>the</w:t>
      </w:r>
      <w:r w:rsidR="00C64050">
        <w:t xml:space="preserve"> </w:t>
      </w:r>
      <w:r w:rsidRPr="006076BD">
        <w:t>executor</w:t>
      </w:r>
      <w:r w:rsidR="00C64050">
        <w:t xml:space="preserve"> </w:t>
      </w:r>
      <w:r w:rsidRPr="006076BD">
        <w:t>is</w:t>
      </w:r>
      <w:r w:rsidR="00C64050">
        <w:t xml:space="preserve"> </w:t>
      </w:r>
      <w:r w:rsidRPr="006076BD">
        <w:t>to</w:t>
      </w:r>
      <w:r w:rsidR="00C64050">
        <w:t xml:space="preserve"> </w:t>
      </w:r>
      <w:r w:rsidRPr="006076BD">
        <w:t>furnish</w:t>
      </w:r>
      <w:r w:rsidR="00C64050">
        <w:t xml:space="preserve"> </w:t>
      </w:r>
      <w:r w:rsidRPr="006076BD">
        <w:t>the</w:t>
      </w:r>
      <w:r w:rsidR="00C64050">
        <w:t xml:space="preserve"> </w:t>
      </w:r>
      <w:r w:rsidRPr="006076BD">
        <w:t>entity's</w:t>
      </w:r>
      <w:r w:rsidR="00C64050">
        <w:t xml:space="preserve"> </w:t>
      </w:r>
      <w:r w:rsidRPr="006076BD">
        <w:t>Statement</w:t>
      </w:r>
      <w:r w:rsidR="00C64050">
        <w:t xml:space="preserve"> </w:t>
      </w:r>
      <w:r w:rsidRPr="006076BD">
        <w:t>to</w:t>
      </w:r>
      <w:r w:rsidR="00C64050">
        <w:t xml:space="preserve"> </w:t>
      </w:r>
      <w:r w:rsidRPr="006076BD">
        <w:t>the</w:t>
      </w:r>
      <w:r w:rsidR="00C64050">
        <w:t xml:space="preserve"> </w:t>
      </w:r>
      <w:r w:rsidRPr="006076BD">
        <w:t>trustee,</w:t>
      </w:r>
      <w:r w:rsidR="00C64050">
        <w:t xml:space="preserve"> </w:t>
      </w:r>
      <w:r w:rsidRPr="006076BD">
        <w:t>executor,</w:t>
      </w:r>
      <w:r w:rsidR="00C64050">
        <w:t xml:space="preserve"> </w:t>
      </w:r>
      <w:r w:rsidRPr="006076BD">
        <w:t>or</w:t>
      </w:r>
      <w:r w:rsidR="00C64050">
        <w:t xml:space="preserve"> </w:t>
      </w:r>
      <w:r w:rsidRPr="006076BD">
        <w:t>to</w:t>
      </w:r>
      <w:r w:rsidR="00C64050">
        <w:t xml:space="preserve"> </w:t>
      </w:r>
      <w:r w:rsidRPr="006076BD">
        <w:t>the</w:t>
      </w:r>
      <w:r w:rsidR="00C64050">
        <w:t xml:space="preserve"> </w:t>
      </w:r>
      <w:r w:rsidRPr="006076BD">
        <w:t>business</w:t>
      </w:r>
      <w:r w:rsidR="00C64050">
        <w:t xml:space="preserve"> </w:t>
      </w:r>
      <w:r w:rsidRPr="006076BD">
        <w:t>entity</w:t>
      </w:r>
      <w:r w:rsidR="00C64050">
        <w:t xml:space="preserve"> </w:t>
      </w:r>
      <w:r w:rsidRPr="006076BD">
        <w:t>itself,</w:t>
      </w:r>
      <w:r w:rsidR="00C64050">
        <w:t xml:space="preserve"> </w:t>
      </w:r>
      <w:r w:rsidRPr="006076BD">
        <w:t>and</w:t>
      </w:r>
      <w:r w:rsidR="00C64050">
        <w:t xml:space="preserve"> </w:t>
      </w:r>
      <w:r w:rsidRPr="006076BD">
        <w:t>not</w:t>
      </w:r>
      <w:r w:rsidR="00C64050">
        <w:t xml:space="preserve"> </w:t>
      </w:r>
      <w:r w:rsidRPr="006076BD">
        <w:t>to</w:t>
      </w:r>
      <w:r w:rsidR="00C64050">
        <w:t xml:space="preserve"> </w:t>
      </w:r>
      <w:r w:rsidRPr="006076BD">
        <w:t>the</w:t>
      </w:r>
      <w:r w:rsidR="00C64050">
        <w:t xml:space="preserve"> </w:t>
      </w:r>
      <w:r w:rsidRPr="006076BD">
        <w:t>beneficiaries</w:t>
      </w:r>
      <w:r w:rsidR="00C64050">
        <w:t xml:space="preserve"> </w:t>
      </w:r>
      <w:r w:rsidRPr="006076BD">
        <w:t>of</w:t>
      </w:r>
      <w:r w:rsidR="00C64050">
        <w:t xml:space="preserve"> </w:t>
      </w:r>
      <w:r w:rsidRPr="006076BD">
        <w:t>the</w:t>
      </w:r>
      <w:r w:rsidR="00C64050">
        <w:t xml:space="preserve"> </w:t>
      </w:r>
      <w:r w:rsidRPr="006076BD">
        <w:t>trust</w:t>
      </w:r>
      <w:r w:rsidR="00C64050">
        <w:t xml:space="preserve"> </w:t>
      </w:r>
      <w:r w:rsidRPr="006076BD">
        <w:t>or</w:t>
      </w:r>
      <w:r w:rsidR="00C64050">
        <w:t xml:space="preserve"> </w:t>
      </w:r>
      <w:r w:rsidRPr="006076BD">
        <w:t>estate</w:t>
      </w:r>
      <w:r w:rsidR="00C64050">
        <w:t xml:space="preserve"> </w:t>
      </w:r>
      <w:r w:rsidRPr="006076BD">
        <w:t>or</w:t>
      </w:r>
      <w:r w:rsidR="00C64050">
        <w:t xml:space="preserve"> </w:t>
      </w:r>
      <w:r w:rsidRPr="006076BD">
        <w:t>to</w:t>
      </w:r>
      <w:r w:rsidR="00C64050">
        <w:t xml:space="preserve"> </w:t>
      </w:r>
      <w:r w:rsidRPr="006076BD">
        <w:t>the</w:t>
      </w:r>
      <w:r w:rsidR="00C64050">
        <w:t xml:space="preserve"> </w:t>
      </w:r>
      <w:r w:rsidRPr="006076BD">
        <w:t>owners</w:t>
      </w:r>
      <w:r w:rsidR="00C64050">
        <w:t xml:space="preserve"> </w:t>
      </w:r>
      <w:r w:rsidRPr="006076BD">
        <w:t>of</w:t>
      </w:r>
      <w:r w:rsidR="00C64050">
        <w:t xml:space="preserve"> </w:t>
      </w:r>
      <w:r w:rsidRPr="006076BD">
        <w:t>the</w:t>
      </w:r>
      <w:r w:rsidR="00C64050">
        <w:t xml:space="preserve"> </w:t>
      </w:r>
      <w:r w:rsidRPr="006076BD">
        <w:t>business</w:t>
      </w:r>
      <w:r w:rsidR="00C64050">
        <w:t xml:space="preserve"> </w:t>
      </w:r>
      <w:r w:rsidRPr="006076BD">
        <w:t>entity.</w:t>
      </w:r>
    </w:p>
    <w:p w:rsidR="007909BB" w:rsidRDefault="00B52AA7" w:rsidP="007909BB">
      <w:pPr>
        <w:pStyle w:val="QS10"/>
        <w:jc w:val="center"/>
      </w:pPr>
      <w:r>
        <w:t>***</w:t>
      </w:r>
    </w:p>
    <w:p w:rsidR="00465BBA" w:rsidRPr="006076BD" w:rsidRDefault="00465BBA" w:rsidP="006076BD">
      <w:pPr>
        <w:pStyle w:val="QS10"/>
      </w:pPr>
      <w:r w:rsidRPr="006076BD">
        <w:t>Proposed</w:t>
      </w:r>
      <w:r w:rsidR="00C64050">
        <w:t xml:space="preserve"> </w:t>
      </w:r>
      <w:r w:rsidRPr="006076BD">
        <w:t>§</w:t>
      </w:r>
      <w:r w:rsidR="00C64050">
        <w:t xml:space="preserve"> </w:t>
      </w:r>
      <w:r w:rsidRPr="006076BD">
        <w:t>1.6035-1(c)(4)</w:t>
      </w:r>
      <w:r w:rsidR="00C64050">
        <w:t xml:space="preserve"> </w:t>
      </w:r>
      <w:r w:rsidRPr="006076BD">
        <w:t>provides</w:t>
      </w:r>
      <w:r w:rsidR="00C64050">
        <w:t xml:space="preserve"> </w:t>
      </w:r>
      <w:r w:rsidRPr="006076BD">
        <w:t>that,</w:t>
      </w:r>
      <w:r w:rsidR="00C64050">
        <w:t xml:space="preserve"> </w:t>
      </w:r>
      <w:r w:rsidRPr="006076BD">
        <w:t>if</w:t>
      </w:r>
      <w:r w:rsidR="00C64050">
        <w:t xml:space="preserve"> </w:t>
      </w:r>
      <w:r w:rsidRPr="006076BD">
        <w:t>the</w:t>
      </w:r>
      <w:r w:rsidR="00C64050">
        <w:t xml:space="preserve"> </w:t>
      </w:r>
      <w:r w:rsidRPr="006076BD">
        <w:t>executor</w:t>
      </w:r>
      <w:r w:rsidR="00C64050">
        <w:t xml:space="preserve"> </w:t>
      </w:r>
      <w:r w:rsidRPr="006076BD">
        <w:t>is</w:t>
      </w:r>
      <w:r w:rsidR="00C64050">
        <w:t xml:space="preserve"> </w:t>
      </w:r>
      <w:r w:rsidRPr="006076BD">
        <w:t>unable</w:t>
      </w:r>
      <w:r w:rsidR="00C64050">
        <w:t xml:space="preserve"> </w:t>
      </w:r>
      <w:r w:rsidRPr="006076BD">
        <w:t>to</w:t>
      </w:r>
      <w:r w:rsidR="00C64050">
        <w:t xml:space="preserve"> </w:t>
      </w:r>
      <w:r w:rsidRPr="006076BD">
        <w:t>locate</w:t>
      </w:r>
      <w:r w:rsidR="00C64050">
        <w:t xml:space="preserve"> </w:t>
      </w:r>
      <w:r w:rsidRPr="006076BD">
        <w:t>a</w:t>
      </w:r>
      <w:r w:rsidR="00C64050">
        <w:t xml:space="preserve"> </w:t>
      </w:r>
      <w:r w:rsidRPr="006076BD">
        <w:t>beneficiary</w:t>
      </w:r>
      <w:r w:rsidR="00C64050">
        <w:t xml:space="preserve"> </w:t>
      </w:r>
      <w:r w:rsidRPr="006076BD">
        <w:t>by</w:t>
      </w:r>
      <w:r w:rsidR="00C64050">
        <w:t xml:space="preserve"> </w:t>
      </w:r>
      <w:r w:rsidRPr="006076BD">
        <w:t>the</w:t>
      </w:r>
      <w:r w:rsidR="00C64050">
        <w:t xml:space="preserve"> </w:t>
      </w:r>
      <w:r w:rsidRPr="006076BD">
        <w:t>due</w:t>
      </w:r>
      <w:r w:rsidR="00C64050">
        <w:t xml:space="preserve"> </w:t>
      </w:r>
      <w:r w:rsidRPr="006076BD">
        <w:t>date</w:t>
      </w:r>
      <w:r w:rsidR="00C64050">
        <w:t xml:space="preserve"> </w:t>
      </w:r>
      <w:r w:rsidRPr="006076BD">
        <w:t>of</w:t>
      </w:r>
      <w:r w:rsidR="00C64050">
        <w:t xml:space="preserve"> </w:t>
      </w:r>
      <w:r w:rsidRPr="006076BD">
        <w:t>the</w:t>
      </w:r>
      <w:r w:rsidR="00C64050">
        <w:t xml:space="preserve"> </w:t>
      </w:r>
      <w:r w:rsidRPr="006076BD">
        <w:t>Information</w:t>
      </w:r>
      <w:r w:rsidR="00C64050">
        <w:t xml:space="preserve"> </w:t>
      </w:r>
      <w:r w:rsidRPr="006076BD">
        <w:t>Return,</w:t>
      </w:r>
      <w:r w:rsidR="00C64050">
        <w:t xml:space="preserve"> </w:t>
      </w:r>
      <w:r w:rsidRPr="006076BD">
        <w:t>the</w:t>
      </w:r>
      <w:r w:rsidR="00C64050">
        <w:t xml:space="preserve"> </w:t>
      </w:r>
      <w:r w:rsidRPr="006076BD">
        <w:t>executor</w:t>
      </w:r>
      <w:r w:rsidR="00C64050">
        <w:t xml:space="preserve"> </w:t>
      </w:r>
      <w:r w:rsidRPr="006076BD">
        <w:t>is</w:t>
      </w:r>
      <w:r w:rsidR="00C64050">
        <w:t xml:space="preserve"> </w:t>
      </w:r>
      <w:r w:rsidRPr="006076BD">
        <w:t>required</w:t>
      </w:r>
      <w:r w:rsidR="00C64050">
        <w:t xml:space="preserve"> </w:t>
      </w:r>
      <w:r w:rsidRPr="006076BD">
        <w:t>to</w:t>
      </w:r>
      <w:r w:rsidR="00C64050">
        <w:t xml:space="preserve"> </w:t>
      </w:r>
      <w:r w:rsidRPr="006076BD">
        <w:t>report</w:t>
      </w:r>
      <w:r w:rsidR="00C64050">
        <w:t xml:space="preserve"> </w:t>
      </w:r>
      <w:r w:rsidRPr="006076BD">
        <w:t>that</w:t>
      </w:r>
      <w:r w:rsidR="00C64050">
        <w:t xml:space="preserve"> </w:t>
      </w:r>
      <w:r w:rsidRPr="006076BD">
        <w:t>on</w:t>
      </w:r>
      <w:r w:rsidR="00C64050">
        <w:t xml:space="preserve"> </w:t>
      </w:r>
      <w:r w:rsidRPr="006076BD">
        <w:t>that</w:t>
      </w:r>
      <w:r w:rsidR="00C64050">
        <w:t xml:space="preserve"> </w:t>
      </w:r>
      <w:r w:rsidRPr="006076BD">
        <w:t>Information</w:t>
      </w:r>
      <w:r w:rsidR="00C64050">
        <w:t xml:space="preserve"> </w:t>
      </w:r>
      <w:r w:rsidRPr="006076BD">
        <w:t>Return</w:t>
      </w:r>
      <w:r w:rsidR="00C64050">
        <w:t xml:space="preserve"> </w:t>
      </w:r>
      <w:r w:rsidRPr="006076BD">
        <w:t>and</w:t>
      </w:r>
      <w:r w:rsidR="00C64050">
        <w:t xml:space="preserve"> </w:t>
      </w:r>
      <w:r w:rsidRPr="006076BD">
        <w:t>explain</w:t>
      </w:r>
      <w:r w:rsidR="00C64050">
        <w:t xml:space="preserve"> </w:t>
      </w:r>
      <w:r w:rsidRPr="006076BD">
        <w:t>the</w:t>
      </w:r>
      <w:r w:rsidR="00C64050">
        <w:t xml:space="preserve"> </w:t>
      </w:r>
      <w:r w:rsidRPr="006076BD">
        <w:t>efforts</w:t>
      </w:r>
      <w:r w:rsidR="00C64050">
        <w:t xml:space="preserve"> </w:t>
      </w:r>
      <w:r w:rsidRPr="006076BD">
        <w:t>taken</w:t>
      </w:r>
      <w:r w:rsidR="00C64050">
        <w:t xml:space="preserve"> </w:t>
      </w:r>
      <w:r w:rsidRPr="006076BD">
        <w:t>to</w:t>
      </w:r>
      <w:r w:rsidR="00C64050">
        <w:t xml:space="preserve"> </w:t>
      </w:r>
      <w:r w:rsidRPr="006076BD">
        <w:t>locate</w:t>
      </w:r>
      <w:r w:rsidR="00C64050">
        <w:t xml:space="preserve"> </w:t>
      </w:r>
      <w:r w:rsidRPr="006076BD">
        <w:t>the</w:t>
      </w:r>
      <w:r w:rsidR="00C64050">
        <w:t xml:space="preserve"> </w:t>
      </w:r>
      <w:r w:rsidRPr="006076BD">
        <w:t>beneficiary.</w:t>
      </w:r>
      <w:r w:rsidR="00C64050">
        <w:t xml:space="preserve"> </w:t>
      </w:r>
      <w:r w:rsidRPr="006076BD">
        <w:t>If</w:t>
      </w:r>
      <w:r w:rsidR="00C64050">
        <w:t xml:space="preserve"> </w:t>
      </w:r>
      <w:r w:rsidRPr="006076BD">
        <w:t>the</w:t>
      </w:r>
      <w:r w:rsidR="00C64050">
        <w:t xml:space="preserve"> </w:t>
      </w:r>
      <w:r w:rsidRPr="006076BD">
        <w:t>executor</w:t>
      </w:r>
      <w:r w:rsidR="00C64050">
        <w:t xml:space="preserve"> </w:t>
      </w:r>
      <w:r w:rsidRPr="006076BD">
        <w:t>subsequently</w:t>
      </w:r>
      <w:r w:rsidR="00C64050">
        <w:t xml:space="preserve"> </w:t>
      </w:r>
      <w:r w:rsidRPr="006076BD">
        <w:t>locates</w:t>
      </w:r>
      <w:r w:rsidR="00C64050">
        <w:t xml:space="preserve"> </w:t>
      </w:r>
      <w:r w:rsidRPr="006076BD">
        <w:t>the</w:t>
      </w:r>
      <w:r w:rsidR="00C64050">
        <w:t xml:space="preserve"> </w:t>
      </w:r>
      <w:r w:rsidRPr="006076BD">
        <w:t>beneficiary,</w:t>
      </w:r>
      <w:r w:rsidR="00C64050">
        <w:t xml:space="preserve"> </w:t>
      </w:r>
      <w:r w:rsidRPr="006076BD">
        <w:t>the</w:t>
      </w:r>
      <w:r w:rsidR="00C64050">
        <w:t xml:space="preserve"> </w:t>
      </w:r>
      <w:r w:rsidRPr="006076BD">
        <w:t>executor</w:t>
      </w:r>
      <w:r w:rsidR="00C64050">
        <w:t xml:space="preserve"> </w:t>
      </w:r>
      <w:r w:rsidRPr="006076BD">
        <w:t>is</w:t>
      </w:r>
      <w:r w:rsidR="00C64050">
        <w:t xml:space="preserve"> </w:t>
      </w:r>
      <w:r w:rsidRPr="006076BD">
        <w:t>required</w:t>
      </w:r>
      <w:r w:rsidR="00C64050">
        <w:t xml:space="preserve"> </w:t>
      </w:r>
      <w:r w:rsidRPr="006076BD">
        <w:t>to</w:t>
      </w:r>
      <w:r w:rsidR="00C64050">
        <w:t xml:space="preserve"> </w:t>
      </w:r>
      <w:r w:rsidRPr="006076BD">
        <w:t>furnish</w:t>
      </w:r>
      <w:r w:rsidR="00C64050">
        <w:t xml:space="preserve"> </w:t>
      </w:r>
      <w:r w:rsidRPr="006076BD">
        <w:t>the</w:t>
      </w:r>
      <w:r w:rsidR="00C64050">
        <w:t xml:space="preserve"> </w:t>
      </w:r>
      <w:r w:rsidRPr="006076BD">
        <w:t>beneficiary</w:t>
      </w:r>
      <w:r w:rsidR="00C64050">
        <w:t xml:space="preserve"> </w:t>
      </w:r>
      <w:r w:rsidRPr="006076BD">
        <w:t>with</w:t>
      </w:r>
      <w:r w:rsidR="00C64050">
        <w:t xml:space="preserve"> </w:t>
      </w:r>
      <w:r w:rsidRPr="006076BD">
        <w:t>a</w:t>
      </w:r>
      <w:r w:rsidR="00C64050">
        <w:t xml:space="preserve"> </w:t>
      </w:r>
      <w:r w:rsidRPr="006076BD">
        <w:t>Statement</w:t>
      </w:r>
      <w:r w:rsidR="00C64050">
        <w:t xml:space="preserve"> </w:t>
      </w:r>
      <w:r w:rsidRPr="006076BD">
        <w:t>and</w:t>
      </w:r>
      <w:r w:rsidR="00C64050">
        <w:t xml:space="preserve"> </w:t>
      </w:r>
      <w:r w:rsidRPr="006076BD">
        <w:t>file</w:t>
      </w:r>
      <w:r w:rsidR="00C64050">
        <w:t xml:space="preserve"> </w:t>
      </w:r>
      <w:r w:rsidRPr="006076BD">
        <w:t>a</w:t>
      </w:r>
      <w:r w:rsidR="00C64050">
        <w:t xml:space="preserve"> </w:t>
      </w:r>
      <w:r w:rsidRPr="006076BD">
        <w:t>supplemental</w:t>
      </w:r>
      <w:r w:rsidR="00C64050">
        <w:t xml:space="preserve"> </w:t>
      </w:r>
      <w:r w:rsidRPr="006076BD">
        <w:t>Information</w:t>
      </w:r>
      <w:r w:rsidR="00C64050">
        <w:t xml:space="preserve"> </w:t>
      </w:r>
      <w:r w:rsidRPr="006076BD">
        <w:t>Return</w:t>
      </w:r>
      <w:r w:rsidR="00C64050">
        <w:t xml:space="preserve"> </w:t>
      </w:r>
      <w:r w:rsidRPr="006076BD">
        <w:t>with</w:t>
      </w:r>
      <w:r w:rsidR="00C64050">
        <w:t xml:space="preserve"> </w:t>
      </w:r>
      <w:r w:rsidRPr="006076BD">
        <w:t>the</w:t>
      </w:r>
      <w:r w:rsidR="00C64050">
        <w:t xml:space="preserve"> </w:t>
      </w:r>
      <w:r w:rsidRPr="006076BD">
        <w:t>IRS</w:t>
      </w:r>
      <w:r w:rsidR="00C64050">
        <w:t xml:space="preserve"> </w:t>
      </w:r>
      <w:r w:rsidRPr="006076BD">
        <w:t>within</w:t>
      </w:r>
      <w:r w:rsidR="00C64050">
        <w:t xml:space="preserve"> </w:t>
      </w:r>
      <w:r w:rsidRPr="006076BD">
        <w:t>30</w:t>
      </w:r>
      <w:r w:rsidR="00C64050">
        <w:t xml:space="preserve"> </w:t>
      </w:r>
      <w:r w:rsidRPr="006076BD">
        <w:t>days</w:t>
      </w:r>
      <w:r w:rsidR="00C64050">
        <w:t xml:space="preserve"> </w:t>
      </w:r>
      <w:r w:rsidRPr="006076BD">
        <w:t>of</w:t>
      </w:r>
      <w:r w:rsidR="00C64050">
        <w:t xml:space="preserve"> </w:t>
      </w:r>
      <w:r w:rsidRPr="006076BD">
        <w:t>locating</w:t>
      </w:r>
      <w:r w:rsidR="00C64050">
        <w:t xml:space="preserve"> </w:t>
      </w:r>
      <w:r w:rsidRPr="006076BD">
        <w:t>the</w:t>
      </w:r>
      <w:r w:rsidR="00C64050">
        <w:t xml:space="preserve"> </w:t>
      </w:r>
      <w:r w:rsidRPr="006076BD">
        <w:t>beneficiary.</w:t>
      </w:r>
      <w:r w:rsidR="00C64050">
        <w:t xml:space="preserve"> </w:t>
      </w:r>
      <w:r w:rsidRPr="006076BD">
        <w:t>If</w:t>
      </w:r>
      <w:r w:rsidR="00C64050">
        <w:t xml:space="preserve"> </w:t>
      </w:r>
      <w:r w:rsidRPr="006076BD">
        <w:t>the</w:t>
      </w:r>
      <w:r w:rsidR="00C64050">
        <w:t xml:space="preserve"> </w:t>
      </w:r>
      <w:r w:rsidRPr="006076BD">
        <w:t>executor</w:t>
      </w:r>
      <w:r w:rsidR="00C64050">
        <w:t xml:space="preserve"> </w:t>
      </w:r>
      <w:r w:rsidRPr="006076BD">
        <w:t>is</w:t>
      </w:r>
      <w:r w:rsidR="00C64050">
        <w:t xml:space="preserve"> </w:t>
      </w:r>
      <w:r w:rsidRPr="006076BD">
        <w:t>unable</w:t>
      </w:r>
      <w:r w:rsidR="00C64050">
        <w:t xml:space="preserve"> </w:t>
      </w:r>
      <w:r w:rsidRPr="006076BD">
        <w:t>to</w:t>
      </w:r>
      <w:r w:rsidR="00C64050">
        <w:t xml:space="preserve"> </w:t>
      </w:r>
      <w:r w:rsidRPr="006076BD">
        <w:t>locate</w:t>
      </w:r>
      <w:r w:rsidR="00C64050">
        <w:t xml:space="preserve"> </w:t>
      </w:r>
      <w:r w:rsidRPr="006076BD">
        <w:t>a</w:t>
      </w:r>
      <w:r w:rsidR="00C64050">
        <w:t xml:space="preserve"> </w:t>
      </w:r>
      <w:r w:rsidRPr="006076BD">
        <w:t>beneficiary</w:t>
      </w:r>
      <w:r w:rsidR="00C64050">
        <w:t xml:space="preserve"> </w:t>
      </w:r>
      <w:r w:rsidRPr="006076BD">
        <w:t>and</w:t>
      </w:r>
      <w:r w:rsidR="00C64050">
        <w:t xml:space="preserve"> </w:t>
      </w:r>
      <w:r w:rsidRPr="006076BD">
        <w:t>distributes</w:t>
      </w:r>
      <w:r w:rsidR="00C64050">
        <w:t xml:space="preserve"> </w:t>
      </w:r>
      <w:r w:rsidRPr="006076BD">
        <w:t>the</w:t>
      </w:r>
      <w:r w:rsidR="00C64050">
        <w:t xml:space="preserve"> </w:t>
      </w:r>
      <w:r w:rsidRPr="006076BD">
        <w:t>property</w:t>
      </w:r>
      <w:r w:rsidR="00C64050">
        <w:t xml:space="preserve"> </w:t>
      </w:r>
      <w:r w:rsidRPr="006076BD">
        <w:t>to</w:t>
      </w:r>
      <w:r w:rsidR="00C64050">
        <w:t xml:space="preserve"> </w:t>
      </w:r>
      <w:r w:rsidRPr="006076BD">
        <w:t>a</w:t>
      </w:r>
      <w:r w:rsidR="00C64050">
        <w:t xml:space="preserve"> </w:t>
      </w:r>
      <w:r w:rsidRPr="006076BD">
        <w:t>different</w:t>
      </w:r>
      <w:r w:rsidR="00C64050">
        <w:t xml:space="preserve"> </w:t>
      </w:r>
      <w:r w:rsidRPr="006076BD">
        <w:t>beneficiary</w:t>
      </w:r>
      <w:r w:rsidR="00C64050">
        <w:t xml:space="preserve"> </w:t>
      </w:r>
      <w:r w:rsidRPr="006076BD">
        <w:t>who</w:t>
      </w:r>
      <w:r w:rsidR="00C64050">
        <w:t xml:space="preserve"> </w:t>
      </w:r>
      <w:r w:rsidRPr="006076BD">
        <w:t>was</w:t>
      </w:r>
      <w:r w:rsidR="00C64050">
        <w:t xml:space="preserve"> </w:t>
      </w:r>
      <w:r w:rsidRPr="006076BD">
        <w:t>not</w:t>
      </w:r>
      <w:r w:rsidR="00C64050">
        <w:t xml:space="preserve"> </w:t>
      </w:r>
      <w:r w:rsidRPr="006076BD">
        <w:t>identified</w:t>
      </w:r>
      <w:r w:rsidR="00C64050">
        <w:t xml:space="preserve"> </w:t>
      </w:r>
      <w:r w:rsidRPr="006076BD">
        <w:t>in</w:t>
      </w:r>
      <w:r w:rsidR="00C64050">
        <w:t xml:space="preserve"> </w:t>
      </w:r>
      <w:r w:rsidRPr="006076BD">
        <w:t>the</w:t>
      </w:r>
      <w:r w:rsidR="00C64050">
        <w:t xml:space="preserve"> </w:t>
      </w:r>
      <w:r w:rsidRPr="006076BD">
        <w:t>Information</w:t>
      </w:r>
      <w:r w:rsidR="00C64050">
        <w:t xml:space="preserve"> </w:t>
      </w:r>
      <w:r w:rsidRPr="006076BD">
        <w:t>Return</w:t>
      </w:r>
      <w:r w:rsidR="00C64050">
        <w:t xml:space="preserve"> </w:t>
      </w:r>
      <w:r w:rsidRPr="006076BD">
        <w:t>as</w:t>
      </w:r>
      <w:r w:rsidR="00C64050">
        <w:t xml:space="preserve"> </w:t>
      </w:r>
      <w:r w:rsidRPr="006076BD">
        <w:t>the</w:t>
      </w:r>
      <w:r w:rsidR="00C64050">
        <w:t xml:space="preserve"> </w:t>
      </w:r>
      <w:r w:rsidRPr="006076BD">
        <w:t>recipient</w:t>
      </w:r>
      <w:r w:rsidR="00C64050">
        <w:t xml:space="preserve"> </w:t>
      </w:r>
      <w:r w:rsidRPr="006076BD">
        <w:t>of</w:t>
      </w:r>
      <w:r w:rsidR="00C64050">
        <w:t xml:space="preserve"> </w:t>
      </w:r>
      <w:r w:rsidRPr="006076BD">
        <w:t>that</w:t>
      </w:r>
      <w:r w:rsidR="00C64050">
        <w:t xml:space="preserve"> </w:t>
      </w:r>
      <w:r w:rsidRPr="006076BD">
        <w:t>property,</w:t>
      </w:r>
      <w:r w:rsidR="00C64050">
        <w:t xml:space="preserve"> </w:t>
      </w:r>
      <w:r w:rsidRPr="006076BD">
        <w:t>the</w:t>
      </w:r>
      <w:r w:rsidR="00C64050">
        <w:t xml:space="preserve"> </w:t>
      </w:r>
      <w:r w:rsidRPr="006076BD">
        <w:t>executor</w:t>
      </w:r>
      <w:r w:rsidR="00C64050">
        <w:t xml:space="preserve"> </w:t>
      </w:r>
      <w:r w:rsidRPr="006076BD">
        <w:t>is</w:t>
      </w:r>
      <w:r w:rsidR="00C64050">
        <w:t xml:space="preserve"> </w:t>
      </w:r>
      <w:r w:rsidRPr="006076BD">
        <w:t>required</w:t>
      </w:r>
      <w:r w:rsidR="00C64050">
        <w:t xml:space="preserve"> </w:t>
      </w:r>
      <w:r w:rsidRPr="006076BD">
        <w:t>to</w:t>
      </w:r>
      <w:r w:rsidR="00C64050">
        <w:t xml:space="preserve"> </w:t>
      </w:r>
      <w:r w:rsidRPr="006076BD">
        <w:t>file</w:t>
      </w:r>
      <w:r w:rsidR="00C64050">
        <w:t xml:space="preserve"> </w:t>
      </w:r>
      <w:r w:rsidRPr="006076BD">
        <w:t>a</w:t>
      </w:r>
      <w:r w:rsidR="00C64050">
        <w:t xml:space="preserve"> </w:t>
      </w:r>
      <w:r w:rsidRPr="006076BD">
        <w:t>supplemental</w:t>
      </w:r>
      <w:r w:rsidR="00C64050">
        <w:t xml:space="preserve"> </w:t>
      </w:r>
      <w:r w:rsidRPr="006076BD">
        <w:t>Information</w:t>
      </w:r>
      <w:r w:rsidR="00C64050">
        <w:t xml:space="preserve"> </w:t>
      </w:r>
      <w:r w:rsidRPr="006076BD">
        <w:t>Return</w:t>
      </w:r>
      <w:r w:rsidR="00C64050">
        <w:t xml:space="preserve"> </w:t>
      </w:r>
      <w:r w:rsidRPr="006076BD">
        <w:t>with</w:t>
      </w:r>
      <w:r w:rsidR="00C64050">
        <w:t xml:space="preserve"> </w:t>
      </w:r>
      <w:r w:rsidRPr="006076BD">
        <w:t>the</w:t>
      </w:r>
      <w:r w:rsidR="00C64050">
        <w:t xml:space="preserve"> </w:t>
      </w:r>
      <w:r w:rsidRPr="006076BD">
        <w:t>IRS</w:t>
      </w:r>
      <w:r w:rsidR="00C64050">
        <w:t xml:space="preserve"> </w:t>
      </w:r>
      <w:r w:rsidRPr="006076BD">
        <w:t>and</w:t>
      </w:r>
      <w:r w:rsidR="00C64050">
        <w:t xml:space="preserve"> </w:t>
      </w:r>
      <w:r w:rsidRPr="006076BD">
        <w:t>furnish</w:t>
      </w:r>
      <w:r w:rsidR="00C64050">
        <w:t xml:space="preserve"> </w:t>
      </w:r>
      <w:r w:rsidRPr="006076BD">
        <w:t>the</w:t>
      </w:r>
      <w:r w:rsidR="00C64050">
        <w:t xml:space="preserve"> </w:t>
      </w:r>
      <w:r w:rsidRPr="006076BD">
        <w:t>successor</w:t>
      </w:r>
      <w:r w:rsidR="00C64050">
        <w:t xml:space="preserve"> </w:t>
      </w:r>
      <w:r w:rsidRPr="006076BD">
        <w:t>beneficiary</w:t>
      </w:r>
      <w:r w:rsidR="00C64050">
        <w:t xml:space="preserve"> </w:t>
      </w:r>
      <w:r w:rsidRPr="006076BD">
        <w:t>with</w:t>
      </w:r>
      <w:r w:rsidR="00C64050">
        <w:t xml:space="preserve"> </w:t>
      </w:r>
      <w:r w:rsidRPr="006076BD">
        <w:t>a</w:t>
      </w:r>
      <w:r w:rsidR="00C64050">
        <w:t xml:space="preserve"> </w:t>
      </w:r>
      <w:r w:rsidRPr="006076BD">
        <w:t>Statement</w:t>
      </w:r>
      <w:r w:rsidR="00C64050">
        <w:t xml:space="preserve"> </w:t>
      </w:r>
      <w:r w:rsidRPr="006076BD">
        <w:t>within</w:t>
      </w:r>
      <w:r w:rsidR="00C64050">
        <w:t xml:space="preserve"> </w:t>
      </w:r>
      <w:r w:rsidRPr="006076BD">
        <w:t>30</w:t>
      </w:r>
      <w:r w:rsidR="00C64050">
        <w:t xml:space="preserve"> </w:t>
      </w:r>
      <w:r w:rsidRPr="006076BD">
        <w:t>days</w:t>
      </w:r>
      <w:r w:rsidR="00C64050">
        <w:t xml:space="preserve"> </w:t>
      </w:r>
      <w:r w:rsidRPr="006076BD">
        <w:t>after</w:t>
      </w:r>
      <w:r w:rsidR="00C64050">
        <w:t xml:space="preserve"> </w:t>
      </w:r>
      <w:r w:rsidRPr="006076BD">
        <w:t>distributing</w:t>
      </w:r>
      <w:r w:rsidR="00C64050">
        <w:t xml:space="preserve"> </w:t>
      </w:r>
      <w:r w:rsidRPr="006076BD">
        <w:t>the</w:t>
      </w:r>
      <w:r w:rsidR="00C64050">
        <w:t xml:space="preserve"> </w:t>
      </w:r>
      <w:r w:rsidRPr="006076BD">
        <w:t>property.</w:t>
      </w:r>
    </w:p>
    <w:p w:rsidR="00BE7922" w:rsidRPr="00BE7922" w:rsidRDefault="00BE7922" w:rsidP="00801686">
      <w:pPr>
        <w:pStyle w:val="Body15"/>
      </w:pPr>
      <w:r>
        <w:t>In</w:t>
      </w:r>
      <w:r w:rsidR="00C64050">
        <w:t xml:space="preserve"> </w:t>
      </w:r>
      <w:r>
        <w:t>most</w:t>
      </w:r>
      <w:r w:rsidR="00C64050">
        <w:t xml:space="preserve"> </w:t>
      </w:r>
      <w:r>
        <w:t>estates,</w:t>
      </w:r>
      <w:r w:rsidR="00C64050">
        <w:t xml:space="preserve"> </w:t>
      </w:r>
      <w:r>
        <w:t>assets</w:t>
      </w:r>
      <w:r w:rsidR="00C64050">
        <w:t xml:space="preserve"> </w:t>
      </w:r>
      <w:r>
        <w:t>may</w:t>
      </w:r>
      <w:r w:rsidR="00C64050">
        <w:t xml:space="preserve"> </w:t>
      </w:r>
      <w:r>
        <w:t>be</w:t>
      </w:r>
      <w:r w:rsidR="00C64050">
        <w:t xml:space="preserve"> </w:t>
      </w:r>
      <w:r>
        <w:t>divided</w:t>
      </w:r>
      <w:r w:rsidR="00C64050">
        <w:t xml:space="preserve"> </w:t>
      </w:r>
      <w:r>
        <w:t>among</w:t>
      </w:r>
      <w:r w:rsidR="00C64050">
        <w:t xml:space="preserve"> </w:t>
      </w:r>
      <w:r>
        <w:t>multiple</w:t>
      </w:r>
      <w:r w:rsidR="00C64050">
        <w:t xml:space="preserve"> </w:t>
      </w:r>
      <w:r>
        <w:t>beneficiaries.</w:t>
      </w:r>
      <w:r w:rsidR="00C64050">
        <w:t xml:space="preserve">  </w:t>
      </w:r>
      <w:r>
        <w:t>Every</w:t>
      </w:r>
      <w:r w:rsidR="00C64050">
        <w:t xml:space="preserve"> </w:t>
      </w:r>
      <w:r>
        <w:t>beneficiary</w:t>
      </w:r>
      <w:r w:rsidR="00C64050">
        <w:t xml:space="preserve"> </w:t>
      </w:r>
      <w:r>
        <w:t>must</w:t>
      </w:r>
      <w:r w:rsidR="00C64050">
        <w:t xml:space="preserve"> </w:t>
      </w:r>
      <w:r>
        <w:t>receive</w:t>
      </w:r>
      <w:r w:rsidR="00C64050">
        <w:t xml:space="preserve"> </w:t>
      </w:r>
      <w:r>
        <w:t>a</w:t>
      </w:r>
      <w:r w:rsidR="00C64050">
        <w:t xml:space="preserve"> </w:t>
      </w:r>
      <w:r>
        <w:t>report</w:t>
      </w:r>
      <w:r w:rsidR="00C64050">
        <w:t xml:space="preserve"> </w:t>
      </w:r>
      <w:r>
        <w:t>of</w:t>
      </w:r>
      <w:r w:rsidR="00C64050">
        <w:t xml:space="preserve"> </w:t>
      </w:r>
      <w:r>
        <w:t>every</w:t>
      </w:r>
      <w:r w:rsidR="00C64050">
        <w:t xml:space="preserve"> </w:t>
      </w:r>
      <w:r>
        <w:t>asset</w:t>
      </w:r>
      <w:r w:rsidR="00C64050">
        <w:t xml:space="preserve"> </w:t>
      </w:r>
      <w:r>
        <w:t>the</w:t>
      </w:r>
      <w:r w:rsidR="00C64050">
        <w:t xml:space="preserve"> </w:t>
      </w:r>
      <w:r>
        <w:t>beneficiary</w:t>
      </w:r>
      <w:r w:rsidR="00C64050">
        <w:t xml:space="preserve"> </w:t>
      </w:r>
      <w:r>
        <w:rPr>
          <w:u w:val="single"/>
        </w:rPr>
        <w:t>could</w:t>
      </w:r>
      <w:r w:rsidR="00C64050">
        <w:t xml:space="preserve"> </w:t>
      </w:r>
      <w:r>
        <w:t>receive.</w:t>
      </w:r>
      <w:r w:rsidR="00C64050">
        <w:t xml:space="preserve">  </w:t>
      </w:r>
      <w:r>
        <w:t>Estates</w:t>
      </w:r>
      <w:r w:rsidR="00C64050">
        <w:t xml:space="preserve"> </w:t>
      </w:r>
      <w:r>
        <w:t>that</w:t>
      </w:r>
      <w:r w:rsidR="00C64050">
        <w:t xml:space="preserve"> </w:t>
      </w:r>
      <w:r>
        <w:t>pour</w:t>
      </w:r>
      <w:r w:rsidR="00C64050">
        <w:t xml:space="preserve"> </w:t>
      </w:r>
      <w:r>
        <w:t>into</w:t>
      </w:r>
      <w:r w:rsidR="00C64050">
        <w:t xml:space="preserve"> </w:t>
      </w:r>
      <w:r>
        <w:t>a</w:t>
      </w:r>
      <w:r w:rsidR="00C64050">
        <w:t xml:space="preserve"> </w:t>
      </w:r>
      <w:r>
        <w:t>trust</w:t>
      </w:r>
      <w:r w:rsidR="00C64050">
        <w:t xml:space="preserve"> </w:t>
      </w:r>
      <w:r>
        <w:t>will</w:t>
      </w:r>
      <w:r w:rsidR="00C64050">
        <w:t xml:space="preserve"> </w:t>
      </w:r>
      <w:r>
        <w:t>be</w:t>
      </w:r>
      <w:r w:rsidR="00C64050">
        <w:t xml:space="preserve"> </w:t>
      </w:r>
      <w:r>
        <w:t>simpler</w:t>
      </w:r>
      <w:r w:rsidR="00C64050">
        <w:t xml:space="preserve"> </w:t>
      </w:r>
      <w:r>
        <w:t>to</w:t>
      </w:r>
      <w:r w:rsidR="00C64050">
        <w:t xml:space="preserve"> </w:t>
      </w:r>
      <w:r>
        <w:t>deal</w:t>
      </w:r>
      <w:r w:rsidR="00C64050">
        <w:t xml:space="preserve"> </w:t>
      </w:r>
      <w:r>
        <w:t>with,</w:t>
      </w:r>
      <w:r w:rsidR="00C64050">
        <w:t xml:space="preserve"> </w:t>
      </w:r>
      <w:r>
        <w:t>however,</w:t>
      </w:r>
      <w:r w:rsidR="00C64050">
        <w:t xml:space="preserve"> </w:t>
      </w:r>
      <w:r>
        <w:t>the</w:t>
      </w:r>
      <w:r w:rsidR="00C64050">
        <w:t xml:space="preserve"> </w:t>
      </w:r>
      <w:r>
        <w:t>executor</w:t>
      </w:r>
      <w:r w:rsidR="00C64050">
        <w:t xml:space="preserve"> </w:t>
      </w:r>
      <w:r>
        <w:t>must</w:t>
      </w:r>
      <w:r w:rsidR="00C64050">
        <w:t xml:space="preserve"> </w:t>
      </w:r>
      <w:r>
        <w:t>report</w:t>
      </w:r>
      <w:r w:rsidR="00C64050">
        <w:t xml:space="preserve"> </w:t>
      </w:r>
      <w:r>
        <w:t>regarding</w:t>
      </w:r>
      <w:r w:rsidR="00C64050">
        <w:t xml:space="preserve"> </w:t>
      </w:r>
      <w:r>
        <w:t>the</w:t>
      </w:r>
      <w:r w:rsidR="00C64050">
        <w:t xml:space="preserve"> </w:t>
      </w:r>
      <w:r>
        <w:t>trust</w:t>
      </w:r>
      <w:r w:rsidR="00C64050">
        <w:t xml:space="preserve"> </w:t>
      </w:r>
      <w:r>
        <w:t>assets</w:t>
      </w:r>
      <w:r w:rsidR="00C64050">
        <w:t xml:space="preserve"> </w:t>
      </w:r>
      <w:r>
        <w:t>too.</w:t>
      </w:r>
    </w:p>
    <w:p w:rsidR="000037A4" w:rsidRDefault="000037A4" w:rsidP="00801686">
      <w:pPr>
        <w:pStyle w:val="Body15"/>
      </w:pPr>
      <w:r>
        <w:t>Controversially,</w:t>
      </w:r>
      <w:r w:rsidR="00C64050">
        <w:t xml:space="preserve"> </w:t>
      </w:r>
      <w:r>
        <w:t>the</w:t>
      </w:r>
      <w:r w:rsidR="00C64050">
        <w:t xml:space="preserve"> </w:t>
      </w:r>
      <w:r>
        <w:t>IRS</w:t>
      </w:r>
      <w:r w:rsidR="00C64050">
        <w:t xml:space="preserve"> </w:t>
      </w:r>
      <w:r>
        <w:t>expanded</w:t>
      </w:r>
      <w:r w:rsidR="00C64050">
        <w:t xml:space="preserve"> </w:t>
      </w:r>
      <w:r>
        <w:t>reporting</w:t>
      </w:r>
      <w:r w:rsidR="00C64050">
        <w:t xml:space="preserve"> </w:t>
      </w:r>
      <w:r>
        <w:t>to</w:t>
      </w:r>
      <w:r w:rsidR="00C64050">
        <w:t xml:space="preserve"> </w:t>
      </w:r>
      <w:r>
        <w:rPr>
          <w:u w:val="single"/>
        </w:rPr>
        <w:t>subsequent</w:t>
      </w:r>
      <w:r w:rsidR="00C64050">
        <w:rPr>
          <w:u w:val="single"/>
        </w:rPr>
        <w:t xml:space="preserve"> </w:t>
      </w:r>
      <w:r>
        <w:rPr>
          <w:u w:val="single"/>
        </w:rPr>
        <w:t>transfer</w:t>
      </w:r>
      <w:r w:rsidR="00D954FE">
        <w:rPr>
          <w:u w:val="single"/>
        </w:rPr>
        <w:t>s</w:t>
      </w:r>
      <w:r>
        <w:t>.</w:t>
      </w:r>
      <w:r w:rsidR="00C64050">
        <w:t xml:space="preserve">  </w:t>
      </w:r>
      <w:r>
        <w:t>The</w:t>
      </w:r>
      <w:r w:rsidR="00C64050">
        <w:t xml:space="preserve"> </w:t>
      </w:r>
      <w:r>
        <w:t>summary</w:t>
      </w:r>
      <w:r w:rsidR="00C64050">
        <w:t xml:space="preserve"> </w:t>
      </w:r>
      <w:r>
        <w:t>states:</w:t>
      </w:r>
    </w:p>
    <w:p w:rsidR="00465BBA" w:rsidRPr="00D954FE" w:rsidRDefault="00465BBA" w:rsidP="00D954FE">
      <w:pPr>
        <w:pStyle w:val="QS10"/>
      </w:pPr>
      <w:r w:rsidRPr="00D954FE">
        <w:t>As</w:t>
      </w:r>
      <w:r w:rsidR="00C64050">
        <w:t xml:space="preserve"> </w:t>
      </w:r>
      <w:r w:rsidRPr="00D954FE">
        <w:t>discussed</w:t>
      </w:r>
      <w:r w:rsidR="00C64050">
        <w:t xml:space="preserve"> </w:t>
      </w:r>
      <w:r w:rsidRPr="00D954FE">
        <w:t>earlier</w:t>
      </w:r>
      <w:r w:rsidR="00C64050">
        <w:t xml:space="preserve"> </w:t>
      </w:r>
      <w:r w:rsidRPr="00D954FE">
        <w:t>in</w:t>
      </w:r>
      <w:r w:rsidR="00C64050">
        <w:t xml:space="preserve"> </w:t>
      </w:r>
      <w:r w:rsidRPr="00D954FE">
        <w:t>this</w:t>
      </w:r>
      <w:r w:rsidR="00C64050">
        <w:t xml:space="preserve"> </w:t>
      </w:r>
      <w:r w:rsidRPr="00D954FE">
        <w:t>preamble,</w:t>
      </w:r>
      <w:r w:rsidR="00C64050">
        <w:t xml:space="preserve"> </w:t>
      </w:r>
      <w:hyperlink r:id="rId79" w:anchor="co_pp_d86d0000be040" w:history="1">
        <w:r w:rsidRPr="00D954FE">
          <w:t>section</w:t>
        </w:r>
        <w:r w:rsidR="00C64050">
          <w:t xml:space="preserve"> </w:t>
        </w:r>
        <w:r w:rsidRPr="00D954FE">
          <w:t>6035(a)(2)</w:t>
        </w:r>
      </w:hyperlink>
      <w:r w:rsidR="00C64050">
        <w:t xml:space="preserve"> </w:t>
      </w:r>
      <w:r w:rsidRPr="00D954FE">
        <w:t>imposes</w:t>
      </w:r>
      <w:r w:rsidR="00C64050">
        <w:t xml:space="preserve"> </w:t>
      </w:r>
      <w:r w:rsidRPr="00D954FE">
        <w:t>a</w:t>
      </w:r>
      <w:r w:rsidR="00C64050">
        <w:t xml:space="preserve"> </w:t>
      </w:r>
      <w:r w:rsidRPr="00D954FE">
        <w:t>reporting</w:t>
      </w:r>
      <w:r w:rsidR="00C64050">
        <w:t xml:space="preserve"> </w:t>
      </w:r>
      <w:r w:rsidRPr="00D954FE">
        <w:t>requirement</w:t>
      </w:r>
      <w:r w:rsidR="00C64050">
        <w:t xml:space="preserve"> </w:t>
      </w:r>
      <w:r w:rsidRPr="00D954FE">
        <w:t>on</w:t>
      </w:r>
      <w:r w:rsidR="00C64050">
        <w:t xml:space="preserve"> </w:t>
      </w:r>
      <w:r w:rsidRPr="00D954FE">
        <w:t>the</w:t>
      </w:r>
      <w:r w:rsidR="00C64050">
        <w:t xml:space="preserve"> </w:t>
      </w:r>
      <w:r w:rsidRPr="00D954FE">
        <w:t>executor</w:t>
      </w:r>
      <w:r w:rsidR="00C64050">
        <w:t xml:space="preserve"> </w:t>
      </w:r>
      <w:r w:rsidRPr="00D954FE">
        <w:t>of</w:t>
      </w:r>
      <w:r w:rsidR="00C64050">
        <w:t xml:space="preserve"> </w:t>
      </w:r>
      <w:r w:rsidRPr="00D954FE">
        <w:t>the</w:t>
      </w:r>
      <w:r w:rsidR="00C64050">
        <w:t xml:space="preserve"> </w:t>
      </w:r>
      <w:r w:rsidRPr="00D954FE">
        <w:t>decedent's</w:t>
      </w:r>
      <w:r w:rsidR="00C64050">
        <w:t xml:space="preserve"> </w:t>
      </w:r>
      <w:r w:rsidRPr="00D954FE">
        <w:t>estate</w:t>
      </w:r>
      <w:r w:rsidR="00C64050">
        <w:t xml:space="preserve"> </w:t>
      </w:r>
      <w:r w:rsidRPr="00D954FE">
        <w:t>and</w:t>
      </w:r>
      <w:r w:rsidR="00C64050">
        <w:t xml:space="preserve"> </w:t>
      </w:r>
      <w:r w:rsidRPr="00D954FE">
        <w:t>on</w:t>
      </w:r>
      <w:r w:rsidR="00C64050">
        <w:t xml:space="preserve"> </w:t>
      </w:r>
      <w:r w:rsidRPr="00D954FE">
        <w:t>any</w:t>
      </w:r>
      <w:r w:rsidR="00C64050">
        <w:t xml:space="preserve"> </w:t>
      </w:r>
      <w:r w:rsidRPr="00D954FE">
        <w:t>other</w:t>
      </w:r>
      <w:r w:rsidR="00C64050">
        <w:t xml:space="preserve"> </w:t>
      </w:r>
      <w:r w:rsidRPr="00D954FE">
        <w:t>person</w:t>
      </w:r>
      <w:r w:rsidR="00C64050">
        <w:t xml:space="preserve"> </w:t>
      </w:r>
      <w:r w:rsidRPr="00D954FE">
        <w:t>required</w:t>
      </w:r>
      <w:r w:rsidR="00C64050">
        <w:t xml:space="preserve"> </w:t>
      </w:r>
      <w:r w:rsidRPr="00D954FE">
        <w:t>to</w:t>
      </w:r>
      <w:r w:rsidR="00C64050">
        <w:t xml:space="preserve"> </w:t>
      </w:r>
      <w:r w:rsidRPr="00D954FE">
        <w:t>file</w:t>
      </w:r>
      <w:r w:rsidR="00C64050">
        <w:t xml:space="preserve"> </w:t>
      </w:r>
      <w:r w:rsidRPr="00D954FE">
        <w:t>a</w:t>
      </w:r>
      <w:r w:rsidR="00C64050">
        <w:t xml:space="preserve"> </w:t>
      </w:r>
      <w:r w:rsidRPr="00D954FE">
        <w:t>return</w:t>
      </w:r>
      <w:r w:rsidR="00C64050">
        <w:t xml:space="preserve"> </w:t>
      </w:r>
      <w:r w:rsidRPr="00D954FE">
        <w:t>under</w:t>
      </w:r>
      <w:r w:rsidR="00C64050">
        <w:t xml:space="preserve"> </w:t>
      </w:r>
      <w:r w:rsidRPr="00D954FE">
        <w:t>section</w:t>
      </w:r>
      <w:r w:rsidR="00C64050">
        <w:t xml:space="preserve"> </w:t>
      </w:r>
      <w:r w:rsidRPr="00D954FE">
        <w:t>6018.</w:t>
      </w:r>
      <w:r w:rsidR="00C64050">
        <w:t xml:space="preserve"> </w:t>
      </w:r>
      <w:r w:rsidRPr="00D954FE">
        <w:t>The</w:t>
      </w:r>
      <w:r w:rsidR="00C64050">
        <w:t xml:space="preserve"> </w:t>
      </w:r>
      <w:r w:rsidRPr="00D954FE">
        <w:t>purpose</w:t>
      </w:r>
      <w:r w:rsidR="00C64050">
        <w:t xml:space="preserve"> </w:t>
      </w:r>
      <w:r w:rsidRPr="00D954FE">
        <w:t>of</w:t>
      </w:r>
      <w:r w:rsidR="00C64050">
        <w:t xml:space="preserve"> </w:t>
      </w:r>
      <w:r w:rsidRPr="00D954FE">
        <w:t>this</w:t>
      </w:r>
      <w:r w:rsidR="00C64050">
        <w:t xml:space="preserve"> </w:t>
      </w:r>
      <w:r w:rsidRPr="00D954FE">
        <w:t>reporting</w:t>
      </w:r>
      <w:r w:rsidR="00C64050">
        <w:t xml:space="preserve"> </w:t>
      </w:r>
      <w:r w:rsidRPr="00D954FE">
        <w:t>is</w:t>
      </w:r>
      <w:r w:rsidR="00C64050">
        <w:t xml:space="preserve"> </w:t>
      </w:r>
      <w:r w:rsidRPr="00D954FE">
        <w:t>to</w:t>
      </w:r>
      <w:r w:rsidR="00C64050">
        <w:t xml:space="preserve"> </w:t>
      </w:r>
      <w:r w:rsidRPr="00D954FE">
        <w:t>enable</w:t>
      </w:r>
      <w:r w:rsidR="00C64050">
        <w:t xml:space="preserve"> </w:t>
      </w:r>
      <w:r w:rsidRPr="00D954FE">
        <w:t>the</w:t>
      </w:r>
      <w:r w:rsidR="00C64050">
        <w:t xml:space="preserve"> </w:t>
      </w:r>
      <w:r w:rsidRPr="00D954FE">
        <w:t>IRS</w:t>
      </w:r>
      <w:r w:rsidR="00C64050">
        <w:t xml:space="preserve"> </w:t>
      </w:r>
      <w:r w:rsidRPr="00D954FE">
        <w:t>to</w:t>
      </w:r>
      <w:r w:rsidR="00C64050">
        <w:t xml:space="preserve"> </w:t>
      </w:r>
      <w:r w:rsidRPr="00D954FE">
        <w:t>monitor</w:t>
      </w:r>
      <w:r w:rsidR="00C64050">
        <w:t xml:space="preserve"> </w:t>
      </w:r>
      <w:r w:rsidRPr="00D954FE">
        <w:t>whether</w:t>
      </w:r>
      <w:r w:rsidR="00C64050">
        <w:t xml:space="preserve"> </w:t>
      </w:r>
      <w:r w:rsidRPr="00D954FE">
        <w:t>the</w:t>
      </w:r>
      <w:r w:rsidR="00C64050">
        <w:t xml:space="preserve"> </w:t>
      </w:r>
      <w:r w:rsidRPr="00D954FE">
        <w:t>basis</w:t>
      </w:r>
      <w:r w:rsidR="00C64050">
        <w:t xml:space="preserve"> </w:t>
      </w:r>
      <w:r w:rsidRPr="00D954FE">
        <w:t>claimed</w:t>
      </w:r>
      <w:r w:rsidR="00C64050">
        <w:t xml:space="preserve"> </w:t>
      </w:r>
      <w:r w:rsidRPr="00D954FE">
        <w:t>by</w:t>
      </w:r>
      <w:r w:rsidR="00C64050">
        <w:t xml:space="preserve"> </w:t>
      </w:r>
      <w:r w:rsidRPr="00D954FE">
        <w:t>an</w:t>
      </w:r>
      <w:r w:rsidR="00C64050">
        <w:t xml:space="preserve"> </w:t>
      </w:r>
      <w:r w:rsidRPr="00D954FE">
        <w:t>owner</w:t>
      </w:r>
      <w:r w:rsidR="00C64050">
        <w:t xml:space="preserve"> </w:t>
      </w:r>
      <w:r w:rsidRPr="00D954FE">
        <w:t>of</w:t>
      </w:r>
      <w:r w:rsidR="00C64050">
        <w:t xml:space="preserve"> </w:t>
      </w:r>
      <w:r w:rsidRPr="00D954FE">
        <w:t>the</w:t>
      </w:r>
      <w:r w:rsidR="00C64050">
        <w:t xml:space="preserve"> </w:t>
      </w:r>
      <w:r w:rsidRPr="00D954FE">
        <w:t>property</w:t>
      </w:r>
      <w:r w:rsidR="00C64050">
        <w:t xml:space="preserve"> </w:t>
      </w:r>
      <w:r w:rsidRPr="00D954FE">
        <w:t>is</w:t>
      </w:r>
      <w:r w:rsidR="00C64050">
        <w:t xml:space="preserve"> </w:t>
      </w:r>
      <w:r w:rsidRPr="00D954FE">
        <w:t>properly</w:t>
      </w:r>
      <w:r w:rsidR="00C64050">
        <w:t xml:space="preserve"> </w:t>
      </w:r>
      <w:r w:rsidRPr="00D954FE">
        <w:t>based</w:t>
      </w:r>
      <w:r w:rsidR="00C64050">
        <w:t xml:space="preserve"> </w:t>
      </w:r>
      <w:r w:rsidRPr="00D954FE">
        <w:t>on</w:t>
      </w:r>
      <w:r w:rsidR="00C64050">
        <w:t xml:space="preserve"> </w:t>
      </w:r>
      <w:r w:rsidRPr="00D954FE">
        <w:t>the</w:t>
      </w:r>
      <w:r w:rsidR="00C64050">
        <w:t xml:space="preserve"> </w:t>
      </w:r>
      <w:r w:rsidRPr="00D954FE">
        <w:t>final</w:t>
      </w:r>
      <w:r w:rsidR="00C64050">
        <w:t xml:space="preserve"> </w:t>
      </w:r>
      <w:r w:rsidRPr="00D954FE">
        <w:t>value</w:t>
      </w:r>
      <w:r w:rsidR="00C64050">
        <w:t xml:space="preserve"> </w:t>
      </w:r>
      <w:r w:rsidRPr="00D954FE">
        <w:t>of</w:t>
      </w:r>
      <w:r w:rsidR="00C64050">
        <w:t xml:space="preserve"> </w:t>
      </w:r>
      <w:r w:rsidRPr="00D954FE">
        <w:t>that</w:t>
      </w:r>
      <w:r w:rsidR="00C64050">
        <w:t xml:space="preserve"> </w:t>
      </w:r>
      <w:r w:rsidRPr="00D954FE">
        <w:t>property</w:t>
      </w:r>
      <w:r w:rsidR="00C64050">
        <w:t xml:space="preserve"> </w:t>
      </w:r>
      <w:r w:rsidRPr="00D954FE">
        <w:t>for</w:t>
      </w:r>
      <w:r w:rsidR="00C64050">
        <w:t xml:space="preserve"> </w:t>
      </w:r>
      <w:r w:rsidRPr="00D954FE">
        <w:t>estate</w:t>
      </w:r>
      <w:r w:rsidR="00C64050">
        <w:t xml:space="preserve"> </w:t>
      </w:r>
      <w:r w:rsidRPr="00D954FE">
        <w:t>tax</w:t>
      </w:r>
      <w:r w:rsidR="00C64050">
        <w:t xml:space="preserve"> </w:t>
      </w:r>
      <w:r w:rsidRPr="00D954FE">
        <w:t>purposes.</w:t>
      </w:r>
      <w:r w:rsidR="00C64050">
        <w:t xml:space="preserve"> </w:t>
      </w:r>
      <w:r w:rsidRPr="00D954FE">
        <w:t>The</w:t>
      </w:r>
      <w:r w:rsidR="00C64050">
        <w:t xml:space="preserve"> </w:t>
      </w:r>
      <w:r w:rsidRPr="00D954FE">
        <w:t>Treasury</w:t>
      </w:r>
      <w:r w:rsidR="00C64050">
        <w:t xml:space="preserve"> </w:t>
      </w:r>
      <w:r w:rsidRPr="00D954FE">
        <w:t>Department</w:t>
      </w:r>
      <w:r w:rsidR="00C64050">
        <w:t xml:space="preserve"> </w:t>
      </w:r>
      <w:r w:rsidRPr="00D954FE">
        <w:t>and</w:t>
      </w:r>
      <w:r w:rsidR="00C64050">
        <w:t xml:space="preserve"> </w:t>
      </w:r>
      <w:r w:rsidRPr="00D954FE">
        <w:t>the</w:t>
      </w:r>
      <w:r w:rsidR="00C64050">
        <w:t xml:space="preserve"> </w:t>
      </w:r>
      <w:r w:rsidRPr="00D954FE">
        <w:t>IRS</w:t>
      </w:r>
      <w:r w:rsidR="00C64050">
        <w:t xml:space="preserve"> </w:t>
      </w:r>
      <w:r w:rsidRPr="00D954FE">
        <w:t>are</w:t>
      </w:r>
      <w:r w:rsidR="00C64050">
        <w:t xml:space="preserve"> </w:t>
      </w:r>
      <w:r w:rsidRPr="00D954FE">
        <w:t>concerned,</w:t>
      </w:r>
      <w:r w:rsidR="00C64050">
        <w:t xml:space="preserve"> </w:t>
      </w:r>
      <w:r w:rsidRPr="00D954FE">
        <w:t>however,</w:t>
      </w:r>
      <w:r w:rsidR="00C64050">
        <w:t xml:space="preserve"> </w:t>
      </w:r>
      <w:r w:rsidRPr="00D954FE">
        <w:t>that</w:t>
      </w:r>
      <w:r w:rsidR="00C64050">
        <w:t xml:space="preserve"> </w:t>
      </w:r>
      <w:r w:rsidRPr="00D954FE">
        <w:t>opportunities</w:t>
      </w:r>
      <w:r w:rsidR="00C64050">
        <w:t xml:space="preserve"> </w:t>
      </w:r>
      <w:r w:rsidRPr="00D954FE">
        <w:t>may</w:t>
      </w:r>
      <w:r w:rsidR="00C64050">
        <w:t xml:space="preserve"> </w:t>
      </w:r>
      <w:r w:rsidRPr="00D954FE">
        <w:t>exist</w:t>
      </w:r>
      <w:r w:rsidR="00C64050">
        <w:t xml:space="preserve"> </w:t>
      </w:r>
      <w:r w:rsidRPr="00D954FE">
        <w:t>in</w:t>
      </w:r>
      <w:r w:rsidR="00C64050">
        <w:t xml:space="preserve"> </w:t>
      </w:r>
      <w:r w:rsidRPr="00D954FE">
        <w:t>some</w:t>
      </w:r>
      <w:r w:rsidR="00C64050">
        <w:t xml:space="preserve"> </w:t>
      </w:r>
      <w:r w:rsidRPr="00D954FE">
        <w:t>circumstances</w:t>
      </w:r>
      <w:r w:rsidR="00C64050">
        <w:t xml:space="preserve"> </w:t>
      </w:r>
      <w:r w:rsidRPr="00D954FE">
        <w:t>for</w:t>
      </w:r>
      <w:r w:rsidR="00C64050">
        <w:t xml:space="preserve"> </w:t>
      </w:r>
      <w:r w:rsidRPr="00D954FE">
        <w:t>the</w:t>
      </w:r>
      <w:r w:rsidR="00C64050">
        <w:t xml:space="preserve"> </w:t>
      </w:r>
      <w:r w:rsidRPr="00D954FE">
        <w:t>recipient</w:t>
      </w:r>
      <w:r w:rsidR="00C64050">
        <w:t xml:space="preserve"> </w:t>
      </w:r>
      <w:r w:rsidRPr="00D954FE">
        <w:t>of</w:t>
      </w:r>
      <w:r w:rsidR="00C64050">
        <w:t xml:space="preserve"> </w:t>
      </w:r>
      <w:r w:rsidRPr="00D954FE">
        <w:t>such</w:t>
      </w:r>
      <w:r w:rsidR="00C64050">
        <w:t xml:space="preserve"> </w:t>
      </w:r>
      <w:r w:rsidRPr="00D954FE">
        <w:t>reporting</w:t>
      </w:r>
      <w:r w:rsidR="00C64050">
        <w:t xml:space="preserve"> </w:t>
      </w:r>
      <w:r w:rsidRPr="00D954FE">
        <w:t>to</w:t>
      </w:r>
      <w:r w:rsidR="00C64050">
        <w:t xml:space="preserve"> </w:t>
      </w:r>
      <w:r w:rsidRPr="00D954FE">
        <w:t>circumvent</w:t>
      </w:r>
      <w:r w:rsidR="00C64050">
        <w:t xml:space="preserve"> </w:t>
      </w:r>
      <w:r w:rsidRPr="00D954FE">
        <w:t>the</w:t>
      </w:r>
      <w:r w:rsidR="00C64050">
        <w:t xml:space="preserve"> </w:t>
      </w:r>
      <w:r w:rsidRPr="00D954FE">
        <w:t>purpose</w:t>
      </w:r>
      <w:r w:rsidR="00C64050">
        <w:t xml:space="preserve"> </w:t>
      </w:r>
      <w:r w:rsidRPr="00D954FE">
        <w:t>of</w:t>
      </w:r>
      <w:r w:rsidR="00C64050">
        <w:t xml:space="preserve"> </w:t>
      </w:r>
      <w:r w:rsidRPr="00D954FE">
        <w:t>the</w:t>
      </w:r>
      <w:r w:rsidR="00C64050">
        <w:t xml:space="preserve"> </w:t>
      </w:r>
      <w:r w:rsidRPr="00D954FE">
        <w:t>statute</w:t>
      </w:r>
      <w:r w:rsidR="00C64050">
        <w:t xml:space="preserve"> </w:t>
      </w:r>
      <w:r w:rsidRPr="00D954FE">
        <w:t>(for</w:t>
      </w:r>
      <w:r w:rsidR="00C64050">
        <w:t xml:space="preserve"> </w:t>
      </w:r>
      <w:r w:rsidRPr="00D954FE">
        <w:t>example,</w:t>
      </w:r>
      <w:r w:rsidR="00C64050">
        <w:t xml:space="preserve"> </w:t>
      </w:r>
      <w:r w:rsidRPr="00D954FE">
        <w:t>by</w:t>
      </w:r>
      <w:r w:rsidR="00C64050">
        <w:t xml:space="preserve"> </w:t>
      </w:r>
      <w:r w:rsidRPr="00D954FE">
        <w:t>making</w:t>
      </w:r>
      <w:r w:rsidR="00C64050">
        <w:t xml:space="preserve"> </w:t>
      </w:r>
      <w:r w:rsidRPr="00D954FE">
        <w:t>a</w:t>
      </w:r>
      <w:r w:rsidR="00C64050">
        <w:t xml:space="preserve"> </w:t>
      </w:r>
      <w:r w:rsidRPr="00D954FE">
        <w:t>gift</w:t>
      </w:r>
      <w:r w:rsidR="00C64050">
        <w:t xml:space="preserve"> </w:t>
      </w:r>
      <w:r w:rsidRPr="00D954FE">
        <w:t>of</w:t>
      </w:r>
      <w:r w:rsidR="00C64050">
        <w:t xml:space="preserve"> </w:t>
      </w:r>
      <w:r w:rsidRPr="00D954FE">
        <w:t>the</w:t>
      </w:r>
      <w:r w:rsidR="00C64050">
        <w:t xml:space="preserve"> </w:t>
      </w:r>
      <w:r w:rsidRPr="00D954FE">
        <w:t>property</w:t>
      </w:r>
      <w:r w:rsidR="00C64050">
        <w:t xml:space="preserve"> </w:t>
      </w:r>
      <w:r w:rsidRPr="00D954FE">
        <w:t>to</w:t>
      </w:r>
      <w:r w:rsidR="00C64050">
        <w:t xml:space="preserve"> </w:t>
      </w:r>
      <w:r w:rsidRPr="00D954FE">
        <w:t>a</w:t>
      </w:r>
      <w:r w:rsidR="00C64050">
        <w:t xml:space="preserve"> </w:t>
      </w:r>
      <w:r w:rsidRPr="00D954FE">
        <w:t>complex</w:t>
      </w:r>
      <w:r w:rsidR="00C64050">
        <w:t xml:space="preserve"> </w:t>
      </w:r>
      <w:r w:rsidRPr="00D954FE">
        <w:t>trust</w:t>
      </w:r>
      <w:r w:rsidR="00C64050">
        <w:t xml:space="preserve"> </w:t>
      </w:r>
      <w:r w:rsidRPr="00D954FE">
        <w:t>for</w:t>
      </w:r>
      <w:r w:rsidR="00C64050">
        <w:t xml:space="preserve"> </w:t>
      </w:r>
      <w:r w:rsidRPr="00D954FE">
        <w:t>the</w:t>
      </w:r>
      <w:r w:rsidR="00C64050">
        <w:t xml:space="preserve"> </w:t>
      </w:r>
      <w:r w:rsidRPr="00D954FE">
        <w:t>benefit</w:t>
      </w:r>
      <w:r w:rsidR="00C64050">
        <w:t xml:space="preserve"> </w:t>
      </w:r>
      <w:r w:rsidRPr="00D954FE">
        <w:t>of</w:t>
      </w:r>
      <w:r w:rsidR="00C64050">
        <w:t xml:space="preserve"> </w:t>
      </w:r>
      <w:r w:rsidRPr="00D954FE">
        <w:t>the</w:t>
      </w:r>
      <w:r w:rsidR="00C64050">
        <w:t xml:space="preserve"> </w:t>
      </w:r>
      <w:r w:rsidRPr="00D954FE">
        <w:t>transferor's</w:t>
      </w:r>
      <w:r w:rsidR="00C64050">
        <w:t xml:space="preserve"> </w:t>
      </w:r>
      <w:r w:rsidRPr="00D954FE">
        <w:t>family).</w:t>
      </w:r>
    </w:p>
    <w:p w:rsidR="00465BBA" w:rsidRPr="00D954FE" w:rsidRDefault="00465BBA" w:rsidP="00D954FE">
      <w:pPr>
        <w:pStyle w:val="QS10"/>
      </w:pPr>
      <w:r w:rsidRPr="00D954FE">
        <w:t>Accordingly,</w:t>
      </w:r>
      <w:r w:rsidR="00C64050">
        <w:t xml:space="preserve"> </w:t>
      </w:r>
      <w:r w:rsidRPr="00D954FE">
        <w:t>pursuant</w:t>
      </w:r>
      <w:r w:rsidR="00C64050">
        <w:t xml:space="preserve"> </w:t>
      </w:r>
      <w:r w:rsidRPr="00D954FE">
        <w:t>to</w:t>
      </w:r>
      <w:r w:rsidR="00C64050">
        <w:t xml:space="preserve"> </w:t>
      </w:r>
      <w:r w:rsidRPr="00D954FE">
        <w:t>the</w:t>
      </w:r>
      <w:r w:rsidR="00C64050">
        <w:t xml:space="preserve"> </w:t>
      </w:r>
      <w:r w:rsidRPr="00D954FE">
        <w:t>regulatory</w:t>
      </w:r>
      <w:r w:rsidR="00C64050">
        <w:t xml:space="preserve"> </w:t>
      </w:r>
      <w:r w:rsidRPr="00D954FE">
        <w:t>authority</w:t>
      </w:r>
      <w:r w:rsidR="00C64050">
        <w:t xml:space="preserve"> </w:t>
      </w:r>
      <w:r w:rsidRPr="00D954FE">
        <w:t>granted</w:t>
      </w:r>
      <w:r w:rsidR="00C64050">
        <w:t xml:space="preserve"> </w:t>
      </w:r>
      <w:r w:rsidRPr="00D954FE">
        <w:t>in</w:t>
      </w:r>
      <w:r w:rsidR="00C64050">
        <w:t xml:space="preserve"> </w:t>
      </w:r>
      <w:hyperlink r:id="rId80" w:anchor="co_pp_c0ae00006c482" w:history="1">
        <w:r w:rsidRPr="00D954FE">
          <w:t>section</w:t>
        </w:r>
        <w:r w:rsidR="00C64050">
          <w:t xml:space="preserve"> </w:t>
        </w:r>
        <w:r w:rsidRPr="00D954FE">
          <w:t>6035(b)(2)</w:t>
        </w:r>
      </w:hyperlink>
      <w:r w:rsidRPr="00D954FE">
        <w:t>,</w:t>
      </w:r>
      <w:r w:rsidR="00C64050">
        <w:t xml:space="preserve"> </w:t>
      </w:r>
      <w:r w:rsidRPr="00D954FE">
        <w:t>the</w:t>
      </w:r>
      <w:r w:rsidR="00C64050">
        <w:t xml:space="preserve"> </w:t>
      </w:r>
      <w:r w:rsidRPr="00D954FE">
        <w:t>proposed</w:t>
      </w:r>
      <w:r w:rsidR="00C64050">
        <w:t xml:space="preserve"> </w:t>
      </w:r>
      <w:r w:rsidRPr="00D954FE">
        <w:t>regulations</w:t>
      </w:r>
      <w:r w:rsidR="00C64050">
        <w:t xml:space="preserve"> </w:t>
      </w:r>
      <w:r w:rsidRPr="00D954FE">
        <w:t>require</w:t>
      </w:r>
      <w:r w:rsidR="00C64050">
        <w:t xml:space="preserve"> </w:t>
      </w:r>
      <w:r w:rsidRPr="00D954FE">
        <w:t>additional</w:t>
      </w:r>
      <w:r w:rsidR="00C64050">
        <w:t xml:space="preserve"> </w:t>
      </w:r>
      <w:r w:rsidRPr="00D954FE">
        <w:t>information</w:t>
      </w:r>
      <w:r w:rsidR="00C64050">
        <w:t xml:space="preserve"> </w:t>
      </w:r>
      <w:r w:rsidRPr="00D954FE">
        <w:t>reporting</w:t>
      </w:r>
      <w:r w:rsidR="00C64050">
        <w:t xml:space="preserve"> </w:t>
      </w:r>
      <w:r w:rsidRPr="00D954FE">
        <w:t>by</w:t>
      </w:r>
      <w:r w:rsidR="00C64050">
        <w:t xml:space="preserve"> </w:t>
      </w:r>
      <w:r w:rsidRPr="00D954FE">
        <w:t>certain</w:t>
      </w:r>
      <w:r w:rsidR="00C64050">
        <w:t xml:space="preserve"> </w:t>
      </w:r>
      <w:r w:rsidRPr="00D954FE">
        <w:t>subsequent</w:t>
      </w:r>
      <w:r w:rsidR="00C64050">
        <w:t xml:space="preserve"> </w:t>
      </w:r>
      <w:r w:rsidRPr="00D954FE">
        <w:t>transferors</w:t>
      </w:r>
      <w:r w:rsidR="00C64050">
        <w:t xml:space="preserve"> </w:t>
      </w:r>
      <w:r w:rsidRPr="00D954FE">
        <w:t>in</w:t>
      </w:r>
      <w:r w:rsidR="00C64050">
        <w:t xml:space="preserve"> </w:t>
      </w:r>
      <w:r w:rsidRPr="00D954FE">
        <w:t>limited</w:t>
      </w:r>
      <w:r w:rsidR="00C64050">
        <w:t xml:space="preserve"> </w:t>
      </w:r>
      <w:r w:rsidRPr="00D954FE">
        <w:t>circumstances.</w:t>
      </w:r>
      <w:r w:rsidR="00C64050">
        <w:t xml:space="preserve"> </w:t>
      </w:r>
      <w:r w:rsidRPr="00D954FE">
        <w:t>Specifically,</w:t>
      </w:r>
      <w:r w:rsidR="00C64050">
        <w:t xml:space="preserve"> </w:t>
      </w:r>
      <w:r w:rsidRPr="00D954FE">
        <w:t>proposed</w:t>
      </w:r>
      <w:r w:rsidR="00C64050">
        <w:t xml:space="preserve"> </w:t>
      </w:r>
      <w:r w:rsidRPr="00D954FE">
        <w:t>§</w:t>
      </w:r>
      <w:r w:rsidR="00C64050">
        <w:t xml:space="preserve"> </w:t>
      </w:r>
      <w:r w:rsidRPr="00D954FE">
        <w:t>1.6035-1(f)</w:t>
      </w:r>
      <w:r w:rsidR="00C64050">
        <w:t xml:space="preserve"> </w:t>
      </w:r>
      <w:r w:rsidRPr="00D954FE">
        <w:t>provides</w:t>
      </w:r>
      <w:r w:rsidR="00C64050">
        <w:t xml:space="preserve"> </w:t>
      </w:r>
      <w:r w:rsidRPr="00D954FE">
        <w:t>that,</w:t>
      </w:r>
      <w:r w:rsidR="00C64050">
        <w:t xml:space="preserve"> </w:t>
      </w:r>
      <w:r w:rsidRPr="00D954FE">
        <w:t>with</w:t>
      </w:r>
      <w:r w:rsidR="00C64050">
        <w:t xml:space="preserve"> </w:t>
      </w:r>
      <w:r w:rsidRPr="00D954FE">
        <w:t>regard</w:t>
      </w:r>
      <w:r w:rsidR="00C64050">
        <w:t xml:space="preserve"> </w:t>
      </w:r>
      <w:r w:rsidRPr="00D954FE">
        <w:t>to</w:t>
      </w:r>
      <w:r w:rsidR="00C64050">
        <w:t xml:space="preserve"> </w:t>
      </w:r>
      <w:r w:rsidRPr="00D954FE">
        <w:t>property</w:t>
      </w:r>
      <w:r w:rsidR="00C64050">
        <w:t xml:space="preserve"> </w:t>
      </w:r>
      <w:r w:rsidRPr="00D954FE">
        <w:t>that</w:t>
      </w:r>
      <w:r w:rsidR="00C64050">
        <w:t xml:space="preserve"> </w:t>
      </w:r>
      <w:r w:rsidRPr="00D954FE">
        <w:t>previously</w:t>
      </w:r>
      <w:r w:rsidR="00C64050">
        <w:t xml:space="preserve"> </w:t>
      </w:r>
      <w:r w:rsidRPr="00D954FE">
        <w:t>was</w:t>
      </w:r>
      <w:r w:rsidR="00C64050">
        <w:t xml:space="preserve"> </w:t>
      </w:r>
      <w:r w:rsidRPr="00D954FE">
        <w:t>reported</w:t>
      </w:r>
      <w:r w:rsidR="00C64050">
        <w:t xml:space="preserve"> </w:t>
      </w:r>
      <w:r w:rsidRPr="00D954FE">
        <w:t>or</w:t>
      </w:r>
      <w:r w:rsidR="00C64050">
        <w:t xml:space="preserve"> </w:t>
      </w:r>
      <w:r w:rsidRPr="00D954FE">
        <w:t>is</w:t>
      </w:r>
      <w:r w:rsidR="00C64050">
        <w:t xml:space="preserve"> </w:t>
      </w:r>
      <w:r w:rsidRPr="00D954FE">
        <w:t>required</w:t>
      </w:r>
      <w:r w:rsidR="00C64050">
        <w:t xml:space="preserve"> </w:t>
      </w:r>
      <w:r w:rsidRPr="00D954FE">
        <w:t>to</w:t>
      </w:r>
      <w:r w:rsidR="00C64050">
        <w:t xml:space="preserve"> </w:t>
      </w:r>
      <w:r w:rsidRPr="00D954FE">
        <w:t>be</w:t>
      </w:r>
      <w:r w:rsidR="00C64050">
        <w:t xml:space="preserve"> </w:t>
      </w:r>
      <w:r w:rsidRPr="00D954FE">
        <w:t>reported</w:t>
      </w:r>
      <w:r w:rsidR="00C64050">
        <w:t xml:space="preserve"> </w:t>
      </w:r>
      <w:r w:rsidRPr="00D954FE">
        <w:t>on</w:t>
      </w:r>
      <w:r w:rsidR="00C64050">
        <w:t xml:space="preserve"> </w:t>
      </w:r>
      <w:r w:rsidRPr="00D954FE">
        <w:t>a</w:t>
      </w:r>
      <w:r w:rsidR="00C64050">
        <w:t xml:space="preserve"> </w:t>
      </w:r>
      <w:r w:rsidRPr="00D954FE">
        <w:t>Statement</w:t>
      </w:r>
      <w:r w:rsidR="00C64050">
        <w:t xml:space="preserve"> </w:t>
      </w:r>
      <w:r w:rsidRPr="00D954FE">
        <w:t>furnished</w:t>
      </w:r>
      <w:r w:rsidR="00C64050">
        <w:t xml:space="preserve"> </w:t>
      </w:r>
      <w:r w:rsidRPr="00D954FE">
        <w:t>to</w:t>
      </w:r>
      <w:r w:rsidR="00C64050">
        <w:t xml:space="preserve"> </w:t>
      </w:r>
      <w:r w:rsidRPr="00D954FE">
        <w:t>a</w:t>
      </w:r>
      <w:r w:rsidR="00C64050">
        <w:t xml:space="preserve"> </w:t>
      </w:r>
      <w:r w:rsidRPr="00D954FE">
        <w:t>recipient,</w:t>
      </w:r>
      <w:r w:rsidR="00C64050">
        <w:t xml:space="preserve"> </w:t>
      </w:r>
      <w:r w:rsidRPr="00D954FE">
        <w:t>when</w:t>
      </w:r>
      <w:r w:rsidR="00C64050">
        <w:t xml:space="preserve"> </w:t>
      </w:r>
      <w:r w:rsidRPr="00D954FE">
        <w:t>the</w:t>
      </w:r>
      <w:r w:rsidR="00C64050">
        <w:t xml:space="preserve"> </w:t>
      </w:r>
      <w:r w:rsidRPr="00D954FE">
        <w:t>recipient</w:t>
      </w:r>
      <w:r w:rsidR="00C64050">
        <w:t xml:space="preserve"> </w:t>
      </w:r>
      <w:r w:rsidRPr="00D954FE">
        <w:t>distributes</w:t>
      </w:r>
      <w:r w:rsidR="00C64050">
        <w:t xml:space="preserve"> </w:t>
      </w:r>
      <w:r w:rsidRPr="00D954FE">
        <w:t>or</w:t>
      </w:r>
      <w:r w:rsidR="00C64050">
        <w:t xml:space="preserve"> </w:t>
      </w:r>
      <w:r w:rsidRPr="00D954FE">
        <w:t>transfers</w:t>
      </w:r>
      <w:r w:rsidR="00C64050">
        <w:t xml:space="preserve"> </w:t>
      </w:r>
      <w:r w:rsidRPr="00D954FE">
        <w:t>(by</w:t>
      </w:r>
      <w:r w:rsidR="00C64050">
        <w:t xml:space="preserve"> </w:t>
      </w:r>
      <w:r w:rsidRPr="00D954FE">
        <w:t>gift</w:t>
      </w:r>
      <w:r w:rsidR="00C64050">
        <w:t xml:space="preserve"> </w:t>
      </w:r>
      <w:r w:rsidRPr="00D954FE">
        <w:t>or</w:t>
      </w:r>
      <w:r w:rsidR="00C64050">
        <w:t xml:space="preserve"> </w:t>
      </w:r>
      <w:r w:rsidRPr="00D954FE">
        <w:t>otherwise)</w:t>
      </w:r>
      <w:r w:rsidR="00C64050">
        <w:t xml:space="preserve"> </w:t>
      </w:r>
      <w:r w:rsidRPr="00D954FE">
        <w:t>all</w:t>
      </w:r>
      <w:r w:rsidR="00C64050">
        <w:t xml:space="preserve"> </w:t>
      </w:r>
      <w:r w:rsidRPr="00D954FE">
        <w:t>or</w:t>
      </w:r>
      <w:r w:rsidR="00C64050">
        <w:t xml:space="preserve"> </w:t>
      </w:r>
      <w:r w:rsidRPr="00D954FE">
        <w:t>any</w:t>
      </w:r>
      <w:r w:rsidR="00C64050">
        <w:t xml:space="preserve"> </w:t>
      </w:r>
      <w:r w:rsidRPr="00D954FE">
        <w:t>portion</w:t>
      </w:r>
      <w:r w:rsidR="00C64050">
        <w:t xml:space="preserve"> </w:t>
      </w:r>
      <w:r w:rsidRPr="00D954FE">
        <w:t>of</w:t>
      </w:r>
      <w:r w:rsidR="00C64050">
        <w:t xml:space="preserve"> </w:t>
      </w:r>
      <w:r w:rsidRPr="00D954FE">
        <w:t>that</w:t>
      </w:r>
      <w:r w:rsidR="00C64050">
        <w:t xml:space="preserve"> </w:t>
      </w:r>
      <w:r w:rsidRPr="00D954FE">
        <w:t>property</w:t>
      </w:r>
      <w:r w:rsidR="00C64050">
        <w:t xml:space="preserve"> </w:t>
      </w:r>
      <w:r w:rsidRPr="00D954FE">
        <w:t>to</w:t>
      </w:r>
      <w:r w:rsidR="00C64050">
        <w:t xml:space="preserve"> </w:t>
      </w:r>
      <w:r w:rsidRPr="00D954FE">
        <w:t>a</w:t>
      </w:r>
      <w:r w:rsidR="00C64050">
        <w:t xml:space="preserve"> </w:t>
      </w:r>
      <w:r w:rsidRPr="00D954FE">
        <w:t>related</w:t>
      </w:r>
      <w:r w:rsidR="00C64050">
        <w:t xml:space="preserve"> </w:t>
      </w:r>
      <w:r w:rsidRPr="00D954FE">
        <w:t>transferee,</w:t>
      </w:r>
      <w:r w:rsidR="00C64050">
        <w:t xml:space="preserve"> </w:t>
      </w:r>
      <w:r w:rsidRPr="00D954FE">
        <w:t>whether</w:t>
      </w:r>
      <w:r w:rsidR="00C64050">
        <w:t xml:space="preserve"> </w:t>
      </w:r>
      <w:r w:rsidRPr="00D954FE">
        <w:t>directly</w:t>
      </w:r>
      <w:r w:rsidR="00C64050">
        <w:t xml:space="preserve"> </w:t>
      </w:r>
      <w:r w:rsidRPr="00D954FE">
        <w:t>or</w:t>
      </w:r>
      <w:r w:rsidR="00C64050">
        <w:t xml:space="preserve"> </w:t>
      </w:r>
      <w:r w:rsidRPr="00D954FE">
        <w:t>indirectly,</w:t>
      </w:r>
      <w:r w:rsidR="00C64050">
        <w:t xml:space="preserve"> </w:t>
      </w:r>
      <w:r w:rsidRPr="00D954FE">
        <w:t>in</w:t>
      </w:r>
      <w:r w:rsidR="00C64050">
        <w:t xml:space="preserve"> </w:t>
      </w:r>
      <w:r w:rsidRPr="00D954FE">
        <w:t>a</w:t>
      </w:r>
      <w:r w:rsidR="00C64050">
        <w:t xml:space="preserve"> </w:t>
      </w:r>
      <w:r w:rsidRPr="00D954FE">
        <w:t>transaction</w:t>
      </w:r>
      <w:r w:rsidR="00C64050">
        <w:t xml:space="preserve"> </w:t>
      </w:r>
      <w:r w:rsidRPr="00D954FE">
        <w:t>in</w:t>
      </w:r>
      <w:r w:rsidR="00C64050">
        <w:t xml:space="preserve"> </w:t>
      </w:r>
      <w:r w:rsidRPr="00D954FE">
        <w:t>which</w:t>
      </w:r>
      <w:r w:rsidR="00C64050">
        <w:t xml:space="preserve"> </w:t>
      </w:r>
      <w:r w:rsidRPr="00D954FE">
        <w:t>the</w:t>
      </w:r>
      <w:r w:rsidR="00C64050">
        <w:t xml:space="preserve"> </w:t>
      </w:r>
      <w:r w:rsidRPr="00D954FE">
        <w:t>transferee's</w:t>
      </w:r>
      <w:r w:rsidR="00C64050">
        <w:t xml:space="preserve"> </w:t>
      </w:r>
      <w:r w:rsidRPr="00D954FE">
        <w:t>basis</w:t>
      </w:r>
      <w:r w:rsidR="00C64050">
        <w:t xml:space="preserve"> </w:t>
      </w:r>
      <w:r w:rsidRPr="00D954FE">
        <w:t>for</w:t>
      </w:r>
      <w:r w:rsidR="00C64050">
        <w:t xml:space="preserve"> </w:t>
      </w:r>
      <w:r w:rsidRPr="00D954FE">
        <w:t>Federal</w:t>
      </w:r>
      <w:r w:rsidR="00C64050">
        <w:t xml:space="preserve"> </w:t>
      </w:r>
      <w:r w:rsidRPr="00D954FE">
        <w:t>income</w:t>
      </w:r>
      <w:r w:rsidR="00C64050">
        <w:t xml:space="preserve"> </w:t>
      </w:r>
      <w:r w:rsidRPr="00D954FE">
        <w:t>tax</w:t>
      </w:r>
      <w:r w:rsidR="00C64050">
        <w:t xml:space="preserve"> </w:t>
      </w:r>
      <w:r w:rsidRPr="00D954FE">
        <w:t>purposes</w:t>
      </w:r>
      <w:r w:rsidR="00C64050">
        <w:t xml:space="preserve"> </w:t>
      </w:r>
      <w:r w:rsidRPr="00D954FE">
        <w:t>is</w:t>
      </w:r>
      <w:r w:rsidR="00C64050">
        <w:t xml:space="preserve"> </w:t>
      </w:r>
      <w:r w:rsidRPr="00D954FE">
        <w:t>determined</w:t>
      </w:r>
      <w:r w:rsidR="00C64050">
        <w:t xml:space="preserve"> </w:t>
      </w:r>
      <w:r w:rsidRPr="00D954FE">
        <w:t>in</w:t>
      </w:r>
      <w:r w:rsidR="00C64050">
        <w:t xml:space="preserve"> </w:t>
      </w:r>
      <w:r w:rsidRPr="00D954FE">
        <w:t>whole</w:t>
      </w:r>
      <w:r w:rsidR="00C64050">
        <w:t xml:space="preserve"> </w:t>
      </w:r>
      <w:r w:rsidRPr="00D954FE">
        <w:t>or</w:t>
      </w:r>
      <w:r w:rsidR="00C64050">
        <w:t xml:space="preserve"> </w:t>
      </w:r>
      <w:r w:rsidRPr="00D954FE">
        <w:t>in</w:t>
      </w:r>
      <w:r w:rsidR="00C64050">
        <w:t xml:space="preserve"> </w:t>
      </w:r>
      <w:r w:rsidRPr="00D954FE">
        <w:t>part</w:t>
      </w:r>
      <w:r w:rsidR="00C64050">
        <w:t xml:space="preserve"> </w:t>
      </w:r>
      <w:r w:rsidRPr="00D954FE">
        <w:t>with</w:t>
      </w:r>
      <w:r w:rsidR="00C64050">
        <w:t xml:space="preserve"> </w:t>
      </w:r>
      <w:r w:rsidRPr="00D954FE">
        <w:t>reference</w:t>
      </w:r>
      <w:r w:rsidR="00C64050">
        <w:t xml:space="preserve"> </w:t>
      </w:r>
      <w:r w:rsidRPr="00D954FE">
        <w:t>to</w:t>
      </w:r>
      <w:r w:rsidR="00C64050">
        <w:t xml:space="preserve"> </w:t>
      </w:r>
      <w:r w:rsidRPr="00D954FE">
        <w:t>the</w:t>
      </w:r>
      <w:r w:rsidR="00C64050">
        <w:t xml:space="preserve"> </w:t>
      </w:r>
      <w:r w:rsidRPr="00D954FE">
        <w:t>transferor's</w:t>
      </w:r>
      <w:r w:rsidR="00C64050">
        <w:t xml:space="preserve"> </w:t>
      </w:r>
      <w:r w:rsidRPr="00D954FE">
        <w:t>basis,</w:t>
      </w:r>
      <w:r w:rsidR="00C64050">
        <w:t xml:space="preserve"> </w:t>
      </w:r>
      <w:r w:rsidRPr="00D954FE">
        <w:t>the</w:t>
      </w:r>
      <w:r w:rsidR="00C64050">
        <w:t xml:space="preserve"> </w:t>
      </w:r>
      <w:r w:rsidRPr="00D954FE">
        <w:t>transferor</w:t>
      </w:r>
      <w:r w:rsidR="00C64050">
        <w:t xml:space="preserve"> </w:t>
      </w:r>
      <w:r w:rsidRPr="00D954FE">
        <w:t>is</w:t>
      </w:r>
      <w:r w:rsidR="00C64050">
        <w:t xml:space="preserve"> </w:t>
      </w:r>
      <w:r w:rsidRPr="00D954FE">
        <w:t>required</w:t>
      </w:r>
      <w:r w:rsidR="00C64050">
        <w:t xml:space="preserve"> </w:t>
      </w:r>
      <w:r w:rsidRPr="00D954FE">
        <w:t>to</w:t>
      </w:r>
      <w:r w:rsidR="00C64050">
        <w:t xml:space="preserve"> </w:t>
      </w:r>
      <w:r w:rsidRPr="00D954FE">
        <w:t>file</w:t>
      </w:r>
      <w:r w:rsidR="00C64050">
        <w:t xml:space="preserve"> </w:t>
      </w:r>
      <w:r w:rsidRPr="00D954FE">
        <w:t>and</w:t>
      </w:r>
      <w:r w:rsidR="00C64050">
        <w:t xml:space="preserve"> </w:t>
      </w:r>
      <w:r w:rsidRPr="00D954FE">
        <w:t>furnish</w:t>
      </w:r>
      <w:r w:rsidR="00C64050">
        <w:t xml:space="preserve"> </w:t>
      </w:r>
      <w:r w:rsidRPr="00D954FE">
        <w:t>with</w:t>
      </w:r>
      <w:r w:rsidR="00C64050">
        <w:t xml:space="preserve"> </w:t>
      </w:r>
      <w:r w:rsidRPr="00D954FE">
        <w:t>the</w:t>
      </w:r>
      <w:r w:rsidR="00C64050">
        <w:t xml:space="preserve"> </w:t>
      </w:r>
      <w:r w:rsidRPr="00D954FE">
        <w:t>IRS</w:t>
      </w:r>
      <w:r w:rsidR="00C64050">
        <w:t xml:space="preserve"> </w:t>
      </w:r>
      <w:r w:rsidRPr="00D954FE">
        <w:t>and</w:t>
      </w:r>
      <w:r w:rsidR="00C64050">
        <w:t xml:space="preserve"> </w:t>
      </w:r>
      <w:r w:rsidRPr="00D954FE">
        <w:t>the</w:t>
      </w:r>
      <w:r w:rsidR="00C64050">
        <w:t xml:space="preserve"> </w:t>
      </w:r>
      <w:r w:rsidRPr="00D954FE">
        <w:t>transferee,</w:t>
      </w:r>
      <w:r w:rsidR="00C64050">
        <w:t xml:space="preserve"> </w:t>
      </w:r>
      <w:r w:rsidRPr="00D954FE">
        <w:t>respectively,</w:t>
      </w:r>
      <w:r w:rsidR="00C64050">
        <w:t xml:space="preserve"> </w:t>
      </w:r>
      <w:r w:rsidRPr="00D954FE">
        <w:t>a</w:t>
      </w:r>
      <w:r w:rsidR="00C64050">
        <w:t xml:space="preserve"> </w:t>
      </w:r>
      <w:r w:rsidRPr="00D954FE">
        <w:t>supplemental</w:t>
      </w:r>
      <w:r w:rsidR="00C64050">
        <w:t xml:space="preserve"> </w:t>
      </w:r>
      <w:r w:rsidRPr="00D954FE">
        <w:t>Statement</w:t>
      </w:r>
      <w:r w:rsidR="00C64050">
        <w:t xml:space="preserve"> </w:t>
      </w:r>
      <w:r w:rsidRPr="00D954FE">
        <w:t>documenting</w:t>
      </w:r>
      <w:r w:rsidR="00C64050">
        <w:t xml:space="preserve"> </w:t>
      </w:r>
      <w:r w:rsidRPr="00D954FE">
        <w:t>the</w:t>
      </w:r>
      <w:r w:rsidR="00C64050">
        <w:t xml:space="preserve"> </w:t>
      </w:r>
      <w:r w:rsidRPr="00D954FE">
        <w:t>new</w:t>
      </w:r>
      <w:r w:rsidR="00C64050">
        <w:t xml:space="preserve"> </w:t>
      </w:r>
      <w:r w:rsidRPr="00D954FE">
        <w:t>ownership</w:t>
      </w:r>
      <w:r w:rsidR="00C64050">
        <w:t xml:space="preserve"> </w:t>
      </w:r>
      <w:r w:rsidRPr="00D954FE">
        <w:t>of</w:t>
      </w:r>
      <w:r w:rsidR="00C64050">
        <w:t xml:space="preserve"> </w:t>
      </w:r>
      <w:r w:rsidRPr="00D954FE">
        <w:t>this</w:t>
      </w:r>
      <w:r w:rsidR="00C64050">
        <w:t xml:space="preserve"> </w:t>
      </w:r>
      <w:r w:rsidRPr="00D954FE">
        <w:t>property.</w:t>
      </w:r>
      <w:r w:rsidR="00C64050">
        <w:t xml:space="preserve"> </w:t>
      </w:r>
      <w:r w:rsidRPr="00D954FE">
        <w:t>This</w:t>
      </w:r>
      <w:r w:rsidR="00C64050">
        <w:t xml:space="preserve"> </w:t>
      </w:r>
      <w:r w:rsidRPr="00D954FE">
        <w:t>proposed</w:t>
      </w:r>
      <w:r w:rsidR="00C64050">
        <w:t xml:space="preserve"> </w:t>
      </w:r>
      <w:r w:rsidRPr="00D954FE">
        <w:t>reporting</w:t>
      </w:r>
      <w:r w:rsidR="00C64050">
        <w:t xml:space="preserve"> </w:t>
      </w:r>
      <w:r w:rsidRPr="00D954FE">
        <w:t>requirement</w:t>
      </w:r>
      <w:r w:rsidR="00C64050">
        <w:t xml:space="preserve"> </w:t>
      </w:r>
      <w:r w:rsidRPr="00D954FE">
        <w:t>is</w:t>
      </w:r>
      <w:r w:rsidR="00C64050">
        <w:t xml:space="preserve"> </w:t>
      </w:r>
      <w:r w:rsidRPr="00D954FE">
        <w:t>imposed</w:t>
      </w:r>
      <w:r w:rsidR="00C64050">
        <w:t xml:space="preserve"> </w:t>
      </w:r>
      <w:r w:rsidRPr="00D954FE">
        <w:t>on</w:t>
      </w:r>
      <w:r w:rsidR="00C64050">
        <w:t xml:space="preserve"> </w:t>
      </w:r>
      <w:r w:rsidRPr="00D954FE">
        <w:t>each</w:t>
      </w:r>
      <w:r w:rsidR="00C64050">
        <w:t xml:space="preserve"> </w:t>
      </w:r>
      <w:r w:rsidRPr="00D954FE">
        <w:t>such</w:t>
      </w:r>
      <w:r w:rsidR="00C64050">
        <w:t xml:space="preserve"> </w:t>
      </w:r>
      <w:r w:rsidRPr="00D954FE">
        <w:t>recipient</w:t>
      </w:r>
      <w:r w:rsidR="00C64050">
        <w:t xml:space="preserve"> </w:t>
      </w:r>
      <w:r w:rsidRPr="00D954FE">
        <w:t>of</w:t>
      </w:r>
      <w:r w:rsidR="00C64050">
        <w:t xml:space="preserve"> </w:t>
      </w:r>
      <w:r w:rsidRPr="00D954FE">
        <w:t>the</w:t>
      </w:r>
      <w:r w:rsidR="00C64050">
        <w:t xml:space="preserve"> </w:t>
      </w:r>
      <w:r w:rsidRPr="00D954FE">
        <w:t>property.</w:t>
      </w:r>
      <w:r w:rsidR="00C64050">
        <w:t xml:space="preserve"> </w:t>
      </w:r>
      <w:r w:rsidRPr="00D954FE">
        <w:t>For</w:t>
      </w:r>
      <w:r w:rsidR="00C64050">
        <w:t xml:space="preserve"> </w:t>
      </w:r>
      <w:r w:rsidRPr="00D954FE">
        <w:t>purposes</w:t>
      </w:r>
      <w:r w:rsidR="00C64050">
        <w:t xml:space="preserve"> </w:t>
      </w:r>
      <w:r w:rsidRPr="00D954FE">
        <w:t>of</w:t>
      </w:r>
      <w:r w:rsidR="00C64050">
        <w:t xml:space="preserve"> </w:t>
      </w:r>
      <w:r w:rsidRPr="00D954FE">
        <w:t>this</w:t>
      </w:r>
      <w:r w:rsidR="00C64050">
        <w:t xml:space="preserve"> </w:t>
      </w:r>
      <w:r w:rsidRPr="00D954FE">
        <w:t>provision,</w:t>
      </w:r>
      <w:r w:rsidR="00C64050">
        <w:t xml:space="preserve"> </w:t>
      </w:r>
      <w:r w:rsidRPr="00D954FE">
        <w:t>a</w:t>
      </w:r>
      <w:r w:rsidR="00C64050">
        <w:t xml:space="preserve"> </w:t>
      </w:r>
      <w:r w:rsidRPr="00D954FE">
        <w:t>related</w:t>
      </w:r>
      <w:r w:rsidR="00C64050">
        <w:t xml:space="preserve"> </w:t>
      </w:r>
      <w:r w:rsidRPr="00D954FE">
        <w:t>transferee</w:t>
      </w:r>
      <w:r w:rsidR="00C64050">
        <w:t xml:space="preserve"> </w:t>
      </w:r>
      <w:r w:rsidRPr="00D954FE">
        <w:t>means</w:t>
      </w:r>
      <w:r w:rsidR="00C64050">
        <w:t xml:space="preserve"> </w:t>
      </w:r>
      <w:r w:rsidRPr="00D954FE">
        <w:t>any</w:t>
      </w:r>
      <w:r w:rsidR="00C64050">
        <w:t xml:space="preserve"> </w:t>
      </w:r>
      <w:r w:rsidRPr="00D954FE">
        <w:t>member</w:t>
      </w:r>
      <w:r w:rsidR="00C64050">
        <w:t xml:space="preserve"> </w:t>
      </w:r>
      <w:r w:rsidRPr="00D954FE">
        <w:t>of</w:t>
      </w:r>
      <w:r w:rsidR="00C64050">
        <w:t xml:space="preserve"> </w:t>
      </w:r>
      <w:r w:rsidRPr="00D954FE">
        <w:t>the</w:t>
      </w:r>
      <w:r w:rsidR="00C64050">
        <w:t xml:space="preserve"> </w:t>
      </w:r>
      <w:r w:rsidRPr="00D954FE">
        <w:t>transferor's</w:t>
      </w:r>
      <w:r w:rsidR="00C64050">
        <w:t xml:space="preserve"> </w:t>
      </w:r>
      <w:r w:rsidRPr="00D954FE">
        <w:t>family</w:t>
      </w:r>
      <w:r w:rsidR="00C64050">
        <w:t xml:space="preserve"> </w:t>
      </w:r>
      <w:r w:rsidRPr="00D954FE">
        <w:t>as</w:t>
      </w:r>
      <w:r w:rsidR="00C64050">
        <w:t xml:space="preserve"> </w:t>
      </w:r>
      <w:r w:rsidRPr="00D954FE">
        <w:t>defined</w:t>
      </w:r>
      <w:r w:rsidR="00C64050">
        <w:t xml:space="preserve"> </w:t>
      </w:r>
      <w:r w:rsidRPr="00D954FE">
        <w:t>in</w:t>
      </w:r>
      <w:r w:rsidR="00C64050">
        <w:t xml:space="preserve"> </w:t>
      </w:r>
      <w:r w:rsidRPr="00D954FE">
        <w:t>section</w:t>
      </w:r>
      <w:r w:rsidR="00C64050">
        <w:t xml:space="preserve"> </w:t>
      </w:r>
      <w:r w:rsidRPr="00D954FE">
        <w:t>2704(c)(2),</w:t>
      </w:r>
      <w:r w:rsidR="00C64050">
        <w:t xml:space="preserve"> </w:t>
      </w:r>
      <w:r w:rsidRPr="00D954FE">
        <w:t>any</w:t>
      </w:r>
      <w:r w:rsidR="00C64050">
        <w:t xml:space="preserve"> </w:t>
      </w:r>
      <w:r w:rsidRPr="00D954FE">
        <w:t>controlled</w:t>
      </w:r>
      <w:r w:rsidR="00C64050">
        <w:t xml:space="preserve"> </w:t>
      </w:r>
      <w:r w:rsidRPr="00D954FE">
        <w:t>entity</w:t>
      </w:r>
      <w:r w:rsidR="00C64050">
        <w:t xml:space="preserve"> </w:t>
      </w:r>
      <w:r w:rsidRPr="00D954FE">
        <w:t>(a</w:t>
      </w:r>
      <w:r w:rsidR="00C64050">
        <w:t xml:space="preserve"> </w:t>
      </w:r>
      <w:r w:rsidRPr="00D954FE">
        <w:t>corporation</w:t>
      </w:r>
      <w:r w:rsidR="00C64050">
        <w:t xml:space="preserve"> </w:t>
      </w:r>
      <w:r w:rsidRPr="00D954FE">
        <w:t>or</w:t>
      </w:r>
      <w:r w:rsidR="00C64050">
        <w:t xml:space="preserve"> </w:t>
      </w:r>
      <w:r w:rsidRPr="00D954FE">
        <w:t>any</w:t>
      </w:r>
      <w:r w:rsidR="00C64050">
        <w:t xml:space="preserve"> </w:t>
      </w:r>
      <w:r w:rsidRPr="00D954FE">
        <w:t>other</w:t>
      </w:r>
      <w:r w:rsidR="00C64050">
        <w:t xml:space="preserve"> </w:t>
      </w:r>
      <w:r w:rsidRPr="00D954FE">
        <w:t>entity</w:t>
      </w:r>
      <w:r w:rsidR="00C64050">
        <w:t xml:space="preserve"> </w:t>
      </w:r>
      <w:r w:rsidRPr="00D954FE">
        <w:t>in</w:t>
      </w:r>
      <w:r w:rsidR="00C64050">
        <w:t xml:space="preserve"> </w:t>
      </w:r>
      <w:r w:rsidRPr="00D954FE">
        <w:t>which</w:t>
      </w:r>
      <w:r w:rsidR="00C64050">
        <w:t xml:space="preserve"> </w:t>
      </w:r>
      <w:r w:rsidRPr="00D954FE">
        <w:t>the</w:t>
      </w:r>
      <w:r w:rsidR="00C64050">
        <w:t xml:space="preserve"> </w:t>
      </w:r>
      <w:r w:rsidRPr="00D954FE">
        <w:t>transferor</w:t>
      </w:r>
      <w:r w:rsidR="00C64050">
        <w:t xml:space="preserve"> </w:t>
      </w:r>
      <w:r w:rsidRPr="00D954FE">
        <w:t>and</w:t>
      </w:r>
      <w:r w:rsidR="00C64050">
        <w:t xml:space="preserve"> </w:t>
      </w:r>
      <w:r w:rsidRPr="00D954FE">
        <w:t>members</w:t>
      </w:r>
      <w:r w:rsidR="00C64050">
        <w:t xml:space="preserve"> </w:t>
      </w:r>
      <w:r w:rsidRPr="00D954FE">
        <w:t>of</w:t>
      </w:r>
      <w:r w:rsidR="00C64050">
        <w:t xml:space="preserve"> </w:t>
      </w:r>
      <w:r w:rsidRPr="00D954FE">
        <w:t>the</w:t>
      </w:r>
      <w:r w:rsidR="00C64050">
        <w:t xml:space="preserve"> </w:t>
      </w:r>
      <w:r w:rsidRPr="00D954FE">
        <w:t>transferor's</w:t>
      </w:r>
      <w:r w:rsidR="00C64050">
        <w:t xml:space="preserve"> </w:t>
      </w:r>
      <w:r w:rsidRPr="00D954FE">
        <w:t>family,</w:t>
      </w:r>
      <w:r w:rsidR="00C64050">
        <w:t xml:space="preserve"> </w:t>
      </w:r>
      <w:r w:rsidRPr="00D954FE">
        <w:t>whether</w:t>
      </w:r>
      <w:r w:rsidR="00C64050">
        <w:t xml:space="preserve"> </w:t>
      </w:r>
      <w:r w:rsidRPr="00D954FE">
        <w:t>directly</w:t>
      </w:r>
      <w:r w:rsidR="00C64050">
        <w:t xml:space="preserve"> </w:t>
      </w:r>
      <w:r w:rsidRPr="00D954FE">
        <w:t>or</w:t>
      </w:r>
      <w:r w:rsidR="00C64050">
        <w:t xml:space="preserve"> </w:t>
      </w:r>
      <w:r w:rsidRPr="00D954FE">
        <w:t>indirectly,</w:t>
      </w:r>
      <w:r w:rsidR="00C64050">
        <w:t xml:space="preserve"> </w:t>
      </w:r>
      <w:r w:rsidRPr="00D954FE">
        <w:t>have</w:t>
      </w:r>
      <w:r w:rsidR="00C64050">
        <w:t xml:space="preserve"> </w:t>
      </w:r>
      <w:r w:rsidRPr="00D954FE">
        <w:t>control</w:t>
      </w:r>
      <w:r w:rsidR="00C64050">
        <w:t xml:space="preserve"> </w:t>
      </w:r>
      <w:r w:rsidRPr="00D954FE">
        <w:t>within</w:t>
      </w:r>
      <w:r w:rsidR="00C64050">
        <w:t xml:space="preserve"> </w:t>
      </w:r>
      <w:r w:rsidRPr="00D954FE">
        <w:t>the</w:t>
      </w:r>
      <w:r w:rsidR="00C64050">
        <w:t xml:space="preserve"> </w:t>
      </w:r>
      <w:r w:rsidRPr="00D954FE">
        <w:t>meaning</w:t>
      </w:r>
      <w:r w:rsidR="00C64050">
        <w:t xml:space="preserve"> </w:t>
      </w:r>
      <w:r w:rsidRPr="00D954FE">
        <w:t>of</w:t>
      </w:r>
      <w:r w:rsidR="00C64050">
        <w:t xml:space="preserve"> </w:t>
      </w:r>
      <w:r w:rsidRPr="00D954FE">
        <w:t>section</w:t>
      </w:r>
      <w:r w:rsidR="00C64050">
        <w:t xml:space="preserve"> </w:t>
      </w:r>
      <w:r w:rsidRPr="00D954FE">
        <w:t>2701(b)(2)(A)</w:t>
      </w:r>
      <w:r w:rsidR="00C64050">
        <w:t xml:space="preserve"> </w:t>
      </w:r>
      <w:r w:rsidRPr="00D954FE">
        <w:t>or</w:t>
      </w:r>
      <w:r w:rsidR="00C64050">
        <w:t xml:space="preserve"> </w:t>
      </w:r>
      <w:r w:rsidRPr="00D954FE">
        <w:t>(B)),</w:t>
      </w:r>
      <w:r w:rsidR="00C64050">
        <w:t xml:space="preserve"> </w:t>
      </w:r>
      <w:r w:rsidRPr="00D954FE">
        <w:t>and</w:t>
      </w:r>
      <w:r w:rsidR="00C64050">
        <w:t xml:space="preserve"> </w:t>
      </w:r>
      <w:r w:rsidRPr="00D954FE">
        <w:t>any</w:t>
      </w:r>
      <w:r w:rsidR="00C64050">
        <w:t xml:space="preserve"> </w:t>
      </w:r>
      <w:r w:rsidRPr="00D954FE">
        <w:t>trust</w:t>
      </w:r>
      <w:r w:rsidR="00C64050">
        <w:t xml:space="preserve"> </w:t>
      </w:r>
      <w:r w:rsidRPr="00D954FE">
        <w:t>of</w:t>
      </w:r>
      <w:r w:rsidR="00C64050">
        <w:t xml:space="preserve"> </w:t>
      </w:r>
      <w:r w:rsidRPr="00D954FE">
        <w:t>which</w:t>
      </w:r>
      <w:r w:rsidR="00C64050">
        <w:t xml:space="preserve"> </w:t>
      </w:r>
      <w:r w:rsidRPr="00D954FE">
        <w:t>the</w:t>
      </w:r>
      <w:r w:rsidR="00C64050">
        <w:t xml:space="preserve"> </w:t>
      </w:r>
      <w:r w:rsidRPr="00D954FE">
        <w:t>transferor</w:t>
      </w:r>
      <w:r w:rsidR="00C64050">
        <w:t xml:space="preserve"> </w:t>
      </w:r>
      <w:r w:rsidRPr="00D954FE">
        <w:t>is</w:t>
      </w:r>
      <w:r w:rsidR="00C64050">
        <w:t xml:space="preserve"> </w:t>
      </w:r>
      <w:r w:rsidRPr="00D954FE">
        <w:t>a</w:t>
      </w:r>
      <w:r w:rsidR="00C64050">
        <w:t xml:space="preserve"> </w:t>
      </w:r>
      <w:r w:rsidRPr="00D954FE">
        <w:t>deemed</w:t>
      </w:r>
      <w:r w:rsidR="00C64050">
        <w:t xml:space="preserve"> </w:t>
      </w:r>
      <w:r w:rsidRPr="00D954FE">
        <w:t>owner</w:t>
      </w:r>
      <w:r w:rsidR="00C64050">
        <w:t xml:space="preserve"> </w:t>
      </w:r>
      <w:r w:rsidRPr="00D954FE">
        <w:t>for</w:t>
      </w:r>
      <w:r w:rsidR="00C64050">
        <w:t xml:space="preserve"> </w:t>
      </w:r>
      <w:r w:rsidRPr="00D954FE">
        <w:t>income</w:t>
      </w:r>
      <w:r w:rsidR="00C64050">
        <w:t xml:space="preserve"> </w:t>
      </w:r>
      <w:r w:rsidRPr="00D954FE">
        <w:t>tax</w:t>
      </w:r>
      <w:r w:rsidR="00C64050">
        <w:t xml:space="preserve"> </w:t>
      </w:r>
      <w:r w:rsidRPr="00D954FE">
        <w:t>purposes.</w:t>
      </w:r>
      <w:r w:rsidR="00C64050">
        <w:t xml:space="preserve"> </w:t>
      </w:r>
    </w:p>
    <w:p w:rsidR="00465BBA" w:rsidRPr="00465BBA" w:rsidRDefault="00465BBA" w:rsidP="00D954FE">
      <w:pPr>
        <w:pStyle w:val="QS10"/>
      </w:pPr>
      <w:r w:rsidRPr="00465BBA">
        <w:t>In</w:t>
      </w:r>
      <w:r w:rsidR="00C64050">
        <w:t xml:space="preserve"> </w:t>
      </w:r>
      <w:r w:rsidRPr="00465BBA">
        <w:t>the</w:t>
      </w:r>
      <w:r w:rsidR="00C64050">
        <w:t xml:space="preserve"> </w:t>
      </w:r>
      <w:r w:rsidRPr="00465BBA">
        <w:t>event</w:t>
      </w:r>
      <w:r w:rsidR="00C64050">
        <w:t xml:space="preserve"> </w:t>
      </w:r>
      <w:r w:rsidRPr="00465BBA">
        <w:t>such</w:t>
      </w:r>
      <w:r w:rsidR="00C64050">
        <w:t xml:space="preserve"> </w:t>
      </w:r>
      <w:r w:rsidRPr="00465BBA">
        <w:t>transfer</w:t>
      </w:r>
      <w:r w:rsidR="00C64050">
        <w:t xml:space="preserve"> </w:t>
      </w:r>
      <w:r w:rsidRPr="00465BBA">
        <w:t>occurs</w:t>
      </w:r>
      <w:r w:rsidR="00C64050">
        <w:t xml:space="preserve"> </w:t>
      </w:r>
      <w:r w:rsidRPr="00465BBA">
        <w:t>before</w:t>
      </w:r>
      <w:r w:rsidR="00C64050">
        <w:t xml:space="preserve"> </w:t>
      </w:r>
      <w:r w:rsidRPr="00465BBA">
        <w:t>a</w:t>
      </w:r>
      <w:r w:rsidR="00C64050">
        <w:t xml:space="preserve"> </w:t>
      </w:r>
      <w:r w:rsidRPr="00465BBA">
        <w:t>final</w:t>
      </w:r>
      <w:r w:rsidR="00C64050">
        <w:t xml:space="preserve"> </w:t>
      </w:r>
      <w:r w:rsidRPr="00465BBA">
        <w:t>value</w:t>
      </w:r>
      <w:r w:rsidR="00C64050">
        <w:t xml:space="preserve"> </w:t>
      </w:r>
      <w:r w:rsidRPr="00465BBA">
        <w:t>is</w:t>
      </w:r>
      <w:r w:rsidR="00C64050">
        <w:t xml:space="preserve"> </w:t>
      </w:r>
      <w:r w:rsidRPr="00465BBA">
        <w:t>determined</w:t>
      </w:r>
      <w:r w:rsidR="00C64050">
        <w:t xml:space="preserve"> </w:t>
      </w:r>
      <w:r w:rsidRPr="00465BBA">
        <w:t>within</w:t>
      </w:r>
      <w:r w:rsidR="00C64050">
        <w:t xml:space="preserve"> </w:t>
      </w:r>
      <w:r w:rsidRPr="00465BBA">
        <w:t>the</w:t>
      </w:r>
      <w:r w:rsidR="00C64050">
        <w:t xml:space="preserve"> </w:t>
      </w:r>
      <w:r w:rsidRPr="00465BBA">
        <w:t>meaning</w:t>
      </w:r>
      <w:r w:rsidR="00C64050">
        <w:t xml:space="preserve"> </w:t>
      </w:r>
      <w:r w:rsidRPr="00465BBA">
        <w:t>of</w:t>
      </w:r>
      <w:r w:rsidR="00C64050">
        <w:t xml:space="preserve"> </w:t>
      </w:r>
      <w:r w:rsidRPr="00465BBA">
        <w:t>proposed</w:t>
      </w:r>
      <w:r w:rsidR="00C64050">
        <w:t xml:space="preserve"> </w:t>
      </w:r>
      <w:r w:rsidRPr="00465BBA">
        <w:t>§</w:t>
      </w:r>
      <w:r w:rsidR="00C64050">
        <w:t xml:space="preserve"> </w:t>
      </w:r>
      <w:r w:rsidRPr="00465BBA">
        <w:t>1.1014-10(c),</w:t>
      </w:r>
      <w:r w:rsidR="00C64050">
        <w:t xml:space="preserve"> </w:t>
      </w:r>
      <w:r w:rsidRPr="00465BBA">
        <w:t>the</w:t>
      </w:r>
      <w:r w:rsidR="00C64050">
        <w:t xml:space="preserve"> </w:t>
      </w:r>
      <w:r w:rsidRPr="00465BBA">
        <w:t>transferor</w:t>
      </w:r>
      <w:r w:rsidR="00C64050">
        <w:t xml:space="preserve"> </w:t>
      </w:r>
      <w:r w:rsidRPr="00465BBA">
        <w:t>must</w:t>
      </w:r>
      <w:r w:rsidR="00C64050">
        <w:t xml:space="preserve"> </w:t>
      </w:r>
      <w:r w:rsidRPr="00465BBA">
        <w:t>provide</w:t>
      </w:r>
      <w:r w:rsidR="00C64050">
        <w:t xml:space="preserve"> </w:t>
      </w:r>
      <w:r w:rsidRPr="00465BBA">
        <w:t>the</w:t>
      </w:r>
      <w:r w:rsidR="00C64050">
        <w:t xml:space="preserve"> </w:t>
      </w:r>
      <w:r w:rsidRPr="00465BBA">
        <w:t>executor</w:t>
      </w:r>
      <w:r w:rsidR="00C64050">
        <w:t xml:space="preserve"> </w:t>
      </w:r>
      <w:r w:rsidRPr="00465BBA">
        <w:t>with</w:t>
      </w:r>
      <w:r w:rsidR="00C64050">
        <w:t xml:space="preserve"> </w:t>
      </w:r>
      <w:r w:rsidRPr="00465BBA">
        <w:t>a</w:t>
      </w:r>
      <w:r w:rsidR="00C64050">
        <w:t xml:space="preserve"> </w:t>
      </w:r>
      <w:r w:rsidRPr="00465BBA">
        <w:t>copy</w:t>
      </w:r>
      <w:r w:rsidR="00C64050">
        <w:t xml:space="preserve"> </w:t>
      </w:r>
      <w:r w:rsidRPr="00465BBA">
        <w:t>of</w:t>
      </w:r>
      <w:r w:rsidR="00C64050">
        <w:t xml:space="preserve"> </w:t>
      </w:r>
      <w:r w:rsidRPr="00465BBA">
        <w:t>the</w:t>
      </w:r>
      <w:r w:rsidR="00C64050">
        <w:t xml:space="preserve"> </w:t>
      </w:r>
      <w:r w:rsidRPr="00465BBA">
        <w:t>supplemental</w:t>
      </w:r>
      <w:r w:rsidR="00C64050">
        <w:t xml:space="preserve"> </w:t>
      </w:r>
      <w:r w:rsidRPr="00465BBA">
        <w:t>Statement</w:t>
      </w:r>
      <w:r w:rsidR="00C64050">
        <w:t xml:space="preserve"> </w:t>
      </w:r>
      <w:r w:rsidRPr="00465BBA">
        <w:t>filed</w:t>
      </w:r>
      <w:r w:rsidR="00C64050">
        <w:t xml:space="preserve"> </w:t>
      </w:r>
      <w:r w:rsidRPr="00465BBA">
        <w:t>with</w:t>
      </w:r>
      <w:r w:rsidR="00C64050">
        <w:t xml:space="preserve"> </w:t>
      </w:r>
      <w:r w:rsidRPr="00465BBA">
        <w:t>the</w:t>
      </w:r>
      <w:r w:rsidR="00C64050">
        <w:t xml:space="preserve"> </w:t>
      </w:r>
      <w:r w:rsidRPr="00465BBA">
        <w:t>IRS</w:t>
      </w:r>
      <w:r w:rsidR="00C64050">
        <w:t xml:space="preserve"> </w:t>
      </w:r>
      <w:r w:rsidRPr="00465BBA">
        <w:t>and</w:t>
      </w:r>
      <w:r w:rsidR="00C64050">
        <w:t xml:space="preserve"> </w:t>
      </w:r>
      <w:r w:rsidRPr="00465BBA">
        <w:t>furnished</w:t>
      </w:r>
      <w:r w:rsidR="00C64050">
        <w:t xml:space="preserve"> </w:t>
      </w:r>
      <w:r w:rsidRPr="00465BBA">
        <w:t>to</w:t>
      </w:r>
      <w:r w:rsidR="00C64050">
        <w:t xml:space="preserve"> </w:t>
      </w:r>
      <w:r w:rsidRPr="00465BBA">
        <w:t>the</w:t>
      </w:r>
      <w:r w:rsidR="00C64050">
        <w:t xml:space="preserve"> </w:t>
      </w:r>
      <w:r w:rsidRPr="00465BBA">
        <w:t>transferee</w:t>
      </w:r>
      <w:r w:rsidR="00C64050">
        <w:t xml:space="preserve"> </w:t>
      </w:r>
      <w:r w:rsidRPr="00465BBA">
        <w:t>reporting</w:t>
      </w:r>
      <w:r w:rsidR="00C64050">
        <w:t xml:space="preserve"> </w:t>
      </w:r>
      <w:r w:rsidRPr="00465BBA">
        <w:t>the</w:t>
      </w:r>
      <w:r w:rsidR="00C64050">
        <w:t xml:space="preserve"> </w:t>
      </w:r>
      <w:r w:rsidRPr="00465BBA">
        <w:t>new</w:t>
      </w:r>
      <w:r w:rsidR="00C64050">
        <w:t xml:space="preserve"> </w:t>
      </w:r>
      <w:r w:rsidRPr="00465BBA">
        <w:t>ownership</w:t>
      </w:r>
      <w:r w:rsidR="00C64050">
        <w:t xml:space="preserve"> </w:t>
      </w:r>
      <w:r w:rsidRPr="00465BBA">
        <w:t>of</w:t>
      </w:r>
      <w:r w:rsidR="00C64050">
        <w:t xml:space="preserve"> </w:t>
      </w:r>
      <w:r w:rsidRPr="00465BBA">
        <w:t>the</w:t>
      </w:r>
      <w:r w:rsidR="00C64050">
        <w:t xml:space="preserve"> </w:t>
      </w:r>
      <w:r w:rsidRPr="00465BBA">
        <w:t>property.</w:t>
      </w:r>
      <w:r w:rsidR="00C64050">
        <w:t xml:space="preserve"> </w:t>
      </w:r>
      <w:r w:rsidRPr="00465BBA">
        <w:t>When</w:t>
      </w:r>
      <w:r w:rsidR="00C64050">
        <w:t xml:space="preserve"> </w:t>
      </w:r>
      <w:r w:rsidRPr="00465BBA">
        <w:t>a</w:t>
      </w:r>
      <w:r w:rsidR="00C64050">
        <w:t xml:space="preserve"> </w:t>
      </w:r>
      <w:r w:rsidRPr="00465BBA">
        <w:t>final</w:t>
      </w:r>
      <w:r w:rsidR="00C64050">
        <w:t xml:space="preserve"> </w:t>
      </w:r>
      <w:r w:rsidRPr="00465BBA">
        <w:t>value</w:t>
      </w:r>
      <w:r w:rsidR="00C64050">
        <w:t xml:space="preserve"> </w:t>
      </w:r>
      <w:r w:rsidRPr="00465BBA">
        <w:t>is</w:t>
      </w:r>
      <w:r w:rsidR="00C64050">
        <w:t xml:space="preserve"> </w:t>
      </w:r>
      <w:r w:rsidRPr="00465BBA">
        <w:t>determined,</w:t>
      </w:r>
      <w:r w:rsidR="00C64050">
        <w:t xml:space="preserve"> </w:t>
      </w:r>
      <w:r w:rsidRPr="00465BBA">
        <w:t>the</w:t>
      </w:r>
      <w:r w:rsidR="00C64050">
        <w:t xml:space="preserve"> </w:t>
      </w:r>
      <w:r w:rsidRPr="00465BBA">
        <w:t>executor</w:t>
      </w:r>
      <w:r w:rsidR="00C64050">
        <w:t xml:space="preserve"> </w:t>
      </w:r>
      <w:r w:rsidRPr="00465BBA">
        <w:t>will</w:t>
      </w:r>
      <w:r w:rsidR="00C64050">
        <w:t xml:space="preserve"> </w:t>
      </w:r>
      <w:r w:rsidRPr="00465BBA">
        <w:t>then</w:t>
      </w:r>
      <w:r w:rsidR="00C64050">
        <w:t xml:space="preserve"> </w:t>
      </w:r>
      <w:r w:rsidRPr="00465BBA">
        <w:t>provide</w:t>
      </w:r>
      <w:r w:rsidR="00C64050">
        <w:t xml:space="preserve"> </w:t>
      </w:r>
      <w:r w:rsidRPr="00465BBA">
        <w:t>a</w:t>
      </w:r>
      <w:r w:rsidR="00C64050">
        <w:t xml:space="preserve"> </w:t>
      </w:r>
      <w:r w:rsidRPr="00465BBA">
        <w:t>supplemental</w:t>
      </w:r>
      <w:r w:rsidR="00C64050">
        <w:t xml:space="preserve"> </w:t>
      </w:r>
      <w:r w:rsidRPr="00465BBA">
        <w:t>Statement</w:t>
      </w:r>
      <w:r w:rsidR="00C64050">
        <w:t xml:space="preserve"> </w:t>
      </w:r>
      <w:r w:rsidRPr="00465BBA">
        <w:t>to</w:t>
      </w:r>
      <w:r w:rsidR="00C64050">
        <w:t xml:space="preserve"> </w:t>
      </w:r>
      <w:r w:rsidRPr="00465BBA">
        <w:t>the</w:t>
      </w:r>
      <w:r w:rsidR="00C64050">
        <w:t xml:space="preserve"> </w:t>
      </w:r>
      <w:r w:rsidRPr="00465BBA">
        <w:t>new</w:t>
      </w:r>
      <w:r w:rsidR="00C64050">
        <w:t xml:space="preserve"> </w:t>
      </w:r>
      <w:r w:rsidRPr="00465BBA">
        <w:t>transferee</w:t>
      </w:r>
      <w:r w:rsidR="00C64050">
        <w:t xml:space="preserve"> </w:t>
      </w:r>
      <w:r w:rsidRPr="00465BBA">
        <w:t>instead</w:t>
      </w:r>
      <w:r w:rsidR="00C64050">
        <w:t xml:space="preserve"> </w:t>
      </w:r>
      <w:r w:rsidRPr="00465BBA">
        <w:t>of</w:t>
      </w:r>
      <w:r w:rsidR="00C64050">
        <w:t xml:space="preserve"> </w:t>
      </w:r>
      <w:r w:rsidRPr="00465BBA">
        <w:t>to</w:t>
      </w:r>
      <w:r w:rsidR="00C64050">
        <w:t xml:space="preserve"> </w:t>
      </w:r>
      <w:r w:rsidRPr="00465BBA">
        <w:t>the</w:t>
      </w:r>
      <w:r w:rsidR="00C64050">
        <w:t xml:space="preserve"> </w:t>
      </w:r>
      <w:r w:rsidRPr="00465BBA">
        <w:t>transferor.</w:t>
      </w:r>
      <w:r w:rsidR="00C64050">
        <w:t xml:space="preserve"> </w:t>
      </w:r>
      <w:r w:rsidRPr="00465BBA">
        <w:t>The</w:t>
      </w:r>
      <w:r w:rsidR="00C64050">
        <w:t xml:space="preserve"> </w:t>
      </w:r>
      <w:r w:rsidRPr="00465BBA">
        <w:t>supplemental</w:t>
      </w:r>
      <w:r w:rsidR="00C64050">
        <w:t xml:space="preserve"> </w:t>
      </w:r>
      <w:r w:rsidRPr="00465BBA">
        <w:t>Statements</w:t>
      </w:r>
      <w:r w:rsidR="00C64050">
        <w:t xml:space="preserve"> </w:t>
      </w:r>
      <w:r w:rsidRPr="00465BBA">
        <w:t>are</w:t>
      </w:r>
      <w:r w:rsidR="00C64050">
        <w:t xml:space="preserve"> </w:t>
      </w:r>
      <w:r w:rsidRPr="00465BBA">
        <w:t>due</w:t>
      </w:r>
      <w:r w:rsidR="00C64050">
        <w:t xml:space="preserve"> </w:t>
      </w:r>
      <w:r w:rsidRPr="00465BBA">
        <w:t>no</w:t>
      </w:r>
      <w:r w:rsidR="00C64050">
        <w:t xml:space="preserve"> </w:t>
      </w:r>
      <w:r w:rsidRPr="00465BBA">
        <w:t>later</w:t>
      </w:r>
      <w:r w:rsidR="00C64050">
        <w:t xml:space="preserve"> </w:t>
      </w:r>
      <w:r w:rsidRPr="00465BBA">
        <w:t>than</w:t>
      </w:r>
      <w:r w:rsidR="00C64050">
        <w:t xml:space="preserve"> </w:t>
      </w:r>
      <w:r w:rsidRPr="00465BBA">
        <w:t>30</w:t>
      </w:r>
      <w:r w:rsidR="00C64050">
        <w:t xml:space="preserve"> </w:t>
      </w:r>
      <w:r w:rsidRPr="00465BBA">
        <w:t>days</w:t>
      </w:r>
      <w:r w:rsidR="00C64050">
        <w:t xml:space="preserve"> </w:t>
      </w:r>
      <w:r w:rsidRPr="00465BBA">
        <w:t>after</w:t>
      </w:r>
      <w:r w:rsidR="00C64050">
        <w:t xml:space="preserve"> </w:t>
      </w:r>
      <w:r w:rsidRPr="00465BBA">
        <w:t>the</w:t>
      </w:r>
      <w:r w:rsidR="00C64050">
        <w:t xml:space="preserve"> </w:t>
      </w:r>
      <w:r w:rsidRPr="00465BBA">
        <w:t>transferor</w:t>
      </w:r>
      <w:r w:rsidR="00C64050">
        <w:t xml:space="preserve"> </w:t>
      </w:r>
      <w:r w:rsidRPr="00465BBA">
        <w:t>distributes</w:t>
      </w:r>
      <w:r w:rsidR="00C64050">
        <w:t xml:space="preserve"> </w:t>
      </w:r>
      <w:r w:rsidRPr="00465BBA">
        <w:t>or</w:t>
      </w:r>
      <w:r w:rsidR="00C64050">
        <w:t xml:space="preserve"> </w:t>
      </w:r>
      <w:r w:rsidRPr="00465BBA">
        <w:t>transfers</w:t>
      </w:r>
      <w:r w:rsidR="00C64050">
        <w:t xml:space="preserve"> </w:t>
      </w:r>
      <w:r w:rsidRPr="00465BBA">
        <w:t>all</w:t>
      </w:r>
      <w:r w:rsidR="00C64050">
        <w:t xml:space="preserve"> </w:t>
      </w:r>
      <w:r w:rsidRPr="00465BBA">
        <w:t>or</w:t>
      </w:r>
      <w:r w:rsidR="00C64050">
        <w:t xml:space="preserve"> </w:t>
      </w:r>
      <w:r w:rsidRPr="00465BBA">
        <w:t>a</w:t>
      </w:r>
      <w:r w:rsidR="00C64050">
        <w:t xml:space="preserve"> </w:t>
      </w:r>
      <w:r w:rsidRPr="00465BBA">
        <w:t>portion</w:t>
      </w:r>
      <w:r w:rsidR="00C64050">
        <w:t xml:space="preserve"> </w:t>
      </w:r>
      <w:r w:rsidRPr="00465BBA">
        <w:t>of</w:t>
      </w:r>
      <w:r w:rsidR="00C64050">
        <w:t xml:space="preserve"> </w:t>
      </w:r>
      <w:r w:rsidRPr="00465BBA">
        <w:t>the</w:t>
      </w:r>
      <w:r w:rsidR="00C64050">
        <w:t xml:space="preserve"> </w:t>
      </w:r>
      <w:r w:rsidRPr="00465BBA">
        <w:t>property</w:t>
      </w:r>
      <w:r w:rsidR="00C64050">
        <w:t xml:space="preserve"> </w:t>
      </w:r>
      <w:r w:rsidRPr="00465BBA">
        <w:t>to</w:t>
      </w:r>
      <w:r w:rsidR="00C64050">
        <w:t xml:space="preserve"> </w:t>
      </w:r>
      <w:r w:rsidRPr="00465BBA">
        <w:t>the</w:t>
      </w:r>
      <w:r w:rsidR="00C64050">
        <w:t xml:space="preserve"> </w:t>
      </w:r>
      <w:r w:rsidRPr="00465BBA">
        <w:t>transferee.</w:t>
      </w:r>
    </w:p>
    <w:p w:rsidR="000037A4" w:rsidRDefault="000037A4" w:rsidP="00801686">
      <w:pPr>
        <w:pStyle w:val="Body15"/>
      </w:pPr>
      <w:r>
        <w:t>The</w:t>
      </w:r>
      <w:r w:rsidR="00C64050">
        <w:t xml:space="preserve"> </w:t>
      </w:r>
      <w:r>
        <w:t>effective</w:t>
      </w:r>
      <w:r w:rsidR="00C64050">
        <w:t xml:space="preserve"> </w:t>
      </w:r>
      <w:r>
        <w:t>date</w:t>
      </w:r>
      <w:r w:rsidR="00C64050">
        <w:t xml:space="preserve"> </w:t>
      </w:r>
      <w:r>
        <w:t>is</w:t>
      </w:r>
      <w:r w:rsidR="00C64050">
        <w:t xml:space="preserve"> </w:t>
      </w:r>
      <w:r>
        <w:t>when</w:t>
      </w:r>
      <w:r w:rsidR="00C64050">
        <w:t xml:space="preserve"> </w:t>
      </w:r>
      <w:r>
        <w:t>Final</w:t>
      </w:r>
      <w:r w:rsidR="00C64050">
        <w:t xml:space="preserve"> </w:t>
      </w:r>
      <w:r>
        <w:t>Regulations</w:t>
      </w:r>
      <w:r w:rsidR="00C64050">
        <w:t xml:space="preserve"> </w:t>
      </w:r>
      <w:r>
        <w:t>are</w:t>
      </w:r>
      <w:r w:rsidR="00C64050">
        <w:t xml:space="preserve"> </w:t>
      </w:r>
      <w:r>
        <w:t>published.</w:t>
      </w:r>
      <w:r w:rsidR="00C64050">
        <w:t xml:space="preserve">  </w:t>
      </w:r>
      <w:r>
        <w:t>Reporting</w:t>
      </w:r>
      <w:r w:rsidR="00C64050">
        <w:t xml:space="preserve"> </w:t>
      </w:r>
      <w:r>
        <w:t>has</w:t>
      </w:r>
      <w:r w:rsidR="00C64050">
        <w:t xml:space="preserve"> </w:t>
      </w:r>
      <w:r>
        <w:t>been</w:t>
      </w:r>
      <w:r w:rsidR="00C64050">
        <w:t xml:space="preserve"> </w:t>
      </w:r>
      <w:r>
        <w:t>extended</w:t>
      </w:r>
      <w:r w:rsidR="00C64050">
        <w:t xml:space="preserve"> </w:t>
      </w:r>
      <w:r>
        <w:t>until</w:t>
      </w:r>
      <w:r w:rsidR="00C64050">
        <w:t xml:space="preserve"> </w:t>
      </w:r>
      <w:r>
        <w:rPr>
          <w:u w:val="single"/>
        </w:rPr>
        <w:t>June</w:t>
      </w:r>
      <w:r w:rsidR="00C64050">
        <w:rPr>
          <w:u w:val="single"/>
        </w:rPr>
        <w:t xml:space="preserve"> </w:t>
      </w:r>
      <w:r>
        <w:rPr>
          <w:u w:val="single"/>
        </w:rPr>
        <w:t>30,</w:t>
      </w:r>
      <w:r w:rsidR="00C64050">
        <w:rPr>
          <w:u w:val="single"/>
        </w:rPr>
        <w:t xml:space="preserve"> </w:t>
      </w:r>
      <w:r>
        <w:rPr>
          <w:u w:val="single"/>
        </w:rPr>
        <w:t>2016</w:t>
      </w:r>
      <w:r w:rsidR="00C64050">
        <w:t xml:space="preserve"> </w:t>
      </w:r>
      <w:r>
        <w:t>for</w:t>
      </w:r>
      <w:r w:rsidR="00C64050">
        <w:t xml:space="preserve"> </w:t>
      </w:r>
      <w:r>
        <w:t>estates</w:t>
      </w:r>
      <w:r w:rsidR="00C64050">
        <w:t xml:space="preserve"> </w:t>
      </w:r>
      <w:r>
        <w:t>of</w:t>
      </w:r>
      <w:r w:rsidR="00C64050">
        <w:t xml:space="preserve"> </w:t>
      </w:r>
      <w:r>
        <w:t>decedents</w:t>
      </w:r>
      <w:r w:rsidR="00C64050">
        <w:t xml:space="preserve"> </w:t>
      </w:r>
      <w:r>
        <w:t>dying</w:t>
      </w:r>
      <w:r w:rsidR="00C64050">
        <w:t xml:space="preserve"> </w:t>
      </w:r>
      <w:r>
        <w:t>after</w:t>
      </w:r>
      <w:r w:rsidR="00C64050">
        <w:t xml:space="preserve"> </w:t>
      </w:r>
      <w:r>
        <w:t>July</w:t>
      </w:r>
      <w:r w:rsidR="00C64050">
        <w:t xml:space="preserve"> </w:t>
      </w:r>
      <w:r>
        <w:t>31,</w:t>
      </w:r>
      <w:r w:rsidR="00C64050">
        <w:t xml:space="preserve"> </w:t>
      </w:r>
      <w:r>
        <w:t>2015.</w:t>
      </w:r>
    </w:p>
    <w:p w:rsidR="00BE7922" w:rsidRDefault="00BE7922" w:rsidP="00801686">
      <w:pPr>
        <w:pStyle w:val="Body15"/>
      </w:pPr>
      <w:r>
        <w:t>Treasury</w:t>
      </w:r>
      <w:r w:rsidR="00C64050">
        <w:t xml:space="preserve"> </w:t>
      </w:r>
      <w:r>
        <w:t>pe</w:t>
      </w:r>
      <w:r w:rsidR="000F6A95">
        <w:t>rsonnel</w:t>
      </w:r>
      <w:r w:rsidR="00C64050">
        <w:t xml:space="preserve"> </w:t>
      </w:r>
      <w:r w:rsidR="000F6A95">
        <w:t>believe</w:t>
      </w:r>
      <w:r w:rsidR="00C64050">
        <w:t xml:space="preserve"> </w:t>
      </w:r>
      <w:r w:rsidR="000F6A95">
        <w:t>they</w:t>
      </w:r>
      <w:r w:rsidR="00C64050">
        <w:t xml:space="preserve"> </w:t>
      </w:r>
      <w:r w:rsidR="000F6A95">
        <w:t>have</w:t>
      </w:r>
      <w:r w:rsidR="00C64050">
        <w:t xml:space="preserve"> </w:t>
      </w:r>
      <w:r w:rsidR="000F6A95">
        <w:t>clear</w:t>
      </w:r>
      <w:r w:rsidR="00C64050">
        <w:t xml:space="preserve"> </w:t>
      </w:r>
      <w:r>
        <w:t>regulatory</w:t>
      </w:r>
      <w:r w:rsidR="00C64050">
        <w:t xml:space="preserve"> </w:t>
      </w:r>
      <w:r>
        <w:t>authority</w:t>
      </w:r>
      <w:r w:rsidR="00C64050">
        <w:t xml:space="preserve"> </w:t>
      </w:r>
      <w:r>
        <w:t>to</w:t>
      </w:r>
      <w:r w:rsidR="00C64050">
        <w:t xml:space="preserve"> </w:t>
      </w:r>
      <w:r>
        <w:t>impose</w:t>
      </w:r>
      <w:r w:rsidR="00C64050">
        <w:t xml:space="preserve"> </w:t>
      </w:r>
      <w:r>
        <w:t>subsequent</w:t>
      </w:r>
      <w:r w:rsidR="00C64050">
        <w:t xml:space="preserve"> </w:t>
      </w:r>
      <w:r>
        <w:t>reporting.</w:t>
      </w:r>
      <w:r w:rsidR="00C64050">
        <w:t xml:space="preserve">  </w:t>
      </w:r>
      <w:r>
        <w:t>Reporting</w:t>
      </w:r>
      <w:r w:rsidR="00C64050">
        <w:t xml:space="preserve"> </w:t>
      </w:r>
      <w:r>
        <w:t>requirements</w:t>
      </w:r>
      <w:r w:rsidR="00C64050">
        <w:t xml:space="preserve"> </w:t>
      </w:r>
      <w:r>
        <w:t>terminate</w:t>
      </w:r>
      <w:r w:rsidR="00C64050">
        <w:t xml:space="preserve"> </w:t>
      </w:r>
      <w:r>
        <w:t>upon</w:t>
      </w:r>
      <w:r w:rsidR="00C64050">
        <w:t xml:space="preserve"> </w:t>
      </w:r>
      <w:r>
        <w:t>the</w:t>
      </w:r>
      <w:r w:rsidR="00C64050">
        <w:t xml:space="preserve"> </w:t>
      </w:r>
      <w:r>
        <w:t>determination</w:t>
      </w:r>
      <w:r w:rsidR="00C64050">
        <w:t xml:space="preserve"> </w:t>
      </w:r>
      <w:r>
        <w:t>of</w:t>
      </w:r>
      <w:r w:rsidR="00C64050">
        <w:t xml:space="preserve"> </w:t>
      </w:r>
      <w:r>
        <w:t>basis</w:t>
      </w:r>
      <w:r w:rsidR="00C64050">
        <w:t xml:space="preserve"> </w:t>
      </w:r>
      <w:r>
        <w:t>by</w:t>
      </w:r>
      <w:r w:rsidR="00C64050">
        <w:t xml:space="preserve"> </w:t>
      </w:r>
      <w:r>
        <w:t>a</w:t>
      </w:r>
      <w:r w:rsidR="00C64050">
        <w:t xml:space="preserve"> </w:t>
      </w:r>
      <w:r>
        <w:t>sale.</w:t>
      </w:r>
      <w:r w:rsidR="00C64050">
        <w:t xml:space="preserve">  </w:t>
      </w:r>
      <w:r>
        <w:t>Suppose</w:t>
      </w:r>
      <w:r w:rsidR="00C64050">
        <w:t xml:space="preserve"> </w:t>
      </w:r>
      <w:r>
        <w:t>immediately</w:t>
      </w:r>
      <w:r w:rsidR="00C64050">
        <w:t xml:space="preserve"> </w:t>
      </w:r>
      <w:r>
        <w:t>after</w:t>
      </w:r>
      <w:r w:rsidR="00C64050">
        <w:t xml:space="preserve"> </w:t>
      </w:r>
      <w:r>
        <w:t>death</w:t>
      </w:r>
      <w:r w:rsidR="00C64050">
        <w:t xml:space="preserve"> </w:t>
      </w:r>
      <w:r>
        <w:t>an</w:t>
      </w:r>
      <w:r w:rsidR="00C64050">
        <w:t xml:space="preserve"> </w:t>
      </w:r>
      <w:r>
        <w:t>estate</w:t>
      </w:r>
      <w:r w:rsidR="00C64050">
        <w:t xml:space="preserve"> </w:t>
      </w:r>
      <w:r>
        <w:t>sold</w:t>
      </w:r>
      <w:r w:rsidR="00C64050">
        <w:t xml:space="preserve"> </w:t>
      </w:r>
      <w:r>
        <w:t>property</w:t>
      </w:r>
      <w:r w:rsidR="00C64050">
        <w:t xml:space="preserve"> </w:t>
      </w:r>
      <w:r>
        <w:t>to</w:t>
      </w:r>
      <w:r w:rsidR="00C64050">
        <w:t xml:space="preserve"> </w:t>
      </w:r>
      <w:r>
        <w:t>the</w:t>
      </w:r>
      <w:r w:rsidR="00C64050">
        <w:t xml:space="preserve"> </w:t>
      </w:r>
      <w:r>
        <w:t>decedent’s</w:t>
      </w:r>
      <w:r w:rsidR="00C64050">
        <w:t xml:space="preserve"> </w:t>
      </w:r>
      <w:r>
        <w:t>revocable</w:t>
      </w:r>
      <w:r w:rsidR="00C64050">
        <w:t xml:space="preserve"> </w:t>
      </w:r>
      <w:r>
        <w:t>trust</w:t>
      </w:r>
      <w:r w:rsidR="00C64050">
        <w:t xml:space="preserve"> </w:t>
      </w:r>
      <w:r>
        <w:t>which</w:t>
      </w:r>
      <w:r w:rsidR="00C64050">
        <w:t xml:space="preserve"> </w:t>
      </w:r>
      <w:r>
        <w:t>is</w:t>
      </w:r>
      <w:r w:rsidR="00C64050">
        <w:t xml:space="preserve"> </w:t>
      </w:r>
      <w:r>
        <w:t>the</w:t>
      </w:r>
      <w:r w:rsidR="00C64050">
        <w:t xml:space="preserve"> </w:t>
      </w:r>
      <w:r>
        <w:t>recipient</w:t>
      </w:r>
      <w:r w:rsidR="00C64050">
        <w:t xml:space="preserve"> </w:t>
      </w:r>
      <w:r>
        <w:t>of</w:t>
      </w:r>
      <w:r w:rsidR="00C64050">
        <w:t xml:space="preserve"> </w:t>
      </w:r>
      <w:r>
        <w:t>the</w:t>
      </w:r>
      <w:r w:rsidR="00C64050">
        <w:t xml:space="preserve"> </w:t>
      </w:r>
      <w:r>
        <w:t>property.</w:t>
      </w:r>
      <w:r w:rsidR="00C64050">
        <w:t xml:space="preserve">  </w:t>
      </w:r>
      <w:r>
        <w:t>The</w:t>
      </w:r>
      <w:r w:rsidR="00C64050">
        <w:t xml:space="preserve"> </w:t>
      </w:r>
      <w:r>
        <w:t>sale</w:t>
      </w:r>
      <w:r w:rsidR="00C64050">
        <w:t xml:space="preserve"> </w:t>
      </w:r>
      <w:r>
        <w:t>would</w:t>
      </w:r>
      <w:r w:rsidR="00C64050">
        <w:t xml:space="preserve"> </w:t>
      </w:r>
      <w:r>
        <w:t>be</w:t>
      </w:r>
      <w:r w:rsidR="00C64050">
        <w:t xml:space="preserve"> </w:t>
      </w:r>
      <w:r>
        <w:t>for</w:t>
      </w:r>
      <w:r w:rsidR="00C64050">
        <w:t xml:space="preserve"> </w:t>
      </w:r>
      <w:r>
        <w:t>fair</w:t>
      </w:r>
      <w:r w:rsidR="00C64050">
        <w:t xml:space="preserve"> </w:t>
      </w:r>
      <w:r>
        <w:t>market</w:t>
      </w:r>
      <w:r w:rsidR="00C64050">
        <w:t xml:space="preserve"> </w:t>
      </w:r>
      <w:r>
        <w:t>value</w:t>
      </w:r>
      <w:r w:rsidR="00C64050">
        <w:t xml:space="preserve"> </w:t>
      </w:r>
      <w:r>
        <w:t>plus</w:t>
      </w:r>
      <w:r w:rsidR="00C64050">
        <w:t xml:space="preserve"> </w:t>
      </w:r>
      <w:r>
        <w:t>a</w:t>
      </w:r>
      <w:r w:rsidR="00C64050">
        <w:t xml:space="preserve"> </w:t>
      </w:r>
      <w:r>
        <w:t>nominal</w:t>
      </w:r>
      <w:r w:rsidR="00C64050">
        <w:t xml:space="preserve"> </w:t>
      </w:r>
      <w:r>
        <w:t>amount</w:t>
      </w:r>
      <w:r w:rsidR="00C64050">
        <w:t xml:space="preserve"> </w:t>
      </w:r>
      <w:r>
        <w:t>such</w:t>
      </w:r>
      <w:r w:rsidR="00C64050">
        <w:t xml:space="preserve"> </w:t>
      </w:r>
      <w:r>
        <w:t>as</w:t>
      </w:r>
      <w:r w:rsidR="00C64050">
        <w:t xml:space="preserve"> </w:t>
      </w:r>
      <w:r>
        <w:t>$3,000</w:t>
      </w:r>
      <w:r w:rsidR="00C64050">
        <w:t xml:space="preserve"> </w:t>
      </w:r>
      <w:r>
        <w:t>and</w:t>
      </w:r>
      <w:r w:rsidR="00C64050">
        <w:t xml:space="preserve"> </w:t>
      </w:r>
      <w:r>
        <w:t>would</w:t>
      </w:r>
      <w:r w:rsidR="00C64050">
        <w:t xml:space="preserve"> </w:t>
      </w:r>
      <w:r>
        <w:t>be</w:t>
      </w:r>
      <w:r w:rsidR="00C64050">
        <w:t xml:space="preserve"> </w:t>
      </w:r>
      <w:r>
        <w:t>for</w:t>
      </w:r>
      <w:r w:rsidR="00C64050">
        <w:t xml:space="preserve"> </w:t>
      </w:r>
      <w:r>
        <w:t>a</w:t>
      </w:r>
      <w:r w:rsidR="00C64050">
        <w:t xml:space="preserve"> </w:t>
      </w:r>
      <w:r>
        <w:t>note.</w:t>
      </w:r>
      <w:r w:rsidR="00C64050">
        <w:t xml:space="preserve">  </w:t>
      </w:r>
      <w:r>
        <w:t>The</w:t>
      </w:r>
      <w:r w:rsidR="00C64050">
        <w:t xml:space="preserve"> </w:t>
      </w:r>
      <w:r>
        <w:t>estate</w:t>
      </w:r>
      <w:r w:rsidR="00C64050">
        <w:t xml:space="preserve"> </w:t>
      </w:r>
      <w:r>
        <w:t>would</w:t>
      </w:r>
      <w:r w:rsidR="00C64050">
        <w:t xml:space="preserve"> </w:t>
      </w:r>
      <w:r>
        <w:t>recognize</w:t>
      </w:r>
      <w:r w:rsidR="00C64050">
        <w:t xml:space="preserve"> </w:t>
      </w:r>
      <w:r>
        <w:t>gain</w:t>
      </w:r>
      <w:r w:rsidR="00C64050">
        <w:t xml:space="preserve"> </w:t>
      </w:r>
      <w:r>
        <w:t>on</w:t>
      </w:r>
      <w:r w:rsidR="00C64050">
        <w:t xml:space="preserve"> </w:t>
      </w:r>
      <w:r>
        <w:t>$1,000</w:t>
      </w:r>
      <w:r w:rsidR="00C64050">
        <w:t xml:space="preserve"> </w:t>
      </w:r>
      <w:r>
        <w:t>and</w:t>
      </w:r>
      <w:r w:rsidR="00C64050">
        <w:t xml:space="preserve"> </w:t>
      </w:r>
      <w:r>
        <w:t>would</w:t>
      </w:r>
      <w:r w:rsidR="00C64050">
        <w:t xml:space="preserve"> </w:t>
      </w:r>
      <w:r>
        <w:t>thereafter</w:t>
      </w:r>
      <w:r w:rsidR="00C64050">
        <w:t xml:space="preserve"> </w:t>
      </w:r>
      <w:r>
        <w:t>be</w:t>
      </w:r>
      <w:r w:rsidR="00C64050">
        <w:t xml:space="preserve"> </w:t>
      </w:r>
      <w:r>
        <w:t>outside</w:t>
      </w:r>
      <w:r w:rsidR="00C64050">
        <w:t xml:space="preserve"> </w:t>
      </w:r>
      <w:r>
        <w:t>the</w:t>
      </w:r>
      <w:r w:rsidR="00C64050">
        <w:t xml:space="preserve"> </w:t>
      </w:r>
      <w:r>
        <w:t>system.</w:t>
      </w:r>
      <w:r w:rsidR="00C64050">
        <w:t xml:space="preserve">  </w:t>
      </w:r>
      <w:r>
        <w:t>The</w:t>
      </w:r>
      <w:r w:rsidR="00C64050">
        <w:t xml:space="preserve"> </w:t>
      </w:r>
      <w:r>
        <w:t>note</w:t>
      </w:r>
      <w:r w:rsidR="00C64050">
        <w:t xml:space="preserve"> </w:t>
      </w:r>
      <w:r>
        <w:t>would</w:t>
      </w:r>
      <w:r w:rsidR="00C64050">
        <w:t xml:space="preserve"> </w:t>
      </w:r>
      <w:r>
        <w:t>be</w:t>
      </w:r>
      <w:r w:rsidR="00C64050">
        <w:t xml:space="preserve"> </w:t>
      </w:r>
      <w:r>
        <w:t>distributed</w:t>
      </w:r>
      <w:r w:rsidR="00C64050">
        <w:t xml:space="preserve"> </w:t>
      </w:r>
      <w:r>
        <w:t>to</w:t>
      </w:r>
      <w:r w:rsidR="00C64050">
        <w:t xml:space="preserve"> </w:t>
      </w:r>
      <w:r>
        <w:t>the</w:t>
      </w:r>
      <w:r w:rsidR="00C64050">
        <w:t xml:space="preserve"> </w:t>
      </w:r>
      <w:r>
        <w:t>revocable</w:t>
      </w:r>
      <w:r w:rsidR="00C64050">
        <w:t xml:space="preserve"> </w:t>
      </w:r>
      <w:r>
        <w:t>trust.</w:t>
      </w:r>
    </w:p>
    <w:p w:rsidR="00465BBA" w:rsidRDefault="00465BBA" w:rsidP="00801686">
      <w:pPr>
        <w:pStyle w:val="Body15"/>
      </w:pPr>
      <w:r>
        <w:t>After</w:t>
      </w:r>
      <w:r w:rsidR="00C64050">
        <w:t xml:space="preserve"> </w:t>
      </w:r>
      <w:r>
        <w:t>June</w:t>
      </w:r>
      <w:r w:rsidR="00C64050">
        <w:t xml:space="preserve"> </w:t>
      </w:r>
      <w:r>
        <w:t>30,</w:t>
      </w:r>
      <w:r w:rsidR="00C64050">
        <w:t xml:space="preserve"> </w:t>
      </w:r>
      <w:r>
        <w:t>2016</w:t>
      </w:r>
      <w:r w:rsidR="00C64050">
        <w:t xml:space="preserve"> </w:t>
      </w:r>
      <w:r>
        <w:t>(Notice</w:t>
      </w:r>
      <w:r w:rsidR="00C64050">
        <w:t xml:space="preserve"> </w:t>
      </w:r>
      <w:r>
        <w:t>2016-27),</w:t>
      </w:r>
      <w:r w:rsidR="00C64050">
        <w:t xml:space="preserve"> </w:t>
      </w:r>
      <w:r>
        <w:t>the</w:t>
      </w:r>
      <w:r w:rsidR="00C64050">
        <w:t xml:space="preserve"> </w:t>
      </w:r>
      <w:r>
        <w:t>due</w:t>
      </w:r>
      <w:r w:rsidR="00C64050">
        <w:t xml:space="preserve"> </w:t>
      </w:r>
      <w:r>
        <w:t>dates</w:t>
      </w:r>
      <w:r w:rsidR="00C64050">
        <w:t xml:space="preserve"> </w:t>
      </w:r>
      <w:r>
        <w:t>of</w:t>
      </w:r>
      <w:r w:rsidR="00C64050">
        <w:t xml:space="preserve"> </w:t>
      </w:r>
      <w:r>
        <w:t>the</w:t>
      </w:r>
      <w:r w:rsidR="00C64050">
        <w:t xml:space="preserve"> </w:t>
      </w:r>
      <w:r>
        <w:t>Form</w:t>
      </w:r>
      <w:r w:rsidR="00C64050">
        <w:t xml:space="preserve"> </w:t>
      </w:r>
      <w:r>
        <w:t>8971</w:t>
      </w:r>
      <w:r w:rsidR="00C64050">
        <w:t xml:space="preserve"> </w:t>
      </w:r>
      <w:r>
        <w:t>will</w:t>
      </w:r>
      <w:r w:rsidR="00C64050">
        <w:t xml:space="preserve"> </w:t>
      </w:r>
      <w:r>
        <w:t>be</w:t>
      </w:r>
      <w:r w:rsidR="00C64050">
        <w:t xml:space="preserve"> </w:t>
      </w:r>
      <w:r w:rsidR="00D954FE">
        <w:t>“</w:t>
      </w:r>
      <w:r w:rsidR="005A33D6" w:rsidRPr="005A33D6">
        <w:t>(i)</w:t>
      </w:r>
      <w:r w:rsidR="00C64050">
        <w:t xml:space="preserve"> </w:t>
      </w:r>
      <w:r w:rsidR="005A33D6" w:rsidRPr="005A33D6">
        <w:t>The</w:t>
      </w:r>
      <w:r w:rsidR="00C64050">
        <w:t xml:space="preserve"> </w:t>
      </w:r>
      <w:r w:rsidR="005A33D6" w:rsidRPr="005A33D6">
        <w:t>date</w:t>
      </w:r>
      <w:r w:rsidR="00C64050">
        <w:t xml:space="preserve"> </w:t>
      </w:r>
      <w:r w:rsidR="005A33D6" w:rsidRPr="005A33D6">
        <w:t>that</w:t>
      </w:r>
      <w:r w:rsidR="00C64050">
        <w:t xml:space="preserve"> </w:t>
      </w:r>
      <w:r w:rsidR="005A33D6" w:rsidRPr="005A33D6">
        <w:t>is</w:t>
      </w:r>
      <w:r w:rsidR="00C64050">
        <w:t xml:space="preserve"> </w:t>
      </w:r>
      <w:r w:rsidR="005A33D6" w:rsidRPr="005A33D6">
        <w:t>30</w:t>
      </w:r>
      <w:r w:rsidR="00C64050">
        <w:t xml:space="preserve"> </w:t>
      </w:r>
      <w:r w:rsidR="005A33D6" w:rsidRPr="005A33D6">
        <w:t>days</w:t>
      </w:r>
      <w:r w:rsidR="00C64050">
        <w:t xml:space="preserve"> </w:t>
      </w:r>
      <w:r w:rsidR="005A33D6" w:rsidRPr="005A33D6">
        <w:t>after</w:t>
      </w:r>
      <w:r w:rsidR="00C64050">
        <w:t xml:space="preserve"> </w:t>
      </w:r>
      <w:r w:rsidR="005A33D6" w:rsidRPr="005A33D6">
        <w:t>the</w:t>
      </w:r>
      <w:r w:rsidR="00C64050">
        <w:t xml:space="preserve"> </w:t>
      </w:r>
      <w:r w:rsidR="005A33D6" w:rsidRPr="005A33D6">
        <w:t>due</w:t>
      </w:r>
      <w:r w:rsidR="00C64050">
        <w:t xml:space="preserve"> </w:t>
      </w:r>
      <w:r w:rsidR="005A33D6" w:rsidRPr="005A33D6">
        <w:t>date</w:t>
      </w:r>
      <w:r w:rsidR="00C64050">
        <w:t xml:space="preserve"> </w:t>
      </w:r>
      <w:r w:rsidR="005A33D6" w:rsidRPr="005A33D6">
        <w:t>of</w:t>
      </w:r>
      <w:r w:rsidR="00C64050">
        <w:t xml:space="preserve"> </w:t>
      </w:r>
      <w:r w:rsidR="005A33D6" w:rsidRPr="005A33D6">
        <w:t>the</w:t>
      </w:r>
      <w:r w:rsidR="00C64050">
        <w:t xml:space="preserve"> </w:t>
      </w:r>
      <w:r w:rsidR="005A33D6" w:rsidRPr="005A33D6">
        <w:t>estate</w:t>
      </w:r>
      <w:r w:rsidR="00C64050">
        <w:t xml:space="preserve"> </w:t>
      </w:r>
      <w:r w:rsidR="005A33D6" w:rsidRPr="005A33D6">
        <w:t>tax</w:t>
      </w:r>
      <w:r w:rsidR="00C64050">
        <w:t xml:space="preserve"> </w:t>
      </w:r>
      <w:r w:rsidR="005A33D6" w:rsidRPr="005A33D6">
        <w:t>return</w:t>
      </w:r>
      <w:r w:rsidR="00C64050">
        <w:t xml:space="preserve"> </w:t>
      </w:r>
      <w:r w:rsidR="005A33D6" w:rsidRPr="005A33D6">
        <w:t>required</w:t>
      </w:r>
      <w:r w:rsidR="00C64050">
        <w:t xml:space="preserve"> </w:t>
      </w:r>
      <w:r w:rsidR="005A33D6" w:rsidRPr="005A33D6">
        <w:t>by</w:t>
      </w:r>
      <w:r w:rsidR="00C64050">
        <w:t xml:space="preserve"> </w:t>
      </w:r>
      <w:r w:rsidR="005A33D6" w:rsidRPr="005A33D6">
        <w:t>section</w:t>
      </w:r>
      <w:r w:rsidR="00C64050">
        <w:t xml:space="preserve"> </w:t>
      </w:r>
      <w:r w:rsidR="005A33D6" w:rsidRPr="005A33D6">
        <w:t>6018</w:t>
      </w:r>
      <w:r w:rsidR="00C64050">
        <w:t xml:space="preserve"> </w:t>
      </w:r>
      <w:r w:rsidR="005A33D6" w:rsidRPr="005A33D6">
        <w:t>(including</w:t>
      </w:r>
      <w:r w:rsidR="00C64050">
        <w:t xml:space="preserve"> </w:t>
      </w:r>
      <w:r w:rsidR="005A33D6" w:rsidRPr="005A33D6">
        <w:t>extensions,</w:t>
      </w:r>
      <w:r w:rsidR="00C64050">
        <w:t xml:space="preserve"> </w:t>
      </w:r>
      <w:r w:rsidR="005A33D6" w:rsidRPr="005A33D6">
        <w:t>if</w:t>
      </w:r>
      <w:r w:rsidR="00C64050">
        <w:t xml:space="preserve"> </w:t>
      </w:r>
      <w:r w:rsidR="005A33D6" w:rsidRPr="005A33D6">
        <w:t>any),</w:t>
      </w:r>
      <w:r w:rsidR="00C64050">
        <w:t xml:space="preserve"> </w:t>
      </w:r>
      <w:r w:rsidR="005A33D6" w:rsidRPr="005A33D6">
        <w:t>or</w:t>
      </w:r>
      <w:r w:rsidR="00C64050">
        <w:t xml:space="preserve"> </w:t>
      </w:r>
      <w:r w:rsidR="005A33D6" w:rsidRPr="005A33D6">
        <w:t>(ii)</w:t>
      </w:r>
      <w:r w:rsidR="00C64050">
        <w:t xml:space="preserve"> </w:t>
      </w:r>
      <w:r w:rsidR="005A33D6" w:rsidRPr="005A33D6">
        <w:t>The</w:t>
      </w:r>
      <w:r w:rsidR="00C64050">
        <w:t xml:space="preserve"> </w:t>
      </w:r>
      <w:r w:rsidR="005A33D6" w:rsidRPr="005A33D6">
        <w:t>date</w:t>
      </w:r>
      <w:r w:rsidR="00C64050">
        <w:t xml:space="preserve"> </w:t>
      </w:r>
      <w:r w:rsidR="005A33D6" w:rsidRPr="005A33D6">
        <w:t>that</w:t>
      </w:r>
      <w:r w:rsidR="00C64050">
        <w:t xml:space="preserve"> </w:t>
      </w:r>
      <w:r w:rsidR="005A33D6" w:rsidRPr="005A33D6">
        <w:t>is</w:t>
      </w:r>
      <w:r w:rsidR="00C64050">
        <w:t xml:space="preserve"> </w:t>
      </w:r>
      <w:r w:rsidR="005A33D6" w:rsidRPr="005A33D6">
        <w:t>30</w:t>
      </w:r>
      <w:r w:rsidR="00C64050">
        <w:t xml:space="preserve"> </w:t>
      </w:r>
      <w:r w:rsidR="005A33D6" w:rsidRPr="005A33D6">
        <w:t>days</w:t>
      </w:r>
      <w:r w:rsidR="00C64050">
        <w:t xml:space="preserve"> </w:t>
      </w:r>
      <w:r w:rsidR="005A33D6" w:rsidRPr="005A33D6">
        <w:t>after</w:t>
      </w:r>
      <w:r w:rsidR="00C64050">
        <w:t xml:space="preserve"> </w:t>
      </w:r>
      <w:r w:rsidR="005A33D6" w:rsidRPr="005A33D6">
        <w:t>the</w:t>
      </w:r>
      <w:r w:rsidR="00C64050">
        <w:t xml:space="preserve"> </w:t>
      </w:r>
      <w:r w:rsidR="005A33D6" w:rsidRPr="005A33D6">
        <w:t>date</w:t>
      </w:r>
      <w:r w:rsidR="00C64050">
        <w:t xml:space="preserve"> </w:t>
      </w:r>
      <w:r w:rsidR="005A33D6" w:rsidRPr="005A33D6">
        <w:t>on</w:t>
      </w:r>
      <w:r w:rsidR="00C64050">
        <w:t xml:space="preserve"> </w:t>
      </w:r>
      <w:r w:rsidR="005A33D6" w:rsidRPr="005A33D6">
        <w:t>which</w:t>
      </w:r>
      <w:r w:rsidR="00C64050">
        <w:t xml:space="preserve"> </w:t>
      </w:r>
      <w:r w:rsidR="005A33D6" w:rsidRPr="005A33D6">
        <w:t>that</w:t>
      </w:r>
      <w:r w:rsidR="00C64050">
        <w:t xml:space="preserve"> </w:t>
      </w:r>
      <w:r w:rsidR="005A33D6" w:rsidRPr="005A33D6">
        <w:t>return</w:t>
      </w:r>
      <w:r w:rsidR="00C64050">
        <w:t xml:space="preserve"> </w:t>
      </w:r>
      <w:r w:rsidR="005A33D6" w:rsidRPr="005A33D6">
        <w:t>is</w:t>
      </w:r>
      <w:r w:rsidR="00C64050">
        <w:t xml:space="preserve"> </w:t>
      </w:r>
      <w:r w:rsidR="005A33D6" w:rsidRPr="005A33D6">
        <w:t>filed</w:t>
      </w:r>
      <w:r w:rsidR="00C64050">
        <w:t xml:space="preserve"> </w:t>
      </w:r>
      <w:r w:rsidR="005A33D6" w:rsidRPr="005A33D6">
        <w:t>with</w:t>
      </w:r>
      <w:r w:rsidR="00C64050">
        <w:t xml:space="preserve"> </w:t>
      </w:r>
      <w:r w:rsidR="005A33D6" w:rsidRPr="005A33D6">
        <w:t>the</w:t>
      </w:r>
      <w:r w:rsidR="00C64050">
        <w:t xml:space="preserve"> </w:t>
      </w:r>
      <w:r w:rsidR="005A33D6" w:rsidRPr="005A33D6">
        <w:t>IRS.</w:t>
      </w:r>
      <w:r w:rsidR="00D954FE">
        <w:t>”</w:t>
      </w:r>
      <w:r w:rsidR="00C64050">
        <w:t xml:space="preserve">  </w:t>
      </w:r>
      <w:r>
        <w:t>Under</w:t>
      </w:r>
      <w:r w:rsidR="00C64050">
        <w:t xml:space="preserve"> </w:t>
      </w:r>
      <w:r>
        <w:t>certain</w:t>
      </w:r>
      <w:r w:rsidR="00C64050">
        <w:t xml:space="preserve"> </w:t>
      </w:r>
      <w:r>
        <w:t>circumstances</w:t>
      </w:r>
      <w:r w:rsidR="00C64050">
        <w:t xml:space="preserve"> </w:t>
      </w:r>
      <w:r>
        <w:t>the</w:t>
      </w:r>
      <w:r w:rsidR="00C64050">
        <w:t xml:space="preserve"> </w:t>
      </w:r>
      <w:r>
        <w:t>information</w:t>
      </w:r>
      <w:r w:rsidR="00C64050">
        <w:t xml:space="preserve"> </w:t>
      </w:r>
      <w:r>
        <w:t>must</w:t>
      </w:r>
      <w:r w:rsidR="00C64050">
        <w:t xml:space="preserve"> </w:t>
      </w:r>
      <w:r>
        <w:t>be</w:t>
      </w:r>
      <w:r w:rsidR="00C64050">
        <w:t xml:space="preserve"> </w:t>
      </w:r>
      <w:r>
        <w:t>supplemented:</w:t>
      </w:r>
    </w:p>
    <w:p w:rsidR="005A33D6" w:rsidRPr="00D954FE" w:rsidRDefault="005A33D6" w:rsidP="00D954FE">
      <w:pPr>
        <w:pStyle w:val="QS10"/>
      </w:pPr>
      <w:r w:rsidRPr="00D954FE">
        <w:t>(e)</w:t>
      </w:r>
      <w:r w:rsidR="00C64050">
        <w:t xml:space="preserve"> </w:t>
      </w:r>
      <w:r w:rsidRPr="00D954FE">
        <w:t>Duty</w:t>
      </w:r>
      <w:r w:rsidR="00C64050">
        <w:t xml:space="preserve"> </w:t>
      </w:r>
      <w:r w:rsidRPr="00D954FE">
        <w:t>to</w:t>
      </w:r>
      <w:r w:rsidR="00C64050">
        <w:t xml:space="preserve"> </w:t>
      </w:r>
      <w:r w:rsidRPr="00D954FE">
        <w:t>supplement.—(1)</w:t>
      </w:r>
      <w:r w:rsidR="00C64050">
        <w:t xml:space="preserve"> </w:t>
      </w:r>
      <w:r w:rsidRPr="00D954FE">
        <w:t>In</w:t>
      </w:r>
      <w:r w:rsidR="00C64050">
        <w:t xml:space="preserve"> </w:t>
      </w:r>
      <w:r w:rsidRPr="00D954FE">
        <w:t>general.</w:t>
      </w:r>
      <w:r w:rsidR="00C64050">
        <w:t xml:space="preserve"> </w:t>
      </w:r>
      <w:r w:rsidRPr="00D954FE">
        <w:t>In</w:t>
      </w:r>
      <w:r w:rsidR="00C64050">
        <w:t xml:space="preserve"> </w:t>
      </w:r>
      <w:r w:rsidRPr="00D954FE">
        <w:t>the</w:t>
      </w:r>
      <w:r w:rsidR="00C64050">
        <w:t xml:space="preserve"> </w:t>
      </w:r>
      <w:r w:rsidRPr="00D954FE">
        <w:t>event</w:t>
      </w:r>
      <w:r w:rsidR="00C64050">
        <w:t xml:space="preserve"> </w:t>
      </w:r>
      <w:r w:rsidRPr="00D954FE">
        <w:t>of</w:t>
      </w:r>
      <w:r w:rsidR="00C64050">
        <w:t xml:space="preserve"> </w:t>
      </w:r>
      <w:r w:rsidRPr="00D954FE">
        <w:t>any</w:t>
      </w:r>
      <w:r w:rsidR="00C64050">
        <w:t xml:space="preserve"> </w:t>
      </w:r>
      <w:r w:rsidRPr="00D954FE">
        <w:t>adjustment</w:t>
      </w:r>
      <w:r w:rsidR="00C64050">
        <w:t xml:space="preserve"> </w:t>
      </w:r>
      <w:r w:rsidRPr="00D954FE">
        <w:t>to</w:t>
      </w:r>
      <w:r w:rsidR="00C64050">
        <w:t xml:space="preserve"> </w:t>
      </w:r>
      <w:r w:rsidRPr="00D954FE">
        <w:t>the</w:t>
      </w:r>
      <w:r w:rsidR="00C64050">
        <w:t xml:space="preserve"> </w:t>
      </w:r>
      <w:r w:rsidRPr="00D954FE">
        <w:t>information</w:t>
      </w:r>
      <w:r w:rsidR="00C64050">
        <w:t xml:space="preserve"> </w:t>
      </w:r>
      <w:r w:rsidRPr="00D954FE">
        <w:t>required</w:t>
      </w:r>
      <w:r w:rsidR="00C64050">
        <w:t xml:space="preserve"> </w:t>
      </w:r>
      <w:r w:rsidRPr="00D954FE">
        <w:t>to</w:t>
      </w:r>
      <w:r w:rsidR="00C64050">
        <w:t xml:space="preserve"> </w:t>
      </w:r>
      <w:r w:rsidRPr="00D954FE">
        <w:t>be</w:t>
      </w:r>
      <w:r w:rsidR="00C64050">
        <w:t xml:space="preserve"> </w:t>
      </w:r>
      <w:r w:rsidRPr="00D954FE">
        <w:t>reported</w:t>
      </w:r>
      <w:r w:rsidR="00C64050">
        <w:t xml:space="preserve"> </w:t>
      </w:r>
      <w:r w:rsidRPr="00D954FE">
        <w:t>on</w:t>
      </w:r>
      <w:r w:rsidR="00C64050">
        <w:t xml:space="preserve"> </w:t>
      </w:r>
      <w:r w:rsidRPr="00D954FE">
        <w:t>the</w:t>
      </w:r>
      <w:r w:rsidR="00C64050">
        <w:t xml:space="preserve"> </w:t>
      </w:r>
      <w:r w:rsidRPr="00D954FE">
        <w:t>Information</w:t>
      </w:r>
      <w:r w:rsidR="00C64050">
        <w:t xml:space="preserve"> </w:t>
      </w:r>
      <w:r w:rsidRPr="00D954FE">
        <w:t>Return</w:t>
      </w:r>
      <w:r w:rsidR="00C64050">
        <w:t xml:space="preserve"> </w:t>
      </w:r>
      <w:r w:rsidRPr="00D954FE">
        <w:t>or</w:t>
      </w:r>
      <w:r w:rsidR="00C64050">
        <w:t xml:space="preserve"> </w:t>
      </w:r>
      <w:r w:rsidRPr="00D954FE">
        <w:t>any</w:t>
      </w:r>
      <w:r w:rsidR="00C64050">
        <w:t xml:space="preserve"> </w:t>
      </w:r>
      <w:r w:rsidRPr="00D954FE">
        <w:t>Statement</w:t>
      </w:r>
      <w:r w:rsidR="00C64050">
        <w:t xml:space="preserve"> </w:t>
      </w:r>
      <w:r w:rsidRPr="00D954FE">
        <w:t>as</w:t>
      </w:r>
      <w:r w:rsidR="00C64050">
        <w:t xml:space="preserve"> </w:t>
      </w:r>
      <w:r w:rsidRPr="00D954FE">
        <w:t>described</w:t>
      </w:r>
      <w:r w:rsidR="00C64050">
        <w:t xml:space="preserve"> </w:t>
      </w:r>
      <w:r w:rsidRPr="00D954FE">
        <w:t>in</w:t>
      </w:r>
      <w:r w:rsidR="00C64050">
        <w:t xml:space="preserve"> </w:t>
      </w:r>
      <w:r w:rsidRPr="00D954FE">
        <w:t>paragraph</w:t>
      </w:r>
      <w:r w:rsidR="00C64050">
        <w:t xml:space="preserve"> </w:t>
      </w:r>
      <w:r w:rsidRPr="00D954FE">
        <w:t>(e)(2)</w:t>
      </w:r>
      <w:r w:rsidR="00C64050">
        <w:t xml:space="preserve"> </w:t>
      </w:r>
      <w:r w:rsidRPr="00D954FE">
        <w:t>of</w:t>
      </w:r>
      <w:r w:rsidR="00C64050">
        <w:t xml:space="preserve"> </w:t>
      </w:r>
      <w:r w:rsidRPr="00D954FE">
        <w:t>this</w:t>
      </w:r>
      <w:r w:rsidR="00C64050">
        <w:t xml:space="preserve"> </w:t>
      </w:r>
      <w:r w:rsidRPr="00D954FE">
        <w:t>section,</w:t>
      </w:r>
      <w:r w:rsidR="00C64050">
        <w:t xml:space="preserve"> </w:t>
      </w:r>
      <w:r w:rsidRPr="00D954FE">
        <w:t>the</w:t>
      </w:r>
      <w:r w:rsidR="00C64050">
        <w:t xml:space="preserve"> </w:t>
      </w:r>
      <w:r w:rsidRPr="00D954FE">
        <w:t>executor</w:t>
      </w:r>
      <w:r w:rsidR="00C64050">
        <w:t xml:space="preserve"> </w:t>
      </w:r>
      <w:r w:rsidRPr="00D954FE">
        <w:t>must</w:t>
      </w:r>
      <w:r w:rsidR="00C64050">
        <w:t xml:space="preserve"> </w:t>
      </w:r>
      <w:r w:rsidRPr="00D954FE">
        <w:t>file</w:t>
      </w:r>
      <w:r w:rsidR="00C64050">
        <w:t xml:space="preserve"> </w:t>
      </w:r>
      <w:r w:rsidRPr="00D954FE">
        <w:t>a</w:t>
      </w:r>
      <w:r w:rsidR="00C64050">
        <w:t xml:space="preserve"> </w:t>
      </w:r>
      <w:r w:rsidRPr="00D954FE">
        <w:t>supplemental</w:t>
      </w:r>
      <w:r w:rsidR="00C64050">
        <w:t xml:space="preserve"> </w:t>
      </w:r>
      <w:r w:rsidRPr="00D954FE">
        <w:t>Information</w:t>
      </w:r>
      <w:r w:rsidR="00C64050">
        <w:t xml:space="preserve"> </w:t>
      </w:r>
      <w:r w:rsidRPr="00D954FE">
        <w:t>Return</w:t>
      </w:r>
      <w:r w:rsidR="00C64050">
        <w:t xml:space="preserve"> </w:t>
      </w:r>
      <w:r w:rsidRPr="00D954FE">
        <w:t>with</w:t>
      </w:r>
      <w:r w:rsidR="00C64050">
        <w:t xml:space="preserve"> </w:t>
      </w:r>
      <w:r w:rsidRPr="00D954FE">
        <w:t>the</w:t>
      </w:r>
      <w:r w:rsidR="00C64050">
        <w:t xml:space="preserve"> </w:t>
      </w:r>
      <w:r w:rsidRPr="00D954FE">
        <w:t>IRS</w:t>
      </w:r>
      <w:r w:rsidR="00C64050">
        <w:t xml:space="preserve"> </w:t>
      </w:r>
      <w:r w:rsidRPr="00D954FE">
        <w:t>including</w:t>
      </w:r>
      <w:r w:rsidR="00C64050">
        <w:t xml:space="preserve"> </w:t>
      </w:r>
      <w:r w:rsidRPr="00D954FE">
        <w:t>all</w:t>
      </w:r>
      <w:r w:rsidR="00C64050">
        <w:t xml:space="preserve"> </w:t>
      </w:r>
      <w:r w:rsidRPr="00D954FE">
        <w:t>supplemental</w:t>
      </w:r>
      <w:r w:rsidR="00C64050">
        <w:t xml:space="preserve"> </w:t>
      </w:r>
      <w:r w:rsidRPr="00D954FE">
        <w:t>Statements</w:t>
      </w:r>
      <w:r w:rsidR="00C64050">
        <w:t xml:space="preserve"> </w:t>
      </w:r>
      <w:r w:rsidRPr="00D954FE">
        <w:t>and</w:t>
      </w:r>
      <w:r w:rsidR="00C64050">
        <w:t xml:space="preserve"> </w:t>
      </w:r>
      <w:r w:rsidRPr="00D954FE">
        <w:t>furnish</w:t>
      </w:r>
      <w:r w:rsidR="00C64050">
        <w:t xml:space="preserve"> </w:t>
      </w:r>
      <w:r w:rsidRPr="00D954FE">
        <w:t>a</w:t>
      </w:r>
      <w:r w:rsidR="00C64050">
        <w:t xml:space="preserve"> </w:t>
      </w:r>
      <w:r w:rsidRPr="00D954FE">
        <w:t>corresponding</w:t>
      </w:r>
      <w:r w:rsidR="00C64050">
        <w:t xml:space="preserve"> </w:t>
      </w:r>
      <w:r w:rsidRPr="00D954FE">
        <w:t>supplemental</w:t>
      </w:r>
      <w:r w:rsidR="00C64050">
        <w:t xml:space="preserve"> </w:t>
      </w:r>
      <w:r w:rsidRPr="00D954FE">
        <w:t>Statement</w:t>
      </w:r>
      <w:r w:rsidR="00C64050">
        <w:t xml:space="preserve"> </w:t>
      </w:r>
      <w:r w:rsidRPr="00D954FE">
        <w:t>to</w:t>
      </w:r>
      <w:r w:rsidR="00C64050">
        <w:t xml:space="preserve"> </w:t>
      </w:r>
      <w:r w:rsidRPr="00D954FE">
        <w:t>each</w:t>
      </w:r>
      <w:r w:rsidR="00C64050">
        <w:t xml:space="preserve"> </w:t>
      </w:r>
      <w:r w:rsidRPr="00D954FE">
        <w:t>affected</w:t>
      </w:r>
      <w:r w:rsidR="00C64050">
        <w:t xml:space="preserve"> </w:t>
      </w:r>
      <w:r w:rsidRPr="00D954FE">
        <w:t>beneficiary</w:t>
      </w:r>
      <w:r w:rsidR="00C64050">
        <w:t xml:space="preserve"> </w:t>
      </w:r>
      <w:r w:rsidRPr="00D954FE">
        <w:t>by</w:t>
      </w:r>
      <w:r w:rsidR="00C64050">
        <w:t xml:space="preserve"> </w:t>
      </w:r>
      <w:r w:rsidRPr="00D954FE">
        <w:t>the</w:t>
      </w:r>
      <w:r w:rsidR="00C64050">
        <w:t xml:space="preserve"> </w:t>
      </w:r>
      <w:r w:rsidRPr="00D954FE">
        <w:t>due</w:t>
      </w:r>
      <w:r w:rsidR="00C64050">
        <w:t xml:space="preserve"> </w:t>
      </w:r>
      <w:r w:rsidRPr="00D954FE">
        <w:t>date</w:t>
      </w:r>
      <w:r w:rsidR="00C64050">
        <w:t xml:space="preserve"> </w:t>
      </w:r>
      <w:r w:rsidRPr="00D954FE">
        <w:t>described</w:t>
      </w:r>
      <w:r w:rsidR="00C64050">
        <w:t xml:space="preserve"> </w:t>
      </w:r>
      <w:r w:rsidRPr="00D954FE">
        <w:t>in</w:t>
      </w:r>
      <w:r w:rsidR="00C64050">
        <w:t xml:space="preserve"> </w:t>
      </w:r>
      <w:r w:rsidRPr="00D954FE">
        <w:t>paragraph</w:t>
      </w:r>
      <w:r w:rsidR="00C64050">
        <w:t xml:space="preserve"> </w:t>
      </w:r>
      <w:r w:rsidRPr="00D954FE">
        <w:t>(e)(4)</w:t>
      </w:r>
      <w:r w:rsidR="00C64050">
        <w:t xml:space="preserve"> </w:t>
      </w:r>
      <w:r w:rsidRPr="00D954FE">
        <w:t>of</w:t>
      </w:r>
      <w:r w:rsidR="00C64050">
        <w:t xml:space="preserve"> </w:t>
      </w:r>
      <w:r w:rsidRPr="00D954FE">
        <w:t>this</w:t>
      </w:r>
      <w:r w:rsidR="00C64050">
        <w:t xml:space="preserve"> </w:t>
      </w:r>
      <w:r w:rsidRPr="00D954FE">
        <w:t>section.</w:t>
      </w:r>
    </w:p>
    <w:p w:rsidR="005A33D6" w:rsidRPr="00D954FE" w:rsidRDefault="005A33D6" w:rsidP="00D954FE">
      <w:pPr>
        <w:pStyle w:val="QS10"/>
      </w:pPr>
      <w:r w:rsidRPr="00D954FE">
        <w:t>(2)</w:t>
      </w:r>
      <w:r w:rsidR="00C64050">
        <w:t xml:space="preserve"> </w:t>
      </w:r>
      <w:r w:rsidRPr="00D954FE">
        <w:t>Adjustments</w:t>
      </w:r>
      <w:r w:rsidR="00C64050">
        <w:t xml:space="preserve"> </w:t>
      </w:r>
      <w:r w:rsidRPr="00D954FE">
        <w:t>requiring</w:t>
      </w:r>
      <w:r w:rsidR="00C64050">
        <w:t xml:space="preserve"> </w:t>
      </w:r>
      <w:r w:rsidRPr="00D954FE">
        <w:t>supplement.</w:t>
      </w:r>
      <w:r w:rsidR="00C64050">
        <w:t xml:space="preserve"> </w:t>
      </w:r>
      <w:r w:rsidRPr="00D954FE">
        <w:t>Except</w:t>
      </w:r>
      <w:r w:rsidR="00C64050">
        <w:t xml:space="preserve"> </w:t>
      </w:r>
      <w:r w:rsidRPr="00D954FE">
        <w:t>as</w:t>
      </w:r>
      <w:r w:rsidR="00C64050">
        <w:t xml:space="preserve"> </w:t>
      </w:r>
      <w:r w:rsidRPr="00D954FE">
        <w:t>provided</w:t>
      </w:r>
      <w:r w:rsidR="00C64050">
        <w:t xml:space="preserve"> </w:t>
      </w:r>
      <w:r w:rsidRPr="00D954FE">
        <w:t>in</w:t>
      </w:r>
      <w:r w:rsidR="00C64050">
        <w:t xml:space="preserve"> </w:t>
      </w:r>
      <w:r w:rsidRPr="00D954FE">
        <w:t>paragraph</w:t>
      </w:r>
      <w:r w:rsidR="00C64050">
        <w:t xml:space="preserve"> </w:t>
      </w:r>
      <w:r w:rsidRPr="00D954FE">
        <w:t>(e)(3)</w:t>
      </w:r>
      <w:r w:rsidR="00C64050">
        <w:t xml:space="preserve"> </w:t>
      </w:r>
      <w:r w:rsidRPr="00D954FE">
        <w:t>of</w:t>
      </w:r>
      <w:r w:rsidR="00C64050">
        <w:t xml:space="preserve"> </w:t>
      </w:r>
      <w:r w:rsidRPr="00D954FE">
        <w:t>this</w:t>
      </w:r>
      <w:r w:rsidR="00C64050">
        <w:t xml:space="preserve"> </w:t>
      </w:r>
      <w:r w:rsidRPr="00D954FE">
        <w:t>section,</w:t>
      </w:r>
      <w:r w:rsidR="00C64050">
        <w:t xml:space="preserve"> </w:t>
      </w:r>
      <w:r w:rsidRPr="00D954FE">
        <w:t>an</w:t>
      </w:r>
      <w:r w:rsidR="00C64050">
        <w:t xml:space="preserve"> </w:t>
      </w:r>
      <w:r w:rsidRPr="00D954FE">
        <w:t>adjustment</w:t>
      </w:r>
      <w:r w:rsidR="00C64050">
        <w:t xml:space="preserve"> </w:t>
      </w:r>
      <w:r w:rsidRPr="00D954FE">
        <w:t>to</w:t>
      </w:r>
      <w:r w:rsidR="00C64050">
        <w:t xml:space="preserve"> </w:t>
      </w:r>
      <w:r w:rsidRPr="00D954FE">
        <w:t>which</w:t>
      </w:r>
      <w:r w:rsidR="00C64050">
        <w:t xml:space="preserve"> </w:t>
      </w:r>
      <w:r w:rsidRPr="00D954FE">
        <w:t>the</w:t>
      </w:r>
      <w:r w:rsidR="00C64050">
        <w:t xml:space="preserve"> </w:t>
      </w:r>
      <w:r w:rsidRPr="00D954FE">
        <w:t>duty</w:t>
      </w:r>
      <w:r w:rsidR="00C64050">
        <w:t xml:space="preserve"> </w:t>
      </w:r>
      <w:r w:rsidRPr="00D954FE">
        <w:t>to</w:t>
      </w:r>
      <w:r w:rsidR="00C64050">
        <w:t xml:space="preserve"> </w:t>
      </w:r>
      <w:r w:rsidRPr="00D954FE">
        <w:t>supplement</w:t>
      </w:r>
      <w:r w:rsidR="00C64050">
        <w:t xml:space="preserve"> </w:t>
      </w:r>
      <w:r w:rsidRPr="00D954FE">
        <w:t>applies</w:t>
      </w:r>
      <w:r w:rsidR="00C64050">
        <w:t xml:space="preserve"> </w:t>
      </w:r>
      <w:r w:rsidRPr="00D954FE">
        <w:t>is</w:t>
      </w:r>
      <w:r w:rsidR="00C64050">
        <w:t xml:space="preserve"> </w:t>
      </w:r>
      <w:r w:rsidRPr="00D954FE">
        <w:t>any</w:t>
      </w:r>
      <w:r w:rsidR="00C64050">
        <w:t xml:space="preserve"> </w:t>
      </w:r>
      <w:r w:rsidRPr="00D954FE">
        <w:t>change</w:t>
      </w:r>
      <w:r w:rsidR="00C64050">
        <w:t xml:space="preserve"> </w:t>
      </w:r>
      <w:r w:rsidRPr="00D954FE">
        <w:t>to</w:t>
      </w:r>
      <w:r w:rsidR="00C64050">
        <w:t xml:space="preserve"> </w:t>
      </w:r>
      <w:r w:rsidRPr="00D954FE">
        <w:t>the</w:t>
      </w:r>
      <w:r w:rsidR="00C64050">
        <w:t xml:space="preserve"> </w:t>
      </w:r>
      <w:r w:rsidRPr="00D954FE">
        <w:t>information</w:t>
      </w:r>
      <w:r w:rsidR="00C64050">
        <w:t xml:space="preserve"> </w:t>
      </w:r>
      <w:r w:rsidRPr="00D954FE">
        <w:t>required</w:t>
      </w:r>
      <w:r w:rsidR="00C64050">
        <w:t xml:space="preserve"> </w:t>
      </w:r>
      <w:r w:rsidRPr="00D954FE">
        <w:t>to</w:t>
      </w:r>
      <w:r w:rsidR="00C64050">
        <w:t xml:space="preserve"> </w:t>
      </w:r>
      <w:r w:rsidRPr="00D954FE">
        <w:t>be</w:t>
      </w:r>
      <w:r w:rsidR="00C64050">
        <w:t xml:space="preserve"> </w:t>
      </w:r>
      <w:r w:rsidRPr="00D954FE">
        <w:t>reported</w:t>
      </w:r>
      <w:r w:rsidR="00C64050">
        <w:t xml:space="preserve"> </w:t>
      </w:r>
      <w:r w:rsidRPr="00D954FE">
        <w:t>on</w:t>
      </w:r>
      <w:r w:rsidR="00C64050">
        <w:t xml:space="preserve"> </w:t>
      </w:r>
      <w:r w:rsidRPr="00D954FE">
        <w:t>the</w:t>
      </w:r>
      <w:r w:rsidR="00C64050">
        <w:t xml:space="preserve"> </w:t>
      </w:r>
      <w:r w:rsidRPr="00D954FE">
        <w:t>Information</w:t>
      </w:r>
      <w:r w:rsidR="00C64050">
        <w:t xml:space="preserve"> </w:t>
      </w:r>
      <w:r w:rsidRPr="00D954FE">
        <w:t>Return</w:t>
      </w:r>
      <w:r w:rsidR="00C64050">
        <w:t xml:space="preserve"> </w:t>
      </w:r>
      <w:r w:rsidRPr="00D954FE">
        <w:t>or</w:t>
      </w:r>
      <w:r w:rsidR="00C64050">
        <w:t xml:space="preserve"> </w:t>
      </w:r>
      <w:r w:rsidRPr="00D954FE">
        <w:t>Statement</w:t>
      </w:r>
      <w:r w:rsidR="00C64050">
        <w:t xml:space="preserve"> </w:t>
      </w:r>
      <w:r w:rsidRPr="00D954FE">
        <w:t>that</w:t>
      </w:r>
      <w:r w:rsidR="00C64050">
        <w:t xml:space="preserve"> </w:t>
      </w:r>
      <w:r w:rsidRPr="00D954FE">
        <w:t>causes</w:t>
      </w:r>
      <w:r w:rsidR="00C64050">
        <w:t xml:space="preserve"> </w:t>
      </w:r>
      <w:r w:rsidRPr="00D954FE">
        <w:t>the</w:t>
      </w:r>
      <w:r w:rsidR="00C64050">
        <w:t xml:space="preserve"> </w:t>
      </w:r>
      <w:r w:rsidRPr="00D954FE">
        <w:t>information</w:t>
      </w:r>
      <w:r w:rsidR="00C64050">
        <w:t xml:space="preserve"> </w:t>
      </w:r>
      <w:r w:rsidRPr="00D954FE">
        <w:t>as</w:t>
      </w:r>
      <w:r w:rsidR="00C64050">
        <w:t xml:space="preserve"> </w:t>
      </w:r>
      <w:r w:rsidRPr="00D954FE">
        <w:t>reported</w:t>
      </w:r>
      <w:r w:rsidR="00C64050">
        <w:t xml:space="preserve"> </w:t>
      </w:r>
      <w:r w:rsidRPr="00D954FE">
        <w:t>to</w:t>
      </w:r>
      <w:r w:rsidR="00C64050">
        <w:t xml:space="preserve"> </w:t>
      </w:r>
      <w:r w:rsidRPr="00D954FE">
        <w:t>be</w:t>
      </w:r>
      <w:r w:rsidR="00C64050">
        <w:t xml:space="preserve"> </w:t>
      </w:r>
      <w:r w:rsidRPr="00D954FE">
        <w:t>incorrect</w:t>
      </w:r>
      <w:r w:rsidR="00C64050">
        <w:t xml:space="preserve"> </w:t>
      </w:r>
      <w:r w:rsidRPr="00D954FE">
        <w:t>or</w:t>
      </w:r>
      <w:r w:rsidR="00C64050">
        <w:t xml:space="preserve"> </w:t>
      </w:r>
      <w:r w:rsidRPr="00D954FE">
        <w:t>incomplete.</w:t>
      </w:r>
      <w:r w:rsidR="00C64050">
        <w:t xml:space="preserve"> </w:t>
      </w:r>
      <w:r w:rsidRPr="00D954FE">
        <w:t>Such</w:t>
      </w:r>
      <w:r w:rsidR="00C64050">
        <w:t xml:space="preserve"> </w:t>
      </w:r>
      <w:r w:rsidRPr="00D954FE">
        <w:t>changes</w:t>
      </w:r>
      <w:r w:rsidR="00C64050">
        <w:t xml:space="preserve"> </w:t>
      </w:r>
      <w:r w:rsidRPr="00D954FE">
        <w:t>include,</w:t>
      </w:r>
      <w:r w:rsidR="00C64050">
        <w:t xml:space="preserve"> </w:t>
      </w:r>
      <w:r w:rsidRPr="00D954FE">
        <w:t>for</w:t>
      </w:r>
      <w:r w:rsidR="00C64050">
        <w:t xml:space="preserve"> </w:t>
      </w:r>
      <w:r w:rsidRPr="00D954FE">
        <w:t>example,</w:t>
      </w:r>
      <w:r w:rsidR="00C64050">
        <w:t xml:space="preserve"> </w:t>
      </w:r>
      <w:r w:rsidRPr="00D954FE">
        <w:t>the</w:t>
      </w:r>
      <w:r w:rsidR="00C64050">
        <w:t xml:space="preserve"> </w:t>
      </w:r>
      <w:r w:rsidRPr="00D954FE">
        <w:t>discovery</w:t>
      </w:r>
      <w:r w:rsidR="00C64050">
        <w:t xml:space="preserve"> </w:t>
      </w:r>
      <w:r w:rsidRPr="00D954FE">
        <w:t>of</w:t>
      </w:r>
      <w:r w:rsidR="00C64050">
        <w:t xml:space="preserve"> </w:t>
      </w:r>
      <w:r w:rsidRPr="00D954FE">
        <w:t>property</w:t>
      </w:r>
      <w:r w:rsidR="00C64050">
        <w:t xml:space="preserve"> </w:t>
      </w:r>
      <w:r w:rsidRPr="00D954FE">
        <w:t>that</w:t>
      </w:r>
      <w:r w:rsidR="00C64050">
        <w:t xml:space="preserve"> </w:t>
      </w:r>
      <w:r w:rsidRPr="00D954FE">
        <w:t>should</w:t>
      </w:r>
      <w:r w:rsidR="00C64050">
        <w:t xml:space="preserve"> </w:t>
      </w:r>
      <w:r w:rsidRPr="00D954FE">
        <w:t>have</w:t>
      </w:r>
      <w:r w:rsidR="00C64050">
        <w:t xml:space="preserve"> </w:t>
      </w:r>
      <w:r w:rsidRPr="00D954FE">
        <w:t>been</w:t>
      </w:r>
      <w:r w:rsidR="00C64050">
        <w:t xml:space="preserve"> </w:t>
      </w:r>
      <w:r w:rsidRPr="00D954FE">
        <w:t>(but</w:t>
      </w:r>
      <w:r w:rsidR="00C64050">
        <w:t xml:space="preserve"> </w:t>
      </w:r>
      <w:r w:rsidRPr="00D954FE">
        <w:t>was</w:t>
      </w:r>
      <w:r w:rsidR="00C64050">
        <w:t xml:space="preserve"> </w:t>
      </w:r>
      <w:r w:rsidRPr="00D954FE">
        <w:t>not)</w:t>
      </w:r>
      <w:r w:rsidR="00C64050">
        <w:t xml:space="preserve"> </w:t>
      </w:r>
      <w:r w:rsidRPr="00D954FE">
        <w:t>reported</w:t>
      </w:r>
      <w:r w:rsidR="00C64050">
        <w:t xml:space="preserve"> </w:t>
      </w:r>
      <w:r w:rsidRPr="00D954FE">
        <w:t>on</w:t>
      </w:r>
      <w:r w:rsidR="00C64050">
        <w:t xml:space="preserve"> </w:t>
      </w:r>
      <w:r w:rsidRPr="00D954FE">
        <w:t>an</w:t>
      </w:r>
      <w:r w:rsidR="00C64050">
        <w:t xml:space="preserve"> </w:t>
      </w:r>
      <w:r w:rsidRPr="00D954FE">
        <w:t>estate</w:t>
      </w:r>
      <w:r w:rsidR="00C64050">
        <w:t xml:space="preserve"> </w:t>
      </w:r>
      <w:r w:rsidRPr="00D954FE">
        <w:t>tax</w:t>
      </w:r>
      <w:r w:rsidR="00C64050">
        <w:t xml:space="preserve"> </w:t>
      </w:r>
      <w:r w:rsidRPr="00D954FE">
        <w:t>return</w:t>
      </w:r>
      <w:r w:rsidR="00C64050">
        <w:t xml:space="preserve"> </w:t>
      </w:r>
      <w:r w:rsidRPr="00D954FE">
        <w:t>described</w:t>
      </w:r>
      <w:r w:rsidR="00C64050">
        <w:t xml:space="preserve"> </w:t>
      </w:r>
      <w:r w:rsidRPr="00D954FE">
        <w:t>in</w:t>
      </w:r>
      <w:r w:rsidR="00C64050">
        <w:t xml:space="preserve"> </w:t>
      </w:r>
      <w:r w:rsidRPr="00D954FE">
        <w:t>section</w:t>
      </w:r>
      <w:r w:rsidR="00C64050">
        <w:t xml:space="preserve"> </w:t>
      </w:r>
      <w:r w:rsidRPr="00D954FE">
        <w:t>6018,</w:t>
      </w:r>
      <w:r w:rsidR="00C64050">
        <w:t xml:space="preserve"> </w:t>
      </w:r>
      <w:r w:rsidRPr="00D954FE">
        <w:t>a</w:t>
      </w:r>
      <w:r w:rsidR="00C64050">
        <w:t xml:space="preserve"> </w:t>
      </w:r>
      <w:r w:rsidRPr="00D954FE">
        <w:t>change</w:t>
      </w:r>
      <w:r w:rsidR="00C64050">
        <w:t xml:space="preserve"> </w:t>
      </w:r>
      <w:r w:rsidRPr="00D954FE">
        <w:t>in</w:t>
      </w:r>
      <w:r w:rsidR="00C64050">
        <w:t xml:space="preserve"> </w:t>
      </w:r>
      <w:r w:rsidRPr="00D954FE">
        <w:t>the</w:t>
      </w:r>
      <w:r w:rsidR="00C64050">
        <w:t xml:space="preserve"> </w:t>
      </w:r>
      <w:r w:rsidRPr="00D954FE">
        <w:t>value</w:t>
      </w:r>
      <w:r w:rsidR="00C64050">
        <w:t xml:space="preserve"> </w:t>
      </w:r>
      <w:r w:rsidRPr="00D954FE">
        <w:t>of</w:t>
      </w:r>
      <w:r w:rsidR="00C64050">
        <w:t xml:space="preserve"> </w:t>
      </w:r>
      <w:r w:rsidRPr="00D954FE">
        <w:t>property</w:t>
      </w:r>
      <w:r w:rsidR="00C64050">
        <w:t xml:space="preserve"> </w:t>
      </w:r>
      <w:r w:rsidRPr="00D954FE">
        <w:t>pursuant</w:t>
      </w:r>
      <w:r w:rsidR="00C64050">
        <w:t xml:space="preserve"> </w:t>
      </w:r>
      <w:r w:rsidRPr="00D954FE">
        <w:t>to</w:t>
      </w:r>
      <w:r w:rsidR="00C64050">
        <w:t xml:space="preserve"> </w:t>
      </w:r>
      <w:r w:rsidRPr="00D954FE">
        <w:t>an</w:t>
      </w:r>
      <w:r w:rsidR="00C64050">
        <w:t xml:space="preserve"> </w:t>
      </w:r>
      <w:r w:rsidRPr="00D954FE">
        <w:t>examination</w:t>
      </w:r>
      <w:r w:rsidR="00C64050">
        <w:t xml:space="preserve"> </w:t>
      </w:r>
      <w:r w:rsidRPr="00D954FE">
        <w:t>or</w:t>
      </w:r>
      <w:r w:rsidR="00C64050">
        <w:t xml:space="preserve"> </w:t>
      </w:r>
      <w:r w:rsidRPr="00D954FE">
        <w:t>litigation,</w:t>
      </w:r>
      <w:r w:rsidR="00C64050">
        <w:t xml:space="preserve"> </w:t>
      </w:r>
      <w:r w:rsidRPr="00D954FE">
        <w:t>or</w:t>
      </w:r>
      <w:r w:rsidR="00C64050">
        <w:t xml:space="preserve"> </w:t>
      </w:r>
      <w:r w:rsidRPr="00D954FE">
        <w:t>a</w:t>
      </w:r>
      <w:r w:rsidR="00C64050">
        <w:t xml:space="preserve"> </w:t>
      </w:r>
      <w:r w:rsidRPr="00D954FE">
        <w:t>change</w:t>
      </w:r>
      <w:r w:rsidR="00C64050">
        <w:t xml:space="preserve"> </w:t>
      </w:r>
      <w:r w:rsidRPr="00D954FE">
        <w:t>in</w:t>
      </w:r>
      <w:r w:rsidR="00C64050">
        <w:t xml:space="preserve"> </w:t>
      </w:r>
      <w:r w:rsidRPr="00D954FE">
        <w:t>the</w:t>
      </w:r>
      <w:r w:rsidR="00C64050">
        <w:t xml:space="preserve"> </w:t>
      </w:r>
      <w:r w:rsidRPr="00D954FE">
        <w:t>identity</w:t>
      </w:r>
      <w:r w:rsidR="00C64050">
        <w:t xml:space="preserve"> </w:t>
      </w:r>
      <w:r w:rsidRPr="00D954FE">
        <w:t>of</w:t>
      </w:r>
      <w:r w:rsidR="00C64050">
        <w:t xml:space="preserve"> </w:t>
      </w:r>
      <w:r w:rsidRPr="00D954FE">
        <w:t>the</w:t>
      </w:r>
      <w:r w:rsidR="00C64050">
        <w:t xml:space="preserve"> </w:t>
      </w:r>
      <w:r w:rsidRPr="00D954FE">
        <w:t>beneficiary</w:t>
      </w:r>
      <w:r w:rsidR="00C64050">
        <w:t xml:space="preserve"> </w:t>
      </w:r>
      <w:r w:rsidRPr="00D954FE">
        <w:t>to</w:t>
      </w:r>
      <w:r w:rsidR="00C64050">
        <w:t xml:space="preserve"> </w:t>
      </w:r>
      <w:r w:rsidRPr="00D954FE">
        <w:t>whom</w:t>
      </w:r>
      <w:r w:rsidR="00C64050">
        <w:t xml:space="preserve"> </w:t>
      </w:r>
      <w:r w:rsidRPr="00D954FE">
        <w:t>the</w:t>
      </w:r>
      <w:r w:rsidR="00C64050">
        <w:t xml:space="preserve"> </w:t>
      </w:r>
      <w:r w:rsidRPr="00D954FE">
        <w:t>property</w:t>
      </w:r>
      <w:r w:rsidR="00C64050">
        <w:t xml:space="preserve"> </w:t>
      </w:r>
      <w:r w:rsidRPr="00D954FE">
        <w:t>is</w:t>
      </w:r>
      <w:r w:rsidR="00C64050">
        <w:t xml:space="preserve"> </w:t>
      </w:r>
      <w:r w:rsidRPr="00D954FE">
        <w:t>to</w:t>
      </w:r>
      <w:r w:rsidR="00C64050">
        <w:t xml:space="preserve"> </w:t>
      </w:r>
      <w:r w:rsidRPr="00D954FE">
        <w:t>be</w:t>
      </w:r>
      <w:r w:rsidR="00C64050">
        <w:t xml:space="preserve"> </w:t>
      </w:r>
      <w:r w:rsidRPr="00D954FE">
        <w:t>distributed</w:t>
      </w:r>
      <w:r w:rsidR="00C64050">
        <w:t xml:space="preserve"> </w:t>
      </w:r>
      <w:r w:rsidRPr="00D954FE">
        <w:t>(pursuant</w:t>
      </w:r>
      <w:r w:rsidR="00C64050">
        <w:t xml:space="preserve"> </w:t>
      </w:r>
      <w:r w:rsidRPr="00D954FE">
        <w:t>to</w:t>
      </w:r>
      <w:r w:rsidR="00C64050">
        <w:t xml:space="preserve"> </w:t>
      </w:r>
      <w:r w:rsidRPr="00D954FE">
        <w:t>a</w:t>
      </w:r>
      <w:r w:rsidR="00C64050">
        <w:t xml:space="preserve"> </w:t>
      </w:r>
      <w:r w:rsidRPr="00D954FE">
        <w:t>death,</w:t>
      </w:r>
      <w:r w:rsidR="00C64050">
        <w:t xml:space="preserve"> </w:t>
      </w:r>
      <w:r w:rsidRPr="00D954FE">
        <w:t>disclaimer,</w:t>
      </w:r>
      <w:r w:rsidR="00C64050">
        <w:t xml:space="preserve"> </w:t>
      </w:r>
      <w:r w:rsidRPr="00D954FE">
        <w:t>bankruptcy,</w:t>
      </w:r>
      <w:r w:rsidR="00C64050">
        <w:t xml:space="preserve"> </w:t>
      </w:r>
      <w:r w:rsidRPr="00D954FE">
        <w:t>or</w:t>
      </w:r>
      <w:r w:rsidR="00C64050">
        <w:t xml:space="preserve"> </w:t>
      </w:r>
      <w:r w:rsidRPr="00D954FE">
        <w:t>otherwise).</w:t>
      </w:r>
      <w:r w:rsidR="00C64050">
        <w:t xml:space="preserve"> </w:t>
      </w:r>
      <w:r w:rsidRPr="00D954FE">
        <w:t>Such</w:t>
      </w:r>
      <w:r w:rsidR="00C64050">
        <w:t xml:space="preserve"> </w:t>
      </w:r>
      <w:r w:rsidRPr="00D954FE">
        <w:t>changes</w:t>
      </w:r>
      <w:r w:rsidR="00C64050">
        <w:t xml:space="preserve"> </w:t>
      </w:r>
      <w:r w:rsidRPr="00D954FE">
        <w:t>also</w:t>
      </w:r>
      <w:r w:rsidR="00C64050">
        <w:t xml:space="preserve"> </w:t>
      </w:r>
      <w:r w:rsidRPr="00D954FE">
        <w:t>include</w:t>
      </w:r>
      <w:r w:rsidR="00C64050">
        <w:t xml:space="preserve"> </w:t>
      </w:r>
      <w:r w:rsidRPr="00D954FE">
        <w:t>the</w:t>
      </w:r>
      <w:r w:rsidR="00C64050">
        <w:t xml:space="preserve"> </w:t>
      </w:r>
      <w:r w:rsidRPr="00D954FE">
        <w:t>executor's</w:t>
      </w:r>
      <w:r w:rsidR="00C64050">
        <w:t xml:space="preserve"> </w:t>
      </w:r>
      <w:r w:rsidRPr="00D954FE">
        <w:t>disposition</w:t>
      </w:r>
      <w:r w:rsidR="00C64050">
        <w:t xml:space="preserve"> </w:t>
      </w:r>
      <w:r w:rsidRPr="00D954FE">
        <w:t>of</w:t>
      </w:r>
      <w:r w:rsidR="00C64050">
        <w:t xml:space="preserve"> </w:t>
      </w:r>
      <w:r w:rsidRPr="00D954FE">
        <w:t>property</w:t>
      </w:r>
      <w:r w:rsidR="00C64050">
        <w:t xml:space="preserve"> </w:t>
      </w:r>
      <w:r w:rsidRPr="00D954FE">
        <w:t>acquired</w:t>
      </w:r>
      <w:r w:rsidR="00C64050">
        <w:t xml:space="preserve"> </w:t>
      </w:r>
      <w:r w:rsidRPr="00D954FE">
        <w:t>from</w:t>
      </w:r>
      <w:r w:rsidR="00C64050">
        <w:t xml:space="preserve"> </w:t>
      </w:r>
      <w:r w:rsidRPr="00D954FE">
        <w:t>the</w:t>
      </w:r>
      <w:r w:rsidR="00C64050">
        <w:t xml:space="preserve"> </w:t>
      </w:r>
      <w:r w:rsidRPr="00D954FE">
        <w:t>decedent</w:t>
      </w:r>
      <w:r w:rsidR="00C64050">
        <w:t xml:space="preserve"> </w:t>
      </w:r>
      <w:r w:rsidRPr="00D954FE">
        <w:t>or</w:t>
      </w:r>
      <w:r w:rsidR="00C64050">
        <w:t xml:space="preserve"> </w:t>
      </w:r>
      <w:r w:rsidRPr="00D954FE">
        <w:t>as</w:t>
      </w:r>
      <w:r w:rsidR="00C64050">
        <w:t xml:space="preserve"> </w:t>
      </w:r>
      <w:r w:rsidRPr="00D954FE">
        <w:t>a</w:t>
      </w:r>
      <w:r w:rsidR="00C64050">
        <w:t xml:space="preserve"> </w:t>
      </w:r>
      <w:r w:rsidRPr="00D954FE">
        <w:t>result</w:t>
      </w:r>
      <w:r w:rsidR="00C64050">
        <w:t xml:space="preserve"> </w:t>
      </w:r>
      <w:r w:rsidRPr="00D954FE">
        <w:t>of</w:t>
      </w:r>
      <w:r w:rsidR="00C64050">
        <w:t xml:space="preserve"> </w:t>
      </w:r>
      <w:r w:rsidRPr="00D954FE">
        <w:t>the</w:t>
      </w:r>
      <w:r w:rsidR="00C64050">
        <w:t xml:space="preserve"> </w:t>
      </w:r>
      <w:r w:rsidRPr="00D954FE">
        <w:t>death</w:t>
      </w:r>
      <w:r w:rsidR="00C64050">
        <w:t xml:space="preserve"> </w:t>
      </w:r>
      <w:r w:rsidRPr="00D954FE">
        <w:t>of</w:t>
      </w:r>
      <w:r w:rsidR="00C64050">
        <w:t xml:space="preserve"> </w:t>
      </w:r>
      <w:r w:rsidRPr="00D954FE">
        <w:t>the</w:t>
      </w:r>
      <w:r w:rsidR="00C64050">
        <w:t xml:space="preserve"> </w:t>
      </w:r>
      <w:r w:rsidRPr="00D954FE">
        <w:t>decedent</w:t>
      </w:r>
      <w:r w:rsidR="00C64050">
        <w:t xml:space="preserve"> </w:t>
      </w:r>
      <w:r w:rsidRPr="00D954FE">
        <w:t>in</w:t>
      </w:r>
      <w:r w:rsidR="00C64050">
        <w:t xml:space="preserve"> </w:t>
      </w:r>
      <w:r w:rsidRPr="00D954FE">
        <w:t>a</w:t>
      </w:r>
      <w:r w:rsidR="00C64050">
        <w:t xml:space="preserve"> </w:t>
      </w:r>
      <w:r w:rsidRPr="00D954FE">
        <w:t>transaction</w:t>
      </w:r>
      <w:r w:rsidR="00C64050">
        <w:t xml:space="preserve"> </w:t>
      </w:r>
      <w:r w:rsidRPr="00D954FE">
        <w:t>in</w:t>
      </w:r>
      <w:r w:rsidR="00C64050">
        <w:t xml:space="preserve"> </w:t>
      </w:r>
      <w:r w:rsidRPr="00D954FE">
        <w:t>which</w:t>
      </w:r>
      <w:r w:rsidR="00C64050">
        <w:t xml:space="preserve"> </w:t>
      </w:r>
      <w:r w:rsidRPr="00D954FE">
        <w:t>the</w:t>
      </w:r>
      <w:r w:rsidR="00C64050">
        <w:t xml:space="preserve"> </w:t>
      </w:r>
      <w:r w:rsidRPr="00D954FE">
        <w:t>basis</w:t>
      </w:r>
      <w:r w:rsidR="00C64050">
        <w:t xml:space="preserve"> </w:t>
      </w:r>
      <w:r w:rsidRPr="00D954FE">
        <w:t>of</w:t>
      </w:r>
      <w:r w:rsidR="00C64050">
        <w:t xml:space="preserve"> </w:t>
      </w:r>
      <w:r w:rsidRPr="00D954FE">
        <w:t>new</w:t>
      </w:r>
      <w:r w:rsidR="00C64050">
        <w:t xml:space="preserve"> </w:t>
      </w:r>
      <w:r w:rsidRPr="00D954FE">
        <w:t>property</w:t>
      </w:r>
      <w:r w:rsidR="00C64050">
        <w:t xml:space="preserve"> </w:t>
      </w:r>
      <w:r w:rsidRPr="00D954FE">
        <w:t>received</w:t>
      </w:r>
      <w:r w:rsidR="00C64050">
        <w:t xml:space="preserve"> </w:t>
      </w:r>
      <w:r w:rsidRPr="00D954FE">
        <w:t>by</w:t>
      </w:r>
      <w:r w:rsidR="00C64050">
        <w:t xml:space="preserve"> </w:t>
      </w:r>
      <w:r w:rsidRPr="00D954FE">
        <w:t>the</w:t>
      </w:r>
      <w:r w:rsidR="00C64050">
        <w:t xml:space="preserve"> </w:t>
      </w:r>
      <w:r w:rsidRPr="00D954FE">
        <w:t>estate</w:t>
      </w:r>
      <w:r w:rsidR="00C64050">
        <w:t xml:space="preserve"> </w:t>
      </w:r>
      <w:r w:rsidRPr="00D954FE">
        <w:t>is</w:t>
      </w:r>
      <w:r w:rsidR="00C64050">
        <w:t xml:space="preserve"> </w:t>
      </w:r>
      <w:r w:rsidRPr="00D954FE">
        <w:t>determined</w:t>
      </w:r>
      <w:r w:rsidR="00C64050">
        <w:t xml:space="preserve"> </w:t>
      </w:r>
      <w:r w:rsidRPr="00D954FE">
        <w:t>in</w:t>
      </w:r>
      <w:r w:rsidR="00C64050">
        <w:t xml:space="preserve"> </w:t>
      </w:r>
      <w:r w:rsidRPr="00D954FE">
        <w:t>whole</w:t>
      </w:r>
      <w:r w:rsidR="00C64050">
        <w:t xml:space="preserve"> </w:t>
      </w:r>
      <w:r w:rsidRPr="00D954FE">
        <w:t>or</w:t>
      </w:r>
      <w:r w:rsidR="00C64050">
        <w:t xml:space="preserve"> </w:t>
      </w:r>
      <w:r w:rsidRPr="00D954FE">
        <w:t>in</w:t>
      </w:r>
      <w:r w:rsidR="00C64050">
        <w:t xml:space="preserve"> </w:t>
      </w:r>
      <w:r w:rsidRPr="00D954FE">
        <w:t>part</w:t>
      </w:r>
      <w:r w:rsidR="00C64050">
        <w:t xml:space="preserve"> </w:t>
      </w:r>
      <w:r w:rsidRPr="00D954FE">
        <w:t>by</w:t>
      </w:r>
      <w:r w:rsidR="00C64050">
        <w:t xml:space="preserve"> </w:t>
      </w:r>
      <w:r w:rsidRPr="00D954FE">
        <w:t>reference</w:t>
      </w:r>
      <w:r w:rsidR="00C64050">
        <w:t xml:space="preserve"> </w:t>
      </w:r>
      <w:r w:rsidRPr="00D954FE">
        <w:t>to</w:t>
      </w:r>
      <w:r w:rsidR="00C64050">
        <w:t xml:space="preserve"> </w:t>
      </w:r>
      <w:r w:rsidRPr="00D954FE">
        <w:t>the</w:t>
      </w:r>
      <w:r w:rsidR="00C64050">
        <w:t xml:space="preserve"> </w:t>
      </w:r>
      <w:r w:rsidRPr="00D954FE">
        <w:t>property</w:t>
      </w:r>
      <w:r w:rsidR="00C64050">
        <w:t xml:space="preserve"> </w:t>
      </w:r>
      <w:r w:rsidRPr="00D954FE">
        <w:t>acquired</w:t>
      </w:r>
      <w:r w:rsidR="00C64050">
        <w:t xml:space="preserve"> </w:t>
      </w:r>
      <w:r w:rsidRPr="00D954FE">
        <w:t>from</w:t>
      </w:r>
      <w:r w:rsidR="00C64050">
        <w:t xml:space="preserve"> </w:t>
      </w:r>
      <w:r w:rsidRPr="00D954FE">
        <w:t>the</w:t>
      </w:r>
      <w:r w:rsidR="00C64050">
        <w:t xml:space="preserve"> </w:t>
      </w:r>
      <w:r w:rsidRPr="00D954FE">
        <w:t>decedent</w:t>
      </w:r>
      <w:r w:rsidR="00C64050">
        <w:t xml:space="preserve"> </w:t>
      </w:r>
      <w:r w:rsidRPr="00D954FE">
        <w:t>or</w:t>
      </w:r>
      <w:r w:rsidR="00C64050">
        <w:t xml:space="preserve"> </w:t>
      </w:r>
      <w:r w:rsidRPr="00D954FE">
        <w:t>as</w:t>
      </w:r>
      <w:r w:rsidR="00C64050">
        <w:t xml:space="preserve"> </w:t>
      </w:r>
      <w:r w:rsidRPr="00D954FE">
        <w:t>a</w:t>
      </w:r>
      <w:r w:rsidR="00C64050">
        <w:t xml:space="preserve"> </w:t>
      </w:r>
      <w:r w:rsidRPr="00D954FE">
        <w:t>result</w:t>
      </w:r>
      <w:r w:rsidR="00C64050">
        <w:t xml:space="preserve"> </w:t>
      </w:r>
      <w:r w:rsidRPr="00D954FE">
        <w:t>of</w:t>
      </w:r>
      <w:r w:rsidR="00C64050">
        <w:t xml:space="preserve"> </w:t>
      </w:r>
      <w:r w:rsidRPr="00D954FE">
        <w:t>the</w:t>
      </w:r>
      <w:r w:rsidR="00C64050">
        <w:t xml:space="preserve"> </w:t>
      </w:r>
      <w:r w:rsidRPr="00D954FE">
        <w:t>death</w:t>
      </w:r>
      <w:r w:rsidR="00C64050">
        <w:t xml:space="preserve"> </w:t>
      </w:r>
      <w:r w:rsidRPr="00D954FE">
        <w:t>of</w:t>
      </w:r>
      <w:r w:rsidR="00C64050">
        <w:t xml:space="preserve"> </w:t>
      </w:r>
      <w:r w:rsidRPr="00D954FE">
        <w:t>the</w:t>
      </w:r>
      <w:r w:rsidR="00C64050">
        <w:t xml:space="preserve"> </w:t>
      </w:r>
      <w:r w:rsidRPr="00D954FE">
        <w:t>decedent</w:t>
      </w:r>
      <w:r w:rsidR="00C64050">
        <w:t xml:space="preserve"> </w:t>
      </w:r>
      <w:r w:rsidRPr="00D954FE">
        <w:t>(for</w:t>
      </w:r>
      <w:r w:rsidR="00C64050">
        <w:t xml:space="preserve"> </w:t>
      </w:r>
      <w:r w:rsidRPr="00D954FE">
        <w:t>example</w:t>
      </w:r>
      <w:r w:rsidR="00C64050">
        <w:t xml:space="preserve"> </w:t>
      </w:r>
      <w:r w:rsidRPr="00D954FE">
        <w:t>as</w:t>
      </w:r>
      <w:r w:rsidR="00C64050">
        <w:t xml:space="preserve"> </w:t>
      </w:r>
      <w:r w:rsidRPr="00D954FE">
        <w:t>the</w:t>
      </w:r>
      <w:r w:rsidR="00C64050">
        <w:t xml:space="preserve"> </w:t>
      </w:r>
      <w:r w:rsidRPr="00D954FE">
        <w:t>result</w:t>
      </w:r>
      <w:r w:rsidR="00C64050">
        <w:t xml:space="preserve"> </w:t>
      </w:r>
      <w:r w:rsidRPr="00D954FE">
        <w:t>of</w:t>
      </w:r>
      <w:r w:rsidR="00C64050">
        <w:t xml:space="preserve"> </w:t>
      </w:r>
      <w:r w:rsidRPr="00D954FE">
        <w:t>a</w:t>
      </w:r>
      <w:r w:rsidR="00C64050">
        <w:t xml:space="preserve"> </w:t>
      </w:r>
      <w:r w:rsidRPr="00D954FE">
        <w:t>like-kind</w:t>
      </w:r>
      <w:r w:rsidR="00C64050">
        <w:t xml:space="preserve"> </w:t>
      </w:r>
      <w:r w:rsidRPr="00D954FE">
        <w:t>exchange</w:t>
      </w:r>
      <w:r w:rsidR="00C64050">
        <w:t xml:space="preserve"> </w:t>
      </w:r>
      <w:r w:rsidRPr="00D954FE">
        <w:t>or</w:t>
      </w:r>
      <w:r w:rsidR="00C64050">
        <w:t xml:space="preserve"> </w:t>
      </w:r>
      <w:r w:rsidRPr="00D954FE">
        <w:t>involuntary</w:t>
      </w:r>
      <w:r w:rsidR="00C64050">
        <w:t xml:space="preserve"> </w:t>
      </w:r>
      <w:r w:rsidRPr="00D954FE">
        <w:t>conversion).</w:t>
      </w:r>
      <w:r w:rsidR="00C64050">
        <w:t xml:space="preserve"> </w:t>
      </w:r>
      <w:r w:rsidRPr="00D954FE">
        <w:t>Changes</w:t>
      </w:r>
      <w:r w:rsidR="00C64050">
        <w:t xml:space="preserve"> </w:t>
      </w:r>
      <w:r w:rsidRPr="00D954FE">
        <w:t>requiring</w:t>
      </w:r>
      <w:r w:rsidR="00C64050">
        <w:t xml:space="preserve"> </w:t>
      </w:r>
      <w:r w:rsidRPr="00D954FE">
        <w:t>supplement</w:t>
      </w:r>
      <w:r w:rsidR="00C64050">
        <w:t xml:space="preserve"> </w:t>
      </w:r>
      <w:r w:rsidRPr="00D954FE">
        <w:t>pursuant</w:t>
      </w:r>
      <w:r w:rsidR="00C64050">
        <w:t xml:space="preserve"> </w:t>
      </w:r>
      <w:r w:rsidRPr="00D954FE">
        <w:t>to</w:t>
      </w:r>
      <w:r w:rsidR="00C64050">
        <w:t xml:space="preserve"> </w:t>
      </w:r>
      <w:r w:rsidRPr="00D954FE">
        <w:t>this</w:t>
      </w:r>
      <w:r w:rsidR="00C64050">
        <w:t xml:space="preserve"> </w:t>
      </w:r>
      <w:r w:rsidRPr="00D954FE">
        <w:t>paragraph</w:t>
      </w:r>
      <w:r w:rsidR="00C64050">
        <w:t xml:space="preserve"> </w:t>
      </w:r>
      <w:r w:rsidRPr="00D954FE">
        <w:t>(e)(2)</w:t>
      </w:r>
      <w:r w:rsidR="00C64050">
        <w:t xml:space="preserve"> </w:t>
      </w:r>
      <w:r w:rsidRPr="00D954FE">
        <w:t>are</w:t>
      </w:r>
      <w:r w:rsidR="00C64050">
        <w:t xml:space="preserve"> </w:t>
      </w:r>
      <w:r w:rsidRPr="00D954FE">
        <w:t>not</w:t>
      </w:r>
      <w:r w:rsidR="00C64050">
        <w:t xml:space="preserve"> </w:t>
      </w:r>
      <w:r w:rsidRPr="00D954FE">
        <w:t>inconsequential</w:t>
      </w:r>
      <w:r w:rsidR="00C64050">
        <w:t xml:space="preserve"> </w:t>
      </w:r>
      <w:r w:rsidRPr="00D954FE">
        <w:t>errors</w:t>
      </w:r>
      <w:r w:rsidR="00C64050">
        <w:t xml:space="preserve"> </w:t>
      </w:r>
      <w:r w:rsidRPr="00D954FE">
        <w:t>or</w:t>
      </w:r>
      <w:r w:rsidR="00C64050">
        <w:t xml:space="preserve"> </w:t>
      </w:r>
      <w:r w:rsidRPr="00D954FE">
        <w:t>omissions</w:t>
      </w:r>
      <w:r w:rsidR="00C64050">
        <w:t xml:space="preserve"> </w:t>
      </w:r>
      <w:r w:rsidRPr="00D954FE">
        <w:t>within</w:t>
      </w:r>
      <w:r w:rsidR="00C64050">
        <w:t xml:space="preserve"> </w:t>
      </w:r>
      <w:r w:rsidRPr="00D954FE">
        <w:t>the</w:t>
      </w:r>
      <w:r w:rsidR="00C64050">
        <w:t xml:space="preserve"> </w:t>
      </w:r>
      <w:r w:rsidRPr="00D954FE">
        <w:t>meaning</w:t>
      </w:r>
      <w:r w:rsidR="00C64050">
        <w:t xml:space="preserve"> </w:t>
      </w:r>
      <w:r w:rsidRPr="00D954FE">
        <w:t>of</w:t>
      </w:r>
      <w:r w:rsidR="00C64050">
        <w:t xml:space="preserve"> </w:t>
      </w:r>
      <w:r w:rsidRPr="00D954FE">
        <w:t>§</w:t>
      </w:r>
      <w:r w:rsidR="00C64050">
        <w:t xml:space="preserve"> </w:t>
      </w:r>
      <w:r w:rsidRPr="00D954FE">
        <w:t>301.6722-1(b)</w:t>
      </w:r>
      <w:r w:rsidR="00C64050">
        <w:t xml:space="preserve"> </w:t>
      </w:r>
      <w:r w:rsidRPr="00D954FE">
        <w:t>of</w:t>
      </w:r>
      <w:r w:rsidR="00C64050">
        <w:t xml:space="preserve"> </w:t>
      </w:r>
      <w:r w:rsidRPr="00D954FE">
        <w:t>this</w:t>
      </w:r>
      <w:r w:rsidR="00C64050">
        <w:t xml:space="preserve"> </w:t>
      </w:r>
      <w:r w:rsidRPr="00D954FE">
        <w:t>chapter.</w:t>
      </w:r>
    </w:p>
    <w:p w:rsidR="005A33D6" w:rsidRPr="00D954FE" w:rsidRDefault="005A33D6" w:rsidP="00D954FE">
      <w:pPr>
        <w:pStyle w:val="QS10"/>
      </w:pPr>
      <w:r w:rsidRPr="00D954FE">
        <w:t>(3)</w:t>
      </w:r>
      <w:r w:rsidR="00C64050">
        <w:t xml:space="preserve"> </w:t>
      </w:r>
      <w:r w:rsidRPr="00D954FE">
        <w:t>Adjustments</w:t>
      </w:r>
      <w:r w:rsidR="00C64050">
        <w:t xml:space="preserve"> </w:t>
      </w:r>
      <w:r w:rsidRPr="00D954FE">
        <w:t>not</w:t>
      </w:r>
      <w:r w:rsidR="00C64050">
        <w:t xml:space="preserve"> </w:t>
      </w:r>
      <w:r w:rsidRPr="00D954FE">
        <w:t>requiring</w:t>
      </w:r>
      <w:r w:rsidR="00C64050">
        <w:t xml:space="preserve"> </w:t>
      </w:r>
      <w:r w:rsidRPr="00D954FE">
        <w:t>supplement—(i)</w:t>
      </w:r>
      <w:r w:rsidR="00C64050">
        <w:t xml:space="preserve"> </w:t>
      </w:r>
      <w:r w:rsidRPr="00D954FE">
        <w:t>In</w:t>
      </w:r>
      <w:r w:rsidR="00C64050">
        <w:t xml:space="preserve"> </w:t>
      </w:r>
      <w:r w:rsidRPr="00D954FE">
        <w:t>general.</w:t>
      </w:r>
      <w:r w:rsidR="00C64050">
        <w:t xml:space="preserve"> </w:t>
      </w:r>
      <w:r w:rsidRPr="00D954FE">
        <w:t>A</w:t>
      </w:r>
      <w:r w:rsidR="00C64050">
        <w:t xml:space="preserve"> </w:t>
      </w:r>
      <w:r w:rsidRPr="00D954FE">
        <w:t>supplemental</w:t>
      </w:r>
      <w:r w:rsidR="00C64050">
        <w:t xml:space="preserve"> </w:t>
      </w:r>
      <w:r w:rsidRPr="00D954FE">
        <w:t>Information</w:t>
      </w:r>
      <w:r w:rsidR="00C64050">
        <w:t xml:space="preserve"> </w:t>
      </w:r>
      <w:r w:rsidRPr="00D954FE">
        <w:t>Return</w:t>
      </w:r>
      <w:r w:rsidR="00C64050">
        <w:t xml:space="preserve"> </w:t>
      </w:r>
      <w:r w:rsidRPr="00D954FE">
        <w:t>and</w:t>
      </w:r>
      <w:r w:rsidR="00C64050">
        <w:t xml:space="preserve"> </w:t>
      </w:r>
      <w:r w:rsidRPr="00D954FE">
        <w:t>Statement</w:t>
      </w:r>
      <w:r w:rsidR="00C64050">
        <w:t xml:space="preserve"> </w:t>
      </w:r>
      <w:r w:rsidRPr="00D954FE">
        <w:t>may</w:t>
      </w:r>
      <w:r w:rsidR="00C64050">
        <w:t xml:space="preserve"> </w:t>
      </w:r>
      <w:r w:rsidRPr="00D954FE">
        <w:t>but</w:t>
      </w:r>
      <w:r w:rsidR="00C64050">
        <w:t xml:space="preserve"> </w:t>
      </w:r>
      <w:r w:rsidRPr="00D954FE">
        <w:t>they</w:t>
      </w:r>
      <w:r w:rsidR="00C64050">
        <w:t xml:space="preserve"> </w:t>
      </w:r>
      <w:r w:rsidRPr="00D954FE">
        <w:t>are</w:t>
      </w:r>
      <w:r w:rsidR="00C64050">
        <w:t xml:space="preserve"> </w:t>
      </w:r>
      <w:r w:rsidRPr="00D954FE">
        <w:t>not</w:t>
      </w:r>
      <w:r w:rsidR="00C64050">
        <w:t xml:space="preserve"> </w:t>
      </w:r>
      <w:r w:rsidRPr="00D954FE">
        <w:t>required</w:t>
      </w:r>
      <w:r w:rsidR="00C64050">
        <w:t xml:space="preserve"> </w:t>
      </w:r>
      <w:r w:rsidRPr="00D954FE">
        <w:t>to</w:t>
      </w:r>
      <w:r w:rsidR="00C64050">
        <w:t xml:space="preserve"> </w:t>
      </w:r>
      <w:r w:rsidRPr="00D954FE">
        <w:t>be</w:t>
      </w:r>
      <w:r w:rsidR="00C64050">
        <w:t xml:space="preserve"> </w:t>
      </w:r>
      <w:r w:rsidRPr="00D954FE">
        <w:t>filed</w:t>
      </w:r>
      <w:r w:rsidR="00C64050">
        <w:t xml:space="preserve"> </w:t>
      </w:r>
      <w:r w:rsidRPr="00D954FE">
        <w:t>or</w:t>
      </w:r>
      <w:r w:rsidR="00C64050">
        <w:t xml:space="preserve"> </w:t>
      </w:r>
      <w:r w:rsidRPr="00D954FE">
        <w:t>furnished</w:t>
      </w:r>
    </w:p>
    <w:p w:rsidR="005A33D6" w:rsidRPr="00D954FE" w:rsidRDefault="005A33D6" w:rsidP="00D954FE">
      <w:pPr>
        <w:pStyle w:val="QS10"/>
      </w:pPr>
      <w:r w:rsidRPr="00D954FE">
        <w:t>(A)</w:t>
      </w:r>
      <w:r w:rsidR="00C64050">
        <w:t xml:space="preserve"> </w:t>
      </w:r>
      <w:r w:rsidRPr="00D954FE">
        <w:t>To</w:t>
      </w:r>
      <w:r w:rsidR="00C64050">
        <w:t xml:space="preserve"> </w:t>
      </w:r>
      <w:r w:rsidRPr="00D954FE">
        <w:t>correct</w:t>
      </w:r>
      <w:r w:rsidR="00C64050">
        <w:t xml:space="preserve"> </w:t>
      </w:r>
      <w:r w:rsidRPr="00D954FE">
        <w:t>an</w:t>
      </w:r>
      <w:r w:rsidR="00C64050">
        <w:t xml:space="preserve"> </w:t>
      </w:r>
      <w:r w:rsidRPr="00D954FE">
        <w:t>inconsequential</w:t>
      </w:r>
      <w:r w:rsidR="00C64050">
        <w:t xml:space="preserve"> </w:t>
      </w:r>
      <w:r w:rsidRPr="00D954FE">
        <w:t>error</w:t>
      </w:r>
      <w:r w:rsidR="00C64050">
        <w:t xml:space="preserve"> </w:t>
      </w:r>
      <w:r w:rsidRPr="00D954FE">
        <w:t>or</w:t>
      </w:r>
      <w:r w:rsidR="00C64050">
        <w:t xml:space="preserve"> </w:t>
      </w:r>
      <w:r w:rsidRPr="00D954FE">
        <w:t>omission</w:t>
      </w:r>
      <w:r w:rsidR="00C64050">
        <w:t xml:space="preserve"> </w:t>
      </w:r>
      <w:r w:rsidRPr="00D954FE">
        <w:t>within</w:t>
      </w:r>
      <w:r w:rsidR="00C64050">
        <w:t xml:space="preserve"> </w:t>
      </w:r>
      <w:r w:rsidRPr="00D954FE">
        <w:t>the</w:t>
      </w:r>
      <w:r w:rsidR="00C64050">
        <w:t xml:space="preserve"> </w:t>
      </w:r>
      <w:r w:rsidRPr="00D954FE">
        <w:t>meaning</w:t>
      </w:r>
      <w:r w:rsidR="00C64050">
        <w:t xml:space="preserve"> </w:t>
      </w:r>
      <w:r w:rsidRPr="00D954FE">
        <w:t>of</w:t>
      </w:r>
      <w:r w:rsidR="00C64050">
        <w:t xml:space="preserve"> </w:t>
      </w:r>
      <w:r w:rsidRPr="00D954FE">
        <w:t>§</w:t>
      </w:r>
      <w:r w:rsidR="00C64050">
        <w:t xml:space="preserve"> </w:t>
      </w:r>
      <w:r w:rsidRPr="00D954FE">
        <w:t>301.6722-1(b)</w:t>
      </w:r>
      <w:r w:rsidR="00C64050">
        <w:t xml:space="preserve"> </w:t>
      </w:r>
      <w:r w:rsidRPr="00D954FE">
        <w:t>of</w:t>
      </w:r>
      <w:r w:rsidR="00C64050">
        <w:t xml:space="preserve"> </w:t>
      </w:r>
      <w:r w:rsidRPr="00D954FE">
        <w:t>this</w:t>
      </w:r>
      <w:r w:rsidR="00C64050">
        <w:t xml:space="preserve"> </w:t>
      </w:r>
      <w:r w:rsidRPr="00D954FE">
        <w:t>chapter,</w:t>
      </w:r>
      <w:r w:rsidR="00C64050">
        <w:t xml:space="preserve"> </w:t>
      </w:r>
      <w:r w:rsidRPr="00D954FE">
        <w:t>or</w:t>
      </w:r>
    </w:p>
    <w:p w:rsidR="005A33D6" w:rsidRPr="00D954FE" w:rsidRDefault="005A33D6" w:rsidP="00D954FE">
      <w:pPr>
        <w:pStyle w:val="QS10"/>
      </w:pPr>
      <w:r w:rsidRPr="00D954FE">
        <w:t>(B)</w:t>
      </w:r>
      <w:r w:rsidR="00C64050">
        <w:t xml:space="preserve"> </w:t>
      </w:r>
      <w:r w:rsidRPr="00D954FE">
        <w:t>To</w:t>
      </w:r>
      <w:r w:rsidR="00C64050">
        <w:t xml:space="preserve"> </w:t>
      </w:r>
      <w:r w:rsidRPr="00D954FE">
        <w:t>specify</w:t>
      </w:r>
      <w:r w:rsidR="00C64050">
        <w:t xml:space="preserve"> </w:t>
      </w:r>
      <w:r w:rsidRPr="00D954FE">
        <w:t>the</w:t>
      </w:r>
      <w:r w:rsidR="00C64050">
        <w:t xml:space="preserve"> </w:t>
      </w:r>
      <w:r w:rsidRPr="00D954FE">
        <w:t>actual</w:t>
      </w:r>
      <w:r w:rsidR="00C64050">
        <w:t xml:space="preserve"> </w:t>
      </w:r>
      <w:r w:rsidRPr="00D954FE">
        <w:t>distribution</w:t>
      </w:r>
      <w:r w:rsidR="00C64050">
        <w:t xml:space="preserve"> </w:t>
      </w:r>
      <w:r w:rsidRPr="00D954FE">
        <w:t>of</w:t>
      </w:r>
      <w:r w:rsidR="00C64050">
        <w:t xml:space="preserve"> </w:t>
      </w:r>
      <w:r w:rsidRPr="00D954FE">
        <w:t>property</w:t>
      </w:r>
      <w:r w:rsidR="00C64050">
        <w:t xml:space="preserve"> </w:t>
      </w:r>
      <w:r w:rsidRPr="00D954FE">
        <w:t>previously</w:t>
      </w:r>
      <w:r w:rsidR="00C64050">
        <w:t xml:space="preserve"> </w:t>
      </w:r>
      <w:r w:rsidRPr="00D954FE">
        <w:t>reported</w:t>
      </w:r>
      <w:r w:rsidR="00C64050">
        <w:t xml:space="preserve"> </w:t>
      </w:r>
      <w:r w:rsidRPr="00D954FE">
        <w:t>as</w:t>
      </w:r>
      <w:r w:rsidR="00C64050">
        <w:t xml:space="preserve"> </w:t>
      </w:r>
      <w:r w:rsidRPr="00D954FE">
        <w:t>being</w:t>
      </w:r>
      <w:r w:rsidR="00C64050">
        <w:t xml:space="preserve"> </w:t>
      </w:r>
      <w:r w:rsidRPr="00D954FE">
        <w:t>available</w:t>
      </w:r>
      <w:r w:rsidR="00C64050">
        <w:t xml:space="preserve"> </w:t>
      </w:r>
      <w:r w:rsidRPr="00D954FE">
        <w:t>to</w:t>
      </w:r>
      <w:r w:rsidR="00C64050">
        <w:t xml:space="preserve"> </w:t>
      </w:r>
      <w:r w:rsidRPr="00D954FE">
        <w:t>satisfy</w:t>
      </w:r>
      <w:r w:rsidR="00C64050">
        <w:t xml:space="preserve"> </w:t>
      </w:r>
      <w:r w:rsidRPr="00D954FE">
        <w:t>the</w:t>
      </w:r>
      <w:r w:rsidR="00C64050">
        <w:t xml:space="preserve"> </w:t>
      </w:r>
      <w:r w:rsidRPr="00D954FE">
        <w:t>interests</w:t>
      </w:r>
      <w:r w:rsidR="00C64050">
        <w:t xml:space="preserve"> </w:t>
      </w:r>
      <w:r w:rsidRPr="00D954FE">
        <w:t>of</w:t>
      </w:r>
      <w:r w:rsidR="00C64050">
        <w:t xml:space="preserve"> </w:t>
      </w:r>
      <w:r w:rsidRPr="00D954FE">
        <w:t>multiple</w:t>
      </w:r>
      <w:r w:rsidR="00C64050">
        <w:t xml:space="preserve"> </w:t>
      </w:r>
      <w:r w:rsidRPr="00D954FE">
        <w:t>beneficiaries</w:t>
      </w:r>
      <w:r w:rsidR="00C64050">
        <w:t xml:space="preserve"> </w:t>
      </w:r>
      <w:r w:rsidRPr="00D954FE">
        <w:t>in</w:t>
      </w:r>
      <w:r w:rsidR="00C64050">
        <w:t xml:space="preserve"> </w:t>
      </w:r>
      <w:r w:rsidRPr="00D954FE">
        <w:t>the</w:t>
      </w:r>
      <w:r w:rsidR="00C64050">
        <w:t xml:space="preserve"> </w:t>
      </w:r>
      <w:r w:rsidRPr="00D954FE">
        <w:t>situation</w:t>
      </w:r>
      <w:r w:rsidR="00C64050">
        <w:t xml:space="preserve"> </w:t>
      </w:r>
      <w:r w:rsidRPr="00D954FE">
        <w:t>described</w:t>
      </w:r>
      <w:r w:rsidR="00C64050">
        <w:t xml:space="preserve"> </w:t>
      </w:r>
      <w:r w:rsidRPr="00D954FE">
        <w:t>in</w:t>
      </w:r>
      <w:r w:rsidR="00C64050">
        <w:t xml:space="preserve"> </w:t>
      </w:r>
      <w:r w:rsidRPr="00D954FE">
        <w:t>paragraph</w:t>
      </w:r>
      <w:r w:rsidR="00C64050">
        <w:t xml:space="preserve"> </w:t>
      </w:r>
      <w:r w:rsidRPr="00D954FE">
        <w:t>(c)(3)</w:t>
      </w:r>
      <w:r w:rsidR="00C64050">
        <w:t xml:space="preserve"> </w:t>
      </w:r>
      <w:r w:rsidRPr="00D954FE">
        <w:t>of</w:t>
      </w:r>
      <w:r w:rsidR="00C64050">
        <w:t xml:space="preserve"> </w:t>
      </w:r>
      <w:r w:rsidRPr="00D954FE">
        <w:t>this</w:t>
      </w:r>
      <w:r w:rsidR="00C64050">
        <w:t xml:space="preserve"> </w:t>
      </w:r>
      <w:r w:rsidRPr="00D954FE">
        <w:t>section.</w:t>
      </w:r>
    </w:p>
    <w:p w:rsidR="00465BBA" w:rsidRDefault="00465BBA" w:rsidP="00801686">
      <w:pPr>
        <w:pStyle w:val="Body15"/>
      </w:pPr>
      <w:r>
        <w:t>The</w:t>
      </w:r>
      <w:r w:rsidR="00C64050">
        <w:t xml:space="preserve"> </w:t>
      </w:r>
      <w:r>
        <w:t>timing</w:t>
      </w:r>
      <w:r w:rsidR="00C64050">
        <w:t xml:space="preserve"> </w:t>
      </w:r>
      <w:r>
        <w:t>requirements</w:t>
      </w:r>
      <w:r w:rsidR="00C64050">
        <w:t xml:space="preserve"> </w:t>
      </w:r>
      <w:r>
        <w:t>of</w:t>
      </w:r>
      <w:r w:rsidR="00C64050">
        <w:t xml:space="preserve"> </w:t>
      </w:r>
      <w:r>
        <w:t>supplemental</w:t>
      </w:r>
      <w:r w:rsidR="00C64050">
        <w:t xml:space="preserve"> </w:t>
      </w:r>
      <w:r>
        <w:t>reporting</w:t>
      </w:r>
      <w:r w:rsidR="00C64050">
        <w:t xml:space="preserve"> </w:t>
      </w:r>
      <w:r>
        <w:t>is</w:t>
      </w:r>
      <w:r w:rsidR="00C64050">
        <w:t xml:space="preserve"> </w:t>
      </w:r>
      <w:r>
        <w:t>strict:</w:t>
      </w:r>
    </w:p>
    <w:p w:rsidR="005A33D6" w:rsidRPr="00D954FE" w:rsidRDefault="005A33D6" w:rsidP="00D954FE">
      <w:pPr>
        <w:pStyle w:val="QS10"/>
      </w:pPr>
      <w:r w:rsidRPr="00D954FE">
        <w:t>Due</w:t>
      </w:r>
      <w:r w:rsidR="00C64050">
        <w:t xml:space="preserve"> </w:t>
      </w:r>
      <w:r w:rsidRPr="00D954FE">
        <w:t>date</w:t>
      </w:r>
      <w:r w:rsidR="00C64050">
        <w:t xml:space="preserve"> </w:t>
      </w:r>
      <w:r w:rsidRPr="00D954FE">
        <w:t>of</w:t>
      </w:r>
      <w:r w:rsidR="00C64050">
        <w:t xml:space="preserve"> </w:t>
      </w:r>
      <w:r w:rsidRPr="00D954FE">
        <w:t>supplemental</w:t>
      </w:r>
      <w:r w:rsidR="00C64050">
        <w:t xml:space="preserve"> </w:t>
      </w:r>
      <w:r w:rsidRPr="00D954FE">
        <w:t>reporting—(i)</w:t>
      </w:r>
      <w:r w:rsidR="00C64050">
        <w:t xml:space="preserve"> </w:t>
      </w:r>
      <w:r w:rsidRPr="00D954FE">
        <w:t>In</w:t>
      </w:r>
      <w:r w:rsidR="00C64050">
        <w:t xml:space="preserve"> </w:t>
      </w:r>
      <w:r w:rsidRPr="00D954FE">
        <w:t>general.</w:t>
      </w:r>
      <w:r w:rsidR="00C64050">
        <w:t xml:space="preserve"> </w:t>
      </w:r>
      <w:r w:rsidRPr="00D954FE">
        <w:t>Except</w:t>
      </w:r>
      <w:r w:rsidR="00C64050">
        <w:t xml:space="preserve"> </w:t>
      </w:r>
      <w:r w:rsidRPr="00D954FE">
        <w:t>as</w:t>
      </w:r>
      <w:r w:rsidR="00C64050">
        <w:t xml:space="preserve"> </w:t>
      </w:r>
      <w:r w:rsidRPr="00D954FE">
        <w:t>provided</w:t>
      </w:r>
      <w:r w:rsidR="00C64050">
        <w:t xml:space="preserve"> </w:t>
      </w:r>
      <w:r w:rsidRPr="00D954FE">
        <w:t>in</w:t>
      </w:r>
      <w:r w:rsidR="00C64050">
        <w:t xml:space="preserve"> </w:t>
      </w:r>
      <w:r w:rsidRPr="00D954FE">
        <w:t>paragraph</w:t>
      </w:r>
      <w:r w:rsidR="00C64050">
        <w:t xml:space="preserve"> </w:t>
      </w:r>
      <w:r w:rsidRPr="00D954FE">
        <w:t>(e)(4)(ii)</w:t>
      </w:r>
      <w:r w:rsidR="00C64050">
        <w:t xml:space="preserve"> </w:t>
      </w:r>
      <w:r w:rsidRPr="00D954FE">
        <w:t>of</w:t>
      </w:r>
      <w:r w:rsidR="00C64050">
        <w:t xml:space="preserve"> </w:t>
      </w:r>
      <w:r w:rsidRPr="00D954FE">
        <w:t>this</w:t>
      </w:r>
      <w:r w:rsidR="00C64050">
        <w:t xml:space="preserve"> </w:t>
      </w:r>
      <w:r w:rsidRPr="00D954FE">
        <w:t>section,</w:t>
      </w:r>
      <w:r w:rsidR="00C64050">
        <w:t xml:space="preserve"> </w:t>
      </w:r>
      <w:r w:rsidRPr="00D954FE">
        <w:t>the</w:t>
      </w:r>
      <w:r w:rsidR="00C64050">
        <w:t xml:space="preserve"> </w:t>
      </w:r>
      <w:r w:rsidRPr="00D954FE">
        <w:t>supplemental</w:t>
      </w:r>
      <w:r w:rsidR="00C64050">
        <w:t xml:space="preserve"> </w:t>
      </w:r>
      <w:r w:rsidRPr="00D954FE">
        <w:t>Information</w:t>
      </w:r>
      <w:r w:rsidR="00C64050">
        <w:t xml:space="preserve"> </w:t>
      </w:r>
      <w:r w:rsidRPr="00D954FE">
        <w:t>Return</w:t>
      </w:r>
      <w:r w:rsidR="00C64050">
        <w:t xml:space="preserve"> </w:t>
      </w:r>
      <w:r w:rsidRPr="00D954FE">
        <w:t>must</w:t>
      </w:r>
      <w:r w:rsidR="00C64050">
        <w:t xml:space="preserve"> </w:t>
      </w:r>
      <w:r w:rsidRPr="00D954FE">
        <w:t>be</w:t>
      </w:r>
      <w:r w:rsidR="00C64050">
        <w:t xml:space="preserve"> </w:t>
      </w:r>
      <w:r w:rsidRPr="00D954FE">
        <w:t>filed</w:t>
      </w:r>
      <w:r w:rsidR="00C64050">
        <w:t xml:space="preserve"> </w:t>
      </w:r>
      <w:r w:rsidRPr="00D954FE">
        <w:t>and</w:t>
      </w:r>
      <w:r w:rsidR="00C64050">
        <w:t xml:space="preserve"> </w:t>
      </w:r>
      <w:r w:rsidRPr="00D954FE">
        <w:t>each</w:t>
      </w:r>
      <w:r w:rsidR="00C64050">
        <w:t xml:space="preserve"> </w:t>
      </w:r>
      <w:r w:rsidRPr="00D954FE">
        <w:t>supplemental</w:t>
      </w:r>
      <w:r w:rsidR="00C64050">
        <w:t xml:space="preserve"> </w:t>
      </w:r>
      <w:r w:rsidRPr="00D954FE">
        <w:t>Statement</w:t>
      </w:r>
      <w:r w:rsidR="00C64050">
        <w:t xml:space="preserve"> </w:t>
      </w:r>
      <w:r w:rsidRPr="00D954FE">
        <w:t>must</w:t>
      </w:r>
      <w:r w:rsidR="00C64050">
        <w:t xml:space="preserve"> </w:t>
      </w:r>
      <w:r w:rsidRPr="00D954FE">
        <w:t>be</w:t>
      </w:r>
      <w:r w:rsidR="00C64050">
        <w:t xml:space="preserve"> </w:t>
      </w:r>
      <w:r w:rsidRPr="00D954FE">
        <w:t>furnished</w:t>
      </w:r>
      <w:r w:rsidR="00C64050">
        <w:t xml:space="preserve"> </w:t>
      </w:r>
      <w:r w:rsidRPr="00D954FE">
        <w:t>on</w:t>
      </w:r>
      <w:r w:rsidR="00C64050">
        <w:t xml:space="preserve"> </w:t>
      </w:r>
      <w:r w:rsidRPr="00D954FE">
        <w:t>or</w:t>
      </w:r>
      <w:r w:rsidR="00C64050">
        <w:t xml:space="preserve"> </w:t>
      </w:r>
      <w:r w:rsidRPr="00D954FE">
        <w:t>before</w:t>
      </w:r>
      <w:r w:rsidR="00C64050">
        <w:t xml:space="preserve"> </w:t>
      </w:r>
      <w:r w:rsidRPr="00D954FE">
        <w:t>30</w:t>
      </w:r>
      <w:r w:rsidR="00C64050">
        <w:t xml:space="preserve"> </w:t>
      </w:r>
      <w:r w:rsidRPr="00D954FE">
        <w:t>days</w:t>
      </w:r>
      <w:r w:rsidR="00C64050">
        <w:t xml:space="preserve"> </w:t>
      </w:r>
      <w:r w:rsidRPr="00D954FE">
        <w:t>after—</w:t>
      </w:r>
    </w:p>
    <w:p w:rsidR="005A33D6" w:rsidRPr="00D954FE" w:rsidRDefault="005A33D6" w:rsidP="00D954FE">
      <w:pPr>
        <w:pStyle w:val="QS10"/>
      </w:pPr>
      <w:r w:rsidRPr="00D954FE">
        <w:t>(A)</w:t>
      </w:r>
      <w:r w:rsidR="00C64050">
        <w:t xml:space="preserve"> </w:t>
      </w:r>
      <w:r w:rsidRPr="00D954FE">
        <w:t>The</w:t>
      </w:r>
      <w:r w:rsidR="00C64050">
        <w:t xml:space="preserve"> </w:t>
      </w:r>
      <w:r w:rsidRPr="00D954FE">
        <w:t>final</w:t>
      </w:r>
      <w:r w:rsidR="00C64050">
        <w:t xml:space="preserve"> </w:t>
      </w:r>
      <w:r w:rsidRPr="00D954FE">
        <w:t>value</w:t>
      </w:r>
      <w:r w:rsidR="00C64050">
        <w:t xml:space="preserve"> </w:t>
      </w:r>
      <w:r w:rsidRPr="00D954FE">
        <w:t>within</w:t>
      </w:r>
      <w:r w:rsidR="00C64050">
        <w:t xml:space="preserve"> </w:t>
      </w:r>
      <w:r w:rsidRPr="00D954FE">
        <w:t>the</w:t>
      </w:r>
      <w:r w:rsidR="00C64050">
        <w:t xml:space="preserve"> </w:t>
      </w:r>
      <w:r w:rsidRPr="00D954FE">
        <w:t>meaning</w:t>
      </w:r>
      <w:r w:rsidR="00C64050">
        <w:t xml:space="preserve"> </w:t>
      </w:r>
      <w:r w:rsidRPr="00D954FE">
        <w:t>of</w:t>
      </w:r>
      <w:r w:rsidR="00C64050">
        <w:t xml:space="preserve"> </w:t>
      </w:r>
      <w:r w:rsidRPr="00D954FE">
        <w:t>§</w:t>
      </w:r>
      <w:r w:rsidR="00C64050">
        <w:t xml:space="preserve"> </w:t>
      </w:r>
      <w:r w:rsidRPr="00D954FE">
        <w:t>1.1014-10(c)(1)</w:t>
      </w:r>
      <w:r w:rsidR="00C64050">
        <w:t xml:space="preserve"> </w:t>
      </w:r>
      <w:r w:rsidRPr="00D954FE">
        <w:t>is</w:t>
      </w:r>
      <w:r w:rsidR="00C64050">
        <w:t xml:space="preserve"> </w:t>
      </w:r>
      <w:r w:rsidRPr="00D954FE">
        <w:t>determined;</w:t>
      </w:r>
    </w:p>
    <w:p w:rsidR="005A33D6" w:rsidRPr="00D954FE" w:rsidRDefault="005A33D6" w:rsidP="00D954FE">
      <w:pPr>
        <w:pStyle w:val="QS10"/>
      </w:pPr>
      <w:r w:rsidRPr="00D954FE">
        <w:t>(B)</w:t>
      </w:r>
      <w:r w:rsidR="00C64050">
        <w:t xml:space="preserve"> </w:t>
      </w:r>
      <w:r w:rsidRPr="00D954FE">
        <w:t>The</w:t>
      </w:r>
      <w:r w:rsidR="00C64050">
        <w:t xml:space="preserve"> </w:t>
      </w:r>
      <w:r w:rsidRPr="00D954FE">
        <w:t>executor</w:t>
      </w:r>
      <w:r w:rsidR="00C64050">
        <w:t xml:space="preserve"> </w:t>
      </w:r>
      <w:r w:rsidRPr="00D954FE">
        <w:t>discovers</w:t>
      </w:r>
      <w:r w:rsidR="00C64050">
        <w:t xml:space="preserve"> </w:t>
      </w:r>
      <w:r w:rsidRPr="00D954FE">
        <w:t>that</w:t>
      </w:r>
      <w:r w:rsidR="00C64050">
        <w:t xml:space="preserve"> </w:t>
      </w:r>
      <w:r w:rsidRPr="00D954FE">
        <w:t>the</w:t>
      </w:r>
      <w:r w:rsidR="00C64050">
        <w:t xml:space="preserve"> </w:t>
      </w:r>
      <w:r w:rsidRPr="00D954FE">
        <w:t>information</w:t>
      </w:r>
      <w:r w:rsidR="00C64050">
        <w:t xml:space="preserve"> </w:t>
      </w:r>
      <w:r w:rsidRPr="00D954FE">
        <w:t>reported</w:t>
      </w:r>
      <w:r w:rsidR="00C64050">
        <w:t xml:space="preserve"> </w:t>
      </w:r>
      <w:r w:rsidRPr="00D954FE">
        <w:t>on</w:t>
      </w:r>
      <w:r w:rsidR="00C64050">
        <w:t xml:space="preserve"> </w:t>
      </w:r>
      <w:r w:rsidRPr="00D954FE">
        <w:t>the</w:t>
      </w:r>
      <w:r w:rsidR="00C64050">
        <w:t xml:space="preserve"> </w:t>
      </w:r>
      <w:r w:rsidRPr="00D954FE">
        <w:t>Information</w:t>
      </w:r>
      <w:r w:rsidR="00C64050">
        <w:t xml:space="preserve"> </w:t>
      </w:r>
      <w:r w:rsidRPr="00D954FE">
        <w:t>Return</w:t>
      </w:r>
      <w:r w:rsidR="00C64050">
        <w:t xml:space="preserve"> </w:t>
      </w:r>
      <w:r w:rsidRPr="00D954FE">
        <w:t>or</w:t>
      </w:r>
      <w:r w:rsidR="00C64050">
        <w:t xml:space="preserve"> </w:t>
      </w:r>
      <w:r w:rsidRPr="00D954FE">
        <w:t>Statement</w:t>
      </w:r>
      <w:r w:rsidR="00C64050">
        <w:t xml:space="preserve"> </w:t>
      </w:r>
      <w:r w:rsidRPr="00D954FE">
        <w:t>is</w:t>
      </w:r>
      <w:r w:rsidR="00C64050">
        <w:t xml:space="preserve"> </w:t>
      </w:r>
      <w:r w:rsidRPr="00D954FE">
        <w:t>otherwise</w:t>
      </w:r>
      <w:r w:rsidR="00C64050">
        <w:t xml:space="preserve"> </w:t>
      </w:r>
      <w:r w:rsidRPr="00D954FE">
        <w:t>incorrect</w:t>
      </w:r>
      <w:r w:rsidR="00C64050">
        <w:t xml:space="preserve"> </w:t>
      </w:r>
      <w:r w:rsidRPr="00D954FE">
        <w:t>or</w:t>
      </w:r>
      <w:r w:rsidR="00C64050">
        <w:t xml:space="preserve"> </w:t>
      </w:r>
      <w:r w:rsidRPr="00D954FE">
        <w:t>incomplete,</w:t>
      </w:r>
      <w:r w:rsidR="00C64050">
        <w:t xml:space="preserve"> </w:t>
      </w:r>
      <w:r w:rsidRPr="00D954FE">
        <w:t>except</w:t>
      </w:r>
      <w:r w:rsidR="00C64050">
        <w:t xml:space="preserve"> </w:t>
      </w:r>
      <w:r w:rsidRPr="00D954FE">
        <w:t>to</w:t>
      </w:r>
      <w:r w:rsidR="00C64050">
        <w:t xml:space="preserve"> </w:t>
      </w:r>
      <w:r w:rsidRPr="00D954FE">
        <w:t>the</w:t>
      </w:r>
      <w:r w:rsidR="00C64050">
        <w:t xml:space="preserve"> </w:t>
      </w:r>
      <w:r w:rsidRPr="00D954FE">
        <w:t>extent</w:t>
      </w:r>
      <w:r w:rsidR="00C64050">
        <w:t xml:space="preserve"> </w:t>
      </w:r>
      <w:r w:rsidRPr="00D954FE">
        <w:t>described</w:t>
      </w:r>
      <w:r w:rsidR="00C64050">
        <w:t xml:space="preserve"> </w:t>
      </w:r>
      <w:r w:rsidRPr="00D954FE">
        <w:t>in</w:t>
      </w:r>
      <w:r w:rsidR="00C64050">
        <w:t xml:space="preserve"> </w:t>
      </w:r>
      <w:r w:rsidRPr="00D954FE">
        <w:t>paragraph</w:t>
      </w:r>
      <w:r w:rsidR="00C64050">
        <w:t xml:space="preserve"> </w:t>
      </w:r>
      <w:r w:rsidRPr="00D954FE">
        <w:t>(e)(3)(i)</w:t>
      </w:r>
      <w:r w:rsidR="00C64050">
        <w:t xml:space="preserve"> </w:t>
      </w:r>
      <w:r w:rsidRPr="00D954FE">
        <w:t>of</w:t>
      </w:r>
      <w:r w:rsidR="00C64050">
        <w:t xml:space="preserve"> </w:t>
      </w:r>
      <w:r w:rsidRPr="00D954FE">
        <w:t>this</w:t>
      </w:r>
      <w:r w:rsidR="00C64050">
        <w:t xml:space="preserve"> </w:t>
      </w:r>
      <w:r w:rsidRPr="00D954FE">
        <w:t>section;</w:t>
      </w:r>
      <w:r w:rsidR="00C64050">
        <w:t xml:space="preserve"> </w:t>
      </w:r>
      <w:r w:rsidRPr="00D954FE">
        <w:t>or</w:t>
      </w:r>
    </w:p>
    <w:p w:rsidR="005A33D6" w:rsidRPr="00D954FE" w:rsidRDefault="005A33D6" w:rsidP="00D954FE">
      <w:pPr>
        <w:pStyle w:val="QS10"/>
      </w:pPr>
      <w:r w:rsidRPr="00D954FE">
        <w:t>(C)</w:t>
      </w:r>
      <w:r w:rsidR="00C64050">
        <w:t xml:space="preserve"> </w:t>
      </w:r>
      <w:r w:rsidRPr="00D954FE">
        <w:t>A</w:t>
      </w:r>
      <w:r w:rsidR="00C64050">
        <w:t xml:space="preserve"> </w:t>
      </w:r>
      <w:r w:rsidRPr="00D954FE">
        <w:t>supplemental</w:t>
      </w:r>
      <w:r w:rsidR="00C64050">
        <w:t xml:space="preserve"> </w:t>
      </w:r>
      <w:r w:rsidRPr="00D954FE">
        <w:t>estate</w:t>
      </w:r>
      <w:r w:rsidR="00C64050">
        <w:t xml:space="preserve"> </w:t>
      </w:r>
      <w:r w:rsidRPr="00D954FE">
        <w:t>tax</w:t>
      </w:r>
      <w:r w:rsidR="00C64050">
        <w:t xml:space="preserve"> </w:t>
      </w:r>
      <w:r w:rsidRPr="00D954FE">
        <w:t>return</w:t>
      </w:r>
      <w:r w:rsidR="00C64050">
        <w:t xml:space="preserve"> </w:t>
      </w:r>
      <w:r w:rsidRPr="00D954FE">
        <w:t>under</w:t>
      </w:r>
      <w:r w:rsidR="00C64050">
        <w:t xml:space="preserve"> </w:t>
      </w:r>
      <w:r w:rsidRPr="00D954FE">
        <w:t>section</w:t>
      </w:r>
      <w:r w:rsidR="00C64050">
        <w:t xml:space="preserve"> </w:t>
      </w:r>
      <w:r w:rsidRPr="00D954FE">
        <w:t>6018</w:t>
      </w:r>
      <w:r w:rsidR="00C64050">
        <w:t xml:space="preserve"> </w:t>
      </w:r>
      <w:r w:rsidRPr="00D954FE">
        <w:t>is</w:t>
      </w:r>
      <w:r w:rsidR="00C64050">
        <w:t xml:space="preserve"> </w:t>
      </w:r>
      <w:r w:rsidRPr="00D954FE">
        <w:t>filed</w:t>
      </w:r>
      <w:r w:rsidR="00C64050">
        <w:t xml:space="preserve"> </w:t>
      </w:r>
      <w:r w:rsidRPr="00D954FE">
        <w:t>reporting</w:t>
      </w:r>
      <w:r w:rsidR="00C64050">
        <w:t xml:space="preserve"> </w:t>
      </w:r>
      <w:r w:rsidRPr="00D954FE">
        <w:t>property</w:t>
      </w:r>
      <w:r w:rsidR="00C64050">
        <w:t xml:space="preserve"> </w:t>
      </w:r>
      <w:r w:rsidRPr="00D954FE">
        <w:t>not</w:t>
      </w:r>
      <w:r w:rsidR="00C64050">
        <w:t xml:space="preserve"> </w:t>
      </w:r>
      <w:r w:rsidRPr="00D954FE">
        <w:t>reported</w:t>
      </w:r>
      <w:r w:rsidR="00C64050">
        <w:t xml:space="preserve"> </w:t>
      </w:r>
      <w:r w:rsidRPr="00D954FE">
        <w:t>on</w:t>
      </w:r>
      <w:r w:rsidR="00C64050">
        <w:t xml:space="preserve"> </w:t>
      </w:r>
      <w:r w:rsidRPr="00D954FE">
        <w:t>a</w:t>
      </w:r>
      <w:r w:rsidR="00C64050">
        <w:t xml:space="preserve"> </w:t>
      </w:r>
      <w:r w:rsidRPr="00D954FE">
        <w:t>previously</w:t>
      </w:r>
      <w:r w:rsidR="00C64050">
        <w:t xml:space="preserve"> </w:t>
      </w:r>
      <w:r w:rsidRPr="00D954FE">
        <w:t>filed</w:t>
      </w:r>
      <w:r w:rsidR="00C64050">
        <w:t xml:space="preserve"> </w:t>
      </w:r>
      <w:r w:rsidRPr="00D954FE">
        <w:t>estate</w:t>
      </w:r>
      <w:r w:rsidR="00C64050">
        <w:t xml:space="preserve"> </w:t>
      </w:r>
      <w:r w:rsidRPr="00D954FE">
        <w:t>tax</w:t>
      </w:r>
      <w:r w:rsidR="00C64050">
        <w:t xml:space="preserve"> </w:t>
      </w:r>
      <w:r w:rsidRPr="00D954FE">
        <w:t>return</w:t>
      </w:r>
      <w:r w:rsidR="00C64050">
        <w:t xml:space="preserve"> </w:t>
      </w:r>
      <w:r w:rsidRPr="00D954FE">
        <w:t>pursuant</w:t>
      </w:r>
      <w:r w:rsidR="00C64050">
        <w:t xml:space="preserve"> </w:t>
      </w:r>
      <w:r w:rsidRPr="00D954FE">
        <w:t>to</w:t>
      </w:r>
      <w:r w:rsidR="00C64050">
        <w:t xml:space="preserve"> </w:t>
      </w:r>
      <w:r w:rsidRPr="00D954FE">
        <w:t>§</w:t>
      </w:r>
      <w:r w:rsidR="00C64050">
        <w:t xml:space="preserve"> </w:t>
      </w:r>
      <w:r w:rsidRPr="00D954FE">
        <w:t>1.1014-10(c)(3)(i).</w:t>
      </w:r>
      <w:r w:rsidR="00C64050">
        <w:t xml:space="preserve"> </w:t>
      </w:r>
      <w:r w:rsidRPr="00D954FE">
        <w:t>In</w:t>
      </w:r>
      <w:r w:rsidR="00C64050">
        <w:t xml:space="preserve"> </w:t>
      </w:r>
      <w:r w:rsidRPr="00D954FE">
        <w:t>this</w:t>
      </w:r>
      <w:r w:rsidR="00C64050">
        <w:t xml:space="preserve"> </w:t>
      </w:r>
      <w:r w:rsidRPr="00D954FE">
        <w:t>case,</w:t>
      </w:r>
      <w:r w:rsidR="00C64050">
        <w:t xml:space="preserve"> </w:t>
      </w:r>
      <w:r w:rsidRPr="00D954FE">
        <w:t>a</w:t>
      </w:r>
      <w:r w:rsidR="00C64050">
        <w:t xml:space="preserve"> </w:t>
      </w:r>
      <w:r w:rsidRPr="00D954FE">
        <w:t>copy</w:t>
      </w:r>
      <w:r w:rsidR="00C64050">
        <w:t xml:space="preserve"> </w:t>
      </w:r>
      <w:r w:rsidRPr="00D954FE">
        <w:t>of</w:t>
      </w:r>
      <w:r w:rsidR="00C64050">
        <w:t xml:space="preserve"> </w:t>
      </w:r>
      <w:r w:rsidRPr="00D954FE">
        <w:t>the</w:t>
      </w:r>
      <w:r w:rsidR="00C64050">
        <w:t xml:space="preserve"> </w:t>
      </w:r>
      <w:r w:rsidRPr="00D954FE">
        <w:t>supplemental</w:t>
      </w:r>
      <w:r w:rsidR="00C64050">
        <w:t xml:space="preserve"> </w:t>
      </w:r>
      <w:r w:rsidRPr="00D954FE">
        <w:t>Statement</w:t>
      </w:r>
      <w:r w:rsidR="00C64050">
        <w:t xml:space="preserve"> </w:t>
      </w:r>
      <w:r w:rsidRPr="00D954FE">
        <w:t>provided</w:t>
      </w:r>
      <w:r w:rsidR="00C64050">
        <w:t xml:space="preserve"> </w:t>
      </w:r>
      <w:r w:rsidRPr="00D954FE">
        <w:t>to</w:t>
      </w:r>
      <w:r w:rsidR="00C64050">
        <w:t xml:space="preserve"> </w:t>
      </w:r>
      <w:r w:rsidRPr="00D954FE">
        <w:t>each</w:t>
      </w:r>
      <w:r w:rsidR="00C64050">
        <w:t xml:space="preserve"> </w:t>
      </w:r>
      <w:r w:rsidRPr="00D954FE">
        <w:t>beneficiary</w:t>
      </w:r>
      <w:r w:rsidR="00C64050">
        <w:t xml:space="preserve"> </w:t>
      </w:r>
      <w:r w:rsidRPr="00D954FE">
        <w:t>of</w:t>
      </w:r>
      <w:r w:rsidR="00C64050">
        <w:t xml:space="preserve"> </w:t>
      </w:r>
      <w:r w:rsidRPr="00D954FE">
        <w:t>an</w:t>
      </w:r>
      <w:r w:rsidR="00C64050">
        <w:t xml:space="preserve"> </w:t>
      </w:r>
      <w:r w:rsidRPr="00D954FE">
        <w:t>interest</w:t>
      </w:r>
      <w:r w:rsidR="00C64050">
        <w:t xml:space="preserve"> </w:t>
      </w:r>
      <w:r w:rsidRPr="00D954FE">
        <w:t>in</w:t>
      </w:r>
      <w:r w:rsidR="00C64050">
        <w:t xml:space="preserve"> </w:t>
      </w:r>
      <w:r w:rsidRPr="00D954FE">
        <w:t>this</w:t>
      </w:r>
      <w:r w:rsidR="00C64050">
        <w:t xml:space="preserve"> </w:t>
      </w:r>
      <w:r w:rsidRPr="00D954FE">
        <w:t>property</w:t>
      </w:r>
      <w:r w:rsidR="00C64050">
        <w:t xml:space="preserve"> </w:t>
      </w:r>
      <w:r w:rsidRPr="00D954FE">
        <w:t>must</w:t>
      </w:r>
      <w:r w:rsidR="00C64050">
        <w:t xml:space="preserve"> </w:t>
      </w:r>
      <w:r w:rsidRPr="00D954FE">
        <w:t>be</w:t>
      </w:r>
      <w:r w:rsidR="00C64050">
        <w:t xml:space="preserve"> </w:t>
      </w:r>
      <w:r w:rsidRPr="00D954FE">
        <w:t>attached</w:t>
      </w:r>
      <w:r w:rsidR="00C64050">
        <w:t xml:space="preserve"> </w:t>
      </w:r>
      <w:r w:rsidRPr="00D954FE">
        <w:t>to</w:t>
      </w:r>
      <w:r w:rsidR="00C64050">
        <w:t xml:space="preserve"> </w:t>
      </w:r>
      <w:r w:rsidRPr="00D954FE">
        <w:t>the</w:t>
      </w:r>
      <w:r w:rsidR="00C64050">
        <w:t xml:space="preserve"> </w:t>
      </w:r>
      <w:r w:rsidRPr="00D954FE">
        <w:t>supplemental</w:t>
      </w:r>
      <w:r w:rsidR="00C64050">
        <w:t xml:space="preserve"> </w:t>
      </w:r>
      <w:r w:rsidRPr="00D954FE">
        <w:t>Information</w:t>
      </w:r>
      <w:r w:rsidR="00C64050">
        <w:t xml:space="preserve"> </w:t>
      </w:r>
      <w:r w:rsidRPr="00D954FE">
        <w:t>Return.</w:t>
      </w:r>
    </w:p>
    <w:p w:rsidR="005A33D6" w:rsidRPr="00D954FE" w:rsidRDefault="005A33D6" w:rsidP="00D954FE">
      <w:pPr>
        <w:pStyle w:val="QS10"/>
      </w:pPr>
      <w:r w:rsidRPr="00D954FE">
        <w:t>(ii)</w:t>
      </w:r>
      <w:r w:rsidR="00C64050">
        <w:t xml:space="preserve"> </w:t>
      </w:r>
      <w:r w:rsidRPr="00D954FE">
        <w:t>Probate</w:t>
      </w:r>
      <w:r w:rsidR="00C64050">
        <w:t xml:space="preserve"> </w:t>
      </w:r>
      <w:r w:rsidRPr="00D954FE">
        <w:t>property</w:t>
      </w:r>
      <w:r w:rsidR="00C64050">
        <w:t xml:space="preserve"> </w:t>
      </w:r>
      <w:r w:rsidRPr="00D954FE">
        <w:t>or</w:t>
      </w:r>
      <w:r w:rsidR="00C64050">
        <w:t xml:space="preserve"> </w:t>
      </w:r>
      <w:r w:rsidRPr="00D954FE">
        <w:t>property</w:t>
      </w:r>
      <w:r w:rsidR="00C64050">
        <w:t xml:space="preserve"> </w:t>
      </w:r>
      <w:r w:rsidRPr="00D954FE">
        <w:t>from</w:t>
      </w:r>
      <w:r w:rsidR="00C64050">
        <w:t xml:space="preserve"> </w:t>
      </w:r>
      <w:r w:rsidRPr="00D954FE">
        <w:t>decedent's</w:t>
      </w:r>
      <w:r w:rsidR="00C64050">
        <w:t xml:space="preserve"> </w:t>
      </w:r>
      <w:r w:rsidRPr="00D954FE">
        <w:t>revocable</w:t>
      </w:r>
      <w:r w:rsidR="00C64050">
        <w:t xml:space="preserve"> </w:t>
      </w:r>
      <w:r w:rsidRPr="00D954FE">
        <w:t>trust.</w:t>
      </w:r>
      <w:r w:rsidR="00C64050">
        <w:t xml:space="preserve"> </w:t>
      </w:r>
      <w:r w:rsidRPr="00D954FE">
        <w:t>With</w:t>
      </w:r>
      <w:r w:rsidR="00C64050">
        <w:t xml:space="preserve"> </w:t>
      </w:r>
      <w:r w:rsidRPr="00D954FE">
        <w:t>respect</w:t>
      </w:r>
      <w:r w:rsidR="00C64050">
        <w:t xml:space="preserve"> </w:t>
      </w:r>
      <w:r w:rsidRPr="00D954FE">
        <w:t>to</w:t>
      </w:r>
      <w:r w:rsidR="00C64050">
        <w:t xml:space="preserve"> </w:t>
      </w:r>
      <w:r w:rsidRPr="00D954FE">
        <w:t>property</w:t>
      </w:r>
      <w:r w:rsidR="00C64050">
        <w:t xml:space="preserve"> </w:t>
      </w:r>
      <w:r w:rsidRPr="00D954FE">
        <w:t>in</w:t>
      </w:r>
      <w:r w:rsidR="00C64050">
        <w:t xml:space="preserve"> </w:t>
      </w:r>
      <w:r w:rsidRPr="00D954FE">
        <w:t>the</w:t>
      </w:r>
      <w:r w:rsidR="00C64050">
        <w:t xml:space="preserve"> </w:t>
      </w:r>
      <w:r w:rsidRPr="00D954FE">
        <w:t>probate</w:t>
      </w:r>
      <w:r w:rsidR="00C64050">
        <w:t xml:space="preserve"> </w:t>
      </w:r>
      <w:r w:rsidRPr="00D954FE">
        <w:t>estate</w:t>
      </w:r>
      <w:r w:rsidR="00C64050">
        <w:t xml:space="preserve"> </w:t>
      </w:r>
      <w:r w:rsidRPr="00D954FE">
        <w:t>or</w:t>
      </w:r>
      <w:r w:rsidR="00C64050">
        <w:t xml:space="preserve"> </w:t>
      </w:r>
      <w:r w:rsidRPr="00D954FE">
        <w:t>held</w:t>
      </w:r>
      <w:r w:rsidR="00C64050">
        <w:t xml:space="preserve"> </w:t>
      </w:r>
      <w:r w:rsidRPr="00D954FE">
        <w:t>by</w:t>
      </w:r>
      <w:r w:rsidR="00C64050">
        <w:t xml:space="preserve"> </w:t>
      </w:r>
      <w:r w:rsidRPr="00D954FE">
        <w:t>a</w:t>
      </w:r>
      <w:r w:rsidR="00C64050">
        <w:t xml:space="preserve"> </w:t>
      </w:r>
      <w:r w:rsidRPr="00D954FE">
        <w:t>revocable</w:t>
      </w:r>
      <w:r w:rsidR="00C64050">
        <w:t xml:space="preserve"> </w:t>
      </w:r>
      <w:r w:rsidRPr="00D954FE">
        <w:t>trust</w:t>
      </w:r>
      <w:r w:rsidR="00C64050">
        <w:t xml:space="preserve"> </w:t>
      </w:r>
      <w:r w:rsidRPr="00D954FE">
        <w:t>at</w:t>
      </w:r>
      <w:r w:rsidR="00C64050">
        <w:t xml:space="preserve"> </w:t>
      </w:r>
      <w:r w:rsidRPr="00D954FE">
        <w:t>the</w:t>
      </w:r>
      <w:r w:rsidR="00C64050">
        <w:t xml:space="preserve"> </w:t>
      </w:r>
      <w:r w:rsidRPr="00D954FE">
        <w:t>decedent's</w:t>
      </w:r>
      <w:r w:rsidR="00C64050">
        <w:t xml:space="preserve"> </w:t>
      </w:r>
      <w:r w:rsidRPr="00D954FE">
        <w:t>death,</w:t>
      </w:r>
      <w:r w:rsidR="00C64050">
        <w:t xml:space="preserve"> </w:t>
      </w:r>
      <w:r w:rsidRPr="00D954FE">
        <w:t>if</w:t>
      </w:r>
      <w:r w:rsidR="00C64050">
        <w:t xml:space="preserve"> </w:t>
      </w:r>
      <w:r w:rsidRPr="00D954FE">
        <w:t>an</w:t>
      </w:r>
      <w:r w:rsidR="00C64050">
        <w:t xml:space="preserve"> </w:t>
      </w:r>
      <w:r w:rsidRPr="00D954FE">
        <w:t>event</w:t>
      </w:r>
      <w:r w:rsidR="00C64050">
        <w:t xml:space="preserve"> </w:t>
      </w:r>
      <w:r w:rsidRPr="00D954FE">
        <w:t>described</w:t>
      </w:r>
      <w:r w:rsidR="00C64050">
        <w:t xml:space="preserve"> </w:t>
      </w:r>
      <w:r w:rsidRPr="00D954FE">
        <w:t>in</w:t>
      </w:r>
      <w:r w:rsidR="00C64050">
        <w:t xml:space="preserve"> </w:t>
      </w:r>
      <w:r w:rsidRPr="00D954FE">
        <w:t>paragraph</w:t>
      </w:r>
      <w:r w:rsidR="00C64050">
        <w:t xml:space="preserve"> </w:t>
      </w:r>
      <w:r w:rsidRPr="00D954FE">
        <w:t>(e)(4)(i)(A),</w:t>
      </w:r>
      <w:r w:rsidR="00C64050">
        <w:t xml:space="preserve"> </w:t>
      </w:r>
      <w:r w:rsidRPr="00D954FE">
        <w:t>(B),</w:t>
      </w:r>
      <w:r w:rsidR="00C64050">
        <w:t xml:space="preserve"> </w:t>
      </w:r>
      <w:r w:rsidRPr="00D954FE">
        <w:t>or</w:t>
      </w:r>
      <w:r w:rsidR="00C64050">
        <w:t xml:space="preserve"> </w:t>
      </w:r>
      <w:r w:rsidRPr="00D954FE">
        <w:t>(C)</w:t>
      </w:r>
      <w:r w:rsidR="00C64050">
        <w:t xml:space="preserve"> </w:t>
      </w:r>
      <w:r w:rsidRPr="00D954FE">
        <w:t>of</w:t>
      </w:r>
      <w:r w:rsidR="00C64050">
        <w:t xml:space="preserve"> </w:t>
      </w:r>
      <w:r w:rsidRPr="00D954FE">
        <w:t>this</w:t>
      </w:r>
      <w:r w:rsidR="00C64050">
        <w:t xml:space="preserve"> </w:t>
      </w:r>
      <w:r w:rsidRPr="00D954FE">
        <w:t>section</w:t>
      </w:r>
      <w:r w:rsidR="00C64050">
        <w:t xml:space="preserve"> </w:t>
      </w:r>
      <w:r w:rsidRPr="00D954FE">
        <w:t>occurs</w:t>
      </w:r>
      <w:r w:rsidR="00C64050">
        <w:t xml:space="preserve"> </w:t>
      </w:r>
      <w:r w:rsidRPr="00D954FE">
        <w:t>after</w:t>
      </w:r>
      <w:r w:rsidR="00C64050">
        <w:t xml:space="preserve"> </w:t>
      </w:r>
      <w:r w:rsidRPr="00D954FE">
        <w:t>the</w:t>
      </w:r>
      <w:r w:rsidR="00C64050">
        <w:t xml:space="preserve"> </w:t>
      </w:r>
      <w:r w:rsidRPr="00D954FE">
        <w:t>decedent's</w:t>
      </w:r>
      <w:r w:rsidR="00C64050">
        <w:t xml:space="preserve"> </w:t>
      </w:r>
      <w:r w:rsidRPr="00D954FE">
        <w:t>date</w:t>
      </w:r>
      <w:r w:rsidR="00C64050">
        <w:t xml:space="preserve"> </w:t>
      </w:r>
      <w:r w:rsidRPr="00D954FE">
        <w:t>of</w:t>
      </w:r>
      <w:r w:rsidR="00C64050">
        <w:t xml:space="preserve"> </w:t>
      </w:r>
      <w:r w:rsidRPr="00D954FE">
        <w:t>death</w:t>
      </w:r>
      <w:r w:rsidR="00C64050">
        <w:t xml:space="preserve"> </w:t>
      </w:r>
      <w:r w:rsidRPr="00D954FE">
        <w:t>but</w:t>
      </w:r>
      <w:r w:rsidR="00C64050">
        <w:t xml:space="preserve"> </w:t>
      </w:r>
      <w:r w:rsidRPr="00D954FE">
        <w:t>before</w:t>
      </w:r>
      <w:r w:rsidR="00C64050">
        <w:t xml:space="preserve"> </w:t>
      </w:r>
      <w:r w:rsidRPr="00D954FE">
        <w:t>or</w:t>
      </w:r>
      <w:r w:rsidR="00C64050">
        <w:t xml:space="preserve"> </w:t>
      </w:r>
      <w:r w:rsidRPr="00D954FE">
        <w:t>on</w:t>
      </w:r>
      <w:r w:rsidR="00C64050">
        <w:t xml:space="preserve"> </w:t>
      </w:r>
      <w:r w:rsidRPr="00D954FE">
        <w:t>the</w:t>
      </w:r>
      <w:r w:rsidR="00C64050">
        <w:t xml:space="preserve"> </w:t>
      </w:r>
      <w:r w:rsidRPr="00D954FE">
        <w:t>date</w:t>
      </w:r>
      <w:r w:rsidR="00C64050">
        <w:t xml:space="preserve"> </w:t>
      </w:r>
      <w:r w:rsidRPr="00D954FE">
        <w:t>the</w:t>
      </w:r>
      <w:r w:rsidR="00C64050">
        <w:t xml:space="preserve"> </w:t>
      </w:r>
      <w:r w:rsidRPr="00D954FE">
        <w:t>property</w:t>
      </w:r>
      <w:r w:rsidR="00C64050">
        <w:t xml:space="preserve"> </w:t>
      </w:r>
      <w:r w:rsidRPr="00D954FE">
        <w:t>is</w:t>
      </w:r>
      <w:r w:rsidR="00C64050">
        <w:t xml:space="preserve"> </w:t>
      </w:r>
      <w:r w:rsidRPr="00D954FE">
        <w:t>distributed</w:t>
      </w:r>
      <w:r w:rsidR="00C64050">
        <w:t xml:space="preserve"> </w:t>
      </w:r>
      <w:r w:rsidRPr="00D954FE">
        <w:t>to</w:t>
      </w:r>
      <w:r w:rsidR="00C64050">
        <w:t xml:space="preserve"> </w:t>
      </w:r>
      <w:r w:rsidRPr="00D954FE">
        <w:t>the</w:t>
      </w:r>
      <w:r w:rsidR="00C64050">
        <w:t xml:space="preserve"> </w:t>
      </w:r>
      <w:r w:rsidRPr="00D954FE">
        <w:t>beneficiary,</w:t>
      </w:r>
      <w:r w:rsidR="00C64050">
        <w:t xml:space="preserve"> </w:t>
      </w:r>
      <w:r w:rsidRPr="00D954FE">
        <w:t>the</w:t>
      </w:r>
      <w:r w:rsidR="00C64050">
        <w:t xml:space="preserve"> </w:t>
      </w:r>
      <w:r w:rsidRPr="00D954FE">
        <w:t>due</w:t>
      </w:r>
      <w:r w:rsidR="00C64050">
        <w:t xml:space="preserve"> </w:t>
      </w:r>
      <w:r w:rsidRPr="00D954FE">
        <w:t>date</w:t>
      </w:r>
      <w:r w:rsidR="00C64050">
        <w:t xml:space="preserve"> </w:t>
      </w:r>
      <w:r w:rsidRPr="00D954FE">
        <w:t>for</w:t>
      </w:r>
      <w:r w:rsidR="00C64050">
        <w:t xml:space="preserve"> </w:t>
      </w:r>
      <w:r w:rsidRPr="00D954FE">
        <w:t>the</w:t>
      </w:r>
      <w:r w:rsidR="00C64050">
        <w:t xml:space="preserve"> </w:t>
      </w:r>
      <w:r w:rsidRPr="00D954FE">
        <w:t>supplemental</w:t>
      </w:r>
      <w:r w:rsidR="00C64050">
        <w:t xml:space="preserve"> </w:t>
      </w:r>
      <w:r w:rsidRPr="00D954FE">
        <w:t>Information</w:t>
      </w:r>
      <w:r w:rsidR="00C64050">
        <w:t xml:space="preserve"> </w:t>
      </w:r>
      <w:r w:rsidRPr="00D954FE">
        <w:t>Return</w:t>
      </w:r>
      <w:r w:rsidR="00C64050">
        <w:t xml:space="preserve"> </w:t>
      </w:r>
      <w:r w:rsidRPr="00D954FE">
        <w:t>and</w:t>
      </w:r>
      <w:r w:rsidR="00C64050">
        <w:t xml:space="preserve"> </w:t>
      </w:r>
      <w:r w:rsidRPr="00D954FE">
        <w:t>corresponding</w:t>
      </w:r>
      <w:r w:rsidR="00C64050">
        <w:t xml:space="preserve"> </w:t>
      </w:r>
      <w:r w:rsidRPr="00D954FE">
        <w:t>supplemental</w:t>
      </w:r>
      <w:r w:rsidR="00C64050">
        <w:t xml:space="preserve"> </w:t>
      </w:r>
      <w:r w:rsidRPr="00D954FE">
        <w:t>Statement</w:t>
      </w:r>
      <w:r w:rsidR="00C64050">
        <w:t xml:space="preserve"> </w:t>
      </w:r>
      <w:r w:rsidRPr="00D954FE">
        <w:t>is</w:t>
      </w:r>
      <w:r w:rsidR="00C64050">
        <w:t xml:space="preserve"> </w:t>
      </w:r>
      <w:r w:rsidRPr="00D954FE">
        <w:t>the</w:t>
      </w:r>
      <w:r w:rsidR="00C64050">
        <w:t xml:space="preserve"> </w:t>
      </w:r>
      <w:r w:rsidRPr="00D954FE">
        <w:t>date</w:t>
      </w:r>
      <w:r w:rsidR="00C64050">
        <w:t xml:space="preserve"> </w:t>
      </w:r>
      <w:r w:rsidRPr="00D954FE">
        <w:t>that</w:t>
      </w:r>
      <w:r w:rsidR="00C64050">
        <w:t xml:space="preserve"> </w:t>
      </w:r>
      <w:r w:rsidRPr="00D954FE">
        <w:t>is</w:t>
      </w:r>
      <w:r w:rsidR="00C64050">
        <w:t xml:space="preserve"> </w:t>
      </w:r>
      <w:r w:rsidRPr="00D954FE">
        <w:t>30</w:t>
      </w:r>
      <w:r w:rsidR="00C64050">
        <w:t xml:space="preserve"> </w:t>
      </w:r>
      <w:r w:rsidRPr="00D954FE">
        <w:t>days</w:t>
      </w:r>
      <w:r w:rsidR="00C64050">
        <w:t xml:space="preserve"> </w:t>
      </w:r>
      <w:r w:rsidRPr="00D954FE">
        <w:t>after</w:t>
      </w:r>
      <w:r w:rsidR="00C64050">
        <w:t xml:space="preserve"> </w:t>
      </w:r>
      <w:r w:rsidRPr="00D954FE">
        <w:t>the</w:t>
      </w:r>
      <w:r w:rsidR="00C64050">
        <w:t xml:space="preserve"> </w:t>
      </w:r>
      <w:r w:rsidRPr="00D954FE">
        <w:t>date</w:t>
      </w:r>
      <w:r w:rsidR="00C64050">
        <w:t xml:space="preserve"> </w:t>
      </w:r>
      <w:r w:rsidRPr="00D954FE">
        <w:t>the</w:t>
      </w:r>
      <w:r w:rsidR="00C64050">
        <w:t xml:space="preserve"> </w:t>
      </w:r>
      <w:r w:rsidRPr="00D954FE">
        <w:t>property</w:t>
      </w:r>
      <w:r w:rsidR="00C64050">
        <w:t xml:space="preserve"> </w:t>
      </w:r>
      <w:r w:rsidRPr="00D954FE">
        <w:t>is</w:t>
      </w:r>
      <w:r w:rsidR="00C64050">
        <w:t xml:space="preserve"> </w:t>
      </w:r>
      <w:r w:rsidRPr="00D954FE">
        <w:t>distributed</w:t>
      </w:r>
      <w:r w:rsidR="00C64050">
        <w:t xml:space="preserve"> </w:t>
      </w:r>
      <w:r w:rsidRPr="00D954FE">
        <w:t>to</w:t>
      </w:r>
      <w:r w:rsidR="00C64050">
        <w:t xml:space="preserve"> </w:t>
      </w:r>
      <w:r w:rsidRPr="00D954FE">
        <w:t>the</w:t>
      </w:r>
      <w:r w:rsidR="00C64050">
        <w:t xml:space="preserve"> </w:t>
      </w:r>
      <w:r w:rsidRPr="00D954FE">
        <w:t>beneficiary.</w:t>
      </w:r>
      <w:r w:rsidR="00C64050">
        <w:t xml:space="preserve"> </w:t>
      </w:r>
      <w:r w:rsidRPr="00D954FE">
        <w:t>If</w:t>
      </w:r>
      <w:r w:rsidR="00C64050">
        <w:t xml:space="preserve"> </w:t>
      </w:r>
      <w:r w:rsidRPr="00D954FE">
        <w:t>the</w:t>
      </w:r>
      <w:r w:rsidR="00C64050">
        <w:t xml:space="preserve"> </w:t>
      </w:r>
      <w:r w:rsidRPr="00D954FE">
        <w:t>executor</w:t>
      </w:r>
      <w:r w:rsidR="00C64050">
        <w:t xml:space="preserve"> </w:t>
      </w:r>
      <w:r w:rsidRPr="00D954FE">
        <w:t>chooses</w:t>
      </w:r>
      <w:r w:rsidR="00C64050">
        <w:t xml:space="preserve"> </w:t>
      </w:r>
      <w:r w:rsidRPr="00D954FE">
        <w:t>to</w:t>
      </w:r>
      <w:r w:rsidR="00C64050">
        <w:t xml:space="preserve"> </w:t>
      </w:r>
      <w:r w:rsidRPr="00D954FE">
        <w:t>furnish</w:t>
      </w:r>
      <w:r w:rsidR="00C64050">
        <w:t xml:space="preserve"> </w:t>
      </w:r>
      <w:r w:rsidRPr="00D954FE">
        <w:t>to</w:t>
      </w:r>
      <w:r w:rsidR="00C64050">
        <w:t xml:space="preserve"> </w:t>
      </w:r>
      <w:r w:rsidRPr="00D954FE">
        <w:t>the</w:t>
      </w:r>
      <w:r w:rsidR="00C64050">
        <w:t xml:space="preserve"> </w:t>
      </w:r>
      <w:r w:rsidRPr="00D954FE">
        <w:t>beneficiary</w:t>
      </w:r>
      <w:r w:rsidR="00C64050">
        <w:t xml:space="preserve"> </w:t>
      </w:r>
      <w:r w:rsidRPr="00D954FE">
        <w:t>on</w:t>
      </w:r>
      <w:r w:rsidR="00C64050">
        <w:t xml:space="preserve"> </w:t>
      </w:r>
      <w:r w:rsidRPr="00D954FE">
        <w:t>the</w:t>
      </w:r>
      <w:r w:rsidR="00C64050">
        <w:t xml:space="preserve"> </w:t>
      </w:r>
      <w:r w:rsidRPr="00D954FE">
        <w:t>Statement</w:t>
      </w:r>
      <w:r w:rsidR="00C64050">
        <w:t xml:space="preserve"> </w:t>
      </w:r>
      <w:r w:rsidRPr="00D954FE">
        <w:t>information</w:t>
      </w:r>
      <w:r w:rsidR="00C64050">
        <w:t xml:space="preserve"> </w:t>
      </w:r>
      <w:r w:rsidRPr="00D954FE">
        <w:t>regarding</w:t>
      </w:r>
      <w:r w:rsidR="00C64050">
        <w:t xml:space="preserve"> </w:t>
      </w:r>
      <w:r w:rsidRPr="00D954FE">
        <w:t>any</w:t>
      </w:r>
      <w:r w:rsidR="00C64050">
        <w:t xml:space="preserve"> </w:t>
      </w:r>
      <w:r w:rsidRPr="00D954FE">
        <w:t>changes</w:t>
      </w:r>
      <w:r w:rsidR="00C64050">
        <w:t xml:space="preserve"> </w:t>
      </w:r>
      <w:r w:rsidRPr="00D954FE">
        <w:t>to</w:t>
      </w:r>
      <w:r w:rsidR="00C64050">
        <w:t xml:space="preserve"> </w:t>
      </w:r>
      <w:r w:rsidRPr="00D954FE">
        <w:t>the</w:t>
      </w:r>
      <w:r w:rsidR="00C64050">
        <w:t xml:space="preserve"> </w:t>
      </w:r>
      <w:r w:rsidRPr="00D954FE">
        <w:t>basis</w:t>
      </w:r>
      <w:r w:rsidR="00C64050">
        <w:t xml:space="preserve"> </w:t>
      </w:r>
      <w:r w:rsidRPr="00D954FE">
        <w:t>of</w:t>
      </w:r>
      <w:r w:rsidR="00C64050">
        <w:t xml:space="preserve"> </w:t>
      </w:r>
      <w:r w:rsidRPr="00D954FE">
        <w:t>the</w:t>
      </w:r>
      <w:r w:rsidR="00C64050">
        <w:t xml:space="preserve"> </w:t>
      </w:r>
      <w:r w:rsidRPr="00D954FE">
        <w:t>reported</w:t>
      </w:r>
      <w:r w:rsidR="00C64050">
        <w:t xml:space="preserve"> </w:t>
      </w:r>
      <w:r w:rsidRPr="00D954FE">
        <w:t>property</w:t>
      </w:r>
      <w:r w:rsidR="00C64050">
        <w:t xml:space="preserve"> </w:t>
      </w:r>
      <w:r w:rsidRPr="00D954FE">
        <w:t>as</w:t>
      </w:r>
      <w:r w:rsidR="00C64050">
        <w:t xml:space="preserve"> </w:t>
      </w:r>
      <w:r w:rsidRPr="00D954FE">
        <w:t>described</w:t>
      </w:r>
      <w:r w:rsidR="00C64050">
        <w:t xml:space="preserve"> </w:t>
      </w:r>
      <w:r w:rsidRPr="00D954FE">
        <w:t>in</w:t>
      </w:r>
      <w:r w:rsidR="00C64050">
        <w:t xml:space="preserve"> </w:t>
      </w:r>
      <w:r w:rsidRPr="00D954FE">
        <w:t>§</w:t>
      </w:r>
      <w:r w:rsidR="00C64050">
        <w:t xml:space="preserve"> </w:t>
      </w:r>
      <w:r w:rsidRPr="00D954FE">
        <w:t>1.1014-10(a)(2)</w:t>
      </w:r>
      <w:r w:rsidR="00C64050">
        <w:t xml:space="preserve"> </w:t>
      </w:r>
      <w:r w:rsidRPr="00D954FE">
        <w:t>that</w:t>
      </w:r>
      <w:r w:rsidR="00C64050">
        <w:t xml:space="preserve"> </w:t>
      </w:r>
      <w:r w:rsidRPr="00D954FE">
        <w:t>occurred</w:t>
      </w:r>
      <w:r w:rsidR="00C64050">
        <w:t xml:space="preserve"> </w:t>
      </w:r>
      <w:r w:rsidRPr="00D954FE">
        <w:t>after</w:t>
      </w:r>
      <w:r w:rsidR="00C64050">
        <w:t xml:space="preserve"> </w:t>
      </w:r>
      <w:r w:rsidRPr="00D954FE">
        <w:t>the</w:t>
      </w:r>
      <w:r w:rsidR="00C64050">
        <w:t xml:space="preserve"> </w:t>
      </w:r>
      <w:r w:rsidRPr="00D954FE">
        <w:t>date</w:t>
      </w:r>
      <w:r w:rsidR="00C64050">
        <w:t xml:space="preserve"> </w:t>
      </w:r>
      <w:r w:rsidRPr="00D954FE">
        <w:t>of</w:t>
      </w:r>
      <w:r w:rsidR="00C64050">
        <w:t xml:space="preserve"> </w:t>
      </w:r>
      <w:r w:rsidRPr="00D954FE">
        <w:t>death</w:t>
      </w:r>
      <w:r w:rsidR="00C64050">
        <w:t xml:space="preserve"> </w:t>
      </w:r>
      <w:r w:rsidRPr="00D954FE">
        <w:t>but</w:t>
      </w:r>
      <w:r w:rsidR="00C64050">
        <w:t xml:space="preserve"> </w:t>
      </w:r>
      <w:r w:rsidRPr="00D954FE">
        <w:t>before</w:t>
      </w:r>
      <w:r w:rsidR="00C64050">
        <w:t xml:space="preserve"> </w:t>
      </w:r>
      <w:r w:rsidRPr="00D954FE">
        <w:t>or</w:t>
      </w:r>
      <w:r w:rsidR="00C64050">
        <w:t xml:space="preserve"> </w:t>
      </w:r>
      <w:r w:rsidRPr="00D954FE">
        <w:t>on</w:t>
      </w:r>
      <w:r w:rsidR="00C64050">
        <w:t xml:space="preserve"> </w:t>
      </w:r>
      <w:r w:rsidRPr="00D954FE">
        <w:t>the</w:t>
      </w:r>
      <w:r w:rsidR="00C64050">
        <w:t xml:space="preserve"> </w:t>
      </w:r>
      <w:r w:rsidRPr="00D954FE">
        <w:t>date</w:t>
      </w:r>
      <w:r w:rsidR="00C64050">
        <w:t xml:space="preserve"> </w:t>
      </w:r>
      <w:r w:rsidRPr="00D954FE">
        <w:t>of</w:t>
      </w:r>
      <w:r w:rsidR="00C64050">
        <w:t xml:space="preserve"> </w:t>
      </w:r>
      <w:r w:rsidRPr="00D954FE">
        <w:t>distribution,</w:t>
      </w:r>
      <w:r w:rsidR="00C64050">
        <w:t xml:space="preserve"> </w:t>
      </w:r>
      <w:r w:rsidRPr="00D954FE">
        <w:t>that</w:t>
      </w:r>
      <w:r w:rsidR="00C64050">
        <w:t xml:space="preserve"> </w:t>
      </w:r>
      <w:r w:rsidRPr="00D954FE">
        <w:t>basis</w:t>
      </w:r>
      <w:r w:rsidR="00C64050">
        <w:t xml:space="preserve"> </w:t>
      </w:r>
      <w:r w:rsidRPr="00D954FE">
        <w:t>adjustment</w:t>
      </w:r>
      <w:r w:rsidR="00C64050">
        <w:t xml:space="preserve"> </w:t>
      </w:r>
      <w:r w:rsidRPr="00D954FE">
        <w:t>information</w:t>
      </w:r>
      <w:r w:rsidR="00C64050">
        <w:t xml:space="preserve"> </w:t>
      </w:r>
      <w:r w:rsidRPr="00D954FE">
        <w:t>(which</w:t>
      </w:r>
      <w:r w:rsidR="00C64050">
        <w:t xml:space="preserve"> </w:t>
      </w:r>
      <w:r w:rsidRPr="00D954FE">
        <w:t>is</w:t>
      </w:r>
      <w:r w:rsidR="00C64050">
        <w:t xml:space="preserve"> </w:t>
      </w:r>
      <w:r w:rsidRPr="00D954FE">
        <w:t>not</w:t>
      </w:r>
      <w:r w:rsidR="00C64050">
        <w:t xml:space="preserve"> </w:t>
      </w:r>
      <w:r w:rsidRPr="00D954FE">
        <w:t>part</w:t>
      </w:r>
      <w:r w:rsidR="00C64050">
        <w:t xml:space="preserve"> </w:t>
      </w:r>
      <w:r w:rsidRPr="00D954FE">
        <w:t>of</w:t>
      </w:r>
      <w:r w:rsidR="00C64050">
        <w:t xml:space="preserve"> </w:t>
      </w:r>
      <w:r w:rsidRPr="00D954FE">
        <w:t>the</w:t>
      </w:r>
      <w:r w:rsidR="00C64050">
        <w:t xml:space="preserve"> </w:t>
      </w:r>
      <w:r w:rsidRPr="00D954FE">
        <w:t>requirement</w:t>
      </w:r>
      <w:r w:rsidR="00C64050">
        <w:t xml:space="preserve"> </w:t>
      </w:r>
      <w:r w:rsidRPr="00D954FE">
        <w:t>under</w:t>
      </w:r>
      <w:r w:rsidR="00C64050">
        <w:t xml:space="preserve"> </w:t>
      </w:r>
      <w:hyperlink r:id="rId81" w:history="1">
        <w:r w:rsidRPr="00D954FE">
          <w:t>section</w:t>
        </w:r>
        <w:r w:rsidR="00C64050">
          <w:t xml:space="preserve"> </w:t>
        </w:r>
        <w:r w:rsidRPr="00D954FE">
          <w:t>6035</w:t>
        </w:r>
      </w:hyperlink>
      <w:r w:rsidRPr="00D954FE">
        <w:t>)</w:t>
      </w:r>
      <w:r w:rsidR="00C64050">
        <w:t xml:space="preserve"> </w:t>
      </w:r>
      <w:r w:rsidRPr="00D954FE">
        <w:t>must</w:t>
      </w:r>
      <w:r w:rsidR="00C64050">
        <w:t xml:space="preserve"> </w:t>
      </w:r>
      <w:r w:rsidRPr="00D954FE">
        <w:t>be</w:t>
      </w:r>
      <w:r w:rsidR="00C64050">
        <w:t xml:space="preserve"> </w:t>
      </w:r>
      <w:r w:rsidRPr="00D954FE">
        <w:t>shown</w:t>
      </w:r>
      <w:r w:rsidR="00C64050">
        <w:t xml:space="preserve"> </w:t>
      </w:r>
      <w:r w:rsidRPr="00D954FE">
        <w:t>separately</w:t>
      </w:r>
      <w:r w:rsidR="00C64050">
        <w:t xml:space="preserve"> </w:t>
      </w:r>
      <w:r w:rsidRPr="00D954FE">
        <w:t>from</w:t>
      </w:r>
      <w:r w:rsidR="00C64050">
        <w:t xml:space="preserve"> </w:t>
      </w:r>
      <w:r w:rsidRPr="00D954FE">
        <w:t>the</w:t>
      </w:r>
      <w:r w:rsidR="00C64050">
        <w:t xml:space="preserve"> </w:t>
      </w:r>
      <w:r w:rsidRPr="00D954FE">
        <w:t>final</w:t>
      </w:r>
      <w:r w:rsidR="00C64050">
        <w:t xml:space="preserve"> </w:t>
      </w:r>
      <w:r w:rsidRPr="00D954FE">
        <w:t>value</w:t>
      </w:r>
      <w:r w:rsidR="00C64050">
        <w:t xml:space="preserve"> </w:t>
      </w:r>
      <w:r w:rsidRPr="00D954FE">
        <w:t>required</w:t>
      </w:r>
      <w:r w:rsidR="00C64050">
        <w:t xml:space="preserve"> </w:t>
      </w:r>
      <w:r w:rsidRPr="00D954FE">
        <w:t>to</w:t>
      </w:r>
      <w:r w:rsidR="00C64050">
        <w:t xml:space="preserve"> </w:t>
      </w:r>
      <w:r w:rsidRPr="00D954FE">
        <w:t>be</w:t>
      </w:r>
      <w:r w:rsidR="00C64050">
        <w:t xml:space="preserve"> </w:t>
      </w:r>
      <w:r w:rsidRPr="00D954FE">
        <w:t>reported</w:t>
      </w:r>
      <w:r w:rsidR="00C64050">
        <w:t xml:space="preserve"> </w:t>
      </w:r>
      <w:r w:rsidRPr="00D954FE">
        <w:t>on</w:t>
      </w:r>
      <w:r w:rsidR="00C64050">
        <w:t xml:space="preserve"> </w:t>
      </w:r>
      <w:r w:rsidRPr="00D954FE">
        <w:t>that</w:t>
      </w:r>
      <w:r w:rsidR="00C64050">
        <w:t xml:space="preserve"> </w:t>
      </w:r>
      <w:r w:rsidRPr="00D954FE">
        <w:t>Statement.</w:t>
      </w:r>
    </w:p>
    <w:p w:rsidR="005A33D6" w:rsidRPr="00D954FE" w:rsidRDefault="005A33D6" w:rsidP="00D954FE">
      <w:pPr>
        <w:pStyle w:val="QS10"/>
      </w:pPr>
      <w:r w:rsidRPr="00D954FE">
        <w:t>(f)</w:t>
      </w:r>
      <w:r w:rsidR="00C64050">
        <w:t xml:space="preserve"> </w:t>
      </w:r>
      <w:r w:rsidRPr="00D954FE">
        <w:t>Subsequent</w:t>
      </w:r>
      <w:r w:rsidR="00C64050">
        <w:t xml:space="preserve"> </w:t>
      </w:r>
      <w:r w:rsidRPr="00D954FE">
        <w:t>transfers.</w:t>
      </w:r>
      <w:r w:rsidR="00C64050">
        <w:t xml:space="preserve"> </w:t>
      </w:r>
      <w:r w:rsidRPr="00D954FE">
        <w:t>If</w:t>
      </w:r>
      <w:r w:rsidR="00C64050">
        <w:t xml:space="preserve"> </w:t>
      </w:r>
      <w:r w:rsidRPr="00D954FE">
        <w:t>all</w:t>
      </w:r>
      <w:r w:rsidR="00C64050">
        <w:t xml:space="preserve"> </w:t>
      </w:r>
      <w:r w:rsidRPr="00D954FE">
        <w:t>or</w:t>
      </w:r>
      <w:r w:rsidR="00C64050">
        <w:t xml:space="preserve"> </w:t>
      </w:r>
      <w:r w:rsidRPr="00D954FE">
        <w:t>any</w:t>
      </w:r>
      <w:r w:rsidR="00C64050">
        <w:t xml:space="preserve"> </w:t>
      </w:r>
      <w:r w:rsidRPr="00D954FE">
        <w:t>portion</w:t>
      </w:r>
      <w:r w:rsidR="00C64050">
        <w:t xml:space="preserve"> </w:t>
      </w:r>
      <w:r w:rsidRPr="00D954FE">
        <w:t>of</w:t>
      </w:r>
      <w:r w:rsidR="00C64050">
        <w:t xml:space="preserve"> </w:t>
      </w:r>
      <w:r w:rsidRPr="00D954FE">
        <w:t>property</w:t>
      </w:r>
      <w:r w:rsidR="00C64050">
        <w:t xml:space="preserve"> </w:t>
      </w:r>
      <w:r w:rsidRPr="00D954FE">
        <w:t>that</w:t>
      </w:r>
      <w:r w:rsidR="00C64050">
        <w:t xml:space="preserve"> </w:t>
      </w:r>
      <w:r w:rsidRPr="00D954FE">
        <w:t>previously</w:t>
      </w:r>
      <w:r w:rsidR="00C64050">
        <w:t xml:space="preserve"> </w:t>
      </w:r>
      <w:r w:rsidRPr="00D954FE">
        <w:t>was</w:t>
      </w:r>
      <w:r w:rsidR="00C64050">
        <w:t xml:space="preserve"> </w:t>
      </w:r>
      <w:r w:rsidRPr="00D954FE">
        <w:t>reported</w:t>
      </w:r>
      <w:r w:rsidR="00C64050">
        <w:t xml:space="preserve"> </w:t>
      </w:r>
      <w:r w:rsidRPr="00D954FE">
        <w:t>or</w:t>
      </w:r>
      <w:r w:rsidR="00C64050">
        <w:t xml:space="preserve"> </w:t>
      </w:r>
      <w:r w:rsidRPr="00D954FE">
        <w:t>is</w:t>
      </w:r>
      <w:r w:rsidR="00C64050">
        <w:t xml:space="preserve"> </w:t>
      </w:r>
      <w:r w:rsidRPr="00D954FE">
        <w:t>required</w:t>
      </w:r>
      <w:r w:rsidR="00C64050">
        <w:t xml:space="preserve"> </w:t>
      </w:r>
      <w:r w:rsidRPr="00D954FE">
        <w:t>to</w:t>
      </w:r>
      <w:r w:rsidR="00C64050">
        <w:t xml:space="preserve"> </w:t>
      </w:r>
      <w:r w:rsidRPr="00D954FE">
        <w:t>be</w:t>
      </w:r>
      <w:r w:rsidR="00C64050">
        <w:t xml:space="preserve"> </w:t>
      </w:r>
      <w:r w:rsidRPr="00D954FE">
        <w:t>reported</w:t>
      </w:r>
      <w:r w:rsidR="00C64050">
        <w:t xml:space="preserve"> </w:t>
      </w:r>
      <w:r w:rsidRPr="00D954FE">
        <w:t>on</w:t>
      </w:r>
      <w:r w:rsidR="00C64050">
        <w:t xml:space="preserve"> </w:t>
      </w:r>
      <w:r w:rsidRPr="00D954FE">
        <w:t>an</w:t>
      </w:r>
      <w:r w:rsidR="00C64050">
        <w:t xml:space="preserve"> </w:t>
      </w:r>
      <w:r w:rsidRPr="00D954FE">
        <w:t>Information</w:t>
      </w:r>
      <w:r w:rsidR="00C64050">
        <w:t xml:space="preserve"> </w:t>
      </w:r>
      <w:r w:rsidRPr="00D954FE">
        <w:t>Return</w:t>
      </w:r>
      <w:r w:rsidR="00C64050">
        <w:t xml:space="preserve"> </w:t>
      </w:r>
      <w:r w:rsidRPr="00D954FE">
        <w:t>(and</w:t>
      </w:r>
      <w:r w:rsidR="00C64050">
        <w:t xml:space="preserve"> </w:t>
      </w:r>
      <w:r w:rsidRPr="00D954FE">
        <w:t>thus</w:t>
      </w:r>
      <w:r w:rsidR="00C64050">
        <w:t xml:space="preserve"> </w:t>
      </w:r>
      <w:r w:rsidRPr="00D954FE">
        <w:t>on</w:t>
      </w:r>
      <w:r w:rsidR="00C64050">
        <w:t xml:space="preserve"> </w:t>
      </w:r>
      <w:r w:rsidRPr="00D954FE">
        <w:t>the</w:t>
      </w:r>
      <w:r w:rsidR="00C64050">
        <w:t xml:space="preserve"> </w:t>
      </w:r>
      <w:r w:rsidRPr="00D954FE">
        <w:t>recipient's</w:t>
      </w:r>
      <w:r w:rsidR="00C64050">
        <w:t xml:space="preserve"> </w:t>
      </w:r>
      <w:r w:rsidRPr="00D954FE">
        <w:t>Statement</w:t>
      </w:r>
      <w:r w:rsidR="00C64050">
        <w:t xml:space="preserve"> </w:t>
      </w:r>
      <w:r w:rsidRPr="00D954FE">
        <w:t>or</w:t>
      </w:r>
      <w:r w:rsidR="00C64050">
        <w:t xml:space="preserve"> </w:t>
      </w:r>
      <w:r w:rsidRPr="00D954FE">
        <w:t>supplemental</w:t>
      </w:r>
      <w:r w:rsidR="00C64050">
        <w:t xml:space="preserve"> </w:t>
      </w:r>
      <w:r w:rsidRPr="00D954FE">
        <w:t>Statement)</w:t>
      </w:r>
      <w:r w:rsidR="00C64050">
        <w:t xml:space="preserve"> </w:t>
      </w:r>
      <w:r w:rsidRPr="00D954FE">
        <w:t>is</w:t>
      </w:r>
      <w:r w:rsidR="00C64050">
        <w:t xml:space="preserve"> </w:t>
      </w:r>
      <w:r w:rsidRPr="00D954FE">
        <w:t>distributed</w:t>
      </w:r>
      <w:r w:rsidR="00C64050">
        <w:t xml:space="preserve"> </w:t>
      </w:r>
      <w:r w:rsidRPr="00D954FE">
        <w:t>or</w:t>
      </w:r>
      <w:r w:rsidR="00C64050">
        <w:t xml:space="preserve"> </w:t>
      </w:r>
      <w:r w:rsidRPr="00D954FE">
        <w:t>transferred</w:t>
      </w:r>
      <w:r w:rsidR="00C64050">
        <w:t xml:space="preserve"> </w:t>
      </w:r>
      <w:r w:rsidRPr="00D954FE">
        <w:t>(by</w:t>
      </w:r>
      <w:r w:rsidR="00C64050">
        <w:t xml:space="preserve"> </w:t>
      </w:r>
      <w:r w:rsidRPr="00D954FE">
        <w:t>gift</w:t>
      </w:r>
      <w:r w:rsidR="00C64050">
        <w:t xml:space="preserve"> </w:t>
      </w:r>
      <w:r w:rsidRPr="00D954FE">
        <w:t>or</w:t>
      </w:r>
      <w:r w:rsidR="00C64050">
        <w:t xml:space="preserve"> </w:t>
      </w:r>
      <w:r w:rsidRPr="00D954FE">
        <w:t>otherwise)</w:t>
      </w:r>
      <w:r w:rsidR="00C64050">
        <w:t xml:space="preserve"> </w:t>
      </w:r>
      <w:r w:rsidRPr="00D954FE">
        <w:t>by</w:t>
      </w:r>
      <w:r w:rsidR="00C64050">
        <w:t xml:space="preserve"> </w:t>
      </w:r>
      <w:r w:rsidRPr="00D954FE">
        <w:t>the</w:t>
      </w:r>
      <w:r w:rsidR="00C64050">
        <w:t xml:space="preserve"> </w:t>
      </w:r>
      <w:r w:rsidRPr="00D954FE">
        <w:t>recipient</w:t>
      </w:r>
      <w:r w:rsidR="00C64050">
        <w:t xml:space="preserve"> </w:t>
      </w:r>
      <w:r w:rsidRPr="00D954FE">
        <w:t>in</w:t>
      </w:r>
      <w:r w:rsidR="00C64050">
        <w:t xml:space="preserve"> </w:t>
      </w:r>
      <w:r w:rsidRPr="00D954FE">
        <w:t>a</w:t>
      </w:r>
      <w:r w:rsidR="00C64050">
        <w:t xml:space="preserve"> </w:t>
      </w:r>
      <w:r w:rsidRPr="00D954FE">
        <w:t>transaction</w:t>
      </w:r>
      <w:r w:rsidR="00C64050">
        <w:t xml:space="preserve"> </w:t>
      </w:r>
      <w:r w:rsidRPr="00D954FE">
        <w:t>in</w:t>
      </w:r>
      <w:r w:rsidR="00C64050">
        <w:t xml:space="preserve"> </w:t>
      </w:r>
      <w:r w:rsidRPr="00D954FE">
        <w:t>which</w:t>
      </w:r>
      <w:r w:rsidR="00C64050">
        <w:t xml:space="preserve"> </w:t>
      </w:r>
      <w:r w:rsidRPr="00D954FE">
        <w:t>a</w:t>
      </w:r>
      <w:r w:rsidR="00C64050">
        <w:t xml:space="preserve"> </w:t>
      </w:r>
      <w:r w:rsidRPr="00D954FE">
        <w:t>related</w:t>
      </w:r>
      <w:r w:rsidR="00C64050">
        <w:t xml:space="preserve"> </w:t>
      </w:r>
      <w:r w:rsidRPr="00D954FE">
        <w:t>transferee</w:t>
      </w:r>
      <w:r w:rsidR="00C64050">
        <w:t xml:space="preserve"> </w:t>
      </w:r>
      <w:r w:rsidRPr="00D954FE">
        <w:t>determines</w:t>
      </w:r>
      <w:r w:rsidR="00C64050">
        <w:t xml:space="preserve"> </w:t>
      </w:r>
      <w:r w:rsidRPr="00D954FE">
        <w:t>its</w:t>
      </w:r>
      <w:r w:rsidR="00C64050">
        <w:t xml:space="preserve"> </w:t>
      </w:r>
      <w:r w:rsidRPr="00D954FE">
        <w:t>basis,</w:t>
      </w:r>
      <w:r w:rsidR="00C64050">
        <w:t xml:space="preserve"> </w:t>
      </w:r>
      <w:r w:rsidRPr="00D954FE">
        <w:t>in</w:t>
      </w:r>
      <w:r w:rsidR="00C64050">
        <w:t xml:space="preserve"> </w:t>
      </w:r>
      <w:r w:rsidRPr="00D954FE">
        <w:t>whole</w:t>
      </w:r>
      <w:r w:rsidR="00C64050">
        <w:t xml:space="preserve"> </w:t>
      </w:r>
      <w:r w:rsidRPr="00D954FE">
        <w:t>or</w:t>
      </w:r>
      <w:r w:rsidR="00C64050">
        <w:t xml:space="preserve"> </w:t>
      </w:r>
      <w:r w:rsidRPr="00D954FE">
        <w:t>in</w:t>
      </w:r>
      <w:r w:rsidR="00C64050">
        <w:t xml:space="preserve"> </w:t>
      </w:r>
      <w:r w:rsidRPr="00D954FE">
        <w:t>part,</w:t>
      </w:r>
      <w:r w:rsidR="00C64050">
        <w:t xml:space="preserve"> </w:t>
      </w:r>
      <w:r w:rsidRPr="00D954FE">
        <w:t>by</w:t>
      </w:r>
      <w:r w:rsidR="00C64050">
        <w:t xml:space="preserve"> </w:t>
      </w:r>
      <w:r w:rsidRPr="00D954FE">
        <w:t>reference</w:t>
      </w:r>
      <w:r w:rsidR="00C64050">
        <w:t xml:space="preserve"> </w:t>
      </w:r>
      <w:r w:rsidRPr="00D954FE">
        <w:t>to</w:t>
      </w:r>
      <w:r w:rsidR="00C64050">
        <w:t xml:space="preserve"> </w:t>
      </w:r>
      <w:r w:rsidRPr="00D954FE">
        <w:t>the</w:t>
      </w:r>
      <w:r w:rsidR="00C64050">
        <w:t xml:space="preserve"> </w:t>
      </w:r>
      <w:r w:rsidRPr="00D954FE">
        <w:t>recipient/transferor's</w:t>
      </w:r>
      <w:r w:rsidR="00C64050">
        <w:t xml:space="preserve"> </w:t>
      </w:r>
      <w:r w:rsidRPr="00D954FE">
        <w:t>basis,</w:t>
      </w:r>
      <w:r w:rsidR="00C64050">
        <w:t xml:space="preserve"> </w:t>
      </w:r>
      <w:r w:rsidRPr="00D954FE">
        <w:t>the</w:t>
      </w:r>
      <w:r w:rsidR="00C64050">
        <w:t xml:space="preserve"> </w:t>
      </w:r>
      <w:r w:rsidRPr="00D954FE">
        <w:t>recipient/transferor</w:t>
      </w:r>
      <w:r w:rsidR="00C64050">
        <w:t xml:space="preserve"> </w:t>
      </w:r>
      <w:r w:rsidRPr="00D954FE">
        <w:t>must,</w:t>
      </w:r>
      <w:r w:rsidR="00C64050">
        <w:t xml:space="preserve"> </w:t>
      </w:r>
      <w:r w:rsidRPr="00D954FE">
        <w:t>no</w:t>
      </w:r>
      <w:r w:rsidR="00C64050">
        <w:t xml:space="preserve"> </w:t>
      </w:r>
      <w:r w:rsidRPr="00D954FE">
        <w:t>later</w:t>
      </w:r>
      <w:r w:rsidR="00C64050">
        <w:t xml:space="preserve"> </w:t>
      </w:r>
      <w:r w:rsidRPr="00D954FE">
        <w:t>than</w:t>
      </w:r>
      <w:r w:rsidR="00C64050">
        <w:t xml:space="preserve"> </w:t>
      </w:r>
      <w:r w:rsidRPr="00D954FE">
        <w:t>30</w:t>
      </w:r>
      <w:r w:rsidR="00C64050">
        <w:t xml:space="preserve"> </w:t>
      </w:r>
      <w:r w:rsidRPr="00D954FE">
        <w:t>days</w:t>
      </w:r>
      <w:r w:rsidR="00C64050">
        <w:t xml:space="preserve"> </w:t>
      </w:r>
      <w:r w:rsidRPr="00D954FE">
        <w:t>after</w:t>
      </w:r>
      <w:r w:rsidR="00C64050">
        <w:t xml:space="preserve"> </w:t>
      </w:r>
      <w:r w:rsidRPr="00D954FE">
        <w:t>the</w:t>
      </w:r>
      <w:r w:rsidR="00C64050">
        <w:t xml:space="preserve"> </w:t>
      </w:r>
      <w:r w:rsidRPr="00D954FE">
        <w:t>date</w:t>
      </w:r>
      <w:r w:rsidR="00C64050">
        <w:t xml:space="preserve"> </w:t>
      </w:r>
      <w:r w:rsidRPr="00D954FE">
        <w:t>of</w:t>
      </w:r>
      <w:r w:rsidR="00C64050">
        <w:t xml:space="preserve"> </w:t>
      </w:r>
      <w:r w:rsidRPr="00D954FE">
        <w:t>the</w:t>
      </w:r>
      <w:r w:rsidR="00C64050">
        <w:t xml:space="preserve"> </w:t>
      </w:r>
      <w:r w:rsidRPr="00D954FE">
        <w:t>distribution</w:t>
      </w:r>
      <w:r w:rsidR="00C64050">
        <w:t xml:space="preserve"> </w:t>
      </w:r>
      <w:r w:rsidRPr="00D954FE">
        <w:t>or</w:t>
      </w:r>
      <w:r w:rsidR="00C64050">
        <w:t xml:space="preserve"> </w:t>
      </w:r>
      <w:r w:rsidRPr="00D954FE">
        <w:t>other</w:t>
      </w:r>
      <w:r w:rsidR="00C64050">
        <w:t xml:space="preserve"> </w:t>
      </w:r>
      <w:r w:rsidRPr="00D954FE">
        <w:t>transfer,</w:t>
      </w:r>
      <w:r w:rsidR="00C64050">
        <w:t xml:space="preserve"> </w:t>
      </w:r>
      <w:r w:rsidRPr="00D954FE">
        <w:t>file</w:t>
      </w:r>
      <w:r w:rsidR="00C64050">
        <w:t xml:space="preserve"> </w:t>
      </w:r>
      <w:r w:rsidRPr="00D954FE">
        <w:t>with</w:t>
      </w:r>
      <w:r w:rsidR="00C64050">
        <w:t xml:space="preserve"> </w:t>
      </w:r>
      <w:r w:rsidRPr="00D954FE">
        <w:t>the</w:t>
      </w:r>
      <w:r w:rsidR="00C64050">
        <w:t xml:space="preserve"> </w:t>
      </w:r>
      <w:r w:rsidRPr="00D954FE">
        <w:t>IRS</w:t>
      </w:r>
      <w:r w:rsidR="00C64050">
        <w:t xml:space="preserve"> </w:t>
      </w:r>
      <w:r w:rsidRPr="00D954FE">
        <w:t>a</w:t>
      </w:r>
      <w:r w:rsidR="00C64050">
        <w:t xml:space="preserve"> </w:t>
      </w:r>
      <w:r w:rsidRPr="00D954FE">
        <w:t>supplemental</w:t>
      </w:r>
      <w:r w:rsidR="00C64050">
        <w:t xml:space="preserve"> </w:t>
      </w:r>
      <w:r w:rsidRPr="00D954FE">
        <w:t>Statement</w:t>
      </w:r>
      <w:r w:rsidR="00C64050">
        <w:t xml:space="preserve"> </w:t>
      </w:r>
      <w:r w:rsidRPr="00D954FE">
        <w:t>and</w:t>
      </w:r>
      <w:r w:rsidR="00C64050">
        <w:t xml:space="preserve"> </w:t>
      </w:r>
      <w:r w:rsidRPr="00D954FE">
        <w:t>furnish</w:t>
      </w:r>
      <w:r w:rsidR="00C64050">
        <w:t xml:space="preserve"> </w:t>
      </w:r>
      <w:r w:rsidRPr="00D954FE">
        <w:t>a</w:t>
      </w:r>
      <w:r w:rsidR="00C64050">
        <w:t xml:space="preserve"> </w:t>
      </w:r>
      <w:r w:rsidRPr="00D954FE">
        <w:t>copy</w:t>
      </w:r>
      <w:r w:rsidR="00C64050">
        <w:t xml:space="preserve"> </w:t>
      </w:r>
      <w:r w:rsidRPr="00D954FE">
        <w:t>of</w:t>
      </w:r>
      <w:r w:rsidR="00C64050">
        <w:t xml:space="preserve"> </w:t>
      </w:r>
      <w:r w:rsidRPr="00D954FE">
        <w:t>the</w:t>
      </w:r>
      <w:r w:rsidR="00C64050">
        <w:t xml:space="preserve"> </w:t>
      </w:r>
      <w:r w:rsidRPr="00D954FE">
        <w:t>same</w:t>
      </w:r>
      <w:r w:rsidR="00C64050">
        <w:t xml:space="preserve"> </w:t>
      </w:r>
      <w:r w:rsidRPr="00D954FE">
        <w:t>supplemental</w:t>
      </w:r>
      <w:r w:rsidR="00C64050">
        <w:t xml:space="preserve"> </w:t>
      </w:r>
      <w:r w:rsidRPr="00D954FE">
        <w:t>Statement</w:t>
      </w:r>
      <w:r w:rsidR="00C64050">
        <w:t xml:space="preserve"> </w:t>
      </w:r>
      <w:r w:rsidRPr="00D954FE">
        <w:t>to</w:t>
      </w:r>
      <w:r w:rsidR="00C64050">
        <w:t xml:space="preserve"> </w:t>
      </w:r>
      <w:r w:rsidRPr="00D954FE">
        <w:t>the</w:t>
      </w:r>
      <w:r w:rsidR="00C64050">
        <w:t xml:space="preserve"> </w:t>
      </w:r>
      <w:r w:rsidRPr="00D954FE">
        <w:t>transferee.</w:t>
      </w:r>
      <w:r w:rsidR="00C64050">
        <w:t xml:space="preserve"> </w:t>
      </w:r>
      <w:r w:rsidRPr="00D954FE">
        <w:t>The</w:t>
      </w:r>
      <w:r w:rsidR="00C64050">
        <w:t xml:space="preserve"> </w:t>
      </w:r>
      <w:r w:rsidRPr="00D954FE">
        <w:t>requirement</w:t>
      </w:r>
      <w:r w:rsidR="00C64050">
        <w:t xml:space="preserve"> </w:t>
      </w:r>
      <w:r w:rsidRPr="00D954FE">
        <w:t>to</w:t>
      </w:r>
      <w:r w:rsidR="00C64050">
        <w:t xml:space="preserve"> </w:t>
      </w:r>
      <w:r w:rsidRPr="00D954FE">
        <w:t>file</w:t>
      </w:r>
      <w:r w:rsidR="00C64050">
        <w:t xml:space="preserve"> </w:t>
      </w:r>
      <w:r w:rsidRPr="00D954FE">
        <w:t>a</w:t>
      </w:r>
      <w:r w:rsidR="00C64050">
        <w:t xml:space="preserve"> </w:t>
      </w:r>
      <w:r w:rsidRPr="00D954FE">
        <w:t>supplemental</w:t>
      </w:r>
      <w:r w:rsidR="00C64050">
        <w:t xml:space="preserve"> </w:t>
      </w:r>
      <w:r w:rsidRPr="00D954FE">
        <w:t>Statement</w:t>
      </w:r>
      <w:r w:rsidR="00C64050">
        <w:t xml:space="preserve"> </w:t>
      </w:r>
      <w:r w:rsidRPr="00D954FE">
        <w:t>and</w:t>
      </w:r>
      <w:r w:rsidR="00C64050">
        <w:t xml:space="preserve"> </w:t>
      </w:r>
      <w:r w:rsidRPr="00D954FE">
        <w:t>furnish</w:t>
      </w:r>
      <w:r w:rsidR="00C64050">
        <w:t xml:space="preserve"> </w:t>
      </w:r>
      <w:r w:rsidRPr="00D954FE">
        <w:t>a</w:t>
      </w:r>
      <w:r w:rsidR="00C64050">
        <w:t xml:space="preserve"> </w:t>
      </w:r>
      <w:r w:rsidRPr="00D954FE">
        <w:t>copy</w:t>
      </w:r>
      <w:r w:rsidR="00C64050">
        <w:t xml:space="preserve"> </w:t>
      </w:r>
      <w:r w:rsidRPr="00D954FE">
        <w:t>to</w:t>
      </w:r>
      <w:r w:rsidR="00C64050">
        <w:t xml:space="preserve"> </w:t>
      </w:r>
      <w:r w:rsidRPr="00D954FE">
        <w:t>the</w:t>
      </w:r>
      <w:r w:rsidR="00C64050">
        <w:t xml:space="preserve"> </w:t>
      </w:r>
      <w:r w:rsidRPr="00D954FE">
        <w:t>transferee</w:t>
      </w:r>
      <w:r w:rsidR="00C64050">
        <w:t xml:space="preserve"> </w:t>
      </w:r>
      <w:r w:rsidRPr="00D954FE">
        <w:t>similarly</w:t>
      </w:r>
      <w:r w:rsidR="00C64050">
        <w:t xml:space="preserve"> </w:t>
      </w:r>
      <w:r w:rsidRPr="00D954FE">
        <w:t>applies</w:t>
      </w:r>
      <w:r w:rsidR="00C64050">
        <w:t xml:space="preserve"> </w:t>
      </w:r>
      <w:r w:rsidRPr="00D954FE">
        <w:t>to</w:t>
      </w:r>
      <w:r w:rsidR="00C64050">
        <w:t xml:space="preserve"> </w:t>
      </w:r>
      <w:r w:rsidRPr="00D954FE">
        <w:t>the</w:t>
      </w:r>
      <w:r w:rsidR="00C64050">
        <w:t xml:space="preserve"> </w:t>
      </w:r>
      <w:r w:rsidRPr="00D954FE">
        <w:t>distribution</w:t>
      </w:r>
      <w:r w:rsidR="00C64050">
        <w:t xml:space="preserve"> </w:t>
      </w:r>
      <w:r w:rsidRPr="00D954FE">
        <w:t>or</w:t>
      </w:r>
      <w:r w:rsidR="00C64050">
        <w:t xml:space="preserve"> </w:t>
      </w:r>
      <w:r w:rsidRPr="00D954FE">
        <w:t>transfer</w:t>
      </w:r>
      <w:r w:rsidR="00C64050">
        <w:t xml:space="preserve"> </w:t>
      </w:r>
      <w:r w:rsidRPr="00D954FE">
        <w:t>of</w:t>
      </w:r>
      <w:r w:rsidR="00C64050">
        <w:t xml:space="preserve"> </w:t>
      </w:r>
      <w:r w:rsidRPr="00D954FE">
        <w:t>any</w:t>
      </w:r>
      <w:r w:rsidR="00C64050">
        <w:t xml:space="preserve"> </w:t>
      </w:r>
      <w:r w:rsidRPr="00D954FE">
        <w:t>other</w:t>
      </w:r>
      <w:r w:rsidR="00C64050">
        <w:t xml:space="preserve"> </w:t>
      </w:r>
      <w:r w:rsidRPr="00D954FE">
        <w:t>property</w:t>
      </w:r>
      <w:r w:rsidR="00C64050">
        <w:t xml:space="preserve"> </w:t>
      </w:r>
      <w:r w:rsidRPr="00D954FE">
        <w:t>the</w:t>
      </w:r>
      <w:r w:rsidR="00C64050">
        <w:t xml:space="preserve"> </w:t>
      </w:r>
      <w:r w:rsidRPr="00D954FE">
        <w:t>basis</w:t>
      </w:r>
      <w:r w:rsidR="00C64050">
        <w:t xml:space="preserve"> </w:t>
      </w:r>
      <w:r w:rsidRPr="00D954FE">
        <w:t>of</w:t>
      </w:r>
      <w:r w:rsidR="00C64050">
        <w:t xml:space="preserve"> </w:t>
      </w:r>
      <w:r w:rsidRPr="00D954FE">
        <w:t>which</w:t>
      </w:r>
      <w:r w:rsidR="00C64050">
        <w:t xml:space="preserve"> </w:t>
      </w:r>
      <w:r w:rsidRPr="00D954FE">
        <w:t>is</w:t>
      </w:r>
      <w:r w:rsidR="00C64050">
        <w:t xml:space="preserve"> </w:t>
      </w:r>
      <w:r w:rsidRPr="00D954FE">
        <w:t>determined</w:t>
      </w:r>
      <w:r w:rsidR="00C64050">
        <w:t xml:space="preserve"> </w:t>
      </w:r>
      <w:r w:rsidRPr="00D954FE">
        <w:t>in</w:t>
      </w:r>
      <w:r w:rsidR="00C64050">
        <w:t xml:space="preserve"> </w:t>
      </w:r>
      <w:r w:rsidRPr="00D954FE">
        <w:t>whole</w:t>
      </w:r>
      <w:r w:rsidR="00C64050">
        <w:t xml:space="preserve"> </w:t>
      </w:r>
      <w:r w:rsidRPr="00D954FE">
        <w:t>or</w:t>
      </w:r>
      <w:r w:rsidR="00C64050">
        <w:t xml:space="preserve"> </w:t>
      </w:r>
      <w:r w:rsidRPr="00D954FE">
        <w:t>in</w:t>
      </w:r>
      <w:r w:rsidR="00C64050">
        <w:t xml:space="preserve"> </w:t>
      </w:r>
      <w:r w:rsidRPr="00D954FE">
        <w:t>part</w:t>
      </w:r>
      <w:r w:rsidR="00C64050">
        <w:t xml:space="preserve"> </w:t>
      </w:r>
      <w:r w:rsidRPr="00D954FE">
        <w:t>by</w:t>
      </w:r>
      <w:r w:rsidR="00C64050">
        <w:t xml:space="preserve"> </w:t>
      </w:r>
      <w:r w:rsidRPr="00D954FE">
        <w:t>reference</w:t>
      </w:r>
      <w:r w:rsidR="00C64050">
        <w:t xml:space="preserve"> </w:t>
      </w:r>
      <w:r w:rsidRPr="00D954FE">
        <w:t>to</w:t>
      </w:r>
      <w:r w:rsidR="00C64050">
        <w:t xml:space="preserve"> </w:t>
      </w:r>
      <w:r w:rsidRPr="00D954FE">
        <w:t>that</w:t>
      </w:r>
      <w:r w:rsidR="00C64050">
        <w:t xml:space="preserve"> </w:t>
      </w:r>
      <w:r w:rsidRPr="00D954FE">
        <w:t>property</w:t>
      </w:r>
      <w:r w:rsidR="00C64050">
        <w:t xml:space="preserve"> </w:t>
      </w:r>
      <w:r w:rsidRPr="00D954FE">
        <w:t>(for</w:t>
      </w:r>
      <w:r w:rsidR="00C64050">
        <w:t xml:space="preserve"> </w:t>
      </w:r>
      <w:r w:rsidRPr="00D954FE">
        <w:t>example</w:t>
      </w:r>
      <w:r w:rsidR="00C64050">
        <w:t xml:space="preserve"> </w:t>
      </w:r>
      <w:r w:rsidRPr="00D954FE">
        <w:t>as</w:t>
      </w:r>
      <w:r w:rsidR="00C64050">
        <w:t xml:space="preserve"> </w:t>
      </w:r>
      <w:r w:rsidRPr="00D954FE">
        <w:t>the</w:t>
      </w:r>
      <w:r w:rsidR="00C64050">
        <w:t xml:space="preserve"> </w:t>
      </w:r>
      <w:r w:rsidRPr="00D954FE">
        <w:t>result</w:t>
      </w:r>
      <w:r w:rsidR="00C64050">
        <w:t xml:space="preserve"> </w:t>
      </w:r>
      <w:r w:rsidRPr="00D954FE">
        <w:t>of</w:t>
      </w:r>
      <w:r w:rsidR="00C64050">
        <w:t xml:space="preserve"> </w:t>
      </w:r>
      <w:r w:rsidRPr="00D954FE">
        <w:t>a</w:t>
      </w:r>
      <w:r w:rsidR="00C64050">
        <w:t xml:space="preserve"> </w:t>
      </w:r>
      <w:r w:rsidRPr="00D954FE">
        <w:t>like-kind</w:t>
      </w:r>
      <w:r w:rsidR="00C64050">
        <w:t xml:space="preserve"> </w:t>
      </w:r>
      <w:r w:rsidRPr="00D954FE">
        <w:t>exchange</w:t>
      </w:r>
      <w:r w:rsidR="00C64050">
        <w:t xml:space="preserve"> </w:t>
      </w:r>
      <w:r w:rsidRPr="00D954FE">
        <w:t>or</w:t>
      </w:r>
      <w:r w:rsidR="00C64050">
        <w:t xml:space="preserve"> </w:t>
      </w:r>
      <w:r w:rsidRPr="00D954FE">
        <w:t>involuntary</w:t>
      </w:r>
      <w:r w:rsidR="00C64050">
        <w:t xml:space="preserve"> </w:t>
      </w:r>
      <w:r w:rsidRPr="00D954FE">
        <w:t>conversion).</w:t>
      </w:r>
      <w:r w:rsidR="00C64050">
        <w:t xml:space="preserve"> </w:t>
      </w:r>
      <w:r w:rsidRPr="00D954FE">
        <w:t>In</w:t>
      </w:r>
      <w:r w:rsidR="00C64050">
        <w:t xml:space="preserve"> </w:t>
      </w:r>
      <w:r w:rsidRPr="00D954FE">
        <w:t>the</w:t>
      </w:r>
      <w:r w:rsidR="00C64050">
        <w:t xml:space="preserve"> </w:t>
      </w:r>
      <w:r w:rsidRPr="00D954FE">
        <w:t>case</w:t>
      </w:r>
      <w:r w:rsidR="00C64050">
        <w:t xml:space="preserve"> </w:t>
      </w:r>
      <w:r w:rsidRPr="00D954FE">
        <w:t>of</w:t>
      </w:r>
      <w:r w:rsidR="00C64050">
        <w:t xml:space="preserve"> </w:t>
      </w:r>
      <w:r w:rsidRPr="00D954FE">
        <w:t>a</w:t>
      </w:r>
      <w:r w:rsidR="00C64050">
        <w:t xml:space="preserve"> </w:t>
      </w:r>
      <w:r w:rsidRPr="00D954FE">
        <w:t>supplemental</w:t>
      </w:r>
      <w:r w:rsidR="00C64050">
        <w:t xml:space="preserve"> </w:t>
      </w:r>
      <w:r w:rsidRPr="00D954FE">
        <w:t>Statement</w:t>
      </w:r>
      <w:r w:rsidR="00C64050">
        <w:t xml:space="preserve"> </w:t>
      </w:r>
      <w:r w:rsidRPr="00D954FE">
        <w:t>filed</w:t>
      </w:r>
      <w:r w:rsidR="00C64050">
        <w:t xml:space="preserve"> </w:t>
      </w:r>
      <w:r w:rsidRPr="00D954FE">
        <w:t>by</w:t>
      </w:r>
      <w:r w:rsidR="00C64050">
        <w:t xml:space="preserve"> </w:t>
      </w:r>
      <w:r w:rsidRPr="00D954FE">
        <w:t>the</w:t>
      </w:r>
      <w:r w:rsidR="00C64050">
        <w:t xml:space="preserve"> </w:t>
      </w:r>
      <w:r w:rsidRPr="00D954FE">
        <w:t>recipient/transferor</w:t>
      </w:r>
      <w:r w:rsidR="00C64050">
        <w:t xml:space="preserve"> </w:t>
      </w:r>
      <w:r w:rsidRPr="00D954FE">
        <w:t>before</w:t>
      </w:r>
      <w:r w:rsidR="00C64050">
        <w:t xml:space="preserve"> </w:t>
      </w:r>
      <w:r w:rsidRPr="00D954FE">
        <w:t>the</w:t>
      </w:r>
      <w:r w:rsidR="00C64050">
        <w:t xml:space="preserve"> </w:t>
      </w:r>
      <w:r w:rsidRPr="00D954FE">
        <w:t>recipient/transferor's</w:t>
      </w:r>
      <w:r w:rsidR="00C64050">
        <w:t xml:space="preserve"> </w:t>
      </w:r>
      <w:r w:rsidRPr="00D954FE">
        <w:t>receipt</w:t>
      </w:r>
      <w:r w:rsidR="00C64050">
        <w:t xml:space="preserve"> </w:t>
      </w:r>
      <w:r w:rsidRPr="00D954FE">
        <w:t>of</w:t>
      </w:r>
      <w:r w:rsidR="00C64050">
        <w:t xml:space="preserve"> </w:t>
      </w:r>
      <w:r w:rsidRPr="00D954FE">
        <w:t>the</w:t>
      </w:r>
      <w:r w:rsidR="00C64050">
        <w:t xml:space="preserve"> </w:t>
      </w:r>
      <w:r w:rsidRPr="00D954FE">
        <w:t>Statement</w:t>
      </w:r>
      <w:r w:rsidR="00C64050">
        <w:t xml:space="preserve"> </w:t>
      </w:r>
      <w:r w:rsidRPr="00D954FE">
        <w:t>described</w:t>
      </w:r>
      <w:r w:rsidR="00C64050">
        <w:t xml:space="preserve"> </w:t>
      </w:r>
      <w:r w:rsidRPr="00D954FE">
        <w:t>in</w:t>
      </w:r>
      <w:r w:rsidR="00C64050">
        <w:t xml:space="preserve"> </w:t>
      </w:r>
      <w:r w:rsidRPr="00D954FE">
        <w:t>paragraph</w:t>
      </w:r>
      <w:r w:rsidR="00C64050">
        <w:t xml:space="preserve"> </w:t>
      </w:r>
      <w:r w:rsidRPr="00D954FE">
        <w:t>(a)</w:t>
      </w:r>
      <w:r w:rsidR="00C64050">
        <w:t xml:space="preserve"> </w:t>
      </w:r>
      <w:r w:rsidRPr="00D954FE">
        <w:t>of</w:t>
      </w:r>
      <w:r w:rsidR="00C64050">
        <w:t xml:space="preserve"> </w:t>
      </w:r>
      <w:r w:rsidRPr="00D954FE">
        <w:t>this</w:t>
      </w:r>
      <w:r w:rsidR="00C64050">
        <w:t xml:space="preserve"> </w:t>
      </w:r>
      <w:r w:rsidRPr="00D954FE">
        <w:t>section,</w:t>
      </w:r>
      <w:r w:rsidR="00C64050">
        <w:t xml:space="preserve"> </w:t>
      </w:r>
      <w:r w:rsidRPr="00D954FE">
        <w:t>the</w:t>
      </w:r>
      <w:r w:rsidR="00C64050">
        <w:t xml:space="preserve"> </w:t>
      </w:r>
      <w:r w:rsidRPr="00D954FE">
        <w:t>supplemental</w:t>
      </w:r>
      <w:r w:rsidR="00C64050">
        <w:t xml:space="preserve"> </w:t>
      </w:r>
      <w:r w:rsidRPr="00D954FE">
        <w:t>Statement</w:t>
      </w:r>
      <w:r w:rsidR="00C64050">
        <w:t xml:space="preserve"> </w:t>
      </w:r>
      <w:r w:rsidRPr="00D954FE">
        <w:t>will</w:t>
      </w:r>
      <w:r w:rsidR="00C64050">
        <w:t xml:space="preserve"> </w:t>
      </w:r>
      <w:r w:rsidRPr="00D954FE">
        <w:t>report</w:t>
      </w:r>
      <w:r w:rsidR="00C64050">
        <w:t xml:space="preserve"> </w:t>
      </w:r>
      <w:r w:rsidRPr="00D954FE">
        <w:t>the</w:t>
      </w:r>
      <w:r w:rsidR="00C64050">
        <w:t xml:space="preserve"> </w:t>
      </w:r>
      <w:r w:rsidRPr="00D954FE">
        <w:t>change</w:t>
      </w:r>
      <w:r w:rsidR="00C64050">
        <w:t xml:space="preserve"> </w:t>
      </w:r>
      <w:r w:rsidRPr="00D954FE">
        <w:t>in</w:t>
      </w:r>
      <w:r w:rsidR="00C64050">
        <w:t xml:space="preserve"> </w:t>
      </w:r>
      <w:r w:rsidRPr="00D954FE">
        <w:t>the</w:t>
      </w:r>
      <w:r w:rsidR="00C64050">
        <w:t xml:space="preserve"> </w:t>
      </w:r>
      <w:r w:rsidRPr="00D954FE">
        <w:t>ownership</w:t>
      </w:r>
      <w:r w:rsidR="00C64050">
        <w:t xml:space="preserve"> </w:t>
      </w:r>
      <w:r w:rsidRPr="00D954FE">
        <w:t>of</w:t>
      </w:r>
      <w:r w:rsidR="00C64050">
        <w:t xml:space="preserve"> </w:t>
      </w:r>
      <w:r w:rsidRPr="00D954FE">
        <w:t>the</w:t>
      </w:r>
      <w:r w:rsidR="00C64050">
        <w:t xml:space="preserve"> </w:t>
      </w:r>
      <w:r w:rsidRPr="00D954FE">
        <w:t>property</w:t>
      </w:r>
      <w:r w:rsidR="00C64050">
        <w:t xml:space="preserve"> </w:t>
      </w:r>
      <w:r w:rsidRPr="00D954FE">
        <w:t>and</w:t>
      </w:r>
      <w:r w:rsidR="00C64050">
        <w:t xml:space="preserve"> </w:t>
      </w:r>
      <w:r w:rsidRPr="00D954FE">
        <w:t>need</w:t>
      </w:r>
      <w:r w:rsidR="00C64050">
        <w:t xml:space="preserve"> </w:t>
      </w:r>
      <w:r w:rsidRPr="00D954FE">
        <w:t>not</w:t>
      </w:r>
      <w:r w:rsidR="00C64050">
        <w:t xml:space="preserve"> </w:t>
      </w:r>
      <w:r w:rsidRPr="00D954FE">
        <w:t>provide</w:t>
      </w:r>
      <w:r w:rsidR="00C64050">
        <w:t xml:space="preserve"> </w:t>
      </w:r>
      <w:r w:rsidRPr="00D954FE">
        <w:t>the</w:t>
      </w:r>
      <w:r w:rsidR="00C64050">
        <w:t xml:space="preserve"> </w:t>
      </w:r>
      <w:r w:rsidRPr="00D954FE">
        <w:t>value</w:t>
      </w:r>
      <w:r w:rsidR="00C64050">
        <w:t xml:space="preserve"> </w:t>
      </w:r>
      <w:r w:rsidRPr="00D954FE">
        <w:t>information</w:t>
      </w:r>
      <w:r w:rsidR="00C64050">
        <w:t xml:space="preserve"> </w:t>
      </w:r>
      <w:r w:rsidRPr="00D954FE">
        <w:t>that</w:t>
      </w:r>
      <w:r w:rsidR="00C64050">
        <w:t xml:space="preserve"> </w:t>
      </w:r>
      <w:r w:rsidRPr="00D954FE">
        <w:t>would</w:t>
      </w:r>
      <w:r w:rsidR="00C64050">
        <w:t xml:space="preserve"> </w:t>
      </w:r>
      <w:r w:rsidRPr="00D954FE">
        <w:t>otherwise</w:t>
      </w:r>
      <w:r w:rsidR="00C64050">
        <w:t xml:space="preserve"> </w:t>
      </w:r>
      <w:r w:rsidRPr="00D954FE">
        <w:t>be</w:t>
      </w:r>
      <w:r w:rsidR="00C64050">
        <w:t xml:space="preserve"> </w:t>
      </w:r>
      <w:r w:rsidRPr="00D954FE">
        <w:t>required</w:t>
      </w:r>
      <w:r w:rsidR="00C64050">
        <w:t xml:space="preserve"> </w:t>
      </w:r>
      <w:r w:rsidRPr="00D954FE">
        <w:t>on</w:t>
      </w:r>
      <w:r w:rsidR="00C64050">
        <w:t xml:space="preserve"> </w:t>
      </w:r>
      <w:r w:rsidRPr="00D954FE">
        <w:t>the</w:t>
      </w:r>
      <w:r w:rsidR="00C64050">
        <w:t xml:space="preserve"> </w:t>
      </w:r>
      <w:r w:rsidRPr="00D954FE">
        <w:t>supplemental</w:t>
      </w:r>
      <w:r w:rsidR="00C64050">
        <w:t xml:space="preserve"> </w:t>
      </w:r>
      <w:r w:rsidRPr="00D954FE">
        <w:t>Statement.</w:t>
      </w:r>
      <w:r w:rsidR="00C64050">
        <w:t xml:space="preserve"> </w:t>
      </w:r>
      <w:r w:rsidRPr="00D954FE">
        <w:t>In</w:t>
      </w:r>
      <w:r w:rsidR="00C64050">
        <w:t xml:space="preserve"> </w:t>
      </w:r>
      <w:r w:rsidRPr="00D954FE">
        <w:t>the</w:t>
      </w:r>
      <w:r w:rsidR="00C64050">
        <w:t xml:space="preserve"> </w:t>
      </w:r>
      <w:r w:rsidRPr="00D954FE">
        <w:t>event</w:t>
      </w:r>
      <w:r w:rsidR="00C64050">
        <w:t xml:space="preserve"> </w:t>
      </w:r>
      <w:r w:rsidRPr="00D954FE">
        <w:t>the</w:t>
      </w:r>
      <w:r w:rsidR="00C64050">
        <w:t xml:space="preserve"> </w:t>
      </w:r>
      <w:r w:rsidRPr="00D954FE">
        <w:t>transfer</w:t>
      </w:r>
      <w:r w:rsidR="00C64050">
        <w:t xml:space="preserve"> </w:t>
      </w:r>
      <w:r w:rsidRPr="00D954FE">
        <w:t>occurs</w:t>
      </w:r>
      <w:r w:rsidR="00C64050">
        <w:t xml:space="preserve"> </w:t>
      </w:r>
      <w:r w:rsidRPr="00D954FE">
        <w:t>before</w:t>
      </w:r>
      <w:r w:rsidR="00C64050">
        <w:t xml:space="preserve"> </w:t>
      </w:r>
      <w:r w:rsidRPr="00D954FE">
        <w:t>the</w:t>
      </w:r>
      <w:r w:rsidR="00C64050">
        <w:t xml:space="preserve"> </w:t>
      </w:r>
      <w:r w:rsidRPr="00D954FE">
        <w:t>final</w:t>
      </w:r>
      <w:r w:rsidR="00C64050">
        <w:t xml:space="preserve"> </w:t>
      </w:r>
      <w:r w:rsidRPr="00D954FE">
        <w:t>value</w:t>
      </w:r>
      <w:r w:rsidR="00C64050">
        <w:t xml:space="preserve"> </w:t>
      </w:r>
      <w:r w:rsidRPr="00D954FE">
        <w:t>is</w:t>
      </w:r>
      <w:r w:rsidR="00C64050">
        <w:t xml:space="preserve"> </w:t>
      </w:r>
      <w:r w:rsidRPr="00D954FE">
        <w:t>determined</w:t>
      </w:r>
      <w:r w:rsidR="00C64050">
        <w:t xml:space="preserve"> </w:t>
      </w:r>
      <w:r w:rsidRPr="00D954FE">
        <w:t>within</w:t>
      </w:r>
      <w:r w:rsidR="00C64050">
        <w:t xml:space="preserve"> </w:t>
      </w:r>
      <w:r w:rsidRPr="00D954FE">
        <w:t>the</w:t>
      </w:r>
      <w:r w:rsidR="00C64050">
        <w:t xml:space="preserve"> </w:t>
      </w:r>
      <w:r w:rsidRPr="00D954FE">
        <w:t>meaning</w:t>
      </w:r>
      <w:r w:rsidR="00C64050">
        <w:t xml:space="preserve"> </w:t>
      </w:r>
      <w:r w:rsidRPr="00D954FE">
        <w:t>of</w:t>
      </w:r>
      <w:r w:rsidR="00C64050">
        <w:t xml:space="preserve"> </w:t>
      </w:r>
      <w:r w:rsidRPr="00D954FE">
        <w:t>proposed</w:t>
      </w:r>
      <w:r w:rsidR="00C64050">
        <w:t xml:space="preserve"> </w:t>
      </w:r>
      <w:r w:rsidRPr="00D954FE">
        <w:t>§</w:t>
      </w:r>
      <w:r w:rsidR="00C64050">
        <w:t xml:space="preserve"> </w:t>
      </w:r>
      <w:r w:rsidRPr="00D954FE">
        <w:t>1.1014-10(c),</w:t>
      </w:r>
      <w:r w:rsidR="00C64050">
        <w:t xml:space="preserve"> </w:t>
      </w:r>
      <w:r w:rsidRPr="00D954FE">
        <w:t>the</w:t>
      </w:r>
      <w:r w:rsidR="00C64050">
        <w:t xml:space="preserve"> </w:t>
      </w:r>
      <w:r w:rsidRPr="00D954FE">
        <w:t>transferor</w:t>
      </w:r>
      <w:r w:rsidR="00C64050">
        <w:t xml:space="preserve"> </w:t>
      </w:r>
      <w:r w:rsidRPr="00D954FE">
        <w:t>must</w:t>
      </w:r>
      <w:r w:rsidR="00C64050">
        <w:t xml:space="preserve"> </w:t>
      </w:r>
      <w:r w:rsidRPr="00D954FE">
        <w:t>provide</w:t>
      </w:r>
      <w:r w:rsidR="00C64050">
        <w:t xml:space="preserve"> </w:t>
      </w:r>
      <w:r w:rsidRPr="00D954FE">
        <w:t>the</w:t>
      </w:r>
      <w:r w:rsidR="00C64050">
        <w:t xml:space="preserve"> </w:t>
      </w:r>
      <w:r w:rsidRPr="00D954FE">
        <w:t>executor</w:t>
      </w:r>
      <w:r w:rsidR="00C64050">
        <w:t xml:space="preserve"> </w:t>
      </w:r>
      <w:r w:rsidRPr="00D954FE">
        <w:t>with</w:t>
      </w:r>
      <w:r w:rsidR="00C64050">
        <w:t xml:space="preserve"> </w:t>
      </w:r>
      <w:r w:rsidRPr="00D954FE">
        <w:t>a</w:t>
      </w:r>
      <w:r w:rsidR="00C64050">
        <w:t xml:space="preserve"> </w:t>
      </w:r>
      <w:r w:rsidRPr="00D954FE">
        <w:t>copy</w:t>
      </w:r>
      <w:r w:rsidR="00C64050">
        <w:t xml:space="preserve"> </w:t>
      </w:r>
      <w:r w:rsidRPr="00D954FE">
        <w:t>of</w:t>
      </w:r>
      <w:r w:rsidR="00C64050">
        <w:t xml:space="preserve"> </w:t>
      </w:r>
      <w:r w:rsidRPr="00D954FE">
        <w:t>the</w:t>
      </w:r>
      <w:r w:rsidR="00C64050">
        <w:t xml:space="preserve"> </w:t>
      </w:r>
      <w:r w:rsidRPr="00D954FE">
        <w:t>supplemental</w:t>
      </w:r>
      <w:r w:rsidR="00C64050">
        <w:t xml:space="preserve"> </w:t>
      </w:r>
      <w:r w:rsidRPr="00D954FE">
        <w:t>Statement</w:t>
      </w:r>
      <w:r w:rsidR="00C64050">
        <w:t xml:space="preserve"> </w:t>
      </w:r>
      <w:r w:rsidRPr="00D954FE">
        <w:t>filed</w:t>
      </w:r>
      <w:r w:rsidR="00C64050">
        <w:t xml:space="preserve"> </w:t>
      </w:r>
      <w:r w:rsidRPr="00D954FE">
        <w:t>with</w:t>
      </w:r>
      <w:r w:rsidR="00C64050">
        <w:t xml:space="preserve"> </w:t>
      </w:r>
      <w:r w:rsidRPr="00D954FE">
        <w:t>the</w:t>
      </w:r>
      <w:r w:rsidR="00C64050">
        <w:t xml:space="preserve"> </w:t>
      </w:r>
      <w:r w:rsidRPr="00D954FE">
        <w:t>IRS</w:t>
      </w:r>
      <w:r w:rsidR="00C64050">
        <w:t xml:space="preserve"> </w:t>
      </w:r>
      <w:r w:rsidRPr="00D954FE">
        <w:t>and</w:t>
      </w:r>
      <w:r w:rsidR="00C64050">
        <w:t xml:space="preserve"> </w:t>
      </w:r>
      <w:r w:rsidRPr="00D954FE">
        <w:t>furnished</w:t>
      </w:r>
      <w:r w:rsidR="00C64050">
        <w:t xml:space="preserve"> </w:t>
      </w:r>
      <w:r w:rsidRPr="00D954FE">
        <w:t>to</w:t>
      </w:r>
      <w:r w:rsidR="00C64050">
        <w:t xml:space="preserve"> </w:t>
      </w:r>
      <w:r w:rsidRPr="00D954FE">
        <w:t>the</w:t>
      </w:r>
      <w:r w:rsidR="00C64050">
        <w:t xml:space="preserve"> </w:t>
      </w:r>
      <w:r w:rsidRPr="00D954FE">
        <w:t>transferee</w:t>
      </w:r>
      <w:r w:rsidR="00C64050">
        <w:t xml:space="preserve"> </w:t>
      </w:r>
      <w:r w:rsidRPr="00D954FE">
        <w:t>in</w:t>
      </w:r>
      <w:r w:rsidR="00C64050">
        <w:t xml:space="preserve"> </w:t>
      </w:r>
      <w:r w:rsidRPr="00D954FE">
        <w:t>order</w:t>
      </w:r>
      <w:r w:rsidR="00C64050">
        <w:t xml:space="preserve"> </w:t>
      </w:r>
      <w:r w:rsidRPr="00D954FE">
        <w:t>to</w:t>
      </w:r>
      <w:r w:rsidR="00C64050">
        <w:t xml:space="preserve"> </w:t>
      </w:r>
      <w:r w:rsidRPr="00D954FE">
        <w:t>notify</w:t>
      </w:r>
      <w:r w:rsidR="00C64050">
        <w:t xml:space="preserve"> </w:t>
      </w:r>
      <w:r w:rsidRPr="00D954FE">
        <w:t>the</w:t>
      </w:r>
      <w:r w:rsidR="00C64050">
        <w:t xml:space="preserve"> </w:t>
      </w:r>
      <w:r w:rsidRPr="00D954FE">
        <w:t>executor</w:t>
      </w:r>
      <w:r w:rsidR="00C64050">
        <w:t xml:space="preserve"> </w:t>
      </w:r>
      <w:r w:rsidRPr="00D954FE">
        <w:t>of</w:t>
      </w:r>
      <w:r w:rsidR="00C64050">
        <w:t xml:space="preserve"> </w:t>
      </w:r>
      <w:r w:rsidRPr="00D954FE">
        <w:t>the</w:t>
      </w:r>
      <w:r w:rsidR="00C64050">
        <w:t xml:space="preserve"> </w:t>
      </w:r>
      <w:r w:rsidRPr="00D954FE">
        <w:t>change</w:t>
      </w:r>
      <w:r w:rsidR="00C64050">
        <w:t xml:space="preserve"> </w:t>
      </w:r>
      <w:r w:rsidRPr="00D954FE">
        <w:t>in</w:t>
      </w:r>
      <w:r w:rsidR="00C64050">
        <w:t xml:space="preserve"> </w:t>
      </w:r>
      <w:r w:rsidRPr="00D954FE">
        <w:t>ownership</w:t>
      </w:r>
      <w:r w:rsidR="00C64050">
        <w:t xml:space="preserve"> </w:t>
      </w:r>
      <w:r w:rsidRPr="00D954FE">
        <w:t>of</w:t>
      </w:r>
      <w:r w:rsidR="00C64050">
        <w:t xml:space="preserve"> </w:t>
      </w:r>
      <w:r w:rsidRPr="00D954FE">
        <w:t>the</w:t>
      </w:r>
      <w:r w:rsidR="00C64050">
        <w:t xml:space="preserve"> </w:t>
      </w:r>
      <w:r w:rsidRPr="00D954FE">
        <w:t>property.</w:t>
      </w:r>
      <w:r w:rsidR="00C64050">
        <w:t xml:space="preserve"> </w:t>
      </w:r>
      <w:r w:rsidRPr="00D954FE">
        <w:t>When</w:t>
      </w:r>
      <w:r w:rsidR="00C64050">
        <w:t xml:space="preserve"> </w:t>
      </w:r>
      <w:r w:rsidRPr="00D954FE">
        <w:t>the</w:t>
      </w:r>
      <w:r w:rsidR="00C64050">
        <w:t xml:space="preserve"> </w:t>
      </w:r>
      <w:r w:rsidRPr="00D954FE">
        <w:t>executor</w:t>
      </w:r>
      <w:r w:rsidR="00C64050">
        <w:t xml:space="preserve"> </w:t>
      </w:r>
      <w:r w:rsidRPr="00D954FE">
        <w:t>subsequently</w:t>
      </w:r>
      <w:r w:rsidR="00C64050">
        <w:t xml:space="preserve"> </w:t>
      </w:r>
      <w:r w:rsidRPr="00D954FE">
        <w:t>files</w:t>
      </w:r>
      <w:r w:rsidR="00C64050">
        <w:t xml:space="preserve"> </w:t>
      </w:r>
      <w:r w:rsidRPr="00D954FE">
        <w:t>any</w:t>
      </w:r>
      <w:r w:rsidR="00C64050">
        <w:t xml:space="preserve"> </w:t>
      </w:r>
      <w:r w:rsidRPr="00D954FE">
        <w:t>Return</w:t>
      </w:r>
      <w:r w:rsidR="00C64050">
        <w:t xml:space="preserve"> </w:t>
      </w:r>
      <w:r w:rsidRPr="00D954FE">
        <w:t>and</w:t>
      </w:r>
      <w:r w:rsidR="00C64050">
        <w:t xml:space="preserve"> </w:t>
      </w:r>
      <w:r w:rsidRPr="00D954FE">
        <w:t>issues</w:t>
      </w:r>
      <w:r w:rsidR="00C64050">
        <w:t xml:space="preserve"> </w:t>
      </w:r>
      <w:r w:rsidRPr="00D954FE">
        <w:t>any</w:t>
      </w:r>
      <w:r w:rsidR="00C64050">
        <w:t xml:space="preserve"> </w:t>
      </w:r>
      <w:r w:rsidRPr="00D954FE">
        <w:t>Statement</w:t>
      </w:r>
      <w:r w:rsidR="00C64050">
        <w:t xml:space="preserve"> </w:t>
      </w:r>
      <w:r w:rsidRPr="00D954FE">
        <w:t>required</w:t>
      </w:r>
      <w:r w:rsidR="00C64050">
        <w:t xml:space="preserve"> </w:t>
      </w:r>
      <w:r w:rsidRPr="00D954FE">
        <w:t>by</w:t>
      </w:r>
      <w:r w:rsidR="00C64050">
        <w:t xml:space="preserve"> </w:t>
      </w:r>
      <w:r w:rsidRPr="00D954FE">
        <w:t>paragraphs</w:t>
      </w:r>
      <w:r w:rsidR="00C64050">
        <w:t xml:space="preserve"> </w:t>
      </w:r>
      <w:r w:rsidRPr="00D954FE">
        <w:t>(a)</w:t>
      </w:r>
      <w:r w:rsidR="00C64050">
        <w:t xml:space="preserve"> </w:t>
      </w:r>
      <w:r w:rsidRPr="00D954FE">
        <w:t>or</w:t>
      </w:r>
      <w:r w:rsidR="00C64050">
        <w:t xml:space="preserve"> </w:t>
      </w:r>
      <w:r w:rsidRPr="00D954FE">
        <w:t>(e)</w:t>
      </w:r>
      <w:r w:rsidR="00C64050">
        <w:t xml:space="preserve"> </w:t>
      </w:r>
      <w:r w:rsidRPr="00D954FE">
        <w:t>of</w:t>
      </w:r>
      <w:r w:rsidR="00C64050">
        <w:t xml:space="preserve"> </w:t>
      </w:r>
      <w:r w:rsidRPr="00D954FE">
        <w:t>this</w:t>
      </w:r>
      <w:r w:rsidR="00C64050">
        <w:t xml:space="preserve"> </w:t>
      </w:r>
      <w:r w:rsidRPr="00D954FE">
        <w:t>section,</w:t>
      </w:r>
      <w:r w:rsidR="00C64050">
        <w:t xml:space="preserve"> </w:t>
      </w:r>
      <w:r w:rsidRPr="00D954FE">
        <w:t>the</w:t>
      </w:r>
      <w:r w:rsidR="00C64050">
        <w:t xml:space="preserve"> </w:t>
      </w:r>
      <w:r w:rsidRPr="00D954FE">
        <w:t>executor</w:t>
      </w:r>
      <w:r w:rsidR="00C64050">
        <w:t xml:space="preserve"> </w:t>
      </w:r>
      <w:r w:rsidRPr="00D954FE">
        <w:t>must</w:t>
      </w:r>
      <w:r w:rsidR="00C64050">
        <w:t xml:space="preserve"> </w:t>
      </w:r>
      <w:r w:rsidRPr="00D954FE">
        <w:t>provide</w:t>
      </w:r>
      <w:r w:rsidR="00C64050">
        <w:t xml:space="preserve"> </w:t>
      </w:r>
      <w:r w:rsidRPr="00D954FE">
        <w:t>the</w:t>
      </w:r>
      <w:r w:rsidR="00C64050">
        <w:t xml:space="preserve"> </w:t>
      </w:r>
      <w:r w:rsidRPr="00D954FE">
        <w:t>Statement</w:t>
      </w:r>
      <w:r w:rsidR="00C64050">
        <w:t xml:space="preserve"> </w:t>
      </w:r>
      <w:r w:rsidRPr="00D954FE">
        <w:t>(or</w:t>
      </w:r>
      <w:r w:rsidR="00C64050">
        <w:t xml:space="preserve"> </w:t>
      </w:r>
      <w:r w:rsidRPr="00D954FE">
        <w:t>supplemental</w:t>
      </w:r>
      <w:r w:rsidR="00C64050">
        <w:t xml:space="preserve"> </w:t>
      </w:r>
      <w:r w:rsidRPr="00D954FE">
        <w:t>Statement)</w:t>
      </w:r>
      <w:r w:rsidR="00C64050">
        <w:t xml:space="preserve"> </w:t>
      </w:r>
      <w:r w:rsidRPr="00D954FE">
        <w:t>to</w:t>
      </w:r>
      <w:r w:rsidR="00C64050">
        <w:t xml:space="preserve"> </w:t>
      </w:r>
      <w:r w:rsidRPr="00D954FE">
        <w:t>the</w:t>
      </w:r>
      <w:r w:rsidR="00C64050">
        <w:t xml:space="preserve"> </w:t>
      </w:r>
      <w:r w:rsidRPr="00D954FE">
        <w:t>new</w:t>
      </w:r>
      <w:r w:rsidR="00C64050">
        <w:t xml:space="preserve"> </w:t>
      </w:r>
      <w:r w:rsidRPr="00D954FE">
        <w:t>transferee</w:t>
      </w:r>
      <w:r w:rsidR="00C64050">
        <w:t xml:space="preserve"> </w:t>
      </w:r>
      <w:r w:rsidRPr="00D954FE">
        <w:t>instead</w:t>
      </w:r>
      <w:r w:rsidR="00C64050">
        <w:t xml:space="preserve"> </w:t>
      </w:r>
      <w:r w:rsidRPr="00D954FE">
        <w:t>of</w:t>
      </w:r>
      <w:r w:rsidR="00C64050">
        <w:t xml:space="preserve"> </w:t>
      </w:r>
      <w:r w:rsidRPr="00D954FE">
        <w:t>to</w:t>
      </w:r>
      <w:r w:rsidR="00C64050">
        <w:t xml:space="preserve"> </w:t>
      </w:r>
      <w:r w:rsidRPr="00D954FE">
        <w:t>the</w:t>
      </w:r>
      <w:r w:rsidR="00C64050">
        <w:t xml:space="preserve"> </w:t>
      </w:r>
      <w:r w:rsidRPr="00D954FE">
        <w:t>transferor.</w:t>
      </w:r>
      <w:r w:rsidR="00C64050">
        <w:t xml:space="preserve"> </w:t>
      </w:r>
      <w:r w:rsidRPr="00D954FE">
        <w:t>For</w:t>
      </w:r>
      <w:r w:rsidR="00C64050">
        <w:t xml:space="preserve"> </w:t>
      </w:r>
      <w:r w:rsidRPr="00D954FE">
        <w:t>purposes</w:t>
      </w:r>
      <w:r w:rsidR="00C64050">
        <w:t xml:space="preserve"> </w:t>
      </w:r>
      <w:r w:rsidRPr="00D954FE">
        <w:t>of</w:t>
      </w:r>
      <w:r w:rsidR="00C64050">
        <w:t xml:space="preserve"> </w:t>
      </w:r>
      <w:r w:rsidRPr="00D954FE">
        <w:t>this</w:t>
      </w:r>
      <w:r w:rsidR="00C64050">
        <w:t xml:space="preserve"> </w:t>
      </w:r>
      <w:r w:rsidRPr="00D954FE">
        <w:t>provision,</w:t>
      </w:r>
      <w:r w:rsidR="00C64050">
        <w:t xml:space="preserve"> </w:t>
      </w:r>
      <w:r w:rsidRPr="00D954FE">
        <w:t>a</w:t>
      </w:r>
      <w:r w:rsidR="00C64050">
        <w:t xml:space="preserve"> </w:t>
      </w:r>
      <w:r w:rsidRPr="00D954FE">
        <w:t>related</w:t>
      </w:r>
      <w:r w:rsidR="00C64050">
        <w:t xml:space="preserve"> </w:t>
      </w:r>
      <w:r w:rsidRPr="00D954FE">
        <w:t>transferee</w:t>
      </w:r>
      <w:r w:rsidR="00C64050">
        <w:t xml:space="preserve"> </w:t>
      </w:r>
      <w:r w:rsidRPr="00D954FE">
        <w:t>means</w:t>
      </w:r>
      <w:r w:rsidR="00C64050">
        <w:t xml:space="preserve"> </w:t>
      </w:r>
      <w:r w:rsidRPr="00D954FE">
        <w:t>any</w:t>
      </w:r>
      <w:r w:rsidR="00C64050">
        <w:t xml:space="preserve"> </w:t>
      </w:r>
      <w:r w:rsidRPr="00D954FE">
        <w:t>member</w:t>
      </w:r>
      <w:r w:rsidR="00C64050">
        <w:t xml:space="preserve"> </w:t>
      </w:r>
      <w:r w:rsidRPr="00D954FE">
        <w:t>of</w:t>
      </w:r>
      <w:r w:rsidR="00C64050">
        <w:t xml:space="preserve"> </w:t>
      </w:r>
      <w:r w:rsidRPr="00D954FE">
        <w:t>the</w:t>
      </w:r>
      <w:r w:rsidR="00C64050">
        <w:t xml:space="preserve"> </w:t>
      </w:r>
      <w:r w:rsidRPr="00D954FE">
        <w:t>transferor's</w:t>
      </w:r>
      <w:r w:rsidR="00C64050">
        <w:t xml:space="preserve"> </w:t>
      </w:r>
      <w:r w:rsidRPr="00D954FE">
        <w:t>family</w:t>
      </w:r>
      <w:r w:rsidR="00C64050">
        <w:t xml:space="preserve"> </w:t>
      </w:r>
      <w:r w:rsidRPr="00D954FE">
        <w:t>as</w:t>
      </w:r>
      <w:r w:rsidR="00C64050">
        <w:t xml:space="preserve"> </w:t>
      </w:r>
      <w:r w:rsidRPr="00D954FE">
        <w:t>defined</w:t>
      </w:r>
      <w:r w:rsidR="00C64050">
        <w:t xml:space="preserve"> </w:t>
      </w:r>
      <w:r w:rsidRPr="00D954FE">
        <w:t>in</w:t>
      </w:r>
      <w:r w:rsidR="00C64050">
        <w:t xml:space="preserve"> </w:t>
      </w:r>
      <w:r w:rsidRPr="00D954FE">
        <w:t>section</w:t>
      </w:r>
      <w:r w:rsidR="00C64050">
        <w:t xml:space="preserve"> </w:t>
      </w:r>
      <w:r w:rsidRPr="00D954FE">
        <w:t>2704(c)(2),</w:t>
      </w:r>
      <w:r w:rsidR="00C64050">
        <w:t xml:space="preserve"> </w:t>
      </w:r>
      <w:r w:rsidRPr="00D954FE">
        <w:t>any</w:t>
      </w:r>
      <w:r w:rsidR="00C64050">
        <w:t xml:space="preserve"> </w:t>
      </w:r>
      <w:r w:rsidRPr="00D954FE">
        <w:t>controlled</w:t>
      </w:r>
      <w:r w:rsidR="00C64050">
        <w:t xml:space="preserve"> </w:t>
      </w:r>
      <w:r w:rsidRPr="00D954FE">
        <w:t>entity</w:t>
      </w:r>
      <w:r w:rsidR="00C64050">
        <w:t xml:space="preserve"> </w:t>
      </w:r>
      <w:r w:rsidRPr="00D954FE">
        <w:t>(a</w:t>
      </w:r>
      <w:r w:rsidR="00C64050">
        <w:t xml:space="preserve"> </w:t>
      </w:r>
      <w:r w:rsidRPr="00D954FE">
        <w:t>corporation</w:t>
      </w:r>
      <w:r w:rsidR="00C64050">
        <w:t xml:space="preserve"> </w:t>
      </w:r>
      <w:r w:rsidRPr="00D954FE">
        <w:t>or</w:t>
      </w:r>
      <w:r w:rsidR="00C64050">
        <w:t xml:space="preserve"> </w:t>
      </w:r>
      <w:r w:rsidRPr="00D954FE">
        <w:t>any</w:t>
      </w:r>
      <w:r w:rsidR="00C64050">
        <w:t xml:space="preserve"> </w:t>
      </w:r>
      <w:r w:rsidRPr="00D954FE">
        <w:t>other</w:t>
      </w:r>
      <w:r w:rsidR="00C64050">
        <w:t xml:space="preserve"> </w:t>
      </w:r>
      <w:r w:rsidRPr="00D954FE">
        <w:t>entity</w:t>
      </w:r>
      <w:r w:rsidR="00C64050">
        <w:t xml:space="preserve"> </w:t>
      </w:r>
      <w:r w:rsidRPr="00D954FE">
        <w:t>in</w:t>
      </w:r>
      <w:r w:rsidR="00C64050">
        <w:t xml:space="preserve"> </w:t>
      </w:r>
      <w:r w:rsidRPr="00D954FE">
        <w:t>which</w:t>
      </w:r>
      <w:r w:rsidR="00C64050">
        <w:t xml:space="preserve"> </w:t>
      </w:r>
      <w:r w:rsidRPr="00D954FE">
        <w:t>the</w:t>
      </w:r>
      <w:r w:rsidR="00C64050">
        <w:t xml:space="preserve"> </w:t>
      </w:r>
      <w:r w:rsidRPr="00D954FE">
        <w:t>transferor</w:t>
      </w:r>
      <w:r w:rsidR="00C64050">
        <w:t xml:space="preserve"> </w:t>
      </w:r>
      <w:r w:rsidRPr="00D954FE">
        <w:t>and</w:t>
      </w:r>
      <w:r w:rsidR="00C64050">
        <w:t xml:space="preserve"> </w:t>
      </w:r>
      <w:r w:rsidRPr="00D954FE">
        <w:t>members</w:t>
      </w:r>
      <w:r w:rsidR="00C64050">
        <w:t xml:space="preserve"> </w:t>
      </w:r>
      <w:r w:rsidRPr="00D954FE">
        <w:t>of</w:t>
      </w:r>
      <w:r w:rsidR="00C64050">
        <w:t xml:space="preserve"> </w:t>
      </w:r>
      <w:r w:rsidRPr="00D954FE">
        <w:t>the</w:t>
      </w:r>
      <w:r w:rsidR="00C64050">
        <w:t xml:space="preserve"> </w:t>
      </w:r>
      <w:r w:rsidRPr="00D954FE">
        <w:t>transferor's</w:t>
      </w:r>
      <w:r w:rsidR="00C64050">
        <w:t xml:space="preserve"> </w:t>
      </w:r>
      <w:r w:rsidRPr="00D954FE">
        <w:t>family</w:t>
      </w:r>
      <w:r w:rsidR="00C64050">
        <w:t xml:space="preserve"> </w:t>
      </w:r>
      <w:r w:rsidRPr="00D954FE">
        <w:t>(as</w:t>
      </w:r>
      <w:r w:rsidR="00C64050">
        <w:t xml:space="preserve"> </w:t>
      </w:r>
      <w:r w:rsidRPr="00D954FE">
        <w:t>defined</w:t>
      </w:r>
      <w:r w:rsidR="00C64050">
        <w:t xml:space="preserve"> </w:t>
      </w:r>
      <w:r w:rsidRPr="00D954FE">
        <w:t>in</w:t>
      </w:r>
      <w:r w:rsidR="00C64050">
        <w:t xml:space="preserve"> </w:t>
      </w:r>
      <w:r w:rsidRPr="00D954FE">
        <w:t>section</w:t>
      </w:r>
      <w:r w:rsidR="00C64050">
        <w:t xml:space="preserve"> </w:t>
      </w:r>
      <w:r w:rsidRPr="00D954FE">
        <w:t>2704(c)(2)),</w:t>
      </w:r>
      <w:r w:rsidR="00C64050">
        <w:t xml:space="preserve"> </w:t>
      </w:r>
      <w:r w:rsidRPr="00D954FE">
        <w:t>whether</w:t>
      </w:r>
      <w:r w:rsidR="00C64050">
        <w:t xml:space="preserve"> </w:t>
      </w:r>
      <w:r w:rsidRPr="00D954FE">
        <w:t>directly</w:t>
      </w:r>
      <w:r w:rsidR="00C64050">
        <w:t xml:space="preserve"> </w:t>
      </w:r>
      <w:r w:rsidRPr="00D954FE">
        <w:t>or</w:t>
      </w:r>
      <w:r w:rsidR="00C64050">
        <w:t xml:space="preserve"> </w:t>
      </w:r>
      <w:r w:rsidRPr="00D954FE">
        <w:t>indirectly,</w:t>
      </w:r>
      <w:r w:rsidR="00C64050">
        <w:t xml:space="preserve"> </w:t>
      </w:r>
      <w:r w:rsidRPr="00D954FE">
        <w:t>have</w:t>
      </w:r>
      <w:r w:rsidR="00C64050">
        <w:t xml:space="preserve"> </w:t>
      </w:r>
      <w:r w:rsidRPr="00D954FE">
        <w:t>control</w:t>
      </w:r>
      <w:r w:rsidR="00C64050">
        <w:t xml:space="preserve"> </w:t>
      </w:r>
      <w:r w:rsidRPr="00D954FE">
        <w:t>within</w:t>
      </w:r>
      <w:r w:rsidR="00C64050">
        <w:t xml:space="preserve"> </w:t>
      </w:r>
      <w:r w:rsidRPr="00D954FE">
        <w:t>the</w:t>
      </w:r>
      <w:r w:rsidR="00C64050">
        <w:t xml:space="preserve"> </w:t>
      </w:r>
      <w:r w:rsidRPr="00D954FE">
        <w:t>meaning</w:t>
      </w:r>
      <w:r w:rsidR="00C64050">
        <w:t xml:space="preserve"> </w:t>
      </w:r>
      <w:r w:rsidRPr="00D954FE">
        <w:t>of</w:t>
      </w:r>
      <w:r w:rsidR="00C64050">
        <w:t xml:space="preserve"> </w:t>
      </w:r>
      <w:r w:rsidRPr="00D954FE">
        <w:t>section</w:t>
      </w:r>
      <w:r w:rsidR="00C64050">
        <w:t xml:space="preserve"> </w:t>
      </w:r>
      <w:r w:rsidRPr="00D954FE">
        <w:t>2701(b)(2)(A)</w:t>
      </w:r>
      <w:r w:rsidR="00C64050">
        <w:t xml:space="preserve"> </w:t>
      </w:r>
      <w:r w:rsidRPr="00D954FE">
        <w:t>or</w:t>
      </w:r>
      <w:r w:rsidR="00C64050">
        <w:t xml:space="preserve"> </w:t>
      </w:r>
      <w:r w:rsidRPr="00D954FE">
        <w:t>(B)),</w:t>
      </w:r>
      <w:r w:rsidR="00C64050">
        <w:t xml:space="preserve"> </w:t>
      </w:r>
      <w:r w:rsidRPr="00D954FE">
        <w:t>and</w:t>
      </w:r>
      <w:r w:rsidR="00C64050">
        <w:t xml:space="preserve"> </w:t>
      </w:r>
      <w:r w:rsidRPr="00D954FE">
        <w:t>any</w:t>
      </w:r>
      <w:r w:rsidR="00C64050">
        <w:t xml:space="preserve"> </w:t>
      </w:r>
      <w:r w:rsidRPr="00D954FE">
        <w:t>trust</w:t>
      </w:r>
      <w:r w:rsidR="00C64050">
        <w:t xml:space="preserve"> </w:t>
      </w:r>
      <w:r w:rsidRPr="00D954FE">
        <w:t>of</w:t>
      </w:r>
      <w:r w:rsidR="00C64050">
        <w:t xml:space="preserve"> </w:t>
      </w:r>
      <w:r w:rsidRPr="00D954FE">
        <w:t>which</w:t>
      </w:r>
      <w:r w:rsidR="00C64050">
        <w:t xml:space="preserve"> </w:t>
      </w:r>
      <w:r w:rsidRPr="00D954FE">
        <w:t>the</w:t>
      </w:r>
      <w:r w:rsidR="00C64050">
        <w:t xml:space="preserve"> </w:t>
      </w:r>
      <w:r w:rsidRPr="00D954FE">
        <w:t>transferor</w:t>
      </w:r>
      <w:r w:rsidR="00C64050">
        <w:t xml:space="preserve"> </w:t>
      </w:r>
      <w:r w:rsidRPr="00D954FE">
        <w:t>is</w:t>
      </w:r>
      <w:r w:rsidR="00C64050">
        <w:t xml:space="preserve"> </w:t>
      </w:r>
      <w:r w:rsidRPr="00D954FE">
        <w:t>a</w:t>
      </w:r>
      <w:r w:rsidR="00C64050">
        <w:t xml:space="preserve"> </w:t>
      </w:r>
      <w:r w:rsidRPr="00D954FE">
        <w:t>deemed</w:t>
      </w:r>
      <w:r w:rsidR="00C64050">
        <w:t xml:space="preserve"> </w:t>
      </w:r>
      <w:r w:rsidRPr="00D954FE">
        <w:t>owner</w:t>
      </w:r>
      <w:r w:rsidR="00C64050">
        <w:t xml:space="preserve"> </w:t>
      </w:r>
      <w:r w:rsidRPr="00D954FE">
        <w:t>for</w:t>
      </w:r>
      <w:r w:rsidR="00C64050">
        <w:t xml:space="preserve"> </w:t>
      </w:r>
      <w:r w:rsidRPr="00D954FE">
        <w:t>income</w:t>
      </w:r>
      <w:r w:rsidR="00C64050">
        <w:t xml:space="preserve"> </w:t>
      </w:r>
      <w:r w:rsidRPr="00D954FE">
        <w:t>tax</w:t>
      </w:r>
      <w:r w:rsidR="00C64050">
        <w:t xml:space="preserve"> </w:t>
      </w:r>
      <w:r w:rsidRPr="00D954FE">
        <w:t>purposes.</w:t>
      </w:r>
      <w:r w:rsidR="00C64050">
        <w:t xml:space="preserve"> </w:t>
      </w:r>
      <w:r w:rsidRPr="00D954FE">
        <w:t>If</w:t>
      </w:r>
      <w:r w:rsidR="00C64050">
        <w:t xml:space="preserve"> </w:t>
      </w:r>
      <w:r w:rsidRPr="00D954FE">
        <w:t>the</w:t>
      </w:r>
      <w:r w:rsidR="00C64050">
        <w:t xml:space="preserve"> </w:t>
      </w:r>
      <w:r w:rsidRPr="00D954FE">
        <w:t>transferor</w:t>
      </w:r>
      <w:r w:rsidR="00C64050">
        <w:t xml:space="preserve"> </w:t>
      </w:r>
      <w:r w:rsidRPr="00D954FE">
        <w:t>chooses</w:t>
      </w:r>
      <w:r w:rsidR="00C64050">
        <w:t xml:space="preserve"> </w:t>
      </w:r>
      <w:r w:rsidRPr="00D954FE">
        <w:t>to</w:t>
      </w:r>
      <w:r w:rsidR="00C64050">
        <w:t xml:space="preserve"> </w:t>
      </w:r>
      <w:r w:rsidRPr="00D954FE">
        <w:t>include</w:t>
      </w:r>
      <w:r w:rsidR="00C64050">
        <w:t xml:space="preserve"> </w:t>
      </w:r>
      <w:r w:rsidRPr="00D954FE">
        <w:t>on</w:t>
      </w:r>
      <w:r w:rsidR="00C64050">
        <w:t xml:space="preserve"> </w:t>
      </w:r>
      <w:r w:rsidRPr="00D954FE">
        <w:t>the</w:t>
      </w:r>
      <w:r w:rsidR="00C64050">
        <w:t xml:space="preserve"> </w:t>
      </w:r>
      <w:r w:rsidRPr="00D954FE">
        <w:t>supplemental</w:t>
      </w:r>
      <w:r w:rsidR="00C64050">
        <w:t xml:space="preserve"> </w:t>
      </w:r>
      <w:r w:rsidRPr="00D954FE">
        <w:t>Statement</w:t>
      </w:r>
      <w:r w:rsidR="00C64050">
        <w:t xml:space="preserve"> </w:t>
      </w:r>
      <w:r w:rsidRPr="00D954FE">
        <w:t>provided</w:t>
      </w:r>
      <w:r w:rsidR="00C64050">
        <w:t xml:space="preserve"> </w:t>
      </w:r>
      <w:r w:rsidRPr="00D954FE">
        <w:t>to</w:t>
      </w:r>
      <w:r w:rsidR="00C64050">
        <w:t xml:space="preserve"> </w:t>
      </w:r>
      <w:r w:rsidRPr="00D954FE">
        <w:t>the</w:t>
      </w:r>
      <w:r w:rsidR="00C64050">
        <w:t xml:space="preserve"> </w:t>
      </w:r>
      <w:r w:rsidRPr="00D954FE">
        <w:t>transferee</w:t>
      </w:r>
      <w:r w:rsidR="00C64050">
        <w:t xml:space="preserve"> </w:t>
      </w:r>
      <w:r w:rsidRPr="00D954FE">
        <w:t>information</w:t>
      </w:r>
      <w:r w:rsidR="00C64050">
        <w:t xml:space="preserve"> </w:t>
      </w:r>
      <w:r w:rsidRPr="00D954FE">
        <w:t>regarding</w:t>
      </w:r>
      <w:r w:rsidR="00C64050">
        <w:t xml:space="preserve"> </w:t>
      </w:r>
      <w:r w:rsidRPr="00D954FE">
        <w:t>any</w:t>
      </w:r>
      <w:r w:rsidR="00C64050">
        <w:t xml:space="preserve"> </w:t>
      </w:r>
      <w:r w:rsidRPr="00D954FE">
        <w:t>changes</w:t>
      </w:r>
      <w:r w:rsidR="00C64050">
        <w:t xml:space="preserve"> </w:t>
      </w:r>
      <w:r w:rsidRPr="00D954FE">
        <w:t>to</w:t>
      </w:r>
      <w:r w:rsidR="00C64050">
        <w:t xml:space="preserve"> </w:t>
      </w:r>
      <w:r w:rsidRPr="00D954FE">
        <w:t>the</w:t>
      </w:r>
      <w:r w:rsidR="00C64050">
        <w:t xml:space="preserve"> </w:t>
      </w:r>
      <w:r w:rsidRPr="00D954FE">
        <w:t>basis</w:t>
      </w:r>
      <w:r w:rsidR="00C64050">
        <w:t xml:space="preserve"> </w:t>
      </w:r>
      <w:r w:rsidRPr="00D954FE">
        <w:t>of</w:t>
      </w:r>
      <w:r w:rsidR="00C64050">
        <w:t xml:space="preserve"> </w:t>
      </w:r>
      <w:r w:rsidRPr="00D954FE">
        <w:t>the</w:t>
      </w:r>
      <w:r w:rsidR="00C64050">
        <w:t xml:space="preserve"> </w:t>
      </w:r>
      <w:r w:rsidRPr="00D954FE">
        <w:t>reported</w:t>
      </w:r>
      <w:r w:rsidR="00C64050">
        <w:t xml:space="preserve"> </w:t>
      </w:r>
      <w:r w:rsidRPr="00D954FE">
        <w:t>property</w:t>
      </w:r>
      <w:r w:rsidR="00C64050">
        <w:t xml:space="preserve"> </w:t>
      </w:r>
      <w:r w:rsidRPr="00D954FE">
        <w:t>as</w:t>
      </w:r>
      <w:r w:rsidR="00C64050">
        <w:t xml:space="preserve"> </w:t>
      </w:r>
      <w:r w:rsidRPr="00D954FE">
        <w:t>described</w:t>
      </w:r>
      <w:r w:rsidR="00C64050">
        <w:t xml:space="preserve"> </w:t>
      </w:r>
      <w:r w:rsidRPr="00D954FE">
        <w:t>in</w:t>
      </w:r>
      <w:r w:rsidR="00C64050">
        <w:t xml:space="preserve"> </w:t>
      </w:r>
      <w:r w:rsidRPr="00D954FE">
        <w:t>§</w:t>
      </w:r>
      <w:r w:rsidR="00C64050">
        <w:t xml:space="preserve"> </w:t>
      </w:r>
      <w:r w:rsidRPr="00D954FE">
        <w:t>1.1014-10(a)(2)</w:t>
      </w:r>
      <w:r w:rsidR="00C64050">
        <w:t xml:space="preserve"> </w:t>
      </w:r>
      <w:r w:rsidRPr="00D954FE">
        <w:t>that</w:t>
      </w:r>
      <w:r w:rsidR="00C64050">
        <w:t xml:space="preserve"> </w:t>
      </w:r>
      <w:r w:rsidRPr="00D954FE">
        <w:t>occurred</w:t>
      </w:r>
      <w:r w:rsidR="00C64050">
        <w:t xml:space="preserve"> </w:t>
      </w:r>
      <w:r w:rsidRPr="00D954FE">
        <w:t>during</w:t>
      </w:r>
      <w:r w:rsidR="00C64050">
        <w:t xml:space="preserve"> </w:t>
      </w:r>
      <w:r w:rsidRPr="00D954FE">
        <w:t>the</w:t>
      </w:r>
      <w:r w:rsidR="00C64050">
        <w:t xml:space="preserve"> </w:t>
      </w:r>
      <w:r w:rsidRPr="00D954FE">
        <w:t>transferor's</w:t>
      </w:r>
      <w:r w:rsidR="00C64050">
        <w:t xml:space="preserve"> </w:t>
      </w:r>
      <w:r w:rsidRPr="00D954FE">
        <w:t>ownership</w:t>
      </w:r>
      <w:r w:rsidR="00C64050">
        <w:t xml:space="preserve"> </w:t>
      </w:r>
      <w:r w:rsidRPr="00D954FE">
        <w:t>of</w:t>
      </w:r>
      <w:r w:rsidR="00C64050">
        <w:t xml:space="preserve"> </w:t>
      </w:r>
      <w:r w:rsidRPr="00D954FE">
        <w:t>the</w:t>
      </w:r>
      <w:r w:rsidR="00C64050">
        <w:t xml:space="preserve"> </w:t>
      </w:r>
      <w:r w:rsidRPr="00D954FE">
        <w:t>property,</w:t>
      </w:r>
      <w:r w:rsidR="00C64050">
        <w:t xml:space="preserve"> </w:t>
      </w:r>
      <w:r w:rsidRPr="00D954FE">
        <w:t>that</w:t>
      </w:r>
      <w:r w:rsidR="00C64050">
        <w:t xml:space="preserve"> </w:t>
      </w:r>
      <w:r w:rsidRPr="00D954FE">
        <w:t>basis</w:t>
      </w:r>
      <w:r w:rsidR="00C64050">
        <w:t xml:space="preserve"> </w:t>
      </w:r>
      <w:r w:rsidRPr="00D954FE">
        <w:t>adjustment</w:t>
      </w:r>
      <w:r w:rsidR="00C64050">
        <w:t xml:space="preserve"> </w:t>
      </w:r>
      <w:r w:rsidRPr="00D954FE">
        <w:t>information</w:t>
      </w:r>
      <w:r w:rsidR="00C64050">
        <w:t xml:space="preserve"> </w:t>
      </w:r>
      <w:r w:rsidRPr="00D954FE">
        <w:t>(which</w:t>
      </w:r>
      <w:r w:rsidR="00C64050">
        <w:t xml:space="preserve"> </w:t>
      </w:r>
      <w:r w:rsidRPr="00D954FE">
        <w:t>is</w:t>
      </w:r>
      <w:r w:rsidR="00C64050">
        <w:t xml:space="preserve"> </w:t>
      </w:r>
      <w:r w:rsidRPr="00D954FE">
        <w:t>not</w:t>
      </w:r>
      <w:r w:rsidR="00C64050">
        <w:t xml:space="preserve"> </w:t>
      </w:r>
      <w:r w:rsidRPr="00D954FE">
        <w:t>part</w:t>
      </w:r>
      <w:r w:rsidR="00C64050">
        <w:t xml:space="preserve"> </w:t>
      </w:r>
      <w:r w:rsidRPr="00D954FE">
        <w:t>of</w:t>
      </w:r>
      <w:r w:rsidR="00C64050">
        <w:t xml:space="preserve"> </w:t>
      </w:r>
      <w:r w:rsidRPr="00D954FE">
        <w:t>the</w:t>
      </w:r>
      <w:r w:rsidR="00C64050">
        <w:t xml:space="preserve"> </w:t>
      </w:r>
      <w:r w:rsidRPr="00D954FE">
        <w:t>requirement</w:t>
      </w:r>
      <w:r w:rsidR="00C64050">
        <w:t xml:space="preserve"> </w:t>
      </w:r>
      <w:r w:rsidRPr="00D954FE">
        <w:t>under</w:t>
      </w:r>
      <w:r w:rsidR="00C64050">
        <w:t xml:space="preserve"> </w:t>
      </w:r>
      <w:hyperlink r:id="rId82" w:history="1">
        <w:r w:rsidRPr="00D954FE">
          <w:t>section</w:t>
        </w:r>
        <w:r w:rsidR="00C64050">
          <w:t xml:space="preserve"> </w:t>
        </w:r>
        <w:r w:rsidRPr="00D954FE">
          <w:t>6035</w:t>
        </w:r>
      </w:hyperlink>
      <w:r w:rsidRPr="00D954FE">
        <w:t>)</w:t>
      </w:r>
      <w:r w:rsidR="00C64050">
        <w:t xml:space="preserve"> </w:t>
      </w:r>
      <w:r w:rsidRPr="00D954FE">
        <w:t>must</w:t>
      </w:r>
      <w:r w:rsidR="00C64050">
        <w:t xml:space="preserve"> </w:t>
      </w:r>
      <w:r w:rsidRPr="00D954FE">
        <w:t>be</w:t>
      </w:r>
      <w:r w:rsidR="00C64050">
        <w:t xml:space="preserve"> </w:t>
      </w:r>
      <w:r w:rsidRPr="00D954FE">
        <w:t>shown</w:t>
      </w:r>
      <w:r w:rsidR="00C64050">
        <w:t xml:space="preserve"> </w:t>
      </w:r>
      <w:r w:rsidRPr="00D954FE">
        <w:t>separately</w:t>
      </w:r>
      <w:r w:rsidR="00C64050">
        <w:t xml:space="preserve"> </w:t>
      </w:r>
      <w:r w:rsidRPr="00D954FE">
        <w:t>from</w:t>
      </w:r>
      <w:r w:rsidR="00C64050">
        <w:t xml:space="preserve"> </w:t>
      </w:r>
      <w:r w:rsidRPr="00D954FE">
        <w:t>the</w:t>
      </w:r>
      <w:r w:rsidR="00C64050">
        <w:t xml:space="preserve"> </w:t>
      </w:r>
      <w:r w:rsidRPr="00D954FE">
        <w:t>final</w:t>
      </w:r>
      <w:r w:rsidR="00C64050">
        <w:t xml:space="preserve"> </w:t>
      </w:r>
      <w:r w:rsidRPr="00D954FE">
        <w:t>value</w:t>
      </w:r>
      <w:r w:rsidR="00C64050">
        <w:t xml:space="preserve"> </w:t>
      </w:r>
      <w:r w:rsidRPr="00D954FE">
        <w:t>required</w:t>
      </w:r>
      <w:r w:rsidR="00C64050">
        <w:t xml:space="preserve"> </w:t>
      </w:r>
      <w:r w:rsidRPr="00D954FE">
        <w:t>to</w:t>
      </w:r>
      <w:r w:rsidR="00C64050">
        <w:t xml:space="preserve"> </w:t>
      </w:r>
      <w:r w:rsidRPr="00D954FE">
        <w:t>be</w:t>
      </w:r>
      <w:r w:rsidR="00C64050">
        <w:t xml:space="preserve"> </w:t>
      </w:r>
      <w:r w:rsidRPr="00D954FE">
        <w:t>reported</w:t>
      </w:r>
      <w:r w:rsidR="00C64050">
        <w:t xml:space="preserve"> </w:t>
      </w:r>
      <w:r w:rsidRPr="00D954FE">
        <w:t>on</w:t>
      </w:r>
      <w:r w:rsidR="00C64050">
        <w:t xml:space="preserve"> </w:t>
      </w:r>
      <w:r w:rsidRPr="00D954FE">
        <w:t>that</w:t>
      </w:r>
      <w:r w:rsidR="00C64050">
        <w:t xml:space="preserve"> </w:t>
      </w:r>
      <w:r w:rsidRPr="00D954FE">
        <w:t>Statement.</w:t>
      </w:r>
    </w:p>
    <w:p w:rsidR="00465BBA" w:rsidRDefault="00465BBA" w:rsidP="00801686">
      <w:pPr>
        <w:pStyle w:val="Body15"/>
      </w:pPr>
      <w:r>
        <w:t>There</w:t>
      </w:r>
      <w:r w:rsidR="00C64050">
        <w:t xml:space="preserve"> </w:t>
      </w:r>
      <w:r>
        <w:t>are</w:t>
      </w:r>
      <w:r w:rsidR="00C64050">
        <w:t xml:space="preserve"> </w:t>
      </w:r>
      <w:r>
        <w:t>penalty</w:t>
      </w:r>
      <w:r w:rsidR="00C64050">
        <w:t xml:space="preserve"> </w:t>
      </w:r>
      <w:r>
        <w:t>provisions</w:t>
      </w:r>
      <w:r w:rsidR="00C64050">
        <w:t xml:space="preserve"> </w:t>
      </w:r>
      <w:r>
        <w:t>as</w:t>
      </w:r>
      <w:r w:rsidR="00C64050">
        <w:t xml:space="preserve"> </w:t>
      </w:r>
      <w:r>
        <w:t>well</w:t>
      </w:r>
      <w:r w:rsidR="00C64050">
        <w:t xml:space="preserve"> </w:t>
      </w:r>
      <w:r>
        <w:t>described</w:t>
      </w:r>
      <w:r w:rsidR="00C64050">
        <w:t xml:space="preserve"> </w:t>
      </w:r>
      <w:r>
        <w:t>by</w:t>
      </w:r>
      <w:r w:rsidR="00C64050">
        <w:t xml:space="preserve"> </w:t>
      </w:r>
      <w:r>
        <w:t>the</w:t>
      </w:r>
      <w:r w:rsidR="00C64050">
        <w:t xml:space="preserve"> </w:t>
      </w:r>
      <w:r>
        <w:t>summary:</w:t>
      </w:r>
    </w:p>
    <w:p w:rsidR="00465BBA" w:rsidRPr="004D5B93" w:rsidRDefault="00465BBA" w:rsidP="004D5B93">
      <w:pPr>
        <w:pStyle w:val="QS10"/>
      </w:pPr>
      <w:r w:rsidRPr="004D5B93">
        <w:t>Section</w:t>
      </w:r>
      <w:r w:rsidR="00C64050">
        <w:t xml:space="preserve"> </w:t>
      </w:r>
      <w:r w:rsidRPr="004D5B93">
        <w:t>2004(c)</w:t>
      </w:r>
      <w:r w:rsidR="00C64050">
        <w:t xml:space="preserve"> </w:t>
      </w:r>
      <w:r w:rsidRPr="004D5B93">
        <w:t>of</w:t>
      </w:r>
      <w:r w:rsidR="00C64050">
        <w:t xml:space="preserve"> </w:t>
      </w:r>
      <w:r w:rsidRPr="004D5B93">
        <w:t>the</w:t>
      </w:r>
      <w:r w:rsidR="00C64050">
        <w:t xml:space="preserve"> </w:t>
      </w:r>
      <w:r w:rsidRPr="004D5B93">
        <w:t>Act</w:t>
      </w:r>
      <w:r w:rsidR="00C64050">
        <w:t xml:space="preserve"> </w:t>
      </w:r>
      <w:r w:rsidRPr="004D5B93">
        <w:t>added</w:t>
      </w:r>
      <w:r w:rsidR="00C64050">
        <w:t xml:space="preserve"> </w:t>
      </w:r>
      <w:r w:rsidRPr="004D5B93">
        <w:t>a</w:t>
      </w:r>
      <w:r w:rsidR="00C64050">
        <w:t xml:space="preserve"> </w:t>
      </w:r>
      <w:r w:rsidRPr="004D5B93">
        <w:t>new</w:t>
      </w:r>
      <w:r w:rsidR="00C64050">
        <w:t xml:space="preserve"> </w:t>
      </w:r>
      <w:r w:rsidRPr="004D5B93">
        <w:t>accuracy-related</w:t>
      </w:r>
      <w:r w:rsidR="00C64050">
        <w:t xml:space="preserve"> </w:t>
      </w:r>
      <w:r w:rsidRPr="004D5B93">
        <w:t>penalty</w:t>
      </w:r>
      <w:r w:rsidR="00C64050">
        <w:t xml:space="preserve"> </w:t>
      </w:r>
      <w:r w:rsidRPr="004D5B93">
        <w:t>for</w:t>
      </w:r>
      <w:r w:rsidR="00C64050">
        <w:t xml:space="preserve"> </w:t>
      </w:r>
      <w:r w:rsidRPr="004D5B93">
        <w:t>underpayments</w:t>
      </w:r>
      <w:r w:rsidR="00C64050">
        <w:t xml:space="preserve"> </w:t>
      </w:r>
      <w:r w:rsidRPr="004D5B93">
        <w:t>attributable</w:t>
      </w:r>
      <w:r w:rsidR="00C64050">
        <w:t xml:space="preserve"> </w:t>
      </w:r>
      <w:r w:rsidRPr="004D5B93">
        <w:t>to</w:t>
      </w:r>
      <w:r w:rsidR="00C64050">
        <w:t xml:space="preserve"> </w:t>
      </w:r>
      <w:r w:rsidRPr="004D5B93">
        <w:t>an</w:t>
      </w:r>
      <w:r w:rsidR="00C64050">
        <w:t xml:space="preserve"> </w:t>
      </w:r>
      <w:r w:rsidRPr="004D5B93">
        <w:t>inconsistent</w:t>
      </w:r>
      <w:r w:rsidR="00C64050">
        <w:t xml:space="preserve"> </w:t>
      </w:r>
      <w:r w:rsidRPr="004D5B93">
        <w:t>estate</w:t>
      </w:r>
      <w:r w:rsidR="00C64050">
        <w:t xml:space="preserve"> </w:t>
      </w:r>
      <w:r w:rsidRPr="004D5B93">
        <w:t>basis.</w:t>
      </w:r>
      <w:r w:rsidR="00C64050">
        <w:t xml:space="preserve"> </w:t>
      </w:r>
      <w:r w:rsidRPr="004D5B93">
        <w:t>See</w:t>
      </w:r>
      <w:r w:rsidR="00C64050">
        <w:t xml:space="preserve"> </w:t>
      </w:r>
      <w:hyperlink r:id="rId83" w:anchor="co_pp_200d000029713" w:history="1">
        <w:r w:rsidRPr="004D5B93">
          <w:t>section</w:t>
        </w:r>
        <w:r w:rsidR="00C64050">
          <w:t xml:space="preserve"> </w:t>
        </w:r>
        <w:r w:rsidRPr="004D5B93">
          <w:t>6662(b)(8)</w:t>
        </w:r>
      </w:hyperlink>
      <w:r w:rsidRPr="004D5B93">
        <w:t>.</w:t>
      </w:r>
    </w:p>
    <w:p w:rsidR="00465BBA" w:rsidRPr="004D5B93" w:rsidRDefault="00EA23AC" w:rsidP="004D5B93">
      <w:pPr>
        <w:pStyle w:val="QS10"/>
      </w:pPr>
      <w:hyperlink r:id="rId84" w:anchor="co_pp_340a00009b6f3" w:history="1">
        <w:r w:rsidR="00465BBA" w:rsidRPr="004D5B93">
          <w:t>Section</w:t>
        </w:r>
        <w:r w:rsidR="00C64050">
          <w:t xml:space="preserve"> </w:t>
        </w:r>
        <w:r w:rsidR="00465BBA" w:rsidRPr="004D5B93">
          <w:t>6662(k)</w:t>
        </w:r>
      </w:hyperlink>
      <w:r w:rsidR="00C64050">
        <w:t xml:space="preserve"> </w:t>
      </w:r>
      <w:r w:rsidR="00465BBA" w:rsidRPr="004D5B93">
        <w:t>provides</w:t>
      </w:r>
      <w:r w:rsidR="00C64050">
        <w:t xml:space="preserve"> </w:t>
      </w:r>
      <w:r w:rsidR="00465BBA" w:rsidRPr="004D5B93">
        <w:t>that</w:t>
      </w:r>
      <w:r w:rsidR="00C64050">
        <w:t xml:space="preserve"> </w:t>
      </w:r>
      <w:r w:rsidR="00465BBA" w:rsidRPr="004D5B93">
        <w:t>there</w:t>
      </w:r>
      <w:r w:rsidR="00C64050">
        <w:t xml:space="preserve"> </w:t>
      </w:r>
      <w:r w:rsidR="00465BBA" w:rsidRPr="004D5B93">
        <w:t>is</w:t>
      </w:r>
      <w:r w:rsidR="00C64050">
        <w:t xml:space="preserve"> </w:t>
      </w:r>
      <w:r w:rsidR="00465BBA" w:rsidRPr="004D5B93">
        <w:t>an</w:t>
      </w:r>
      <w:r w:rsidR="00C64050">
        <w:t xml:space="preserve"> </w:t>
      </w:r>
      <w:r w:rsidR="00465BBA" w:rsidRPr="004D5B93">
        <w:t>inconsistent</w:t>
      </w:r>
      <w:r w:rsidR="00C64050">
        <w:t xml:space="preserve"> </w:t>
      </w:r>
      <w:r w:rsidR="00465BBA" w:rsidRPr="004D5B93">
        <w:t>estate</w:t>
      </w:r>
      <w:r w:rsidR="00C64050">
        <w:t xml:space="preserve"> </w:t>
      </w:r>
      <w:r w:rsidR="00465BBA" w:rsidRPr="004D5B93">
        <w:t>basis</w:t>
      </w:r>
      <w:r w:rsidR="00C64050">
        <w:t xml:space="preserve"> </w:t>
      </w:r>
      <w:r w:rsidR="00465BBA" w:rsidRPr="004D5B93">
        <w:t>if</w:t>
      </w:r>
      <w:r w:rsidR="00C64050">
        <w:t xml:space="preserve"> </w:t>
      </w:r>
      <w:r w:rsidR="00465BBA" w:rsidRPr="004D5B93">
        <w:t>the</w:t>
      </w:r>
      <w:r w:rsidR="00C64050">
        <w:t xml:space="preserve"> </w:t>
      </w:r>
      <w:r w:rsidR="00465BBA" w:rsidRPr="004D5B93">
        <w:t>basis</w:t>
      </w:r>
      <w:r w:rsidR="00C64050">
        <w:t xml:space="preserve"> </w:t>
      </w:r>
      <w:r w:rsidR="00465BBA" w:rsidRPr="004D5B93">
        <w:t>of</w:t>
      </w:r>
      <w:r w:rsidR="00C64050">
        <w:t xml:space="preserve"> </w:t>
      </w:r>
      <w:r w:rsidR="00465BBA" w:rsidRPr="004D5B93">
        <w:t>property</w:t>
      </w:r>
      <w:r w:rsidR="00C64050">
        <w:t xml:space="preserve"> </w:t>
      </w:r>
      <w:r w:rsidR="00465BBA" w:rsidRPr="004D5B93">
        <w:t>claimed</w:t>
      </w:r>
      <w:r w:rsidR="00C64050">
        <w:t xml:space="preserve"> </w:t>
      </w:r>
      <w:r w:rsidR="00465BBA" w:rsidRPr="004D5B93">
        <w:t>on</w:t>
      </w:r>
      <w:r w:rsidR="00C64050">
        <w:t xml:space="preserve"> </w:t>
      </w:r>
      <w:r w:rsidR="00465BBA" w:rsidRPr="004D5B93">
        <w:t>a</w:t>
      </w:r>
      <w:r w:rsidR="00C64050">
        <w:t xml:space="preserve"> </w:t>
      </w:r>
      <w:r w:rsidR="00465BBA" w:rsidRPr="004D5B93">
        <w:t>return</w:t>
      </w:r>
      <w:r w:rsidR="00C64050">
        <w:t xml:space="preserve"> </w:t>
      </w:r>
      <w:r w:rsidR="00465BBA" w:rsidRPr="004D5B93">
        <w:t>exceeds</w:t>
      </w:r>
      <w:r w:rsidR="00C64050">
        <w:t xml:space="preserve"> </w:t>
      </w:r>
      <w:r w:rsidR="00465BBA" w:rsidRPr="004D5B93">
        <w:t>the</w:t>
      </w:r>
      <w:r w:rsidR="00C64050">
        <w:t xml:space="preserve"> </w:t>
      </w:r>
      <w:r w:rsidR="00465BBA" w:rsidRPr="004D5B93">
        <w:t>basis</w:t>
      </w:r>
      <w:r w:rsidR="00C64050">
        <w:t xml:space="preserve"> </w:t>
      </w:r>
      <w:r w:rsidR="00465BBA" w:rsidRPr="004D5B93">
        <w:t>as</w:t>
      </w:r>
      <w:r w:rsidR="00C64050">
        <w:t xml:space="preserve"> </w:t>
      </w:r>
      <w:r w:rsidR="00465BBA" w:rsidRPr="004D5B93">
        <w:t>determined</w:t>
      </w:r>
      <w:r w:rsidR="00C64050">
        <w:t xml:space="preserve"> </w:t>
      </w:r>
      <w:r w:rsidR="00465BBA" w:rsidRPr="004D5B93">
        <w:t>under</w:t>
      </w:r>
      <w:r w:rsidR="00C64050">
        <w:t xml:space="preserve"> </w:t>
      </w:r>
      <w:hyperlink r:id="rId85" w:anchor="co_pp_ae0d0000c5150" w:history="1">
        <w:r w:rsidR="00465BBA" w:rsidRPr="004D5B93">
          <w:t>section</w:t>
        </w:r>
        <w:r w:rsidR="00C64050">
          <w:t xml:space="preserve"> </w:t>
        </w:r>
        <w:r w:rsidR="00465BBA" w:rsidRPr="004D5B93">
          <w:t>1014(f)</w:t>
        </w:r>
      </w:hyperlink>
      <w:r w:rsidR="00465BBA" w:rsidRPr="004D5B93">
        <w:t>.</w:t>
      </w:r>
    </w:p>
    <w:p w:rsidR="00465BBA" w:rsidRDefault="00465BBA" w:rsidP="004D5B93">
      <w:pPr>
        <w:pStyle w:val="QS10"/>
      </w:pPr>
      <w:r w:rsidRPr="004D5B93">
        <w:t>Section</w:t>
      </w:r>
      <w:r w:rsidR="00C64050">
        <w:t xml:space="preserve"> </w:t>
      </w:r>
      <w:r w:rsidRPr="004D5B93">
        <w:t>2004(c)</w:t>
      </w:r>
      <w:r w:rsidR="00C64050">
        <w:t xml:space="preserve"> </w:t>
      </w:r>
      <w:r w:rsidRPr="004D5B93">
        <w:t>of</w:t>
      </w:r>
      <w:r w:rsidR="00C64050">
        <w:t xml:space="preserve"> </w:t>
      </w:r>
      <w:r w:rsidRPr="004D5B93">
        <w:t>the</w:t>
      </w:r>
      <w:r w:rsidR="00C64050">
        <w:t xml:space="preserve"> </w:t>
      </w:r>
      <w:r w:rsidRPr="004D5B93">
        <w:t>Act</w:t>
      </w:r>
      <w:r w:rsidR="00C64050">
        <w:t xml:space="preserve"> </w:t>
      </w:r>
      <w:r w:rsidRPr="004D5B93">
        <w:t>adds</w:t>
      </w:r>
      <w:r w:rsidR="00C64050">
        <w:t xml:space="preserve"> </w:t>
      </w:r>
      <w:r w:rsidRPr="004D5B93">
        <w:t>statements</w:t>
      </w:r>
      <w:r w:rsidR="00C64050">
        <w:t xml:space="preserve"> </w:t>
      </w:r>
      <w:r w:rsidRPr="004D5B93">
        <w:t>under</w:t>
      </w:r>
      <w:r w:rsidR="00C64050">
        <w:t xml:space="preserve"> </w:t>
      </w:r>
      <w:hyperlink r:id="rId86" w:history="1">
        <w:r w:rsidRPr="004D5B93">
          <w:t>section</w:t>
        </w:r>
        <w:r w:rsidR="00C64050">
          <w:t xml:space="preserve"> </w:t>
        </w:r>
        <w:r w:rsidRPr="004D5B93">
          <w:t>6035</w:t>
        </w:r>
      </w:hyperlink>
      <w:r w:rsidR="00C64050">
        <w:t xml:space="preserve"> </w:t>
      </w:r>
      <w:r w:rsidRPr="004D5B93">
        <w:t>to</w:t>
      </w:r>
      <w:r w:rsidR="00C64050">
        <w:t xml:space="preserve"> </w:t>
      </w:r>
      <w:r w:rsidRPr="004D5B93">
        <w:t>the</w:t>
      </w:r>
      <w:r w:rsidR="00C64050">
        <w:t xml:space="preserve"> </w:t>
      </w:r>
      <w:r w:rsidRPr="004D5B93">
        <w:t>list</w:t>
      </w:r>
      <w:r w:rsidR="00C64050">
        <w:t xml:space="preserve"> </w:t>
      </w:r>
      <w:r w:rsidRPr="004D5B93">
        <w:t>of</w:t>
      </w:r>
      <w:r w:rsidR="00C64050">
        <w:t xml:space="preserve"> </w:t>
      </w:r>
      <w:r w:rsidRPr="004D5B93">
        <w:t>information</w:t>
      </w:r>
      <w:r w:rsidR="00C64050">
        <w:t xml:space="preserve"> </w:t>
      </w:r>
      <w:r w:rsidRPr="004D5B93">
        <w:t>returns</w:t>
      </w:r>
      <w:r w:rsidR="00C64050">
        <w:t xml:space="preserve"> </w:t>
      </w:r>
      <w:r w:rsidRPr="004D5B93">
        <w:t>and</w:t>
      </w:r>
      <w:r w:rsidR="00C64050">
        <w:t xml:space="preserve"> </w:t>
      </w:r>
      <w:r w:rsidRPr="004D5B93">
        <w:t>payee</w:t>
      </w:r>
      <w:r w:rsidR="00C64050">
        <w:t xml:space="preserve"> </w:t>
      </w:r>
      <w:r w:rsidRPr="004D5B93">
        <w:t>statements</w:t>
      </w:r>
      <w:r w:rsidR="00C64050">
        <w:t xml:space="preserve"> </w:t>
      </w:r>
      <w:r w:rsidRPr="004D5B93">
        <w:t>subject</w:t>
      </w:r>
      <w:r w:rsidR="00C64050">
        <w:t xml:space="preserve"> </w:t>
      </w:r>
      <w:r w:rsidRPr="004D5B93">
        <w:t>to</w:t>
      </w:r>
      <w:r w:rsidR="00C64050">
        <w:t xml:space="preserve"> </w:t>
      </w:r>
      <w:r w:rsidRPr="004D5B93">
        <w:t>the</w:t>
      </w:r>
      <w:r w:rsidR="00C64050">
        <w:t xml:space="preserve"> </w:t>
      </w:r>
      <w:r w:rsidRPr="004D5B93">
        <w:t>penalties</w:t>
      </w:r>
      <w:r w:rsidR="00C64050">
        <w:t xml:space="preserve"> </w:t>
      </w:r>
      <w:r w:rsidRPr="004D5B93">
        <w:t>under</w:t>
      </w:r>
      <w:r w:rsidR="00C64050">
        <w:t xml:space="preserve"> </w:t>
      </w:r>
      <w:hyperlink r:id="rId87" w:history="1">
        <w:r w:rsidRPr="004D5B93">
          <w:t>section</w:t>
        </w:r>
        <w:r w:rsidR="00C64050">
          <w:t xml:space="preserve"> </w:t>
        </w:r>
        <w:r w:rsidRPr="004D5B93">
          <w:t>6721</w:t>
        </w:r>
      </w:hyperlink>
      <w:r w:rsidR="00C64050">
        <w:t xml:space="preserve"> </w:t>
      </w:r>
      <w:r w:rsidRPr="004D5B93">
        <w:t>and</w:t>
      </w:r>
      <w:r w:rsidR="00C64050">
        <w:t xml:space="preserve"> </w:t>
      </w:r>
      <w:hyperlink r:id="rId88" w:history="1">
        <w:r w:rsidRPr="004D5B93">
          <w:t>section</w:t>
        </w:r>
        <w:r w:rsidR="00C64050">
          <w:t xml:space="preserve"> </w:t>
        </w:r>
        <w:r w:rsidRPr="004D5B93">
          <w:t>6722</w:t>
        </w:r>
      </w:hyperlink>
      <w:r w:rsidRPr="004D5B93">
        <w:t>,</w:t>
      </w:r>
      <w:r w:rsidR="00C64050">
        <w:t xml:space="preserve"> </w:t>
      </w:r>
      <w:r w:rsidRPr="004D5B93">
        <w:t>respectively.</w:t>
      </w:r>
      <w:r w:rsidR="00C64050">
        <w:t xml:space="preserve"> </w:t>
      </w:r>
      <w:r w:rsidRPr="004D5B93">
        <w:t>Specifically,</w:t>
      </w:r>
      <w:r w:rsidR="00C64050">
        <w:t xml:space="preserve"> </w:t>
      </w:r>
      <w:r w:rsidRPr="004D5B93">
        <w:t>the</w:t>
      </w:r>
      <w:r w:rsidR="00C64050">
        <w:t xml:space="preserve"> </w:t>
      </w:r>
      <w:r w:rsidRPr="004D5B93">
        <w:t>Act</w:t>
      </w:r>
      <w:r w:rsidR="00C64050">
        <w:t xml:space="preserve"> </w:t>
      </w:r>
      <w:r w:rsidRPr="004D5B93">
        <w:t>adds</w:t>
      </w:r>
      <w:r w:rsidR="00C64050">
        <w:t xml:space="preserve"> </w:t>
      </w:r>
      <w:r w:rsidRPr="004D5B93">
        <w:t>new</w:t>
      </w:r>
      <w:r w:rsidR="00C64050">
        <w:t xml:space="preserve"> </w:t>
      </w:r>
      <w:r w:rsidRPr="004D5B93">
        <w:t>paragraph</w:t>
      </w:r>
      <w:r w:rsidR="00C64050">
        <w:t xml:space="preserve"> </w:t>
      </w:r>
      <w:r w:rsidRPr="004D5B93">
        <w:t>(D)</w:t>
      </w:r>
      <w:r w:rsidR="00C64050">
        <w:t xml:space="preserve"> </w:t>
      </w:r>
      <w:r w:rsidRPr="004D5B93">
        <w:t>to</w:t>
      </w:r>
      <w:r w:rsidR="00C64050">
        <w:t xml:space="preserve"> </w:t>
      </w:r>
      <w:hyperlink r:id="rId89" w:anchor="co_pp_e07e0000a9f57" w:history="1">
        <w:r w:rsidRPr="004D5B93">
          <w:t>section</w:t>
        </w:r>
        <w:r w:rsidR="00C64050">
          <w:t xml:space="preserve"> </w:t>
        </w:r>
        <w:r w:rsidRPr="004D5B93">
          <w:t>6724(d)(1)</w:t>
        </w:r>
      </w:hyperlink>
      <w:r w:rsidR="00C64050">
        <w:t xml:space="preserve"> </w:t>
      </w:r>
      <w:r w:rsidRPr="004D5B93">
        <w:t>to</w:t>
      </w:r>
      <w:r w:rsidR="00C64050">
        <w:t xml:space="preserve"> </w:t>
      </w:r>
      <w:r w:rsidRPr="004D5B93">
        <w:t>provide</w:t>
      </w:r>
      <w:r w:rsidR="00C64050">
        <w:t xml:space="preserve"> </w:t>
      </w:r>
      <w:r w:rsidRPr="004D5B93">
        <w:t>that</w:t>
      </w:r>
      <w:r w:rsidR="00C64050">
        <w:t xml:space="preserve"> </w:t>
      </w:r>
      <w:r w:rsidRPr="004D5B93">
        <w:t>the</w:t>
      </w:r>
      <w:r w:rsidR="00C64050">
        <w:t xml:space="preserve"> </w:t>
      </w:r>
      <w:r w:rsidRPr="004D5B93">
        <w:t>term</w:t>
      </w:r>
      <w:r w:rsidR="00C64050">
        <w:t xml:space="preserve"> </w:t>
      </w:r>
      <w:r w:rsidRPr="004D5B93">
        <w:t>information</w:t>
      </w:r>
      <w:r w:rsidR="00C64050">
        <w:t xml:space="preserve"> </w:t>
      </w:r>
      <w:r w:rsidRPr="004D5B93">
        <w:t>return</w:t>
      </w:r>
      <w:r w:rsidR="00C64050">
        <w:t xml:space="preserve"> </w:t>
      </w:r>
      <w:r w:rsidRPr="004D5B93">
        <w:t>means</w:t>
      </w:r>
      <w:r w:rsidR="00C64050">
        <w:t xml:space="preserve"> </w:t>
      </w:r>
      <w:r w:rsidRPr="004D5B93">
        <w:t>any</w:t>
      </w:r>
      <w:r w:rsidR="00C64050">
        <w:t xml:space="preserve"> </w:t>
      </w:r>
      <w:r w:rsidRPr="004D5B93">
        <w:t>statement</w:t>
      </w:r>
      <w:r w:rsidR="00C64050">
        <w:t xml:space="preserve"> </w:t>
      </w:r>
      <w:r w:rsidRPr="004D5B93">
        <w:t>required</w:t>
      </w:r>
      <w:r w:rsidR="00C64050">
        <w:t xml:space="preserve"> </w:t>
      </w:r>
      <w:r w:rsidRPr="004D5B93">
        <w:t>to</w:t>
      </w:r>
      <w:r w:rsidR="00C64050">
        <w:t xml:space="preserve"> </w:t>
      </w:r>
      <w:r w:rsidRPr="004D5B93">
        <w:t>be</w:t>
      </w:r>
      <w:r w:rsidR="00C64050">
        <w:t xml:space="preserve"> </w:t>
      </w:r>
      <w:r w:rsidRPr="004D5B93">
        <w:t>filed</w:t>
      </w:r>
      <w:r w:rsidR="00C64050">
        <w:t xml:space="preserve"> </w:t>
      </w:r>
      <w:r w:rsidRPr="004D5B93">
        <w:t>with</w:t>
      </w:r>
      <w:r w:rsidR="00C64050">
        <w:t xml:space="preserve"> </w:t>
      </w:r>
      <w:r w:rsidRPr="004D5B93">
        <w:t>the</w:t>
      </w:r>
      <w:r w:rsidR="00C64050">
        <w:t xml:space="preserve"> </w:t>
      </w:r>
      <w:r w:rsidRPr="004D5B93">
        <w:t>Secretary</w:t>
      </w:r>
      <w:r w:rsidR="00C64050">
        <w:t xml:space="preserve"> </w:t>
      </w:r>
      <w:r w:rsidRPr="004D5B93">
        <w:t>under</w:t>
      </w:r>
      <w:r w:rsidR="00C64050">
        <w:t xml:space="preserve"> </w:t>
      </w:r>
      <w:hyperlink r:id="rId90" w:history="1">
        <w:r w:rsidRPr="004D5B93">
          <w:t>section</w:t>
        </w:r>
        <w:r w:rsidR="00C64050">
          <w:t xml:space="preserve"> </w:t>
        </w:r>
        <w:r w:rsidRPr="004D5B93">
          <w:t>6035</w:t>
        </w:r>
      </w:hyperlink>
      <w:r w:rsidRPr="004D5B93">
        <w:t>.</w:t>
      </w:r>
      <w:r w:rsidR="00C64050">
        <w:t xml:space="preserve"> </w:t>
      </w:r>
      <w:r w:rsidRPr="004D5B93">
        <w:t>The</w:t>
      </w:r>
      <w:r w:rsidR="00C64050">
        <w:t xml:space="preserve"> </w:t>
      </w:r>
      <w:r w:rsidRPr="004D5B93">
        <w:t>Act</w:t>
      </w:r>
      <w:r w:rsidR="00C64050">
        <w:t xml:space="preserve"> </w:t>
      </w:r>
      <w:r w:rsidRPr="004D5B93">
        <w:t>also</w:t>
      </w:r>
      <w:r w:rsidR="00C64050">
        <w:t xml:space="preserve"> </w:t>
      </w:r>
      <w:r w:rsidRPr="004D5B93">
        <w:t>adds</w:t>
      </w:r>
      <w:r w:rsidR="00C64050">
        <w:t xml:space="preserve"> </w:t>
      </w:r>
      <w:r w:rsidRPr="004D5B93">
        <w:t>new</w:t>
      </w:r>
      <w:r w:rsidR="00C64050">
        <w:t xml:space="preserve"> </w:t>
      </w:r>
      <w:r w:rsidRPr="004D5B93">
        <w:t>paragraph</w:t>
      </w:r>
      <w:r w:rsidR="00C64050">
        <w:t xml:space="preserve"> </w:t>
      </w:r>
      <w:r w:rsidRPr="004D5B93">
        <w:t>(II)</w:t>
      </w:r>
      <w:r w:rsidR="00C64050">
        <w:t xml:space="preserve"> </w:t>
      </w:r>
      <w:r w:rsidRPr="004D5B93">
        <w:t>to</w:t>
      </w:r>
      <w:r w:rsidR="00C64050">
        <w:t xml:space="preserve"> </w:t>
      </w:r>
      <w:hyperlink r:id="rId91" w:anchor="co_pp_4be3000003be5" w:history="1">
        <w:r w:rsidRPr="004D5B93">
          <w:t>section</w:t>
        </w:r>
        <w:r w:rsidR="00C64050">
          <w:t xml:space="preserve"> </w:t>
        </w:r>
        <w:r w:rsidRPr="004D5B93">
          <w:t>6724(d)(2)</w:t>
        </w:r>
      </w:hyperlink>
      <w:r w:rsidR="00C64050">
        <w:t xml:space="preserve"> </w:t>
      </w:r>
      <w:r w:rsidRPr="004D5B93">
        <w:t>to</w:t>
      </w:r>
      <w:r w:rsidR="00C64050">
        <w:t xml:space="preserve"> </w:t>
      </w:r>
      <w:r w:rsidRPr="004D5B93">
        <w:t>provide</w:t>
      </w:r>
      <w:r w:rsidR="00C64050">
        <w:t xml:space="preserve"> </w:t>
      </w:r>
      <w:r w:rsidRPr="004D5B93">
        <w:t>that</w:t>
      </w:r>
      <w:r w:rsidR="00C64050">
        <w:t xml:space="preserve"> </w:t>
      </w:r>
      <w:r w:rsidRPr="004D5B93">
        <w:t>the</w:t>
      </w:r>
      <w:r w:rsidR="00C64050">
        <w:t xml:space="preserve"> </w:t>
      </w:r>
      <w:r w:rsidRPr="004D5B93">
        <w:t>term</w:t>
      </w:r>
      <w:r w:rsidR="00C64050">
        <w:t xml:space="preserve"> </w:t>
      </w:r>
      <w:r w:rsidRPr="004D5B93">
        <w:t>payee</w:t>
      </w:r>
      <w:r w:rsidR="00C64050">
        <w:t xml:space="preserve"> </w:t>
      </w:r>
      <w:r w:rsidRPr="004D5B93">
        <w:t>statement</w:t>
      </w:r>
      <w:r w:rsidR="00C64050">
        <w:t xml:space="preserve"> </w:t>
      </w:r>
      <w:r w:rsidRPr="004D5B93">
        <w:t>means</w:t>
      </w:r>
      <w:r w:rsidR="00C64050">
        <w:t xml:space="preserve"> </w:t>
      </w:r>
      <w:r w:rsidRPr="004D5B93">
        <w:t>any</w:t>
      </w:r>
      <w:r w:rsidR="00C64050">
        <w:t xml:space="preserve"> </w:t>
      </w:r>
      <w:r w:rsidRPr="004D5B93">
        <w:t>statement</w:t>
      </w:r>
      <w:r w:rsidR="00C64050">
        <w:t xml:space="preserve"> </w:t>
      </w:r>
      <w:r w:rsidRPr="004D5B93">
        <w:t>required</w:t>
      </w:r>
      <w:r w:rsidR="00C64050">
        <w:t xml:space="preserve"> </w:t>
      </w:r>
      <w:r w:rsidRPr="004D5B93">
        <w:t>to</w:t>
      </w:r>
      <w:r w:rsidR="00C64050">
        <w:t xml:space="preserve"> </w:t>
      </w:r>
      <w:r w:rsidRPr="004D5B93">
        <w:t>be</w:t>
      </w:r>
      <w:r w:rsidR="00C64050">
        <w:t xml:space="preserve"> </w:t>
      </w:r>
      <w:r w:rsidRPr="004D5B93">
        <w:t>furnished</w:t>
      </w:r>
      <w:r w:rsidR="00C64050">
        <w:t xml:space="preserve"> </w:t>
      </w:r>
      <w:r w:rsidRPr="004D5B93">
        <w:t>under</w:t>
      </w:r>
      <w:r w:rsidR="00C64050">
        <w:t xml:space="preserve"> </w:t>
      </w:r>
      <w:hyperlink r:id="rId92" w:history="1">
        <w:r w:rsidRPr="004D5B93">
          <w:t>section</w:t>
        </w:r>
        <w:r w:rsidR="00C64050">
          <w:t xml:space="preserve"> </w:t>
        </w:r>
        <w:r w:rsidRPr="004D5B93">
          <w:t>6035</w:t>
        </w:r>
      </w:hyperlink>
      <w:r w:rsidR="00C64050">
        <w:t xml:space="preserve"> </w:t>
      </w:r>
      <w:r w:rsidRPr="004D5B93">
        <w:t>(other</w:t>
      </w:r>
      <w:r w:rsidR="00C64050">
        <w:t xml:space="preserve"> </w:t>
      </w:r>
      <w:r w:rsidRPr="004D5B93">
        <w:t>than</w:t>
      </w:r>
      <w:r w:rsidR="00C64050">
        <w:t xml:space="preserve"> </w:t>
      </w:r>
      <w:r w:rsidRPr="004D5B93">
        <w:t>a</w:t>
      </w:r>
      <w:r w:rsidR="00C64050">
        <w:t xml:space="preserve"> </w:t>
      </w:r>
      <w:r w:rsidRPr="004D5B93">
        <w:t>statement</w:t>
      </w:r>
      <w:r w:rsidR="00C64050">
        <w:t xml:space="preserve"> </w:t>
      </w:r>
      <w:r w:rsidRPr="004D5B93">
        <w:t>described</w:t>
      </w:r>
      <w:r w:rsidR="00C64050">
        <w:t xml:space="preserve"> </w:t>
      </w:r>
      <w:r w:rsidRPr="004D5B93">
        <w:t>in</w:t>
      </w:r>
      <w:r w:rsidR="00C64050">
        <w:t xml:space="preserve"> </w:t>
      </w:r>
      <w:hyperlink r:id="rId93" w:anchor="co_pp_dff00000c8783" w:history="1">
        <w:r w:rsidRPr="004D5B93">
          <w:t>section</w:t>
        </w:r>
        <w:r w:rsidR="00C64050">
          <w:t xml:space="preserve"> </w:t>
        </w:r>
        <w:r w:rsidRPr="004D5B93">
          <w:t>6724(d)(1)(D)</w:t>
        </w:r>
      </w:hyperlink>
      <w:r w:rsidRPr="004D5B93">
        <w:t>).</w:t>
      </w:r>
    </w:p>
    <w:p w:rsidR="001D26FD" w:rsidRPr="001D26FD" w:rsidRDefault="001D26FD" w:rsidP="006800BE">
      <w:pPr>
        <w:pStyle w:val="Heading20"/>
        <w:tabs>
          <w:tab w:val="clear" w:pos="2700"/>
          <w:tab w:val="num" w:pos="1440"/>
        </w:tabs>
        <w:ind w:left="0"/>
        <w:rPr>
          <w:vanish/>
          <w:specVanish/>
        </w:rPr>
      </w:pPr>
      <w:bookmarkStart w:id="90" w:name="_Toc94704615"/>
      <w:r>
        <w:rPr>
          <w:b/>
          <w:u w:val="single"/>
        </w:rPr>
        <w:t>Termination</w:t>
      </w:r>
      <w:r w:rsidR="00C64050">
        <w:rPr>
          <w:b/>
          <w:u w:val="single"/>
        </w:rPr>
        <w:t xml:space="preserve"> </w:t>
      </w:r>
      <w:r>
        <w:rPr>
          <w:b/>
          <w:u w:val="single"/>
        </w:rPr>
        <w:t>of</w:t>
      </w:r>
      <w:r w:rsidR="00C64050">
        <w:rPr>
          <w:b/>
          <w:u w:val="single"/>
        </w:rPr>
        <w:t xml:space="preserve"> </w:t>
      </w:r>
      <w:r>
        <w:rPr>
          <w:b/>
          <w:u w:val="single"/>
        </w:rPr>
        <w:t>Trust</w:t>
      </w:r>
      <w:r w:rsidR="00C64050">
        <w:rPr>
          <w:b/>
          <w:u w:val="single"/>
        </w:rPr>
        <w:t xml:space="preserve"> </w:t>
      </w:r>
      <w:r>
        <w:rPr>
          <w:b/>
          <w:u w:val="single"/>
        </w:rPr>
        <w:t>Results</w:t>
      </w:r>
      <w:r w:rsidR="00C64050">
        <w:rPr>
          <w:b/>
          <w:u w:val="single"/>
        </w:rPr>
        <w:t xml:space="preserve"> </w:t>
      </w:r>
      <w:r>
        <w:rPr>
          <w:b/>
          <w:u w:val="single"/>
        </w:rPr>
        <w:t>In</w:t>
      </w:r>
      <w:r w:rsidR="00C64050">
        <w:rPr>
          <w:b/>
          <w:u w:val="single"/>
        </w:rPr>
        <w:t xml:space="preserve"> </w:t>
      </w:r>
      <w:r>
        <w:rPr>
          <w:b/>
          <w:u w:val="single"/>
        </w:rPr>
        <w:t>Capital</w:t>
      </w:r>
      <w:r w:rsidR="00C64050">
        <w:rPr>
          <w:b/>
          <w:u w:val="single"/>
        </w:rPr>
        <w:t xml:space="preserve"> </w:t>
      </w:r>
      <w:r>
        <w:rPr>
          <w:b/>
          <w:u w:val="single"/>
        </w:rPr>
        <w:t>Gains</w:t>
      </w:r>
      <w:bookmarkEnd w:id="90"/>
    </w:p>
    <w:p w:rsidR="001D26FD" w:rsidRDefault="001D26FD" w:rsidP="001D26FD">
      <w:pPr>
        <w:pStyle w:val="Heading2Body"/>
      </w:pPr>
      <w:r>
        <w:t>.</w:t>
      </w:r>
      <w:r w:rsidR="00C64050">
        <w:t xml:space="preserve">  </w:t>
      </w:r>
      <w:r>
        <w:t>In</w:t>
      </w:r>
      <w:r w:rsidR="00C64050">
        <w:t xml:space="preserve"> </w:t>
      </w:r>
      <w:r>
        <w:t>PLR</w:t>
      </w:r>
      <w:r w:rsidR="00C64050">
        <w:t xml:space="preserve"> </w:t>
      </w:r>
      <w:r w:rsidR="00A355BE">
        <w:t>201932001</w:t>
      </w:r>
      <w:r w:rsidR="00C64050">
        <w:t xml:space="preserve"> </w:t>
      </w:r>
      <w:r w:rsidR="00A355BE">
        <w:t>the</w:t>
      </w:r>
      <w:r w:rsidR="00C64050">
        <w:t xml:space="preserve"> </w:t>
      </w:r>
      <w:r w:rsidR="00A355BE">
        <w:t>IRS</w:t>
      </w:r>
      <w:r w:rsidR="00C64050">
        <w:t xml:space="preserve"> </w:t>
      </w:r>
      <w:r w:rsidR="00A355BE">
        <w:t>considered</w:t>
      </w:r>
      <w:r w:rsidR="00C64050">
        <w:t xml:space="preserve"> </w:t>
      </w:r>
      <w:r w:rsidR="00A355BE">
        <w:t>the</w:t>
      </w:r>
      <w:r w:rsidR="00C64050">
        <w:t xml:space="preserve"> </w:t>
      </w:r>
      <w:r w:rsidR="00A355BE">
        <w:t>termination</w:t>
      </w:r>
      <w:r w:rsidR="00C64050">
        <w:t xml:space="preserve"> </w:t>
      </w:r>
      <w:r w:rsidR="00A355BE">
        <w:t>of</w:t>
      </w:r>
      <w:r w:rsidR="00C64050">
        <w:t xml:space="preserve"> </w:t>
      </w:r>
      <w:r w:rsidR="00A355BE">
        <w:t>a</w:t>
      </w:r>
      <w:r w:rsidR="00C64050">
        <w:t xml:space="preserve"> </w:t>
      </w:r>
      <w:r w:rsidR="00BD5405">
        <w:t>trust</w:t>
      </w:r>
      <w:r w:rsidR="00C64050">
        <w:t xml:space="preserve"> </w:t>
      </w:r>
      <w:r w:rsidR="00BD5405">
        <w:t>a</w:t>
      </w:r>
      <w:r w:rsidR="00A355BE">
        <w:t>long</w:t>
      </w:r>
      <w:r w:rsidR="00C64050">
        <w:t xml:space="preserve"> </w:t>
      </w:r>
      <w:r w:rsidR="00BD5405">
        <w:t>actuarial</w:t>
      </w:r>
      <w:r w:rsidR="00C64050">
        <w:t xml:space="preserve"> </w:t>
      </w:r>
      <w:r w:rsidR="00A355BE">
        <w:t>lines.</w:t>
      </w:r>
      <w:r w:rsidR="00C64050">
        <w:t xml:space="preserve">  </w:t>
      </w:r>
      <w:r w:rsidR="00A355BE">
        <w:t>The</w:t>
      </w:r>
      <w:r w:rsidR="00C64050">
        <w:t xml:space="preserve"> </w:t>
      </w:r>
      <w:r w:rsidR="00A355BE">
        <w:t>facts</w:t>
      </w:r>
      <w:r w:rsidR="00C64050">
        <w:t xml:space="preserve"> </w:t>
      </w:r>
      <w:r w:rsidR="00A355BE">
        <w:t>presented</w:t>
      </w:r>
      <w:r w:rsidR="00C64050">
        <w:t xml:space="preserve"> </w:t>
      </w:r>
      <w:r w:rsidR="00A355BE">
        <w:t>were:</w:t>
      </w:r>
    </w:p>
    <w:p w:rsidR="00A355BE" w:rsidRPr="00A355BE" w:rsidRDefault="00A355BE" w:rsidP="00A355BE">
      <w:pPr>
        <w:pStyle w:val="QS10"/>
      </w:pPr>
      <w:r w:rsidRPr="00A355BE">
        <w:t>On</w:t>
      </w:r>
      <w:r w:rsidR="00C64050">
        <w:t xml:space="preserve"> </w:t>
      </w:r>
      <w:r w:rsidRPr="00A355BE">
        <w:t>Date</w:t>
      </w:r>
      <w:r w:rsidR="00C64050">
        <w:t xml:space="preserve"> </w:t>
      </w:r>
      <w:r w:rsidRPr="00A355BE">
        <w:t>1,</w:t>
      </w:r>
      <w:r w:rsidR="00C64050">
        <w:t xml:space="preserve"> </w:t>
      </w:r>
      <w:r w:rsidRPr="00A355BE">
        <w:t>a</w:t>
      </w:r>
      <w:r w:rsidR="00C64050">
        <w:t xml:space="preserve"> </w:t>
      </w:r>
      <w:r w:rsidRPr="00A355BE">
        <w:t>date</w:t>
      </w:r>
      <w:r w:rsidR="00C64050">
        <w:t xml:space="preserve"> </w:t>
      </w:r>
      <w:r w:rsidRPr="00A355BE">
        <w:t>prior</w:t>
      </w:r>
      <w:r w:rsidR="00C64050">
        <w:t xml:space="preserve"> </w:t>
      </w:r>
      <w:r w:rsidRPr="00A355BE">
        <w:t>to</w:t>
      </w:r>
      <w:r w:rsidR="00C64050">
        <w:t xml:space="preserve"> </w:t>
      </w:r>
      <w:r w:rsidRPr="00A355BE">
        <w:t>September</w:t>
      </w:r>
      <w:r w:rsidR="00C64050">
        <w:t xml:space="preserve"> </w:t>
      </w:r>
      <w:r w:rsidRPr="00A355BE">
        <w:t>25,</w:t>
      </w:r>
      <w:r w:rsidR="00C64050">
        <w:t xml:space="preserve"> </w:t>
      </w:r>
      <w:r w:rsidRPr="00A355BE">
        <w:t>1985,</w:t>
      </w:r>
      <w:r w:rsidR="00C64050">
        <w:t xml:space="preserve"> </w:t>
      </w:r>
      <w:r w:rsidRPr="00A355BE">
        <w:t>Settlor</w:t>
      </w:r>
      <w:r w:rsidR="00C64050">
        <w:t xml:space="preserve"> </w:t>
      </w:r>
      <w:r w:rsidRPr="00A355BE">
        <w:t>created</w:t>
      </w:r>
      <w:r w:rsidR="00C64050">
        <w:t xml:space="preserve"> </w:t>
      </w:r>
      <w:r w:rsidRPr="00A355BE">
        <w:t>an</w:t>
      </w:r>
      <w:r w:rsidR="00C64050">
        <w:t xml:space="preserve"> </w:t>
      </w:r>
      <w:r w:rsidRPr="00A355BE">
        <w:t>irrevocable</w:t>
      </w:r>
      <w:r w:rsidR="00C64050">
        <w:t xml:space="preserve"> </w:t>
      </w:r>
      <w:r w:rsidRPr="00A355BE">
        <w:t>trust,</w:t>
      </w:r>
      <w:r w:rsidR="00C64050">
        <w:t xml:space="preserve"> </w:t>
      </w:r>
      <w:r w:rsidRPr="00A355BE">
        <w:t>Trust,</w:t>
      </w:r>
      <w:r w:rsidR="00C64050">
        <w:t xml:space="preserve"> </w:t>
      </w:r>
      <w:r w:rsidRPr="00A355BE">
        <w:t>for</w:t>
      </w:r>
      <w:r w:rsidR="00C64050">
        <w:t xml:space="preserve"> </w:t>
      </w:r>
      <w:r w:rsidRPr="00A355BE">
        <w:t>the</w:t>
      </w:r>
      <w:r w:rsidR="00C64050">
        <w:t xml:space="preserve"> </w:t>
      </w:r>
      <w:r w:rsidRPr="00A355BE">
        <w:t>benefit</w:t>
      </w:r>
      <w:r w:rsidR="00C64050">
        <w:t xml:space="preserve"> </w:t>
      </w:r>
      <w:r w:rsidRPr="00A355BE">
        <w:t>of</w:t>
      </w:r>
      <w:r w:rsidR="00C64050">
        <w:t xml:space="preserve"> </w:t>
      </w:r>
      <w:r w:rsidRPr="00A355BE">
        <w:t>Son.</w:t>
      </w:r>
      <w:r w:rsidR="00C64050">
        <w:t xml:space="preserve"> </w:t>
      </w:r>
      <w:r w:rsidRPr="00A355BE">
        <w:t>The</w:t>
      </w:r>
      <w:r w:rsidR="00C64050">
        <w:t xml:space="preserve"> </w:t>
      </w:r>
      <w:r w:rsidRPr="00A355BE">
        <w:t>material</w:t>
      </w:r>
      <w:r w:rsidR="00C64050">
        <w:t xml:space="preserve"> </w:t>
      </w:r>
      <w:r w:rsidRPr="00A355BE">
        <w:t>purpose</w:t>
      </w:r>
      <w:r w:rsidR="00C64050">
        <w:t xml:space="preserve"> </w:t>
      </w:r>
      <w:r w:rsidRPr="00A355BE">
        <w:t>of</w:t>
      </w:r>
      <w:r w:rsidR="00C64050">
        <w:t xml:space="preserve"> </w:t>
      </w:r>
      <w:r w:rsidRPr="00A355BE">
        <w:t>Trust</w:t>
      </w:r>
      <w:r w:rsidR="00C64050">
        <w:t xml:space="preserve"> </w:t>
      </w:r>
      <w:r w:rsidRPr="00A355BE">
        <w:t>was</w:t>
      </w:r>
      <w:r w:rsidR="00C64050">
        <w:t xml:space="preserve"> </w:t>
      </w:r>
      <w:r w:rsidRPr="00A355BE">
        <w:t>to</w:t>
      </w:r>
      <w:r w:rsidR="00C64050">
        <w:t xml:space="preserve"> </w:t>
      </w:r>
      <w:r w:rsidRPr="00A355BE">
        <w:t>ensure</w:t>
      </w:r>
      <w:r w:rsidR="00C64050">
        <w:t xml:space="preserve"> </w:t>
      </w:r>
      <w:r w:rsidRPr="00A355BE">
        <w:t>that</w:t>
      </w:r>
      <w:r w:rsidR="00C64050">
        <w:t xml:space="preserve"> </w:t>
      </w:r>
      <w:r w:rsidRPr="00A355BE">
        <w:t>Son</w:t>
      </w:r>
      <w:r w:rsidR="00C64050">
        <w:t xml:space="preserve"> </w:t>
      </w:r>
      <w:r w:rsidRPr="00A355BE">
        <w:t>receive</w:t>
      </w:r>
      <w:r w:rsidR="00C64050">
        <w:t xml:space="preserve"> </w:t>
      </w:r>
      <w:r w:rsidRPr="00A355BE">
        <w:t>an</w:t>
      </w:r>
      <w:r w:rsidR="00C64050">
        <w:t xml:space="preserve"> </w:t>
      </w:r>
      <w:r w:rsidRPr="00A355BE">
        <w:t>income</w:t>
      </w:r>
      <w:r w:rsidR="00C64050">
        <w:t xml:space="preserve"> </w:t>
      </w:r>
      <w:r w:rsidRPr="00A355BE">
        <w:t>stream</w:t>
      </w:r>
      <w:r w:rsidR="00C64050">
        <w:t xml:space="preserve"> </w:t>
      </w:r>
      <w:r w:rsidRPr="00A355BE">
        <w:t>for</w:t>
      </w:r>
      <w:r w:rsidR="00C64050">
        <w:t xml:space="preserve"> </w:t>
      </w:r>
      <w:r w:rsidRPr="00A355BE">
        <w:t>his</w:t>
      </w:r>
      <w:r w:rsidR="00C64050">
        <w:t xml:space="preserve"> </w:t>
      </w:r>
      <w:r w:rsidRPr="00A355BE">
        <w:t>support.</w:t>
      </w:r>
      <w:r w:rsidR="00C64050">
        <w:t xml:space="preserve"> </w:t>
      </w:r>
      <w:r w:rsidRPr="00A355BE">
        <w:t>Under</w:t>
      </w:r>
      <w:r w:rsidR="00C64050">
        <w:t xml:space="preserve"> </w:t>
      </w:r>
      <w:r w:rsidRPr="00A355BE">
        <w:t>the</w:t>
      </w:r>
      <w:r w:rsidR="00C64050">
        <w:t xml:space="preserve"> </w:t>
      </w:r>
      <w:r w:rsidRPr="00A355BE">
        <w:t>terms</w:t>
      </w:r>
      <w:r w:rsidR="00C64050">
        <w:t xml:space="preserve"> </w:t>
      </w:r>
      <w:r w:rsidRPr="00A355BE">
        <w:t>of</w:t>
      </w:r>
      <w:r w:rsidR="00C64050">
        <w:t xml:space="preserve"> </w:t>
      </w:r>
      <w:r w:rsidRPr="00A355BE">
        <w:t>the</w:t>
      </w:r>
      <w:r w:rsidR="00C64050">
        <w:t xml:space="preserve"> </w:t>
      </w:r>
      <w:r w:rsidRPr="00A355BE">
        <w:t>Trust</w:t>
      </w:r>
      <w:r w:rsidR="00C64050">
        <w:t xml:space="preserve"> </w:t>
      </w:r>
      <w:r w:rsidRPr="00A355BE">
        <w:t>agreement,</w:t>
      </w:r>
      <w:r w:rsidR="00C64050">
        <w:t xml:space="preserve"> </w:t>
      </w:r>
      <w:r w:rsidRPr="00A355BE">
        <w:t>the</w:t>
      </w:r>
      <w:r w:rsidR="00C64050">
        <w:t xml:space="preserve"> </w:t>
      </w:r>
      <w:r w:rsidRPr="00A355BE">
        <w:t>trustees</w:t>
      </w:r>
      <w:r w:rsidR="00C64050">
        <w:t xml:space="preserve"> </w:t>
      </w:r>
      <w:r w:rsidRPr="00A355BE">
        <w:t>are</w:t>
      </w:r>
      <w:r w:rsidR="00C64050">
        <w:t xml:space="preserve"> </w:t>
      </w:r>
      <w:r w:rsidRPr="00A355BE">
        <w:t>required</w:t>
      </w:r>
      <w:r w:rsidR="00C64050">
        <w:t xml:space="preserve"> </w:t>
      </w:r>
      <w:r w:rsidRPr="00A355BE">
        <w:t>to</w:t>
      </w:r>
      <w:r w:rsidR="00C64050">
        <w:t xml:space="preserve"> </w:t>
      </w:r>
      <w:r w:rsidRPr="00A355BE">
        <w:t>distribute</w:t>
      </w:r>
      <w:r w:rsidR="00C64050">
        <w:t xml:space="preserve"> </w:t>
      </w:r>
      <w:r w:rsidRPr="00A355BE">
        <w:t>all</w:t>
      </w:r>
      <w:r w:rsidR="00C64050">
        <w:t xml:space="preserve"> </w:t>
      </w:r>
      <w:r w:rsidRPr="00A355BE">
        <w:t>of</w:t>
      </w:r>
      <w:r w:rsidR="00C64050">
        <w:t xml:space="preserve"> </w:t>
      </w:r>
      <w:r w:rsidRPr="00A355BE">
        <w:t>the</w:t>
      </w:r>
      <w:r w:rsidR="00C64050">
        <w:t xml:space="preserve"> </w:t>
      </w:r>
      <w:r w:rsidRPr="00A355BE">
        <w:t>net</w:t>
      </w:r>
      <w:r w:rsidR="00C64050">
        <w:t xml:space="preserve"> </w:t>
      </w:r>
      <w:r w:rsidRPr="00A355BE">
        <w:t>income</w:t>
      </w:r>
      <w:r w:rsidR="00C64050">
        <w:t xml:space="preserve"> </w:t>
      </w:r>
      <w:r w:rsidRPr="00A355BE">
        <w:t>of</w:t>
      </w:r>
      <w:r w:rsidR="00C64050">
        <w:t xml:space="preserve"> </w:t>
      </w:r>
      <w:r w:rsidRPr="00A355BE">
        <w:t>Trust</w:t>
      </w:r>
      <w:r w:rsidR="00C64050">
        <w:t xml:space="preserve"> </w:t>
      </w:r>
      <w:r w:rsidRPr="00A355BE">
        <w:t>to</w:t>
      </w:r>
      <w:r w:rsidR="00C64050">
        <w:t xml:space="preserve"> </w:t>
      </w:r>
      <w:r w:rsidRPr="00A355BE">
        <w:t>Son,</w:t>
      </w:r>
      <w:r w:rsidR="00C64050">
        <w:t xml:space="preserve"> </w:t>
      </w:r>
      <w:r w:rsidRPr="00A355BE">
        <w:t>and,</w:t>
      </w:r>
      <w:r w:rsidR="00C64050">
        <w:t xml:space="preserve"> </w:t>
      </w:r>
      <w:r w:rsidRPr="00A355BE">
        <w:t>upon</w:t>
      </w:r>
      <w:r w:rsidR="00C64050">
        <w:t xml:space="preserve"> </w:t>
      </w:r>
      <w:r w:rsidRPr="00A355BE">
        <w:t>his</w:t>
      </w:r>
      <w:r w:rsidR="00C64050">
        <w:t xml:space="preserve"> </w:t>
      </w:r>
      <w:r w:rsidRPr="00A355BE">
        <w:t>death,</w:t>
      </w:r>
      <w:r w:rsidR="00C64050">
        <w:t xml:space="preserve"> </w:t>
      </w:r>
      <w:r w:rsidRPr="00A355BE">
        <w:t>distribute</w:t>
      </w:r>
      <w:r w:rsidR="00C64050">
        <w:t xml:space="preserve"> </w:t>
      </w:r>
      <w:r w:rsidRPr="00A355BE">
        <w:t>the</w:t>
      </w:r>
      <w:r w:rsidR="00C64050">
        <w:t xml:space="preserve"> </w:t>
      </w:r>
      <w:r w:rsidRPr="00A355BE">
        <w:t>remainder</w:t>
      </w:r>
      <w:r w:rsidR="00C64050">
        <w:t xml:space="preserve"> </w:t>
      </w:r>
      <w:r w:rsidRPr="00A355BE">
        <w:t>to</w:t>
      </w:r>
      <w:r w:rsidR="00C64050">
        <w:t xml:space="preserve"> </w:t>
      </w:r>
      <w:r w:rsidRPr="00A355BE">
        <w:t>his</w:t>
      </w:r>
      <w:r w:rsidR="00C64050">
        <w:t xml:space="preserve"> </w:t>
      </w:r>
      <w:r w:rsidRPr="00A355BE">
        <w:t>issue,</w:t>
      </w:r>
      <w:r w:rsidR="00C64050">
        <w:t xml:space="preserve"> </w:t>
      </w:r>
      <w:r w:rsidRPr="00A355BE">
        <w:rPr>
          <w:u w:val="single"/>
        </w:rPr>
        <w:t>per</w:t>
      </w:r>
      <w:r w:rsidR="00C64050">
        <w:rPr>
          <w:u w:val="single"/>
        </w:rPr>
        <w:t xml:space="preserve"> </w:t>
      </w:r>
      <w:r w:rsidRPr="00A355BE">
        <w:rPr>
          <w:u w:val="single"/>
        </w:rPr>
        <w:t>stirpes</w:t>
      </w:r>
      <w:r w:rsidRPr="00A355BE">
        <w:t>.</w:t>
      </w:r>
      <w:r w:rsidR="00C64050">
        <w:t xml:space="preserve"> </w:t>
      </w:r>
      <w:r w:rsidRPr="00A355BE">
        <w:t>The</w:t>
      </w:r>
      <w:r w:rsidR="00C64050">
        <w:t xml:space="preserve"> </w:t>
      </w:r>
      <w:r w:rsidRPr="00A355BE">
        <w:t>Trust</w:t>
      </w:r>
      <w:r w:rsidR="00C64050">
        <w:t xml:space="preserve"> </w:t>
      </w:r>
      <w:r w:rsidRPr="00A355BE">
        <w:t>agreement</w:t>
      </w:r>
      <w:r w:rsidR="00C64050">
        <w:t xml:space="preserve"> </w:t>
      </w:r>
      <w:r w:rsidRPr="00A355BE">
        <w:t>does</w:t>
      </w:r>
      <w:r w:rsidR="00C64050">
        <w:t xml:space="preserve"> </w:t>
      </w:r>
      <w:r w:rsidRPr="00A355BE">
        <w:t>not</w:t>
      </w:r>
      <w:r w:rsidR="00C64050">
        <w:t xml:space="preserve"> </w:t>
      </w:r>
      <w:r w:rsidRPr="00A355BE">
        <w:t>authorize</w:t>
      </w:r>
      <w:r w:rsidR="00C64050">
        <w:t xml:space="preserve"> </w:t>
      </w:r>
      <w:r w:rsidRPr="00A355BE">
        <w:t>any</w:t>
      </w:r>
      <w:r w:rsidR="00C64050">
        <w:t xml:space="preserve"> </w:t>
      </w:r>
      <w:r w:rsidRPr="00A355BE">
        <w:t>distributions</w:t>
      </w:r>
      <w:r w:rsidR="00C64050">
        <w:t xml:space="preserve"> </w:t>
      </w:r>
      <w:r w:rsidRPr="00A355BE">
        <w:t>of</w:t>
      </w:r>
      <w:r w:rsidR="00C64050">
        <w:t xml:space="preserve"> </w:t>
      </w:r>
      <w:r w:rsidRPr="00A355BE">
        <w:t>principal</w:t>
      </w:r>
      <w:r w:rsidR="00C64050">
        <w:t xml:space="preserve"> </w:t>
      </w:r>
      <w:r w:rsidRPr="00A355BE">
        <w:t>during</w:t>
      </w:r>
      <w:r w:rsidR="00C64050">
        <w:t xml:space="preserve"> </w:t>
      </w:r>
      <w:r w:rsidRPr="00A355BE">
        <w:t>Son's</w:t>
      </w:r>
      <w:r w:rsidR="00C64050">
        <w:t xml:space="preserve"> </w:t>
      </w:r>
      <w:r w:rsidRPr="00A355BE">
        <w:t>life.</w:t>
      </w:r>
      <w:r w:rsidR="00C64050">
        <w:t xml:space="preserve"> </w:t>
      </w:r>
      <w:r w:rsidRPr="00A355BE">
        <w:t>Son</w:t>
      </w:r>
      <w:r w:rsidR="00C64050">
        <w:t xml:space="preserve"> </w:t>
      </w:r>
      <w:r w:rsidRPr="00A355BE">
        <w:t>has</w:t>
      </w:r>
      <w:r w:rsidR="00C64050">
        <w:t xml:space="preserve"> </w:t>
      </w:r>
      <w:r w:rsidRPr="00A355BE">
        <w:t>four</w:t>
      </w:r>
      <w:r w:rsidR="00C64050">
        <w:t xml:space="preserve"> </w:t>
      </w:r>
      <w:r w:rsidRPr="00A355BE">
        <w:t>living</w:t>
      </w:r>
      <w:r w:rsidR="00C64050">
        <w:t xml:space="preserve"> </w:t>
      </w:r>
      <w:r w:rsidRPr="00A355BE">
        <w:t>adult</w:t>
      </w:r>
      <w:r w:rsidR="00C64050">
        <w:t xml:space="preserve"> </w:t>
      </w:r>
      <w:r w:rsidRPr="00A355BE">
        <w:t>children</w:t>
      </w:r>
      <w:r w:rsidR="00C64050">
        <w:t xml:space="preserve"> </w:t>
      </w:r>
      <w:r w:rsidRPr="00A355BE">
        <w:t>(Current</w:t>
      </w:r>
      <w:r w:rsidR="00C64050">
        <w:t xml:space="preserve"> </w:t>
      </w:r>
      <w:r w:rsidRPr="00A355BE">
        <w:t>Remaindermen)</w:t>
      </w:r>
      <w:r w:rsidR="00C64050">
        <w:t xml:space="preserve"> </w:t>
      </w:r>
      <w:r w:rsidRPr="00A355BE">
        <w:t>and</w:t>
      </w:r>
      <w:r w:rsidR="00C64050">
        <w:t xml:space="preserve"> </w:t>
      </w:r>
      <w:r w:rsidRPr="00A355BE">
        <w:t>eight</w:t>
      </w:r>
      <w:r w:rsidR="00C64050">
        <w:t xml:space="preserve"> </w:t>
      </w:r>
      <w:r w:rsidRPr="00A355BE">
        <w:t>living</w:t>
      </w:r>
      <w:r w:rsidR="00C64050">
        <w:t xml:space="preserve"> </w:t>
      </w:r>
      <w:r w:rsidRPr="00A355BE">
        <w:t>grandchildren,</w:t>
      </w:r>
      <w:r w:rsidR="00C64050">
        <w:t xml:space="preserve"> </w:t>
      </w:r>
      <w:r w:rsidRPr="00A355BE">
        <w:t>four</w:t>
      </w:r>
      <w:r w:rsidR="00C64050">
        <w:t xml:space="preserve"> </w:t>
      </w:r>
      <w:r w:rsidRPr="00A355BE">
        <w:t>of</w:t>
      </w:r>
      <w:r w:rsidR="00C64050">
        <w:t xml:space="preserve"> </w:t>
      </w:r>
      <w:r w:rsidRPr="00A355BE">
        <w:t>whom</w:t>
      </w:r>
      <w:r w:rsidR="00C64050">
        <w:t xml:space="preserve"> </w:t>
      </w:r>
      <w:r w:rsidRPr="00A355BE">
        <w:t>are</w:t>
      </w:r>
      <w:r w:rsidR="00C64050">
        <w:t xml:space="preserve"> </w:t>
      </w:r>
      <w:r w:rsidRPr="00A355BE">
        <w:t>adults</w:t>
      </w:r>
      <w:r w:rsidR="00C64050">
        <w:t xml:space="preserve"> </w:t>
      </w:r>
      <w:r w:rsidRPr="00A355BE">
        <w:t>(Successor</w:t>
      </w:r>
      <w:r w:rsidR="00C64050">
        <w:t xml:space="preserve"> </w:t>
      </w:r>
      <w:r w:rsidRPr="00A355BE">
        <w:t>Remaindermen).</w:t>
      </w:r>
      <w:r w:rsidR="00C64050">
        <w:t xml:space="preserve"> </w:t>
      </w:r>
      <w:r w:rsidRPr="00A355BE">
        <w:t>None</w:t>
      </w:r>
      <w:r w:rsidR="00C64050">
        <w:t xml:space="preserve"> </w:t>
      </w:r>
      <w:r w:rsidRPr="00A355BE">
        <w:t>of</w:t>
      </w:r>
      <w:r w:rsidR="00C64050">
        <w:t xml:space="preserve"> </w:t>
      </w:r>
      <w:r w:rsidRPr="00A355BE">
        <w:t>Son's</w:t>
      </w:r>
      <w:r w:rsidR="00C64050">
        <w:t xml:space="preserve"> </w:t>
      </w:r>
      <w:r w:rsidRPr="00A355BE">
        <w:t>descendants</w:t>
      </w:r>
      <w:r w:rsidR="00C64050">
        <w:t xml:space="preserve"> </w:t>
      </w:r>
      <w:r w:rsidRPr="00A355BE">
        <w:t>has</w:t>
      </w:r>
      <w:r w:rsidR="00C64050">
        <w:t xml:space="preserve"> </w:t>
      </w:r>
      <w:r w:rsidRPr="00A355BE">
        <w:t>a</w:t>
      </w:r>
      <w:r w:rsidR="00C64050">
        <w:t xml:space="preserve"> </w:t>
      </w:r>
      <w:r w:rsidRPr="00A355BE">
        <w:t>predeceased</w:t>
      </w:r>
      <w:r w:rsidR="00C64050">
        <w:t xml:space="preserve"> </w:t>
      </w:r>
      <w:r w:rsidRPr="00A355BE">
        <w:t>child</w:t>
      </w:r>
      <w:r w:rsidR="00C64050">
        <w:t xml:space="preserve"> </w:t>
      </w:r>
      <w:r w:rsidRPr="00A355BE">
        <w:t>with</w:t>
      </w:r>
      <w:r w:rsidR="00C64050">
        <w:t xml:space="preserve"> </w:t>
      </w:r>
      <w:r w:rsidRPr="00A355BE">
        <w:t>living</w:t>
      </w:r>
      <w:r w:rsidR="00C64050">
        <w:t xml:space="preserve"> </w:t>
      </w:r>
      <w:r w:rsidRPr="00A355BE">
        <w:t>issue.</w:t>
      </w:r>
      <w:r w:rsidR="00C64050">
        <w:t xml:space="preserve"> </w:t>
      </w:r>
      <w:r w:rsidRPr="00A355BE">
        <w:t>Son</w:t>
      </w:r>
      <w:r w:rsidR="00C64050">
        <w:t xml:space="preserve"> </w:t>
      </w:r>
      <w:r w:rsidRPr="00A355BE">
        <w:t>and</w:t>
      </w:r>
      <w:r w:rsidR="00C64050">
        <w:t xml:space="preserve"> </w:t>
      </w:r>
      <w:r w:rsidRPr="00A355BE">
        <w:t>Bank</w:t>
      </w:r>
      <w:r w:rsidR="00C64050">
        <w:t xml:space="preserve"> </w:t>
      </w:r>
      <w:r w:rsidRPr="00A355BE">
        <w:t>are</w:t>
      </w:r>
      <w:r w:rsidR="00C64050">
        <w:t xml:space="preserve"> </w:t>
      </w:r>
      <w:r w:rsidRPr="00A355BE">
        <w:t>currently</w:t>
      </w:r>
      <w:r w:rsidR="00C64050">
        <w:t xml:space="preserve"> </w:t>
      </w:r>
      <w:r w:rsidRPr="00A355BE">
        <w:t>serving</w:t>
      </w:r>
      <w:r w:rsidR="00C64050">
        <w:t xml:space="preserve"> </w:t>
      </w:r>
      <w:r w:rsidRPr="00A355BE">
        <w:t>as</w:t>
      </w:r>
      <w:r w:rsidR="00C64050">
        <w:t xml:space="preserve"> </w:t>
      </w:r>
      <w:r w:rsidRPr="00A355BE">
        <w:t>co-trustees</w:t>
      </w:r>
      <w:r w:rsidR="00C64050">
        <w:t xml:space="preserve"> </w:t>
      </w:r>
      <w:r w:rsidRPr="00A355BE">
        <w:t>of</w:t>
      </w:r>
      <w:r w:rsidR="00C64050">
        <w:t xml:space="preserve"> </w:t>
      </w:r>
      <w:r w:rsidRPr="00A355BE">
        <w:t>Trust.</w:t>
      </w:r>
    </w:p>
    <w:p w:rsidR="00A355BE" w:rsidRPr="00A355BE" w:rsidRDefault="00A355BE" w:rsidP="00A355BE">
      <w:pPr>
        <w:pStyle w:val="QS10"/>
      </w:pPr>
      <w:r w:rsidRPr="00A355BE">
        <w:t>State</w:t>
      </w:r>
      <w:r w:rsidR="00C64050">
        <w:t xml:space="preserve"> </w:t>
      </w:r>
      <w:r w:rsidRPr="00A355BE">
        <w:t>Statute</w:t>
      </w:r>
      <w:r w:rsidR="00C64050">
        <w:t xml:space="preserve"> </w:t>
      </w:r>
      <w:r w:rsidRPr="00A355BE">
        <w:t>provides,</w:t>
      </w:r>
      <w:r w:rsidR="00C64050">
        <w:t xml:space="preserve"> </w:t>
      </w:r>
      <w:r w:rsidRPr="00A355BE">
        <w:t>in</w:t>
      </w:r>
      <w:r w:rsidR="00C64050">
        <w:t xml:space="preserve"> </w:t>
      </w:r>
      <w:r w:rsidRPr="00A355BE">
        <w:t>relevant</w:t>
      </w:r>
      <w:r w:rsidR="00C64050">
        <w:t xml:space="preserve"> </w:t>
      </w:r>
      <w:r w:rsidRPr="00A355BE">
        <w:t>part,</w:t>
      </w:r>
      <w:r w:rsidR="00C64050">
        <w:t xml:space="preserve"> </w:t>
      </w:r>
      <w:r w:rsidRPr="00A355BE">
        <w:t>that</w:t>
      </w:r>
      <w:r w:rsidR="00C64050">
        <w:t xml:space="preserve"> </w:t>
      </w:r>
      <w:r w:rsidRPr="00A355BE">
        <w:t>matters</w:t>
      </w:r>
      <w:r w:rsidR="00C64050">
        <w:t xml:space="preserve"> </w:t>
      </w:r>
      <w:r w:rsidRPr="00A355BE">
        <w:t>that</w:t>
      </w:r>
      <w:r w:rsidR="00C64050">
        <w:t xml:space="preserve"> </w:t>
      </w:r>
      <w:r w:rsidRPr="00A355BE">
        <w:t>may</w:t>
      </w:r>
      <w:r w:rsidR="00C64050">
        <w:t xml:space="preserve"> </w:t>
      </w:r>
      <w:r w:rsidRPr="00A355BE">
        <w:t>be</w:t>
      </w:r>
      <w:r w:rsidR="00C64050">
        <w:t xml:space="preserve"> </w:t>
      </w:r>
      <w:r w:rsidRPr="00A355BE">
        <w:t>resolved</w:t>
      </w:r>
      <w:r w:rsidR="00C64050">
        <w:t xml:space="preserve"> </w:t>
      </w:r>
      <w:r w:rsidRPr="00A355BE">
        <w:t>by</w:t>
      </w:r>
      <w:r w:rsidR="00C64050">
        <w:t xml:space="preserve"> </w:t>
      </w:r>
      <w:r w:rsidRPr="00A355BE">
        <w:t>a</w:t>
      </w:r>
      <w:r w:rsidR="00C64050">
        <w:t xml:space="preserve"> </w:t>
      </w:r>
      <w:r w:rsidRPr="00A355BE">
        <w:t>nonjudicial</w:t>
      </w:r>
      <w:r w:rsidR="00C64050">
        <w:t xml:space="preserve"> </w:t>
      </w:r>
      <w:r w:rsidRPr="00A355BE">
        <w:t>settlement</w:t>
      </w:r>
      <w:r w:rsidR="00C64050">
        <w:t xml:space="preserve"> </w:t>
      </w:r>
      <w:r w:rsidRPr="00A355BE">
        <w:t>include</w:t>
      </w:r>
      <w:r w:rsidR="00C64050">
        <w:t xml:space="preserve"> </w:t>
      </w:r>
      <w:r w:rsidRPr="00A355BE">
        <w:t>termination</w:t>
      </w:r>
      <w:r w:rsidR="00C64050">
        <w:t xml:space="preserve"> </w:t>
      </w:r>
      <w:r w:rsidRPr="00A355BE">
        <w:t>of</w:t>
      </w:r>
      <w:r w:rsidR="00C64050">
        <w:t xml:space="preserve"> </w:t>
      </w:r>
      <w:r w:rsidRPr="00A355BE">
        <w:t>the</w:t>
      </w:r>
      <w:r w:rsidR="00C64050">
        <w:t xml:space="preserve"> </w:t>
      </w:r>
      <w:r w:rsidRPr="00A355BE">
        <w:t>trust,</w:t>
      </w:r>
      <w:r w:rsidR="00C64050">
        <w:t xml:space="preserve"> </w:t>
      </w:r>
      <w:r w:rsidRPr="00A355BE">
        <w:t>provided</w:t>
      </w:r>
      <w:r w:rsidR="00C64050">
        <w:t xml:space="preserve"> </w:t>
      </w:r>
      <w:r w:rsidRPr="00A355BE">
        <w:t>that</w:t>
      </w:r>
      <w:r w:rsidR="00C64050">
        <w:t xml:space="preserve"> </w:t>
      </w:r>
      <w:r w:rsidRPr="00A355BE">
        <w:t>court</w:t>
      </w:r>
      <w:r w:rsidR="00C64050">
        <w:t xml:space="preserve"> </w:t>
      </w:r>
      <w:r w:rsidRPr="00A355BE">
        <w:t>approval</w:t>
      </w:r>
      <w:r w:rsidR="00C64050">
        <w:t xml:space="preserve"> </w:t>
      </w:r>
      <w:r w:rsidRPr="00A355BE">
        <w:t>of</w:t>
      </w:r>
      <w:r w:rsidR="00C64050">
        <w:t xml:space="preserve"> </w:t>
      </w:r>
      <w:r w:rsidRPr="00A355BE">
        <w:t>such</w:t>
      </w:r>
      <w:r w:rsidR="00C64050">
        <w:t xml:space="preserve"> </w:t>
      </w:r>
      <w:r w:rsidRPr="00A355BE">
        <w:t>termination</w:t>
      </w:r>
      <w:r w:rsidR="00C64050">
        <w:t xml:space="preserve"> </w:t>
      </w:r>
      <w:r w:rsidRPr="00A355BE">
        <w:t>is</w:t>
      </w:r>
      <w:r w:rsidR="00C64050">
        <w:t xml:space="preserve"> </w:t>
      </w:r>
      <w:r w:rsidRPr="00A355BE">
        <w:t>obtained</w:t>
      </w:r>
      <w:r w:rsidR="00C64050">
        <w:t xml:space="preserve"> </w:t>
      </w:r>
      <w:r w:rsidRPr="00A355BE">
        <w:t>in</w:t>
      </w:r>
      <w:r w:rsidR="00C64050">
        <w:t xml:space="preserve"> </w:t>
      </w:r>
      <w:r w:rsidRPr="00A355BE">
        <w:t>accordance</w:t>
      </w:r>
      <w:r w:rsidR="00C64050">
        <w:t xml:space="preserve"> </w:t>
      </w:r>
      <w:r w:rsidRPr="00A355BE">
        <w:t>with</w:t>
      </w:r>
      <w:r w:rsidR="00C64050">
        <w:t xml:space="preserve"> </w:t>
      </w:r>
      <w:r w:rsidRPr="00A355BE">
        <w:t>this</w:t>
      </w:r>
      <w:r w:rsidR="00C64050">
        <w:t xml:space="preserve"> </w:t>
      </w:r>
      <w:r w:rsidRPr="00A355BE">
        <w:t>section,</w:t>
      </w:r>
      <w:r w:rsidR="00C64050">
        <w:t xml:space="preserve"> </w:t>
      </w:r>
      <w:r w:rsidRPr="00A355BE">
        <w:t>and</w:t>
      </w:r>
      <w:r w:rsidR="00C64050">
        <w:t xml:space="preserve"> </w:t>
      </w:r>
      <w:r w:rsidRPr="00A355BE">
        <w:t>the</w:t>
      </w:r>
      <w:r w:rsidR="00C64050">
        <w:t xml:space="preserve"> </w:t>
      </w:r>
      <w:r w:rsidRPr="00A355BE">
        <w:t>court</w:t>
      </w:r>
      <w:r w:rsidR="00C64050">
        <w:t xml:space="preserve"> </w:t>
      </w:r>
      <w:r w:rsidRPr="00A355BE">
        <w:t>must</w:t>
      </w:r>
      <w:r w:rsidR="00C64050">
        <w:t xml:space="preserve"> </w:t>
      </w:r>
      <w:r w:rsidRPr="00A355BE">
        <w:t>conclude</w:t>
      </w:r>
      <w:r w:rsidR="00C64050">
        <w:t xml:space="preserve"> </w:t>
      </w:r>
      <w:r w:rsidRPr="00A355BE">
        <w:t>that</w:t>
      </w:r>
      <w:r w:rsidR="00C64050">
        <w:t xml:space="preserve"> </w:t>
      </w:r>
      <w:r w:rsidRPr="00A355BE">
        <w:t>continuance</w:t>
      </w:r>
      <w:r w:rsidR="00C64050">
        <w:t xml:space="preserve"> </w:t>
      </w:r>
      <w:r w:rsidRPr="00A355BE">
        <w:t>of</w:t>
      </w:r>
      <w:r w:rsidR="00C64050">
        <w:t xml:space="preserve"> </w:t>
      </w:r>
      <w:r w:rsidRPr="00A355BE">
        <w:t>the</w:t>
      </w:r>
      <w:r w:rsidR="00C64050">
        <w:t xml:space="preserve"> </w:t>
      </w:r>
      <w:r w:rsidRPr="00A355BE">
        <w:t>trust</w:t>
      </w:r>
      <w:r w:rsidR="00C64050">
        <w:t xml:space="preserve"> </w:t>
      </w:r>
      <w:r w:rsidRPr="00A355BE">
        <w:t>is</w:t>
      </w:r>
      <w:r w:rsidR="00C64050">
        <w:t xml:space="preserve"> </w:t>
      </w:r>
      <w:r w:rsidRPr="00A355BE">
        <w:t>not</w:t>
      </w:r>
      <w:r w:rsidR="00C64050">
        <w:t xml:space="preserve"> </w:t>
      </w:r>
      <w:r w:rsidRPr="00A355BE">
        <w:t>necessary</w:t>
      </w:r>
      <w:r w:rsidR="00C64050">
        <w:t xml:space="preserve"> </w:t>
      </w:r>
      <w:r w:rsidRPr="00A355BE">
        <w:t>to</w:t>
      </w:r>
      <w:r w:rsidR="00C64050">
        <w:t xml:space="preserve"> </w:t>
      </w:r>
      <w:r w:rsidRPr="00A355BE">
        <w:t>achieve</w:t>
      </w:r>
      <w:r w:rsidR="00C64050">
        <w:t xml:space="preserve"> </w:t>
      </w:r>
      <w:r w:rsidRPr="00A355BE">
        <w:t>any</w:t>
      </w:r>
      <w:r w:rsidR="00C64050">
        <w:t xml:space="preserve"> </w:t>
      </w:r>
      <w:r w:rsidRPr="00A355BE">
        <w:t>material</w:t>
      </w:r>
      <w:r w:rsidR="00C64050">
        <w:t xml:space="preserve"> </w:t>
      </w:r>
      <w:r w:rsidRPr="00A355BE">
        <w:t>purpose</w:t>
      </w:r>
      <w:r w:rsidR="00C64050">
        <w:t xml:space="preserve"> </w:t>
      </w:r>
      <w:r w:rsidRPr="00A355BE">
        <w:t>of</w:t>
      </w:r>
      <w:r w:rsidR="00C64050">
        <w:t xml:space="preserve"> </w:t>
      </w:r>
      <w:r w:rsidRPr="00A355BE">
        <w:t>the</w:t>
      </w:r>
      <w:r w:rsidR="00C64050">
        <w:t xml:space="preserve"> </w:t>
      </w:r>
      <w:r w:rsidRPr="00A355BE">
        <w:t>trust.</w:t>
      </w:r>
      <w:r w:rsidR="00C64050">
        <w:t xml:space="preserve"> </w:t>
      </w:r>
      <w:r w:rsidRPr="00A355BE">
        <w:t>State</w:t>
      </w:r>
      <w:r w:rsidR="00C64050">
        <w:t xml:space="preserve"> </w:t>
      </w:r>
      <w:r w:rsidRPr="00A355BE">
        <w:t>Statute</w:t>
      </w:r>
      <w:r w:rsidR="00C64050">
        <w:t xml:space="preserve"> </w:t>
      </w:r>
      <w:r w:rsidRPr="00A355BE">
        <w:t>further</w:t>
      </w:r>
      <w:r w:rsidR="00C64050">
        <w:t xml:space="preserve"> </w:t>
      </w:r>
      <w:r w:rsidRPr="00A355BE">
        <w:t>provides</w:t>
      </w:r>
      <w:r w:rsidR="00C64050">
        <w:t xml:space="preserve"> </w:t>
      </w:r>
      <w:r w:rsidRPr="00A355BE">
        <w:t>that</w:t>
      </w:r>
      <w:r w:rsidR="00C64050">
        <w:t xml:space="preserve"> </w:t>
      </w:r>
      <w:r w:rsidRPr="00A355BE">
        <w:t>upon</w:t>
      </w:r>
      <w:r w:rsidR="00C64050">
        <w:t xml:space="preserve"> </w:t>
      </w:r>
      <w:r w:rsidRPr="00A355BE">
        <w:t>such</w:t>
      </w:r>
      <w:r w:rsidR="00C64050">
        <w:t xml:space="preserve"> </w:t>
      </w:r>
      <w:r w:rsidRPr="00A355BE">
        <w:t>termination,</w:t>
      </w:r>
      <w:r w:rsidR="00C64050">
        <w:t xml:space="preserve"> </w:t>
      </w:r>
      <w:r w:rsidRPr="00A355BE">
        <w:t>the</w:t>
      </w:r>
      <w:r w:rsidR="00C64050">
        <w:t xml:space="preserve"> </w:t>
      </w:r>
      <w:r w:rsidRPr="00A355BE">
        <w:t>court</w:t>
      </w:r>
      <w:r w:rsidR="00C64050">
        <w:t xml:space="preserve"> </w:t>
      </w:r>
      <w:r w:rsidRPr="00A355BE">
        <w:t>may</w:t>
      </w:r>
      <w:r w:rsidR="00C64050">
        <w:t xml:space="preserve"> </w:t>
      </w:r>
      <w:r w:rsidRPr="00A355BE">
        <w:t>order</w:t>
      </w:r>
      <w:r w:rsidR="00C64050">
        <w:t xml:space="preserve"> </w:t>
      </w:r>
      <w:r w:rsidRPr="00A355BE">
        <w:t>the</w:t>
      </w:r>
      <w:r w:rsidR="00C64050">
        <w:t xml:space="preserve"> </w:t>
      </w:r>
      <w:r w:rsidRPr="00A355BE">
        <w:t>trust</w:t>
      </w:r>
      <w:r w:rsidR="00C64050">
        <w:t xml:space="preserve"> </w:t>
      </w:r>
      <w:r w:rsidRPr="00A355BE">
        <w:t>property</w:t>
      </w:r>
      <w:r w:rsidR="00C64050">
        <w:t xml:space="preserve"> </w:t>
      </w:r>
      <w:r w:rsidRPr="00A355BE">
        <w:t>distributed</w:t>
      </w:r>
      <w:r w:rsidR="00C64050">
        <w:t xml:space="preserve"> </w:t>
      </w:r>
      <w:r w:rsidRPr="00A355BE">
        <w:t>as</w:t>
      </w:r>
      <w:r w:rsidR="00C64050">
        <w:t xml:space="preserve"> </w:t>
      </w:r>
      <w:r w:rsidRPr="00A355BE">
        <w:t>agreed</w:t>
      </w:r>
      <w:r w:rsidR="00C64050">
        <w:t xml:space="preserve"> </w:t>
      </w:r>
      <w:r w:rsidRPr="00A355BE">
        <w:t>by</w:t>
      </w:r>
      <w:r w:rsidR="00C64050">
        <w:t xml:space="preserve"> </w:t>
      </w:r>
      <w:r w:rsidRPr="00A355BE">
        <w:t>the</w:t>
      </w:r>
      <w:r w:rsidR="00C64050">
        <w:t xml:space="preserve"> </w:t>
      </w:r>
      <w:r w:rsidRPr="00A355BE">
        <w:t>parties</w:t>
      </w:r>
      <w:r w:rsidR="00C64050">
        <w:t xml:space="preserve"> </w:t>
      </w:r>
      <w:r w:rsidRPr="00A355BE">
        <w:t>to</w:t>
      </w:r>
      <w:r w:rsidR="00C64050">
        <w:t xml:space="preserve"> </w:t>
      </w:r>
      <w:r w:rsidRPr="00A355BE">
        <w:t>the</w:t>
      </w:r>
      <w:r w:rsidR="00C64050">
        <w:t xml:space="preserve"> </w:t>
      </w:r>
      <w:r w:rsidRPr="00A355BE">
        <w:t>agreement</w:t>
      </w:r>
      <w:r w:rsidR="00C64050">
        <w:t xml:space="preserve"> </w:t>
      </w:r>
      <w:r w:rsidRPr="00A355BE">
        <w:t>or</w:t>
      </w:r>
      <w:r w:rsidR="00C64050">
        <w:t xml:space="preserve"> </w:t>
      </w:r>
      <w:r w:rsidRPr="00A355BE">
        <w:t>otherwise</w:t>
      </w:r>
      <w:r w:rsidR="00C64050">
        <w:t xml:space="preserve"> </w:t>
      </w:r>
      <w:r w:rsidRPr="00A355BE">
        <w:t>as</w:t>
      </w:r>
      <w:r w:rsidR="00C64050">
        <w:t xml:space="preserve"> </w:t>
      </w:r>
      <w:r w:rsidRPr="00A355BE">
        <w:t>the</w:t>
      </w:r>
      <w:r w:rsidR="00C64050">
        <w:t xml:space="preserve"> </w:t>
      </w:r>
      <w:r w:rsidRPr="00A355BE">
        <w:t>court</w:t>
      </w:r>
      <w:r w:rsidR="00C64050">
        <w:t xml:space="preserve"> </w:t>
      </w:r>
      <w:r w:rsidRPr="00A355BE">
        <w:t>determines</w:t>
      </w:r>
      <w:r w:rsidR="00C64050">
        <w:t xml:space="preserve"> </w:t>
      </w:r>
      <w:r w:rsidRPr="00A355BE">
        <w:t>is</w:t>
      </w:r>
      <w:r w:rsidR="00C64050">
        <w:t xml:space="preserve"> </w:t>
      </w:r>
      <w:r w:rsidRPr="00A355BE">
        <w:t>equitably</w:t>
      </w:r>
      <w:r w:rsidR="00C64050">
        <w:t xml:space="preserve"> </w:t>
      </w:r>
      <w:r w:rsidRPr="00A355BE">
        <w:t>consistent</w:t>
      </w:r>
      <w:r w:rsidR="00C64050">
        <w:t xml:space="preserve"> </w:t>
      </w:r>
      <w:r w:rsidRPr="00A355BE">
        <w:t>with</w:t>
      </w:r>
      <w:r w:rsidR="00C64050">
        <w:t xml:space="preserve"> </w:t>
      </w:r>
      <w:r w:rsidRPr="00A355BE">
        <w:t>the</w:t>
      </w:r>
      <w:r w:rsidR="00C64050">
        <w:t xml:space="preserve"> </w:t>
      </w:r>
      <w:r w:rsidRPr="00A355BE">
        <w:t>purposes</w:t>
      </w:r>
      <w:r w:rsidR="00C64050">
        <w:t xml:space="preserve"> </w:t>
      </w:r>
      <w:r w:rsidRPr="00A355BE">
        <w:t>of</w:t>
      </w:r>
      <w:r w:rsidR="00C64050">
        <w:t xml:space="preserve"> </w:t>
      </w:r>
      <w:r w:rsidRPr="00A355BE">
        <w:t>the</w:t>
      </w:r>
      <w:r w:rsidR="00C64050">
        <w:t xml:space="preserve"> </w:t>
      </w:r>
      <w:r w:rsidRPr="00A355BE">
        <w:t>trust.</w:t>
      </w:r>
    </w:p>
    <w:p w:rsidR="00A355BE" w:rsidRPr="00A355BE" w:rsidRDefault="00A355BE" w:rsidP="00A355BE">
      <w:pPr>
        <w:pStyle w:val="QS10"/>
      </w:pPr>
      <w:r w:rsidRPr="00A355BE">
        <w:t>On</w:t>
      </w:r>
      <w:r w:rsidR="00C64050">
        <w:t xml:space="preserve"> </w:t>
      </w:r>
      <w:r w:rsidRPr="00A355BE">
        <w:t>Date</w:t>
      </w:r>
      <w:r w:rsidR="00C64050">
        <w:t xml:space="preserve"> </w:t>
      </w:r>
      <w:r w:rsidRPr="00A355BE">
        <w:t>2,</w:t>
      </w:r>
      <w:r w:rsidR="00C64050">
        <w:t xml:space="preserve"> </w:t>
      </w:r>
      <w:r w:rsidRPr="00A355BE">
        <w:t>Son,</w:t>
      </w:r>
      <w:r w:rsidR="00C64050">
        <w:t xml:space="preserve"> </w:t>
      </w:r>
      <w:r w:rsidRPr="00A355BE">
        <w:t>the</w:t>
      </w:r>
      <w:r w:rsidR="00C64050">
        <w:t xml:space="preserve"> </w:t>
      </w:r>
      <w:r w:rsidRPr="00A355BE">
        <w:t>Current</w:t>
      </w:r>
      <w:r w:rsidR="00C64050">
        <w:t xml:space="preserve"> </w:t>
      </w:r>
      <w:r w:rsidRPr="00A355BE">
        <w:t>Remaindermen</w:t>
      </w:r>
      <w:r w:rsidR="00C64050">
        <w:t xml:space="preserve"> </w:t>
      </w:r>
      <w:r w:rsidRPr="00A355BE">
        <w:t>and</w:t>
      </w:r>
      <w:r w:rsidR="00C64050">
        <w:t xml:space="preserve"> </w:t>
      </w:r>
      <w:r w:rsidRPr="00A355BE">
        <w:t>the</w:t>
      </w:r>
      <w:r w:rsidR="00C64050">
        <w:t xml:space="preserve"> </w:t>
      </w:r>
      <w:r w:rsidRPr="00A355BE">
        <w:t>Successor</w:t>
      </w:r>
      <w:r w:rsidR="00C64050">
        <w:t xml:space="preserve"> </w:t>
      </w:r>
      <w:r w:rsidRPr="00A355BE">
        <w:t>Remaindermen</w:t>
      </w:r>
      <w:r w:rsidR="00C64050">
        <w:t xml:space="preserve"> </w:t>
      </w:r>
      <w:r w:rsidRPr="00A355BE">
        <w:t>entered</w:t>
      </w:r>
      <w:r w:rsidR="00C64050">
        <w:t xml:space="preserve"> </w:t>
      </w:r>
      <w:r w:rsidRPr="00A355BE">
        <w:t>into</w:t>
      </w:r>
      <w:r w:rsidR="00C64050">
        <w:t xml:space="preserve"> </w:t>
      </w:r>
      <w:r w:rsidRPr="00A355BE">
        <w:t>Agreement.</w:t>
      </w:r>
      <w:r w:rsidR="00C64050">
        <w:t xml:space="preserve"> </w:t>
      </w:r>
      <w:r w:rsidRPr="00A355BE">
        <w:t>Agreement</w:t>
      </w:r>
      <w:r w:rsidR="00C64050">
        <w:t xml:space="preserve"> </w:t>
      </w:r>
      <w:r w:rsidRPr="00A355BE">
        <w:t>states</w:t>
      </w:r>
      <w:r w:rsidR="00C64050">
        <w:t xml:space="preserve"> </w:t>
      </w:r>
      <w:r w:rsidRPr="00A355BE">
        <w:t>that</w:t>
      </w:r>
      <w:r w:rsidR="00C64050">
        <w:t xml:space="preserve"> </w:t>
      </w:r>
      <w:r w:rsidRPr="00A355BE">
        <w:t>the</w:t>
      </w:r>
      <w:r w:rsidR="00C64050">
        <w:t xml:space="preserve"> </w:t>
      </w:r>
      <w:r w:rsidRPr="00A355BE">
        <w:t>continuance</w:t>
      </w:r>
      <w:r w:rsidR="00C64050">
        <w:t xml:space="preserve"> </w:t>
      </w:r>
      <w:r w:rsidRPr="00A355BE">
        <w:t>of</w:t>
      </w:r>
      <w:r w:rsidR="00C64050">
        <w:t xml:space="preserve"> </w:t>
      </w:r>
      <w:r w:rsidRPr="00A355BE">
        <w:t>Trust</w:t>
      </w:r>
      <w:r w:rsidR="00C64050">
        <w:t xml:space="preserve"> </w:t>
      </w:r>
      <w:r w:rsidRPr="00A355BE">
        <w:t>“is</w:t>
      </w:r>
      <w:r w:rsidR="00C64050">
        <w:t xml:space="preserve"> </w:t>
      </w:r>
      <w:r w:rsidRPr="00A355BE">
        <w:t>no</w:t>
      </w:r>
      <w:r w:rsidR="00C64050">
        <w:t xml:space="preserve"> </w:t>
      </w:r>
      <w:r w:rsidRPr="00A355BE">
        <w:t>longer</w:t>
      </w:r>
      <w:r w:rsidR="00C64050">
        <w:t xml:space="preserve"> </w:t>
      </w:r>
      <w:r w:rsidRPr="00A355BE">
        <w:t>necessary</w:t>
      </w:r>
      <w:r w:rsidR="00C64050">
        <w:t xml:space="preserve"> </w:t>
      </w:r>
      <w:r w:rsidRPr="00A355BE">
        <w:t>to</w:t>
      </w:r>
      <w:r w:rsidR="00C64050">
        <w:t xml:space="preserve"> </w:t>
      </w:r>
      <w:r w:rsidRPr="00A355BE">
        <w:t>achieve</w:t>
      </w:r>
      <w:r w:rsidR="00C64050">
        <w:t xml:space="preserve"> </w:t>
      </w:r>
      <w:r w:rsidRPr="00A355BE">
        <w:t>any</w:t>
      </w:r>
      <w:r w:rsidR="00C64050">
        <w:t xml:space="preserve"> </w:t>
      </w:r>
      <w:r w:rsidRPr="00A355BE">
        <w:t>clear</w:t>
      </w:r>
      <w:r w:rsidR="00C64050">
        <w:t xml:space="preserve"> </w:t>
      </w:r>
      <w:r w:rsidRPr="00A355BE">
        <w:t>material</w:t>
      </w:r>
      <w:r w:rsidR="00C64050">
        <w:t xml:space="preserve"> </w:t>
      </w:r>
      <w:r w:rsidRPr="00A355BE">
        <w:t>purpose</w:t>
      </w:r>
      <w:r w:rsidR="00C64050">
        <w:t xml:space="preserve"> </w:t>
      </w:r>
      <w:r w:rsidRPr="00A355BE">
        <w:t>of</w:t>
      </w:r>
      <w:r w:rsidR="00C64050">
        <w:t xml:space="preserve"> </w:t>
      </w:r>
      <w:r w:rsidRPr="00A355BE">
        <w:t>such</w:t>
      </w:r>
      <w:r w:rsidR="00C64050">
        <w:t xml:space="preserve"> </w:t>
      </w:r>
      <w:r w:rsidRPr="00A355BE">
        <w:t>trust</w:t>
      </w:r>
      <w:r w:rsidR="00C64050">
        <w:t xml:space="preserve"> </w:t>
      </w:r>
      <w:r w:rsidRPr="00A355BE">
        <w:t>because</w:t>
      </w:r>
      <w:r w:rsidR="00C64050">
        <w:t xml:space="preserve"> </w:t>
      </w:r>
      <w:r w:rsidRPr="00A355BE">
        <w:t>[[Son]'s</w:t>
      </w:r>
      <w:r w:rsidR="00C64050">
        <w:t xml:space="preserve"> </w:t>
      </w:r>
      <w:r w:rsidRPr="00A355BE">
        <w:t>net</w:t>
      </w:r>
      <w:r w:rsidR="00C64050">
        <w:t xml:space="preserve"> </w:t>
      </w:r>
      <w:r w:rsidRPr="00A355BE">
        <w:t>worth</w:t>
      </w:r>
      <w:r w:rsidR="00C64050">
        <w:t xml:space="preserve"> </w:t>
      </w:r>
      <w:r w:rsidRPr="00A355BE">
        <w:t>has</w:t>
      </w:r>
      <w:r w:rsidR="00C64050">
        <w:t xml:space="preserve"> </w:t>
      </w:r>
      <w:r w:rsidRPr="00A355BE">
        <w:t>grown</w:t>
      </w:r>
      <w:r w:rsidR="00C64050">
        <w:t xml:space="preserve"> </w:t>
      </w:r>
      <w:r w:rsidRPr="00A355BE">
        <w:t>significantly,</w:t>
      </w:r>
      <w:r w:rsidR="00C64050">
        <w:t xml:space="preserve"> </w:t>
      </w:r>
      <w:r w:rsidRPr="00A355BE">
        <w:t>such</w:t>
      </w:r>
      <w:r w:rsidR="00C64050">
        <w:t xml:space="preserve"> </w:t>
      </w:r>
      <w:r w:rsidRPr="00A355BE">
        <w:t>that</w:t>
      </w:r>
      <w:r w:rsidR="00C64050">
        <w:t xml:space="preserve"> </w:t>
      </w:r>
      <w:r w:rsidRPr="00A355BE">
        <w:t>he</w:t>
      </w:r>
      <w:r w:rsidR="00C64050">
        <w:t xml:space="preserve"> </w:t>
      </w:r>
      <w:r w:rsidRPr="00A355BE">
        <w:t>does</w:t>
      </w:r>
      <w:r w:rsidR="00C64050">
        <w:t xml:space="preserve"> </w:t>
      </w:r>
      <w:r w:rsidRPr="00A355BE">
        <w:t>not</w:t>
      </w:r>
      <w:r w:rsidR="00C64050">
        <w:t xml:space="preserve"> </w:t>
      </w:r>
      <w:r w:rsidRPr="00A355BE">
        <w:t>need</w:t>
      </w:r>
      <w:r w:rsidR="00C64050">
        <w:t xml:space="preserve"> </w:t>
      </w:r>
      <w:r w:rsidRPr="00A355BE">
        <w:t>income</w:t>
      </w:r>
      <w:r w:rsidR="00C64050">
        <w:t xml:space="preserve"> </w:t>
      </w:r>
      <w:r w:rsidRPr="00A355BE">
        <w:t>from</w:t>
      </w:r>
      <w:r w:rsidR="00C64050">
        <w:t xml:space="preserve"> </w:t>
      </w:r>
      <w:r w:rsidRPr="00A355BE">
        <w:t>[Trust]</w:t>
      </w:r>
      <w:r w:rsidR="00C64050">
        <w:t xml:space="preserve"> </w:t>
      </w:r>
      <w:r w:rsidRPr="00A355BE">
        <w:t>for</w:t>
      </w:r>
      <w:r w:rsidR="00C64050">
        <w:t xml:space="preserve"> </w:t>
      </w:r>
      <w:r w:rsidRPr="00A355BE">
        <w:t>his</w:t>
      </w:r>
      <w:r w:rsidR="00C64050">
        <w:t xml:space="preserve"> </w:t>
      </w:r>
      <w:r w:rsidRPr="00A355BE">
        <w:t>support.”</w:t>
      </w:r>
      <w:r w:rsidR="00C64050">
        <w:t xml:space="preserve"> </w:t>
      </w:r>
      <w:r w:rsidRPr="00A355BE">
        <w:t>Agreement</w:t>
      </w:r>
      <w:r w:rsidR="00C64050">
        <w:t xml:space="preserve"> </w:t>
      </w:r>
      <w:r w:rsidRPr="00A355BE">
        <w:t>further</w:t>
      </w:r>
      <w:r w:rsidR="00C64050">
        <w:t xml:space="preserve"> </w:t>
      </w:r>
      <w:r w:rsidRPr="00A355BE">
        <w:t>provides</w:t>
      </w:r>
      <w:r w:rsidR="00C64050">
        <w:t xml:space="preserve"> </w:t>
      </w:r>
      <w:r w:rsidRPr="00A355BE">
        <w:t>for</w:t>
      </w:r>
      <w:r w:rsidR="00C64050">
        <w:t xml:space="preserve"> </w:t>
      </w:r>
      <w:r w:rsidRPr="00A355BE">
        <w:t>the</w:t>
      </w:r>
      <w:r w:rsidR="00C64050">
        <w:t xml:space="preserve"> </w:t>
      </w:r>
      <w:r w:rsidRPr="00A355BE">
        <w:t>termination</w:t>
      </w:r>
      <w:r w:rsidR="00C64050">
        <w:t xml:space="preserve"> </w:t>
      </w:r>
      <w:r w:rsidRPr="00A355BE">
        <w:t>of</w:t>
      </w:r>
      <w:r w:rsidR="00C64050">
        <w:t xml:space="preserve"> </w:t>
      </w:r>
      <w:r w:rsidRPr="00A355BE">
        <w:t>Trust</w:t>
      </w:r>
      <w:r w:rsidR="00C64050">
        <w:t xml:space="preserve"> </w:t>
      </w:r>
      <w:r w:rsidRPr="00A355BE">
        <w:t>and</w:t>
      </w:r>
      <w:r w:rsidR="00C64050">
        <w:t xml:space="preserve"> </w:t>
      </w:r>
      <w:r w:rsidRPr="00A355BE">
        <w:t>the</w:t>
      </w:r>
      <w:r w:rsidR="00C64050">
        <w:t xml:space="preserve"> </w:t>
      </w:r>
      <w:r w:rsidRPr="00A355BE">
        <w:t>distribution</w:t>
      </w:r>
      <w:r w:rsidR="00C64050">
        <w:t xml:space="preserve"> </w:t>
      </w:r>
      <w:r w:rsidRPr="00A355BE">
        <w:t>of</w:t>
      </w:r>
      <w:r w:rsidR="00C64050">
        <w:t xml:space="preserve"> </w:t>
      </w:r>
      <w:r w:rsidRPr="00A355BE">
        <w:t>Trust's</w:t>
      </w:r>
      <w:r w:rsidR="00C64050">
        <w:t xml:space="preserve"> </w:t>
      </w:r>
      <w:r w:rsidRPr="00A355BE">
        <w:t>assets</w:t>
      </w:r>
      <w:r w:rsidR="00C64050">
        <w:t xml:space="preserve"> </w:t>
      </w:r>
      <w:r w:rsidRPr="00A355BE">
        <w:t>among</w:t>
      </w:r>
      <w:r w:rsidR="00C64050">
        <w:t xml:space="preserve"> </w:t>
      </w:r>
      <w:r w:rsidRPr="00A355BE">
        <w:t>Son,</w:t>
      </w:r>
      <w:r w:rsidR="00C64050">
        <w:t xml:space="preserve"> </w:t>
      </w:r>
      <w:r w:rsidRPr="00A355BE">
        <w:t>the</w:t>
      </w:r>
      <w:r w:rsidR="00C64050">
        <w:t xml:space="preserve"> </w:t>
      </w:r>
      <w:r w:rsidRPr="00A355BE">
        <w:t>Current</w:t>
      </w:r>
      <w:r w:rsidR="00C64050">
        <w:t xml:space="preserve"> </w:t>
      </w:r>
      <w:r w:rsidRPr="00A355BE">
        <w:t>Remaindermen</w:t>
      </w:r>
      <w:r w:rsidR="00C64050">
        <w:t xml:space="preserve"> </w:t>
      </w:r>
      <w:r w:rsidRPr="00A355BE">
        <w:t>and</w:t>
      </w:r>
      <w:r w:rsidR="00C64050">
        <w:t xml:space="preserve"> </w:t>
      </w:r>
      <w:r w:rsidRPr="00A355BE">
        <w:t>the</w:t>
      </w:r>
      <w:r w:rsidR="00C64050">
        <w:t xml:space="preserve"> </w:t>
      </w:r>
      <w:r w:rsidRPr="00A355BE">
        <w:t>Successor</w:t>
      </w:r>
      <w:r w:rsidR="00C64050">
        <w:t xml:space="preserve"> </w:t>
      </w:r>
      <w:r w:rsidRPr="00A355BE">
        <w:t>Remaindermen</w:t>
      </w:r>
      <w:r w:rsidR="00C64050">
        <w:t xml:space="preserve"> </w:t>
      </w:r>
      <w:r w:rsidRPr="00A355BE">
        <w:t>in</w:t>
      </w:r>
      <w:r w:rsidR="00C64050">
        <w:t xml:space="preserve"> </w:t>
      </w:r>
      <w:r w:rsidRPr="00A355BE">
        <w:t>accordance</w:t>
      </w:r>
      <w:r w:rsidR="00C64050">
        <w:t xml:space="preserve"> </w:t>
      </w:r>
      <w:r w:rsidRPr="00A355BE">
        <w:t>with</w:t>
      </w:r>
      <w:r w:rsidR="00C64050">
        <w:t xml:space="preserve"> </w:t>
      </w:r>
      <w:r w:rsidRPr="00A355BE">
        <w:t>the</w:t>
      </w:r>
      <w:r w:rsidR="00C64050">
        <w:t xml:space="preserve"> </w:t>
      </w:r>
      <w:r w:rsidRPr="00A355BE">
        <w:t>actuarial</w:t>
      </w:r>
      <w:r w:rsidR="00C64050">
        <w:t xml:space="preserve"> </w:t>
      </w:r>
      <w:r w:rsidRPr="00A355BE">
        <w:t>value</w:t>
      </w:r>
      <w:r w:rsidR="00C64050">
        <w:t xml:space="preserve"> </w:t>
      </w:r>
      <w:r w:rsidRPr="00A355BE">
        <w:t>of</w:t>
      </w:r>
      <w:r w:rsidR="00C64050">
        <w:t xml:space="preserve"> </w:t>
      </w:r>
      <w:r w:rsidRPr="00A355BE">
        <w:t>each</w:t>
      </w:r>
      <w:r w:rsidR="00C64050">
        <w:t xml:space="preserve"> </w:t>
      </w:r>
      <w:r w:rsidRPr="00A355BE">
        <w:t>beneficiary's</w:t>
      </w:r>
      <w:r w:rsidR="00C64050">
        <w:t xml:space="preserve"> </w:t>
      </w:r>
      <w:r w:rsidRPr="00A355BE">
        <w:t>share</w:t>
      </w:r>
      <w:r w:rsidR="00C64050">
        <w:t xml:space="preserve"> </w:t>
      </w:r>
      <w:r w:rsidRPr="00A355BE">
        <w:t>(Proposed</w:t>
      </w:r>
      <w:r w:rsidR="00C64050">
        <w:t xml:space="preserve"> </w:t>
      </w:r>
      <w:r w:rsidRPr="00A355BE">
        <w:t>Distribution).,</w:t>
      </w:r>
    </w:p>
    <w:p w:rsidR="00A355BE" w:rsidRDefault="00A355BE" w:rsidP="00A355BE">
      <w:pPr>
        <w:pStyle w:val="Body15"/>
        <w:rPr>
          <w:lang w:eastAsia="en-GB"/>
        </w:rPr>
      </w:pPr>
      <w:r>
        <w:rPr>
          <w:lang w:eastAsia="en-GB"/>
        </w:rPr>
        <w:t>The</w:t>
      </w:r>
      <w:r w:rsidR="00C64050">
        <w:rPr>
          <w:lang w:eastAsia="en-GB"/>
        </w:rPr>
        <w:t xml:space="preserve"> </w:t>
      </w:r>
      <w:r>
        <w:rPr>
          <w:lang w:eastAsia="en-GB"/>
        </w:rPr>
        <w:t>IRS</w:t>
      </w:r>
      <w:r w:rsidR="00C64050">
        <w:rPr>
          <w:lang w:eastAsia="en-GB"/>
        </w:rPr>
        <w:t xml:space="preserve"> </w:t>
      </w:r>
      <w:r>
        <w:rPr>
          <w:lang w:eastAsia="en-GB"/>
        </w:rPr>
        <w:t>concluded</w:t>
      </w:r>
      <w:r w:rsidR="00C64050">
        <w:rPr>
          <w:lang w:eastAsia="en-GB"/>
        </w:rPr>
        <w:t xml:space="preserve"> </w:t>
      </w:r>
      <w:r>
        <w:rPr>
          <w:lang w:eastAsia="en-GB"/>
        </w:rPr>
        <w:t>that</w:t>
      </w:r>
      <w:r w:rsidR="00C64050">
        <w:rPr>
          <w:lang w:eastAsia="en-GB"/>
        </w:rPr>
        <w:t xml:space="preserve"> </w:t>
      </w:r>
      <w:r>
        <w:rPr>
          <w:lang w:eastAsia="en-GB"/>
        </w:rPr>
        <w:t>the</w:t>
      </w:r>
      <w:r w:rsidR="00C64050">
        <w:rPr>
          <w:lang w:eastAsia="en-GB"/>
        </w:rPr>
        <w:t xml:space="preserve"> </w:t>
      </w:r>
      <w:r>
        <w:rPr>
          <w:lang w:eastAsia="en-GB"/>
        </w:rPr>
        <w:t>transaction</w:t>
      </w:r>
      <w:r w:rsidR="00C64050">
        <w:rPr>
          <w:lang w:eastAsia="en-GB"/>
        </w:rPr>
        <w:t xml:space="preserve"> </w:t>
      </w:r>
      <w:r>
        <w:rPr>
          <w:lang w:eastAsia="en-GB"/>
        </w:rPr>
        <w:t>was</w:t>
      </w:r>
      <w:r w:rsidR="00C64050">
        <w:rPr>
          <w:lang w:eastAsia="en-GB"/>
        </w:rPr>
        <w:t xml:space="preserve"> </w:t>
      </w:r>
      <w:r>
        <w:rPr>
          <w:lang w:eastAsia="en-GB"/>
        </w:rPr>
        <w:t>in</w:t>
      </w:r>
      <w:r w:rsidR="00C64050">
        <w:rPr>
          <w:lang w:eastAsia="en-GB"/>
        </w:rPr>
        <w:t xml:space="preserve"> </w:t>
      </w:r>
      <w:r>
        <w:rPr>
          <w:lang w:eastAsia="en-GB"/>
        </w:rPr>
        <w:t>substance</w:t>
      </w:r>
      <w:r w:rsidR="00C64050">
        <w:rPr>
          <w:lang w:eastAsia="en-GB"/>
        </w:rPr>
        <w:t xml:space="preserve"> </w:t>
      </w:r>
      <w:r>
        <w:rPr>
          <w:lang w:eastAsia="en-GB"/>
        </w:rPr>
        <w:t>a</w:t>
      </w:r>
      <w:r w:rsidR="00C64050">
        <w:rPr>
          <w:lang w:eastAsia="en-GB"/>
        </w:rPr>
        <w:t xml:space="preserve"> </w:t>
      </w:r>
      <w:r>
        <w:rPr>
          <w:lang w:eastAsia="en-GB"/>
        </w:rPr>
        <w:t>sale.</w:t>
      </w:r>
      <w:r w:rsidR="00C64050">
        <w:rPr>
          <w:lang w:eastAsia="en-GB"/>
        </w:rPr>
        <w:t xml:space="preserve">  </w:t>
      </w:r>
      <w:r>
        <w:rPr>
          <w:lang w:eastAsia="en-GB"/>
        </w:rPr>
        <w:t>The</w:t>
      </w:r>
      <w:r w:rsidR="00C64050">
        <w:rPr>
          <w:lang w:eastAsia="en-GB"/>
        </w:rPr>
        <w:t xml:space="preserve"> </w:t>
      </w:r>
      <w:r>
        <w:rPr>
          <w:lang w:eastAsia="en-GB"/>
        </w:rPr>
        <w:t>ruling</w:t>
      </w:r>
      <w:r w:rsidR="00C64050">
        <w:rPr>
          <w:lang w:eastAsia="en-GB"/>
        </w:rPr>
        <w:t xml:space="preserve"> </w:t>
      </w:r>
      <w:r>
        <w:rPr>
          <w:lang w:eastAsia="en-GB"/>
        </w:rPr>
        <w:t>states:</w:t>
      </w:r>
    </w:p>
    <w:p w:rsidR="00BD5405" w:rsidRPr="00BD5405" w:rsidRDefault="00EA23AC" w:rsidP="00BD5405">
      <w:pPr>
        <w:pStyle w:val="QS10"/>
        <w:rPr>
          <w:color w:val="000000" w:themeColor="text1"/>
        </w:rPr>
      </w:pPr>
      <w:hyperlink r:id="rId94" w:history="1">
        <w:r w:rsidR="00BD5405" w:rsidRPr="00BD5405">
          <w:rPr>
            <w:color w:val="000000" w:themeColor="text1"/>
          </w:rPr>
          <w:t>Rev.</w:t>
        </w:r>
        <w:r w:rsidR="00C64050">
          <w:rPr>
            <w:color w:val="000000" w:themeColor="text1"/>
          </w:rPr>
          <w:t xml:space="preserve"> </w:t>
        </w:r>
        <w:r w:rsidR="00BD5405" w:rsidRPr="00BD5405">
          <w:rPr>
            <w:color w:val="000000" w:themeColor="text1"/>
          </w:rPr>
          <w:t>Rul.</w:t>
        </w:r>
        <w:r w:rsidR="00C64050">
          <w:rPr>
            <w:color w:val="000000" w:themeColor="text1"/>
          </w:rPr>
          <w:t xml:space="preserve"> </w:t>
        </w:r>
        <w:r w:rsidR="00BD5405" w:rsidRPr="00BD5405">
          <w:rPr>
            <w:color w:val="000000" w:themeColor="text1"/>
          </w:rPr>
          <w:t>72-243,</w:t>
        </w:r>
        <w:r w:rsidR="00C64050">
          <w:rPr>
            <w:color w:val="000000" w:themeColor="text1"/>
          </w:rPr>
          <w:t xml:space="preserve"> </w:t>
        </w:r>
        <w:r w:rsidR="00BD5405" w:rsidRPr="00BD5405">
          <w:rPr>
            <w:color w:val="000000" w:themeColor="text1"/>
          </w:rPr>
          <w:t>1972-1</w:t>
        </w:r>
        <w:r w:rsidR="00C64050">
          <w:rPr>
            <w:color w:val="000000" w:themeColor="text1"/>
          </w:rPr>
          <w:t xml:space="preserve"> </w:t>
        </w:r>
        <w:r w:rsidR="00BD5405" w:rsidRPr="00BD5405">
          <w:rPr>
            <w:color w:val="000000" w:themeColor="text1"/>
          </w:rPr>
          <w:t>C.B.</w:t>
        </w:r>
        <w:r w:rsidR="00C64050">
          <w:rPr>
            <w:color w:val="000000" w:themeColor="text1"/>
          </w:rPr>
          <w:t xml:space="preserve"> </w:t>
        </w:r>
        <w:r w:rsidR="00BD5405" w:rsidRPr="00BD5405">
          <w:rPr>
            <w:color w:val="000000" w:themeColor="text1"/>
          </w:rPr>
          <w:t>233</w:t>
        </w:r>
      </w:hyperlink>
      <w:r w:rsidR="00BD5405" w:rsidRPr="00BD5405">
        <w:rPr>
          <w:color w:val="000000" w:themeColor="text1"/>
        </w:rPr>
        <w:t>,</w:t>
      </w:r>
      <w:r w:rsidR="00C64050">
        <w:rPr>
          <w:color w:val="000000" w:themeColor="text1"/>
        </w:rPr>
        <w:t xml:space="preserve"> </w:t>
      </w:r>
      <w:r w:rsidR="00BD5405" w:rsidRPr="00BD5405">
        <w:rPr>
          <w:color w:val="000000" w:themeColor="text1"/>
        </w:rPr>
        <w:t>provides</w:t>
      </w:r>
      <w:r w:rsidR="00C64050">
        <w:rPr>
          <w:color w:val="000000" w:themeColor="text1"/>
        </w:rPr>
        <w:t xml:space="preserve"> </w:t>
      </w:r>
      <w:r w:rsidR="00BD5405" w:rsidRPr="00BD5405">
        <w:rPr>
          <w:color w:val="000000" w:themeColor="text1"/>
        </w:rPr>
        <w:t>that</w:t>
      </w:r>
      <w:r w:rsidR="00C64050">
        <w:rPr>
          <w:color w:val="000000" w:themeColor="text1"/>
        </w:rPr>
        <w:t xml:space="preserve"> </w:t>
      </w:r>
      <w:r w:rsidR="00BD5405" w:rsidRPr="00BD5405">
        <w:rPr>
          <w:color w:val="000000" w:themeColor="text1"/>
        </w:rPr>
        <w:t>the</w:t>
      </w:r>
      <w:r w:rsidR="00C64050">
        <w:rPr>
          <w:color w:val="000000" w:themeColor="text1"/>
        </w:rPr>
        <w:t xml:space="preserve"> </w:t>
      </w:r>
      <w:r w:rsidR="00BD5405" w:rsidRPr="00BD5405">
        <w:rPr>
          <w:color w:val="000000" w:themeColor="text1"/>
        </w:rPr>
        <w:t>proceeds</w:t>
      </w:r>
      <w:r w:rsidR="00C64050">
        <w:rPr>
          <w:color w:val="000000" w:themeColor="text1"/>
        </w:rPr>
        <w:t xml:space="preserve"> </w:t>
      </w:r>
      <w:r w:rsidR="00BD5405" w:rsidRPr="00BD5405">
        <w:rPr>
          <w:color w:val="000000" w:themeColor="text1"/>
        </w:rPr>
        <w:t>received</w:t>
      </w:r>
      <w:r w:rsidR="00C64050">
        <w:rPr>
          <w:color w:val="000000" w:themeColor="text1"/>
        </w:rPr>
        <w:t xml:space="preserve"> </w:t>
      </w:r>
      <w:r w:rsidR="00BD5405" w:rsidRPr="00BD5405">
        <w:rPr>
          <w:color w:val="000000" w:themeColor="text1"/>
        </w:rPr>
        <w:t>by</w:t>
      </w:r>
      <w:r w:rsidR="00C64050">
        <w:rPr>
          <w:color w:val="000000" w:themeColor="text1"/>
        </w:rPr>
        <w:t xml:space="preserve"> </w:t>
      </w:r>
      <w:r w:rsidR="00BD5405" w:rsidRPr="00BD5405">
        <w:rPr>
          <w:color w:val="000000" w:themeColor="text1"/>
        </w:rPr>
        <w:t>the</w:t>
      </w:r>
      <w:r w:rsidR="00C64050">
        <w:rPr>
          <w:color w:val="000000" w:themeColor="text1"/>
        </w:rPr>
        <w:t xml:space="preserve"> </w:t>
      </w:r>
      <w:r w:rsidR="00BD5405" w:rsidRPr="00BD5405">
        <w:rPr>
          <w:color w:val="000000" w:themeColor="text1"/>
        </w:rPr>
        <w:t>life</w:t>
      </w:r>
      <w:r w:rsidR="00C64050">
        <w:rPr>
          <w:color w:val="000000" w:themeColor="text1"/>
        </w:rPr>
        <w:t xml:space="preserve"> </w:t>
      </w:r>
      <w:r w:rsidR="00BD5405" w:rsidRPr="00BD5405">
        <w:rPr>
          <w:color w:val="000000" w:themeColor="text1"/>
        </w:rPr>
        <w:t>tenant</w:t>
      </w:r>
      <w:r w:rsidR="00C64050">
        <w:rPr>
          <w:color w:val="000000" w:themeColor="text1"/>
        </w:rPr>
        <w:t xml:space="preserve"> </w:t>
      </w:r>
      <w:r w:rsidR="00BD5405" w:rsidRPr="00BD5405">
        <w:rPr>
          <w:color w:val="000000" w:themeColor="text1"/>
        </w:rPr>
        <w:t>of</w:t>
      </w:r>
      <w:r w:rsidR="00C64050">
        <w:rPr>
          <w:color w:val="000000" w:themeColor="text1"/>
        </w:rPr>
        <w:t xml:space="preserve"> </w:t>
      </w:r>
      <w:r w:rsidR="00BD5405" w:rsidRPr="00BD5405">
        <w:rPr>
          <w:color w:val="000000" w:themeColor="text1"/>
        </w:rPr>
        <w:t>a</w:t>
      </w:r>
      <w:r w:rsidR="00C64050">
        <w:rPr>
          <w:color w:val="000000" w:themeColor="text1"/>
        </w:rPr>
        <w:t xml:space="preserve"> </w:t>
      </w:r>
      <w:r w:rsidR="00BD5405" w:rsidRPr="00BD5405">
        <w:rPr>
          <w:color w:val="000000" w:themeColor="text1"/>
        </w:rPr>
        <w:t>trust,</w:t>
      </w:r>
      <w:r w:rsidR="00C64050">
        <w:rPr>
          <w:color w:val="000000" w:themeColor="text1"/>
        </w:rPr>
        <w:t xml:space="preserve"> </w:t>
      </w:r>
      <w:r w:rsidR="00BD5405" w:rsidRPr="00BD5405">
        <w:rPr>
          <w:color w:val="000000" w:themeColor="text1"/>
        </w:rPr>
        <w:t>in</w:t>
      </w:r>
      <w:r w:rsidR="00C64050">
        <w:rPr>
          <w:color w:val="000000" w:themeColor="text1"/>
        </w:rPr>
        <w:t xml:space="preserve"> </w:t>
      </w:r>
      <w:r w:rsidR="00BD5405" w:rsidRPr="00BD5405">
        <w:rPr>
          <w:color w:val="000000" w:themeColor="text1"/>
        </w:rPr>
        <w:t>consideration</w:t>
      </w:r>
      <w:r w:rsidR="00C64050">
        <w:rPr>
          <w:color w:val="000000" w:themeColor="text1"/>
        </w:rPr>
        <w:t xml:space="preserve"> </w:t>
      </w:r>
      <w:r w:rsidR="00BD5405" w:rsidRPr="00BD5405">
        <w:rPr>
          <w:color w:val="000000" w:themeColor="text1"/>
        </w:rPr>
        <w:t>for</w:t>
      </w:r>
      <w:r w:rsidR="00C64050">
        <w:rPr>
          <w:color w:val="000000" w:themeColor="text1"/>
        </w:rPr>
        <w:t xml:space="preserve"> </w:t>
      </w:r>
      <w:r w:rsidR="00BD5405" w:rsidRPr="00BD5405">
        <w:rPr>
          <w:color w:val="000000" w:themeColor="text1"/>
        </w:rPr>
        <w:t>the</w:t>
      </w:r>
      <w:r w:rsidR="00C64050">
        <w:rPr>
          <w:color w:val="000000" w:themeColor="text1"/>
        </w:rPr>
        <w:t xml:space="preserve"> </w:t>
      </w:r>
      <w:r w:rsidR="00BD5405" w:rsidRPr="00BD5405">
        <w:rPr>
          <w:color w:val="000000" w:themeColor="text1"/>
        </w:rPr>
        <w:t>transfer</w:t>
      </w:r>
      <w:r w:rsidR="00C64050">
        <w:rPr>
          <w:color w:val="000000" w:themeColor="text1"/>
        </w:rPr>
        <w:t xml:space="preserve"> </w:t>
      </w:r>
      <w:r w:rsidR="00BD5405" w:rsidRPr="00BD5405">
        <w:rPr>
          <w:color w:val="000000" w:themeColor="text1"/>
        </w:rPr>
        <w:t>of</w:t>
      </w:r>
      <w:r w:rsidR="00C64050">
        <w:rPr>
          <w:color w:val="000000" w:themeColor="text1"/>
        </w:rPr>
        <w:t xml:space="preserve"> </w:t>
      </w:r>
      <w:r w:rsidR="00BD5405" w:rsidRPr="00BD5405">
        <w:rPr>
          <w:color w:val="000000" w:themeColor="text1"/>
        </w:rPr>
        <w:t>the</w:t>
      </w:r>
      <w:r w:rsidR="00C64050">
        <w:rPr>
          <w:color w:val="000000" w:themeColor="text1"/>
        </w:rPr>
        <w:t xml:space="preserve"> </w:t>
      </w:r>
      <w:r w:rsidR="00BD5405" w:rsidRPr="00BD5405">
        <w:rPr>
          <w:color w:val="000000" w:themeColor="text1"/>
        </w:rPr>
        <w:t>life</w:t>
      </w:r>
      <w:r w:rsidR="00C64050">
        <w:rPr>
          <w:color w:val="000000" w:themeColor="text1"/>
        </w:rPr>
        <w:t xml:space="preserve"> </w:t>
      </w:r>
      <w:r w:rsidR="00BD5405" w:rsidRPr="00BD5405">
        <w:rPr>
          <w:color w:val="000000" w:themeColor="text1"/>
        </w:rPr>
        <w:t>tenant's</w:t>
      </w:r>
      <w:r w:rsidR="00C64050">
        <w:rPr>
          <w:color w:val="000000" w:themeColor="text1"/>
        </w:rPr>
        <w:t xml:space="preserve"> </w:t>
      </w:r>
      <w:r w:rsidR="00BD5405" w:rsidRPr="00BD5405">
        <w:rPr>
          <w:color w:val="000000" w:themeColor="text1"/>
        </w:rPr>
        <w:t>entire</w:t>
      </w:r>
      <w:r w:rsidR="00C64050">
        <w:rPr>
          <w:color w:val="000000" w:themeColor="text1"/>
        </w:rPr>
        <w:t xml:space="preserve"> </w:t>
      </w:r>
      <w:r w:rsidR="00BD5405" w:rsidRPr="00BD5405">
        <w:rPr>
          <w:color w:val="000000" w:themeColor="text1"/>
        </w:rPr>
        <w:t>interest</w:t>
      </w:r>
      <w:r w:rsidR="00C64050">
        <w:rPr>
          <w:color w:val="000000" w:themeColor="text1"/>
        </w:rPr>
        <w:t xml:space="preserve"> </w:t>
      </w:r>
      <w:r w:rsidR="00BD5405" w:rsidRPr="00BD5405">
        <w:rPr>
          <w:color w:val="000000" w:themeColor="text1"/>
        </w:rPr>
        <w:t>in</w:t>
      </w:r>
      <w:r w:rsidR="00C64050">
        <w:rPr>
          <w:color w:val="000000" w:themeColor="text1"/>
        </w:rPr>
        <w:t xml:space="preserve"> </w:t>
      </w:r>
      <w:r w:rsidR="00BD5405" w:rsidRPr="00BD5405">
        <w:rPr>
          <w:color w:val="000000" w:themeColor="text1"/>
        </w:rPr>
        <w:t>the</w:t>
      </w:r>
      <w:r w:rsidR="00C64050">
        <w:rPr>
          <w:color w:val="000000" w:themeColor="text1"/>
        </w:rPr>
        <w:t xml:space="preserve"> </w:t>
      </w:r>
      <w:r w:rsidR="00BD5405" w:rsidRPr="00BD5405">
        <w:rPr>
          <w:color w:val="000000" w:themeColor="text1"/>
        </w:rPr>
        <w:t>trust</w:t>
      </w:r>
      <w:r w:rsidR="00C64050">
        <w:rPr>
          <w:color w:val="000000" w:themeColor="text1"/>
        </w:rPr>
        <w:t xml:space="preserve"> </w:t>
      </w:r>
      <w:r w:rsidR="00BD5405" w:rsidRPr="00BD5405">
        <w:rPr>
          <w:color w:val="000000" w:themeColor="text1"/>
        </w:rPr>
        <w:t>to</w:t>
      </w:r>
      <w:r w:rsidR="00C64050">
        <w:rPr>
          <w:color w:val="000000" w:themeColor="text1"/>
        </w:rPr>
        <w:t xml:space="preserve"> </w:t>
      </w:r>
      <w:r w:rsidR="00BD5405" w:rsidRPr="00BD5405">
        <w:rPr>
          <w:color w:val="000000" w:themeColor="text1"/>
        </w:rPr>
        <w:t>the</w:t>
      </w:r>
      <w:r w:rsidR="00C64050">
        <w:rPr>
          <w:color w:val="000000" w:themeColor="text1"/>
        </w:rPr>
        <w:t xml:space="preserve"> </w:t>
      </w:r>
      <w:r w:rsidR="00BD5405" w:rsidRPr="00BD5405">
        <w:rPr>
          <w:color w:val="000000" w:themeColor="text1"/>
        </w:rPr>
        <w:t>holder</w:t>
      </w:r>
      <w:r w:rsidR="00C64050">
        <w:rPr>
          <w:color w:val="000000" w:themeColor="text1"/>
        </w:rPr>
        <w:t xml:space="preserve"> </w:t>
      </w:r>
      <w:r w:rsidR="00BD5405" w:rsidRPr="00BD5405">
        <w:rPr>
          <w:color w:val="000000" w:themeColor="text1"/>
        </w:rPr>
        <w:t>of</w:t>
      </w:r>
      <w:r w:rsidR="00C64050">
        <w:rPr>
          <w:color w:val="000000" w:themeColor="text1"/>
        </w:rPr>
        <w:t xml:space="preserve"> </w:t>
      </w:r>
      <w:r w:rsidR="00BD5405" w:rsidRPr="00BD5405">
        <w:rPr>
          <w:color w:val="000000" w:themeColor="text1"/>
        </w:rPr>
        <w:t>the</w:t>
      </w:r>
      <w:r w:rsidR="00C64050">
        <w:rPr>
          <w:color w:val="000000" w:themeColor="text1"/>
        </w:rPr>
        <w:t xml:space="preserve"> </w:t>
      </w:r>
      <w:r w:rsidR="00BD5405" w:rsidRPr="00BD5405">
        <w:rPr>
          <w:color w:val="000000" w:themeColor="text1"/>
        </w:rPr>
        <w:t>remainder</w:t>
      </w:r>
      <w:r w:rsidR="00C64050">
        <w:rPr>
          <w:color w:val="000000" w:themeColor="text1"/>
        </w:rPr>
        <w:t xml:space="preserve"> </w:t>
      </w:r>
      <w:r w:rsidR="00BD5405" w:rsidRPr="00BD5405">
        <w:rPr>
          <w:color w:val="000000" w:themeColor="text1"/>
        </w:rPr>
        <w:t>interest,</w:t>
      </w:r>
      <w:r w:rsidR="00C64050">
        <w:rPr>
          <w:color w:val="000000" w:themeColor="text1"/>
        </w:rPr>
        <w:t xml:space="preserve"> </w:t>
      </w:r>
      <w:r w:rsidR="00BD5405" w:rsidRPr="00BD5405">
        <w:rPr>
          <w:color w:val="000000" w:themeColor="text1"/>
        </w:rPr>
        <w:t>are</w:t>
      </w:r>
      <w:r w:rsidR="00C64050">
        <w:rPr>
          <w:color w:val="000000" w:themeColor="text1"/>
        </w:rPr>
        <w:t xml:space="preserve"> </w:t>
      </w:r>
      <w:r w:rsidR="00BD5405" w:rsidRPr="00BD5405">
        <w:rPr>
          <w:color w:val="000000" w:themeColor="text1"/>
        </w:rPr>
        <w:t>treated</w:t>
      </w:r>
      <w:r w:rsidR="00C64050">
        <w:rPr>
          <w:color w:val="000000" w:themeColor="text1"/>
        </w:rPr>
        <w:t xml:space="preserve"> </w:t>
      </w:r>
      <w:r w:rsidR="00BD5405" w:rsidRPr="00BD5405">
        <w:rPr>
          <w:color w:val="000000" w:themeColor="text1"/>
        </w:rPr>
        <w:t>as</w:t>
      </w:r>
      <w:r w:rsidR="00C64050">
        <w:rPr>
          <w:color w:val="000000" w:themeColor="text1"/>
        </w:rPr>
        <w:t xml:space="preserve"> </w:t>
      </w:r>
      <w:r w:rsidR="00BD5405" w:rsidRPr="00BD5405">
        <w:rPr>
          <w:color w:val="000000" w:themeColor="text1"/>
        </w:rPr>
        <w:t>an</w:t>
      </w:r>
      <w:r w:rsidR="00C64050">
        <w:rPr>
          <w:color w:val="000000" w:themeColor="text1"/>
        </w:rPr>
        <w:t xml:space="preserve"> </w:t>
      </w:r>
      <w:r w:rsidR="00BD5405" w:rsidRPr="00BD5405">
        <w:rPr>
          <w:color w:val="000000" w:themeColor="text1"/>
        </w:rPr>
        <w:t>amount</w:t>
      </w:r>
      <w:r w:rsidR="00C64050">
        <w:rPr>
          <w:color w:val="000000" w:themeColor="text1"/>
        </w:rPr>
        <w:t xml:space="preserve"> </w:t>
      </w:r>
      <w:r w:rsidR="00BD5405" w:rsidRPr="00BD5405">
        <w:rPr>
          <w:color w:val="000000" w:themeColor="text1"/>
        </w:rPr>
        <w:t>realized</w:t>
      </w:r>
      <w:r w:rsidR="00C64050">
        <w:rPr>
          <w:color w:val="000000" w:themeColor="text1"/>
        </w:rPr>
        <w:t xml:space="preserve"> </w:t>
      </w:r>
      <w:r w:rsidR="00BD5405" w:rsidRPr="00BD5405">
        <w:rPr>
          <w:color w:val="000000" w:themeColor="text1"/>
        </w:rPr>
        <w:t>from</w:t>
      </w:r>
      <w:r w:rsidR="00C64050">
        <w:rPr>
          <w:color w:val="000000" w:themeColor="text1"/>
        </w:rPr>
        <w:t xml:space="preserve"> </w:t>
      </w:r>
      <w:r w:rsidR="00BD5405" w:rsidRPr="00BD5405">
        <w:rPr>
          <w:color w:val="000000" w:themeColor="text1"/>
        </w:rPr>
        <w:t>the</w:t>
      </w:r>
      <w:r w:rsidR="00C64050">
        <w:rPr>
          <w:color w:val="000000" w:themeColor="text1"/>
        </w:rPr>
        <w:t xml:space="preserve"> </w:t>
      </w:r>
      <w:r w:rsidR="00BD5405" w:rsidRPr="00BD5405">
        <w:rPr>
          <w:color w:val="000000" w:themeColor="text1"/>
        </w:rPr>
        <w:t>sale</w:t>
      </w:r>
      <w:r w:rsidR="00C64050">
        <w:rPr>
          <w:color w:val="000000" w:themeColor="text1"/>
        </w:rPr>
        <w:t xml:space="preserve"> </w:t>
      </w:r>
      <w:r w:rsidR="00BD5405" w:rsidRPr="00BD5405">
        <w:rPr>
          <w:color w:val="000000" w:themeColor="text1"/>
        </w:rPr>
        <w:t>or</w:t>
      </w:r>
      <w:r w:rsidR="00C64050">
        <w:rPr>
          <w:color w:val="000000" w:themeColor="text1"/>
        </w:rPr>
        <w:t xml:space="preserve"> </w:t>
      </w:r>
      <w:r w:rsidR="00BD5405" w:rsidRPr="00BD5405">
        <w:rPr>
          <w:color w:val="000000" w:themeColor="text1"/>
        </w:rPr>
        <w:t>exchange</w:t>
      </w:r>
      <w:r w:rsidR="00C64050">
        <w:rPr>
          <w:color w:val="000000" w:themeColor="text1"/>
        </w:rPr>
        <w:t xml:space="preserve"> </w:t>
      </w:r>
      <w:r w:rsidR="00BD5405" w:rsidRPr="00BD5405">
        <w:rPr>
          <w:color w:val="000000" w:themeColor="text1"/>
        </w:rPr>
        <w:t>of</w:t>
      </w:r>
      <w:r w:rsidR="00C64050">
        <w:rPr>
          <w:color w:val="000000" w:themeColor="text1"/>
        </w:rPr>
        <w:t xml:space="preserve"> </w:t>
      </w:r>
      <w:r w:rsidR="00BD5405" w:rsidRPr="00BD5405">
        <w:rPr>
          <w:color w:val="000000" w:themeColor="text1"/>
        </w:rPr>
        <w:t>a</w:t>
      </w:r>
      <w:r w:rsidR="00C64050">
        <w:rPr>
          <w:color w:val="000000" w:themeColor="text1"/>
        </w:rPr>
        <w:t xml:space="preserve"> </w:t>
      </w:r>
      <w:r w:rsidR="00BD5405" w:rsidRPr="00BD5405">
        <w:rPr>
          <w:color w:val="000000" w:themeColor="text1"/>
        </w:rPr>
        <w:t>capital</w:t>
      </w:r>
      <w:r w:rsidR="00C64050">
        <w:rPr>
          <w:color w:val="000000" w:themeColor="text1"/>
        </w:rPr>
        <w:t xml:space="preserve"> </w:t>
      </w:r>
      <w:r w:rsidR="00BD5405" w:rsidRPr="00BD5405">
        <w:rPr>
          <w:color w:val="000000" w:themeColor="text1"/>
        </w:rPr>
        <w:t>asset</w:t>
      </w:r>
      <w:r w:rsidR="00C64050">
        <w:rPr>
          <w:color w:val="000000" w:themeColor="text1"/>
        </w:rPr>
        <w:t xml:space="preserve"> </w:t>
      </w:r>
      <w:r w:rsidR="00BD5405" w:rsidRPr="00BD5405">
        <w:rPr>
          <w:color w:val="000000" w:themeColor="text1"/>
        </w:rPr>
        <w:t>under</w:t>
      </w:r>
      <w:r w:rsidR="00C64050">
        <w:rPr>
          <w:color w:val="000000" w:themeColor="text1"/>
        </w:rPr>
        <w:t xml:space="preserve"> </w:t>
      </w:r>
      <w:hyperlink r:id="rId95" w:history="1">
        <w:r w:rsidR="00BD5405" w:rsidRPr="00BD5405">
          <w:rPr>
            <w:color w:val="000000" w:themeColor="text1"/>
          </w:rPr>
          <w:t>§</w:t>
        </w:r>
        <w:r w:rsidR="00C64050">
          <w:rPr>
            <w:color w:val="000000" w:themeColor="text1"/>
          </w:rPr>
          <w:t xml:space="preserve"> </w:t>
        </w:r>
        <w:r w:rsidR="00BD5405" w:rsidRPr="00BD5405">
          <w:rPr>
            <w:color w:val="000000" w:themeColor="text1"/>
          </w:rPr>
          <w:t>1222</w:t>
        </w:r>
      </w:hyperlink>
      <w:r w:rsidR="00BD5405" w:rsidRPr="00BD5405">
        <w:rPr>
          <w:color w:val="000000" w:themeColor="text1"/>
        </w:rPr>
        <w:t>.</w:t>
      </w:r>
      <w:r w:rsidR="00C64050">
        <w:rPr>
          <w:color w:val="000000" w:themeColor="text1"/>
        </w:rPr>
        <w:t xml:space="preserve"> </w:t>
      </w:r>
      <w:r w:rsidR="00BD5405" w:rsidRPr="00BD5405">
        <w:rPr>
          <w:color w:val="000000" w:themeColor="text1"/>
        </w:rPr>
        <w:t>The</w:t>
      </w:r>
      <w:r w:rsidR="00C64050">
        <w:rPr>
          <w:color w:val="000000" w:themeColor="text1"/>
        </w:rPr>
        <w:t xml:space="preserve"> </w:t>
      </w:r>
      <w:r w:rsidR="00BD5405" w:rsidRPr="00BD5405">
        <w:rPr>
          <w:color w:val="000000" w:themeColor="text1"/>
        </w:rPr>
        <w:t>right</w:t>
      </w:r>
      <w:r w:rsidR="00C64050">
        <w:rPr>
          <w:color w:val="000000" w:themeColor="text1"/>
        </w:rPr>
        <w:t xml:space="preserve"> </w:t>
      </w:r>
      <w:r w:rsidR="00BD5405" w:rsidRPr="00BD5405">
        <w:rPr>
          <w:color w:val="000000" w:themeColor="text1"/>
        </w:rPr>
        <w:t>to</w:t>
      </w:r>
      <w:r w:rsidR="00C64050">
        <w:rPr>
          <w:color w:val="000000" w:themeColor="text1"/>
        </w:rPr>
        <w:t xml:space="preserve"> </w:t>
      </w:r>
      <w:r w:rsidR="00BD5405" w:rsidRPr="00BD5405">
        <w:rPr>
          <w:color w:val="000000" w:themeColor="text1"/>
        </w:rPr>
        <w:t>income</w:t>
      </w:r>
      <w:r w:rsidR="00C64050">
        <w:rPr>
          <w:color w:val="000000" w:themeColor="text1"/>
        </w:rPr>
        <w:t xml:space="preserve"> </w:t>
      </w:r>
      <w:r w:rsidR="00BD5405" w:rsidRPr="00BD5405">
        <w:rPr>
          <w:color w:val="000000" w:themeColor="text1"/>
        </w:rPr>
        <w:t>for</w:t>
      </w:r>
      <w:r w:rsidR="00C64050">
        <w:rPr>
          <w:color w:val="000000" w:themeColor="text1"/>
        </w:rPr>
        <w:t xml:space="preserve"> </w:t>
      </w:r>
      <w:r w:rsidR="00BD5405" w:rsidRPr="00BD5405">
        <w:rPr>
          <w:color w:val="000000" w:themeColor="text1"/>
        </w:rPr>
        <w:t>life</w:t>
      </w:r>
      <w:r w:rsidR="00C64050">
        <w:rPr>
          <w:color w:val="000000" w:themeColor="text1"/>
        </w:rPr>
        <w:t xml:space="preserve"> </w:t>
      </w:r>
      <w:r w:rsidR="00BD5405" w:rsidRPr="00BD5405">
        <w:rPr>
          <w:color w:val="000000" w:themeColor="text1"/>
        </w:rPr>
        <w:t>from</w:t>
      </w:r>
      <w:r w:rsidR="00C64050">
        <w:rPr>
          <w:color w:val="000000" w:themeColor="text1"/>
        </w:rPr>
        <w:t xml:space="preserve"> </w:t>
      </w:r>
      <w:r w:rsidR="00BD5405" w:rsidRPr="00BD5405">
        <w:rPr>
          <w:color w:val="000000" w:themeColor="text1"/>
        </w:rPr>
        <w:t>a</w:t>
      </w:r>
      <w:r w:rsidR="00C64050">
        <w:rPr>
          <w:color w:val="000000" w:themeColor="text1"/>
        </w:rPr>
        <w:t xml:space="preserve"> </w:t>
      </w:r>
      <w:r w:rsidR="00BD5405" w:rsidRPr="00BD5405">
        <w:rPr>
          <w:color w:val="000000" w:themeColor="text1"/>
        </w:rPr>
        <w:t>trust</w:t>
      </w:r>
      <w:r w:rsidR="00C64050">
        <w:rPr>
          <w:color w:val="000000" w:themeColor="text1"/>
        </w:rPr>
        <w:t xml:space="preserve"> </w:t>
      </w:r>
      <w:r w:rsidR="00BD5405" w:rsidRPr="00BD5405">
        <w:rPr>
          <w:color w:val="000000" w:themeColor="text1"/>
        </w:rPr>
        <w:t>estate</w:t>
      </w:r>
      <w:r w:rsidR="00C64050">
        <w:rPr>
          <w:color w:val="000000" w:themeColor="text1"/>
        </w:rPr>
        <w:t xml:space="preserve"> </w:t>
      </w:r>
      <w:r w:rsidR="00BD5405" w:rsidRPr="00BD5405">
        <w:rPr>
          <w:color w:val="000000" w:themeColor="text1"/>
        </w:rPr>
        <w:t>is</w:t>
      </w:r>
      <w:r w:rsidR="00C64050">
        <w:rPr>
          <w:color w:val="000000" w:themeColor="text1"/>
        </w:rPr>
        <w:t xml:space="preserve"> </w:t>
      </w:r>
      <w:r w:rsidR="00BD5405" w:rsidRPr="00BD5405">
        <w:rPr>
          <w:color w:val="000000" w:themeColor="text1"/>
        </w:rPr>
        <w:t>a</w:t>
      </w:r>
      <w:r w:rsidR="00C64050">
        <w:rPr>
          <w:color w:val="000000" w:themeColor="text1"/>
        </w:rPr>
        <w:t xml:space="preserve"> </w:t>
      </w:r>
      <w:r w:rsidR="00BD5405" w:rsidRPr="00BD5405">
        <w:rPr>
          <w:color w:val="000000" w:themeColor="text1"/>
        </w:rPr>
        <w:t>right</w:t>
      </w:r>
      <w:r w:rsidR="00C64050">
        <w:rPr>
          <w:color w:val="000000" w:themeColor="text1"/>
        </w:rPr>
        <w:t xml:space="preserve"> </w:t>
      </w:r>
      <w:r w:rsidR="00BD5405" w:rsidRPr="00BD5405">
        <w:rPr>
          <w:color w:val="000000" w:themeColor="text1"/>
        </w:rPr>
        <w:t>in</w:t>
      </w:r>
      <w:r w:rsidR="00C64050">
        <w:rPr>
          <w:color w:val="000000" w:themeColor="text1"/>
        </w:rPr>
        <w:t xml:space="preserve"> </w:t>
      </w:r>
      <w:r w:rsidR="00BD5405" w:rsidRPr="00BD5405">
        <w:rPr>
          <w:color w:val="000000" w:themeColor="text1"/>
        </w:rPr>
        <w:t>the</w:t>
      </w:r>
      <w:r w:rsidR="00C64050">
        <w:rPr>
          <w:color w:val="000000" w:themeColor="text1"/>
        </w:rPr>
        <w:t xml:space="preserve"> </w:t>
      </w:r>
      <w:r w:rsidR="00BD5405" w:rsidRPr="00BD5405">
        <w:rPr>
          <w:color w:val="000000" w:themeColor="text1"/>
        </w:rPr>
        <w:t>estate</w:t>
      </w:r>
      <w:r w:rsidR="00C64050">
        <w:rPr>
          <w:color w:val="000000" w:themeColor="text1"/>
        </w:rPr>
        <w:t xml:space="preserve"> </w:t>
      </w:r>
      <w:r w:rsidR="00BD5405" w:rsidRPr="00BD5405">
        <w:rPr>
          <w:color w:val="000000" w:themeColor="text1"/>
        </w:rPr>
        <w:t>itself.</w:t>
      </w:r>
      <w:r w:rsidR="00C64050">
        <w:rPr>
          <w:color w:val="000000" w:themeColor="text1"/>
        </w:rPr>
        <w:t xml:space="preserve"> </w:t>
      </w:r>
      <w:r w:rsidR="00BD5405" w:rsidRPr="00BD5405">
        <w:rPr>
          <w:color w:val="000000" w:themeColor="text1"/>
          <w:u w:val="single"/>
        </w:rPr>
        <w:t>See</w:t>
      </w:r>
      <w:r w:rsidR="00C64050">
        <w:rPr>
          <w:color w:val="000000" w:themeColor="text1"/>
          <w:u w:val="single"/>
        </w:rPr>
        <w:t xml:space="preserve"> </w:t>
      </w:r>
      <w:hyperlink r:id="rId96" w:history="1">
        <w:r w:rsidR="00BD5405" w:rsidRPr="00BD5405">
          <w:rPr>
            <w:color w:val="000000" w:themeColor="text1"/>
            <w:u w:val="single"/>
          </w:rPr>
          <w:t>McAllister</w:t>
        </w:r>
        <w:r w:rsidR="00C64050">
          <w:rPr>
            <w:color w:val="000000" w:themeColor="text1"/>
            <w:u w:val="single"/>
          </w:rPr>
          <w:t xml:space="preserve"> </w:t>
        </w:r>
        <w:r w:rsidR="00BD5405" w:rsidRPr="00BD5405">
          <w:rPr>
            <w:color w:val="000000" w:themeColor="text1"/>
            <w:u w:val="single"/>
          </w:rPr>
          <w:t>v.</w:t>
        </w:r>
        <w:r w:rsidR="00C64050">
          <w:rPr>
            <w:color w:val="000000" w:themeColor="text1"/>
            <w:u w:val="single"/>
          </w:rPr>
          <w:t xml:space="preserve"> </w:t>
        </w:r>
        <w:r w:rsidR="00BD5405" w:rsidRPr="00BD5405">
          <w:rPr>
            <w:color w:val="000000" w:themeColor="text1"/>
            <w:u w:val="single"/>
          </w:rPr>
          <w:t>Commissioner</w:t>
        </w:r>
        <w:r w:rsidR="00BD5405" w:rsidRPr="00BD5405">
          <w:rPr>
            <w:color w:val="000000" w:themeColor="text1"/>
          </w:rPr>
          <w:t>,</w:t>
        </w:r>
        <w:r w:rsidR="00C64050">
          <w:rPr>
            <w:color w:val="000000" w:themeColor="text1"/>
          </w:rPr>
          <w:t xml:space="preserve"> </w:t>
        </w:r>
        <w:r w:rsidR="00BD5405" w:rsidRPr="00BD5405">
          <w:rPr>
            <w:color w:val="000000" w:themeColor="text1"/>
          </w:rPr>
          <w:t>157</w:t>
        </w:r>
        <w:r w:rsidR="00C64050">
          <w:rPr>
            <w:color w:val="000000" w:themeColor="text1"/>
          </w:rPr>
          <w:t xml:space="preserve"> </w:t>
        </w:r>
        <w:r w:rsidR="00BD5405" w:rsidRPr="00BD5405">
          <w:rPr>
            <w:color w:val="000000" w:themeColor="text1"/>
          </w:rPr>
          <w:t>F.2d</w:t>
        </w:r>
        <w:r w:rsidR="00C64050">
          <w:rPr>
            <w:color w:val="000000" w:themeColor="text1"/>
          </w:rPr>
          <w:t xml:space="preserve"> </w:t>
        </w:r>
        <w:r w:rsidR="00BD5405" w:rsidRPr="00BD5405">
          <w:rPr>
            <w:color w:val="000000" w:themeColor="text1"/>
          </w:rPr>
          <w:t>235</w:t>
        </w:r>
        <w:r w:rsidR="00C64050">
          <w:rPr>
            <w:color w:val="000000" w:themeColor="text1"/>
          </w:rPr>
          <w:t xml:space="preserve"> </w:t>
        </w:r>
        <w:r w:rsidR="00BD5405" w:rsidRPr="00BD5405">
          <w:rPr>
            <w:color w:val="000000" w:themeColor="text1"/>
          </w:rPr>
          <w:t>(2d</w:t>
        </w:r>
        <w:r w:rsidR="00C64050">
          <w:rPr>
            <w:color w:val="000000" w:themeColor="text1"/>
          </w:rPr>
          <w:t xml:space="preserve"> </w:t>
        </w:r>
        <w:r w:rsidR="00BD5405" w:rsidRPr="00BD5405">
          <w:rPr>
            <w:color w:val="000000" w:themeColor="text1"/>
          </w:rPr>
          <w:t>Cir.</w:t>
        </w:r>
        <w:r w:rsidR="00C64050">
          <w:rPr>
            <w:color w:val="000000" w:themeColor="text1"/>
          </w:rPr>
          <w:t xml:space="preserve"> </w:t>
        </w:r>
        <w:r w:rsidR="00BD5405" w:rsidRPr="00BD5405">
          <w:rPr>
            <w:color w:val="000000" w:themeColor="text1"/>
          </w:rPr>
          <w:t>1946)</w:t>
        </w:r>
      </w:hyperlink>
      <w:r w:rsidR="00BD5405" w:rsidRPr="00BD5405">
        <w:rPr>
          <w:color w:val="000000" w:themeColor="text1"/>
        </w:rPr>
        <w:t>,</w:t>
      </w:r>
      <w:r w:rsidR="00C64050">
        <w:rPr>
          <w:color w:val="000000" w:themeColor="text1"/>
        </w:rPr>
        <w:t xml:space="preserve"> </w:t>
      </w:r>
      <w:r w:rsidR="00BD5405" w:rsidRPr="00BD5405">
        <w:rPr>
          <w:color w:val="000000" w:themeColor="text1"/>
          <w:u w:val="single"/>
        </w:rPr>
        <w:t>cert.</w:t>
      </w:r>
      <w:r w:rsidR="00C64050">
        <w:rPr>
          <w:color w:val="000000" w:themeColor="text1"/>
          <w:u w:val="single"/>
        </w:rPr>
        <w:t xml:space="preserve"> </w:t>
      </w:r>
      <w:r w:rsidR="00BD5405" w:rsidRPr="00BD5405">
        <w:rPr>
          <w:color w:val="000000" w:themeColor="text1"/>
          <w:u w:val="single"/>
        </w:rPr>
        <w:t>denied</w:t>
      </w:r>
      <w:r w:rsidR="00BD5405" w:rsidRPr="00BD5405">
        <w:rPr>
          <w:color w:val="000000" w:themeColor="text1"/>
        </w:rPr>
        <w:t>,</w:t>
      </w:r>
      <w:r w:rsidR="00C64050">
        <w:rPr>
          <w:color w:val="000000" w:themeColor="text1"/>
        </w:rPr>
        <w:t xml:space="preserve"> </w:t>
      </w:r>
      <w:hyperlink r:id="rId97" w:history="1">
        <w:r w:rsidR="00BD5405" w:rsidRPr="00BD5405">
          <w:rPr>
            <w:color w:val="000000" w:themeColor="text1"/>
          </w:rPr>
          <w:t>330</w:t>
        </w:r>
        <w:r w:rsidR="00C64050">
          <w:rPr>
            <w:color w:val="000000" w:themeColor="text1"/>
          </w:rPr>
          <w:t xml:space="preserve"> </w:t>
        </w:r>
        <w:r w:rsidR="00BD5405" w:rsidRPr="00BD5405">
          <w:rPr>
            <w:color w:val="000000" w:themeColor="text1"/>
          </w:rPr>
          <w:t>U.S.</w:t>
        </w:r>
        <w:r w:rsidR="00C64050">
          <w:rPr>
            <w:color w:val="000000" w:themeColor="text1"/>
          </w:rPr>
          <w:t xml:space="preserve"> </w:t>
        </w:r>
        <w:r w:rsidR="00BD5405" w:rsidRPr="00BD5405">
          <w:rPr>
            <w:color w:val="000000" w:themeColor="text1"/>
          </w:rPr>
          <w:t>826</w:t>
        </w:r>
        <w:r w:rsidR="00C64050">
          <w:rPr>
            <w:color w:val="000000" w:themeColor="text1"/>
          </w:rPr>
          <w:t xml:space="preserve"> </w:t>
        </w:r>
        <w:r w:rsidR="00BD5405" w:rsidRPr="00BD5405">
          <w:rPr>
            <w:color w:val="000000" w:themeColor="text1"/>
          </w:rPr>
          <w:t>(1947)</w:t>
        </w:r>
      </w:hyperlink>
      <w:r w:rsidR="00BD5405" w:rsidRPr="00BD5405">
        <w:rPr>
          <w:color w:val="000000" w:themeColor="text1"/>
        </w:rPr>
        <w:t>.</w:t>
      </w:r>
    </w:p>
    <w:p w:rsidR="00BD5405" w:rsidRPr="00BD5405" w:rsidRDefault="00BD5405" w:rsidP="00BD5405">
      <w:pPr>
        <w:pStyle w:val="QS10"/>
        <w:rPr>
          <w:color w:val="000000" w:themeColor="text1"/>
        </w:rPr>
      </w:pPr>
      <w:r w:rsidRPr="00BD5405">
        <w:rPr>
          <w:color w:val="000000" w:themeColor="text1"/>
        </w:rPr>
        <w:t>In</w:t>
      </w:r>
      <w:r w:rsidR="00C64050">
        <w:rPr>
          <w:color w:val="000000" w:themeColor="text1"/>
        </w:rPr>
        <w:t xml:space="preserve"> </w:t>
      </w:r>
      <w:hyperlink r:id="rId98" w:history="1">
        <w:r w:rsidRPr="00BD5405">
          <w:rPr>
            <w:color w:val="000000" w:themeColor="text1"/>
          </w:rPr>
          <w:t>Rev.</w:t>
        </w:r>
        <w:r w:rsidR="00C64050">
          <w:rPr>
            <w:color w:val="000000" w:themeColor="text1"/>
          </w:rPr>
          <w:t xml:space="preserve"> </w:t>
        </w:r>
        <w:r w:rsidRPr="00BD5405">
          <w:rPr>
            <w:color w:val="000000" w:themeColor="text1"/>
          </w:rPr>
          <w:t>Rul.</w:t>
        </w:r>
        <w:r w:rsidR="00C64050">
          <w:rPr>
            <w:color w:val="000000" w:themeColor="text1"/>
          </w:rPr>
          <w:t xml:space="preserve"> </w:t>
        </w:r>
        <w:r w:rsidRPr="00BD5405">
          <w:rPr>
            <w:color w:val="000000" w:themeColor="text1"/>
          </w:rPr>
          <w:t>69-486,</w:t>
        </w:r>
        <w:r w:rsidR="00C64050">
          <w:rPr>
            <w:color w:val="000000" w:themeColor="text1"/>
          </w:rPr>
          <w:t xml:space="preserve"> </w:t>
        </w:r>
        <w:r w:rsidRPr="00BD5405">
          <w:rPr>
            <w:color w:val="000000" w:themeColor="text1"/>
          </w:rPr>
          <w:t>1969-2</w:t>
        </w:r>
        <w:r w:rsidR="00C64050">
          <w:rPr>
            <w:color w:val="000000" w:themeColor="text1"/>
          </w:rPr>
          <w:t xml:space="preserve"> </w:t>
        </w:r>
        <w:r w:rsidRPr="00BD5405">
          <w:rPr>
            <w:color w:val="000000" w:themeColor="text1"/>
          </w:rPr>
          <w:t>C.B.</w:t>
        </w:r>
        <w:r w:rsidR="00C64050">
          <w:rPr>
            <w:color w:val="000000" w:themeColor="text1"/>
          </w:rPr>
          <w:t xml:space="preserve"> </w:t>
        </w:r>
        <w:r w:rsidRPr="00BD5405">
          <w:rPr>
            <w:color w:val="000000" w:themeColor="text1"/>
          </w:rPr>
          <w:t>159</w:t>
        </w:r>
      </w:hyperlink>
      <w:r w:rsidRPr="00BD5405">
        <w:rPr>
          <w:color w:val="000000" w:themeColor="text1"/>
        </w:rPr>
        <w:t>,</w:t>
      </w:r>
      <w:r w:rsidR="00C64050">
        <w:rPr>
          <w:color w:val="000000" w:themeColor="text1"/>
        </w:rPr>
        <w:t xml:space="preserve"> </w:t>
      </w:r>
      <w:r w:rsidRPr="00BD5405">
        <w:rPr>
          <w:color w:val="000000" w:themeColor="text1"/>
        </w:rPr>
        <w:t>a</w:t>
      </w:r>
      <w:r w:rsidR="00C64050">
        <w:rPr>
          <w:color w:val="000000" w:themeColor="text1"/>
        </w:rPr>
        <w:t xml:space="preserve"> </w:t>
      </w:r>
      <w:r w:rsidRPr="00BD5405">
        <w:rPr>
          <w:color w:val="000000" w:themeColor="text1"/>
        </w:rPr>
        <w:t>non-pro</w:t>
      </w:r>
      <w:r w:rsidR="00C64050">
        <w:rPr>
          <w:color w:val="000000" w:themeColor="text1"/>
        </w:rPr>
        <w:t xml:space="preserve"> </w:t>
      </w:r>
      <w:r w:rsidRPr="00BD5405">
        <w:rPr>
          <w:color w:val="000000" w:themeColor="text1"/>
        </w:rPr>
        <w:t>rata</w:t>
      </w:r>
      <w:r w:rsidR="00C64050">
        <w:rPr>
          <w:color w:val="000000" w:themeColor="text1"/>
        </w:rPr>
        <w:t xml:space="preserve"> </w:t>
      </w:r>
      <w:r w:rsidRPr="00BD5405">
        <w:rPr>
          <w:color w:val="000000" w:themeColor="text1"/>
        </w:rPr>
        <w:t>distribution</w:t>
      </w:r>
      <w:r w:rsidR="00C64050">
        <w:rPr>
          <w:color w:val="000000" w:themeColor="text1"/>
        </w:rPr>
        <w:t xml:space="preserve"> </w:t>
      </w:r>
      <w:r w:rsidRPr="00BD5405">
        <w:rPr>
          <w:color w:val="000000" w:themeColor="text1"/>
        </w:rPr>
        <w:t>of</w:t>
      </w:r>
      <w:r w:rsidR="00C64050">
        <w:rPr>
          <w:color w:val="000000" w:themeColor="text1"/>
        </w:rPr>
        <w:t xml:space="preserve"> </w:t>
      </w:r>
      <w:r w:rsidRPr="00BD5405">
        <w:rPr>
          <w:color w:val="000000" w:themeColor="text1"/>
        </w:rPr>
        <w:t>trust</w:t>
      </w:r>
      <w:r w:rsidR="00C64050">
        <w:rPr>
          <w:color w:val="000000" w:themeColor="text1"/>
        </w:rPr>
        <w:t xml:space="preserve"> </w:t>
      </w:r>
      <w:r w:rsidRPr="00BD5405">
        <w:rPr>
          <w:color w:val="000000" w:themeColor="text1"/>
        </w:rPr>
        <w:t>property</w:t>
      </w:r>
      <w:r w:rsidR="00C64050">
        <w:rPr>
          <w:color w:val="000000" w:themeColor="text1"/>
        </w:rPr>
        <w:t xml:space="preserve"> </w:t>
      </w:r>
      <w:r w:rsidRPr="00BD5405">
        <w:rPr>
          <w:color w:val="000000" w:themeColor="text1"/>
        </w:rPr>
        <w:t>was</w:t>
      </w:r>
      <w:r w:rsidR="00C64050">
        <w:rPr>
          <w:color w:val="000000" w:themeColor="text1"/>
        </w:rPr>
        <w:t xml:space="preserve"> </w:t>
      </w:r>
      <w:r w:rsidRPr="00BD5405">
        <w:rPr>
          <w:color w:val="000000" w:themeColor="text1"/>
        </w:rPr>
        <w:t>made</w:t>
      </w:r>
      <w:r w:rsidR="00C64050">
        <w:rPr>
          <w:color w:val="000000" w:themeColor="text1"/>
        </w:rPr>
        <w:t xml:space="preserve"> </w:t>
      </w:r>
      <w:r w:rsidRPr="00BD5405">
        <w:rPr>
          <w:color w:val="000000" w:themeColor="text1"/>
        </w:rPr>
        <w:t>in</w:t>
      </w:r>
      <w:r w:rsidR="00C64050">
        <w:rPr>
          <w:color w:val="000000" w:themeColor="text1"/>
        </w:rPr>
        <w:t xml:space="preserve"> </w:t>
      </w:r>
      <w:r w:rsidRPr="00BD5405">
        <w:rPr>
          <w:color w:val="000000" w:themeColor="text1"/>
        </w:rPr>
        <w:t>kind</w:t>
      </w:r>
      <w:r w:rsidR="00C64050">
        <w:rPr>
          <w:color w:val="000000" w:themeColor="text1"/>
        </w:rPr>
        <w:t xml:space="preserve"> </w:t>
      </w:r>
      <w:r w:rsidRPr="00BD5405">
        <w:rPr>
          <w:color w:val="000000" w:themeColor="text1"/>
        </w:rPr>
        <w:t>by</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trustee,</w:t>
      </w:r>
      <w:r w:rsidR="00C64050">
        <w:rPr>
          <w:color w:val="000000" w:themeColor="text1"/>
        </w:rPr>
        <w:t xml:space="preserve"> </w:t>
      </w:r>
      <w:r w:rsidRPr="00BD5405">
        <w:rPr>
          <w:color w:val="000000" w:themeColor="text1"/>
        </w:rPr>
        <w:t>although</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trust</w:t>
      </w:r>
      <w:r w:rsidR="00C64050">
        <w:rPr>
          <w:color w:val="000000" w:themeColor="text1"/>
        </w:rPr>
        <w:t xml:space="preserve"> </w:t>
      </w:r>
      <w:r w:rsidRPr="00BD5405">
        <w:rPr>
          <w:color w:val="000000" w:themeColor="text1"/>
        </w:rPr>
        <w:t>instrument</w:t>
      </w:r>
      <w:r w:rsidR="00C64050">
        <w:rPr>
          <w:color w:val="000000" w:themeColor="text1"/>
        </w:rPr>
        <w:t xml:space="preserve"> </w:t>
      </w:r>
      <w:r w:rsidRPr="00BD5405">
        <w:rPr>
          <w:color w:val="000000" w:themeColor="text1"/>
        </w:rPr>
        <w:t>and</w:t>
      </w:r>
      <w:r w:rsidR="00C64050">
        <w:rPr>
          <w:color w:val="000000" w:themeColor="text1"/>
        </w:rPr>
        <w:t xml:space="preserve"> </w:t>
      </w:r>
      <w:r w:rsidRPr="00BD5405">
        <w:rPr>
          <w:color w:val="000000" w:themeColor="text1"/>
        </w:rPr>
        <w:t>local</w:t>
      </w:r>
      <w:r w:rsidR="00C64050">
        <w:rPr>
          <w:color w:val="000000" w:themeColor="text1"/>
        </w:rPr>
        <w:t xml:space="preserve"> </w:t>
      </w:r>
      <w:r w:rsidRPr="00BD5405">
        <w:rPr>
          <w:color w:val="000000" w:themeColor="text1"/>
        </w:rPr>
        <w:t>law</w:t>
      </w:r>
      <w:r w:rsidR="00C64050">
        <w:rPr>
          <w:color w:val="000000" w:themeColor="text1"/>
        </w:rPr>
        <w:t xml:space="preserve"> </w:t>
      </w:r>
      <w:r w:rsidRPr="00BD5405">
        <w:rPr>
          <w:color w:val="000000" w:themeColor="text1"/>
        </w:rPr>
        <w:t>did</w:t>
      </w:r>
      <w:r w:rsidR="00C64050">
        <w:rPr>
          <w:color w:val="000000" w:themeColor="text1"/>
        </w:rPr>
        <w:t xml:space="preserve"> </w:t>
      </w:r>
      <w:r w:rsidRPr="00BD5405">
        <w:rPr>
          <w:color w:val="000000" w:themeColor="text1"/>
        </w:rPr>
        <w:t>not</w:t>
      </w:r>
      <w:r w:rsidR="00C64050">
        <w:rPr>
          <w:color w:val="000000" w:themeColor="text1"/>
        </w:rPr>
        <w:t xml:space="preserve"> </w:t>
      </w:r>
      <w:r w:rsidRPr="00BD5405">
        <w:rPr>
          <w:color w:val="000000" w:themeColor="text1"/>
        </w:rPr>
        <w:t>convey</w:t>
      </w:r>
      <w:r w:rsidR="00C64050">
        <w:rPr>
          <w:color w:val="000000" w:themeColor="text1"/>
        </w:rPr>
        <w:t xml:space="preserve"> </w:t>
      </w:r>
      <w:r w:rsidRPr="00BD5405">
        <w:rPr>
          <w:color w:val="000000" w:themeColor="text1"/>
        </w:rPr>
        <w:t>authority</w:t>
      </w:r>
      <w:r w:rsidR="00C64050">
        <w:rPr>
          <w:color w:val="000000" w:themeColor="text1"/>
        </w:rPr>
        <w:t xml:space="preserve"> </w:t>
      </w:r>
      <w:r w:rsidRPr="00BD5405">
        <w:rPr>
          <w:color w:val="000000" w:themeColor="text1"/>
        </w:rPr>
        <w:t>to</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trustee</w:t>
      </w:r>
      <w:r w:rsidR="00C64050">
        <w:rPr>
          <w:color w:val="000000" w:themeColor="text1"/>
        </w:rPr>
        <w:t xml:space="preserve"> </w:t>
      </w:r>
      <w:r w:rsidRPr="00BD5405">
        <w:rPr>
          <w:color w:val="000000" w:themeColor="text1"/>
        </w:rPr>
        <w:t>to</w:t>
      </w:r>
      <w:r w:rsidR="00C64050">
        <w:rPr>
          <w:color w:val="000000" w:themeColor="text1"/>
        </w:rPr>
        <w:t xml:space="preserve"> </w:t>
      </w:r>
      <w:r w:rsidRPr="00BD5405">
        <w:rPr>
          <w:color w:val="000000" w:themeColor="text1"/>
        </w:rPr>
        <w:t>a</w:t>
      </w:r>
      <w:r w:rsidR="00C64050">
        <w:rPr>
          <w:color w:val="000000" w:themeColor="text1"/>
        </w:rPr>
        <w:t xml:space="preserve"> </w:t>
      </w:r>
      <w:r w:rsidRPr="00BD5405">
        <w:rPr>
          <w:color w:val="000000" w:themeColor="text1"/>
        </w:rPr>
        <w:t>make</w:t>
      </w:r>
      <w:r w:rsidR="00C64050">
        <w:rPr>
          <w:color w:val="000000" w:themeColor="text1"/>
        </w:rPr>
        <w:t xml:space="preserve"> </w:t>
      </w:r>
      <w:r w:rsidRPr="00BD5405">
        <w:rPr>
          <w:color w:val="000000" w:themeColor="text1"/>
        </w:rPr>
        <w:t>a</w:t>
      </w:r>
      <w:r w:rsidR="00C64050">
        <w:rPr>
          <w:color w:val="000000" w:themeColor="text1"/>
        </w:rPr>
        <w:t xml:space="preserve"> </w:t>
      </w:r>
      <w:r w:rsidRPr="00BD5405">
        <w:rPr>
          <w:color w:val="000000" w:themeColor="text1"/>
        </w:rPr>
        <w:t>non-pro</w:t>
      </w:r>
      <w:r w:rsidR="00C64050">
        <w:rPr>
          <w:color w:val="000000" w:themeColor="text1"/>
        </w:rPr>
        <w:t xml:space="preserve"> </w:t>
      </w:r>
      <w:r w:rsidRPr="00BD5405">
        <w:rPr>
          <w:color w:val="000000" w:themeColor="text1"/>
        </w:rPr>
        <w:t>rata</w:t>
      </w:r>
      <w:r w:rsidR="00C64050">
        <w:rPr>
          <w:color w:val="000000" w:themeColor="text1"/>
        </w:rPr>
        <w:t xml:space="preserve"> </w:t>
      </w:r>
      <w:r w:rsidRPr="00BD5405">
        <w:rPr>
          <w:color w:val="000000" w:themeColor="text1"/>
        </w:rPr>
        <w:t>distribution</w:t>
      </w:r>
      <w:r w:rsidR="00C64050">
        <w:rPr>
          <w:color w:val="000000" w:themeColor="text1"/>
        </w:rPr>
        <w:t xml:space="preserve"> </w:t>
      </w:r>
      <w:r w:rsidRPr="00BD5405">
        <w:rPr>
          <w:color w:val="000000" w:themeColor="text1"/>
        </w:rPr>
        <w:t>of</w:t>
      </w:r>
      <w:r w:rsidR="00C64050">
        <w:rPr>
          <w:color w:val="000000" w:themeColor="text1"/>
        </w:rPr>
        <w:t xml:space="preserve"> </w:t>
      </w:r>
      <w:r w:rsidRPr="00BD5405">
        <w:rPr>
          <w:color w:val="000000" w:themeColor="text1"/>
        </w:rPr>
        <w:t>property</w:t>
      </w:r>
      <w:r w:rsidR="00C64050">
        <w:rPr>
          <w:color w:val="000000" w:themeColor="text1"/>
        </w:rPr>
        <w:t xml:space="preserve"> </w:t>
      </w:r>
      <w:r w:rsidRPr="00BD5405">
        <w:rPr>
          <w:color w:val="000000" w:themeColor="text1"/>
        </w:rPr>
        <w:t>in</w:t>
      </w:r>
      <w:r w:rsidR="00C64050">
        <w:rPr>
          <w:color w:val="000000" w:themeColor="text1"/>
        </w:rPr>
        <w:t xml:space="preserve"> </w:t>
      </w:r>
      <w:r w:rsidRPr="00BD5405">
        <w:rPr>
          <w:color w:val="000000" w:themeColor="text1"/>
        </w:rPr>
        <w:t>kind.</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distribution</w:t>
      </w:r>
      <w:r w:rsidR="00C64050">
        <w:rPr>
          <w:color w:val="000000" w:themeColor="text1"/>
        </w:rPr>
        <w:t xml:space="preserve"> </w:t>
      </w:r>
      <w:r w:rsidRPr="00BD5405">
        <w:rPr>
          <w:color w:val="000000" w:themeColor="text1"/>
        </w:rPr>
        <w:t>was</w:t>
      </w:r>
      <w:r w:rsidR="00C64050">
        <w:rPr>
          <w:color w:val="000000" w:themeColor="text1"/>
        </w:rPr>
        <w:t xml:space="preserve"> </w:t>
      </w:r>
      <w:r w:rsidRPr="00BD5405">
        <w:rPr>
          <w:color w:val="000000" w:themeColor="text1"/>
        </w:rPr>
        <w:t>effected</w:t>
      </w:r>
      <w:r w:rsidR="00C64050">
        <w:rPr>
          <w:color w:val="000000" w:themeColor="text1"/>
        </w:rPr>
        <w:t xml:space="preserve"> </w:t>
      </w:r>
      <w:r w:rsidRPr="00BD5405">
        <w:rPr>
          <w:color w:val="000000" w:themeColor="text1"/>
        </w:rPr>
        <w:t>as</w:t>
      </w:r>
      <w:r w:rsidR="00C64050">
        <w:rPr>
          <w:color w:val="000000" w:themeColor="text1"/>
        </w:rPr>
        <w:t xml:space="preserve"> </w:t>
      </w:r>
      <w:r w:rsidRPr="00BD5405">
        <w:rPr>
          <w:color w:val="000000" w:themeColor="text1"/>
        </w:rPr>
        <w:t>a</w:t>
      </w:r>
      <w:r w:rsidR="00C64050">
        <w:rPr>
          <w:color w:val="000000" w:themeColor="text1"/>
        </w:rPr>
        <w:t xml:space="preserve"> </w:t>
      </w:r>
      <w:r w:rsidRPr="00BD5405">
        <w:rPr>
          <w:color w:val="000000" w:themeColor="text1"/>
        </w:rPr>
        <w:t>result</w:t>
      </w:r>
      <w:r w:rsidR="00C64050">
        <w:rPr>
          <w:color w:val="000000" w:themeColor="text1"/>
        </w:rPr>
        <w:t xml:space="preserve"> </w:t>
      </w:r>
      <w:r w:rsidRPr="00BD5405">
        <w:rPr>
          <w:color w:val="000000" w:themeColor="text1"/>
        </w:rPr>
        <w:t>of</w:t>
      </w:r>
      <w:r w:rsidR="00C64050">
        <w:rPr>
          <w:color w:val="000000" w:themeColor="text1"/>
        </w:rPr>
        <w:t xml:space="preserve"> </w:t>
      </w:r>
      <w:r w:rsidRPr="00BD5405">
        <w:rPr>
          <w:color w:val="000000" w:themeColor="text1"/>
        </w:rPr>
        <w:t>a</w:t>
      </w:r>
      <w:r w:rsidR="00C64050">
        <w:rPr>
          <w:color w:val="000000" w:themeColor="text1"/>
        </w:rPr>
        <w:t xml:space="preserve"> </w:t>
      </w:r>
      <w:r w:rsidRPr="00BD5405">
        <w:rPr>
          <w:color w:val="000000" w:themeColor="text1"/>
        </w:rPr>
        <w:t>mutual</w:t>
      </w:r>
      <w:r w:rsidR="00C64050">
        <w:rPr>
          <w:color w:val="000000" w:themeColor="text1"/>
        </w:rPr>
        <w:t xml:space="preserve"> </w:t>
      </w:r>
      <w:r w:rsidRPr="00BD5405">
        <w:rPr>
          <w:color w:val="000000" w:themeColor="text1"/>
        </w:rPr>
        <w:t>agreement</w:t>
      </w:r>
      <w:r w:rsidR="00C64050">
        <w:rPr>
          <w:color w:val="000000" w:themeColor="text1"/>
        </w:rPr>
        <w:t xml:space="preserve"> </w:t>
      </w:r>
      <w:r w:rsidRPr="00BD5405">
        <w:rPr>
          <w:color w:val="000000" w:themeColor="text1"/>
        </w:rPr>
        <w:t>between</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trustee</w:t>
      </w:r>
      <w:r w:rsidR="00C64050">
        <w:rPr>
          <w:color w:val="000000" w:themeColor="text1"/>
        </w:rPr>
        <w:t xml:space="preserve"> </w:t>
      </w:r>
      <w:r w:rsidRPr="00BD5405">
        <w:rPr>
          <w:color w:val="000000" w:themeColor="text1"/>
        </w:rPr>
        <w:t>and</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beneficiaries.</w:t>
      </w:r>
      <w:r w:rsidR="00C64050">
        <w:rPr>
          <w:color w:val="000000" w:themeColor="text1"/>
        </w:rPr>
        <w:t xml:space="preserve"> </w:t>
      </w:r>
      <w:r w:rsidRPr="00BD5405">
        <w:rPr>
          <w:color w:val="000000" w:themeColor="text1"/>
        </w:rPr>
        <w:t>Because</w:t>
      </w:r>
      <w:r w:rsidR="00C64050">
        <w:rPr>
          <w:color w:val="000000" w:themeColor="text1"/>
        </w:rPr>
        <w:t xml:space="preserve"> </w:t>
      </w:r>
      <w:r w:rsidRPr="00BD5405">
        <w:rPr>
          <w:color w:val="000000" w:themeColor="text1"/>
        </w:rPr>
        <w:t>neither</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trust</w:t>
      </w:r>
      <w:r w:rsidR="00C64050">
        <w:rPr>
          <w:color w:val="000000" w:themeColor="text1"/>
        </w:rPr>
        <w:t xml:space="preserve"> </w:t>
      </w:r>
      <w:r w:rsidRPr="00BD5405">
        <w:rPr>
          <w:color w:val="000000" w:themeColor="text1"/>
        </w:rPr>
        <w:t>instrument</w:t>
      </w:r>
      <w:r w:rsidR="00C64050">
        <w:rPr>
          <w:color w:val="000000" w:themeColor="text1"/>
        </w:rPr>
        <w:t xml:space="preserve"> </w:t>
      </w:r>
      <w:r w:rsidRPr="00BD5405">
        <w:rPr>
          <w:color w:val="000000" w:themeColor="text1"/>
        </w:rPr>
        <w:t>nor</w:t>
      </w:r>
      <w:r w:rsidR="00C64050">
        <w:rPr>
          <w:color w:val="000000" w:themeColor="text1"/>
        </w:rPr>
        <w:t xml:space="preserve"> </w:t>
      </w:r>
      <w:r w:rsidRPr="00BD5405">
        <w:rPr>
          <w:color w:val="000000" w:themeColor="text1"/>
        </w:rPr>
        <w:t>local</w:t>
      </w:r>
      <w:r w:rsidR="00C64050">
        <w:rPr>
          <w:color w:val="000000" w:themeColor="text1"/>
        </w:rPr>
        <w:t xml:space="preserve"> </w:t>
      </w:r>
      <w:r w:rsidRPr="00BD5405">
        <w:rPr>
          <w:color w:val="000000" w:themeColor="text1"/>
        </w:rPr>
        <w:t>law</w:t>
      </w:r>
      <w:r w:rsidR="00C64050">
        <w:rPr>
          <w:color w:val="000000" w:themeColor="text1"/>
        </w:rPr>
        <w:t xml:space="preserve"> </w:t>
      </w:r>
      <w:r w:rsidRPr="00BD5405">
        <w:rPr>
          <w:color w:val="000000" w:themeColor="text1"/>
        </w:rPr>
        <w:t>conveyed</w:t>
      </w:r>
      <w:r w:rsidR="00C64050">
        <w:rPr>
          <w:color w:val="000000" w:themeColor="text1"/>
        </w:rPr>
        <w:t xml:space="preserve"> </w:t>
      </w:r>
      <w:r w:rsidRPr="00BD5405">
        <w:rPr>
          <w:color w:val="000000" w:themeColor="text1"/>
        </w:rPr>
        <w:t>authority</w:t>
      </w:r>
      <w:r w:rsidR="00C64050">
        <w:rPr>
          <w:color w:val="000000" w:themeColor="text1"/>
        </w:rPr>
        <w:t xml:space="preserve"> </w:t>
      </w:r>
      <w:r w:rsidRPr="00BD5405">
        <w:rPr>
          <w:color w:val="000000" w:themeColor="text1"/>
        </w:rPr>
        <w:t>to</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trustee</w:t>
      </w:r>
      <w:r w:rsidR="00C64050">
        <w:rPr>
          <w:color w:val="000000" w:themeColor="text1"/>
        </w:rPr>
        <w:t xml:space="preserve"> </w:t>
      </w:r>
      <w:r w:rsidRPr="00BD5405">
        <w:rPr>
          <w:color w:val="000000" w:themeColor="text1"/>
        </w:rPr>
        <w:t>to</w:t>
      </w:r>
      <w:r w:rsidR="00C64050">
        <w:rPr>
          <w:color w:val="000000" w:themeColor="text1"/>
        </w:rPr>
        <w:t xml:space="preserve"> </w:t>
      </w:r>
      <w:r w:rsidRPr="00BD5405">
        <w:rPr>
          <w:color w:val="000000" w:themeColor="text1"/>
        </w:rPr>
        <w:t>make</w:t>
      </w:r>
      <w:r w:rsidR="00C64050">
        <w:rPr>
          <w:color w:val="000000" w:themeColor="text1"/>
        </w:rPr>
        <w:t xml:space="preserve"> </w:t>
      </w:r>
      <w:r w:rsidRPr="00BD5405">
        <w:rPr>
          <w:color w:val="000000" w:themeColor="text1"/>
        </w:rPr>
        <w:t>a</w:t>
      </w:r>
      <w:r w:rsidR="00C64050">
        <w:rPr>
          <w:color w:val="000000" w:themeColor="text1"/>
        </w:rPr>
        <w:t xml:space="preserve"> </w:t>
      </w:r>
      <w:r w:rsidRPr="00BD5405">
        <w:rPr>
          <w:color w:val="000000" w:themeColor="text1"/>
        </w:rPr>
        <w:t>non-pro</w:t>
      </w:r>
      <w:r w:rsidR="00C64050">
        <w:rPr>
          <w:color w:val="000000" w:themeColor="text1"/>
        </w:rPr>
        <w:t xml:space="preserve"> </w:t>
      </w:r>
      <w:r w:rsidRPr="00BD5405">
        <w:rPr>
          <w:color w:val="000000" w:themeColor="text1"/>
        </w:rPr>
        <w:t>rata</w:t>
      </w:r>
      <w:r w:rsidR="00C64050">
        <w:rPr>
          <w:color w:val="000000" w:themeColor="text1"/>
        </w:rPr>
        <w:t xml:space="preserve"> </w:t>
      </w:r>
      <w:r w:rsidRPr="00BD5405">
        <w:rPr>
          <w:color w:val="000000" w:themeColor="text1"/>
        </w:rPr>
        <w:t>distribution,</w:t>
      </w:r>
      <w:r w:rsidR="00C64050">
        <w:rPr>
          <w:color w:val="000000" w:themeColor="text1"/>
        </w:rPr>
        <w:t xml:space="preserve"> </w:t>
      </w:r>
      <w:hyperlink r:id="rId99" w:history="1">
        <w:r w:rsidRPr="00BD5405">
          <w:rPr>
            <w:color w:val="000000" w:themeColor="text1"/>
          </w:rPr>
          <w:t>Rev.</w:t>
        </w:r>
        <w:r w:rsidR="00C64050">
          <w:rPr>
            <w:color w:val="000000" w:themeColor="text1"/>
          </w:rPr>
          <w:t xml:space="preserve"> </w:t>
        </w:r>
        <w:r w:rsidRPr="00BD5405">
          <w:rPr>
            <w:color w:val="000000" w:themeColor="text1"/>
          </w:rPr>
          <w:t>Rul.</w:t>
        </w:r>
        <w:r w:rsidR="00C64050">
          <w:rPr>
            <w:color w:val="000000" w:themeColor="text1"/>
          </w:rPr>
          <w:t xml:space="preserve"> </w:t>
        </w:r>
        <w:r w:rsidRPr="00BD5405">
          <w:rPr>
            <w:color w:val="000000" w:themeColor="text1"/>
          </w:rPr>
          <w:t>69-486</w:t>
        </w:r>
      </w:hyperlink>
      <w:r w:rsidR="00C64050">
        <w:rPr>
          <w:color w:val="000000" w:themeColor="text1"/>
        </w:rPr>
        <w:t xml:space="preserve"> </w:t>
      </w:r>
      <w:r w:rsidRPr="00BD5405">
        <w:rPr>
          <w:color w:val="000000" w:themeColor="text1"/>
        </w:rPr>
        <w:t>held</w:t>
      </w:r>
      <w:r w:rsidR="00C64050">
        <w:rPr>
          <w:color w:val="000000" w:themeColor="text1"/>
        </w:rPr>
        <w:t xml:space="preserve"> </w:t>
      </w:r>
      <w:r w:rsidRPr="00BD5405">
        <w:rPr>
          <w:color w:val="000000" w:themeColor="text1"/>
        </w:rPr>
        <w:t>that</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transaction</w:t>
      </w:r>
      <w:r w:rsidR="00C64050">
        <w:rPr>
          <w:color w:val="000000" w:themeColor="text1"/>
        </w:rPr>
        <w:t xml:space="preserve"> </w:t>
      </w:r>
      <w:r w:rsidRPr="00BD5405">
        <w:rPr>
          <w:color w:val="000000" w:themeColor="text1"/>
        </w:rPr>
        <w:t>was</w:t>
      </w:r>
      <w:r w:rsidR="00C64050">
        <w:rPr>
          <w:color w:val="000000" w:themeColor="text1"/>
        </w:rPr>
        <w:t xml:space="preserve"> </w:t>
      </w:r>
      <w:r w:rsidRPr="00BD5405">
        <w:rPr>
          <w:color w:val="000000" w:themeColor="text1"/>
        </w:rPr>
        <w:t>equivalent</w:t>
      </w:r>
      <w:r w:rsidR="00C64050">
        <w:rPr>
          <w:color w:val="000000" w:themeColor="text1"/>
        </w:rPr>
        <w:t xml:space="preserve"> </w:t>
      </w:r>
      <w:r w:rsidRPr="00BD5405">
        <w:rPr>
          <w:color w:val="000000" w:themeColor="text1"/>
        </w:rPr>
        <w:t>to</w:t>
      </w:r>
      <w:r w:rsidR="00C64050">
        <w:rPr>
          <w:color w:val="000000" w:themeColor="text1"/>
        </w:rPr>
        <w:t xml:space="preserve"> </w:t>
      </w:r>
      <w:r w:rsidRPr="00BD5405">
        <w:rPr>
          <w:color w:val="000000" w:themeColor="text1"/>
        </w:rPr>
        <w:t>a</w:t>
      </w:r>
      <w:r w:rsidR="00C64050">
        <w:rPr>
          <w:color w:val="000000" w:themeColor="text1"/>
        </w:rPr>
        <w:t xml:space="preserve"> </w:t>
      </w:r>
      <w:r w:rsidRPr="00BD5405">
        <w:rPr>
          <w:color w:val="000000" w:themeColor="text1"/>
        </w:rPr>
        <w:t>pro</w:t>
      </w:r>
      <w:r w:rsidR="00C64050">
        <w:rPr>
          <w:color w:val="000000" w:themeColor="text1"/>
        </w:rPr>
        <w:t xml:space="preserve"> </w:t>
      </w:r>
      <w:r w:rsidRPr="00BD5405">
        <w:rPr>
          <w:color w:val="000000" w:themeColor="text1"/>
        </w:rPr>
        <w:t>rata</w:t>
      </w:r>
      <w:r w:rsidR="00C64050">
        <w:rPr>
          <w:color w:val="000000" w:themeColor="text1"/>
        </w:rPr>
        <w:t xml:space="preserve"> </w:t>
      </w:r>
      <w:r w:rsidRPr="00BD5405">
        <w:rPr>
          <w:color w:val="000000" w:themeColor="text1"/>
        </w:rPr>
        <w:t>distribution</w:t>
      </w:r>
      <w:r w:rsidR="00C64050">
        <w:rPr>
          <w:color w:val="000000" w:themeColor="text1"/>
        </w:rPr>
        <w:t xml:space="preserve"> </w:t>
      </w:r>
      <w:r w:rsidRPr="00BD5405">
        <w:rPr>
          <w:color w:val="000000" w:themeColor="text1"/>
        </w:rPr>
        <w:t>followed</w:t>
      </w:r>
      <w:r w:rsidR="00C64050">
        <w:rPr>
          <w:color w:val="000000" w:themeColor="text1"/>
        </w:rPr>
        <w:t xml:space="preserve"> </w:t>
      </w:r>
      <w:r w:rsidRPr="00BD5405">
        <w:rPr>
          <w:color w:val="000000" w:themeColor="text1"/>
        </w:rPr>
        <w:t>by</w:t>
      </w:r>
      <w:r w:rsidR="00C64050">
        <w:rPr>
          <w:color w:val="000000" w:themeColor="text1"/>
        </w:rPr>
        <w:t xml:space="preserve"> </w:t>
      </w:r>
      <w:r w:rsidRPr="00BD5405">
        <w:rPr>
          <w:color w:val="000000" w:themeColor="text1"/>
        </w:rPr>
        <w:t>an</w:t>
      </w:r>
      <w:r w:rsidR="00C64050">
        <w:rPr>
          <w:color w:val="000000" w:themeColor="text1"/>
        </w:rPr>
        <w:t xml:space="preserve"> </w:t>
      </w:r>
      <w:r w:rsidRPr="00BD5405">
        <w:rPr>
          <w:color w:val="000000" w:themeColor="text1"/>
        </w:rPr>
        <w:t>exchange</w:t>
      </w:r>
      <w:r w:rsidR="00C64050">
        <w:rPr>
          <w:color w:val="000000" w:themeColor="text1"/>
        </w:rPr>
        <w:t xml:space="preserve"> </w:t>
      </w:r>
      <w:r w:rsidRPr="00BD5405">
        <w:rPr>
          <w:color w:val="000000" w:themeColor="text1"/>
        </w:rPr>
        <w:t>between</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beneficiaries,</w:t>
      </w:r>
      <w:r w:rsidR="00C64050">
        <w:rPr>
          <w:color w:val="000000" w:themeColor="text1"/>
        </w:rPr>
        <w:t xml:space="preserve"> </w:t>
      </w:r>
      <w:r w:rsidRPr="00BD5405">
        <w:rPr>
          <w:color w:val="000000" w:themeColor="text1"/>
        </w:rPr>
        <w:t>an</w:t>
      </w:r>
      <w:r w:rsidR="00C64050">
        <w:rPr>
          <w:color w:val="000000" w:themeColor="text1"/>
        </w:rPr>
        <w:t xml:space="preserve"> </w:t>
      </w:r>
      <w:r w:rsidRPr="00BD5405">
        <w:rPr>
          <w:color w:val="000000" w:themeColor="text1"/>
        </w:rPr>
        <w:t>exchange</w:t>
      </w:r>
      <w:r w:rsidR="00C64050">
        <w:rPr>
          <w:color w:val="000000" w:themeColor="text1"/>
        </w:rPr>
        <w:t xml:space="preserve"> </w:t>
      </w:r>
      <w:r w:rsidRPr="00BD5405">
        <w:rPr>
          <w:color w:val="000000" w:themeColor="text1"/>
        </w:rPr>
        <w:t>that</w:t>
      </w:r>
      <w:r w:rsidR="00C64050">
        <w:rPr>
          <w:color w:val="000000" w:themeColor="text1"/>
        </w:rPr>
        <w:t xml:space="preserve"> </w:t>
      </w:r>
      <w:r w:rsidRPr="00BD5405">
        <w:rPr>
          <w:color w:val="000000" w:themeColor="text1"/>
        </w:rPr>
        <w:t>required</w:t>
      </w:r>
      <w:r w:rsidR="00C64050">
        <w:rPr>
          <w:color w:val="000000" w:themeColor="text1"/>
        </w:rPr>
        <w:t xml:space="preserve"> </w:t>
      </w:r>
      <w:r w:rsidRPr="00BD5405">
        <w:rPr>
          <w:color w:val="000000" w:themeColor="text1"/>
        </w:rPr>
        <w:t>recognition</w:t>
      </w:r>
      <w:r w:rsidR="00C64050">
        <w:rPr>
          <w:color w:val="000000" w:themeColor="text1"/>
        </w:rPr>
        <w:t xml:space="preserve"> </w:t>
      </w:r>
      <w:r w:rsidRPr="00BD5405">
        <w:rPr>
          <w:color w:val="000000" w:themeColor="text1"/>
        </w:rPr>
        <w:t>of</w:t>
      </w:r>
      <w:r w:rsidR="00C64050">
        <w:rPr>
          <w:color w:val="000000" w:themeColor="text1"/>
        </w:rPr>
        <w:t xml:space="preserve"> </w:t>
      </w:r>
      <w:r w:rsidRPr="00BD5405">
        <w:rPr>
          <w:color w:val="000000" w:themeColor="text1"/>
        </w:rPr>
        <w:t>gain</w:t>
      </w:r>
      <w:r w:rsidR="00C64050">
        <w:rPr>
          <w:color w:val="000000" w:themeColor="text1"/>
        </w:rPr>
        <w:t xml:space="preserve"> </w:t>
      </w:r>
      <w:r w:rsidRPr="00BD5405">
        <w:rPr>
          <w:color w:val="000000" w:themeColor="text1"/>
        </w:rPr>
        <w:t>under</w:t>
      </w:r>
      <w:r w:rsidR="00C64050">
        <w:rPr>
          <w:color w:val="000000" w:themeColor="text1"/>
        </w:rPr>
        <w:t xml:space="preserve"> </w:t>
      </w:r>
      <w:hyperlink r:id="rId100" w:history="1">
        <w:r w:rsidRPr="00BD5405">
          <w:rPr>
            <w:color w:val="000000" w:themeColor="text1"/>
          </w:rPr>
          <w:t>§</w:t>
        </w:r>
        <w:r w:rsidR="00C64050">
          <w:rPr>
            <w:color w:val="000000" w:themeColor="text1"/>
          </w:rPr>
          <w:t xml:space="preserve"> </w:t>
        </w:r>
        <w:r w:rsidRPr="00BD5405">
          <w:rPr>
            <w:color w:val="000000" w:themeColor="text1"/>
          </w:rPr>
          <w:t>1001</w:t>
        </w:r>
      </w:hyperlink>
      <w:r w:rsidRPr="00BD5405">
        <w:rPr>
          <w:color w:val="000000" w:themeColor="text1"/>
        </w:rPr>
        <w:t>.</w:t>
      </w:r>
    </w:p>
    <w:p w:rsidR="00BD5405" w:rsidRPr="00BD5405" w:rsidRDefault="00BD5405" w:rsidP="00BD5405">
      <w:pPr>
        <w:pStyle w:val="QS10"/>
        <w:rPr>
          <w:color w:val="000000" w:themeColor="text1"/>
        </w:rPr>
      </w:pPr>
      <w:r w:rsidRPr="00BD5405">
        <w:rPr>
          <w:color w:val="000000" w:themeColor="text1"/>
        </w:rPr>
        <w:t>Although</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proposed</w:t>
      </w:r>
      <w:r w:rsidR="00C64050">
        <w:rPr>
          <w:color w:val="000000" w:themeColor="text1"/>
        </w:rPr>
        <w:t xml:space="preserve"> </w:t>
      </w:r>
      <w:r w:rsidRPr="00BD5405">
        <w:rPr>
          <w:color w:val="000000" w:themeColor="text1"/>
        </w:rPr>
        <w:t>transaction</w:t>
      </w:r>
      <w:r w:rsidR="00C64050">
        <w:rPr>
          <w:color w:val="000000" w:themeColor="text1"/>
        </w:rPr>
        <w:t xml:space="preserve"> </w:t>
      </w:r>
      <w:r w:rsidRPr="00BD5405">
        <w:rPr>
          <w:color w:val="000000" w:themeColor="text1"/>
        </w:rPr>
        <w:t>takes</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form</w:t>
      </w:r>
      <w:r w:rsidR="00C64050">
        <w:rPr>
          <w:color w:val="000000" w:themeColor="text1"/>
        </w:rPr>
        <w:t xml:space="preserve"> </w:t>
      </w:r>
      <w:r w:rsidRPr="00BD5405">
        <w:rPr>
          <w:color w:val="000000" w:themeColor="text1"/>
        </w:rPr>
        <w:t>of</w:t>
      </w:r>
      <w:r w:rsidR="00C64050">
        <w:rPr>
          <w:color w:val="000000" w:themeColor="text1"/>
        </w:rPr>
        <w:t xml:space="preserve"> </w:t>
      </w:r>
      <w:r w:rsidRPr="00BD5405">
        <w:rPr>
          <w:color w:val="000000" w:themeColor="text1"/>
        </w:rPr>
        <w:t>a</w:t>
      </w:r>
      <w:r w:rsidR="00C64050">
        <w:rPr>
          <w:color w:val="000000" w:themeColor="text1"/>
        </w:rPr>
        <w:t xml:space="preserve"> </w:t>
      </w:r>
      <w:r w:rsidRPr="00BD5405">
        <w:rPr>
          <w:color w:val="000000" w:themeColor="text1"/>
        </w:rPr>
        <w:t>distribution</w:t>
      </w:r>
      <w:r w:rsidR="00C64050">
        <w:rPr>
          <w:color w:val="000000" w:themeColor="text1"/>
        </w:rPr>
        <w:t xml:space="preserve"> </w:t>
      </w:r>
      <w:r w:rsidRPr="00BD5405">
        <w:rPr>
          <w:color w:val="000000" w:themeColor="text1"/>
        </w:rPr>
        <w:t>of</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present</w:t>
      </w:r>
      <w:r w:rsidR="00C64050">
        <w:rPr>
          <w:color w:val="000000" w:themeColor="text1"/>
        </w:rPr>
        <w:t xml:space="preserve"> </w:t>
      </w:r>
      <w:r w:rsidRPr="00BD5405">
        <w:rPr>
          <w:color w:val="000000" w:themeColor="text1"/>
        </w:rPr>
        <w:t>values</w:t>
      </w:r>
      <w:r w:rsidR="00C64050">
        <w:rPr>
          <w:color w:val="000000" w:themeColor="text1"/>
        </w:rPr>
        <w:t xml:space="preserve"> </w:t>
      </w:r>
      <w:r w:rsidRPr="00BD5405">
        <w:rPr>
          <w:color w:val="000000" w:themeColor="text1"/>
        </w:rPr>
        <w:t>of</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respective</w:t>
      </w:r>
      <w:r w:rsidR="00C64050">
        <w:rPr>
          <w:color w:val="000000" w:themeColor="text1"/>
        </w:rPr>
        <w:t xml:space="preserve"> </w:t>
      </w:r>
      <w:r w:rsidRPr="00BD5405">
        <w:rPr>
          <w:color w:val="000000" w:themeColor="text1"/>
        </w:rPr>
        <w:t>interests</w:t>
      </w:r>
      <w:r w:rsidR="00C64050">
        <w:rPr>
          <w:color w:val="000000" w:themeColor="text1"/>
        </w:rPr>
        <w:t xml:space="preserve"> </w:t>
      </w:r>
      <w:r w:rsidRPr="00BD5405">
        <w:rPr>
          <w:color w:val="000000" w:themeColor="text1"/>
        </w:rPr>
        <w:t>of</w:t>
      </w:r>
      <w:r w:rsidR="00C64050">
        <w:rPr>
          <w:color w:val="000000" w:themeColor="text1"/>
        </w:rPr>
        <w:t xml:space="preserve"> </w:t>
      </w:r>
      <w:r w:rsidRPr="00BD5405">
        <w:rPr>
          <w:color w:val="000000" w:themeColor="text1"/>
        </w:rPr>
        <w:t>Son,</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Current</w:t>
      </w:r>
      <w:r w:rsidR="00C64050">
        <w:rPr>
          <w:color w:val="000000" w:themeColor="text1"/>
        </w:rPr>
        <w:t xml:space="preserve"> </w:t>
      </w:r>
      <w:r w:rsidRPr="00BD5405">
        <w:rPr>
          <w:color w:val="000000" w:themeColor="text1"/>
        </w:rPr>
        <w:t>Remaindermen,</w:t>
      </w:r>
      <w:r w:rsidR="00C64050">
        <w:rPr>
          <w:color w:val="000000" w:themeColor="text1"/>
        </w:rPr>
        <w:t xml:space="preserve"> </w:t>
      </w:r>
      <w:r w:rsidRPr="00BD5405">
        <w:rPr>
          <w:color w:val="000000" w:themeColor="text1"/>
        </w:rPr>
        <w:t>and</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Successor</w:t>
      </w:r>
      <w:r w:rsidR="00C64050">
        <w:rPr>
          <w:color w:val="000000" w:themeColor="text1"/>
        </w:rPr>
        <w:t xml:space="preserve"> </w:t>
      </w:r>
      <w:r w:rsidRPr="00BD5405">
        <w:rPr>
          <w:color w:val="000000" w:themeColor="text1"/>
        </w:rPr>
        <w:t>Remaindermen,</w:t>
      </w:r>
      <w:r w:rsidR="00C64050">
        <w:rPr>
          <w:color w:val="000000" w:themeColor="text1"/>
        </w:rPr>
        <w:t xml:space="preserve"> </w:t>
      </w:r>
      <w:r w:rsidRPr="00BD5405">
        <w:rPr>
          <w:color w:val="000000" w:themeColor="text1"/>
        </w:rPr>
        <w:t>in</w:t>
      </w:r>
      <w:r w:rsidR="00C64050">
        <w:rPr>
          <w:color w:val="000000" w:themeColor="text1"/>
        </w:rPr>
        <w:t xml:space="preserve"> </w:t>
      </w:r>
      <w:r w:rsidRPr="00BD5405">
        <w:rPr>
          <w:color w:val="000000" w:themeColor="text1"/>
        </w:rPr>
        <w:t>substance</w:t>
      </w:r>
      <w:r w:rsidR="00C64050">
        <w:rPr>
          <w:color w:val="000000" w:themeColor="text1"/>
        </w:rPr>
        <w:t xml:space="preserve"> </w:t>
      </w:r>
      <w:r w:rsidRPr="00BD5405">
        <w:rPr>
          <w:color w:val="000000" w:themeColor="text1"/>
        </w:rPr>
        <w:t>it</w:t>
      </w:r>
      <w:r w:rsidR="00C64050">
        <w:rPr>
          <w:color w:val="000000" w:themeColor="text1"/>
        </w:rPr>
        <w:t xml:space="preserve"> </w:t>
      </w:r>
      <w:r w:rsidRPr="00BD5405">
        <w:rPr>
          <w:color w:val="000000" w:themeColor="text1"/>
        </w:rPr>
        <w:t>is</w:t>
      </w:r>
      <w:r w:rsidR="00C64050">
        <w:rPr>
          <w:color w:val="000000" w:themeColor="text1"/>
        </w:rPr>
        <w:t xml:space="preserve"> </w:t>
      </w:r>
      <w:r w:rsidRPr="00BD5405">
        <w:rPr>
          <w:color w:val="000000" w:themeColor="text1"/>
        </w:rPr>
        <w:t>a</w:t>
      </w:r>
      <w:r w:rsidR="00C64050">
        <w:rPr>
          <w:color w:val="000000" w:themeColor="text1"/>
        </w:rPr>
        <w:t xml:space="preserve"> </w:t>
      </w:r>
      <w:r w:rsidRPr="00BD5405">
        <w:rPr>
          <w:color w:val="000000" w:themeColor="text1"/>
        </w:rPr>
        <w:t>sale</w:t>
      </w:r>
      <w:r w:rsidR="00C64050">
        <w:rPr>
          <w:color w:val="000000" w:themeColor="text1"/>
        </w:rPr>
        <w:t xml:space="preserve"> </w:t>
      </w:r>
      <w:r w:rsidRPr="00BD5405">
        <w:rPr>
          <w:color w:val="000000" w:themeColor="text1"/>
        </w:rPr>
        <w:t>of</w:t>
      </w:r>
      <w:r w:rsidR="00C64050">
        <w:rPr>
          <w:color w:val="000000" w:themeColor="text1"/>
        </w:rPr>
        <w:t xml:space="preserve"> </w:t>
      </w:r>
      <w:r w:rsidRPr="00BD5405">
        <w:rPr>
          <w:color w:val="000000" w:themeColor="text1"/>
        </w:rPr>
        <w:t>Son's</w:t>
      </w:r>
      <w:r w:rsidR="00C64050">
        <w:rPr>
          <w:color w:val="000000" w:themeColor="text1"/>
        </w:rPr>
        <w:t xml:space="preserve"> </w:t>
      </w:r>
      <w:r w:rsidRPr="00BD5405">
        <w:rPr>
          <w:color w:val="000000" w:themeColor="text1"/>
        </w:rPr>
        <w:t>and</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Successor</w:t>
      </w:r>
      <w:r w:rsidR="00C64050">
        <w:rPr>
          <w:color w:val="000000" w:themeColor="text1"/>
        </w:rPr>
        <w:t xml:space="preserve"> </w:t>
      </w:r>
      <w:r w:rsidRPr="00BD5405">
        <w:rPr>
          <w:color w:val="000000" w:themeColor="text1"/>
        </w:rPr>
        <w:t>Remaindermen's</w:t>
      </w:r>
      <w:r w:rsidR="00C64050">
        <w:rPr>
          <w:color w:val="000000" w:themeColor="text1"/>
        </w:rPr>
        <w:t xml:space="preserve"> </w:t>
      </w:r>
      <w:r w:rsidRPr="00BD5405">
        <w:rPr>
          <w:color w:val="000000" w:themeColor="text1"/>
        </w:rPr>
        <w:t>interests</w:t>
      </w:r>
      <w:r w:rsidR="00C64050">
        <w:rPr>
          <w:color w:val="000000" w:themeColor="text1"/>
        </w:rPr>
        <w:t xml:space="preserve"> </w:t>
      </w:r>
      <w:r w:rsidRPr="00BD5405">
        <w:rPr>
          <w:color w:val="000000" w:themeColor="text1"/>
        </w:rPr>
        <w:t>to</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Current</w:t>
      </w:r>
      <w:r w:rsidR="00C64050">
        <w:rPr>
          <w:color w:val="000000" w:themeColor="text1"/>
        </w:rPr>
        <w:t xml:space="preserve"> </w:t>
      </w:r>
      <w:r w:rsidRPr="00BD5405">
        <w:rPr>
          <w:color w:val="000000" w:themeColor="text1"/>
        </w:rPr>
        <w:t>Remaindermen.</w:t>
      </w:r>
      <w:r w:rsidR="00C64050">
        <w:rPr>
          <w:color w:val="000000" w:themeColor="text1"/>
        </w:rPr>
        <w:t xml:space="preserve"> </w:t>
      </w:r>
      <w:hyperlink r:id="rId101" w:history="1">
        <w:r w:rsidRPr="00BD5405">
          <w:rPr>
            <w:color w:val="000000" w:themeColor="text1"/>
          </w:rPr>
          <w:t>Rev.</w:t>
        </w:r>
        <w:r w:rsidR="00C64050">
          <w:rPr>
            <w:color w:val="000000" w:themeColor="text1"/>
          </w:rPr>
          <w:t xml:space="preserve"> </w:t>
        </w:r>
        <w:r w:rsidRPr="00BD5405">
          <w:rPr>
            <w:color w:val="000000" w:themeColor="text1"/>
          </w:rPr>
          <w:t>Rul.</w:t>
        </w:r>
        <w:r w:rsidR="00C64050">
          <w:rPr>
            <w:color w:val="000000" w:themeColor="text1"/>
          </w:rPr>
          <w:t xml:space="preserve"> </w:t>
        </w:r>
        <w:r w:rsidRPr="00BD5405">
          <w:rPr>
            <w:color w:val="000000" w:themeColor="text1"/>
          </w:rPr>
          <w:t>69-486</w:t>
        </w:r>
      </w:hyperlink>
      <w:r w:rsidRPr="00BD5405">
        <w:rPr>
          <w:color w:val="000000" w:themeColor="text1"/>
        </w:rPr>
        <w:t>.</w:t>
      </w:r>
    </w:p>
    <w:p w:rsidR="00BD5405" w:rsidRPr="00BD5405" w:rsidRDefault="00BD5405" w:rsidP="00BD5405">
      <w:pPr>
        <w:pStyle w:val="QS10"/>
        <w:rPr>
          <w:color w:val="000000" w:themeColor="text1"/>
        </w:rPr>
      </w:pPr>
      <w:r w:rsidRPr="00BD5405">
        <w:rPr>
          <w:color w:val="000000" w:themeColor="text1"/>
        </w:rPr>
        <w:t>The</w:t>
      </w:r>
      <w:r w:rsidR="00C64050">
        <w:rPr>
          <w:color w:val="000000" w:themeColor="text1"/>
        </w:rPr>
        <w:t xml:space="preserve"> </w:t>
      </w:r>
      <w:r w:rsidRPr="00BD5405">
        <w:rPr>
          <w:color w:val="000000" w:themeColor="text1"/>
        </w:rPr>
        <w:t>amounts</w:t>
      </w:r>
      <w:r w:rsidR="00C64050">
        <w:rPr>
          <w:color w:val="000000" w:themeColor="text1"/>
        </w:rPr>
        <w:t xml:space="preserve"> </w:t>
      </w:r>
      <w:r w:rsidRPr="00BD5405">
        <w:rPr>
          <w:color w:val="000000" w:themeColor="text1"/>
        </w:rPr>
        <w:t>received</w:t>
      </w:r>
      <w:r w:rsidR="00C64050">
        <w:rPr>
          <w:color w:val="000000" w:themeColor="text1"/>
        </w:rPr>
        <w:t xml:space="preserve"> </w:t>
      </w:r>
      <w:r w:rsidRPr="00BD5405">
        <w:rPr>
          <w:color w:val="000000" w:themeColor="text1"/>
        </w:rPr>
        <w:t>by</w:t>
      </w:r>
      <w:r w:rsidR="00C64050">
        <w:rPr>
          <w:color w:val="000000" w:themeColor="text1"/>
        </w:rPr>
        <w:t xml:space="preserve"> </w:t>
      </w:r>
      <w:r w:rsidRPr="00BD5405">
        <w:rPr>
          <w:color w:val="000000" w:themeColor="text1"/>
        </w:rPr>
        <w:t>Son</w:t>
      </w:r>
      <w:r w:rsidR="00C64050">
        <w:rPr>
          <w:color w:val="000000" w:themeColor="text1"/>
        </w:rPr>
        <w:t xml:space="preserve"> </w:t>
      </w:r>
      <w:r w:rsidRPr="00BD5405">
        <w:rPr>
          <w:color w:val="000000" w:themeColor="text1"/>
        </w:rPr>
        <w:t>as</w:t>
      </w:r>
      <w:r w:rsidR="00C64050">
        <w:rPr>
          <w:color w:val="000000" w:themeColor="text1"/>
        </w:rPr>
        <w:t xml:space="preserve"> </w:t>
      </w:r>
      <w:r w:rsidRPr="00BD5405">
        <w:rPr>
          <w:color w:val="000000" w:themeColor="text1"/>
        </w:rPr>
        <w:t>a</w:t>
      </w:r>
      <w:r w:rsidR="00C64050">
        <w:rPr>
          <w:color w:val="000000" w:themeColor="text1"/>
        </w:rPr>
        <w:t xml:space="preserve"> </w:t>
      </w:r>
      <w:r w:rsidRPr="00BD5405">
        <w:rPr>
          <w:color w:val="000000" w:themeColor="text1"/>
        </w:rPr>
        <w:t>result</w:t>
      </w:r>
      <w:r w:rsidR="00C64050">
        <w:rPr>
          <w:color w:val="000000" w:themeColor="text1"/>
        </w:rPr>
        <w:t xml:space="preserve"> </w:t>
      </w:r>
      <w:r w:rsidRPr="00BD5405">
        <w:rPr>
          <w:color w:val="000000" w:themeColor="text1"/>
        </w:rPr>
        <w:t>of</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termination</w:t>
      </w:r>
      <w:r w:rsidR="00C64050">
        <w:rPr>
          <w:color w:val="000000" w:themeColor="text1"/>
        </w:rPr>
        <w:t xml:space="preserve"> </w:t>
      </w:r>
      <w:r w:rsidRPr="00BD5405">
        <w:rPr>
          <w:color w:val="000000" w:themeColor="text1"/>
        </w:rPr>
        <w:t>of</w:t>
      </w:r>
      <w:r w:rsidR="00C64050">
        <w:rPr>
          <w:color w:val="000000" w:themeColor="text1"/>
        </w:rPr>
        <w:t xml:space="preserve"> </w:t>
      </w:r>
      <w:r w:rsidRPr="00BD5405">
        <w:rPr>
          <w:color w:val="000000" w:themeColor="text1"/>
        </w:rPr>
        <w:t>Trust</w:t>
      </w:r>
      <w:r w:rsidR="00C64050">
        <w:rPr>
          <w:color w:val="000000" w:themeColor="text1"/>
        </w:rPr>
        <w:t xml:space="preserve"> </w:t>
      </w:r>
      <w:r w:rsidRPr="00BD5405">
        <w:rPr>
          <w:color w:val="000000" w:themeColor="text1"/>
        </w:rPr>
        <w:t>are</w:t>
      </w:r>
      <w:r w:rsidR="00C64050">
        <w:rPr>
          <w:color w:val="000000" w:themeColor="text1"/>
        </w:rPr>
        <w:t xml:space="preserve"> </w:t>
      </w:r>
      <w:r w:rsidRPr="00BD5405">
        <w:rPr>
          <w:color w:val="000000" w:themeColor="text1"/>
        </w:rPr>
        <w:t>amounts</w:t>
      </w:r>
      <w:r w:rsidR="00C64050">
        <w:rPr>
          <w:color w:val="000000" w:themeColor="text1"/>
        </w:rPr>
        <w:t xml:space="preserve"> </w:t>
      </w:r>
      <w:r w:rsidRPr="00BD5405">
        <w:rPr>
          <w:color w:val="000000" w:themeColor="text1"/>
        </w:rPr>
        <w:t>received</w:t>
      </w:r>
      <w:r w:rsidR="00C64050">
        <w:rPr>
          <w:color w:val="000000" w:themeColor="text1"/>
        </w:rPr>
        <w:t xml:space="preserve"> </w:t>
      </w:r>
      <w:r w:rsidRPr="00BD5405">
        <w:rPr>
          <w:color w:val="000000" w:themeColor="text1"/>
        </w:rPr>
        <w:t>from</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sale</w:t>
      </w:r>
      <w:r w:rsidR="00C64050">
        <w:rPr>
          <w:color w:val="000000" w:themeColor="text1"/>
        </w:rPr>
        <w:t xml:space="preserve"> </w:t>
      </w:r>
      <w:r w:rsidRPr="00BD5405">
        <w:rPr>
          <w:color w:val="000000" w:themeColor="text1"/>
        </w:rPr>
        <w:t>or</w:t>
      </w:r>
      <w:r w:rsidR="00C64050">
        <w:rPr>
          <w:color w:val="000000" w:themeColor="text1"/>
        </w:rPr>
        <w:t xml:space="preserve"> </w:t>
      </w:r>
      <w:r w:rsidRPr="00BD5405">
        <w:rPr>
          <w:color w:val="000000" w:themeColor="text1"/>
        </w:rPr>
        <w:t>exchange</w:t>
      </w:r>
      <w:r w:rsidR="00C64050">
        <w:rPr>
          <w:color w:val="000000" w:themeColor="text1"/>
        </w:rPr>
        <w:t xml:space="preserve"> </w:t>
      </w:r>
      <w:r w:rsidRPr="00BD5405">
        <w:rPr>
          <w:color w:val="000000" w:themeColor="text1"/>
        </w:rPr>
        <w:t>of</w:t>
      </w:r>
      <w:r w:rsidR="00C64050">
        <w:rPr>
          <w:color w:val="000000" w:themeColor="text1"/>
        </w:rPr>
        <w:t xml:space="preserve"> </w:t>
      </w:r>
      <w:r w:rsidRPr="00BD5405">
        <w:rPr>
          <w:color w:val="000000" w:themeColor="text1"/>
        </w:rPr>
        <w:t>a</w:t>
      </w:r>
      <w:r w:rsidR="00C64050">
        <w:rPr>
          <w:color w:val="000000" w:themeColor="text1"/>
        </w:rPr>
        <w:t xml:space="preserve"> </w:t>
      </w:r>
      <w:r w:rsidRPr="00BD5405">
        <w:rPr>
          <w:color w:val="000000" w:themeColor="text1"/>
        </w:rPr>
        <w:t>capital</w:t>
      </w:r>
      <w:r w:rsidR="00C64050">
        <w:rPr>
          <w:color w:val="000000" w:themeColor="text1"/>
        </w:rPr>
        <w:t xml:space="preserve"> </w:t>
      </w:r>
      <w:r w:rsidRPr="00BD5405">
        <w:rPr>
          <w:color w:val="000000" w:themeColor="text1"/>
        </w:rPr>
        <w:t>asset</w:t>
      </w:r>
      <w:r w:rsidR="00C64050">
        <w:rPr>
          <w:color w:val="000000" w:themeColor="text1"/>
        </w:rPr>
        <w:t xml:space="preserve"> </w:t>
      </w:r>
      <w:r w:rsidRPr="00BD5405">
        <w:rPr>
          <w:color w:val="000000" w:themeColor="text1"/>
        </w:rPr>
        <w:t>to</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Current</w:t>
      </w:r>
      <w:r w:rsidR="00C64050">
        <w:rPr>
          <w:color w:val="000000" w:themeColor="text1"/>
        </w:rPr>
        <w:t xml:space="preserve"> </w:t>
      </w:r>
      <w:r w:rsidRPr="00BD5405">
        <w:rPr>
          <w:color w:val="000000" w:themeColor="text1"/>
        </w:rPr>
        <w:t>Remaindermen.</w:t>
      </w:r>
      <w:r w:rsidR="00C64050">
        <w:rPr>
          <w:color w:val="000000" w:themeColor="text1"/>
        </w:rPr>
        <w:t xml:space="preserve"> </w:t>
      </w:r>
      <w:hyperlink r:id="rId102" w:history="1">
        <w:r w:rsidRPr="00BD5405">
          <w:rPr>
            <w:color w:val="000000" w:themeColor="text1"/>
          </w:rPr>
          <w:t>Rev.</w:t>
        </w:r>
        <w:r w:rsidR="00C64050">
          <w:rPr>
            <w:color w:val="000000" w:themeColor="text1"/>
          </w:rPr>
          <w:t xml:space="preserve"> </w:t>
        </w:r>
        <w:r w:rsidRPr="00BD5405">
          <w:rPr>
            <w:color w:val="000000" w:themeColor="text1"/>
          </w:rPr>
          <w:t>Rul.</w:t>
        </w:r>
        <w:r w:rsidR="00C64050">
          <w:rPr>
            <w:color w:val="000000" w:themeColor="text1"/>
          </w:rPr>
          <w:t xml:space="preserve"> </w:t>
        </w:r>
        <w:r w:rsidRPr="00BD5405">
          <w:rPr>
            <w:color w:val="000000" w:themeColor="text1"/>
          </w:rPr>
          <w:t>72-243</w:t>
        </w:r>
      </w:hyperlink>
      <w:r w:rsidRPr="00BD5405">
        <w:rPr>
          <w:color w:val="000000" w:themeColor="text1"/>
        </w:rPr>
        <w:t>.</w:t>
      </w:r>
      <w:r w:rsidR="00C64050">
        <w:rPr>
          <w:color w:val="000000" w:themeColor="text1"/>
        </w:rPr>
        <w:t xml:space="preserve"> </w:t>
      </w:r>
      <w:r w:rsidRPr="00BD5405">
        <w:rPr>
          <w:color w:val="000000" w:themeColor="text1"/>
        </w:rPr>
        <w:t>Because</w:t>
      </w:r>
      <w:r w:rsidR="00C64050">
        <w:rPr>
          <w:color w:val="000000" w:themeColor="text1"/>
        </w:rPr>
        <w:t xml:space="preserve"> </w:t>
      </w:r>
      <w:r w:rsidRPr="00BD5405">
        <w:rPr>
          <w:color w:val="000000" w:themeColor="text1"/>
        </w:rPr>
        <w:t>Son's</w:t>
      </w:r>
      <w:r w:rsidR="00C64050">
        <w:rPr>
          <w:color w:val="000000" w:themeColor="text1"/>
        </w:rPr>
        <w:t xml:space="preserve"> </w:t>
      </w:r>
      <w:r w:rsidRPr="00BD5405">
        <w:rPr>
          <w:color w:val="000000" w:themeColor="text1"/>
        </w:rPr>
        <w:t>basis</w:t>
      </w:r>
      <w:r w:rsidR="00C64050">
        <w:rPr>
          <w:color w:val="000000" w:themeColor="text1"/>
        </w:rPr>
        <w:t xml:space="preserve"> </w:t>
      </w:r>
      <w:r w:rsidRPr="00BD5405">
        <w:rPr>
          <w:color w:val="000000" w:themeColor="text1"/>
        </w:rPr>
        <w:t>in</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income</w:t>
      </w:r>
      <w:r w:rsidR="00C64050">
        <w:rPr>
          <w:color w:val="000000" w:themeColor="text1"/>
        </w:rPr>
        <w:t xml:space="preserve"> </w:t>
      </w:r>
      <w:r w:rsidRPr="00BD5405">
        <w:rPr>
          <w:color w:val="000000" w:themeColor="text1"/>
        </w:rPr>
        <w:t>interest</w:t>
      </w:r>
      <w:r w:rsidR="00C64050">
        <w:rPr>
          <w:color w:val="000000" w:themeColor="text1"/>
        </w:rPr>
        <w:t xml:space="preserve"> </w:t>
      </w:r>
      <w:r w:rsidRPr="00BD5405">
        <w:rPr>
          <w:color w:val="000000" w:themeColor="text1"/>
        </w:rPr>
        <w:t>of</w:t>
      </w:r>
      <w:r w:rsidR="00C64050">
        <w:rPr>
          <w:color w:val="000000" w:themeColor="text1"/>
        </w:rPr>
        <w:t xml:space="preserve"> </w:t>
      </w:r>
      <w:r w:rsidRPr="00BD5405">
        <w:rPr>
          <w:color w:val="000000" w:themeColor="text1"/>
        </w:rPr>
        <w:t>Trust</w:t>
      </w:r>
      <w:r w:rsidR="00C64050">
        <w:rPr>
          <w:color w:val="000000" w:themeColor="text1"/>
        </w:rPr>
        <w:t xml:space="preserve"> </w:t>
      </w:r>
      <w:r w:rsidRPr="00BD5405">
        <w:rPr>
          <w:color w:val="000000" w:themeColor="text1"/>
        </w:rPr>
        <w:t>is</w:t>
      </w:r>
      <w:r w:rsidR="00C64050">
        <w:rPr>
          <w:color w:val="000000" w:themeColor="text1"/>
        </w:rPr>
        <w:t xml:space="preserve"> </w:t>
      </w:r>
      <w:r w:rsidRPr="00BD5405">
        <w:rPr>
          <w:color w:val="000000" w:themeColor="text1"/>
        </w:rPr>
        <w:t>a</w:t>
      </w:r>
      <w:r w:rsidR="00C64050">
        <w:rPr>
          <w:color w:val="000000" w:themeColor="text1"/>
        </w:rPr>
        <w:t xml:space="preserve"> </w:t>
      </w:r>
      <w:r w:rsidRPr="00BD5405">
        <w:rPr>
          <w:color w:val="000000" w:themeColor="text1"/>
        </w:rPr>
        <w:t>portion</w:t>
      </w:r>
      <w:r w:rsidR="00C64050">
        <w:rPr>
          <w:color w:val="000000" w:themeColor="text1"/>
        </w:rPr>
        <w:t xml:space="preserve"> </w:t>
      </w:r>
      <w:r w:rsidRPr="00BD5405">
        <w:rPr>
          <w:color w:val="000000" w:themeColor="text1"/>
        </w:rPr>
        <w:t>of</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entire</w:t>
      </w:r>
      <w:r w:rsidR="00C64050">
        <w:rPr>
          <w:color w:val="000000" w:themeColor="text1"/>
        </w:rPr>
        <w:t xml:space="preserve"> </w:t>
      </w:r>
      <w:r w:rsidRPr="00BD5405">
        <w:rPr>
          <w:color w:val="000000" w:themeColor="text1"/>
        </w:rPr>
        <w:t>basis</w:t>
      </w:r>
      <w:r w:rsidR="00C64050">
        <w:rPr>
          <w:color w:val="000000" w:themeColor="text1"/>
        </w:rPr>
        <w:t xml:space="preserve"> </w:t>
      </w:r>
      <w:r w:rsidRPr="00BD5405">
        <w:rPr>
          <w:color w:val="000000" w:themeColor="text1"/>
        </w:rPr>
        <w:t>of</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property</w:t>
      </w:r>
      <w:r w:rsidR="00C64050">
        <w:rPr>
          <w:color w:val="000000" w:themeColor="text1"/>
        </w:rPr>
        <w:t xml:space="preserve"> </w:t>
      </w:r>
      <w:r w:rsidRPr="00BD5405">
        <w:rPr>
          <w:color w:val="000000" w:themeColor="text1"/>
        </w:rPr>
        <w:t>under</w:t>
      </w:r>
      <w:r w:rsidR="00C64050">
        <w:rPr>
          <w:color w:val="000000" w:themeColor="text1"/>
        </w:rPr>
        <w:t xml:space="preserve"> </w:t>
      </w:r>
      <w:hyperlink r:id="rId103" w:anchor="co_pp_a83b000018c76" w:history="1">
        <w:r w:rsidRPr="00BD5405">
          <w:rPr>
            <w:color w:val="000000" w:themeColor="text1"/>
          </w:rPr>
          <w:t>§</w:t>
        </w:r>
        <w:r w:rsidR="00C64050">
          <w:rPr>
            <w:color w:val="000000" w:themeColor="text1"/>
          </w:rPr>
          <w:t xml:space="preserve"> </w:t>
        </w:r>
        <w:r w:rsidRPr="00BD5405">
          <w:rPr>
            <w:color w:val="000000" w:themeColor="text1"/>
          </w:rPr>
          <w:t>1015(b)</w:t>
        </w:r>
      </w:hyperlink>
      <w:r w:rsidRPr="00BD5405">
        <w:rPr>
          <w:color w:val="000000" w:themeColor="text1"/>
        </w:rPr>
        <w:t>,</w:t>
      </w:r>
      <w:r w:rsidR="00C64050">
        <w:rPr>
          <w:color w:val="000000" w:themeColor="text1"/>
        </w:rPr>
        <w:t xml:space="preserve"> </w:t>
      </w:r>
      <w:r w:rsidRPr="00BD5405">
        <w:rPr>
          <w:color w:val="000000" w:themeColor="text1"/>
        </w:rPr>
        <w:t>and</w:t>
      </w:r>
      <w:r w:rsidR="00C64050">
        <w:rPr>
          <w:color w:val="000000" w:themeColor="text1"/>
        </w:rPr>
        <w:t xml:space="preserve"> </w:t>
      </w:r>
      <w:r w:rsidRPr="00BD5405">
        <w:rPr>
          <w:color w:val="000000" w:themeColor="text1"/>
        </w:rPr>
        <w:t>because</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disposition</w:t>
      </w:r>
      <w:r w:rsidR="00C64050">
        <w:rPr>
          <w:color w:val="000000" w:themeColor="text1"/>
        </w:rPr>
        <w:t xml:space="preserve"> </w:t>
      </w:r>
      <w:r w:rsidRPr="00BD5405">
        <w:rPr>
          <w:color w:val="000000" w:themeColor="text1"/>
        </w:rPr>
        <w:t>of</w:t>
      </w:r>
      <w:r w:rsidR="00C64050">
        <w:rPr>
          <w:color w:val="000000" w:themeColor="text1"/>
        </w:rPr>
        <w:t xml:space="preserve"> </w:t>
      </w:r>
      <w:r w:rsidRPr="00BD5405">
        <w:rPr>
          <w:color w:val="000000" w:themeColor="text1"/>
        </w:rPr>
        <w:t>Son's</w:t>
      </w:r>
      <w:r w:rsidR="00C64050">
        <w:rPr>
          <w:color w:val="000000" w:themeColor="text1"/>
        </w:rPr>
        <w:t xml:space="preserve"> </w:t>
      </w:r>
      <w:r w:rsidRPr="00BD5405">
        <w:rPr>
          <w:color w:val="000000" w:themeColor="text1"/>
        </w:rPr>
        <w:t>term</w:t>
      </w:r>
      <w:r w:rsidR="00C64050">
        <w:rPr>
          <w:color w:val="000000" w:themeColor="text1"/>
        </w:rPr>
        <w:t xml:space="preserve"> </w:t>
      </w:r>
      <w:r w:rsidRPr="00BD5405">
        <w:rPr>
          <w:color w:val="000000" w:themeColor="text1"/>
        </w:rPr>
        <w:t>interests</w:t>
      </w:r>
      <w:r w:rsidR="00C64050">
        <w:rPr>
          <w:color w:val="000000" w:themeColor="text1"/>
        </w:rPr>
        <w:t xml:space="preserve"> </w:t>
      </w:r>
      <w:r w:rsidRPr="00BD5405">
        <w:rPr>
          <w:color w:val="000000" w:themeColor="text1"/>
        </w:rPr>
        <w:t>is</w:t>
      </w:r>
      <w:r w:rsidR="00C64050">
        <w:rPr>
          <w:color w:val="000000" w:themeColor="text1"/>
        </w:rPr>
        <w:t xml:space="preserve"> </w:t>
      </w:r>
      <w:r w:rsidRPr="00BD5405">
        <w:rPr>
          <w:color w:val="000000" w:themeColor="text1"/>
        </w:rPr>
        <w:t>not</w:t>
      </w:r>
      <w:r w:rsidR="00C64050">
        <w:rPr>
          <w:color w:val="000000" w:themeColor="text1"/>
        </w:rPr>
        <w:t xml:space="preserve"> </w:t>
      </w:r>
      <w:r w:rsidRPr="00BD5405">
        <w:rPr>
          <w:color w:val="000000" w:themeColor="text1"/>
        </w:rPr>
        <w:t>part</w:t>
      </w:r>
      <w:r w:rsidR="00C64050">
        <w:rPr>
          <w:color w:val="000000" w:themeColor="text1"/>
        </w:rPr>
        <w:t xml:space="preserve"> </w:t>
      </w:r>
      <w:r w:rsidRPr="00BD5405">
        <w:rPr>
          <w:color w:val="000000" w:themeColor="text1"/>
        </w:rPr>
        <w:t>of</w:t>
      </w:r>
      <w:r w:rsidR="00C64050">
        <w:rPr>
          <w:color w:val="000000" w:themeColor="text1"/>
        </w:rPr>
        <w:t xml:space="preserve"> </w:t>
      </w:r>
      <w:r w:rsidRPr="00BD5405">
        <w:rPr>
          <w:color w:val="000000" w:themeColor="text1"/>
        </w:rPr>
        <w:t>a</w:t>
      </w:r>
      <w:r w:rsidR="00C64050">
        <w:rPr>
          <w:color w:val="000000" w:themeColor="text1"/>
        </w:rPr>
        <w:t xml:space="preserve"> </w:t>
      </w:r>
      <w:r w:rsidRPr="00BD5405">
        <w:rPr>
          <w:color w:val="000000" w:themeColor="text1"/>
        </w:rPr>
        <w:t>transaction</w:t>
      </w:r>
      <w:r w:rsidR="00C64050">
        <w:rPr>
          <w:color w:val="000000" w:themeColor="text1"/>
        </w:rPr>
        <w:t xml:space="preserve"> </w:t>
      </w:r>
      <w:r w:rsidRPr="00BD5405">
        <w:rPr>
          <w:color w:val="000000" w:themeColor="text1"/>
        </w:rPr>
        <w:t>in</w:t>
      </w:r>
      <w:r w:rsidR="00C64050">
        <w:rPr>
          <w:color w:val="000000" w:themeColor="text1"/>
        </w:rPr>
        <w:t xml:space="preserve"> </w:t>
      </w:r>
      <w:r w:rsidRPr="00BD5405">
        <w:rPr>
          <w:color w:val="000000" w:themeColor="text1"/>
        </w:rPr>
        <w:t>which</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entire</w:t>
      </w:r>
      <w:r w:rsidR="00C64050">
        <w:rPr>
          <w:color w:val="000000" w:themeColor="text1"/>
        </w:rPr>
        <w:t xml:space="preserve"> </w:t>
      </w:r>
      <w:r w:rsidRPr="00BD5405">
        <w:rPr>
          <w:color w:val="000000" w:themeColor="text1"/>
        </w:rPr>
        <w:t>interest</w:t>
      </w:r>
      <w:r w:rsidR="00C64050">
        <w:rPr>
          <w:color w:val="000000" w:themeColor="text1"/>
        </w:rPr>
        <w:t xml:space="preserve"> </w:t>
      </w:r>
      <w:r w:rsidRPr="00BD5405">
        <w:rPr>
          <w:color w:val="000000" w:themeColor="text1"/>
        </w:rPr>
        <w:t>in</w:t>
      </w:r>
      <w:r w:rsidR="00C64050">
        <w:rPr>
          <w:color w:val="000000" w:themeColor="text1"/>
        </w:rPr>
        <w:t xml:space="preserve"> </w:t>
      </w:r>
      <w:r w:rsidRPr="00BD5405">
        <w:rPr>
          <w:color w:val="000000" w:themeColor="text1"/>
        </w:rPr>
        <w:t>Trust</w:t>
      </w:r>
      <w:r w:rsidR="00C64050">
        <w:rPr>
          <w:color w:val="000000" w:themeColor="text1"/>
        </w:rPr>
        <w:t xml:space="preserve"> </w:t>
      </w:r>
      <w:r w:rsidRPr="00BD5405">
        <w:rPr>
          <w:color w:val="000000" w:themeColor="text1"/>
        </w:rPr>
        <w:t>is</w:t>
      </w:r>
      <w:r w:rsidR="00C64050">
        <w:rPr>
          <w:color w:val="000000" w:themeColor="text1"/>
        </w:rPr>
        <w:t xml:space="preserve"> </w:t>
      </w:r>
      <w:r w:rsidRPr="00BD5405">
        <w:rPr>
          <w:color w:val="000000" w:themeColor="text1"/>
        </w:rPr>
        <w:t>transferred</w:t>
      </w:r>
      <w:r w:rsidR="00C64050">
        <w:rPr>
          <w:color w:val="000000" w:themeColor="text1"/>
        </w:rPr>
        <w:t xml:space="preserve"> </w:t>
      </w:r>
      <w:r w:rsidRPr="00BD5405">
        <w:rPr>
          <w:color w:val="000000" w:themeColor="text1"/>
        </w:rPr>
        <w:t>to</w:t>
      </w:r>
      <w:r w:rsidR="00C64050">
        <w:rPr>
          <w:color w:val="000000" w:themeColor="text1"/>
        </w:rPr>
        <w:t xml:space="preserve"> </w:t>
      </w:r>
      <w:r w:rsidRPr="00BD5405">
        <w:rPr>
          <w:color w:val="000000" w:themeColor="text1"/>
        </w:rPr>
        <w:t>a</w:t>
      </w:r>
      <w:r w:rsidR="00C64050">
        <w:rPr>
          <w:color w:val="000000" w:themeColor="text1"/>
        </w:rPr>
        <w:t xml:space="preserve"> </w:t>
      </w:r>
      <w:r w:rsidRPr="00BD5405">
        <w:rPr>
          <w:color w:val="000000" w:themeColor="text1"/>
        </w:rPr>
        <w:t>third</w:t>
      </w:r>
      <w:r w:rsidR="00C64050">
        <w:rPr>
          <w:color w:val="000000" w:themeColor="text1"/>
        </w:rPr>
        <w:t xml:space="preserve"> </w:t>
      </w:r>
      <w:r w:rsidRPr="00BD5405">
        <w:rPr>
          <w:color w:val="000000" w:themeColor="text1"/>
        </w:rPr>
        <w:t>party,</w:t>
      </w:r>
      <w:r w:rsidR="00C64050">
        <w:rPr>
          <w:color w:val="000000" w:themeColor="text1"/>
        </w:rPr>
        <w:t xml:space="preserve"> </w:t>
      </w:r>
      <w:r w:rsidRPr="00BD5405">
        <w:rPr>
          <w:color w:val="000000" w:themeColor="text1"/>
        </w:rPr>
        <w:t>Son's</w:t>
      </w:r>
      <w:r w:rsidR="00C64050">
        <w:rPr>
          <w:color w:val="000000" w:themeColor="text1"/>
        </w:rPr>
        <w:t xml:space="preserve"> </w:t>
      </w:r>
      <w:r w:rsidRPr="00BD5405">
        <w:rPr>
          <w:color w:val="000000" w:themeColor="text1"/>
        </w:rPr>
        <w:t>adjusted</w:t>
      </w:r>
      <w:r w:rsidR="00C64050">
        <w:rPr>
          <w:color w:val="000000" w:themeColor="text1"/>
        </w:rPr>
        <w:t xml:space="preserve"> </w:t>
      </w:r>
      <w:r w:rsidRPr="00BD5405">
        <w:rPr>
          <w:color w:val="000000" w:themeColor="text1"/>
        </w:rPr>
        <w:t>basis</w:t>
      </w:r>
      <w:r w:rsidR="00C64050">
        <w:rPr>
          <w:color w:val="000000" w:themeColor="text1"/>
        </w:rPr>
        <w:t xml:space="preserve"> </w:t>
      </w:r>
      <w:r w:rsidRPr="00BD5405">
        <w:rPr>
          <w:color w:val="000000" w:themeColor="text1"/>
        </w:rPr>
        <w:t>in</w:t>
      </w:r>
      <w:r w:rsidR="00C64050">
        <w:rPr>
          <w:color w:val="000000" w:themeColor="text1"/>
        </w:rPr>
        <w:t xml:space="preserve"> </w:t>
      </w:r>
      <w:r w:rsidRPr="00BD5405">
        <w:rPr>
          <w:color w:val="000000" w:themeColor="text1"/>
        </w:rPr>
        <w:t>Son's</w:t>
      </w:r>
      <w:r w:rsidR="00C64050">
        <w:rPr>
          <w:color w:val="000000" w:themeColor="text1"/>
        </w:rPr>
        <w:t xml:space="preserve"> </w:t>
      </w:r>
      <w:r w:rsidRPr="00BD5405">
        <w:rPr>
          <w:color w:val="000000" w:themeColor="text1"/>
        </w:rPr>
        <w:t>interest</w:t>
      </w:r>
      <w:r w:rsidR="00C64050">
        <w:rPr>
          <w:color w:val="000000" w:themeColor="text1"/>
        </w:rPr>
        <w:t xml:space="preserve"> </w:t>
      </w:r>
      <w:r w:rsidRPr="00BD5405">
        <w:rPr>
          <w:color w:val="000000" w:themeColor="text1"/>
        </w:rPr>
        <w:t>in</w:t>
      </w:r>
      <w:r w:rsidR="00C64050">
        <w:rPr>
          <w:color w:val="000000" w:themeColor="text1"/>
        </w:rPr>
        <w:t xml:space="preserve"> </w:t>
      </w:r>
      <w:r w:rsidRPr="00BD5405">
        <w:rPr>
          <w:color w:val="000000" w:themeColor="text1"/>
        </w:rPr>
        <w:t>Trust</w:t>
      </w:r>
      <w:r w:rsidR="00C64050">
        <w:rPr>
          <w:color w:val="000000" w:themeColor="text1"/>
        </w:rPr>
        <w:t xml:space="preserve"> </w:t>
      </w:r>
      <w:r w:rsidRPr="00BD5405">
        <w:rPr>
          <w:color w:val="000000" w:themeColor="text1"/>
        </w:rPr>
        <w:t>is</w:t>
      </w:r>
      <w:r w:rsidR="00C64050">
        <w:rPr>
          <w:color w:val="000000" w:themeColor="text1"/>
        </w:rPr>
        <w:t xml:space="preserve"> </w:t>
      </w:r>
      <w:r w:rsidRPr="00BD5405">
        <w:rPr>
          <w:color w:val="000000" w:themeColor="text1"/>
        </w:rPr>
        <w:t>disregarded</w:t>
      </w:r>
      <w:r w:rsidR="00C64050">
        <w:rPr>
          <w:color w:val="000000" w:themeColor="text1"/>
        </w:rPr>
        <w:t xml:space="preserve"> </w:t>
      </w:r>
      <w:r w:rsidRPr="00BD5405">
        <w:rPr>
          <w:color w:val="000000" w:themeColor="text1"/>
        </w:rPr>
        <w:t>under</w:t>
      </w:r>
      <w:r w:rsidR="00C64050">
        <w:rPr>
          <w:color w:val="000000" w:themeColor="text1"/>
        </w:rPr>
        <w:t xml:space="preserve"> </w:t>
      </w:r>
      <w:hyperlink r:id="rId104" w:anchor="co_pp_7fdd00001ca15" w:history="1">
        <w:r w:rsidRPr="00BD5405">
          <w:rPr>
            <w:color w:val="000000" w:themeColor="text1"/>
          </w:rPr>
          <w:t>§</w:t>
        </w:r>
        <w:r w:rsidR="00C64050">
          <w:rPr>
            <w:color w:val="000000" w:themeColor="text1"/>
          </w:rPr>
          <w:t xml:space="preserve"> </w:t>
        </w:r>
        <w:r w:rsidRPr="00BD5405">
          <w:rPr>
            <w:color w:val="000000" w:themeColor="text1"/>
          </w:rPr>
          <w:t>1001(e)</w:t>
        </w:r>
      </w:hyperlink>
      <w:r w:rsidRPr="00BD5405">
        <w:rPr>
          <w:color w:val="000000" w:themeColor="text1"/>
        </w:rPr>
        <w:t>.</w:t>
      </w:r>
      <w:r w:rsidR="00C64050">
        <w:rPr>
          <w:color w:val="000000" w:themeColor="text1"/>
        </w:rPr>
        <w:t xml:space="preserve"> </w:t>
      </w:r>
      <w:r w:rsidRPr="00BD5405">
        <w:rPr>
          <w:color w:val="000000" w:themeColor="text1"/>
        </w:rPr>
        <w:t>Son's</w:t>
      </w:r>
      <w:r w:rsidR="00C64050">
        <w:rPr>
          <w:color w:val="000000" w:themeColor="text1"/>
        </w:rPr>
        <w:t xml:space="preserve"> </w:t>
      </w:r>
      <w:r w:rsidRPr="00BD5405">
        <w:rPr>
          <w:color w:val="000000" w:themeColor="text1"/>
        </w:rPr>
        <w:t>holding</w:t>
      </w:r>
      <w:r w:rsidR="00C64050">
        <w:rPr>
          <w:color w:val="000000" w:themeColor="text1"/>
        </w:rPr>
        <w:t xml:space="preserve"> </w:t>
      </w:r>
      <w:r w:rsidRPr="00BD5405">
        <w:rPr>
          <w:color w:val="000000" w:themeColor="text1"/>
        </w:rPr>
        <w:t>period</w:t>
      </w:r>
      <w:r w:rsidR="00C64050">
        <w:rPr>
          <w:color w:val="000000" w:themeColor="text1"/>
        </w:rPr>
        <w:t xml:space="preserve"> </w:t>
      </w:r>
      <w:r w:rsidRPr="00BD5405">
        <w:rPr>
          <w:color w:val="000000" w:themeColor="text1"/>
        </w:rPr>
        <w:t>in</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life</w:t>
      </w:r>
      <w:r w:rsidR="00C64050">
        <w:rPr>
          <w:color w:val="000000" w:themeColor="text1"/>
        </w:rPr>
        <w:t xml:space="preserve"> </w:t>
      </w:r>
      <w:r w:rsidRPr="00BD5405">
        <w:rPr>
          <w:color w:val="000000" w:themeColor="text1"/>
        </w:rPr>
        <w:t>interests</w:t>
      </w:r>
      <w:r w:rsidR="00C64050">
        <w:rPr>
          <w:color w:val="000000" w:themeColor="text1"/>
        </w:rPr>
        <w:t xml:space="preserve"> </w:t>
      </w:r>
      <w:r w:rsidRPr="00BD5405">
        <w:rPr>
          <w:color w:val="000000" w:themeColor="text1"/>
        </w:rPr>
        <w:t>in</w:t>
      </w:r>
      <w:r w:rsidR="00C64050">
        <w:rPr>
          <w:color w:val="000000" w:themeColor="text1"/>
        </w:rPr>
        <w:t xml:space="preserve"> </w:t>
      </w:r>
      <w:r w:rsidRPr="00BD5405">
        <w:rPr>
          <w:color w:val="000000" w:themeColor="text1"/>
        </w:rPr>
        <w:t>Trust</w:t>
      </w:r>
      <w:r w:rsidR="00C64050">
        <w:rPr>
          <w:color w:val="000000" w:themeColor="text1"/>
        </w:rPr>
        <w:t xml:space="preserve"> </w:t>
      </w:r>
      <w:r w:rsidRPr="00BD5405">
        <w:rPr>
          <w:color w:val="000000" w:themeColor="text1"/>
        </w:rPr>
        <w:t>exceeds</w:t>
      </w:r>
      <w:r w:rsidR="00C64050">
        <w:rPr>
          <w:color w:val="000000" w:themeColor="text1"/>
        </w:rPr>
        <w:t xml:space="preserve"> </w:t>
      </w:r>
      <w:r w:rsidRPr="00BD5405">
        <w:rPr>
          <w:color w:val="000000" w:themeColor="text1"/>
        </w:rPr>
        <w:t>one</w:t>
      </w:r>
      <w:r w:rsidR="00C64050">
        <w:rPr>
          <w:color w:val="000000" w:themeColor="text1"/>
        </w:rPr>
        <w:t xml:space="preserve"> </w:t>
      </w:r>
      <w:r w:rsidRPr="00BD5405">
        <w:rPr>
          <w:color w:val="000000" w:themeColor="text1"/>
        </w:rPr>
        <w:t>year.</w:t>
      </w:r>
      <w:r w:rsidR="00C64050">
        <w:rPr>
          <w:color w:val="000000" w:themeColor="text1"/>
        </w:rPr>
        <w:t xml:space="preserve"> </w:t>
      </w:r>
      <w:r w:rsidRPr="00BD5405">
        <w:rPr>
          <w:color w:val="000000" w:themeColor="text1"/>
        </w:rPr>
        <w:t>Accordingly,</w:t>
      </w:r>
      <w:r w:rsidR="00C64050">
        <w:rPr>
          <w:color w:val="000000" w:themeColor="text1"/>
        </w:rPr>
        <w:t xml:space="preserve"> </w:t>
      </w:r>
      <w:r w:rsidRPr="00BD5405">
        <w:rPr>
          <w:color w:val="000000" w:themeColor="text1"/>
        </w:rPr>
        <w:t>based</w:t>
      </w:r>
      <w:r w:rsidR="00C64050">
        <w:rPr>
          <w:color w:val="000000" w:themeColor="text1"/>
        </w:rPr>
        <w:t xml:space="preserve"> </w:t>
      </w:r>
      <w:r w:rsidRPr="00BD5405">
        <w:rPr>
          <w:color w:val="000000" w:themeColor="text1"/>
        </w:rPr>
        <w:t>on</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facts</w:t>
      </w:r>
      <w:r w:rsidR="00C64050">
        <w:rPr>
          <w:color w:val="000000" w:themeColor="text1"/>
        </w:rPr>
        <w:t xml:space="preserve"> </w:t>
      </w:r>
      <w:r w:rsidRPr="00BD5405">
        <w:rPr>
          <w:color w:val="000000" w:themeColor="text1"/>
        </w:rPr>
        <w:t>submitted</w:t>
      </w:r>
      <w:r w:rsidR="00C64050">
        <w:rPr>
          <w:color w:val="000000" w:themeColor="text1"/>
        </w:rPr>
        <w:t xml:space="preserve"> </w:t>
      </w:r>
      <w:r w:rsidRPr="00BD5405">
        <w:rPr>
          <w:color w:val="000000" w:themeColor="text1"/>
        </w:rPr>
        <w:t>and</w:t>
      </w:r>
      <w:r w:rsidR="00C64050">
        <w:rPr>
          <w:color w:val="000000" w:themeColor="text1"/>
        </w:rPr>
        <w:t xml:space="preserve"> </w:t>
      </w:r>
      <w:r w:rsidRPr="00BD5405">
        <w:rPr>
          <w:color w:val="000000" w:themeColor="text1"/>
        </w:rPr>
        <w:t>representations</w:t>
      </w:r>
      <w:r w:rsidR="00C64050">
        <w:rPr>
          <w:color w:val="000000" w:themeColor="text1"/>
        </w:rPr>
        <w:t xml:space="preserve"> </w:t>
      </w:r>
      <w:r w:rsidRPr="00BD5405">
        <w:rPr>
          <w:color w:val="000000" w:themeColor="text1"/>
        </w:rPr>
        <w:t>made,</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entire</w:t>
      </w:r>
      <w:r w:rsidR="00C64050">
        <w:rPr>
          <w:color w:val="000000" w:themeColor="text1"/>
        </w:rPr>
        <w:t xml:space="preserve"> </w:t>
      </w:r>
      <w:r w:rsidRPr="00BD5405">
        <w:rPr>
          <w:color w:val="000000" w:themeColor="text1"/>
        </w:rPr>
        <w:t>amount</w:t>
      </w:r>
      <w:r w:rsidR="00C64050">
        <w:rPr>
          <w:color w:val="000000" w:themeColor="text1"/>
        </w:rPr>
        <w:t xml:space="preserve"> </w:t>
      </w:r>
      <w:r w:rsidRPr="00BD5405">
        <w:rPr>
          <w:color w:val="000000" w:themeColor="text1"/>
        </w:rPr>
        <w:t>realized</w:t>
      </w:r>
      <w:r w:rsidR="00C64050">
        <w:rPr>
          <w:color w:val="000000" w:themeColor="text1"/>
        </w:rPr>
        <w:t xml:space="preserve"> </w:t>
      </w:r>
      <w:r w:rsidRPr="00BD5405">
        <w:rPr>
          <w:color w:val="000000" w:themeColor="text1"/>
        </w:rPr>
        <w:t>by</w:t>
      </w:r>
      <w:r w:rsidR="00C64050">
        <w:rPr>
          <w:color w:val="000000" w:themeColor="text1"/>
        </w:rPr>
        <w:t xml:space="preserve"> </w:t>
      </w:r>
      <w:r w:rsidRPr="00BD5405">
        <w:rPr>
          <w:color w:val="000000" w:themeColor="text1"/>
        </w:rPr>
        <w:t>Son</w:t>
      </w:r>
      <w:r w:rsidR="00C64050">
        <w:rPr>
          <w:color w:val="000000" w:themeColor="text1"/>
        </w:rPr>
        <w:t xml:space="preserve"> </w:t>
      </w:r>
      <w:r w:rsidRPr="00BD5405">
        <w:rPr>
          <w:color w:val="000000" w:themeColor="text1"/>
        </w:rPr>
        <w:t>as</w:t>
      </w:r>
      <w:r w:rsidR="00C64050">
        <w:rPr>
          <w:color w:val="000000" w:themeColor="text1"/>
        </w:rPr>
        <w:t xml:space="preserve"> </w:t>
      </w:r>
      <w:r w:rsidRPr="00BD5405">
        <w:rPr>
          <w:color w:val="000000" w:themeColor="text1"/>
        </w:rPr>
        <w:t>a</w:t>
      </w:r>
      <w:r w:rsidR="00C64050">
        <w:rPr>
          <w:color w:val="000000" w:themeColor="text1"/>
        </w:rPr>
        <w:t xml:space="preserve"> </w:t>
      </w:r>
      <w:r w:rsidRPr="00BD5405">
        <w:rPr>
          <w:color w:val="000000" w:themeColor="text1"/>
        </w:rPr>
        <w:t>result</w:t>
      </w:r>
      <w:r w:rsidR="00C64050">
        <w:rPr>
          <w:color w:val="000000" w:themeColor="text1"/>
        </w:rPr>
        <w:t xml:space="preserve"> </w:t>
      </w:r>
      <w:r w:rsidRPr="00BD5405">
        <w:rPr>
          <w:color w:val="000000" w:themeColor="text1"/>
        </w:rPr>
        <w:t>of</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early</w:t>
      </w:r>
      <w:r w:rsidR="00C64050">
        <w:rPr>
          <w:color w:val="000000" w:themeColor="text1"/>
        </w:rPr>
        <w:t xml:space="preserve"> </w:t>
      </w:r>
      <w:r w:rsidRPr="00BD5405">
        <w:rPr>
          <w:color w:val="000000" w:themeColor="text1"/>
        </w:rPr>
        <w:t>termination</w:t>
      </w:r>
      <w:r w:rsidR="00C64050">
        <w:rPr>
          <w:color w:val="000000" w:themeColor="text1"/>
        </w:rPr>
        <w:t xml:space="preserve"> </w:t>
      </w:r>
      <w:r w:rsidRPr="00BD5405">
        <w:rPr>
          <w:color w:val="000000" w:themeColor="text1"/>
        </w:rPr>
        <w:t>of</w:t>
      </w:r>
      <w:r w:rsidR="00C64050">
        <w:rPr>
          <w:color w:val="000000" w:themeColor="text1"/>
        </w:rPr>
        <w:t xml:space="preserve"> </w:t>
      </w:r>
      <w:r w:rsidRPr="00BD5405">
        <w:rPr>
          <w:color w:val="000000" w:themeColor="text1"/>
        </w:rPr>
        <w:t>Trust</w:t>
      </w:r>
      <w:r w:rsidR="00C64050">
        <w:rPr>
          <w:color w:val="000000" w:themeColor="text1"/>
        </w:rPr>
        <w:t xml:space="preserve"> </w:t>
      </w:r>
      <w:r w:rsidRPr="00BD5405">
        <w:rPr>
          <w:color w:val="000000" w:themeColor="text1"/>
        </w:rPr>
        <w:t>will</w:t>
      </w:r>
      <w:r w:rsidR="00C64050">
        <w:rPr>
          <w:color w:val="000000" w:themeColor="text1"/>
        </w:rPr>
        <w:t xml:space="preserve"> </w:t>
      </w:r>
      <w:r w:rsidRPr="00BD5405">
        <w:rPr>
          <w:color w:val="000000" w:themeColor="text1"/>
        </w:rPr>
        <w:t>be</w:t>
      </w:r>
      <w:r w:rsidR="00C64050">
        <w:rPr>
          <w:color w:val="000000" w:themeColor="text1"/>
        </w:rPr>
        <w:t xml:space="preserve"> </w:t>
      </w:r>
      <w:r w:rsidRPr="00BD5405">
        <w:rPr>
          <w:color w:val="000000" w:themeColor="text1"/>
        </w:rPr>
        <w:t>long-term</w:t>
      </w:r>
      <w:r w:rsidR="00C64050">
        <w:rPr>
          <w:color w:val="000000" w:themeColor="text1"/>
        </w:rPr>
        <w:t xml:space="preserve"> </w:t>
      </w:r>
      <w:r w:rsidRPr="00BD5405">
        <w:rPr>
          <w:color w:val="000000" w:themeColor="text1"/>
        </w:rPr>
        <w:t>capital</w:t>
      </w:r>
      <w:r w:rsidR="00C64050">
        <w:rPr>
          <w:color w:val="000000" w:themeColor="text1"/>
        </w:rPr>
        <w:t xml:space="preserve"> </w:t>
      </w:r>
      <w:r w:rsidRPr="00BD5405">
        <w:rPr>
          <w:color w:val="000000" w:themeColor="text1"/>
        </w:rPr>
        <w:t>gain</w:t>
      </w:r>
      <w:r w:rsidR="00C64050">
        <w:rPr>
          <w:color w:val="000000" w:themeColor="text1"/>
        </w:rPr>
        <w:t xml:space="preserve"> </w:t>
      </w:r>
      <w:r w:rsidRPr="00BD5405">
        <w:rPr>
          <w:color w:val="000000" w:themeColor="text1"/>
        </w:rPr>
        <w:t>under</w:t>
      </w:r>
      <w:r w:rsidR="00C64050">
        <w:rPr>
          <w:color w:val="000000" w:themeColor="text1"/>
        </w:rPr>
        <w:t xml:space="preserve"> </w:t>
      </w:r>
      <w:hyperlink r:id="rId105" w:anchor="co_pp_d08f0000f5f67" w:history="1">
        <w:r w:rsidRPr="00BD5405">
          <w:rPr>
            <w:color w:val="000000" w:themeColor="text1"/>
          </w:rPr>
          <w:t>§</w:t>
        </w:r>
        <w:r w:rsidR="00C64050">
          <w:rPr>
            <w:color w:val="000000" w:themeColor="text1"/>
          </w:rPr>
          <w:t xml:space="preserve"> </w:t>
        </w:r>
        <w:r w:rsidRPr="00BD5405">
          <w:rPr>
            <w:color w:val="000000" w:themeColor="text1"/>
          </w:rPr>
          <w:t>1222(3)</w:t>
        </w:r>
      </w:hyperlink>
      <w:r w:rsidRPr="00BD5405">
        <w:rPr>
          <w:color w:val="000000" w:themeColor="text1"/>
        </w:rPr>
        <w:t>.</w:t>
      </w:r>
    </w:p>
    <w:p w:rsidR="00BD5405" w:rsidRPr="00BD5405" w:rsidRDefault="00BD5405" w:rsidP="00BD5405">
      <w:pPr>
        <w:pStyle w:val="QS10"/>
        <w:rPr>
          <w:color w:val="000000" w:themeColor="text1"/>
        </w:rPr>
      </w:pPr>
      <w:r w:rsidRPr="00BD5405">
        <w:rPr>
          <w:color w:val="000000" w:themeColor="text1"/>
        </w:rPr>
        <w:t>Similarly,</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amounts</w:t>
      </w:r>
      <w:r w:rsidR="00C64050">
        <w:rPr>
          <w:color w:val="000000" w:themeColor="text1"/>
        </w:rPr>
        <w:t xml:space="preserve"> </w:t>
      </w:r>
      <w:r w:rsidRPr="00BD5405">
        <w:rPr>
          <w:color w:val="000000" w:themeColor="text1"/>
        </w:rPr>
        <w:t>received</w:t>
      </w:r>
      <w:r w:rsidR="00C64050">
        <w:rPr>
          <w:color w:val="000000" w:themeColor="text1"/>
        </w:rPr>
        <w:t xml:space="preserve"> </w:t>
      </w:r>
      <w:r w:rsidRPr="00BD5405">
        <w:rPr>
          <w:color w:val="000000" w:themeColor="text1"/>
        </w:rPr>
        <w:t>by</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Successor</w:t>
      </w:r>
      <w:r w:rsidR="00C64050">
        <w:rPr>
          <w:color w:val="000000" w:themeColor="text1"/>
        </w:rPr>
        <w:t xml:space="preserve"> </w:t>
      </w:r>
      <w:r w:rsidRPr="00BD5405">
        <w:rPr>
          <w:color w:val="000000" w:themeColor="text1"/>
        </w:rPr>
        <w:t>Remaindermen</w:t>
      </w:r>
      <w:r w:rsidR="00C64050">
        <w:rPr>
          <w:color w:val="000000" w:themeColor="text1"/>
        </w:rPr>
        <w:t xml:space="preserve"> </w:t>
      </w:r>
      <w:r w:rsidRPr="00BD5405">
        <w:rPr>
          <w:color w:val="000000" w:themeColor="text1"/>
        </w:rPr>
        <w:t>as</w:t>
      </w:r>
      <w:r w:rsidR="00C64050">
        <w:rPr>
          <w:color w:val="000000" w:themeColor="text1"/>
        </w:rPr>
        <w:t xml:space="preserve"> </w:t>
      </w:r>
      <w:r w:rsidRPr="00BD5405">
        <w:rPr>
          <w:color w:val="000000" w:themeColor="text1"/>
        </w:rPr>
        <w:t>a</w:t>
      </w:r>
      <w:r w:rsidR="00C64050">
        <w:rPr>
          <w:color w:val="000000" w:themeColor="text1"/>
        </w:rPr>
        <w:t xml:space="preserve"> </w:t>
      </w:r>
      <w:r w:rsidRPr="00BD5405">
        <w:rPr>
          <w:color w:val="000000" w:themeColor="text1"/>
        </w:rPr>
        <w:t>result</w:t>
      </w:r>
      <w:r w:rsidR="00C64050">
        <w:rPr>
          <w:color w:val="000000" w:themeColor="text1"/>
        </w:rPr>
        <w:t xml:space="preserve"> </w:t>
      </w:r>
      <w:r w:rsidRPr="00BD5405">
        <w:rPr>
          <w:color w:val="000000" w:themeColor="text1"/>
        </w:rPr>
        <w:t>of</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termination</w:t>
      </w:r>
      <w:r w:rsidR="00C64050">
        <w:rPr>
          <w:color w:val="000000" w:themeColor="text1"/>
        </w:rPr>
        <w:t xml:space="preserve"> </w:t>
      </w:r>
      <w:r w:rsidRPr="00BD5405">
        <w:rPr>
          <w:color w:val="000000" w:themeColor="text1"/>
        </w:rPr>
        <w:t>of</w:t>
      </w:r>
      <w:r w:rsidR="00C64050">
        <w:rPr>
          <w:color w:val="000000" w:themeColor="text1"/>
        </w:rPr>
        <w:t xml:space="preserve"> </w:t>
      </w:r>
      <w:r w:rsidRPr="00BD5405">
        <w:rPr>
          <w:color w:val="000000" w:themeColor="text1"/>
        </w:rPr>
        <w:t>Trust</w:t>
      </w:r>
      <w:r w:rsidR="00C64050">
        <w:rPr>
          <w:color w:val="000000" w:themeColor="text1"/>
        </w:rPr>
        <w:t xml:space="preserve"> </w:t>
      </w:r>
      <w:r w:rsidRPr="00BD5405">
        <w:rPr>
          <w:color w:val="000000" w:themeColor="text1"/>
        </w:rPr>
        <w:t>are</w:t>
      </w:r>
      <w:r w:rsidR="00C64050">
        <w:rPr>
          <w:color w:val="000000" w:themeColor="text1"/>
        </w:rPr>
        <w:t xml:space="preserve"> </w:t>
      </w:r>
      <w:r w:rsidRPr="00BD5405">
        <w:rPr>
          <w:color w:val="000000" w:themeColor="text1"/>
        </w:rPr>
        <w:t>amounts</w:t>
      </w:r>
      <w:r w:rsidR="00C64050">
        <w:rPr>
          <w:color w:val="000000" w:themeColor="text1"/>
        </w:rPr>
        <w:t xml:space="preserve"> </w:t>
      </w:r>
      <w:r w:rsidRPr="00BD5405">
        <w:rPr>
          <w:color w:val="000000" w:themeColor="text1"/>
        </w:rPr>
        <w:t>received</w:t>
      </w:r>
      <w:r w:rsidR="00C64050">
        <w:rPr>
          <w:color w:val="000000" w:themeColor="text1"/>
        </w:rPr>
        <w:t xml:space="preserve"> </w:t>
      </w:r>
      <w:r w:rsidRPr="00BD5405">
        <w:rPr>
          <w:color w:val="000000" w:themeColor="text1"/>
        </w:rPr>
        <w:t>from</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sale</w:t>
      </w:r>
      <w:r w:rsidR="00C64050">
        <w:rPr>
          <w:color w:val="000000" w:themeColor="text1"/>
        </w:rPr>
        <w:t xml:space="preserve"> </w:t>
      </w:r>
      <w:r w:rsidRPr="00BD5405">
        <w:rPr>
          <w:color w:val="000000" w:themeColor="text1"/>
        </w:rPr>
        <w:t>or</w:t>
      </w:r>
      <w:r w:rsidR="00C64050">
        <w:rPr>
          <w:color w:val="000000" w:themeColor="text1"/>
        </w:rPr>
        <w:t xml:space="preserve"> </w:t>
      </w:r>
      <w:r w:rsidRPr="00BD5405">
        <w:rPr>
          <w:color w:val="000000" w:themeColor="text1"/>
        </w:rPr>
        <w:t>exchange</w:t>
      </w:r>
      <w:r w:rsidR="00C64050">
        <w:rPr>
          <w:color w:val="000000" w:themeColor="text1"/>
        </w:rPr>
        <w:t xml:space="preserve"> </w:t>
      </w:r>
      <w:r w:rsidRPr="00BD5405">
        <w:rPr>
          <w:color w:val="000000" w:themeColor="text1"/>
        </w:rPr>
        <w:t>of</w:t>
      </w:r>
      <w:r w:rsidR="00C64050">
        <w:rPr>
          <w:color w:val="000000" w:themeColor="text1"/>
        </w:rPr>
        <w:t xml:space="preserve"> </w:t>
      </w:r>
      <w:r w:rsidRPr="00BD5405">
        <w:rPr>
          <w:color w:val="000000" w:themeColor="text1"/>
        </w:rPr>
        <w:t>a</w:t>
      </w:r>
      <w:r w:rsidR="00C64050">
        <w:rPr>
          <w:color w:val="000000" w:themeColor="text1"/>
        </w:rPr>
        <w:t xml:space="preserve"> </w:t>
      </w:r>
      <w:r w:rsidRPr="00BD5405">
        <w:rPr>
          <w:color w:val="000000" w:themeColor="text1"/>
        </w:rPr>
        <w:t>capital</w:t>
      </w:r>
      <w:r w:rsidR="00C64050">
        <w:rPr>
          <w:color w:val="000000" w:themeColor="text1"/>
        </w:rPr>
        <w:t xml:space="preserve"> </w:t>
      </w:r>
      <w:r w:rsidRPr="00BD5405">
        <w:rPr>
          <w:color w:val="000000" w:themeColor="text1"/>
        </w:rPr>
        <w:t>asset</w:t>
      </w:r>
      <w:r w:rsidR="00C64050">
        <w:rPr>
          <w:color w:val="000000" w:themeColor="text1"/>
        </w:rPr>
        <w:t xml:space="preserve"> </w:t>
      </w:r>
      <w:r w:rsidRPr="00BD5405">
        <w:rPr>
          <w:color w:val="000000" w:themeColor="text1"/>
        </w:rPr>
        <w:t>to</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Current</w:t>
      </w:r>
      <w:r w:rsidR="00C64050">
        <w:rPr>
          <w:color w:val="000000" w:themeColor="text1"/>
        </w:rPr>
        <w:t xml:space="preserve"> </w:t>
      </w:r>
      <w:r w:rsidRPr="00BD5405">
        <w:rPr>
          <w:color w:val="000000" w:themeColor="text1"/>
        </w:rPr>
        <w:t>Remaindermen.</w:t>
      </w:r>
      <w:r w:rsidR="00C64050">
        <w:rPr>
          <w:color w:val="000000" w:themeColor="text1"/>
        </w:rPr>
        <w:t xml:space="preserve"> </w:t>
      </w:r>
      <w:r w:rsidRPr="00BD5405">
        <w:rPr>
          <w:color w:val="000000" w:themeColor="text1"/>
          <w:u w:val="single"/>
        </w:rPr>
        <w:t>Cf.</w:t>
      </w:r>
      <w:r w:rsidR="00C64050">
        <w:rPr>
          <w:color w:val="000000" w:themeColor="text1"/>
          <w:u w:val="single"/>
        </w:rPr>
        <w:t xml:space="preserve"> </w:t>
      </w:r>
      <w:hyperlink r:id="rId106" w:anchor="co_pp_sp_780_15" w:history="1">
        <w:r w:rsidRPr="00BD5405">
          <w:rPr>
            <w:color w:val="000000" w:themeColor="text1"/>
            <w:u w:val="single"/>
          </w:rPr>
          <w:t>Helvering</w:t>
        </w:r>
        <w:r w:rsidR="00C64050">
          <w:rPr>
            <w:color w:val="000000" w:themeColor="text1"/>
            <w:u w:val="single"/>
          </w:rPr>
          <w:t xml:space="preserve"> </w:t>
        </w:r>
        <w:r w:rsidRPr="00BD5405">
          <w:rPr>
            <w:color w:val="000000" w:themeColor="text1"/>
            <w:u w:val="single"/>
          </w:rPr>
          <w:t>v.</w:t>
        </w:r>
        <w:r w:rsidR="00C64050">
          <w:rPr>
            <w:color w:val="000000" w:themeColor="text1"/>
            <w:u w:val="single"/>
          </w:rPr>
          <w:t xml:space="preserve"> </w:t>
        </w:r>
        <w:r w:rsidRPr="00BD5405">
          <w:rPr>
            <w:color w:val="000000" w:themeColor="text1"/>
            <w:u w:val="single"/>
          </w:rPr>
          <w:t>Gambrill</w:t>
        </w:r>
        <w:r w:rsidRPr="00BD5405">
          <w:rPr>
            <w:color w:val="000000" w:themeColor="text1"/>
          </w:rPr>
          <w:t>,</w:t>
        </w:r>
        <w:r w:rsidR="00C64050">
          <w:rPr>
            <w:color w:val="000000" w:themeColor="text1"/>
          </w:rPr>
          <w:t xml:space="preserve"> </w:t>
        </w:r>
        <w:r w:rsidRPr="00BD5405">
          <w:rPr>
            <w:color w:val="000000" w:themeColor="text1"/>
          </w:rPr>
          <w:t>313</w:t>
        </w:r>
        <w:r w:rsidR="00C64050">
          <w:rPr>
            <w:color w:val="000000" w:themeColor="text1"/>
          </w:rPr>
          <w:t xml:space="preserve"> </w:t>
        </w:r>
        <w:r w:rsidRPr="00BD5405">
          <w:rPr>
            <w:color w:val="000000" w:themeColor="text1"/>
          </w:rPr>
          <w:t>U.S.</w:t>
        </w:r>
        <w:r w:rsidR="00C64050">
          <w:rPr>
            <w:color w:val="000000" w:themeColor="text1"/>
          </w:rPr>
          <w:t xml:space="preserve"> </w:t>
        </w:r>
        <w:r w:rsidRPr="00BD5405">
          <w:rPr>
            <w:color w:val="000000" w:themeColor="text1"/>
          </w:rPr>
          <w:t>11,</w:t>
        </w:r>
        <w:r w:rsidR="00C64050">
          <w:rPr>
            <w:color w:val="000000" w:themeColor="text1"/>
          </w:rPr>
          <w:t xml:space="preserve"> </w:t>
        </w:r>
        <w:r w:rsidRPr="00BD5405">
          <w:rPr>
            <w:color w:val="000000" w:themeColor="text1"/>
          </w:rPr>
          <w:t>15</w:t>
        </w:r>
        <w:r w:rsidR="00C64050">
          <w:rPr>
            <w:color w:val="000000" w:themeColor="text1"/>
          </w:rPr>
          <w:t xml:space="preserve"> </w:t>
        </w:r>
        <w:r w:rsidRPr="00BD5405">
          <w:rPr>
            <w:color w:val="000000" w:themeColor="text1"/>
          </w:rPr>
          <w:t>(1941),</w:t>
        </w:r>
        <w:r w:rsidR="00C64050">
          <w:rPr>
            <w:color w:val="000000" w:themeColor="text1"/>
          </w:rPr>
          <w:t xml:space="preserve"> </w:t>
        </w:r>
        <w:r w:rsidRPr="00BD5405">
          <w:rPr>
            <w:color w:val="000000" w:themeColor="text1"/>
          </w:rPr>
          <w:t>1941-1</w:t>
        </w:r>
        <w:r w:rsidR="00C64050">
          <w:rPr>
            <w:color w:val="000000" w:themeColor="text1"/>
          </w:rPr>
          <w:t xml:space="preserve"> </w:t>
        </w:r>
        <w:r w:rsidRPr="00BD5405">
          <w:rPr>
            <w:color w:val="000000" w:themeColor="text1"/>
          </w:rPr>
          <w:t>C.B.</w:t>
        </w:r>
        <w:r w:rsidR="00C64050">
          <w:rPr>
            <w:color w:val="000000" w:themeColor="text1"/>
          </w:rPr>
          <w:t xml:space="preserve"> </w:t>
        </w:r>
        <w:r w:rsidRPr="00BD5405">
          <w:rPr>
            <w:color w:val="000000" w:themeColor="text1"/>
          </w:rPr>
          <w:t>364</w:t>
        </w:r>
      </w:hyperlink>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phrase</w:t>
      </w:r>
      <w:r w:rsidR="00C64050">
        <w:rPr>
          <w:color w:val="000000" w:themeColor="text1"/>
        </w:rPr>
        <w:t xml:space="preserve"> </w:t>
      </w:r>
      <w:r w:rsidRPr="00BD5405">
        <w:rPr>
          <w:color w:val="000000" w:themeColor="text1"/>
        </w:rPr>
        <w:t>“property</w:t>
      </w:r>
      <w:r w:rsidR="00C64050">
        <w:rPr>
          <w:color w:val="000000" w:themeColor="text1"/>
        </w:rPr>
        <w:t xml:space="preserve"> </w:t>
      </w:r>
      <w:r w:rsidRPr="00BD5405">
        <w:rPr>
          <w:color w:val="000000" w:themeColor="text1"/>
        </w:rPr>
        <w:t>held</w:t>
      </w:r>
      <w:r w:rsidR="00C64050">
        <w:rPr>
          <w:color w:val="000000" w:themeColor="text1"/>
        </w:rPr>
        <w:t xml:space="preserve"> </w:t>
      </w:r>
      <w:r w:rsidRPr="00BD5405">
        <w:rPr>
          <w:color w:val="000000" w:themeColor="text1"/>
        </w:rPr>
        <w:t>by</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taxpayer”</w:t>
      </w:r>
      <w:r w:rsidR="00C64050">
        <w:rPr>
          <w:color w:val="000000" w:themeColor="text1"/>
        </w:rPr>
        <w:t xml:space="preserve"> </w:t>
      </w:r>
      <w:r w:rsidRPr="00BD5405">
        <w:rPr>
          <w:color w:val="000000" w:themeColor="text1"/>
        </w:rPr>
        <w:t>under</w:t>
      </w:r>
      <w:r w:rsidR="00C64050">
        <w:rPr>
          <w:color w:val="000000" w:themeColor="text1"/>
        </w:rPr>
        <w:t xml:space="preserve"> </w:t>
      </w:r>
      <w:r w:rsidRPr="00BD5405">
        <w:rPr>
          <w:color w:val="000000" w:themeColor="text1"/>
        </w:rPr>
        <w:t>a</w:t>
      </w:r>
      <w:r w:rsidR="00C64050">
        <w:rPr>
          <w:color w:val="000000" w:themeColor="text1"/>
        </w:rPr>
        <w:t xml:space="preserve"> </w:t>
      </w:r>
      <w:r w:rsidRPr="00BD5405">
        <w:rPr>
          <w:color w:val="000000" w:themeColor="text1"/>
        </w:rPr>
        <w:t>prior</w:t>
      </w:r>
      <w:r w:rsidR="00C64050">
        <w:rPr>
          <w:color w:val="000000" w:themeColor="text1"/>
        </w:rPr>
        <w:t xml:space="preserve"> </w:t>
      </w:r>
      <w:r w:rsidRPr="00BD5405">
        <w:rPr>
          <w:color w:val="000000" w:themeColor="text1"/>
        </w:rPr>
        <w:t>law</w:t>
      </w:r>
      <w:r w:rsidR="00C64050">
        <w:rPr>
          <w:color w:val="000000" w:themeColor="text1"/>
        </w:rPr>
        <w:t xml:space="preserve"> </w:t>
      </w:r>
      <w:r w:rsidRPr="00BD5405">
        <w:rPr>
          <w:color w:val="000000" w:themeColor="text1"/>
        </w:rPr>
        <w:t>holding</w:t>
      </w:r>
      <w:r w:rsidR="00C64050">
        <w:rPr>
          <w:color w:val="000000" w:themeColor="text1"/>
        </w:rPr>
        <w:t xml:space="preserve"> </w:t>
      </w:r>
      <w:r w:rsidRPr="00BD5405">
        <w:rPr>
          <w:color w:val="000000" w:themeColor="text1"/>
        </w:rPr>
        <w:t>period</w:t>
      </w:r>
      <w:r w:rsidR="00C64050">
        <w:rPr>
          <w:color w:val="000000" w:themeColor="text1"/>
        </w:rPr>
        <w:t xml:space="preserve"> </w:t>
      </w:r>
      <w:r w:rsidRPr="00BD5405">
        <w:rPr>
          <w:color w:val="000000" w:themeColor="text1"/>
        </w:rPr>
        <w:t>rule</w:t>
      </w:r>
      <w:r w:rsidR="00C64050">
        <w:rPr>
          <w:color w:val="000000" w:themeColor="text1"/>
        </w:rPr>
        <w:t xml:space="preserve"> </w:t>
      </w:r>
      <w:r w:rsidRPr="00BD5405">
        <w:rPr>
          <w:color w:val="000000" w:themeColor="text1"/>
        </w:rPr>
        <w:t>relating</w:t>
      </w:r>
      <w:r w:rsidR="00C64050">
        <w:rPr>
          <w:color w:val="000000" w:themeColor="text1"/>
        </w:rPr>
        <w:t xml:space="preserve"> </w:t>
      </w:r>
      <w:r w:rsidRPr="00BD5405">
        <w:rPr>
          <w:color w:val="000000" w:themeColor="text1"/>
        </w:rPr>
        <w:t>to</w:t>
      </w:r>
      <w:r w:rsidR="00C64050">
        <w:rPr>
          <w:color w:val="000000" w:themeColor="text1"/>
        </w:rPr>
        <w:t xml:space="preserve"> </w:t>
      </w:r>
      <w:r w:rsidRPr="00BD5405">
        <w:rPr>
          <w:color w:val="000000" w:themeColor="text1"/>
        </w:rPr>
        <w:t>capital</w:t>
      </w:r>
      <w:r w:rsidR="00C64050">
        <w:rPr>
          <w:color w:val="000000" w:themeColor="text1"/>
        </w:rPr>
        <w:t xml:space="preserve"> </w:t>
      </w:r>
      <w:r w:rsidRPr="00BD5405">
        <w:rPr>
          <w:color w:val="000000" w:themeColor="text1"/>
        </w:rPr>
        <w:t>gains</w:t>
      </w:r>
      <w:r w:rsidR="00C64050">
        <w:rPr>
          <w:color w:val="000000" w:themeColor="text1"/>
        </w:rPr>
        <w:t xml:space="preserve"> </w:t>
      </w:r>
      <w:r w:rsidRPr="00BD5405">
        <w:rPr>
          <w:color w:val="000000" w:themeColor="text1"/>
        </w:rPr>
        <w:t>and</w:t>
      </w:r>
      <w:r w:rsidR="00C64050">
        <w:rPr>
          <w:color w:val="000000" w:themeColor="text1"/>
        </w:rPr>
        <w:t xml:space="preserve"> </w:t>
      </w:r>
      <w:r w:rsidRPr="00BD5405">
        <w:rPr>
          <w:color w:val="000000" w:themeColor="text1"/>
        </w:rPr>
        <w:t>losses</w:t>
      </w:r>
      <w:r w:rsidR="00C64050">
        <w:rPr>
          <w:color w:val="000000" w:themeColor="text1"/>
        </w:rPr>
        <w:t xml:space="preserve"> </w:t>
      </w:r>
      <w:r w:rsidRPr="00BD5405">
        <w:rPr>
          <w:color w:val="000000" w:themeColor="text1"/>
        </w:rPr>
        <w:t>includes</w:t>
      </w:r>
      <w:r w:rsidR="00C64050">
        <w:rPr>
          <w:color w:val="000000" w:themeColor="text1"/>
        </w:rPr>
        <w:t xml:space="preserve"> </w:t>
      </w:r>
      <w:r w:rsidRPr="00BD5405">
        <w:rPr>
          <w:color w:val="000000" w:themeColor="text1"/>
        </w:rPr>
        <w:t>not</w:t>
      </w:r>
      <w:r w:rsidR="00C64050">
        <w:rPr>
          <w:color w:val="000000" w:themeColor="text1"/>
        </w:rPr>
        <w:t xml:space="preserve"> </w:t>
      </w:r>
      <w:r w:rsidRPr="00BD5405">
        <w:rPr>
          <w:color w:val="000000" w:themeColor="text1"/>
        </w:rPr>
        <w:t>only</w:t>
      </w:r>
      <w:r w:rsidR="00C64050">
        <w:rPr>
          <w:color w:val="000000" w:themeColor="text1"/>
        </w:rPr>
        <w:t xml:space="preserve"> </w:t>
      </w:r>
      <w:r w:rsidRPr="00BD5405">
        <w:rPr>
          <w:color w:val="000000" w:themeColor="text1"/>
        </w:rPr>
        <w:t>full</w:t>
      </w:r>
      <w:r w:rsidR="00C64050">
        <w:rPr>
          <w:color w:val="000000" w:themeColor="text1"/>
        </w:rPr>
        <w:t xml:space="preserve"> </w:t>
      </w:r>
      <w:r w:rsidRPr="00BD5405">
        <w:rPr>
          <w:color w:val="000000" w:themeColor="text1"/>
        </w:rPr>
        <w:t>ownership,</w:t>
      </w:r>
      <w:r w:rsidR="00C64050">
        <w:rPr>
          <w:color w:val="000000" w:themeColor="text1"/>
        </w:rPr>
        <w:t xml:space="preserve"> </w:t>
      </w:r>
      <w:r w:rsidRPr="00BD5405">
        <w:rPr>
          <w:color w:val="000000" w:themeColor="text1"/>
        </w:rPr>
        <w:t>but</w:t>
      </w:r>
      <w:r w:rsidR="00C64050">
        <w:rPr>
          <w:color w:val="000000" w:themeColor="text1"/>
        </w:rPr>
        <w:t xml:space="preserve"> </w:t>
      </w:r>
      <w:r w:rsidRPr="00BD5405">
        <w:rPr>
          <w:color w:val="000000" w:themeColor="text1"/>
        </w:rPr>
        <w:t>also</w:t>
      </w:r>
      <w:r w:rsidR="00C64050">
        <w:rPr>
          <w:color w:val="000000" w:themeColor="text1"/>
        </w:rPr>
        <w:t xml:space="preserve"> </w:t>
      </w:r>
      <w:r w:rsidRPr="00BD5405">
        <w:rPr>
          <w:color w:val="000000" w:themeColor="text1"/>
        </w:rPr>
        <w:t>any</w:t>
      </w:r>
      <w:r w:rsidR="00C64050">
        <w:rPr>
          <w:color w:val="000000" w:themeColor="text1"/>
        </w:rPr>
        <w:t xml:space="preserve"> </w:t>
      </w:r>
      <w:r w:rsidRPr="00BD5405">
        <w:rPr>
          <w:color w:val="000000" w:themeColor="text1"/>
        </w:rPr>
        <w:t>interest</w:t>
      </w:r>
      <w:r w:rsidR="00C64050">
        <w:rPr>
          <w:color w:val="000000" w:themeColor="text1"/>
        </w:rPr>
        <w:t xml:space="preserve"> </w:t>
      </w:r>
      <w:r w:rsidRPr="00BD5405">
        <w:rPr>
          <w:color w:val="000000" w:themeColor="text1"/>
        </w:rPr>
        <w:t>owned</w:t>
      </w:r>
      <w:r w:rsidR="00C64050">
        <w:rPr>
          <w:color w:val="000000" w:themeColor="text1"/>
        </w:rPr>
        <w:t xml:space="preserve"> </w:t>
      </w:r>
      <w:r w:rsidRPr="00BD5405">
        <w:rPr>
          <w:color w:val="000000" w:themeColor="text1"/>
        </w:rPr>
        <w:t>whether</w:t>
      </w:r>
      <w:r w:rsidR="00C64050">
        <w:rPr>
          <w:color w:val="000000" w:themeColor="text1"/>
        </w:rPr>
        <w:t xml:space="preserve"> </w:t>
      </w:r>
      <w:r w:rsidRPr="00BD5405">
        <w:rPr>
          <w:color w:val="000000" w:themeColor="text1"/>
        </w:rPr>
        <w:t>vested,</w:t>
      </w:r>
      <w:r w:rsidR="00C64050">
        <w:rPr>
          <w:color w:val="000000" w:themeColor="text1"/>
        </w:rPr>
        <w:t xml:space="preserve"> </w:t>
      </w:r>
      <w:r w:rsidRPr="00BD5405">
        <w:rPr>
          <w:color w:val="000000" w:themeColor="text1"/>
        </w:rPr>
        <w:t>contingent,</w:t>
      </w:r>
      <w:r w:rsidR="00C64050">
        <w:rPr>
          <w:color w:val="000000" w:themeColor="text1"/>
        </w:rPr>
        <w:t xml:space="preserve"> </w:t>
      </w:r>
      <w:r w:rsidRPr="00BD5405">
        <w:rPr>
          <w:color w:val="000000" w:themeColor="text1"/>
        </w:rPr>
        <w:t>or</w:t>
      </w:r>
      <w:r w:rsidR="00C64050">
        <w:rPr>
          <w:color w:val="000000" w:themeColor="text1"/>
        </w:rPr>
        <w:t xml:space="preserve"> </w:t>
      </w:r>
      <w:r w:rsidRPr="00BD5405">
        <w:rPr>
          <w:color w:val="000000" w:themeColor="text1"/>
        </w:rPr>
        <w:t>conditional).</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Successor</w:t>
      </w:r>
      <w:r w:rsidR="00C64050">
        <w:rPr>
          <w:color w:val="000000" w:themeColor="text1"/>
        </w:rPr>
        <w:t xml:space="preserve"> </w:t>
      </w:r>
      <w:r w:rsidRPr="00BD5405">
        <w:rPr>
          <w:color w:val="000000" w:themeColor="text1"/>
        </w:rPr>
        <w:t>Remaindermen's</w:t>
      </w:r>
      <w:r w:rsidR="00C64050">
        <w:rPr>
          <w:color w:val="000000" w:themeColor="text1"/>
        </w:rPr>
        <w:t xml:space="preserve"> </w:t>
      </w:r>
      <w:r w:rsidRPr="00BD5405">
        <w:rPr>
          <w:color w:val="000000" w:themeColor="text1"/>
        </w:rPr>
        <w:t>holding</w:t>
      </w:r>
      <w:r w:rsidR="00C64050">
        <w:rPr>
          <w:color w:val="000000" w:themeColor="text1"/>
        </w:rPr>
        <w:t xml:space="preserve"> </w:t>
      </w:r>
      <w:r w:rsidRPr="00BD5405">
        <w:rPr>
          <w:color w:val="000000" w:themeColor="text1"/>
        </w:rPr>
        <w:t>period</w:t>
      </w:r>
      <w:r w:rsidR="00C64050">
        <w:rPr>
          <w:color w:val="000000" w:themeColor="text1"/>
        </w:rPr>
        <w:t xml:space="preserve"> </w:t>
      </w:r>
      <w:r w:rsidRPr="00BD5405">
        <w:rPr>
          <w:color w:val="000000" w:themeColor="text1"/>
        </w:rPr>
        <w:t>in</w:t>
      </w:r>
      <w:r w:rsidR="00C64050">
        <w:rPr>
          <w:color w:val="000000" w:themeColor="text1"/>
        </w:rPr>
        <w:t xml:space="preserve"> </w:t>
      </w:r>
      <w:r w:rsidRPr="00BD5405">
        <w:rPr>
          <w:color w:val="000000" w:themeColor="text1"/>
        </w:rPr>
        <w:t>their</w:t>
      </w:r>
      <w:r w:rsidR="00C64050">
        <w:rPr>
          <w:color w:val="000000" w:themeColor="text1"/>
        </w:rPr>
        <w:t xml:space="preserve"> </w:t>
      </w:r>
      <w:r w:rsidRPr="00BD5405">
        <w:rPr>
          <w:color w:val="000000" w:themeColor="text1"/>
        </w:rPr>
        <w:t>interests</w:t>
      </w:r>
      <w:r w:rsidR="00C64050">
        <w:rPr>
          <w:color w:val="000000" w:themeColor="text1"/>
        </w:rPr>
        <w:t xml:space="preserve"> </w:t>
      </w:r>
      <w:r w:rsidRPr="00BD5405">
        <w:rPr>
          <w:color w:val="000000" w:themeColor="text1"/>
        </w:rPr>
        <w:t>in</w:t>
      </w:r>
      <w:r w:rsidR="00C64050">
        <w:rPr>
          <w:color w:val="000000" w:themeColor="text1"/>
        </w:rPr>
        <w:t xml:space="preserve"> </w:t>
      </w:r>
      <w:r w:rsidRPr="00BD5405">
        <w:rPr>
          <w:color w:val="000000" w:themeColor="text1"/>
        </w:rPr>
        <w:t>Trust</w:t>
      </w:r>
      <w:r w:rsidR="00C64050">
        <w:rPr>
          <w:color w:val="000000" w:themeColor="text1"/>
        </w:rPr>
        <w:t xml:space="preserve"> </w:t>
      </w:r>
      <w:r w:rsidRPr="00BD5405">
        <w:rPr>
          <w:color w:val="000000" w:themeColor="text1"/>
        </w:rPr>
        <w:t>also</w:t>
      </w:r>
      <w:r w:rsidR="00C64050">
        <w:rPr>
          <w:color w:val="000000" w:themeColor="text1"/>
        </w:rPr>
        <w:t xml:space="preserve"> </w:t>
      </w:r>
      <w:r w:rsidRPr="00BD5405">
        <w:rPr>
          <w:color w:val="000000" w:themeColor="text1"/>
        </w:rPr>
        <w:t>exceeds</w:t>
      </w:r>
      <w:r w:rsidR="00C64050">
        <w:rPr>
          <w:color w:val="000000" w:themeColor="text1"/>
        </w:rPr>
        <w:t xml:space="preserve"> </w:t>
      </w:r>
      <w:r w:rsidRPr="00BD5405">
        <w:rPr>
          <w:color w:val="000000" w:themeColor="text1"/>
        </w:rPr>
        <w:t>one</w:t>
      </w:r>
      <w:r w:rsidR="00C64050">
        <w:rPr>
          <w:color w:val="000000" w:themeColor="text1"/>
        </w:rPr>
        <w:t xml:space="preserve"> </w:t>
      </w:r>
      <w:r w:rsidRPr="00BD5405">
        <w:rPr>
          <w:color w:val="000000" w:themeColor="text1"/>
        </w:rPr>
        <w:t>year.</w:t>
      </w:r>
      <w:r w:rsidR="00C64050">
        <w:rPr>
          <w:color w:val="000000" w:themeColor="text1"/>
        </w:rPr>
        <w:t xml:space="preserve"> </w:t>
      </w:r>
      <w:r w:rsidRPr="00BD5405">
        <w:rPr>
          <w:color w:val="000000" w:themeColor="text1"/>
        </w:rPr>
        <w:t>Accordingly,</w:t>
      </w:r>
      <w:r w:rsidR="00C64050">
        <w:rPr>
          <w:color w:val="000000" w:themeColor="text1"/>
        </w:rPr>
        <w:t xml:space="preserve"> </w:t>
      </w:r>
      <w:r w:rsidRPr="00BD5405">
        <w:rPr>
          <w:color w:val="000000" w:themeColor="text1"/>
        </w:rPr>
        <w:t>under</w:t>
      </w:r>
      <w:r w:rsidR="00C64050">
        <w:rPr>
          <w:color w:val="000000" w:themeColor="text1"/>
        </w:rPr>
        <w:t xml:space="preserve"> </w:t>
      </w:r>
      <w:hyperlink r:id="rId107" w:anchor="co_pp_d08f0000f5f67" w:history="1">
        <w:r w:rsidRPr="00BD5405">
          <w:rPr>
            <w:color w:val="000000" w:themeColor="text1"/>
          </w:rPr>
          <w:t>§</w:t>
        </w:r>
        <w:r w:rsidR="00C64050">
          <w:rPr>
            <w:color w:val="000000" w:themeColor="text1"/>
          </w:rPr>
          <w:t xml:space="preserve"> </w:t>
        </w:r>
        <w:r w:rsidRPr="00BD5405">
          <w:rPr>
            <w:color w:val="000000" w:themeColor="text1"/>
          </w:rPr>
          <w:t>1222(3)</w:t>
        </w:r>
      </w:hyperlink>
      <w:r w:rsidRPr="00BD5405">
        <w:rPr>
          <w:color w:val="000000" w:themeColor="text1"/>
        </w:rPr>
        <w:t>,</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gain</w:t>
      </w:r>
      <w:r w:rsidR="00C64050">
        <w:rPr>
          <w:color w:val="000000" w:themeColor="text1"/>
        </w:rPr>
        <w:t xml:space="preserve"> </w:t>
      </w:r>
      <w:r w:rsidRPr="00BD5405">
        <w:rPr>
          <w:color w:val="000000" w:themeColor="text1"/>
        </w:rPr>
        <w:t>determined</w:t>
      </w:r>
      <w:r w:rsidR="00C64050">
        <w:rPr>
          <w:color w:val="000000" w:themeColor="text1"/>
        </w:rPr>
        <w:t xml:space="preserve"> </w:t>
      </w:r>
      <w:r w:rsidRPr="00BD5405">
        <w:rPr>
          <w:color w:val="000000" w:themeColor="text1"/>
        </w:rPr>
        <w:t>under</w:t>
      </w:r>
      <w:r w:rsidR="00C64050">
        <w:rPr>
          <w:color w:val="000000" w:themeColor="text1"/>
        </w:rPr>
        <w:t xml:space="preserve"> </w:t>
      </w:r>
      <w:hyperlink r:id="rId108" w:anchor="co_pp_8b3b0000958a4" w:history="1">
        <w:r w:rsidRPr="00BD5405">
          <w:rPr>
            <w:color w:val="000000" w:themeColor="text1"/>
          </w:rPr>
          <w:t>§</w:t>
        </w:r>
        <w:r w:rsidR="00C64050">
          <w:rPr>
            <w:color w:val="000000" w:themeColor="text1"/>
          </w:rPr>
          <w:t xml:space="preserve"> </w:t>
        </w:r>
        <w:r w:rsidRPr="00BD5405">
          <w:rPr>
            <w:color w:val="000000" w:themeColor="text1"/>
          </w:rPr>
          <w:t>1001(a)</w:t>
        </w:r>
      </w:hyperlink>
      <w:r w:rsidR="00C64050">
        <w:rPr>
          <w:color w:val="000000" w:themeColor="text1"/>
        </w:rPr>
        <w:t xml:space="preserve"> </w:t>
      </w:r>
      <w:r w:rsidRPr="00BD5405">
        <w:rPr>
          <w:color w:val="000000" w:themeColor="text1"/>
        </w:rPr>
        <w:t>by</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Successor</w:t>
      </w:r>
      <w:r w:rsidR="00C64050">
        <w:rPr>
          <w:color w:val="000000" w:themeColor="text1"/>
        </w:rPr>
        <w:t xml:space="preserve"> </w:t>
      </w:r>
      <w:r w:rsidRPr="00BD5405">
        <w:rPr>
          <w:color w:val="000000" w:themeColor="text1"/>
        </w:rPr>
        <w:t>Remaindermen</w:t>
      </w:r>
      <w:r w:rsidR="00C64050">
        <w:rPr>
          <w:color w:val="000000" w:themeColor="text1"/>
        </w:rPr>
        <w:t xml:space="preserve"> </w:t>
      </w:r>
      <w:r w:rsidRPr="00BD5405">
        <w:rPr>
          <w:color w:val="000000" w:themeColor="text1"/>
        </w:rPr>
        <w:t>as</w:t>
      </w:r>
      <w:r w:rsidR="00C64050">
        <w:rPr>
          <w:color w:val="000000" w:themeColor="text1"/>
        </w:rPr>
        <w:t xml:space="preserve"> </w:t>
      </w:r>
      <w:r w:rsidRPr="00BD5405">
        <w:rPr>
          <w:color w:val="000000" w:themeColor="text1"/>
        </w:rPr>
        <w:t>a</w:t>
      </w:r>
      <w:r w:rsidR="00C64050">
        <w:rPr>
          <w:color w:val="000000" w:themeColor="text1"/>
        </w:rPr>
        <w:t xml:space="preserve"> </w:t>
      </w:r>
      <w:r w:rsidRPr="00BD5405">
        <w:rPr>
          <w:color w:val="000000" w:themeColor="text1"/>
        </w:rPr>
        <w:t>result</w:t>
      </w:r>
      <w:r w:rsidR="00C64050">
        <w:rPr>
          <w:color w:val="000000" w:themeColor="text1"/>
        </w:rPr>
        <w:t xml:space="preserve"> </w:t>
      </w:r>
      <w:r w:rsidRPr="00BD5405">
        <w:rPr>
          <w:color w:val="000000" w:themeColor="text1"/>
        </w:rPr>
        <w:t>of</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early</w:t>
      </w:r>
      <w:r w:rsidR="00C64050">
        <w:rPr>
          <w:color w:val="000000" w:themeColor="text1"/>
        </w:rPr>
        <w:t xml:space="preserve"> </w:t>
      </w:r>
      <w:r w:rsidRPr="00BD5405">
        <w:rPr>
          <w:color w:val="000000" w:themeColor="text1"/>
        </w:rPr>
        <w:t>termination</w:t>
      </w:r>
      <w:r w:rsidR="00C64050">
        <w:rPr>
          <w:color w:val="000000" w:themeColor="text1"/>
        </w:rPr>
        <w:t xml:space="preserve"> </w:t>
      </w:r>
      <w:r w:rsidRPr="00BD5405">
        <w:rPr>
          <w:color w:val="000000" w:themeColor="text1"/>
        </w:rPr>
        <w:t>of</w:t>
      </w:r>
      <w:r w:rsidR="00C64050">
        <w:rPr>
          <w:color w:val="000000" w:themeColor="text1"/>
        </w:rPr>
        <w:t xml:space="preserve"> </w:t>
      </w:r>
      <w:r w:rsidRPr="00BD5405">
        <w:rPr>
          <w:color w:val="000000" w:themeColor="text1"/>
        </w:rPr>
        <w:t>Trust</w:t>
      </w:r>
      <w:r w:rsidR="00C64050">
        <w:rPr>
          <w:color w:val="000000" w:themeColor="text1"/>
        </w:rPr>
        <w:t xml:space="preserve"> </w:t>
      </w:r>
      <w:r w:rsidRPr="00BD5405">
        <w:rPr>
          <w:color w:val="000000" w:themeColor="text1"/>
        </w:rPr>
        <w:t>will</w:t>
      </w:r>
      <w:r w:rsidR="00C64050">
        <w:rPr>
          <w:color w:val="000000" w:themeColor="text1"/>
        </w:rPr>
        <w:t xml:space="preserve"> </w:t>
      </w:r>
      <w:r w:rsidRPr="00BD5405">
        <w:rPr>
          <w:color w:val="000000" w:themeColor="text1"/>
        </w:rPr>
        <w:t>be</w:t>
      </w:r>
      <w:r w:rsidR="00C64050">
        <w:rPr>
          <w:color w:val="000000" w:themeColor="text1"/>
        </w:rPr>
        <w:t xml:space="preserve"> </w:t>
      </w:r>
      <w:r w:rsidRPr="00BD5405">
        <w:rPr>
          <w:color w:val="000000" w:themeColor="text1"/>
        </w:rPr>
        <w:t>long-term</w:t>
      </w:r>
      <w:r w:rsidR="00C64050">
        <w:rPr>
          <w:color w:val="000000" w:themeColor="text1"/>
        </w:rPr>
        <w:t xml:space="preserve"> </w:t>
      </w:r>
      <w:r w:rsidRPr="00BD5405">
        <w:rPr>
          <w:color w:val="000000" w:themeColor="text1"/>
        </w:rPr>
        <w:t>capital</w:t>
      </w:r>
      <w:r w:rsidR="00C64050">
        <w:rPr>
          <w:color w:val="000000" w:themeColor="text1"/>
        </w:rPr>
        <w:t xml:space="preserve"> </w:t>
      </w:r>
      <w:r w:rsidRPr="00BD5405">
        <w:rPr>
          <w:color w:val="000000" w:themeColor="text1"/>
        </w:rPr>
        <w:t>gain.</w:t>
      </w:r>
    </w:p>
    <w:p w:rsidR="00BD5405" w:rsidRPr="00BD5405" w:rsidRDefault="00BD5405" w:rsidP="00BD5405">
      <w:pPr>
        <w:pStyle w:val="QS10"/>
        <w:rPr>
          <w:color w:val="000000" w:themeColor="text1"/>
        </w:rPr>
      </w:pPr>
      <w:r w:rsidRPr="00BD5405">
        <w:rPr>
          <w:color w:val="000000" w:themeColor="text1"/>
        </w:rPr>
        <w:t>In</w:t>
      </w:r>
      <w:r w:rsidR="00C64050">
        <w:rPr>
          <w:color w:val="000000" w:themeColor="text1"/>
        </w:rPr>
        <w:t xml:space="preserve"> </w:t>
      </w:r>
      <w:r w:rsidRPr="00BD5405">
        <w:rPr>
          <w:color w:val="000000" w:themeColor="text1"/>
        </w:rPr>
        <w:t>addition,</w:t>
      </w:r>
      <w:r w:rsidR="00C64050">
        <w:rPr>
          <w:color w:val="000000" w:themeColor="text1"/>
        </w:rPr>
        <w:t xml:space="preserve"> </w:t>
      </w:r>
      <w:r w:rsidRPr="00BD5405">
        <w:rPr>
          <w:color w:val="000000" w:themeColor="text1"/>
        </w:rPr>
        <w:t>to</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extent</w:t>
      </w:r>
      <w:r w:rsidR="00C64050">
        <w:rPr>
          <w:color w:val="000000" w:themeColor="text1"/>
        </w:rPr>
        <w:t xml:space="preserve"> </w:t>
      </w:r>
      <w:r w:rsidRPr="00BD5405">
        <w:rPr>
          <w:color w:val="000000" w:themeColor="text1"/>
        </w:rPr>
        <w:t>that</w:t>
      </w:r>
      <w:r w:rsidR="00C64050">
        <w:rPr>
          <w:color w:val="000000" w:themeColor="text1"/>
        </w:rPr>
        <w:t xml:space="preserve"> </w:t>
      </w:r>
      <w:r w:rsidRPr="00BD5405">
        <w:rPr>
          <w:color w:val="000000" w:themeColor="text1"/>
        </w:rPr>
        <w:t>a</w:t>
      </w:r>
      <w:r w:rsidR="00C64050">
        <w:rPr>
          <w:color w:val="000000" w:themeColor="text1"/>
        </w:rPr>
        <w:t xml:space="preserve"> </w:t>
      </w:r>
      <w:r w:rsidRPr="00BD5405">
        <w:rPr>
          <w:color w:val="000000" w:themeColor="text1"/>
        </w:rPr>
        <w:t>Current</w:t>
      </w:r>
      <w:r w:rsidR="00C64050">
        <w:rPr>
          <w:color w:val="000000" w:themeColor="text1"/>
        </w:rPr>
        <w:t xml:space="preserve"> </w:t>
      </w:r>
      <w:r w:rsidRPr="00BD5405">
        <w:rPr>
          <w:color w:val="000000" w:themeColor="text1"/>
        </w:rPr>
        <w:t>Remainderman</w:t>
      </w:r>
      <w:r w:rsidR="00C64050">
        <w:rPr>
          <w:color w:val="000000" w:themeColor="text1"/>
        </w:rPr>
        <w:t xml:space="preserve"> </w:t>
      </w:r>
      <w:r w:rsidRPr="00BD5405">
        <w:rPr>
          <w:color w:val="000000" w:themeColor="text1"/>
        </w:rPr>
        <w:t>exchanges</w:t>
      </w:r>
      <w:r w:rsidR="00C64050">
        <w:rPr>
          <w:color w:val="000000" w:themeColor="text1"/>
        </w:rPr>
        <w:t xml:space="preserve"> </w:t>
      </w:r>
      <w:r w:rsidRPr="00BD5405">
        <w:rPr>
          <w:color w:val="000000" w:themeColor="text1"/>
        </w:rPr>
        <w:t>property,</w:t>
      </w:r>
      <w:r w:rsidR="00C64050">
        <w:rPr>
          <w:color w:val="000000" w:themeColor="text1"/>
        </w:rPr>
        <w:t xml:space="preserve"> </w:t>
      </w:r>
      <w:r w:rsidRPr="00BD5405">
        <w:rPr>
          <w:color w:val="000000" w:themeColor="text1"/>
        </w:rPr>
        <w:t>including</w:t>
      </w:r>
      <w:r w:rsidR="00C64050">
        <w:rPr>
          <w:color w:val="000000" w:themeColor="text1"/>
        </w:rPr>
        <w:t xml:space="preserve"> </w:t>
      </w:r>
      <w:r w:rsidRPr="00BD5405">
        <w:rPr>
          <w:color w:val="000000" w:themeColor="text1"/>
        </w:rPr>
        <w:t>property</w:t>
      </w:r>
      <w:r w:rsidR="00C64050">
        <w:rPr>
          <w:color w:val="000000" w:themeColor="text1"/>
        </w:rPr>
        <w:t xml:space="preserve"> </w:t>
      </w:r>
      <w:r w:rsidRPr="00BD5405">
        <w:rPr>
          <w:color w:val="000000" w:themeColor="text1"/>
        </w:rPr>
        <w:t>deemed</w:t>
      </w:r>
      <w:r w:rsidR="00C64050">
        <w:rPr>
          <w:color w:val="000000" w:themeColor="text1"/>
        </w:rPr>
        <w:t xml:space="preserve"> </w:t>
      </w:r>
      <w:r w:rsidRPr="00BD5405">
        <w:rPr>
          <w:color w:val="000000" w:themeColor="text1"/>
        </w:rPr>
        <w:t>received</w:t>
      </w:r>
      <w:r w:rsidR="00C64050">
        <w:rPr>
          <w:color w:val="000000" w:themeColor="text1"/>
        </w:rPr>
        <w:t xml:space="preserve"> </w:t>
      </w:r>
      <w:r w:rsidRPr="00BD5405">
        <w:rPr>
          <w:color w:val="000000" w:themeColor="text1"/>
        </w:rPr>
        <w:t>from</w:t>
      </w:r>
      <w:r w:rsidR="00C64050">
        <w:rPr>
          <w:color w:val="000000" w:themeColor="text1"/>
        </w:rPr>
        <w:t xml:space="preserve"> </w:t>
      </w:r>
      <w:r w:rsidRPr="00BD5405">
        <w:rPr>
          <w:color w:val="000000" w:themeColor="text1"/>
        </w:rPr>
        <w:t>Trust,</w:t>
      </w:r>
      <w:r w:rsidR="00C64050">
        <w:rPr>
          <w:color w:val="000000" w:themeColor="text1"/>
        </w:rPr>
        <w:t xml:space="preserve"> </w:t>
      </w:r>
      <w:r w:rsidRPr="00BD5405">
        <w:rPr>
          <w:color w:val="000000" w:themeColor="text1"/>
        </w:rPr>
        <w:t>for</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interests</w:t>
      </w:r>
      <w:r w:rsidR="00C64050">
        <w:rPr>
          <w:color w:val="000000" w:themeColor="text1"/>
        </w:rPr>
        <w:t xml:space="preserve"> </w:t>
      </w:r>
      <w:r w:rsidRPr="00BD5405">
        <w:rPr>
          <w:color w:val="000000" w:themeColor="text1"/>
        </w:rPr>
        <w:t>of</w:t>
      </w:r>
      <w:r w:rsidR="00C64050">
        <w:rPr>
          <w:color w:val="000000" w:themeColor="text1"/>
        </w:rPr>
        <w:t xml:space="preserve"> </w:t>
      </w:r>
      <w:r w:rsidRPr="00BD5405">
        <w:rPr>
          <w:color w:val="000000" w:themeColor="text1"/>
        </w:rPr>
        <w:t>Son</w:t>
      </w:r>
      <w:r w:rsidR="00C64050">
        <w:rPr>
          <w:color w:val="000000" w:themeColor="text1"/>
        </w:rPr>
        <w:t xml:space="preserve"> </w:t>
      </w:r>
      <w:r w:rsidRPr="00BD5405">
        <w:rPr>
          <w:color w:val="000000" w:themeColor="text1"/>
        </w:rPr>
        <w:t>and</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Successor</w:t>
      </w:r>
      <w:r w:rsidR="00C64050">
        <w:rPr>
          <w:color w:val="000000" w:themeColor="text1"/>
        </w:rPr>
        <w:t xml:space="preserve"> </w:t>
      </w:r>
      <w:r w:rsidRPr="00BD5405">
        <w:rPr>
          <w:color w:val="000000" w:themeColor="text1"/>
        </w:rPr>
        <w:t>Remaindermen,</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Current</w:t>
      </w:r>
      <w:r w:rsidR="00C64050">
        <w:rPr>
          <w:color w:val="000000" w:themeColor="text1"/>
        </w:rPr>
        <w:t xml:space="preserve"> </w:t>
      </w:r>
      <w:r w:rsidRPr="00BD5405">
        <w:rPr>
          <w:color w:val="000000" w:themeColor="text1"/>
        </w:rPr>
        <w:t>Remainderman</w:t>
      </w:r>
      <w:r w:rsidR="00C64050">
        <w:rPr>
          <w:color w:val="000000" w:themeColor="text1"/>
        </w:rPr>
        <w:t xml:space="preserve"> </w:t>
      </w:r>
      <w:r w:rsidRPr="00BD5405">
        <w:rPr>
          <w:color w:val="000000" w:themeColor="text1"/>
        </w:rPr>
        <w:t>will</w:t>
      </w:r>
      <w:r w:rsidR="00C64050">
        <w:rPr>
          <w:color w:val="000000" w:themeColor="text1"/>
        </w:rPr>
        <w:t xml:space="preserve"> </w:t>
      </w:r>
      <w:r w:rsidRPr="00BD5405">
        <w:rPr>
          <w:color w:val="000000" w:themeColor="text1"/>
        </w:rPr>
        <w:t>recognize</w:t>
      </w:r>
      <w:r w:rsidR="00C64050">
        <w:rPr>
          <w:color w:val="000000" w:themeColor="text1"/>
        </w:rPr>
        <w:t xml:space="preserve"> </w:t>
      </w:r>
      <w:r w:rsidRPr="00BD5405">
        <w:rPr>
          <w:color w:val="000000" w:themeColor="text1"/>
        </w:rPr>
        <w:t>gain</w:t>
      </w:r>
      <w:r w:rsidR="00C64050">
        <w:rPr>
          <w:color w:val="000000" w:themeColor="text1"/>
        </w:rPr>
        <w:t xml:space="preserve"> </w:t>
      </w:r>
      <w:r w:rsidRPr="00BD5405">
        <w:rPr>
          <w:color w:val="000000" w:themeColor="text1"/>
        </w:rPr>
        <w:t>or</w:t>
      </w:r>
      <w:r w:rsidR="00C64050">
        <w:rPr>
          <w:color w:val="000000" w:themeColor="text1"/>
        </w:rPr>
        <w:t xml:space="preserve"> </w:t>
      </w:r>
      <w:r w:rsidRPr="00BD5405">
        <w:rPr>
          <w:color w:val="000000" w:themeColor="text1"/>
        </w:rPr>
        <w:t>loss</w:t>
      </w:r>
      <w:r w:rsidR="00C64050">
        <w:rPr>
          <w:color w:val="000000" w:themeColor="text1"/>
        </w:rPr>
        <w:t xml:space="preserve"> </w:t>
      </w:r>
      <w:r w:rsidRPr="00BD5405">
        <w:rPr>
          <w:color w:val="000000" w:themeColor="text1"/>
        </w:rPr>
        <w:t>on</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property</w:t>
      </w:r>
      <w:r w:rsidR="00C64050">
        <w:rPr>
          <w:color w:val="000000" w:themeColor="text1"/>
        </w:rPr>
        <w:t xml:space="preserve"> </w:t>
      </w:r>
      <w:r w:rsidRPr="00BD5405">
        <w:rPr>
          <w:color w:val="000000" w:themeColor="text1"/>
        </w:rPr>
        <w:t>exchanged.</w:t>
      </w:r>
      <w:r w:rsidR="00C64050">
        <w:rPr>
          <w:color w:val="000000" w:themeColor="text1"/>
        </w:rPr>
        <w:t xml:space="preserve"> </w:t>
      </w:r>
      <w:r w:rsidRPr="00BD5405">
        <w:rPr>
          <w:color w:val="000000" w:themeColor="text1"/>
        </w:rPr>
        <w:t>Accordingly,</w:t>
      </w:r>
      <w:r w:rsidR="00C64050">
        <w:rPr>
          <w:color w:val="000000" w:themeColor="text1"/>
        </w:rPr>
        <w:t xml:space="preserve"> </w:t>
      </w:r>
      <w:r w:rsidRPr="00BD5405">
        <w:rPr>
          <w:color w:val="000000" w:themeColor="text1"/>
        </w:rPr>
        <w:t>based</w:t>
      </w:r>
      <w:r w:rsidR="00C64050">
        <w:rPr>
          <w:color w:val="000000" w:themeColor="text1"/>
        </w:rPr>
        <w:t xml:space="preserve"> </w:t>
      </w:r>
      <w:r w:rsidRPr="00BD5405">
        <w:rPr>
          <w:color w:val="000000" w:themeColor="text1"/>
        </w:rPr>
        <w:t>on</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facts</w:t>
      </w:r>
      <w:r w:rsidR="00C64050">
        <w:rPr>
          <w:color w:val="000000" w:themeColor="text1"/>
        </w:rPr>
        <w:t xml:space="preserve"> </w:t>
      </w:r>
      <w:r w:rsidRPr="00BD5405">
        <w:rPr>
          <w:color w:val="000000" w:themeColor="text1"/>
        </w:rPr>
        <w:t>submitted</w:t>
      </w:r>
      <w:r w:rsidR="00C64050">
        <w:rPr>
          <w:color w:val="000000" w:themeColor="text1"/>
        </w:rPr>
        <w:t xml:space="preserve"> </w:t>
      </w:r>
      <w:r w:rsidRPr="00BD5405">
        <w:rPr>
          <w:color w:val="000000" w:themeColor="text1"/>
        </w:rPr>
        <w:t>and</w:t>
      </w:r>
      <w:r w:rsidR="00C64050">
        <w:rPr>
          <w:color w:val="000000" w:themeColor="text1"/>
        </w:rPr>
        <w:t xml:space="preserve"> </w:t>
      </w:r>
      <w:r w:rsidRPr="00BD5405">
        <w:rPr>
          <w:color w:val="000000" w:themeColor="text1"/>
        </w:rPr>
        <w:t>representations</w:t>
      </w:r>
      <w:r w:rsidR="00C64050">
        <w:rPr>
          <w:color w:val="000000" w:themeColor="text1"/>
        </w:rPr>
        <w:t xml:space="preserve"> </w:t>
      </w:r>
      <w:r w:rsidRPr="00BD5405">
        <w:rPr>
          <w:color w:val="000000" w:themeColor="text1"/>
        </w:rPr>
        <w:t>made,</w:t>
      </w:r>
      <w:r w:rsidR="00C64050">
        <w:rPr>
          <w:color w:val="000000" w:themeColor="text1"/>
        </w:rPr>
        <w:t xml:space="preserve"> </w:t>
      </w:r>
      <w:r w:rsidRPr="00BD5405">
        <w:rPr>
          <w:color w:val="000000" w:themeColor="text1"/>
        </w:rPr>
        <w:t>for</w:t>
      </w:r>
      <w:r w:rsidR="00C64050">
        <w:rPr>
          <w:color w:val="000000" w:themeColor="text1"/>
        </w:rPr>
        <w:t xml:space="preserve"> </w:t>
      </w:r>
      <w:r w:rsidRPr="00BD5405">
        <w:rPr>
          <w:color w:val="000000" w:themeColor="text1"/>
        </w:rPr>
        <w:t>purposes</w:t>
      </w:r>
      <w:r w:rsidR="00C64050">
        <w:rPr>
          <w:color w:val="000000" w:themeColor="text1"/>
        </w:rPr>
        <w:t xml:space="preserve"> </w:t>
      </w:r>
      <w:r w:rsidRPr="00BD5405">
        <w:rPr>
          <w:color w:val="000000" w:themeColor="text1"/>
        </w:rPr>
        <w:t>of</w:t>
      </w:r>
      <w:r w:rsidR="00C64050">
        <w:rPr>
          <w:color w:val="000000" w:themeColor="text1"/>
        </w:rPr>
        <w:t xml:space="preserve"> </w:t>
      </w:r>
      <w:r w:rsidRPr="00BD5405">
        <w:rPr>
          <w:color w:val="000000" w:themeColor="text1"/>
        </w:rPr>
        <w:t>determining</w:t>
      </w:r>
      <w:r w:rsidR="00C64050">
        <w:rPr>
          <w:color w:val="000000" w:themeColor="text1"/>
        </w:rPr>
        <w:t xml:space="preserve"> </w:t>
      </w:r>
      <w:r w:rsidRPr="00BD5405">
        <w:rPr>
          <w:color w:val="000000" w:themeColor="text1"/>
        </w:rPr>
        <w:t>gain</w:t>
      </w:r>
      <w:r w:rsidR="00C64050">
        <w:rPr>
          <w:color w:val="000000" w:themeColor="text1"/>
        </w:rPr>
        <w:t xml:space="preserve"> </w:t>
      </w:r>
      <w:r w:rsidRPr="00BD5405">
        <w:rPr>
          <w:color w:val="000000" w:themeColor="text1"/>
        </w:rPr>
        <w:t>or</w:t>
      </w:r>
      <w:r w:rsidR="00C64050">
        <w:rPr>
          <w:color w:val="000000" w:themeColor="text1"/>
        </w:rPr>
        <w:t xml:space="preserve"> </w:t>
      </w:r>
      <w:r w:rsidRPr="00BD5405">
        <w:rPr>
          <w:color w:val="000000" w:themeColor="text1"/>
        </w:rPr>
        <w:t>loss,</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amount</w:t>
      </w:r>
      <w:r w:rsidR="00C64050">
        <w:rPr>
          <w:color w:val="000000" w:themeColor="text1"/>
        </w:rPr>
        <w:t xml:space="preserve"> </w:t>
      </w:r>
      <w:r w:rsidRPr="00BD5405">
        <w:rPr>
          <w:color w:val="000000" w:themeColor="text1"/>
        </w:rPr>
        <w:t>realized</w:t>
      </w:r>
      <w:r w:rsidR="00C64050">
        <w:rPr>
          <w:color w:val="000000" w:themeColor="text1"/>
        </w:rPr>
        <w:t xml:space="preserve"> </w:t>
      </w:r>
      <w:r w:rsidRPr="00BD5405">
        <w:rPr>
          <w:color w:val="000000" w:themeColor="text1"/>
        </w:rPr>
        <w:t>by</w:t>
      </w:r>
      <w:r w:rsidR="00C64050">
        <w:rPr>
          <w:color w:val="000000" w:themeColor="text1"/>
        </w:rPr>
        <w:t xml:space="preserve"> </w:t>
      </w:r>
      <w:r w:rsidRPr="00BD5405">
        <w:rPr>
          <w:color w:val="000000" w:themeColor="text1"/>
        </w:rPr>
        <w:t>each</w:t>
      </w:r>
      <w:r w:rsidR="00C64050">
        <w:rPr>
          <w:color w:val="000000" w:themeColor="text1"/>
        </w:rPr>
        <w:t xml:space="preserve"> </w:t>
      </w:r>
      <w:r w:rsidRPr="00BD5405">
        <w:rPr>
          <w:color w:val="000000" w:themeColor="text1"/>
        </w:rPr>
        <w:t>Current</w:t>
      </w:r>
      <w:r w:rsidR="00C64050">
        <w:rPr>
          <w:color w:val="000000" w:themeColor="text1"/>
        </w:rPr>
        <w:t xml:space="preserve"> </w:t>
      </w:r>
      <w:r w:rsidRPr="00BD5405">
        <w:rPr>
          <w:color w:val="000000" w:themeColor="text1"/>
        </w:rPr>
        <w:t>Remainderman</w:t>
      </w:r>
      <w:r w:rsidR="00C64050">
        <w:rPr>
          <w:color w:val="000000" w:themeColor="text1"/>
        </w:rPr>
        <w:t xml:space="preserve"> </w:t>
      </w:r>
      <w:r w:rsidRPr="00BD5405">
        <w:rPr>
          <w:color w:val="000000" w:themeColor="text1"/>
        </w:rPr>
        <w:t>on</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exchange</w:t>
      </w:r>
      <w:r w:rsidR="00C64050">
        <w:rPr>
          <w:color w:val="000000" w:themeColor="text1"/>
        </w:rPr>
        <w:t xml:space="preserve"> </w:t>
      </w:r>
      <w:r w:rsidRPr="00BD5405">
        <w:rPr>
          <w:color w:val="000000" w:themeColor="text1"/>
        </w:rPr>
        <w:t>of</w:t>
      </w:r>
      <w:r w:rsidR="00C64050">
        <w:rPr>
          <w:color w:val="000000" w:themeColor="text1"/>
        </w:rPr>
        <w:t xml:space="preserve"> </w:t>
      </w:r>
      <w:r w:rsidRPr="00BD5405">
        <w:rPr>
          <w:color w:val="000000" w:themeColor="text1"/>
        </w:rPr>
        <w:t>property</w:t>
      </w:r>
      <w:r w:rsidR="00C64050">
        <w:rPr>
          <w:color w:val="000000" w:themeColor="text1"/>
        </w:rPr>
        <w:t xml:space="preserve"> </w:t>
      </w:r>
      <w:r w:rsidRPr="00BD5405">
        <w:rPr>
          <w:color w:val="000000" w:themeColor="text1"/>
        </w:rPr>
        <w:t>for</w:t>
      </w:r>
      <w:r w:rsidR="00C64050">
        <w:rPr>
          <w:color w:val="000000" w:themeColor="text1"/>
        </w:rPr>
        <w:t xml:space="preserve"> </w:t>
      </w:r>
      <w:r w:rsidRPr="00BD5405">
        <w:rPr>
          <w:color w:val="000000" w:themeColor="text1"/>
        </w:rPr>
        <w:t>Trust</w:t>
      </w:r>
      <w:r w:rsidR="00C64050">
        <w:rPr>
          <w:color w:val="000000" w:themeColor="text1"/>
        </w:rPr>
        <w:t xml:space="preserve"> </w:t>
      </w:r>
      <w:r w:rsidRPr="00BD5405">
        <w:rPr>
          <w:color w:val="000000" w:themeColor="text1"/>
        </w:rPr>
        <w:t>interests</w:t>
      </w:r>
      <w:r w:rsidR="00C64050">
        <w:rPr>
          <w:color w:val="000000" w:themeColor="text1"/>
        </w:rPr>
        <w:t xml:space="preserve"> </w:t>
      </w:r>
      <w:r w:rsidRPr="00BD5405">
        <w:rPr>
          <w:color w:val="000000" w:themeColor="text1"/>
        </w:rPr>
        <w:t>held</w:t>
      </w:r>
      <w:r w:rsidR="00C64050">
        <w:rPr>
          <w:color w:val="000000" w:themeColor="text1"/>
        </w:rPr>
        <w:t xml:space="preserve"> </w:t>
      </w:r>
      <w:r w:rsidRPr="00BD5405">
        <w:rPr>
          <w:color w:val="000000" w:themeColor="text1"/>
        </w:rPr>
        <w:t>by</w:t>
      </w:r>
      <w:r w:rsidR="00C64050">
        <w:rPr>
          <w:color w:val="000000" w:themeColor="text1"/>
        </w:rPr>
        <w:t xml:space="preserve"> </w:t>
      </w:r>
      <w:r w:rsidRPr="00BD5405">
        <w:rPr>
          <w:color w:val="000000" w:themeColor="text1"/>
        </w:rPr>
        <w:t>Son</w:t>
      </w:r>
      <w:r w:rsidR="00C64050">
        <w:rPr>
          <w:color w:val="000000" w:themeColor="text1"/>
        </w:rPr>
        <w:t xml:space="preserve"> </w:t>
      </w:r>
      <w:r w:rsidRPr="00BD5405">
        <w:rPr>
          <w:color w:val="000000" w:themeColor="text1"/>
        </w:rPr>
        <w:t>and</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Successor</w:t>
      </w:r>
      <w:r w:rsidR="00C64050">
        <w:rPr>
          <w:color w:val="000000" w:themeColor="text1"/>
        </w:rPr>
        <w:t xml:space="preserve"> </w:t>
      </w:r>
      <w:r w:rsidRPr="00BD5405">
        <w:rPr>
          <w:color w:val="000000" w:themeColor="text1"/>
        </w:rPr>
        <w:t>Remaindermen</w:t>
      </w:r>
      <w:r w:rsidR="00C64050">
        <w:rPr>
          <w:color w:val="000000" w:themeColor="text1"/>
        </w:rPr>
        <w:t xml:space="preserve"> </w:t>
      </w:r>
      <w:r w:rsidRPr="00BD5405">
        <w:rPr>
          <w:color w:val="000000" w:themeColor="text1"/>
        </w:rPr>
        <w:t>will</w:t>
      </w:r>
      <w:r w:rsidR="00C64050">
        <w:rPr>
          <w:color w:val="000000" w:themeColor="text1"/>
        </w:rPr>
        <w:t xml:space="preserve"> </w:t>
      </w:r>
      <w:r w:rsidRPr="00BD5405">
        <w:rPr>
          <w:color w:val="000000" w:themeColor="text1"/>
        </w:rPr>
        <w:t>be</w:t>
      </w:r>
      <w:r w:rsidR="00C64050">
        <w:rPr>
          <w:color w:val="000000" w:themeColor="text1"/>
        </w:rPr>
        <w:t xml:space="preserve"> </w:t>
      </w:r>
      <w:r w:rsidRPr="00BD5405">
        <w:rPr>
          <w:color w:val="000000" w:themeColor="text1"/>
        </w:rPr>
        <w:t>equal</w:t>
      </w:r>
      <w:r w:rsidR="00C64050">
        <w:rPr>
          <w:color w:val="000000" w:themeColor="text1"/>
        </w:rPr>
        <w:t xml:space="preserve"> </w:t>
      </w:r>
      <w:r w:rsidRPr="00BD5405">
        <w:rPr>
          <w:color w:val="000000" w:themeColor="text1"/>
        </w:rPr>
        <w:t>to</w:t>
      </w:r>
      <w:r w:rsidR="00C64050">
        <w:rPr>
          <w:color w:val="000000" w:themeColor="text1"/>
        </w:rPr>
        <w:t xml:space="preserve"> </w:t>
      </w:r>
      <w:r w:rsidRPr="00BD5405">
        <w:rPr>
          <w:color w:val="000000" w:themeColor="text1"/>
        </w:rPr>
        <w:t>amount</w:t>
      </w:r>
      <w:r w:rsidR="00C64050">
        <w:rPr>
          <w:color w:val="000000" w:themeColor="text1"/>
        </w:rPr>
        <w:t xml:space="preserve"> </w:t>
      </w:r>
      <w:r w:rsidRPr="00BD5405">
        <w:rPr>
          <w:color w:val="000000" w:themeColor="text1"/>
        </w:rPr>
        <w:t>of</w:t>
      </w:r>
      <w:r w:rsidR="00C64050">
        <w:rPr>
          <w:color w:val="000000" w:themeColor="text1"/>
        </w:rPr>
        <w:t xml:space="preserve"> </w:t>
      </w:r>
      <w:r w:rsidRPr="00BD5405">
        <w:rPr>
          <w:color w:val="000000" w:themeColor="text1"/>
        </w:rPr>
        <w:t>cash</w:t>
      </w:r>
      <w:r w:rsidR="00C64050">
        <w:rPr>
          <w:color w:val="000000" w:themeColor="text1"/>
        </w:rPr>
        <w:t xml:space="preserve"> </w:t>
      </w:r>
      <w:r w:rsidRPr="00BD5405">
        <w:rPr>
          <w:color w:val="000000" w:themeColor="text1"/>
        </w:rPr>
        <w:t>and</w:t>
      </w:r>
      <w:r w:rsidR="00C64050">
        <w:rPr>
          <w:color w:val="000000" w:themeColor="text1"/>
        </w:rPr>
        <w:t xml:space="preserve"> </w:t>
      </w:r>
      <w:r w:rsidRPr="00BD5405">
        <w:rPr>
          <w:color w:val="000000" w:themeColor="text1"/>
        </w:rPr>
        <w:t>fair</w:t>
      </w:r>
      <w:r w:rsidR="00C64050">
        <w:rPr>
          <w:color w:val="000000" w:themeColor="text1"/>
        </w:rPr>
        <w:t xml:space="preserve"> </w:t>
      </w:r>
      <w:r w:rsidRPr="00BD5405">
        <w:rPr>
          <w:color w:val="000000" w:themeColor="text1"/>
        </w:rPr>
        <w:t>market</w:t>
      </w:r>
      <w:r w:rsidR="00C64050">
        <w:rPr>
          <w:color w:val="000000" w:themeColor="text1"/>
        </w:rPr>
        <w:t xml:space="preserve"> </w:t>
      </w:r>
      <w:r w:rsidRPr="00BD5405">
        <w:rPr>
          <w:color w:val="000000" w:themeColor="text1"/>
        </w:rPr>
        <w:t>value</w:t>
      </w:r>
      <w:r w:rsidR="00C64050">
        <w:rPr>
          <w:color w:val="000000" w:themeColor="text1"/>
        </w:rPr>
        <w:t xml:space="preserve"> </w:t>
      </w:r>
      <w:r w:rsidRPr="00BD5405">
        <w:rPr>
          <w:color w:val="000000" w:themeColor="text1"/>
        </w:rPr>
        <w:t>of</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trust</w:t>
      </w:r>
      <w:r w:rsidR="00C64050">
        <w:rPr>
          <w:color w:val="000000" w:themeColor="text1"/>
        </w:rPr>
        <w:t xml:space="preserve"> </w:t>
      </w:r>
      <w:r w:rsidRPr="00BD5405">
        <w:rPr>
          <w:color w:val="000000" w:themeColor="text1"/>
        </w:rPr>
        <w:t>interests</w:t>
      </w:r>
      <w:r w:rsidR="00C64050">
        <w:rPr>
          <w:color w:val="000000" w:themeColor="text1"/>
        </w:rPr>
        <w:t xml:space="preserve"> </w:t>
      </w:r>
      <w:r w:rsidRPr="00BD5405">
        <w:rPr>
          <w:color w:val="000000" w:themeColor="text1"/>
        </w:rPr>
        <w:t>received</w:t>
      </w:r>
      <w:r w:rsidR="00C64050">
        <w:rPr>
          <w:color w:val="000000" w:themeColor="text1"/>
        </w:rPr>
        <w:t xml:space="preserve"> </w:t>
      </w:r>
      <w:r w:rsidRPr="00BD5405">
        <w:rPr>
          <w:color w:val="000000" w:themeColor="text1"/>
        </w:rPr>
        <w:t>in</w:t>
      </w:r>
      <w:r w:rsidR="00C64050">
        <w:rPr>
          <w:color w:val="000000" w:themeColor="text1"/>
        </w:rPr>
        <w:t xml:space="preserve"> </w:t>
      </w:r>
      <w:r w:rsidRPr="00BD5405">
        <w:rPr>
          <w:color w:val="000000" w:themeColor="text1"/>
        </w:rPr>
        <w:t>exchange</w:t>
      </w:r>
      <w:r w:rsidR="00C64050">
        <w:rPr>
          <w:color w:val="000000" w:themeColor="text1"/>
        </w:rPr>
        <w:t xml:space="preserve"> </w:t>
      </w:r>
      <w:r w:rsidRPr="00BD5405">
        <w:rPr>
          <w:color w:val="000000" w:themeColor="text1"/>
        </w:rPr>
        <w:t>for</w:t>
      </w:r>
      <w:r w:rsidR="00C64050">
        <w:rPr>
          <w:color w:val="000000" w:themeColor="text1"/>
        </w:rPr>
        <w:t xml:space="preserve"> </w:t>
      </w:r>
      <w:r w:rsidRPr="00BD5405">
        <w:rPr>
          <w:color w:val="000000" w:themeColor="text1"/>
        </w:rPr>
        <w:t>the</w:t>
      </w:r>
      <w:r w:rsidR="00C64050">
        <w:rPr>
          <w:color w:val="000000" w:themeColor="text1"/>
        </w:rPr>
        <w:t xml:space="preserve"> </w:t>
      </w:r>
      <w:r w:rsidRPr="00BD5405">
        <w:rPr>
          <w:color w:val="000000" w:themeColor="text1"/>
        </w:rPr>
        <w:t>transferred</w:t>
      </w:r>
      <w:r w:rsidR="00C64050">
        <w:rPr>
          <w:color w:val="000000" w:themeColor="text1"/>
        </w:rPr>
        <w:t xml:space="preserve"> </w:t>
      </w:r>
      <w:r w:rsidRPr="00BD5405">
        <w:rPr>
          <w:color w:val="000000" w:themeColor="text1"/>
        </w:rPr>
        <w:t>assets.</w:t>
      </w:r>
      <w:r w:rsidR="00C64050">
        <w:rPr>
          <w:color w:val="000000" w:themeColor="text1"/>
        </w:rPr>
        <w:t xml:space="preserve"> </w:t>
      </w:r>
      <w:hyperlink r:id="rId109" w:anchor="co_pp_8b3b0000958a4" w:history="1">
        <w:r w:rsidRPr="00BD5405">
          <w:rPr>
            <w:color w:val="000000" w:themeColor="text1"/>
          </w:rPr>
          <w:t>Section</w:t>
        </w:r>
        <w:r w:rsidR="00C64050">
          <w:rPr>
            <w:color w:val="000000" w:themeColor="text1"/>
          </w:rPr>
          <w:t xml:space="preserve"> </w:t>
        </w:r>
        <w:r w:rsidRPr="00BD5405">
          <w:rPr>
            <w:color w:val="000000" w:themeColor="text1"/>
          </w:rPr>
          <w:t>1.1001-1(a)</w:t>
        </w:r>
      </w:hyperlink>
      <w:r w:rsidR="00C64050">
        <w:rPr>
          <w:color w:val="000000" w:themeColor="text1"/>
        </w:rPr>
        <w:t xml:space="preserve"> </w:t>
      </w:r>
      <w:r w:rsidRPr="00BD5405">
        <w:rPr>
          <w:color w:val="000000" w:themeColor="text1"/>
        </w:rPr>
        <w:t>and</w:t>
      </w:r>
      <w:r w:rsidR="00C64050">
        <w:rPr>
          <w:color w:val="000000" w:themeColor="text1"/>
        </w:rPr>
        <w:t xml:space="preserve"> </w:t>
      </w:r>
      <w:hyperlink r:id="rId110" w:history="1">
        <w:r w:rsidRPr="00BD5405">
          <w:rPr>
            <w:color w:val="000000" w:themeColor="text1"/>
          </w:rPr>
          <w:t>Rev.</w:t>
        </w:r>
        <w:r w:rsidR="00C64050">
          <w:rPr>
            <w:color w:val="000000" w:themeColor="text1"/>
          </w:rPr>
          <w:t xml:space="preserve"> </w:t>
        </w:r>
        <w:r w:rsidRPr="00BD5405">
          <w:rPr>
            <w:color w:val="000000" w:themeColor="text1"/>
          </w:rPr>
          <w:t>Rul.</w:t>
        </w:r>
        <w:r w:rsidR="00C64050">
          <w:rPr>
            <w:color w:val="000000" w:themeColor="text1"/>
          </w:rPr>
          <w:t xml:space="preserve"> </w:t>
        </w:r>
        <w:r w:rsidRPr="00BD5405">
          <w:rPr>
            <w:color w:val="000000" w:themeColor="text1"/>
          </w:rPr>
          <w:t>69-486</w:t>
        </w:r>
      </w:hyperlink>
      <w:r w:rsidRPr="00BD5405">
        <w:rPr>
          <w:color w:val="000000" w:themeColor="text1"/>
        </w:rPr>
        <w:t>.</w:t>
      </w:r>
    </w:p>
    <w:p w:rsidR="00A355BE" w:rsidRDefault="00544512" w:rsidP="00A355BE">
      <w:pPr>
        <w:pStyle w:val="Body15"/>
        <w:rPr>
          <w:lang w:eastAsia="en-GB"/>
        </w:rPr>
      </w:pPr>
      <w:r>
        <w:rPr>
          <w:lang w:eastAsia="en-GB"/>
        </w:rPr>
        <w:t>Interestingly,</w:t>
      </w:r>
      <w:r w:rsidR="00C64050">
        <w:rPr>
          <w:lang w:eastAsia="en-GB"/>
        </w:rPr>
        <w:t xml:space="preserve"> </w:t>
      </w:r>
      <w:r>
        <w:rPr>
          <w:lang w:eastAsia="en-GB"/>
        </w:rPr>
        <w:t>the</w:t>
      </w:r>
      <w:r w:rsidR="00C64050">
        <w:rPr>
          <w:lang w:eastAsia="en-GB"/>
        </w:rPr>
        <w:t xml:space="preserve"> </w:t>
      </w:r>
      <w:r>
        <w:rPr>
          <w:lang w:eastAsia="en-GB"/>
        </w:rPr>
        <w:t>taxpayer</w:t>
      </w:r>
      <w:r w:rsidR="00C64050">
        <w:rPr>
          <w:lang w:eastAsia="en-GB"/>
        </w:rPr>
        <w:t xml:space="preserve"> </w:t>
      </w:r>
      <w:r>
        <w:rPr>
          <w:u w:val="single"/>
          <w:lang w:eastAsia="en-GB"/>
        </w:rPr>
        <w:t>asked</w:t>
      </w:r>
      <w:r w:rsidR="00C64050">
        <w:rPr>
          <w:lang w:eastAsia="en-GB"/>
        </w:rPr>
        <w:t xml:space="preserve"> </w:t>
      </w:r>
      <w:r>
        <w:rPr>
          <w:lang w:eastAsia="en-GB"/>
        </w:rPr>
        <w:t>for</w:t>
      </w:r>
      <w:r w:rsidR="00C64050">
        <w:rPr>
          <w:lang w:eastAsia="en-GB"/>
        </w:rPr>
        <w:t xml:space="preserve"> </w:t>
      </w:r>
      <w:r>
        <w:rPr>
          <w:lang w:eastAsia="en-GB"/>
        </w:rPr>
        <w:t>the</w:t>
      </w:r>
      <w:r w:rsidR="00C64050">
        <w:rPr>
          <w:lang w:eastAsia="en-GB"/>
        </w:rPr>
        <w:t xml:space="preserve"> </w:t>
      </w:r>
      <w:r>
        <w:rPr>
          <w:lang w:eastAsia="en-GB"/>
        </w:rPr>
        <w:t>“sale”</w:t>
      </w:r>
      <w:r w:rsidR="00C64050">
        <w:rPr>
          <w:lang w:eastAsia="en-GB"/>
        </w:rPr>
        <w:t xml:space="preserve"> </w:t>
      </w:r>
      <w:r>
        <w:rPr>
          <w:lang w:eastAsia="en-GB"/>
        </w:rPr>
        <w:t>ruling,</w:t>
      </w:r>
      <w:r w:rsidR="00C64050">
        <w:rPr>
          <w:lang w:eastAsia="en-GB"/>
        </w:rPr>
        <w:t xml:space="preserve"> </w:t>
      </w:r>
      <w:r>
        <w:rPr>
          <w:lang w:eastAsia="en-GB"/>
        </w:rPr>
        <w:t>perhaps</w:t>
      </w:r>
      <w:r w:rsidR="00C64050">
        <w:rPr>
          <w:lang w:eastAsia="en-GB"/>
        </w:rPr>
        <w:t xml:space="preserve"> </w:t>
      </w:r>
      <w:r>
        <w:rPr>
          <w:lang w:eastAsia="en-GB"/>
        </w:rPr>
        <w:t>to</w:t>
      </w:r>
      <w:r w:rsidR="00C64050">
        <w:rPr>
          <w:lang w:eastAsia="en-GB"/>
        </w:rPr>
        <w:t xml:space="preserve"> </w:t>
      </w:r>
      <w:r>
        <w:rPr>
          <w:lang w:eastAsia="en-GB"/>
        </w:rPr>
        <w:t>ensure</w:t>
      </w:r>
      <w:r w:rsidR="00C64050">
        <w:rPr>
          <w:lang w:eastAsia="en-GB"/>
        </w:rPr>
        <w:t xml:space="preserve"> </w:t>
      </w:r>
      <w:r>
        <w:rPr>
          <w:lang w:eastAsia="en-GB"/>
        </w:rPr>
        <w:t>it</w:t>
      </w:r>
      <w:r w:rsidR="00C64050">
        <w:rPr>
          <w:lang w:eastAsia="en-GB"/>
        </w:rPr>
        <w:t xml:space="preserve"> </w:t>
      </w:r>
      <w:r>
        <w:rPr>
          <w:lang w:eastAsia="en-GB"/>
        </w:rPr>
        <w:t>was</w:t>
      </w:r>
      <w:r w:rsidR="00C64050">
        <w:rPr>
          <w:lang w:eastAsia="en-GB"/>
        </w:rPr>
        <w:t xml:space="preserve"> </w:t>
      </w:r>
      <w:r>
        <w:rPr>
          <w:lang w:eastAsia="en-GB"/>
        </w:rPr>
        <w:t>“at</w:t>
      </w:r>
      <w:r w:rsidR="00C64050">
        <w:rPr>
          <w:lang w:eastAsia="en-GB"/>
        </w:rPr>
        <w:t xml:space="preserve"> </w:t>
      </w:r>
      <w:r>
        <w:rPr>
          <w:lang w:eastAsia="en-GB"/>
        </w:rPr>
        <w:t>least”</w:t>
      </w:r>
      <w:r w:rsidR="00C64050">
        <w:rPr>
          <w:lang w:eastAsia="en-GB"/>
        </w:rPr>
        <w:t xml:space="preserve"> </w:t>
      </w:r>
      <w:r>
        <w:rPr>
          <w:lang w:eastAsia="en-GB"/>
        </w:rPr>
        <w:t>a</w:t>
      </w:r>
      <w:r w:rsidR="00C64050">
        <w:rPr>
          <w:lang w:eastAsia="en-GB"/>
        </w:rPr>
        <w:t xml:space="preserve"> </w:t>
      </w:r>
      <w:r>
        <w:rPr>
          <w:lang w:eastAsia="en-GB"/>
        </w:rPr>
        <w:t>capital</w:t>
      </w:r>
      <w:r w:rsidR="00C64050">
        <w:rPr>
          <w:lang w:eastAsia="en-GB"/>
        </w:rPr>
        <w:t xml:space="preserve"> </w:t>
      </w:r>
      <w:r>
        <w:rPr>
          <w:lang w:eastAsia="en-GB"/>
        </w:rPr>
        <w:t>transaction.</w:t>
      </w:r>
      <w:r w:rsidR="00C64050">
        <w:rPr>
          <w:lang w:eastAsia="en-GB"/>
        </w:rPr>
        <w:t xml:space="preserve">  </w:t>
      </w:r>
      <w:r w:rsidR="00A355BE">
        <w:rPr>
          <w:lang w:eastAsia="en-GB"/>
        </w:rPr>
        <w:t>Suppose</w:t>
      </w:r>
      <w:r w:rsidR="00C64050">
        <w:rPr>
          <w:lang w:eastAsia="en-GB"/>
        </w:rPr>
        <w:t xml:space="preserve"> </w:t>
      </w:r>
      <w:r w:rsidR="00A355BE">
        <w:rPr>
          <w:lang w:eastAsia="en-GB"/>
        </w:rPr>
        <w:t>the</w:t>
      </w:r>
      <w:r w:rsidR="00C64050">
        <w:rPr>
          <w:lang w:eastAsia="en-GB"/>
        </w:rPr>
        <w:t xml:space="preserve"> </w:t>
      </w:r>
      <w:r w:rsidR="00A355BE">
        <w:rPr>
          <w:lang w:eastAsia="en-GB"/>
        </w:rPr>
        <w:t>parties</w:t>
      </w:r>
      <w:r w:rsidR="00C64050">
        <w:rPr>
          <w:lang w:eastAsia="en-GB"/>
        </w:rPr>
        <w:t xml:space="preserve"> </w:t>
      </w:r>
      <w:r w:rsidR="00A355BE">
        <w:rPr>
          <w:lang w:eastAsia="en-GB"/>
        </w:rPr>
        <w:t>had</w:t>
      </w:r>
      <w:r w:rsidR="00C64050">
        <w:rPr>
          <w:lang w:eastAsia="en-GB"/>
        </w:rPr>
        <w:t xml:space="preserve"> </w:t>
      </w:r>
      <w:r w:rsidR="00A355BE">
        <w:rPr>
          <w:lang w:eastAsia="en-GB"/>
        </w:rPr>
        <w:t>amended</w:t>
      </w:r>
      <w:r w:rsidR="00C64050">
        <w:rPr>
          <w:lang w:eastAsia="en-GB"/>
        </w:rPr>
        <w:t xml:space="preserve"> </w:t>
      </w:r>
      <w:r w:rsidR="00BD5405">
        <w:rPr>
          <w:lang w:eastAsia="en-GB"/>
        </w:rPr>
        <w:t>the</w:t>
      </w:r>
      <w:r w:rsidR="00C64050">
        <w:rPr>
          <w:lang w:eastAsia="en-GB"/>
        </w:rPr>
        <w:t xml:space="preserve"> </w:t>
      </w:r>
      <w:r w:rsidR="00A355BE">
        <w:rPr>
          <w:lang w:eastAsia="en-GB"/>
        </w:rPr>
        <w:t>trust</w:t>
      </w:r>
      <w:r w:rsidR="00C64050">
        <w:rPr>
          <w:lang w:eastAsia="en-GB"/>
        </w:rPr>
        <w:t xml:space="preserve"> </w:t>
      </w:r>
      <w:r w:rsidR="00A355BE">
        <w:rPr>
          <w:lang w:eastAsia="en-GB"/>
        </w:rPr>
        <w:t>to</w:t>
      </w:r>
      <w:r w:rsidR="00C64050">
        <w:rPr>
          <w:lang w:eastAsia="en-GB"/>
        </w:rPr>
        <w:t xml:space="preserve"> </w:t>
      </w:r>
      <w:r w:rsidR="00A355BE">
        <w:rPr>
          <w:lang w:eastAsia="en-GB"/>
        </w:rPr>
        <w:t>add</w:t>
      </w:r>
      <w:r w:rsidR="00C64050">
        <w:rPr>
          <w:lang w:eastAsia="en-GB"/>
        </w:rPr>
        <w:t xml:space="preserve"> </w:t>
      </w:r>
      <w:r w:rsidR="00A355BE">
        <w:rPr>
          <w:lang w:eastAsia="en-GB"/>
        </w:rPr>
        <w:t>principal</w:t>
      </w:r>
      <w:r w:rsidR="00C64050">
        <w:rPr>
          <w:lang w:eastAsia="en-GB"/>
        </w:rPr>
        <w:t xml:space="preserve"> </w:t>
      </w:r>
      <w:r w:rsidR="00A355BE">
        <w:rPr>
          <w:lang w:eastAsia="en-GB"/>
        </w:rPr>
        <w:t>distribution</w:t>
      </w:r>
      <w:r w:rsidR="00C64050">
        <w:rPr>
          <w:lang w:eastAsia="en-GB"/>
        </w:rPr>
        <w:t xml:space="preserve"> </w:t>
      </w:r>
      <w:r w:rsidR="00A355BE">
        <w:rPr>
          <w:lang w:eastAsia="en-GB"/>
        </w:rPr>
        <w:t>provisions.</w:t>
      </w:r>
      <w:r w:rsidR="00C64050">
        <w:rPr>
          <w:lang w:eastAsia="en-GB"/>
        </w:rPr>
        <w:t xml:space="preserve">  </w:t>
      </w:r>
      <w:r w:rsidR="00A355BE">
        <w:rPr>
          <w:lang w:eastAsia="en-GB"/>
        </w:rPr>
        <w:t>Would</w:t>
      </w:r>
      <w:r w:rsidR="00C64050">
        <w:rPr>
          <w:lang w:eastAsia="en-GB"/>
        </w:rPr>
        <w:t xml:space="preserve"> </w:t>
      </w:r>
      <w:r w:rsidR="00A355BE">
        <w:rPr>
          <w:lang w:eastAsia="en-GB"/>
        </w:rPr>
        <w:t>that</w:t>
      </w:r>
      <w:r w:rsidR="00C64050">
        <w:rPr>
          <w:lang w:eastAsia="en-GB"/>
        </w:rPr>
        <w:t xml:space="preserve"> </w:t>
      </w:r>
      <w:r w:rsidR="00A355BE">
        <w:rPr>
          <w:lang w:eastAsia="en-GB"/>
        </w:rPr>
        <w:t>have</w:t>
      </w:r>
      <w:r w:rsidR="00C64050">
        <w:rPr>
          <w:lang w:eastAsia="en-GB"/>
        </w:rPr>
        <w:t xml:space="preserve"> </w:t>
      </w:r>
      <w:r w:rsidR="00A355BE">
        <w:rPr>
          <w:lang w:eastAsia="en-GB"/>
        </w:rPr>
        <w:t>been</w:t>
      </w:r>
      <w:r w:rsidR="00C64050">
        <w:rPr>
          <w:lang w:eastAsia="en-GB"/>
        </w:rPr>
        <w:t xml:space="preserve"> </w:t>
      </w:r>
      <w:r w:rsidR="00A355BE">
        <w:rPr>
          <w:lang w:eastAsia="en-GB"/>
        </w:rPr>
        <w:t>a</w:t>
      </w:r>
      <w:r w:rsidR="00C64050">
        <w:rPr>
          <w:lang w:eastAsia="en-GB"/>
        </w:rPr>
        <w:t xml:space="preserve"> </w:t>
      </w:r>
      <w:r w:rsidR="00A355BE">
        <w:rPr>
          <w:lang w:eastAsia="en-GB"/>
        </w:rPr>
        <w:t>gift</w:t>
      </w:r>
      <w:r w:rsidR="00C64050">
        <w:rPr>
          <w:lang w:eastAsia="en-GB"/>
        </w:rPr>
        <w:t xml:space="preserve"> </w:t>
      </w:r>
      <w:r w:rsidR="00A355BE">
        <w:rPr>
          <w:lang w:eastAsia="en-GB"/>
        </w:rPr>
        <w:t>by</w:t>
      </w:r>
      <w:r w:rsidR="00C64050">
        <w:rPr>
          <w:lang w:eastAsia="en-GB"/>
        </w:rPr>
        <w:t xml:space="preserve"> </w:t>
      </w:r>
      <w:r w:rsidR="00A355BE">
        <w:rPr>
          <w:lang w:eastAsia="en-GB"/>
        </w:rPr>
        <w:t>the</w:t>
      </w:r>
      <w:r w:rsidR="00C64050">
        <w:rPr>
          <w:lang w:eastAsia="en-GB"/>
        </w:rPr>
        <w:t xml:space="preserve"> </w:t>
      </w:r>
      <w:r w:rsidR="00A355BE">
        <w:rPr>
          <w:lang w:eastAsia="en-GB"/>
        </w:rPr>
        <w:t>consenting</w:t>
      </w:r>
      <w:r w:rsidR="00C64050">
        <w:rPr>
          <w:lang w:eastAsia="en-GB"/>
        </w:rPr>
        <w:t xml:space="preserve"> </w:t>
      </w:r>
      <w:r w:rsidR="00A355BE">
        <w:rPr>
          <w:lang w:eastAsia="en-GB"/>
        </w:rPr>
        <w:t>parties,</w:t>
      </w:r>
      <w:r w:rsidR="00C64050">
        <w:rPr>
          <w:lang w:eastAsia="en-GB"/>
        </w:rPr>
        <w:t xml:space="preserve"> </w:t>
      </w:r>
      <w:r w:rsidR="00A355BE">
        <w:rPr>
          <w:lang w:eastAsia="en-GB"/>
        </w:rPr>
        <w:t>even</w:t>
      </w:r>
      <w:r w:rsidR="00C64050">
        <w:rPr>
          <w:lang w:eastAsia="en-GB"/>
        </w:rPr>
        <w:t xml:space="preserve"> </w:t>
      </w:r>
      <w:r w:rsidR="00A355BE">
        <w:rPr>
          <w:lang w:eastAsia="en-GB"/>
        </w:rPr>
        <w:t>prior</w:t>
      </w:r>
      <w:r w:rsidR="00C64050">
        <w:rPr>
          <w:lang w:eastAsia="en-GB"/>
        </w:rPr>
        <w:t xml:space="preserve"> </w:t>
      </w:r>
      <w:r w:rsidR="00A355BE">
        <w:rPr>
          <w:lang w:eastAsia="en-GB"/>
        </w:rPr>
        <w:t>to</w:t>
      </w:r>
      <w:r w:rsidR="00C64050">
        <w:rPr>
          <w:lang w:eastAsia="en-GB"/>
        </w:rPr>
        <w:t xml:space="preserve"> </w:t>
      </w:r>
      <w:r w:rsidR="00A355BE">
        <w:rPr>
          <w:lang w:eastAsia="en-GB"/>
        </w:rPr>
        <w:t>an</w:t>
      </w:r>
      <w:r w:rsidR="00C64050">
        <w:rPr>
          <w:lang w:eastAsia="en-GB"/>
        </w:rPr>
        <w:t xml:space="preserve"> </w:t>
      </w:r>
      <w:r w:rsidR="00A355BE">
        <w:rPr>
          <w:lang w:eastAsia="en-GB"/>
        </w:rPr>
        <w:t>actual</w:t>
      </w:r>
      <w:r w:rsidR="00C64050">
        <w:rPr>
          <w:lang w:eastAsia="en-GB"/>
        </w:rPr>
        <w:t xml:space="preserve"> </w:t>
      </w:r>
      <w:r w:rsidR="00A355BE">
        <w:rPr>
          <w:lang w:eastAsia="en-GB"/>
        </w:rPr>
        <w:t>distribution?</w:t>
      </w:r>
      <w:r w:rsidR="00C64050">
        <w:rPr>
          <w:lang w:eastAsia="en-GB"/>
        </w:rPr>
        <w:t xml:space="preserve">  </w:t>
      </w:r>
      <w:r w:rsidR="00A355BE">
        <w:rPr>
          <w:lang w:eastAsia="en-GB"/>
        </w:rPr>
        <w:t>Would</w:t>
      </w:r>
      <w:r w:rsidR="00C64050">
        <w:rPr>
          <w:lang w:eastAsia="en-GB"/>
        </w:rPr>
        <w:t xml:space="preserve"> </w:t>
      </w:r>
      <w:r w:rsidR="00A355BE">
        <w:rPr>
          <w:lang w:eastAsia="en-GB"/>
        </w:rPr>
        <w:t>that</w:t>
      </w:r>
      <w:r w:rsidR="00C64050">
        <w:rPr>
          <w:lang w:eastAsia="en-GB"/>
        </w:rPr>
        <w:t xml:space="preserve"> </w:t>
      </w:r>
      <w:r w:rsidR="00A355BE">
        <w:rPr>
          <w:lang w:eastAsia="en-GB"/>
        </w:rPr>
        <w:t>have</w:t>
      </w:r>
      <w:r w:rsidR="00C64050">
        <w:rPr>
          <w:lang w:eastAsia="en-GB"/>
        </w:rPr>
        <w:t xml:space="preserve"> </w:t>
      </w:r>
      <w:r w:rsidR="00A355BE">
        <w:rPr>
          <w:lang w:eastAsia="en-GB"/>
        </w:rPr>
        <w:t>altered</w:t>
      </w:r>
      <w:r w:rsidR="00C64050">
        <w:rPr>
          <w:lang w:eastAsia="en-GB"/>
        </w:rPr>
        <w:t xml:space="preserve"> </w:t>
      </w:r>
      <w:r w:rsidR="00A355BE">
        <w:rPr>
          <w:lang w:eastAsia="en-GB"/>
        </w:rPr>
        <w:t>the</w:t>
      </w:r>
      <w:r w:rsidR="00C64050">
        <w:rPr>
          <w:lang w:eastAsia="en-GB"/>
        </w:rPr>
        <w:t xml:space="preserve"> </w:t>
      </w:r>
      <w:r w:rsidR="00A355BE">
        <w:rPr>
          <w:lang w:eastAsia="en-GB"/>
        </w:rPr>
        <w:t>result</w:t>
      </w:r>
      <w:r w:rsidR="00C64050">
        <w:rPr>
          <w:lang w:eastAsia="en-GB"/>
        </w:rPr>
        <w:t xml:space="preserve"> </w:t>
      </w:r>
      <w:r w:rsidR="00A355BE">
        <w:rPr>
          <w:lang w:eastAsia="en-GB"/>
        </w:rPr>
        <w:t>of</w:t>
      </w:r>
      <w:r w:rsidR="00C64050">
        <w:rPr>
          <w:lang w:eastAsia="en-GB"/>
        </w:rPr>
        <w:t xml:space="preserve"> </w:t>
      </w:r>
      <w:r w:rsidR="00A355BE">
        <w:rPr>
          <w:lang w:eastAsia="en-GB"/>
        </w:rPr>
        <w:t>the</w:t>
      </w:r>
      <w:r w:rsidR="00C64050">
        <w:rPr>
          <w:lang w:eastAsia="en-GB"/>
        </w:rPr>
        <w:t xml:space="preserve"> </w:t>
      </w:r>
      <w:r w:rsidR="00A355BE">
        <w:rPr>
          <w:lang w:eastAsia="en-GB"/>
        </w:rPr>
        <w:t>ruling?</w:t>
      </w:r>
    </w:p>
    <w:p w:rsidR="00A355BE" w:rsidRDefault="00A355BE" w:rsidP="00A355BE">
      <w:pPr>
        <w:pStyle w:val="Body15"/>
        <w:rPr>
          <w:lang w:eastAsia="en-GB"/>
        </w:rPr>
      </w:pPr>
      <w:r>
        <w:rPr>
          <w:lang w:eastAsia="en-GB"/>
        </w:rPr>
        <w:t>As</w:t>
      </w:r>
      <w:r w:rsidR="00C64050">
        <w:rPr>
          <w:lang w:eastAsia="en-GB"/>
        </w:rPr>
        <w:t xml:space="preserve"> </w:t>
      </w:r>
      <w:r>
        <w:rPr>
          <w:lang w:eastAsia="en-GB"/>
        </w:rPr>
        <w:t>discussed</w:t>
      </w:r>
      <w:r w:rsidR="00C64050">
        <w:rPr>
          <w:lang w:eastAsia="en-GB"/>
        </w:rPr>
        <w:t xml:space="preserve"> </w:t>
      </w:r>
      <w:r>
        <w:rPr>
          <w:lang w:eastAsia="en-GB"/>
        </w:rPr>
        <w:t>elsewhere</w:t>
      </w:r>
      <w:r w:rsidR="00C64050">
        <w:rPr>
          <w:lang w:eastAsia="en-GB"/>
        </w:rPr>
        <w:t xml:space="preserve"> </w:t>
      </w:r>
      <w:r>
        <w:rPr>
          <w:lang w:eastAsia="en-GB"/>
        </w:rPr>
        <w:t>in</w:t>
      </w:r>
      <w:r w:rsidR="00C64050">
        <w:rPr>
          <w:lang w:eastAsia="en-GB"/>
        </w:rPr>
        <w:t xml:space="preserve"> </w:t>
      </w:r>
      <w:r>
        <w:rPr>
          <w:lang w:eastAsia="en-GB"/>
        </w:rPr>
        <w:t>these</w:t>
      </w:r>
      <w:r w:rsidR="00C64050">
        <w:rPr>
          <w:lang w:eastAsia="en-GB"/>
        </w:rPr>
        <w:t xml:space="preserve"> </w:t>
      </w:r>
      <w:r>
        <w:rPr>
          <w:lang w:eastAsia="en-GB"/>
        </w:rPr>
        <w:t>materials,</w:t>
      </w:r>
      <w:r w:rsidR="00C64050">
        <w:rPr>
          <w:lang w:eastAsia="en-GB"/>
        </w:rPr>
        <w:t xml:space="preserve"> </w:t>
      </w:r>
      <w:r>
        <w:rPr>
          <w:lang w:eastAsia="en-GB"/>
        </w:rPr>
        <w:t>another</w:t>
      </w:r>
      <w:r w:rsidR="00C64050">
        <w:rPr>
          <w:lang w:eastAsia="en-GB"/>
        </w:rPr>
        <w:t xml:space="preserve"> </w:t>
      </w:r>
      <w:r>
        <w:rPr>
          <w:lang w:eastAsia="en-GB"/>
        </w:rPr>
        <w:t>potential</w:t>
      </w:r>
      <w:r w:rsidR="00C64050">
        <w:rPr>
          <w:lang w:eastAsia="en-GB"/>
        </w:rPr>
        <w:t xml:space="preserve"> </w:t>
      </w:r>
      <w:r>
        <w:rPr>
          <w:lang w:eastAsia="en-GB"/>
        </w:rPr>
        <w:t>strategy</w:t>
      </w:r>
      <w:r w:rsidR="00C64050">
        <w:rPr>
          <w:lang w:eastAsia="en-GB"/>
        </w:rPr>
        <w:t xml:space="preserve"> </w:t>
      </w:r>
      <w:r>
        <w:rPr>
          <w:lang w:eastAsia="en-GB"/>
        </w:rPr>
        <w:t>would</w:t>
      </w:r>
      <w:r w:rsidR="00C64050">
        <w:rPr>
          <w:lang w:eastAsia="en-GB"/>
        </w:rPr>
        <w:t xml:space="preserve"> </w:t>
      </w:r>
      <w:r>
        <w:rPr>
          <w:lang w:eastAsia="en-GB"/>
        </w:rPr>
        <w:t>be</w:t>
      </w:r>
      <w:r w:rsidR="00C64050">
        <w:rPr>
          <w:lang w:eastAsia="en-GB"/>
        </w:rPr>
        <w:t xml:space="preserve"> </w:t>
      </w:r>
      <w:r>
        <w:rPr>
          <w:lang w:eastAsia="en-GB"/>
        </w:rPr>
        <w:t>to</w:t>
      </w:r>
      <w:r w:rsidR="00C64050">
        <w:rPr>
          <w:lang w:eastAsia="en-GB"/>
        </w:rPr>
        <w:t xml:space="preserve"> </w:t>
      </w:r>
      <w:r>
        <w:rPr>
          <w:lang w:eastAsia="en-GB"/>
        </w:rPr>
        <w:t>cause</w:t>
      </w:r>
      <w:r w:rsidR="00C64050">
        <w:rPr>
          <w:lang w:eastAsia="en-GB"/>
        </w:rPr>
        <w:t xml:space="preserve"> </w:t>
      </w:r>
      <w:r>
        <w:rPr>
          <w:lang w:eastAsia="en-GB"/>
        </w:rPr>
        <w:t>the</w:t>
      </w:r>
      <w:r w:rsidR="00C64050">
        <w:rPr>
          <w:lang w:eastAsia="en-GB"/>
        </w:rPr>
        <w:t xml:space="preserve"> </w:t>
      </w:r>
      <w:r>
        <w:rPr>
          <w:lang w:eastAsia="en-GB"/>
        </w:rPr>
        <w:t>trust</w:t>
      </w:r>
      <w:r w:rsidR="00C64050">
        <w:rPr>
          <w:lang w:eastAsia="en-GB"/>
        </w:rPr>
        <w:t xml:space="preserve"> </w:t>
      </w:r>
      <w:r>
        <w:rPr>
          <w:lang w:eastAsia="en-GB"/>
        </w:rPr>
        <w:t>to</w:t>
      </w:r>
      <w:r w:rsidR="00C64050">
        <w:rPr>
          <w:lang w:eastAsia="en-GB"/>
        </w:rPr>
        <w:t xml:space="preserve"> </w:t>
      </w:r>
      <w:r>
        <w:rPr>
          <w:lang w:eastAsia="en-GB"/>
        </w:rPr>
        <w:t>terminate</w:t>
      </w:r>
      <w:r w:rsidR="00C64050">
        <w:rPr>
          <w:lang w:eastAsia="en-GB"/>
        </w:rPr>
        <w:t xml:space="preserve"> </w:t>
      </w:r>
      <w:r>
        <w:rPr>
          <w:lang w:eastAsia="en-GB"/>
        </w:rPr>
        <w:t>by</w:t>
      </w:r>
      <w:r w:rsidR="00C64050">
        <w:rPr>
          <w:lang w:eastAsia="en-GB"/>
        </w:rPr>
        <w:t xml:space="preserve"> </w:t>
      </w:r>
      <w:r>
        <w:rPr>
          <w:lang w:eastAsia="en-GB"/>
        </w:rPr>
        <w:t>operation</w:t>
      </w:r>
      <w:r w:rsidR="00C64050">
        <w:rPr>
          <w:lang w:eastAsia="en-GB"/>
        </w:rPr>
        <w:t xml:space="preserve"> </w:t>
      </w:r>
      <w:r>
        <w:rPr>
          <w:lang w:eastAsia="en-GB"/>
        </w:rPr>
        <w:t>of</w:t>
      </w:r>
      <w:r w:rsidR="00C64050">
        <w:rPr>
          <w:lang w:eastAsia="en-GB"/>
        </w:rPr>
        <w:t xml:space="preserve"> </w:t>
      </w:r>
      <w:r>
        <w:rPr>
          <w:lang w:eastAsia="en-GB"/>
        </w:rPr>
        <w:t>law.</w:t>
      </w:r>
      <w:r w:rsidR="00C64050">
        <w:rPr>
          <w:lang w:eastAsia="en-GB"/>
        </w:rPr>
        <w:t xml:space="preserve">  </w:t>
      </w:r>
      <w:r>
        <w:rPr>
          <w:lang w:eastAsia="en-GB"/>
        </w:rPr>
        <w:t>That</w:t>
      </w:r>
      <w:r w:rsidR="00C64050">
        <w:rPr>
          <w:lang w:eastAsia="en-GB"/>
        </w:rPr>
        <w:t xml:space="preserve"> </w:t>
      </w:r>
      <w:r>
        <w:rPr>
          <w:lang w:eastAsia="en-GB"/>
        </w:rPr>
        <w:t>could</w:t>
      </w:r>
      <w:r w:rsidR="00C64050">
        <w:rPr>
          <w:lang w:eastAsia="en-GB"/>
        </w:rPr>
        <w:t xml:space="preserve"> </w:t>
      </w:r>
      <w:r>
        <w:rPr>
          <w:lang w:eastAsia="en-GB"/>
        </w:rPr>
        <w:t>occur</w:t>
      </w:r>
      <w:r w:rsidR="00C64050">
        <w:rPr>
          <w:lang w:eastAsia="en-GB"/>
        </w:rPr>
        <w:t xml:space="preserve"> </w:t>
      </w:r>
      <w:r>
        <w:rPr>
          <w:lang w:eastAsia="en-GB"/>
        </w:rPr>
        <w:t>if</w:t>
      </w:r>
      <w:r w:rsidR="00C64050">
        <w:rPr>
          <w:lang w:eastAsia="en-GB"/>
        </w:rPr>
        <w:t xml:space="preserve"> </w:t>
      </w:r>
      <w:r>
        <w:rPr>
          <w:lang w:eastAsia="en-GB"/>
        </w:rPr>
        <w:t>all</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beneficial</w:t>
      </w:r>
      <w:r w:rsidR="00C64050">
        <w:rPr>
          <w:lang w:eastAsia="en-GB"/>
        </w:rPr>
        <w:t xml:space="preserve"> </w:t>
      </w:r>
      <w:r>
        <w:rPr>
          <w:lang w:eastAsia="en-GB"/>
        </w:rPr>
        <w:t>interests</w:t>
      </w:r>
      <w:r w:rsidR="00C64050">
        <w:rPr>
          <w:lang w:eastAsia="en-GB"/>
        </w:rPr>
        <w:t xml:space="preserve"> </w:t>
      </w:r>
      <w:r>
        <w:rPr>
          <w:lang w:eastAsia="en-GB"/>
        </w:rPr>
        <w:t>in</w:t>
      </w:r>
      <w:r w:rsidR="00C64050">
        <w:rPr>
          <w:lang w:eastAsia="en-GB"/>
        </w:rPr>
        <w:t xml:space="preserve"> </w:t>
      </w:r>
      <w:r>
        <w:rPr>
          <w:lang w:eastAsia="en-GB"/>
        </w:rPr>
        <w:t>the</w:t>
      </w:r>
      <w:r w:rsidR="00C64050">
        <w:rPr>
          <w:lang w:eastAsia="en-GB"/>
        </w:rPr>
        <w:t xml:space="preserve"> </w:t>
      </w:r>
      <w:r>
        <w:rPr>
          <w:lang w:eastAsia="en-GB"/>
        </w:rPr>
        <w:t>trust</w:t>
      </w:r>
      <w:r w:rsidR="00C64050">
        <w:rPr>
          <w:lang w:eastAsia="en-GB"/>
        </w:rPr>
        <w:t xml:space="preserve"> </w:t>
      </w:r>
      <w:r>
        <w:rPr>
          <w:lang w:eastAsia="en-GB"/>
        </w:rPr>
        <w:t>were</w:t>
      </w:r>
      <w:r w:rsidR="00C64050">
        <w:rPr>
          <w:lang w:eastAsia="en-GB"/>
        </w:rPr>
        <w:t xml:space="preserve"> </w:t>
      </w:r>
      <w:r>
        <w:rPr>
          <w:lang w:eastAsia="en-GB"/>
        </w:rPr>
        <w:t>contributed</w:t>
      </w:r>
      <w:r w:rsidR="00C64050">
        <w:rPr>
          <w:lang w:eastAsia="en-GB"/>
        </w:rPr>
        <w:t xml:space="preserve"> </w:t>
      </w:r>
      <w:r>
        <w:rPr>
          <w:lang w:eastAsia="en-GB"/>
        </w:rPr>
        <w:t>to</w:t>
      </w:r>
      <w:r w:rsidR="00C64050">
        <w:rPr>
          <w:lang w:eastAsia="en-GB"/>
        </w:rPr>
        <w:t xml:space="preserve"> </w:t>
      </w:r>
      <w:r>
        <w:rPr>
          <w:lang w:eastAsia="en-GB"/>
        </w:rPr>
        <w:t>an</w:t>
      </w:r>
      <w:r w:rsidR="00C64050">
        <w:rPr>
          <w:lang w:eastAsia="en-GB"/>
        </w:rPr>
        <w:t xml:space="preserve"> </w:t>
      </w:r>
      <w:r>
        <w:rPr>
          <w:lang w:eastAsia="en-GB"/>
        </w:rPr>
        <w:t>LLC</w:t>
      </w:r>
      <w:r w:rsidR="00C64050">
        <w:rPr>
          <w:lang w:eastAsia="en-GB"/>
        </w:rPr>
        <w:t xml:space="preserve"> </w:t>
      </w:r>
      <w:r w:rsidR="00326C56">
        <w:rPr>
          <w:lang w:eastAsia="en-GB"/>
        </w:rPr>
        <w:t>(</w:t>
      </w:r>
      <w:r>
        <w:rPr>
          <w:lang w:eastAsia="en-GB"/>
        </w:rPr>
        <w:t>and</w:t>
      </w:r>
      <w:r w:rsidR="00C64050">
        <w:rPr>
          <w:lang w:eastAsia="en-GB"/>
        </w:rPr>
        <w:t xml:space="preserve"> </w:t>
      </w:r>
      <w:r>
        <w:rPr>
          <w:lang w:eastAsia="en-GB"/>
        </w:rPr>
        <w:t>if</w:t>
      </w:r>
      <w:r w:rsidR="00C64050">
        <w:rPr>
          <w:lang w:eastAsia="en-GB"/>
        </w:rPr>
        <w:t xml:space="preserve"> </w:t>
      </w:r>
      <w:r>
        <w:rPr>
          <w:lang w:eastAsia="en-GB"/>
        </w:rPr>
        <w:t>the</w:t>
      </w:r>
      <w:r w:rsidR="00C64050">
        <w:rPr>
          <w:lang w:eastAsia="en-GB"/>
        </w:rPr>
        <w:t xml:space="preserve"> </w:t>
      </w:r>
      <w:r>
        <w:rPr>
          <w:lang w:eastAsia="en-GB"/>
        </w:rPr>
        <w:t>LLC</w:t>
      </w:r>
      <w:r w:rsidR="00C64050">
        <w:rPr>
          <w:lang w:eastAsia="en-GB"/>
        </w:rPr>
        <w:t xml:space="preserve"> </w:t>
      </w:r>
      <w:r>
        <w:rPr>
          <w:lang w:eastAsia="en-GB"/>
        </w:rPr>
        <w:t>or</w:t>
      </w:r>
      <w:r w:rsidR="00C64050">
        <w:rPr>
          <w:lang w:eastAsia="en-GB"/>
        </w:rPr>
        <w:t xml:space="preserve"> </w:t>
      </w:r>
      <w:r>
        <w:rPr>
          <w:lang w:eastAsia="en-GB"/>
        </w:rPr>
        <w:t>the</w:t>
      </w:r>
      <w:r w:rsidR="00C64050">
        <w:rPr>
          <w:lang w:eastAsia="en-GB"/>
        </w:rPr>
        <w:t xml:space="preserve"> </w:t>
      </w:r>
      <w:r>
        <w:rPr>
          <w:lang w:eastAsia="en-GB"/>
        </w:rPr>
        <w:t>managers</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LLC</w:t>
      </w:r>
      <w:r w:rsidR="00C64050">
        <w:rPr>
          <w:lang w:eastAsia="en-GB"/>
        </w:rPr>
        <w:t xml:space="preserve"> </w:t>
      </w:r>
      <w:r>
        <w:rPr>
          <w:lang w:eastAsia="en-GB"/>
        </w:rPr>
        <w:t>were</w:t>
      </w:r>
      <w:r w:rsidR="00C64050">
        <w:rPr>
          <w:lang w:eastAsia="en-GB"/>
        </w:rPr>
        <w:t xml:space="preserve"> </w:t>
      </w:r>
      <w:r>
        <w:rPr>
          <w:lang w:eastAsia="en-GB"/>
        </w:rPr>
        <w:t>also</w:t>
      </w:r>
      <w:r w:rsidR="00C64050">
        <w:rPr>
          <w:lang w:eastAsia="en-GB"/>
        </w:rPr>
        <w:t xml:space="preserve"> </w:t>
      </w:r>
      <w:r>
        <w:rPr>
          <w:lang w:eastAsia="en-GB"/>
        </w:rPr>
        <w:t>trustees</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trust</w:t>
      </w:r>
      <w:r w:rsidR="00326C56">
        <w:rPr>
          <w:lang w:eastAsia="en-GB"/>
        </w:rPr>
        <w:t>)</w:t>
      </w:r>
      <w:r>
        <w:rPr>
          <w:lang w:eastAsia="en-GB"/>
        </w:rPr>
        <w:t>.</w:t>
      </w:r>
    </w:p>
    <w:p w:rsidR="00A32861" w:rsidRDefault="00A32861">
      <w:pPr>
        <w:rPr>
          <w:b/>
          <w:bCs w:val="0"/>
          <w:snapToGrid w:val="0"/>
          <w:u w:val="single"/>
          <w:lang w:eastAsia="en-GB"/>
        </w:rPr>
      </w:pPr>
      <w:r>
        <w:rPr>
          <w:b/>
          <w:u w:val="single"/>
          <w:lang w:eastAsia="en-GB"/>
        </w:rPr>
        <w:br w:type="page"/>
      </w:r>
    </w:p>
    <w:p w:rsidR="00B742DA" w:rsidRPr="00B742DA" w:rsidRDefault="00C72FD7" w:rsidP="00C72FD7">
      <w:pPr>
        <w:pStyle w:val="Heading20"/>
        <w:tabs>
          <w:tab w:val="clear" w:pos="2700"/>
        </w:tabs>
        <w:ind w:left="0"/>
        <w:rPr>
          <w:vanish/>
          <w:lang w:eastAsia="en-GB"/>
          <w:specVanish/>
        </w:rPr>
      </w:pPr>
      <w:bookmarkStart w:id="91" w:name="_Toc94704616"/>
      <w:r>
        <w:rPr>
          <w:b/>
          <w:u w:val="single"/>
          <w:lang w:eastAsia="en-GB"/>
        </w:rPr>
        <w:t>Trust As Agent In Purchase Of Annuity</w:t>
      </w:r>
      <w:bookmarkEnd w:id="91"/>
    </w:p>
    <w:p w:rsidR="00C72FD7" w:rsidRDefault="00C72FD7" w:rsidP="00B742DA">
      <w:pPr>
        <w:pStyle w:val="Heading2Body"/>
      </w:pPr>
      <w:r>
        <w:t xml:space="preserve">.  </w:t>
      </w:r>
      <w:r w:rsidR="00EC6B92">
        <w:t>In PLR 202118002, a non-grantor trust bought an annuity on the life of the sole beneficiary, A.  Additional facts stated in the ruling are:</w:t>
      </w:r>
    </w:p>
    <w:p w:rsidR="00EC6B92" w:rsidRPr="00EC6B92" w:rsidRDefault="00EC6B92" w:rsidP="009667E6">
      <w:pPr>
        <w:pStyle w:val="QS10"/>
        <w:rPr>
          <w:szCs w:val="20"/>
        </w:rPr>
      </w:pPr>
      <w:r w:rsidRPr="00EC6B92">
        <w:rPr>
          <w:szCs w:val="20"/>
        </w:rPr>
        <w:t>A, B, and C serve as co-trustees for the Trust. Under the terms of the Trust, A may not alienate or otherwise transfer A's interest in the Trust during A's lifetime.</w:t>
      </w:r>
    </w:p>
    <w:p w:rsidR="00EC6B92" w:rsidRPr="00EC6B92" w:rsidRDefault="00EC6B92" w:rsidP="009667E6">
      <w:pPr>
        <w:pStyle w:val="QS10"/>
        <w:rPr>
          <w:szCs w:val="20"/>
        </w:rPr>
      </w:pPr>
      <w:r w:rsidRPr="00EC6B92">
        <w:rPr>
          <w:szCs w:val="20"/>
        </w:rPr>
        <w:t>The co-trustees of the Trust intend to purchase a single premium deferred annuity contract for the Trust. The Trust is to be the owner and beneficiary of the annuity contract during the life of A. A is to be the measuring life for the annuity contract.</w:t>
      </w:r>
    </w:p>
    <w:p w:rsidR="00EC6B92" w:rsidRPr="00EC6B92" w:rsidRDefault="00EC6B92" w:rsidP="009667E6">
      <w:pPr>
        <w:pStyle w:val="QS10"/>
        <w:rPr>
          <w:szCs w:val="20"/>
        </w:rPr>
      </w:pPr>
      <w:r w:rsidRPr="00EC6B92">
        <w:rPr>
          <w:szCs w:val="20"/>
        </w:rPr>
        <w:t>If A dies, the annuity contract's proceeds (if any) will be paid to the Trust. The Trust will then pay the proceeds to A's designated heir and terminate.</w:t>
      </w:r>
    </w:p>
    <w:p w:rsidR="00EC6B92" w:rsidRPr="00EC6B92" w:rsidRDefault="00EC6B92" w:rsidP="009667E6">
      <w:pPr>
        <w:pStyle w:val="QS10"/>
        <w:rPr>
          <w:szCs w:val="20"/>
        </w:rPr>
      </w:pPr>
      <w:r w:rsidRPr="00EC6B92">
        <w:rPr>
          <w:rStyle w:val="Strong"/>
          <w:b w:val="0"/>
          <w:bCs w:val="0"/>
          <w:szCs w:val="20"/>
        </w:rPr>
        <w:t>REPRESENTATIONS</w:t>
      </w:r>
    </w:p>
    <w:p w:rsidR="00EC6B92" w:rsidRPr="00EC6B92" w:rsidRDefault="00EC6B92" w:rsidP="009667E6">
      <w:pPr>
        <w:pStyle w:val="QS10"/>
        <w:rPr>
          <w:szCs w:val="20"/>
        </w:rPr>
      </w:pPr>
      <w:r w:rsidRPr="00EC6B92">
        <w:rPr>
          <w:szCs w:val="20"/>
        </w:rPr>
        <w:t>The following additional representations were made in connection with this ruling request:</w:t>
      </w:r>
    </w:p>
    <w:p w:rsidR="00EC6B92" w:rsidRPr="00EC6B92" w:rsidRDefault="00EC6B92" w:rsidP="009667E6">
      <w:pPr>
        <w:pStyle w:val="QS10"/>
        <w:rPr>
          <w:szCs w:val="20"/>
        </w:rPr>
      </w:pPr>
      <w:r w:rsidRPr="00EC6B92">
        <w:rPr>
          <w:szCs w:val="20"/>
        </w:rPr>
        <w:t>1. No co-trustee of the Trust may withdraw property from the Trust without the consent of at least one other co-trustee.</w:t>
      </w:r>
    </w:p>
    <w:p w:rsidR="00EC6B92" w:rsidRPr="00EC6B92" w:rsidRDefault="00EC6B92" w:rsidP="009667E6">
      <w:pPr>
        <w:pStyle w:val="QS10"/>
        <w:rPr>
          <w:szCs w:val="20"/>
        </w:rPr>
      </w:pPr>
      <w:r w:rsidRPr="00EC6B92">
        <w:rPr>
          <w:szCs w:val="20"/>
        </w:rPr>
        <w:t>2. The Trust is a taxable trust under </w:t>
      </w:r>
      <w:hyperlink r:id="rId111" w:history="1">
        <w:r w:rsidRPr="00EC6B92">
          <w:rPr>
            <w:rStyle w:val="Hyperlink"/>
            <w:color w:val="auto"/>
            <w:szCs w:val="20"/>
            <w:u w:val="none"/>
          </w:rPr>
          <w:t>section 641</w:t>
        </w:r>
      </w:hyperlink>
      <w:r w:rsidRPr="00EC6B92">
        <w:rPr>
          <w:szCs w:val="20"/>
        </w:rPr>
        <w:t> and is not a grantor trust under </w:t>
      </w:r>
      <w:hyperlink r:id="rId112" w:history="1">
        <w:r w:rsidRPr="00EC6B92">
          <w:rPr>
            <w:rStyle w:val="Hyperlink"/>
            <w:color w:val="auto"/>
            <w:szCs w:val="20"/>
            <w:u w:val="none"/>
          </w:rPr>
          <w:t>section 671</w:t>
        </w:r>
      </w:hyperlink>
      <w:r w:rsidRPr="00EC6B92">
        <w:rPr>
          <w:szCs w:val="20"/>
        </w:rPr>
        <w:t>.</w:t>
      </w:r>
    </w:p>
    <w:p w:rsidR="00EC6B92" w:rsidRDefault="00EC6B92" w:rsidP="00EC6B92">
      <w:pPr>
        <w:pStyle w:val="Body15"/>
        <w:rPr>
          <w:lang w:eastAsia="en-GB"/>
        </w:rPr>
      </w:pPr>
      <w:r>
        <w:rPr>
          <w:lang w:eastAsia="en-GB"/>
        </w:rPr>
        <w:t>The annuity was treated as being owned by A, with the trust as A’s agent:</w:t>
      </w:r>
    </w:p>
    <w:p w:rsidR="00EC6B92" w:rsidRPr="00EC6B92" w:rsidRDefault="00EC6B92" w:rsidP="00EC6B92">
      <w:pPr>
        <w:pStyle w:val="QS10"/>
        <w:rPr>
          <w:color w:val="000000" w:themeColor="text1"/>
          <w:szCs w:val="20"/>
        </w:rPr>
      </w:pPr>
      <w:r w:rsidRPr="00EC6B92">
        <w:rPr>
          <w:color w:val="000000" w:themeColor="text1"/>
          <w:szCs w:val="20"/>
        </w:rPr>
        <w:t>Section 301.7701-4(a) of the Procedure and Administration Regulations provides that, in general, the term “trust” as used in the Code refers to an arrangement created either by a will or by an inter vivos declaration whereby trustees take title to property for the purpose of protecting or conserving it for the beneficiaries under the ordinary rules applied in chancery or probate courts. Usually, the beneficiaries of a trust do no more than accept the benefits thereof and are not the voluntary planners or creators of the trust arrangement. However, the beneficiaries may be the persons who created the trust, and the trust will be recognized as a trust under the Code if it was created for the purpose of protecting or conserving the trust property for beneficiaries who stand in the same relation to the trust as they would if the trust had been created by others for them. Generally speaking, an arrangement will be treated as a trust under the Code if it can be shown that the purpose of the arrangement is to vest in trustees responsibility for the protection and conservation of property for beneficiaries who cannot share in the discharge of this responsibility and, therefore, are not associates in a joint enterprise for the conduct of business for profit.</w:t>
      </w:r>
    </w:p>
    <w:p w:rsidR="00EC6B92" w:rsidRPr="00EC6B92" w:rsidRDefault="00EC6B92" w:rsidP="00EC6B92">
      <w:pPr>
        <w:pStyle w:val="QS10"/>
        <w:rPr>
          <w:color w:val="000000" w:themeColor="text1"/>
          <w:szCs w:val="20"/>
        </w:rPr>
      </w:pPr>
      <w:r w:rsidRPr="00EC6B92">
        <w:rPr>
          <w:color w:val="000000" w:themeColor="text1"/>
          <w:szCs w:val="20"/>
        </w:rPr>
        <w:t>Rev. Rul. 69-300, 1969-1 C.B. 167, concludes that an agreement creates a trust rather than an agency relationship if the trustee is vested with broad discretionary powers of administration and management.</w:t>
      </w:r>
    </w:p>
    <w:p w:rsidR="00EC6B92" w:rsidRPr="00EC6B92" w:rsidRDefault="00EC6B92" w:rsidP="00EC6B92">
      <w:pPr>
        <w:pStyle w:val="QS10"/>
        <w:rPr>
          <w:color w:val="000000" w:themeColor="text1"/>
          <w:szCs w:val="20"/>
        </w:rPr>
      </w:pPr>
      <w:r w:rsidRPr="00EC6B92">
        <w:rPr>
          <w:color w:val="000000" w:themeColor="text1"/>
          <w:szCs w:val="20"/>
          <w:u w:val="single"/>
        </w:rPr>
        <w:t>United States v. Anderson</w:t>
      </w:r>
      <w:r w:rsidRPr="00EC6B92">
        <w:rPr>
          <w:color w:val="000000" w:themeColor="text1"/>
          <w:szCs w:val="20"/>
        </w:rPr>
        <w:t>, 132 F.2d 98 (6th Cir. 1942), involved the issue of whether an agreement between the taxpayer and a bank created a trust or an agency relationship. In that case, the bank could not invest or dispose of any corpus without the consent of the settlor and was relieved of all liability for any decline in the value of the corpus. The settlor had the power to vote any corporate stock held by the bank and could remove the bank and select a successor at any time. The court stated that while an agent undertakes to act on behalf of its principal and is subject to its control, a trustee usually has discretionary powers and acts for a term. Accordingly, because the bank did not have discretionary powers, the court held that the agreement created an agency relationship rather than a trust. </w:t>
      </w:r>
      <w:r w:rsidRPr="00EC6B92">
        <w:rPr>
          <w:color w:val="000000" w:themeColor="text1"/>
          <w:szCs w:val="20"/>
          <w:u w:val="single"/>
        </w:rPr>
        <w:t>See also City Nat'l Bank &amp; Trust Co. v. United States</w:t>
      </w:r>
      <w:r w:rsidRPr="00EC6B92">
        <w:rPr>
          <w:color w:val="000000" w:themeColor="text1"/>
          <w:szCs w:val="20"/>
        </w:rPr>
        <w:t>, 109 F.2d 191 (7th Cir. 1940) (holding that no trust was formed where bank's investment decisions could be overridden by settlor and other evidence of managerial power was lacking).</w:t>
      </w:r>
    </w:p>
    <w:p w:rsidR="00EC6B92" w:rsidRDefault="00EC6B92" w:rsidP="00EC6B92">
      <w:pPr>
        <w:pStyle w:val="Body15"/>
        <w:rPr>
          <w:lang w:eastAsia="en-GB"/>
        </w:rPr>
      </w:pPr>
      <w:r>
        <w:rPr>
          <w:lang w:eastAsia="en-GB"/>
        </w:rPr>
        <w:t>The discretion, or lack thereof, of the trustee, was key:</w:t>
      </w:r>
    </w:p>
    <w:p w:rsidR="00B742DA" w:rsidRPr="00B742DA" w:rsidRDefault="00B742DA" w:rsidP="00B742DA">
      <w:pPr>
        <w:pStyle w:val="QS10"/>
        <w:rPr>
          <w:szCs w:val="20"/>
        </w:rPr>
      </w:pPr>
      <w:r w:rsidRPr="00B742DA">
        <w:rPr>
          <w:szCs w:val="20"/>
        </w:rPr>
        <w:t>Section 72(u)(1) generally provides that an annuity contract is not treated as such for federal income tax purposes (other than subchapter L) if it is held by a person who is not a natural person. The flush language of section 72(u)(1), however, provides that holding by a trust or other entity as an agent for a natural person is not taken into account for this purpose.</w:t>
      </w:r>
    </w:p>
    <w:p w:rsidR="00B742DA" w:rsidRPr="00B742DA" w:rsidRDefault="00B742DA" w:rsidP="00B742DA">
      <w:pPr>
        <w:pStyle w:val="QS10"/>
        <w:rPr>
          <w:color w:val="000000" w:themeColor="text1"/>
          <w:szCs w:val="20"/>
        </w:rPr>
      </w:pPr>
      <w:r w:rsidRPr="00B742DA">
        <w:rPr>
          <w:color w:val="000000" w:themeColor="text1"/>
          <w:szCs w:val="20"/>
        </w:rPr>
        <w:t>A trustee generally has fiduciary obligations under trust documents and governing law that are inconsistent with it acting as an agent for the beneficiary of a trust. </w:t>
      </w:r>
      <w:r w:rsidRPr="00B742DA">
        <w:rPr>
          <w:color w:val="000000" w:themeColor="text1"/>
          <w:szCs w:val="20"/>
          <w:u w:val="single"/>
        </w:rPr>
        <w:t>See, e.g., Restatement (Third) of Agency</w:t>
      </w:r>
      <w:r w:rsidRPr="00B742DA">
        <w:rPr>
          <w:color w:val="000000" w:themeColor="text1"/>
          <w:szCs w:val="20"/>
        </w:rPr>
        <w:t> section 1.01 cmt. g (2018); </w:t>
      </w:r>
      <w:r w:rsidRPr="00B742DA">
        <w:rPr>
          <w:color w:val="000000" w:themeColor="text1"/>
          <w:szCs w:val="20"/>
          <w:u w:val="single"/>
        </w:rPr>
        <w:t>Restatement (Third) of Trusts</w:t>
      </w:r>
      <w:r w:rsidRPr="00B742DA">
        <w:rPr>
          <w:color w:val="000000" w:themeColor="text1"/>
          <w:szCs w:val="20"/>
        </w:rPr>
        <w:t> section 5(e) &amp; cmt. e (2003); </w:t>
      </w:r>
      <w:r w:rsidRPr="00B742DA">
        <w:rPr>
          <w:color w:val="000000" w:themeColor="text1"/>
          <w:szCs w:val="20"/>
          <w:u w:val="single"/>
        </w:rPr>
        <w:t>Restatement (Second) of Agency</w:t>
      </w:r>
      <w:r w:rsidRPr="00B742DA">
        <w:rPr>
          <w:color w:val="000000" w:themeColor="text1"/>
          <w:szCs w:val="20"/>
        </w:rPr>
        <w:t> section 14B (1958). This principle also applies for federal income tax purposes. </w:t>
      </w:r>
      <w:r w:rsidRPr="00B742DA">
        <w:rPr>
          <w:color w:val="000000" w:themeColor="text1"/>
          <w:szCs w:val="20"/>
          <w:u w:val="single"/>
        </w:rPr>
        <w:t>See, e.g.</w:t>
      </w:r>
      <w:r w:rsidRPr="00B742DA">
        <w:rPr>
          <w:color w:val="000000" w:themeColor="text1"/>
          <w:szCs w:val="20"/>
        </w:rPr>
        <w:t>, Rev. Rul. 69-300; </w:t>
      </w:r>
      <w:r w:rsidRPr="00B742DA">
        <w:rPr>
          <w:color w:val="000000" w:themeColor="text1"/>
          <w:szCs w:val="20"/>
          <w:u w:val="single"/>
        </w:rPr>
        <w:t>United States v. Anderson</w:t>
      </w:r>
      <w:r w:rsidRPr="00B742DA">
        <w:rPr>
          <w:color w:val="000000" w:themeColor="text1"/>
          <w:szCs w:val="20"/>
        </w:rPr>
        <w:t>, 132 F.2d 98 (6th Cir. 1942). Accordingly, the phrase “as an agent” in the flush language of section 72(u)(1) pertains only to “other entity.” It does not pertain to “trust.” Thus, for purposes of section 72(u)(1), the holding of an annuity contract by a trust is not taken into account if the contract is held for a natural person.</w:t>
      </w:r>
    </w:p>
    <w:p w:rsidR="00B742DA" w:rsidRPr="00B742DA" w:rsidRDefault="00B742DA" w:rsidP="00B742DA">
      <w:pPr>
        <w:pStyle w:val="QS10"/>
        <w:rPr>
          <w:color w:val="000000" w:themeColor="text1"/>
          <w:szCs w:val="20"/>
        </w:rPr>
      </w:pPr>
      <w:r w:rsidRPr="00B742DA">
        <w:rPr>
          <w:color w:val="000000" w:themeColor="text1"/>
          <w:szCs w:val="20"/>
        </w:rPr>
        <w:t>The Trust would be the “holder” of its annuity contract within the meaning of section 72(u)(1) because the Trust would be designated in its annuity contract as the owner of the contract. The Trust is a not a grantor trust, and A is the sole beneficiary of the Trust. Thus, the Trust would be holding its annuity contract for the benefit of A. A is a natural person. Accordingly, the holding of the annuity contract by the Trust would not be taken into account for purposes of section 72(u)(1).</w:t>
      </w:r>
    </w:p>
    <w:p w:rsidR="00B742DA" w:rsidRPr="00B742DA" w:rsidRDefault="00B742DA" w:rsidP="00B742DA">
      <w:pPr>
        <w:pStyle w:val="QS10"/>
        <w:rPr>
          <w:color w:val="000000" w:themeColor="text1"/>
          <w:szCs w:val="20"/>
        </w:rPr>
      </w:pPr>
      <w:r w:rsidRPr="00B742DA">
        <w:rPr>
          <w:color w:val="000000" w:themeColor="text1"/>
          <w:szCs w:val="20"/>
        </w:rPr>
        <w:t>This determination is consistent with the purpose for adopting section 72(u). Section 72(u) was adopted to encourage employers to offer benefits to employees under qualified pension plans, which are subject to certain restrictions and generally must be made available to a wide class of employees, as opposed to offering deferred compensation to a limited class of employees that is funded by deferred annuity contacts. Because the annuity contract would not be issued in an employment context, the arrangement would not provide the sort of tax-favored benefit that section 72(u) was intended to limit.</w:t>
      </w:r>
    </w:p>
    <w:p w:rsidR="00485DB9" w:rsidRPr="00454670" w:rsidRDefault="00856D6A">
      <w:pPr>
        <w:pStyle w:val="Heading1"/>
        <w:rPr>
          <w:color w:val="000000"/>
        </w:rPr>
      </w:pPr>
      <w:bookmarkStart w:id="92" w:name="_Toc168206536"/>
      <w:bookmarkStart w:id="93" w:name="_Toc168218174"/>
      <w:bookmarkStart w:id="94" w:name="_Toc231154848"/>
      <w:bookmarkStart w:id="95" w:name="_Toc295129786"/>
      <w:bookmarkStart w:id="96" w:name="_Toc295132397"/>
      <w:bookmarkStart w:id="97" w:name="_Toc295133913"/>
      <w:bookmarkStart w:id="98" w:name="_Toc295133948"/>
      <w:bookmarkStart w:id="99" w:name="_Toc295136476"/>
      <w:bookmarkStart w:id="100" w:name="_Toc297645076"/>
      <w:bookmarkStart w:id="101" w:name="_Toc297647144"/>
      <w:bookmarkStart w:id="102" w:name="_Toc297728327"/>
      <w:bookmarkStart w:id="103" w:name="_Toc297732783"/>
      <w:bookmarkStart w:id="104" w:name="_Toc298255177"/>
      <w:bookmarkStart w:id="105" w:name="_Toc298316751"/>
      <w:bookmarkStart w:id="106" w:name="_Toc298334596"/>
      <w:bookmarkStart w:id="107" w:name="_Toc298338094"/>
      <w:bookmarkStart w:id="108" w:name="_Toc301364432"/>
      <w:bookmarkStart w:id="109" w:name="_Toc302465892"/>
      <w:bookmarkStart w:id="110" w:name="_Toc303094267"/>
      <w:bookmarkStart w:id="111" w:name="_Toc303172860"/>
      <w:bookmarkStart w:id="112" w:name="_Toc303181190"/>
      <w:bookmarkStart w:id="113" w:name="_Toc321753599"/>
      <w:bookmarkStart w:id="114" w:name="_Toc322015767"/>
      <w:bookmarkStart w:id="115" w:name="_Toc322015946"/>
      <w:bookmarkStart w:id="116" w:name="_Toc322016484"/>
      <w:bookmarkStart w:id="117" w:name="_Toc376946742"/>
      <w:bookmarkStart w:id="118" w:name="_Toc376947589"/>
      <w:bookmarkStart w:id="119" w:name="_Toc376948383"/>
      <w:bookmarkStart w:id="120" w:name="_Toc376949177"/>
      <w:bookmarkStart w:id="121" w:name="_Toc94704617"/>
      <w:r w:rsidRPr="00454670">
        <w:rPr>
          <w:color w:val="000000"/>
        </w:rPr>
        <w:t>CHARITABLE</w:t>
      </w:r>
      <w:r w:rsidR="00C64050">
        <w:rPr>
          <w:color w:val="000000"/>
        </w:rPr>
        <w:t xml:space="preserve"> </w:t>
      </w:r>
      <w:r w:rsidRPr="00454670">
        <w:rPr>
          <w:color w:val="000000"/>
        </w:rPr>
        <w:t>AND</w:t>
      </w:r>
      <w:r w:rsidR="00C64050">
        <w:rPr>
          <w:color w:val="000000"/>
        </w:rPr>
        <w:t xml:space="preserve"> </w:t>
      </w:r>
      <w:r w:rsidRPr="00454670">
        <w:rPr>
          <w:color w:val="000000"/>
        </w:rPr>
        <w:t>TAX-EXEMPT</w:t>
      </w:r>
      <w:r w:rsidR="00C64050">
        <w:rPr>
          <w:color w:val="000000"/>
        </w:rPr>
        <w:t xml:space="preserve"> </w:t>
      </w:r>
      <w:r w:rsidRPr="00454670">
        <w:rPr>
          <w:color w:val="000000"/>
        </w:rPr>
        <w:t>MATTERS</w:t>
      </w:r>
      <w:r w:rsidR="00C64050">
        <w:rPr>
          <w:color w:val="000000"/>
        </w:rPr>
        <w:t xml:space="preserve"> </w:t>
      </w:r>
      <w:r w:rsidRPr="00454670">
        <w:rPr>
          <w:color w:val="000000"/>
        </w:rPr>
        <w:t>-</w:t>
      </w:r>
      <w:r w:rsidR="00C64050">
        <w:rPr>
          <w:color w:val="000000"/>
        </w:rPr>
        <w:t xml:space="preserve"> </w:t>
      </w:r>
      <w:r w:rsidRPr="00454670">
        <w:rPr>
          <w:color w:val="000000"/>
        </w:rPr>
        <w:t>Sections</w:t>
      </w:r>
      <w:r w:rsidR="00C64050">
        <w:rPr>
          <w:color w:val="000000"/>
        </w:rPr>
        <w:t xml:space="preserve"> </w:t>
      </w:r>
      <w:r w:rsidRPr="00454670">
        <w:rPr>
          <w:color w:val="000000"/>
        </w:rPr>
        <w:t>170,</w:t>
      </w:r>
      <w:r w:rsidR="00C64050">
        <w:rPr>
          <w:color w:val="000000"/>
        </w:rPr>
        <w:t xml:space="preserve"> </w:t>
      </w:r>
      <w:r w:rsidRPr="00454670">
        <w:rPr>
          <w:color w:val="000000"/>
        </w:rPr>
        <w:t>642,</w:t>
      </w:r>
      <w:r w:rsidR="00C64050">
        <w:rPr>
          <w:color w:val="000000"/>
        </w:rPr>
        <w:t xml:space="preserve"> </w:t>
      </w:r>
      <w:r w:rsidRPr="00454670">
        <w:rPr>
          <w:color w:val="000000"/>
        </w:rPr>
        <w:t>664,</w:t>
      </w:r>
      <w:r w:rsidR="00C64050">
        <w:rPr>
          <w:color w:val="000000"/>
        </w:rPr>
        <w:t xml:space="preserve"> </w:t>
      </w:r>
      <w:r w:rsidRPr="00454670">
        <w:rPr>
          <w:color w:val="000000"/>
        </w:rPr>
        <w:t>501,</w:t>
      </w:r>
      <w:r w:rsidR="00C64050">
        <w:rPr>
          <w:color w:val="000000"/>
        </w:rPr>
        <w:t xml:space="preserve"> </w:t>
      </w:r>
      <w:r w:rsidRPr="00454670">
        <w:rPr>
          <w:color w:val="000000"/>
        </w:rPr>
        <w:t>509,</w:t>
      </w:r>
      <w:r w:rsidR="00C64050">
        <w:rPr>
          <w:color w:val="000000"/>
        </w:rPr>
        <w:t xml:space="preserve"> </w:t>
      </w:r>
      <w:r w:rsidRPr="00454670">
        <w:rPr>
          <w:color w:val="000000"/>
        </w:rPr>
        <w:t>2055,</w:t>
      </w:r>
      <w:r w:rsidR="00C64050">
        <w:rPr>
          <w:color w:val="000000"/>
        </w:rPr>
        <w:t xml:space="preserve"> </w:t>
      </w:r>
      <w:r w:rsidRPr="00454670">
        <w:rPr>
          <w:color w:val="000000"/>
        </w:rPr>
        <w:t>2522,</w:t>
      </w:r>
      <w:r w:rsidR="00C64050">
        <w:rPr>
          <w:color w:val="000000"/>
        </w:rPr>
        <w:t xml:space="preserve"> </w:t>
      </w:r>
      <w:r w:rsidRPr="00454670">
        <w:rPr>
          <w:color w:val="000000"/>
        </w:rPr>
        <w:t>and</w:t>
      </w:r>
      <w:r w:rsidR="00C64050">
        <w:rPr>
          <w:color w:val="000000"/>
        </w:rPr>
        <w:t xml:space="preserve"> </w:t>
      </w:r>
      <w:r w:rsidRPr="00454670">
        <w:rPr>
          <w:color w:val="000000"/>
        </w:rPr>
        <w:t>4940-4947</w:t>
      </w:r>
      <w:bookmarkStart w:id="122" w:name="_Toc168206537"/>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8D344C" w:rsidRPr="00A37789" w:rsidRDefault="008D344C" w:rsidP="00B66CCE">
      <w:pPr>
        <w:pStyle w:val="Heading20"/>
        <w:numPr>
          <w:ilvl w:val="1"/>
          <w:numId w:val="34"/>
        </w:numPr>
        <w:tabs>
          <w:tab w:val="clear" w:pos="2700"/>
          <w:tab w:val="num" w:pos="1440"/>
        </w:tabs>
        <w:ind w:left="0"/>
        <w:rPr>
          <w:b/>
          <w:vanish/>
          <w:u w:val="single"/>
          <w:specVanish/>
        </w:rPr>
      </w:pPr>
      <w:bookmarkStart w:id="123" w:name="_Toc94704618"/>
      <w:bookmarkStart w:id="124" w:name="_Toc168206557"/>
      <w:bookmarkStart w:id="125" w:name="_Toc168218198"/>
      <w:bookmarkStart w:id="126" w:name="_Toc295133917"/>
      <w:bookmarkStart w:id="127" w:name="_Toc297647156"/>
      <w:bookmarkStart w:id="128" w:name="_Toc297728339"/>
      <w:bookmarkStart w:id="129" w:name="_Toc322015781"/>
      <w:bookmarkStart w:id="130" w:name="_Toc322015960"/>
      <w:bookmarkStart w:id="131" w:name="_Toc322016498"/>
      <w:bookmarkStart w:id="132" w:name="_Toc376946752"/>
      <w:bookmarkStart w:id="133" w:name="_Toc376947599"/>
      <w:bookmarkStart w:id="134" w:name="_Toc376948393"/>
      <w:bookmarkStart w:id="135" w:name="_Toc376949187"/>
      <w:bookmarkStart w:id="136" w:name="_Toc231154860"/>
      <w:bookmarkStart w:id="137" w:name="_Toc295129787"/>
      <w:bookmarkStart w:id="138" w:name="_Toc295132400"/>
      <w:bookmarkStart w:id="139" w:name="_Toc295133952"/>
      <w:bookmarkStart w:id="140" w:name="_Toc295136481"/>
      <w:bookmarkStart w:id="141" w:name="_Toc297645085"/>
      <w:bookmarkStart w:id="142" w:name="_Toc297732796"/>
      <w:bookmarkStart w:id="143" w:name="_Toc298255189"/>
      <w:bookmarkStart w:id="144" w:name="_Toc298316763"/>
      <w:bookmarkStart w:id="145" w:name="_Toc298334608"/>
      <w:bookmarkStart w:id="146" w:name="_Toc298338106"/>
      <w:bookmarkStart w:id="147" w:name="_Toc301364444"/>
      <w:bookmarkStart w:id="148" w:name="_Toc302465904"/>
      <w:bookmarkStart w:id="149" w:name="_Toc303094279"/>
      <w:bookmarkStart w:id="150" w:name="_Toc303172873"/>
      <w:bookmarkStart w:id="151" w:name="_Toc303181203"/>
      <w:bookmarkStart w:id="152" w:name="_Toc321753611"/>
      <w:r w:rsidRPr="00A37789">
        <w:rPr>
          <w:b/>
          <w:u w:val="single"/>
        </w:rPr>
        <w:t>Charitable</w:t>
      </w:r>
      <w:r w:rsidR="00C64050">
        <w:rPr>
          <w:b/>
          <w:u w:val="single"/>
        </w:rPr>
        <w:t xml:space="preserve"> </w:t>
      </w:r>
      <w:r w:rsidRPr="00A37789">
        <w:rPr>
          <w:b/>
          <w:u w:val="single"/>
        </w:rPr>
        <w:t>Distributions</w:t>
      </w:r>
      <w:r w:rsidR="00C64050">
        <w:rPr>
          <w:b/>
          <w:u w:val="single"/>
        </w:rPr>
        <w:t xml:space="preserve"> </w:t>
      </w:r>
      <w:r w:rsidRPr="00A37789">
        <w:rPr>
          <w:b/>
          <w:u w:val="single"/>
        </w:rPr>
        <w:t>From</w:t>
      </w:r>
      <w:r w:rsidR="00C64050">
        <w:rPr>
          <w:b/>
          <w:u w:val="single"/>
        </w:rPr>
        <w:t xml:space="preserve"> </w:t>
      </w:r>
      <w:r w:rsidRPr="00A37789">
        <w:rPr>
          <w:b/>
          <w:u w:val="single"/>
        </w:rPr>
        <w:t>Trusts</w:t>
      </w:r>
      <w:bookmarkEnd w:id="123"/>
    </w:p>
    <w:p w:rsidR="008D344C" w:rsidRDefault="008D344C" w:rsidP="008D344C">
      <w:pPr>
        <w:pStyle w:val="Heading2Body"/>
      </w:pPr>
      <w:r>
        <w:t>.</w:t>
      </w:r>
      <w:r w:rsidR="00C64050">
        <w:t xml:space="preserve">  </w:t>
      </w:r>
      <w:r>
        <w:t>Suppose</w:t>
      </w:r>
      <w:r w:rsidR="00C64050">
        <w:t xml:space="preserve"> </w:t>
      </w:r>
      <w:r>
        <w:t>a</w:t>
      </w:r>
      <w:r w:rsidR="00C64050">
        <w:t xml:space="preserve"> </w:t>
      </w:r>
      <w:r>
        <w:t>trust</w:t>
      </w:r>
      <w:r w:rsidR="00C64050">
        <w:t xml:space="preserve"> </w:t>
      </w:r>
      <w:r>
        <w:t>does</w:t>
      </w:r>
      <w:r w:rsidR="00C64050">
        <w:t xml:space="preserve"> </w:t>
      </w:r>
      <w:r>
        <w:t>not</w:t>
      </w:r>
      <w:r w:rsidR="00C64050">
        <w:t xml:space="preserve"> </w:t>
      </w:r>
      <w:r>
        <w:t>provide</w:t>
      </w:r>
      <w:r w:rsidR="00C64050">
        <w:t xml:space="preserve"> </w:t>
      </w:r>
      <w:r>
        <w:t>for</w:t>
      </w:r>
      <w:r w:rsidR="00C64050">
        <w:t xml:space="preserve"> </w:t>
      </w:r>
      <w:r>
        <w:t>distribution</w:t>
      </w:r>
      <w:r w:rsidR="00C64050">
        <w:t xml:space="preserve"> </w:t>
      </w:r>
      <w:r>
        <w:t>to</w:t>
      </w:r>
      <w:r w:rsidR="00C64050">
        <w:t xml:space="preserve"> </w:t>
      </w:r>
      <w:r>
        <w:t>charity</w:t>
      </w:r>
      <w:r w:rsidR="00C64050">
        <w:t xml:space="preserve"> </w:t>
      </w:r>
      <w:r w:rsidR="00185619">
        <w:t>but</w:t>
      </w:r>
      <w:r w:rsidR="00C64050">
        <w:t xml:space="preserve"> </w:t>
      </w:r>
      <w:r w:rsidR="00185619">
        <w:t>the</w:t>
      </w:r>
      <w:r w:rsidR="00C64050">
        <w:t xml:space="preserve"> </w:t>
      </w:r>
      <w:r w:rsidR="00185619">
        <w:t>beneficiaries</w:t>
      </w:r>
      <w:r w:rsidR="00C64050">
        <w:t xml:space="preserve"> </w:t>
      </w:r>
      <w:r w:rsidR="00185619">
        <w:t>desire</w:t>
      </w:r>
      <w:r w:rsidR="00C64050">
        <w:t xml:space="preserve"> </w:t>
      </w:r>
      <w:r w:rsidR="00185619">
        <w:t>such</w:t>
      </w:r>
      <w:r w:rsidR="00C64050">
        <w:t xml:space="preserve"> </w:t>
      </w:r>
      <w:r w:rsidR="00185619">
        <w:t>distributions</w:t>
      </w:r>
      <w:r w:rsidR="00C64050">
        <w:t xml:space="preserve"> </w:t>
      </w:r>
      <w:r w:rsidR="00185619">
        <w:t>to</w:t>
      </w:r>
      <w:r w:rsidR="00C64050">
        <w:t xml:space="preserve"> </w:t>
      </w:r>
      <w:r w:rsidR="00185619">
        <w:t>occur.</w:t>
      </w:r>
      <w:r w:rsidR="00C64050">
        <w:t xml:space="preserve">  </w:t>
      </w:r>
      <w:r w:rsidR="00185619">
        <w:t>I</w:t>
      </w:r>
      <w:r>
        <w:t>f</w:t>
      </w:r>
      <w:r w:rsidR="00C64050">
        <w:t xml:space="preserve"> </w:t>
      </w:r>
      <w:r w:rsidR="00185619">
        <w:t>the</w:t>
      </w:r>
      <w:r w:rsidR="00C64050">
        <w:t xml:space="preserve"> </w:t>
      </w:r>
      <w:r w:rsidR="00185619">
        <w:t>trust</w:t>
      </w:r>
      <w:r w:rsidR="00C64050">
        <w:t xml:space="preserve"> </w:t>
      </w:r>
      <w:r>
        <w:t>is</w:t>
      </w:r>
      <w:r w:rsidR="00C64050">
        <w:t xml:space="preserve"> </w:t>
      </w:r>
      <w:r>
        <w:t>modified</w:t>
      </w:r>
      <w:r w:rsidR="00C64050">
        <w:t xml:space="preserve"> </w:t>
      </w:r>
      <w:r w:rsidR="00185619">
        <w:t>validly</w:t>
      </w:r>
      <w:r w:rsidR="00C64050">
        <w:t xml:space="preserve"> </w:t>
      </w:r>
      <w:r w:rsidR="00185619">
        <w:t>under</w:t>
      </w:r>
      <w:r w:rsidR="00C64050">
        <w:t xml:space="preserve"> </w:t>
      </w:r>
      <w:r w:rsidR="00185619">
        <w:t>state</w:t>
      </w:r>
      <w:r w:rsidR="00C64050">
        <w:t xml:space="preserve"> </w:t>
      </w:r>
      <w:r w:rsidR="00185619">
        <w:t>law</w:t>
      </w:r>
      <w:r w:rsidR="00C64050">
        <w:t xml:space="preserve"> </w:t>
      </w:r>
      <w:r>
        <w:t>to</w:t>
      </w:r>
      <w:r w:rsidR="00C64050">
        <w:t xml:space="preserve"> </w:t>
      </w:r>
      <w:r>
        <w:t>allow</w:t>
      </w:r>
      <w:r w:rsidR="00C64050">
        <w:t xml:space="preserve"> </w:t>
      </w:r>
      <w:r>
        <w:t>charitable</w:t>
      </w:r>
      <w:r w:rsidR="00C64050">
        <w:t xml:space="preserve"> </w:t>
      </w:r>
      <w:r>
        <w:t>distributions</w:t>
      </w:r>
      <w:r w:rsidR="00212881">
        <w:t>,</w:t>
      </w:r>
      <w:r w:rsidR="00C64050">
        <w:t xml:space="preserve"> </w:t>
      </w:r>
      <w:r>
        <w:t>will</w:t>
      </w:r>
      <w:r w:rsidR="00C64050">
        <w:t xml:space="preserve"> </w:t>
      </w:r>
      <w:r>
        <w:t>that</w:t>
      </w:r>
      <w:r w:rsidR="00C64050">
        <w:t xml:space="preserve"> </w:t>
      </w:r>
      <w:r>
        <w:t>allow</w:t>
      </w:r>
      <w:r w:rsidR="00C64050">
        <w:t xml:space="preserve"> </w:t>
      </w:r>
      <w:r w:rsidR="00B9565E">
        <w:t>the</w:t>
      </w:r>
      <w:r w:rsidR="00C64050">
        <w:t xml:space="preserve"> </w:t>
      </w:r>
      <w:r w:rsidR="00B9565E">
        <w:t>trust</w:t>
      </w:r>
      <w:r w:rsidR="00C64050">
        <w:t xml:space="preserve"> </w:t>
      </w:r>
      <w:r w:rsidR="00B9565E">
        <w:t>to</w:t>
      </w:r>
      <w:r w:rsidR="00C64050">
        <w:t xml:space="preserve"> </w:t>
      </w:r>
      <w:r w:rsidR="00B9565E">
        <w:t>take</w:t>
      </w:r>
      <w:r w:rsidR="00C64050">
        <w:t xml:space="preserve"> </w:t>
      </w:r>
      <w:r>
        <w:t>a</w:t>
      </w:r>
      <w:r w:rsidR="00C64050">
        <w:t xml:space="preserve"> </w:t>
      </w:r>
      <w:r>
        <w:t>section</w:t>
      </w:r>
      <w:r w:rsidR="00C64050">
        <w:t xml:space="preserve"> </w:t>
      </w:r>
      <w:r>
        <w:t>642(c)</w:t>
      </w:r>
      <w:r w:rsidR="00C64050">
        <w:t xml:space="preserve"> </w:t>
      </w:r>
      <w:r>
        <w:t>deduction?</w:t>
      </w:r>
      <w:r w:rsidR="00C64050">
        <w:t xml:space="preserve">  </w:t>
      </w:r>
      <w:r w:rsidR="00B9565E">
        <w:t>In</w:t>
      </w:r>
      <w:r w:rsidR="00C64050">
        <w:t xml:space="preserve"> </w:t>
      </w:r>
      <w:r w:rsidR="00B9565E">
        <w:t>CCA</w:t>
      </w:r>
      <w:r w:rsidR="00C64050">
        <w:t xml:space="preserve"> </w:t>
      </w:r>
      <w:r>
        <w:t>201651013</w:t>
      </w:r>
      <w:r w:rsidR="00C64050">
        <w:t xml:space="preserve"> </w:t>
      </w:r>
      <w:r>
        <w:t>the</w:t>
      </w:r>
      <w:r w:rsidR="00C64050">
        <w:t xml:space="preserve"> </w:t>
      </w:r>
      <w:r>
        <w:t>IRS</w:t>
      </w:r>
      <w:r w:rsidR="00C64050">
        <w:t xml:space="preserve"> </w:t>
      </w:r>
      <w:r>
        <w:t>concluded</w:t>
      </w:r>
      <w:r w:rsidR="00C64050">
        <w:t xml:space="preserve"> </w:t>
      </w:r>
      <w:r>
        <w:t>no</w:t>
      </w:r>
      <w:r w:rsidR="00C64050">
        <w:t xml:space="preserve"> </w:t>
      </w:r>
      <w:r w:rsidR="00185619">
        <w:t>because</w:t>
      </w:r>
      <w:r w:rsidR="00C64050">
        <w:t xml:space="preserve"> </w:t>
      </w:r>
      <w:r w:rsidR="00185619">
        <w:t>the</w:t>
      </w:r>
      <w:r w:rsidR="00C64050">
        <w:t xml:space="preserve"> </w:t>
      </w:r>
      <w:r w:rsidR="00185619">
        <w:t>trust</w:t>
      </w:r>
      <w:r w:rsidR="00C64050">
        <w:t xml:space="preserve"> </w:t>
      </w:r>
      <w:r w:rsidR="00185619" w:rsidRPr="00212881">
        <w:rPr>
          <w:u w:val="single"/>
        </w:rPr>
        <w:t>after</w:t>
      </w:r>
      <w:r w:rsidR="00C64050">
        <w:rPr>
          <w:u w:val="single"/>
        </w:rPr>
        <w:t xml:space="preserve"> </w:t>
      </w:r>
      <w:r w:rsidR="00185619" w:rsidRPr="00212881">
        <w:rPr>
          <w:u w:val="single"/>
        </w:rPr>
        <w:t>modification</w:t>
      </w:r>
      <w:r w:rsidR="00C64050">
        <w:t xml:space="preserve"> </w:t>
      </w:r>
      <w:r w:rsidR="00185619">
        <w:t>was</w:t>
      </w:r>
      <w:r w:rsidR="00C64050">
        <w:t xml:space="preserve"> </w:t>
      </w:r>
      <w:r w:rsidR="00185619">
        <w:t>not</w:t>
      </w:r>
      <w:r w:rsidR="00C64050">
        <w:t xml:space="preserve"> </w:t>
      </w:r>
      <w:r w:rsidR="00185619">
        <w:t>the</w:t>
      </w:r>
      <w:r w:rsidR="00C64050">
        <w:t xml:space="preserve"> </w:t>
      </w:r>
      <w:r w:rsidR="00185619">
        <w:t>“governing</w:t>
      </w:r>
      <w:r w:rsidR="00C64050">
        <w:t xml:space="preserve"> </w:t>
      </w:r>
      <w:r w:rsidR="00185619">
        <w:t>instrument</w:t>
      </w:r>
      <w:r>
        <w:t>.</w:t>
      </w:r>
      <w:r w:rsidR="00185619">
        <w:t>”</w:t>
      </w:r>
      <w:r w:rsidR="00C64050">
        <w:t xml:space="preserve">  </w:t>
      </w:r>
      <w:r>
        <w:t>The</w:t>
      </w:r>
      <w:r w:rsidR="00C64050">
        <w:t xml:space="preserve"> </w:t>
      </w:r>
      <w:r>
        <w:t>ruling</w:t>
      </w:r>
      <w:r w:rsidR="00C64050">
        <w:t xml:space="preserve"> </w:t>
      </w:r>
      <w:r>
        <w:t>states:</w:t>
      </w:r>
    </w:p>
    <w:p w:rsidR="008D344C" w:rsidRPr="00C209B7" w:rsidRDefault="008D344C" w:rsidP="008D344C">
      <w:pPr>
        <w:pStyle w:val="QS10"/>
      </w:pPr>
      <w:r w:rsidRPr="00C209B7">
        <w:t>In</w:t>
      </w:r>
      <w:r w:rsidR="00C64050">
        <w:t xml:space="preserve"> </w:t>
      </w:r>
      <w:r w:rsidRPr="00C209B7">
        <w:rPr>
          <w:u w:val="single"/>
        </w:rPr>
        <w:t>Old</w:t>
      </w:r>
      <w:r w:rsidR="00C64050">
        <w:rPr>
          <w:u w:val="single"/>
        </w:rPr>
        <w:t xml:space="preserve"> </w:t>
      </w:r>
      <w:r w:rsidRPr="00C209B7">
        <w:rPr>
          <w:u w:val="single"/>
        </w:rPr>
        <w:t>Colony</w:t>
      </w:r>
      <w:r w:rsidR="00C64050">
        <w:rPr>
          <w:u w:val="single"/>
        </w:rPr>
        <w:t xml:space="preserve"> </w:t>
      </w:r>
      <w:r w:rsidRPr="00C209B7">
        <w:rPr>
          <w:u w:val="single"/>
        </w:rPr>
        <w:t>Trust</w:t>
      </w:r>
      <w:r w:rsidR="00C64050">
        <w:rPr>
          <w:u w:val="single"/>
        </w:rPr>
        <w:t xml:space="preserve"> </w:t>
      </w:r>
      <w:r w:rsidRPr="00C209B7">
        <w:rPr>
          <w:u w:val="single"/>
        </w:rPr>
        <w:t>Company</w:t>
      </w:r>
      <w:r w:rsidR="00C64050">
        <w:rPr>
          <w:u w:val="single"/>
        </w:rPr>
        <w:t xml:space="preserve"> </w:t>
      </w:r>
      <w:r w:rsidRPr="00C209B7">
        <w:rPr>
          <w:u w:val="single"/>
        </w:rPr>
        <w:t>v.</w:t>
      </w:r>
      <w:r w:rsidR="00C64050">
        <w:rPr>
          <w:u w:val="single"/>
        </w:rPr>
        <w:t xml:space="preserve"> </w:t>
      </w:r>
      <w:r w:rsidRPr="00C209B7">
        <w:rPr>
          <w:u w:val="single"/>
        </w:rPr>
        <w:t>Commissioner</w:t>
      </w:r>
      <w:r w:rsidRPr="00C209B7">
        <w:t>,</w:t>
      </w:r>
      <w:r w:rsidR="00C64050">
        <w:t xml:space="preserve"> </w:t>
      </w:r>
      <w:r w:rsidRPr="00C209B7">
        <w:t>57</w:t>
      </w:r>
      <w:r w:rsidR="00C64050">
        <w:t xml:space="preserve"> </w:t>
      </w:r>
      <w:r w:rsidRPr="00C209B7">
        <w:t>S.Ct.</w:t>
      </w:r>
      <w:r w:rsidR="00C64050">
        <w:t xml:space="preserve"> </w:t>
      </w:r>
      <w:r w:rsidRPr="00C209B7">
        <w:t>813</w:t>
      </w:r>
      <w:r w:rsidR="00C64050">
        <w:t xml:space="preserve"> </w:t>
      </w:r>
      <w:r w:rsidRPr="00C209B7">
        <w:t>(1937),</w:t>
      </w:r>
      <w:r w:rsidR="00C64050">
        <w:t xml:space="preserve"> </w:t>
      </w:r>
      <w:r w:rsidRPr="00C209B7">
        <w:t>the</w:t>
      </w:r>
      <w:r w:rsidR="00C64050">
        <w:t xml:space="preserve"> </w:t>
      </w:r>
      <w:r w:rsidRPr="00C209B7">
        <w:t>Supreme</w:t>
      </w:r>
      <w:r w:rsidR="00C64050">
        <w:t xml:space="preserve"> </w:t>
      </w:r>
      <w:r w:rsidRPr="00C209B7">
        <w:t>Court</w:t>
      </w:r>
      <w:r w:rsidR="00C64050">
        <w:t xml:space="preserve"> </w:t>
      </w:r>
      <w:r w:rsidRPr="00C209B7">
        <w:t>reversed</w:t>
      </w:r>
      <w:r w:rsidR="00C64050">
        <w:t xml:space="preserve"> </w:t>
      </w:r>
      <w:r w:rsidRPr="00C209B7">
        <w:t>a</w:t>
      </w:r>
      <w:r w:rsidR="00C64050">
        <w:t xml:space="preserve"> </w:t>
      </w:r>
      <w:r w:rsidRPr="00C209B7">
        <w:t>decision</w:t>
      </w:r>
      <w:r w:rsidR="00C64050">
        <w:t xml:space="preserve"> </w:t>
      </w:r>
      <w:r w:rsidRPr="00C209B7">
        <w:t>of</w:t>
      </w:r>
      <w:r w:rsidR="00C64050">
        <w:t xml:space="preserve"> </w:t>
      </w:r>
      <w:r w:rsidRPr="00C209B7">
        <w:t>the</w:t>
      </w:r>
      <w:r w:rsidR="00C64050">
        <w:t xml:space="preserve"> </w:t>
      </w:r>
      <w:r w:rsidRPr="00C209B7">
        <w:t>First</w:t>
      </w:r>
      <w:r w:rsidR="00C64050">
        <w:t xml:space="preserve"> </w:t>
      </w:r>
      <w:r w:rsidRPr="00C209B7">
        <w:t>Circuit</w:t>
      </w:r>
      <w:r w:rsidR="00C64050">
        <w:t xml:space="preserve"> </w:t>
      </w:r>
      <w:r w:rsidRPr="00C209B7">
        <w:t>(87</w:t>
      </w:r>
      <w:r w:rsidR="00C64050">
        <w:t xml:space="preserve"> </w:t>
      </w:r>
      <w:r w:rsidRPr="00C209B7">
        <w:t>F.</w:t>
      </w:r>
      <w:r w:rsidR="00C64050">
        <w:t xml:space="preserve"> </w:t>
      </w:r>
      <w:r w:rsidRPr="00C209B7">
        <w:t>2d</w:t>
      </w:r>
      <w:r w:rsidR="00C64050">
        <w:t xml:space="preserve"> </w:t>
      </w:r>
      <w:r w:rsidRPr="00C209B7">
        <w:t>131).</w:t>
      </w:r>
      <w:r w:rsidR="00C64050">
        <w:t xml:space="preserve"> </w:t>
      </w:r>
      <w:r w:rsidRPr="00C209B7">
        <w:t>A</w:t>
      </w:r>
      <w:r w:rsidR="00C64050">
        <w:t xml:space="preserve"> </w:t>
      </w:r>
      <w:r w:rsidRPr="00C209B7">
        <w:t>trust</w:t>
      </w:r>
      <w:r w:rsidR="00C64050">
        <w:t xml:space="preserve"> </w:t>
      </w:r>
      <w:r w:rsidRPr="00C209B7">
        <w:t>document</w:t>
      </w:r>
      <w:r w:rsidR="00C64050">
        <w:t xml:space="preserve"> </w:t>
      </w:r>
      <w:r w:rsidRPr="00C209B7">
        <w:t>authorized</w:t>
      </w:r>
      <w:r w:rsidR="00C64050">
        <w:t xml:space="preserve"> </w:t>
      </w:r>
      <w:r w:rsidRPr="00C209B7">
        <w:t>but</w:t>
      </w:r>
      <w:r w:rsidR="00C64050">
        <w:t xml:space="preserve"> </w:t>
      </w:r>
      <w:r w:rsidRPr="00C209B7">
        <w:t>did</w:t>
      </w:r>
      <w:r w:rsidR="00C64050">
        <w:t xml:space="preserve"> </w:t>
      </w:r>
      <w:r w:rsidRPr="00C209B7">
        <w:t>not</w:t>
      </w:r>
      <w:r w:rsidR="00C64050">
        <w:t xml:space="preserve"> </w:t>
      </w:r>
      <w:r w:rsidRPr="00C209B7">
        <w:t>require</w:t>
      </w:r>
      <w:r w:rsidR="00C64050">
        <w:t xml:space="preserve"> </w:t>
      </w:r>
      <w:r w:rsidRPr="00C209B7">
        <w:t>the</w:t>
      </w:r>
      <w:r w:rsidR="00C64050">
        <w:t xml:space="preserve"> </w:t>
      </w:r>
      <w:r w:rsidRPr="00C209B7">
        <w:t>trustees</w:t>
      </w:r>
      <w:r w:rsidR="00C64050">
        <w:t xml:space="preserve"> </w:t>
      </w:r>
      <w:r w:rsidRPr="00C209B7">
        <w:t>to</w:t>
      </w:r>
      <w:r w:rsidR="00C64050">
        <w:t xml:space="preserve"> </w:t>
      </w:r>
      <w:r w:rsidRPr="00C209B7">
        <w:t>make</w:t>
      </w:r>
      <w:r w:rsidR="00C64050">
        <w:t xml:space="preserve"> </w:t>
      </w:r>
      <w:r w:rsidRPr="00C209B7">
        <w:t>current</w:t>
      </w:r>
      <w:r w:rsidR="00C64050">
        <w:t xml:space="preserve"> </w:t>
      </w:r>
      <w:r w:rsidRPr="00C209B7">
        <w:t>charitable</w:t>
      </w:r>
      <w:r w:rsidR="00C64050">
        <w:t xml:space="preserve"> </w:t>
      </w:r>
      <w:r w:rsidRPr="00C209B7">
        <w:t>payments</w:t>
      </w:r>
      <w:r w:rsidR="00C64050">
        <w:t xml:space="preserve"> </w:t>
      </w:r>
      <w:r w:rsidRPr="00C209B7">
        <w:t>if</w:t>
      </w:r>
      <w:r w:rsidR="00C64050">
        <w:t xml:space="preserve"> </w:t>
      </w:r>
      <w:r w:rsidRPr="00C209B7">
        <w:t>they</w:t>
      </w:r>
      <w:r w:rsidR="00C64050">
        <w:t xml:space="preserve"> </w:t>
      </w:r>
      <w:r w:rsidRPr="00C209B7">
        <w:t>could</w:t>
      </w:r>
      <w:r w:rsidR="00C64050">
        <w:t xml:space="preserve"> </w:t>
      </w:r>
      <w:r w:rsidRPr="00C209B7">
        <w:t>do</w:t>
      </w:r>
      <w:r w:rsidR="00C64050">
        <w:t xml:space="preserve"> </w:t>
      </w:r>
      <w:r w:rsidRPr="00C209B7">
        <w:t>so</w:t>
      </w:r>
      <w:r w:rsidR="00C64050">
        <w:t xml:space="preserve"> </w:t>
      </w:r>
      <w:r w:rsidRPr="00C209B7">
        <w:t>without</w:t>
      </w:r>
      <w:r w:rsidR="00C64050">
        <w:t xml:space="preserve"> </w:t>
      </w:r>
      <w:r w:rsidRPr="00C209B7">
        <w:t>jeopardizing</w:t>
      </w:r>
      <w:r w:rsidR="00C64050">
        <w:t xml:space="preserve"> </w:t>
      </w:r>
      <w:r w:rsidRPr="00C209B7">
        <w:t>the</w:t>
      </w:r>
      <w:r w:rsidR="00C64050">
        <w:t xml:space="preserve"> </w:t>
      </w:r>
      <w:r w:rsidRPr="00C209B7">
        <w:t>payment</w:t>
      </w:r>
      <w:r w:rsidR="00C64050">
        <w:t xml:space="preserve"> </w:t>
      </w:r>
      <w:r w:rsidRPr="00C209B7">
        <w:t>of</w:t>
      </w:r>
      <w:r w:rsidR="00C64050">
        <w:t xml:space="preserve"> </w:t>
      </w:r>
      <w:r w:rsidRPr="00C209B7">
        <w:t>annuities</w:t>
      </w:r>
      <w:r w:rsidR="00C64050">
        <w:t xml:space="preserve"> </w:t>
      </w:r>
      <w:r w:rsidRPr="00C209B7">
        <w:t>from</w:t>
      </w:r>
      <w:r w:rsidR="00C64050">
        <w:t xml:space="preserve"> </w:t>
      </w:r>
      <w:r w:rsidRPr="00C209B7">
        <w:t>the</w:t>
      </w:r>
      <w:r w:rsidR="00C64050">
        <w:t xml:space="preserve"> </w:t>
      </w:r>
      <w:r w:rsidRPr="00C209B7">
        <w:t>trust</w:t>
      </w:r>
      <w:r w:rsidR="00C64050">
        <w:t xml:space="preserve"> </w:t>
      </w:r>
      <w:r w:rsidRPr="00C209B7">
        <w:t>to</w:t>
      </w:r>
      <w:r w:rsidR="00C64050">
        <w:t xml:space="preserve"> </w:t>
      </w:r>
      <w:r w:rsidRPr="00C209B7">
        <w:t>non-charitable</w:t>
      </w:r>
      <w:r w:rsidR="00C64050">
        <w:t xml:space="preserve"> </w:t>
      </w:r>
      <w:r w:rsidRPr="00C209B7">
        <w:t>beneficiaries.</w:t>
      </w:r>
      <w:r w:rsidR="00C64050">
        <w:t xml:space="preserve"> </w:t>
      </w:r>
      <w:r w:rsidRPr="00C209B7">
        <w:t>The</w:t>
      </w:r>
      <w:r w:rsidR="00C64050">
        <w:t xml:space="preserve"> </w:t>
      </w:r>
      <w:r w:rsidRPr="00C209B7">
        <w:t>Board</w:t>
      </w:r>
      <w:r w:rsidR="00C64050">
        <w:t xml:space="preserve"> </w:t>
      </w:r>
      <w:r w:rsidRPr="00C209B7">
        <w:t>of</w:t>
      </w:r>
      <w:r w:rsidR="00C64050">
        <w:t xml:space="preserve"> </w:t>
      </w:r>
      <w:r w:rsidRPr="00C209B7">
        <w:t>Tax</w:t>
      </w:r>
      <w:r w:rsidR="00C64050">
        <w:t xml:space="preserve"> </w:t>
      </w:r>
      <w:r w:rsidRPr="00C209B7">
        <w:t>Appeals</w:t>
      </w:r>
      <w:r w:rsidR="00C64050">
        <w:t xml:space="preserve"> </w:t>
      </w:r>
      <w:r w:rsidRPr="00C209B7">
        <w:t>denied</w:t>
      </w:r>
      <w:r w:rsidR="00C64050">
        <w:t xml:space="preserve"> </w:t>
      </w:r>
      <w:r w:rsidRPr="00C209B7">
        <w:t>most</w:t>
      </w:r>
      <w:r w:rsidR="00C64050">
        <w:t xml:space="preserve"> </w:t>
      </w:r>
      <w:r w:rsidRPr="00C209B7">
        <w:t>of</w:t>
      </w:r>
      <w:r w:rsidR="00C64050">
        <w:t xml:space="preserve"> </w:t>
      </w:r>
      <w:r w:rsidRPr="00C209B7">
        <w:t>the</w:t>
      </w:r>
      <w:r w:rsidR="00C64050">
        <w:t xml:space="preserve"> </w:t>
      </w:r>
      <w:r w:rsidRPr="00C209B7">
        <w:t>income</w:t>
      </w:r>
      <w:r w:rsidR="00C64050">
        <w:t xml:space="preserve"> </w:t>
      </w:r>
      <w:r w:rsidRPr="00C209B7">
        <w:t>tax</w:t>
      </w:r>
      <w:r w:rsidR="00C64050">
        <w:t xml:space="preserve"> </w:t>
      </w:r>
      <w:r w:rsidRPr="00C209B7">
        <w:t>charitable</w:t>
      </w:r>
      <w:r w:rsidR="00C64050">
        <w:t xml:space="preserve"> </w:t>
      </w:r>
      <w:r w:rsidRPr="00C209B7">
        <w:t>deduction</w:t>
      </w:r>
      <w:r w:rsidR="00C64050">
        <w:t xml:space="preserve"> </w:t>
      </w:r>
      <w:r w:rsidRPr="00C209B7">
        <w:t>under</w:t>
      </w:r>
      <w:r w:rsidR="00C64050">
        <w:t xml:space="preserve"> </w:t>
      </w:r>
      <w:r w:rsidRPr="00C209B7">
        <w:t>the</w:t>
      </w:r>
      <w:r w:rsidR="00C64050">
        <w:t xml:space="preserve"> </w:t>
      </w:r>
      <w:r w:rsidRPr="00C209B7">
        <w:t>predecessor</w:t>
      </w:r>
      <w:r w:rsidR="00C64050">
        <w:t xml:space="preserve"> </w:t>
      </w:r>
      <w:r w:rsidRPr="00C209B7">
        <w:t>of</w:t>
      </w:r>
      <w:r w:rsidR="00C64050">
        <w:t xml:space="preserve"> </w:t>
      </w:r>
      <w:r w:rsidRPr="00C209B7">
        <w:t>§</w:t>
      </w:r>
      <w:r w:rsidR="00C64050">
        <w:t xml:space="preserve"> </w:t>
      </w:r>
      <w:r w:rsidRPr="00C209B7">
        <w:t>642(c)(1)</w:t>
      </w:r>
      <w:r w:rsidR="00C64050">
        <w:t xml:space="preserve"> </w:t>
      </w:r>
      <w:r w:rsidRPr="00C209B7">
        <w:t>because</w:t>
      </w:r>
      <w:r w:rsidR="00C64050">
        <w:t xml:space="preserve"> </w:t>
      </w:r>
      <w:r w:rsidRPr="00C209B7">
        <w:t>it</w:t>
      </w:r>
      <w:r w:rsidR="00C64050">
        <w:t xml:space="preserve"> </w:t>
      </w:r>
      <w:r w:rsidRPr="00C209B7">
        <w:t>found</w:t>
      </w:r>
      <w:r w:rsidR="00C64050">
        <w:t xml:space="preserve"> </w:t>
      </w:r>
      <w:r w:rsidRPr="00C209B7">
        <w:t>that</w:t>
      </w:r>
      <w:r w:rsidR="00C64050">
        <w:t xml:space="preserve"> </w:t>
      </w:r>
      <w:r w:rsidRPr="00C209B7">
        <w:t>the</w:t>
      </w:r>
      <w:r w:rsidR="00C64050">
        <w:t xml:space="preserve"> </w:t>
      </w:r>
      <w:r w:rsidRPr="00C209B7">
        <w:t>taxpayer</w:t>
      </w:r>
      <w:r w:rsidR="00C64050">
        <w:t xml:space="preserve"> </w:t>
      </w:r>
      <w:r w:rsidRPr="00C209B7">
        <w:t>had</w:t>
      </w:r>
      <w:r w:rsidR="00C64050">
        <w:t xml:space="preserve"> </w:t>
      </w:r>
      <w:r w:rsidRPr="00C209B7">
        <w:t>not</w:t>
      </w:r>
      <w:r w:rsidR="00C64050">
        <w:t xml:space="preserve"> </w:t>
      </w:r>
      <w:r w:rsidRPr="00C209B7">
        <w:t>met</w:t>
      </w:r>
      <w:r w:rsidR="00C64050">
        <w:t xml:space="preserve"> </w:t>
      </w:r>
      <w:r w:rsidRPr="00C209B7">
        <w:t>its</w:t>
      </w:r>
      <w:r w:rsidR="00C64050">
        <w:t xml:space="preserve"> </w:t>
      </w:r>
      <w:r w:rsidRPr="00C209B7">
        <w:t>burden</w:t>
      </w:r>
      <w:r w:rsidR="00C64050">
        <w:t xml:space="preserve"> </w:t>
      </w:r>
      <w:r w:rsidRPr="00C209B7">
        <w:t>of</w:t>
      </w:r>
      <w:r w:rsidR="00C64050">
        <w:t xml:space="preserve"> </w:t>
      </w:r>
      <w:r w:rsidRPr="00C209B7">
        <w:t>proof</w:t>
      </w:r>
      <w:r w:rsidR="00C64050">
        <w:t xml:space="preserve"> </w:t>
      </w:r>
      <w:r w:rsidRPr="00C209B7">
        <w:t>regarding</w:t>
      </w:r>
      <w:r w:rsidR="00C64050">
        <w:t xml:space="preserve"> </w:t>
      </w:r>
      <w:r w:rsidRPr="00C209B7">
        <w:t>whether</w:t>
      </w:r>
      <w:r w:rsidR="00C64050">
        <w:t xml:space="preserve"> </w:t>
      </w:r>
      <w:r w:rsidRPr="00C209B7">
        <w:t>most</w:t>
      </w:r>
      <w:r w:rsidR="00C64050">
        <w:t xml:space="preserve"> </w:t>
      </w:r>
      <w:r w:rsidRPr="00C209B7">
        <w:t>of</w:t>
      </w:r>
      <w:r w:rsidR="00C64050">
        <w:t xml:space="preserve"> </w:t>
      </w:r>
      <w:r w:rsidRPr="00C209B7">
        <w:t>the</w:t>
      </w:r>
      <w:r w:rsidR="00C64050">
        <w:t xml:space="preserve"> </w:t>
      </w:r>
      <w:r w:rsidRPr="00C209B7">
        <w:t>payments</w:t>
      </w:r>
      <w:r w:rsidR="00C64050">
        <w:t xml:space="preserve"> </w:t>
      </w:r>
      <w:r w:rsidRPr="00C209B7">
        <w:t>were</w:t>
      </w:r>
      <w:r w:rsidR="00C64050">
        <w:t xml:space="preserve"> </w:t>
      </w:r>
      <w:r w:rsidRPr="00C209B7">
        <w:t>actually</w:t>
      </w:r>
      <w:r w:rsidR="00C64050">
        <w:t xml:space="preserve"> </w:t>
      </w:r>
      <w:r w:rsidRPr="00C209B7">
        <w:t>made</w:t>
      </w:r>
      <w:r w:rsidR="00C64050">
        <w:t xml:space="preserve"> </w:t>
      </w:r>
      <w:r w:rsidRPr="00C209B7">
        <w:t>from</w:t>
      </w:r>
      <w:r w:rsidR="00C64050">
        <w:t xml:space="preserve"> </w:t>
      </w:r>
      <w:r w:rsidRPr="00C209B7">
        <w:t>trust</w:t>
      </w:r>
      <w:r w:rsidR="00C64050">
        <w:t xml:space="preserve"> </w:t>
      </w:r>
      <w:r w:rsidRPr="00C209B7">
        <w:t>income</w:t>
      </w:r>
      <w:r w:rsidR="00C64050">
        <w:t xml:space="preserve"> </w:t>
      </w:r>
      <w:r w:rsidRPr="00C209B7">
        <w:t>during</w:t>
      </w:r>
      <w:r w:rsidR="00C64050">
        <w:t xml:space="preserve"> </w:t>
      </w:r>
      <w:r w:rsidRPr="00C209B7">
        <w:t>the</w:t>
      </w:r>
      <w:r w:rsidR="00C64050">
        <w:t xml:space="preserve"> </w:t>
      </w:r>
      <w:r w:rsidRPr="00C209B7">
        <w:t>year</w:t>
      </w:r>
      <w:r w:rsidR="00C64050">
        <w:t xml:space="preserve"> </w:t>
      </w:r>
      <w:r w:rsidRPr="00C209B7">
        <w:t>made.</w:t>
      </w:r>
      <w:r w:rsidR="00C64050">
        <w:t xml:space="preserve"> </w:t>
      </w:r>
      <w:r w:rsidRPr="00C209B7">
        <w:t>The</w:t>
      </w:r>
      <w:r w:rsidR="00C64050">
        <w:t xml:space="preserve"> </w:t>
      </w:r>
      <w:r w:rsidRPr="00C209B7">
        <w:t>First</w:t>
      </w:r>
      <w:r w:rsidR="00C64050">
        <w:t xml:space="preserve"> </w:t>
      </w:r>
      <w:r w:rsidRPr="00C209B7">
        <w:t>Circuit</w:t>
      </w:r>
      <w:r w:rsidR="00C64050">
        <w:t xml:space="preserve"> </w:t>
      </w:r>
      <w:r w:rsidRPr="00C209B7">
        <w:t>denied</w:t>
      </w:r>
      <w:r w:rsidR="00C64050">
        <w:t xml:space="preserve"> </w:t>
      </w:r>
      <w:r w:rsidRPr="00C209B7">
        <w:t>the</w:t>
      </w:r>
      <w:r w:rsidR="00C64050">
        <w:t xml:space="preserve"> </w:t>
      </w:r>
      <w:r w:rsidRPr="00C209B7">
        <w:t>entire</w:t>
      </w:r>
      <w:r w:rsidR="00C64050">
        <w:t xml:space="preserve"> </w:t>
      </w:r>
      <w:r w:rsidRPr="00C209B7">
        <w:t>deduction</w:t>
      </w:r>
      <w:r w:rsidR="00C64050">
        <w:t xml:space="preserve"> </w:t>
      </w:r>
      <w:r w:rsidRPr="00C209B7">
        <w:t>because</w:t>
      </w:r>
      <w:r w:rsidR="00C64050">
        <w:t xml:space="preserve"> </w:t>
      </w:r>
      <w:r w:rsidRPr="00C209B7">
        <w:t>the</w:t>
      </w:r>
      <w:r w:rsidR="00C64050">
        <w:t xml:space="preserve"> </w:t>
      </w:r>
      <w:r w:rsidRPr="00C209B7">
        <w:t>charitable</w:t>
      </w:r>
      <w:r w:rsidR="00C64050">
        <w:t xml:space="preserve"> </w:t>
      </w:r>
      <w:r w:rsidRPr="00C209B7">
        <w:t>payments</w:t>
      </w:r>
      <w:r w:rsidR="00C64050">
        <w:t xml:space="preserve"> </w:t>
      </w:r>
      <w:r w:rsidRPr="00C209B7">
        <w:t>were</w:t>
      </w:r>
      <w:r w:rsidR="00C64050">
        <w:t xml:space="preserve"> </w:t>
      </w:r>
      <w:r w:rsidRPr="00C209B7">
        <w:t>"not</w:t>
      </w:r>
      <w:r w:rsidR="00C64050">
        <w:t xml:space="preserve"> </w:t>
      </w:r>
      <w:r w:rsidRPr="00C209B7">
        <w:t>imperatively</w:t>
      </w:r>
      <w:r w:rsidR="00C64050">
        <w:t xml:space="preserve"> </w:t>
      </w:r>
      <w:r w:rsidRPr="00C209B7">
        <w:t>directed"</w:t>
      </w:r>
      <w:r w:rsidR="00C64050">
        <w:t xml:space="preserve"> </w:t>
      </w:r>
      <w:r w:rsidRPr="00C209B7">
        <w:t>by</w:t>
      </w:r>
      <w:r w:rsidR="00C64050">
        <w:t xml:space="preserve"> </w:t>
      </w:r>
      <w:r w:rsidRPr="00C209B7">
        <w:t>the</w:t>
      </w:r>
      <w:r w:rsidR="00C64050">
        <w:t xml:space="preserve"> </w:t>
      </w:r>
      <w:r w:rsidRPr="00C209B7">
        <w:t>trust.</w:t>
      </w:r>
      <w:r w:rsidR="00C64050">
        <w:t xml:space="preserve"> </w:t>
      </w:r>
      <w:r w:rsidRPr="00C209B7">
        <w:t>If</w:t>
      </w:r>
      <w:r w:rsidR="00C64050">
        <w:t xml:space="preserve"> </w:t>
      </w:r>
      <w:r w:rsidRPr="00C209B7">
        <w:t>the</w:t>
      </w:r>
      <w:r w:rsidR="00C64050">
        <w:t xml:space="preserve"> </w:t>
      </w:r>
      <w:r w:rsidRPr="00C209B7">
        <w:t>trustee</w:t>
      </w:r>
      <w:r w:rsidR="00C64050">
        <w:t xml:space="preserve"> </w:t>
      </w:r>
      <w:r w:rsidRPr="00C209B7">
        <w:t>exercised</w:t>
      </w:r>
      <w:r w:rsidR="00C64050">
        <w:t xml:space="preserve"> </w:t>
      </w:r>
      <w:r w:rsidRPr="00C209B7">
        <w:t>discretion</w:t>
      </w:r>
      <w:r w:rsidR="00C64050">
        <w:t xml:space="preserve"> </w:t>
      </w:r>
      <w:r w:rsidRPr="00C209B7">
        <w:t>in</w:t>
      </w:r>
      <w:r w:rsidR="00C64050">
        <w:t xml:space="preserve"> </w:t>
      </w:r>
      <w:r w:rsidRPr="00C209B7">
        <w:t>making</w:t>
      </w:r>
      <w:r w:rsidR="00C64050">
        <w:t xml:space="preserve"> </w:t>
      </w:r>
      <w:r w:rsidRPr="00C209B7">
        <w:t>the</w:t>
      </w:r>
      <w:r w:rsidR="00C64050">
        <w:t xml:space="preserve"> </w:t>
      </w:r>
      <w:r w:rsidRPr="00C209B7">
        <w:t>payments,</w:t>
      </w:r>
      <w:r w:rsidR="00C64050">
        <w:t xml:space="preserve"> </w:t>
      </w:r>
      <w:r w:rsidRPr="00C209B7">
        <w:t>they</w:t>
      </w:r>
      <w:r w:rsidR="00C64050">
        <w:t xml:space="preserve"> </w:t>
      </w:r>
      <w:r w:rsidRPr="00C209B7">
        <w:t>were</w:t>
      </w:r>
      <w:r w:rsidR="00C64050">
        <w:t xml:space="preserve"> </w:t>
      </w:r>
      <w:r w:rsidRPr="00C209B7">
        <w:t>not</w:t>
      </w:r>
      <w:r w:rsidR="00C64050">
        <w:t xml:space="preserve"> </w:t>
      </w:r>
      <w:r w:rsidRPr="00C209B7">
        <w:t>"pursuant</w:t>
      </w:r>
      <w:r w:rsidR="00C64050">
        <w:t xml:space="preserve"> </w:t>
      </w:r>
      <w:r w:rsidRPr="00C209B7">
        <w:t>to"</w:t>
      </w:r>
      <w:r w:rsidR="00C64050">
        <w:t xml:space="preserve"> </w:t>
      </w:r>
      <w:r w:rsidRPr="00C209B7">
        <w:t>the</w:t>
      </w:r>
      <w:r w:rsidR="00C64050">
        <w:t xml:space="preserve"> </w:t>
      </w:r>
      <w:r w:rsidRPr="00C209B7">
        <w:t>terms</w:t>
      </w:r>
      <w:r w:rsidR="00C64050">
        <w:t xml:space="preserve"> </w:t>
      </w:r>
      <w:r w:rsidRPr="00C209B7">
        <w:t>of</w:t>
      </w:r>
      <w:r w:rsidR="00C64050">
        <w:t xml:space="preserve"> </w:t>
      </w:r>
      <w:r w:rsidRPr="00C209B7">
        <w:t>the</w:t>
      </w:r>
      <w:r w:rsidR="00C64050">
        <w:t xml:space="preserve"> </w:t>
      </w:r>
      <w:r w:rsidRPr="00C209B7">
        <w:t>trust.</w:t>
      </w:r>
      <w:r w:rsidR="00C64050">
        <w:t xml:space="preserve"> </w:t>
      </w:r>
      <w:r w:rsidRPr="00C209B7">
        <w:t>The</w:t>
      </w:r>
      <w:r w:rsidR="00C64050">
        <w:t xml:space="preserve"> </w:t>
      </w:r>
      <w:r w:rsidRPr="00C209B7">
        <w:t>Supreme</w:t>
      </w:r>
      <w:r w:rsidR="00C64050">
        <w:t xml:space="preserve"> </w:t>
      </w:r>
      <w:r w:rsidRPr="00C209B7">
        <w:t>Court</w:t>
      </w:r>
      <w:r w:rsidR="00C64050">
        <w:t xml:space="preserve"> </w:t>
      </w:r>
      <w:r w:rsidRPr="00C209B7">
        <w:t>referred</w:t>
      </w:r>
      <w:r w:rsidR="00C64050">
        <w:t xml:space="preserve"> </w:t>
      </w:r>
      <w:r w:rsidRPr="00C209B7">
        <w:t>to</w:t>
      </w:r>
      <w:r w:rsidR="00C64050">
        <w:t xml:space="preserve"> </w:t>
      </w:r>
      <w:r w:rsidRPr="00C209B7">
        <w:t>the</w:t>
      </w:r>
      <w:r w:rsidR="00C64050">
        <w:t xml:space="preserve"> </w:t>
      </w:r>
      <w:r w:rsidRPr="00C209B7">
        <w:t>plain</w:t>
      </w:r>
      <w:r w:rsidR="00C64050">
        <w:t xml:space="preserve"> </w:t>
      </w:r>
      <w:r w:rsidRPr="00C209B7">
        <w:t>dictionary</w:t>
      </w:r>
      <w:r w:rsidR="00C64050">
        <w:t xml:space="preserve"> </w:t>
      </w:r>
      <w:r w:rsidRPr="00C209B7">
        <w:t>meaning</w:t>
      </w:r>
      <w:r w:rsidR="00C64050">
        <w:t xml:space="preserve"> </w:t>
      </w:r>
      <w:r w:rsidRPr="00C209B7">
        <w:t>of</w:t>
      </w:r>
      <w:r w:rsidR="00C64050">
        <w:t xml:space="preserve"> </w:t>
      </w:r>
      <w:r w:rsidRPr="00C209B7">
        <w:t>"pursuant</w:t>
      </w:r>
      <w:r w:rsidR="00C64050">
        <w:t xml:space="preserve"> </w:t>
      </w:r>
      <w:r w:rsidRPr="00C209B7">
        <w:t>to"</w:t>
      </w:r>
      <w:r w:rsidR="00C64050">
        <w:t xml:space="preserve"> </w:t>
      </w:r>
      <w:r w:rsidRPr="00C209B7">
        <w:t>as</w:t>
      </w:r>
      <w:r w:rsidR="00C64050">
        <w:t xml:space="preserve"> </w:t>
      </w:r>
      <w:r w:rsidRPr="00C209B7">
        <w:t>"acting</w:t>
      </w:r>
      <w:r w:rsidR="00C64050">
        <w:t xml:space="preserve"> </w:t>
      </w:r>
      <w:r w:rsidRPr="00C209B7">
        <w:t>or</w:t>
      </w:r>
      <w:r w:rsidR="00C64050">
        <w:t xml:space="preserve"> </w:t>
      </w:r>
      <w:r w:rsidRPr="00C209B7">
        <w:t>done</w:t>
      </w:r>
      <w:r w:rsidR="00C64050">
        <w:t xml:space="preserve"> </w:t>
      </w:r>
      <w:r w:rsidRPr="00C209B7">
        <w:t>in</w:t>
      </w:r>
      <w:r w:rsidR="00C64050">
        <w:t xml:space="preserve"> </w:t>
      </w:r>
      <w:r w:rsidRPr="00C209B7">
        <w:t>consequence</w:t>
      </w:r>
      <w:r w:rsidR="00C64050">
        <w:t xml:space="preserve"> </w:t>
      </w:r>
      <w:r w:rsidRPr="00C209B7">
        <w:t>or</w:t>
      </w:r>
      <w:r w:rsidR="00C64050">
        <w:t xml:space="preserve"> </w:t>
      </w:r>
      <w:r w:rsidRPr="00C209B7">
        <w:t>in</w:t>
      </w:r>
      <w:r w:rsidR="00C64050">
        <w:t xml:space="preserve"> </w:t>
      </w:r>
      <w:r w:rsidRPr="00C209B7">
        <w:t>prosecution</w:t>
      </w:r>
      <w:r w:rsidR="00C64050">
        <w:t xml:space="preserve"> </w:t>
      </w:r>
      <w:r w:rsidRPr="00C209B7">
        <w:t>(of</w:t>
      </w:r>
      <w:r w:rsidR="00C64050">
        <w:t xml:space="preserve"> </w:t>
      </w:r>
      <w:r w:rsidRPr="00C209B7">
        <w:t>anything),</w:t>
      </w:r>
      <w:r w:rsidR="00C64050">
        <w:t xml:space="preserve"> </w:t>
      </w:r>
      <w:r w:rsidRPr="00C209B7">
        <w:t>hence,</w:t>
      </w:r>
      <w:r w:rsidR="00C64050">
        <w:t xml:space="preserve"> </w:t>
      </w:r>
      <w:r w:rsidRPr="00C209B7">
        <w:t>agreeable;</w:t>
      </w:r>
      <w:r w:rsidR="00C64050">
        <w:t xml:space="preserve"> </w:t>
      </w:r>
      <w:r w:rsidRPr="00C209B7">
        <w:t>conformable;</w:t>
      </w:r>
      <w:r w:rsidR="00C64050">
        <w:t xml:space="preserve"> </w:t>
      </w:r>
      <w:r w:rsidRPr="00C209B7">
        <w:t>following;</w:t>
      </w:r>
      <w:r w:rsidR="00C64050">
        <w:t xml:space="preserve"> </w:t>
      </w:r>
      <w:r w:rsidRPr="00C209B7">
        <w:t>according,"</w:t>
      </w:r>
      <w:r w:rsidR="00C64050">
        <w:t xml:space="preserve"> </w:t>
      </w:r>
      <w:r w:rsidRPr="00C209B7">
        <w:t>which</w:t>
      </w:r>
      <w:r w:rsidR="00C64050">
        <w:t xml:space="preserve"> </w:t>
      </w:r>
      <w:r w:rsidRPr="00C209B7">
        <w:t>standard</w:t>
      </w:r>
      <w:r w:rsidR="00C64050">
        <w:t xml:space="preserve"> </w:t>
      </w:r>
      <w:r w:rsidRPr="00C209B7">
        <w:t>was</w:t>
      </w:r>
      <w:r w:rsidR="00C64050">
        <w:t xml:space="preserve"> </w:t>
      </w:r>
      <w:r w:rsidRPr="00C209B7">
        <w:t>met</w:t>
      </w:r>
      <w:r w:rsidR="00C64050">
        <w:t xml:space="preserve"> </w:t>
      </w:r>
      <w:r w:rsidRPr="00C209B7">
        <w:t>by</w:t>
      </w:r>
      <w:r w:rsidR="00C64050">
        <w:t xml:space="preserve"> </w:t>
      </w:r>
      <w:r w:rsidRPr="00C209B7">
        <w:t>the</w:t>
      </w:r>
      <w:r w:rsidR="00C64050">
        <w:t xml:space="preserve"> </w:t>
      </w:r>
      <w:r w:rsidRPr="00C209B7">
        <w:t>authorization</w:t>
      </w:r>
      <w:r w:rsidR="00C64050">
        <w:t xml:space="preserve"> </w:t>
      </w:r>
      <w:r w:rsidRPr="00C209B7">
        <w:t>in</w:t>
      </w:r>
      <w:r w:rsidR="00C64050">
        <w:t xml:space="preserve"> </w:t>
      </w:r>
      <w:r w:rsidRPr="00C209B7">
        <w:t>the</w:t>
      </w:r>
      <w:r w:rsidR="00C64050">
        <w:t xml:space="preserve"> </w:t>
      </w:r>
      <w:r w:rsidRPr="00C209B7">
        <w:t>trust</w:t>
      </w:r>
      <w:r w:rsidR="00C64050">
        <w:t xml:space="preserve"> </w:t>
      </w:r>
      <w:r w:rsidRPr="00C209B7">
        <w:t>instrument.</w:t>
      </w:r>
    </w:p>
    <w:p w:rsidR="008D344C" w:rsidRPr="00C209B7" w:rsidRDefault="008D344C" w:rsidP="008D344C">
      <w:pPr>
        <w:pStyle w:val="QS10"/>
      </w:pPr>
      <w:r w:rsidRPr="00C209B7">
        <w:t>In</w:t>
      </w:r>
      <w:r w:rsidR="00C64050">
        <w:t xml:space="preserve"> </w:t>
      </w:r>
      <w:r w:rsidRPr="00C209B7">
        <w:rPr>
          <w:u w:val="single"/>
        </w:rPr>
        <w:t>Crown</w:t>
      </w:r>
      <w:r w:rsidR="00C64050">
        <w:rPr>
          <w:u w:val="single"/>
        </w:rPr>
        <w:t xml:space="preserve"> </w:t>
      </w:r>
      <w:r w:rsidRPr="00C209B7">
        <w:rPr>
          <w:u w:val="single"/>
        </w:rPr>
        <w:t>Income</w:t>
      </w:r>
      <w:r w:rsidR="00C64050">
        <w:rPr>
          <w:u w:val="single"/>
        </w:rPr>
        <w:t xml:space="preserve"> </w:t>
      </w:r>
      <w:r w:rsidRPr="00C209B7">
        <w:rPr>
          <w:u w:val="single"/>
        </w:rPr>
        <w:t>Charitable</w:t>
      </w:r>
      <w:r w:rsidR="00C64050">
        <w:rPr>
          <w:u w:val="single"/>
        </w:rPr>
        <w:t xml:space="preserve"> </w:t>
      </w:r>
      <w:r w:rsidRPr="00C209B7">
        <w:rPr>
          <w:u w:val="single"/>
        </w:rPr>
        <w:t>Fund</w:t>
      </w:r>
      <w:r w:rsidR="00C64050">
        <w:rPr>
          <w:u w:val="single"/>
        </w:rPr>
        <w:t xml:space="preserve"> </w:t>
      </w:r>
      <w:r w:rsidRPr="00C209B7">
        <w:rPr>
          <w:u w:val="single"/>
        </w:rPr>
        <w:t>v.</w:t>
      </w:r>
      <w:r w:rsidR="00C64050">
        <w:rPr>
          <w:u w:val="single"/>
        </w:rPr>
        <w:t xml:space="preserve"> </w:t>
      </w:r>
      <w:r w:rsidRPr="00C209B7">
        <w:rPr>
          <w:u w:val="single"/>
        </w:rPr>
        <w:t>Commissioner</w:t>
      </w:r>
      <w:r w:rsidRPr="00C209B7">
        <w:t>,</w:t>
      </w:r>
      <w:r w:rsidR="00C64050">
        <w:t xml:space="preserve"> </w:t>
      </w:r>
      <w:r w:rsidRPr="00C209B7">
        <w:t>8</w:t>
      </w:r>
      <w:r w:rsidR="00C64050">
        <w:t xml:space="preserve"> </w:t>
      </w:r>
      <w:r w:rsidRPr="00C209B7">
        <w:t>F.3d</w:t>
      </w:r>
      <w:r w:rsidR="00C64050">
        <w:t xml:space="preserve"> </w:t>
      </w:r>
      <w:r w:rsidRPr="00C209B7">
        <w:t>571,</w:t>
      </w:r>
      <w:r w:rsidR="00C64050">
        <w:t xml:space="preserve"> </w:t>
      </w:r>
      <w:r w:rsidRPr="00C209B7">
        <w:t>573</w:t>
      </w:r>
      <w:r w:rsidR="00C64050">
        <w:t xml:space="preserve"> </w:t>
      </w:r>
      <w:r w:rsidRPr="00C209B7">
        <w:t>(7</w:t>
      </w:r>
      <w:r w:rsidRPr="00C209B7">
        <w:rPr>
          <w:sz w:val="16"/>
          <w:szCs w:val="16"/>
          <w:vertAlign w:val="superscript"/>
        </w:rPr>
        <w:t>th</w:t>
      </w:r>
      <w:r w:rsidR="00C64050">
        <w:t xml:space="preserve"> </w:t>
      </w:r>
      <w:r w:rsidRPr="00C209B7">
        <w:t>Cir.</w:t>
      </w:r>
      <w:r w:rsidR="00C64050">
        <w:t xml:space="preserve"> </w:t>
      </w:r>
      <w:r w:rsidRPr="00C209B7">
        <w:t>1993),</w:t>
      </w:r>
      <w:r w:rsidR="00C64050">
        <w:t xml:space="preserve"> </w:t>
      </w:r>
      <w:r w:rsidRPr="00C209B7">
        <w:rPr>
          <w:i/>
          <w:iCs/>
        </w:rPr>
        <w:t>aff'g</w:t>
      </w:r>
      <w:r w:rsidR="00C64050">
        <w:t xml:space="preserve"> </w:t>
      </w:r>
      <w:r w:rsidRPr="00C209B7">
        <w:t>98</w:t>
      </w:r>
      <w:r w:rsidR="00C64050">
        <w:t xml:space="preserve"> </w:t>
      </w:r>
      <w:r w:rsidRPr="00C209B7">
        <w:t>T.C.</w:t>
      </w:r>
      <w:r w:rsidR="00C64050">
        <w:t xml:space="preserve"> </w:t>
      </w:r>
      <w:r w:rsidRPr="00C209B7">
        <w:t>327</w:t>
      </w:r>
      <w:r w:rsidR="00C64050">
        <w:t xml:space="preserve"> </w:t>
      </w:r>
      <w:r w:rsidRPr="00C209B7">
        <w:t>(1992),</w:t>
      </w:r>
      <w:r w:rsidR="00C64050">
        <w:t xml:space="preserve"> </w:t>
      </w:r>
      <w:r w:rsidRPr="00C209B7">
        <w:t>the</w:t>
      </w:r>
      <w:r w:rsidR="00C64050">
        <w:t xml:space="preserve"> </w:t>
      </w:r>
      <w:r w:rsidRPr="00C209B7">
        <w:t>Seventh</w:t>
      </w:r>
      <w:r w:rsidR="00C64050">
        <w:t xml:space="preserve"> </w:t>
      </w:r>
      <w:r w:rsidRPr="00C209B7">
        <w:t>Circuit</w:t>
      </w:r>
      <w:r w:rsidR="00C64050">
        <w:t xml:space="preserve"> </w:t>
      </w:r>
      <w:r w:rsidRPr="00C209B7">
        <w:t>addressed</w:t>
      </w:r>
      <w:r w:rsidR="00C64050">
        <w:t xml:space="preserve"> </w:t>
      </w:r>
      <w:r w:rsidRPr="00C209B7">
        <w:t>the</w:t>
      </w:r>
      <w:r w:rsidR="00C64050">
        <w:t xml:space="preserve"> </w:t>
      </w:r>
      <w:r w:rsidRPr="00C209B7">
        <w:t>issue</w:t>
      </w:r>
      <w:r w:rsidR="00C64050">
        <w:t xml:space="preserve"> </w:t>
      </w:r>
      <w:r w:rsidRPr="00C209B7">
        <w:t>of</w:t>
      </w:r>
      <w:r w:rsidR="00C64050">
        <w:t xml:space="preserve"> </w:t>
      </w:r>
      <w:r w:rsidRPr="00C209B7">
        <w:t>commutation.</w:t>
      </w:r>
      <w:r w:rsidR="00C64050">
        <w:t xml:space="preserve"> </w:t>
      </w:r>
      <w:r w:rsidRPr="00C209B7">
        <w:t>The</w:t>
      </w:r>
      <w:r w:rsidR="00C64050">
        <w:t xml:space="preserve"> </w:t>
      </w:r>
      <w:r w:rsidRPr="00C209B7">
        <w:t>trust</w:t>
      </w:r>
      <w:r w:rsidR="00C64050">
        <w:t xml:space="preserve"> </w:t>
      </w:r>
      <w:r w:rsidRPr="00C209B7">
        <w:t>at</w:t>
      </w:r>
      <w:r w:rsidR="00C64050">
        <w:t xml:space="preserve"> </w:t>
      </w:r>
      <w:r w:rsidRPr="00C209B7">
        <w:t>issue</w:t>
      </w:r>
      <w:r w:rsidR="00C64050">
        <w:t xml:space="preserve"> </w:t>
      </w:r>
      <w:r w:rsidRPr="00C209B7">
        <w:t>in</w:t>
      </w:r>
      <w:r w:rsidR="00C64050">
        <w:t xml:space="preserve"> </w:t>
      </w:r>
      <w:r w:rsidRPr="00C209B7">
        <w:rPr>
          <w:u w:val="single"/>
        </w:rPr>
        <w:t>Crown</w:t>
      </w:r>
      <w:r w:rsidR="00C64050">
        <w:t xml:space="preserve"> </w:t>
      </w:r>
      <w:r w:rsidRPr="00C209B7">
        <w:t>contained</w:t>
      </w:r>
      <w:r w:rsidR="00C64050">
        <w:t xml:space="preserve"> </w:t>
      </w:r>
      <w:r w:rsidRPr="00C209B7">
        <w:t>a</w:t>
      </w:r>
      <w:r w:rsidR="00C64050">
        <w:t xml:space="preserve"> </w:t>
      </w:r>
      <w:r w:rsidRPr="00C209B7">
        <w:t>provision</w:t>
      </w:r>
      <w:r w:rsidR="00C64050">
        <w:t xml:space="preserve"> </w:t>
      </w:r>
      <w:r w:rsidRPr="00C209B7">
        <w:t>permitting</w:t>
      </w:r>
      <w:r w:rsidR="00C64050">
        <w:t xml:space="preserve"> </w:t>
      </w:r>
      <w:r w:rsidRPr="00C209B7">
        <w:t>the</w:t>
      </w:r>
      <w:r w:rsidR="00C64050">
        <w:t xml:space="preserve"> </w:t>
      </w:r>
      <w:r w:rsidRPr="00C209B7">
        <w:t>trustees</w:t>
      </w:r>
      <w:r w:rsidR="00C64050">
        <w:t xml:space="preserve"> </w:t>
      </w:r>
      <w:r w:rsidRPr="00C209B7">
        <w:t>to</w:t>
      </w:r>
      <w:r w:rsidR="00C64050">
        <w:t xml:space="preserve"> </w:t>
      </w:r>
      <w:r w:rsidRPr="00C209B7">
        <w:t>commute</w:t>
      </w:r>
      <w:r w:rsidR="00C64050">
        <w:t xml:space="preserve"> </w:t>
      </w:r>
      <w:r w:rsidRPr="00C209B7">
        <w:t>the</w:t>
      </w:r>
      <w:r w:rsidR="00C64050">
        <w:t xml:space="preserve"> </w:t>
      </w:r>
      <w:r w:rsidRPr="00C209B7">
        <w:t>charitable</w:t>
      </w:r>
      <w:r w:rsidR="00C64050">
        <w:t xml:space="preserve"> </w:t>
      </w:r>
      <w:r w:rsidRPr="00C209B7">
        <w:t>interest</w:t>
      </w:r>
      <w:r w:rsidR="00C64050">
        <w:t xml:space="preserve"> </w:t>
      </w:r>
      <w:r w:rsidRPr="00C209B7">
        <w:t>only</w:t>
      </w:r>
      <w:r w:rsidR="00C64050">
        <w:t xml:space="preserve"> </w:t>
      </w:r>
      <w:r w:rsidRPr="00C209B7">
        <w:t>if,</w:t>
      </w:r>
      <w:r w:rsidR="00C64050">
        <w:t xml:space="preserve"> </w:t>
      </w:r>
      <w:r w:rsidRPr="00C209B7">
        <w:t>as</w:t>
      </w:r>
      <w:r w:rsidR="00C64050">
        <w:t xml:space="preserve"> </w:t>
      </w:r>
      <w:r w:rsidRPr="00C209B7">
        <w:t>a</w:t>
      </w:r>
      <w:r w:rsidR="00C64050">
        <w:t xml:space="preserve"> </w:t>
      </w:r>
      <w:r w:rsidRPr="00C209B7">
        <w:t>matter</w:t>
      </w:r>
      <w:r w:rsidR="00C64050">
        <w:t xml:space="preserve"> </w:t>
      </w:r>
      <w:r w:rsidRPr="00C209B7">
        <w:t>of</w:t>
      </w:r>
      <w:r w:rsidR="00C64050">
        <w:t xml:space="preserve"> </w:t>
      </w:r>
      <w:r w:rsidRPr="00C209B7">
        <w:t>law,</w:t>
      </w:r>
      <w:r w:rsidR="00C64050">
        <w:t xml:space="preserve"> </w:t>
      </w:r>
      <w:r w:rsidRPr="00C209B7">
        <w:t>it</w:t>
      </w:r>
      <w:r w:rsidR="00C64050">
        <w:t xml:space="preserve"> </w:t>
      </w:r>
      <w:r w:rsidRPr="00C209B7">
        <w:t>was</w:t>
      </w:r>
      <w:r w:rsidR="00C64050">
        <w:t xml:space="preserve"> </w:t>
      </w:r>
      <w:r w:rsidRPr="00C209B7">
        <w:t>clear</w:t>
      </w:r>
      <w:r w:rsidR="00C64050">
        <w:t xml:space="preserve"> </w:t>
      </w:r>
      <w:r w:rsidRPr="00C209B7">
        <w:t>that</w:t>
      </w:r>
      <w:r w:rsidR="00C64050">
        <w:t xml:space="preserve"> </w:t>
      </w:r>
      <w:r w:rsidRPr="00C209B7">
        <w:t>doing</w:t>
      </w:r>
      <w:r w:rsidR="00C64050">
        <w:t xml:space="preserve"> </w:t>
      </w:r>
      <w:r w:rsidRPr="00C209B7">
        <w:t>so</w:t>
      </w:r>
      <w:r w:rsidR="00C64050">
        <w:t xml:space="preserve"> </w:t>
      </w:r>
      <w:r w:rsidRPr="00C209B7">
        <w:t>would</w:t>
      </w:r>
      <w:r w:rsidR="00C64050">
        <w:t xml:space="preserve"> </w:t>
      </w:r>
      <w:r w:rsidRPr="00C209B7">
        <w:t>not</w:t>
      </w:r>
      <w:r w:rsidR="00C64050">
        <w:t xml:space="preserve"> </w:t>
      </w:r>
      <w:r w:rsidRPr="00C209B7">
        <w:t>adversely</w:t>
      </w:r>
      <w:r w:rsidR="00C64050">
        <w:t xml:space="preserve"> </w:t>
      </w:r>
      <w:r w:rsidRPr="00C209B7">
        <w:t>affect</w:t>
      </w:r>
      <w:r w:rsidR="00C64050">
        <w:t xml:space="preserve"> </w:t>
      </w:r>
      <w:r w:rsidRPr="00C209B7">
        <w:t>the</w:t>
      </w:r>
      <w:r w:rsidR="00C64050">
        <w:t xml:space="preserve"> </w:t>
      </w:r>
      <w:r w:rsidRPr="00C209B7">
        <w:t>maximum</w:t>
      </w:r>
      <w:r w:rsidR="00C64050">
        <w:t xml:space="preserve"> </w:t>
      </w:r>
      <w:r w:rsidRPr="00C209B7">
        <w:t>charitable</w:t>
      </w:r>
      <w:r w:rsidR="00C64050">
        <w:t xml:space="preserve"> </w:t>
      </w:r>
      <w:r w:rsidRPr="00C209B7">
        <w:t>deduction</w:t>
      </w:r>
      <w:r w:rsidR="00C64050">
        <w:t xml:space="preserve"> </w:t>
      </w:r>
      <w:r w:rsidRPr="00C209B7">
        <w:t>otherwise</w:t>
      </w:r>
      <w:r w:rsidR="00C64050">
        <w:t xml:space="preserve"> </w:t>
      </w:r>
      <w:r w:rsidRPr="00C209B7">
        <w:t>available.</w:t>
      </w:r>
      <w:r w:rsidR="00C64050">
        <w:t xml:space="preserve"> </w:t>
      </w:r>
      <w:r w:rsidRPr="00C209B7">
        <w:t>The</w:t>
      </w:r>
      <w:r w:rsidR="00C64050">
        <w:t xml:space="preserve"> </w:t>
      </w:r>
      <w:r w:rsidRPr="00C209B7">
        <w:t>trustees</w:t>
      </w:r>
      <w:r w:rsidR="00C64050">
        <w:t xml:space="preserve"> </w:t>
      </w:r>
      <w:r w:rsidRPr="00C209B7">
        <w:t>of</w:t>
      </w:r>
      <w:r w:rsidR="00C64050">
        <w:t xml:space="preserve"> </w:t>
      </w:r>
      <w:r w:rsidRPr="00C209B7">
        <w:t>the</w:t>
      </w:r>
      <w:r w:rsidR="00C64050">
        <w:t xml:space="preserve"> </w:t>
      </w:r>
      <w:r w:rsidRPr="00C209B7">
        <w:t>Crown</w:t>
      </w:r>
      <w:r w:rsidR="00C64050">
        <w:t xml:space="preserve"> </w:t>
      </w:r>
      <w:r w:rsidRPr="00C209B7">
        <w:t>Income</w:t>
      </w:r>
      <w:r w:rsidR="00C64050">
        <w:t xml:space="preserve"> </w:t>
      </w:r>
      <w:r w:rsidRPr="00C209B7">
        <w:t>Charitable</w:t>
      </w:r>
      <w:r w:rsidR="00C64050">
        <w:t xml:space="preserve"> </w:t>
      </w:r>
      <w:r w:rsidRPr="00C209B7">
        <w:t>Fund</w:t>
      </w:r>
      <w:r w:rsidR="00C64050">
        <w:t xml:space="preserve"> </w:t>
      </w:r>
      <w:r w:rsidRPr="00C209B7">
        <w:t>distributed</w:t>
      </w:r>
      <w:r w:rsidR="00C64050">
        <w:t xml:space="preserve"> </w:t>
      </w:r>
      <w:r w:rsidRPr="00C209B7">
        <w:t>trust</w:t>
      </w:r>
      <w:r w:rsidR="00C64050">
        <w:t xml:space="preserve"> </w:t>
      </w:r>
      <w:r w:rsidRPr="00C209B7">
        <w:t>assets</w:t>
      </w:r>
      <w:r w:rsidR="00C64050">
        <w:t xml:space="preserve"> </w:t>
      </w:r>
      <w:r w:rsidRPr="00C209B7">
        <w:t>in</w:t>
      </w:r>
      <w:r w:rsidR="00C64050">
        <w:t xml:space="preserve"> </w:t>
      </w:r>
      <w:r w:rsidRPr="00C209B7">
        <w:t>excess</w:t>
      </w:r>
      <w:r w:rsidR="00C64050">
        <w:t xml:space="preserve"> </w:t>
      </w:r>
      <w:r w:rsidRPr="00C209B7">
        <w:t>of</w:t>
      </w:r>
      <w:r w:rsidR="00C64050">
        <w:t xml:space="preserve"> </w:t>
      </w:r>
      <w:r w:rsidRPr="00C209B7">
        <w:t>the</w:t>
      </w:r>
      <w:r w:rsidR="00C64050">
        <w:t xml:space="preserve"> </w:t>
      </w:r>
      <w:r w:rsidRPr="00C209B7">
        <w:t>annuity</w:t>
      </w:r>
      <w:r w:rsidR="00C64050">
        <w:t xml:space="preserve"> </w:t>
      </w:r>
      <w:r w:rsidRPr="00C209B7">
        <w:t>amount</w:t>
      </w:r>
      <w:r w:rsidR="00C64050">
        <w:t xml:space="preserve"> </w:t>
      </w:r>
      <w:r w:rsidRPr="00C209B7">
        <w:t>to</w:t>
      </w:r>
      <w:r w:rsidR="00C64050">
        <w:t xml:space="preserve"> </w:t>
      </w:r>
      <w:r w:rsidRPr="00C209B7">
        <w:t>the</w:t>
      </w:r>
      <w:r w:rsidR="00C64050">
        <w:t xml:space="preserve"> </w:t>
      </w:r>
      <w:r w:rsidRPr="00C209B7">
        <w:t>charitable</w:t>
      </w:r>
      <w:r w:rsidR="00C64050">
        <w:t xml:space="preserve"> </w:t>
      </w:r>
      <w:r w:rsidRPr="00C209B7">
        <w:t>beneficiary</w:t>
      </w:r>
      <w:r w:rsidR="00C64050">
        <w:t xml:space="preserve"> </w:t>
      </w:r>
      <w:r w:rsidRPr="00C209B7">
        <w:t>over</w:t>
      </w:r>
      <w:r w:rsidR="00C64050">
        <w:t xml:space="preserve"> </w:t>
      </w:r>
      <w:r w:rsidRPr="00C209B7">
        <w:t>a</w:t>
      </w:r>
      <w:r w:rsidR="00C64050">
        <w:t xml:space="preserve"> </w:t>
      </w:r>
      <w:r w:rsidRPr="00C209B7">
        <w:t>number</w:t>
      </w:r>
      <w:r w:rsidR="00C64050">
        <w:t xml:space="preserve"> </w:t>
      </w:r>
      <w:r w:rsidRPr="00C209B7">
        <w:t>of</w:t>
      </w:r>
      <w:r w:rsidR="00C64050">
        <w:t xml:space="preserve"> </w:t>
      </w:r>
      <w:r w:rsidRPr="00C209B7">
        <w:t>years</w:t>
      </w:r>
      <w:r w:rsidR="00C64050">
        <w:t xml:space="preserve"> </w:t>
      </w:r>
      <w:r w:rsidRPr="00C209B7">
        <w:t>and</w:t>
      </w:r>
      <w:r w:rsidR="00C64050">
        <w:t xml:space="preserve"> </w:t>
      </w:r>
      <w:r w:rsidRPr="00C209B7">
        <w:t>deducted,</w:t>
      </w:r>
      <w:r w:rsidR="00C64050">
        <w:t xml:space="preserve"> </w:t>
      </w:r>
      <w:r w:rsidRPr="00C209B7">
        <w:t>under</w:t>
      </w:r>
      <w:r w:rsidR="00C64050">
        <w:t xml:space="preserve"> </w:t>
      </w:r>
      <w:r w:rsidRPr="00C209B7">
        <w:t>§</w:t>
      </w:r>
      <w:r w:rsidR="00C64050">
        <w:t xml:space="preserve"> </w:t>
      </w:r>
      <w:r w:rsidRPr="00C209B7">
        <w:t>642(c),</w:t>
      </w:r>
      <w:r w:rsidR="00C64050">
        <w:t xml:space="preserve"> </w:t>
      </w:r>
      <w:r w:rsidRPr="00C209B7">
        <w:t>the</w:t>
      </w:r>
      <w:r w:rsidR="00C64050">
        <w:t xml:space="preserve"> </w:t>
      </w:r>
      <w:r w:rsidRPr="00C209B7">
        <w:t>full</w:t>
      </w:r>
      <w:r w:rsidR="00C64050">
        <w:t xml:space="preserve"> </w:t>
      </w:r>
      <w:r w:rsidRPr="00C209B7">
        <w:t>amount</w:t>
      </w:r>
      <w:r w:rsidR="00C64050">
        <w:t xml:space="preserve"> </w:t>
      </w:r>
      <w:r w:rsidRPr="00C209B7">
        <w:t>distributed</w:t>
      </w:r>
      <w:r w:rsidR="00C64050">
        <w:t xml:space="preserve"> </w:t>
      </w:r>
      <w:r w:rsidRPr="00C209B7">
        <w:t>to</w:t>
      </w:r>
      <w:r w:rsidR="00C64050">
        <w:t xml:space="preserve"> </w:t>
      </w:r>
      <w:r w:rsidRPr="00C209B7">
        <w:t>the</w:t>
      </w:r>
      <w:r w:rsidR="00C64050">
        <w:t xml:space="preserve"> </w:t>
      </w:r>
      <w:r w:rsidRPr="00C209B7">
        <w:t>charitable</w:t>
      </w:r>
      <w:r w:rsidR="00C64050">
        <w:t xml:space="preserve"> </w:t>
      </w:r>
      <w:r w:rsidRPr="00C209B7">
        <w:t>beneficiaries.</w:t>
      </w:r>
      <w:r w:rsidR="00C64050">
        <w:t xml:space="preserve"> </w:t>
      </w:r>
      <w:r w:rsidRPr="00C209B7">
        <w:t>Both</w:t>
      </w:r>
      <w:r w:rsidR="00C64050">
        <w:t xml:space="preserve"> </w:t>
      </w:r>
      <w:r w:rsidRPr="00C209B7">
        <w:t>the</w:t>
      </w:r>
      <w:r w:rsidR="00C64050">
        <w:t xml:space="preserve"> </w:t>
      </w:r>
      <w:r w:rsidRPr="00C209B7">
        <w:t>Seventh</w:t>
      </w:r>
      <w:r w:rsidR="00C64050">
        <w:t xml:space="preserve"> </w:t>
      </w:r>
      <w:r w:rsidRPr="00C209B7">
        <w:t>Circuit</w:t>
      </w:r>
      <w:r w:rsidR="00C64050">
        <w:t xml:space="preserve"> </w:t>
      </w:r>
      <w:r w:rsidRPr="00C209B7">
        <w:t>and</w:t>
      </w:r>
      <w:r w:rsidR="00C64050">
        <w:t xml:space="preserve"> </w:t>
      </w:r>
      <w:r w:rsidRPr="00C209B7">
        <w:t>the</w:t>
      </w:r>
      <w:r w:rsidR="00C64050">
        <w:t xml:space="preserve"> </w:t>
      </w:r>
      <w:r w:rsidRPr="00C209B7">
        <w:t>Tax</w:t>
      </w:r>
      <w:r w:rsidR="00C64050">
        <w:t xml:space="preserve"> </w:t>
      </w:r>
      <w:r w:rsidRPr="00C209B7">
        <w:t>Court</w:t>
      </w:r>
      <w:r w:rsidR="00C64050">
        <w:t xml:space="preserve"> </w:t>
      </w:r>
      <w:r w:rsidRPr="00C209B7">
        <w:t>held</w:t>
      </w:r>
      <w:r w:rsidR="00C64050">
        <w:t xml:space="preserve"> </w:t>
      </w:r>
      <w:r w:rsidRPr="00C209B7">
        <w:t>that</w:t>
      </w:r>
      <w:r w:rsidR="00C64050">
        <w:t xml:space="preserve"> </w:t>
      </w:r>
      <w:r w:rsidRPr="00C209B7">
        <w:t>the</w:t>
      </w:r>
      <w:r w:rsidR="00C64050">
        <w:t xml:space="preserve"> </w:t>
      </w:r>
      <w:r w:rsidRPr="00C209B7">
        <w:t>excess</w:t>
      </w:r>
      <w:r w:rsidR="00C64050">
        <w:t xml:space="preserve"> </w:t>
      </w:r>
      <w:r w:rsidRPr="00C209B7">
        <w:t>distributions</w:t>
      </w:r>
      <w:r w:rsidR="00C64050">
        <w:t xml:space="preserve"> </w:t>
      </w:r>
      <w:r w:rsidRPr="00C209B7">
        <w:t>were</w:t>
      </w:r>
      <w:r w:rsidR="00C64050">
        <w:t xml:space="preserve"> </w:t>
      </w:r>
      <w:r w:rsidRPr="00C209B7">
        <w:t>not</w:t>
      </w:r>
      <w:r w:rsidR="00C64050">
        <w:t xml:space="preserve"> </w:t>
      </w:r>
      <w:r w:rsidRPr="00C209B7">
        <w:t>deductible</w:t>
      </w:r>
      <w:r w:rsidR="00C64050">
        <w:t xml:space="preserve"> </w:t>
      </w:r>
      <w:r w:rsidRPr="00C209B7">
        <w:t>under</w:t>
      </w:r>
      <w:r w:rsidR="00C64050">
        <w:t xml:space="preserve"> </w:t>
      </w:r>
      <w:r w:rsidRPr="00C209B7">
        <w:t>§</w:t>
      </w:r>
      <w:r w:rsidR="00C64050">
        <w:t xml:space="preserve"> </w:t>
      </w:r>
      <w:r w:rsidRPr="00C209B7">
        <w:t>642(c)</w:t>
      </w:r>
      <w:r w:rsidR="00C64050">
        <w:t xml:space="preserve"> </w:t>
      </w:r>
      <w:r w:rsidRPr="00C209B7">
        <w:t>because</w:t>
      </w:r>
      <w:r w:rsidR="00C64050">
        <w:t xml:space="preserve"> </w:t>
      </w:r>
      <w:r w:rsidRPr="00C209B7">
        <w:t>those</w:t>
      </w:r>
      <w:r w:rsidR="00C64050">
        <w:t xml:space="preserve"> </w:t>
      </w:r>
      <w:r w:rsidRPr="00C209B7">
        <w:t>instruments</w:t>
      </w:r>
      <w:r w:rsidR="00C64050">
        <w:t xml:space="preserve"> </w:t>
      </w:r>
      <w:r w:rsidRPr="00C209B7">
        <w:t>were</w:t>
      </w:r>
      <w:r w:rsidR="00C64050">
        <w:t xml:space="preserve"> </w:t>
      </w:r>
      <w:r w:rsidRPr="00C209B7">
        <w:t>not</w:t>
      </w:r>
      <w:r w:rsidR="00C64050">
        <w:t xml:space="preserve"> </w:t>
      </w:r>
      <w:r w:rsidRPr="00C209B7">
        <w:t>made</w:t>
      </w:r>
      <w:r w:rsidR="00C64050">
        <w:t xml:space="preserve"> </w:t>
      </w:r>
      <w:r w:rsidRPr="00C209B7">
        <w:t>pursuant</w:t>
      </w:r>
      <w:r w:rsidR="00C64050">
        <w:t xml:space="preserve"> </w:t>
      </w:r>
      <w:r w:rsidRPr="00C209B7">
        <w:t>to</w:t>
      </w:r>
      <w:r w:rsidR="00C64050">
        <w:t xml:space="preserve"> </w:t>
      </w:r>
      <w:r w:rsidRPr="00C209B7">
        <w:t>the</w:t>
      </w:r>
      <w:r w:rsidR="00C64050">
        <w:t xml:space="preserve"> </w:t>
      </w:r>
      <w:r w:rsidRPr="00C209B7">
        <w:t>terms</w:t>
      </w:r>
      <w:r w:rsidR="00C64050">
        <w:t xml:space="preserve"> </w:t>
      </w:r>
      <w:r w:rsidRPr="00C209B7">
        <w:t>of</w:t>
      </w:r>
      <w:r w:rsidR="00C64050">
        <w:t xml:space="preserve"> </w:t>
      </w:r>
      <w:r w:rsidRPr="00C209B7">
        <w:t>the</w:t>
      </w:r>
      <w:r w:rsidR="00C64050">
        <w:t xml:space="preserve"> </w:t>
      </w:r>
      <w:r w:rsidRPr="00C209B7">
        <w:t>governing</w:t>
      </w:r>
      <w:r w:rsidR="00C64050">
        <w:t xml:space="preserve"> </w:t>
      </w:r>
      <w:r w:rsidRPr="00C209B7">
        <w:t>instrument.</w:t>
      </w:r>
    </w:p>
    <w:p w:rsidR="008D344C" w:rsidRPr="00C209B7" w:rsidRDefault="008D344C" w:rsidP="008D344C">
      <w:pPr>
        <w:pStyle w:val="QS10"/>
      </w:pPr>
      <w:r w:rsidRPr="00C209B7">
        <w:t>In</w:t>
      </w:r>
      <w:r w:rsidR="00C64050">
        <w:t xml:space="preserve"> </w:t>
      </w:r>
      <w:r w:rsidRPr="00C209B7">
        <w:rPr>
          <w:u w:val="single"/>
        </w:rPr>
        <w:t>Brownstone</w:t>
      </w:r>
      <w:r w:rsidR="00C64050">
        <w:rPr>
          <w:u w:val="single"/>
        </w:rPr>
        <w:t xml:space="preserve"> </w:t>
      </w:r>
      <w:r w:rsidRPr="00C209B7">
        <w:rPr>
          <w:u w:val="single"/>
        </w:rPr>
        <w:t>v.</w:t>
      </w:r>
      <w:r w:rsidR="00C64050">
        <w:rPr>
          <w:u w:val="single"/>
        </w:rPr>
        <w:t xml:space="preserve"> </w:t>
      </w:r>
      <w:r w:rsidRPr="00C209B7">
        <w:rPr>
          <w:u w:val="single"/>
        </w:rPr>
        <w:t>United</w:t>
      </w:r>
      <w:r w:rsidR="00C64050">
        <w:rPr>
          <w:u w:val="single"/>
        </w:rPr>
        <w:t xml:space="preserve"> </w:t>
      </w:r>
      <w:r w:rsidRPr="00C209B7">
        <w:rPr>
          <w:u w:val="single"/>
        </w:rPr>
        <w:t>States</w:t>
      </w:r>
      <w:r w:rsidRPr="00C209B7">
        <w:t>,</w:t>
      </w:r>
      <w:r w:rsidR="00C64050">
        <w:t xml:space="preserve"> </w:t>
      </w:r>
      <w:r w:rsidRPr="00C209B7">
        <w:t>465</w:t>
      </w:r>
      <w:r w:rsidR="00C64050">
        <w:t xml:space="preserve"> </w:t>
      </w:r>
      <w:r w:rsidRPr="00C209B7">
        <w:t>F.3d</w:t>
      </w:r>
      <w:r w:rsidR="00C64050">
        <w:t xml:space="preserve"> </w:t>
      </w:r>
      <w:r w:rsidRPr="00C209B7">
        <w:t>525</w:t>
      </w:r>
      <w:r w:rsidR="00C64050">
        <w:t xml:space="preserve"> </w:t>
      </w:r>
      <w:r w:rsidRPr="00C209B7">
        <w:t>(2</w:t>
      </w:r>
      <w:r w:rsidRPr="00C209B7">
        <w:rPr>
          <w:sz w:val="16"/>
          <w:szCs w:val="16"/>
          <w:vertAlign w:val="superscript"/>
        </w:rPr>
        <w:t>nd</w:t>
      </w:r>
      <w:r w:rsidR="00C64050">
        <w:t xml:space="preserve"> </w:t>
      </w:r>
      <w:r w:rsidRPr="00C209B7">
        <w:t>Cir.</w:t>
      </w:r>
      <w:r w:rsidR="00C64050">
        <w:t xml:space="preserve"> </w:t>
      </w:r>
      <w:r w:rsidRPr="00C209B7">
        <w:t>2006),</w:t>
      </w:r>
      <w:r w:rsidR="00C64050">
        <w:t xml:space="preserve"> </w:t>
      </w:r>
      <w:r w:rsidRPr="00C209B7">
        <w:t>a</w:t>
      </w:r>
      <w:r w:rsidR="00C64050">
        <w:t xml:space="preserve"> </w:t>
      </w:r>
      <w:r w:rsidRPr="00C209B7">
        <w:t>deceased</w:t>
      </w:r>
      <w:r w:rsidR="00C64050">
        <w:t xml:space="preserve"> </w:t>
      </w:r>
      <w:r w:rsidRPr="00C209B7">
        <w:t>husband's</w:t>
      </w:r>
      <w:r w:rsidR="00C64050">
        <w:t xml:space="preserve"> </w:t>
      </w:r>
      <w:r w:rsidRPr="00C209B7">
        <w:t>will</w:t>
      </w:r>
      <w:r w:rsidR="00C64050">
        <w:t xml:space="preserve"> </w:t>
      </w:r>
      <w:r w:rsidRPr="00C209B7">
        <w:t>created</w:t>
      </w:r>
      <w:r w:rsidR="00C64050">
        <w:t xml:space="preserve"> </w:t>
      </w:r>
      <w:r w:rsidRPr="00C209B7">
        <w:t>a</w:t>
      </w:r>
      <w:r w:rsidR="00C64050">
        <w:t xml:space="preserve"> </w:t>
      </w:r>
      <w:r w:rsidRPr="00C209B7">
        <w:t>marital</w:t>
      </w:r>
      <w:r w:rsidR="00C64050">
        <w:t xml:space="preserve"> </w:t>
      </w:r>
      <w:r w:rsidRPr="00C209B7">
        <w:t>deduction</w:t>
      </w:r>
      <w:r w:rsidR="00C64050">
        <w:t xml:space="preserve"> </w:t>
      </w:r>
      <w:r w:rsidRPr="00C209B7">
        <w:t>trust,</w:t>
      </w:r>
      <w:r w:rsidR="00C64050">
        <w:t xml:space="preserve"> </w:t>
      </w:r>
      <w:r w:rsidRPr="00C209B7">
        <w:t>which</w:t>
      </w:r>
      <w:r w:rsidR="00C64050">
        <w:t xml:space="preserve"> </w:t>
      </w:r>
      <w:r w:rsidRPr="00C209B7">
        <w:t>granted</w:t>
      </w:r>
      <w:r w:rsidR="00C64050">
        <w:t xml:space="preserve"> </w:t>
      </w:r>
      <w:r w:rsidRPr="00C209B7">
        <w:t>the</w:t>
      </w:r>
      <w:r w:rsidR="00C64050">
        <w:t xml:space="preserve"> </w:t>
      </w:r>
      <w:r w:rsidRPr="00C209B7">
        <w:t>husband's</w:t>
      </w:r>
      <w:r w:rsidR="00C64050">
        <w:t xml:space="preserve"> </w:t>
      </w:r>
      <w:r w:rsidRPr="00C209B7">
        <w:t>surviving</w:t>
      </w:r>
      <w:r w:rsidR="00C64050">
        <w:t xml:space="preserve"> </w:t>
      </w:r>
      <w:r w:rsidRPr="00C209B7">
        <w:t>wife</w:t>
      </w:r>
      <w:r w:rsidR="00C64050">
        <w:t xml:space="preserve"> </w:t>
      </w:r>
      <w:r w:rsidRPr="00C209B7">
        <w:t>a</w:t>
      </w:r>
      <w:r w:rsidR="00C64050">
        <w:t xml:space="preserve"> </w:t>
      </w:r>
      <w:r w:rsidRPr="00C209B7">
        <w:t>general</w:t>
      </w:r>
      <w:r w:rsidR="00C64050">
        <w:t xml:space="preserve"> </w:t>
      </w:r>
      <w:r w:rsidRPr="00C209B7">
        <w:t>testamentary</w:t>
      </w:r>
      <w:r w:rsidR="00C64050">
        <w:t xml:space="preserve"> </w:t>
      </w:r>
      <w:r w:rsidRPr="00C209B7">
        <w:t>power</w:t>
      </w:r>
      <w:r w:rsidR="00C64050">
        <w:t xml:space="preserve"> </w:t>
      </w:r>
      <w:r w:rsidRPr="00C209B7">
        <w:t>of</w:t>
      </w:r>
      <w:r w:rsidR="00C64050">
        <w:t xml:space="preserve"> </w:t>
      </w:r>
      <w:r w:rsidRPr="00C209B7">
        <w:t>appointment.</w:t>
      </w:r>
      <w:r w:rsidR="00C64050">
        <w:t xml:space="preserve"> </w:t>
      </w:r>
      <w:r w:rsidRPr="00C209B7">
        <w:t>When</w:t>
      </w:r>
      <w:r w:rsidR="00C64050">
        <w:t xml:space="preserve"> </w:t>
      </w:r>
      <w:r w:rsidRPr="00C209B7">
        <w:t>the</w:t>
      </w:r>
      <w:r w:rsidR="00C64050">
        <w:t xml:space="preserve"> </w:t>
      </w:r>
      <w:r w:rsidRPr="00C209B7">
        <w:t>wife</w:t>
      </w:r>
      <w:r w:rsidR="00C64050">
        <w:t xml:space="preserve"> </w:t>
      </w:r>
      <w:r w:rsidRPr="00C209B7">
        <w:t>died,</w:t>
      </w:r>
      <w:r w:rsidR="00C64050">
        <w:t xml:space="preserve"> </w:t>
      </w:r>
      <w:r w:rsidRPr="00C209B7">
        <w:t>she</w:t>
      </w:r>
      <w:r w:rsidR="00C64050">
        <w:t xml:space="preserve"> </w:t>
      </w:r>
      <w:r w:rsidRPr="00C209B7">
        <w:t>exercised</w:t>
      </w:r>
      <w:r w:rsidR="00C64050">
        <w:t xml:space="preserve"> </w:t>
      </w:r>
      <w:r w:rsidRPr="00C209B7">
        <w:t>her</w:t>
      </w:r>
      <w:r w:rsidR="00C64050">
        <w:t xml:space="preserve"> </w:t>
      </w:r>
      <w:r w:rsidRPr="00C209B7">
        <w:t>power</w:t>
      </w:r>
      <w:r w:rsidR="00C64050">
        <w:t xml:space="preserve"> </w:t>
      </w:r>
      <w:r w:rsidRPr="00C209B7">
        <w:t>in</w:t>
      </w:r>
      <w:r w:rsidR="00C64050">
        <w:t xml:space="preserve"> </w:t>
      </w:r>
      <w:r w:rsidRPr="00C209B7">
        <w:t>favor</w:t>
      </w:r>
      <w:r w:rsidR="00C64050">
        <w:t xml:space="preserve"> </w:t>
      </w:r>
      <w:r w:rsidRPr="00C209B7">
        <w:t>of</w:t>
      </w:r>
      <w:r w:rsidR="00C64050">
        <w:t xml:space="preserve"> </w:t>
      </w:r>
      <w:r w:rsidRPr="00C209B7">
        <w:t>her</w:t>
      </w:r>
      <w:r w:rsidR="00C64050">
        <w:t xml:space="preserve"> </w:t>
      </w:r>
      <w:r w:rsidRPr="00C209B7">
        <w:t>estate,</w:t>
      </w:r>
      <w:r w:rsidR="00C64050">
        <w:t xml:space="preserve"> </w:t>
      </w:r>
      <w:r w:rsidRPr="00C209B7">
        <w:t>the</w:t>
      </w:r>
      <w:r w:rsidR="00C64050">
        <w:t xml:space="preserve"> </w:t>
      </w:r>
      <w:r w:rsidRPr="00C209B7">
        <w:t>residue</w:t>
      </w:r>
      <w:r w:rsidR="00C64050">
        <w:t xml:space="preserve"> </w:t>
      </w:r>
      <w:r w:rsidRPr="00C209B7">
        <w:t>of</w:t>
      </w:r>
      <w:r w:rsidR="00C64050">
        <w:t xml:space="preserve"> </w:t>
      </w:r>
      <w:r w:rsidRPr="00C209B7">
        <w:t>which</w:t>
      </w:r>
      <w:r w:rsidR="00C64050">
        <w:t xml:space="preserve"> </w:t>
      </w:r>
      <w:r w:rsidRPr="00C209B7">
        <w:t>passed</w:t>
      </w:r>
      <w:r w:rsidR="00C64050">
        <w:t xml:space="preserve"> </w:t>
      </w:r>
      <w:r w:rsidRPr="00C209B7">
        <w:t>to</w:t>
      </w:r>
      <w:r w:rsidR="00C64050">
        <w:t xml:space="preserve"> </w:t>
      </w:r>
      <w:r w:rsidRPr="00C209B7">
        <w:t>charitable</w:t>
      </w:r>
      <w:r w:rsidR="00C64050">
        <w:t xml:space="preserve"> </w:t>
      </w:r>
      <w:r w:rsidRPr="00C209B7">
        <w:t>organizations.</w:t>
      </w:r>
      <w:r w:rsidR="00C64050">
        <w:t xml:space="preserve"> </w:t>
      </w:r>
      <w:r w:rsidRPr="00C209B7">
        <w:t>The</w:t>
      </w:r>
      <w:r w:rsidR="00C64050">
        <w:t xml:space="preserve"> </w:t>
      </w:r>
      <w:r w:rsidRPr="00C209B7">
        <w:t>trustee</w:t>
      </w:r>
      <w:r w:rsidR="00C64050">
        <w:t xml:space="preserve"> </w:t>
      </w:r>
      <w:r w:rsidRPr="00C209B7">
        <w:t>of</w:t>
      </w:r>
      <w:r w:rsidR="00C64050">
        <w:t xml:space="preserve"> </w:t>
      </w:r>
      <w:r w:rsidRPr="00C209B7">
        <w:t>the</w:t>
      </w:r>
      <w:r w:rsidR="00C64050">
        <w:t xml:space="preserve"> </w:t>
      </w:r>
      <w:r w:rsidRPr="00C209B7">
        <w:t>marital</w:t>
      </w:r>
      <w:r w:rsidR="00C64050">
        <w:t xml:space="preserve"> </w:t>
      </w:r>
      <w:r w:rsidRPr="00C209B7">
        <w:t>deduction</w:t>
      </w:r>
      <w:r w:rsidR="00C64050">
        <w:t xml:space="preserve"> </w:t>
      </w:r>
      <w:r w:rsidRPr="00C209B7">
        <w:t>trust</w:t>
      </w:r>
      <w:r w:rsidR="00C64050">
        <w:t xml:space="preserve"> </w:t>
      </w:r>
      <w:r w:rsidRPr="00C209B7">
        <w:t>distributed</w:t>
      </w:r>
      <w:r w:rsidR="00C64050">
        <w:t xml:space="preserve"> </w:t>
      </w:r>
      <w:r w:rsidRPr="00C209B7">
        <w:t>$1</w:t>
      </w:r>
      <w:r w:rsidR="00C64050">
        <w:t xml:space="preserve"> </w:t>
      </w:r>
      <w:r w:rsidRPr="00C209B7">
        <w:t>million</w:t>
      </w:r>
      <w:r w:rsidR="00C64050">
        <w:t xml:space="preserve"> </w:t>
      </w:r>
      <w:r w:rsidRPr="00C209B7">
        <w:t>to</w:t>
      </w:r>
      <w:r w:rsidR="00C64050">
        <w:t xml:space="preserve"> </w:t>
      </w:r>
      <w:r w:rsidRPr="00C209B7">
        <w:t>the</w:t>
      </w:r>
      <w:r w:rsidR="00C64050">
        <w:t xml:space="preserve"> </w:t>
      </w:r>
      <w:r w:rsidRPr="00C209B7">
        <w:t>wife's</w:t>
      </w:r>
      <w:r w:rsidR="00C64050">
        <w:t xml:space="preserve"> </w:t>
      </w:r>
      <w:r w:rsidRPr="00C209B7">
        <w:t>estate</w:t>
      </w:r>
      <w:r w:rsidR="00C64050">
        <w:t xml:space="preserve"> </w:t>
      </w:r>
      <w:r w:rsidRPr="00C209B7">
        <w:t>and</w:t>
      </w:r>
      <w:r w:rsidR="00C64050">
        <w:t xml:space="preserve"> </w:t>
      </w:r>
      <w:r w:rsidRPr="00C209B7">
        <w:t>claimed</w:t>
      </w:r>
      <w:r w:rsidR="00C64050">
        <w:t xml:space="preserve"> </w:t>
      </w:r>
      <w:r w:rsidRPr="00C209B7">
        <w:t>a</w:t>
      </w:r>
      <w:r w:rsidR="00C64050">
        <w:t xml:space="preserve"> </w:t>
      </w:r>
      <w:r w:rsidRPr="00C209B7">
        <w:t>charitable</w:t>
      </w:r>
      <w:r w:rsidR="00C64050">
        <w:t xml:space="preserve"> </w:t>
      </w:r>
      <w:r w:rsidRPr="00C209B7">
        <w:t>contribution</w:t>
      </w:r>
      <w:r w:rsidR="00C64050">
        <w:t xml:space="preserve"> </w:t>
      </w:r>
      <w:r w:rsidRPr="00C209B7">
        <w:t>deduction</w:t>
      </w:r>
      <w:r w:rsidR="00C64050">
        <w:t xml:space="preserve"> </w:t>
      </w:r>
      <w:r w:rsidRPr="00C209B7">
        <w:t>under</w:t>
      </w:r>
      <w:r w:rsidR="00C64050">
        <w:t xml:space="preserve"> </w:t>
      </w:r>
      <w:r w:rsidRPr="00C209B7">
        <w:t>§</w:t>
      </w:r>
      <w:r w:rsidR="00C64050">
        <w:t xml:space="preserve"> </w:t>
      </w:r>
      <w:r w:rsidRPr="00C209B7">
        <w:t>642(c),</w:t>
      </w:r>
      <w:r w:rsidR="00C64050">
        <w:t xml:space="preserve"> </w:t>
      </w:r>
      <w:r w:rsidRPr="00C209B7">
        <w:t>because</w:t>
      </w:r>
      <w:r w:rsidR="00C64050">
        <w:t xml:space="preserve"> </w:t>
      </w:r>
      <w:r w:rsidRPr="00C209B7">
        <w:t>the</w:t>
      </w:r>
      <w:r w:rsidR="00C64050">
        <w:t xml:space="preserve"> </w:t>
      </w:r>
      <w:r w:rsidRPr="00C209B7">
        <w:t>$1</w:t>
      </w:r>
      <w:r w:rsidR="00C64050">
        <w:t xml:space="preserve"> </w:t>
      </w:r>
      <w:r w:rsidRPr="00C209B7">
        <w:t>million</w:t>
      </w:r>
      <w:r w:rsidR="00C64050">
        <w:t xml:space="preserve"> </w:t>
      </w:r>
      <w:r w:rsidRPr="00C209B7">
        <w:t>distribution</w:t>
      </w:r>
      <w:r w:rsidR="00C64050">
        <w:t xml:space="preserve"> </w:t>
      </w:r>
      <w:r w:rsidRPr="00C209B7">
        <w:t>passed</w:t>
      </w:r>
      <w:r w:rsidR="00C64050">
        <w:t xml:space="preserve"> </w:t>
      </w:r>
      <w:r w:rsidRPr="00C209B7">
        <w:t>entirely</w:t>
      </w:r>
      <w:r w:rsidR="00C64050">
        <w:t xml:space="preserve"> </w:t>
      </w:r>
      <w:r w:rsidRPr="00C209B7">
        <w:t>to</w:t>
      </w:r>
      <w:r w:rsidR="00C64050">
        <w:t xml:space="preserve"> </w:t>
      </w:r>
      <w:r w:rsidRPr="00C209B7">
        <w:t>the</w:t>
      </w:r>
      <w:r w:rsidR="00C64050">
        <w:t xml:space="preserve"> </w:t>
      </w:r>
      <w:r w:rsidRPr="00C209B7">
        <w:t>charitable</w:t>
      </w:r>
      <w:r w:rsidR="00C64050">
        <w:t xml:space="preserve"> </w:t>
      </w:r>
      <w:r w:rsidRPr="00C209B7">
        <w:t>beneficiaries</w:t>
      </w:r>
      <w:r w:rsidR="00C64050">
        <w:t xml:space="preserve"> </w:t>
      </w:r>
      <w:r w:rsidRPr="00C209B7">
        <w:t>under</w:t>
      </w:r>
      <w:r w:rsidR="00C64050">
        <w:t xml:space="preserve"> </w:t>
      </w:r>
      <w:r w:rsidRPr="00C209B7">
        <w:t>the</w:t>
      </w:r>
      <w:r w:rsidR="00C64050">
        <w:t xml:space="preserve"> </w:t>
      </w:r>
      <w:r w:rsidRPr="00C209B7">
        <w:t>wife's</w:t>
      </w:r>
      <w:r w:rsidR="00C64050">
        <w:t xml:space="preserve"> </w:t>
      </w:r>
      <w:r w:rsidRPr="00C209B7">
        <w:t>will.</w:t>
      </w:r>
    </w:p>
    <w:p w:rsidR="008D344C" w:rsidRPr="00C209B7" w:rsidRDefault="008D344C" w:rsidP="008D344C">
      <w:pPr>
        <w:pStyle w:val="QS10"/>
      </w:pPr>
      <w:r w:rsidRPr="00C209B7">
        <w:t>The</w:t>
      </w:r>
      <w:r w:rsidR="00C64050">
        <w:t xml:space="preserve"> </w:t>
      </w:r>
      <w:r w:rsidRPr="00C209B7">
        <w:t>Second</w:t>
      </w:r>
      <w:r w:rsidR="00C64050">
        <w:t xml:space="preserve"> </w:t>
      </w:r>
      <w:r w:rsidRPr="00C209B7">
        <w:t>Circuit</w:t>
      </w:r>
      <w:r w:rsidR="00C64050">
        <w:t xml:space="preserve"> </w:t>
      </w:r>
      <w:r w:rsidRPr="00C209B7">
        <w:t>in</w:t>
      </w:r>
      <w:r w:rsidR="00C64050">
        <w:t xml:space="preserve"> </w:t>
      </w:r>
      <w:r w:rsidRPr="00C209B7">
        <w:rPr>
          <w:u w:val="single"/>
        </w:rPr>
        <w:t>Brownstone</w:t>
      </w:r>
      <w:r w:rsidR="00C64050">
        <w:t xml:space="preserve"> </w:t>
      </w:r>
      <w:r w:rsidRPr="00C209B7">
        <w:t>held</w:t>
      </w:r>
      <w:r w:rsidR="00C64050">
        <w:t xml:space="preserve"> </w:t>
      </w:r>
      <w:r w:rsidRPr="00C209B7">
        <w:t>that</w:t>
      </w:r>
      <w:r w:rsidR="00C64050">
        <w:t xml:space="preserve"> </w:t>
      </w:r>
      <w:r w:rsidRPr="00C209B7">
        <w:t>the</w:t>
      </w:r>
      <w:r w:rsidR="00C64050">
        <w:t xml:space="preserve"> </w:t>
      </w:r>
      <w:r w:rsidRPr="00C209B7">
        <w:t>distribution</w:t>
      </w:r>
      <w:r w:rsidR="00C64050">
        <w:t xml:space="preserve"> </w:t>
      </w:r>
      <w:r w:rsidRPr="00C209B7">
        <w:t>to</w:t>
      </w:r>
      <w:r w:rsidR="00C64050">
        <w:t xml:space="preserve"> </w:t>
      </w:r>
      <w:r w:rsidRPr="00C209B7">
        <w:t>the</w:t>
      </w:r>
      <w:r w:rsidR="00C64050">
        <w:t xml:space="preserve"> </w:t>
      </w:r>
      <w:r w:rsidRPr="00C209B7">
        <w:t>charities</w:t>
      </w:r>
      <w:r w:rsidR="00C64050">
        <w:t xml:space="preserve"> </w:t>
      </w:r>
      <w:r w:rsidRPr="00C209B7">
        <w:t>was</w:t>
      </w:r>
      <w:r w:rsidR="00C64050">
        <w:t xml:space="preserve"> </w:t>
      </w:r>
      <w:r w:rsidRPr="00C209B7">
        <w:t>made</w:t>
      </w:r>
      <w:r w:rsidR="00C64050">
        <w:t xml:space="preserve"> </w:t>
      </w:r>
      <w:r w:rsidRPr="00C209B7">
        <w:t>pursuant</w:t>
      </w:r>
      <w:r w:rsidR="00C64050">
        <w:t xml:space="preserve"> </w:t>
      </w:r>
      <w:r w:rsidRPr="00C209B7">
        <w:t>to</w:t>
      </w:r>
      <w:r w:rsidR="00C64050">
        <w:t xml:space="preserve"> </w:t>
      </w:r>
      <w:r w:rsidRPr="00C209B7">
        <w:t>the</w:t>
      </w:r>
      <w:r w:rsidR="00C64050">
        <w:t xml:space="preserve"> </w:t>
      </w:r>
      <w:r w:rsidRPr="00C209B7">
        <w:t>wife's</w:t>
      </w:r>
      <w:r w:rsidR="00C64050">
        <w:t xml:space="preserve"> </w:t>
      </w:r>
      <w:r w:rsidRPr="00C209B7">
        <w:t>power</w:t>
      </w:r>
      <w:r w:rsidR="00C64050">
        <w:t xml:space="preserve"> </w:t>
      </w:r>
      <w:r w:rsidRPr="00C209B7">
        <w:t>of</w:t>
      </w:r>
      <w:r w:rsidR="00C64050">
        <w:t xml:space="preserve"> </w:t>
      </w:r>
      <w:r w:rsidRPr="00C209B7">
        <w:t>appointment</w:t>
      </w:r>
      <w:r w:rsidR="00C64050">
        <w:t xml:space="preserve"> </w:t>
      </w:r>
      <w:r w:rsidRPr="00C209B7">
        <w:t>and</w:t>
      </w:r>
      <w:r w:rsidR="00C64050">
        <w:t xml:space="preserve"> </w:t>
      </w:r>
      <w:r w:rsidRPr="00C209B7">
        <w:t>not</w:t>
      </w:r>
      <w:r w:rsidR="00C64050">
        <w:t xml:space="preserve"> </w:t>
      </w:r>
      <w:r w:rsidRPr="00C209B7">
        <w:t>pursuant</w:t>
      </w:r>
      <w:r w:rsidR="00C64050">
        <w:t xml:space="preserve"> </w:t>
      </w:r>
      <w:r w:rsidRPr="00C209B7">
        <w:t>to</w:t>
      </w:r>
      <w:r w:rsidR="00C64050">
        <w:t xml:space="preserve"> </w:t>
      </w:r>
      <w:r w:rsidRPr="00C209B7">
        <w:t>the</w:t>
      </w:r>
      <w:r w:rsidR="00C64050">
        <w:t xml:space="preserve"> </w:t>
      </w:r>
      <w:r w:rsidRPr="00C209B7">
        <w:t>governing</w:t>
      </w:r>
      <w:r w:rsidR="00C64050">
        <w:t xml:space="preserve"> </w:t>
      </w:r>
      <w:r w:rsidRPr="00C209B7">
        <w:t>instrument,</w:t>
      </w:r>
      <w:r w:rsidR="00C64050">
        <w:t xml:space="preserve"> </w:t>
      </w:r>
      <w:r w:rsidRPr="00C209B7">
        <w:t>the</w:t>
      </w:r>
      <w:r w:rsidR="00C64050">
        <w:t xml:space="preserve"> </w:t>
      </w:r>
      <w:r w:rsidRPr="00C209B7">
        <w:t>deceased</w:t>
      </w:r>
      <w:r w:rsidR="00C64050">
        <w:t xml:space="preserve"> </w:t>
      </w:r>
      <w:r w:rsidRPr="00C209B7">
        <w:t>husband's</w:t>
      </w:r>
      <w:r w:rsidR="00C64050">
        <w:t xml:space="preserve"> </w:t>
      </w:r>
      <w:r w:rsidRPr="00C209B7">
        <w:t>will.</w:t>
      </w:r>
      <w:r w:rsidR="00C64050">
        <w:t xml:space="preserve"> </w:t>
      </w:r>
      <w:r w:rsidRPr="00C209B7">
        <w:t>The</w:t>
      </w:r>
      <w:r w:rsidR="00C64050">
        <w:t xml:space="preserve"> </w:t>
      </w:r>
      <w:r w:rsidRPr="00C209B7">
        <w:t>Second</w:t>
      </w:r>
      <w:r w:rsidR="00C64050">
        <w:t xml:space="preserve"> </w:t>
      </w:r>
      <w:r w:rsidRPr="00C209B7">
        <w:t>Circuit</w:t>
      </w:r>
      <w:r w:rsidR="00C64050">
        <w:t xml:space="preserve"> </w:t>
      </w:r>
      <w:r w:rsidRPr="00C209B7">
        <w:t>interpreted</w:t>
      </w:r>
      <w:r w:rsidR="00C64050">
        <w:t xml:space="preserve"> </w:t>
      </w:r>
      <w:r w:rsidRPr="00C209B7">
        <w:t>the</w:t>
      </w:r>
      <w:r w:rsidR="00C64050">
        <w:t xml:space="preserve"> </w:t>
      </w:r>
      <w:r w:rsidRPr="00C209B7">
        <w:t>definition</w:t>
      </w:r>
      <w:r w:rsidR="00C64050">
        <w:t xml:space="preserve"> </w:t>
      </w:r>
      <w:r w:rsidRPr="00C209B7">
        <w:t>of</w:t>
      </w:r>
      <w:r w:rsidR="00C64050">
        <w:t xml:space="preserve"> </w:t>
      </w:r>
      <w:r w:rsidRPr="00C209B7">
        <w:t>governing</w:t>
      </w:r>
      <w:r w:rsidR="00C64050">
        <w:t xml:space="preserve"> </w:t>
      </w:r>
      <w:r w:rsidRPr="00C209B7">
        <w:t>instrument</w:t>
      </w:r>
      <w:r w:rsidR="00C64050">
        <w:t xml:space="preserve"> </w:t>
      </w:r>
      <w:r w:rsidRPr="00C209B7">
        <w:t>narrowly,</w:t>
      </w:r>
      <w:r w:rsidR="00C64050">
        <w:t xml:space="preserve"> </w:t>
      </w:r>
      <w:r w:rsidRPr="00C209B7">
        <w:t>stating</w:t>
      </w:r>
      <w:r w:rsidR="00C64050">
        <w:t xml:space="preserve"> </w:t>
      </w:r>
      <w:r w:rsidRPr="00C209B7">
        <w:t>that</w:t>
      </w:r>
      <w:r w:rsidR="00C64050">
        <w:t xml:space="preserve"> </w:t>
      </w:r>
      <w:r w:rsidRPr="00C209B7">
        <w:t>an</w:t>
      </w:r>
      <w:r w:rsidR="00C64050">
        <w:t xml:space="preserve"> </w:t>
      </w:r>
      <w:r w:rsidRPr="00C209B7">
        <w:t>instrument</w:t>
      </w:r>
      <w:r w:rsidR="00C64050">
        <w:t xml:space="preserve"> </w:t>
      </w:r>
      <w:r w:rsidRPr="00C209B7">
        <w:t>subject</w:t>
      </w:r>
      <w:r w:rsidR="00C64050">
        <w:t xml:space="preserve"> </w:t>
      </w:r>
      <w:r w:rsidRPr="00C209B7">
        <w:t>to</w:t>
      </w:r>
      <w:r w:rsidR="00C64050">
        <w:t xml:space="preserve"> </w:t>
      </w:r>
      <w:r w:rsidRPr="00C209B7">
        <w:t>the</w:t>
      </w:r>
      <w:r w:rsidR="00C64050">
        <w:t xml:space="preserve"> </w:t>
      </w:r>
      <w:r w:rsidRPr="00C209B7">
        <w:t>creating</w:t>
      </w:r>
      <w:r w:rsidR="00C64050">
        <w:t xml:space="preserve"> </w:t>
      </w:r>
      <w:r w:rsidRPr="00C209B7">
        <w:t>instrument</w:t>
      </w:r>
      <w:r w:rsidR="00C64050">
        <w:t xml:space="preserve"> </w:t>
      </w:r>
      <w:r w:rsidRPr="00C209B7">
        <w:t>(the</w:t>
      </w:r>
      <w:r w:rsidR="00C64050">
        <w:t xml:space="preserve"> </w:t>
      </w:r>
      <w:r w:rsidRPr="00C209B7">
        <w:t>wife's</w:t>
      </w:r>
      <w:r w:rsidR="00C64050">
        <w:t xml:space="preserve"> </w:t>
      </w:r>
      <w:r w:rsidRPr="00C209B7">
        <w:t>will)</w:t>
      </w:r>
      <w:r w:rsidR="00C64050">
        <w:t xml:space="preserve"> </w:t>
      </w:r>
      <w:r w:rsidRPr="00C209B7">
        <w:t>could</w:t>
      </w:r>
      <w:r w:rsidR="00C64050">
        <w:t xml:space="preserve"> </w:t>
      </w:r>
      <w:r w:rsidRPr="00C209B7">
        <w:t>not</w:t>
      </w:r>
      <w:r w:rsidR="00C64050">
        <w:t xml:space="preserve"> </w:t>
      </w:r>
      <w:r w:rsidRPr="00C209B7">
        <w:t>combine</w:t>
      </w:r>
      <w:r w:rsidR="00C64050">
        <w:t xml:space="preserve"> </w:t>
      </w:r>
      <w:r w:rsidRPr="00C209B7">
        <w:t>with</w:t>
      </w:r>
      <w:r w:rsidR="00C64050">
        <w:t xml:space="preserve"> </w:t>
      </w:r>
      <w:r w:rsidRPr="00C209B7">
        <w:t>the</w:t>
      </w:r>
      <w:r w:rsidR="00C64050">
        <w:t xml:space="preserve"> </w:t>
      </w:r>
      <w:r w:rsidRPr="00C209B7">
        <w:t>creating</w:t>
      </w:r>
      <w:r w:rsidR="00C64050">
        <w:t xml:space="preserve"> </w:t>
      </w:r>
      <w:r w:rsidRPr="00C209B7">
        <w:t>instrument</w:t>
      </w:r>
      <w:r w:rsidR="00C64050">
        <w:t xml:space="preserve"> </w:t>
      </w:r>
      <w:r w:rsidRPr="00C209B7">
        <w:t>(the</w:t>
      </w:r>
      <w:r w:rsidR="00C64050">
        <w:t xml:space="preserve"> </w:t>
      </w:r>
      <w:r w:rsidRPr="00C209B7">
        <w:t>husband's</w:t>
      </w:r>
      <w:r w:rsidR="00C64050">
        <w:t xml:space="preserve"> </w:t>
      </w:r>
      <w:r w:rsidRPr="00C209B7">
        <w:t>will)</w:t>
      </w:r>
      <w:r w:rsidR="00C64050">
        <w:t xml:space="preserve"> </w:t>
      </w:r>
      <w:r w:rsidRPr="00C209B7">
        <w:t>and</w:t>
      </w:r>
      <w:r w:rsidR="00C64050">
        <w:t xml:space="preserve"> </w:t>
      </w:r>
      <w:r w:rsidRPr="00C209B7">
        <w:t>qualify</w:t>
      </w:r>
      <w:r w:rsidR="00C64050">
        <w:t xml:space="preserve"> </w:t>
      </w:r>
      <w:r w:rsidRPr="00C209B7">
        <w:t>as</w:t>
      </w:r>
      <w:r w:rsidR="00C64050">
        <w:t xml:space="preserve"> </w:t>
      </w:r>
      <w:r w:rsidRPr="00C209B7">
        <w:t>the</w:t>
      </w:r>
      <w:r w:rsidR="00C64050">
        <w:t xml:space="preserve"> </w:t>
      </w:r>
      <w:r w:rsidRPr="00C209B7">
        <w:t>governing</w:t>
      </w:r>
      <w:r w:rsidR="00C64050">
        <w:t xml:space="preserve"> </w:t>
      </w:r>
      <w:r w:rsidRPr="00C209B7">
        <w:t>instrument.</w:t>
      </w:r>
      <w:r w:rsidR="00C64050">
        <w:t xml:space="preserve"> </w:t>
      </w:r>
      <w:r w:rsidRPr="00C209B7">
        <w:t>The</w:t>
      </w:r>
      <w:r w:rsidR="00C64050">
        <w:t xml:space="preserve"> </w:t>
      </w:r>
      <w:r w:rsidRPr="00C209B7">
        <w:t>sole</w:t>
      </w:r>
      <w:r w:rsidR="00C64050">
        <w:t xml:space="preserve"> </w:t>
      </w:r>
      <w:r w:rsidRPr="00C209B7">
        <w:t>governing</w:t>
      </w:r>
      <w:r w:rsidR="00C64050">
        <w:t xml:space="preserve"> </w:t>
      </w:r>
      <w:r w:rsidRPr="00C209B7">
        <w:t>instrument</w:t>
      </w:r>
      <w:r w:rsidR="00C64050">
        <w:t xml:space="preserve"> </w:t>
      </w:r>
      <w:r w:rsidRPr="00C209B7">
        <w:t>in</w:t>
      </w:r>
      <w:r w:rsidR="00C64050">
        <w:t xml:space="preserve"> </w:t>
      </w:r>
      <w:r w:rsidRPr="00C209B7">
        <w:rPr>
          <w:u w:val="single"/>
        </w:rPr>
        <w:t>Brownstone</w:t>
      </w:r>
      <w:r w:rsidR="00C64050">
        <w:t xml:space="preserve"> </w:t>
      </w:r>
      <w:r w:rsidRPr="00C209B7">
        <w:t>was</w:t>
      </w:r>
      <w:r w:rsidR="00C64050">
        <w:t xml:space="preserve"> </w:t>
      </w:r>
      <w:r w:rsidRPr="00C209B7">
        <w:t>the</w:t>
      </w:r>
      <w:r w:rsidR="00C64050">
        <w:t xml:space="preserve"> </w:t>
      </w:r>
      <w:r w:rsidRPr="00C209B7">
        <w:t>husband's</w:t>
      </w:r>
      <w:r w:rsidR="00C64050">
        <w:t xml:space="preserve"> </w:t>
      </w:r>
      <w:r w:rsidRPr="00C209B7">
        <w:t>original</w:t>
      </w:r>
      <w:r w:rsidR="00C64050">
        <w:t xml:space="preserve"> </w:t>
      </w:r>
      <w:r w:rsidRPr="00C209B7">
        <w:t>will;</w:t>
      </w:r>
      <w:r w:rsidR="00C64050">
        <w:t xml:space="preserve"> </w:t>
      </w:r>
      <w:r w:rsidRPr="00C209B7">
        <w:t>therefore,</w:t>
      </w:r>
      <w:r w:rsidR="00C64050">
        <w:t xml:space="preserve"> </w:t>
      </w:r>
      <w:r w:rsidRPr="00C209B7">
        <w:t>the</w:t>
      </w:r>
      <w:r w:rsidR="00C64050">
        <w:t xml:space="preserve"> </w:t>
      </w:r>
      <w:r w:rsidRPr="00C209B7">
        <w:t>marital</w:t>
      </w:r>
      <w:r w:rsidR="00C64050">
        <w:t xml:space="preserve"> </w:t>
      </w:r>
      <w:r w:rsidRPr="00C209B7">
        <w:t>deduction</w:t>
      </w:r>
      <w:r w:rsidR="00C64050">
        <w:t xml:space="preserve"> </w:t>
      </w:r>
      <w:r w:rsidRPr="00C209B7">
        <w:t>trust</w:t>
      </w:r>
      <w:r w:rsidR="00C64050">
        <w:t xml:space="preserve"> </w:t>
      </w:r>
      <w:r w:rsidRPr="00C209B7">
        <w:t>was</w:t>
      </w:r>
      <w:r w:rsidR="00C64050">
        <w:t xml:space="preserve"> </w:t>
      </w:r>
      <w:r w:rsidRPr="00C209B7">
        <w:t>not</w:t>
      </w:r>
      <w:r w:rsidR="00C64050">
        <w:t xml:space="preserve"> </w:t>
      </w:r>
      <w:r w:rsidRPr="00C209B7">
        <w:t>entitled</w:t>
      </w:r>
      <w:r w:rsidR="00C64050">
        <w:t xml:space="preserve"> </w:t>
      </w:r>
      <w:r w:rsidRPr="00C209B7">
        <w:t>to</w:t>
      </w:r>
      <w:r w:rsidR="00C64050">
        <w:t xml:space="preserve"> </w:t>
      </w:r>
      <w:r w:rsidRPr="00C209B7">
        <w:t>a</w:t>
      </w:r>
      <w:r w:rsidR="00C64050">
        <w:t xml:space="preserve"> </w:t>
      </w:r>
      <w:r w:rsidRPr="00C209B7">
        <w:t>deduction</w:t>
      </w:r>
      <w:r w:rsidR="00C64050">
        <w:t xml:space="preserve"> </w:t>
      </w:r>
      <w:r w:rsidRPr="00C209B7">
        <w:t>under</w:t>
      </w:r>
      <w:r w:rsidR="00C64050">
        <w:t xml:space="preserve"> </w:t>
      </w:r>
      <w:r w:rsidRPr="00C209B7">
        <w:t>§</w:t>
      </w:r>
      <w:r w:rsidR="00C64050">
        <w:t xml:space="preserve"> </w:t>
      </w:r>
      <w:r w:rsidRPr="00C209B7">
        <w:t>642(c)</w:t>
      </w:r>
      <w:r w:rsidR="00C64050">
        <w:t xml:space="preserve"> </w:t>
      </w:r>
      <w:r w:rsidRPr="00C209B7">
        <w:t>since</w:t>
      </w:r>
      <w:r w:rsidR="00C64050">
        <w:t xml:space="preserve"> </w:t>
      </w:r>
      <w:r w:rsidRPr="00C209B7">
        <w:t>the</w:t>
      </w:r>
      <w:r w:rsidR="00C64050">
        <w:t xml:space="preserve"> </w:t>
      </w:r>
      <w:r w:rsidRPr="00C209B7">
        <w:t>distribution</w:t>
      </w:r>
      <w:r w:rsidR="00C64050">
        <w:t xml:space="preserve"> </w:t>
      </w:r>
      <w:r w:rsidRPr="00C209B7">
        <w:t>was</w:t>
      </w:r>
      <w:r w:rsidR="00C64050">
        <w:t xml:space="preserve"> </w:t>
      </w:r>
      <w:r w:rsidRPr="00C209B7">
        <w:t>made</w:t>
      </w:r>
      <w:r w:rsidR="00C64050">
        <w:t xml:space="preserve"> </w:t>
      </w:r>
      <w:r w:rsidRPr="00C209B7">
        <w:t>pursuant</w:t>
      </w:r>
      <w:r w:rsidR="00C64050">
        <w:t xml:space="preserve"> </w:t>
      </w:r>
      <w:r w:rsidRPr="00C209B7">
        <w:t>to</w:t>
      </w:r>
      <w:r w:rsidR="00C64050">
        <w:t xml:space="preserve"> </w:t>
      </w:r>
      <w:r w:rsidRPr="00C209B7">
        <w:t>the</w:t>
      </w:r>
      <w:r w:rsidR="00C64050">
        <w:t xml:space="preserve"> </w:t>
      </w:r>
      <w:r w:rsidRPr="00C209B7">
        <w:t>wife's</w:t>
      </w:r>
      <w:r w:rsidR="00C64050">
        <w:t xml:space="preserve"> </w:t>
      </w:r>
      <w:r w:rsidRPr="00C209B7">
        <w:t>will.</w:t>
      </w:r>
    </w:p>
    <w:p w:rsidR="008D344C" w:rsidRPr="00C209B7" w:rsidRDefault="00DC0BBE" w:rsidP="00DC0BBE">
      <w:pPr>
        <w:pStyle w:val="QS10"/>
        <w:jc w:val="center"/>
      </w:pPr>
      <w:r>
        <w:t>* * *</w:t>
      </w:r>
    </w:p>
    <w:p w:rsidR="008D344C" w:rsidRPr="00C209B7" w:rsidRDefault="008D344C" w:rsidP="008D344C">
      <w:pPr>
        <w:pStyle w:val="QS10"/>
      </w:pPr>
      <w:r w:rsidRPr="00C209B7">
        <w:t>In</w:t>
      </w:r>
      <w:r w:rsidR="00C64050">
        <w:t xml:space="preserve"> </w:t>
      </w:r>
      <w:r w:rsidRPr="00C209B7">
        <w:rPr>
          <w:u w:val="single"/>
        </w:rPr>
        <w:t>Emanuelson</w:t>
      </w:r>
      <w:r w:rsidR="00C64050">
        <w:rPr>
          <w:u w:val="single"/>
        </w:rPr>
        <w:t xml:space="preserve"> </w:t>
      </w:r>
      <w:r w:rsidRPr="00C209B7">
        <w:rPr>
          <w:u w:val="single"/>
        </w:rPr>
        <w:t>v.</w:t>
      </w:r>
      <w:r w:rsidR="00C64050">
        <w:rPr>
          <w:u w:val="single"/>
        </w:rPr>
        <w:t xml:space="preserve"> </w:t>
      </w:r>
      <w:r w:rsidRPr="00C209B7">
        <w:rPr>
          <w:u w:val="single"/>
        </w:rPr>
        <w:t>United</w:t>
      </w:r>
      <w:r w:rsidR="00C64050">
        <w:rPr>
          <w:u w:val="single"/>
        </w:rPr>
        <w:t xml:space="preserve"> </w:t>
      </w:r>
      <w:r w:rsidRPr="00C209B7">
        <w:rPr>
          <w:u w:val="single"/>
        </w:rPr>
        <w:t>States</w:t>
      </w:r>
      <w:r w:rsidRPr="00C209B7">
        <w:t>,</w:t>
      </w:r>
      <w:r w:rsidR="00C64050">
        <w:t xml:space="preserve"> </w:t>
      </w:r>
      <w:r w:rsidRPr="00C209B7">
        <w:t>159</w:t>
      </w:r>
      <w:r w:rsidR="00C64050">
        <w:t xml:space="preserve"> </w:t>
      </w:r>
      <w:r w:rsidRPr="00C209B7">
        <w:t>F.Supp.</w:t>
      </w:r>
      <w:r w:rsidR="00C64050">
        <w:t xml:space="preserve"> </w:t>
      </w:r>
      <w:r w:rsidRPr="00C209B7">
        <w:t>34</w:t>
      </w:r>
      <w:r w:rsidR="00C64050">
        <w:t xml:space="preserve"> </w:t>
      </w:r>
      <w:r w:rsidRPr="00C209B7">
        <w:t>(D.C.</w:t>
      </w:r>
      <w:r w:rsidR="00C64050">
        <w:t xml:space="preserve"> </w:t>
      </w:r>
      <w:r w:rsidRPr="00C209B7">
        <w:t>Conn.</w:t>
      </w:r>
      <w:r w:rsidR="00C64050">
        <w:t xml:space="preserve"> </w:t>
      </w:r>
      <w:r w:rsidRPr="00C209B7">
        <w:t>1958),</w:t>
      </w:r>
      <w:r w:rsidR="00C64050">
        <w:t xml:space="preserve"> </w:t>
      </w:r>
      <w:r w:rsidRPr="00C209B7">
        <w:t>decedent</w:t>
      </w:r>
      <w:r w:rsidR="00C64050">
        <w:t xml:space="preserve"> </w:t>
      </w:r>
      <w:r w:rsidRPr="00C209B7">
        <w:t>left</w:t>
      </w:r>
      <w:r w:rsidR="00C64050">
        <w:t xml:space="preserve"> </w:t>
      </w:r>
      <w:r w:rsidRPr="00C209B7">
        <w:t>two</w:t>
      </w:r>
      <w:r w:rsidR="00C64050">
        <w:t xml:space="preserve"> </w:t>
      </w:r>
      <w:r w:rsidRPr="00C209B7">
        <w:t>conflicting</w:t>
      </w:r>
      <w:r w:rsidR="00C64050">
        <w:t xml:space="preserve"> </w:t>
      </w:r>
      <w:r w:rsidRPr="00C209B7">
        <w:t>wills</w:t>
      </w:r>
      <w:r w:rsidR="00C64050">
        <w:t xml:space="preserve"> </w:t>
      </w:r>
      <w:r w:rsidRPr="00C209B7">
        <w:t>--</w:t>
      </w:r>
      <w:r w:rsidR="00C64050">
        <w:t xml:space="preserve"> </w:t>
      </w:r>
      <w:r w:rsidRPr="00C209B7">
        <w:t>one</w:t>
      </w:r>
      <w:r w:rsidR="00C64050">
        <w:t xml:space="preserve"> </w:t>
      </w:r>
      <w:r w:rsidRPr="00C209B7">
        <w:t>which</w:t>
      </w:r>
      <w:r w:rsidR="00C64050">
        <w:t xml:space="preserve"> </w:t>
      </w:r>
      <w:r w:rsidRPr="00C209B7">
        <w:t>left</w:t>
      </w:r>
      <w:r w:rsidR="00C64050">
        <w:t xml:space="preserve"> </w:t>
      </w:r>
      <w:r w:rsidRPr="00C209B7">
        <w:t>2/3</w:t>
      </w:r>
      <w:r w:rsidR="00C64050">
        <w:t xml:space="preserve"> </w:t>
      </w:r>
      <w:r w:rsidRPr="00C209B7">
        <w:t>of</w:t>
      </w:r>
      <w:r w:rsidR="00C64050">
        <w:t xml:space="preserve"> </w:t>
      </w:r>
      <w:r w:rsidRPr="00C209B7">
        <w:t>the</w:t>
      </w:r>
      <w:r w:rsidR="00C64050">
        <w:t xml:space="preserve"> </w:t>
      </w:r>
      <w:r w:rsidRPr="00C209B7">
        <w:t>residue</w:t>
      </w:r>
      <w:r w:rsidR="00C64050">
        <w:t xml:space="preserve"> </w:t>
      </w:r>
      <w:r w:rsidRPr="00C209B7">
        <w:t>of</w:t>
      </w:r>
      <w:r w:rsidR="00C64050">
        <w:t xml:space="preserve"> </w:t>
      </w:r>
      <w:r w:rsidRPr="00C209B7">
        <w:t>decedent's</w:t>
      </w:r>
      <w:r w:rsidR="00C64050">
        <w:t xml:space="preserve"> </w:t>
      </w:r>
      <w:r w:rsidRPr="00C209B7">
        <w:t>estate</w:t>
      </w:r>
      <w:r w:rsidR="00C64050">
        <w:t xml:space="preserve"> </w:t>
      </w:r>
      <w:r w:rsidRPr="00C209B7">
        <w:t>to</w:t>
      </w:r>
      <w:r w:rsidR="00C64050">
        <w:t xml:space="preserve"> </w:t>
      </w:r>
      <w:r w:rsidRPr="00C209B7">
        <w:t>certain</w:t>
      </w:r>
      <w:r w:rsidR="00C64050">
        <w:t xml:space="preserve"> </w:t>
      </w:r>
      <w:r w:rsidRPr="00C209B7">
        <w:t>charities,</w:t>
      </w:r>
      <w:r w:rsidR="00C64050">
        <w:t xml:space="preserve"> </w:t>
      </w:r>
      <w:r w:rsidRPr="00C209B7">
        <w:t>and</w:t>
      </w:r>
      <w:r w:rsidR="00C64050">
        <w:t xml:space="preserve"> </w:t>
      </w:r>
      <w:r w:rsidRPr="00C209B7">
        <w:t>another</w:t>
      </w:r>
      <w:r w:rsidR="00C64050">
        <w:t xml:space="preserve"> </w:t>
      </w:r>
      <w:r w:rsidRPr="00C209B7">
        <w:t>which</w:t>
      </w:r>
      <w:r w:rsidR="00C64050">
        <w:t xml:space="preserve"> </w:t>
      </w:r>
      <w:r w:rsidRPr="00C209B7">
        <w:t>left</w:t>
      </w:r>
      <w:r w:rsidR="00C64050">
        <w:t xml:space="preserve"> </w:t>
      </w:r>
      <w:r w:rsidRPr="00C209B7">
        <w:t>the</w:t>
      </w:r>
      <w:r w:rsidR="00C64050">
        <w:t xml:space="preserve"> </w:t>
      </w:r>
      <w:r w:rsidRPr="00C209B7">
        <w:t>entire</w:t>
      </w:r>
      <w:r w:rsidR="00C64050">
        <w:t xml:space="preserve"> </w:t>
      </w:r>
      <w:r w:rsidRPr="00C209B7">
        <w:t>residue</w:t>
      </w:r>
      <w:r w:rsidR="00C64050">
        <w:t xml:space="preserve"> </w:t>
      </w:r>
      <w:r w:rsidRPr="00C209B7">
        <w:t>to</w:t>
      </w:r>
      <w:r w:rsidR="00C64050">
        <w:t xml:space="preserve"> </w:t>
      </w:r>
      <w:r w:rsidRPr="00C209B7">
        <w:t>non-charitable</w:t>
      </w:r>
      <w:r w:rsidR="00C64050">
        <w:t xml:space="preserve"> </w:t>
      </w:r>
      <w:r w:rsidRPr="00C209B7">
        <w:t>legatees.</w:t>
      </w:r>
      <w:r w:rsidR="00C64050">
        <w:t xml:space="preserve"> </w:t>
      </w:r>
      <w:r w:rsidRPr="00C209B7">
        <w:t>After</w:t>
      </w:r>
      <w:r w:rsidR="00C64050">
        <w:t xml:space="preserve"> </w:t>
      </w:r>
      <w:r w:rsidRPr="00C209B7">
        <w:t>decedent's</w:t>
      </w:r>
      <w:r w:rsidR="00C64050">
        <w:t xml:space="preserve"> </w:t>
      </w:r>
      <w:r w:rsidRPr="00C209B7">
        <w:t>death,</w:t>
      </w:r>
      <w:r w:rsidR="00C64050">
        <w:t xml:space="preserve"> </w:t>
      </w:r>
      <w:r w:rsidRPr="00C209B7">
        <w:t>a</w:t>
      </w:r>
      <w:r w:rsidR="00C64050">
        <w:t xml:space="preserve"> </w:t>
      </w:r>
      <w:r w:rsidRPr="00C209B7">
        <w:t>controversy</w:t>
      </w:r>
      <w:r w:rsidR="00C64050">
        <w:t xml:space="preserve"> </w:t>
      </w:r>
      <w:r w:rsidRPr="00C209B7">
        <w:t>arose</w:t>
      </w:r>
      <w:r w:rsidR="00C64050">
        <w:t xml:space="preserve"> </w:t>
      </w:r>
      <w:r w:rsidRPr="00C209B7">
        <w:t>among</w:t>
      </w:r>
      <w:r w:rsidR="00C64050">
        <w:t xml:space="preserve"> </w:t>
      </w:r>
      <w:r w:rsidRPr="00C209B7">
        <w:t>the</w:t>
      </w:r>
      <w:r w:rsidR="00C64050">
        <w:t xml:space="preserve"> </w:t>
      </w:r>
      <w:r w:rsidRPr="00C209B7">
        <w:t>beneficiaries</w:t>
      </w:r>
      <w:r w:rsidR="00C64050">
        <w:t xml:space="preserve"> </w:t>
      </w:r>
      <w:r w:rsidRPr="00C209B7">
        <w:t>of</w:t>
      </w:r>
      <w:r w:rsidR="00C64050">
        <w:t xml:space="preserve"> </w:t>
      </w:r>
      <w:r w:rsidRPr="00C209B7">
        <w:t>the</w:t>
      </w:r>
      <w:r w:rsidR="00C64050">
        <w:t xml:space="preserve"> </w:t>
      </w:r>
      <w:r w:rsidRPr="00C209B7">
        <w:t>two</w:t>
      </w:r>
      <w:r w:rsidR="00C64050">
        <w:t xml:space="preserve"> </w:t>
      </w:r>
      <w:r w:rsidRPr="00C209B7">
        <w:t>wills.</w:t>
      </w:r>
      <w:r w:rsidR="00C64050">
        <w:t xml:space="preserve"> </w:t>
      </w:r>
      <w:r w:rsidRPr="00C209B7">
        <w:t>The</w:t>
      </w:r>
      <w:r w:rsidR="00C64050">
        <w:t xml:space="preserve"> </w:t>
      </w:r>
      <w:r w:rsidRPr="00C209B7">
        <w:t>controversy</w:t>
      </w:r>
      <w:r w:rsidR="00C64050">
        <w:t xml:space="preserve"> </w:t>
      </w:r>
      <w:r w:rsidRPr="00C209B7">
        <w:t>was</w:t>
      </w:r>
      <w:r w:rsidR="00C64050">
        <w:t xml:space="preserve"> </w:t>
      </w:r>
      <w:r w:rsidRPr="00C209B7">
        <w:t>resolved</w:t>
      </w:r>
      <w:r w:rsidR="00C64050">
        <w:t xml:space="preserve"> </w:t>
      </w:r>
      <w:r w:rsidRPr="00C209B7">
        <w:t>in</w:t>
      </w:r>
      <w:r w:rsidR="00C64050">
        <w:t xml:space="preserve"> </w:t>
      </w:r>
      <w:r w:rsidRPr="00C209B7">
        <w:t>a</w:t>
      </w:r>
      <w:r w:rsidR="00C64050">
        <w:t xml:space="preserve"> </w:t>
      </w:r>
      <w:r w:rsidRPr="00C209B7">
        <w:t>written</w:t>
      </w:r>
      <w:r w:rsidR="00C64050">
        <w:t xml:space="preserve"> </w:t>
      </w:r>
      <w:r w:rsidRPr="00C209B7">
        <w:t>compromise</w:t>
      </w:r>
      <w:r w:rsidR="00C64050">
        <w:t xml:space="preserve"> </w:t>
      </w:r>
      <w:r w:rsidRPr="00C209B7">
        <w:t>agreement</w:t>
      </w:r>
      <w:r w:rsidR="00C64050">
        <w:t xml:space="preserve"> </w:t>
      </w:r>
      <w:r w:rsidRPr="00C209B7">
        <w:t>between</w:t>
      </w:r>
      <w:r w:rsidR="00C64050">
        <w:t xml:space="preserve"> </w:t>
      </w:r>
      <w:r w:rsidRPr="00C209B7">
        <w:t>the</w:t>
      </w:r>
      <w:r w:rsidR="00C64050">
        <w:t xml:space="preserve"> </w:t>
      </w:r>
      <w:r w:rsidRPr="00C209B7">
        <w:t>two</w:t>
      </w:r>
      <w:r w:rsidR="00C64050">
        <w:t xml:space="preserve"> </w:t>
      </w:r>
      <w:r w:rsidRPr="00C209B7">
        <w:t>sets</w:t>
      </w:r>
      <w:r w:rsidR="00C64050">
        <w:t xml:space="preserve"> </w:t>
      </w:r>
      <w:r w:rsidRPr="00C209B7">
        <w:t>of</w:t>
      </w:r>
      <w:r w:rsidR="00C64050">
        <w:t xml:space="preserve"> </w:t>
      </w:r>
      <w:r w:rsidRPr="00C209B7">
        <w:t>beneficiaries,</w:t>
      </w:r>
      <w:r w:rsidR="00C64050">
        <w:t xml:space="preserve"> </w:t>
      </w:r>
      <w:r w:rsidRPr="00C209B7">
        <w:t>under</w:t>
      </w:r>
      <w:r w:rsidR="00C64050">
        <w:t xml:space="preserve"> </w:t>
      </w:r>
      <w:r w:rsidRPr="00C209B7">
        <w:t>which</w:t>
      </w:r>
      <w:r w:rsidR="00C64050">
        <w:t xml:space="preserve"> </w:t>
      </w:r>
      <w:r w:rsidRPr="00C209B7">
        <w:t>52/480</w:t>
      </w:r>
      <w:r w:rsidR="00C64050">
        <w:t xml:space="preserve"> </w:t>
      </w:r>
      <w:r w:rsidRPr="00C209B7">
        <w:t>of</w:t>
      </w:r>
      <w:r w:rsidR="00C64050">
        <w:t xml:space="preserve"> </w:t>
      </w:r>
      <w:r w:rsidRPr="00C209B7">
        <w:t>the</w:t>
      </w:r>
      <w:r w:rsidR="00C64050">
        <w:t xml:space="preserve"> </w:t>
      </w:r>
      <w:r w:rsidRPr="00C209B7">
        <w:t>residue</w:t>
      </w:r>
      <w:r w:rsidR="00C64050">
        <w:t xml:space="preserve"> </w:t>
      </w:r>
      <w:r w:rsidRPr="00C209B7">
        <w:t>passed</w:t>
      </w:r>
      <w:r w:rsidR="00C64050">
        <w:t xml:space="preserve"> </w:t>
      </w:r>
      <w:r w:rsidRPr="00C209B7">
        <w:t>to</w:t>
      </w:r>
      <w:r w:rsidR="00C64050">
        <w:t xml:space="preserve"> </w:t>
      </w:r>
      <w:r w:rsidRPr="00C209B7">
        <w:t>the</w:t>
      </w:r>
      <w:r w:rsidR="00C64050">
        <w:t xml:space="preserve"> </w:t>
      </w:r>
      <w:r w:rsidRPr="00C209B7">
        <w:t>charities</w:t>
      </w:r>
      <w:r w:rsidR="00C64050">
        <w:t xml:space="preserve"> </w:t>
      </w:r>
      <w:r w:rsidRPr="00C209B7">
        <w:t>named</w:t>
      </w:r>
      <w:r w:rsidR="00C64050">
        <w:t xml:space="preserve"> </w:t>
      </w:r>
      <w:r w:rsidRPr="00C209B7">
        <w:t>in</w:t>
      </w:r>
      <w:r w:rsidR="00C64050">
        <w:t xml:space="preserve"> </w:t>
      </w:r>
      <w:r w:rsidRPr="00C209B7">
        <w:t>one</w:t>
      </w:r>
      <w:r w:rsidR="00C64050">
        <w:t xml:space="preserve"> </w:t>
      </w:r>
      <w:r w:rsidRPr="00C209B7">
        <w:t>of</w:t>
      </w:r>
      <w:r w:rsidR="00C64050">
        <w:t xml:space="preserve"> </w:t>
      </w:r>
      <w:r w:rsidRPr="00C209B7">
        <w:t>the</w:t>
      </w:r>
      <w:r w:rsidR="00C64050">
        <w:t xml:space="preserve"> </w:t>
      </w:r>
      <w:r w:rsidRPr="00C209B7">
        <w:t>wills.</w:t>
      </w:r>
      <w:r w:rsidR="00C64050">
        <w:t xml:space="preserve"> </w:t>
      </w:r>
      <w:r w:rsidRPr="00C209B7">
        <w:t>Payments</w:t>
      </w:r>
      <w:r w:rsidR="00C64050">
        <w:t xml:space="preserve"> </w:t>
      </w:r>
      <w:r w:rsidRPr="00C209B7">
        <w:t>made</w:t>
      </w:r>
      <w:r w:rsidR="00C64050">
        <w:t xml:space="preserve"> </w:t>
      </w:r>
      <w:r w:rsidRPr="00C209B7">
        <w:t>to</w:t>
      </w:r>
      <w:r w:rsidR="00C64050">
        <w:t xml:space="preserve"> </w:t>
      </w:r>
      <w:r w:rsidRPr="00C209B7">
        <w:t>the</w:t>
      </w:r>
      <w:r w:rsidR="00C64050">
        <w:t xml:space="preserve"> </w:t>
      </w:r>
      <w:r w:rsidRPr="00C209B7">
        <w:t>charities</w:t>
      </w:r>
      <w:r w:rsidR="00C64050">
        <w:t xml:space="preserve"> </w:t>
      </w:r>
      <w:r w:rsidRPr="00C209B7">
        <w:t>under</w:t>
      </w:r>
      <w:r w:rsidR="00C64050">
        <w:t xml:space="preserve"> </w:t>
      </w:r>
      <w:r w:rsidRPr="00C209B7">
        <w:t>the</w:t>
      </w:r>
      <w:r w:rsidR="00C64050">
        <w:t xml:space="preserve"> </w:t>
      </w:r>
      <w:r w:rsidRPr="00C209B7">
        <w:t>written</w:t>
      </w:r>
      <w:r w:rsidR="00C64050">
        <w:t xml:space="preserve"> </w:t>
      </w:r>
      <w:r w:rsidRPr="00C209B7">
        <w:t>compromise</w:t>
      </w:r>
      <w:r w:rsidR="00C64050">
        <w:t xml:space="preserve"> </w:t>
      </w:r>
      <w:r w:rsidRPr="00C209B7">
        <w:t>agreement</w:t>
      </w:r>
      <w:r w:rsidR="00C64050">
        <w:t xml:space="preserve"> </w:t>
      </w:r>
      <w:r w:rsidRPr="00C209B7">
        <w:t>were</w:t>
      </w:r>
      <w:r w:rsidR="00C64050">
        <w:t xml:space="preserve"> </w:t>
      </w:r>
      <w:r w:rsidRPr="00C209B7">
        <w:t>held</w:t>
      </w:r>
      <w:r w:rsidR="00C64050">
        <w:t xml:space="preserve"> </w:t>
      </w:r>
      <w:r w:rsidRPr="00C209B7">
        <w:t>to</w:t>
      </w:r>
      <w:r w:rsidR="00C64050">
        <w:t xml:space="preserve"> </w:t>
      </w:r>
      <w:r w:rsidRPr="00C209B7">
        <w:t>be</w:t>
      </w:r>
      <w:r w:rsidR="00C64050">
        <w:t xml:space="preserve"> </w:t>
      </w:r>
      <w:r w:rsidRPr="00C209B7">
        <w:t>made</w:t>
      </w:r>
      <w:r w:rsidR="00C64050">
        <w:t xml:space="preserve"> </w:t>
      </w:r>
      <w:r w:rsidRPr="00C209B7">
        <w:t>pursuant</w:t>
      </w:r>
      <w:r w:rsidR="00C64050">
        <w:t xml:space="preserve"> </w:t>
      </w:r>
      <w:r w:rsidRPr="00C209B7">
        <w:t>to</w:t>
      </w:r>
      <w:r w:rsidR="00C64050">
        <w:t xml:space="preserve"> </w:t>
      </w:r>
      <w:r w:rsidRPr="00C209B7">
        <w:t>the</w:t>
      </w:r>
      <w:r w:rsidR="00C64050">
        <w:t xml:space="preserve"> </w:t>
      </w:r>
      <w:r w:rsidRPr="00C209B7">
        <w:t>will.</w:t>
      </w:r>
      <w:r w:rsidR="00C64050">
        <w:t xml:space="preserve"> </w:t>
      </w:r>
      <w:r w:rsidRPr="00C209B7">
        <w:t>Rev.</w:t>
      </w:r>
      <w:r w:rsidR="00C64050">
        <w:t xml:space="preserve"> </w:t>
      </w:r>
      <w:r w:rsidRPr="00C209B7">
        <w:t>Rul.</w:t>
      </w:r>
      <w:r w:rsidR="00C64050">
        <w:t xml:space="preserve"> </w:t>
      </w:r>
      <w:r w:rsidRPr="00C209B7">
        <w:t>59-15,</w:t>
      </w:r>
      <w:r w:rsidR="00C64050">
        <w:t xml:space="preserve"> </w:t>
      </w:r>
      <w:r w:rsidRPr="00C209B7">
        <w:t>1959-1</w:t>
      </w:r>
      <w:r w:rsidR="00C64050">
        <w:t xml:space="preserve"> </w:t>
      </w:r>
      <w:r w:rsidRPr="00C209B7">
        <w:t>C.B.</w:t>
      </w:r>
      <w:r w:rsidR="00C64050">
        <w:t xml:space="preserve"> </w:t>
      </w:r>
      <w:r w:rsidRPr="00C209B7">
        <w:t>164,</w:t>
      </w:r>
      <w:r w:rsidR="00C64050">
        <w:t xml:space="preserve"> </w:t>
      </w:r>
      <w:r w:rsidRPr="00C209B7">
        <w:t>citing</w:t>
      </w:r>
      <w:r w:rsidR="00C64050">
        <w:t xml:space="preserve"> </w:t>
      </w:r>
      <w:r w:rsidRPr="00C209B7">
        <w:rPr>
          <w:u w:val="single"/>
        </w:rPr>
        <w:t>Emanuelson</w:t>
      </w:r>
      <w:r w:rsidRPr="00C209B7">
        <w:t>,</w:t>
      </w:r>
      <w:r w:rsidR="00C64050">
        <w:t xml:space="preserve"> </w:t>
      </w:r>
      <w:r w:rsidRPr="00C209B7">
        <w:t>held</w:t>
      </w:r>
      <w:r w:rsidR="00C64050">
        <w:t xml:space="preserve"> </w:t>
      </w:r>
      <w:r w:rsidRPr="00C209B7">
        <w:t>that</w:t>
      </w:r>
      <w:r w:rsidR="00C64050">
        <w:t xml:space="preserve"> </w:t>
      </w:r>
      <w:r w:rsidRPr="00C209B7">
        <w:t>a</w:t>
      </w:r>
      <w:r w:rsidR="00C64050">
        <w:t xml:space="preserve"> </w:t>
      </w:r>
      <w:r w:rsidRPr="00C209B7">
        <w:t>settlement</w:t>
      </w:r>
      <w:r w:rsidR="00C64050">
        <w:t xml:space="preserve"> </w:t>
      </w:r>
      <w:r w:rsidRPr="00C209B7">
        <w:t>agreement</w:t>
      </w:r>
      <w:r w:rsidR="00C64050">
        <w:t xml:space="preserve"> </w:t>
      </w:r>
      <w:r w:rsidRPr="00C209B7">
        <w:t>arising</w:t>
      </w:r>
      <w:r w:rsidR="00C64050">
        <w:t xml:space="preserve"> </w:t>
      </w:r>
      <w:r w:rsidRPr="00C209B7">
        <w:t>from</w:t>
      </w:r>
      <w:r w:rsidR="00C64050">
        <w:t xml:space="preserve"> </w:t>
      </w:r>
      <w:r w:rsidRPr="00C209B7">
        <w:t>a</w:t>
      </w:r>
      <w:r w:rsidR="00C64050">
        <w:t xml:space="preserve"> </w:t>
      </w:r>
      <w:r w:rsidRPr="00C209B7">
        <w:t>will</w:t>
      </w:r>
      <w:r w:rsidR="00C64050">
        <w:t xml:space="preserve"> </w:t>
      </w:r>
      <w:r w:rsidRPr="00C209B7">
        <w:t>contest</w:t>
      </w:r>
      <w:r w:rsidR="00C64050">
        <w:t xml:space="preserve"> </w:t>
      </w:r>
      <w:r w:rsidRPr="00C209B7">
        <w:t>qualifies</w:t>
      </w:r>
      <w:r w:rsidR="00C64050">
        <w:t xml:space="preserve"> </w:t>
      </w:r>
      <w:r w:rsidRPr="00C209B7">
        <w:t>as</w:t>
      </w:r>
      <w:r w:rsidR="00C64050">
        <w:t xml:space="preserve"> </w:t>
      </w:r>
      <w:r w:rsidRPr="00C209B7">
        <w:t>a</w:t>
      </w:r>
      <w:r w:rsidR="00C64050">
        <w:t xml:space="preserve"> </w:t>
      </w:r>
      <w:r w:rsidRPr="00C209B7">
        <w:t>governing</w:t>
      </w:r>
      <w:r w:rsidR="00C64050">
        <w:t xml:space="preserve"> </w:t>
      </w:r>
      <w:r w:rsidRPr="00C209B7">
        <w:t>instrument.</w:t>
      </w:r>
    </w:p>
    <w:p w:rsidR="008D344C" w:rsidRPr="00C209B7" w:rsidRDefault="008D344C" w:rsidP="008D344C">
      <w:pPr>
        <w:pStyle w:val="QS10"/>
      </w:pPr>
      <w:r w:rsidRPr="00C209B7">
        <w:t>In</w:t>
      </w:r>
      <w:r w:rsidR="00C64050">
        <w:t xml:space="preserve"> </w:t>
      </w:r>
      <w:r w:rsidRPr="00C209B7">
        <w:t>the</w:t>
      </w:r>
      <w:r w:rsidR="00C64050">
        <w:t xml:space="preserve"> </w:t>
      </w:r>
      <w:r w:rsidRPr="00C209B7">
        <w:t>current</w:t>
      </w:r>
      <w:r w:rsidR="00C64050">
        <w:t xml:space="preserve"> </w:t>
      </w:r>
      <w:r w:rsidRPr="00C209B7">
        <w:t>case,</w:t>
      </w:r>
      <w:r w:rsidR="00C64050">
        <w:t xml:space="preserve"> </w:t>
      </w:r>
      <w:r w:rsidRPr="00C209B7">
        <w:t>the</w:t>
      </w:r>
      <w:r w:rsidR="00C64050">
        <w:t xml:space="preserve"> </w:t>
      </w:r>
      <w:r w:rsidRPr="00C209B7">
        <w:t>taxpayer</w:t>
      </w:r>
      <w:r w:rsidR="00C64050">
        <w:t xml:space="preserve"> </w:t>
      </w:r>
      <w:r w:rsidRPr="00C209B7">
        <w:t>makes</w:t>
      </w:r>
      <w:r w:rsidR="00C64050">
        <w:t xml:space="preserve"> </w:t>
      </w:r>
      <w:r w:rsidRPr="00C209B7">
        <w:t>a</w:t>
      </w:r>
      <w:r w:rsidR="00C64050">
        <w:t xml:space="preserve"> </w:t>
      </w:r>
      <w:r w:rsidRPr="00C209B7">
        <w:t>summary</w:t>
      </w:r>
      <w:r w:rsidR="00C64050">
        <w:t xml:space="preserve"> </w:t>
      </w:r>
      <w:r w:rsidRPr="00C209B7">
        <w:t>argument</w:t>
      </w:r>
      <w:r w:rsidR="00C64050">
        <w:t xml:space="preserve"> </w:t>
      </w:r>
      <w:r w:rsidRPr="00C209B7">
        <w:t>that</w:t>
      </w:r>
      <w:r w:rsidR="00C64050">
        <w:t xml:space="preserve"> </w:t>
      </w:r>
      <w:r w:rsidRPr="00C209B7">
        <w:t>the</w:t>
      </w:r>
      <w:r w:rsidR="00C64050">
        <w:t xml:space="preserve"> </w:t>
      </w:r>
      <w:r w:rsidRPr="00C209B7">
        <w:t>payments</w:t>
      </w:r>
      <w:r w:rsidR="00C64050">
        <w:t xml:space="preserve"> </w:t>
      </w:r>
      <w:r w:rsidRPr="00C209B7">
        <w:t>qualify</w:t>
      </w:r>
      <w:r w:rsidR="00C64050">
        <w:t xml:space="preserve"> </w:t>
      </w:r>
      <w:r w:rsidRPr="00C209B7">
        <w:t>under</w:t>
      </w:r>
      <w:r w:rsidR="00C64050">
        <w:t xml:space="preserve"> </w:t>
      </w:r>
      <w:r w:rsidRPr="00C209B7">
        <w:t>§</w:t>
      </w:r>
      <w:r w:rsidR="00C64050">
        <w:t xml:space="preserve"> </w:t>
      </w:r>
      <w:r w:rsidRPr="00C209B7">
        <w:t>642(c)</w:t>
      </w:r>
      <w:r w:rsidR="00C64050">
        <w:t xml:space="preserve"> </w:t>
      </w:r>
      <w:r w:rsidRPr="00C209B7">
        <w:t>because</w:t>
      </w:r>
      <w:r w:rsidR="00C64050">
        <w:t xml:space="preserve"> </w:t>
      </w:r>
      <w:r w:rsidRPr="00C209B7">
        <w:t>they</w:t>
      </w:r>
      <w:r w:rsidR="00C64050">
        <w:t xml:space="preserve"> </w:t>
      </w:r>
      <w:r w:rsidRPr="00C209B7">
        <w:t>are</w:t>
      </w:r>
      <w:r w:rsidR="00C64050">
        <w:t xml:space="preserve"> </w:t>
      </w:r>
      <w:r w:rsidRPr="00C209B7">
        <w:t>pursuant</w:t>
      </w:r>
      <w:r w:rsidR="00C64050">
        <w:t xml:space="preserve"> </w:t>
      </w:r>
      <w:r w:rsidRPr="00C209B7">
        <w:t>to</w:t>
      </w:r>
      <w:r w:rsidR="00C64050">
        <w:t xml:space="preserve"> </w:t>
      </w:r>
      <w:r w:rsidRPr="00C209B7">
        <w:t>the</w:t>
      </w:r>
      <w:r w:rsidR="00C64050">
        <w:t xml:space="preserve"> </w:t>
      </w:r>
      <w:r w:rsidRPr="00C209B7">
        <w:t>governing</w:t>
      </w:r>
      <w:r w:rsidR="00C64050">
        <w:t xml:space="preserve"> </w:t>
      </w:r>
      <w:r w:rsidRPr="00C209B7">
        <w:t>instrument,</w:t>
      </w:r>
      <w:r w:rsidR="00C64050">
        <w:t xml:space="preserve"> </w:t>
      </w:r>
      <w:r w:rsidRPr="00C209B7">
        <w:t>citing</w:t>
      </w:r>
      <w:r w:rsidR="00C64050">
        <w:t xml:space="preserve"> </w:t>
      </w:r>
      <w:r w:rsidRPr="00C209B7">
        <w:t>to</w:t>
      </w:r>
      <w:r w:rsidR="00C64050">
        <w:t xml:space="preserve"> </w:t>
      </w:r>
      <w:r w:rsidRPr="00C209B7">
        <w:rPr>
          <w:u w:val="single"/>
        </w:rPr>
        <w:t>Old</w:t>
      </w:r>
      <w:r w:rsidR="00C64050">
        <w:rPr>
          <w:u w:val="single"/>
        </w:rPr>
        <w:t xml:space="preserve"> </w:t>
      </w:r>
      <w:r w:rsidRPr="00C209B7">
        <w:rPr>
          <w:u w:val="single"/>
        </w:rPr>
        <w:t>Colony</w:t>
      </w:r>
      <w:r w:rsidRPr="00C209B7">
        <w:t>.</w:t>
      </w:r>
      <w:r w:rsidR="00C64050">
        <w:t xml:space="preserve"> </w:t>
      </w:r>
      <w:r w:rsidRPr="00C209B7">
        <w:t>They</w:t>
      </w:r>
      <w:r w:rsidR="00C64050">
        <w:t xml:space="preserve"> </w:t>
      </w:r>
      <w:r w:rsidRPr="00C209B7">
        <w:t>do</w:t>
      </w:r>
      <w:r w:rsidR="00C64050">
        <w:t xml:space="preserve"> </w:t>
      </w:r>
      <w:r w:rsidRPr="00C209B7">
        <w:t>not</w:t>
      </w:r>
      <w:r w:rsidR="00C64050">
        <w:t xml:space="preserve"> </w:t>
      </w:r>
      <w:r w:rsidRPr="00C209B7">
        <w:t>address</w:t>
      </w:r>
      <w:r w:rsidR="00C64050">
        <w:t xml:space="preserve"> </w:t>
      </w:r>
      <w:r w:rsidRPr="00C209B7">
        <w:t>the</w:t>
      </w:r>
      <w:r w:rsidR="00C64050">
        <w:t xml:space="preserve"> </w:t>
      </w:r>
      <w:r w:rsidRPr="00C209B7">
        <w:t>authorities</w:t>
      </w:r>
      <w:r w:rsidR="00C64050">
        <w:t xml:space="preserve"> </w:t>
      </w:r>
      <w:r w:rsidRPr="00C209B7">
        <w:t>concerning</w:t>
      </w:r>
      <w:r w:rsidR="00C64050">
        <w:t xml:space="preserve"> </w:t>
      </w:r>
      <w:r w:rsidRPr="00C209B7">
        <w:t>deductions</w:t>
      </w:r>
      <w:r w:rsidR="00C64050">
        <w:t xml:space="preserve"> </w:t>
      </w:r>
      <w:r w:rsidRPr="00C209B7">
        <w:t>under</w:t>
      </w:r>
      <w:r w:rsidR="00C64050">
        <w:t xml:space="preserve"> </w:t>
      </w:r>
      <w:r w:rsidRPr="00C209B7">
        <w:t>modified</w:t>
      </w:r>
      <w:r w:rsidR="00C64050">
        <w:t xml:space="preserve"> </w:t>
      </w:r>
      <w:r w:rsidRPr="00C209B7">
        <w:t>trust</w:t>
      </w:r>
      <w:r w:rsidR="00C64050">
        <w:t xml:space="preserve"> </w:t>
      </w:r>
      <w:r w:rsidRPr="00C209B7">
        <w:t>instruments.</w:t>
      </w:r>
      <w:r w:rsidR="00C64050">
        <w:t xml:space="preserve"> </w:t>
      </w:r>
      <w:r w:rsidRPr="00C209B7">
        <w:t>Here</w:t>
      </w:r>
      <w:r w:rsidR="00C64050">
        <w:t xml:space="preserve"> </w:t>
      </w:r>
      <w:r w:rsidRPr="00C209B7">
        <w:t>there</w:t>
      </w:r>
      <w:r w:rsidR="00C64050">
        <w:t xml:space="preserve"> </w:t>
      </w:r>
      <w:r w:rsidRPr="00C209B7">
        <w:t>was</w:t>
      </w:r>
      <w:r w:rsidR="00C64050">
        <w:t xml:space="preserve"> </w:t>
      </w:r>
      <w:r w:rsidRPr="00C209B7">
        <w:t>no</w:t>
      </w:r>
      <w:r w:rsidR="00C64050">
        <w:t xml:space="preserve"> </w:t>
      </w:r>
      <w:r w:rsidRPr="00C209B7">
        <w:t>conflict</w:t>
      </w:r>
      <w:r w:rsidR="00C64050">
        <w:t xml:space="preserve"> </w:t>
      </w:r>
      <w:r w:rsidRPr="00C209B7">
        <w:t>with</w:t>
      </w:r>
      <w:r w:rsidR="00C64050">
        <w:t xml:space="preserve"> </w:t>
      </w:r>
      <w:r w:rsidRPr="00C209B7">
        <w:t>respect</w:t>
      </w:r>
      <w:r w:rsidR="00C64050">
        <w:t xml:space="preserve"> </w:t>
      </w:r>
      <w:r w:rsidRPr="00C209B7">
        <w:t>to</w:t>
      </w:r>
      <w:r w:rsidR="00C64050">
        <w:t xml:space="preserve"> </w:t>
      </w:r>
      <w:r w:rsidRPr="00C209B7">
        <w:rPr>
          <w:u w:val="single"/>
        </w:rPr>
        <w:t>Trust</w:t>
      </w:r>
      <w:r w:rsidR="00C64050">
        <w:rPr>
          <w:u w:val="single"/>
        </w:rPr>
        <w:t xml:space="preserve"> </w:t>
      </w:r>
      <w:r w:rsidRPr="00C209B7">
        <w:rPr>
          <w:u w:val="single"/>
        </w:rPr>
        <w:t>B</w:t>
      </w:r>
      <w:r w:rsidR="00C64050">
        <w:t xml:space="preserve"> </w:t>
      </w:r>
      <w:r w:rsidRPr="00C209B7">
        <w:t>subsequent</w:t>
      </w:r>
      <w:r w:rsidR="00C64050">
        <w:t xml:space="preserve"> </w:t>
      </w:r>
      <w:r w:rsidRPr="00C209B7">
        <w:t>to</w:t>
      </w:r>
      <w:r w:rsidR="00C64050">
        <w:t xml:space="preserve"> </w:t>
      </w:r>
      <w:r w:rsidRPr="00C209B7">
        <w:t>the</w:t>
      </w:r>
      <w:r w:rsidR="00C64050">
        <w:t xml:space="preserve"> </w:t>
      </w:r>
      <w:r w:rsidRPr="00C209B7">
        <w:t>division</w:t>
      </w:r>
      <w:r w:rsidR="00C64050">
        <w:t xml:space="preserve"> </w:t>
      </w:r>
      <w:r w:rsidRPr="00C209B7">
        <w:t>of</w:t>
      </w:r>
      <w:r w:rsidR="00C64050">
        <w:t xml:space="preserve"> </w:t>
      </w:r>
      <w:r w:rsidRPr="00C209B7">
        <w:rPr>
          <w:u w:val="single"/>
        </w:rPr>
        <w:t>Parent</w:t>
      </w:r>
      <w:r w:rsidR="00C64050">
        <w:rPr>
          <w:u w:val="single"/>
        </w:rPr>
        <w:t xml:space="preserve"> </w:t>
      </w:r>
      <w:r w:rsidRPr="00C209B7">
        <w:rPr>
          <w:u w:val="single"/>
        </w:rPr>
        <w:t>Trust</w:t>
      </w:r>
      <w:r w:rsidRPr="00C209B7">
        <w:t>.</w:t>
      </w:r>
      <w:r w:rsidR="00C64050">
        <w:t xml:space="preserve"> </w:t>
      </w:r>
      <w:r w:rsidRPr="00C209B7">
        <w:t>The</w:t>
      </w:r>
      <w:r w:rsidR="00C64050">
        <w:t xml:space="preserve"> </w:t>
      </w:r>
      <w:r w:rsidRPr="00C209B7">
        <w:t>trust</w:t>
      </w:r>
      <w:r w:rsidR="00C64050">
        <w:t xml:space="preserve"> </w:t>
      </w:r>
      <w:r w:rsidRPr="00C209B7">
        <w:t>terms</w:t>
      </w:r>
      <w:r w:rsidR="00C64050">
        <w:t xml:space="preserve"> </w:t>
      </w:r>
      <w:r w:rsidRPr="00C209B7">
        <w:t>were</w:t>
      </w:r>
      <w:r w:rsidR="00C64050">
        <w:t xml:space="preserve"> </w:t>
      </w:r>
      <w:r w:rsidRPr="00C209B7">
        <w:t>unambiguous.</w:t>
      </w:r>
      <w:r w:rsidR="00C64050">
        <w:t xml:space="preserve"> </w:t>
      </w:r>
      <w:r w:rsidRPr="00C209B7">
        <w:t>The</w:t>
      </w:r>
      <w:r w:rsidR="00C64050">
        <w:t xml:space="preserve"> </w:t>
      </w:r>
      <w:r w:rsidRPr="00C209B7">
        <w:t>purpose</w:t>
      </w:r>
      <w:r w:rsidR="00C64050">
        <w:t xml:space="preserve"> </w:t>
      </w:r>
      <w:r w:rsidRPr="00C209B7">
        <w:t>of</w:t>
      </w:r>
      <w:r w:rsidR="00C64050">
        <w:t xml:space="preserve"> </w:t>
      </w:r>
      <w:r w:rsidRPr="00C209B7">
        <w:t>the</w:t>
      </w:r>
      <w:r w:rsidR="00C64050">
        <w:t xml:space="preserve"> </w:t>
      </w:r>
      <w:r w:rsidRPr="00C209B7">
        <w:t>court</w:t>
      </w:r>
      <w:r w:rsidR="00C64050">
        <w:t xml:space="preserve"> </w:t>
      </w:r>
      <w:r w:rsidRPr="00C209B7">
        <w:t>order</w:t>
      </w:r>
      <w:r w:rsidR="00C64050">
        <w:t xml:space="preserve"> </w:t>
      </w:r>
      <w:r w:rsidRPr="00C209B7">
        <w:t>was</w:t>
      </w:r>
      <w:r w:rsidR="00C64050">
        <w:t xml:space="preserve"> </w:t>
      </w:r>
      <w:r w:rsidRPr="00C209B7">
        <w:t>not</w:t>
      </w:r>
      <w:r w:rsidR="00C64050">
        <w:t xml:space="preserve"> </w:t>
      </w:r>
      <w:r w:rsidRPr="00C209B7">
        <w:t>to</w:t>
      </w:r>
      <w:r w:rsidR="00C64050">
        <w:t xml:space="preserve"> </w:t>
      </w:r>
      <w:r w:rsidRPr="00C209B7">
        <w:t>resolve</w:t>
      </w:r>
      <w:r w:rsidR="00C64050">
        <w:t xml:space="preserve"> </w:t>
      </w:r>
      <w:r w:rsidRPr="00C209B7">
        <w:t>a</w:t>
      </w:r>
      <w:r w:rsidR="00C64050">
        <w:t xml:space="preserve"> </w:t>
      </w:r>
      <w:r w:rsidRPr="00C209B7">
        <w:t>conflict</w:t>
      </w:r>
      <w:r w:rsidR="00C64050">
        <w:t xml:space="preserve"> </w:t>
      </w:r>
      <w:r w:rsidRPr="00C209B7">
        <w:t>in</w:t>
      </w:r>
      <w:r w:rsidR="00C64050">
        <w:t xml:space="preserve"> </w:t>
      </w:r>
      <w:r w:rsidRPr="00C209B7">
        <w:rPr>
          <w:u w:val="single"/>
        </w:rPr>
        <w:t>Trust</w:t>
      </w:r>
      <w:r w:rsidR="00C64050">
        <w:rPr>
          <w:u w:val="single"/>
        </w:rPr>
        <w:t xml:space="preserve"> </w:t>
      </w:r>
      <w:r w:rsidRPr="00C209B7">
        <w:rPr>
          <w:u w:val="single"/>
        </w:rPr>
        <w:t>B</w:t>
      </w:r>
      <w:r w:rsidR="00C64050">
        <w:t xml:space="preserve"> </w:t>
      </w:r>
      <w:r w:rsidRPr="00C209B7">
        <w:t>but</w:t>
      </w:r>
      <w:r w:rsidR="00C64050">
        <w:t xml:space="preserve"> </w:t>
      </w:r>
      <w:r w:rsidRPr="00C209B7">
        <w:t>to</w:t>
      </w:r>
      <w:r w:rsidR="00C64050">
        <w:t xml:space="preserve"> </w:t>
      </w:r>
      <w:r w:rsidRPr="00C209B7">
        <w:t>obtain</w:t>
      </w:r>
      <w:r w:rsidR="00C64050">
        <w:t xml:space="preserve"> </w:t>
      </w:r>
      <w:r w:rsidRPr="00C209B7">
        <w:t>the</w:t>
      </w:r>
      <w:r w:rsidR="00C64050">
        <w:t xml:space="preserve"> </w:t>
      </w:r>
      <w:r w:rsidRPr="00C209B7">
        <w:t>economic</w:t>
      </w:r>
      <w:r w:rsidR="00C64050">
        <w:t xml:space="preserve"> </w:t>
      </w:r>
      <w:r w:rsidRPr="00C209B7">
        <w:t>benefits</w:t>
      </w:r>
      <w:r w:rsidR="00C64050">
        <w:t xml:space="preserve"> </w:t>
      </w:r>
      <w:r w:rsidRPr="00C209B7">
        <w:t>which</w:t>
      </w:r>
      <w:r w:rsidR="00C64050">
        <w:t xml:space="preserve"> </w:t>
      </w:r>
      <w:r w:rsidRPr="00C209B7">
        <w:t>the</w:t>
      </w:r>
      <w:r w:rsidR="00C64050">
        <w:t xml:space="preserve"> </w:t>
      </w:r>
      <w:r w:rsidRPr="00C209B7">
        <w:t>parties</w:t>
      </w:r>
      <w:r w:rsidR="00C64050">
        <w:t xml:space="preserve"> </w:t>
      </w:r>
      <w:r w:rsidRPr="00C209B7">
        <w:t>believe</w:t>
      </w:r>
      <w:r w:rsidR="00C64050">
        <w:t xml:space="preserve"> </w:t>
      </w:r>
      <w:r w:rsidRPr="00C209B7">
        <w:t>they</w:t>
      </w:r>
      <w:r w:rsidR="00C64050">
        <w:t xml:space="preserve"> </w:t>
      </w:r>
      <w:r w:rsidRPr="00C209B7">
        <w:t>will</w:t>
      </w:r>
      <w:r w:rsidR="00C64050">
        <w:t xml:space="preserve"> </w:t>
      </w:r>
      <w:r w:rsidRPr="00C209B7">
        <w:t>receive</w:t>
      </w:r>
      <w:r w:rsidR="00C64050">
        <w:t xml:space="preserve"> </w:t>
      </w:r>
      <w:r w:rsidRPr="00C209B7">
        <w:t>from</w:t>
      </w:r>
      <w:r w:rsidR="00C64050">
        <w:t xml:space="preserve"> </w:t>
      </w:r>
      <w:r w:rsidRPr="00C209B7">
        <w:t>the</w:t>
      </w:r>
      <w:r w:rsidR="00C64050">
        <w:t xml:space="preserve"> </w:t>
      </w:r>
      <w:r w:rsidRPr="00C209B7">
        <w:t>modification</w:t>
      </w:r>
      <w:r w:rsidR="00C64050">
        <w:t xml:space="preserve"> </w:t>
      </w:r>
      <w:r w:rsidRPr="00C209B7">
        <w:t>of</w:t>
      </w:r>
      <w:r w:rsidR="00C64050">
        <w:t xml:space="preserve"> </w:t>
      </w:r>
      <w:r w:rsidRPr="00C209B7">
        <w:t>the</w:t>
      </w:r>
      <w:r w:rsidR="00C64050">
        <w:t xml:space="preserve"> </w:t>
      </w:r>
      <w:r w:rsidRPr="00C209B7">
        <w:rPr>
          <w:u w:val="single"/>
        </w:rPr>
        <w:t>Parent</w:t>
      </w:r>
      <w:r w:rsidR="00C64050">
        <w:rPr>
          <w:u w:val="single"/>
        </w:rPr>
        <w:t xml:space="preserve"> </w:t>
      </w:r>
      <w:r w:rsidRPr="00C209B7">
        <w:rPr>
          <w:u w:val="single"/>
        </w:rPr>
        <w:t>Trust</w:t>
      </w:r>
      <w:r w:rsidRPr="00C209B7">
        <w:t>.</w:t>
      </w:r>
      <w:r w:rsidR="00C64050">
        <w:t xml:space="preserve"> </w:t>
      </w:r>
      <w:r w:rsidRPr="00C209B7">
        <w:t>Neither</w:t>
      </w:r>
      <w:r w:rsidR="00C64050">
        <w:t xml:space="preserve"> </w:t>
      </w:r>
      <w:r w:rsidRPr="00C209B7">
        <w:t>Rev.</w:t>
      </w:r>
      <w:r w:rsidR="00C64050">
        <w:t xml:space="preserve"> </w:t>
      </w:r>
      <w:r w:rsidRPr="00C209B7">
        <w:t>Rul.</w:t>
      </w:r>
      <w:r w:rsidR="00C64050">
        <w:t xml:space="preserve"> </w:t>
      </w:r>
      <w:r w:rsidRPr="00C209B7">
        <w:t>59-15</w:t>
      </w:r>
      <w:r w:rsidR="00C64050">
        <w:t xml:space="preserve"> </w:t>
      </w:r>
      <w:r w:rsidRPr="00C209B7">
        <w:t>nor</w:t>
      </w:r>
      <w:r w:rsidR="00C64050">
        <w:t xml:space="preserve"> </w:t>
      </w:r>
      <w:r w:rsidRPr="00C209B7">
        <w:rPr>
          <w:u w:val="single"/>
        </w:rPr>
        <w:t>Emanuelson</w:t>
      </w:r>
      <w:r w:rsidR="00C64050">
        <w:t xml:space="preserve"> </w:t>
      </w:r>
      <w:r w:rsidRPr="00C209B7">
        <w:t>hold</w:t>
      </w:r>
      <w:r w:rsidR="00C64050">
        <w:t xml:space="preserve"> </w:t>
      </w:r>
      <w:r w:rsidRPr="00C209B7">
        <w:t>that</w:t>
      </w:r>
      <w:r w:rsidR="00C64050">
        <w:t xml:space="preserve"> </w:t>
      </w:r>
      <w:r w:rsidRPr="00C209B7">
        <w:t>a</w:t>
      </w:r>
      <w:r w:rsidR="00C64050">
        <w:t xml:space="preserve"> </w:t>
      </w:r>
      <w:r w:rsidRPr="00C209B7">
        <w:t>modification</w:t>
      </w:r>
      <w:r w:rsidR="00C64050">
        <w:t xml:space="preserve"> </w:t>
      </w:r>
      <w:r w:rsidRPr="00C209B7">
        <w:t>to</w:t>
      </w:r>
      <w:r w:rsidR="00C64050">
        <w:t xml:space="preserve"> </w:t>
      </w:r>
      <w:r w:rsidRPr="00C209B7">
        <w:t>a</w:t>
      </w:r>
      <w:r w:rsidR="00C64050">
        <w:t xml:space="preserve"> </w:t>
      </w:r>
      <w:r w:rsidRPr="00C209B7">
        <w:t>governing</w:t>
      </w:r>
      <w:r w:rsidR="00C64050">
        <w:t xml:space="preserve"> </w:t>
      </w:r>
      <w:r w:rsidRPr="00C209B7">
        <w:t>instrument</w:t>
      </w:r>
      <w:r w:rsidR="00C64050">
        <w:t xml:space="preserve"> </w:t>
      </w:r>
      <w:r w:rsidRPr="00C209B7">
        <w:t>will</w:t>
      </w:r>
      <w:r w:rsidR="00C64050">
        <w:t xml:space="preserve"> </w:t>
      </w:r>
      <w:r w:rsidRPr="00C209B7">
        <w:t>be</w:t>
      </w:r>
      <w:r w:rsidR="00C64050">
        <w:t xml:space="preserve"> </w:t>
      </w:r>
      <w:r w:rsidRPr="00C209B7">
        <w:t>construed</w:t>
      </w:r>
      <w:r w:rsidR="00C64050">
        <w:t xml:space="preserve"> </w:t>
      </w:r>
      <w:r w:rsidRPr="00C209B7">
        <w:t>to</w:t>
      </w:r>
      <w:r w:rsidR="00C64050">
        <w:t xml:space="preserve"> </w:t>
      </w:r>
      <w:r w:rsidRPr="00C209B7">
        <w:t>be</w:t>
      </w:r>
      <w:r w:rsidR="00C64050">
        <w:t xml:space="preserve"> </w:t>
      </w:r>
      <w:r w:rsidRPr="00C209B7">
        <w:t>the</w:t>
      </w:r>
      <w:r w:rsidR="00C64050">
        <w:t xml:space="preserve"> </w:t>
      </w:r>
      <w:r w:rsidRPr="00C209B7">
        <w:t>governing</w:t>
      </w:r>
      <w:r w:rsidR="00C64050">
        <w:t xml:space="preserve"> </w:t>
      </w:r>
      <w:r w:rsidRPr="00C209B7">
        <w:t>instrument</w:t>
      </w:r>
      <w:r w:rsidR="00C64050">
        <w:t xml:space="preserve"> </w:t>
      </w:r>
      <w:r w:rsidRPr="00C209B7">
        <w:t>in</w:t>
      </w:r>
      <w:r w:rsidR="00C64050">
        <w:t xml:space="preserve"> </w:t>
      </w:r>
      <w:r w:rsidRPr="00C209B7">
        <w:t>situations</w:t>
      </w:r>
      <w:r w:rsidR="00C64050">
        <w:t xml:space="preserve"> </w:t>
      </w:r>
      <w:r w:rsidRPr="00C209B7">
        <w:t>where</w:t>
      </w:r>
      <w:r w:rsidR="00C64050">
        <w:t xml:space="preserve"> </w:t>
      </w:r>
      <w:r w:rsidRPr="00C209B7">
        <w:t>the</w:t>
      </w:r>
      <w:r w:rsidR="00C64050">
        <w:t xml:space="preserve"> </w:t>
      </w:r>
      <w:r w:rsidRPr="00C209B7">
        <w:t>modification</w:t>
      </w:r>
      <w:r w:rsidR="00C64050">
        <w:t xml:space="preserve"> </w:t>
      </w:r>
      <w:r w:rsidRPr="00C209B7">
        <w:t>does</w:t>
      </w:r>
      <w:r w:rsidR="00C64050">
        <w:t xml:space="preserve"> </w:t>
      </w:r>
      <w:r w:rsidRPr="00C209B7">
        <w:t>not</w:t>
      </w:r>
      <w:r w:rsidR="00C64050">
        <w:t xml:space="preserve"> </w:t>
      </w:r>
      <w:r w:rsidRPr="00C209B7">
        <w:t>stem</w:t>
      </w:r>
      <w:r w:rsidR="00C64050">
        <w:t xml:space="preserve"> </w:t>
      </w:r>
      <w:r w:rsidRPr="00C209B7">
        <w:t>from</w:t>
      </w:r>
      <w:r w:rsidR="00C64050">
        <w:t xml:space="preserve"> </w:t>
      </w:r>
      <w:r w:rsidRPr="00C209B7">
        <w:t>a</w:t>
      </w:r>
      <w:r w:rsidR="00C64050">
        <w:t xml:space="preserve"> </w:t>
      </w:r>
      <w:r w:rsidRPr="00C209B7">
        <w:t>conflict</w:t>
      </w:r>
      <w:r w:rsidR="00C64050">
        <w:t xml:space="preserve"> </w:t>
      </w:r>
      <w:r w:rsidRPr="00C209B7">
        <w:t>of</w:t>
      </w:r>
      <w:r w:rsidR="00C64050">
        <w:t xml:space="preserve"> </w:t>
      </w:r>
      <w:r w:rsidRPr="00C209B7">
        <w:t>some</w:t>
      </w:r>
      <w:r w:rsidR="00C64050">
        <w:t xml:space="preserve"> </w:t>
      </w:r>
      <w:r w:rsidRPr="00C209B7">
        <w:t>sort.</w:t>
      </w:r>
      <w:r w:rsidR="00C64050">
        <w:t xml:space="preserve"> </w:t>
      </w:r>
      <w:r w:rsidRPr="00C209B7">
        <w:t>Additionally,</w:t>
      </w:r>
      <w:r w:rsidR="00C64050">
        <w:t xml:space="preserve"> </w:t>
      </w:r>
      <w:r w:rsidRPr="00C209B7">
        <w:t>both</w:t>
      </w:r>
      <w:r w:rsidR="00C64050">
        <w:t xml:space="preserve"> </w:t>
      </w:r>
      <w:r w:rsidRPr="00C209B7">
        <w:rPr>
          <w:u w:val="single"/>
        </w:rPr>
        <w:t>Crown</w:t>
      </w:r>
      <w:r w:rsidR="00C64050">
        <w:t xml:space="preserve"> </w:t>
      </w:r>
      <w:r w:rsidRPr="00C209B7">
        <w:t>and</w:t>
      </w:r>
      <w:r w:rsidR="00C64050">
        <w:t xml:space="preserve"> </w:t>
      </w:r>
      <w:r w:rsidRPr="00C209B7">
        <w:rPr>
          <w:u w:val="single"/>
        </w:rPr>
        <w:t>Brownstone</w:t>
      </w:r>
      <w:r w:rsidR="00C64050">
        <w:t xml:space="preserve"> </w:t>
      </w:r>
      <w:r w:rsidRPr="00C209B7">
        <w:t>have</w:t>
      </w:r>
      <w:r w:rsidR="00C64050">
        <w:t xml:space="preserve"> </w:t>
      </w:r>
      <w:r w:rsidRPr="00C209B7">
        <w:t>a</w:t>
      </w:r>
      <w:r w:rsidR="00C64050">
        <w:t xml:space="preserve"> </w:t>
      </w:r>
      <w:r w:rsidRPr="00C209B7">
        <w:t>narrow</w:t>
      </w:r>
      <w:r w:rsidR="00C64050">
        <w:t xml:space="preserve"> </w:t>
      </w:r>
      <w:r w:rsidRPr="00C209B7">
        <w:t>interpretation</w:t>
      </w:r>
      <w:r w:rsidR="00C64050">
        <w:t xml:space="preserve"> </w:t>
      </w:r>
      <w:r w:rsidRPr="00C209B7">
        <w:t>of</w:t>
      </w:r>
      <w:r w:rsidR="00C64050">
        <w:t xml:space="preserve"> </w:t>
      </w:r>
      <w:r w:rsidRPr="00C209B7">
        <w:t>what</w:t>
      </w:r>
      <w:r w:rsidR="00C64050">
        <w:t xml:space="preserve"> </w:t>
      </w:r>
      <w:r w:rsidRPr="00C209B7">
        <w:t>qualifies</w:t>
      </w:r>
      <w:r w:rsidR="00C64050">
        <w:t xml:space="preserve"> </w:t>
      </w:r>
      <w:r w:rsidRPr="00C209B7">
        <w:t>as</w:t>
      </w:r>
      <w:r w:rsidR="00C64050">
        <w:t xml:space="preserve"> </w:t>
      </w:r>
      <w:r w:rsidRPr="00C209B7">
        <w:t>pursuant</w:t>
      </w:r>
      <w:r w:rsidR="00C64050">
        <w:t xml:space="preserve"> </w:t>
      </w:r>
      <w:r w:rsidRPr="00C209B7">
        <w:t>to</w:t>
      </w:r>
      <w:r w:rsidR="00C64050">
        <w:t xml:space="preserve"> </w:t>
      </w:r>
      <w:r w:rsidRPr="00C209B7">
        <w:t>a</w:t>
      </w:r>
      <w:r w:rsidR="00C64050">
        <w:t xml:space="preserve"> </w:t>
      </w:r>
      <w:r w:rsidRPr="00C209B7">
        <w:t>governing</w:t>
      </w:r>
      <w:r w:rsidR="00C64050">
        <w:t xml:space="preserve"> </w:t>
      </w:r>
      <w:r w:rsidRPr="00C209B7">
        <w:t>instrument.</w:t>
      </w:r>
      <w:r w:rsidR="00C64050">
        <w:t xml:space="preserve"> </w:t>
      </w:r>
      <w:r w:rsidRPr="00C209B7">
        <w:t>Therefore,</w:t>
      </w:r>
      <w:r w:rsidR="00C64050">
        <w:t xml:space="preserve"> </w:t>
      </w:r>
      <w:r w:rsidRPr="00C209B7">
        <w:t>any</w:t>
      </w:r>
      <w:r w:rsidR="00C64050">
        <w:t xml:space="preserve"> </w:t>
      </w:r>
      <w:r w:rsidRPr="00C209B7">
        <w:t>payments</w:t>
      </w:r>
      <w:r w:rsidR="00C64050">
        <w:t xml:space="preserve"> </w:t>
      </w:r>
      <w:r w:rsidRPr="00C209B7">
        <w:t>to</w:t>
      </w:r>
      <w:r w:rsidR="00C64050">
        <w:t xml:space="preserve"> </w:t>
      </w:r>
      <w:r w:rsidRPr="00C209B7">
        <w:rPr>
          <w:u w:val="single"/>
        </w:rPr>
        <w:t>Foundation</w:t>
      </w:r>
      <w:r w:rsidR="00C64050">
        <w:rPr>
          <w:u w:val="single"/>
        </w:rPr>
        <w:t xml:space="preserve"> </w:t>
      </w:r>
      <w:r w:rsidRPr="00C209B7">
        <w:rPr>
          <w:u w:val="single"/>
        </w:rPr>
        <w:t>1</w:t>
      </w:r>
      <w:r w:rsidR="00C64050">
        <w:t xml:space="preserve"> </w:t>
      </w:r>
      <w:r w:rsidRPr="00C209B7">
        <w:t>and</w:t>
      </w:r>
      <w:r w:rsidR="00C64050">
        <w:t xml:space="preserve"> </w:t>
      </w:r>
      <w:r w:rsidRPr="00C209B7">
        <w:rPr>
          <w:u w:val="single"/>
        </w:rPr>
        <w:t>Foundation</w:t>
      </w:r>
      <w:r w:rsidR="00C64050">
        <w:rPr>
          <w:u w:val="single"/>
        </w:rPr>
        <w:t xml:space="preserve"> </w:t>
      </w:r>
      <w:r w:rsidRPr="00C209B7">
        <w:rPr>
          <w:u w:val="single"/>
        </w:rPr>
        <w:t>2</w:t>
      </w:r>
      <w:r w:rsidR="00C64050">
        <w:t xml:space="preserve"> </w:t>
      </w:r>
      <w:r w:rsidRPr="00C209B7">
        <w:t>after</w:t>
      </w:r>
      <w:r w:rsidR="00C64050">
        <w:t xml:space="preserve"> </w:t>
      </w:r>
      <w:r w:rsidRPr="00C209B7">
        <w:t>the</w:t>
      </w:r>
      <w:r w:rsidR="00C64050">
        <w:t xml:space="preserve"> </w:t>
      </w:r>
      <w:r w:rsidRPr="00C209B7">
        <w:t>modification</w:t>
      </w:r>
      <w:r w:rsidR="00C64050">
        <w:t xml:space="preserve"> </w:t>
      </w:r>
      <w:r w:rsidRPr="00C209B7">
        <w:t>of</w:t>
      </w:r>
      <w:r w:rsidR="00C64050">
        <w:t xml:space="preserve"> </w:t>
      </w:r>
      <w:r w:rsidRPr="00C209B7">
        <w:rPr>
          <w:u w:val="single"/>
        </w:rPr>
        <w:t>Trust</w:t>
      </w:r>
      <w:r w:rsidR="00C64050">
        <w:rPr>
          <w:u w:val="single"/>
        </w:rPr>
        <w:t xml:space="preserve"> </w:t>
      </w:r>
      <w:r w:rsidRPr="00C209B7">
        <w:rPr>
          <w:u w:val="single"/>
        </w:rPr>
        <w:t>B</w:t>
      </w:r>
      <w:r w:rsidR="00C64050">
        <w:t xml:space="preserve"> </w:t>
      </w:r>
      <w:r w:rsidRPr="00C209B7">
        <w:t>would</w:t>
      </w:r>
      <w:r w:rsidR="00C64050">
        <w:t xml:space="preserve"> </w:t>
      </w:r>
      <w:r w:rsidRPr="00C209B7">
        <w:t>not</w:t>
      </w:r>
      <w:r w:rsidR="00C64050">
        <w:t xml:space="preserve"> </w:t>
      </w:r>
      <w:r w:rsidRPr="00C209B7">
        <w:t>be</w:t>
      </w:r>
      <w:r w:rsidR="00C64050">
        <w:t xml:space="preserve"> </w:t>
      </w:r>
      <w:r w:rsidRPr="00C209B7">
        <w:t>considered</w:t>
      </w:r>
      <w:r w:rsidR="00C64050">
        <w:t xml:space="preserve"> </w:t>
      </w:r>
      <w:r w:rsidRPr="00C209B7">
        <w:t>to</w:t>
      </w:r>
      <w:r w:rsidR="00C64050">
        <w:t xml:space="preserve"> </w:t>
      </w:r>
      <w:r w:rsidRPr="00C209B7">
        <w:t>be</w:t>
      </w:r>
      <w:r w:rsidR="00C64050">
        <w:t xml:space="preserve"> </w:t>
      </w:r>
      <w:r w:rsidRPr="00C209B7">
        <w:t>made</w:t>
      </w:r>
      <w:r w:rsidR="00C64050">
        <w:t xml:space="preserve"> </w:t>
      </w:r>
      <w:r w:rsidRPr="00C209B7">
        <w:t>pursuant</w:t>
      </w:r>
      <w:r w:rsidR="00C64050">
        <w:t xml:space="preserve"> </w:t>
      </w:r>
      <w:r w:rsidRPr="00C209B7">
        <w:t>to</w:t>
      </w:r>
      <w:r w:rsidR="00C64050">
        <w:t xml:space="preserve"> </w:t>
      </w:r>
      <w:r w:rsidRPr="00C209B7">
        <w:t>the</w:t>
      </w:r>
      <w:r w:rsidR="00C64050">
        <w:t xml:space="preserve"> </w:t>
      </w:r>
      <w:r w:rsidRPr="00C209B7">
        <w:t>governing</w:t>
      </w:r>
      <w:r w:rsidR="00C64050">
        <w:t xml:space="preserve"> </w:t>
      </w:r>
      <w:r w:rsidRPr="00C209B7">
        <w:t>instrument,</w:t>
      </w:r>
      <w:r w:rsidR="00C64050">
        <w:t xml:space="preserve"> </w:t>
      </w:r>
      <w:r w:rsidRPr="00C209B7">
        <w:t>and</w:t>
      </w:r>
      <w:r w:rsidR="00C64050">
        <w:t xml:space="preserve"> </w:t>
      </w:r>
      <w:r w:rsidRPr="00C209B7">
        <w:rPr>
          <w:u w:val="single"/>
        </w:rPr>
        <w:t>Trust</w:t>
      </w:r>
      <w:r w:rsidR="00C64050">
        <w:rPr>
          <w:u w:val="single"/>
        </w:rPr>
        <w:t xml:space="preserve"> </w:t>
      </w:r>
      <w:r w:rsidRPr="00C209B7">
        <w:rPr>
          <w:u w:val="single"/>
        </w:rPr>
        <w:t>B</w:t>
      </w:r>
      <w:r w:rsidR="00C64050">
        <w:t xml:space="preserve"> </w:t>
      </w:r>
      <w:r w:rsidRPr="00C209B7">
        <w:t>is</w:t>
      </w:r>
      <w:r w:rsidR="00C64050">
        <w:t xml:space="preserve"> </w:t>
      </w:r>
      <w:r w:rsidRPr="00C209B7">
        <w:t>not</w:t>
      </w:r>
      <w:r w:rsidR="00C64050">
        <w:t xml:space="preserve"> </w:t>
      </w:r>
      <w:r w:rsidRPr="00C209B7">
        <w:t>entitled</w:t>
      </w:r>
      <w:r w:rsidR="00C64050">
        <w:t xml:space="preserve"> </w:t>
      </w:r>
      <w:r w:rsidRPr="00C209B7">
        <w:t>to</w:t>
      </w:r>
      <w:r w:rsidR="00C64050">
        <w:t xml:space="preserve"> </w:t>
      </w:r>
      <w:r w:rsidRPr="00C209B7">
        <w:t>a</w:t>
      </w:r>
      <w:r w:rsidR="00C64050">
        <w:t xml:space="preserve"> </w:t>
      </w:r>
      <w:r w:rsidRPr="00C209B7">
        <w:t>deduction</w:t>
      </w:r>
      <w:r w:rsidR="00C64050">
        <w:t xml:space="preserve"> </w:t>
      </w:r>
      <w:r w:rsidRPr="00C209B7">
        <w:t>for</w:t>
      </w:r>
      <w:r w:rsidR="00C64050">
        <w:t xml:space="preserve"> </w:t>
      </w:r>
      <w:r w:rsidRPr="00C209B7">
        <w:t>such</w:t>
      </w:r>
      <w:r w:rsidR="00C64050">
        <w:t xml:space="preserve"> </w:t>
      </w:r>
      <w:r w:rsidRPr="00C209B7">
        <w:t>payments</w:t>
      </w:r>
      <w:r w:rsidR="00C64050">
        <w:t xml:space="preserve"> </w:t>
      </w:r>
      <w:r w:rsidRPr="00C209B7">
        <w:t>under</w:t>
      </w:r>
      <w:r w:rsidR="00C64050">
        <w:t xml:space="preserve"> </w:t>
      </w:r>
      <w:r w:rsidRPr="00C209B7">
        <w:t>§</w:t>
      </w:r>
      <w:r w:rsidR="00C64050">
        <w:t xml:space="preserve"> </w:t>
      </w:r>
      <w:r w:rsidRPr="00C209B7">
        <w:t>642(c).</w:t>
      </w:r>
    </w:p>
    <w:p w:rsidR="008D344C" w:rsidRDefault="008D344C" w:rsidP="008D344C">
      <w:pPr>
        <w:pStyle w:val="Body15"/>
      </w:pPr>
      <w:r>
        <w:t>The</w:t>
      </w:r>
      <w:r w:rsidR="00C64050">
        <w:t xml:space="preserve"> </w:t>
      </w:r>
      <w:r>
        <w:t>IRS</w:t>
      </w:r>
      <w:r w:rsidR="00C64050">
        <w:t xml:space="preserve"> </w:t>
      </w:r>
      <w:r>
        <w:t>also</w:t>
      </w:r>
      <w:r w:rsidR="00C64050">
        <w:t xml:space="preserve"> </w:t>
      </w:r>
      <w:r>
        <w:t>held</w:t>
      </w:r>
      <w:r w:rsidR="00C64050">
        <w:t xml:space="preserve"> </w:t>
      </w:r>
      <w:r>
        <w:t>that</w:t>
      </w:r>
      <w:r w:rsidR="00C64050">
        <w:t xml:space="preserve"> </w:t>
      </w:r>
      <w:r>
        <w:t>a</w:t>
      </w:r>
      <w:r w:rsidR="00C64050">
        <w:t xml:space="preserve"> </w:t>
      </w:r>
      <w:r>
        <w:t>661,</w:t>
      </w:r>
      <w:r w:rsidR="00C64050">
        <w:t xml:space="preserve"> </w:t>
      </w:r>
      <w:r>
        <w:t>DNI,</w:t>
      </w:r>
      <w:r w:rsidR="00C64050">
        <w:t xml:space="preserve"> </w:t>
      </w:r>
      <w:r>
        <w:t>deduction</w:t>
      </w:r>
      <w:r w:rsidR="00C64050">
        <w:t xml:space="preserve"> </w:t>
      </w:r>
      <w:r>
        <w:t>would</w:t>
      </w:r>
      <w:r w:rsidR="00C64050">
        <w:t xml:space="preserve"> </w:t>
      </w:r>
      <w:r>
        <w:t>not</w:t>
      </w:r>
      <w:r w:rsidR="00C64050">
        <w:t xml:space="preserve"> </w:t>
      </w:r>
      <w:r>
        <w:t>be</w:t>
      </w:r>
      <w:r w:rsidR="00C64050">
        <w:t xml:space="preserve"> </w:t>
      </w:r>
      <w:r>
        <w:t>available.</w:t>
      </w:r>
      <w:r w:rsidR="00C64050">
        <w:t xml:space="preserve">  </w:t>
      </w:r>
      <w:r>
        <w:t>This</w:t>
      </w:r>
      <w:r w:rsidR="00C64050">
        <w:t xml:space="preserve"> </w:t>
      </w:r>
      <w:r>
        <w:t>result</w:t>
      </w:r>
      <w:r w:rsidR="00C64050">
        <w:t xml:space="preserve"> </w:t>
      </w:r>
      <w:r>
        <w:t>is</w:t>
      </w:r>
      <w:r w:rsidR="00C64050">
        <w:t xml:space="preserve"> </w:t>
      </w:r>
      <w:r>
        <w:t>controversial</w:t>
      </w:r>
      <w:r w:rsidR="00C64050">
        <w:t xml:space="preserve"> </w:t>
      </w:r>
      <w:r>
        <w:t>as</w:t>
      </w:r>
      <w:r w:rsidR="00C64050">
        <w:t xml:space="preserve"> </w:t>
      </w:r>
      <w:r>
        <w:t>the</w:t>
      </w:r>
      <w:r w:rsidR="00C64050">
        <w:t xml:space="preserve"> </w:t>
      </w:r>
      <w:r>
        <w:t>ruling</w:t>
      </w:r>
      <w:r w:rsidR="00C64050">
        <w:t xml:space="preserve"> </w:t>
      </w:r>
      <w:r>
        <w:t>notes.</w:t>
      </w:r>
      <w:r w:rsidR="00C64050">
        <w:t xml:space="preserve">  </w:t>
      </w:r>
      <w:r>
        <w:t>Commentators</w:t>
      </w:r>
      <w:r w:rsidR="00C64050">
        <w:t xml:space="preserve"> </w:t>
      </w:r>
      <w:r>
        <w:t>are</w:t>
      </w:r>
      <w:r w:rsidR="00C64050">
        <w:t xml:space="preserve"> </w:t>
      </w:r>
      <w:r>
        <w:t>divided,</w:t>
      </w:r>
      <w:r w:rsidR="00C64050">
        <w:t xml:space="preserve"> </w:t>
      </w:r>
      <w:r>
        <w:t>for</w:t>
      </w:r>
      <w:r w:rsidR="00C64050">
        <w:t xml:space="preserve"> </w:t>
      </w:r>
      <w:r>
        <w:t>instance:</w:t>
      </w:r>
    </w:p>
    <w:p w:rsidR="008D344C" w:rsidRDefault="008D344C" w:rsidP="008D344C">
      <w:pPr>
        <w:pStyle w:val="QS10"/>
        <w:rPr>
          <w:sz w:val="16"/>
          <w:szCs w:val="16"/>
          <w:vertAlign w:val="superscript"/>
        </w:rPr>
      </w:pPr>
      <w:r>
        <w:t>One</w:t>
      </w:r>
      <w:r w:rsidR="00C64050">
        <w:t xml:space="preserve"> </w:t>
      </w:r>
      <w:r>
        <w:t>standard</w:t>
      </w:r>
      <w:r w:rsidR="00C64050">
        <w:t xml:space="preserve"> </w:t>
      </w:r>
      <w:r>
        <w:t>treatise</w:t>
      </w:r>
      <w:r w:rsidR="00C64050">
        <w:t xml:space="preserve"> </w:t>
      </w:r>
      <w:r>
        <w:t>supports</w:t>
      </w:r>
      <w:r w:rsidR="00C64050">
        <w:t xml:space="preserve"> </w:t>
      </w:r>
      <w:r>
        <w:t>them</w:t>
      </w:r>
      <w:r w:rsidR="00C64050">
        <w:t xml:space="preserve"> </w:t>
      </w:r>
      <w:r>
        <w:t>on</w:t>
      </w:r>
      <w:r w:rsidR="00C64050">
        <w:t xml:space="preserve"> </w:t>
      </w:r>
      <w:r>
        <w:t>two</w:t>
      </w:r>
      <w:r w:rsidR="00C64050">
        <w:t xml:space="preserve"> </w:t>
      </w:r>
      <w:r>
        <w:t>policy</w:t>
      </w:r>
      <w:r w:rsidR="00C64050">
        <w:t xml:space="preserve"> </w:t>
      </w:r>
      <w:r>
        <w:t>grounds:</w:t>
      </w:r>
      <w:r w:rsidR="00C64050">
        <w:t xml:space="preserve"> </w:t>
      </w:r>
      <w:r>
        <w:t>"All</w:t>
      </w:r>
      <w:r w:rsidR="00C64050">
        <w:t xml:space="preserve"> </w:t>
      </w:r>
      <w:r>
        <w:t>of</w:t>
      </w:r>
      <w:r w:rsidR="00C64050">
        <w:t xml:space="preserve"> </w:t>
      </w:r>
      <w:r>
        <w:t>the</w:t>
      </w:r>
      <w:r w:rsidR="00C64050">
        <w:t xml:space="preserve"> </w:t>
      </w:r>
      <w:r>
        <w:t>courts</w:t>
      </w:r>
      <w:r w:rsidR="00C64050">
        <w:t xml:space="preserve"> </w:t>
      </w:r>
      <w:r>
        <w:t>but</w:t>
      </w:r>
      <w:r w:rsidR="00C64050">
        <w:t xml:space="preserve"> </w:t>
      </w:r>
      <w:r>
        <w:t>one</w:t>
      </w:r>
      <w:r w:rsidR="00C64050">
        <w:t xml:space="preserve"> </w:t>
      </w:r>
      <w:r>
        <w:t>[</w:t>
      </w:r>
      <w:r w:rsidR="00C64050">
        <w:t xml:space="preserve"> </w:t>
      </w:r>
      <w:r>
        <w:rPr>
          <w:u w:val="single"/>
        </w:rPr>
        <w:t>U.S.</w:t>
      </w:r>
      <w:r w:rsidR="00C64050">
        <w:rPr>
          <w:u w:val="single"/>
        </w:rPr>
        <w:t xml:space="preserve"> </w:t>
      </w:r>
      <w:r>
        <w:rPr>
          <w:u w:val="single"/>
        </w:rPr>
        <w:t>Trust</w:t>
      </w:r>
      <w:r w:rsidR="00C64050">
        <w:t xml:space="preserve"> </w:t>
      </w:r>
      <w:r>
        <w:t>District</w:t>
      </w:r>
      <w:r w:rsidR="00C64050">
        <w:t xml:space="preserve"> </w:t>
      </w:r>
      <w:r>
        <w:t>Court]</w:t>
      </w:r>
      <w:r w:rsidR="00C64050">
        <w:t xml:space="preserve"> </w:t>
      </w:r>
      <w:r>
        <w:t>that</w:t>
      </w:r>
      <w:r w:rsidR="00C64050">
        <w:t xml:space="preserve"> </w:t>
      </w:r>
      <w:r>
        <w:t>have</w:t>
      </w:r>
      <w:r w:rsidR="00C64050">
        <w:t xml:space="preserve"> </w:t>
      </w:r>
      <w:r>
        <w:t>considered</w:t>
      </w:r>
      <w:r w:rsidR="00C64050">
        <w:t xml:space="preserve"> </w:t>
      </w:r>
      <w:r>
        <w:t>this</w:t>
      </w:r>
      <w:r w:rsidR="00C64050">
        <w:t xml:space="preserve"> </w:t>
      </w:r>
      <w:r>
        <w:t>issue</w:t>
      </w:r>
      <w:r w:rsidR="00C64050">
        <w:t xml:space="preserve"> </w:t>
      </w:r>
      <w:r>
        <w:t>have</w:t>
      </w:r>
      <w:r w:rsidR="00C64050">
        <w:t xml:space="preserve"> </w:t>
      </w:r>
      <w:r>
        <w:t>sustained</w:t>
      </w:r>
      <w:r w:rsidR="00C64050">
        <w:t xml:space="preserve"> </w:t>
      </w:r>
      <w:r>
        <w:t>these</w:t>
      </w:r>
      <w:r w:rsidR="00C64050">
        <w:t xml:space="preserve"> </w:t>
      </w:r>
      <w:r>
        <w:t>regulations,</w:t>
      </w:r>
      <w:r w:rsidR="00C64050">
        <w:t xml:space="preserve"> </w:t>
      </w:r>
      <w:r>
        <w:t>even</w:t>
      </w:r>
      <w:r w:rsidR="00C64050">
        <w:t xml:space="preserve"> </w:t>
      </w:r>
      <w:r>
        <w:t>though</w:t>
      </w:r>
      <w:r w:rsidR="00C64050">
        <w:t xml:space="preserve"> </w:t>
      </w:r>
      <w:r>
        <w:t>they</w:t>
      </w:r>
      <w:r w:rsidR="00C64050">
        <w:t xml:space="preserve"> </w:t>
      </w:r>
      <w:r>
        <w:t>substantially</w:t>
      </w:r>
      <w:r w:rsidR="00C64050">
        <w:t xml:space="preserve"> </w:t>
      </w:r>
      <w:r>
        <w:t>exceed</w:t>
      </w:r>
      <w:r w:rsidR="00C64050">
        <w:t xml:space="preserve"> </w:t>
      </w:r>
      <w:r>
        <w:t>the</w:t>
      </w:r>
      <w:r w:rsidR="00C64050">
        <w:t xml:space="preserve"> </w:t>
      </w:r>
      <w:r>
        <w:t>scope</w:t>
      </w:r>
      <w:r w:rsidR="00C64050">
        <w:t xml:space="preserve"> </w:t>
      </w:r>
      <w:r>
        <w:t>of</w:t>
      </w:r>
      <w:r w:rsidR="00C64050">
        <w:t xml:space="preserve"> </w:t>
      </w:r>
      <w:r>
        <w:t>the</w:t>
      </w:r>
      <w:r w:rsidR="00C64050">
        <w:t xml:space="preserve"> </w:t>
      </w:r>
      <w:r>
        <w:t>statutory</w:t>
      </w:r>
      <w:r w:rsidR="00C64050">
        <w:t xml:space="preserve"> </w:t>
      </w:r>
      <w:r>
        <w:t>language</w:t>
      </w:r>
      <w:r w:rsidR="00C64050">
        <w:t xml:space="preserve"> </w:t>
      </w:r>
      <w:r>
        <w:t>.</w:t>
      </w:r>
      <w:r w:rsidR="00C64050">
        <w:t xml:space="preserve"> </w:t>
      </w:r>
      <w:r>
        <w:t>.</w:t>
      </w:r>
      <w:r w:rsidR="00C64050">
        <w:t xml:space="preserve"> </w:t>
      </w:r>
      <w:r>
        <w:t>.</w:t>
      </w:r>
      <w:r w:rsidR="00C64050">
        <w:t xml:space="preserve"> </w:t>
      </w:r>
      <w:r>
        <w:t>The</w:t>
      </w:r>
      <w:r w:rsidR="00C64050">
        <w:t xml:space="preserve"> </w:t>
      </w:r>
      <w:r>
        <w:t>cases</w:t>
      </w:r>
      <w:r w:rsidR="00C64050">
        <w:t xml:space="preserve"> </w:t>
      </w:r>
      <w:r>
        <w:t>supporting</w:t>
      </w:r>
      <w:r w:rsidR="00C64050">
        <w:t xml:space="preserve"> </w:t>
      </w:r>
      <w:r>
        <w:t>the</w:t>
      </w:r>
      <w:r w:rsidR="00C64050">
        <w:t xml:space="preserve"> </w:t>
      </w:r>
      <w:r>
        <w:t>regulations</w:t>
      </w:r>
      <w:r w:rsidR="00C64050">
        <w:t xml:space="preserve"> </w:t>
      </w:r>
      <w:r>
        <w:t>take</w:t>
      </w:r>
      <w:r w:rsidR="00C64050">
        <w:t xml:space="preserve"> </w:t>
      </w:r>
      <w:r>
        <w:t>the</w:t>
      </w:r>
      <w:r w:rsidR="00C64050">
        <w:t xml:space="preserve"> </w:t>
      </w:r>
      <w:r>
        <w:t>appropriate</w:t>
      </w:r>
      <w:r w:rsidR="00C64050">
        <w:t xml:space="preserve"> </w:t>
      </w:r>
      <w:r>
        <w:t>view</w:t>
      </w:r>
      <w:r w:rsidR="00C64050">
        <w:t xml:space="preserve"> </w:t>
      </w:r>
      <w:r>
        <w:t>because</w:t>
      </w:r>
      <w:r w:rsidR="00C64050">
        <w:t xml:space="preserve"> </w:t>
      </w:r>
      <w:r>
        <w:t>a</w:t>
      </w:r>
      <w:r w:rsidR="00C64050">
        <w:t xml:space="preserve"> </w:t>
      </w:r>
      <w:r>
        <w:t>contrary</w:t>
      </w:r>
      <w:r w:rsidR="00C64050">
        <w:t xml:space="preserve"> </w:t>
      </w:r>
      <w:r>
        <w:t>rule</w:t>
      </w:r>
      <w:r w:rsidR="00C64050">
        <w:t xml:space="preserve"> </w:t>
      </w:r>
      <w:r>
        <w:t>has</w:t>
      </w:r>
      <w:r w:rsidR="00C64050">
        <w:t xml:space="preserve"> </w:t>
      </w:r>
      <w:r>
        <w:t>the</w:t>
      </w:r>
      <w:r w:rsidR="00C64050">
        <w:t xml:space="preserve"> </w:t>
      </w:r>
      <w:r>
        <w:t>effect</w:t>
      </w:r>
      <w:r w:rsidR="00C64050">
        <w:t xml:space="preserve"> </w:t>
      </w:r>
      <w:r>
        <w:t>of</w:t>
      </w:r>
      <w:r w:rsidR="00C64050">
        <w:t xml:space="preserve"> </w:t>
      </w:r>
      <w:r>
        <w:t>giving</w:t>
      </w:r>
      <w:r w:rsidR="00C64050">
        <w:t xml:space="preserve"> </w:t>
      </w:r>
      <w:r>
        <w:t>both</w:t>
      </w:r>
      <w:r w:rsidR="00C64050">
        <w:t xml:space="preserve"> </w:t>
      </w:r>
      <w:r>
        <w:t>an</w:t>
      </w:r>
      <w:r w:rsidR="00C64050">
        <w:t xml:space="preserve"> </w:t>
      </w:r>
      <w:r>
        <w:t>estate</w:t>
      </w:r>
      <w:r w:rsidR="00C64050">
        <w:t xml:space="preserve"> </w:t>
      </w:r>
      <w:r>
        <w:t>tax</w:t>
      </w:r>
      <w:r w:rsidR="00C64050">
        <w:t xml:space="preserve"> </w:t>
      </w:r>
      <w:r>
        <w:t>deduction</w:t>
      </w:r>
      <w:r w:rsidR="00C64050">
        <w:t xml:space="preserve"> </w:t>
      </w:r>
      <w:r>
        <w:t>(for</w:t>
      </w:r>
      <w:r w:rsidR="00C64050">
        <w:t xml:space="preserve"> </w:t>
      </w:r>
      <w:r>
        <w:t>the</w:t>
      </w:r>
      <w:r w:rsidR="00C64050">
        <w:t xml:space="preserve"> </w:t>
      </w:r>
      <w:r>
        <w:t>charitable</w:t>
      </w:r>
      <w:r w:rsidR="00C64050">
        <w:t xml:space="preserve"> </w:t>
      </w:r>
      <w:r>
        <w:t>disposition)</w:t>
      </w:r>
      <w:r w:rsidR="00C64050">
        <w:t xml:space="preserve"> </w:t>
      </w:r>
      <w:r>
        <w:t>and</w:t>
      </w:r>
      <w:r w:rsidR="00C64050">
        <w:t xml:space="preserve"> </w:t>
      </w:r>
      <w:r>
        <w:t>an</w:t>
      </w:r>
      <w:r w:rsidR="00C64050">
        <w:t xml:space="preserve"> </w:t>
      </w:r>
      <w:r>
        <w:t>income</w:t>
      </w:r>
      <w:r w:rsidR="00C64050">
        <w:t xml:space="preserve"> </w:t>
      </w:r>
      <w:r>
        <w:t>tax</w:t>
      </w:r>
      <w:r w:rsidR="00C64050">
        <w:t xml:space="preserve"> </w:t>
      </w:r>
      <w:r>
        <w:t>deduction</w:t>
      </w:r>
      <w:r w:rsidR="00C64050">
        <w:t xml:space="preserve"> </w:t>
      </w:r>
      <w:r>
        <w:t>(for</w:t>
      </w:r>
      <w:r w:rsidR="00C64050">
        <w:t xml:space="preserve"> </w:t>
      </w:r>
      <w:r>
        <w:t>the</w:t>
      </w:r>
      <w:r w:rsidR="00C64050">
        <w:t xml:space="preserve"> </w:t>
      </w:r>
      <w:r>
        <w:t>item</w:t>
      </w:r>
      <w:r w:rsidR="00C64050">
        <w:t xml:space="preserve"> </w:t>
      </w:r>
      <w:r>
        <w:t>distributed</w:t>
      </w:r>
      <w:r w:rsidR="00C64050">
        <w:t xml:space="preserve"> </w:t>
      </w:r>
      <w:r>
        <w:t>to</w:t>
      </w:r>
      <w:r w:rsidR="00C64050">
        <w:t xml:space="preserve"> </w:t>
      </w:r>
      <w:r>
        <w:t>charity)</w:t>
      </w:r>
      <w:r w:rsidR="00C64050">
        <w:t xml:space="preserve"> </w:t>
      </w:r>
      <w:r>
        <w:t>for</w:t>
      </w:r>
      <w:r w:rsidR="00C64050">
        <w:t xml:space="preserve"> </w:t>
      </w:r>
      <w:r>
        <w:t>the</w:t>
      </w:r>
      <w:r w:rsidR="00C64050">
        <w:t xml:space="preserve"> </w:t>
      </w:r>
      <w:r>
        <w:t>same</w:t>
      </w:r>
      <w:r w:rsidR="00C64050">
        <w:t xml:space="preserve"> </w:t>
      </w:r>
      <w:r>
        <w:t>payment.</w:t>
      </w:r>
      <w:r w:rsidR="00C64050">
        <w:t xml:space="preserve"> </w:t>
      </w:r>
      <w:r>
        <w:t>"Also,</w:t>
      </w:r>
      <w:r w:rsidR="00C64050">
        <w:t xml:space="preserve"> </w:t>
      </w:r>
      <w:r>
        <w:t>as</w:t>
      </w:r>
      <w:r w:rsidR="00C64050">
        <w:t xml:space="preserve"> </w:t>
      </w:r>
      <w:r>
        <w:t>a</w:t>
      </w:r>
      <w:r w:rsidR="00C64050">
        <w:t xml:space="preserve"> </w:t>
      </w:r>
      <w:r>
        <w:t>result</w:t>
      </w:r>
      <w:r w:rsidR="00C64050">
        <w:t xml:space="preserve"> </w:t>
      </w:r>
      <w:r>
        <w:t>of</w:t>
      </w:r>
      <w:r w:rsidR="00C64050">
        <w:t xml:space="preserve"> </w:t>
      </w:r>
      <w:r>
        <w:t>deducting</w:t>
      </w:r>
      <w:r w:rsidR="00C64050">
        <w:t xml:space="preserve"> </w:t>
      </w:r>
      <w:r>
        <w:t>distributions</w:t>
      </w:r>
      <w:r w:rsidR="00C64050">
        <w:t xml:space="preserve"> </w:t>
      </w:r>
      <w:r>
        <w:t>of</w:t>
      </w:r>
      <w:r w:rsidR="00C64050">
        <w:t xml:space="preserve"> </w:t>
      </w:r>
      <w:r>
        <w:t>corpus</w:t>
      </w:r>
      <w:r w:rsidR="00C64050">
        <w:t xml:space="preserve"> </w:t>
      </w:r>
      <w:r>
        <w:t>to</w:t>
      </w:r>
      <w:r w:rsidR="00C64050">
        <w:t xml:space="preserve"> </w:t>
      </w:r>
      <w:r>
        <w:t>charity,</w:t>
      </w:r>
      <w:r w:rsidR="00C64050">
        <w:t xml:space="preserve"> </w:t>
      </w:r>
      <w:r>
        <w:t>the</w:t>
      </w:r>
      <w:r w:rsidR="00C64050">
        <w:t xml:space="preserve"> </w:t>
      </w:r>
      <w:r>
        <w:t>non-charitable</w:t>
      </w:r>
      <w:r w:rsidR="00C64050">
        <w:t xml:space="preserve"> </w:t>
      </w:r>
      <w:r>
        <w:t>legatees</w:t>
      </w:r>
      <w:r w:rsidR="00C64050">
        <w:t xml:space="preserve"> </w:t>
      </w:r>
      <w:r>
        <w:t>in</w:t>
      </w:r>
      <w:r w:rsidR="00C64050">
        <w:t xml:space="preserve"> </w:t>
      </w:r>
      <w:r>
        <w:t>effect</w:t>
      </w:r>
      <w:r w:rsidR="00C64050">
        <w:t xml:space="preserve"> </w:t>
      </w:r>
      <w:r>
        <w:t>receive</w:t>
      </w:r>
      <w:r w:rsidR="00C64050">
        <w:t xml:space="preserve"> </w:t>
      </w:r>
      <w:r>
        <w:t>the</w:t>
      </w:r>
      <w:r w:rsidR="00C64050">
        <w:t xml:space="preserve"> </w:t>
      </w:r>
      <w:r>
        <w:t>estate's</w:t>
      </w:r>
      <w:r w:rsidR="00C64050">
        <w:t xml:space="preserve"> </w:t>
      </w:r>
      <w:r>
        <w:t>income</w:t>
      </w:r>
      <w:r w:rsidR="00C64050">
        <w:t xml:space="preserve"> </w:t>
      </w:r>
      <w:r>
        <w:t>tax-free.</w:t>
      </w:r>
      <w:r w:rsidR="00C64050">
        <w:t xml:space="preserve"> </w:t>
      </w:r>
      <w:r>
        <w:t>The</w:t>
      </w:r>
      <w:r w:rsidR="00C64050">
        <w:t xml:space="preserve"> </w:t>
      </w:r>
      <w:r>
        <w:t>benefit</w:t>
      </w:r>
      <w:r w:rsidR="00C64050">
        <w:t xml:space="preserve"> </w:t>
      </w:r>
      <w:r>
        <w:t>of</w:t>
      </w:r>
      <w:r w:rsidR="00C64050">
        <w:t xml:space="preserve"> </w:t>
      </w:r>
      <w:r>
        <w:t>the</w:t>
      </w:r>
      <w:r w:rsidR="00C64050">
        <w:t xml:space="preserve"> </w:t>
      </w:r>
      <w:r>
        <w:t>income</w:t>
      </w:r>
      <w:r w:rsidR="00C64050">
        <w:t xml:space="preserve"> </w:t>
      </w:r>
      <w:r>
        <w:t>tax</w:t>
      </w:r>
      <w:r w:rsidR="00C64050">
        <w:t xml:space="preserve"> </w:t>
      </w:r>
      <w:r>
        <w:t>deduction</w:t>
      </w:r>
      <w:r w:rsidR="00C64050">
        <w:t xml:space="preserve"> </w:t>
      </w:r>
      <w:r>
        <w:t>inures</w:t>
      </w:r>
      <w:r w:rsidR="00C64050">
        <w:t xml:space="preserve"> </w:t>
      </w:r>
      <w:r>
        <w:t>to</w:t>
      </w:r>
      <w:r w:rsidR="00C64050">
        <w:t xml:space="preserve"> </w:t>
      </w:r>
      <w:r>
        <w:t>the</w:t>
      </w:r>
      <w:r w:rsidR="00C64050">
        <w:t xml:space="preserve"> </w:t>
      </w:r>
      <w:r>
        <w:t>noncharitable</w:t>
      </w:r>
      <w:r w:rsidR="00C64050">
        <w:t xml:space="preserve"> </w:t>
      </w:r>
      <w:r>
        <w:t>legatees,</w:t>
      </w:r>
      <w:r w:rsidR="00C64050">
        <w:t xml:space="preserve"> </w:t>
      </w:r>
      <w:r>
        <w:t>rather</w:t>
      </w:r>
      <w:r w:rsidR="00C64050">
        <w:t xml:space="preserve"> </w:t>
      </w:r>
      <w:r>
        <w:t>than</w:t>
      </w:r>
      <w:r w:rsidR="00C64050">
        <w:t xml:space="preserve"> </w:t>
      </w:r>
      <w:r>
        <w:t>to</w:t>
      </w:r>
      <w:r w:rsidR="00C64050">
        <w:t xml:space="preserve"> </w:t>
      </w:r>
      <w:r>
        <w:t>the</w:t>
      </w:r>
      <w:r w:rsidR="00C64050">
        <w:t xml:space="preserve"> </w:t>
      </w:r>
      <w:r>
        <w:t>charity,</w:t>
      </w:r>
      <w:r w:rsidR="00C64050">
        <w:t xml:space="preserve"> </w:t>
      </w:r>
      <w:r>
        <w:t>so</w:t>
      </w:r>
      <w:r w:rsidR="00C64050">
        <w:t xml:space="preserve"> </w:t>
      </w:r>
      <w:r>
        <w:t>the</w:t>
      </w:r>
      <w:r w:rsidR="00C64050">
        <w:t xml:space="preserve"> </w:t>
      </w:r>
      <w:r>
        <w:t>court</w:t>
      </w:r>
      <w:r w:rsidR="00C64050">
        <w:t xml:space="preserve"> </w:t>
      </w:r>
      <w:r>
        <w:t>decisions</w:t>
      </w:r>
      <w:r w:rsidR="00C64050">
        <w:t xml:space="preserve"> </w:t>
      </w:r>
      <w:r>
        <w:t>favoring</w:t>
      </w:r>
      <w:r w:rsidR="00C64050">
        <w:t xml:space="preserve"> </w:t>
      </w:r>
      <w:r>
        <w:t>the</w:t>
      </w:r>
      <w:r w:rsidR="00C64050">
        <w:t xml:space="preserve"> </w:t>
      </w:r>
      <w:r>
        <w:t>regulation</w:t>
      </w:r>
      <w:r w:rsidR="00C64050">
        <w:t xml:space="preserve"> </w:t>
      </w:r>
      <w:r>
        <w:t>seem</w:t>
      </w:r>
      <w:r w:rsidR="00C64050">
        <w:t xml:space="preserve"> </w:t>
      </w:r>
      <w:r>
        <w:t>fundamentally</w:t>
      </w:r>
      <w:r w:rsidR="00C64050">
        <w:t xml:space="preserve"> </w:t>
      </w:r>
      <w:r>
        <w:t>sound."</w:t>
      </w:r>
      <w:r w:rsidR="00C64050">
        <w:t xml:space="preserve"> </w:t>
      </w:r>
      <w:r>
        <w:t>[citations</w:t>
      </w:r>
      <w:r w:rsidR="00C64050">
        <w:t xml:space="preserve"> </w:t>
      </w:r>
      <w:r>
        <w:t>omitted]</w:t>
      </w:r>
      <w:r w:rsidR="00C64050">
        <w:t xml:space="preserve"> </w:t>
      </w:r>
      <w:r>
        <w:t>Danforth,</w:t>
      </w:r>
      <w:r w:rsidR="00C64050">
        <w:t xml:space="preserve"> </w:t>
      </w:r>
      <w:r>
        <w:t>Robert</w:t>
      </w:r>
      <w:r w:rsidR="00C64050">
        <w:t xml:space="preserve"> </w:t>
      </w:r>
      <w:r>
        <w:t>T.,</w:t>
      </w:r>
      <w:r w:rsidR="00C64050">
        <w:t xml:space="preserve"> </w:t>
      </w:r>
      <w:r>
        <w:t>et</w:t>
      </w:r>
      <w:r w:rsidR="00C64050">
        <w:t xml:space="preserve"> </w:t>
      </w:r>
      <w:r>
        <w:t>al.,</w:t>
      </w:r>
      <w:r w:rsidR="00C64050">
        <w:t xml:space="preserve"> </w:t>
      </w:r>
      <w:r>
        <w:rPr>
          <w:u w:val="single"/>
        </w:rPr>
        <w:t>Federal</w:t>
      </w:r>
      <w:r w:rsidR="00C64050">
        <w:rPr>
          <w:u w:val="single"/>
        </w:rPr>
        <w:t xml:space="preserve"> </w:t>
      </w:r>
      <w:r>
        <w:rPr>
          <w:u w:val="single"/>
        </w:rPr>
        <w:t>Income</w:t>
      </w:r>
      <w:r w:rsidR="00C64050">
        <w:rPr>
          <w:u w:val="single"/>
        </w:rPr>
        <w:t xml:space="preserve"> </w:t>
      </w:r>
      <w:r>
        <w:rPr>
          <w:u w:val="single"/>
        </w:rPr>
        <w:t>Taxation</w:t>
      </w:r>
      <w:r w:rsidR="00C64050">
        <w:rPr>
          <w:u w:val="single"/>
        </w:rPr>
        <w:t xml:space="preserve"> </w:t>
      </w:r>
      <w:r>
        <w:rPr>
          <w:u w:val="single"/>
        </w:rPr>
        <w:t>of</w:t>
      </w:r>
      <w:r w:rsidR="00C64050">
        <w:rPr>
          <w:u w:val="single"/>
        </w:rPr>
        <w:t xml:space="preserve"> </w:t>
      </w:r>
      <w:r>
        <w:rPr>
          <w:u w:val="single"/>
        </w:rPr>
        <w:t>Estates</w:t>
      </w:r>
      <w:r w:rsidR="00C64050">
        <w:rPr>
          <w:u w:val="single"/>
        </w:rPr>
        <w:t xml:space="preserve"> </w:t>
      </w:r>
      <w:r>
        <w:rPr>
          <w:u w:val="single"/>
        </w:rPr>
        <w:t>and</w:t>
      </w:r>
      <w:r w:rsidR="00C64050">
        <w:rPr>
          <w:u w:val="single"/>
        </w:rPr>
        <w:t xml:space="preserve"> </w:t>
      </w:r>
      <w:r>
        <w:rPr>
          <w:u w:val="single"/>
        </w:rPr>
        <w:t>Trusts</w:t>
      </w:r>
      <w:r w:rsidR="00C64050">
        <w:t xml:space="preserve"> </w:t>
      </w:r>
      <w:r>
        <w:t>[current</w:t>
      </w:r>
      <w:r w:rsidR="00C64050">
        <w:t xml:space="preserve"> </w:t>
      </w:r>
      <w:r>
        <w:t>through</w:t>
      </w:r>
      <w:r w:rsidR="00C64050">
        <w:t xml:space="preserve"> </w:t>
      </w:r>
      <w:r>
        <w:t>2016],</w:t>
      </w:r>
      <w:r w:rsidR="00C64050">
        <w:t xml:space="preserve"> </w:t>
      </w:r>
      <w:r>
        <w:t>at</w:t>
      </w:r>
      <w:r w:rsidR="00C64050">
        <w:t xml:space="preserve"> </w:t>
      </w:r>
      <w:r>
        <w:t>4.07[1]</w:t>
      </w:r>
    </w:p>
    <w:p w:rsidR="008D344C" w:rsidRDefault="008D344C" w:rsidP="008D344C">
      <w:pPr>
        <w:pStyle w:val="QS10"/>
      </w:pPr>
      <w:r>
        <w:t>However,</w:t>
      </w:r>
      <w:r w:rsidR="00C64050">
        <w:t xml:space="preserve"> </w:t>
      </w:r>
      <w:r>
        <w:t>at</w:t>
      </w:r>
      <w:r w:rsidR="00C64050">
        <w:t xml:space="preserve"> </w:t>
      </w:r>
      <w:r>
        <w:t>least</w:t>
      </w:r>
      <w:r w:rsidR="00C64050">
        <w:t xml:space="preserve"> </w:t>
      </w:r>
      <w:r>
        <w:t>as</w:t>
      </w:r>
      <w:r w:rsidR="00C64050">
        <w:t xml:space="preserve"> </w:t>
      </w:r>
      <w:r>
        <w:t>many</w:t>
      </w:r>
      <w:r w:rsidR="00C64050">
        <w:t xml:space="preserve"> </w:t>
      </w:r>
      <w:r>
        <w:t>secondary</w:t>
      </w:r>
      <w:r w:rsidR="00C64050">
        <w:t xml:space="preserve"> </w:t>
      </w:r>
      <w:r>
        <w:t>sources</w:t>
      </w:r>
      <w:r w:rsidR="00C64050">
        <w:t xml:space="preserve"> </w:t>
      </w:r>
      <w:r>
        <w:t>in</w:t>
      </w:r>
      <w:r w:rsidR="00C64050">
        <w:t xml:space="preserve"> </w:t>
      </w:r>
      <w:r>
        <w:t>this</w:t>
      </w:r>
      <w:r w:rsidR="00C64050">
        <w:t xml:space="preserve"> </w:t>
      </w:r>
      <w:r>
        <w:t>area</w:t>
      </w:r>
      <w:r w:rsidR="00C64050">
        <w:t xml:space="preserve"> </w:t>
      </w:r>
      <w:r>
        <w:t>disagree</w:t>
      </w:r>
      <w:r w:rsidR="00C64050">
        <w:t xml:space="preserve"> </w:t>
      </w:r>
      <w:r>
        <w:t>with</w:t>
      </w:r>
      <w:r w:rsidR="00C64050">
        <w:t xml:space="preserve"> </w:t>
      </w:r>
      <w:r>
        <w:t>the</w:t>
      </w:r>
      <w:r w:rsidR="00C64050">
        <w:t xml:space="preserve"> </w:t>
      </w:r>
      <w:r>
        <w:t>disallowance</w:t>
      </w:r>
      <w:r w:rsidR="00C64050">
        <w:t xml:space="preserve"> </w:t>
      </w:r>
      <w:r>
        <w:t>under</w:t>
      </w:r>
      <w:r w:rsidR="00C64050">
        <w:t xml:space="preserve"> </w:t>
      </w:r>
      <w:r>
        <w:t>§</w:t>
      </w:r>
      <w:r w:rsidR="00C64050">
        <w:t xml:space="preserve"> </w:t>
      </w:r>
      <w:r>
        <w:t>661(a),</w:t>
      </w:r>
      <w:r w:rsidR="00C64050">
        <w:t xml:space="preserve"> </w:t>
      </w:r>
      <w:r>
        <w:t>at</w:t>
      </w:r>
      <w:r w:rsidR="00C64050">
        <w:t xml:space="preserve"> </w:t>
      </w:r>
      <w:r>
        <w:t>least</w:t>
      </w:r>
      <w:r w:rsidR="00C64050">
        <w:t xml:space="preserve"> </w:t>
      </w:r>
      <w:r>
        <w:t>under</w:t>
      </w:r>
      <w:r w:rsidR="00C64050">
        <w:t xml:space="preserve"> </w:t>
      </w:r>
      <w:r>
        <w:t>some</w:t>
      </w:r>
      <w:r w:rsidR="00C64050">
        <w:t xml:space="preserve"> </w:t>
      </w:r>
      <w:r>
        <w:t>facts.</w:t>
      </w:r>
      <w:r w:rsidR="00C64050">
        <w:t xml:space="preserve"> </w:t>
      </w:r>
      <w:r>
        <w:t>Another</w:t>
      </w:r>
      <w:r w:rsidR="00C64050">
        <w:t xml:space="preserve"> </w:t>
      </w:r>
      <w:r>
        <w:t>standard</w:t>
      </w:r>
      <w:r w:rsidR="00C64050">
        <w:t xml:space="preserve"> </w:t>
      </w:r>
      <w:r>
        <w:t>treatise,</w:t>
      </w:r>
      <w:r w:rsidR="00C64050">
        <w:t xml:space="preserve"> </w:t>
      </w:r>
      <w:r>
        <w:t>Ferguson,</w:t>
      </w:r>
      <w:r w:rsidR="00C64050">
        <w:t xml:space="preserve"> </w:t>
      </w:r>
      <w:r>
        <w:t>M.</w:t>
      </w:r>
      <w:r w:rsidR="00C64050">
        <w:t xml:space="preserve"> </w:t>
      </w:r>
      <w:r>
        <w:t>Carr,</w:t>
      </w:r>
      <w:r w:rsidR="00C64050">
        <w:t xml:space="preserve"> </w:t>
      </w:r>
      <w:r>
        <w:t>et</w:t>
      </w:r>
      <w:r w:rsidR="00C64050">
        <w:t xml:space="preserve"> </w:t>
      </w:r>
      <w:r>
        <w:t>al,</w:t>
      </w:r>
      <w:r w:rsidR="00C64050">
        <w:t xml:space="preserve"> </w:t>
      </w:r>
      <w:r>
        <w:rPr>
          <w:u w:val="single"/>
        </w:rPr>
        <w:t>Federal</w:t>
      </w:r>
      <w:r w:rsidR="00C64050">
        <w:rPr>
          <w:u w:val="single"/>
        </w:rPr>
        <w:t xml:space="preserve"> </w:t>
      </w:r>
      <w:r>
        <w:rPr>
          <w:u w:val="single"/>
        </w:rPr>
        <w:t>Income</w:t>
      </w:r>
      <w:r w:rsidR="00C64050">
        <w:rPr>
          <w:u w:val="single"/>
        </w:rPr>
        <w:t xml:space="preserve"> </w:t>
      </w:r>
      <w:r>
        <w:rPr>
          <w:u w:val="single"/>
        </w:rPr>
        <w:t>Taxation</w:t>
      </w:r>
      <w:r w:rsidR="00C64050">
        <w:rPr>
          <w:u w:val="single"/>
        </w:rPr>
        <w:t xml:space="preserve"> </w:t>
      </w:r>
      <w:r>
        <w:rPr>
          <w:u w:val="single"/>
        </w:rPr>
        <w:t>of</w:t>
      </w:r>
      <w:r w:rsidR="00C64050">
        <w:rPr>
          <w:u w:val="single"/>
        </w:rPr>
        <w:t xml:space="preserve"> </w:t>
      </w:r>
      <w:r>
        <w:rPr>
          <w:u w:val="single"/>
        </w:rPr>
        <w:t>Estates,</w:t>
      </w:r>
      <w:r w:rsidR="00C64050">
        <w:rPr>
          <w:u w:val="single"/>
        </w:rPr>
        <w:t xml:space="preserve"> </w:t>
      </w:r>
      <w:r>
        <w:rPr>
          <w:u w:val="single"/>
        </w:rPr>
        <w:t>Trusts,</w:t>
      </w:r>
      <w:r w:rsidR="00C64050">
        <w:rPr>
          <w:u w:val="single"/>
        </w:rPr>
        <w:t xml:space="preserve"> </w:t>
      </w:r>
      <w:r>
        <w:rPr>
          <w:u w:val="single"/>
        </w:rPr>
        <w:t>&amp;</w:t>
      </w:r>
      <w:r w:rsidR="00C64050">
        <w:rPr>
          <w:u w:val="single"/>
        </w:rPr>
        <w:t xml:space="preserve"> </w:t>
      </w:r>
      <w:r>
        <w:rPr>
          <w:u w:val="single"/>
        </w:rPr>
        <w:t>Beneficiaries</w:t>
      </w:r>
      <w:r w:rsidR="00C64050">
        <w:t xml:space="preserve"> </w:t>
      </w:r>
      <w:r>
        <w:t>(current</w:t>
      </w:r>
      <w:r w:rsidR="00C64050">
        <w:t xml:space="preserve"> </w:t>
      </w:r>
      <w:r>
        <w:t>through</w:t>
      </w:r>
      <w:r w:rsidR="00C64050">
        <w:t xml:space="preserve"> </w:t>
      </w:r>
      <w:r>
        <w:t>2016),</w:t>
      </w:r>
      <w:r w:rsidR="00C64050">
        <w:t xml:space="preserve"> </w:t>
      </w:r>
      <w:r>
        <w:t>states</w:t>
      </w:r>
      <w:r w:rsidR="00C64050">
        <w:t xml:space="preserve"> </w:t>
      </w:r>
      <w:r>
        <w:t>at</w:t>
      </w:r>
      <w:r w:rsidR="00C64050">
        <w:t xml:space="preserve"> </w:t>
      </w:r>
      <w:r>
        <w:t>§</w:t>
      </w:r>
      <w:r w:rsidR="00C64050">
        <w:t xml:space="preserve"> </w:t>
      </w:r>
      <w:r>
        <w:t>6.10:</w:t>
      </w:r>
      <w:r w:rsidR="00C64050">
        <w:t xml:space="preserve"> </w:t>
      </w:r>
      <w:r>
        <w:t>"The</w:t>
      </w:r>
      <w:r w:rsidR="00C64050">
        <w:t xml:space="preserve"> </w:t>
      </w:r>
      <w:r>
        <w:t>analysis</w:t>
      </w:r>
      <w:r w:rsidR="00C64050">
        <w:t xml:space="preserve"> </w:t>
      </w:r>
      <w:r>
        <w:t>[explaining</w:t>
      </w:r>
      <w:r w:rsidR="00C64050">
        <w:t xml:space="preserve"> </w:t>
      </w:r>
      <w:r>
        <w:t>why</w:t>
      </w:r>
      <w:r w:rsidR="00C64050">
        <w:t xml:space="preserve"> </w:t>
      </w:r>
      <w:r>
        <w:t>a</w:t>
      </w:r>
      <w:r w:rsidR="00C64050">
        <w:t xml:space="preserve"> </w:t>
      </w:r>
      <w:r>
        <w:t>single</w:t>
      </w:r>
      <w:r w:rsidR="00C64050">
        <w:t xml:space="preserve"> </w:t>
      </w:r>
      <w:r>
        <w:t>payment</w:t>
      </w:r>
      <w:r w:rsidR="00C64050">
        <w:t xml:space="preserve"> </w:t>
      </w:r>
      <w:r>
        <w:t>should</w:t>
      </w:r>
      <w:r w:rsidR="00C64050">
        <w:t xml:space="preserve"> </w:t>
      </w:r>
      <w:r>
        <w:t>not</w:t>
      </w:r>
      <w:r w:rsidR="00C64050">
        <w:t xml:space="preserve"> </w:t>
      </w:r>
      <w:r>
        <w:t>allow</w:t>
      </w:r>
      <w:r w:rsidR="00C64050">
        <w:t xml:space="preserve"> </w:t>
      </w:r>
      <w:r>
        <w:t>double</w:t>
      </w:r>
      <w:r w:rsidR="00C64050">
        <w:t xml:space="preserve"> </w:t>
      </w:r>
      <w:r>
        <w:t>deduction</w:t>
      </w:r>
      <w:r w:rsidR="00C64050">
        <w:t xml:space="preserve"> </w:t>
      </w:r>
      <w:r>
        <w:t>under</w:t>
      </w:r>
      <w:r w:rsidR="00C64050">
        <w:t xml:space="preserve"> </w:t>
      </w:r>
      <w:r>
        <w:t>§§</w:t>
      </w:r>
      <w:r w:rsidR="00C64050">
        <w:t xml:space="preserve"> </w:t>
      </w:r>
      <w:r>
        <w:t>642(c)</w:t>
      </w:r>
      <w:r w:rsidR="00C64050">
        <w:t xml:space="preserve"> </w:t>
      </w:r>
      <w:r>
        <w:t>and</w:t>
      </w:r>
      <w:r w:rsidR="00C64050">
        <w:t xml:space="preserve"> </w:t>
      </w:r>
      <w:r>
        <w:t>§</w:t>
      </w:r>
      <w:r w:rsidR="00C64050">
        <w:t xml:space="preserve"> </w:t>
      </w:r>
      <w:r>
        <w:t>661(a)]</w:t>
      </w:r>
      <w:r w:rsidR="00C64050">
        <w:t xml:space="preserve"> </w:t>
      </w:r>
      <w:r>
        <w:t>does</w:t>
      </w:r>
      <w:r w:rsidR="00C64050">
        <w:t xml:space="preserve"> </w:t>
      </w:r>
      <w:r>
        <w:t>not,</w:t>
      </w:r>
      <w:r w:rsidR="00C64050">
        <w:t xml:space="preserve"> </w:t>
      </w:r>
      <w:r>
        <w:t>however,</w:t>
      </w:r>
      <w:r w:rsidR="00C64050">
        <w:t xml:space="preserve"> </w:t>
      </w:r>
      <w:r>
        <w:t>answer</w:t>
      </w:r>
      <w:r w:rsidR="00C64050">
        <w:t xml:space="preserve"> </w:t>
      </w:r>
      <w:r>
        <w:t>the</w:t>
      </w:r>
      <w:r w:rsidR="00C64050">
        <w:t xml:space="preserve"> </w:t>
      </w:r>
      <w:r>
        <w:t>question</w:t>
      </w:r>
      <w:r w:rsidR="00C64050">
        <w:t xml:space="preserve"> </w:t>
      </w:r>
      <w:r>
        <w:t>whether</w:t>
      </w:r>
      <w:r w:rsidR="00C64050">
        <w:t xml:space="preserve"> </w:t>
      </w:r>
      <w:r>
        <w:t>amounts</w:t>
      </w:r>
      <w:r w:rsidR="00C64050">
        <w:t xml:space="preserve"> </w:t>
      </w:r>
      <w:r>
        <w:t>that</w:t>
      </w:r>
      <w:r w:rsidR="00C64050">
        <w:t xml:space="preserve"> </w:t>
      </w:r>
      <w:r>
        <w:t>pass</w:t>
      </w:r>
      <w:r w:rsidR="00C64050">
        <w:t xml:space="preserve"> </w:t>
      </w:r>
      <w:r>
        <w:t>to</w:t>
      </w:r>
      <w:r w:rsidR="00C64050">
        <w:t xml:space="preserve"> </w:t>
      </w:r>
      <w:r>
        <w:t>charity</w:t>
      </w:r>
      <w:r w:rsidR="00C64050">
        <w:t xml:space="preserve"> </w:t>
      </w:r>
      <w:r>
        <w:t>in</w:t>
      </w:r>
      <w:r w:rsidR="00C64050">
        <w:t xml:space="preserve"> </w:t>
      </w:r>
      <w:r>
        <w:t>such</w:t>
      </w:r>
      <w:r w:rsidR="00C64050">
        <w:t xml:space="preserve"> </w:t>
      </w:r>
      <w:r>
        <w:t>a</w:t>
      </w:r>
      <w:r w:rsidR="00C64050">
        <w:t xml:space="preserve"> </w:t>
      </w:r>
      <w:r>
        <w:t>way</w:t>
      </w:r>
      <w:r w:rsidR="00C64050">
        <w:t xml:space="preserve"> </w:t>
      </w:r>
      <w:r>
        <w:t>as</w:t>
      </w:r>
      <w:r w:rsidR="00C64050">
        <w:t xml:space="preserve"> </w:t>
      </w:r>
      <w:r>
        <w:t>not</w:t>
      </w:r>
      <w:r w:rsidR="00C64050">
        <w:t xml:space="preserve"> </w:t>
      </w:r>
      <w:r>
        <w:t>to</w:t>
      </w:r>
      <w:r w:rsidR="00C64050">
        <w:t xml:space="preserve"> </w:t>
      </w:r>
      <w:r>
        <w:t>qualify</w:t>
      </w:r>
      <w:r w:rsidR="00C64050">
        <w:t xml:space="preserve"> </w:t>
      </w:r>
      <w:r>
        <w:t>for</w:t>
      </w:r>
      <w:r w:rsidR="00C64050">
        <w:t xml:space="preserve"> </w:t>
      </w:r>
      <w:r>
        <w:t>the</w:t>
      </w:r>
      <w:r w:rsidR="00C64050">
        <w:t xml:space="preserve"> </w:t>
      </w:r>
      <w:r>
        <w:t>deduction</w:t>
      </w:r>
      <w:r w:rsidR="00C64050">
        <w:t xml:space="preserve"> </w:t>
      </w:r>
      <w:r>
        <w:t>under</w:t>
      </w:r>
      <w:r w:rsidR="00C64050">
        <w:t xml:space="preserve"> </w:t>
      </w:r>
      <w:r>
        <w:t>§</w:t>
      </w:r>
      <w:r w:rsidR="00C64050">
        <w:t xml:space="preserve"> </w:t>
      </w:r>
      <w:r>
        <w:t>642(c),</w:t>
      </w:r>
      <w:r w:rsidR="00C64050">
        <w:t xml:space="preserve"> </w:t>
      </w:r>
      <w:r>
        <w:t>such</w:t>
      </w:r>
      <w:r w:rsidR="00C64050">
        <w:t xml:space="preserve"> </w:t>
      </w:r>
      <w:r>
        <w:t>as</w:t>
      </w:r>
      <w:r w:rsidR="00C64050">
        <w:t xml:space="preserve"> </w:t>
      </w:r>
      <w:r>
        <w:t>amounts</w:t>
      </w:r>
      <w:r w:rsidR="00C64050">
        <w:t xml:space="preserve"> </w:t>
      </w:r>
      <w:r>
        <w:t>that</w:t>
      </w:r>
      <w:r w:rsidR="00C64050">
        <w:t xml:space="preserve"> </w:t>
      </w:r>
      <w:r>
        <w:t>pass</w:t>
      </w:r>
      <w:r w:rsidR="00C64050">
        <w:t xml:space="preserve"> </w:t>
      </w:r>
      <w:r>
        <w:t>to</w:t>
      </w:r>
      <w:r w:rsidR="00C64050">
        <w:t xml:space="preserve"> </w:t>
      </w:r>
      <w:r>
        <w:t>nonqualified</w:t>
      </w:r>
      <w:r w:rsidR="00C64050">
        <w:t xml:space="preserve"> </w:t>
      </w:r>
      <w:r>
        <w:t>quasi-charitable</w:t>
      </w:r>
      <w:r w:rsidR="00C64050">
        <w:t xml:space="preserve"> </w:t>
      </w:r>
      <w:r>
        <w:t>organizations</w:t>
      </w:r>
      <w:r w:rsidR="00C64050">
        <w:t xml:space="preserve"> </w:t>
      </w:r>
      <w:r>
        <w:t>or</w:t>
      </w:r>
      <w:r w:rsidR="00C64050">
        <w:t xml:space="preserve"> </w:t>
      </w:r>
      <w:r>
        <w:t>are</w:t>
      </w:r>
      <w:r w:rsidR="00C64050">
        <w:t xml:space="preserve"> </w:t>
      </w:r>
      <w:r>
        <w:t>used</w:t>
      </w:r>
      <w:r w:rsidR="00C64050">
        <w:t xml:space="preserve"> </w:t>
      </w:r>
      <w:r>
        <w:t>for</w:t>
      </w:r>
      <w:r w:rsidR="00C64050">
        <w:t xml:space="preserve"> </w:t>
      </w:r>
      <w:r>
        <w:t>purposes</w:t>
      </w:r>
      <w:r w:rsidR="00C64050">
        <w:t xml:space="preserve"> </w:t>
      </w:r>
      <w:r>
        <w:t>that</w:t>
      </w:r>
      <w:r w:rsidR="00C64050">
        <w:t xml:space="preserve"> </w:t>
      </w:r>
      <w:r>
        <w:t>are</w:t>
      </w:r>
      <w:r w:rsidR="00C64050">
        <w:t xml:space="preserve"> </w:t>
      </w:r>
      <w:r>
        <w:t>not</w:t>
      </w:r>
      <w:r w:rsidR="00C64050">
        <w:t xml:space="preserve"> </w:t>
      </w:r>
      <w:r>
        <w:t>exclusively</w:t>
      </w:r>
      <w:r w:rsidR="00C64050">
        <w:t xml:space="preserve"> </w:t>
      </w:r>
      <w:r>
        <w:t>charitable,</w:t>
      </w:r>
      <w:r w:rsidR="00C64050">
        <w:t xml:space="preserve"> </w:t>
      </w:r>
      <w:r>
        <w:t>escape</w:t>
      </w:r>
      <w:r w:rsidR="00C64050">
        <w:t xml:space="preserve"> </w:t>
      </w:r>
      <w:r>
        <w:t>the</w:t>
      </w:r>
      <w:r w:rsidR="00C64050">
        <w:t xml:space="preserve"> </w:t>
      </w:r>
      <w:r>
        <w:t>proscription</w:t>
      </w:r>
      <w:r w:rsidR="00C64050">
        <w:t xml:space="preserve"> </w:t>
      </w:r>
      <w:r>
        <w:t>of</w:t>
      </w:r>
      <w:r w:rsidR="00C64050">
        <w:t xml:space="preserve"> </w:t>
      </w:r>
      <w:r>
        <w:t>§</w:t>
      </w:r>
      <w:r w:rsidR="00C64050">
        <w:t xml:space="preserve"> </w:t>
      </w:r>
      <w:r>
        <w:t>663(a)(2).</w:t>
      </w:r>
      <w:r w:rsidR="00C64050">
        <w:t xml:space="preserve"> </w:t>
      </w:r>
      <w:r>
        <w:t>Obviously,</w:t>
      </w:r>
      <w:r w:rsidR="00C64050">
        <w:t xml:space="preserve"> </w:t>
      </w:r>
      <w:r>
        <w:t>such</w:t>
      </w:r>
      <w:r w:rsidR="00C64050">
        <w:t xml:space="preserve"> </w:t>
      </w:r>
      <w:r>
        <w:t>amounts</w:t>
      </w:r>
      <w:r w:rsidR="00C64050">
        <w:t xml:space="preserve"> </w:t>
      </w:r>
      <w:r>
        <w:t>do</w:t>
      </w:r>
      <w:r w:rsidR="00C64050">
        <w:t xml:space="preserve"> </w:t>
      </w:r>
      <w:r>
        <w:rPr>
          <w:rStyle w:val="Emphasis"/>
          <w:rFonts w:ascii="Open Sans" w:hAnsi="Open Sans" w:cs="Arial"/>
          <w:color w:val="333333"/>
          <w:sz w:val="21"/>
          <w:szCs w:val="21"/>
        </w:rPr>
        <w:t>not</w:t>
      </w:r>
      <w:r w:rsidR="00C64050">
        <w:t xml:space="preserve"> </w:t>
      </w:r>
      <w:r>
        <w:t>qualify</w:t>
      </w:r>
      <w:r w:rsidR="00C64050">
        <w:t xml:space="preserve"> </w:t>
      </w:r>
      <w:r>
        <w:t>'for</w:t>
      </w:r>
      <w:r w:rsidR="00C64050">
        <w:t xml:space="preserve"> </w:t>
      </w:r>
      <w:r>
        <w:t>the</w:t>
      </w:r>
      <w:r w:rsidR="00C64050">
        <w:t xml:space="preserve"> </w:t>
      </w:r>
      <w:r>
        <w:t>deduction</w:t>
      </w:r>
      <w:r w:rsidR="00C64050">
        <w:t xml:space="preserve"> </w:t>
      </w:r>
      <w:r>
        <w:t>provided</w:t>
      </w:r>
      <w:r w:rsidR="00C64050">
        <w:t xml:space="preserve"> </w:t>
      </w:r>
      <w:r>
        <w:t>in</w:t>
      </w:r>
      <w:r w:rsidR="00C64050">
        <w:t xml:space="preserve"> </w:t>
      </w:r>
      <w:r>
        <w:t>§</w:t>
      </w:r>
      <w:r w:rsidR="00C64050">
        <w:t xml:space="preserve"> </w:t>
      </w:r>
      <w:r>
        <w:t>642(c).'</w:t>
      </w:r>
      <w:r w:rsidR="00C64050">
        <w:t xml:space="preserve"> </w:t>
      </w:r>
      <w:r>
        <w:t>Are</w:t>
      </w:r>
      <w:r w:rsidR="00C64050">
        <w:t xml:space="preserve"> </w:t>
      </w:r>
      <w:r>
        <w:t>they</w:t>
      </w:r>
      <w:r w:rsidR="00C64050">
        <w:t xml:space="preserve"> </w:t>
      </w:r>
      <w:r>
        <w:t>therefore</w:t>
      </w:r>
      <w:r w:rsidR="00C64050">
        <w:t xml:space="preserve"> </w:t>
      </w:r>
      <w:r>
        <w:t>deductible</w:t>
      </w:r>
      <w:r w:rsidR="00C64050">
        <w:t xml:space="preserve"> </w:t>
      </w:r>
      <w:r>
        <w:t>as</w:t>
      </w:r>
      <w:r w:rsidR="00C64050">
        <w:t xml:space="preserve"> </w:t>
      </w:r>
      <w:r>
        <w:t>distributions</w:t>
      </w:r>
      <w:r w:rsidR="00C64050">
        <w:t xml:space="preserve"> </w:t>
      </w:r>
      <w:r>
        <w:t>under</w:t>
      </w:r>
      <w:r w:rsidR="00C64050">
        <w:t xml:space="preserve"> </w:t>
      </w:r>
      <w:r>
        <w:t>§</w:t>
      </w:r>
      <w:r w:rsidR="00C64050">
        <w:t xml:space="preserve"> </w:t>
      </w:r>
      <w:r>
        <w:t>661?</w:t>
      </w:r>
      <w:r w:rsidR="00C64050">
        <w:t xml:space="preserve"> </w:t>
      </w:r>
      <w:r>
        <w:t>A</w:t>
      </w:r>
      <w:r w:rsidR="00C64050">
        <w:t xml:space="preserve"> </w:t>
      </w:r>
      <w:r>
        <w:t>literal</w:t>
      </w:r>
      <w:r w:rsidR="00C64050">
        <w:t xml:space="preserve"> </w:t>
      </w:r>
      <w:r>
        <w:t>reading</w:t>
      </w:r>
      <w:r w:rsidR="00C64050">
        <w:t xml:space="preserve"> </w:t>
      </w:r>
      <w:r>
        <w:t>of</w:t>
      </w:r>
      <w:r w:rsidR="00C64050">
        <w:t xml:space="preserve"> </w:t>
      </w:r>
      <w:r>
        <w:t>the</w:t>
      </w:r>
      <w:r w:rsidR="00C64050">
        <w:t xml:space="preserve"> </w:t>
      </w:r>
      <w:r>
        <w:t>statute</w:t>
      </w:r>
      <w:r w:rsidR="00C64050">
        <w:t xml:space="preserve"> </w:t>
      </w:r>
      <w:r>
        <w:t>strongly</w:t>
      </w:r>
      <w:r w:rsidR="00C64050">
        <w:t xml:space="preserve"> </w:t>
      </w:r>
      <w:r>
        <w:t>suggests</w:t>
      </w:r>
      <w:r w:rsidR="00C64050">
        <w:t xml:space="preserve"> </w:t>
      </w:r>
      <w:r>
        <w:t>that</w:t>
      </w:r>
      <w:r w:rsidR="00C64050">
        <w:t xml:space="preserve"> </w:t>
      </w:r>
      <w:r>
        <w:t>many</w:t>
      </w:r>
      <w:r w:rsidR="00C64050">
        <w:t xml:space="preserve"> </w:t>
      </w:r>
      <w:r>
        <w:t>such</w:t>
      </w:r>
      <w:r w:rsidR="00C64050">
        <w:t xml:space="preserve"> </w:t>
      </w:r>
      <w:r>
        <w:t>amounts</w:t>
      </w:r>
      <w:r w:rsidR="00C64050">
        <w:t xml:space="preserve"> </w:t>
      </w:r>
      <w:r>
        <w:t>should</w:t>
      </w:r>
      <w:r w:rsidR="00C64050">
        <w:t xml:space="preserve"> </w:t>
      </w:r>
      <w:r>
        <w:t>be.</w:t>
      </w:r>
      <w:r w:rsidR="00C64050">
        <w:t xml:space="preserve"> </w:t>
      </w:r>
      <w:r>
        <w:t>Even</w:t>
      </w:r>
      <w:r w:rsidR="00C64050">
        <w:t xml:space="preserve"> </w:t>
      </w:r>
      <w:r>
        <w:t>an</w:t>
      </w:r>
      <w:r w:rsidR="00C64050">
        <w:t xml:space="preserve"> </w:t>
      </w:r>
      <w:r>
        <w:t>undisputedly</w:t>
      </w:r>
      <w:r w:rsidR="00C64050">
        <w:t xml:space="preserve"> </w:t>
      </w:r>
      <w:r>
        <w:t>charitable</w:t>
      </w:r>
      <w:r w:rsidR="00C64050">
        <w:t xml:space="preserve"> </w:t>
      </w:r>
      <w:r>
        <w:t>beneficiary</w:t>
      </w:r>
      <w:r w:rsidR="00C64050">
        <w:t xml:space="preserve"> </w:t>
      </w:r>
      <w:r>
        <w:t>would</w:t>
      </w:r>
      <w:r w:rsidR="00C64050">
        <w:t xml:space="preserve"> </w:t>
      </w:r>
      <w:r>
        <w:t>be</w:t>
      </w:r>
      <w:r w:rsidR="00C64050">
        <w:t xml:space="preserve"> </w:t>
      </w:r>
      <w:r>
        <w:t>treated</w:t>
      </w:r>
      <w:r w:rsidR="00C64050">
        <w:t xml:space="preserve"> </w:t>
      </w:r>
      <w:r>
        <w:t>the</w:t>
      </w:r>
      <w:r w:rsidR="00C64050">
        <w:t xml:space="preserve"> </w:t>
      </w:r>
      <w:r>
        <w:t>same</w:t>
      </w:r>
      <w:r w:rsidR="00C64050">
        <w:t xml:space="preserve"> </w:t>
      </w:r>
      <w:r>
        <w:t>as</w:t>
      </w:r>
      <w:r w:rsidR="00C64050">
        <w:t xml:space="preserve"> </w:t>
      </w:r>
      <w:r>
        <w:t>any</w:t>
      </w:r>
      <w:r w:rsidR="00C64050">
        <w:t xml:space="preserve"> </w:t>
      </w:r>
      <w:r>
        <w:t>other</w:t>
      </w:r>
      <w:r w:rsidR="00C64050">
        <w:t xml:space="preserve"> </w:t>
      </w:r>
      <w:r>
        <w:t>beneficiary</w:t>
      </w:r>
      <w:r w:rsidR="00C64050">
        <w:t xml:space="preserve"> </w:t>
      </w:r>
      <w:r>
        <w:t>under</w:t>
      </w:r>
      <w:r w:rsidR="00C64050">
        <w:t xml:space="preserve"> </w:t>
      </w:r>
      <w:r>
        <w:t>the</w:t>
      </w:r>
      <w:r w:rsidR="00C64050">
        <w:t xml:space="preserve"> </w:t>
      </w:r>
      <w:r>
        <w:t>distribution</w:t>
      </w:r>
      <w:r w:rsidR="00C64050">
        <w:t xml:space="preserve"> </w:t>
      </w:r>
      <w:r>
        <w:t>rules,</w:t>
      </w:r>
      <w:r w:rsidR="00C64050">
        <w:t xml:space="preserve"> </w:t>
      </w:r>
      <w:r>
        <w:t>if</w:t>
      </w:r>
      <w:r w:rsidR="00C64050">
        <w:t xml:space="preserve"> </w:t>
      </w:r>
      <w:r>
        <w:t>it</w:t>
      </w:r>
      <w:r w:rsidR="00C64050">
        <w:t xml:space="preserve"> </w:t>
      </w:r>
      <w:r>
        <w:t>were</w:t>
      </w:r>
      <w:r w:rsidR="00C64050">
        <w:t xml:space="preserve"> </w:t>
      </w:r>
      <w:r>
        <w:t>not</w:t>
      </w:r>
      <w:r w:rsidR="00C64050">
        <w:t xml:space="preserve"> </w:t>
      </w:r>
      <w:r>
        <w:t>for</w:t>
      </w:r>
      <w:r w:rsidR="00C64050">
        <w:t xml:space="preserve"> </w:t>
      </w:r>
      <w:r>
        <w:t>§§</w:t>
      </w:r>
      <w:r w:rsidR="00C64050">
        <w:t xml:space="preserve"> </w:t>
      </w:r>
      <w:r>
        <w:t>642(c)</w:t>
      </w:r>
      <w:r w:rsidR="00C64050">
        <w:t xml:space="preserve"> </w:t>
      </w:r>
      <w:r>
        <w:t>and</w:t>
      </w:r>
      <w:r w:rsidR="00C64050">
        <w:t xml:space="preserve"> </w:t>
      </w:r>
      <w:r>
        <w:t>663(a)(2).</w:t>
      </w:r>
      <w:r w:rsidR="00C64050">
        <w:t xml:space="preserve"> </w:t>
      </w:r>
      <w:r>
        <w:t>When</w:t>
      </w:r>
      <w:r w:rsidR="00C64050">
        <w:t xml:space="preserve"> </w:t>
      </w:r>
      <w:r>
        <w:t>no</w:t>
      </w:r>
      <w:r w:rsidR="00C64050">
        <w:t xml:space="preserve"> </w:t>
      </w:r>
      <w:r>
        <w:t>deduction</w:t>
      </w:r>
      <w:r w:rsidR="00C64050">
        <w:t xml:space="preserve"> </w:t>
      </w:r>
      <w:r>
        <w:t>is</w:t>
      </w:r>
      <w:r w:rsidR="00C64050">
        <w:t xml:space="preserve"> </w:t>
      </w:r>
      <w:r>
        <w:t>available</w:t>
      </w:r>
      <w:r w:rsidR="00C64050">
        <w:t xml:space="preserve"> </w:t>
      </w:r>
      <w:r>
        <w:t>under</w:t>
      </w:r>
      <w:r w:rsidR="00C64050">
        <w:t xml:space="preserve"> </w:t>
      </w:r>
      <w:r>
        <w:t>§</w:t>
      </w:r>
      <w:r w:rsidR="00C64050">
        <w:t xml:space="preserve"> </w:t>
      </w:r>
      <w:r>
        <w:t>642(c),</w:t>
      </w:r>
      <w:r w:rsidR="00C64050">
        <w:t xml:space="preserve"> </w:t>
      </w:r>
      <w:r>
        <w:t>§</w:t>
      </w:r>
      <w:r w:rsidR="00C64050">
        <w:t xml:space="preserve"> </w:t>
      </w:r>
      <w:r>
        <w:t>663(a)(2)</w:t>
      </w:r>
      <w:r w:rsidR="00C64050">
        <w:t xml:space="preserve"> </w:t>
      </w:r>
      <w:r>
        <w:t>seems</w:t>
      </w:r>
      <w:r w:rsidR="00C64050">
        <w:t xml:space="preserve"> </w:t>
      </w:r>
      <w:r>
        <w:t>to</w:t>
      </w:r>
      <w:r w:rsidR="00C64050">
        <w:t xml:space="preserve"> </w:t>
      </w:r>
      <w:r>
        <w:t>plainly</w:t>
      </w:r>
      <w:r w:rsidR="00C64050">
        <w:t xml:space="preserve"> </w:t>
      </w:r>
      <w:r>
        <w:t>not</w:t>
      </w:r>
      <w:r w:rsidR="00C64050">
        <w:t xml:space="preserve"> </w:t>
      </w:r>
      <w:r>
        <w:t>apply."</w:t>
      </w:r>
    </w:p>
    <w:p w:rsidR="008D344C" w:rsidRDefault="00B9565E" w:rsidP="008D344C">
      <w:pPr>
        <w:pStyle w:val="Body15"/>
        <w:rPr>
          <w:color w:val="000000"/>
        </w:rPr>
      </w:pPr>
      <w:r>
        <w:rPr>
          <w:color w:val="000000"/>
        </w:rPr>
        <w:t>The</w:t>
      </w:r>
      <w:r w:rsidR="00C64050">
        <w:rPr>
          <w:color w:val="000000"/>
        </w:rPr>
        <w:t xml:space="preserve"> </w:t>
      </w:r>
      <w:r>
        <w:rPr>
          <w:color w:val="000000"/>
        </w:rPr>
        <w:t>taxpayer</w:t>
      </w:r>
      <w:r w:rsidR="00C64050">
        <w:rPr>
          <w:color w:val="000000"/>
        </w:rPr>
        <w:t xml:space="preserve"> </w:t>
      </w:r>
      <w:r>
        <w:rPr>
          <w:color w:val="000000"/>
        </w:rPr>
        <w:t>attempted</w:t>
      </w:r>
      <w:r w:rsidR="00C64050">
        <w:rPr>
          <w:color w:val="000000"/>
        </w:rPr>
        <w:t xml:space="preserve"> </w:t>
      </w:r>
      <w:r>
        <w:rPr>
          <w:color w:val="000000"/>
        </w:rPr>
        <w:t>to</w:t>
      </w:r>
      <w:r w:rsidR="00C64050">
        <w:rPr>
          <w:color w:val="000000"/>
        </w:rPr>
        <w:t xml:space="preserve"> </w:t>
      </w:r>
      <w:r>
        <w:rPr>
          <w:color w:val="000000"/>
        </w:rPr>
        <w:t>inspire</w:t>
      </w:r>
      <w:r w:rsidR="00C64050">
        <w:rPr>
          <w:color w:val="000000"/>
        </w:rPr>
        <w:t xml:space="preserve"> </w:t>
      </w:r>
      <w:r>
        <w:rPr>
          <w:color w:val="000000"/>
        </w:rPr>
        <w:t>the</w:t>
      </w:r>
      <w:r w:rsidR="00C64050">
        <w:rPr>
          <w:color w:val="000000"/>
        </w:rPr>
        <w:t xml:space="preserve"> </w:t>
      </w:r>
      <w:r>
        <w:rPr>
          <w:color w:val="000000"/>
        </w:rPr>
        <w:t>IRS</w:t>
      </w:r>
      <w:r w:rsidR="00C64050">
        <w:rPr>
          <w:color w:val="000000"/>
        </w:rPr>
        <w:t xml:space="preserve"> </w:t>
      </w:r>
      <w:r>
        <w:rPr>
          <w:color w:val="000000"/>
        </w:rPr>
        <w:t>to</w:t>
      </w:r>
      <w:r w:rsidR="00C64050">
        <w:rPr>
          <w:color w:val="000000"/>
        </w:rPr>
        <w:t xml:space="preserve"> </w:t>
      </w:r>
      <w:r>
        <w:rPr>
          <w:color w:val="000000"/>
        </w:rPr>
        <w:t>accept</w:t>
      </w:r>
      <w:r w:rsidR="00C64050">
        <w:rPr>
          <w:color w:val="000000"/>
        </w:rPr>
        <w:t xml:space="preserve"> </w:t>
      </w:r>
      <w:r>
        <w:rPr>
          <w:color w:val="000000"/>
        </w:rPr>
        <w:t>a</w:t>
      </w:r>
      <w:r w:rsidR="00C64050">
        <w:rPr>
          <w:color w:val="000000"/>
        </w:rPr>
        <w:t xml:space="preserve"> </w:t>
      </w:r>
      <w:r>
        <w:rPr>
          <w:color w:val="000000"/>
        </w:rPr>
        <w:t>bona</w:t>
      </w:r>
      <w:r w:rsidR="00C64050">
        <w:rPr>
          <w:color w:val="000000"/>
        </w:rPr>
        <w:t xml:space="preserve"> </w:t>
      </w:r>
      <w:r>
        <w:rPr>
          <w:color w:val="000000"/>
        </w:rPr>
        <w:t>fide</w:t>
      </w:r>
      <w:r w:rsidR="00C64050">
        <w:rPr>
          <w:color w:val="000000"/>
        </w:rPr>
        <w:t xml:space="preserve"> </w:t>
      </w:r>
      <w:r>
        <w:rPr>
          <w:color w:val="000000"/>
        </w:rPr>
        <w:t>state</w:t>
      </w:r>
      <w:r w:rsidR="00C64050">
        <w:rPr>
          <w:color w:val="000000"/>
        </w:rPr>
        <w:t xml:space="preserve"> </w:t>
      </w:r>
      <w:r>
        <w:rPr>
          <w:color w:val="000000"/>
        </w:rPr>
        <w:t>court</w:t>
      </w:r>
      <w:r w:rsidR="00C64050">
        <w:rPr>
          <w:color w:val="000000"/>
        </w:rPr>
        <w:t xml:space="preserve"> </w:t>
      </w:r>
      <w:r>
        <w:rPr>
          <w:color w:val="000000"/>
        </w:rPr>
        <w:t>modification</w:t>
      </w:r>
      <w:r w:rsidR="00C64050">
        <w:rPr>
          <w:color w:val="000000"/>
        </w:rPr>
        <w:t xml:space="preserve"> </w:t>
      </w:r>
      <w:r>
        <w:rPr>
          <w:color w:val="000000"/>
        </w:rPr>
        <w:t>to</w:t>
      </w:r>
      <w:r w:rsidR="00C64050">
        <w:rPr>
          <w:color w:val="000000"/>
        </w:rPr>
        <w:t xml:space="preserve"> </w:t>
      </w:r>
      <w:r>
        <w:rPr>
          <w:color w:val="000000"/>
        </w:rPr>
        <w:t>t</w:t>
      </w:r>
      <w:r w:rsidR="00AF6E2A">
        <w:rPr>
          <w:color w:val="000000"/>
        </w:rPr>
        <w:t>h</w:t>
      </w:r>
      <w:r>
        <w:rPr>
          <w:color w:val="000000"/>
        </w:rPr>
        <w:t>e</w:t>
      </w:r>
      <w:r w:rsidR="00C64050">
        <w:rPr>
          <w:color w:val="000000"/>
        </w:rPr>
        <w:t xml:space="preserve"> </w:t>
      </w:r>
      <w:r>
        <w:rPr>
          <w:color w:val="000000"/>
        </w:rPr>
        <w:t>trust</w:t>
      </w:r>
      <w:r w:rsidR="00C64050">
        <w:rPr>
          <w:color w:val="000000"/>
        </w:rPr>
        <w:t xml:space="preserve"> </w:t>
      </w:r>
      <w:r>
        <w:rPr>
          <w:color w:val="000000"/>
        </w:rPr>
        <w:t>instrument</w:t>
      </w:r>
      <w:r w:rsidR="00C64050">
        <w:rPr>
          <w:color w:val="000000"/>
        </w:rPr>
        <w:t xml:space="preserve"> </w:t>
      </w:r>
      <w:r>
        <w:rPr>
          <w:color w:val="000000"/>
        </w:rPr>
        <w:t>as</w:t>
      </w:r>
      <w:r w:rsidR="00C64050">
        <w:rPr>
          <w:color w:val="000000"/>
        </w:rPr>
        <w:t xml:space="preserve"> </w:t>
      </w:r>
      <w:r>
        <w:rPr>
          <w:color w:val="000000"/>
        </w:rPr>
        <w:t>being</w:t>
      </w:r>
      <w:r w:rsidR="00C64050">
        <w:rPr>
          <w:color w:val="000000"/>
        </w:rPr>
        <w:t xml:space="preserve"> </w:t>
      </w:r>
      <w:r>
        <w:rPr>
          <w:color w:val="000000"/>
        </w:rPr>
        <w:t>the</w:t>
      </w:r>
      <w:r w:rsidR="00C64050">
        <w:rPr>
          <w:color w:val="000000"/>
        </w:rPr>
        <w:t xml:space="preserve"> </w:t>
      </w:r>
      <w:r>
        <w:rPr>
          <w:color w:val="000000"/>
        </w:rPr>
        <w:t>“governing</w:t>
      </w:r>
      <w:r w:rsidR="00C64050">
        <w:rPr>
          <w:color w:val="000000"/>
        </w:rPr>
        <w:t xml:space="preserve"> </w:t>
      </w:r>
      <w:r>
        <w:rPr>
          <w:color w:val="000000"/>
        </w:rPr>
        <w:t>instrument”</w:t>
      </w:r>
      <w:r w:rsidR="00C64050">
        <w:rPr>
          <w:color w:val="000000"/>
        </w:rPr>
        <w:t xml:space="preserve"> </w:t>
      </w:r>
      <w:r>
        <w:rPr>
          <w:color w:val="000000"/>
        </w:rPr>
        <w:t>but</w:t>
      </w:r>
      <w:r w:rsidR="00C64050">
        <w:rPr>
          <w:color w:val="000000"/>
        </w:rPr>
        <w:t xml:space="preserve"> </w:t>
      </w:r>
      <w:r>
        <w:rPr>
          <w:color w:val="000000"/>
        </w:rPr>
        <w:t>the</w:t>
      </w:r>
      <w:r w:rsidR="00C64050">
        <w:rPr>
          <w:color w:val="000000"/>
        </w:rPr>
        <w:t xml:space="preserve"> </w:t>
      </w:r>
      <w:r>
        <w:rPr>
          <w:color w:val="000000"/>
        </w:rPr>
        <w:t>IRS</w:t>
      </w:r>
      <w:r w:rsidR="00C64050">
        <w:rPr>
          <w:color w:val="000000"/>
        </w:rPr>
        <w:t xml:space="preserve"> </w:t>
      </w:r>
      <w:r>
        <w:rPr>
          <w:color w:val="000000"/>
        </w:rPr>
        <w:t>rejected</w:t>
      </w:r>
      <w:r w:rsidR="00C64050">
        <w:rPr>
          <w:color w:val="000000"/>
        </w:rPr>
        <w:t xml:space="preserve"> </w:t>
      </w:r>
      <w:r w:rsidR="00AF6E2A">
        <w:rPr>
          <w:color w:val="000000"/>
        </w:rPr>
        <w:t>inspiration</w:t>
      </w:r>
      <w:r w:rsidR="00C64050">
        <w:rPr>
          <w:color w:val="000000"/>
        </w:rPr>
        <w:t xml:space="preserve"> </w:t>
      </w:r>
      <w:r w:rsidR="00AF6E2A">
        <w:rPr>
          <w:color w:val="000000"/>
        </w:rPr>
        <w:t>in</w:t>
      </w:r>
      <w:r w:rsidR="00C64050">
        <w:rPr>
          <w:color w:val="000000"/>
        </w:rPr>
        <w:t xml:space="preserve"> </w:t>
      </w:r>
      <w:r w:rsidR="00AF6E2A">
        <w:rPr>
          <w:color w:val="000000"/>
        </w:rPr>
        <w:t>CCA</w:t>
      </w:r>
      <w:r w:rsidR="00C64050">
        <w:rPr>
          <w:color w:val="000000"/>
        </w:rPr>
        <w:t xml:space="preserve"> </w:t>
      </w:r>
      <w:r w:rsidR="00AF6E2A">
        <w:rPr>
          <w:color w:val="000000"/>
        </w:rPr>
        <w:t>201747005</w:t>
      </w:r>
      <w:r w:rsidR="008D344C">
        <w:rPr>
          <w:color w:val="000000"/>
        </w:rPr>
        <w:t>.</w:t>
      </w:r>
      <w:r w:rsidR="00C64050">
        <w:rPr>
          <w:color w:val="000000"/>
        </w:rPr>
        <w:t xml:space="preserve">  </w:t>
      </w:r>
      <w:r w:rsidR="00AF6E2A">
        <w:rPr>
          <w:color w:val="000000"/>
        </w:rPr>
        <w:t>The</w:t>
      </w:r>
      <w:r w:rsidR="00C64050">
        <w:rPr>
          <w:color w:val="000000"/>
        </w:rPr>
        <w:t xml:space="preserve"> </w:t>
      </w:r>
      <w:r w:rsidR="00AF6E2A">
        <w:rPr>
          <w:color w:val="000000"/>
        </w:rPr>
        <w:t>taxpayer</w:t>
      </w:r>
      <w:r w:rsidR="00C64050">
        <w:rPr>
          <w:color w:val="000000"/>
        </w:rPr>
        <w:t xml:space="preserve"> </w:t>
      </w:r>
      <w:r w:rsidR="0059380C">
        <w:rPr>
          <w:color w:val="000000"/>
        </w:rPr>
        <w:t>and</w:t>
      </w:r>
      <w:r w:rsidR="00C64050">
        <w:rPr>
          <w:color w:val="000000"/>
        </w:rPr>
        <w:t xml:space="preserve"> </w:t>
      </w:r>
      <w:r w:rsidR="0059380C">
        <w:rPr>
          <w:color w:val="000000"/>
        </w:rPr>
        <w:t>the</w:t>
      </w:r>
      <w:r w:rsidR="00C64050">
        <w:rPr>
          <w:color w:val="000000"/>
        </w:rPr>
        <w:t xml:space="preserve"> </w:t>
      </w:r>
      <w:r w:rsidR="0059380C">
        <w:rPr>
          <w:color w:val="000000"/>
        </w:rPr>
        <w:t>IRS</w:t>
      </w:r>
      <w:r w:rsidR="00C64050">
        <w:rPr>
          <w:color w:val="000000"/>
        </w:rPr>
        <w:t xml:space="preserve"> </w:t>
      </w:r>
      <w:r w:rsidR="0059380C">
        <w:rPr>
          <w:color w:val="000000"/>
        </w:rPr>
        <w:t>settled</w:t>
      </w:r>
      <w:r w:rsidR="00C64050">
        <w:rPr>
          <w:color w:val="000000"/>
        </w:rPr>
        <w:t xml:space="preserve"> </w:t>
      </w:r>
      <w:r w:rsidR="0059380C">
        <w:rPr>
          <w:color w:val="000000"/>
        </w:rPr>
        <w:t>the</w:t>
      </w:r>
      <w:r w:rsidR="00C64050">
        <w:rPr>
          <w:color w:val="000000"/>
        </w:rPr>
        <w:t xml:space="preserve"> </w:t>
      </w:r>
      <w:r w:rsidR="0059380C">
        <w:rPr>
          <w:color w:val="000000"/>
        </w:rPr>
        <w:t>case</w:t>
      </w:r>
      <w:r w:rsidR="00C64050">
        <w:rPr>
          <w:color w:val="000000"/>
        </w:rPr>
        <w:t xml:space="preserve"> </w:t>
      </w:r>
      <w:r w:rsidR="0059380C">
        <w:rPr>
          <w:color w:val="000000"/>
        </w:rPr>
        <w:t>bu</w:t>
      </w:r>
      <w:r w:rsidR="002A2547">
        <w:rPr>
          <w:color w:val="000000"/>
        </w:rPr>
        <w:t>t</w:t>
      </w:r>
      <w:r w:rsidR="00C64050">
        <w:rPr>
          <w:color w:val="000000"/>
        </w:rPr>
        <w:t xml:space="preserve"> </w:t>
      </w:r>
      <w:r w:rsidR="002A2547">
        <w:rPr>
          <w:color w:val="000000"/>
        </w:rPr>
        <w:t>the</w:t>
      </w:r>
      <w:r w:rsidR="00C64050">
        <w:rPr>
          <w:color w:val="000000"/>
        </w:rPr>
        <w:t xml:space="preserve"> </w:t>
      </w:r>
      <w:r w:rsidR="002A2547">
        <w:rPr>
          <w:color w:val="000000"/>
        </w:rPr>
        <w:t>IRS</w:t>
      </w:r>
      <w:r w:rsidR="00C64050">
        <w:rPr>
          <w:color w:val="000000"/>
        </w:rPr>
        <w:t xml:space="preserve"> </w:t>
      </w:r>
      <w:r w:rsidR="002A2547">
        <w:rPr>
          <w:color w:val="000000"/>
        </w:rPr>
        <w:t>did</w:t>
      </w:r>
      <w:r w:rsidR="00C64050">
        <w:rPr>
          <w:color w:val="000000"/>
        </w:rPr>
        <w:t xml:space="preserve"> </w:t>
      </w:r>
      <w:r w:rsidR="002A2547">
        <w:rPr>
          <w:color w:val="000000"/>
        </w:rPr>
        <w:t>not</w:t>
      </w:r>
      <w:r w:rsidR="00C64050">
        <w:rPr>
          <w:color w:val="000000"/>
        </w:rPr>
        <w:t xml:space="preserve"> </w:t>
      </w:r>
      <w:r w:rsidR="002A2547">
        <w:rPr>
          <w:color w:val="000000"/>
        </w:rPr>
        <w:t>concede</w:t>
      </w:r>
      <w:r w:rsidR="00C64050">
        <w:rPr>
          <w:color w:val="000000"/>
        </w:rPr>
        <w:t xml:space="preserve"> </w:t>
      </w:r>
      <w:r w:rsidR="002A2547">
        <w:rPr>
          <w:color w:val="000000"/>
        </w:rPr>
        <w:t>the</w:t>
      </w:r>
      <w:r w:rsidR="00C64050">
        <w:rPr>
          <w:color w:val="000000"/>
        </w:rPr>
        <w:t xml:space="preserve"> </w:t>
      </w:r>
      <w:r w:rsidR="002A2547">
        <w:rPr>
          <w:color w:val="000000"/>
        </w:rPr>
        <w:t>po</w:t>
      </w:r>
      <w:r w:rsidR="0059380C">
        <w:rPr>
          <w:color w:val="000000"/>
        </w:rPr>
        <w:t>int.</w:t>
      </w:r>
      <w:r w:rsidR="00C64050">
        <w:rPr>
          <w:color w:val="000000"/>
        </w:rPr>
        <w:t xml:space="preserve">  </w:t>
      </w:r>
    </w:p>
    <w:p w:rsidR="00AF6E2A" w:rsidRDefault="00AF6E2A" w:rsidP="008D344C">
      <w:pPr>
        <w:pStyle w:val="Body15"/>
        <w:rPr>
          <w:color w:val="000000"/>
        </w:rPr>
      </w:pPr>
      <w:r>
        <w:rPr>
          <w:color w:val="000000"/>
        </w:rPr>
        <w:t>There</w:t>
      </w:r>
      <w:r w:rsidR="00C64050">
        <w:rPr>
          <w:color w:val="000000"/>
        </w:rPr>
        <w:t xml:space="preserve"> </w:t>
      </w:r>
      <w:r>
        <w:rPr>
          <w:color w:val="000000"/>
        </w:rPr>
        <w:t>is</w:t>
      </w:r>
      <w:r w:rsidR="00C64050">
        <w:rPr>
          <w:color w:val="000000"/>
        </w:rPr>
        <w:t xml:space="preserve"> </w:t>
      </w:r>
      <w:r>
        <w:rPr>
          <w:color w:val="000000"/>
        </w:rPr>
        <w:t>no</w:t>
      </w:r>
      <w:r w:rsidR="00C64050">
        <w:rPr>
          <w:color w:val="000000"/>
        </w:rPr>
        <w:t xml:space="preserve"> </w:t>
      </w:r>
      <w:r>
        <w:rPr>
          <w:color w:val="000000"/>
        </w:rPr>
        <w:t>evidence</w:t>
      </w:r>
      <w:r w:rsidR="00C64050">
        <w:rPr>
          <w:color w:val="000000"/>
        </w:rPr>
        <w:t xml:space="preserve"> </w:t>
      </w:r>
      <w:r w:rsidR="00212881">
        <w:rPr>
          <w:color w:val="000000"/>
        </w:rPr>
        <w:t>that</w:t>
      </w:r>
      <w:r w:rsidR="00C64050">
        <w:rPr>
          <w:color w:val="000000"/>
        </w:rPr>
        <w:t xml:space="preserve"> </w:t>
      </w:r>
      <w:r>
        <w:rPr>
          <w:color w:val="000000"/>
        </w:rPr>
        <w:t>this</w:t>
      </w:r>
      <w:r w:rsidR="00C64050">
        <w:rPr>
          <w:color w:val="000000"/>
        </w:rPr>
        <w:t xml:space="preserve"> </w:t>
      </w:r>
      <w:r>
        <w:rPr>
          <w:color w:val="000000"/>
        </w:rPr>
        <w:t>is</w:t>
      </w:r>
      <w:r w:rsidR="00C64050">
        <w:rPr>
          <w:color w:val="000000"/>
        </w:rPr>
        <w:t xml:space="preserve"> </w:t>
      </w:r>
      <w:r>
        <w:rPr>
          <w:color w:val="000000"/>
        </w:rPr>
        <w:t>part</w:t>
      </w:r>
      <w:r w:rsidR="00C64050">
        <w:rPr>
          <w:color w:val="000000"/>
        </w:rPr>
        <w:t xml:space="preserve"> </w:t>
      </w:r>
      <w:r>
        <w:rPr>
          <w:color w:val="000000"/>
        </w:rPr>
        <w:t>of</w:t>
      </w:r>
      <w:r w:rsidR="00C64050">
        <w:rPr>
          <w:color w:val="000000"/>
        </w:rPr>
        <w:t xml:space="preserve"> </w:t>
      </w:r>
      <w:r>
        <w:rPr>
          <w:color w:val="000000"/>
        </w:rPr>
        <w:t>a</w:t>
      </w:r>
      <w:r w:rsidR="00C64050">
        <w:rPr>
          <w:color w:val="000000"/>
        </w:rPr>
        <w:t xml:space="preserve"> </w:t>
      </w:r>
      <w:r>
        <w:rPr>
          <w:color w:val="000000"/>
        </w:rPr>
        <w:t>larger</w:t>
      </w:r>
      <w:r w:rsidR="00C64050">
        <w:rPr>
          <w:color w:val="000000"/>
        </w:rPr>
        <w:t xml:space="preserve"> </w:t>
      </w:r>
      <w:r>
        <w:rPr>
          <w:color w:val="000000"/>
        </w:rPr>
        <w:t>exercise</w:t>
      </w:r>
      <w:r w:rsidR="00C64050">
        <w:rPr>
          <w:color w:val="000000"/>
        </w:rPr>
        <w:t xml:space="preserve"> </w:t>
      </w:r>
      <w:r>
        <w:rPr>
          <w:color w:val="000000"/>
        </w:rPr>
        <w:t>to</w:t>
      </w:r>
      <w:r w:rsidR="00C64050">
        <w:rPr>
          <w:color w:val="000000"/>
        </w:rPr>
        <w:t xml:space="preserve"> </w:t>
      </w:r>
      <w:r>
        <w:rPr>
          <w:color w:val="000000"/>
        </w:rPr>
        <w:t>limit</w:t>
      </w:r>
      <w:r w:rsidR="00C64050">
        <w:rPr>
          <w:color w:val="000000"/>
        </w:rPr>
        <w:t xml:space="preserve"> </w:t>
      </w:r>
      <w:r>
        <w:rPr>
          <w:color w:val="000000"/>
        </w:rPr>
        <w:t>the</w:t>
      </w:r>
      <w:r w:rsidR="00C64050">
        <w:rPr>
          <w:color w:val="000000"/>
        </w:rPr>
        <w:t xml:space="preserve"> </w:t>
      </w:r>
      <w:r>
        <w:rPr>
          <w:color w:val="000000"/>
        </w:rPr>
        <w:t>tax</w:t>
      </w:r>
      <w:r w:rsidR="00C64050">
        <w:rPr>
          <w:color w:val="000000"/>
        </w:rPr>
        <w:t xml:space="preserve"> </w:t>
      </w:r>
      <w:r>
        <w:rPr>
          <w:color w:val="000000"/>
        </w:rPr>
        <w:t>effect</w:t>
      </w:r>
      <w:r w:rsidR="00C64050">
        <w:rPr>
          <w:color w:val="000000"/>
        </w:rPr>
        <w:t xml:space="preserve"> </w:t>
      </w:r>
      <w:r>
        <w:rPr>
          <w:color w:val="000000"/>
        </w:rPr>
        <w:t>of</w:t>
      </w:r>
      <w:r w:rsidR="00C64050">
        <w:rPr>
          <w:color w:val="000000"/>
        </w:rPr>
        <w:t xml:space="preserve"> </w:t>
      </w:r>
      <w:r>
        <w:rPr>
          <w:color w:val="000000"/>
        </w:rPr>
        <w:t>prospective</w:t>
      </w:r>
      <w:r w:rsidR="00C64050">
        <w:rPr>
          <w:color w:val="000000"/>
        </w:rPr>
        <w:t xml:space="preserve"> </w:t>
      </w:r>
      <w:r>
        <w:rPr>
          <w:color w:val="000000"/>
        </w:rPr>
        <w:t>state</w:t>
      </w:r>
      <w:r w:rsidR="00C64050">
        <w:rPr>
          <w:color w:val="000000"/>
        </w:rPr>
        <w:t xml:space="preserve"> </w:t>
      </w:r>
      <w:r>
        <w:rPr>
          <w:color w:val="000000"/>
        </w:rPr>
        <w:t>court</w:t>
      </w:r>
      <w:r w:rsidR="00C64050">
        <w:rPr>
          <w:color w:val="000000"/>
        </w:rPr>
        <w:t xml:space="preserve"> </w:t>
      </w:r>
      <w:r>
        <w:rPr>
          <w:color w:val="000000"/>
        </w:rPr>
        <w:t>modifications</w:t>
      </w:r>
      <w:r w:rsidR="00C64050">
        <w:rPr>
          <w:color w:val="000000"/>
        </w:rPr>
        <w:t xml:space="preserve"> </w:t>
      </w:r>
      <w:r w:rsidR="00185619">
        <w:rPr>
          <w:color w:val="000000"/>
        </w:rPr>
        <w:t>(for</w:t>
      </w:r>
      <w:r w:rsidR="00C64050">
        <w:rPr>
          <w:color w:val="000000"/>
        </w:rPr>
        <w:t xml:space="preserve"> </w:t>
      </w:r>
      <w:r w:rsidR="00185619">
        <w:rPr>
          <w:color w:val="000000"/>
        </w:rPr>
        <w:t>instance,</w:t>
      </w:r>
      <w:r w:rsidR="00C64050">
        <w:rPr>
          <w:color w:val="000000"/>
        </w:rPr>
        <w:t xml:space="preserve"> </w:t>
      </w:r>
      <w:r w:rsidR="00185619">
        <w:rPr>
          <w:color w:val="000000"/>
        </w:rPr>
        <w:t>adding</w:t>
      </w:r>
      <w:r w:rsidR="00C64050">
        <w:rPr>
          <w:color w:val="000000"/>
        </w:rPr>
        <w:t xml:space="preserve"> </w:t>
      </w:r>
      <w:r w:rsidR="00185619">
        <w:rPr>
          <w:color w:val="000000"/>
        </w:rPr>
        <w:t>general</w:t>
      </w:r>
      <w:r w:rsidR="00C64050">
        <w:rPr>
          <w:color w:val="000000"/>
        </w:rPr>
        <w:t xml:space="preserve"> </w:t>
      </w:r>
      <w:r w:rsidR="00185619">
        <w:rPr>
          <w:color w:val="000000"/>
        </w:rPr>
        <w:t>power</w:t>
      </w:r>
      <w:r w:rsidR="00C64050">
        <w:rPr>
          <w:color w:val="000000"/>
        </w:rPr>
        <w:t xml:space="preserve"> </w:t>
      </w:r>
      <w:r w:rsidR="00185619">
        <w:rPr>
          <w:color w:val="000000"/>
        </w:rPr>
        <w:t>for</w:t>
      </w:r>
      <w:r w:rsidR="00C64050">
        <w:rPr>
          <w:color w:val="000000"/>
        </w:rPr>
        <w:t xml:space="preserve"> </w:t>
      </w:r>
      <w:r w:rsidR="00185619">
        <w:rPr>
          <w:color w:val="000000"/>
        </w:rPr>
        <w:t>basis)</w:t>
      </w:r>
      <w:r>
        <w:rPr>
          <w:color w:val="000000"/>
        </w:rPr>
        <w:t>.</w:t>
      </w:r>
      <w:r w:rsidR="00C64050">
        <w:rPr>
          <w:color w:val="000000"/>
        </w:rPr>
        <w:t xml:space="preserve">  </w:t>
      </w:r>
      <w:r>
        <w:rPr>
          <w:color w:val="000000"/>
        </w:rPr>
        <w:t>If</w:t>
      </w:r>
      <w:r w:rsidR="00C64050">
        <w:rPr>
          <w:color w:val="000000"/>
        </w:rPr>
        <w:t xml:space="preserve"> </w:t>
      </w:r>
      <w:r>
        <w:rPr>
          <w:color w:val="000000"/>
        </w:rPr>
        <w:t>a</w:t>
      </w:r>
      <w:r w:rsidR="00C64050">
        <w:rPr>
          <w:color w:val="000000"/>
        </w:rPr>
        <w:t xml:space="preserve"> </w:t>
      </w:r>
      <w:r>
        <w:rPr>
          <w:color w:val="000000"/>
        </w:rPr>
        <w:t>trust</w:t>
      </w:r>
      <w:r w:rsidR="00C64050">
        <w:rPr>
          <w:color w:val="000000"/>
        </w:rPr>
        <w:t xml:space="preserve"> </w:t>
      </w:r>
      <w:r>
        <w:rPr>
          <w:color w:val="000000"/>
        </w:rPr>
        <w:t>cannot</w:t>
      </w:r>
      <w:r w:rsidR="00C64050">
        <w:rPr>
          <w:color w:val="000000"/>
        </w:rPr>
        <w:t xml:space="preserve"> </w:t>
      </w:r>
      <w:r>
        <w:rPr>
          <w:color w:val="000000"/>
        </w:rPr>
        <w:t>be</w:t>
      </w:r>
      <w:r w:rsidR="00C64050">
        <w:rPr>
          <w:color w:val="000000"/>
        </w:rPr>
        <w:t xml:space="preserve"> </w:t>
      </w:r>
      <w:r>
        <w:rPr>
          <w:color w:val="000000"/>
        </w:rPr>
        <w:t>effectively</w:t>
      </w:r>
      <w:r w:rsidR="00C64050">
        <w:rPr>
          <w:color w:val="000000"/>
        </w:rPr>
        <w:t xml:space="preserve"> </w:t>
      </w:r>
      <w:r>
        <w:rPr>
          <w:color w:val="000000"/>
        </w:rPr>
        <w:t>amended,</w:t>
      </w:r>
      <w:r w:rsidR="00C64050">
        <w:rPr>
          <w:color w:val="000000"/>
        </w:rPr>
        <w:t xml:space="preserve"> </w:t>
      </w:r>
      <w:r>
        <w:rPr>
          <w:color w:val="000000"/>
        </w:rPr>
        <w:t>what</w:t>
      </w:r>
      <w:r w:rsidR="00C64050">
        <w:rPr>
          <w:color w:val="000000"/>
        </w:rPr>
        <w:t xml:space="preserve"> </w:t>
      </w:r>
      <w:r>
        <w:rPr>
          <w:color w:val="000000"/>
        </w:rPr>
        <w:t>can</w:t>
      </w:r>
      <w:r w:rsidR="00C64050">
        <w:rPr>
          <w:color w:val="000000"/>
        </w:rPr>
        <w:t xml:space="preserve"> </w:t>
      </w:r>
      <w:r>
        <w:rPr>
          <w:color w:val="000000"/>
        </w:rPr>
        <w:t>be</w:t>
      </w:r>
      <w:r w:rsidR="00C64050">
        <w:rPr>
          <w:color w:val="000000"/>
        </w:rPr>
        <w:t xml:space="preserve"> </w:t>
      </w:r>
      <w:r>
        <w:rPr>
          <w:color w:val="000000"/>
        </w:rPr>
        <w:t>done</w:t>
      </w:r>
      <w:r w:rsidR="00C64050">
        <w:rPr>
          <w:color w:val="000000"/>
        </w:rPr>
        <w:t xml:space="preserve"> </w:t>
      </w:r>
      <w:r>
        <w:rPr>
          <w:color w:val="000000"/>
        </w:rPr>
        <w:t>to</w:t>
      </w:r>
      <w:r w:rsidR="00C64050">
        <w:rPr>
          <w:color w:val="000000"/>
        </w:rPr>
        <w:t xml:space="preserve"> </w:t>
      </w:r>
      <w:r>
        <w:rPr>
          <w:color w:val="000000"/>
        </w:rPr>
        <w:t>obtain</w:t>
      </w:r>
      <w:r w:rsidR="00C64050">
        <w:rPr>
          <w:color w:val="000000"/>
        </w:rPr>
        <w:t xml:space="preserve"> </w:t>
      </w:r>
      <w:r>
        <w:rPr>
          <w:color w:val="000000"/>
        </w:rPr>
        <w:t>a</w:t>
      </w:r>
      <w:r w:rsidR="00C64050">
        <w:rPr>
          <w:color w:val="000000"/>
        </w:rPr>
        <w:t xml:space="preserve"> </w:t>
      </w:r>
      <w:r>
        <w:rPr>
          <w:color w:val="000000"/>
        </w:rPr>
        <w:t>charitable</w:t>
      </w:r>
      <w:r w:rsidR="00C64050">
        <w:rPr>
          <w:color w:val="000000"/>
        </w:rPr>
        <w:t xml:space="preserve"> </w:t>
      </w:r>
      <w:r>
        <w:rPr>
          <w:color w:val="000000"/>
        </w:rPr>
        <w:t>deduction</w:t>
      </w:r>
      <w:r w:rsidR="00C64050">
        <w:rPr>
          <w:color w:val="000000"/>
        </w:rPr>
        <w:t xml:space="preserve"> </w:t>
      </w:r>
      <w:r>
        <w:rPr>
          <w:color w:val="000000"/>
        </w:rPr>
        <w:t>for</w:t>
      </w:r>
      <w:r w:rsidR="00C64050">
        <w:rPr>
          <w:color w:val="000000"/>
        </w:rPr>
        <w:t xml:space="preserve"> </w:t>
      </w:r>
      <w:r>
        <w:rPr>
          <w:color w:val="000000"/>
        </w:rPr>
        <w:t>trust</w:t>
      </w:r>
      <w:r w:rsidR="00C64050">
        <w:rPr>
          <w:color w:val="000000"/>
        </w:rPr>
        <w:t xml:space="preserve"> </w:t>
      </w:r>
      <w:r>
        <w:rPr>
          <w:color w:val="000000"/>
        </w:rPr>
        <w:t>income?</w:t>
      </w:r>
      <w:r w:rsidR="00C64050">
        <w:rPr>
          <w:color w:val="000000"/>
        </w:rPr>
        <w:t xml:space="preserve">  </w:t>
      </w:r>
      <w:r>
        <w:rPr>
          <w:color w:val="000000"/>
        </w:rPr>
        <w:t>The</w:t>
      </w:r>
      <w:r w:rsidR="00C64050">
        <w:rPr>
          <w:color w:val="000000"/>
        </w:rPr>
        <w:t xml:space="preserve"> </w:t>
      </w:r>
      <w:r w:rsidR="00791D73">
        <w:rPr>
          <w:color w:val="000000"/>
        </w:rPr>
        <w:t>assets</w:t>
      </w:r>
      <w:r w:rsidR="00C64050">
        <w:rPr>
          <w:color w:val="000000"/>
        </w:rPr>
        <w:t xml:space="preserve"> </w:t>
      </w:r>
      <w:r w:rsidR="00791D73">
        <w:rPr>
          <w:color w:val="000000"/>
        </w:rPr>
        <w:t>of</w:t>
      </w:r>
      <w:r w:rsidR="00C64050">
        <w:rPr>
          <w:color w:val="000000"/>
        </w:rPr>
        <w:t xml:space="preserve"> </w:t>
      </w:r>
      <w:r w:rsidR="00791D73">
        <w:rPr>
          <w:color w:val="000000"/>
        </w:rPr>
        <w:t>the</w:t>
      </w:r>
      <w:r w:rsidR="00C64050">
        <w:rPr>
          <w:color w:val="000000"/>
        </w:rPr>
        <w:t xml:space="preserve"> </w:t>
      </w:r>
      <w:r w:rsidR="00791D73">
        <w:rPr>
          <w:color w:val="000000"/>
        </w:rPr>
        <w:t>trust</w:t>
      </w:r>
      <w:r w:rsidR="00C64050">
        <w:rPr>
          <w:color w:val="000000"/>
        </w:rPr>
        <w:t xml:space="preserve"> </w:t>
      </w:r>
      <w:r w:rsidR="00791D73">
        <w:rPr>
          <w:color w:val="000000"/>
        </w:rPr>
        <w:t>could</w:t>
      </w:r>
      <w:r w:rsidR="00C64050">
        <w:rPr>
          <w:color w:val="000000"/>
        </w:rPr>
        <w:t xml:space="preserve"> </w:t>
      </w:r>
      <w:r w:rsidR="00791D73">
        <w:rPr>
          <w:color w:val="000000"/>
        </w:rPr>
        <w:t>be</w:t>
      </w:r>
      <w:r w:rsidR="00C64050">
        <w:rPr>
          <w:color w:val="000000"/>
        </w:rPr>
        <w:t xml:space="preserve"> </w:t>
      </w:r>
      <w:r w:rsidR="00791D73">
        <w:rPr>
          <w:color w:val="000000"/>
        </w:rPr>
        <w:t>contributed</w:t>
      </w:r>
      <w:r w:rsidR="00C64050">
        <w:rPr>
          <w:color w:val="000000"/>
        </w:rPr>
        <w:t xml:space="preserve"> </w:t>
      </w:r>
      <w:r w:rsidR="00791D73">
        <w:rPr>
          <w:color w:val="000000"/>
        </w:rPr>
        <w:t>to</w:t>
      </w:r>
      <w:r w:rsidR="00C64050">
        <w:rPr>
          <w:color w:val="000000"/>
        </w:rPr>
        <w:t xml:space="preserve"> </w:t>
      </w:r>
      <w:r w:rsidR="00791D73">
        <w:rPr>
          <w:color w:val="000000"/>
        </w:rPr>
        <w:t>an</w:t>
      </w:r>
      <w:r w:rsidR="00C64050">
        <w:rPr>
          <w:color w:val="000000"/>
        </w:rPr>
        <w:t xml:space="preserve"> </w:t>
      </w:r>
      <w:r w:rsidR="00791D73">
        <w:rPr>
          <w:color w:val="000000"/>
        </w:rPr>
        <w:t>S</w:t>
      </w:r>
      <w:r w:rsidR="00C64050">
        <w:rPr>
          <w:color w:val="000000"/>
        </w:rPr>
        <w:t xml:space="preserve"> </w:t>
      </w:r>
      <w:r w:rsidR="00791D73">
        <w:rPr>
          <w:color w:val="000000"/>
        </w:rPr>
        <w:t>corp.</w:t>
      </w:r>
      <w:r w:rsidR="00C64050">
        <w:rPr>
          <w:color w:val="000000"/>
        </w:rPr>
        <w:t xml:space="preserve"> </w:t>
      </w:r>
      <w:r w:rsidR="00791D73">
        <w:rPr>
          <w:color w:val="000000"/>
        </w:rPr>
        <w:t>and</w:t>
      </w:r>
      <w:r w:rsidR="00C64050">
        <w:rPr>
          <w:color w:val="000000"/>
        </w:rPr>
        <w:t xml:space="preserve"> </w:t>
      </w:r>
      <w:r w:rsidR="00791D73">
        <w:rPr>
          <w:color w:val="000000"/>
        </w:rPr>
        <w:t>the</w:t>
      </w:r>
      <w:r w:rsidR="00C64050">
        <w:rPr>
          <w:color w:val="000000"/>
        </w:rPr>
        <w:t xml:space="preserve"> </w:t>
      </w:r>
      <w:r>
        <w:rPr>
          <w:color w:val="000000"/>
        </w:rPr>
        <w:t>trust</w:t>
      </w:r>
      <w:r w:rsidR="00C64050">
        <w:rPr>
          <w:color w:val="000000"/>
        </w:rPr>
        <w:t xml:space="preserve"> </w:t>
      </w:r>
      <w:r>
        <w:rPr>
          <w:color w:val="000000"/>
        </w:rPr>
        <w:t>could</w:t>
      </w:r>
      <w:r w:rsidR="00C64050">
        <w:rPr>
          <w:color w:val="000000"/>
        </w:rPr>
        <w:t xml:space="preserve"> </w:t>
      </w:r>
      <w:r>
        <w:rPr>
          <w:color w:val="000000"/>
        </w:rPr>
        <w:t>become</w:t>
      </w:r>
      <w:r w:rsidR="00C64050">
        <w:rPr>
          <w:color w:val="000000"/>
        </w:rPr>
        <w:t xml:space="preserve"> </w:t>
      </w:r>
      <w:r>
        <w:rPr>
          <w:color w:val="000000"/>
        </w:rPr>
        <w:t>an</w:t>
      </w:r>
      <w:r w:rsidR="00C64050">
        <w:rPr>
          <w:color w:val="000000"/>
        </w:rPr>
        <w:t xml:space="preserve"> </w:t>
      </w:r>
      <w:r>
        <w:rPr>
          <w:color w:val="000000"/>
        </w:rPr>
        <w:t>ESBT</w:t>
      </w:r>
      <w:r w:rsidR="00C64050">
        <w:rPr>
          <w:color w:val="000000"/>
        </w:rPr>
        <w:t xml:space="preserve"> </w:t>
      </w:r>
      <w:r>
        <w:rPr>
          <w:color w:val="000000"/>
        </w:rPr>
        <w:t>(see</w:t>
      </w:r>
      <w:r w:rsidR="00C64050">
        <w:rPr>
          <w:color w:val="000000"/>
        </w:rPr>
        <w:t xml:space="preserve"> </w:t>
      </w:r>
      <w:r>
        <w:rPr>
          <w:color w:val="000000"/>
        </w:rPr>
        <w:t>discussion</w:t>
      </w:r>
      <w:r w:rsidR="00C64050">
        <w:rPr>
          <w:color w:val="000000"/>
        </w:rPr>
        <w:t xml:space="preserve"> </w:t>
      </w:r>
      <w:r>
        <w:rPr>
          <w:color w:val="000000"/>
        </w:rPr>
        <w:t>of</w:t>
      </w:r>
      <w:r w:rsidR="00C64050">
        <w:rPr>
          <w:color w:val="000000"/>
        </w:rPr>
        <w:t xml:space="preserve"> </w:t>
      </w:r>
      <w:r>
        <w:rPr>
          <w:color w:val="000000"/>
        </w:rPr>
        <w:t>the</w:t>
      </w:r>
      <w:r w:rsidR="00C64050">
        <w:rPr>
          <w:color w:val="000000"/>
        </w:rPr>
        <w:t xml:space="preserve"> </w:t>
      </w:r>
      <w:r>
        <w:rPr>
          <w:color w:val="000000"/>
        </w:rPr>
        <w:t>2017</w:t>
      </w:r>
      <w:r w:rsidR="00C64050">
        <w:rPr>
          <w:color w:val="000000"/>
        </w:rPr>
        <w:t xml:space="preserve"> </w:t>
      </w:r>
      <w:r>
        <w:rPr>
          <w:color w:val="000000"/>
        </w:rPr>
        <w:t>Tax</w:t>
      </w:r>
      <w:r w:rsidR="00C64050">
        <w:rPr>
          <w:color w:val="000000"/>
        </w:rPr>
        <w:t xml:space="preserve"> </w:t>
      </w:r>
      <w:r>
        <w:rPr>
          <w:color w:val="000000"/>
        </w:rPr>
        <w:t>Act).</w:t>
      </w:r>
      <w:r w:rsidR="00C64050">
        <w:rPr>
          <w:color w:val="000000"/>
        </w:rPr>
        <w:t xml:space="preserve">  </w:t>
      </w:r>
      <w:r w:rsidR="00791D73">
        <w:rPr>
          <w:color w:val="000000"/>
        </w:rPr>
        <w:t>Or,</w:t>
      </w:r>
      <w:r w:rsidR="00C64050">
        <w:rPr>
          <w:color w:val="000000"/>
        </w:rPr>
        <w:t xml:space="preserve"> </w:t>
      </w:r>
      <w:r w:rsidR="00791D73">
        <w:rPr>
          <w:color w:val="000000"/>
        </w:rPr>
        <w:t>distributions</w:t>
      </w:r>
      <w:r w:rsidR="00C64050">
        <w:rPr>
          <w:color w:val="000000"/>
        </w:rPr>
        <w:t xml:space="preserve"> </w:t>
      </w:r>
      <w:r w:rsidR="00791D73">
        <w:rPr>
          <w:color w:val="000000"/>
        </w:rPr>
        <w:t>could</w:t>
      </w:r>
      <w:r w:rsidR="00C64050">
        <w:rPr>
          <w:color w:val="000000"/>
        </w:rPr>
        <w:t xml:space="preserve"> </w:t>
      </w:r>
      <w:r w:rsidR="00791D73">
        <w:rPr>
          <w:color w:val="000000"/>
        </w:rPr>
        <w:t>be</w:t>
      </w:r>
      <w:r w:rsidR="00C64050">
        <w:rPr>
          <w:color w:val="000000"/>
        </w:rPr>
        <w:t xml:space="preserve"> </w:t>
      </w:r>
      <w:r w:rsidR="00791D73">
        <w:rPr>
          <w:color w:val="000000"/>
        </w:rPr>
        <w:t>made</w:t>
      </w:r>
      <w:r w:rsidR="00C64050">
        <w:rPr>
          <w:color w:val="000000"/>
        </w:rPr>
        <w:t xml:space="preserve"> </w:t>
      </w:r>
      <w:r w:rsidR="00791D73">
        <w:rPr>
          <w:color w:val="000000"/>
        </w:rPr>
        <w:t>to</w:t>
      </w:r>
      <w:r w:rsidR="00C64050">
        <w:rPr>
          <w:color w:val="000000"/>
        </w:rPr>
        <w:t xml:space="preserve"> </w:t>
      </w:r>
      <w:r w:rsidR="00791D73">
        <w:rPr>
          <w:color w:val="000000"/>
        </w:rPr>
        <w:t>a</w:t>
      </w:r>
      <w:r w:rsidR="00C64050">
        <w:rPr>
          <w:color w:val="000000"/>
        </w:rPr>
        <w:t xml:space="preserve"> </w:t>
      </w:r>
      <w:r w:rsidR="00791D73">
        <w:rPr>
          <w:color w:val="000000"/>
        </w:rPr>
        <w:t>501(c)(4)</w:t>
      </w:r>
      <w:r w:rsidR="00C64050">
        <w:rPr>
          <w:color w:val="000000"/>
        </w:rPr>
        <w:t xml:space="preserve"> </w:t>
      </w:r>
      <w:r w:rsidR="00791D73">
        <w:rPr>
          <w:color w:val="000000"/>
        </w:rPr>
        <w:t>organization,</w:t>
      </w:r>
      <w:r w:rsidR="00C64050">
        <w:rPr>
          <w:color w:val="000000"/>
        </w:rPr>
        <w:t xml:space="preserve"> </w:t>
      </w:r>
      <w:r w:rsidR="00791D73">
        <w:rPr>
          <w:color w:val="000000"/>
        </w:rPr>
        <w:t>for</w:t>
      </w:r>
      <w:r w:rsidR="00C64050">
        <w:rPr>
          <w:color w:val="000000"/>
        </w:rPr>
        <w:t xml:space="preserve"> </w:t>
      </w:r>
      <w:r w:rsidR="00791D73">
        <w:rPr>
          <w:color w:val="000000"/>
        </w:rPr>
        <w:t>which</w:t>
      </w:r>
      <w:r w:rsidR="00C64050">
        <w:rPr>
          <w:color w:val="000000"/>
        </w:rPr>
        <w:t xml:space="preserve"> </w:t>
      </w:r>
      <w:r w:rsidR="00791D73">
        <w:rPr>
          <w:color w:val="000000"/>
        </w:rPr>
        <w:t>a</w:t>
      </w:r>
      <w:r w:rsidR="00C64050">
        <w:rPr>
          <w:color w:val="000000"/>
        </w:rPr>
        <w:t xml:space="preserve"> </w:t>
      </w:r>
      <w:r w:rsidR="00791D73">
        <w:rPr>
          <w:color w:val="000000"/>
        </w:rPr>
        <w:t>section</w:t>
      </w:r>
      <w:r w:rsidR="00C64050">
        <w:rPr>
          <w:color w:val="000000"/>
        </w:rPr>
        <w:t xml:space="preserve"> </w:t>
      </w:r>
      <w:r w:rsidR="00791D73">
        <w:rPr>
          <w:color w:val="000000"/>
        </w:rPr>
        <w:t>661</w:t>
      </w:r>
      <w:r w:rsidR="00C64050">
        <w:rPr>
          <w:color w:val="000000"/>
        </w:rPr>
        <w:t xml:space="preserve"> </w:t>
      </w:r>
      <w:r w:rsidR="00791D73">
        <w:rPr>
          <w:color w:val="000000"/>
        </w:rPr>
        <w:t>deduction</w:t>
      </w:r>
      <w:r w:rsidR="00C64050">
        <w:rPr>
          <w:color w:val="000000"/>
        </w:rPr>
        <w:t xml:space="preserve"> </w:t>
      </w:r>
      <w:r w:rsidR="00791D73">
        <w:rPr>
          <w:color w:val="000000"/>
        </w:rPr>
        <w:t>is</w:t>
      </w:r>
      <w:r w:rsidR="00C64050">
        <w:rPr>
          <w:color w:val="000000"/>
        </w:rPr>
        <w:t xml:space="preserve"> </w:t>
      </w:r>
      <w:r w:rsidR="00791D73">
        <w:rPr>
          <w:color w:val="000000"/>
        </w:rPr>
        <w:t>allowable</w:t>
      </w:r>
      <w:r>
        <w:rPr>
          <w:color w:val="000000"/>
        </w:rPr>
        <w:t>.</w:t>
      </w:r>
      <w:r w:rsidR="00C64050">
        <w:rPr>
          <w:color w:val="000000"/>
        </w:rPr>
        <w:t xml:space="preserve">  </w:t>
      </w:r>
      <w:r w:rsidR="00212881">
        <w:rPr>
          <w:color w:val="000000"/>
        </w:rPr>
        <w:t>A</w:t>
      </w:r>
      <w:r w:rsidR="00C64050">
        <w:rPr>
          <w:color w:val="000000"/>
        </w:rPr>
        <w:t xml:space="preserve"> </w:t>
      </w:r>
      <w:r w:rsidR="00212881">
        <w:rPr>
          <w:color w:val="000000"/>
        </w:rPr>
        <w:t>third</w:t>
      </w:r>
      <w:r w:rsidR="00C64050">
        <w:rPr>
          <w:color w:val="000000"/>
        </w:rPr>
        <w:t xml:space="preserve"> </w:t>
      </w:r>
      <w:r w:rsidR="00212881">
        <w:rPr>
          <w:color w:val="000000"/>
        </w:rPr>
        <w:t>way</w:t>
      </w:r>
      <w:r w:rsidR="00C64050">
        <w:rPr>
          <w:color w:val="000000"/>
        </w:rPr>
        <w:t xml:space="preserve"> </w:t>
      </w:r>
      <w:r w:rsidR="00212881">
        <w:rPr>
          <w:color w:val="000000"/>
        </w:rPr>
        <w:t>is</w:t>
      </w:r>
      <w:r w:rsidR="00C64050">
        <w:rPr>
          <w:color w:val="000000"/>
        </w:rPr>
        <w:t xml:space="preserve"> </w:t>
      </w:r>
      <w:r w:rsidR="00212881">
        <w:rPr>
          <w:color w:val="000000"/>
        </w:rPr>
        <w:t>that</w:t>
      </w:r>
      <w:r w:rsidR="00C64050">
        <w:rPr>
          <w:color w:val="000000"/>
        </w:rPr>
        <w:t xml:space="preserve"> </w:t>
      </w:r>
      <w:r w:rsidR="00212881">
        <w:rPr>
          <w:color w:val="000000"/>
        </w:rPr>
        <w:t>Rev.</w:t>
      </w:r>
      <w:r w:rsidR="00C64050">
        <w:rPr>
          <w:color w:val="000000"/>
        </w:rPr>
        <w:t xml:space="preserve"> </w:t>
      </w:r>
      <w:r w:rsidR="00212881">
        <w:rPr>
          <w:color w:val="000000"/>
        </w:rPr>
        <w:t>Ruling</w:t>
      </w:r>
      <w:r w:rsidR="00C64050">
        <w:rPr>
          <w:color w:val="000000"/>
        </w:rPr>
        <w:t xml:space="preserve"> </w:t>
      </w:r>
      <w:r w:rsidR="00212881">
        <w:rPr>
          <w:color w:val="000000"/>
        </w:rPr>
        <w:t>2004-05</w:t>
      </w:r>
      <w:r w:rsidR="00C64050">
        <w:rPr>
          <w:color w:val="000000"/>
        </w:rPr>
        <w:t xml:space="preserve"> </w:t>
      </w:r>
      <w:r w:rsidR="00667006">
        <w:rPr>
          <w:color w:val="000000"/>
        </w:rPr>
        <w:t>m</w:t>
      </w:r>
      <w:r w:rsidR="00212881">
        <w:rPr>
          <w:color w:val="000000"/>
        </w:rPr>
        <w:t>ay</w:t>
      </w:r>
      <w:r w:rsidR="00C64050">
        <w:rPr>
          <w:color w:val="000000"/>
        </w:rPr>
        <w:t xml:space="preserve"> </w:t>
      </w:r>
      <w:r w:rsidR="00212881">
        <w:rPr>
          <w:color w:val="000000"/>
        </w:rPr>
        <w:t>help.</w:t>
      </w:r>
    </w:p>
    <w:p w:rsidR="008D344C" w:rsidRPr="0018402B" w:rsidRDefault="008D344C" w:rsidP="008D344C">
      <w:pPr>
        <w:pStyle w:val="Body15"/>
        <w:rPr>
          <w:color w:val="000000"/>
        </w:rPr>
      </w:pPr>
      <w:r w:rsidRPr="0018402B">
        <w:rPr>
          <w:color w:val="000000"/>
        </w:rPr>
        <w:t>Gifts</w:t>
      </w:r>
      <w:r w:rsidR="00C64050">
        <w:rPr>
          <w:color w:val="000000"/>
        </w:rPr>
        <w:t xml:space="preserve"> </w:t>
      </w:r>
      <w:r w:rsidRPr="0018402B">
        <w:rPr>
          <w:color w:val="000000"/>
        </w:rPr>
        <w:t>by</w:t>
      </w:r>
      <w:r w:rsidR="00C64050">
        <w:rPr>
          <w:color w:val="000000"/>
        </w:rPr>
        <w:t xml:space="preserve"> </w:t>
      </w:r>
      <w:r w:rsidRPr="0018402B">
        <w:rPr>
          <w:color w:val="000000"/>
        </w:rPr>
        <w:t>partnerships</w:t>
      </w:r>
      <w:r w:rsidR="00C64050">
        <w:rPr>
          <w:color w:val="000000"/>
        </w:rPr>
        <w:t xml:space="preserve"> </w:t>
      </w:r>
      <w:r w:rsidRPr="0018402B">
        <w:rPr>
          <w:color w:val="000000"/>
        </w:rPr>
        <w:t>or</w:t>
      </w:r>
      <w:r w:rsidR="00C64050">
        <w:rPr>
          <w:color w:val="000000"/>
        </w:rPr>
        <w:t xml:space="preserve"> </w:t>
      </w:r>
      <w:r w:rsidRPr="0018402B">
        <w:rPr>
          <w:color w:val="000000"/>
        </w:rPr>
        <w:t>LLCs</w:t>
      </w:r>
      <w:r w:rsidR="00C64050">
        <w:rPr>
          <w:color w:val="000000"/>
        </w:rPr>
        <w:t xml:space="preserve"> </w:t>
      </w:r>
      <w:r w:rsidRPr="0018402B">
        <w:rPr>
          <w:color w:val="000000"/>
        </w:rPr>
        <w:t>are</w:t>
      </w:r>
      <w:r w:rsidR="00C64050">
        <w:rPr>
          <w:color w:val="000000"/>
        </w:rPr>
        <w:t xml:space="preserve"> </w:t>
      </w:r>
      <w:r w:rsidRPr="0018402B">
        <w:rPr>
          <w:color w:val="000000"/>
        </w:rPr>
        <w:t>deductible</w:t>
      </w:r>
      <w:r w:rsidR="00C64050">
        <w:rPr>
          <w:color w:val="000000"/>
        </w:rPr>
        <w:t xml:space="preserve"> </w:t>
      </w:r>
      <w:r w:rsidRPr="0018402B">
        <w:rPr>
          <w:color w:val="000000"/>
        </w:rPr>
        <w:t>proportionately</w:t>
      </w:r>
      <w:r w:rsidR="00C64050">
        <w:rPr>
          <w:color w:val="000000"/>
        </w:rPr>
        <w:t xml:space="preserve"> </w:t>
      </w:r>
      <w:r w:rsidRPr="0018402B">
        <w:rPr>
          <w:color w:val="000000"/>
        </w:rPr>
        <w:t>by</w:t>
      </w:r>
      <w:r w:rsidR="00C64050">
        <w:rPr>
          <w:color w:val="000000"/>
        </w:rPr>
        <w:t xml:space="preserve"> </w:t>
      </w:r>
      <w:r w:rsidRPr="0018402B">
        <w:rPr>
          <w:color w:val="000000"/>
        </w:rPr>
        <w:t>the</w:t>
      </w:r>
      <w:r w:rsidR="00C64050">
        <w:rPr>
          <w:color w:val="000000"/>
        </w:rPr>
        <w:t xml:space="preserve"> </w:t>
      </w:r>
      <w:r w:rsidRPr="0018402B">
        <w:rPr>
          <w:color w:val="000000"/>
        </w:rPr>
        <w:t>partners</w:t>
      </w:r>
      <w:r w:rsidR="00C64050">
        <w:rPr>
          <w:color w:val="000000"/>
        </w:rPr>
        <w:t xml:space="preserve"> </w:t>
      </w:r>
      <w:r w:rsidRPr="0018402B">
        <w:rPr>
          <w:color w:val="000000"/>
        </w:rPr>
        <w:t>or</w:t>
      </w:r>
      <w:r w:rsidR="00C64050">
        <w:rPr>
          <w:color w:val="000000"/>
        </w:rPr>
        <w:t xml:space="preserve"> </w:t>
      </w:r>
      <w:r w:rsidRPr="0018402B">
        <w:rPr>
          <w:color w:val="000000"/>
        </w:rPr>
        <w:t>members.</w:t>
      </w:r>
      <w:r w:rsidR="00C64050">
        <w:rPr>
          <w:color w:val="000000"/>
        </w:rPr>
        <w:t xml:space="preserve">  </w:t>
      </w:r>
      <w:r w:rsidRPr="0018402B">
        <w:rPr>
          <w:color w:val="000000"/>
        </w:rPr>
        <w:t>IRC</w:t>
      </w:r>
      <w:r w:rsidR="00C64050">
        <w:rPr>
          <w:color w:val="000000"/>
        </w:rPr>
        <w:t xml:space="preserve"> </w:t>
      </w:r>
      <w:r w:rsidRPr="0018402B">
        <w:rPr>
          <w:color w:val="000000"/>
        </w:rPr>
        <w:t>§</w:t>
      </w:r>
      <w:r w:rsidR="00C64050">
        <w:rPr>
          <w:color w:val="000000"/>
        </w:rPr>
        <w:t xml:space="preserve"> </w:t>
      </w:r>
      <w:r w:rsidRPr="0018402B">
        <w:rPr>
          <w:color w:val="000000"/>
        </w:rPr>
        <w:t>702(a)(4).</w:t>
      </w:r>
      <w:r w:rsidR="00C64050">
        <w:rPr>
          <w:color w:val="000000"/>
        </w:rPr>
        <w:t xml:space="preserve">  </w:t>
      </w:r>
      <w:r w:rsidRPr="0018402B">
        <w:rPr>
          <w:color w:val="000000"/>
        </w:rPr>
        <w:t>Rev.</w:t>
      </w:r>
      <w:r w:rsidR="00C64050">
        <w:rPr>
          <w:color w:val="000000"/>
        </w:rPr>
        <w:t xml:space="preserve"> </w:t>
      </w:r>
      <w:r w:rsidRPr="0018402B">
        <w:rPr>
          <w:color w:val="000000"/>
        </w:rPr>
        <w:t>Rul.</w:t>
      </w:r>
      <w:r w:rsidR="00C64050">
        <w:rPr>
          <w:color w:val="000000"/>
        </w:rPr>
        <w:t xml:space="preserve"> </w:t>
      </w:r>
      <w:r w:rsidRPr="0018402B">
        <w:rPr>
          <w:color w:val="000000"/>
        </w:rPr>
        <w:t>96-11</w:t>
      </w:r>
      <w:r w:rsidR="00C64050">
        <w:rPr>
          <w:color w:val="000000"/>
        </w:rPr>
        <w:t xml:space="preserve"> </w:t>
      </w:r>
      <w:r w:rsidRPr="0018402B">
        <w:rPr>
          <w:color w:val="000000"/>
        </w:rPr>
        <w:t>holds</w:t>
      </w:r>
      <w:r w:rsidR="00C64050">
        <w:rPr>
          <w:color w:val="000000"/>
        </w:rPr>
        <w:t xml:space="preserve"> </w:t>
      </w:r>
      <w:r w:rsidRPr="0018402B">
        <w:rPr>
          <w:color w:val="000000"/>
        </w:rPr>
        <w:t>that</w:t>
      </w:r>
      <w:r w:rsidR="00C64050">
        <w:rPr>
          <w:color w:val="000000"/>
        </w:rPr>
        <w:t xml:space="preserve"> </w:t>
      </w:r>
      <w:r w:rsidRPr="0018402B">
        <w:rPr>
          <w:color w:val="000000"/>
        </w:rPr>
        <w:t>when</w:t>
      </w:r>
      <w:r w:rsidR="00C64050">
        <w:rPr>
          <w:color w:val="000000"/>
        </w:rPr>
        <w:t xml:space="preserve"> </w:t>
      </w:r>
      <w:r w:rsidRPr="0018402B">
        <w:rPr>
          <w:color w:val="000000"/>
        </w:rPr>
        <w:t>a</w:t>
      </w:r>
      <w:r w:rsidR="00C64050">
        <w:rPr>
          <w:color w:val="000000"/>
        </w:rPr>
        <w:t xml:space="preserve"> </w:t>
      </w:r>
      <w:r w:rsidRPr="0018402B">
        <w:rPr>
          <w:color w:val="000000"/>
        </w:rPr>
        <w:t>partnership</w:t>
      </w:r>
      <w:r w:rsidR="00C64050">
        <w:rPr>
          <w:color w:val="000000"/>
        </w:rPr>
        <w:t xml:space="preserve"> </w:t>
      </w:r>
      <w:r w:rsidRPr="0018402B">
        <w:rPr>
          <w:color w:val="000000"/>
        </w:rPr>
        <w:t>makes</w:t>
      </w:r>
      <w:r w:rsidR="00C64050">
        <w:rPr>
          <w:color w:val="000000"/>
        </w:rPr>
        <w:t xml:space="preserve"> </w:t>
      </w:r>
      <w:r w:rsidRPr="0018402B">
        <w:rPr>
          <w:color w:val="000000"/>
        </w:rPr>
        <w:t>a</w:t>
      </w:r>
      <w:r w:rsidR="00C64050">
        <w:rPr>
          <w:color w:val="000000"/>
        </w:rPr>
        <w:t xml:space="preserve"> </w:t>
      </w:r>
      <w:r w:rsidRPr="0018402B">
        <w:rPr>
          <w:color w:val="000000"/>
        </w:rPr>
        <w:t>charitable</w:t>
      </w:r>
      <w:r w:rsidR="00C64050">
        <w:rPr>
          <w:color w:val="000000"/>
        </w:rPr>
        <w:t xml:space="preserve"> </w:t>
      </w:r>
      <w:r w:rsidRPr="0018402B">
        <w:rPr>
          <w:color w:val="000000"/>
        </w:rPr>
        <w:t>contribution</w:t>
      </w:r>
      <w:r w:rsidR="00C64050">
        <w:rPr>
          <w:color w:val="000000"/>
        </w:rPr>
        <w:t xml:space="preserve"> </w:t>
      </w:r>
      <w:r w:rsidRPr="0018402B">
        <w:rPr>
          <w:color w:val="000000"/>
        </w:rPr>
        <w:t>of</w:t>
      </w:r>
      <w:r w:rsidR="00C64050">
        <w:rPr>
          <w:color w:val="000000"/>
        </w:rPr>
        <w:t xml:space="preserve"> </w:t>
      </w:r>
      <w:r w:rsidRPr="0018402B">
        <w:rPr>
          <w:color w:val="000000"/>
        </w:rPr>
        <w:t>property,</w:t>
      </w:r>
      <w:r w:rsidR="00C64050">
        <w:rPr>
          <w:color w:val="000000"/>
        </w:rPr>
        <w:t xml:space="preserve"> </w:t>
      </w:r>
      <w:r w:rsidRPr="0018402B">
        <w:rPr>
          <w:color w:val="000000"/>
        </w:rPr>
        <w:t>the</w:t>
      </w:r>
      <w:r w:rsidR="00C64050">
        <w:rPr>
          <w:color w:val="000000"/>
        </w:rPr>
        <w:t xml:space="preserve"> </w:t>
      </w:r>
      <w:r w:rsidRPr="0018402B">
        <w:rPr>
          <w:color w:val="000000"/>
        </w:rPr>
        <w:t>basis</w:t>
      </w:r>
      <w:r w:rsidR="00C64050">
        <w:rPr>
          <w:color w:val="000000"/>
        </w:rPr>
        <w:t xml:space="preserve"> </w:t>
      </w:r>
      <w:r w:rsidRPr="0018402B">
        <w:rPr>
          <w:color w:val="000000"/>
        </w:rPr>
        <w:t>of</w:t>
      </w:r>
      <w:r w:rsidR="00C64050">
        <w:rPr>
          <w:color w:val="000000"/>
        </w:rPr>
        <w:t xml:space="preserve"> </w:t>
      </w:r>
      <w:r w:rsidRPr="0018402B">
        <w:rPr>
          <w:color w:val="000000"/>
        </w:rPr>
        <w:t>each</w:t>
      </w:r>
      <w:r w:rsidR="00C64050">
        <w:rPr>
          <w:color w:val="000000"/>
        </w:rPr>
        <w:t xml:space="preserve"> </w:t>
      </w:r>
      <w:r w:rsidRPr="0018402B">
        <w:rPr>
          <w:color w:val="000000"/>
        </w:rPr>
        <w:t>partner’s</w:t>
      </w:r>
      <w:r w:rsidR="00C64050">
        <w:rPr>
          <w:color w:val="000000"/>
        </w:rPr>
        <w:t xml:space="preserve"> </w:t>
      </w:r>
      <w:r w:rsidRPr="0018402B">
        <w:rPr>
          <w:color w:val="000000"/>
        </w:rPr>
        <w:t>interest</w:t>
      </w:r>
      <w:r w:rsidR="00C64050">
        <w:rPr>
          <w:color w:val="000000"/>
        </w:rPr>
        <w:t xml:space="preserve"> </w:t>
      </w:r>
      <w:r w:rsidRPr="0018402B">
        <w:rPr>
          <w:color w:val="000000"/>
        </w:rPr>
        <w:t>in</w:t>
      </w:r>
      <w:r w:rsidR="00C64050">
        <w:rPr>
          <w:color w:val="000000"/>
        </w:rPr>
        <w:t xml:space="preserve"> </w:t>
      </w:r>
      <w:r w:rsidRPr="0018402B">
        <w:rPr>
          <w:color w:val="000000"/>
        </w:rPr>
        <w:t>the</w:t>
      </w:r>
      <w:r w:rsidR="00C64050">
        <w:rPr>
          <w:color w:val="000000"/>
        </w:rPr>
        <w:t xml:space="preserve"> </w:t>
      </w:r>
      <w:r w:rsidRPr="0018402B">
        <w:rPr>
          <w:color w:val="000000"/>
        </w:rPr>
        <w:t>partnership</w:t>
      </w:r>
      <w:r w:rsidR="00C64050">
        <w:rPr>
          <w:color w:val="000000"/>
        </w:rPr>
        <w:t xml:space="preserve"> </w:t>
      </w:r>
      <w:r w:rsidRPr="0018402B">
        <w:rPr>
          <w:color w:val="000000"/>
        </w:rPr>
        <w:t>should</w:t>
      </w:r>
      <w:r w:rsidR="00C64050">
        <w:rPr>
          <w:color w:val="000000"/>
        </w:rPr>
        <w:t xml:space="preserve"> </w:t>
      </w:r>
      <w:r w:rsidRPr="0018402B">
        <w:rPr>
          <w:color w:val="000000"/>
        </w:rPr>
        <w:t>be</w:t>
      </w:r>
      <w:r w:rsidR="00C64050">
        <w:rPr>
          <w:color w:val="000000"/>
        </w:rPr>
        <w:t xml:space="preserve"> </w:t>
      </w:r>
      <w:r w:rsidRPr="0018402B">
        <w:rPr>
          <w:color w:val="000000"/>
        </w:rPr>
        <w:t>decreased,</w:t>
      </w:r>
      <w:r w:rsidR="00C64050">
        <w:rPr>
          <w:color w:val="000000"/>
        </w:rPr>
        <w:t xml:space="preserve"> </w:t>
      </w:r>
      <w:r w:rsidRPr="0018402B">
        <w:rPr>
          <w:color w:val="000000"/>
        </w:rPr>
        <w:t>but</w:t>
      </w:r>
      <w:r w:rsidR="00C64050">
        <w:rPr>
          <w:color w:val="000000"/>
        </w:rPr>
        <w:t xml:space="preserve"> </w:t>
      </w:r>
      <w:r w:rsidRPr="0018402B">
        <w:rPr>
          <w:color w:val="000000"/>
        </w:rPr>
        <w:t>not</w:t>
      </w:r>
      <w:r w:rsidR="00C64050">
        <w:rPr>
          <w:color w:val="000000"/>
        </w:rPr>
        <w:t xml:space="preserve"> </w:t>
      </w:r>
      <w:r w:rsidRPr="0018402B">
        <w:rPr>
          <w:color w:val="000000"/>
        </w:rPr>
        <w:t>below</w:t>
      </w:r>
      <w:r w:rsidR="00C64050">
        <w:rPr>
          <w:color w:val="000000"/>
        </w:rPr>
        <w:t xml:space="preserve"> </w:t>
      </w:r>
      <w:r w:rsidRPr="0018402B">
        <w:rPr>
          <w:color w:val="000000"/>
        </w:rPr>
        <w:t>zero,</w:t>
      </w:r>
      <w:r w:rsidR="00C64050">
        <w:rPr>
          <w:color w:val="000000"/>
        </w:rPr>
        <w:t xml:space="preserve"> </w:t>
      </w:r>
      <w:r w:rsidRPr="0018402B">
        <w:rPr>
          <w:color w:val="000000"/>
        </w:rPr>
        <w:t>by</w:t>
      </w:r>
      <w:r w:rsidR="00C64050">
        <w:rPr>
          <w:color w:val="000000"/>
        </w:rPr>
        <w:t xml:space="preserve"> </w:t>
      </w:r>
      <w:r w:rsidRPr="0018402B">
        <w:rPr>
          <w:color w:val="000000"/>
        </w:rPr>
        <w:t>the</w:t>
      </w:r>
      <w:r w:rsidR="00C64050">
        <w:rPr>
          <w:color w:val="000000"/>
        </w:rPr>
        <w:t xml:space="preserve"> </w:t>
      </w:r>
      <w:r w:rsidRPr="0018402B">
        <w:rPr>
          <w:color w:val="000000"/>
        </w:rPr>
        <w:t>partner’s</w:t>
      </w:r>
      <w:r w:rsidR="00C64050">
        <w:rPr>
          <w:color w:val="000000"/>
        </w:rPr>
        <w:t xml:space="preserve"> </w:t>
      </w:r>
      <w:r w:rsidRPr="0018402B">
        <w:rPr>
          <w:color w:val="000000"/>
        </w:rPr>
        <w:t>share</w:t>
      </w:r>
      <w:r w:rsidR="00C64050">
        <w:rPr>
          <w:color w:val="000000"/>
        </w:rPr>
        <w:t xml:space="preserve"> </w:t>
      </w:r>
      <w:r w:rsidRPr="0018402B">
        <w:rPr>
          <w:color w:val="000000"/>
        </w:rPr>
        <w:t>of</w:t>
      </w:r>
      <w:r w:rsidR="00C64050">
        <w:rPr>
          <w:color w:val="000000"/>
        </w:rPr>
        <w:t xml:space="preserve"> </w:t>
      </w:r>
      <w:r w:rsidRPr="0018402B">
        <w:rPr>
          <w:color w:val="000000"/>
        </w:rPr>
        <w:t>the</w:t>
      </w:r>
      <w:r w:rsidR="00C64050">
        <w:rPr>
          <w:color w:val="000000"/>
        </w:rPr>
        <w:t xml:space="preserve"> </w:t>
      </w:r>
      <w:r w:rsidRPr="0018402B">
        <w:rPr>
          <w:color w:val="000000"/>
        </w:rPr>
        <w:t>partnership’s</w:t>
      </w:r>
      <w:r w:rsidR="00C64050">
        <w:rPr>
          <w:color w:val="000000"/>
        </w:rPr>
        <w:t xml:space="preserve"> </w:t>
      </w:r>
      <w:r w:rsidRPr="0018402B">
        <w:rPr>
          <w:color w:val="000000"/>
        </w:rPr>
        <w:t>basis</w:t>
      </w:r>
      <w:r w:rsidR="00C64050">
        <w:rPr>
          <w:color w:val="000000"/>
        </w:rPr>
        <w:t xml:space="preserve"> </w:t>
      </w:r>
      <w:r w:rsidRPr="0018402B">
        <w:rPr>
          <w:color w:val="000000"/>
        </w:rPr>
        <w:t>in</w:t>
      </w:r>
      <w:r w:rsidR="00C64050">
        <w:rPr>
          <w:color w:val="000000"/>
        </w:rPr>
        <w:t xml:space="preserve"> </w:t>
      </w:r>
      <w:r w:rsidRPr="0018402B">
        <w:rPr>
          <w:color w:val="000000"/>
        </w:rPr>
        <w:t>the</w:t>
      </w:r>
      <w:r w:rsidR="00C64050">
        <w:rPr>
          <w:color w:val="000000"/>
        </w:rPr>
        <w:t xml:space="preserve"> </w:t>
      </w:r>
      <w:r w:rsidRPr="0018402B">
        <w:rPr>
          <w:color w:val="000000"/>
        </w:rPr>
        <w:t>property</w:t>
      </w:r>
      <w:r w:rsidR="00C64050">
        <w:rPr>
          <w:color w:val="000000"/>
        </w:rPr>
        <w:t xml:space="preserve"> </w:t>
      </w:r>
      <w:r w:rsidRPr="0018402B">
        <w:rPr>
          <w:color w:val="000000"/>
        </w:rPr>
        <w:t>contributed.</w:t>
      </w:r>
      <w:r w:rsidR="00C64050">
        <w:rPr>
          <w:color w:val="000000"/>
        </w:rPr>
        <w:t xml:space="preserve">  </w:t>
      </w:r>
      <w:r w:rsidRPr="0018402B">
        <w:rPr>
          <w:color w:val="000000"/>
        </w:rPr>
        <w:t>Similarly,</w:t>
      </w:r>
      <w:r w:rsidR="00C64050">
        <w:rPr>
          <w:color w:val="000000"/>
        </w:rPr>
        <w:t xml:space="preserve"> </w:t>
      </w:r>
      <w:r w:rsidRPr="0018402B">
        <w:rPr>
          <w:color w:val="000000"/>
        </w:rPr>
        <w:t>a</w:t>
      </w:r>
      <w:r w:rsidR="00C64050">
        <w:rPr>
          <w:color w:val="000000"/>
        </w:rPr>
        <w:t xml:space="preserve"> </w:t>
      </w:r>
      <w:r w:rsidRPr="0018402B">
        <w:rPr>
          <w:color w:val="000000"/>
        </w:rPr>
        <w:t>partner’s</w:t>
      </w:r>
      <w:r w:rsidR="00C64050">
        <w:rPr>
          <w:color w:val="000000"/>
        </w:rPr>
        <w:t xml:space="preserve"> </w:t>
      </w:r>
      <w:r w:rsidRPr="0018402B">
        <w:rPr>
          <w:color w:val="000000"/>
        </w:rPr>
        <w:t>charitable</w:t>
      </w:r>
      <w:r w:rsidR="00C64050">
        <w:rPr>
          <w:color w:val="000000"/>
        </w:rPr>
        <w:t xml:space="preserve"> </w:t>
      </w:r>
      <w:r w:rsidRPr="0018402B">
        <w:rPr>
          <w:color w:val="000000"/>
        </w:rPr>
        <w:t>deduction</w:t>
      </w:r>
      <w:r w:rsidR="00C64050">
        <w:rPr>
          <w:color w:val="000000"/>
        </w:rPr>
        <w:t xml:space="preserve"> </w:t>
      </w:r>
      <w:r w:rsidRPr="0018402B">
        <w:rPr>
          <w:color w:val="000000"/>
        </w:rPr>
        <w:t>for</w:t>
      </w:r>
      <w:r w:rsidR="00C64050">
        <w:rPr>
          <w:color w:val="000000"/>
        </w:rPr>
        <w:t xml:space="preserve"> </w:t>
      </w:r>
      <w:r w:rsidRPr="0018402B">
        <w:rPr>
          <w:color w:val="000000"/>
        </w:rPr>
        <w:t>the</w:t>
      </w:r>
      <w:r w:rsidR="00C64050">
        <w:rPr>
          <w:color w:val="000000"/>
        </w:rPr>
        <w:t xml:space="preserve"> </w:t>
      </w:r>
      <w:r w:rsidRPr="0018402B">
        <w:rPr>
          <w:color w:val="000000"/>
        </w:rPr>
        <w:t>contribution</w:t>
      </w:r>
      <w:r w:rsidR="00C64050">
        <w:rPr>
          <w:color w:val="000000"/>
        </w:rPr>
        <w:t xml:space="preserve"> </w:t>
      </w:r>
      <w:r w:rsidRPr="0018402B">
        <w:rPr>
          <w:color w:val="000000"/>
        </w:rPr>
        <w:t>of</w:t>
      </w:r>
      <w:r w:rsidR="00C64050">
        <w:rPr>
          <w:color w:val="000000"/>
        </w:rPr>
        <w:t xml:space="preserve"> </w:t>
      </w:r>
      <w:r w:rsidRPr="0018402B">
        <w:rPr>
          <w:color w:val="000000"/>
        </w:rPr>
        <w:t>appreciated</w:t>
      </w:r>
      <w:r w:rsidR="00C64050">
        <w:rPr>
          <w:color w:val="000000"/>
        </w:rPr>
        <w:t xml:space="preserve"> </w:t>
      </w:r>
      <w:r w:rsidRPr="0018402B">
        <w:rPr>
          <w:color w:val="000000"/>
        </w:rPr>
        <w:t>property</w:t>
      </w:r>
      <w:r w:rsidR="00C64050">
        <w:rPr>
          <w:color w:val="000000"/>
        </w:rPr>
        <w:t xml:space="preserve"> </w:t>
      </w:r>
      <w:r w:rsidRPr="0018402B">
        <w:rPr>
          <w:color w:val="000000"/>
        </w:rPr>
        <w:t>by</w:t>
      </w:r>
      <w:r w:rsidR="00C64050">
        <w:rPr>
          <w:color w:val="000000"/>
        </w:rPr>
        <w:t xml:space="preserve"> </w:t>
      </w:r>
      <w:r w:rsidRPr="0018402B">
        <w:rPr>
          <w:color w:val="000000"/>
        </w:rPr>
        <w:t>the</w:t>
      </w:r>
      <w:r w:rsidR="00C64050">
        <w:rPr>
          <w:color w:val="000000"/>
        </w:rPr>
        <w:t xml:space="preserve"> </w:t>
      </w:r>
      <w:r w:rsidRPr="0018402B">
        <w:rPr>
          <w:color w:val="000000"/>
        </w:rPr>
        <w:t>partnership</w:t>
      </w:r>
      <w:r w:rsidR="00C64050">
        <w:rPr>
          <w:color w:val="000000"/>
        </w:rPr>
        <w:t xml:space="preserve"> </w:t>
      </w:r>
      <w:r w:rsidRPr="0018402B">
        <w:rPr>
          <w:color w:val="000000"/>
        </w:rPr>
        <w:t>does</w:t>
      </w:r>
      <w:r w:rsidR="00C64050">
        <w:rPr>
          <w:color w:val="000000"/>
        </w:rPr>
        <w:t xml:space="preserve"> </w:t>
      </w:r>
      <w:r w:rsidRPr="0018402B">
        <w:rPr>
          <w:color w:val="000000"/>
        </w:rPr>
        <w:t>not</w:t>
      </w:r>
      <w:r w:rsidR="00C64050">
        <w:rPr>
          <w:color w:val="000000"/>
        </w:rPr>
        <w:t xml:space="preserve"> </w:t>
      </w:r>
      <w:r w:rsidRPr="0018402B">
        <w:rPr>
          <w:color w:val="000000"/>
        </w:rPr>
        <w:t>seem</w:t>
      </w:r>
      <w:r w:rsidR="00C64050">
        <w:rPr>
          <w:color w:val="000000"/>
        </w:rPr>
        <w:t xml:space="preserve"> </w:t>
      </w:r>
      <w:r w:rsidRPr="0018402B">
        <w:rPr>
          <w:color w:val="000000"/>
        </w:rPr>
        <w:t>to</w:t>
      </w:r>
      <w:r w:rsidR="00C64050">
        <w:rPr>
          <w:color w:val="000000"/>
        </w:rPr>
        <w:t xml:space="preserve"> </w:t>
      </w:r>
      <w:r w:rsidRPr="0018402B">
        <w:rPr>
          <w:color w:val="000000"/>
        </w:rPr>
        <w:t>be</w:t>
      </w:r>
      <w:r w:rsidR="00C64050">
        <w:rPr>
          <w:color w:val="000000"/>
        </w:rPr>
        <w:t xml:space="preserve"> </w:t>
      </w:r>
      <w:r w:rsidRPr="0018402B">
        <w:rPr>
          <w:color w:val="000000"/>
        </w:rPr>
        <w:t>limited</w:t>
      </w:r>
      <w:r w:rsidR="00C64050">
        <w:rPr>
          <w:color w:val="000000"/>
        </w:rPr>
        <w:t xml:space="preserve"> </w:t>
      </w:r>
      <w:r w:rsidRPr="0018402B">
        <w:rPr>
          <w:color w:val="000000"/>
        </w:rPr>
        <w:t>to</w:t>
      </w:r>
      <w:r w:rsidR="00C64050">
        <w:rPr>
          <w:color w:val="000000"/>
        </w:rPr>
        <w:t xml:space="preserve"> </w:t>
      </w:r>
      <w:r w:rsidRPr="0018402B">
        <w:rPr>
          <w:color w:val="000000"/>
        </w:rPr>
        <w:t>her</w:t>
      </w:r>
      <w:r w:rsidR="00C64050">
        <w:rPr>
          <w:color w:val="000000"/>
        </w:rPr>
        <w:t xml:space="preserve"> </w:t>
      </w:r>
      <w:r w:rsidRPr="0018402B">
        <w:rPr>
          <w:color w:val="000000"/>
        </w:rPr>
        <w:t>share</w:t>
      </w:r>
      <w:r w:rsidR="00C64050">
        <w:rPr>
          <w:color w:val="000000"/>
        </w:rPr>
        <w:t xml:space="preserve"> </w:t>
      </w:r>
      <w:r w:rsidRPr="0018402B">
        <w:rPr>
          <w:color w:val="000000"/>
        </w:rPr>
        <w:t>of</w:t>
      </w:r>
      <w:r w:rsidR="00C64050">
        <w:rPr>
          <w:color w:val="000000"/>
        </w:rPr>
        <w:t xml:space="preserve"> </w:t>
      </w:r>
      <w:r w:rsidRPr="0018402B">
        <w:rPr>
          <w:color w:val="000000"/>
        </w:rPr>
        <w:t>the</w:t>
      </w:r>
      <w:r w:rsidR="00C64050">
        <w:rPr>
          <w:color w:val="000000"/>
        </w:rPr>
        <w:t xml:space="preserve"> </w:t>
      </w:r>
      <w:r w:rsidRPr="0018402B">
        <w:rPr>
          <w:color w:val="000000"/>
        </w:rPr>
        <w:t>partnership’s</w:t>
      </w:r>
      <w:r w:rsidR="00C64050">
        <w:rPr>
          <w:color w:val="000000"/>
        </w:rPr>
        <w:t xml:space="preserve"> </w:t>
      </w:r>
      <w:r w:rsidRPr="0018402B">
        <w:rPr>
          <w:color w:val="000000"/>
        </w:rPr>
        <w:t>basis</w:t>
      </w:r>
      <w:r w:rsidR="00C64050">
        <w:rPr>
          <w:color w:val="000000"/>
        </w:rPr>
        <w:t xml:space="preserve"> </w:t>
      </w:r>
      <w:r w:rsidRPr="0018402B">
        <w:rPr>
          <w:color w:val="000000"/>
        </w:rPr>
        <w:t>in</w:t>
      </w:r>
      <w:r w:rsidR="00C64050">
        <w:rPr>
          <w:color w:val="000000"/>
        </w:rPr>
        <w:t xml:space="preserve"> </w:t>
      </w:r>
      <w:r w:rsidRPr="0018402B">
        <w:rPr>
          <w:color w:val="000000"/>
        </w:rPr>
        <w:t>the</w:t>
      </w:r>
      <w:r w:rsidR="00C64050">
        <w:rPr>
          <w:color w:val="000000"/>
        </w:rPr>
        <w:t xml:space="preserve"> </w:t>
      </w:r>
      <w:r w:rsidRPr="0018402B">
        <w:rPr>
          <w:color w:val="000000"/>
        </w:rPr>
        <w:t>assets.</w:t>
      </w:r>
      <w:r w:rsidR="00C64050">
        <w:rPr>
          <w:color w:val="000000"/>
        </w:rPr>
        <w:t xml:space="preserve">  </w:t>
      </w:r>
      <w:r w:rsidRPr="0018402B">
        <w:rPr>
          <w:color w:val="000000"/>
        </w:rPr>
        <w:t>See</w:t>
      </w:r>
      <w:r w:rsidR="00C64050">
        <w:rPr>
          <w:color w:val="000000"/>
        </w:rPr>
        <w:t xml:space="preserve"> </w:t>
      </w:r>
      <w:r w:rsidRPr="0018402B">
        <w:rPr>
          <w:color w:val="000000"/>
        </w:rPr>
        <w:t>Private</w:t>
      </w:r>
      <w:r w:rsidR="00C64050">
        <w:rPr>
          <w:color w:val="000000"/>
        </w:rPr>
        <w:t xml:space="preserve"> </w:t>
      </w:r>
      <w:r w:rsidRPr="0018402B">
        <w:rPr>
          <w:color w:val="000000"/>
        </w:rPr>
        <w:t>Letter</w:t>
      </w:r>
      <w:r w:rsidR="00C64050">
        <w:rPr>
          <w:color w:val="000000"/>
        </w:rPr>
        <w:t xml:space="preserve"> </w:t>
      </w:r>
      <w:r w:rsidRPr="0018402B">
        <w:rPr>
          <w:color w:val="000000"/>
        </w:rPr>
        <w:t>Ruling</w:t>
      </w:r>
      <w:r w:rsidR="00C64050">
        <w:rPr>
          <w:color w:val="000000"/>
        </w:rPr>
        <w:t xml:space="preserve"> </w:t>
      </w:r>
      <w:r w:rsidRPr="0018402B">
        <w:rPr>
          <w:color w:val="000000"/>
        </w:rPr>
        <w:t>8405084.</w:t>
      </w:r>
      <w:r w:rsidR="00C64050">
        <w:rPr>
          <w:color w:val="000000"/>
        </w:rPr>
        <w:t xml:space="preserve">  </w:t>
      </w:r>
      <w:r w:rsidRPr="0018402B">
        <w:rPr>
          <w:color w:val="000000"/>
        </w:rPr>
        <w:t>Thus,</w:t>
      </w:r>
      <w:r w:rsidR="00C64050">
        <w:rPr>
          <w:color w:val="000000"/>
        </w:rPr>
        <w:t xml:space="preserve"> </w:t>
      </w:r>
      <w:r w:rsidRPr="0018402B">
        <w:rPr>
          <w:color w:val="000000"/>
        </w:rPr>
        <w:t>contributions</w:t>
      </w:r>
      <w:r w:rsidR="00C64050">
        <w:rPr>
          <w:color w:val="000000"/>
        </w:rPr>
        <w:t xml:space="preserve"> </w:t>
      </w:r>
      <w:r w:rsidRPr="0018402B">
        <w:rPr>
          <w:color w:val="000000"/>
        </w:rPr>
        <w:t>of</w:t>
      </w:r>
      <w:r w:rsidR="00C64050">
        <w:rPr>
          <w:color w:val="000000"/>
        </w:rPr>
        <w:t xml:space="preserve"> </w:t>
      </w:r>
      <w:r w:rsidRPr="0018402B">
        <w:rPr>
          <w:color w:val="000000"/>
        </w:rPr>
        <w:t>appreciated</w:t>
      </w:r>
      <w:r w:rsidR="00C64050">
        <w:rPr>
          <w:color w:val="000000"/>
        </w:rPr>
        <w:t xml:space="preserve"> </w:t>
      </w:r>
      <w:r w:rsidRPr="0018402B">
        <w:rPr>
          <w:color w:val="000000"/>
        </w:rPr>
        <w:t>property</w:t>
      </w:r>
      <w:r w:rsidR="00C64050">
        <w:rPr>
          <w:color w:val="000000"/>
        </w:rPr>
        <w:t xml:space="preserve"> </w:t>
      </w:r>
      <w:r w:rsidRPr="0018402B">
        <w:rPr>
          <w:color w:val="000000"/>
        </w:rPr>
        <w:t>by</w:t>
      </w:r>
      <w:r w:rsidR="00C64050">
        <w:rPr>
          <w:color w:val="000000"/>
        </w:rPr>
        <w:t xml:space="preserve"> </w:t>
      </w:r>
      <w:r w:rsidRPr="0018402B">
        <w:rPr>
          <w:color w:val="000000"/>
        </w:rPr>
        <w:t>partnerships</w:t>
      </w:r>
      <w:r w:rsidR="00C64050">
        <w:rPr>
          <w:color w:val="000000"/>
        </w:rPr>
        <w:t xml:space="preserve"> </w:t>
      </w:r>
      <w:r w:rsidRPr="0018402B">
        <w:rPr>
          <w:color w:val="000000"/>
        </w:rPr>
        <w:t>preserve</w:t>
      </w:r>
      <w:r w:rsidR="00C64050">
        <w:rPr>
          <w:color w:val="000000"/>
        </w:rPr>
        <w:t xml:space="preserve"> </w:t>
      </w:r>
      <w:r w:rsidRPr="0018402B">
        <w:rPr>
          <w:color w:val="000000"/>
        </w:rPr>
        <w:t>the</w:t>
      </w:r>
      <w:r w:rsidR="00C64050">
        <w:rPr>
          <w:color w:val="000000"/>
        </w:rPr>
        <w:t xml:space="preserve"> </w:t>
      </w:r>
      <w:r w:rsidRPr="0018402B">
        <w:rPr>
          <w:color w:val="000000"/>
        </w:rPr>
        <w:t>tax</w:t>
      </w:r>
      <w:r w:rsidR="00C64050">
        <w:rPr>
          <w:color w:val="000000"/>
        </w:rPr>
        <w:t xml:space="preserve"> </w:t>
      </w:r>
      <w:r w:rsidRPr="0018402B">
        <w:rPr>
          <w:color w:val="000000"/>
        </w:rPr>
        <w:t>benefit</w:t>
      </w:r>
      <w:r w:rsidR="00C64050">
        <w:rPr>
          <w:color w:val="000000"/>
        </w:rPr>
        <w:t xml:space="preserve"> </w:t>
      </w:r>
      <w:r w:rsidRPr="0018402B">
        <w:rPr>
          <w:color w:val="000000"/>
        </w:rPr>
        <w:t>of</w:t>
      </w:r>
      <w:r w:rsidR="00C64050">
        <w:rPr>
          <w:color w:val="000000"/>
        </w:rPr>
        <w:t xml:space="preserve"> </w:t>
      </w:r>
      <w:r w:rsidRPr="0018402B">
        <w:rPr>
          <w:color w:val="000000"/>
        </w:rPr>
        <w:t>receiving</w:t>
      </w:r>
      <w:r w:rsidR="00C64050">
        <w:rPr>
          <w:color w:val="000000"/>
        </w:rPr>
        <w:t xml:space="preserve"> </w:t>
      </w:r>
      <w:r w:rsidRPr="0018402B">
        <w:rPr>
          <w:color w:val="000000"/>
        </w:rPr>
        <w:t>a</w:t>
      </w:r>
      <w:r w:rsidR="00C64050">
        <w:rPr>
          <w:color w:val="000000"/>
        </w:rPr>
        <w:t xml:space="preserve"> </w:t>
      </w:r>
      <w:r w:rsidRPr="0018402B">
        <w:rPr>
          <w:color w:val="000000"/>
        </w:rPr>
        <w:t>deduction</w:t>
      </w:r>
      <w:r w:rsidR="00C64050">
        <w:rPr>
          <w:color w:val="000000"/>
        </w:rPr>
        <w:t xml:space="preserve"> </w:t>
      </w:r>
      <w:r w:rsidRPr="0018402B">
        <w:rPr>
          <w:color w:val="000000"/>
        </w:rPr>
        <w:t>at</w:t>
      </w:r>
      <w:r w:rsidR="00C64050">
        <w:rPr>
          <w:color w:val="000000"/>
        </w:rPr>
        <w:t xml:space="preserve"> </w:t>
      </w:r>
      <w:r w:rsidRPr="0018402B">
        <w:rPr>
          <w:color w:val="000000"/>
        </w:rPr>
        <w:t>fair</w:t>
      </w:r>
      <w:r w:rsidR="00C64050">
        <w:rPr>
          <w:color w:val="000000"/>
        </w:rPr>
        <w:t xml:space="preserve"> </w:t>
      </w:r>
      <w:r w:rsidRPr="0018402B">
        <w:rPr>
          <w:color w:val="000000"/>
        </w:rPr>
        <w:t>market</w:t>
      </w:r>
      <w:r w:rsidR="00C64050">
        <w:rPr>
          <w:color w:val="000000"/>
        </w:rPr>
        <w:t xml:space="preserve"> </w:t>
      </w:r>
      <w:r w:rsidRPr="0018402B">
        <w:rPr>
          <w:color w:val="000000"/>
        </w:rPr>
        <w:t>value</w:t>
      </w:r>
      <w:r w:rsidR="00C64050">
        <w:rPr>
          <w:color w:val="000000"/>
        </w:rPr>
        <w:t xml:space="preserve"> </w:t>
      </w:r>
      <w:r w:rsidRPr="0018402B">
        <w:rPr>
          <w:color w:val="000000"/>
        </w:rPr>
        <w:t>for</w:t>
      </w:r>
      <w:r w:rsidR="00C64050">
        <w:rPr>
          <w:color w:val="000000"/>
        </w:rPr>
        <w:t xml:space="preserve"> </w:t>
      </w:r>
      <w:r w:rsidRPr="0018402B">
        <w:rPr>
          <w:color w:val="000000"/>
        </w:rPr>
        <w:t>the</w:t>
      </w:r>
      <w:r w:rsidR="00C64050">
        <w:rPr>
          <w:color w:val="000000"/>
        </w:rPr>
        <w:t xml:space="preserve"> </w:t>
      </w:r>
      <w:r w:rsidRPr="0018402B">
        <w:rPr>
          <w:color w:val="000000"/>
        </w:rPr>
        <w:t>contribution</w:t>
      </w:r>
      <w:r w:rsidR="00C64050">
        <w:rPr>
          <w:color w:val="000000"/>
        </w:rPr>
        <w:t xml:space="preserve"> </w:t>
      </w:r>
      <w:r w:rsidRPr="0018402B">
        <w:rPr>
          <w:color w:val="000000"/>
        </w:rPr>
        <w:t>of</w:t>
      </w:r>
      <w:r w:rsidR="00C64050">
        <w:rPr>
          <w:color w:val="000000"/>
        </w:rPr>
        <w:t xml:space="preserve"> </w:t>
      </w:r>
      <w:r w:rsidRPr="0018402B">
        <w:rPr>
          <w:color w:val="000000"/>
        </w:rPr>
        <w:t>appreciated</w:t>
      </w:r>
      <w:r w:rsidR="00C64050">
        <w:rPr>
          <w:color w:val="000000"/>
        </w:rPr>
        <w:t xml:space="preserve"> </w:t>
      </w:r>
      <w:r w:rsidRPr="0018402B">
        <w:rPr>
          <w:color w:val="000000"/>
        </w:rPr>
        <w:t>property;</w:t>
      </w:r>
      <w:r w:rsidR="00C64050">
        <w:rPr>
          <w:color w:val="000000"/>
        </w:rPr>
        <w:t xml:space="preserve"> </w:t>
      </w:r>
      <w:r w:rsidRPr="0018402B">
        <w:rPr>
          <w:color w:val="000000"/>
        </w:rPr>
        <w:t>the</w:t>
      </w:r>
      <w:r w:rsidR="00C64050">
        <w:rPr>
          <w:color w:val="000000"/>
        </w:rPr>
        <w:t xml:space="preserve"> </w:t>
      </w:r>
      <w:r w:rsidRPr="0018402B">
        <w:rPr>
          <w:color w:val="000000"/>
        </w:rPr>
        <w:t>unrealized</w:t>
      </w:r>
      <w:r w:rsidR="00C64050">
        <w:rPr>
          <w:color w:val="000000"/>
        </w:rPr>
        <w:t xml:space="preserve"> </w:t>
      </w:r>
      <w:r w:rsidRPr="0018402B">
        <w:rPr>
          <w:color w:val="000000"/>
        </w:rPr>
        <w:t>appreciation</w:t>
      </w:r>
      <w:r w:rsidR="00C64050">
        <w:rPr>
          <w:color w:val="000000"/>
        </w:rPr>
        <w:t xml:space="preserve"> </w:t>
      </w:r>
      <w:r w:rsidRPr="0018402B">
        <w:rPr>
          <w:color w:val="000000"/>
        </w:rPr>
        <w:t>is</w:t>
      </w:r>
      <w:r w:rsidR="00C64050">
        <w:rPr>
          <w:color w:val="000000"/>
        </w:rPr>
        <w:t xml:space="preserve"> </w:t>
      </w:r>
      <w:r w:rsidRPr="0018402B">
        <w:rPr>
          <w:color w:val="000000"/>
        </w:rPr>
        <w:t>not</w:t>
      </w:r>
      <w:r w:rsidR="00C64050">
        <w:rPr>
          <w:color w:val="000000"/>
        </w:rPr>
        <w:t xml:space="preserve"> </w:t>
      </w:r>
      <w:r w:rsidRPr="0018402B">
        <w:rPr>
          <w:color w:val="000000"/>
        </w:rPr>
        <w:t>transferred</w:t>
      </w:r>
      <w:r w:rsidR="00C64050">
        <w:rPr>
          <w:color w:val="000000"/>
        </w:rPr>
        <w:t xml:space="preserve"> </w:t>
      </w:r>
      <w:r w:rsidRPr="0018402B">
        <w:rPr>
          <w:color w:val="000000"/>
        </w:rPr>
        <w:t>to</w:t>
      </w:r>
      <w:r w:rsidR="00C64050">
        <w:rPr>
          <w:color w:val="000000"/>
        </w:rPr>
        <w:t xml:space="preserve"> </w:t>
      </w:r>
      <w:r w:rsidRPr="0018402B">
        <w:rPr>
          <w:color w:val="000000"/>
        </w:rPr>
        <w:t>the</w:t>
      </w:r>
      <w:r w:rsidR="00C64050">
        <w:rPr>
          <w:color w:val="000000"/>
        </w:rPr>
        <w:t xml:space="preserve"> </w:t>
      </w:r>
      <w:r w:rsidRPr="0018402B">
        <w:rPr>
          <w:color w:val="000000"/>
        </w:rPr>
        <w:t>partner’s</w:t>
      </w:r>
      <w:r w:rsidR="00C64050">
        <w:rPr>
          <w:color w:val="000000"/>
        </w:rPr>
        <w:t xml:space="preserve"> </w:t>
      </w:r>
      <w:r w:rsidRPr="0018402B">
        <w:rPr>
          <w:color w:val="000000"/>
        </w:rPr>
        <w:t>interest</w:t>
      </w:r>
      <w:r w:rsidR="00C64050">
        <w:rPr>
          <w:color w:val="000000"/>
        </w:rPr>
        <w:t xml:space="preserve"> </w:t>
      </w:r>
      <w:r w:rsidRPr="0018402B">
        <w:rPr>
          <w:color w:val="000000"/>
        </w:rPr>
        <w:t>in</w:t>
      </w:r>
      <w:r w:rsidR="00C64050">
        <w:rPr>
          <w:color w:val="000000"/>
        </w:rPr>
        <w:t xml:space="preserve"> </w:t>
      </w:r>
      <w:r w:rsidRPr="0018402B">
        <w:rPr>
          <w:color w:val="000000"/>
        </w:rPr>
        <w:t>the</w:t>
      </w:r>
      <w:r w:rsidR="00C64050">
        <w:rPr>
          <w:color w:val="000000"/>
        </w:rPr>
        <w:t xml:space="preserve"> </w:t>
      </w:r>
      <w:r w:rsidRPr="0018402B">
        <w:rPr>
          <w:color w:val="000000"/>
        </w:rPr>
        <w:t>partnership.</w:t>
      </w:r>
      <w:r w:rsidR="00C64050">
        <w:rPr>
          <w:color w:val="000000"/>
        </w:rPr>
        <w:t xml:space="preserve">  </w:t>
      </w:r>
    </w:p>
    <w:p w:rsidR="008D344C" w:rsidRDefault="008D344C" w:rsidP="008D344C">
      <w:pPr>
        <w:pStyle w:val="Body15"/>
      </w:pPr>
      <w:r w:rsidRPr="0018402B">
        <w:rPr>
          <w:color w:val="000000"/>
        </w:rPr>
        <w:t>Rev.</w:t>
      </w:r>
      <w:r w:rsidR="00C64050">
        <w:rPr>
          <w:color w:val="000000"/>
        </w:rPr>
        <w:t xml:space="preserve"> </w:t>
      </w:r>
      <w:r w:rsidRPr="0018402B">
        <w:rPr>
          <w:color w:val="000000"/>
        </w:rPr>
        <w:t>Rul.</w:t>
      </w:r>
      <w:r w:rsidR="00C64050">
        <w:rPr>
          <w:color w:val="000000"/>
        </w:rPr>
        <w:t xml:space="preserve"> </w:t>
      </w:r>
      <w:r w:rsidRPr="0018402B">
        <w:rPr>
          <w:color w:val="000000"/>
        </w:rPr>
        <w:t>2004-05</w:t>
      </w:r>
      <w:r w:rsidR="00C64050">
        <w:rPr>
          <w:color w:val="000000"/>
        </w:rPr>
        <w:t xml:space="preserve"> </w:t>
      </w:r>
      <w:r w:rsidRPr="0018402B">
        <w:rPr>
          <w:color w:val="000000"/>
        </w:rPr>
        <w:t>provides</w:t>
      </w:r>
      <w:r w:rsidR="00C64050">
        <w:rPr>
          <w:color w:val="000000"/>
        </w:rPr>
        <w:t xml:space="preserve"> </w:t>
      </w:r>
      <w:r w:rsidRPr="0018402B">
        <w:rPr>
          <w:color w:val="000000"/>
        </w:rPr>
        <w:t>that</w:t>
      </w:r>
      <w:r w:rsidR="00C64050">
        <w:rPr>
          <w:color w:val="000000"/>
        </w:rPr>
        <w:t xml:space="preserve"> </w:t>
      </w:r>
      <w:r w:rsidRPr="0018402B">
        <w:rPr>
          <w:color w:val="000000"/>
        </w:rPr>
        <w:t>a</w:t>
      </w:r>
      <w:r w:rsidR="00C64050">
        <w:rPr>
          <w:color w:val="000000"/>
        </w:rPr>
        <w:t xml:space="preserve"> </w:t>
      </w:r>
      <w:r w:rsidRPr="0018402B">
        <w:rPr>
          <w:color w:val="000000"/>
        </w:rPr>
        <w:t>trust</w:t>
      </w:r>
      <w:r w:rsidR="00C64050">
        <w:rPr>
          <w:color w:val="000000"/>
        </w:rPr>
        <w:t xml:space="preserve"> </w:t>
      </w:r>
      <w:r w:rsidRPr="0018402B">
        <w:rPr>
          <w:color w:val="000000"/>
        </w:rPr>
        <w:t>which</w:t>
      </w:r>
      <w:r w:rsidR="00C64050">
        <w:rPr>
          <w:color w:val="000000"/>
        </w:rPr>
        <w:t xml:space="preserve"> </w:t>
      </w:r>
      <w:r w:rsidRPr="0018402B">
        <w:rPr>
          <w:color w:val="000000"/>
        </w:rPr>
        <w:t>is</w:t>
      </w:r>
      <w:r w:rsidR="00C64050">
        <w:rPr>
          <w:color w:val="000000"/>
        </w:rPr>
        <w:t xml:space="preserve"> </w:t>
      </w:r>
      <w:r w:rsidRPr="0018402B">
        <w:rPr>
          <w:color w:val="000000"/>
        </w:rPr>
        <w:t>a</w:t>
      </w:r>
      <w:r w:rsidR="00C64050">
        <w:rPr>
          <w:color w:val="000000"/>
        </w:rPr>
        <w:t xml:space="preserve"> </w:t>
      </w:r>
      <w:r w:rsidRPr="0018402B">
        <w:rPr>
          <w:color w:val="000000"/>
        </w:rPr>
        <w:t>partner</w:t>
      </w:r>
      <w:r w:rsidR="00C64050">
        <w:rPr>
          <w:color w:val="000000"/>
        </w:rPr>
        <w:t xml:space="preserve"> </w:t>
      </w:r>
      <w:r w:rsidRPr="0018402B">
        <w:rPr>
          <w:color w:val="000000"/>
        </w:rPr>
        <w:t>will</w:t>
      </w:r>
      <w:r w:rsidR="00C64050">
        <w:rPr>
          <w:color w:val="000000"/>
        </w:rPr>
        <w:t xml:space="preserve"> </w:t>
      </w:r>
      <w:r w:rsidRPr="0018402B">
        <w:rPr>
          <w:color w:val="000000"/>
        </w:rPr>
        <w:t>benefit</w:t>
      </w:r>
      <w:r w:rsidR="00C64050">
        <w:rPr>
          <w:color w:val="000000"/>
        </w:rPr>
        <w:t xml:space="preserve"> </w:t>
      </w:r>
      <w:r w:rsidRPr="0018402B">
        <w:rPr>
          <w:color w:val="000000"/>
        </w:rPr>
        <w:t>from</w:t>
      </w:r>
      <w:r w:rsidR="00C64050">
        <w:rPr>
          <w:color w:val="000000"/>
        </w:rPr>
        <w:t xml:space="preserve"> </w:t>
      </w:r>
      <w:r w:rsidRPr="0018402B">
        <w:rPr>
          <w:color w:val="000000"/>
        </w:rPr>
        <w:t>a</w:t>
      </w:r>
      <w:r w:rsidR="00C64050">
        <w:rPr>
          <w:color w:val="000000"/>
        </w:rPr>
        <w:t xml:space="preserve"> </w:t>
      </w:r>
      <w:r w:rsidRPr="0018402B">
        <w:rPr>
          <w:color w:val="000000"/>
        </w:rPr>
        <w:t>charitable</w:t>
      </w:r>
      <w:r w:rsidR="00C64050">
        <w:rPr>
          <w:color w:val="000000"/>
        </w:rPr>
        <w:t xml:space="preserve"> </w:t>
      </w:r>
      <w:r w:rsidRPr="0018402B">
        <w:rPr>
          <w:color w:val="000000"/>
        </w:rPr>
        <w:t>contribution</w:t>
      </w:r>
      <w:r w:rsidR="00C64050">
        <w:rPr>
          <w:color w:val="000000"/>
        </w:rPr>
        <w:t xml:space="preserve"> </w:t>
      </w:r>
      <w:r w:rsidRPr="0018402B">
        <w:rPr>
          <w:color w:val="000000"/>
        </w:rPr>
        <w:t>made</w:t>
      </w:r>
      <w:r w:rsidR="00C64050">
        <w:rPr>
          <w:color w:val="000000"/>
        </w:rPr>
        <w:t xml:space="preserve"> </w:t>
      </w:r>
      <w:r w:rsidRPr="0018402B">
        <w:rPr>
          <w:color w:val="000000"/>
        </w:rPr>
        <w:t>by</w:t>
      </w:r>
      <w:r w:rsidR="00C64050">
        <w:rPr>
          <w:color w:val="000000"/>
        </w:rPr>
        <w:t xml:space="preserve"> </w:t>
      </w:r>
      <w:r w:rsidRPr="0018402B">
        <w:rPr>
          <w:color w:val="000000"/>
        </w:rPr>
        <w:t>the</w:t>
      </w:r>
      <w:r w:rsidR="00C64050">
        <w:rPr>
          <w:color w:val="000000"/>
        </w:rPr>
        <w:t xml:space="preserve"> </w:t>
      </w:r>
      <w:r w:rsidRPr="0018402B">
        <w:rPr>
          <w:color w:val="000000"/>
        </w:rPr>
        <w:t>partnership</w:t>
      </w:r>
      <w:r w:rsidR="00C64050">
        <w:rPr>
          <w:color w:val="000000"/>
        </w:rPr>
        <w:t xml:space="preserve"> </w:t>
      </w:r>
      <w:r w:rsidRPr="0018402B">
        <w:rPr>
          <w:color w:val="000000"/>
        </w:rPr>
        <w:t>even</w:t>
      </w:r>
      <w:r w:rsidR="00C64050">
        <w:rPr>
          <w:color w:val="000000"/>
        </w:rPr>
        <w:t xml:space="preserve"> </w:t>
      </w:r>
      <w:r w:rsidRPr="0018402B">
        <w:rPr>
          <w:color w:val="000000"/>
        </w:rPr>
        <w:t>if</w:t>
      </w:r>
      <w:r w:rsidR="00C64050">
        <w:rPr>
          <w:color w:val="000000"/>
        </w:rPr>
        <w:t xml:space="preserve"> </w:t>
      </w:r>
      <w:r w:rsidRPr="0018402B">
        <w:rPr>
          <w:color w:val="000000"/>
        </w:rPr>
        <w:t>the</w:t>
      </w:r>
      <w:r w:rsidR="00C64050">
        <w:rPr>
          <w:color w:val="000000"/>
        </w:rPr>
        <w:t xml:space="preserve"> </w:t>
      </w:r>
      <w:r w:rsidRPr="0018402B">
        <w:rPr>
          <w:color w:val="000000"/>
        </w:rPr>
        <w:t>trust</w:t>
      </w:r>
      <w:r w:rsidR="00C64050">
        <w:rPr>
          <w:color w:val="000000"/>
        </w:rPr>
        <w:t xml:space="preserve"> </w:t>
      </w:r>
      <w:r w:rsidRPr="0018402B">
        <w:rPr>
          <w:color w:val="000000"/>
        </w:rPr>
        <w:t>itself</w:t>
      </w:r>
      <w:r w:rsidR="00C64050">
        <w:rPr>
          <w:color w:val="000000"/>
        </w:rPr>
        <w:t xml:space="preserve"> </w:t>
      </w:r>
      <w:r w:rsidRPr="0018402B">
        <w:rPr>
          <w:color w:val="000000"/>
        </w:rPr>
        <w:t>has</w:t>
      </w:r>
      <w:r w:rsidR="00C64050">
        <w:rPr>
          <w:color w:val="000000"/>
        </w:rPr>
        <w:t xml:space="preserve"> </w:t>
      </w:r>
      <w:r w:rsidRPr="0018402B">
        <w:rPr>
          <w:color w:val="000000"/>
        </w:rPr>
        <w:t>no</w:t>
      </w:r>
      <w:r w:rsidR="00C64050">
        <w:rPr>
          <w:color w:val="000000"/>
        </w:rPr>
        <w:t xml:space="preserve"> </w:t>
      </w:r>
      <w:r w:rsidRPr="0018402B">
        <w:rPr>
          <w:color w:val="000000"/>
        </w:rPr>
        <w:t>charitable</w:t>
      </w:r>
      <w:r w:rsidR="00C64050">
        <w:rPr>
          <w:color w:val="000000"/>
        </w:rPr>
        <w:t xml:space="preserve"> </w:t>
      </w:r>
      <w:r w:rsidRPr="0018402B">
        <w:rPr>
          <w:color w:val="000000"/>
        </w:rPr>
        <w:t>beneficiaries.</w:t>
      </w:r>
      <w:r w:rsidR="00C64050">
        <w:rPr>
          <w:color w:val="000000"/>
        </w:rPr>
        <w:t xml:space="preserve">  </w:t>
      </w:r>
      <w:r w:rsidRPr="0018402B">
        <w:rPr>
          <w:color w:val="000000"/>
        </w:rPr>
        <w:t>The</w:t>
      </w:r>
      <w:r w:rsidR="00C64050">
        <w:rPr>
          <w:color w:val="000000"/>
        </w:rPr>
        <w:t xml:space="preserve"> </w:t>
      </w:r>
      <w:r w:rsidRPr="0018402B">
        <w:rPr>
          <w:color w:val="000000"/>
        </w:rPr>
        <w:t>Ruling</w:t>
      </w:r>
      <w:r w:rsidR="00C64050">
        <w:rPr>
          <w:color w:val="000000"/>
        </w:rPr>
        <w:t xml:space="preserve"> </w:t>
      </w:r>
      <w:r w:rsidRPr="0018402B">
        <w:rPr>
          <w:color w:val="000000"/>
        </w:rPr>
        <w:t>does</w:t>
      </w:r>
      <w:r w:rsidR="00C64050">
        <w:rPr>
          <w:color w:val="000000"/>
        </w:rPr>
        <w:t xml:space="preserve"> </w:t>
      </w:r>
      <w:r w:rsidRPr="0018402B">
        <w:rPr>
          <w:color w:val="000000"/>
        </w:rPr>
        <w:t>not</w:t>
      </w:r>
      <w:r w:rsidR="00C64050">
        <w:rPr>
          <w:color w:val="000000"/>
        </w:rPr>
        <w:t xml:space="preserve"> </w:t>
      </w:r>
      <w:r w:rsidRPr="0018402B">
        <w:rPr>
          <w:color w:val="000000"/>
        </w:rPr>
        <w:t>state</w:t>
      </w:r>
      <w:r w:rsidR="00C64050">
        <w:rPr>
          <w:color w:val="000000"/>
        </w:rPr>
        <w:t xml:space="preserve"> </w:t>
      </w:r>
      <w:r w:rsidRPr="0018402B">
        <w:rPr>
          <w:color w:val="000000"/>
        </w:rPr>
        <w:t>how</w:t>
      </w:r>
      <w:r w:rsidR="00C64050">
        <w:rPr>
          <w:color w:val="000000"/>
        </w:rPr>
        <w:t xml:space="preserve"> </w:t>
      </w:r>
      <w:r w:rsidRPr="0018402B">
        <w:rPr>
          <w:color w:val="000000"/>
        </w:rPr>
        <w:t>the</w:t>
      </w:r>
      <w:r w:rsidR="00C64050">
        <w:rPr>
          <w:color w:val="000000"/>
        </w:rPr>
        <w:t xml:space="preserve"> </w:t>
      </w:r>
      <w:r w:rsidRPr="0018402B">
        <w:rPr>
          <w:color w:val="000000"/>
        </w:rPr>
        <w:t>trust</w:t>
      </w:r>
      <w:r w:rsidR="00C64050">
        <w:rPr>
          <w:color w:val="000000"/>
        </w:rPr>
        <w:t xml:space="preserve"> </w:t>
      </w:r>
      <w:r w:rsidRPr="0018402B">
        <w:rPr>
          <w:color w:val="000000"/>
        </w:rPr>
        <w:t>came</w:t>
      </w:r>
      <w:r w:rsidR="00C64050">
        <w:rPr>
          <w:color w:val="000000"/>
        </w:rPr>
        <w:t xml:space="preserve"> </w:t>
      </w:r>
      <w:r w:rsidRPr="0018402B">
        <w:rPr>
          <w:color w:val="000000"/>
        </w:rPr>
        <w:t>to</w:t>
      </w:r>
      <w:r w:rsidR="00C64050">
        <w:rPr>
          <w:color w:val="000000"/>
        </w:rPr>
        <w:t xml:space="preserve"> </w:t>
      </w:r>
      <w:r w:rsidRPr="0018402B">
        <w:rPr>
          <w:color w:val="000000"/>
        </w:rPr>
        <w:t>be</w:t>
      </w:r>
      <w:r w:rsidR="00C64050">
        <w:rPr>
          <w:color w:val="000000"/>
        </w:rPr>
        <w:t xml:space="preserve"> </w:t>
      </w:r>
      <w:r w:rsidRPr="0018402B">
        <w:rPr>
          <w:color w:val="000000"/>
        </w:rPr>
        <w:t>a</w:t>
      </w:r>
      <w:r w:rsidR="00C64050">
        <w:rPr>
          <w:color w:val="000000"/>
        </w:rPr>
        <w:t xml:space="preserve"> </w:t>
      </w:r>
      <w:r w:rsidRPr="0018402B">
        <w:rPr>
          <w:color w:val="000000"/>
        </w:rPr>
        <w:t>partner.</w:t>
      </w:r>
      <w:r w:rsidR="00C64050">
        <w:rPr>
          <w:color w:val="000000"/>
        </w:rPr>
        <w:t xml:space="preserve">  </w:t>
      </w:r>
      <w:r w:rsidRPr="0018402B">
        <w:rPr>
          <w:color w:val="000000"/>
        </w:rPr>
        <w:t>May</w:t>
      </w:r>
      <w:r w:rsidR="00C64050">
        <w:rPr>
          <w:color w:val="000000"/>
        </w:rPr>
        <w:t xml:space="preserve"> </w:t>
      </w:r>
      <w:r w:rsidRPr="0018402B">
        <w:rPr>
          <w:color w:val="000000"/>
        </w:rPr>
        <w:t>a</w:t>
      </w:r>
      <w:r w:rsidR="00C64050">
        <w:rPr>
          <w:color w:val="000000"/>
        </w:rPr>
        <w:t xml:space="preserve"> </w:t>
      </w:r>
      <w:r w:rsidRPr="0018402B">
        <w:rPr>
          <w:color w:val="000000"/>
        </w:rPr>
        <w:t>trust</w:t>
      </w:r>
      <w:r w:rsidR="00C64050">
        <w:rPr>
          <w:color w:val="000000"/>
        </w:rPr>
        <w:t xml:space="preserve"> </w:t>
      </w:r>
      <w:r w:rsidRPr="0018402B">
        <w:rPr>
          <w:color w:val="000000"/>
        </w:rPr>
        <w:t>with</w:t>
      </w:r>
      <w:r w:rsidR="00C64050">
        <w:rPr>
          <w:color w:val="000000"/>
        </w:rPr>
        <w:t xml:space="preserve"> </w:t>
      </w:r>
      <w:r w:rsidRPr="0018402B">
        <w:rPr>
          <w:color w:val="000000"/>
        </w:rPr>
        <w:t>no</w:t>
      </w:r>
      <w:r w:rsidR="00C64050">
        <w:rPr>
          <w:color w:val="000000"/>
        </w:rPr>
        <w:t xml:space="preserve"> </w:t>
      </w:r>
      <w:r w:rsidRPr="0018402B">
        <w:rPr>
          <w:color w:val="000000"/>
        </w:rPr>
        <w:t>charitable</w:t>
      </w:r>
      <w:r w:rsidR="00C64050">
        <w:rPr>
          <w:color w:val="000000"/>
        </w:rPr>
        <w:t xml:space="preserve"> </w:t>
      </w:r>
      <w:r w:rsidRPr="0018402B">
        <w:rPr>
          <w:color w:val="000000"/>
        </w:rPr>
        <w:t>beneficiaries</w:t>
      </w:r>
      <w:r w:rsidR="00C64050">
        <w:rPr>
          <w:color w:val="000000"/>
        </w:rPr>
        <w:t xml:space="preserve"> </w:t>
      </w:r>
      <w:r w:rsidRPr="0018402B">
        <w:rPr>
          <w:color w:val="000000"/>
        </w:rPr>
        <w:t>become</w:t>
      </w:r>
      <w:r w:rsidR="00C64050">
        <w:rPr>
          <w:color w:val="000000"/>
        </w:rPr>
        <w:t xml:space="preserve"> </w:t>
      </w:r>
      <w:r w:rsidRPr="0018402B">
        <w:rPr>
          <w:color w:val="000000"/>
        </w:rPr>
        <w:t>a</w:t>
      </w:r>
      <w:r w:rsidR="00C64050">
        <w:rPr>
          <w:color w:val="000000"/>
        </w:rPr>
        <w:t xml:space="preserve"> </w:t>
      </w:r>
      <w:r w:rsidRPr="0018402B">
        <w:rPr>
          <w:color w:val="000000"/>
        </w:rPr>
        <w:t>partner</w:t>
      </w:r>
      <w:r w:rsidR="00C64050">
        <w:rPr>
          <w:color w:val="000000"/>
        </w:rPr>
        <w:t xml:space="preserve"> </w:t>
      </w:r>
      <w:r w:rsidRPr="0018402B">
        <w:rPr>
          <w:color w:val="000000"/>
        </w:rPr>
        <w:t>in</w:t>
      </w:r>
      <w:r w:rsidR="00C64050">
        <w:rPr>
          <w:color w:val="000000"/>
        </w:rPr>
        <w:t xml:space="preserve"> </w:t>
      </w:r>
      <w:r w:rsidRPr="0018402B">
        <w:rPr>
          <w:color w:val="000000"/>
        </w:rPr>
        <w:t>a</w:t>
      </w:r>
      <w:r w:rsidR="00C64050">
        <w:rPr>
          <w:color w:val="000000"/>
        </w:rPr>
        <w:t xml:space="preserve"> </w:t>
      </w:r>
      <w:r w:rsidRPr="0018402B">
        <w:rPr>
          <w:color w:val="000000"/>
        </w:rPr>
        <w:t>partnership</w:t>
      </w:r>
      <w:r w:rsidR="00C64050">
        <w:rPr>
          <w:color w:val="000000"/>
        </w:rPr>
        <w:t xml:space="preserve"> </w:t>
      </w:r>
      <w:r w:rsidRPr="0018402B">
        <w:rPr>
          <w:color w:val="000000"/>
        </w:rPr>
        <w:t>which</w:t>
      </w:r>
      <w:r w:rsidR="00C64050">
        <w:rPr>
          <w:color w:val="000000"/>
        </w:rPr>
        <w:t xml:space="preserve"> </w:t>
      </w:r>
      <w:r w:rsidRPr="0018402B">
        <w:rPr>
          <w:color w:val="000000"/>
        </w:rPr>
        <w:t>allows</w:t>
      </w:r>
      <w:r w:rsidR="00C64050">
        <w:rPr>
          <w:color w:val="000000"/>
        </w:rPr>
        <w:t xml:space="preserve"> </w:t>
      </w:r>
      <w:r w:rsidRPr="0018402B">
        <w:rPr>
          <w:color w:val="000000"/>
        </w:rPr>
        <w:t>charitable</w:t>
      </w:r>
      <w:r w:rsidR="00C64050">
        <w:rPr>
          <w:color w:val="000000"/>
        </w:rPr>
        <w:t xml:space="preserve"> </w:t>
      </w:r>
      <w:r w:rsidRPr="0018402B">
        <w:rPr>
          <w:color w:val="000000"/>
        </w:rPr>
        <w:t>contributions</w:t>
      </w:r>
      <w:r w:rsidR="00C64050">
        <w:rPr>
          <w:color w:val="000000"/>
        </w:rPr>
        <w:t xml:space="preserve"> </w:t>
      </w:r>
      <w:r w:rsidRPr="0018402B">
        <w:rPr>
          <w:color w:val="000000"/>
        </w:rPr>
        <w:t>without</w:t>
      </w:r>
      <w:r w:rsidR="00C64050">
        <w:rPr>
          <w:color w:val="000000"/>
        </w:rPr>
        <w:t xml:space="preserve"> </w:t>
      </w:r>
      <w:r w:rsidRPr="0018402B">
        <w:rPr>
          <w:color w:val="000000"/>
        </w:rPr>
        <w:t>the</w:t>
      </w:r>
      <w:r w:rsidR="00C64050">
        <w:rPr>
          <w:color w:val="000000"/>
        </w:rPr>
        <w:t xml:space="preserve"> </w:t>
      </w:r>
      <w:r w:rsidRPr="0018402B">
        <w:rPr>
          <w:color w:val="000000"/>
        </w:rPr>
        <w:t>consent</w:t>
      </w:r>
      <w:r w:rsidR="00C64050">
        <w:rPr>
          <w:color w:val="000000"/>
        </w:rPr>
        <w:t xml:space="preserve"> </w:t>
      </w:r>
      <w:r w:rsidRPr="0018402B">
        <w:rPr>
          <w:color w:val="000000"/>
        </w:rPr>
        <w:t>of</w:t>
      </w:r>
      <w:r w:rsidR="00C64050">
        <w:rPr>
          <w:color w:val="000000"/>
        </w:rPr>
        <w:t xml:space="preserve"> </w:t>
      </w:r>
      <w:r w:rsidRPr="0018402B">
        <w:rPr>
          <w:color w:val="000000"/>
        </w:rPr>
        <w:t>the</w:t>
      </w:r>
      <w:r w:rsidR="00C64050">
        <w:rPr>
          <w:color w:val="000000"/>
        </w:rPr>
        <w:t xml:space="preserve"> </w:t>
      </w:r>
      <w:r w:rsidRPr="0018402B">
        <w:rPr>
          <w:color w:val="000000"/>
        </w:rPr>
        <w:t>trust</w:t>
      </w:r>
      <w:r w:rsidR="00C64050">
        <w:rPr>
          <w:color w:val="000000"/>
        </w:rPr>
        <w:t xml:space="preserve"> </w:t>
      </w:r>
      <w:r w:rsidRPr="0018402B">
        <w:rPr>
          <w:color w:val="000000"/>
        </w:rPr>
        <w:t>partner?</w:t>
      </w:r>
      <w:r w:rsidR="00C64050">
        <w:rPr>
          <w:color w:val="000000"/>
        </w:rPr>
        <w:t xml:space="preserve">  </w:t>
      </w:r>
      <w:r>
        <w:rPr>
          <w:color w:val="000000"/>
        </w:rPr>
        <w:t>Presumably</w:t>
      </w:r>
      <w:r w:rsidR="00C64050">
        <w:rPr>
          <w:color w:val="000000"/>
        </w:rPr>
        <w:t xml:space="preserve"> </w:t>
      </w:r>
      <w:r>
        <w:rPr>
          <w:color w:val="000000"/>
        </w:rPr>
        <w:t>the</w:t>
      </w:r>
      <w:r w:rsidR="00C64050">
        <w:rPr>
          <w:color w:val="000000"/>
        </w:rPr>
        <w:t xml:space="preserve"> </w:t>
      </w:r>
      <w:r>
        <w:rPr>
          <w:color w:val="000000"/>
        </w:rPr>
        <w:t>answer</w:t>
      </w:r>
      <w:r w:rsidR="00C64050">
        <w:rPr>
          <w:color w:val="000000"/>
        </w:rPr>
        <w:t xml:space="preserve"> </w:t>
      </w:r>
      <w:r>
        <w:rPr>
          <w:color w:val="000000"/>
        </w:rPr>
        <w:t>is</w:t>
      </w:r>
      <w:r w:rsidR="00C64050">
        <w:rPr>
          <w:color w:val="000000"/>
        </w:rPr>
        <w:t xml:space="preserve"> </w:t>
      </w:r>
      <w:r>
        <w:rPr>
          <w:color w:val="000000"/>
        </w:rPr>
        <w:t>yes</w:t>
      </w:r>
      <w:r w:rsidR="00C64050">
        <w:rPr>
          <w:color w:val="000000"/>
        </w:rPr>
        <w:t xml:space="preserve"> </w:t>
      </w:r>
      <w:r>
        <w:rPr>
          <w:color w:val="000000"/>
        </w:rPr>
        <w:t>so</w:t>
      </w:r>
      <w:r w:rsidR="00C64050">
        <w:rPr>
          <w:color w:val="000000"/>
        </w:rPr>
        <w:t xml:space="preserve"> </w:t>
      </w:r>
      <w:r>
        <w:rPr>
          <w:color w:val="000000"/>
        </w:rPr>
        <w:t>long</w:t>
      </w:r>
      <w:r w:rsidR="00C64050">
        <w:rPr>
          <w:color w:val="000000"/>
        </w:rPr>
        <w:t xml:space="preserve"> </w:t>
      </w:r>
      <w:r>
        <w:rPr>
          <w:color w:val="000000"/>
        </w:rPr>
        <w:t>as</w:t>
      </w:r>
      <w:r w:rsidR="00C64050">
        <w:rPr>
          <w:color w:val="000000"/>
        </w:rPr>
        <w:t xml:space="preserve"> </w:t>
      </w:r>
      <w:r>
        <w:rPr>
          <w:color w:val="000000"/>
        </w:rPr>
        <w:t>the</w:t>
      </w:r>
      <w:r w:rsidR="00C64050">
        <w:rPr>
          <w:color w:val="000000"/>
        </w:rPr>
        <w:t xml:space="preserve"> </w:t>
      </w:r>
      <w:r>
        <w:rPr>
          <w:color w:val="000000"/>
        </w:rPr>
        <w:t>beneficiaries</w:t>
      </w:r>
      <w:r w:rsidR="00C64050">
        <w:rPr>
          <w:color w:val="000000"/>
        </w:rPr>
        <w:t xml:space="preserve"> </w:t>
      </w:r>
      <w:r>
        <w:rPr>
          <w:color w:val="000000"/>
        </w:rPr>
        <w:t>are</w:t>
      </w:r>
      <w:r w:rsidR="00C64050">
        <w:rPr>
          <w:color w:val="000000"/>
        </w:rPr>
        <w:t xml:space="preserve"> </w:t>
      </w:r>
      <w:r>
        <w:rPr>
          <w:color w:val="000000"/>
        </w:rPr>
        <w:t>agreeable.</w:t>
      </w:r>
      <w:r w:rsidR="00C64050">
        <w:rPr>
          <w:color w:val="000000"/>
        </w:rPr>
        <w:t xml:space="preserve">  </w:t>
      </w:r>
      <w:r w:rsidRPr="0018402B">
        <w:rPr>
          <w:color w:val="000000"/>
        </w:rPr>
        <w:t>See</w:t>
      </w:r>
      <w:r w:rsidR="00C64050">
        <w:rPr>
          <w:color w:val="000000"/>
        </w:rPr>
        <w:t xml:space="preserve"> </w:t>
      </w:r>
      <w:r w:rsidRPr="0018402B">
        <w:rPr>
          <w:color w:val="000000"/>
        </w:rPr>
        <w:t>also</w:t>
      </w:r>
      <w:r w:rsidR="00C64050">
        <w:rPr>
          <w:color w:val="000000"/>
        </w:rPr>
        <w:t xml:space="preserve"> </w:t>
      </w:r>
      <w:r w:rsidRPr="0018402B">
        <w:rPr>
          <w:color w:val="000000"/>
        </w:rPr>
        <w:t>Private</w:t>
      </w:r>
      <w:r w:rsidR="00C64050">
        <w:rPr>
          <w:color w:val="000000"/>
        </w:rPr>
        <w:t xml:space="preserve"> </w:t>
      </w:r>
      <w:r w:rsidRPr="0018402B">
        <w:rPr>
          <w:color w:val="000000"/>
        </w:rPr>
        <w:t>Letter</w:t>
      </w:r>
      <w:r w:rsidR="00C64050">
        <w:rPr>
          <w:color w:val="000000"/>
        </w:rPr>
        <w:t xml:space="preserve"> </w:t>
      </w:r>
      <w:r w:rsidRPr="0018402B">
        <w:rPr>
          <w:color w:val="000000"/>
        </w:rPr>
        <w:t>Ruling</w:t>
      </w:r>
      <w:r w:rsidR="00C64050">
        <w:rPr>
          <w:color w:val="000000"/>
        </w:rPr>
        <w:t xml:space="preserve"> </w:t>
      </w:r>
      <w:r w:rsidRPr="0018402B">
        <w:rPr>
          <w:color w:val="000000"/>
        </w:rPr>
        <w:t>200208019,</w:t>
      </w:r>
      <w:r w:rsidR="00C64050">
        <w:rPr>
          <w:color w:val="000000"/>
        </w:rPr>
        <w:t xml:space="preserve"> </w:t>
      </w:r>
      <w:r w:rsidRPr="0018402B">
        <w:rPr>
          <w:color w:val="000000"/>
        </w:rPr>
        <w:t>in</w:t>
      </w:r>
      <w:r w:rsidR="00C64050">
        <w:rPr>
          <w:color w:val="000000"/>
        </w:rPr>
        <w:t xml:space="preserve"> </w:t>
      </w:r>
      <w:r w:rsidRPr="0018402B">
        <w:rPr>
          <w:color w:val="000000"/>
        </w:rPr>
        <w:t>which</w:t>
      </w:r>
      <w:r w:rsidR="00C64050">
        <w:rPr>
          <w:color w:val="000000"/>
        </w:rPr>
        <w:t xml:space="preserve"> </w:t>
      </w:r>
      <w:r w:rsidRPr="0018402B">
        <w:rPr>
          <w:color w:val="000000"/>
        </w:rPr>
        <w:t>the</w:t>
      </w:r>
      <w:r w:rsidR="00C64050">
        <w:rPr>
          <w:color w:val="000000"/>
        </w:rPr>
        <w:t xml:space="preserve"> </w:t>
      </w:r>
      <w:r w:rsidRPr="0018402B">
        <w:rPr>
          <w:color w:val="000000"/>
        </w:rPr>
        <w:t>IRS</w:t>
      </w:r>
      <w:r w:rsidR="00C64050">
        <w:rPr>
          <w:color w:val="000000"/>
        </w:rPr>
        <w:t xml:space="preserve"> </w:t>
      </w:r>
      <w:r w:rsidRPr="0018402B">
        <w:rPr>
          <w:color w:val="000000"/>
        </w:rPr>
        <w:t>considered</w:t>
      </w:r>
      <w:r w:rsidR="00C64050">
        <w:rPr>
          <w:color w:val="000000"/>
        </w:rPr>
        <w:t xml:space="preserve"> </w:t>
      </w:r>
      <w:r w:rsidRPr="0018402B">
        <w:rPr>
          <w:color w:val="000000"/>
        </w:rPr>
        <w:t>whether</w:t>
      </w:r>
      <w:r w:rsidR="00C64050">
        <w:rPr>
          <w:color w:val="000000"/>
        </w:rPr>
        <w:t xml:space="preserve"> </w:t>
      </w:r>
      <w:r w:rsidRPr="0018402B">
        <w:rPr>
          <w:color w:val="000000"/>
        </w:rPr>
        <w:t>the</w:t>
      </w:r>
      <w:r w:rsidR="00C64050">
        <w:rPr>
          <w:color w:val="000000"/>
        </w:rPr>
        <w:t xml:space="preserve"> </w:t>
      </w:r>
      <w:r w:rsidRPr="0018402B">
        <w:rPr>
          <w:color w:val="000000"/>
        </w:rPr>
        <w:t>members</w:t>
      </w:r>
      <w:r w:rsidR="00C64050">
        <w:rPr>
          <w:color w:val="000000"/>
        </w:rPr>
        <w:t xml:space="preserve"> </w:t>
      </w:r>
      <w:r w:rsidRPr="0018402B">
        <w:rPr>
          <w:color w:val="000000"/>
        </w:rPr>
        <w:t>of</w:t>
      </w:r>
      <w:r w:rsidR="00C64050">
        <w:rPr>
          <w:color w:val="000000"/>
        </w:rPr>
        <w:t xml:space="preserve"> </w:t>
      </w:r>
      <w:r w:rsidRPr="0018402B">
        <w:rPr>
          <w:color w:val="000000"/>
        </w:rPr>
        <w:t>a</w:t>
      </w:r>
      <w:r w:rsidR="00C64050">
        <w:rPr>
          <w:color w:val="000000"/>
        </w:rPr>
        <w:t xml:space="preserve"> </w:t>
      </w:r>
      <w:r w:rsidRPr="0018402B">
        <w:rPr>
          <w:color w:val="000000"/>
        </w:rPr>
        <w:t>partnership</w:t>
      </w:r>
      <w:r w:rsidR="00C64050">
        <w:rPr>
          <w:color w:val="000000"/>
        </w:rPr>
        <w:t xml:space="preserve"> </w:t>
      </w:r>
      <w:r w:rsidRPr="0018402B">
        <w:rPr>
          <w:color w:val="000000"/>
        </w:rPr>
        <w:t>were</w:t>
      </w:r>
      <w:r w:rsidR="00C64050">
        <w:rPr>
          <w:color w:val="000000"/>
        </w:rPr>
        <w:t xml:space="preserve"> </w:t>
      </w:r>
      <w:r w:rsidRPr="0018402B">
        <w:rPr>
          <w:color w:val="000000"/>
        </w:rPr>
        <w:t>entitled</w:t>
      </w:r>
      <w:r w:rsidR="00C64050">
        <w:rPr>
          <w:color w:val="000000"/>
        </w:rPr>
        <w:t xml:space="preserve"> </w:t>
      </w:r>
      <w:r w:rsidRPr="0018402B">
        <w:rPr>
          <w:color w:val="000000"/>
        </w:rPr>
        <w:t>to</w:t>
      </w:r>
      <w:r w:rsidR="00C64050">
        <w:rPr>
          <w:color w:val="000000"/>
        </w:rPr>
        <w:t xml:space="preserve"> </w:t>
      </w:r>
      <w:r w:rsidRPr="0018402B">
        <w:rPr>
          <w:color w:val="000000"/>
        </w:rPr>
        <w:t>a</w:t>
      </w:r>
      <w:r w:rsidR="00C64050">
        <w:rPr>
          <w:color w:val="000000"/>
        </w:rPr>
        <w:t xml:space="preserve"> </w:t>
      </w:r>
      <w:r w:rsidRPr="0018402B">
        <w:rPr>
          <w:color w:val="000000"/>
        </w:rPr>
        <w:t>charitable</w:t>
      </w:r>
      <w:r w:rsidR="00C64050">
        <w:rPr>
          <w:color w:val="000000"/>
        </w:rPr>
        <w:t xml:space="preserve"> </w:t>
      </w:r>
      <w:r w:rsidRPr="0018402B">
        <w:rPr>
          <w:color w:val="000000"/>
        </w:rPr>
        <w:t>deduction</w:t>
      </w:r>
      <w:r w:rsidR="00C64050">
        <w:rPr>
          <w:color w:val="000000"/>
        </w:rPr>
        <w:t xml:space="preserve"> </w:t>
      </w:r>
      <w:r w:rsidRPr="0018402B">
        <w:rPr>
          <w:color w:val="000000"/>
        </w:rPr>
        <w:t>on</w:t>
      </w:r>
      <w:r w:rsidR="00C64050">
        <w:rPr>
          <w:color w:val="000000"/>
        </w:rPr>
        <w:t xml:space="preserve"> </w:t>
      </w:r>
      <w:r w:rsidRPr="0018402B">
        <w:rPr>
          <w:color w:val="000000"/>
        </w:rPr>
        <w:t>account</w:t>
      </w:r>
      <w:r w:rsidR="00C64050">
        <w:rPr>
          <w:color w:val="000000"/>
        </w:rPr>
        <w:t xml:space="preserve"> </w:t>
      </w:r>
      <w:r w:rsidRPr="0018402B">
        <w:rPr>
          <w:color w:val="000000"/>
        </w:rPr>
        <w:t>of</w:t>
      </w:r>
      <w:r w:rsidR="00C64050">
        <w:rPr>
          <w:color w:val="000000"/>
        </w:rPr>
        <w:t xml:space="preserve"> </w:t>
      </w:r>
      <w:r w:rsidRPr="0018402B">
        <w:rPr>
          <w:color w:val="000000"/>
        </w:rPr>
        <w:t>the</w:t>
      </w:r>
      <w:r w:rsidR="00C64050">
        <w:rPr>
          <w:color w:val="000000"/>
        </w:rPr>
        <w:t xml:space="preserve"> </w:t>
      </w:r>
      <w:r w:rsidRPr="0018402B">
        <w:rPr>
          <w:color w:val="000000"/>
        </w:rPr>
        <w:t>partnership’s</w:t>
      </w:r>
      <w:r w:rsidR="00C64050">
        <w:rPr>
          <w:color w:val="000000"/>
        </w:rPr>
        <w:t xml:space="preserve"> </w:t>
      </w:r>
      <w:r w:rsidRPr="0018402B">
        <w:rPr>
          <w:color w:val="000000"/>
        </w:rPr>
        <w:t>grant</w:t>
      </w:r>
      <w:r w:rsidR="00C64050">
        <w:rPr>
          <w:color w:val="000000"/>
        </w:rPr>
        <w:t xml:space="preserve"> </w:t>
      </w:r>
      <w:r w:rsidRPr="0018402B">
        <w:rPr>
          <w:color w:val="000000"/>
        </w:rPr>
        <w:t>of</w:t>
      </w:r>
      <w:r w:rsidR="00C64050">
        <w:rPr>
          <w:color w:val="000000"/>
        </w:rPr>
        <w:t xml:space="preserve"> </w:t>
      </w:r>
      <w:r w:rsidRPr="0018402B">
        <w:rPr>
          <w:color w:val="000000"/>
        </w:rPr>
        <w:t>a</w:t>
      </w:r>
      <w:r w:rsidR="00C64050">
        <w:rPr>
          <w:color w:val="000000"/>
        </w:rPr>
        <w:t xml:space="preserve"> </w:t>
      </w:r>
      <w:r w:rsidRPr="0018402B">
        <w:rPr>
          <w:color w:val="000000"/>
        </w:rPr>
        <w:t>conservation</w:t>
      </w:r>
      <w:r w:rsidR="00C64050">
        <w:rPr>
          <w:color w:val="000000"/>
        </w:rPr>
        <w:t xml:space="preserve"> </w:t>
      </w:r>
      <w:r w:rsidRPr="0018402B">
        <w:rPr>
          <w:color w:val="000000"/>
        </w:rPr>
        <w:t>easement</w:t>
      </w:r>
      <w:r w:rsidR="00C64050">
        <w:rPr>
          <w:color w:val="000000"/>
        </w:rPr>
        <w:t xml:space="preserve"> </w:t>
      </w:r>
      <w:r w:rsidRPr="0018402B">
        <w:rPr>
          <w:color w:val="000000"/>
        </w:rPr>
        <w:t>to</w:t>
      </w:r>
      <w:r w:rsidR="00C64050">
        <w:rPr>
          <w:color w:val="000000"/>
        </w:rPr>
        <w:t xml:space="preserve"> </w:t>
      </w:r>
      <w:r w:rsidRPr="0018402B">
        <w:rPr>
          <w:color w:val="000000"/>
        </w:rPr>
        <w:t>a</w:t>
      </w:r>
      <w:r w:rsidR="00C64050">
        <w:rPr>
          <w:color w:val="000000"/>
        </w:rPr>
        <w:t xml:space="preserve"> </w:t>
      </w:r>
      <w:r w:rsidRPr="0018402B">
        <w:rPr>
          <w:color w:val="000000"/>
        </w:rPr>
        <w:t>charitable</w:t>
      </w:r>
      <w:r w:rsidR="00C64050">
        <w:rPr>
          <w:color w:val="000000"/>
        </w:rPr>
        <w:t xml:space="preserve"> </w:t>
      </w:r>
      <w:r w:rsidRPr="0018402B">
        <w:rPr>
          <w:color w:val="000000"/>
        </w:rPr>
        <w:t>organization.</w:t>
      </w:r>
      <w:r w:rsidR="00C64050">
        <w:rPr>
          <w:color w:val="000000"/>
        </w:rPr>
        <w:t xml:space="preserve">  </w:t>
      </w:r>
      <w:r w:rsidRPr="0018402B">
        <w:rPr>
          <w:color w:val="000000"/>
        </w:rPr>
        <w:t>The</w:t>
      </w:r>
      <w:r w:rsidR="00C64050">
        <w:rPr>
          <w:color w:val="000000"/>
        </w:rPr>
        <w:t xml:space="preserve"> </w:t>
      </w:r>
      <w:r w:rsidRPr="0018402B">
        <w:rPr>
          <w:color w:val="000000"/>
        </w:rPr>
        <w:t>IRS</w:t>
      </w:r>
      <w:r w:rsidR="00C64050">
        <w:rPr>
          <w:color w:val="000000"/>
        </w:rPr>
        <w:t xml:space="preserve"> </w:t>
      </w:r>
      <w:r w:rsidRPr="0018402B">
        <w:rPr>
          <w:color w:val="000000"/>
        </w:rPr>
        <w:t>concluded</w:t>
      </w:r>
      <w:r w:rsidR="00C64050">
        <w:rPr>
          <w:color w:val="000000"/>
        </w:rPr>
        <w:t xml:space="preserve"> </w:t>
      </w:r>
      <w:r w:rsidRPr="0018402B">
        <w:rPr>
          <w:color w:val="000000"/>
        </w:rPr>
        <w:t>that</w:t>
      </w:r>
      <w:r w:rsidR="00C64050">
        <w:rPr>
          <w:color w:val="000000"/>
        </w:rPr>
        <w:t xml:space="preserve"> </w:t>
      </w:r>
      <w:r w:rsidRPr="0018402B">
        <w:rPr>
          <w:color w:val="000000"/>
        </w:rPr>
        <w:t>each</w:t>
      </w:r>
      <w:r w:rsidR="00C64050">
        <w:rPr>
          <w:color w:val="000000"/>
        </w:rPr>
        <w:t xml:space="preserve"> </w:t>
      </w:r>
      <w:r w:rsidRPr="0018402B">
        <w:rPr>
          <w:color w:val="000000"/>
        </w:rPr>
        <w:t>partner</w:t>
      </w:r>
      <w:r w:rsidR="00C64050">
        <w:rPr>
          <w:color w:val="000000"/>
        </w:rPr>
        <w:t xml:space="preserve"> </w:t>
      </w:r>
      <w:r w:rsidRPr="0018402B">
        <w:rPr>
          <w:color w:val="000000"/>
        </w:rPr>
        <w:t>was</w:t>
      </w:r>
      <w:r w:rsidR="00C64050">
        <w:rPr>
          <w:color w:val="000000"/>
        </w:rPr>
        <w:t xml:space="preserve"> </w:t>
      </w:r>
      <w:r w:rsidRPr="0018402B">
        <w:rPr>
          <w:color w:val="000000"/>
        </w:rPr>
        <w:t>entitled</w:t>
      </w:r>
      <w:r w:rsidR="00C64050">
        <w:rPr>
          <w:color w:val="000000"/>
        </w:rPr>
        <w:t xml:space="preserve"> </w:t>
      </w:r>
      <w:r w:rsidRPr="0018402B">
        <w:rPr>
          <w:color w:val="000000"/>
        </w:rPr>
        <w:t>to</w:t>
      </w:r>
      <w:r w:rsidR="00C64050">
        <w:rPr>
          <w:color w:val="000000"/>
        </w:rPr>
        <w:t xml:space="preserve"> </w:t>
      </w:r>
      <w:r w:rsidRPr="0018402B">
        <w:rPr>
          <w:color w:val="000000"/>
        </w:rPr>
        <w:t>a</w:t>
      </w:r>
      <w:r w:rsidR="00C64050">
        <w:rPr>
          <w:color w:val="000000"/>
        </w:rPr>
        <w:t xml:space="preserve"> </w:t>
      </w:r>
      <w:r w:rsidRPr="0018402B">
        <w:rPr>
          <w:color w:val="000000"/>
        </w:rPr>
        <w:t>charitable</w:t>
      </w:r>
      <w:r w:rsidR="00C64050">
        <w:rPr>
          <w:color w:val="000000"/>
        </w:rPr>
        <w:t xml:space="preserve"> </w:t>
      </w:r>
      <w:r w:rsidRPr="0018402B">
        <w:rPr>
          <w:color w:val="000000"/>
        </w:rPr>
        <w:t>deduction</w:t>
      </w:r>
      <w:r w:rsidR="00C64050">
        <w:rPr>
          <w:color w:val="000000"/>
        </w:rPr>
        <w:t xml:space="preserve"> </w:t>
      </w:r>
      <w:r w:rsidRPr="0018402B">
        <w:rPr>
          <w:color w:val="000000"/>
        </w:rPr>
        <w:t>equal</w:t>
      </w:r>
      <w:r w:rsidR="00C64050">
        <w:rPr>
          <w:color w:val="000000"/>
        </w:rPr>
        <w:t xml:space="preserve"> </w:t>
      </w:r>
      <w:r w:rsidRPr="0018402B">
        <w:rPr>
          <w:color w:val="000000"/>
        </w:rPr>
        <w:t>to</w:t>
      </w:r>
      <w:r w:rsidR="00C64050">
        <w:rPr>
          <w:color w:val="000000"/>
        </w:rPr>
        <w:t xml:space="preserve"> </w:t>
      </w:r>
      <w:r w:rsidRPr="0018402B">
        <w:rPr>
          <w:color w:val="000000"/>
        </w:rPr>
        <w:t>each</w:t>
      </w:r>
      <w:r w:rsidR="00C64050">
        <w:rPr>
          <w:color w:val="000000"/>
        </w:rPr>
        <w:t xml:space="preserve"> </w:t>
      </w:r>
      <w:r w:rsidRPr="0018402B">
        <w:rPr>
          <w:color w:val="000000"/>
        </w:rPr>
        <w:t>partner’s</w:t>
      </w:r>
      <w:r w:rsidR="00C64050">
        <w:rPr>
          <w:color w:val="000000"/>
        </w:rPr>
        <w:t xml:space="preserve"> </w:t>
      </w:r>
      <w:r w:rsidRPr="0018402B">
        <w:rPr>
          <w:color w:val="000000"/>
        </w:rPr>
        <w:t>distributive</w:t>
      </w:r>
      <w:r w:rsidR="00C64050">
        <w:rPr>
          <w:color w:val="000000"/>
        </w:rPr>
        <w:t xml:space="preserve"> </w:t>
      </w:r>
      <w:r w:rsidRPr="0018402B">
        <w:rPr>
          <w:color w:val="000000"/>
        </w:rPr>
        <w:t>share</w:t>
      </w:r>
      <w:r w:rsidR="00C64050">
        <w:rPr>
          <w:color w:val="000000"/>
        </w:rPr>
        <w:t xml:space="preserve"> </w:t>
      </w:r>
      <w:r w:rsidRPr="0018402B">
        <w:rPr>
          <w:color w:val="000000"/>
        </w:rPr>
        <w:t>of</w:t>
      </w:r>
      <w:r w:rsidR="00C64050">
        <w:rPr>
          <w:color w:val="000000"/>
        </w:rPr>
        <w:t xml:space="preserve"> </w:t>
      </w:r>
      <w:r w:rsidRPr="0018402B">
        <w:rPr>
          <w:color w:val="000000"/>
        </w:rPr>
        <w:t>the</w:t>
      </w:r>
      <w:r w:rsidR="00C64050">
        <w:rPr>
          <w:color w:val="000000"/>
        </w:rPr>
        <w:t xml:space="preserve"> </w:t>
      </w:r>
      <w:r w:rsidRPr="0018402B">
        <w:rPr>
          <w:color w:val="000000"/>
        </w:rPr>
        <w:t>gift.</w:t>
      </w:r>
      <w:r w:rsidR="00C64050">
        <w:rPr>
          <w:color w:val="000000"/>
        </w:rPr>
        <w:t xml:space="preserve">  </w:t>
      </w:r>
      <w:r>
        <w:rPr>
          <w:color w:val="000000"/>
        </w:rPr>
        <w:t>A</w:t>
      </w:r>
      <w:r w:rsidR="00C64050">
        <w:rPr>
          <w:color w:val="000000"/>
        </w:rPr>
        <w:t xml:space="preserve"> </w:t>
      </w:r>
      <w:r>
        <w:rPr>
          <w:color w:val="000000"/>
        </w:rPr>
        <w:t>trust</w:t>
      </w:r>
      <w:r w:rsidR="00C64050">
        <w:rPr>
          <w:color w:val="000000"/>
        </w:rPr>
        <w:t xml:space="preserve"> </w:t>
      </w:r>
      <w:r>
        <w:rPr>
          <w:color w:val="000000"/>
        </w:rPr>
        <w:t>could</w:t>
      </w:r>
      <w:r w:rsidR="00C64050">
        <w:rPr>
          <w:color w:val="000000"/>
        </w:rPr>
        <w:t xml:space="preserve"> </w:t>
      </w:r>
      <w:r>
        <w:rPr>
          <w:color w:val="000000"/>
          <w:u w:val="single"/>
        </w:rPr>
        <w:t>not</w:t>
      </w:r>
      <w:r w:rsidR="00C64050">
        <w:rPr>
          <w:color w:val="000000"/>
        </w:rPr>
        <w:t xml:space="preserve"> </w:t>
      </w:r>
      <w:r>
        <w:rPr>
          <w:color w:val="000000"/>
        </w:rPr>
        <w:t>benefit</w:t>
      </w:r>
      <w:r w:rsidR="00C64050">
        <w:rPr>
          <w:color w:val="000000"/>
        </w:rPr>
        <w:t xml:space="preserve"> </w:t>
      </w:r>
      <w:r>
        <w:rPr>
          <w:color w:val="000000"/>
        </w:rPr>
        <w:t>from</w:t>
      </w:r>
      <w:r w:rsidR="00C64050">
        <w:rPr>
          <w:color w:val="000000"/>
        </w:rPr>
        <w:t xml:space="preserve"> </w:t>
      </w:r>
      <w:r>
        <w:rPr>
          <w:color w:val="000000"/>
        </w:rPr>
        <w:t>that</w:t>
      </w:r>
      <w:r w:rsidR="00C64050">
        <w:rPr>
          <w:color w:val="000000"/>
        </w:rPr>
        <w:t xml:space="preserve"> </w:t>
      </w:r>
      <w:r>
        <w:rPr>
          <w:color w:val="000000"/>
        </w:rPr>
        <w:t>deduction</w:t>
      </w:r>
      <w:r w:rsidR="00C64050">
        <w:rPr>
          <w:color w:val="000000"/>
        </w:rPr>
        <w:t xml:space="preserve"> </w:t>
      </w:r>
      <w:r>
        <w:rPr>
          <w:color w:val="000000"/>
        </w:rPr>
        <w:t>because</w:t>
      </w:r>
      <w:r w:rsidR="00C64050">
        <w:rPr>
          <w:color w:val="000000"/>
        </w:rPr>
        <w:t xml:space="preserve"> </w:t>
      </w:r>
      <w:r>
        <w:rPr>
          <w:color w:val="000000"/>
        </w:rPr>
        <w:t>§642(c)</w:t>
      </w:r>
      <w:r w:rsidR="00C64050">
        <w:rPr>
          <w:color w:val="000000"/>
        </w:rPr>
        <w:t xml:space="preserve"> </w:t>
      </w:r>
      <w:r>
        <w:rPr>
          <w:color w:val="000000"/>
        </w:rPr>
        <w:t>allows</w:t>
      </w:r>
      <w:r w:rsidR="00C64050">
        <w:rPr>
          <w:color w:val="000000"/>
        </w:rPr>
        <w:t xml:space="preserve"> </w:t>
      </w:r>
      <w:r>
        <w:rPr>
          <w:color w:val="000000"/>
        </w:rPr>
        <w:t>only</w:t>
      </w:r>
      <w:r w:rsidR="00C64050">
        <w:rPr>
          <w:color w:val="000000"/>
        </w:rPr>
        <w:t xml:space="preserve"> </w:t>
      </w:r>
      <w:r>
        <w:rPr>
          <w:color w:val="000000"/>
        </w:rPr>
        <w:t>deductions</w:t>
      </w:r>
      <w:r w:rsidR="00C64050">
        <w:rPr>
          <w:color w:val="000000"/>
        </w:rPr>
        <w:t xml:space="preserve"> </w:t>
      </w:r>
      <w:r>
        <w:rPr>
          <w:color w:val="000000"/>
        </w:rPr>
        <w:t>for</w:t>
      </w:r>
      <w:r w:rsidR="00C64050">
        <w:rPr>
          <w:color w:val="000000"/>
        </w:rPr>
        <w:t xml:space="preserve"> </w:t>
      </w:r>
      <w:r>
        <w:rPr>
          <w:color w:val="000000"/>
        </w:rPr>
        <w:t>income.</w:t>
      </w:r>
      <w:r w:rsidR="00C64050">
        <w:rPr>
          <w:color w:val="000000"/>
        </w:rPr>
        <w:t xml:space="preserve">  </w:t>
      </w:r>
    </w:p>
    <w:p w:rsidR="00E056AF" w:rsidRDefault="00791D73" w:rsidP="008D344C">
      <w:pPr>
        <w:pStyle w:val="Body15"/>
      </w:pPr>
      <w:r w:rsidRPr="0018402B">
        <w:rPr>
          <w:color w:val="000000"/>
        </w:rPr>
        <w:t>PLR</w:t>
      </w:r>
      <w:r w:rsidR="00C64050">
        <w:rPr>
          <w:color w:val="000000"/>
        </w:rPr>
        <w:t xml:space="preserve"> </w:t>
      </w:r>
      <w:r w:rsidRPr="0018402B">
        <w:rPr>
          <w:color w:val="000000"/>
        </w:rPr>
        <w:t>201225004</w:t>
      </w:r>
      <w:r w:rsidR="00C64050">
        <w:rPr>
          <w:color w:val="000000"/>
        </w:rPr>
        <w:t xml:space="preserve"> </w:t>
      </w:r>
      <w:r w:rsidRPr="0018402B">
        <w:rPr>
          <w:color w:val="000000"/>
        </w:rPr>
        <w:t>involved</w:t>
      </w:r>
      <w:r w:rsidR="00C64050">
        <w:rPr>
          <w:color w:val="000000"/>
        </w:rPr>
        <w:t xml:space="preserve"> </w:t>
      </w:r>
      <w:r w:rsidRPr="0018402B">
        <w:rPr>
          <w:color w:val="000000"/>
        </w:rPr>
        <w:t>a</w:t>
      </w:r>
      <w:r w:rsidR="00C64050">
        <w:rPr>
          <w:color w:val="000000"/>
        </w:rPr>
        <w:t xml:space="preserve"> </w:t>
      </w:r>
      <w:r w:rsidRPr="0018402B">
        <w:rPr>
          <w:color w:val="000000"/>
        </w:rPr>
        <w:t>trust</w:t>
      </w:r>
      <w:r w:rsidR="00C64050">
        <w:rPr>
          <w:color w:val="000000"/>
        </w:rPr>
        <w:t xml:space="preserve"> </w:t>
      </w:r>
      <w:r w:rsidRPr="0018402B">
        <w:rPr>
          <w:color w:val="000000"/>
        </w:rPr>
        <w:t>claiming</w:t>
      </w:r>
      <w:r w:rsidR="00C64050">
        <w:rPr>
          <w:color w:val="000000"/>
        </w:rPr>
        <w:t xml:space="preserve"> </w:t>
      </w:r>
      <w:r w:rsidRPr="0018402B">
        <w:rPr>
          <w:color w:val="000000"/>
        </w:rPr>
        <w:t>the</w:t>
      </w:r>
      <w:r w:rsidR="00C64050">
        <w:rPr>
          <w:color w:val="000000"/>
        </w:rPr>
        <w:t xml:space="preserve"> </w:t>
      </w:r>
      <w:r w:rsidRPr="0018402B">
        <w:rPr>
          <w:color w:val="000000"/>
        </w:rPr>
        <w:t>section</w:t>
      </w:r>
      <w:r w:rsidR="00C64050">
        <w:rPr>
          <w:color w:val="000000"/>
        </w:rPr>
        <w:t xml:space="preserve"> </w:t>
      </w:r>
      <w:r w:rsidRPr="0018402B">
        <w:rPr>
          <w:color w:val="000000"/>
        </w:rPr>
        <w:t>642(c)</w:t>
      </w:r>
      <w:r w:rsidR="00C64050">
        <w:rPr>
          <w:color w:val="000000"/>
        </w:rPr>
        <w:t xml:space="preserve"> </w:t>
      </w:r>
      <w:r w:rsidRPr="0018402B">
        <w:rPr>
          <w:color w:val="000000"/>
        </w:rPr>
        <w:t>deduction</w:t>
      </w:r>
      <w:r w:rsidR="00C64050">
        <w:rPr>
          <w:color w:val="000000"/>
        </w:rPr>
        <w:t xml:space="preserve"> </w:t>
      </w:r>
      <w:r w:rsidRPr="0018402B">
        <w:rPr>
          <w:color w:val="000000"/>
        </w:rPr>
        <w:t>for</w:t>
      </w:r>
      <w:r w:rsidR="00C64050">
        <w:rPr>
          <w:color w:val="000000"/>
        </w:rPr>
        <w:t xml:space="preserve"> </w:t>
      </w:r>
      <w:r w:rsidRPr="0018402B">
        <w:rPr>
          <w:color w:val="000000"/>
        </w:rPr>
        <w:t>income</w:t>
      </w:r>
      <w:r w:rsidR="00C64050">
        <w:rPr>
          <w:color w:val="000000"/>
        </w:rPr>
        <w:t xml:space="preserve"> </w:t>
      </w:r>
      <w:r w:rsidRPr="0018402B">
        <w:rPr>
          <w:color w:val="000000"/>
        </w:rPr>
        <w:t>distributed</w:t>
      </w:r>
      <w:r w:rsidR="00C64050">
        <w:rPr>
          <w:color w:val="000000"/>
        </w:rPr>
        <w:t xml:space="preserve"> </w:t>
      </w:r>
      <w:r w:rsidRPr="0018402B">
        <w:rPr>
          <w:color w:val="000000"/>
        </w:rPr>
        <w:t>to</w:t>
      </w:r>
      <w:r w:rsidR="00C64050">
        <w:rPr>
          <w:color w:val="000000"/>
        </w:rPr>
        <w:t xml:space="preserve"> </w:t>
      </w:r>
      <w:r w:rsidRPr="0018402B">
        <w:rPr>
          <w:color w:val="000000"/>
        </w:rPr>
        <w:t>charity</w:t>
      </w:r>
      <w:r w:rsidR="00C64050">
        <w:rPr>
          <w:color w:val="000000"/>
        </w:rPr>
        <w:t xml:space="preserve"> </w:t>
      </w:r>
      <w:r w:rsidRPr="0018402B">
        <w:rPr>
          <w:color w:val="000000"/>
        </w:rPr>
        <w:t>and</w:t>
      </w:r>
      <w:r w:rsidR="00C64050">
        <w:rPr>
          <w:color w:val="000000"/>
        </w:rPr>
        <w:t xml:space="preserve"> </w:t>
      </w:r>
      <w:r w:rsidRPr="0018402B">
        <w:rPr>
          <w:color w:val="000000"/>
        </w:rPr>
        <w:t>the</w:t>
      </w:r>
      <w:r w:rsidR="00C64050">
        <w:rPr>
          <w:color w:val="000000"/>
        </w:rPr>
        <w:t xml:space="preserve"> </w:t>
      </w:r>
      <w:r w:rsidRPr="0018402B">
        <w:rPr>
          <w:color w:val="000000"/>
        </w:rPr>
        <w:t>requirement</w:t>
      </w:r>
      <w:r w:rsidR="00C64050">
        <w:rPr>
          <w:color w:val="000000"/>
        </w:rPr>
        <w:t xml:space="preserve"> </w:t>
      </w:r>
      <w:r w:rsidRPr="0018402B">
        <w:rPr>
          <w:color w:val="000000"/>
        </w:rPr>
        <w:t>that</w:t>
      </w:r>
      <w:r w:rsidR="00C64050">
        <w:rPr>
          <w:color w:val="000000"/>
        </w:rPr>
        <w:t xml:space="preserve"> </w:t>
      </w:r>
      <w:r w:rsidRPr="0018402B">
        <w:rPr>
          <w:color w:val="000000"/>
        </w:rPr>
        <w:t>the</w:t>
      </w:r>
      <w:r w:rsidR="00C64050">
        <w:rPr>
          <w:color w:val="000000"/>
        </w:rPr>
        <w:t xml:space="preserve"> </w:t>
      </w:r>
      <w:r w:rsidRPr="0018402B">
        <w:rPr>
          <w:color w:val="000000"/>
        </w:rPr>
        <w:t>income</w:t>
      </w:r>
      <w:r w:rsidR="00C64050">
        <w:rPr>
          <w:color w:val="000000"/>
        </w:rPr>
        <w:t xml:space="preserve"> </w:t>
      </w:r>
      <w:r w:rsidRPr="0018402B">
        <w:rPr>
          <w:color w:val="000000"/>
        </w:rPr>
        <w:t>be</w:t>
      </w:r>
      <w:r w:rsidR="00C64050">
        <w:rPr>
          <w:color w:val="000000"/>
        </w:rPr>
        <w:t xml:space="preserve"> </w:t>
      </w:r>
      <w:r w:rsidRPr="0018402B">
        <w:rPr>
          <w:color w:val="000000"/>
        </w:rPr>
        <w:t>distributed</w:t>
      </w:r>
      <w:r w:rsidR="00C64050">
        <w:rPr>
          <w:color w:val="000000"/>
        </w:rPr>
        <w:t xml:space="preserve"> </w:t>
      </w:r>
      <w:r w:rsidRPr="0018402B">
        <w:rPr>
          <w:color w:val="000000"/>
        </w:rPr>
        <w:t>“pursuant</w:t>
      </w:r>
      <w:r w:rsidR="00C64050">
        <w:rPr>
          <w:color w:val="000000"/>
        </w:rPr>
        <w:t xml:space="preserve"> </w:t>
      </w:r>
      <w:r w:rsidRPr="0018402B">
        <w:rPr>
          <w:color w:val="000000"/>
        </w:rPr>
        <w:t>to</w:t>
      </w:r>
      <w:r w:rsidR="00C64050">
        <w:rPr>
          <w:color w:val="000000"/>
        </w:rPr>
        <w:t xml:space="preserve"> </w:t>
      </w:r>
      <w:r w:rsidRPr="0018402B">
        <w:rPr>
          <w:color w:val="000000"/>
        </w:rPr>
        <w:t>the</w:t>
      </w:r>
      <w:r w:rsidR="00C64050">
        <w:rPr>
          <w:color w:val="000000"/>
        </w:rPr>
        <w:t xml:space="preserve"> </w:t>
      </w:r>
      <w:r w:rsidRPr="0018402B">
        <w:rPr>
          <w:color w:val="000000"/>
        </w:rPr>
        <w:t>terms</w:t>
      </w:r>
      <w:r w:rsidR="00C64050">
        <w:rPr>
          <w:color w:val="000000"/>
        </w:rPr>
        <w:t xml:space="preserve"> </w:t>
      </w:r>
      <w:r w:rsidRPr="0018402B">
        <w:rPr>
          <w:color w:val="000000"/>
        </w:rPr>
        <w:t>of</w:t>
      </w:r>
      <w:r w:rsidR="00C64050">
        <w:rPr>
          <w:color w:val="000000"/>
        </w:rPr>
        <w:t xml:space="preserve"> </w:t>
      </w:r>
      <w:r w:rsidRPr="0018402B">
        <w:rPr>
          <w:color w:val="000000"/>
        </w:rPr>
        <w:t>the</w:t>
      </w:r>
      <w:r w:rsidR="00C64050">
        <w:rPr>
          <w:color w:val="000000"/>
        </w:rPr>
        <w:t xml:space="preserve"> </w:t>
      </w:r>
      <w:r w:rsidRPr="0018402B">
        <w:rPr>
          <w:color w:val="000000"/>
        </w:rPr>
        <w:t>governing</w:t>
      </w:r>
      <w:r w:rsidR="00C64050">
        <w:rPr>
          <w:color w:val="000000"/>
        </w:rPr>
        <w:t xml:space="preserve"> </w:t>
      </w:r>
      <w:r w:rsidRPr="0018402B">
        <w:rPr>
          <w:color w:val="000000"/>
        </w:rPr>
        <w:t>instrument.”</w:t>
      </w:r>
      <w:r w:rsidR="00C64050">
        <w:rPr>
          <w:color w:val="000000"/>
        </w:rPr>
        <w:t xml:space="preserve">  </w:t>
      </w:r>
      <w:r w:rsidRPr="0018402B">
        <w:rPr>
          <w:color w:val="000000"/>
        </w:rPr>
        <w:t>Here,</w:t>
      </w:r>
      <w:r w:rsidR="00C64050">
        <w:rPr>
          <w:color w:val="000000"/>
        </w:rPr>
        <w:t xml:space="preserve"> </w:t>
      </w:r>
      <w:r w:rsidRPr="0018402B">
        <w:rPr>
          <w:color w:val="000000"/>
        </w:rPr>
        <w:t>the</w:t>
      </w:r>
      <w:r w:rsidR="00C64050">
        <w:rPr>
          <w:color w:val="000000"/>
        </w:rPr>
        <w:t xml:space="preserve"> </w:t>
      </w:r>
      <w:r w:rsidRPr="0018402B">
        <w:rPr>
          <w:color w:val="000000"/>
        </w:rPr>
        <w:t>distribution</w:t>
      </w:r>
      <w:r w:rsidR="00C64050">
        <w:rPr>
          <w:color w:val="000000"/>
        </w:rPr>
        <w:t xml:space="preserve"> </w:t>
      </w:r>
      <w:r w:rsidRPr="0018402B">
        <w:rPr>
          <w:color w:val="000000"/>
        </w:rPr>
        <w:t>was</w:t>
      </w:r>
      <w:r w:rsidR="00C64050">
        <w:rPr>
          <w:color w:val="000000"/>
        </w:rPr>
        <w:t xml:space="preserve"> </w:t>
      </w:r>
      <w:r w:rsidRPr="0018402B">
        <w:rPr>
          <w:color w:val="000000"/>
        </w:rPr>
        <w:t>directed</w:t>
      </w:r>
      <w:r w:rsidR="00C64050">
        <w:rPr>
          <w:color w:val="000000"/>
        </w:rPr>
        <w:t xml:space="preserve"> </w:t>
      </w:r>
      <w:r w:rsidRPr="0018402B">
        <w:rPr>
          <w:color w:val="000000"/>
        </w:rPr>
        <w:t>by</w:t>
      </w:r>
      <w:r w:rsidR="00C64050">
        <w:rPr>
          <w:color w:val="000000"/>
        </w:rPr>
        <w:t xml:space="preserve"> </w:t>
      </w:r>
      <w:r w:rsidRPr="0018402B">
        <w:rPr>
          <w:color w:val="000000"/>
        </w:rPr>
        <w:t>a</w:t>
      </w:r>
      <w:r w:rsidR="00C64050">
        <w:rPr>
          <w:color w:val="000000"/>
        </w:rPr>
        <w:t xml:space="preserve"> </w:t>
      </w:r>
      <w:r w:rsidRPr="0018402B">
        <w:rPr>
          <w:color w:val="000000"/>
        </w:rPr>
        <w:t>beneficiary’s</w:t>
      </w:r>
      <w:r w:rsidR="00C64050">
        <w:rPr>
          <w:color w:val="000000"/>
        </w:rPr>
        <w:t xml:space="preserve"> </w:t>
      </w:r>
      <w:r w:rsidRPr="0018402B">
        <w:rPr>
          <w:color w:val="000000"/>
        </w:rPr>
        <w:t>exercise</w:t>
      </w:r>
      <w:r w:rsidR="00C64050">
        <w:rPr>
          <w:color w:val="000000"/>
        </w:rPr>
        <w:t xml:space="preserve"> </w:t>
      </w:r>
      <w:r w:rsidRPr="0018402B">
        <w:rPr>
          <w:color w:val="000000"/>
        </w:rPr>
        <w:t>of</w:t>
      </w:r>
      <w:r w:rsidR="00C64050">
        <w:rPr>
          <w:color w:val="000000"/>
        </w:rPr>
        <w:t xml:space="preserve"> </w:t>
      </w:r>
      <w:r w:rsidRPr="0018402B">
        <w:rPr>
          <w:color w:val="000000"/>
        </w:rPr>
        <w:t>a</w:t>
      </w:r>
      <w:r w:rsidR="00C64050">
        <w:rPr>
          <w:color w:val="000000"/>
        </w:rPr>
        <w:t xml:space="preserve"> </w:t>
      </w:r>
      <w:r w:rsidRPr="0018402B">
        <w:rPr>
          <w:color w:val="000000"/>
        </w:rPr>
        <w:t>lifetime</w:t>
      </w:r>
      <w:r w:rsidR="00C64050">
        <w:rPr>
          <w:color w:val="000000"/>
        </w:rPr>
        <w:t xml:space="preserve"> </w:t>
      </w:r>
      <w:r w:rsidRPr="0018402B">
        <w:rPr>
          <w:color w:val="000000"/>
        </w:rPr>
        <w:t>special</w:t>
      </w:r>
      <w:r w:rsidR="00C64050">
        <w:rPr>
          <w:color w:val="000000"/>
        </w:rPr>
        <w:t xml:space="preserve"> </w:t>
      </w:r>
      <w:r w:rsidRPr="0018402B">
        <w:rPr>
          <w:color w:val="000000"/>
        </w:rPr>
        <w:t>power</w:t>
      </w:r>
      <w:r w:rsidR="00C64050">
        <w:rPr>
          <w:color w:val="000000"/>
        </w:rPr>
        <w:t xml:space="preserve"> </w:t>
      </w:r>
      <w:r w:rsidRPr="0018402B">
        <w:rPr>
          <w:color w:val="000000"/>
        </w:rPr>
        <w:t>of</w:t>
      </w:r>
      <w:r w:rsidR="00C64050">
        <w:rPr>
          <w:color w:val="000000"/>
        </w:rPr>
        <w:t xml:space="preserve"> </w:t>
      </w:r>
      <w:r w:rsidRPr="0018402B">
        <w:rPr>
          <w:color w:val="000000"/>
        </w:rPr>
        <w:t>appointment</w:t>
      </w:r>
      <w:r w:rsidR="00C64050">
        <w:rPr>
          <w:color w:val="000000"/>
        </w:rPr>
        <w:t xml:space="preserve"> </w:t>
      </w:r>
      <w:r w:rsidRPr="0018402B">
        <w:rPr>
          <w:color w:val="000000"/>
        </w:rPr>
        <w:t>and</w:t>
      </w:r>
      <w:r w:rsidR="00C64050">
        <w:rPr>
          <w:color w:val="000000"/>
        </w:rPr>
        <w:t xml:space="preserve"> </w:t>
      </w:r>
      <w:r w:rsidRPr="0018402B">
        <w:rPr>
          <w:color w:val="000000"/>
        </w:rPr>
        <w:t>the</w:t>
      </w:r>
      <w:r w:rsidR="00C64050">
        <w:rPr>
          <w:color w:val="000000"/>
        </w:rPr>
        <w:t xml:space="preserve"> </w:t>
      </w:r>
      <w:r w:rsidRPr="0018402B">
        <w:rPr>
          <w:color w:val="000000"/>
        </w:rPr>
        <w:t>IRS</w:t>
      </w:r>
      <w:r w:rsidR="00C64050">
        <w:rPr>
          <w:color w:val="000000"/>
        </w:rPr>
        <w:t xml:space="preserve"> </w:t>
      </w:r>
      <w:r w:rsidRPr="0018402B">
        <w:rPr>
          <w:color w:val="000000"/>
        </w:rPr>
        <w:t>determined</w:t>
      </w:r>
      <w:r w:rsidR="00C64050">
        <w:rPr>
          <w:color w:val="000000"/>
        </w:rPr>
        <w:t xml:space="preserve"> </w:t>
      </w:r>
      <w:r w:rsidRPr="0018402B">
        <w:rPr>
          <w:color w:val="000000"/>
        </w:rPr>
        <w:t>that</w:t>
      </w:r>
      <w:r w:rsidR="00C64050">
        <w:rPr>
          <w:color w:val="000000"/>
        </w:rPr>
        <w:t xml:space="preserve"> </w:t>
      </w:r>
      <w:r w:rsidRPr="0018402B">
        <w:rPr>
          <w:color w:val="000000"/>
        </w:rPr>
        <w:t>satisfied</w:t>
      </w:r>
      <w:r w:rsidR="00C64050">
        <w:rPr>
          <w:color w:val="000000"/>
        </w:rPr>
        <w:t xml:space="preserve"> </w:t>
      </w:r>
      <w:r w:rsidRPr="0018402B">
        <w:rPr>
          <w:color w:val="000000"/>
        </w:rPr>
        <w:t>the</w:t>
      </w:r>
      <w:r w:rsidR="00C64050">
        <w:rPr>
          <w:color w:val="000000"/>
        </w:rPr>
        <w:t xml:space="preserve"> </w:t>
      </w:r>
      <w:r w:rsidRPr="0018402B">
        <w:rPr>
          <w:color w:val="000000"/>
        </w:rPr>
        <w:t>“pursuant</w:t>
      </w:r>
      <w:r w:rsidR="00C64050">
        <w:rPr>
          <w:color w:val="000000"/>
        </w:rPr>
        <w:t xml:space="preserve"> </w:t>
      </w:r>
      <w:r w:rsidRPr="0018402B">
        <w:rPr>
          <w:color w:val="000000"/>
        </w:rPr>
        <w:t>to”</w:t>
      </w:r>
      <w:r w:rsidR="00C64050">
        <w:rPr>
          <w:color w:val="000000"/>
        </w:rPr>
        <w:t xml:space="preserve"> </w:t>
      </w:r>
      <w:r w:rsidRPr="0018402B">
        <w:rPr>
          <w:color w:val="000000"/>
        </w:rPr>
        <w:t>requirement</w:t>
      </w:r>
      <w:r w:rsidR="00C64050">
        <w:rPr>
          <w:color w:val="000000"/>
        </w:rPr>
        <w:t xml:space="preserve"> </w:t>
      </w:r>
      <w:r w:rsidRPr="0018402B">
        <w:rPr>
          <w:color w:val="000000"/>
        </w:rPr>
        <w:t>even</w:t>
      </w:r>
      <w:r w:rsidR="00C64050">
        <w:rPr>
          <w:color w:val="000000"/>
        </w:rPr>
        <w:t xml:space="preserve"> </w:t>
      </w:r>
      <w:r w:rsidRPr="0018402B">
        <w:rPr>
          <w:color w:val="000000"/>
        </w:rPr>
        <w:t>though</w:t>
      </w:r>
      <w:r w:rsidR="00C64050">
        <w:rPr>
          <w:color w:val="000000"/>
        </w:rPr>
        <w:t xml:space="preserve"> </w:t>
      </w:r>
      <w:r w:rsidRPr="0018402B">
        <w:rPr>
          <w:color w:val="000000"/>
        </w:rPr>
        <w:t>the</w:t>
      </w:r>
      <w:r w:rsidR="00C64050">
        <w:rPr>
          <w:color w:val="000000"/>
        </w:rPr>
        <w:t xml:space="preserve"> </w:t>
      </w:r>
      <w:r w:rsidRPr="0018402B">
        <w:rPr>
          <w:color w:val="000000"/>
        </w:rPr>
        <w:t>governing</w:t>
      </w:r>
      <w:r w:rsidR="00C64050">
        <w:rPr>
          <w:color w:val="000000"/>
        </w:rPr>
        <w:t xml:space="preserve"> </w:t>
      </w:r>
      <w:r w:rsidRPr="0018402B">
        <w:rPr>
          <w:color w:val="000000"/>
        </w:rPr>
        <w:t>instrument</w:t>
      </w:r>
      <w:r w:rsidR="00C64050">
        <w:rPr>
          <w:color w:val="000000"/>
        </w:rPr>
        <w:t xml:space="preserve"> </w:t>
      </w:r>
      <w:r w:rsidRPr="0018402B">
        <w:rPr>
          <w:color w:val="000000"/>
        </w:rPr>
        <w:t>did</w:t>
      </w:r>
      <w:r w:rsidR="00C64050">
        <w:rPr>
          <w:color w:val="000000"/>
        </w:rPr>
        <w:t xml:space="preserve"> </w:t>
      </w:r>
      <w:r w:rsidRPr="0018402B">
        <w:rPr>
          <w:color w:val="000000"/>
        </w:rPr>
        <w:t>not</w:t>
      </w:r>
      <w:r w:rsidR="00C64050">
        <w:rPr>
          <w:color w:val="000000"/>
        </w:rPr>
        <w:t xml:space="preserve"> </w:t>
      </w:r>
      <w:r w:rsidRPr="0018402B">
        <w:rPr>
          <w:color w:val="000000"/>
        </w:rPr>
        <w:t>specify</w:t>
      </w:r>
      <w:r w:rsidR="00C64050">
        <w:rPr>
          <w:color w:val="000000"/>
        </w:rPr>
        <w:t xml:space="preserve"> </w:t>
      </w:r>
      <w:r w:rsidRPr="0018402B">
        <w:rPr>
          <w:color w:val="000000"/>
        </w:rPr>
        <w:t>a</w:t>
      </w:r>
      <w:r w:rsidR="00C64050">
        <w:rPr>
          <w:color w:val="000000"/>
        </w:rPr>
        <w:t xml:space="preserve"> </w:t>
      </w:r>
      <w:r w:rsidRPr="0018402B">
        <w:rPr>
          <w:color w:val="000000"/>
        </w:rPr>
        <w:t>charitable</w:t>
      </w:r>
      <w:r w:rsidR="00C64050">
        <w:rPr>
          <w:color w:val="000000"/>
        </w:rPr>
        <w:t xml:space="preserve"> </w:t>
      </w:r>
      <w:r w:rsidRPr="0018402B">
        <w:rPr>
          <w:color w:val="000000"/>
        </w:rPr>
        <w:t>bequest.</w:t>
      </w:r>
      <w:r w:rsidR="00C64050">
        <w:rPr>
          <w:color w:val="000000"/>
        </w:rPr>
        <w:t xml:space="preserve">  </w:t>
      </w:r>
      <w:r w:rsidRPr="0018402B">
        <w:rPr>
          <w:color w:val="000000"/>
        </w:rPr>
        <w:t>It</w:t>
      </w:r>
      <w:r w:rsidR="00C64050">
        <w:rPr>
          <w:color w:val="000000"/>
        </w:rPr>
        <w:t xml:space="preserve"> </w:t>
      </w:r>
      <w:r w:rsidRPr="0018402B">
        <w:rPr>
          <w:color w:val="000000"/>
        </w:rPr>
        <w:t>only</w:t>
      </w:r>
      <w:r w:rsidR="00C64050">
        <w:rPr>
          <w:color w:val="000000"/>
        </w:rPr>
        <w:t xml:space="preserve"> </w:t>
      </w:r>
      <w:r w:rsidRPr="0018402B">
        <w:rPr>
          <w:color w:val="000000"/>
        </w:rPr>
        <w:t>authorized</w:t>
      </w:r>
      <w:r w:rsidR="00C64050">
        <w:rPr>
          <w:color w:val="000000"/>
        </w:rPr>
        <w:t xml:space="preserve"> </w:t>
      </w:r>
      <w:r w:rsidRPr="0018402B">
        <w:rPr>
          <w:color w:val="000000"/>
        </w:rPr>
        <w:t>exercise</w:t>
      </w:r>
      <w:r w:rsidR="00C64050">
        <w:rPr>
          <w:color w:val="000000"/>
        </w:rPr>
        <w:t xml:space="preserve"> </w:t>
      </w:r>
      <w:r w:rsidRPr="0018402B">
        <w:rPr>
          <w:color w:val="000000"/>
        </w:rPr>
        <w:t>of</w:t>
      </w:r>
      <w:r w:rsidR="00C64050">
        <w:rPr>
          <w:color w:val="000000"/>
        </w:rPr>
        <w:t xml:space="preserve"> </w:t>
      </w:r>
      <w:r w:rsidRPr="0018402B">
        <w:rPr>
          <w:color w:val="000000"/>
        </w:rPr>
        <w:t>the</w:t>
      </w:r>
      <w:r w:rsidR="00C64050">
        <w:rPr>
          <w:color w:val="000000"/>
        </w:rPr>
        <w:t xml:space="preserve"> </w:t>
      </w:r>
      <w:r w:rsidRPr="0018402B">
        <w:rPr>
          <w:color w:val="000000"/>
        </w:rPr>
        <w:t>power</w:t>
      </w:r>
      <w:r w:rsidR="00C64050">
        <w:rPr>
          <w:color w:val="000000"/>
        </w:rPr>
        <w:t xml:space="preserve"> </w:t>
      </w:r>
      <w:r w:rsidRPr="0018402B">
        <w:rPr>
          <w:color w:val="000000"/>
        </w:rPr>
        <w:t>in</w:t>
      </w:r>
      <w:r w:rsidR="00C64050">
        <w:rPr>
          <w:color w:val="000000"/>
        </w:rPr>
        <w:t xml:space="preserve"> </w:t>
      </w:r>
      <w:r w:rsidRPr="0018402B">
        <w:rPr>
          <w:color w:val="000000"/>
        </w:rPr>
        <w:t>favor</w:t>
      </w:r>
      <w:r w:rsidR="00C64050">
        <w:rPr>
          <w:color w:val="000000"/>
        </w:rPr>
        <w:t xml:space="preserve"> </w:t>
      </w:r>
      <w:r w:rsidRPr="0018402B">
        <w:rPr>
          <w:color w:val="000000"/>
        </w:rPr>
        <w:t>of</w:t>
      </w:r>
      <w:r w:rsidR="00C64050">
        <w:rPr>
          <w:color w:val="000000"/>
        </w:rPr>
        <w:t xml:space="preserve"> </w:t>
      </w:r>
      <w:r w:rsidRPr="0018402B">
        <w:rPr>
          <w:color w:val="000000"/>
        </w:rPr>
        <w:t>charity.</w:t>
      </w:r>
      <w:r w:rsidR="00C64050">
        <w:rPr>
          <w:color w:val="000000"/>
        </w:rPr>
        <w:t xml:space="preserve">  </w:t>
      </w:r>
      <w:r w:rsidR="00E056AF">
        <w:t>In</w:t>
      </w:r>
      <w:r w:rsidR="00C64050">
        <w:t xml:space="preserve"> </w:t>
      </w:r>
      <w:r w:rsidR="00E056AF">
        <w:t>PLR</w:t>
      </w:r>
      <w:r w:rsidR="00C64050">
        <w:t xml:space="preserve"> </w:t>
      </w:r>
      <w:r w:rsidR="00E056AF">
        <w:t>9821029,</w:t>
      </w:r>
      <w:r w:rsidR="00C64050">
        <w:t xml:space="preserve"> </w:t>
      </w:r>
      <w:r w:rsidR="00E056AF">
        <w:t>an</w:t>
      </w:r>
      <w:r w:rsidR="00C64050">
        <w:t xml:space="preserve"> </w:t>
      </w:r>
      <w:r w:rsidR="00E056AF">
        <w:t>individual</w:t>
      </w:r>
      <w:r w:rsidR="00C64050">
        <w:t xml:space="preserve"> </w:t>
      </w:r>
      <w:r w:rsidR="00E056AF">
        <w:t>exercised</w:t>
      </w:r>
      <w:r w:rsidR="00C64050">
        <w:t xml:space="preserve"> </w:t>
      </w:r>
      <w:r w:rsidR="00E056AF">
        <w:t>a</w:t>
      </w:r>
      <w:r w:rsidR="00C64050">
        <w:t xml:space="preserve"> </w:t>
      </w:r>
      <w:r w:rsidR="00E056AF">
        <w:t>lifetime</w:t>
      </w:r>
      <w:r w:rsidR="00C64050">
        <w:t xml:space="preserve"> </w:t>
      </w:r>
      <w:r w:rsidR="00E056AF">
        <w:t>nongeneral</w:t>
      </w:r>
      <w:r w:rsidR="00C64050">
        <w:t xml:space="preserve"> </w:t>
      </w:r>
      <w:r w:rsidR="00E056AF">
        <w:t>power</w:t>
      </w:r>
      <w:r w:rsidR="00C64050">
        <w:t xml:space="preserve"> </w:t>
      </w:r>
      <w:r w:rsidR="00E056AF">
        <w:t>of</w:t>
      </w:r>
      <w:r w:rsidR="00C64050">
        <w:t xml:space="preserve"> </w:t>
      </w:r>
      <w:r w:rsidR="00E056AF">
        <w:t>appointment</w:t>
      </w:r>
      <w:r w:rsidR="00C64050">
        <w:t xml:space="preserve"> </w:t>
      </w:r>
      <w:r w:rsidR="00E056AF">
        <w:t>over</w:t>
      </w:r>
      <w:r w:rsidR="00C64050">
        <w:t xml:space="preserve"> </w:t>
      </w:r>
      <w:r w:rsidR="00E056AF">
        <w:t>a</w:t>
      </w:r>
      <w:r w:rsidR="00C64050">
        <w:t xml:space="preserve"> </w:t>
      </w:r>
      <w:r w:rsidR="00E056AF">
        <w:t>trust</w:t>
      </w:r>
      <w:r w:rsidR="00C64050">
        <w:t xml:space="preserve"> </w:t>
      </w:r>
      <w:r w:rsidR="00E056AF">
        <w:t>to</w:t>
      </w:r>
      <w:r w:rsidR="00C64050">
        <w:t xml:space="preserve"> </w:t>
      </w:r>
      <w:r w:rsidR="00E056AF">
        <w:t>create</w:t>
      </w:r>
      <w:r w:rsidR="00C64050">
        <w:t xml:space="preserve"> </w:t>
      </w:r>
      <w:r w:rsidR="00E056AF">
        <w:t>a</w:t>
      </w:r>
      <w:r w:rsidR="00C64050">
        <w:t xml:space="preserve"> </w:t>
      </w:r>
      <w:r w:rsidR="00E056AF">
        <w:t>charitable</w:t>
      </w:r>
      <w:r w:rsidR="00C64050">
        <w:t xml:space="preserve"> </w:t>
      </w:r>
      <w:r w:rsidR="00E056AF">
        <w:t>remainder</w:t>
      </w:r>
      <w:r w:rsidR="00C64050">
        <w:t xml:space="preserve"> </w:t>
      </w:r>
      <w:r w:rsidR="00E056AF">
        <w:t>trust</w:t>
      </w:r>
      <w:r w:rsidR="00C64050">
        <w:t xml:space="preserve"> </w:t>
      </w:r>
      <w:r w:rsidR="00E056AF">
        <w:t>for</w:t>
      </w:r>
      <w:r w:rsidR="00C64050">
        <w:t xml:space="preserve"> </w:t>
      </w:r>
      <w:r w:rsidR="00E056AF">
        <w:t>a</w:t>
      </w:r>
      <w:r w:rsidR="00C64050">
        <w:t xml:space="preserve"> </w:t>
      </w:r>
      <w:r w:rsidR="00E056AF">
        <w:t>term</w:t>
      </w:r>
      <w:r w:rsidR="00C64050">
        <w:t xml:space="preserve"> </w:t>
      </w:r>
      <w:r w:rsidR="00E056AF">
        <w:t>of</w:t>
      </w:r>
      <w:r w:rsidR="00C64050">
        <w:t xml:space="preserve"> </w:t>
      </w:r>
      <w:r w:rsidR="00E056AF">
        <w:t>years</w:t>
      </w:r>
      <w:r w:rsidR="00C64050">
        <w:t xml:space="preserve"> </w:t>
      </w:r>
      <w:r w:rsidR="00E056AF">
        <w:t>with</w:t>
      </w:r>
      <w:r w:rsidR="00C64050">
        <w:t xml:space="preserve"> </w:t>
      </w:r>
      <w:r w:rsidR="00E056AF">
        <w:t>the</w:t>
      </w:r>
      <w:r w:rsidR="00C64050">
        <w:t xml:space="preserve"> </w:t>
      </w:r>
      <w:r w:rsidR="00E056AF">
        <w:t>trust</w:t>
      </w:r>
      <w:r w:rsidR="00C64050">
        <w:t xml:space="preserve"> </w:t>
      </w:r>
      <w:r w:rsidR="00E056AF">
        <w:t>as</w:t>
      </w:r>
      <w:r w:rsidR="00C64050">
        <w:t xml:space="preserve"> </w:t>
      </w:r>
      <w:r w:rsidR="00E056AF">
        <w:t>the</w:t>
      </w:r>
      <w:r w:rsidR="00C64050">
        <w:t xml:space="preserve"> </w:t>
      </w:r>
      <w:r w:rsidR="00E056AF">
        <w:t>unitrust</w:t>
      </w:r>
      <w:r w:rsidR="00C64050">
        <w:t xml:space="preserve"> </w:t>
      </w:r>
      <w:r w:rsidR="00E056AF">
        <w:t>beneficiary.</w:t>
      </w:r>
      <w:r w:rsidR="00C64050">
        <w:t xml:space="preserve">  </w:t>
      </w:r>
      <w:r w:rsidR="00E056AF">
        <w:t>The</w:t>
      </w:r>
      <w:r w:rsidR="00C64050">
        <w:t xml:space="preserve"> </w:t>
      </w:r>
      <w:r w:rsidR="00E056AF">
        <w:t>IRS</w:t>
      </w:r>
      <w:r w:rsidR="00C64050">
        <w:t xml:space="preserve"> </w:t>
      </w:r>
      <w:r w:rsidR="00E056AF">
        <w:t>allowed</w:t>
      </w:r>
      <w:r w:rsidR="00C64050">
        <w:t xml:space="preserve"> </w:t>
      </w:r>
      <w:r w:rsidR="00E056AF">
        <w:t>the</w:t>
      </w:r>
      <w:r w:rsidR="00C64050">
        <w:t xml:space="preserve"> </w:t>
      </w:r>
      <w:r w:rsidR="00E056AF">
        <w:t>trust</w:t>
      </w:r>
      <w:r w:rsidR="00C64050">
        <w:t xml:space="preserve"> </w:t>
      </w:r>
      <w:r w:rsidR="00E056AF">
        <w:t>to</w:t>
      </w:r>
      <w:r w:rsidR="00C64050">
        <w:t xml:space="preserve"> </w:t>
      </w:r>
      <w:r w:rsidR="00E056AF">
        <w:t>be</w:t>
      </w:r>
      <w:r w:rsidR="00C64050">
        <w:t xml:space="preserve"> </w:t>
      </w:r>
      <w:r w:rsidR="00E056AF">
        <w:t>the</w:t>
      </w:r>
      <w:r w:rsidR="00C64050">
        <w:t xml:space="preserve"> </w:t>
      </w:r>
      <w:r w:rsidR="00E056AF">
        <w:t>beneficiary</w:t>
      </w:r>
      <w:r w:rsidR="00C64050">
        <w:t xml:space="preserve"> </w:t>
      </w:r>
      <w:r w:rsidR="00E056AF">
        <w:t>and</w:t>
      </w:r>
      <w:r w:rsidR="00C64050">
        <w:t xml:space="preserve"> </w:t>
      </w:r>
      <w:r w:rsidR="00E056AF">
        <w:t>allowed</w:t>
      </w:r>
      <w:r w:rsidR="00C64050">
        <w:t xml:space="preserve"> </w:t>
      </w:r>
      <w:r w:rsidR="00E056AF">
        <w:t>the</w:t>
      </w:r>
      <w:r w:rsidR="00C64050">
        <w:t xml:space="preserve"> </w:t>
      </w:r>
      <w:r w:rsidR="00E056AF">
        <w:t>charitable</w:t>
      </w:r>
      <w:r w:rsidR="00C64050">
        <w:t xml:space="preserve"> </w:t>
      </w:r>
      <w:r w:rsidR="00E056AF">
        <w:t>remainder</w:t>
      </w:r>
      <w:r w:rsidR="00C64050">
        <w:t xml:space="preserve"> </w:t>
      </w:r>
      <w:r w:rsidR="00E056AF">
        <w:t>trust</w:t>
      </w:r>
      <w:r w:rsidR="00C64050">
        <w:t xml:space="preserve"> </w:t>
      </w:r>
      <w:r w:rsidR="00E056AF">
        <w:t>to</w:t>
      </w:r>
      <w:r w:rsidR="00C64050">
        <w:t xml:space="preserve"> </w:t>
      </w:r>
      <w:r w:rsidR="00E056AF">
        <w:t>be</w:t>
      </w:r>
      <w:r w:rsidR="00C64050">
        <w:t xml:space="preserve"> </w:t>
      </w:r>
      <w:r w:rsidR="00E056AF">
        <w:t>created</w:t>
      </w:r>
      <w:r w:rsidR="00C64050">
        <w:t xml:space="preserve"> </w:t>
      </w:r>
      <w:r w:rsidR="00E056AF">
        <w:t>by</w:t>
      </w:r>
      <w:r w:rsidR="00C64050">
        <w:t xml:space="preserve"> </w:t>
      </w:r>
      <w:r w:rsidR="00E056AF">
        <w:t>the</w:t>
      </w:r>
      <w:r w:rsidR="00C64050">
        <w:t xml:space="preserve"> </w:t>
      </w:r>
      <w:r w:rsidR="00E056AF">
        <w:t>exercise</w:t>
      </w:r>
      <w:r w:rsidR="00C64050">
        <w:t xml:space="preserve"> </w:t>
      </w:r>
      <w:r w:rsidR="00E056AF">
        <w:t>of</w:t>
      </w:r>
      <w:r w:rsidR="00C64050">
        <w:t xml:space="preserve"> </w:t>
      </w:r>
      <w:r w:rsidR="00E056AF">
        <w:t>the</w:t>
      </w:r>
      <w:r w:rsidR="00C64050">
        <w:t xml:space="preserve"> </w:t>
      </w:r>
      <w:r w:rsidR="00E056AF">
        <w:t>power.</w:t>
      </w:r>
    </w:p>
    <w:p w:rsidR="00785405" w:rsidRDefault="00E056AF" w:rsidP="008D344C">
      <w:pPr>
        <w:pStyle w:val="Body15"/>
      </w:pPr>
      <w:r>
        <w:t>If</w:t>
      </w:r>
      <w:r w:rsidR="00C64050">
        <w:t xml:space="preserve"> </w:t>
      </w:r>
      <w:r>
        <w:t>a</w:t>
      </w:r>
      <w:r w:rsidR="00C64050">
        <w:t xml:space="preserve"> </w:t>
      </w:r>
      <w:r>
        <w:t>charity</w:t>
      </w:r>
      <w:r w:rsidR="00C64050">
        <w:t xml:space="preserve"> </w:t>
      </w:r>
      <w:r>
        <w:t>is</w:t>
      </w:r>
      <w:r w:rsidR="00C64050">
        <w:t xml:space="preserve"> </w:t>
      </w:r>
      <w:r>
        <w:t>given</w:t>
      </w:r>
      <w:r w:rsidR="00C64050">
        <w:t xml:space="preserve"> </w:t>
      </w:r>
      <w:r>
        <w:t>the</w:t>
      </w:r>
      <w:r w:rsidR="00C64050">
        <w:t xml:space="preserve"> </w:t>
      </w:r>
      <w:r>
        <w:t>right</w:t>
      </w:r>
      <w:r w:rsidR="00C64050">
        <w:t xml:space="preserve"> </w:t>
      </w:r>
      <w:r>
        <w:t>to</w:t>
      </w:r>
      <w:r w:rsidR="00C64050">
        <w:t xml:space="preserve"> </w:t>
      </w:r>
      <w:r>
        <w:t>withdraw</w:t>
      </w:r>
      <w:r w:rsidR="00C64050">
        <w:t xml:space="preserve"> </w:t>
      </w:r>
      <w:r>
        <w:t>a</w:t>
      </w:r>
      <w:r w:rsidR="00C64050">
        <w:t xml:space="preserve"> </w:t>
      </w:r>
      <w:r>
        <w:t>portion</w:t>
      </w:r>
      <w:r w:rsidR="00C64050">
        <w:t xml:space="preserve"> </w:t>
      </w:r>
      <w:r>
        <w:t>of</w:t>
      </w:r>
      <w:r w:rsidR="00C64050">
        <w:t xml:space="preserve"> </w:t>
      </w:r>
      <w:r>
        <w:t>the</w:t>
      </w:r>
      <w:r w:rsidR="00C64050">
        <w:t xml:space="preserve"> </w:t>
      </w:r>
      <w:r>
        <w:t>income</w:t>
      </w:r>
      <w:r w:rsidR="00C64050">
        <w:t xml:space="preserve"> </w:t>
      </w:r>
      <w:r>
        <w:t>and</w:t>
      </w:r>
      <w:r w:rsidR="00C64050">
        <w:t xml:space="preserve"> </w:t>
      </w:r>
      <w:r>
        <w:t>gains</w:t>
      </w:r>
      <w:r w:rsidR="00C64050">
        <w:t xml:space="preserve"> </w:t>
      </w:r>
      <w:r>
        <w:t>from</w:t>
      </w:r>
      <w:r w:rsidR="00C64050">
        <w:t xml:space="preserve"> </w:t>
      </w:r>
      <w:r>
        <w:t>a</w:t>
      </w:r>
      <w:r w:rsidR="00C64050">
        <w:t xml:space="preserve"> </w:t>
      </w:r>
      <w:r>
        <w:t>trust</w:t>
      </w:r>
      <w:r w:rsidR="00C64050">
        <w:t xml:space="preserve"> </w:t>
      </w:r>
      <w:r>
        <w:t>then</w:t>
      </w:r>
      <w:r w:rsidR="00C64050">
        <w:t xml:space="preserve"> </w:t>
      </w:r>
      <w:r>
        <w:t>the</w:t>
      </w:r>
      <w:r w:rsidR="00C64050">
        <w:t xml:space="preserve"> </w:t>
      </w:r>
      <w:r>
        <w:t>charity</w:t>
      </w:r>
      <w:r w:rsidR="00C64050">
        <w:t xml:space="preserve"> </w:t>
      </w:r>
      <w:r>
        <w:t>is</w:t>
      </w:r>
      <w:r w:rsidR="00C64050">
        <w:t xml:space="preserve"> </w:t>
      </w:r>
      <w:r>
        <w:t>the</w:t>
      </w:r>
      <w:r w:rsidR="00C64050">
        <w:t xml:space="preserve"> </w:t>
      </w:r>
      <w:r>
        <w:t>owner</w:t>
      </w:r>
      <w:r w:rsidR="00C64050">
        <w:t xml:space="preserve"> </w:t>
      </w:r>
      <w:r>
        <w:t>of</w:t>
      </w:r>
      <w:r w:rsidR="00C64050">
        <w:t xml:space="preserve"> </w:t>
      </w:r>
      <w:r>
        <w:t>that</w:t>
      </w:r>
      <w:r w:rsidR="00C64050">
        <w:t xml:space="preserve"> </w:t>
      </w:r>
      <w:r>
        <w:t>portion</w:t>
      </w:r>
      <w:r w:rsidR="00C64050">
        <w:t xml:space="preserve"> </w:t>
      </w:r>
      <w:r>
        <w:t>under</w:t>
      </w:r>
      <w:r w:rsidR="00C64050">
        <w:t xml:space="preserve"> </w:t>
      </w:r>
      <w:r>
        <w:t>section</w:t>
      </w:r>
      <w:r w:rsidR="00C64050">
        <w:t xml:space="preserve"> </w:t>
      </w:r>
      <w:r>
        <w:t>678</w:t>
      </w:r>
      <w:r w:rsidR="00C64050">
        <w:t xml:space="preserve"> </w:t>
      </w:r>
      <w:r>
        <w:t>which</w:t>
      </w:r>
      <w:r w:rsidR="00C64050">
        <w:t xml:space="preserve"> </w:t>
      </w:r>
      <w:r>
        <w:t>avoids</w:t>
      </w:r>
      <w:r w:rsidR="00C64050">
        <w:t xml:space="preserve"> </w:t>
      </w:r>
      <w:r>
        <w:t>the</w:t>
      </w:r>
      <w:r w:rsidR="00C64050">
        <w:t xml:space="preserve"> </w:t>
      </w:r>
      <w:r>
        <w:t>need</w:t>
      </w:r>
      <w:r w:rsidR="00C64050">
        <w:t xml:space="preserve"> </w:t>
      </w:r>
      <w:r>
        <w:t>for</w:t>
      </w:r>
      <w:r w:rsidR="00C64050">
        <w:t xml:space="preserve"> </w:t>
      </w:r>
      <w:r>
        <w:t>a</w:t>
      </w:r>
      <w:r w:rsidR="00C64050">
        <w:t xml:space="preserve"> </w:t>
      </w:r>
      <w:r>
        <w:t>section</w:t>
      </w:r>
      <w:r w:rsidR="00C64050">
        <w:t xml:space="preserve"> </w:t>
      </w:r>
      <w:r>
        <w:t>642(c)</w:t>
      </w:r>
      <w:r w:rsidR="00C64050">
        <w:t xml:space="preserve"> </w:t>
      </w:r>
      <w:r>
        <w:t>deduction</w:t>
      </w:r>
      <w:r w:rsidR="00791D73">
        <w:t>.</w:t>
      </w:r>
      <w:r w:rsidR="00C64050">
        <w:t xml:space="preserve">  </w:t>
      </w:r>
      <w:r w:rsidR="00791D73">
        <w:t>This</w:t>
      </w:r>
      <w:r w:rsidR="00C64050">
        <w:t xml:space="preserve"> </w:t>
      </w:r>
      <w:r w:rsidR="00791D73">
        <w:t>is</w:t>
      </w:r>
      <w:r w:rsidR="00C64050">
        <w:t xml:space="preserve"> </w:t>
      </w:r>
      <w:r w:rsidR="00791D73">
        <w:t>a</w:t>
      </w:r>
      <w:r w:rsidR="00C64050">
        <w:t xml:space="preserve"> </w:t>
      </w:r>
      <w:r w:rsidR="00791D73">
        <w:t>“BDOT</w:t>
      </w:r>
      <w:r w:rsidR="00C64050">
        <w:t xml:space="preserve"> </w:t>
      </w:r>
      <w:r w:rsidR="00791D73">
        <w:t>solution”.</w:t>
      </w:r>
    </w:p>
    <w:p w:rsidR="00A67159" w:rsidRPr="00A67159" w:rsidRDefault="00FC3569" w:rsidP="00B66CCE">
      <w:pPr>
        <w:pStyle w:val="Heading20"/>
        <w:numPr>
          <w:ilvl w:val="1"/>
          <w:numId w:val="34"/>
        </w:numPr>
        <w:tabs>
          <w:tab w:val="clear" w:pos="2700"/>
          <w:tab w:val="num" w:pos="1440"/>
        </w:tabs>
        <w:ind w:left="0"/>
        <w:rPr>
          <w:vanish/>
          <w:specVanish/>
        </w:rPr>
      </w:pPr>
      <w:bookmarkStart w:id="153" w:name="_Toc94704619"/>
      <w:r w:rsidRPr="00A67159">
        <w:rPr>
          <w:b/>
          <w:u w:val="single"/>
        </w:rPr>
        <w:t>Use</w:t>
      </w:r>
      <w:r w:rsidR="00C64050">
        <w:rPr>
          <w:b/>
          <w:u w:val="single"/>
        </w:rPr>
        <w:t xml:space="preserve"> </w:t>
      </w:r>
      <w:r w:rsidRPr="00A67159">
        <w:rPr>
          <w:b/>
          <w:u w:val="single"/>
        </w:rPr>
        <w:t>of</w:t>
      </w:r>
      <w:r w:rsidR="00C64050">
        <w:rPr>
          <w:b/>
          <w:u w:val="single"/>
        </w:rPr>
        <w:t xml:space="preserve"> </w:t>
      </w:r>
      <w:r w:rsidRPr="00A67159">
        <w:rPr>
          <w:b/>
          <w:u w:val="single"/>
        </w:rPr>
        <w:t>Section</w:t>
      </w:r>
      <w:r w:rsidR="00C64050">
        <w:rPr>
          <w:b/>
          <w:u w:val="single"/>
        </w:rPr>
        <w:t xml:space="preserve"> </w:t>
      </w:r>
      <w:r w:rsidRPr="00A67159">
        <w:rPr>
          <w:b/>
          <w:u w:val="single"/>
        </w:rPr>
        <w:t>501(c)(4)</w:t>
      </w:r>
      <w:r w:rsidR="00C64050">
        <w:rPr>
          <w:b/>
          <w:u w:val="single"/>
        </w:rPr>
        <w:t xml:space="preserve"> </w:t>
      </w:r>
      <w:r w:rsidRPr="00A67159">
        <w:rPr>
          <w:b/>
          <w:u w:val="single"/>
        </w:rPr>
        <w:t>Organizations</w:t>
      </w:r>
      <w:r w:rsidR="00C64050">
        <w:rPr>
          <w:b/>
          <w:u w:val="single"/>
        </w:rPr>
        <w:t xml:space="preserve"> </w:t>
      </w:r>
      <w:r w:rsidRPr="00A67159">
        <w:rPr>
          <w:b/>
          <w:u w:val="single"/>
        </w:rPr>
        <w:t>to</w:t>
      </w:r>
      <w:r w:rsidR="00C64050">
        <w:rPr>
          <w:b/>
          <w:u w:val="single"/>
        </w:rPr>
        <w:t xml:space="preserve"> </w:t>
      </w:r>
      <w:r w:rsidRPr="00A67159">
        <w:rPr>
          <w:b/>
          <w:u w:val="single"/>
        </w:rPr>
        <w:t>Facilitate</w:t>
      </w:r>
      <w:r w:rsidR="00C64050">
        <w:rPr>
          <w:b/>
          <w:u w:val="single"/>
        </w:rPr>
        <w:t xml:space="preserve"> </w:t>
      </w:r>
      <w:r w:rsidRPr="00A67159">
        <w:rPr>
          <w:b/>
          <w:u w:val="single"/>
        </w:rPr>
        <w:t>Business</w:t>
      </w:r>
      <w:r w:rsidR="00C64050">
        <w:rPr>
          <w:b/>
          <w:u w:val="single"/>
        </w:rPr>
        <w:t xml:space="preserve"> </w:t>
      </w:r>
      <w:r w:rsidRPr="00A67159">
        <w:rPr>
          <w:b/>
          <w:u w:val="single"/>
        </w:rPr>
        <w:t>Interest</w:t>
      </w:r>
      <w:r w:rsidR="00C64050">
        <w:rPr>
          <w:b/>
          <w:u w:val="single"/>
        </w:rPr>
        <w:t xml:space="preserve"> </w:t>
      </w:r>
      <w:r w:rsidRPr="00A67159">
        <w:rPr>
          <w:b/>
          <w:u w:val="single"/>
        </w:rPr>
        <w:t>Ownership</w:t>
      </w:r>
      <w:bookmarkEnd w:id="153"/>
    </w:p>
    <w:p w:rsidR="00FC3569" w:rsidRPr="0092370D" w:rsidRDefault="00FC3569" w:rsidP="00A67159">
      <w:pPr>
        <w:pStyle w:val="Heading2Body"/>
      </w:pPr>
      <w:r>
        <w:t>.</w:t>
      </w:r>
      <w:r w:rsidR="00C64050">
        <w:t xml:space="preserve">  </w:t>
      </w:r>
      <w:r>
        <w:t>Under</w:t>
      </w:r>
      <w:r w:rsidR="00C64050">
        <w:t xml:space="preserve"> </w:t>
      </w:r>
      <w:r>
        <w:t>the</w:t>
      </w:r>
      <w:r w:rsidR="00C64050">
        <w:t xml:space="preserve"> </w:t>
      </w:r>
      <w:r>
        <w:t>Protecting</w:t>
      </w:r>
      <w:r w:rsidR="00C64050">
        <w:t xml:space="preserve"> </w:t>
      </w:r>
      <w:r>
        <w:t>Americans</w:t>
      </w:r>
      <w:r w:rsidR="00C64050">
        <w:t xml:space="preserve"> </w:t>
      </w:r>
      <w:r>
        <w:t>from</w:t>
      </w:r>
      <w:r w:rsidR="00C64050">
        <w:t xml:space="preserve"> </w:t>
      </w:r>
      <w:r>
        <w:t>Tax</w:t>
      </w:r>
      <w:r w:rsidR="00C64050">
        <w:t xml:space="preserve"> </w:t>
      </w:r>
      <w:r>
        <w:t>Hikes</w:t>
      </w:r>
      <w:r w:rsidR="00C64050">
        <w:t xml:space="preserve"> </w:t>
      </w:r>
      <w:r>
        <w:t>Act</w:t>
      </w:r>
      <w:r w:rsidR="00C64050">
        <w:t xml:space="preserve"> </w:t>
      </w:r>
      <w:r>
        <w:t>of</w:t>
      </w:r>
      <w:r w:rsidR="00C64050">
        <w:t xml:space="preserve"> </w:t>
      </w:r>
      <w:r>
        <w:t>2015,</w:t>
      </w:r>
      <w:r w:rsidR="00C64050">
        <w:t xml:space="preserve"> </w:t>
      </w:r>
      <w:r w:rsidR="00AA2833">
        <w:t>Section</w:t>
      </w:r>
      <w:r w:rsidR="00C64050">
        <w:t xml:space="preserve"> </w:t>
      </w:r>
      <w:r w:rsidRPr="005B645E">
        <w:t>2501(a)</w:t>
      </w:r>
      <w:r w:rsidR="00C64050">
        <w:t xml:space="preserve"> </w:t>
      </w:r>
      <w:r w:rsidRPr="005B645E">
        <w:t>was</w:t>
      </w:r>
      <w:r w:rsidR="00C64050">
        <w:t xml:space="preserve"> </w:t>
      </w:r>
      <w:r w:rsidRPr="005B645E">
        <w:t>amended</w:t>
      </w:r>
      <w:r w:rsidR="00C64050">
        <w:t xml:space="preserve"> </w:t>
      </w:r>
      <w:r w:rsidRPr="005B645E">
        <w:t>to</w:t>
      </w:r>
      <w:r w:rsidR="00C64050">
        <w:t xml:space="preserve"> </w:t>
      </w:r>
      <w:r w:rsidRPr="005B645E">
        <w:t>specifically</w:t>
      </w:r>
      <w:r w:rsidR="00C64050">
        <w:t xml:space="preserve"> </w:t>
      </w:r>
      <w:r w:rsidRPr="005B645E">
        <w:t>exclude</w:t>
      </w:r>
      <w:r w:rsidR="00C64050">
        <w:t xml:space="preserve"> </w:t>
      </w:r>
      <w:r w:rsidRPr="005B645E">
        <w:t>from</w:t>
      </w:r>
      <w:r w:rsidR="00C64050">
        <w:t xml:space="preserve"> </w:t>
      </w:r>
      <w:r w:rsidRPr="005B645E">
        <w:t>federal</w:t>
      </w:r>
      <w:r w:rsidR="00C64050">
        <w:t xml:space="preserve"> </w:t>
      </w:r>
      <w:r w:rsidRPr="005B645E">
        <w:t>gift</w:t>
      </w:r>
      <w:r w:rsidR="00C64050">
        <w:t xml:space="preserve"> </w:t>
      </w:r>
      <w:r w:rsidRPr="005B645E">
        <w:t>tax</w:t>
      </w:r>
      <w:r w:rsidR="00C64050">
        <w:t xml:space="preserve"> </w:t>
      </w:r>
      <w:r>
        <w:t>“</w:t>
      </w:r>
      <w:r w:rsidRPr="005B645E">
        <w:t>transfers</w:t>
      </w:r>
      <w:r w:rsidR="00C64050">
        <w:t xml:space="preserve"> </w:t>
      </w:r>
      <w:r w:rsidRPr="005B645E">
        <w:t>of</w:t>
      </w:r>
      <w:r w:rsidR="00C64050">
        <w:t xml:space="preserve"> </w:t>
      </w:r>
      <w:r w:rsidRPr="005B645E">
        <w:t>money</w:t>
      </w:r>
      <w:r w:rsidR="00C64050">
        <w:t xml:space="preserve"> </w:t>
      </w:r>
      <w:r w:rsidRPr="005B645E">
        <w:t>or</w:t>
      </w:r>
      <w:r w:rsidR="00C64050">
        <w:t xml:space="preserve"> </w:t>
      </w:r>
      <w:r w:rsidRPr="005B645E">
        <w:t>other</w:t>
      </w:r>
      <w:r w:rsidR="00C64050">
        <w:t xml:space="preserve"> </w:t>
      </w:r>
      <w:r w:rsidRPr="005B645E">
        <w:t>property</w:t>
      </w:r>
      <w:r w:rsidR="00C64050">
        <w:t xml:space="preserve"> </w:t>
      </w:r>
      <w:r w:rsidRPr="005B645E">
        <w:t>to</w:t>
      </w:r>
      <w:r w:rsidR="00C64050">
        <w:t xml:space="preserve"> </w:t>
      </w:r>
      <w:r w:rsidRPr="005B645E">
        <w:t>an</w:t>
      </w:r>
      <w:r w:rsidR="00C64050">
        <w:t xml:space="preserve"> </w:t>
      </w:r>
      <w:r w:rsidRPr="005B645E">
        <w:t>organization</w:t>
      </w:r>
      <w:r w:rsidR="00C64050">
        <w:t xml:space="preserve"> </w:t>
      </w:r>
      <w:r w:rsidRPr="005B645E">
        <w:t>described</w:t>
      </w:r>
      <w:r w:rsidR="00C64050">
        <w:t xml:space="preserve"> </w:t>
      </w:r>
      <w:r w:rsidRPr="005B645E">
        <w:t>in</w:t>
      </w:r>
      <w:r w:rsidR="00C64050">
        <w:t xml:space="preserve"> </w:t>
      </w:r>
      <w:r w:rsidRPr="005B645E">
        <w:t>paragraph</w:t>
      </w:r>
      <w:r w:rsidR="00C64050">
        <w:t xml:space="preserve"> </w:t>
      </w:r>
      <w:r w:rsidRPr="005B645E">
        <w:t>(4),</w:t>
      </w:r>
      <w:r w:rsidR="00C64050">
        <w:t xml:space="preserve"> </w:t>
      </w:r>
      <w:r w:rsidRPr="005B645E">
        <w:t>(5),</w:t>
      </w:r>
      <w:r w:rsidR="00C64050">
        <w:t xml:space="preserve"> </w:t>
      </w:r>
      <w:r w:rsidRPr="005B645E">
        <w:t>or</w:t>
      </w:r>
      <w:r w:rsidR="00C64050">
        <w:t xml:space="preserve"> </w:t>
      </w:r>
      <w:r w:rsidRPr="005B645E">
        <w:t>(6)</w:t>
      </w:r>
      <w:r w:rsidR="00C64050">
        <w:t xml:space="preserve"> </w:t>
      </w:r>
      <w:r w:rsidRPr="005B645E">
        <w:t>of</w:t>
      </w:r>
      <w:r w:rsidR="00C64050">
        <w:t xml:space="preserve"> </w:t>
      </w:r>
      <w:r w:rsidRPr="005B645E">
        <w:t>section</w:t>
      </w:r>
      <w:r w:rsidR="00C64050">
        <w:t xml:space="preserve"> </w:t>
      </w:r>
      <w:r w:rsidRPr="005B645E">
        <w:t>501(c)</w:t>
      </w:r>
      <w:r w:rsidR="00C64050">
        <w:t xml:space="preserve"> </w:t>
      </w:r>
      <w:r w:rsidRPr="005B645E">
        <w:t>and</w:t>
      </w:r>
      <w:r w:rsidR="00C64050">
        <w:t xml:space="preserve"> </w:t>
      </w:r>
      <w:r w:rsidRPr="005B645E">
        <w:t>exempt</w:t>
      </w:r>
      <w:r w:rsidR="00C64050">
        <w:t xml:space="preserve"> </w:t>
      </w:r>
      <w:r w:rsidRPr="005B645E">
        <w:t>from</w:t>
      </w:r>
      <w:r w:rsidR="00C64050">
        <w:t xml:space="preserve"> </w:t>
      </w:r>
      <w:r w:rsidRPr="005B645E">
        <w:t>tax</w:t>
      </w:r>
      <w:r w:rsidR="00C64050">
        <w:t xml:space="preserve"> </w:t>
      </w:r>
      <w:r w:rsidRPr="005B645E">
        <w:t>under</w:t>
      </w:r>
      <w:r w:rsidR="00C64050">
        <w:t xml:space="preserve"> </w:t>
      </w:r>
      <w:r w:rsidRPr="005B645E">
        <w:t>section</w:t>
      </w:r>
      <w:r w:rsidR="00C64050">
        <w:t xml:space="preserve"> </w:t>
      </w:r>
      <w:r w:rsidRPr="005B645E">
        <w:t>501(a),</w:t>
      </w:r>
      <w:r w:rsidR="00C64050">
        <w:t xml:space="preserve"> </w:t>
      </w:r>
      <w:r w:rsidRPr="005B645E">
        <w:t>for</w:t>
      </w:r>
      <w:r w:rsidR="00C64050">
        <w:t xml:space="preserve"> </w:t>
      </w:r>
      <w:r w:rsidRPr="005B645E">
        <w:t>the</w:t>
      </w:r>
      <w:r w:rsidR="00C64050">
        <w:t xml:space="preserve"> </w:t>
      </w:r>
      <w:r w:rsidRPr="005B645E">
        <w:t>use</w:t>
      </w:r>
      <w:r w:rsidR="00C64050">
        <w:t xml:space="preserve"> </w:t>
      </w:r>
      <w:r w:rsidRPr="005B645E">
        <w:t>of</w:t>
      </w:r>
      <w:r w:rsidR="00C64050">
        <w:t xml:space="preserve"> </w:t>
      </w:r>
      <w:r w:rsidRPr="005B645E">
        <w:t>such</w:t>
      </w:r>
      <w:r w:rsidR="00C64050">
        <w:t xml:space="preserve"> </w:t>
      </w:r>
      <w:r w:rsidRPr="005B645E">
        <w:t>organization.</w:t>
      </w:r>
      <w:r>
        <w:t>”</w:t>
      </w:r>
      <w:r w:rsidR="00C64050">
        <w:rPr>
          <w:szCs w:val="20"/>
        </w:rPr>
        <w:t xml:space="preserve"> </w:t>
      </w:r>
      <w:r w:rsidRPr="005B645E">
        <w:t>This</w:t>
      </w:r>
      <w:r w:rsidR="00C64050">
        <w:t xml:space="preserve"> </w:t>
      </w:r>
      <w:r w:rsidRPr="005B645E">
        <w:t>exclusion</w:t>
      </w:r>
      <w:r w:rsidR="00C64050">
        <w:t xml:space="preserve"> </w:t>
      </w:r>
      <w:r w:rsidRPr="005B645E">
        <w:t>from</w:t>
      </w:r>
      <w:r w:rsidR="00C64050">
        <w:t xml:space="preserve"> </w:t>
      </w:r>
      <w:r w:rsidRPr="005B645E">
        <w:t>federal</w:t>
      </w:r>
      <w:r w:rsidR="00C64050">
        <w:t xml:space="preserve"> </w:t>
      </w:r>
      <w:r w:rsidRPr="005B645E">
        <w:t>gift</w:t>
      </w:r>
      <w:r w:rsidR="00C64050">
        <w:t xml:space="preserve"> </w:t>
      </w:r>
      <w:r w:rsidRPr="005B645E">
        <w:t>tax</w:t>
      </w:r>
      <w:r w:rsidR="00C64050">
        <w:t xml:space="preserve"> </w:t>
      </w:r>
      <w:r w:rsidRPr="005B645E">
        <w:t>is</w:t>
      </w:r>
      <w:r w:rsidR="00C64050">
        <w:t xml:space="preserve"> </w:t>
      </w:r>
      <w:r w:rsidRPr="005B645E">
        <w:t>applicable</w:t>
      </w:r>
      <w:r w:rsidR="00C64050">
        <w:t xml:space="preserve"> </w:t>
      </w:r>
      <w:r w:rsidRPr="005B645E">
        <w:t>to</w:t>
      </w:r>
      <w:r w:rsidR="00C64050">
        <w:t xml:space="preserve"> </w:t>
      </w:r>
      <w:r w:rsidRPr="005B645E">
        <w:t>lifetime</w:t>
      </w:r>
      <w:r w:rsidR="00C64050">
        <w:t xml:space="preserve"> </w:t>
      </w:r>
      <w:r w:rsidRPr="005B645E">
        <w:t>gifts</w:t>
      </w:r>
      <w:r w:rsidR="00C64050">
        <w:t xml:space="preserve"> </w:t>
      </w:r>
      <w:r w:rsidRPr="005B645E">
        <w:t>to</w:t>
      </w:r>
      <w:r w:rsidR="00C64050">
        <w:t xml:space="preserve"> </w:t>
      </w:r>
      <w:r>
        <w:t>section</w:t>
      </w:r>
      <w:r w:rsidR="00C64050">
        <w:t xml:space="preserve"> </w:t>
      </w:r>
      <w:r w:rsidRPr="005B645E">
        <w:t>501(c)(4),</w:t>
      </w:r>
      <w:r w:rsidR="00C64050">
        <w:t xml:space="preserve"> </w:t>
      </w:r>
      <w:r w:rsidRPr="005B645E">
        <w:t>(5),</w:t>
      </w:r>
      <w:r w:rsidR="00C64050">
        <w:t xml:space="preserve"> </w:t>
      </w:r>
      <w:r w:rsidRPr="005B645E">
        <w:t>and</w:t>
      </w:r>
      <w:r w:rsidR="00C64050">
        <w:t xml:space="preserve"> </w:t>
      </w:r>
      <w:r w:rsidRPr="005B645E">
        <w:t>(6)</w:t>
      </w:r>
      <w:r w:rsidR="00C64050">
        <w:t xml:space="preserve"> </w:t>
      </w:r>
      <w:r w:rsidRPr="005B645E">
        <w:t>organizations</w:t>
      </w:r>
      <w:r>
        <w:t>,</w:t>
      </w:r>
      <w:r w:rsidR="00C64050">
        <w:t xml:space="preserve"> </w:t>
      </w:r>
      <w:r>
        <w:t>but</w:t>
      </w:r>
      <w:r w:rsidR="00C64050">
        <w:t xml:space="preserve"> </w:t>
      </w:r>
      <w:r>
        <w:t>does</w:t>
      </w:r>
      <w:r w:rsidR="00C64050">
        <w:t xml:space="preserve"> </w:t>
      </w:r>
      <w:r>
        <w:t>not</w:t>
      </w:r>
      <w:r w:rsidR="00C64050">
        <w:t xml:space="preserve"> </w:t>
      </w:r>
      <w:r>
        <w:t>apply</w:t>
      </w:r>
      <w:r w:rsidR="00C64050">
        <w:t xml:space="preserve"> </w:t>
      </w:r>
      <w:r>
        <w:t>to</w:t>
      </w:r>
      <w:r w:rsidR="00C64050">
        <w:t xml:space="preserve"> </w:t>
      </w:r>
      <w:r>
        <w:t>transfers</w:t>
      </w:r>
      <w:r w:rsidR="00C64050">
        <w:t xml:space="preserve"> </w:t>
      </w:r>
      <w:r>
        <w:t>at</w:t>
      </w:r>
      <w:r w:rsidR="00C64050">
        <w:t xml:space="preserve"> </w:t>
      </w:r>
      <w:r>
        <w:t>death.</w:t>
      </w:r>
      <w:r w:rsidR="00C64050">
        <w:t xml:space="preserve">  </w:t>
      </w:r>
      <w:r>
        <w:t>Accordingly</w:t>
      </w:r>
      <w:r w:rsidR="00C64050">
        <w:t xml:space="preserve"> </w:t>
      </w:r>
      <w:r>
        <w:t>testamentary</w:t>
      </w:r>
      <w:r w:rsidR="00C64050">
        <w:t xml:space="preserve"> </w:t>
      </w:r>
      <w:r>
        <w:t>transfers</w:t>
      </w:r>
      <w:r w:rsidR="00C64050">
        <w:t xml:space="preserve"> </w:t>
      </w:r>
      <w:r>
        <w:t>to</w:t>
      </w:r>
      <w:r w:rsidR="00C64050">
        <w:t xml:space="preserve"> </w:t>
      </w:r>
      <w:r>
        <w:t>section</w:t>
      </w:r>
      <w:r w:rsidR="00C64050">
        <w:t xml:space="preserve"> </w:t>
      </w:r>
      <w:r w:rsidRPr="005B645E">
        <w:t>501(c)(4),</w:t>
      </w:r>
      <w:r w:rsidR="00C64050">
        <w:t xml:space="preserve"> </w:t>
      </w:r>
      <w:r w:rsidRPr="005B645E">
        <w:t>(5),</w:t>
      </w:r>
      <w:r w:rsidR="00C64050">
        <w:t xml:space="preserve"> </w:t>
      </w:r>
      <w:r w:rsidRPr="005B645E">
        <w:t>and</w:t>
      </w:r>
      <w:r w:rsidR="00C64050">
        <w:t xml:space="preserve"> </w:t>
      </w:r>
      <w:r w:rsidRPr="005B645E">
        <w:t>(6)</w:t>
      </w:r>
      <w:r w:rsidR="00C64050">
        <w:t xml:space="preserve"> </w:t>
      </w:r>
      <w:r w:rsidRPr="005B645E">
        <w:t>organization</w:t>
      </w:r>
      <w:r>
        <w:t>s</w:t>
      </w:r>
      <w:r w:rsidR="00C64050">
        <w:t xml:space="preserve"> </w:t>
      </w:r>
      <w:r>
        <w:t>still</w:t>
      </w:r>
      <w:r w:rsidR="00C64050">
        <w:t xml:space="preserve"> </w:t>
      </w:r>
      <w:r>
        <w:t>would</w:t>
      </w:r>
      <w:r w:rsidR="00C64050">
        <w:t xml:space="preserve"> </w:t>
      </w:r>
      <w:r>
        <w:t>be</w:t>
      </w:r>
      <w:r w:rsidR="00C64050">
        <w:t xml:space="preserve"> </w:t>
      </w:r>
      <w:r>
        <w:t>taxable</w:t>
      </w:r>
      <w:r w:rsidR="00C64050">
        <w:t xml:space="preserve"> </w:t>
      </w:r>
      <w:r>
        <w:t>for</w:t>
      </w:r>
      <w:r w:rsidR="00C64050">
        <w:t xml:space="preserve"> </w:t>
      </w:r>
      <w:r>
        <w:t>estate</w:t>
      </w:r>
      <w:r w:rsidR="00C64050">
        <w:t xml:space="preserve"> </w:t>
      </w:r>
      <w:r>
        <w:t>tax</w:t>
      </w:r>
      <w:r w:rsidR="00C64050">
        <w:t xml:space="preserve"> </w:t>
      </w:r>
      <w:r>
        <w:t>purposes.</w:t>
      </w:r>
      <w:r w:rsidR="00C64050">
        <w:t xml:space="preserve">  </w:t>
      </w:r>
      <w:r>
        <w:t>Moreover,</w:t>
      </w:r>
      <w:r w:rsidR="00C64050">
        <w:t xml:space="preserve"> </w:t>
      </w:r>
      <w:r>
        <w:t>lifetime</w:t>
      </w:r>
      <w:r w:rsidR="00C64050">
        <w:t xml:space="preserve"> </w:t>
      </w:r>
      <w:r>
        <w:t>transfers</w:t>
      </w:r>
      <w:r w:rsidR="00C64050">
        <w:t xml:space="preserve"> </w:t>
      </w:r>
      <w:r>
        <w:t>to</w:t>
      </w:r>
      <w:r w:rsidR="00C64050">
        <w:t xml:space="preserve"> </w:t>
      </w:r>
      <w:r>
        <w:t>these</w:t>
      </w:r>
      <w:r w:rsidR="00C64050">
        <w:t xml:space="preserve"> </w:t>
      </w:r>
      <w:r>
        <w:t>organizations</w:t>
      </w:r>
      <w:r w:rsidR="00C64050">
        <w:t xml:space="preserve"> </w:t>
      </w:r>
      <w:r>
        <w:t>also</w:t>
      </w:r>
      <w:r w:rsidR="00C64050">
        <w:t xml:space="preserve"> </w:t>
      </w:r>
      <w:r>
        <w:t>could</w:t>
      </w:r>
      <w:r w:rsidR="00C64050">
        <w:t xml:space="preserve"> </w:t>
      </w:r>
      <w:r>
        <w:t>be</w:t>
      </w:r>
      <w:r w:rsidR="00C64050">
        <w:t xml:space="preserve"> </w:t>
      </w:r>
      <w:r>
        <w:t>subject</w:t>
      </w:r>
      <w:r w:rsidR="00C64050">
        <w:t xml:space="preserve"> </w:t>
      </w:r>
      <w:r>
        <w:t>to</w:t>
      </w:r>
      <w:r w:rsidR="00C64050">
        <w:t xml:space="preserve"> </w:t>
      </w:r>
      <w:r>
        <w:t>IRC</w:t>
      </w:r>
      <w:r w:rsidR="00C64050">
        <w:t xml:space="preserve"> </w:t>
      </w:r>
      <w:r>
        <w:t>§</w:t>
      </w:r>
      <w:r w:rsidR="00C64050">
        <w:t xml:space="preserve"> </w:t>
      </w:r>
      <w:r>
        <w:t>2036.</w:t>
      </w:r>
      <w:r w:rsidR="00C64050">
        <w:t xml:space="preserve"> </w:t>
      </w:r>
      <w:r>
        <w:t>No</w:t>
      </w:r>
      <w:r w:rsidR="00C64050">
        <w:t xml:space="preserve"> </w:t>
      </w:r>
      <w:r>
        <w:t>private</w:t>
      </w:r>
      <w:r w:rsidR="00C64050">
        <w:t xml:space="preserve"> </w:t>
      </w:r>
      <w:r>
        <w:t>inurement</w:t>
      </w:r>
      <w:r w:rsidR="00C64050">
        <w:t xml:space="preserve"> </w:t>
      </w:r>
      <w:r>
        <w:t>is</w:t>
      </w:r>
      <w:r w:rsidR="00C64050">
        <w:t xml:space="preserve"> </w:t>
      </w:r>
      <w:r>
        <w:t>permitted</w:t>
      </w:r>
      <w:r w:rsidR="00C64050">
        <w:t xml:space="preserve"> </w:t>
      </w:r>
      <w:r>
        <w:t>for</w:t>
      </w:r>
      <w:r w:rsidR="00C64050">
        <w:t xml:space="preserve"> </w:t>
      </w:r>
      <w:r>
        <w:t>a</w:t>
      </w:r>
      <w:r w:rsidR="00C64050">
        <w:t xml:space="preserve"> </w:t>
      </w:r>
      <w:r>
        <w:t>section</w:t>
      </w:r>
      <w:r w:rsidR="00C64050">
        <w:t xml:space="preserve"> </w:t>
      </w:r>
      <w:r>
        <w:t>501(c)(4)</w:t>
      </w:r>
      <w:r w:rsidR="00C64050">
        <w:t xml:space="preserve"> </w:t>
      </w:r>
      <w:r>
        <w:t>organization.</w:t>
      </w:r>
      <w:r w:rsidR="00C64050">
        <w:t xml:space="preserve">  </w:t>
      </w:r>
      <w:r w:rsidR="005357AE">
        <w:t>Effective</w:t>
      </w:r>
      <w:r w:rsidR="00C64050">
        <w:t xml:space="preserve"> </w:t>
      </w:r>
      <w:r w:rsidR="005357AE">
        <w:t>July</w:t>
      </w:r>
      <w:r w:rsidR="00C64050">
        <w:t xml:space="preserve"> </w:t>
      </w:r>
      <w:r w:rsidR="005357AE">
        <w:t>19,</w:t>
      </w:r>
      <w:r w:rsidR="00C64050">
        <w:t xml:space="preserve"> </w:t>
      </w:r>
      <w:r w:rsidR="005357AE">
        <w:t>2019,</w:t>
      </w:r>
      <w:r w:rsidR="00C64050">
        <w:t xml:space="preserve"> </w:t>
      </w:r>
      <w:r w:rsidR="005357AE">
        <w:t>are</w:t>
      </w:r>
      <w:r w:rsidR="00C64050">
        <w:t xml:space="preserve"> </w:t>
      </w:r>
      <w:r w:rsidR="005357AE">
        <w:t>final</w:t>
      </w:r>
      <w:r w:rsidR="00C64050">
        <w:t xml:space="preserve"> </w:t>
      </w:r>
      <w:r w:rsidR="005357AE">
        <w:t>regulations</w:t>
      </w:r>
      <w:r w:rsidR="00C64050">
        <w:t xml:space="preserve"> </w:t>
      </w:r>
      <w:r w:rsidR="005357AE">
        <w:t>under</w:t>
      </w:r>
      <w:r w:rsidR="00C64050">
        <w:t xml:space="preserve"> </w:t>
      </w:r>
      <w:r w:rsidR="005357AE">
        <w:t>section</w:t>
      </w:r>
      <w:r w:rsidR="00C64050">
        <w:t xml:space="preserve"> </w:t>
      </w:r>
      <w:r w:rsidR="005357AE">
        <w:t>506</w:t>
      </w:r>
      <w:r w:rsidR="00C64050">
        <w:t xml:space="preserve"> </w:t>
      </w:r>
      <w:r w:rsidR="005357AE">
        <w:t>dealing</w:t>
      </w:r>
      <w:r w:rsidR="00C64050">
        <w:t xml:space="preserve"> </w:t>
      </w:r>
      <w:r w:rsidR="005357AE">
        <w:t>with</w:t>
      </w:r>
      <w:r w:rsidR="00C64050">
        <w:t xml:space="preserve"> </w:t>
      </w:r>
      <w:r w:rsidR="005357AE">
        <w:t>the</w:t>
      </w:r>
      <w:r w:rsidR="00C64050">
        <w:t xml:space="preserve"> </w:t>
      </w:r>
      <w:r w:rsidR="005357AE">
        <w:t>requirement</w:t>
      </w:r>
      <w:r w:rsidR="00C64050">
        <w:t xml:space="preserve"> </w:t>
      </w:r>
      <w:r w:rsidR="005357AE">
        <w:t>that</w:t>
      </w:r>
      <w:r w:rsidR="00C64050">
        <w:t xml:space="preserve"> </w:t>
      </w:r>
      <w:r w:rsidR="005357AE">
        <w:t>an</w:t>
      </w:r>
      <w:r w:rsidR="00C64050">
        <w:t xml:space="preserve"> </w:t>
      </w:r>
      <w:r w:rsidR="005357AE">
        <w:t>organization</w:t>
      </w:r>
      <w:r w:rsidR="00C64050">
        <w:t xml:space="preserve"> </w:t>
      </w:r>
      <w:r w:rsidR="005357AE">
        <w:t>notify</w:t>
      </w:r>
      <w:r w:rsidR="00C64050">
        <w:t xml:space="preserve"> </w:t>
      </w:r>
      <w:r w:rsidR="005357AE">
        <w:t>the</w:t>
      </w:r>
      <w:r w:rsidR="00C64050">
        <w:t xml:space="preserve"> </w:t>
      </w:r>
      <w:r w:rsidR="005357AE">
        <w:t>IRS</w:t>
      </w:r>
      <w:r w:rsidR="00C64050">
        <w:t xml:space="preserve"> </w:t>
      </w:r>
      <w:r w:rsidR="005357AE">
        <w:t>within</w:t>
      </w:r>
      <w:r w:rsidR="00C64050">
        <w:t xml:space="preserve"> </w:t>
      </w:r>
      <w:r w:rsidR="005357AE">
        <w:t>60</w:t>
      </w:r>
      <w:r w:rsidR="00C64050">
        <w:t xml:space="preserve"> </w:t>
      </w:r>
      <w:r w:rsidR="005357AE">
        <w:t>days</w:t>
      </w:r>
      <w:r w:rsidR="00C64050">
        <w:t xml:space="preserve"> </w:t>
      </w:r>
      <w:r w:rsidR="005357AE">
        <w:t>of</w:t>
      </w:r>
      <w:r w:rsidR="00C64050">
        <w:t xml:space="preserve"> </w:t>
      </w:r>
      <w:r w:rsidR="005357AE">
        <w:t>its</w:t>
      </w:r>
      <w:r w:rsidR="00C64050">
        <w:t xml:space="preserve"> </w:t>
      </w:r>
      <w:r w:rsidR="005357AE">
        <w:t>intent</w:t>
      </w:r>
      <w:r w:rsidR="00C64050">
        <w:t xml:space="preserve"> </w:t>
      </w:r>
      <w:r w:rsidR="005357AE">
        <w:t>to</w:t>
      </w:r>
      <w:r w:rsidR="00C64050">
        <w:t xml:space="preserve"> </w:t>
      </w:r>
      <w:r w:rsidR="005357AE">
        <w:t>operate</w:t>
      </w:r>
      <w:r w:rsidR="00C64050">
        <w:t xml:space="preserve"> </w:t>
      </w:r>
      <w:r w:rsidR="005357AE">
        <w:t>under</w:t>
      </w:r>
      <w:r w:rsidR="00C64050">
        <w:t xml:space="preserve"> </w:t>
      </w:r>
      <w:r w:rsidR="005357AE">
        <w:t>section</w:t>
      </w:r>
      <w:r w:rsidR="00C64050">
        <w:t xml:space="preserve"> </w:t>
      </w:r>
      <w:r w:rsidR="005357AE">
        <w:t>501(c)(4).</w:t>
      </w:r>
      <w:r w:rsidR="00C64050">
        <w:t xml:space="preserve">  </w:t>
      </w:r>
      <w:r w:rsidR="005357AE">
        <w:t>TD</w:t>
      </w:r>
      <w:r w:rsidR="00C64050">
        <w:t xml:space="preserve"> </w:t>
      </w:r>
      <w:r w:rsidR="005357AE">
        <w:t>9873.</w:t>
      </w:r>
    </w:p>
    <w:p w:rsidR="00FC3569" w:rsidRPr="00A935A7" w:rsidRDefault="00FC3569" w:rsidP="00FC3569">
      <w:pPr>
        <w:pStyle w:val="Body15"/>
      </w:pPr>
      <w:r>
        <w:t>Section</w:t>
      </w:r>
      <w:r w:rsidR="00C64050">
        <w:t xml:space="preserve"> </w:t>
      </w:r>
      <w:r>
        <w:t>501(c)(4)</w:t>
      </w:r>
      <w:r w:rsidR="00C64050">
        <w:t xml:space="preserve"> </w:t>
      </w:r>
      <w:r>
        <w:t>Organizations</w:t>
      </w:r>
      <w:r w:rsidR="00C64050">
        <w:t xml:space="preserve"> </w:t>
      </w:r>
      <w:r>
        <w:t>include</w:t>
      </w:r>
      <w:r w:rsidR="00C64050">
        <w:t xml:space="preserve"> </w:t>
      </w:r>
      <w:r>
        <w:t>“civic</w:t>
      </w:r>
      <w:r w:rsidR="00C64050">
        <w:t xml:space="preserve"> </w:t>
      </w:r>
      <w:r>
        <w:t>l</w:t>
      </w:r>
      <w:r w:rsidRPr="005B645E">
        <w:t>eagues</w:t>
      </w:r>
      <w:r>
        <w:t>”</w:t>
      </w:r>
      <w:r w:rsidR="00C64050">
        <w:t xml:space="preserve"> </w:t>
      </w:r>
      <w:r>
        <w:t>and</w:t>
      </w:r>
      <w:r w:rsidR="00C64050">
        <w:t xml:space="preserve"> </w:t>
      </w:r>
      <w:r>
        <w:t>“social</w:t>
      </w:r>
      <w:r w:rsidR="00C64050">
        <w:t xml:space="preserve"> </w:t>
      </w:r>
      <w:r>
        <w:t>w</w:t>
      </w:r>
      <w:r w:rsidRPr="005B645E">
        <w:t>elfare</w:t>
      </w:r>
      <w:r w:rsidR="00C64050">
        <w:t xml:space="preserve"> </w:t>
      </w:r>
      <w:r>
        <w:t>o</w:t>
      </w:r>
      <w:r w:rsidRPr="005B645E">
        <w:t>rganizations</w:t>
      </w:r>
      <w:r>
        <w:t>,”</w:t>
      </w:r>
      <w:r w:rsidR="00C64050">
        <w:t xml:space="preserve"> </w:t>
      </w:r>
      <w:r>
        <w:t>which</w:t>
      </w:r>
      <w:r w:rsidR="00C64050">
        <w:t xml:space="preserve"> </w:t>
      </w:r>
      <w:r>
        <w:t>m</w:t>
      </w:r>
      <w:r w:rsidRPr="005B645E">
        <w:t>ust</w:t>
      </w:r>
      <w:r w:rsidR="00C64050">
        <w:t xml:space="preserve"> </w:t>
      </w:r>
      <w:r w:rsidRPr="005B645E">
        <w:t>be</w:t>
      </w:r>
      <w:r w:rsidR="00C64050">
        <w:t xml:space="preserve"> </w:t>
      </w:r>
      <w:r w:rsidRPr="005B645E">
        <w:t>nonprofit</w:t>
      </w:r>
      <w:r w:rsidR="00C64050">
        <w:t xml:space="preserve"> </w:t>
      </w:r>
      <w:r>
        <w:t>and</w:t>
      </w:r>
      <w:r w:rsidR="00C64050">
        <w:t xml:space="preserve"> </w:t>
      </w:r>
      <w:r>
        <w:t>o</w:t>
      </w:r>
      <w:r w:rsidRPr="005B645E">
        <w:t>rganized</w:t>
      </w:r>
      <w:r w:rsidR="00C64050">
        <w:t xml:space="preserve"> </w:t>
      </w:r>
      <w:r w:rsidRPr="005B645E">
        <w:t>for</w:t>
      </w:r>
      <w:r w:rsidR="00C64050">
        <w:t xml:space="preserve"> </w:t>
      </w:r>
      <w:r>
        <w:t>the</w:t>
      </w:r>
      <w:r w:rsidR="00C64050">
        <w:t xml:space="preserve"> </w:t>
      </w:r>
      <w:r w:rsidRPr="005B645E">
        <w:t>promotion</w:t>
      </w:r>
      <w:r w:rsidR="00C64050">
        <w:t xml:space="preserve"> </w:t>
      </w:r>
      <w:r w:rsidRPr="005B645E">
        <w:t>of</w:t>
      </w:r>
      <w:r w:rsidR="00C64050">
        <w:t xml:space="preserve"> </w:t>
      </w:r>
      <w:r w:rsidRPr="005B645E">
        <w:t>the</w:t>
      </w:r>
      <w:r w:rsidR="00C64050">
        <w:t xml:space="preserve"> </w:t>
      </w:r>
      <w:r w:rsidRPr="005B645E">
        <w:t>common</w:t>
      </w:r>
      <w:r w:rsidR="00C64050">
        <w:t xml:space="preserve"> </w:t>
      </w:r>
      <w:r w:rsidRPr="005B645E">
        <w:t>good</w:t>
      </w:r>
      <w:r w:rsidR="00C64050">
        <w:t xml:space="preserve"> </w:t>
      </w:r>
      <w:r w:rsidRPr="005B645E">
        <w:t>and</w:t>
      </w:r>
      <w:r w:rsidR="00C64050">
        <w:t xml:space="preserve"> </w:t>
      </w:r>
      <w:r w:rsidRPr="005B645E">
        <w:t>general</w:t>
      </w:r>
      <w:r w:rsidR="00C64050">
        <w:t xml:space="preserve"> </w:t>
      </w:r>
      <w:r w:rsidRPr="005B645E">
        <w:t>welfare</w:t>
      </w:r>
      <w:r w:rsidR="00C64050">
        <w:t xml:space="preserve"> </w:t>
      </w:r>
      <w:r w:rsidRPr="005B645E">
        <w:t>of</w:t>
      </w:r>
      <w:r w:rsidR="00C64050">
        <w:t xml:space="preserve"> </w:t>
      </w:r>
      <w:r w:rsidRPr="005B645E">
        <w:t>the</w:t>
      </w:r>
      <w:r w:rsidR="00C64050">
        <w:t xml:space="preserve"> </w:t>
      </w:r>
      <w:r w:rsidRPr="005B645E">
        <w:t>community</w:t>
      </w:r>
      <w:r w:rsidR="00C64050">
        <w:t xml:space="preserve"> </w:t>
      </w:r>
      <w:r w:rsidRPr="005B645E">
        <w:t>as</w:t>
      </w:r>
      <w:r w:rsidR="00C64050">
        <w:t xml:space="preserve"> </w:t>
      </w:r>
      <w:r w:rsidRPr="005B645E">
        <w:t>a</w:t>
      </w:r>
      <w:r w:rsidR="00C64050">
        <w:t xml:space="preserve"> </w:t>
      </w:r>
      <w:r w:rsidRPr="005B645E">
        <w:t>whole</w:t>
      </w:r>
      <w:r>
        <w:t>,</w:t>
      </w:r>
      <w:r w:rsidR="00C64050">
        <w:t xml:space="preserve"> </w:t>
      </w:r>
      <w:r>
        <w:t>and</w:t>
      </w:r>
      <w:r w:rsidR="00C64050">
        <w:t xml:space="preserve"> </w:t>
      </w:r>
      <w:r>
        <w:t>“local</w:t>
      </w:r>
      <w:r w:rsidR="00C64050">
        <w:t xml:space="preserve"> </w:t>
      </w:r>
      <w:r>
        <w:t>associations</w:t>
      </w:r>
      <w:r w:rsidR="00C64050">
        <w:t xml:space="preserve"> </w:t>
      </w:r>
      <w:r>
        <w:t>of</w:t>
      </w:r>
      <w:r w:rsidR="00C64050">
        <w:t xml:space="preserve"> </w:t>
      </w:r>
      <w:r>
        <w:t>employees,”</w:t>
      </w:r>
      <w:r w:rsidR="00C64050">
        <w:t xml:space="preserve"> </w:t>
      </w:r>
      <w:r>
        <w:t>in</w:t>
      </w:r>
      <w:r w:rsidR="00C64050">
        <w:t xml:space="preserve"> </w:t>
      </w:r>
      <w:r>
        <w:t>which</w:t>
      </w:r>
      <w:r w:rsidR="00C64050">
        <w:t xml:space="preserve"> </w:t>
      </w:r>
      <w:r>
        <w:t>membership</w:t>
      </w:r>
      <w:r w:rsidR="00C64050">
        <w:t xml:space="preserve"> </w:t>
      </w:r>
      <w:r>
        <w:t>is</w:t>
      </w:r>
      <w:r w:rsidR="00C64050">
        <w:t xml:space="preserve"> </w:t>
      </w:r>
      <w:r>
        <w:t>limited</w:t>
      </w:r>
      <w:r w:rsidR="00C64050">
        <w:t xml:space="preserve"> </w:t>
      </w:r>
      <w:r>
        <w:t>to</w:t>
      </w:r>
      <w:r w:rsidR="00C64050">
        <w:t xml:space="preserve"> </w:t>
      </w:r>
      <w:r>
        <w:t>employees</w:t>
      </w:r>
      <w:r w:rsidR="00C64050">
        <w:t xml:space="preserve"> </w:t>
      </w:r>
      <w:r>
        <w:t>of</w:t>
      </w:r>
      <w:r w:rsidR="00C64050">
        <w:t xml:space="preserve"> </w:t>
      </w:r>
      <w:r>
        <w:t>a</w:t>
      </w:r>
      <w:r w:rsidR="00C64050">
        <w:t xml:space="preserve"> </w:t>
      </w:r>
      <w:r>
        <w:t>particular</w:t>
      </w:r>
      <w:r w:rsidR="00C64050">
        <w:t xml:space="preserve"> </w:t>
      </w:r>
      <w:r>
        <w:t>person</w:t>
      </w:r>
      <w:r w:rsidR="00C64050">
        <w:t xml:space="preserve"> </w:t>
      </w:r>
      <w:r>
        <w:t>or</w:t>
      </w:r>
      <w:r w:rsidR="00C64050">
        <w:t xml:space="preserve"> </w:t>
      </w:r>
      <w:r>
        <w:t>particular</w:t>
      </w:r>
      <w:r w:rsidR="00C64050">
        <w:t xml:space="preserve">  </w:t>
      </w:r>
      <w:r>
        <w:t>person</w:t>
      </w:r>
      <w:r w:rsidR="00C64050">
        <w:t xml:space="preserve"> </w:t>
      </w:r>
      <w:r>
        <w:t>in</w:t>
      </w:r>
      <w:r w:rsidR="00C64050">
        <w:t xml:space="preserve"> </w:t>
      </w:r>
      <w:r>
        <w:t>a</w:t>
      </w:r>
      <w:r w:rsidR="00C64050">
        <w:t xml:space="preserve"> </w:t>
      </w:r>
      <w:r>
        <w:t>designated</w:t>
      </w:r>
      <w:r w:rsidR="00C64050">
        <w:t xml:space="preserve"> </w:t>
      </w:r>
      <w:r>
        <w:t>locality,</w:t>
      </w:r>
      <w:r w:rsidR="00C64050">
        <w:t xml:space="preserve"> </w:t>
      </w:r>
      <w:r w:rsidRPr="00F63FD1">
        <w:t>and</w:t>
      </w:r>
      <w:r w:rsidR="00C64050">
        <w:t xml:space="preserve"> </w:t>
      </w:r>
      <w:r w:rsidRPr="00F63FD1">
        <w:t>the</w:t>
      </w:r>
      <w:r w:rsidR="00C64050">
        <w:t xml:space="preserve"> </w:t>
      </w:r>
      <w:r w:rsidRPr="00F63FD1">
        <w:t>earnings</w:t>
      </w:r>
      <w:r w:rsidR="00C64050">
        <w:t xml:space="preserve"> </w:t>
      </w:r>
      <w:r w:rsidRPr="00F63FD1">
        <w:t>of</w:t>
      </w:r>
      <w:r w:rsidR="00C64050">
        <w:t xml:space="preserve"> </w:t>
      </w:r>
      <w:r w:rsidRPr="00F63FD1">
        <w:t>which</w:t>
      </w:r>
      <w:r w:rsidR="00C64050">
        <w:t xml:space="preserve"> </w:t>
      </w:r>
      <w:r w:rsidRPr="00F63FD1">
        <w:t>must</w:t>
      </w:r>
      <w:r w:rsidR="00C64050">
        <w:t xml:space="preserve"> </w:t>
      </w:r>
      <w:r w:rsidRPr="00F63FD1">
        <w:t>be</w:t>
      </w:r>
      <w:r w:rsidR="00C64050">
        <w:t xml:space="preserve"> </w:t>
      </w:r>
      <w:r w:rsidRPr="00F63FD1">
        <w:t>used</w:t>
      </w:r>
      <w:r w:rsidR="00C64050">
        <w:t xml:space="preserve"> </w:t>
      </w:r>
      <w:r w:rsidRPr="00F63FD1">
        <w:t>for</w:t>
      </w:r>
      <w:r w:rsidR="00C64050">
        <w:t xml:space="preserve"> </w:t>
      </w:r>
      <w:r w:rsidRPr="00F63FD1">
        <w:t>charitable,</w:t>
      </w:r>
      <w:r w:rsidR="00C64050">
        <w:t xml:space="preserve"> </w:t>
      </w:r>
      <w:r w:rsidRPr="00F63FD1">
        <w:t>educational</w:t>
      </w:r>
      <w:r w:rsidR="00C64050">
        <w:t xml:space="preserve"> </w:t>
      </w:r>
      <w:r w:rsidRPr="00F63FD1">
        <w:t>or</w:t>
      </w:r>
      <w:r w:rsidR="00C64050">
        <w:t xml:space="preserve"> </w:t>
      </w:r>
      <w:r w:rsidRPr="00F63FD1">
        <w:t>recreational</w:t>
      </w:r>
      <w:r w:rsidR="00C64050">
        <w:t xml:space="preserve"> </w:t>
      </w:r>
      <w:r w:rsidRPr="00F63FD1">
        <w:t>activities</w:t>
      </w:r>
      <w:r>
        <w:t>.</w:t>
      </w:r>
      <w:r w:rsidR="00C64050">
        <w:t xml:space="preserve">  </w:t>
      </w:r>
      <w:r>
        <w:t>Specific</w:t>
      </w:r>
      <w:r w:rsidR="00C64050">
        <w:t xml:space="preserve"> </w:t>
      </w:r>
      <w:r>
        <w:t>examples</w:t>
      </w:r>
      <w:r w:rsidR="00C64050">
        <w:t xml:space="preserve"> </w:t>
      </w:r>
      <w:r>
        <w:t>of</w:t>
      </w:r>
      <w:r w:rsidR="00C64050">
        <w:t xml:space="preserve"> </w:t>
      </w:r>
      <w:r>
        <w:t>section</w:t>
      </w:r>
      <w:r w:rsidR="00C64050">
        <w:t xml:space="preserve"> </w:t>
      </w:r>
      <w:r>
        <w:t>501(c)(4)</w:t>
      </w:r>
      <w:r w:rsidR="00C64050">
        <w:t xml:space="preserve"> </w:t>
      </w:r>
      <w:r>
        <w:t>organizations</w:t>
      </w:r>
      <w:r w:rsidR="00C64050">
        <w:t xml:space="preserve"> </w:t>
      </w:r>
      <w:r>
        <w:t>would</w:t>
      </w:r>
      <w:r w:rsidR="00C64050">
        <w:t xml:space="preserve"> </w:t>
      </w:r>
      <w:r>
        <w:t>be</w:t>
      </w:r>
      <w:r w:rsidR="00C64050">
        <w:t xml:space="preserve"> </w:t>
      </w:r>
      <w:r>
        <w:t>homeowners</w:t>
      </w:r>
      <w:r w:rsidR="00C64050">
        <w:t xml:space="preserve"> </w:t>
      </w:r>
      <w:r>
        <w:t>a</w:t>
      </w:r>
      <w:r w:rsidRPr="00A935A7">
        <w:t>ssociations</w:t>
      </w:r>
      <w:r>
        <w:t>,</w:t>
      </w:r>
      <w:r w:rsidR="00C64050">
        <w:t xml:space="preserve"> </w:t>
      </w:r>
      <w:r>
        <w:t>veterans</w:t>
      </w:r>
      <w:r w:rsidR="00C64050">
        <w:t xml:space="preserve"> </w:t>
      </w:r>
      <w:r>
        <w:t>groups,</w:t>
      </w:r>
      <w:r w:rsidR="00C64050">
        <w:t xml:space="preserve"> </w:t>
      </w:r>
      <w:r>
        <w:t>community</w:t>
      </w:r>
      <w:r w:rsidR="00C64050">
        <w:t xml:space="preserve"> </w:t>
      </w:r>
      <w:r>
        <w:t>centers</w:t>
      </w:r>
      <w:r w:rsidR="00C64050">
        <w:t xml:space="preserve"> </w:t>
      </w:r>
      <w:r>
        <w:t>and</w:t>
      </w:r>
      <w:r w:rsidR="00C64050">
        <w:t xml:space="preserve"> </w:t>
      </w:r>
      <w:r>
        <w:t>community</w:t>
      </w:r>
      <w:r w:rsidR="00C64050">
        <w:t xml:space="preserve"> </w:t>
      </w:r>
      <w:r>
        <w:t>p</w:t>
      </w:r>
      <w:r w:rsidRPr="00A935A7">
        <w:t>rograms</w:t>
      </w:r>
      <w:r>
        <w:t>,</w:t>
      </w:r>
      <w:r w:rsidR="00C64050">
        <w:t xml:space="preserve"> </w:t>
      </w:r>
      <w:r>
        <w:t>v</w:t>
      </w:r>
      <w:r w:rsidRPr="00A935A7">
        <w:t>olun</w:t>
      </w:r>
      <w:r>
        <w:t>teer</w:t>
      </w:r>
      <w:r w:rsidR="00C64050">
        <w:t xml:space="preserve"> </w:t>
      </w:r>
      <w:r>
        <w:t>fire</w:t>
      </w:r>
      <w:r w:rsidR="00C64050">
        <w:t xml:space="preserve"> </w:t>
      </w:r>
      <w:r>
        <w:t>d</w:t>
      </w:r>
      <w:r w:rsidRPr="00A935A7">
        <w:t>epartment</w:t>
      </w:r>
      <w:r>
        <w:t>s,</w:t>
      </w:r>
      <w:r w:rsidR="00C64050">
        <w:t xml:space="preserve"> </w:t>
      </w:r>
      <w:r>
        <w:t>parks</w:t>
      </w:r>
      <w:r w:rsidR="00C64050">
        <w:t xml:space="preserve"> </w:t>
      </w:r>
      <w:r>
        <w:t>a</w:t>
      </w:r>
      <w:r w:rsidRPr="00A935A7">
        <w:t>ssociation</w:t>
      </w:r>
      <w:r>
        <w:t>s,</w:t>
      </w:r>
      <w:r w:rsidR="00C64050">
        <w:t xml:space="preserve"> </w:t>
      </w:r>
      <w:r>
        <w:t>public</w:t>
      </w:r>
      <w:r w:rsidR="00C64050">
        <w:t xml:space="preserve"> </w:t>
      </w:r>
      <w:r>
        <w:t>recreational</w:t>
      </w:r>
      <w:r w:rsidR="00C64050">
        <w:t xml:space="preserve"> </w:t>
      </w:r>
      <w:r>
        <w:t>f</w:t>
      </w:r>
      <w:r w:rsidRPr="00A935A7">
        <w:t>acilities</w:t>
      </w:r>
      <w:r>
        <w:t>,</w:t>
      </w:r>
      <w:r w:rsidR="00C64050">
        <w:t xml:space="preserve"> </w:t>
      </w:r>
      <w:r>
        <w:t>and</w:t>
      </w:r>
      <w:r w:rsidR="00C64050">
        <w:t xml:space="preserve"> </w:t>
      </w:r>
      <w:r>
        <w:t>service</w:t>
      </w:r>
      <w:r w:rsidR="00C64050">
        <w:t xml:space="preserve"> </w:t>
      </w:r>
      <w:r>
        <w:t>o</w:t>
      </w:r>
      <w:r w:rsidRPr="00A935A7">
        <w:t>rganizations</w:t>
      </w:r>
      <w:r>
        <w:t>.</w:t>
      </w:r>
    </w:p>
    <w:p w:rsidR="00FC3569" w:rsidRDefault="00FC3569" w:rsidP="00FC3569">
      <w:pPr>
        <w:pStyle w:val="Body15"/>
      </w:pPr>
      <w:r>
        <w:t>A</w:t>
      </w:r>
      <w:r w:rsidR="00C64050">
        <w:t xml:space="preserve"> </w:t>
      </w:r>
      <w:r>
        <w:t>section</w:t>
      </w:r>
      <w:r w:rsidR="00C64050">
        <w:t xml:space="preserve"> </w:t>
      </w:r>
      <w:r w:rsidRPr="00A935A7">
        <w:t>501(c)(4)</w:t>
      </w:r>
      <w:r w:rsidR="00C64050">
        <w:t xml:space="preserve"> </w:t>
      </w:r>
      <w:r w:rsidRPr="00A935A7">
        <w:t>organization</w:t>
      </w:r>
      <w:r w:rsidR="00C64050">
        <w:t xml:space="preserve"> </w:t>
      </w:r>
      <w:r>
        <w:t>does</w:t>
      </w:r>
      <w:r w:rsidR="00C64050">
        <w:t xml:space="preserve"> </w:t>
      </w:r>
      <w:r w:rsidRPr="00A935A7">
        <w:t>not</w:t>
      </w:r>
      <w:r w:rsidR="00C64050">
        <w:t xml:space="preserve"> </w:t>
      </w:r>
      <w:r w:rsidRPr="00A935A7">
        <w:t>appear</w:t>
      </w:r>
      <w:r w:rsidR="00C64050">
        <w:t xml:space="preserve"> </w:t>
      </w:r>
      <w:r w:rsidRPr="00A935A7">
        <w:t>to</w:t>
      </w:r>
      <w:r w:rsidR="00C64050">
        <w:t xml:space="preserve"> </w:t>
      </w:r>
      <w:r w:rsidRPr="00A935A7">
        <w:t>fit</w:t>
      </w:r>
      <w:r w:rsidR="00C64050">
        <w:t xml:space="preserve"> </w:t>
      </w:r>
      <w:r w:rsidRPr="00A935A7">
        <w:t>within</w:t>
      </w:r>
      <w:r w:rsidR="00C64050">
        <w:t xml:space="preserve"> </w:t>
      </w:r>
      <w:r w:rsidRPr="00A935A7">
        <w:t>the</w:t>
      </w:r>
      <w:r w:rsidR="00C64050">
        <w:t xml:space="preserve"> </w:t>
      </w:r>
      <w:r w:rsidRPr="00A935A7">
        <w:t>def</w:t>
      </w:r>
      <w:r>
        <w:t>inition</w:t>
      </w:r>
      <w:r w:rsidR="00C64050">
        <w:t xml:space="preserve"> </w:t>
      </w:r>
      <w:r>
        <w:t>of</w:t>
      </w:r>
      <w:r w:rsidR="00C64050">
        <w:t xml:space="preserve"> </w:t>
      </w:r>
      <w:r>
        <w:t>“disqualified</w:t>
      </w:r>
      <w:r w:rsidR="00C64050">
        <w:t xml:space="preserve"> </w:t>
      </w:r>
      <w:r>
        <w:t>person,”</w:t>
      </w:r>
      <w:r w:rsidR="00C64050">
        <w:t xml:space="preserve"> </w:t>
      </w:r>
      <w:r>
        <w:t>because</w:t>
      </w:r>
      <w:r w:rsidR="00C64050">
        <w:t xml:space="preserve"> </w:t>
      </w:r>
      <w:r>
        <w:t>it</w:t>
      </w:r>
      <w:r w:rsidR="00C64050">
        <w:t xml:space="preserve"> </w:t>
      </w:r>
      <w:r>
        <w:t>is:</w:t>
      </w:r>
    </w:p>
    <w:p w:rsidR="00FC3569" w:rsidRPr="00F63FD1" w:rsidRDefault="00A67159" w:rsidP="00A67159">
      <w:pPr>
        <w:pStyle w:val="QS10"/>
      </w:pPr>
      <w:r>
        <w:t>•</w:t>
      </w:r>
      <w:r>
        <w:tab/>
      </w:r>
      <w:r w:rsidR="00FC3569" w:rsidRPr="00F63FD1">
        <w:t>Not</w:t>
      </w:r>
      <w:r w:rsidR="00C64050">
        <w:t xml:space="preserve"> </w:t>
      </w:r>
      <w:r w:rsidR="00FC3569" w:rsidRPr="00F63FD1">
        <w:t>a</w:t>
      </w:r>
      <w:r w:rsidR="00C64050">
        <w:t xml:space="preserve"> </w:t>
      </w:r>
      <w:r w:rsidR="00FC3569" w:rsidRPr="00F63FD1">
        <w:t>substantial</w:t>
      </w:r>
      <w:r w:rsidR="00C64050">
        <w:t xml:space="preserve"> </w:t>
      </w:r>
      <w:r w:rsidR="00FC3569" w:rsidRPr="00F63FD1">
        <w:t>contributor</w:t>
      </w:r>
      <w:r w:rsidR="00C64050">
        <w:t xml:space="preserve"> </w:t>
      </w:r>
      <w:r w:rsidR="00FC3569" w:rsidRPr="00F63FD1">
        <w:t>or</w:t>
      </w:r>
      <w:r w:rsidR="00C64050">
        <w:t xml:space="preserve"> </w:t>
      </w:r>
      <w:r w:rsidR="00FC3569" w:rsidRPr="00F63FD1">
        <w:t>foundation</w:t>
      </w:r>
      <w:r w:rsidR="00C64050">
        <w:t xml:space="preserve"> </w:t>
      </w:r>
      <w:r w:rsidR="00FC3569" w:rsidRPr="00F63FD1">
        <w:t>manager</w:t>
      </w:r>
      <w:r w:rsidR="00FC3569">
        <w:t>;</w:t>
      </w:r>
    </w:p>
    <w:p w:rsidR="00FC3569" w:rsidRPr="00F63FD1" w:rsidRDefault="00A67159" w:rsidP="00A67159">
      <w:pPr>
        <w:pStyle w:val="QS10"/>
      </w:pPr>
      <w:r>
        <w:t>•</w:t>
      </w:r>
      <w:r>
        <w:tab/>
      </w:r>
      <w:r w:rsidR="00FC3569" w:rsidRPr="00F63FD1">
        <w:t>Not</w:t>
      </w:r>
      <w:r w:rsidR="00C64050">
        <w:t xml:space="preserve"> </w:t>
      </w:r>
      <w:r w:rsidR="00FC3569" w:rsidRPr="00F63FD1">
        <w:t>an</w:t>
      </w:r>
      <w:r w:rsidR="00C64050">
        <w:t xml:space="preserve"> </w:t>
      </w:r>
      <w:r w:rsidR="00FC3569" w:rsidRPr="00F63FD1">
        <w:t>individual</w:t>
      </w:r>
    </w:p>
    <w:p w:rsidR="00FC3569" w:rsidRPr="00F63FD1" w:rsidRDefault="00A67159" w:rsidP="00A67159">
      <w:pPr>
        <w:pStyle w:val="QS10"/>
      </w:pPr>
      <w:r>
        <w:t>•</w:t>
      </w:r>
      <w:r>
        <w:tab/>
      </w:r>
      <w:r w:rsidR="00FC3569">
        <w:t>Not</w:t>
      </w:r>
      <w:r w:rsidR="00C64050">
        <w:t xml:space="preserve"> </w:t>
      </w:r>
      <w:r w:rsidR="00FC3569">
        <w:t>a</w:t>
      </w:r>
      <w:r w:rsidR="00C64050">
        <w:t xml:space="preserve"> </w:t>
      </w:r>
      <w:r w:rsidR="00FC3569">
        <w:t>“35</w:t>
      </w:r>
      <w:r w:rsidR="00C64050">
        <w:t xml:space="preserve"> </w:t>
      </w:r>
      <w:r w:rsidR="00FC3569">
        <w:t>percent”</w:t>
      </w:r>
      <w:r w:rsidR="00C64050">
        <w:t xml:space="preserve"> </w:t>
      </w:r>
      <w:r w:rsidR="00FC3569" w:rsidRPr="00F63FD1">
        <w:t>corporation,</w:t>
      </w:r>
      <w:r w:rsidR="00C64050">
        <w:t xml:space="preserve"> </w:t>
      </w:r>
      <w:r w:rsidR="00FC3569" w:rsidRPr="00F63FD1">
        <w:t>partnership,</w:t>
      </w:r>
      <w:r w:rsidR="00C64050">
        <w:t xml:space="preserve"> </w:t>
      </w:r>
      <w:r w:rsidR="00FC3569" w:rsidRPr="00F63FD1">
        <w:t>trust</w:t>
      </w:r>
      <w:r w:rsidR="00C64050">
        <w:t xml:space="preserve"> </w:t>
      </w:r>
      <w:r w:rsidR="00FC3569" w:rsidRPr="00F63FD1">
        <w:t>or</w:t>
      </w:r>
      <w:r w:rsidR="00C64050">
        <w:t xml:space="preserve"> </w:t>
      </w:r>
      <w:r w:rsidR="00FC3569" w:rsidRPr="00F63FD1">
        <w:t>estate</w:t>
      </w:r>
      <w:r w:rsidR="00FC3569">
        <w:t>;</w:t>
      </w:r>
      <w:r w:rsidR="00C64050">
        <w:t xml:space="preserve"> </w:t>
      </w:r>
      <w:r w:rsidR="00FC3569">
        <w:t>and</w:t>
      </w:r>
    </w:p>
    <w:p w:rsidR="00FC3569" w:rsidRPr="00F63FD1" w:rsidRDefault="00A67159" w:rsidP="00A67159">
      <w:pPr>
        <w:pStyle w:val="QS10"/>
      </w:pPr>
      <w:r>
        <w:t>•</w:t>
      </w:r>
      <w:r>
        <w:tab/>
      </w:r>
      <w:r w:rsidR="00FC3569" w:rsidRPr="00F63FD1">
        <w:t>Not</w:t>
      </w:r>
      <w:r w:rsidR="00C64050">
        <w:t xml:space="preserve"> </w:t>
      </w:r>
      <w:r w:rsidR="00FC3569" w:rsidRPr="00F63FD1">
        <w:t>a</w:t>
      </w:r>
      <w:r w:rsidR="00C64050">
        <w:t xml:space="preserve"> </w:t>
      </w:r>
      <w:r w:rsidR="00FC3569" w:rsidRPr="00F63FD1">
        <w:t>private</w:t>
      </w:r>
      <w:r w:rsidR="00C64050">
        <w:t xml:space="preserve"> </w:t>
      </w:r>
      <w:r w:rsidR="00FC3569" w:rsidRPr="00F63FD1">
        <w:t>foundation</w:t>
      </w:r>
      <w:r w:rsidR="00FC3569">
        <w:t>.</w:t>
      </w:r>
    </w:p>
    <w:p w:rsidR="00FC3569" w:rsidRPr="00DE2853" w:rsidRDefault="00FC3569" w:rsidP="00FC3569">
      <w:pPr>
        <w:pStyle w:val="Body15"/>
      </w:pPr>
      <w:r>
        <w:t>No</w:t>
      </w:r>
      <w:r w:rsidR="00C64050">
        <w:t xml:space="preserve"> </w:t>
      </w:r>
      <w:r w:rsidRPr="00DE2853">
        <w:t>cases</w:t>
      </w:r>
      <w:r w:rsidR="00C64050">
        <w:t xml:space="preserve"> </w:t>
      </w:r>
      <w:r w:rsidRPr="00DE2853">
        <w:t>or</w:t>
      </w:r>
      <w:r w:rsidR="00C64050">
        <w:t xml:space="preserve"> </w:t>
      </w:r>
      <w:r w:rsidRPr="00DE2853">
        <w:t>rulings</w:t>
      </w:r>
      <w:r w:rsidR="00C64050">
        <w:t xml:space="preserve"> </w:t>
      </w:r>
      <w:r>
        <w:t>appear</w:t>
      </w:r>
      <w:r w:rsidR="00C64050">
        <w:t xml:space="preserve"> </w:t>
      </w:r>
      <w:r>
        <w:t>to</w:t>
      </w:r>
      <w:r w:rsidR="00C64050">
        <w:t xml:space="preserve"> </w:t>
      </w:r>
      <w:r>
        <w:t>establish</w:t>
      </w:r>
      <w:r w:rsidR="00C64050">
        <w:t xml:space="preserve"> </w:t>
      </w:r>
      <w:r w:rsidRPr="00DE2853">
        <w:t>that</w:t>
      </w:r>
      <w:r w:rsidR="00C64050">
        <w:t xml:space="preserve"> </w:t>
      </w:r>
      <w:r w:rsidRPr="00DE2853">
        <w:t>a</w:t>
      </w:r>
      <w:r w:rsidR="00C64050">
        <w:t xml:space="preserve"> </w:t>
      </w:r>
      <w:r>
        <w:t>section</w:t>
      </w:r>
      <w:r w:rsidR="00C64050">
        <w:t xml:space="preserve"> </w:t>
      </w:r>
      <w:r w:rsidRPr="00DE2853">
        <w:t>501(c)(4)</w:t>
      </w:r>
      <w:r w:rsidR="00C64050">
        <w:t xml:space="preserve"> </w:t>
      </w:r>
      <w:r w:rsidRPr="00DE2853">
        <w:t>organization</w:t>
      </w:r>
      <w:r w:rsidR="00C64050">
        <w:t xml:space="preserve"> </w:t>
      </w:r>
      <w:r>
        <w:t>would</w:t>
      </w:r>
      <w:r w:rsidR="00C64050">
        <w:t xml:space="preserve"> </w:t>
      </w:r>
      <w:r w:rsidRPr="00DE2853">
        <w:t>be</w:t>
      </w:r>
      <w:r w:rsidR="00C64050">
        <w:t xml:space="preserve"> </w:t>
      </w:r>
      <w:r w:rsidRPr="00DE2853">
        <w:t>a</w:t>
      </w:r>
      <w:r w:rsidR="00C64050">
        <w:t xml:space="preserve"> </w:t>
      </w:r>
      <w:r w:rsidRPr="00DE2853">
        <w:t>disqualified</w:t>
      </w:r>
      <w:r w:rsidR="00C64050">
        <w:t xml:space="preserve"> </w:t>
      </w:r>
      <w:r w:rsidRPr="00DE2853">
        <w:t>person</w:t>
      </w:r>
      <w:r>
        <w:t>.</w:t>
      </w:r>
      <w:r w:rsidR="00C64050">
        <w:t xml:space="preserve"> </w:t>
      </w:r>
      <w:r>
        <w:t>This</w:t>
      </w:r>
      <w:r w:rsidR="00C64050">
        <w:t xml:space="preserve"> </w:t>
      </w:r>
      <w:r>
        <w:t>may</w:t>
      </w:r>
      <w:r w:rsidR="00C64050">
        <w:t xml:space="preserve"> </w:t>
      </w:r>
      <w:r>
        <w:t>create</w:t>
      </w:r>
      <w:r w:rsidR="00C64050">
        <w:t xml:space="preserve"> </w:t>
      </w:r>
      <w:r>
        <w:t>a</w:t>
      </w:r>
      <w:r w:rsidR="00C64050">
        <w:t xml:space="preserve"> </w:t>
      </w:r>
      <w:r>
        <w:t>useful</w:t>
      </w:r>
      <w:r w:rsidR="00C64050">
        <w:t xml:space="preserve"> </w:t>
      </w:r>
      <w:r>
        <w:t>opportunity</w:t>
      </w:r>
      <w:r w:rsidR="00C64050">
        <w:t xml:space="preserve"> </w:t>
      </w:r>
      <w:r>
        <w:t>to</w:t>
      </w:r>
      <w:r w:rsidR="00C64050">
        <w:t xml:space="preserve"> </w:t>
      </w:r>
      <w:r>
        <w:t>use</w:t>
      </w:r>
      <w:r w:rsidR="00C64050">
        <w:t xml:space="preserve"> </w:t>
      </w:r>
      <w:r>
        <w:t>section</w:t>
      </w:r>
      <w:r w:rsidR="00C64050">
        <w:t xml:space="preserve"> </w:t>
      </w:r>
      <w:r>
        <w:t>501(c)(4)</w:t>
      </w:r>
      <w:r w:rsidR="00C64050">
        <w:t xml:space="preserve"> </w:t>
      </w:r>
      <w:r>
        <w:t>organizations</w:t>
      </w:r>
      <w:r w:rsidR="00C64050">
        <w:t xml:space="preserve"> </w:t>
      </w:r>
      <w:r>
        <w:t>to</w:t>
      </w:r>
      <w:r w:rsidR="00C64050">
        <w:t xml:space="preserve"> </w:t>
      </w:r>
      <w:r>
        <w:t>avoid</w:t>
      </w:r>
      <w:r w:rsidR="00C64050">
        <w:t xml:space="preserve"> </w:t>
      </w:r>
      <w:r>
        <w:t>excess</w:t>
      </w:r>
      <w:r w:rsidR="00C64050">
        <w:t xml:space="preserve"> </w:t>
      </w:r>
      <w:r>
        <w:t>business</w:t>
      </w:r>
      <w:r w:rsidR="00C64050">
        <w:t xml:space="preserve"> </w:t>
      </w:r>
      <w:r>
        <w:t>holdings</w:t>
      </w:r>
      <w:r w:rsidR="00C64050">
        <w:t xml:space="preserve"> </w:t>
      </w:r>
      <w:r>
        <w:t>and</w:t>
      </w:r>
      <w:r w:rsidR="00C64050">
        <w:t xml:space="preserve"> </w:t>
      </w:r>
      <w:r>
        <w:t>self-dealing</w:t>
      </w:r>
      <w:r w:rsidR="00C64050">
        <w:t xml:space="preserve"> </w:t>
      </w:r>
      <w:r>
        <w:t>issues</w:t>
      </w:r>
      <w:r w:rsidR="00C64050">
        <w:t xml:space="preserve"> </w:t>
      </w:r>
      <w:r>
        <w:t>that</w:t>
      </w:r>
      <w:r w:rsidR="00C64050">
        <w:t xml:space="preserve"> </w:t>
      </w:r>
      <w:r>
        <w:t>could</w:t>
      </w:r>
      <w:r w:rsidR="00C64050">
        <w:t xml:space="preserve"> </w:t>
      </w:r>
      <w:r>
        <w:t>arise</w:t>
      </w:r>
      <w:r w:rsidR="00C64050">
        <w:t xml:space="preserve"> </w:t>
      </w:r>
      <w:r>
        <w:t>from</w:t>
      </w:r>
      <w:r w:rsidR="00C64050">
        <w:t xml:space="preserve"> </w:t>
      </w:r>
      <w:r>
        <w:t>transfers</w:t>
      </w:r>
      <w:r w:rsidR="00C64050">
        <w:t xml:space="preserve"> </w:t>
      </w:r>
      <w:r>
        <w:t>of</w:t>
      </w:r>
      <w:r w:rsidR="00C64050">
        <w:t xml:space="preserve"> </w:t>
      </w:r>
      <w:r>
        <w:t>closely-held</w:t>
      </w:r>
      <w:r w:rsidR="00C64050">
        <w:t xml:space="preserve"> </w:t>
      </w:r>
      <w:r>
        <w:t>business</w:t>
      </w:r>
      <w:r w:rsidR="00C64050">
        <w:t xml:space="preserve"> </w:t>
      </w:r>
      <w:r>
        <w:t>interests</w:t>
      </w:r>
      <w:r w:rsidR="00C64050">
        <w:t xml:space="preserve"> </w:t>
      </w:r>
      <w:r>
        <w:t>to</w:t>
      </w:r>
      <w:r w:rsidR="00C64050">
        <w:t xml:space="preserve"> </w:t>
      </w:r>
      <w:r>
        <w:t>a</w:t>
      </w:r>
      <w:r w:rsidR="00C64050">
        <w:t xml:space="preserve"> </w:t>
      </w:r>
      <w:r>
        <w:t>private</w:t>
      </w:r>
      <w:r w:rsidR="00C64050">
        <w:t xml:space="preserve"> </w:t>
      </w:r>
      <w:r>
        <w:t>foundation.</w:t>
      </w:r>
    </w:p>
    <w:p w:rsidR="00FC3569" w:rsidRDefault="00AA2833" w:rsidP="00FC3569">
      <w:pPr>
        <w:pStyle w:val="Body15"/>
      </w:pPr>
      <w:r>
        <w:rPr>
          <w:szCs w:val="20"/>
        </w:rPr>
        <w:t>Section</w:t>
      </w:r>
      <w:r w:rsidR="00C64050">
        <w:t xml:space="preserve"> </w:t>
      </w:r>
      <w:r w:rsidR="00FC3569" w:rsidRPr="00DE2853">
        <w:t>4943</w:t>
      </w:r>
      <w:r w:rsidR="00C64050">
        <w:t xml:space="preserve"> </w:t>
      </w:r>
      <w:r w:rsidR="00FC3569" w:rsidRPr="00DE2853">
        <w:t>would</w:t>
      </w:r>
      <w:r w:rsidR="00C64050">
        <w:t xml:space="preserve"> </w:t>
      </w:r>
      <w:r w:rsidR="00FC3569" w:rsidRPr="00DE2853">
        <w:t>preclude</w:t>
      </w:r>
      <w:r w:rsidR="00C64050">
        <w:t xml:space="preserve"> </w:t>
      </w:r>
      <w:r w:rsidR="00FC3569">
        <w:t>a</w:t>
      </w:r>
      <w:r w:rsidR="00C64050">
        <w:t xml:space="preserve"> </w:t>
      </w:r>
      <w:r w:rsidR="00FC3569" w:rsidRPr="00DE2853">
        <w:t>private</w:t>
      </w:r>
      <w:r w:rsidR="00C64050">
        <w:t xml:space="preserve"> </w:t>
      </w:r>
      <w:r w:rsidR="00FC3569" w:rsidRPr="00DE2853">
        <w:t>foundation</w:t>
      </w:r>
      <w:r w:rsidR="00C64050">
        <w:t xml:space="preserve"> </w:t>
      </w:r>
      <w:r w:rsidR="00FC3569" w:rsidRPr="00DE2853">
        <w:t>from</w:t>
      </w:r>
      <w:r w:rsidR="00C64050">
        <w:t xml:space="preserve"> </w:t>
      </w:r>
      <w:r w:rsidR="00FC3569" w:rsidRPr="00DE2853">
        <w:t>long</w:t>
      </w:r>
      <w:r w:rsidR="00FC3569">
        <w:t>-term</w:t>
      </w:r>
      <w:r w:rsidR="00C64050">
        <w:t xml:space="preserve"> </w:t>
      </w:r>
      <w:r w:rsidR="00FC3569">
        <w:t>ownership</w:t>
      </w:r>
      <w:r w:rsidR="00C64050">
        <w:t xml:space="preserve"> </w:t>
      </w:r>
      <w:r w:rsidR="00FC3569">
        <w:t>of</w:t>
      </w:r>
      <w:r w:rsidR="00C64050">
        <w:t xml:space="preserve"> </w:t>
      </w:r>
      <w:r w:rsidR="00FC3569">
        <w:t>more</w:t>
      </w:r>
      <w:r w:rsidR="00C64050">
        <w:t xml:space="preserve"> </w:t>
      </w:r>
      <w:r w:rsidR="00FC3569">
        <w:t>than</w:t>
      </w:r>
      <w:r w:rsidR="00C64050">
        <w:t xml:space="preserve"> </w:t>
      </w:r>
      <w:r w:rsidR="00FC3569">
        <w:t>20</w:t>
      </w:r>
      <w:r w:rsidR="00C64050">
        <w:t xml:space="preserve"> </w:t>
      </w:r>
      <w:r w:rsidR="00FC3569">
        <w:t>percent</w:t>
      </w:r>
      <w:r w:rsidR="00C64050">
        <w:t xml:space="preserve"> </w:t>
      </w:r>
      <w:r w:rsidR="00FC3569" w:rsidRPr="00DE2853">
        <w:t>of</w:t>
      </w:r>
      <w:r w:rsidR="00C64050">
        <w:t xml:space="preserve"> </w:t>
      </w:r>
      <w:r w:rsidR="00FC3569" w:rsidRPr="00DE2853">
        <w:t>the</w:t>
      </w:r>
      <w:r w:rsidR="00C64050">
        <w:t xml:space="preserve"> </w:t>
      </w:r>
      <w:r w:rsidR="00FC3569" w:rsidRPr="00DE2853">
        <w:t>voting</w:t>
      </w:r>
      <w:r w:rsidR="00C64050">
        <w:t xml:space="preserve"> </w:t>
      </w:r>
      <w:r w:rsidR="00FC3569" w:rsidRPr="00DE2853">
        <w:t>stock</w:t>
      </w:r>
      <w:r w:rsidR="00C64050">
        <w:t xml:space="preserve"> </w:t>
      </w:r>
      <w:r w:rsidR="00FC3569" w:rsidRPr="00DE2853">
        <w:t>of</w:t>
      </w:r>
      <w:r w:rsidR="00C64050">
        <w:t xml:space="preserve"> </w:t>
      </w:r>
      <w:r w:rsidR="00FC3569">
        <w:t>a</w:t>
      </w:r>
      <w:r w:rsidR="00C64050">
        <w:t xml:space="preserve"> </w:t>
      </w:r>
      <w:r w:rsidR="00FC3569" w:rsidRPr="00DE2853">
        <w:t>corporation</w:t>
      </w:r>
      <w:r w:rsidR="00C64050">
        <w:t xml:space="preserve"> </w:t>
      </w:r>
      <w:r w:rsidR="00FC3569">
        <w:t>or</w:t>
      </w:r>
      <w:r w:rsidR="00C64050">
        <w:t xml:space="preserve"> </w:t>
      </w:r>
      <w:r w:rsidR="00FC3569">
        <w:t>other</w:t>
      </w:r>
      <w:r w:rsidR="00C64050">
        <w:t xml:space="preserve"> </w:t>
      </w:r>
      <w:r w:rsidR="00FC3569">
        <w:t>business</w:t>
      </w:r>
      <w:r w:rsidR="00C64050">
        <w:t xml:space="preserve"> </w:t>
      </w:r>
      <w:r w:rsidR="00FC3569">
        <w:t>enterprise</w:t>
      </w:r>
      <w:r w:rsidR="00C64050">
        <w:t xml:space="preserve"> </w:t>
      </w:r>
      <w:r w:rsidR="00FC3569" w:rsidRPr="00DE2853">
        <w:t>in</w:t>
      </w:r>
      <w:r w:rsidR="00C64050">
        <w:t xml:space="preserve"> </w:t>
      </w:r>
      <w:r w:rsidR="00FC3569" w:rsidRPr="00DE2853">
        <w:t>combination</w:t>
      </w:r>
      <w:r w:rsidR="00C64050">
        <w:t xml:space="preserve"> </w:t>
      </w:r>
      <w:r w:rsidR="00FC3569" w:rsidRPr="00DE2853">
        <w:t>with</w:t>
      </w:r>
      <w:r w:rsidR="00C64050">
        <w:t xml:space="preserve"> </w:t>
      </w:r>
      <w:r w:rsidR="00FC3569" w:rsidRPr="00DE2853">
        <w:t>all</w:t>
      </w:r>
      <w:r w:rsidR="00C64050">
        <w:t xml:space="preserve"> </w:t>
      </w:r>
      <w:r w:rsidR="00FC3569" w:rsidRPr="00DE2853">
        <w:t>disqualified</w:t>
      </w:r>
      <w:r w:rsidR="00C64050">
        <w:t xml:space="preserve"> </w:t>
      </w:r>
      <w:r w:rsidR="00FC3569" w:rsidRPr="00DE2853">
        <w:t>persons.</w:t>
      </w:r>
      <w:r w:rsidR="00C64050">
        <w:t xml:space="preserve">  </w:t>
      </w:r>
      <w:r w:rsidR="00FC3569">
        <w:t>However,</w:t>
      </w:r>
      <w:r w:rsidR="00C64050">
        <w:t xml:space="preserve"> </w:t>
      </w:r>
      <w:r w:rsidR="00FC3569">
        <w:t>i</w:t>
      </w:r>
      <w:r w:rsidR="00FC3569" w:rsidRPr="00DE2853">
        <w:t>f</w:t>
      </w:r>
      <w:r w:rsidR="00C64050">
        <w:t xml:space="preserve"> </w:t>
      </w:r>
      <w:r w:rsidR="00FC3569" w:rsidRPr="00DE2853">
        <w:t>a</w:t>
      </w:r>
      <w:r w:rsidR="00C64050">
        <w:t xml:space="preserve"> </w:t>
      </w:r>
      <w:r w:rsidR="00FC3569">
        <w:t>section</w:t>
      </w:r>
      <w:r w:rsidR="00C64050">
        <w:t xml:space="preserve"> </w:t>
      </w:r>
      <w:r w:rsidR="00FC3569" w:rsidRPr="00DE2853">
        <w:t>501(c)(4)</w:t>
      </w:r>
      <w:r w:rsidR="00C64050">
        <w:t xml:space="preserve"> </w:t>
      </w:r>
      <w:r w:rsidR="00FC3569" w:rsidRPr="00DE2853">
        <w:t>organization</w:t>
      </w:r>
      <w:r w:rsidR="00C64050">
        <w:t xml:space="preserve"> </w:t>
      </w:r>
      <w:r w:rsidR="00FC3569" w:rsidRPr="00DE2853">
        <w:t>is</w:t>
      </w:r>
      <w:r w:rsidR="00C64050">
        <w:t xml:space="preserve"> </w:t>
      </w:r>
      <w:r w:rsidR="00FC3569" w:rsidRPr="00DE2853">
        <w:t>not</w:t>
      </w:r>
      <w:r w:rsidR="00C64050">
        <w:t xml:space="preserve"> </w:t>
      </w:r>
      <w:r w:rsidR="00FC3569" w:rsidRPr="00DE2853">
        <w:t>a</w:t>
      </w:r>
      <w:r w:rsidR="00C64050">
        <w:t xml:space="preserve"> </w:t>
      </w:r>
      <w:r w:rsidR="00FC3569" w:rsidRPr="00DE2853">
        <w:t>disqualified</w:t>
      </w:r>
      <w:r w:rsidR="00C64050">
        <w:t xml:space="preserve"> </w:t>
      </w:r>
      <w:r w:rsidR="00FC3569" w:rsidRPr="00DE2853">
        <w:t>person,</w:t>
      </w:r>
      <w:r w:rsidR="00C64050">
        <w:t xml:space="preserve"> </w:t>
      </w:r>
      <w:r w:rsidR="00FC3569" w:rsidRPr="00DE2853">
        <w:t>it</w:t>
      </w:r>
      <w:r w:rsidR="00C64050">
        <w:t xml:space="preserve"> </w:t>
      </w:r>
      <w:r w:rsidR="00FC3569" w:rsidRPr="00DE2853">
        <w:t>could</w:t>
      </w:r>
      <w:r w:rsidR="00C64050">
        <w:t xml:space="preserve"> </w:t>
      </w:r>
      <w:r w:rsidR="00FC3569" w:rsidRPr="00DE2853">
        <w:t>own</w:t>
      </w:r>
      <w:r w:rsidR="00C64050">
        <w:t xml:space="preserve"> </w:t>
      </w:r>
      <w:r w:rsidR="00FC3569" w:rsidRPr="00DE2853">
        <w:t>a</w:t>
      </w:r>
      <w:r w:rsidR="00C64050">
        <w:t xml:space="preserve"> </w:t>
      </w:r>
      <w:r w:rsidR="00FC3569">
        <w:t>“</w:t>
      </w:r>
      <w:r w:rsidR="00FC3569" w:rsidRPr="00DE2853">
        <w:t>business</w:t>
      </w:r>
      <w:r w:rsidR="00C64050">
        <w:t xml:space="preserve"> </w:t>
      </w:r>
      <w:r w:rsidR="00FC3569" w:rsidRPr="00DE2853">
        <w:t>enterprise</w:t>
      </w:r>
      <w:r w:rsidR="00FC3569">
        <w:t>”</w:t>
      </w:r>
      <w:r w:rsidR="00C64050">
        <w:t xml:space="preserve"> </w:t>
      </w:r>
      <w:r w:rsidR="00FC3569" w:rsidRPr="00DE2853">
        <w:t>with</w:t>
      </w:r>
      <w:r w:rsidR="00C64050">
        <w:t xml:space="preserve"> </w:t>
      </w:r>
      <w:r w:rsidR="00FC3569" w:rsidRPr="00DE2853">
        <w:t>one</w:t>
      </w:r>
      <w:r w:rsidR="00C64050">
        <w:t xml:space="preserve"> </w:t>
      </w:r>
      <w:r w:rsidR="00FC3569" w:rsidRPr="00DE2853">
        <w:t>or</w:t>
      </w:r>
      <w:r w:rsidR="00C64050">
        <w:t xml:space="preserve"> </w:t>
      </w:r>
      <w:r w:rsidR="00FC3569" w:rsidRPr="00DE2853">
        <w:t>more</w:t>
      </w:r>
      <w:r w:rsidR="00C64050">
        <w:t xml:space="preserve"> </w:t>
      </w:r>
      <w:r w:rsidR="00FC3569" w:rsidRPr="00DE2853">
        <w:t>private</w:t>
      </w:r>
      <w:r w:rsidR="00C64050">
        <w:t xml:space="preserve"> </w:t>
      </w:r>
      <w:r w:rsidR="00FC3569" w:rsidRPr="00DE2853">
        <w:t>foundations</w:t>
      </w:r>
      <w:r w:rsidR="00C64050">
        <w:t xml:space="preserve"> </w:t>
      </w:r>
      <w:r w:rsidR="00FC3569" w:rsidRPr="00DE2853">
        <w:t>in</w:t>
      </w:r>
      <w:r w:rsidR="00C64050">
        <w:t xml:space="preserve"> </w:t>
      </w:r>
      <w:r w:rsidR="00FC3569" w:rsidRPr="00DE2853">
        <w:t>a</w:t>
      </w:r>
      <w:r w:rsidR="00C64050">
        <w:t xml:space="preserve"> </w:t>
      </w:r>
      <w:r w:rsidR="00FC3569" w:rsidRPr="00DE2853">
        <w:t>manner</w:t>
      </w:r>
      <w:r w:rsidR="00C64050">
        <w:t xml:space="preserve"> </w:t>
      </w:r>
      <w:r w:rsidR="00FC3569" w:rsidRPr="00DE2853">
        <w:t>that</w:t>
      </w:r>
      <w:r w:rsidR="00C64050">
        <w:t xml:space="preserve"> </w:t>
      </w:r>
      <w:r w:rsidR="00FC3569" w:rsidRPr="00DE2853">
        <w:t>would</w:t>
      </w:r>
      <w:r w:rsidR="00C64050">
        <w:t xml:space="preserve"> </w:t>
      </w:r>
      <w:r w:rsidR="00FC3569" w:rsidRPr="00DE2853">
        <w:t>avoid</w:t>
      </w:r>
      <w:r w:rsidR="00C64050">
        <w:t xml:space="preserve"> </w:t>
      </w:r>
      <w:r w:rsidR="00FC3569" w:rsidRPr="00DE2853">
        <w:t>violating</w:t>
      </w:r>
      <w:r w:rsidR="00C64050">
        <w:t xml:space="preserve"> </w:t>
      </w:r>
      <w:r w:rsidR="00FC3569" w:rsidRPr="00DE2853">
        <w:t>the</w:t>
      </w:r>
      <w:r w:rsidR="00C64050">
        <w:t xml:space="preserve"> </w:t>
      </w:r>
      <w:r w:rsidR="00FC3569" w:rsidRPr="00DE2853">
        <w:t>prohibition</w:t>
      </w:r>
      <w:r w:rsidR="00C64050">
        <w:t xml:space="preserve"> </w:t>
      </w:r>
      <w:r w:rsidR="00FC3569" w:rsidRPr="00DE2853">
        <w:t>against</w:t>
      </w:r>
      <w:r w:rsidR="00C64050">
        <w:t xml:space="preserve"> </w:t>
      </w:r>
      <w:r w:rsidR="00FC3569" w:rsidRPr="00DE2853">
        <w:t>excess</w:t>
      </w:r>
      <w:r w:rsidR="00C64050">
        <w:t xml:space="preserve"> </w:t>
      </w:r>
      <w:r w:rsidR="00FC3569" w:rsidRPr="00DE2853">
        <w:t>business</w:t>
      </w:r>
      <w:r w:rsidR="00C64050">
        <w:t xml:space="preserve"> </w:t>
      </w:r>
      <w:r w:rsidR="00FC3569" w:rsidRPr="00DE2853">
        <w:t>holdings</w:t>
      </w:r>
      <w:r w:rsidR="00C64050">
        <w:t xml:space="preserve"> </w:t>
      </w:r>
      <w:r w:rsidR="00FC3569" w:rsidRPr="00DE2853">
        <w:t>under</w:t>
      </w:r>
      <w:r w:rsidR="00C64050">
        <w:t xml:space="preserve"> </w:t>
      </w:r>
      <w:r>
        <w:t>section</w:t>
      </w:r>
      <w:r w:rsidR="00C64050">
        <w:t xml:space="preserve"> </w:t>
      </w:r>
      <w:r w:rsidR="00FC3569" w:rsidRPr="00DE2853">
        <w:t>4943.</w:t>
      </w:r>
      <w:r w:rsidR="00C64050">
        <w:t xml:space="preserve"> </w:t>
      </w:r>
      <w:r w:rsidR="00FC3569">
        <w:t>If</w:t>
      </w:r>
      <w:r w:rsidR="00C64050">
        <w:t xml:space="preserve"> </w:t>
      </w:r>
      <w:r w:rsidR="00FC3569">
        <w:t>an</w:t>
      </w:r>
      <w:r w:rsidR="00C64050">
        <w:t xml:space="preserve"> </w:t>
      </w:r>
      <w:r w:rsidR="00FC3569">
        <w:t>owner</w:t>
      </w:r>
      <w:r w:rsidR="00C64050">
        <w:t xml:space="preserve"> </w:t>
      </w:r>
      <w:r w:rsidR="00FC3569">
        <w:t>transferred</w:t>
      </w:r>
      <w:r w:rsidR="00C64050">
        <w:t xml:space="preserve"> </w:t>
      </w:r>
      <w:r w:rsidR="00FC3569">
        <w:t>interests</w:t>
      </w:r>
      <w:r w:rsidR="00C64050">
        <w:t xml:space="preserve"> </w:t>
      </w:r>
      <w:r w:rsidR="00FC3569">
        <w:t>in</w:t>
      </w:r>
      <w:r w:rsidR="00C64050">
        <w:t xml:space="preserve"> </w:t>
      </w:r>
      <w:r w:rsidR="00FC3569">
        <w:t>a</w:t>
      </w:r>
      <w:r w:rsidR="00C64050">
        <w:t xml:space="preserve"> </w:t>
      </w:r>
      <w:r w:rsidR="00FC3569">
        <w:t>closely-owned</w:t>
      </w:r>
      <w:r w:rsidR="00C64050">
        <w:t xml:space="preserve"> </w:t>
      </w:r>
      <w:r w:rsidR="00FC3569">
        <w:t>business</w:t>
      </w:r>
      <w:r w:rsidR="00C64050">
        <w:t xml:space="preserve"> </w:t>
      </w:r>
      <w:r w:rsidR="00FC3569">
        <w:t>to</w:t>
      </w:r>
      <w:r w:rsidR="00C64050">
        <w:t xml:space="preserve"> </w:t>
      </w:r>
      <w:r w:rsidR="00FC3569">
        <w:t>a</w:t>
      </w:r>
      <w:r w:rsidR="00C64050">
        <w:t xml:space="preserve"> </w:t>
      </w:r>
      <w:r w:rsidR="00FC3569">
        <w:t>private</w:t>
      </w:r>
      <w:r w:rsidR="00C64050">
        <w:t xml:space="preserve"> </w:t>
      </w:r>
      <w:r w:rsidR="00FC3569">
        <w:t>foundation</w:t>
      </w:r>
      <w:r w:rsidR="00C64050">
        <w:t xml:space="preserve"> </w:t>
      </w:r>
      <w:r w:rsidR="00FC3569">
        <w:t>in</w:t>
      </w:r>
      <w:r w:rsidR="00C64050">
        <w:t xml:space="preserve"> </w:t>
      </w:r>
      <w:r w:rsidR="00FC3569">
        <w:t>conjunction</w:t>
      </w:r>
      <w:r w:rsidR="00C64050">
        <w:t xml:space="preserve"> </w:t>
      </w:r>
      <w:r w:rsidR="00FC3569">
        <w:t>with</w:t>
      </w:r>
      <w:r w:rsidR="00C64050">
        <w:t xml:space="preserve"> </w:t>
      </w:r>
      <w:r w:rsidR="00FC3569">
        <w:t>a</w:t>
      </w:r>
      <w:r w:rsidR="00C64050">
        <w:t xml:space="preserve"> </w:t>
      </w:r>
      <w:r w:rsidR="00FC3569">
        <w:t>transfer</w:t>
      </w:r>
      <w:r w:rsidR="00C64050">
        <w:t xml:space="preserve"> </w:t>
      </w:r>
      <w:r w:rsidR="00FC3569">
        <w:t>to</w:t>
      </w:r>
      <w:r w:rsidR="00C64050">
        <w:t xml:space="preserve"> </w:t>
      </w:r>
      <w:r w:rsidR="00FC3569">
        <w:t>a</w:t>
      </w:r>
      <w:r w:rsidR="00C64050">
        <w:t xml:space="preserve"> </w:t>
      </w:r>
      <w:r w:rsidR="00FC3569">
        <w:t>section</w:t>
      </w:r>
      <w:r w:rsidR="00C64050">
        <w:t xml:space="preserve"> </w:t>
      </w:r>
      <w:r w:rsidR="00FC3569">
        <w:t>501(c)(4)</w:t>
      </w:r>
      <w:r w:rsidR="00C64050">
        <w:t xml:space="preserve"> </w:t>
      </w:r>
      <w:r w:rsidR="00FC3569">
        <w:t>organization,</w:t>
      </w:r>
      <w:r w:rsidR="00C64050">
        <w:t xml:space="preserve"> </w:t>
      </w:r>
      <w:r w:rsidR="00FC3569">
        <w:t>it</w:t>
      </w:r>
      <w:r w:rsidR="00C64050">
        <w:t xml:space="preserve"> </w:t>
      </w:r>
      <w:r w:rsidR="00FC3569">
        <w:t>may</w:t>
      </w:r>
      <w:r w:rsidR="00C64050">
        <w:t xml:space="preserve"> </w:t>
      </w:r>
      <w:r w:rsidR="00FC3569">
        <w:t>be</w:t>
      </w:r>
      <w:r w:rsidR="00C64050">
        <w:t xml:space="preserve"> </w:t>
      </w:r>
      <w:r w:rsidR="00FC3569">
        <w:t>possible</w:t>
      </w:r>
      <w:r w:rsidR="00C64050">
        <w:t xml:space="preserve"> </w:t>
      </w:r>
      <w:r w:rsidR="00FC3569">
        <w:t>to</w:t>
      </w:r>
      <w:r w:rsidR="00C64050">
        <w:t xml:space="preserve"> </w:t>
      </w:r>
      <w:r w:rsidR="00FC3569">
        <w:t>avoid</w:t>
      </w:r>
      <w:r w:rsidR="00C64050">
        <w:t xml:space="preserve"> </w:t>
      </w:r>
      <w:r w:rsidR="00FC3569">
        <w:t>excess</w:t>
      </w:r>
      <w:r w:rsidR="00C64050">
        <w:t xml:space="preserve"> </w:t>
      </w:r>
      <w:r w:rsidR="00FC3569">
        <w:t>business</w:t>
      </w:r>
      <w:r w:rsidR="00C64050">
        <w:t xml:space="preserve"> </w:t>
      </w:r>
      <w:r w:rsidR="00FC3569">
        <w:t>holdings.</w:t>
      </w:r>
      <w:r w:rsidR="00C64050">
        <w:t xml:space="preserve">  </w:t>
      </w:r>
    </w:p>
    <w:p w:rsidR="00FC3569" w:rsidRDefault="00FC3569" w:rsidP="00FC3569">
      <w:pPr>
        <w:pStyle w:val="Body15"/>
      </w:pPr>
      <w:r>
        <w:t>To</w:t>
      </w:r>
      <w:r w:rsidR="00C64050">
        <w:t xml:space="preserve"> </w:t>
      </w:r>
      <w:r>
        <w:t>illustrate,</w:t>
      </w:r>
      <w:r w:rsidR="00C64050">
        <w:t xml:space="preserve">  </w:t>
      </w:r>
    </w:p>
    <w:p w:rsidR="00FC3569" w:rsidRDefault="00A67159" w:rsidP="00A67159">
      <w:pPr>
        <w:pStyle w:val="QS10"/>
      </w:pPr>
      <w:r>
        <w:t>•</w:t>
      </w:r>
      <w:r>
        <w:tab/>
      </w:r>
      <w:r w:rsidR="00FC3569">
        <w:t>Donor</w:t>
      </w:r>
      <w:r w:rsidR="00C64050">
        <w:t xml:space="preserve"> </w:t>
      </w:r>
      <w:r w:rsidR="00FC3569">
        <w:t>could</w:t>
      </w:r>
      <w:r w:rsidR="00C64050">
        <w:t xml:space="preserve"> </w:t>
      </w:r>
      <w:r w:rsidR="00FC3569">
        <w:t>recapitalize</w:t>
      </w:r>
      <w:r w:rsidR="00C64050">
        <w:t xml:space="preserve"> </w:t>
      </w:r>
      <w:r w:rsidR="00FC3569">
        <w:t>her</w:t>
      </w:r>
      <w:r w:rsidR="00C64050">
        <w:t xml:space="preserve"> </w:t>
      </w:r>
      <w:r w:rsidR="00FC3569">
        <w:t>closely-held</w:t>
      </w:r>
      <w:r w:rsidR="00C64050">
        <w:t xml:space="preserve"> </w:t>
      </w:r>
      <w:r w:rsidR="00FC3569">
        <w:t>business</w:t>
      </w:r>
      <w:r w:rsidR="00C64050">
        <w:t xml:space="preserve"> </w:t>
      </w:r>
      <w:r w:rsidR="00FC3569">
        <w:t>enterprise</w:t>
      </w:r>
      <w:r w:rsidR="00C64050">
        <w:t xml:space="preserve"> </w:t>
      </w:r>
      <w:r w:rsidR="00FC3569">
        <w:t>from</w:t>
      </w:r>
      <w:r w:rsidR="00C64050">
        <w:t xml:space="preserve"> </w:t>
      </w:r>
      <w:r w:rsidR="00FC3569">
        <w:t>1</w:t>
      </w:r>
      <w:r w:rsidR="00C64050">
        <w:t xml:space="preserve"> </w:t>
      </w:r>
      <w:r w:rsidR="00FC3569">
        <w:t>million</w:t>
      </w:r>
      <w:r w:rsidR="00C64050">
        <w:t xml:space="preserve"> </w:t>
      </w:r>
      <w:r w:rsidR="00FC3569">
        <w:t>shares</w:t>
      </w:r>
      <w:r w:rsidR="00C64050">
        <w:t xml:space="preserve"> </w:t>
      </w:r>
      <w:r w:rsidR="00FC3569">
        <w:t>of</w:t>
      </w:r>
      <w:r w:rsidR="00C64050">
        <w:t xml:space="preserve"> </w:t>
      </w:r>
      <w:r w:rsidR="00FC3569">
        <w:t>common</w:t>
      </w:r>
      <w:r w:rsidR="00C64050">
        <w:t xml:space="preserve"> </w:t>
      </w:r>
      <w:r w:rsidR="00FC3569">
        <w:t>stock</w:t>
      </w:r>
      <w:r w:rsidR="00C64050">
        <w:t xml:space="preserve"> </w:t>
      </w:r>
      <w:r w:rsidR="00FC3569">
        <w:t>to</w:t>
      </w:r>
      <w:r w:rsidR="00C64050">
        <w:t xml:space="preserve"> </w:t>
      </w:r>
      <w:r w:rsidR="00FC3569">
        <w:t>100,000</w:t>
      </w:r>
      <w:r w:rsidR="00C64050">
        <w:t xml:space="preserve"> </w:t>
      </w:r>
      <w:r w:rsidR="00FC3569">
        <w:t>shares</w:t>
      </w:r>
      <w:r w:rsidR="00C64050">
        <w:t xml:space="preserve"> </w:t>
      </w:r>
      <w:r w:rsidR="00FC3569">
        <w:t>of</w:t>
      </w:r>
      <w:r w:rsidR="00C64050">
        <w:t xml:space="preserve"> </w:t>
      </w:r>
      <w:r w:rsidR="00FC3569">
        <w:t>voting</w:t>
      </w:r>
      <w:r w:rsidR="00C64050">
        <w:t xml:space="preserve"> </w:t>
      </w:r>
      <w:r w:rsidR="00FC3569">
        <w:t>stock</w:t>
      </w:r>
      <w:r w:rsidR="00C64050">
        <w:t xml:space="preserve"> </w:t>
      </w:r>
      <w:r w:rsidR="00FC3569">
        <w:t>and</w:t>
      </w:r>
      <w:r w:rsidR="00C64050">
        <w:t xml:space="preserve"> </w:t>
      </w:r>
      <w:r w:rsidR="00FC3569">
        <w:t>900,000</w:t>
      </w:r>
      <w:r w:rsidR="00C64050">
        <w:t xml:space="preserve"> </w:t>
      </w:r>
      <w:r w:rsidR="00FC3569">
        <w:t>shares</w:t>
      </w:r>
      <w:r w:rsidR="00C64050">
        <w:t xml:space="preserve"> </w:t>
      </w:r>
      <w:r w:rsidR="00FC3569">
        <w:t>of</w:t>
      </w:r>
      <w:r w:rsidR="00C64050">
        <w:t xml:space="preserve"> </w:t>
      </w:r>
      <w:r w:rsidR="00FC3569">
        <w:t>nonvoting</w:t>
      </w:r>
      <w:r w:rsidR="00C64050">
        <w:t xml:space="preserve"> </w:t>
      </w:r>
      <w:r w:rsidR="00FC3569">
        <w:t>stock.</w:t>
      </w:r>
    </w:p>
    <w:p w:rsidR="00FC3569" w:rsidRDefault="00A67159" w:rsidP="00A67159">
      <w:pPr>
        <w:pStyle w:val="QS10"/>
      </w:pPr>
      <w:r>
        <w:t>•</w:t>
      </w:r>
      <w:r>
        <w:tab/>
      </w:r>
      <w:r w:rsidR="00FC3569">
        <w:t>Donor</w:t>
      </w:r>
      <w:r w:rsidR="00C64050">
        <w:t xml:space="preserve"> </w:t>
      </w:r>
      <w:r w:rsidR="00FC3569">
        <w:t>then</w:t>
      </w:r>
      <w:r w:rsidR="00C64050">
        <w:t xml:space="preserve"> </w:t>
      </w:r>
      <w:r w:rsidR="00FC3569">
        <w:t>could</w:t>
      </w:r>
      <w:r w:rsidR="00C64050">
        <w:t xml:space="preserve"> </w:t>
      </w:r>
      <w:r w:rsidR="00FC3569">
        <w:t>contribute</w:t>
      </w:r>
      <w:r w:rsidR="00C64050">
        <w:t xml:space="preserve"> </w:t>
      </w:r>
      <w:r w:rsidR="00FC3569">
        <w:t>80,000</w:t>
      </w:r>
      <w:r w:rsidR="00C64050">
        <w:t xml:space="preserve"> </w:t>
      </w:r>
      <w:r w:rsidR="00FC3569">
        <w:t>shares</w:t>
      </w:r>
      <w:r w:rsidR="00C64050">
        <w:t xml:space="preserve"> </w:t>
      </w:r>
      <w:r w:rsidR="00FC3569">
        <w:t>of</w:t>
      </w:r>
      <w:r w:rsidR="00C64050">
        <w:t xml:space="preserve"> </w:t>
      </w:r>
      <w:r w:rsidR="00FC3569">
        <w:t>voting</w:t>
      </w:r>
      <w:r w:rsidR="00C64050">
        <w:t xml:space="preserve"> </w:t>
      </w:r>
      <w:r w:rsidR="00FC3569">
        <w:t>stock</w:t>
      </w:r>
      <w:r w:rsidR="00C64050">
        <w:t xml:space="preserve"> </w:t>
      </w:r>
      <w:r w:rsidR="00FC3569">
        <w:t>to</w:t>
      </w:r>
      <w:r w:rsidR="00C64050">
        <w:t xml:space="preserve"> </w:t>
      </w:r>
      <w:r w:rsidR="00FC3569">
        <w:t>a</w:t>
      </w:r>
      <w:r w:rsidR="00C64050">
        <w:t xml:space="preserve"> </w:t>
      </w:r>
      <w:r w:rsidR="00FC3569">
        <w:t>new</w:t>
      </w:r>
      <w:r w:rsidR="00C64050">
        <w:t xml:space="preserve"> </w:t>
      </w:r>
      <w:r w:rsidR="00FC3569">
        <w:t>section</w:t>
      </w:r>
      <w:r w:rsidR="00C64050">
        <w:t xml:space="preserve"> </w:t>
      </w:r>
      <w:r w:rsidR="00FC3569">
        <w:t>501(c)(4)</w:t>
      </w:r>
      <w:r w:rsidR="00C64050">
        <w:t xml:space="preserve"> </w:t>
      </w:r>
      <w:r w:rsidR="00FC3569">
        <w:t>organization</w:t>
      </w:r>
      <w:r w:rsidR="00C64050">
        <w:t xml:space="preserve"> </w:t>
      </w:r>
      <w:r w:rsidR="00FC3569">
        <w:t>that</w:t>
      </w:r>
      <w:r w:rsidR="00C64050">
        <w:t xml:space="preserve"> </w:t>
      </w:r>
      <w:r w:rsidR="00FC3569">
        <w:t>Donor’s</w:t>
      </w:r>
      <w:r w:rsidR="00C64050">
        <w:t xml:space="preserve"> </w:t>
      </w:r>
      <w:r w:rsidR="00FC3569">
        <w:t>family</w:t>
      </w:r>
      <w:r w:rsidR="00C64050">
        <w:t xml:space="preserve"> </w:t>
      </w:r>
      <w:r w:rsidR="00FC3569">
        <w:t>controls,</w:t>
      </w:r>
      <w:r w:rsidR="00C64050">
        <w:t xml:space="preserve"> </w:t>
      </w:r>
      <w:r w:rsidR="00FC3569">
        <w:t>without</w:t>
      </w:r>
      <w:r w:rsidR="00C64050">
        <w:t xml:space="preserve"> </w:t>
      </w:r>
      <w:r w:rsidR="00FC3569">
        <w:t>incurring</w:t>
      </w:r>
      <w:r w:rsidR="00C64050">
        <w:t xml:space="preserve"> </w:t>
      </w:r>
      <w:r w:rsidR="00FC3569">
        <w:t>gift</w:t>
      </w:r>
      <w:r w:rsidR="00C64050">
        <w:t xml:space="preserve"> </w:t>
      </w:r>
      <w:r w:rsidR="00FC3569">
        <w:t>tax.</w:t>
      </w:r>
    </w:p>
    <w:p w:rsidR="00FC3569" w:rsidRDefault="00A67159" w:rsidP="00A67159">
      <w:pPr>
        <w:pStyle w:val="QS10"/>
      </w:pPr>
      <w:r>
        <w:t>•</w:t>
      </w:r>
      <w:r>
        <w:tab/>
      </w:r>
      <w:r w:rsidR="00FC3569">
        <w:t>At</w:t>
      </w:r>
      <w:r w:rsidR="00C64050">
        <w:t xml:space="preserve"> </w:t>
      </w:r>
      <w:r w:rsidR="00FC3569">
        <w:t>death,</w:t>
      </w:r>
      <w:r w:rsidR="00C64050">
        <w:t xml:space="preserve"> </w:t>
      </w:r>
      <w:r w:rsidR="00FC3569">
        <w:t>Donor</w:t>
      </w:r>
      <w:r w:rsidR="00C64050">
        <w:t xml:space="preserve"> </w:t>
      </w:r>
      <w:r w:rsidR="00FC3569">
        <w:t>could</w:t>
      </w:r>
      <w:r w:rsidR="00C64050">
        <w:t xml:space="preserve"> </w:t>
      </w:r>
      <w:r w:rsidR="00FC3569">
        <w:t>contribute</w:t>
      </w:r>
      <w:r w:rsidR="00C64050">
        <w:t xml:space="preserve"> </w:t>
      </w:r>
      <w:r w:rsidR="00FC3569">
        <w:t>20</w:t>
      </w:r>
      <w:r w:rsidR="00C64050">
        <w:t xml:space="preserve"> </w:t>
      </w:r>
      <w:r w:rsidR="00FC3569">
        <w:t>percent</w:t>
      </w:r>
      <w:r w:rsidR="00C64050">
        <w:t xml:space="preserve"> </w:t>
      </w:r>
      <w:r w:rsidR="00FC3569">
        <w:t>of</w:t>
      </w:r>
      <w:r w:rsidR="00C64050">
        <w:t xml:space="preserve"> </w:t>
      </w:r>
      <w:r w:rsidR="00FC3569">
        <w:t>voting</w:t>
      </w:r>
      <w:r w:rsidR="00C64050">
        <w:t xml:space="preserve"> </w:t>
      </w:r>
      <w:r w:rsidR="00FC3569">
        <w:t>stock</w:t>
      </w:r>
      <w:r w:rsidR="00C64050">
        <w:t xml:space="preserve"> </w:t>
      </w:r>
      <w:r w:rsidR="00FC3569">
        <w:t>and</w:t>
      </w:r>
      <w:r w:rsidR="00C64050">
        <w:t xml:space="preserve"> </w:t>
      </w:r>
      <w:r w:rsidR="00FC3569">
        <w:t>all</w:t>
      </w:r>
      <w:r w:rsidR="00C64050">
        <w:t xml:space="preserve"> </w:t>
      </w:r>
      <w:r w:rsidR="00FC3569">
        <w:t>nonvoting</w:t>
      </w:r>
      <w:r w:rsidR="00C64050">
        <w:t xml:space="preserve"> </w:t>
      </w:r>
      <w:r w:rsidR="00FC3569">
        <w:t>stock</w:t>
      </w:r>
      <w:r w:rsidR="00C64050">
        <w:t xml:space="preserve"> </w:t>
      </w:r>
      <w:r w:rsidR="00FC3569">
        <w:t>to</w:t>
      </w:r>
      <w:r w:rsidR="00C64050">
        <w:t xml:space="preserve"> </w:t>
      </w:r>
      <w:r w:rsidR="00FC3569">
        <w:t>a</w:t>
      </w:r>
      <w:r w:rsidR="00C64050">
        <w:t xml:space="preserve"> </w:t>
      </w:r>
      <w:r w:rsidR="00FC3569">
        <w:t>private</w:t>
      </w:r>
      <w:r w:rsidR="00C64050">
        <w:t xml:space="preserve"> </w:t>
      </w:r>
      <w:r w:rsidR="00FC3569">
        <w:t>foundation,</w:t>
      </w:r>
      <w:r w:rsidR="00C64050">
        <w:t xml:space="preserve"> </w:t>
      </w:r>
      <w:r w:rsidR="00FC3569">
        <w:t>and</w:t>
      </w:r>
      <w:r w:rsidR="00C64050">
        <w:t xml:space="preserve"> </w:t>
      </w:r>
      <w:r w:rsidR="00FC3569">
        <w:t>the</w:t>
      </w:r>
      <w:r w:rsidR="00C64050">
        <w:t xml:space="preserve"> </w:t>
      </w:r>
      <w:r w:rsidR="00FC3569">
        <w:t>section</w:t>
      </w:r>
      <w:r w:rsidR="00C64050">
        <w:t xml:space="preserve"> </w:t>
      </w:r>
      <w:r w:rsidR="00FC3569">
        <w:t>501(c)(4)</w:t>
      </w:r>
      <w:r w:rsidR="00C64050">
        <w:t xml:space="preserve"> </w:t>
      </w:r>
      <w:r w:rsidR="00FC3569">
        <w:t>organization</w:t>
      </w:r>
      <w:r w:rsidR="00C64050">
        <w:t xml:space="preserve"> </w:t>
      </w:r>
      <w:r w:rsidR="00FC3569">
        <w:t>would</w:t>
      </w:r>
      <w:r w:rsidR="00C64050">
        <w:t xml:space="preserve"> </w:t>
      </w:r>
      <w:r w:rsidR="00FC3569">
        <w:t>own</w:t>
      </w:r>
      <w:r w:rsidR="00C64050">
        <w:t xml:space="preserve"> </w:t>
      </w:r>
      <w:r w:rsidR="00FC3569">
        <w:t>80</w:t>
      </w:r>
      <w:r w:rsidR="00C64050">
        <w:t xml:space="preserve"> </w:t>
      </w:r>
      <w:r w:rsidR="00FC3569">
        <w:t>percent</w:t>
      </w:r>
      <w:r w:rsidR="00C64050">
        <w:t xml:space="preserve"> </w:t>
      </w:r>
      <w:r w:rsidR="00FC3569">
        <w:t>of</w:t>
      </w:r>
      <w:r w:rsidR="00C64050">
        <w:t xml:space="preserve"> </w:t>
      </w:r>
      <w:r w:rsidR="00FC3569">
        <w:t>the</w:t>
      </w:r>
      <w:r w:rsidR="00C64050">
        <w:t xml:space="preserve"> </w:t>
      </w:r>
      <w:r w:rsidR="00FC3569">
        <w:t>voting</w:t>
      </w:r>
      <w:r w:rsidR="00C64050">
        <w:t xml:space="preserve"> </w:t>
      </w:r>
      <w:r w:rsidR="00FC3569">
        <w:t>stock.</w:t>
      </w:r>
    </w:p>
    <w:p w:rsidR="00FC3569" w:rsidRPr="00F72CFC" w:rsidRDefault="00FC3569" w:rsidP="00A67159">
      <w:pPr>
        <w:pStyle w:val="Body15"/>
      </w:pPr>
      <w:r w:rsidRPr="00F72CFC">
        <w:t>If</w:t>
      </w:r>
      <w:r w:rsidR="00C64050">
        <w:t xml:space="preserve"> </w:t>
      </w:r>
      <w:r w:rsidRPr="00F72CFC">
        <w:t>a</w:t>
      </w:r>
      <w:r w:rsidR="00C64050">
        <w:t xml:space="preserve"> </w:t>
      </w:r>
      <w:r>
        <w:t>section</w:t>
      </w:r>
      <w:r w:rsidR="00C64050">
        <w:t xml:space="preserve"> </w:t>
      </w:r>
      <w:r w:rsidRPr="00F72CFC">
        <w:t>501(c)(4)</w:t>
      </w:r>
      <w:r w:rsidR="00C64050">
        <w:t xml:space="preserve"> </w:t>
      </w:r>
      <w:r w:rsidRPr="00F72CFC">
        <w:t>organization</w:t>
      </w:r>
      <w:r w:rsidR="00C64050">
        <w:t xml:space="preserve"> </w:t>
      </w:r>
      <w:r w:rsidRPr="00F72CFC">
        <w:t>is</w:t>
      </w:r>
      <w:r w:rsidR="00C64050">
        <w:t xml:space="preserve"> </w:t>
      </w:r>
      <w:r w:rsidRPr="00F72CFC">
        <w:t>not</w:t>
      </w:r>
      <w:r w:rsidR="00C64050">
        <w:t xml:space="preserve"> </w:t>
      </w:r>
      <w:r w:rsidRPr="00F72CFC">
        <w:t>a</w:t>
      </w:r>
      <w:r w:rsidR="00C64050">
        <w:t xml:space="preserve"> </w:t>
      </w:r>
      <w:r w:rsidRPr="00F72CFC">
        <w:t>d</w:t>
      </w:r>
      <w:r>
        <w:t>isqualified</w:t>
      </w:r>
      <w:r w:rsidR="00C64050">
        <w:t xml:space="preserve"> </w:t>
      </w:r>
      <w:r>
        <w:t>person</w:t>
      </w:r>
      <w:r w:rsidR="00C64050">
        <w:t xml:space="preserve"> </w:t>
      </w:r>
      <w:r>
        <w:t>(</w:t>
      </w:r>
      <w:r w:rsidRPr="00F72CFC">
        <w:t>even</w:t>
      </w:r>
      <w:r w:rsidR="00C64050">
        <w:t xml:space="preserve"> </w:t>
      </w:r>
      <w:r w:rsidRPr="00F72CFC">
        <w:t>if</w:t>
      </w:r>
      <w:r w:rsidR="00C64050">
        <w:t xml:space="preserve"> </w:t>
      </w:r>
      <w:r w:rsidRPr="00F72CFC">
        <w:t>it</w:t>
      </w:r>
      <w:r w:rsidR="00C64050">
        <w:t xml:space="preserve"> </w:t>
      </w:r>
      <w:r w:rsidRPr="00F72CFC">
        <w:t>is</w:t>
      </w:r>
      <w:r w:rsidR="00C64050">
        <w:t xml:space="preserve"> </w:t>
      </w:r>
      <w:r w:rsidRPr="00F72CFC">
        <w:t>controlled</w:t>
      </w:r>
      <w:r w:rsidR="00C64050">
        <w:t xml:space="preserve"> </w:t>
      </w:r>
      <w:r w:rsidRPr="00F72CFC">
        <w:t>by</w:t>
      </w:r>
      <w:r w:rsidR="00C64050">
        <w:t xml:space="preserve"> </w:t>
      </w:r>
      <w:r w:rsidRPr="00F72CFC">
        <w:t>one</w:t>
      </w:r>
      <w:r w:rsidR="00C64050">
        <w:t xml:space="preserve"> </w:t>
      </w:r>
      <w:r>
        <w:t>or</w:t>
      </w:r>
      <w:r w:rsidR="00C64050">
        <w:t xml:space="preserve"> </w:t>
      </w:r>
      <w:r>
        <w:t>more</w:t>
      </w:r>
      <w:r w:rsidR="00C64050">
        <w:t xml:space="preserve"> </w:t>
      </w:r>
      <w:r>
        <w:t>disqualified</w:t>
      </w:r>
      <w:r w:rsidR="00C64050">
        <w:t xml:space="preserve"> </w:t>
      </w:r>
      <w:r>
        <w:t>persons)</w:t>
      </w:r>
      <w:r w:rsidR="00C64050">
        <w:t xml:space="preserve"> </w:t>
      </w:r>
      <w:r w:rsidRPr="00F72CFC">
        <w:t>it</w:t>
      </w:r>
      <w:r w:rsidR="00C64050">
        <w:t xml:space="preserve"> </w:t>
      </w:r>
      <w:r w:rsidRPr="00F72CFC">
        <w:t>would</w:t>
      </w:r>
      <w:r w:rsidR="00C64050">
        <w:t xml:space="preserve"> </w:t>
      </w:r>
      <w:r w:rsidRPr="00F72CFC">
        <w:t>be</w:t>
      </w:r>
      <w:r w:rsidR="00C64050">
        <w:t xml:space="preserve"> </w:t>
      </w:r>
      <w:r w:rsidRPr="00F72CFC">
        <w:t>permissible</w:t>
      </w:r>
      <w:r w:rsidR="00C64050">
        <w:t xml:space="preserve"> </w:t>
      </w:r>
      <w:r w:rsidRPr="00F72CFC">
        <w:t>for</w:t>
      </w:r>
      <w:r w:rsidR="00C64050">
        <w:t xml:space="preserve"> </w:t>
      </w:r>
      <w:r w:rsidRPr="00F72CFC">
        <w:t>a</w:t>
      </w:r>
      <w:r w:rsidR="00C64050">
        <w:t xml:space="preserve"> </w:t>
      </w:r>
      <w:r w:rsidRPr="00F72CFC">
        <w:t>private</w:t>
      </w:r>
      <w:r w:rsidR="00C64050">
        <w:t xml:space="preserve"> </w:t>
      </w:r>
      <w:r w:rsidRPr="00F72CFC">
        <w:t>foundation</w:t>
      </w:r>
      <w:r w:rsidR="00C64050">
        <w:t xml:space="preserve"> </w:t>
      </w:r>
      <w:r w:rsidRPr="00F72CFC">
        <w:t>and</w:t>
      </w:r>
      <w:r w:rsidR="00C64050">
        <w:t xml:space="preserve"> </w:t>
      </w:r>
      <w:r>
        <w:t>the</w:t>
      </w:r>
      <w:r w:rsidR="00C64050">
        <w:t xml:space="preserve"> </w:t>
      </w:r>
      <w:r>
        <w:t>section</w:t>
      </w:r>
      <w:r w:rsidR="00C64050">
        <w:t xml:space="preserve"> </w:t>
      </w:r>
      <w:r w:rsidRPr="00F72CFC">
        <w:t>501(c)(4)</w:t>
      </w:r>
      <w:r w:rsidR="00C64050">
        <w:t xml:space="preserve"> </w:t>
      </w:r>
      <w:r w:rsidRPr="00F72CFC">
        <w:t>organization</w:t>
      </w:r>
      <w:r w:rsidR="00C64050">
        <w:t xml:space="preserve"> </w:t>
      </w:r>
      <w:r w:rsidRPr="00F72CFC">
        <w:t>to</w:t>
      </w:r>
      <w:r w:rsidR="00C64050">
        <w:t xml:space="preserve"> </w:t>
      </w:r>
      <w:r w:rsidRPr="00F72CFC">
        <w:t>enter</w:t>
      </w:r>
      <w:r w:rsidR="00C64050">
        <w:t xml:space="preserve"> </w:t>
      </w:r>
      <w:r w:rsidRPr="00F72CFC">
        <w:t>into</w:t>
      </w:r>
      <w:r w:rsidR="00C64050">
        <w:t xml:space="preserve"> </w:t>
      </w:r>
      <w:r w:rsidRPr="00F72CFC">
        <w:t>transactions</w:t>
      </w:r>
      <w:r w:rsidR="00C64050">
        <w:t xml:space="preserve"> </w:t>
      </w:r>
      <w:r w:rsidRPr="00F72CFC">
        <w:t>that</w:t>
      </w:r>
      <w:r w:rsidR="00C64050">
        <w:t xml:space="preserve"> </w:t>
      </w:r>
      <w:r w:rsidRPr="00F72CFC">
        <w:t>ordinarily</w:t>
      </w:r>
      <w:r w:rsidR="00C64050">
        <w:t xml:space="preserve"> </w:t>
      </w:r>
      <w:r w:rsidRPr="00F72CFC">
        <w:t>would</w:t>
      </w:r>
      <w:r w:rsidR="00C64050">
        <w:t xml:space="preserve"> </w:t>
      </w:r>
      <w:r w:rsidRPr="00F72CFC">
        <w:t>be</w:t>
      </w:r>
      <w:r w:rsidR="00C64050">
        <w:t xml:space="preserve"> </w:t>
      </w:r>
      <w:r w:rsidRPr="00F72CFC">
        <w:t>treated</w:t>
      </w:r>
      <w:r w:rsidR="00C64050">
        <w:t xml:space="preserve"> </w:t>
      </w:r>
      <w:r w:rsidRPr="00F72CFC">
        <w:t>as</w:t>
      </w:r>
      <w:r w:rsidR="00C64050">
        <w:t xml:space="preserve"> </w:t>
      </w:r>
      <w:r w:rsidRPr="00F72CFC">
        <w:t>self-dealing.</w:t>
      </w:r>
      <w:r w:rsidR="00C64050">
        <w:t xml:space="preserve"> </w:t>
      </w:r>
      <w:r w:rsidRPr="00F72CFC">
        <w:t>For</w:t>
      </w:r>
      <w:r w:rsidR="00C64050">
        <w:t xml:space="preserve"> </w:t>
      </w:r>
      <w:r w:rsidRPr="00F72CFC">
        <w:t>example</w:t>
      </w:r>
      <w:r w:rsidR="00C64050">
        <w:t xml:space="preserve"> </w:t>
      </w:r>
      <w:r w:rsidRPr="00F72CFC">
        <w:t>a</w:t>
      </w:r>
      <w:r w:rsidR="00C64050">
        <w:t xml:space="preserve"> </w:t>
      </w:r>
      <w:r>
        <w:t>section</w:t>
      </w:r>
      <w:r w:rsidR="00C64050">
        <w:t xml:space="preserve"> </w:t>
      </w:r>
      <w:r w:rsidRPr="00F72CFC">
        <w:t>501(c)(4)</w:t>
      </w:r>
      <w:r w:rsidR="00C64050">
        <w:t xml:space="preserve"> </w:t>
      </w:r>
      <w:r w:rsidRPr="00F72CFC">
        <w:t>organization</w:t>
      </w:r>
      <w:r w:rsidR="00C64050">
        <w:t xml:space="preserve"> </w:t>
      </w:r>
      <w:r w:rsidRPr="00F72CFC">
        <w:t>could:</w:t>
      </w:r>
    </w:p>
    <w:p w:rsidR="00FC3569" w:rsidRPr="00F72CFC" w:rsidRDefault="00A67159" w:rsidP="00A67159">
      <w:pPr>
        <w:pStyle w:val="QS10"/>
      </w:pPr>
      <w:r>
        <w:t>•</w:t>
      </w:r>
      <w:r>
        <w:tab/>
      </w:r>
      <w:r w:rsidR="00FC3569" w:rsidRPr="00F72CFC">
        <w:t>Purchase</w:t>
      </w:r>
      <w:r w:rsidR="00C64050">
        <w:t xml:space="preserve"> </w:t>
      </w:r>
      <w:r w:rsidR="00FC3569" w:rsidRPr="00F72CFC">
        <w:t>or</w:t>
      </w:r>
      <w:r w:rsidR="00C64050">
        <w:t xml:space="preserve"> </w:t>
      </w:r>
      <w:r w:rsidR="00FC3569" w:rsidRPr="00F72CFC">
        <w:t>borrow</w:t>
      </w:r>
      <w:r w:rsidR="00C64050">
        <w:t xml:space="preserve"> </w:t>
      </w:r>
      <w:r w:rsidR="00FC3569" w:rsidRPr="00F72CFC">
        <w:t>assets</w:t>
      </w:r>
      <w:r w:rsidR="00C64050">
        <w:t xml:space="preserve"> </w:t>
      </w:r>
      <w:r w:rsidR="00FC3569" w:rsidRPr="00F72CFC">
        <w:t>from</w:t>
      </w:r>
      <w:r w:rsidR="00C64050">
        <w:t xml:space="preserve"> </w:t>
      </w:r>
      <w:r w:rsidR="00FC3569" w:rsidRPr="00F72CFC">
        <w:t>a</w:t>
      </w:r>
      <w:r w:rsidR="00C64050">
        <w:t xml:space="preserve"> </w:t>
      </w:r>
      <w:r w:rsidR="00FC3569" w:rsidRPr="00F72CFC">
        <w:t>related</w:t>
      </w:r>
      <w:r w:rsidR="00C64050">
        <w:t xml:space="preserve"> </w:t>
      </w:r>
      <w:r w:rsidR="00FC3569" w:rsidRPr="00F72CFC">
        <w:t>private</w:t>
      </w:r>
      <w:r w:rsidR="00C64050">
        <w:t xml:space="preserve"> </w:t>
      </w:r>
      <w:r w:rsidR="00FC3569" w:rsidRPr="00F72CFC">
        <w:t>foundation</w:t>
      </w:r>
      <w:r w:rsidR="00FC3569">
        <w:t>.</w:t>
      </w:r>
    </w:p>
    <w:p w:rsidR="00FC3569" w:rsidRPr="00F72CFC" w:rsidRDefault="00A67159" w:rsidP="00A67159">
      <w:pPr>
        <w:pStyle w:val="QS10"/>
      </w:pPr>
      <w:r>
        <w:t>•</w:t>
      </w:r>
      <w:r>
        <w:tab/>
      </w:r>
      <w:r w:rsidR="00FC3569" w:rsidRPr="00F72CFC">
        <w:t>Lease</w:t>
      </w:r>
      <w:r w:rsidR="00C64050">
        <w:t xml:space="preserve"> </w:t>
      </w:r>
      <w:r w:rsidR="00FC3569" w:rsidRPr="00F72CFC">
        <w:t>real</w:t>
      </w:r>
      <w:r w:rsidR="00C64050">
        <w:t xml:space="preserve"> </w:t>
      </w:r>
      <w:r w:rsidR="00FC3569" w:rsidRPr="00F72CFC">
        <w:t>estate</w:t>
      </w:r>
      <w:r w:rsidR="00C64050">
        <w:t xml:space="preserve"> </w:t>
      </w:r>
      <w:r w:rsidR="00FC3569" w:rsidRPr="00F72CFC">
        <w:t>to</w:t>
      </w:r>
      <w:r w:rsidR="00C64050">
        <w:t xml:space="preserve"> </w:t>
      </w:r>
      <w:r w:rsidR="00FC3569" w:rsidRPr="00F72CFC">
        <w:t>a</w:t>
      </w:r>
      <w:r w:rsidR="00C64050">
        <w:t xml:space="preserve"> </w:t>
      </w:r>
      <w:r w:rsidR="00FC3569" w:rsidRPr="00F72CFC">
        <w:t>related</w:t>
      </w:r>
      <w:r w:rsidR="00C64050">
        <w:t xml:space="preserve"> </w:t>
      </w:r>
      <w:r w:rsidR="00FC3569" w:rsidRPr="00F72CFC">
        <w:t>private</w:t>
      </w:r>
      <w:r w:rsidR="00C64050">
        <w:t xml:space="preserve"> </w:t>
      </w:r>
      <w:r w:rsidR="00FC3569" w:rsidRPr="00F72CFC">
        <w:t>foundation</w:t>
      </w:r>
      <w:r w:rsidR="00FC3569">
        <w:t>.</w:t>
      </w:r>
    </w:p>
    <w:p w:rsidR="00FC3569" w:rsidRDefault="00A67159" w:rsidP="00A67159">
      <w:pPr>
        <w:pStyle w:val="QS10"/>
      </w:pPr>
      <w:r>
        <w:t>•</w:t>
      </w:r>
      <w:r>
        <w:tab/>
      </w:r>
      <w:r w:rsidR="00FC3569" w:rsidRPr="00F72CFC">
        <w:t>Co-own</w:t>
      </w:r>
      <w:r w:rsidR="00C64050">
        <w:t xml:space="preserve"> </w:t>
      </w:r>
      <w:r w:rsidR="00FC3569" w:rsidRPr="00F72CFC">
        <w:t>and</w:t>
      </w:r>
      <w:r w:rsidR="00C64050">
        <w:t xml:space="preserve"> </w:t>
      </w:r>
      <w:r w:rsidR="00FC3569" w:rsidRPr="00F72CFC">
        <w:t>co-invest</w:t>
      </w:r>
      <w:r w:rsidR="00C64050">
        <w:t xml:space="preserve"> </w:t>
      </w:r>
      <w:r w:rsidR="00FC3569" w:rsidRPr="00F72CFC">
        <w:t>with</w:t>
      </w:r>
      <w:r w:rsidR="00C64050">
        <w:t xml:space="preserve"> </w:t>
      </w:r>
      <w:r w:rsidR="00FC3569" w:rsidRPr="00F72CFC">
        <w:t>a</w:t>
      </w:r>
      <w:r w:rsidR="00C64050">
        <w:t xml:space="preserve"> </w:t>
      </w:r>
      <w:r w:rsidR="00FC3569" w:rsidRPr="00F72CFC">
        <w:t>related</w:t>
      </w:r>
      <w:r w:rsidR="00C64050">
        <w:t xml:space="preserve"> </w:t>
      </w:r>
      <w:r w:rsidR="00FC3569" w:rsidRPr="00F72CFC">
        <w:t>private</w:t>
      </w:r>
      <w:r w:rsidR="00C64050">
        <w:t xml:space="preserve"> </w:t>
      </w:r>
      <w:r w:rsidR="00FC3569" w:rsidRPr="00F72CFC">
        <w:t>foundation</w:t>
      </w:r>
      <w:r w:rsidR="00FC3569">
        <w:t>.</w:t>
      </w:r>
      <w:r w:rsidR="00C64050">
        <w:t xml:space="preserve"> </w:t>
      </w:r>
    </w:p>
    <w:p w:rsidR="00394AAE" w:rsidRPr="00394AAE" w:rsidRDefault="00394AAE" w:rsidP="00B66CCE">
      <w:pPr>
        <w:pStyle w:val="Heading20"/>
        <w:numPr>
          <w:ilvl w:val="1"/>
          <w:numId w:val="34"/>
        </w:numPr>
        <w:tabs>
          <w:tab w:val="clear" w:pos="2700"/>
          <w:tab w:val="num" w:pos="1440"/>
        </w:tabs>
        <w:ind w:left="0"/>
        <w:rPr>
          <w:vanish/>
          <w:specVanish/>
        </w:rPr>
      </w:pPr>
      <w:bookmarkStart w:id="154" w:name="_Toc94704620"/>
      <w:r>
        <w:rPr>
          <w:b/>
          <w:u w:val="single"/>
        </w:rPr>
        <w:t>Estate</w:t>
      </w:r>
      <w:r w:rsidR="00C64050">
        <w:rPr>
          <w:b/>
          <w:u w:val="single"/>
        </w:rPr>
        <w:t xml:space="preserve"> </w:t>
      </w:r>
      <w:r>
        <w:rPr>
          <w:b/>
          <w:u w:val="single"/>
        </w:rPr>
        <w:t>Income</w:t>
      </w:r>
      <w:r w:rsidR="00C64050">
        <w:rPr>
          <w:b/>
          <w:u w:val="single"/>
        </w:rPr>
        <w:t xml:space="preserve"> </w:t>
      </w:r>
      <w:r>
        <w:rPr>
          <w:b/>
          <w:u w:val="single"/>
        </w:rPr>
        <w:t>Tax</w:t>
      </w:r>
      <w:r w:rsidR="00C64050">
        <w:rPr>
          <w:b/>
          <w:u w:val="single"/>
        </w:rPr>
        <w:t xml:space="preserve"> </w:t>
      </w:r>
      <w:r>
        <w:rPr>
          <w:b/>
          <w:u w:val="single"/>
        </w:rPr>
        <w:t>Deduction</w:t>
      </w:r>
      <w:bookmarkEnd w:id="154"/>
    </w:p>
    <w:p w:rsidR="00394AAE" w:rsidRDefault="00394AAE" w:rsidP="00394AAE">
      <w:pPr>
        <w:pStyle w:val="Heading2Body"/>
      </w:pPr>
      <w:r>
        <w:t>.</w:t>
      </w:r>
      <w:r w:rsidR="00C64050">
        <w:t xml:space="preserve">  </w:t>
      </w:r>
      <w:r>
        <w:t>Where</w:t>
      </w:r>
      <w:r w:rsidR="00C64050">
        <w:t xml:space="preserve"> </w:t>
      </w:r>
      <w:r>
        <w:t>a</w:t>
      </w:r>
      <w:r w:rsidR="00C64050">
        <w:t xml:space="preserve"> </w:t>
      </w:r>
      <w:r>
        <w:t>decedent</w:t>
      </w:r>
      <w:r w:rsidR="00C64050">
        <w:t xml:space="preserve"> </w:t>
      </w:r>
      <w:r>
        <w:t>lacks</w:t>
      </w:r>
      <w:r w:rsidR="00C64050">
        <w:t xml:space="preserve"> </w:t>
      </w:r>
      <w:r>
        <w:t>a</w:t>
      </w:r>
      <w:r w:rsidR="00C64050">
        <w:t xml:space="preserve"> </w:t>
      </w:r>
      <w:r>
        <w:t>taxable</w:t>
      </w:r>
      <w:r w:rsidR="00C64050">
        <w:t xml:space="preserve"> </w:t>
      </w:r>
      <w:r>
        <w:t>estate,</w:t>
      </w:r>
      <w:r w:rsidR="00C64050">
        <w:t xml:space="preserve"> </w:t>
      </w:r>
      <w:r>
        <w:t>but</w:t>
      </w:r>
      <w:r w:rsidR="00C64050">
        <w:t xml:space="preserve"> </w:t>
      </w:r>
      <w:r>
        <w:t>wants</w:t>
      </w:r>
      <w:r w:rsidR="00C64050">
        <w:t xml:space="preserve"> </w:t>
      </w:r>
      <w:r>
        <w:t>to</w:t>
      </w:r>
      <w:r w:rsidR="00C64050">
        <w:t xml:space="preserve"> </w:t>
      </w:r>
      <w:r>
        <w:t>make</w:t>
      </w:r>
      <w:r w:rsidR="00C64050">
        <w:t xml:space="preserve"> </w:t>
      </w:r>
      <w:r>
        <w:t>a</w:t>
      </w:r>
      <w:r w:rsidR="00C64050">
        <w:t xml:space="preserve"> </w:t>
      </w:r>
      <w:r>
        <w:t>charitable</w:t>
      </w:r>
      <w:r w:rsidR="00C64050">
        <w:t xml:space="preserve"> </w:t>
      </w:r>
      <w:r>
        <w:t>bequest,</w:t>
      </w:r>
      <w:r w:rsidR="00C64050">
        <w:t xml:space="preserve"> </w:t>
      </w:r>
      <w:r>
        <w:t>consideration</w:t>
      </w:r>
      <w:r w:rsidR="00C64050">
        <w:t xml:space="preserve"> </w:t>
      </w:r>
      <w:r>
        <w:t>should</w:t>
      </w:r>
      <w:r w:rsidR="00C64050">
        <w:t xml:space="preserve"> </w:t>
      </w:r>
      <w:r>
        <w:t>be</w:t>
      </w:r>
      <w:r w:rsidR="00C64050">
        <w:t xml:space="preserve"> </w:t>
      </w:r>
      <w:r>
        <w:t>given</w:t>
      </w:r>
      <w:r w:rsidR="00C64050">
        <w:t xml:space="preserve"> </w:t>
      </w:r>
      <w:r>
        <w:t>to</w:t>
      </w:r>
      <w:r w:rsidR="00C64050">
        <w:t xml:space="preserve"> </w:t>
      </w:r>
      <w:r>
        <w:t>providing</w:t>
      </w:r>
      <w:r w:rsidR="00C64050">
        <w:t xml:space="preserve"> </w:t>
      </w:r>
      <w:r>
        <w:t>that</w:t>
      </w:r>
      <w:r w:rsidR="00C64050">
        <w:t xml:space="preserve"> </w:t>
      </w:r>
      <w:r>
        <w:t>the</w:t>
      </w:r>
      <w:r w:rsidR="00C64050">
        <w:t xml:space="preserve"> </w:t>
      </w:r>
      <w:r>
        <w:t>first</w:t>
      </w:r>
      <w:r w:rsidR="00C64050">
        <w:t xml:space="preserve"> </w:t>
      </w:r>
      <w:r>
        <w:t>dollars</w:t>
      </w:r>
      <w:r w:rsidR="00C64050">
        <w:t xml:space="preserve"> </w:t>
      </w:r>
      <w:r>
        <w:t>of</w:t>
      </w:r>
      <w:r w:rsidR="00C64050">
        <w:t xml:space="preserve"> </w:t>
      </w:r>
      <w:r>
        <w:t>income</w:t>
      </w:r>
      <w:r w:rsidR="00C64050">
        <w:t xml:space="preserve"> </w:t>
      </w:r>
      <w:r>
        <w:t>of</w:t>
      </w:r>
      <w:r w:rsidR="00C64050">
        <w:t xml:space="preserve"> </w:t>
      </w:r>
      <w:r>
        <w:t>the</w:t>
      </w:r>
      <w:r w:rsidR="00C64050">
        <w:t xml:space="preserve"> </w:t>
      </w:r>
      <w:r>
        <w:t>estate</w:t>
      </w:r>
      <w:r w:rsidR="00C64050">
        <w:t xml:space="preserve"> </w:t>
      </w:r>
      <w:r>
        <w:t>go</w:t>
      </w:r>
      <w:r w:rsidR="00C64050">
        <w:t xml:space="preserve"> </w:t>
      </w:r>
      <w:r>
        <w:t>to</w:t>
      </w:r>
      <w:r w:rsidR="00C64050">
        <w:t xml:space="preserve"> </w:t>
      </w:r>
      <w:r>
        <w:t>charity</w:t>
      </w:r>
      <w:r w:rsidR="00C64050">
        <w:t xml:space="preserve"> </w:t>
      </w:r>
      <w:r>
        <w:t>in</w:t>
      </w:r>
      <w:r w:rsidR="00C64050">
        <w:t xml:space="preserve"> </w:t>
      </w:r>
      <w:r>
        <w:t>an</w:t>
      </w:r>
      <w:r w:rsidR="00C64050">
        <w:t xml:space="preserve"> </w:t>
      </w:r>
      <w:r>
        <w:t>amount</w:t>
      </w:r>
      <w:r w:rsidR="00C64050">
        <w:t xml:space="preserve"> </w:t>
      </w:r>
      <w:r>
        <w:t>equal</w:t>
      </w:r>
      <w:r w:rsidR="00C64050">
        <w:t xml:space="preserve"> </w:t>
      </w:r>
      <w:r>
        <w:t>to</w:t>
      </w:r>
      <w:r w:rsidR="00C64050">
        <w:t xml:space="preserve"> </w:t>
      </w:r>
      <w:r>
        <w:t>the</w:t>
      </w:r>
      <w:r w:rsidR="00C64050">
        <w:t xml:space="preserve"> </w:t>
      </w:r>
      <w:r>
        <w:t>amount</w:t>
      </w:r>
      <w:r w:rsidR="00C64050">
        <w:t xml:space="preserve"> </w:t>
      </w:r>
      <w:r>
        <w:t>of</w:t>
      </w:r>
      <w:r w:rsidR="00C64050">
        <w:t xml:space="preserve"> </w:t>
      </w:r>
      <w:r>
        <w:t>the</w:t>
      </w:r>
      <w:r w:rsidR="00C64050">
        <w:t xml:space="preserve"> </w:t>
      </w:r>
      <w:r>
        <w:t>bequest.</w:t>
      </w:r>
      <w:r w:rsidR="00C64050">
        <w:t xml:space="preserve">  </w:t>
      </w:r>
      <w:r>
        <w:t>The</w:t>
      </w:r>
      <w:r w:rsidR="00C64050">
        <w:t xml:space="preserve"> </w:t>
      </w:r>
      <w:r>
        <w:t>estate</w:t>
      </w:r>
      <w:r w:rsidR="00C64050">
        <w:t xml:space="preserve"> </w:t>
      </w:r>
      <w:r>
        <w:t>will</w:t>
      </w:r>
      <w:r w:rsidR="00C64050">
        <w:t xml:space="preserve"> </w:t>
      </w:r>
      <w:r>
        <w:t>receive</w:t>
      </w:r>
      <w:r w:rsidR="00C64050">
        <w:t xml:space="preserve"> </w:t>
      </w:r>
      <w:r>
        <w:t>an</w:t>
      </w:r>
      <w:r w:rsidR="00C64050">
        <w:t xml:space="preserve"> </w:t>
      </w:r>
      <w:r>
        <w:t>income</w:t>
      </w:r>
      <w:r w:rsidR="00C64050">
        <w:t xml:space="preserve"> </w:t>
      </w:r>
      <w:r>
        <w:t>tax</w:t>
      </w:r>
      <w:r w:rsidR="00C64050">
        <w:t xml:space="preserve"> </w:t>
      </w:r>
      <w:r>
        <w:t>deduction</w:t>
      </w:r>
      <w:r w:rsidR="00C64050">
        <w:t xml:space="preserve"> </w:t>
      </w:r>
      <w:r>
        <w:t>if</w:t>
      </w:r>
      <w:r w:rsidR="00C64050">
        <w:t xml:space="preserve"> </w:t>
      </w:r>
      <w:r>
        <w:t>the</w:t>
      </w:r>
      <w:r w:rsidR="00C64050">
        <w:t xml:space="preserve"> </w:t>
      </w:r>
      <w:r>
        <w:t>estate</w:t>
      </w:r>
      <w:r w:rsidR="00C64050">
        <w:t xml:space="preserve"> </w:t>
      </w:r>
      <w:r>
        <w:t>has</w:t>
      </w:r>
      <w:r w:rsidR="00C64050">
        <w:t xml:space="preserve"> </w:t>
      </w:r>
      <w:r>
        <w:t>sufficient</w:t>
      </w:r>
      <w:r w:rsidR="00C64050">
        <w:t xml:space="preserve"> </w:t>
      </w:r>
      <w:r>
        <w:t>income.</w:t>
      </w:r>
    </w:p>
    <w:p w:rsidR="007649DB" w:rsidRPr="0008663C" w:rsidRDefault="007649DB" w:rsidP="00B66CCE">
      <w:pPr>
        <w:pStyle w:val="Heading20"/>
        <w:numPr>
          <w:ilvl w:val="1"/>
          <w:numId w:val="34"/>
        </w:numPr>
        <w:tabs>
          <w:tab w:val="clear" w:pos="2700"/>
          <w:tab w:val="num" w:pos="1440"/>
        </w:tabs>
        <w:ind w:left="0"/>
        <w:rPr>
          <w:vanish/>
          <w:specVanish/>
        </w:rPr>
      </w:pPr>
      <w:bookmarkStart w:id="155" w:name="_Toc94704621"/>
      <w:r>
        <w:rPr>
          <w:b/>
          <w:u w:val="single"/>
        </w:rPr>
        <w:t>Conservation Easement Controversy</w:t>
      </w:r>
      <w:bookmarkEnd w:id="155"/>
    </w:p>
    <w:p w:rsidR="007649DB" w:rsidRDefault="007649DB" w:rsidP="007649DB">
      <w:pPr>
        <w:pStyle w:val="Heading2Body"/>
      </w:pPr>
      <w:r>
        <w:t xml:space="preserve">.  </w:t>
      </w:r>
      <w:r w:rsidR="00387584">
        <w:t xml:space="preserve">In addition to the cases noted in these CLE materials, the Tax Court has handed down more than </w:t>
      </w:r>
      <w:r w:rsidR="007A7D0A">
        <w:t xml:space="preserve">two-dozen </w:t>
      </w:r>
      <w:r w:rsidR="00387584">
        <w:t xml:space="preserve">government victories along the same grounds.  </w:t>
      </w:r>
      <w:r w:rsidR="004A2810">
        <w:t xml:space="preserve">On June 25, 2020, in IR-2020-130 the IRS announced a “time-limited settlement offer” to taxpayers with cases pending in Tax Court.  </w:t>
      </w:r>
      <w:r w:rsidR="00387584">
        <w:t xml:space="preserve">The IRS position is that it will not negotiate syndicated easements so </w:t>
      </w:r>
      <w:r w:rsidR="004A2810">
        <w:t>promoters</w:t>
      </w:r>
      <w:r w:rsidR="00C623D7">
        <w:t xml:space="preserve"> pay full penalties (40%) but taxpayers may make themselves eligible for a 10% - 20% penalty if they settle cooperatively, but the benefits of the deduction will be lost (a taxpayer may deduct acquisition cost of the land).  Taxpayers who are not in syndicates but whose easements are defective on technical grounds are in a bit of a no-man’s land.  </w:t>
      </w:r>
      <w:r w:rsidR="00387584">
        <w:t>By way of background, th</w:t>
      </w:r>
      <w:r>
        <w:t xml:space="preserve">e IRS </w:t>
      </w:r>
      <w:r w:rsidR="00387584">
        <w:t xml:space="preserve">has been </w:t>
      </w:r>
      <w:r>
        <w:t>very grumpy with syndicated easements</w:t>
      </w:r>
      <w:r w:rsidR="00387584">
        <w:t xml:space="preserve"> for several years</w:t>
      </w:r>
      <w:r>
        <w:t>.  Notice 2017-10 states:</w:t>
      </w:r>
    </w:p>
    <w:p w:rsidR="007649DB" w:rsidRDefault="007649DB" w:rsidP="007649DB">
      <w:pPr>
        <w:pStyle w:val="QS10"/>
      </w:pPr>
      <w:r w:rsidRPr="00397B9C">
        <w:t>The</w:t>
      </w:r>
      <w:r>
        <w:t xml:space="preserve"> </w:t>
      </w:r>
      <w:r w:rsidRPr="00397B9C">
        <w:t>Department</w:t>
      </w:r>
      <w:r>
        <w:t xml:space="preserve"> </w:t>
      </w:r>
      <w:r w:rsidRPr="00397B9C">
        <w:t>of</w:t>
      </w:r>
      <w:r>
        <w:t xml:space="preserve"> </w:t>
      </w:r>
      <w:r w:rsidRPr="00397B9C">
        <w:t>the</w:t>
      </w:r>
      <w:r>
        <w:t xml:space="preserve"> </w:t>
      </w:r>
      <w:r w:rsidRPr="00397B9C">
        <w:t>Treasury</w:t>
      </w:r>
      <w:r>
        <w:t xml:space="preserve"> </w:t>
      </w:r>
      <w:r w:rsidRPr="00397B9C">
        <w:t>(Treasury</w:t>
      </w:r>
      <w:r>
        <w:t xml:space="preserve"> </w:t>
      </w:r>
      <w:r w:rsidRPr="00397B9C">
        <w:t>Department)</w:t>
      </w:r>
      <w:r>
        <w:t xml:space="preserve"> </w:t>
      </w:r>
      <w:r w:rsidRPr="00397B9C">
        <w:t>and</w:t>
      </w:r>
      <w:r>
        <w:t xml:space="preserve"> </w:t>
      </w:r>
      <w:r w:rsidRPr="00397B9C">
        <w:t>the</w:t>
      </w:r>
      <w:r>
        <w:t xml:space="preserve"> </w:t>
      </w:r>
      <w:r w:rsidRPr="00397B9C">
        <w:t>Internal</w:t>
      </w:r>
      <w:r>
        <w:t xml:space="preserve"> </w:t>
      </w:r>
      <w:r w:rsidRPr="00397B9C">
        <w:t>Revenue</w:t>
      </w:r>
      <w:r>
        <w:t xml:space="preserve"> </w:t>
      </w:r>
      <w:r w:rsidRPr="00397B9C">
        <w:t>Service</w:t>
      </w:r>
      <w:r>
        <w:t xml:space="preserve"> </w:t>
      </w:r>
      <w:r w:rsidRPr="00397B9C">
        <w:t>(IRS)</w:t>
      </w:r>
      <w:r>
        <w:t xml:space="preserve"> </w:t>
      </w:r>
      <w:r w:rsidRPr="00397B9C">
        <w:t>are</w:t>
      </w:r>
      <w:r>
        <w:t xml:space="preserve"> </w:t>
      </w:r>
      <w:r w:rsidRPr="00397B9C">
        <w:t>aware</w:t>
      </w:r>
      <w:r>
        <w:t xml:space="preserve"> </w:t>
      </w:r>
      <w:r w:rsidRPr="00397B9C">
        <w:t>that</w:t>
      </w:r>
      <w:r>
        <w:t xml:space="preserve"> </w:t>
      </w:r>
      <w:r w:rsidRPr="00397B9C">
        <w:t>some</w:t>
      </w:r>
      <w:r>
        <w:t xml:space="preserve"> </w:t>
      </w:r>
      <w:r w:rsidRPr="00397B9C">
        <w:t>promoters</w:t>
      </w:r>
      <w:r>
        <w:t xml:space="preserve"> </w:t>
      </w:r>
      <w:r w:rsidRPr="00397B9C">
        <w:t>are</w:t>
      </w:r>
      <w:r>
        <w:t xml:space="preserve"> </w:t>
      </w:r>
      <w:r w:rsidRPr="00397B9C">
        <w:t>syndicating</w:t>
      </w:r>
      <w:r>
        <w:t xml:space="preserve"> </w:t>
      </w:r>
      <w:r w:rsidRPr="00397B9C">
        <w:t>conservation</w:t>
      </w:r>
      <w:r>
        <w:t xml:space="preserve"> </w:t>
      </w:r>
      <w:r w:rsidRPr="00397B9C">
        <w:t>easement</w:t>
      </w:r>
      <w:r>
        <w:t xml:space="preserve"> </w:t>
      </w:r>
      <w:r w:rsidRPr="00397B9C">
        <w:t>transactions</w:t>
      </w:r>
      <w:r>
        <w:t xml:space="preserve"> </w:t>
      </w:r>
      <w:r w:rsidRPr="00397B9C">
        <w:t>that</w:t>
      </w:r>
      <w:r>
        <w:t xml:space="preserve"> </w:t>
      </w:r>
      <w:r w:rsidRPr="00397B9C">
        <w:t>purport</w:t>
      </w:r>
      <w:r>
        <w:t xml:space="preserve"> </w:t>
      </w:r>
      <w:r w:rsidRPr="00397B9C">
        <w:t>to</w:t>
      </w:r>
      <w:r>
        <w:t xml:space="preserve"> </w:t>
      </w:r>
      <w:r w:rsidRPr="00397B9C">
        <w:t>give</w:t>
      </w:r>
      <w:r>
        <w:t xml:space="preserve"> </w:t>
      </w:r>
      <w:r w:rsidRPr="00397B9C">
        <w:t>investors</w:t>
      </w:r>
      <w:r>
        <w:t xml:space="preserve"> </w:t>
      </w:r>
      <w:r w:rsidRPr="00397B9C">
        <w:t>the</w:t>
      </w:r>
      <w:r>
        <w:t xml:space="preserve"> </w:t>
      </w:r>
      <w:r w:rsidRPr="00397B9C">
        <w:t>opportunity</w:t>
      </w:r>
      <w:r>
        <w:t xml:space="preserve"> </w:t>
      </w:r>
      <w:r w:rsidRPr="00397B9C">
        <w:t>to</w:t>
      </w:r>
      <w:r>
        <w:t xml:space="preserve"> </w:t>
      </w:r>
      <w:r w:rsidRPr="00397B9C">
        <w:t>obtain</w:t>
      </w:r>
      <w:r>
        <w:t xml:space="preserve"> </w:t>
      </w:r>
      <w:r w:rsidRPr="00397B9C">
        <w:t>charitable</w:t>
      </w:r>
      <w:r>
        <w:t xml:space="preserve"> </w:t>
      </w:r>
      <w:r w:rsidRPr="00397B9C">
        <w:t>contribution</w:t>
      </w:r>
      <w:r>
        <w:t xml:space="preserve"> </w:t>
      </w:r>
      <w:r w:rsidRPr="00397B9C">
        <w:t>deductions</w:t>
      </w:r>
      <w:r>
        <w:t xml:space="preserve"> </w:t>
      </w:r>
      <w:r w:rsidRPr="00397B9C">
        <w:t>in</w:t>
      </w:r>
      <w:r>
        <w:t xml:space="preserve"> </w:t>
      </w:r>
      <w:r w:rsidRPr="00397B9C">
        <w:t>amounts</w:t>
      </w:r>
      <w:r>
        <w:t xml:space="preserve"> </w:t>
      </w:r>
      <w:r w:rsidRPr="00397B9C">
        <w:t>that</w:t>
      </w:r>
      <w:r>
        <w:t xml:space="preserve"> </w:t>
      </w:r>
      <w:r w:rsidRPr="00397B9C">
        <w:t>significantly</w:t>
      </w:r>
      <w:r>
        <w:t xml:space="preserve"> </w:t>
      </w:r>
      <w:r w:rsidRPr="00397B9C">
        <w:t>exceed</w:t>
      </w:r>
      <w:r>
        <w:t xml:space="preserve"> </w:t>
      </w:r>
      <w:r w:rsidRPr="00397B9C">
        <w:t>the</w:t>
      </w:r>
      <w:r>
        <w:t xml:space="preserve"> </w:t>
      </w:r>
      <w:r w:rsidRPr="00397B9C">
        <w:t>amount</w:t>
      </w:r>
      <w:r>
        <w:t xml:space="preserve"> </w:t>
      </w:r>
      <w:r w:rsidRPr="00397B9C">
        <w:t>invested.</w:t>
      </w:r>
      <w:r>
        <w:t xml:space="preserve"> </w:t>
      </w:r>
      <w:r w:rsidRPr="00397B9C">
        <w:t>This</w:t>
      </w:r>
      <w:r>
        <w:t xml:space="preserve"> </w:t>
      </w:r>
      <w:bookmarkStart w:id="156" w:name="ctx7"/>
      <w:bookmarkEnd w:id="156"/>
      <w:r w:rsidRPr="00397B9C">
        <w:rPr>
          <w:noProof/>
        </w:rPr>
        <w:drawing>
          <wp:inline distT="0" distB="0" distL="0" distR="0" wp14:anchorId="7AAD3A3E" wp14:editId="62A052D5">
            <wp:extent cx="9525" cy="9525"/>
            <wp:effectExtent l="0" t="0" r="0" b="0"/>
            <wp:docPr id="78" name="Picture 78" descr="previous hit">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vious hit">
                      <a:hlinkClick r:id="rId113"/>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97B9C">
        <w:t>notice</w:t>
      </w:r>
      <w:r w:rsidRPr="00397B9C">
        <w:rPr>
          <w:noProof/>
        </w:rPr>
        <w:drawing>
          <wp:inline distT="0" distB="0" distL="0" distR="0" wp14:anchorId="3B96AE64" wp14:editId="1EACF338">
            <wp:extent cx="9525" cy="9525"/>
            <wp:effectExtent l="0" t="0" r="0" b="0"/>
            <wp:docPr id="79" name="Picture 79" descr="next hit">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xt hit">
                      <a:hlinkClick r:id="rId115"/>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t xml:space="preserve"> </w:t>
      </w:r>
      <w:r w:rsidRPr="00397B9C">
        <w:t>alerts</w:t>
      </w:r>
      <w:r>
        <w:t xml:space="preserve"> </w:t>
      </w:r>
      <w:r w:rsidRPr="00397B9C">
        <w:t>taxpayers</w:t>
      </w:r>
      <w:r>
        <w:t xml:space="preserve"> </w:t>
      </w:r>
      <w:r w:rsidRPr="00397B9C">
        <w:t>and</w:t>
      </w:r>
      <w:r>
        <w:t xml:space="preserve"> </w:t>
      </w:r>
      <w:r w:rsidRPr="00397B9C">
        <w:t>their</w:t>
      </w:r>
      <w:r>
        <w:t xml:space="preserve"> </w:t>
      </w:r>
      <w:r w:rsidRPr="00397B9C">
        <w:t>representatives</w:t>
      </w:r>
      <w:r>
        <w:t xml:space="preserve"> </w:t>
      </w:r>
      <w:r w:rsidRPr="00397B9C">
        <w:t>that</w:t>
      </w:r>
      <w:r>
        <w:t xml:space="preserve"> </w:t>
      </w:r>
      <w:r w:rsidRPr="00397B9C">
        <w:t>the</w:t>
      </w:r>
      <w:r>
        <w:t xml:space="preserve"> </w:t>
      </w:r>
      <w:r w:rsidRPr="00397B9C">
        <w:t>transaction</w:t>
      </w:r>
      <w:r>
        <w:t xml:space="preserve"> </w:t>
      </w:r>
      <w:r w:rsidRPr="00397B9C">
        <w:t>described</w:t>
      </w:r>
      <w:r>
        <w:t xml:space="preserve"> </w:t>
      </w:r>
      <w:r w:rsidRPr="00397B9C">
        <w:t>in</w:t>
      </w:r>
      <w:r>
        <w:t xml:space="preserve"> </w:t>
      </w:r>
      <w:r w:rsidRPr="00397B9C">
        <w:t>section</w:t>
      </w:r>
      <w:r>
        <w:t xml:space="preserve"> </w:t>
      </w:r>
      <w:r w:rsidRPr="00397B9C">
        <w:t>2</w:t>
      </w:r>
      <w:r>
        <w:t xml:space="preserve"> </w:t>
      </w:r>
      <w:r w:rsidRPr="00397B9C">
        <w:t>of</w:t>
      </w:r>
      <w:r>
        <w:t xml:space="preserve"> </w:t>
      </w:r>
      <w:r w:rsidRPr="00397B9C">
        <w:t>this</w:t>
      </w:r>
      <w:r>
        <w:t xml:space="preserve"> </w:t>
      </w:r>
      <w:bookmarkStart w:id="157" w:name="ctx8"/>
      <w:bookmarkEnd w:id="157"/>
      <w:r w:rsidRPr="00397B9C">
        <w:rPr>
          <w:noProof/>
        </w:rPr>
        <w:drawing>
          <wp:inline distT="0" distB="0" distL="0" distR="0" wp14:anchorId="6BFB6A5B" wp14:editId="272C1C0C">
            <wp:extent cx="9525" cy="9525"/>
            <wp:effectExtent l="0" t="0" r="0" b="0"/>
            <wp:docPr id="80" name="Picture 80" descr="previous hit">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vious hit">
                      <a:hlinkClick r:id="rId116"/>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97B9C">
        <w:t>notice</w:t>
      </w:r>
      <w:r w:rsidRPr="00397B9C">
        <w:rPr>
          <w:noProof/>
        </w:rPr>
        <w:drawing>
          <wp:inline distT="0" distB="0" distL="0" distR="0" wp14:anchorId="623CBCEB" wp14:editId="4F2864ED">
            <wp:extent cx="9525" cy="9525"/>
            <wp:effectExtent l="0" t="0" r="0" b="0"/>
            <wp:docPr id="81" name="Picture 81" descr="next hit">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xt hit">
                      <a:hlinkClick r:id="rId117"/>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t xml:space="preserve"> </w:t>
      </w:r>
      <w:r w:rsidRPr="00397B9C">
        <w:t>is</w:t>
      </w:r>
      <w:r>
        <w:t xml:space="preserve"> </w:t>
      </w:r>
      <w:r w:rsidRPr="00397B9C">
        <w:t>a</w:t>
      </w:r>
      <w:r>
        <w:t xml:space="preserve"> </w:t>
      </w:r>
      <w:r w:rsidRPr="00397B9C">
        <w:t>tax</w:t>
      </w:r>
      <w:r>
        <w:t xml:space="preserve"> </w:t>
      </w:r>
      <w:r w:rsidRPr="00397B9C">
        <w:t>avoidance</w:t>
      </w:r>
      <w:r>
        <w:t xml:space="preserve"> </w:t>
      </w:r>
      <w:r w:rsidRPr="00397B9C">
        <w:t>transaction</w:t>
      </w:r>
      <w:r>
        <w:t xml:space="preserve"> </w:t>
      </w:r>
      <w:r w:rsidRPr="00397B9C">
        <w:t>and</w:t>
      </w:r>
      <w:r>
        <w:t xml:space="preserve"> </w:t>
      </w:r>
      <w:r w:rsidRPr="00397B9C">
        <w:t>identifies</w:t>
      </w:r>
      <w:r>
        <w:t xml:space="preserve"> </w:t>
      </w:r>
      <w:r w:rsidRPr="00397B9C">
        <w:t>this</w:t>
      </w:r>
      <w:r>
        <w:t xml:space="preserve"> </w:t>
      </w:r>
      <w:r w:rsidRPr="00397B9C">
        <w:t>transaction,</w:t>
      </w:r>
      <w:r>
        <w:t xml:space="preserve"> </w:t>
      </w:r>
      <w:r w:rsidRPr="00397B9C">
        <w:t>and</w:t>
      </w:r>
      <w:r>
        <w:t xml:space="preserve"> </w:t>
      </w:r>
      <w:r w:rsidRPr="00397B9C">
        <w:t>substantially</w:t>
      </w:r>
      <w:r>
        <w:t xml:space="preserve"> </w:t>
      </w:r>
      <w:r w:rsidRPr="00397B9C">
        <w:t>similar</w:t>
      </w:r>
      <w:r>
        <w:t xml:space="preserve"> </w:t>
      </w:r>
      <w:r w:rsidRPr="00397B9C">
        <w:t>transactions,</w:t>
      </w:r>
      <w:r>
        <w:t xml:space="preserve"> </w:t>
      </w:r>
      <w:r w:rsidRPr="00397B9C">
        <w:t>as</w:t>
      </w:r>
      <w:r>
        <w:t xml:space="preserve"> </w:t>
      </w:r>
      <w:r w:rsidRPr="00397B9C">
        <w:t>listed</w:t>
      </w:r>
      <w:r>
        <w:t xml:space="preserve"> </w:t>
      </w:r>
      <w:r w:rsidRPr="00397B9C">
        <w:t>transactions</w:t>
      </w:r>
      <w:r>
        <w:t xml:space="preserve"> </w:t>
      </w:r>
      <w:r w:rsidRPr="00397B9C">
        <w:t>for</w:t>
      </w:r>
      <w:r>
        <w:t xml:space="preserve"> </w:t>
      </w:r>
      <w:r w:rsidRPr="00397B9C">
        <w:t>purposes</w:t>
      </w:r>
      <w:r>
        <w:t xml:space="preserve"> </w:t>
      </w:r>
      <w:r w:rsidRPr="00397B9C">
        <w:t>of</w:t>
      </w:r>
      <w:r>
        <w:t xml:space="preserve"> </w:t>
      </w:r>
      <w:r w:rsidRPr="00397B9C">
        <w:t>§1.6011-4(b)(2)</w:t>
      </w:r>
      <w:r>
        <w:t xml:space="preserve"> </w:t>
      </w:r>
      <w:r w:rsidRPr="00397B9C">
        <w:t>of</w:t>
      </w:r>
      <w:r>
        <w:t xml:space="preserve"> </w:t>
      </w:r>
      <w:r w:rsidRPr="00397B9C">
        <w:t>the</w:t>
      </w:r>
      <w:r>
        <w:t xml:space="preserve"> </w:t>
      </w:r>
      <w:r w:rsidRPr="00397B9C">
        <w:t>Income</w:t>
      </w:r>
      <w:r>
        <w:t xml:space="preserve"> </w:t>
      </w:r>
      <w:r w:rsidRPr="00397B9C">
        <w:t>Tax</w:t>
      </w:r>
      <w:r>
        <w:t xml:space="preserve"> </w:t>
      </w:r>
      <w:r w:rsidRPr="00397B9C">
        <w:t>Regulations</w:t>
      </w:r>
      <w:r>
        <w:t xml:space="preserve"> </w:t>
      </w:r>
      <w:r w:rsidRPr="00397B9C">
        <w:t>(Regulations)</w:t>
      </w:r>
      <w:r>
        <w:t xml:space="preserve"> </w:t>
      </w:r>
      <w:r w:rsidRPr="00397B9C">
        <w:t>and</w:t>
      </w:r>
      <w:r>
        <w:t xml:space="preserve"> </w:t>
      </w:r>
      <w:r w:rsidRPr="00397B9C">
        <w:t>§§6111</w:t>
      </w:r>
      <w:r>
        <w:t xml:space="preserve"> </w:t>
      </w:r>
      <w:r w:rsidRPr="00397B9C">
        <w:t>and</w:t>
      </w:r>
      <w:r>
        <w:t xml:space="preserve"> </w:t>
      </w:r>
      <w:r w:rsidRPr="00397B9C">
        <w:t>6112</w:t>
      </w:r>
      <w:r>
        <w:t xml:space="preserve"> </w:t>
      </w:r>
      <w:r w:rsidRPr="00397B9C">
        <w:t>of</w:t>
      </w:r>
      <w:r>
        <w:t xml:space="preserve"> </w:t>
      </w:r>
      <w:r w:rsidRPr="00397B9C">
        <w:t>the</w:t>
      </w:r>
      <w:r>
        <w:t xml:space="preserve"> </w:t>
      </w:r>
      <w:r w:rsidRPr="00397B9C">
        <w:t>Internal</w:t>
      </w:r>
      <w:r>
        <w:t xml:space="preserve"> </w:t>
      </w:r>
      <w:r w:rsidRPr="00397B9C">
        <w:t>Revenue</w:t>
      </w:r>
      <w:r>
        <w:t xml:space="preserve"> </w:t>
      </w:r>
      <w:r w:rsidRPr="00397B9C">
        <w:t>Code</w:t>
      </w:r>
      <w:r>
        <w:t xml:space="preserve"> </w:t>
      </w:r>
      <w:r w:rsidRPr="00397B9C">
        <w:t>(Code).</w:t>
      </w:r>
    </w:p>
    <w:p w:rsidR="007649DB" w:rsidRDefault="007649DB" w:rsidP="007649DB">
      <w:pPr>
        <w:pStyle w:val="Body15"/>
      </w:pPr>
      <w:r>
        <w:t>The specific transaction covered by the Notice is described as follows:</w:t>
      </w:r>
    </w:p>
    <w:p w:rsidR="007649DB" w:rsidRDefault="007649DB" w:rsidP="007649DB">
      <w:pPr>
        <w:pStyle w:val="QS10"/>
      </w:pPr>
      <w:r w:rsidRPr="00397B9C">
        <w:t>An</w:t>
      </w:r>
      <w:r>
        <w:t xml:space="preserve"> </w:t>
      </w:r>
      <w:r w:rsidRPr="00397B9C">
        <w:t>investor</w:t>
      </w:r>
      <w:r>
        <w:t xml:space="preserve"> </w:t>
      </w:r>
      <w:r w:rsidRPr="00397B9C">
        <w:t>receives</w:t>
      </w:r>
      <w:r>
        <w:t xml:space="preserve"> </w:t>
      </w:r>
      <w:r w:rsidRPr="00397B9C">
        <w:t>promotional</w:t>
      </w:r>
      <w:r>
        <w:t xml:space="preserve"> </w:t>
      </w:r>
      <w:r w:rsidRPr="00397B9C">
        <w:t>materials</w:t>
      </w:r>
      <w:r>
        <w:t xml:space="preserve"> </w:t>
      </w:r>
      <w:r w:rsidRPr="00397B9C">
        <w:t>that</w:t>
      </w:r>
      <w:r>
        <w:t xml:space="preserve"> </w:t>
      </w:r>
      <w:r w:rsidRPr="00397B9C">
        <w:t>offer</w:t>
      </w:r>
      <w:r>
        <w:t xml:space="preserve"> </w:t>
      </w:r>
      <w:r w:rsidRPr="00397B9C">
        <w:t>prospective</w:t>
      </w:r>
      <w:r>
        <w:t xml:space="preserve"> </w:t>
      </w:r>
      <w:r w:rsidRPr="00397B9C">
        <w:t>investors</w:t>
      </w:r>
      <w:r>
        <w:t xml:space="preserve"> </w:t>
      </w:r>
      <w:r w:rsidRPr="00397B9C">
        <w:t>in</w:t>
      </w:r>
      <w:r>
        <w:t xml:space="preserve"> </w:t>
      </w:r>
      <w:r w:rsidRPr="00397B9C">
        <w:t>a</w:t>
      </w:r>
      <w:r>
        <w:t xml:space="preserve"> </w:t>
      </w:r>
      <w:r w:rsidRPr="00397B9C">
        <w:t>pass-through</w:t>
      </w:r>
      <w:r>
        <w:t xml:space="preserve"> </w:t>
      </w:r>
      <w:r w:rsidRPr="00397B9C">
        <w:t>entity</w:t>
      </w:r>
      <w:r>
        <w:t xml:space="preserve"> </w:t>
      </w:r>
      <w:r w:rsidRPr="00397B9C">
        <w:t>the</w:t>
      </w:r>
      <w:r>
        <w:t xml:space="preserve"> </w:t>
      </w:r>
      <w:r w:rsidRPr="00397B9C">
        <w:t>possibility</w:t>
      </w:r>
      <w:r>
        <w:t xml:space="preserve"> </w:t>
      </w:r>
      <w:r w:rsidRPr="00397B9C">
        <w:t>of</w:t>
      </w:r>
      <w:r>
        <w:t xml:space="preserve"> </w:t>
      </w:r>
      <w:r w:rsidRPr="00397B9C">
        <w:t>a</w:t>
      </w:r>
      <w:r>
        <w:t xml:space="preserve"> </w:t>
      </w:r>
      <w:r w:rsidRPr="00397B9C">
        <w:t>charitable</w:t>
      </w:r>
      <w:r>
        <w:t xml:space="preserve"> </w:t>
      </w:r>
      <w:r w:rsidRPr="00397B9C">
        <w:t>contribution</w:t>
      </w:r>
      <w:r>
        <w:t xml:space="preserve"> </w:t>
      </w:r>
      <w:r w:rsidRPr="00397B9C">
        <w:t>deduction</w:t>
      </w:r>
      <w:r>
        <w:t xml:space="preserve"> </w:t>
      </w:r>
      <w:r w:rsidRPr="00397B9C">
        <w:t>that</w:t>
      </w:r>
      <w:r>
        <w:t xml:space="preserve"> </w:t>
      </w:r>
      <w:r w:rsidRPr="00397B9C">
        <w:t>equals</w:t>
      </w:r>
      <w:r>
        <w:t xml:space="preserve"> </w:t>
      </w:r>
      <w:r w:rsidRPr="00397B9C">
        <w:t>or</w:t>
      </w:r>
      <w:r>
        <w:t xml:space="preserve"> </w:t>
      </w:r>
      <w:r w:rsidRPr="00397B9C">
        <w:t>exceeds</w:t>
      </w:r>
      <w:r>
        <w:t xml:space="preserve"> </w:t>
      </w:r>
      <w:r w:rsidRPr="00397B9C">
        <w:t>an</w:t>
      </w:r>
      <w:r>
        <w:t xml:space="preserve"> </w:t>
      </w:r>
      <w:r w:rsidRPr="00397B9C">
        <w:t>amount</w:t>
      </w:r>
      <w:r>
        <w:t xml:space="preserve"> </w:t>
      </w:r>
      <w:r w:rsidRPr="00397B9C">
        <w:t>that</w:t>
      </w:r>
      <w:r>
        <w:t xml:space="preserve"> </w:t>
      </w:r>
      <w:r w:rsidRPr="00397B9C">
        <w:t>is</w:t>
      </w:r>
      <w:r>
        <w:t xml:space="preserve"> </w:t>
      </w:r>
      <w:r w:rsidRPr="00397B9C">
        <w:t>two</w:t>
      </w:r>
      <w:r>
        <w:t xml:space="preserve"> </w:t>
      </w:r>
      <w:r w:rsidRPr="00397B9C">
        <w:t>and</w:t>
      </w:r>
      <w:r>
        <w:t xml:space="preserve"> </w:t>
      </w:r>
      <w:r w:rsidRPr="00397B9C">
        <w:t>one-half</w:t>
      </w:r>
      <w:r>
        <w:t xml:space="preserve"> </w:t>
      </w:r>
      <w:r w:rsidRPr="00397B9C">
        <w:t>times</w:t>
      </w:r>
      <w:r>
        <w:t xml:space="preserve"> </w:t>
      </w:r>
      <w:r w:rsidRPr="00397B9C">
        <w:t>the</w:t>
      </w:r>
      <w:r>
        <w:t xml:space="preserve"> </w:t>
      </w:r>
      <w:r w:rsidRPr="00397B9C">
        <w:t>amount</w:t>
      </w:r>
      <w:r>
        <w:t xml:space="preserve"> </w:t>
      </w:r>
      <w:r w:rsidRPr="00397B9C">
        <w:t>of</w:t>
      </w:r>
      <w:r>
        <w:t xml:space="preserve"> </w:t>
      </w:r>
      <w:r w:rsidRPr="00397B9C">
        <w:t>the</w:t>
      </w:r>
      <w:r>
        <w:t xml:space="preserve"> </w:t>
      </w:r>
      <w:r w:rsidRPr="00397B9C">
        <w:t>investor's</w:t>
      </w:r>
      <w:r>
        <w:t xml:space="preserve"> </w:t>
      </w:r>
      <w:r w:rsidRPr="00397B9C">
        <w:t>investment.</w:t>
      </w:r>
      <w:r>
        <w:t xml:space="preserve"> </w:t>
      </w:r>
      <w:r w:rsidRPr="00397B9C">
        <w:t>The</w:t>
      </w:r>
      <w:r>
        <w:t xml:space="preserve"> </w:t>
      </w:r>
      <w:r w:rsidRPr="00397B9C">
        <w:t>promotional</w:t>
      </w:r>
      <w:r>
        <w:t xml:space="preserve"> </w:t>
      </w:r>
      <w:r w:rsidRPr="00397B9C">
        <w:t>materials</w:t>
      </w:r>
      <w:r>
        <w:t xml:space="preserve"> </w:t>
      </w:r>
      <w:r w:rsidRPr="00397B9C">
        <w:t>may</w:t>
      </w:r>
      <w:r>
        <w:t xml:space="preserve"> </w:t>
      </w:r>
      <w:r w:rsidRPr="00397B9C">
        <w:t>be</w:t>
      </w:r>
      <w:r>
        <w:t xml:space="preserve"> </w:t>
      </w:r>
      <w:r w:rsidRPr="00397B9C">
        <w:t>oral</w:t>
      </w:r>
      <w:r>
        <w:t xml:space="preserve"> </w:t>
      </w:r>
      <w:r w:rsidRPr="00397B9C">
        <w:t>or</w:t>
      </w:r>
      <w:r>
        <w:t xml:space="preserve"> </w:t>
      </w:r>
      <w:r w:rsidRPr="00397B9C">
        <w:t>written.</w:t>
      </w:r>
      <w:r>
        <w:t xml:space="preserve"> </w:t>
      </w:r>
      <w:r w:rsidRPr="00397B9C">
        <w:t>For</w:t>
      </w:r>
      <w:r>
        <w:t xml:space="preserve"> </w:t>
      </w:r>
      <w:r w:rsidRPr="00397B9C">
        <w:t>purposes</w:t>
      </w:r>
      <w:r>
        <w:t xml:space="preserve"> </w:t>
      </w:r>
      <w:r w:rsidRPr="00397B9C">
        <w:t>of</w:t>
      </w:r>
      <w:r>
        <w:t xml:space="preserve"> </w:t>
      </w:r>
      <w:r w:rsidRPr="00397B9C">
        <w:t>this</w:t>
      </w:r>
      <w:r>
        <w:t xml:space="preserve"> </w:t>
      </w:r>
      <w:bookmarkStart w:id="158" w:name="ctx11"/>
      <w:bookmarkEnd w:id="158"/>
      <w:r w:rsidRPr="00397B9C">
        <w:rPr>
          <w:noProof/>
        </w:rPr>
        <w:drawing>
          <wp:inline distT="0" distB="0" distL="0" distR="0" wp14:anchorId="5BB4C4F8" wp14:editId="40F53503">
            <wp:extent cx="9525" cy="9525"/>
            <wp:effectExtent l="0" t="0" r="0" b="0"/>
            <wp:docPr id="82" name="Picture 82" descr="previous hit">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vious hit">
                      <a:hlinkClick r:id="rId118"/>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97B9C">
        <w:t>notice</w:t>
      </w:r>
      <w:r w:rsidRPr="00397B9C">
        <w:rPr>
          <w:noProof/>
        </w:rPr>
        <w:drawing>
          <wp:inline distT="0" distB="0" distL="0" distR="0" wp14:anchorId="19FF828B" wp14:editId="7A3FC8C9">
            <wp:extent cx="9525" cy="9525"/>
            <wp:effectExtent l="0" t="0" r="0" b="0"/>
            <wp:docPr id="83" name="Picture 83" descr="next hit">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xt hit">
                      <a:hlinkClick r:id="rId119"/>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97B9C">
        <w:t>,</w:t>
      </w:r>
      <w:r>
        <w:t xml:space="preserve"> </w:t>
      </w:r>
      <w:r w:rsidRPr="00397B9C">
        <w:t>promotional</w:t>
      </w:r>
      <w:r>
        <w:t xml:space="preserve"> </w:t>
      </w:r>
      <w:r w:rsidRPr="00397B9C">
        <w:t>materials</w:t>
      </w:r>
      <w:r>
        <w:t xml:space="preserve"> </w:t>
      </w:r>
      <w:r w:rsidRPr="00397B9C">
        <w:t>include,</w:t>
      </w:r>
      <w:r>
        <w:t xml:space="preserve"> </w:t>
      </w:r>
      <w:r w:rsidRPr="00397B9C">
        <w:t>but</w:t>
      </w:r>
      <w:r>
        <w:t xml:space="preserve"> </w:t>
      </w:r>
      <w:r w:rsidRPr="00397B9C">
        <w:t>are</w:t>
      </w:r>
      <w:r>
        <w:t xml:space="preserve"> </w:t>
      </w:r>
      <w:r w:rsidRPr="00397B9C">
        <w:t>not</w:t>
      </w:r>
      <w:r>
        <w:t xml:space="preserve"> </w:t>
      </w:r>
      <w:r w:rsidRPr="00397B9C">
        <w:t>limited</w:t>
      </w:r>
      <w:r>
        <w:t xml:space="preserve"> </w:t>
      </w:r>
      <w:r w:rsidRPr="00397B9C">
        <w:t>to,</w:t>
      </w:r>
      <w:r>
        <w:t xml:space="preserve"> </w:t>
      </w:r>
      <w:r w:rsidRPr="00397B9C">
        <w:t>documents</w:t>
      </w:r>
      <w:r>
        <w:t xml:space="preserve"> </w:t>
      </w:r>
      <w:r w:rsidRPr="00397B9C">
        <w:t>described</w:t>
      </w:r>
      <w:r>
        <w:t xml:space="preserve"> </w:t>
      </w:r>
      <w:r w:rsidRPr="00397B9C">
        <w:t>in</w:t>
      </w:r>
      <w:r>
        <w:t xml:space="preserve"> </w:t>
      </w:r>
      <w:r w:rsidRPr="00397B9C">
        <w:t>§301.6112-1(b)(3)(iii)(B)</w:t>
      </w:r>
      <w:r>
        <w:t xml:space="preserve"> </w:t>
      </w:r>
      <w:r w:rsidRPr="00397B9C">
        <w:t>of</w:t>
      </w:r>
      <w:r>
        <w:t xml:space="preserve"> </w:t>
      </w:r>
      <w:r w:rsidRPr="00397B9C">
        <w:t>the</w:t>
      </w:r>
      <w:r>
        <w:t xml:space="preserve"> </w:t>
      </w:r>
      <w:r w:rsidRPr="00397B9C">
        <w:t>Regulations.</w:t>
      </w:r>
      <w:r>
        <w:t xml:space="preserve"> </w:t>
      </w:r>
      <w:r w:rsidRPr="00397B9C">
        <w:t>The</w:t>
      </w:r>
      <w:r>
        <w:t xml:space="preserve"> </w:t>
      </w:r>
      <w:r w:rsidRPr="00397B9C">
        <w:t>investor</w:t>
      </w:r>
      <w:r>
        <w:t xml:space="preserve"> </w:t>
      </w:r>
      <w:r w:rsidRPr="00397B9C">
        <w:t>purchases</w:t>
      </w:r>
      <w:r>
        <w:t xml:space="preserve"> </w:t>
      </w:r>
      <w:r w:rsidRPr="00397B9C">
        <w:t>an</w:t>
      </w:r>
      <w:r>
        <w:t xml:space="preserve"> </w:t>
      </w:r>
      <w:r w:rsidRPr="00397B9C">
        <w:t>interest,</w:t>
      </w:r>
      <w:r>
        <w:t xml:space="preserve"> </w:t>
      </w:r>
      <w:r w:rsidRPr="00397B9C">
        <w:t>directly</w:t>
      </w:r>
      <w:r>
        <w:t xml:space="preserve"> </w:t>
      </w:r>
      <w:r w:rsidRPr="00397B9C">
        <w:t>or</w:t>
      </w:r>
      <w:r>
        <w:t xml:space="preserve"> </w:t>
      </w:r>
      <w:r w:rsidRPr="00397B9C">
        <w:t>indirectly</w:t>
      </w:r>
      <w:r>
        <w:t xml:space="preserve"> </w:t>
      </w:r>
      <w:r w:rsidRPr="00397B9C">
        <w:t>(through</w:t>
      </w:r>
      <w:r>
        <w:t xml:space="preserve"> </w:t>
      </w:r>
      <w:r w:rsidRPr="00397B9C">
        <w:t>one</w:t>
      </w:r>
      <w:r>
        <w:t xml:space="preserve"> </w:t>
      </w:r>
      <w:r w:rsidRPr="00397B9C">
        <w:t>or</w:t>
      </w:r>
      <w:r>
        <w:t xml:space="preserve"> </w:t>
      </w:r>
      <w:r w:rsidRPr="00397B9C">
        <w:t>more</w:t>
      </w:r>
      <w:r>
        <w:t xml:space="preserve"> </w:t>
      </w:r>
      <w:r w:rsidRPr="00397B9C">
        <w:t>tiers</w:t>
      </w:r>
      <w:r>
        <w:t xml:space="preserve"> </w:t>
      </w:r>
      <w:r w:rsidRPr="00397B9C">
        <w:t>of</w:t>
      </w:r>
      <w:r>
        <w:t xml:space="preserve"> </w:t>
      </w:r>
      <w:r w:rsidRPr="00397B9C">
        <w:t>pass-through</w:t>
      </w:r>
      <w:r>
        <w:t xml:space="preserve"> </w:t>
      </w:r>
      <w:r w:rsidRPr="00397B9C">
        <w:t>entities),</w:t>
      </w:r>
      <w:r>
        <w:t xml:space="preserve"> </w:t>
      </w:r>
      <w:r w:rsidRPr="00397B9C">
        <w:t>in</w:t>
      </w:r>
      <w:r>
        <w:t xml:space="preserve"> </w:t>
      </w:r>
      <w:r w:rsidRPr="00397B9C">
        <w:t>the</w:t>
      </w:r>
      <w:r>
        <w:t xml:space="preserve"> </w:t>
      </w:r>
      <w:r w:rsidRPr="00397B9C">
        <w:t>pass-through</w:t>
      </w:r>
      <w:r>
        <w:t xml:space="preserve"> </w:t>
      </w:r>
      <w:r w:rsidRPr="00397B9C">
        <w:t>entity</w:t>
      </w:r>
      <w:r>
        <w:t xml:space="preserve"> </w:t>
      </w:r>
      <w:r w:rsidRPr="00397B9C">
        <w:t>that</w:t>
      </w:r>
      <w:r>
        <w:t xml:space="preserve"> </w:t>
      </w:r>
      <w:r w:rsidRPr="00397B9C">
        <w:t>holds</w:t>
      </w:r>
      <w:r>
        <w:t xml:space="preserve"> </w:t>
      </w:r>
      <w:r w:rsidRPr="00397B9C">
        <w:t>real</w:t>
      </w:r>
      <w:r>
        <w:t xml:space="preserve"> </w:t>
      </w:r>
      <w:r w:rsidRPr="00397B9C">
        <w:t>property.</w:t>
      </w:r>
      <w:r>
        <w:t xml:space="preserve"> </w:t>
      </w:r>
      <w:r w:rsidRPr="00397B9C">
        <w:t>The</w:t>
      </w:r>
      <w:r>
        <w:t xml:space="preserve"> </w:t>
      </w:r>
      <w:r w:rsidRPr="00397B9C">
        <w:t>pass-through</w:t>
      </w:r>
      <w:r>
        <w:t xml:space="preserve"> </w:t>
      </w:r>
      <w:r w:rsidRPr="00397B9C">
        <w:t>entity</w:t>
      </w:r>
      <w:r>
        <w:t xml:space="preserve"> </w:t>
      </w:r>
      <w:r w:rsidRPr="00397B9C">
        <w:t>that</w:t>
      </w:r>
      <w:r>
        <w:t xml:space="preserve"> </w:t>
      </w:r>
      <w:r w:rsidRPr="00397B9C">
        <w:t>holds</w:t>
      </w:r>
      <w:r>
        <w:t xml:space="preserve"> </w:t>
      </w:r>
      <w:r w:rsidRPr="00397B9C">
        <w:t>the</w:t>
      </w:r>
      <w:r>
        <w:t xml:space="preserve"> </w:t>
      </w:r>
      <w:r w:rsidRPr="00397B9C">
        <w:t>real</w:t>
      </w:r>
      <w:r>
        <w:t xml:space="preserve"> </w:t>
      </w:r>
      <w:r w:rsidRPr="00397B9C">
        <w:t>property</w:t>
      </w:r>
      <w:r>
        <w:t xml:space="preserve"> </w:t>
      </w:r>
      <w:r w:rsidRPr="00397B9C">
        <w:t>contributes</w:t>
      </w:r>
      <w:r>
        <w:t xml:space="preserve"> </w:t>
      </w:r>
      <w:r w:rsidRPr="00397B9C">
        <w:t>a</w:t>
      </w:r>
      <w:r>
        <w:t xml:space="preserve"> </w:t>
      </w:r>
      <w:r w:rsidRPr="00397B9C">
        <w:t>conservation</w:t>
      </w:r>
      <w:r>
        <w:t xml:space="preserve"> </w:t>
      </w:r>
      <w:r w:rsidRPr="00397B9C">
        <w:t>easement</w:t>
      </w:r>
      <w:r>
        <w:t xml:space="preserve"> </w:t>
      </w:r>
      <w:r w:rsidRPr="00397B9C">
        <w:t>encumbering</w:t>
      </w:r>
      <w:r>
        <w:t xml:space="preserve"> </w:t>
      </w:r>
      <w:r w:rsidRPr="00397B9C">
        <w:t>the</w:t>
      </w:r>
      <w:r>
        <w:t xml:space="preserve"> </w:t>
      </w:r>
      <w:r w:rsidRPr="00397B9C">
        <w:t>property</w:t>
      </w:r>
      <w:r>
        <w:t xml:space="preserve"> </w:t>
      </w:r>
      <w:r w:rsidRPr="00397B9C">
        <w:t>to</w:t>
      </w:r>
      <w:r>
        <w:t xml:space="preserve"> </w:t>
      </w:r>
      <w:r w:rsidRPr="00397B9C">
        <w:t>a</w:t>
      </w:r>
      <w:r>
        <w:t xml:space="preserve"> </w:t>
      </w:r>
      <w:r w:rsidRPr="00397B9C">
        <w:t>tax-exempt</w:t>
      </w:r>
      <w:r>
        <w:t xml:space="preserve"> </w:t>
      </w:r>
      <w:r w:rsidRPr="00397B9C">
        <w:t>entity</w:t>
      </w:r>
      <w:r>
        <w:t xml:space="preserve"> </w:t>
      </w:r>
      <w:r w:rsidRPr="00397B9C">
        <w:t>and</w:t>
      </w:r>
      <w:r>
        <w:t xml:space="preserve"> </w:t>
      </w:r>
      <w:r w:rsidRPr="00397B9C">
        <w:t>allocates,</w:t>
      </w:r>
      <w:r>
        <w:t xml:space="preserve"> </w:t>
      </w:r>
      <w:r w:rsidRPr="00397B9C">
        <w:t>directly</w:t>
      </w:r>
      <w:r>
        <w:t xml:space="preserve"> </w:t>
      </w:r>
      <w:r w:rsidRPr="00397B9C">
        <w:t>or</w:t>
      </w:r>
      <w:r>
        <w:t xml:space="preserve"> </w:t>
      </w:r>
      <w:r w:rsidRPr="00397B9C">
        <w:t>through</w:t>
      </w:r>
      <w:r>
        <w:t xml:space="preserve"> </w:t>
      </w:r>
      <w:r w:rsidRPr="00397B9C">
        <w:t>one</w:t>
      </w:r>
      <w:r>
        <w:t xml:space="preserve"> </w:t>
      </w:r>
      <w:r w:rsidRPr="00397B9C">
        <w:t>or</w:t>
      </w:r>
      <w:r>
        <w:t xml:space="preserve"> </w:t>
      </w:r>
      <w:r w:rsidRPr="00397B9C">
        <w:t>more</w:t>
      </w:r>
      <w:r>
        <w:t xml:space="preserve"> </w:t>
      </w:r>
      <w:r w:rsidRPr="00397B9C">
        <w:t>tiers</w:t>
      </w:r>
      <w:r>
        <w:t xml:space="preserve"> </w:t>
      </w:r>
      <w:r w:rsidRPr="00397B9C">
        <w:t>of</w:t>
      </w:r>
      <w:r>
        <w:t xml:space="preserve"> </w:t>
      </w:r>
      <w:r w:rsidRPr="00397B9C">
        <w:t>pass-through</w:t>
      </w:r>
      <w:r>
        <w:t xml:space="preserve"> </w:t>
      </w:r>
      <w:r w:rsidRPr="00397B9C">
        <w:t>entities,</w:t>
      </w:r>
      <w:r>
        <w:t xml:space="preserve"> </w:t>
      </w:r>
      <w:r w:rsidRPr="00397B9C">
        <w:t>a</w:t>
      </w:r>
      <w:r>
        <w:t xml:space="preserve"> </w:t>
      </w:r>
      <w:r w:rsidRPr="00397B9C">
        <w:t>charitable</w:t>
      </w:r>
      <w:r>
        <w:t xml:space="preserve"> </w:t>
      </w:r>
      <w:r w:rsidRPr="00397B9C">
        <w:t>contribution</w:t>
      </w:r>
      <w:r>
        <w:t xml:space="preserve"> </w:t>
      </w:r>
      <w:r w:rsidRPr="00397B9C">
        <w:t>deduction</w:t>
      </w:r>
      <w:r>
        <w:t xml:space="preserve"> </w:t>
      </w:r>
      <w:r w:rsidRPr="00397B9C">
        <w:t>to</w:t>
      </w:r>
      <w:r>
        <w:t xml:space="preserve"> </w:t>
      </w:r>
      <w:r w:rsidRPr="00397B9C">
        <w:t>the</w:t>
      </w:r>
      <w:r>
        <w:t xml:space="preserve"> </w:t>
      </w:r>
      <w:r w:rsidRPr="00397B9C">
        <w:t>investor.</w:t>
      </w:r>
      <w:r>
        <w:t xml:space="preserve"> </w:t>
      </w:r>
      <w:r w:rsidRPr="00397B9C">
        <w:t>Following</w:t>
      </w:r>
      <w:r>
        <w:t xml:space="preserve"> </w:t>
      </w:r>
      <w:r w:rsidRPr="00397B9C">
        <w:t>that</w:t>
      </w:r>
      <w:r>
        <w:t xml:space="preserve"> </w:t>
      </w:r>
      <w:r w:rsidRPr="00397B9C">
        <w:t>contribution,</w:t>
      </w:r>
      <w:r>
        <w:t xml:space="preserve"> </w:t>
      </w:r>
      <w:r w:rsidRPr="00397B9C">
        <w:t>the</w:t>
      </w:r>
      <w:r>
        <w:t xml:space="preserve"> </w:t>
      </w:r>
      <w:r w:rsidRPr="00397B9C">
        <w:t>investor</w:t>
      </w:r>
      <w:r>
        <w:t xml:space="preserve"> </w:t>
      </w:r>
      <w:r w:rsidRPr="00397B9C">
        <w:t>reports</w:t>
      </w:r>
      <w:r>
        <w:t xml:space="preserve"> </w:t>
      </w:r>
      <w:r w:rsidRPr="00397B9C">
        <w:t>on</w:t>
      </w:r>
      <w:r>
        <w:t xml:space="preserve"> </w:t>
      </w:r>
      <w:r w:rsidRPr="00397B9C">
        <w:t>his</w:t>
      </w:r>
      <w:r>
        <w:t xml:space="preserve"> </w:t>
      </w:r>
      <w:r w:rsidRPr="00397B9C">
        <w:t>or</w:t>
      </w:r>
      <w:r>
        <w:t xml:space="preserve"> </w:t>
      </w:r>
      <w:r w:rsidRPr="00397B9C">
        <w:t>her</w:t>
      </w:r>
      <w:r>
        <w:t xml:space="preserve"> </w:t>
      </w:r>
      <w:r w:rsidRPr="00397B9C">
        <w:t>federal</w:t>
      </w:r>
      <w:r>
        <w:t xml:space="preserve"> </w:t>
      </w:r>
      <w:r w:rsidRPr="00397B9C">
        <w:t>income</w:t>
      </w:r>
      <w:r>
        <w:t xml:space="preserve"> </w:t>
      </w:r>
      <w:r w:rsidRPr="00397B9C">
        <w:t>tax</w:t>
      </w:r>
      <w:r>
        <w:t xml:space="preserve"> </w:t>
      </w:r>
      <w:r w:rsidRPr="00397B9C">
        <w:t>return</w:t>
      </w:r>
      <w:r>
        <w:t xml:space="preserve"> </w:t>
      </w:r>
      <w:r w:rsidRPr="00397B9C">
        <w:t>a</w:t>
      </w:r>
      <w:r>
        <w:t xml:space="preserve"> </w:t>
      </w:r>
      <w:r w:rsidRPr="00397B9C">
        <w:t>charitable</w:t>
      </w:r>
      <w:r>
        <w:t xml:space="preserve"> </w:t>
      </w:r>
      <w:r w:rsidRPr="00397B9C">
        <w:t>contribution</w:t>
      </w:r>
      <w:r>
        <w:t xml:space="preserve"> </w:t>
      </w:r>
      <w:r w:rsidRPr="00397B9C">
        <w:t>deduction</w:t>
      </w:r>
      <w:r>
        <w:t xml:space="preserve"> </w:t>
      </w:r>
      <w:r w:rsidRPr="00397B9C">
        <w:t>with</w:t>
      </w:r>
      <w:r>
        <w:t xml:space="preserve"> </w:t>
      </w:r>
      <w:r w:rsidRPr="00397B9C">
        <w:t>respect</w:t>
      </w:r>
      <w:r>
        <w:t xml:space="preserve"> </w:t>
      </w:r>
      <w:r w:rsidRPr="00397B9C">
        <w:t>to</w:t>
      </w:r>
      <w:r>
        <w:t xml:space="preserve"> </w:t>
      </w:r>
      <w:r w:rsidRPr="00397B9C">
        <w:t>the</w:t>
      </w:r>
      <w:r>
        <w:t xml:space="preserve"> </w:t>
      </w:r>
      <w:r w:rsidRPr="00397B9C">
        <w:t>conservation</w:t>
      </w:r>
      <w:r>
        <w:t xml:space="preserve"> </w:t>
      </w:r>
      <w:r w:rsidRPr="00397B9C">
        <w:t>easement.</w:t>
      </w:r>
    </w:p>
    <w:p w:rsidR="007649DB" w:rsidRDefault="007649DB" w:rsidP="007649DB">
      <w:pPr>
        <w:pStyle w:val="Body15"/>
      </w:pPr>
      <w:r>
        <w:t>The effect of the Notice is retroactive:</w:t>
      </w:r>
    </w:p>
    <w:p w:rsidR="007649DB" w:rsidRPr="0008663C" w:rsidRDefault="007649DB" w:rsidP="007649DB">
      <w:pPr>
        <w:pStyle w:val="QS10"/>
      </w:pPr>
      <w:r w:rsidRPr="0008663C">
        <w:t>Transactions</w:t>
      </w:r>
      <w:r>
        <w:t xml:space="preserve"> </w:t>
      </w:r>
      <w:r w:rsidRPr="0008663C">
        <w:t>entered</w:t>
      </w:r>
      <w:r>
        <w:t xml:space="preserve"> </w:t>
      </w:r>
      <w:r w:rsidRPr="0008663C">
        <w:t>into</w:t>
      </w:r>
      <w:r>
        <w:t xml:space="preserve"> </w:t>
      </w:r>
      <w:r w:rsidRPr="0008663C">
        <w:t>on</w:t>
      </w:r>
      <w:r>
        <w:t xml:space="preserve"> </w:t>
      </w:r>
      <w:r w:rsidRPr="0008663C">
        <w:t>or</w:t>
      </w:r>
      <w:r>
        <w:t xml:space="preserve"> </w:t>
      </w:r>
      <w:r w:rsidRPr="0008663C">
        <w:t>after</w:t>
      </w:r>
      <w:r>
        <w:t xml:space="preserve"> </w:t>
      </w:r>
      <w:r w:rsidRPr="0008663C">
        <w:t>January</w:t>
      </w:r>
      <w:r>
        <w:t xml:space="preserve"> </w:t>
      </w:r>
      <w:r w:rsidRPr="0008663C">
        <w:t>1,</w:t>
      </w:r>
      <w:r>
        <w:t xml:space="preserve"> </w:t>
      </w:r>
      <w:r w:rsidRPr="0008663C">
        <w:t>2010,</w:t>
      </w:r>
      <w:r>
        <w:t xml:space="preserve"> </w:t>
      </w:r>
      <w:r w:rsidRPr="0008663C">
        <w:t>that</w:t>
      </w:r>
      <w:r>
        <w:t xml:space="preserve"> </w:t>
      </w:r>
      <w:r w:rsidRPr="0008663C">
        <w:t>are</w:t>
      </w:r>
      <w:r>
        <w:t xml:space="preserve"> </w:t>
      </w:r>
      <w:r w:rsidRPr="0008663C">
        <w:t>the</w:t>
      </w:r>
      <w:r>
        <w:t xml:space="preserve"> </w:t>
      </w:r>
      <w:r w:rsidRPr="0008663C">
        <w:t>same</w:t>
      </w:r>
      <w:r>
        <w:t xml:space="preserve"> </w:t>
      </w:r>
      <w:r w:rsidRPr="0008663C">
        <w:t>as,</w:t>
      </w:r>
      <w:r>
        <w:t xml:space="preserve"> </w:t>
      </w:r>
      <w:r w:rsidRPr="0008663C">
        <w:t>or</w:t>
      </w:r>
      <w:r>
        <w:t xml:space="preserve"> </w:t>
      </w:r>
      <w:r w:rsidRPr="0008663C">
        <w:t>substantially</w:t>
      </w:r>
      <w:r>
        <w:t xml:space="preserve"> </w:t>
      </w:r>
      <w:r w:rsidRPr="0008663C">
        <w:t>similar</w:t>
      </w:r>
      <w:r>
        <w:t xml:space="preserve"> </w:t>
      </w:r>
      <w:r w:rsidRPr="0008663C">
        <w:t>to,</w:t>
      </w:r>
      <w:r>
        <w:t xml:space="preserve"> </w:t>
      </w:r>
      <w:r w:rsidRPr="0008663C">
        <w:t>the</w:t>
      </w:r>
      <w:r>
        <w:t xml:space="preserve"> </w:t>
      </w:r>
      <w:r w:rsidRPr="0008663C">
        <w:t>transaction</w:t>
      </w:r>
      <w:r>
        <w:t xml:space="preserve"> </w:t>
      </w:r>
      <w:r w:rsidRPr="0008663C">
        <w:t>described</w:t>
      </w:r>
      <w:r>
        <w:t xml:space="preserve"> </w:t>
      </w:r>
      <w:r w:rsidRPr="0008663C">
        <w:t>in</w:t>
      </w:r>
      <w:r>
        <w:t xml:space="preserve"> </w:t>
      </w:r>
      <w:r w:rsidRPr="0008663C">
        <w:t>section</w:t>
      </w:r>
      <w:r>
        <w:t xml:space="preserve"> </w:t>
      </w:r>
      <w:r w:rsidRPr="0008663C">
        <w:t>2</w:t>
      </w:r>
      <w:r>
        <w:t xml:space="preserve"> </w:t>
      </w:r>
      <w:r w:rsidRPr="0008663C">
        <w:t>of</w:t>
      </w:r>
      <w:r>
        <w:t xml:space="preserve"> </w:t>
      </w:r>
      <w:r w:rsidRPr="0008663C">
        <w:t>this</w:t>
      </w:r>
      <w:r>
        <w:t xml:space="preserve"> </w:t>
      </w:r>
      <w:bookmarkStart w:id="159" w:name="ctx12"/>
      <w:bookmarkEnd w:id="159"/>
      <w:r w:rsidRPr="0008663C">
        <w:rPr>
          <w:noProof/>
        </w:rPr>
        <w:drawing>
          <wp:inline distT="0" distB="0" distL="0" distR="0" wp14:anchorId="7C06D35B" wp14:editId="2CE75281">
            <wp:extent cx="9525" cy="9525"/>
            <wp:effectExtent l="0" t="0" r="0" b="0"/>
            <wp:docPr id="84" name="Picture 84" descr="previous hit">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vious hit">
                      <a:hlinkClick r:id="rId120"/>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8663C">
        <w:t>notice</w:t>
      </w:r>
      <w:r w:rsidRPr="0008663C">
        <w:rPr>
          <w:noProof/>
        </w:rPr>
        <w:drawing>
          <wp:inline distT="0" distB="0" distL="0" distR="0" wp14:anchorId="4154EFDC" wp14:editId="7282B252">
            <wp:extent cx="9525" cy="9525"/>
            <wp:effectExtent l="0" t="0" r="0" b="0"/>
            <wp:docPr id="85" name="Picture 85" descr="next hit">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xt hit">
                      <a:hlinkClick r:id="rId121"/>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t xml:space="preserve"> </w:t>
      </w:r>
      <w:r w:rsidRPr="0008663C">
        <w:t>are</w:t>
      </w:r>
      <w:r>
        <w:t xml:space="preserve"> </w:t>
      </w:r>
      <w:r w:rsidRPr="0008663C">
        <w:t>identified</w:t>
      </w:r>
      <w:r>
        <w:t xml:space="preserve"> </w:t>
      </w:r>
      <w:r w:rsidRPr="0008663C">
        <w:t>as</w:t>
      </w:r>
      <w:r>
        <w:t xml:space="preserve"> </w:t>
      </w:r>
      <w:r w:rsidRPr="0008663C">
        <w:t>“listed</w:t>
      </w:r>
      <w:r>
        <w:t xml:space="preserve"> </w:t>
      </w:r>
      <w:r w:rsidRPr="0008663C">
        <w:t>transactions”</w:t>
      </w:r>
      <w:r>
        <w:t xml:space="preserve"> </w:t>
      </w:r>
      <w:r w:rsidRPr="0008663C">
        <w:t>for</w:t>
      </w:r>
      <w:r>
        <w:t xml:space="preserve"> </w:t>
      </w:r>
      <w:r w:rsidRPr="0008663C">
        <w:t>purposes</w:t>
      </w:r>
      <w:r>
        <w:t xml:space="preserve"> </w:t>
      </w:r>
      <w:r w:rsidRPr="0008663C">
        <w:t>of</w:t>
      </w:r>
      <w:r>
        <w:t xml:space="preserve"> </w:t>
      </w:r>
      <w:r w:rsidRPr="0008663C">
        <w:t>§1.6011-4(b)(2)</w:t>
      </w:r>
      <w:r>
        <w:t xml:space="preserve"> </w:t>
      </w:r>
      <w:r w:rsidRPr="0008663C">
        <w:t>and</w:t>
      </w:r>
      <w:r>
        <w:t xml:space="preserve"> </w:t>
      </w:r>
      <w:r w:rsidRPr="0008663C">
        <w:t>§§6111</w:t>
      </w:r>
      <w:r>
        <w:t xml:space="preserve"> </w:t>
      </w:r>
      <w:r w:rsidRPr="0008663C">
        <w:t>and</w:t>
      </w:r>
      <w:r>
        <w:t xml:space="preserve"> </w:t>
      </w:r>
      <w:r w:rsidRPr="0008663C">
        <w:t>6112</w:t>
      </w:r>
      <w:r>
        <w:t xml:space="preserve"> </w:t>
      </w:r>
      <w:r w:rsidRPr="0008663C">
        <w:t>effective</w:t>
      </w:r>
      <w:r>
        <w:t xml:space="preserve"> </w:t>
      </w:r>
      <w:r w:rsidRPr="0008663C">
        <w:t>December</w:t>
      </w:r>
      <w:r>
        <w:t xml:space="preserve"> </w:t>
      </w:r>
      <w:r w:rsidRPr="0008663C">
        <w:t>23,</w:t>
      </w:r>
      <w:r>
        <w:t xml:space="preserve"> </w:t>
      </w:r>
      <w:r w:rsidRPr="0008663C">
        <w:t>2016.</w:t>
      </w:r>
      <w:r>
        <w:t xml:space="preserve"> </w:t>
      </w:r>
      <w:r w:rsidRPr="0008663C">
        <w:t>Persons</w:t>
      </w:r>
      <w:r>
        <w:t xml:space="preserve"> </w:t>
      </w:r>
      <w:r w:rsidRPr="0008663C">
        <w:t>entering</w:t>
      </w:r>
      <w:r>
        <w:t xml:space="preserve"> </w:t>
      </w:r>
      <w:r w:rsidRPr="0008663C">
        <w:t>into</w:t>
      </w:r>
      <w:r>
        <w:t xml:space="preserve"> </w:t>
      </w:r>
      <w:r w:rsidRPr="0008663C">
        <w:t>these</w:t>
      </w:r>
      <w:r>
        <w:t xml:space="preserve"> </w:t>
      </w:r>
      <w:r w:rsidRPr="0008663C">
        <w:t>transactions</w:t>
      </w:r>
      <w:r>
        <w:t xml:space="preserve"> </w:t>
      </w:r>
      <w:r w:rsidRPr="0008663C">
        <w:rPr>
          <w:u w:val="single"/>
        </w:rPr>
        <w:t>on</w:t>
      </w:r>
      <w:r>
        <w:rPr>
          <w:u w:val="single"/>
        </w:rPr>
        <w:t xml:space="preserve"> </w:t>
      </w:r>
      <w:r w:rsidRPr="0008663C">
        <w:rPr>
          <w:u w:val="single"/>
        </w:rPr>
        <w:t>or</w:t>
      </w:r>
      <w:r>
        <w:rPr>
          <w:u w:val="single"/>
        </w:rPr>
        <w:t xml:space="preserve"> </w:t>
      </w:r>
      <w:r w:rsidRPr="0008663C">
        <w:rPr>
          <w:u w:val="single"/>
        </w:rPr>
        <w:t>after</w:t>
      </w:r>
      <w:r>
        <w:rPr>
          <w:u w:val="single"/>
        </w:rPr>
        <w:t xml:space="preserve"> </w:t>
      </w:r>
      <w:r w:rsidRPr="0008663C">
        <w:rPr>
          <w:u w:val="single"/>
        </w:rPr>
        <w:t>January</w:t>
      </w:r>
      <w:r>
        <w:rPr>
          <w:u w:val="single"/>
        </w:rPr>
        <w:t xml:space="preserve"> </w:t>
      </w:r>
      <w:r w:rsidRPr="0008663C">
        <w:rPr>
          <w:u w:val="single"/>
        </w:rPr>
        <w:t>1,</w:t>
      </w:r>
      <w:r>
        <w:rPr>
          <w:u w:val="single"/>
        </w:rPr>
        <w:t xml:space="preserve"> </w:t>
      </w:r>
      <w:r w:rsidRPr="0008663C">
        <w:rPr>
          <w:u w:val="single"/>
        </w:rPr>
        <w:t>2010</w:t>
      </w:r>
      <w:r w:rsidRPr="0008663C">
        <w:t>,</w:t>
      </w:r>
      <w:r>
        <w:t xml:space="preserve"> [emphasis added] </w:t>
      </w:r>
      <w:r w:rsidRPr="0008663C">
        <w:t>must</w:t>
      </w:r>
      <w:r>
        <w:t xml:space="preserve"> </w:t>
      </w:r>
      <w:r w:rsidRPr="0008663C">
        <w:t>disclose</w:t>
      </w:r>
      <w:r>
        <w:t xml:space="preserve"> </w:t>
      </w:r>
      <w:r w:rsidRPr="0008663C">
        <w:t>the</w:t>
      </w:r>
      <w:r>
        <w:t xml:space="preserve"> </w:t>
      </w:r>
      <w:r w:rsidRPr="0008663C">
        <w:t>transactions</w:t>
      </w:r>
      <w:r>
        <w:t xml:space="preserve"> </w:t>
      </w:r>
      <w:r w:rsidRPr="0008663C">
        <w:t>as</w:t>
      </w:r>
      <w:r>
        <w:t xml:space="preserve"> </w:t>
      </w:r>
      <w:r w:rsidRPr="0008663C">
        <w:t>described</w:t>
      </w:r>
      <w:r>
        <w:t xml:space="preserve"> </w:t>
      </w:r>
      <w:r w:rsidRPr="0008663C">
        <w:t>in</w:t>
      </w:r>
      <w:r>
        <w:t xml:space="preserve"> </w:t>
      </w:r>
      <w:r w:rsidRPr="0008663C">
        <w:t>§1.6011-4</w:t>
      </w:r>
      <w:r>
        <w:t xml:space="preserve"> </w:t>
      </w:r>
      <w:r w:rsidRPr="0008663C">
        <w:t>for</w:t>
      </w:r>
      <w:r>
        <w:t xml:space="preserve"> </w:t>
      </w:r>
      <w:r w:rsidRPr="0008663C">
        <w:t>each</w:t>
      </w:r>
      <w:r>
        <w:t xml:space="preserve"> </w:t>
      </w:r>
      <w:r w:rsidRPr="0008663C">
        <w:t>taxable</w:t>
      </w:r>
      <w:r>
        <w:t xml:space="preserve"> </w:t>
      </w:r>
      <w:r w:rsidRPr="0008663C">
        <w:t>year</w:t>
      </w:r>
      <w:r>
        <w:t xml:space="preserve"> </w:t>
      </w:r>
      <w:r w:rsidRPr="0008663C">
        <w:t>in</w:t>
      </w:r>
      <w:r>
        <w:t xml:space="preserve"> </w:t>
      </w:r>
      <w:r w:rsidRPr="0008663C">
        <w:t>which</w:t>
      </w:r>
      <w:r>
        <w:t xml:space="preserve"> </w:t>
      </w:r>
      <w:r w:rsidRPr="0008663C">
        <w:t>the</w:t>
      </w:r>
      <w:r>
        <w:t xml:space="preserve"> </w:t>
      </w:r>
      <w:r w:rsidRPr="0008663C">
        <w:t>taxpayer</w:t>
      </w:r>
      <w:r>
        <w:t xml:space="preserve"> </w:t>
      </w:r>
      <w:r w:rsidRPr="0008663C">
        <w:t>participated</w:t>
      </w:r>
      <w:r>
        <w:t xml:space="preserve"> </w:t>
      </w:r>
      <w:r w:rsidRPr="0008663C">
        <w:t>in</w:t>
      </w:r>
      <w:r>
        <w:t xml:space="preserve"> </w:t>
      </w:r>
      <w:r w:rsidRPr="0008663C">
        <w:t>the</w:t>
      </w:r>
      <w:r>
        <w:t xml:space="preserve"> </w:t>
      </w:r>
      <w:r w:rsidRPr="0008663C">
        <w:t>transactions,</w:t>
      </w:r>
      <w:r>
        <w:t xml:space="preserve"> </w:t>
      </w:r>
      <w:r w:rsidRPr="0008663C">
        <w:t>provided</w:t>
      </w:r>
      <w:r>
        <w:t xml:space="preserve"> </w:t>
      </w:r>
      <w:r w:rsidRPr="0008663C">
        <w:t>that</w:t>
      </w:r>
      <w:r>
        <w:t xml:space="preserve"> </w:t>
      </w:r>
      <w:r w:rsidRPr="0008663C">
        <w:t>the</w:t>
      </w:r>
      <w:r>
        <w:t xml:space="preserve"> </w:t>
      </w:r>
      <w:r w:rsidRPr="0008663C">
        <w:t>period</w:t>
      </w:r>
      <w:r>
        <w:t xml:space="preserve"> </w:t>
      </w:r>
      <w:r w:rsidRPr="0008663C">
        <w:t>of</w:t>
      </w:r>
      <w:r>
        <w:t xml:space="preserve"> </w:t>
      </w:r>
      <w:r w:rsidRPr="0008663C">
        <w:t>limitations</w:t>
      </w:r>
      <w:r>
        <w:t xml:space="preserve"> </w:t>
      </w:r>
      <w:r w:rsidRPr="0008663C">
        <w:t>for</w:t>
      </w:r>
      <w:r>
        <w:t xml:space="preserve"> </w:t>
      </w:r>
      <w:r w:rsidRPr="0008663C">
        <w:t>assessment</w:t>
      </w:r>
      <w:r>
        <w:t xml:space="preserve"> </w:t>
      </w:r>
      <w:r w:rsidRPr="0008663C">
        <w:t>of</w:t>
      </w:r>
      <w:r>
        <w:t xml:space="preserve"> </w:t>
      </w:r>
      <w:r w:rsidRPr="0008663C">
        <w:t>tax</w:t>
      </w:r>
      <w:r>
        <w:t xml:space="preserve"> </w:t>
      </w:r>
      <w:r w:rsidRPr="0008663C">
        <w:t>has</w:t>
      </w:r>
      <w:r>
        <w:t xml:space="preserve"> </w:t>
      </w:r>
      <w:r w:rsidRPr="0008663C">
        <w:t>not</w:t>
      </w:r>
      <w:r>
        <w:t xml:space="preserve"> </w:t>
      </w:r>
      <w:r w:rsidRPr="0008663C">
        <w:t>ended</w:t>
      </w:r>
      <w:r>
        <w:t xml:space="preserve"> </w:t>
      </w:r>
      <w:r w:rsidRPr="0008663C">
        <w:t>on</w:t>
      </w:r>
      <w:r>
        <w:t xml:space="preserve"> </w:t>
      </w:r>
      <w:r w:rsidRPr="0008663C">
        <w:t>or</w:t>
      </w:r>
      <w:r>
        <w:t xml:space="preserve"> </w:t>
      </w:r>
      <w:r w:rsidRPr="0008663C">
        <w:t>before</w:t>
      </w:r>
      <w:r>
        <w:t xml:space="preserve"> </w:t>
      </w:r>
      <w:r w:rsidRPr="0008663C">
        <w:t>December</w:t>
      </w:r>
      <w:r>
        <w:t xml:space="preserve"> </w:t>
      </w:r>
      <w:r w:rsidRPr="0008663C">
        <w:t>23,</w:t>
      </w:r>
      <w:r>
        <w:t xml:space="preserve"> </w:t>
      </w:r>
      <w:r w:rsidRPr="0008663C">
        <w:t>2016.</w:t>
      </w:r>
    </w:p>
    <w:p w:rsidR="007649DB" w:rsidRPr="0008663C" w:rsidRDefault="007649DB" w:rsidP="007649DB">
      <w:pPr>
        <w:pStyle w:val="QS10"/>
      </w:pPr>
      <w:r w:rsidRPr="0008663C">
        <w:t>Material</w:t>
      </w:r>
      <w:r>
        <w:t xml:space="preserve"> </w:t>
      </w:r>
      <w:r w:rsidRPr="0008663C">
        <w:t>advisors,</w:t>
      </w:r>
      <w:r>
        <w:t xml:space="preserve"> </w:t>
      </w:r>
      <w:r w:rsidRPr="0008663C">
        <w:t>including</w:t>
      </w:r>
      <w:r>
        <w:t xml:space="preserve"> </w:t>
      </w:r>
      <w:r w:rsidRPr="0008663C">
        <w:t>appraisers,</w:t>
      </w:r>
      <w:r>
        <w:t xml:space="preserve"> </w:t>
      </w:r>
      <w:r w:rsidRPr="0008663C">
        <w:t>who</w:t>
      </w:r>
      <w:r>
        <w:t xml:space="preserve"> </w:t>
      </w:r>
      <w:r w:rsidRPr="0008663C">
        <w:t>make</w:t>
      </w:r>
      <w:r>
        <w:t xml:space="preserve"> </w:t>
      </w:r>
      <w:r w:rsidRPr="0008663C">
        <w:t>a</w:t>
      </w:r>
      <w:r>
        <w:t xml:space="preserve"> </w:t>
      </w:r>
      <w:r w:rsidRPr="0008663C">
        <w:t>tax</w:t>
      </w:r>
      <w:r>
        <w:t xml:space="preserve"> </w:t>
      </w:r>
      <w:r w:rsidRPr="0008663C">
        <w:t>statement</w:t>
      </w:r>
      <w:r>
        <w:t xml:space="preserve"> </w:t>
      </w:r>
      <w:r w:rsidRPr="0008663C">
        <w:t>on</w:t>
      </w:r>
      <w:r>
        <w:t xml:space="preserve"> </w:t>
      </w:r>
      <w:r w:rsidRPr="0008663C">
        <w:t>or</w:t>
      </w:r>
      <w:r>
        <w:t xml:space="preserve"> </w:t>
      </w:r>
      <w:r w:rsidRPr="0008663C">
        <w:t>after</w:t>
      </w:r>
      <w:r>
        <w:t xml:space="preserve"> </w:t>
      </w:r>
      <w:r w:rsidRPr="0008663C">
        <w:t>January</w:t>
      </w:r>
      <w:r>
        <w:t xml:space="preserve"> </w:t>
      </w:r>
      <w:r w:rsidRPr="0008663C">
        <w:t>1,</w:t>
      </w:r>
      <w:r>
        <w:t xml:space="preserve"> </w:t>
      </w:r>
      <w:r w:rsidRPr="0008663C">
        <w:t>2010,</w:t>
      </w:r>
      <w:r>
        <w:t xml:space="preserve"> </w:t>
      </w:r>
      <w:r w:rsidRPr="0008663C">
        <w:t>with</w:t>
      </w:r>
      <w:r>
        <w:t xml:space="preserve"> </w:t>
      </w:r>
      <w:r w:rsidRPr="0008663C">
        <w:t>respect</w:t>
      </w:r>
      <w:r>
        <w:t xml:space="preserve"> </w:t>
      </w:r>
      <w:r w:rsidRPr="0008663C">
        <w:t>to</w:t>
      </w:r>
      <w:r>
        <w:t xml:space="preserve"> </w:t>
      </w:r>
      <w:r w:rsidRPr="0008663C">
        <w:t>transactions</w:t>
      </w:r>
      <w:r>
        <w:t xml:space="preserve"> </w:t>
      </w:r>
      <w:r w:rsidRPr="0008663C">
        <w:t>entered</w:t>
      </w:r>
      <w:r>
        <w:t xml:space="preserve"> </w:t>
      </w:r>
      <w:r w:rsidRPr="0008663C">
        <w:t>into</w:t>
      </w:r>
      <w:r>
        <w:t xml:space="preserve"> </w:t>
      </w:r>
      <w:r w:rsidRPr="0008663C">
        <w:t>on</w:t>
      </w:r>
      <w:r>
        <w:t xml:space="preserve"> </w:t>
      </w:r>
      <w:r w:rsidRPr="0008663C">
        <w:t>or</w:t>
      </w:r>
      <w:r>
        <w:t xml:space="preserve"> </w:t>
      </w:r>
      <w:r w:rsidRPr="0008663C">
        <w:t>after</w:t>
      </w:r>
      <w:r>
        <w:t xml:space="preserve"> </w:t>
      </w:r>
      <w:r w:rsidRPr="0008663C">
        <w:t>January</w:t>
      </w:r>
      <w:r>
        <w:t xml:space="preserve"> </w:t>
      </w:r>
      <w:r w:rsidRPr="0008663C">
        <w:t>1,</w:t>
      </w:r>
      <w:r>
        <w:t xml:space="preserve"> </w:t>
      </w:r>
      <w:r w:rsidRPr="0008663C">
        <w:t>2010,</w:t>
      </w:r>
      <w:r>
        <w:t xml:space="preserve"> </w:t>
      </w:r>
      <w:r w:rsidRPr="0008663C">
        <w:t>have</w:t>
      </w:r>
      <w:r>
        <w:t xml:space="preserve"> </w:t>
      </w:r>
      <w:r w:rsidRPr="0008663C">
        <w:t>disclosure</w:t>
      </w:r>
      <w:r>
        <w:t xml:space="preserve"> </w:t>
      </w:r>
      <w:r w:rsidRPr="0008663C">
        <w:t>and</w:t>
      </w:r>
      <w:r>
        <w:t xml:space="preserve"> </w:t>
      </w:r>
      <w:r w:rsidRPr="0008663C">
        <w:t>list</w:t>
      </w:r>
      <w:r>
        <w:t xml:space="preserve"> </w:t>
      </w:r>
      <w:r w:rsidRPr="0008663C">
        <w:t>maintenance</w:t>
      </w:r>
      <w:r>
        <w:t xml:space="preserve"> </w:t>
      </w:r>
      <w:r w:rsidRPr="0008663C">
        <w:t>obligations</w:t>
      </w:r>
      <w:r>
        <w:t xml:space="preserve"> </w:t>
      </w:r>
      <w:r w:rsidRPr="0008663C">
        <w:t>under</w:t>
      </w:r>
      <w:r>
        <w:t xml:space="preserve"> </w:t>
      </w:r>
      <w:r w:rsidRPr="0008663C">
        <w:t>§§6111</w:t>
      </w:r>
      <w:r>
        <w:t xml:space="preserve"> </w:t>
      </w:r>
      <w:r w:rsidRPr="0008663C">
        <w:t>and</w:t>
      </w:r>
      <w:r>
        <w:t xml:space="preserve"> </w:t>
      </w:r>
      <w:r w:rsidRPr="0008663C">
        <w:t>6112.</w:t>
      </w:r>
      <w:r>
        <w:t xml:space="preserve"> </w:t>
      </w:r>
      <w:r w:rsidRPr="0008663C">
        <w:t>See</w:t>
      </w:r>
      <w:r>
        <w:t xml:space="preserve"> </w:t>
      </w:r>
      <w:r w:rsidRPr="0008663C">
        <w:t>§§301.61113,</w:t>
      </w:r>
      <w:r>
        <w:t xml:space="preserve"> </w:t>
      </w:r>
      <w:r w:rsidRPr="0008663C">
        <w:t>301.6112-1.</w:t>
      </w:r>
    </w:p>
    <w:p w:rsidR="007649DB" w:rsidRDefault="007649DB" w:rsidP="007649DB">
      <w:pPr>
        <w:pStyle w:val="QS10"/>
      </w:pPr>
      <w:r w:rsidRPr="0008663C">
        <w:t>For</w:t>
      </w:r>
      <w:r>
        <w:t xml:space="preserve"> </w:t>
      </w:r>
      <w:r w:rsidRPr="0008663C">
        <w:t>rules</w:t>
      </w:r>
      <w:r>
        <w:t xml:space="preserve"> </w:t>
      </w:r>
      <w:r w:rsidRPr="0008663C">
        <w:t>regarding</w:t>
      </w:r>
      <w:r>
        <w:t xml:space="preserve"> </w:t>
      </w:r>
      <w:r w:rsidRPr="0008663C">
        <w:t>the</w:t>
      </w:r>
      <w:r>
        <w:t xml:space="preserve"> </w:t>
      </w:r>
      <w:r w:rsidRPr="0008663C">
        <w:t>time</w:t>
      </w:r>
      <w:r>
        <w:t xml:space="preserve"> </w:t>
      </w:r>
      <w:r w:rsidRPr="0008663C">
        <w:t>for</w:t>
      </w:r>
      <w:r>
        <w:t xml:space="preserve"> </w:t>
      </w:r>
      <w:r w:rsidRPr="0008663C">
        <w:t>providing</w:t>
      </w:r>
      <w:r>
        <w:t xml:space="preserve"> </w:t>
      </w:r>
      <w:r w:rsidRPr="0008663C">
        <w:t>disclosure</w:t>
      </w:r>
      <w:r>
        <w:t xml:space="preserve"> </w:t>
      </w:r>
      <w:r w:rsidRPr="0008663C">
        <w:t>of</w:t>
      </w:r>
      <w:r>
        <w:t xml:space="preserve"> </w:t>
      </w:r>
      <w:r w:rsidRPr="0008663C">
        <w:t>a</w:t>
      </w:r>
      <w:r>
        <w:t xml:space="preserve"> </w:t>
      </w:r>
      <w:r w:rsidRPr="0008663C">
        <w:t>transaction</w:t>
      </w:r>
      <w:r>
        <w:t xml:space="preserve"> </w:t>
      </w:r>
      <w:r w:rsidRPr="0008663C">
        <w:t>described</w:t>
      </w:r>
      <w:r>
        <w:t xml:space="preserve"> </w:t>
      </w:r>
      <w:r w:rsidRPr="0008663C">
        <w:t>in</w:t>
      </w:r>
      <w:r>
        <w:t xml:space="preserve"> </w:t>
      </w:r>
      <w:r w:rsidRPr="0008663C">
        <w:t>this</w:t>
      </w:r>
      <w:r>
        <w:t xml:space="preserve"> </w:t>
      </w:r>
      <w:bookmarkStart w:id="160" w:name="ctx13"/>
      <w:bookmarkEnd w:id="160"/>
      <w:r w:rsidRPr="0008663C">
        <w:rPr>
          <w:noProof/>
        </w:rPr>
        <w:drawing>
          <wp:inline distT="0" distB="0" distL="0" distR="0" wp14:anchorId="1AFFE71B" wp14:editId="6651BF43">
            <wp:extent cx="9525" cy="9525"/>
            <wp:effectExtent l="0" t="0" r="0" b="0"/>
            <wp:docPr id="86" name="Picture 86" descr="previous hit">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evious hit">
                      <a:hlinkClick r:id="rId122"/>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8663C">
        <w:t>notice</w:t>
      </w:r>
      <w:r w:rsidRPr="0008663C">
        <w:rPr>
          <w:noProof/>
        </w:rPr>
        <w:drawing>
          <wp:inline distT="0" distB="0" distL="0" distR="0" wp14:anchorId="69235FFA" wp14:editId="0D25F694">
            <wp:extent cx="9525" cy="9525"/>
            <wp:effectExtent l="0" t="0" r="0" b="0"/>
            <wp:docPr id="87" name="Picture 87" descr="next hit">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ext hit">
                      <a:hlinkClick r:id="rId123"/>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8663C">
        <w:t>,</w:t>
      </w:r>
      <w:r>
        <w:t xml:space="preserve"> </w:t>
      </w:r>
      <w:r w:rsidRPr="0008663C">
        <w:t>see</w:t>
      </w:r>
      <w:r>
        <w:t xml:space="preserve"> </w:t>
      </w:r>
      <w:r w:rsidRPr="0008663C">
        <w:t>§§1.6011-4(e)</w:t>
      </w:r>
      <w:r>
        <w:t xml:space="preserve"> </w:t>
      </w:r>
      <w:r w:rsidRPr="0008663C">
        <w:t>and</w:t>
      </w:r>
      <w:r>
        <w:t xml:space="preserve"> </w:t>
      </w:r>
      <w:r w:rsidRPr="0008663C">
        <w:t>301.6111-3(e).</w:t>
      </w:r>
      <w:r>
        <w:t xml:space="preserve"> </w:t>
      </w:r>
      <w:r w:rsidRPr="0008663C">
        <w:t>However,</w:t>
      </w:r>
      <w:r>
        <w:t xml:space="preserve"> </w:t>
      </w:r>
      <w:r w:rsidRPr="0008663C">
        <w:t>if,</w:t>
      </w:r>
      <w:r>
        <w:t xml:space="preserve"> </w:t>
      </w:r>
      <w:r w:rsidRPr="0008663C">
        <w:t>under</w:t>
      </w:r>
      <w:r>
        <w:t xml:space="preserve"> </w:t>
      </w:r>
      <w:r w:rsidRPr="0008663C">
        <w:t>§1.6011-4(e)(1),</w:t>
      </w:r>
      <w:r>
        <w:t xml:space="preserve"> </w:t>
      </w:r>
      <w:r w:rsidRPr="0008663C">
        <w:t>a</w:t>
      </w:r>
      <w:r>
        <w:t xml:space="preserve"> </w:t>
      </w:r>
      <w:r w:rsidRPr="0008663C">
        <w:t>taxpayer</w:t>
      </w:r>
      <w:r>
        <w:t xml:space="preserve"> </w:t>
      </w:r>
      <w:r w:rsidRPr="0008663C">
        <w:t>is</w:t>
      </w:r>
      <w:r>
        <w:t xml:space="preserve"> </w:t>
      </w:r>
      <w:r w:rsidRPr="0008663C">
        <w:t>required</w:t>
      </w:r>
      <w:r>
        <w:t xml:space="preserve"> </w:t>
      </w:r>
      <w:r w:rsidRPr="0008663C">
        <w:t>to</w:t>
      </w:r>
      <w:r>
        <w:t xml:space="preserve"> </w:t>
      </w:r>
      <w:r w:rsidRPr="0008663C">
        <w:t>file</w:t>
      </w:r>
      <w:r>
        <w:t xml:space="preserve"> </w:t>
      </w:r>
      <w:r w:rsidRPr="0008663C">
        <w:t>a</w:t>
      </w:r>
      <w:r>
        <w:t xml:space="preserve"> </w:t>
      </w:r>
      <w:r w:rsidRPr="0008663C">
        <w:t>disclosure</w:t>
      </w:r>
      <w:r>
        <w:t xml:space="preserve"> </w:t>
      </w:r>
      <w:r w:rsidRPr="0008663C">
        <w:t>statement</w:t>
      </w:r>
      <w:r>
        <w:t xml:space="preserve"> </w:t>
      </w:r>
      <w:r w:rsidRPr="0008663C">
        <w:t>with</w:t>
      </w:r>
      <w:r>
        <w:t xml:space="preserve"> </w:t>
      </w:r>
      <w:r w:rsidRPr="0008663C">
        <w:t>respect</w:t>
      </w:r>
      <w:r>
        <w:t xml:space="preserve"> </w:t>
      </w:r>
      <w:r w:rsidRPr="0008663C">
        <w:t>to</w:t>
      </w:r>
      <w:r>
        <w:t xml:space="preserve"> </w:t>
      </w:r>
      <w:r w:rsidRPr="0008663C">
        <w:t>a</w:t>
      </w:r>
      <w:r>
        <w:t xml:space="preserve"> </w:t>
      </w:r>
      <w:r w:rsidRPr="0008663C">
        <w:t>transaction</w:t>
      </w:r>
      <w:r>
        <w:t xml:space="preserve"> </w:t>
      </w:r>
      <w:r w:rsidRPr="0008663C">
        <w:t>described</w:t>
      </w:r>
      <w:r>
        <w:t xml:space="preserve"> </w:t>
      </w:r>
      <w:r w:rsidRPr="0008663C">
        <w:t>in</w:t>
      </w:r>
      <w:r>
        <w:t xml:space="preserve"> </w:t>
      </w:r>
      <w:r w:rsidRPr="0008663C">
        <w:t>this</w:t>
      </w:r>
      <w:r>
        <w:t xml:space="preserve"> </w:t>
      </w:r>
      <w:bookmarkStart w:id="161" w:name="ctx14"/>
      <w:bookmarkEnd w:id="161"/>
      <w:r w:rsidRPr="0008663C">
        <w:rPr>
          <w:noProof/>
        </w:rPr>
        <w:drawing>
          <wp:inline distT="0" distB="0" distL="0" distR="0" wp14:anchorId="04714FCE" wp14:editId="0A0F429E">
            <wp:extent cx="9525" cy="9525"/>
            <wp:effectExtent l="0" t="0" r="0" b="0"/>
            <wp:docPr id="88" name="Picture 88" descr="previous hit">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evious hit">
                      <a:hlinkClick r:id="rId124"/>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8663C">
        <w:t>notice</w:t>
      </w:r>
      <w:r w:rsidRPr="0008663C">
        <w:rPr>
          <w:noProof/>
        </w:rPr>
        <w:drawing>
          <wp:inline distT="0" distB="0" distL="0" distR="0" wp14:anchorId="067B6465" wp14:editId="46C7249F">
            <wp:extent cx="9525" cy="9525"/>
            <wp:effectExtent l="0" t="0" r="0" b="0"/>
            <wp:docPr id="89" name="Picture 89" descr="next hit">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xt hit">
                      <a:hlinkClick r:id="rId125"/>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t xml:space="preserve"> </w:t>
      </w:r>
      <w:r w:rsidRPr="0008663C">
        <w:t>after</w:t>
      </w:r>
      <w:r>
        <w:t xml:space="preserve"> </w:t>
      </w:r>
      <w:r w:rsidRPr="0008663C">
        <w:t>December</w:t>
      </w:r>
      <w:r>
        <w:t xml:space="preserve"> </w:t>
      </w:r>
      <w:r w:rsidRPr="0008663C">
        <w:t>23,</w:t>
      </w:r>
      <w:r>
        <w:t xml:space="preserve"> </w:t>
      </w:r>
      <w:r w:rsidRPr="0008663C">
        <w:t>2016,</w:t>
      </w:r>
      <w:r>
        <w:t xml:space="preserve"> </w:t>
      </w:r>
      <w:r w:rsidRPr="0008663C">
        <w:t>and</w:t>
      </w:r>
      <w:r>
        <w:t xml:space="preserve"> </w:t>
      </w:r>
      <w:r w:rsidRPr="0008663C">
        <w:t>prior</w:t>
      </w:r>
      <w:r>
        <w:t xml:space="preserve"> </w:t>
      </w:r>
      <w:r w:rsidRPr="0008663C">
        <w:t>to</w:t>
      </w:r>
      <w:r>
        <w:t xml:space="preserve"> </w:t>
      </w:r>
      <w:r w:rsidRPr="0008663C">
        <w:t>May</w:t>
      </w:r>
      <w:r>
        <w:t xml:space="preserve"> </w:t>
      </w:r>
      <w:r w:rsidRPr="0008663C">
        <w:t>1,</w:t>
      </w:r>
      <w:r>
        <w:t xml:space="preserve"> </w:t>
      </w:r>
      <w:r w:rsidRPr="0008663C">
        <w:t>2017,</w:t>
      </w:r>
      <w:r>
        <w:t xml:space="preserve"> </w:t>
      </w:r>
      <w:r w:rsidRPr="0008663C">
        <w:t>that</w:t>
      </w:r>
      <w:r>
        <w:t xml:space="preserve"> </w:t>
      </w:r>
      <w:r w:rsidRPr="0008663C">
        <w:t>disclosure</w:t>
      </w:r>
      <w:r>
        <w:t xml:space="preserve"> </w:t>
      </w:r>
      <w:r w:rsidRPr="0008663C">
        <w:t>statement</w:t>
      </w:r>
      <w:r>
        <w:t xml:space="preserve"> </w:t>
      </w:r>
      <w:r w:rsidRPr="0008663C">
        <w:t>will</w:t>
      </w:r>
      <w:r>
        <w:t xml:space="preserve"> </w:t>
      </w:r>
      <w:r w:rsidRPr="0008663C">
        <w:t>be</w:t>
      </w:r>
      <w:r>
        <w:t xml:space="preserve"> </w:t>
      </w:r>
      <w:r w:rsidRPr="0008663C">
        <w:t>considered</w:t>
      </w:r>
      <w:r>
        <w:t xml:space="preserve"> </w:t>
      </w:r>
      <w:r w:rsidRPr="0008663C">
        <w:t>to</w:t>
      </w:r>
      <w:r>
        <w:t xml:space="preserve"> </w:t>
      </w:r>
      <w:r w:rsidRPr="0008663C">
        <w:t>be</w:t>
      </w:r>
      <w:r>
        <w:t xml:space="preserve"> </w:t>
      </w:r>
      <w:r w:rsidRPr="0008663C">
        <w:t>timely</w:t>
      </w:r>
      <w:r>
        <w:t xml:space="preserve"> </w:t>
      </w:r>
      <w:r w:rsidRPr="0008663C">
        <w:t>filed</w:t>
      </w:r>
      <w:r>
        <w:t xml:space="preserve"> </w:t>
      </w:r>
      <w:r w:rsidRPr="0008663C">
        <w:t>if</w:t>
      </w:r>
      <w:r>
        <w:t xml:space="preserve"> </w:t>
      </w:r>
      <w:r w:rsidRPr="0008663C">
        <w:t>the</w:t>
      </w:r>
      <w:r>
        <w:t xml:space="preserve"> </w:t>
      </w:r>
      <w:r w:rsidRPr="0008663C">
        <w:t>taxpayer</w:t>
      </w:r>
      <w:r>
        <w:t xml:space="preserve"> </w:t>
      </w:r>
      <w:r w:rsidRPr="0008663C">
        <w:t>alternatively</w:t>
      </w:r>
      <w:r>
        <w:t xml:space="preserve"> </w:t>
      </w:r>
      <w:r w:rsidRPr="0008663C">
        <w:t>files</w:t>
      </w:r>
      <w:r>
        <w:t xml:space="preserve"> </w:t>
      </w:r>
      <w:r w:rsidRPr="0008663C">
        <w:t>the</w:t>
      </w:r>
      <w:r>
        <w:t xml:space="preserve"> </w:t>
      </w:r>
      <w:r w:rsidRPr="0008663C">
        <w:t>disclosure</w:t>
      </w:r>
      <w:r>
        <w:t xml:space="preserve"> </w:t>
      </w:r>
      <w:r w:rsidRPr="0008663C">
        <w:t>with</w:t>
      </w:r>
      <w:r>
        <w:t xml:space="preserve"> </w:t>
      </w:r>
      <w:r w:rsidRPr="0008663C">
        <w:t>the</w:t>
      </w:r>
      <w:r>
        <w:t xml:space="preserve"> </w:t>
      </w:r>
      <w:r w:rsidRPr="0008663C">
        <w:t>Office</w:t>
      </w:r>
      <w:r>
        <w:t xml:space="preserve"> </w:t>
      </w:r>
      <w:r w:rsidRPr="0008663C">
        <w:t>of</w:t>
      </w:r>
      <w:r>
        <w:t xml:space="preserve"> </w:t>
      </w:r>
      <w:r w:rsidRPr="0008663C">
        <w:t>Tax</w:t>
      </w:r>
      <w:r>
        <w:t xml:space="preserve"> </w:t>
      </w:r>
      <w:r w:rsidRPr="0008663C">
        <w:t>Shelter</w:t>
      </w:r>
      <w:r>
        <w:t xml:space="preserve"> </w:t>
      </w:r>
      <w:r w:rsidRPr="0008663C">
        <w:t>Analysis</w:t>
      </w:r>
      <w:r>
        <w:t xml:space="preserve"> </w:t>
      </w:r>
      <w:r w:rsidRPr="0008663C">
        <w:t>by</w:t>
      </w:r>
      <w:r>
        <w:t xml:space="preserve"> </w:t>
      </w:r>
      <w:r w:rsidRPr="0008663C">
        <w:t>May</w:t>
      </w:r>
      <w:r>
        <w:t xml:space="preserve"> </w:t>
      </w:r>
      <w:r w:rsidRPr="0008663C">
        <w:t>1</w:t>
      </w:r>
      <w:r>
        <w:t xml:space="preserve"> </w:t>
      </w:r>
      <w:r w:rsidRPr="0008663C">
        <w:t>(because</w:t>
      </w:r>
      <w:r>
        <w:t xml:space="preserve"> </w:t>
      </w:r>
      <w:r w:rsidRPr="0008663C">
        <w:t>April</w:t>
      </w:r>
      <w:r>
        <w:t xml:space="preserve"> </w:t>
      </w:r>
      <w:r w:rsidRPr="0008663C">
        <w:t>30</w:t>
      </w:r>
      <w:r>
        <w:t xml:space="preserve"> </w:t>
      </w:r>
      <w:r w:rsidRPr="0008663C">
        <w:t>is</w:t>
      </w:r>
      <w:r>
        <w:t xml:space="preserve"> </w:t>
      </w:r>
      <w:r w:rsidRPr="0008663C">
        <w:t>a</w:t>
      </w:r>
      <w:r>
        <w:t xml:space="preserve"> </w:t>
      </w:r>
      <w:r w:rsidRPr="0008663C">
        <w:t>Sunday).</w:t>
      </w:r>
      <w:r>
        <w:t xml:space="preserve"> </w:t>
      </w:r>
      <w:r w:rsidRPr="0008663C">
        <w:t>In</w:t>
      </w:r>
      <w:r>
        <w:t xml:space="preserve"> </w:t>
      </w:r>
      <w:r w:rsidRPr="0008663C">
        <w:t>addition,</w:t>
      </w:r>
      <w:r>
        <w:t xml:space="preserve"> </w:t>
      </w:r>
      <w:r w:rsidRPr="0008663C">
        <w:t>for</w:t>
      </w:r>
      <w:r>
        <w:t xml:space="preserve"> </w:t>
      </w:r>
      <w:r w:rsidRPr="0008663C">
        <w:t>purposes</w:t>
      </w:r>
      <w:r>
        <w:t xml:space="preserve"> </w:t>
      </w:r>
      <w:r w:rsidRPr="0008663C">
        <w:t>of</w:t>
      </w:r>
      <w:r>
        <w:t xml:space="preserve"> </w:t>
      </w:r>
      <w:r w:rsidRPr="0008663C">
        <w:t>disclosure</w:t>
      </w:r>
      <w:r>
        <w:t xml:space="preserve"> </w:t>
      </w:r>
      <w:r w:rsidRPr="0008663C">
        <w:t>of</w:t>
      </w:r>
      <w:r>
        <w:t xml:space="preserve"> </w:t>
      </w:r>
      <w:r w:rsidRPr="0008663C">
        <w:t>transactions</w:t>
      </w:r>
      <w:r>
        <w:t xml:space="preserve"> </w:t>
      </w:r>
      <w:r w:rsidRPr="0008663C">
        <w:t>described</w:t>
      </w:r>
      <w:r>
        <w:t xml:space="preserve"> </w:t>
      </w:r>
      <w:r w:rsidRPr="0008663C">
        <w:t>in</w:t>
      </w:r>
      <w:r>
        <w:t xml:space="preserve"> </w:t>
      </w:r>
      <w:r w:rsidRPr="0008663C">
        <w:t>this</w:t>
      </w:r>
      <w:r>
        <w:t xml:space="preserve"> </w:t>
      </w:r>
      <w:bookmarkStart w:id="162" w:name="ctx15"/>
      <w:bookmarkEnd w:id="162"/>
      <w:r w:rsidRPr="0008663C">
        <w:rPr>
          <w:noProof/>
        </w:rPr>
        <w:drawing>
          <wp:inline distT="0" distB="0" distL="0" distR="0" wp14:anchorId="60D4CEDD" wp14:editId="5F10CBBA">
            <wp:extent cx="9525" cy="9525"/>
            <wp:effectExtent l="0" t="0" r="0" b="0"/>
            <wp:docPr id="90" name="Picture 90" descr="previous hit">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evious hit">
                      <a:hlinkClick r:id="rId126"/>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8663C">
        <w:t>notice</w:t>
      </w:r>
      <w:r w:rsidRPr="0008663C">
        <w:rPr>
          <w:noProof/>
        </w:rPr>
        <w:drawing>
          <wp:inline distT="0" distB="0" distL="0" distR="0" wp14:anchorId="22647770" wp14:editId="0346C780">
            <wp:extent cx="9525" cy="9525"/>
            <wp:effectExtent l="0" t="0" r="0" b="0"/>
            <wp:docPr id="91" name="Picture 91" descr="next hit">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ext hit">
                      <a:hlinkClick r:id="rId127"/>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8663C">
        <w:t>,</w:t>
      </w:r>
      <w:r>
        <w:t xml:space="preserve"> </w:t>
      </w:r>
      <w:r w:rsidRPr="0008663C">
        <w:t>the</w:t>
      </w:r>
      <w:r>
        <w:t xml:space="preserve"> </w:t>
      </w:r>
      <w:r w:rsidRPr="0008663C">
        <w:t>90-day</w:t>
      </w:r>
      <w:r>
        <w:t xml:space="preserve"> </w:t>
      </w:r>
      <w:r w:rsidRPr="0008663C">
        <w:t>period</w:t>
      </w:r>
      <w:r>
        <w:t xml:space="preserve"> </w:t>
      </w:r>
      <w:r w:rsidRPr="0008663C">
        <w:t>provided</w:t>
      </w:r>
      <w:r>
        <w:t xml:space="preserve"> </w:t>
      </w:r>
      <w:r w:rsidRPr="0008663C">
        <w:t>in</w:t>
      </w:r>
      <w:r>
        <w:t xml:space="preserve"> </w:t>
      </w:r>
      <w:r w:rsidRPr="0008663C">
        <w:t>§1.6011-4(e)(2)(i)</w:t>
      </w:r>
      <w:r>
        <w:t xml:space="preserve"> </w:t>
      </w:r>
      <w:r w:rsidRPr="0008663C">
        <w:t>is</w:t>
      </w:r>
      <w:r>
        <w:t xml:space="preserve"> </w:t>
      </w:r>
      <w:r w:rsidRPr="0008663C">
        <w:t>extended</w:t>
      </w:r>
      <w:r>
        <w:t xml:space="preserve"> </w:t>
      </w:r>
      <w:r w:rsidRPr="0008663C">
        <w:t>to</w:t>
      </w:r>
      <w:r>
        <w:t xml:space="preserve"> </w:t>
      </w:r>
      <w:r w:rsidRPr="0008663C">
        <w:t>180</w:t>
      </w:r>
      <w:r>
        <w:t xml:space="preserve"> </w:t>
      </w:r>
      <w:r w:rsidRPr="0008663C">
        <w:t>days.</w:t>
      </w:r>
      <w:r>
        <w:t xml:space="preserve"> </w:t>
      </w:r>
      <w:r w:rsidRPr="0008663C">
        <w:t>Further,</w:t>
      </w:r>
      <w:r>
        <w:t xml:space="preserve"> </w:t>
      </w:r>
      <w:r w:rsidRPr="0008663C">
        <w:t>if</w:t>
      </w:r>
      <w:r>
        <w:t xml:space="preserve"> </w:t>
      </w:r>
      <w:r w:rsidRPr="0008663C">
        <w:t>under</w:t>
      </w:r>
      <w:r>
        <w:t xml:space="preserve"> </w:t>
      </w:r>
      <w:r w:rsidRPr="0008663C">
        <w:t>§301.6111-3(e),</w:t>
      </w:r>
      <w:r>
        <w:t xml:space="preserve"> </w:t>
      </w:r>
      <w:r w:rsidRPr="0008663C">
        <w:t>a</w:t>
      </w:r>
      <w:r>
        <w:t xml:space="preserve"> </w:t>
      </w:r>
      <w:r w:rsidRPr="0008663C">
        <w:t>material</w:t>
      </w:r>
      <w:r>
        <w:t xml:space="preserve"> </w:t>
      </w:r>
      <w:r w:rsidRPr="0008663C">
        <w:t>advisor</w:t>
      </w:r>
      <w:r>
        <w:t xml:space="preserve"> </w:t>
      </w:r>
      <w:r w:rsidRPr="0008663C">
        <w:t>is</w:t>
      </w:r>
      <w:r>
        <w:t xml:space="preserve"> </w:t>
      </w:r>
      <w:r w:rsidRPr="0008663C">
        <w:t>required</w:t>
      </w:r>
      <w:r>
        <w:t xml:space="preserve"> </w:t>
      </w:r>
      <w:r w:rsidRPr="0008663C">
        <w:t>to</w:t>
      </w:r>
      <w:r>
        <w:t xml:space="preserve"> </w:t>
      </w:r>
      <w:r w:rsidRPr="0008663C">
        <w:t>file</w:t>
      </w:r>
      <w:r>
        <w:t xml:space="preserve"> </w:t>
      </w:r>
      <w:r w:rsidRPr="0008663C">
        <w:t>a</w:t>
      </w:r>
      <w:r>
        <w:t xml:space="preserve"> </w:t>
      </w:r>
      <w:r w:rsidRPr="0008663C">
        <w:t>disclosure</w:t>
      </w:r>
      <w:r>
        <w:t xml:space="preserve"> </w:t>
      </w:r>
      <w:r w:rsidRPr="0008663C">
        <w:t>statement</w:t>
      </w:r>
      <w:r>
        <w:t xml:space="preserve"> </w:t>
      </w:r>
      <w:r w:rsidRPr="0008663C">
        <w:t>with</w:t>
      </w:r>
      <w:r>
        <w:t xml:space="preserve"> </w:t>
      </w:r>
      <w:r w:rsidRPr="0008663C">
        <w:t>respect</w:t>
      </w:r>
      <w:r>
        <w:t xml:space="preserve"> </w:t>
      </w:r>
      <w:r w:rsidRPr="0008663C">
        <w:t>to</w:t>
      </w:r>
      <w:r>
        <w:t xml:space="preserve"> </w:t>
      </w:r>
      <w:r w:rsidRPr="0008663C">
        <w:t>the</w:t>
      </w:r>
      <w:r>
        <w:t xml:space="preserve"> </w:t>
      </w:r>
      <w:r w:rsidRPr="0008663C">
        <w:t>listed</w:t>
      </w:r>
      <w:r>
        <w:t xml:space="preserve"> </w:t>
      </w:r>
      <w:r w:rsidRPr="0008663C">
        <w:t>transaction</w:t>
      </w:r>
      <w:r>
        <w:t xml:space="preserve"> </w:t>
      </w:r>
      <w:r w:rsidRPr="0008663C">
        <w:t>described</w:t>
      </w:r>
      <w:r>
        <w:t xml:space="preserve"> </w:t>
      </w:r>
      <w:r w:rsidRPr="0008663C">
        <w:t>in</w:t>
      </w:r>
      <w:r>
        <w:t xml:space="preserve"> </w:t>
      </w:r>
      <w:r w:rsidRPr="0008663C">
        <w:t>this</w:t>
      </w:r>
      <w:r>
        <w:t xml:space="preserve"> </w:t>
      </w:r>
      <w:bookmarkStart w:id="163" w:name="ctx16"/>
      <w:bookmarkEnd w:id="163"/>
      <w:r w:rsidRPr="0008663C">
        <w:rPr>
          <w:noProof/>
        </w:rPr>
        <w:drawing>
          <wp:inline distT="0" distB="0" distL="0" distR="0" wp14:anchorId="4D603BBC" wp14:editId="7FE08B04">
            <wp:extent cx="9525" cy="9525"/>
            <wp:effectExtent l="0" t="0" r="0" b="0"/>
            <wp:docPr id="92" name="Picture 92" descr="previous hit">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evious hit">
                      <a:hlinkClick r:id="rId128"/>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8663C">
        <w:t>notice</w:t>
      </w:r>
      <w:r w:rsidRPr="0008663C">
        <w:rPr>
          <w:noProof/>
        </w:rPr>
        <w:drawing>
          <wp:inline distT="0" distB="0" distL="0" distR="0" wp14:anchorId="644202A0" wp14:editId="536B9CCD">
            <wp:extent cx="9525" cy="9525"/>
            <wp:effectExtent l="0" t="0" r="0" b="0"/>
            <wp:docPr id="93" name="Picture 93" descr="next hit">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xt hit">
                      <a:hlinkClick r:id="rId129"/>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t xml:space="preserve"> </w:t>
      </w:r>
      <w:r w:rsidRPr="0008663C">
        <w:t>by</w:t>
      </w:r>
      <w:r>
        <w:t xml:space="preserve"> </w:t>
      </w:r>
      <w:r w:rsidRPr="0008663C">
        <w:t>January</w:t>
      </w:r>
      <w:r>
        <w:t xml:space="preserve"> </w:t>
      </w:r>
      <w:r w:rsidRPr="0008663C">
        <w:t>31,</w:t>
      </w:r>
      <w:r>
        <w:t xml:space="preserve"> </w:t>
      </w:r>
      <w:r w:rsidRPr="0008663C">
        <w:t>2017,</w:t>
      </w:r>
      <w:r>
        <w:t xml:space="preserve"> </w:t>
      </w:r>
      <w:r w:rsidRPr="0008663C">
        <w:t>that</w:t>
      </w:r>
      <w:r>
        <w:t xml:space="preserve"> </w:t>
      </w:r>
      <w:r w:rsidRPr="0008663C">
        <w:t>disclosure</w:t>
      </w:r>
      <w:r>
        <w:t xml:space="preserve"> </w:t>
      </w:r>
      <w:r w:rsidRPr="0008663C">
        <w:t>statement</w:t>
      </w:r>
      <w:r>
        <w:t xml:space="preserve"> </w:t>
      </w:r>
      <w:r w:rsidRPr="0008663C">
        <w:t>will</w:t>
      </w:r>
      <w:r>
        <w:t xml:space="preserve"> </w:t>
      </w:r>
      <w:r w:rsidRPr="0008663C">
        <w:t>be</w:t>
      </w:r>
      <w:r>
        <w:t xml:space="preserve"> </w:t>
      </w:r>
      <w:r w:rsidRPr="0008663C">
        <w:t>considered</w:t>
      </w:r>
      <w:r>
        <w:t xml:space="preserve"> </w:t>
      </w:r>
      <w:r w:rsidRPr="0008663C">
        <w:t>to</w:t>
      </w:r>
      <w:r>
        <w:t xml:space="preserve"> </w:t>
      </w:r>
      <w:r w:rsidRPr="0008663C">
        <w:t>be</w:t>
      </w:r>
      <w:r>
        <w:t xml:space="preserve"> </w:t>
      </w:r>
      <w:r w:rsidRPr="0008663C">
        <w:t>timely</w:t>
      </w:r>
      <w:r>
        <w:t xml:space="preserve"> </w:t>
      </w:r>
      <w:r w:rsidRPr="0008663C">
        <w:t>filed</w:t>
      </w:r>
      <w:r>
        <w:t xml:space="preserve"> </w:t>
      </w:r>
      <w:r w:rsidRPr="0008663C">
        <w:t>if</w:t>
      </w:r>
      <w:r>
        <w:t xml:space="preserve"> </w:t>
      </w:r>
      <w:r w:rsidRPr="0008663C">
        <w:t>the</w:t>
      </w:r>
      <w:r>
        <w:t xml:space="preserve"> </w:t>
      </w:r>
      <w:r w:rsidRPr="0008663C">
        <w:t>taxpayer</w:t>
      </w:r>
      <w:r>
        <w:t xml:space="preserve"> </w:t>
      </w:r>
      <w:r w:rsidRPr="0008663C">
        <w:t>files</w:t>
      </w:r>
      <w:r>
        <w:t xml:space="preserve"> </w:t>
      </w:r>
      <w:r w:rsidRPr="0008663C">
        <w:t>the</w:t>
      </w:r>
      <w:r>
        <w:t xml:space="preserve"> </w:t>
      </w:r>
      <w:r w:rsidRPr="0008663C">
        <w:t>disclosure</w:t>
      </w:r>
      <w:r>
        <w:t xml:space="preserve"> </w:t>
      </w:r>
      <w:r w:rsidRPr="0008663C">
        <w:t>with</w:t>
      </w:r>
      <w:r>
        <w:t xml:space="preserve"> </w:t>
      </w:r>
      <w:r w:rsidRPr="0008663C">
        <w:t>the</w:t>
      </w:r>
      <w:r>
        <w:t xml:space="preserve"> </w:t>
      </w:r>
      <w:r w:rsidRPr="0008663C">
        <w:t>Office</w:t>
      </w:r>
      <w:r>
        <w:t xml:space="preserve"> </w:t>
      </w:r>
      <w:r w:rsidRPr="0008663C">
        <w:t>of</w:t>
      </w:r>
      <w:r>
        <w:t xml:space="preserve"> </w:t>
      </w:r>
      <w:r w:rsidRPr="0008663C">
        <w:t>Tax</w:t>
      </w:r>
      <w:r>
        <w:t xml:space="preserve"> </w:t>
      </w:r>
      <w:r w:rsidRPr="0008663C">
        <w:t>Shelter</w:t>
      </w:r>
      <w:r>
        <w:t xml:space="preserve"> </w:t>
      </w:r>
      <w:r w:rsidRPr="0008663C">
        <w:t>Analysis</w:t>
      </w:r>
      <w:r>
        <w:t xml:space="preserve"> </w:t>
      </w:r>
      <w:r w:rsidRPr="0008663C">
        <w:t>by</w:t>
      </w:r>
      <w:r>
        <w:t xml:space="preserve"> </w:t>
      </w:r>
      <w:r w:rsidRPr="0008663C">
        <w:t>May</w:t>
      </w:r>
      <w:r>
        <w:t xml:space="preserve"> </w:t>
      </w:r>
      <w:r w:rsidRPr="0008663C">
        <w:t>1,</w:t>
      </w:r>
      <w:r>
        <w:t xml:space="preserve"> </w:t>
      </w:r>
      <w:r w:rsidRPr="0008663C">
        <w:t>2017</w:t>
      </w:r>
      <w:r>
        <w:t xml:space="preserve"> </w:t>
      </w:r>
      <w:r w:rsidRPr="0008663C">
        <w:t>(because</w:t>
      </w:r>
      <w:r>
        <w:t xml:space="preserve"> </w:t>
      </w:r>
      <w:r w:rsidRPr="0008663C">
        <w:t>April</w:t>
      </w:r>
      <w:r>
        <w:t xml:space="preserve"> </w:t>
      </w:r>
      <w:r w:rsidRPr="0008663C">
        <w:t>30</w:t>
      </w:r>
      <w:r>
        <w:t xml:space="preserve"> </w:t>
      </w:r>
      <w:r w:rsidRPr="0008663C">
        <w:t>is</w:t>
      </w:r>
      <w:r>
        <w:t xml:space="preserve"> </w:t>
      </w:r>
      <w:r w:rsidRPr="0008663C">
        <w:t>a</w:t>
      </w:r>
      <w:r>
        <w:t xml:space="preserve"> </w:t>
      </w:r>
      <w:r w:rsidRPr="0008663C">
        <w:t>Sunday).</w:t>
      </w:r>
    </w:p>
    <w:p w:rsidR="007649DB" w:rsidRDefault="007649DB" w:rsidP="007649DB">
      <w:pPr>
        <w:pStyle w:val="Body15"/>
      </w:pPr>
      <w:r>
        <w:t xml:space="preserve">On June 27, 2019, the Congressional Research Service issued a white paper titled </w:t>
      </w:r>
      <w:r>
        <w:rPr>
          <w:u w:val="single"/>
        </w:rPr>
        <w:t>Charitable Conservation Contributions Potential for Abuse</w:t>
      </w:r>
      <w:r>
        <w:t>?  Easements declined in 2009–13 but substantially increased in 2014-15.</w:t>
      </w:r>
    </w:p>
    <w:p w:rsidR="007649DB" w:rsidRDefault="007649DB" w:rsidP="007649DB">
      <w:pPr>
        <w:pStyle w:val="Body15"/>
      </w:pPr>
      <w:r>
        <w:t xml:space="preserve">Independently, a committee of the American Bar Association has issued a report, the </w:t>
      </w:r>
      <w:r>
        <w:rPr>
          <w:u w:val="single"/>
        </w:rPr>
        <w:t>ABA RPTE Conservation Easement Task Force: Recommendations Regarding Conservation Easements and Federal Tax Law</w:t>
      </w:r>
      <w:r>
        <w:t>.  (</w:t>
      </w:r>
      <w:r w:rsidRPr="006C4523">
        <w:t>Available</w:t>
      </w:r>
      <w:r>
        <w:t xml:space="preserve"> via </w:t>
      </w:r>
      <w:r w:rsidRPr="006C4523">
        <w:t>SSRN</w:t>
      </w:r>
      <w:r>
        <w:t xml:space="preserve"> at  </w:t>
      </w:r>
      <w:r w:rsidRPr="006C4523">
        <w:t>https://ssrn.com/abstract=3385453</w:t>
      </w:r>
      <w:r>
        <w:t xml:space="preserve"> or 53 Real Property, Trust and Estate Law Journal, Fall 2018/Winter 2019).</w:t>
      </w:r>
    </w:p>
    <w:p w:rsidR="007649DB" w:rsidRDefault="007649DB" w:rsidP="007649DB">
      <w:pPr>
        <w:pStyle w:val="Body15"/>
      </w:pPr>
      <w:r>
        <w:t>In a July 31, 2019 letter to a taxpayer who had written to Senators Isakson and Perdue, Chief Counsel Michael Desmond stated:</w:t>
      </w:r>
    </w:p>
    <w:p w:rsidR="007649DB" w:rsidRPr="005C25A1" w:rsidRDefault="007649DB" w:rsidP="007649DB">
      <w:pPr>
        <w:pStyle w:val="QS10"/>
      </w:pPr>
      <w:r w:rsidRPr="005C25A1">
        <w:t>Your</w:t>
      </w:r>
      <w:r>
        <w:t xml:space="preserve"> </w:t>
      </w:r>
      <w:r w:rsidRPr="005C25A1">
        <w:t>letter</w:t>
      </w:r>
      <w:r>
        <w:t xml:space="preserve"> </w:t>
      </w:r>
      <w:r w:rsidRPr="005C25A1">
        <w:t>accurately</w:t>
      </w:r>
      <w:r>
        <w:t xml:space="preserve"> </w:t>
      </w:r>
      <w:r w:rsidRPr="005C25A1">
        <w:t>notes</w:t>
      </w:r>
      <w:r>
        <w:t xml:space="preserve"> </w:t>
      </w:r>
      <w:r w:rsidRPr="005C25A1">
        <w:t>that</w:t>
      </w:r>
      <w:r>
        <w:t xml:space="preserve"> </w:t>
      </w:r>
      <w:r w:rsidRPr="005C25A1">
        <w:t>the</w:t>
      </w:r>
      <w:r>
        <w:t xml:space="preserve"> </w:t>
      </w:r>
      <w:r w:rsidRPr="005C25A1">
        <w:t>IRS</w:t>
      </w:r>
      <w:r>
        <w:t xml:space="preserve"> </w:t>
      </w:r>
      <w:r w:rsidRPr="005C25A1">
        <w:t>believes</w:t>
      </w:r>
      <w:r>
        <w:t xml:space="preserve"> </w:t>
      </w:r>
      <w:r w:rsidRPr="005C25A1">
        <w:t>that</w:t>
      </w:r>
      <w:r>
        <w:t xml:space="preserve"> </w:t>
      </w:r>
      <w:r w:rsidRPr="005C25A1">
        <w:t>significant</w:t>
      </w:r>
      <w:r>
        <w:t xml:space="preserve"> </w:t>
      </w:r>
      <w:r w:rsidRPr="005C25A1">
        <w:t>abuse</w:t>
      </w:r>
      <w:r>
        <w:t xml:space="preserve"> </w:t>
      </w:r>
      <w:r w:rsidRPr="005C25A1">
        <w:t>of</w:t>
      </w:r>
      <w:r>
        <w:t xml:space="preserve"> </w:t>
      </w:r>
      <w:r w:rsidRPr="005C25A1">
        <w:t>the</w:t>
      </w:r>
      <w:r>
        <w:t xml:space="preserve"> </w:t>
      </w:r>
      <w:r w:rsidRPr="005C25A1">
        <w:t>conservation</w:t>
      </w:r>
      <w:r>
        <w:t xml:space="preserve"> </w:t>
      </w:r>
      <w:r w:rsidRPr="005C25A1">
        <w:t>easement</w:t>
      </w:r>
      <w:r>
        <w:t xml:space="preserve"> </w:t>
      </w:r>
      <w:r w:rsidRPr="005C25A1">
        <w:t>deduction</w:t>
      </w:r>
      <w:r>
        <w:t xml:space="preserve"> </w:t>
      </w:r>
      <w:r w:rsidRPr="005C25A1">
        <w:t>continues</w:t>
      </w:r>
      <w:r>
        <w:t xml:space="preserve"> </w:t>
      </w:r>
      <w:r w:rsidRPr="005C25A1">
        <w:t>to</w:t>
      </w:r>
      <w:r>
        <w:t xml:space="preserve"> </w:t>
      </w:r>
      <w:r w:rsidRPr="005C25A1">
        <w:t>exist,</w:t>
      </w:r>
      <w:r>
        <w:t xml:space="preserve"> </w:t>
      </w:r>
      <w:r w:rsidRPr="005C25A1">
        <w:t>particularly</w:t>
      </w:r>
      <w:r>
        <w:t xml:space="preserve"> </w:t>
      </w:r>
      <w:r w:rsidRPr="005C25A1">
        <w:t>overvaluation</w:t>
      </w:r>
      <w:r>
        <w:t xml:space="preserve"> </w:t>
      </w:r>
      <w:r w:rsidRPr="005C25A1">
        <w:t>of</w:t>
      </w:r>
      <w:r>
        <w:t xml:space="preserve"> </w:t>
      </w:r>
      <w:r w:rsidRPr="005C25A1">
        <w:t>easements.</w:t>
      </w:r>
      <w:r>
        <w:t xml:space="preserve"> </w:t>
      </w:r>
      <w:r w:rsidRPr="005C25A1">
        <w:t>Overvaluations</w:t>
      </w:r>
      <w:r>
        <w:t xml:space="preserve"> </w:t>
      </w:r>
      <w:r w:rsidRPr="005C25A1">
        <w:t>pose</w:t>
      </w:r>
      <w:r>
        <w:t xml:space="preserve"> </w:t>
      </w:r>
      <w:r w:rsidRPr="005C25A1">
        <w:t>a</w:t>
      </w:r>
      <w:r>
        <w:t xml:space="preserve"> </w:t>
      </w:r>
      <w:r w:rsidRPr="005C25A1">
        <w:t>vexing</w:t>
      </w:r>
      <w:r>
        <w:t xml:space="preserve"> </w:t>
      </w:r>
      <w:r w:rsidRPr="005C25A1">
        <w:t>and</w:t>
      </w:r>
      <w:r>
        <w:t xml:space="preserve"> </w:t>
      </w:r>
      <w:r w:rsidRPr="005C25A1">
        <w:t>persistent</w:t>
      </w:r>
      <w:r>
        <w:t xml:space="preserve"> </w:t>
      </w:r>
      <w:r w:rsidRPr="005C25A1">
        <w:t>problem,</w:t>
      </w:r>
      <w:r>
        <w:t xml:space="preserve"> </w:t>
      </w:r>
      <w:r w:rsidRPr="005C25A1">
        <w:t>which</w:t>
      </w:r>
      <w:r>
        <w:t xml:space="preserve"> </w:t>
      </w:r>
      <w:r w:rsidRPr="005C25A1">
        <w:t>the</w:t>
      </w:r>
      <w:r>
        <w:t xml:space="preserve"> </w:t>
      </w:r>
      <w:r w:rsidRPr="005C25A1">
        <w:t>IRS</w:t>
      </w:r>
      <w:r>
        <w:t xml:space="preserve"> </w:t>
      </w:r>
      <w:r w:rsidRPr="005C25A1">
        <w:t>addresses</w:t>
      </w:r>
      <w:r>
        <w:t xml:space="preserve"> </w:t>
      </w:r>
      <w:r w:rsidRPr="005C25A1">
        <w:t>in</w:t>
      </w:r>
      <w:r>
        <w:t xml:space="preserve"> </w:t>
      </w:r>
      <w:r w:rsidRPr="005C25A1">
        <w:t>Treasury</w:t>
      </w:r>
      <w:r>
        <w:t xml:space="preserve"> </w:t>
      </w:r>
      <w:r w:rsidRPr="005C25A1">
        <w:t>Regulation</w:t>
      </w:r>
      <w:r>
        <w:t xml:space="preserve"> </w:t>
      </w:r>
      <w:r w:rsidRPr="005C25A1">
        <w:t>section</w:t>
      </w:r>
      <w:r>
        <w:t xml:space="preserve"> </w:t>
      </w:r>
      <w:r w:rsidRPr="005C25A1">
        <w:t>1.170A-17</w:t>
      </w:r>
      <w:r>
        <w:t xml:space="preserve"> </w:t>
      </w:r>
      <w:r w:rsidRPr="005C25A1">
        <w:t>and</w:t>
      </w:r>
      <w:r>
        <w:t xml:space="preserve"> </w:t>
      </w:r>
      <w:r w:rsidRPr="005C25A1">
        <w:t>in</w:t>
      </w:r>
      <w:r>
        <w:t xml:space="preserve"> </w:t>
      </w:r>
      <w:r w:rsidRPr="005C25A1">
        <w:t>the</w:t>
      </w:r>
      <w:r>
        <w:t xml:space="preserve"> </w:t>
      </w:r>
      <w:r w:rsidRPr="005C25A1">
        <w:t>syndicated</w:t>
      </w:r>
      <w:r>
        <w:t xml:space="preserve"> </w:t>
      </w:r>
      <w:r w:rsidRPr="005C25A1">
        <w:t>conservation</w:t>
      </w:r>
      <w:r>
        <w:t xml:space="preserve"> </w:t>
      </w:r>
      <w:r w:rsidRPr="005C25A1">
        <w:t>easement</w:t>
      </w:r>
      <w:r>
        <w:t xml:space="preserve"> </w:t>
      </w:r>
      <w:r w:rsidRPr="005C25A1">
        <w:t>listing</w:t>
      </w:r>
      <w:r>
        <w:t xml:space="preserve"> </w:t>
      </w:r>
      <w:r w:rsidRPr="005C25A1">
        <w:t>notice,</w:t>
      </w:r>
      <w:r>
        <w:t xml:space="preserve"> </w:t>
      </w:r>
      <w:r w:rsidRPr="005C25A1">
        <w:t>Notice</w:t>
      </w:r>
      <w:r>
        <w:t xml:space="preserve"> </w:t>
      </w:r>
      <w:r w:rsidRPr="005C25A1">
        <w:t>2017-10.</w:t>
      </w:r>
    </w:p>
    <w:p w:rsidR="007649DB" w:rsidRPr="005C25A1" w:rsidRDefault="007649DB" w:rsidP="007649DB">
      <w:pPr>
        <w:pStyle w:val="QS10"/>
      </w:pPr>
      <w:r w:rsidRPr="005C25A1">
        <w:t>The</w:t>
      </w:r>
      <w:r>
        <w:t xml:space="preserve"> </w:t>
      </w:r>
      <w:r w:rsidRPr="005C25A1">
        <w:t>IRS</w:t>
      </w:r>
      <w:r>
        <w:t xml:space="preserve"> </w:t>
      </w:r>
      <w:r w:rsidRPr="005C25A1">
        <w:t>has</w:t>
      </w:r>
      <w:r>
        <w:t xml:space="preserve"> </w:t>
      </w:r>
      <w:r w:rsidRPr="005C25A1">
        <w:t>made</w:t>
      </w:r>
      <w:r>
        <w:t xml:space="preserve"> </w:t>
      </w:r>
      <w:r w:rsidRPr="005C25A1">
        <w:t>overvalued</w:t>
      </w:r>
      <w:r>
        <w:t xml:space="preserve"> </w:t>
      </w:r>
      <w:r w:rsidRPr="005C25A1">
        <w:t>easements</w:t>
      </w:r>
      <w:r>
        <w:t xml:space="preserve"> </w:t>
      </w:r>
      <w:r w:rsidRPr="005C25A1">
        <w:t>an</w:t>
      </w:r>
      <w:r>
        <w:t xml:space="preserve"> </w:t>
      </w:r>
      <w:r w:rsidRPr="005C25A1">
        <w:t>enforcement</w:t>
      </w:r>
      <w:r>
        <w:t xml:space="preserve"> </w:t>
      </w:r>
      <w:r w:rsidRPr="005C25A1">
        <w:t>priority.</w:t>
      </w:r>
      <w:r>
        <w:t xml:space="preserve"> </w:t>
      </w:r>
      <w:r w:rsidRPr="005C25A1">
        <w:t>IRS</w:t>
      </w:r>
      <w:r>
        <w:t xml:space="preserve"> </w:t>
      </w:r>
      <w:r w:rsidRPr="005C25A1">
        <w:t>examiners</w:t>
      </w:r>
      <w:r>
        <w:t xml:space="preserve"> </w:t>
      </w:r>
      <w:r w:rsidRPr="005C25A1">
        <w:t>are</w:t>
      </w:r>
      <w:r>
        <w:t xml:space="preserve"> </w:t>
      </w:r>
      <w:r w:rsidRPr="005C25A1">
        <w:t>trained</w:t>
      </w:r>
      <w:r>
        <w:t xml:space="preserve"> </w:t>
      </w:r>
      <w:r w:rsidRPr="005C25A1">
        <w:t>to</w:t>
      </w:r>
      <w:r>
        <w:t xml:space="preserve"> </w:t>
      </w:r>
      <w:r w:rsidRPr="005C25A1">
        <w:t>look</w:t>
      </w:r>
      <w:r>
        <w:t xml:space="preserve"> </w:t>
      </w:r>
      <w:r w:rsidRPr="005C25A1">
        <w:t>for</w:t>
      </w:r>
      <w:r>
        <w:t xml:space="preserve"> </w:t>
      </w:r>
      <w:r w:rsidRPr="005C25A1">
        <w:t>overvaluation</w:t>
      </w:r>
      <w:r>
        <w:t xml:space="preserve"> </w:t>
      </w:r>
      <w:r w:rsidRPr="005C25A1">
        <w:t>indicators,</w:t>
      </w:r>
      <w:r>
        <w:t xml:space="preserve"> </w:t>
      </w:r>
      <w:r w:rsidRPr="005C25A1">
        <w:t>which</w:t>
      </w:r>
      <w:r>
        <w:t xml:space="preserve"> </w:t>
      </w:r>
      <w:r w:rsidRPr="005C25A1">
        <w:t>are</w:t>
      </w:r>
      <w:r>
        <w:t xml:space="preserve"> </w:t>
      </w:r>
      <w:r w:rsidRPr="005C25A1">
        <w:t>nearly</w:t>
      </w:r>
      <w:r>
        <w:t xml:space="preserve"> </w:t>
      </w:r>
      <w:r w:rsidRPr="005C25A1">
        <w:t>always</w:t>
      </w:r>
      <w:r>
        <w:t xml:space="preserve"> </w:t>
      </w:r>
      <w:r w:rsidRPr="005C25A1">
        <w:t>the</w:t>
      </w:r>
      <w:r>
        <w:t xml:space="preserve"> </w:t>
      </w:r>
      <w:r w:rsidRPr="005C25A1">
        <w:t>primary</w:t>
      </w:r>
      <w:r>
        <w:t xml:space="preserve"> </w:t>
      </w:r>
      <w:r w:rsidRPr="005C25A1">
        <w:t>reason</w:t>
      </w:r>
      <w:r>
        <w:t xml:space="preserve"> </w:t>
      </w:r>
      <w:r w:rsidRPr="005C25A1">
        <w:t>for</w:t>
      </w:r>
      <w:r>
        <w:t xml:space="preserve"> </w:t>
      </w:r>
      <w:r w:rsidRPr="005C25A1">
        <w:t>commencing</w:t>
      </w:r>
      <w:r>
        <w:t xml:space="preserve"> </w:t>
      </w:r>
      <w:r w:rsidRPr="005C25A1">
        <w:t>a</w:t>
      </w:r>
      <w:r>
        <w:t xml:space="preserve"> </w:t>
      </w:r>
      <w:r w:rsidRPr="005C25A1">
        <w:t>conservation</w:t>
      </w:r>
      <w:r>
        <w:t xml:space="preserve"> </w:t>
      </w:r>
      <w:r w:rsidRPr="005C25A1">
        <w:t>easement</w:t>
      </w:r>
      <w:r>
        <w:t xml:space="preserve"> </w:t>
      </w:r>
      <w:r w:rsidRPr="005C25A1">
        <w:t>deduction</w:t>
      </w:r>
      <w:r>
        <w:t xml:space="preserve"> </w:t>
      </w:r>
      <w:r w:rsidRPr="005C25A1">
        <w:t>audit.</w:t>
      </w:r>
    </w:p>
    <w:p w:rsidR="007649DB" w:rsidRDefault="007649DB" w:rsidP="007649DB">
      <w:pPr>
        <w:pStyle w:val="QS10"/>
      </w:pPr>
      <w:r w:rsidRPr="005C25A1">
        <w:t>Easement</w:t>
      </w:r>
      <w:r>
        <w:t xml:space="preserve"> </w:t>
      </w:r>
      <w:r w:rsidRPr="005C25A1">
        <w:t>donors</w:t>
      </w:r>
      <w:r>
        <w:t xml:space="preserve"> </w:t>
      </w:r>
      <w:r w:rsidRPr="005C25A1">
        <w:t>who</w:t>
      </w:r>
      <w:r>
        <w:t xml:space="preserve"> </w:t>
      </w:r>
      <w:r w:rsidRPr="005C25A1">
        <w:t>rely</w:t>
      </w:r>
      <w:r>
        <w:t xml:space="preserve"> </w:t>
      </w:r>
      <w:r w:rsidRPr="005C25A1">
        <w:t>on</w:t>
      </w:r>
      <w:r>
        <w:t xml:space="preserve"> </w:t>
      </w:r>
      <w:r w:rsidRPr="005C25A1">
        <w:t>appraisers</w:t>
      </w:r>
      <w:r>
        <w:t xml:space="preserve"> </w:t>
      </w:r>
      <w:r w:rsidRPr="005C25A1">
        <w:t>with</w:t>
      </w:r>
      <w:r>
        <w:t xml:space="preserve"> </w:t>
      </w:r>
      <w:r w:rsidRPr="005C25A1">
        <w:t>extensive</w:t>
      </w:r>
      <w:r>
        <w:t xml:space="preserve"> </w:t>
      </w:r>
      <w:r w:rsidRPr="005C25A1">
        <w:t>professional</w:t>
      </w:r>
      <w:r>
        <w:t xml:space="preserve"> </w:t>
      </w:r>
      <w:r w:rsidRPr="005C25A1">
        <w:t>qualifications</w:t>
      </w:r>
      <w:r>
        <w:t xml:space="preserve"> </w:t>
      </w:r>
      <w:r w:rsidRPr="005C25A1">
        <w:t>and</w:t>
      </w:r>
      <w:r>
        <w:t xml:space="preserve"> </w:t>
      </w:r>
      <w:r w:rsidRPr="005C25A1">
        <w:t>experience</w:t>
      </w:r>
      <w:r>
        <w:t xml:space="preserve"> </w:t>
      </w:r>
      <w:r w:rsidRPr="005C25A1">
        <w:t>may</w:t>
      </w:r>
      <w:r>
        <w:t xml:space="preserve"> </w:t>
      </w:r>
      <w:r w:rsidRPr="005C25A1">
        <w:t>in</w:t>
      </w:r>
      <w:r>
        <w:t xml:space="preserve"> </w:t>
      </w:r>
      <w:r w:rsidRPr="005C25A1">
        <w:t>good</w:t>
      </w:r>
      <w:r>
        <w:t xml:space="preserve"> </w:t>
      </w:r>
      <w:r w:rsidRPr="005C25A1">
        <w:t>faith</w:t>
      </w:r>
      <w:r>
        <w:t xml:space="preserve"> </w:t>
      </w:r>
      <w:r w:rsidRPr="005C25A1">
        <w:t>believe</w:t>
      </w:r>
      <w:r>
        <w:t xml:space="preserve"> </w:t>
      </w:r>
      <w:r w:rsidRPr="005C25A1">
        <w:t>that</w:t>
      </w:r>
      <w:r>
        <w:t xml:space="preserve"> </w:t>
      </w:r>
      <w:r w:rsidRPr="005C25A1">
        <w:t>the</w:t>
      </w:r>
      <w:r>
        <w:t xml:space="preserve"> </w:t>
      </w:r>
      <w:r w:rsidRPr="005C25A1">
        <w:t>appraisals</w:t>
      </w:r>
      <w:r>
        <w:t xml:space="preserve"> </w:t>
      </w:r>
      <w:r w:rsidRPr="005C25A1">
        <w:t>they</w:t>
      </w:r>
      <w:r>
        <w:t xml:space="preserve"> </w:t>
      </w:r>
      <w:r w:rsidRPr="005C25A1">
        <w:t>prepare</w:t>
      </w:r>
      <w:r>
        <w:t xml:space="preserve"> </w:t>
      </w:r>
      <w:r w:rsidRPr="005C25A1">
        <w:t>contain</w:t>
      </w:r>
      <w:r>
        <w:t xml:space="preserve"> </w:t>
      </w:r>
      <w:r w:rsidRPr="005C25A1">
        <w:t>correct</w:t>
      </w:r>
      <w:r>
        <w:t xml:space="preserve"> </w:t>
      </w:r>
      <w:r w:rsidRPr="005C25A1">
        <w:t>conclusions</w:t>
      </w:r>
      <w:r>
        <w:t xml:space="preserve"> </w:t>
      </w:r>
      <w:r w:rsidRPr="005C25A1">
        <w:t>of</w:t>
      </w:r>
      <w:r>
        <w:t xml:space="preserve"> </w:t>
      </w:r>
      <w:r w:rsidRPr="005C25A1">
        <w:t>value</w:t>
      </w:r>
      <w:r>
        <w:t xml:space="preserve"> </w:t>
      </w:r>
      <w:r w:rsidRPr="005C25A1">
        <w:t>and</w:t>
      </w:r>
      <w:r>
        <w:t xml:space="preserve"> </w:t>
      </w:r>
      <w:r w:rsidRPr="005C25A1">
        <w:t>comport</w:t>
      </w:r>
      <w:r>
        <w:t xml:space="preserve"> </w:t>
      </w:r>
      <w:r w:rsidRPr="005C25A1">
        <w:t>with</w:t>
      </w:r>
      <w:r>
        <w:t xml:space="preserve"> </w:t>
      </w:r>
      <w:r w:rsidRPr="005C25A1">
        <w:t>statutory</w:t>
      </w:r>
      <w:r>
        <w:t xml:space="preserve"> </w:t>
      </w:r>
      <w:r w:rsidRPr="005C25A1">
        <w:t>and</w:t>
      </w:r>
      <w:r>
        <w:t xml:space="preserve"> </w:t>
      </w:r>
      <w:r w:rsidRPr="005C25A1">
        <w:t>regulatory</w:t>
      </w:r>
      <w:r>
        <w:t xml:space="preserve"> </w:t>
      </w:r>
      <w:r w:rsidRPr="005C25A1">
        <w:t>requirements.</w:t>
      </w:r>
      <w:r>
        <w:t xml:space="preserve"> </w:t>
      </w:r>
      <w:r w:rsidRPr="005C25A1">
        <w:t>At</w:t>
      </w:r>
      <w:r>
        <w:t xml:space="preserve"> </w:t>
      </w:r>
      <w:r w:rsidRPr="005C25A1">
        <w:t>times,</w:t>
      </w:r>
      <w:r>
        <w:t xml:space="preserve"> </w:t>
      </w:r>
      <w:r w:rsidRPr="005C25A1">
        <w:t>however,</w:t>
      </w:r>
      <w:r>
        <w:t xml:space="preserve"> </w:t>
      </w:r>
      <w:r w:rsidRPr="005C25A1">
        <w:t>the</w:t>
      </w:r>
      <w:r>
        <w:t xml:space="preserve"> </w:t>
      </w:r>
      <w:r w:rsidRPr="005C25A1">
        <w:t>reliance</w:t>
      </w:r>
      <w:r>
        <w:t xml:space="preserve"> </w:t>
      </w:r>
      <w:r w:rsidRPr="005C25A1">
        <w:t>is</w:t>
      </w:r>
      <w:r>
        <w:t xml:space="preserve"> </w:t>
      </w:r>
      <w:r w:rsidRPr="005C25A1">
        <w:t>misplaced.</w:t>
      </w:r>
      <w:r>
        <w:t xml:space="preserve"> </w:t>
      </w:r>
      <w:r w:rsidRPr="005C25A1">
        <w:t>When</w:t>
      </w:r>
      <w:r>
        <w:t xml:space="preserve"> </w:t>
      </w:r>
      <w:r w:rsidRPr="005C25A1">
        <w:t>appraisals</w:t>
      </w:r>
      <w:r>
        <w:t xml:space="preserve"> </w:t>
      </w:r>
      <w:r w:rsidRPr="005C25A1">
        <w:t>look</w:t>
      </w:r>
      <w:r>
        <w:t xml:space="preserve"> </w:t>
      </w:r>
      <w:r w:rsidRPr="005C25A1">
        <w:t>too</w:t>
      </w:r>
      <w:r>
        <w:t xml:space="preserve"> </w:t>
      </w:r>
      <w:r w:rsidRPr="005C25A1">
        <w:t>good</w:t>
      </w:r>
      <w:r>
        <w:t xml:space="preserve"> </w:t>
      </w:r>
      <w:r w:rsidRPr="005C25A1">
        <w:t>to</w:t>
      </w:r>
      <w:r>
        <w:t xml:space="preserve"> </w:t>
      </w:r>
      <w:r w:rsidRPr="005C25A1">
        <w:t>be</w:t>
      </w:r>
      <w:r>
        <w:t xml:space="preserve"> </w:t>
      </w:r>
      <w:r w:rsidRPr="005C25A1">
        <w:t>true,</w:t>
      </w:r>
      <w:r>
        <w:t xml:space="preserve"> </w:t>
      </w:r>
      <w:r w:rsidRPr="005C25A1">
        <w:t>taxpayers</w:t>
      </w:r>
      <w:r>
        <w:t xml:space="preserve"> </w:t>
      </w:r>
      <w:r w:rsidRPr="005C25A1">
        <w:t>who</w:t>
      </w:r>
      <w:r>
        <w:t xml:space="preserve"> </w:t>
      </w:r>
      <w:r w:rsidRPr="005C25A1">
        <w:t>rely</w:t>
      </w:r>
      <w:r>
        <w:t xml:space="preserve"> </w:t>
      </w:r>
      <w:r w:rsidRPr="005C25A1">
        <w:t>on</w:t>
      </w:r>
      <w:r>
        <w:t xml:space="preserve"> </w:t>
      </w:r>
      <w:r w:rsidRPr="005C25A1">
        <w:t>them</w:t>
      </w:r>
      <w:r>
        <w:t xml:space="preserve"> </w:t>
      </w:r>
      <w:r w:rsidRPr="005C25A1">
        <w:t>are</w:t>
      </w:r>
      <w:r>
        <w:t xml:space="preserve"> </w:t>
      </w:r>
      <w:r w:rsidRPr="005C25A1">
        <w:t>taking</w:t>
      </w:r>
      <w:r>
        <w:t xml:space="preserve"> </w:t>
      </w:r>
      <w:r w:rsidRPr="005C25A1">
        <w:t>a</w:t>
      </w:r>
      <w:r>
        <w:t xml:space="preserve"> </w:t>
      </w:r>
      <w:r w:rsidRPr="005C25A1">
        <w:t>risk.</w:t>
      </w:r>
    </w:p>
    <w:p w:rsidR="007A7D0A" w:rsidRPr="005C25A1" w:rsidRDefault="007A7D0A" w:rsidP="007A7D0A">
      <w:pPr>
        <w:pStyle w:val="Body15"/>
      </w:pPr>
      <w:r>
        <w:t>There are four general issues to keep an eye, two general and two specific to easements.  The general issues are defective appraisals – those that don’t meet the requirements – and the failure to give income tax basis information to the IRS as required.  The specific issues are the “granted in perpetuity” requirement and the “protected in perpetuity” requirement.  From the perspective of policy, the IRS appears to lack confidence in appraisers, which affects its willingness to accept valuations, and in some, perhaps many, easement holders, which affects its willingness to accept a broad interpretation of the regulatory limits.</w:t>
      </w:r>
    </w:p>
    <w:p w:rsidR="00D10E60" w:rsidRPr="00D10E60" w:rsidRDefault="00DB38B2" w:rsidP="00B66CCE">
      <w:pPr>
        <w:pStyle w:val="Heading20"/>
        <w:numPr>
          <w:ilvl w:val="1"/>
          <w:numId w:val="34"/>
        </w:numPr>
        <w:tabs>
          <w:tab w:val="clear" w:pos="2700"/>
          <w:tab w:val="num" w:pos="1440"/>
        </w:tabs>
        <w:ind w:left="0"/>
        <w:rPr>
          <w:vanish/>
          <w:lang w:eastAsia="en-GB"/>
          <w:specVanish/>
        </w:rPr>
      </w:pPr>
      <w:bookmarkStart w:id="164" w:name="_Toc94704622"/>
      <w:r>
        <w:rPr>
          <w:b/>
          <w:u w:val="single"/>
        </w:rPr>
        <w:t>Granted In Perpetuity and Protected In Perpetuity Requirements</w:t>
      </w:r>
      <w:bookmarkEnd w:id="164"/>
    </w:p>
    <w:p w:rsidR="00697EB9" w:rsidRDefault="001479F1" w:rsidP="00D10E60">
      <w:pPr>
        <w:pStyle w:val="Heading2Body"/>
      </w:pPr>
      <w:r>
        <w:t>.</w:t>
      </w:r>
      <w:r w:rsidR="00C64050">
        <w:t xml:space="preserve">  </w:t>
      </w:r>
      <w:r>
        <w:t>In</w:t>
      </w:r>
      <w:r w:rsidR="00C64050">
        <w:t xml:space="preserve"> </w:t>
      </w:r>
      <w:r>
        <w:rPr>
          <w:u w:val="single"/>
        </w:rPr>
        <w:t>Pine</w:t>
      </w:r>
      <w:r w:rsidR="00C64050">
        <w:rPr>
          <w:u w:val="single"/>
        </w:rPr>
        <w:t xml:space="preserve"> </w:t>
      </w:r>
      <w:r>
        <w:rPr>
          <w:u w:val="single"/>
        </w:rPr>
        <w:t>Mountain</w:t>
      </w:r>
      <w:r w:rsidR="00C64050">
        <w:rPr>
          <w:u w:val="single"/>
        </w:rPr>
        <w:t xml:space="preserve"> </w:t>
      </w:r>
      <w:r>
        <w:rPr>
          <w:u w:val="single"/>
        </w:rPr>
        <w:t>Preserve</w:t>
      </w:r>
      <w:r w:rsidR="00C64050">
        <w:rPr>
          <w:u w:val="single"/>
        </w:rPr>
        <w:t xml:space="preserve"> </w:t>
      </w:r>
      <w:r>
        <w:rPr>
          <w:u w:val="single"/>
        </w:rPr>
        <w:t>LLLP</w:t>
      </w:r>
      <w:r w:rsidR="00C64050">
        <w:rPr>
          <w:u w:val="single"/>
        </w:rPr>
        <w:t xml:space="preserve"> </w:t>
      </w:r>
      <w:r>
        <w:rPr>
          <w:u w:val="single"/>
        </w:rPr>
        <w:t>et</w:t>
      </w:r>
      <w:r w:rsidR="00C64050">
        <w:rPr>
          <w:u w:val="single"/>
        </w:rPr>
        <w:t xml:space="preserve"> </w:t>
      </w:r>
      <w:r>
        <w:rPr>
          <w:u w:val="single"/>
        </w:rPr>
        <w:t>al.</w:t>
      </w:r>
      <w:r w:rsidR="00C64050">
        <w:rPr>
          <w:u w:val="single"/>
        </w:rPr>
        <w:t xml:space="preserve"> </w:t>
      </w:r>
      <w:r>
        <w:rPr>
          <w:u w:val="single"/>
        </w:rPr>
        <w:t>v.</w:t>
      </w:r>
      <w:r w:rsidR="00C64050">
        <w:rPr>
          <w:u w:val="single"/>
        </w:rPr>
        <w:t xml:space="preserve"> </w:t>
      </w:r>
      <w:r>
        <w:rPr>
          <w:u w:val="single"/>
        </w:rPr>
        <w:t>Commissioner</w:t>
      </w:r>
      <w:r>
        <w:t>,</w:t>
      </w:r>
      <w:r w:rsidR="00C64050">
        <w:t xml:space="preserve"> </w:t>
      </w:r>
      <w:r>
        <w:t>151</w:t>
      </w:r>
      <w:r w:rsidR="00C64050">
        <w:t xml:space="preserve"> </w:t>
      </w:r>
      <w:r>
        <w:t>T.C.</w:t>
      </w:r>
      <w:r w:rsidR="00C64050">
        <w:t xml:space="preserve"> </w:t>
      </w:r>
      <w:r>
        <w:t>No.</w:t>
      </w:r>
      <w:r w:rsidR="00C64050">
        <w:t xml:space="preserve"> </w:t>
      </w:r>
      <w:r>
        <w:t>14</w:t>
      </w:r>
      <w:r w:rsidR="00C64050">
        <w:t xml:space="preserve"> </w:t>
      </w:r>
      <w:r>
        <w:t>(2018),</w:t>
      </w:r>
      <w:r w:rsidR="00C64050">
        <w:t xml:space="preserve"> </w:t>
      </w:r>
      <w:r>
        <w:t>the</w:t>
      </w:r>
      <w:r w:rsidR="00C64050">
        <w:t xml:space="preserve"> </w:t>
      </w:r>
      <w:r>
        <w:t>primary</w:t>
      </w:r>
      <w:r w:rsidR="00C64050">
        <w:t xml:space="preserve"> </w:t>
      </w:r>
      <w:r>
        <w:t>issue</w:t>
      </w:r>
      <w:r w:rsidR="00C64050">
        <w:t xml:space="preserve"> </w:t>
      </w:r>
      <w:r>
        <w:t>was</w:t>
      </w:r>
      <w:r w:rsidR="00C64050">
        <w:t xml:space="preserve"> </w:t>
      </w:r>
      <w:r>
        <w:t>whether</w:t>
      </w:r>
      <w:r w:rsidR="00C64050">
        <w:t xml:space="preserve"> </w:t>
      </w:r>
      <w:r>
        <w:t>t</w:t>
      </w:r>
      <w:r w:rsidR="00112FF7">
        <w:t>h</w:t>
      </w:r>
      <w:r>
        <w:t>e</w:t>
      </w:r>
      <w:r w:rsidR="00C64050">
        <w:t xml:space="preserve"> </w:t>
      </w:r>
      <w:r>
        <w:t>ability</w:t>
      </w:r>
      <w:r w:rsidR="00C64050">
        <w:t xml:space="preserve"> </w:t>
      </w:r>
      <w:r>
        <w:t>to</w:t>
      </w:r>
      <w:r w:rsidR="00C64050">
        <w:t xml:space="preserve"> </w:t>
      </w:r>
      <w:r>
        <w:t>construct</w:t>
      </w:r>
      <w:r w:rsidR="00C64050">
        <w:t xml:space="preserve"> </w:t>
      </w:r>
      <w:r>
        <w:t>residences</w:t>
      </w:r>
      <w:r w:rsidR="00C64050">
        <w:t xml:space="preserve"> </w:t>
      </w:r>
      <w:r>
        <w:t>in</w:t>
      </w:r>
      <w:r w:rsidR="00C64050">
        <w:t xml:space="preserve"> </w:t>
      </w:r>
      <w:r w:rsidR="0065686B">
        <w:t>various</w:t>
      </w:r>
      <w:r w:rsidR="00C64050">
        <w:t xml:space="preserve"> </w:t>
      </w:r>
      <w:r>
        <w:t>building</w:t>
      </w:r>
      <w:r w:rsidR="00C64050">
        <w:t xml:space="preserve"> </w:t>
      </w:r>
      <w:r>
        <w:t>areas</w:t>
      </w:r>
      <w:r w:rsidR="00C64050">
        <w:t xml:space="preserve"> </w:t>
      </w:r>
      <w:r>
        <w:t>invalidated</w:t>
      </w:r>
      <w:r w:rsidR="00C64050">
        <w:t xml:space="preserve"> </w:t>
      </w:r>
      <w:r>
        <w:t>a</w:t>
      </w:r>
      <w:r w:rsidR="00C64050">
        <w:t xml:space="preserve"> </w:t>
      </w:r>
      <w:r>
        <w:t>conservation</w:t>
      </w:r>
      <w:r w:rsidR="00C64050">
        <w:t xml:space="preserve"> </w:t>
      </w:r>
      <w:r>
        <w:t>easement.</w:t>
      </w:r>
      <w:r w:rsidR="00C64050">
        <w:t xml:space="preserve">  </w:t>
      </w:r>
      <w:r>
        <w:t>The</w:t>
      </w:r>
      <w:r w:rsidR="00C64050">
        <w:t xml:space="preserve"> </w:t>
      </w:r>
      <w:r>
        <w:t>taxpayer</w:t>
      </w:r>
      <w:r w:rsidR="00C64050">
        <w:t xml:space="preserve"> </w:t>
      </w:r>
      <w:r>
        <w:t>(Pine</w:t>
      </w:r>
      <w:r w:rsidR="00C64050">
        <w:t xml:space="preserve"> </w:t>
      </w:r>
      <w:r>
        <w:t>Mountain</w:t>
      </w:r>
      <w:r w:rsidR="00C64050">
        <w:t xml:space="preserve"> </w:t>
      </w:r>
      <w:r>
        <w:t>Preserve</w:t>
      </w:r>
      <w:r w:rsidR="00C64050">
        <w:t xml:space="preserve"> </w:t>
      </w:r>
      <w:r>
        <w:t>LLLP</w:t>
      </w:r>
      <w:r w:rsidR="00112FF7">
        <w:t>)</w:t>
      </w:r>
      <w:r w:rsidR="00C64050">
        <w:t xml:space="preserve"> </w:t>
      </w:r>
      <w:r w:rsidRPr="001479F1">
        <w:t>conveyed</w:t>
      </w:r>
      <w:r w:rsidR="00C64050">
        <w:t xml:space="preserve"> </w:t>
      </w:r>
      <w:r w:rsidRPr="001479F1">
        <w:t>to</w:t>
      </w:r>
      <w:r w:rsidR="00C64050">
        <w:t xml:space="preserve"> </w:t>
      </w:r>
      <w:r w:rsidR="00112FF7">
        <w:t>the</w:t>
      </w:r>
      <w:r w:rsidR="00C64050">
        <w:t xml:space="preserve"> </w:t>
      </w:r>
      <w:r w:rsidR="00112FF7">
        <w:t>North</w:t>
      </w:r>
      <w:r w:rsidR="00C64050">
        <w:t xml:space="preserve"> </w:t>
      </w:r>
      <w:r w:rsidR="00112FF7">
        <w:t>American</w:t>
      </w:r>
      <w:r w:rsidR="00C64050">
        <w:t xml:space="preserve"> </w:t>
      </w:r>
      <w:r w:rsidR="00112FF7">
        <w:t>Land</w:t>
      </w:r>
      <w:r w:rsidR="00C64050">
        <w:t xml:space="preserve"> </w:t>
      </w:r>
      <w:r w:rsidR="00112FF7">
        <w:t>Trust</w:t>
      </w:r>
      <w:r w:rsidR="00C64050">
        <w:t xml:space="preserve"> </w:t>
      </w:r>
      <w:r w:rsidR="00112FF7">
        <w:t>(NALT)</w:t>
      </w:r>
      <w:r w:rsidR="00C64050">
        <w:t xml:space="preserve"> </w:t>
      </w:r>
      <w:r w:rsidRPr="001479F1">
        <w:t>in</w:t>
      </w:r>
      <w:r w:rsidR="00C64050">
        <w:t xml:space="preserve"> </w:t>
      </w:r>
      <w:r w:rsidRPr="001479F1">
        <w:t>2005,</w:t>
      </w:r>
      <w:r w:rsidR="00C64050">
        <w:t xml:space="preserve"> </w:t>
      </w:r>
      <w:r w:rsidRPr="001479F1">
        <w:t>2006,</w:t>
      </w:r>
      <w:r w:rsidR="00C64050">
        <w:t xml:space="preserve"> </w:t>
      </w:r>
      <w:r w:rsidRPr="001479F1">
        <w:t>and</w:t>
      </w:r>
      <w:r w:rsidR="00C64050">
        <w:t xml:space="preserve"> </w:t>
      </w:r>
      <w:r w:rsidRPr="001479F1">
        <w:t>2007,</w:t>
      </w:r>
      <w:r w:rsidR="00C64050">
        <w:t xml:space="preserve"> </w:t>
      </w:r>
      <w:r w:rsidRPr="001479F1">
        <w:t>easements</w:t>
      </w:r>
      <w:r w:rsidR="00C64050">
        <w:t xml:space="preserve"> </w:t>
      </w:r>
      <w:r w:rsidRPr="001479F1">
        <w:t>covering</w:t>
      </w:r>
      <w:r w:rsidR="00C64050">
        <w:t xml:space="preserve"> </w:t>
      </w:r>
      <w:r w:rsidRPr="001479F1">
        <w:t>relatively</w:t>
      </w:r>
      <w:r w:rsidR="00C64050">
        <w:t xml:space="preserve"> </w:t>
      </w:r>
      <w:r w:rsidRPr="001479F1">
        <w:t>small</w:t>
      </w:r>
      <w:r w:rsidR="00C64050">
        <w:t xml:space="preserve"> </w:t>
      </w:r>
      <w:r w:rsidRPr="001479F1">
        <w:t>portions</w:t>
      </w:r>
      <w:r w:rsidR="00C64050">
        <w:t xml:space="preserve"> </w:t>
      </w:r>
      <w:r w:rsidRPr="001479F1">
        <w:t>of</w:t>
      </w:r>
      <w:r w:rsidR="00C64050">
        <w:t xml:space="preserve"> </w:t>
      </w:r>
      <w:r w:rsidR="00112FF7">
        <w:t>land</w:t>
      </w:r>
      <w:r w:rsidR="00C64050">
        <w:t xml:space="preserve"> </w:t>
      </w:r>
      <w:r w:rsidR="00112FF7">
        <w:t>in</w:t>
      </w:r>
      <w:r w:rsidR="00C64050">
        <w:t xml:space="preserve"> </w:t>
      </w:r>
      <w:r w:rsidR="00112FF7">
        <w:t>Alabama.</w:t>
      </w:r>
      <w:r w:rsidR="00C64050">
        <w:t xml:space="preserve">  </w:t>
      </w:r>
      <w:r w:rsidRPr="001479F1">
        <w:t>Each</w:t>
      </w:r>
      <w:r w:rsidR="00C64050">
        <w:t xml:space="preserve"> </w:t>
      </w:r>
      <w:r w:rsidRPr="001479F1">
        <w:t>easement</w:t>
      </w:r>
      <w:r w:rsidR="00C64050">
        <w:t xml:space="preserve"> </w:t>
      </w:r>
      <w:r w:rsidRPr="001479F1">
        <w:t>defined</w:t>
      </w:r>
      <w:r w:rsidR="00C64050">
        <w:t xml:space="preserve"> </w:t>
      </w:r>
      <w:r w:rsidRPr="001479F1">
        <w:t>a</w:t>
      </w:r>
      <w:r w:rsidR="00C64050">
        <w:t xml:space="preserve"> </w:t>
      </w:r>
      <w:r w:rsidRPr="001479F1">
        <w:t>conservation</w:t>
      </w:r>
      <w:r w:rsidR="00C64050">
        <w:t xml:space="preserve"> </w:t>
      </w:r>
      <w:r w:rsidRPr="001479F1">
        <w:t>area</w:t>
      </w:r>
      <w:r w:rsidR="00C64050">
        <w:t xml:space="preserve"> </w:t>
      </w:r>
      <w:r w:rsidRPr="001479F1">
        <w:t>that</w:t>
      </w:r>
      <w:r w:rsidR="00C64050">
        <w:t xml:space="preserve"> </w:t>
      </w:r>
      <w:r w:rsidRPr="001479F1">
        <w:t>was</w:t>
      </w:r>
      <w:r w:rsidR="00C64050">
        <w:t xml:space="preserve"> </w:t>
      </w:r>
      <w:r w:rsidRPr="001479F1">
        <w:t>to</w:t>
      </w:r>
      <w:r w:rsidR="00C64050">
        <w:t xml:space="preserve"> </w:t>
      </w:r>
      <w:r w:rsidRPr="001479F1">
        <w:t>be</w:t>
      </w:r>
      <w:r w:rsidR="00C64050">
        <w:t xml:space="preserve"> </w:t>
      </w:r>
      <w:r w:rsidRPr="001479F1">
        <w:t>restricted</w:t>
      </w:r>
      <w:r w:rsidR="00C64050">
        <w:t xml:space="preserve"> </w:t>
      </w:r>
      <w:r w:rsidRPr="001479F1">
        <w:t>in</w:t>
      </w:r>
      <w:r w:rsidR="00C64050">
        <w:t xml:space="preserve"> </w:t>
      </w:r>
      <w:r w:rsidRPr="001479F1">
        <w:t>perpetuity</w:t>
      </w:r>
      <w:r w:rsidR="00C64050">
        <w:t xml:space="preserve"> </w:t>
      </w:r>
      <w:r w:rsidRPr="001479F1">
        <w:t>from</w:t>
      </w:r>
      <w:r w:rsidR="00C64050">
        <w:t xml:space="preserve"> </w:t>
      </w:r>
      <w:r w:rsidRPr="001479F1">
        <w:t>commercial</w:t>
      </w:r>
      <w:r w:rsidR="00C64050">
        <w:t xml:space="preserve"> </w:t>
      </w:r>
      <w:r w:rsidRPr="001479F1">
        <w:t>and</w:t>
      </w:r>
      <w:r w:rsidR="00C64050">
        <w:t xml:space="preserve"> </w:t>
      </w:r>
      <w:r w:rsidRPr="001479F1">
        <w:t>residential</w:t>
      </w:r>
      <w:r w:rsidR="00C64050">
        <w:t xml:space="preserve"> </w:t>
      </w:r>
      <w:r w:rsidRPr="001479F1">
        <w:t>development,</w:t>
      </w:r>
      <w:r w:rsidR="00C64050">
        <w:t xml:space="preserve"> </w:t>
      </w:r>
      <w:r w:rsidRPr="001479F1">
        <w:t>with</w:t>
      </w:r>
      <w:r w:rsidR="00C64050">
        <w:t xml:space="preserve"> </w:t>
      </w:r>
      <w:r w:rsidRPr="001479F1">
        <w:t>a</w:t>
      </w:r>
      <w:r w:rsidR="00C64050">
        <w:t xml:space="preserve"> </w:t>
      </w:r>
      <w:r w:rsidRPr="001479F1">
        <w:t>carve-out</w:t>
      </w:r>
      <w:r w:rsidR="00C64050">
        <w:t xml:space="preserve"> </w:t>
      </w:r>
      <w:r w:rsidRPr="001479F1">
        <w:t>in</w:t>
      </w:r>
      <w:r w:rsidR="00C64050">
        <w:t xml:space="preserve"> </w:t>
      </w:r>
      <w:r w:rsidRPr="001479F1">
        <w:t>the</w:t>
      </w:r>
      <w:r w:rsidR="00C64050">
        <w:t xml:space="preserve"> </w:t>
      </w:r>
      <w:r w:rsidRPr="001479F1">
        <w:t>2005</w:t>
      </w:r>
      <w:r w:rsidR="00C64050">
        <w:t xml:space="preserve"> </w:t>
      </w:r>
      <w:r w:rsidRPr="001479F1">
        <w:t>and</w:t>
      </w:r>
      <w:r w:rsidR="00C64050">
        <w:t xml:space="preserve"> </w:t>
      </w:r>
      <w:r w:rsidRPr="001479F1">
        <w:t>2006</w:t>
      </w:r>
      <w:r w:rsidR="00C64050">
        <w:t xml:space="preserve"> </w:t>
      </w:r>
      <w:r w:rsidRPr="001479F1">
        <w:t>easements</w:t>
      </w:r>
      <w:r w:rsidR="00C64050">
        <w:t xml:space="preserve"> </w:t>
      </w:r>
      <w:r w:rsidRPr="001479F1">
        <w:t>for</w:t>
      </w:r>
      <w:r w:rsidR="00C64050">
        <w:t xml:space="preserve"> </w:t>
      </w:r>
      <w:r w:rsidRPr="001479F1">
        <w:t>16</w:t>
      </w:r>
      <w:r w:rsidR="00C64050">
        <w:t xml:space="preserve"> </w:t>
      </w:r>
      <w:r w:rsidRPr="001479F1">
        <w:t>reserved</w:t>
      </w:r>
      <w:r w:rsidR="00C64050">
        <w:t xml:space="preserve"> </w:t>
      </w:r>
      <w:r w:rsidRPr="001479F1">
        <w:t>“building</w:t>
      </w:r>
      <w:r w:rsidR="00C64050">
        <w:t xml:space="preserve"> </w:t>
      </w:r>
      <w:r w:rsidRPr="001479F1">
        <w:t>areas,”</w:t>
      </w:r>
      <w:r w:rsidR="00C64050">
        <w:t xml:space="preserve"> </w:t>
      </w:r>
      <w:r w:rsidRPr="001479F1">
        <w:t>within</w:t>
      </w:r>
      <w:r w:rsidR="00C64050">
        <w:t xml:space="preserve"> </w:t>
      </w:r>
      <w:r w:rsidRPr="001479F1">
        <w:t>each</w:t>
      </w:r>
      <w:r w:rsidR="00C64050">
        <w:t xml:space="preserve"> </w:t>
      </w:r>
      <w:r w:rsidRPr="001479F1">
        <w:t>of</w:t>
      </w:r>
      <w:r w:rsidR="00C64050">
        <w:t xml:space="preserve"> </w:t>
      </w:r>
      <w:r w:rsidRPr="001479F1">
        <w:t>which</w:t>
      </w:r>
      <w:r w:rsidR="00C64050">
        <w:t xml:space="preserve"> </w:t>
      </w:r>
      <w:r w:rsidR="00112FF7">
        <w:t>the</w:t>
      </w:r>
      <w:r w:rsidR="00C64050">
        <w:t xml:space="preserve"> </w:t>
      </w:r>
      <w:r w:rsidR="00112FF7">
        <w:t>taxpayer</w:t>
      </w:r>
      <w:r w:rsidR="00C64050">
        <w:t xml:space="preserve"> </w:t>
      </w:r>
      <w:r w:rsidRPr="001479F1">
        <w:t>could</w:t>
      </w:r>
      <w:r w:rsidR="00C64050">
        <w:t xml:space="preserve"> </w:t>
      </w:r>
      <w:r w:rsidRPr="001479F1">
        <w:t>construct</w:t>
      </w:r>
      <w:r w:rsidR="00C64050">
        <w:t xml:space="preserve"> </w:t>
      </w:r>
      <w:r w:rsidRPr="001479F1">
        <w:t>a</w:t>
      </w:r>
      <w:r w:rsidR="00C64050">
        <w:t xml:space="preserve"> </w:t>
      </w:r>
      <w:r w:rsidRPr="001479F1">
        <w:t>single-family</w:t>
      </w:r>
      <w:r w:rsidR="00C64050">
        <w:t xml:space="preserve"> </w:t>
      </w:r>
      <w:r w:rsidRPr="001479F1">
        <w:t>residence.</w:t>
      </w:r>
      <w:r w:rsidR="00C64050">
        <w:t xml:space="preserve"> </w:t>
      </w:r>
      <w:r w:rsidRPr="001479F1">
        <w:t>The</w:t>
      </w:r>
      <w:r w:rsidR="00C64050">
        <w:t xml:space="preserve"> </w:t>
      </w:r>
      <w:r w:rsidRPr="001479F1">
        <w:t>2006</w:t>
      </w:r>
      <w:r w:rsidR="00C64050">
        <w:t xml:space="preserve"> </w:t>
      </w:r>
      <w:r w:rsidRPr="001479F1">
        <w:t>easement</w:t>
      </w:r>
      <w:r w:rsidR="00C64050">
        <w:t xml:space="preserve"> </w:t>
      </w:r>
      <w:r w:rsidRPr="001479F1">
        <w:t>did</w:t>
      </w:r>
      <w:r w:rsidR="00C64050">
        <w:t xml:space="preserve"> </w:t>
      </w:r>
      <w:r w:rsidRPr="001479F1">
        <w:t>not</w:t>
      </w:r>
      <w:r w:rsidR="00C64050">
        <w:t xml:space="preserve"> </w:t>
      </w:r>
      <w:r w:rsidRPr="001479F1">
        <w:t>specify</w:t>
      </w:r>
      <w:r w:rsidR="00C64050">
        <w:t xml:space="preserve"> </w:t>
      </w:r>
      <w:r w:rsidRPr="001479F1">
        <w:t>the</w:t>
      </w:r>
      <w:r w:rsidR="00C64050">
        <w:t xml:space="preserve"> </w:t>
      </w:r>
      <w:r w:rsidRPr="001479F1">
        <w:t>location</w:t>
      </w:r>
      <w:r w:rsidR="00C64050">
        <w:t xml:space="preserve"> </w:t>
      </w:r>
      <w:r w:rsidRPr="001479F1">
        <w:t>of</w:t>
      </w:r>
      <w:r w:rsidR="00C64050">
        <w:t xml:space="preserve"> </w:t>
      </w:r>
      <w:r w:rsidRPr="001479F1">
        <w:t>the</w:t>
      </w:r>
      <w:r w:rsidR="00C64050">
        <w:t xml:space="preserve"> </w:t>
      </w:r>
      <w:r w:rsidRPr="001479F1">
        <w:t>building</w:t>
      </w:r>
      <w:r w:rsidR="00C64050">
        <w:t xml:space="preserve"> </w:t>
      </w:r>
      <w:r w:rsidRPr="001479F1">
        <w:t>areas,</w:t>
      </w:r>
      <w:r w:rsidR="00C64050">
        <w:t xml:space="preserve"> </w:t>
      </w:r>
      <w:r w:rsidRPr="001479F1">
        <w:t>and</w:t>
      </w:r>
      <w:r w:rsidR="00C64050">
        <w:t xml:space="preserve"> </w:t>
      </w:r>
      <w:r w:rsidRPr="001479F1">
        <w:t>the</w:t>
      </w:r>
      <w:r w:rsidR="00C64050">
        <w:t xml:space="preserve"> </w:t>
      </w:r>
      <w:r w:rsidRPr="001479F1">
        <w:t>2005</w:t>
      </w:r>
      <w:r w:rsidR="00C64050">
        <w:t xml:space="preserve"> </w:t>
      </w:r>
      <w:r w:rsidRPr="001479F1">
        <w:t>easement</w:t>
      </w:r>
      <w:r w:rsidR="00C64050">
        <w:t xml:space="preserve"> </w:t>
      </w:r>
      <w:r w:rsidRPr="001479F1">
        <w:t>permitted</w:t>
      </w:r>
      <w:r w:rsidR="00C64050">
        <w:t xml:space="preserve"> </w:t>
      </w:r>
      <w:r w:rsidR="00112FF7">
        <w:t>the</w:t>
      </w:r>
      <w:r w:rsidR="00C64050">
        <w:t xml:space="preserve"> </w:t>
      </w:r>
      <w:r w:rsidR="0065686B">
        <w:t>taxpayer</w:t>
      </w:r>
      <w:r w:rsidR="00556571">
        <w:t>,</w:t>
      </w:r>
      <w:r w:rsidR="00C64050">
        <w:t xml:space="preserve"> </w:t>
      </w:r>
      <w:r w:rsidRPr="001479F1">
        <w:t>with</w:t>
      </w:r>
      <w:r w:rsidR="00C64050">
        <w:t xml:space="preserve"> </w:t>
      </w:r>
      <w:r w:rsidRPr="001479F1">
        <w:t>the</w:t>
      </w:r>
      <w:r w:rsidR="00C64050">
        <w:t xml:space="preserve"> </w:t>
      </w:r>
      <w:r w:rsidRPr="001479F1">
        <w:t>consent</w:t>
      </w:r>
      <w:r w:rsidR="00C64050">
        <w:t xml:space="preserve"> </w:t>
      </w:r>
      <w:r w:rsidR="00112FF7">
        <w:t>of</w:t>
      </w:r>
      <w:r w:rsidR="00C64050">
        <w:t xml:space="preserve"> </w:t>
      </w:r>
      <w:r w:rsidR="00112FF7">
        <w:t>the</w:t>
      </w:r>
      <w:r w:rsidR="00C64050">
        <w:t xml:space="preserve"> </w:t>
      </w:r>
      <w:r w:rsidR="00112FF7">
        <w:t>land</w:t>
      </w:r>
      <w:r w:rsidR="00C64050">
        <w:t xml:space="preserve"> </w:t>
      </w:r>
      <w:r w:rsidR="00112FF7">
        <w:t>trust,</w:t>
      </w:r>
      <w:r w:rsidR="00C64050">
        <w:t xml:space="preserve"> </w:t>
      </w:r>
      <w:r w:rsidRPr="001479F1">
        <w:t>to</w:t>
      </w:r>
      <w:r w:rsidR="00C64050">
        <w:t xml:space="preserve"> </w:t>
      </w:r>
      <w:r w:rsidRPr="001479F1">
        <w:t>move</w:t>
      </w:r>
      <w:r w:rsidR="00C64050">
        <w:t xml:space="preserve"> </w:t>
      </w:r>
      <w:r w:rsidRPr="001479F1">
        <w:t>the</w:t>
      </w:r>
      <w:r w:rsidR="00C64050">
        <w:t xml:space="preserve"> </w:t>
      </w:r>
      <w:r w:rsidRPr="001479F1">
        <w:t>building</w:t>
      </w:r>
      <w:r w:rsidR="00C64050">
        <w:t xml:space="preserve"> </w:t>
      </w:r>
      <w:r w:rsidRPr="001479F1">
        <w:t>areas</w:t>
      </w:r>
      <w:r w:rsidR="00C64050">
        <w:t xml:space="preserve"> </w:t>
      </w:r>
      <w:r w:rsidRPr="001479F1">
        <w:t>from</w:t>
      </w:r>
      <w:r w:rsidR="00C64050">
        <w:t xml:space="preserve"> </w:t>
      </w:r>
      <w:r w:rsidRPr="001479F1">
        <w:t>their</w:t>
      </w:r>
      <w:r w:rsidR="00C64050">
        <w:t xml:space="preserve"> </w:t>
      </w:r>
      <w:r w:rsidRPr="001479F1">
        <w:t>initially</w:t>
      </w:r>
      <w:r w:rsidR="00C64050">
        <w:t xml:space="preserve"> </w:t>
      </w:r>
      <w:r w:rsidRPr="001479F1">
        <w:t>designated</w:t>
      </w:r>
      <w:r w:rsidR="00C64050">
        <w:t xml:space="preserve"> </w:t>
      </w:r>
      <w:r w:rsidRPr="001479F1">
        <w:t>locations</w:t>
      </w:r>
      <w:r w:rsidR="00C64050">
        <w:t xml:space="preserve"> </w:t>
      </w:r>
      <w:r w:rsidRPr="001479F1">
        <w:t>to</w:t>
      </w:r>
      <w:r w:rsidR="00C64050">
        <w:t xml:space="preserve"> </w:t>
      </w:r>
      <w:r w:rsidRPr="001479F1">
        <w:t>any</w:t>
      </w:r>
      <w:r w:rsidR="00C64050">
        <w:t xml:space="preserve"> </w:t>
      </w:r>
      <w:r w:rsidRPr="001479F1">
        <w:t>other</w:t>
      </w:r>
      <w:r w:rsidR="00C64050">
        <w:t xml:space="preserve"> </w:t>
      </w:r>
      <w:r w:rsidRPr="001479F1">
        <w:t>location</w:t>
      </w:r>
      <w:r w:rsidR="00C64050">
        <w:t xml:space="preserve"> </w:t>
      </w:r>
      <w:r w:rsidRPr="001479F1">
        <w:t>within</w:t>
      </w:r>
      <w:r w:rsidR="00C64050">
        <w:t xml:space="preserve"> </w:t>
      </w:r>
      <w:r w:rsidRPr="001479F1">
        <w:t>the</w:t>
      </w:r>
      <w:r w:rsidR="00C64050">
        <w:t xml:space="preserve"> </w:t>
      </w:r>
      <w:r w:rsidRPr="001479F1">
        <w:t>conservation</w:t>
      </w:r>
      <w:r w:rsidR="00C64050">
        <w:t xml:space="preserve"> </w:t>
      </w:r>
      <w:r w:rsidRPr="001479F1">
        <w:t>area.</w:t>
      </w:r>
      <w:r w:rsidR="00C64050">
        <w:t xml:space="preserve"> </w:t>
      </w:r>
    </w:p>
    <w:p w:rsidR="00112FF7" w:rsidRDefault="00112FF7" w:rsidP="00112FF7">
      <w:pPr>
        <w:pStyle w:val="Body15"/>
        <w:spacing w:before="240"/>
        <w:rPr>
          <w:lang w:eastAsia="en-GB"/>
        </w:rPr>
      </w:pPr>
      <w:r w:rsidRPr="00112FF7">
        <w:rPr>
          <w:lang w:eastAsia="en-GB"/>
        </w:rPr>
        <w:t>The</w:t>
      </w:r>
      <w:r w:rsidR="00C64050">
        <w:rPr>
          <w:lang w:eastAsia="en-GB"/>
        </w:rPr>
        <w:t xml:space="preserve"> </w:t>
      </w:r>
      <w:r w:rsidRPr="00112FF7">
        <w:rPr>
          <w:lang w:eastAsia="en-GB"/>
        </w:rPr>
        <w:t>opinion</w:t>
      </w:r>
      <w:r w:rsidR="00C64050">
        <w:rPr>
          <w:lang w:eastAsia="en-GB"/>
        </w:rPr>
        <w:t xml:space="preserve"> </w:t>
      </w:r>
      <w:r w:rsidRPr="00112FF7">
        <w:rPr>
          <w:lang w:eastAsia="en-GB"/>
        </w:rPr>
        <w:t>states:</w:t>
      </w:r>
    </w:p>
    <w:p w:rsidR="00556571" w:rsidRPr="00D10E60" w:rsidRDefault="00556571" w:rsidP="00D10E60">
      <w:pPr>
        <w:pStyle w:val="QS10"/>
        <w:rPr>
          <w:color w:val="000000" w:themeColor="text1"/>
        </w:rPr>
      </w:pPr>
      <w:r w:rsidRPr="00D10E60">
        <w:rPr>
          <w:color w:val="000000" w:themeColor="text1"/>
        </w:rPr>
        <w:t>We</w:t>
      </w:r>
      <w:r w:rsidR="00C64050">
        <w:rPr>
          <w:color w:val="000000" w:themeColor="text1"/>
        </w:rPr>
        <w:t xml:space="preserve"> </w:t>
      </w:r>
      <w:r w:rsidRPr="00D10E60">
        <w:rPr>
          <w:color w:val="000000" w:themeColor="text1"/>
        </w:rPr>
        <w:t>begin</w:t>
      </w:r>
      <w:r w:rsidR="00C64050">
        <w:rPr>
          <w:color w:val="000000" w:themeColor="text1"/>
        </w:rPr>
        <w:t xml:space="preserve"> </w:t>
      </w:r>
      <w:r w:rsidRPr="00D10E60">
        <w:rPr>
          <w:color w:val="000000" w:themeColor="text1"/>
        </w:rPr>
        <w:t>with</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2006</w:t>
      </w:r>
      <w:r w:rsidR="00C64050">
        <w:rPr>
          <w:color w:val="000000" w:themeColor="text1"/>
        </w:rPr>
        <w:t xml:space="preserve"> </w:t>
      </w:r>
      <w:r w:rsidRPr="00D10E60">
        <w:rPr>
          <w:color w:val="000000" w:themeColor="text1"/>
        </w:rPr>
        <w:t>easement</w:t>
      </w:r>
      <w:r w:rsidR="00C64050">
        <w:rPr>
          <w:color w:val="000000" w:themeColor="text1"/>
        </w:rPr>
        <w:t xml:space="preserve"> </w:t>
      </w:r>
      <w:r w:rsidRPr="00D10E60">
        <w:rPr>
          <w:color w:val="000000" w:themeColor="text1"/>
        </w:rPr>
        <w:t>because</w:t>
      </w:r>
      <w:r w:rsidR="00C64050">
        <w:rPr>
          <w:color w:val="000000" w:themeColor="text1"/>
        </w:rPr>
        <w:t xml:space="preserve"> </w:t>
      </w:r>
      <w:r w:rsidRPr="00D10E60">
        <w:rPr>
          <w:color w:val="000000" w:themeColor="text1"/>
        </w:rPr>
        <w:t>it</w:t>
      </w:r>
      <w:r w:rsidR="00C64050">
        <w:rPr>
          <w:color w:val="000000" w:themeColor="text1"/>
        </w:rPr>
        <w:t xml:space="preserve"> </w:t>
      </w:r>
      <w:r w:rsidRPr="00D10E60">
        <w:rPr>
          <w:color w:val="000000" w:themeColor="text1"/>
        </w:rPr>
        <w:t>presents</w:t>
      </w:r>
      <w:r w:rsidR="00C64050">
        <w:rPr>
          <w:color w:val="000000" w:themeColor="text1"/>
        </w:rPr>
        <w:t xml:space="preserve"> </w:t>
      </w:r>
      <w:r w:rsidRPr="00D10E60">
        <w:rPr>
          <w:color w:val="000000" w:themeColor="text1"/>
        </w:rPr>
        <w:t>a</w:t>
      </w:r>
      <w:r w:rsidR="00C64050">
        <w:rPr>
          <w:color w:val="000000" w:themeColor="text1"/>
        </w:rPr>
        <w:t xml:space="preserve"> </w:t>
      </w:r>
      <w:r w:rsidRPr="00D10E60">
        <w:rPr>
          <w:color w:val="000000" w:themeColor="text1"/>
        </w:rPr>
        <w:t>somewhat</w:t>
      </w:r>
      <w:r w:rsidR="00C64050">
        <w:rPr>
          <w:color w:val="000000" w:themeColor="text1"/>
        </w:rPr>
        <w:t xml:space="preserve"> </w:t>
      </w:r>
      <w:r w:rsidRPr="00D10E60">
        <w:rPr>
          <w:color w:val="000000" w:themeColor="text1"/>
        </w:rPr>
        <w:t>novel</w:t>
      </w:r>
      <w:r w:rsidR="00C64050">
        <w:rPr>
          <w:color w:val="000000" w:themeColor="text1"/>
        </w:rPr>
        <w:t xml:space="preserve"> </w:t>
      </w:r>
      <w:r w:rsidRPr="00D10E60">
        <w:rPr>
          <w:color w:val="000000" w:themeColor="text1"/>
        </w:rPr>
        <w:t>pattern.</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2006</w:t>
      </w:r>
      <w:r w:rsidR="00C64050">
        <w:rPr>
          <w:color w:val="000000" w:themeColor="text1"/>
        </w:rPr>
        <w:t xml:space="preserve"> </w:t>
      </w:r>
      <w:r w:rsidRPr="00D10E60">
        <w:rPr>
          <w:color w:val="000000" w:themeColor="text1"/>
        </w:rPr>
        <w:t>easement</w:t>
      </w:r>
      <w:r w:rsidR="00C64050">
        <w:rPr>
          <w:color w:val="000000" w:themeColor="text1"/>
        </w:rPr>
        <w:t xml:space="preserve"> </w:t>
      </w:r>
      <w:r w:rsidRPr="00D10E60">
        <w:rPr>
          <w:color w:val="000000" w:themeColor="text1"/>
        </w:rPr>
        <w:t>permits</w:t>
      </w:r>
      <w:r w:rsidR="00C64050">
        <w:rPr>
          <w:color w:val="000000" w:themeColor="text1"/>
        </w:rPr>
        <w:t xml:space="preserve"> </w:t>
      </w:r>
      <w:r w:rsidRPr="00D10E60">
        <w:rPr>
          <w:color w:val="000000" w:themeColor="text1"/>
        </w:rPr>
        <w:t>Pine</w:t>
      </w:r>
      <w:r w:rsidR="00C64050">
        <w:rPr>
          <w:color w:val="000000" w:themeColor="text1"/>
        </w:rPr>
        <w:t xml:space="preserve"> </w:t>
      </w:r>
      <w:r w:rsidRPr="00D10E60">
        <w:rPr>
          <w:color w:val="000000" w:themeColor="text1"/>
        </w:rPr>
        <w:t>Mountain</w:t>
      </w:r>
      <w:r w:rsidR="00C64050">
        <w:rPr>
          <w:color w:val="000000" w:themeColor="text1"/>
        </w:rPr>
        <w:t xml:space="preserve"> </w:t>
      </w:r>
      <w:r w:rsidRPr="00D10E60">
        <w:rPr>
          <w:color w:val="000000" w:themeColor="text1"/>
        </w:rPr>
        <w:t>to</w:t>
      </w:r>
      <w:r w:rsidR="00C64050">
        <w:rPr>
          <w:color w:val="000000" w:themeColor="text1"/>
        </w:rPr>
        <w:t xml:space="preserve"> </w:t>
      </w:r>
      <w:r w:rsidRPr="00D10E60">
        <w:rPr>
          <w:color w:val="000000" w:themeColor="text1"/>
        </w:rPr>
        <w:t>establish</w:t>
      </w:r>
      <w:r w:rsidR="00C64050">
        <w:rPr>
          <w:color w:val="000000" w:themeColor="text1"/>
        </w:rPr>
        <w:t xml:space="preserve"> </w:t>
      </w:r>
      <w:r w:rsidRPr="00D10E60">
        <w:rPr>
          <w:color w:val="000000" w:themeColor="text1"/>
        </w:rPr>
        <w:t>within</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2006</w:t>
      </w:r>
      <w:r w:rsidR="00C64050">
        <w:rPr>
          <w:color w:val="000000" w:themeColor="text1"/>
        </w:rPr>
        <w:t xml:space="preserve"> </w:t>
      </w:r>
      <w:r w:rsidRPr="00D10E60">
        <w:rPr>
          <w:color w:val="000000" w:themeColor="text1"/>
        </w:rPr>
        <w:t>Conservation</w:t>
      </w:r>
      <w:r w:rsidR="00C64050">
        <w:rPr>
          <w:color w:val="000000" w:themeColor="text1"/>
        </w:rPr>
        <w:t xml:space="preserve"> </w:t>
      </w:r>
      <w:r w:rsidRPr="00D10E60">
        <w:rPr>
          <w:color w:val="000000" w:themeColor="text1"/>
        </w:rPr>
        <w:t>Area</w:t>
      </w:r>
      <w:r w:rsidR="00C64050">
        <w:rPr>
          <w:color w:val="000000" w:themeColor="text1"/>
        </w:rPr>
        <w:t xml:space="preserve"> </w:t>
      </w:r>
      <w:r w:rsidRPr="00D10E60">
        <w:rPr>
          <w:color w:val="000000" w:themeColor="text1"/>
        </w:rPr>
        <w:t>six</w:t>
      </w:r>
      <w:r w:rsidR="00C64050">
        <w:rPr>
          <w:color w:val="000000" w:themeColor="text1"/>
        </w:rPr>
        <w:t xml:space="preserve"> </w:t>
      </w:r>
      <w:r w:rsidRPr="00D10E60">
        <w:rPr>
          <w:color w:val="000000" w:themeColor="text1"/>
        </w:rPr>
        <w:t>Building</w:t>
      </w:r>
      <w:r w:rsidR="00C64050">
        <w:rPr>
          <w:color w:val="000000" w:themeColor="text1"/>
        </w:rPr>
        <w:t xml:space="preserve"> </w:t>
      </w:r>
      <w:r w:rsidRPr="00D10E60">
        <w:rPr>
          <w:color w:val="000000" w:themeColor="text1"/>
        </w:rPr>
        <w:t>Areas,</w:t>
      </w:r>
      <w:r w:rsidR="00C64050">
        <w:rPr>
          <w:color w:val="000000" w:themeColor="text1"/>
        </w:rPr>
        <w:t xml:space="preserve"> </w:t>
      </w:r>
      <w:r w:rsidRPr="00D10E60">
        <w:rPr>
          <w:color w:val="000000" w:themeColor="text1"/>
        </w:rPr>
        <w:t>each</w:t>
      </w:r>
      <w:r w:rsidR="00C64050">
        <w:rPr>
          <w:color w:val="000000" w:themeColor="text1"/>
        </w:rPr>
        <w:t xml:space="preserve"> </w:t>
      </w:r>
      <w:r w:rsidRPr="00D10E60">
        <w:rPr>
          <w:color w:val="000000" w:themeColor="text1"/>
        </w:rPr>
        <w:t>as</w:t>
      </w:r>
      <w:r w:rsidR="00C64050">
        <w:rPr>
          <w:color w:val="000000" w:themeColor="text1"/>
        </w:rPr>
        <w:t xml:space="preserve"> </w:t>
      </w:r>
      <w:r w:rsidRPr="00D10E60">
        <w:rPr>
          <w:color w:val="000000" w:themeColor="text1"/>
        </w:rPr>
        <w:t>large</w:t>
      </w:r>
      <w:r w:rsidR="00C64050">
        <w:rPr>
          <w:color w:val="000000" w:themeColor="text1"/>
        </w:rPr>
        <w:t xml:space="preserve"> </w:t>
      </w:r>
      <w:r w:rsidRPr="00D10E60">
        <w:rPr>
          <w:color w:val="000000" w:themeColor="text1"/>
        </w:rPr>
        <w:t>as</w:t>
      </w:r>
      <w:r w:rsidR="00C64050">
        <w:rPr>
          <w:color w:val="000000" w:themeColor="text1"/>
        </w:rPr>
        <w:t xml:space="preserve"> </w:t>
      </w:r>
      <w:r w:rsidRPr="00D10E60">
        <w:rPr>
          <w:color w:val="000000" w:themeColor="text1"/>
        </w:rPr>
        <w:t>one</w:t>
      </w:r>
      <w:r w:rsidR="00C64050">
        <w:rPr>
          <w:color w:val="000000" w:themeColor="text1"/>
        </w:rPr>
        <w:t xml:space="preserve"> </w:t>
      </w:r>
      <w:r w:rsidRPr="00D10E60">
        <w:rPr>
          <w:color w:val="000000" w:themeColor="text1"/>
        </w:rPr>
        <w:t>acre.</w:t>
      </w:r>
      <w:r w:rsidR="00C64050">
        <w:rPr>
          <w:color w:val="000000" w:themeColor="text1"/>
        </w:rPr>
        <w:t xml:space="preserve"> </w:t>
      </w:r>
      <w:r w:rsidRPr="00D10E60">
        <w:rPr>
          <w:color w:val="000000" w:themeColor="text1"/>
        </w:rPr>
        <w:t>Each</w:t>
      </w:r>
      <w:r w:rsidR="00C64050">
        <w:rPr>
          <w:color w:val="000000" w:themeColor="text1"/>
        </w:rPr>
        <w:t xml:space="preserve"> </w:t>
      </w:r>
      <w:r w:rsidRPr="00D10E60">
        <w:rPr>
          <w:color w:val="000000" w:themeColor="text1"/>
        </w:rPr>
        <w:t>Building</w:t>
      </w:r>
      <w:r w:rsidR="00C64050">
        <w:rPr>
          <w:color w:val="000000" w:themeColor="text1"/>
        </w:rPr>
        <w:t xml:space="preserve"> </w:t>
      </w:r>
      <w:r w:rsidRPr="00D10E60">
        <w:rPr>
          <w:color w:val="000000" w:themeColor="text1"/>
        </w:rPr>
        <w:t>Area</w:t>
      </w:r>
      <w:r w:rsidR="00C64050">
        <w:rPr>
          <w:color w:val="000000" w:themeColor="text1"/>
        </w:rPr>
        <w:t xml:space="preserve"> </w:t>
      </w:r>
      <w:r w:rsidRPr="00D10E60">
        <w:rPr>
          <w:color w:val="000000" w:themeColor="text1"/>
        </w:rPr>
        <w:t>may</w:t>
      </w:r>
      <w:r w:rsidR="00C64050">
        <w:rPr>
          <w:color w:val="000000" w:themeColor="text1"/>
        </w:rPr>
        <w:t xml:space="preserve"> </w:t>
      </w:r>
      <w:r w:rsidRPr="00D10E60">
        <w:rPr>
          <w:color w:val="000000" w:themeColor="text1"/>
        </w:rPr>
        <w:t>include</w:t>
      </w:r>
      <w:r w:rsidR="00C64050">
        <w:rPr>
          <w:color w:val="000000" w:themeColor="text1"/>
        </w:rPr>
        <w:t xml:space="preserve"> </w:t>
      </w:r>
      <w:r w:rsidRPr="00D10E60">
        <w:rPr>
          <w:color w:val="000000" w:themeColor="text1"/>
        </w:rPr>
        <w:t>a</w:t>
      </w:r>
      <w:r w:rsidR="00C64050">
        <w:rPr>
          <w:color w:val="000000" w:themeColor="text1"/>
        </w:rPr>
        <w:t xml:space="preserve"> </w:t>
      </w:r>
      <w:r w:rsidRPr="00D10E60">
        <w:rPr>
          <w:color w:val="000000" w:themeColor="text1"/>
        </w:rPr>
        <w:t>single-family</w:t>
      </w:r>
      <w:r w:rsidR="00C64050">
        <w:rPr>
          <w:color w:val="000000" w:themeColor="text1"/>
        </w:rPr>
        <w:t xml:space="preserve"> </w:t>
      </w:r>
      <w:r w:rsidRPr="00D10E60">
        <w:rPr>
          <w:color w:val="000000" w:themeColor="text1"/>
        </w:rPr>
        <w:t>dwelling</w:t>
      </w:r>
      <w:r w:rsidR="00C64050">
        <w:rPr>
          <w:color w:val="000000" w:themeColor="text1"/>
        </w:rPr>
        <w:t xml:space="preserve"> </w:t>
      </w:r>
      <w:r w:rsidRPr="00D10E60">
        <w:rPr>
          <w:color w:val="000000" w:themeColor="text1"/>
        </w:rPr>
        <w:t>plus</w:t>
      </w:r>
      <w:r w:rsidR="00C64050">
        <w:rPr>
          <w:color w:val="000000" w:themeColor="text1"/>
        </w:rPr>
        <w:t xml:space="preserve"> </w:t>
      </w:r>
      <w:r w:rsidRPr="00D10E60">
        <w:rPr>
          <w:color w:val="000000" w:themeColor="text1"/>
        </w:rPr>
        <w:t>“a</w:t>
      </w:r>
      <w:r w:rsidR="00C64050">
        <w:rPr>
          <w:color w:val="000000" w:themeColor="text1"/>
        </w:rPr>
        <w:t xml:space="preserve"> </w:t>
      </w:r>
      <w:r w:rsidRPr="00D10E60">
        <w:rPr>
          <w:color w:val="000000" w:themeColor="text1"/>
        </w:rPr>
        <w:t>shed,</w:t>
      </w:r>
      <w:r w:rsidR="00C64050">
        <w:rPr>
          <w:color w:val="000000" w:themeColor="text1"/>
        </w:rPr>
        <w:t xml:space="preserve"> </w:t>
      </w:r>
      <w:r w:rsidRPr="00D10E60">
        <w:rPr>
          <w:color w:val="000000" w:themeColor="text1"/>
        </w:rPr>
        <w:t>garage,</w:t>
      </w:r>
      <w:r w:rsidR="00C64050">
        <w:rPr>
          <w:color w:val="000000" w:themeColor="text1"/>
        </w:rPr>
        <w:t xml:space="preserve"> </w:t>
      </w:r>
      <w:r w:rsidRPr="00D10E60">
        <w:rPr>
          <w:color w:val="000000" w:themeColor="text1"/>
        </w:rPr>
        <w:t>gazebo,</w:t>
      </w:r>
      <w:r w:rsidR="00C64050">
        <w:rPr>
          <w:color w:val="000000" w:themeColor="text1"/>
        </w:rPr>
        <w:t xml:space="preserve"> </w:t>
      </w:r>
      <w:r w:rsidRPr="00D10E60">
        <w:rPr>
          <w:color w:val="000000" w:themeColor="text1"/>
        </w:rPr>
        <w:t>and</w:t>
      </w:r>
      <w:r w:rsidR="00C64050">
        <w:rPr>
          <w:color w:val="000000" w:themeColor="text1"/>
        </w:rPr>
        <w:t xml:space="preserve"> </w:t>
      </w:r>
      <w:r w:rsidRPr="00D10E60">
        <w:rPr>
          <w:color w:val="000000" w:themeColor="text1"/>
        </w:rPr>
        <w:t>pool,”</w:t>
      </w:r>
      <w:r w:rsidR="00C64050">
        <w:rPr>
          <w:color w:val="000000" w:themeColor="text1"/>
        </w:rPr>
        <w:t xml:space="preserve"> </w:t>
      </w:r>
      <w:r w:rsidRPr="00D10E60">
        <w:rPr>
          <w:color w:val="000000" w:themeColor="text1"/>
        </w:rPr>
        <w:t>and</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owner</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each</w:t>
      </w:r>
      <w:r w:rsidR="00C64050">
        <w:rPr>
          <w:color w:val="000000" w:themeColor="text1"/>
        </w:rPr>
        <w:t xml:space="preserve"> </w:t>
      </w:r>
      <w:r w:rsidRPr="00D10E60">
        <w:rPr>
          <w:color w:val="000000" w:themeColor="text1"/>
        </w:rPr>
        <w:t>Building</w:t>
      </w:r>
      <w:r w:rsidR="00C64050">
        <w:rPr>
          <w:color w:val="000000" w:themeColor="text1"/>
        </w:rPr>
        <w:t xml:space="preserve"> </w:t>
      </w:r>
      <w:r w:rsidRPr="00D10E60">
        <w:rPr>
          <w:color w:val="000000" w:themeColor="text1"/>
        </w:rPr>
        <w:t>Area</w:t>
      </w:r>
      <w:r w:rsidR="00C64050">
        <w:rPr>
          <w:color w:val="000000" w:themeColor="text1"/>
        </w:rPr>
        <w:t xml:space="preserve"> </w:t>
      </w:r>
      <w:r w:rsidRPr="00D10E60">
        <w:rPr>
          <w:color w:val="000000" w:themeColor="text1"/>
        </w:rPr>
        <w:t>may</w:t>
      </w:r>
      <w:r w:rsidR="00C64050">
        <w:rPr>
          <w:color w:val="000000" w:themeColor="text1"/>
        </w:rPr>
        <w:t xml:space="preserve"> </w:t>
      </w:r>
      <w:r w:rsidRPr="00D10E60">
        <w:rPr>
          <w:color w:val="000000" w:themeColor="text1"/>
        </w:rPr>
        <w:t>construct</w:t>
      </w:r>
      <w:r w:rsidR="00C64050">
        <w:rPr>
          <w:color w:val="000000" w:themeColor="text1"/>
        </w:rPr>
        <w:t xml:space="preserve"> </w:t>
      </w:r>
      <w:r w:rsidRPr="00D10E60">
        <w:rPr>
          <w:color w:val="000000" w:themeColor="text1"/>
        </w:rPr>
        <w:t>a</w:t>
      </w:r>
      <w:r w:rsidR="00C64050">
        <w:rPr>
          <w:color w:val="000000" w:themeColor="text1"/>
        </w:rPr>
        <w:t xml:space="preserve"> </w:t>
      </w:r>
      <w:r w:rsidRPr="00D10E60">
        <w:rPr>
          <w:color w:val="000000" w:themeColor="text1"/>
        </w:rPr>
        <w:t>5,000-square-foot</w:t>
      </w:r>
      <w:r w:rsidR="00C64050">
        <w:rPr>
          <w:color w:val="000000" w:themeColor="text1"/>
        </w:rPr>
        <w:t xml:space="preserve"> </w:t>
      </w:r>
      <w:r w:rsidRPr="00D10E60">
        <w:rPr>
          <w:color w:val="000000" w:themeColor="text1"/>
        </w:rPr>
        <w:t>barn</w:t>
      </w:r>
      <w:r w:rsidR="00C64050">
        <w:rPr>
          <w:color w:val="000000" w:themeColor="text1"/>
        </w:rPr>
        <w:t xml:space="preserve"> </w:t>
      </w:r>
      <w:r w:rsidRPr="00D10E60">
        <w:rPr>
          <w:color w:val="000000" w:themeColor="text1"/>
        </w:rPr>
        <w:t>within</w:t>
      </w:r>
      <w:r w:rsidR="00C64050">
        <w:rPr>
          <w:color w:val="000000" w:themeColor="text1"/>
        </w:rPr>
        <w:t xml:space="preserve"> </w:t>
      </w:r>
      <w:r w:rsidRPr="00D10E60">
        <w:rPr>
          <w:color w:val="000000" w:themeColor="text1"/>
        </w:rPr>
        <w:t>1,000</w:t>
      </w:r>
      <w:r w:rsidR="00C64050">
        <w:rPr>
          <w:color w:val="000000" w:themeColor="text1"/>
        </w:rPr>
        <w:t xml:space="preserve"> </w:t>
      </w:r>
      <w:r w:rsidRPr="00D10E60">
        <w:rPr>
          <w:color w:val="000000" w:themeColor="text1"/>
        </w:rPr>
        <w:t>feet</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its</w:t>
      </w:r>
      <w:r w:rsidR="00C64050">
        <w:rPr>
          <w:color w:val="000000" w:themeColor="text1"/>
        </w:rPr>
        <w:t xml:space="preserve"> </w:t>
      </w:r>
      <w:r w:rsidRPr="00D10E60">
        <w:rPr>
          <w:color w:val="000000" w:themeColor="text1"/>
        </w:rPr>
        <w:t>perimeter.</w:t>
      </w:r>
      <w:r w:rsidR="00C64050">
        <w:rPr>
          <w:color w:val="000000" w:themeColor="text1"/>
        </w:rPr>
        <w:t xml:space="preserve"> </w:t>
      </w:r>
      <w:r w:rsidRPr="00D10E60">
        <w:rPr>
          <w:color w:val="000000" w:themeColor="text1"/>
        </w:rPr>
        <w:t>However,</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2006</w:t>
      </w:r>
      <w:r w:rsidR="00C64050">
        <w:rPr>
          <w:color w:val="000000" w:themeColor="text1"/>
        </w:rPr>
        <w:t xml:space="preserve"> </w:t>
      </w:r>
      <w:r w:rsidRPr="00D10E60">
        <w:rPr>
          <w:color w:val="000000" w:themeColor="text1"/>
        </w:rPr>
        <w:t>easement</w:t>
      </w:r>
      <w:r w:rsidR="00C64050">
        <w:rPr>
          <w:color w:val="000000" w:themeColor="text1"/>
        </w:rPr>
        <w:t xml:space="preserve"> </w:t>
      </w:r>
      <w:r w:rsidRPr="00D10E60">
        <w:rPr>
          <w:color w:val="000000" w:themeColor="text1"/>
        </w:rPr>
        <w:t>does</w:t>
      </w:r>
      <w:r w:rsidR="00C64050">
        <w:rPr>
          <w:color w:val="000000" w:themeColor="text1"/>
        </w:rPr>
        <w:t xml:space="preserve"> </w:t>
      </w:r>
      <w:r w:rsidRPr="00D10E60">
        <w:rPr>
          <w:color w:val="000000" w:themeColor="text1"/>
        </w:rPr>
        <w:t>not</w:t>
      </w:r>
      <w:r w:rsidR="00C64050">
        <w:rPr>
          <w:color w:val="000000" w:themeColor="text1"/>
        </w:rPr>
        <w:t xml:space="preserve"> </w:t>
      </w:r>
      <w:r w:rsidRPr="00D10E60">
        <w:rPr>
          <w:color w:val="000000" w:themeColor="text1"/>
        </w:rPr>
        <w:t>specify,</w:t>
      </w:r>
      <w:r w:rsidR="00C64050">
        <w:rPr>
          <w:color w:val="000000" w:themeColor="text1"/>
        </w:rPr>
        <w:t xml:space="preserve"> </w:t>
      </w:r>
      <w:r w:rsidRPr="00D10E60">
        <w:rPr>
          <w:color w:val="000000" w:themeColor="text1"/>
        </w:rPr>
        <w:t>either</w:t>
      </w:r>
      <w:r w:rsidR="00C64050">
        <w:rPr>
          <w:color w:val="000000" w:themeColor="text1"/>
        </w:rPr>
        <w:t xml:space="preserve"> </w:t>
      </w:r>
      <w:r w:rsidRPr="00D10E60">
        <w:rPr>
          <w:color w:val="000000" w:themeColor="text1"/>
        </w:rPr>
        <w:t>in</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deed</w:t>
      </w:r>
      <w:r w:rsidR="00C64050">
        <w:rPr>
          <w:color w:val="000000" w:themeColor="text1"/>
        </w:rPr>
        <w:t xml:space="preserve"> </w:t>
      </w:r>
      <w:r w:rsidRPr="00D10E60">
        <w:rPr>
          <w:color w:val="000000" w:themeColor="text1"/>
        </w:rPr>
        <w:t>itself</w:t>
      </w:r>
      <w:r w:rsidR="00C64050">
        <w:rPr>
          <w:color w:val="000000" w:themeColor="text1"/>
        </w:rPr>
        <w:t xml:space="preserve"> </w:t>
      </w:r>
      <w:r w:rsidRPr="00D10E60">
        <w:rPr>
          <w:color w:val="000000" w:themeColor="text1"/>
        </w:rPr>
        <w:t>or</w:t>
      </w:r>
      <w:r w:rsidR="00C64050">
        <w:rPr>
          <w:color w:val="000000" w:themeColor="text1"/>
        </w:rPr>
        <w:t xml:space="preserve"> </w:t>
      </w:r>
      <w:r w:rsidRPr="00D10E60">
        <w:rPr>
          <w:color w:val="000000" w:themeColor="text1"/>
        </w:rPr>
        <w:t>in</w:t>
      </w:r>
      <w:r w:rsidR="00C64050">
        <w:rPr>
          <w:color w:val="000000" w:themeColor="text1"/>
        </w:rPr>
        <w:t xml:space="preserve"> </w:t>
      </w:r>
      <w:r w:rsidRPr="00D10E60">
        <w:rPr>
          <w:color w:val="000000" w:themeColor="text1"/>
        </w:rPr>
        <w:t>an</w:t>
      </w:r>
      <w:r w:rsidR="00C64050">
        <w:rPr>
          <w:color w:val="000000" w:themeColor="text1"/>
        </w:rPr>
        <w:t xml:space="preserve"> </w:t>
      </w:r>
      <w:r w:rsidRPr="00D10E60">
        <w:rPr>
          <w:color w:val="000000" w:themeColor="text1"/>
        </w:rPr>
        <w:t>attached</w:t>
      </w:r>
      <w:r w:rsidR="00C64050">
        <w:rPr>
          <w:color w:val="000000" w:themeColor="text1"/>
        </w:rPr>
        <w:t xml:space="preserve"> </w:t>
      </w:r>
      <w:r w:rsidRPr="00D10E60">
        <w:rPr>
          <w:color w:val="000000" w:themeColor="text1"/>
        </w:rPr>
        <w:t>plat,</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locations</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six</w:t>
      </w:r>
      <w:r w:rsidR="00C64050">
        <w:rPr>
          <w:color w:val="000000" w:themeColor="text1"/>
        </w:rPr>
        <w:t xml:space="preserve"> </w:t>
      </w:r>
      <w:r w:rsidRPr="00D10E60">
        <w:rPr>
          <w:color w:val="000000" w:themeColor="text1"/>
        </w:rPr>
        <w:t>Building</w:t>
      </w:r>
      <w:r w:rsidR="00C64050">
        <w:rPr>
          <w:color w:val="000000" w:themeColor="text1"/>
        </w:rPr>
        <w:t xml:space="preserve"> </w:t>
      </w:r>
      <w:r w:rsidRPr="00D10E60">
        <w:rPr>
          <w:color w:val="000000" w:themeColor="text1"/>
        </w:rPr>
        <w:t>Areas.</w:t>
      </w:r>
      <w:r w:rsidR="00C64050">
        <w:rPr>
          <w:color w:val="000000" w:themeColor="text1"/>
        </w:rPr>
        <w:t xml:space="preserve"> </w:t>
      </w:r>
      <w:r w:rsidRPr="00D10E60">
        <w:rPr>
          <w:color w:val="000000" w:themeColor="text1"/>
        </w:rPr>
        <w:t>And</w:t>
      </w:r>
      <w:r w:rsidR="00C64050">
        <w:rPr>
          <w:color w:val="000000" w:themeColor="text1"/>
        </w:rPr>
        <w:t xml:space="preserve"> </w:t>
      </w:r>
      <w:r w:rsidRPr="00D10E60">
        <w:rPr>
          <w:color w:val="000000" w:themeColor="text1"/>
        </w:rPr>
        <w:t>it</w:t>
      </w:r>
      <w:r w:rsidR="00C64050">
        <w:rPr>
          <w:color w:val="000000" w:themeColor="text1"/>
        </w:rPr>
        <w:t xml:space="preserve"> </w:t>
      </w:r>
      <w:r w:rsidRPr="00D10E60">
        <w:rPr>
          <w:color w:val="000000" w:themeColor="text1"/>
        </w:rPr>
        <w:t>places</w:t>
      </w:r>
      <w:r w:rsidR="00C64050">
        <w:rPr>
          <w:color w:val="000000" w:themeColor="text1"/>
        </w:rPr>
        <w:t xml:space="preserve"> </w:t>
      </w:r>
      <w:r w:rsidRPr="00D10E60">
        <w:rPr>
          <w:color w:val="000000" w:themeColor="text1"/>
        </w:rPr>
        <w:t>no</w:t>
      </w:r>
      <w:r w:rsidR="00C64050">
        <w:rPr>
          <w:color w:val="000000" w:themeColor="text1"/>
        </w:rPr>
        <w:t xml:space="preserve"> </w:t>
      </w:r>
      <w:r w:rsidRPr="00D10E60">
        <w:rPr>
          <w:color w:val="000000" w:themeColor="text1"/>
        </w:rPr>
        <w:t>limitations</w:t>
      </w:r>
      <w:r w:rsidR="00C64050">
        <w:rPr>
          <w:color w:val="000000" w:themeColor="text1"/>
        </w:rPr>
        <w:t xml:space="preserve"> </w:t>
      </w:r>
      <w:r w:rsidRPr="00D10E60">
        <w:rPr>
          <w:color w:val="000000" w:themeColor="text1"/>
        </w:rPr>
        <w:t>on</w:t>
      </w:r>
      <w:r w:rsidR="00C64050">
        <w:rPr>
          <w:color w:val="000000" w:themeColor="text1"/>
        </w:rPr>
        <w:t xml:space="preserve"> </w:t>
      </w:r>
      <w:r w:rsidRPr="00D10E60">
        <w:rPr>
          <w:color w:val="000000" w:themeColor="text1"/>
        </w:rPr>
        <w:t>where</w:t>
      </w:r>
      <w:r w:rsidR="00C64050">
        <w:rPr>
          <w:color w:val="000000" w:themeColor="text1"/>
        </w:rPr>
        <w:t xml:space="preserve"> </w:t>
      </w:r>
      <w:r w:rsidRPr="00D10E60">
        <w:rPr>
          <w:color w:val="000000" w:themeColor="text1"/>
        </w:rPr>
        <w:t>within</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2006</w:t>
      </w:r>
      <w:r w:rsidR="00C64050">
        <w:rPr>
          <w:color w:val="000000" w:themeColor="text1"/>
        </w:rPr>
        <w:t xml:space="preserve"> </w:t>
      </w:r>
      <w:r w:rsidRPr="00D10E60">
        <w:rPr>
          <w:color w:val="000000" w:themeColor="text1"/>
        </w:rPr>
        <w:t>Conservation</w:t>
      </w:r>
      <w:r w:rsidR="00C64050">
        <w:rPr>
          <w:color w:val="000000" w:themeColor="text1"/>
        </w:rPr>
        <w:t xml:space="preserve"> </w:t>
      </w:r>
      <w:r w:rsidRPr="00D10E60">
        <w:rPr>
          <w:color w:val="000000" w:themeColor="text1"/>
        </w:rPr>
        <w:t>Area</w:t>
      </w:r>
      <w:r w:rsidR="00C64050">
        <w:rPr>
          <w:color w:val="000000" w:themeColor="text1"/>
        </w:rPr>
        <w:t xml:space="preserve"> </w:t>
      </w:r>
      <w:r w:rsidRPr="00D10E60">
        <w:rPr>
          <w:color w:val="000000" w:themeColor="text1"/>
        </w:rPr>
        <w:t>such</w:t>
      </w:r>
      <w:r w:rsidR="00C64050">
        <w:rPr>
          <w:color w:val="000000" w:themeColor="text1"/>
        </w:rPr>
        <w:t xml:space="preserve"> </w:t>
      </w:r>
      <w:r w:rsidRPr="00D10E60">
        <w:rPr>
          <w:color w:val="000000" w:themeColor="text1"/>
        </w:rPr>
        <w:t>Building</w:t>
      </w:r>
      <w:r w:rsidR="00C64050">
        <w:rPr>
          <w:color w:val="000000" w:themeColor="text1"/>
        </w:rPr>
        <w:t xml:space="preserve"> </w:t>
      </w:r>
      <w:r w:rsidRPr="00D10E60">
        <w:rPr>
          <w:color w:val="000000" w:themeColor="text1"/>
        </w:rPr>
        <w:t>Areas</w:t>
      </w:r>
      <w:r w:rsidR="00C64050">
        <w:rPr>
          <w:color w:val="000000" w:themeColor="text1"/>
        </w:rPr>
        <w:t xml:space="preserve"> </w:t>
      </w:r>
      <w:r w:rsidRPr="00D10E60">
        <w:rPr>
          <w:color w:val="000000" w:themeColor="text1"/>
        </w:rPr>
        <w:t>may</w:t>
      </w:r>
      <w:r w:rsidR="00C64050">
        <w:rPr>
          <w:color w:val="000000" w:themeColor="text1"/>
        </w:rPr>
        <w:t xml:space="preserve"> </w:t>
      </w:r>
      <w:r w:rsidRPr="00D10E60">
        <w:rPr>
          <w:color w:val="000000" w:themeColor="text1"/>
        </w:rPr>
        <w:t>be</w:t>
      </w:r>
      <w:r w:rsidR="00C64050">
        <w:rPr>
          <w:color w:val="000000" w:themeColor="text1"/>
        </w:rPr>
        <w:t xml:space="preserve"> </w:t>
      </w:r>
      <w:r w:rsidRPr="00D10E60">
        <w:rPr>
          <w:color w:val="000000" w:themeColor="text1"/>
        </w:rPr>
        <w:t>located,</w:t>
      </w:r>
      <w:r w:rsidR="00C64050">
        <w:rPr>
          <w:color w:val="000000" w:themeColor="text1"/>
        </w:rPr>
        <w:t xml:space="preserve"> </w:t>
      </w:r>
      <w:r w:rsidRPr="00D10E60">
        <w:rPr>
          <w:color w:val="000000" w:themeColor="text1"/>
        </w:rPr>
        <w:t>except</w:t>
      </w:r>
      <w:r w:rsidR="00C64050">
        <w:rPr>
          <w:color w:val="000000" w:themeColor="text1"/>
        </w:rPr>
        <w:t xml:space="preserve"> </w:t>
      </w:r>
      <w:r w:rsidRPr="00D10E60">
        <w:rPr>
          <w:color w:val="000000" w:themeColor="text1"/>
        </w:rPr>
        <w:t>to</w:t>
      </w:r>
      <w:r w:rsidR="00C64050">
        <w:rPr>
          <w:color w:val="000000" w:themeColor="text1"/>
        </w:rPr>
        <w:t xml:space="preserve"> </w:t>
      </w:r>
      <w:r w:rsidRPr="00D10E60">
        <w:rPr>
          <w:color w:val="000000" w:themeColor="text1"/>
        </w:rPr>
        <w:t>say</w:t>
      </w:r>
      <w:r w:rsidR="00C64050">
        <w:rPr>
          <w:color w:val="000000" w:themeColor="text1"/>
        </w:rPr>
        <w:t xml:space="preserve"> </w:t>
      </w:r>
      <w:r w:rsidRPr="00D10E60">
        <w:rPr>
          <w:color w:val="000000" w:themeColor="text1"/>
        </w:rPr>
        <w:t>that</w:t>
      </w:r>
      <w:r w:rsidR="00C64050">
        <w:rPr>
          <w:color w:val="000000" w:themeColor="text1"/>
        </w:rPr>
        <w:t xml:space="preserve"> </w:t>
      </w:r>
      <w:r w:rsidRPr="00D10E60">
        <w:rPr>
          <w:color w:val="000000" w:themeColor="text1"/>
        </w:rPr>
        <w:t>these</w:t>
      </w:r>
      <w:r w:rsidR="00C64050">
        <w:rPr>
          <w:color w:val="000000" w:themeColor="text1"/>
        </w:rPr>
        <w:t xml:space="preserve"> </w:t>
      </w:r>
      <w:r w:rsidRPr="00D10E60">
        <w:rPr>
          <w:color w:val="000000" w:themeColor="text1"/>
        </w:rPr>
        <w:t>locations</w:t>
      </w:r>
      <w:r w:rsidR="00C64050">
        <w:rPr>
          <w:color w:val="000000" w:themeColor="text1"/>
        </w:rPr>
        <w:t xml:space="preserve"> </w:t>
      </w:r>
      <w:r w:rsidRPr="00D10E60">
        <w:rPr>
          <w:color w:val="000000" w:themeColor="text1"/>
        </w:rPr>
        <w:t>must</w:t>
      </w:r>
      <w:r w:rsidR="00C64050">
        <w:rPr>
          <w:color w:val="000000" w:themeColor="text1"/>
        </w:rPr>
        <w:t xml:space="preserve"> </w:t>
      </w:r>
      <w:r w:rsidRPr="00D10E60">
        <w:rPr>
          <w:color w:val="000000" w:themeColor="text1"/>
        </w:rPr>
        <w:t>be</w:t>
      </w:r>
      <w:r w:rsidR="00C64050">
        <w:rPr>
          <w:color w:val="000000" w:themeColor="text1"/>
        </w:rPr>
        <w:t xml:space="preserve"> </w:t>
      </w:r>
      <w:r w:rsidRPr="00D10E60">
        <w:rPr>
          <w:color w:val="000000" w:themeColor="text1"/>
        </w:rPr>
        <w:t>“approved</w:t>
      </w:r>
      <w:r w:rsidR="00C64050">
        <w:rPr>
          <w:color w:val="000000" w:themeColor="text1"/>
        </w:rPr>
        <w:t xml:space="preserve"> </w:t>
      </w:r>
      <w:r w:rsidRPr="00D10E60">
        <w:rPr>
          <w:color w:val="000000" w:themeColor="text1"/>
        </w:rPr>
        <w:t>in</w:t>
      </w:r>
      <w:r w:rsidR="00C64050">
        <w:rPr>
          <w:color w:val="000000" w:themeColor="text1"/>
        </w:rPr>
        <w:t xml:space="preserve"> </w:t>
      </w:r>
      <w:r w:rsidRPr="00D10E60">
        <w:rPr>
          <w:color w:val="000000" w:themeColor="text1"/>
        </w:rPr>
        <w:t>advance”</w:t>
      </w:r>
      <w:r w:rsidR="00C64050">
        <w:rPr>
          <w:color w:val="000000" w:themeColor="text1"/>
        </w:rPr>
        <w:t xml:space="preserve"> </w:t>
      </w:r>
      <w:r w:rsidRPr="00D10E60">
        <w:rPr>
          <w:color w:val="000000" w:themeColor="text1"/>
        </w:rPr>
        <w:t>by</w:t>
      </w:r>
      <w:r w:rsidR="00C64050">
        <w:rPr>
          <w:color w:val="000000" w:themeColor="text1"/>
        </w:rPr>
        <w:t xml:space="preserve"> </w:t>
      </w:r>
      <w:r w:rsidRPr="00D10E60">
        <w:rPr>
          <w:color w:val="000000" w:themeColor="text1"/>
        </w:rPr>
        <w:t>NALT.</w:t>
      </w:r>
    </w:p>
    <w:p w:rsidR="00556571" w:rsidRPr="00D10E60" w:rsidRDefault="00556571" w:rsidP="00D10E60">
      <w:pPr>
        <w:pStyle w:val="QS10"/>
        <w:rPr>
          <w:color w:val="000000" w:themeColor="text1"/>
        </w:rPr>
      </w:pPr>
      <w:r w:rsidRPr="00D10E60">
        <w:rPr>
          <w:color w:val="000000" w:themeColor="text1"/>
        </w:rPr>
        <w:t>It</w:t>
      </w:r>
      <w:r w:rsidR="00C64050">
        <w:rPr>
          <w:color w:val="000000" w:themeColor="text1"/>
        </w:rPr>
        <w:t xml:space="preserve"> </w:t>
      </w:r>
      <w:r w:rsidRPr="00D10E60">
        <w:rPr>
          <w:color w:val="000000" w:themeColor="text1"/>
        </w:rPr>
        <w:t>seems</w:t>
      </w:r>
      <w:r w:rsidR="00C64050">
        <w:rPr>
          <w:color w:val="000000" w:themeColor="text1"/>
        </w:rPr>
        <w:t xml:space="preserve"> </w:t>
      </w:r>
      <w:r w:rsidRPr="00D10E60">
        <w:rPr>
          <w:color w:val="000000" w:themeColor="text1"/>
        </w:rPr>
        <w:t>clear</w:t>
      </w:r>
      <w:r w:rsidR="00C64050">
        <w:rPr>
          <w:color w:val="000000" w:themeColor="text1"/>
        </w:rPr>
        <w:t xml:space="preserve"> </w:t>
      </w:r>
      <w:r w:rsidRPr="00D10E60">
        <w:rPr>
          <w:color w:val="000000" w:themeColor="text1"/>
        </w:rPr>
        <w:t>to</w:t>
      </w:r>
      <w:r w:rsidR="00C64050">
        <w:rPr>
          <w:color w:val="000000" w:themeColor="text1"/>
        </w:rPr>
        <w:t xml:space="preserve"> </w:t>
      </w:r>
      <w:r w:rsidRPr="00D10E60">
        <w:rPr>
          <w:color w:val="000000" w:themeColor="text1"/>
        </w:rPr>
        <w:t>us</w:t>
      </w:r>
      <w:r w:rsidR="00C64050">
        <w:rPr>
          <w:color w:val="000000" w:themeColor="text1"/>
        </w:rPr>
        <w:t xml:space="preserve"> </w:t>
      </w:r>
      <w:r w:rsidRPr="00D10E60">
        <w:rPr>
          <w:color w:val="000000" w:themeColor="text1"/>
        </w:rPr>
        <w:t>that</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2006</w:t>
      </w:r>
      <w:r w:rsidR="00C64050">
        <w:rPr>
          <w:color w:val="000000" w:themeColor="text1"/>
        </w:rPr>
        <w:t xml:space="preserve"> </w:t>
      </w:r>
      <w:r w:rsidRPr="00D10E60">
        <w:rPr>
          <w:color w:val="000000" w:themeColor="text1"/>
        </w:rPr>
        <w:t>easement</w:t>
      </w:r>
      <w:r w:rsidR="00C64050">
        <w:rPr>
          <w:color w:val="000000" w:themeColor="text1"/>
        </w:rPr>
        <w:t xml:space="preserve"> </w:t>
      </w:r>
      <w:r w:rsidRPr="00D10E60">
        <w:rPr>
          <w:color w:val="000000" w:themeColor="text1"/>
        </w:rPr>
        <w:t>does</w:t>
      </w:r>
      <w:r w:rsidR="00C64050">
        <w:rPr>
          <w:color w:val="000000" w:themeColor="text1"/>
        </w:rPr>
        <w:t xml:space="preserve"> </w:t>
      </w:r>
      <w:r w:rsidRPr="00D10E60">
        <w:rPr>
          <w:color w:val="000000" w:themeColor="text1"/>
        </w:rPr>
        <w:t>not</w:t>
      </w:r>
      <w:r w:rsidR="00C64050">
        <w:rPr>
          <w:color w:val="000000" w:themeColor="text1"/>
        </w:rPr>
        <w:t xml:space="preserve"> </w:t>
      </w:r>
      <w:r w:rsidRPr="00D10E60">
        <w:rPr>
          <w:color w:val="000000" w:themeColor="text1"/>
        </w:rPr>
        <w:t>embody</w:t>
      </w:r>
      <w:r w:rsidR="00C64050">
        <w:rPr>
          <w:color w:val="000000" w:themeColor="text1"/>
        </w:rPr>
        <w:t xml:space="preserve"> </w:t>
      </w:r>
      <w:r w:rsidRPr="00D10E60">
        <w:rPr>
          <w:color w:val="000000" w:themeColor="text1"/>
        </w:rPr>
        <w:t>“a</w:t>
      </w:r>
      <w:r w:rsidR="00C64050">
        <w:rPr>
          <w:color w:val="000000" w:themeColor="text1"/>
        </w:rPr>
        <w:t xml:space="preserve"> </w:t>
      </w:r>
      <w:r w:rsidRPr="00D10E60">
        <w:rPr>
          <w:color w:val="000000" w:themeColor="text1"/>
        </w:rPr>
        <w:t>restriction</w:t>
      </w:r>
      <w:r w:rsidR="00C64050">
        <w:rPr>
          <w:color w:val="000000" w:themeColor="text1"/>
        </w:rPr>
        <w:t xml:space="preserve"> </w:t>
      </w:r>
      <w:r w:rsidRPr="00D10E60">
        <w:rPr>
          <w:color w:val="000000" w:themeColor="text1"/>
        </w:rPr>
        <w:t>(granted</w:t>
      </w:r>
      <w:r w:rsidR="00C64050">
        <w:rPr>
          <w:color w:val="000000" w:themeColor="text1"/>
        </w:rPr>
        <w:t xml:space="preserve"> </w:t>
      </w:r>
      <w:r w:rsidRPr="00D10E60">
        <w:rPr>
          <w:color w:val="000000" w:themeColor="text1"/>
        </w:rPr>
        <w:t>in</w:t>
      </w:r>
      <w:r w:rsidR="00C64050">
        <w:rPr>
          <w:color w:val="000000" w:themeColor="text1"/>
        </w:rPr>
        <w:t xml:space="preserve"> </w:t>
      </w:r>
      <w:r w:rsidRPr="00D10E60">
        <w:rPr>
          <w:color w:val="000000" w:themeColor="text1"/>
        </w:rPr>
        <w:t>perpetuity)</w:t>
      </w:r>
      <w:r w:rsidR="00C64050">
        <w:rPr>
          <w:color w:val="000000" w:themeColor="text1"/>
        </w:rPr>
        <w:t xml:space="preserve"> </w:t>
      </w:r>
      <w:r w:rsidRPr="00D10E60">
        <w:rPr>
          <w:color w:val="000000" w:themeColor="text1"/>
        </w:rPr>
        <w:t>on</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use</w:t>
      </w:r>
      <w:r w:rsidR="00C64050">
        <w:rPr>
          <w:color w:val="000000" w:themeColor="text1"/>
        </w:rPr>
        <w:t xml:space="preserve"> </w:t>
      </w:r>
      <w:r w:rsidRPr="00D10E60">
        <w:rPr>
          <w:color w:val="000000" w:themeColor="text1"/>
        </w:rPr>
        <w:t>which</w:t>
      </w:r>
      <w:r w:rsidR="00C64050">
        <w:rPr>
          <w:color w:val="000000" w:themeColor="text1"/>
        </w:rPr>
        <w:t xml:space="preserve"> </w:t>
      </w:r>
      <w:r w:rsidRPr="00D10E60">
        <w:rPr>
          <w:color w:val="000000" w:themeColor="text1"/>
        </w:rPr>
        <w:t>may</w:t>
      </w:r>
      <w:r w:rsidR="00C64050">
        <w:rPr>
          <w:color w:val="000000" w:themeColor="text1"/>
        </w:rPr>
        <w:t xml:space="preserve"> </w:t>
      </w:r>
      <w:r w:rsidRPr="00D10E60">
        <w:rPr>
          <w:color w:val="000000" w:themeColor="text1"/>
        </w:rPr>
        <w:t>be</w:t>
      </w:r>
      <w:r w:rsidR="00C64050">
        <w:rPr>
          <w:color w:val="000000" w:themeColor="text1"/>
        </w:rPr>
        <w:t xml:space="preserve"> </w:t>
      </w:r>
      <w:r w:rsidRPr="00D10E60">
        <w:rPr>
          <w:color w:val="000000" w:themeColor="text1"/>
        </w:rPr>
        <w:t>made</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real</w:t>
      </w:r>
      <w:r w:rsidR="00C64050">
        <w:rPr>
          <w:color w:val="000000" w:themeColor="text1"/>
        </w:rPr>
        <w:t xml:space="preserve"> </w:t>
      </w:r>
      <w:r w:rsidRPr="00D10E60">
        <w:rPr>
          <w:color w:val="000000" w:themeColor="text1"/>
        </w:rPr>
        <w:t>property.”</w:t>
      </w:r>
      <w:r w:rsidR="00C64050">
        <w:rPr>
          <w:color w:val="000000" w:themeColor="text1"/>
        </w:rPr>
        <w:t xml:space="preserve"> </w:t>
      </w:r>
      <w:r w:rsidRPr="00D10E60">
        <w:rPr>
          <w:color w:val="000000" w:themeColor="text1"/>
          <w:u w:val="single"/>
        </w:rPr>
        <w:t>See</w:t>
      </w:r>
      <w:r w:rsidR="00C64050">
        <w:rPr>
          <w:color w:val="000000" w:themeColor="text1"/>
        </w:rPr>
        <w:t xml:space="preserve"> </w:t>
      </w:r>
      <w:hyperlink r:id="rId130" w:anchor="co_pp_9ade0000743c1" w:history="1">
        <w:r w:rsidRPr="00D10E60">
          <w:rPr>
            <w:color w:val="000000" w:themeColor="text1"/>
          </w:rPr>
          <w:t>sec.</w:t>
        </w:r>
        <w:r w:rsidR="00C64050">
          <w:rPr>
            <w:color w:val="000000" w:themeColor="text1"/>
          </w:rPr>
          <w:t xml:space="preserve"> </w:t>
        </w:r>
        <w:r w:rsidRPr="00D10E60">
          <w:rPr>
            <w:color w:val="000000" w:themeColor="text1"/>
          </w:rPr>
          <w:t>170(h)(2)(C)</w:t>
        </w:r>
      </w:hyperlink>
      <w:r w:rsidRPr="00D10E60">
        <w:rPr>
          <w:color w:val="000000" w:themeColor="text1"/>
        </w:rPr>
        <w:t>.</w:t>
      </w:r>
      <w:r w:rsidR="00C64050">
        <w:rPr>
          <w:color w:val="000000" w:themeColor="text1"/>
        </w:rPr>
        <w:t xml:space="preserve"> </w:t>
      </w:r>
      <w:r w:rsidRPr="00D10E60">
        <w:rPr>
          <w:color w:val="000000" w:themeColor="text1"/>
        </w:rPr>
        <w:t>Although</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restriction</w:t>
      </w:r>
      <w:r w:rsidR="00C64050">
        <w:rPr>
          <w:color w:val="000000" w:themeColor="text1"/>
        </w:rPr>
        <w:t xml:space="preserve"> </w:t>
      </w:r>
      <w:r w:rsidRPr="00D10E60">
        <w:rPr>
          <w:color w:val="000000" w:themeColor="text1"/>
        </w:rPr>
        <w:t>placed</w:t>
      </w:r>
      <w:r w:rsidR="00C64050">
        <w:rPr>
          <w:color w:val="000000" w:themeColor="text1"/>
        </w:rPr>
        <w:t xml:space="preserve"> </w:t>
      </w:r>
      <w:r w:rsidRPr="00D10E60">
        <w:rPr>
          <w:color w:val="000000" w:themeColor="text1"/>
        </w:rPr>
        <w:t>by</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easement</w:t>
      </w:r>
      <w:r w:rsidR="00C64050">
        <w:rPr>
          <w:color w:val="000000" w:themeColor="text1"/>
        </w:rPr>
        <w:t xml:space="preserve"> </w:t>
      </w:r>
      <w:r w:rsidRPr="00D10E60">
        <w:rPr>
          <w:color w:val="000000" w:themeColor="text1"/>
        </w:rPr>
        <w:t>is</w:t>
      </w:r>
      <w:r w:rsidR="00C64050">
        <w:rPr>
          <w:color w:val="000000" w:themeColor="text1"/>
        </w:rPr>
        <w:t xml:space="preserve"> </w:t>
      </w:r>
      <w:r w:rsidRPr="00D10E60">
        <w:rPr>
          <w:color w:val="000000" w:themeColor="text1"/>
        </w:rPr>
        <w:t>perpetual,</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restriction</w:t>
      </w:r>
      <w:r w:rsidR="00C64050">
        <w:rPr>
          <w:color w:val="000000" w:themeColor="text1"/>
        </w:rPr>
        <w:t xml:space="preserve"> </w:t>
      </w:r>
      <w:r w:rsidRPr="00D10E60">
        <w:rPr>
          <w:color w:val="000000" w:themeColor="text1"/>
        </w:rPr>
        <w:t>on</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real</w:t>
      </w:r>
      <w:r w:rsidR="00C64050">
        <w:rPr>
          <w:color w:val="000000" w:themeColor="text1"/>
        </w:rPr>
        <w:t xml:space="preserve"> </w:t>
      </w:r>
      <w:r w:rsidRPr="00D10E60">
        <w:rPr>
          <w:color w:val="000000" w:themeColor="text1"/>
        </w:rPr>
        <w:t>property’</w:t>
      </w:r>
      <w:r w:rsidR="00C64050">
        <w:rPr>
          <w:color w:val="000000" w:themeColor="text1"/>
        </w:rPr>
        <w:t xml:space="preserve"> </w:t>
      </w:r>
      <w:r w:rsidRPr="00D10E60">
        <w:rPr>
          <w:color w:val="000000" w:themeColor="text1"/>
        </w:rPr>
        <w:t>is</w:t>
      </w:r>
      <w:r w:rsidR="00C64050">
        <w:rPr>
          <w:color w:val="000000" w:themeColor="text1"/>
        </w:rPr>
        <w:t xml:space="preserve"> </w:t>
      </w:r>
      <w:r w:rsidRPr="00D10E60">
        <w:rPr>
          <w:color w:val="000000" w:themeColor="text1"/>
        </w:rPr>
        <w:t>not.”</w:t>
      </w:r>
      <w:r w:rsidR="00C64050">
        <w:rPr>
          <w:color w:val="000000" w:themeColor="text1"/>
        </w:rPr>
        <w:t xml:space="preserve"> </w:t>
      </w:r>
      <w:hyperlink r:id="rId131" w:anchor="co_pp_sp_506_226" w:history="1">
        <w:r w:rsidRPr="00D10E60">
          <w:rPr>
            <w:color w:val="000000" w:themeColor="text1"/>
            <w:u w:val="single"/>
          </w:rPr>
          <w:t>Belk</w:t>
        </w:r>
        <w:r w:rsidR="00C64050">
          <w:rPr>
            <w:color w:val="000000" w:themeColor="text1"/>
            <w:u w:val="single"/>
          </w:rPr>
          <w:t xml:space="preserve"> </w:t>
        </w:r>
        <w:r w:rsidRPr="00D10E60">
          <w:rPr>
            <w:color w:val="000000" w:themeColor="text1"/>
            <w:u w:val="single"/>
          </w:rPr>
          <w:t>III</w:t>
        </w:r>
        <w:r w:rsidRPr="00D10E60">
          <w:rPr>
            <w:color w:val="000000" w:themeColor="text1"/>
          </w:rPr>
          <w:t>,</w:t>
        </w:r>
        <w:r w:rsidR="00C64050">
          <w:rPr>
            <w:color w:val="000000" w:themeColor="text1"/>
          </w:rPr>
          <w:t xml:space="preserve"> </w:t>
        </w:r>
        <w:r w:rsidRPr="00D10E60">
          <w:rPr>
            <w:color w:val="000000" w:themeColor="text1"/>
          </w:rPr>
          <w:t>774</w:t>
        </w:r>
        <w:r w:rsidR="00C64050">
          <w:rPr>
            <w:color w:val="000000" w:themeColor="text1"/>
          </w:rPr>
          <w:t xml:space="preserve"> </w:t>
        </w:r>
        <w:r w:rsidRPr="00D10E60">
          <w:rPr>
            <w:color w:val="000000" w:themeColor="text1"/>
          </w:rPr>
          <w:t>F.3d</w:t>
        </w:r>
        <w:r w:rsidR="00C64050">
          <w:rPr>
            <w:color w:val="000000" w:themeColor="text1"/>
          </w:rPr>
          <w:t xml:space="preserve"> </w:t>
        </w:r>
        <w:r w:rsidRPr="00D10E60">
          <w:rPr>
            <w:color w:val="000000" w:themeColor="text1"/>
          </w:rPr>
          <w:t>at</w:t>
        </w:r>
        <w:r w:rsidR="00C64050">
          <w:rPr>
            <w:color w:val="000000" w:themeColor="text1"/>
          </w:rPr>
          <w:t xml:space="preserve"> </w:t>
        </w:r>
        <w:r w:rsidRPr="00D10E60">
          <w:rPr>
            <w:color w:val="000000" w:themeColor="text1"/>
          </w:rPr>
          <w:t>226</w:t>
        </w:r>
      </w:hyperlink>
      <w:r w:rsidR="00C64050">
        <w:rPr>
          <w:color w:val="000000" w:themeColor="text1"/>
        </w:rPr>
        <w:t xml:space="preserve"> </w:t>
      </w:r>
      <w:r w:rsidRPr="00D10E60">
        <w:rPr>
          <w:color w:val="000000" w:themeColor="text1"/>
        </w:rPr>
        <w:t>(quoting</w:t>
      </w:r>
      <w:r w:rsidR="00C64050">
        <w:rPr>
          <w:color w:val="000000" w:themeColor="text1"/>
        </w:rPr>
        <w:t xml:space="preserve"> </w:t>
      </w:r>
      <w:hyperlink r:id="rId132" w:anchor="co_pp_9ade0000743c1" w:history="1">
        <w:r w:rsidRPr="00D10E60">
          <w:rPr>
            <w:color w:val="000000" w:themeColor="text1"/>
          </w:rPr>
          <w:t>section</w:t>
        </w:r>
        <w:r w:rsidR="00C64050">
          <w:rPr>
            <w:color w:val="000000" w:themeColor="text1"/>
          </w:rPr>
          <w:t xml:space="preserve"> </w:t>
        </w:r>
        <w:r w:rsidRPr="00D10E60">
          <w:rPr>
            <w:color w:val="000000" w:themeColor="text1"/>
          </w:rPr>
          <w:t>170(h)(2)(C)</w:t>
        </w:r>
      </w:hyperlink>
      <w:r w:rsidR="00C64050">
        <w:rPr>
          <w:color w:val="000000" w:themeColor="text1"/>
        </w:rPr>
        <w:t xml:space="preserve"> </w:t>
      </w:r>
      <w:r w:rsidRPr="00D10E60">
        <w:rPr>
          <w:color w:val="000000" w:themeColor="text1"/>
        </w:rPr>
        <w:t>).</w:t>
      </w:r>
      <w:r w:rsidR="00C64050">
        <w:rPr>
          <w:color w:val="000000" w:themeColor="text1"/>
        </w:rPr>
        <w:t xml:space="preserve"> </w:t>
      </w:r>
      <w:r w:rsidRPr="00D10E60">
        <w:rPr>
          <w:color w:val="000000" w:themeColor="text1"/>
        </w:rPr>
        <w:t>Pine</w:t>
      </w:r>
      <w:r w:rsidR="00C64050">
        <w:rPr>
          <w:color w:val="000000" w:themeColor="text1"/>
        </w:rPr>
        <w:t xml:space="preserve"> </w:t>
      </w:r>
      <w:r w:rsidRPr="00D10E60">
        <w:rPr>
          <w:color w:val="000000" w:themeColor="text1"/>
        </w:rPr>
        <w:t>Mountain</w:t>
      </w:r>
      <w:r w:rsidR="00C64050">
        <w:rPr>
          <w:color w:val="000000" w:themeColor="text1"/>
        </w:rPr>
        <w:t xml:space="preserve"> </w:t>
      </w:r>
      <w:r w:rsidRPr="00D10E60">
        <w:rPr>
          <w:color w:val="000000" w:themeColor="text1"/>
        </w:rPr>
        <w:t>remained</w:t>
      </w:r>
      <w:r w:rsidR="00C64050">
        <w:rPr>
          <w:color w:val="000000" w:themeColor="text1"/>
        </w:rPr>
        <w:t xml:space="preserve"> </w:t>
      </w:r>
      <w:r w:rsidRPr="00D10E60">
        <w:rPr>
          <w:color w:val="000000" w:themeColor="text1"/>
        </w:rPr>
        <w:t>free</w:t>
      </w:r>
      <w:r w:rsidR="00C64050">
        <w:rPr>
          <w:color w:val="000000" w:themeColor="text1"/>
        </w:rPr>
        <w:t xml:space="preserve"> </w:t>
      </w:r>
      <w:r w:rsidRPr="00D10E60">
        <w:rPr>
          <w:color w:val="000000" w:themeColor="text1"/>
        </w:rPr>
        <w:t>to</w:t>
      </w:r>
      <w:r w:rsidR="00C64050">
        <w:rPr>
          <w:color w:val="000000" w:themeColor="text1"/>
        </w:rPr>
        <w:t xml:space="preserve"> </w:t>
      </w:r>
      <w:r w:rsidRPr="00D10E60">
        <w:rPr>
          <w:color w:val="000000" w:themeColor="text1"/>
        </w:rPr>
        <w:t>build</w:t>
      </w:r>
      <w:r w:rsidR="00C64050">
        <w:rPr>
          <w:color w:val="000000" w:themeColor="text1"/>
        </w:rPr>
        <w:t xml:space="preserve"> </w:t>
      </w:r>
      <w:r w:rsidRPr="00D10E60">
        <w:rPr>
          <w:color w:val="000000" w:themeColor="text1"/>
        </w:rPr>
        <w:t>a</w:t>
      </w:r>
      <w:r w:rsidR="00C64050">
        <w:rPr>
          <w:color w:val="000000" w:themeColor="text1"/>
        </w:rPr>
        <w:t xml:space="preserve"> </w:t>
      </w:r>
      <w:r w:rsidRPr="00D10E60">
        <w:rPr>
          <w:color w:val="000000" w:themeColor="text1"/>
        </w:rPr>
        <w:t>six-acre</w:t>
      </w:r>
      <w:r w:rsidR="00C64050">
        <w:rPr>
          <w:color w:val="000000" w:themeColor="text1"/>
        </w:rPr>
        <w:t xml:space="preserve"> </w:t>
      </w:r>
      <w:r w:rsidRPr="00D10E60">
        <w:rPr>
          <w:color w:val="000000" w:themeColor="text1"/>
        </w:rPr>
        <w:t>residential</w:t>
      </w:r>
      <w:r w:rsidR="00C64050">
        <w:rPr>
          <w:color w:val="000000" w:themeColor="text1"/>
        </w:rPr>
        <w:t xml:space="preserve"> </w:t>
      </w:r>
      <w:r w:rsidRPr="00D10E60">
        <w:rPr>
          <w:color w:val="000000" w:themeColor="text1"/>
        </w:rPr>
        <w:t>development</w:t>
      </w:r>
      <w:r w:rsidR="00C64050">
        <w:rPr>
          <w:color w:val="000000" w:themeColor="text1"/>
        </w:rPr>
        <w:t xml:space="preserve"> </w:t>
      </w:r>
      <w:r w:rsidRPr="00D10E60">
        <w:rPr>
          <w:color w:val="000000" w:themeColor="text1"/>
        </w:rPr>
        <w:t>within</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2006</w:t>
      </w:r>
      <w:r w:rsidR="00C64050">
        <w:rPr>
          <w:color w:val="000000" w:themeColor="text1"/>
        </w:rPr>
        <w:t xml:space="preserve"> </w:t>
      </w:r>
      <w:r w:rsidRPr="00D10E60">
        <w:rPr>
          <w:color w:val="000000" w:themeColor="text1"/>
        </w:rPr>
        <w:t>Conservation</w:t>
      </w:r>
      <w:r w:rsidR="00C64050">
        <w:rPr>
          <w:color w:val="000000" w:themeColor="text1"/>
        </w:rPr>
        <w:t xml:space="preserve"> </w:t>
      </w:r>
      <w:r w:rsidRPr="00D10E60">
        <w:rPr>
          <w:color w:val="000000" w:themeColor="text1"/>
        </w:rPr>
        <w:t>Area,</w:t>
      </w:r>
      <w:r w:rsidR="00C64050">
        <w:rPr>
          <w:color w:val="000000" w:themeColor="text1"/>
        </w:rPr>
        <w:t xml:space="preserve"> </w:t>
      </w:r>
      <w:r w:rsidRPr="00D10E60">
        <w:rPr>
          <w:color w:val="000000" w:themeColor="text1"/>
        </w:rPr>
        <w:t>thus</w:t>
      </w:r>
      <w:r w:rsidR="00C64050">
        <w:rPr>
          <w:color w:val="000000" w:themeColor="text1"/>
        </w:rPr>
        <w:t xml:space="preserve"> </w:t>
      </w:r>
      <w:r w:rsidRPr="00D10E60">
        <w:rPr>
          <w:color w:val="000000" w:themeColor="text1"/>
        </w:rPr>
        <w:t>converting</w:t>
      </w:r>
      <w:r w:rsidR="00C64050">
        <w:rPr>
          <w:color w:val="000000" w:themeColor="text1"/>
        </w:rPr>
        <w:t xml:space="preserve"> </w:t>
      </w:r>
      <w:r w:rsidRPr="00D10E60">
        <w:rPr>
          <w:color w:val="000000" w:themeColor="text1"/>
        </w:rPr>
        <w:t>to</w:t>
      </w:r>
      <w:r w:rsidR="00C64050">
        <w:rPr>
          <w:color w:val="000000" w:themeColor="text1"/>
        </w:rPr>
        <w:t xml:space="preserve"> </w:t>
      </w:r>
      <w:r w:rsidRPr="00D10E60">
        <w:rPr>
          <w:color w:val="000000" w:themeColor="text1"/>
        </w:rPr>
        <w:t>commercial</w:t>
      </w:r>
      <w:r w:rsidR="00C64050">
        <w:rPr>
          <w:color w:val="000000" w:themeColor="text1"/>
        </w:rPr>
        <w:t xml:space="preserve"> </w:t>
      </w:r>
      <w:r w:rsidRPr="00D10E60">
        <w:rPr>
          <w:color w:val="000000" w:themeColor="text1"/>
        </w:rPr>
        <w:t>use</w:t>
      </w:r>
      <w:r w:rsidR="00C64050">
        <w:rPr>
          <w:color w:val="000000" w:themeColor="text1"/>
        </w:rPr>
        <w:t xml:space="preserve"> </w:t>
      </w:r>
      <w:r w:rsidRPr="00D10E60">
        <w:rPr>
          <w:color w:val="000000" w:themeColor="text1"/>
        </w:rPr>
        <w:t>land</w:t>
      </w:r>
      <w:r w:rsidR="00C64050">
        <w:rPr>
          <w:color w:val="000000" w:themeColor="text1"/>
        </w:rPr>
        <w:t xml:space="preserve"> </w:t>
      </w:r>
      <w:r w:rsidRPr="00D10E60">
        <w:rPr>
          <w:color w:val="000000" w:themeColor="text1"/>
        </w:rPr>
        <w:t>that</w:t>
      </w:r>
      <w:r w:rsidR="00C64050">
        <w:rPr>
          <w:color w:val="000000" w:themeColor="text1"/>
        </w:rPr>
        <w:t xml:space="preserve"> </w:t>
      </w:r>
      <w:r w:rsidRPr="00D10E60">
        <w:rPr>
          <w:color w:val="000000" w:themeColor="text1"/>
        </w:rPr>
        <w:t>was</w:t>
      </w:r>
      <w:r w:rsidR="00C64050">
        <w:rPr>
          <w:color w:val="000000" w:themeColor="text1"/>
        </w:rPr>
        <w:t xml:space="preserve"> </w:t>
      </w:r>
      <w:r w:rsidRPr="00D10E60">
        <w:rPr>
          <w:color w:val="000000" w:themeColor="text1"/>
        </w:rPr>
        <w:t>supposed</w:t>
      </w:r>
      <w:r w:rsidR="00C64050">
        <w:rPr>
          <w:color w:val="000000" w:themeColor="text1"/>
        </w:rPr>
        <w:t xml:space="preserve"> </w:t>
      </w:r>
      <w:r w:rsidRPr="00D10E60">
        <w:rPr>
          <w:color w:val="000000" w:themeColor="text1"/>
        </w:rPr>
        <w:t>to</w:t>
      </w:r>
      <w:r w:rsidR="00C64050">
        <w:rPr>
          <w:color w:val="000000" w:themeColor="text1"/>
        </w:rPr>
        <w:t xml:space="preserve"> </w:t>
      </w:r>
      <w:r w:rsidRPr="00D10E60">
        <w:rPr>
          <w:color w:val="000000" w:themeColor="text1"/>
        </w:rPr>
        <w:t>be</w:t>
      </w:r>
      <w:r w:rsidR="00C64050">
        <w:rPr>
          <w:color w:val="000000" w:themeColor="text1"/>
        </w:rPr>
        <w:t xml:space="preserve"> </w:t>
      </w:r>
      <w:r w:rsidRPr="00D10E60">
        <w:rPr>
          <w:color w:val="000000" w:themeColor="text1"/>
        </w:rPr>
        <w:t>protected</w:t>
      </w:r>
      <w:r w:rsidR="00C64050">
        <w:rPr>
          <w:color w:val="000000" w:themeColor="text1"/>
        </w:rPr>
        <w:t xml:space="preserve"> </w:t>
      </w:r>
      <w:r w:rsidRPr="00D10E60">
        <w:rPr>
          <w:color w:val="000000" w:themeColor="text1"/>
        </w:rPr>
        <w:t>in</w:t>
      </w:r>
      <w:r w:rsidR="00C64050">
        <w:rPr>
          <w:color w:val="000000" w:themeColor="text1"/>
        </w:rPr>
        <w:t xml:space="preserve"> </w:t>
      </w:r>
      <w:r w:rsidRPr="00D10E60">
        <w:rPr>
          <w:color w:val="000000" w:themeColor="text1"/>
        </w:rPr>
        <w:t>perpetuity</w:t>
      </w:r>
      <w:r w:rsidR="00C64050">
        <w:rPr>
          <w:color w:val="000000" w:themeColor="text1"/>
        </w:rPr>
        <w:t xml:space="preserve"> </w:t>
      </w:r>
      <w:r w:rsidRPr="00D10E60">
        <w:rPr>
          <w:color w:val="000000" w:themeColor="text1"/>
        </w:rPr>
        <w:t>from</w:t>
      </w:r>
      <w:r w:rsidR="00C64050">
        <w:rPr>
          <w:color w:val="000000" w:themeColor="text1"/>
        </w:rPr>
        <w:t xml:space="preserve"> </w:t>
      </w:r>
      <w:r w:rsidRPr="00D10E60">
        <w:rPr>
          <w:color w:val="000000" w:themeColor="text1"/>
        </w:rPr>
        <w:t>development.</w:t>
      </w:r>
      <w:r w:rsidR="00C64050">
        <w:rPr>
          <w:color w:val="000000" w:themeColor="text1"/>
        </w:rPr>
        <w:t xml:space="preserve"> </w:t>
      </w:r>
      <w:r w:rsidRPr="00D10E60">
        <w:rPr>
          <w:color w:val="000000" w:themeColor="text1"/>
        </w:rPr>
        <w:t>Indeed,</w:t>
      </w:r>
      <w:r w:rsidR="00C64050">
        <w:rPr>
          <w:color w:val="000000" w:themeColor="text1"/>
        </w:rPr>
        <w:t xml:space="preserve"> </w:t>
      </w:r>
      <w:r w:rsidRPr="00D10E60">
        <w:rPr>
          <w:color w:val="000000" w:themeColor="text1"/>
        </w:rPr>
        <w:t>it</w:t>
      </w:r>
      <w:r w:rsidR="00C64050">
        <w:rPr>
          <w:color w:val="000000" w:themeColor="text1"/>
        </w:rPr>
        <w:t xml:space="preserve"> </w:t>
      </w:r>
      <w:r w:rsidRPr="00D10E60">
        <w:rPr>
          <w:color w:val="000000" w:themeColor="text1"/>
        </w:rPr>
        <w:t>was</w:t>
      </w:r>
      <w:r w:rsidR="00C64050">
        <w:rPr>
          <w:color w:val="000000" w:themeColor="text1"/>
        </w:rPr>
        <w:t xml:space="preserve"> </w:t>
      </w:r>
      <w:r w:rsidRPr="00D10E60">
        <w:rPr>
          <w:color w:val="000000" w:themeColor="text1"/>
        </w:rPr>
        <w:t>impossible</w:t>
      </w:r>
      <w:r w:rsidR="00C64050">
        <w:rPr>
          <w:color w:val="000000" w:themeColor="text1"/>
        </w:rPr>
        <w:t xml:space="preserve"> </w:t>
      </w:r>
      <w:r w:rsidRPr="00D10E60">
        <w:rPr>
          <w:color w:val="000000" w:themeColor="text1"/>
        </w:rPr>
        <w:t>to</w:t>
      </w:r>
      <w:r w:rsidR="00C64050">
        <w:rPr>
          <w:color w:val="000000" w:themeColor="text1"/>
        </w:rPr>
        <w:t xml:space="preserve"> </w:t>
      </w:r>
      <w:r w:rsidRPr="00D10E60">
        <w:rPr>
          <w:color w:val="000000" w:themeColor="text1"/>
        </w:rPr>
        <w:t>define,</w:t>
      </w:r>
      <w:r w:rsidR="00C64050">
        <w:rPr>
          <w:color w:val="000000" w:themeColor="text1"/>
        </w:rPr>
        <w:t xml:space="preserve"> </w:t>
      </w:r>
      <w:r w:rsidRPr="00D10E60">
        <w:rPr>
          <w:color w:val="000000" w:themeColor="text1"/>
        </w:rPr>
        <w:t>when</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2006</w:t>
      </w:r>
      <w:r w:rsidR="00C64050">
        <w:rPr>
          <w:color w:val="000000" w:themeColor="text1"/>
        </w:rPr>
        <w:t xml:space="preserve"> </w:t>
      </w:r>
      <w:r w:rsidRPr="00D10E60">
        <w:rPr>
          <w:color w:val="000000" w:themeColor="text1"/>
        </w:rPr>
        <w:t>easement</w:t>
      </w:r>
      <w:r w:rsidR="00C64050">
        <w:rPr>
          <w:color w:val="000000" w:themeColor="text1"/>
        </w:rPr>
        <w:t xml:space="preserve"> </w:t>
      </w:r>
      <w:r w:rsidRPr="00D10E60">
        <w:rPr>
          <w:color w:val="000000" w:themeColor="text1"/>
        </w:rPr>
        <w:t>was</w:t>
      </w:r>
      <w:r w:rsidR="00C64050">
        <w:rPr>
          <w:color w:val="000000" w:themeColor="text1"/>
        </w:rPr>
        <w:t xml:space="preserve"> </w:t>
      </w:r>
      <w:r w:rsidRPr="00D10E60">
        <w:rPr>
          <w:color w:val="000000" w:themeColor="text1"/>
        </w:rPr>
        <w:t>granted,</w:t>
      </w:r>
      <w:r w:rsidR="00C64050">
        <w:rPr>
          <w:color w:val="000000" w:themeColor="text1"/>
        </w:rPr>
        <w:t xml:space="preserve"> </w:t>
      </w:r>
      <w:r w:rsidRPr="00D10E60">
        <w:rPr>
          <w:color w:val="000000" w:themeColor="text1"/>
        </w:rPr>
        <w:t>what</w:t>
      </w:r>
      <w:r w:rsidR="00C64050">
        <w:rPr>
          <w:color w:val="000000" w:themeColor="text1"/>
        </w:rPr>
        <w:t xml:space="preserve"> </w:t>
      </w:r>
      <w:r w:rsidRPr="00D10E60">
        <w:rPr>
          <w:color w:val="000000" w:themeColor="text1"/>
        </w:rPr>
        <w:t>“real</w:t>
      </w:r>
      <w:r w:rsidR="00C64050">
        <w:rPr>
          <w:color w:val="000000" w:themeColor="text1"/>
        </w:rPr>
        <w:t xml:space="preserve"> </w:t>
      </w:r>
      <w:r w:rsidRPr="00D10E60">
        <w:rPr>
          <w:color w:val="000000" w:themeColor="text1"/>
        </w:rPr>
        <w:t>property”</w:t>
      </w:r>
      <w:r w:rsidR="00C64050">
        <w:rPr>
          <w:color w:val="000000" w:themeColor="text1"/>
        </w:rPr>
        <w:t xml:space="preserve"> </w:t>
      </w:r>
      <w:r w:rsidRPr="00D10E60">
        <w:rPr>
          <w:color w:val="000000" w:themeColor="text1"/>
        </w:rPr>
        <w:t>would</w:t>
      </w:r>
      <w:r w:rsidR="00C64050">
        <w:rPr>
          <w:color w:val="000000" w:themeColor="text1"/>
        </w:rPr>
        <w:t xml:space="preserve"> </w:t>
      </w:r>
      <w:r w:rsidRPr="00D10E60">
        <w:rPr>
          <w:color w:val="000000" w:themeColor="text1"/>
        </w:rPr>
        <w:t>actually</w:t>
      </w:r>
      <w:r w:rsidR="00C64050">
        <w:rPr>
          <w:color w:val="000000" w:themeColor="text1"/>
        </w:rPr>
        <w:t xml:space="preserve"> </w:t>
      </w:r>
      <w:r w:rsidRPr="00D10E60">
        <w:rPr>
          <w:color w:val="000000" w:themeColor="text1"/>
        </w:rPr>
        <w:t>be</w:t>
      </w:r>
      <w:r w:rsidR="00C64050">
        <w:rPr>
          <w:color w:val="000000" w:themeColor="text1"/>
        </w:rPr>
        <w:t xml:space="preserve"> </w:t>
      </w:r>
      <w:r w:rsidRPr="00D10E60">
        <w:rPr>
          <w:color w:val="000000" w:themeColor="text1"/>
        </w:rPr>
        <w:t>restricted</w:t>
      </w:r>
      <w:r w:rsidR="00C64050">
        <w:rPr>
          <w:color w:val="000000" w:themeColor="text1"/>
        </w:rPr>
        <w:t xml:space="preserve"> </w:t>
      </w:r>
      <w:r w:rsidRPr="00D10E60">
        <w:rPr>
          <w:color w:val="000000" w:themeColor="text1"/>
        </w:rPr>
        <w:t>from</w:t>
      </w:r>
      <w:r w:rsidR="00C64050">
        <w:rPr>
          <w:color w:val="000000" w:themeColor="text1"/>
        </w:rPr>
        <w:t xml:space="preserve"> </w:t>
      </w:r>
      <w:r w:rsidRPr="00D10E60">
        <w:rPr>
          <w:color w:val="000000" w:themeColor="text1"/>
        </w:rPr>
        <w:t>development,</w:t>
      </w:r>
      <w:r w:rsidR="00C64050">
        <w:rPr>
          <w:color w:val="000000" w:themeColor="text1"/>
        </w:rPr>
        <w:t xml:space="preserve"> </w:t>
      </w:r>
      <w:r w:rsidRPr="00D10E60">
        <w:rPr>
          <w:color w:val="000000" w:themeColor="text1"/>
        </w:rPr>
        <w:t>because</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residential</w:t>
      </w:r>
      <w:r w:rsidR="00C64050">
        <w:rPr>
          <w:color w:val="000000" w:themeColor="text1"/>
        </w:rPr>
        <w:t xml:space="preserve"> </w:t>
      </w:r>
      <w:r w:rsidRPr="00D10E60">
        <w:rPr>
          <w:color w:val="000000" w:themeColor="text1"/>
        </w:rPr>
        <w:t>lots</w:t>
      </w:r>
      <w:r w:rsidR="00C64050">
        <w:rPr>
          <w:color w:val="000000" w:themeColor="text1"/>
        </w:rPr>
        <w:t xml:space="preserve"> </w:t>
      </w:r>
      <w:r w:rsidRPr="00D10E60">
        <w:rPr>
          <w:color w:val="000000" w:themeColor="text1"/>
        </w:rPr>
        <w:t>could</w:t>
      </w:r>
      <w:r w:rsidR="00C64050">
        <w:rPr>
          <w:color w:val="000000" w:themeColor="text1"/>
        </w:rPr>
        <w:t xml:space="preserve"> </w:t>
      </w:r>
      <w:r w:rsidRPr="00D10E60">
        <w:rPr>
          <w:color w:val="000000" w:themeColor="text1"/>
        </w:rPr>
        <w:t>literally</w:t>
      </w:r>
      <w:r w:rsidR="00C64050">
        <w:rPr>
          <w:color w:val="000000" w:themeColor="text1"/>
        </w:rPr>
        <w:t xml:space="preserve"> </w:t>
      </w:r>
      <w:r w:rsidRPr="00D10E60">
        <w:rPr>
          <w:color w:val="000000" w:themeColor="text1"/>
        </w:rPr>
        <w:t>be</w:t>
      </w:r>
      <w:r w:rsidR="00C64050">
        <w:rPr>
          <w:color w:val="000000" w:themeColor="text1"/>
        </w:rPr>
        <w:t xml:space="preserve"> </w:t>
      </w:r>
      <w:r w:rsidRPr="00D10E60">
        <w:rPr>
          <w:color w:val="000000" w:themeColor="text1"/>
        </w:rPr>
        <w:t>placed</w:t>
      </w:r>
      <w:r w:rsidR="00C64050">
        <w:rPr>
          <w:color w:val="000000" w:themeColor="text1"/>
        </w:rPr>
        <w:t xml:space="preserve"> </w:t>
      </w:r>
      <w:r w:rsidRPr="00D10E60">
        <w:rPr>
          <w:color w:val="000000" w:themeColor="text1"/>
        </w:rPr>
        <w:t>anywhere</w:t>
      </w:r>
      <w:r w:rsidR="00C64050">
        <w:rPr>
          <w:color w:val="000000" w:themeColor="text1"/>
        </w:rPr>
        <w:t xml:space="preserve"> </w:t>
      </w:r>
      <w:r w:rsidRPr="00D10E60">
        <w:rPr>
          <w:color w:val="000000" w:themeColor="text1"/>
        </w:rPr>
        <w:t>within</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2006</w:t>
      </w:r>
      <w:r w:rsidR="00C64050">
        <w:rPr>
          <w:color w:val="000000" w:themeColor="text1"/>
        </w:rPr>
        <w:t xml:space="preserve"> </w:t>
      </w:r>
      <w:r w:rsidRPr="00D10E60">
        <w:rPr>
          <w:color w:val="000000" w:themeColor="text1"/>
        </w:rPr>
        <w:t>Conservation</w:t>
      </w:r>
      <w:r w:rsidR="00C64050">
        <w:rPr>
          <w:color w:val="000000" w:themeColor="text1"/>
        </w:rPr>
        <w:t xml:space="preserve"> </w:t>
      </w:r>
      <w:r w:rsidRPr="00D10E60">
        <w:rPr>
          <w:color w:val="000000" w:themeColor="text1"/>
        </w:rPr>
        <w:t>Area.</w:t>
      </w:r>
      <w:r w:rsidR="00C64050">
        <w:rPr>
          <w:color w:val="000000" w:themeColor="text1"/>
        </w:rPr>
        <w:t xml:space="preserve"> </w:t>
      </w:r>
      <w:r w:rsidRPr="00D10E60">
        <w:rPr>
          <w:color w:val="000000" w:themeColor="text1"/>
        </w:rPr>
        <w:t>As</w:t>
      </w:r>
      <w:r w:rsidR="00C64050">
        <w:rPr>
          <w:color w:val="000000" w:themeColor="text1"/>
        </w:rPr>
        <w:t xml:space="preserve"> </w:t>
      </w:r>
      <w:r w:rsidRPr="00D10E60">
        <w:rPr>
          <w:color w:val="000000" w:themeColor="text1"/>
        </w:rPr>
        <w:t>a</w:t>
      </w:r>
      <w:r w:rsidR="00C64050">
        <w:rPr>
          <w:color w:val="000000" w:themeColor="text1"/>
        </w:rPr>
        <w:t xml:space="preserve"> </w:t>
      </w:r>
      <w:r w:rsidRPr="00D10E60">
        <w:rPr>
          <w:color w:val="000000" w:themeColor="text1"/>
        </w:rPr>
        <w:t>result,</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perpetual</w:t>
      </w:r>
      <w:r w:rsidR="00C64050">
        <w:rPr>
          <w:color w:val="000000" w:themeColor="text1"/>
        </w:rPr>
        <w:t xml:space="preserve"> </w:t>
      </w:r>
      <w:r w:rsidRPr="00D10E60">
        <w:rPr>
          <w:color w:val="000000" w:themeColor="text1"/>
        </w:rPr>
        <w:t>use</w:t>
      </w:r>
      <w:r w:rsidR="00C64050">
        <w:rPr>
          <w:color w:val="000000" w:themeColor="text1"/>
        </w:rPr>
        <w:t xml:space="preserve"> </w:t>
      </w:r>
      <w:r w:rsidRPr="00D10E60">
        <w:rPr>
          <w:color w:val="000000" w:themeColor="text1"/>
        </w:rPr>
        <w:t>restriction</w:t>
      </w:r>
      <w:r w:rsidR="00C64050">
        <w:rPr>
          <w:color w:val="000000" w:themeColor="text1"/>
        </w:rPr>
        <w:t xml:space="preserve"> </w:t>
      </w:r>
      <w:r w:rsidRPr="00D10E60">
        <w:rPr>
          <w:color w:val="000000" w:themeColor="text1"/>
        </w:rPr>
        <w:t>did</w:t>
      </w:r>
      <w:r w:rsidR="00C64050">
        <w:rPr>
          <w:color w:val="000000" w:themeColor="text1"/>
        </w:rPr>
        <w:t xml:space="preserve"> </w:t>
      </w:r>
      <w:r w:rsidRPr="00D10E60">
        <w:rPr>
          <w:color w:val="000000" w:themeColor="text1"/>
        </w:rPr>
        <w:t>not</w:t>
      </w:r>
      <w:r w:rsidR="00C64050">
        <w:rPr>
          <w:color w:val="000000" w:themeColor="text1"/>
        </w:rPr>
        <w:t xml:space="preserve"> </w:t>
      </w:r>
      <w:r w:rsidRPr="00D10E60">
        <w:rPr>
          <w:color w:val="000000" w:themeColor="text1"/>
        </w:rPr>
        <w:t>attach</w:t>
      </w:r>
      <w:r w:rsidR="00C64050">
        <w:rPr>
          <w:color w:val="000000" w:themeColor="text1"/>
        </w:rPr>
        <w:t xml:space="preserve"> </w:t>
      </w:r>
      <w:r w:rsidRPr="00D10E60">
        <w:rPr>
          <w:color w:val="000000" w:themeColor="text1"/>
        </w:rPr>
        <w:t>at</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outset</w:t>
      </w:r>
      <w:r w:rsidR="00C64050">
        <w:rPr>
          <w:color w:val="000000" w:themeColor="text1"/>
        </w:rPr>
        <w:t xml:space="preserve"> </w:t>
      </w:r>
      <w:r w:rsidRPr="00D10E60">
        <w:rPr>
          <w:color w:val="000000" w:themeColor="text1"/>
        </w:rPr>
        <w:t>“to</w:t>
      </w:r>
      <w:r w:rsidR="00C64050">
        <w:rPr>
          <w:color w:val="000000" w:themeColor="text1"/>
        </w:rPr>
        <w:t xml:space="preserve"> </w:t>
      </w:r>
      <w:r w:rsidRPr="00D10E60">
        <w:rPr>
          <w:color w:val="000000" w:themeColor="text1"/>
        </w:rPr>
        <w:t>a</w:t>
      </w:r>
      <w:r w:rsidR="00C64050">
        <w:rPr>
          <w:color w:val="000000" w:themeColor="text1"/>
        </w:rPr>
        <w:t xml:space="preserve"> </w:t>
      </w:r>
      <w:r w:rsidRPr="00D10E60">
        <w:rPr>
          <w:color w:val="000000" w:themeColor="text1"/>
        </w:rPr>
        <w:t>defined</w:t>
      </w:r>
      <w:r w:rsidR="00C64050">
        <w:rPr>
          <w:color w:val="000000" w:themeColor="text1"/>
        </w:rPr>
        <w:t xml:space="preserve"> </w:t>
      </w:r>
      <w:r w:rsidRPr="00D10E60">
        <w:rPr>
          <w:color w:val="000000" w:themeColor="text1"/>
        </w:rPr>
        <w:t>parcel</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real</w:t>
      </w:r>
      <w:r w:rsidR="00C64050">
        <w:rPr>
          <w:color w:val="000000" w:themeColor="text1"/>
        </w:rPr>
        <w:t xml:space="preserve"> </w:t>
      </w:r>
      <w:r w:rsidRPr="00D10E60">
        <w:rPr>
          <w:color w:val="000000" w:themeColor="text1"/>
        </w:rPr>
        <w:t>property”</w:t>
      </w:r>
      <w:r w:rsidR="00C64050">
        <w:rPr>
          <w:color w:val="000000" w:themeColor="text1"/>
        </w:rPr>
        <w:t xml:space="preserve"> </w:t>
      </w:r>
      <w:r w:rsidRPr="00D10E60">
        <w:rPr>
          <w:color w:val="000000" w:themeColor="text1"/>
        </w:rPr>
        <w:t>or</w:t>
      </w:r>
      <w:r w:rsidR="00C64050">
        <w:rPr>
          <w:color w:val="000000" w:themeColor="text1"/>
        </w:rPr>
        <w:t xml:space="preserve"> </w:t>
      </w:r>
      <w:r w:rsidRPr="00D10E60">
        <w:rPr>
          <w:color w:val="000000" w:themeColor="text1"/>
        </w:rPr>
        <w:t>to</w:t>
      </w:r>
      <w:r w:rsidR="00C64050">
        <w:rPr>
          <w:color w:val="000000" w:themeColor="text1"/>
        </w:rPr>
        <w:t xml:space="preserve"> </w:t>
      </w:r>
      <w:r w:rsidRPr="00D10E60">
        <w:rPr>
          <w:color w:val="000000" w:themeColor="text1"/>
        </w:rPr>
        <w:t>“a</w:t>
      </w:r>
      <w:r w:rsidR="00C64050">
        <w:rPr>
          <w:color w:val="000000" w:themeColor="text1"/>
        </w:rPr>
        <w:t xml:space="preserve"> </w:t>
      </w:r>
      <w:r w:rsidRPr="00D10E60">
        <w:rPr>
          <w:color w:val="000000" w:themeColor="text1"/>
        </w:rPr>
        <w:t>single,</w:t>
      </w:r>
      <w:r w:rsidR="00C64050">
        <w:rPr>
          <w:color w:val="000000" w:themeColor="text1"/>
        </w:rPr>
        <w:t xml:space="preserve"> </w:t>
      </w:r>
      <w:r w:rsidRPr="00D10E60">
        <w:rPr>
          <w:color w:val="000000" w:themeColor="text1"/>
        </w:rPr>
        <w:t>immutable</w:t>
      </w:r>
      <w:r w:rsidR="00C64050">
        <w:rPr>
          <w:color w:val="000000" w:themeColor="text1"/>
        </w:rPr>
        <w:t xml:space="preserve"> </w:t>
      </w:r>
      <w:r w:rsidRPr="00D10E60">
        <w:rPr>
          <w:color w:val="000000" w:themeColor="text1"/>
        </w:rPr>
        <w:t>parcel”</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land.</w:t>
      </w:r>
      <w:r w:rsidR="00C64050">
        <w:rPr>
          <w:color w:val="000000" w:themeColor="text1"/>
        </w:rPr>
        <w:t xml:space="preserve"> </w:t>
      </w:r>
      <w:hyperlink r:id="rId133" w:anchor="co_pp_sp_506_225" w:history="1">
        <w:r w:rsidRPr="00D10E60">
          <w:rPr>
            <w:color w:val="000000" w:themeColor="text1"/>
            <w:u w:val="single"/>
          </w:rPr>
          <w:t>Id.</w:t>
        </w:r>
        <w:r w:rsidR="00C64050">
          <w:rPr>
            <w:color w:val="000000" w:themeColor="text1"/>
          </w:rPr>
          <w:t xml:space="preserve"> </w:t>
        </w:r>
        <w:r w:rsidRPr="00D10E60">
          <w:rPr>
            <w:color w:val="000000" w:themeColor="text1"/>
          </w:rPr>
          <w:t>at</w:t>
        </w:r>
        <w:r w:rsidR="00C64050">
          <w:rPr>
            <w:color w:val="000000" w:themeColor="text1"/>
          </w:rPr>
          <w:t xml:space="preserve"> </w:t>
        </w:r>
        <w:r w:rsidRPr="00D10E60">
          <w:rPr>
            <w:color w:val="000000" w:themeColor="text1"/>
          </w:rPr>
          <w:t>225,</w:t>
        </w:r>
        <w:r w:rsidR="00C64050">
          <w:rPr>
            <w:color w:val="000000" w:themeColor="text1"/>
          </w:rPr>
          <w:t xml:space="preserve"> </w:t>
        </w:r>
        <w:r w:rsidRPr="00D10E60">
          <w:rPr>
            <w:color w:val="000000" w:themeColor="text1"/>
          </w:rPr>
          <w:t>227</w:t>
        </w:r>
      </w:hyperlink>
      <w:r w:rsidRPr="00D10E60">
        <w:rPr>
          <w:color w:val="000000" w:themeColor="text1"/>
        </w:rPr>
        <w:t>.</w:t>
      </w:r>
    </w:p>
    <w:p w:rsidR="00556571" w:rsidRPr="00D10E60" w:rsidRDefault="00556571" w:rsidP="00D10E60">
      <w:pPr>
        <w:pStyle w:val="QS10"/>
        <w:rPr>
          <w:color w:val="000000" w:themeColor="text1"/>
        </w:rPr>
      </w:pPr>
      <w:r w:rsidRPr="00D10E60">
        <w:rPr>
          <w:color w:val="000000" w:themeColor="text1"/>
        </w:rPr>
        <w:t>NALT</w:t>
      </w:r>
      <w:r w:rsidR="00C64050">
        <w:rPr>
          <w:color w:val="000000" w:themeColor="text1"/>
        </w:rPr>
        <w:t xml:space="preserve"> </w:t>
      </w:r>
      <w:r w:rsidRPr="00D10E60">
        <w:rPr>
          <w:color w:val="000000" w:themeColor="text1"/>
        </w:rPr>
        <w:t>had</w:t>
      </w:r>
      <w:r w:rsidR="00C64050">
        <w:rPr>
          <w:color w:val="000000" w:themeColor="text1"/>
        </w:rPr>
        <w:t xml:space="preserve"> </w:t>
      </w:r>
      <w:r w:rsidRPr="00D10E60">
        <w:rPr>
          <w:color w:val="000000" w:themeColor="text1"/>
        </w:rPr>
        <w:t>to</w:t>
      </w:r>
      <w:r w:rsidR="00C64050">
        <w:rPr>
          <w:color w:val="000000" w:themeColor="text1"/>
        </w:rPr>
        <w:t xml:space="preserve"> </w:t>
      </w:r>
      <w:r w:rsidRPr="00D10E60">
        <w:rPr>
          <w:color w:val="000000" w:themeColor="text1"/>
        </w:rPr>
        <w:t>approve</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precise</w:t>
      </w:r>
      <w:r w:rsidR="00C64050">
        <w:rPr>
          <w:color w:val="000000" w:themeColor="text1"/>
        </w:rPr>
        <w:t xml:space="preserve"> </w:t>
      </w:r>
      <w:r w:rsidRPr="00D10E60">
        <w:rPr>
          <w:color w:val="000000" w:themeColor="text1"/>
        </w:rPr>
        <w:t>location</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six</w:t>
      </w:r>
      <w:r w:rsidR="00C64050">
        <w:rPr>
          <w:color w:val="000000" w:themeColor="text1"/>
        </w:rPr>
        <w:t xml:space="preserve"> </w:t>
      </w:r>
      <w:r w:rsidRPr="00D10E60">
        <w:rPr>
          <w:color w:val="000000" w:themeColor="text1"/>
        </w:rPr>
        <w:t>residences</w:t>
      </w:r>
      <w:r w:rsidR="00C64050">
        <w:rPr>
          <w:color w:val="000000" w:themeColor="text1"/>
        </w:rPr>
        <w:t xml:space="preserve"> </w:t>
      </w:r>
      <w:r w:rsidRPr="00D10E60">
        <w:rPr>
          <w:color w:val="000000" w:themeColor="text1"/>
        </w:rPr>
        <w:t>within</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2006</w:t>
      </w:r>
      <w:r w:rsidR="00C64050">
        <w:rPr>
          <w:color w:val="000000" w:themeColor="text1"/>
        </w:rPr>
        <w:t xml:space="preserve"> </w:t>
      </w:r>
      <w:r w:rsidRPr="00D10E60">
        <w:rPr>
          <w:color w:val="000000" w:themeColor="text1"/>
        </w:rPr>
        <w:t>Conservation</w:t>
      </w:r>
      <w:r w:rsidR="00C64050">
        <w:rPr>
          <w:color w:val="000000" w:themeColor="text1"/>
        </w:rPr>
        <w:t xml:space="preserve"> </w:t>
      </w:r>
      <w:r w:rsidRPr="00D10E60">
        <w:rPr>
          <w:color w:val="000000" w:themeColor="text1"/>
        </w:rPr>
        <w:t>Area.</w:t>
      </w:r>
      <w:r w:rsidR="00C64050">
        <w:rPr>
          <w:color w:val="000000" w:themeColor="text1"/>
        </w:rPr>
        <w:t xml:space="preserve"> </w:t>
      </w:r>
      <w:r w:rsidRPr="00D10E60">
        <w:rPr>
          <w:color w:val="000000" w:themeColor="text1"/>
        </w:rPr>
        <w:t>By</w:t>
      </w:r>
      <w:r w:rsidR="00C64050">
        <w:rPr>
          <w:color w:val="000000" w:themeColor="text1"/>
        </w:rPr>
        <w:t xml:space="preserve"> </w:t>
      </w:r>
      <w:r w:rsidRPr="00D10E60">
        <w:rPr>
          <w:color w:val="000000" w:themeColor="text1"/>
        </w:rPr>
        <w:t>so</w:t>
      </w:r>
      <w:r w:rsidR="00C64050">
        <w:rPr>
          <w:color w:val="000000" w:themeColor="text1"/>
        </w:rPr>
        <w:t xml:space="preserve"> </w:t>
      </w:r>
      <w:r w:rsidRPr="00D10E60">
        <w:rPr>
          <w:color w:val="000000" w:themeColor="text1"/>
        </w:rPr>
        <w:t>doing,</w:t>
      </w:r>
      <w:r w:rsidR="00C64050">
        <w:rPr>
          <w:color w:val="000000" w:themeColor="text1"/>
        </w:rPr>
        <w:t xml:space="preserve"> </w:t>
      </w:r>
      <w:r w:rsidRPr="00D10E60">
        <w:rPr>
          <w:color w:val="000000" w:themeColor="text1"/>
        </w:rPr>
        <w:t>NALT</w:t>
      </w:r>
      <w:r w:rsidR="00C64050">
        <w:rPr>
          <w:color w:val="000000" w:themeColor="text1"/>
        </w:rPr>
        <w:t xml:space="preserve"> </w:t>
      </w:r>
      <w:r w:rsidRPr="00D10E60">
        <w:rPr>
          <w:color w:val="000000" w:themeColor="text1"/>
        </w:rPr>
        <w:t>might</w:t>
      </w:r>
      <w:r w:rsidR="00C64050">
        <w:rPr>
          <w:color w:val="000000" w:themeColor="text1"/>
        </w:rPr>
        <w:t xml:space="preserve"> </w:t>
      </w:r>
      <w:r w:rsidRPr="00D10E60">
        <w:rPr>
          <w:color w:val="000000" w:themeColor="text1"/>
        </w:rPr>
        <w:t>minimize</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derogation</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conservation</w:t>
      </w:r>
      <w:r w:rsidR="00C64050">
        <w:rPr>
          <w:color w:val="000000" w:themeColor="text1"/>
        </w:rPr>
        <w:t xml:space="preserve"> </w:t>
      </w:r>
      <w:r w:rsidRPr="00D10E60">
        <w:rPr>
          <w:color w:val="000000" w:themeColor="text1"/>
        </w:rPr>
        <w:t>values</w:t>
      </w:r>
      <w:r w:rsidR="00C64050">
        <w:rPr>
          <w:color w:val="000000" w:themeColor="text1"/>
        </w:rPr>
        <w:t xml:space="preserve"> </w:t>
      </w:r>
      <w:r w:rsidRPr="00D10E60">
        <w:rPr>
          <w:color w:val="000000" w:themeColor="text1"/>
        </w:rPr>
        <w:t>that</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subdivision</w:t>
      </w:r>
      <w:r w:rsidR="00C64050">
        <w:rPr>
          <w:color w:val="000000" w:themeColor="text1"/>
        </w:rPr>
        <w:t xml:space="preserve"> </w:t>
      </w:r>
      <w:r w:rsidRPr="00D10E60">
        <w:rPr>
          <w:color w:val="000000" w:themeColor="text1"/>
        </w:rPr>
        <w:t>caused</w:t>
      </w:r>
      <w:r w:rsidR="00C64050">
        <w:rPr>
          <w:color w:val="000000" w:themeColor="text1"/>
        </w:rPr>
        <w:t xml:space="preserve"> </w:t>
      </w:r>
      <w:r w:rsidRPr="00D10E60">
        <w:rPr>
          <w:color w:val="000000" w:themeColor="text1"/>
        </w:rPr>
        <w:t>and</w:t>
      </w:r>
      <w:r w:rsidR="00C64050">
        <w:rPr>
          <w:color w:val="000000" w:themeColor="text1"/>
        </w:rPr>
        <w:t xml:space="preserve"> </w:t>
      </w:r>
      <w:r w:rsidRPr="00D10E60">
        <w:rPr>
          <w:color w:val="000000" w:themeColor="text1"/>
        </w:rPr>
        <w:t>perhaps</w:t>
      </w:r>
      <w:r w:rsidR="00C64050">
        <w:rPr>
          <w:color w:val="000000" w:themeColor="text1"/>
        </w:rPr>
        <w:t xml:space="preserve"> </w:t>
      </w:r>
      <w:r w:rsidRPr="00D10E60">
        <w:rPr>
          <w:color w:val="000000" w:themeColor="text1"/>
        </w:rPr>
        <w:t>ensure</w:t>
      </w:r>
      <w:r w:rsidR="00C64050">
        <w:rPr>
          <w:color w:val="000000" w:themeColor="text1"/>
        </w:rPr>
        <w:t xml:space="preserve"> </w:t>
      </w:r>
      <w:r w:rsidRPr="00D10E60">
        <w:rPr>
          <w:color w:val="000000" w:themeColor="text1"/>
        </w:rPr>
        <w:t>that</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conservation</w:t>
      </w:r>
      <w:r w:rsidR="00C64050">
        <w:rPr>
          <w:color w:val="000000" w:themeColor="text1"/>
        </w:rPr>
        <w:t xml:space="preserve"> </w:t>
      </w:r>
      <w:r w:rsidRPr="00D10E60">
        <w:rPr>
          <w:color w:val="000000" w:themeColor="text1"/>
        </w:rPr>
        <w:t>purpose</w:t>
      </w:r>
      <w:r w:rsidR="00C64050">
        <w:rPr>
          <w:color w:val="000000" w:themeColor="text1"/>
        </w:rPr>
        <w:t xml:space="preserve"> </w:t>
      </w:r>
      <w:r w:rsidRPr="00D10E60">
        <w:rPr>
          <w:color w:val="000000" w:themeColor="text1"/>
        </w:rPr>
        <w:t>[wa]s</w:t>
      </w:r>
      <w:r w:rsidR="00C64050">
        <w:rPr>
          <w:color w:val="000000" w:themeColor="text1"/>
        </w:rPr>
        <w:t xml:space="preserve"> </w:t>
      </w:r>
      <w:r w:rsidRPr="00D10E60">
        <w:rPr>
          <w:color w:val="000000" w:themeColor="text1"/>
        </w:rPr>
        <w:t>protected</w:t>
      </w:r>
      <w:r w:rsidR="00C64050">
        <w:rPr>
          <w:color w:val="000000" w:themeColor="text1"/>
        </w:rPr>
        <w:t xml:space="preserve"> </w:t>
      </w:r>
      <w:r w:rsidRPr="00D10E60">
        <w:rPr>
          <w:color w:val="000000" w:themeColor="text1"/>
        </w:rPr>
        <w:t>in</w:t>
      </w:r>
      <w:r w:rsidR="00C64050">
        <w:rPr>
          <w:color w:val="000000" w:themeColor="text1"/>
        </w:rPr>
        <w:t xml:space="preserve"> </w:t>
      </w:r>
      <w:r w:rsidRPr="00D10E60">
        <w:rPr>
          <w:color w:val="000000" w:themeColor="text1"/>
        </w:rPr>
        <w:t>perpetuity.”</w:t>
      </w:r>
      <w:r w:rsidR="00C64050">
        <w:rPr>
          <w:color w:val="000000" w:themeColor="text1"/>
        </w:rPr>
        <w:t xml:space="preserve"> </w:t>
      </w:r>
      <w:hyperlink r:id="rId134" w:anchor="co_pp_c7a800003e633" w:history="1">
        <w:r w:rsidRPr="00D10E60">
          <w:rPr>
            <w:color w:val="000000" w:themeColor="text1"/>
          </w:rPr>
          <w:t>Sec.</w:t>
        </w:r>
        <w:r w:rsidR="00C64050">
          <w:rPr>
            <w:color w:val="000000" w:themeColor="text1"/>
          </w:rPr>
          <w:t xml:space="preserve"> </w:t>
        </w:r>
        <w:r w:rsidRPr="00D10E60">
          <w:rPr>
            <w:color w:val="000000" w:themeColor="text1"/>
          </w:rPr>
          <w:t>170(h)(5)(A)</w:t>
        </w:r>
      </w:hyperlink>
      <w:r w:rsidRPr="00D10E60">
        <w:rPr>
          <w:color w:val="000000" w:themeColor="text1"/>
        </w:rPr>
        <w:t>.</w:t>
      </w:r>
      <w:r w:rsidR="00C64050">
        <w:rPr>
          <w:color w:val="000000" w:themeColor="text1"/>
        </w:rPr>
        <w:t xml:space="preserve"> </w:t>
      </w:r>
      <w:r w:rsidRPr="00D10E60">
        <w:rPr>
          <w:color w:val="000000" w:themeColor="text1"/>
        </w:rPr>
        <w:t>But</w:t>
      </w:r>
      <w:r w:rsidR="00C64050">
        <w:rPr>
          <w:color w:val="000000" w:themeColor="text1"/>
        </w:rPr>
        <w:t xml:space="preserve"> </w:t>
      </w:r>
      <w:r w:rsidRPr="00D10E60">
        <w:rPr>
          <w:color w:val="000000" w:themeColor="text1"/>
        </w:rPr>
        <w:t>this</w:t>
      </w:r>
      <w:r w:rsidR="00C64050">
        <w:rPr>
          <w:color w:val="000000" w:themeColor="text1"/>
        </w:rPr>
        <w:t xml:space="preserve"> </w:t>
      </w:r>
      <w:r w:rsidRPr="00D10E60">
        <w:rPr>
          <w:color w:val="000000" w:themeColor="text1"/>
        </w:rPr>
        <w:t>does</w:t>
      </w:r>
      <w:r w:rsidR="00C64050">
        <w:rPr>
          <w:color w:val="000000" w:themeColor="text1"/>
        </w:rPr>
        <w:t xml:space="preserve"> </w:t>
      </w:r>
      <w:r w:rsidRPr="00D10E60">
        <w:rPr>
          <w:color w:val="000000" w:themeColor="text1"/>
        </w:rPr>
        <w:t>not</w:t>
      </w:r>
      <w:r w:rsidR="00C64050">
        <w:rPr>
          <w:color w:val="000000" w:themeColor="text1"/>
        </w:rPr>
        <w:t xml:space="preserve"> </w:t>
      </w:r>
      <w:r w:rsidRPr="00D10E60">
        <w:rPr>
          <w:color w:val="000000" w:themeColor="text1"/>
        </w:rPr>
        <w:t>change</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fact</w:t>
      </w:r>
      <w:r w:rsidR="00C64050">
        <w:rPr>
          <w:color w:val="000000" w:themeColor="text1"/>
        </w:rPr>
        <w:t xml:space="preserve"> </w:t>
      </w:r>
      <w:r w:rsidRPr="00D10E60">
        <w:rPr>
          <w:color w:val="000000" w:themeColor="text1"/>
        </w:rPr>
        <w:t>that</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easement,</w:t>
      </w:r>
      <w:r w:rsidR="00C64050">
        <w:rPr>
          <w:color w:val="000000" w:themeColor="text1"/>
        </w:rPr>
        <w:t xml:space="preserve"> </w:t>
      </w:r>
      <w:r w:rsidRPr="00D10E60">
        <w:rPr>
          <w:color w:val="000000" w:themeColor="text1"/>
        </w:rPr>
        <w:t>when</w:t>
      </w:r>
      <w:r w:rsidR="00C64050">
        <w:rPr>
          <w:color w:val="000000" w:themeColor="text1"/>
        </w:rPr>
        <w:t xml:space="preserve"> </w:t>
      </w:r>
      <w:r w:rsidRPr="00D10E60">
        <w:rPr>
          <w:color w:val="000000" w:themeColor="text1"/>
        </w:rPr>
        <w:t>granted,</w:t>
      </w:r>
      <w:r w:rsidR="00C64050">
        <w:rPr>
          <w:color w:val="000000" w:themeColor="text1"/>
        </w:rPr>
        <w:t xml:space="preserve"> </w:t>
      </w:r>
      <w:r w:rsidRPr="00D10E60">
        <w:rPr>
          <w:color w:val="000000" w:themeColor="text1"/>
        </w:rPr>
        <w:t>did</w:t>
      </w:r>
      <w:r w:rsidR="00C64050">
        <w:rPr>
          <w:color w:val="000000" w:themeColor="text1"/>
        </w:rPr>
        <w:t xml:space="preserve"> </w:t>
      </w:r>
      <w:r w:rsidRPr="00D10E60">
        <w:rPr>
          <w:color w:val="000000" w:themeColor="text1"/>
        </w:rPr>
        <w:t>not</w:t>
      </w:r>
      <w:r w:rsidR="00C64050">
        <w:rPr>
          <w:color w:val="000000" w:themeColor="text1"/>
        </w:rPr>
        <w:t xml:space="preserve"> </w:t>
      </w:r>
      <w:r w:rsidRPr="00D10E60">
        <w:rPr>
          <w:color w:val="000000" w:themeColor="text1"/>
        </w:rPr>
        <w:t>create</w:t>
      </w:r>
      <w:r w:rsidR="00C64050">
        <w:rPr>
          <w:color w:val="000000" w:themeColor="text1"/>
        </w:rPr>
        <w:t xml:space="preserve"> </w:t>
      </w:r>
      <w:r w:rsidRPr="00D10E60">
        <w:rPr>
          <w:color w:val="000000" w:themeColor="text1"/>
        </w:rPr>
        <w:t>a</w:t>
      </w:r>
      <w:r w:rsidR="00C64050">
        <w:rPr>
          <w:color w:val="000000" w:themeColor="text1"/>
        </w:rPr>
        <w:t xml:space="preserve"> </w:t>
      </w:r>
      <w:r w:rsidRPr="00D10E60">
        <w:rPr>
          <w:color w:val="000000" w:themeColor="text1"/>
        </w:rPr>
        <w:t>perpetual</w:t>
      </w:r>
      <w:r w:rsidR="00C64050">
        <w:rPr>
          <w:color w:val="000000" w:themeColor="text1"/>
        </w:rPr>
        <w:t xml:space="preserve"> </w:t>
      </w:r>
      <w:r w:rsidRPr="00D10E60">
        <w:rPr>
          <w:color w:val="000000" w:themeColor="text1"/>
        </w:rPr>
        <w:t>use</w:t>
      </w:r>
      <w:r w:rsidR="00C64050">
        <w:rPr>
          <w:color w:val="000000" w:themeColor="text1"/>
        </w:rPr>
        <w:t xml:space="preserve"> </w:t>
      </w:r>
      <w:r w:rsidRPr="00D10E60">
        <w:rPr>
          <w:color w:val="000000" w:themeColor="text1"/>
        </w:rPr>
        <w:t>restriction</w:t>
      </w:r>
      <w:r w:rsidR="00C64050">
        <w:rPr>
          <w:color w:val="000000" w:themeColor="text1"/>
        </w:rPr>
        <w:t xml:space="preserve"> </w:t>
      </w:r>
      <w:r w:rsidRPr="00D10E60">
        <w:rPr>
          <w:color w:val="000000" w:themeColor="text1"/>
        </w:rPr>
        <w:t>on</w:t>
      </w:r>
      <w:r w:rsidR="00C64050">
        <w:rPr>
          <w:color w:val="000000" w:themeColor="text1"/>
        </w:rPr>
        <w:t xml:space="preserve"> </w:t>
      </w:r>
      <w:r w:rsidRPr="00D10E60">
        <w:rPr>
          <w:color w:val="000000" w:themeColor="text1"/>
        </w:rPr>
        <w:t>a</w:t>
      </w:r>
      <w:r w:rsidR="00C64050">
        <w:rPr>
          <w:color w:val="000000" w:themeColor="text1"/>
        </w:rPr>
        <w:t xml:space="preserve"> </w:t>
      </w:r>
      <w:r w:rsidRPr="00D10E60">
        <w:rPr>
          <w:color w:val="000000" w:themeColor="text1"/>
        </w:rPr>
        <w:t>defined</w:t>
      </w:r>
      <w:r w:rsidR="00C64050">
        <w:rPr>
          <w:color w:val="000000" w:themeColor="text1"/>
        </w:rPr>
        <w:t xml:space="preserve"> </w:t>
      </w:r>
      <w:r w:rsidRPr="00D10E60">
        <w:rPr>
          <w:color w:val="000000" w:themeColor="text1"/>
        </w:rPr>
        <w:t>parcel</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land,</w:t>
      </w:r>
      <w:r w:rsidR="00C64050">
        <w:rPr>
          <w:color w:val="000000" w:themeColor="text1"/>
        </w:rPr>
        <w:t xml:space="preserve"> </w:t>
      </w:r>
      <w:r w:rsidRPr="00D10E60">
        <w:rPr>
          <w:color w:val="000000" w:themeColor="text1"/>
        </w:rPr>
        <w:t>as</w:t>
      </w:r>
      <w:r w:rsidR="00C64050">
        <w:rPr>
          <w:color w:val="000000" w:themeColor="text1"/>
        </w:rPr>
        <w:t xml:space="preserve"> </w:t>
      </w:r>
      <w:r w:rsidRPr="00D10E60">
        <w:rPr>
          <w:color w:val="000000" w:themeColor="text1"/>
        </w:rPr>
        <w:t>required</w:t>
      </w:r>
      <w:r w:rsidR="00C64050">
        <w:rPr>
          <w:color w:val="000000" w:themeColor="text1"/>
        </w:rPr>
        <w:t xml:space="preserve"> </w:t>
      </w:r>
      <w:r w:rsidRPr="00D10E60">
        <w:rPr>
          <w:color w:val="000000" w:themeColor="text1"/>
        </w:rPr>
        <w:t>by</w:t>
      </w:r>
      <w:r w:rsidR="00C64050">
        <w:rPr>
          <w:color w:val="000000" w:themeColor="text1"/>
        </w:rPr>
        <w:t xml:space="preserve"> </w:t>
      </w:r>
      <w:hyperlink r:id="rId135" w:anchor="co_pp_9ade0000743c1" w:history="1">
        <w:r w:rsidRPr="00D10E60">
          <w:rPr>
            <w:color w:val="000000" w:themeColor="text1"/>
          </w:rPr>
          <w:t>section</w:t>
        </w:r>
        <w:r w:rsidR="00C64050">
          <w:rPr>
            <w:color w:val="000000" w:themeColor="text1"/>
          </w:rPr>
          <w:t xml:space="preserve"> </w:t>
        </w:r>
        <w:r w:rsidRPr="00D10E60">
          <w:rPr>
            <w:color w:val="000000" w:themeColor="text1"/>
          </w:rPr>
          <w:t>170(h)(2)(C)</w:t>
        </w:r>
      </w:hyperlink>
      <w:r w:rsidRPr="00D10E60">
        <w:rPr>
          <w:color w:val="000000" w:themeColor="text1"/>
        </w:rPr>
        <w:t>.</w:t>
      </w:r>
      <w:r w:rsidR="00C64050">
        <w:rPr>
          <w:color w:val="000000" w:themeColor="text1"/>
        </w:rPr>
        <w:t xml:space="preserve"> </w:t>
      </w:r>
      <w:r w:rsidRPr="00D10E60">
        <w:rPr>
          <w:color w:val="000000" w:themeColor="text1"/>
        </w:rPr>
        <w:t>Because</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2006</w:t>
      </w:r>
      <w:r w:rsidR="00C64050">
        <w:rPr>
          <w:color w:val="000000" w:themeColor="text1"/>
        </w:rPr>
        <w:t xml:space="preserve"> </w:t>
      </w:r>
      <w:r w:rsidRPr="00D10E60">
        <w:rPr>
          <w:color w:val="000000" w:themeColor="text1"/>
        </w:rPr>
        <w:t>easement</w:t>
      </w:r>
      <w:r w:rsidR="00C64050">
        <w:rPr>
          <w:color w:val="000000" w:themeColor="text1"/>
        </w:rPr>
        <w:t xml:space="preserve"> </w:t>
      </w:r>
      <w:r w:rsidRPr="00D10E60">
        <w:rPr>
          <w:color w:val="000000" w:themeColor="text1"/>
        </w:rPr>
        <w:t>does</w:t>
      </w:r>
      <w:r w:rsidR="00C64050">
        <w:rPr>
          <w:color w:val="000000" w:themeColor="text1"/>
        </w:rPr>
        <w:t xml:space="preserve"> </w:t>
      </w:r>
      <w:r w:rsidRPr="00D10E60">
        <w:rPr>
          <w:color w:val="000000" w:themeColor="text1"/>
        </w:rPr>
        <w:t>not</w:t>
      </w:r>
      <w:r w:rsidR="00C64050">
        <w:rPr>
          <w:color w:val="000000" w:themeColor="text1"/>
        </w:rPr>
        <w:t xml:space="preserve"> </w:t>
      </w:r>
      <w:r w:rsidRPr="00D10E60">
        <w:rPr>
          <w:color w:val="000000" w:themeColor="text1"/>
        </w:rPr>
        <w:t>constitute</w:t>
      </w:r>
      <w:r w:rsidR="00C64050">
        <w:rPr>
          <w:color w:val="000000" w:themeColor="text1"/>
        </w:rPr>
        <w:t xml:space="preserve"> </w:t>
      </w:r>
      <w:r w:rsidRPr="00D10E60">
        <w:rPr>
          <w:color w:val="000000" w:themeColor="text1"/>
        </w:rPr>
        <w:t>a</w:t>
      </w:r>
      <w:r w:rsidR="00C64050">
        <w:rPr>
          <w:color w:val="000000" w:themeColor="text1"/>
        </w:rPr>
        <w:t xml:space="preserve"> </w:t>
      </w:r>
      <w:r w:rsidRPr="00D10E60">
        <w:rPr>
          <w:color w:val="000000" w:themeColor="text1"/>
        </w:rPr>
        <w:t>“qualified</w:t>
      </w:r>
      <w:r w:rsidR="00C64050">
        <w:rPr>
          <w:color w:val="000000" w:themeColor="text1"/>
        </w:rPr>
        <w:t xml:space="preserve"> </w:t>
      </w:r>
      <w:r w:rsidRPr="00D10E60">
        <w:rPr>
          <w:color w:val="000000" w:themeColor="text1"/>
        </w:rPr>
        <w:t>real</w:t>
      </w:r>
      <w:r w:rsidR="00C64050">
        <w:rPr>
          <w:color w:val="000000" w:themeColor="text1"/>
        </w:rPr>
        <w:t xml:space="preserve"> </w:t>
      </w:r>
      <w:r w:rsidRPr="00D10E60">
        <w:rPr>
          <w:color w:val="000000" w:themeColor="text1"/>
        </w:rPr>
        <w:t>property</w:t>
      </w:r>
      <w:r w:rsidR="00C64050">
        <w:rPr>
          <w:color w:val="000000" w:themeColor="text1"/>
        </w:rPr>
        <w:t xml:space="preserve"> </w:t>
      </w:r>
      <w:r w:rsidRPr="00D10E60">
        <w:rPr>
          <w:color w:val="000000" w:themeColor="text1"/>
        </w:rPr>
        <w:t>interest,”</w:t>
      </w:r>
      <w:r w:rsidR="00C64050">
        <w:rPr>
          <w:color w:val="000000" w:themeColor="text1"/>
        </w:rPr>
        <w:t xml:space="preserve"> </w:t>
      </w:r>
      <w:r w:rsidRPr="00D10E60">
        <w:rPr>
          <w:color w:val="000000" w:themeColor="text1"/>
        </w:rPr>
        <w:t>Pine</w:t>
      </w:r>
      <w:r w:rsidR="00C64050">
        <w:rPr>
          <w:color w:val="000000" w:themeColor="text1"/>
        </w:rPr>
        <w:t xml:space="preserve"> </w:t>
      </w:r>
      <w:r w:rsidRPr="00D10E60">
        <w:rPr>
          <w:color w:val="000000" w:themeColor="text1"/>
        </w:rPr>
        <w:t>Mountain</w:t>
      </w:r>
      <w:r w:rsidR="00C64050">
        <w:rPr>
          <w:color w:val="000000" w:themeColor="text1"/>
        </w:rPr>
        <w:t xml:space="preserve"> </w:t>
      </w:r>
      <w:r w:rsidRPr="00D10E60">
        <w:rPr>
          <w:color w:val="000000" w:themeColor="text1"/>
        </w:rPr>
        <w:t>could</w:t>
      </w:r>
      <w:r w:rsidR="00C64050">
        <w:rPr>
          <w:color w:val="000000" w:themeColor="text1"/>
        </w:rPr>
        <w:t xml:space="preserve"> </w:t>
      </w:r>
      <w:r w:rsidRPr="00D10E60">
        <w:rPr>
          <w:color w:val="000000" w:themeColor="text1"/>
        </w:rPr>
        <w:t>not</w:t>
      </w:r>
      <w:r w:rsidR="00C64050">
        <w:rPr>
          <w:color w:val="000000" w:themeColor="text1"/>
        </w:rPr>
        <w:t xml:space="preserve"> </w:t>
      </w:r>
      <w:r w:rsidRPr="00D10E60">
        <w:rPr>
          <w:color w:val="000000" w:themeColor="text1"/>
        </w:rPr>
        <w:t>claim</w:t>
      </w:r>
      <w:r w:rsidR="00C64050">
        <w:rPr>
          <w:color w:val="000000" w:themeColor="text1"/>
        </w:rPr>
        <w:t xml:space="preserve"> </w:t>
      </w:r>
      <w:r w:rsidRPr="00D10E60">
        <w:rPr>
          <w:color w:val="000000" w:themeColor="text1"/>
        </w:rPr>
        <w:t>for</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donation</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this</w:t>
      </w:r>
      <w:r w:rsidR="00C64050">
        <w:rPr>
          <w:color w:val="000000" w:themeColor="text1"/>
        </w:rPr>
        <w:t xml:space="preserve"> </w:t>
      </w:r>
      <w:r w:rsidRPr="00D10E60">
        <w:rPr>
          <w:color w:val="000000" w:themeColor="text1"/>
        </w:rPr>
        <w:t>interest</w:t>
      </w:r>
      <w:r w:rsidR="00C64050">
        <w:rPr>
          <w:color w:val="000000" w:themeColor="text1"/>
        </w:rPr>
        <w:t xml:space="preserve"> </w:t>
      </w:r>
      <w:r w:rsidRPr="00D10E60">
        <w:rPr>
          <w:color w:val="000000" w:themeColor="text1"/>
        </w:rPr>
        <w:t>a</w:t>
      </w:r>
      <w:r w:rsidR="00C64050">
        <w:rPr>
          <w:color w:val="000000" w:themeColor="text1"/>
        </w:rPr>
        <w:t xml:space="preserve"> </w:t>
      </w:r>
      <w:r w:rsidRPr="00D10E60">
        <w:rPr>
          <w:color w:val="000000" w:themeColor="text1"/>
        </w:rPr>
        <w:t>charitable</w:t>
      </w:r>
      <w:r w:rsidR="00C64050">
        <w:rPr>
          <w:color w:val="000000" w:themeColor="text1"/>
        </w:rPr>
        <w:t xml:space="preserve"> </w:t>
      </w:r>
      <w:r w:rsidRPr="00D10E60">
        <w:rPr>
          <w:color w:val="000000" w:themeColor="text1"/>
        </w:rPr>
        <w:t>contribution</w:t>
      </w:r>
      <w:r w:rsidR="00C64050">
        <w:rPr>
          <w:color w:val="000000" w:themeColor="text1"/>
        </w:rPr>
        <w:t xml:space="preserve"> </w:t>
      </w:r>
      <w:r w:rsidRPr="00D10E60">
        <w:rPr>
          <w:color w:val="000000" w:themeColor="text1"/>
        </w:rPr>
        <w:t>deduction</w:t>
      </w:r>
      <w:r w:rsidR="00C64050">
        <w:rPr>
          <w:color w:val="000000" w:themeColor="text1"/>
        </w:rPr>
        <w:t xml:space="preserve"> </w:t>
      </w:r>
      <w:r w:rsidRPr="00D10E60">
        <w:rPr>
          <w:color w:val="000000" w:themeColor="text1"/>
        </w:rPr>
        <w:t>under</w:t>
      </w:r>
      <w:r w:rsidR="00C64050">
        <w:rPr>
          <w:color w:val="000000" w:themeColor="text1"/>
        </w:rPr>
        <w:t xml:space="preserve"> </w:t>
      </w:r>
      <w:hyperlink r:id="rId136" w:anchor="co_pp_78080000b9f87" w:history="1">
        <w:r w:rsidRPr="00D10E60">
          <w:rPr>
            <w:color w:val="000000" w:themeColor="text1"/>
          </w:rPr>
          <w:t>section</w:t>
        </w:r>
        <w:r w:rsidR="00C64050">
          <w:rPr>
            <w:color w:val="000000" w:themeColor="text1"/>
          </w:rPr>
          <w:t xml:space="preserve"> </w:t>
        </w:r>
        <w:r w:rsidRPr="00D10E60">
          <w:rPr>
            <w:color w:val="000000" w:themeColor="text1"/>
          </w:rPr>
          <w:t>170(f)(3)(B)(iii)</w:t>
        </w:r>
      </w:hyperlink>
      <w:r w:rsidR="00C64050">
        <w:rPr>
          <w:color w:val="000000" w:themeColor="text1"/>
        </w:rPr>
        <w:t xml:space="preserve"> </w:t>
      </w:r>
      <w:r w:rsidRPr="00D10E60">
        <w:rPr>
          <w:color w:val="000000" w:themeColor="text1"/>
        </w:rPr>
        <w:t>and</w:t>
      </w:r>
      <w:r w:rsidR="00C64050">
        <w:rPr>
          <w:color w:val="000000" w:themeColor="text1"/>
        </w:rPr>
        <w:t xml:space="preserve"> </w:t>
      </w:r>
      <w:hyperlink r:id="rId137" w:anchor="co_pp_b4e500006fdf6" w:history="1">
        <w:r w:rsidRPr="00D10E60">
          <w:rPr>
            <w:color w:val="000000" w:themeColor="text1"/>
          </w:rPr>
          <w:t>(h)(1)</w:t>
        </w:r>
      </w:hyperlink>
      <w:r w:rsidRPr="00D10E60">
        <w:rPr>
          <w:color w:val="000000" w:themeColor="text1"/>
        </w:rPr>
        <w:t>.</w:t>
      </w:r>
    </w:p>
    <w:p w:rsidR="00556571" w:rsidRPr="00D10E60" w:rsidRDefault="00556571" w:rsidP="00D10E60">
      <w:pPr>
        <w:pStyle w:val="QS10"/>
        <w:rPr>
          <w:color w:val="000000" w:themeColor="text1"/>
        </w:rPr>
      </w:pPr>
      <w:r w:rsidRPr="00D10E60">
        <w:rPr>
          <w:color w:val="000000" w:themeColor="text1"/>
        </w:rPr>
        <w:t>2.</w:t>
      </w:r>
      <w:r w:rsidR="00C64050">
        <w:rPr>
          <w:color w:val="000000" w:themeColor="text1"/>
        </w:rPr>
        <w:t xml:space="preserve"> </w:t>
      </w:r>
      <w:r w:rsidRPr="00D10E60">
        <w:rPr>
          <w:color w:val="000000" w:themeColor="text1"/>
          <w:u w:val="single"/>
        </w:rPr>
        <w:t>2005</w:t>
      </w:r>
      <w:r w:rsidR="00C64050">
        <w:rPr>
          <w:color w:val="000000" w:themeColor="text1"/>
          <w:u w:val="single"/>
        </w:rPr>
        <w:t xml:space="preserve"> </w:t>
      </w:r>
      <w:r w:rsidRPr="00D10E60">
        <w:rPr>
          <w:color w:val="000000" w:themeColor="text1"/>
          <w:u w:val="single"/>
        </w:rPr>
        <w:t>Easement</w:t>
      </w:r>
    </w:p>
    <w:p w:rsidR="00556571" w:rsidRPr="00D10E60" w:rsidRDefault="00556571" w:rsidP="00D10E60">
      <w:pPr>
        <w:pStyle w:val="QS10"/>
        <w:rPr>
          <w:color w:val="000000" w:themeColor="text1"/>
        </w:rPr>
      </w:pPr>
      <w:r w:rsidRPr="00D10E60">
        <w:rPr>
          <w:color w:val="000000" w:themeColor="text1"/>
        </w:rPr>
        <w:t>Most</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2005</w:t>
      </w:r>
      <w:r w:rsidR="00C64050">
        <w:rPr>
          <w:color w:val="000000" w:themeColor="text1"/>
        </w:rPr>
        <w:t xml:space="preserve"> </w:t>
      </w:r>
      <w:r w:rsidRPr="00D10E60">
        <w:rPr>
          <w:color w:val="000000" w:themeColor="text1"/>
        </w:rPr>
        <w:t>Conservation</w:t>
      </w:r>
      <w:r w:rsidR="00C64050">
        <w:rPr>
          <w:color w:val="000000" w:themeColor="text1"/>
        </w:rPr>
        <w:t xml:space="preserve"> </w:t>
      </w:r>
      <w:r w:rsidRPr="00D10E60">
        <w:rPr>
          <w:color w:val="000000" w:themeColor="text1"/>
        </w:rPr>
        <w:t>Area</w:t>
      </w:r>
      <w:r w:rsidR="00C64050">
        <w:rPr>
          <w:color w:val="000000" w:themeColor="text1"/>
        </w:rPr>
        <w:t xml:space="preserve"> </w:t>
      </w:r>
      <w:r w:rsidRPr="00D10E60">
        <w:rPr>
          <w:color w:val="000000" w:themeColor="text1"/>
        </w:rPr>
        <w:t>consists</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ridgelines</w:t>
      </w:r>
      <w:r w:rsidR="00C64050">
        <w:rPr>
          <w:color w:val="000000" w:themeColor="text1"/>
        </w:rPr>
        <w:t xml:space="preserve"> </w:t>
      </w:r>
      <w:r w:rsidRPr="00D10E60">
        <w:rPr>
          <w:color w:val="000000" w:themeColor="text1"/>
        </w:rPr>
        <w:t>and</w:t>
      </w:r>
      <w:r w:rsidR="00C64050">
        <w:rPr>
          <w:color w:val="000000" w:themeColor="text1"/>
        </w:rPr>
        <w:t xml:space="preserve"> </w:t>
      </w:r>
      <w:r w:rsidRPr="00D10E60">
        <w:rPr>
          <w:color w:val="000000" w:themeColor="text1"/>
        </w:rPr>
        <w:t>higher</w:t>
      </w:r>
      <w:r w:rsidR="00C64050">
        <w:rPr>
          <w:color w:val="000000" w:themeColor="text1"/>
        </w:rPr>
        <w:t xml:space="preserve"> </w:t>
      </w:r>
      <w:r w:rsidRPr="00D10E60">
        <w:rPr>
          <w:color w:val="000000" w:themeColor="text1"/>
        </w:rPr>
        <w:t>elevation</w:t>
      </w:r>
      <w:r w:rsidR="00C64050">
        <w:rPr>
          <w:color w:val="000000" w:themeColor="text1"/>
        </w:rPr>
        <w:t xml:space="preserve"> </w:t>
      </w:r>
      <w:r w:rsidRPr="00D10E60">
        <w:rPr>
          <w:color w:val="000000" w:themeColor="text1"/>
        </w:rPr>
        <w:t>land</w:t>
      </w:r>
      <w:r w:rsidR="00C64050">
        <w:rPr>
          <w:color w:val="000000" w:themeColor="text1"/>
        </w:rPr>
        <w:t xml:space="preserve"> </w:t>
      </w:r>
      <w:r w:rsidRPr="00D10E60">
        <w:rPr>
          <w:color w:val="000000" w:themeColor="text1"/>
        </w:rPr>
        <w:t>in</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northwest</w:t>
      </w:r>
      <w:r w:rsidR="00C64050">
        <w:rPr>
          <w:color w:val="000000" w:themeColor="text1"/>
        </w:rPr>
        <w:t xml:space="preserve"> </w:t>
      </w:r>
      <w:r w:rsidRPr="00D10E60">
        <w:rPr>
          <w:color w:val="000000" w:themeColor="text1"/>
        </w:rPr>
        <w:t>portion</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Parcel</w:t>
      </w:r>
      <w:r w:rsidR="00C64050">
        <w:rPr>
          <w:color w:val="000000" w:themeColor="text1"/>
        </w:rPr>
        <w:t xml:space="preserve"> </w:t>
      </w:r>
      <w:r w:rsidRPr="00D10E60">
        <w:rPr>
          <w:color w:val="000000" w:themeColor="text1"/>
        </w:rPr>
        <w:t>2.</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balance</w:t>
      </w:r>
      <w:r w:rsidR="00C64050">
        <w:rPr>
          <w:color w:val="000000" w:themeColor="text1"/>
        </w:rPr>
        <w:t xml:space="preserve"> </w:t>
      </w:r>
      <w:r w:rsidRPr="00D10E60">
        <w:rPr>
          <w:color w:val="000000" w:themeColor="text1"/>
        </w:rPr>
        <w:t>consists</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lower</w:t>
      </w:r>
      <w:r w:rsidR="00C64050">
        <w:rPr>
          <w:color w:val="000000" w:themeColor="text1"/>
        </w:rPr>
        <w:t xml:space="preserve"> </w:t>
      </w:r>
      <w:r w:rsidRPr="00D10E60">
        <w:rPr>
          <w:color w:val="000000" w:themeColor="text1"/>
        </w:rPr>
        <w:t>lying</w:t>
      </w:r>
      <w:r w:rsidR="00C64050">
        <w:rPr>
          <w:color w:val="000000" w:themeColor="text1"/>
        </w:rPr>
        <w:t xml:space="preserve"> </w:t>
      </w:r>
      <w:r w:rsidRPr="00D10E60">
        <w:rPr>
          <w:color w:val="000000" w:themeColor="text1"/>
        </w:rPr>
        <w:t>land</w:t>
      </w:r>
      <w:r w:rsidR="00C64050">
        <w:rPr>
          <w:color w:val="000000" w:themeColor="text1"/>
        </w:rPr>
        <w:t xml:space="preserve"> </w:t>
      </w:r>
      <w:r w:rsidRPr="00D10E60">
        <w:rPr>
          <w:color w:val="000000" w:themeColor="text1"/>
        </w:rPr>
        <w:t>around</w:t>
      </w:r>
      <w:r w:rsidR="00C64050">
        <w:rPr>
          <w:color w:val="000000" w:themeColor="text1"/>
        </w:rPr>
        <w:t xml:space="preserve"> </w:t>
      </w:r>
      <w:r w:rsidRPr="00D10E60">
        <w:rPr>
          <w:color w:val="000000" w:themeColor="text1"/>
        </w:rPr>
        <w:t>a</w:t>
      </w:r>
      <w:r w:rsidR="00C64050">
        <w:rPr>
          <w:color w:val="000000" w:themeColor="text1"/>
        </w:rPr>
        <w:t xml:space="preserve"> </w:t>
      </w:r>
      <w:r w:rsidRPr="00D10E60">
        <w:rPr>
          <w:color w:val="000000" w:themeColor="text1"/>
        </w:rPr>
        <w:t>man-made</w:t>
      </w:r>
      <w:r w:rsidR="00C64050">
        <w:rPr>
          <w:color w:val="000000" w:themeColor="text1"/>
        </w:rPr>
        <w:t xml:space="preserve"> </w:t>
      </w:r>
      <w:r w:rsidRPr="00D10E60">
        <w:rPr>
          <w:color w:val="000000" w:themeColor="text1"/>
        </w:rPr>
        <w:t>lake</w:t>
      </w:r>
      <w:r w:rsidR="00C64050">
        <w:rPr>
          <w:color w:val="000000" w:themeColor="text1"/>
        </w:rPr>
        <w:t xml:space="preserve"> </w:t>
      </w:r>
      <w:r w:rsidRPr="00D10E60">
        <w:rPr>
          <w:color w:val="000000" w:themeColor="text1"/>
        </w:rPr>
        <w:t>near</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center</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Parcel</w:t>
      </w:r>
      <w:r w:rsidR="00C64050">
        <w:rPr>
          <w:color w:val="000000" w:themeColor="text1"/>
        </w:rPr>
        <w:t xml:space="preserve"> </w:t>
      </w:r>
      <w:r w:rsidRPr="00D10E60">
        <w:rPr>
          <w:color w:val="000000" w:themeColor="text1"/>
        </w:rPr>
        <w:t>2.</w:t>
      </w:r>
      <w:r w:rsidR="00C64050">
        <w:rPr>
          <w:color w:val="000000" w:themeColor="text1"/>
        </w:rPr>
        <w:t xml:space="preserve"> </w:t>
      </w:r>
      <w:r w:rsidRPr="00D10E60">
        <w:rPr>
          <w:color w:val="000000" w:themeColor="text1"/>
        </w:rPr>
        <w:t>Overall</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easement</w:t>
      </w:r>
      <w:r w:rsidR="00C64050">
        <w:rPr>
          <w:color w:val="000000" w:themeColor="text1"/>
        </w:rPr>
        <w:t xml:space="preserve"> </w:t>
      </w:r>
      <w:r w:rsidRPr="00D10E60">
        <w:rPr>
          <w:color w:val="000000" w:themeColor="text1"/>
        </w:rPr>
        <w:t>covers</w:t>
      </w:r>
      <w:r w:rsidR="00C64050">
        <w:rPr>
          <w:color w:val="000000" w:themeColor="text1"/>
        </w:rPr>
        <w:t xml:space="preserve"> </w:t>
      </w:r>
      <w:r w:rsidRPr="00D10E60">
        <w:rPr>
          <w:color w:val="000000" w:themeColor="text1"/>
        </w:rPr>
        <w:t>about</w:t>
      </w:r>
      <w:r w:rsidR="00C64050">
        <w:rPr>
          <w:color w:val="000000" w:themeColor="text1"/>
        </w:rPr>
        <w:t xml:space="preserve"> </w:t>
      </w:r>
      <w:r w:rsidRPr="00D10E60">
        <w:rPr>
          <w:color w:val="000000" w:themeColor="text1"/>
        </w:rPr>
        <w:t>47%</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acreage</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Parcel</w:t>
      </w:r>
      <w:r w:rsidR="00C64050">
        <w:rPr>
          <w:color w:val="000000" w:themeColor="text1"/>
        </w:rPr>
        <w:t xml:space="preserve"> </w:t>
      </w:r>
      <w:r w:rsidRPr="00D10E60">
        <w:rPr>
          <w:color w:val="000000" w:themeColor="text1"/>
        </w:rPr>
        <w:t>2.</w:t>
      </w:r>
    </w:p>
    <w:p w:rsidR="00556571" w:rsidRPr="00D10E60" w:rsidRDefault="00556571" w:rsidP="00D10E60">
      <w:pPr>
        <w:pStyle w:val="QS10"/>
        <w:rPr>
          <w:color w:val="000000" w:themeColor="text1"/>
        </w:rPr>
      </w:pPr>
      <w:r w:rsidRPr="00D10E60">
        <w:rPr>
          <w:color w:val="000000" w:themeColor="text1"/>
        </w:rPr>
        <w:t>Apart</w:t>
      </w:r>
      <w:r w:rsidR="00C64050">
        <w:rPr>
          <w:color w:val="000000" w:themeColor="text1"/>
        </w:rPr>
        <w:t xml:space="preserve"> </w:t>
      </w:r>
      <w:r w:rsidRPr="00D10E60">
        <w:rPr>
          <w:color w:val="000000" w:themeColor="text1"/>
        </w:rPr>
        <w:t>from</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acreages</w:t>
      </w:r>
      <w:r w:rsidR="00C64050">
        <w:rPr>
          <w:color w:val="000000" w:themeColor="text1"/>
        </w:rPr>
        <w:t xml:space="preserve"> </w:t>
      </w:r>
      <w:r w:rsidRPr="00D10E60">
        <w:rPr>
          <w:color w:val="000000" w:themeColor="text1"/>
        </w:rPr>
        <w:t>involved,</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2005</w:t>
      </w:r>
      <w:r w:rsidR="00C64050">
        <w:rPr>
          <w:color w:val="000000" w:themeColor="text1"/>
        </w:rPr>
        <w:t xml:space="preserve"> </w:t>
      </w:r>
      <w:r w:rsidRPr="00D10E60">
        <w:rPr>
          <w:color w:val="000000" w:themeColor="text1"/>
        </w:rPr>
        <w:t>easement</w:t>
      </w:r>
      <w:r w:rsidR="00C64050">
        <w:rPr>
          <w:color w:val="000000" w:themeColor="text1"/>
        </w:rPr>
        <w:t xml:space="preserve"> </w:t>
      </w:r>
      <w:r w:rsidRPr="00D10E60">
        <w:rPr>
          <w:color w:val="000000" w:themeColor="text1"/>
        </w:rPr>
        <w:t>is</w:t>
      </w:r>
      <w:r w:rsidR="00C64050">
        <w:rPr>
          <w:color w:val="000000" w:themeColor="text1"/>
        </w:rPr>
        <w:t xml:space="preserve"> </w:t>
      </w:r>
      <w:r w:rsidRPr="00D10E60">
        <w:rPr>
          <w:color w:val="000000" w:themeColor="text1"/>
        </w:rPr>
        <w:t>substantially</w:t>
      </w:r>
      <w:r w:rsidR="00C64050">
        <w:rPr>
          <w:color w:val="000000" w:themeColor="text1"/>
        </w:rPr>
        <w:t xml:space="preserve"> </w:t>
      </w:r>
      <w:r w:rsidRPr="00D10E60">
        <w:rPr>
          <w:color w:val="000000" w:themeColor="text1"/>
        </w:rPr>
        <w:t>similar</w:t>
      </w:r>
      <w:r w:rsidR="00C64050">
        <w:rPr>
          <w:color w:val="000000" w:themeColor="text1"/>
        </w:rPr>
        <w:t xml:space="preserve"> </w:t>
      </w:r>
      <w:r w:rsidRPr="00D10E60">
        <w:rPr>
          <w:color w:val="000000" w:themeColor="text1"/>
        </w:rPr>
        <w:t>to</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easements</w:t>
      </w:r>
      <w:r w:rsidR="00C64050">
        <w:rPr>
          <w:color w:val="000000" w:themeColor="text1"/>
        </w:rPr>
        <w:t xml:space="preserve"> </w:t>
      </w:r>
      <w:r w:rsidRPr="00D10E60">
        <w:rPr>
          <w:color w:val="000000" w:themeColor="text1"/>
        </w:rPr>
        <w:t>involved</w:t>
      </w:r>
      <w:r w:rsidR="00C64050">
        <w:rPr>
          <w:color w:val="000000" w:themeColor="text1"/>
        </w:rPr>
        <w:t xml:space="preserve"> </w:t>
      </w:r>
      <w:r w:rsidRPr="00D10E60">
        <w:rPr>
          <w:color w:val="000000" w:themeColor="text1"/>
        </w:rPr>
        <w:t>in</w:t>
      </w:r>
      <w:r w:rsidR="00C64050">
        <w:rPr>
          <w:color w:val="000000" w:themeColor="text1"/>
        </w:rPr>
        <w:t xml:space="preserve"> </w:t>
      </w:r>
      <w:r w:rsidRPr="00D10E60">
        <w:rPr>
          <w:color w:val="000000" w:themeColor="text1"/>
          <w:u w:val="single"/>
        </w:rPr>
        <w:t>Bosque</w:t>
      </w:r>
      <w:r w:rsidR="00C64050">
        <w:rPr>
          <w:color w:val="000000" w:themeColor="text1"/>
          <w:u w:val="single"/>
        </w:rPr>
        <w:t xml:space="preserve"> </w:t>
      </w:r>
      <w:r w:rsidRPr="00D10E60">
        <w:rPr>
          <w:color w:val="000000" w:themeColor="text1"/>
          <w:u w:val="single"/>
        </w:rPr>
        <w:t>Canyon</w:t>
      </w:r>
      <w:r w:rsidRPr="00D10E60">
        <w:rPr>
          <w:color w:val="000000" w:themeColor="text1"/>
        </w:rPr>
        <w:t>.</w:t>
      </w:r>
      <w:r w:rsidR="00C64050">
        <w:rPr>
          <w:color w:val="000000" w:themeColor="text1"/>
        </w:rPr>
        <w:t xml:space="preserve"> </w:t>
      </w:r>
      <w:r w:rsidRPr="00D10E60">
        <w:rPr>
          <w:color w:val="000000" w:themeColor="text1"/>
        </w:rPr>
        <w:t>It</w:t>
      </w:r>
      <w:r w:rsidR="00C64050">
        <w:rPr>
          <w:color w:val="000000" w:themeColor="text1"/>
        </w:rPr>
        <w:t xml:space="preserve"> </w:t>
      </w:r>
      <w:r w:rsidRPr="00D10E60">
        <w:rPr>
          <w:color w:val="000000" w:themeColor="text1"/>
        </w:rPr>
        <w:t>reserves</w:t>
      </w:r>
      <w:r w:rsidR="00C64050">
        <w:rPr>
          <w:color w:val="000000" w:themeColor="text1"/>
        </w:rPr>
        <w:t xml:space="preserve"> </w:t>
      </w:r>
      <w:r w:rsidRPr="00D10E60">
        <w:rPr>
          <w:color w:val="000000" w:themeColor="text1"/>
        </w:rPr>
        <w:t>to</w:t>
      </w:r>
      <w:r w:rsidR="00C64050">
        <w:rPr>
          <w:color w:val="000000" w:themeColor="text1"/>
        </w:rPr>
        <w:t xml:space="preserve"> </w:t>
      </w:r>
      <w:r w:rsidRPr="00D10E60">
        <w:rPr>
          <w:color w:val="000000" w:themeColor="text1"/>
        </w:rPr>
        <w:t>Pine</w:t>
      </w:r>
      <w:r w:rsidR="00C64050">
        <w:rPr>
          <w:color w:val="000000" w:themeColor="text1"/>
        </w:rPr>
        <w:t xml:space="preserve"> </w:t>
      </w:r>
      <w:r w:rsidRPr="00D10E60">
        <w:rPr>
          <w:color w:val="000000" w:themeColor="text1"/>
        </w:rPr>
        <w:t>Mountain</w:t>
      </w:r>
      <w:r w:rsidR="00C64050">
        <w:rPr>
          <w:color w:val="000000" w:themeColor="text1"/>
        </w:rPr>
        <w:t xml:space="preserve"> </w:t>
      </w:r>
      <w:r w:rsidRPr="00D10E60">
        <w:rPr>
          <w:color w:val="000000" w:themeColor="text1"/>
        </w:rPr>
        <w:t>or</w:t>
      </w:r>
      <w:r w:rsidR="00C64050">
        <w:rPr>
          <w:color w:val="000000" w:themeColor="text1"/>
        </w:rPr>
        <w:t xml:space="preserve"> </w:t>
      </w:r>
      <w:r w:rsidRPr="00D10E60">
        <w:rPr>
          <w:color w:val="000000" w:themeColor="text1"/>
        </w:rPr>
        <w:t>individual</w:t>
      </w:r>
      <w:r w:rsidR="00C64050">
        <w:rPr>
          <w:color w:val="000000" w:themeColor="text1"/>
        </w:rPr>
        <w:t xml:space="preserve"> </w:t>
      </w:r>
      <w:r w:rsidRPr="00D10E60">
        <w:rPr>
          <w:color w:val="000000" w:themeColor="text1"/>
        </w:rPr>
        <w:t>homeowners</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rights</w:t>
      </w:r>
      <w:r w:rsidR="00C64050">
        <w:rPr>
          <w:color w:val="000000" w:themeColor="text1"/>
        </w:rPr>
        <w:t xml:space="preserve"> </w:t>
      </w:r>
      <w:r w:rsidRPr="00D10E60">
        <w:rPr>
          <w:color w:val="000000" w:themeColor="text1"/>
        </w:rPr>
        <w:t>to</w:t>
      </w:r>
      <w:r w:rsidR="00C64050">
        <w:rPr>
          <w:color w:val="000000" w:themeColor="text1"/>
        </w:rPr>
        <w:t xml:space="preserve"> </w:t>
      </w:r>
      <w:r w:rsidRPr="00D10E60">
        <w:rPr>
          <w:color w:val="000000" w:themeColor="text1"/>
        </w:rPr>
        <w:t>construct</w:t>
      </w:r>
      <w:r w:rsidR="00C64050">
        <w:rPr>
          <w:color w:val="000000" w:themeColor="text1"/>
        </w:rPr>
        <w:t xml:space="preserve"> </w:t>
      </w:r>
      <w:r w:rsidRPr="00D10E60">
        <w:rPr>
          <w:color w:val="000000" w:themeColor="text1"/>
        </w:rPr>
        <w:t>one</w:t>
      </w:r>
      <w:r w:rsidR="00C64050">
        <w:rPr>
          <w:color w:val="000000" w:themeColor="text1"/>
        </w:rPr>
        <w:t xml:space="preserve"> </w:t>
      </w:r>
      <w:r w:rsidRPr="00D10E60">
        <w:rPr>
          <w:color w:val="000000" w:themeColor="text1"/>
        </w:rPr>
        <w:t>single-family</w:t>
      </w:r>
      <w:r w:rsidR="00C64050">
        <w:rPr>
          <w:color w:val="000000" w:themeColor="text1"/>
        </w:rPr>
        <w:t xml:space="preserve"> </w:t>
      </w:r>
      <w:r w:rsidRPr="00D10E60">
        <w:rPr>
          <w:color w:val="000000" w:themeColor="text1"/>
        </w:rPr>
        <w:t>dwelling</w:t>
      </w:r>
      <w:r w:rsidR="00C64050">
        <w:rPr>
          <w:color w:val="000000" w:themeColor="text1"/>
        </w:rPr>
        <w:t xml:space="preserve"> </w:t>
      </w:r>
      <w:r w:rsidRPr="00D10E60">
        <w:rPr>
          <w:color w:val="000000" w:themeColor="text1"/>
        </w:rPr>
        <w:t>and</w:t>
      </w:r>
      <w:r w:rsidR="00C64050">
        <w:rPr>
          <w:color w:val="000000" w:themeColor="text1"/>
        </w:rPr>
        <w:t xml:space="preserve"> </w:t>
      </w:r>
      <w:r w:rsidRPr="00D10E60">
        <w:rPr>
          <w:color w:val="000000" w:themeColor="text1"/>
        </w:rPr>
        <w:t>appurtenant</w:t>
      </w:r>
      <w:r w:rsidR="00C64050">
        <w:rPr>
          <w:color w:val="000000" w:themeColor="text1"/>
        </w:rPr>
        <w:t xml:space="preserve"> </w:t>
      </w:r>
      <w:r w:rsidRPr="00D10E60">
        <w:rPr>
          <w:color w:val="000000" w:themeColor="text1"/>
        </w:rPr>
        <w:t>structures</w:t>
      </w:r>
      <w:r w:rsidR="00C64050">
        <w:rPr>
          <w:color w:val="000000" w:themeColor="text1"/>
        </w:rPr>
        <w:t xml:space="preserve"> </w:t>
      </w:r>
      <w:r w:rsidRPr="00D10E60">
        <w:rPr>
          <w:color w:val="000000" w:themeColor="text1"/>
        </w:rPr>
        <w:t>within</w:t>
      </w:r>
      <w:r w:rsidR="00C64050">
        <w:rPr>
          <w:color w:val="000000" w:themeColor="text1"/>
        </w:rPr>
        <w:t xml:space="preserve"> </w:t>
      </w:r>
      <w:r w:rsidRPr="00D10E60">
        <w:rPr>
          <w:color w:val="000000" w:themeColor="text1"/>
        </w:rPr>
        <w:t>each</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ten</w:t>
      </w:r>
      <w:r w:rsidR="00C64050">
        <w:rPr>
          <w:color w:val="000000" w:themeColor="text1"/>
        </w:rPr>
        <w:t xml:space="preserve"> </w:t>
      </w:r>
      <w:r w:rsidRPr="00D10E60">
        <w:rPr>
          <w:color w:val="000000" w:themeColor="text1"/>
        </w:rPr>
        <w:t>“Building</w:t>
      </w:r>
      <w:r w:rsidR="00C64050">
        <w:rPr>
          <w:color w:val="000000" w:themeColor="text1"/>
        </w:rPr>
        <w:t xml:space="preserve"> </w:t>
      </w:r>
      <w:r w:rsidRPr="00D10E60">
        <w:rPr>
          <w:color w:val="000000" w:themeColor="text1"/>
        </w:rPr>
        <w:t>Areas”</w:t>
      </w:r>
      <w:r w:rsidR="00C64050">
        <w:rPr>
          <w:color w:val="000000" w:themeColor="text1"/>
        </w:rPr>
        <w:t xml:space="preserve"> </w:t>
      </w:r>
      <w:r w:rsidRPr="00D10E60">
        <w:rPr>
          <w:color w:val="000000" w:themeColor="text1"/>
        </w:rPr>
        <w:t>inside</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2005</w:t>
      </w:r>
      <w:r w:rsidR="00C64050">
        <w:rPr>
          <w:color w:val="000000" w:themeColor="text1"/>
        </w:rPr>
        <w:t xml:space="preserve"> </w:t>
      </w:r>
      <w:r w:rsidRPr="00D10E60">
        <w:rPr>
          <w:color w:val="000000" w:themeColor="text1"/>
        </w:rPr>
        <w:t>Conservation</w:t>
      </w:r>
      <w:r w:rsidR="00C64050">
        <w:rPr>
          <w:color w:val="000000" w:themeColor="text1"/>
        </w:rPr>
        <w:t xml:space="preserve"> </w:t>
      </w:r>
      <w:r w:rsidRPr="00D10E60">
        <w:rPr>
          <w:color w:val="000000" w:themeColor="text1"/>
        </w:rPr>
        <w:t>Area.</w:t>
      </w:r>
      <w:r w:rsidR="00C64050">
        <w:rPr>
          <w:color w:val="000000" w:themeColor="text1"/>
        </w:rPr>
        <w:t xml:space="preserve"> </w:t>
      </w:r>
      <w:r w:rsidRPr="00D10E60">
        <w:rPr>
          <w:color w:val="000000" w:themeColor="text1"/>
        </w:rPr>
        <w:t>Although</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deed</w:t>
      </w:r>
      <w:r w:rsidR="00C64050">
        <w:rPr>
          <w:color w:val="000000" w:themeColor="text1"/>
        </w:rPr>
        <w:t xml:space="preserve"> </w:t>
      </w:r>
      <w:r w:rsidRPr="00D10E60">
        <w:rPr>
          <w:color w:val="000000" w:themeColor="text1"/>
        </w:rPr>
        <w:t>itself</w:t>
      </w:r>
      <w:r w:rsidR="00C64050">
        <w:rPr>
          <w:color w:val="000000" w:themeColor="text1"/>
        </w:rPr>
        <w:t xml:space="preserve"> </w:t>
      </w:r>
      <w:r w:rsidRPr="00D10E60">
        <w:rPr>
          <w:color w:val="000000" w:themeColor="text1"/>
        </w:rPr>
        <w:t>does</w:t>
      </w:r>
      <w:r w:rsidR="00C64050">
        <w:rPr>
          <w:color w:val="000000" w:themeColor="text1"/>
        </w:rPr>
        <w:t xml:space="preserve"> </w:t>
      </w:r>
      <w:r w:rsidRPr="00D10E60">
        <w:rPr>
          <w:color w:val="000000" w:themeColor="text1"/>
        </w:rPr>
        <w:t>not</w:t>
      </w:r>
      <w:r w:rsidR="00C64050">
        <w:rPr>
          <w:color w:val="000000" w:themeColor="text1"/>
        </w:rPr>
        <w:t xml:space="preserve"> </w:t>
      </w:r>
      <w:r w:rsidRPr="00D10E60">
        <w:rPr>
          <w:color w:val="000000" w:themeColor="text1"/>
        </w:rPr>
        <w:t>limit</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size</w:t>
      </w:r>
      <w:r w:rsidR="00C64050">
        <w:rPr>
          <w:color w:val="000000" w:themeColor="text1"/>
        </w:rPr>
        <w:t xml:space="preserve"> </w:t>
      </w:r>
      <w:r w:rsidRPr="00D10E60">
        <w:rPr>
          <w:color w:val="000000" w:themeColor="text1"/>
        </w:rPr>
        <w:t>or</w:t>
      </w:r>
      <w:r w:rsidR="00C64050">
        <w:rPr>
          <w:color w:val="000000" w:themeColor="text1"/>
        </w:rPr>
        <w:t xml:space="preserve"> </w:t>
      </w:r>
      <w:r w:rsidRPr="00D10E60">
        <w:rPr>
          <w:color w:val="000000" w:themeColor="text1"/>
        </w:rPr>
        <w:t>location</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these</w:t>
      </w:r>
      <w:r w:rsidR="00C64050">
        <w:rPr>
          <w:color w:val="000000" w:themeColor="text1"/>
        </w:rPr>
        <w:t xml:space="preserve"> </w:t>
      </w:r>
      <w:r w:rsidRPr="00D10E60">
        <w:rPr>
          <w:color w:val="000000" w:themeColor="text1"/>
        </w:rPr>
        <w:t>ten</w:t>
      </w:r>
      <w:r w:rsidR="00C64050">
        <w:rPr>
          <w:color w:val="000000" w:themeColor="text1"/>
        </w:rPr>
        <w:t xml:space="preserve"> </w:t>
      </w:r>
      <w:r w:rsidRPr="00D10E60">
        <w:rPr>
          <w:color w:val="000000" w:themeColor="text1"/>
        </w:rPr>
        <w:t>Building</w:t>
      </w:r>
      <w:r w:rsidR="00C64050">
        <w:rPr>
          <w:color w:val="000000" w:themeColor="text1"/>
        </w:rPr>
        <w:t xml:space="preserve"> </w:t>
      </w:r>
      <w:r w:rsidRPr="00D10E60">
        <w:rPr>
          <w:color w:val="000000" w:themeColor="text1"/>
        </w:rPr>
        <w:t>Areas,</w:t>
      </w:r>
      <w:r w:rsidR="00C64050">
        <w:rPr>
          <w:color w:val="000000" w:themeColor="text1"/>
        </w:rPr>
        <w:t xml:space="preserve"> </w:t>
      </w:r>
      <w:r w:rsidRPr="00D10E60">
        <w:rPr>
          <w:color w:val="000000" w:themeColor="text1"/>
        </w:rPr>
        <w:t>an</w:t>
      </w:r>
      <w:r w:rsidR="00C64050">
        <w:rPr>
          <w:color w:val="000000" w:themeColor="text1"/>
        </w:rPr>
        <w:t xml:space="preserve"> </w:t>
      </w:r>
      <w:r w:rsidRPr="00D10E60">
        <w:rPr>
          <w:color w:val="000000" w:themeColor="text1"/>
        </w:rPr>
        <w:t>attached</w:t>
      </w:r>
      <w:r w:rsidR="00C64050">
        <w:rPr>
          <w:color w:val="000000" w:themeColor="text1"/>
        </w:rPr>
        <w:t xml:space="preserve"> </w:t>
      </w:r>
      <w:r w:rsidRPr="00D10E60">
        <w:rPr>
          <w:color w:val="000000" w:themeColor="text1"/>
        </w:rPr>
        <w:t>plat</w:t>
      </w:r>
      <w:r w:rsidR="00C64050">
        <w:rPr>
          <w:color w:val="000000" w:themeColor="text1"/>
        </w:rPr>
        <w:t xml:space="preserve"> </w:t>
      </w:r>
      <w:r w:rsidRPr="00D10E60">
        <w:rPr>
          <w:color w:val="000000" w:themeColor="text1"/>
        </w:rPr>
        <w:t>shows</w:t>
      </w:r>
      <w:r w:rsidR="00C64050">
        <w:rPr>
          <w:color w:val="000000" w:themeColor="text1"/>
        </w:rPr>
        <w:t xml:space="preserve"> </w:t>
      </w:r>
      <w:r w:rsidRPr="00D10E60">
        <w:rPr>
          <w:color w:val="000000" w:themeColor="text1"/>
        </w:rPr>
        <w:t>each</w:t>
      </w:r>
      <w:r w:rsidR="00C64050">
        <w:rPr>
          <w:color w:val="000000" w:themeColor="text1"/>
        </w:rPr>
        <w:t xml:space="preserve"> </w:t>
      </w:r>
      <w:r w:rsidRPr="00D10E60">
        <w:rPr>
          <w:color w:val="000000" w:themeColor="text1"/>
        </w:rPr>
        <w:t>Building</w:t>
      </w:r>
      <w:r w:rsidR="00C64050">
        <w:rPr>
          <w:color w:val="000000" w:themeColor="text1"/>
        </w:rPr>
        <w:t xml:space="preserve"> </w:t>
      </w:r>
      <w:r w:rsidRPr="00D10E60">
        <w:rPr>
          <w:color w:val="000000" w:themeColor="text1"/>
        </w:rPr>
        <w:t>Area</w:t>
      </w:r>
      <w:r w:rsidR="00C64050">
        <w:rPr>
          <w:color w:val="000000" w:themeColor="text1"/>
        </w:rPr>
        <w:t xml:space="preserve"> </w:t>
      </w:r>
      <w:r w:rsidRPr="00D10E60">
        <w:rPr>
          <w:color w:val="000000" w:themeColor="text1"/>
        </w:rPr>
        <w:t>as</w:t>
      </w:r>
      <w:r w:rsidR="00C64050">
        <w:rPr>
          <w:color w:val="000000" w:themeColor="text1"/>
        </w:rPr>
        <w:t xml:space="preserve"> </w:t>
      </w:r>
      <w:r w:rsidRPr="00D10E60">
        <w:rPr>
          <w:color w:val="000000" w:themeColor="text1"/>
        </w:rPr>
        <w:t>a</w:t>
      </w:r>
      <w:r w:rsidR="00C64050">
        <w:rPr>
          <w:color w:val="000000" w:themeColor="text1"/>
        </w:rPr>
        <w:t xml:space="preserve"> </w:t>
      </w:r>
      <w:r w:rsidRPr="00D10E60">
        <w:rPr>
          <w:color w:val="000000" w:themeColor="text1"/>
        </w:rPr>
        <w:t>one-acre</w:t>
      </w:r>
      <w:r w:rsidR="00C64050">
        <w:rPr>
          <w:color w:val="000000" w:themeColor="text1"/>
        </w:rPr>
        <w:t xml:space="preserve"> </w:t>
      </w:r>
      <w:r w:rsidRPr="00D10E60">
        <w:rPr>
          <w:color w:val="000000" w:themeColor="text1"/>
        </w:rPr>
        <w:t>lot</w:t>
      </w:r>
      <w:r w:rsidR="00C64050">
        <w:rPr>
          <w:color w:val="000000" w:themeColor="text1"/>
        </w:rPr>
        <w:t xml:space="preserve"> </w:t>
      </w:r>
      <w:r w:rsidRPr="00D10E60">
        <w:rPr>
          <w:color w:val="000000" w:themeColor="text1"/>
        </w:rPr>
        <w:t>situated</w:t>
      </w:r>
      <w:r w:rsidR="00C64050">
        <w:rPr>
          <w:color w:val="000000" w:themeColor="text1"/>
        </w:rPr>
        <w:t xml:space="preserve"> </w:t>
      </w:r>
      <w:r w:rsidRPr="00D10E60">
        <w:rPr>
          <w:color w:val="000000" w:themeColor="text1"/>
        </w:rPr>
        <w:t>around</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man-made</w:t>
      </w:r>
      <w:r w:rsidR="00C64050">
        <w:rPr>
          <w:color w:val="000000" w:themeColor="text1"/>
        </w:rPr>
        <w:t xml:space="preserve"> </w:t>
      </w:r>
      <w:r w:rsidRPr="00D10E60">
        <w:rPr>
          <w:color w:val="000000" w:themeColor="text1"/>
        </w:rPr>
        <w:t>lake.</w:t>
      </w:r>
    </w:p>
    <w:p w:rsidR="00556571" w:rsidRPr="00D10E60" w:rsidRDefault="00556571" w:rsidP="00D10E60">
      <w:pPr>
        <w:pStyle w:val="QS10"/>
        <w:rPr>
          <w:color w:val="000000" w:themeColor="text1"/>
        </w:rPr>
      </w:pPr>
      <w:r w:rsidRPr="00D10E60">
        <w:rPr>
          <w:color w:val="000000" w:themeColor="text1"/>
        </w:rPr>
        <w:t>Article</w:t>
      </w:r>
      <w:r w:rsidR="00C64050">
        <w:rPr>
          <w:color w:val="000000" w:themeColor="text1"/>
        </w:rPr>
        <w:t xml:space="preserve"> </w:t>
      </w:r>
      <w:r w:rsidRPr="00D10E60">
        <w:rPr>
          <w:color w:val="000000" w:themeColor="text1"/>
        </w:rPr>
        <w:t>3.16,</w:t>
      </w:r>
      <w:r w:rsidR="00C64050">
        <w:rPr>
          <w:color w:val="000000" w:themeColor="text1"/>
        </w:rPr>
        <w:t xml:space="preserve"> </w:t>
      </w:r>
      <w:r w:rsidRPr="00D10E60">
        <w:rPr>
          <w:color w:val="000000" w:themeColor="text1"/>
        </w:rPr>
        <w:t>however,</w:t>
      </w:r>
      <w:r w:rsidR="00C64050">
        <w:rPr>
          <w:color w:val="000000" w:themeColor="text1"/>
        </w:rPr>
        <w:t xml:space="preserve"> </w:t>
      </w:r>
      <w:r w:rsidRPr="00D10E60">
        <w:rPr>
          <w:color w:val="000000" w:themeColor="text1"/>
        </w:rPr>
        <w:t>provides</w:t>
      </w:r>
      <w:r w:rsidR="00C64050">
        <w:rPr>
          <w:color w:val="000000" w:themeColor="text1"/>
        </w:rPr>
        <w:t xml:space="preserve"> </w:t>
      </w:r>
      <w:r w:rsidRPr="00D10E60">
        <w:rPr>
          <w:color w:val="000000" w:themeColor="text1"/>
        </w:rPr>
        <w:t>that</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“boundaries</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Building</w:t>
      </w:r>
      <w:r w:rsidR="00C64050">
        <w:rPr>
          <w:color w:val="000000" w:themeColor="text1"/>
        </w:rPr>
        <w:t xml:space="preserve"> </w:t>
      </w:r>
      <w:r w:rsidRPr="00D10E60">
        <w:rPr>
          <w:color w:val="000000" w:themeColor="text1"/>
        </w:rPr>
        <w:t>Areas</w:t>
      </w:r>
      <w:r w:rsidR="00C64050">
        <w:rPr>
          <w:color w:val="000000" w:themeColor="text1"/>
        </w:rPr>
        <w:t xml:space="preserve"> </w:t>
      </w:r>
      <w:r w:rsidRPr="00D10E60">
        <w:rPr>
          <w:color w:val="000000" w:themeColor="text1"/>
        </w:rPr>
        <w:t>may</w:t>
      </w:r>
      <w:r w:rsidR="00C64050">
        <w:rPr>
          <w:color w:val="000000" w:themeColor="text1"/>
        </w:rPr>
        <w:t xml:space="preserve"> </w:t>
      </w:r>
      <w:r w:rsidRPr="00D10E60">
        <w:rPr>
          <w:color w:val="000000" w:themeColor="text1"/>
        </w:rPr>
        <w:t>be</w:t>
      </w:r>
      <w:r w:rsidR="00C64050">
        <w:rPr>
          <w:color w:val="000000" w:themeColor="text1"/>
        </w:rPr>
        <w:t xml:space="preserve"> </w:t>
      </w:r>
      <w:r w:rsidRPr="00D10E60">
        <w:rPr>
          <w:color w:val="000000" w:themeColor="text1"/>
        </w:rPr>
        <w:t>modified</w:t>
      </w:r>
      <w:r w:rsidR="00C64050">
        <w:rPr>
          <w:color w:val="000000" w:themeColor="text1"/>
        </w:rPr>
        <w:t xml:space="preserve"> </w:t>
      </w:r>
      <w:r w:rsidRPr="00D10E60">
        <w:rPr>
          <w:color w:val="000000" w:themeColor="text1"/>
        </w:rPr>
        <w:t>by</w:t>
      </w:r>
      <w:r w:rsidR="00C64050">
        <w:rPr>
          <w:color w:val="000000" w:themeColor="text1"/>
        </w:rPr>
        <w:t xml:space="preserve"> </w:t>
      </w:r>
      <w:r w:rsidRPr="00D10E60">
        <w:rPr>
          <w:color w:val="000000" w:themeColor="text1"/>
        </w:rPr>
        <w:t>mutual</w:t>
      </w:r>
      <w:r w:rsidR="00C64050">
        <w:rPr>
          <w:color w:val="000000" w:themeColor="text1"/>
        </w:rPr>
        <w:t xml:space="preserve"> </w:t>
      </w:r>
      <w:r w:rsidRPr="00D10E60">
        <w:rPr>
          <w:color w:val="000000" w:themeColor="text1"/>
        </w:rPr>
        <w:t>agreement”</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Pine</w:t>
      </w:r>
      <w:r w:rsidR="00C64050">
        <w:rPr>
          <w:color w:val="000000" w:themeColor="text1"/>
        </w:rPr>
        <w:t xml:space="preserve"> </w:t>
      </w:r>
      <w:r w:rsidRPr="00D10E60">
        <w:rPr>
          <w:color w:val="000000" w:themeColor="text1"/>
        </w:rPr>
        <w:t>Mountain</w:t>
      </w:r>
      <w:r w:rsidR="00C64050">
        <w:rPr>
          <w:color w:val="000000" w:themeColor="text1"/>
        </w:rPr>
        <w:t xml:space="preserve"> </w:t>
      </w:r>
      <w:r w:rsidRPr="00D10E60">
        <w:rPr>
          <w:color w:val="000000" w:themeColor="text1"/>
        </w:rPr>
        <w:t>and</w:t>
      </w:r>
      <w:r w:rsidR="00C64050">
        <w:rPr>
          <w:color w:val="000000" w:themeColor="text1"/>
        </w:rPr>
        <w:t xml:space="preserve"> </w:t>
      </w:r>
      <w:r w:rsidRPr="00D10E60">
        <w:rPr>
          <w:color w:val="000000" w:themeColor="text1"/>
        </w:rPr>
        <w:t>NALT.</w:t>
      </w:r>
      <w:r w:rsidR="00C64050">
        <w:rPr>
          <w:color w:val="000000" w:themeColor="text1"/>
        </w:rPr>
        <w:t xml:space="preserve"> </w:t>
      </w:r>
      <w:r w:rsidRPr="00D10E60">
        <w:rPr>
          <w:color w:val="000000" w:themeColor="text1"/>
        </w:rPr>
        <w:t>Such</w:t>
      </w:r>
      <w:r w:rsidR="00C64050">
        <w:rPr>
          <w:color w:val="000000" w:themeColor="text1"/>
        </w:rPr>
        <w:t xml:space="preserve"> </w:t>
      </w:r>
      <w:r w:rsidRPr="00D10E60">
        <w:rPr>
          <w:color w:val="000000" w:themeColor="text1"/>
        </w:rPr>
        <w:t>modification</w:t>
      </w:r>
      <w:r w:rsidR="00C64050">
        <w:rPr>
          <w:color w:val="000000" w:themeColor="text1"/>
        </w:rPr>
        <w:t xml:space="preserve"> </w:t>
      </w:r>
      <w:r w:rsidRPr="00D10E60">
        <w:rPr>
          <w:color w:val="000000" w:themeColor="text1"/>
        </w:rPr>
        <w:t>is</w:t>
      </w:r>
      <w:r w:rsidR="00C64050">
        <w:rPr>
          <w:color w:val="000000" w:themeColor="text1"/>
        </w:rPr>
        <w:t xml:space="preserve"> </w:t>
      </w:r>
      <w:r w:rsidRPr="00D10E60">
        <w:rPr>
          <w:color w:val="000000" w:themeColor="text1"/>
        </w:rPr>
        <w:t>subject</w:t>
      </w:r>
      <w:r w:rsidR="00C64050">
        <w:rPr>
          <w:color w:val="000000" w:themeColor="text1"/>
        </w:rPr>
        <w:t xml:space="preserve"> </w:t>
      </w:r>
      <w:r w:rsidRPr="00D10E60">
        <w:rPr>
          <w:color w:val="000000" w:themeColor="text1"/>
        </w:rPr>
        <w:t>to</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proviso</w:t>
      </w:r>
      <w:r w:rsidR="00C64050">
        <w:rPr>
          <w:color w:val="000000" w:themeColor="text1"/>
        </w:rPr>
        <w:t xml:space="preserve"> </w:t>
      </w:r>
      <w:r w:rsidRPr="00D10E60">
        <w:rPr>
          <w:color w:val="000000" w:themeColor="text1"/>
        </w:rPr>
        <w:t>that</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areas</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a</w:t>
      </w:r>
      <w:r w:rsidR="00C64050">
        <w:rPr>
          <w:color w:val="000000" w:themeColor="text1"/>
        </w:rPr>
        <w:t xml:space="preserve"> </w:t>
      </w:r>
      <w:r w:rsidRPr="00D10E60">
        <w:rPr>
          <w:color w:val="000000" w:themeColor="text1"/>
        </w:rPr>
        <w:t>Building</w:t>
      </w:r>
      <w:r w:rsidR="00C64050">
        <w:rPr>
          <w:color w:val="000000" w:themeColor="text1"/>
        </w:rPr>
        <w:t xml:space="preserve"> </w:t>
      </w:r>
      <w:r w:rsidRPr="00D10E60">
        <w:rPr>
          <w:color w:val="000000" w:themeColor="text1"/>
        </w:rPr>
        <w:t>Area</w:t>
      </w:r>
      <w:r w:rsidR="00C64050">
        <w:rPr>
          <w:color w:val="000000" w:themeColor="text1"/>
        </w:rPr>
        <w:t xml:space="preserve"> </w:t>
      </w:r>
      <w:r w:rsidRPr="00D10E60">
        <w:rPr>
          <w:color w:val="000000" w:themeColor="text1"/>
        </w:rPr>
        <w:t>shall</w:t>
      </w:r>
      <w:r w:rsidR="00C64050">
        <w:rPr>
          <w:color w:val="000000" w:themeColor="text1"/>
        </w:rPr>
        <w:t xml:space="preserve"> </w:t>
      </w:r>
      <w:r w:rsidRPr="00D10E60">
        <w:rPr>
          <w:color w:val="000000" w:themeColor="text1"/>
        </w:rPr>
        <w:t>not</w:t>
      </w:r>
      <w:r w:rsidR="00C64050">
        <w:rPr>
          <w:color w:val="000000" w:themeColor="text1"/>
        </w:rPr>
        <w:t xml:space="preserve"> </w:t>
      </w:r>
      <w:r w:rsidRPr="00D10E60">
        <w:rPr>
          <w:color w:val="000000" w:themeColor="text1"/>
        </w:rPr>
        <w:t>be</w:t>
      </w:r>
      <w:r w:rsidR="00C64050">
        <w:rPr>
          <w:color w:val="000000" w:themeColor="text1"/>
        </w:rPr>
        <w:t xml:space="preserve"> </w:t>
      </w:r>
      <w:r w:rsidRPr="00D10E60">
        <w:rPr>
          <w:color w:val="000000" w:themeColor="text1"/>
        </w:rPr>
        <w:t>increased”</w:t>
      </w:r>
      <w:r w:rsidR="00C64050">
        <w:rPr>
          <w:color w:val="000000" w:themeColor="text1"/>
        </w:rPr>
        <w:t xml:space="preserve"> </w:t>
      </w:r>
      <w:r w:rsidRPr="00D10E60">
        <w:rPr>
          <w:color w:val="000000" w:themeColor="text1"/>
        </w:rPr>
        <w:t>and</w:t>
      </w:r>
      <w:r w:rsidR="00C64050">
        <w:rPr>
          <w:color w:val="000000" w:themeColor="text1"/>
        </w:rPr>
        <w:t xml:space="preserve"> </w:t>
      </w:r>
      <w:r w:rsidRPr="00D10E60">
        <w:rPr>
          <w:color w:val="000000" w:themeColor="text1"/>
        </w:rPr>
        <w:t>that</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boundary</w:t>
      </w:r>
      <w:r w:rsidR="00C64050">
        <w:rPr>
          <w:color w:val="000000" w:themeColor="text1"/>
        </w:rPr>
        <w:t xml:space="preserve"> </w:t>
      </w:r>
      <w:r w:rsidRPr="00D10E60">
        <w:rPr>
          <w:color w:val="000000" w:themeColor="text1"/>
        </w:rPr>
        <w:t>modifications</w:t>
      </w:r>
      <w:r w:rsidR="00C64050">
        <w:rPr>
          <w:color w:val="000000" w:themeColor="text1"/>
        </w:rPr>
        <w:t xml:space="preserve"> </w:t>
      </w:r>
      <w:r w:rsidRPr="00D10E60">
        <w:rPr>
          <w:color w:val="000000" w:themeColor="text1"/>
        </w:rPr>
        <w:t>shall</w:t>
      </w:r>
      <w:r w:rsidR="00C64050">
        <w:rPr>
          <w:color w:val="000000" w:themeColor="text1"/>
        </w:rPr>
        <w:t xml:space="preserve"> </w:t>
      </w:r>
      <w:r w:rsidRPr="00D10E60">
        <w:rPr>
          <w:color w:val="000000" w:themeColor="text1"/>
        </w:rPr>
        <w:t>not,</w:t>
      </w:r>
      <w:r w:rsidR="00C64050">
        <w:rPr>
          <w:color w:val="000000" w:themeColor="text1"/>
        </w:rPr>
        <w:t xml:space="preserve"> </w:t>
      </w:r>
      <w:r w:rsidRPr="00D10E60">
        <w:rPr>
          <w:color w:val="000000" w:themeColor="text1"/>
        </w:rPr>
        <w:t>in</w:t>
      </w:r>
      <w:r w:rsidR="00C64050">
        <w:rPr>
          <w:color w:val="000000" w:themeColor="text1"/>
        </w:rPr>
        <w:t xml:space="preserve"> </w:t>
      </w:r>
      <w:r w:rsidRPr="00D10E60">
        <w:rPr>
          <w:color w:val="000000" w:themeColor="text1"/>
        </w:rPr>
        <w:t>NALT's</w:t>
      </w:r>
      <w:r w:rsidR="00C64050">
        <w:rPr>
          <w:color w:val="000000" w:themeColor="text1"/>
        </w:rPr>
        <w:t xml:space="preserve"> </w:t>
      </w:r>
      <w:r w:rsidRPr="00D10E60">
        <w:rPr>
          <w:color w:val="000000" w:themeColor="text1"/>
        </w:rPr>
        <w:t>“reasonable</w:t>
      </w:r>
      <w:r w:rsidR="00C64050">
        <w:rPr>
          <w:color w:val="000000" w:themeColor="text1"/>
        </w:rPr>
        <w:t xml:space="preserve"> </w:t>
      </w:r>
      <w:r w:rsidRPr="00D10E60">
        <w:rPr>
          <w:color w:val="000000" w:themeColor="text1"/>
        </w:rPr>
        <w:t>judgment,”</w:t>
      </w:r>
      <w:r w:rsidR="00C64050">
        <w:rPr>
          <w:color w:val="000000" w:themeColor="text1"/>
        </w:rPr>
        <w:t xml:space="preserve"> </w:t>
      </w:r>
      <w:r w:rsidRPr="00D10E60">
        <w:rPr>
          <w:color w:val="000000" w:themeColor="text1"/>
        </w:rPr>
        <w:t>adversely</w:t>
      </w:r>
      <w:r w:rsidR="00C64050">
        <w:rPr>
          <w:color w:val="000000" w:themeColor="text1"/>
        </w:rPr>
        <w:t xml:space="preserve"> </w:t>
      </w:r>
      <w:r w:rsidRPr="00D10E60">
        <w:rPr>
          <w:color w:val="000000" w:themeColor="text1"/>
        </w:rPr>
        <w:t>affect</w:t>
      </w:r>
      <w:r w:rsidR="00C64050">
        <w:rPr>
          <w:color w:val="000000" w:themeColor="text1"/>
        </w:rPr>
        <w:t xml:space="preserve"> </w:t>
      </w:r>
      <w:r w:rsidRPr="00D10E60">
        <w:rPr>
          <w:color w:val="000000" w:themeColor="text1"/>
        </w:rPr>
        <w:t>conservation</w:t>
      </w:r>
      <w:r w:rsidR="00C64050">
        <w:rPr>
          <w:color w:val="000000" w:themeColor="text1"/>
        </w:rPr>
        <w:t xml:space="preserve"> </w:t>
      </w:r>
      <w:r w:rsidRPr="00D10E60">
        <w:rPr>
          <w:color w:val="000000" w:themeColor="text1"/>
        </w:rPr>
        <w:t>purposes.</w:t>
      </w:r>
      <w:r w:rsidR="00C64050">
        <w:rPr>
          <w:color w:val="000000" w:themeColor="text1"/>
        </w:rPr>
        <w:t xml:space="preserve"> </w:t>
      </w:r>
      <w:r w:rsidRPr="00D10E60">
        <w:rPr>
          <w:color w:val="000000" w:themeColor="text1"/>
        </w:rPr>
        <w:t>Article</w:t>
      </w:r>
      <w:r w:rsidR="00C64050">
        <w:rPr>
          <w:color w:val="000000" w:themeColor="text1"/>
        </w:rPr>
        <w:t xml:space="preserve"> </w:t>
      </w:r>
      <w:r w:rsidRPr="00D10E60">
        <w:rPr>
          <w:color w:val="000000" w:themeColor="text1"/>
        </w:rPr>
        <w:t>3.16</w:t>
      </w:r>
      <w:r w:rsidR="00C64050">
        <w:rPr>
          <w:color w:val="000000" w:themeColor="text1"/>
        </w:rPr>
        <w:t xml:space="preserve"> </w:t>
      </w:r>
      <w:r w:rsidRPr="00D10E60">
        <w:rPr>
          <w:color w:val="000000" w:themeColor="text1"/>
        </w:rPr>
        <w:t>thus</w:t>
      </w:r>
      <w:r w:rsidR="00C64050">
        <w:rPr>
          <w:color w:val="000000" w:themeColor="text1"/>
        </w:rPr>
        <w:t xml:space="preserve"> </w:t>
      </w:r>
      <w:r w:rsidRPr="00D10E60">
        <w:rPr>
          <w:color w:val="000000" w:themeColor="text1"/>
        </w:rPr>
        <w:t>permits</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Building</w:t>
      </w:r>
      <w:r w:rsidR="00C64050">
        <w:rPr>
          <w:color w:val="000000" w:themeColor="text1"/>
        </w:rPr>
        <w:t xml:space="preserve"> </w:t>
      </w:r>
      <w:r w:rsidRPr="00D10E60">
        <w:rPr>
          <w:color w:val="000000" w:themeColor="text1"/>
        </w:rPr>
        <w:t>Areas</w:t>
      </w:r>
      <w:r w:rsidR="00C64050">
        <w:rPr>
          <w:color w:val="000000" w:themeColor="text1"/>
        </w:rPr>
        <w:t xml:space="preserve"> </w:t>
      </w:r>
      <w:r w:rsidRPr="00D10E60">
        <w:rPr>
          <w:color w:val="000000" w:themeColor="text1"/>
        </w:rPr>
        <w:t>to</w:t>
      </w:r>
      <w:r w:rsidR="00C64050">
        <w:rPr>
          <w:color w:val="000000" w:themeColor="text1"/>
        </w:rPr>
        <w:t xml:space="preserve"> </w:t>
      </w:r>
      <w:r w:rsidRPr="00D10E60">
        <w:rPr>
          <w:color w:val="000000" w:themeColor="text1"/>
        </w:rPr>
        <w:t>be</w:t>
      </w:r>
      <w:r w:rsidR="00C64050">
        <w:rPr>
          <w:color w:val="000000" w:themeColor="text1"/>
        </w:rPr>
        <w:t xml:space="preserve"> </w:t>
      </w:r>
      <w:r w:rsidRPr="00D10E60">
        <w:rPr>
          <w:color w:val="000000" w:themeColor="text1"/>
        </w:rPr>
        <w:t>relocated</w:t>
      </w:r>
      <w:r w:rsidR="00C64050">
        <w:rPr>
          <w:color w:val="000000" w:themeColor="text1"/>
        </w:rPr>
        <w:t xml:space="preserve"> </w:t>
      </w:r>
      <w:r w:rsidRPr="00D10E60">
        <w:rPr>
          <w:color w:val="000000" w:themeColor="text1"/>
        </w:rPr>
        <w:t>(with</w:t>
      </w:r>
      <w:r w:rsidR="00C64050">
        <w:rPr>
          <w:color w:val="000000" w:themeColor="text1"/>
        </w:rPr>
        <w:t xml:space="preserve"> </w:t>
      </w:r>
      <w:r w:rsidRPr="00D10E60">
        <w:rPr>
          <w:color w:val="000000" w:themeColor="text1"/>
        </w:rPr>
        <w:t>NALT's</w:t>
      </w:r>
      <w:r w:rsidR="00C64050">
        <w:rPr>
          <w:color w:val="000000" w:themeColor="text1"/>
        </w:rPr>
        <w:t xml:space="preserve"> </w:t>
      </w:r>
      <w:r w:rsidRPr="00D10E60">
        <w:rPr>
          <w:color w:val="000000" w:themeColor="text1"/>
        </w:rPr>
        <w:t>consent)</w:t>
      </w:r>
      <w:r w:rsidR="00C64050">
        <w:rPr>
          <w:color w:val="000000" w:themeColor="text1"/>
        </w:rPr>
        <w:t xml:space="preserve"> </w:t>
      </w:r>
      <w:r w:rsidRPr="00D10E60">
        <w:rPr>
          <w:color w:val="000000" w:themeColor="text1"/>
        </w:rPr>
        <w:t>to</w:t>
      </w:r>
      <w:r w:rsidR="00C64050">
        <w:rPr>
          <w:color w:val="000000" w:themeColor="text1"/>
        </w:rPr>
        <w:t xml:space="preserve"> </w:t>
      </w:r>
      <w:r w:rsidRPr="00D10E60">
        <w:rPr>
          <w:color w:val="000000" w:themeColor="text1"/>
        </w:rPr>
        <w:t>higher</w:t>
      </w:r>
      <w:r w:rsidR="00C64050">
        <w:rPr>
          <w:color w:val="000000" w:themeColor="text1"/>
        </w:rPr>
        <w:t xml:space="preserve"> </w:t>
      </w:r>
      <w:r w:rsidRPr="00D10E60">
        <w:rPr>
          <w:color w:val="000000" w:themeColor="text1"/>
        </w:rPr>
        <w:t>elevation</w:t>
      </w:r>
      <w:r w:rsidR="00C64050">
        <w:rPr>
          <w:color w:val="000000" w:themeColor="text1"/>
        </w:rPr>
        <w:t xml:space="preserve"> </w:t>
      </w:r>
      <w:r w:rsidRPr="00D10E60">
        <w:rPr>
          <w:color w:val="000000" w:themeColor="text1"/>
        </w:rPr>
        <w:t>zones</w:t>
      </w:r>
      <w:r w:rsidR="00C64050">
        <w:rPr>
          <w:color w:val="000000" w:themeColor="text1"/>
        </w:rPr>
        <w:t xml:space="preserve"> </w:t>
      </w:r>
      <w:r w:rsidRPr="00D10E60">
        <w:rPr>
          <w:color w:val="000000" w:themeColor="text1"/>
        </w:rPr>
        <w:t>or</w:t>
      </w:r>
      <w:r w:rsidR="00C64050">
        <w:rPr>
          <w:color w:val="000000" w:themeColor="text1"/>
        </w:rPr>
        <w:t xml:space="preserve"> </w:t>
      </w:r>
      <w:r w:rsidRPr="00D10E60">
        <w:rPr>
          <w:color w:val="000000" w:themeColor="text1"/>
        </w:rPr>
        <w:t>to</w:t>
      </w:r>
      <w:r w:rsidR="00C64050">
        <w:rPr>
          <w:color w:val="000000" w:themeColor="text1"/>
        </w:rPr>
        <w:t xml:space="preserve"> </w:t>
      </w:r>
      <w:r w:rsidRPr="00D10E60">
        <w:rPr>
          <w:color w:val="000000" w:themeColor="text1"/>
        </w:rPr>
        <w:t>other</w:t>
      </w:r>
      <w:r w:rsidR="00C64050">
        <w:rPr>
          <w:color w:val="000000" w:themeColor="text1"/>
        </w:rPr>
        <w:t xml:space="preserve"> </w:t>
      </w:r>
      <w:r w:rsidRPr="00D10E60">
        <w:rPr>
          <w:color w:val="000000" w:themeColor="text1"/>
        </w:rPr>
        <w:t>locations</w:t>
      </w:r>
      <w:r w:rsidR="00C64050">
        <w:rPr>
          <w:color w:val="000000" w:themeColor="text1"/>
        </w:rPr>
        <w:t xml:space="preserve"> </w:t>
      </w:r>
      <w:r w:rsidRPr="00D10E60">
        <w:rPr>
          <w:color w:val="000000" w:themeColor="text1"/>
        </w:rPr>
        <w:t>within</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2005</w:t>
      </w:r>
      <w:r w:rsidR="00C64050">
        <w:rPr>
          <w:color w:val="000000" w:themeColor="text1"/>
        </w:rPr>
        <w:t xml:space="preserve"> </w:t>
      </w:r>
      <w:r w:rsidRPr="00D10E60">
        <w:rPr>
          <w:color w:val="000000" w:themeColor="text1"/>
        </w:rPr>
        <w:t>Conservation</w:t>
      </w:r>
      <w:r w:rsidR="00C64050">
        <w:rPr>
          <w:color w:val="000000" w:themeColor="text1"/>
        </w:rPr>
        <w:t xml:space="preserve"> </w:t>
      </w:r>
      <w:r w:rsidRPr="00D10E60">
        <w:rPr>
          <w:color w:val="000000" w:themeColor="text1"/>
        </w:rPr>
        <w:t>Area.</w:t>
      </w:r>
    </w:p>
    <w:p w:rsidR="00556571" w:rsidRPr="00D10E60" w:rsidRDefault="00556571" w:rsidP="00D10E60">
      <w:pPr>
        <w:pStyle w:val="QS10"/>
        <w:rPr>
          <w:color w:val="000000" w:themeColor="text1"/>
        </w:rPr>
      </w:pPr>
      <w:r w:rsidRPr="00D10E60">
        <w:rPr>
          <w:color w:val="000000" w:themeColor="text1"/>
        </w:rPr>
        <w:t>Besides</w:t>
      </w:r>
      <w:r w:rsidR="00C64050">
        <w:rPr>
          <w:color w:val="000000" w:themeColor="text1"/>
        </w:rPr>
        <w:t xml:space="preserve"> </w:t>
      </w:r>
      <w:r w:rsidRPr="00D10E60">
        <w:rPr>
          <w:color w:val="000000" w:themeColor="text1"/>
        </w:rPr>
        <w:t>permitting</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relocation</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homesites,</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easement</w:t>
      </w:r>
      <w:r w:rsidR="00C64050">
        <w:rPr>
          <w:color w:val="000000" w:themeColor="text1"/>
        </w:rPr>
        <w:t xml:space="preserve"> </w:t>
      </w:r>
      <w:r w:rsidRPr="00D10E60">
        <w:rPr>
          <w:color w:val="000000" w:themeColor="text1"/>
        </w:rPr>
        <w:t>permits</w:t>
      </w:r>
      <w:r w:rsidR="00C64050">
        <w:rPr>
          <w:color w:val="000000" w:themeColor="text1"/>
        </w:rPr>
        <w:t xml:space="preserve"> </w:t>
      </w:r>
      <w:r w:rsidRPr="00D10E60">
        <w:rPr>
          <w:color w:val="000000" w:themeColor="text1"/>
        </w:rPr>
        <w:t>Pine</w:t>
      </w:r>
      <w:r w:rsidR="00C64050">
        <w:rPr>
          <w:color w:val="000000" w:themeColor="text1"/>
        </w:rPr>
        <w:t xml:space="preserve"> </w:t>
      </w:r>
      <w:r w:rsidRPr="00D10E60">
        <w:rPr>
          <w:color w:val="000000" w:themeColor="text1"/>
        </w:rPr>
        <w:t>Mountain</w:t>
      </w:r>
      <w:r w:rsidR="00C64050">
        <w:rPr>
          <w:color w:val="000000" w:themeColor="text1"/>
        </w:rPr>
        <w:t xml:space="preserve"> </w:t>
      </w:r>
      <w:r w:rsidRPr="00D10E60">
        <w:rPr>
          <w:color w:val="000000" w:themeColor="text1"/>
        </w:rPr>
        <w:t>to</w:t>
      </w:r>
      <w:r w:rsidR="00C64050">
        <w:rPr>
          <w:color w:val="000000" w:themeColor="text1"/>
        </w:rPr>
        <w:t xml:space="preserve"> </w:t>
      </w:r>
      <w:r w:rsidRPr="00D10E60">
        <w:rPr>
          <w:color w:val="000000" w:themeColor="text1"/>
        </w:rPr>
        <w:t>build</w:t>
      </w:r>
      <w:r w:rsidR="00C64050">
        <w:rPr>
          <w:color w:val="000000" w:themeColor="text1"/>
        </w:rPr>
        <w:t xml:space="preserve"> </w:t>
      </w:r>
      <w:r w:rsidRPr="00D10E60">
        <w:rPr>
          <w:color w:val="000000" w:themeColor="text1"/>
        </w:rPr>
        <w:t>within</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2005</w:t>
      </w:r>
      <w:r w:rsidR="00C64050">
        <w:rPr>
          <w:color w:val="000000" w:themeColor="text1"/>
        </w:rPr>
        <w:t xml:space="preserve"> </w:t>
      </w:r>
      <w:r w:rsidRPr="00D10E60">
        <w:rPr>
          <w:color w:val="000000" w:themeColor="text1"/>
        </w:rPr>
        <w:t>Conservation</w:t>
      </w:r>
      <w:r w:rsidR="00C64050">
        <w:rPr>
          <w:color w:val="000000" w:themeColor="text1"/>
        </w:rPr>
        <w:t xml:space="preserve"> </w:t>
      </w:r>
      <w:r w:rsidRPr="00D10E60">
        <w:rPr>
          <w:color w:val="000000" w:themeColor="text1"/>
        </w:rPr>
        <w:t>Area</w:t>
      </w:r>
      <w:r w:rsidR="00C64050">
        <w:rPr>
          <w:color w:val="000000" w:themeColor="text1"/>
        </w:rPr>
        <w:t xml:space="preserve"> </w:t>
      </w:r>
      <w:r w:rsidRPr="00D10E60">
        <w:rPr>
          <w:color w:val="000000" w:themeColor="text1"/>
        </w:rPr>
        <w:t>other</w:t>
      </w:r>
      <w:r w:rsidR="00C64050">
        <w:rPr>
          <w:color w:val="000000" w:themeColor="text1"/>
        </w:rPr>
        <w:t xml:space="preserve"> </w:t>
      </w:r>
      <w:r w:rsidRPr="00D10E60">
        <w:rPr>
          <w:color w:val="000000" w:themeColor="text1"/>
        </w:rPr>
        <w:t>structures</w:t>
      </w:r>
      <w:r w:rsidR="00C64050">
        <w:rPr>
          <w:color w:val="000000" w:themeColor="text1"/>
        </w:rPr>
        <w:t xml:space="preserve"> </w:t>
      </w:r>
      <w:r w:rsidRPr="00D10E60">
        <w:rPr>
          <w:color w:val="000000" w:themeColor="text1"/>
        </w:rPr>
        <w:t>and</w:t>
      </w:r>
      <w:r w:rsidR="00C64050">
        <w:rPr>
          <w:color w:val="000000" w:themeColor="text1"/>
        </w:rPr>
        <w:t xml:space="preserve"> </w:t>
      </w:r>
      <w:r w:rsidRPr="00D10E60">
        <w:rPr>
          <w:color w:val="000000" w:themeColor="text1"/>
        </w:rPr>
        <w:t>facilities</w:t>
      </w:r>
      <w:r w:rsidR="00C64050">
        <w:rPr>
          <w:color w:val="000000" w:themeColor="text1"/>
        </w:rPr>
        <w:t xml:space="preserve"> </w:t>
      </w:r>
      <w:r w:rsidRPr="00D10E60">
        <w:rPr>
          <w:color w:val="000000" w:themeColor="text1"/>
        </w:rPr>
        <w:t>appurtenant</w:t>
      </w:r>
      <w:r w:rsidR="00C64050">
        <w:rPr>
          <w:color w:val="000000" w:themeColor="text1"/>
        </w:rPr>
        <w:t xml:space="preserve"> </w:t>
      </w:r>
      <w:r w:rsidRPr="00D10E60">
        <w:rPr>
          <w:color w:val="000000" w:themeColor="text1"/>
        </w:rPr>
        <w:t>to</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residential</w:t>
      </w:r>
      <w:r w:rsidR="00C64050">
        <w:rPr>
          <w:color w:val="000000" w:themeColor="text1"/>
        </w:rPr>
        <w:t xml:space="preserve"> </w:t>
      </w:r>
      <w:r w:rsidRPr="00D10E60">
        <w:rPr>
          <w:color w:val="000000" w:themeColor="text1"/>
        </w:rPr>
        <w:t>development.</w:t>
      </w:r>
      <w:r w:rsidR="00C64050">
        <w:rPr>
          <w:color w:val="000000" w:themeColor="text1"/>
        </w:rPr>
        <w:t xml:space="preserve"> </w:t>
      </w:r>
      <w:r w:rsidRPr="00D10E60">
        <w:rPr>
          <w:color w:val="000000" w:themeColor="text1"/>
        </w:rPr>
        <w:t>These</w:t>
      </w:r>
      <w:r w:rsidR="00C64050">
        <w:rPr>
          <w:color w:val="000000" w:themeColor="text1"/>
        </w:rPr>
        <w:t xml:space="preserve"> </w:t>
      </w:r>
      <w:r w:rsidRPr="00D10E60">
        <w:rPr>
          <w:color w:val="000000" w:themeColor="text1"/>
        </w:rPr>
        <w:t>include:</w:t>
      </w:r>
    </w:p>
    <w:p w:rsidR="00556571" w:rsidRPr="00D10E60" w:rsidRDefault="00556571" w:rsidP="00D10E60">
      <w:pPr>
        <w:pStyle w:val="QS10"/>
        <w:rPr>
          <w:color w:val="000000" w:themeColor="text1"/>
        </w:rPr>
      </w:pPr>
      <w:r w:rsidRPr="00D10E60">
        <w:rPr>
          <w:color w:val="000000" w:themeColor="text1"/>
        </w:rPr>
        <w:t>•</w:t>
      </w:r>
      <w:r w:rsidR="00C64050">
        <w:rPr>
          <w:color w:val="000000" w:themeColor="text1"/>
        </w:rPr>
        <w:t xml:space="preserve"> </w:t>
      </w:r>
      <w:r w:rsidRPr="00D10E60">
        <w:rPr>
          <w:color w:val="000000" w:themeColor="text1"/>
        </w:rPr>
        <w:t>at</w:t>
      </w:r>
      <w:r w:rsidR="00C64050">
        <w:rPr>
          <w:color w:val="000000" w:themeColor="text1"/>
        </w:rPr>
        <w:t xml:space="preserve"> </w:t>
      </w:r>
      <w:r w:rsidRPr="00D10E60">
        <w:rPr>
          <w:color w:val="000000" w:themeColor="text1"/>
        </w:rPr>
        <w:t>least</w:t>
      </w:r>
      <w:r w:rsidR="00C64050">
        <w:rPr>
          <w:color w:val="000000" w:themeColor="text1"/>
        </w:rPr>
        <w:t xml:space="preserve"> </w:t>
      </w:r>
      <w:r w:rsidRPr="00D10E60">
        <w:rPr>
          <w:color w:val="000000" w:themeColor="text1"/>
        </w:rPr>
        <w:t>ten</w:t>
      </w:r>
      <w:r w:rsidR="00C64050">
        <w:rPr>
          <w:color w:val="000000" w:themeColor="text1"/>
        </w:rPr>
        <w:t xml:space="preserve"> </w:t>
      </w:r>
      <w:r w:rsidRPr="00D10E60">
        <w:rPr>
          <w:color w:val="000000" w:themeColor="text1"/>
        </w:rPr>
        <w:t>barns,</w:t>
      </w:r>
      <w:r w:rsidR="00C64050">
        <w:rPr>
          <w:color w:val="000000" w:themeColor="text1"/>
        </w:rPr>
        <w:t xml:space="preserve"> </w:t>
      </w:r>
      <w:r w:rsidRPr="00D10E60">
        <w:rPr>
          <w:color w:val="000000" w:themeColor="text1"/>
        </w:rPr>
        <w:t>each</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which</w:t>
      </w:r>
      <w:r w:rsidR="00C64050">
        <w:rPr>
          <w:color w:val="000000" w:themeColor="text1"/>
        </w:rPr>
        <w:t xml:space="preserve"> </w:t>
      </w:r>
      <w:r w:rsidRPr="00D10E60">
        <w:rPr>
          <w:color w:val="000000" w:themeColor="text1"/>
        </w:rPr>
        <w:t>may</w:t>
      </w:r>
      <w:r w:rsidR="00C64050">
        <w:rPr>
          <w:color w:val="000000" w:themeColor="text1"/>
        </w:rPr>
        <w:t xml:space="preserve"> </w:t>
      </w:r>
      <w:r w:rsidRPr="00D10E60">
        <w:rPr>
          <w:color w:val="000000" w:themeColor="text1"/>
        </w:rPr>
        <w:t>include</w:t>
      </w:r>
      <w:r w:rsidR="00C64050">
        <w:rPr>
          <w:color w:val="000000" w:themeColor="text1"/>
        </w:rPr>
        <w:t xml:space="preserve"> </w:t>
      </w:r>
      <w:r w:rsidRPr="00D10E60">
        <w:rPr>
          <w:color w:val="000000" w:themeColor="text1"/>
        </w:rPr>
        <w:t>“an</w:t>
      </w:r>
      <w:r w:rsidR="00C64050">
        <w:rPr>
          <w:color w:val="000000" w:themeColor="text1"/>
        </w:rPr>
        <w:t xml:space="preserve"> </w:t>
      </w:r>
      <w:r w:rsidRPr="00D10E60">
        <w:rPr>
          <w:color w:val="000000" w:themeColor="text1"/>
        </w:rPr>
        <w:t>apartment</w:t>
      </w:r>
      <w:r w:rsidR="00C64050">
        <w:rPr>
          <w:color w:val="000000" w:themeColor="text1"/>
        </w:rPr>
        <w:t xml:space="preserve"> </w:t>
      </w:r>
      <w:r w:rsidRPr="00D10E60">
        <w:rPr>
          <w:color w:val="000000" w:themeColor="text1"/>
        </w:rPr>
        <w:t>for</w:t>
      </w:r>
      <w:r w:rsidR="00C64050">
        <w:rPr>
          <w:color w:val="000000" w:themeColor="text1"/>
        </w:rPr>
        <w:t xml:space="preserve"> </w:t>
      </w:r>
      <w:r w:rsidRPr="00D10E60">
        <w:rPr>
          <w:color w:val="000000" w:themeColor="text1"/>
        </w:rPr>
        <w:t>occupancy</w:t>
      </w:r>
      <w:r w:rsidR="00C64050">
        <w:rPr>
          <w:color w:val="000000" w:themeColor="text1"/>
        </w:rPr>
        <w:t xml:space="preserve"> </w:t>
      </w:r>
      <w:r w:rsidRPr="00D10E60">
        <w:rPr>
          <w:color w:val="000000" w:themeColor="text1"/>
        </w:rPr>
        <w:t>by</w:t>
      </w:r>
      <w:r w:rsidR="00C64050">
        <w:rPr>
          <w:color w:val="000000" w:themeColor="text1"/>
        </w:rPr>
        <w:t xml:space="preserve"> </w:t>
      </w:r>
      <w:r w:rsidRPr="00D10E60">
        <w:rPr>
          <w:color w:val="000000" w:themeColor="text1"/>
        </w:rPr>
        <w:t>a</w:t>
      </w:r>
      <w:r w:rsidR="00C64050">
        <w:rPr>
          <w:color w:val="000000" w:themeColor="text1"/>
        </w:rPr>
        <w:t xml:space="preserve"> </w:t>
      </w:r>
      <w:r w:rsidRPr="00D10E60">
        <w:rPr>
          <w:color w:val="000000" w:themeColor="text1"/>
        </w:rPr>
        <w:t>caretaker</w:t>
      </w:r>
      <w:r w:rsidR="00C64050">
        <w:rPr>
          <w:color w:val="000000" w:themeColor="text1"/>
        </w:rPr>
        <w:t xml:space="preserve"> </w:t>
      </w:r>
      <w:r w:rsidRPr="00D10E60">
        <w:rPr>
          <w:color w:val="000000" w:themeColor="text1"/>
        </w:rPr>
        <w:t>and</w:t>
      </w:r>
      <w:r w:rsidR="00C64050">
        <w:rPr>
          <w:color w:val="000000" w:themeColor="text1"/>
        </w:rPr>
        <w:t xml:space="preserve"> </w:t>
      </w:r>
      <w:r w:rsidRPr="00D10E60">
        <w:rPr>
          <w:color w:val="000000" w:themeColor="text1"/>
        </w:rPr>
        <w:t>such</w:t>
      </w:r>
      <w:r w:rsidR="00C64050">
        <w:rPr>
          <w:color w:val="000000" w:themeColor="text1"/>
        </w:rPr>
        <w:t xml:space="preserve"> </w:t>
      </w:r>
      <w:r w:rsidRPr="00D10E60">
        <w:rPr>
          <w:color w:val="000000" w:themeColor="text1"/>
        </w:rPr>
        <w:t>caretaker's</w:t>
      </w:r>
      <w:r w:rsidR="00C64050">
        <w:rPr>
          <w:color w:val="000000" w:themeColor="text1"/>
        </w:rPr>
        <w:t xml:space="preserve"> </w:t>
      </w:r>
      <w:r w:rsidRPr="00D10E60">
        <w:rPr>
          <w:color w:val="000000" w:themeColor="text1"/>
        </w:rPr>
        <w:t>family”;</w:t>
      </w:r>
    </w:p>
    <w:p w:rsidR="00556571" w:rsidRPr="00D10E60" w:rsidRDefault="00556571" w:rsidP="00D10E60">
      <w:pPr>
        <w:pStyle w:val="QS10"/>
        <w:rPr>
          <w:color w:val="000000" w:themeColor="text1"/>
        </w:rPr>
      </w:pPr>
      <w:r w:rsidRPr="00D10E60">
        <w:rPr>
          <w:color w:val="000000" w:themeColor="text1"/>
        </w:rPr>
        <w:t>•</w:t>
      </w:r>
      <w:r w:rsidR="00C64050">
        <w:rPr>
          <w:color w:val="000000" w:themeColor="text1"/>
        </w:rPr>
        <w:t xml:space="preserve"> </w:t>
      </w:r>
      <w:r w:rsidRPr="00D10E60">
        <w:rPr>
          <w:color w:val="000000" w:themeColor="text1"/>
        </w:rPr>
        <w:t>two</w:t>
      </w:r>
      <w:r w:rsidR="00C64050">
        <w:rPr>
          <w:color w:val="000000" w:themeColor="text1"/>
        </w:rPr>
        <w:t xml:space="preserve"> </w:t>
      </w:r>
      <w:r w:rsidRPr="00D10E60">
        <w:rPr>
          <w:color w:val="000000" w:themeColor="text1"/>
        </w:rPr>
        <w:t>scenic</w:t>
      </w:r>
      <w:r w:rsidR="00C64050">
        <w:rPr>
          <w:color w:val="000000" w:themeColor="text1"/>
        </w:rPr>
        <w:t xml:space="preserve"> </w:t>
      </w:r>
      <w:r w:rsidRPr="00D10E60">
        <w:rPr>
          <w:color w:val="000000" w:themeColor="text1"/>
        </w:rPr>
        <w:t>overlooks,</w:t>
      </w:r>
      <w:r w:rsidR="00C64050">
        <w:rPr>
          <w:color w:val="000000" w:themeColor="text1"/>
        </w:rPr>
        <w:t xml:space="preserve"> </w:t>
      </w:r>
      <w:r w:rsidRPr="00D10E60">
        <w:rPr>
          <w:color w:val="000000" w:themeColor="text1"/>
        </w:rPr>
        <w:t>one</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which</w:t>
      </w:r>
      <w:r w:rsidR="00C64050">
        <w:rPr>
          <w:color w:val="000000" w:themeColor="text1"/>
        </w:rPr>
        <w:t xml:space="preserve"> </w:t>
      </w:r>
      <w:r w:rsidRPr="00D10E60">
        <w:rPr>
          <w:color w:val="000000" w:themeColor="text1"/>
        </w:rPr>
        <w:t>“may</w:t>
      </w:r>
      <w:r w:rsidR="00C64050">
        <w:rPr>
          <w:color w:val="000000" w:themeColor="text1"/>
        </w:rPr>
        <w:t xml:space="preserve"> </w:t>
      </w:r>
      <w:r w:rsidRPr="00D10E60">
        <w:rPr>
          <w:color w:val="000000" w:themeColor="text1"/>
        </w:rPr>
        <w:t>include</w:t>
      </w:r>
      <w:r w:rsidR="00C64050">
        <w:rPr>
          <w:color w:val="000000" w:themeColor="text1"/>
        </w:rPr>
        <w:t xml:space="preserve"> </w:t>
      </w:r>
      <w:r w:rsidRPr="00D10E60">
        <w:rPr>
          <w:color w:val="000000" w:themeColor="text1"/>
        </w:rPr>
        <w:t>a</w:t>
      </w:r>
      <w:r w:rsidR="00C64050">
        <w:rPr>
          <w:color w:val="000000" w:themeColor="text1"/>
        </w:rPr>
        <w:t xml:space="preserve"> </w:t>
      </w:r>
      <w:r w:rsidRPr="00D10E60">
        <w:rPr>
          <w:color w:val="000000" w:themeColor="text1"/>
        </w:rPr>
        <w:t>guest</w:t>
      </w:r>
      <w:r w:rsidR="00C64050">
        <w:rPr>
          <w:color w:val="000000" w:themeColor="text1"/>
        </w:rPr>
        <w:t xml:space="preserve"> </w:t>
      </w:r>
      <w:r w:rsidRPr="00D10E60">
        <w:rPr>
          <w:color w:val="000000" w:themeColor="text1"/>
        </w:rPr>
        <w:t>bedroom,”</w:t>
      </w:r>
      <w:r w:rsidR="00C64050">
        <w:rPr>
          <w:color w:val="000000" w:themeColor="text1"/>
        </w:rPr>
        <w:t xml:space="preserve"> </w:t>
      </w:r>
      <w:r w:rsidRPr="00D10E60">
        <w:rPr>
          <w:color w:val="000000" w:themeColor="text1"/>
        </w:rPr>
        <w:t>occupying</w:t>
      </w:r>
      <w:r w:rsidR="00C64050">
        <w:rPr>
          <w:color w:val="000000" w:themeColor="text1"/>
        </w:rPr>
        <w:t xml:space="preserve"> </w:t>
      </w:r>
      <w:r w:rsidRPr="00D10E60">
        <w:rPr>
          <w:color w:val="000000" w:themeColor="text1"/>
        </w:rPr>
        <w:t>up</w:t>
      </w:r>
      <w:r w:rsidR="00C64050">
        <w:rPr>
          <w:color w:val="000000" w:themeColor="text1"/>
        </w:rPr>
        <w:t xml:space="preserve"> </w:t>
      </w:r>
      <w:r w:rsidRPr="00D10E60">
        <w:rPr>
          <w:color w:val="000000" w:themeColor="text1"/>
        </w:rPr>
        <w:t>to</w:t>
      </w:r>
      <w:r w:rsidR="00C64050">
        <w:rPr>
          <w:color w:val="000000" w:themeColor="text1"/>
        </w:rPr>
        <w:t xml:space="preserve"> </w:t>
      </w:r>
      <w:r w:rsidRPr="00D10E60">
        <w:rPr>
          <w:color w:val="000000" w:themeColor="text1"/>
        </w:rPr>
        <w:t>six</w:t>
      </w:r>
      <w:r w:rsidR="00C64050">
        <w:rPr>
          <w:color w:val="000000" w:themeColor="text1"/>
        </w:rPr>
        <w:t xml:space="preserve"> </w:t>
      </w:r>
      <w:r w:rsidRPr="00D10E60">
        <w:rPr>
          <w:color w:val="000000" w:themeColor="text1"/>
        </w:rPr>
        <w:t>acres</w:t>
      </w:r>
      <w:r w:rsidR="00C64050">
        <w:rPr>
          <w:color w:val="000000" w:themeColor="text1"/>
        </w:rPr>
        <w:t xml:space="preserve"> </w:t>
      </w:r>
      <w:r w:rsidRPr="00D10E60">
        <w:rPr>
          <w:color w:val="000000" w:themeColor="text1"/>
        </w:rPr>
        <w:t>in</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aggregate;</w:t>
      </w:r>
    </w:p>
    <w:p w:rsidR="00556571" w:rsidRPr="00D10E60" w:rsidRDefault="00556571" w:rsidP="00D10E60">
      <w:pPr>
        <w:pStyle w:val="QS10"/>
        <w:rPr>
          <w:color w:val="000000" w:themeColor="text1"/>
        </w:rPr>
      </w:pPr>
      <w:r w:rsidRPr="00D10E60">
        <w:rPr>
          <w:color w:val="000000" w:themeColor="text1"/>
        </w:rPr>
        <w:t>•</w:t>
      </w:r>
      <w:r w:rsidR="00C64050">
        <w:rPr>
          <w:color w:val="000000" w:themeColor="text1"/>
        </w:rPr>
        <w:t xml:space="preserve"> </w:t>
      </w:r>
      <w:r w:rsidRPr="00D10E60">
        <w:rPr>
          <w:color w:val="000000" w:themeColor="text1"/>
        </w:rPr>
        <w:t>at</w:t>
      </w:r>
      <w:r w:rsidR="00C64050">
        <w:rPr>
          <w:color w:val="000000" w:themeColor="text1"/>
        </w:rPr>
        <w:t xml:space="preserve"> </w:t>
      </w:r>
      <w:r w:rsidRPr="00D10E60">
        <w:rPr>
          <w:color w:val="000000" w:themeColor="text1"/>
        </w:rPr>
        <w:t>least</w:t>
      </w:r>
      <w:r w:rsidR="00C64050">
        <w:rPr>
          <w:color w:val="000000" w:themeColor="text1"/>
        </w:rPr>
        <w:t xml:space="preserve"> </w:t>
      </w:r>
      <w:r w:rsidRPr="00D10E60">
        <w:rPr>
          <w:color w:val="000000" w:themeColor="text1"/>
        </w:rPr>
        <w:t>one</w:t>
      </w:r>
      <w:r w:rsidR="00C64050">
        <w:rPr>
          <w:color w:val="000000" w:themeColor="text1"/>
        </w:rPr>
        <w:t xml:space="preserve"> </w:t>
      </w:r>
      <w:r w:rsidRPr="00D10E60">
        <w:rPr>
          <w:color w:val="000000" w:themeColor="text1"/>
        </w:rPr>
        <w:t>riding</w:t>
      </w:r>
      <w:r w:rsidR="00C64050">
        <w:rPr>
          <w:color w:val="000000" w:themeColor="text1"/>
        </w:rPr>
        <w:t xml:space="preserve"> </w:t>
      </w:r>
      <w:r w:rsidRPr="00D10E60">
        <w:rPr>
          <w:color w:val="000000" w:themeColor="text1"/>
        </w:rPr>
        <w:t>stable</w:t>
      </w:r>
      <w:r w:rsidR="00C64050">
        <w:rPr>
          <w:color w:val="000000" w:themeColor="text1"/>
        </w:rPr>
        <w:t xml:space="preserve"> </w:t>
      </w:r>
      <w:r w:rsidRPr="00D10E60">
        <w:rPr>
          <w:color w:val="000000" w:themeColor="text1"/>
        </w:rPr>
        <w:t>and</w:t>
      </w:r>
      <w:r w:rsidR="00C64050">
        <w:rPr>
          <w:color w:val="000000" w:themeColor="text1"/>
        </w:rPr>
        <w:t xml:space="preserve"> </w:t>
      </w:r>
      <w:r w:rsidRPr="00D10E60">
        <w:rPr>
          <w:color w:val="000000" w:themeColor="text1"/>
        </w:rPr>
        <w:t>indoor</w:t>
      </w:r>
      <w:r w:rsidR="00C64050">
        <w:rPr>
          <w:color w:val="000000" w:themeColor="text1"/>
        </w:rPr>
        <w:t xml:space="preserve"> </w:t>
      </w:r>
      <w:r w:rsidRPr="00D10E60">
        <w:rPr>
          <w:color w:val="000000" w:themeColor="text1"/>
        </w:rPr>
        <w:t>riding</w:t>
      </w:r>
      <w:r w:rsidR="00C64050">
        <w:rPr>
          <w:color w:val="000000" w:themeColor="text1"/>
        </w:rPr>
        <w:t xml:space="preserve"> </w:t>
      </w:r>
      <w:r w:rsidRPr="00D10E60">
        <w:rPr>
          <w:color w:val="000000" w:themeColor="text1"/>
        </w:rPr>
        <w:t>ring,</w:t>
      </w:r>
      <w:r w:rsidR="00C64050">
        <w:rPr>
          <w:color w:val="000000" w:themeColor="text1"/>
        </w:rPr>
        <w:t xml:space="preserve"> </w:t>
      </w:r>
      <w:r w:rsidRPr="00D10E60">
        <w:rPr>
          <w:color w:val="000000" w:themeColor="text1"/>
        </w:rPr>
        <w:t>occupying</w:t>
      </w:r>
      <w:r w:rsidR="00C64050">
        <w:rPr>
          <w:color w:val="000000" w:themeColor="text1"/>
        </w:rPr>
        <w:t xml:space="preserve"> </w:t>
      </w:r>
      <w:r w:rsidRPr="00D10E60">
        <w:rPr>
          <w:color w:val="000000" w:themeColor="text1"/>
        </w:rPr>
        <w:t>up</w:t>
      </w:r>
      <w:r w:rsidR="00C64050">
        <w:rPr>
          <w:color w:val="000000" w:themeColor="text1"/>
        </w:rPr>
        <w:t xml:space="preserve"> </w:t>
      </w:r>
      <w:r w:rsidRPr="00D10E60">
        <w:rPr>
          <w:color w:val="000000" w:themeColor="text1"/>
        </w:rPr>
        <w:t>to</w:t>
      </w:r>
      <w:r w:rsidR="00C64050">
        <w:rPr>
          <w:color w:val="000000" w:themeColor="text1"/>
        </w:rPr>
        <w:t xml:space="preserve"> </w:t>
      </w:r>
      <w:r w:rsidRPr="00D10E60">
        <w:rPr>
          <w:color w:val="000000" w:themeColor="text1"/>
        </w:rPr>
        <w:t>ten</w:t>
      </w:r>
      <w:r w:rsidR="00C64050">
        <w:rPr>
          <w:color w:val="000000" w:themeColor="text1"/>
        </w:rPr>
        <w:t xml:space="preserve"> </w:t>
      </w:r>
      <w:r w:rsidRPr="00D10E60">
        <w:rPr>
          <w:color w:val="000000" w:themeColor="text1"/>
        </w:rPr>
        <w:t>acres</w:t>
      </w:r>
      <w:r w:rsidR="00C64050">
        <w:rPr>
          <w:color w:val="000000" w:themeColor="text1"/>
        </w:rPr>
        <w:t xml:space="preserve"> </w:t>
      </w:r>
      <w:r w:rsidRPr="00D10E60">
        <w:rPr>
          <w:color w:val="000000" w:themeColor="text1"/>
        </w:rPr>
        <w:t>in</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aggregate;</w:t>
      </w:r>
    </w:p>
    <w:p w:rsidR="00556571" w:rsidRPr="00D10E60" w:rsidRDefault="00556571" w:rsidP="00D10E60">
      <w:pPr>
        <w:pStyle w:val="QS10"/>
        <w:rPr>
          <w:color w:val="000000" w:themeColor="text1"/>
        </w:rPr>
      </w:pPr>
      <w:r w:rsidRPr="00D10E60">
        <w:rPr>
          <w:color w:val="000000" w:themeColor="text1"/>
        </w:rPr>
        <w:t>•</w:t>
      </w:r>
      <w:r w:rsidR="00C64050">
        <w:rPr>
          <w:color w:val="000000" w:themeColor="text1"/>
        </w:rPr>
        <w:t xml:space="preserve"> </w:t>
      </w:r>
      <w:r w:rsidRPr="00D10E60">
        <w:rPr>
          <w:color w:val="000000" w:themeColor="text1"/>
        </w:rPr>
        <w:t>up</w:t>
      </w:r>
      <w:r w:rsidR="00C64050">
        <w:rPr>
          <w:color w:val="000000" w:themeColor="text1"/>
        </w:rPr>
        <w:t xml:space="preserve"> </w:t>
      </w:r>
      <w:r w:rsidRPr="00D10E60">
        <w:rPr>
          <w:color w:val="000000" w:themeColor="text1"/>
        </w:rPr>
        <w:t>to</w:t>
      </w:r>
      <w:r w:rsidR="00C64050">
        <w:rPr>
          <w:color w:val="000000" w:themeColor="text1"/>
        </w:rPr>
        <w:t xml:space="preserve"> </w:t>
      </w:r>
      <w:r w:rsidRPr="00D10E60">
        <w:rPr>
          <w:color w:val="000000" w:themeColor="text1"/>
        </w:rPr>
        <w:t>14</w:t>
      </w:r>
      <w:r w:rsidR="00C64050">
        <w:rPr>
          <w:color w:val="000000" w:themeColor="text1"/>
        </w:rPr>
        <w:t xml:space="preserve"> </w:t>
      </w:r>
      <w:r w:rsidRPr="00D10E60">
        <w:rPr>
          <w:color w:val="000000" w:themeColor="text1"/>
        </w:rPr>
        <w:t>piers</w:t>
      </w:r>
      <w:r w:rsidR="00C64050">
        <w:rPr>
          <w:color w:val="000000" w:themeColor="text1"/>
        </w:rPr>
        <w:t xml:space="preserve"> </w:t>
      </w:r>
      <w:r w:rsidRPr="00D10E60">
        <w:rPr>
          <w:color w:val="000000" w:themeColor="text1"/>
        </w:rPr>
        <w:t>and</w:t>
      </w:r>
      <w:r w:rsidR="00C64050">
        <w:rPr>
          <w:color w:val="000000" w:themeColor="text1"/>
        </w:rPr>
        <w:t xml:space="preserve"> </w:t>
      </w:r>
      <w:r w:rsidRPr="00D10E60">
        <w:rPr>
          <w:color w:val="000000" w:themeColor="text1"/>
        </w:rPr>
        <w:t>boat</w:t>
      </w:r>
      <w:r w:rsidR="00C64050">
        <w:rPr>
          <w:color w:val="000000" w:themeColor="text1"/>
        </w:rPr>
        <w:t xml:space="preserve"> </w:t>
      </w:r>
      <w:r w:rsidRPr="00D10E60">
        <w:rPr>
          <w:color w:val="000000" w:themeColor="text1"/>
        </w:rPr>
        <w:t>launches,</w:t>
      </w:r>
      <w:r w:rsidR="00C64050">
        <w:rPr>
          <w:color w:val="000000" w:themeColor="text1"/>
        </w:rPr>
        <w:t xml:space="preserve"> </w:t>
      </w:r>
      <w:r w:rsidRPr="00D10E60">
        <w:rPr>
          <w:color w:val="000000" w:themeColor="text1"/>
        </w:rPr>
        <w:t>which</w:t>
      </w:r>
      <w:r w:rsidR="00C64050">
        <w:rPr>
          <w:color w:val="000000" w:themeColor="text1"/>
        </w:rPr>
        <w:t xml:space="preserve"> </w:t>
      </w:r>
      <w:r w:rsidRPr="00D10E60">
        <w:rPr>
          <w:color w:val="000000" w:themeColor="text1"/>
        </w:rPr>
        <w:t>may</w:t>
      </w:r>
      <w:r w:rsidR="00C64050">
        <w:rPr>
          <w:color w:val="000000" w:themeColor="text1"/>
        </w:rPr>
        <w:t xml:space="preserve"> </w:t>
      </w:r>
      <w:r w:rsidRPr="00D10E60">
        <w:rPr>
          <w:color w:val="000000" w:themeColor="text1"/>
        </w:rPr>
        <w:t>include</w:t>
      </w:r>
      <w:r w:rsidR="00C64050">
        <w:rPr>
          <w:color w:val="000000" w:themeColor="text1"/>
        </w:rPr>
        <w:t xml:space="preserve"> </w:t>
      </w:r>
      <w:r w:rsidRPr="00D10E60">
        <w:rPr>
          <w:color w:val="000000" w:themeColor="text1"/>
        </w:rPr>
        <w:t>four</w:t>
      </w:r>
      <w:r w:rsidR="00C64050">
        <w:rPr>
          <w:color w:val="000000" w:themeColor="text1"/>
        </w:rPr>
        <w:t xml:space="preserve"> </w:t>
      </w:r>
      <w:r w:rsidRPr="00D10E60">
        <w:rPr>
          <w:color w:val="000000" w:themeColor="text1"/>
        </w:rPr>
        <w:t>“common</w:t>
      </w:r>
      <w:r w:rsidR="00C64050">
        <w:rPr>
          <w:color w:val="000000" w:themeColor="text1"/>
        </w:rPr>
        <w:t xml:space="preserve"> </w:t>
      </w:r>
      <w:r w:rsidRPr="00D10E60">
        <w:rPr>
          <w:color w:val="000000" w:themeColor="text1"/>
        </w:rPr>
        <w:t>boat</w:t>
      </w:r>
      <w:r w:rsidR="00C64050">
        <w:rPr>
          <w:color w:val="000000" w:themeColor="text1"/>
        </w:rPr>
        <w:t xml:space="preserve"> </w:t>
      </w:r>
      <w:r w:rsidRPr="00D10E60">
        <w:rPr>
          <w:color w:val="000000" w:themeColor="text1"/>
        </w:rPr>
        <w:t>launch</w:t>
      </w:r>
      <w:r w:rsidR="00C64050">
        <w:rPr>
          <w:color w:val="000000" w:themeColor="text1"/>
        </w:rPr>
        <w:t xml:space="preserve"> </w:t>
      </w:r>
      <w:r w:rsidRPr="00D10E60">
        <w:rPr>
          <w:color w:val="000000" w:themeColor="text1"/>
        </w:rPr>
        <w:t>facilit[ies]</w:t>
      </w:r>
      <w:r w:rsidR="00C64050">
        <w:rPr>
          <w:color w:val="000000" w:themeColor="text1"/>
        </w:rPr>
        <w:t xml:space="preserve"> </w:t>
      </w:r>
      <w:r w:rsidRPr="00D10E60">
        <w:rPr>
          <w:color w:val="000000" w:themeColor="text1"/>
        </w:rPr>
        <w:t>with</w:t>
      </w:r>
      <w:r w:rsidR="00C64050">
        <w:rPr>
          <w:color w:val="000000" w:themeColor="text1"/>
        </w:rPr>
        <w:t xml:space="preserve"> </w:t>
      </w:r>
      <w:r w:rsidRPr="00D10E60">
        <w:rPr>
          <w:color w:val="000000" w:themeColor="text1"/>
        </w:rPr>
        <w:t>associated</w:t>
      </w:r>
      <w:r w:rsidR="00C64050">
        <w:rPr>
          <w:color w:val="000000" w:themeColor="text1"/>
        </w:rPr>
        <w:t xml:space="preserve"> </w:t>
      </w:r>
      <w:r w:rsidRPr="00D10E60">
        <w:rPr>
          <w:color w:val="000000" w:themeColor="text1"/>
        </w:rPr>
        <w:t>boat</w:t>
      </w:r>
      <w:r w:rsidR="00C64050">
        <w:rPr>
          <w:color w:val="000000" w:themeColor="text1"/>
        </w:rPr>
        <w:t xml:space="preserve"> </w:t>
      </w:r>
      <w:r w:rsidRPr="00D10E60">
        <w:rPr>
          <w:color w:val="000000" w:themeColor="text1"/>
        </w:rPr>
        <w:t>storage</w:t>
      </w:r>
      <w:r w:rsidR="00C64050">
        <w:rPr>
          <w:color w:val="000000" w:themeColor="text1"/>
        </w:rPr>
        <w:t xml:space="preserve"> </w:t>
      </w:r>
      <w:r w:rsidRPr="00D10E60">
        <w:rPr>
          <w:color w:val="000000" w:themeColor="text1"/>
        </w:rPr>
        <w:t>building[s]”;</w:t>
      </w:r>
    </w:p>
    <w:p w:rsidR="00556571" w:rsidRPr="00D10E60" w:rsidRDefault="00556571" w:rsidP="00D10E60">
      <w:pPr>
        <w:pStyle w:val="QS10"/>
        <w:rPr>
          <w:color w:val="000000" w:themeColor="text1"/>
        </w:rPr>
      </w:pPr>
      <w:r w:rsidRPr="00D10E60">
        <w:rPr>
          <w:color w:val="000000" w:themeColor="text1"/>
        </w:rPr>
        <w:t>•</w:t>
      </w:r>
      <w:r w:rsidR="00C64050">
        <w:rPr>
          <w:color w:val="000000" w:themeColor="text1"/>
        </w:rPr>
        <w:t xml:space="preserve"> </w:t>
      </w:r>
      <w:r w:rsidRPr="00D10E60">
        <w:rPr>
          <w:color w:val="000000" w:themeColor="text1"/>
        </w:rPr>
        <w:t>up</w:t>
      </w:r>
      <w:r w:rsidR="00C64050">
        <w:rPr>
          <w:color w:val="000000" w:themeColor="text1"/>
        </w:rPr>
        <w:t xml:space="preserve"> </w:t>
      </w:r>
      <w:r w:rsidRPr="00D10E60">
        <w:rPr>
          <w:color w:val="000000" w:themeColor="text1"/>
        </w:rPr>
        <w:t>to</w:t>
      </w:r>
      <w:r w:rsidR="00C64050">
        <w:rPr>
          <w:color w:val="000000" w:themeColor="text1"/>
        </w:rPr>
        <w:t xml:space="preserve"> </w:t>
      </w:r>
      <w:r w:rsidRPr="00D10E60">
        <w:rPr>
          <w:color w:val="000000" w:themeColor="text1"/>
        </w:rPr>
        <w:t>five</w:t>
      </w:r>
      <w:r w:rsidR="00C64050">
        <w:rPr>
          <w:color w:val="000000" w:themeColor="text1"/>
        </w:rPr>
        <w:t xml:space="preserve"> </w:t>
      </w:r>
      <w:r w:rsidRPr="00D10E60">
        <w:rPr>
          <w:color w:val="000000" w:themeColor="text1"/>
        </w:rPr>
        <w:t>ponds,</w:t>
      </w:r>
      <w:r w:rsidR="00C64050">
        <w:rPr>
          <w:color w:val="000000" w:themeColor="text1"/>
        </w:rPr>
        <w:t xml:space="preserve"> </w:t>
      </w:r>
      <w:r w:rsidRPr="00D10E60">
        <w:rPr>
          <w:color w:val="000000" w:themeColor="text1"/>
        </w:rPr>
        <w:t>occupying</w:t>
      </w:r>
      <w:r w:rsidR="00C64050">
        <w:rPr>
          <w:color w:val="000000" w:themeColor="text1"/>
        </w:rPr>
        <w:t xml:space="preserve"> </w:t>
      </w:r>
      <w:r w:rsidRPr="00D10E60">
        <w:rPr>
          <w:color w:val="000000" w:themeColor="text1"/>
        </w:rPr>
        <w:t>up</w:t>
      </w:r>
      <w:r w:rsidR="00C64050">
        <w:rPr>
          <w:color w:val="000000" w:themeColor="text1"/>
        </w:rPr>
        <w:t xml:space="preserve"> </w:t>
      </w:r>
      <w:r w:rsidRPr="00D10E60">
        <w:rPr>
          <w:color w:val="000000" w:themeColor="text1"/>
        </w:rPr>
        <w:t>to</w:t>
      </w:r>
      <w:r w:rsidR="00C64050">
        <w:rPr>
          <w:color w:val="000000" w:themeColor="text1"/>
        </w:rPr>
        <w:t xml:space="preserve"> </w:t>
      </w:r>
      <w:r w:rsidRPr="00D10E60">
        <w:rPr>
          <w:color w:val="000000" w:themeColor="text1"/>
        </w:rPr>
        <w:t>25</w:t>
      </w:r>
      <w:r w:rsidR="00C64050">
        <w:rPr>
          <w:color w:val="000000" w:themeColor="text1"/>
        </w:rPr>
        <w:t xml:space="preserve"> </w:t>
      </w:r>
      <w:r w:rsidRPr="00D10E60">
        <w:rPr>
          <w:color w:val="000000" w:themeColor="text1"/>
        </w:rPr>
        <w:t>acres</w:t>
      </w:r>
      <w:r w:rsidR="00C64050">
        <w:rPr>
          <w:color w:val="000000" w:themeColor="text1"/>
        </w:rPr>
        <w:t xml:space="preserve"> </w:t>
      </w:r>
      <w:r w:rsidRPr="00D10E60">
        <w:rPr>
          <w:color w:val="000000" w:themeColor="text1"/>
        </w:rPr>
        <w:t>in</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aggregate,</w:t>
      </w:r>
      <w:r w:rsidR="00C64050">
        <w:rPr>
          <w:color w:val="000000" w:themeColor="text1"/>
        </w:rPr>
        <w:t xml:space="preserve"> </w:t>
      </w:r>
      <w:r w:rsidRPr="00D10E60">
        <w:rPr>
          <w:color w:val="000000" w:themeColor="text1"/>
        </w:rPr>
        <w:t>which</w:t>
      </w:r>
      <w:r w:rsidR="00C64050">
        <w:rPr>
          <w:color w:val="000000" w:themeColor="text1"/>
        </w:rPr>
        <w:t xml:space="preserve"> </w:t>
      </w:r>
      <w:r w:rsidRPr="00D10E60">
        <w:rPr>
          <w:color w:val="000000" w:themeColor="text1"/>
        </w:rPr>
        <w:t>may</w:t>
      </w:r>
      <w:r w:rsidR="00C64050">
        <w:rPr>
          <w:color w:val="000000" w:themeColor="text1"/>
        </w:rPr>
        <w:t xml:space="preserve"> </w:t>
      </w:r>
      <w:r w:rsidRPr="00D10E60">
        <w:rPr>
          <w:color w:val="000000" w:themeColor="text1"/>
        </w:rPr>
        <w:t>apparently</w:t>
      </w:r>
      <w:r w:rsidR="00C64050">
        <w:rPr>
          <w:color w:val="000000" w:themeColor="text1"/>
        </w:rPr>
        <w:t xml:space="preserve"> </w:t>
      </w:r>
      <w:r w:rsidRPr="00D10E60">
        <w:rPr>
          <w:color w:val="000000" w:themeColor="text1"/>
        </w:rPr>
        <w:t>be</w:t>
      </w:r>
      <w:r w:rsidR="00C64050">
        <w:rPr>
          <w:color w:val="000000" w:themeColor="text1"/>
        </w:rPr>
        <w:t xml:space="preserve"> </w:t>
      </w:r>
      <w:r w:rsidRPr="00D10E60">
        <w:rPr>
          <w:color w:val="000000" w:themeColor="text1"/>
        </w:rPr>
        <w:t>encumbered</w:t>
      </w:r>
      <w:r w:rsidR="00C64050">
        <w:rPr>
          <w:color w:val="000000" w:themeColor="text1"/>
        </w:rPr>
        <w:t xml:space="preserve"> </w:t>
      </w:r>
      <w:r w:rsidRPr="00D10E60">
        <w:rPr>
          <w:color w:val="000000" w:themeColor="text1"/>
        </w:rPr>
        <w:t>by</w:t>
      </w:r>
      <w:r w:rsidR="00C64050">
        <w:rPr>
          <w:color w:val="000000" w:themeColor="text1"/>
        </w:rPr>
        <w:t xml:space="preserve"> </w:t>
      </w:r>
      <w:r w:rsidRPr="00D10E60">
        <w:rPr>
          <w:color w:val="000000" w:themeColor="text1"/>
        </w:rPr>
        <w:t>piers</w:t>
      </w:r>
      <w:r w:rsidR="00C64050">
        <w:rPr>
          <w:color w:val="000000" w:themeColor="text1"/>
        </w:rPr>
        <w:t xml:space="preserve"> </w:t>
      </w:r>
      <w:r w:rsidRPr="00D10E60">
        <w:rPr>
          <w:color w:val="000000" w:themeColor="text1"/>
        </w:rPr>
        <w:t>and</w:t>
      </w:r>
      <w:r w:rsidR="00C64050">
        <w:rPr>
          <w:color w:val="000000" w:themeColor="text1"/>
        </w:rPr>
        <w:t xml:space="preserve"> </w:t>
      </w:r>
      <w:r w:rsidRPr="00D10E60">
        <w:rPr>
          <w:color w:val="000000" w:themeColor="text1"/>
        </w:rPr>
        <w:t>boat</w:t>
      </w:r>
      <w:r w:rsidR="00C64050">
        <w:rPr>
          <w:color w:val="000000" w:themeColor="text1"/>
        </w:rPr>
        <w:t xml:space="preserve"> </w:t>
      </w:r>
      <w:r w:rsidRPr="00D10E60">
        <w:rPr>
          <w:color w:val="000000" w:themeColor="text1"/>
        </w:rPr>
        <w:t>launch</w:t>
      </w:r>
      <w:r w:rsidR="00C64050">
        <w:rPr>
          <w:color w:val="000000" w:themeColor="text1"/>
        </w:rPr>
        <w:t xml:space="preserve"> </w:t>
      </w:r>
      <w:r w:rsidRPr="00D10E60">
        <w:rPr>
          <w:color w:val="000000" w:themeColor="text1"/>
        </w:rPr>
        <w:t>facilities;</w:t>
      </w:r>
      <w:r w:rsidR="00C64050">
        <w:rPr>
          <w:color w:val="000000" w:themeColor="text1"/>
        </w:rPr>
        <w:t xml:space="preserve"> </w:t>
      </w:r>
      <w:r w:rsidRPr="00D10E60">
        <w:rPr>
          <w:color w:val="000000" w:themeColor="text1"/>
        </w:rPr>
        <w:t>and</w:t>
      </w:r>
    </w:p>
    <w:p w:rsidR="00556571" w:rsidRPr="00D10E60" w:rsidRDefault="00556571" w:rsidP="00D10E60">
      <w:pPr>
        <w:pStyle w:val="QS10"/>
        <w:rPr>
          <w:color w:val="000000" w:themeColor="text1"/>
        </w:rPr>
      </w:pPr>
      <w:r w:rsidRPr="00D10E60">
        <w:rPr>
          <w:color w:val="000000" w:themeColor="text1"/>
        </w:rPr>
        <w:t>•</w:t>
      </w:r>
      <w:r w:rsidR="00C64050">
        <w:rPr>
          <w:color w:val="000000" w:themeColor="text1"/>
        </w:rPr>
        <w:t xml:space="preserve"> </w:t>
      </w:r>
      <w:r w:rsidRPr="00D10E60">
        <w:rPr>
          <w:color w:val="000000" w:themeColor="text1"/>
        </w:rPr>
        <w:t>a</w:t>
      </w:r>
      <w:r w:rsidR="00C64050">
        <w:rPr>
          <w:color w:val="000000" w:themeColor="text1"/>
        </w:rPr>
        <w:t xml:space="preserve"> </w:t>
      </w:r>
      <w:r w:rsidRPr="00D10E60">
        <w:rPr>
          <w:color w:val="000000" w:themeColor="text1"/>
        </w:rPr>
        <w:t>reasonable</w:t>
      </w:r>
      <w:r w:rsidR="00C64050">
        <w:rPr>
          <w:color w:val="000000" w:themeColor="text1"/>
        </w:rPr>
        <w:t xml:space="preserve"> </w:t>
      </w:r>
      <w:r w:rsidRPr="00D10E60">
        <w:rPr>
          <w:color w:val="000000" w:themeColor="text1"/>
        </w:rPr>
        <w:t>(but</w:t>
      </w:r>
      <w:r w:rsidR="00C64050">
        <w:rPr>
          <w:color w:val="000000" w:themeColor="text1"/>
        </w:rPr>
        <w:t xml:space="preserve"> </w:t>
      </w:r>
      <w:r w:rsidRPr="00D10E60">
        <w:rPr>
          <w:color w:val="000000" w:themeColor="text1"/>
        </w:rPr>
        <w:t>otherwise</w:t>
      </w:r>
      <w:r w:rsidR="00C64050">
        <w:rPr>
          <w:color w:val="000000" w:themeColor="text1"/>
        </w:rPr>
        <w:t xml:space="preserve"> </w:t>
      </w:r>
      <w:r w:rsidRPr="00D10E60">
        <w:rPr>
          <w:color w:val="000000" w:themeColor="text1"/>
        </w:rPr>
        <w:t>unlimited)</w:t>
      </w:r>
      <w:r w:rsidR="00C64050">
        <w:rPr>
          <w:color w:val="000000" w:themeColor="text1"/>
        </w:rPr>
        <w:t xml:space="preserve"> </w:t>
      </w:r>
      <w:r w:rsidRPr="00D10E60">
        <w:rPr>
          <w:color w:val="000000" w:themeColor="text1"/>
        </w:rPr>
        <w:t>number</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wildlife</w:t>
      </w:r>
      <w:r w:rsidR="00C64050">
        <w:rPr>
          <w:color w:val="000000" w:themeColor="text1"/>
        </w:rPr>
        <w:t xml:space="preserve"> </w:t>
      </w:r>
      <w:r w:rsidRPr="00D10E60">
        <w:rPr>
          <w:color w:val="000000" w:themeColor="text1"/>
        </w:rPr>
        <w:t>hunting</w:t>
      </w:r>
      <w:r w:rsidR="00C64050">
        <w:rPr>
          <w:color w:val="000000" w:themeColor="text1"/>
        </w:rPr>
        <w:t xml:space="preserve"> </w:t>
      </w:r>
      <w:r w:rsidRPr="00D10E60">
        <w:rPr>
          <w:color w:val="000000" w:themeColor="text1"/>
        </w:rPr>
        <w:t>stands</w:t>
      </w:r>
      <w:r w:rsidR="00C64050">
        <w:rPr>
          <w:color w:val="000000" w:themeColor="text1"/>
        </w:rPr>
        <w:t xml:space="preserve"> </w:t>
      </w:r>
      <w:r w:rsidRPr="00D10E60">
        <w:rPr>
          <w:color w:val="000000" w:themeColor="text1"/>
        </w:rPr>
        <w:t>or</w:t>
      </w:r>
      <w:r w:rsidR="00C64050">
        <w:rPr>
          <w:color w:val="000000" w:themeColor="text1"/>
        </w:rPr>
        <w:t xml:space="preserve"> </w:t>
      </w:r>
      <w:r w:rsidRPr="00D10E60">
        <w:rPr>
          <w:color w:val="000000" w:themeColor="text1"/>
        </w:rPr>
        <w:t>blinds</w:t>
      </w:r>
      <w:r w:rsidR="00C64050">
        <w:rPr>
          <w:color w:val="000000" w:themeColor="text1"/>
        </w:rPr>
        <w:t xml:space="preserve"> </w:t>
      </w:r>
      <w:r w:rsidRPr="00D10E60">
        <w:rPr>
          <w:color w:val="000000" w:themeColor="text1"/>
        </w:rPr>
        <w:t>to</w:t>
      </w:r>
      <w:r w:rsidR="00C64050">
        <w:rPr>
          <w:color w:val="000000" w:themeColor="text1"/>
        </w:rPr>
        <w:t xml:space="preserve"> </w:t>
      </w:r>
      <w:r w:rsidRPr="00D10E60">
        <w:rPr>
          <w:color w:val="000000" w:themeColor="text1"/>
        </w:rPr>
        <w:t>facilitate</w:t>
      </w:r>
      <w:r w:rsidR="00C64050">
        <w:rPr>
          <w:color w:val="000000" w:themeColor="text1"/>
        </w:rPr>
        <w:t xml:space="preserve"> </w:t>
      </w:r>
      <w:r w:rsidRPr="00D10E60">
        <w:rPr>
          <w:color w:val="000000" w:themeColor="text1"/>
        </w:rPr>
        <w:t>hunting</w:t>
      </w:r>
      <w:r w:rsidR="00C64050">
        <w:rPr>
          <w:color w:val="000000" w:themeColor="text1"/>
        </w:rPr>
        <w:t xml:space="preserve"> </w:t>
      </w:r>
      <w:r w:rsidRPr="00D10E60">
        <w:rPr>
          <w:color w:val="000000" w:themeColor="text1"/>
        </w:rPr>
        <w:t>and</w:t>
      </w:r>
      <w:r w:rsidR="00C64050">
        <w:rPr>
          <w:color w:val="000000" w:themeColor="text1"/>
        </w:rPr>
        <w:t xml:space="preserve"> </w:t>
      </w:r>
      <w:r w:rsidRPr="00D10E60">
        <w:rPr>
          <w:color w:val="000000" w:themeColor="text1"/>
        </w:rPr>
        <w:t>shooting</w:t>
      </w:r>
      <w:r w:rsidR="00C64050">
        <w:rPr>
          <w:color w:val="000000" w:themeColor="text1"/>
        </w:rPr>
        <w:t xml:space="preserve"> </w:t>
      </w:r>
      <w:r w:rsidRPr="00D10E60">
        <w:rPr>
          <w:color w:val="000000" w:themeColor="text1"/>
        </w:rPr>
        <w:t>by</w:t>
      </w:r>
      <w:r w:rsidR="00C64050">
        <w:rPr>
          <w:color w:val="000000" w:themeColor="text1"/>
        </w:rPr>
        <w:t xml:space="preserve"> </w:t>
      </w:r>
      <w:r w:rsidRPr="00D10E60">
        <w:rPr>
          <w:color w:val="000000" w:themeColor="text1"/>
        </w:rPr>
        <w:t>homeowners</w:t>
      </w:r>
      <w:r w:rsidR="00C64050">
        <w:rPr>
          <w:color w:val="000000" w:themeColor="text1"/>
        </w:rPr>
        <w:t xml:space="preserve"> </w:t>
      </w:r>
      <w:r w:rsidRPr="00D10E60">
        <w:rPr>
          <w:color w:val="000000" w:themeColor="text1"/>
        </w:rPr>
        <w:t>and</w:t>
      </w:r>
      <w:r w:rsidR="00C64050">
        <w:rPr>
          <w:color w:val="000000" w:themeColor="text1"/>
        </w:rPr>
        <w:t xml:space="preserve"> </w:t>
      </w:r>
      <w:r w:rsidRPr="00D10E60">
        <w:rPr>
          <w:color w:val="000000" w:themeColor="text1"/>
        </w:rPr>
        <w:t>their</w:t>
      </w:r>
      <w:r w:rsidR="00C64050">
        <w:rPr>
          <w:color w:val="000000" w:themeColor="text1"/>
        </w:rPr>
        <w:t xml:space="preserve"> </w:t>
      </w:r>
      <w:r w:rsidRPr="00D10E60">
        <w:rPr>
          <w:color w:val="000000" w:themeColor="text1"/>
        </w:rPr>
        <w:t>guests.</w:t>
      </w:r>
    </w:p>
    <w:p w:rsidR="00556571" w:rsidRPr="00D10E60" w:rsidRDefault="00556571" w:rsidP="00D10E60">
      <w:pPr>
        <w:pStyle w:val="QS10"/>
        <w:rPr>
          <w:color w:val="000000" w:themeColor="text1"/>
        </w:rPr>
      </w:pPr>
      <w:r w:rsidRPr="00D10E60">
        <w:rPr>
          <w:color w:val="000000" w:themeColor="text1"/>
        </w:rPr>
        <w:t>The</w:t>
      </w:r>
      <w:r w:rsidR="00C64050">
        <w:rPr>
          <w:color w:val="000000" w:themeColor="text1"/>
        </w:rPr>
        <w:t xml:space="preserve"> </w:t>
      </w:r>
      <w:r w:rsidRPr="00D10E60">
        <w:rPr>
          <w:color w:val="000000" w:themeColor="text1"/>
        </w:rPr>
        <w:t>easement</w:t>
      </w:r>
      <w:r w:rsidR="00C64050">
        <w:rPr>
          <w:color w:val="000000" w:themeColor="text1"/>
        </w:rPr>
        <w:t xml:space="preserve"> </w:t>
      </w:r>
      <w:r w:rsidRPr="00D10E60">
        <w:rPr>
          <w:color w:val="000000" w:themeColor="text1"/>
        </w:rPr>
        <w:t>does</w:t>
      </w:r>
      <w:r w:rsidR="00C64050">
        <w:rPr>
          <w:color w:val="000000" w:themeColor="text1"/>
        </w:rPr>
        <w:t xml:space="preserve"> </w:t>
      </w:r>
      <w:r w:rsidRPr="00D10E60">
        <w:rPr>
          <w:color w:val="000000" w:themeColor="text1"/>
        </w:rPr>
        <w:t>not</w:t>
      </w:r>
      <w:r w:rsidR="00C64050">
        <w:rPr>
          <w:color w:val="000000" w:themeColor="text1"/>
        </w:rPr>
        <w:t xml:space="preserve"> </w:t>
      </w:r>
      <w:r w:rsidRPr="00D10E60">
        <w:rPr>
          <w:color w:val="000000" w:themeColor="text1"/>
        </w:rPr>
        <w:t>specify</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location</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any</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these</w:t>
      </w:r>
      <w:r w:rsidR="00C64050">
        <w:rPr>
          <w:color w:val="000000" w:themeColor="text1"/>
        </w:rPr>
        <w:t xml:space="preserve"> </w:t>
      </w:r>
      <w:r w:rsidRPr="00D10E60">
        <w:rPr>
          <w:color w:val="000000" w:themeColor="text1"/>
        </w:rPr>
        <w:t>facilities,</w:t>
      </w:r>
      <w:r w:rsidR="00C64050">
        <w:rPr>
          <w:color w:val="000000" w:themeColor="text1"/>
        </w:rPr>
        <w:t xml:space="preserve"> </w:t>
      </w:r>
      <w:r w:rsidRPr="00D10E60">
        <w:rPr>
          <w:color w:val="000000" w:themeColor="text1"/>
        </w:rPr>
        <w:t>and</w:t>
      </w:r>
      <w:r w:rsidR="00C64050">
        <w:rPr>
          <w:color w:val="000000" w:themeColor="text1"/>
        </w:rPr>
        <w:t xml:space="preserve"> </w:t>
      </w:r>
      <w:r w:rsidRPr="00D10E60">
        <w:rPr>
          <w:color w:val="000000" w:themeColor="text1"/>
        </w:rPr>
        <w:t>their</w:t>
      </w:r>
      <w:r w:rsidR="00C64050">
        <w:rPr>
          <w:color w:val="000000" w:themeColor="text1"/>
        </w:rPr>
        <w:t xml:space="preserve"> </w:t>
      </w:r>
      <w:r w:rsidRPr="00D10E60">
        <w:rPr>
          <w:color w:val="000000" w:themeColor="text1"/>
        </w:rPr>
        <w:t>location</w:t>
      </w:r>
      <w:r w:rsidR="00C64050">
        <w:rPr>
          <w:color w:val="000000" w:themeColor="text1"/>
        </w:rPr>
        <w:t xml:space="preserve"> </w:t>
      </w:r>
      <w:r w:rsidRPr="00D10E60">
        <w:rPr>
          <w:color w:val="000000" w:themeColor="text1"/>
        </w:rPr>
        <w:t>could</w:t>
      </w:r>
      <w:r w:rsidR="00C64050">
        <w:rPr>
          <w:color w:val="000000" w:themeColor="text1"/>
        </w:rPr>
        <w:t xml:space="preserve"> </w:t>
      </w:r>
      <w:r w:rsidRPr="00D10E60">
        <w:rPr>
          <w:color w:val="000000" w:themeColor="text1"/>
        </w:rPr>
        <w:t>change</w:t>
      </w:r>
      <w:r w:rsidR="00C64050">
        <w:rPr>
          <w:color w:val="000000" w:themeColor="text1"/>
        </w:rPr>
        <w:t xml:space="preserve"> </w:t>
      </w:r>
      <w:r w:rsidRPr="00D10E60">
        <w:rPr>
          <w:color w:val="000000" w:themeColor="text1"/>
        </w:rPr>
        <w:t>if</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location</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Building</w:t>
      </w:r>
      <w:r w:rsidR="00C64050">
        <w:rPr>
          <w:color w:val="000000" w:themeColor="text1"/>
        </w:rPr>
        <w:t xml:space="preserve"> </w:t>
      </w:r>
      <w:r w:rsidRPr="00D10E60">
        <w:rPr>
          <w:color w:val="000000" w:themeColor="text1"/>
        </w:rPr>
        <w:t>Areas</w:t>
      </w:r>
      <w:r w:rsidR="00C64050">
        <w:rPr>
          <w:color w:val="000000" w:themeColor="text1"/>
        </w:rPr>
        <w:t xml:space="preserve"> </w:t>
      </w:r>
      <w:r w:rsidRPr="00D10E60">
        <w:rPr>
          <w:color w:val="000000" w:themeColor="text1"/>
        </w:rPr>
        <w:t>changed.</w:t>
      </w:r>
      <w:r w:rsidR="00C64050">
        <w:rPr>
          <w:color w:val="000000" w:themeColor="text1"/>
        </w:rPr>
        <w:t xml:space="preserve"> </w:t>
      </w:r>
      <w:r w:rsidRPr="00D10E60">
        <w:rPr>
          <w:color w:val="000000" w:themeColor="text1"/>
        </w:rPr>
        <w:t>Although</w:t>
      </w:r>
      <w:r w:rsidR="00C64050">
        <w:rPr>
          <w:color w:val="000000" w:themeColor="text1"/>
        </w:rPr>
        <w:t xml:space="preserve"> </w:t>
      </w:r>
      <w:r w:rsidRPr="00D10E60">
        <w:rPr>
          <w:color w:val="000000" w:themeColor="text1"/>
        </w:rPr>
        <w:t>NALT's</w:t>
      </w:r>
      <w:r w:rsidR="00C64050">
        <w:rPr>
          <w:color w:val="000000" w:themeColor="text1"/>
        </w:rPr>
        <w:t xml:space="preserve"> </w:t>
      </w:r>
      <w:r w:rsidRPr="00D10E60">
        <w:rPr>
          <w:color w:val="000000" w:themeColor="text1"/>
        </w:rPr>
        <w:t>approval</w:t>
      </w:r>
      <w:r w:rsidR="00C64050">
        <w:rPr>
          <w:color w:val="000000" w:themeColor="text1"/>
        </w:rPr>
        <w:t xml:space="preserve"> </w:t>
      </w:r>
      <w:r w:rsidRPr="00D10E60">
        <w:rPr>
          <w:color w:val="000000" w:themeColor="text1"/>
        </w:rPr>
        <w:t>is</w:t>
      </w:r>
      <w:r w:rsidR="00C64050">
        <w:rPr>
          <w:color w:val="000000" w:themeColor="text1"/>
        </w:rPr>
        <w:t xml:space="preserve"> </w:t>
      </w:r>
      <w:r w:rsidRPr="00D10E60">
        <w:rPr>
          <w:color w:val="000000" w:themeColor="text1"/>
        </w:rPr>
        <w:t>generally</w:t>
      </w:r>
      <w:r w:rsidR="00C64050">
        <w:rPr>
          <w:color w:val="000000" w:themeColor="text1"/>
        </w:rPr>
        <w:t xml:space="preserve"> </w:t>
      </w:r>
      <w:r w:rsidRPr="00D10E60">
        <w:rPr>
          <w:color w:val="000000" w:themeColor="text1"/>
        </w:rPr>
        <w:t>required,</w:t>
      </w:r>
      <w:r w:rsidR="00C64050">
        <w:rPr>
          <w:color w:val="000000" w:themeColor="text1"/>
        </w:rPr>
        <w:t xml:space="preserve"> </w:t>
      </w:r>
      <w:r w:rsidRPr="00D10E60">
        <w:rPr>
          <w:color w:val="000000" w:themeColor="text1"/>
        </w:rPr>
        <w:t>its</w:t>
      </w:r>
      <w:r w:rsidR="00C64050">
        <w:rPr>
          <w:color w:val="000000" w:themeColor="text1"/>
        </w:rPr>
        <w:t xml:space="preserve"> </w:t>
      </w:r>
      <w:r w:rsidRPr="00D10E60">
        <w:rPr>
          <w:color w:val="000000" w:themeColor="text1"/>
        </w:rPr>
        <w:t>approval</w:t>
      </w:r>
      <w:r w:rsidR="00C64050">
        <w:rPr>
          <w:color w:val="000000" w:themeColor="text1"/>
        </w:rPr>
        <w:t xml:space="preserve"> </w:t>
      </w:r>
      <w:r w:rsidRPr="00D10E60">
        <w:rPr>
          <w:color w:val="000000" w:themeColor="text1"/>
        </w:rPr>
        <w:t>for</w:t>
      </w:r>
      <w:r w:rsidR="00C64050">
        <w:rPr>
          <w:color w:val="000000" w:themeColor="text1"/>
        </w:rPr>
        <w:t xml:space="preserve"> </w:t>
      </w:r>
      <w:r w:rsidRPr="00D10E60">
        <w:rPr>
          <w:color w:val="000000" w:themeColor="text1"/>
        </w:rPr>
        <w:t>certain</w:t>
      </w:r>
      <w:r w:rsidR="00C64050">
        <w:rPr>
          <w:color w:val="000000" w:themeColor="text1"/>
        </w:rPr>
        <w:t xml:space="preserve"> </w:t>
      </w:r>
      <w:r w:rsidRPr="00D10E60">
        <w:rPr>
          <w:color w:val="000000" w:themeColor="text1"/>
        </w:rPr>
        <w:t>facilities</w:t>
      </w:r>
      <w:r w:rsidR="00C64050">
        <w:rPr>
          <w:color w:val="000000" w:themeColor="text1"/>
        </w:rPr>
        <w:t xml:space="preserve"> </w:t>
      </w:r>
      <w:r w:rsidRPr="00D10E60">
        <w:rPr>
          <w:color w:val="000000" w:themeColor="text1"/>
        </w:rPr>
        <w:t>(such</w:t>
      </w:r>
      <w:r w:rsidR="00C64050">
        <w:rPr>
          <w:color w:val="000000" w:themeColor="text1"/>
        </w:rPr>
        <w:t xml:space="preserve"> </w:t>
      </w:r>
      <w:r w:rsidRPr="00D10E60">
        <w:rPr>
          <w:color w:val="000000" w:themeColor="text1"/>
        </w:rPr>
        <w:t>as</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man-made</w:t>
      </w:r>
      <w:r w:rsidR="00C64050">
        <w:rPr>
          <w:color w:val="000000" w:themeColor="text1"/>
        </w:rPr>
        <w:t xml:space="preserve"> </w:t>
      </w:r>
      <w:r w:rsidRPr="00D10E60">
        <w:rPr>
          <w:color w:val="000000" w:themeColor="text1"/>
        </w:rPr>
        <w:t>ponds)</w:t>
      </w:r>
      <w:r w:rsidR="00C64050">
        <w:rPr>
          <w:color w:val="000000" w:themeColor="text1"/>
        </w:rPr>
        <w:t xml:space="preserve"> </w:t>
      </w:r>
      <w:r w:rsidRPr="00D10E60">
        <w:rPr>
          <w:color w:val="000000" w:themeColor="text1"/>
        </w:rPr>
        <w:t>“shall</w:t>
      </w:r>
      <w:r w:rsidR="00C64050">
        <w:rPr>
          <w:color w:val="000000" w:themeColor="text1"/>
        </w:rPr>
        <w:t xml:space="preserve"> </w:t>
      </w:r>
      <w:r w:rsidRPr="00D10E60">
        <w:rPr>
          <w:color w:val="000000" w:themeColor="text1"/>
        </w:rPr>
        <w:t>not</w:t>
      </w:r>
      <w:r w:rsidR="00C64050">
        <w:rPr>
          <w:color w:val="000000" w:themeColor="text1"/>
        </w:rPr>
        <w:t xml:space="preserve"> </w:t>
      </w:r>
      <w:r w:rsidRPr="00D10E60">
        <w:rPr>
          <w:color w:val="000000" w:themeColor="text1"/>
        </w:rPr>
        <w:t>be</w:t>
      </w:r>
      <w:r w:rsidR="00C64050">
        <w:rPr>
          <w:color w:val="000000" w:themeColor="text1"/>
        </w:rPr>
        <w:t xml:space="preserve"> </w:t>
      </w:r>
      <w:r w:rsidRPr="00D10E60">
        <w:rPr>
          <w:color w:val="000000" w:themeColor="text1"/>
        </w:rPr>
        <w:t>unreasonably</w:t>
      </w:r>
      <w:r w:rsidR="00C64050">
        <w:rPr>
          <w:color w:val="000000" w:themeColor="text1"/>
        </w:rPr>
        <w:t xml:space="preserve"> </w:t>
      </w:r>
      <w:r w:rsidRPr="00D10E60">
        <w:rPr>
          <w:color w:val="000000" w:themeColor="text1"/>
        </w:rPr>
        <w:t>withheld.”</w:t>
      </w:r>
      <w:r w:rsidR="00C64050">
        <w:rPr>
          <w:color w:val="000000" w:themeColor="text1"/>
        </w:rPr>
        <w:t xml:space="preserve"> </w:t>
      </w:r>
      <w:r w:rsidRPr="00D10E60">
        <w:rPr>
          <w:color w:val="000000" w:themeColor="text1"/>
        </w:rPr>
        <w:t>For</w:t>
      </w:r>
      <w:r w:rsidR="00C64050">
        <w:rPr>
          <w:color w:val="000000" w:themeColor="text1"/>
        </w:rPr>
        <w:t xml:space="preserve"> </w:t>
      </w:r>
      <w:r w:rsidRPr="00D10E60">
        <w:rPr>
          <w:color w:val="000000" w:themeColor="text1"/>
        </w:rPr>
        <w:t>other</w:t>
      </w:r>
      <w:r w:rsidR="00C64050">
        <w:rPr>
          <w:color w:val="000000" w:themeColor="text1"/>
        </w:rPr>
        <w:t xml:space="preserve"> </w:t>
      </w:r>
      <w:r w:rsidRPr="00D10E60">
        <w:rPr>
          <w:color w:val="000000" w:themeColor="text1"/>
        </w:rPr>
        <w:t>facilities,</w:t>
      </w:r>
      <w:r w:rsidR="00C64050">
        <w:rPr>
          <w:color w:val="000000" w:themeColor="text1"/>
        </w:rPr>
        <w:t xml:space="preserve"> </w:t>
      </w:r>
      <w:r w:rsidRPr="00D10E60">
        <w:rPr>
          <w:color w:val="000000" w:themeColor="text1"/>
        </w:rPr>
        <w:t>such</w:t>
      </w:r>
      <w:r w:rsidR="00C64050">
        <w:rPr>
          <w:color w:val="000000" w:themeColor="text1"/>
        </w:rPr>
        <w:t xml:space="preserve"> </w:t>
      </w:r>
      <w:r w:rsidRPr="00D10E60">
        <w:rPr>
          <w:color w:val="000000" w:themeColor="text1"/>
        </w:rPr>
        <w:t>as</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piers,</w:t>
      </w:r>
      <w:r w:rsidR="00C64050">
        <w:rPr>
          <w:color w:val="000000" w:themeColor="text1"/>
        </w:rPr>
        <w:t xml:space="preserve"> </w:t>
      </w:r>
      <w:r w:rsidRPr="00D10E60">
        <w:rPr>
          <w:color w:val="000000" w:themeColor="text1"/>
        </w:rPr>
        <w:t>boat</w:t>
      </w:r>
      <w:r w:rsidR="00C64050">
        <w:rPr>
          <w:color w:val="000000" w:themeColor="text1"/>
        </w:rPr>
        <w:t xml:space="preserve"> </w:t>
      </w:r>
      <w:r w:rsidRPr="00D10E60">
        <w:rPr>
          <w:color w:val="000000" w:themeColor="text1"/>
        </w:rPr>
        <w:t>launches,</w:t>
      </w:r>
      <w:r w:rsidR="00C64050">
        <w:rPr>
          <w:color w:val="000000" w:themeColor="text1"/>
        </w:rPr>
        <w:t xml:space="preserve"> </w:t>
      </w:r>
      <w:r w:rsidRPr="00D10E60">
        <w:rPr>
          <w:color w:val="000000" w:themeColor="text1"/>
        </w:rPr>
        <w:t>boat</w:t>
      </w:r>
      <w:r w:rsidR="00C64050">
        <w:rPr>
          <w:color w:val="000000" w:themeColor="text1"/>
        </w:rPr>
        <w:t xml:space="preserve"> </w:t>
      </w:r>
      <w:r w:rsidRPr="00D10E60">
        <w:rPr>
          <w:color w:val="000000" w:themeColor="text1"/>
        </w:rPr>
        <w:t>storage</w:t>
      </w:r>
      <w:r w:rsidR="00C64050">
        <w:rPr>
          <w:color w:val="000000" w:themeColor="text1"/>
        </w:rPr>
        <w:t xml:space="preserve"> </w:t>
      </w:r>
      <w:r w:rsidRPr="00D10E60">
        <w:rPr>
          <w:color w:val="000000" w:themeColor="text1"/>
        </w:rPr>
        <w:t>buildings,</w:t>
      </w:r>
      <w:r w:rsidR="00C64050">
        <w:rPr>
          <w:color w:val="000000" w:themeColor="text1"/>
        </w:rPr>
        <w:t xml:space="preserve"> </w:t>
      </w:r>
      <w:r w:rsidRPr="00D10E60">
        <w:rPr>
          <w:color w:val="000000" w:themeColor="text1"/>
        </w:rPr>
        <w:t>and</w:t>
      </w:r>
      <w:r w:rsidR="00C64050">
        <w:rPr>
          <w:color w:val="000000" w:themeColor="text1"/>
        </w:rPr>
        <w:t xml:space="preserve"> </w:t>
      </w:r>
      <w:r w:rsidRPr="00D10E60">
        <w:rPr>
          <w:color w:val="000000" w:themeColor="text1"/>
        </w:rPr>
        <w:t>hunting</w:t>
      </w:r>
      <w:r w:rsidR="00C64050">
        <w:rPr>
          <w:color w:val="000000" w:themeColor="text1"/>
        </w:rPr>
        <w:t xml:space="preserve"> </w:t>
      </w:r>
      <w:r w:rsidRPr="00D10E60">
        <w:rPr>
          <w:color w:val="000000" w:themeColor="text1"/>
        </w:rPr>
        <w:t>blinds,</w:t>
      </w:r>
      <w:r w:rsidR="00C64050">
        <w:rPr>
          <w:color w:val="000000" w:themeColor="text1"/>
        </w:rPr>
        <w:t xml:space="preserve"> </w:t>
      </w:r>
      <w:r w:rsidRPr="00D10E60">
        <w:rPr>
          <w:color w:val="000000" w:themeColor="text1"/>
        </w:rPr>
        <w:t>no</w:t>
      </w:r>
      <w:r w:rsidR="00C64050">
        <w:rPr>
          <w:color w:val="000000" w:themeColor="text1"/>
        </w:rPr>
        <w:t xml:space="preserve"> </w:t>
      </w:r>
      <w:r w:rsidRPr="00D10E60">
        <w:rPr>
          <w:color w:val="000000" w:themeColor="text1"/>
        </w:rPr>
        <w:t>approval</w:t>
      </w:r>
      <w:r w:rsidR="00C64050">
        <w:rPr>
          <w:color w:val="000000" w:themeColor="text1"/>
        </w:rPr>
        <w:t xml:space="preserve"> </w:t>
      </w:r>
      <w:r w:rsidRPr="00D10E60">
        <w:rPr>
          <w:color w:val="000000" w:themeColor="text1"/>
        </w:rPr>
        <w:t>or</w:t>
      </w:r>
      <w:r w:rsidR="00C64050">
        <w:rPr>
          <w:color w:val="000000" w:themeColor="text1"/>
        </w:rPr>
        <w:t xml:space="preserve"> </w:t>
      </w:r>
      <w:r w:rsidRPr="00D10E60">
        <w:rPr>
          <w:color w:val="000000" w:themeColor="text1"/>
        </w:rPr>
        <w:t>prior</w:t>
      </w:r>
      <w:r w:rsidR="00C64050">
        <w:rPr>
          <w:color w:val="000000" w:themeColor="text1"/>
        </w:rPr>
        <w:t xml:space="preserve"> </w:t>
      </w:r>
      <w:r w:rsidRPr="00D10E60">
        <w:rPr>
          <w:color w:val="000000" w:themeColor="text1"/>
        </w:rPr>
        <w:t>review</w:t>
      </w:r>
      <w:r w:rsidR="00C64050">
        <w:rPr>
          <w:color w:val="000000" w:themeColor="text1"/>
        </w:rPr>
        <w:t xml:space="preserve"> </w:t>
      </w:r>
      <w:r w:rsidRPr="00D10E60">
        <w:rPr>
          <w:color w:val="000000" w:themeColor="text1"/>
        </w:rPr>
        <w:t>by</w:t>
      </w:r>
      <w:r w:rsidR="00C64050">
        <w:rPr>
          <w:color w:val="000000" w:themeColor="text1"/>
        </w:rPr>
        <w:t xml:space="preserve"> </w:t>
      </w:r>
      <w:r w:rsidRPr="00D10E60">
        <w:rPr>
          <w:color w:val="000000" w:themeColor="text1"/>
        </w:rPr>
        <w:t>NALT</w:t>
      </w:r>
      <w:r w:rsidR="00C64050">
        <w:rPr>
          <w:color w:val="000000" w:themeColor="text1"/>
        </w:rPr>
        <w:t xml:space="preserve"> </w:t>
      </w:r>
      <w:r w:rsidRPr="00D10E60">
        <w:rPr>
          <w:color w:val="000000" w:themeColor="text1"/>
        </w:rPr>
        <w:t>is</w:t>
      </w:r>
      <w:r w:rsidR="00C64050">
        <w:rPr>
          <w:color w:val="000000" w:themeColor="text1"/>
        </w:rPr>
        <w:t xml:space="preserve"> </w:t>
      </w:r>
      <w:r w:rsidRPr="00D10E60">
        <w:rPr>
          <w:color w:val="000000" w:themeColor="text1"/>
        </w:rPr>
        <w:t>needed.</w:t>
      </w:r>
    </w:p>
    <w:p w:rsidR="00556571" w:rsidRPr="00D10E60" w:rsidRDefault="00556571" w:rsidP="00D10E60">
      <w:pPr>
        <w:pStyle w:val="QS10"/>
        <w:rPr>
          <w:color w:val="000000" w:themeColor="text1"/>
        </w:rPr>
      </w:pPr>
      <w:r w:rsidRPr="00D10E60">
        <w:rPr>
          <w:color w:val="000000" w:themeColor="text1"/>
        </w:rPr>
        <w:t>We</w:t>
      </w:r>
      <w:r w:rsidR="00C64050">
        <w:rPr>
          <w:color w:val="000000" w:themeColor="text1"/>
        </w:rPr>
        <w:t xml:space="preserve"> </w:t>
      </w:r>
      <w:r w:rsidRPr="00D10E60">
        <w:rPr>
          <w:color w:val="000000" w:themeColor="text1"/>
        </w:rPr>
        <w:t>conclude</w:t>
      </w:r>
      <w:r w:rsidR="00C64050">
        <w:rPr>
          <w:color w:val="000000" w:themeColor="text1"/>
        </w:rPr>
        <w:t xml:space="preserve"> </w:t>
      </w:r>
      <w:r w:rsidRPr="00D10E60">
        <w:rPr>
          <w:color w:val="000000" w:themeColor="text1"/>
        </w:rPr>
        <w:t>that</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rights</w:t>
      </w:r>
      <w:r w:rsidR="00C64050">
        <w:rPr>
          <w:color w:val="000000" w:themeColor="text1"/>
        </w:rPr>
        <w:t xml:space="preserve"> </w:t>
      </w:r>
      <w:r w:rsidRPr="00D10E60">
        <w:rPr>
          <w:color w:val="000000" w:themeColor="text1"/>
        </w:rPr>
        <w:t>reserved</w:t>
      </w:r>
      <w:r w:rsidR="00C64050">
        <w:rPr>
          <w:color w:val="000000" w:themeColor="text1"/>
        </w:rPr>
        <w:t xml:space="preserve"> </w:t>
      </w:r>
      <w:r w:rsidRPr="00D10E60">
        <w:rPr>
          <w:color w:val="000000" w:themeColor="text1"/>
        </w:rPr>
        <w:t>to</w:t>
      </w:r>
      <w:r w:rsidR="00C64050">
        <w:rPr>
          <w:color w:val="000000" w:themeColor="text1"/>
        </w:rPr>
        <w:t xml:space="preserve"> </w:t>
      </w:r>
      <w:r w:rsidRPr="00D10E60">
        <w:rPr>
          <w:color w:val="000000" w:themeColor="text1"/>
        </w:rPr>
        <w:t>Pine</w:t>
      </w:r>
      <w:r w:rsidR="00C64050">
        <w:rPr>
          <w:color w:val="000000" w:themeColor="text1"/>
        </w:rPr>
        <w:t xml:space="preserve"> </w:t>
      </w:r>
      <w:r w:rsidRPr="00D10E60">
        <w:rPr>
          <w:color w:val="000000" w:themeColor="text1"/>
        </w:rPr>
        <w:t>Mountain,</w:t>
      </w:r>
      <w:r w:rsidR="00C64050">
        <w:rPr>
          <w:color w:val="000000" w:themeColor="text1"/>
        </w:rPr>
        <w:t xml:space="preserve"> </w:t>
      </w:r>
      <w:r w:rsidRPr="00D10E60">
        <w:rPr>
          <w:color w:val="000000" w:themeColor="text1"/>
        </w:rPr>
        <w:t>considered</w:t>
      </w:r>
      <w:r w:rsidR="00C64050">
        <w:rPr>
          <w:color w:val="000000" w:themeColor="text1"/>
        </w:rPr>
        <w:t xml:space="preserve"> </w:t>
      </w:r>
      <w:r w:rsidRPr="00D10E60">
        <w:rPr>
          <w:color w:val="000000" w:themeColor="text1"/>
        </w:rPr>
        <w:t>in</w:t>
      </w:r>
      <w:r w:rsidR="00C64050">
        <w:rPr>
          <w:color w:val="000000" w:themeColor="text1"/>
        </w:rPr>
        <w:t xml:space="preserve"> </w:t>
      </w:r>
      <w:r w:rsidRPr="00D10E60">
        <w:rPr>
          <w:color w:val="000000" w:themeColor="text1"/>
        </w:rPr>
        <w:t>their</w:t>
      </w:r>
      <w:r w:rsidR="00C64050">
        <w:rPr>
          <w:color w:val="000000" w:themeColor="text1"/>
        </w:rPr>
        <w:t xml:space="preserve"> </w:t>
      </w:r>
      <w:r w:rsidRPr="00D10E60">
        <w:rPr>
          <w:color w:val="000000" w:themeColor="text1"/>
        </w:rPr>
        <w:t>entirety,</w:t>
      </w:r>
      <w:r w:rsidR="00C64050">
        <w:rPr>
          <w:color w:val="000000" w:themeColor="text1"/>
        </w:rPr>
        <w:t xml:space="preserve"> </w:t>
      </w:r>
      <w:r w:rsidRPr="00D10E60">
        <w:rPr>
          <w:color w:val="000000" w:themeColor="text1"/>
        </w:rPr>
        <w:t>prevent</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2005</w:t>
      </w:r>
      <w:r w:rsidR="00C64050">
        <w:rPr>
          <w:color w:val="000000" w:themeColor="text1"/>
        </w:rPr>
        <w:t xml:space="preserve"> </w:t>
      </w:r>
      <w:r w:rsidRPr="00D10E60">
        <w:rPr>
          <w:color w:val="000000" w:themeColor="text1"/>
        </w:rPr>
        <w:t>easement</w:t>
      </w:r>
      <w:r w:rsidR="00C64050">
        <w:rPr>
          <w:color w:val="000000" w:themeColor="text1"/>
        </w:rPr>
        <w:t xml:space="preserve"> </w:t>
      </w:r>
      <w:r w:rsidRPr="00D10E60">
        <w:rPr>
          <w:color w:val="000000" w:themeColor="text1"/>
        </w:rPr>
        <w:t>from</w:t>
      </w:r>
      <w:r w:rsidR="00C64050">
        <w:rPr>
          <w:color w:val="000000" w:themeColor="text1"/>
        </w:rPr>
        <w:t xml:space="preserve"> </w:t>
      </w:r>
      <w:r w:rsidRPr="00D10E60">
        <w:rPr>
          <w:color w:val="000000" w:themeColor="text1"/>
        </w:rPr>
        <w:t>constituting</w:t>
      </w:r>
      <w:r w:rsidR="00C64050">
        <w:rPr>
          <w:color w:val="000000" w:themeColor="text1"/>
        </w:rPr>
        <w:t xml:space="preserve"> </w:t>
      </w:r>
      <w:r w:rsidRPr="00D10E60">
        <w:rPr>
          <w:color w:val="000000" w:themeColor="text1"/>
        </w:rPr>
        <w:t>a</w:t>
      </w:r>
      <w:r w:rsidR="00C64050">
        <w:rPr>
          <w:color w:val="000000" w:themeColor="text1"/>
        </w:rPr>
        <w:t xml:space="preserve"> </w:t>
      </w:r>
      <w:r w:rsidRPr="00D10E60">
        <w:rPr>
          <w:color w:val="000000" w:themeColor="text1"/>
        </w:rPr>
        <w:t>“qualified</w:t>
      </w:r>
      <w:r w:rsidR="00C64050">
        <w:rPr>
          <w:color w:val="000000" w:themeColor="text1"/>
        </w:rPr>
        <w:t xml:space="preserve"> </w:t>
      </w:r>
      <w:r w:rsidRPr="00D10E60">
        <w:rPr>
          <w:color w:val="000000" w:themeColor="text1"/>
        </w:rPr>
        <w:t>real</w:t>
      </w:r>
      <w:r w:rsidR="00C64050">
        <w:rPr>
          <w:color w:val="000000" w:themeColor="text1"/>
        </w:rPr>
        <w:t xml:space="preserve"> </w:t>
      </w:r>
      <w:r w:rsidRPr="00D10E60">
        <w:rPr>
          <w:color w:val="000000" w:themeColor="text1"/>
        </w:rPr>
        <w:t>property</w:t>
      </w:r>
      <w:r w:rsidR="00C64050">
        <w:rPr>
          <w:color w:val="000000" w:themeColor="text1"/>
        </w:rPr>
        <w:t xml:space="preserve"> </w:t>
      </w:r>
      <w:r w:rsidRPr="00D10E60">
        <w:rPr>
          <w:color w:val="000000" w:themeColor="text1"/>
        </w:rPr>
        <w:t>interest.”</w:t>
      </w:r>
      <w:r w:rsidR="00C64050">
        <w:rPr>
          <w:color w:val="000000" w:themeColor="text1"/>
        </w:rPr>
        <w:t xml:space="preserve"> </w:t>
      </w:r>
      <w:r w:rsidRPr="00D10E60">
        <w:rPr>
          <w:color w:val="000000" w:themeColor="text1"/>
          <w:u w:val="single"/>
        </w:rPr>
        <w:t>See</w:t>
      </w:r>
      <w:r w:rsidR="00C64050">
        <w:rPr>
          <w:color w:val="000000" w:themeColor="text1"/>
        </w:rPr>
        <w:t xml:space="preserve"> </w:t>
      </w:r>
      <w:hyperlink r:id="rId138" w:anchor="co_pp_1d410000745d2" w:history="1">
        <w:r w:rsidRPr="00D10E60">
          <w:rPr>
            <w:color w:val="000000" w:themeColor="text1"/>
          </w:rPr>
          <w:t>sec.</w:t>
        </w:r>
        <w:r w:rsidR="00C64050">
          <w:rPr>
            <w:color w:val="000000" w:themeColor="text1"/>
          </w:rPr>
          <w:t xml:space="preserve"> </w:t>
        </w:r>
        <w:r w:rsidRPr="00D10E60">
          <w:rPr>
            <w:color w:val="000000" w:themeColor="text1"/>
          </w:rPr>
          <w:t>170(h)(2)</w:t>
        </w:r>
      </w:hyperlink>
      <w:r w:rsidRPr="00D10E60">
        <w:rPr>
          <w:color w:val="000000" w:themeColor="text1"/>
        </w:rPr>
        <w:t>.</w:t>
      </w:r>
      <w:r w:rsidR="00C64050">
        <w:rPr>
          <w:color w:val="000000" w:themeColor="text1"/>
        </w:rPr>
        <w:t xml:space="preserve"> </w:t>
      </w:r>
      <w:r w:rsidRPr="00D10E60">
        <w:rPr>
          <w:color w:val="000000" w:themeColor="text1"/>
        </w:rPr>
        <w:t>As</w:t>
      </w:r>
      <w:r w:rsidR="00C64050">
        <w:rPr>
          <w:color w:val="000000" w:themeColor="text1"/>
        </w:rPr>
        <w:t xml:space="preserve"> </w:t>
      </w:r>
      <w:r w:rsidRPr="00D10E60">
        <w:rPr>
          <w:color w:val="000000" w:themeColor="text1"/>
        </w:rPr>
        <w:t>in</w:t>
      </w:r>
      <w:r w:rsidR="00C64050">
        <w:rPr>
          <w:color w:val="000000" w:themeColor="text1"/>
        </w:rPr>
        <w:t xml:space="preserve"> </w:t>
      </w:r>
      <w:r w:rsidRPr="00D10E60">
        <w:rPr>
          <w:color w:val="000000" w:themeColor="text1"/>
          <w:u w:val="single"/>
        </w:rPr>
        <w:t>Bosque</w:t>
      </w:r>
      <w:r w:rsidR="00C64050">
        <w:rPr>
          <w:color w:val="000000" w:themeColor="text1"/>
          <w:u w:val="single"/>
        </w:rPr>
        <w:t xml:space="preserve"> </w:t>
      </w:r>
      <w:r w:rsidRPr="00D10E60">
        <w:rPr>
          <w:color w:val="000000" w:themeColor="text1"/>
          <w:u w:val="single"/>
        </w:rPr>
        <w:t>Canyon</w:t>
      </w:r>
      <w:r w:rsidRPr="00D10E60">
        <w:rPr>
          <w:color w:val="000000" w:themeColor="text1"/>
        </w:rPr>
        <w:t>,</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easement</w:t>
      </w:r>
      <w:r w:rsidR="00C64050">
        <w:rPr>
          <w:color w:val="000000" w:themeColor="text1"/>
        </w:rPr>
        <w:t xml:space="preserve"> </w:t>
      </w:r>
      <w:r w:rsidRPr="00D10E60">
        <w:rPr>
          <w:color w:val="000000" w:themeColor="text1"/>
        </w:rPr>
        <w:t>deed</w:t>
      </w:r>
      <w:r w:rsidR="00C64050">
        <w:rPr>
          <w:color w:val="000000" w:themeColor="text1"/>
        </w:rPr>
        <w:t xml:space="preserve"> </w:t>
      </w:r>
      <w:r w:rsidRPr="00D10E60">
        <w:rPr>
          <w:color w:val="000000" w:themeColor="text1"/>
        </w:rPr>
        <w:t>allows</w:t>
      </w:r>
      <w:r w:rsidR="00C64050">
        <w:rPr>
          <w:color w:val="000000" w:themeColor="text1"/>
        </w:rPr>
        <w:t xml:space="preserve"> </w:t>
      </w:r>
      <w:r w:rsidRPr="00D10E60">
        <w:rPr>
          <w:color w:val="000000" w:themeColor="text1"/>
        </w:rPr>
        <w:t>all</w:t>
      </w:r>
      <w:r w:rsidR="00C64050">
        <w:rPr>
          <w:color w:val="000000" w:themeColor="text1"/>
        </w:rPr>
        <w:t xml:space="preserve"> </w:t>
      </w:r>
      <w:r w:rsidRPr="00D10E60">
        <w:rPr>
          <w:color w:val="000000" w:themeColor="text1"/>
        </w:rPr>
        <w:t>ten</w:t>
      </w:r>
      <w:r w:rsidR="00C64050">
        <w:rPr>
          <w:color w:val="000000" w:themeColor="text1"/>
        </w:rPr>
        <w:t xml:space="preserve"> </w:t>
      </w:r>
      <w:r w:rsidRPr="00D10E60">
        <w:rPr>
          <w:color w:val="000000" w:themeColor="text1"/>
        </w:rPr>
        <w:t>residences</w:t>
      </w:r>
      <w:r w:rsidR="00C64050">
        <w:rPr>
          <w:color w:val="000000" w:themeColor="text1"/>
        </w:rPr>
        <w:t xml:space="preserve"> </w:t>
      </w:r>
      <w:r w:rsidRPr="00D10E60">
        <w:rPr>
          <w:color w:val="000000" w:themeColor="text1"/>
        </w:rPr>
        <w:t>to</w:t>
      </w:r>
      <w:r w:rsidR="00C64050">
        <w:rPr>
          <w:color w:val="000000" w:themeColor="text1"/>
        </w:rPr>
        <w:t xml:space="preserve"> </w:t>
      </w:r>
      <w:r w:rsidRPr="00D10E60">
        <w:rPr>
          <w:color w:val="000000" w:themeColor="text1"/>
        </w:rPr>
        <w:t>be</w:t>
      </w:r>
      <w:r w:rsidR="00C64050">
        <w:rPr>
          <w:color w:val="000000" w:themeColor="text1"/>
        </w:rPr>
        <w:t xml:space="preserve"> </w:t>
      </w:r>
      <w:r w:rsidRPr="00D10E60">
        <w:rPr>
          <w:color w:val="000000" w:themeColor="text1"/>
        </w:rPr>
        <w:t>moved</w:t>
      </w:r>
      <w:r w:rsidR="00C64050">
        <w:rPr>
          <w:color w:val="000000" w:themeColor="text1"/>
        </w:rPr>
        <w:t xml:space="preserve"> </w:t>
      </w:r>
      <w:r w:rsidRPr="00D10E60">
        <w:rPr>
          <w:color w:val="000000" w:themeColor="text1"/>
        </w:rPr>
        <w:t>from</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man-made</w:t>
      </w:r>
      <w:r w:rsidR="00C64050">
        <w:rPr>
          <w:color w:val="000000" w:themeColor="text1"/>
        </w:rPr>
        <w:t xml:space="preserve"> </w:t>
      </w:r>
      <w:r w:rsidRPr="00D10E60">
        <w:rPr>
          <w:color w:val="000000" w:themeColor="text1"/>
        </w:rPr>
        <w:t>lake</w:t>
      </w:r>
      <w:r w:rsidR="00C64050">
        <w:rPr>
          <w:color w:val="000000" w:themeColor="text1"/>
        </w:rPr>
        <w:t xml:space="preserve"> </w:t>
      </w:r>
      <w:r w:rsidRPr="00D10E60">
        <w:rPr>
          <w:color w:val="000000" w:themeColor="text1"/>
        </w:rPr>
        <w:t>to</w:t>
      </w:r>
      <w:r w:rsidR="00C64050">
        <w:rPr>
          <w:color w:val="000000" w:themeColor="text1"/>
        </w:rPr>
        <w:t xml:space="preserve"> </w:t>
      </w:r>
      <w:r w:rsidRPr="00D10E60">
        <w:rPr>
          <w:color w:val="000000" w:themeColor="text1"/>
        </w:rPr>
        <w:t>other,</w:t>
      </w:r>
      <w:r w:rsidR="00C64050">
        <w:rPr>
          <w:color w:val="000000" w:themeColor="text1"/>
        </w:rPr>
        <w:t xml:space="preserve"> </w:t>
      </w:r>
      <w:r w:rsidRPr="00D10E60">
        <w:rPr>
          <w:color w:val="000000" w:themeColor="text1"/>
        </w:rPr>
        <w:t>possibly</w:t>
      </w:r>
      <w:r w:rsidR="00C64050">
        <w:rPr>
          <w:color w:val="000000" w:themeColor="text1"/>
        </w:rPr>
        <w:t xml:space="preserve"> </w:t>
      </w:r>
      <w:r w:rsidRPr="00D10E60">
        <w:rPr>
          <w:color w:val="000000" w:themeColor="text1"/>
        </w:rPr>
        <w:t>more</w:t>
      </w:r>
      <w:r w:rsidR="00C64050">
        <w:rPr>
          <w:color w:val="000000" w:themeColor="text1"/>
        </w:rPr>
        <w:t xml:space="preserve"> </w:t>
      </w:r>
      <w:r w:rsidRPr="00D10E60">
        <w:rPr>
          <w:color w:val="000000" w:themeColor="text1"/>
        </w:rPr>
        <w:t>desirable,</w:t>
      </w:r>
      <w:r w:rsidR="00C64050">
        <w:rPr>
          <w:color w:val="000000" w:themeColor="text1"/>
        </w:rPr>
        <w:t xml:space="preserve"> </w:t>
      </w:r>
      <w:r w:rsidRPr="00D10E60">
        <w:rPr>
          <w:color w:val="000000" w:themeColor="text1"/>
        </w:rPr>
        <w:t>locations</w:t>
      </w:r>
      <w:r w:rsidR="00C64050">
        <w:rPr>
          <w:color w:val="000000" w:themeColor="text1"/>
        </w:rPr>
        <w:t xml:space="preserve"> </w:t>
      </w:r>
      <w:r w:rsidRPr="00D10E60">
        <w:rPr>
          <w:color w:val="000000" w:themeColor="text1"/>
        </w:rPr>
        <w:t>within</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2005</w:t>
      </w:r>
      <w:r w:rsidR="00C64050">
        <w:rPr>
          <w:color w:val="000000" w:themeColor="text1"/>
        </w:rPr>
        <w:t xml:space="preserve"> </w:t>
      </w:r>
      <w:r w:rsidRPr="00D10E60">
        <w:rPr>
          <w:color w:val="000000" w:themeColor="text1"/>
        </w:rPr>
        <w:t>Conservation</w:t>
      </w:r>
      <w:r w:rsidR="00C64050">
        <w:rPr>
          <w:color w:val="000000" w:themeColor="text1"/>
        </w:rPr>
        <w:t xml:space="preserve"> </w:t>
      </w:r>
      <w:r w:rsidRPr="00D10E60">
        <w:rPr>
          <w:color w:val="000000" w:themeColor="text1"/>
        </w:rPr>
        <w:t>Area.</w:t>
      </w:r>
      <w:r w:rsidR="00C64050">
        <w:rPr>
          <w:color w:val="000000" w:themeColor="text1"/>
        </w:rPr>
        <w:t xml:space="preserve"> </w:t>
      </w:r>
      <w:r w:rsidRPr="00D10E60">
        <w:rPr>
          <w:color w:val="000000" w:themeColor="text1"/>
        </w:rPr>
        <w:t>And</w:t>
      </w:r>
      <w:r w:rsidR="00C64050">
        <w:rPr>
          <w:color w:val="000000" w:themeColor="text1"/>
        </w:rPr>
        <w:t xml:space="preserve"> </w:t>
      </w:r>
      <w:r w:rsidRPr="00D10E60">
        <w:rPr>
          <w:color w:val="000000" w:themeColor="text1"/>
        </w:rPr>
        <w:t>as</w:t>
      </w:r>
      <w:r w:rsidR="00C64050">
        <w:rPr>
          <w:color w:val="000000" w:themeColor="text1"/>
        </w:rPr>
        <w:t xml:space="preserve"> </w:t>
      </w:r>
      <w:r w:rsidRPr="00D10E60">
        <w:rPr>
          <w:color w:val="000000" w:themeColor="text1"/>
        </w:rPr>
        <w:t>in</w:t>
      </w:r>
      <w:r w:rsidR="00C64050">
        <w:rPr>
          <w:color w:val="000000" w:themeColor="text1"/>
        </w:rPr>
        <w:t xml:space="preserve"> </w:t>
      </w:r>
      <w:r w:rsidRPr="00D10E60">
        <w:rPr>
          <w:color w:val="000000" w:themeColor="text1"/>
          <w:u w:val="single"/>
        </w:rPr>
        <w:t>Bosque</w:t>
      </w:r>
      <w:r w:rsidR="00C64050">
        <w:rPr>
          <w:color w:val="000000" w:themeColor="text1"/>
          <w:u w:val="single"/>
        </w:rPr>
        <w:t xml:space="preserve"> </w:t>
      </w:r>
      <w:r w:rsidRPr="00D10E60">
        <w:rPr>
          <w:color w:val="000000" w:themeColor="text1"/>
          <w:u w:val="single"/>
        </w:rPr>
        <w:t>Canyon</w:t>
      </w:r>
      <w:r w:rsidRPr="00D10E60">
        <w:rPr>
          <w:color w:val="000000" w:themeColor="text1"/>
        </w:rPr>
        <w:t>,</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easement</w:t>
      </w:r>
      <w:r w:rsidR="00C64050">
        <w:rPr>
          <w:color w:val="000000" w:themeColor="text1"/>
        </w:rPr>
        <w:t xml:space="preserve"> </w:t>
      </w:r>
      <w:r w:rsidRPr="00D10E60">
        <w:rPr>
          <w:color w:val="000000" w:themeColor="text1"/>
        </w:rPr>
        <w:t>places</w:t>
      </w:r>
      <w:r w:rsidR="00C64050">
        <w:rPr>
          <w:color w:val="000000" w:themeColor="text1"/>
        </w:rPr>
        <w:t xml:space="preserve"> </w:t>
      </w:r>
      <w:r w:rsidRPr="00D10E60">
        <w:rPr>
          <w:color w:val="000000" w:themeColor="text1"/>
        </w:rPr>
        <w:t>no</w:t>
      </w:r>
      <w:r w:rsidR="00C64050">
        <w:rPr>
          <w:color w:val="000000" w:themeColor="text1"/>
        </w:rPr>
        <w:t xml:space="preserve"> </w:t>
      </w:r>
      <w:r w:rsidRPr="00D10E60">
        <w:rPr>
          <w:color w:val="000000" w:themeColor="text1"/>
        </w:rPr>
        <w:t>limits</w:t>
      </w:r>
      <w:r w:rsidR="00C64050">
        <w:rPr>
          <w:color w:val="000000" w:themeColor="text1"/>
        </w:rPr>
        <w:t xml:space="preserve"> </w:t>
      </w:r>
      <w:r w:rsidRPr="00D10E60">
        <w:rPr>
          <w:color w:val="000000" w:themeColor="text1"/>
        </w:rPr>
        <w:t>on</w:t>
      </w:r>
      <w:r w:rsidR="00C64050">
        <w:rPr>
          <w:color w:val="000000" w:themeColor="text1"/>
        </w:rPr>
        <w:t xml:space="preserve"> </w:t>
      </w:r>
      <w:r w:rsidRPr="00D10E60">
        <w:rPr>
          <w:color w:val="000000" w:themeColor="text1"/>
        </w:rPr>
        <w:t>how</w:t>
      </w:r>
      <w:r w:rsidR="00C64050">
        <w:rPr>
          <w:color w:val="000000" w:themeColor="text1"/>
        </w:rPr>
        <w:t xml:space="preserve"> </w:t>
      </w:r>
      <w:r w:rsidRPr="00D10E60">
        <w:rPr>
          <w:color w:val="000000" w:themeColor="text1"/>
        </w:rPr>
        <w:t>many</w:t>
      </w:r>
      <w:r w:rsidR="00C64050">
        <w:rPr>
          <w:color w:val="000000" w:themeColor="text1"/>
        </w:rPr>
        <w:t xml:space="preserve"> </w:t>
      </w:r>
      <w:r w:rsidRPr="00D10E60">
        <w:rPr>
          <w:color w:val="000000" w:themeColor="text1"/>
        </w:rPr>
        <w:t>homesites</w:t>
      </w:r>
      <w:r w:rsidR="00C64050">
        <w:rPr>
          <w:color w:val="000000" w:themeColor="text1"/>
        </w:rPr>
        <w:t xml:space="preserve"> </w:t>
      </w:r>
      <w:r w:rsidRPr="00D10E60">
        <w:rPr>
          <w:color w:val="000000" w:themeColor="text1"/>
        </w:rPr>
        <w:t>can</w:t>
      </w:r>
      <w:r w:rsidR="00C64050">
        <w:rPr>
          <w:color w:val="000000" w:themeColor="text1"/>
        </w:rPr>
        <w:t xml:space="preserve"> </w:t>
      </w:r>
      <w:r w:rsidRPr="00D10E60">
        <w:rPr>
          <w:color w:val="000000" w:themeColor="text1"/>
        </w:rPr>
        <w:t>be</w:t>
      </w:r>
      <w:r w:rsidR="00C64050">
        <w:rPr>
          <w:color w:val="000000" w:themeColor="text1"/>
        </w:rPr>
        <w:t xml:space="preserve"> </w:t>
      </w:r>
      <w:r w:rsidRPr="00D10E60">
        <w:rPr>
          <w:color w:val="000000" w:themeColor="text1"/>
        </w:rPr>
        <w:t>moved,</w:t>
      </w:r>
      <w:r w:rsidR="00C64050">
        <w:rPr>
          <w:color w:val="000000" w:themeColor="text1"/>
        </w:rPr>
        <w:t xml:space="preserve"> </w:t>
      </w:r>
      <w:r w:rsidRPr="00D10E60">
        <w:rPr>
          <w:color w:val="000000" w:themeColor="text1"/>
        </w:rPr>
        <w:t>how</w:t>
      </w:r>
      <w:r w:rsidR="00C64050">
        <w:rPr>
          <w:color w:val="000000" w:themeColor="text1"/>
        </w:rPr>
        <w:t xml:space="preserve"> </w:t>
      </w:r>
      <w:r w:rsidRPr="00D10E60">
        <w:rPr>
          <w:color w:val="000000" w:themeColor="text1"/>
        </w:rPr>
        <w:t>often</w:t>
      </w:r>
      <w:r w:rsidR="00C64050">
        <w:rPr>
          <w:color w:val="000000" w:themeColor="text1"/>
        </w:rPr>
        <w:t xml:space="preserve"> </w:t>
      </w:r>
      <w:r w:rsidRPr="00D10E60">
        <w:rPr>
          <w:color w:val="000000" w:themeColor="text1"/>
        </w:rPr>
        <w:t>this</w:t>
      </w:r>
      <w:r w:rsidR="00C64050">
        <w:rPr>
          <w:color w:val="000000" w:themeColor="text1"/>
        </w:rPr>
        <w:t xml:space="preserve"> </w:t>
      </w:r>
      <w:r w:rsidRPr="00D10E60">
        <w:rPr>
          <w:color w:val="000000" w:themeColor="text1"/>
        </w:rPr>
        <w:t>can</w:t>
      </w:r>
      <w:r w:rsidR="00C64050">
        <w:rPr>
          <w:color w:val="000000" w:themeColor="text1"/>
        </w:rPr>
        <w:t xml:space="preserve"> </w:t>
      </w:r>
      <w:r w:rsidRPr="00D10E60">
        <w:rPr>
          <w:color w:val="000000" w:themeColor="text1"/>
        </w:rPr>
        <w:t>be</w:t>
      </w:r>
      <w:r w:rsidR="00C64050">
        <w:rPr>
          <w:color w:val="000000" w:themeColor="text1"/>
        </w:rPr>
        <w:t xml:space="preserve"> </w:t>
      </w:r>
      <w:r w:rsidRPr="00D10E60">
        <w:rPr>
          <w:color w:val="000000" w:themeColor="text1"/>
        </w:rPr>
        <w:t>done,</w:t>
      </w:r>
      <w:r w:rsidR="00C64050">
        <w:rPr>
          <w:color w:val="000000" w:themeColor="text1"/>
        </w:rPr>
        <w:t xml:space="preserve"> </w:t>
      </w:r>
      <w:r w:rsidRPr="00D10E60">
        <w:rPr>
          <w:color w:val="000000" w:themeColor="text1"/>
        </w:rPr>
        <w:t>or</w:t>
      </w:r>
      <w:r w:rsidR="00C64050">
        <w:rPr>
          <w:color w:val="000000" w:themeColor="text1"/>
        </w:rPr>
        <w:t xml:space="preserve"> </w:t>
      </w:r>
      <w:r w:rsidRPr="00D10E60">
        <w:rPr>
          <w:color w:val="000000" w:themeColor="text1"/>
        </w:rPr>
        <w:t>how</w:t>
      </w:r>
      <w:r w:rsidR="00C64050">
        <w:rPr>
          <w:color w:val="000000" w:themeColor="text1"/>
        </w:rPr>
        <w:t xml:space="preserve"> </w:t>
      </w:r>
      <w:r w:rsidRPr="00D10E60">
        <w:rPr>
          <w:color w:val="000000" w:themeColor="text1"/>
        </w:rPr>
        <w:t>far</w:t>
      </w:r>
      <w:r w:rsidR="00C64050">
        <w:rPr>
          <w:color w:val="000000" w:themeColor="text1"/>
        </w:rPr>
        <w:t xml:space="preserve"> </w:t>
      </w:r>
      <w:r w:rsidRPr="00D10E60">
        <w:rPr>
          <w:color w:val="000000" w:themeColor="text1"/>
        </w:rPr>
        <w:t>into</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future</w:t>
      </w:r>
      <w:r w:rsidR="00C64050">
        <w:rPr>
          <w:color w:val="000000" w:themeColor="text1"/>
        </w:rPr>
        <w:t xml:space="preserve"> </w:t>
      </w:r>
      <w:r w:rsidRPr="00D10E60">
        <w:rPr>
          <w:color w:val="000000" w:themeColor="text1"/>
        </w:rPr>
        <w:t>such</w:t>
      </w:r>
      <w:r w:rsidR="00C64050">
        <w:rPr>
          <w:color w:val="000000" w:themeColor="text1"/>
        </w:rPr>
        <w:t xml:space="preserve"> </w:t>
      </w:r>
      <w:r w:rsidRPr="00D10E60">
        <w:rPr>
          <w:color w:val="000000" w:themeColor="text1"/>
        </w:rPr>
        <w:t>relocations</w:t>
      </w:r>
      <w:r w:rsidR="00C64050">
        <w:rPr>
          <w:color w:val="000000" w:themeColor="text1"/>
        </w:rPr>
        <w:t xml:space="preserve"> </w:t>
      </w:r>
      <w:r w:rsidRPr="00D10E60">
        <w:rPr>
          <w:color w:val="000000" w:themeColor="text1"/>
        </w:rPr>
        <w:t>can</w:t>
      </w:r>
      <w:r w:rsidR="00C64050">
        <w:rPr>
          <w:color w:val="000000" w:themeColor="text1"/>
        </w:rPr>
        <w:t xml:space="preserve"> </w:t>
      </w:r>
      <w:r w:rsidRPr="00D10E60">
        <w:rPr>
          <w:color w:val="000000" w:themeColor="text1"/>
        </w:rPr>
        <w:t>occur.</w:t>
      </w:r>
    </w:p>
    <w:p w:rsidR="00556571" w:rsidRPr="00556571" w:rsidRDefault="00556571" w:rsidP="00D10E60">
      <w:pPr>
        <w:pStyle w:val="QS10"/>
      </w:pPr>
      <w:r w:rsidRPr="00D10E60">
        <w:rPr>
          <w:color w:val="000000" w:themeColor="text1"/>
        </w:rPr>
        <w:t>The</w:t>
      </w:r>
      <w:r w:rsidR="00C64050">
        <w:rPr>
          <w:color w:val="000000" w:themeColor="text1"/>
        </w:rPr>
        <w:t xml:space="preserve"> </w:t>
      </w:r>
      <w:r w:rsidRPr="00D10E60">
        <w:rPr>
          <w:color w:val="000000" w:themeColor="text1"/>
        </w:rPr>
        <w:t>2005</w:t>
      </w:r>
      <w:r w:rsidR="00C64050">
        <w:rPr>
          <w:color w:val="000000" w:themeColor="text1"/>
        </w:rPr>
        <w:t xml:space="preserve"> </w:t>
      </w:r>
      <w:r w:rsidRPr="00D10E60">
        <w:rPr>
          <w:color w:val="000000" w:themeColor="text1"/>
        </w:rPr>
        <w:t>easement</w:t>
      </w:r>
      <w:r w:rsidR="00C64050">
        <w:rPr>
          <w:color w:val="000000" w:themeColor="text1"/>
        </w:rPr>
        <w:t xml:space="preserve"> </w:t>
      </w:r>
      <w:r w:rsidRPr="00D10E60">
        <w:rPr>
          <w:color w:val="000000" w:themeColor="text1"/>
        </w:rPr>
        <w:t>also</w:t>
      </w:r>
      <w:r w:rsidR="00C64050">
        <w:rPr>
          <w:color w:val="000000" w:themeColor="text1"/>
        </w:rPr>
        <w:t xml:space="preserve"> </w:t>
      </w:r>
      <w:r w:rsidRPr="00D10E60">
        <w:rPr>
          <w:color w:val="000000" w:themeColor="text1"/>
        </w:rPr>
        <w:t>permits</w:t>
      </w:r>
      <w:r w:rsidR="00C64050">
        <w:rPr>
          <w:color w:val="000000" w:themeColor="text1"/>
        </w:rPr>
        <w:t xml:space="preserve"> </w:t>
      </w:r>
      <w:r w:rsidRPr="00D10E60">
        <w:rPr>
          <w:color w:val="000000" w:themeColor="text1"/>
        </w:rPr>
        <w:t>Pine</w:t>
      </w:r>
      <w:r w:rsidR="00C64050">
        <w:rPr>
          <w:color w:val="000000" w:themeColor="text1"/>
        </w:rPr>
        <w:t xml:space="preserve"> </w:t>
      </w:r>
      <w:r w:rsidRPr="00D10E60">
        <w:rPr>
          <w:color w:val="000000" w:themeColor="text1"/>
        </w:rPr>
        <w:t>Mountain</w:t>
      </w:r>
      <w:r w:rsidR="00C64050">
        <w:rPr>
          <w:color w:val="000000" w:themeColor="text1"/>
        </w:rPr>
        <w:t xml:space="preserve"> </w:t>
      </w:r>
      <w:r w:rsidRPr="00D10E60">
        <w:rPr>
          <w:color w:val="000000" w:themeColor="text1"/>
        </w:rPr>
        <w:t>to</w:t>
      </w:r>
      <w:r w:rsidR="00C64050">
        <w:rPr>
          <w:color w:val="000000" w:themeColor="text1"/>
        </w:rPr>
        <w:t xml:space="preserve"> </w:t>
      </w:r>
      <w:r w:rsidRPr="00D10E60">
        <w:rPr>
          <w:color w:val="000000" w:themeColor="text1"/>
        </w:rPr>
        <w:t>construct,</w:t>
      </w:r>
      <w:r w:rsidR="00C64050">
        <w:rPr>
          <w:color w:val="000000" w:themeColor="text1"/>
        </w:rPr>
        <w:t xml:space="preserve"> </w:t>
      </w:r>
      <w:r w:rsidRPr="00D10E60">
        <w:rPr>
          <w:color w:val="000000" w:themeColor="text1"/>
        </w:rPr>
        <w:t>anywhere</w:t>
      </w:r>
      <w:r w:rsidR="00C64050">
        <w:rPr>
          <w:color w:val="000000" w:themeColor="text1"/>
        </w:rPr>
        <w:t xml:space="preserve"> </w:t>
      </w:r>
      <w:r w:rsidRPr="00D10E60">
        <w:rPr>
          <w:color w:val="000000" w:themeColor="text1"/>
        </w:rPr>
        <w:t>within</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2005</w:t>
      </w:r>
      <w:r w:rsidR="00C64050">
        <w:rPr>
          <w:color w:val="000000" w:themeColor="text1"/>
        </w:rPr>
        <w:t xml:space="preserve"> </w:t>
      </w:r>
      <w:r w:rsidRPr="00D10E60">
        <w:rPr>
          <w:color w:val="000000" w:themeColor="text1"/>
        </w:rPr>
        <w:t>Conservation</w:t>
      </w:r>
      <w:r w:rsidR="00C64050">
        <w:rPr>
          <w:color w:val="000000" w:themeColor="text1"/>
        </w:rPr>
        <w:t xml:space="preserve"> </w:t>
      </w:r>
      <w:r w:rsidRPr="00D10E60">
        <w:rPr>
          <w:color w:val="000000" w:themeColor="text1"/>
        </w:rPr>
        <w:t>Area,</w:t>
      </w:r>
      <w:r w:rsidR="00C64050">
        <w:rPr>
          <w:color w:val="000000" w:themeColor="text1"/>
        </w:rPr>
        <w:t xml:space="preserve"> </w:t>
      </w:r>
      <w:r w:rsidRPr="00D10E60">
        <w:rPr>
          <w:color w:val="000000" w:themeColor="text1"/>
        </w:rPr>
        <w:t>a</w:t>
      </w:r>
      <w:r w:rsidR="00C64050">
        <w:rPr>
          <w:color w:val="000000" w:themeColor="text1"/>
        </w:rPr>
        <w:t xml:space="preserve"> </w:t>
      </w:r>
      <w:r w:rsidRPr="00D10E60">
        <w:rPr>
          <w:color w:val="000000" w:themeColor="text1"/>
        </w:rPr>
        <w:t>variety</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other</w:t>
      </w:r>
      <w:r w:rsidR="00C64050">
        <w:rPr>
          <w:color w:val="000000" w:themeColor="text1"/>
        </w:rPr>
        <w:t xml:space="preserve"> </w:t>
      </w:r>
      <w:r w:rsidRPr="00D10E60">
        <w:rPr>
          <w:color w:val="000000" w:themeColor="text1"/>
        </w:rPr>
        <w:t>buildings.</w:t>
      </w:r>
      <w:r w:rsidR="00C64050">
        <w:rPr>
          <w:color w:val="000000" w:themeColor="text1"/>
        </w:rPr>
        <w:t xml:space="preserve"> </w:t>
      </w:r>
      <w:r w:rsidRPr="00D10E60">
        <w:rPr>
          <w:color w:val="000000" w:themeColor="text1"/>
        </w:rPr>
        <w:t>At</w:t>
      </w:r>
      <w:r w:rsidR="00C64050">
        <w:rPr>
          <w:color w:val="000000" w:themeColor="text1"/>
        </w:rPr>
        <w:t xml:space="preserve"> </w:t>
      </w:r>
      <w:r w:rsidRPr="00D10E60">
        <w:rPr>
          <w:color w:val="000000" w:themeColor="text1"/>
        </w:rPr>
        <w:t>least</w:t>
      </w:r>
      <w:r w:rsidR="00C64050">
        <w:rPr>
          <w:color w:val="000000" w:themeColor="text1"/>
        </w:rPr>
        <w:t xml:space="preserve"> </w:t>
      </w:r>
      <w:r w:rsidRPr="00D10E60">
        <w:rPr>
          <w:color w:val="000000" w:themeColor="text1"/>
        </w:rPr>
        <w:t>11</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these</w:t>
      </w:r>
      <w:r w:rsidR="00C64050">
        <w:rPr>
          <w:color w:val="000000" w:themeColor="text1"/>
        </w:rPr>
        <w:t xml:space="preserve"> </w:t>
      </w:r>
      <w:r w:rsidRPr="00D10E60">
        <w:rPr>
          <w:color w:val="000000" w:themeColor="text1"/>
        </w:rPr>
        <w:t>buildings</w:t>
      </w:r>
      <w:r w:rsidR="00C64050">
        <w:rPr>
          <w:color w:val="000000" w:themeColor="text1"/>
        </w:rPr>
        <w:t xml:space="preserve"> </w:t>
      </w:r>
      <w:r w:rsidRPr="00D10E60">
        <w:rPr>
          <w:color w:val="000000" w:themeColor="text1"/>
        </w:rPr>
        <w:t>may</w:t>
      </w:r>
      <w:r w:rsidR="00C64050">
        <w:rPr>
          <w:color w:val="000000" w:themeColor="text1"/>
        </w:rPr>
        <w:t xml:space="preserve"> </w:t>
      </w:r>
      <w:r w:rsidRPr="00D10E60">
        <w:rPr>
          <w:color w:val="000000" w:themeColor="text1"/>
        </w:rPr>
        <w:t>include</w:t>
      </w:r>
      <w:r w:rsidR="00C64050">
        <w:rPr>
          <w:color w:val="000000" w:themeColor="text1"/>
        </w:rPr>
        <w:t xml:space="preserve"> </w:t>
      </w:r>
      <w:r w:rsidRPr="00D10E60">
        <w:rPr>
          <w:color w:val="000000" w:themeColor="text1"/>
        </w:rPr>
        <w:t>additional</w:t>
      </w:r>
      <w:r w:rsidR="00C64050">
        <w:rPr>
          <w:color w:val="000000" w:themeColor="text1"/>
        </w:rPr>
        <w:t xml:space="preserve"> </w:t>
      </w:r>
      <w:r w:rsidRPr="00D10E60">
        <w:rPr>
          <w:color w:val="000000" w:themeColor="text1"/>
        </w:rPr>
        <w:t>living</w:t>
      </w:r>
      <w:r w:rsidR="00C64050">
        <w:rPr>
          <w:color w:val="000000" w:themeColor="text1"/>
        </w:rPr>
        <w:t xml:space="preserve"> </w:t>
      </w:r>
      <w:r w:rsidRPr="00D10E60">
        <w:rPr>
          <w:color w:val="000000" w:themeColor="text1"/>
        </w:rPr>
        <w:t>quarters.</w:t>
      </w:r>
      <w:r w:rsidR="00C64050">
        <w:rPr>
          <w:color w:val="000000" w:themeColor="text1"/>
        </w:rPr>
        <w:t xml:space="preserve"> </w:t>
      </w:r>
      <w:r w:rsidRPr="00D10E60">
        <w:rPr>
          <w:color w:val="000000" w:themeColor="text1"/>
        </w:rPr>
        <w:t>All</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these</w:t>
      </w:r>
      <w:r w:rsidR="00C64050">
        <w:rPr>
          <w:color w:val="000000" w:themeColor="text1"/>
        </w:rPr>
        <w:t xml:space="preserve"> </w:t>
      </w:r>
      <w:r w:rsidRPr="00D10E60">
        <w:rPr>
          <w:color w:val="000000" w:themeColor="text1"/>
        </w:rPr>
        <w:t>facilities</w:t>
      </w:r>
      <w:r w:rsidR="00C64050">
        <w:rPr>
          <w:color w:val="000000" w:themeColor="text1"/>
        </w:rPr>
        <w:t xml:space="preserve"> </w:t>
      </w:r>
      <w:r w:rsidRPr="00D10E60">
        <w:rPr>
          <w:color w:val="000000" w:themeColor="text1"/>
        </w:rPr>
        <w:t>are</w:t>
      </w:r>
      <w:r w:rsidR="00C64050">
        <w:rPr>
          <w:color w:val="000000" w:themeColor="text1"/>
        </w:rPr>
        <w:t xml:space="preserve"> </w:t>
      </w:r>
      <w:r w:rsidRPr="00D10E60">
        <w:rPr>
          <w:color w:val="000000" w:themeColor="text1"/>
        </w:rPr>
        <w:t>intended</w:t>
      </w:r>
      <w:r w:rsidR="00C64050">
        <w:rPr>
          <w:color w:val="000000" w:themeColor="text1"/>
        </w:rPr>
        <w:t xml:space="preserve"> </w:t>
      </w:r>
      <w:r w:rsidRPr="00D10E60">
        <w:rPr>
          <w:color w:val="000000" w:themeColor="text1"/>
        </w:rPr>
        <w:t>for</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recreational</w:t>
      </w:r>
      <w:r w:rsidR="00C64050">
        <w:rPr>
          <w:color w:val="000000" w:themeColor="text1"/>
        </w:rPr>
        <w:t xml:space="preserve"> </w:t>
      </w:r>
      <w:r w:rsidRPr="00D10E60">
        <w:rPr>
          <w:color w:val="000000" w:themeColor="text1"/>
        </w:rPr>
        <w:t>use</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homeowners</w:t>
      </w:r>
      <w:r w:rsidR="00C64050">
        <w:rPr>
          <w:color w:val="000000" w:themeColor="text1"/>
        </w:rPr>
        <w:t xml:space="preserve"> </w:t>
      </w:r>
      <w:r w:rsidRPr="00D10E60">
        <w:rPr>
          <w:color w:val="000000" w:themeColor="text1"/>
        </w:rPr>
        <w:t>and</w:t>
      </w:r>
      <w:r w:rsidR="00C64050">
        <w:rPr>
          <w:color w:val="000000" w:themeColor="text1"/>
        </w:rPr>
        <w:t xml:space="preserve"> </w:t>
      </w:r>
      <w:r w:rsidRPr="00D10E60">
        <w:rPr>
          <w:color w:val="000000" w:themeColor="text1"/>
        </w:rPr>
        <w:t>their</w:t>
      </w:r>
      <w:r w:rsidR="00C64050">
        <w:rPr>
          <w:color w:val="000000" w:themeColor="text1"/>
        </w:rPr>
        <w:t xml:space="preserve"> </w:t>
      </w:r>
      <w:r w:rsidRPr="00D10E60">
        <w:rPr>
          <w:color w:val="000000" w:themeColor="text1"/>
        </w:rPr>
        <w:t>guests.</w:t>
      </w:r>
      <w:r w:rsidR="00C64050">
        <w:rPr>
          <w:color w:val="000000" w:themeColor="text1"/>
        </w:rPr>
        <w:t xml:space="preserve"> </w:t>
      </w:r>
      <w:r w:rsidRPr="00D10E60">
        <w:rPr>
          <w:color w:val="000000" w:themeColor="text1"/>
        </w:rPr>
        <w:t>Collectively,</w:t>
      </w:r>
      <w:r w:rsidR="00C64050">
        <w:rPr>
          <w:color w:val="000000" w:themeColor="text1"/>
        </w:rPr>
        <w:t xml:space="preserve"> </w:t>
      </w:r>
      <w:r w:rsidRPr="00D10E60">
        <w:rPr>
          <w:color w:val="000000" w:themeColor="text1"/>
        </w:rPr>
        <w:t>they</w:t>
      </w:r>
      <w:r w:rsidR="00C64050">
        <w:rPr>
          <w:color w:val="000000" w:themeColor="text1"/>
        </w:rPr>
        <w:t xml:space="preserve"> </w:t>
      </w:r>
      <w:r w:rsidRPr="00D10E60">
        <w:rPr>
          <w:color w:val="000000" w:themeColor="text1"/>
        </w:rPr>
        <w:t>have</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effect</w:t>
      </w:r>
      <w:r w:rsidR="00C64050">
        <w:rPr>
          <w:color w:val="000000" w:themeColor="text1"/>
        </w:rPr>
        <w:t xml:space="preserve"> </w:t>
      </w:r>
      <w:r w:rsidRPr="00D10E60">
        <w:rPr>
          <w:color w:val="000000" w:themeColor="text1"/>
        </w:rPr>
        <w:t>of</w:t>
      </w:r>
      <w:r w:rsidR="00C64050">
        <w:rPr>
          <w:color w:val="000000" w:themeColor="text1"/>
        </w:rPr>
        <w:t xml:space="preserve"> </w:t>
      </w:r>
      <w:r w:rsidRPr="00D10E60">
        <w:rPr>
          <w:color w:val="000000" w:themeColor="text1"/>
        </w:rPr>
        <w:t>expanding</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residential</w:t>
      </w:r>
      <w:r w:rsidR="00C64050">
        <w:rPr>
          <w:color w:val="000000" w:themeColor="text1"/>
        </w:rPr>
        <w:t xml:space="preserve"> </w:t>
      </w:r>
      <w:r w:rsidRPr="00D10E60">
        <w:rPr>
          <w:color w:val="000000" w:themeColor="text1"/>
        </w:rPr>
        <w:t>development</w:t>
      </w:r>
      <w:r w:rsidR="00C64050">
        <w:rPr>
          <w:color w:val="000000" w:themeColor="text1"/>
        </w:rPr>
        <w:t xml:space="preserve"> </w:t>
      </w:r>
      <w:r w:rsidRPr="00D10E60">
        <w:rPr>
          <w:color w:val="000000" w:themeColor="text1"/>
        </w:rPr>
        <w:t>well</w:t>
      </w:r>
      <w:r w:rsidR="00C64050">
        <w:rPr>
          <w:color w:val="000000" w:themeColor="text1"/>
        </w:rPr>
        <w:t xml:space="preserve"> </w:t>
      </w:r>
      <w:r w:rsidRPr="00D10E60">
        <w:rPr>
          <w:color w:val="000000" w:themeColor="text1"/>
        </w:rPr>
        <w:t>beyond</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ten</w:t>
      </w:r>
      <w:r w:rsidR="00C64050">
        <w:rPr>
          <w:color w:val="000000" w:themeColor="text1"/>
        </w:rPr>
        <w:t xml:space="preserve"> </w:t>
      </w:r>
      <w:r w:rsidRPr="00D10E60">
        <w:rPr>
          <w:color w:val="000000" w:themeColor="text1"/>
        </w:rPr>
        <w:t>acres</w:t>
      </w:r>
      <w:r w:rsidR="00C64050">
        <w:rPr>
          <w:color w:val="000000" w:themeColor="text1"/>
        </w:rPr>
        <w:t xml:space="preserve"> </w:t>
      </w:r>
      <w:r w:rsidRPr="00D10E60">
        <w:rPr>
          <w:color w:val="000000" w:themeColor="text1"/>
        </w:rPr>
        <w:t>consumed</w:t>
      </w:r>
      <w:r w:rsidR="00C64050">
        <w:rPr>
          <w:color w:val="000000" w:themeColor="text1"/>
        </w:rPr>
        <w:t xml:space="preserve"> </w:t>
      </w:r>
      <w:r w:rsidRPr="00D10E60">
        <w:rPr>
          <w:color w:val="000000" w:themeColor="text1"/>
        </w:rPr>
        <w:t>by</w:t>
      </w:r>
      <w:r w:rsidR="00C64050">
        <w:rPr>
          <w:color w:val="000000" w:themeColor="text1"/>
        </w:rPr>
        <w:t xml:space="preserve"> </w:t>
      </w:r>
      <w:r w:rsidRPr="00D10E60">
        <w:rPr>
          <w:color w:val="000000" w:themeColor="text1"/>
        </w:rPr>
        <w:t>the</w:t>
      </w:r>
      <w:r w:rsidR="00C64050">
        <w:rPr>
          <w:color w:val="000000" w:themeColor="text1"/>
        </w:rPr>
        <w:t xml:space="preserve"> </w:t>
      </w:r>
      <w:r w:rsidRPr="00D10E60">
        <w:rPr>
          <w:color w:val="000000" w:themeColor="text1"/>
        </w:rPr>
        <w:t>Building</w:t>
      </w:r>
      <w:r w:rsidR="00C64050">
        <w:rPr>
          <w:color w:val="000000" w:themeColor="text1"/>
        </w:rPr>
        <w:t xml:space="preserve"> </w:t>
      </w:r>
      <w:r w:rsidRPr="00D10E60">
        <w:rPr>
          <w:color w:val="000000" w:themeColor="text1"/>
        </w:rPr>
        <w:t>Areas</w:t>
      </w:r>
      <w:r w:rsidR="00C64050">
        <w:rPr>
          <w:color w:val="000000" w:themeColor="text1"/>
        </w:rPr>
        <w:t xml:space="preserve"> </w:t>
      </w:r>
      <w:r w:rsidRPr="00D10E60">
        <w:rPr>
          <w:color w:val="000000" w:themeColor="text1"/>
        </w:rPr>
        <w:t>alone.</w:t>
      </w:r>
      <w:r w:rsidR="00C64050">
        <w:rPr>
          <w:color w:val="000000" w:themeColor="text1"/>
        </w:rPr>
        <w:t xml:space="preserve"> </w:t>
      </w:r>
    </w:p>
    <w:p w:rsidR="00112FF7" w:rsidRDefault="00112FF7" w:rsidP="00112FF7">
      <w:pPr>
        <w:pStyle w:val="Body15"/>
        <w:spacing w:before="240"/>
        <w:rPr>
          <w:lang w:eastAsia="en-GB"/>
        </w:rPr>
      </w:pPr>
      <w:r>
        <w:rPr>
          <w:lang w:eastAsia="en-GB"/>
        </w:rPr>
        <w:t>A</w:t>
      </w:r>
      <w:r w:rsidR="00C64050">
        <w:rPr>
          <w:lang w:eastAsia="en-GB"/>
        </w:rPr>
        <w:t xml:space="preserve"> </w:t>
      </w:r>
      <w:r>
        <w:rPr>
          <w:lang w:eastAsia="en-GB"/>
        </w:rPr>
        <w:t>dissent</w:t>
      </w:r>
      <w:r w:rsidR="00C64050">
        <w:rPr>
          <w:lang w:eastAsia="en-GB"/>
        </w:rPr>
        <w:t xml:space="preserve"> </w:t>
      </w:r>
      <w:r>
        <w:rPr>
          <w:lang w:eastAsia="en-GB"/>
        </w:rPr>
        <w:t>would</w:t>
      </w:r>
      <w:r w:rsidR="00C64050">
        <w:rPr>
          <w:lang w:eastAsia="en-GB"/>
        </w:rPr>
        <w:t xml:space="preserve"> </w:t>
      </w:r>
      <w:r>
        <w:rPr>
          <w:lang w:eastAsia="en-GB"/>
        </w:rPr>
        <w:t>have</w:t>
      </w:r>
      <w:r w:rsidR="00C64050">
        <w:rPr>
          <w:lang w:eastAsia="en-GB"/>
        </w:rPr>
        <w:t xml:space="preserve"> </w:t>
      </w:r>
      <w:r>
        <w:rPr>
          <w:lang w:eastAsia="en-GB"/>
        </w:rPr>
        <w:t>been</w:t>
      </w:r>
      <w:r w:rsidR="00C64050">
        <w:rPr>
          <w:lang w:eastAsia="en-GB"/>
        </w:rPr>
        <w:t xml:space="preserve"> </w:t>
      </w:r>
      <w:r>
        <w:rPr>
          <w:lang w:eastAsia="en-GB"/>
        </w:rPr>
        <w:t>less</w:t>
      </w:r>
      <w:r w:rsidR="00C64050">
        <w:rPr>
          <w:lang w:eastAsia="en-GB"/>
        </w:rPr>
        <w:t xml:space="preserve"> </w:t>
      </w:r>
      <w:r>
        <w:rPr>
          <w:lang w:eastAsia="en-GB"/>
        </w:rPr>
        <w:t>restrictive</w:t>
      </w:r>
      <w:r w:rsidR="00C64050">
        <w:rPr>
          <w:lang w:eastAsia="en-GB"/>
        </w:rPr>
        <w:t xml:space="preserve"> </w:t>
      </w:r>
      <w:r>
        <w:rPr>
          <w:lang w:eastAsia="en-GB"/>
        </w:rPr>
        <w:t>but</w:t>
      </w:r>
      <w:r w:rsidR="00C64050">
        <w:rPr>
          <w:lang w:eastAsia="en-GB"/>
        </w:rPr>
        <w:t xml:space="preserve"> </w:t>
      </w:r>
      <w:r w:rsidR="0065686B">
        <w:rPr>
          <w:lang w:eastAsia="en-GB"/>
        </w:rPr>
        <w:t>attracted</w:t>
      </w:r>
      <w:r w:rsidR="00C64050">
        <w:rPr>
          <w:lang w:eastAsia="en-GB"/>
        </w:rPr>
        <w:t xml:space="preserve"> </w:t>
      </w:r>
      <w:r w:rsidR="0065686B">
        <w:rPr>
          <w:lang w:eastAsia="en-GB"/>
        </w:rPr>
        <w:t>only</w:t>
      </w:r>
      <w:r w:rsidR="00C64050">
        <w:rPr>
          <w:lang w:eastAsia="en-GB"/>
        </w:rPr>
        <w:t xml:space="preserve"> </w:t>
      </w:r>
      <w:r w:rsidR="0065686B">
        <w:rPr>
          <w:lang w:eastAsia="en-GB"/>
        </w:rPr>
        <w:t>one</w:t>
      </w:r>
      <w:r w:rsidR="00C64050">
        <w:rPr>
          <w:lang w:eastAsia="en-GB"/>
        </w:rPr>
        <w:t xml:space="preserve"> </w:t>
      </w:r>
      <w:r w:rsidR="0065686B">
        <w:rPr>
          <w:lang w:eastAsia="en-GB"/>
        </w:rPr>
        <w:t>vote.</w:t>
      </w:r>
    </w:p>
    <w:p w:rsidR="00B2628B" w:rsidRDefault="00762EAE" w:rsidP="00112FF7">
      <w:pPr>
        <w:pStyle w:val="Body15"/>
        <w:spacing w:before="240"/>
        <w:rPr>
          <w:lang w:eastAsia="en-GB"/>
        </w:rPr>
      </w:pPr>
      <w:r>
        <w:rPr>
          <w:lang w:eastAsia="en-GB"/>
        </w:rPr>
        <w:t>The Eleventh Circuit reversed in part, affirmed in part, and remanded in part, upon appeal;</w:t>
      </w:r>
      <w:r w:rsidR="005F6120">
        <w:rPr>
          <w:lang w:eastAsia="en-GB"/>
        </w:rPr>
        <w:t xml:space="preserve"> </w:t>
      </w:r>
      <w:r w:rsidR="005F6120">
        <w:rPr>
          <w:u w:val="single"/>
          <w:lang w:eastAsia="en-GB"/>
        </w:rPr>
        <w:t>Pine Mountain Preserve, LLLP v. Commissioner</w:t>
      </w:r>
      <w:r w:rsidR="005F6120">
        <w:rPr>
          <w:lang w:eastAsia="en-GB"/>
        </w:rPr>
        <w:t xml:space="preserve">, </w:t>
      </w:r>
      <w:r w:rsidR="000B7086" w:rsidRPr="000B7086">
        <w:rPr>
          <w:lang w:eastAsia="en-GB"/>
        </w:rPr>
        <w:t>978 F.3d 1200</w:t>
      </w:r>
      <w:r w:rsidR="005F6120">
        <w:rPr>
          <w:lang w:eastAsia="en-GB"/>
        </w:rPr>
        <w:t xml:space="preserve"> (11</w:t>
      </w:r>
      <w:r w:rsidR="005F6120" w:rsidRPr="005F6120">
        <w:rPr>
          <w:vertAlign w:val="superscript"/>
          <w:lang w:eastAsia="en-GB"/>
        </w:rPr>
        <w:t>th</w:t>
      </w:r>
      <w:r w:rsidR="005F6120">
        <w:rPr>
          <w:lang w:eastAsia="en-GB"/>
        </w:rPr>
        <w:t xml:space="preserve"> Cir. 2020).  The court first held that the easements satisfy the granted-in-perpetuity requirement of section 170(h)(2)(C).  The court concluded the Tax Court misunderstood the statute.  The opinion states:</w:t>
      </w:r>
    </w:p>
    <w:p w:rsidR="005A3D79" w:rsidRDefault="001056AA" w:rsidP="00B8752F">
      <w:pPr>
        <w:pStyle w:val="QS10"/>
      </w:pPr>
      <w:r>
        <w:t xml:space="preserve">On its face, § 170(b)(2)(C) doesn’t require much—only that a grant embody “a restriction (granted in perpetuity) on the uses which may be made of the real property.” It seems to us clear that a conservation easement of the sort at issue here qualifies. It constitutes “a restriction” on “the use . . . of the real property” because it burdens what would otherwise be the landowner’s fee-simple enjoyment of—and absolute discretion over—the use of its property. And it does so “in perpetuity” because nothing in the grant envisions a reversion of the easement interest to the landowner, its heirs, or assigns. A broad limitation on the use of the property that applies to the parcel as a whole satisfies the statutory test, even if within that parcel there exist certain narrow exceptions to that limitation. I.R.C. § 170(h)(2)(C). </w:t>
      </w:r>
    </w:p>
    <w:p w:rsidR="005F6120" w:rsidRDefault="001056AA" w:rsidP="00B8752F">
      <w:pPr>
        <w:pStyle w:val="QS10"/>
        <w:rPr>
          <w:lang w:eastAsia="en-GB"/>
        </w:rPr>
      </w:pPr>
      <w:r>
        <w:t xml:space="preserve">The Commissioner contends, by contrast, that an aggregate restriction on the use of the land isn’t enough; rather, he asserts, every inch of land must be subject to the restriction in perpetuity—such that, his argument goes, even a limited reservation of development rights violates the granted-in-perpetuity requirement. “[T]he whole point of § 170(h)(2)(C),” the Commissioner argues, “is to ensure that a conservation easement’s restriction on the use that may be made of the real property is </w:t>
      </w:r>
      <w:r w:rsidRPr="005A3D79">
        <w:rPr>
          <w:i/>
        </w:rPr>
        <w:t>perpetual</w:t>
      </w:r>
      <w:r>
        <w:t>, meaning that the restriction cannot be subsequently removed, weakened, or diminished . . . .” Br. of Appellee at 45–46 (emphasis original). But the Commissioner misunderstands both the plain language of the statute and the common-law provenance of the term “perpetuity.” As for the language, the word that precedes the term “restriction” is “a,” and it seems to us indisputable that the 2005 and 2006 easements impose “a restriction”—singular— on the uses to which the subject parcels may be put because they broadly restrict Pine Mountain’s preexisting development rights. And they impose that restriction “in perpetuity,” as that term is understood in the common law, because Pine Mountain, its heirs, or assigns remain indefinitely subject to the restriction and because nothing in the grants will cause the easements, either automatically or upon the happening of some event, to revert back to the Pine Mountain or its successors.</w:t>
      </w:r>
    </w:p>
    <w:p w:rsidR="005F6120" w:rsidRDefault="005F6120" w:rsidP="00B8752F">
      <w:pPr>
        <w:pStyle w:val="QS10"/>
        <w:jc w:val="center"/>
        <w:rPr>
          <w:lang w:eastAsia="en-GB"/>
        </w:rPr>
      </w:pPr>
      <w:r>
        <w:rPr>
          <w:lang w:eastAsia="en-GB"/>
        </w:rPr>
        <w:t>* * *</w:t>
      </w:r>
    </w:p>
    <w:p w:rsidR="005A3D79" w:rsidRDefault="00B8752F" w:rsidP="00B8752F">
      <w:pPr>
        <w:pStyle w:val="QS10"/>
      </w:pPr>
      <w:r>
        <w:t xml:space="preserve">The Tax Court constructed a “Swiss cheese” analogy—the entire conservation area serving as the slice and the development zones the holes. As the Tax Court saw it, § 170(h)(2)(C) demands that the entire slice (the conservation area) be protected from development in perpetuity, such that the landowner cannot under any circumstances relocate any of the holes (reserved rights). </w:t>
      </w:r>
    </w:p>
    <w:p w:rsidR="005F6120" w:rsidRDefault="00B8752F" w:rsidP="00B8752F">
      <w:pPr>
        <w:pStyle w:val="QS10"/>
        <w:rPr>
          <w:lang w:eastAsia="en-GB"/>
        </w:rPr>
      </w:pPr>
      <w:r>
        <w:t xml:space="preserve">But whether exceptions to restrictions in a conservation easement poke holes in the slice runs, we think, to whether the easement adequately </w:t>
      </w:r>
      <w:r w:rsidRPr="005A3D79">
        <w:rPr>
          <w:i/>
        </w:rPr>
        <w:t>protects</w:t>
      </w:r>
      <w:r>
        <w:t xml:space="preserve"> the conservation purposes, which is a question to be answered by reference to § 170(h)(5)(A), not § 170(h)(2)(C). Using the Tax Court’s own cheese metaphor, all that § 170(h)(2)(C)’s granted-in-perpetuity condition requires is that the landowner grant a slice (</w:t>
      </w:r>
      <w:r w:rsidRPr="005A3D79">
        <w:rPr>
          <w:i/>
        </w:rPr>
        <w:t>i.e.</w:t>
      </w:r>
      <w:r>
        <w:t>, a restrictive easement) in the first place, which here Pine Mountain plainly did. We agree with Pine Mountain that the better cheese analogy is to Pepper Jack. Here, the reserved rights don’t introduce holes into the conservation-easement slice, because the entire slice remains subject to “a restriction”—</w:t>
      </w:r>
      <w:r w:rsidRPr="005A3D79">
        <w:rPr>
          <w:i/>
        </w:rPr>
        <w:t>i.e.</w:t>
      </w:r>
      <w:r>
        <w:t>, the conservation easement. Instead, the reserved rights are embedded pepper flakes, and, so long as they don’t alter the actual boundaries of the easement, § 170(h)(2)(C) is satisfied.</w:t>
      </w:r>
    </w:p>
    <w:p w:rsidR="005F6120" w:rsidRDefault="005F6120" w:rsidP="00112FF7">
      <w:pPr>
        <w:pStyle w:val="Body15"/>
        <w:spacing w:before="240"/>
        <w:rPr>
          <w:lang w:eastAsia="en-GB"/>
        </w:rPr>
      </w:pPr>
      <w:r>
        <w:rPr>
          <w:lang w:eastAsia="en-GB"/>
        </w:rPr>
        <w:t xml:space="preserve">Importantly, the opinion distinguished the easements here from those considered by the Fourth Circuit in </w:t>
      </w:r>
      <w:r w:rsidR="005E1F42">
        <w:rPr>
          <w:u w:val="single"/>
          <w:lang w:eastAsia="en-GB"/>
        </w:rPr>
        <w:t>Belk</w:t>
      </w:r>
      <w:r w:rsidR="005E1F42">
        <w:rPr>
          <w:lang w:eastAsia="en-GB"/>
        </w:rPr>
        <w:t>:</w:t>
      </w:r>
    </w:p>
    <w:p w:rsidR="005A3D79" w:rsidRDefault="005A3D79" w:rsidP="005A3D79">
      <w:pPr>
        <w:pStyle w:val="QS10"/>
      </w:pPr>
      <w:r>
        <w:t xml:space="preserve">In rejecting the deductions for the 2005 and 2006 easements, the Tax Court relied heavily on a series of its own previous decisions that the Fourth Circuit subsequently affirmed in </w:t>
      </w:r>
      <w:r w:rsidRPr="005A3D79">
        <w:rPr>
          <w:i/>
        </w:rPr>
        <w:t>Belk v. C.I.R.</w:t>
      </w:r>
      <w:r>
        <w:t xml:space="preserve">, 774 F.3d 221 (4th Cir. 2014). </w:t>
      </w:r>
      <w:r w:rsidRPr="005A3D79">
        <w:rPr>
          <w:i/>
        </w:rPr>
        <w:t>Belk</w:t>
      </w:r>
      <w:r>
        <w:t xml:space="preserve"> concerned a conservation easement in which the landowner had reserved a right, subject to the donee organization’s approval, to “substitute an area of land . . . contiguous to the Conservation Area for an equal or lesser area of land comprising a portion of the Conservation Area.” </w:t>
      </w:r>
      <w:r w:rsidRPr="005A3D79">
        <w:rPr>
          <w:i/>
        </w:rPr>
        <w:t>Belk v. C.I.R.</w:t>
      </w:r>
      <w:r>
        <w:t xml:space="preserve">, 140 T.C. 1, 3 (2013), </w:t>
      </w:r>
      <w:r w:rsidRPr="005A3D79">
        <w:rPr>
          <w:i/>
        </w:rPr>
        <w:t>aff'd</w:t>
      </w:r>
      <w:r>
        <w:t xml:space="preserve">, 774 F.3d 221 (4th Cir. 2014). The reviewing courts held that this provision disqualified the property interest under § 170(h)(2)(C) “because the real property contributed to the Trust is not subject to a use restriction in perpetuity.” </w:t>
      </w:r>
      <w:r w:rsidRPr="005A3D79">
        <w:rPr>
          <w:i/>
        </w:rPr>
        <w:t>Belk</w:t>
      </w:r>
      <w:r>
        <w:t xml:space="preserve">, 774 F.3d at 226. As the Fourth Circuit interpreted that provision, “[t]he placement of the article ‘the’ before ‘real property’ makes clear that a perpetual use restriction must attach to a defined parcel of real property rather than simply </w:t>
      </w:r>
      <w:r w:rsidRPr="005A3D79">
        <w:rPr>
          <w:i/>
        </w:rPr>
        <w:t>some</w:t>
      </w:r>
      <w:r>
        <w:t xml:space="preserve"> or </w:t>
      </w:r>
      <w:r w:rsidRPr="005A3D79">
        <w:rPr>
          <w:i/>
        </w:rPr>
        <w:t>any</w:t>
      </w:r>
      <w:r>
        <w:t xml:space="preserve"> (or interchangeable parcels of) real property.” </w:t>
      </w:r>
      <w:r w:rsidRPr="005A3D79">
        <w:rPr>
          <w:i/>
        </w:rPr>
        <w:t>Id</w:t>
      </w:r>
      <w:r>
        <w:t xml:space="preserve">. at 225 (emphasis in original). It held that if the grant permits land from outside the easement to be swapped for easement land—thus freeing the easement land from the attendant restrictions— then “the restriction on ‘the real property’ is not” perpetual because the boundaries of the restricted property have shifted. </w:t>
      </w:r>
      <w:r w:rsidRPr="005A3D79">
        <w:rPr>
          <w:i/>
        </w:rPr>
        <w:t>Id</w:t>
      </w:r>
      <w:r>
        <w:t xml:space="preserve">. at 226. </w:t>
      </w:r>
    </w:p>
    <w:p w:rsidR="005A3D79" w:rsidRDefault="005A3D79" w:rsidP="005A3D79">
      <w:pPr>
        <w:pStyle w:val="QS10"/>
      </w:pPr>
      <w:r>
        <w:t xml:space="preserve">The 2005 and 2006 easements here bear no resemblance to the one at issue in the </w:t>
      </w:r>
      <w:r w:rsidRPr="005A3D79">
        <w:rPr>
          <w:i/>
        </w:rPr>
        <w:t>Belk</w:t>
      </w:r>
      <w:r>
        <w:t xml:space="preserve"> litigation. The easements that Pine Mountain granted only allow building areas to be moved around </w:t>
      </w:r>
      <w:r w:rsidRPr="001D5B16">
        <w:rPr>
          <w:i/>
        </w:rPr>
        <w:t>within the fixed boundaries of the easement</w:t>
      </w:r>
      <w:r>
        <w:t xml:space="preserve">— they don’t permit outside-territory swapping. Pine Mountain’s easements more closely resemble those in </w:t>
      </w:r>
      <w:r w:rsidRPr="001D5B16">
        <w:rPr>
          <w:i/>
        </w:rPr>
        <w:t>BC Ranch II v. C.I.R.</w:t>
      </w:r>
      <w:r>
        <w:t xml:space="preserve">, 867 F.3d 547 (5th Cir. 2017). In that case, landowners had deeded perpetual conservation easements to a land trust but reserved rights to build homesites on select five-acre plots, subject to the trust’s consent. The Fifth Circuit held that the easements satisfied § 170(h)(2)(C)’s granted-in-perpetuity requirement because “[o]nly discrete five-acre residential parcels, entirely within the exterior boundaries of the easement property,” could be moved within the conservation area. </w:t>
      </w:r>
      <w:r w:rsidRPr="001D5B16">
        <w:rPr>
          <w:i/>
        </w:rPr>
        <w:t>Id.</w:t>
      </w:r>
      <w:r>
        <w:t xml:space="preserve"> at 553. In so holding, the court distinguished </w:t>
      </w:r>
      <w:r w:rsidRPr="001D5B16">
        <w:rPr>
          <w:i/>
        </w:rPr>
        <w:t>Belk</w:t>
      </w:r>
      <w:r>
        <w:t xml:space="preserve"> on grounds that apply equally here. The Fifth Circuit explained that the problem in </w:t>
      </w:r>
      <w:r w:rsidRPr="001D5B16">
        <w:rPr>
          <w:i/>
        </w:rPr>
        <w:t>Belk</w:t>
      </w:r>
      <w:r>
        <w:t xml:space="preserve"> arose “because the donor of the easement could develop the same land that it had promised to protect, simply by lifting the easement and moving it elsewhere,” even to “tracts of land entirely different and remote from the property originally covered by that easement”—</w:t>
      </w:r>
      <w:r w:rsidRPr="001D5B16">
        <w:rPr>
          <w:i/>
        </w:rPr>
        <w:t>that</w:t>
      </w:r>
      <w:r>
        <w:t xml:space="preserve">, the court recognized, is what violated the granted-in-perpetuity requirement. </w:t>
      </w:r>
      <w:r w:rsidRPr="001D5B16">
        <w:rPr>
          <w:i/>
        </w:rPr>
        <w:t>Id</w:t>
      </w:r>
      <w:r>
        <w:t xml:space="preserve">. at 553. The Fifth Circuit also observed that parcel-swapping would complicate valuations because an appraiser would have to value a moving target. </w:t>
      </w:r>
      <w:r w:rsidRPr="001D5B16">
        <w:rPr>
          <w:i/>
        </w:rPr>
        <w:t>Id</w:t>
      </w:r>
      <w:r>
        <w:t xml:space="preserve">. </w:t>
      </w:r>
    </w:p>
    <w:p w:rsidR="005E1F42" w:rsidRDefault="005A3D79" w:rsidP="005A3D79">
      <w:pPr>
        <w:pStyle w:val="QS10"/>
        <w:rPr>
          <w:lang w:eastAsia="en-GB"/>
        </w:rPr>
      </w:pPr>
      <w:r>
        <w:t xml:space="preserve">By contrast, there are no such dangers where, as in </w:t>
      </w:r>
      <w:r w:rsidRPr="001D5B16">
        <w:rPr>
          <w:i/>
        </w:rPr>
        <w:t>BC Ranch</w:t>
      </w:r>
      <w:r>
        <w:t xml:space="preserve">—and here— an easement only permits the relocation of building areas within the conservation area without changings the easement’s boundaries. </w:t>
      </w:r>
      <w:r w:rsidRPr="001D5B16">
        <w:rPr>
          <w:i/>
        </w:rPr>
        <w:t>Id</w:t>
      </w:r>
      <w:r>
        <w:t xml:space="preserve">. at 552. First, such an arrangement can’t be used to release the real property from the easement in a wholesale manner. And second, so long as “the unencumbered homesite parcels have roughly the same per-acre value as the rest of the” easement territory, then appraisal is feasible because “changing the boundaries of some of the homesite parcels would not return any value to the easement donors.” </w:t>
      </w:r>
      <w:r w:rsidRPr="001D5B16">
        <w:rPr>
          <w:i/>
        </w:rPr>
        <w:t>Id</w:t>
      </w:r>
      <w:r>
        <w:t>. at 553.</w:t>
      </w:r>
    </w:p>
    <w:p w:rsidR="005E1F42" w:rsidRDefault="005E1F42" w:rsidP="00112FF7">
      <w:pPr>
        <w:pStyle w:val="Body15"/>
        <w:spacing w:before="240"/>
        <w:rPr>
          <w:lang w:eastAsia="en-GB"/>
        </w:rPr>
      </w:pPr>
      <w:r>
        <w:rPr>
          <w:lang w:eastAsia="en-GB"/>
        </w:rPr>
        <w:t>Then the court turned to the protected-in-perpetuity requirement, which the Tax Court had upheld.  The court agreed with the Tax Court:</w:t>
      </w:r>
    </w:p>
    <w:p w:rsidR="005E1F42" w:rsidRDefault="001D5B16" w:rsidP="001D5B16">
      <w:pPr>
        <w:pStyle w:val="QS10"/>
      </w:pPr>
      <w:r>
        <w:t xml:space="preserve">Each easement’s amendment clause “recognize[s] that circumstances could arise which would justify the modification of certain restrictions” in the grant. The clause thus states that NALT, as the “Holder,” and Pine Mountain, as the “legal owner,” “shall mutually have the right, in their sole discretion, to agree to amendments to this Conservation Easement, which are not inconsistent with the Conservation Purposes.” The Commissioner asserts that the amendment provision gives so much discretion to the parties that it causes the 2007 easement—and again, by extension the others as well—to violate the “double-perpetuity requirement” of § 170(h)(2)(C) and § 170(h)(5)(A). We disagree. For starters, to the extent that the Commissioner’s position equates “perpetuity” with inalienability, unreleasability, or unamendability, we reject it. As we have explained, “perpetuity”—as used in connection with conservation easements—draws on the term’s common-law meaning and denotes only that the granted property won’t automatically revert to the grantor, his heirs, or assigns. </w:t>
      </w:r>
      <w:r w:rsidRPr="001D5B16">
        <w:rPr>
          <w:i/>
        </w:rPr>
        <w:t>See supra</w:t>
      </w:r>
      <w:r>
        <w:t xml:space="preserve"> at 12–13.</w:t>
      </w:r>
    </w:p>
    <w:p w:rsidR="001D5B16" w:rsidRDefault="001D5B16" w:rsidP="001D5B16">
      <w:pPr>
        <w:pStyle w:val="QS10"/>
      </w:pPr>
      <w:r>
        <w:t xml:space="preserve">Separately, it seems to us that the Commissioner’s position proves entirely too much. Parties to a bilateral contract—which is all a conservation easement is—can </w:t>
      </w:r>
      <w:r w:rsidRPr="001D5B16">
        <w:rPr>
          <w:i/>
        </w:rPr>
        <w:t>always</w:t>
      </w:r>
      <w:r>
        <w:t xml:space="preserve"> agree after the fact to amend their agreement, whether or not they expressly reserve that right to themselves in writing. If the possibility of amendment were a deal-killer, then there could be no such thing as a tax</w:t>
      </w:r>
      <w:r w:rsidR="00043DAC">
        <w:t xml:space="preserve"> </w:t>
      </w:r>
      <w:r>
        <w:t xml:space="preserve">deductible conservation easement. </w:t>
      </w:r>
    </w:p>
    <w:p w:rsidR="001D5B16" w:rsidRDefault="001D5B16" w:rsidP="001D5B16">
      <w:pPr>
        <w:pStyle w:val="QS10"/>
        <w:rPr>
          <w:lang w:eastAsia="en-GB"/>
        </w:rPr>
      </w:pPr>
      <w:r>
        <w:t xml:space="preserve">As the Tax Court correctly observed, the easements at issue here are conveyances with respect to which Pine Mountain and NALT contracted. It is (literally) hornbook contract law that contracting parties are free to amend their agreements after the fact. </w:t>
      </w:r>
      <w:r w:rsidRPr="001D5B16">
        <w:rPr>
          <w:i/>
        </w:rPr>
        <w:t>See</w:t>
      </w:r>
      <w:r>
        <w:t xml:space="preserve"> 28 Williston on Contracts § 70:154 (4th ed.) (“A promise modifying a duty under an executory contract is binding if the modification is fair and equitable in view of circumstances not anticipated by the parties when the contract was made.”); </w:t>
      </w:r>
      <w:r w:rsidRPr="001D5B16">
        <w:rPr>
          <w:i/>
        </w:rPr>
        <w:t>see also</w:t>
      </w:r>
      <w:r>
        <w:t xml:space="preserve"> Restatement (Second) of Contracts § 89 (1981) (similar). More particularly, traditional servitude doctrine has long allowed for the amendment of easements. </w:t>
      </w:r>
      <w:r w:rsidRPr="001D5B16">
        <w:rPr>
          <w:i/>
        </w:rPr>
        <w:t>See</w:t>
      </w:r>
      <w:r>
        <w:t xml:space="preserve"> Restatement (Third) of Property (Servitudes) § 7.1 (2000) (observing that a property servitude “may be modified or terminated by agreement of the parties, pursuant to its terms”). 5 And indeed, even the Uniform Conservation Easement Act—the act that enabled landowners to grant perpetual easements to conservation trusts—provides for the possibility of bilateral amendments. </w:t>
      </w:r>
      <w:r w:rsidRPr="001D5B16">
        <w:rPr>
          <w:i/>
        </w:rPr>
        <w:t xml:space="preserve">See </w:t>
      </w:r>
      <w:r>
        <w:t xml:space="preserve">UCEA § 2(a) (“Except as otherwise provided . . . , a conservation easement may be created, conveyed, recorded, assigned, released, </w:t>
      </w:r>
      <w:r w:rsidRPr="00043DAC">
        <w:rPr>
          <w:i/>
        </w:rPr>
        <w:t>modified</w:t>
      </w:r>
      <w:r>
        <w:t xml:space="preserve">, terminated, or otherwise </w:t>
      </w:r>
      <w:r w:rsidRPr="00043DAC">
        <w:rPr>
          <w:i/>
        </w:rPr>
        <w:t>altered</w:t>
      </w:r>
      <w:r>
        <w:t xml:space="preserve"> or affected in the same manner as other easements.” (emphasis added)).</w:t>
      </w:r>
    </w:p>
    <w:p w:rsidR="005E1F42" w:rsidRDefault="005E1F42" w:rsidP="00112FF7">
      <w:pPr>
        <w:pStyle w:val="Body15"/>
        <w:spacing w:before="240"/>
        <w:rPr>
          <w:lang w:eastAsia="en-GB"/>
        </w:rPr>
      </w:pPr>
      <w:r>
        <w:rPr>
          <w:lang w:eastAsia="en-GB"/>
        </w:rPr>
        <w:t>The essence of the Eleventh Circuit’s policy determination – if court’s make policy determinations – is in footnote 4, to which the careful listener can almost hear the IRS replying “no, no, no, are you crazy?”</w:t>
      </w:r>
    </w:p>
    <w:p w:rsidR="005E1F42" w:rsidRDefault="001D5B16" w:rsidP="001D5B16">
      <w:pPr>
        <w:pStyle w:val="QS10"/>
        <w:rPr>
          <w:lang w:eastAsia="en-GB"/>
        </w:rPr>
      </w:pPr>
      <w:r>
        <w:t>4 Lest anyone worry that our interpretation of § 170(h)(2)(C) gives the Pine Mountains of the world a free pass, we make two observations in closing our discussion of the 2005 and 2006 easements. First, we have dealt only with § 170(h)(2)(C). Even after passing through the granted-in-perpetuity gateway, a conservation easement must still satisfy § 170(h)(5)(A)’s protected-in-perpetuity requirement; that, it seems to us, is likely where Congress envisioned the heavy lifting—the more rigorous analysis of the degree to which the grant protects conservation purposes—should occur. Second, recall that NALT has extensive advance-approval rights under these easement contracts. NALT is a sophisticated land-conservation organization, and we have little doubt that when it comes to negotiating conservation easements, it is well positioned and equipped to look after conservation interests.</w:t>
      </w:r>
    </w:p>
    <w:p w:rsidR="005E1F42" w:rsidRPr="005E1F42" w:rsidRDefault="005E1F42" w:rsidP="00112FF7">
      <w:pPr>
        <w:pStyle w:val="Body15"/>
        <w:spacing w:before="240"/>
        <w:rPr>
          <w:lang w:eastAsia="en-GB"/>
        </w:rPr>
      </w:pPr>
      <w:r>
        <w:rPr>
          <w:lang w:eastAsia="en-GB"/>
        </w:rPr>
        <w:t>Finally, the court remanded for a “better” determination of value from the Tax Court.  The court thought t</w:t>
      </w:r>
      <w:r w:rsidR="000E7EC0">
        <w:rPr>
          <w:lang w:eastAsia="en-GB"/>
        </w:rPr>
        <w:t>he</w:t>
      </w:r>
      <w:r>
        <w:rPr>
          <w:lang w:eastAsia="en-GB"/>
        </w:rPr>
        <w:t xml:space="preserve"> original decision just “split the baby” which was inappropriate.</w:t>
      </w:r>
    </w:p>
    <w:p w:rsidR="007649DB" w:rsidRPr="00177552" w:rsidRDefault="007649DB" w:rsidP="00B66CCE">
      <w:pPr>
        <w:pStyle w:val="Heading20"/>
        <w:numPr>
          <w:ilvl w:val="1"/>
          <w:numId w:val="34"/>
        </w:numPr>
        <w:tabs>
          <w:tab w:val="clear" w:pos="2700"/>
          <w:tab w:val="num" w:pos="1440"/>
        </w:tabs>
        <w:ind w:left="0"/>
        <w:rPr>
          <w:vanish/>
          <w:color w:val="000000" w:themeColor="text1"/>
          <w:specVanish/>
        </w:rPr>
      </w:pPr>
      <w:bookmarkStart w:id="165" w:name="_Toc94704623"/>
      <w:r>
        <w:rPr>
          <w:b/>
          <w:color w:val="000000" w:themeColor="text1"/>
          <w:u w:val="single"/>
        </w:rPr>
        <w:t>Judicial Extinguishment</w:t>
      </w:r>
      <w:bookmarkEnd w:id="165"/>
    </w:p>
    <w:p w:rsidR="007649DB" w:rsidRDefault="007649DB" w:rsidP="007649DB">
      <w:pPr>
        <w:pStyle w:val="Heading2Body"/>
      </w:pPr>
      <w:r>
        <w:t xml:space="preserve">.  </w:t>
      </w:r>
      <w:r>
        <w:rPr>
          <w:u w:val="single"/>
        </w:rPr>
        <w:t>Woodland Property Holdings v. Commissioner</w:t>
      </w:r>
      <w:r>
        <w:t>, T.C. Memo. 2020-55, denied a charitable deduction for a conservation easement because the easement could be extinguished by judicial action.  The opinion states:</w:t>
      </w:r>
    </w:p>
    <w:p w:rsidR="007649DB" w:rsidRPr="002A40F3" w:rsidRDefault="007649DB" w:rsidP="007649DB">
      <w:pPr>
        <w:pStyle w:val="QS10"/>
        <w:rPr>
          <w:szCs w:val="20"/>
        </w:rPr>
      </w:pPr>
      <w:r w:rsidRPr="002A40F3">
        <w:rPr>
          <w:szCs w:val="20"/>
        </w:rPr>
        <w:t>For</w:t>
      </w:r>
      <w:r>
        <w:rPr>
          <w:szCs w:val="20"/>
        </w:rPr>
        <w:t xml:space="preserve"> </w:t>
      </w:r>
      <w:r w:rsidRPr="002A40F3">
        <w:rPr>
          <w:szCs w:val="20"/>
        </w:rPr>
        <w:t>an</w:t>
      </w:r>
      <w:r>
        <w:rPr>
          <w:szCs w:val="20"/>
        </w:rPr>
        <w:t xml:space="preserve"> </w:t>
      </w:r>
      <w:r w:rsidRPr="002A40F3">
        <w:rPr>
          <w:szCs w:val="20"/>
        </w:rPr>
        <w:t>easement</w:t>
      </w:r>
      <w:r>
        <w:rPr>
          <w:szCs w:val="20"/>
        </w:rPr>
        <w:t xml:space="preserve"> </w:t>
      </w:r>
      <w:r w:rsidRPr="002A40F3">
        <w:rPr>
          <w:szCs w:val="20"/>
        </w:rPr>
        <w:t>of</w:t>
      </w:r>
      <w:r>
        <w:rPr>
          <w:szCs w:val="20"/>
        </w:rPr>
        <w:t xml:space="preserve"> </w:t>
      </w:r>
      <w:r w:rsidRPr="002A40F3">
        <w:rPr>
          <w:szCs w:val="20"/>
        </w:rPr>
        <w:t>the</w:t>
      </w:r>
      <w:r>
        <w:rPr>
          <w:szCs w:val="20"/>
        </w:rPr>
        <w:t xml:space="preserve"> </w:t>
      </w:r>
      <w:r w:rsidRPr="002A40F3">
        <w:rPr>
          <w:szCs w:val="20"/>
        </w:rPr>
        <w:t>sort</w:t>
      </w:r>
      <w:r>
        <w:rPr>
          <w:szCs w:val="20"/>
        </w:rPr>
        <w:t xml:space="preserve"> </w:t>
      </w:r>
      <w:r w:rsidRPr="002A40F3">
        <w:rPr>
          <w:szCs w:val="20"/>
        </w:rPr>
        <w:t>involved</w:t>
      </w:r>
      <w:r>
        <w:rPr>
          <w:szCs w:val="20"/>
        </w:rPr>
        <w:t xml:space="preserve"> </w:t>
      </w:r>
      <w:r w:rsidRPr="002A40F3">
        <w:rPr>
          <w:szCs w:val="20"/>
        </w:rPr>
        <w:t>here,</w:t>
      </w:r>
      <w:r>
        <w:rPr>
          <w:szCs w:val="20"/>
        </w:rPr>
        <w:t xml:space="preserve"> </w:t>
      </w:r>
      <w:r w:rsidRPr="002A40F3">
        <w:rPr>
          <w:szCs w:val="20"/>
        </w:rPr>
        <w:t>a</w:t>
      </w:r>
      <w:r>
        <w:rPr>
          <w:szCs w:val="20"/>
        </w:rPr>
        <w:t xml:space="preserve"> </w:t>
      </w:r>
      <w:r w:rsidRPr="002A40F3">
        <w:rPr>
          <w:szCs w:val="20"/>
        </w:rPr>
        <w:t>charitable</w:t>
      </w:r>
      <w:r>
        <w:rPr>
          <w:szCs w:val="20"/>
        </w:rPr>
        <w:t xml:space="preserve"> </w:t>
      </w:r>
      <w:r w:rsidRPr="002A40F3">
        <w:rPr>
          <w:szCs w:val="20"/>
        </w:rPr>
        <w:t>contribution</w:t>
      </w:r>
      <w:r>
        <w:rPr>
          <w:szCs w:val="20"/>
        </w:rPr>
        <w:t xml:space="preserve"> </w:t>
      </w:r>
      <w:r w:rsidRPr="002A40F3">
        <w:rPr>
          <w:szCs w:val="20"/>
        </w:rPr>
        <w:t>deduction</w:t>
      </w:r>
      <w:r>
        <w:rPr>
          <w:szCs w:val="20"/>
        </w:rPr>
        <w:t xml:space="preserve"> </w:t>
      </w:r>
      <w:r w:rsidRPr="002A40F3">
        <w:rPr>
          <w:szCs w:val="20"/>
        </w:rPr>
        <w:t>is</w:t>
      </w:r>
      <w:r>
        <w:rPr>
          <w:szCs w:val="20"/>
        </w:rPr>
        <w:t xml:space="preserve"> </w:t>
      </w:r>
      <w:r w:rsidRPr="002A40F3">
        <w:rPr>
          <w:szCs w:val="20"/>
        </w:rPr>
        <w:t>allowable</w:t>
      </w:r>
      <w:r>
        <w:rPr>
          <w:szCs w:val="20"/>
        </w:rPr>
        <w:t xml:space="preserve"> </w:t>
      </w:r>
      <w:r w:rsidRPr="002A40F3">
        <w:rPr>
          <w:szCs w:val="20"/>
        </w:rPr>
        <w:t>only</w:t>
      </w:r>
      <w:r>
        <w:rPr>
          <w:szCs w:val="20"/>
        </w:rPr>
        <w:t xml:space="preserve"> </w:t>
      </w:r>
      <w:r w:rsidRPr="002A40F3">
        <w:rPr>
          <w:szCs w:val="20"/>
        </w:rPr>
        <w:t>if</w:t>
      </w:r>
      <w:r>
        <w:rPr>
          <w:szCs w:val="20"/>
        </w:rPr>
        <w:t xml:space="preserve"> </w:t>
      </w:r>
      <w:r w:rsidRPr="002A40F3">
        <w:rPr>
          <w:szCs w:val="20"/>
        </w:rPr>
        <w:t>the</w:t>
      </w:r>
      <w:r>
        <w:rPr>
          <w:szCs w:val="20"/>
        </w:rPr>
        <w:t xml:space="preserve"> </w:t>
      </w:r>
      <w:r w:rsidRPr="002A40F3">
        <w:rPr>
          <w:szCs w:val="20"/>
        </w:rPr>
        <w:t>underlying</w:t>
      </w:r>
      <w:r>
        <w:rPr>
          <w:szCs w:val="20"/>
        </w:rPr>
        <w:t xml:space="preserve"> </w:t>
      </w:r>
      <w:r w:rsidRPr="002A40F3">
        <w:rPr>
          <w:szCs w:val="20"/>
        </w:rPr>
        <w:t>conservation</w:t>
      </w:r>
      <w:r>
        <w:rPr>
          <w:szCs w:val="20"/>
        </w:rPr>
        <w:t xml:space="preserve"> </w:t>
      </w:r>
      <w:r w:rsidRPr="002A40F3">
        <w:rPr>
          <w:szCs w:val="20"/>
        </w:rPr>
        <w:t>purpose</w:t>
      </w:r>
      <w:r>
        <w:rPr>
          <w:szCs w:val="20"/>
        </w:rPr>
        <w:t xml:space="preserve"> </w:t>
      </w:r>
      <w:r w:rsidRPr="002A40F3">
        <w:rPr>
          <w:szCs w:val="20"/>
        </w:rPr>
        <w:t>is</w:t>
      </w:r>
      <w:r>
        <w:rPr>
          <w:szCs w:val="20"/>
        </w:rPr>
        <w:t xml:space="preserve"> </w:t>
      </w:r>
      <w:r w:rsidRPr="002A40F3">
        <w:rPr>
          <w:szCs w:val="20"/>
        </w:rPr>
        <w:t>“protected</w:t>
      </w:r>
      <w:r>
        <w:rPr>
          <w:szCs w:val="20"/>
        </w:rPr>
        <w:t xml:space="preserve"> </w:t>
      </w:r>
      <w:r w:rsidRPr="002A40F3">
        <w:rPr>
          <w:szCs w:val="20"/>
        </w:rPr>
        <w:t>in</w:t>
      </w:r>
      <w:r>
        <w:rPr>
          <w:szCs w:val="20"/>
        </w:rPr>
        <w:t xml:space="preserve"> </w:t>
      </w:r>
      <w:r w:rsidRPr="002A40F3">
        <w:rPr>
          <w:szCs w:val="20"/>
        </w:rPr>
        <w:t>perpetuity.”</w:t>
      </w:r>
      <w:r>
        <w:rPr>
          <w:szCs w:val="20"/>
        </w:rPr>
        <w:t xml:space="preserve"> </w:t>
      </w:r>
      <w:r w:rsidRPr="002A40F3">
        <w:rPr>
          <w:szCs w:val="20"/>
        </w:rPr>
        <w:t>Sec.</w:t>
      </w:r>
      <w:r>
        <w:rPr>
          <w:szCs w:val="20"/>
        </w:rPr>
        <w:t xml:space="preserve"> </w:t>
      </w:r>
      <w:r w:rsidRPr="002A40F3">
        <w:rPr>
          <w:szCs w:val="20"/>
        </w:rPr>
        <w:t>170(h)(5)(A);</w:t>
      </w:r>
      <w:r>
        <w:rPr>
          <w:szCs w:val="20"/>
        </w:rPr>
        <w:t xml:space="preserve"> </w:t>
      </w:r>
      <w:r w:rsidRPr="002A40F3">
        <w:rPr>
          <w:szCs w:val="20"/>
          <w:u w:val="single"/>
        </w:rPr>
        <w:t>see</w:t>
      </w:r>
      <w:r>
        <w:rPr>
          <w:szCs w:val="20"/>
        </w:rPr>
        <w:t xml:space="preserve"> </w:t>
      </w:r>
      <w:r w:rsidRPr="002A40F3">
        <w:rPr>
          <w:szCs w:val="20"/>
          <w:u w:val="single"/>
        </w:rPr>
        <w:t>Coal</w:t>
      </w:r>
      <w:r>
        <w:rPr>
          <w:szCs w:val="20"/>
          <w:u w:val="single"/>
        </w:rPr>
        <w:t xml:space="preserve"> </w:t>
      </w:r>
      <w:r w:rsidRPr="002A40F3">
        <w:rPr>
          <w:szCs w:val="20"/>
          <w:u w:val="single"/>
        </w:rPr>
        <w:t>Prop.</w:t>
      </w:r>
      <w:r>
        <w:rPr>
          <w:szCs w:val="20"/>
          <w:u w:val="single"/>
        </w:rPr>
        <w:t xml:space="preserve"> </w:t>
      </w:r>
      <w:r w:rsidRPr="002A40F3">
        <w:rPr>
          <w:szCs w:val="20"/>
          <w:u w:val="single"/>
        </w:rPr>
        <w:t>Holdings</w:t>
      </w:r>
      <w:r w:rsidRPr="002A40F3">
        <w:rPr>
          <w:szCs w:val="20"/>
        </w:rPr>
        <w:t>,</w:t>
      </w:r>
      <w:r>
        <w:rPr>
          <w:szCs w:val="20"/>
        </w:rPr>
        <w:t xml:space="preserve"> </w:t>
      </w:r>
      <w:r w:rsidRPr="002A40F3">
        <w:rPr>
          <w:szCs w:val="20"/>
        </w:rPr>
        <w:t>153</w:t>
      </w:r>
      <w:r>
        <w:rPr>
          <w:szCs w:val="20"/>
        </w:rPr>
        <w:t xml:space="preserve"> </w:t>
      </w:r>
      <w:r w:rsidRPr="002A40F3">
        <w:rPr>
          <w:szCs w:val="20"/>
        </w:rPr>
        <w:t>T.C.</w:t>
      </w:r>
      <w:r>
        <w:rPr>
          <w:szCs w:val="20"/>
        </w:rPr>
        <w:t xml:space="preserve"> </w:t>
      </w:r>
      <w:r w:rsidRPr="002A40F3">
        <w:rPr>
          <w:szCs w:val="20"/>
        </w:rPr>
        <w:t>at</w:t>
      </w:r>
      <w:r>
        <w:rPr>
          <w:szCs w:val="20"/>
        </w:rPr>
        <w:t xml:space="preserve"> </w:t>
      </w:r>
      <w:r w:rsidRPr="002A40F3">
        <w:rPr>
          <w:szCs w:val="20"/>
        </w:rPr>
        <w:t>135.</w:t>
      </w:r>
      <w:r>
        <w:rPr>
          <w:szCs w:val="20"/>
        </w:rPr>
        <w:t xml:space="preserve"> </w:t>
      </w:r>
      <w:r w:rsidRPr="002A40F3">
        <w:rPr>
          <w:szCs w:val="20"/>
        </w:rPr>
        <w:t>The</w:t>
      </w:r>
      <w:r>
        <w:rPr>
          <w:szCs w:val="20"/>
        </w:rPr>
        <w:t xml:space="preserve"> </w:t>
      </w:r>
      <w:r w:rsidRPr="002A40F3">
        <w:rPr>
          <w:szCs w:val="20"/>
        </w:rPr>
        <w:t>regulations</w:t>
      </w:r>
      <w:r>
        <w:rPr>
          <w:szCs w:val="20"/>
        </w:rPr>
        <w:t xml:space="preserve"> </w:t>
      </w:r>
      <w:r w:rsidRPr="002A40F3">
        <w:rPr>
          <w:szCs w:val="20"/>
        </w:rPr>
        <w:t>set</w:t>
      </w:r>
      <w:r>
        <w:rPr>
          <w:szCs w:val="20"/>
        </w:rPr>
        <w:t xml:space="preserve"> </w:t>
      </w:r>
      <w:r w:rsidRPr="002A40F3">
        <w:rPr>
          <w:szCs w:val="20"/>
        </w:rPr>
        <w:t>forth</w:t>
      </w:r>
      <w:r>
        <w:rPr>
          <w:szCs w:val="20"/>
        </w:rPr>
        <w:t xml:space="preserve"> </w:t>
      </w:r>
      <w:r w:rsidRPr="002A40F3">
        <w:rPr>
          <w:szCs w:val="20"/>
        </w:rPr>
        <w:t>detailed</w:t>
      </w:r>
      <w:r>
        <w:rPr>
          <w:szCs w:val="20"/>
        </w:rPr>
        <w:t xml:space="preserve"> </w:t>
      </w:r>
      <w:r w:rsidRPr="002A40F3">
        <w:rPr>
          <w:szCs w:val="20"/>
        </w:rPr>
        <w:t>rules</w:t>
      </w:r>
      <w:r>
        <w:rPr>
          <w:szCs w:val="20"/>
        </w:rPr>
        <w:t xml:space="preserve"> </w:t>
      </w:r>
      <w:r w:rsidRPr="002A40F3">
        <w:rPr>
          <w:szCs w:val="20"/>
        </w:rPr>
        <w:t>for</w:t>
      </w:r>
      <w:r>
        <w:rPr>
          <w:szCs w:val="20"/>
        </w:rPr>
        <w:t xml:space="preserve"> </w:t>
      </w:r>
      <w:r w:rsidRPr="002A40F3">
        <w:rPr>
          <w:szCs w:val="20"/>
        </w:rPr>
        <w:t>determining</w:t>
      </w:r>
      <w:r>
        <w:rPr>
          <w:szCs w:val="20"/>
        </w:rPr>
        <w:t xml:space="preserve"> </w:t>
      </w:r>
      <w:r w:rsidRPr="002A40F3">
        <w:rPr>
          <w:szCs w:val="20"/>
        </w:rPr>
        <w:t>whether</w:t>
      </w:r>
      <w:r>
        <w:rPr>
          <w:szCs w:val="20"/>
        </w:rPr>
        <w:t xml:space="preserve"> </w:t>
      </w:r>
      <w:r w:rsidRPr="002A40F3">
        <w:rPr>
          <w:szCs w:val="20"/>
        </w:rPr>
        <w:t>this</w:t>
      </w:r>
      <w:r>
        <w:rPr>
          <w:szCs w:val="20"/>
        </w:rPr>
        <w:t xml:space="preserve"> </w:t>
      </w:r>
      <w:r w:rsidRPr="002A40F3">
        <w:rPr>
          <w:szCs w:val="20"/>
        </w:rPr>
        <w:t>“protected</w:t>
      </w:r>
      <w:r>
        <w:rPr>
          <w:szCs w:val="20"/>
        </w:rPr>
        <w:t xml:space="preserve"> </w:t>
      </w:r>
      <w:r w:rsidRPr="002A40F3">
        <w:rPr>
          <w:szCs w:val="20"/>
        </w:rPr>
        <w:t>in</w:t>
      </w:r>
      <w:r>
        <w:rPr>
          <w:szCs w:val="20"/>
        </w:rPr>
        <w:t xml:space="preserve"> </w:t>
      </w:r>
      <w:r w:rsidRPr="002A40F3">
        <w:rPr>
          <w:szCs w:val="20"/>
        </w:rPr>
        <w:t>perpetuity”</w:t>
      </w:r>
      <w:r>
        <w:rPr>
          <w:szCs w:val="20"/>
        </w:rPr>
        <w:t xml:space="preserve"> </w:t>
      </w:r>
      <w:r w:rsidRPr="002A40F3">
        <w:rPr>
          <w:szCs w:val="20"/>
        </w:rPr>
        <w:t>requirement</w:t>
      </w:r>
      <w:r>
        <w:rPr>
          <w:szCs w:val="20"/>
        </w:rPr>
        <w:t xml:space="preserve"> </w:t>
      </w:r>
      <w:r w:rsidRPr="002A40F3">
        <w:rPr>
          <w:szCs w:val="20"/>
        </w:rPr>
        <w:t>is</w:t>
      </w:r>
      <w:r>
        <w:rPr>
          <w:szCs w:val="20"/>
        </w:rPr>
        <w:t xml:space="preserve"> </w:t>
      </w:r>
      <w:r w:rsidRPr="002A40F3">
        <w:rPr>
          <w:szCs w:val="20"/>
        </w:rPr>
        <w:t>met.</w:t>
      </w:r>
      <w:r>
        <w:rPr>
          <w:szCs w:val="20"/>
        </w:rPr>
        <w:t xml:space="preserve"> </w:t>
      </w:r>
      <w:r w:rsidRPr="002A40F3">
        <w:rPr>
          <w:szCs w:val="20"/>
          <w:u w:val="single"/>
        </w:rPr>
        <w:t>See</w:t>
      </w:r>
      <w:r>
        <w:rPr>
          <w:szCs w:val="20"/>
        </w:rPr>
        <w:t xml:space="preserve"> </w:t>
      </w:r>
      <w:r w:rsidRPr="002A40F3">
        <w:rPr>
          <w:szCs w:val="20"/>
        </w:rPr>
        <w:t>sec.</w:t>
      </w:r>
      <w:r>
        <w:rPr>
          <w:szCs w:val="20"/>
        </w:rPr>
        <w:t xml:space="preserve"> </w:t>
      </w:r>
      <w:r w:rsidRPr="002A40F3">
        <w:rPr>
          <w:szCs w:val="20"/>
        </w:rPr>
        <w:t>1.170A-14(g),</w:t>
      </w:r>
      <w:r>
        <w:rPr>
          <w:szCs w:val="20"/>
        </w:rPr>
        <w:t xml:space="preserve"> </w:t>
      </w:r>
      <w:r w:rsidRPr="002A40F3">
        <w:rPr>
          <w:szCs w:val="20"/>
        </w:rPr>
        <w:t>Income</w:t>
      </w:r>
      <w:r>
        <w:rPr>
          <w:szCs w:val="20"/>
        </w:rPr>
        <w:t xml:space="preserve"> </w:t>
      </w:r>
      <w:r w:rsidRPr="002A40F3">
        <w:rPr>
          <w:szCs w:val="20"/>
        </w:rPr>
        <w:t>Tax</w:t>
      </w:r>
      <w:r>
        <w:rPr>
          <w:szCs w:val="20"/>
        </w:rPr>
        <w:t xml:space="preserve"> </w:t>
      </w:r>
      <w:r w:rsidRPr="002A40F3">
        <w:rPr>
          <w:szCs w:val="20"/>
        </w:rPr>
        <w:t>Regs.</w:t>
      </w:r>
    </w:p>
    <w:p w:rsidR="007649DB" w:rsidRPr="002A40F3" w:rsidRDefault="007649DB" w:rsidP="007649DB">
      <w:pPr>
        <w:pStyle w:val="QS10"/>
        <w:rPr>
          <w:szCs w:val="20"/>
        </w:rPr>
      </w:pPr>
      <w:r w:rsidRPr="002A40F3">
        <w:rPr>
          <w:szCs w:val="20"/>
        </w:rPr>
        <w:t>The</w:t>
      </w:r>
      <w:r>
        <w:rPr>
          <w:szCs w:val="20"/>
        </w:rPr>
        <w:t xml:space="preserve"> </w:t>
      </w:r>
      <w:r w:rsidRPr="002A40F3">
        <w:rPr>
          <w:szCs w:val="20"/>
        </w:rPr>
        <w:t>rules</w:t>
      </w:r>
      <w:r>
        <w:rPr>
          <w:szCs w:val="20"/>
        </w:rPr>
        <w:t xml:space="preserve"> </w:t>
      </w:r>
      <w:r w:rsidRPr="002A40F3">
        <w:rPr>
          <w:szCs w:val="20"/>
        </w:rPr>
        <w:t>governing</w:t>
      </w:r>
      <w:r>
        <w:rPr>
          <w:szCs w:val="20"/>
        </w:rPr>
        <w:t xml:space="preserve"> </w:t>
      </w:r>
      <w:r w:rsidRPr="002A40F3">
        <w:rPr>
          <w:szCs w:val="20"/>
        </w:rPr>
        <w:t>“judicial</w:t>
      </w:r>
      <w:r>
        <w:rPr>
          <w:szCs w:val="20"/>
        </w:rPr>
        <w:t xml:space="preserve"> </w:t>
      </w:r>
      <w:r w:rsidRPr="002A40F3">
        <w:rPr>
          <w:szCs w:val="20"/>
        </w:rPr>
        <w:t>extinguishment”</w:t>
      </w:r>
      <w:r>
        <w:rPr>
          <w:szCs w:val="20"/>
        </w:rPr>
        <w:t xml:space="preserve"> </w:t>
      </w:r>
      <w:r w:rsidRPr="002A40F3">
        <w:rPr>
          <w:szCs w:val="20"/>
        </w:rPr>
        <w:t>appear</w:t>
      </w:r>
      <w:r>
        <w:rPr>
          <w:szCs w:val="20"/>
        </w:rPr>
        <w:t xml:space="preserve"> </w:t>
      </w:r>
      <w:r w:rsidRPr="002A40F3">
        <w:rPr>
          <w:szCs w:val="20"/>
        </w:rPr>
        <w:t>in</w:t>
      </w:r>
      <w:r>
        <w:rPr>
          <w:szCs w:val="20"/>
        </w:rPr>
        <w:t xml:space="preserve"> </w:t>
      </w:r>
      <w:r w:rsidRPr="002A40F3">
        <w:rPr>
          <w:szCs w:val="20"/>
        </w:rPr>
        <w:t>section</w:t>
      </w:r>
      <w:r>
        <w:rPr>
          <w:szCs w:val="20"/>
        </w:rPr>
        <w:t xml:space="preserve"> </w:t>
      </w:r>
      <w:r w:rsidRPr="002A40F3">
        <w:rPr>
          <w:szCs w:val="20"/>
        </w:rPr>
        <w:t>1.170A-14(g)(6),</w:t>
      </w:r>
      <w:r>
        <w:rPr>
          <w:szCs w:val="20"/>
        </w:rPr>
        <w:t xml:space="preserve"> </w:t>
      </w:r>
      <w:r w:rsidRPr="002A40F3">
        <w:rPr>
          <w:szCs w:val="20"/>
        </w:rPr>
        <w:t>Income</w:t>
      </w:r>
      <w:r>
        <w:rPr>
          <w:szCs w:val="20"/>
        </w:rPr>
        <w:t xml:space="preserve"> </w:t>
      </w:r>
      <w:r w:rsidRPr="002A40F3">
        <w:rPr>
          <w:szCs w:val="20"/>
        </w:rPr>
        <w:t>Tax</w:t>
      </w:r>
      <w:r>
        <w:rPr>
          <w:szCs w:val="20"/>
        </w:rPr>
        <w:t xml:space="preserve"> </w:t>
      </w:r>
      <w:r w:rsidRPr="002A40F3">
        <w:rPr>
          <w:szCs w:val="20"/>
        </w:rPr>
        <w:t>Regs.</w:t>
      </w:r>
      <w:r>
        <w:rPr>
          <w:szCs w:val="20"/>
        </w:rPr>
        <w:t xml:space="preserve"> </w:t>
      </w:r>
      <w:r w:rsidRPr="002A40F3">
        <w:rPr>
          <w:szCs w:val="20"/>
        </w:rPr>
        <w:t>It</w:t>
      </w:r>
      <w:r>
        <w:rPr>
          <w:szCs w:val="20"/>
        </w:rPr>
        <w:t xml:space="preserve"> </w:t>
      </w:r>
      <w:r w:rsidRPr="002A40F3">
        <w:rPr>
          <w:szCs w:val="20"/>
        </w:rPr>
        <w:t>provides</w:t>
      </w:r>
      <w:r>
        <w:rPr>
          <w:szCs w:val="20"/>
        </w:rPr>
        <w:t xml:space="preserve"> </w:t>
      </w:r>
      <w:r w:rsidRPr="002A40F3">
        <w:rPr>
          <w:szCs w:val="20"/>
        </w:rPr>
        <w:t>that</w:t>
      </w:r>
      <w:r>
        <w:rPr>
          <w:szCs w:val="20"/>
        </w:rPr>
        <w:t xml:space="preserve"> </w:t>
      </w:r>
      <w:r w:rsidRPr="002A40F3">
        <w:rPr>
          <w:szCs w:val="20"/>
        </w:rPr>
        <w:t>the</w:t>
      </w:r>
      <w:r>
        <w:rPr>
          <w:szCs w:val="20"/>
        </w:rPr>
        <w:t xml:space="preserve"> </w:t>
      </w:r>
      <w:r w:rsidRPr="002A40F3">
        <w:rPr>
          <w:szCs w:val="20"/>
        </w:rPr>
        <w:t>donor</w:t>
      </w:r>
      <w:r>
        <w:rPr>
          <w:szCs w:val="20"/>
        </w:rPr>
        <w:t xml:space="preserve"> </w:t>
      </w:r>
      <w:r w:rsidRPr="002A40F3">
        <w:rPr>
          <w:szCs w:val="20"/>
        </w:rPr>
        <w:t>must</w:t>
      </w:r>
      <w:r>
        <w:rPr>
          <w:szCs w:val="20"/>
        </w:rPr>
        <w:t xml:space="preserve"> </w:t>
      </w:r>
      <w:r w:rsidRPr="002A40F3">
        <w:rPr>
          <w:szCs w:val="20"/>
        </w:rPr>
        <w:t>agree</w:t>
      </w:r>
      <w:r>
        <w:rPr>
          <w:szCs w:val="20"/>
        </w:rPr>
        <w:t xml:space="preserve"> </w:t>
      </w:r>
      <w:r w:rsidRPr="002A40F3">
        <w:rPr>
          <w:szCs w:val="20"/>
        </w:rPr>
        <w:t>that</w:t>
      </w:r>
      <w:r>
        <w:rPr>
          <w:szCs w:val="20"/>
        </w:rPr>
        <w:t xml:space="preserve"> </w:t>
      </w:r>
      <w:r w:rsidRPr="002A40F3">
        <w:rPr>
          <w:szCs w:val="20"/>
        </w:rPr>
        <w:t>the</w:t>
      </w:r>
      <w:r>
        <w:rPr>
          <w:szCs w:val="20"/>
        </w:rPr>
        <w:t xml:space="preserve"> </w:t>
      </w:r>
      <w:r w:rsidRPr="002A40F3">
        <w:rPr>
          <w:szCs w:val="20"/>
        </w:rPr>
        <w:t>easement</w:t>
      </w:r>
      <w:r>
        <w:rPr>
          <w:szCs w:val="20"/>
        </w:rPr>
        <w:t xml:space="preserve"> </w:t>
      </w:r>
      <w:r w:rsidRPr="002A40F3">
        <w:rPr>
          <w:szCs w:val="20"/>
        </w:rPr>
        <w:t>gives</w:t>
      </w:r>
      <w:r>
        <w:rPr>
          <w:szCs w:val="20"/>
        </w:rPr>
        <w:t xml:space="preserve"> </w:t>
      </w:r>
      <w:r w:rsidRPr="002A40F3">
        <w:rPr>
          <w:szCs w:val="20"/>
        </w:rPr>
        <w:t>rise</w:t>
      </w:r>
      <w:r>
        <w:rPr>
          <w:szCs w:val="20"/>
        </w:rPr>
        <w:t xml:space="preserve"> </w:t>
      </w:r>
      <w:r w:rsidRPr="002A40F3">
        <w:rPr>
          <w:szCs w:val="20"/>
        </w:rPr>
        <w:t>to</w:t>
      </w:r>
      <w:r>
        <w:rPr>
          <w:szCs w:val="20"/>
        </w:rPr>
        <w:t xml:space="preserve"> </w:t>
      </w:r>
      <w:r w:rsidRPr="002A40F3">
        <w:rPr>
          <w:szCs w:val="20"/>
        </w:rPr>
        <w:t>a</w:t>
      </w:r>
      <w:r>
        <w:rPr>
          <w:szCs w:val="20"/>
        </w:rPr>
        <w:t xml:space="preserve"> </w:t>
      </w:r>
      <w:r w:rsidRPr="002A40F3">
        <w:rPr>
          <w:szCs w:val="20"/>
        </w:rPr>
        <w:t>property</w:t>
      </w:r>
      <w:r>
        <w:rPr>
          <w:szCs w:val="20"/>
        </w:rPr>
        <w:t xml:space="preserve"> </w:t>
      </w:r>
      <w:r w:rsidRPr="002A40F3">
        <w:rPr>
          <w:szCs w:val="20"/>
        </w:rPr>
        <w:t>right</w:t>
      </w:r>
      <w:r>
        <w:rPr>
          <w:szCs w:val="20"/>
        </w:rPr>
        <w:t xml:space="preserve"> </w:t>
      </w:r>
      <w:r w:rsidRPr="002A40F3">
        <w:rPr>
          <w:szCs w:val="20"/>
        </w:rPr>
        <w:t>in</w:t>
      </w:r>
      <w:r>
        <w:rPr>
          <w:szCs w:val="20"/>
        </w:rPr>
        <w:t xml:space="preserve"> </w:t>
      </w:r>
      <w:r w:rsidRPr="002A40F3">
        <w:rPr>
          <w:szCs w:val="20"/>
        </w:rPr>
        <w:t>the</w:t>
      </w:r>
      <w:r>
        <w:rPr>
          <w:szCs w:val="20"/>
        </w:rPr>
        <w:t xml:space="preserve"> </w:t>
      </w:r>
      <w:r w:rsidRPr="002A40F3">
        <w:rPr>
          <w:szCs w:val="20"/>
        </w:rPr>
        <w:t>donee</w:t>
      </w:r>
      <w:r>
        <w:rPr>
          <w:szCs w:val="20"/>
        </w:rPr>
        <w:t xml:space="preserve"> </w:t>
      </w:r>
      <w:r w:rsidRPr="002A40F3">
        <w:rPr>
          <w:szCs w:val="20"/>
        </w:rPr>
        <w:t>having</w:t>
      </w:r>
      <w:r>
        <w:rPr>
          <w:szCs w:val="20"/>
        </w:rPr>
        <w:t xml:space="preserve"> </w:t>
      </w:r>
      <w:r w:rsidRPr="002A40F3">
        <w:rPr>
          <w:szCs w:val="20"/>
        </w:rPr>
        <w:t>a</w:t>
      </w:r>
      <w:r>
        <w:rPr>
          <w:szCs w:val="20"/>
        </w:rPr>
        <w:t xml:space="preserve"> </w:t>
      </w:r>
      <w:r w:rsidRPr="002A40F3">
        <w:rPr>
          <w:szCs w:val="20"/>
        </w:rPr>
        <w:t>FMV</w:t>
      </w:r>
      <w:r>
        <w:rPr>
          <w:szCs w:val="20"/>
        </w:rPr>
        <w:t xml:space="preserve"> </w:t>
      </w:r>
      <w:r w:rsidRPr="002A40F3">
        <w:rPr>
          <w:szCs w:val="20"/>
        </w:rPr>
        <w:t>“that</w:t>
      </w:r>
      <w:r>
        <w:rPr>
          <w:szCs w:val="20"/>
        </w:rPr>
        <w:t xml:space="preserve"> </w:t>
      </w:r>
      <w:r w:rsidRPr="002A40F3">
        <w:rPr>
          <w:szCs w:val="20"/>
        </w:rPr>
        <w:t>is</w:t>
      </w:r>
      <w:r>
        <w:rPr>
          <w:szCs w:val="20"/>
        </w:rPr>
        <w:t xml:space="preserve"> </w:t>
      </w:r>
      <w:r w:rsidRPr="002A40F3">
        <w:rPr>
          <w:szCs w:val="20"/>
        </w:rPr>
        <w:t>at</w:t>
      </w:r>
      <w:r>
        <w:rPr>
          <w:szCs w:val="20"/>
        </w:rPr>
        <w:t xml:space="preserve"> </w:t>
      </w:r>
      <w:r w:rsidRPr="002A40F3">
        <w:rPr>
          <w:szCs w:val="20"/>
        </w:rPr>
        <w:t>least</w:t>
      </w:r>
      <w:r>
        <w:rPr>
          <w:szCs w:val="20"/>
        </w:rPr>
        <w:t xml:space="preserve"> </w:t>
      </w:r>
      <w:r w:rsidRPr="002A40F3">
        <w:rPr>
          <w:szCs w:val="20"/>
        </w:rPr>
        <w:t>equal</w:t>
      </w:r>
      <w:r>
        <w:rPr>
          <w:szCs w:val="20"/>
        </w:rPr>
        <w:t xml:space="preserve"> </w:t>
      </w:r>
      <w:r w:rsidRPr="002A40F3">
        <w:rPr>
          <w:szCs w:val="20"/>
        </w:rPr>
        <w:t>to</w:t>
      </w:r>
      <w:r>
        <w:rPr>
          <w:szCs w:val="20"/>
        </w:rPr>
        <w:t xml:space="preserve"> </w:t>
      </w:r>
      <w:r w:rsidRPr="002A40F3">
        <w:rPr>
          <w:szCs w:val="20"/>
          <w:u w:val="single"/>
        </w:rPr>
        <w:t>the</w:t>
      </w:r>
      <w:r>
        <w:rPr>
          <w:szCs w:val="20"/>
          <w:u w:val="single"/>
        </w:rPr>
        <w:t xml:space="preserve"> </w:t>
      </w:r>
      <w:r w:rsidRPr="002A40F3">
        <w:rPr>
          <w:szCs w:val="20"/>
          <w:u w:val="single"/>
        </w:rPr>
        <w:t>proportionate</w:t>
      </w:r>
      <w:r>
        <w:rPr>
          <w:szCs w:val="20"/>
          <w:u w:val="single"/>
        </w:rPr>
        <w:t xml:space="preserve"> </w:t>
      </w:r>
      <w:r w:rsidRPr="002A40F3">
        <w:rPr>
          <w:szCs w:val="20"/>
          <w:u w:val="single"/>
        </w:rPr>
        <w:t>value</w:t>
      </w:r>
      <w:r>
        <w:rPr>
          <w:szCs w:val="20"/>
        </w:rPr>
        <w:t xml:space="preserve"> </w:t>
      </w:r>
      <w:r w:rsidRPr="002A40F3">
        <w:rPr>
          <w:szCs w:val="20"/>
        </w:rPr>
        <w:t>that</w:t>
      </w:r>
      <w:r>
        <w:rPr>
          <w:szCs w:val="20"/>
        </w:rPr>
        <w:t xml:space="preserve"> </w:t>
      </w:r>
      <w:r w:rsidRPr="002A40F3">
        <w:rPr>
          <w:szCs w:val="20"/>
        </w:rPr>
        <w:t>the</w:t>
      </w:r>
      <w:r>
        <w:rPr>
          <w:szCs w:val="20"/>
        </w:rPr>
        <w:t xml:space="preserve"> </w:t>
      </w:r>
      <w:r w:rsidRPr="002A40F3">
        <w:rPr>
          <w:szCs w:val="20"/>
        </w:rPr>
        <w:t>*</w:t>
      </w:r>
      <w:r>
        <w:rPr>
          <w:szCs w:val="20"/>
        </w:rPr>
        <w:t xml:space="preserve"> </w:t>
      </w:r>
      <w:r w:rsidRPr="002A40F3">
        <w:rPr>
          <w:szCs w:val="20"/>
        </w:rPr>
        <w:t>*</w:t>
      </w:r>
      <w:r>
        <w:rPr>
          <w:szCs w:val="20"/>
        </w:rPr>
        <w:t xml:space="preserve"> </w:t>
      </w:r>
      <w:r w:rsidRPr="002A40F3">
        <w:rPr>
          <w:szCs w:val="20"/>
        </w:rPr>
        <w:t>*</w:t>
      </w:r>
      <w:r>
        <w:rPr>
          <w:szCs w:val="20"/>
        </w:rPr>
        <w:t xml:space="preserve"> </w:t>
      </w:r>
      <w:r w:rsidRPr="002A40F3">
        <w:rPr>
          <w:szCs w:val="20"/>
        </w:rPr>
        <w:t>[easement]</w:t>
      </w:r>
      <w:r>
        <w:rPr>
          <w:szCs w:val="20"/>
        </w:rPr>
        <w:t xml:space="preserve"> </w:t>
      </w:r>
      <w:r w:rsidRPr="002A40F3">
        <w:rPr>
          <w:szCs w:val="20"/>
        </w:rPr>
        <w:t>at</w:t>
      </w:r>
      <w:r>
        <w:rPr>
          <w:szCs w:val="20"/>
        </w:rPr>
        <w:t xml:space="preserve"> </w:t>
      </w:r>
      <w:r w:rsidRPr="002A40F3">
        <w:rPr>
          <w:szCs w:val="20"/>
        </w:rPr>
        <w:t>the</w:t>
      </w:r>
      <w:r>
        <w:rPr>
          <w:szCs w:val="20"/>
        </w:rPr>
        <w:t xml:space="preserve"> </w:t>
      </w:r>
      <w:r w:rsidRPr="002A40F3">
        <w:rPr>
          <w:szCs w:val="20"/>
        </w:rPr>
        <w:t>time</w:t>
      </w:r>
      <w:r>
        <w:rPr>
          <w:szCs w:val="20"/>
        </w:rPr>
        <w:t xml:space="preserve"> </w:t>
      </w:r>
      <w:r w:rsidRPr="002A40F3">
        <w:rPr>
          <w:szCs w:val="20"/>
        </w:rPr>
        <w:t>of</w:t>
      </w:r>
      <w:r>
        <w:rPr>
          <w:szCs w:val="20"/>
        </w:rPr>
        <w:t xml:space="preserve"> </w:t>
      </w:r>
      <w:r w:rsidRPr="002A40F3">
        <w:rPr>
          <w:szCs w:val="20"/>
        </w:rPr>
        <w:t>the</w:t>
      </w:r>
      <w:r>
        <w:rPr>
          <w:szCs w:val="20"/>
        </w:rPr>
        <w:t xml:space="preserve"> </w:t>
      </w:r>
      <w:r w:rsidRPr="002A40F3">
        <w:rPr>
          <w:szCs w:val="20"/>
        </w:rPr>
        <w:t>gift,</w:t>
      </w:r>
      <w:r>
        <w:rPr>
          <w:szCs w:val="20"/>
        </w:rPr>
        <w:t xml:space="preserve"> </w:t>
      </w:r>
      <w:r w:rsidRPr="002A40F3">
        <w:rPr>
          <w:szCs w:val="20"/>
        </w:rPr>
        <w:t>bears</w:t>
      </w:r>
      <w:r>
        <w:rPr>
          <w:szCs w:val="20"/>
        </w:rPr>
        <w:t xml:space="preserve"> </w:t>
      </w:r>
      <w:r w:rsidRPr="002A40F3">
        <w:rPr>
          <w:szCs w:val="20"/>
        </w:rPr>
        <w:t>to</w:t>
      </w:r>
      <w:r>
        <w:rPr>
          <w:szCs w:val="20"/>
        </w:rPr>
        <w:t xml:space="preserve"> </w:t>
      </w:r>
      <w:r w:rsidRPr="002A40F3">
        <w:rPr>
          <w:szCs w:val="20"/>
        </w:rPr>
        <w:t>the</w:t>
      </w:r>
      <w:r>
        <w:rPr>
          <w:szCs w:val="20"/>
        </w:rPr>
        <w:t xml:space="preserve"> </w:t>
      </w:r>
      <w:r w:rsidRPr="002A40F3">
        <w:rPr>
          <w:szCs w:val="20"/>
        </w:rPr>
        <w:t>value</w:t>
      </w:r>
      <w:r>
        <w:rPr>
          <w:szCs w:val="20"/>
        </w:rPr>
        <w:t xml:space="preserve"> </w:t>
      </w:r>
      <w:r w:rsidRPr="002A40F3">
        <w:rPr>
          <w:szCs w:val="20"/>
        </w:rPr>
        <w:t>of</w:t>
      </w:r>
      <w:r>
        <w:rPr>
          <w:szCs w:val="20"/>
        </w:rPr>
        <w:t xml:space="preserve"> </w:t>
      </w:r>
      <w:r w:rsidRPr="002A40F3">
        <w:rPr>
          <w:szCs w:val="20"/>
        </w:rPr>
        <w:t>the</w:t>
      </w:r>
      <w:r>
        <w:rPr>
          <w:szCs w:val="20"/>
        </w:rPr>
        <w:t xml:space="preserve"> </w:t>
      </w:r>
      <w:r w:rsidRPr="002A40F3">
        <w:rPr>
          <w:szCs w:val="20"/>
        </w:rPr>
        <w:t>property</w:t>
      </w:r>
      <w:r>
        <w:rPr>
          <w:szCs w:val="20"/>
        </w:rPr>
        <w:t xml:space="preserve"> </w:t>
      </w:r>
      <w:r w:rsidRPr="002A40F3">
        <w:rPr>
          <w:szCs w:val="20"/>
        </w:rPr>
        <w:t>as</w:t>
      </w:r>
      <w:r>
        <w:rPr>
          <w:szCs w:val="20"/>
        </w:rPr>
        <w:t xml:space="preserve"> </w:t>
      </w:r>
      <w:r w:rsidRPr="002A40F3">
        <w:rPr>
          <w:szCs w:val="20"/>
        </w:rPr>
        <w:t>whole</w:t>
      </w:r>
      <w:r>
        <w:rPr>
          <w:szCs w:val="20"/>
        </w:rPr>
        <w:t xml:space="preserve"> </w:t>
      </w:r>
      <w:r w:rsidRPr="002A40F3">
        <w:rPr>
          <w:szCs w:val="20"/>
        </w:rPr>
        <w:t>at</w:t>
      </w:r>
      <w:r>
        <w:rPr>
          <w:szCs w:val="20"/>
        </w:rPr>
        <w:t xml:space="preserve"> </w:t>
      </w:r>
      <w:r w:rsidRPr="002A40F3">
        <w:rPr>
          <w:szCs w:val="20"/>
        </w:rPr>
        <w:t>that</w:t>
      </w:r>
      <w:r>
        <w:rPr>
          <w:szCs w:val="20"/>
        </w:rPr>
        <w:t xml:space="preserve"> </w:t>
      </w:r>
      <w:r w:rsidRPr="002A40F3">
        <w:rPr>
          <w:szCs w:val="20"/>
        </w:rPr>
        <w:t>time.”</w:t>
      </w:r>
      <w:r>
        <w:rPr>
          <w:szCs w:val="20"/>
        </w:rPr>
        <w:t xml:space="preserve"> </w:t>
      </w:r>
      <w:r w:rsidRPr="002A40F3">
        <w:rPr>
          <w:szCs w:val="20"/>
          <w:u w:val="single"/>
        </w:rPr>
        <w:t>Id.</w:t>
      </w:r>
      <w:r>
        <w:rPr>
          <w:szCs w:val="20"/>
        </w:rPr>
        <w:t xml:space="preserve"> </w:t>
      </w:r>
      <w:r w:rsidRPr="002A40F3">
        <w:rPr>
          <w:szCs w:val="20"/>
        </w:rPr>
        <w:t>subdiv.</w:t>
      </w:r>
      <w:r>
        <w:rPr>
          <w:szCs w:val="20"/>
        </w:rPr>
        <w:t xml:space="preserve"> </w:t>
      </w:r>
      <w:r w:rsidRPr="002A40F3">
        <w:rPr>
          <w:szCs w:val="20"/>
        </w:rPr>
        <w:t>(ii)</w:t>
      </w:r>
      <w:r>
        <w:rPr>
          <w:szCs w:val="20"/>
        </w:rPr>
        <w:t xml:space="preserve"> </w:t>
      </w:r>
      <w:r w:rsidRPr="002A40F3">
        <w:rPr>
          <w:szCs w:val="20"/>
        </w:rPr>
        <w:t>(emphasis</w:t>
      </w:r>
      <w:r>
        <w:rPr>
          <w:szCs w:val="20"/>
        </w:rPr>
        <w:t xml:space="preserve"> </w:t>
      </w:r>
      <w:r w:rsidRPr="002A40F3">
        <w:rPr>
          <w:szCs w:val="20"/>
        </w:rPr>
        <w:t>added).</w:t>
      </w:r>
      <w:r>
        <w:rPr>
          <w:szCs w:val="20"/>
        </w:rPr>
        <w:t xml:space="preserve"> </w:t>
      </w:r>
      <w:r w:rsidRPr="002A40F3">
        <w:rPr>
          <w:szCs w:val="20"/>
        </w:rPr>
        <w:t>In</w:t>
      </w:r>
      <w:r>
        <w:rPr>
          <w:szCs w:val="20"/>
        </w:rPr>
        <w:t xml:space="preserve"> </w:t>
      </w:r>
      <w:r w:rsidRPr="002A40F3">
        <w:rPr>
          <w:szCs w:val="20"/>
        </w:rPr>
        <w:t>the</w:t>
      </w:r>
      <w:r>
        <w:rPr>
          <w:szCs w:val="20"/>
        </w:rPr>
        <w:t xml:space="preserve"> </w:t>
      </w:r>
      <w:r w:rsidRPr="002A40F3">
        <w:rPr>
          <w:szCs w:val="20"/>
        </w:rPr>
        <w:t>event</w:t>
      </w:r>
      <w:r>
        <w:rPr>
          <w:szCs w:val="20"/>
        </w:rPr>
        <w:t xml:space="preserve"> </w:t>
      </w:r>
      <w:r w:rsidRPr="002A40F3">
        <w:rPr>
          <w:szCs w:val="20"/>
        </w:rPr>
        <w:t>of</w:t>
      </w:r>
      <w:r>
        <w:rPr>
          <w:szCs w:val="20"/>
        </w:rPr>
        <w:t xml:space="preserve"> </w:t>
      </w:r>
      <w:r w:rsidRPr="002A40F3">
        <w:rPr>
          <w:szCs w:val="20"/>
        </w:rPr>
        <w:t>a</w:t>
      </w:r>
      <w:r>
        <w:rPr>
          <w:szCs w:val="20"/>
        </w:rPr>
        <w:t xml:space="preserve"> </w:t>
      </w:r>
      <w:r w:rsidRPr="002A40F3">
        <w:rPr>
          <w:szCs w:val="20"/>
        </w:rPr>
        <w:t>sale</w:t>
      </w:r>
      <w:r>
        <w:rPr>
          <w:szCs w:val="20"/>
        </w:rPr>
        <w:t xml:space="preserve"> </w:t>
      </w:r>
      <w:r w:rsidRPr="002A40F3">
        <w:rPr>
          <w:szCs w:val="20"/>
        </w:rPr>
        <w:t>following</w:t>
      </w:r>
      <w:r>
        <w:rPr>
          <w:szCs w:val="20"/>
        </w:rPr>
        <w:t xml:space="preserve"> </w:t>
      </w:r>
      <w:r w:rsidRPr="002A40F3">
        <w:rPr>
          <w:szCs w:val="20"/>
        </w:rPr>
        <w:t>judicial</w:t>
      </w:r>
      <w:r>
        <w:rPr>
          <w:szCs w:val="20"/>
        </w:rPr>
        <w:t xml:space="preserve"> </w:t>
      </w:r>
      <w:r w:rsidRPr="002A40F3">
        <w:rPr>
          <w:szCs w:val="20"/>
        </w:rPr>
        <w:t>extinguishment</w:t>
      </w:r>
      <w:r>
        <w:rPr>
          <w:szCs w:val="20"/>
        </w:rPr>
        <w:t xml:space="preserve"> </w:t>
      </w:r>
      <w:r w:rsidRPr="002A40F3">
        <w:rPr>
          <w:szCs w:val="20"/>
        </w:rPr>
        <w:t>of</w:t>
      </w:r>
      <w:r>
        <w:rPr>
          <w:szCs w:val="20"/>
        </w:rPr>
        <w:t xml:space="preserve"> </w:t>
      </w:r>
      <w:r w:rsidRPr="002A40F3">
        <w:rPr>
          <w:szCs w:val="20"/>
        </w:rPr>
        <w:t>the</w:t>
      </w:r>
      <w:r>
        <w:rPr>
          <w:szCs w:val="20"/>
        </w:rPr>
        <w:t xml:space="preserve"> </w:t>
      </w:r>
      <w:r w:rsidRPr="002A40F3">
        <w:rPr>
          <w:szCs w:val="20"/>
        </w:rPr>
        <w:t>easement,</w:t>
      </w:r>
      <w:r>
        <w:rPr>
          <w:szCs w:val="20"/>
        </w:rPr>
        <w:t xml:space="preserve"> </w:t>
      </w:r>
      <w:r w:rsidRPr="002A40F3">
        <w:rPr>
          <w:szCs w:val="20"/>
        </w:rPr>
        <w:t>the</w:t>
      </w:r>
      <w:r>
        <w:rPr>
          <w:szCs w:val="20"/>
        </w:rPr>
        <w:t xml:space="preserve"> </w:t>
      </w:r>
      <w:r w:rsidRPr="002A40F3">
        <w:rPr>
          <w:szCs w:val="20"/>
        </w:rPr>
        <w:t>donee</w:t>
      </w:r>
      <w:r>
        <w:rPr>
          <w:szCs w:val="20"/>
        </w:rPr>
        <w:t xml:space="preserve"> </w:t>
      </w:r>
      <w:r w:rsidRPr="002A40F3">
        <w:rPr>
          <w:szCs w:val="20"/>
        </w:rPr>
        <w:t>“must</w:t>
      </w:r>
      <w:r>
        <w:rPr>
          <w:szCs w:val="20"/>
        </w:rPr>
        <w:t xml:space="preserve"> </w:t>
      </w:r>
      <w:r w:rsidRPr="002A40F3">
        <w:rPr>
          <w:szCs w:val="20"/>
        </w:rPr>
        <w:t>be</w:t>
      </w:r>
      <w:r>
        <w:rPr>
          <w:szCs w:val="20"/>
        </w:rPr>
        <w:t xml:space="preserve"> </w:t>
      </w:r>
      <w:r w:rsidRPr="002A40F3">
        <w:rPr>
          <w:szCs w:val="20"/>
        </w:rPr>
        <w:t>entitled</w:t>
      </w:r>
      <w:r>
        <w:rPr>
          <w:szCs w:val="20"/>
        </w:rPr>
        <w:t xml:space="preserve"> </w:t>
      </w:r>
      <w:r w:rsidRPr="002A40F3">
        <w:rPr>
          <w:szCs w:val="20"/>
        </w:rPr>
        <w:t>to</w:t>
      </w:r>
      <w:r>
        <w:rPr>
          <w:szCs w:val="20"/>
        </w:rPr>
        <w:t xml:space="preserve"> </w:t>
      </w:r>
      <w:r w:rsidRPr="002A40F3">
        <w:rPr>
          <w:szCs w:val="20"/>
        </w:rPr>
        <w:t>a</w:t>
      </w:r>
      <w:r>
        <w:rPr>
          <w:szCs w:val="20"/>
        </w:rPr>
        <w:t xml:space="preserve"> </w:t>
      </w:r>
      <w:r w:rsidRPr="002A40F3">
        <w:rPr>
          <w:szCs w:val="20"/>
        </w:rPr>
        <w:t>portion</w:t>
      </w:r>
      <w:r>
        <w:rPr>
          <w:szCs w:val="20"/>
        </w:rPr>
        <w:t xml:space="preserve"> </w:t>
      </w:r>
      <w:r w:rsidRPr="002A40F3">
        <w:rPr>
          <w:szCs w:val="20"/>
        </w:rPr>
        <w:t>of</w:t>
      </w:r>
      <w:r>
        <w:rPr>
          <w:szCs w:val="20"/>
        </w:rPr>
        <w:t xml:space="preserve"> </w:t>
      </w:r>
      <w:r w:rsidRPr="002A40F3">
        <w:rPr>
          <w:szCs w:val="20"/>
        </w:rPr>
        <w:t>the</w:t>
      </w:r>
      <w:r>
        <w:rPr>
          <w:szCs w:val="20"/>
        </w:rPr>
        <w:t xml:space="preserve"> </w:t>
      </w:r>
      <w:r w:rsidRPr="002A40F3">
        <w:rPr>
          <w:szCs w:val="20"/>
        </w:rPr>
        <w:t>proceeds</w:t>
      </w:r>
      <w:r>
        <w:rPr>
          <w:szCs w:val="20"/>
        </w:rPr>
        <w:t xml:space="preserve"> </w:t>
      </w:r>
      <w:r w:rsidRPr="002A40F3">
        <w:rPr>
          <w:szCs w:val="20"/>
        </w:rPr>
        <w:t>at</w:t>
      </w:r>
      <w:r>
        <w:rPr>
          <w:szCs w:val="20"/>
        </w:rPr>
        <w:t xml:space="preserve"> </w:t>
      </w:r>
      <w:r w:rsidRPr="002A40F3">
        <w:rPr>
          <w:szCs w:val="20"/>
        </w:rPr>
        <w:t>least</w:t>
      </w:r>
      <w:r>
        <w:rPr>
          <w:szCs w:val="20"/>
        </w:rPr>
        <w:t xml:space="preserve"> </w:t>
      </w:r>
      <w:r w:rsidRPr="002A40F3">
        <w:rPr>
          <w:szCs w:val="20"/>
        </w:rPr>
        <w:t>equal</w:t>
      </w:r>
      <w:r>
        <w:rPr>
          <w:szCs w:val="20"/>
        </w:rPr>
        <w:t xml:space="preserve"> </w:t>
      </w:r>
      <w:r w:rsidRPr="002A40F3">
        <w:rPr>
          <w:szCs w:val="20"/>
        </w:rPr>
        <w:t>to</w:t>
      </w:r>
      <w:r>
        <w:rPr>
          <w:szCs w:val="20"/>
        </w:rPr>
        <w:t xml:space="preserve"> </w:t>
      </w:r>
      <w:r w:rsidRPr="002A40F3">
        <w:rPr>
          <w:szCs w:val="20"/>
        </w:rPr>
        <w:t>that</w:t>
      </w:r>
      <w:r>
        <w:rPr>
          <w:szCs w:val="20"/>
        </w:rPr>
        <w:t xml:space="preserve"> </w:t>
      </w:r>
      <w:r w:rsidRPr="002A40F3">
        <w:rPr>
          <w:szCs w:val="20"/>
        </w:rPr>
        <w:t>proportionate</w:t>
      </w:r>
      <w:r>
        <w:rPr>
          <w:szCs w:val="20"/>
        </w:rPr>
        <w:t xml:space="preserve"> </w:t>
      </w:r>
      <w:r w:rsidRPr="002A40F3">
        <w:rPr>
          <w:szCs w:val="20"/>
        </w:rPr>
        <w:t>value.”</w:t>
      </w:r>
      <w:r>
        <w:rPr>
          <w:szCs w:val="20"/>
        </w:rPr>
        <w:t xml:space="preserve"> </w:t>
      </w:r>
      <w:r w:rsidRPr="002A40F3">
        <w:rPr>
          <w:szCs w:val="20"/>
          <w:u w:val="single"/>
        </w:rPr>
        <w:t>Ibid.</w:t>
      </w:r>
      <w:r>
        <w:rPr>
          <w:szCs w:val="20"/>
        </w:rPr>
        <w:t xml:space="preserve"> </w:t>
      </w:r>
      <w:r w:rsidRPr="002A40F3">
        <w:rPr>
          <w:szCs w:val="20"/>
        </w:rPr>
        <w:t>“In</w:t>
      </w:r>
      <w:r>
        <w:rPr>
          <w:szCs w:val="20"/>
        </w:rPr>
        <w:t xml:space="preserve"> </w:t>
      </w:r>
      <w:r w:rsidRPr="002A40F3">
        <w:rPr>
          <w:szCs w:val="20"/>
        </w:rPr>
        <w:t>effect,</w:t>
      </w:r>
      <w:r>
        <w:rPr>
          <w:szCs w:val="20"/>
        </w:rPr>
        <w:t xml:space="preserve"> </w:t>
      </w:r>
      <w:r w:rsidRPr="002A40F3">
        <w:rPr>
          <w:szCs w:val="20"/>
        </w:rPr>
        <w:t>the</w:t>
      </w:r>
      <w:r>
        <w:rPr>
          <w:szCs w:val="20"/>
        </w:rPr>
        <w:t xml:space="preserve"> </w:t>
      </w:r>
      <w:r w:rsidRPr="002A40F3">
        <w:rPr>
          <w:szCs w:val="20"/>
        </w:rPr>
        <w:t>‘perpetuity’</w:t>
      </w:r>
      <w:r>
        <w:rPr>
          <w:szCs w:val="20"/>
        </w:rPr>
        <w:t xml:space="preserve"> </w:t>
      </w:r>
      <w:r w:rsidRPr="002A40F3">
        <w:rPr>
          <w:szCs w:val="20"/>
        </w:rPr>
        <w:t>requirement</w:t>
      </w:r>
      <w:r>
        <w:rPr>
          <w:szCs w:val="20"/>
        </w:rPr>
        <w:t xml:space="preserve"> </w:t>
      </w:r>
      <w:r w:rsidRPr="002A40F3">
        <w:rPr>
          <w:szCs w:val="20"/>
        </w:rPr>
        <w:t>is</w:t>
      </w:r>
      <w:r>
        <w:rPr>
          <w:szCs w:val="20"/>
        </w:rPr>
        <w:t xml:space="preserve"> </w:t>
      </w:r>
      <w:r w:rsidRPr="002A40F3">
        <w:rPr>
          <w:szCs w:val="20"/>
        </w:rPr>
        <w:t>deemed</w:t>
      </w:r>
      <w:r>
        <w:rPr>
          <w:szCs w:val="20"/>
        </w:rPr>
        <w:t xml:space="preserve"> </w:t>
      </w:r>
      <w:r w:rsidRPr="002A40F3">
        <w:rPr>
          <w:szCs w:val="20"/>
        </w:rPr>
        <w:t>satisfied</w:t>
      </w:r>
      <w:r>
        <w:rPr>
          <w:szCs w:val="20"/>
        </w:rPr>
        <w:t xml:space="preserve"> </w:t>
      </w:r>
      <w:r w:rsidRPr="002A40F3">
        <w:rPr>
          <w:szCs w:val="20"/>
        </w:rPr>
        <w:t>because</w:t>
      </w:r>
      <w:r>
        <w:rPr>
          <w:szCs w:val="20"/>
        </w:rPr>
        <w:t xml:space="preserve"> </w:t>
      </w:r>
      <w:r w:rsidRPr="002A40F3">
        <w:rPr>
          <w:szCs w:val="20"/>
        </w:rPr>
        <w:t>the</w:t>
      </w:r>
      <w:r>
        <w:rPr>
          <w:szCs w:val="20"/>
        </w:rPr>
        <w:t xml:space="preserve"> </w:t>
      </w:r>
      <w:r w:rsidRPr="002A40F3">
        <w:rPr>
          <w:szCs w:val="20"/>
        </w:rPr>
        <w:t>sale</w:t>
      </w:r>
      <w:r>
        <w:rPr>
          <w:szCs w:val="20"/>
        </w:rPr>
        <w:t xml:space="preserve"> </w:t>
      </w:r>
      <w:r w:rsidRPr="002A40F3">
        <w:rPr>
          <w:szCs w:val="20"/>
        </w:rPr>
        <w:t>proceeds</w:t>
      </w:r>
      <w:r>
        <w:rPr>
          <w:szCs w:val="20"/>
        </w:rPr>
        <w:t xml:space="preserve"> </w:t>
      </w:r>
      <w:r w:rsidRPr="002A40F3">
        <w:rPr>
          <w:szCs w:val="20"/>
        </w:rPr>
        <w:t>replace</w:t>
      </w:r>
      <w:r>
        <w:rPr>
          <w:szCs w:val="20"/>
        </w:rPr>
        <w:t xml:space="preserve"> </w:t>
      </w:r>
      <w:r w:rsidRPr="002A40F3">
        <w:rPr>
          <w:szCs w:val="20"/>
        </w:rPr>
        <w:t>the</w:t>
      </w:r>
      <w:r>
        <w:rPr>
          <w:szCs w:val="20"/>
        </w:rPr>
        <w:t xml:space="preserve"> </w:t>
      </w:r>
      <w:r w:rsidRPr="002A40F3">
        <w:rPr>
          <w:szCs w:val="20"/>
        </w:rPr>
        <w:t>easement</w:t>
      </w:r>
      <w:r>
        <w:rPr>
          <w:szCs w:val="20"/>
        </w:rPr>
        <w:t xml:space="preserve"> </w:t>
      </w:r>
      <w:r w:rsidRPr="002A40F3">
        <w:rPr>
          <w:szCs w:val="20"/>
        </w:rPr>
        <w:t>as</w:t>
      </w:r>
      <w:r>
        <w:rPr>
          <w:szCs w:val="20"/>
        </w:rPr>
        <w:t xml:space="preserve"> </w:t>
      </w:r>
      <w:r w:rsidRPr="002A40F3">
        <w:rPr>
          <w:szCs w:val="20"/>
        </w:rPr>
        <w:t>an</w:t>
      </w:r>
      <w:r>
        <w:rPr>
          <w:szCs w:val="20"/>
        </w:rPr>
        <w:t xml:space="preserve"> </w:t>
      </w:r>
      <w:r w:rsidRPr="002A40F3">
        <w:rPr>
          <w:szCs w:val="20"/>
        </w:rPr>
        <w:t>asset</w:t>
      </w:r>
      <w:r>
        <w:rPr>
          <w:szCs w:val="20"/>
        </w:rPr>
        <w:t xml:space="preserve"> </w:t>
      </w:r>
      <w:r w:rsidRPr="002A40F3">
        <w:rPr>
          <w:szCs w:val="20"/>
        </w:rPr>
        <w:t>deployed</w:t>
      </w:r>
      <w:r>
        <w:rPr>
          <w:szCs w:val="20"/>
        </w:rPr>
        <w:t xml:space="preserve"> </w:t>
      </w:r>
      <w:r w:rsidRPr="002A40F3">
        <w:rPr>
          <w:szCs w:val="20"/>
        </w:rPr>
        <w:t>by</w:t>
      </w:r>
      <w:r>
        <w:rPr>
          <w:szCs w:val="20"/>
        </w:rPr>
        <w:t xml:space="preserve"> </w:t>
      </w:r>
      <w:r w:rsidRPr="002A40F3">
        <w:rPr>
          <w:szCs w:val="20"/>
        </w:rPr>
        <w:t>the</w:t>
      </w:r>
      <w:r>
        <w:rPr>
          <w:szCs w:val="20"/>
        </w:rPr>
        <w:t xml:space="preserve"> </w:t>
      </w:r>
      <w:r w:rsidRPr="002A40F3">
        <w:rPr>
          <w:szCs w:val="20"/>
        </w:rPr>
        <w:t>donee</w:t>
      </w:r>
      <w:r>
        <w:rPr>
          <w:szCs w:val="20"/>
        </w:rPr>
        <w:t xml:space="preserve"> </w:t>
      </w:r>
      <w:r w:rsidRPr="002A40F3">
        <w:rPr>
          <w:szCs w:val="20"/>
        </w:rPr>
        <w:t>‘exclusively</w:t>
      </w:r>
      <w:r>
        <w:rPr>
          <w:szCs w:val="20"/>
        </w:rPr>
        <w:t xml:space="preserve"> </w:t>
      </w:r>
      <w:r w:rsidRPr="002A40F3">
        <w:rPr>
          <w:szCs w:val="20"/>
        </w:rPr>
        <w:t>for</w:t>
      </w:r>
      <w:r>
        <w:rPr>
          <w:szCs w:val="20"/>
        </w:rPr>
        <w:t xml:space="preserve"> </w:t>
      </w:r>
      <w:r w:rsidRPr="002A40F3">
        <w:rPr>
          <w:szCs w:val="20"/>
        </w:rPr>
        <w:t>conservation</w:t>
      </w:r>
      <w:r>
        <w:rPr>
          <w:szCs w:val="20"/>
        </w:rPr>
        <w:t xml:space="preserve"> </w:t>
      </w:r>
      <w:r w:rsidRPr="002A40F3">
        <w:rPr>
          <w:szCs w:val="20"/>
        </w:rPr>
        <w:t>purposes.’</w:t>
      </w:r>
      <w:r>
        <w:rPr>
          <w:szCs w:val="20"/>
        </w:rPr>
        <w:t xml:space="preserve"> </w:t>
      </w:r>
      <w:r w:rsidRPr="002A40F3">
        <w:rPr>
          <w:szCs w:val="20"/>
        </w:rPr>
        <w:t>”</w:t>
      </w:r>
      <w:r>
        <w:rPr>
          <w:szCs w:val="20"/>
        </w:rPr>
        <w:t xml:space="preserve"> </w:t>
      </w:r>
      <w:r w:rsidRPr="002A40F3">
        <w:rPr>
          <w:szCs w:val="20"/>
          <w:u w:val="single"/>
        </w:rPr>
        <w:t>Coal</w:t>
      </w:r>
      <w:r>
        <w:rPr>
          <w:szCs w:val="20"/>
          <w:u w:val="single"/>
        </w:rPr>
        <w:t xml:space="preserve"> </w:t>
      </w:r>
      <w:r w:rsidRPr="002A40F3">
        <w:rPr>
          <w:szCs w:val="20"/>
          <w:u w:val="single"/>
        </w:rPr>
        <w:t>Prop.</w:t>
      </w:r>
      <w:r>
        <w:rPr>
          <w:szCs w:val="20"/>
          <w:u w:val="single"/>
        </w:rPr>
        <w:t xml:space="preserve"> </w:t>
      </w:r>
      <w:r w:rsidRPr="002A40F3">
        <w:rPr>
          <w:szCs w:val="20"/>
          <w:u w:val="single"/>
        </w:rPr>
        <w:t>Holdings</w:t>
      </w:r>
      <w:r w:rsidRPr="002A40F3">
        <w:rPr>
          <w:szCs w:val="20"/>
        </w:rPr>
        <w:t>,</w:t>
      </w:r>
      <w:r>
        <w:rPr>
          <w:szCs w:val="20"/>
        </w:rPr>
        <w:t xml:space="preserve"> </w:t>
      </w:r>
      <w:r w:rsidRPr="002A40F3">
        <w:rPr>
          <w:szCs w:val="20"/>
        </w:rPr>
        <w:t>153</w:t>
      </w:r>
      <w:r>
        <w:rPr>
          <w:szCs w:val="20"/>
        </w:rPr>
        <w:t xml:space="preserve"> </w:t>
      </w:r>
      <w:r w:rsidRPr="002A40F3">
        <w:rPr>
          <w:szCs w:val="20"/>
        </w:rPr>
        <w:t>T.C.</w:t>
      </w:r>
      <w:r>
        <w:rPr>
          <w:szCs w:val="20"/>
        </w:rPr>
        <w:t xml:space="preserve"> </w:t>
      </w:r>
      <w:r w:rsidRPr="002A40F3">
        <w:rPr>
          <w:szCs w:val="20"/>
        </w:rPr>
        <w:t>at</w:t>
      </w:r>
      <w:r>
        <w:rPr>
          <w:szCs w:val="20"/>
        </w:rPr>
        <w:t xml:space="preserve"> </w:t>
      </w:r>
      <w:r w:rsidRPr="002A40F3">
        <w:rPr>
          <w:szCs w:val="20"/>
        </w:rPr>
        <w:t>136(quoting</w:t>
      </w:r>
      <w:r>
        <w:rPr>
          <w:szCs w:val="20"/>
        </w:rPr>
        <w:t xml:space="preserve"> </w:t>
      </w:r>
      <w:r w:rsidRPr="002A40F3">
        <w:rPr>
          <w:szCs w:val="20"/>
        </w:rPr>
        <w:t>section</w:t>
      </w:r>
      <w:r>
        <w:rPr>
          <w:szCs w:val="20"/>
        </w:rPr>
        <w:t xml:space="preserve"> </w:t>
      </w:r>
      <w:r w:rsidRPr="002A40F3">
        <w:rPr>
          <w:szCs w:val="20"/>
        </w:rPr>
        <w:t>170(h)(5)(A)).</w:t>
      </w:r>
    </w:p>
    <w:p w:rsidR="007649DB" w:rsidRPr="002A40F3" w:rsidRDefault="007649DB" w:rsidP="007649DB">
      <w:pPr>
        <w:pStyle w:val="QS10"/>
        <w:rPr>
          <w:szCs w:val="20"/>
        </w:rPr>
      </w:pPr>
      <w:r w:rsidRPr="002A40F3">
        <w:rPr>
          <w:szCs w:val="20"/>
        </w:rPr>
        <w:t>The</w:t>
      </w:r>
      <w:r>
        <w:rPr>
          <w:szCs w:val="20"/>
        </w:rPr>
        <w:t xml:space="preserve"> </w:t>
      </w:r>
      <w:r w:rsidRPr="002A40F3">
        <w:rPr>
          <w:szCs w:val="20"/>
        </w:rPr>
        <w:t>regulation</w:t>
      </w:r>
      <w:r>
        <w:rPr>
          <w:szCs w:val="20"/>
        </w:rPr>
        <w:t xml:space="preserve"> </w:t>
      </w:r>
      <w:r w:rsidRPr="002A40F3">
        <w:rPr>
          <w:szCs w:val="20"/>
        </w:rPr>
        <w:t>requires,</w:t>
      </w:r>
      <w:r>
        <w:rPr>
          <w:szCs w:val="20"/>
        </w:rPr>
        <w:t xml:space="preserve"> </w:t>
      </w:r>
      <w:r w:rsidRPr="002A40F3">
        <w:rPr>
          <w:szCs w:val="20"/>
        </w:rPr>
        <w:t>in</w:t>
      </w:r>
      <w:r>
        <w:rPr>
          <w:szCs w:val="20"/>
        </w:rPr>
        <w:t xml:space="preserve"> </w:t>
      </w:r>
      <w:r w:rsidRPr="002A40F3">
        <w:rPr>
          <w:szCs w:val="20"/>
        </w:rPr>
        <w:t>short,</w:t>
      </w:r>
      <w:r>
        <w:rPr>
          <w:szCs w:val="20"/>
        </w:rPr>
        <w:t xml:space="preserve"> </w:t>
      </w:r>
      <w:r w:rsidRPr="002A40F3">
        <w:rPr>
          <w:szCs w:val="20"/>
        </w:rPr>
        <w:t>that</w:t>
      </w:r>
      <w:r>
        <w:rPr>
          <w:szCs w:val="20"/>
        </w:rPr>
        <w:t xml:space="preserve"> </w:t>
      </w:r>
      <w:r w:rsidRPr="002A40F3">
        <w:rPr>
          <w:szCs w:val="20"/>
        </w:rPr>
        <w:t>the</w:t>
      </w:r>
      <w:r>
        <w:rPr>
          <w:szCs w:val="20"/>
        </w:rPr>
        <w:t xml:space="preserve"> </w:t>
      </w:r>
      <w:r w:rsidRPr="002A40F3">
        <w:rPr>
          <w:szCs w:val="20"/>
        </w:rPr>
        <w:t>donee</w:t>
      </w:r>
      <w:r>
        <w:rPr>
          <w:szCs w:val="20"/>
        </w:rPr>
        <w:t xml:space="preserve"> </w:t>
      </w:r>
      <w:r w:rsidRPr="002A40F3">
        <w:rPr>
          <w:szCs w:val="20"/>
        </w:rPr>
        <w:t>receive</w:t>
      </w:r>
      <w:r>
        <w:rPr>
          <w:szCs w:val="20"/>
        </w:rPr>
        <w:t xml:space="preserve"> </w:t>
      </w:r>
      <w:r w:rsidRPr="002A40F3">
        <w:rPr>
          <w:szCs w:val="20"/>
        </w:rPr>
        <w:t>a</w:t>
      </w:r>
      <w:r>
        <w:rPr>
          <w:szCs w:val="20"/>
        </w:rPr>
        <w:t xml:space="preserve"> </w:t>
      </w:r>
      <w:r w:rsidRPr="002A40F3">
        <w:rPr>
          <w:szCs w:val="20"/>
        </w:rPr>
        <w:t>proportionate</w:t>
      </w:r>
      <w:r>
        <w:rPr>
          <w:szCs w:val="20"/>
        </w:rPr>
        <w:t xml:space="preserve"> </w:t>
      </w:r>
      <w:r w:rsidRPr="002A40F3">
        <w:rPr>
          <w:szCs w:val="20"/>
        </w:rPr>
        <w:t>share</w:t>
      </w:r>
      <w:r>
        <w:rPr>
          <w:szCs w:val="20"/>
        </w:rPr>
        <w:t xml:space="preserve"> </w:t>
      </w:r>
      <w:r w:rsidRPr="002A40F3">
        <w:rPr>
          <w:szCs w:val="20"/>
        </w:rPr>
        <w:t>of</w:t>
      </w:r>
      <w:r>
        <w:rPr>
          <w:szCs w:val="20"/>
        </w:rPr>
        <w:t xml:space="preserve"> </w:t>
      </w:r>
      <w:r w:rsidRPr="002A40F3">
        <w:rPr>
          <w:szCs w:val="20"/>
        </w:rPr>
        <w:t>the</w:t>
      </w:r>
      <w:r>
        <w:rPr>
          <w:szCs w:val="20"/>
        </w:rPr>
        <w:t xml:space="preserve"> </w:t>
      </w:r>
      <w:r w:rsidRPr="002A40F3">
        <w:rPr>
          <w:szCs w:val="20"/>
        </w:rPr>
        <w:t>sale</w:t>
      </w:r>
      <w:r>
        <w:rPr>
          <w:szCs w:val="20"/>
        </w:rPr>
        <w:t xml:space="preserve"> </w:t>
      </w:r>
      <w:r w:rsidRPr="002A40F3">
        <w:rPr>
          <w:szCs w:val="20"/>
        </w:rPr>
        <w:t>proceeds,</w:t>
      </w:r>
      <w:r>
        <w:rPr>
          <w:szCs w:val="20"/>
        </w:rPr>
        <w:t xml:space="preserve"> </w:t>
      </w:r>
      <w:r w:rsidRPr="002A40F3">
        <w:rPr>
          <w:szCs w:val="20"/>
        </w:rPr>
        <w:t>as</w:t>
      </w:r>
      <w:r>
        <w:rPr>
          <w:szCs w:val="20"/>
        </w:rPr>
        <w:t xml:space="preserve"> </w:t>
      </w:r>
      <w:r w:rsidRPr="002A40F3">
        <w:rPr>
          <w:szCs w:val="20"/>
        </w:rPr>
        <w:t>determined</w:t>
      </w:r>
      <w:r>
        <w:rPr>
          <w:szCs w:val="20"/>
        </w:rPr>
        <w:t xml:space="preserve"> </w:t>
      </w:r>
      <w:r w:rsidRPr="002A40F3">
        <w:rPr>
          <w:szCs w:val="20"/>
        </w:rPr>
        <w:t>by</w:t>
      </w:r>
      <w:r>
        <w:rPr>
          <w:szCs w:val="20"/>
        </w:rPr>
        <w:t xml:space="preserve"> </w:t>
      </w:r>
      <w:r w:rsidRPr="002A40F3">
        <w:rPr>
          <w:szCs w:val="20"/>
        </w:rPr>
        <w:t>the</w:t>
      </w:r>
      <w:r>
        <w:rPr>
          <w:szCs w:val="20"/>
        </w:rPr>
        <w:t xml:space="preserve"> </w:t>
      </w:r>
      <w:r w:rsidRPr="002A40F3">
        <w:rPr>
          <w:szCs w:val="20"/>
        </w:rPr>
        <w:t>fraction</w:t>
      </w:r>
      <w:r>
        <w:rPr>
          <w:szCs w:val="20"/>
        </w:rPr>
        <w:t xml:space="preserve"> </w:t>
      </w:r>
      <w:r w:rsidRPr="002A40F3">
        <w:rPr>
          <w:szCs w:val="20"/>
        </w:rPr>
        <w:t>set</w:t>
      </w:r>
      <w:r>
        <w:rPr>
          <w:szCs w:val="20"/>
        </w:rPr>
        <w:t xml:space="preserve"> </w:t>
      </w:r>
      <w:r w:rsidRPr="002A40F3">
        <w:rPr>
          <w:szCs w:val="20"/>
        </w:rPr>
        <w:t>forth</w:t>
      </w:r>
      <w:r>
        <w:rPr>
          <w:szCs w:val="20"/>
        </w:rPr>
        <w:t xml:space="preserve"> </w:t>
      </w:r>
      <w:r w:rsidRPr="002A40F3">
        <w:rPr>
          <w:szCs w:val="20"/>
        </w:rPr>
        <w:t>in</w:t>
      </w:r>
      <w:r>
        <w:rPr>
          <w:szCs w:val="20"/>
        </w:rPr>
        <w:t xml:space="preserve"> </w:t>
      </w:r>
      <w:r w:rsidRPr="002A40F3">
        <w:rPr>
          <w:szCs w:val="20"/>
        </w:rPr>
        <w:t>the</w:t>
      </w:r>
      <w:r>
        <w:rPr>
          <w:szCs w:val="20"/>
        </w:rPr>
        <w:t xml:space="preserve"> </w:t>
      </w:r>
      <w:r w:rsidRPr="002A40F3">
        <w:rPr>
          <w:szCs w:val="20"/>
        </w:rPr>
        <w:t>regulation.</w:t>
      </w:r>
      <w:hyperlink r:id="rId139" w:anchor="co_footnote_B00032050955580" w:history="1">
        <w:r w:rsidRPr="002A40F3">
          <w:rPr>
            <w:rStyle w:val="Hyperlink"/>
            <w:color w:val="auto"/>
            <w:szCs w:val="20"/>
            <w:vertAlign w:val="superscript"/>
          </w:rPr>
          <w:t>3</w:t>
        </w:r>
      </w:hyperlink>
      <w:r>
        <w:rPr>
          <w:szCs w:val="20"/>
        </w:rPr>
        <w:t xml:space="preserve"> </w:t>
      </w:r>
      <w:r w:rsidRPr="002A40F3">
        <w:rPr>
          <w:szCs w:val="20"/>
        </w:rPr>
        <w:t>The</w:t>
      </w:r>
      <w:r>
        <w:rPr>
          <w:szCs w:val="20"/>
        </w:rPr>
        <w:t xml:space="preserve"> </w:t>
      </w:r>
      <w:r w:rsidRPr="002A40F3">
        <w:rPr>
          <w:szCs w:val="20"/>
        </w:rPr>
        <w:t>easement</w:t>
      </w:r>
      <w:r>
        <w:rPr>
          <w:szCs w:val="20"/>
        </w:rPr>
        <w:t xml:space="preserve"> </w:t>
      </w:r>
      <w:r w:rsidRPr="002A40F3">
        <w:rPr>
          <w:szCs w:val="20"/>
        </w:rPr>
        <w:t>deed</w:t>
      </w:r>
      <w:r>
        <w:rPr>
          <w:szCs w:val="20"/>
        </w:rPr>
        <w:t xml:space="preserve"> </w:t>
      </w:r>
      <w:r w:rsidRPr="002A40F3">
        <w:rPr>
          <w:szCs w:val="20"/>
        </w:rPr>
        <w:t>in</w:t>
      </w:r>
      <w:r>
        <w:rPr>
          <w:szCs w:val="20"/>
        </w:rPr>
        <w:t xml:space="preserve"> </w:t>
      </w:r>
      <w:r w:rsidRPr="002A40F3">
        <w:rPr>
          <w:szCs w:val="20"/>
        </w:rPr>
        <w:t>this</w:t>
      </w:r>
      <w:r>
        <w:rPr>
          <w:szCs w:val="20"/>
        </w:rPr>
        <w:t xml:space="preserve"> </w:t>
      </w:r>
      <w:r w:rsidRPr="002A40F3">
        <w:rPr>
          <w:szCs w:val="20"/>
        </w:rPr>
        <w:t>case</w:t>
      </w:r>
      <w:r>
        <w:rPr>
          <w:szCs w:val="20"/>
        </w:rPr>
        <w:t xml:space="preserve"> </w:t>
      </w:r>
      <w:r w:rsidRPr="002A40F3">
        <w:rPr>
          <w:szCs w:val="20"/>
        </w:rPr>
        <w:t>does</w:t>
      </w:r>
      <w:r>
        <w:rPr>
          <w:szCs w:val="20"/>
        </w:rPr>
        <w:t xml:space="preserve"> </w:t>
      </w:r>
      <w:r w:rsidRPr="002A40F3">
        <w:rPr>
          <w:szCs w:val="20"/>
        </w:rPr>
        <w:t>not</w:t>
      </w:r>
      <w:r>
        <w:rPr>
          <w:szCs w:val="20"/>
        </w:rPr>
        <w:t xml:space="preserve"> </w:t>
      </w:r>
      <w:r w:rsidRPr="002A40F3">
        <w:rPr>
          <w:szCs w:val="20"/>
        </w:rPr>
        <w:t>satisfy</w:t>
      </w:r>
      <w:r>
        <w:rPr>
          <w:szCs w:val="20"/>
        </w:rPr>
        <w:t xml:space="preserve"> </w:t>
      </w:r>
      <w:r w:rsidRPr="002A40F3">
        <w:rPr>
          <w:szCs w:val="20"/>
        </w:rPr>
        <w:t>this</w:t>
      </w:r>
      <w:r>
        <w:rPr>
          <w:szCs w:val="20"/>
        </w:rPr>
        <w:t xml:space="preserve"> </w:t>
      </w:r>
      <w:r w:rsidRPr="002A40F3">
        <w:rPr>
          <w:szCs w:val="20"/>
        </w:rPr>
        <w:t>requirement.</w:t>
      </w:r>
      <w:r>
        <w:rPr>
          <w:szCs w:val="20"/>
        </w:rPr>
        <w:t xml:space="preserve"> </w:t>
      </w:r>
      <w:r w:rsidRPr="002A40F3">
        <w:rPr>
          <w:szCs w:val="20"/>
        </w:rPr>
        <w:t>The</w:t>
      </w:r>
      <w:r>
        <w:rPr>
          <w:szCs w:val="20"/>
        </w:rPr>
        <w:t xml:space="preserve"> </w:t>
      </w:r>
      <w:r w:rsidRPr="002A40F3">
        <w:rPr>
          <w:szCs w:val="20"/>
        </w:rPr>
        <w:t>deed</w:t>
      </w:r>
      <w:r>
        <w:rPr>
          <w:szCs w:val="20"/>
        </w:rPr>
        <w:t xml:space="preserve"> </w:t>
      </w:r>
      <w:r w:rsidRPr="002A40F3">
        <w:rPr>
          <w:szCs w:val="20"/>
        </w:rPr>
        <w:t>defines</w:t>
      </w:r>
      <w:r>
        <w:rPr>
          <w:szCs w:val="20"/>
        </w:rPr>
        <w:t xml:space="preserve"> </w:t>
      </w:r>
      <w:r w:rsidRPr="002A40F3">
        <w:rPr>
          <w:szCs w:val="20"/>
        </w:rPr>
        <w:t>the</w:t>
      </w:r>
      <w:r>
        <w:rPr>
          <w:szCs w:val="20"/>
        </w:rPr>
        <w:t xml:space="preserve"> </w:t>
      </w:r>
      <w:r w:rsidRPr="002A40F3">
        <w:rPr>
          <w:szCs w:val="20"/>
        </w:rPr>
        <w:t>donee’s</w:t>
      </w:r>
      <w:r>
        <w:rPr>
          <w:szCs w:val="20"/>
        </w:rPr>
        <w:t xml:space="preserve"> </w:t>
      </w:r>
      <w:r w:rsidRPr="002A40F3">
        <w:rPr>
          <w:szCs w:val="20"/>
        </w:rPr>
        <w:t>share</w:t>
      </w:r>
      <w:r>
        <w:rPr>
          <w:szCs w:val="20"/>
        </w:rPr>
        <w:t xml:space="preserve"> </w:t>
      </w:r>
      <w:r w:rsidRPr="002A40F3">
        <w:rPr>
          <w:szCs w:val="20"/>
        </w:rPr>
        <w:t>of</w:t>
      </w:r>
      <w:r>
        <w:rPr>
          <w:szCs w:val="20"/>
        </w:rPr>
        <w:t xml:space="preserve"> </w:t>
      </w:r>
      <w:r w:rsidRPr="002A40F3">
        <w:rPr>
          <w:szCs w:val="20"/>
        </w:rPr>
        <w:t>the</w:t>
      </w:r>
      <w:r>
        <w:rPr>
          <w:szCs w:val="20"/>
        </w:rPr>
        <w:t xml:space="preserve"> </w:t>
      </w:r>
      <w:r w:rsidRPr="002A40F3">
        <w:rPr>
          <w:szCs w:val="20"/>
        </w:rPr>
        <w:t>sale</w:t>
      </w:r>
      <w:r>
        <w:rPr>
          <w:szCs w:val="20"/>
        </w:rPr>
        <w:t xml:space="preserve"> </w:t>
      </w:r>
      <w:r w:rsidRPr="002A40F3">
        <w:rPr>
          <w:szCs w:val="20"/>
        </w:rPr>
        <w:t>proceeds</w:t>
      </w:r>
      <w:r>
        <w:rPr>
          <w:szCs w:val="20"/>
        </w:rPr>
        <w:t xml:space="preserve"> </w:t>
      </w:r>
      <w:r w:rsidRPr="002A40F3">
        <w:rPr>
          <w:szCs w:val="20"/>
        </w:rPr>
        <w:t>as</w:t>
      </w:r>
      <w:r>
        <w:rPr>
          <w:szCs w:val="20"/>
        </w:rPr>
        <w:t xml:space="preserve"> </w:t>
      </w:r>
      <w:r w:rsidRPr="002A40F3">
        <w:rPr>
          <w:szCs w:val="20"/>
        </w:rPr>
        <w:t>the</w:t>
      </w:r>
      <w:r>
        <w:rPr>
          <w:szCs w:val="20"/>
        </w:rPr>
        <w:t xml:space="preserve"> </w:t>
      </w:r>
      <w:r w:rsidRPr="002A40F3">
        <w:rPr>
          <w:szCs w:val="20"/>
        </w:rPr>
        <w:t>FMV</w:t>
      </w:r>
      <w:r>
        <w:rPr>
          <w:szCs w:val="20"/>
        </w:rPr>
        <w:t xml:space="preserve"> </w:t>
      </w:r>
      <w:r w:rsidRPr="002A40F3">
        <w:rPr>
          <w:szCs w:val="20"/>
        </w:rPr>
        <w:t>of</w:t>
      </w:r>
      <w:r>
        <w:rPr>
          <w:szCs w:val="20"/>
        </w:rPr>
        <w:t xml:space="preserve"> </w:t>
      </w:r>
      <w:r w:rsidRPr="002A40F3">
        <w:rPr>
          <w:szCs w:val="20"/>
        </w:rPr>
        <w:t>the</w:t>
      </w:r>
      <w:r>
        <w:rPr>
          <w:szCs w:val="20"/>
        </w:rPr>
        <w:t xml:space="preserve"> </w:t>
      </w:r>
      <w:r w:rsidRPr="002A40F3">
        <w:rPr>
          <w:szCs w:val="20"/>
        </w:rPr>
        <w:t>easement,</w:t>
      </w:r>
      <w:r>
        <w:rPr>
          <w:szCs w:val="20"/>
        </w:rPr>
        <w:t xml:space="preserve"> </w:t>
      </w:r>
      <w:r w:rsidRPr="002A40F3">
        <w:rPr>
          <w:szCs w:val="20"/>
        </w:rPr>
        <w:t>determined</w:t>
      </w:r>
      <w:r>
        <w:rPr>
          <w:szCs w:val="20"/>
        </w:rPr>
        <w:t xml:space="preserve"> </w:t>
      </w:r>
      <w:r w:rsidRPr="002A40F3">
        <w:rPr>
          <w:szCs w:val="20"/>
        </w:rPr>
        <w:t>“as</w:t>
      </w:r>
      <w:r>
        <w:rPr>
          <w:szCs w:val="20"/>
        </w:rPr>
        <w:t xml:space="preserve"> </w:t>
      </w:r>
      <w:r w:rsidRPr="002A40F3">
        <w:rPr>
          <w:szCs w:val="20"/>
        </w:rPr>
        <w:t>of</w:t>
      </w:r>
      <w:r>
        <w:rPr>
          <w:szCs w:val="20"/>
        </w:rPr>
        <w:t xml:space="preserve"> </w:t>
      </w:r>
      <w:r w:rsidRPr="002A40F3">
        <w:rPr>
          <w:szCs w:val="20"/>
        </w:rPr>
        <w:t>the</w:t>
      </w:r>
      <w:r>
        <w:rPr>
          <w:szCs w:val="20"/>
        </w:rPr>
        <w:t xml:space="preserve"> </w:t>
      </w:r>
      <w:r w:rsidRPr="002A40F3">
        <w:rPr>
          <w:szCs w:val="20"/>
        </w:rPr>
        <w:t>date</w:t>
      </w:r>
      <w:r>
        <w:rPr>
          <w:szCs w:val="20"/>
        </w:rPr>
        <w:t xml:space="preserve"> </w:t>
      </w:r>
      <w:r w:rsidRPr="002A40F3">
        <w:rPr>
          <w:szCs w:val="20"/>
        </w:rPr>
        <w:t>of</w:t>
      </w:r>
      <w:r>
        <w:rPr>
          <w:szCs w:val="20"/>
        </w:rPr>
        <w:t xml:space="preserve"> </w:t>
      </w:r>
      <w:r w:rsidRPr="002A40F3">
        <w:rPr>
          <w:szCs w:val="20"/>
        </w:rPr>
        <w:t>this</w:t>
      </w:r>
      <w:r>
        <w:rPr>
          <w:szCs w:val="20"/>
        </w:rPr>
        <w:t xml:space="preserve"> </w:t>
      </w:r>
      <w:r w:rsidRPr="002A40F3">
        <w:rPr>
          <w:szCs w:val="20"/>
        </w:rPr>
        <w:t>Conservation</w:t>
      </w:r>
      <w:r>
        <w:rPr>
          <w:szCs w:val="20"/>
        </w:rPr>
        <w:t xml:space="preserve"> </w:t>
      </w:r>
      <w:r w:rsidRPr="002A40F3">
        <w:rPr>
          <w:szCs w:val="20"/>
        </w:rPr>
        <w:t>Easement.”</w:t>
      </w:r>
      <w:r>
        <w:rPr>
          <w:szCs w:val="20"/>
        </w:rPr>
        <w:t xml:space="preserve"> </w:t>
      </w:r>
      <w:r w:rsidRPr="002A40F3">
        <w:rPr>
          <w:szCs w:val="20"/>
        </w:rPr>
        <w:t>The</w:t>
      </w:r>
      <w:r>
        <w:rPr>
          <w:szCs w:val="20"/>
        </w:rPr>
        <w:t xml:space="preserve"> </w:t>
      </w:r>
      <w:r w:rsidRPr="002A40F3">
        <w:rPr>
          <w:szCs w:val="20"/>
        </w:rPr>
        <w:t>donee’s</w:t>
      </w:r>
      <w:r>
        <w:rPr>
          <w:szCs w:val="20"/>
        </w:rPr>
        <w:t xml:space="preserve"> </w:t>
      </w:r>
      <w:r w:rsidRPr="002A40F3">
        <w:rPr>
          <w:szCs w:val="20"/>
        </w:rPr>
        <w:t>share</w:t>
      </w:r>
      <w:r>
        <w:rPr>
          <w:szCs w:val="20"/>
        </w:rPr>
        <w:t xml:space="preserve"> </w:t>
      </w:r>
      <w:r w:rsidRPr="002A40F3">
        <w:rPr>
          <w:szCs w:val="20"/>
        </w:rPr>
        <w:t>is</w:t>
      </w:r>
      <w:r>
        <w:rPr>
          <w:szCs w:val="20"/>
        </w:rPr>
        <w:t xml:space="preserve"> </w:t>
      </w:r>
      <w:r w:rsidRPr="002A40F3">
        <w:rPr>
          <w:szCs w:val="20"/>
        </w:rPr>
        <w:t>thus</w:t>
      </w:r>
      <w:r>
        <w:rPr>
          <w:szCs w:val="20"/>
        </w:rPr>
        <w:t xml:space="preserve"> </w:t>
      </w:r>
      <w:r w:rsidRPr="002A40F3">
        <w:rPr>
          <w:szCs w:val="20"/>
        </w:rPr>
        <w:t>restricted</w:t>
      </w:r>
      <w:r>
        <w:rPr>
          <w:szCs w:val="20"/>
        </w:rPr>
        <w:t xml:space="preserve"> </w:t>
      </w:r>
      <w:r w:rsidRPr="002A40F3">
        <w:rPr>
          <w:szCs w:val="20"/>
        </w:rPr>
        <w:t>to</w:t>
      </w:r>
      <w:r>
        <w:rPr>
          <w:szCs w:val="20"/>
        </w:rPr>
        <w:t xml:space="preserve"> </w:t>
      </w:r>
      <w:r w:rsidRPr="002A40F3">
        <w:rPr>
          <w:szCs w:val="20"/>
        </w:rPr>
        <w:t>“a</w:t>
      </w:r>
      <w:r>
        <w:rPr>
          <w:szCs w:val="20"/>
        </w:rPr>
        <w:t xml:space="preserve"> </w:t>
      </w:r>
      <w:r w:rsidRPr="002A40F3">
        <w:rPr>
          <w:szCs w:val="20"/>
        </w:rPr>
        <w:t>date-of-gift</w:t>
      </w:r>
      <w:r>
        <w:rPr>
          <w:szCs w:val="20"/>
        </w:rPr>
        <w:t xml:space="preserve"> </w:t>
      </w:r>
      <w:r w:rsidRPr="002A40F3">
        <w:rPr>
          <w:szCs w:val="20"/>
        </w:rPr>
        <w:t>value</w:t>
      </w:r>
      <w:r>
        <w:rPr>
          <w:szCs w:val="20"/>
        </w:rPr>
        <w:t xml:space="preserve"> </w:t>
      </w:r>
      <w:r w:rsidRPr="002A40F3">
        <w:rPr>
          <w:szCs w:val="20"/>
        </w:rPr>
        <w:t>that</w:t>
      </w:r>
      <w:r>
        <w:rPr>
          <w:szCs w:val="20"/>
        </w:rPr>
        <w:t xml:space="preserve"> </w:t>
      </w:r>
      <w:r w:rsidRPr="002A40F3">
        <w:rPr>
          <w:szCs w:val="20"/>
        </w:rPr>
        <w:t>would</w:t>
      </w:r>
      <w:r>
        <w:rPr>
          <w:szCs w:val="20"/>
        </w:rPr>
        <w:t xml:space="preserve"> </w:t>
      </w:r>
      <w:r w:rsidRPr="002A40F3">
        <w:rPr>
          <w:szCs w:val="20"/>
        </w:rPr>
        <w:t>exclude</w:t>
      </w:r>
      <w:r>
        <w:rPr>
          <w:szCs w:val="20"/>
        </w:rPr>
        <w:t xml:space="preserve"> </w:t>
      </w:r>
      <w:r w:rsidRPr="002A40F3">
        <w:rPr>
          <w:szCs w:val="20"/>
        </w:rPr>
        <w:t>subsequent</w:t>
      </w:r>
      <w:r>
        <w:rPr>
          <w:szCs w:val="20"/>
        </w:rPr>
        <w:t xml:space="preserve"> </w:t>
      </w:r>
      <w:r w:rsidRPr="002A40F3">
        <w:rPr>
          <w:szCs w:val="20"/>
        </w:rPr>
        <w:t>appreciation.”</w:t>
      </w:r>
      <w:r>
        <w:rPr>
          <w:szCs w:val="20"/>
        </w:rPr>
        <w:t xml:space="preserve"> </w:t>
      </w:r>
      <w:r w:rsidRPr="002A40F3">
        <w:rPr>
          <w:szCs w:val="20"/>
          <w:u w:val="single"/>
        </w:rPr>
        <w:t>R.R.</w:t>
      </w:r>
      <w:r>
        <w:rPr>
          <w:szCs w:val="20"/>
          <w:u w:val="single"/>
        </w:rPr>
        <w:t xml:space="preserve"> </w:t>
      </w:r>
      <w:r w:rsidRPr="002A40F3">
        <w:rPr>
          <w:szCs w:val="20"/>
          <w:u w:val="single"/>
        </w:rPr>
        <w:t>Holdings</w:t>
      </w:r>
      <w:r w:rsidRPr="002A40F3">
        <w:rPr>
          <w:szCs w:val="20"/>
        </w:rPr>
        <w:t>,</w:t>
      </w:r>
      <w:r>
        <w:rPr>
          <w:szCs w:val="20"/>
        </w:rPr>
        <w:t xml:space="preserve"> </w:t>
      </w:r>
      <w:r w:rsidRPr="002A40F3">
        <w:rPr>
          <w:szCs w:val="20"/>
        </w:rPr>
        <w:t>at</w:t>
      </w:r>
      <w:r>
        <w:rPr>
          <w:szCs w:val="20"/>
        </w:rPr>
        <w:t xml:space="preserve"> </w:t>
      </w:r>
      <w:r w:rsidRPr="002A40F3">
        <w:rPr>
          <w:szCs w:val="20"/>
        </w:rPr>
        <w:t>*13.</w:t>
      </w:r>
      <w:r>
        <w:rPr>
          <w:szCs w:val="20"/>
        </w:rPr>
        <w:t xml:space="preserve"> </w:t>
      </w:r>
      <w:r w:rsidRPr="002A40F3">
        <w:rPr>
          <w:szCs w:val="20"/>
        </w:rPr>
        <w:t>The</w:t>
      </w:r>
      <w:r>
        <w:rPr>
          <w:szCs w:val="20"/>
        </w:rPr>
        <w:t xml:space="preserve"> </w:t>
      </w:r>
      <w:r w:rsidRPr="002A40F3">
        <w:rPr>
          <w:szCs w:val="20"/>
        </w:rPr>
        <w:t>donee</w:t>
      </w:r>
      <w:r>
        <w:rPr>
          <w:szCs w:val="20"/>
        </w:rPr>
        <w:t xml:space="preserve"> </w:t>
      </w:r>
      <w:r w:rsidRPr="002A40F3">
        <w:rPr>
          <w:szCs w:val="20"/>
        </w:rPr>
        <w:t>would</w:t>
      </w:r>
      <w:r>
        <w:rPr>
          <w:szCs w:val="20"/>
        </w:rPr>
        <w:t xml:space="preserve"> </w:t>
      </w:r>
      <w:r w:rsidRPr="002A40F3">
        <w:rPr>
          <w:szCs w:val="20"/>
        </w:rPr>
        <w:t>accordingly</w:t>
      </w:r>
      <w:r>
        <w:rPr>
          <w:szCs w:val="20"/>
        </w:rPr>
        <w:t xml:space="preserve"> </w:t>
      </w:r>
      <w:r w:rsidRPr="002A40F3">
        <w:rPr>
          <w:szCs w:val="20"/>
        </w:rPr>
        <w:t>“watch</w:t>
      </w:r>
      <w:r>
        <w:rPr>
          <w:szCs w:val="20"/>
        </w:rPr>
        <w:t xml:space="preserve"> </w:t>
      </w:r>
      <w:r w:rsidRPr="002A40F3">
        <w:rPr>
          <w:szCs w:val="20"/>
        </w:rPr>
        <w:t>its</w:t>
      </w:r>
      <w:r>
        <w:rPr>
          <w:szCs w:val="20"/>
        </w:rPr>
        <w:t xml:space="preserve"> </w:t>
      </w:r>
      <w:r w:rsidRPr="002A40F3">
        <w:rPr>
          <w:szCs w:val="20"/>
        </w:rPr>
        <w:t>proportion</w:t>
      </w:r>
      <w:r>
        <w:rPr>
          <w:szCs w:val="20"/>
        </w:rPr>
        <w:t xml:space="preserve"> </w:t>
      </w:r>
      <w:r w:rsidRPr="002A40F3">
        <w:rPr>
          <w:szCs w:val="20"/>
        </w:rPr>
        <w:t>of</w:t>
      </w:r>
      <w:r>
        <w:rPr>
          <w:szCs w:val="20"/>
        </w:rPr>
        <w:t xml:space="preserve"> </w:t>
      </w:r>
      <w:r w:rsidRPr="002A40F3">
        <w:rPr>
          <w:szCs w:val="20"/>
        </w:rPr>
        <w:t>potential</w:t>
      </w:r>
      <w:r>
        <w:rPr>
          <w:szCs w:val="20"/>
        </w:rPr>
        <w:t xml:space="preserve"> </w:t>
      </w:r>
      <w:r w:rsidRPr="002A40F3">
        <w:rPr>
          <w:szCs w:val="20"/>
        </w:rPr>
        <w:t>extinguishment</w:t>
      </w:r>
      <w:r>
        <w:rPr>
          <w:szCs w:val="20"/>
        </w:rPr>
        <w:t xml:space="preserve"> </w:t>
      </w:r>
      <w:r w:rsidRPr="002A40F3">
        <w:rPr>
          <w:szCs w:val="20"/>
        </w:rPr>
        <w:t>proceeds</w:t>
      </w:r>
      <w:r>
        <w:rPr>
          <w:szCs w:val="20"/>
        </w:rPr>
        <w:t xml:space="preserve"> </w:t>
      </w:r>
      <w:r w:rsidRPr="002A40F3">
        <w:rPr>
          <w:szCs w:val="20"/>
        </w:rPr>
        <w:t>shrink</w:t>
      </w:r>
      <w:r>
        <w:rPr>
          <w:szCs w:val="20"/>
        </w:rPr>
        <w:t xml:space="preserve"> </w:t>
      </w:r>
      <w:r w:rsidRPr="002A40F3">
        <w:rPr>
          <w:szCs w:val="20"/>
        </w:rPr>
        <w:t>over</w:t>
      </w:r>
      <w:r>
        <w:rPr>
          <w:szCs w:val="20"/>
        </w:rPr>
        <w:t xml:space="preserve"> </w:t>
      </w:r>
      <w:r w:rsidRPr="002A40F3">
        <w:rPr>
          <w:szCs w:val="20"/>
        </w:rPr>
        <w:t>the</w:t>
      </w:r>
      <w:r>
        <w:rPr>
          <w:szCs w:val="20"/>
        </w:rPr>
        <w:t xml:space="preserve"> </w:t>
      </w:r>
      <w:r w:rsidRPr="002A40F3">
        <w:rPr>
          <w:szCs w:val="20"/>
        </w:rPr>
        <w:t>years</w:t>
      </w:r>
      <w:r>
        <w:rPr>
          <w:szCs w:val="20"/>
        </w:rPr>
        <w:t xml:space="preserve"> </w:t>
      </w:r>
      <w:r w:rsidRPr="002A40F3">
        <w:rPr>
          <w:szCs w:val="20"/>
        </w:rPr>
        <w:t>if</w:t>
      </w:r>
      <w:r>
        <w:rPr>
          <w:szCs w:val="20"/>
        </w:rPr>
        <w:t xml:space="preserve"> </w:t>
      </w:r>
      <w:r w:rsidRPr="002A40F3">
        <w:rPr>
          <w:szCs w:val="20"/>
        </w:rPr>
        <w:t>the</w:t>
      </w:r>
      <w:r>
        <w:rPr>
          <w:szCs w:val="20"/>
        </w:rPr>
        <w:t xml:space="preserve"> </w:t>
      </w:r>
      <w:r w:rsidRPr="002A40F3">
        <w:rPr>
          <w:szCs w:val="20"/>
        </w:rPr>
        <w:t>underlying</w:t>
      </w:r>
      <w:r>
        <w:rPr>
          <w:szCs w:val="20"/>
        </w:rPr>
        <w:t xml:space="preserve"> </w:t>
      </w:r>
      <w:r w:rsidRPr="002A40F3">
        <w:rPr>
          <w:szCs w:val="20"/>
        </w:rPr>
        <w:t>property</w:t>
      </w:r>
      <w:r>
        <w:rPr>
          <w:szCs w:val="20"/>
        </w:rPr>
        <w:t xml:space="preserve"> </w:t>
      </w:r>
      <w:r w:rsidRPr="002A40F3">
        <w:rPr>
          <w:szCs w:val="20"/>
        </w:rPr>
        <w:t>appreciates.”</w:t>
      </w:r>
      <w:r>
        <w:rPr>
          <w:szCs w:val="20"/>
        </w:rPr>
        <w:t xml:space="preserve"> </w:t>
      </w:r>
      <w:r w:rsidRPr="002A40F3">
        <w:rPr>
          <w:szCs w:val="20"/>
          <w:u w:val="single"/>
        </w:rPr>
        <w:t>Ibid.</w:t>
      </w:r>
      <w:r>
        <w:rPr>
          <w:szCs w:val="20"/>
        </w:rPr>
        <w:t xml:space="preserve"> </w:t>
      </w:r>
      <w:r w:rsidRPr="002A40F3">
        <w:rPr>
          <w:szCs w:val="20"/>
        </w:rPr>
        <w:t>This</w:t>
      </w:r>
      <w:r>
        <w:rPr>
          <w:szCs w:val="20"/>
        </w:rPr>
        <w:t xml:space="preserve"> </w:t>
      </w:r>
      <w:r w:rsidRPr="002A40F3">
        <w:rPr>
          <w:szCs w:val="20"/>
        </w:rPr>
        <w:t>shrinking</w:t>
      </w:r>
      <w:r>
        <w:rPr>
          <w:szCs w:val="20"/>
        </w:rPr>
        <w:t xml:space="preserve"> </w:t>
      </w:r>
      <w:r w:rsidRPr="002A40F3">
        <w:rPr>
          <w:szCs w:val="20"/>
        </w:rPr>
        <w:t>value</w:t>
      </w:r>
      <w:r>
        <w:rPr>
          <w:szCs w:val="20"/>
        </w:rPr>
        <w:t xml:space="preserve"> </w:t>
      </w:r>
      <w:r w:rsidRPr="002A40F3">
        <w:rPr>
          <w:szCs w:val="20"/>
        </w:rPr>
        <w:t>does</w:t>
      </w:r>
      <w:r>
        <w:rPr>
          <w:szCs w:val="20"/>
        </w:rPr>
        <w:t xml:space="preserve"> </w:t>
      </w:r>
      <w:r w:rsidRPr="002A40F3">
        <w:rPr>
          <w:szCs w:val="20"/>
        </w:rPr>
        <w:t>not</w:t>
      </w:r>
      <w:r>
        <w:rPr>
          <w:szCs w:val="20"/>
        </w:rPr>
        <w:t xml:space="preserve"> </w:t>
      </w:r>
      <w:r w:rsidRPr="002A40F3">
        <w:rPr>
          <w:szCs w:val="20"/>
        </w:rPr>
        <w:t>equal</w:t>
      </w:r>
      <w:r>
        <w:rPr>
          <w:szCs w:val="20"/>
        </w:rPr>
        <w:t xml:space="preserve"> </w:t>
      </w:r>
      <w:r w:rsidRPr="002A40F3">
        <w:rPr>
          <w:szCs w:val="20"/>
        </w:rPr>
        <w:t>the</w:t>
      </w:r>
      <w:r>
        <w:rPr>
          <w:szCs w:val="20"/>
        </w:rPr>
        <w:t xml:space="preserve"> </w:t>
      </w:r>
      <w:r w:rsidRPr="002A40F3">
        <w:rPr>
          <w:szCs w:val="20"/>
        </w:rPr>
        <w:t>“proportionate</w:t>
      </w:r>
      <w:r>
        <w:rPr>
          <w:szCs w:val="20"/>
        </w:rPr>
        <w:t xml:space="preserve"> </w:t>
      </w:r>
      <w:r w:rsidRPr="002A40F3">
        <w:rPr>
          <w:szCs w:val="20"/>
        </w:rPr>
        <w:t>value”</w:t>
      </w:r>
      <w:r>
        <w:rPr>
          <w:szCs w:val="20"/>
        </w:rPr>
        <w:t xml:space="preserve"> </w:t>
      </w:r>
      <w:r w:rsidRPr="002A40F3">
        <w:rPr>
          <w:szCs w:val="20"/>
        </w:rPr>
        <w:t>of</w:t>
      </w:r>
      <w:r>
        <w:rPr>
          <w:szCs w:val="20"/>
        </w:rPr>
        <w:t xml:space="preserve"> </w:t>
      </w:r>
      <w:r w:rsidRPr="002A40F3">
        <w:rPr>
          <w:szCs w:val="20"/>
        </w:rPr>
        <w:t>the</w:t>
      </w:r>
      <w:r>
        <w:rPr>
          <w:szCs w:val="20"/>
        </w:rPr>
        <w:t xml:space="preserve"> </w:t>
      </w:r>
      <w:r w:rsidRPr="002A40F3">
        <w:rPr>
          <w:szCs w:val="20"/>
        </w:rPr>
        <w:t>sale</w:t>
      </w:r>
      <w:r>
        <w:rPr>
          <w:szCs w:val="20"/>
        </w:rPr>
        <w:t xml:space="preserve"> </w:t>
      </w:r>
      <w:r w:rsidRPr="002A40F3">
        <w:rPr>
          <w:szCs w:val="20"/>
        </w:rPr>
        <w:t>proceeds</w:t>
      </w:r>
      <w:r>
        <w:rPr>
          <w:szCs w:val="20"/>
        </w:rPr>
        <w:t xml:space="preserve"> </w:t>
      </w:r>
      <w:r w:rsidRPr="002A40F3">
        <w:rPr>
          <w:szCs w:val="20"/>
        </w:rPr>
        <w:t>that</w:t>
      </w:r>
      <w:r>
        <w:rPr>
          <w:szCs w:val="20"/>
        </w:rPr>
        <w:t xml:space="preserve"> </w:t>
      </w:r>
      <w:r w:rsidRPr="002A40F3">
        <w:rPr>
          <w:szCs w:val="20"/>
        </w:rPr>
        <w:t>the</w:t>
      </w:r>
      <w:r>
        <w:rPr>
          <w:szCs w:val="20"/>
        </w:rPr>
        <w:t xml:space="preserve"> </w:t>
      </w:r>
      <w:r w:rsidRPr="002A40F3">
        <w:rPr>
          <w:szCs w:val="20"/>
        </w:rPr>
        <w:t>regulation</w:t>
      </w:r>
      <w:r>
        <w:rPr>
          <w:szCs w:val="20"/>
        </w:rPr>
        <w:t xml:space="preserve"> </w:t>
      </w:r>
      <w:r w:rsidRPr="002A40F3">
        <w:rPr>
          <w:szCs w:val="20"/>
        </w:rPr>
        <w:t>mandates</w:t>
      </w:r>
      <w:r>
        <w:rPr>
          <w:szCs w:val="20"/>
        </w:rPr>
        <w:t xml:space="preserve"> </w:t>
      </w:r>
      <w:r w:rsidRPr="002A40F3">
        <w:rPr>
          <w:szCs w:val="20"/>
        </w:rPr>
        <w:t>that</w:t>
      </w:r>
      <w:r>
        <w:rPr>
          <w:szCs w:val="20"/>
        </w:rPr>
        <w:t xml:space="preserve"> </w:t>
      </w:r>
      <w:r w:rsidRPr="002A40F3">
        <w:rPr>
          <w:szCs w:val="20"/>
        </w:rPr>
        <w:t>the</w:t>
      </w:r>
      <w:r>
        <w:rPr>
          <w:szCs w:val="20"/>
        </w:rPr>
        <w:t xml:space="preserve"> </w:t>
      </w:r>
      <w:r w:rsidRPr="002A40F3">
        <w:rPr>
          <w:szCs w:val="20"/>
        </w:rPr>
        <w:t>donee</w:t>
      </w:r>
      <w:r>
        <w:rPr>
          <w:szCs w:val="20"/>
        </w:rPr>
        <w:t xml:space="preserve"> </w:t>
      </w:r>
      <w:r w:rsidRPr="002A40F3">
        <w:rPr>
          <w:szCs w:val="20"/>
        </w:rPr>
        <w:t>receive.</w:t>
      </w:r>
    </w:p>
    <w:p w:rsidR="007649DB" w:rsidRDefault="007649DB" w:rsidP="007649DB">
      <w:pPr>
        <w:pStyle w:val="Body15"/>
        <w:spacing w:before="240"/>
        <w:rPr>
          <w:color w:val="000000" w:themeColor="text1"/>
        </w:rPr>
      </w:pPr>
      <w:r>
        <w:rPr>
          <w:color w:val="000000" w:themeColor="text1"/>
        </w:rPr>
        <w:t>The court notes other similar cases:</w:t>
      </w:r>
    </w:p>
    <w:p w:rsidR="007649DB" w:rsidRPr="002A40F3" w:rsidRDefault="007649DB" w:rsidP="007649DB">
      <w:pPr>
        <w:pStyle w:val="QS10"/>
      </w:pPr>
      <w:r w:rsidRPr="002A40F3">
        <w:t>As</w:t>
      </w:r>
      <w:r>
        <w:t xml:space="preserve"> </w:t>
      </w:r>
      <w:r w:rsidRPr="002A40F3">
        <w:t>petitioner</w:t>
      </w:r>
      <w:r>
        <w:t xml:space="preserve"> </w:t>
      </w:r>
      <w:r w:rsidRPr="002A40F3">
        <w:t>acknowledges,</w:t>
      </w:r>
      <w:r>
        <w:t xml:space="preserve"> </w:t>
      </w:r>
      <w:r w:rsidRPr="002A40F3">
        <w:t>the</w:t>
      </w:r>
      <w:r>
        <w:t xml:space="preserve"> </w:t>
      </w:r>
      <w:r w:rsidRPr="002A40F3">
        <w:t>question</w:t>
      </w:r>
      <w:r>
        <w:t xml:space="preserve"> </w:t>
      </w:r>
      <w:r w:rsidRPr="002A40F3">
        <w:t>presented</w:t>
      </w:r>
      <w:r>
        <w:t xml:space="preserve"> </w:t>
      </w:r>
      <w:r w:rsidRPr="002A40F3">
        <w:t>by</w:t>
      </w:r>
      <w:r>
        <w:t xml:space="preserve"> </w:t>
      </w:r>
      <w:r w:rsidRPr="002A40F3">
        <w:t>respondent’s</w:t>
      </w:r>
      <w:r>
        <w:t xml:space="preserve"> </w:t>
      </w:r>
      <w:r w:rsidRPr="002A40F3">
        <w:t>motion</w:t>
      </w:r>
      <w:r>
        <w:t xml:space="preserve"> </w:t>
      </w:r>
      <w:r w:rsidRPr="002A40F3">
        <w:t>is</w:t>
      </w:r>
      <w:r>
        <w:t xml:space="preserve"> </w:t>
      </w:r>
      <w:r w:rsidRPr="002A40F3">
        <w:t>identical,</w:t>
      </w:r>
      <w:r>
        <w:t xml:space="preserve"> </w:t>
      </w:r>
      <w:r w:rsidRPr="002A40F3">
        <w:t>“with</w:t>
      </w:r>
      <w:r>
        <w:t xml:space="preserve"> </w:t>
      </w:r>
      <w:r w:rsidRPr="002A40F3">
        <w:t>similar</w:t>
      </w:r>
      <w:r>
        <w:t xml:space="preserve"> </w:t>
      </w:r>
      <w:r w:rsidRPr="002A40F3">
        <w:t>conservation</w:t>
      </w:r>
      <w:r>
        <w:t xml:space="preserve"> </w:t>
      </w:r>
      <w:r w:rsidRPr="002A40F3">
        <w:t>easement</w:t>
      </w:r>
      <w:r>
        <w:t xml:space="preserve"> </w:t>
      </w:r>
      <w:r w:rsidRPr="002A40F3">
        <w:t>language,”</w:t>
      </w:r>
      <w:r>
        <w:t xml:space="preserve"> </w:t>
      </w:r>
      <w:r w:rsidRPr="002A40F3">
        <w:t>to</w:t>
      </w:r>
      <w:r>
        <w:t xml:space="preserve"> </w:t>
      </w:r>
      <w:r w:rsidRPr="002A40F3">
        <w:t>the</w:t>
      </w:r>
      <w:r>
        <w:t xml:space="preserve"> </w:t>
      </w:r>
      <w:r w:rsidRPr="002A40F3">
        <w:t>question</w:t>
      </w:r>
      <w:r>
        <w:t xml:space="preserve"> </w:t>
      </w:r>
      <w:r w:rsidRPr="002A40F3">
        <w:t>decided</w:t>
      </w:r>
      <w:r>
        <w:t xml:space="preserve"> </w:t>
      </w:r>
      <w:r w:rsidRPr="002A40F3">
        <w:t>adversely</w:t>
      </w:r>
      <w:r>
        <w:t xml:space="preserve"> </w:t>
      </w:r>
      <w:r w:rsidRPr="002A40F3">
        <w:t>to</w:t>
      </w:r>
      <w:r>
        <w:t xml:space="preserve"> </w:t>
      </w:r>
      <w:r w:rsidRPr="002A40F3">
        <w:t>the</w:t>
      </w:r>
      <w:r>
        <w:t xml:space="preserve"> </w:t>
      </w:r>
      <w:r w:rsidRPr="002A40F3">
        <w:t>taxpayer</w:t>
      </w:r>
      <w:r>
        <w:t xml:space="preserve"> </w:t>
      </w:r>
      <w:r w:rsidRPr="002A40F3">
        <w:t>in</w:t>
      </w:r>
      <w:r>
        <w:t xml:space="preserve"> </w:t>
      </w:r>
      <w:r w:rsidRPr="002A40F3">
        <w:rPr>
          <w:u w:val="single"/>
        </w:rPr>
        <w:t>R.R.</w:t>
      </w:r>
      <w:r>
        <w:rPr>
          <w:u w:val="single"/>
        </w:rPr>
        <w:t xml:space="preserve"> </w:t>
      </w:r>
      <w:r w:rsidRPr="002A40F3">
        <w:rPr>
          <w:u w:val="single"/>
        </w:rPr>
        <w:t>Holdings,</w:t>
      </w:r>
      <w:r>
        <w:rPr>
          <w:u w:val="single"/>
        </w:rPr>
        <w:t xml:space="preserve"> </w:t>
      </w:r>
      <w:r w:rsidRPr="002A40F3">
        <w:rPr>
          <w:u w:val="single"/>
        </w:rPr>
        <w:t>LLC</w:t>
      </w:r>
      <w:r>
        <w:rPr>
          <w:u w:val="single"/>
        </w:rPr>
        <w:t xml:space="preserve"> </w:t>
      </w:r>
      <w:r w:rsidRPr="002A40F3">
        <w:rPr>
          <w:u w:val="single"/>
        </w:rPr>
        <w:t>v.</w:t>
      </w:r>
      <w:r>
        <w:rPr>
          <w:u w:val="single"/>
        </w:rPr>
        <w:t xml:space="preserve"> </w:t>
      </w:r>
      <w:r w:rsidRPr="002A40F3">
        <w:rPr>
          <w:u w:val="single"/>
        </w:rPr>
        <w:t>Commissioner</w:t>
      </w:r>
      <w:r w:rsidRPr="002A40F3">
        <w:t>,</w:t>
      </w:r>
      <w:r>
        <w:t xml:space="preserve"> </w:t>
      </w:r>
      <w:r w:rsidRPr="002A40F3">
        <w:t>T.C.</w:t>
      </w:r>
      <w:r>
        <w:t xml:space="preserve"> </w:t>
      </w:r>
      <w:r w:rsidRPr="002A40F3">
        <w:t>Memo.</w:t>
      </w:r>
      <w:r>
        <w:t xml:space="preserve"> </w:t>
      </w:r>
      <w:r w:rsidRPr="002A40F3">
        <w:t>2020-22,</w:t>
      </w:r>
      <w:r>
        <w:t xml:space="preserve"> </w:t>
      </w:r>
      <w:r w:rsidRPr="002A40F3">
        <w:t>and</w:t>
      </w:r>
      <w:r>
        <w:t xml:space="preserve"> </w:t>
      </w:r>
      <w:r w:rsidRPr="002A40F3">
        <w:rPr>
          <w:u w:val="single"/>
        </w:rPr>
        <w:t>Oakbrook</w:t>
      </w:r>
      <w:r>
        <w:rPr>
          <w:u w:val="single"/>
        </w:rPr>
        <w:t xml:space="preserve"> </w:t>
      </w:r>
      <w:r w:rsidRPr="002A40F3">
        <w:rPr>
          <w:u w:val="single"/>
        </w:rPr>
        <w:t>Land</w:t>
      </w:r>
      <w:r>
        <w:rPr>
          <w:u w:val="single"/>
        </w:rPr>
        <w:t xml:space="preserve"> </w:t>
      </w:r>
      <w:r w:rsidRPr="002A40F3">
        <w:rPr>
          <w:u w:val="single"/>
        </w:rPr>
        <w:t>Holdings,</w:t>
      </w:r>
      <w:r>
        <w:rPr>
          <w:u w:val="single"/>
        </w:rPr>
        <w:t xml:space="preserve"> </w:t>
      </w:r>
      <w:r w:rsidRPr="002A40F3">
        <w:rPr>
          <w:u w:val="single"/>
        </w:rPr>
        <w:t>LLC</w:t>
      </w:r>
      <w:r>
        <w:rPr>
          <w:u w:val="single"/>
        </w:rPr>
        <w:t xml:space="preserve"> </w:t>
      </w:r>
      <w:r w:rsidRPr="002A40F3">
        <w:rPr>
          <w:u w:val="single"/>
        </w:rPr>
        <w:t>v.</w:t>
      </w:r>
      <w:r>
        <w:rPr>
          <w:u w:val="single"/>
        </w:rPr>
        <w:t xml:space="preserve"> </w:t>
      </w:r>
      <w:r w:rsidRPr="002A40F3">
        <w:rPr>
          <w:u w:val="single"/>
        </w:rPr>
        <w:t>Commissioner</w:t>
      </w:r>
      <w:r w:rsidRPr="002A40F3">
        <w:t>,</w:t>
      </w:r>
      <w:r>
        <w:t xml:space="preserve"> </w:t>
      </w:r>
      <w:r w:rsidRPr="002A40F3">
        <w:t>T.C.</w:t>
      </w:r>
      <w:r>
        <w:t xml:space="preserve"> </w:t>
      </w:r>
      <w:r w:rsidRPr="002A40F3">
        <w:t>Memo.</w:t>
      </w:r>
      <w:r>
        <w:t xml:space="preserve"> </w:t>
      </w:r>
      <w:r w:rsidRPr="002A40F3">
        <w:t>2020-54.</w:t>
      </w:r>
      <w:r>
        <w:t xml:space="preserve"> </w:t>
      </w:r>
      <w:r w:rsidRPr="002A40F3">
        <w:t>This</w:t>
      </w:r>
      <w:r>
        <w:t xml:space="preserve"> </w:t>
      </w:r>
      <w:r w:rsidRPr="002A40F3">
        <w:t>question</w:t>
      </w:r>
      <w:r>
        <w:t xml:space="preserve"> </w:t>
      </w:r>
      <w:r w:rsidRPr="002A40F3">
        <w:t>is</w:t>
      </w:r>
      <w:r>
        <w:t xml:space="preserve"> </w:t>
      </w:r>
      <w:r w:rsidRPr="002A40F3">
        <w:t>substantially</w:t>
      </w:r>
      <w:r>
        <w:t xml:space="preserve"> </w:t>
      </w:r>
      <w:r w:rsidRPr="002A40F3">
        <w:t>similar</w:t>
      </w:r>
      <w:r>
        <w:t xml:space="preserve"> </w:t>
      </w:r>
      <w:r w:rsidRPr="002A40F3">
        <w:t>to</w:t>
      </w:r>
      <w:r>
        <w:t xml:space="preserve"> </w:t>
      </w:r>
      <w:r w:rsidRPr="002A40F3">
        <w:t>that</w:t>
      </w:r>
      <w:r>
        <w:t xml:space="preserve"> </w:t>
      </w:r>
      <w:r w:rsidRPr="002A40F3">
        <w:t>decided</w:t>
      </w:r>
      <w:r>
        <w:t xml:space="preserve"> </w:t>
      </w:r>
      <w:r w:rsidRPr="002A40F3">
        <w:t>adversely</w:t>
      </w:r>
      <w:r>
        <w:t xml:space="preserve"> </w:t>
      </w:r>
      <w:r w:rsidRPr="002A40F3">
        <w:t>to</w:t>
      </w:r>
      <w:r>
        <w:t xml:space="preserve"> </w:t>
      </w:r>
      <w:r w:rsidRPr="002A40F3">
        <w:t>the</w:t>
      </w:r>
      <w:r>
        <w:t xml:space="preserve"> </w:t>
      </w:r>
      <w:r w:rsidRPr="002A40F3">
        <w:t>taxpayer</w:t>
      </w:r>
      <w:r>
        <w:t xml:space="preserve"> </w:t>
      </w:r>
      <w:r w:rsidRPr="002A40F3">
        <w:t>in</w:t>
      </w:r>
      <w:r>
        <w:t xml:space="preserve"> </w:t>
      </w:r>
      <w:r w:rsidRPr="002A40F3">
        <w:rPr>
          <w:u w:val="single"/>
        </w:rPr>
        <w:t>PBBM-Rose</w:t>
      </w:r>
      <w:r>
        <w:rPr>
          <w:u w:val="single"/>
        </w:rPr>
        <w:t xml:space="preserve"> </w:t>
      </w:r>
      <w:r w:rsidRPr="002A40F3">
        <w:rPr>
          <w:u w:val="single"/>
        </w:rPr>
        <w:t>Hill,</w:t>
      </w:r>
      <w:r>
        <w:rPr>
          <w:u w:val="single"/>
        </w:rPr>
        <w:t xml:space="preserve"> </w:t>
      </w:r>
      <w:r w:rsidRPr="002A40F3">
        <w:rPr>
          <w:u w:val="single"/>
        </w:rPr>
        <w:t>Ltd.</w:t>
      </w:r>
      <w:r>
        <w:rPr>
          <w:u w:val="single"/>
        </w:rPr>
        <w:t xml:space="preserve"> </w:t>
      </w:r>
      <w:r w:rsidRPr="002A40F3">
        <w:rPr>
          <w:u w:val="single"/>
        </w:rPr>
        <w:t>v.</w:t>
      </w:r>
      <w:r>
        <w:rPr>
          <w:u w:val="single"/>
        </w:rPr>
        <w:t xml:space="preserve"> </w:t>
      </w:r>
      <w:r w:rsidRPr="002A40F3">
        <w:rPr>
          <w:u w:val="single"/>
        </w:rPr>
        <w:t>Commissioner</w:t>
      </w:r>
      <w:r w:rsidRPr="002A40F3">
        <w:t>,</w:t>
      </w:r>
      <w:r>
        <w:t xml:space="preserve"> </w:t>
      </w:r>
      <w:r w:rsidRPr="002A40F3">
        <w:t>900</w:t>
      </w:r>
      <w:r>
        <w:t xml:space="preserve"> </w:t>
      </w:r>
      <w:r w:rsidRPr="002A40F3">
        <w:t>F.3d</w:t>
      </w:r>
      <w:r>
        <w:t xml:space="preserve"> </w:t>
      </w:r>
      <w:r w:rsidRPr="002A40F3">
        <w:t>193</w:t>
      </w:r>
      <w:r>
        <w:t xml:space="preserve"> </w:t>
      </w:r>
      <w:r w:rsidRPr="002A40F3">
        <w:t>(5th</w:t>
      </w:r>
      <w:r>
        <w:t xml:space="preserve"> </w:t>
      </w:r>
      <w:r w:rsidRPr="002A40F3">
        <w:t>Cir.</w:t>
      </w:r>
      <w:r>
        <w:t xml:space="preserve"> </w:t>
      </w:r>
      <w:r w:rsidRPr="002A40F3">
        <w:t>2018),</w:t>
      </w:r>
      <w:r>
        <w:t xml:space="preserve"> </w:t>
      </w:r>
      <w:r w:rsidRPr="002A40F3">
        <w:t>and</w:t>
      </w:r>
      <w:r>
        <w:t xml:space="preserve"> </w:t>
      </w:r>
      <w:r w:rsidRPr="002A40F3">
        <w:rPr>
          <w:u w:val="single"/>
        </w:rPr>
        <w:t>Coal</w:t>
      </w:r>
      <w:r>
        <w:rPr>
          <w:u w:val="single"/>
        </w:rPr>
        <w:t xml:space="preserve"> </w:t>
      </w:r>
      <w:r w:rsidRPr="002A40F3">
        <w:rPr>
          <w:u w:val="single"/>
        </w:rPr>
        <w:t>Prop.</w:t>
      </w:r>
      <w:r>
        <w:rPr>
          <w:u w:val="single"/>
        </w:rPr>
        <w:t xml:space="preserve"> </w:t>
      </w:r>
      <w:r w:rsidRPr="002A40F3">
        <w:rPr>
          <w:u w:val="single"/>
        </w:rPr>
        <w:t>Holdings,</w:t>
      </w:r>
      <w:r>
        <w:rPr>
          <w:u w:val="single"/>
        </w:rPr>
        <w:t xml:space="preserve"> </w:t>
      </w:r>
      <w:r w:rsidRPr="002A40F3">
        <w:rPr>
          <w:u w:val="single"/>
        </w:rPr>
        <w:t>LLC</w:t>
      </w:r>
      <w:r>
        <w:rPr>
          <w:u w:val="single"/>
        </w:rPr>
        <w:t xml:space="preserve"> </w:t>
      </w:r>
      <w:r w:rsidRPr="002A40F3">
        <w:rPr>
          <w:u w:val="single"/>
        </w:rPr>
        <w:t>v.</w:t>
      </w:r>
      <w:r>
        <w:rPr>
          <w:u w:val="single"/>
        </w:rPr>
        <w:t xml:space="preserve"> </w:t>
      </w:r>
      <w:r w:rsidRPr="002A40F3">
        <w:rPr>
          <w:u w:val="single"/>
        </w:rPr>
        <w:t>Commissioner</w:t>
      </w:r>
      <w:r w:rsidRPr="002A40F3">
        <w:t>,</w:t>
      </w:r>
      <w:r>
        <w:t xml:space="preserve"> </w:t>
      </w:r>
      <w:r w:rsidRPr="002A40F3">
        <w:t>153</w:t>
      </w:r>
      <w:r>
        <w:t xml:space="preserve"> </w:t>
      </w:r>
      <w:r w:rsidRPr="002A40F3">
        <w:t>T.C.</w:t>
      </w:r>
      <w:r>
        <w:t xml:space="preserve"> </w:t>
      </w:r>
      <w:r w:rsidRPr="002A40F3">
        <w:t>126</w:t>
      </w:r>
      <w:r>
        <w:t xml:space="preserve"> </w:t>
      </w:r>
      <w:r w:rsidRPr="002A40F3">
        <w:t>(2019).</w:t>
      </w:r>
      <w:r>
        <w:t xml:space="preserve"> </w:t>
      </w:r>
    </w:p>
    <w:p w:rsidR="007649DB" w:rsidRDefault="007649DB" w:rsidP="007649DB">
      <w:pPr>
        <w:pStyle w:val="Body15"/>
        <w:spacing w:before="240"/>
        <w:rPr>
          <w:color w:val="000000" w:themeColor="text1"/>
        </w:rPr>
      </w:pPr>
      <w:r>
        <w:rPr>
          <w:color w:val="000000" w:themeColor="text1"/>
        </w:rPr>
        <w:t xml:space="preserve">See also </w:t>
      </w:r>
      <w:r>
        <w:rPr>
          <w:color w:val="000000" w:themeColor="text1"/>
          <w:u w:val="single"/>
        </w:rPr>
        <w:t>Railroad Holdings v. Commissioner</w:t>
      </w:r>
      <w:r>
        <w:rPr>
          <w:color w:val="000000" w:themeColor="text1"/>
        </w:rPr>
        <w:t xml:space="preserve">, T.C. Memo. 2020-22; and </w:t>
      </w:r>
      <w:r>
        <w:rPr>
          <w:color w:val="000000" w:themeColor="text1"/>
          <w:u w:val="single"/>
        </w:rPr>
        <w:t>Rock Creek Property Holdings v. Commissioner</w:t>
      </w:r>
      <w:r>
        <w:rPr>
          <w:color w:val="000000" w:themeColor="text1"/>
        </w:rPr>
        <w:t>, Tax Court Order, Docket No. 5599-17 (February 10, 2020).</w:t>
      </w:r>
    </w:p>
    <w:p w:rsidR="004E10A3" w:rsidRPr="004E10A3" w:rsidRDefault="004E10A3" w:rsidP="007649DB">
      <w:pPr>
        <w:pStyle w:val="Body15"/>
        <w:spacing w:before="240"/>
        <w:rPr>
          <w:color w:val="000000" w:themeColor="text1"/>
        </w:rPr>
      </w:pPr>
      <w:r>
        <w:rPr>
          <w:color w:val="000000" w:themeColor="text1"/>
        </w:rPr>
        <w:t xml:space="preserve">In </w:t>
      </w:r>
      <w:r>
        <w:rPr>
          <w:color w:val="000000" w:themeColor="text1"/>
          <w:u w:val="single"/>
        </w:rPr>
        <w:t>Sells v. Commissioner</w:t>
      </w:r>
      <w:r>
        <w:rPr>
          <w:color w:val="000000" w:themeColor="text1"/>
        </w:rPr>
        <w:t xml:space="preserve">, T.C. Memo. 2021-12, the court concluded the taxpayer had reasonable cause when using a “defective” </w:t>
      </w:r>
      <w:r w:rsidR="001E2ED9">
        <w:rPr>
          <w:color w:val="000000" w:themeColor="text1"/>
        </w:rPr>
        <w:t>extinguishment</w:t>
      </w:r>
      <w:r>
        <w:rPr>
          <w:color w:val="000000" w:themeColor="text1"/>
        </w:rPr>
        <w:t xml:space="preserve"> clause because of PLR 200836014 which had approved a similar clause and because the court found similar clauses were in widespread use, including by the easement holder.</w:t>
      </w:r>
    </w:p>
    <w:p w:rsidR="007649DB" w:rsidRDefault="007649DB" w:rsidP="007649DB">
      <w:pPr>
        <w:pStyle w:val="Body15"/>
        <w:spacing w:before="240"/>
        <w:rPr>
          <w:color w:val="000000" w:themeColor="text1"/>
        </w:rPr>
      </w:pPr>
      <w:r>
        <w:rPr>
          <w:color w:val="000000" w:themeColor="text1"/>
        </w:rPr>
        <w:t xml:space="preserve">In a separate, reviewed, opinion to the one cited above, </w:t>
      </w:r>
      <w:r>
        <w:rPr>
          <w:color w:val="000000" w:themeColor="text1"/>
          <w:u w:val="single"/>
        </w:rPr>
        <w:t>Oakbrook Land Holdings v. Commissioner</w:t>
      </w:r>
      <w:r>
        <w:rPr>
          <w:color w:val="000000" w:themeColor="text1"/>
        </w:rPr>
        <w:t>, 154 T.C. No. 10 (2020), the Tax Court upheld the “protected in perpetuity” regulation.  In 1983 the IRS issued a proposed regulation with a “perpetuity” requirement, and received more than 700 pages of comments.  With respect to the procedural aspects of the regulation, the opinion states:</w:t>
      </w:r>
    </w:p>
    <w:p w:rsidR="007649DB" w:rsidRPr="00133F46" w:rsidRDefault="007649DB" w:rsidP="007649DB">
      <w:pPr>
        <w:pStyle w:val="QS10"/>
        <w:rPr>
          <w:szCs w:val="20"/>
        </w:rPr>
      </w:pPr>
      <w:r w:rsidRPr="00133F46">
        <w:rPr>
          <w:szCs w:val="20"/>
        </w:rPr>
        <w:t>The</w:t>
      </w:r>
      <w:r>
        <w:rPr>
          <w:szCs w:val="20"/>
        </w:rPr>
        <w:t xml:space="preserve"> </w:t>
      </w:r>
      <w:r w:rsidRPr="00133F46">
        <w:rPr>
          <w:szCs w:val="20"/>
        </w:rPr>
        <w:t>two</w:t>
      </w:r>
      <w:r>
        <w:rPr>
          <w:szCs w:val="20"/>
        </w:rPr>
        <w:t xml:space="preserve"> </w:t>
      </w:r>
      <w:r w:rsidRPr="00133F46">
        <w:rPr>
          <w:szCs w:val="20"/>
        </w:rPr>
        <w:t>aspects</w:t>
      </w:r>
      <w:r>
        <w:rPr>
          <w:szCs w:val="20"/>
        </w:rPr>
        <w:t xml:space="preserve"> </w:t>
      </w:r>
      <w:r w:rsidRPr="00133F46">
        <w:rPr>
          <w:szCs w:val="20"/>
        </w:rPr>
        <w:t>of</w:t>
      </w:r>
      <w:r>
        <w:rPr>
          <w:szCs w:val="20"/>
        </w:rPr>
        <w:t xml:space="preserve"> </w:t>
      </w:r>
      <w:r w:rsidRPr="00133F46">
        <w:rPr>
          <w:szCs w:val="20"/>
        </w:rPr>
        <w:t>the</w:t>
      </w:r>
      <w:r>
        <w:rPr>
          <w:szCs w:val="20"/>
        </w:rPr>
        <w:t xml:space="preserve"> </w:t>
      </w:r>
      <w:r w:rsidRPr="00133F46">
        <w:rPr>
          <w:szCs w:val="20"/>
        </w:rPr>
        <w:t>“judicial</w:t>
      </w:r>
      <w:r>
        <w:rPr>
          <w:szCs w:val="20"/>
        </w:rPr>
        <w:t xml:space="preserve"> </w:t>
      </w:r>
      <w:r w:rsidRPr="00133F46">
        <w:rPr>
          <w:szCs w:val="20"/>
        </w:rPr>
        <w:t>extinguishment”</w:t>
      </w:r>
      <w:r>
        <w:rPr>
          <w:szCs w:val="20"/>
        </w:rPr>
        <w:t xml:space="preserve"> </w:t>
      </w:r>
      <w:r w:rsidRPr="00133F46">
        <w:rPr>
          <w:szCs w:val="20"/>
        </w:rPr>
        <w:t>rule</w:t>
      </w:r>
      <w:r>
        <w:rPr>
          <w:szCs w:val="20"/>
        </w:rPr>
        <w:t xml:space="preserve"> </w:t>
      </w:r>
      <w:r w:rsidRPr="00133F46">
        <w:rPr>
          <w:szCs w:val="20"/>
        </w:rPr>
        <w:t>to</w:t>
      </w:r>
      <w:r>
        <w:rPr>
          <w:szCs w:val="20"/>
        </w:rPr>
        <w:t xml:space="preserve"> </w:t>
      </w:r>
      <w:r w:rsidRPr="00133F46">
        <w:rPr>
          <w:szCs w:val="20"/>
        </w:rPr>
        <w:t>which</w:t>
      </w:r>
      <w:r>
        <w:rPr>
          <w:szCs w:val="20"/>
        </w:rPr>
        <w:t xml:space="preserve"> </w:t>
      </w:r>
      <w:r w:rsidRPr="00133F46">
        <w:rPr>
          <w:szCs w:val="20"/>
        </w:rPr>
        <w:t>petitioner</w:t>
      </w:r>
      <w:r>
        <w:rPr>
          <w:szCs w:val="20"/>
        </w:rPr>
        <w:t xml:space="preserve"> </w:t>
      </w:r>
      <w:r w:rsidRPr="00133F46">
        <w:rPr>
          <w:szCs w:val="20"/>
        </w:rPr>
        <w:t>objects</w:t>
      </w:r>
      <w:r>
        <w:rPr>
          <w:szCs w:val="20"/>
        </w:rPr>
        <w:t xml:space="preserve"> </w:t>
      </w:r>
      <w:r w:rsidRPr="00133F46">
        <w:rPr>
          <w:szCs w:val="20"/>
        </w:rPr>
        <w:t>are</w:t>
      </w:r>
      <w:r>
        <w:rPr>
          <w:szCs w:val="20"/>
        </w:rPr>
        <w:t xml:space="preserve"> </w:t>
      </w:r>
      <w:r w:rsidRPr="00133F46">
        <w:rPr>
          <w:szCs w:val="20"/>
        </w:rPr>
        <w:t>the</w:t>
      </w:r>
      <w:r>
        <w:rPr>
          <w:szCs w:val="20"/>
        </w:rPr>
        <w:t xml:space="preserve"> </w:t>
      </w:r>
      <w:r w:rsidRPr="00133F46">
        <w:rPr>
          <w:szCs w:val="20"/>
        </w:rPr>
        <w:t>requirement</w:t>
      </w:r>
      <w:r>
        <w:rPr>
          <w:szCs w:val="20"/>
        </w:rPr>
        <w:t xml:space="preserve"> </w:t>
      </w:r>
      <w:r w:rsidRPr="00133F46">
        <w:rPr>
          <w:szCs w:val="20"/>
        </w:rPr>
        <w:t>that</w:t>
      </w:r>
      <w:r>
        <w:rPr>
          <w:szCs w:val="20"/>
        </w:rPr>
        <w:t xml:space="preserve"> </w:t>
      </w:r>
      <w:r w:rsidRPr="00133F46">
        <w:rPr>
          <w:szCs w:val="20"/>
        </w:rPr>
        <w:t>the</w:t>
      </w:r>
      <w:r>
        <w:rPr>
          <w:szCs w:val="20"/>
        </w:rPr>
        <w:t xml:space="preserve"> </w:t>
      </w:r>
      <w:r w:rsidRPr="00133F46">
        <w:rPr>
          <w:szCs w:val="20"/>
        </w:rPr>
        <w:t>donee</w:t>
      </w:r>
      <w:r>
        <w:rPr>
          <w:szCs w:val="20"/>
        </w:rPr>
        <w:t xml:space="preserve"> </w:t>
      </w:r>
      <w:r w:rsidRPr="00133F46">
        <w:rPr>
          <w:szCs w:val="20"/>
        </w:rPr>
        <w:t>receive</w:t>
      </w:r>
      <w:r>
        <w:rPr>
          <w:szCs w:val="20"/>
        </w:rPr>
        <w:t xml:space="preserve"> </w:t>
      </w:r>
      <w:r w:rsidRPr="00133F46">
        <w:rPr>
          <w:szCs w:val="20"/>
        </w:rPr>
        <w:t>a</w:t>
      </w:r>
      <w:r>
        <w:rPr>
          <w:szCs w:val="20"/>
        </w:rPr>
        <w:t xml:space="preserve"> </w:t>
      </w:r>
      <w:r w:rsidRPr="00133F46">
        <w:rPr>
          <w:szCs w:val="20"/>
        </w:rPr>
        <w:t>proportional</w:t>
      </w:r>
      <w:r>
        <w:rPr>
          <w:szCs w:val="20"/>
        </w:rPr>
        <w:t xml:space="preserve"> </w:t>
      </w:r>
      <w:r w:rsidRPr="00133F46">
        <w:rPr>
          <w:szCs w:val="20"/>
        </w:rPr>
        <w:t>share</w:t>
      </w:r>
      <w:r>
        <w:rPr>
          <w:szCs w:val="20"/>
        </w:rPr>
        <w:t xml:space="preserve"> </w:t>
      </w:r>
      <w:r w:rsidRPr="00133F46">
        <w:rPr>
          <w:szCs w:val="20"/>
        </w:rPr>
        <w:t>of</w:t>
      </w:r>
      <w:r>
        <w:rPr>
          <w:szCs w:val="20"/>
        </w:rPr>
        <w:t xml:space="preserve"> </w:t>
      </w:r>
      <w:r w:rsidRPr="00133F46">
        <w:rPr>
          <w:szCs w:val="20"/>
        </w:rPr>
        <w:t>the</w:t>
      </w:r>
      <w:r>
        <w:rPr>
          <w:szCs w:val="20"/>
        </w:rPr>
        <w:t xml:space="preserve"> </w:t>
      </w:r>
      <w:r w:rsidRPr="00133F46">
        <w:rPr>
          <w:szCs w:val="20"/>
        </w:rPr>
        <w:t>proceeds</w:t>
      </w:r>
      <w:r>
        <w:rPr>
          <w:szCs w:val="20"/>
        </w:rPr>
        <w:t xml:space="preserve"> </w:t>
      </w:r>
      <w:r w:rsidRPr="00133F46">
        <w:rPr>
          <w:szCs w:val="20"/>
        </w:rPr>
        <w:t>and</w:t>
      </w:r>
      <w:r>
        <w:rPr>
          <w:szCs w:val="20"/>
        </w:rPr>
        <w:t xml:space="preserve"> </w:t>
      </w:r>
      <w:r w:rsidRPr="00133F46">
        <w:rPr>
          <w:szCs w:val="20"/>
        </w:rPr>
        <w:t>the</w:t>
      </w:r>
      <w:r>
        <w:rPr>
          <w:szCs w:val="20"/>
        </w:rPr>
        <w:t xml:space="preserve"> </w:t>
      </w:r>
      <w:r w:rsidRPr="00133F46">
        <w:rPr>
          <w:szCs w:val="20"/>
        </w:rPr>
        <w:t>fact</w:t>
      </w:r>
      <w:r>
        <w:rPr>
          <w:szCs w:val="20"/>
        </w:rPr>
        <w:t xml:space="preserve"> </w:t>
      </w:r>
      <w:r w:rsidRPr="00133F46">
        <w:rPr>
          <w:szCs w:val="20"/>
        </w:rPr>
        <w:t>that</w:t>
      </w:r>
      <w:r>
        <w:rPr>
          <w:szCs w:val="20"/>
        </w:rPr>
        <w:t xml:space="preserve"> </w:t>
      </w:r>
      <w:r w:rsidRPr="00133F46">
        <w:rPr>
          <w:szCs w:val="20"/>
        </w:rPr>
        <w:t>the</w:t>
      </w:r>
      <w:r>
        <w:rPr>
          <w:szCs w:val="20"/>
        </w:rPr>
        <w:t xml:space="preserve"> </w:t>
      </w:r>
      <w:r w:rsidRPr="00133F46">
        <w:rPr>
          <w:szCs w:val="20"/>
        </w:rPr>
        <w:t>“proportionate</w:t>
      </w:r>
      <w:r>
        <w:rPr>
          <w:szCs w:val="20"/>
        </w:rPr>
        <w:t xml:space="preserve"> </w:t>
      </w:r>
      <w:r w:rsidRPr="00133F46">
        <w:rPr>
          <w:szCs w:val="20"/>
        </w:rPr>
        <w:t>share”</w:t>
      </w:r>
      <w:r>
        <w:rPr>
          <w:szCs w:val="20"/>
        </w:rPr>
        <w:t xml:space="preserve"> </w:t>
      </w:r>
      <w:r w:rsidRPr="00133F46">
        <w:rPr>
          <w:szCs w:val="20"/>
        </w:rPr>
        <w:t>formula</w:t>
      </w:r>
      <w:r>
        <w:rPr>
          <w:szCs w:val="20"/>
        </w:rPr>
        <w:t xml:space="preserve"> </w:t>
      </w:r>
      <w:r w:rsidRPr="00133F46">
        <w:rPr>
          <w:szCs w:val="20"/>
        </w:rPr>
        <w:t>does</w:t>
      </w:r>
      <w:r>
        <w:rPr>
          <w:szCs w:val="20"/>
        </w:rPr>
        <w:t xml:space="preserve"> </w:t>
      </w:r>
      <w:r w:rsidRPr="00133F46">
        <w:rPr>
          <w:szCs w:val="20"/>
        </w:rPr>
        <w:t>not</w:t>
      </w:r>
      <w:r>
        <w:rPr>
          <w:szCs w:val="20"/>
        </w:rPr>
        <w:t xml:space="preserve"> </w:t>
      </w:r>
      <w:r w:rsidRPr="00133F46">
        <w:rPr>
          <w:szCs w:val="20"/>
        </w:rPr>
        <w:t>account</w:t>
      </w:r>
      <w:r>
        <w:rPr>
          <w:szCs w:val="20"/>
        </w:rPr>
        <w:t xml:space="preserve"> </w:t>
      </w:r>
      <w:r w:rsidRPr="00133F46">
        <w:rPr>
          <w:szCs w:val="20"/>
        </w:rPr>
        <w:t>for</w:t>
      </w:r>
      <w:r>
        <w:rPr>
          <w:szCs w:val="20"/>
        </w:rPr>
        <w:t xml:space="preserve"> </w:t>
      </w:r>
      <w:r w:rsidRPr="00133F46">
        <w:rPr>
          <w:szCs w:val="20"/>
        </w:rPr>
        <w:t>the</w:t>
      </w:r>
      <w:r>
        <w:rPr>
          <w:szCs w:val="20"/>
        </w:rPr>
        <w:t xml:space="preserve"> </w:t>
      </w:r>
      <w:r w:rsidRPr="00133F46">
        <w:rPr>
          <w:szCs w:val="20"/>
        </w:rPr>
        <w:t>possibility</w:t>
      </w:r>
      <w:r>
        <w:rPr>
          <w:szCs w:val="20"/>
        </w:rPr>
        <w:t xml:space="preserve"> </w:t>
      </w:r>
      <w:r w:rsidRPr="00133F46">
        <w:rPr>
          <w:szCs w:val="20"/>
        </w:rPr>
        <w:t>of</w:t>
      </w:r>
      <w:r>
        <w:rPr>
          <w:szCs w:val="20"/>
        </w:rPr>
        <w:t xml:space="preserve"> </w:t>
      </w:r>
      <w:r w:rsidRPr="00133F46">
        <w:rPr>
          <w:szCs w:val="20"/>
        </w:rPr>
        <w:t>donor</w:t>
      </w:r>
      <w:r>
        <w:rPr>
          <w:szCs w:val="20"/>
        </w:rPr>
        <w:t xml:space="preserve"> </w:t>
      </w:r>
      <w:r w:rsidRPr="00133F46">
        <w:rPr>
          <w:szCs w:val="20"/>
        </w:rPr>
        <w:t>improvements.</w:t>
      </w:r>
      <w:r>
        <w:rPr>
          <w:szCs w:val="20"/>
        </w:rPr>
        <w:t xml:space="preserve"> </w:t>
      </w:r>
      <w:r w:rsidRPr="00133F46">
        <w:rPr>
          <w:szCs w:val="20"/>
        </w:rPr>
        <w:t>Treasury</w:t>
      </w:r>
      <w:r>
        <w:rPr>
          <w:szCs w:val="20"/>
        </w:rPr>
        <w:t xml:space="preserve"> </w:t>
      </w:r>
      <w:r w:rsidRPr="00133F46">
        <w:rPr>
          <w:szCs w:val="20"/>
        </w:rPr>
        <w:t>clearly</w:t>
      </w:r>
      <w:r>
        <w:rPr>
          <w:szCs w:val="20"/>
        </w:rPr>
        <w:t xml:space="preserve"> </w:t>
      </w:r>
      <w:r w:rsidRPr="00133F46">
        <w:rPr>
          <w:szCs w:val="20"/>
        </w:rPr>
        <w:t>considered</w:t>
      </w:r>
      <w:r>
        <w:rPr>
          <w:szCs w:val="20"/>
        </w:rPr>
        <w:t xml:space="preserve"> </w:t>
      </w:r>
      <w:r w:rsidRPr="00133F46">
        <w:rPr>
          <w:szCs w:val="20"/>
        </w:rPr>
        <w:t>the</w:t>
      </w:r>
      <w:r>
        <w:rPr>
          <w:szCs w:val="20"/>
        </w:rPr>
        <w:t xml:space="preserve"> </w:t>
      </w:r>
      <w:r w:rsidRPr="00133F46">
        <w:rPr>
          <w:szCs w:val="20"/>
        </w:rPr>
        <w:t>comments</w:t>
      </w:r>
      <w:r>
        <w:rPr>
          <w:szCs w:val="20"/>
        </w:rPr>
        <w:t xml:space="preserve"> </w:t>
      </w:r>
      <w:r w:rsidRPr="00133F46">
        <w:rPr>
          <w:szCs w:val="20"/>
        </w:rPr>
        <w:t>it</w:t>
      </w:r>
      <w:r>
        <w:rPr>
          <w:szCs w:val="20"/>
        </w:rPr>
        <w:t xml:space="preserve"> </w:t>
      </w:r>
      <w:r w:rsidRPr="00133F46">
        <w:rPr>
          <w:szCs w:val="20"/>
        </w:rPr>
        <w:t>received</w:t>
      </w:r>
      <w:r>
        <w:rPr>
          <w:szCs w:val="20"/>
        </w:rPr>
        <w:t xml:space="preserve"> </w:t>
      </w:r>
      <w:r w:rsidRPr="00133F46">
        <w:rPr>
          <w:szCs w:val="20"/>
        </w:rPr>
        <w:t>on</w:t>
      </w:r>
      <w:r>
        <w:rPr>
          <w:szCs w:val="20"/>
        </w:rPr>
        <w:t xml:space="preserve"> </w:t>
      </w:r>
      <w:r w:rsidRPr="00133F46">
        <w:rPr>
          <w:szCs w:val="20"/>
        </w:rPr>
        <w:t>the</w:t>
      </w:r>
      <w:r>
        <w:rPr>
          <w:szCs w:val="20"/>
        </w:rPr>
        <w:t xml:space="preserve"> </w:t>
      </w:r>
      <w:r w:rsidRPr="00133F46">
        <w:rPr>
          <w:szCs w:val="20"/>
        </w:rPr>
        <w:t>first</w:t>
      </w:r>
      <w:r>
        <w:rPr>
          <w:szCs w:val="20"/>
        </w:rPr>
        <w:t xml:space="preserve"> </w:t>
      </w:r>
      <w:r w:rsidRPr="00133F46">
        <w:rPr>
          <w:szCs w:val="20"/>
        </w:rPr>
        <w:t>point</w:t>
      </w:r>
      <w:r>
        <w:rPr>
          <w:szCs w:val="20"/>
        </w:rPr>
        <w:t xml:space="preserve"> </w:t>
      </w:r>
      <w:r w:rsidRPr="00133F46">
        <w:rPr>
          <w:szCs w:val="20"/>
        </w:rPr>
        <w:t>because</w:t>
      </w:r>
      <w:r>
        <w:rPr>
          <w:szCs w:val="20"/>
        </w:rPr>
        <w:t xml:space="preserve"> </w:t>
      </w:r>
      <w:r w:rsidRPr="00133F46">
        <w:rPr>
          <w:szCs w:val="20"/>
        </w:rPr>
        <w:t>it</w:t>
      </w:r>
      <w:r>
        <w:rPr>
          <w:szCs w:val="20"/>
        </w:rPr>
        <w:t xml:space="preserve"> </w:t>
      </w:r>
      <w:r w:rsidRPr="00133F46">
        <w:rPr>
          <w:szCs w:val="20"/>
        </w:rPr>
        <w:t>substantially</w:t>
      </w:r>
      <w:r>
        <w:rPr>
          <w:szCs w:val="20"/>
        </w:rPr>
        <w:t xml:space="preserve"> </w:t>
      </w:r>
      <w:r w:rsidRPr="00133F46">
        <w:rPr>
          <w:szCs w:val="20"/>
        </w:rPr>
        <w:t>revised</w:t>
      </w:r>
      <w:r>
        <w:rPr>
          <w:szCs w:val="20"/>
        </w:rPr>
        <w:t xml:space="preserve"> </w:t>
      </w:r>
      <w:r w:rsidRPr="00133F46">
        <w:rPr>
          <w:szCs w:val="20"/>
        </w:rPr>
        <w:t>the</w:t>
      </w:r>
      <w:r>
        <w:rPr>
          <w:szCs w:val="20"/>
        </w:rPr>
        <w:t xml:space="preserve"> </w:t>
      </w:r>
      <w:r w:rsidRPr="00133F46">
        <w:rPr>
          <w:szCs w:val="20"/>
        </w:rPr>
        <w:t>text</w:t>
      </w:r>
      <w:r>
        <w:rPr>
          <w:szCs w:val="20"/>
        </w:rPr>
        <w:t xml:space="preserve"> </w:t>
      </w:r>
      <w:r w:rsidRPr="00133F46">
        <w:rPr>
          <w:szCs w:val="20"/>
        </w:rPr>
        <w:t>of</w:t>
      </w:r>
      <w:r>
        <w:rPr>
          <w:szCs w:val="20"/>
        </w:rPr>
        <w:t xml:space="preserve"> </w:t>
      </w:r>
      <w:r w:rsidRPr="00133F46">
        <w:rPr>
          <w:szCs w:val="20"/>
        </w:rPr>
        <w:t>section</w:t>
      </w:r>
      <w:r>
        <w:rPr>
          <w:szCs w:val="20"/>
        </w:rPr>
        <w:t xml:space="preserve"> </w:t>
      </w:r>
      <w:r w:rsidRPr="00133F46">
        <w:rPr>
          <w:szCs w:val="20"/>
        </w:rPr>
        <w:t>1.170A-14(g)(6)(ii),</w:t>
      </w:r>
      <w:r>
        <w:rPr>
          <w:szCs w:val="20"/>
        </w:rPr>
        <w:t xml:space="preserve"> </w:t>
      </w:r>
      <w:r w:rsidRPr="00133F46">
        <w:rPr>
          <w:szCs w:val="20"/>
        </w:rPr>
        <w:t>Income</w:t>
      </w:r>
      <w:r>
        <w:rPr>
          <w:szCs w:val="20"/>
        </w:rPr>
        <w:t xml:space="preserve"> </w:t>
      </w:r>
      <w:r w:rsidRPr="00133F46">
        <w:rPr>
          <w:szCs w:val="20"/>
        </w:rPr>
        <w:t>Tax</w:t>
      </w:r>
      <w:r>
        <w:rPr>
          <w:szCs w:val="20"/>
        </w:rPr>
        <w:t xml:space="preserve"> </w:t>
      </w:r>
      <w:r w:rsidRPr="00133F46">
        <w:rPr>
          <w:szCs w:val="20"/>
        </w:rPr>
        <w:t>Regs.,</w:t>
      </w:r>
      <w:r>
        <w:rPr>
          <w:szCs w:val="20"/>
        </w:rPr>
        <w:t xml:space="preserve"> </w:t>
      </w:r>
      <w:r w:rsidRPr="00133F46">
        <w:rPr>
          <w:szCs w:val="20"/>
        </w:rPr>
        <w:t>in</w:t>
      </w:r>
      <w:r>
        <w:rPr>
          <w:szCs w:val="20"/>
        </w:rPr>
        <w:t xml:space="preserve"> </w:t>
      </w:r>
      <w:r w:rsidRPr="00133F46">
        <w:rPr>
          <w:szCs w:val="20"/>
        </w:rPr>
        <w:t>response</w:t>
      </w:r>
      <w:r>
        <w:rPr>
          <w:szCs w:val="20"/>
        </w:rPr>
        <w:t xml:space="preserve"> </w:t>
      </w:r>
      <w:r w:rsidRPr="00133F46">
        <w:rPr>
          <w:szCs w:val="20"/>
        </w:rPr>
        <w:t>to</w:t>
      </w:r>
      <w:r>
        <w:rPr>
          <w:szCs w:val="20"/>
        </w:rPr>
        <w:t xml:space="preserve"> </w:t>
      </w:r>
      <w:r w:rsidRPr="00133F46">
        <w:rPr>
          <w:szCs w:val="20"/>
        </w:rPr>
        <w:t>those</w:t>
      </w:r>
      <w:r>
        <w:rPr>
          <w:szCs w:val="20"/>
        </w:rPr>
        <w:t xml:space="preserve"> </w:t>
      </w:r>
      <w:r w:rsidRPr="00133F46">
        <w:rPr>
          <w:szCs w:val="20"/>
        </w:rPr>
        <w:t>comments.</w:t>
      </w:r>
      <w:r>
        <w:rPr>
          <w:szCs w:val="20"/>
        </w:rPr>
        <w:t xml:space="preserve"> </w:t>
      </w:r>
      <w:r w:rsidRPr="00133F46">
        <w:rPr>
          <w:szCs w:val="20"/>
          <w:u w:val="single"/>
        </w:rPr>
        <w:t>See</w:t>
      </w:r>
      <w:r>
        <w:rPr>
          <w:szCs w:val="20"/>
        </w:rPr>
        <w:t xml:space="preserve"> </w:t>
      </w:r>
      <w:r w:rsidRPr="00133F46">
        <w:rPr>
          <w:szCs w:val="20"/>
          <w:u w:val="single"/>
        </w:rPr>
        <w:t>supra</w:t>
      </w:r>
      <w:r>
        <w:rPr>
          <w:szCs w:val="20"/>
        </w:rPr>
        <w:t xml:space="preserve"> </w:t>
      </w:r>
      <w:r w:rsidRPr="00133F46">
        <w:rPr>
          <w:szCs w:val="20"/>
        </w:rPr>
        <w:t>pp.</w:t>
      </w:r>
      <w:r>
        <w:rPr>
          <w:szCs w:val="20"/>
        </w:rPr>
        <w:t xml:space="preserve"> </w:t>
      </w:r>
      <w:r w:rsidRPr="00133F46">
        <w:rPr>
          <w:szCs w:val="20"/>
        </w:rPr>
        <w:t>14-15.</w:t>
      </w:r>
    </w:p>
    <w:p w:rsidR="007649DB" w:rsidRPr="00133F46" w:rsidRDefault="007649DB" w:rsidP="007649DB">
      <w:pPr>
        <w:pStyle w:val="QS10"/>
        <w:rPr>
          <w:szCs w:val="20"/>
        </w:rPr>
      </w:pPr>
      <w:r w:rsidRPr="00133F46">
        <w:rPr>
          <w:szCs w:val="20"/>
        </w:rPr>
        <w:t>Only</w:t>
      </w:r>
      <w:r>
        <w:rPr>
          <w:szCs w:val="20"/>
        </w:rPr>
        <w:t xml:space="preserve"> </w:t>
      </w:r>
      <w:r w:rsidRPr="00133F46">
        <w:rPr>
          <w:szCs w:val="20"/>
        </w:rPr>
        <w:t>one</w:t>
      </w:r>
      <w:r>
        <w:rPr>
          <w:szCs w:val="20"/>
        </w:rPr>
        <w:t xml:space="preserve"> </w:t>
      </w:r>
      <w:r w:rsidRPr="00133F46">
        <w:rPr>
          <w:szCs w:val="20"/>
        </w:rPr>
        <w:t>of</w:t>
      </w:r>
      <w:r>
        <w:rPr>
          <w:szCs w:val="20"/>
        </w:rPr>
        <w:t xml:space="preserve"> </w:t>
      </w:r>
      <w:r w:rsidRPr="00133F46">
        <w:rPr>
          <w:szCs w:val="20"/>
        </w:rPr>
        <w:t>the</w:t>
      </w:r>
      <w:r>
        <w:rPr>
          <w:szCs w:val="20"/>
        </w:rPr>
        <w:t xml:space="preserve"> </w:t>
      </w:r>
      <w:r w:rsidRPr="00133F46">
        <w:rPr>
          <w:szCs w:val="20"/>
        </w:rPr>
        <w:t>90</w:t>
      </w:r>
      <w:r>
        <w:rPr>
          <w:szCs w:val="20"/>
        </w:rPr>
        <w:t xml:space="preserve"> </w:t>
      </w:r>
      <w:r w:rsidRPr="00133F46">
        <w:rPr>
          <w:szCs w:val="20"/>
        </w:rPr>
        <w:t>commenters</w:t>
      </w:r>
      <w:r>
        <w:rPr>
          <w:szCs w:val="20"/>
        </w:rPr>
        <w:t xml:space="preserve"> </w:t>
      </w:r>
      <w:r w:rsidRPr="00133F46">
        <w:rPr>
          <w:szCs w:val="20"/>
        </w:rPr>
        <w:t>mentioned</w:t>
      </w:r>
      <w:r>
        <w:rPr>
          <w:szCs w:val="20"/>
        </w:rPr>
        <w:t xml:space="preserve"> </w:t>
      </w:r>
      <w:r w:rsidRPr="00133F46">
        <w:rPr>
          <w:szCs w:val="20"/>
        </w:rPr>
        <w:t>donor</w:t>
      </w:r>
      <w:r>
        <w:rPr>
          <w:szCs w:val="20"/>
        </w:rPr>
        <w:t xml:space="preserve"> </w:t>
      </w:r>
      <w:r w:rsidRPr="00133F46">
        <w:rPr>
          <w:szCs w:val="20"/>
        </w:rPr>
        <w:t>improvements,</w:t>
      </w:r>
      <w:r>
        <w:rPr>
          <w:szCs w:val="20"/>
        </w:rPr>
        <w:t xml:space="preserve"> </w:t>
      </w:r>
      <w:r w:rsidRPr="00133F46">
        <w:rPr>
          <w:szCs w:val="20"/>
        </w:rPr>
        <w:t>and</w:t>
      </w:r>
      <w:r>
        <w:rPr>
          <w:szCs w:val="20"/>
        </w:rPr>
        <w:t xml:space="preserve"> </w:t>
      </w:r>
      <w:r w:rsidRPr="00133F46">
        <w:rPr>
          <w:szCs w:val="20"/>
        </w:rPr>
        <w:t>it</w:t>
      </w:r>
      <w:r>
        <w:rPr>
          <w:szCs w:val="20"/>
        </w:rPr>
        <w:t xml:space="preserve"> </w:t>
      </w:r>
      <w:r w:rsidRPr="00133F46">
        <w:rPr>
          <w:szCs w:val="20"/>
        </w:rPr>
        <w:t>devoted</w:t>
      </w:r>
      <w:r>
        <w:rPr>
          <w:szCs w:val="20"/>
        </w:rPr>
        <w:t xml:space="preserve"> </w:t>
      </w:r>
      <w:r w:rsidRPr="00133F46">
        <w:rPr>
          <w:szCs w:val="20"/>
        </w:rPr>
        <w:t>exactly</w:t>
      </w:r>
      <w:r>
        <w:rPr>
          <w:szCs w:val="20"/>
        </w:rPr>
        <w:t xml:space="preserve"> </w:t>
      </w:r>
      <w:r w:rsidRPr="00133F46">
        <w:rPr>
          <w:szCs w:val="20"/>
        </w:rPr>
        <w:t>one</w:t>
      </w:r>
      <w:r>
        <w:rPr>
          <w:szCs w:val="20"/>
        </w:rPr>
        <w:t xml:space="preserve"> </w:t>
      </w:r>
      <w:r w:rsidRPr="00133F46">
        <w:rPr>
          <w:szCs w:val="20"/>
        </w:rPr>
        <w:t>paragraph</w:t>
      </w:r>
      <w:r>
        <w:rPr>
          <w:szCs w:val="20"/>
        </w:rPr>
        <w:t xml:space="preserve"> </w:t>
      </w:r>
      <w:r w:rsidRPr="00133F46">
        <w:rPr>
          <w:szCs w:val="20"/>
        </w:rPr>
        <w:t>to</w:t>
      </w:r>
      <w:r>
        <w:rPr>
          <w:szCs w:val="20"/>
        </w:rPr>
        <w:t xml:space="preserve"> </w:t>
      </w:r>
      <w:r w:rsidRPr="00133F46">
        <w:rPr>
          <w:szCs w:val="20"/>
        </w:rPr>
        <w:t>this</w:t>
      </w:r>
      <w:r>
        <w:rPr>
          <w:szCs w:val="20"/>
        </w:rPr>
        <w:t xml:space="preserve"> </w:t>
      </w:r>
      <w:r w:rsidRPr="00133F46">
        <w:rPr>
          <w:szCs w:val="20"/>
        </w:rPr>
        <w:t>subject.</w:t>
      </w:r>
      <w:r>
        <w:rPr>
          <w:szCs w:val="20"/>
        </w:rPr>
        <w:t xml:space="preserve"> </w:t>
      </w:r>
      <w:r w:rsidRPr="00133F46">
        <w:rPr>
          <w:szCs w:val="20"/>
        </w:rPr>
        <w:t>That</w:t>
      </w:r>
      <w:r>
        <w:rPr>
          <w:szCs w:val="20"/>
        </w:rPr>
        <w:t xml:space="preserve"> </w:t>
      </w:r>
      <w:r w:rsidRPr="00133F46">
        <w:rPr>
          <w:szCs w:val="20"/>
        </w:rPr>
        <w:t>commenter,</w:t>
      </w:r>
      <w:r>
        <w:rPr>
          <w:szCs w:val="20"/>
        </w:rPr>
        <w:t xml:space="preserve"> </w:t>
      </w:r>
      <w:r w:rsidRPr="00133F46">
        <w:rPr>
          <w:szCs w:val="20"/>
        </w:rPr>
        <w:t>NYLC,</w:t>
      </w:r>
      <w:r>
        <w:rPr>
          <w:szCs w:val="20"/>
        </w:rPr>
        <w:t xml:space="preserve"> </w:t>
      </w:r>
      <w:r w:rsidRPr="00133F46">
        <w:rPr>
          <w:szCs w:val="20"/>
        </w:rPr>
        <w:t>was</w:t>
      </w:r>
      <w:r>
        <w:rPr>
          <w:szCs w:val="20"/>
        </w:rPr>
        <w:t xml:space="preserve"> </w:t>
      </w:r>
      <w:r w:rsidRPr="00133F46">
        <w:rPr>
          <w:szCs w:val="20"/>
        </w:rPr>
        <w:t>concerned</w:t>
      </w:r>
      <w:r>
        <w:rPr>
          <w:szCs w:val="20"/>
        </w:rPr>
        <w:t xml:space="preserve"> </w:t>
      </w:r>
      <w:r w:rsidRPr="00133F46">
        <w:rPr>
          <w:szCs w:val="20"/>
        </w:rPr>
        <w:t>about</w:t>
      </w:r>
      <w:r>
        <w:rPr>
          <w:szCs w:val="20"/>
        </w:rPr>
        <w:t xml:space="preserve"> </w:t>
      </w:r>
      <w:r w:rsidRPr="00133F46">
        <w:rPr>
          <w:szCs w:val="20"/>
        </w:rPr>
        <w:t>facade</w:t>
      </w:r>
      <w:r>
        <w:rPr>
          <w:szCs w:val="20"/>
        </w:rPr>
        <w:t xml:space="preserve"> </w:t>
      </w:r>
      <w:r w:rsidRPr="00133F46">
        <w:rPr>
          <w:szCs w:val="20"/>
        </w:rPr>
        <w:t>easements</w:t>
      </w:r>
      <w:r>
        <w:rPr>
          <w:szCs w:val="20"/>
        </w:rPr>
        <w:t xml:space="preserve"> </w:t>
      </w:r>
      <w:r w:rsidRPr="00133F46">
        <w:rPr>
          <w:szCs w:val="20"/>
        </w:rPr>
        <w:t>on</w:t>
      </w:r>
      <w:r>
        <w:rPr>
          <w:szCs w:val="20"/>
        </w:rPr>
        <w:t xml:space="preserve"> </w:t>
      </w:r>
      <w:r w:rsidRPr="00133F46">
        <w:rPr>
          <w:szCs w:val="20"/>
        </w:rPr>
        <w:t>historic</w:t>
      </w:r>
      <w:r>
        <w:rPr>
          <w:szCs w:val="20"/>
        </w:rPr>
        <w:t xml:space="preserve"> </w:t>
      </w:r>
      <w:r w:rsidRPr="00133F46">
        <w:rPr>
          <w:szCs w:val="20"/>
        </w:rPr>
        <w:t>structures,</w:t>
      </w:r>
      <w:r>
        <w:rPr>
          <w:szCs w:val="20"/>
        </w:rPr>
        <w:t xml:space="preserve"> </w:t>
      </w:r>
      <w:r w:rsidRPr="00133F46">
        <w:rPr>
          <w:szCs w:val="20"/>
        </w:rPr>
        <w:t>as</w:t>
      </w:r>
      <w:r>
        <w:rPr>
          <w:szCs w:val="20"/>
        </w:rPr>
        <w:t xml:space="preserve"> </w:t>
      </w:r>
      <w:r w:rsidRPr="00133F46">
        <w:rPr>
          <w:szCs w:val="20"/>
        </w:rPr>
        <w:t>opposed</w:t>
      </w:r>
      <w:r>
        <w:rPr>
          <w:szCs w:val="20"/>
        </w:rPr>
        <w:t xml:space="preserve"> </w:t>
      </w:r>
      <w:r w:rsidRPr="00133F46">
        <w:rPr>
          <w:szCs w:val="20"/>
        </w:rPr>
        <w:t>to</w:t>
      </w:r>
      <w:r>
        <w:rPr>
          <w:szCs w:val="20"/>
        </w:rPr>
        <w:t xml:space="preserve"> </w:t>
      </w:r>
      <w:r w:rsidRPr="00133F46">
        <w:rPr>
          <w:szCs w:val="20"/>
        </w:rPr>
        <w:t>“perpetual</w:t>
      </w:r>
      <w:r>
        <w:rPr>
          <w:szCs w:val="20"/>
        </w:rPr>
        <w:t xml:space="preserve"> </w:t>
      </w:r>
      <w:r w:rsidRPr="00133F46">
        <w:rPr>
          <w:szCs w:val="20"/>
        </w:rPr>
        <w:t>open</w:t>
      </w:r>
      <w:r>
        <w:rPr>
          <w:szCs w:val="20"/>
        </w:rPr>
        <w:t xml:space="preserve"> </w:t>
      </w:r>
      <w:r w:rsidRPr="00133F46">
        <w:rPr>
          <w:szCs w:val="20"/>
        </w:rPr>
        <w:t>space</w:t>
      </w:r>
      <w:r>
        <w:rPr>
          <w:szCs w:val="20"/>
        </w:rPr>
        <w:t xml:space="preserve"> </w:t>
      </w:r>
      <w:r w:rsidRPr="00133F46">
        <w:rPr>
          <w:szCs w:val="20"/>
        </w:rPr>
        <w:t>easements,”</w:t>
      </w:r>
      <w:r>
        <w:rPr>
          <w:szCs w:val="20"/>
        </w:rPr>
        <w:t xml:space="preserve"> </w:t>
      </w:r>
      <w:r w:rsidRPr="00133F46">
        <w:rPr>
          <w:szCs w:val="20"/>
        </w:rPr>
        <w:t>with</w:t>
      </w:r>
      <w:r>
        <w:rPr>
          <w:szCs w:val="20"/>
        </w:rPr>
        <w:t xml:space="preserve"> </w:t>
      </w:r>
      <w:r w:rsidRPr="00133F46">
        <w:rPr>
          <w:szCs w:val="20"/>
        </w:rPr>
        <w:t>which</w:t>
      </w:r>
      <w:r>
        <w:rPr>
          <w:szCs w:val="20"/>
        </w:rPr>
        <w:t xml:space="preserve"> </w:t>
      </w:r>
      <w:r w:rsidRPr="00133F46">
        <w:rPr>
          <w:szCs w:val="20"/>
        </w:rPr>
        <w:t>Treasury</w:t>
      </w:r>
      <w:r>
        <w:rPr>
          <w:szCs w:val="20"/>
        </w:rPr>
        <w:t xml:space="preserve"> </w:t>
      </w:r>
      <w:r w:rsidRPr="00133F46">
        <w:rPr>
          <w:szCs w:val="20"/>
        </w:rPr>
        <w:t>was</w:t>
      </w:r>
      <w:r>
        <w:rPr>
          <w:szCs w:val="20"/>
        </w:rPr>
        <w:t xml:space="preserve"> </w:t>
      </w:r>
      <w:r w:rsidRPr="00133F46">
        <w:rPr>
          <w:szCs w:val="20"/>
        </w:rPr>
        <w:t>chiefly</w:t>
      </w:r>
      <w:r>
        <w:rPr>
          <w:szCs w:val="20"/>
        </w:rPr>
        <w:t xml:space="preserve"> </w:t>
      </w:r>
      <w:r w:rsidRPr="00133F46">
        <w:rPr>
          <w:szCs w:val="20"/>
        </w:rPr>
        <w:t>concerned.</w:t>
      </w:r>
      <w:r>
        <w:rPr>
          <w:szCs w:val="20"/>
        </w:rPr>
        <w:t xml:space="preserve"> </w:t>
      </w:r>
      <w:r w:rsidRPr="00133F46">
        <w:rPr>
          <w:szCs w:val="20"/>
          <w:u w:val="single"/>
        </w:rPr>
        <w:t>See</w:t>
      </w:r>
      <w:r>
        <w:rPr>
          <w:szCs w:val="20"/>
        </w:rPr>
        <w:t xml:space="preserve"> </w:t>
      </w:r>
      <w:r w:rsidRPr="00133F46">
        <w:rPr>
          <w:szCs w:val="20"/>
        </w:rPr>
        <w:t>48</w:t>
      </w:r>
      <w:r>
        <w:rPr>
          <w:szCs w:val="20"/>
        </w:rPr>
        <w:t xml:space="preserve"> </w:t>
      </w:r>
      <w:r w:rsidRPr="00133F46">
        <w:rPr>
          <w:szCs w:val="20"/>
        </w:rPr>
        <w:t>Fed.</w:t>
      </w:r>
      <w:r>
        <w:rPr>
          <w:szCs w:val="20"/>
        </w:rPr>
        <w:t xml:space="preserve"> </w:t>
      </w:r>
      <w:r w:rsidRPr="00133F46">
        <w:rPr>
          <w:szCs w:val="20"/>
        </w:rPr>
        <w:t>Reg.</w:t>
      </w:r>
      <w:r>
        <w:rPr>
          <w:szCs w:val="20"/>
        </w:rPr>
        <w:t xml:space="preserve"> </w:t>
      </w:r>
      <w:r w:rsidRPr="00133F46">
        <w:rPr>
          <w:szCs w:val="20"/>
        </w:rPr>
        <w:t>at</w:t>
      </w:r>
      <w:r>
        <w:rPr>
          <w:szCs w:val="20"/>
        </w:rPr>
        <w:t xml:space="preserve"> </w:t>
      </w:r>
      <w:r w:rsidRPr="00133F46">
        <w:rPr>
          <w:szCs w:val="20"/>
        </w:rPr>
        <w:t>22940.</w:t>
      </w:r>
      <w:r>
        <w:rPr>
          <w:szCs w:val="20"/>
        </w:rPr>
        <w:t xml:space="preserve"> </w:t>
      </w:r>
      <w:r w:rsidRPr="00133F46">
        <w:rPr>
          <w:szCs w:val="20"/>
        </w:rPr>
        <w:t>And</w:t>
      </w:r>
      <w:r>
        <w:rPr>
          <w:szCs w:val="20"/>
        </w:rPr>
        <w:t xml:space="preserve"> </w:t>
      </w:r>
      <w:r w:rsidRPr="00133F46">
        <w:rPr>
          <w:szCs w:val="20"/>
        </w:rPr>
        <w:t>NYLC</w:t>
      </w:r>
      <w:r>
        <w:rPr>
          <w:szCs w:val="20"/>
        </w:rPr>
        <w:t xml:space="preserve"> </w:t>
      </w:r>
      <w:r w:rsidRPr="00133F46">
        <w:rPr>
          <w:szCs w:val="20"/>
        </w:rPr>
        <w:t>mentioned</w:t>
      </w:r>
      <w:r>
        <w:rPr>
          <w:szCs w:val="20"/>
        </w:rPr>
        <w:t xml:space="preserve"> </w:t>
      </w:r>
      <w:r w:rsidRPr="00133F46">
        <w:rPr>
          <w:szCs w:val="20"/>
        </w:rPr>
        <w:t>this</w:t>
      </w:r>
      <w:r>
        <w:rPr>
          <w:szCs w:val="20"/>
        </w:rPr>
        <w:t xml:space="preserve"> </w:t>
      </w:r>
      <w:r w:rsidRPr="00133F46">
        <w:rPr>
          <w:szCs w:val="20"/>
        </w:rPr>
        <w:t>point</w:t>
      </w:r>
      <w:r>
        <w:rPr>
          <w:szCs w:val="20"/>
        </w:rPr>
        <w:t xml:space="preserve"> </w:t>
      </w:r>
      <w:r w:rsidRPr="00133F46">
        <w:rPr>
          <w:szCs w:val="20"/>
        </w:rPr>
        <w:t>to</w:t>
      </w:r>
      <w:r>
        <w:rPr>
          <w:szCs w:val="20"/>
        </w:rPr>
        <w:t xml:space="preserve"> </w:t>
      </w:r>
      <w:r w:rsidRPr="00133F46">
        <w:rPr>
          <w:szCs w:val="20"/>
        </w:rPr>
        <w:t>support</w:t>
      </w:r>
      <w:r>
        <w:rPr>
          <w:szCs w:val="20"/>
        </w:rPr>
        <w:t xml:space="preserve"> </w:t>
      </w:r>
      <w:r w:rsidRPr="00133F46">
        <w:rPr>
          <w:szCs w:val="20"/>
        </w:rPr>
        <w:t>its</w:t>
      </w:r>
      <w:r>
        <w:rPr>
          <w:szCs w:val="20"/>
        </w:rPr>
        <w:t xml:space="preserve"> </w:t>
      </w:r>
      <w:r w:rsidRPr="00133F46">
        <w:rPr>
          <w:szCs w:val="20"/>
        </w:rPr>
        <w:t>belief</w:t>
      </w:r>
      <w:r>
        <w:rPr>
          <w:szCs w:val="20"/>
        </w:rPr>
        <w:t xml:space="preserve"> </w:t>
      </w:r>
      <w:r w:rsidRPr="00133F46">
        <w:rPr>
          <w:szCs w:val="20"/>
        </w:rPr>
        <w:t>that</w:t>
      </w:r>
      <w:r>
        <w:rPr>
          <w:szCs w:val="20"/>
        </w:rPr>
        <w:t xml:space="preserve"> </w:t>
      </w:r>
      <w:r w:rsidRPr="00133F46">
        <w:rPr>
          <w:szCs w:val="20"/>
        </w:rPr>
        <w:t>donors</w:t>
      </w:r>
      <w:r>
        <w:rPr>
          <w:szCs w:val="20"/>
        </w:rPr>
        <w:t xml:space="preserve"> </w:t>
      </w:r>
      <w:r w:rsidRPr="00133F46">
        <w:rPr>
          <w:szCs w:val="20"/>
        </w:rPr>
        <w:t>of</w:t>
      </w:r>
      <w:r>
        <w:rPr>
          <w:szCs w:val="20"/>
        </w:rPr>
        <w:t xml:space="preserve"> </w:t>
      </w:r>
      <w:r w:rsidRPr="00133F46">
        <w:rPr>
          <w:szCs w:val="20"/>
        </w:rPr>
        <w:t>facade</w:t>
      </w:r>
      <w:r>
        <w:rPr>
          <w:szCs w:val="20"/>
        </w:rPr>
        <w:t xml:space="preserve"> </w:t>
      </w:r>
      <w:r w:rsidRPr="00133F46">
        <w:rPr>
          <w:szCs w:val="20"/>
        </w:rPr>
        <w:t>easements</w:t>
      </w:r>
      <w:r>
        <w:rPr>
          <w:szCs w:val="20"/>
        </w:rPr>
        <w:t xml:space="preserve"> </w:t>
      </w:r>
      <w:r w:rsidRPr="00133F46">
        <w:rPr>
          <w:szCs w:val="20"/>
        </w:rPr>
        <w:t>“are</w:t>
      </w:r>
      <w:r>
        <w:rPr>
          <w:szCs w:val="20"/>
        </w:rPr>
        <w:t xml:space="preserve"> </w:t>
      </w:r>
      <w:r w:rsidRPr="00133F46">
        <w:rPr>
          <w:szCs w:val="20"/>
        </w:rPr>
        <w:t>likely</w:t>
      </w:r>
      <w:r>
        <w:rPr>
          <w:szCs w:val="20"/>
        </w:rPr>
        <w:t xml:space="preserve"> </w:t>
      </w:r>
      <w:r w:rsidRPr="00133F46">
        <w:rPr>
          <w:szCs w:val="20"/>
        </w:rPr>
        <w:t>to</w:t>
      </w:r>
      <w:r>
        <w:rPr>
          <w:szCs w:val="20"/>
        </w:rPr>
        <w:t xml:space="preserve"> </w:t>
      </w:r>
      <w:r w:rsidRPr="00133F46">
        <w:rPr>
          <w:szCs w:val="20"/>
        </w:rPr>
        <w:t>be</w:t>
      </w:r>
      <w:r>
        <w:rPr>
          <w:szCs w:val="20"/>
        </w:rPr>
        <w:t xml:space="preserve"> </w:t>
      </w:r>
      <w:r w:rsidRPr="00133F46">
        <w:rPr>
          <w:szCs w:val="20"/>
        </w:rPr>
        <w:t>discouraged</w:t>
      </w:r>
      <w:r>
        <w:rPr>
          <w:szCs w:val="20"/>
        </w:rPr>
        <w:t xml:space="preserve"> </w:t>
      </w:r>
      <w:r w:rsidRPr="00133F46">
        <w:rPr>
          <w:szCs w:val="20"/>
        </w:rPr>
        <w:t>from</w:t>
      </w:r>
      <w:r>
        <w:rPr>
          <w:szCs w:val="20"/>
        </w:rPr>
        <w:t xml:space="preserve"> </w:t>
      </w:r>
      <w:r w:rsidRPr="00133F46">
        <w:rPr>
          <w:szCs w:val="20"/>
        </w:rPr>
        <w:t>making</w:t>
      </w:r>
      <w:r>
        <w:rPr>
          <w:szCs w:val="20"/>
        </w:rPr>
        <w:t xml:space="preserve"> </w:t>
      </w:r>
      <w:r w:rsidRPr="00133F46">
        <w:rPr>
          <w:szCs w:val="20"/>
        </w:rPr>
        <w:t>a</w:t>
      </w:r>
      <w:r>
        <w:rPr>
          <w:szCs w:val="20"/>
        </w:rPr>
        <w:t xml:space="preserve"> </w:t>
      </w:r>
      <w:r w:rsidRPr="00133F46">
        <w:rPr>
          <w:szCs w:val="20"/>
        </w:rPr>
        <w:t>donation,”</w:t>
      </w:r>
      <w:r>
        <w:rPr>
          <w:szCs w:val="20"/>
        </w:rPr>
        <w:t xml:space="preserve"> </w:t>
      </w:r>
      <w:r w:rsidRPr="00133F46">
        <w:rPr>
          <w:szCs w:val="20"/>
        </w:rPr>
        <w:t>a</w:t>
      </w:r>
      <w:r>
        <w:rPr>
          <w:szCs w:val="20"/>
        </w:rPr>
        <w:t xml:space="preserve"> </w:t>
      </w:r>
      <w:r w:rsidRPr="00133F46">
        <w:rPr>
          <w:szCs w:val="20"/>
        </w:rPr>
        <w:t>sup-position</w:t>
      </w:r>
      <w:r>
        <w:rPr>
          <w:szCs w:val="20"/>
        </w:rPr>
        <w:t xml:space="preserve"> </w:t>
      </w:r>
      <w:r w:rsidRPr="00133F46">
        <w:rPr>
          <w:szCs w:val="20"/>
        </w:rPr>
        <w:t>that</w:t>
      </w:r>
      <w:r>
        <w:rPr>
          <w:szCs w:val="20"/>
        </w:rPr>
        <w:t xml:space="preserve"> </w:t>
      </w:r>
      <w:r w:rsidRPr="00133F46">
        <w:rPr>
          <w:szCs w:val="20"/>
        </w:rPr>
        <w:t>Treasury</w:t>
      </w:r>
      <w:r>
        <w:rPr>
          <w:szCs w:val="20"/>
        </w:rPr>
        <w:t xml:space="preserve"> </w:t>
      </w:r>
      <w:r w:rsidRPr="00133F46">
        <w:rPr>
          <w:szCs w:val="20"/>
        </w:rPr>
        <w:t>may</w:t>
      </w:r>
      <w:r>
        <w:rPr>
          <w:szCs w:val="20"/>
        </w:rPr>
        <w:t xml:space="preserve"> </w:t>
      </w:r>
      <w:r w:rsidRPr="00133F46">
        <w:rPr>
          <w:szCs w:val="20"/>
        </w:rPr>
        <w:t>reasonably</w:t>
      </w:r>
      <w:r>
        <w:rPr>
          <w:szCs w:val="20"/>
        </w:rPr>
        <w:t xml:space="preserve"> </w:t>
      </w:r>
      <w:r w:rsidRPr="00133F46">
        <w:rPr>
          <w:szCs w:val="20"/>
        </w:rPr>
        <w:t>have</w:t>
      </w:r>
      <w:r>
        <w:rPr>
          <w:szCs w:val="20"/>
        </w:rPr>
        <w:t xml:space="preserve"> </w:t>
      </w:r>
      <w:r w:rsidRPr="00133F46">
        <w:rPr>
          <w:szCs w:val="20"/>
        </w:rPr>
        <w:t>discounted.</w:t>
      </w:r>
    </w:p>
    <w:p w:rsidR="007649DB" w:rsidRPr="00133F46" w:rsidRDefault="007649DB" w:rsidP="007649DB">
      <w:pPr>
        <w:pStyle w:val="QS10"/>
        <w:rPr>
          <w:szCs w:val="20"/>
        </w:rPr>
      </w:pPr>
      <w:r w:rsidRPr="00133F46">
        <w:rPr>
          <w:szCs w:val="20"/>
        </w:rPr>
        <w:t>In</w:t>
      </w:r>
      <w:r>
        <w:rPr>
          <w:szCs w:val="20"/>
        </w:rPr>
        <w:t xml:space="preserve"> </w:t>
      </w:r>
      <w:r w:rsidRPr="00133F46">
        <w:rPr>
          <w:szCs w:val="20"/>
        </w:rPr>
        <w:t>any</w:t>
      </w:r>
      <w:r>
        <w:rPr>
          <w:szCs w:val="20"/>
        </w:rPr>
        <w:t xml:space="preserve"> </w:t>
      </w:r>
      <w:r w:rsidRPr="00133F46">
        <w:rPr>
          <w:szCs w:val="20"/>
        </w:rPr>
        <w:t>event,</w:t>
      </w:r>
      <w:r>
        <w:rPr>
          <w:szCs w:val="20"/>
        </w:rPr>
        <w:t xml:space="preserve"> </w:t>
      </w:r>
      <w:r w:rsidRPr="00133F46">
        <w:rPr>
          <w:szCs w:val="20"/>
        </w:rPr>
        <w:t>“[t]he</w:t>
      </w:r>
      <w:r>
        <w:rPr>
          <w:szCs w:val="20"/>
        </w:rPr>
        <w:t xml:space="preserve"> </w:t>
      </w:r>
      <w:r w:rsidRPr="00133F46">
        <w:rPr>
          <w:szCs w:val="20"/>
        </w:rPr>
        <w:t>administrative</w:t>
      </w:r>
      <w:r>
        <w:rPr>
          <w:szCs w:val="20"/>
        </w:rPr>
        <w:t xml:space="preserve"> </w:t>
      </w:r>
      <w:r w:rsidRPr="00133F46">
        <w:rPr>
          <w:szCs w:val="20"/>
        </w:rPr>
        <w:t>record</w:t>
      </w:r>
      <w:r>
        <w:rPr>
          <w:szCs w:val="20"/>
        </w:rPr>
        <w:t xml:space="preserve"> </w:t>
      </w:r>
      <w:r w:rsidRPr="00133F46">
        <w:rPr>
          <w:szCs w:val="20"/>
        </w:rPr>
        <w:t>reflects</w:t>
      </w:r>
      <w:r>
        <w:rPr>
          <w:szCs w:val="20"/>
        </w:rPr>
        <w:t xml:space="preserve"> </w:t>
      </w:r>
      <w:r w:rsidRPr="00133F46">
        <w:rPr>
          <w:szCs w:val="20"/>
        </w:rPr>
        <w:t>that</w:t>
      </w:r>
      <w:r>
        <w:rPr>
          <w:szCs w:val="20"/>
        </w:rPr>
        <w:t xml:space="preserve"> </w:t>
      </w:r>
      <w:r w:rsidRPr="00133F46">
        <w:rPr>
          <w:szCs w:val="20"/>
        </w:rPr>
        <w:t>no</w:t>
      </w:r>
      <w:r>
        <w:rPr>
          <w:szCs w:val="20"/>
        </w:rPr>
        <w:t xml:space="preserve"> </w:t>
      </w:r>
      <w:r w:rsidRPr="00133F46">
        <w:rPr>
          <w:szCs w:val="20"/>
        </w:rPr>
        <w:t>substantive</w:t>
      </w:r>
      <w:r>
        <w:rPr>
          <w:szCs w:val="20"/>
        </w:rPr>
        <w:t xml:space="preserve"> </w:t>
      </w:r>
      <w:r w:rsidRPr="00133F46">
        <w:rPr>
          <w:szCs w:val="20"/>
        </w:rPr>
        <w:t>alternatives</w:t>
      </w:r>
      <w:r>
        <w:rPr>
          <w:szCs w:val="20"/>
        </w:rPr>
        <w:t xml:space="preserve"> </w:t>
      </w:r>
      <w:r w:rsidRPr="00133F46">
        <w:rPr>
          <w:szCs w:val="20"/>
        </w:rPr>
        <w:t>to</w:t>
      </w:r>
      <w:r>
        <w:rPr>
          <w:szCs w:val="20"/>
        </w:rPr>
        <w:t xml:space="preserve"> </w:t>
      </w:r>
      <w:r w:rsidRPr="00133F46">
        <w:rPr>
          <w:szCs w:val="20"/>
        </w:rPr>
        <w:t>the</w:t>
      </w:r>
      <w:r>
        <w:rPr>
          <w:szCs w:val="20"/>
        </w:rPr>
        <w:t xml:space="preserve"> </w:t>
      </w:r>
      <w:r w:rsidRPr="00133F46">
        <w:rPr>
          <w:szCs w:val="20"/>
        </w:rPr>
        <w:t>final</w:t>
      </w:r>
      <w:r>
        <w:rPr>
          <w:szCs w:val="20"/>
        </w:rPr>
        <w:t xml:space="preserve"> </w:t>
      </w:r>
      <w:r w:rsidRPr="00133F46">
        <w:rPr>
          <w:szCs w:val="20"/>
        </w:rPr>
        <w:t>rules</w:t>
      </w:r>
      <w:r>
        <w:rPr>
          <w:szCs w:val="20"/>
        </w:rPr>
        <w:t xml:space="preserve"> </w:t>
      </w:r>
      <w:r w:rsidRPr="00133F46">
        <w:rPr>
          <w:szCs w:val="20"/>
        </w:rPr>
        <w:t>were</w:t>
      </w:r>
      <w:r>
        <w:rPr>
          <w:szCs w:val="20"/>
        </w:rPr>
        <w:t xml:space="preserve"> </w:t>
      </w:r>
      <w:r w:rsidRPr="00133F46">
        <w:rPr>
          <w:szCs w:val="20"/>
        </w:rPr>
        <w:t>presented</w:t>
      </w:r>
      <w:r>
        <w:rPr>
          <w:szCs w:val="20"/>
        </w:rPr>
        <w:t xml:space="preserve"> </w:t>
      </w:r>
      <w:r w:rsidRPr="00133F46">
        <w:rPr>
          <w:szCs w:val="20"/>
        </w:rPr>
        <w:t>for</w:t>
      </w:r>
      <w:r>
        <w:rPr>
          <w:szCs w:val="20"/>
        </w:rPr>
        <w:t xml:space="preserve"> </w:t>
      </w:r>
      <w:r w:rsidRPr="00133F46">
        <w:rPr>
          <w:szCs w:val="20"/>
        </w:rPr>
        <w:t>Treasury’s</w:t>
      </w:r>
      <w:r>
        <w:rPr>
          <w:szCs w:val="20"/>
        </w:rPr>
        <w:t xml:space="preserve"> </w:t>
      </w:r>
      <w:r w:rsidRPr="00133F46">
        <w:rPr>
          <w:szCs w:val="20"/>
        </w:rPr>
        <w:t>consideration.”</w:t>
      </w:r>
      <w:r>
        <w:rPr>
          <w:szCs w:val="20"/>
        </w:rPr>
        <w:t xml:space="preserve"> </w:t>
      </w:r>
      <w:r w:rsidRPr="00133F46">
        <w:rPr>
          <w:szCs w:val="20"/>
          <w:u w:val="single"/>
        </w:rPr>
        <w:t>SIH</w:t>
      </w:r>
      <w:r>
        <w:rPr>
          <w:szCs w:val="20"/>
          <w:u w:val="single"/>
        </w:rPr>
        <w:t xml:space="preserve"> </w:t>
      </w:r>
      <w:r w:rsidRPr="00133F46">
        <w:rPr>
          <w:szCs w:val="20"/>
          <w:u w:val="single"/>
        </w:rPr>
        <w:t>Partners</w:t>
      </w:r>
      <w:r w:rsidRPr="00133F46">
        <w:rPr>
          <w:szCs w:val="20"/>
        </w:rPr>
        <w:t>,</w:t>
      </w:r>
      <w:r>
        <w:rPr>
          <w:szCs w:val="20"/>
        </w:rPr>
        <w:t xml:space="preserve"> </w:t>
      </w:r>
      <w:r w:rsidRPr="00133F46">
        <w:rPr>
          <w:szCs w:val="20"/>
        </w:rPr>
        <w:t>150</w:t>
      </w:r>
      <w:r>
        <w:rPr>
          <w:szCs w:val="20"/>
        </w:rPr>
        <w:t xml:space="preserve"> </w:t>
      </w:r>
      <w:r w:rsidRPr="00133F46">
        <w:rPr>
          <w:szCs w:val="20"/>
        </w:rPr>
        <w:t>T.C.</w:t>
      </w:r>
      <w:r>
        <w:rPr>
          <w:szCs w:val="20"/>
        </w:rPr>
        <w:t xml:space="preserve"> </w:t>
      </w:r>
      <w:r w:rsidRPr="00133F46">
        <w:rPr>
          <w:szCs w:val="20"/>
        </w:rPr>
        <w:t>at</w:t>
      </w:r>
      <w:r>
        <w:rPr>
          <w:szCs w:val="20"/>
        </w:rPr>
        <w:t xml:space="preserve"> </w:t>
      </w:r>
      <w:r w:rsidRPr="00133F46">
        <w:rPr>
          <w:szCs w:val="20"/>
        </w:rPr>
        <w:t>44;</w:t>
      </w:r>
      <w:r>
        <w:rPr>
          <w:szCs w:val="20"/>
        </w:rPr>
        <w:t xml:space="preserve"> </w:t>
      </w:r>
      <w:r w:rsidRPr="00133F46">
        <w:rPr>
          <w:szCs w:val="20"/>
          <w:u w:val="single"/>
        </w:rPr>
        <w:t>see</w:t>
      </w:r>
      <w:r>
        <w:rPr>
          <w:szCs w:val="20"/>
        </w:rPr>
        <w:t xml:space="preserve"> </w:t>
      </w:r>
      <w:r w:rsidRPr="00133F46">
        <w:rPr>
          <w:szCs w:val="20"/>
        </w:rPr>
        <w:t>dissenting</w:t>
      </w:r>
      <w:r>
        <w:rPr>
          <w:szCs w:val="20"/>
        </w:rPr>
        <w:t xml:space="preserve"> </w:t>
      </w:r>
      <w:r w:rsidRPr="00133F46">
        <w:rPr>
          <w:szCs w:val="20"/>
        </w:rPr>
        <w:t>op.</w:t>
      </w:r>
      <w:r>
        <w:rPr>
          <w:szCs w:val="20"/>
        </w:rPr>
        <w:t xml:space="preserve"> </w:t>
      </w:r>
      <w:r w:rsidRPr="00133F46">
        <w:rPr>
          <w:szCs w:val="20"/>
        </w:rPr>
        <w:t>p.</w:t>
      </w:r>
      <w:r>
        <w:rPr>
          <w:szCs w:val="20"/>
        </w:rPr>
        <w:t xml:space="preserve"> </w:t>
      </w:r>
      <w:r w:rsidRPr="00133F46">
        <w:rPr>
          <w:szCs w:val="20"/>
        </w:rPr>
        <w:t>102</w:t>
      </w:r>
      <w:r>
        <w:rPr>
          <w:szCs w:val="20"/>
        </w:rPr>
        <w:t xml:space="preserve"> </w:t>
      </w:r>
      <w:r w:rsidRPr="00133F46">
        <w:rPr>
          <w:szCs w:val="20"/>
        </w:rPr>
        <w:t>(“A</w:t>
      </w:r>
      <w:r>
        <w:rPr>
          <w:szCs w:val="20"/>
        </w:rPr>
        <w:t xml:space="preserve"> </w:t>
      </w:r>
      <w:r w:rsidRPr="00133F46">
        <w:rPr>
          <w:szCs w:val="20"/>
        </w:rPr>
        <w:t>comment</w:t>
      </w:r>
      <w:r>
        <w:rPr>
          <w:szCs w:val="20"/>
        </w:rPr>
        <w:t xml:space="preserve"> </w:t>
      </w:r>
      <w:r w:rsidRPr="00133F46">
        <w:rPr>
          <w:szCs w:val="20"/>
        </w:rPr>
        <w:t>is</w:t>
      </w:r>
      <w:r>
        <w:rPr>
          <w:szCs w:val="20"/>
        </w:rPr>
        <w:t xml:space="preserve"> </w:t>
      </w:r>
      <w:r w:rsidRPr="00133F46">
        <w:rPr>
          <w:szCs w:val="20"/>
        </w:rPr>
        <w:t>*</w:t>
      </w:r>
      <w:r>
        <w:rPr>
          <w:szCs w:val="20"/>
        </w:rPr>
        <w:t xml:space="preserve"> </w:t>
      </w:r>
      <w:r w:rsidRPr="00133F46">
        <w:rPr>
          <w:szCs w:val="20"/>
        </w:rPr>
        <w:t>*</w:t>
      </w:r>
      <w:r>
        <w:rPr>
          <w:szCs w:val="20"/>
        </w:rPr>
        <w:t xml:space="preserve"> </w:t>
      </w:r>
      <w:r w:rsidRPr="00133F46">
        <w:rPr>
          <w:szCs w:val="20"/>
        </w:rPr>
        <w:t>*</w:t>
      </w:r>
      <w:r>
        <w:rPr>
          <w:szCs w:val="20"/>
        </w:rPr>
        <w:t xml:space="preserve"> </w:t>
      </w:r>
      <w:r w:rsidRPr="00133F46">
        <w:rPr>
          <w:szCs w:val="20"/>
        </w:rPr>
        <w:t>more</w:t>
      </w:r>
      <w:r>
        <w:rPr>
          <w:szCs w:val="20"/>
        </w:rPr>
        <w:t xml:space="preserve"> </w:t>
      </w:r>
      <w:r w:rsidRPr="00133F46">
        <w:rPr>
          <w:szCs w:val="20"/>
        </w:rPr>
        <w:t>likely</w:t>
      </w:r>
      <w:r>
        <w:rPr>
          <w:szCs w:val="20"/>
        </w:rPr>
        <w:t xml:space="preserve"> </w:t>
      </w:r>
      <w:r w:rsidRPr="00133F46">
        <w:rPr>
          <w:szCs w:val="20"/>
        </w:rPr>
        <w:t>to</w:t>
      </w:r>
      <w:r>
        <w:rPr>
          <w:szCs w:val="20"/>
        </w:rPr>
        <w:t xml:space="preserve"> </w:t>
      </w:r>
      <w:r w:rsidRPr="00133F46">
        <w:rPr>
          <w:szCs w:val="20"/>
        </w:rPr>
        <w:t>be</w:t>
      </w:r>
      <w:r>
        <w:rPr>
          <w:szCs w:val="20"/>
        </w:rPr>
        <w:t xml:space="preserve"> </w:t>
      </w:r>
      <w:r w:rsidRPr="00133F46">
        <w:rPr>
          <w:szCs w:val="20"/>
        </w:rPr>
        <w:t>significant</w:t>
      </w:r>
      <w:r>
        <w:rPr>
          <w:szCs w:val="20"/>
        </w:rPr>
        <w:t xml:space="preserve"> </w:t>
      </w:r>
      <w:r w:rsidRPr="00133F46">
        <w:rPr>
          <w:szCs w:val="20"/>
        </w:rPr>
        <w:t>if</w:t>
      </w:r>
      <w:r>
        <w:rPr>
          <w:szCs w:val="20"/>
        </w:rPr>
        <w:t xml:space="preserve"> </w:t>
      </w:r>
      <w:r w:rsidRPr="00133F46">
        <w:rPr>
          <w:szCs w:val="20"/>
        </w:rPr>
        <w:t>the</w:t>
      </w:r>
      <w:r>
        <w:rPr>
          <w:szCs w:val="20"/>
        </w:rPr>
        <w:t xml:space="preserve"> </w:t>
      </w:r>
      <w:r w:rsidRPr="00133F46">
        <w:rPr>
          <w:szCs w:val="20"/>
        </w:rPr>
        <w:t>commenter</w:t>
      </w:r>
      <w:r>
        <w:rPr>
          <w:szCs w:val="20"/>
        </w:rPr>
        <w:t xml:space="preserve"> </w:t>
      </w:r>
      <w:r w:rsidRPr="00133F46">
        <w:rPr>
          <w:szCs w:val="20"/>
        </w:rPr>
        <w:t>suggests</w:t>
      </w:r>
      <w:r>
        <w:rPr>
          <w:szCs w:val="20"/>
        </w:rPr>
        <w:t xml:space="preserve"> </w:t>
      </w:r>
      <w:r w:rsidRPr="00133F46">
        <w:rPr>
          <w:szCs w:val="20"/>
        </w:rPr>
        <w:t>a</w:t>
      </w:r>
      <w:r>
        <w:rPr>
          <w:szCs w:val="20"/>
        </w:rPr>
        <w:t xml:space="preserve"> </w:t>
      </w:r>
      <w:r w:rsidRPr="00133F46">
        <w:rPr>
          <w:szCs w:val="20"/>
        </w:rPr>
        <w:t>remedy</w:t>
      </w:r>
      <w:r>
        <w:rPr>
          <w:szCs w:val="20"/>
        </w:rPr>
        <w:t xml:space="preserve"> </w:t>
      </w:r>
      <w:r w:rsidRPr="00133F46">
        <w:rPr>
          <w:szCs w:val="20"/>
        </w:rPr>
        <w:t>for</w:t>
      </w:r>
      <w:r>
        <w:rPr>
          <w:szCs w:val="20"/>
        </w:rPr>
        <w:t xml:space="preserve"> </w:t>
      </w:r>
      <w:r w:rsidRPr="00133F46">
        <w:rPr>
          <w:szCs w:val="20"/>
        </w:rPr>
        <w:t>the</w:t>
      </w:r>
      <w:r>
        <w:rPr>
          <w:szCs w:val="20"/>
        </w:rPr>
        <w:t xml:space="preserve"> </w:t>
      </w:r>
      <w:r w:rsidRPr="00133F46">
        <w:rPr>
          <w:szCs w:val="20"/>
        </w:rPr>
        <w:t>purported</w:t>
      </w:r>
      <w:r>
        <w:rPr>
          <w:szCs w:val="20"/>
        </w:rPr>
        <w:t xml:space="preserve"> </w:t>
      </w:r>
      <w:r w:rsidRPr="00133F46">
        <w:rPr>
          <w:szCs w:val="20"/>
        </w:rPr>
        <w:t>problem</w:t>
      </w:r>
      <w:r>
        <w:rPr>
          <w:szCs w:val="20"/>
        </w:rPr>
        <w:t xml:space="preserve"> </w:t>
      </w:r>
      <w:r w:rsidRPr="00133F46">
        <w:rPr>
          <w:szCs w:val="20"/>
        </w:rPr>
        <w:t>it</w:t>
      </w:r>
      <w:r>
        <w:rPr>
          <w:szCs w:val="20"/>
        </w:rPr>
        <w:t xml:space="preserve"> </w:t>
      </w:r>
      <w:r w:rsidRPr="00133F46">
        <w:rPr>
          <w:szCs w:val="20"/>
        </w:rPr>
        <w:t>identifies.”).</w:t>
      </w:r>
      <w:r>
        <w:rPr>
          <w:szCs w:val="20"/>
        </w:rPr>
        <w:t xml:space="preserve"> </w:t>
      </w:r>
      <w:r w:rsidRPr="00133F46">
        <w:rPr>
          <w:szCs w:val="20"/>
        </w:rPr>
        <w:t>NYLC</w:t>
      </w:r>
      <w:r>
        <w:rPr>
          <w:szCs w:val="20"/>
        </w:rPr>
        <w:t xml:space="preserve"> </w:t>
      </w:r>
      <w:r w:rsidRPr="00133F46">
        <w:rPr>
          <w:szCs w:val="20"/>
        </w:rPr>
        <w:t>offered</w:t>
      </w:r>
      <w:r>
        <w:rPr>
          <w:szCs w:val="20"/>
        </w:rPr>
        <w:t xml:space="preserve"> </w:t>
      </w:r>
      <w:r w:rsidRPr="00133F46">
        <w:rPr>
          <w:szCs w:val="20"/>
        </w:rPr>
        <w:t>no</w:t>
      </w:r>
      <w:r>
        <w:rPr>
          <w:szCs w:val="20"/>
        </w:rPr>
        <w:t xml:space="preserve"> </w:t>
      </w:r>
      <w:r w:rsidRPr="00133F46">
        <w:rPr>
          <w:szCs w:val="20"/>
        </w:rPr>
        <w:t>suggestion</w:t>
      </w:r>
      <w:r>
        <w:rPr>
          <w:szCs w:val="20"/>
        </w:rPr>
        <w:t xml:space="preserve"> </w:t>
      </w:r>
      <w:r w:rsidRPr="00133F46">
        <w:rPr>
          <w:szCs w:val="20"/>
        </w:rPr>
        <w:t>about</w:t>
      </w:r>
      <w:r>
        <w:rPr>
          <w:szCs w:val="20"/>
        </w:rPr>
        <w:t xml:space="preserve"> </w:t>
      </w:r>
      <w:r w:rsidRPr="00133F46">
        <w:rPr>
          <w:szCs w:val="20"/>
        </w:rPr>
        <w:t>how</w:t>
      </w:r>
      <w:r>
        <w:rPr>
          <w:szCs w:val="20"/>
        </w:rPr>
        <w:t xml:space="preserve"> </w:t>
      </w:r>
      <w:r w:rsidRPr="00133F46">
        <w:rPr>
          <w:szCs w:val="20"/>
        </w:rPr>
        <w:t>the</w:t>
      </w:r>
      <w:r>
        <w:rPr>
          <w:szCs w:val="20"/>
        </w:rPr>
        <w:t xml:space="preserve"> </w:t>
      </w:r>
      <w:r w:rsidRPr="00133F46">
        <w:rPr>
          <w:szCs w:val="20"/>
        </w:rPr>
        <w:t>subject</w:t>
      </w:r>
      <w:r>
        <w:rPr>
          <w:szCs w:val="20"/>
        </w:rPr>
        <w:t xml:space="preserve"> </w:t>
      </w:r>
      <w:r w:rsidRPr="00133F46">
        <w:rPr>
          <w:szCs w:val="20"/>
        </w:rPr>
        <w:t>of</w:t>
      </w:r>
      <w:r>
        <w:rPr>
          <w:szCs w:val="20"/>
        </w:rPr>
        <w:t xml:space="preserve"> </w:t>
      </w:r>
      <w:r w:rsidRPr="00133F46">
        <w:rPr>
          <w:szCs w:val="20"/>
        </w:rPr>
        <w:t>donor</w:t>
      </w:r>
      <w:r>
        <w:rPr>
          <w:szCs w:val="20"/>
        </w:rPr>
        <w:t xml:space="preserve"> </w:t>
      </w:r>
      <w:r w:rsidRPr="00133F46">
        <w:rPr>
          <w:szCs w:val="20"/>
        </w:rPr>
        <w:t>improvements</w:t>
      </w:r>
      <w:r>
        <w:rPr>
          <w:szCs w:val="20"/>
        </w:rPr>
        <w:t xml:space="preserve"> </w:t>
      </w:r>
      <w:r w:rsidRPr="00133F46">
        <w:rPr>
          <w:szCs w:val="20"/>
        </w:rPr>
        <w:t>might</w:t>
      </w:r>
      <w:r>
        <w:rPr>
          <w:szCs w:val="20"/>
        </w:rPr>
        <w:t xml:space="preserve"> </w:t>
      </w:r>
      <w:r w:rsidRPr="00133F46">
        <w:rPr>
          <w:szCs w:val="20"/>
        </w:rPr>
        <w:t>be</w:t>
      </w:r>
      <w:r>
        <w:rPr>
          <w:szCs w:val="20"/>
        </w:rPr>
        <w:t xml:space="preserve"> </w:t>
      </w:r>
      <w:r w:rsidRPr="00133F46">
        <w:rPr>
          <w:szCs w:val="20"/>
        </w:rPr>
        <w:t>handled;</w:t>
      </w:r>
      <w:r>
        <w:rPr>
          <w:szCs w:val="20"/>
        </w:rPr>
        <w:t xml:space="preserve"> </w:t>
      </w:r>
      <w:r w:rsidRPr="00133F46">
        <w:rPr>
          <w:szCs w:val="20"/>
        </w:rPr>
        <w:t>it</w:t>
      </w:r>
      <w:r>
        <w:rPr>
          <w:szCs w:val="20"/>
        </w:rPr>
        <w:t xml:space="preserve"> </w:t>
      </w:r>
      <w:r w:rsidRPr="00133F46">
        <w:rPr>
          <w:szCs w:val="20"/>
        </w:rPr>
        <w:t>simply</w:t>
      </w:r>
      <w:r>
        <w:rPr>
          <w:szCs w:val="20"/>
        </w:rPr>
        <w:t xml:space="preserve"> </w:t>
      </w:r>
      <w:r w:rsidRPr="00133F46">
        <w:rPr>
          <w:szCs w:val="20"/>
        </w:rPr>
        <w:t>recommended</w:t>
      </w:r>
      <w:r>
        <w:rPr>
          <w:szCs w:val="20"/>
        </w:rPr>
        <w:t xml:space="preserve"> </w:t>
      </w:r>
      <w:r w:rsidRPr="00133F46">
        <w:rPr>
          <w:szCs w:val="20"/>
        </w:rPr>
        <w:t>“deletion</w:t>
      </w:r>
      <w:r>
        <w:rPr>
          <w:szCs w:val="20"/>
        </w:rPr>
        <w:t xml:space="preserve"> </w:t>
      </w:r>
      <w:r w:rsidRPr="00133F46">
        <w:rPr>
          <w:szCs w:val="20"/>
        </w:rPr>
        <w:t>of</w:t>
      </w:r>
      <w:r>
        <w:rPr>
          <w:szCs w:val="20"/>
        </w:rPr>
        <w:t xml:space="preserve"> </w:t>
      </w:r>
      <w:r w:rsidRPr="00133F46">
        <w:rPr>
          <w:szCs w:val="20"/>
        </w:rPr>
        <w:t>the</w:t>
      </w:r>
      <w:r>
        <w:rPr>
          <w:szCs w:val="20"/>
        </w:rPr>
        <w:t xml:space="preserve"> </w:t>
      </w:r>
      <w:r w:rsidRPr="00133F46">
        <w:rPr>
          <w:szCs w:val="20"/>
        </w:rPr>
        <w:t>entire</w:t>
      </w:r>
      <w:r>
        <w:rPr>
          <w:szCs w:val="20"/>
        </w:rPr>
        <w:t xml:space="preserve"> </w:t>
      </w:r>
      <w:r w:rsidRPr="00133F46">
        <w:rPr>
          <w:szCs w:val="20"/>
        </w:rPr>
        <w:t>extinguishment</w:t>
      </w:r>
      <w:r>
        <w:rPr>
          <w:szCs w:val="20"/>
        </w:rPr>
        <w:t xml:space="preserve"> </w:t>
      </w:r>
      <w:r w:rsidRPr="00133F46">
        <w:rPr>
          <w:szCs w:val="20"/>
        </w:rPr>
        <w:t>provision.”</w:t>
      </w:r>
      <w:r>
        <w:rPr>
          <w:szCs w:val="20"/>
        </w:rPr>
        <w:t xml:space="preserve"> </w:t>
      </w:r>
      <w:r w:rsidRPr="00133F46">
        <w:rPr>
          <w:szCs w:val="20"/>
        </w:rPr>
        <w:t>Only</w:t>
      </w:r>
      <w:r>
        <w:rPr>
          <w:szCs w:val="20"/>
        </w:rPr>
        <w:t xml:space="preserve"> </w:t>
      </w:r>
      <w:r w:rsidRPr="00133F46">
        <w:rPr>
          <w:szCs w:val="20"/>
        </w:rPr>
        <w:t>one</w:t>
      </w:r>
      <w:r>
        <w:rPr>
          <w:szCs w:val="20"/>
        </w:rPr>
        <w:t xml:space="preserve"> </w:t>
      </w:r>
      <w:r w:rsidRPr="00133F46">
        <w:rPr>
          <w:szCs w:val="20"/>
        </w:rPr>
        <w:t>other</w:t>
      </w:r>
      <w:r>
        <w:rPr>
          <w:szCs w:val="20"/>
        </w:rPr>
        <w:t xml:space="preserve"> </w:t>
      </w:r>
      <w:r w:rsidRPr="00133F46">
        <w:rPr>
          <w:szCs w:val="20"/>
        </w:rPr>
        <w:t>commenter</w:t>
      </w:r>
      <w:r>
        <w:rPr>
          <w:szCs w:val="20"/>
        </w:rPr>
        <w:t xml:space="preserve"> </w:t>
      </w:r>
      <w:r w:rsidRPr="00133F46">
        <w:rPr>
          <w:szCs w:val="20"/>
        </w:rPr>
        <w:t>of</w:t>
      </w:r>
      <w:r>
        <w:rPr>
          <w:szCs w:val="20"/>
        </w:rPr>
        <w:t xml:space="preserve"> </w:t>
      </w:r>
      <w:r w:rsidRPr="00133F46">
        <w:rPr>
          <w:szCs w:val="20"/>
        </w:rPr>
        <w:t>the</w:t>
      </w:r>
      <w:r>
        <w:rPr>
          <w:szCs w:val="20"/>
        </w:rPr>
        <w:t xml:space="preserve"> </w:t>
      </w:r>
      <w:r w:rsidRPr="00133F46">
        <w:rPr>
          <w:szCs w:val="20"/>
        </w:rPr>
        <w:t>13</w:t>
      </w:r>
      <w:r>
        <w:rPr>
          <w:szCs w:val="20"/>
        </w:rPr>
        <w:t xml:space="preserve"> </w:t>
      </w:r>
      <w:r w:rsidRPr="00133F46">
        <w:rPr>
          <w:szCs w:val="20"/>
        </w:rPr>
        <w:t>mentioning</w:t>
      </w:r>
      <w:r>
        <w:rPr>
          <w:szCs w:val="20"/>
        </w:rPr>
        <w:t xml:space="preserve"> </w:t>
      </w:r>
      <w:r w:rsidRPr="00133F46">
        <w:rPr>
          <w:szCs w:val="20"/>
        </w:rPr>
        <w:t>judicial</w:t>
      </w:r>
      <w:r>
        <w:rPr>
          <w:szCs w:val="20"/>
        </w:rPr>
        <w:t xml:space="preserve"> </w:t>
      </w:r>
      <w:r w:rsidRPr="00133F46">
        <w:rPr>
          <w:szCs w:val="20"/>
        </w:rPr>
        <w:t>extinguishment</w:t>
      </w:r>
      <w:r>
        <w:rPr>
          <w:szCs w:val="20"/>
        </w:rPr>
        <w:t xml:space="preserve"> </w:t>
      </w:r>
      <w:r w:rsidRPr="00133F46">
        <w:rPr>
          <w:szCs w:val="20"/>
        </w:rPr>
        <w:t>voiced</w:t>
      </w:r>
      <w:r>
        <w:rPr>
          <w:szCs w:val="20"/>
        </w:rPr>
        <w:t xml:space="preserve"> </w:t>
      </w:r>
      <w:r w:rsidRPr="00133F46">
        <w:rPr>
          <w:szCs w:val="20"/>
        </w:rPr>
        <w:t>that</w:t>
      </w:r>
      <w:r>
        <w:rPr>
          <w:szCs w:val="20"/>
        </w:rPr>
        <w:t xml:space="preserve"> </w:t>
      </w:r>
      <w:r w:rsidRPr="00133F46">
        <w:rPr>
          <w:szCs w:val="20"/>
        </w:rPr>
        <w:t>recommendation.</w:t>
      </w:r>
    </w:p>
    <w:p w:rsidR="007649DB" w:rsidRDefault="007649DB" w:rsidP="007649DB">
      <w:pPr>
        <w:pStyle w:val="Body15"/>
        <w:spacing w:before="240"/>
        <w:rPr>
          <w:color w:val="000000" w:themeColor="text1"/>
        </w:rPr>
      </w:pPr>
      <w:r>
        <w:rPr>
          <w:color w:val="000000" w:themeColor="text1"/>
        </w:rPr>
        <w:t>Footnote 3, relevant to the dissent, states:</w:t>
      </w:r>
    </w:p>
    <w:p w:rsidR="007649DB" w:rsidRPr="00E4787B" w:rsidRDefault="007649DB" w:rsidP="007649DB">
      <w:pPr>
        <w:pStyle w:val="QS10"/>
        <w:rPr>
          <w:color w:val="000000" w:themeColor="text1"/>
          <w:szCs w:val="20"/>
        </w:rPr>
      </w:pPr>
      <w:r w:rsidRPr="003D2498">
        <w:rPr>
          <w:szCs w:val="20"/>
        </w:rPr>
        <w:t>Our</w:t>
      </w:r>
      <w:r>
        <w:rPr>
          <w:szCs w:val="20"/>
        </w:rPr>
        <w:t xml:space="preserve"> </w:t>
      </w:r>
      <w:r w:rsidRPr="003D2498">
        <w:rPr>
          <w:szCs w:val="20"/>
        </w:rPr>
        <w:t>dissenting</w:t>
      </w:r>
      <w:r>
        <w:rPr>
          <w:szCs w:val="20"/>
        </w:rPr>
        <w:t xml:space="preserve"> </w:t>
      </w:r>
      <w:r w:rsidRPr="003D2498">
        <w:rPr>
          <w:szCs w:val="20"/>
        </w:rPr>
        <w:t>colleague</w:t>
      </w:r>
      <w:r>
        <w:rPr>
          <w:szCs w:val="20"/>
        </w:rPr>
        <w:t xml:space="preserve"> </w:t>
      </w:r>
      <w:r w:rsidRPr="003D2498">
        <w:rPr>
          <w:szCs w:val="20"/>
        </w:rPr>
        <w:t>errs</w:t>
      </w:r>
      <w:r>
        <w:rPr>
          <w:szCs w:val="20"/>
        </w:rPr>
        <w:t xml:space="preserve"> </w:t>
      </w:r>
      <w:r w:rsidRPr="003D2498">
        <w:rPr>
          <w:szCs w:val="20"/>
        </w:rPr>
        <w:t>in</w:t>
      </w:r>
      <w:r>
        <w:rPr>
          <w:szCs w:val="20"/>
        </w:rPr>
        <w:t xml:space="preserve"> </w:t>
      </w:r>
      <w:r w:rsidRPr="003D2498">
        <w:rPr>
          <w:szCs w:val="20"/>
        </w:rPr>
        <w:t>relying</w:t>
      </w:r>
      <w:r>
        <w:rPr>
          <w:szCs w:val="20"/>
        </w:rPr>
        <w:t xml:space="preserve"> </w:t>
      </w:r>
      <w:r w:rsidRPr="003D2498">
        <w:rPr>
          <w:szCs w:val="20"/>
        </w:rPr>
        <w:t>on</w:t>
      </w:r>
      <w:r>
        <w:rPr>
          <w:szCs w:val="20"/>
        </w:rPr>
        <w:t xml:space="preserve"> </w:t>
      </w:r>
      <w:r w:rsidRPr="003D2498">
        <w:rPr>
          <w:szCs w:val="20"/>
          <w:u w:val="single"/>
        </w:rPr>
        <w:t>United</w:t>
      </w:r>
      <w:r>
        <w:rPr>
          <w:szCs w:val="20"/>
          <w:u w:val="single"/>
        </w:rPr>
        <w:t xml:space="preserve"> </w:t>
      </w:r>
      <w:r w:rsidRPr="003D2498">
        <w:rPr>
          <w:szCs w:val="20"/>
          <w:u w:val="single"/>
        </w:rPr>
        <w:t>States</w:t>
      </w:r>
      <w:r>
        <w:rPr>
          <w:szCs w:val="20"/>
          <w:u w:val="single"/>
        </w:rPr>
        <w:t xml:space="preserve"> </w:t>
      </w:r>
      <w:r w:rsidRPr="003D2498">
        <w:rPr>
          <w:szCs w:val="20"/>
          <w:u w:val="single"/>
        </w:rPr>
        <w:t>v.</w:t>
      </w:r>
      <w:r>
        <w:rPr>
          <w:szCs w:val="20"/>
          <w:u w:val="single"/>
        </w:rPr>
        <w:t xml:space="preserve"> </w:t>
      </w:r>
      <w:r w:rsidRPr="003D2498">
        <w:rPr>
          <w:szCs w:val="20"/>
          <w:u w:val="single"/>
        </w:rPr>
        <w:t>Nova</w:t>
      </w:r>
      <w:r>
        <w:rPr>
          <w:szCs w:val="20"/>
          <w:u w:val="single"/>
        </w:rPr>
        <w:t xml:space="preserve"> </w:t>
      </w:r>
      <w:r w:rsidRPr="003D2498">
        <w:rPr>
          <w:szCs w:val="20"/>
          <w:u w:val="single"/>
        </w:rPr>
        <w:t>Scotia</w:t>
      </w:r>
      <w:r>
        <w:rPr>
          <w:szCs w:val="20"/>
        </w:rPr>
        <w:t xml:space="preserve"> </w:t>
      </w:r>
      <w:r w:rsidRPr="003D2498">
        <w:rPr>
          <w:szCs w:val="20"/>
          <w:u w:val="single"/>
        </w:rPr>
        <w:t>Food</w:t>
      </w:r>
      <w:r>
        <w:rPr>
          <w:szCs w:val="20"/>
          <w:u w:val="single"/>
        </w:rPr>
        <w:t xml:space="preserve"> </w:t>
      </w:r>
      <w:r w:rsidRPr="003D2498">
        <w:rPr>
          <w:szCs w:val="20"/>
          <w:u w:val="single"/>
        </w:rPr>
        <w:t>Prods.</w:t>
      </w:r>
      <w:r>
        <w:rPr>
          <w:szCs w:val="20"/>
          <w:u w:val="single"/>
        </w:rPr>
        <w:t xml:space="preserve"> </w:t>
      </w:r>
      <w:r w:rsidRPr="003D2498">
        <w:rPr>
          <w:szCs w:val="20"/>
          <w:u w:val="single"/>
        </w:rPr>
        <w:t>Corp.</w:t>
      </w:r>
      <w:r w:rsidRPr="003D2498">
        <w:rPr>
          <w:szCs w:val="20"/>
        </w:rPr>
        <w:t>,</w:t>
      </w:r>
      <w:r>
        <w:rPr>
          <w:szCs w:val="20"/>
        </w:rPr>
        <w:t xml:space="preserve"> </w:t>
      </w:r>
      <w:r w:rsidRPr="003D2498">
        <w:rPr>
          <w:szCs w:val="20"/>
        </w:rPr>
        <w:t>568</w:t>
      </w:r>
      <w:r>
        <w:rPr>
          <w:szCs w:val="20"/>
        </w:rPr>
        <w:t xml:space="preserve"> </w:t>
      </w:r>
      <w:r w:rsidRPr="003D2498">
        <w:rPr>
          <w:szCs w:val="20"/>
        </w:rPr>
        <w:t>F.2d</w:t>
      </w:r>
      <w:r>
        <w:rPr>
          <w:szCs w:val="20"/>
        </w:rPr>
        <w:t xml:space="preserve"> </w:t>
      </w:r>
      <w:r w:rsidRPr="003D2498">
        <w:rPr>
          <w:szCs w:val="20"/>
        </w:rPr>
        <w:t>240</w:t>
      </w:r>
      <w:r>
        <w:rPr>
          <w:szCs w:val="20"/>
        </w:rPr>
        <w:t xml:space="preserve"> </w:t>
      </w:r>
      <w:r w:rsidRPr="003D2498">
        <w:rPr>
          <w:szCs w:val="20"/>
        </w:rPr>
        <w:t>(2d</w:t>
      </w:r>
      <w:r>
        <w:rPr>
          <w:szCs w:val="20"/>
        </w:rPr>
        <w:t xml:space="preserve"> </w:t>
      </w:r>
      <w:r w:rsidRPr="003D2498">
        <w:rPr>
          <w:szCs w:val="20"/>
        </w:rPr>
        <w:t>Cir.</w:t>
      </w:r>
      <w:r>
        <w:rPr>
          <w:szCs w:val="20"/>
        </w:rPr>
        <w:t xml:space="preserve"> </w:t>
      </w:r>
      <w:r w:rsidRPr="003D2498">
        <w:rPr>
          <w:szCs w:val="20"/>
        </w:rPr>
        <w:t>1977),</w:t>
      </w:r>
      <w:r>
        <w:rPr>
          <w:szCs w:val="20"/>
        </w:rPr>
        <w:t xml:space="preserve"> </w:t>
      </w:r>
      <w:r w:rsidRPr="003D2498">
        <w:rPr>
          <w:szCs w:val="20"/>
        </w:rPr>
        <w:t>to</w:t>
      </w:r>
      <w:r>
        <w:rPr>
          <w:szCs w:val="20"/>
        </w:rPr>
        <w:t xml:space="preserve"> </w:t>
      </w:r>
      <w:r w:rsidRPr="003D2498">
        <w:rPr>
          <w:szCs w:val="20"/>
        </w:rPr>
        <w:t>support</w:t>
      </w:r>
      <w:r>
        <w:rPr>
          <w:szCs w:val="20"/>
        </w:rPr>
        <w:t xml:space="preserve"> </w:t>
      </w:r>
      <w:r w:rsidRPr="003D2498">
        <w:rPr>
          <w:szCs w:val="20"/>
        </w:rPr>
        <w:t>his</w:t>
      </w:r>
      <w:r>
        <w:rPr>
          <w:szCs w:val="20"/>
        </w:rPr>
        <w:t xml:space="preserve"> </w:t>
      </w:r>
      <w:r w:rsidRPr="003D2498">
        <w:rPr>
          <w:szCs w:val="20"/>
        </w:rPr>
        <w:t>position.</w:t>
      </w:r>
      <w:r>
        <w:rPr>
          <w:szCs w:val="20"/>
        </w:rPr>
        <w:t xml:space="preserve"> </w:t>
      </w:r>
      <w:r w:rsidRPr="003D2498">
        <w:rPr>
          <w:szCs w:val="20"/>
          <w:u w:val="single"/>
        </w:rPr>
        <w:t>See</w:t>
      </w:r>
      <w:r>
        <w:rPr>
          <w:szCs w:val="20"/>
          <w:u w:val="single"/>
        </w:rPr>
        <w:t xml:space="preserve"> </w:t>
      </w:r>
      <w:r w:rsidRPr="003D2498">
        <w:rPr>
          <w:szCs w:val="20"/>
        </w:rPr>
        <w:t>dissenting</w:t>
      </w:r>
      <w:r>
        <w:rPr>
          <w:szCs w:val="20"/>
        </w:rPr>
        <w:t xml:space="preserve"> </w:t>
      </w:r>
      <w:r w:rsidRPr="003D2498">
        <w:rPr>
          <w:szCs w:val="20"/>
        </w:rPr>
        <w:t>op.</w:t>
      </w:r>
      <w:r>
        <w:rPr>
          <w:szCs w:val="20"/>
        </w:rPr>
        <w:t xml:space="preserve"> </w:t>
      </w:r>
      <w:r w:rsidRPr="003D2498">
        <w:rPr>
          <w:szCs w:val="20"/>
        </w:rPr>
        <w:t>pp.</w:t>
      </w:r>
      <w:r>
        <w:rPr>
          <w:szCs w:val="20"/>
        </w:rPr>
        <w:t xml:space="preserve"> </w:t>
      </w:r>
      <w:r w:rsidRPr="003D2498">
        <w:rPr>
          <w:szCs w:val="20"/>
        </w:rPr>
        <w:t>110-113.</w:t>
      </w:r>
      <w:r>
        <w:rPr>
          <w:szCs w:val="20"/>
        </w:rPr>
        <w:t xml:space="preserve"> </w:t>
      </w:r>
      <w:r w:rsidRPr="003D2498">
        <w:rPr>
          <w:szCs w:val="20"/>
        </w:rPr>
        <w:t>That</w:t>
      </w:r>
      <w:r>
        <w:rPr>
          <w:szCs w:val="20"/>
        </w:rPr>
        <w:t xml:space="preserve"> </w:t>
      </w:r>
      <w:r w:rsidRPr="003D2498">
        <w:rPr>
          <w:szCs w:val="20"/>
        </w:rPr>
        <w:t>case</w:t>
      </w:r>
      <w:r>
        <w:rPr>
          <w:szCs w:val="20"/>
        </w:rPr>
        <w:t xml:space="preserve"> </w:t>
      </w:r>
      <w:r w:rsidRPr="003D2498">
        <w:rPr>
          <w:szCs w:val="20"/>
        </w:rPr>
        <w:t>involved</w:t>
      </w:r>
      <w:r>
        <w:rPr>
          <w:szCs w:val="20"/>
        </w:rPr>
        <w:t xml:space="preserve"> </w:t>
      </w:r>
      <w:r w:rsidRPr="003D2498">
        <w:rPr>
          <w:szCs w:val="20"/>
        </w:rPr>
        <w:t>a</w:t>
      </w:r>
      <w:r>
        <w:rPr>
          <w:szCs w:val="20"/>
        </w:rPr>
        <w:t xml:space="preserve"> </w:t>
      </w:r>
      <w:r w:rsidRPr="003D2498">
        <w:rPr>
          <w:szCs w:val="20"/>
        </w:rPr>
        <w:t>Food</w:t>
      </w:r>
      <w:r>
        <w:rPr>
          <w:szCs w:val="20"/>
        </w:rPr>
        <w:t xml:space="preserve"> </w:t>
      </w:r>
      <w:r w:rsidRPr="003D2498">
        <w:rPr>
          <w:szCs w:val="20"/>
        </w:rPr>
        <w:t>and</w:t>
      </w:r>
      <w:r>
        <w:rPr>
          <w:szCs w:val="20"/>
        </w:rPr>
        <w:t xml:space="preserve"> </w:t>
      </w:r>
      <w:r w:rsidRPr="003D2498">
        <w:rPr>
          <w:szCs w:val="20"/>
        </w:rPr>
        <w:t>Drug</w:t>
      </w:r>
      <w:r>
        <w:rPr>
          <w:szCs w:val="20"/>
        </w:rPr>
        <w:t xml:space="preserve"> </w:t>
      </w:r>
      <w:r w:rsidRPr="003D2498">
        <w:rPr>
          <w:szCs w:val="20"/>
        </w:rPr>
        <w:t>Administration</w:t>
      </w:r>
      <w:r>
        <w:rPr>
          <w:szCs w:val="20"/>
        </w:rPr>
        <w:t xml:space="preserve"> </w:t>
      </w:r>
      <w:r w:rsidRPr="003D2498">
        <w:rPr>
          <w:szCs w:val="20"/>
        </w:rPr>
        <w:t>(FDA)</w:t>
      </w:r>
      <w:r>
        <w:rPr>
          <w:szCs w:val="20"/>
        </w:rPr>
        <w:t xml:space="preserve"> </w:t>
      </w:r>
      <w:r w:rsidRPr="003D2498">
        <w:rPr>
          <w:szCs w:val="20"/>
        </w:rPr>
        <w:t>regulation</w:t>
      </w:r>
      <w:r>
        <w:rPr>
          <w:szCs w:val="20"/>
        </w:rPr>
        <w:t xml:space="preserve"> </w:t>
      </w:r>
      <w:r w:rsidRPr="003D2498">
        <w:rPr>
          <w:szCs w:val="20"/>
        </w:rPr>
        <w:t>establishing</w:t>
      </w:r>
      <w:r>
        <w:rPr>
          <w:szCs w:val="20"/>
        </w:rPr>
        <w:t xml:space="preserve"> </w:t>
      </w:r>
      <w:r w:rsidRPr="003D2498">
        <w:rPr>
          <w:szCs w:val="20"/>
        </w:rPr>
        <w:t>minimum</w:t>
      </w:r>
      <w:r>
        <w:rPr>
          <w:szCs w:val="20"/>
        </w:rPr>
        <w:t xml:space="preserve"> </w:t>
      </w:r>
      <w:r w:rsidRPr="003D2498">
        <w:rPr>
          <w:szCs w:val="20"/>
        </w:rPr>
        <w:t>“time,</w:t>
      </w:r>
      <w:r>
        <w:rPr>
          <w:szCs w:val="20"/>
        </w:rPr>
        <w:t xml:space="preserve"> </w:t>
      </w:r>
      <w:r w:rsidRPr="003D2498">
        <w:rPr>
          <w:szCs w:val="20"/>
        </w:rPr>
        <w:t>temperature,</w:t>
      </w:r>
      <w:r>
        <w:rPr>
          <w:szCs w:val="20"/>
        </w:rPr>
        <w:t xml:space="preserve"> </w:t>
      </w:r>
      <w:r w:rsidRPr="003D2498">
        <w:rPr>
          <w:szCs w:val="20"/>
        </w:rPr>
        <w:t>and</w:t>
      </w:r>
      <w:r>
        <w:rPr>
          <w:szCs w:val="20"/>
        </w:rPr>
        <w:t xml:space="preserve"> </w:t>
      </w:r>
      <w:r w:rsidRPr="003D2498">
        <w:rPr>
          <w:szCs w:val="20"/>
        </w:rPr>
        <w:t>salinity”</w:t>
      </w:r>
      <w:r>
        <w:rPr>
          <w:szCs w:val="20"/>
        </w:rPr>
        <w:t xml:space="preserve"> </w:t>
      </w:r>
      <w:r w:rsidRPr="003D2498">
        <w:rPr>
          <w:szCs w:val="20"/>
        </w:rPr>
        <w:t>requirements</w:t>
      </w:r>
      <w:r>
        <w:rPr>
          <w:szCs w:val="20"/>
        </w:rPr>
        <w:t xml:space="preserve"> </w:t>
      </w:r>
      <w:r w:rsidRPr="003D2498">
        <w:rPr>
          <w:szCs w:val="20"/>
        </w:rPr>
        <w:t>for</w:t>
      </w:r>
      <w:r>
        <w:rPr>
          <w:szCs w:val="20"/>
        </w:rPr>
        <w:t xml:space="preserve"> </w:t>
      </w:r>
      <w:r w:rsidRPr="003D2498">
        <w:rPr>
          <w:szCs w:val="20"/>
        </w:rPr>
        <w:t>processing</w:t>
      </w:r>
      <w:r>
        <w:rPr>
          <w:szCs w:val="20"/>
        </w:rPr>
        <w:t xml:space="preserve"> </w:t>
      </w:r>
      <w:r w:rsidRPr="003D2498">
        <w:rPr>
          <w:szCs w:val="20"/>
        </w:rPr>
        <w:t>fish.</w:t>
      </w:r>
      <w:r>
        <w:rPr>
          <w:szCs w:val="20"/>
        </w:rPr>
        <w:t xml:space="preserve"> </w:t>
      </w:r>
      <w:r w:rsidRPr="003D2498">
        <w:rPr>
          <w:szCs w:val="20"/>
        </w:rPr>
        <w:t>The</w:t>
      </w:r>
      <w:r>
        <w:rPr>
          <w:szCs w:val="20"/>
        </w:rPr>
        <w:t xml:space="preserve"> </w:t>
      </w:r>
      <w:r w:rsidRPr="003D2498">
        <w:rPr>
          <w:szCs w:val="20"/>
        </w:rPr>
        <w:t>Second</w:t>
      </w:r>
      <w:r>
        <w:rPr>
          <w:szCs w:val="20"/>
        </w:rPr>
        <w:t xml:space="preserve"> </w:t>
      </w:r>
      <w:r w:rsidRPr="003D2498">
        <w:rPr>
          <w:szCs w:val="20"/>
        </w:rPr>
        <w:t>Circuit</w:t>
      </w:r>
      <w:r>
        <w:rPr>
          <w:szCs w:val="20"/>
        </w:rPr>
        <w:t xml:space="preserve"> </w:t>
      </w:r>
      <w:r w:rsidRPr="003D2498">
        <w:rPr>
          <w:szCs w:val="20"/>
        </w:rPr>
        <w:t>invalidated</w:t>
      </w:r>
      <w:r>
        <w:rPr>
          <w:szCs w:val="20"/>
        </w:rPr>
        <w:t xml:space="preserve"> </w:t>
      </w:r>
      <w:r w:rsidRPr="003D2498">
        <w:rPr>
          <w:szCs w:val="20"/>
        </w:rPr>
        <w:t>the</w:t>
      </w:r>
      <w:r>
        <w:rPr>
          <w:szCs w:val="20"/>
        </w:rPr>
        <w:t xml:space="preserve"> </w:t>
      </w:r>
      <w:r w:rsidRPr="003D2498">
        <w:rPr>
          <w:szCs w:val="20"/>
        </w:rPr>
        <w:t>regulation</w:t>
      </w:r>
      <w:r>
        <w:rPr>
          <w:szCs w:val="20"/>
        </w:rPr>
        <w:t xml:space="preserve"> </w:t>
      </w:r>
      <w:r w:rsidRPr="003D2498">
        <w:rPr>
          <w:szCs w:val="20"/>
        </w:rPr>
        <w:t>as</w:t>
      </w:r>
      <w:r>
        <w:rPr>
          <w:szCs w:val="20"/>
        </w:rPr>
        <w:t xml:space="preserve"> </w:t>
      </w:r>
      <w:r w:rsidRPr="003D2498">
        <w:rPr>
          <w:szCs w:val="20"/>
        </w:rPr>
        <w:t>applied</w:t>
      </w:r>
      <w:r>
        <w:rPr>
          <w:szCs w:val="20"/>
        </w:rPr>
        <w:t xml:space="preserve"> </w:t>
      </w:r>
      <w:r w:rsidRPr="003D2498">
        <w:rPr>
          <w:szCs w:val="20"/>
        </w:rPr>
        <w:t>to</w:t>
      </w:r>
      <w:r>
        <w:rPr>
          <w:szCs w:val="20"/>
        </w:rPr>
        <w:t xml:space="preserve"> </w:t>
      </w:r>
      <w:r w:rsidRPr="003D2498">
        <w:rPr>
          <w:szCs w:val="20"/>
        </w:rPr>
        <w:t>one</w:t>
      </w:r>
      <w:r>
        <w:rPr>
          <w:szCs w:val="20"/>
        </w:rPr>
        <w:t xml:space="preserve"> </w:t>
      </w:r>
      <w:r w:rsidRPr="003D2498">
        <w:rPr>
          <w:szCs w:val="20"/>
        </w:rPr>
        <w:t>category</w:t>
      </w:r>
      <w:r>
        <w:rPr>
          <w:szCs w:val="20"/>
        </w:rPr>
        <w:t xml:space="preserve"> </w:t>
      </w:r>
      <w:r w:rsidRPr="003D2498">
        <w:rPr>
          <w:szCs w:val="20"/>
        </w:rPr>
        <w:t>of</w:t>
      </w:r>
      <w:r>
        <w:rPr>
          <w:szCs w:val="20"/>
        </w:rPr>
        <w:t xml:space="preserve"> </w:t>
      </w:r>
      <w:r w:rsidRPr="003D2498">
        <w:rPr>
          <w:szCs w:val="20"/>
        </w:rPr>
        <w:t>fish</w:t>
      </w:r>
      <w:r>
        <w:rPr>
          <w:szCs w:val="20"/>
        </w:rPr>
        <w:t xml:space="preserve"> </w:t>
      </w:r>
      <w:r w:rsidRPr="003D2498">
        <w:rPr>
          <w:szCs w:val="20"/>
        </w:rPr>
        <w:t>product,</w:t>
      </w:r>
      <w:r>
        <w:rPr>
          <w:szCs w:val="20"/>
        </w:rPr>
        <w:t xml:space="preserve"> </w:t>
      </w:r>
      <w:r w:rsidRPr="003D2498">
        <w:rPr>
          <w:szCs w:val="20"/>
        </w:rPr>
        <w:t>“non-vacuum-packed</w:t>
      </w:r>
      <w:r>
        <w:rPr>
          <w:szCs w:val="20"/>
        </w:rPr>
        <w:t xml:space="preserve"> </w:t>
      </w:r>
      <w:r w:rsidRPr="003D2498">
        <w:rPr>
          <w:szCs w:val="20"/>
        </w:rPr>
        <w:t>hot-smoked</w:t>
      </w:r>
      <w:r>
        <w:rPr>
          <w:szCs w:val="20"/>
        </w:rPr>
        <w:t xml:space="preserve"> </w:t>
      </w:r>
      <w:r w:rsidRPr="003D2498">
        <w:rPr>
          <w:szCs w:val="20"/>
        </w:rPr>
        <w:t>white-fish.”</w:t>
      </w:r>
      <w:r>
        <w:rPr>
          <w:szCs w:val="20"/>
        </w:rPr>
        <w:t xml:space="preserve"> </w:t>
      </w:r>
      <w:r w:rsidRPr="003D2498">
        <w:rPr>
          <w:szCs w:val="20"/>
          <w:u w:val="single"/>
        </w:rPr>
        <w:t>Nova</w:t>
      </w:r>
      <w:r>
        <w:rPr>
          <w:szCs w:val="20"/>
          <w:u w:val="single"/>
        </w:rPr>
        <w:t xml:space="preserve"> </w:t>
      </w:r>
      <w:r w:rsidRPr="003D2498">
        <w:rPr>
          <w:szCs w:val="20"/>
          <w:u w:val="single"/>
        </w:rPr>
        <w:t>Scotia</w:t>
      </w:r>
      <w:r>
        <w:rPr>
          <w:szCs w:val="20"/>
          <w:u w:val="single"/>
        </w:rPr>
        <w:t xml:space="preserve"> </w:t>
      </w:r>
      <w:r w:rsidRPr="003D2498">
        <w:rPr>
          <w:szCs w:val="20"/>
          <w:u w:val="single"/>
        </w:rPr>
        <w:t>Food</w:t>
      </w:r>
      <w:r>
        <w:rPr>
          <w:szCs w:val="20"/>
          <w:u w:val="single"/>
        </w:rPr>
        <w:t xml:space="preserve"> </w:t>
      </w:r>
      <w:r w:rsidRPr="003D2498">
        <w:rPr>
          <w:szCs w:val="20"/>
          <w:u w:val="single"/>
        </w:rPr>
        <w:t>Prods.</w:t>
      </w:r>
      <w:r>
        <w:rPr>
          <w:szCs w:val="20"/>
          <w:u w:val="single"/>
        </w:rPr>
        <w:t xml:space="preserve"> </w:t>
      </w:r>
      <w:r w:rsidRPr="003D2498">
        <w:rPr>
          <w:szCs w:val="20"/>
          <w:u w:val="single"/>
        </w:rPr>
        <w:t>Corp.</w:t>
      </w:r>
      <w:r w:rsidRPr="003D2498">
        <w:rPr>
          <w:szCs w:val="20"/>
        </w:rPr>
        <w:t>,</w:t>
      </w:r>
      <w:r>
        <w:rPr>
          <w:szCs w:val="20"/>
        </w:rPr>
        <w:t xml:space="preserve"> </w:t>
      </w:r>
      <w:r w:rsidRPr="003D2498">
        <w:rPr>
          <w:szCs w:val="20"/>
        </w:rPr>
        <w:t>568</w:t>
      </w:r>
      <w:r>
        <w:rPr>
          <w:szCs w:val="20"/>
        </w:rPr>
        <w:t xml:space="preserve"> </w:t>
      </w:r>
      <w:r w:rsidRPr="003D2498">
        <w:rPr>
          <w:szCs w:val="20"/>
        </w:rPr>
        <w:t>F.2d</w:t>
      </w:r>
      <w:r>
        <w:rPr>
          <w:szCs w:val="20"/>
        </w:rPr>
        <w:t xml:space="preserve"> </w:t>
      </w:r>
      <w:r w:rsidRPr="003D2498">
        <w:rPr>
          <w:szCs w:val="20"/>
        </w:rPr>
        <w:t>at</w:t>
      </w:r>
      <w:r>
        <w:rPr>
          <w:szCs w:val="20"/>
        </w:rPr>
        <w:t xml:space="preserve"> </w:t>
      </w:r>
      <w:r w:rsidRPr="003D2498">
        <w:rPr>
          <w:szCs w:val="20"/>
        </w:rPr>
        <w:t>253.</w:t>
      </w:r>
      <w:r>
        <w:rPr>
          <w:szCs w:val="20"/>
        </w:rPr>
        <w:t xml:space="preserve"> </w:t>
      </w:r>
      <w:r w:rsidRPr="003D2498">
        <w:rPr>
          <w:szCs w:val="20"/>
        </w:rPr>
        <w:t>The</w:t>
      </w:r>
      <w:r>
        <w:rPr>
          <w:szCs w:val="20"/>
        </w:rPr>
        <w:t xml:space="preserve"> </w:t>
      </w:r>
      <w:r w:rsidRPr="003D2498">
        <w:rPr>
          <w:szCs w:val="20"/>
        </w:rPr>
        <w:t>court</w:t>
      </w:r>
      <w:r>
        <w:rPr>
          <w:szCs w:val="20"/>
        </w:rPr>
        <w:t xml:space="preserve"> </w:t>
      </w:r>
      <w:r w:rsidRPr="003D2498">
        <w:rPr>
          <w:szCs w:val="20"/>
        </w:rPr>
        <w:t>first</w:t>
      </w:r>
      <w:r>
        <w:rPr>
          <w:szCs w:val="20"/>
        </w:rPr>
        <w:t xml:space="preserve"> </w:t>
      </w:r>
      <w:r w:rsidRPr="003D2498">
        <w:rPr>
          <w:szCs w:val="20"/>
        </w:rPr>
        <w:t>held</w:t>
      </w:r>
      <w:r>
        <w:rPr>
          <w:szCs w:val="20"/>
        </w:rPr>
        <w:t xml:space="preserve"> </w:t>
      </w:r>
      <w:r w:rsidRPr="003D2498">
        <w:rPr>
          <w:szCs w:val="20"/>
        </w:rPr>
        <w:t>that</w:t>
      </w:r>
      <w:r>
        <w:rPr>
          <w:szCs w:val="20"/>
        </w:rPr>
        <w:t xml:space="preserve"> </w:t>
      </w:r>
      <w:r w:rsidRPr="003D2498">
        <w:rPr>
          <w:szCs w:val="20"/>
        </w:rPr>
        <w:t>the</w:t>
      </w:r>
      <w:r>
        <w:rPr>
          <w:szCs w:val="20"/>
        </w:rPr>
        <w:t xml:space="preserve"> </w:t>
      </w:r>
      <w:r w:rsidRPr="003D2498">
        <w:rPr>
          <w:szCs w:val="20"/>
        </w:rPr>
        <w:t>FDA</w:t>
      </w:r>
      <w:r>
        <w:rPr>
          <w:szCs w:val="20"/>
        </w:rPr>
        <w:t xml:space="preserve"> </w:t>
      </w:r>
      <w:r w:rsidRPr="003D2498">
        <w:rPr>
          <w:szCs w:val="20"/>
        </w:rPr>
        <w:t>had</w:t>
      </w:r>
      <w:r>
        <w:rPr>
          <w:szCs w:val="20"/>
        </w:rPr>
        <w:t xml:space="preserve"> </w:t>
      </w:r>
      <w:r w:rsidRPr="003D2498">
        <w:rPr>
          <w:szCs w:val="20"/>
        </w:rPr>
        <w:t>“failed</w:t>
      </w:r>
      <w:r>
        <w:rPr>
          <w:szCs w:val="20"/>
        </w:rPr>
        <w:t xml:space="preserve"> </w:t>
      </w:r>
      <w:r w:rsidRPr="003D2498">
        <w:rPr>
          <w:szCs w:val="20"/>
        </w:rPr>
        <w:t>to</w:t>
      </w:r>
      <w:r>
        <w:rPr>
          <w:szCs w:val="20"/>
        </w:rPr>
        <w:t xml:space="preserve"> </w:t>
      </w:r>
      <w:r w:rsidRPr="003D2498">
        <w:rPr>
          <w:szCs w:val="20"/>
        </w:rPr>
        <w:t>disclose</w:t>
      </w:r>
      <w:r>
        <w:rPr>
          <w:szCs w:val="20"/>
        </w:rPr>
        <w:t xml:space="preserve"> </w:t>
      </w:r>
      <w:r w:rsidRPr="003D2498">
        <w:rPr>
          <w:szCs w:val="20"/>
        </w:rPr>
        <w:t>to</w:t>
      </w:r>
      <w:r>
        <w:rPr>
          <w:szCs w:val="20"/>
        </w:rPr>
        <w:t xml:space="preserve"> </w:t>
      </w:r>
      <w:r w:rsidRPr="003D2498">
        <w:rPr>
          <w:szCs w:val="20"/>
        </w:rPr>
        <w:t>interested</w:t>
      </w:r>
      <w:r>
        <w:rPr>
          <w:szCs w:val="20"/>
        </w:rPr>
        <w:t xml:space="preserve"> </w:t>
      </w:r>
      <w:r w:rsidRPr="003D2498">
        <w:rPr>
          <w:szCs w:val="20"/>
        </w:rPr>
        <w:t>parties</w:t>
      </w:r>
      <w:r>
        <w:rPr>
          <w:szCs w:val="20"/>
        </w:rPr>
        <w:t xml:space="preserve"> </w:t>
      </w:r>
      <w:r w:rsidRPr="003D2498">
        <w:rPr>
          <w:szCs w:val="20"/>
        </w:rPr>
        <w:t>the</w:t>
      </w:r>
      <w:r>
        <w:rPr>
          <w:szCs w:val="20"/>
        </w:rPr>
        <w:t xml:space="preserve"> </w:t>
      </w:r>
      <w:r w:rsidRPr="003D2498">
        <w:rPr>
          <w:szCs w:val="20"/>
        </w:rPr>
        <w:t>scientific</w:t>
      </w:r>
      <w:r>
        <w:rPr>
          <w:szCs w:val="20"/>
        </w:rPr>
        <w:t xml:space="preserve"> </w:t>
      </w:r>
      <w:r w:rsidRPr="003D2498">
        <w:rPr>
          <w:szCs w:val="20"/>
        </w:rPr>
        <w:t>data</w:t>
      </w:r>
      <w:r>
        <w:rPr>
          <w:szCs w:val="20"/>
        </w:rPr>
        <w:t xml:space="preserve"> </w:t>
      </w:r>
      <w:r w:rsidRPr="003D2498">
        <w:rPr>
          <w:szCs w:val="20"/>
        </w:rPr>
        <w:t>and</w:t>
      </w:r>
      <w:r>
        <w:rPr>
          <w:szCs w:val="20"/>
        </w:rPr>
        <w:t xml:space="preserve"> </w:t>
      </w:r>
      <w:r w:rsidRPr="003D2498">
        <w:rPr>
          <w:szCs w:val="20"/>
        </w:rPr>
        <w:t>the</w:t>
      </w:r>
      <w:r>
        <w:rPr>
          <w:szCs w:val="20"/>
        </w:rPr>
        <w:t xml:space="preserve"> </w:t>
      </w:r>
      <w:r w:rsidRPr="003D2498">
        <w:rPr>
          <w:szCs w:val="20"/>
        </w:rPr>
        <w:t>methodology</w:t>
      </w:r>
      <w:r>
        <w:rPr>
          <w:szCs w:val="20"/>
        </w:rPr>
        <w:t xml:space="preserve"> </w:t>
      </w:r>
      <w:r w:rsidRPr="003D2498">
        <w:rPr>
          <w:szCs w:val="20"/>
        </w:rPr>
        <w:t>upon</w:t>
      </w:r>
      <w:r>
        <w:rPr>
          <w:szCs w:val="20"/>
        </w:rPr>
        <w:t xml:space="preserve"> </w:t>
      </w:r>
      <w:r w:rsidRPr="003D2498">
        <w:rPr>
          <w:szCs w:val="20"/>
        </w:rPr>
        <w:t>which</w:t>
      </w:r>
      <w:r>
        <w:rPr>
          <w:szCs w:val="20"/>
        </w:rPr>
        <w:t xml:space="preserve"> </w:t>
      </w:r>
      <w:r w:rsidRPr="003D2498">
        <w:rPr>
          <w:szCs w:val="20"/>
        </w:rPr>
        <w:t>it</w:t>
      </w:r>
      <w:r>
        <w:rPr>
          <w:szCs w:val="20"/>
        </w:rPr>
        <w:t xml:space="preserve"> </w:t>
      </w:r>
      <w:r w:rsidRPr="003D2498">
        <w:rPr>
          <w:szCs w:val="20"/>
        </w:rPr>
        <w:t>relied.”</w:t>
      </w:r>
      <w:r>
        <w:rPr>
          <w:szCs w:val="20"/>
        </w:rPr>
        <w:t xml:space="preserve"> </w:t>
      </w:r>
      <w:r w:rsidRPr="003D2498">
        <w:rPr>
          <w:szCs w:val="20"/>
          <w:u w:val="single"/>
        </w:rPr>
        <w:t>Id.</w:t>
      </w:r>
      <w:r>
        <w:rPr>
          <w:szCs w:val="20"/>
        </w:rPr>
        <w:t xml:space="preserve"> </w:t>
      </w:r>
      <w:r w:rsidRPr="003D2498">
        <w:rPr>
          <w:szCs w:val="20"/>
        </w:rPr>
        <w:t>at</w:t>
      </w:r>
      <w:r>
        <w:rPr>
          <w:szCs w:val="20"/>
        </w:rPr>
        <w:t xml:space="preserve"> </w:t>
      </w:r>
      <w:r w:rsidRPr="003D2498">
        <w:rPr>
          <w:szCs w:val="20"/>
        </w:rPr>
        <w:t>250.</w:t>
      </w:r>
      <w:r>
        <w:rPr>
          <w:szCs w:val="20"/>
        </w:rPr>
        <w:t xml:space="preserve"> </w:t>
      </w:r>
      <w:r w:rsidRPr="003D2498">
        <w:rPr>
          <w:szCs w:val="20"/>
        </w:rPr>
        <w:t>“When</w:t>
      </w:r>
      <w:r>
        <w:rPr>
          <w:szCs w:val="20"/>
        </w:rPr>
        <w:t xml:space="preserve"> </w:t>
      </w:r>
      <w:r w:rsidRPr="003D2498">
        <w:rPr>
          <w:szCs w:val="20"/>
        </w:rPr>
        <w:t>the</w:t>
      </w:r>
      <w:r>
        <w:rPr>
          <w:szCs w:val="20"/>
        </w:rPr>
        <w:t xml:space="preserve"> </w:t>
      </w:r>
      <w:r w:rsidRPr="003D2498">
        <w:rPr>
          <w:szCs w:val="20"/>
        </w:rPr>
        <w:t>basis</w:t>
      </w:r>
      <w:r>
        <w:rPr>
          <w:szCs w:val="20"/>
        </w:rPr>
        <w:t xml:space="preserve"> </w:t>
      </w:r>
      <w:r w:rsidRPr="003D2498">
        <w:rPr>
          <w:szCs w:val="20"/>
        </w:rPr>
        <w:t>for</w:t>
      </w:r>
      <w:r>
        <w:rPr>
          <w:szCs w:val="20"/>
        </w:rPr>
        <w:t xml:space="preserve"> </w:t>
      </w:r>
      <w:r w:rsidRPr="003D2498">
        <w:rPr>
          <w:szCs w:val="20"/>
        </w:rPr>
        <w:t>a</w:t>
      </w:r>
      <w:r>
        <w:rPr>
          <w:szCs w:val="20"/>
        </w:rPr>
        <w:t xml:space="preserve"> </w:t>
      </w:r>
      <w:r w:rsidRPr="003D2498">
        <w:rPr>
          <w:szCs w:val="20"/>
        </w:rPr>
        <w:t>proposed</w:t>
      </w:r>
      <w:r>
        <w:rPr>
          <w:szCs w:val="20"/>
        </w:rPr>
        <w:t xml:space="preserve"> </w:t>
      </w:r>
      <w:r w:rsidRPr="003D2498">
        <w:rPr>
          <w:szCs w:val="20"/>
        </w:rPr>
        <w:t>rule</w:t>
      </w:r>
      <w:r>
        <w:rPr>
          <w:szCs w:val="20"/>
        </w:rPr>
        <w:t xml:space="preserve"> </w:t>
      </w:r>
      <w:r w:rsidRPr="003D2498">
        <w:rPr>
          <w:szCs w:val="20"/>
        </w:rPr>
        <w:t>is</w:t>
      </w:r>
      <w:r>
        <w:rPr>
          <w:szCs w:val="20"/>
        </w:rPr>
        <w:t xml:space="preserve"> </w:t>
      </w:r>
      <w:r w:rsidRPr="003D2498">
        <w:rPr>
          <w:szCs w:val="20"/>
        </w:rPr>
        <w:t>a</w:t>
      </w:r>
      <w:r>
        <w:rPr>
          <w:szCs w:val="20"/>
        </w:rPr>
        <w:t xml:space="preserve"> </w:t>
      </w:r>
      <w:r w:rsidRPr="003D2498">
        <w:rPr>
          <w:szCs w:val="20"/>
        </w:rPr>
        <w:t>scientific</w:t>
      </w:r>
      <w:r>
        <w:rPr>
          <w:szCs w:val="20"/>
        </w:rPr>
        <w:t xml:space="preserve"> </w:t>
      </w:r>
      <w:r w:rsidRPr="003D2498">
        <w:rPr>
          <w:szCs w:val="20"/>
        </w:rPr>
        <w:t>decision,</w:t>
      </w:r>
      <w:r>
        <w:rPr>
          <w:szCs w:val="20"/>
        </w:rPr>
        <w:t xml:space="preserve"> </w:t>
      </w:r>
      <w:r w:rsidRPr="003D2498">
        <w:rPr>
          <w:szCs w:val="20"/>
        </w:rPr>
        <w:t>the</w:t>
      </w:r>
      <w:r>
        <w:rPr>
          <w:szCs w:val="20"/>
        </w:rPr>
        <w:t xml:space="preserve"> </w:t>
      </w:r>
      <w:r w:rsidRPr="003D2498">
        <w:rPr>
          <w:szCs w:val="20"/>
        </w:rPr>
        <w:t>scientific</w:t>
      </w:r>
      <w:r>
        <w:rPr>
          <w:szCs w:val="20"/>
        </w:rPr>
        <w:t xml:space="preserve"> </w:t>
      </w:r>
      <w:r w:rsidRPr="003D2498">
        <w:rPr>
          <w:szCs w:val="20"/>
        </w:rPr>
        <w:t>material</w:t>
      </w:r>
      <w:r>
        <w:rPr>
          <w:szCs w:val="20"/>
        </w:rPr>
        <w:t xml:space="preserve"> </w:t>
      </w:r>
      <w:r w:rsidRPr="003D2498">
        <w:rPr>
          <w:szCs w:val="20"/>
        </w:rPr>
        <w:t>which</w:t>
      </w:r>
      <w:r>
        <w:rPr>
          <w:szCs w:val="20"/>
        </w:rPr>
        <w:t xml:space="preserve"> </w:t>
      </w:r>
      <w:r w:rsidRPr="003D2498">
        <w:rPr>
          <w:szCs w:val="20"/>
        </w:rPr>
        <w:t>is</w:t>
      </w:r>
      <w:r>
        <w:rPr>
          <w:szCs w:val="20"/>
        </w:rPr>
        <w:t xml:space="preserve"> </w:t>
      </w:r>
      <w:r w:rsidRPr="003D2498">
        <w:rPr>
          <w:szCs w:val="20"/>
        </w:rPr>
        <w:t>believed</w:t>
      </w:r>
      <w:r>
        <w:rPr>
          <w:szCs w:val="20"/>
        </w:rPr>
        <w:t xml:space="preserve"> </w:t>
      </w:r>
      <w:r w:rsidRPr="003D2498">
        <w:rPr>
          <w:szCs w:val="20"/>
        </w:rPr>
        <w:t>to</w:t>
      </w:r>
      <w:r>
        <w:rPr>
          <w:szCs w:val="20"/>
        </w:rPr>
        <w:t xml:space="preserve"> </w:t>
      </w:r>
      <w:r w:rsidRPr="003D2498">
        <w:rPr>
          <w:szCs w:val="20"/>
        </w:rPr>
        <w:t>support</w:t>
      </w:r>
      <w:r>
        <w:rPr>
          <w:szCs w:val="20"/>
        </w:rPr>
        <w:t xml:space="preserve"> </w:t>
      </w:r>
      <w:r w:rsidRPr="003D2498">
        <w:rPr>
          <w:szCs w:val="20"/>
        </w:rPr>
        <w:t>the</w:t>
      </w:r>
      <w:r>
        <w:rPr>
          <w:szCs w:val="20"/>
        </w:rPr>
        <w:t xml:space="preserve"> </w:t>
      </w:r>
      <w:r w:rsidRPr="003D2498">
        <w:rPr>
          <w:szCs w:val="20"/>
        </w:rPr>
        <w:t>rule</w:t>
      </w:r>
      <w:r>
        <w:rPr>
          <w:szCs w:val="20"/>
        </w:rPr>
        <w:t xml:space="preserve"> </w:t>
      </w:r>
      <w:r w:rsidRPr="003D2498">
        <w:rPr>
          <w:szCs w:val="20"/>
        </w:rPr>
        <w:t>should</w:t>
      </w:r>
      <w:r>
        <w:rPr>
          <w:szCs w:val="20"/>
        </w:rPr>
        <w:t xml:space="preserve"> </w:t>
      </w:r>
      <w:r w:rsidRPr="003D2498">
        <w:rPr>
          <w:szCs w:val="20"/>
        </w:rPr>
        <w:t>be</w:t>
      </w:r>
      <w:r>
        <w:rPr>
          <w:szCs w:val="20"/>
        </w:rPr>
        <w:t xml:space="preserve"> </w:t>
      </w:r>
      <w:r w:rsidRPr="003D2498">
        <w:rPr>
          <w:szCs w:val="20"/>
        </w:rPr>
        <w:t>exposed</w:t>
      </w:r>
      <w:r>
        <w:rPr>
          <w:szCs w:val="20"/>
        </w:rPr>
        <w:t xml:space="preserve"> </w:t>
      </w:r>
      <w:r w:rsidRPr="003D2498">
        <w:rPr>
          <w:szCs w:val="20"/>
        </w:rPr>
        <w:t>to</w:t>
      </w:r>
      <w:r>
        <w:rPr>
          <w:szCs w:val="20"/>
        </w:rPr>
        <w:t xml:space="preserve"> </w:t>
      </w:r>
      <w:r w:rsidRPr="003D2498">
        <w:rPr>
          <w:szCs w:val="20"/>
        </w:rPr>
        <w:t>the</w:t>
      </w:r>
      <w:r>
        <w:rPr>
          <w:szCs w:val="20"/>
        </w:rPr>
        <w:t xml:space="preserve"> </w:t>
      </w:r>
      <w:r w:rsidRPr="003D2498">
        <w:rPr>
          <w:szCs w:val="20"/>
        </w:rPr>
        <w:t>view</w:t>
      </w:r>
      <w:r>
        <w:rPr>
          <w:szCs w:val="20"/>
        </w:rPr>
        <w:t xml:space="preserve"> </w:t>
      </w:r>
      <w:r w:rsidRPr="003D2498">
        <w:rPr>
          <w:szCs w:val="20"/>
        </w:rPr>
        <w:t>of</w:t>
      </w:r>
      <w:r>
        <w:rPr>
          <w:szCs w:val="20"/>
        </w:rPr>
        <w:t xml:space="preserve"> </w:t>
      </w:r>
      <w:r w:rsidRPr="003D2498">
        <w:rPr>
          <w:szCs w:val="20"/>
        </w:rPr>
        <w:t>interested</w:t>
      </w:r>
      <w:r>
        <w:rPr>
          <w:szCs w:val="20"/>
        </w:rPr>
        <w:t xml:space="preserve"> </w:t>
      </w:r>
      <w:r w:rsidRPr="003D2498">
        <w:rPr>
          <w:szCs w:val="20"/>
        </w:rPr>
        <w:t>parties</w:t>
      </w:r>
      <w:r>
        <w:rPr>
          <w:szCs w:val="20"/>
        </w:rPr>
        <w:t xml:space="preserve"> </w:t>
      </w:r>
      <w:r w:rsidRPr="003D2498">
        <w:rPr>
          <w:szCs w:val="20"/>
        </w:rPr>
        <w:t>for</w:t>
      </w:r>
      <w:r>
        <w:rPr>
          <w:szCs w:val="20"/>
        </w:rPr>
        <w:t xml:space="preserve"> </w:t>
      </w:r>
      <w:r w:rsidRPr="003D2498">
        <w:rPr>
          <w:szCs w:val="20"/>
        </w:rPr>
        <w:t>their</w:t>
      </w:r>
      <w:r>
        <w:rPr>
          <w:szCs w:val="20"/>
        </w:rPr>
        <w:t xml:space="preserve"> </w:t>
      </w:r>
      <w:r w:rsidRPr="003D2498">
        <w:rPr>
          <w:szCs w:val="20"/>
        </w:rPr>
        <w:t>comment.”</w:t>
      </w:r>
      <w:r>
        <w:rPr>
          <w:szCs w:val="20"/>
        </w:rPr>
        <w:t xml:space="preserve"> </w:t>
      </w:r>
      <w:r w:rsidRPr="003D2498">
        <w:rPr>
          <w:szCs w:val="20"/>
          <w:u w:val="single"/>
        </w:rPr>
        <w:t>Id.</w:t>
      </w:r>
      <w:r>
        <w:rPr>
          <w:szCs w:val="20"/>
        </w:rPr>
        <w:t xml:space="preserve"> </w:t>
      </w:r>
      <w:r w:rsidRPr="003D2498">
        <w:rPr>
          <w:szCs w:val="20"/>
        </w:rPr>
        <w:t>at</w:t>
      </w:r>
      <w:r>
        <w:rPr>
          <w:szCs w:val="20"/>
        </w:rPr>
        <w:t xml:space="preserve"> </w:t>
      </w:r>
      <w:r w:rsidRPr="003D2498">
        <w:rPr>
          <w:szCs w:val="20"/>
        </w:rPr>
        <w:t>252.</w:t>
      </w:r>
      <w:r>
        <w:rPr>
          <w:szCs w:val="20"/>
        </w:rPr>
        <w:t xml:space="preserve"> </w:t>
      </w:r>
      <w:r w:rsidRPr="003D2498">
        <w:rPr>
          <w:szCs w:val="20"/>
        </w:rPr>
        <w:t>The</w:t>
      </w:r>
      <w:r>
        <w:rPr>
          <w:szCs w:val="20"/>
        </w:rPr>
        <w:t xml:space="preserve"> </w:t>
      </w:r>
      <w:r w:rsidRPr="003D2498">
        <w:rPr>
          <w:szCs w:val="20"/>
        </w:rPr>
        <w:t>court</w:t>
      </w:r>
      <w:r>
        <w:rPr>
          <w:szCs w:val="20"/>
        </w:rPr>
        <w:t xml:space="preserve"> </w:t>
      </w:r>
      <w:r w:rsidRPr="003D2498">
        <w:rPr>
          <w:szCs w:val="20"/>
        </w:rPr>
        <w:t>also</w:t>
      </w:r>
      <w:r>
        <w:rPr>
          <w:szCs w:val="20"/>
        </w:rPr>
        <w:t xml:space="preserve"> </w:t>
      </w:r>
      <w:r w:rsidRPr="003D2498">
        <w:rPr>
          <w:szCs w:val="20"/>
        </w:rPr>
        <w:t>held</w:t>
      </w:r>
      <w:r>
        <w:rPr>
          <w:szCs w:val="20"/>
        </w:rPr>
        <w:t xml:space="preserve"> </w:t>
      </w:r>
      <w:r w:rsidRPr="003D2498">
        <w:rPr>
          <w:szCs w:val="20"/>
        </w:rPr>
        <w:t>that</w:t>
      </w:r>
      <w:r>
        <w:rPr>
          <w:szCs w:val="20"/>
        </w:rPr>
        <w:t xml:space="preserve"> </w:t>
      </w:r>
      <w:r w:rsidRPr="003D2498">
        <w:rPr>
          <w:szCs w:val="20"/>
        </w:rPr>
        <w:t>the</w:t>
      </w:r>
      <w:r>
        <w:rPr>
          <w:szCs w:val="20"/>
        </w:rPr>
        <w:t xml:space="preserve"> </w:t>
      </w:r>
      <w:r w:rsidRPr="003D2498">
        <w:rPr>
          <w:szCs w:val="20"/>
        </w:rPr>
        <w:t>agency</w:t>
      </w:r>
      <w:r>
        <w:rPr>
          <w:szCs w:val="20"/>
        </w:rPr>
        <w:t xml:space="preserve"> </w:t>
      </w:r>
      <w:r w:rsidRPr="003D2498">
        <w:rPr>
          <w:szCs w:val="20"/>
        </w:rPr>
        <w:t>had</w:t>
      </w:r>
      <w:r>
        <w:rPr>
          <w:szCs w:val="20"/>
        </w:rPr>
        <w:t xml:space="preserve"> </w:t>
      </w:r>
      <w:r w:rsidRPr="003D2498">
        <w:rPr>
          <w:szCs w:val="20"/>
        </w:rPr>
        <w:t>failed</w:t>
      </w:r>
      <w:r>
        <w:rPr>
          <w:szCs w:val="20"/>
        </w:rPr>
        <w:t xml:space="preserve"> </w:t>
      </w:r>
      <w:r w:rsidRPr="003D2498">
        <w:rPr>
          <w:szCs w:val="20"/>
        </w:rPr>
        <w:t>to</w:t>
      </w:r>
      <w:r>
        <w:rPr>
          <w:szCs w:val="20"/>
        </w:rPr>
        <w:t xml:space="preserve"> </w:t>
      </w:r>
      <w:r w:rsidRPr="003D2498">
        <w:rPr>
          <w:szCs w:val="20"/>
        </w:rPr>
        <w:t>consider:</w:t>
      </w:r>
      <w:r>
        <w:rPr>
          <w:szCs w:val="20"/>
        </w:rPr>
        <w:t xml:space="preserve"> </w:t>
      </w:r>
      <w:r w:rsidRPr="003D2498">
        <w:rPr>
          <w:szCs w:val="20"/>
        </w:rPr>
        <w:t>(1)</w:t>
      </w:r>
      <w:r>
        <w:rPr>
          <w:szCs w:val="20"/>
        </w:rPr>
        <w:t xml:space="preserve"> </w:t>
      </w:r>
      <w:r w:rsidRPr="003D2498">
        <w:rPr>
          <w:szCs w:val="20"/>
        </w:rPr>
        <w:t>evidence</w:t>
      </w:r>
      <w:r>
        <w:rPr>
          <w:szCs w:val="20"/>
        </w:rPr>
        <w:t xml:space="preserve"> </w:t>
      </w:r>
      <w:r w:rsidRPr="003D2498">
        <w:rPr>
          <w:szCs w:val="20"/>
        </w:rPr>
        <w:t>that</w:t>
      </w:r>
      <w:r>
        <w:rPr>
          <w:szCs w:val="20"/>
        </w:rPr>
        <w:t xml:space="preserve"> </w:t>
      </w:r>
      <w:r w:rsidRPr="003D2498">
        <w:rPr>
          <w:szCs w:val="20"/>
        </w:rPr>
        <w:t>heating</w:t>
      </w:r>
      <w:r>
        <w:rPr>
          <w:szCs w:val="20"/>
        </w:rPr>
        <w:t xml:space="preserve"> </w:t>
      </w:r>
      <w:r w:rsidRPr="003D2498">
        <w:rPr>
          <w:szCs w:val="20"/>
        </w:rPr>
        <w:t>“certain</w:t>
      </w:r>
      <w:r>
        <w:rPr>
          <w:szCs w:val="20"/>
        </w:rPr>
        <w:t xml:space="preserve"> </w:t>
      </w:r>
      <w:r w:rsidRPr="003D2498">
        <w:rPr>
          <w:szCs w:val="20"/>
        </w:rPr>
        <w:t>types</w:t>
      </w:r>
      <w:r>
        <w:rPr>
          <w:szCs w:val="20"/>
        </w:rPr>
        <w:t xml:space="preserve"> </w:t>
      </w:r>
      <w:r w:rsidRPr="003D2498">
        <w:rPr>
          <w:szCs w:val="20"/>
        </w:rPr>
        <w:t>of</w:t>
      </w:r>
      <w:r>
        <w:rPr>
          <w:szCs w:val="20"/>
        </w:rPr>
        <w:t xml:space="preserve"> </w:t>
      </w:r>
      <w:r w:rsidRPr="003D2498">
        <w:rPr>
          <w:szCs w:val="20"/>
        </w:rPr>
        <w:t>fish</w:t>
      </w:r>
      <w:r>
        <w:rPr>
          <w:szCs w:val="20"/>
        </w:rPr>
        <w:t xml:space="preserve"> </w:t>
      </w:r>
      <w:r w:rsidRPr="003D2498">
        <w:rPr>
          <w:szCs w:val="20"/>
        </w:rPr>
        <w:t>to</w:t>
      </w:r>
      <w:r>
        <w:rPr>
          <w:szCs w:val="20"/>
        </w:rPr>
        <w:t xml:space="preserve"> </w:t>
      </w:r>
      <w:r w:rsidRPr="003D2498">
        <w:rPr>
          <w:szCs w:val="20"/>
        </w:rPr>
        <w:t>high</w:t>
      </w:r>
      <w:r>
        <w:rPr>
          <w:szCs w:val="20"/>
        </w:rPr>
        <w:t xml:space="preserve"> </w:t>
      </w:r>
      <w:r w:rsidRPr="003D2498">
        <w:rPr>
          <w:szCs w:val="20"/>
        </w:rPr>
        <w:t>temperatures</w:t>
      </w:r>
      <w:r>
        <w:rPr>
          <w:szCs w:val="20"/>
        </w:rPr>
        <w:t xml:space="preserve"> </w:t>
      </w:r>
      <w:r w:rsidRPr="003D2498">
        <w:rPr>
          <w:szCs w:val="20"/>
        </w:rPr>
        <w:t>will</w:t>
      </w:r>
      <w:r>
        <w:rPr>
          <w:szCs w:val="20"/>
        </w:rPr>
        <w:t xml:space="preserve"> </w:t>
      </w:r>
      <w:r w:rsidRPr="003D2498">
        <w:rPr>
          <w:szCs w:val="20"/>
        </w:rPr>
        <w:t>completely</w:t>
      </w:r>
      <w:r>
        <w:rPr>
          <w:szCs w:val="20"/>
        </w:rPr>
        <w:t xml:space="preserve"> </w:t>
      </w:r>
      <w:r w:rsidRPr="003D2498">
        <w:rPr>
          <w:szCs w:val="20"/>
        </w:rPr>
        <w:t>destroy</w:t>
      </w:r>
      <w:r>
        <w:rPr>
          <w:szCs w:val="20"/>
        </w:rPr>
        <w:t xml:space="preserve"> </w:t>
      </w:r>
      <w:r w:rsidRPr="003D2498">
        <w:rPr>
          <w:szCs w:val="20"/>
        </w:rPr>
        <w:t>the</w:t>
      </w:r>
      <w:r>
        <w:rPr>
          <w:szCs w:val="20"/>
        </w:rPr>
        <w:t xml:space="preserve"> </w:t>
      </w:r>
      <w:r w:rsidRPr="003D2498">
        <w:rPr>
          <w:szCs w:val="20"/>
        </w:rPr>
        <w:t>product,”</w:t>
      </w:r>
      <w:r>
        <w:rPr>
          <w:szCs w:val="20"/>
        </w:rPr>
        <w:t xml:space="preserve"> </w:t>
      </w:r>
      <w:r w:rsidRPr="003D2498">
        <w:rPr>
          <w:szCs w:val="20"/>
        </w:rPr>
        <w:t>(2)</w:t>
      </w:r>
      <w:r>
        <w:rPr>
          <w:szCs w:val="20"/>
        </w:rPr>
        <w:t xml:space="preserve"> </w:t>
      </w:r>
      <w:r w:rsidRPr="003D2498">
        <w:rPr>
          <w:szCs w:val="20"/>
        </w:rPr>
        <w:t>the</w:t>
      </w:r>
      <w:r>
        <w:rPr>
          <w:szCs w:val="20"/>
        </w:rPr>
        <w:t xml:space="preserve"> </w:t>
      </w:r>
      <w:r w:rsidRPr="003D2498">
        <w:rPr>
          <w:szCs w:val="20"/>
        </w:rPr>
        <w:t>suggestion</w:t>
      </w:r>
      <w:r>
        <w:rPr>
          <w:szCs w:val="20"/>
        </w:rPr>
        <w:t xml:space="preserve"> </w:t>
      </w:r>
      <w:r w:rsidRPr="003D2498">
        <w:rPr>
          <w:szCs w:val="20"/>
        </w:rPr>
        <w:t>that</w:t>
      </w:r>
      <w:r>
        <w:rPr>
          <w:szCs w:val="20"/>
        </w:rPr>
        <w:t xml:space="preserve"> </w:t>
      </w:r>
      <w:r w:rsidRPr="003D2498">
        <w:rPr>
          <w:szCs w:val="20"/>
        </w:rPr>
        <w:t>using</w:t>
      </w:r>
      <w:r>
        <w:rPr>
          <w:szCs w:val="20"/>
        </w:rPr>
        <w:t xml:space="preserve"> </w:t>
      </w:r>
      <w:r w:rsidRPr="003D2498">
        <w:rPr>
          <w:szCs w:val="20"/>
        </w:rPr>
        <w:t>“nitrite</w:t>
      </w:r>
      <w:r>
        <w:rPr>
          <w:szCs w:val="20"/>
        </w:rPr>
        <w:t xml:space="preserve"> </w:t>
      </w:r>
      <w:r w:rsidRPr="003D2498">
        <w:rPr>
          <w:szCs w:val="20"/>
        </w:rPr>
        <w:t>and</w:t>
      </w:r>
      <w:r>
        <w:rPr>
          <w:szCs w:val="20"/>
        </w:rPr>
        <w:t xml:space="preserve"> </w:t>
      </w:r>
      <w:r w:rsidRPr="003D2498">
        <w:rPr>
          <w:szCs w:val="20"/>
        </w:rPr>
        <w:t>salt</w:t>
      </w:r>
      <w:r>
        <w:rPr>
          <w:szCs w:val="20"/>
        </w:rPr>
        <w:t xml:space="preserve"> </w:t>
      </w:r>
      <w:r w:rsidRPr="003D2498">
        <w:rPr>
          <w:szCs w:val="20"/>
        </w:rPr>
        <w:t>as</w:t>
      </w:r>
      <w:r>
        <w:rPr>
          <w:szCs w:val="20"/>
        </w:rPr>
        <w:t xml:space="preserve"> </w:t>
      </w:r>
      <w:r w:rsidRPr="003D2498">
        <w:rPr>
          <w:szCs w:val="20"/>
        </w:rPr>
        <w:t>additives</w:t>
      </w:r>
      <w:r>
        <w:rPr>
          <w:szCs w:val="20"/>
        </w:rPr>
        <w:t xml:space="preserve"> </w:t>
      </w:r>
      <w:r w:rsidRPr="003D2498">
        <w:rPr>
          <w:szCs w:val="20"/>
        </w:rPr>
        <w:t>could</w:t>
      </w:r>
      <w:r>
        <w:rPr>
          <w:szCs w:val="20"/>
        </w:rPr>
        <w:t xml:space="preserve"> </w:t>
      </w:r>
      <w:r w:rsidRPr="003D2498">
        <w:rPr>
          <w:szCs w:val="20"/>
        </w:rPr>
        <w:t>safely</w:t>
      </w:r>
      <w:r>
        <w:rPr>
          <w:szCs w:val="20"/>
        </w:rPr>
        <w:t xml:space="preserve"> </w:t>
      </w:r>
      <w:r w:rsidRPr="003D2498">
        <w:rPr>
          <w:szCs w:val="20"/>
        </w:rPr>
        <w:t>lower</w:t>
      </w:r>
      <w:r>
        <w:rPr>
          <w:szCs w:val="20"/>
        </w:rPr>
        <w:t xml:space="preserve"> </w:t>
      </w:r>
      <w:r w:rsidRPr="003D2498">
        <w:rPr>
          <w:szCs w:val="20"/>
        </w:rPr>
        <w:t>the</w:t>
      </w:r>
      <w:r>
        <w:rPr>
          <w:szCs w:val="20"/>
        </w:rPr>
        <w:t xml:space="preserve"> </w:t>
      </w:r>
      <w:r w:rsidRPr="003D2498">
        <w:rPr>
          <w:szCs w:val="20"/>
        </w:rPr>
        <w:t>high</w:t>
      </w:r>
      <w:r>
        <w:rPr>
          <w:szCs w:val="20"/>
        </w:rPr>
        <w:t xml:space="preserve"> </w:t>
      </w:r>
      <w:r w:rsidRPr="003D2498">
        <w:rPr>
          <w:szCs w:val="20"/>
        </w:rPr>
        <w:t>temperature</w:t>
      </w:r>
      <w:r>
        <w:rPr>
          <w:szCs w:val="20"/>
        </w:rPr>
        <w:t xml:space="preserve"> </w:t>
      </w:r>
      <w:r w:rsidRPr="003D2498">
        <w:rPr>
          <w:szCs w:val="20"/>
        </w:rPr>
        <w:t>otherwise</w:t>
      </w:r>
      <w:r>
        <w:rPr>
          <w:szCs w:val="20"/>
        </w:rPr>
        <w:t xml:space="preserve"> </w:t>
      </w:r>
      <w:r w:rsidRPr="003D2498">
        <w:rPr>
          <w:szCs w:val="20"/>
        </w:rPr>
        <w:t>required,”</w:t>
      </w:r>
      <w:r>
        <w:rPr>
          <w:szCs w:val="20"/>
        </w:rPr>
        <w:t xml:space="preserve"> </w:t>
      </w:r>
      <w:r w:rsidRPr="003D2498">
        <w:rPr>
          <w:szCs w:val="20"/>
        </w:rPr>
        <w:t>and</w:t>
      </w:r>
      <w:r>
        <w:rPr>
          <w:szCs w:val="20"/>
        </w:rPr>
        <w:t xml:space="preserve"> </w:t>
      </w:r>
      <w:r w:rsidRPr="003D2498">
        <w:rPr>
          <w:szCs w:val="20"/>
        </w:rPr>
        <w:t>(3)</w:t>
      </w:r>
      <w:r>
        <w:rPr>
          <w:szCs w:val="20"/>
        </w:rPr>
        <w:t xml:space="preserve"> </w:t>
      </w:r>
      <w:r w:rsidRPr="003D2498">
        <w:rPr>
          <w:szCs w:val="20"/>
        </w:rPr>
        <w:t>the</w:t>
      </w:r>
      <w:r>
        <w:rPr>
          <w:szCs w:val="20"/>
        </w:rPr>
        <w:t xml:space="preserve"> </w:t>
      </w:r>
      <w:r w:rsidRPr="003D2498">
        <w:rPr>
          <w:szCs w:val="20"/>
        </w:rPr>
        <w:t>suggestion</w:t>
      </w:r>
      <w:r>
        <w:rPr>
          <w:szCs w:val="20"/>
        </w:rPr>
        <w:t xml:space="preserve"> </w:t>
      </w:r>
      <w:r w:rsidRPr="003D2498">
        <w:rPr>
          <w:szCs w:val="20"/>
        </w:rPr>
        <w:t>that</w:t>
      </w:r>
      <w:r>
        <w:rPr>
          <w:szCs w:val="20"/>
        </w:rPr>
        <w:t xml:space="preserve"> </w:t>
      </w:r>
      <w:r w:rsidRPr="003D2498">
        <w:rPr>
          <w:szCs w:val="20"/>
        </w:rPr>
        <w:t>different</w:t>
      </w:r>
      <w:r>
        <w:rPr>
          <w:szCs w:val="20"/>
        </w:rPr>
        <w:t xml:space="preserve"> </w:t>
      </w:r>
      <w:r w:rsidRPr="003D2498">
        <w:rPr>
          <w:szCs w:val="20"/>
        </w:rPr>
        <w:t>processing</w:t>
      </w:r>
      <w:r>
        <w:rPr>
          <w:szCs w:val="20"/>
        </w:rPr>
        <w:t xml:space="preserve"> </w:t>
      </w:r>
      <w:r w:rsidRPr="003D2498">
        <w:rPr>
          <w:szCs w:val="20"/>
        </w:rPr>
        <w:t>requirements</w:t>
      </w:r>
      <w:r>
        <w:rPr>
          <w:szCs w:val="20"/>
        </w:rPr>
        <w:t xml:space="preserve"> </w:t>
      </w:r>
      <w:r w:rsidRPr="003D2498">
        <w:rPr>
          <w:szCs w:val="20"/>
        </w:rPr>
        <w:t>should</w:t>
      </w:r>
      <w:r>
        <w:rPr>
          <w:szCs w:val="20"/>
        </w:rPr>
        <w:t xml:space="preserve"> </w:t>
      </w:r>
      <w:r w:rsidRPr="003D2498">
        <w:rPr>
          <w:szCs w:val="20"/>
        </w:rPr>
        <w:t>be</w:t>
      </w:r>
      <w:r>
        <w:rPr>
          <w:szCs w:val="20"/>
        </w:rPr>
        <w:t xml:space="preserve"> </w:t>
      </w:r>
      <w:r w:rsidRPr="003D2498">
        <w:rPr>
          <w:szCs w:val="20"/>
        </w:rPr>
        <w:t>established</w:t>
      </w:r>
      <w:r>
        <w:rPr>
          <w:szCs w:val="20"/>
        </w:rPr>
        <w:t xml:space="preserve"> </w:t>
      </w:r>
      <w:r w:rsidRPr="003D2498">
        <w:rPr>
          <w:szCs w:val="20"/>
        </w:rPr>
        <w:t>for</w:t>
      </w:r>
      <w:r>
        <w:rPr>
          <w:szCs w:val="20"/>
        </w:rPr>
        <w:t xml:space="preserve"> </w:t>
      </w:r>
      <w:r w:rsidRPr="003D2498">
        <w:rPr>
          <w:szCs w:val="20"/>
        </w:rPr>
        <w:t>different</w:t>
      </w:r>
      <w:r>
        <w:rPr>
          <w:szCs w:val="20"/>
        </w:rPr>
        <w:t xml:space="preserve"> </w:t>
      </w:r>
      <w:r w:rsidRPr="003D2498">
        <w:rPr>
          <w:szCs w:val="20"/>
        </w:rPr>
        <w:t>species</w:t>
      </w:r>
      <w:r>
        <w:rPr>
          <w:szCs w:val="20"/>
        </w:rPr>
        <w:t xml:space="preserve"> </w:t>
      </w:r>
      <w:r w:rsidRPr="003D2498">
        <w:rPr>
          <w:szCs w:val="20"/>
        </w:rPr>
        <w:t>of</w:t>
      </w:r>
      <w:r>
        <w:rPr>
          <w:szCs w:val="20"/>
        </w:rPr>
        <w:t xml:space="preserve"> </w:t>
      </w:r>
      <w:r w:rsidRPr="003D2498">
        <w:rPr>
          <w:szCs w:val="20"/>
        </w:rPr>
        <w:t>fish.</w:t>
      </w:r>
      <w:r>
        <w:rPr>
          <w:szCs w:val="20"/>
        </w:rPr>
        <w:t xml:space="preserve"> </w:t>
      </w:r>
      <w:r w:rsidRPr="003D2498">
        <w:rPr>
          <w:szCs w:val="20"/>
          <w:u w:val="single"/>
        </w:rPr>
        <w:t>Id.</w:t>
      </w:r>
      <w:r>
        <w:rPr>
          <w:szCs w:val="20"/>
        </w:rPr>
        <w:t xml:space="preserve"> </w:t>
      </w:r>
      <w:r w:rsidRPr="003D2498">
        <w:rPr>
          <w:szCs w:val="20"/>
        </w:rPr>
        <w:t>at</w:t>
      </w:r>
      <w:r>
        <w:rPr>
          <w:szCs w:val="20"/>
        </w:rPr>
        <w:t xml:space="preserve"> </w:t>
      </w:r>
      <w:r w:rsidRPr="003D2498">
        <w:rPr>
          <w:szCs w:val="20"/>
        </w:rPr>
        <w:t>245.</w:t>
      </w:r>
      <w:r>
        <w:rPr>
          <w:szCs w:val="20"/>
        </w:rPr>
        <w:t xml:space="preserve"> </w:t>
      </w:r>
      <w:r w:rsidRPr="003D2498">
        <w:rPr>
          <w:szCs w:val="20"/>
        </w:rPr>
        <w:t>Here,</w:t>
      </w:r>
      <w:r>
        <w:rPr>
          <w:szCs w:val="20"/>
        </w:rPr>
        <w:t xml:space="preserve"> </w:t>
      </w:r>
      <w:r w:rsidRPr="003D2498">
        <w:rPr>
          <w:szCs w:val="20"/>
        </w:rPr>
        <w:t>the</w:t>
      </w:r>
      <w:r>
        <w:rPr>
          <w:szCs w:val="20"/>
        </w:rPr>
        <w:t xml:space="preserve"> </w:t>
      </w:r>
      <w:r w:rsidRPr="003D2498">
        <w:rPr>
          <w:szCs w:val="20"/>
        </w:rPr>
        <w:t>basis</w:t>
      </w:r>
      <w:r>
        <w:rPr>
          <w:szCs w:val="20"/>
        </w:rPr>
        <w:t xml:space="preserve"> </w:t>
      </w:r>
      <w:r w:rsidRPr="003D2498">
        <w:rPr>
          <w:szCs w:val="20"/>
        </w:rPr>
        <w:t>for</w:t>
      </w:r>
      <w:r>
        <w:rPr>
          <w:szCs w:val="20"/>
        </w:rPr>
        <w:t xml:space="preserve"> </w:t>
      </w:r>
      <w:r w:rsidRPr="003D2498">
        <w:rPr>
          <w:szCs w:val="20"/>
        </w:rPr>
        <w:t>the</w:t>
      </w:r>
      <w:r>
        <w:rPr>
          <w:szCs w:val="20"/>
        </w:rPr>
        <w:t xml:space="preserve"> </w:t>
      </w:r>
      <w:r w:rsidRPr="003D2498">
        <w:rPr>
          <w:szCs w:val="20"/>
        </w:rPr>
        <w:t>proposed</w:t>
      </w:r>
      <w:r>
        <w:rPr>
          <w:szCs w:val="20"/>
        </w:rPr>
        <w:t xml:space="preserve"> </w:t>
      </w:r>
      <w:r w:rsidRPr="003D2498">
        <w:rPr>
          <w:szCs w:val="20"/>
        </w:rPr>
        <w:t>regulation</w:t>
      </w:r>
      <w:r>
        <w:rPr>
          <w:szCs w:val="20"/>
        </w:rPr>
        <w:t xml:space="preserve"> </w:t>
      </w:r>
      <w:r w:rsidRPr="003D2498">
        <w:rPr>
          <w:szCs w:val="20"/>
        </w:rPr>
        <w:t>was</w:t>
      </w:r>
      <w:r>
        <w:rPr>
          <w:szCs w:val="20"/>
        </w:rPr>
        <w:t xml:space="preserve"> </w:t>
      </w:r>
      <w:r w:rsidRPr="003D2498">
        <w:rPr>
          <w:szCs w:val="20"/>
        </w:rPr>
        <w:t>not</w:t>
      </w:r>
      <w:r>
        <w:rPr>
          <w:szCs w:val="20"/>
        </w:rPr>
        <w:t xml:space="preserve"> </w:t>
      </w:r>
      <w:r w:rsidRPr="003D2498">
        <w:rPr>
          <w:szCs w:val="20"/>
        </w:rPr>
        <w:t>“a</w:t>
      </w:r>
      <w:r>
        <w:rPr>
          <w:szCs w:val="20"/>
        </w:rPr>
        <w:t xml:space="preserve"> </w:t>
      </w:r>
      <w:r w:rsidRPr="003D2498">
        <w:rPr>
          <w:szCs w:val="20"/>
        </w:rPr>
        <w:t>scientific</w:t>
      </w:r>
      <w:r>
        <w:rPr>
          <w:szCs w:val="20"/>
        </w:rPr>
        <w:t xml:space="preserve"> </w:t>
      </w:r>
      <w:r w:rsidRPr="003D2498">
        <w:rPr>
          <w:szCs w:val="20"/>
        </w:rPr>
        <w:t>decision”;</w:t>
      </w:r>
      <w:r>
        <w:rPr>
          <w:szCs w:val="20"/>
        </w:rPr>
        <w:t xml:space="preserve"> </w:t>
      </w:r>
      <w:r w:rsidRPr="003D2498">
        <w:rPr>
          <w:szCs w:val="20"/>
        </w:rPr>
        <w:t>Treasury</w:t>
      </w:r>
      <w:r>
        <w:rPr>
          <w:szCs w:val="20"/>
        </w:rPr>
        <w:t xml:space="preserve"> </w:t>
      </w:r>
      <w:r w:rsidRPr="003D2498">
        <w:rPr>
          <w:szCs w:val="20"/>
        </w:rPr>
        <w:t>relied</w:t>
      </w:r>
      <w:r>
        <w:rPr>
          <w:szCs w:val="20"/>
        </w:rPr>
        <w:t xml:space="preserve"> </w:t>
      </w:r>
      <w:r w:rsidRPr="003D2498">
        <w:rPr>
          <w:szCs w:val="20"/>
        </w:rPr>
        <w:t>on</w:t>
      </w:r>
      <w:r>
        <w:rPr>
          <w:szCs w:val="20"/>
        </w:rPr>
        <w:t xml:space="preserve"> </w:t>
      </w:r>
      <w:r w:rsidRPr="003D2498">
        <w:rPr>
          <w:szCs w:val="20"/>
        </w:rPr>
        <w:t>no</w:t>
      </w:r>
      <w:r>
        <w:rPr>
          <w:szCs w:val="20"/>
        </w:rPr>
        <w:t xml:space="preserve"> </w:t>
      </w:r>
      <w:r w:rsidRPr="003D2498">
        <w:rPr>
          <w:szCs w:val="20"/>
        </w:rPr>
        <w:t>undisclosed</w:t>
      </w:r>
      <w:r>
        <w:rPr>
          <w:szCs w:val="20"/>
        </w:rPr>
        <w:t xml:space="preserve"> </w:t>
      </w:r>
      <w:r w:rsidRPr="003D2498">
        <w:rPr>
          <w:szCs w:val="20"/>
        </w:rPr>
        <w:t>data</w:t>
      </w:r>
      <w:r>
        <w:rPr>
          <w:szCs w:val="20"/>
        </w:rPr>
        <w:t xml:space="preserve"> </w:t>
      </w:r>
      <w:r w:rsidRPr="003D2498">
        <w:rPr>
          <w:szCs w:val="20"/>
        </w:rPr>
        <w:t>when</w:t>
      </w:r>
      <w:r>
        <w:rPr>
          <w:szCs w:val="20"/>
        </w:rPr>
        <w:t xml:space="preserve"> </w:t>
      </w:r>
      <w:r w:rsidRPr="003D2498">
        <w:rPr>
          <w:szCs w:val="20"/>
        </w:rPr>
        <w:t>proposing</w:t>
      </w:r>
      <w:r>
        <w:rPr>
          <w:szCs w:val="20"/>
        </w:rPr>
        <w:t xml:space="preserve"> </w:t>
      </w:r>
      <w:r w:rsidRPr="003D2498">
        <w:rPr>
          <w:szCs w:val="20"/>
        </w:rPr>
        <w:t>its</w:t>
      </w:r>
      <w:r>
        <w:rPr>
          <w:szCs w:val="20"/>
        </w:rPr>
        <w:t xml:space="preserve"> </w:t>
      </w:r>
      <w:r w:rsidRPr="003D2498">
        <w:rPr>
          <w:szCs w:val="20"/>
        </w:rPr>
        <w:t>regulation;</w:t>
      </w:r>
      <w:r>
        <w:rPr>
          <w:szCs w:val="20"/>
        </w:rPr>
        <w:t xml:space="preserve"> </w:t>
      </w:r>
      <w:r w:rsidRPr="003D2498">
        <w:rPr>
          <w:szCs w:val="20"/>
        </w:rPr>
        <w:t>the</w:t>
      </w:r>
      <w:r>
        <w:rPr>
          <w:szCs w:val="20"/>
        </w:rPr>
        <w:t xml:space="preserve"> </w:t>
      </w:r>
      <w:r w:rsidRPr="003D2498">
        <w:rPr>
          <w:szCs w:val="20"/>
        </w:rPr>
        <w:t>two</w:t>
      </w:r>
      <w:r>
        <w:rPr>
          <w:szCs w:val="20"/>
        </w:rPr>
        <w:t xml:space="preserve"> </w:t>
      </w:r>
      <w:r w:rsidRPr="003D2498">
        <w:rPr>
          <w:szCs w:val="20"/>
        </w:rPr>
        <w:t>commenters</w:t>
      </w:r>
      <w:r>
        <w:rPr>
          <w:szCs w:val="20"/>
        </w:rPr>
        <w:t xml:space="preserve"> </w:t>
      </w:r>
      <w:r w:rsidRPr="003D2498">
        <w:rPr>
          <w:szCs w:val="20"/>
        </w:rPr>
        <w:t>who</w:t>
      </w:r>
      <w:r>
        <w:rPr>
          <w:szCs w:val="20"/>
        </w:rPr>
        <w:t xml:space="preserve"> </w:t>
      </w:r>
      <w:r w:rsidRPr="003D2498">
        <w:rPr>
          <w:szCs w:val="20"/>
        </w:rPr>
        <w:t>opposed</w:t>
      </w:r>
      <w:r>
        <w:rPr>
          <w:szCs w:val="20"/>
        </w:rPr>
        <w:t xml:space="preserve"> </w:t>
      </w:r>
      <w:r w:rsidRPr="003D2498">
        <w:rPr>
          <w:szCs w:val="20"/>
        </w:rPr>
        <w:t>the</w:t>
      </w:r>
      <w:r>
        <w:rPr>
          <w:szCs w:val="20"/>
        </w:rPr>
        <w:t xml:space="preserve"> </w:t>
      </w:r>
      <w:r w:rsidRPr="003D2498">
        <w:rPr>
          <w:szCs w:val="20"/>
        </w:rPr>
        <w:t>judicial</w:t>
      </w:r>
      <w:r>
        <w:rPr>
          <w:szCs w:val="20"/>
        </w:rPr>
        <w:t xml:space="preserve"> </w:t>
      </w:r>
      <w:r w:rsidRPr="003D2498">
        <w:rPr>
          <w:szCs w:val="20"/>
        </w:rPr>
        <w:t>extinguishment</w:t>
      </w:r>
      <w:r>
        <w:rPr>
          <w:szCs w:val="20"/>
        </w:rPr>
        <w:t xml:space="preserve"> </w:t>
      </w:r>
      <w:r w:rsidRPr="003D2498">
        <w:rPr>
          <w:szCs w:val="20"/>
        </w:rPr>
        <w:t>rule</w:t>
      </w:r>
      <w:r>
        <w:rPr>
          <w:szCs w:val="20"/>
        </w:rPr>
        <w:t xml:space="preserve"> </w:t>
      </w:r>
      <w:r w:rsidRPr="003D2498">
        <w:rPr>
          <w:szCs w:val="20"/>
        </w:rPr>
        <w:t>offered</w:t>
      </w:r>
      <w:r>
        <w:rPr>
          <w:szCs w:val="20"/>
        </w:rPr>
        <w:t xml:space="preserve"> </w:t>
      </w:r>
      <w:r w:rsidRPr="003D2498">
        <w:rPr>
          <w:szCs w:val="20"/>
        </w:rPr>
        <w:t>no</w:t>
      </w:r>
      <w:r>
        <w:rPr>
          <w:szCs w:val="20"/>
        </w:rPr>
        <w:t xml:space="preserve"> </w:t>
      </w:r>
      <w:r w:rsidRPr="003D2498">
        <w:rPr>
          <w:szCs w:val="20"/>
        </w:rPr>
        <w:t>concrete</w:t>
      </w:r>
      <w:r>
        <w:rPr>
          <w:szCs w:val="20"/>
        </w:rPr>
        <w:t xml:space="preserve"> </w:t>
      </w:r>
      <w:r w:rsidRPr="003D2498">
        <w:rPr>
          <w:szCs w:val="20"/>
        </w:rPr>
        <w:t>alternative</w:t>
      </w:r>
      <w:r>
        <w:rPr>
          <w:szCs w:val="20"/>
        </w:rPr>
        <w:t xml:space="preserve"> </w:t>
      </w:r>
      <w:r w:rsidRPr="003D2498">
        <w:rPr>
          <w:szCs w:val="20"/>
        </w:rPr>
        <w:t>suggestions;</w:t>
      </w:r>
      <w:r>
        <w:rPr>
          <w:szCs w:val="20"/>
        </w:rPr>
        <w:t xml:space="preserve"> </w:t>
      </w:r>
      <w:r w:rsidRPr="003D2498">
        <w:rPr>
          <w:szCs w:val="20"/>
        </w:rPr>
        <w:t>and</w:t>
      </w:r>
      <w:r>
        <w:rPr>
          <w:szCs w:val="20"/>
        </w:rPr>
        <w:t xml:space="preserve"> </w:t>
      </w:r>
      <w:r w:rsidRPr="003D2498">
        <w:rPr>
          <w:szCs w:val="20"/>
        </w:rPr>
        <w:t>the</w:t>
      </w:r>
      <w:r>
        <w:rPr>
          <w:szCs w:val="20"/>
        </w:rPr>
        <w:t xml:space="preserve"> </w:t>
      </w:r>
      <w:r w:rsidRPr="003D2498">
        <w:rPr>
          <w:szCs w:val="20"/>
        </w:rPr>
        <w:t>concerns</w:t>
      </w:r>
      <w:r>
        <w:rPr>
          <w:szCs w:val="20"/>
        </w:rPr>
        <w:t xml:space="preserve"> </w:t>
      </w:r>
      <w:r w:rsidRPr="003D2498">
        <w:rPr>
          <w:szCs w:val="20"/>
        </w:rPr>
        <w:t>they</w:t>
      </w:r>
      <w:r>
        <w:rPr>
          <w:szCs w:val="20"/>
        </w:rPr>
        <w:t xml:space="preserve"> </w:t>
      </w:r>
      <w:r w:rsidRPr="003D2498">
        <w:rPr>
          <w:szCs w:val="20"/>
        </w:rPr>
        <w:t>expressed</w:t>
      </w:r>
      <w:r>
        <w:rPr>
          <w:szCs w:val="20"/>
        </w:rPr>
        <w:t xml:space="preserve"> </w:t>
      </w:r>
      <w:r w:rsidRPr="003D2498">
        <w:rPr>
          <w:szCs w:val="20"/>
        </w:rPr>
        <w:t>lacked</w:t>
      </w:r>
      <w:r>
        <w:rPr>
          <w:szCs w:val="20"/>
        </w:rPr>
        <w:t xml:space="preserve"> </w:t>
      </w:r>
      <w:r w:rsidRPr="003D2498">
        <w:rPr>
          <w:szCs w:val="20"/>
        </w:rPr>
        <w:t>the</w:t>
      </w:r>
      <w:r>
        <w:rPr>
          <w:szCs w:val="20"/>
        </w:rPr>
        <w:t xml:space="preserve"> </w:t>
      </w:r>
      <w:r w:rsidRPr="003D2498">
        <w:rPr>
          <w:szCs w:val="20"/>
        </w:rPr>
        <w:t>significance</w:t>
      </w:r>
      <w:r>
        <w:rPr>
          <w:szCs w:val="20"/>
        </w:rPr>
        <w:t xml:space="preserve"> </w:t>
      </w:r>
      <w:r w:rsidRPr="003D2498">
        <w:rPr>
          <w:szCs w:val="20"/>
        </w:rPr>
        <w:t>of</w:t>
      </w:r>
      <w:r>
        <w:rPr>
          <w:szCs w:val="20"/>
        </w:rPr>
        <w:t xml:space="preserve"> </w:t>
      </w:r>
      <w:r w:rsidRPr="003D2498">
        <w:rPr>
          <w:szCs w:val="20"/>
        </w:rPr>
        <w:t>concerns</w:t>
      </w:r>
      <w:r>
        <w:rPr>
          <w:szCs w:val="20"/>
        </w:rPr>
        <w:t xml:space="preserve"> </w:t>
      </w:r>
      <w:r w:rsidRPr="003D2498">
        <w:rPr>
          <w:szCs w:val="20"/>
        </w:rPr>
        <w:t>about</w:t>
      </w:r>
      <w:r>
        <w:rPr>
          <w:szCs w:val="20"/>
        </w:rPr>
        <w:t xml:space="preserve"> </w:t>
      </w:r>
      <w:r w:rsidRPr="003D2498">
        <w:rPr>
          <w:szCs w:val="20"/>
        </w:rPr>
        <w:t>destroying</w:t>
      </w:r>
      <w:r>
        <w:rPr>
          <w:szCs w:val="20"/>
        </w:rPr>
        <w:t xml:space="preserve"> </w:t>
      </w:r>
      <w:r w:rsidRPr="003D2498">
        <w:rPr>
          <w:szCs w:val="20"/>
        </w:rPr>
        <w:t>the</w:t>
      </w:r>
      <w:r>
        <w:rPr>
          <w:szCs w:val="20"/>
        </w:rPr>
        <w:t xml:space="preserve"> </w:t>
      </w:r>
      <w:r w:rsidRPr="003D2498">
        <w:rPr>
          <w:szCs w:val="20"/>
        </w:rPr>
        <w:t>commercial</w:t>
      </w:r>
      <w:r>
        <w:rPr>
          <w:szCs w:val="20"/>
        </w:rPr>
        <w:t xml:space="preserve"> </w:t>
      </w:r>
      <w:r w:rsidRPr="003D2498">
        <w:rPr>
          <w:szCs w:val="20"/>
        </w:rPr>
        <w:t>viability</w:t>
      </w:r>
      <w:r>
        <w:rPr>
          <w:szCs w:val="20"/>
        </w:rPr>
        <w:t xml:space="preserve"> </w:t>
      </w:r>
      <w:r w:rsidRPr="003D2498">
        <w:rPr>
          <w:szCs w:val="20"/>
        </w:rPr>
        <w:t>of</w:t>
      </w:r>
      <w:r>
        <w:rPr>
          <w:szCs w:val="20"/>
        </w:rPr>
        <w:t xml:space="preserve"> </w:t>
      </w:r>
      <w:r w:rsidRPr="003D2498">
        <w:rPr>
          <w:szCs w:val="20"/>
        </w:rPr>
        <w:t>a</w:t>
      </w:r>
      <w:r>
        <w:rPr>
          <w:szCs w:val="20"/>
        </w:rPr>
        <w:t xml:space="preserve"> </w:t>
      </w:r>
      <w:r w:rsidRPr="003D2498">
        <w:rPr>
          <w:szCs w:val="20"/>
        </w:rPr>
        <w:t>product,</w:t>
      </w:r>
      <w:r>
        <w:rPr>
          <w:szCs w:val="20"/>
        </w:rPr>
        <w:t xml:space="preserve"> </w:t>
      </w:r>
      <w:r w:rsidRPr="003D2498">
        <w:rPr>
          <w:szCs w:val="20"/>
        </w:rPr>
        <w:t>which</w:t>
      </w:r>
      <w:r>
        <w:rPr>
          <w:szCs w:val="20"/>
        </w:rPr>
        <w:t xml:space="preserve"> </w:t>
      </w:r>
      <w:r w:rsidRPr="003D2498">
        <w:rPr>
          <w:szCs w:val="20"/>
        </w:rPr>
        <w:t>the</w:t>
      </w:r>
      <w:r>
        <w:rPr>
          <w:szCs w:val="20"/>
        </w:rPr>
        <w:t xml:space="preserve"> </w:t>
      </w:r>
      <w:r w:rsidRPr="003D2498">
        <w:rPr>
          <w:szCs w:val="20"/>
        </w:rPr>
        <w:t>Second</w:t>
      </w:r>
      <w:r>
        <w:rPr>
          <w:szCs w:val="20"/>
        </w:rPr>
        <w:t xml:space="preserve"> </w:t>
      </w:r>
      <w:r w:rsidRPr="003D2498">
        <w:rPr>
          <w:szCs w:val="20"/>
        </w:rPr>
        <w:t>Circuit</w:t>
      </w:r>
      <w:r>
        <w:rPr>
          <w:szCs w:val="20"/>
        </w:rPr>
        <w:t xml:space="preserve"> </w:t>
      </w:r>
      <w:r w:rsidRPr="003D2498">
        <w:rPr>
          <w:szCs w:val="20"/>
        </w:rPr>
        <w:t>aptly</w:t>
      </w:r>
      <w:r>
        <w:rPr>
          <w:szCs w:val="20"/>
        </w:rPr>
        <w:t xml:space="preserve"> </w:t>
      </w:r>
      <w:r w:rsidRPr="003D2498">
        <w:rPr>
          <w:szCs w:val="20"/>
        </w:rPr>
        <w:t>described</w:t>
      </w:r>
      <w:r>
        <w:rPr>
          <w:szCs w:val="20"/>
        </w:rPr>
        <w:t xml:space="preserve"> </w:t>
      </w:r>
      <w:r w:rsidRPr="003D2498">
        <w:rPr>
          <w:szCs w:val="20"/>
        </w:rPr>
        <w:t>as</w:t>
      </w:r>
      <w:r>
        <w:rPr>
          <w:szCs w:val="20"/>
        </w:rPr>
        <w:t xml:space="preserve"> </w:t>
      </w:r>
      <w:r w:rsidRPr="003D2498">
        <w:rPr>
          <w:szCs w:val="20"/>
        </w:rPr>
        <w:t>“vital</w:t>
      </w:r>
      <w:r>
        <w:rPr>
          <w:szCs w:val="20"/>
        </w:rPr>
        <w:t xml:space="preserve"> </w:t>
      </w:r>
      <w:r w:rsidRPr="003D2498">
        <w:rPr>
          <w:szCs w:val="20"/>
        </w:rPr>
        <w:t>questions”</w:t>
      </w:r>
      <w:r>
        <w:rPr>
          <w:szCs w:val="20"/>
        </w:rPr>
        <w:t xml:space="preserve"> </w:t>
      </w:r>
      <w:r w:rsidRPr="003D2498">
        <w:rPr>
          <w:szCs w:val="20"/>
        </w:rPr>
        <w:t>in</w:t>
      </w:r>
      <w:r>
        <w:rPr>
          <w:szCs w:val="20"/>
        </w:rPr>
        <w:t xml:space="preserve"> </w:t>
      </w:r>
      <w:r w:rsidRPr="003D2498">
        <w:rPr>
          <w:szCs w:val="20"/>
          <w:u w:val="single"/>
        </w:rPr>
        <w:t>Nova</w:t>
      </w:r>
      <w:r>
        <w:rPr>
          <w:szCs w:val="20"/>
          <w:u w:val="single"/>
        </w:rPr>
        <w:t xml:space="preserve"> </w:t>
      </w:r>
      <w:r w:rsidRPr="003D2498">
        <w:rPr>
          <w:szCs w:val="20"/>
          <w:u w:val="single"/>
        </w:rPr>
        <w:t>Scotia</w:t>
      </w:r>
      <w:r>
        <w:rPr>
          <w:szCs w:val="20"/>
          <w:u w:val="single"/>
        </w:rPr>
        <w:t xml:space="preserve"> </w:t>
      </w:r>
      <w:r w:rsidRPr="003D2498">
        <w:rPr>
          <w:szCs w:val="20"/>
          <w:u w:val="single"/>
        </w:rPr>
        <w:t>Food</w:t>
      </w:r>
      <w:r>
        <w:rPr>
          <w:szCs w:val="20"/>
        </w:rPr>
        <w:t xml:space="preserve"> </w:t>
      </w:r>
      <w:r w:rsidRPr="003D2498">
        <w:rPr>
          <w:szCs w:val="20"/>
          <w:u w:val="single"/>
        </w:rPr>
        <w:t>Prods.</w:t>
      </w:r>
      <w:r>
        <w:rPr>
          <w:szCs w:val="20"/>
          <w:u w:val="single"/>
        </w:rPr>
        <w:t xml:space="preserve"> </w:t>
      </w:r>
      <w:r w:rsidRPr="003D2498">
        <w:rPr>
          <w:szCs w:val="20"/>
          <w:u w:val="single"/>
        </w:rPr>
        <w:t>Corp.</w:t>
      </w:r>
      <w:r w:rsidRPr="003D2498">
        <w:rPr>
          <w:szCs w:val="20"/>
        </w:rPr>
        <w:t>,</w:t>
      </w:r>
      <w:r>
        <w:rPr>
          <w:szCs w:val="20"/>
        </w:rPr>
        <w:t xml:space="preserve"> </w:t>
      </w:r>
      <w:r w:rsidRPr="003D2498">
        <w:rPr>
          <w:szCs w:val="20"/>
        </w:rPr>
        <w:t>568</w:t>
      </w:r>
      <w:r>
        <w:rPr>
          <w:szCs w:val="20"/>
        </w:rPr>
        <w:t xml:space="preserve"> </w:t>
      </w:r>
      <w:r w:rsidRPr="003D2498">
        <w:rPr>
          <w:szCs w:val="20"/>
        </w:rPr>
        <w:t>F.2d</w:t>
      </w:r>
      <w:r>
        <w:rPr>
          <w:szCs w:val="20"/>
        </w:rPr>
        <w:t xml:space="preserve"> </w:t>
      </w:r>
      <w:r w:rsidRPr="003D2498">
        <w:rPr>
          <w:szCs w:val="20"/>
        </w:rPr>
        <w:t>at</w:t>
      </w:r>
      <w:r>
        <w:rPr>
          <w:szCs w:val="20"/>
        </w:rPr>
        <w:t xml:space="preserve"> </w:t>
      </w:r>
      <w:r w:rsidRPr="003D2498">
        <w:rPr>
          <w:szCs w:val="20"/>
        </w:rPr>
        <w:t>25</w:t>
      </w:r>
      <w:r w:rsidRPr="00E4787B">
        <w:rPr>
          <w:szCs w:val="20"/>
        </w:rPr>
        <w:t>2</w:t>
      </w:r>
      <w:r w:rsidRPr="00E4787B">
        <w:rPr>
          <w:color w:val="212121"/>
          <w:szCs w:val="20"/>
        </w:rPr>
        <w:t>.</w:t>
      </w:r>
    </w:p>
    <w:p w:rsidR="007649DB" w:rsidRPr="00EF3497" w:rsidRDefault="007649DB" w:rsidP="007649DB">
      <w:pPr>
        <w:pStyle w:val="QS10"/>
        <w:jc w:val="center"/>
        <w:rPr>
          <w:szCs w:val="20"/>
        </w:rPr>
      </w:pPr>
      <w:r w:rsidRPr="00EF3497">
        <w:rPr>
          <w:szCs w:val="20"/>
        </w:rPr>
        <w:t>***</w:t>
      </w:r>
    </w:p>
    <w:p w:rsidR="007649DB" w:rsidRPr="00EF3497" w:rsidRDefault="007649DB" w:rsidP="007649DB">
      <w:pPr>
        <w:pStyle w:val="QS10"/>
        <w:rPr>
          <w:color w:val="000000" w:themeColor="text1"/>
          <w:szCs w:val="20"/>
        </w:rPr>
      </w:pPr>
      <w:r w:rsidRPr="00EF3497">
        <w:rPr>
          <w:szCs w:val="20"/>
        </w:rPr>
        <w:t>The</w:t>
      </w:r>
      <w:r>
        <w:rPr>
          <w:szCs w:val="20"/>
        </w:rPr>
        <w:t xml:space="preserve"> </w:t>
      </w:r>
      <w:r w:rsidRPr="00EF3497">
        <w:rPr>
          <w:szCs w:val="20"/>
        </w:rPr>
        <w:t>broad</w:t>
      </w:r>
      <w:r>
        <w:rPr>
          <w:szCs w:val="20"/>
        </w:rPr>
        <w:t xml:space="preserve"> </w:t>
      </w:r>
      <w:r w:rsidRPr="00EF3497">
        <w:rPr>
          <w:szCs w:val="20"/>
        </w:rPr>
        <w:t>statements</w:t>
      </w:r>
      <w:r>
        <w:rPr>
          <w:szCs w:val="20"/>
        </w:rPr>
        <w:t xml:space="preserve"> </w:t>
      </w:r>
      <w:r w:rsidRPr="00EF3497">
        <w:rPr>
          <w:szCs w:val="20"/>
        </w:rPr>
        <w:t>of</w:t>
      </w:r>
      <w:r>
        <w:rPr>
          <w:szCs w:val="20"/>
        </w:rPr>
        <w:t xml:space="preserve"> </w:t>
      </w:r>
      <w:r w:rsidRPr="00EF3497">
        <w:rPr>
          <w:szCs w:val="20"/>
        </w:rPr>
        <w:t>purpose</w:t>
      </w:r>
      <w:r>
        <w:rPr>
          <w:szCs w:val="20"/>
        </w:rPr>
        <w:t xml:space="preserve"> </w:t>
      </w:r>
      <w:r w:rsidRPr="00EF3497">
        <w:rPr>
          <w:szCs w:val="20"/>
        </w:rPr>
        <w:t>contained</w:t>
      </w:r>
      <w:r>
        <w:rPr>
          <w:szCs w:val="20"/>
        </w:rPr>
        <w:t xml:space="preserve"> </w:t>
      </w:r>
      <w:r w:rsidRPr="00EF3497">
        <w:rPr>
          <w:szCs w:val="20"/>
        </w:rPr>
        <w:t>in</w:t>
      </w:r>
      <w:r>
        <w:rPr>
          <w:szCs w:val="20"/>
        </w:rPr>
        <w:t xml:space="preserve"> </w:t>
      </w:r>
      <w:r w:rsidRPr="00EF3497">
        <w:rPr>
          <w:szCs w:val="20"/>
        </w:rPr>
        <w:t>the</w:t>
      </w:r>
      <w:r>
        <w:rPr>
          <w:szCs w:val="20"/>
        </w:rPr>
        <w:t xml:space="preserve"> </w:t>
      </w:r>
      <w:r w:rsidRPr="00EF3497">
        <w:rPr>
          <w:szCs w:val="20"/>
        </w:rPr>
        <w:t>preambles</w:t>
      </w:r>
      <w:r>
        <w:rPr>
          <w:szCs w:val="20"/>
        </w:rPr>
        <w:t xml:space="preserve"> </w:t>
      </w:r>
      <w:r w:rsidRPr="00EF3497">
        <w:rPr>
          <w:szCs w:val="20"/>
        </w:rPr>
        <w:t>to</w:t>
      </w:r>
      <w:r>
        <w:rPr>
          <w:szCs w:val="20"/>
        </w:rPr>
        <w:t xml:space="preserve"> </w:t>
      </w:r>
      <w:r w:rsidRPr="00EF3497">
        <w:rPr>
          <w:szCs w:val="20"/>
        </w:rPr>
        <w:t>the</w:t>
      </w:r>
      <w:r>
        <w:rPr>
          <w:szCs w:val="20"/>
        </w:rPr>
        <w:t xml:space="preserve"> </w:t>
      </w:r>
      <w:r w:rsidRPr="00EF3497">
        <w:rPr>
          <w:szCs w:val="20"/>
        </w:rPr>
        <w:t>final</w:t>
      </w:r>
      <w:r>
        <w:rPr>
          <w:szCs w:val="20"/>
        </w:rPr>
        <w:t xml:space="preserve"> </w:t>
      </w:r>
      <w:r w:rsidRPr="00EF3497">
        <w:rPr>
          <w:szCs w:val="20"/>
        </w:rPr>
        <w:t>and</w:t>
      </w:r>
      <w:r>
        <w:rPr>
          <w:szCs w:val="20"/>
        </w:rPr>
        <w:t xml:space="preserve"> </w:t>
      </w:r>
      <w:r w:rsidRPr="00EF3497">
        <w:rPr>
          <w:szCs w:val="20"/>
        </w:rPr>
        <w:t>proposed</w:t>
      </w:r>
      <w:r>
        <w:rPr>
          <w:szCs w:val="20"/>
        </w:rPr>
        <w:t xml:space="preserve"> </w:t>
      </w:r>
      <w:r w:rsidRPr="00EF3497">
        <w:rPr>
          <w:szCs w:val="20"/>
        </w:rPr>
        <w:t>regulations,</w:t>
      </w:r>
      <w:r>
        <w:rPr>
          <w:szCs w:val="20"/>
        </w:rPr>
        <w:t xml:space="preserve"> </w:t>
      </w:r>
      <w:r w:rsidRPr="00EF3497">
        <w:rPr>
          <w:szCs w:val="20"/>
        </w:rPr>
        <w:t>coupled</w:t>
      </w:r>
      <w:r>
        <w:rPr>
          <w:szCs w:val="20"/>
        </w:rPr>
        <w:t xml:space="preserve"> </w:t>
      </w:r>
      <w:r w:rsidRPr="00EF3497">
        <w:rPr>
          <w:szCs w:val="20"/>
        </w:rPr>
        <w:t>with</w:t>
      </w:r>
      <w:r>
        <w:rPr>
          <w:szCs w:val="20"/>
        </w:rPr>
        <w:t xml:space="preserve"> </w:t>
      </w:r>
      <w:r w:rsidRPr="00EF3497">
        <w:rPr>
          <w:szCs w:val="20"/>
        </w:rPr>
        <w:t>obvious</w:t>
      </w:r>
      <w:r>
        <w:rPr>
          <w:szCs w:val="20"/>
        </w:rPr>
        <w:t xml:space="preserve"> </w:t>
      </w:r>
      <w:r w:rsidRPr="00EF3497">
        <w:rPr>
          <w:szCs w:val="20"/>
        </w:rPr>
        <w:t>inferences</w:t>
      </w:r>
      <w:r>
        <w:rPr>
          <w:szCs w:val="20"/>
        </w:rPr>
        <w:t xml:space="preserve"> </w:t>
      </w:r>
      <w:r w:rsidRPr="00EF3497">
        <w:rPr>
          <w:szCs w:val="20"/>
        </w:rPr>
        <w:t>drawn</w:t>
      </w:r>
      <w:r>
        <w:rPr>
          <w:szCs w:val="20"/>
        </w:rPr>
        <w:t xml:space="preserve"> </w:t>
      </w:r>
      <w:r w:rsidRPr="00EF3497">
        <w:rPr>
          <w:szCs w:val="20"/>
        </w:rPr>
        <w:t>from</w:t>
      </w:r>
      <w:r>
        <w:rPr>
          <w:szCs w:val="20"/>
        </w:rPr>
        <w:t xml:space="preserve"> </w:t>
      </w:r>
      <w:r w:rsidRPr="00EF3497">
        <w:rPr>
          <w:szCs w:val="20"/>
        </w:rPr>
        <w:t>the</w:t>
      </w:r>
      <w:r>
        <w:rPr>
          <w:szCs w:val="20"/>
        </w:rPr>
        <w:t xml:space="preserve"> </w:t>
      </w:r>
      <w:r w:rsidRPr="00EF3497">
        <w:rPr>
          <w:szCs w:val="20"/>
        </w:rPr>
        <w:t>regulations</w:t>
      </w:r>
      <w:r>
        <w:rPr>
          <w:szCs w:val="20"/>
        </w:rPr>
        <w:t xml:space="preserve"> </w:t>
      </w:r>
      <w:r w:rsidRPr="00EF3497">
        <w:rPr>
          <w:szCs w:val="20"/>
        </w:rPr>
        <w:t>themselves,</w:t>
      </w:r>
      <w:r>
        <w:rPr>
          <w:szCs w:val="20"/>
        </w:rPr>
        <w:t xml:space="preserve"> </w:t>
      </w:r>
      <w:r w:rsidRPr="00EF3497">
        <w:rPr>
          <w:szCs w:val="20"/>
        </w:rPr>
        <w:t>are</w:t>
      </w:r>
      <w:r>
        <w:rPr>
          <w:szCs w:val="20"/>
        </w:rPr>
        <w:t xml:space="preserve"> </w:t>
      </w:r>
      <w:r w:rsidRPr="00EF3497">
        <w:rPr>
          <w:szCs w:val="20"/>
        </w:rPr>
        <w:t>more</w:t>
      </w:r>
      <w:r>
        <w:rPr>
          <w:szCs w:val="20"/>
        </w:rPr>
        <w:t xml:space="preserve"> </w:t>
      </w:r>
      <w:r w:rsidRPr="00EF3497">
        <w:rPr>
          <w:szCs w:val="20"/>
        </w:rPr>
        <w:t>than</w:t>
      </w:r>
      <w:r>
        <w:rPr>
          <w:szCs w:val="20"/>
        </w:rPr>
        <w:t xml:space="preserve"> </w:t>
      </w:r>
      <w:r w:rsidRPr="00EF3497">
        <w:rPr>
          <w:szCs w:val="20"/>
        </w:rPr>
        <w:t>adequate</w:t>
      </w:r>
      <w:r>
        <w:rPr>
          <w:szCs w:val="20"/>
        </w:rPr>
        <w:t xml:space="preserve"> </w:t>
      </w:r>
      <w:r w:rsidRPr="00EF3497">
        <w:rPr>
          <w:szCs w:val="20"/>
        </w:rPr>
        <w:t>to</w:t>
      </w:r>
      <w:r>
        <w:rPr>
          <w:szCs w:val="20"/>
        </w:rPr>
        <w:t xml:space="preserve"> </w:t>
      </w:r>
      <w:r w:rsidRPr="00EF3497">
        <w:rPr>
          <w:szCs w:val="20"/>
        </w:rPr>
        <w:t>enable</w:t>
      </w:r>
      <w:r>
        <w:rPr>
          <w:szCs w:val="20"/>
        </w:rPr>
        <w:t xml:space="preserve"> </w:t>
      </w:r>
      <w:r w:rsidRPr="00EF3497">
        <w:rPr>
          <w:szCs w:val="20"/>
        </w:rPr>
        <w:t>us</w:t>
      </w:r>
      <w:r>
        <w:rPr>
          <w:szCs w:val="20"/>
        </w:rPr>
        <w:t xml:space="preserve"> </w:t>
      </w:r>
      <w:r w:rsidRPr="00EF3497">
        <w:rPr>
          <w:szCs w:val="20"/>
        </w:rPr>
        <w:t>to</w:t>
      </w:r>
      <w:r>
        <w:rPr>
          <w:szCs w:val="20"/>
        </w:rPr>
        <w:t xml:space="preserve"> </w:t>
      </w:r>
      <w:r w:rsidRPr="00EF3497">
        <w:rPr>
          <w:szCs w:val="20"/>
        </w:rPr>
        <w:t>perform</w:t>
      </w:r>
      <w:r>
        <w:rPr>
          <w:szCs w:val="20"/>
        </w:rPr>
        <w:t xml:space="preserve"> </w:t>
      </w:r>
      <w:r w:rsidRPr="00EF3497">
        <w:rPr>
          <w:szCs w:val="20"/>
        </w:rPr>
        <w:t>judicial</w:t>
      </w:r>
      <w:r>
        <w:rPr>
          <w:szCs w:val="20"/>
        </w:rPr>
        <w:t xml:space="preserve"> </w:t>
      </w:r>
      <w:r w:rsidRPr="00EF3497">
        <w:rPr>
          <w:szCs w:val="20"/>
        </w:rPr>
        <w:t>review.</w:t>
      </w:r>
      <w:r>
        <w:rPr>
          <w:szCs w:val="20"/>
        </w:rPr>
        <w:t xml:space="preserve"> </w:t>
      </w:r>
      <w:r w:rsidRPr="00EF3497">
        <w:rPr>
          <w:szCs w:val="20"/>
        </w:rPr>
        <w:t>We</w:t>
      </w:r>
      <w:r>
        <w:rPr>
          <w:szCs w:val="20"/>
        </w:rPr>
        <w:t xml:space="preserve"> </w:t>
      </w:r>
      <w:r w:rsidRPr="00EF3497">
        <w:rPr>
          <w:szCs w:val="20"/>
        </w:rPr>
        <w:t>find</w:t>
      </w:r>
      <w:r>
        <w:rPr>
          <w:szCs w:val="20"/>
        </w:rPr>
        <w:t xml:space="preserve"> </w:t>
      </w:r>
      <w:r w:rsidRPr="00EF3497">
        <w:rPr>
          <w:szCs w:val="20"/>
        </w:rPr>
        <w:t>that</w:t>
      </w:r>
      <w:r>
        <w:rPr>
          <w:szCs w:val="20"/>
        </w:rPr>
        <w:t xml:space="preserve"> </w:t>
      </w:r>
      <w:r w:rsidRPr="00EF3497">
        <w:rPr>
          <w:szCs w:val="20"/>
        </w:rPr>
        <w:t>Treasury’s</w:t>
      </w:r>
      <w:r>
        <w:rPr>
          <w:szCs w:val="20"/>
        </w:rPr>
        <w:t xml:space="preserve"> </w:t>
      </w:r>
      <w:r w:rsidRPr="00EF3497">
        <w:rPr>
          <w:szCs w:val="20"/>
        </w:rPr>
        <w:t>rationale</w:t>
      </w:r>
      <w:r>
        <w:rPr>
          <w:szCs w:val="20"/>
        </w:rPr>
        <w:t xml:space="preserve"> </w:t>
      </w:r>
      <w:r w:rsidRPr="00EF3497">
        <w:rPr>
          <w:szCs w:val="20"/>
        </w:rPr>
        <w:t>for</w:t>
      </w:r>
      <w:r>
        <w:rPr>
          <w:szCs w:val="20"/>
        </w:rPr>
        <w:t xml:space="preserve"> </w:t>
      </w:r>
      <w:r w:rsidRPr="00EF3497">
        <w:rPr>
          <w:szCs w:val="20"/>
        </w:rPr>
        <w:t>the</w:t>
      </w:r>
      <w:r>
        <w:rPr>
          <w:szCs w:val="20"/>
        </w:rPr>
        <w:t xml:space="preserve"> </w:t>
      </w:r>
      <w:r w:rsidRPr="00EF3497">
        <w:rPr>
          <w:szCs w:val="20"/>
        </w:rPr>
        <w:t>judicial</w:t>
      </w:r>
      <w:r>
        <w:rPr>
          <w:szCs w:val="20"/>
        </w:rPr>
        <w:t xml:space="preserve"> </w:t>
      </w:r>
      <w:r w:rsidRPr="00EF3497">
        <w:rPr>
          <w:szCs w:val="20"/>
        </w:rPr>
        <w:t>extinguishment</w:t>
      </w:r>
      <w:r>
        <w:rPr>
          <w:szCs w:val="20"/>
        </w:rPr>
        <w:t xml:space="preserve"> </w:t>
      </w:r>
      <w:r w:rsidRPr="00EF3497">
        <w:rPr>
          <w:szCs w:val="20"/>
        </w:rPr>
        <w:t>rule</w:t>
      </w:r>
      <w:r>
        <w:rPr>
          <w:szCs w:val="20"/>
        </w:rPr>
        <w:t xml:space="preserve"> </w:t>
      </w:r>
      <w:r w:rsidRPr="00EF3497">
        <w:rPr>
          <w:szCs w:val="20"/>
        </w:rPr>
        <w:t>“can</w:t>
      </w:r>
      <w:r>
        <w:rPr>
          <w:szCs w:val="20"/>
        </w:rPr>
        <w:t xml:space="preserve"> </w:t>
      </w:r>
      <w:r w:rsidRPr="00EF3497">
        <w:rPr>
          <w:szCs w:val="20"/>
        </w:rPr>
        <w:t>reasonably</w:t>
      </w:r>
      <w:r>
        <w:rPr>
          <w:szCs w:val="20"/>
        </w:rPr>
        <w:t xml:space="preserve"> </w:t>
      </w:r>
      <w:r w:rsidRPr="00EF3497">
        <w:rPr>
          <w:szCs w:val="20"/>
        </w:rPr>
        <w:t>be</w:t>
      </w:r>
      <w:r>
        <w:rPr>
          <w:szCs w:val="20"/>
        </w:rPr>
        <w:t xml:space="preserve"> </w:t>
      </w:r>
      <w:r w:rsidRPr="00EF3497">
        <w:rPr>
          <w:szCs w:val="20"/>
        </w:rPr>
        <w:t>discerned</w:t>
      </w:r>
      <w:r>
        <w:rPr>
          <w:szCs w:val="20"/>
        </w:rPr>
        <w:t xml:space="preserve"> </w:t>
      </w:r>
      <w:r w:rsidRPr="00EF3497">
        <w:rPr>
          <w:szCs w:val="20"/>
        </w:rPr>
        <w:t>and</w:t>
      </w:r>
      <w:r>
        <w:rPr>
          <w:szCs w:val="20"/>
        </w:rPr>
        <w:t xml:space="preserve"> </w:t>
      </w:r>
      <w:r w:rsidRPr="00EF3497">
        <w:rPr>
          <w:szCs w:val="20"/>
        </w:rPr>
        <w:t>*</w:t>
      </w:r>
      <w:r>
        <w:rPr>
          <w:szCs w:val="20"/>
        </w:rPr>
        <w:t xml:space="preserve"> </w:t>
      </w:r>
      <w:r w:rsidRPr="00EF3497">
        <w:rPr>
          <w:szCs w:val="20"/>
        </w:rPr>
        <w:t>*</w:t>
      </w:r>
      <w:r>
        <w:rPr>
          <w:szCs w:val="20"/>
        </w:rPr>
        <w:t xml:space="preserve"> </w:t>
      </w:r>
      <w:r w:rsidRPr="00EF3497">
        <w:rPr>
          <w:szCs w:val="20"/>
        </w:rPr>
        <w:t>*</w:t>
      </w:r>
      <w:r>
        <w:rPr>
          <w:szCs w:val="20"/>
        </w:rPr>
        <w:t xml:space="preserve"> </w:t>
      </w:r>
      <w:r w:rsidRPr="00EF3497">
        <w:rPr>
          <w:szCs w:val="20"/>
        </w:rPr>
        <w:t>coincides</w:t>
      </w:r>
      <w:r>
        <w:rPr>
          <w:szCs w:val="20"/>
        </w:rPr>
        <w:t xml:space="preserve"> </w:t>
      </w:r>
      <w:r w:rsidRPr="00EF3497">
        <w:rPr>
          <w:szCs w:val="20"/>
        </w:rPr>
        <w:t>with</w:t>
      </w:r>
      <w:r>
        <w:rPr>
          <w:szCs w:val="20"/>
        </w:rPr>
        <w:t xml:space="preserve"> </w:t>
      </w:r>
      <w:r w:rsidRPr="00EF3497">
        <w:rPr>
          <w:szCs w:val="20"/>
        </w:rPr>
        <w:t>the</w:t>
      </w:r>
      <w:r>
        <w:rPr>
          <w:szCs w:val="20"/>
        </w:rPr>
        <w:t xml:space="preserve"> </w:t>
      </w:r>
      <w:r w:rsidRPr="00EF3497">
        <w:rPr>
          <w:szCs w:val="20"/>
        </w:rPr>
        <w:t>agency’s</w:t>
      </w:r>
      <w:r>
        <w:rPr>
          <w:szCs w:val="20"/>
        </w:rPr>
        <w:t xml:space="preserve"> </w:t>
      </w:r>
      <w:r w:rsidRPr="00EF3497">
        <w:rPr>
          <w:szCs w:val="20"/>
        </w:rPr>
        <w:t>authority</w:t>
      </w:r>
      <w:r>
        <w:rPr>
          <w:szCs w:val="20"/>
        </w:rPr>
        <w:t xml:space="preserve"> </w:t>
      </w:r>
      <w:r w:rsidRPr="00EF3497">
        <w:rPr>
          <w:szCs w:val="20"/>
        </w:rPr>
        <w:t>and</w:t>
      </w:r>
      <w:r>
        <w:rPr>
          <w:szCs w:val="20"/>
        </w:rPr>
        <w:t xml:space="preserve"> </w:t>
      </w:r>
      <w:r w:rsidRPr="00EF3497">
        <w:rPr>
          <w:szCs w:val="20"/>
        </w:rPr>
        <w:t>obligations</w:t>
      </w:r>
      <w:r>
        <w:rPr>
          <w:szCs w:val="20"/>
        </w:rPr>
        <w:t xml:space="preserve"> </w:t>
      </w:r>
      <w:r w:rsidRPr="00EF3497">
        <w:rPr>
          <w:szCs w:val="20"/>
        </w:rPr>
        <w:t>under</w:t>
      </w:r>
      <w:r>
        <w:rPr>
          <w:szCs w:val="20"/>
        </w:rPr>
        <w:t xml:space="preserve"> </w:t>
      </w:r>
      <w:r w:rsidRPr="00EF3497">
        <w:rPr>
          <w:szCs w:val="20"/>
        </w:rPr>
        <w:t>the</w:t>
      </w:r>
      <w:r>
        <w:rPr>
          <w:szCs w:val="20"/>
        </w:rPr>
        <w:t xml:space="preserve"> </w:t>
      </w:r>
      <w:r w:rsidRPr="00EF3497">
        <w:rPr>
          <w:szCs w:val="20"/>
        </w:rPr>
        <w:t>relevant</w:t>
      </w:r>
      <w:r>
        <w:rPr>
          <w:szCs w:val="20"/>
        </w:rPr>
        <w:t xml:space="preserve"> </w:t>
      </w:r>
      <w:r w:rsidRPr="00EF3497">
        <w:rPr>
          <w:szCs w:val="20"/>
        </w:rPr>
        <w:t>statute.”</w:t>
      </w:r>
      <w:r>
        <w:rPr>
          <w:szCs w:val="20"/>
        </w:rPr>
        <w:t xml:space="preserve"> </w:t>
      </w:r>
      <w:r w:rsidRPr="00EF3497">
        <w:rPr>
          <w:szCs w:val="20"/>
          <w:u w:val="single"/>
        </w:rPr>
        <w:t>SIH</w:t>
      </w:r>
      <w:r>
        <w:rPr>
          <w:szCs w:val="20"/>
          <w:u w:val="single"/>
        </w:rPr>
        <w:t xml:space="preserve"> </w:t>
      </w:r>
      <w:r w:rsidRPr="00EF3497">
        <w:rPr>
          <w:szCs w:val="20"/>
          <w:u w:val="single"/>
        </w:rPr>
        <w:t>Partners</w:t>
      </w:r>
      <w:r w:rsidRPr="00EF3497">
        <w:rPr>
          <w:szCs w:val="20"/>
        </w:rPr>
        <w:t>,</w:t>
      </w:r>
      <w:r>
        <w:rPr>
          <w:szCs w:val="20"/>
        </w:rPr>
        <w:t xml:space="preserve"> </w:t>
      </w:r>
      <w:r w:rsidRPr="00EF3497">
        <w:rPr>
          <w:szCs w:val="20"/>
        </w:rPr>
        <w:t>150</w:t>
      </w:r>
      <w:r>
        <w:rPr>
          <w:szCs w:val="20"/>
        </w:rPr>
        <w:t xml:space="preserve"> </w:t>
      </w:r>
      <w:r w:rsidRPr="00EF3497">
        <w:rPr>
          <w:szCs w:val="20"/>
        </w:rPr>
        <w:t>T.C.</w:t>
      </w:r>
      <w:r>
        <w:rPr>
          <w:szCs w:val="20"/>
        </w:rPr>
        <w:t xml:space="preserve"> </w:t>
      </w:r>
      <w:r w:rsidRPr="00EF3497">
        <w:rPr>
          <w:szCs w:val="20"/>
        </w:rPr>
        <w:t>at</w:t>
      </w:r>
      <w:r>
        <w:rPr>
          <w:szCs w:val="20"/>
        </w:rPr>
        <w:t xml:space="preserve"> </w:t>
      </w:r>
      <w:r w:rsidRPr="00EF3497">
        <w:rPr>
          <w:szCs w:val="20"/>
        </w:rPr>
        <w:t>47.</w:t>
      </w:r>
      <w:r>
        <w:rPr>
          <w:szCs w:val="20"/>
        </w:rPr>
        <w:t xml:space="preserve"> </w:t>
      </w:r>
      <w:r w:rsidRPr="00EF3497">
        <w:rPr>
          <w:szCs w:val="20"/>
        </w:rPr>
        <w:t>We</w:t>
      </w:r>
      <w:r>
        <w:rPr>
          <w:szCs w:val="20"/>
        </w:rPr>
        <w:t xml:space="preserve"> </w:t>
      </w:r>
      <w:r w:rsidRPr="00EF3497">
        <w:rPr>
          <w:szCs w:val="20"/>
        </w:rPr>
        <w:t>accordingly</w:t>
      </w:r>
      <w:r>
        <w:rPr>
          <w:szCs w:val="20"/>
        </w:rPr>
        <w:t xml:space="preserve"> </w:t>
      </w:r>
      <w:r w:rsidRPr="00EF3497">
        <w:rPr>
          <w:szCs w:val="20"/>
        </w:rPr>
        <w:t>hold</w:t>
      </w:r>
      <w:r>
        <w:rPr>
          <w:szCs w:val="20"/>
        </w:rPr>
        <w:t xml:space="preserve"> </w:t>
      </w:r>
      <w:r w:rsidRPr="00EF3497">
        <w:rPr>
          <w:szCs w:val="20"/>
        </w:rPr>
        <w:t>that</w:t>
      </w:r>
      <w:r>
        <w:rPr>
          <w:szCs w:val="20"/>
        </w:rPr>
        <w:t xml:space="preserve"> </w:t>
      </w:r>
      <w:r w:rsidRPr="00EF3497">
        <w:rPr>
          <w:szCs w:val="20"/>
        </w:rPr>
        <w:t>Treasury</w:t>
      </w:r>
      <w:r>
        <w:rPr>
          <w:szCs w:val="20"/>
        </w:rPr>
        <w:t xml:space="preserve"> </w:t>
      </w:r>
      <w:r w:rsidRPr="00EF3497">
        <w:rPr>
          <w:szCs w:val="20"/>
        </w:rPr>
        <w:t>satisfied</w:t>
      </w:r>
      <w:r>
        <w:rPr>
          <w:szCs w:val="20"/>
        </w:rPr>
        <w:t xml:space="preserve"> </w:t>
      </w:r>
      <w:r w:rsidRPr="00EF3497">
        <w:rPr>
          <w:szCs w:val="20"/>
        </w:rPr>
        <w:t>all</w:t>
      </w:r>
      <w:r>
        <w:rPr>
          <w:szCs w:val="20"/>
        </w:rPr>
        <w:t xml:space="preserve"> </w:t>
      </w:r>
      <w:r w:rsidRPr="00EF3497">
        <w:rPr>
          <w:szCs w:val="20"/>
        </w:rPr>
        <w:t>applicable</w:t>
      </w:r>
      <w:r>
        <w:rPr>
          <w:szCs w:val="20"/>
        </w:rPr>
        <w:t xml:space="preserve"> </w:t>
      </w:r>
      <w:r w:rsidRPr="00EF3497">
        <w:rPr>
          <w:szCs w:val="20"/>
        </w:rPr>
        <w:t>APA</w:t>
      </w:r>
      <w:r>
        <w:rPr>
          <w:szCs w:val="20"/>
        </w:rPr>
        <w:t xml:space="preserve"> </w:t>
      </w:r>
      <w:r w:rsidRPr="00EF3497">
        <w:rPr>
          <w:szCs w:val="20"/>
        </w:rPr>
        <w:t>requirements</w:t>
      </w:r>
      <w:r>
        <w:rPr>
          <w:szCs w:val="20"/>
        </w:rPr>
        <w:t xml:space="preserve"> </w:t>
      </w:r>
      <w:r w:rsidRPr="00EF3497">
        <w:rPr>
          <w:szCs w:val="20"/>
        </w:rPr>
        <w:t>when</w:t>
      </w:r>
      <w:r>
        <w:rPr>
          <w:szCs w:val="20"/>
        </w:rPr>
        <w:t xml:space="preserve"> </w:t>
      </w:r>
      <w:r w:rsidRPr="00EF3497">
        <w:rPr>
          <w:szCs w:val="20"/>
        </w:rPr>
        <w:t>promulgating</w:t>
      </w:r>
      <w:r>
        <w:rPr>
          <w:szCs w:val="20"/>
        </w:rPr>
        <w:t xml:space="preserve"> </w:t>
      </w:r>
      <w:r w:rsidRPr="00EF3497">
        <w:rPr>
          <w:szCs w:val="20"/>
        </w:rPr>
        <w:t>this</w:t>
      </w:r>
      <w:r>
        <w:rPr>
          <w:szCs w:val="20"/>
        </w:rPr>
        <w:t xml:space="preserve"> </w:t>
      </w:r>
      <w:r w:rsidRPr="00EF3497">
        <w:rPr>
          <w:szCs w:val="20"/>
        </w:rPr>
        <w:t>rule.</w:t>
      </w:r>
    </w:p>
    <w:p w:rsidR="007649DB" w:rsidRDefault="007649DB" w:rsidP="007649DB">
      <w:pPr>
        <w:pStyle w:val="Body15"/>
        <w:spacing w:before="240"/>
        <w:rPr>
          <w:color w:val="000000" w:themeColor="text1"/>
        </w:rPr>
      </w:pPr>
      <w:r>
        <w:rPr>
          <w:color w:val="000000" w:themeColor="text1"/>
        </w:rPr>
        <w:t xml:space="preserve">The court then turned to the substance, analyzed under </w:t>
      </w:r>
      <w:r>
        <w:rPr>
          <w:color w:val="000000" w:themeColor="text1"/>
          <w:u w:val="single"/>
        </w:rPr>
        <w:t>Chevron</w:t>
      </w:r>
      <w:r>
        <w:rPr>
          <w:color w:val="000000" w:themeColor="text1"/>
        </w:rPr>
        <w:t xml:space="preserve"> as explained by the court:</w:t>
      </w:r>
    </w:p>
    <w:p w:rsidR="007649DB" w:rsidRPr="00EF3497" w:rsidRDefault="007649DB" w:rsidP="007649DB">
      <w:pPr>
        <w:pStyle w:val="QS10"/>
        <w:rPr>
          <w:szCs w:val="20"/>
        </w:rPr>
      </w:pPr>
      <w:r w:rsidRPr="00EF3497">
        <w:rPr>
          <w:szCs w:val="20"/>
        </w:rPr>
        <w:t>Having</w:t>
      </w:r>
      <w:r>
        <w:rPr>
          <w:szCs w:val="20"/>
        </w:rPr>
        <w:t xml:space="preserve"> </w:t>
      </w:r>
      <w:r w:rsidRPr="00EF3497">
        <w:rPr>
          <w:szCs w:val="20"/>
        </w:rPr>
        <w:t>concluded</w:t>
      </w:r>
      <w:r>
        <w:rPr>
          <w:szCs w:val="20"/>
        </w:rPr>
        <w:t xml:space="preserve"> </w:t>
      </w:r>
      <w:r w:rsidRPr="00EF3497">
        <w:rPr>
          <w:szCs w:val="20"/>
        </w:rPr>
        <w:t>that</w:t>
      </w:r>
      <w:r>
        <w:rPr>
          <w:szCs w:val="20"/>
        </w:rPr>
        <w:t xml:space="preserve"> </w:t>
      </w:r>
      <w:r w:rsidRPr="00EF3497">
        <w:rPr>
          <w:szCs w:val="20"/>
        </w:rPr>
        <w:t>the</w:t>
      </w:r>
      <w:r>
        <w:rPr>
          <w:szCs w:val="20"/>
        </w:rPr>
        <w:t xml:space="preserve"> </w:t>
      </w:r>
      <w:r w:rsidRPr="00EF3497">
        <w:rPr>
          <w:szCs w:val="20"/>
        </w:rPr>
        <w:t>regulation</w:t>
      </w:r>
      <w:r>
        <w:rPr>
          <w:szCs w:val="20"/>
        </w:rPr>
        <w:t xml:space="preserve"> </w:t>
      </w:r>
      <w:r w:rsidRPr="00EF3497">
        <w:rPr>
          <w:szCs w:val="20"/>
        </w:rPr>
        <w:t>was</w:t>
      </w:r>
      <w:r>
        <w:rPr>
          <w:szCs w:val="20"/>
        </w:rPr>
        <w:t xml:space="preserve"> </w:t>
      </w:r>
      <w:r w:rsidRPr="00EF3497">
        <w:rPr>
          <w:szCs w:val="20"/>
        </w:rPr>
        <w:t>properly</w:t>
      </w:r>
      <w:r>
        <w:rPr>
          <w:szCs w:val="20"/>
        </w:rPr>
        <w:t xml:space="preserve"> </w:t>
      </w:r>
      <w:r w:rsidRPr="00EF3497">
        <w:rPr>
          <w:szCs w:val="20"/>
        </w:rPr>
        <w:t>promulgated,</w:t>
      </w:r>
      <w:r>
        <w:rPr>
          <w:szCs w:val="20"/>
        </w:rPr>
        <w:t xml:space="preserve"> </w:t>
      </w:r>
      <w:r w:rsidRPr="00EF3497">
        <w:rPr>
          <w:szCs w:val="20"/>
        </w:rPr>
        <w:t>we</w:t>
      </w:r>
      <w:r>
        <w:rPr>
          <w:szCs w:val="20"/>
        </w:rPr>
        <w:t xml:space="preserve"> </w:t>
      </w:r>
      <w:r w:rsidRPr="00EF3497">
        <w:rPr>
          <w:szCs w:val="20"/>
        </w:rPr>
        <w:t>turn</w:t>
      </w:r>
      <w:r>
        <w:rPr>
          <w:szCs w:val="20"/>
        </w:rPr>
        <w:t xml:space="preserve"> </w:t>
      </w:r>
      <w:r w:rsidRPr="00EF3497">
        <w:rPr>
          <w:szCs w:val="20"/>
        </w:rPr>
        <w:t>to</w:t>
      </w:r>
      <w:r>
        <w:rPr>
          <w:szCs w:val="20"/>
        </w:rPr>
        <w:t xml:space="preserve"> </w:t>
      </w:r>
      <w:r w:rsidRPr="00EF3497">
        <w:rPr>
          <w:szCs w:val="20"/>
        </w:rPr>
        <w:t>petitioner’s</w:t>
      </w:r>
      <w:r>
        <w:rPr>
          <w:szCs w:val="20"/>
        </w:rPr>
        <w:t xml:space="preserve"> </w:t>
      </w:r>
      <w:r w:rsidRPr="00EF3497">
        <w:rPr>
          <w:szCs w:val="20"/>
        </w:rPr>
        <w:t>contention</w:t>
      </w:r>
      <w:r>
        <w:rPr>
          <w:szCs w:val="20"/>
        </w:rPr>
        <w:t xml:space="preserve"> </w:t>
      </w:r>
      <w:r w:rsidRPr="00EF3497">
        <w:rPr>
          <w:szCs w:val="20"/>
        </w:rPr>
        <w:t>that</w:t>
      </w:r>
      <w:r>
        <w:rPr>
          <w:szCs w:val="20"/>
        </w:rPr>
        <w:t xml:space="preserve"> </w:t>
      </w:r>
      <w:r w:rsidRPr="00EF3497">
        <w:rPr>
          <w:szCs w:val="20"/>
        </w:rPr>
        <w:t>the</w:t>
      </w:r>
      <w:r>
        <w:rPr>
          <w:szCs w:val="20"/>
        </w:rPr>
        <w:t xml:space="preserve"> </w:t>
      </w:r>
      <w:r w:rsidRPr="00EF3497">
        <w:rPr>
          <w:szCs w:val="20"/>
        </w:rPr>
        <w:t>regulation</w:t>
      </w:r>
      <w:r>
        <w:rPr>
          <w:szCs w:val="20"/>
        </w:rPr>
        <w:t xml:space="preserve"> </w:t>
      </w:r>
      <w:r w:rsidRPr="00EF3497">
        <w:rPr>
          <w:szCs w:val="20"/>
        </w:rPr>
        <w:t>is</w:t>
      </w:r>
      <w:r>
        <w:rPr>
          <w:szCs w:val="20"/>
        </w:rPr>
        <w:t xml:space="preserve"> </w:t>
      </w:r>
      <w:r w:rsidRPr="00EF3497">
        <w:rPr>
          <w:szCs w:val="20"/>
        </w:rPr>
        <w:t>substantively</w:t>
      </w:r>
      <w:r>
        <w:rPr>
          <w:szCs w:val="20"/>
        </w:rPr>
        <w:t xml:space="preserve"> </w:t>
      </w:r>
      <w:r w:rsidRPr="00EF3497">
        <w:rPr>
          <w:szCs w:val="20"/>
        </w:rPr>
        <w:t>invalid.</w:t>
      </w:r>
      <w:r>
        <w:rPr>
          <w:szCs w:val="20"/>
        </w:rPr>
        <w:t xml:space="preserve"> </w:t>
      </w:r>
      <w:r w:rsidRPr="00EF3497">
        <w:rPr>
          <w:szCs w:val="20"/>
        </w:rPr>
        <w:t>When</w:t>
      </w:r>
      <w:r>
        <w:rPr>
          <w:szCs w:val="20"/>
        </w:rPr>
        <w:t xml:space="preserve"> </w:t>
      </w:r>
      <w:r w:rsidRPr="00EF3497">
        <w:rPr>
          <w:szCs w:val="20"/>
        </w:rPr>
        <w:t>considering</w:t>
      </w:r>
      <w:r>
        <w:rPr>
          <w:szCs w:val="20"/>
        </w:rPr>
        <w:t xml:space="preserve"> </w:t>
      </w:r>
      <w:r w:rsidRPr="00EF3497">
        <w:rPr>
          <w:szCs w:val="20"/>
        </w:rPr>
        <w:t>a</w:t>
      </w:r>
      <w:r>
        <w:rPr>
          <w:szCs w:val="20"/>
        </w:rPr>
        <w:t xml:space="preserve"> </w:t>
      </w:r>
      <w:r w:rsidRPr="00EF3497">
        <w:rPr>
          <w:szCs w:val="20"/>
        </w:rPr>
        <w:t>challenge</w:t>
      </w:r>
      <w:r>
        <w:rPr>
          <w:szCs w:val="20"/>
        </w:rPr>
        <w:t xml:space="preserve"> </w:t>
      </w:r>
      <w:r w:rsidRPr="00EF3497">
        <w:rPr>
          <w:szCs w:val="20"/>
        </w:rPr>
        <w:t>to</w:t>
      </w:r>
      <w:r>
        <w:rPr>
          <w:szCs w:val="20"/>
        </w:rPr>
        <w:t xml:space="preserve"> </w:t>
      </w:r>
      <w:r w:rsidRPr="00EF3497">
        <w:rPr>
          <w:szCs w:val="20"/>
        </w:rPr>
        <w:t>the</w:t>
      </w:r>
      <w:r>
        <w:rPr>
          <w:szCs w:val="20"/>
        </w:rPr>
        <w:t xml:space="preserve"> </w:t>
      </w:r>
      <w:r w:rsidRPr="00EF3497">
        <w:rPr>
          <w:szCs w:val="20"/>
        </w:rPr>
        <w:t>substantive</w:t>
      </w:r>
      <w:r>
        <w:rPr>
          <w:szCs w:val="20"/>
        </w:rPr>
        <w:t xml:space="preserve"> </w:t>
      </w:r>
      <w:r w:rsidRPr="00EF3497">
        <w:rPr>
          <w:szCs w:val="20"/>
        </w:rPr>
        <w:t>validity</w:t>
      </w:r>
      <w:r>
        <w:rPr>
          <w:szCs w:val="20"/>
        </w:rPr>
        <w:t xml:space="preserve"> </w:t>
      </w:r>
      <w:r w:rsidRPr="00EF3497">
        <w:rPr>
          <w:szCs w:val="20"/>
        </w:rPr>
        <w:t>of</w:t>
      </w:r>
      <w:r>
        <w:rPr>
          <w:szCs w:val="20"/>
        </w:rPr>
        <w:t xml:space="preserve"> </w:t>
      </w:r>
      <w:r w:rsidRPr="00EF3497">
        <w:rPr>
          <w:szCs w:val="20"/>
        </w:rPr>
        <w:t>a</w:t>
      </w:r>
      <w:r>
        <w:rPr>
          <w:szCs w:val="20"/>
        </w:rPr>
        <w:t xml:space="preserve"> </w:t>
      </w:r>
      <w:r w:rsidRPr="00EF3497">
        <w:rPr>
          <w:szCs w:val="20"/>
        </w:rPr>
        <w:t>regulation,</w:t>
      </w:r>
      <w:r>
        <w:rPr>
          <w:szCs w:val="20"/>
        </w:rPr>
        <w:t xml:space="preserve"> </w:t>
      </w:r>
      <w:r w:rsidRPr="00EF3497">
        <w:rPr>
          <w:szCs w:val="20"/>
        </w:rPr>
        <w:t>we</w:t>
      </w:r>
      <w:r>
        <w:rPr>
          <w:szCs w:val="20"/>
        </w:rPr>
        <w:t xml:space="preserve"> </w:t>
      </w:r>
      <w:r w:rsidRPr="00EF3497">
        <w:rPr>
          <w:szCs w:val="20"/>
        </w:rPr>
        <w:t>generally</w:t>
      </w:r>
      <w:r>
        <w:rPr>
          <w:szCs w:val="20"/>
        </w:rPr>
        <w:t xml:space="preserve"> </w:t>
      </w:r>
      <w:r w:rsidRPr="00EF3497">
        <w:rPr>
          <w:szCs w:val="20"/>
        </w:rPr>
        <w:t>employ</w:t>
      </w:r>
      <w:r>
        <w:rPr>
          <w:szCs w:val="20"/>
        </w:rPr>
        <w:t xml:space="preserve"> </w:t>
      </w:r>
      <w:r w:rsidRPr="00EF3497">
        <w:rPr>
          <w:szCs w:val="20"/>
        </w:rPr>
        <w:t>the</w:t>
      </w:r>
      <w:r>
        <w:rPr>
          <w:szCs w:val="20"/>
        </w:rPr>
        <w:t xml:space="preserve"> </w:t>
      </w:r>
      <w:r w:rsidRPr="00EF3497">
        <w:rPr>
          <w:szCs w:val="20"/>
        </w:rPr>
        <w:t>two-part</w:t>
      </w:r>
      <w:r>
        <w:rPr>
          <w:szCs w:val="20"/>
        </w:rPr>
        <w:t xml:space="preserve"> </w:t>
      </w:r>
      <w:r w:rsidRPr="00EF3497">
        <w:rPr>
          <w:szCs w:val="20"/>
        </w:rPr>
        <w:t>test</w:t>
      </w:r>
      <w:r>
        <w:rPr>
          <w:szCs w:val="20"/>
        </w:rPr>
        <w:t xml:space="preserve"> </w:t>
      </w:r>
      <w:r w:rsidRPr="00EF3497">
        <w:rPr>
          <w:szCs w:val="20"/>
        </w:rPr>
        <w:t>established</w:t>
      </w:r>
      <w:r>
        <w:rPr>
          <w:szCs w:val="20"/>
        </w:rPr>
        <w:t xml:space="preserve"> </w:t>
      </w:r>
      <w:r w:rsidRPr="00EF3497">
        <w:rPr>
          <w:szCs w:val="20"/>
        </w:rPr>
        <w:t>by</w:t>
      </w:r>
      <w:r>
        <w:rPr>
          <w:szCs w:val="20"/>
        </w:rPr>
        <w:t xml:space="preserve"> </w:t>
      </w:r>
      <w:r w:rsidRPr="00EF3497">
        <w:rPr>
          <w:szCs w:val="20"/>
          <w:u w:val="single"/>
        </w:rPr>
        <w:t>Chevron,</w:t>
      </w:r>
      <w:r>
        <w:rPr>
          <w:szCs w:val="20"/>
          <w:u w:val="single"/>
        </w:rPr>
        <w:t xml:space="preserve"> </w:t>
      </w:r>
      <w:r w:rsidRPr="00EF3497">
        <w:rPr>
          <w:szCs w:val="20"/>
          <w:u w:val="single"/>
        </w:rPr>
        <w:t>U.S.A.,</w:t>
      </w:r>
      <w:r>
        <w:rPr>
          <w:szCs w:val="20"/>
          <w:u w:val="single"/>
        </w:rPr>
        <w:t xml:space="preserve"> </w:t>
      </w:r>
      <w:r w:rsidRPr="00EF3497">
        <w:rPr>
          <w:szCs w:val="20"/>
          <w:u w:val="single"/>
        </w:rPr>
        <w:t>Inc.</w:t>
      </w:r>
      <w:r>
        <w:rPr>
          <w:szCs w:val="20"/>
          <w:u w:val="single"/>
        </w:rPr>
        <w:t xml:space="preserve"> </w:t>
      </w:r>
      <w:r w:rsidRPr="00EF3497">
        <w:rPr>
          <w:szCs w:val="20"/>
          <w:u w:val="single"/>
        </w:rPr>
        <w:t>v.</w:t>
      </w:r>
      <w:r>
        <w:rPr>
          <w:szCs w:val="20"/>
          <w:u w:val="single"/>
        </w:rPr>
        <w:t xml:space="preserve"> </w:t>
      </w:r>
      <w:r w:rsidRPr="00EF3497">
        <w:rPr>
          <w:szCs w:val="20"/>
          <w:u w:val="single"/>
        </w:rPr>
        <w:t>Nat.</w:t>
      </w:r>
      <w:r>
        <w:rPr>
          <w:szCs w:val="20"/>
          <w:u w:val="single"/>
        </w:rPr>
        <w:t xml:space="preserve"> </w:t>
      </w:r>
      <w:r w:rsidRPr="00EF3497">
        <w:rPr>
          <w:szCs w:val="20"/>
          <w:u w:val="single"/>
        </w:rPr>
        <w:t>Res.</w:t>
      </w:r>
      <w:r>
        <w:rPr>
          <w:szCs w:val="20"/>
          <w:u w:val="single"/>
        </w:rPr>
        <w:t xml:space="preserve"> </w:t>
      </w:r>
      <w:r w:rsidRPr="00EF3497">
        <w:rPr>
          <w:szCs w:val="20"/>
          <w:u w:val="single"/>
        </w:rPr>
        <w:t>Def.</w:t>
      </w:r>
      <w:r>
        <w:rPr>
          <w:szCs w:val="20"/>
          <w:u w:val="single"/>
        </w:rPr>
        <w:t xml:space="preserve"> </w:t>
      </w:r>
      <w:r w:rsidRPr="00EF3497">
        <w:rPr>
          <w:szCs w:val="20"/>
          <w:u w:val="single"/>
        </w:rPr>
        <w:t>Council,</w:t>
      </w:r>
      <w:r>
        <w:rPr>
          <w:szCs w:val="20"/>
          <w:u w:val="single"/>
        </w:rPr>
        <w:t xml:space="preserve"> </w:t>
      </w:r>
      <w:r w:rsidRPr="00EF3497">
        <w:rPr>
          <w:szCs w:val="20"/>
          <w:u w:val="single"/>
        </w:rPr>
        <w:t>Inc.</w:t>
      </w:r>
      <w:r w:rsidRPr="00EF3497">
        <w:rPr>
          <w:szCs w:val="20"/>
        </w:rPr>
        <w:t>,</w:t>
      </w:r>
      <w:r>
        <w:rPr>
          <w:szCs w:val="20"/>
        </w:rPr>
        <w:t xml:space="preserve"> </w:t>
      </w:r>
      <w:r w:rsidRPr="00EF3497">
        <w:rPr>
          <w:szCs w:val="20"/>
        </w:rPr>
        <w:t>467</w:t>
      </w:r>
      <w:r>
        <w:rPr>
          <w:szCs w:val="20"/>
        </w:rPr>
        <w:t xml:space="preserve"> </w:t>
      </w:r>
      <w:r w:rsidRPr="00EF3497">
        <w:rPr>
          <w:szCs w:val="20"/>
        </w:rPr>
        <w:t>U.S.</w:t>
      </w:r>
      <w:r>
        <w:rPr>
          <w:szCs w:val="20"/>
        </w:rPr>
        <w:t xml:space="preserve"> </w:t>
      </w:r>
      <w:r w:rsidRPr="00EF3497">
        <w:rPr>
          <w:szCs w:val="20"/>
        </w:rPr>
        <w:t>837</w:t>
      </w:r>
      <w:r>
        <w:rPr>
          <w:szCs w:val="20"/>
        </w:rPr>
        <w:t xml:space="preserve"> </w:t>
      </w:r>
      <w:r w:rsidRPr="00EF3497">
        <w:rPr>
          <w:szCs w:val="20"/>
        </w:rPr>
        <w:t>(1984).</w:t>
      </w:r>
      <w:r>
        <w:rPr>
          <w:szCs w:val="20"/>
        </w:rPr>
        <w:t xml:space="preserve"> </w:t>
      </w:r>
      <w:r w:rsidRPr="00EF3497">
        <w:rPr>
          <w:szCs w:val="20"/>
        </w:rPr>
        <w:t>The</w:t>
      </w:r>
      <w:r>
        <w:rPr>
          <w:szCs w:val="20"/>
        </w:rPr>
        <w:t xml:space="preserve"> </w:t>
      </w:r>
      <w:r w:rsidRPr="00EF3497">
        <w:rPr>
          <w:szCs w:val="20"/>
        </w:rPr>
        <w:t>first</w:t>
      </w:r>
      <w:r>
        <w:rPr>
          <w:szCs w:val="20"/>
        </w:rPr>
        <w:t xml:space="preserve"> </w:t>
      </w:r>
      <w:r w:rsidRPr="00EF3497">
        <w:rPr>
          <w:szCs w:val="20"/>
        </w:rPr>
        <w:t>prong</w:t>
      </w:r>
      <w:r>
        <w:rPr>
          <w:szCs w:val="20"/>
        </w:rPr>
        <w:t xml:space="preserve"> </w:t>
      </w:r>
      <w:r w:rsidRPr="00EF3497">
        <w:rPr>
          <w:szCs w:val="20"/>
        </w:rPr>
        <w:t>of</w:t>
      </w:r>
      <w:r>
        <w:rPr>
          <w:szCs w:val="20"/>
        </w:rPr>
        <w:t xml:space="preserve"> </w:t>
      </w:r>
      <w:r w:rsidRPr="00EF3497">
        <w:rPr>
          <w:szCs w:val="20"/>
        </w:rPr>
        <w:t>that</w:t>
      </w:r>
      <w:r>
        <w:rPr>
          <w:szCs w:val="20"/>
        </w:rPr>
        <w:t xml:space="preserve"> </w:t>
      </w:r>
      <w:r w:rsidRPr="00EF3497">
        <w:rPr>
          <w:szCs w:val="20"/>
        </w:rPr>
        <w:t>test</w:t>
      </w:r>
      <w:r>
        <w:rPr>
          <w:szCs w:val="20"/>
        </w:rPr>
        <w:t xml:space="preserve"> </w:t>
      </w:r>
      <w:r w:rsidRPr="00EF3497">
        <w:rPr>
          <w:szCs w:val="20"/>
        </w:rPr>
        <w:t>asks</w:t>
      </w:r>
      <w:r>
        <w:rPr>
          <w:szCs w:val="20"/>
        </w:rPr>
        <w:t xml:space="preserve"> </w:t>
      </w:r>
      <w:r w:rsidRPr="00EF3497">
        <w:rPr>
          <w:szCs w:val="20"/>
        </w:rPr>
        <w:t>“whether</w:t>
      </w:r>
      <w:r>
        <w:rPr>
          <w:szCs w:val="20"/>
        </w:rPr>
        <w:t xml:space="preserve"> </w:t>
      </w:r>
      <w:r w:rsidRPr="00EF3497">
        <w:rPr>
          <w:szCs w:val="20"/>
        </w:rPr>
        <w:t>Congress</w:t>
      </w:r>
      <w:r>
        <w:rPr>
          <w:szCs w:val="20"/>
        </w:rPr>
        <w:t xml:space="preserve"> </w:t>
      </w:r>
      <w:r w:rsidRPr="00EF3497">
        <w:rPr>
          <w:szCs w:val="20"/>
        </w:rPr>
        <w:t>has</w:t>
      </w:r>
      <w:r>
        <w:rPr>
          <w:szCs w:val="20"/>
        </w:rPr>
        <w:t xml:space="preserve"> </w:t>
      </w:r>
      <w:r w:rsidRPr="00EF3497">
        <w:rPr>
          <w:szCs w:val="20"/>
        </w:rPr>
        <w:t>directly</w:t>
      </w:r>
      <w:r>
        <w:rPr>
          <w:szCs w:val="20"/>
        </w:rPr>
        <w:t xml:space="preserve"> </w:t>
      </w:r>
      <w:r w:rsidRPr="00EF3497">
        <w:rPr>
          <w:szCs w:val="20"/>
        </w:rPr>
        <w:t>spoken</w:t>
      </w:r>
      <w:r>
        <w:rPr>
          <w:szCs w:val="20"/>
        </w:rPr>
        <w:t xml:space="preserve"> </w:t>
      </w:r>
      <w:r w:rsidRPr="00EF3497">
        <w:rPr>
          <w:szCs w:val="20"/>
        </w:rPr>
        <w:t>to</w:t>
      </w:r>
      <w:r>
        <w:rPr>
          <w:szCs w:val="20"/>
        </w:rPr>
        <w:t xml:space="preserve"> </w:t>
      </w:r>
      <w:r w:rsidRPr="00EF3497">
        <w:rPr>
          <w:szCs w:val="20"/>
        </w:rPr>
        <w:t>the</w:t>
      </w:r>
      <w:r>
        <w:rPr>
          <w:szCs w:val="20"/>
        </w:rPr>
        <w:t xml:space="preserve"> </w:t>
      </w:r>
      <w:r w:rsidRPr="00EF3497">
        <w:rPr>
          <w:szCs w:val="20"/>
        </w:rPr>
        <w:t>precise</w:t>
      </w:r>
      <w:r>
        <w:rPr>
          <w:szCs w:val="20"/>
        </w:rPr>
        <w:t xml:space="preserve"> </w:t>
      </w:r>
      <w:r w:rsidRPr="00EF3497">
        <w:rPr>
          <w:szCs w:val="20"/>
        </w:rPr>
        <w:t>question</w:t>
      </w:r>
      <w:r>
        <w:rPr>
          <w:szCs w:val="20"/>
        </w:rPr>
        <w:t xml:space="preserve"> </w:t>
      </w:r>
      <w:r w:rsidRPr="00EF3497">
        <w:rPr>
          <w:szCs w:val="20"/>
        </w:rPr>
        <w:t>at</w:t>
      </w:r>
      <w:r>
        <w:rPr>
          <w:szCs w:val="20"/>
        </w:rPr>
        <w:t xml:space="preserve"> </w:t>
      </w:r>
      <w:r w:rsidRPr="00EF3497">
        <w:rPr>
          <w:szCs w:val="20"/>
        </w:rPr>
        <w:t>issue.”</w:t>
      </w:r>
      <w:r>
        <w:rPr>
          <w:szCs w:val="20"/>
        </w:rPr>
        <w:t xml:space="preserve"> </w:t>
      </w:r>
      <w:r w:rsidRPr="00EF3497">
        <w:rPr>
          <w:szCs w:val="20"/>
          <w:u w:val="single"/>
        </w:rPr>
        <w:t>Id.</w:t>
      </w:r>
      <w:r>
        <w:rPr>
          <w:szCs w:val="20"/>
        </w:rPr>
        <w:t xml:space="preserve"> </w:t>
      </w:r>
      <w:r w:rsidRPr="00EF3497">
        <w:rPr>
          <w:szCs w:val="20"/>
        </w:rPr>
        <w:t>at</w:t>
      </w:r>
      <w:r>
        <w:rPr>
          <w:szCs w:val="20"/>
        </w:rPr>
        <w:t xml:space="preserve"> </w:t>
      </w:r>
      <w:r w:rsidRPr="00EF3497">
        <w:rPr>
          <w:szCs w:val="20"/>
        </w:rPr>
        <w:t>842.</w:t>
      </w:r>
      <w:r>
        <w:rPr>
          <w:szCs w:val="20"/>
        </w:rPr>
        <w:t xml:space="preserve"> </w:t>
      </w:r>
      <w:r w:rsidRPr="00EF3497">
        <w:rPr>
          <w:szCs w:val="20"/>
        </w:rPr>
        <w:t>“If</w:t>
      </w:r>
      <w:r>
        <w:rPr>
          <w:szCs w:val="20"/>
        </w:rPr>
        <w:t xml:space="preserve"> </w:t>
      </w:r>
      <w:r w:rsidRPr="00EF3497">
        <w:rPr>
          <w:szCs w:val="20"/>
        </w:rPr>
        <w:t>the</w:t>
      </w:r>
      <w:r>
        <w:rPr>
          <w:szCs w:val="20"/>
        </w:rPr>
        <w:t xml:space="preserve"> </w:t>
      </w:r>
      <w:r w:rsidRPr="00EF3497">
        <w:rPr>
          <w:szCs w:val="20"/>
        </w:rPr>
        <w:t>intent</w:t>
      </w:r>
      <w:r>
        <w:rPr>
          <w:szCs w:val="20"/>
        </w:rPr>
        <w:t xml:space="preserve"> </w:t>
      </w:r>
      <w:r w:rsidRPr="00EF3497">
        <w:rPr>
          <w:szCs w:val="20"/>
        </w:rPr>
        <w:t>of</w:t>
      </w:r>
      <w:r>
        <w:rPr>
          <w:szCs w:val="20"/>
        </w:rPr>
        <w:t xml:space="preserve"> </w:t>
      </w:r>
      <w:r w:rsidRPr="00EF3497">
        <w:rPr>
          <w:szCs w:val="20"/>
        </w:rPr>
        <w:t>Congress</w:t>
      </w:r>
      <w:r>
        <w:rPr>
          <w:szCs w:val="20"/>
        </w:rPr>
        <w:t xml:space="preserve"> </w:t>
      </w:r>
      <w:r w:rsidRPr="00EF3497">
        <w:rPr>
          <w:szCs w:val="20"/>
        </w:rPr>
        <w:t>is</w:t>
      </w:r>
      <w:r>
        <w:rPr>
          <w:szCs w:val="20"/>
        </w:rPr>
        <w:t xml:space="preserve"> </w:t>
      </w:r>
      <w:r w:rsidRPr="00EF3497">
        <w:rPr>
          <w:szCs w:val="20"/>
        </w:rPr>
        <w:t>clear,</w:t>
      </w:r>
      <w:r>
        <w:rPr>
          <w:szCs w:val="20"/>
        </w:rPr>
        <w:t xml:space="preserve"> </w:t>
      </w:r>
      <w:r w:rsidRPr="00EF3497">
        <w:rPr>
          <w:szCs w:val="20"/>
        </w:rPr>
        <w:t>that</w:t>
      </w:r>
      <w:r>
        <w:rPr>
          <w:szCs w:val="20"/>
        </w:rPr>
        <w:t xml:space="preserve"> </w:t>
      </w:r>
      <w:r w:rsidRPr="00EF3497">
        <w:rPr>
          <w:szCs w:val="20"/>
        </w:rPr>
        <w:t>is</w:t>
      </w:r>
      <w:r>
        <w:rPr>
          <w:szCs w:val="20"/>
        </w:rPr>
        <w:t xml:space="preserve"> </w:t>
      </w:r>
      <w:r w:rsidRPr="00EF3497">
        <w:rPr>
          <w:szCs w:val="20"/>
        </w:rPr>
        <w:t>the</w:t>
      </w:r>
      <w:r>
        <w:rPr>
          <w:szCs w:val="20"/>
        </w:rPr>
        <w:t xml:space="preserve"> </w:t>
      </w:r>
      <w:r w:rsidRPr="00EF3497">
        <w:rPr>
          <w:szCs w:val="20"/>
        </w:rPr>
        <w:t>end</w:t>
      </w:r>
      <w:r>
        <w:rPr>
          <w:szCs w:val="20"/>
        </w:rPr>
        <w:t xml:space="preserve"> </w:t>
      </w:r>
      <w:r w:rsidRPr="00EF3497">
        <w:rPr>
          <w:szCs w:val="20"/>
        </w:rPr>
        <w:t>of</w:t>
      </w:r>
      <w:r>
        <w:rPr>
          <w:szCs w:val="20"/>
        </w:rPr>
        <w:t xml:space="preserve"> </w:t>
      </w:r>
      <w:r w:rsidRPr="00EF3497">
        <w:rPr>
          <w:szCs w:val="20"/>
        </w:rPr>
        <w:t>the</w:t>
      </w:r>
      <w:r>
        <w:rPr>
          <w:szCs w:val="20"/>
        </w:rPr>
        <w:t xml:space="preserve"> </w:t>
      </w:r>
      <w:r w:rsidRPr="00EF3497">
        <w:rPr>
          <w:szCs w:val="20"/>
        </w:rPr>
        <w:t>matter.”</w:t>
      </w:r>
      <w:r>
        <w:rPr>
          <w:szCs w:val="20"/>
        </w:rPr>
        <w:t xml:space="preserve"> </w:t>
      </w:r>
      <w:r w:rsidRPr="00EF3497">
        <w:rPr>
          <w:szCs w:val="20"/>
          <w:u w:val="single"/>
        </w:rPr>
        <w:t>Ibid.</w:t>
      </w:r>
    </w:p>
    <w:p w:rsidR="007649DB" w:rsidRPr="00EF3497" w:rsidRDefault="007649DB" w:rsidP="007649DB">
      <w:pPr>
        <w:pStyle w:val="QS10"/>
        <w:rPr>
          <w:szCs w:val="20"/>
        </w:rPr>
      </w:pPr>
      <w:r w:rsidRPr="00EF3497">
        <w:rPr>
          <w:szCs w:val="20"/>
        </w:rPr>
        <w:t>Section</w:t>
      </w:r>
      <w:r>
        <w:rPr>
          <w:szCs w:val="20"/>
        </w:rPr>
        <w:t xml:space="preserve"> </w:t>
      </w:r>
      <w:r w:rsidRPr="00EF3497">
        <w:rPr>
          <w:szCs w:val="20"/>
        </w:rPr>
        <w:t>170(h)(5)(A)</w:t>
      </w:r>
      <w:r>
        <w:rPr>
          <w:szCs w:val="20"/>
        </w:rPr>
        <w:t xml:space="preserve"> </w:t>
      </w:r>
      <w:r w:rsidRPr="00EF3497">
        <w:rPr>
          <w:szCs w:val="20"/>
        </w:rPr>
        <w:t>sets</w:t>
      </w:r>
      <w:r>
        <w:rPr>
          <w:szCs w:val="20"/>
        </w:rPr>
        <w:t xml:space="preserve"> </w:t>
      </w:r>
      <w:r w:rsidRPr="00EF3497">
        <w:rPr>
          <w:szCs w:val="20"/>
        </w:rPr>
        <w:t>forth</w:t>
      </w:r>
      <w:r>
        <w:rPr>
          <w:szCs w:val="20"/>
        </w:rPr>
        <w:t xml:space="preserve"> </w:t>
      </w:r>
      <w:r w:rsidRPr="00EF3497">
        <w:rPr>
          <w:szCs w:val="20"/>
        </w:rPr>
        <w:t>a</w:t>
      </w:r>
      <w:r>
        <w:rPr>
          <w:szCs w:val="20"/>
        </w:rPr>
        <w:t xml:space="preserve"> </w:t>
      </w:r>
      <w:r w:rsidRPr="00EF3497">
        <w:rPr>
          <w:szCs w:val="20"/>
        </w:rPr>
        <w:t>general</w:t>
      </w:r>
      <w:r>
        <w:rPr>
          <w:szCs w:val="20"/>
        </w:rPr>
        <w:t xml:space="preserve"> </w:t>
      </w:r>
      <w:r w:rsidRPr="00EF3497">
        <w:rPr>
          <w:szCs w:val="20"/>
        </w:rPr>
        <w:t>requirement</w:t>
      </w:r>
      <w:r>
        <w:rPr>
          <w:szCs w:val="20"/>
        </w:rPr>
        <w:t xml:space="preserve"> </w:t>
      </w:r>
      <w:r w:rsidRPr="00EF3497">
        <w:rPr>
          <w:szCs w:val="20"/>
        </w:rPr>
        <w:t>that</w:t>
      </w:r>
      <w:r>
        <w:rPr>
          <w:szCs w:val="20"/>
        </w:rPr>
        <w:t xml:space="preserve"> </w:t>
      </w:r>
      <w:r w:rsidRPr="00EF3497">
        <w:rPr>
          <w:szCs w:val="20"/>
        </w:rPr>
        <w:t>the</w:t>
      </w:r>
      <w:r>
        <w:rPr>
          <w:szCs w:val="20"/>
        </w:rPr>
        <w:t xml:space="preserve"> </w:t>
      </w:r>
      <w:r w:rsidRPr="00EF3497">
        <w:rPr>
          <w:szCs w:val="20"/>
        </w:rPr>
        <w:t>conservation</w:t>
      </w:r>
      <w:r>
        <w:rPr>
          <w:szCs w:val="20"/>
        </w:rPr>
        <w:t xml:space="preserve"> </w:t>
      </w:r>
      <w:r w:rsidRPr="00EF3497">
        <w:rPr>
          <w:szCs w:val="20"/>
        </w:rPr>
        <w:t>purpose</w:t>
      </w:r>
      <w:r>
        <w:rPr>
          <w:szCs w:val="20"/>
        </w:rPr>
        <w:t xml:space="preserve"> </w:t>
      </w:r>
      <w:r w:rsidRPr="00EF3497">
        <w:rPr>
          <w:szCs w:val="20"/>
        </w:rPr>
        <w:t>be</w:t>
      </w:r>
      <w:r>
        <w:rPr>
          <w:szCs w:val="20"/>
        </w:rPr>
        <w:t xml:space="preserve"> </w:t>
      </w:r>
      <w:r w:rsidRPr="00EF3497">
        <w:rPr>
          <w:szCs w:val="20"/>
        </w:rPr>
        <w:t>“protected</w:t>
      </w:r>
      <w:r>
        <w:rPr>
          <w:szCs w:val="20"/>
        </w:rPr>
        <w:t xml:space="preserve"> </w:t>
      </w:r>
      <w:r w:rsidRPr="00EF3497">
        <w:rPr>
          <w:szCs w:val="20"/>
        </w:rPr>
        <w:t>in</w:t>
      </w:r>
      <w:r>
        <w:rPr>
          <w:szCs w:val="20"/>
        </w:rPr>
        <w:t xml:space="preserve"> </w:t>
      </w:r>
      <w:r w:rsidRPr="00EF3497">
        <w:rPr>
          <w:szCs w:val="20"/>
        </w:rPr>
        <w:t>perpetuity.”</w:t>
      </w:r>
      <w:r>
        <w:rPr>
          <w:szCs w:val="20"/>
        </w:rPr>
        <w:t xml:space="preserve"> </w:t>
      </w:r>
      <w:r w:rsidRPr="00EF3497">
        <w:rPr>
          <w:szCs w:val="20"/>
        </w:rPr>
        <w:t>Congress</w:t>
      </w:r>
      <w:r>
        <w:rPr>
          <w:szCs w:val="20"/>
        </w:rPr>
        <w:t xml:space="preserve"> </w:t>
      </w:r>
      <w:r w:rsidRPr="00EF3497">
        <w:rPr>
          <w:szCs w:val="20"/>
        </w:rPr>
        <w:t>does</w:t>
      </w:r>
      <w:r>
        <w:rPr>
          <w:szCs w:val="20"/>
        </w:rPr>
        <w:t xml:space="preserve"> </w:t>
      </w:r>
      <w:r w:rsidRPr="00EF3497">
        <w:rPr>
          <w:szCs w:val="20"/>
        </w:rPr>
        <w:t>not</w:t>
      </w:r>
      <w:r>
        <w:rPr>
          <w:szCs w:val="20"/>
        </w:rPr>
        <w:t xml:space="preserve"> </w:t>
      </w:r>
      <w:r w:rsidRPr="00EF3497">
        <w:rPr>
          <w:szCs w:val="20"/>
        </w:rPr>
        <w:t>appear</w:t>
      </w:r>
      <w:r>
        <w:rPr>
          <w:szCs w:val="20"/>
        </w:rPr>
        <w:t xml:space="preserve"> </w:t>
      </w:r>
      <w:r w:rsidRPr="00EF3497">
        <w:rPr>
          <w:szCs w:val="20"/>
        </w:rPr>
        <w:t>to</w:t>
      </w:r>
      <w:r>
        <w:rPr>
          <w:szCs w:val="20"/>
        </w:rPr>
        <w:t xml:space="preserve"> </w:t>
      </w:r>
      <w:r w:rsidRPr="00EF3497">
        <w:rPr>
          <w:szCs w:val="20"/>
        </w:rPr>
        <w:t>have</w:t>
      </w:r>
      <w:r>
        <w:rPr>
          <w:szCs w:val="20"/>
        </w:rPr>
        <w:t xml:space="preserve"> </w:t>
      </w:r>
      <w:r w:rsidRPr="00EF3497">
        <w:rPr>
          <w:szCs w:val="20"/>
        </w:rPr>
        <w:t>considered</w:t>
      </w:r>
      <w:r>
        <w:rPr>
          <w:szCs w:val="20"/>
        </w:rPr>
        <w:t xml:space="preserve"> </w:t>
      </w:r>
      <w:r w:rsidRPr="00EF3497">
        <w:rPr>
          <w:szCs w:val="20"/>
        </w:rPr>
        <w:t>the</w:t>
      </w:r>
      <w:r>
        <w:rPr>
          <w:szCs w:val="20"/>
        </w:rPr>
        <w:t xml:space="preserve"> </w:t>
      </w:r>
      <w:r w:rsidRPr="00EF3497">
        <w:rPr>
          <w:szCs w:val="20"/>
        </w:rPr>
        <w:t>possibility</w:t>
      </w:r>
      <w:r>
        <w:rPr>
          <w:szCs w:val="20"/>
        </w:rPr>
        <w:t xml:space="preserve"> </w:t>
      </w:r>
      <w:r w:rsidRPr="00EF3497">
        <w:rPr>
          <w:szCs w:val="20"/>
        </w:rPr>
        <w:t>that</w:t>
      </w:r>
      <w:r>
        <w:rPr>
          <w:szCs w:val="20"/>
        </w:rPr>
        <w:t xml:space="preserve"> </w:t>
      </w:r>
      <w:r w:rsidRPr="00EF3497">
        <w:rPr>
          <w:szCs w:val="20"/>
        </w:rPr>
        <w:t>an</w:t>
      </w:r>
      <w:r>
        <w:rPr>
          <w:szCs w:val="20"/>
        </w:rPr>
        <w:t xml:space="preserve"> </w:t>
      </w:r>
      <w:r w:rsidRPr="00EF3497">
        <w:rPr>
          <w:szCs w:val="20"/>
        </w:rPr>
        <w:t>easement</w:t>
      </w:r>
      <w:r>
        <w:rPr>
          <w:szCs w:val="20"/>
        </w:rPr>
        <w:t xml:space="preserve"> </w:t>
      </w:r>
      <w:r w:rsidRPr="00EF3497">
        <w:rPr>
          <w:szCs w:val="20"/>
        </w:rPr>
        <w:t>might</w:t>
      </w:r>
      <w:r>
        <w:rPr>
          <w:szCs w:val="20"/>
        </w:rPr>
        <w:t xml:space="preserve"> </w:t>
      </w:r>
      <w:r w:rsidRPr="00EF3497">
        <w:rPr>
          <w:szCs w:val="20"/>
        </w:rPr>
        <w:t>be</w:t>
      </w:r>
      <w:r>
        <w:rPr>
          <w:szCs w:val="20"/>
        </w:rPr>
        <w:t xml:space="preserve"> </w:t>
      </w:r>
      <w:r w:rsidRPr="00EF3497">
        <w:rPr>
          <w:szCs w:val="20"/>
        </w:rPr>
        <w:t>judicially</w:t>
      </w:r>
      <w:r>
        <w:rPr>
          <w:szCs w:val="20"/>
        </w:rPr>
        <w:t xml:space="preserve"> </w:t>
      </w:r>
      <w:r w:rsidRPr="00EF3497">
        <w:rPr>
          <w:szCs w:val="20"/>
        </w:rPr>
        <w:t>extinguished,</w:t>
      </w:r>
      <w:r>
        <w:rPr>
          <w:szCs w:val="20"/>
        </w:rPr>
        <w:t xml:space="preserve"> </w:t>
      </w:r>
      <w:r w:rsidRPr="00EF3497">
        <w:rPr>
          <w:szCs w:val="20"/>
        </w:rPr>
        <w:t>and</w:t>
      </w:r>
      <w:r>
        <w:rPr>
          <w:szCs w:val="20"/>
        </w:rPr>
        <w:t xml:space="preserve"> </w:t>
      </w:r>
      <w:r w:rsidRPr="00EF3497">
        <w:rPr>
          <w:szCs w:val="20"/>
        </w:rPr>
        <w:t>the</w:t>
      </w:r>
      <w:r>
        <w:rPr>
          <w:szCs w:val="20"/>
        </w:rPr>
        <w:t xml:space="preserve"> </w:t>
      </w:r>
      <w:r w:rsidRPr="00EF3497">
        <w:rPr>
          <w:szCs w:val="20"/>
        </w:rPr>
        <w:t>statute</w:t>
      </w:r>
      <w:r>
        <w:rPr>
          <w:szCs w:val="20"/>
        </w:rPr>
        <w:t xml:space="preserve"> </w:t>
      </w:r>
      <w:r w:rsidRPr="00EF3497">
        <w:rPr>
          <w:szCs w:val="20"/>
        </w:rPr>
        <w:t>does</w:t>
      </w:r>
      <w:r>
        <w:rPr>
          <w:szCs w:val="20"/>
        </w:rPr>
        <w:t xml:space="preserve"> </w:t>
      </w:r>
      <w:r w:rsidRPr="00EF3497">
        <w:rPr>
          <w:szCs w:val="20"/>
        </w:rPr>
        <w:t>not</w:t>
      </w:r>
      <w:r>
        <w:rPr>
          <w:szCs w:val="20"/>
        </w:rPr>
        <w:t xml:space="preserve"> </w:t>
      </w:r>
      <w:r w:rsidRPr="00EF3497">
        <w:rPr>
          <w:szCs w:val="20"/>
        </w:rPr>
        <w:t>address</w:t>
      </w:r>
      <w:r>
        <w:rPr>
          <w:szCs w:val="20"/>
        </w:rPr>
        <w:t xml:space="preserve"> </w:t>
      </w:r>
      <w:r w:rsidRPr="00EF3497">
        <w:rPr>
          <w:szCs w:val="20"/>
        </w:rPr>
        <w:t>how</w:t>
      </w:r>
      <w:r>
        <w:rPr>
          <w:szCs w:val="20"/>
        </w:rPr>
        <w:t xml:space="preserve"> </w:t>
      </w:r>
      <w:r w:rsidRPr="00EF3497">
        <w:rPr>
          <w:szCs w:val="20"/>
        </w:rPr>
        <w:t>that</w:t>
      </w:r>
      <w:r>
        <w:rPr>
          <w:szCs w:val="20"/>
        </w:rPr>
        <w:t xml:space="preserve"> </w:t>
      </w:r>
      <w:r w:rsidRPr="00EF3497">
        <w:rPr>
          <w:szCs w:val="20"/>
        </w:rPr>
        <w:t>possibility</w:t>
      </w:r>
      <w:r>
        <w:rPr>
          <w:szCs w:val="20"/>
        </w:rPr>
        <w:t xml:space="preserve"> </w:t>
      </w:r>
      <w:r w:rsidRPr="00EF3497">
        <w:rPr>
          <w:szCs w:val="20"/>
        </w:rPr>
        <w:t>would</w:t>
      </w:r>
      <w:r>
        <w:rPr>
          <w:szCs w:val="20"/>
        </w:rPr>
        <w:t xml:space="preserve"> </w:t>
      </w:r>
      <w:r w:rsidRPr="00EF3497">
        <w:rPr>
          <w:szCs w:val="20"/>
        </w:rPr>
        <w:t>affect</w:t>
      </w:r>
      <w:r>
        <w:rPr>
          <w:szCs w:val="20"/>
        </w:rPr>
        <w:t xml:space="preserve"> </w:t>
      </w:r>
      <w:r w:rsidRPr="00EF3497">
        <w:rPr>
          <w:szCs w:val="20"/>
        </w:rPr>
        <w:t>a</w:t>
      </w:r>
      <w:r>
        <w:rPr>
          <w:szCs w:val="20"/>
        </w:rPr>
        <w:t xml:space="preserve"> </w:t>
      </w:r>
      <w:r w:rsidRPr="00EF3497">
        <w:rPr>
          <w:szCs w:val="20"/>
        </w:rPr>
        <w:t>taxpayer’s</w:t>
      </w:r>
      <w:r>
        <w:rPr>
          <w:szCs w:val="20"/>
        </w:rPr>
        <w:t xml:space="preserve"> </w:t>
      </w:r>
      <w:r w:rsidRPr="00EF3497">
        <w:rPr>
          <w:szCs w:val="20"/>
        </w:rPr>
        <w:t>ability</w:t>
      </w:r>
      <w:r>
        <w:rPr>
          <w:szCs w:val="20"/>
        </w:rPr>
        <w:t xml:space="preserve"> </w:t>
      </w:r>
      <w:r w:rsidRPr="00EF3497">
        <w:rPr>
          <w:szCs w:val="20"/>
        </w:rPr>
        <w:t>to</w:t>
      </w:r>
      <w:r>
        <w:rPr>
          <w:szCs w:val="20"/>
        </w:rPr>
        <w:t xml:space="preserve"> </w:t>
      </w:r>
      <w:r w:rsidRPr="00EF3497">
        <w:rPr>
          <w:szCs w:val="20"/>
        </w:rPr>
        <w:t>satisfy</w:t>
      </w:r>
      <w:r>
        <w:rPr>
          <w:szCs w:val="20"/>
        </w:rPr>
        <w:t xml:space="preserve"> </w:t>
      </w:r>
      <w:r w:rsidRPr="00EF3497">
        <w:rPr>
          <w:szCs w:val="20"/>
        </w:rPr>
        <w:t>the</w:t>
      </w:r>
      <w:r>
        <w:rPr>
          <w:szCs w:val="20"/>
        </w:rPr>
        <w:t xml:space="preserve"> </w:t>
      </w:r>
      <w:r w:rsidRPr="00EF3497">
        <w:rPr>
          <w:szCs w:val="20"/>
        </w:rPr>
        <w:t>“perpetuity”</w:t>
      </w:r>
      <w:r>
        <w:rPr>
          <w:szCs w:val="20"/>
        </w:rPr>
        <w:t xml:space="preserve"> </w:t>
      </w:r>
      <w:r w:rsidRPr="00EF3497">
        <w:rPr>
          <w:szCs w:val="20"/>
        </w:rPr>
        <w:t>requirement.</w:t>
      </w:r>
      <w:r>
        <w:rPr>
          <w:szCs w:val="20"/>
        </w:rPr>
        <w:t xml:space="preserve"> </w:t>
      </w:r>
      <w:r w:rsidRPr="00EF3497">
        <w:rPr>
          <w:szCs w:val="20"/>
        </w:rPr>
        <w:t>Congress</w:t>
      </w:r>
      <w:r>
        <w:rPr>
          <w:szCs w:val="20"/>
        </w:rPr>
        <w:t xml:space="preserve"> </w:t>
      </w:r>
      <w:r w:rsidRPr="00EF3497">
        <w:rPr>
          <w:szCs w:val="20"/>
        </w:rPr>
        <w:t>therefore</w:t>
      </w:r>
      <w:r>
        <w:rPr>
          <w:szCs w:val="20"/>
        </w:rPr>
        <w:t xml:space="preserve"> </w:t>
      </w:r>
      <w:r w:rsidRPr="00EF3497">
        <w:rPr>
          <w:szCs w:val="20"/>
        </w:rPr>
        <w:t>did</w:t>
      </w:r>
      <w:r>
        <w:rPr>
          <w:szCs w:val="20"/>
        </w:rPr>
        <w:t xml:space="preserve"> </w:t>
      </w:r>
      <w:r w:rsidRPr="00EF3497">
        <w:rPr>
          <w:szCs w:val="20"/>
        </w:rPr>
        <w:t>not</w:t>
      </w:r>
      <w:r>
        <w:rPr>
          <w:szCs w:val="20"/>
        </w:rPr>
        <w:t xml:space="preserve"> </w:t>
      </w:r>
      <w:r w:rsidRPr="00EF3497">
        <w:rPr>
          <w:szCs w:val="20"/>
        </w:rPr>
        <w:t>speak</w:t>
      </w:r>
      <w:r>
        <w:rPr>
          <w:szCs w:val="20"/>
        </w:rPr>
        <w:t xml:space="preserve"> </w:t>
      </w:r>
      <w:r w:rsidRPr="00EF3497">
        <w:rPr>
          <w:szCs w:val="20"/>
        </w:rPr>
        <w:t>directly</w:t>
      </w:r>
      <w:r>
        <w:rPr>
          <w:szCs w:val="20"/>
        </w:rPr>
        <w:t xml:space="preserve"> </w:t>
      </w:r>
      <w:r w:rsidRPr="00EF3497">
        <w:rPr>
          <w:szCs w:val="20"/>
        </w:rPr>
        <w:t>to</w:t>
      </w:r>
      <w:r>
        <w:rPr>
          <w:szCs w:val="20"/>
        </w:rPr>
        <w:t xml:space="preserve"> </w:t>
      </w:r>
      <w:r w:rsidRPr="00EF3497">
        <w:rPr>
          <w:szCs w:val="20"/>
        </w:rPr>
        <w:t>the</w:t>
      </w:r>
      <w:r>
        <w:rPr>
          <w:szCs w:val="20"/>
        </w:rPr>
        <w:t xml:space="preserve"> </w:t>
      </w:r>
      <w:r w:rsidRPr="00EF3497">
        <w:rPr>
          <w:szCs w:val="20"/>
        </w:rPr>
        <w:t>question</w:t>
      </w:r>
      <w:r>
        <w:rPr>
          <w:szCs w:val="20"/>
        </w:rPr>
        <w:t xml:space="preserve"> </w:t>
      </w:r>
      <w:r w:rsidRPr="00EF3497">
        <w:rPr>
          <w:szCs w:val="20"/>
        </w:rPr>
        <w:t>at</w:t>
      </w:r>
      <w:r>
        <w:rPr>
          <w:szCs w:val="20"/>
        </w:rPr>
        <w:t xml:space="preserve"> </w:t>
      </w:r>
      <w:r w:rsidRPr="00EF3497">
        <w:rPr>
          <w:szCs w:val="20"/>
        </w:rPr>
        <w:t>issue.</w:t>
      </w:r>
    </w:p>
    <w:p w:rsidR="007649DB" w:rsidRPr="00EF3497" w:rsidRDefault="007649DB" w:rsidP="007649DB">
      <w:pPr>
        <w:pStyle w:val="QS10"/>
        <w:rPr>
          <w:szCs w:val="20"/>
        </w:rPr>
      </w:pPr>
      <w:r w:rsidRPr="00EF3497">
        <w:rPr>
          <w:szCs w:val="20"/>
        </w:rPr>
        <w:t>We</w:t>
      </w:r>
      <w:r>
        <w:rPr>
          <w:szCs w:val="20"/>
        </w:rPr>
        <w:t xml:space="preserve"> </w:t>
      </w:r>
      <w:r w:rsidRPr="00EF3497">
        <w:rPr>
          <w:szCs w:val="20"/>
        </w:rPr>
        <w:t>accordingly</w:t>
      </w:r>
      <w:r>
        <w:rPr>
          <w:szCs w:val="20"/>
        </w:rPr>
        <w:t xml:space="preserve"> </w:t>
      </w:r>
      <w:r w:rsidRPr="00EF3497">
        <w:rPr>
          <w:szCs w:val="20"/>
        </w:rPr>
        <w:t>proceed</w:t>
      </w:r>
      <w:r>
        <w:rPr>
          <w:szCs w:val="20"/>
        </w:rPr>
        <w:t xml:space="preserve"> </w:t>
      </w:r>
      <w:r w:rsidRPr="00EF3497">
        <w:rPr>
          <w:szCs w:val="20"/>
        </w:rPr>
        <w:t>to</w:t>
      </w:r>
      <w:r>
        <w:rPr>
          <w:szCs w:val="20"/>
        </w:rPr>
        <w:t xml:space="preserve"> </w:t>
      </w:r>
      <w:r w:rsidRPr="00EF3497">
        <w:rPr>
          <w:szCs w:val="20"/>
          <w:u w:val="single"/>
        </w:rPr>
        <w:t>Chevron</w:t>
      </w:r>
      <w:r>
        <w:rPr>
          <w:szCs w:val="20"/>
        </w:rPr>
        <w:t xml:space="preserve"> </w:t>
      </w:r>
      <w:r w:rsidRPr="00EF3497">
        <w:rPr>
          <w:szCs w:val="20"/>
        </w:rPr>
        <w:t>step</w:t>
      </w:r>
      <w:r>
        <w:rPr>
          <w:szCs w:val="20"/>
        </w:rPr>
        <w:t xml:space="preserve"> </w:t>
      </w:r>
      <w:r w:rsidRPr="00EF3497">
        <w:rPr>
          <w:szCs w:val="20"/>
        </w:rPr>
        <w:t>two,</w:t>
      </w:r>
      <w:r>
        <w:rPr>
          <w:szCs w:val="20"/>
        </w:rPr>
        <w:t xml:space="preserve"> </w:t>
      </w:r>
      <w:r w:rsidRPr="00EF3497">
        <w:rPr>
          <w:szCs w:val="20"/>
        </w:rPr>
        <w:t>which</w:t>
      </w:r>
      <w:r>
        <w:rPr>
          <w:szCs w:val="20"/>
        </w:rPr>
        <w:t xml:space="preserve"> </w:t>
      </w:r>
      <w:r w:rsidRPr="00EF3497">
        <w:rPr>
          <w:szCs w:val="20"/>
        </w:rPr>
        <w:t>requires</w:t>
      </w:r>
      <w:r>
        <w:rPr>
          <w:szCs w:val="20"/>
        </w:rPr>
        <w:t xml:space="preserve"> </w:t>
      </w:r>
      <w:r w:rsidRPr="00EF3497">
        <w:rPr>
          <w:szCs w:val="20"/>
        </w:rPr>
        <w:t>us</w:t>
      </w:r>
      <w:r>
        <w:rPr>
          <w:szCs w:val="20"/>
        </w:rPr>
        <w:t xml:space="preserve"> </w:t>
      </w:r>
      <w:r w:rsidRPr="00EF3497">
        <w:rPr>
          <w:szCs w:val="20"/>
        </w:rPr>
        <w:t>to</w:t>
      </w:r>
      <w:r>
        <w:rPr>
          <w:szCs w:val="20"/>
        </w:rPr>
        <w:t xml:space="preserve"> </w:t>
      </w:r>
      <w:r w:rsidRPr="00EF3497">
        <w:rPr>
          <w:szCs w:val="20"/>
        </w:rPr>
        <w:t>consider</w:t>
      </w:r>
      <w:r>
        <w:rPr>
          <w:szCs w:val="20"/>
        </w:rPr>
        <w:t xml:space="preserve"> </w:t>
      </w:r>
      <w:r w:rsidRPr="00EF3497">
        <w:rPr>
          <w:szCs w:val="20"/>
        </w:rPr>
        <w:t>whether</w:t>
      </w:r>
      <w:r>
        <w:rPr>
          <w:szCs w:val="20"/>
        </w:rPr>
        <w:t xml:space="preserve"> </w:t>
      </w:r>
      <w:r w:rsidRPr="00EF3497">
        <w:rPr>
          <w:szCs w:val="20"/>
        </w:rPr>
        <w:t>the</w:t>
      </w:r>
      <w:r>
        <w:rPr>
          <w:szCs w:val="20"/>
        </w:rPr>
        <w:t xml:space="preserve"> </w:t>
      </w:r>
      <w:r w:rsidRPr="00EF3497">
        <w:rPr>
          <w:szCs w:val="20"/>
        </w:rPr>
        <w:t>regulation</w:t>
      </w:r>
      <w:r>
        <w:rPr>
          <w:szCs w:val="20"/>
        </w:rPr>
        <w:t xml:space="preserve"> </w:t>
      </w:r>
      <w:r w:rsidRPr="00EF3497">
        <w:rPr>
          <w:szCs w:val="20"/>
        </w:rPr>
        <w:t>“is</w:t>
      </w:r>
      <w:r>
        <w:rPr>
          <w:szCs w:val="20"/>
        </w:rPr>
        <w:t xml:space="preserve"> </w:t>
      </w:r>
      <w:r w:rsidRPr="00EF3497">
        <w:rPr>
          <w:szCs w:val="20"/>
        </w:rPr>
        <w:t>based</w:t>
      </w:r>
      <w:r>
        <w:rPr>
          <w:szCs w:val="20"/>
        </w:rPr>
        <w:t xml:space="preserve"> </w:t>
      </w:r>
      <w:r w:rsidRPr="00EF3497">
        <w:rPr>
          <w:szCs w:val="20"/>
        </w:rPr>
        <w:t>on</w:t>
      </w:r>
      <w:r>
        <w:rPr>
          <w:szCs w:val="20"/>
        </w:rPr>
        <w:t xml:space="preserve"> </w:t>
      </w:r>
      <w:r w:rsidRPr="00EF3497">
        <w:rPr>
          <w:szCs w:val="20"/>
        </w:rPr>
        <w:t>a</w:t>
      </w:r>
      <w:r>
        <w:rPr>
          <w:szCs w:val="20"/>
        </w:rPr>
        <w:t xml:space="preserve"> </w:t>
      </w:r>
      <w:r w:rsidRPr="00EF3497">
        <w:rPr>
          <w:szCs w:val="20"/>
        </w:rPr>
        <w:t>permissible</w:t>
      </w:r>
      <w:r>
        <w:rPr>
          <w:szCs w:val="20"/>
        </w:rPr>
        <w:t xml:space="preserve"> </w:t>
      </w:r>
      <w:r w:rsidRPr="00EF3497">
        <w:rPr>
          <w:szCs w:val="20"/>
        </w:rPr>
        <w:t>construction</w:t>
      </w:r>
      <w:r>
        <w:rPr>
          <w:szCs w:val="20"/>
        </w:rPr>
        <w:t xml:space="preserve"> </w:t>
      </w:r>
      <w:r w:rsidRPr="00EF3497">
        <w:rPr>
          <w:szCs w:val="20"/>
        </w:rPr>
        <w:t>of</w:t>
      </w:r>
      <w:r>
        <w:rPr>
          <w:szCs w:val="20"/>
        </w:rPr>
        <w:t xml:space="preserve"> </w:t>
      </w:r>
      <w:r w:rsidRPr="00EF3497">
        <w:rPr>
          <w:szCs w:val="20"/>
        </w:rPr>
        <w:t>the</w:t>
      </w:r>
      <w:r>
        <w:rPr>
          <w:szCs w:val="20"/>
        </w:rPr>
        <w:t xml:space="preserve"> </w:t>
      </w:r>
      <w:r w:rsidRPr="00EF3497">
        <w:rPr>
          <w:szCs w:val="20"/>
        </w:rPr>
        <w:t>statute.”</w:t>
      </w:r>
      <w:r>
        <w:rPr>
          <w:szCs w:val="20"/>
        </w:rPr>
        <w:t xml:space="preserve"> </w:t>
      </w:r>
      <w:r w:rsidRPr="00EF3497">
        <w:rPr>
          <w:szCs w:val="20"/>
          <w:u w:val="single"/>
        </w:rPr>
        <w:t>Chevron</w:t>
      </w:r>
      <w:r w:rsidRPr="00EF3497">
        <w:rPr>
          <w:szCs w:val="20"/>
        </w:rPr>
        <w:t>,</w:t>
      </w:r>
      <w:r>
        <w:rPr>
          <w:szCs w:val="20"/>
        </w:rPr>
        <w:t xml:space="preserve"> </w:t>
      </w:r>
      <w:r w:rsidRPr="00EF3497">
        <w:rPr>
          <w:szCs w:val="20"/>
        </w:rPr>
        <w:t>467</w:t>
      </w:r>
      <w:r>
        <w:rPr>
          <w:szCs w:val="20"/>
        </w:rPr>
        <w:t xml:space="preserve"> </w:t>
      </w:r>
      <w:r w:rsidRPr="00EF3497">
        <w:rPr>
          <w:szCs w:val="20"/>
        </w:rPr>
        <w:t>U.S.</w:t>
      </w:r>
      <w:r>
        <w:rPr>
          <w:szCs w:val="20"/>
        </w:rPr>
        <w:t xml:space="preserve"> </w:t>
      </w:r>
      <w:r w:rsidRPr="00EF3497">
        <w:rPr>
          <w:szCs w:val="20"/>
        </w:rPr>
        <w:t>at</w:t>
      </w:r>
      <w:r>
        <w:rPr>
          <w:szCs w:val="20"/>
        </w:rPr>
        <w:t xml:space="preserve"> </w:t>
      </w:r>
      <w:r w:rsidRPr="00EF3497">
        <w:rPr>
          <w:szCs w:val="20"/>
        </w:rPr>
        <w:t>843.</w:t>
      </w:r>
      <w:r>
        <w:rPr>
          <w:szCs w:val="20"/>
        </w:rPr>
        <w:t xml:space="preserve"> </w:t>
      </w:r>
      <w:r w:rsidRPr="00EF3497">
        <w:rPr>
          <w:szCs w:val="20"/>
        </w:rPr>
        <w:t>If</w:t>
      </w:r>
      <w:r>
        <w:rPr>
          <w:szCs w:val="20"/>
        </w:rPr>
        <w:t xml:space="preserve"> </w:t>
      </w:r>
      <w:r w:rsidRPr="00EF3497">
        <w:rPr>
          <w:szCs w:val="20"/>
        </w:rPr>
        <w:t>the</w:t>
      </w:r>
      <w:r>
        <w:rPr>
          <w:szCs w:val="20"/>
        </w:rPr>
        <w:t xml:space="preserve"> </w:t>
      </w:r>
      <w:r w:rsidRPr="00EF3497">
        <w:rPr>
          <w:szCs w:val="20"/>
        </w:rPr>
        <w:t>statute</w:t>
      </w:r>
      <w:r>
        <w:rPr>
          <w:szCs w:val="20"/>
        </w:rPr>
        <w:t xml:space="preserve"> </w:t>
      </w:r>
      <w:r w:rsidRPr="00EF3497">
        <w:rPr>
          <w:szCs w:val="20"/>
        </w:rPr>
        <w:t>is</w:t>
      </w:r>
      <w:r>
        <w:rPr>
          <w:szCs w:val="20"/>
        </w:rPr>
        <w:t xml:space="preserve"> </w:t>
      </w:r>
      <w:r w:rsidRPr="00EF3497">
        <w:rPr>
          <w:szCs w:val="20"/>
        </w:rPr>
        <w:t>silent,</w:t>
      </w:r>
      <w:r>
        <w:rPr>
          <w:szCs w:val="20"/>
        </w:rPr>
        <w:t xml:space="preserve"> </w:t>
      </w:r>
      <w:r w:rsidRPr="00EF3497">
        <w:rPr>
          <w:szCs w:val="20"/>
        </w:rPr>
        <w:t>we</w:t>
      </w:r>
      <w:r>
        <w:rPr>
          <w:szCs w:val="20"/>
        </w:rPr>
        <w:t xml:space="preserve"> </w:t>
      </w:r>
      <w:r w:rsidRPr="00EF3497">
        <w:rPr>
          <w:szCs w:val="20"/>
        </w:rPr>
        <w:t>must</w:t>
      </w:r>
      <w:r>
        <w:rPr>
          <w:szCs w:val="20"/>
        </w:rPr>
        <w:t xml:space="preserve"> </w:t>
      </w:r>
      <w:r w:rsidRPr="00EF3497">
        <w:rPr>
          <w:szCs w:val="20"/>
        </w:rPr>
        <w:t>give</w:t>
      </w:r>
      <w:r>
        <w:rPr>
          <w:szCs w:val="20"/>
        </w:rPr>
        <w:t xml:space="preserve"> </w:t>
      </w:r>
      <w:r w:rsidRPr="00EF3497">
        <w:rPr>
          <w:szCs w:val="20"/>
        </w:rPr>
        <w:t>deference</w:t>
      </w:r>
      <w:r>
        <w:rPr>
          <w:szCs w:val="20"/>
        </w:rPr>
        <w:t xml:space="preserve"> </w:t>
      </w:r>
      <w:r w:rsidRPr="00EF3497">
        <w:rPr>
          <w:szCs w:val="20"/>
        </w:rPr>
        <w:t>to</w:t>
      </w:r>
      <w:r>
        <w:rPr>
          <w:szCs w:val="20"/>
        </w:rPr>
        <w:t xml:space="preserve"> </w:t>
      </w:r>
      <w:r w:rsidRPr="00EF3497">
        <w:rPr>
          <w:szCs w:val="20"/>
        </w:rPr>
        <w:t>the</w:t>
      </w:r>
      <w:r>
        <w:rPr>
          <w:szCs w:val="20"/>
        </w:rPr>
        <w:t xml:space="preserve"> </w:t>
      </w:r>
      <w:r w:rsidRPr="00EF3497">
        <w:rPr>
          <w:szCs w:val="20"/>
        </w:rPr>
        <w:t>interpretation</w:t>
      </w:r>
      <w:r>
        <w:rPr>
          <w:szCs w:val="20"/>
        </w:rPr>
        <w:t xml:space="preserve"> </w:t>
      </w:r>
      <w:r w:rsidRPr="00EF3497">
        <w:rPr>
          <w:szCs w:val="20"/>
        </w:rPr>
        <w:t>embodied</w:t>
      </w:r>
      <w:r>
        <w:rPr>
          <w:szCs w:val="20"/>
        </w:rPr>
        <w:t xml:space="preserve"> </w:t>
      </w:r>
      <w:r w:rsidRPr="00EF3497">
        <w:rPr>
          <w:szCs w:val="20"/>
        </w:rPr>
        <w:t>in</w:t>
      </w:r>
      <w:r>
        <w:rPr>
          <w:szCs w:val="20"/>
        </w:rPr>
        <w:t xml:space="preserve"> </w:t>
      </w:r>
      <w:r w:rsidRPr="00EF3497">
        <w:rPr>
          <w:szCs w:val="20"/>
        </w:rPr>
        <w:t>the</w:t>
      </w:r>
      <w:r>
        <w:rPr>
          <w:szCs w:val="20"/>
        </w:rPr>
        <w:t xml:space="preserve"> </w:t>
      </w:r>
      <w:r w:rsidRPr="00EF3497">
        <w:rPr>
          <w:szCs w:val="20"/>
        </w:rPr>
        <w:t>agency’s</w:t>
      </w:r>
      <w:r>
        <w:rPr>
          <w:szCs w:val="20"/>
        </w:rPr>
        <w:t xml:space="preserve"> </w:t>
      </w:r>
      <w:r w:rsidRPr="00EF3497">
        <w:rPr>
          <w:szCs w:val="20"/>
        </w:rPr>
        <w:t>regulation</w:t>
      </w:r>
      <w:r>
        <w:rPr>
          <w:szCs w:val="20"/>
        </w:rPr>
        <w:t xml:space="preserve"> </w:t>
      </w:r>
      <w:r w:rsidRPr="00EF3497">
        <w:rPr>
          <w:szCs w:val="20"/>
        </w:rPr>
        <w:t>unless</w:t>
      </w:r>
      <w:r>
        <w:rPr>
          <w:szCs w:val="20"/>
        </w:rPr>
        <w:t xml:space="preserve"> </w:t>
      </w:r>
      <w:r w:rsidRPr="00EF3497">
        <w:rPr>
          <w:szCs w:val="20"/>
        </w:rPr>
        <w:t>it</w:t>
      </w:r>
      <w:r>
        <w:rPr>
          <w:szCs w:val="20"/>
        </w:rPr>
        <w:t xml:space="preserve"> </w:t>
      </w:r>
      <w:r w:rsidRPr="00EF3497">
        <w:rPr>
          <w:szCs w:val="20"/>
        </w:rPr>
        <w:t>is</w:t>
      </w:r>
      <w:r>
        <w:rPr>
          <w:szCs w:val="20"/>
        </w:rPr>
        <w:t xml:space="preserve"> </w:t>
      </w:r>
      <w:r w:rsidRPr="00EF3497">
        <w:rPr>
          <w:szCs w:val="20"/>
        </w:rPr>
        <w:t>“arbitrary,</w:t>
      </w:r>
      <w:r>
        <w:rPr>
          <w:szCs w:val="20"/>
        </w:rPr>
        <w:t xml:space="preserve"> </w:t>
      </w:r>
      <w:r w:rsidRPr="00EF3497">
        <w:rPr>
          <w:szCs w:val="20"/>
        </w:rPr>
        <w:t>capricious,</w:t>
      </w:r>
      <w:r>
        <w:rPr>
          <w:szCs w:val="20"/>
        </w:rPr>
        <w:t xml:space="preserve"> </w:t>
      </w:r>
      <w:r w:rsidRPr="00EF3497">
        <w:rPr>
          <w:szCs w:val="20"/>
        </w:rPr>
        <w:t>or</w:t>
      </w:r>
      <w:r>
        <w:rPr>
          <w:szCs w:val="20"/>
        </w:rPr>
        <w:t xml:space="preserve"> </w:t>
      </w:r>
      <w:r w:rsidRPr="00EF3497">
        <w:rPr>
          <w:szCs w:val="20"/>
        </w:rPr>
        <w:t>manifestly</w:t>
      </w:r>
      <w:r>
        <w:rPr>
          <w:szCs w:val="20"/>
        </w:rPr>
        <w:t xml:space="preserve"> </w:t>
      </w:r>
      <w:r w:rsidRPr="00EF3497">
        <w:rPr>
          <w:szCs w:val="20"/>
        </w:rPr>
        <w:t>contrary</w:t>
      </w:r>
      <w:r>
        <w:rPr>
          <w:szCs w:val="20"/>
        </w:rPr>
        <w:t xml:space="preserve"> </w:t>
      </w:r>
      <w:r w:rsidRPr="00EF3497">
        <w:rPr>
          <w:szCs w:val="20"/>
        </w:rPr>
        <w:t>to</w:t>
      </w:r>
      <w:r>
        <w:rPr>
          <w:szCs w:val="20"/>
        </w:rPr>
        <w:t xml:space="preserve"> </w:t>
      </w:r>
      <w:r w:rsidRPr="00EF3497">
        <w:rPr>
          <w:szCs w:val="20"/>
        </w:rPr>
        <w:t>the</w:t>
      </w:r>
      <w:r>
        <w:rPr>
          <w:szCs w:val="20"/>
        </w:rPr>
        <w:t xml:space="preserve"> </w:t>
      </w:r>
      <w:r w:rsidRPr="00EF3497">
        <w:rPr>
          <w:szCs w:val="20"/>
        </w:rPr>
        <w:t>statute.”</w:t>
      </w:r>
      <w:r>
        <w:rPr>
          <w:szCs w:val="20"/>
        </w:rPr>
        <w:t xml:space="preserve"> </w:t>
      </w:r>
      <w:hyperlink r:id="rId140" w:anchor="co_pp_sp_780_844" w:history="1">
        <w:r w:rsidRPr="00EF3497">
          <w:rPr>
            <w:szCs w:val="20"/>
            <w:u w:val="single"/>
          </w:rPr>
          <w:t>Id.</w:t>
        </w:r>
        <w:r>
          <w:rPr>
            <w:rStyle w:val="Hyperlink"/>
            <w:color w:val="auto"/>
            <w:szCs w:val="20"/>
          </w:rPr>
          <w:t xml:space="preserve"> </w:t>
        </w:r>
        <w:r w:rsidRPr="00EF3497">
          <w:rPr>
            <w:rStyle w:val="Hyperlink"/>
            <w:color w:val="auto"/>
            <w:szCs w:val="20"/>
          </w:rPr>
          <w:t>at</w:t>
        </w:r>
        <w:r>
          <w:rPr>
            <w:rStyle w:val="Hyperlink"/>
            <w:color w:val="auto"/>
            <w:szCs w:val="20"/>
          </w:rPr>
          <w:t xml:space="preserve"> </w:t>
        </w:r>
        <w:r w:rsidRPr="00EF3497">
          <w:rPr>
            <w:rStyle w:val="Hyperlink"/>
            <w:color w:val="auto"/>
            <w:szCs w:val="20"/>
          </w:rPr>
          <w:t>844</w:t>
        </w:r>
      </w:hyperlink>
      <w:r w:rsidRPr="00EF3497">
        <w:rPr>
          <w:szCs w:val="20"/>
        </w:rPr>
        <w:t>;</w:t>
      </w:r>
      <w:r>
        <w:rPr>
          <w:szCs w:val="20"/>
        </w:rPr>
        <w:t xml:space="preserve"> </w:t>
      </w:r>
      <w:r w:rsidRPr="00EF3497">
        <w:rPr>
          <w:szCs w:val="20"/>
          <w:u w:val="single"/>
        </w:rPr>
        <w:t>see</w:t>
      </w:r>
      <w:r>
        <w:rPr>
          <w:szCs w:val="20"/>
        </w:rPr>
        <w:t xml:space="preserve"> </w:t>
      </w:r>
      <w:r w:rsidRPr="00EF3497">
        <w:rPr>
          <w:szCs w:val="20"/>
          <w:u w:val="single"/>
        </w:rPr>
        <w:t>United</w:t>
      </w:r>
      <w:r>
        <w:rPr>
          <w:szCs w:val="20"/>
          <w:u w:val="single"/>
        </w:rPr>
        <w:t xml:space="preserve"> </w:t>
      </w:r>
      <w:r w:rsidRPr="00EF3497">
        <w:rPr>
          <w:szCs w:val="20"/>
          <w:u w:val="single"/>
        </w:rPr>
        <w:t>States</w:t>
      </w:r>
      <w:r>
        <w:rPr>
          <w:szCs w:val="20"/>
          <w:u w:val="single"/>
        </w:rPr>
        <w:t xml:space="preserve"> </w:t>
      </w:r>
      <w:r w:rsidRPr="00EF3497">
        <w:rPr>
          <w:szCs w:val="20"/>
          <w:u w:val="single"/>
        </w:rPr>
        <w:t>v.</w:t>
      </w:r>
      <w:r>
        <w:rPr>
          <w:szCs w:val="20"/>
          <w:u w:val="single"/>
        </w:rPr>
        <w:t xml:space="preserve"> </w:t>
      </w:r>
      <w:r w:rsidRPr="00EF3497">
        <w:rPr>
          <w:szCs w:val="20"/>
          <w:u w:val="single"/>
        </w:rPr>
        <w:t>MeadCorp.</w:t>
      </w:r>
      <w:r w:rsidRPr="00EF3497">
        <w:rPr>
          <w:szCs w:val="20"/>
        </w:rPr>
        <w:t>,</w:t>
      </w:r>
      <w:r>
        <w:rPr>
          <w:szCs w:val="20"/>
        </w:rPr>
        <w:t xml:space="preserve"> </w:t>
      </w:r>
      <w:r w:rsidRPr="00EF3497">
        <w:rPr>
          <w:szCs w:val="20"/>
        </w:rPr>
        <w:t>533</w:t>
      </w:r>
      <w:r>
        <w:rPr>
          <w:szCs w:val="20"/>
        </w:rPr>
        <w:t xml:space="preserve"> </w:t>
      </w:r>
      <w:r w:rsidRPr="00EF3497">
        <w:rPr>
          <w:szCs w:val="20"/>
        </w:rPr>
        <w:t>U.S.</w:t>
      </w:r>
      <w:r>
        <w:rPr>
          <w:szCs w:val="20"/>
        </w:rPr>
        <w:t xml:space="preserve"> </w:t>
      </w:r>
      <w:r w:rsidRPr="00EF3497">
        <w:rPr>
          <w:szCs w:val="20"/>
        </w:rPr>
        <w:t>218,</w:t>
      </w:r>
      <w:r>
        <w:rPr>
          <w:szCs w:val="20"/>
        </w:rPr>
        <w:t xml:space="preserve"> </w:t>
      </w:r>
      <w:r w:rsidRPr="00EF3497">
        <w:rPr>
          <w:szCs w:val="20"/>
        </w:rPr>
        <w:t>227</w:t>
      </w:r>
      <w:r>
        <w:rPr>
          <w:szCs w:val="20"/>
        </w:rPr>
        <w:t xml:space="preserve"> </w:t>
      </w:r>
      <w:r w:rsidRPr="00EF3497">
        <w:rPr>
          <w:szCs w:val="20"/>
        </w:rPr>
        <w:t>(2001).</w:t>
      </w:r>
      <w:r>
        <w:rPr>
          <w:szCs w:val="20"/>
        </w:rPr>
        <w:t xml:space="preserve"> </w:t>
      </w:r>
      <w:r w:rsidRPr="00EF3497">
        <w:rPr>
          <w:szCs w:val="20"/>
        </w:rPr>
        <w:t>In</w:t>
      </w:r>
      <w:r>
        <w:rPr>
          <w:szCs w:val="20"/>
        </w:rPr>
        <w:t xml:space="preserve"> </w:t>
      </w:r>
      <w:r w:rsidRPr="00EF3497">
        <w:rPr>
          <w:szCs w:val="20"/>
        </w:rPr>
        <w:t>other</w:t>
      </w:r>
      <w:r>
        <w:rPr>
          <w:szCs w:val="20"/>
        </w:rPr>
        <w:t xml:space="preserve"> </w:t>
      </w:r>
      <w:r w:rsidRPr="00EF3497">
        <w:rPr>
          <w:szCs w:val="20"/>
        </w:rPr>
        <w:t>words</w:t>
      </w:r>
      <w:r>
        <w:rPr>
          <w:szCs w:val="20"/>
        </w:rPr>
        <w:t xml:space="preserve"> </w:t>
      </w:r>
      <w:r w:rsidRPr="00EF3497">
        <w:rPr>
          <w:szCs w:val="20"/>
        </w:rPr>
        <w:t>we</w:t>
      </w:r>
      <w:r>
        <w:rPr>
          <w:szCs w:val="20"/>
        </w:rPr>
        <w:t xml:space="preserve"> </w:t>
      </w:r>
      <w:r w:rsidRPr="00EF3497">
        <w:rPr>
          <w:szCs w:val="20"/>
        </w:rPr>
        <w:t>must</w:t>
      </w:r>
      <w:r>
        <w:rPr>
          <w:szCs w:val="20"/>
        </w:rPr>
        <w:t xml:space="preserve"> </w:t>
      </w:r>
      <w:r w:rsidRPr="00EF3497">
        <w:rPr>
          <w:szCs w:val="20"/>
        </w:rPr>
        <w:t>sustain</w:t>
      </w:r>
      <w:r>
        <w:rPr>
          <w:szCs w:val="20"/>
        </w:rPr>
        <w:t xml:space="preserve"> </w:t>
      </w:r>
      <w:r w:rsidRPr="00EF3497">
        <w:rPr>
          <w:szCs w:val="20"/>
        </w:rPr>
        <w:t>the</w:t>
      </w:r>
      <w:r>
        <w:rPr>
          <w:szCs w:val="20"/>
        </w:rPr>
        <w:t xml:space="preserve"> </w:t>
      </w:r>
      <w:r w:rsidRPr="00EF3497">
        <w:rPr>
          <w:szCs w:val="20"/>
        </w:rPr>
        <w:t>regulation</w:t>
      </w:r>
      <w:r>
        <w:rPr>
          <w:szCs w:val="20"/>
        </w:rPr>
        <w:t xml:space="preserve"> </w:t>
      </w:r>
      <w:r w:rsidRPr="00EF3497">
        <w:rPr>
          <w:szCs w:val="20"/>
        </w:rPr>
        <w:t>so</w:t>
      </w:r>
      <w:r>
        <w:rPr>
          <w:szCs w:val="20"/>
        </w:rPr>
        <w:t xml:space="preserve"> </w:t>
      </w:r>
      <w:r w:rsidRPr="00EF3497">
        <w:rPr>
          <w:szCs w:val="20"/>
        </w:rPr>
        <w:t>long</w:t>
      </w:r>
      <w:r>
        <w:rPr>
          <w:szCs w:val="20"/>
        </w:rPr>
        <w:t xml:space="preserve"> </w:t>
      </w:r>
      <w:r w:rsidRPr="00EF3497">
        <w:rPr>
          <w:szCs w:val="20"/>
        </w:rPr>
        <w:t>as</w:t>
      </w:r>
      <w:r>
        <w:rPr>
          <w:szCs w:val="20"/>
        </w:rPr>
        <w:t xml:space="preserve"> </w:t>
      </w:r>
      <w:r w:rsidRPr="00EF3497">
        <w:rPr>
          <w:szCs w:val="20"/>
        </w:rPr>
        <w:t>it</w:t>
      </w:r>
      <w:r>
        <w:rPr>
          <w:szCs w:val="20"/>
        </w:rPr>
        <w:t xml:space="preserve"> </w:t>
      </w:r>
      <w:r w:rsidRPr="00EF3497">
        <w:rPr>
          <w:szCs w:val="20"/>
        </w:rPr>
        <w:t>represents</w:t>
      </w:r>
      <w:r>
        <w:rPr>
          <w:szCs w:val="20"/>
        </w:rPr>
        <w:t xml:space="preserve"> </w:t>
      </w:r>
      <w:r w:rsidRPr="00EF3497">
        <w:rPr>
          <w:szCs w:val="20"/>
        </w:rPr>
        <w:t>a</w:t>
      </w:r>
      <w:r>
        <w:rPr>
          <w:szCs w:val="20"/>
        </w:rPr>
        <w:t xml:space="preserve"> </w:t>
      </w:r>
      <w:r w:rsidRPr="00EF3497">
        <w:rPr>
          <w:szCs w:val="20"/>
        </w:rPr>
        <w:t>“reasonable</w:t>
      </w:r>
      <w:r>
        <w:rPr>
          <w:szCs w:val="20"/>
        </w:rPr>
        <w:t xml:space="preserve"> </w:t>
      </w:r>
      <w:r w:rsidRPr="00EF3497">
        <w:rPr>
          <w:szCs w:val="20"/>
        </w:rPr>
        <w:t>interpretation”</w:t>
      </w:r>
      <w:r>
        <w:rPr>
          <w:szCs w:val="20"/>
        </w:rPr>
        <w:t xml:space="preserve"> </w:t>
      </w:r>
      <w:r w:rsidRPr="00EF3497">
        <w:rPr>
          <w:szCs w:val="20"/>
        </w:rPr>
        <w:t>of</w:t>
      </w:r>
      <w:r>
        <w:rPr>
          <w:szCs w:val="20"/>
        </w:rPr>
        <w:t xml:space="preserve"> </w:t>
      </w:r>
      <w:r w:rsidRPr="00EF3497">
        <w:rPr>
          <w:szCs w:val="20"/>
        </w:rPr>
        <w:t>the</w:t>
      </w:r>
      <w:r>
        <w:rPr>
          <w:szCs w:val="20"/>
        </w:rPr>
        <w:t xml:space="preserve"> </w:t>
      </w:r>
      <w:r w:rsidRPr="00EF3497">
        <w:rPr>
          <w:szCs w:val="20"/>
        </w:rPr>
        <w:t>law</w:t>
      </w:r>
      <w:r>
        <w:rPr>
          <w:szCs w:val="20"/>
        </w:rPr>
        <w:t xml:space="preserve"> </w:t>
      </w:r>
      <w:r w:rsidRPr="00EF3497">
        <w:rPr>
          <w:szCs w:val="20"/>
        </w:rPr>
        <w:t>Congress</w:t>
      </w:r>
      <w:r>
        <w:rPr>
          <w:szCs w:val="20"/>
        </w:rPr>
        <w:t xml:space="preserve"> </w:t>
      </w:r>
      <w:r w:rsidRPr="00EF3497">
        <w:rPr>
          <w:szCs w:val="20"/>
        </w:rPr>
        <w:t>enacted.</w:t>
      </w:r>
      <w:r>
        <w:rPr>
          <w:szCs w:val="20"/>
        </w:rPr>
        <w:t xml:space="preserve"> </w:t>
      </w:r>
      <w:r w:rsidRPr="00EF3497">
        <w:rPr>
          <w:szCs w:val="20"/>
          <w:u w:val="single"/>
        </w:rPr>
        <w:t>Chevron</w:t>
      </w:r>
      <w:r w:rsidRPr="00EF3497">
        <w:rPr>
          <w:szCs w:val="20"/>
        </w:rPr>
        <w:t>,</w:t>
      </w:r>
      <w:r>
        <w:rPr>
          <w:szCs w:val="20"/>
        </w:rPr>
        <w:t xml:space="preserve"> </w:t>
      </w:r>
      <w:r w:rsidRPr="00EF3497">
        <w:rPr>
          <w:szCs w:val="20"/>
        </w:rPr>
        <w:t>467</w:t>
      </w:r>
      <w:r>
        <w:rPr>
          <w:szCs w:val="20"/>
        </w:rPr>
        <w:t xml:space="preserve"> </w:t>
      </w:r>
      <w:r w:rsidRPr="00EF3497">
        <w:rPr>
          <w:szCs w:val="20"/>
        </w:rPr>
        <w:t>U.S.</w:t>
      </w:r>
      <w:r>
        <w:rPr>
          <w:szCs w:val="20"/>
        </w:rPr>
        <w:t xml:space="preserve"> </w:t>
      </w:r>
      <w:r w:rsidRPr="00EF3497">
        <w:rPr>
          <w:szCs w:val="20"/>
        </w:rPr>
        <w:t>at</w:t>
      </w:r>
      <w:r>
        <w:rPr>
          <w:szCs w:val="20"/>
        </w:rPr>
        <w:t xml:space="preserve"> </w:t>
      </w:r>
      <w:r w:rsidRPr="00EF3497">
        <w:rPr>
          <w:szCs w:val="20"/>
        </w:rPr>
        <w:t>844;</w:t>
      </w:r>
      <w:r>
        <w:rPr>
          <w:szCs w:val="20"/>
        </w:rPr>
        <w:t xml:space="preserve"> </w:t>
      </w:r>
      <w:r w:rsidRPr="00EF3497">
        <w:rPr>
          <w:szCs w:val="20"/>
          <w:u w:val="single"/>
        </w:rPr>
        <w:t>see</w:t>
      </w:r>
      <w:r>
        <w:rPr>
          <w:szCs w:val="20"/>
        </w:rPr>
        <w:t xml:space="preserve"> </w:t>
      </w:r>
      <w:r w:rsidRPr="00EF3497">
        <w:rPr>
          <w:szCs w:val="20"/>
          <w:u w:val="single"/>
        </w:rPr>
        <w:t>SIH</w:t>
      </w:r>
      <w:r>
        <w:rPr>
          <w:szCs w:val="20"/>
          <w:u w:val="single"/>
        </w:rPr>
        <w:t xml:space="preserve"> </w:t>
      </w:r>
      <w:r w:rsidRPr="00EF3497">
        <w:rPr>
          <w:szCs w:val="20"/>
          <w:u w:val="single"/>
        </w:rPr>
        <w:t>Partners</w:t>
      </w:r>
      <w:r w:rsidRPr="00EF3497">
        <w:rPr>
          <w:szCs w:val="20"/>
        </w:rPr>
        <w:t>,</w:t>
      </w:r>
      <w:r>
        <w:rPr>
          <w:szCs w:val="20"/>
        </w:rPr>
        <w:t xml:space="preserve"> </w:t>
      </w:r>
      <w:r w:rsidRPr="00EF3497">
        <w:rPr>
          <w:szCs w:val="20"/>
        </w:rPr>
        <w:t>150</w:t>
      </w:r>
      <w:r>
        <w:rPr>
          <w:szCs w:val="20"/>
        </w:rPr>
        <w:t xml:space="preserve"> </w:t>
      </w:r>
      <w:r w:rsidRPr="00EF3497">
        <w:rPr>
          <w:szCs w:val="20"/>
        </w:rPr>
        <w:t>T.C.</w:t>
      </w:r>
      <w:r>
        <w:rPr>
          <w:szCs w:val="20"/>
        </w:rPr>
        <w:t xml:space="preserve"> </w:t>
      </w:r>
      <w:r w:rsidRPr="00EF3497">
        <w:rPr>
          <w:szCs w:val="20"/>
        </w:rPr>
        <w:t>at</w:t>
      </w:r>
      <w:r>
        <w:rPr>
          <w:szCs w:val="20"/>
        </w:rPr>
        <w:t xml:space="preserve"> </w:t>
      </w:r>
      <w:r w:rsidRPr="00EF3497">
        <w:rPr>
          <w:szCs w:val="20"/>
        </w:rPr>
        <w:t>50.</w:t>
      </w:r>
    </w:p>
    <w:p w:rsidR="007649DB" w:rsidRDefault="007649DB" w:rsidP="007649DB">
      <w:pPr>
        <w:pStyle w:val="Body15"/>
        <w:spacing w:before="240"/>
        <w:rPr>
          <w:color w:val="000000" w:themeColor="text1"/>
        </w:rPr>
      </w:pPr>
      <w:r>
        <w:rPr>
          <w:color w:val="000000" w:themeColor="text1"/>
        </w:rPr>
        <w:t xml:space="preserve">The court determined that the regulation was valid under </w:t>
      </w:r>
      <w:r>
        <w:rPr>
          <w:color w:val="000000" w:themeColor="text1"/>
          <w:u w:val="single"/>
        </w:rPr>
        <w:t>Chevron</w:t>
      </w:r>
      <w:r>
        <w:rPr>
          <w:color w:val="000000" w:themeColor="text1"/>
        </w:rPr>
        <w:t>:</w:t>
      </w:r>
    </w:p>
    <w:p w:rsidR="007649DB" w:rsidRPr="00EF3497" w:rsidRDefault="007649DB" w:rsidP="007649DB">
      <w:pPr>
        <w:pStyle w:val="QS10"/>
        <w:rPr>
          <w:szCs w:val="20"/>
        </w:rPr>
      </w:pPr>
      <w:r w:rsidRPr="00EF3497">
        <w:rPr>
          <w:szCs w:val="20"/>
        </w:rPr>
        <w:t>We</w:t>
      </w:r>
      <w:r>
        <w:rPr>
          <w:szCs w:val="20"/>
        </w:rPr>
        <w:t xml:space="preserve"> </w:t>
      </w:r>
      <w:r w:rsidRPr="00EF3497">
        <w:rPr>
          <w:szCs w:val="20"/>
        </w:rPr>
        <w:t>cannot</w:t>
      </w:r>
      <w:r>
        <w:rPr>
          <w:szCs w:val="20"/>
        </w:rPr>
        <w:t xml:space="preserve"> </w:t>
      </w:r>
      <w:r w:rsidRPr="00EF3497">
        <w:rPr>
          <w:szCs w:val="20"/>
        </w:rPr>
        <w:t>say</w:t>
      </w:r>
      <w:r>
        <w:rPr>
          <w:szCs w:val="20"/>
        </w:rPr>
        <w:t xml:space="preserve"> </w:t>
      </w:r>
      <w:r w:rsidRPr="00EF3497">
        <w:rPr>
          <w:szCs w:val="20"/>
        </w:rPr>
        <w:t>that</w:t>
      </w:r>
      <w:r>
        <w:rPr>
          <w:szCs w:val="20"/>
        </w:rPr>
        <w:t xml:space="preserve"> </w:t>
      </w:r>
      <w:r w:rsidRPr="00EF3497">
        <w:rPr>
          <w:szCs w:val="20"/>
        </w:rPr>
        <w:t>the</w:t>
      </w:r>
      <w:r>
        <w:rPr>
          <w:szCs w:val="20"/>
        </w:rPr>
        <w:t xml:space="preserve"> </w:t>
      </w:r>
      <w:r w:rsidRPr="00EF3497">
        <w:rPr>
          <w:szCs w:val="20"/>
        </w:rPr>
        <w:t>regulation’s</w:t>
      </w:r>
      <w:r>
        <w:rPr>
          <w:szCs w:val="20"/>
        </w:rPr>
        <w:t xml:space="preserve"> </w:t>
      </w:r>
      <w:r w:rsidRPr="00EF3497">
        <w:rPr>
          <w:szCs w:val="20"/>
        </w:rPr>
        <w:t>“proportionate</w:t>
      </w:r>
      <w:r>
        <w:rPr>
          <w:szCs w:val="20"/>
        </w:rPr>
        <w:t xml:space="preserve"> </w:t>
      </w:r>
      <w:r w:rsidRPr="00EF3497">
        <w:rPr>
          <w:szCs w:val="20"/>
        </w:rPr>
        <w:t>value”</w:t>
      </w:r>
      <w:r>
        <w:rPr>
          <w:szCs w:val="20"/>
        </w:rPr>
        <w:t xml:space="preserve"> </w:t>
      </w:r>
      <w:r w:rsidRPr="00EF3497">
        <w:rPr>
          <w:szCs w:val="20"/>
        </w:rPr>
        <w:t>approach</w:t>
      </w:r>
      <w:r>
        <w:rPr>
          <w:szCs w:val="20"/>
        </w:rPr>
        <w:t xml:space="preserve"> </w:t>
      </w:r>
      <w:r w:rsidRPr="00EF3497">
        <w:rPr>
          <w:szCs w:val="20"/>
        </w:rPr>
        <w:t>is</w:t>
      </w:r>
      <w:r>
        <w:rPr>
          <w:szCs w:val="20"/>
        </w:rPr>
        <w:t xml:space="preserve"> </w:t>
      </w:r>
      <w:r w:rsidRPr="00EF3497">
        <w:rPr>
          <w:szCs w:val="20"/>
        </w:rPr>
        <w:t>“arbitrary,</w:t>
      </w:r>
      <w:r>
        <w:rPr>
          <w:szCs w:val="20"/>
        </w:rPr>
        <w:t xml:space="preserve"> </w:t>
      </w:r>
      <w:r w:rsidRPr="00EF3497">
        <w:rPr>
          <w:szCs w:val="20"/>
        </w:rPr>
        <w:t>capricious,</w:t>
      </w:r>
      <w:r>
        <w:rPr>
          <w:szCs w:val="20"/>
        </w:rPr>
        <w:t xml:space="preserve"> </w:t>
      </w:r>
      <w:r w:rsidRPr="00EF3497">
        <w:rPr>
          <w:szCs w:val="20"/>
        </w:rPr>
        <w:t>or</w:t>
      </w:r>
      <w:r>
        <w:rPr>
          <w:szCs w:val="20"/>
        </w:rPr>
        <w:t xml:space="preserve"> </w:t>
      </w:r>
      <w:r w:rsidRPr="00EF3497">
        <w:rPr>
          <w:szCs w:val="20"/>
        </w:rPr>
        <w:t>manifestly</w:t>
      </w:r>
      <w:r>
        <w:rPr>
          <w:szCs w:val="20"/>
        </w:rPr>
        <w:t xml:space="preserve"> </w:t>
      </w:r>
      <w:r w:rsidRPr="00EF3497">
        <w:rPr>
          <w:szCs w:val="20"/>
        </w:rPr>
        <w:t>contrary</w:t>
      </w:r>
      <w:r>
        <w:rPr>
          <w:szCs w:val="20"/>
        </w:rPr>
        <w:t xml:space="preserve"> </w:t>
      </w:r>
      <w:r w:rsidRPr="00EF3497">
        <w:rPr>
          <w:szCs w:val="20"/>
        </w:rPr>
        <w:t>to</w:t>
      </w:r>
      <w:r>
        <w:rPr>
          <w:szCs w:val="20"/>
        </w:rPr>
        <w:t xml:space="preserve"> </w:t>
      </w:r>
      <w:r w:rsidRPr="00EF3497">
        <w:rPr>
          <w:szCs w:val="20"/>
        </w:rPr>
        <w:t>the</w:t>
      </w:r>
      <w:r>
        <w:rPr>
          <w:szCs w:val="20"/>
        </w:rPr>
        <w:t xml:space="preserve"> </w:t>
      </w:r>
      <w:r w:rsidRPr="00EF3497">
        <w:rPr>
          <w:szCs w:val="20"/>
        </w:rPr>
        <w:t>statute.”</w:t>
      </w:r>
      <w:r>
        <w:rPr>
          <w:szCs w:val="20"/>
        </w:rPr>
        <w:t xml:space="preserve"> </w:t>
      </w:r>
      <w:r w:rsidRPr="00EF3497">
        <w:rPr>
          <w:szCs w:val="20"/>
          <w:u w:val="single"/>
        </w:rPr>
        <w:t>Chevron</w:t>
      </w:r>
      <w:r w:rsidRPr="00EF3497">
        <w:rPr>
          <w:szCs w:val="20"/>
        </w:rPr>
        <w:t>,</w:t>
      </w:r>
      <w:r>
        <w:rPr>
          <w:szCs w:val="20"/>
        </w:rPr>
        <w:t xml:space="preserve"> </w:t>
      </w:r>
      <w:r w:rsidRPr="00EF3497">
        <w:rPr>
          <w:szCs w:val="20"/>
        </w:rPr>
        <w:t>467</w:t>
      </w:r>
      <w:r>
        <w:rPr>
          <w:szCs w:val="20"/>
        </w:rPr>
        <w:t xml:space="preserve"> </w:t>
      </w:r>
      <w:r w:rsidRPr="00EF3497">
        <w:rPr>
          <w:szCs w:val="20"/>
        </w:rPr>
        <w:t>U.S.</w:t>
      </w:r>
      <w:r>
        <w:rPr>
          <w:szCs w:val="20"/>
        </w:rPr>
        <w:t xml:space="preserve"> </w:t>
      </w:r>
      <w:r w:rsidRPr="00EF3497">
        <w:rPr>
          <w:szCs w:val="20"/>
        </w:rPr>
        <w:t>at</w:t>
      </w:r>
      <w:r>
        <w:rPr>
          <w:szCs w:val="20"/>
        </w:rPr>
        <w:t xml:space="preserve"> </w:t>
      </w:r>
      <w:r w:rsidRPr="00EF3497">
        <w:rPr>
          <w:szCs w:val="20"/>
        </w:rPr>
        <w:t>844.</w:t>
      </w:r>
      <w:r>
        <w:rPr>
          <w:szCs w:val="20"/>
        </w:rPr>
        <w:t xml:space="preserve"> </w:t>
      </w:r>
      <w:r w:rsidRPr="00EF3497">
        <w:rPr>
          <w:szCs w:val="20"/>
        </w:rPr>
        <w:t>Under</w:t>
      </w:r>
      <w:r>
        <w:rPr>
          <w:szCs w:val="20"/>
        </w:rPr>
        <w:t xml:space="preserve"> </w:t>
      </w:r>
      <w:r w:rsidRPr="00EF3497">
        <w:rPr>
          <w:szCs w:val="20"/>
        </w:rPr>
        <w:t>the</w:t>
      </w:r>
      <w:r>
        <w:rPr>
          <w:szCs w:val="20"/>
        </w:rPr>
        <w:t xml:space="preserve"> </w:t>
      </w:r>
      <w:r w:rsidRPr="00EF3497">
        <w:rPr>
          <w:szCs w:val="20"/>
        </w:rPr>
        <w:t>regulation</w:t>
      </w:r>
      <w:r>
        <w:rPr>
          <w:szCs w:val="20"/>
        </w:rPr>
        <w:t xml:space="preserve"> </w:t>
      </w:r>
      <w:r w:rsidRPr="00EF3497">
        <w:rPr>
          <w:szCs w:val="20"/>
        </w:rPr>
        <w:t>the</w:t>
      </w:r>
      <w:r>
        <w:rPr>
          <w:szCs w:val="20"/>
        </w:rPr>
        <w:t xml:space="preserve"> </w:t>
      </w:r>
      <w:r w:rsidRPr="00EF3497">
        <w:rPr>
          <w:szCs w:val="20"/>
        </w:rPr>
        <w:t>donee</w:t>
      </w:r>
      <w:r>
        <w:rPr>
          <w:szCs w:val="20"/>
        </w:rPr>
        <w:t xml:space="preserve"> </w:t>
      </w:r>
      <w:r w:rsidRPr="00EF3497">
        <w:rPr>
          <w:szCs w:val="20"/>
        </w:rPr>
        <w:t>acquires</w:t>
      </w:r>
      <w:r>
        <w:rPr>
          <w:szCs w:val="20"/>
        </w:rPr>
        <w:t xml:space="preserve"> </w:t>
      </w:r>
      <w:r w:rsidRPr="00EF3497">
        <w:rPr>
          <w:szCs w:val="20"/>
        </w:rPr>
        <w:t>“a</w:t>
      </w:r>
      <w:r>
        <w:rPr>
          <w:szCs w:val="20"/>
        </w:rPr>
        <w:t xml:space="preserve"> </w:t>
      </w:r>
      <w:r w:rsidRPr="00EF3497">
        <w:rPr>
          <w:szCs w:val="20"/>
        </w:rPr>
        <w:t>property</w:t>
      </w:r>
      <w:r>
        <w:rPr>
          <w:szCs w:val="20"/>
        </w:rPr>
        <w:t xml:space="preserve"> </w:t>
      </w:r>
      <w:r w:rsidRPr="00EF3497">
        <w:rPr>
          <w:szCs w:val="20"/>
        </w:rPr>
        <w:t>right,</w:t>
      </w:r>
      <w:r>
        <w:rPr>
          <w:szCs w:val="20"/>
        </w:rPr>
        <w:t xml:space="preserve"> </w:t>
      </w:r>
      <w:r w:rsidRPr="00EF3497">
        <w:rPr>
          <w:szCs w:val="20"/>
        </w:rPr>
        <w:t>immediately</w:t>
      </w:r>
      <w:r>
        <w:rPr>
          <w:szCs w:val="20"/>
        </w:rPr>
        <w:t xml:space="preserve"> </w:t>
      </w:r>
      <w:r w:rsidRPr="00EF3497">
        <w:rPr>
          <w:szCs w:val="20"/>
        </w:rPr>
        <w:t>vested</w:t>
      </w:r>
      <w:r>
        <w:rPr>
          <w:szCs w:val="20"/>
        </w:rPr>
        <w:t xml:space="preserve"> </w:t>
      </w:r>
      <w:r w:rsidRPr="00EF3497">
        <w:rPr>
          <w:szCs w:val="20"/>
        </w:rPr>
        <w:t>in</w:t>
      </w:r>
      <w:r>
        <w:rPr>
          <w:szCs w:val="20"/>
        </w:rPr>
        <w:t xml:space="preserve"> </w:t>
      </w:r>
      <w:r w:rsidRPr="00EF3497">
        <w:rPr>
          <w:szCs w:val="20"/>
        </w:rPr>
        <w:t>the</w:t>
      </w:r>
      <w:r>
        <w:rPr>
          <w:szCs w:val="20"/>
        </w:rPr>
        <w:t xml:space="preserve"> </w:t>
      </w:r>
      <w:r w:rsidRPr="00EF3497">
        <w:rPr>
          <w:szCs w:val="20"/>
        </w:rPr>
        <w:t>donee</w:t>
      </w:r>
      <w:r>
        <w:rPr>
          <w:szCs w:val="20"/>
        </w:rPr>
        <w:t xml:space="preserve"> </w:t>
      </w:r>
      <w:r w:rsidRPr="00EF3497">
        <w:rPr>
          <w:szCs w:val="20"/>
        </w:rPr>
        <w:t>organization,”</w:t>
      </w:r>
      <w:r>
        <w:rPr>
          <w:szCs w:val="20"/>
        </w:rPr>
        <w:t xml:space="preserve"> </w:t>
      </w:r>
      <w:r w:rsidRPr="00EF3497">
        <w:rPr>
          <w:szCs w:val="20"/>
        </w:rPr>
        <w:t>in</w:t>
      </w:r>
      <w:r>
        <w:rPr>
          <w:szCs w:val="20"/>
        </w:rPr>
        <w:t xml:space="preserve"> </w:t>
      </w:r>
      <w:r w:rsidRPr="00EF3497">
        <w:rPr>
          <w:szCs w:val="20"/>
        </w:rPr>
        <w:t>a</w:t>
      </w:r>
      <w:r>
        <w:rPr>
          <w:szCs w:val="20"/>
        </w:rPr>
        <w:t xml:space="preserve"> </w:t>
      </w:r>
      <w:r w:rsidRPr="00EF3497">
        <w:rPr>
          <w:szCs w:val="20"/>
        </w:rPr>
        <w:t>share</w:t>
      </w:r>
      <w:r>
        <w:rPr>
          <w:szCs w:val="20"/>
        </w:rPr>
        <w:t xml:space="preserve"> </w:t>
      </w:r>
      <w:r w:rsidRPr="00EF3497">
        <w:rPr>
          <w:szCs w:val="20"/>
        </w:rPr>
        <w:t>of</w:t>
      </w:r>
      <w:r>
        <w:rPr>
          <w:szCs w:val="20"/>
        </w:rPr>
        <w:t xml:space="preserve"> </w:t>
      </w:r>
      <w:r w:rsidRPr="00EF3497">
        <w:rPr>
          <w:szCs w:val="20"/>
        </w:rPr>
        <w:t>any</w:t>
      </w:r>
      <w:r>
        <w:rPr>
          <w:szCs w:val="20"/>
        </w:rPr>
        <w:t xml:space="preserve"> </w:t>
      </w:r>
      <w:r w:rsidRPr="00EF3497">
        <w:rPr>
          <w:szCs w:val="20"/>
        </w:rPr>
        <w:t>future</w:t>
      </w:r>
      <w:r>
        <w:rPr>
          <w:szCs w:val="20"/>
        </w:rPr>
        <w:t xml:space="preserve"> </w:t>
      </w:r>
      <w:r w:rsidRPr="00EF3497">
        <w:rPr>
          <w:szCs w:val="20"/>
        </w:rPr>
        <w:t>proceeds.</w:t>
      </w:r>
      <w:r>
        <w:rPr>
          <w:szCs w:val="20"/>
        </w:rPr>
        <w:t xml:space="preserve"> </w:t>
      </w:r>
      <w:r w:rsidRPr="00EF3497">
        <w:rPr>
          <w:szCs w:val="20"/>
        </w:rPr>
        <w:t>Sec.</w:t>
      </w:r>
      <w:r>
        <w:rPr>
          <w:szCs w:val="20"/>
        </w:rPr>
        <w:t xml:space="preserve"> </w:t>
      </w:r>
      <w:r w:rsidRPr="00EF3497">
        <w:rPr>
          <w:szCs w:val="20"/>
        </w:rPr>
        <w:t>1.170A-14(g)(6)(ii),</w:t>
      </w:r>
      <w:r>
        <w:rPr>
          <w:szCs w:val="20"/>
        </w:rPr>
        <w:t xml:space="preserve"> </w:t>
      </w:r>
      <w:r w:rsidRPr="00EF3497">
        <w:rPr>
          <w:szCs w:val="20"/>
        </w:rPr>
        <w:t>Income</w:t>
      </w:r>
      <w:r>
        <w:rPr>
          <w:szCs w:val="20"/>
        </w:rPr>
        <w:t xml:space="preserve"> </w:t>
      </w:r>
      <w:r w:rsidRPr="00EF3497">
        <w:rPr>
          <w:szCs w:val="20"/>
        </w:rPr>
        <w:t>Tax</w:t>
      </w:r>
      <w:r>
        <w:rPr>
          <w:szCs w:val="20"/>
        </w:rPr>
        <w:t xml:space="preserve"> </w:t>
      </w:r>
      <w:r w:rsidRPr="00EF3497">
        <w:rPr>
          <w:szCs w:val="20"/>
        </w:rPr>
        <w:t>Regs.</w:t>
      </w:r>
      <w:r>
        <w:rPr>
          <w:szCs w:val="20"/>
        </w:rPr>
        <w:t xml:space="preserve"> </w:t>
      </w:r>
      <w:r w:rsidRPr="00EF3497">
        <w:rPr>
          <w:szCs w:val="20"/>
        </w:rPr>
        <w:t>Needless</w:t>
      </w:r>
      <w:r>
        <w:rPr>
          <w:szCs w:val="20"/>
        </w:rPr>
        <w:t xml:space="preserve"> </w:t>
      </w:r>
      <w:r w:rsidRPr="00EF3497">
        <w:rPr>
          <w:szCs w:val="20"/>
        </w:rPr>
        <w:t>to</w:t>
      </w:r>
      <w:r>
        <w:rPr>
          <w:szCs w:val="20"/>
        </w:rPr>
        <w:t xml:space="preserve"> </w:t>
      </w:r>
      <w:r w:rsidRPr="00EF3497">
        <w:rPr>
          <w:szCs w:val="20"/>
        </w:rPr>
        <w:t>say,</w:t>
      </w:r>
      <w:r>
        <w:rPr>
          <w:szCs w:val="20"/>
        </w:rPr>
        <w:t xml:space="preserve"> </w:t>
      </w:r>
      <w:r w:rsidRPr="00EF3497">
        <w:rPr>
          <w:szCs w:val="20"/>
        </w:rPr>
        <w:t>the</w:t>
      </w:r>
      <w:r>
        <w:rPr>
          <w:szCs w:val="20"/>
        </w:rPr>
        <w:t xml:space="preserve"> </w:t>
      </w:r>
      <w:r w:rsidRPr="00EF3497">
        <w:rPr>
          <w:szCs w:val="20"/>
        </w:rPr>
        <w:t>easement</w:t>
      </w:r>
      <w:r>
        <w:rPr>
          <w:szCs w:val="20"/>
        </w:rPr>
        <w:t xml:space="preserve"> </w:t>
      </w:r>
      <w:r w:rsidRPr="00EF3497">
        <w:rPr>
          <w:szCs w:val="20"/>
        </w:rPr>
        <w:t>might</w:t>
      </w:r>
      <w:r>
        <w:rPr>
          <w:szCs w:val="20"/>
        </w:rPr>
        <w:t xml:space="preserve"> </w:t>
      </w:r>
      <w:r w:rsidRPr="00EF3497">
        <w:rPr>
          <w:szCs w:val="20"/>
        </w:rPr>
        <w:t>be</w:t>
      </w:r>
      <w:r>
        <w:rPr>
          <w:szCs w:val="20"/>
        </w:rPr>
        <w:t xml:space="preserve"> </w:t>
      </w:r>
      <w:r w:rsidRPr="00EF3497">
        <w:rPr>
          <w:szCs w:val="20"/>
        </w:rPr>
        <w:t>extinguished</w:t>
      </w:r>
      <w:r>
        <w:rPr>
          <w:szCs w:val="20"/>
        </w:rPr>
        <w:t xml:space="preserve"> </w:t>
      </w:r>
      <w:r w:rsidRPr="00EF3497">
        <w:rPr>
          <w:szCs w:val="20"/>
        </w:rPr>
        <w:t>many</w:t>
      </w:r>
      <w:r>
        <w:rPr>
          <w:szCs w:val="20"/>
        </w:rPr>
        <w:t xml:space="preserve"> </w:t>
      </w:r>
      <w:r w:rsidRPr="00EF3497">
        <w:rPr>
          <w:szCs w:val="20"/>
        </w:rPr>
        <w:t>years</w:t>
      </w:r>
      <w:r>
        <w:rPr>
          <w:szCs w:val="20"/>
        </w:rPr>
        <w:t xml:space="preserve"> </w:t>
      </w:r>
      <w:r w:rsidRPr="00EF3497">
        <w:rPr>
          <w:szCs w:val="20"/>
        </w:rPr>
        <w:t>after</w:t>
      </w:r>
      <w:r>
        <w:rPr>
          <w:szCs w:val="20"/>
        </w:rPr>
        <w:t xml:space="preserve"> </w:t>
      </w:r>
      <w:r w:rsidRPr="00EF3497">
        <w:rPr>
          <w:szCs w:val="20"/>
        </w:rPr>
        <w:t>it</w:t>
      </w:r>
      <w:r>
        <w:rPr>
          <w:szCs w:val="20"/>
        </w:rPr>
        <w:t xml:space="preserve"> </w:t>
      </w:r>
      <w:r w:rsidRPr="00EF3497">
        <w:rPr>
          <w:szCs w:val="20"/>
        </w:rPr>
        <w:t>was</w:t>
      </w:r>
      <w:r>
        <w:rPr>
          <w:szCs w:val="20"/>
        </w:rPr>
        <w:t xml:space="preserve"> </w:t>
      </w:r>
      <w:r w:rsidRPr="00EF3497">
        <w:rPr>
          <w:szCs w:val="20"/>
        </w:rPr>
        <w:t>granted,</w:t>
      </w:r>
      <w:r>
        <w:rPr>
          <w:szCs w:val="20"/>
        </w:rPr>
        <w:t xml:space="preserve"> </w:t>
      </w:r>
      <w:r w:rsidRPr="00EF3497">
        <w:rPr>
          <w:szCs w:val="20"/>
        </w:rPr>
        <w:t>and</w:t>
      </w:r>
      <w:r>
        <w:rPr>
          <w:szCs w:val="20"/>
        </w:rPr>
        <w:t xml:space="preserve"> </w:t>
      </w:r>
      <w:r w:rsidRPr="00EF3497">
        <w:rPr>
          <w:szCs w:val="20"/>
        </w:rPr>
        <w:t>considerable</w:t>
      </w:r>
      <w:r>
        <w:rPr>
          <w:szCs w:val="20"/>
        </w:rPr>
        <w:t xml:space="preserve"> </w:t>
      </w:r>
      <w:r w:rsidRPr="00EF3497">
        <w:rPr>
          <w:szCs w:val="20"/>
        </w:rPr>
        <w:t>inflation</w:t>
      </w:r>
      <w:r>
        <w:rPr>
          <w:szCs w:val="20"/>
        </w:rPr>
        <w:t xml:space="preserve"> </w:t>
      </w:r>
      <w:r w:rsidRPr="00EF3497">
        <w:rPr>
          <w:szCs w:val="20"/>
        </w:rPr>
        <w:t>in</w:t>
      </w:r>
      <w:r>
        <w:rPr>
          <w:szCs w:val="20"/>
        </w:rPr>
        <w:t xml:space="preserve"> </w:t>
      </w:r>
      <w:r w:rsidRPr="00EF3497">
        <w:rPr>
          <w:szCs w:val="20"/>
        </w:rPr>
        <w:t>property</w:t>
      </w:r>
      <w:r>
        <w:rPr>
          <w:szCs w:val="20"/>
        </w:rPr>
        <w:t xml:space="preserve"> </w:t>
      </w:r>
      <w:r w:rsidRPr="00EF3497">
        <w:rPr>
          <w:szCs w:val="20"/>
        </w:rPr>
        <w:t>values</w:t>
      </w:r>
      <w:r>
        <w:rPr>
          <w:szCs w:val="20"/>
        </w:rPr>
        <w:t xml:space="preserve"> </w:t>
      </w:r>
      <w:r w:rsidRPr="00EF3497">
        <w:rPr>
          <w:szCs w:val="20"/>
        </w:rPr>
        <w:t>might</w:t>
      </w:r>
      <w:r>
        <w:rPr>
          <w:szCs w:val="20"/>
        </w:rPr>
        <w:t xml:space="preserve"> </w:t>
      </w:r>
      <w:r w:rsidRPr="00EF3497">
        <w:rPr>
          <w:szCs w:val="20"/>
        </w:rPr>
        <w:t>occur</w:t>
      </w:r>
      <w:r>
        <w:rPr>
          <w:szCs w:val="20"/>
        </w:rPr>
        <w:t xml:space="preserve"> </w:t>
      </w:r>
      <w:r w:rsidRPr="00EF3497">
        <w:rPr>
          <w:szCs w:val="20"/>
        </w:rPr>
        <w:t>in</w:t>
      </w:r>
      <w:r>
        <w:rPr>
          <w:szCs w:val="20"/>
        </w:rPr>
        <w:t xml:space="preserve"> </w:t>
      </w:r>
      <w:r w:rsidRPr="00EF3497">
        <w:rPr>
          <w:szCs w:val="20"/>
        </w:rPr>
        <w:t>the</w:t>
      </w:r>
      <w:r>
        <w:rPr>
          <w:szCs w:val="20"/>
        </w:rPr>
        <w:t xml:space="preserve"> </w:t>
      </w:r>
      <w:r w:rsidRPr="00EF3497">
        <w:rPr>
          <w:szCs w:val="20"/>
        </w:rPr>
        <w:t>interim.</w:t>
      </w:r>
      <w:r>
        <w:rPr>
          <w:szCs w:val="20"/>
        </w:rPr>
        <w:t xml:space="preserve"> </w:t>
      </w:r>
      <w:r w:rsidRPr="00EF3497">
        <w:rPr>
          <w:szCs w:val="20"/>
        </w:rPr>
        <w:t>If</w:t>
      </w:r>
      <w:r>
        <w:rPr>
          <w:szCs w:val="20"/>
        </w:rPr>
        <w:t xml:space="preserve"> </w:t>
      </w:r>
      <w:r w:rsidRPr="00EF3497">
        <w:rPr>
          <w:szCs w:val="20"/>
        </w:rPr>
        <w:t>the</w:t>
      </w:r>
      <w:r>
        <w:rPr>
          <w:szCs w:val="20"/>
        </w:rPr>
        <w:t xml:space="preserve"> </w:t>
      </w:r>
      <w:r w:rsidRPr="00EF3497">
        <w:rPr>
          <w:szCs w:val="20"/>
        </w:rPr>
        <w:t>donee’s</w:t>
      </w:r>
      <w:r>
        <w:rPr>
          <w:szCs w:val="20"/>
        </w:rPr>
        <w:t xml:space="preserve"> </w:t>
      </w:r>
      <w:r w:rsidRPr="00EF3497">
        <w:rPr>
          <w:szCs w:val="20"/>
        </w:rPr>
        <w:t>share</w:t>
      </w:r>
      <w:r>
        <w:rPr>
          <w:szCs w:val="20"/>
        </w:rPr>
        <w:t xml:space="preserve"> </w:t>
      </w:r>
      <w:r w:rsidRPr="00EF3497">
        <w:rPr>
          <w:szCs w:val="20"/>
        </w:rPr>
        <w:t>were</w:t>
      </w:r>
      <w:r>
        <w:rPr>
          <w:szCs w:val="20"/>
        </w:rPr>
        <w:t xml:space="preserve"> </w:t>
      </w:r>
      <w:r w:rsidRPr="00EF3497">
        <w:rPr>
          <w:szCs w:val="20"/>
        </w:rPr>
        <w:t>limited</w:t>
      </w:r>
      <w:r>
        <w:rPr>
          <w:szCs w:val="20"/>
        </w:rPr>
        <w:t xml:space="preserve"> </w:t>
      </w:r>
      <w:r w:rsidRPr="00EF3497">
        <w:rPr>
          <w:szCs w:val="20"/>
        </w:rPr>
        <w:t>to</w:t>
      </w:r>
      <w:r>
        <w:rPr>
          <w:szCs w:val="20"/>
        </w:rPr>
        <w:t xml:space="preserve"> </w:t>
      </w:r>
      <w:r w:rsidRPr="00EF3497">
        <w:rPr>
          <w:szCs w:val="20"/>
        </w:rPr>
        <w:t>the</w:t>
      </w:r>
      <w:r>
        <w:rPr>
          <w:szCs w:val="20"/>
        </w:rPr>
        <w:t xml:space="preserve"> </w:t>
      </w:r>
      <w:r w:rsidRPr="00EF3497">
        <w:rPr>
          <w:szCs w:val="20"/>
        </w:rPr>
        <w:t>easement’s</w:t>
      </w:r>
      <w:r>
        <w:rPr>
          <w:szCs w:val="20"/>
        </w:rPr>
        <w:t xml:space="preserve"> </w:t>
      </w:r>
      <w:r w:rsidRPr="00EF3497">
        <w:rPr>
          <w:szCs w:val="20"/>
        </w:rPr>
        <w:t>historical</w:t>
      </w:r>
      <w:r>
        <w:rPr>
          <w:szCs w:val="20"/>
        </w:rPr>
        <w:t xml:space="preserve"> </w:t>
      </w:r>
      <w:r w:rsidRPr="00EF3497">
        <w:rPr>
          <w:szCs w:val="20"/>
        </w:rPr>
        <w:t>FMV,</w:t>
      </w:r>
      <w:r>
        <w:rPr>
          <w:szCs w:val="20"/>
        </w:rPr>
        <w:t xml:space="preserve"> </w:t>
      </w:r>
      <w:r w:rsidRPr="00EF3497">
        <w:rPr>
          <w:szCs w:val="20"/>
        </w:rPr>
        <w:t>its</w:t>
      </w:r>
      <w:r>
        <w:rPr>
          <w:szCs w:val="20"/>
        </w:rPr>
        <w:t xml:space="preserve"> </w:t>
      </w:r>
      <w:r w:rsidRPr="00EF3497">
        <w:rPr>
          <w:szCs w:val="20"/>
        </w:rPr>
        <w:t>property</w:t>
      </w:r>
      <w:r>
        <w:rPr>
          <w:szCs w:val="20"/>
        </w:rPr>
        <w:t xml:space="preserve"> </w:t>
      </w:r>
      <w:r w:rsidRPr="00EF3497">
        <w:rPr>
          <w:szCs w:val="20"/>
        </w:rPr>
        <w:t>right</w:t>
      </w:r>
      <w:r>
        <w:rPr>
          <w:szCs w:val="20"/>
        </w:rPr>
        <w:t xml:space="preserve"> </w:t>
      </w:r>
      <w:r w:rsidRPr="00EF3497">
        <w:rPr>
          <w:szCs w:val="20"/>
        </w:rPr>
        <w:t>could</w:t>
      </w:r>
      <w:r>
        <w:rPr>
          <w:szCs w:val="20"/>
        </w:rPr>
        <w:t xml:space="preserve"> </w:t>
      </w:r>
      <w:r w:rsidRPr="00EF3497">
        <w:rPr>
          <w:szCs w:val="20"/>
        </w:rPr>
        <w:t>be</w:t>
      </w:r>
      <w:r>
        <w:rPr>
          <w:szCs w:val="20"/>
        </w:rPr>
        <w:t xml:space="preserve"> </w:t>
      </w:r>
      <w:r w:rsidRPr="00EF3497">
        <w:rPr>
          <w:szCs w:val="20"/>
        </w:rPr>
        <w:t>eviscerated</w:t>
      </w:r>
      <w:r>
        <w:rPr>
          <w:szCs w:val="20"/>
        </w:rPr>
        <w:t xml:space="preserve"> </w:t>
      </w:r>
      <w:r w:rsidRPr="00EF3497">
        <w:rPr>
          <w:szCs w:val="20"/>
        </w:rPr>
        <w:t>in</w:t>
      </w:r>
      <w:r>
        <w:rPr>
          <w:szCs w:val="20"/>
        </w:rPr>
        <w:t xml:space="preserve"> </w:t>
      </w:r>
      <w:r w:rsidRPr="00EF3497">
        <w:rPr>
          <w:szCs w:val="20"/>
        </w:rPr>
        <w:t>real</w:t>
      </w:r>
      <w:r>
        <w:rPr>
          <w:szCs w:val="20"/>
        </w:rPr>
        <w:t xml:space="preserve"> </w:t>
      </w:r>
      <w:r w:rsidRPr="00EF3497">
        <w:rPr>
          <w:szCs w:val="20"/>
        </w:rPr>
        <w:t>dollar</w:t>
      </w:r>
      <w:r>
        <w:rPr>
          <w:szCs w:val="20"/>
        </w:rPr>
        <w:t xml:space="preserve"> </w:t>
      </w:r>
      <w:r w:rsidRPr="00EF3497">
        <w:rPr>
          <w:szCs w:val="20"/>
        </w:rPr>
        <w:t>terms.</w:t>
      </w:r>
      <w:r>
        <w:rPr>
          <w:szCs w:val="20"/>
        </w:rPr>
        <w:t xml:space="preserve"> </w:t>
      </w:r>
      <w:r w:rsidRPr="00EF3497">
        <w:rPr>
          <w:szCs w:val="20"/>
        </w:rPr>
        <w:t>This</w:t>
      </w:r>
      <w:r>
        <w:rPr>
          <w:szCs w:val="20"/>
        </w:rPr>
        <w:t xml:space="preserve"> </w:t>
      </w:r>
      <w:r w:rsidRPr="00EF3497">
        <w:rPr>
          <w:szCs w:val="20"/>
        </w:rPr>
        <w:t>would</w:t>
      </w:r>
      <w:r>
        <w:rPr>
          <w:szCs w:val="20"/>
        </w:rPr>
        <w:t xml:space="preserve"> </w:t>
      </w:r>
      <w:r w:rsidRPr="00EF3497">
        <w:rPr>
          <w:szCs w:val="20"/>
        </w:rPr>
        <w:t>allow</w:t>
      </w:r>
      <w:r>
        <w:rPr>
          <w:szCs w:val="20"/>
        </w:rPr>
        <w:t xml:space="preserve"> </w:t>
      </w:r>
      <w:r w:rsidRPr="00EF3497">
        <w:rPr>
          <w:szCs w:val="20"/>
        </w:rPr>
        <w:t>the</w:t>
      </w:r>
      <w:r>
        <w:rPr>
          <w:szCs w:val="20"/>
        </w:rPr>
        <w:t xml:space="preserve"> </w:t>
      </w:r>
      <w:r w:rsidRPr="00EF3497">
        <w:rPr>
          <w:szCs w:val="20"/>
        </w:rPr>
        <w:t>donor</w:t>
      </w:r>
      <w:r>
        <w:rPr>
          <w:szCs w:val="20"/>
        </w:rPr>
        <w:t xml:space="preserve"> </w:t>
      </w:r>
      <w:r w:rsidRPr="00EF3497">
        <w:rPr>
          <w:szCs w:val="20"/>
        </w:rPr>
        <w:t>or</w:t>
      </w:r>
      <w:r>
        <w:rPr>
          <w:szCs w:val="20"/>
        </w:rPr>
        <w:t xml:space="preserve"> </w:t>
      </w:r>
      <w:r w:rsidRPr="00EF3497">
        <w:rPr>
          <w:szCs w:val="20"/>
        </w:rPr>
        <w:t>its</w:t>
      </w:r>
      <w:r>
        <w:rPr>
          <w:szCs w:val="20"/>
        </w:rPr>
        <w:t xml:space="preserve"> </w:t>
      </w:r>
      <w:r w:rsidRPr="00EF3497">
        <w:rPr>
          <w:szCs w:val="20"/>
        </w:rPr>
        <w:t>successors</w:t>
      </w:r>
      <w:r>
        <w:rPr>
          <w:szCs w:val="20"/>
        </w:rPr>
        <w:t xml:space="preserve"> </w:t>
      </w:r>
      <w:r w:rsidRPr="00EF3497">
        <w:rPr>
          <w:szCs w:val="20"/>
        </w:rPr>
        <w:t>to</w:t>
      </w:r>
      <w:r>
        <w:rPr>
          <w:szCs w:val="20"/>
        </w:rPr>
        <w:t xml:space="preserve"> </w:t>
      </w:r>
      <w:r w:rsidRPr="00EF3497">
        <w:rPr>
          <w:szCs w:val="20"/>
        </w:rPr>
        <w:t>“reap[</w:t>
      </w:r>
      <w:r>
        <w:rPr>
          <w:szCs w:val="20"/>
        </w:rPr>
        <w:t xml:space="preserve"> </w:t>
      </w:r>
      <w:r w:rsidRPr="00EF3497">
        <w:rPr>
          <w:szCs w:val="20"/>
        </w:rPr>
        <w:t>]</w:t>
      </w:r>
      <w:r>
        <w:rPr>
          <w:szCs w:val="20"/>
        </w:rPr>
        <w:t xml:space="preserve"> </w:t>
      </w:r>
      <w:r w:rsidRPr="00EF3497">
        <w:rPr>
          <w:szCs w:val="20"/>
        </w:rPr>
        <w:t>a</w:t>
      </w:r>
      <w:r>
        <w:rPr>
          <w:szCs w:val="20"/>
        </w:rPr>
        <w:t xml:space="preserve"> </w:t>
      </w:r>
      <w:r w:rsidRPr="00EF3497">
        <w:rPr>
          <w:szCs w:val="20"/>
        </w:rPr>
        <w:t>windfall</w:t>
      </w:r>
      <w:r>
        <w:rPr>
          <w:szCs w:val="20"/>
        </w:rPr>
        <w:t xml:space="preserve"> </w:t>
      </w:r>
      <w:r w:rsidRPr="00EF3497">
        <w:rPr>
          <w:szCs w:val="20"/>
        </w:rPr>
        <w:t>if</w:t>
      </w:r>
      <w:r>
        <w:rPr>
          <w:szCs w:val="20"/>
        </w:rPr>
        <w:t xml:space="preserve"> </w:t>
      </w:r>
      <w:r w:rsidRPr="00EF3497">
        <w:rPr>
          <w:szCs w:val="20"/>
        </w:rPr>
        <w:t>the</w:t>
      </w:r>
      <w:r>
        <w:rPr>
          <w:szCs w:val="20"/>
        </w:rPr>
        <w:t xml:space="preserve"> </w:t>
      </w:r>
      <w:r w:rsidRPr="00EF3497">
        <w:rPr>
          <w:szCs w:val="20"/>
        </w:rPr>
        <w:t>property</w:t>
      </w:r>
      <w:r>
        <w:rPr>
          <w:szCs w:val="20"/>
        </w:rPr>
        <w:t xml:space="preserve"> </w:t>
      </w:r>
      <w:r w:rsidRPr="00EF3497">
        <w:rPr>
          <w:szCs w:val="20"/>
        </w:rPr>
        <w:t>is</w:t>
      </w:r>
      <w:r>
        <w:rPr>
          <w:szCs w:val="20"/>
        </w:rPr>
        <w:t xml:space="preserve"> </w:t>
      </w:r>
      <w:r w:rsidRPr="00EF3497">
        <w:rPr>
          <w:szCs w:val="20"/>
        </w:rPr>
        <w:t>destroyed</w:t>
      </w:r>
      <w:r>
        <w:rPr>
          <w:szCs w:val="20"/>
        </w:rPr>
        <w:t xml:space="preserve"> </w:t>
      </w:r>
      <w:r w:rsidRPr="00EF3497">
        <w:rPr>
          <w:szCs w:val="20"/>
        </w:rPr>
        <w:t>or</w:t>
      </w:r>
      <w:r>
        <w:rPr>
          <w:szCs w:val="20"/>
        </w:rPr>
        <w:t xml:space="preserve"> </w:t>
      </w:r>
      <w:r w:rsidRPr="00EF3497">
        <w:rPr>
          <w:szCs w:val="20"/>
        </w:rPr>
        <w:t>condemned.”</w:t>
      </w:r>
      <w:r>
        <w:rPr>
          <w:szCs w:val="20"/>
        </w:rPr>
        <w:t xml:space="preserve"> </w:t>
      </w:r>
      <w:r w:rsidRPr="00EF3497">
        <w:rPr>
          <w:szCs w:val="20"/>
          <w:u w:val="single"/>
        </w:rPr>
        <w:t>Carroll</w:t>
      </w:r>
      <w:r w:rsidRPr="00EF3497">
        <w:rPr>
          <w:szCs w:val="20"/>
        </w:rPr>
        <w:t>,</w:t>
      </w:r>
      <w:r>
        <w:rPr>
          <w:szCs w:val="20"/>
        </w:rPr>
        <w:t xml:space="preserve"> </w:t>
      </w:r>
      <w:r w:rsidRPr="00EF3497">
        <w:rPr>
          <w:szCs w:val="20"/>
        </w:rPr>
        <w:t>146</w:t>
      </w:r>
      <w:r>
        <w:rPr>
          <w:szCs w:val="20"/>
        </w:rPr>
        <w:t xml:space="preserve"> </w:t>
      </w:r>
      <w:r w:rsidRPr="00EF3497">
        <w:rPr>
          <w:szCs w:val="20"/>
        </w:rPr>
        <w:t>T.C.</w:t>
      </w:r>
      <w:r>
        <w:rPr>
          <w:szCs w:val="20"/>
        </w:rPr>
        <w:t xml:space="preserve"> </w:t>
      </w:r>
      <w:r w:rsidRPr="00EF3497">
        <w:rPr>
          <w:szCs w:val="20"/>
        </w:rPr>
        <w:t>at</w:t>
      </w:r>
      <w:r>
        <w:rPr>
          <w:szCs w:val="20"/>
        </w:rPr>
        <w:t xml:space="preserve"> </w:t>
      </w:r>
      <w:r w:rsidRPr="00EF3497">
        <w:rPr>
          <w:szCs w:val="20"/>
        </w:rPr>
        <w:t>214</w:t>
      </w:r>
      <w:r>
        <w:rPr>
          <w:szCs w:val="20"/>
        </w:rPr>
        <w:t xml:space="preserve"> </w:t>
      </w:r>
      <w:r w:rsidRPr="00EF3497">
        <w:rPr>
          <w:szCs w:val="20"/>
        </w:rPr>
        <w:t>(quoting</w:t>
      </w:r>
      <w:r>
        <w:rPr>
          <w:szCs w:val="20"/>
        </w:rPr>
        <w:t xml:space="preserve"> </w:t>
      </w:r>
      <w:r w:rsidRPr="00EF3497">
        <w:rPr>
          <w:szCs w:val="20"/>
          <w:u w:val="single"/>
        </w:rPr>
        <w:t>Kaufman</w:t>
      </w:r>
      <w:r w:rsidRPr="00EF3497">
        <w:rPr>
          <w:szCs w:val="20"/>
        </w:rPr>
        <w:t>,</w:t>
      </w:r>
      <w:r>
        <w:rPr>
          <w:szCs w:val="20"/>
        </w:rPr>
        <w:t xml:space="preserve"> </w:t>
      </w:r>
      <w:r w:rsidRPr="00EF3497">
        <w:rPr>
          <w:szCs w:val="20"/>
        </w:rPr>
        <w:t>687</w:t>
      </w:r>
      <w:r>
        <w:rPr>
          <w:szCs w:val="20"/>
        </w:rPr>
        <w:t xml:space="preserve"> </w:t>
      </w:r>
      <w:r w:rsidRPr="00EF3497">
        <w:rPr>
          <w:szCs w:val="20"/>
        </w:rPr>
        <w:t>F.3d</w:t>
      </w:r>
      <w:r>
        <w:rPr>
          <w:szCs w:val="20"/>
        </w:rPr>
        <w:t xml:space="preserve"> </w:t>
      </w:r>
      <w:r w:rsidRPr="00EF3497">
        <w:rPr>
          <w:szCs w:val="20"/>
        </w:rPr>
        <w:t>at</w:t>
      </w:r>
      <w:r>
        <w:rPr>
          <w:szCs w:val="20"/>
        </w:rPr>
        <w:t xml:space="preserve"> </w:t>
      </w:r>
      <w:r w:rsidRPr="00EF3497">
        <w:rPr>
          <w:szCs w:val="20"/>
        </w:rPr>
        <w:t>26).</w:t>
      </w:r>
      <w:r>
        <w:rPr>
          <w:szCs w:val="20"/>
        </w:rPr>
        <w:t xml:space="preserve"> </w:t>
      </w:r>
      <w:r w:rsidRPr="00EF3497">
        <w:rPr>
          <w:szCs w:val="20"/>
        </w:rPr>
        <w:t>That</w:t>
      </w:r>
      <w:r>
        <w:rPr>
          <w:szCs w:val="20"/>
        </w:rPr>
        <w:t xml:space="preserve"> </w:t>
      </w:r>
      <w:r w:rsidRPr="00EF3497">
        <w:rPr>
          <w:szCs w:val="20"/>
        </w:rPr>
        <w:t>outcome</w:t>
      </w:r>
      <w:r>
        <w:rPr>
          <w:szCs w:val="20"/>
        </w:rPr>
        <w:t xml:space="preserve"> </w:t>
      </w:r>
      <w:r w:rsidRPr="00EF3497">
        <w:rPr>
          <w:szCs w:val="20"/>
        </w:rPr>
        <w:t>would</w:t>
      </w:r>
      <w:r>
        <w:rPr>
          <w:szCs w:val="20"/>
        </w:rPr>
        <w:t xml:space="preserve"> </w:t>
      </w:r>
      <w:r w:rsidRPr="00EF3497">
        <w:rPr>
          <w:szCs w:val="20"/>
        </w:rPr>
        <w:t>be</w:t>
      </w:r>
      <w:r>
        <w:rPr>
          <w:szCs w:val="20"/>
        </w:rPr>
        <w:t xml:space="preserve"> </w:t>
      </w:r>
      <w:r w:rsidRPr="00EF3497">
        <w:rPr>
          <w:szCs w:val="20"/>
        </w:rPr>
        <w:t>at</w:t>
      </w:r>
      <w:r>
        <w:rPr>
          <w:szCs w:val="20"/>
        </w:rPr>
        <w:t xml:space="preserve"> </w:t>
      </w:r>
      <w:r w:rsidRPr="00EF3497">
        <w:rPr>
          <w:szCs w:val="20"/>
        </w:rPr>
        <w:t>odds</w:t>
      </w:r>
      <w:r>
        <w:rPr>
          <w:szCs w:val="20"/>
        </w:rPr>
        <w:t xml:space="preserve"> </w:t>
      </w:r>
      <w:r w:rsidRPr="00EF3497">
        <w:rPr>
          <w:szCs w:val="20"/>
        </w:rPr>
        <w:t>with</w:t>
      </w:r>
      <w:r>
        <w:rPr>
          <w:szCs w:val="20"/>
        </w:rPr>
        <w:t xml:space="preserve"> </w:t>
      </w:r>
      <w:r w:rsidRPr="00EF3497">
        <w:rPr>
          <w:szCs w:val="20"/>
        </w:rPr>
        <w:t>the</w:t>
      </w:r>
      <w:r>
        <w:rPr>
          <w:szCs w:val="20"/>
        </w:rPr>
        <w:t xml:space="preserve"> </w:t>
      </w:r>
      <w:r w:rsidRPr="00EF3497">
        <w:rPr>
          <w:szCs w:val="20"/>
        </w:rPr>
        <w:t>regulation’s</w:t>
      </w:r>
      <w:r>
        <w:rPr>
          <w:szCs w:val="20"/>
        </w:rPr>
        <w:t xml:space="preserve"> </w:t>
      </w:r>
      <w:r w:rsidRPr="00EF3497">
        <w:rPr>
          <w:szCs w:val="20"/>
        </w:rPr>
        <w:t>central</w:t>
      </w:r>
      <w:r>
        <w:rPr>
          <w:szCs w:val="20"/>
        </w:rPr>
        <w:t xml:space="preserve"> </w:t>
      </w:r>
      <w:r w:rsidRPr="00EF3497">
        <w:rPr>
          <w:szCs w:val="20"/>
        </w:rPr>
        <w:t>purpose:</w:t>
      </w:r>
      <w:r>
        <w:rPr>
          <w:szCs w:val="20"/>
        </w:rPr>
        <w:t xml:space="preserve"> </w:t>
      </w:r>
      <w:r w:rsidRPr="00EF3497">
        <w:rPr>
          <w:szCs w:val="20"/>
        </w:rPr>
        <w:t>to</w:t>
      </w:r>
      <w:r>
        <w:rPr>
          <w:szCs w:val="20"/>
        </w:rPr>
        <w:t xml:space="preserve"> </w:t>
      </w:r>
      <w:r w:rsidRPr="00EF3497">
        <w:rPr>
          <w:szCs w:val="20"/>
        </w:rPr>
        <w:t>ensure</w:t>
      </w:r>
      <w:r>
        <w:rPr>
          <w:szCs w:val="20"/>
        </w:rPr>
        <w:t xml:space="preserve"> </w:t>
      </w:r>
      <w:r w:rsidRPr="00EF3497">
        <w:rPr>
          <w:szCs w:val="20"/>
        </w:rPr>
        <w:t>satisfaction</w:t>
      </w:r>
      <w:r>
        <w:rPr>
          <w:szCs w:val="20"/>
        </w:rPr>
        <w:t xml:space="preserve"> </w:t>
      </w:r>
      <w:r w:rsidRPr="00EF3497">
        <w:rPr>
          <w:szCs w:val="20"/>
        </w:rPr>
        <w:t>of</w:t>
      </w:r>
      <w:r>
        <w:rPr>
          <w:szCs w:val="20"/>
        </w:rPr>
        <w:t xml:space="preserve"> </w:t>
      </w:r>
      <w:r w:rsidRPr="00EF3497">
        <w:rPr>
          <w:szCs w:val="20"/>
        </w:rPr>
        <w:t>the</w:t>
      </w:r>
      <w:r>
        <w:rPr>
          <w:szCs w:val="20"/>
        </w:rPr>
        <w:t xml:space="preserve"> </w:t>
      </w:r>
      <w:r w:rsidRPr="00EF3497">
        <w:rPr>
          <w:szCs w:val="20"/>
        </w:rPr>
        <w:t>statute’s</w:t>
      </w:r>
      <w:r>
        <w:rPr>
          <w:szCs w:val="20"/>
        </w:rPr>
        <w:t xml:space="preserve"> </w:t>
      </w:r>
      <w:r w:rsidRPr="00EF3497">
        <w:rPr>
          <w:szCs w:val="20"/>
        </w:rPr>
        <w:t>“protected</w:t>
      </w:r>
      <w:r>
        <w:rPr>
          <w:szCs w:val="20"/>
        </w:rPr>
        <w:t xml:space="preserve"> </w:t>
      </w:r>
      <w:r w:rsidRPr="00EF3497">
        <w:rPr>
          <w:szCs w:val="20"/>
        </w:rPr>
        <w:t>in</w:t>
      </w:r>
      <w:r>
        <w:rPr>
          <w:szCs w:val="20"/>
        </w:rPr>
        <w:t xml:space="preserve"> </w:t>
      </w:r>
      <w:r w:rsidRPr="00EF3497">
        <w:rPr>
          <w:szCs w:val="20"/>
        </w:rPr>
        <w:t>perpetuity”</w:t>
      </w:r>
      <w:r>
        <w:rPr>
          <w:szCs w:val="20"/>
        </w:rPr>
        <w:t xml:space="preserve"> </w:t>
      </w:r>
      <w:r w:rsidRPr="00EF3497">
        <w:rPr>
          <w:szCs w:val="20"/>
        </w:rPr>
        <w:t>requirement</w:t>
      </w:r>
      <w:r>
        <w:rPr>
          <w:szCs w:val="20"/>
        </w:rPr>
        <w:t xml:space="preserve"> </w:t>
      </w:r>
      <w:r w:rsidRPr="00EF3497">
        <w:rPr>
          <w:szCs w:val="20"/>
        </w:rPr>
        <w:t>by</w:t>
      </w:r>
      <w:r>
        <w:rPr>
          <w:szCs w:val="20"/>
        </w:rPr>
        <w:t xml:space="preserve"> </w:t>
      </w:r>
      <w:r w:rsidRPr="00EF3497">
        <w:rPr>
          <w:szCs w:val="20"/>
        </w:rPr>
        <w:t>supplying</w:t>
      </w:r>
      <w:r>
        <w:rPr>
          <w:szCs w:val="20"/>
        </w:rPr>
        <w:t xml:space="preserve"> </w:t>
      </w:r>
      <w:r w:rsidRPr="00EF3497">
        <w:rPr>
          <w:szCs w:val="20"/>
        </w:rPr>
        <w:t>the</w:t>
      </w:r>
      <w:r>
        <w:rPr>
          <w:szCs w:val="20"/>
        </w:rPr>
        <w:t xml:space="preserve"> </w:t>
      </w:r>
      <w:r w:rsidRPr="00EF3497">
        <w:rPr>
          <w:szCs w:val="20"/>
        </w:rPr>
        <w:t>donee</w:t>
      </w:r>
      <w:r>
        <w:rPr>
          <w:szCs w:val="20"/>
        </w:rPr>
        <w:t xml:space="preserve"> </w:t>
      </w:r>
      <w:r w:rsidRPr="00EF3497">
        <w:rPr>
          <w:szCs w:val="20"/>
        </w:rPr>
        <w:t>with</w:t>
      </w:r>
      <w:r>
        <w:rPr>
          <w:szCs w:val="20"/>
        </w:rPr>
        <w:t xml:space="preserve"> </w:t>
      </w:r>
      <w:r w:rsidRPr="00EF3497">
        <w:rPr>
          <w:szCs w:val="20"/>
        </w:rPr>
        <w:t>an</w:t>
      </w:r>
      <w:r>
        <w:rPr>
          <w:szCs w:val="20"/>
        </w:rPr>
        <w:t xml:space="preserve"> </w:t>
      </w:r>
      <w:r w:rsidRPr="00EF3497">
        <w:rPr>
          <w:szCs w:val="20"/>
        </w:rPr>
        <w:t>asset</w:t>
      </w:r>
      <w:r>
        <w:rPr>
          <w:szCs w:val="20"/>
        </w:rPr>
        <w:t xml:space="preserve"> </w:t>
      </w:r>
      <w:r w:rsidRPr="00EF3497">
        <w:rPr>
          <w:szCs w:val="20"/>
        </w:rPr>
        <w:t>that</w:t>
      </w:r>
      <w:r>
        <w:rPr>
          <w:szCs w:val="20"/>
        </w:rPr>
        <w:t xml:space="preserve"> </w:t>
      </w:r>
      <w:r w:rsidRPr="00EF3497">
        <w:rPr>
          <w:szCs w:val="20"/>
        </w:rPr>
        <w:t>replaces,</w:t>
      </w:r>
      <w:r>
        <w:rPr>
          <w:szCs w:val="20"/>
        </w:rPr>
        <w:t xml:space="preserve"> </w:t>
      </w:r>
      <w:r w:rsidRPr="00EF3497">
        <w:rPr>
          <w:szCs w:val="20"/>
        </w:rPr>
        <w:t>in</w:t>
      </w:r>
      <w:r>
        <w:rPr>
          <w:szCs w:val="20"/>
        </w:rPr>
        <w:t xml:space="preserve"> </w:t>
      </w:r>
      <w:r w:rsidRPr="00EF3497">
        <w:rPr>
          <w:szCs w:val="20"/>
        </w:rPr>
        <w:t>real</w:t>
      </w:r>
      <w:r>
        <w:rPr>
          <w:szCs w:val="20"/>
        </w:rPr>
        <w:t xml:space="preserve"> </w:t>
      </w:r>
      <w:r w:rsidRPr="00EF3497">
        <w:rPr>
          <w:szCs w:val="20"/>
        </w:rPr>
        <w:t>terms,</w:t>
      </w:r>
      <w:r>
        <w:rPr>
          <w:szCs w:val="20"/>
        </w:rPr>
        <w:t xml:space="preserve"> </w:t>
      </w:r>
      <w:r w:rsidRPr="00EF3497">
        <w:rPr>
          <w:szCs w:val="20"/>
        </w:rPr>
        <w:t>the</w:t>
      </w:r>
      <w:r>
        <w:rPr>
          <w:szCs w:val="20"/>
        </w:rPr>
        <w:t xml:space="preserve"> </w:t>
      </w:r>
      <w:r w:rsidRPr="00EF3497">
        <w:rPr>
          <w:szCs w:val="20"/>
        </w:rPr>
        <w:t>easement</w:t>
      </w:r>
      <w:r>
        <w:rPr>
          <w:szCs w:val="20"/>
        </w:rPr>
        <w:t xml:space="preserve"> </w:t>
      </w:r>
      <w:r w:rsidRPr="00EF3497">
        <w:rPr>
          <w:szCs w:val="20"/>
        </w:rPr>
        <w:t>that</w:t>
      </w:r>
      <w:r>
        <w:rPr>
          <w:szCs w:val="20"/>
        </w:rPr>
        <w:t xml:space="preserve"> </w:t>
      </w:r>
      <w:r w:rsidRPr="00EF3497">
        <w:rPr>
          <w:szCs w:val="20"/>
        </w:rPr>
        <w:t>has</w:t>
      </w:r>
      <w:r>
        <w:rPr>
          <w:szCs w:val="20"/>
        </w:rPr>
        <w:t xml:space="preserve"> </w:t>
      </w:r>
      <w:r w:rsidRPr="00EF3497">
        <w:rPr>
          <w:szCs w:val="20"/>
        </w:rPr>
        <w:t>been</w:t>
      </w:r>
      <w:r>
        <w:rPr>
          <w:szCs w:val="20"/>
        </w:rPr>
        <w:t xml:space="preserve"> </w:t>
      </w:r>
      <w:r w:rsidRPr="00EF3497">
        <w:rPr>
          <w:szCs w:val="20"/>
        </w:rPr>
        <w:t>lost.</w:t>
      </w:r>
    </w:p>
    <w:p w:rsidR="007649DB" w:rsidRDefault="007649DB" w:rsidP="007649DB">
      <w:pPr>
        <w:pStyle w:val="QS10"/>
        <w:jc w:val="center"/>
      </w:pPr>
      <w:r>
        <w:t>***</w:t>
      </w:r>
    </w:p>
    <w:p w:rsidR="007649DB" w:rsidRPr="00EF3497" w:rsidRDefault="007649DB" w:rsidP="007649DB">
      <w:pPr>
        <w:pStyle w:val="QS10"/>
        <w:rPr>
          <w:szCs w:val="20"/>
        </w:rPr>
      </w:pPr>
      <w:r w:rsidRPr="00EF3497">
        <w:rPr>
          <w:szCs w:val="20"/>
        </w:rPr>
        <w:t>Second,</w:t>
      </w:r>
      <w:r>
        <w:rPr>
          <w:szCs w:val="20"/>
        </w:rPr>
        <w:t xml:space="preserve"> </w:t>
      </w:r>
      <w:r w:rsidRPr="00EF3497">
        <w:rPr>
          <w:szCs w:val="20"/>
        </w:rPr>
        <w:t>petitioner</w:t>
      </w:r>
      <w:r>
        <w:rPr>
          <w:szCs w:val="20"/>
        </w:rPr>
        <w:t xml:space="preserve"> </w:t>
      </w:r>
      <w:r w:rsidRPr="00EF3497">
        <w:rPr>
          <w:szCs w:val="20"/>
        </w:rPr>
        <w:t>contends</w:t>
      </w:r>
      <w:r>
        <w:rPr>
          <w:szCs w:val="20"/>
        </w:rPr>
        <w:t xml:space="preserve"> </w:t>
      </w:r>
      <w:r w:rsidRPr="00EF3497">
        <w:rPr>
          <w:szCs w:val="20"/>
        </w:rPr>
        <w:t>that</w:t>
      </w:r>
      <w:r>
        <w:rPr>
          <w:szCs w:val="20"/>
        </w:rPr>
        <w:t xml:space="preserve"> </w:t>
      </w:r>
      <w:r w:rsidRPr="00EF3497">
        <w:rPr>
          <w:szCs w:val="20"/>
        </w:rPr>
        <w:t>the</w:t>
      </w:r>
      <w:r>
        <w:rPr>
          <w:szCs w:val="20"/>
        </w:rPr>
        <w:t xml:space="preserve"> </w:t>
      </w:r>
      <w:r w:rsidRPr="00EF3497">
        <w:rPr>
          <w:szCs w:val="20"/>
        </w:rPr>
        <w:t>regulation</w:t>
      </w:r>
      <w:r>
        <w:rPr>
          <w:szCs w:val="20"/>
        </w:rPr>
        <w:t xml:space="preserve"> </w:t>
      </w:r>
      <w:r w:rsidRPr="00EF3497">
        <w:rPr>
          <w:szCs w:val="20"/>
        </w:rPr>
        <w:t>is</w:t>
      </w:r>
      <w:r>
        <w:rPr>
          <w:szCs w:val="20"/>
        </w:rPr>
        <w:t xml:space="preserve"> </w:t>
      </w:r>
      <w:r w:rsidRPr="00EF3497">
        <w:rPr>
          <w:szCs w:val="20"/>
        </w:rPr>
        <w:t>invalid</w:t>
      </w:r>
      <w:r>
        <w:rPr>
          <w:szCs w:val="20"/>
        </w:rPr>
        <w:t xml:space="preserve"> </w:t>
      </w:r>
      <w:r w:rsidRPr="00EF3497">
        <w:rPr>
          <w:szCs w:val="20"/>
        </w:rPr>
        <w:t>because</w:t>
      </w:r>
      <w:r>
        <w:rPr>
          <w:szCs w:val="20"/>
        </w:rPr>
        <w:t xml:space="preserve"> </w:t>
      </w:r>
      <w:r w:rsidRPr="00EF3497">
        <w:rPr>
          <w:szCs w:val="20"/>
        </w:rPr>
        <w:t>it</w:t>
      </w:r>
      <w:r>
        <w:rPr>
          <w:szCs w:val="20"/>
        </w:rPr>
        <w:t xml:space="preserve"> </w:t>
      </w:r>
      <w:r w:rsidRPr="00EF3497">
        <w:rPr>
          <w:szCs w:val="20"/>
        </w:rPr>
        <w:t>does</w:t>
      </w:r>
      <w:r>
        <w:rPr>
          <w:szCs w:val="20"/>
        </w:rPr>
        <w:t xml:space="preserve"> </w:t>
      </w:r>
      <w:r w:rsidRPr="00EF3497">
        <w:rPr>
          <w:szCs w:val="20"/>
        </w:rPr>
        <w:t>not</w:t>
      </w:r>
      <w:r>
        <w:rPr>
          <w:szCs w:val="20"/>
        </w:rPr>
        <w:t xml:space="preserve"> </w:t>
      </w:r>
      <w:r w:rsidRPr="00EF3497">
        <w:rPr>
          <w:szCs w:val="20"/>
        </w:rPr>
        <w:t>permit</w:t>
      </w:r>
      <w:r>
        <w:rPr>
          <w:szCs w:val="20"/>
        </w:rPr>
        <w:t xml:space="preserve"> </w:t>
      </w:r>
      <w:r w:rsidRPr="00EF3497">
        <w:rPr>
          <w:szCs w:val="20"/>
        </w:rPr>
        <w:t>the</w:t>
      </w:r>
      <w:r>
        <w:rPr>
          <w:szCs w:val="20"/>
        </w:rPr>
        <w:t xml:space="preserve"> </w:t>
      </w:r>
      <w:r w:rsidRPr="00EF3497">
        <w:rPr>
          <w:szCs w:val="20"/>
        </w:rPr>
        <w:t>donee’s</w:t>
      </w:r>
      <w:r>
        <w:rPr>
          <w:szCs w:val="20"/>
        </w:rPr>
        <w:t xml:space="preserve"> </w:t>
      </w:r>
      <w:r w:rsidRPr="00EF3497">
        <w:rPr>
          <w:szCs w:val="20"/>
        </w:rPr>
        <w:t>share</w:t>
      </w:r>
      <w:r>
        <w:rPr>
          <w:szCs w:val="20"/>
        </w:rPr>
        <w:t xml:space="preserve"> </w:t>
      </w:r>
      <w:r w:rsidRPr="00EF3497">
        <w:rPr>
          <w:szCs w:val="20"/>
        </w:rPr>
        <w:t>of</w:t>
      </w:r>
      <w:r>
        <w:rPr>
          <w:szCs w:val="20"/>
        </w:rPr>
        <w:t xml:space="preserve"> </w:t>
      </w:r>
      <w:r w:rsidRPr="00EF3497">
        <w:rPr>
          <w:szCs w:val="20"/>
        </w:rPr>
        <w:t>the</w:t>
      </w:r>
      <w:r>
        <w:rPr>
          <w:szCs w:val="20"/>
        </w:rPr>
        <w:t xml:space="preserve"> </w:t>
      </w:r>
      <w:r w:rsidRPr="00EF3497">
        <w:rPr>
          <w:szCs w:val="20"/>
        </w:rPr>
        <w:t>proceeds</w:t>
      </w:r>
      <w:r>
        <w:rPr>
          <w:szCs w:val="20"/>
        </w:rPr>
        <w:t xml:space="preserve"> </w:t>
      </w:r>
      <w:r w:rsidRPr="00EF3497">
        <w:rPr>
          <w:szCs w:val="20"/>
        </w:rPr>
        <w:t>to</w:t>
      </w:r>
      <w:r>
        <w:rPr>
          <w:szCs w:val="20"/>
        </w:rPr>
        <w:t xml:space="preserve"> </w:t>
      </w:r>
      <w:r w:rsidRPr="00EF3497">
        <w:rPr>
          <w:szCs w:val="20"/>
        </w:rPr>
        <w:t>be</w:t>
      </w:r>
      <w:r>
        <w:rPr>
          <w:szCs w:val="20"/>
        </w:rPr>
        <w:t xml:space="preserve"> </w:t>
      </w:r>
      <w:r w:rsidRPr="00EF3497">
        <w:rPr>
          <w:szCs w:val="20"/>
        </w:rPr>
        <w:t>reduced</w:t>
      </w:r>
      <w:r>
        <w:rPr>
          <w:szCs w:val="20"/>
        </w:rPr>
        <w:t xml:space="preserve"> </w:t>
      </w:r>
      <w:r w:rsidRPr="00EF3497">
        <w:rPr>
          <w:szCs w:val="20"/>
        </w:rPr>
        <w:t>by</w:t>
      </w:r>
      <w:r>
        <w:rPr>
          <w:szCs w:val="20"/>
        </w:rPr>
        <w:t xml:space="preserve"> </w:t>
      </w:r>
      <w:r w:rsidRPr="00EF3497">
        <w:rPr>
          <w:szCs w:val="20"/>
        </w:rPr>
        <w:t>the</w:t>
      </w:r>
      <w:r>
        <w:rPr>
          <w:szCs w:val="20"/>
        </w:rPr>
        <w:t xml:space="preserve"> </w:t>
      </w:r>
      <w:r w:rsidRPr="00EF3497">
        <w:rPr>
          <w:szCs w:val="20"/>
        </w:rPr>
        <w:t>value</w:t>
      </w:r>
      <w:r>
        <w:rPr>
          <w:szCs w:val="20"/>
        </w:rPr>
        <w:t xml:space="preserve"> </w:t>
      </w:r>
      <w:r w:rsidRPr="00EF3497">
        <w:rPr>
          <w:szCs w:val="20"/>
        </w:rPr>
        <w:t>of</w:t>
      </w:r>
      <w:r>
        <w:rPr>
          <w:szCs w:val="20"/>
        </w:rPr>
        <w:t xml:space="preserve"> </w:t>
      </w:r>
      <w:r w:rsidRPr="00EF3497">
        <w:rPr>
          <w:szCs w:val="20"/>
        </w:rPr>
        <w:t>improvements</w:t>
      </w:r>
      <w:r>
        <w:rPr>
          <w:szCs w:val="20"/>
        </w:rPr>
        <w:t xml:space="preserve"> </w:t>
      </w:r>
      <w:r w:rsidRPr="00EF3497">
        <w:rPr>
          <w:szCs w:val="20"/>
        </w:rPr>
        <w:t>(if</w:t>
      </w:r>
      <w:r>
        <w:rPr>
          <w:szCs w:val="20"/>
        </w:rPr>
        <w:t xml:space="preserve"> </w:t>
      </w:r>
      <w:r w:rsidRPr="00EF3497">
        <w:rPr>
          <w:szCs w:val="20"/>
        </w:rPr>
        <w:t>any)</w:t>
      </w:r>
      <w:r>
        <w:rPr>
          <w:szCs w:val="20"/>
        </w:rPr>
        <w:t xml:space="preserve"> </w:t>
      </w:r>
      <w:r w:rsidRPr="00EF3497">
        <w:rPr>
          <w:szCs w:val="20"/>
        </w:rPr>
        <w:t>made</w:t>
      </w:r>
      <w:r>
        <w:rPr>
          <w:szCs w:val="20"/>
        </w:rPr>
        <w:t xml:space="preserve"> </w:t>
      </w:r>
      <w:r w:rsidRPr="00EF3497">
        <w:rPr>
          <w:szCs w:val="20"/>
        </w:rPr>
        <w:t>by</w:t>
      </w:r>
      <w:r>
        <w:rPr>
          <w:szCs w:val="20"/>
        </w:rPr>
        <w:t xml:space="preserve"> </w:t>
      </w:r>
      <w:r w:rsidRPr="00EF3497">
        <w:rPr>
          <w:szCs w:val="20"/>
        </w:rPr>
        <w:t>the</w:t>
      </w:r>
      <w:r>
        <w:rPr>
          <w:szCs w:val="20"/>
        </w:rPr>
        <w:t xml:space="preserve"> </w:t>
      </w:r>
      <w:r w:rsidRPr="00EF3497">
        <w:rPr>
          <w:szCs w:val="20"/>
        </w:rPr>
        <w:t>donor.</w:t>
      </w:r>
      <w:r>
        <w:rPr>
          <w:szCs w:val="20"/>
        </w:rPr>
        <w:t xml:space="preserve"> </w:t>
      </w:r>
      <w:r w:rsidRPr="00EF3497">
        <w:rPr>
          <w:szCs w:val="20"/>
        </w:rPr>
        <w:t>The</w:t>
      </w:r>
      <w:r>
        <w:rPr>
          <w:szCs w:val="20"/>
        </w:rPr>
        <w:t xml:space="preserve"> </w:t>
      </w:r>
      <w:r w:rsidRPr="00EF3497">
        <w:rPr>
          <w:szCs w:val="20"/>
        </w:rPr>
        <w:t>regulation</w:t>
      </w:r>
      <w:r>
        <w:rPr>
          <w:szCs w:val="20"/>
        </w:rPr>
        <w:t xml:space="preserve"> </w:t>
      </w:r>
      <w:r w:rsidRPr="00EF3497">
        <w:rPr>
          <w:szCs w:val="20"/>
        </w:rPr>
        <w:t>as</w:t>
      </w:r>
      <w:r>
        <w:rPr>
          <w:szCs w:val="20"/>
        </w:rPr>
        <w:t xml:space="preserve"> </w:t>
      </w:r>
      <w:r w:rsidRPr="00EF3497">
        <w:rPr>
          <w:szCs w:val="20"/>
        </w:rPr>
        <w:t>proposed</w:t>
      </w:r>
      <w:r>
        <w:rPr>
          <w:szCs w:val="20"/>
        </w:rPr>
        <w:t xml:space="preserve"> </w:t>
      </w:r>
      <w:r w:rsidRPr="00EF3497">
        <w:rPr>
          <w:szCs w:val="20"/>
        </w:rPr>
        <w:t>did</w:t>
      </w:r>
      <w:r>
        <w:rPr>
          <w:szCs w:val="20"/>
        </w:rPr>
        <w:t xml:space="preserve"> </w:t>
      </w:r>
      <w:r w:rsidRPr="00EF3497">
        <w:rPr>
          <w:szCs w:val="20"/>
        </w:rPr>
        <w:t>not</w:t>
      </w:r>
      <w:r>
        <w:rPr>
          <w:szCs w:val="20"/>
        </w:rPr>
        <w:t xml:space="preserve"> </w:t>
      </w:r>
      <w:r w:rsidRPr="00EF3497">
        <w:rPr>
          <w:szCs w:val="20"/>
        </w:rPr>
        <w:t>address</w:t>
      </w:r>
      <w:r>
        <w:rPr>
          <w:szCs w:val="20"/>
        </w:rPr>
        <w:t xml:space="preserve"> </w:t>
      </w:r>
      <w:r w:rsidRPr="00EF3497">
        <w:rPr>
          <w:szCs w:val="20"/>
        </w:rPr>
        <w:t>donor</w:t>
      </w:r>
      <w:r>
        <w:rPr>
          <w:szCs w:val="20"/>
        </w:rPr>
        <w:t xml:space="preserve"> </w:t>
      </w:r>
      <w:r w:rsidRPr="00EF3497">
        <w:rPr>
          <w:szCs w:val="20"/>
        </w:rPr>
        <w:t>improvements,</w:t>
      </w:r>
      <w:r>
        <w:rPr>
          <w:szCs w:val="20"/>
        </w:rPr>
        <w:t xml:space="preserve"> </w:t>
      </w:r>
      <w:r w:rsidRPr="00EF3497">
        <w:rPr>
          <w:szCs w:val="20"/>
        </w:rPr>
        <w:t>and</w:t>
      </w:r>
      <w:r>
        <w:rPr>
          <w:szCs w:val="20"/>
        </w:rPr>
        <w:t xml:space="preserve"> </w:t>
      </w:r>
      <w:r w:rsidRPr="00EF3497">
        <w:rPr>
          <w:szCs w:val="20"/>
        </w:rPr>
        <w:t>only</w:t>
      </w:r>
      <w:r>
        <w:rPr>
          <w:szCs w:val="20"/>
        </w:rPr>
        <w:t xml:space="preserve"> </w:t>
      </w:r>
      <w:r w:rsidRPr="00EF3497">
        <w:rPr>
          <w:szCs w:val="20"/>
        </w:rPr>
        <w:t>one</w:t>
      </w:r>
      <w:r>
        <w:rPr>
          <w:szCs w:val="20"/>
        </w:rPr>
        <w:t xml:space="preserve"> </w:t>
      </w:r>
      <w:r w:rsidRPr="00EF3497">
        <w:rPr>
          <w:szCs w:val="20"/>
        </w:rPr>
        <w:t>of</w:t>
      </w:r>
      <w:r>
        <w:rPr>
          <w:szCs w:val="20"/>
        </w:rPr>
        <w:t xml:space="preserve"> </w:t>
      </w:r>
      <w:r w:rsidRPr="00EF3497">
        <w:rPr>
          <w:szCs w:val="20"/>
        </w:rPr>
        <w:t>90</w:t>
      </w:r>
      <w:r>
        <w:rPr>
          <w:szCs w:val="20"/>
        </w:rPr>
        <w:t xml:space="preserve"> </w:t>
      </w:r>
      <w:r w:rsidRPr="00EF3497">
        <w:rPr>
          <w:szCs w:val="20"/>
        </w:rPr>
        <w:t>commenters</w:t>
      </w:r>
      <w:r>
        <w:rPr>
          <w:szCs w:val="20"/>
        </w:rPr>
        <w:t xml:space="preserve"> </w:t>
      </w:r>
      <w:r w:rsidRPr="00EF3497">
        <w:rPr>
          <w:szCs w:val="20"/>
        </w:rPr>
        <w:t>mentioned</w:t>
      </w:r>
      <w:r>
        <w:rPr>
          <w:szCs w:val="20"/>
        </w:rPr>
        <w:t xml:space="preserve"> </w:t>
      </w:r>
      <w:r w:rsidRPr="00EF3497">
        <w:rPr>
          <w:szCs w:val="20"/>
        </w:rPr>
        <w:t>the</w:t>
      </w:r>
      <w:r>
        <w:rPr>
          <w:szCs w:val="20"/>
        </w:rPr>
        <w:t xml:space="preserve"> </w:t>
      </w:r>
      <w:r w:rsidRPr="00EF3497">
        <w:rPr>
          <w:szCs w:val="20"/>
        </w:rPr>
        <w:t>point.</w:t>
      </w:r>
      <w:r>
        <w:rPr>
          <w:szCs w:val="20"/>
        </w:rPr>
        <w:t xml:space="preserve"> </w:t>
      </w:r>
      <w:r w:rsidRPr="00EF3497">
        <w:rPr>
          <w:szCs w:val="20"/>
          <w:u w:val="single"/>
        </w:rPr>
        <w:t>See</w:t>
      </w:r>
      <w:r>
        <w:rPr>
          <w:szCs w:val="20"/>
        </w:rPr>
        <w:t xml:space="preserve"> </w:t>
      </w:r>
      <w:r w:rsidRPr="00EF3497">
        <w:rPr>
          <w:szCs w:val="20"/>
          <w:u w:val="single"/>
        </w:rPr>
        <w:t>supra</w:t>
      </w:r>
      <w:r>
        <w:rPr>
          <w:szCs w:val="20"/>
        </w:rPr>
        <w:t xml:space="preserve"> </w:t>
      </w:r>
      <w:r w:rsidRPr="00EF3497">
        <w:rPr>
          <w:szCs w:val="20"/>
        </w:rPr>
        <w:t>pp.</w:t>
      </w:r>
      <w:r>
        <w:rPr>
          <w:szCs w:val="20"/>
        </w:rPr>
        <w:t xml:space="preserve"> </w:t>
      </w:r>
      <w:r w:rsidRPr="00EF3497">
        <w:rPr>
          <w:szCs w:val="20"/>
        </w:rPr>
        <w:t>21-22.</w:t>
      </w:r>
      <w:r>
        <w:rPr>
          <w:szCs w:val="20"/>
        </w:rPr>
        <w:t xml:space="preserve"> </w:t>
      </w:r>
      <w:r w:rsidRPr="00EF3497">
        <w:rPr>
          <w:szCs w:val="20"/>
        </w:rPr>
        <w:t>Once</w:t>
      </w:r>
      <w:r>
        <w:rPr>
          <w:szCs w:val="20"/>
        </w:rPr>
        <w:t xml:space="preserve"> </w:t>
      </w:r>
      <w:r w:rsidRPr="00EF3497">
        <w:rPr>
          <w:szCs w:val="20"/>
        </w:rPr>
        <w:t>again,</w:t>
      </w:r>
      <w:r>
        <w:rPr>
          <w:szCs w:val="20"/>
        </w:rPr>
        <w:t xml:space="preserve"> </w:t>
      </w:r>
      <w:r w:rsidRPr="00EF3497">
        <w:rPr>
          <w:szCs w:val="20"/>
        </w:rPr>
        <w:t>we</w:t>
      </w:r>
      <w:r>
        <w:rPr>
          <w:szCs w:val="20"/>
        </w:rPr>
        <w:t xml:space="preserve"> </w:t>
      </w:r>
      <w:r w:rsidRPr="00EF3497">
        <w:rPr>
          <w:szCs w:val="20"/>
        </w:rPr>
        <w:t>cannot</w:t>
      </w:r>
      <w:r>
        <w:rPr>
          <w:szCs w:val="20"/>
        </w:rPr>
        <w:t xml:space="preserve"> </w:t>
      </w:r>
      <w:r w:rsidRPr="00EF3497">
        <w:rPr>
          <w:szCs w:val="20"/>
        </w:rPr>
        <w:t>say</w:t>
      </w:r>
      <w:r>
        <w:rPr>
          <w:szCs w:val="20"/>
        </w:rPr>
        <w:t xml:space="preserve"> </w:t>
      </w:r>
      <w:r w:rsidRPr="00EF3497">
        <w:rPr>
          <w:szCs w:val="20"/>
        </w:rPr>
        <w:t>that</w:t>
      </w:r>
      <w:r>
        <w:rPr>
          <w:szCs w:val="20"/>
        </w:rPr>
        <w:t xml:space="preserve"> </w:t>
      </w:r>
      <w:r w:rsidRPr="00EF3497">
        <w:rPr>
          <w:szCs w:val="20"/>
        </w:rPr>
        <w:t>the</w:t>
      </w:r>
      <w:r>
        <w:rPr>
          <w:szCs w:val="20"/>
        </w:rPr>
        <w:t xml:space="preserve"> </w:t>
      </w:r>
      <w:r w:rsidRPr="00EF3497">
        <w:rPr>
          <w:szCs w:val="20"/>
        </w:rPr>
        <w:t>absence</w:t>
      </w:r>
      <w:r>
        <w:rPr>
          <w:szCs w:val="20"/>
        </w:rPr>
        <w:t xml:space="preserve"> </w:t>
      </w:r>
      <w:r w:rsidRPr="00EF3497">
        <w:rPr>
          <w:szCs w:val="20"/>
        </w:rPr>
        <w:t>of</w:t>
      </w:r>
      <w:r>
        <w:rPr>
          <w:szCs w:val="20"/>
        </w:rPr>
        <w:t xml:space="preserve"> </w:t>
      </w:r>
      <w:r w:rsidRPr="00EF3497">
        <w:rPr>
          <w:szCs w:val="20"/>
        </w:rPr>
        <w:t>a</w:t>
      </w:r>
      <w:r>
        <w:rPr>
          <w:szCs w:val="20"/>
        </w:rPr>
        <w:t xml:space="preserve"> </w:t>
      </w:r>
      <w:r w:rsidRPr="00EF3497">
        <w:rPr>
          <w:szCs w:val="20"/>
        </w:rPr>
        <w:t>provision</w:t>
      </w:r>
      <w:r>
        <w:rPr>
          <w:szCs w:val="20"/>
        </w:rPr>
        <w:t xml:space="preserve"> </w:t>
      </w:r>
      <w:r w:rsidRPr="00EF3497">
        <w:rPr>
          <w:szCs w:val="20"/>
        </w:rPr>
        <w:t>addressing</w:t>
      </w:r>
      <w:r>
        <w:rPr>
          <w:szCs w:val="20"/>
        </w:rPr>
        <w:t xml:space="preserve"> </w:t>
      </w:r>
      <w:r w:rsidRPr="00EF3497">
        <w:rPr>
          <w:szCs w:val="20"/>
        </w:rPr>
        <w:t>donor</w:t>
      </w:r>
      <w:r>
        <w:rPr>
          <w:szCs w:val="20"/>
        </w:rPr>
        <w:t xml:space="preserve"> </w:t>
      </w:r>
      <w:r w:rsidRPr="00EF3497">
        <w:rPr>
          <w:szCs w:val="20"/>
        </w:rPr>
        <w:t>improvements</w:t>
      </w:r>
      <w:r>
        <w:rPr>
          <w:szCs w:val="20"/>
        </w:rPr>
        <w:t xml:space="preserve"> </w:t>
      </w:r>
      <w:r w:rsidRPr="00EF3497">
        <w:rPr>
          <w:szCs w:val="20"/>
        </w:rPr>
        <w:t>renders</w:t>
      </w:r>
      <w:r>
        <w:rPr>
          <w:szCs w:val="20"/>
        </w:rPr>
        <w:t xml:space="preserve"> </w:t>
      </w:r>
      <w:r w:rsidRPr="00EF3497">
        <w:rPr>
          <w:szCs w:val="20"/>
        </w:rPr>
        <w:t>the</w:t>
      </w:r>
      <w:r>
        <w:rPr>
          <w:szCs w:val="20"/>
        </w:rPr>
        <w:t xml:space="preserve"> </w:t>
      </w:r>
      <w:r w:rsidRPr="00EF3497">
        <w:rPr>
          <w:szCs w:val="20"/>
        </w:rPr>
        <w:t>regulation</w:t>
      </w:r>
      <w:r>
        <w:rPr>
          <w:szCs w:val="20"/>
        </w:rPr>
        <w:t xml:space="preserve"> </w:t>
      </w:r>
      <w:r w:rsidRPr="00EF3497">
        <w:rPr>
          <w:szCs w:val="20"/>
        </w:rPr>
        <w:t>“arbitrary,</w:t>
      </w:r>
      <w:r>
        <w:rPr>
          <w:szCs w:val="20"/>
        </w:rPr>
        <w:t xml:space="preserve"> </w:t>
      </w:r>
      <w:r w:rsidRPr="00EF3497">
        <w:rPr>
          <w:szCs w:val="20"/>
        </w:rPr>
        <w:t>capricious,</w:t>
      </w:r>
      <w:r>
        <w:rPr>
          <w:szCs w:val="20"/>
        </w:rPr>
        <w:t xml:space="preserve"> </w:t>
      </w:r>
      <w:r w:rsidRPr="00EF3497">
        <w:rPr>
          <w:szCs w:val="20"/>
        </w:rPr>
        <w:t>or</w:t>
      </w:r>
      <w:r>
        <w:rPr>
          <w:szCs w:val="20"/>
        </w:rPr>
        <w:t xml:space="preserve"> </w:t>
      </w:r>
      <w:r w:rsidRPr="00EF3497">
        <w:rPr>
          <w:szCs w:val="20"/>
        </w:rPr>
        <w:t>manifestly</w:t>
      </w:r>
      <w:r>
        <w:rPr>
          <w:szCs w:val="20"/>
        </w:rPr>
        <w:t xml:space="preserve"> </w:t>
      </w:r>
      <w:r w:rsidRPr="00EF3497">
        <w:rPr>
          <w:szCs w:val="20"/>
        </w:rPr>
        <w:t>contrary</w:t>
      </w:r>
      <w:r>
        <w:rPr>
          <w:szCs w:val="20"/>
        </w:rPr>
        <w:t xml:space="preserve"> </w:t>
      </w:r>
      <w:r w:rsidRPr="00EF3497">
        <w:rPr>
          <w:szCs w:val="20"/>
        </w:rPr>
        <w:t>to</w:t>
      </w:r>
      <w:r>
        <w:rPr>
          <w:szCs w:val="20"/>
        </w:rPr>
        <w:t xml:space="preserve"> </w:t>
      </w:r>
      <w:r w:rsidRPr="00EF3497">
        <w:rPr>
          <w:szCs w:val="20"/>
        </w:rPr>
        <w:t>the</w:t>
      </w:r>
      <w:r>
        <w:rPr>
          <w:szCs w:val="20"/>
        </w:rPr>
        <w:t xml:space="preserve"> </w:t>
      </w:r>
      <w:r w:rsidRPr="00EF3497">
        <w:rPr>
          <w:szCs w:val="20"/>
        </w:rPr>
        <w:t>statute.”</w:t>
      </w:r>
      <w:r>
        <w:rPr>
          <w:szCs w:val="20"/>
        </w:rPr>
        <w:t xml:space="preserve"> </w:t>
      </w:r>
      <w:r w:rsidRPr="00EF3497">
        <w:rPr>
          <w:szCs w:val="20"/>
          <w:u w:val="single"/>
        </w:rPr>
        <w:t>Chevron</w:t>
      </w:r>
      <w:r w:rsidRPr="00EF3497">
        <w:rPr>
          <w:szCs w:val="20"/>
        </w:rPr>
        <w:t>,</w:t>
      </w:r>
      <w:r>
        <w:rPr>
          <w:szCs w:val="20"/>
        </w:rPr>
        <w:t xml:space="preserve"> </w:t>
      </w:r>
      <w:r w:rsidRPr="00EF3497">
        <w:rPr>
          <w:szCs w:val="20"/>
        </w:rPr>
        <w:t>467</w:t>
      </w:r>
      <w:r>
        <w:rPr>
          <w:szCs w:val="20"/>
        </w:rPr>
        <w:t xml:space="preserve"> </w:t>
      </w:r>
      <w:r w:rsidRPr="00EF3497">
        <w:rPr>
          <w:szCs w:val="20"/>
        </w:rPr>
        <w:t>U.S.</w:t>
      </w:r>
      <w:r>
        <w:rPr>
          <w:szCs w:val="20"/>
        </w:rPr>
        <w:t xml:space="preserve"> </w:t>
      </w:r>
      <w:r w:rsidRPr="00EF3497">
        <w:rPr>
          <w:szCs w:val="20"/>
        </w:rPr>
        <w:t>at</w:t>
      </w:r>
      <w:r>
        <w:rPr>
          <w:szCs w:val="20"/>
        </w:rPr>
        <w:t xml:space="preserve"> </w:t>
      </w:r>
      <w:r w:rsidRPr="00EF3497">
        <w:rPr>
          <w:szCs w:val="20"/>
        </w:rPr>
        <w:t>844.</w:t>
      </w:r>
    </w:p>
    <w:p w:rsidR="007649DB" w:rsidRPr="00EF3497" w:rsidRDefault="007649DB" w:rsidP="007649DB">
      <w:pPr>
        <w:pStyle w:val="QS10"/>
        <w:rPr>
          <w:szCs w:val="20"/>
        </w:rPr>
      </w:pPr>
      <w:r w:rsidRPr="00EF3497">
        <w:rPr>
          <w:szCs w:val="20"/>
        </w:rPr>
        <w:t>Treasury’s</w:t>
      </w:r>
      <w:r>
        <w:rPr>
          <w:szCs w:val="20"/>
        </w:rPr>
        <w:t xml:space="preserve"> </w:t>
      </w:r>
      <w:r w:rsidRPr="00EF3497">
        <w:rPr>
          <w:szCs w:val="20"/>
        </w:rPr>
        <w:t>goal</w:t>
      </w:r>
      <w:r>
        <w:rPr>
          <w:szCs w:val="20"/>
        </w:rPr>
        <w:t xml:space="preserve"> </w:t>
      </w:r>
      <w:r w:rsidRPr="00EF3497">
        <w:rPr>
          <w:szCs w:val="20"/>
        </w:rPr>
        <w:t>in</w:t>
      </w:r>
      <w:r>
        <w:rPr>
          <w:szCs w:val="20"/>
        </w:rPr>
        <w:t xml:space="preserve"> </w:t>
      </w:r>
      <w:r w:rsidRPr="00EF3497">
        <w:rPr>
          <w:szCs w:val="20"/>
        </w:rPr>
        <w:t>prescribing</w:t>
      </w:r>
      <w:r>
        <w:rPr>
          <w:szCs w:val="20"/>
        </w:rPr>
        <w:t xml:space="preserve"> </w:t>
      </w:r>
      <w:r w:rsidRPr="00EF3497">
        <w:rPr>
          <w:szCs w:val="20"/>
        </w:rPr>
        <w:t>this</w:t>
      </w:r>
      <w:r>
        <w:rPr>
          <w:szCs w:val="20"/>
        </w:rPr>
        <w:t xml:space="preserve"> </w:t>
      </w:r>
      <w:r w:rsidRPr="00EF3497">
        <w:rPr>
          <w:szCs w:val="20"/>
        </w:rPr>
        <w:t>regulation</w:t>
      </w:r>
      <w:r>
        <w:rPr>
          <w:szCs w:val="20"/>
        </w:rPr>
        <w:t xml:space="preserve"> </w:t>
      </w:r>
      <w:r w:rsidRPr="00EF3497">
        <w:rPr>
          <w:szCs w:val="20"/>
        </w:rPr>
        <w:t>was</w:t>
      </w:r>
      <w:r>
        <w:rPr>
          <w:szCs w:val="20"/>
        </w:rPr>
        <w:t xml:space="preserve"> </w:t>
      </w:r>
      <w:r w:rsidRPr="00EF3497">
        <w:rPr>
          <w:szCs w:val="20"/>
        </w:rPr>
        <w:t>to</w:t>
      </w:r>
      <w:r>
        <w:rPr>
          <w:szCs w:val="20"/>
        </w:rPr>
        <w:t xml:space="preserve"> </w:t>
      </w:r>
      <w:r w:rsidRPr="00EF3497">
        <w:rPr>
          <w:szCs w:val="20"/>
        </w:rPr>
        <w:t>ensure</w:t>
      </w:r>
      <w:r>
        <w:rPr>
          <w:szCs w:val="20"/>
        </w:rPr>
        <w:t xml:space="preserve"> </w:t>
      </w:r>
      <w:r w:rsidRPr="00EF3497">
        <w:rPr>
          <w:szCs w:val="20"/>
        </w:rPr>
        <w:t>satisfaction</w:t>
      </w:r>
      <w:r>
        <w:rPr>
          <w:szCs w:val="20"/>
        </w:rPr>
        <w:t xml:space="preserve"> </w:t>
      </w:r>
      <w:r w:rsidRPr="00EF3497">
        <w:rPr>
          <w:szCs w:val="20"/>
        </w:rPr>
        <w:t>of</w:t>
      </w:r>
      <w:r>
        <w:rPr>
          <w:szCs w:val="20"/>
        </w:rPr>
        <w:t xml:space="preserve"> </w:t>
      </w:r>
      <w:r w:rsidRPr="00EF3497">
        <w:rPr>
          <w:szCs w:val="20"/>
        </w:rPr>
        <w:t>the</w:t>
      </w:r>
      <w:r>
        <w:rPr>
          <w:szCs w:val="20"/>
        </w:rPr>
        <w:t xml:space="preserve"> </w:t>
      </w:r>
      <w:r w:rsidRPr="00EF3497">
        <w:rPr>
          <w:szCs w:val="20"/>
        </w:rPr>
        <w:t>statute’s</w:t>
      </w:r>
      <w:r>
        <w:rPr>
          <w:szCs w:val="20"/>
        </w:rPr>
        <w:t xml:space="preserve"> </w:t>
      </w:r>
      <w:r w:rsidRPr="00EF3497">
        <w:rPr>
          <w:szCs w:val="20"/>
        </w:rPr>
        <w:t>“protected</w:t>
      </w:r>
      <w:r>
        <w:rPr>
          <w:szCs w:val="20"/>
        </w:rPr>
        <w:t xml:space="preserve"> </w:t>
      </w:r>
      <w:r w:rsidRPr="00EF3497">
        <w:rPr>
          <w:szCs w:val="20"/>
        </w:rPr>
        <w:t>in</w:t>
      </w:r>
      <w:r>
        <w:rPr>
          <w:szCs w:val="20"/>
        </w:rPr>
        <w:t xml:space="preserve"> </w:t>
      </w:r>
      <w:r w:rsidRPr="00EF3497">
        <w:rPr>
          <w:szCs w:val="20"/>
        </w:rPr>
        <w:t>perpetuity”</w:t>
      </w:r>
      <w:r>
        <w:rPr>
          <w:szCs w:val="20"/>
        </w:rPr>
        <w:t xml:space="preserve"> </w:t>
      </w:r>
      <w:r w:rsidRPr="00EF3497">
        <w:rPr>
          <w:szCs w:val="20"/>
        </w:rPr>
        <w:t>requirement.</w:t>
      </w:r>
      <w:r>
        <w:rPr>
          <w:szCs w:val="20"/>
        </w:rPr>
        <w:t xml:space="preserve"> </w:t>
      </w:r>
      <w:r w:rsidRPr="00EF3497">
        <w:rPr>
          <w:szCs w:val="20"/>
        </w:rPr>
        <w:t>In</w:t>
      </w:r>
      <w:r>
        <w:rPr>
          <w:szCs w:val="20"/>
        </w:rPr>
        <w:t xml:space="preserve"> </w:t>
      </w:r>
      <w:r w:rsidRPr="00EF3497">
        <w:rPr>
          <w:szCs w:val="20"/>
        </w:rPr>
        <w:t>effect</w:t>
      </w:r>
      <w:r>
        <w:rPr>
          <w:szCs w:val="20"/>
        </w:rPr>
        <w:t xml:space="preserve"> </w:t>
      </w:r>
      <w:r w:rsidRPr="00EF3497">
        <w:rPr>
          <w:szCs w:val="20"/>
        </w:rPr>
        <w:t>this</w:t>
      </w:r>
      <w:r>
        <w:rPr>
          <w:szCs w:val="20"/>
        </w:rPr>
        <w:t xml:space="preserve"> </w:t>
      </w:r>
      <w:r w:rsidRPr="00EF3497">
        <w:rPr>
          <w:szCs w:val="20"/>
        </w:rPr>
        <w:t>requirement</w:t>
      </w:r>
      <w:r>
        <w:rPr>
          <w:szCs w:val="20"/>
        </w:rPr>
        <w:t xml:space="preserve"> </w:t>
      </w:r>
      <w:r w:rsidRPr="00EF3497">
        <w:rPr>
          <w:szCs w:val="20"/>
        </w:rPr>
        <w:t>is</w:t>
      </w:r>
      <w:r>
        <w:rPr>
          <w:szCs w:val="20"/>
        </w:rPr>
        <w:t xml:space="preserve"> </w:t>
      </w:r>
      <w:r w:rsidRPr="00EF3497">
        <w:rPr>
          <w:szCs w:val="20"/>
        </w:rPr>
        <w:t>deemed</w:t>
      </w:r>
      <w:r>
        <w:rPr>
          <w:szCs w:val="20"/>
        </w:rPr>
        <w:t xml:space="preserve"> </w:t>
      </w:r>
      <w:r w:rsidRPr="00EF3497">
        <w:rPr>
          <w:szCs w:val="20"/>
        </w:rPr>
        <w:t>satisfied</w:t>
      </w:r>
      <w:r>
        <w:rPr>
          <w:szCs w:val="20"/>
        </w:rPr>
        <w:t xml:space="preserve"> </w:t>
      </w:r>
      <w:r w:rsidRPr="00EF3497">
        <w:rPr>
          <w:szCs w:val="20"/>
        </w:rPr>
        <w:t>because</w:t>
      </w:r>
      <w:r>
        <w:rPr>
          <w:szCs w:val="20"/>
        </w:rPr>
        <w:t xml:space="preserve"> </w:t>
      </w:r>
      <w:r w:rsidRPr="00EF3497">
        <w:rPr>
          <w:szCs w:val="20"/>
        </w:rPr>
        <w:t>the</w:t>
      </w:r>
      <w:r>
        <w:rPr>
          <w:szCs w:val="20"/>
        </w:rPr>
        <w:t xml:space="preserve"> </w:t>
      </w:r>
      <w:r w:rsidRPr="00EF3497">
        <w:rPr>
          <w:szCs w:val="20"/>
        </w:rPr>
        <w:t>sale</w:t>
      </w:r>
      <w:r>
        <w:rPr>
          <w:szCs w:val="20"/>
        </w:rPr>
        <w:t xml:space="preserve"> </w:t>
      </w:r>
      <w:r w:rsidRPr="00EF3497">
        <w:rPr>
          <w:szCs w:val="20"/>
        </w:rPr>
        <w:t>proceeds</w:t>
      </w:r>
      <w:r>
        <w:rPr>
          <w:szCs w:val="20"/>
        </w:rPr>
        <w:t xml:space="preserve"> </w:t>
      </w:r>
      <w:r w:rsidRPr="00EF3497">
        <w:rPr>
          <w:szCs w:val="20"/>
        </w:rPr>
        <w:t>replace</w:t>
      </w:r>
      <w:r>
        <w:rPr>
          <w:szCs w:val="20"/>
        </w:rPr>
        <w:t xml:space="preserve"> </w:t>
      </w:r>
      <w:r w:rsidRPr="00EF3497">
        <w:rPr>
          <w:szCs w:val="20"/>
        </w:rPr>
        <w:t>the</w:t>
      </w:r>
      <w:r>
        <w:rPr>
          <w:szCs w:val="20"/>
        </w:rPr>
        <w:t xml:space="preserve"> </w:t>
      </w:r>
      <w:r w:rsidRPr="00EF3497">
        <w:rPr>
          <w:szCs w:val="20"/>
        </w:rPr>
        <w:t>easement</w:t>
      </w:r>
      <w:r>
        <w:rPr>
          <w:szCs w:val="20"/>
        </w:rPr>
        <w:t xml:space="preserve"> </w:t>
      </w:r>
      <w:r w:rsidRPr="00EF3497">
        <w:rPr>
          <w:szCs w:val="20"/>
        </w:rPr>
        <w:t>as</w:t>
      </w:r>
      <w:r>
        <w:rPr>
          <w:szCs w:val="20"/>
        </w:rPr>
        <w:t xml:space="preserve"> </w:t>
      </w:r>
      <w:r w:rsidRPr="00EF3497">
        <w:rPr>
          <w:szCs w:val="20"/>
        </w:rPr>
        <w:t>an</w:t>
      </w:r>
      <w:r>
        <w:rPr>
          <w:szCs w:val="20"/>
        </w:rPr>
        <w:t xml:space="preserve"> </w:t>
      </w:r>
      <w:r w:rsidRPr="00EF3497">
        <w:rPr>
          <w:szCs w:val="20"/>
        </w:rPr>
        <w:t>asset</w:t>
      </w:r>
      <w:r>
        <w:rPr>
          <w:szCs w:val="20"/>
        </w:rPr>
        <w:t xml:space="preserve"> </w:t>
      </w:r>
      <w:r w:rsidRPr="00EF3497">
        <w:rPr>
          <w:szCs w:val="20"/>
        </w:rPr>
        <w:t>deployed</w:t>
      </w:r>
      <w:r>
        <w:rPr>
          <w:szCs w:val="20"/>
        </w:rPr>
        <w:t xml:space="preserve"> </w:t>
      </w:r>
      <w:r w:rsidRPr="00EF3497">
        <w:rPr>
          <w:szCs w:val="20"/>
        </w:rPr>
        <w:t>by</w:t>
      </w:r>
      <w:r>
        <w:rPr>
          <w:szCs w:val="20"/>
        </w:rPr>
        <w:t xml:space="preserve"> </w:t>
      </w:r>
      <w:r w:rsidRPr="00EF3497">
        <w:rPr>
          <w:szCs w:val="20"/>
        </w:rPr>
        <w:t>the</w:t>
      </w:r>
      <w:r>
        <w:rPr>
          <w:szCs w:val="20"/>
        </w:rPr>
        <w:t xml:space="preserve"> </w:t>
      </w:r>
      <w:r w:rsidRPr="00EF3497">
        <w:rPr>
          <w:szCs w:val="20"/>
        </w:rPr>
        <w:t>donee</w:t>
      </w:r>
      <w:r>
        <w:rPr>
          <w:szCs w:val="20"/>
        </w:rPr>
        <w:t xml:space="preserve"> </w:t>
      </w:r>
      <w:r w:rsidRPr="00EF3497">
        <w:rPr>
          <w:szCs w:val="20"/>
        </w:rPr>
        <w:t>“exclusively</w:t>
      </w:r>
      <w:r>
        <w:rPr>
          <w:szCs w:val="20"/>
        </w:rPr>
        <w:t xml:space="preserve"> </w:t>
      </w:r>
      <w:r w:rsidRPr="00EF3497">
        <w:rPr>
          <w:szCs w:val="20"/>
        </w:rPr>
        <w:t>for</w:t>
      </w:r>
      <w:r>
        <w:rPr>
          <w:szCs w:val="20"/>
        </w:rPr>
        <w:t xml:space="preserve"> </w:t>
      </w:r>
      <w:r w:rsidRPr="00EF3497">
        <w:rPr>
          <w:szCs w:val="20"/>
        </w:rPr>
        <w:t>conservation</w:t>
      </w:r>
      <w:r>
        <w:rPr>
          <w:szCs w:val="20"/>
        </w:rPr>
        <w:t xml:space="preserve"> </w:t>
      </w:r>
      <w:r w:rsidRPr="00EF3497">
        <w:rPr>
          <w:szCs w:val="20"/>
        </w:rPr>
        <w:t>purposes.”</w:t>
      </w:r>
      <w:r>
        <w:rPr>
          <w:szCs w:val="20"/>
        </w:rPr>
        <w:t xml:space="preserve"> </w:t>
      </w:r>
      <w:r w:rsidRPr="00EF3497">
        <w:rPr>
          <w:szCs w:val="20"/>
        </w:rPr>
        <w:t>Sec.</w:t>
      </w:r>
      <w:r>
        <w:rPr>
          <w:szCs w:val="20"/>
        </w:rPr>
        <w:t xml:space="preserve"> </w:t>
      </w:r>
      <w:r w:rsidRPr="00EF3497">
        <w:rPr>
          <w:szCs w:val="20"/>
        </w:rPr>
        <w:t>170(h)(5)(A).</w:t>
      </w:r>
      <w:r>
        <w:rPr>
          <w:szCs w:val="20"/>
        </w:rPr>
        <w:t xml:space="preserve"> </w:t>
      </w:r>
      <w:r w:rsidRPr="00EF3497">
        <w:rPr>
          <w:szCs w:val="20"/>
        </w:rPr>
        <w:t>In</w:t>
      </w:r>
      <w:r>
        <w:rPr>
          <w:szCs w:val="20"/>
        </w:rPr>
        <w:t xml:space="preserve"> </w:t>
      </w:r>
      <w:r w:rsidRPr="00EF3497">
        <w:rPr>
          <w:szCs w:val="20"/>
        </w:rPr>
        <w:t>certain</w:t>
      </w:r>
      <w:r>
        <w:rPr>
          <w:szCs w:val="20"/>
        </w:rPr>
        <w:t xml:space="preserve"> </w:t>
      </w:r>
      <w:r w:rsidRPr="00EF3497">
        <w:rPr>
          <w:szCs w:val="20"/>
        </w:rPr>
        <w:t>factual</w:t>
      </w:r>
      <w:r>
        <w:rPr>
          <w:szCs w:val="20"/>
        </w:rPr>
        <w:t xml:space="preserve"> </w:t>
      </w:r>
      <w:r w:rsidRPr="00EF3497">
        <w:rPr>
          <w:szCs w:val="20"/>
        </w:rPr>
        <w:t>scenarios,</w:t>
      </w:r>
      <w:r>
        <w:rPr>
          <w:szCs w:val="20"/>
        </w:rPr>
        <w:t xml:space="preserve"> </w:t>
      </w:r>
      <w:r w:rsidRPr="00EF3497">
        <w:rPr>
          <w:szCs w:val="20"/>
        </w:rPr>
        <w:t>reducing</w:t>
      </w:r>
      <w:r>
        <w:rPr>
          <w:szCs w:val="20"/>
        </w:rPr>
        <w:t xml:space="preserve"> </w:t>
      </w:r>
      <w:r w:rsidRPr="00EF3497">
        <w:rPr>
          <w:szCs w:val="20"/>
        </w:rPr>
        <w:t>the</w:t>
      </w:r>
      <w:r>
        <w:rPr>
          <w:szCs w:val="20"/>
        </w:rPr>
        <w:t xml:space="preserve"> </w:t>
      </w:r>
      <w:r w:rsidRPr="00EF3497">
        <w:rPr>
          <w:szCs w:val="20"/>
        </w:rPr>
        <w:t>donee’s</w:t>
      </w:r>
      <w:r>
        <w:rPr>
          <w:szCs w:val="20"/>
        </w:rPr>
        <w:t xml:space="preserve"> </w:t>
      </w:r>
      <w:r w:rsidRPr="00EF3497">
        <w:rPr>
          <w:szCs w:val="20"/>
        </w:rPr>
        <w:t>proceeds</w:t>
      </w:r>
      <w:r>
        <w:rPr>
          <w:szCs w:val="20"/>
        </w:rPr>
        <w:t xml:space="preserve"> </w:t>
      </w:r>
      <w:r w:rsidRPr="00EF3497">
        <w:rPr>
          <w:szCs w:val="20"/>
        </w:rPr>
        <w:t>on</w:t>
      </w:r>
      <w:r>
        <w:rPr>
          <w:szCs w:val="20"/>
        </w:rPr>
        <w:t xml:space="preserve"> </w:t>
      </w:r>
      <w:r w:rsidRPr="00EF3497">
        <w:rPr>
          <w:szCs w:val="20"/>
        </w:rPr>
        <w:t>account</w:t>
      </w:r>
      <w:r>
        <w:rPr>
          <w:szCs w:val="20"/>
        </w:rPr>
        <w:t xml:space="preserve"> </w:t>
      </w:r>
      <w:r w:rsidRPr="00EF3497">
        <w:rPr>
          <w:szCs w:val="20"/>
        </w:rPr>
        <w:t>of</w:t>
      </w:r>
      <w:r>
        <w:rPr>
          <w:szCs w:val="20"/>
        </w:rPr>
        <w:t xml:space="preserve"> </w:t>
      </w:r>
      <w:r w:rsidRPr="00EF3497">
        <w:rPr>
          <w:szCs w:val="20"/>
        </w:rPr>
        <w:t>donor</w:t>
      </w:r>
      <w:r>
        <w:rPr>
          <w:szCs w:val="20"/>
        </w:rPr>
        <w:t xml:space="preserve"> </w:t>
      </w:r>
      <w:r w:rsidRPr="00EF3497">
        <w:rPr>
          <w:szCs w:val="20"/>
        </w:rPr>
        <w:t>improvements</w:t>
      </w:r>
      <w:r>
        <w:rPr>
          <w:szCs w:val="20"/>
        </w:rPr>
        <w:t xml:space="preserve"> </w:t>
      </w:r>
      <w:r w:rsidRPr="00EF3497">
        <w:rPr>
          <w:szCs w:val="20"/>
        </w:rPr>
        <w:t>could</w:t>
      </w:r>
      <w:r>
        <w:rPr>
          <w:szCs w:val="20"/>
        </w:rPr>
        <w:t xml:space="preserve"> </w:t>
      </w:r>
      <w:r w:rsidRPr="00EF3497">
        <w:rPr>
          <w:szCs w:val="20"/>
        </w:rPr>
        <w:t>frustrate</w:t>
      </w:r>
      <w:r>
        <w:rPr>
          <w:szCs w:val="20"/>
        </w:rPr>
        <w:t xml:space="preserve"> </w:t>
      </w:r>
      <w:r w:rsidRPr="00EF3497">
        <w:rPr>
          <w:szCs w:val="20"/>
        </w:rPr>
        <w:t>this</w:t>
      </w:r>
      <w:r>
        <w:rPr>
          <w:szCs w:val="20"/>
        </w:rPr>
        <w:t xml:space="preserve"> </w:t>
      </w:r>
      <w:r w:rsidRPr="00EF3497">
        <w:rPr>
          <w:szCs w:val="20"/>
        </w:rPr>
        <w:t>goal,</w:t>
      </w:r>
      <w:r>
        <w:rPr>
          <w:szCs w:val="20"/>
        </w:rPr>
        <w:t xml:space="preserve"> </w:t>
      </w:r>
      <w:r w:rsidRPr="00EF3497">
        <w:rPr>
          <w:szCs w:val="20"/>
        </w:rPr>
        <w:t>especially</w:t>
      </w:r>
      <w:r>
        <w:rPr>
          <w:szCs w:val="20"/>
        </w:rPr>
        <w:t xml:space="preserve"> </w:t>
      </w:r>
      <w:r w:rsidRPr="00EF3497">
        <w:rPr>
          <w:szCs w:val="20"/>
        </w:rPr>
        <w:t>if</w:t>
      </w:r>
      <w:r>
        <w:rPr>
          <w:szCs w:val="20"/>
        </w:rPr>
        <w:t xml:space="preserve"> </w:t>
      </w:r>
      <w:r w:rsidRPr="00EF3497">
        <w:rPr>
          <w:szCs w:val="20"/>
        </w:rPr>
        <w:t>local</w:t>
      </w:r>
      <w:r>
        <w:rPr>
          <w:szCs w:val="20"/>
        </w:rPr>
        <w:t xml:space="preserve"> </w:t>
      </w:r>
      <w:r w:rsidRPr="00EF3497">
        <w:rPr>
          <w:szCs w:val="20"/>
        </w:rPr>
        <w:t>land</w:t>
      </w:r>
      <w:r>
        <w:rPr>
          <w:szCs w:val="20"/>
        </w:rPr>
        <w:t xml:space="preserve"> </w:t>
      </w:r>
      <w:r w:rsidRPr="00EF3497">
        <w:rPr>
          <w:szCs w:val="20"/>
        </w:rPr>
        <w:t>values</w:t>
      </w:r>
      <w:r>
        <w:rPr>
          <w:szCs w:val="20"/>
        </w:rPr>
        <w:t xml:space="preserve"> </w:t>
      </w:r>
      <w:r w:rsidRPr="00EF3497">
        <w:rPr>
          <w:szCs w:val="20"/>
        </w:rPr>
        <w:t>should</w:t>
      </w:r>
      <w:r>
        <w:rPr>
          <w:szCs w:val="20"/>
        </w:rPr>
        <w:t xml:space="preserve"> </w:t>
      </w:r>
      <w:r w:rsidRPr="00EF3497">
        <w:rPr>
          <w:szCs w:val="20"/>
        </w:rPr>
        <w:t>decline.</w:t>
      </w:r>
    </w:p>
    <w:p w:rsidR="007649DB" w:rsidRPr="00EF3497" w:rsidRDefault="007649DB" w:rsidP="007649DB">
      <w:pPr>
        <w:pStyle w:val="QS10"/>
        <w:rPr>
          <w:szCs w:val="20"/>
        </w:rPr>
      </w:pPr>
      <w:r w:rsidRPr="00EF3497">
        <w:rPr>
          <w:szCs w:val="20"/>
        </w:rPr>
        <w:t>For</w:t>
      </w:r>
      <w:r>
        <w:rPr>
          <w:szCs w:val="20"/>
        </w:rPr>
        <w:t xml:space="preserve"> </w:t>
      </w:r>
      <w:r w:rsidRPr="00EF3497">
        <w:rPr>
          <w:szCs w:val="20"/>
        </w:rPr>
        <w:t>example,</w:t>
      </w:r>
      <w:r>
        <w:rPr>
          <w:szCs w:val="20"/>
        </w:rPr>
        <w:t xml:space="preserve"> </w:t>
      </w:r>
      <w:r w:rsidRPr="00EF3497">
        <w:rPr>
          <w:szCs w:val="20"/>
        </w:rPr>
        <w:t>assume</w:t>
      </w:r>
      <w:r>
        <w:rPr>
          <w:szCs w:val="20"/>
        </w:rPr>
        <w:t xml:space="preserve"> </w:t>
      </w:r>
      <w:r w:rsidRPr="00EF3497">
        <w:rPr>
          <w:szCs w:val="20"/>
        </w:rPr>
        <w:t>that</w:t>
      </w:r>
      <w:r>
        <w:rPr>
          <w:szCs w:val="20"/>
        </w:rPr>
        <w:t xml:space="preserve"> </w:t>
      </w:r>
      <w:r w:rsidRPr="00EF3497">
        <w:rPr>
          <w:szCs w:val="20"/>
        </w:rPr>
        <w:t>a</w:t>
      </w:r>
      <w:r>
        <w:rPr>
          <w:szCs w:val="20"/>
        </w:rPr>
        <w:t xml:space="preserve"> </w:t>
      </w:r>
      <w:r w:rsidRPr="00EF3497">
        <w:rPr>
          <w:szCs w:val="20"/>
        </w:rPr>
        <w:t>taxpayer</w:t>
      </w:r>
      <w:r>
        <w:rPr>
          <w:szCs w:val="20"/>
        </w:rPr>
        <w:t xml:space="preserve"> </w:t>
      </w:r>
      <w:r w:rsidRPr="00EF3497">
        <w:rPr>
          <w:szCs w:val="20"/>
        </w:rPr>
        <w:t>donates</w:t>
      </w:r>
      <w:r>
        <w:rPr>
          <w:szCs w:val="20"/>
        </w:rPr>
        <w:t xml:space="preserve"> </w:t>
      </w:r>
      <w:r w:rsidRPr="00EF3497">
        <w:rPr>
          <w:szCs w:val="20"/>
        </w:rPr>
        <w:t>an</w:t>
      </w:r>
      <w:r>
        <w:rPr>
          <w:szCs w:val="20"/>
        </w:rPr>
        <w:t xml:space="preserve"> </w:t>
      </w:r>
      <w:r w:rsidRPr="00EF3497">
        <w:rPr>
          <w:szCs w:val="20"/>
        </w:rPr>
        <w:t>easement</w:t>
      </w:r>
      <w:r>
        <w:rPr>
          <w:szCs w:val="20"/>
        </w:rPr>
        <w:t xml:space="preserve"> </w:t>
      </w:r>
      <w:r w:rsidRPr="00EF3497">
        <w:rPr>
          <w:szCs w:val="20"/>
        </w:rPr>
        <w:t>valued</w:t>
      </w:r>
      <w:r>
        <w:rPr>
          <w:szCs w:val="20"/>
        </w:rPr>
        <w:t xml:space="preserve"> </w:t>
      </w:r>
      <w:r w:rsidRPr="00EF3497">
        <w:rPr>
          <w:szCs w:val="20"/>
        </w:rPr>
        <w:t>at</w:t>
      </w:r>
      <w:r>
        <w:rPr>
          <w:szCs w:val="20"/>
        </w:rPr>
        <w:t xml:space="preserve"> </w:t>
      </w:r>
      <w:r w:rsidRPr="00EF3497">
        <w:rPr>
          <w:szCs w:val="20"/>
        </w:rPr>
        <w:t>$1</w:t>
      </w:r>
      <w:r>
        <w:rPr>
          <w:szCs w:val="20"/>
        </w:rPr>
        <w:t xml:space="preserve"> </w:t>
      </w:r>
      <w:r w:rsidRPr="00EF3497">
        <w:rPr>
          <w:szCs w:val="20"/>
        </w:rPr>
        <w:t>million</w:t>
      </w:r>
      <w:r>
        <w:rPr>
          <w:szCs w:val="20"/>
        </w:rPr>
        <w:t xml:space="preserve"> </w:t>
      </w:r>
      <w:r w:rsidRPr="00EF3497">
        <w:rPr>
          <w:szCs w:val="20"/>
        </w:rPr>
        <w:t>on</w:t>
      </w:r>
      <w:r>
        <w:rPr>
          <w:szCs w:val="20"/>
        </w:rPr>
        <w:t xml:space="preserve"> </w:t>
      </w:r>
      <w:r w:rsidRPr="00EF3497">
        <w:rPr>
          <w:szCs w:val="20"/>
        </w:rPr>
        <w:t>property</w:t>
      </w:r>
      <w:r>
        <w:rPr>
          <w:szCs w:val="20"/>
        </w:rPr>
        <w:t xml:space="preserve"> </w:t>
      </w:r>
      <w:r w:rsidRPr="00EF3497">
        <w:rPr>
          <w:szCs w:val="20"/>
        </w:rPr>
        <w:t>valued</w:t>
      </w:r>
      <w:r>
        <w:rPr>
          <w:szCs w:val="20"/>
        </w:rPr>
        <w:t xml:space="preserve"> </w:t>
      </w:r>
      <w:r w:rsidRPr="00EF3497">
        <w:rPr>
          <w:szCs w:val="20"/>
        </w:rPr>
        <w:t>at</w:t>
      </w:r>
      <w:r>
        <w:rPr>
          <w:szCs w:val="20"/>
        </w:rPr>
        <w:t xml:space="preserve"> </w:t>
      </w:r>
      <w:r w:rsidRPr="00EF3497">
        <w:rPr>
          <w:szCs w:val="20"/>
        </w:rPr>
        <w:t>$2</w:t>
      </w:r>
      <w:r>
        <w:rPr>
          <w:szCs w:val="20"/>
        </w:rPr>
        <w:t xml:space="preserve"> </w:t>
      </w:r>
      <w:r w:rsidRPr="00EF3497">
        <w:rPr>
          <w:szCs w:val="20"/>
        </w:rPr>
        <w:t>million</w:t>
      </w:r>
      <w:r>
        <w:rPr>
          <w:szCs w:val="20"/>
        </w:rPr>
        <w:t xml:space="preserve"> </w:t>
      </w:r>
      <w:r w:rsidRPr="00EF3497">
        <w:rPr>
          <w:szCs w:val="20"/>
        </w:rPr>
        <w:t>without</w:t>
      </w:r>
      <w:r>
        <w:rPr>
          <w:szCs w:val="20"/>
        </w:rPr>
        <w:t xml:space="preserve"> </w:t>
      </w:r>
      <w:r w:rsidRPr="00EF3497">
        <w:rPr>
          <w:szCs w:val="20"/>
        </w:rPr>
        <w:t>the</w:t>
      </w:r>
      <w:r>
        <w:rPr>
          <w:szCs w:val="20"/>
        </w:rPr>
        <w:t xml:space="preserve"> </w:t>
      </w:r>
      <w:r w:rsidRPr="00EF3497">
        <w:rPr>
          <w:szCs w:val="20"/>
        </w:rPr>
        <w:t>easement.</w:t>
      </w:r>
      <w:r>
        <w:rPr>
          <w:szCs w:val="20"/>
        </w:rPr>
        <w:t xml:space="preserve"> </w:t>
      </w:r>
      <w:r w:rsidRPr="00EF3497">
        <w:rPr>
          <w:szCs w:val="20"/>
        </w:rPr>
        <w:t>The</w:t>
      </w:r>
      <w:r>
        <w:rPr>
          <w:szCs w:val="20"/>
        </w:rPr>
        <w:t xml:space="preserve"> </w:t>
      </w:r>
      <w:r w:rsidRPr="00EF3497">
        <w:rPr>
          <w:szCs w:val="20"/>
        </w:rPr>
        <w:t>taxpayer</w:t>
      </w:r>
      <w:r>
        <w:rPr>
          <w:szCs w:val="20"/>
        </w:rPr>
        <w:t xml:space="preserve"> </w:t>
      </w:r>
      <w:r w:rsidRPr="00EF3497">
        <w:rPr>
          <w:szCs w:val="20"/>
        </w:rPr>
        <w:t>thereafter</w:t>
      </w:r>
      <w:r>
        <w:rPr>
          <w:szCs w:val="20"/>
        </w:rPr>
        <w:t xml:space="preserve"> </w:t>
      </w:r>
      <w:r w:rsidRPr="00EF3497">
        <w:rPr>
          <w:szCs w:val="20"/>
        </w:rPr>
        <w:t>spends</w:t>
      </w:r>
      <w:r>
        <w:rPr>
          <w:szCs w:val="20"/>
        </w:rPr>
        <w:t xml:space="preserve"> </w:t>
      </w:r>
      <w:r w:rsidRPr="00EF3497">
        <w:rPr>
          <w:szCs w:val="20"/>
        </w:rPr>
        <w:t>$1</w:t>
      </w:r>
      <w:r>
        <w:rPr>
          <w:szCs w:val="20"/>
        </w:rPr>
        <w:t xml:space="preserve"> </w:t>
      </w:r>
      <w:r w:rsidRPr="00EF3497">
        <w:rPr>
          <w:szCs w:val="20"/>
        </w:rPr>
        <w:t>million</w:t>
      </w:r>
      <w:r>
        <w:rPr>
          <w:szCs w:val="20"/>
        </w:rPr>
        <w:t xml:space="preserve"> </w:t>
      </w:r>
      <w:r w:rsidRPr="00EF3497">
        <w:rPr>
          <w:szCs w:val="20"/>
        </w:rPr>
        <w:t>improving</w:t>
      </w:r>
      <w:r>
        <w:rPr>
          <w:szCs w:val="20"/>
        </w:rPr>
        <w:t xml:space="preserve"> </w:t>
      </w:r>
      <w:r w:rsidRPr="00EF3497">
        <w:rPr>
          <w:szCs w:val="20"/>
        </w:rPr>
        <w:t>the</w:t>
      </w:r>
      <w:r>
        <w:rPr>
          <w:szCs w:val="20"/>
        </w:rPr>
        <w:t xml:space="preserve"> </w:t>
      </w:r>
      <w:r w:rsidRPr="00EF3497">
        <w:rPr>
          <w:szCs w:val="20"/>
        </w:rPr>
        <w:t>property.</w:t>
      </w:r>
      <w:r>
        <w:rPr>
          <w:szCs w:val="20"/>
        </w:rPr>
        <w:t xml:space="preserve"> </w:t>
      </w:r>
      <w:r w:rsidRPr="00EF3497">
        <w:rPr>
          <w:szCs w:val="20"/>
        </w:rPr>
        <w:t>Many</w:t>
      </w:r>
      <w:r>
        <w:rPr>
          <w:szCs w:val="20"/>
        </w:rPr>
        <w:t xml:space="preserve"> </w:t>
      </w:r>
      <w:r w:rsidRPr="00EF3497">
        <w:rPr>
          <w:szCs w:val="20"/>
        </w:rPr>
        <w:t>years</w:t>
      </w:r>
      <w:r>
        <w:rPr>
          <w:szCs w:val="20"/>
        </w:rPr>
        <w:t xml:space="preserve"> </w:t>
      </w:r>
      <w:r w:rsidRPr="00EF3497">
        <w:rPr>
          <w:szCs w:val="20"/>
        </w:rPr>
        <w:t>later,</w:t>
      </w:r>
      <w:r>
        <w:rPr>
          <w:szCs w:val="20"/>
        </w:rPr>
        <w:t xml:space="preserve"> </w:t>
      </w:r>
      <w:r w:rsidRPr="00EF3497">
        <w:rPr>
          <w:szCs w:val="20"/>
        </w:rPr>
        <w:t>there</w:t>
      </w:r>
      <w:r>
        <w:rPr>
          <w:szCs w:val="20"/>
        </w:rPr>
        <w:t xml:space="preserve"> </w:t>
      </w:r>
      <w:r w:rsidRPr="00EF3497">
        <w:rPr>
          <w:szCs w:val="20"/>
        </w:rPr>
        <w:t>is</w:t>
      </w:r>
      <w:r>
        <w:rPr>
          <w:szCs w:val="20"/>
        </w:rPr>
        <w:t xml:space="preserve"> </w:t>
      </w:r>
      <w:r w:rsidRPr="00EF3497">
        <w:rPr>
          <w:szCs w:val="20"/>
        </w:rPr>
        <w:t>an</w:t>
      </w:r>
      <w:r>
        <w:rPr>
          <w:szCs w:val="20"/>
        </w:rPr>
        <w:t xml:space="preserve"> </w:t>
      </w:r>
      <w:r w:rsidRPr="00EF3497">
        <w:rPr>
          <w:szCs w:val="20"/>
        </w:rPr>
        <w:t>economic</w:t>
      </w:r>
      <w:r>
        <w:rPr>
          <w:szCs w:val="20"/>
        </w:rPr>
        <w:t xml:space="preserve"> </w:t>
      </w:r>
      <w:r w:rsidRPr="00EF3497">
        <w:rPr>
          <w:szCs w:val="20"/>
        </w:rPr>
        <w:t>downturn,</w:t>
      </w:r>
      <w:r>
        <w:rPr>
          <w:szCs w:val="20"/>
        </w:rPr>
        <w:t xml:space="preserve"> </w:t>
      </w:r>
      <w:r w:rsidRPr="00EF3497">
        <w:rPr>
          <w:szCs w:val="20"/>
        </w:rPr>
        <w:t>the</w:t>
      </w:r>
      <w:r>
        <w:rPr>
          <w:szCs w:val="20"/>
        </w:rPr>
        <w:t xml:space="preserve"> </w:t>
      </w:r>
      <w:r w:rsidRPr="00EF3497">
        <w:rPr>
          <w:szCs w:val="20"/>
        </w:rPr>
        <w:t>easement</w:t>
      </w:r>
      <w:r>
        <w:rPr>
          <w:szCs w:val="20"/>
        </w:rPr>
        <w:t xml:space="preserve"> </w:t>
      </w:r>
      <w:r w:rsidRPr="00EF3497">
        <w:rPr>
          <w:szCs w:val="20"/>
        </w:rPr>
        <w:t>is</w:t>
      </w:r>
      <w:r>
        <w:rPr>
          <w:szCs w:val="20"/>
        </w:rPr>
        <w:t xml:space="preserve"> </w:t>
      </w:r>
      <w:r w:rsidRPr="00EF3497">
        <w:rPr>
          <w:szCs w:val="20"/>
        </w:rPr>
        <w:t>extinguished,</w:t>
      </w:r>
      <w:r>
        <w:rPr>
          <w:szCs w:val="20"/>
        </w:rPr>
        <w:t xml:space="preserve"> </w:t>
      </w:r>
      <w:r w:rsidRPr="00EF3497">
        <w:rPr>
          <w:szCs w:val="20"/>
        </w:rPr>
        <w:t>and</w:t>
      </w:r>
      <w:r>
        <w:rPr>
          <w:szCs w:val="20"/>
        </w:rPr>
        <w:t xml:space="preserve"> </w:t>
      </w:r>
      <w:r w:rsidRPr="00EF3497">
        <w:rPr>
          <w:szCs w:val="20"/>
        </w:rPr>
        <w:t>the</w:t>
      </w:r>
      <w:r>
        <w:rPr>
          <w:szCs w:val="20"/>
        </w:rPr>
        <w:t xml:space="preserve"> </w:t>
      </w:r>
      <w:r w:rsidRPr="00EF3497">
        <w:rPr>
          <w:szCs w:val="20"/>
        </w:rPr>
        <w:t>property</w:t>
      </w:r>
      <w:r>
        <w:rPr>
          <w:szCs w:val="20"/>
        </w:rPr>
        <w:t xml:space="preserve"> </w:t>
      </w:r>
      <w:r w:rsidRPr="00EF3497">
        <w:rPr>
          <w:szCs w:val="20"/>
        </w:rPr>
        <w:t>is</w:t>
      </w:r>
      <w:r>
        <w:rPr>
          <w:szCs w:val="20"/>
        </w:rPr>
        <w:t xml:space="preserve"> </w:t>
      </w:r>
      <w:r w:rsidRPr="00EF3497">
        <w:rPr>
          <w:szCs w:val="20"/>
        </w:rPr>
        <w:t>sold</w:t>
      </w:r>
      <w:r>
        <w:rPr>
          <w:szCs w:val="20"/>
        </w:rPr>
        <w:t xml:space="preserve"> </w:t>
      </w:r>
      <w:r w:rsidRPr="00EF3497">
        <w:rPr>
          <w:szCs w:val="20"/>
        </w:rPr>
        <w:t>for</w:t>
      </w:r>
      <w:r>
        <w:rPr>
          <w:szCs w:val="20"/>
        </w:rPr>
        <w:t xml:space="preserve"> </w:t>
      </w:r>
      <w:r w:rsidRPr="00EF3497">
        <w:rPr>
          <w:szCs w:val="20"/>
        </w:rPr>
        <w:t>$2</w:t>
      </w:r>
      <w:r>
        <w:rPr>
          <w:szCs w:val="20"/>
        </w:rPr>
        <w:t xml:space="preserve"> </w:t>
      </w:r>
      <w:r w:rsidRPr="00EF3497">
        <w:rPr>
          <w:szCs w:val="20"/>
        </w:rPr>
        <w:t>million.</w:t>
      </w:r>
      <w:r>
        <w:rPr>
          <w:szCs w:val="20"/>
        </w:rPr>
        <w:t xml:space="preserve"> </w:t>
      </w:r>
      <w:r w:rsidRPr="00EF3497">
        <w:rPr>
          <w:szCs w:val="20"/>
        </w:rPr>
        <w:t>Under</w:t>
      </w:r>
      <w:r>
        <w:rPr>
          <w:szCs w:val="20"/>
        </w:rPr>
        <w:t xml:space="preserve"> </w:t>
      </w:r>
      <w:r w:rsidRPr="00EF3497">
        <w:rPr>
          <w:szCs w:val="20"/>
        </w:rPr>
        <w:t>the</w:t>
      </w:r>
      <w:r>
        <w:rPr>
          <w:szCs w:val="20"/>
        </w:rPr>
        <w:t xml:space="preserve"> </w:t>
      </w:r>
      <w:r w:rsidRPr="00EF3497">
        <w:rPr>
          <w:szCs w:val="20"/>
        </w:rPr>
        <w:t>regulation</w:t>
      </w:r>
      <w:r>
        <w:rPr>
          <w:szCs w:val="20"/>
        </w:rPr>
        <w:t xml:space="preserve"> </w:t>
      </w:r>
      <w:r w:rsidRPr="00EF3497">
        <w:rPr>
          <w:szCs w:val="20"/>
        </w:rPr>
        <w:t>the</w:t>
      </w:r>
      <w:r>
        <w:rPr>
          <w:szCs w:val="20"/>
        </w:rPr>
        <w:t xml:space="preserve"> </w:t>
      </w:r>
      <w:r w:rsidRPr="00EF3497">
        <w:rPr>
          <w:szCs w:val="20"/>
        </w:rPr>
        <w:t>donee</w:t>
      </w:r>
      <w:r>
        <w:rPr>
          <w:szCs w:val="20"/>
        </w:rPr>
        <w:t xml:space="preserve"> </w:t>
      </w:r>
      <w:r w:rsidRPr="00EF3497">
        <w:rPr>
          <w:szCs w:val="20"/>
        </w:rPr>
        <w:t>would</w:t>
      </w:r>
      <w:r>
        <w:rPr>
          <w:szCs w:val="20"/>
        </w:rPr>
        <w:t xml:space="preserve"> </w:t>
      </w:r>
      <w:r w:rsidRPr="00EF3497">
        <w:rPr>
          <w:szCs w:val="20"/>
        </w:rPr>
        <w:t>be</w:t>
      </w:r>
      <w:r>
        <w:rPr>
          <w:szCs w:val="20"/>
        </w:rPr>
        <w:t xml:space="preserve"> </w:t>
      </w:r>
      <w:r w:rsidRPr="00EF3497">
        <w:rPr>
          <w:szCs w:val="20"/>
        </w:rPr>
        <w:t>entitled</w:t>
      </w:r>
      <w:r>
        <w:rPr>
          <w:szCs w:val="20"/>
        </w:rPr>
        <w:t xml:space="preserve"> </w:t>
      </w:r>
      <w:r w:rsidRPr="00EF3497">
        <w:rPr>
          <w:szCs w:val="20"/>
        </w:rPr>
        <w:t>to</w:t>
      </w:r>
      <w:r>
        <w:rPr>
          <w:szCs w:val="20"/>
        </w:rPr>
        <w:t xml:space="preserve"> </w:t>
      </w:r>
      <w:r w:rsidRPr="00EF3497">
        <w:rPr>
          <w:szCs w:val="20"/>
        </w:rPr>
        <w:t>$1</w:t>
      </w:r>
      <w:r>
        <w:rPr>
          <w:szCs w:val="20"/>
        </w:rPr>
        <w:t xml:space="preserve"> </w:t>
      </w:r>
      <w:r w:rsidRPr="00EF3497">
        <w:rPr>
          <w:szCs w:val="20"/>
        </w:rPr>
        <w:t>million</w:t>
      </w:r>
      <w:r>
        <w:rPr>
          <w:szCs w:val="20"/>
        </w:rPr>
        <w:t xml:space="preserve"> </w:t>
      </w:r>
      <w:r w:rsidRPr="00EF3497">
        <w:rPr>
          <w:szCs w:val="20"/>
        </w:rPr>
        <w:t>(half</w:t>
      </w:r>
      <w:r>
        <w:rPr>
          <w:szCs w:val="20"/>
        </w:rPr>
        <w:t xml:space="preserve"> </w:t>
      </w:r>
      <w:r w:rsidRPr="00EF3497">
        <w:rPr>
          <w:szCs w:val="20"/>
        </w:rPr>
        <w:t>of</w:t>
      </w:r>
      <w:r>
        <w:rPr>
          <w:szCs w:val="20"/>
        </w:rPr>
        <w:t xml:space="preserve"> </w:t>
      </w:r>
      <w:r w:rsidRPr="00EF3497">
        <w:rPr>
          <w:szCs w:val="20"/>
        </w:rPr>
        <w:t>the</w:t>
      </w:r>
      <w:r>
        <w:rPr>
          <w:szCs w:val="20"/>
        </w:rPr>
        <w:t xml:space="preserve"> </w:t>
      </w:r>
      <w:r w:rsidRPr="00EF3497">
        <w:rPr>
          <w:szCs w:val="20"/>
        </w:rPr>
        <w:t>proceeds)</w:t>
      </w:r>
      <w:r>
        <w:rPr>
          <w:szCs w:val="20"/>
        </w:rPr>
        <w:t xml:space="preserve"> </w:t>
      </w:r>
      <w:r w:rsidRPr="00EF3497">
        <w:rPr>
          <w:szCs w:val="20"/>
        </w:rPr>
        <w:t>and</w:t>
      </w:r>
      <w:r>
        <w:rPr>
          <w:szCs w:val="20"/>
        </w:rPr>
        <w:t xml:space="preserve"> </w:t>
      </w:r>
      <w:r w:rsidRPr="00EF3497">
        <w:rPr>
          <w:szCs w:val="20"/>
        </w:rPr>
        <w:t>the</w:t>
      </w:r>
      <w:r>
        <w:rPr>
          <w:szCs w:val="20"/>
        </w:rPr>
        <w:t xml:space="preserve"> </w:t>
      </w:r>
      <w:r w:rsidRPr="00EF3497">
        <w:rPr>
          <w:szCs w:val="20"/>
        </w:rPr>
        <w:t>conservation</w:t>
      </w:r>
      <w:r>
        <w:rPr>
          <w:szCs w:val="20"/>
        </w:rPr>
        <w:t xml:space="preserve"> </w:t>
      </w:r>
      <w:r w:rsidRPr="00EF3497">
        <w:rPr>
          <w:szCs w:val="20"/>
        </w:rPr>
        <w:t>purpose</w:t>
      </w:r>
      <w:r>
        <w:rPr>
          <w:szCs w:val="20"/>
        </w:rPr>
        <w:t xml:space="preserve"> </w:t>
      </w:r>
      <w:r w:rsidRPr="00EF3497">
        <w:rPr>
          <w:szCs w:val="20"/>
        </w:rPr>
        <w:t>would</w:t>
      </w:r>
      <w:r>
        <w:rPr>
          <w:szCs w:val="20"/>
        </w:rPr>
        <w:t xml:space="preserve"> </w:t>
      </w:r>
      <w:r w:rsidRPr="00EF3497">
        <w:rPr>
          <w:szCs w:val="20"/>
        </w:rPr>
        <w:t>be</w:t>
      </w:r>
      <w:r>
        <w:rPr>
          <w:szCs w:val="20"/>
        </w:rPr>
        <w:t xml:space="preserve"> </w:t>
      </w:r>
      <w:r w:rsidRPr="00EF3497">
        <w:rPr>
          <w:szCs w:val="20"/>
        </w:rPr>
        <w:t>deemed</w:t>
      </w:r>
      <w:r>
        <w:rPr>
          <w:szCs w:val="20"/>
        </w:rPr>
        <w:t xml:space="preserve"> </w:t>
      </w:r>
      <w:r w:rsidRPr="00EF3497">
        <w:rPr>
          <w:szCs w:val="20"/>
        </w:rPr>
        <w:t>“protected</w:t>
      </w:r>
      <w:r>
        <w:rPr>
          <w:szCs w:val="20"/>
        </w:rPr>
        <w:t xml:space="preserve"> </w:t>
      </w:r>
      <w:r w:rsidRPr="00EF3497">
        <w:rPr>
          <w:szCs w:val="20"/>
        </w:rPr>
        <w:t>in</w:t>
      </w:r>
      <w:r>
        <w:rPr>
          <w:szCs w:val="20"/>
        </w:rPr>
        <w:t xml:space="preserve"> </w:t>
      </w:r>
      <w:r w:rsidRPr="00EF3497">
        <w:rPr>
          <w:szCs w:val="20"/>
        </w:rPr>
        <w:t>perpetuity.”</w:t>
      </w:r>
      <w:r>
        <w:rPr>
          <w:szCs w:val="20"/>
        </w:rPr>
        <w:t xml:space="preserve"> </w:t>
      </w:r>
      <w:r w:rsidRPr="00EF3497">
        <w:rPr>
          <w:szCs w:val="20"/>
        </w:rPr>
        <w:t>Sec.</w:t>
      </w:r>
      <w:r>
        <w:rPr>
          <w:szCs w:val="20"/>
        </w:rPr>
        <w:t xml:space="preserve"> </w:t>
      </w:r>
      <w:r w:rsidRPr="00EF3497">
        <w:rPr>
          <w:szCs w:val="20"/>
        </w:rPr>
        <w:t>170(h)(5)(A).</w:t>
      </w:r>
      <w:r>
        <w:rPr>
          <w:szCs w:val="20"/>
        </w:rPr>
        <w:t xml:space="preserve"> </w:t>
      </w:r>
      <w:r w:rsidRPr="00EF3497">
        <w:rPr>
          <w:szCs w:val="20"/>
        </w:rPr>
        <w:t>But</w:t>
      </w:r>
      <w:r>
        <w:rPr>
          <w:szCs w:val="20"/>
        </w:rPr>
        <w:t xml:space="preserve"> </w:t>
      </w:r>
      <w:r w:rsidRPr="00EF3497">
        <w:rPr>
          <w:szCs w:val="20"/>
        </w:rPr>
        <w:t>if</w:t>
      </w:r>
      <w:r>
        <w:rPr>
          <w:szCs w:val="20"/>
        </w:rPr>
        <w:t xml:space="preserve"> </w:t>
      </w:r>
      <w:r w:rsidRPr="00EF3497">
        <w:rPr>
          <w:szCs w:val="20"/>
        </w:rPr>
        <w:t>improvements</w:t>
      </w:r>
      <w:r>
        <w:rPr>
          <w:szCs w:val="20"/>
        </w:rPr>
        <w:t xml:space="preserve"> </w:t>
      </w:r>
      <w:r w:rsidRPr="00EF3497">
        <w:rPr>
          <w:szCs w:val="20"/>
        </w:rPr>
        <w:t>were</w:t>
      </w:r>
      <w:r>
        <w:rPr>
          <w:szCs w:val="20"/>
        </w:rPr>
        <w:t xml:space="preserve"> </w:t>
      </w:r>
      <w:r w:rsidRPr="00EF3497">
        <w:rPr>
          <w:szCs w:val="20"/>
        </w:rPr>
        <w:t>carved</w:t>
      </w:r>
      <w:r>
        <w:rPr>
          <w:szCs w:val="20"/>
        </w:rPr>
        <w:t xml:space="preserve"> </w:t>
      </w:r>
      <w:r w:rsidRPr="00EF3497">
        <w:rPr>
          <w:szCs w:val="20"/>
        </w:rPr>
        <w:t>out,</w:t>
      </w:r>
      <w:r>
        <w:rPr>
          <w:szCs w:val="20"/>
        </w:rPr>
        <w:t xml:space="preserve"> </w:t>
      </w:r>
      <w:r w:rsidRPr="00EF3497">
        <w:rPr>
          <w:szCs w:val="20"/>
        </w:rPr>
        <w:t>the</w:t>
      </w:r>
      <w:r>
        <w:rPr>
          <w:szCs w:val="20"/>
        </w:rPr>
        <w:t xml:space="preserve"> </w:t>
      </w:r>
      <w:r w:rsidRPr="00EF3497">
        <w:rPr>
          <w:szCs w:val="20"/>
        </w:rPr>
        <w:t>donee’s</w:t>
      </w:r>
      <w:r>
        <w:rPr>
          <w:szCs w:val="20"/>
        </w:rPr>
        <w:t xml:space="preserve"> </w:t>
      </w:r>
      <w:r w:rsidRPr="00EF3497">
        <w:rPr>
          <w:szCs w:val="20"/>
        </w:rPr>
        <w:t>share</w:t>
      </w:r>
      <w:r>
        <w:rPr>
          <w:szCs w:val="20"/>
        </w:rPr>
        <w:t xml:space="preserve"> </w:t>
      </w:r>
      <w:r w:rsidRPr="00EF3497">
        <w:rPr>
          <w:szCs w:val="20"/>
        </w:rPr>
        <w:t>would</w:t>
      </w:r>
      <w:r>
        <w:rPr>
          <w:szCs w:val="20"/>
        </w:rPr>
        <w:t xml:space="preserve"> </w:t>
      </w:r>
      <w:r w:rsidRPr="00EF3497">
        <w:rPr>
          <w:szCs w:val="20"/>
        </w:rPr>
        <w:t>be</w:t>
      </w:r>
      <w:r>
        <w:rPr>
          <w:szCs w:val="20"/>
        </w:rPr>
        <w:t xml:space="preserve"> </w:t>
      </w:r>
      <w:r w:rsidRPr="00EF3497">
        <w:rPr>
          <w:szCs w:val="20"/>
        </w:rPr>
        <w:t>reduced</w:t>
      </w:r>
      <w:r>
        <w:rPr>
          <w:szCs w:val="20"/>
        </w:rPr>
        <w:t xml:space="preserve"> </w:t>
      </w:r>
      <w:r w:rsidRPr="00EF3497">
        <w:rPr>
          <w:szCs w:val="20"/>
        </w:rPr>
        <w:t>to</w:t>
      </w:r>
      <w:r>
        <w:rPr>
          <w:szCs w:val="20"/>
        </w:rPr>
        <w:t xml:space="preserve"> </w:t>
      </w:r>
      <w:r w:rsidRPr="00EF3497">
        <w:rPr>
          <w:szCs w:val="20"/>
        </w:rPr>
        <w:t>$500,000</w:t>
      </w:r>
      <w:r>
        <w:rPr>
          <w:szCs w:val="20"/>
        </w:rPr>
        <w:t xml:space="preserve"> </w:t>
      </w:r>
      <w:r w:rsidRPr="00EF3497">
        <w:rPr>
          <w:szCs w:val="20"/>
        </w:rPr>
        <w:t>or</w:t>
      </w:r>
      <w:r>
        <w:rPr>
          <w:szCs w:val="20"/>
        </w:rPr>
        <w:t xml:space="preserve"> </w:t>
      </w:r>
      <w:r w:rsidRPr="00EF3497">
        <w:rPr>
          <w:szCs w:val="20"/>
        </w:rPr>
        <w:t>zero,</w:t>
      </w:r>
      <w:r>
        <w:rPr>
          <w:szCs w:val="20"/>
        </w:rPr>
        <w:t xml:space="preserve"> </w:t>
      </w:r>
      <w:r w:rsidRPr="00EF3497">
        <w:rPr>
          <w:szCs w:val="20"/>
        </w:rPr>
        <w:t>depending</w:t>
      </w:r>
      <w:r>
        <w:rPr>
          <w:szCs w:val="20"/>
        </w:rPr>
        <w:t xml:space="preserve"> </w:t>
      </w:r>
      <w:r w:rsidRPr="00EF3497">
        <w:rPr>
          <w:szCs w:val="20"/>
        </w:rPr>
        <w:t>on</w:t>
      </w:r>
      <w:r>
        <w:rPr>
          <w:szCs w:val="20"/>
        </w:rPr>
        <w:t xml:space="preserve"> </w:t>
      </w:r>
      <w:r w:rsidRPr="00EF3497">
        <w:rPr>
          <w:szCs w:val="20"/>
        </w:rPr>
        <w:t>whether</w:t>
      </w:r>
      <w:r>
        <w:rPr>
          <w:szCs w:val="20"/>
        </w:rPr>
        <w:t xml:space="preserve"> </w:t>
      </w:r>
      <w:r w:rsidRPr="00EF3497">
        <w:rPr>
          <w:szCs w:val="20"/>
        </w:rPr>
        <w:t>the</w:t>
      </w:r>
      <w:r>
        <w:rPr>
          <w:szCs w:val="20"/>
        </w:rPr>
        <w:t xml:space="preserve"> </w:t>
      </w:r>
      <w:r w:rsidRPr="00EF3497">
        <w:rPr>
          <w:szCs w:val="20"/>
        </w:rPr>
        <w:t>carve-out</w:t>
      </w:r>
      <w:r>
        <w:rPr>
          <w:szCs w:val="20"/>
        </w:rPr>
        <w:t xml:space="preserve"> </w:t>
      </w:r>
      <w:r w:rsidRPr="00EF3497">
        <w:rPr>
          <w:szCs w:val="20"/>
        </w:rPr>
        <w:t>was</w:t>
      </w:r>
      <w:r>
        <w:rPr>
          <w:szCs w:val="20"/>
        </w:rPr>
        <w:t xml:space="preserve"> </w:t>
      </w:r>
      <w:r w:rsidRPr="00EF3497">
        <w:rPr>
          <w:szCs w:val="20"/>
        </w:rPr>
        <w:t>applied</w:t>
      </w:r>
      <w:r>
        <w:rPr>
          <w:szCs w:val="20"/>
        </w:rPr>
        <w:t xml:space="preserve"> </w:t>
      </w:r>
      <w:r w:rsidRPr="00EF3497">
        <w:rPr>
          <w:szCs w:val="20"/>
        </w:rPr>
        <w:t>to</w:t>
      </w:r>
      <w:r>
        <w:rPr>
          <w:szCs w:val="20"/>
        </w:rPr>
        <w:t xml:space="preserve"> </w:t>
      </w:r>
      <w:r w:rsidRPr="00EF3497">
        <w:rPr>
          <w:szCs w:val="20"/>
        </w:rPr>
        <w:t>the</w:t>
      </w:r>
      <w:r>
        <w:rPr>
          <w:szCs w:val="20"/>
        </w:rPr>
        <w:t xml:space="preserve"> </w:t>
      </w:r>
      <w:r w:rsidRPr="00EF3497">
        <w:rPr>
          <w:szCs w:val="20"/>
        </w:rPr>
        <w:t>entire</w:t>
      </w:r>
      <w:r>
        <w:rPr>
          <w:szCs w:val="20"/>
        </w:rPr>
        <w:t xml:space="preserve"> </w:t>
      </w:r>
      <w:r w:rsidRPr="00EF3497">
        <w:rPr>
          <w:szCs w:val="20"/>
        </w:rPr>
        <w:t>proceeds</w:t>
      </w:r>
      <w:r>
        <w:rPr>
          <w:szCs w:val="20"/>
        </w:rPr>
        <w:t xml:space="preserve"> </w:t>
      </w:r>
      <w:r w:rsidRPr="00EF3497">
        <w:rPr>
          <w:szCs w:val="20"/>
        </w:rPr>
        <w:t>or</w:t>
      </w:r>
      <w:r>
        <w:rPr>
          <w:szCs w:val="20"/>
        </w:rPr>
        <w:t xml:space="preserve"> </w:t>
      </w:r>
      <w:r w:rsidRPr="00EF3497">
        <w:rPr>
          <w:szCs w:val="20"/>
        </w:rPr>
        <w:t>to</w:t>
      </w:r>
      <w:r>
        <w:rPr>
          <w:szCs w:val="20"/>
        </w:rPr>
        <w:t xml:space="preserve"> </w:t>
      </w:r>
      <w:r w:rsidRPr="00EF3497">
        <w:rPr>
          <w:szCs w:val="20"/>
        </w:rPr>
        <w:t>the</w:t>
      </w:r>
      <w:r>
        <w:rPr>
          <w:szCs w:val="20"/>
        </w:rPr>
        <w:t xml:space="preserve"> </w:t>
      </w:r>
      <w:r w:rsidRPr="00EF3497">
        <w:rPr>
          <w:szCs w:val="20"/>
        </w:rPr>
        <w:t>donee’s</w:t>
      </w:r>
      <w:r>
        <w:rPr>
          <w:szCs w:val="20"/>
        </w:rPr>
        <w:t xml:space="preserve"> </w:t>
      </w:r>
      <w:r w:rsidRPr="00EF3497">
        <w:rPr>
          <w:szCs w:val="20"/>
        </w:rPr>
        <w:t>50%</w:t>
      </w:r>
      <w:r>
        <w:rPr>
          <w:szCs w:val="20"/>
        </w:rPr>
        <w:t xml:space="preserve"> </w:t>
      </w:r>
      <w:r w:rsidRPr="00EF3497">
        <w:rPr>
          <w:szCs w:val="20"/>
        </w:rPr>
        <w:t>share.</w:t>
      </w:r>
    </w:p>
    <w:p w:rsidR="007649DB" w:rsidRPr="00EF3497" w:rsidRDefault="007649DB" w:rsidP="007649DB">
      <w:pPr>
        <w:pStyle w:val="QS10"/>
        <w:rPr>
          <w:szCs w:val="20"/>
        </w:rPr>
      </w:pPr>
      <w:r w:rsidRPr="00EF3497">
        <w:rPr>
          <w:szCs w:val="20"/>
        </w:rPr>
        <w:t>NYLC,</w:t>
      </w:r>
      <w:r>
        <w:rPr>
          <w:szCs w:val="20"/>
        </w:rPr>
        <w:t xml:space="preserve"> </w:t>
      </w:r>
      <w:r w:rsidRPr="00EF3497">
        <w:rPr>
          <w:szCs w:val="20"/>
        </w:rPr>
        <w:t>the</w:t>
      </w:r>
      <w:r>
        <w:rPr>
          <w:szCs w:val="20"/>
        </w:rPr>
        <w:t xml:space="preserve"> </w:t>
      </w:r>
      <w:r w:rsidRPr="00EF3497">
        <w:rPr>
          <w:szCs w:val="20"/>
        </w:rPr>
        <w:t>only</w:t>
      </w:r>
      <w:r>
        <w:rPr>
          <w:szCs w:val="20"/>
        </w:rPr>
        <w:t xml:space="preserve"> </w:t>
      </w:r>
      <w:r w:rsidRPr="00EF3497">
        <w:rPr>
          <w:szCs w:val="20"/>
        </w:rPr>
        <w:t>commenter</w:t>
      </w:r>
      <w:r>
        <w:rPr>
          <w:szCs w:val="20"/>
        </w:rPr>
        <w:t xml:space="preserve"> </w:t>
      </w:r>
      <w:r w:rsidRPr="00EF3497">
        <w:rPr>
          <w:szCs w:val="20"/>
        </w:rPr>
        <w:t>to</w:t>
      </w:r>
      <w:r>
        <w:rPr>
          <w:szCs w:val="20"/>
        </w:rPr>
        <w:t xml:space="preserve"> </w:t>
      </w:r>
      <w:r w:rsidRPr="00EF3497">
        <w:rPr>
          <w:szCs w:val="20"/>
        </w:rPr>
        <w:t>mention</w:t>
      </w:r>
      <w:r>
        <w:rPr>
          <w:szCs w:val="20"/>
        </w:rPr>
        <w:t xml:space="preserve"> </w:t>
      </w:r>
      <w:r w:rsidRPr="00EF3497">
        <w:rPr>
          <w:szCs w:val="20"/>
        </w:rPr>
        <w:t>donor</w:t>
      </w:r>
      <w:r>
        <w:rPr>
          <w:szCs w:val="20"/>
        </w:rPr>
        <w:t xml:space="preserve"> </w:t>
      </w:r>
      <w:r w:rsidRPr="00EF3497">
        <w:rPr>
          <w:szCs w:val="20"/>
        </w:rPr>
        <w:t>improvements,</w:t>
      </w:r>
      <w:r>
        <w:rPr>
          <w:szCs w:val="20"/>
        </w:rPr>
        <w:t xml:space="preserve"> </w:t>
      </w:r>
      <w:r w:rsidRPr="00EF3497">
        <w:rPr>
          <w:szCs w:val="20"/>
        </w:rPr>
        <w:t>notably</w:t>
      </w:r>
      <w:r>
        <w:rPr>
          <w:szCs w:val="20"/>
        </w:rPr>
        <w:t xml:space="preserve"> </w:t>
      </w:r>
      <w:r w:rsidRPr="00EF3497">
        <w:rPr>
          <w:szCs w:val="20"/>
        </w:rPr>
        <w:t>did</w:t>
      </w:r>
      <w:r>
        <w:rPr>
          <w:szCs w:val="20"/>
        </w:rPr>
        <w:t xml:space="preserve"> </w:t>
      </w:r>
      <w:r w:rsidRPr="00EF3497">
        <w:rPr>
          <w:szCs w:val="20"/>
        </w:rPr>
        <w:t>not</w:t>
      </w:r>
      <w:r>
        <w:rPr>
          <w:szCs w:val="20"/>
        </w:rPr>
        <w:t xml:space="preserve"> </w:t>
      </w:r>
      <w:r w:rsidRPr="00EF3497">
        <w:rPr>
          <w:szCs w:val="20"/>
        </w:rPr>
        <w:t>suggest</w:t>
      </w:r>
      <w:r>
        <w:rPr>
          <w:szCs w:val="20"/>
        </w:rPr>
        <w:t xml:space="preserve"> </w:t>
      </w:r>
      <w:r w:rsidRPr="00EF3497">
        <w:rPr>
          <w:szCs w:val="20"/>
        </w:rPr>
        <w:t>any</w:t>
      </w:r>
      <w:r>
        <w:rPr>
          <w:szCs w:val="20"/>
        </w:rPr>
        <w:t xml:space="preserve"> </w:t>
      </w:r>
      <w:r w:rsidRPr="00EF3497">
        <w:rPr>
          <w:szCs w:val="20"/>
        </w:rPr>
        <w:t>text</w:t>
      </w:r>
      <w:r>
        <w:rPr>
          <w:szCs w:val="20"/>
        </w:rPr>
        <w:t xml:space="preserve"> </w:t>
      </w:r>
      <w:r w:rsidRPr="00EF3497">
        <w:rPr>
          <w:szCs w:val="20"/>
        </w:rPr>
        <w:t>to</w:t>
      </w:r>
      <w:r>
        <w:rPr>
          <w:szCs w:val="20"/>
        </w:rPr>
        <w:t xml:space="preserve"> </w:t>
      </w:r>
      <w:r w:rsidRPr="00EF3497">
        <w:rPr>
          <w:szCs w:val="20"/>
        </w:rPr>
        <w:t>address</w:t>
      </w:r>
      <w:r>
        <w:rPr>
          <w:szCs w:val="20"/>
        </w:rPr>
        <w:t xml:space="preserve"> </w:t>
      </w:r>
      <w:r w:rsidRPr="00EF3497">
        <w:rPr>
          <w:szCs w:val="20"/>
        </w:rPr>
        <w:t>this</w:t>
      </w:r>
      <w:r>
        <w:rPr>
          <w:szCs w:val="20"/>
        </w:rPr>
        <w:t xml:space="preserve"> </w:t>
      </w:r>
      <w:r w:rsidRPr="00EF3497">
        <w:rPr>
          <w:szCs w:val="20"/>
        </w:rPr>
        <w:t>problem.</w:t>
      </w:r>
      <w:r>
        <w:rPr>
          <w:szCs w:val="20"/>
        </w:rPr>
        <w:t xml:space="preserve"> </w:t>
      </w:r>
      <w:r w:rsidRPr="00EF3497">
        <w:rPr>
          <w:szCs w:val="20"/>
        </w:rPr>
        <w:t>And</w:t>
      </w:r>
      <w:r>
        <w:rPr>
          <w:szCs w:val="20"/>
        </w:rPr>
        <w:t xml:space="preserve"> </w:t>
      </w:r>
      <w:r w:rsidRPr="00EF3497">
        <w:rPr>
          <w:szCs w:val="20"/>
        </w:rPr>
        <w:t>addressing</w:t>
      </w:r>
      <w:r>
        <w:rPr>
          <w:szCs w:val="20"/>
        </w:rPr>
        <w:t xml:space="preserve"> </w:t>
      </w:r>
      <w:r w:rsidRPr="00EF3497">
        <w:rPr>
          <w:szCs w:val="20"/>
        </w:rPr>
        <w:t>it</w:t>
      </w:r>
      <w:r>
        <w:rPr>
          <w:szCs w:val="20"/>
        </w:rPr>
        <w:t xml:space="preserve"> </w:t>
      </w:r>
      <w:r w:rsidRPr="00EF3497">
        <w:rPr>
          <w:szCs w:val="20"/>
        </w:rPr>
        <w:t>would</w:t>
      </w:r>
      <w:r>
        <w:rPr>
          <w:szCs w:val="20"/>
        </w:rPr>
        <w:t xml:space="preserve"> </w:t>
      </w:r>
      <w:r w:rsidRPr="00EF3497">
        <w:rPr>
          <w:szCs w:val="20"/>
        </w:rPr>
        <w:t>have</w:t>
      </w:r>
      <w:r>
        <w:rPr>
          <w:szCs w:val="20"/>
        </w:rPr>
        <w:t xml:space="preserve"> </w:t>
      </w:r>
      <w:r w:rsidRPr="00EF3497">
        <w:rPr>
          <w:szCs w:val="20"/>
        </w:rPr>
        <w:t>raised</w:t>
      </w:r>
      <w:r>
        <w:rPr>
          <w:szCs w:val="20"/>
        </w:rPr>
        <w:t xml:space="preserve"> </w:t>
      </w:r>
      <w:r w:rsidRPr="00EF3497">
        <w:rPr>
          <w:szCs w:val="20"/>
        </w:rPr>
        <w:t>a</w:t>
      </w:r>
      <w:r>
        <w:rPr>
          <w:szCs w:val="20"/>
        </w:rPr>
        <w:t xml:space="preserve"> </w:t>
      </w:r>
      <w:r w:rsidRPr="00EF3497">
        <w:rPr>
          <w:szCs w:val="20"/>
        </w:rPr>
        <w:t>host</w:t>
      </w:r>
      <w:r>
        <w:rPr>
          <w:szCs w:val="20"/>
        </w:rPr>
        <w:t xml:space="preserve"> </w:t>
      </w:r>
      <w:r w:rsidRPr="00EF3497">
        <w:rPr>
          <w:szCs w:val="20"/>
        </w:rPr>
        <w:t>of</w:t>
      </w:r>
      <w:r>
        <w:rPr>
          <w:szCs w:val="20"/>
        </w:rPr>
        <w:t xml:space="preserve"> </w:t>
      </w:r>
      <w:r w:rsidRPr="00EF3497">
        <w:rPr>
          <w:szCs w:val="20"/>
        </w:rPr>
        <w:t>questions:</w:t>
      </w:r>
      <w:r>
        <w:rPr>
          <w:szCs w:val="20"/>
        </w:rPr>
        <w:t xml:space="preserve"> </w:t>
      </w:r>
      <w:r w:rsidRPr="00EF3497">
        <w:rPr>
          <w:szCs w:val="20"/>
        </w:rPr>
        <w:t>Would</w:t>
      </w:r>
      <w:r>
        <w:rPr>
          <w:szCs w:val="20"/>
        </w:rPr>
        <w:t xml:space="preserve"> </w:t>
      </w:r>
      <w:r w:rsidRPr="00EF3497">
        <w:rPr>
          <w:szCs w:val="20"/>
        </w:rPr>
        <w:t>the</w:t>
      </w:r>
      <w:r>
        <w:rPr>
          <w:szCs w:val="20"/>
        </w:rPr>
        <w:t xml:space="preserve"> </w:t>
      </w:r>
      <w:r w:rsidRPr="00EF3497">
        <w:rPr>
          <w:szCs w:val="20"/>
        </w:rPr>
        <w:t>donee’s</w:t>
      </w:r>
      <w:r>
        <w:rPr>
          <w:szCs w:val="20"/>
        </w:rPr>
        <w:t xml:space="preserve"> </w:t>
      </w:r>
      <w:r w:rsidRPr="00EF3497">
        <w:rPr>
          <w:szCs w:val="20"/>
        </w:rPr>
        <w:t>proceeds</w:t>
      </w:r>
      <w:r>
        <w:rPr>
          <w:szCs w:val="20"/>
        </w:rPr>
        <w:t xml:space="preserve"> </w:t>
      </w:r>
      <w:r w:rsidRPr="00EF3497">
        <w:rPr>
          <w:szCs w:val="20"/>
        </w:rPr>
        <w:t>be</w:t>
      </w:r>
      <w:r>
        <w:rPr>
          <w:szCs w:val="20"/>
        </w:rPr>
        <w:t xml:space="preserve"> </w:t>
      </w:r>
      <w:r w:rsidRPr="00EF3497">
        <w:rPr>
          <w:szCs w:val="20"/>
        </w:rPr>
        <w:t>reduced</w:t>
      </w:r>
      <w:r>
        <w:rPr>
          <w:szCs w:val="20"/>
        </w:rPr>
        <w:t xml:space="preserve"> </w:t>
      </w:r>
      <w:r w:rsidRPr="00EF3497">
        <w:rPr>
          <w:szCs w:val="20"/>
        </w:rPr>
        <w:t>by</w:t>
      </w:r>
      <w:r>
        <w:rPr>
          <w:szCs w:val="20"/>
        </w:rPr>
        <w:t xml:space="preserve"> </w:t>
      </w:r>
      <w:r w:rsidRPr="00EF3497">
        <w:rPr>
          <w:szCs w:val="20"/>
        </w:rPr>
        <w:t>improvements</w:t>
      </w:r>
      <w:r>
        <w:rPr>
          <w:szCs w:val="20"/>
        </w:rPr>
        <w:t xml:space="preserve"> </w:t>
      </w:r>
      <w:r w:rsidRPr="00EF3497">
        <w:rPr>
          <w:szCs w:val="20"/>
        </w:rPr>
        <w:t>the</w:t>
      </w:r>
      <w:r>
        <w:rPr>
          <w:szCs w:val="20"/>
        </w:rPr>
        <w:t xml:space="preserve"> </w:t>
      </w:r>
      <w:r w:rsidRPr="00EF3497">
        <w:rPr>
          <w:szCs w:val="20"/>
        </w:rPr>
        <w:t>donor</w:t>
      </w:r>
      <w:r>
        <w:rPr>
          <w:szCs w:val="20"/>
        </w:rPr>
        <w:t xml:space="preserve"> </w:t>
      </w:r>
      <w:r w:rsidRPr="00EF3497">
        <w:rPr>
          <w:szCs w:val="20"/>
        </w:rPr>
        <w:t>had</w:t>
      </w:r>
      <w:r>
        <w:rPr>
          <w:szCs w:val="20"/>
        </w:rPr>
        <w:t xml:space="preserve"> </w:t>
      </w:r>
      <w:r w:rsidRPr="00EF3497">
        <w:rPr>
          <w:szCs w:val="20"/>
        </w:rPr>
        <w:t>made</w:t>
      </w:r>
      <w:r>
        <w:rPr>
          <w:szCs w:val="20"/>
        </w:rPr>
        <w:t xml:space="preserve"> </w:t>
      </w:r>
      <w:r w:rsidRPr="00EF3497">
        <w:rPr>
          <w:szCs w:val="20"/>
        </w:rPr>
        <w:t>before</w:t>
      </w:r>
      <w:r>
        <w:rPr>
          <w:szCs w:val="20"/>
        </w:rPr>
        <w:t xml:space="preserve"> </w:t>
      </w:r>
      <w:r w:rsidRPr="00EF3497">
        <w:rPr>
          <w:szCs w:val="20"/>
        </w:rPr>
        <w:t>granting</w:t>
      </w:r>
      <w:r>
        <w:rPr>
          <w:szCs w:val="20"/>
        </w:rPr>
        <w:t xml:space="preserve"> </w:t>
      </w:r>
      <w:r w:rsidRPr="00EF3497">
        <w:rPr>
          <w:szCs w:val="20"/>
        </w:rPr>
        <w:t>the</w:t>
      </w:r>
      <w:r>
        <w:rPr>
          <w:szCs w:val="20"/>
        </w:rPr>
        <w:t xml:space="preserve"> </w:t>
      </w:r>
      <w:r w:rsidRPr="00EF3497">
        <w:rPr>
          <w:szCs w:val="20"/>
        </w:rPr>
        <w:t>easement,</w:t>
      </w:r>
      <w:r>
        <w:rPr>
          <w:szCs w:val="20"/>
        </w:rPr>
        <w:t xml:space="preserve"> </w:t>
      </w:r>
      <w:r w:rsidRPr="00EF3497">
        <w:rPr>
          <w:szCs w:val="20"/>
        </w:rPr>
        <w:t>after</w:t>
      </w:r>
      <w:r>
        <w:rPr>
          <w:szCs w:val="20"/>
        </w:rPr>
        <w:t xml:space="preserve"> </w:t>
      </w:r>
      <w:r w:rsidRPr="00EF3497">
        <w:rPr>
          <w:szCs w:val="20"/>
        </w:rPr>
        <w:t>granting</w:t>
      </w:r>
      <w:r>
        <w:rPr>
          <w:szCs w:val="20"/>
        </w:rPr>
        <w:t xml:space="preserve"> </w:t>
      </w:r>
      <w:r w:rsidRPr="00EF3497">
        <w:rPr>
          <w:szCs w:val="20"/>
        </w:rPr>
        <w:t>it,</w:t>
      </w:r>
      <w:r>
        <w:rPr>
          <w:szCs w:val="20"/>
        </w:rPr>
        <w:t xml:space="preserve"> </w:t>
      </w:r>
      <w:r w:rsidRPr="00EF3497">
        <w:rPr>
          <w:szCs w:val="20"/>
        </w:rPr>
        <w:t>or</w:t>
      </w:r>
      <w:r>
        <w:rPr>
          <w:szCs w:val="20"/>
        </w:rPr>
        <w:t xml:space="preserve"> </w:t>
      </w:r>
      <w:r w:rsidRPr="00EF3497">
        <w:rPr>
          <w:szCs w:val="20"/>
        </w:rPr>
        <w:t>both?</w:t>
      </w:r>
      <w:r>
        <w:rPr>
          <w:szCs w:val="20"/>
        </w:rPr>
        <w:t xml:space="preserve"> </w:t>
      </w:r>
      <w:r w:rsidRPr="00EF3497">
        <w:rPr>
          <w:szCs w:val="20"/>
        </w:rPr>
        <w:t>Would</w:t>
      </w:r>
      <w:r>
        <w:rPr>
          <w:szCs w:val="20"/>
        </w:rPr>
        <w:t xml:space="preserve"> </w:t>
      </w:r>
      <w:r w:rsidRPr="00EF3497">
        <w:rPr>
          <w:szCs w:val="20"/>
        </w:rPr>
        <w:t>the</w:t>
      </w:r>
      <w:r>
        <w:rPr>
          <w:szCs w:val="20"/>
        </w:rPr>
        <w:t xml:space="preserve"> </w:t>
      </w:r>
      <w:r w:rsidRPr="00EF3497">
        <w:rPr>
          <w:szCs w:val="20"/>
        </w:rPr>
        <w:t>donor</w:t>
      </w:r>
      <w:r>
        <w:rPr>
          <w:szCs w:val="20"/>
        </w:rPr>
        <w:t xml:space="preserve"> </w:t>
      </w:r>
      <w:r w:rsidRPr="00EF3497">
        <w:rPr>
          <w:szCs w:val="20"/>
        </w:rPr>
        <w:t>get</w:t>
      </w:r>
      <w:r>
        <w:rPr>
          <w:szCs w:val="20"/>
        </w:rPr>
        <w:t xml:space="preserve"> </w:t>
      </w:r>
      <w:r w:rsidRPr="00EF3497">
        <w:rPr>
          <w:szCs w:val="20"/>
        </w:rPr>
        <w:t>credit</w:t>
      </w:r>
      <w:r>
        <w:rPr>
          <w:szCs w:val="20"/>
        </w:rPr>
        <w:t xml:space="preserve"> </w:t>
      </w:r>
      <w:r w:rsidRPr="00EF3497">
        <w:rPr>
          <w:szCs w:val="20"/>
        </w:rPr>
        <w:t>for</w:t>
      </w:r>
      <w:r>
        <w:rPr>
          <w:szCs w:val="20"/>
        </w:rPr>
        <w:t xml:space="preserve"> </w:t>
      </w:r>
      <w:r w:rsidRPr="00EF3497">
        <w:rPr>
          <w:szCs w:val="20"/>
        </w:rPr>
        <w:t>improvements</w:t>
      </w:r>
      <w:r>
        <w:rPr>
          <w:szCs w:val="20"/>
        </w:rPr>
        <w:t xml:space="preserve"> </w:t>
      </w:r>
      <w:r w:rsidRPr="00EF3497">
        <w:rPr>
          <w:szCs w:val="20"/>
        </w:rPr>
        <w:t>to</w:t>
      </w:r>
      <w:r>
        <w:rPr>
          <w:szCs w:val="20"/>
        </w:rPr>
        <w:t xml:space="preserve"> </w:t>
      </w:r>
      <w:r w:rsidRPr="00EF3497">
        <w:rPr>
          <w:szCs w:val="20"/>
        </w:rPr>
        <w:t>the</w:t>
      </w:r>
      <w:r>
        <w:rPr>
          <w:szCs w:val="20"/>
        </w:rPr>
        <w:t xml:space="preserve"> </w:t>
      </w:r>
      <w:r w:rsidRPr="00EF3497">
        <w:rPr>
          <w:szCs w:val="20"/>
        </w:rPr>
        <w:t>land</w:t>
      </w:r>
      <w:r>
        <w:rPr>
          <w:szCs w:val="20"/>
        </w:rPr>
        <w:t xml:space="preserve"> </w:t>
      </w:r>
      <w:r w:rsidRPr="00EF3497">
        <w:rPr>
          <w:szCs w:val="20"/>
        </w:rPr>
        <w:t>itself</w:t>
      </w:r>
      <w:r>
        <w:rPr>
          <w:szCs w:val="20"/>
        </w:rPr>
        <w:t xml:space="preserve"> </w:t>
      </w:r>
      <w:r w:rsidRPr="00EF3497">
        <w:rPr>
          <w:szCs w:val="20"/>
        </w:rPr>
        <w:t>(such</w:t>
      </w:r>
      <w:r>
        <w:rPr>
          <w:szCs w:val="20"/>
        </w:rPr>
        <w:t xml:space="preserve"> </w:t>
      </w:r>
      <w:r w:rsidRPr="00EF3497">
        <w:rPr>
          <w:szCs w:val="20"/>
        </w:rPr>
        <w:t>as</w:t>
      </w:r>
      <w:r>
        <w:rPr>
          <w:szCs w:val="20"/>
        </w:rPr>
        <w:t xml:space="preserve"> </w:t>
      </w:r>
      <w:r w:rsidRPr="00EF3497">
        <w:rPr>
          <w:szCs w:val="20"/>
        </w:rPr>
        <w:t>grading)</w:t>
      </w:r>
      <w:r>
        <w:rPr>
          <w:szCs w:val="20"/>
        </w:rPr>
        <w:t xml:space="preserve"> </w:t>
      </w:r>
      <w:r w:rsidRPr="00EF3497">
        <w:rPr>
          <w:szCs w:val="20"/>
        </w:rPr>
        <w:t>or</w:t>
      </w:r>
      <w:r>
        <w:rPr>
          <w:szCs w:val="20"/>
        </w:rPr>
        <w:t xml:space="preserve"> </w:t>
      </w:r>
      <w:r w:rsidRPr="00EF3497">
        <w:rPr>
          <w:szCs w:val="20"/>
        </w:rPr>
        <w:t>only</w:t>
      </w:r>
      <w:r>
        <w:rPr>
          <w:szCs w:val="20"/>
        </w:rPr>
        <w:t xml:space="preserve"> </w:t>
      </w:r>
      <w:r w:rsidRPr="00EF3497">
        <w:rPr>
          <w:szCs w:val="20"/>
        </w:rPr>
        <w:t>for</w:t>
      </w:r>
      <w:r>
        <w:rPr>
          <w:szCs w:val="20"/>
        </w:rPr>
        <w:t xml:space="preserve"> </w:t>
      </w:r>
      <w:r w:rsidRPr="00EF3497">
        <w:rPr>
          <w:szCs w:val="20"/>
        </w:rPr>
        <w:t>erecting</w:t>
      </w:r>
      <w:r>
        <w:rPr>
          <w:szCs w:val="20"/>
        </w:rPr>
        <w:t xml:space="preserve"> </w:t>
      </w:r>
      <w:r w:rsidRPr="00EF3497">
        <w:rPr>
          <w:szCs w:val="20"/>
        </w:rPr>
        <w:t>structures?</w:t>
      </w:r>
      <w:r>
        <w:rPr>
          <w:szCs w:val="20"/>
        </w:rPr>
        <w:t xml:space="preserve"> </w:t>
      </w:r>
      <w:r w:rsidRPr="00EF3497">
        <w:rPr>
          <w:szCs w:val="20"/>
        </w:rPr>
        <w:t>Would</w:t>
      </w:r>
      <w:r>
        <w:rPr>
          <w:szCs w:val="20"/>
        </w:rPr>
        <w:t xml:space="preserve"> </w:t>
      </w:r>
      <w:r w:rsidRPr="00EF3497">
        <w:rPr>
          <w:szCs w:val="20"/>
        </w:rPr>
        <w:t>the</w:t>
      </w:r>
      <w:r>
        <w:rPr>
          <w:szCs w:val="20"/>
        </w:rPr>
        <w:t xml:space="preserve"> </w:t>
      </w:r>
      <w:r w:rsidRPr="00EF3497">
        <w:rPr>
          <w:szCs w:val="20"/>
        </w:rPr>
        <w:t>donee’s</w:t>
      </w:r>
      <w:r>
        <w:rPr>
          <w:szCs w:val="20"/>
        </w:rPr>
        <w:t xml:space="preserve"> </w:t>
      </w:r>
      <w:r w:rsidRPr="00EF3497">
        <w:rPr>
          <w:szCs w:val="20"/>
        </w:rPr>
        <w:t>proceeds</w:t>
      </w:r>
      <w:r>
        <w:rPr>
          <w:szCs w:val="20"/>
        </w:rPr>
        <w:t xml:space="preserve"> </w:t>
      </w:r>
      <w:r w:rsidRPr="00EF3497">
        <w:rPr>
          <w:szCs w:val="20"/>
        </w:rPr>
        <w:t>be</w:t>
      </w:r>
      <w:r>
        <w:rPr>
          <w:szCs w:val="20"/>
        </w:rPr>
        <w:t xml:space="preserve"> </w:t>
      </w:r>
      <w:r w:rsidRPr="00EF3497">
        <w:rPr>
          <w:szCs w:val="20"/>
        </w:rPr>
        <w:t>reduced</w:t>
      </w:r>
      <w:r>
        <w:rPr>
          <w:szCs w:val="20"/>
        </w:rPr>
        <w:t xml:space="preserve"> </w:t>
      </w:r>
      <w:r w:rsidRPr="00EF3497">
        <w:rPr>
          <w:szCs w:val="20"/>
        </w:rPr>
        <w:t>by</w:t>
      </w:r>
      <w:r>
        <w:rPr>
          <w:szCs w:val="20"/>
        </w:rPr>
        <w:t xml:space="preserve"> </w:t>
      </w:r>
      <w:r w:rsidRPr="00EF3497">
        <w:rPr>
          <w:szCs w:val="20"/>
        </w:rPr>
        <w:t>the</w:t>
      </w:r>
      <w:r>
        <w:rPr>
          <w:szCs w:val="20"/>
        </w:rPr>
        <w:t xml:space="preserve"> </w:t>
      </w:r>
      <w:r w:rsidRPr="00EF3497">
        <w:rPr>
          <w:szCs w:val="20"/>
        </w:rPr>
        <w:t>donor’s</w:t>
      </w:r>
      <w:r>
        <w:rPr>
          <w:szCs w:val="20"/>
        </w:rPr>
        <w:t xml:space="preserve"> </w:t>
      </w:r>
      <w:r w:rsidRPr="00EF3497">
        <w:rPr>
          <w:szCs w:val="20"/>
        </w:rPr>
        <w:t>cost</w:t>
      </w:r>
      <w:r>
        <w:rPr>
          <w:szCs w:val="20"/>
        </w:rPr>
        <w:t xml:space="preserve"> </w:t>
      </w:r>
      <w:r w:rsidRPr="00EF3497">
        <w:rPr>
          <w:szCs w:val="20"/>
        </w:rPr>
        <w:t>for</w:t>
      </w:r>
      <w:r>
        <w:rPr>
          <w:szCs w:val="20"/>
        </w:rPr>
        <w:t xml:space="preserve"> </w:t>
      </w:r>
      <w:r w:rsidRPr="00EF3497">
        <w:rPr>
          <w:szCs w:val="20"/>
        </w:rPr>
        <w:t>the</w:t>
      </w:r>
      <w:r>
        <w:rPr>
          <w:szCs w:val="20"/>
        </w:rPr>
        <w:t xml:space="preserve"> </w:t>
      </w:r>
      <w:r w:rsidRPr="00EF3497">
        <w:rPr>
          <w:szCs w:val="20"/>
        </w:rPr>
        <w:t>improvements</w:t>
      </w:r>
      <w:r>
        <w:rPr>
          <w:szCs w:val="20"/>
        </w:rPr>
        <w:t xml:space="preserve"> </w:t>
      </w:r>
      <w:r w:rsidRPr="00EF3497">
        <w:rPr>
          <w:szCs w:val="20"/>
        </w:rPr>
        <w:t>or</w:t>
      </w:r>
      <w:r>
        <w:rPr>
          <w:szCs w:val="20"/>
        </w:rPr>
        <w:t xml:space="preserve"> </w:t>
      </w:r>
      <w:r w:rsidRPr="00EF3497">
        <w:rPr>
          <w:szCs w:val="20"/>
        </w:rPr>
        <w:t>by</w:t>
      </w:r>
      <w:r>
        <w:rPr>
          <w:szCs w:val="20"/>
        </w:rPr>
        <w:t xml:space="preserve"> </w:t>
      </w:r>
      <w:r w:rsidRPr="00EF3497">
        <w:rPr>
          <w:szCs w:val="20"/>
        </w:rPr>
        <w:t>their</w:t>
      </w:r>
      <w:r>
        <w:rPr>
          <w:szCs w:val="20"/>
        </w:rPr>
        <w:t xml:space="preserve"> </w:t>
      </w:r>
      <w:r w:rsidRPr="00EF3497">
        <w:rPr>
          <w:szCs w:val="20"/>
        </w:rPr>
        <w:t>FMV</w:t>
      </w:r>
      <w:r>
        <w:rPr>
          <w:szCs w:val="20"/>
        </w:rPr>
        <w:t xml:space="preserve"> </w:t>
      </w:r>
      <w:r w:rsidRPr="00EF3497">
        <w:rPr>
          <w:szCs w:val="20"/>
        </w:rPr>
        <w:t>at</w:t>
      </w:r>
      <w:r>
        <w:rPr>
          <w:szCs w:val="20"/>
        </w:rPr>
        <w:t xml:space="preserve"> </w:t>
      </w:r>
      <w:r w:rsidRPr="00EF3497">
        <w:rPr>
          <w:szCs w:val="20"/>
        </w:rPr>
        <w:t>the</w:t>
      </w:r>
      <w:r>
        <w:rPr>
          <w:szCs w:val="20"/>
        </w:rPr>
        <w:t xml:space="preserve"> </w:t>
      </w:r>
      <w:r w:rsidRPr="00EF3497">
        <w:rPr>
          <w:szCs w:val="20"/>
        </w:rPr>
        <w:t>time</w:t>
      </w:r>
      <w:r>
        <w:rPr>
          <w:szCs w:val="20"/>
        </w:rPr>
        <w:t xml:space="preserve"> </w:t>
      </w:r>
      <w:r w:rsidRPr="00EF3497">
        <w:rPr>
          <w:szCs w:val="20"/>
        </w:rPr>
        <w:t>the</w:t>
      </w:r>
      <w:r>
        <w:rPr>
          <w:szCs w:val="20"/>
        </w:rPr>
        <w:t xml:space="preserve"> </w:t>
      </w:r>
      <w:r w:rsidRPr="00EF3497">
        <w:rPr>
          <w:szCs w:val="20"/>
        </w:rPr>
        <w:t>easement</w:t>
      </w:r>
      <w:r>
        <w:rPr>
          <w:szCs w:val="20"/>
        </w:rPr>
        <w:t xml:space="preserve"> </w:t>
      </w:r>
      <w:r w:rsidRPr="00EF3497">
        <w:rPr>
          <w:szCs w:val="20"/>
        </w:rPr>
        <w:t>was</w:t>
      </w:r>
      <w:r>
        <w:rPr>
          <w:szCs w:val="20"/>
        </w:rPr>
        <w:t xml:space="preserve"> </w:t>
      </w:r>
      <w:r w:rsidRPr="00EF3497">
        <w:rPr>
          <w:szCs w:val="20"/>
        </w:rPr>
        <w:t>extinguished?</w:t>
      </w:r>
      <w:r>
        <w:rPr>
          <w:szCs w:val="20"/>
        </w:rPr>
        <w:t xml:space="preserve"> </w:t>
      </w:r>
      <w:r w:rsidRPr="00EF3497">
        <w:rPr>
          <w:szCs w:val="20"/>
        </w:rPr>
        <w:t>And</w:t>
      </w:r>
      <w:r>
        <w:rPr>
          <w:szCs w:val="20"/>
        </w:rPr>
        <w:t xml:space="preserve"> </w:t>
      </w:r>
      <w:r w:rsidRPr="00EF3497">
        <w:rPr>
          <w:szCs w:val="20"/>
        </w:rPr>
        <w:t>how</w:t>
      </w:r>
      <w:r>
        <w:rPr>
          <w:szCs w:val="20"/>
        </w:rPr>
        <w:t xml:space="preserve"> </w:t>
      </w:r>
      <w:r w:rsidRPr="00EF3497">
        <w:rPr>
          <w:szCs w:val="20"/>
        </w:rPr>
        <w:t>would</w:t>
      </w:r>
      <w:r>
        <w:rPr>
          <w:szCs w:val="20"/>
        </w:rPr>
        <w:t xml:space="preserve"> </w:t>
      </w:r>
      <w:r w:rsidRPr="00EF3497">
        <w:rPr>
          <w:szCs w:val="20"/>
        </w:rPr>
        <w:t>the</w:t>
      </w:r>
      <w:r>
        <w:rPr>
          <w:szCs w:val="20"/>
        </w:rPr>
        <w:t xml:space="preserve"> </w:t>
      </w:r>
      <w:r w:rsidRPr="00EF3497">
        <w:rPr>
          <w:szCs w:val="20"/>
        </w:rPr>
        <w:t>problem</w:t>
      </w:r>
      <w:r>
        <w:rPr>
          <w:szCs w:val="20"/>
        </w:rPr>
        <w:t xml:space="preserve"> </w:t>
      </w:r>
      <w:r w:rsidRPr="00EF3497">
        <w:rPr>
          <w:szCs w:val="20"/>
        </w:rPr>
        <w:t>mentioned</w:t>
      </w:r>
      <w:r>
        <w:rPr>
          <w:szCs w:val="20"/>
        </w:rPr>
        <w:t xml:space="preserve"> </w:t>
      </w:r>
      <w:r w:rsidRPr="00EF3497">
        <w:rPr>
          <w:szCs w:val="20"/>
        </w:rPr>
        <w:t>in</w:t>
      </w:r>
      <w:r>
        <w:rPr>
          <w:szCs w:val="20"/>
        </w:rPr>
        <w:t xml:space="preserve"> </w:t>
      </w:r>
      <w:r w:rsidRPr="00EF3497">
        <w:rPr>
          <w:szCs w:val="20"/>
        </w:rPr>
        <w:t>the</w:t>
      </w:r>
      <w:r>
        <w:rPr>
          <w:szCs w:val="20"/>
        </w:rPr>
        <w:t xml:space="preserve"> </w:t>
      </w:r>
      <w:r w:rsidRPr="00EF3497">
        <w:rPr>
          <w:szCs w:val="20"/>
        </w:rPr>
        <w:t>previous</w:t>
      </w:r>
      <w:r>
        <w:rPr>
          <w:szCs w:val="20"/>
        </w:rPr>
        <w:t xml:space="preserve"> </w:t>
      </w:r>
      <w:r w:rsidRPr="00EF3497">
        <w:rPr>
          <w:szCs w:val="20"/>
        </w:rPr>
        <w:t>paragraph</w:t>
      </w:r>
      <w:r>
        <w:rPr>
          <w:szCs w:val="20"/>
        </w:rPr>
        <w:t xml:space="preserve"> </w:t>
      </w:r>
      <w:r w:rsidRPr="00EF3497">
        <w:rPr>
          <w:szCs w:val="20"/>
        </w:rPr>
        <w:t>be</w:t>
      </w:r>
      <w:r>
        <w:rPr>
          <w:szCs w:val="20"/>
        </w:rPr>
        <w:t xml:space="preserve"> </w:t>
      </w:r>
      <w:r w:rsidRPr="00EF3497">
        <w:rPr>
          <w:szCs w:val="20"/>
        </w:rPr>
        <w:t>solved,</w:t>
      </w:r>
      <w:r>
        <w:rPr>
          <w:szCs w:val="20"/>
        </w:rPr>
        <w:t xml:space="preserve"> </w:t>
      </w:r>
      <w:r w:rsidRPr="00EF3497">
        <w:rPr>
          <w:szCs w:val="20"/>
        </w:rPr>
        <w:t>to</w:t>
      </w:r>
      <w:r>
        <w:rPr>
          <w:szCs w:val="20"/>
        </w:rPr>
        <w:t xml:space="preserve"> </w:t>
      </w:r>
      <w:r w:rsidRPr="00EF3497">
        <w:rPr>
          <w:szCs w:val="20"/>
        </w:rPr>
        <w:t>prevent</w:t>
      </w:r>
      <w:r>
        <w:rPr>
          <w:szCs w:val="20"/>
        </w:rPr>
        <w:t xml:space="preserve"> </w:t>
      </w:r>
      <w:r w:rsidRPr="00EF3497">
        <w:rPr>
          <w:szCs w:val="20"/>
        </w:rPr>
        <w:t>the</w:t>
      </w:r>
      <w:r>
        <w:rPr>
          <w:szCs w:val="20"/>
        </w:rPr>
        <w:t xml:space="preserve"> </w:t>
      </w:r>
      <w:r w:rsidRPr="00EF3497">
        <w:rPr>
          <w:szCs w:val="20"/>
        </w:rPr>
        <w:t>donee’s</w:t>
      </w:r>
      <w:r>
        <w:rPr>
          <w:szCs w:val="20"/>
        </w:rPr>
        <w:t xml:space="preserve"> </w:t>
      </w:r>
      <w:r w:rsidRPr="00EF3497">
        <w:rPr>
          <w:szCs w:val="20"/>
        </w:rPr>
        <w:t>share</w:t>
      </w:r>
      <w:r>
        <w:rPr>
          <w:szCs w:val="20"/>
        </w:rPr>
        <w:t xml:space="preserve"> </w:t>
      </w:r>
      <w:r w:rsidRPr="00EF3497">
        <w:rPr>
          <w:szCs w:val="20"/>
        </w:rPr>
        <w:t>from</w:t>
      </w:r>
      <w:r>
        <w:rPr>
          <w:szCs w:val="20"/>
        </w:rPr>
        <w:t xml:space="preserve"> </w:t>
      </w:r>
      <w:r w:rsidRPr="00EF3497">
        <w:rPr>
          <w:szCs w:val="20"/>
        </w:rPr>
        <w:t>being</w:t>
      </w:r>
      <w:r>
        <w:rPr>
          <w:szCs w:val="20"/>
        </w:rPr>
        <w:t xml:space="preserve"> </w:t>
      </w:r>
      <w:r w:rsidRPr="00EF3497">
        <w:rPr>
          <w:szCs w:val="20"/>
        </w:rPr>
        <w:t>severely</w:t>
      </w:r>
      <w:r>
        <w:rPr>
          <w:szCs w:val="20"/>
        </w:rPr>
        <w:t xml:space="preserve"> </w:t>
      </w:r>
      <w:r w:rsidRPr="00EF3497">
        <w:rPr>
          <w:szCs w:val="20"/>
        </w:rPr>
        <w:t>reduced</w:t>
      </w:r>
      <w:r>
        <w:rPr>
          <w:szCs w:val="20"/>
        </w:rPr>
        <w:t xml:space="preserve"> </w:t>
      </w:r>
      <w:r w:rsidRPr="00EF3497">
        <w:rPr>
          <w:szCs w:val="20"/>
        </w:rPr>
        <w:t>or</w:t>
      </w:r>
      <w:r>
        <w:rPr>
          <w:szCs w:val="20"/>
        </w:rPr>
        <w:t xml:space="preserve"> </w:t>
      </w:r>
      <w:r w:rsidRPr="00EF3497">
        <w:rPr>
          <w:szCs w:val="20"/>
        </w:rPr>
        <w:t>even</w:t>
      </w:r>
      <w:r>
        <w:rPr>
          <w:szCs w:val="20"/>
        </w:rPr>
        <w:t xml:space="preserve"> </w:t>
      </w:r>
      <w:r w:rsidRPr="00EF3497">
        <w:rPr>
          <w:szCs w:val="20"/>
        </w:rPr>
        <w:t>eliminated?</w:t>
      </w:r>
      <w:r>
        <w:rPr>
          <w:szCs w:val="20"/>
        </w:rPr>
        <w:t xml:space="preserve"> </w:t>
      </w:r>
      <w:r w:rsidRPr="00EF3497">
        <w:rPr>
          <w:szCs w:val="20"/>
        </w:rPr>
        <w:t>It</w:t>
      </w:r>
      <w:r>
        <w:rPr>
          <w:szCs w:val="20"/>
        </w:rPr>
        <w:t xml:space="preserve"> </w:t>
      </w:r>
      <w:r w:rsidRPr="00EF3497">
        <w:rPr>
          <w:szCs w:val="20"/>
        </w:rPr>
        <w:t>is</w:t>
      </w:r>
      <w:r>
        <w:rPr>
          <w:szCs w:val="20"/>
        </w:rPr>
        <w:t xml:space="preserve"> </w:t>
      </w:r>
      <w:r w:rsidRPr="00EF3497">
        <w:rPr>
          <w:szCs w:val="20"/>
        </w:rPr>
        <w:t>conceivable</w:t>
      </w:r>
      <w:r>
        <w:rPr>
          <w:szCs w:val="20"/>
        </w:rPr>
        <w:t xml:space="preserve"> </w:t>
      </w:r>
      <w:r w:rsidRPr="00EF3497">
        <w:rPr>
          <w:szCs w:val="20"/>
        </w:rPr>
        <w:t>that</w:t>
      </w:r>
      <w:r>
        <w:rPr>
          <w:szCs w:val="20"/>
        </w:rPr>
        <w:t xml:space="preserve"> </w:t>
      </w:r>
      <w:r w:rsidRPr="00EF3497">
        <w:rPr>
          <w:szCs w:val="20"/>
        </w:rPr>
        <w:t>Treasury</w:t>
      </w:r>
      <w:r>
        <w:rPr>
          <w:szCs w:val="20"/>
        </w:rPr>
        <w:t xml:space="preserve"> </w:t>
      </w:r>
      <w:r w:rsidRPr="00EF3497">
        <w:rPr>
          <w:szCs w:val="20"/>
        </w:rPr>
        <w:t>could</w:t>
      </w:r>
      <w:r>
        <w:rPr>
          <w:szCs w:val="20"/>
        </w:rPr>
        <w:t xml:space="preserve"> </w:t>
      </w:r>
      <w:r w:rsidRPr="00EF3497">
        <w:rPr>
          <w:szCs w:val="20"/>
        </w:rPr>
        <w:t>have</w:t>
      </w:r>
      <w:r>
        <w:rPr>
          <w:szCs w:val="20"/>
        </w:rPr>
        <w:t xml:space="preserve"> </w:t>
      </w:r>
      <w:r w:rsidRPr="00EF3497">
        <w:rPr>
          <w:szCs w:val="20"/>
        </w:rPr>
        <w:t>drafted</w:t>
      </w:r>
      <w:r>
        <w:rPr>
          <w:szCs w:val="20"/>
        </w:rPr>
        <w:t xml:space="preserve"> </w:t>
      </w:r>
      <w:r w:rsidRPr="00EF3497">
        <w:rPr>
          <w:szCs w:val="20"/>
        </w:rPr>
        <w:t>a</w:t>
      </w:r>
      <w:r>
        <w:rPr>
          <w:szCs w:val="20"/>
        </w:rPr>
        <w:t xml:space="preserve"> </w:t>
      </w:r>
      <w:r w:rsidRPr="00EF3497">
        <w:rPr>
          <w:szCs w:val="20"/>
        </w:rPr>
        <w:t>regulation</w:t>
      </w:r>
      <w:r>
        <w:rPr>
          <w:szCs w:val="20"/>
        </w:rPr>
        <w:t xml:space="preserve"> </w:t>
      </w:r>
      <w:r w:rsidRPr="00EF3497">
        <w:rPr>
          <w:szCs w:val="20"/>
        </w:rPr>
        <w:t>that</w:t>
      </w:r>
      <w:r>
        <w:rPr>
          <w:szCs w:val="20"/>
        </w:rPr>
        <w:t xml:space="preserve"> </w:t>
      </w:r>
      <w:r w:rsidRPr="00EF3497">
        <w:rPr>
          <w:szCs w:val="20"/>
        </w:rPr>
        <w:t>addressed</w:t>
      </w:r>
      <w:r>
        <w:rPr>
          <w:szCs w:val="20"/>
        </w:rPr>
        <w:t xml:space="preserve"> </w:t>
      </w:r>
      <w:r w:rsidRPr="00EF3497">
        <w:rPr>
          <w:szCs w:val="20"/>
        </w:rPr>
        <w:t>the</w:t>
      </w:r>
      <w:r>
        <w:rPr>
          <w:szCs w:val="20"/>
        </w:rPr>
        <w:t xml:space="preserve"> </w:t>
      </w:r>
      <w:r w:rsidRPr="00EF3497">
        <w:rPr>
          <w:szCs w:val="20"/>
        </w:rPr>
        <w:t>possibility</w:t>
      </w:r>
      <w:r>
        <w:rPr>
          <w:szCs w:val="20"/>
        </w:rPr>
        <w:t xml:space="preserve"> </w:t>
      </w:r>
      <w:r w:rsidRPr="00EF3497">
        <w:rPr>
          <w:szCs w:val="20"/>
        </w:rPr>
        <w:t>of</w:t>
      </w:r>
      <w:r>
        <w:rPr>
          <w:szCs w:val="20"/>
        </w:rPr>
        <w:t xml:space="preserve"> </w:t>
      </w:r>
      <w:r w:rsidRPr="00EF3497">
        <w:rPr>
          <w:szCs w:val="20"/>
        </w:rPr>
        <w:t>donor</w:t>
      </w:r>
      <w:r>
        <w:rPr>
          <w:szCs w:val="20"/>
        </w:rPr>
        <w:t xml:space="preserve"> </w:t>
      </w:r>
      <w:r w:rsidRPr="00EF3497">
        <w:rPr>
          <w:szCs w:val="20"/>
        </w:rPr>
        <w:t>improvements,</w:t>
      </w:r>
      <w:r>
        <w:rPr>
          <w:szCs w:val="20"/>
        </w:rPr>
        <w:t xml:space="preserve"> </w:t>
      </w:r>
      <w:r w:rsidRPr="00EF3497">
        <w:rPr>
          <w:szCs w:val="20"/>
        </w:rPr>
        <w:t>dealing</w:t>
      </w:r>
      <w:r>
        <w:rPr>
          <w:szCs w:val="20"/>
        </w:rPr>
        <w:t xml:space="preserve"> </w:t>
      </w:r>
      <w:r w:rsidRPr="00EF3497">
        <w:rPr>
          <w:szCs w:val="20"/>
        </w:rPr>
        <w:t>with</w:t>
      </w:r>
      <w:r>
        <w:rPr>
          <w:szCs w:val="20"/>
        </w:rPr>
        <w:t xml:space="preserve"> </w:t>
      </w:r>
      <w:r w:rsidRPr="00EF3497">
        <w:rPr>
          <w:szCs w:val="20"/>
        </w:rPr>
        <w:t>these</w:t>
      </w:r>
      <w:r>
        <w:rPr>
          <w:szCs w:val="20"/>
        </w:rPr>
        <w:t xml:space="preserve"> </w:t>
      </w:r>
      <w:r w:rsidRPr="00EF3497">
        <w:rPr>
          <w:szCs w:val="20"/>
        </w:rPr>
        <w:t>ancillary</w:t>
      </w:r>
      <w:r>
        <w:rPr>
          <w:szCs w:val="20"/>
        </w:rPr>
        <w:t xml:space="preserve"> </w:t>
      </w:r>
      <w:r w:rsidRPr="00EF3497">
        <w:rPr>
          <w:szCs w:val="20"/>
        </w:rPr>
        <w:t>questions</w:t>
      </w:r>
      <w:r>
        <w:rPr>
          <w:szCs w:val="20"/>
        </w:rPr>
        <w:t xml:space="preserve"> </w:t>
      </w:r>
      <w:r w:rsidRPr="00EF3497">
        <w:rPr>
          <w:szCs w:val="20"/>
        </w:rPr>
        <w:t>in</w:t>
      </w:r>
      <w:r>
        <w:rPr>
          <w:szCs w:val="20"/>
        </w:rPr>
        <w:t xml:space="preserve"> </w:t>
      </w:r>
      <w:r w:rsidRPr="00EF3497">
        <w:rPr>
          <w:szCs w:val="20"/>
        </w:rPr>
        <w:t>some</w:t>
      </w:r>
      <w:r>
        <w:rPr>
          <w:szCs w:val="20"/>
        </w:rPr>
        <w:t xml:space="preserve"> </w:t>
      </w:r>
      <w:r w:rsidRPr="00EF3497">
        <w:rPr>
          <w:szCs w:val="20"/>
        </w:rPr>
        <w:t>rational</w:t>
      </w:r>
      <w:r>
        <w:rPr>
          <w:szCs w:val="20"/>
        </w:rPr>
        <w:t xml:space="preserve"> </w:t>
      </w:r>
      <w:r w:rsidRPr="00EF3497">
        <w:rPr>
          <w:szCs w:val="20"/>
        </w:rPr>
        <w:t>way.</w:t>
      </w:r>
      <w:r>
        <w:rPr>
          <w:szCs w:val="20"/>
        </w:rPr>
        <w:t xml:space="preserve"> </w:t>
      </w:r>
      <w:r w:rsidRPr="00EF3497">
        <w:rPr>
          <w:szCs w:val="20"/>
        </w:rPr>
        <w:t>But</w:t>
      </w:r>
      <w:r>
        <w:rPr>
          <w:szCs w:val="20"/>
        </w:rPr>
        <w:t xml:space="preserve"> </w:t>
      </w:r>
      <w:r w:rsidRPr="00EF3497">
        <w:rPr>
          <w:szCs w:val="20"/>
        </w:rPr>
        <w:t>that</w:t>
      </w:r>
      <w:r>
        <w:rPr>
          <w:szCs w:val="20"/>
        </w:rPr>
        <w:t xml:space="preserve"> </w:t>
      </w:r>
      <w:r w:rsidRPr="00EF3497">
        <w:rPr>
          <w:szCs w:val="20"/>
        </w:rPr>
        <w:t>was</w:t>
      </w:r>
      <w:r>
        <w:rPr>
          <w:szCs w:val="20"/>
        </w:rPr>
        <w:t xml:space="preserve"> </w:t>
      </w:r>
      <w:r w:rsidRPr="00EF3497">
        <w:rPr>
          <w:szCs w:val="20"/>
        </w:rPr>
        <w:t>a</w:t>
      </w:r>
      <w:r>
        <w:rPr>
          <w:szCs w:val="20"/>
        </w:rPr>
        <w:t xml:space="preserve"> </w:t>
      </w:r>
      <w:r w:rsidRPr="00EF3497">
        <w:rPr>
          <w:szCs w:val="20"/>
        </w:rPr>
        <w:t>policy</w:t>
      </w:r>
      <w:r>
        <w:rPr>
          <w:szCs w:val="20"/>
        </w:rPr>
        <w:t xml:space="preserve"> </w:t>
      </w:r>
      <w:r w:rsidRPr="00EF3497">
        <w:rPr>
          <w:szCs w:val="20"/>
        </w:rPr>
        <w:t>decision</w:t>
      </w:r>
      <w:r>
        <w:rPr>
          <w:szCs w:val="20"/>
        </w:rPr>
        <w:t xml:space="preserve"> </w:t>
      </w:r>
      <w:r w:rsidRPr="00EF3497">
        <w:rPr>
          <w:szCs w:val="20"/>
        </w:rPr>
        <w:t>for</w:t>
      </w:r>
      <w:r>
        <w:rPr>
          <w:szCs w:val="20"/>
        </w:rPr>
        <w:t xml:space="preserve"> </w:t>
      </w:r>
      <w:r w:rsidRPr="00EF3497">
        <w:rPr>
          <w:szCs w:val="20"/>
        </w:rPr>
        <w:t>Treasury,</w:t>
      </w:r>
      <w:r>
        <w:rPr>
          <w:szCs w:val="20"/>
        </w:rPr>
        <w:t xml:space="preserve"> </w:t>
      </w:r>
      <w:r w:rsidRPr="00EF3497">
        <w:rPr>
          <w:szCs w:val="20"/>
        </w:rPr>
        <w:t>not</w:t>
      </w:r>
      <w:r>
        <w:rPr>
          <w:szCs w:val="20"/>
        </w:rPr>
        <w:t xml:space="preserve"> </w:t>
      </w:r>
      <w:r w:rsidRPr="00EF3497">
        <w:rPr>
          <w:szCs w:val="20"/>
        </w:rPr>
        <w:t>this</w:t>
      </w:r>
      <w:r>
        <w:rPr>
          <w:szCs w:val="20"/>
        </w:rPr>
        <w:t xml:space="preserve"> </w:t>
      </w:r>
      <w:r w:rsidRPr="00EF3497">
        <w:rPr>
          <w:szCs w:val="20"/>
        </w:rPr>
        <w:t>Court,</w:t>
      </w:r>
      <w:r>
        <w:rPr>
          <w:szCs w:val="20"/>
        </w:rPr>
        <w:t xml:space="preserve"> </w:t>
      </w:r>
      <w:r w:rsidRPr="00EF3497">
        <w:rPr>
          <w:szCs w:val="20"/>
        </w:rPr>
        <w:t>to</w:t>
      </w:r>
      <w:r>
        <w:rPr>
          <w:szCs w:val="20"/>
        </w:rPr>
        <w:t xml:space="preserve"> </w:t>
      </w:r>
      <w:r w:rsidRPr="00EF3497">
        <w:rPr>
          <w:szCs w:val="20"/>
        </w:rPr>
        <w:t>make.</w:t>
      </w:r>
    </w:p>
    <w:p w:rsidR="007649DB" w:rsidRDefault="007649DB" w:rsidP="007649DB">
      <w:pPr>
        <w:pStyle w:val="Body15"/>
        <w:spacing w:before="240"/>
        <w:rPr>
          <w:color w:val="000000" w:themeColor="text1"/>
        </w:rPr>
      </w:pPr>
      <w:r>
        <w:rPr>
          <w:color w:val="000000" w:themeColor="text1"/>
        </w:rPr>
        <w:t>The court thought it significant that the regulation was finalized long ago in 1986:</w:t>
      </w:r>
    </w:p>
    <w:p w:rsidR="007649DB" w:rsidRDefault="007649DB" w:rsidP="007649DB">
      <w:pPr>
        <w:pStyle w:val="QS10"/>
        <w:rPr>
          <w:szCs w:val="20"/>
        </w:rPr>
      </w:pPr>
      <w:r w:rsidRPr="00EF3497">
        <w:rPr>
          <w:szCs w:val="20"/>
        </w:rPr>
        <w:t>The</w:t>
      </w:r>
      <w:r>
        <w:rPr>
          <w:szCs w:val="20"/>
        </w:rPr>
        <w:t xml:space="preserve"> </w:t>
      </w:r>
      <w:r w:rsidRPr="00EF3497">
        <w:rPr>
          <w:szCs w:val="20"/>
        </w:rPr>
        <w:t>regulation</w:t>
      </w:r>
      <w:r>
        <w:rPr>
          <w:szCs w:val="20"/>
        </w:rPr>
        <w:t xml:space="preserve"> </w:t>
      </w:r>
      <w:r w:rsidRPr="00EF3497">
        <w:rPr>
          <w:szCs w:val="20"/>
        </w:rPr>
        <w:t>petitioner</w:t>
      </w:r>
      <w:r>
        <w:rPr>
          <w:szCs w:val="20"/>
        </w:rPr>
        <w:t xml:space="preserve"> </w:t>
      </w:r>
      <w:r w:rsidRPr="00EF3497">
        <w:rPr>
          <w:szCs w:val="20"/>
        </w:rPr>
        <w:t>challenges</w:t>
      </w:r>
      <w:r>
        <w:rPr>
          <w:szCs w:val="20"/>
        </w:rPr>
        <w:t xml:space="preserve"> </w:t>
      </w:r>
      <w:r w:rsidRPr="00EF3497">
        <w:rPr>
          <w:szCs w:val="20"/>
        </w:rPr>
        <w:t>was</w:t>
      </w:r>
      <w:r>
        <w:rPr>
          <w:szCs w:val="20"/>
        </w:rPr>
        <w:t xml:space="preserve"> </w:t>
      </w:r>
      <w:r w:rsidRPr="00EF3497">
        <w:rPr>
          <w:szCs w:val="20"/>
        </w:rPr>
        <w:t>promulgated</w:t>
      </w:r>
      <w:r>
        <w:rPr>
          <w:szCs w:val="20"/>
        </w:rPr>
        <w:t xml:space="preserve"> </w:t>
      </w:r>
      <w:r w:rsidRPr="00EF3497">
        <w:rPr>
          <w:szCs w:val="20"/>
        </w:rPr>
        <w:t>in</w:t>
      </w:r>
      <w:r>
        <w:rPr>
          <w:szCs w:val="20"/>
        </w:rPr>
        <w:t xml:space="preserve"> </w:t>
      </w:r>
      <w:r w:rsidRPr="00EF3497">
        <w:rPr>
          <w:szCs w:val="20"/>
        </w:rPr>
        <w:t>January</w:t>
      </w:r>
      <w:r>
        <w:rPr>
          <w:szCs w:val="20"/>
        </w:rPr>
        <w:t xml:space="preserve"> </w:t>
      </w:r>
      <w:r w:rsidRPr="00EF3497">
        <w:rPr>
          <w:szCs w:val="20"/>
        </w:rPr>
        <w:t>1986.</w:t>
      </w:r>
      <w:r>
        <w:rPr>
          <w:szCs w:val="20"/>
        </w:rPr>
        <w:t xml:space="preserve"> </w:t>
      </w:r>
      <w:r w:rsidRPr="00EF3497">
        <w:rPr>
          <w:szCs w:val="20"/>
        </w:rPr>
        <w:t>It</w:t>
      </w:r>
      <w:r>
        <w:rPr>
          <w:szCs w:val="20"/>
        </w:rPr>
        <w:t xml:space="preserve"> </w:t>
      </w:r>
      <w:r w:rsidRPr="00EF3497">
        <w:rPr>
          <w:szCs w:val="20"/>
        </w:rPr>
        <w:t>has</w:t>
      </w:r>
      <w:r>
        <w:rPr>
          <w:szCs w:val="20"/>
        </w:rPr>
        <w:t xml:space="preserve"> </w:t>
      </w:r>
      <w:r w:rsidRPr="00EF3497">
        <w:rPr>
          <w:szCs w:val="20"/>
        </w:rPr>
        <w:t>never</w:t>
      </w:r>
      <w:r>
        <w:rPr>
          <w:szCs w:val="20"/>
        </w:rPr>
        <w:t xml:space="preserve"> </w:t>
      </w:r>
      <w:r w:rsidRPr="00EF3497">
        <w:rPr>
          <w:szCs w:val="20"/>
        </w:rPr>
        <w:t>been</w:t>
      </w:r>
      <w:r>
        <w:rPr>
          <w:szCs w:val="20"/>
        </w:rPr>
        <w:t xml:space="preserve"> </w:t>
      </w:r>
      <w:r w:rsidRPr="00EF3497">
        <w:rPr>
          <w:szCs w:val="20"/>
        </w:rPr>
        <w:t>amended.</w:t>
      </w:r>
      <w:r>
        <w:rPr>
          <w:szCs w:val="20"/>
        </w:rPr>
        <w:t xml:space="preserve"> </w:t>
      </w:r>
      <w:r w:rsidRPr="00EF3497">
        <w:rPr>
          <w:szCs w:val="20"/>
        </w:rPr>
        <w:t>In</w:t>
      </w:r>
      <w:r>
        <w:rPr>
          <w:szCs w:val="20"/>
        </w:rPr>
        <w:t xml:space="preserve"> </w:t>
      </w:r>
      <w:r w:rsidRPr="00EF3497">
        <w:rPr>
          <w:szCs w:val="20"/>
        </w:rPr>
        <w:t>the</w:t>
      </w:r>
      <w:r>
        <w:rPr>
          <w:szCs w:val="20"/>
        </w:rPr>
        <w:t xml:space="preserve"> </w:t>
      </w:r>
      <w:r w:rsidRPr="00EF3497">
        <w:rPr>
          <w:szCs w:val="20"/>
        </w:rPr>
        <w:t>past</w:t>
      </w:r>
      <w:r>
        <w:rPr>
          <w:szCs w:val="20"/>
        </w:rPr>
        <w:t xml:space="preserve"> </w:t>
      </w:r>
      <w:r w:rsidRPr="00EF3497">
        <w:rPr>
          <w:szCs w:val="20"/>
        </w:rPr>
        <w:t>34</w:t>
      </w:r>
      <w:r>
        <w:rPr>
          <w:szCs w:val="20"/>
        </w:rPr>
        <w:t xml:space="preserve"> </w:t>
      </w:r>
      <w:r w:rsidRPr="00EF3497">
        <w:rPr>
          <w:szCs w:val="20"/>
        </w:rPr>
        <w:t>years</w:t>
      </w:r>
      <w:r>
        <w:rPr>
          <w:szCs w:val="20"/>
        </w:rPr>
        <w:t xml:space="preserve"> </w:t>
      </w:r>
      <w:r w:rsidRPr="00EF3497">
        <w:rPr>
          <w:szCs w:val="20"/>
        </w:rPr>
        <w:t>Congress</w:t>
      </w:r>
      <w:r>
        <w:rPr>
          <w:szCs w:val="20"/>
        </w:rPr>
        <w:t xml:space="preserve"> </w:t>
      </w:r>
      <w:r w:rsidRPr="00EF3497">
        <w:rPr>
          <w:szCs w:val="20"/>
        </w:rPr>
        <w:t>has</w:t>
      </w:r>
      <w:r>
        <w:rPr>
          <w:szCs w:val="20"/>
        </w:rPr>
        <w:t xml:space="preserve"> </w:t>
      </w:r>
      <w:r w:rsidRPr="00EF3497">
        <w:rPr>
          <w:szCs w:val="20"/>
        </w:rPr>
        <w:t>amended</w:t>
      </w:r>
      <w:r>
        <w:rPr>
          <w:szCs w:val="20"/>
        </w:rPr>
        <w:t xml:space="preserve"> </w:t>
      </w:r>
      <w:r w:rsidRPr="00EF3497">
        <w:rPr>
          <w:szCs w:val="20"/>
        </w:rPr>
        <w:t>section</w:t>
      </w:r>
      <w:r>
        <w:rPr>
          <w:szCs w:val="20"/>
        </w:rPr>
        <w:t xml:space="preserve"> </w:t>
      </w:r>
      <w:r w:rsidRPr="00EF3497">
        <w:rPr>
          <w:szCs w:val="20"/>
        </w:rPr>
        <w:t>170</w:t>
      </w:r>
      <w:r>
        <w:rPr>
          <w:szCs w:val="20"/>
        </w:rPr>
        <w:t xml:space="preserve"> </w:t>
      </w:r>
      <w:r w:rsidRPr="00EF3497">
        <w:rPr>
          <w:szCs w:val="20"/>
        </w:rPr>
        <w:t>more</w:t>
      </w:r>
      <w:r>
        <w:rPr>
          <w:szCs w:val="20"/>
        </w:rPr>
        <w:t xml:space="preserve"> </w:t>
      </w:r>
      <w:r w:rsidRPr="00EF3497">
        <w:rPr>
          <w:szCs w:val="20"/>
        </w:rPr>
        <w:t>than</w:t>
      </w:r>
      <w:r>
        <w:rPr>
          <w:szCs w:val="20"/>
        </w:rPr>
        <w:t xml:space="preserve"> </w:t>
      </w:r>
      <w:r w:rsidRPr="00EF3497">
        <w:rPr>
          <w:szCs w:val="20"/>
        </w:rPr>
        <w:t>30</w:t>
      </w:r>
      <w:r>
        <w:rPr>
          <w:szCs w:val="20"/>
        </w:rPr>
        <w:t xml:space="preserve"> </w:t>
      </w:r>
      <w:r w:rsidRPr="00EF3497">
        <w:rPr>
          <w:szCs w:val="20"/>
        </w:rPr>
        <w:t>times,</w:t>
      </w:r>
      <w:r>
        <w:rPr>
          <w:szCs w:val="20"/>
        </w:rPr>
        <w:t xml:space="preserve"> </w:t>
      </w:r>
      <w:r w:rsidRPr="00EF3497">
        <w:rPr>
          <w:szCs w:val="20"/>
        </w:rPr>
        <w:t>but</w:t>
      </w:r>
      <w:r>
        <w:rPr>
          <w:szCs w:val="20"/>
        </w:rPr>
        <w:t xml:space="preserve"> </w:t>
      </w:r>
      <w:r w:rsidRPr="00EF3497">
        <w:rPr>
          <w:szCs w:val="20"/>
        </w:rPr>
        <w:t>these</w:t>
      </w:r>
      <w:r>
        <w:rPr>
          <w:szCs w:val="20"/>
        </w:rPr>
        <w:t xml:space="preserve"> </w:t>
      </w:r>
      <w:r w:rsidRPr="00EF3497">
        <w:rPr>
          <w:szCs w:val="20"/>
        </w:rPr>
        <w:t>amendments</w:t>
      </w:r>
      <w:r>
        <w:rPr>
          <w:szCs w:val="20"/>
        </w:rPr>
        <w:t xml:space="preserve"> </w:t>
      </w:r>
      <w:r w:rsidRPr="00EF3497">
        <w:rPr>
          <w:szCs w:val="20"/>
        </w:rPr>
        <w:t>have</w:t>
      </w:r>
      <w:r>
        <w:rPr>
          <w:szCs w:val="20"/>
        </w:rPr>
        <w:t xml:space="preserve"> </w:t>
      </w:r>
      <w:r w:rsidRPr="00EF3497">
        <w:rPr>
          <w:szCs w:val="20"/>
        </w:rPr>
        <w:t>never</w:t>
      </w:r>
      <w:r>
        <w:rPr>
          <w:szCs w:val="20"/>
        </w:rPr>
        <w:t xml:space="preserve"> </w:t>
      </w:r>
      <w:r w:rsidRPr="00EF3497">
        <w:rPr>
          <w:szCs w:val="20"/>
        </w:rPr>
        <w:t>suggested</w:t>
      </w:r>
      <w:r>
        <w:rPr>
          <w:szCs w:val="20"/>
        </w:rPr>
        <w:t xml:space="preserve"> </w:t>
      </w:r>
      <w:r w:rsidRPr="00EF3497">
        <w:rPr>
          <w:szCs w:val="20"/>
        </w:rPr>
        <w:t>any</w:t>
      </w:r>
      <w:r>
        <w:rPr>
          <w:szCs w:val="20"/>
        </w:rPr>
        <w:t xml:space="preserve"> </w:t>
      </w:r>
      <w:r w:rsidRPr="00EF3497">
        <w:rPr>
          <w:szCs w:val="20"/>
        </w:rPr>
        <w:t>disagreement</w:t>
      </w:r>
      <w:r>
        <w:rPr>
          <w:szCs w:val="20"/>
        </w:rPr>
        <w:t xml:space="preserve"> </w:t>
      </w:r>
      <w:r w:rsidRPr="00EF3497">
        <w:rPr>
          <w:szCs w:val="20"/>
        </w:rPr>
        <w:t>with</w:t>
      </w:r>
      <w:r>
        <w:rPr>
          <w:szCs w:val="20"/>
        </w:rPr>
        <w:t xml:space="preserve"> </w:t>
      </w:r>
      <w:r w:rsidRPr="00EF3497">
        <w:rPr>
          <w:szCs w:val="20"/>
        </w:rPr>
        <w:t>the</w:t>
      </w:r>
      <w:r>
        <w:rPr>
          <w:szCs w:val="20"/>
        </w:rPr>
        <w:t xml:space="preserve"> </w:t>
      </w:r>
      <w:r w:rsidRPr="00EF3497">
        <w:rPr>
          <w:szCs w:val="20"/>
        </w:rPr>
        <w:t>construction</w:t>
      </w:r>
      <w:r>
        <w:rPr>
          <w:szCs w:val="20"/>
        </w:rPr>
        <w:t xml:space="preserve"> </w:t>
      </w:r>
      <w:r w:rsidRPr="00EF3497">
        <w:rPr>
          <w:szCs w:val="20"/>
        </w:rPr>
        <w:t>of</w:t>
      </w:r>
      <w:r>
        <w:rPr>
          <w:szCs w:val="20"/>
        </w:rPr>
        <w:t xml:space="preserve"> </w:t>
      </w:r>
      <w:r w:rsidRPr="00EF3497">
        <w:rPr>
          <w:szCs w:val="20"/>
        </w:rPr>
        <w:t>the</w:t>
      </w:r>
      <w:r>
        <w:rPr>
          <w:szCs w:val="20"/>
        </w:rPr>
        <w:t xml:space="preserve"> </w:t>
      </w:r>
      <w:r w:rsidRPr="00EF3497">
        <w:rPr>
          <w:szCs w:val="20"/>
        </w:rPr>
        <w:t>statute</w:t>
      </w:r>
      <w:r>
        <w:rPr>
          <w:szCs w:val="20"/>
        </w:rPr>
        <w:t xml:space="preserve"> </w:t>
      </w:r>
      <w:r w:rsidRPr="00EF3497">
        <w:rPr>
          <w:szCs w:val="20"/>
        </w:rPr>
        <w:t>that</w:t>
      </w:r>
      <w:r>
        <w:rPr>
          <w:szCs w:val="20"/>
        </w:rPr>
        <w:t xml:space="preserve"> </w:t>
      </w:r>
      <w:r w:rsidRPr="00EF3497">
        <w:rPr>
          <w:szCs w:val="20"/>
        </w:rPr>
        <w:t>Treasury</w:t>
      </w:r>
      <w:r>
        <w:rPr>
          <w:szCs w:val="20"/>
        </w:rPr>
        <w:t xml:space="preserve"> </w:t>
      </w:r>
      <w:r w:rsidRPr="00EF3497">
        <w:rPr>
          <w:szCs w:val="20"/>
        </w:rPr>
        <w:t>adopted</w:t>
      </w:r>
      <w:r>
        <w:rPr>
          <w:szCs w:val="20"/>
        </w:rPr>
        <w:t xml:space="preserve"> </w:t>
      </w:r>
      <w:r w:rsidRPr="00EF3497">
        <w:rPr>
          <w:szCs w:val="20"/>
        </w:rPr>
        <w:t>in</w:t>
      </w:r>
      <w:r>
        <w:rPr>
          <w:szCs w:val="20"/>
        </w:rPr>
        <w:t xml:space="preserve"> </w:t>
      </w:r>
      <w:r w:rsidRPr="00EF3497">
        <w:rPr>
          <w:szCs w:val="20"/>
        </w:rPr>
        <w:t>section</w:t>
      </w:r>
      <w:r>
        <w:rPr>
          <w:szCs w:val="20"/>
        </w:rPr>
        <w:t xml:space="preserve"> </w:t>
      </w:r>
      <w:r w:rsidRPr="00EF3497">
        <w:rPr>
          <w:szCs w:val="20"/>
        </w:rPr>
        <w:t>1.170A-14(g)(6),</w:t>
      </w:r>
      <w:r>
        <w:rPr>
          <w:szCs w:val="20"/>
        </w:rPr>
        <w:t xml:space="preserve"> </w:t>
      </w:r>
      <w:r w:rsidRPr="00EF3497">
        <w:rPr>
          <w:szCs w:val="20"/>
        </w:rPr>
        <w:t>Income</w:t>
      </w:r>
      <w:r>
        <w:rPr>
          <w:szCs w:val="20"/>
        </w:rPr>
        <w:t xml:space="preserve"> </w:t>
      </w:r>
      <w:r w:rsidRPr="00EF3497">
        <w:rPr>
          <w:szCs w:val="20"/>
        </w:rPr>
        <w:t>Tax</w:t>
      </w:r>
      <w:r>
        <w:rPr>
          <w:szCs w:val="20"/>
        </w:rPr>
        <w:t xml:space="preserve"> </w:t>
      </w:r>
      <w:r w:rsidRPr="00EF3497">
        <w:rPr>
          <w:szCs w:val="20"/>
        </w:rPr>
        <w:t>Regs.</w:t>
      </w:r>
      <w:r>
        <w:rPr>
          <w:szCs w:val="20"/>
        </w:rPr>
        <w:t xml:space="preserve"> </w:t>
      </w:r>
      <w:r w:rsidRPr="00EF3497">
        <w:rPr>
          <w:szCs w:val="20"/>
        </w:rPr>
        <w:t>This</w:t>
      </w:r>
      <w:r>
        <w:rPr>
          <w:szCs w:val="20"/>
        </w:rPr>
        <w:t xml:space="preserve"> </w:t>
      </w:r>
      <w:r w:rsidRPr="00EF3497">
        <w:rPr>
          <w:szCs w:val="20"/>
        </w:rPr>
        <w:t>“strongly</w:t>
      </w:r>
      <w:r>
        <w:rPr>
          <w:szCs w:val="20"/>
        </w:rPr>
        <w:t xml:space="preserve"> </w:t>
      </w:r>
      <w:r w:rsidRPr="00EF3497">
        <w:rPr>
          <w:szCs w:val="20"/>
        </w:rPr>
        <w:t>suggests</w:t>
      </w:r>
      <w:r>
        <w:rPr>
          <w:szCs w:val="20"/>
        </w:rPr>
        <w:t xml:space="preserve"> </w:t>
      </w:r>
      <w:r w:rsidRPr="00EF3497">
        <w:rPr>
          <w:szCs w:val="20"/>
        </w:rPr>
        <w:t>that</w:t>
      </w:r>
      <w:r>
        <w:rPr>
          <w:szCs w:val="20"/>
        </w:rPr>
        <w:t xml:space="preserve"> </w:t>
      </w:r>
      <w:r w:rsidRPr="00EF3497">
        <w:rPr>
          <w:szCs w:val="20"/>
        </w:rPr>
        <w:t>*</w:t>
      </w:r>
      <w:r>
        <w:rPr>
          <w:szCs w:val="20"/>
        </w:rPr>
        <w:t xml:space="preserve"> </w:t>
      </w:r>
      <w:r w:rsidRPr="00EF3497">
        <w:rPr>
          <w:szCs w:val="20"/>
        </w:rPr>
        <w:t>*</w:t>
      </w:r>
      <w:r>
        <w:rPr>
          <w:szCs w:val="20"/>
        </w:rPr>
        <w:t xml:space="preserve"> </w:t>
      </w:r>
      <w:r w:rsidRPr="00EF3497">
        <w:rPr>
          <w:szCs w:val="20"/>
        </w:rPr>
        <w:t>*</w:t>
      </w:r>
      <w:r>
        <w:rPr>
          <w:szCs w:val="20"/>
        </w:rPr>
        <w:t xml:space="preserve"> </w:t>
      </w:r>
      <w:r w:rsidRPr="00EF3497">
        <w:rPr>
          <w:szCs w:val="20"/>
        </w:rPr>
        <w:t>[Congress]</w:t>
      </w:r>
      <w:r>
        <w:rPr>
          <w:szCs w:val="20"/>
        </w:rPr>
        <w:t xml:space="preserve"> </w:t>
      </w:r>
      <w:r w:rsidRPr="00EF3497">
        <w:rPr>
          <w:szCs w:val="20"/>
        </w:rPr>
        <w:t>did</w:t>
      </w:r>
      <w:r>
        <w:rPr>
          <w:szCs w:val="20"/>
        </w:rPr>
        <w:t xml:space="preserve"> </w:t>
      </w:r>
      <w:r w:rsidRPr="00EF3497">
        <w:rPr>
          <w:szCs w:val="20"/>
        </w:rPr>
        <w:t>not</w:t>
      </w:r>
      <w:r>
        <w:rPr>
          <w:szCs w:val="20"/>
        </w:rPr>
        <w:t xml:space="preserve"> </w:t>
      </w:r>
      <w:r w:rsidRPr="00EF3497">
        <w:rPr>
          <w:szCs w:val="20"/>
        </w:rPr>
        <w:t>view</w:t>
      </w:r>
      <w:r>
        <w:rPr>
          <w:szCs w:val="20"/>
        </w:rPr>
        <w:t xml:space="preserve"> </w:t>
      </w:r>
      <w:r w:rsidRPr="00EF3497">
        <w:rPr>
          <w:szCs w:val="20"/>
        </w:rPr>
        <w:t>Treasury’s</w:t>
      </w:r>
      <w:r>
        <w:rPr>
          <w:szCs w:val="20"/>
        </w:rPr>
        <w:t xml:space="preserve"> </w:t>
      </w:r>
      <w:r w:rsidRPr="00EF3497">
        <w:rPr>
          <w:szCs w:val="20"/>
        </w:rPr>
        <w:t>construction</w:t>
      </w:r>
      <w:r>
        <w:rPr>
          <w:szCs w:val="20"/>
        </w:rPr>
        <w:t xml:space="preserve"> </w:t>
      </w:r>
      <w:r w:rsidRPr="00EF3497">
        <w:rPr>
          <w:szCs w:val="20"/>
        </w:rPr>
        <w:t>*</w:t>
      </w:r>
      <w:r>
        <w:rPr>
          <w:szCs w:val="20"/>
        </w:rPr>
        <w:t xml:space="preserve"> </w:t>
      </w:r>
      <w:r w:rsidRPr="00EF3497">
        <w:rPr>
          <w:szCs w:val="20"/>
        </w:rPr>
        <w:t>*</w:t>
      </w:r>
      <w:r>
        <w:rPr>
          <w:szCs w:val="20"/>
        </w:rPr>
        <w:t xml:space="preserve"> </w:t>
      </w:r>
      <w:r w:rsidRPr="00EF3497">
        <w:rPr>
          <w:szCs w:val="20"/>
        </w:rPr>
        <w:t>*</w:t>
      </w:r>
      <w:r>
        <w:rPr>
          <w:szCs w:val="20"/>
        </w:rPr>
        <w:t xml:space="preserve"> </w:t>
      </w:r>
      <w:r w:rsidRPr="00EF3497">
        <w:rPr>
          <w:szCs w:val="20"/>
        </w:rPr>
        <w:t>as</w:t>
      </w:r>
      <w:r>
        <w:rPr>
          <w:szCs w:val="20"/>
        </w:rPr>
        <w:t xml:space="preserve"> </w:t>
      </w:r>
      <w:r w:rsidRPr="00EF3497">
        <w:rPr>
          <w:szCs w:val="20"/>
        </w:rPr>
        <w:t>unreasonable</w:t>
      </w:r>
      <w:r>
        <w:rPr>
          <w:szCs w:val="20"/>
        </w:rPr>
        <w:t xml:space="preserve"> </w:t>
      </w:r>
      <w:r w:rsidRPr="00EF3497">
        <w:rPr>
          <w:szCs w:val="20"/>
        </w:rPr>
        <w:t>or</w:t>
      </w:r>
      <w:r>
        <w:rPr>
          <w:szCs w:val="20"/>
        </w:rPr>
        <w:t xml:space="preserve"> </w:t>
      </w:r>
      <w:r w:rsidRPr="00EF3497">
        <w:rPr>
          <w:szCs w:val="20"/>
        </w:rPr>
        <w:t>contrary</w:t>
      </w:r>
      <w:r>
        <w:rPr>
          <w:szCs w:val="20"/>
        </w:rPr>
        <w:t xml:space="preserve"> </w:t>
      </w:r>
      <w:r w:rsidRPr="00EF3497">
        <w:rPr>
          <w:szCs w:val="20"/>
        </w:rPr>
        <w:t>to</w:t>
      </w:r>
      <w:r>
        <w:rPr>
          <w:szCs w:val="20"/>
        </w:rPr>
        <w:t xml:space="preserve"> </w:t>
      </w:r>
      <w:r w:rsidRPr="00EF3497">
        <w:rPr>
          <w:szCs w:val="20"/>
        </w:rPr>
        <w:t>the</w:t>
      </w:r>
      <w:r>
        <w:rPr>
          <w:szCs w:val="20"/>
        </w:rPr>
        <w:t xml:space="preserve"> </w:t>
      </w:r>
      <w:r w:rsidRPr="00EF3497">
        <w:rPr>
          <w:szCs w:val="20"/>
        </w:rPr>
        <w:t>law’s</w:t>
      </w:r>
      <w:r>
        <w:rPr>
          <w:szCs w:val="20"/>
        </w:rPr>
        <w:t xml:space="preserve"> </w:t>
      </w:r>
      <w:r w:rsidRPr="00EF3497">
        <w:rPr>
          <w:szCs w:val="20"/>
        </w:rPr>
        <w:t>purpose.”</w:t>
      </w:r>
      <w:r>
        <w:rPr>
          <w:szCs w:val="20"/>
        </w:rPr>
        <w:t xml:space="preserve"> </w:t>
      </w:r>
      <w:r w:rsidRPr="00EF3497">
        <w:rPr>
          <w:szCs w:val="20"/>
          <w:u w:val="single"/>
        </w:rPr>
        <w:t>SIH</w:t>
      </w:r>
      <w:r>
        <w:rPr>
          <w:szCs w:val="20"/>
          <w:u w:val="single"/>
        </w:rPr>
        <w:t xml:space="preserve"> </w:t>
      </w:r>
      <w:r w:rsidRPr="00EF3497">
        <w:rPr>
          <w:szCs w:val="20"/>
          <w:u w:val="single"/>
        </w:rPr>
        <w:t>Partners</w:t>
      </w:r>
      <w:r w:rsidRPr="00EF3497">
        <w:rPr>
          <w:szCs w:val="20"/>
        </w:rPr>
        <w:t>,</w:t>
      </w:r>
      <w:r>
        <w:rPr>
          <w:szCs w:val="20"/>
        </w:rPr>
        <w:t xml:space="preserve"> </w:t>
      </w:r>
      <w:r w:rsidRPr="00EF3497">
        <w:rPr>
          <w:szCs w:val="20"/>
        </w:rPr>
        <w:t>150</w:t>
      </w:r>
      <w:r>
        <w:rPr>
          <w:szCs w:val="20"/>
        </w:rPr>
        <w:t xml:space="preserve"> </w:t>
      </w:r>
      <w:r w:rsidRPr="00EF3497">
        <w:rPr>
          <w:szCs w:val="20"/>
        </w:rPr>
        <w:t>T.C.</w:t>
      </w:r>
      <w:r>
        <w:rPr>
          <w:szCs w:val="20"/>
        </w:rPr>
        <w:t xml:space="preserve"> </w:t>
      </w:r>
      <w:r w:rsidRPr="00EF3497">
        <w:rPr>
          <w:szCs w:val="20"/>
        </w:rPr>
        <w:t>at</w:t>
      </w:r>
      <w:r>
        <w:rPr>
          <w:szCs w:val="20"/>
        </w:rPr>
        <w:t xml:space="preserve"> </w:t>
      </w:r>
      <w:r w:rsidRPr="00EF3497">
        <w:rPr>
          <w:szCs w:val="20"/>
        </w:rPr>
        <w:t>53-54</w:t>
      </w:r>
      <w:r>
        <w:rPr>
          <w:szCs w:val="20"/>
        </w:rPr>
        <w:t xml:space="preserve"> </w:t>
      </w:r>
      <w:r w:rsidRPr="00EF3497">
        <w:rPr>
          <w:szCs w:val="20"/>
        </w:rPr>
        <w:t>(sustaining</w:t>
      </w:r>
      <w:r>
        <w:rPr>
          <w:szCs w:val="20"/>
        </w:rPr>
        <w:t xml:space="preserve"> </w:t>
      </w:r>
      <w:r w:rsidRPr="00EF3497">
        <w:rPr>
          <w:szCs w:val="20"/>
        </w:rPr>
        <w:t>under</w:t>
      </w:r>
      <w:r>
        <w:rPr>
          <w:szCs w:val="20"/>
        </w:rPr>
        <w:t xml:space="preserve"> </w:t>
      </w:r>
      <w:r w:rsidRPr="00EF3497">
        <w:rPr>
          <w:szCs w:val="20"/>
          <w:u w:val="single"/>
        </w:rPr>
        <w:t>Chevron</w:t>
      </w:r>
      <w:r>
        <w:rPr>
          <w:szCs w:val="20"/>
        </w:rPr>
        <w:t xml:space="preserve"> </w:t>
      </w:r>
      <w:r w:rsidRPr="00EF3497">
        <w:rPr>
          <w:szCs w:val="20"/>
        </w:rPr>
        <w:t>step</w:t>
      </w:r>
      <w:r>
        <w:rPr>
          <w:szCs w:val="20"/>
        </w:rPr>
        <w:t xml:space="preserve"> </w:t>
      </w:r>
      <w:r w:rsidRPr="00EF3497">
        <w:rPr>
          <w:szCs w:val="20"/>
        </w:rPr>
        <w:t>two</w:t>
      </w:r>
      <w:r>
        <w:rPr>
          <w:szCs w:val="20"/>
        </w:rPr>
        <w:t xml:space="preserve"> </w:t>
      </w:r>
      <w:r w:rsidRPr="00EF3497">
        <w:rPr>
          <w:szCs w:val="20"/>
        </w:rPr>
        <w:t>a</w:t>
      </w:r>
      <w:r>
        <w:rPr>
          <w:szCs w:val="20"/>
        </w:rPr>
        <w:t xml:space="preserve"> </w:t>
      </w:r>
      <w:r w:rsidRPr="00EF3497">
        <w:rPr>
          <w:szCs w:val="20"/>
        </w:rPr>
        <w:t>regulation</w:t>
      </w:r>
      <w:r>
        <w:rPr>
          <w:szCs w:val="20"/>
        </w:rPr>
        <w:t xml:space="preserve"> </w:t>
      </w:r>
      <w:r w:rsidRPr="00EF3497">
        <w:rPr>
          <w:szCs w:val="20"/>
        </w:rPr>
        <w:t>that</w:t>
      </w:r>
      <w:r>
        <w:rPr>
          <w:szCs w:val="20"/>
        </w:rPr>
        <w:t xml:space="preserve"> </w:t>
      </w:r>
      <w:r w:rsidRPr="00EF3497">
        <w:rPr>
          <w:szCs w:val="20"/>
        </w:rPr>
        <w:t>had</w:t>
      </w:r>
      <w:r>
        <w:rPr>
          <w:szCs w:val="20"/>
        </w:rPr>
        <w:t xml:space="preserve"> </w:t>
      </w:r>
      <w:r w:rsidRPr="00EF3497">
        <w:rPr>
          <w:szCs w:val="20"/>
        </w:rPr>
        <w:t>persisted</w:t>
      </w:r>
      <w:r>
        <w:rPr>
          <w:szCs w:val="20"/>
        </w:rPr>
        <w:t xml:space="preserve"> </w:t>
      </w:r>
      <w:r w:rsidRPr="00EF3497">
        <w:rPr>
          <w:szCs w:val="20"/>
        </w:rPr>
        <w:t>substantially</w:t>
      </w:r>
      <w:r>
        <w:rPr>
          <w:szCs w:val="20"/>
        </w:rPr>
        <w:t xml:space="preserve"> </w:t>
      </w:r>
      <w:r w:rsidRPr="00EF3497">
        <w:rPr>
          <w:szCs w:val="20"/>
        </w:rPr>
        <w:t>unchanged</w:t>
      </w:r>
      <w:r>
        <w:rPr>
          <w:szCs w:val="20"/>
        </w:rPr>
        <w:t xml:space="preserve"> </w:t>
      </w:r>
      <w:r w:rsidRPr="00EF3497">
        <w:rPr>
          <w:szCs w:val="20"/>
        </w:rPr>
        <w:t>for</w:t>
      </w:r>
      <w:r>
        <w:rPr>
          <w:szCs w:val="20"/>
        </w:rPr>
        <w:t xml:space="preserve"> </w:t>
      </w:r>
      <w:r w:rsidRPr="00EF3497">
        <w:rPr>
          <w:szCs w:val="20"/>
        </w:rPr>
        <w:t>nearly</w:t>
      </w:r>
      <w:r>
        <w:rPr>
          <w:szCs w:val="20"/>
        </w:rPr>
        <w:t xml:space="preserve"> </w:t>
      </w:r>
      <w:r w:rsidRPr="00EF3497">
        <w:rPr>
          <w:szCs w:val="20"/>
        </w:rPr>
        <w:t>50</w:t>
      </w:r>
      <w:r>
        <w:rPr>
          <w:szCs w:val="20"/>
        </w:rPr>
        <w:t xml:space="preserve"> </w:t>
      </w:r>
      <w:r w:rsidRPr="00EF3497">
        <w:rPr>
          <w:szCs w:val="20"/>
        </w:rPr>
        <w:t>years).</w:t>
      </w:r>
    </w:p>
    <w:p w:rsidR="007649DB" w:rsidRPr="00EF3497" w:rsidRDefault="007649DB" w:rsidP="007649DB">
      <w:pPr>
        <w:pStyle w:val="QS10"/>
        <w:rPr>
          <w:szCs w:val="20"/>
        </w:rPr>
      </w:pPr>
      <w:r>
        <w:rPr>
          <w:szCs w:val="20"/>
        </w:rPr>
        <w:t>[footnote omitted]</w:t>
      </w:r>
    </w:p>
    <w:p w:rsidR="007649DB" w:rsidRDefault="007649DB" w:rsidP="007649DB">
      <w:pPr>
        <w:pStyle w:val="Body15"/>
        <w:spacing w:before="240"/>
        <w:rPr>
          <w:color w:val="000000" w:themeColor="text1"/>
        </w:rPr>
      </w:pPr>
      <w:r>
        <w:rPr>
          <w:color w:val="000000" w:themeColor="text1"/>
        </w:rPr>
        <w:t xml:space="preserve">Twelve judges signed on to the majority opinion.  There was a concurrence and a dissent.  The concurrence in result only by Judge Toro would have flunked the regulation under </w:t>
      </w:r>
      <w:r>
        <w:rPr>
          <w:color w:val="000000" w:themeColor="text1"/>
          <w:u w:val="single"/>
        </w:rPr>
        <w:t>Chevron</w:t>
      </w:r>
      <w:r>
        <w:rPr>
          <w:color w:val="000000" w:themeColor="text1"/>
        </w:rPr>
        <w:t xml:space="preserve"> but disallowed the deduction because the charity did not receive all the state law property rights in the land.  That opinion states:</w:t>
      </w:r>
    </w:p>
    <w:p w:rsidR="007649DB" w:rsidRPr="004F0898" w:rsidRDefault="007649DB" w:rsidP="007649DB">
      <w:pPr>
        <w:pStyle w:val="QS10"/>
        <w:rPr>
          <w:color w:val="000000" w:themeColor="text1"/>
          <w:szCs w:val="20"/>
        </w:rPr>
      </w:pPr>
      <w:r w:rsidRPr="004F0898">
        <w:rPr>
          <w:color w:val="212121"/>
          <w:szCs w:val="20"/>
        </w:rPr>
        <w:t>Oakbrook</w:t>
      </w:r>
      <w:r>
        <w:rPr>
          <w:color w:val="212121"/>
          <w:szCs w:val="20"/>
        </w:rPr>
        <w:t xml:space="preserve"> </w:t>
      </w:r>
      <w:r w:rsidRPr="004F0898">
        <w:rPr>
          <w:color w:val="212121"/>
          <w:szCs w:val="20"/>
        </w:rPr>
        <w:t>maintains</w:t>
      </w:r>
      <w:r>
        <w:rPr>
          <w:color w:val="212121"/>
          <w:szCs w:val="20"/>
        </w:rPr>
        <w:t xml:space="preserve"> </w:t>
      </w:r>
      <w:r w:rsidRPr="004F0898">
        <w:rPr>
          <w:color w:val="212121"/>
          <w:szCs w:val="20"/>
        </w:rPr>
        <w:t>that</w:t>
      </w:r>
      <w:r>
        <w:rPr>
          <w:color w:val="212121"/>
          <w:szCs w:val="20"/>
        </w:rPr>
        <w:t xml:space="preserve"> </w:t>
      </w:r>
      <w:r w:rsidRPr="004F0898">
        <w:rPr>
          <w:color w:val="212121"/>
          <w:szCs w:val="20"/>
        </w:rPr>
        <w:t>the</w:t>
      </w:r>
      <w:r>
        <w:rPr>
          <w:color w:val="212121"/>
          <w:szCs w:val="20"/>
        </w:rPr>
        <w:t xml:space="preserve"> </w:t>
      </w:r>
      <w:r w:rsidRPr="004F0898">
        <w:rPr>
          <w:color w:val="212121"/>
          <w:szCs w:val="20"/>
        </w:rPr>
        <w:t>requirement</w:t>
      </w:r>
      <w:r>
        <w:rPr>
          <w:color w:val="212121"/>
          <w:szCs w:val="20"/>
        </w:rPr>
        <w:t xml:space="preserve"> </w:t>
      </w:r>
      <w:r w:rsidRPr="004F0898">
        <w:rPr>
          <w:color w:val="212121"/>
          <w:szCs w:val="20"/>
        </w:rPr>
        <w:t>of</w:t>
      </w:r>
      <w:r>
        <w:rPr>
          <w:color w:val="212121"/>
          <w:szCs w:val="20"/>
        </w:rPr>
        <w:t xml:space="preserve"> </w:t>
      </w:r>
      <w:r w:rsidRPr="004F0898">
        <w:rPr>
          <w:szCs w:val="20"/>
        </w:rPr>
        <w:t>section</w:t>
      </w:r>
      <w:r>
        <w:rPr>
          <w:szCs w:val="20"/>
        </w:rPr>
        <w:t xml:space="preserve"> </w:t>
      </w:r>
      <w:r w:rsidRPr="004F0898">
        <w:rPr>
          <w:szCs w:val="20"/>
        </w:rPr>
        <w:t>170(h)(5)(A)</w:t>
      </w:r>
      <w:r>
        <w:rPr>
          <w:color w:val="212121"/>
          <w:szCs w:val="20"/>
        </w:rPr>
        <w:t xml:space="preserve"> </w:t>
      </w:r>
      <w:r w:rsidRPr="004F0898">
        <w:rPr>
          <w:color w:val="212121"/>
          <w:szCs w:val="20"/>
        </w:rPr>
        <w:t>is</w:t>
      </w:r>
      <w:r>
        <w:rPr>
          <w:color w:val="212121"/>
          <w:szCs w:val="20"/>
        </w:rPr>
        <w:t xml:space="preserve"> </w:t>
      </w:r>
      <w:r w:rsidRPr="004F0898">
        <w:rPr>
          <w:color w:val="212121"/>
          <w:szCs w:val="20"/>
        </w:rPr>
        <w:t>met</w:t>
      </w:r>
      <w:r>
        <w:rPr>
          <w:color w:val="212121"/>
          <w:szCs w:val="20"/>
        </w:rPr>
        <w:t xml:space="preserve"> </w:t>
      </w:r>
      <w:r w:rsidRPr="004F0898">
        <w:rPr>
          <w:color w:val="212121"/>
          <w:szCs w:val="20"/>
        </w:rPr>
        <w:t>so</w:t>
      </w:r>
      <w:r>
        <w:rPr>
          <w:color w:val="212121"/>
          <w:szCs w:val="20"/>
        </w:rPr>
        <w:t xml:space="preserve"> </w:t>
      </w:r>
      <w:r w:rsidRPr="004F0898">
        <w:rPr>
          <w:color w:val="212121"/>
          <w:szCs w:val="20"/>
        </w:rPr>
        <w:t>long</w:t>
      </w:r>
      <w:r>
        <w:rPr>
          <w:color w:val="212121"/>
          <w:szCs w:val="20"/>
        </w:rPr>
        <w:t xml:space="preserve"> </w:t>
      </w:r>
      <w:r w:rsidRPr="004F0898">
        <w:rPr>
          <w:color w:val="212121"/>
          <w:szCs w:val="20"/>
        </w:rPr>
        <w:t>as</w:t>
      </w:r>
      <w:r>
        <w:rPr>
          <w:color w:val="212121"/>
          <w:szCs w:val="20"/>
        </w:rPr>
        <w:t xml:space="preserve"> </w:t>
      </w:r>
      <w:r w:rsidRPr="004F0898">
        <w:rPr>
          <w:color w:val="212121"/>
          <w:szCs w:val="20"/>
        </w:rPr>
        <w:t>the</w:t>
      </w:r>
      <w:r>
        <w:rPr>
          <w:color w:val="212121"/>
          <w:szCs w:val="20"/>
        </w:rPr>
        <w:t xml:space="preserve"> </w:t>
      </w:r>
      <w:r w:rsidRPr="004F0898">
        <w:rPr>
          <w:color w:val="212121"/>
          <w:szCs w:val="20"/>
        </w:rPr>
        <w:t>donee,</w:t>
      </w:r>
      <w:r>
        <w:rPr>
          <w:color w:val="212121"/>
          <w:szCs w:val="20"/>
        </w:rPr>
        <w:t xml:space="preserve"> </w:t>
      </w:r>
      <w:r w:rsidRPr="004F0898">
        <w:rPr>
          <w:color w:val="212121"/>
          <w:szCs w:val="20"/>
        </w:rPr>
        <w:t>upon</w:t>
      </w:r>
      <w:r>
        <w:rPr>
          <w:color w:val="212121"/>
          <w:szCs w:val="20"/>
        </w:rPr>
        <w:t xml:space="preserve"> </w:t>
      </w:r>
      <w:r w:rsidRPr="004F0898">
        <w:rPr>
          <w:color w:val="212121"/>
          <w:szCs w:val="20"/>
        </w:rPr>
        <w:t>a</w:t>
      </w:r>
      <w:r>
        <w:rPr>
          <w:color w:val="212121"/>
          <w:szCs w:val="20"/>
        </w:rPr>
        <w:t xml:space="preserve"> </w:t>
      </w:r>
      <w:r w:rsidRPr="004F0898">
        <w:rPr>
          <w:color w:val="212121"/>
          <w:szCs w:val="20"/>
        </w:rPr>
        <w:t>sale</w:t>
      </w:r>
      <w:r>
        <w:rPr>
          <w:color w:val="212121"/>
          <w:szCs w:val="20"/>
        </w:rPr>
        <w:t xml:space="preserve"> </w:t>
      </w:r>
      <w:r w:rsidRPr="004F0898">
        <w:rPr>
          <w:color w:val="212121"/>
          <w:szCs w:val="20"/>
        </w:rPr>
        <w:t>or</w:t>
      </w:r>
      <w:r>
        <w:rPr>
          <w:color w:val="212121"/>
          <w:szCs w:val="20"/>
        </w:rPr>
        <w:t xml:space="preserve"> </w:t>
      </w:r>
      <w:r w:rsidRPr="004F0898">
        <w:rPr>
          <w:color w:val="212121"/>
          <w:szCs w:val="20"/>
        </w:rPr>
        <w:t>other</w:t>
      </w:r>
      <w:r>
        <w:rPr>
          <w:color w:val="212121"/>
          <w:szCs w:val="20"/>
        </w:rPr>
        <w:t xml:space="preserve"> </w:t>
      </w:r>
      <w:r w:rsidRPr="004F0898">
        <w:rPr>
          <w:color w:val="212121"/>
          <w:szCs w:val="20"/>
        </w:rPr>
        <w:t>disposition</w:t>
      </w:r>
      <w:r>
        <w:rPr>
          <w:color w:val="212121"/>
          <w:szCs w:val="20"/>
        </w:rPr>
        <w:t xml:space="preserve"> </w:t>
      </w:r>
      <w:r w:rsidRPr="004F0898">
        <w:rPr>
          <w:color w:val="212121"/>
          <w:szCs w:val="20"/>
        </w:rPr>
        <w:t>after</w:t>
      </w:r>
      <w:r>
        <w:rPr>
          <w:color w:val="212121"/>
          <w:szCs w:val="20"/>
        </w:rPr>
        <w:t xml:space="preserve"> </w:t>
      </w:r>
      <w:r w:rsidRPr="004F0898">
        <w:rPr>
          <w:color w:val="212121"/>
          <w:szCs w:val="20"/>
        </w:rPr>
        <w:t>extinguishment</w:t>
      </w:r>
      <w:r>
        <w:rPr>
          <w:color w:val="212121"/>
          <w:szCs w:val="20"/>
        </w:rPr>
        <w:t xml:space="preserve"> </w:t>
      </w:r>
      <w:r w:rsidRPr="004F0898">
        <w:rPr>
          <w:color w:val="212121"/>
          <w:szCs w:val="20"/>
        </w:rPr>
        <w:t>by</w:t>
      </w:r>
      <w:r>
        <w:rPr>
          <w:color w:val="212121"/>
          <w:szCs w:val="20"/>
        </w:rPr>
        <w:t xml:space="preserve"> </w:t>
      </w:r>
      <w:r w:rsidRPr="004F0898">
        <w:rPr>
          <w:color w:val="212121"/>
          <w:szCs w:val="20"/>
        </w:rPr>
        <w:t>judicial</w:t>
      </w:r>
      <w:r>
        <w:rPr>
          <w:color w:val="212121"/>
          <w:szCs w:val="20"/>
        </w:rPr>
        <w:t xml:space="preserve"> </w:t>
      </w:r>
      <w:r w:rsidRPr="004F0898">
        <w:rPr>
          <w:color w:val="212121"/>
          <w:szCs w:val="20"/>
        </w:rPr>
        <w:t>proceeding,</w:t>
      </w:r>
      <w:r>
        <w:rPr>
          <w:color w:val="212121"/>
          <w:szCs w:val="20"/>
        </w:rPr>
        <w:t xml:space="preserve"> </w:t>
      </w:r>
      <w:r w:rsidRPr="004F0898">
        <w:rPr>
          <w:color w:val="212121"/>
          <w:szCs w:val="20"/>
        </w:rPr>
        <w:t>would</w:t>
      </w:r>
      <w:r>
        <w:rPr>
          <w:color w:val="212121"/>
          <w:szCs w:val="20"/>
        </w:rPr>
        <w:t xml:space="preserve"> </w:t>
      </w:r>
      <w:r w:rsidRPr="004F0898">
        <w:rPr>
          <w:color w:val="212121"/>
          <w:szCs w:val="20"/>
        </w:rPr>
        <w:t>obtain</w:t>
      </w:r>
      <w:r>
        <w:rPr>
          <w:color w:val="212121"/>
          <w:szCs w:val="20"/>
        </w:rPr>
        <w:t xml:space="preserve"> </w:t>
      </w:r>
      <w:r w:rsidRPr="004F0898">
        <w:rPr>
          <w:color w:val="212121"/>
          <w:szCs w:val="20"/>
        </w:rPr>
        <w:t>an</w:t>
      </w:r>
      <w:r>
        <w:rPr>
          <w:color w:val="212121"/>
          <w:szCs w:val="20"/>
        </w:rPr>
        <w:t xml:space="preserve"> </w:t>
      </w:r>
      <w:r w:rsidRPr="004F0898">
        <w:rPr>
          <w:color w:val="212121"/>
          <w:szCs w:val="20"/>
        </w:rPr>
        <w:t>amount</w:t>
      </w:r>
      <w:r>
        <w:rPr>
          <w:color w:val="212121"/>
          <w:szCs w:val="20"/>
        </w:rPr>
        <w:t xml:space="preserve"> </w:t>
      </w:r>
      <w:r w:rsidRPr="004F0898">
        <w:rPr>
          <w:color w:val="212121"/>
          <w:szCs w:val="20"/>
        </w:rPr>
        <w:t>equal</w:t>
      </w:r>
      <w:r>
        <w:rPr>
          <w:color w:val="212121"/>
          <w:szCs w:val="20"/>
        </w:rPr>
        <w:t xml:space="preserve"> </w:t>
      </w:r>
      <w:r w:rsidRPr="004F0898">
        <w:rPr>
          <w:color w:val="212121"/>
          <w:szCs w:val="20"/>
        </w:rPr>
        <w:t>to</w:t>
      </w:r>
      <w:r>
        <w:rPr>
          <w:color w:val="212121"/>
          <w:szCs w:val="20"/>
        </w:rPr>
        <w:t xml:space="preserve"> </w:t>
      </w:r>
      <w:r w:rsidRPr="004F0898">
        <w:rPr>
          <w:color w:val="212121"/>
          <w:szCs w:val="20"/>
        </w:rPr>
        <w:t>the</w:t>
      </w:r>
      <w:r>
        <w:rPr>
          <w:color w:val="212121"/>
          <w:szCs w:val="20"/>
        </w:rPr>
        <w:t xml:space="preserve"> </w:t>
      </w:r>
      <w:r w:rsidRPr="004F0898">
        <w:rPr>
          <w:color w:val="212121"/>
          <w:szCs w:val="20"/>
        </w:rPr>
        <w:t>fair</w:t>
      </w:r>
      <w:r>
        <w:rPr>
          <w:color w:val="212121"/>
          <w:szCs w:val="20"/>
        </w:rPr>
        <w:t xml:space="preserve"> </w:t>
      </w:r>
      <w:r w:rsidRPr="004F0898">
        <w:rPr>
          <w:color w:val="212121"/>
          <w:szCs w:val="20"/>
        </w:rPr>
        <w:t>market</w:t>
      </w:r>
      <w:r>
        <w:rPr>
          <w:color w:val="212121"/>
          <w:szCs w:val="20"/>
        </w:rPr>
        <w:t xml:space="preserve"> </w:t>
      </w:r>
      <w:r w:rsidRPr="004F0898">
        <w:rPr>
          <w:color w:val="212121"/>
          <w:szCs w:val="20"/>
        </w:rPr>
        <w:t>value</w:t>
      </w:r>
      <w:r>
        <w:rPr>
          <w:color w:val="212121"/>
          <w:szCs w:val="20"/>
        </w:rPr>
        <w:t xml:space="preserve"> </w:t>
      </w:r>
      <w:r w:rsidRPr="004F0898">
        <w:rPr>
          <w:color w:val="212121"/>
          <w:szCs w:val="20"/>
        </w:rPr>
        <w:t>of</w:t>
      </w:r>
      <w:r>
        <w:rPr>
          <w:color w:val="212121"/>
          <w:szCs w:val="20"/>
        </w:rPr>
        <w:t xml:space="preserve"> </w:t>
      </w:r>
      <w:r w:rsidRPr="004F0898">
        <w:rPr>
          <w:color w:val="212121"/>
          <w:szCs w:val="20"/>
        </w:rPr>
        <w:t>the</w:t>
      </w:r>
      <w:r>
        <w:rPr>
          <w:color w:val="212121"/>
          <w:szCs w:val="20"/>
        </w:rPr>
        <w:t xml:space="preserve"> </w:t>
      </w:r>
      <w:r w:rsidRPr="004F0898">
        <w:rPr>
          <w:color w:val="212121"/>
          <w:szCs w:val="20"/>
        </w:rPr>
        <w:t>easement</w:t>
      </w:r>
      <w:r>
        <w:rPr>
          <w:color w:val="212121"/>
          <w:szCs w:val="20"/>
        </w:rPr>
        <w:t xml:space="preserve"> </w:t>
      </w:r>
      <w:r w:rsidRPr="004F0898">
        <w:rPr>
          <w:color w:val="212121"/>
          <w:szCs w:val="20"/>
        </w:rPr>
        <w:t>at</w:t>
      </w:r>
      <w:r>
        <w:rPr>
          <w:color w:val="212121"/>
          <w:szCs w:val="20"/>
        </w:rPr>
        <w:t xml:space="preserve"> </w:t>
      </w:r>
      <w:r w:rsidRPr="004F0898">
        <w:rPr>
          <w:color w:val="212121"/>
          <w:szCs w:val="20"/>
        </w:rPr>
        <w:t>the</w:t>
      </w:r>
      <w:r>
        <w:rPr>
          <w:color w:val="212121"/>
          <w:szCs w:val="20"/>
        </w:rPr>
        <w:t xml:space="preserve"> </w:t>
      </w:r>
      <w:r w:rsidRPr="004F0898">
        <w:rPr>
          <w:color w:val="212121"/>
          <w:szCs w:val="20"/>
        </w:rPr>
        <w:t>time</w:t>
      </w:r>
      <w:r>
        <w:rPr>
          <w:color w:val="212121"/>
          <w:szCs w:val="20"/>
        </w:rPr>
        <w:t xml:space="preserve"> </w:t>
      </w:r>
      <w:r w:rsidRPr="004F0898">
        <w:rPr>
          <w:color w:val="212121"/>
          <w:szCs w:val="20"/>
        </w:rPr>
        <w:t>the</w:t>
      </w:r>
      <w:r>
        <w:rPr>
          <w:color w:val="212121"/>
          <w:szCs w:val="20"/>
        </w:rPr>
        <w:t xml:space="preserve"> </w:t>
      </w:r>
      <w:r w:rsidRPr="004F0898">
        <w:rPr>
          <w:color w:val="212121"/>
          <w:szCs w:val="20"/>
        </w:rPr>
        <w:t>easement</w:t>
      </w:r>
      <w:r>
        <w:rPr>
          <w:color w:val="212121"/>
          <w:szCs w:val="20"/>
        </w:rPr>
        <w:t xml:space="preserve"> </w:t>
      </w:r>
      <w:r w:rsidRPr="004F0898">
        <w:rPr>
          <w:color w:val="212121"/>
          <w:szCs w:val="20"/>
        </w:rPr>
        <w:t>was</w:t>
      </w:r>
      <w:r>
        <w:rPr>
          <w:color w:val="212121"/>
          <w:szCs w:val="20"/>
        </w:rPr>
        <w:t xml:space="preserve"> </w:t>
      </w:r>
      <w:r w:rsidRPr="004F0898">
        <w:rPr>
          <w:color w:val="212121"/>
          <w:szCs w:val="20"/>
        </w:rPr>
        <w:t>established,</w:t>
      </w:r>
      <w:r>
        <w:rPr>
          <w:color w:val="212121"/>
          <w:szCs w:val="20"/>
        </w:rPr>
        <w:t xml:space="preserve"> </w:t>
      </w:r>
      <w:r w:rsidRPr="004F0898">
        <w:rPr>
          <w:color w:val="212121"/>
          <w:szCs w:val="20"/>
        </w:rPr>
        <w:t>subject</w:t>
      </w:r>
      <w:r>
        <w:rPr>
          <w:color w:val="212121"/>
          <w:szCs w:val="20"/>
        </w:rPr>
        <w:t xml:space="preserve"> </w:t>
      </w:r>
      <w:r w:rsidRPr="004F0898">
        <w:rPr>
          <w:color w:val="212121"/>
          <w:szCs w:val="20"/>
        </w:rPr>
        <w:t>to</w:t>
      </w:r>
      <w:r>
        <w:rPr>
          <w:color w:val="212121"/>
          <w:szCs w:val="20"/>
        </w:rPr>
        <w:t xml:space="preserve"> </w:t>
      </w:r>
      <w:r w:rsidRPr="004F0898">
        <w:rPr>
          <w:color w:val="212121"/>
          <w:szCs w:val="20"/>
        </w:rPr>
        <w:t>reduction</w:t>
      </w:r>
      <w:r>
        <w:rPr>
          <w:color w:val="212121"/>
          <w:szCs w:val="20"/>
        </w:rPr>
        <w:t xml:space="preserve"> </w:t>
      </w:r>
      <w:r w:rsidRPr="004F0898">
        <w:rPr>
          <w:color w:val="212121"/>
          <w:szCs w:val="20"/>
        </w:rPr>
        <w:t>for</w:t>
      </w:r>
      <w:r>
        <w:rPr>
          <w:color w:val="212121"/>
          <w:szCs w:val="20"/>
        </w:rPr>
        <w:t xml:space="preserve"> </w:t>
      </w:r>
      <w:r w:rsidRPr="004F0898">
        <w:rPr>
          <w:color w:val="212121"/>
          <w:szCs w:val="20"/>
        </w:rPr>
        <w:t>subsequent</w:t>
      </w:r>
      <w:r>
        <w:rPr>
          <w:color w:val="212121"/>
          <w:szCs w:val="20"/>
        </w:rPr>
        <w:t xml:space="preserve"> </w:t>
      </w:r>
      <w:r w:rsidRPr="004F0898">
        <w:rPr>
          <w:color w:val="212121"/>
          <w:szCs w:val="20"/>
        </w:rPr>
        <w:t>improvements</w:t>
      </w:r>
      <w:r>
        <w:rPr>
          <w:color w:val="212121"/>
          <w:szCs w:val="20"/>
        </w:rPr>
        <w:t xml:space="preserve"> </w:t>
      </w:r>
      <w:r w:rsidRPr="004F0898">
        <w:rPr>
          <w:color w:val="212121"/>
          <w:szCs w:val="20"/>
        </w:rPr>
        <w:t>funded</w:t>
      </w:r>
      <w:r>
        <w:rPr>
          <w:color w:val="212121"/>
          <w:szCs w:val="20"/>
        </w:rPr>
        <w:t xml:space="preserve"> </w:t>
      </w:r>
      <w:r w:rsidRPr="004F0898">
        <w:rPr>
          <w:color w:val="212121"/>
          <w:szCs w:val="20"/>
        </w:rPr>
        <w:t>exclusively</w:t>
      </w:r>
      <w:r>
        <w:rPr>
          <w:color w:val="212121"/>
          <w:szCs w:val="20"/>
        </w:rPr>
        <w:t xml:space="preserve"> </w:t>
      </w:r>
      <w:r w:rsidRPr="004F0898">
        <w:rPr>
          <w:color w:val="212121"/>
          <w:szCs w:val="20"/>
        </w:rPr>
        <w:t>by</w:t>
      </w:r>
      <w:r>
        <w:rPr>
          <w:color w:val="212121"/>
          <w:szCs w:val="20"/>
        </w:rPr>
        <w:t xml:space="preserve"> </w:t>
      </w:r>
      <w:r w:rsidRPr="004F0898">
        <w:rPr>
          <w:color w:val="212121"/>
          <w:szCs w:val="20"/>
        </w:rPr>
        <w:t>the</w:t>
      </w:r>
      <w:r>
        <w:rPr>
          <w:color w:val="212121"/>
          <w:szCs w:val="20"/>
        </w:rPr>
        <w:t xml:space="preserve"> </w:t>
      </w:r>
      <w:r w:rsidRPr="004F0898">
        <w:rPr>
          <w:color w:val="212121"/>
          <w:szCs w:val="20"/>
        </w:rPr>
        <w:t>donor.</w:t>
      </w:r>
      <w:hyperlink r:id="rId141" w:anchor="co_footnote_B00082050952136" w:history="1">
        <w:r w:rsidRPr="004F0898">
          <w:rPr>
            <w:rStyle w:val="Hyperlink"/>
            <w:color w:val="4778C2"/>
            <w:szCs w:val="20"/>
            <w:vertAlign w:val="superscript"/>
          </w:rPr>
          <w:t>3</w:t>
        </w:r>
      </w:hyperlink>
      <w:r>
        <w:rPr>
          <w:color w:val="212121"/>
          <w:szCs w:val="20"/>
        </w:rPr>
        <w:t xml:space="preserve"> </w:t>
      </w:r>
      <w:r w:rsidRPr="004F0898">
        <w:rPr>
          <w:color w:val="212121"/>
          <w:szCs w:val="20"/>
        </w:rPr>
        <w:t>But</w:t>
      </w:r>
      <w:r>
        <w:rPr>
          <w:color w:val="212121"/>
          <w:szCs w:val="20"/>
        </w:rPr>
        <w:t xml:space="preserve"> </w:t>
      </w:r>
      <w:r w:rsidRPr="004F0898">
        <w:rPr>
          <w:color w:val="212121"/>
          <w:szCs w:val="20"/>
        </w:rPr>
        <w:t>Oakbrook’s</w:t>
      </w:r>
      <w:r>
        <w:rPr>
          <w:color w:val="212121"/>
          <w:szCs w:val="20"/>
        </w:rPr>
        <w:t xml:space="preserve"> </w:t>
      </w:r>
      <w:r w:rsidRPr="004F0898">
        <w:rPr>
          <w:color w:val="212121"/>
          <w:szCs w:val="20"/>
        </w:rPr>
        <w:t>position</w:t>
      </w:r>
      <w:r>
        <w:rPr>
          <w:color w:val="212121"/>
          <w:szCs w:val="20"/>
        </w:rPr>
        <w:t xml:space="preserve"> </w:t>
      </w:r>
      <w:r w:rsidRPr="004F0898">
        <w:rPr>
          <w:color w:val="212121"/>
          <w:szCs w:val="20"/>
        </w:rPr>
        <w:t>ignores</w:t>
      </w:r>
      <w:r>
        <w:rPr>
          <w:color w:val="212121"/>
          <w:szCs w:val="20"/>
        </w:rPr>
        <w:t xml:space="preserve"> </w:t>
      </w:r>
      <w:r w:rsidRPr="004F0898">
        <w:rPr>
          <w:color w:val="212121"/>
          <w:szCs w:val="20"/>
        </w:rPr>
        <w:t>the</w:t>
      </w:r>
      <w:r>
        <w:rPr>
          <w:color w:val="212121"/>
          <w:szCs w:val="20"/>
        </w:rPr>
        <w:t xml:space="preserve"> </w:t>
      </w:r>
      <w:r w:rsidRPr="004F0898">
        <w:rPr>
          <w:color w:val="212121"/>
          <w:szCs w:val="20"/>
        </w:rPr>
        <w:t>fact</w:t>
      </w:r>
      <w:r>
        <w:rPr>
          <w:color w:val="212121"/>
          <w:szCs w:val="20"/>
        </w:rPr>
        <w:t xml:space="preserve"> </w:t>
      </w:r>
      <w:r w:rsidRPr="004F0898">
        <w:rPr>
          <w:color w:val="212121"/>
          <w:szCs w:val="20"/>
        </w:rPr>
        <w:t>that,</w:t>
      </w:r>
      <w:r>
        <w:rPr>
          <w:color w:val="212121"/>
          <w:szCs w:val="20"/>
        </w:rPr>
        <w:t xml:space="preserve"> </w:t>
      </w:r>
      <w:r w:rsidRPr="004F0898">
        <w:rPr>
          <w:color w:val="212121"/>
          <w:szCs w:val="20"/>
        </w:rPr>
        <w:t>to</w:t>
      </w:r>
      <w:r>
        <w:rPr>
          <w:color w:val="212121"/>
          <w:szCs w:val="20"/>
        </w:rPr>
        <w:t xml:space="preserve"> </w:t>
      </w:r>
      <w:r w:rsidRPr="004F0898">
        <w:rPr>
          <w:color w:val="212121"/>
          <w:szCs w:val="20"/>
        </w:rPr>
        <w:t>be</w:t>
      </w:r>
      <w:r>
        <w:rPr>
          <w:color w:val="212121"/>
          <w:szCs w:val="20"/>
        </w:rPr>
        <w:t xml:space="preserve"> </w:t>
      </w:r>
      <w:r w:rsidRPr="004F0898">
        <w:rPr>
          <w:color w:val="212121"/>
          <w:szCs w:val="20"/>
        </w:rPr>
        <w:t>eligible</w:t>
      </w:r>
      <w:r>
        <w:rPr>
          <w:color w:val="212121"/>
          <w:szCs w:val="20"/>
        </w:rPr>
        <w:t xml:space="preserve"> </w:t>
      </w:r>
      <w:r w:rsidRPr="004F0898">
        <w:rPr>
          <w:color w:val="212121"/>
          <w:szCs w:val="20"/>
        </w:rPr>
        <w:t>for</w:t>
      </w:r>
      <w:r>
        <w:rPr>
          <w:color w:val="212121"/>
          <w:szCs w:val="20"/>
        </w:rPr>
        <w:t xml:space="preserve"> </w:t>
      </w:r>
      <w:r w:rsidRPr="004F0898">
        <w:rPr>
          <w:color w:val="212121"/>
          <w:szCs w:val="20"/>
        </w:rPr>
        <w:t>a</w:t>
      </w:r>
      <w:r>
        <w:rPr>
          <w:color w:val="212121"/>
          <w:szCs w:val="20"/>
        </w:rPr>
        <w:t xml:space="preserve"> </w:t>
      </w:r>
      <w:r w:rsidRPr="004F0898">
        <w:rPr>
          <w:color w:val="212121"/>
          <w:szCs w:val="20"/>
        </w:rPr>
        <w:t>deduction</w:t>
      </w:r>
      <w:r>
        <w:rPr>
          <w:color w:val="212121"/>
          <w:szCs w:val="20"/>
        </w:rPr>
        <w:t xml:space="preserve"> </w:t>
      </w:r>
      <w:r w:rsidRPr="004F0898">
        <w:rPr>
          <w:color w:val="212121"/>
          <w:szCs w:val="20"/>
        </w:rPr>
        <w:t>under</w:t>
      </w:r>
      <w:r>
        <w:rPr>
          <w:color w:val="212121"/>
          <w:szCs w:val="20"/>
        </w:rPr>
        <w:t xml:space="preserve"> </w:t>
      </w:r>
      <w:r w:rsidRPr="004F0898">
        <w:rPr>
          <w:color w:val="212121"/>
          <w:szCs w:val="20"/>
        </w:rPr>
        <w:t>section</w:t>
      </w:r>
      <w:r>
        <w:rPr>
          <w:color w:val="212121"/>
          <w:szCs w:val="20"/>
        </w:rPr>
        <w:t xml:space="preserve"> </w:t>
      </w:r>
      <w:r w:rsidRPr="004F0898">
        <w:rPr>
          <w:color w:val="212121"/>
          <w:szCs w:val="20"/>
        </w:rPr>
        <w:t>170(h)</w:t>
      </w:r>
      <w:r>
        <w:rPr>
          <w:color w:val="212121"/>
          <w:szCs w:val="20"/>
        </w:rPr>
        <w:t xml:space="preserve"> </w:t>
      </w:r>
      <w:r w:rsidRPr="004F0898">
        <w:rPr>
          <w:color w:val="212121"/>
          <w:szCs w:val="20"/>
        </w:rPr>
        <w:t>in</w:t>
      </w:r>
      <w:r>
        <w:rPr>
          <w:color w:val="212121"/>
          <w:szCs w:val="20"/>
        </w:rPr>
        <w:t xml:space="preserve"> </w:t>
      </w:r>
      <w:r w:rsidRPr="004F0898">
        <w:rPr>
          <w:color w:val="212121"/>
          <w:szCs w:val="20"/>
        </w:rPr>
        <w:t>the</w:t>
      </w:r>
      <w:r>
        <w:rPr>
          <w:color w:val="212121"/>
          <w:szCs w:val="20"/>
        </w:rPr>
        <w:t xml:space="preserve"> </w:t>
      </w:r>
      <w:r w:rsidRPr="004F0898">
        <w:rPr>
          <w:color w:val="212121"/>
          <w:szCs w:val="20"/>
        </w:rPr>
        <w:t>first</w:t>
      </w:r>
      <w:r>
        <w:rPr>
          <w:color w:val="212121"/>
          <w:szCs w:val="20"/>
        </w:rPr>
        <w:t xml:space="preserve"> </w:t>
      </w:r>
      <w:r w:rsidRPr="004F0898">
        <w:rPr>
          <w:color w:val="212121"/>
          <w:szCs w:val="20"/>
        </w:rPr>
        <w:t>place,</w:t>
      </w:r>
      <w:r>
        <w:rPr>
          <w:color w:val="212121"/>
          <w:szCs w:val="20"/>
        </w:rPr>
        <w:t xml:space="preserve"> </w:t>
      </w:r>
      <w:r w:rsidRPr="004F0898">
        <w:rPr>
          <w:color w:val="212121"/>
          <w:szCs w:val="20"/>
        </w:rPr>
        <w:t>a</w:t>
      </w:r>
      <w:r>
        <w:rPr>
          <w:color w:val="212121"/>
          <w:szCs w:val="20"/>
        </w:rPr>
        <w:t xml:space="preserve"> </w:t>
      </w:r>
      <w:r w:rsidRPr="004F0898">
        <w:rPr>
          <w:color w:val="212121"/>
          <w:szCs w:val="20"/>
        </w:rPr>
        <w:t>donor</w:t>
      </w:r>
      <w:r>
        <w:rPr>
          <w:color w:val="212121"/>
          <w:szCs w:val="20"/>
        </w:rPr>
        <w:t xml:space="preserve"> </w:t>
      </w:r>
      <w:r w:rsidRPr="004F0898">
        <w:rPr>
          <w:color w:val="212121"/>
          <w:szCs w:val="20"/>
        </w:rPr>
        <w:t>must</w:t>
      </w:r>
      <w:r>
        <w:rPr>
          <w:color w:val="212121"/>
          <w:szCs w:val="20"/>
        </w:rPr>
        <w:t xml:space="preserve"> </w:t>
      </w:r>
      <w:r w:rsidRPr="004F0898">
        <w:rPr>
          <w:color w:val="212121"/>
          <w:szCs w:val="20"/>
        </w:rPr>
        <w:t>grant</w:t>
      </w:r>
      <w:r>
        <w:rPr>
          <w:color w:val="212121"/>
          <w:szCs w:val="20"/>
        </w:rPr>
        <w:t xml:space="preserve"> </w:t>
      </w:r>
      <w:r w:rsidRPr="004F0898">
        <w:rPr>
          <w:color w:val="212121"/>
          <w:szCs w:val="20"/>
        </w:rPr>
        <w:t>to</w:t>
      </w:r>
      <w:r>
        <w:rPr>
          <w:color w:val="212121"/>
          <w:szCs w:val="20"/>
        </w:rPr>
        <w:t xml:space="preserve"> </w:t>
      </w:r>
      <w:r w:rsidRPr="004F0898">
        <w:rPr>
          <w:color w:val="212121"/>
          <w:szCs w:val="20"/>
        </w:rPr>
        <w:t>a</w:t>
      </w:r>
      <w:r>
        <w:rPr>
          <w:color w:val="212121"/>
          <w:szCs w:val="20"/>
        </w:rPr>
        <w:t xml:space="preserve"> </w:t>
      </w:r>
      <w:r w:rsidRPr="004F0898">
        <w:rPr>
          <w:color w:val="212121"/>
          <w:szCs w:val="20"/>
        </w:rPr>
        <w:t>donee</w:t>
      </w:r>
      <w:r>
        <w:rPr>
          <w:color w:val="212121"/>
          <w:szCs w:val="20"/>
        </w:rPr>
        <w:t xml:space="preserve"> </w:t>
      </w:r>
      <w:r w:rsidRPr="004F0898">
        <w:rPr>
          <w:color w:val="212121"/>
          <w:szCs w:val="20"/>
        </w:rPr>
        <w:t>an</w:t>
      </w:r>
      <w:r>
        <w:rPr>
          <w:color w:val="212121"/>
          <w:szCs w:val="20"/>
        </w:rPr>
        <w:t xml:space="preserve"> </w:t>
      </w:r>
      <w:r w:rsidRPr="004F0898">
        <w:rPr>
          <w:color w:val="212121"/>
          <w:szCs w:val="20"/>
        </w:rPr>
        <w:t>“interest[</w:t>
      </w:r>
      <w:r>
        <w:rPr>
          <w:color w:val="212121"/>
          <w:szCs w:val="20"/>
        </w:rPr>
        <w:t xml:space="preserve"> </w:t>
      </w:r>
      <w:r w:rsidRPr="004F0898">
        <w:rPr>
          <w:color w:val="212121"/>
          <w:szCs w:val="20"/>
        </w:rPr>
        <w:t>]</w:t>
      </w:r>
      <w:r>
        <w:rPr>
          <w:color w:val="212121"/>
          <w:szCs w:val="20"/>
        </w:rPr>
        <w:t xml:space="preserve"> </w:t>
      </w:r>
      <w:r w:rsidRPr="004F0898">
        <w:rPr>
          <w:color w:val="212121"/>
          <w:szCs w:val="20"/>
        </w:rPr>
        <w:t>in</w:t>
      </w:r>
      <w:r>
        <w:rPr>
          <w:color w:val="212121"/>
          <w:szCs w:val="20"/>
        </w:rPr>
        <w:t xml:space="preserve"> </w:t>
      </w:r>
      <w:r w:rsidRPr="004F0898">
        <w:rPr>
          <w:color w:val="212121"/>
          <w:szCs w:val="20"/>
        </w:rPr>
        <w:t>real</w:t>
      </w:r>
      <w:r>
        <w:rPr>
          <w:color w:val="212121"/>
          <w:szCs w:val="20"/>
        </w:rPr>
        <w:t xml:space="preserve"> </w:t>
      </w:r>
      <w:r w:rsidRPr="004F0898">
        <w:rPr>
          <w:color w:val="212121"/>
          <w:szCs w:val="20"/>
        </w:rPr>
        <w:t>property.”</w:t>
      </w:r>
      <w:r>
        <w:rPr>
          <w:color w:val="212121"/>
          <w:szCs w:val="20"/>
        </w:rPr>
        <w:t xml:space="preserve"> </w:t>
      </w:r>
      <w:r w:rsidRPr="004F0898">
        <w:rPr>
          <w:szCs w:val="20"/>
        </w:rPr>
        <w:t>Sec.</w:t>
      </w:r>
      <w:r>
        <w:rPr>
          <w:szCs w:val="20"/>
        </w:rPr>
        <w:t xml:space="preserve"> </w:t>
      </w:r>
      <w:r w:rsidRPr="004F0898">
        <w:rPr>
          <w:szCs w:val="20"/>
        </w:rPr>
        <w:t>170(h)(2)</w:t>
      </w:r>
      <w:r w:rsidRPr="004F0898">
        <w:rPr>
          <w:color w:val="212121"/>
          <w:szCs w:val="20"/>
        </w:rPr>
        <w:t>.</w:t>
      </w:r>
      <w:r>
        <w:rPr>
          <w:color w:val="212121"/>
          <w:szCs w:val="20"/>
        </w:rPr>
        <w:t xml:space="preserve"> </w:t>
      </w:r>
      <w:r w:rsidRPr="004F0898">
        <w:rPr>
          <w:color w:val="212121"/>
          <w:szCs w:val="20"/>
        </w:rPr>
        <w:t>One</w:t>
      </w:r>
      <w:r>
        <w:rPr>
          <w:color w:val="212121"/>
          <w:szCs w:val="20"/>
        </w:rPr>
        <w:t xml:space="preserve"> </w:t>
      </w:r>
      <w:r w:rsidRPr="004F0898">
        <w:rPr>
          <w:color w:val="212121"/>
          <w:szCs w:val="20"/>
        </w:rPr>
        <w:t>of</w:t>
      </w:r>
      <w:r>
        <w:rPr>
          <w:color w:val="212121"/>
          <w:szCs w:val="20"/>
        </w:rPr>
        <w:t xml:space="preserve"> </w:t>
      </w:r>
      <w:r w:rsidRPr="004F0898">
        <w:rPr>
          <w:color w:val="212121"/>
          <w:szCs w:val="20"/>
        </w:rPr>
        <w:t>the</w:t>
      </w:r>
      <w:r>
        <w:rPr>
          <w:color w:val="212121"/>
          <w:szCs w:val="20"/>
        </w:rPr>
        <w:t xml:space="preserve"> </w:t>
      </w:r>
      <w:r w:rsidRPr="004F0898">
        <w:rPr>
          <w:color w:val="212121"/>
          <w:szCs w:val="20"/>
        </w:rPr>
        <w:t>rights</w:t>
      </w:r>
      <w:r>
        <w:rPr>
          <w:color w:val="212121"/>
          <w:szCs w:val="20"/>
        </w:rPr>
        <w:t xml:space="preserve"> </w:t>
      </w:r>
      <w:r w:rsidRPr="004F0898">
        <w:rPr>
          <w:color w:val="212121"/>
          <w:szCs w:val="20"/>
        </w:rPr>
        <w:t>inherent</w:t>
      </w:r>
      <w:r>
        <w:rPr>
          <w:color w:val="212121"/>
          <w:szCs w:val="20"/>
        </w:rPr>
        <w:t xml:space="preserve"> </w:t>
      </w:r>
      <w:r w:rsidRPr="004F0898">
        <w:rPr>
          <w:color w:val="212121"/>
          <w:szCs w:val="20"/>
        </w:rPr>
        <w:t>in</w:t>
      </w:r>
      <w:r>
        <w:rPr>
          <w:color w:val="212121"/>
          <w:szCs w:val="20"/>
        </w:rPr>
        <w:t xml:space="preserve"> </w:t>
      </w:r>
      <w:r w:rsidRPr="004F0898">
        <w:rPr>
          <w:color w:val="212121"/>
          <w:szCs w:val="20"/>
        </w:rPr>
        <w:t>a</w:t>
      </w:r>
      <w:r>
        <w:rPr>
          <w:color w:val="212121"/>
          <w:szCs w:val="20"/>
        </w:rPr>
        <w:t xml:space="preserve"> </w:t>
      </w:r>
      <w:r w:rsidRPr="004F0898">
        <w:rPr>
          <w:color w:val="212121"/>
          <w:szCs w:val="20"/>
        </w:rPr>
        <w:t>real</w:t>
      </w:r>
      <w:r>
        <w:rPr>
          <w:color w:val="212121"/>
          <w:szCs w:val="20"/>
        </w:rPr>
        <w:t xml:space="preserve"> </w:t>
      </w:r>
      <w:r w:rsidRPr="004F0898">
        <w:rPr>
          <w:color w:val="212121"/>
          <w:szCs w:val="20"/>
        </w:rPr>
        <w:t>property</w:t>
      </w:r>
      <w:r>
        <w:rPr>
          <w:color w:val="212121"/>
          <w:szCs w:val="20"/>
        </w:rPr>
        <w:t xml:space="preserve"> </w:t>
      </w:r>
      <w:r w:rsidRPr="004F0898">
        <w:rPr>
          <w:color w:val="212121"/>
          <w:szCs w:val="20"/>
        </w:rPr>
        <w:t>interest</w:t>
      </w:r>
      <w:r>
        <w:rPr>
          <w:color w:val="212121"/>
          <w:szCs w:val="20"/>
        </w:rPr>
        <w:t xml:space="preserve"> </w:t>
      </w:r>
      <w:r w:rsidRPr="004F0898">
        <w:rPr>
          <w:color w:val="212121"/>
          <w:szCs w:val="20"/>
        </w:rPr>
        <w:t>(and</w:t>
      </w:r>
      <w:r>
        <w:rPr>
          <w:color w:val="212121"/>
          <w:szCs w:val="20"/>
        </w:rPr>
        <w:t xml:space="preserve"> </w:t>
      </w:r>
      <w:r w:rsidRPr="004F0898">
        <w:rPr>
          <w:color w:val="212121"/>
          <w:szCs w:val="20"/>
        </w:rPr>
        <w:t>presumably</w:t>
      </w:r>
      <w:r>
        <w:rPr>
          <w:color w:val="212121"/>
          <w:szCs w:val="20"/>
        </w:rPr>
        <w:t xml:space="preserve"> </w:t>
      </w:r>
      <w:r w:rsidRPr="004F0898">
        <w:rPr>
          <w:color w:val="212121"/>
          <w:szCs w:val="20"/>
        </w:rPr>
        <w:t>required</w:t>
      </w:r>
      <w:r>
        <w:rPr>
          <w:color w:val="212121"/>
          <w:szCs w:val="20"/>
        </w:rPr>
        <w:t xml:space="preserve"> </w:t>
      </w:r>
      <w:r w:rsidRPr="004F0898">
        <w:rPr>
          <w:color w:val="212121"/>
          <w:szCs w:val="20"/>
        </w:rPr>
        <w:t>to</w:t>
      </w:r>
      <w:r>
        <w:rPr>
          <w:color w:val="212121"/>
          <w:szCs w:val="20"/>
        </w:rPr>
        <w:t xml:space="preserve"> </w:t>
      </w:r>
      <w:r w:rsidRPr="004F0898">
        <w:rPr>
          <w:color w:val="212121"/>
          <w:szCs w:val="20"/>
        </w:rPr>
        <w:t>be</w:t>
      </w:r>
      <w:r>
        <w:rPr>
          <w:color w:val="212121"/>
          <w:szCs w:val="20"/>
        </w:rPr>
        <w:t xml:space="preserve"> </w:t>
      </w:r>
      <w:r w:rsidRPr="004F0898">
        <w:rPr>
          <w:color w:val="212121"/>
          <w:szCs w:val="20"/>
        </w:rPr>
        <w:t>transferred</w:t>
      </w:r>
      <w:r>
        <w:rPr>
          <w:color w:val="212121"/>
          <w:szCs w:val="20"/>
        </w:rPr>
        <w:t xml:space="preserve"> </w:t>
      </w:r>
      <w:r w:rsidRPr="004F0898">
        <w:rPr>
          <w:color w:val="212121"/>
          <w:szCs w:val="20"/>
        </w:rPr>
        <w:t>to</w:t>
      </w:r>
      <w:r>
        <w:rPr>
          <w:color w:val="212121"/>
          <w:szCs w:val="20"/>
        </w:rPr>
        <w:t xml:space="preserve"> </w:t>
      </w:r>
      <w:r w:rsidRPr="004F0898">
        <w:rPr>
          <w:color w:val="212121"/>
          <w:szCs w:val="20"/>
        </w:rPr>
        <w:t>the</w:t>
      </w:r>
      <w:r>
        <w:rPr>
          <w:color w:val="212121"/>
          <w:szCs w:val="20"/>
        </w:rPr>
        <w:t xml:space="preserve"> </w:t>
      </w:r>
      <w:r w:rsidRPr="004F0898">
        <w:rPr>
          <w:color w:val="212121"/>
          <w:szCs w:val="20"/>
        </w:rPr>
        <w:t>donee</w:t>
      </w:r>
      <w:r>
        <w:rPr>
          <w:color w:val="212121"/>
          <w:szCs w:val="20"/>
        </w:rPr>
        <w:t xml:space="preserve"> </w:t>
      </w:r>
      <w:r w:rsidRPr="004F0898">
        <w:rPr>
          <w:color w:val="212121"/>
          <w:szCs w:val="20"/>
        </w:rPr>
        <w:t>in</w:t>
      </w:r>
      <w:r>
        <w:rPr>
          <w:color w:val="212121"/>
          <w:szCs w:val="20"/>
        </w:rPr>
        <w:t xml:space="preserve"> </w:t>
      </w:r>
      <w:r w:rsidRPr="004F0898">
        <w:rPr>
          <w:color w:val="212121"/>
          <w:szCs w:val="20"/>
        </w:rPr>
        <w:t>order</w:t>
      </w:r>
      <w:r>
        <w:rPr>
          <w:color w:val="212121"/>
          <w:szCs w:val="20"/>
        </w:rPr>
        <w:t xml:space="preserve"> </w:t>
      </w:r>
      <w:r w:rsidRPr="004F0898">
        <w:rPr>
          <w:color w:val="212121"/>
          <w:szCs w:val="20"/>
        </w:rPr>
        <w:t>to</w:t>
      </w:r>
      <w:r>
        <w:rPr>
          <w:color w:val="212121"/>
          <w:szCs w:val="20"/>
        </w:rPr>
        <w:t xml:space="preserve"> </w:t>
      </w:r>
      <w:r w:rsidRPr="004F0898">
        <w:rPr>
          <w:color w:val="212121"/>
          <w:szCs w:val="20"/>
        </w:rPr>
        <w:t>satisfy</w:t>
      </w:r>
      <w:r>
        <w:rPr>
          <w:color w:val="212121"/>
          <w:szCs w:val="20"/>
        </w:rPr>
        <w:t xml:space="preserve"> </w:t>
      </w:r>
      <w:r w:rsidRPr="004F0898">
        <w:rPr>
          <w:szCs w:val="20"/>
        </w:rPr>
        <w:t>section</w:t>
      </w:r>
      <w:r>
        <w:rPr>
          <w:szCs w:val="20"/>
        </w:rPr>
        <w:t xml:space="preserve"> </w:t>
      </w:r>
      <w:r w:rsidRPr="004F0898">
        <w:rPr>
          <w:szCs w:val="20"/>
        </w:rPr>
        <w:t>170(h)(2)(C)</w:t>
      </w:r>
      <w:r w:rsidRPr="004F0898">
        <w:rPr>
          <w:color w:val="212121"/>
          <w:szCs w:val="20"/>
        </w:rPr>
        <w:t>)</w:t>
      </w:r>
      <w:r>
        <w:rPr>
          <w:color w:val="212121"/>
          <w:szCs w:val="20"/>
        </w:rPr>
        <w:t xml:space="preserve"> </w:t>
      </w:r>
      <w:r w:rsidRPr="004F0898">
        <w:rPr>
          <w:color w:val="212121"/>
          <w:szCs w:val="20"/>
        </w:rPr>
        <w:t>is</w:t>
      </w:r>
      <w:r>
        <w:rPr>
          <w:color w:val="212121"/>
          <w:szCs w:val="20"/>
        </w:rPr>
        <w:t xml:space="preserve"> </w:t>
      </w:r>
      <w:r w:rsidRPr="004F0898">
        <w:rPr>
          <w:color w:val="212121"/>
          <w:szCs w:val="20"/>
        </w:rPr>
        <w:t>the</w:t>
      </w:r>
      <w:r>
        <w:rPr>
          <w:color w:val="212121"/>
          <w:szCs w:val="20"/>
        </w:rPr>
        <w:t xml:space="preserve"> </w:t>
      </w:r>
      <w:r w:rsidRPr="004F0898">
        <w:rPr>
          <w:color w:val="212121"/>
          <w:szCs w:val="20"/>
        </w:rPr>
        <w:t>property</w:t>
      </w:r>
      <w:r>
        <w:rPr>
          <w:color w:val="212121"/>
          <w:szCs w:val="20"/>
        </w:rPr>
        <w:t xml:space="preserve"> </w:t>
      </w:r>
      <w:r w:rsidRPr="004F0898">
        <w:rPr>
          <w:color w:val="212121"/>
          <w:szCs w:val="20"/>
        </w:rPr>
        <w:t>holder’s</w:t>
      </w:r>
      <w:r>
        <w:rPr>
          <w:color w:val="212121"/>
          <w:szCs w:val="20"/>
        </w:rPr>
        <w:t xml:space="preserve"> </w:t>
      </w:r>
      <w:r w:rsidRPr="004F0898">
        <w:rPr>
          <w:color w:val="212121"/>
          <w:szCs w:val="20"/>
        </w:rPr>
        <w:t>right</w:t>
      </w:r>
      <w:r>
        <w:rPr>
          <w:color w:val="212121"/>
          <w:szCs w:val="20"/>
        </w:rPr>
        <w:t xml:space="preserve"> </w:t>
      </w:r>
      <w:r w:rsidRPr="004F0898">
        <w:rPr>
          <w:color w:val="212121"/>
          <w:szCs w:val="20"/>
        </w:rPr>
        <w:t>to</w:t>
      </w:r>
      <w:r>
        <w:rPr>
          <w:color w:val="212121"/>
          <w:szCs w:val="20"/>
        </w:rPr>
        <w:t xml:space="preserve"> </w:t>
      </w:r>
      <w:r w:rsidRPr="004F0898">
        <w:rPr>
          <w:color w:val="212121"/>
          <w:szCs w:val="20"/>
        </w:rPr>
        <w:t>be</w:t>
      </w:r>
      <w:r>
        <w:rPr>
          <w:color w:val="212121"/>
          <w:szCs w:val="20"/>
        </w:rPr>
        <w:t xml:space="preserve"> </w:t>
      </w:r>
      <w:r w:rsidRPr="004F0898">
        <w:rPr>
          <w:color w:val="212121"/>
          <w:szCs w:val="20"/>
        </w:rPr>
        <w:t>compensated</w:t>
      </w:r>
      <w:r>
        <w:rPr>
          <w:color w:val="212121"/>
          <w:szCs w:val="20"/>
        </w:rPr>
        <w:t xml:space="preserve"> </w:t>
      </w:r>
      <w:r w:rsidRPr="004F0898">
        <w:rPr>
          <w:color w:val="212121"/>
          <w:szCs w:val="20"/>
        </w:rPr>
        <w:t>at</w:t>
      </w:r>
      <w:r>
        <w:rPr>
          <w:color w:val="212121"/>
          <w:szCs w:val="20"/>
        </w:rPr>
        <w:t xml:space="preserve"> </w:t>
      </w:r>
      <w:r w:rsidRPr="004F0898">
        <w:rPr>
          <w:color w:val="212121"/>
          <w:szCs w:val="20"/>
        </w:rPr>
        <w:t>fair</w:t>
      </w:r>
      <w:r>
        <w:rPr>
          <w:color w:val="212121"/>
          <w:szCs w:val="20"/>
        </w:rPr>
        <w:t xml:space="preserve"> </w:t>
      </w:r>
      <w:r w:rsidRPr="004F0898">
        <w:rPr>
          <w:color w:val="212121"/>
          <w:szCs w:val="20"/>
        </w:rPr>
        <w:t>market</w:t>
      </w:r>
      <w:r>
        <w:rPr>
          <w:color w:val="212121"/>
          <w:szCs w:val="20"/>
        </w:rPr>
        <w:t xml:space="preserve"> </w:t>
      </w:r>
      <w:r w:rsidRPr="004F0898">
        <w:rPr>
          <w:color w:val="212121"/>
          <w:szCs w:val="20"/>
        </w:rPr>
        <w:t>value</w:t>
      </w:r>
      <w:r>
        <w:rPr>
          <w:color w:val="212121"/>
          <w:szCs w:val="20"/>
        </w:rPr>
        <w:t xml:space="preserve"> </w:t>
      </w:r>
      <w:r w:rsidRPr="004F0898">
        <w:rPr>
          <w:color w:val="212121"/>
          <w:szCs w:val="20"/>
        </w:rPr>
        <w:t>upon</w:t>
      </w:r>
      <w:r>
        <w:rPr>
          <w:color w:val="212121"/>
          <w:szCs w:val="20"/>
        </w:rPr>
        <w:t xml:space="preserve"> </w:t>
      </w:r>
      <w:r w:rsidRPr="004F0898">
        <w:rPr>
          <w:color w:val="212121"/>
          <w:szCs w:val="20"/>
        </w:rPr>
        <w:t>a</w:t>
      </w:r>
      <w:r>
        <w:rPr>
          <w:color w:val="212121"/>
          <w:szCs w:val="20"/>
        </w:rPr>
        <w:t xml:space="preserve"> </w:t>
      </w:r>
      <w:r w:rsidRPr="004F0898">
        <w:rPr>
          <w:color w:val="212121"/>
          <w:szCs w:val="20"/>
        </w:rPr>
        <w:t>subsequent</w:t>
      </w:r>
      <w:r>
        <w:rPr>
          <w:color w:val="212121"/>
          <w:szCs w:val="20"/>
        </w:rPr>
        <w:t xml:space="preserve"> </w:t>
      </w:r>
      <w:r w:rsidRPr="004F0898">
        <w:rPr>
          <w:color w:val="212121"/>
          <w:szCs w:val="20"/>
        </w:rPr>
        <w:t>transfer</w:t>
      </w:r>
      <w:r>
        <w:rPr>
          <w:color w:val="212121"/>
          <w:szCs w:val="20"/>
        </w:rPr>
        <w:t xml:space="preserve"> </w:t>
      </w:r>
      <w:r w:rsidRPr="004F0898">
        <w:rPr>
          <w:color w:val="212121"/>
          <w:szCs w:val="20"/>
        </w:rPr>
        <w:t>or</w:t>
      </w:r>
      <w:r>
        <w:rPr>
          <w:color w:val="212121"/>
          <w:szCs w:val="20"/>
        </w:rPr>
        <w:t xml:space="preserve"> </w:t>
      </w:r>
      <w:r w:rsidRPr="004F0898">
        <w:rPr>
          <w:color w:val="212121"/>
          <w:szCs w:val="20"/>
        </w:rPr>
        <w:t>taking.</w:t>
      </w:r>
    </w:p>
    <w:p w:rsidR="007649DB" w:rsidRDefault="007649DB" w:rsidP="007649DB">
      <w:pPr>
        <w:pStyle w:val="QS10"/>
        <w:jc w:val="center"/>
      </w:pPr>
      <w:r>
        <w:t>***</w:t>
      </w:r>
    </w:p>
    <w:p w:rsidR="007649DB" w:rsidRDefault="007649DB" w:rsidP="007649DB">
      <w:pPr>
        <w:pStyle w:val="QS10"/>
      </w:pPr>
      <w:r>
        <w:t xml:space="preserve">The formula set out in the Deed exposes the fundamental problem for Oakbrook-under the terms of the Deed, the donee never received the type of “interest[ ] in real property” contemplated by </w:t>
      </w:r>
      <w:r w:rsidRPr="004F0898">
        <w:t>section</w:t>
      </w:r>
      <w:r>
        <w:t xml:space="preserve"> </w:t>
      </w:r>
      <w:r w:rsidRPr="004F0898">
        <w:t>170(h)(2)(C)</w:t>
      </w:r>
      <w:r>
        <w:t xml:space="preserve"> and further protected by </w:t>
      </w:r>
      <w:r w:rsidRPr="004F0898">
        <w:t>section</w:t>
      </w:r>
      <w:r>
        <w:t xml:space="preserve"> </w:t>
      </w:r>
      <w:r w:rsidRPr="004F0898">
        <w:t>170(h)(5)(A)</w:t>
      </w:r>
      <w:r>
        <w:t xml:space="preserve">. Put another way, by failing to convey to the donee the unrestricted right to be compensated at fair market value upon a future transfer or taking, the Deed so restricted the donee’s interest as to cause it to fall outside the purview of </w:t>
      </w:r>
      <w:r w:rsidRPr="004F0898">
        <w:t>section</w:t>
      </w:r>
      <w:r>
        <w:t xml:space="preserve"> </w:t>
      </w:r>
      <w:r w:rsidRPr="004F0898">
        <w:t>170(h)(2)(C)</w:t>
      </w:r>
      <w:r>
        <w:t>.</w:t>
      </w:r>
    </w:p>
    <w:p w:rsidR="007649DB" w:rsidRDefault="007649DB" w:rsidP="007649DB">
      <w:pPr>
        <w:pStyle w:val="QS10"/>
      </w:pPr>
      <w:r>
        <w:t xml:space="preserve">The shortcoming inherent in the Deed also affects Oakbrook’s compliance with </w:t>
      </w:r>
      <w:r w:rsidRPr="004F0898">
        <w:t>section</w:t>
      </w:r>
      <w:r>
        <w:t xml:space="preserve"> </w:t>
      </w:r>
      <w:r w:rsidRPr="004F0898">
        <w:t>170(h)(5)(A)</w:t>
      </w:r>
      <w:r>
        <w:t xml:space="preserve">. The payment of a predetermined fixed amount would be insufficient as compensation for a right “protected in perpetuity” if the fair market value of the property had appreciated since the date the easement was granted. When a transfer of money to the donee is intended to satisfy the “perpetuity of purpose” requirement of </w:t>
      </w:r>
      <w:r w:rsidRPr="004F0898">
        <w:t>section</w:t>
      </w:r>
      <w:r>
        <w:t xml:space="preserve"> </w:t>
      </w:r>
      <w:r w:rsidRPr="004F0898">
        <w:t>170(h)(5)(A)</w:t>
      </w:r>
      <w:r>
        <w:t>, no reasonable reading of the statute would bless the donee receiving an amount that is less than the fair market value of its “interest[ ] in real property” as of the time of the conversion of its interest into cash.</w:t>
      </w:r>
    </w:p>
    <w:p w:rsidR="007649DB" w:rsidRDefault="007649DB" w:rsidP="007649DB">
      <w:pPr>
        <w:pStyle w:val="Body15"/>
        <w:spacing w:before="240"/>
        <w:rPr>
          <w:color w:val="000000" w:themeColor="text1"/>
        </w:rPr>
      </w:pPr>
      <w:r>
        <w:rPr>
          <w:color w:val="000000" w:themeColor="text1"/>
        </w:rPr>
        <w:t>On the other hand, Judge Toro would have invalidated the donor improvement portion of the regulation:</w:t>
      </w:r>
    </w:p>
    <w:p w:rsidR="007649DB" w:rsidRPr="004F0898" w:rsidRDefault="007649DB" w:rsidP="007649DB">
      <w:pPr>
        <w:pStyle w:val="QS10"/>
      </w:pPr>
      <w:r w:rsidRPr="004F0898">
        <w:t>I</w:t>
      </w:r>
      <w:r>
        <w:t xml:space="preserve"> </w:t>
      </w:r>
      <w:r w:rsidRPr="004F0898">
        <w:t>begin</w:t>
      </w:r>
      <w:r>
        <w:t xml:space="preserve"> </w:t>
      </w:r>
      <w:r w:rsidRPr="004F0898">
        <w:t>at</w:t>
      </w:r>
      <w:r>
        <w:t xml:space="preserve"> </w:t>
      </w:r>
      <w:r w:rsidRPr="004F0898">
        <w:t>the</w:t>
      </w:r>
      <w:r>
        <w:t xml:space="preserve"> </w:t>
      </w:r>
      <w:r w:rsidRPr="004F0898">
        <w:t>same</w:t>
      </w:r>
      <w:r>
        <w:t xml:space="preserve"> </w:t>
      </w:r>
      <w:r w:rsidRPr="004F0898">
        <w:t>starting</w:t>
      </w:r>
      <w:r>
        <w:t xml:space="preserve"> </w:t>
      </w:r>
      <w:r w:rsidRPr="004F0898">
        <w:t>place--the</w:t>
      </w:r>
      <w:r>
        <w:t xml:space="preserve"> </w:t>
      </w:r>
      <w:r w:rsidRPr="004F0898">
        <w:t>statutory</w:t>
      </w:r>
      <w:r>
        <w:t xml:space="preserve"> </w:t>
      </w:r>
      <w:r w:rsidRPr="004F0898">
        <w:t>text.</w:t>
      </w:r>
      <w:r>
        <w:t xml:space="preserve"> </w:t>
      </w:r>
      <w:r w:rsidRPr="004F0898">
        <w:t>The</w:t>
      </w:r>
      <w:r>
        <w:t xml:space="preserve"> </w:t>
      </w:r>
      <w:r w:rsidRPr="004F0898">
        <w:t>statute</w:t>
      </w:r>
      <w:r>
        <w:t xml:space="preserve"> </w:t>
      </w:r>
      <w:r w:rsidRPr="004F0898">
        <w:t>provides</w:t>
      </w:r>
      <w:r>
        <w:t xml:space="preserve"> </w:t>
      </w:r>
      <w:r w:rsidRPr="004F0898">
        <w:t>a</w:t>
      </w:r>
      <w:r>
        <w:t xml:space="preserve"> </w:t>
      </w:r>
      <w:r w:rsidRPr="004F0898">
        <w:t>deduction</w:t>
      </w:r>
      <w:r>
        <w:t xml:space="preserve"> </w:t>
      </w:r>
      <w:r w:rsidRPr="004F0898">
        <w:t>for</w:t>
      </w:r>
      <w:r>
        <w:t xml:space="preserve"> </w:t>
      </w:r>
      <w:r w:rsidRPr="004F0898">
        <w:t>a</w:t>
      </w:r>
      <w:r>
        <w:t xml:space="preserve"> </w:t>
      </w:r>
      <w:r w:rsidRPr="004F0898">
        <w:t>contribution</w:t>
      </w:r>
      <w:r>
        <w:t xml:space="preserve"> </w:t>
      </w:r>
      <w:r w:rsidRPr="004F0898">
        <w:t>to</w:t>
      </w:r>
      <w:r>
        <w:t xml:space="preserve"> </w:t>
      </w:r>
      <w:r w:rsidRPr="004F0898">
        <w:t>a</w:t>
      </w:r>
      <w:r>
        <w:t xml:space="preserve"> </w:t>
      </w:r>
      <w:r w:rsidRPr="004F0898">
        <w:t>qualified</w:t>
      </w:r>
      <w:r>
        <w:t xml:space="preserve"> </w:t>
      </w:r>
      <w:r w:rsidRPr="004F0898">
        <w:t>organization</w:t>
      </w:r>
      <w:r>
        <w:t xml:space="preserve"> </w:t>
      </w:r>
      <w:r w:rsidRPr="004F0898">
        <w:t>of</w:t>
      </w:r>
      <w:r>
        <w:t xml:space="preserve"> </w:t>
      </w:r>
      <w:r w:rsidRPr="004F0898">
        <w:t>a</w:t>
      </w:r>
      <w:r>
        <w:t xml:space="preserve"> </w:t>
      </w:r>
      <w:r w:rsidRPr="004F0898">
        <w:t>“qualified</w:t>
      </w:r>
      <w:r>
        <w:t xml:space="preserve"> </w:t>
      </w:r>
      <w:r w:rsidRPr="004F0898">
        <w:t>real</w:t>
      </w:r>
      <w:r>
        <w:t xml:space="preserve"> </w:t>
      </w:r>
      <w:r w:rsidRPr="004F0898">
        <w:t>property</w:t>
      </w:r>
      <w:r>
        <w:t xml:space="preserve"> </w:t>
      </w:r>
      <w:r w:rsidRPr="004F0898">
        <w:t>interest”</w:t>
      </w:r>
      <w:r>
        <w:t xml:space="preserve"> </w:t>
      </w:r>
      <w:r w:rsidRPr="004F0898">
        <w:t>made</w:t>
      </w:r>
      <w:r>
        <w:t xml:space="preserve"> </w:t>
      </w:r>
      <w:r w:rsidRPr="004F0898">
        <w:t>“exclusively</w:t>
      </w:r>
      <w:r>
        <w:t xml:space="preserve"> </w:t>
      </w:r>
      <w:r w:rsidRPr="004F0898">
        <w:t>for</w:t>
      </w:r>
      <w:r>
        <w:t xml:space="preserve"> </w:t>
      </w:r>
      <w:r w:rsidRPr="004F0898">
        <w:t>conservation</w:t>
      </w:r>
      <w:r>
        <w:t xml:space="preserve"> </w:t>
      </w:r>
      <w:r w:rsidRPr="004F0898">
        <w:t>purposes.”</w:t>
      </w:r>
      <w:r>
        <w:t xml:space="preserve"> </w:t>
      </w:r>
      <w:r w:rsidRPr="004F0898">
        <w:t>Although</w:t>
      </w:r>
      <w:r>
        <w:t xml:space="preserve"> </w:t>
      </w:r>
      <w:r w:rsidRPr="004F0898">
        <w:t>the</w:t>
      </w:r>
      <w:r>
        <w:t xml:space="preserve"> </w:t>
      </w:r>
      <w:r w:rsidRPr="004F0898">
        <w:t>statute</w:t>
      </w:r>
      <w:r>
        <w:t xml:space="preserve"> </w:t>
      </w:r>
      <w:r w:rsidRPr="004F0898">
        <w:t>makes</w:t>
      </w:r>
      <w:r>
        <w:t xml:space="preserve"> </w:t>
      </w:r>
      <w:r w:rsidRPr="004F0898">
        <w:t>clear</w:t>
      </w:r>
      <w:r>
        <w:t xml:space="preserve"> </w:t>
      </w:r>
      <w:r w:rsidRPr="004F0898">
        <w:t>that</w:t>
      </w:r>
      <w:r>
        <w:t xml:space="preserve"> </w:t>
      </w:r>
      <w:r w:rsidRPr="004F0898">
        <w:t>there</w:t>
      </w:r>
      <w:r>
        <w:t xml:space="preserve"> </w:t>
      </w:r>
      <w:r w:rsidRPr="004F0898">
        <w:t>can</w:t>
      </w:r>
      <w:r>
        <w:t xml:space="preserve"> </w:t>
      </w:r>
      <w:r w:rsidRPr="004F0898">
        <w:t>be</w:t>
      </w:r>
      <w:r>
        <w:t xml:space="preserve"> </w:t>
      </w:r>
      <w:r w:rsidRPr="004F0898">
        <w:t>no</w:t>
      </w:r>
      <w:r>
        <w:t xml:space="preserve"> </w:t>
      </w:r>
      <w:r w:rsidRPr="004F0898">
        <w:t>deduction</w:t>
      </w:r>
      <w:r>
        <w:t xml:space="preserve"> </w:t>
      </w:r>
      <w:r w:rsidRPr="004F0898">
        <w:t>unless</w:t>
      </w:r>
      <w:r>
        <w:t xml:space="preserve"> </w:t>
      </w:r>
      <w:r w:rsidRPr="004F0898">
        <w:t>the</w:t>
      </w:r>
      <w:r>
        <w:t xml:space="preserve"> </w:t>
      </w:r>
      <w:r w:rsidRPr="004F0898">
        <w:t>conservation</w:t>
      </w:r>
      <w:r>
        <w:t xml:space="preserve"> </w:t>
      </w:r>
      <w:r w:rsidRPr="004F0898">
        <w:t>purposes</w:t>
      </w:r>
      <w:r>
        <w:t xml:space="preserve"> </w:t>
      </w:r>
      <w:r w:rsidRPr="004F0898">
        <w:t>are</w:t>
      </w:r>
      <w:r>
        <w:t xml:space="preserve"> </w:t>
      </w:r>
      <w:r w:rsidRPr="004F0898">
        <w:t>“protected</w:t>
      </w:r>
      <w:r>
        <w:t xml:space="preserve"> </w:t>
      </w:r>
      <w:r w:rsidRPr="004F0898">
        <w:t>in</w:t>
      </w:r>
      <w:r>
        <w:t xml:space="preserve"> </w:t>
      </w:r>
      <w:r w:rsidRPr="004F0898">
        <w:t>perpetuity,”</w:t>
      </w:r>
      <w:r>
        <w:t xml:space="preserve"> </w:t>
      </w:r>
      <w:r w:rsidRPr="004F0898">
        <w:t>one</w:t>
      </w:r>
      <w:r>
        <w:t xml:space="preserve"> </w:t>
      </w:r>
      <w:r w:rsidRPr="004F0898">
        <w:t>cannot</w:t>
      </w:r>
      <w:r>
        <w:t xml:space="preserve"> </w:t>
      </w:r>
      <w:r w:rsidRPr="004F0898">
        <w:t>lose</w:t>
      </w:r>
      <w:r>
        <w:t xml:space="preserve"> </w:t>
      </w:r>
      <w:r w:rsidRPr="004F0898">
        <w:t>track</w:t>
      </w:r>
      <w:r>
        <w:t xml:space="preserve"> </w:t>
      </w:r>
      <w:r w:rsidRPr="004F0898">
        <w:t>of</w:t>
      </w:r>
      <w:r>
        <w:t xml:space="preserve"> </w:t>
      </w:r>
      <w:r w:rsidRPr="004F0898">
        <w:t>the</w:t>
      </w:r>
      <w:r>
        <w:t xml:space="preserve"> </w:t>
      </w:r>
      <w:r w:rsidRPr="004F0898">
        <w:t>fact</w:t>
      </w:r>
      <w:r>
        <w:t xml:space="preserve"> </w:t>
      </w:r>
      <w:r w:rsidRPr="004F0898">
        <w:t>that</w:t>
      </w:r>
      <w:r>
        <w:t xml:space="preserve"> </w:t>
      </w:r>
      <w:r w:rsidRPr="004F0898">
        <w:t>the</w:t>
      </w:r>
      <w:r>
        <w:t xml:space="preserve"> </w:t>
      </w:r>
      <w:r w:rsidRPr="004F0898">
        <w:t>deduction</w:t>
      </w:r>
      <w:r>
        <w:t xml:space="preserve"> </w:t>
      </w:r>
      <w:r w:rsidRPr="004F0898">
        <w:t>is</w:t>
      </w:r>
      <w:r>
        <w:t xml:space="preserve"> </w:t>
      </w:r>
      <w:r w:rsidRPr="004F0898">
        <w:t>predicated</w:t>
      </w:r>
      <w:r>
        <w:t xml:space="preserve"> </w:t>
      </w:r>
      <w:r w:rsidRPr="004F0898">
        <w:t>on</w:t>
      </w:r>
      <w:r>
        <w:t xml:space="preserve"> </w:t>
      </w:r>
      <w:r w:rsidRPr="004F0898">
        <w:t>a</w:t>
      </w:r>
      <w:r>
        <w:t xml:space="preserve"> </w:t>
      </w:r>
      <w:r w:rsidRPr="004F0898">
        <w:t>“qualified</w:t>
      </w:r>
      <w:r>
        <w:t xml:space="preserve"> </w:t>
      </w:r>
      <w:r w:rsidRPr="004F0898">
        <w:t>real</w:t>
      </w:r>
      <w:r>
        <w:t xml:space="preserve"> </w:t>
      </w:r>
      <w:r w:rsidRPr="004F0898">
        <w:t>property</w:t>
      </w:r>
      <w:r>
        <w:t xml:space="preserve"> </w:t>
      </w:r>
      <w:r w:rsidRPr="004F0898">
        <w:t>interest”</w:t>
      </w:r>
      <w:r>
        <w:t xml:space="preserve"> </w:t>
      </w:r>
      <w:r w:rsidRPr="004F0898">
        <w:t>being</w:t>
      </w:r>
      <w:r>
        <w:t xml:space="preserve"> </w:t>
      </w:r>
      <w:r w:rsidRPr="004F0898">
        <w:t>contributed</w:t>
      </w:r>
      <w:r>
        <w:t xml:space="preserve"> </w:t>
      </w:r>
      <w:r w:rsidRPr="004F0898">
        <w:t>to</w:t>
      </w:r>
      <w:r>
        <w:t xml:space="preserve"> </w:t>
      </w:r>
      <w:r w:rsidRPr="004F0898">
        <w:t>a</w:t>
      </w:r>
      <w:r>
        <w:t xml:space="preserve"> </w:t>
      </w:r>
      <w:r w:rsidRPr="004F0898">
        <w:t>qualified</w:t>
      </w:r>
      <w:r>
        <w:t xml:space="preserve"> </w:t>
      </w:r>
      <w:r w:rsidRPr="004F0898">
        <w:t>organization.</w:t>
      </w:r>
      <w:r>
        <w:t xml:space="preserve"> </w:t>
      </w:r>
      <w:r w:rsidRPr="004F0898">
        <w:t>Thus,</w:t>
      </w:r>
      <w:r>
        <w:t xml:space="preserve"> </w:t>
      </w:r>
      <w:r w:rsidRPr="004F0898">
        <w:t>the</w:t>
      </w:r>
      <w:r>
        <w:t xml:space="preserve"> </w:t>
      </w:r>
      <w:r w:rsidRPr="004F0898">
        <w:t>most</w:t>
      </w:r>
      <w:r>
        <w:t xml:space="preserve"> </w:t>
      </w:r>
      <w:r w:rsidRPr="004F0898">
        <w:t>that</w:t>
      </w:r>
      <w:r>
        <w:t xml:space="preserve"> </w:t>
      </w:r>
      <w:r w:rsidRPr="004F0898">
        <w:t>a</w:t>
      </w:r>
      <w:r>
        <w:t xml:space="preserve"> </w:t>
      </w:r>
      <w:r w:rsidRPr="004F0898">
        <w:t>qualified</w:t>
      </w:r>
      <w:r>
        <w:t xml:space="preserve"> </w:t>
      </w:r>
      <w:r w:rsidRPr="004F0898">
        <w:t>organization</w:t>
      </w:r>
      <w:r>
        <w:t xml:space="preserve"> </w:t>
      </w:r>
      <w:r w:rsidRPr="004F0898">
        <w:t>can</w:t>
      </w:r>
      <w:r>
        <w:t xml:space="preserve"> </w:t>
      </w:r>
      <w:r w:rsidRPr="004F0898">
        <w:t>be</w:t>
      </w:r>
      <w:r>
        <w:t xml:space="preserve"> </w:t>
      </w:r>
      <w:r w:rsidRPr="004F0898">
        <w:t>entitled</w:t>
      </w:r>
      <w:r>
        <w:t xml:space="preserve"> </w:t>
      </w:r>
      <w:r w:rsidRPr="004F0898">
        <w:t>to</w:t>
      </w:r>
      <w:r>
        <w:t xml:space="preserve"> </w:t>
      </w:r>
      <w:r w:rsidRPr="004F0898">
        <w:t>receive</w:t>
      </w:r>
      <w:r>
        <w:t xml:space="preserve"> </w:t>
      </w:r>
      <w:r w:rsidRPr="004F0898">
        <w:t>if</w:t>
      </w:r>
      <w:r>
        <w:t xml:space="preserve"> </w:t>
      </w:r>
      <w:r w:rsidRPr="004F0898">
        <w:t>its</w:t>
      </w:r>
      <w:r>
        <w:t xml:space="preserve"> </w:t>
      </w:r>
      <w:r w:rsidRPr="004F0898">
        <w:t>“qualified</w:t>
      </w:r>
      <w:r>
        <w:t xml:space="preserve"> </w:t>
      </w:r>
      <w:r w:rsidRPr="004F0898">
        <w:t>real</w:t>
      </w:r>
      <w:r>
        <w:t xml:space="preserve"> </w:t>
      </w:r>
      <w:r w:rsidRPr="004F0898">
        <w:t>property</w:t>
      </w:r>
      <w:r>
        <w:t xml:space="preserve"> </w:t>
      </w:r>
      <w:r w:rsidRPr="004F0898">
        <w:t>interest”</w:t>
      </w:r>
      <w:r>
        <w:t xml:space="preserve"> </w:t>
      </w:r>
      <w:r w:rsidRPr="004F0898">
        <w:t>is</w:t>
      </w:r>
      <w:r>
        <w:t xml:space="preserve"> </w:t>
      </w:r>
      <w:r w:rsidRPr="004F0898">
        <w:t>extinguished</w:t>
      </w:r>
      <w:r>
        <w:t xml:space="preserve"> </w:t>
      </w:r>
      <w:r w:rsidRPr="004F0898">
        <w:t>in</w:t>
      </w:r>
      <w:r>
        <w:t xml:space="preserve"> </w:t>
      </w:r>
      <w:r w:rsidRPr="004F0898">
        <w:t>the</w:t>
      </w:r>
      <w:r>
        <w:t xml:space="preserve"> </w:t>
      </w:r>
      <w:r w:rsidRPr="004F0898">
        <w:t>future</w:t>
      </w:r>
      <w:r>
        <w:t xml:space="preserve"> </w:t>
      </w:r>
      <w:r w:rsidRPr="004F0898">
        <w:t>is</w:t>
      </w:r>
      <w:r>
        <w:t xml:space="preserve"> </w:t>
      </w:r>
      <w:r w:rsidRPr="004F0898">
        <w:t>the</w:t>
      </w:r>
      <w:r>
        <w:t xml:space="preserve"> </w:t>
      </w:r>
      <w:r w:rsidRPr="004F0898">
        <w:t>full</w:t>
      </w:r>
      <w:r>
        <w:t xml:space="preserve"> </w:t>
      </w:r>
      <w:r w:rsidRPr="004F0898">
        <w:t>value</w:t>
      </w:r>
      <w:r>
        <w:t xml:space="preserve"> </w:t>
      </w:r>
      <w:r w:rsidRPr="004F0898">
        <w:t>of</w:t>
      </w:r>
      <w:r>
        <w:t xml:space="preserve"> </w:t>
      </w:r>
      <w:r w:rsidRPr="004F0898">
        <w:t>that</w:t>
      </w:r>
      <w:r>
        <w:t xml:space="preserve"> </w:t>
      </w:r>
      <w:r w:rsidRPr="004F0898">
        <w:t>interest.</w:t>
      </w:r>
      <w:r>
        <w:t xml:space="preserve"> </w:t>
      </w:r>
      <w:r w:rsidRPr="004F0898">
        <w:t>Whatever</w:t>
      </w:r>
      <w:r>
        <w:t xml:space="preserve"> </w:t>
      </w:r>
      <w:r w:rsidRPr="004F0898">
        <w:t>the</w:t>
      </w:r>
      <w:r>
        <w:t xml:space="preserve"> </w:t>
      </w:r>
      <w:r w:rsidRPr="004F0898">
        <w:t>purpose</w:t>
      </w:r>
      <w:r>
        <w:t xml:space="preserve"> </w:t>
      </w:r>
      <w:r w:rsidRPr="004F0898">
        <w:t>of</w:t>
      </w:r>
      <w:r>
        <w:t xml:space="preserve"> </w:t>
      </w:r>
      <w:r w:rsidRPr="004F0898">
        <w:t>a</w:t>
      </w:r>
      <w:r>
        <w:t xml:space="preserve"> </w:t>
      </w:r>
      <w:r w:rsidRPr="004F0898">
        <w:t>contribution,</w:t>
      </w:r>
      <w:r>
        <w:t xml:space="preserve"> </w:t>
      </w:r>
      <w:r w:rsidRPr="004F0898">
        <w:t>that</w:t>
      </w:r>
      <w:r>
        <w:t xml:space="preserve"> </w:t>
      </w:r>
      <w:r w:rsidRPr="004F0898">
        <w:t>purpose</w:t>
      </w:r>
      <w:r>
        <w:t xml:space="preserve"> </w:t>
      </w:r>
      <w:r w:rsidRPr="004F0898">
        <w:t>may</w:t>
      </w:r>
      <w:r>
        <w:t xml:space="preserve"> </w:t>
      </w:r>
      <w:r w:rsidRPr="004F0898">
        <w:t>not</w:t>
      </w:r>
      <w:r>
        <w:t xml:space="preserve"> </w:t>
      </w:r>
      <w:r w:rsidRPr="004F0898">
        <w:t>be</w:t>
      </w:r>
      <w:r>
        <w:t xml:space="preserve"> </w:t>
      </w:r>
      <w:r w:rsidRPr="004F0898">
        <w:t>invoked</w:t>
      </w:r>
      <w:r>
        <w:t xml:space="preserve"> </w:t>
      </w:r>
      <w:r w:rsidRPr="004F0898">
        <w:t>to</w:t>
      </w:r>
      <w:r>
        <w:t xml:space="preserve"> </w:t>
      </w:r>
      <w:r w:rsidRPr="004F0898">
        <w:t>require</w:t>
      </w:r>
      <w:r>
        <w:t xml:space="preserve"> </w:t>
      </w:r>
      <w:r w:rsidRPr="004F0898">
        <w:t>the</w:t>
      </w:r>
      <w:r>
        <w:t xml:space="preserve"> </w:t>
      </w:r>
      <w:r w:rsidRPr="004F0898">
        <w:t>donor</w:t>
      </w:r>
      <w:r>
        <w:t xml:space="preserve"> </w:t>
      </w:r>
      <w:r w:rsidRPr="004F0898">
        <w:t>to</w:t>
      </w:r>
      <w:r>
        <w:t xml:space="preserve"> </w:t>
      </w:r>
      <w:r w:rsidRPr="004F0898">
        <w:t>give</w:t>
      </w:r>
      <w:r>
        <w:t xml:space="preserve"> </w:t>
      </w:r>
      <w:r w:rsidRPr="004F0898">
        <w:t>the</w:t>
      </w:r>
      <w:r>
        <w:t xml:space="preserve"> </w:t>
      </w:r>
      <w:r w:rsidRPr="004F0898">
        <w:t>donee,</w:t>
      </w:r>
      <w:r>
        <w:t xml:space="preserve"> </w:t>
      </w:r>
      <w:r w:rsidRPr="004F0898">
        <w:t>as</w:t>
      </w:r>
      <w:r>
        <w:t xml:space="preserve"> </w:t>
      </w:r>
      <w:r w:rsidRPr="004F0898">
        <w:t>a</w:t>
      </w:r>
      <w:r>
        <w:t xml:space="preserve"> </w:t>
      </w:r>
      <w:r w:rsidRPr="004F0898">
        <w:t>precondition</w:t>
      </w:r>
      <w:r>
        <w:t xml:space="preserve"> </w:t>
      </w:r>
      <w:r w:rsidRPr="004F0898">
        <w:t>to</w:t>
      </w:r>
      <w:r>
        <w:t xml:space="preserve"> </w:t>
      </w:r>
      <w:r w:rsidRPr="004F0898">
        <w:t>receiving</w:t>
      </w:r>
      <w:r>
        <w:t xml:space="preserve"> </w:t>
      </w:r>
      <w:r w:rsidRPr="004F0898">
        <w:t>a</w:t>
      </w:r>
      <w:r>
        <w:t xml:space="preserve"> </w:t>
      </w:r>
      <w:r w:rsidRPr="004F0898">
        <w:t>deduction</w:t>
      </w:r>
      <w:r>
        <w:t xml:space="preserve"> </w:t>
      </w:r>
      <w:r w:rsidRPr="004F0898">
        <w:t>for</w:t>
      </w:r>
      <w:r>
        <w:t xml:space="preserve"> </w:t>
      </w:r>
      <w:r w:rsidRPr="004F0898">
        <w:t>his</w:t>
      </w:r>
      <w:r>
        <w:t xml:space="preserve"> </w:t>
      </w:r>
      <w:r w:rsidRPr="004F0898">
        <w:t>contribution,</w:t>
      </w:r>
      <w:r>
        <w:t xml:space="preserve"> </w:t>
      </w:r>
      <w:r w:rsidRPr="004F0898">
        <w:t>a</w:t>
      </w:r>
      <w:r>
        <w:t xml:space="preserve"> </w:t>
      </w:r>
      <w:r w:rsidRPr="004F0898">
        <w:t>right</w:t>
      </w:r>
      <w:r>
        <w:t xml:space="preserve"> </w:t>
      </w:r>
      <w:r w:rsidRPr="004F0898">
        <w:t>to</w:t>
      </w:r>
      <w:r>
        <w:t xml:space="preserve"> </w:t>
      </w:r>
      <w:r w:rsidRPr="004F0898">
        <w:t>receive</w:t>
      </w:r>
      <w:r>
        <w:t xml:space="preserve"> </w:t>
      </w:r>
      <w:r w:rsidRPr="004F0898">
        <w:t>compensation</w:t>
      </w:r>
      <w:r>
        <w:t xml:space="preserve"> </w:t>
      </w:r>
      <w:r w:rsidRPr="004F0898">
        <w:t>properly</w:t>
      </w:r>
      <w:r>
        <w:t xml:space="preserve"> </w:t>
      </w:r>
      <w:r w:rsidRPr="004F0898">
        <w:t>attributed</w:t>
      </w:r>
      <w:r>
        <w:t xml:space="preserve"> </w:t>
      </w:r>
      <w:r w:rsidRPr="004F0898">
        <w:t>to</w:t>
      </w:r>
      <w:r>
        <w:t xml:space="preserve"> </w:t>
      </w:r>
      <w:r w:rsidRPr="004F0898">
        <w:t>the</w:t>
      </w:r>
      <w:r>
        <w:t xml:space="preserve"> </w:t>
      </w:r>
      <w:r w:rsidRPr="004F0898">
        <w:t>real</w:t>
      </w:r>
      <w:r>
        <w:t xml:space="preserve"> </w:t>
      </w:r>
      <w:r w:rsidRPr="004F0898">
        <w:t>property</w:t>
      </w:r>
      <w:r>
        <w:t xml:space="preserve"> </w:t>
      </w:r>
      <w:r w:rsidRPr="004F0898">
        <w:t>interest</w:t>
      </w:r>
      <w:r>
        <w:t xml:space="preserve"> </w:t>
      </w:r>
      <w:r w:rsidRPr="004F0898">
        <w:t>that</w:t>
      </w:r>
      <w:r>
        <w:t xml:space="preserve"> </w:t>
      </w:r>
      <w:r w:rsidRPr="004F0898">
        <w:t>the</w:t>
      </w:r>
      <w:r>
        <w:t xml:space="preserve"> </w:t>
      </w:r>
      <w:r w:rsidRPr="004F0898">
        <w:t>Code</w:t>
      </w:r>
      <w:r>
        <w:t xml:space="preserve"> </w:t>
      </w:r>
      <w:r w:rsidRPr="004F0898">
        <w:t>permits</w:t>
      </w:r>
      <w:r>
        <w:t xml:space="preserve"> </w:t>
      </w:r>
      <w:r w:rsidRPr="004F0898">
        <w:t>the</w:t>
      </w:r>
      <w:r>
        <w:t xml:space="preserve"> </w:t>
      </w:r>
      <w:r w:rsidRPr="004F0898">
        <w:t>donor</w:t>
      </w:r>
      <w:r>
        <w:t xml:space="preserve"> </w:t>
      </w:r>
      <w:r w:rsidRPr="004F0898">
        <w:t>to</w:t>
      </w:r>
      <w:r>
        <w:t xml:space="preserve"> </w:t>
      </w:r>
      <w:r w:rsidRPr="004F0898">
        <w:t>retain.</w:t>
      </w:r>
      <w:r>
        <w:t xml:space="preserve"> </w:t>
      </w:r>
      <w:r w:rsidRPr="004F0898">
        <w:t>A</w:t>
      </w:r>
      <w:r>
        <w:t xml:space="preserve"> </w:t>
      </w:r>
      <w:r w:rsidRPr="004F0898">
        <w:t>regulation</w:t>
      </w:r>
      <w:r>
        <w:t xml:space="preserve"> </w:t>
      </w:r>
      <w:r w:rsidRPr="004F0898">
        <w:t>interpreted</w:t>
      </w:r>
      <w:r>
        <w:t xml:space="preserve"> </w:t>
      </w:r>
      <w:r w:rsidRPr="004F0898">
        <w:t>to</w:t>
      </w:r>
      <w:r>
        <w:t xml:space="preserve"> </w:t>
      </w:r>
      <w:r w:rsidRPr="004F0898">
        <w:t>require</w:t>
      </w:r>
      <w:r>
        <w:t xml:space="preserve"> </w:t>
      </w:r>
      <w:r w:rsidRPr="004F0898">
        <w:t>otherwise</w:t>
      </w:r>
      <w:r>
        <w:t xml:space="preserve"> </w:t>
      </w:r>
      <w:r w:rsidRPr="004F0898">
        <w:t>cannot</w:t>
      </w:r>
      <w:r>
        <w:t xml:space="preserve"> </w:t>
      </w:r>
      <w:r w:rsidRPr="004F0898">
        <w:t>be</w:t>
      </w:r>
      <w:r>
        <w:t xml:space="preserve"> </w:t>
      </w:r>
      <w:r w:rsidRPr="004F0898">
        <w:t>a</w:t>
      </w:r>
      <w:r>
        <w:t xml:space="preserve"> </w:t>
      </w:r>
      <w:r w:rsidRPr="004F0898">
        <w:t>permissible</w:t>
      </w:r>
      <w:r>
        <w:t xml:space="preserve"> </w:t>
      </w:r>
      <w:r w:rsidRPr="004F0898">
        <w:t>interpretation</w:t>
      </w:r>
      <w:r>
        <w:t xml:space="preserve"> </w:t>
      </w:r>
      <w:r w:rsidRPr="004F0898">
        <w:t>of</w:t>
      </w:r>
      <w:r>
        <w:t xml:space="preserve"> </w:t>
      </w:r>
      <w:r w:rsidRPr="004F0898">
        <w:t>the</w:t>
      </w:r>
      <w:r>
        <w:t xml:space="preserve"> </w:t>
      </w:r>
      <w:r w:rsidRPr="004F0898">
        <w:t>statutory</w:t>
      </w:r>
      <w:r>
        <w:t xml:space="preserve"> </w:t>
      </w:r>
      <w:r w:rsidRPr="004F0898">
        <w:t>text</w:t>
      </w:r>
      <w:r>
        <w:t xml:space="preserve"> </w:t>
      </w:r>
      <w:r w:rsidRPr="004F0898">
        <w:t>before</w:t>
      </w:r>
      <w:r>
        <w:t xml:space="preserve"> </w:t>
      </w:r>
      <w:r w:rsidRPr="004F0898">
        <w:t>us.</w:t>
      </w:r>
      <w:r>
        <w:t xml:space="preserve"> </w:t>
      </w:r>
      <w:r w:rsidRPr="004F0898">
        <w:t>Under</w:t>
      </w:r>
      <w:r>
        <w:t xml:space="preserve"> </w:t>
      </w:r>
      <w:r w:rsidRPr="004F0898">
        <w:t>that</w:t>
      </w:r>
      <w:r>
        <w:t xml:space="preserve"> </w:t>
      </w:r>
      <w:r w:rsidRPr="004F0898">
        <w:t>text,</w:t>
      </w:r>
      <w:r>
        <w:t xml:space="preserve"> </w:t>
      </w:r>
      <w:r w:rsidRPr="004F0898">
        <w:t>the</w:t>
      </w:r>
      <w:r>
        <w:t xml:space="preserve"> </w:t>
      </w:r>
      <w:r w:rsidRPr="004F0898">
        <w:t>interest</w:t>
      </w:r>
      <w:r>
        <w:t xml:space="preserve"> </w:t>
      </w:r>
      <w:r w:rsidRPr="004F0898">
        <w:t>the</w:t>
      </w:r>
      <w:r>
        <w:t xml:space="preserve"> </w:t>
      </w:r>
      <w:r w:rsidRPr="004F0898">
        <w:t>donee</w:t>
      </w:r>
      <w:r>
        <w:t xml:space="preserve"> </w:t>
      </w:r>
      <w:r w:rsidRPr="004F0898">
        <w:t>organization</w:t>
      </w:r>
      <w:r>
        <w:t xml:space="preserve"> </w:t>
      </w:r>
      <w:r w:rsidRPr="004F0898">
        <w:t>must</w:t>
      </w:r>
      <w:r>
        <w:t xml:space="preserve"> </w:t>
      </w:r>
      <w:r w:rsidRPr="004F0898">
        <w:t>obtain</w:t>
      </w:r>
      <w:r>
        <w:t xml:space="preserve"> </w:t>
      </w:r>
      <w:r w:rsidRPr="004F0898">
        <w:t>in</w:t>
      </w:r>
      <w:r>
        <w:t xml:space="preserve"> </w:t>
      </w:r>
      <w:r w:rsidRPr="004F0898">
        <w:t>connection</w:t>
      </w:r>
      <w:r>
        <w:t xml:space="preserve"> </w:t>
      </w:r>
      <w:r w:rsidRPr="004F0898">
        <w:t>with</w:t>
      </w:r>
      <w:r>
        <w:t xml:space="preserve"> </w:t>
      </w:r>
      <w:r w:rsidRPr="004F0898">
        <w:t>a</w:t>
      </w:r>
      <w:r>
        <w:t xml:space="preserve"> </w:t>
      </w:r>
      <w:r w:rsidRPr="004F0898">
        <w:t>contribution</w:t>
      </w:r>
      <w:r>
        <w:t xml:space="preserve"> </w:t>
      </w:r>
      <w:r w:rsidRPr="004F0898">
        <w:t>is</w:t>
      </w:r>
      <w:r>
        <w:t xml:space="preserve"> </w:t>
      </w:r>
      <w:r w:rsidRPr="004F0898">
        <w:t>the</w:t>
      </w:r>
      <w:r>
        <w:t xml:space="preserve"> </w:t>
      </w:r>
      <w:r w:rsidRPr="004F0898">
        <w:t>“qualified</w:t>
      </w:r>
      <w:r>
        <w:t xml:space="preserve"> </w:t>
      </w:r>
      <w:r w:rsidRPr="004F0898">
        <w:t>real</w:t>
      </w:r>
      <w:r>
        <w:t xml:space="preserve"> </w:t>
      </w:r>
      <w:r w:rsidRPr="004F0898">
        <w:t>property</w:t>
      </w:r>
      <w:r>
        <w:t xml:space="preserve"> </w:t>
      </w:r>
      <w:r w:rsidRPr="004F0898">
        <w:t>interest”</w:t>
      </w:r>
      <w:r>
        <w:t xml:space="preserve"> </w:t>
      </w:r>
      <w:r w:rsidRPr="004F0898">
        <w:t>transferred</w:t>
      </w:r>
      <w:r>
        <w:t xml:space="preserve"> </w:t>
      </w:r>
      <w:r w:rsidRPr="004F0898">
        <w:t>to</w:t>
      </w:r>
      <w:r>
        <w:t xml:space="preserve"> </w:t>
      </w:r>
      <w:r w:rsidRPr="004F0898">
        <w:t>it.</w:t>
      </w:r>
      <w:r>
        <w:t xml:space="preserve"> </w:t>
      </w:r>
      <w:r w:rsidRPr="004F0898">
        <w:t>Requiring</w:t>
      </w:r>
      <w:r>
        <w:t xml:space="preserve"> </w:t>
      </w:r>
      <w:r w:rsidRPr="004F0898">
        <w:t>the</w:t>
      </w:r>
      <w:r>
        <w:t xml:space="preserve"> </w:t>
      </w:r>
      <w:r w:rsidRPr="004F0898">
        <w:t>donor</w:t>
      </w:r>
      <w:r>
        <w:t xml:space="preserve"> </w:t>
      </w:r>
      <w:r w:rsidRPr="004F0898">
        <w:t>to</w:t>
      </w:r>
      <w:r>
        <w:t xml:space="preserve"> </w:t>
      </w:r>
      <w:r w:rsidRPr="004F0898">
        <w:t>promise</w:t>
      </w:r>
      <w:r>
        <w:t xml:space="preserve"> </w:t>
      </w:r>
      <w:r w:rsidRPr="004F0898">
        <w:t>to</w:t>
      </w:r>
      <w:r>
        <w:t xml:space="preserve"> </w:t>
      </w:r>
      <w:r w:rsidRPr="004F0898">
        <w:t>turn</w:t>
      </w:r>
      <w:r>
        <w:t xml:space="preserve"> </w:t>
      </w:r>
      <w:r w:rsidRPr="004F0898">
        <w:t>over</w:t>
      </w:r>
      <w:r>
        <w:t xml:space="preserve"> </w:t>
      </w:r>
      <w:r w:rsidRPr="004F0898">
        <w:t>to</w:t>
      </w:r>
      <w:r>
        <w:t xml:space="preserve"> </w:t>
      </w:r>
      <w:r w:rsidRPr="004F0898">
        <w:t>the</w:t>
      </w:r>
      <w:r>
        <w:t xml:space="preserve"> </w:t>
      </w:r>
      <w:r w:rsidRPr="004F0898">
        <w:t>donee</w:t>
      </w:r>
      <w:r>
        <w:t xml:space="preserve"> </w:t>
      </w:r>
      <w:r w:rsidRPr="004F0898">
        <w:t>proceeds</w:t>
      </w:r>
      <w:r>
        <w:t xml:space="preserve"> </w:t>
      </w:r>
      <w:r w:rsidRPr="004F0898">
        <w:t>in</w:t>
      </w:r>
      <w:r>
        <w:t xml:space="preserve"> </w:t>
      </w:r>
      <w:r w:rsidRPr="004F0898">
        <w:t>excess</w:t>
      </w:r>
      <w:r>
        <w:t xml:space="preserve"> </w:t>
      </w:r>
      <w:r w:rsidRPr="004F0898">
        <w:t>of</w:t>
      </w:r>
      <w:r>
        <w:t xml:space="preserve"> </w:t>
      </w:r>
      <w:r w:rsidRPr="004F0898">
        <w:t>the</w:t>
      </w:r>
      <w:r>
        <w:t xml:space="preserve"> </w:t>
      </w:r>
      <w:r w:rsidRPr="004F0898">
        <w:t>fair</w:t>
      </w:r>
      <w:r>
        <w:t xml:space="preserve"> </w:t>
      </w:r>
      <w:r w:rsidRPr="004F0898">
        <w:t>market</w:t>
      </w:r>
      <w:r>
        <w:t xml:space="preserve"> </w:t>
      </w:r>
      <w:r w:rsidRPr="004F0898">
        <w:t>value</w:t>
      </w:r>
      <w:r>
        <w:t xml:space="preserve"> </w:t>
      </w:r>
      <w:r w:rsidRPr="004F0898">
        <w:t>of</w:t>
      </w:r>
      <w:r>
        <w:t xml:space="preserve"> </w:t>
      </w:r>
      <w:r w:rsidRPr="004F0898">
        <w:t>that</w:t>
      </w:r>
      <w:r>
        <w:t xml:space="preserve"> </w:t>
      </w:r>
      <w:r w:rsidRPr="004F0898">
        <w:t>interest</w:t>
      </w:r>
      <w:r>
        <w:t xml:space="preserve"> </w:t>
      </w:r>
      <w:r w:rsidRPr="004F0898">
        <w:t>is</w:t>
      </w:r>
      <w:r>
        <w:t xml:space="preserve"> </w:t>
      </w:r>
      <w:r w:rsidRPr="004F0898">
        <w:t>inconsistent</w:t>
      </w:r>
      <w:r>
        <w:t xml:space="preserve"> </w:t>
      </w:r>
      <w:r w:rsidRPr="004F0898">
        <w:t>with</w:t>
      </w:r>
      <w:r>
        <w:t xml:space="preserve"> </w:t>
      </w:r>
      <w:r w:rsidRPr="004F0898">
        <w:t>the</w:t>
      </w:r>
      <w:r>
        <w:t xml:space="preserve"> </w:t>
      </w:r>
      <w:r w:rsidRPr="004F0898">
        <w:t>statutory</w:t>
      </w:r>
      <w:r>
        <w:t xml:space="preserve"> </w:t>
      </w:r>
      <w:r w:rsidRPr="004F0898">
        <w:t>framework,</w:t>
      </w:r>
      <w:r>
        <w:t xml:space="preserve"> </w:t>
      </w:r>
      <w:r w:rsidRPr="004F0898">
        <w:t>and</w:t>
      </w:r>
      <w:r>
        <w:t xml:space="preserve"> </w:t>
      </w:r>
      <w:r w:rsidRPr="004F0898">
        <w:t>nothing</w:t>
      </w:r>
      <w:r>
        <w:t xml:space="preserve"> </w:t>
      </w:r>
      <w:r w:rsidRPr="004F0898">
        <w:t>in</w:t>
      </w:r>
      <w:r>
        <w:t xml:space="preserve"> </w:t>
      </w:r>
      <w:r w:rsidRPr="004F0898">
        <w:t>the</w:t>
      </w:r>
      <w:r>
        <w:t xml:space="preserve"> </w:t>
      </w:r>
      <w:r w:rsidRPr="004F0898">
        <w:t>“statutory</w:t>
      </w:r>
      <w:r>
        <w:t xml:space="preserve"> </w:t>
      </w:r>
      <w:r w:rsidRPr="004F0898">
        <w:t>purposes”</w:t>
      </w:r>
      <w:r>
        <w:t xml:space="preserve"> </w:t>
      </w:r>
      <w:r w:rsidRPr="004F0898">
        <w:t>compels</w:t>
      </w:r>
      <w:r>
        <w:t xml:space="preserve"> </w:t>
      </w:r>
      <w:r w:rsidRPr="004F0898">
        <w:t>a</w:t>
      </w:r>
      <w:r>
        <w:t xml:space="preserve"> </w:t>
      </w:r>
      <w:r w:rsidRPr="004F0898">
        <w:t>different</w:t>
      </w:r>
      <w:r>
        <w:t xml:space="preserve"> </w:t>
      </w:r>
      <w:r w:rsidRPr="004F0898">
        <w:t>conclusion.</w:t>
      </w:r>
      <w:r>
        <w:t xml:space="preserve"> </w:t>
      </w:r>
      <w:r w:rsidRPr="004F0898">
        <w:rPr>
          <w:u w:val="single"/>
        </w:rPr>
        <w:t>Goldstein</w:t>
      </w:r>
      <w:r w:rsidRPr="004F0898">
        <w:t>,</w:t>
      </w:r>
      <w:r>
        <w:t xml:space="preserve"> </w:t>
      </w:r>
      <w:r w:rsidRPr="004F0898">
        <w:t>451</w:t>
      </w:r>
      <w:r>
        <w:t xml:space="preserve"> </w:t>
      </w:r>
      <w:r w:rsidRPr="004F0898">
        <w:t>F.3d</w:t>
      </w:r>
      <w:r>
        <w:t xml:space="preserve"> </w:t>
      </w:r>
      <w:r w:rsidRPr="004F0898">
        <w:t>at</w:t>
      </w:r>
      <w:r>
        <w:t xml:space="preserve"> </w:t>
      </w:r>
      <w:r w:rsidRPr="004F0898">
        <w:t>881</w:t>
      </w:r>
      <w:r>
        <w:t xml:space="preserve"> </w:t>
      </w:r>
      <w:r w:rsidRPr="004F0898">
        <w:t>(quoting</w:t>
      </w:r>
      <w:r>
        <w:t xml:space="preserve"> </w:t>
      </w:r>
      <w:r w:rsidRPr="004F0898">
        <w:rPr>
          <w:u w:val="single"/>
        </w:rPr>
        <w:t>Abbott</w:t>
      </w:r>
      <w:r>
        <w:rPr>
          <w:u w:val="single"/>
        </w:rPr>
        <w:t xml:space="preserve"> </w:t>
      </w:r>
      <w:r w:rsidRPr="004F0898">
        <w:rPr>
          <w:u w:val="single"/>
        </w:rPr>
        <w:t>Labs.</w:t>
      </w:r>
      <w:r w:rsidRPr="004F0898">
        <w:t>,</w:t>
      </w:r>
      <w:r>
        <w:t xml:space="preserve"> </w:t>
      </w:r>
      <w:r w:rsidRPr="004F0898">
        <w:t>920</w:t>
      </w:r>
      <w:r>
        <w:t xml:space="preserve"> </w:t>
      </w:r>
      <w:r w:rsidRPr="004F0898">
        <w:t>F.2d</w:t>
      </w:r>
      <w:r>
        <w:t xml:space="preserve"> </w:t>
      </w:r>
      <w:r w:rsidRPr="004F0898">
        <w:t>at</w:t>
      </w:r>
      <w:r>
        <w:t xml:space="preserve"> </w:t>
      </w:r>
      <w:r w:rsidRPr="004F0898">
        <w:t>988).</w:t>
      </w:r>
    </w:p>
    <w:p w:rsidR="007649DB" w:rsidRPr="004F0898" w:rsidRDefault="007649DB" w:rsidP="007649DB">
      <w:pPr>
        <w:pStyle w:val="QS10"/>
      </w:pPr>
      <w:r w:rsidRPr="004F0898">
        <w:t>The</w:t>
      </w:r>
      <w:r>
        <w:t xml:space="preserve"> </w:t>
      </w:r>
      <w:r w:rsidRPr="004F0898">
        <w:t>opinion</w:t>
      </w:r>
      <w:r>
        <w:t xml:space="preserve"> </w:t>
      </w:r>
      <w:r w:rsidRPr="004F0898">
        <w:t>of</w:t>
      </w:r>
      <w:r>
        <w:t xml:space="preserve"> </w:t>
      </w:r>
      <w:r w:rsidRPr="004F0898">
        <w:t>the</w:t>
      </w:r>
      <w:r>
        <w:t xml:space="preserve"> </w:t>
      </w:r>
      <w:r w:rsidRPr="004F0898">
        <w:t>Court</w:t>
      </w:r>
      <w:r>
        <w:t xml:space="preserve"> </w:t>
      </w:r>
      <w:r w:rsidRPr="004F0898">
        <w:t>admits</w:t>
      </w:r>
      <w:r>
        <w:t xml:space="preserve"> </w:t>
      </w:r>
      <w:r w:rsidRPr="004F0898">
        <w:t>that</w:t>
      </w:r>
      <w:r>
        <w:t xml:space="preserve"> </w:t>
      </w:r>
      <w:r w:rsidRPr="004F0898">
        <w:t>“[i]t</w:t>
      </w:r>
      <w:r>
        <w:t xml:space="preserve"> </w:t>
      </w:r>
      <w:r w:rsidRPr="004F0898">
        <w:t>is</w:t>
      </w:r>
      <w:r>
        <w:t xml:space="preserve"> </w:t>
      </w:r>
      <w:r w:rsidRPr="004F0898">
        <w:t>conceivable</w:t>
      </w:r>
      <w:r>
        <w:t xml:space="preserve"> </w:t>
      </w:r>
      <w:r w:rsidRPr="004F0898">
        <w:t>that</w:t>
      </w:r>
      <w:r>
        <w:t xml:space="preserve"> </w:t>
      </w:r>
      <w:r w:rsidRPr="004F0898">
        <w:t>Treasury</w:t>
      </w:r>
      <w:r>
        <w:t xml:space="preserve"> </w:t>
      </w:r>
      <w:r w:rsidRPr="004F0898">
        <w:t>could</w:t>
      </w:r>
      <w:r>
        <w:t xml:space="preserve"> </w:t>
      </w:r>
      <w:r w:rsidRPr="004F0898">
        <w:t>have</w:t>
      </w:r>
      <w:r>
        <w:t xml:space="preserve"> </w:t>
      </w:r>
      <w:r w:rsidRPr="004F0898">
        <w:t>drafted</w:t>
      </w:r>
      <w:r>
        <w:t xml:space="preserve"> </w:t>
      </w:r>
      <w:r w:rsidRPr="004F0898">
        <w:t>a</w:t>
      </w:r>
      <w:r>
        <w:t xml:space="preserve"> </w:t>
      </w:r>
      <w:r w:rsidRPr="004F0898">
        <w:t>regulation</w:t>
      </w:r>
      <w:r>
        <w:t xml:space="preserve"> </w:t>
      </w:r>
      <w:r w:rsidRPr="004F0898">
        <w:t>that</w:t>
      </w:r>
      <w:r>
        <w:t xml:space="preserve"> </w:t>
      </w:r>
      <w:r w:rsidRPr="004F0898">
        <w:t>addressed</w:t>
      </w:r>
      <w:r>
        <w:t xml:space="preserve"> </w:t>
      </w:r>
      <w:r w:rsidRPr="004F0898">
        <w:t>the</w:t>
      </w:r>
      <w:r>
        <w:t xml:space="preserve"> </w:t>
      </w:r>
      <w:r w:rsidRPr="004F0898">
        <w:t>possibility</w:t>
      </w:r>
      <w:r>
        <w:t xml:space="preserve"> </w:t>
      </w:r>
      <w:r w:rsidRPr="004F0898">
        <w:t>of</w:t>
      </w:r>
      <w:r>
        <w:t xml:space="preserve"> </w:t>
      </w:r>
      <w:r w:rsidRPr="004F0898">
        <w:t>donor</w:t>
      </w:r>
      <w:r>
        <w:t xml:space="preserve"> </w:t>
      </w:r>
      <w:r w:rsidRPr="004F0898">
        <w:t>improvements,</w:t>
      </w:r>
      <w:r>
        <w:t xml:space="preserve"> </w:t>
      </w:r>
      <w:r w:rsidRPr="004F0898">
        <w:t>dealing</w:t>
      </w:r>
      <w:r>
        <w:t xml:space="preserve"> </w:t>
      </w:r>
      <w:r w:rsidRPr="004F0898">
        <w:t>with</w:t>
      </w:r>
      <w:r>
        <w:t xml:space="preserve"> </w:t>
      </w:r>
      <w:r w:rsidRPr="004F0898">
        <w:t>[the</w:t>
      </w:r>
      <w:r>
        <w:t xml:space="preserve"> </w:t>
      </w:r>
      <w:r w:rsidRPr="004F0898">
        <w:t>types</w:t>
      </w:r>
      <w:r>
        <w:t xml:space="preserve"> </w:t>
      </w:r>
      <w:r w:rsidRPr="004F0898">
        <w:t>of</w:t>
      </w:r>
      <w:r>
        <w:t xml:space="preserve"> </w:t>
      </w:r>
      <w:r w:rsidRPr="004F0898">
        <w:t>questions</w:t>
      </w:r>
      <w:r>
        <w:t xml:space="preserve"> </w:t>
      </w:r>
      <w:r w:rsidRPr="004F0898">
        <w:t>noted</w:t>
      </w:r>
      <w:r>
        <w:t xml:space="preserve"> </w:t>
      </w:r>
      <w:r w:rsidRPr="004F0898">
        <w:t>above]</w:t>
      </w:r>
      <w:r>
        <w:t xml:space="preserve"> </w:t>
      </w:r>
      <w:r w:rsidRPr="004F0898">
        <w:t>in</w:t>
      </w:r>
      <w:r>
        <w:t xml:space="preserve"> </w:t>
      </w:r>
      <w:r w:rsidRPr="004F0898">
        <w:t>some</w:t>
      </w:r>
      <w:r>
        <w:t xml:space="preserve"> </w:t>
      </w:r>
      <w:r w:rsidRPr="004F0898">
        <w:t>rational</w:t>
      </w:r>
      <w:r>
        <w:t xml:space="preserve"> </w:t>
      </w:r>
      <w:r w:rsidRPr="004F0898">
        <w:t>way.”</w:t>
      </w:r>
      <w:r>
        <w:t xml:space="preserve"> </w:t>
      </w:r>
      <w:r w:rsidRPr="004F0898">
        <w:rPr>
          <w:u w:val="single"/>
        </w:rPr>
        <w:t>See</w:t>
      </w:r>
      <w:r>
        <w:t xml:space="preserve"> </w:t>
      </w:r>
      <w:r w:rsidRPr="004F0898">
        <w:t>op.</w:t>
      </w:r>
      <w:r>
        <w:t xml:space="preserve"> </w:t>
      </w:r>
      <w:r w:rsidRPr="004F0898">
        <w:t>Ct.</w:t>
      </w:r>
      <w:r>
        <w:t xml:space="preserve"> </w:t>
      </w:r>
      <w:r w:rsidRPr="004F0898">
        <w:t>p.</w:t>
      </w:r>
      <w:r>
        <w:t xml:space="preserve"> </w:t>
      </w:r>
      <w:r w:rsidRPr="004F0898">
        <w:t>30.</w:t>
      </w:r>
      <w:r>
        <w:t xml:space="preserve"> </w:t>
      </w:r>
      <w:r w:rsidRPr="004F0898">
        <w:t>But</w:t>
      </w:r>
      <w:r>
        <w:t xml:space="preserve"> </w:t>
      </w:r>
      <w:r w:rsidRPr="004F0898">
        <w:t>the</w:t>
      </w:r>
      <w:r>
        <w:t xml:space="preserve"> </w:t>
      </w:r>
      <w:r w:rsidRPr="004F0898">
        <w:t>opinion</w:t>
      </w:r>
      <w:r>
        <w:t xml:space="preserve"> </w:t>
      </w:r>
      <w:r w:rsidRPr="004F0898">
        <w:t>of</w:t>
      </w:r>
      <w:r>
        <w:t xml:space="preserve"> </w:t>
      </w:r>
      <w:r w:rsidRPr="004F0898">
        <w:t>the</w:t>
      </w:r>
      <w:r>
        <w:t xml:space="preserve"> </w:t>
      </w:r>
      <w:r w:rsidRPr="004F0898">
        <w:t>Court</w:t>
      </w:r>
      <w:r>
        <w:t xml:space="preserve"> </w:t>
      </w:r>
      <w:r w:rsidRPr="004F0898">
        <w:t>overlooks</w:t>
      </w:r>
      <w:r>
        <w:t xml:space="preserve"> </w:t>
      </w:r>
      <w:r w:rsidRPr="004F0898">
        <w:t>the</w:t>
      </w:r>
      <w:r>
        <w:t xml:space="preserve"> </w:t>
      </w:r>
      <w:r w:rsidRPr="004F0898">
        <w:t>lack</w:t>
      </w:r>
      <w:r>
        <w:t xml:space="preserve"> </w:t>
      </w:r>
      <w:r w:rsidRPr="004F0898">
        <w:t>of</w:t>
      </w:r>
      <w:r>
        <w:t xml:space="preserve"> </w:t>
      </w:r>
      <w:r w:rsidRPr="004F0898">
        <w:t>a</w:t>
      </w:r>
      <w:r>
        <w:t xml:space="preserve"> </w:t>
      </w:r>
      <w:r w:rsidRPr="004F0898">
        <w:t>“rational”</w:t>
      </w:r>
      <w:r>
        <w:t xml:space="preserve"> </w:t>
      </w:r>
      <w:r w:rsidRPr="004F0898">
        <w:t>solution</w:t>
      </w:r>
      <w:r>
        <w:t xml:space="preserve"> </w:t>
      </w:r>
      <w:r w:rsidRPr="004F0898">
        <w:t>to</w:t>
      </w:r>
      <w:r>
        <w:t xml:space="preserve"> </w:t>
      </w:r>
      <w:r w:rsidRPr="004F0898">
        <w:t>those</w:t>
      </w:r>
      <w:r>
        <w:t xml:space="preserve"> </w:t>
      </w:r>
      <w:r w:rsidRPr="004F0898">
        <w:t>problems,</w:t>
      </w:r>
      <w:r>
        <w:t xml:space="preserve"> </w:t>
      </w:r>
      <w:r w:rsidRPr="004F0898">
        <w:t>by</w:t>
      </w:r>
      <w:r>
        <w:t xml:space="preserve"> </w:t>
      </w:r>
      <w:r w:rsidRPr="004F0898">
        <w:t>noting</w:t>
      </w:r>
      <w:r>
        <w:t xml:space="preserve"> </w:t>
      </w:r>
      <w:r w:rsidRPr="004F0898">
        <w:t>that</w:t>
      </w:r>
      <w:r>
        <w:t xml:space="preserve"> </w:t>
      </w:r>
      <w:r w:rsidRPr="004F0898">
        <w:t>“that</w:t>
      </w:r>
      <w:r>
        <w:t xml:space="preserve"> </w:t>
      </w:r>
      <w:r w:rsidRPr="004F0898">
        <w:t>was</w:t>
      </w:r>
      <w:r>
        <w:t xml:space="preserve"> </w:t>
      </w:r>
      <w:r w:rsidRPr="004F0898">
        <w:t>a</w:t>
      </w:r>
      <w:r>
        <w:t xml:space="preserve"> </w:t>
      </w:r>
      <w:r w:rsidRPr="004F0898">
        <w:t>policy</w:t>
      </w:r>
      <w:r>
        <w:t xml:space="preserve"> </w:t>
      </w:r>
      <w:r w:rsidRPr="004F0898">
        <w:t>decision</w:t>
      </w:r>
      <w:r>
        <w:t xml:space="preserve"> </w:t>
      </w:r>
      <w:r w:rsidRPr="004F0898">
        <w:t>for</w:t>
      </w:r>
      <w:r>
        <w:t xml:space="preserve"> </w:t>
      </w:r>
      <w:r w:rsidRPr="004F0898">
        <w:t>Treasury,</w:t>
      </w:r>
      <w:r>
        <w:t xml:space="preserve"> </w:t>
      </w:r>
      <w:r w:rsidRPr="004F0898">
        <w:t>not</w:t>
      </w:r>
      <w:r>
        <w:t xml:space="preserve"> </w:t>
      </w:r>
      <w:r w:rsidRPr="004F0898">
        <w:t>this</w:t>
      </w:r>
      <w:r>
        <w:t xml:space="preserve"> </w:t>
      </w:r>
      <w:r w:rsidRPr="004F0898">
        <w:t>Court,</w:t>
      </w:r>
      <w:r>
        <w:t xml:space="preserve"> </w:t>
      </w:r>
      <w:r w:rsidRPr="004F0898">
        <w:t>to</w:t>
      </w:r>
      <w:r>
        <w:t xml:space="preserve"> </w:t>
      </w:r>
      <w:r w:rsidRPr="004F0898">
        <w:t>make.”</w:t>
      </w:r>
      <w:r>
        <w:t xml:space="preserve"> </w:t>
      </w:r>
      <w:r w:rsidRPr="004F0898">
        <w:rPr>
          <w:u w:val="single"/>
        </w:rPr>
        <w:t>See</w:t>
      </w:r>
      <w:r>
        <w:t xml:space="preserve"> </w:t>
      </w:r>
      <w:r w:rsidRPr="004F0898">
        <w:rPr>
          <w:u w:val="single"/>
        </w:rPr>
        <w:t>id.</w:t>
      </w:r>
      <w:r>
        <w:t xml:space="preserve"> </w:t>
      </w:r>
      <w:r w:rsidRPr="004F0898">
        <w:t>In</w:t>
      </w:r>
      <w:r>
        <w:t xml:space="preserve"> </w:t>
      </w:r>
      <w:r w:rsidRPr="004F0898">
        <w:t>the</w:t>
      </w:r>
      <w:r>
        <w:t xml:space="preserve"> </w:t>
      </w:r>
      <w:r w:rsidRPr="004F0898">
        <w:t>Court’s</w:t>
      </w:r>
      <w:r>
        <w:t xml:space="preserve"> </w:t>
      </w:r>
      <w:r w:rsidRPr="004F0898">
        <w:t>view,</w:t>
      </w:r>
      <w:r>
        <w:t xml:space="preserve"> </w:t>
      </w:r>
      <w:r w:rsidRPr="004F0898">
        <w:t>“Treasury’s</w:t>
      </w:r>
      <w:r>
        <w:t xml:space="preserve"> </w:t>
      </w:r>
      <w:r w:rsidRPr="004F0898">
        <w:t>overarching</w:t>
      </w:r>
      <w:r>
        <w:t xml:space="preserve"> </w:t>
      </w:r>
      <w:r w:rsidRPr="004F0898">
        <w:t>goal</w:t>
      </w:r>
      <w:r>
        <w:t xml:space="preserve"> </w:t>
      </w:r>
      <w:r w:rsidRPr="004F0898">
        <w:t>[in</w:t>
      </w:r>
      <w:r>
        <w:t xml:space="preserve"> </w:t>
      </w:r>
      <w:r w:rsidRPr="004F0898">
        <w:t>prescribing</w:t>
      </w:r>
      <w:r>
        <w:t xml:space="preserve"> </w:t>
      </w:r>
      <w:r w:rsidRPr="004F0898">
        <w:t>the</w:t>
      </w:r>
      <w:r>
        <w:t xml:space="preserve"> </w:t>
      </w:r>
      <w:r w:rsidRPr="004F0898">
        <w:t>regulation]</w:t>
      </w:r>
      <w:r>
        <w:t xml:space="preserve"> </w:t>
      </w:r>
      <w:r w:rsidRPr="004F0898">
        <w:t>was</w:t>
      </w:r>
      <w:r>
        <w:t xml:space="preserve"> </w:t>
      </w:r>
      <w:r w:rsidRPr="004F0898">
        <w:t>to</w:t>
      </w:r>
      <w:r>
        <w:t xml:space="preserve"> </w:t>
      </w:r>
      <w:r w:rsidRPr="004F0898">
        <w:t>guarantee</w:t>
      </w:r>
      <w:r>
        <w:t xml:space="preserve"> </w:t>
      </w:r>
      <w:r w:rsidRPr="004F0898">
        <w:t>that</w:t>
      </w:r>
      <w:r>
        <w:t xml:space="preserve"> </w:t>
      </w:r>
      <w:r w:rsidRPr="004F0898">
        <w:t>the</w:t>
      </w:r>
      <w:r>
        <w:t xml:space="preserve"> </w:t>
      </w:r>
      <w:r w:rsidRPr="004F0898">
        <w:t>donee,</w:t>
      </w:r>
      <w:r>
        <w:t xml:space="preserve"> </w:t>
      </w:r>
      <w:r w:rsidRPr="004F0898">
        <w:t>upon</w:t>
      </w:r>
      <w:r>
        <w:t xml:space="preserve"> </w:t>
      </w:r>
      <w:r w:rsidRPr="004F0898">
        <w:t>judicial</w:t>
      </w:r>
      <w:r>
        <w:t xml:space="preserve"> </w:t>
      </w:r>
      <w:r w:rsidRPr="004F0898">
        <w:t>extinguishment</w:t>
      </w:r>
      <w:r>
        <w:t xml:space="preserve"> </w:t>
      </w:r>
      <w:r w:rsidRPr="004F0898">
        <w:t>of</w:t>
      </w:r>
      <w:r>
        <w:t xml:space="preserve"> </w:t>
      </w:r>
      <w:r w:rsidRPr="004F0898">
        <w:t>the</w:t>
      </w:r>
      <w:r>
        <w:t xml:space="preserve"> </w:t>
      </w:r>
      <w:r w:rsidRPr="004F0898">
        <w:t>easement,</w:t>
      </w:r>
      <w:r>
        <w:t xml:space="preserve"> </w:t>
      </w:r>
      <w:r w:rsidRPr="004F0898">
        <w:t>would</w:t>
      </w:r>
      <w:r>
        <w:t xml:space="preserve"> </w:t>
      </w:r>
      <w:r w:rsidRPr="004F0898">
        <w:t>receive</w:t>
      </w:r>
      <w:r>
        <w:t xml:space="preserve"> </w:t>
      </w:r>
      <w:r w:rsidRPr="004F0898">
        <w:t>the</w:t>
      </w:r>
      <w:r>
        <w:t xml:space="preserve"> </w:t>
      </w:r>
      <w:r w:rsidRPr="004F0898">
        <w:t>full</w:t>
      </w:r>
      <w:r>
        <w:t xml:space="preserve"> </w:t>
      </w:r>
      <w:r w:rsidRPr="004F0898">
        <w:t>share</w:t>
      </w:r>
      <w:r>
        <w:t xml:space="preserve"> </w:t>
      </w:r>
      <w:r w:rsidRPr="004F0898">
        <w:t>of</w:t>
      </w:r>
      <w:r>
        <w:t xml:space="preserve"> </w:t>
      </w:r>
      <w:r w:rsidRPr="004F0898">
        <w:t>proceeds</w:t>
      </w:r>
      <w:r>
        <w:t xml:space="preserve"> </w:t>
      </w:r>
      <w:r w:rsidRPr="004F0898">
        <w:t>to</w:t>
      </w:r>
      <w:r>
        <w:t xml:space="preserve"> </w:t>
      </w:r>
      <w:r w:rsidRPr="004F0898">
        <w:t>which</w:t>
      </w:r>
      <w:r>
        <w:t xml:space="preserve"> </w:t>
      </w:r>
      <w:r w:rsidRPr="004F0898">
        <w:t>it</w:t>
      </w:r>
      <w:r>
        <w:t xml:space="preserve"> </w:t>
      </w:r>
      <w:r w:rsidRPr="004F0898">
        <w:t>was</w:t>
      </w:r>
      <w:r>
        <w:t xml:space="preserve"> </w:t>
      </w:r>
      <w:r w:rsidRPr="004F0898">
        <w:t>entitled.</w:t>
      </w:r>
      <w:r>
        <w:t xml:space="preserve"> </w:t>
      </w:r>
      <w:r w:rsidRPr="004F0898">
        <w:t>*</w:t>
      </w:r>
      <w:r>
        <w:t xml:space="preserve"> </w:t>
      </w:r>
      <w:r w:rsidRPr="004F0898">
        <w:t>*</w:t>
      </w:r>
      <w:r>
        <w:t xml:space="preserve"> </w:t>
      </w:r>
      <w:r w:rsidRPr="004F0898">
        <w:t>*</w:t>
      </w:r>
      <w:r>
        <w:t xml:space="preserve"> </w:t>
      </w:r>
      <w:r w:rsidRPr="004F0898">
        <w:t>Treasury</w:t>
      </w:r>
      <w:r>
        <w:t xml:space="preserve"> </w:t>
      </w:r>
      <w:r w:rsidRPr="004F0898">
        <w:t>exercised</w:t>
      </w:r>
      <w:r>
        <w:t xml:space="preserve"> </w:t>
      </w:r>
      <w:r w:rsidRPr="004F0898">
        <w:t>reasoned</w:t>
      </w:r>
      <w:r>
        <w:t xml:space="preserve"> </w:t>
      </w:r>
      <w:r w:rsidRPr="004F0898">
        <w:t>judgment</w:t>
      </w:r>
      <w:r>
        <w:t xml:space="preserve"> </w:t>
      </w:r>
      <w:r w:rsidRPr="004F0898">
        <w:t>by</w:t>
      </w:r>
      <w:r>
        <w:t xml:space="preserve"> </w:t>
      </w:r>
      <w:r w:rsidRPr="004F0898">
        <w:t>adhering</w:t>
      </w:r>
      <w:r>
        <w:t xml:space="preserve"> </w:t>
      </w:r>
      <w:r w:rsidRPr="004F0898">
        <w:t>to</w:t>
      </w:r>
      <w:r>
        <w:t xml:space="preserve"> </w:t>
      </w:r>
      <w:r w:rsidRPr="004F0898">
        <w:t>a</w:t>
      </w:r>
      <w:r>
        <w:t xml:space="preserve"> </w:t>
      </w:r>
      <w:r w:rsidRPr="004F0898">
        <w:t>simple</w:t>
      </w:r>
      <w:r>
        <w:t xml:space="preserve"> </w:t>
      </w:r>
      <w:r w:rsidRPr="004F0898">
        <w:t>rule</w:t>
      </w:r>
      <w:r>
        <w:t xml:space="preserve"> </w:t>
      </w:r>
      <w:r w:rsidRPr="004F0898">
        <w:t>that</w:t>
      </w:r>
      <w:r>
        <w:t xml:space="preserve"> </w:t>
      </w:r>
      <w:r w:rsidRPr="004F0898">
        <w:t>splits</w:t>
      </w:r>
      <w:r>
        <w:t xml:space="preserve"> </w:t>
      </w:r>
      <w:r w:rsidRPr="004F0898">
        <w:t>sale</w:t>
      </w:r>
      <w:r>
        <w:t xml:space="preserve"> </w:t>
      </w:r>
      <w:r w:rsidRPr="004F0898">
        <w:t>proceeds</w:t>
      </w:r>
      <w:r>
        <w:t xml:space="preserve"> </w:t>
      </w:r>
      <w:r w:rsidRPr="004F0898">
        <w:t>in</w:t>
      </w:r>
      <w:r>
        <w:t xml:space="preserve"> </w:t>
      </w:r>
      <w:r w:rsidRPr="004F0898">
        <w:t>a</w:t>
      </w:r>
      <w:r>
        <w:t xml:space="preserve"> </w:t>
      </w:r>
      <w:r w:rsidRPr="004F0898">
        <w:t>direct</w:t>
      </w:r>
      <w:r>
        <w:t xml:space="preserve"> </w:t>
      </w:r>
      <w:r w:rsidRPr="004F0898">
        <w:t>proportional</w:t>
      </w:r>
      <w:r>
        <w:t xml:space="preserve"> </w:t>
      </w:r>
      <w:r w:rsidRPr="004F0898">
        <w:t>manner.”</w:t>
      </w:r>
      <w:r>
        <w:t xml:space="preserve"> </w:t>
      </w:r>
      <w:r w:rsidRPr="004F0898">
        <w:rPr>
          <w:u w:val="single"/>
        </w:rPr>
        <w:t>See</w:t>
      </w:r>
      <w:r>
        <w:t xml:space="preserve"> </w:t>
      </w:r>
      <w:r w:rsidRPr="004F0898">
        <w:rPr>
          <w:u w:val="single"/>
        </w:rPr>
        <w:t>id.</w:t>
      </w:r>
      <w:r>
        <w:t xml:space="preserve"> </w:t>
      </w:r>
      <w:r w:rsidRPr="004F0898">
        <w:t>p.</w:t>
      </w:r>
      <w:r>
        <w:t xml:space="preserve"> </w:t>
      </w:r>
      <w:r w:rsidRPr="004F0898">
        <w:t>31.</w:t>
      </w:r>
    </w:p>
    <w:p w:rsidR="007649DB" w:rsidRPr="004F0898" w:rsidRDefault="007649DB" w:rsidP="007649DB">
      <w:pPr>
        <w:pStyle w:val="QS10"/>
      </w:pPr>
      <w:r w:rsidRPr="004F0898">
        <w:t>I</w:t>
      </w:r>
      <w:r>
        <w:t xml:space="preserve"> </w:t>
      </w:r>
      <w:r w:rsidRPr="004F0898">
        <w:t>agree</w:t>
      </w:r>
      <w:r>
        <w:t xml:space="preserve"> </w:t>
      </w:r>
      <w:r w:rsidRPr="004F0898">
        <w:t>with</w:t>
      </w:r>
      <w:r>
        <w:t xml:space="preserve"> </w:t>
      </w:r>
      <w:r w:rsidRPr="004F0898">
        <w:t>the</w:t>
      </w:r>
      <w:r>
        <w:t xml:space="preserve"> </w:t>
      </w:r>
      <w:r w:rsidRPr="004F0898">
        <w:t>opinion</w:t>
      </w:r>
      <w:r>
        <w:t xml:space="preserve"> </w:t>
      </w:r>
      <w:r w:rsidRPr="004F0898">
        <w:t>of</w:t>
      </w:r>
      <w:r>
        <w:t xml:space="preserve"> </w:t>
      </w:r>
      <w:r w:rsidRPr="004F0898">
        <w:t>the</w:t>
      </w:r>
      <w:r>
        <w:t xml:space="preserve"> </w:t>
      </w:r>
      <w:r w:rsidRPr="004F0898">
        <w:t>Court</w:t>
      </w:r>
      <w:r>
        <w:t xml:space="preserve"> </w:t>
      </w:r>
      <w:r w:rsidRPr="004F0898">
        <w:t>that</w:t>
      </w:r>
      <w:r>
        <w:t xml:space="preserve"> </w:t>
      </w:r>
      <w:r w:rsidRPr="004F0898">
        <w:t>the</w:t>
      </w:r>
      <w:r>
        <w:t xml:space="preserve"> </w:t>
      </w:r>
      <w:r w:rsidRPr="004F0898">
        <w:t>donee</w:t>
      </w:r>
      <w:r>
        <w:t xml:space="preserve"> </w:t>
      </w:r>
      <w:r w:rsidRPr="004F0898">
        <w:t>should</w:t>
      </w:r>
      <w:r>
        <w:t xml:space="preserve"> </w:t>
      </w:r>
      <w:r w:rsidRPr="004F0898">
        <w:t>“receive</w:t>
      </w:r>
      <w:r>
        <w:t xml:space="preserve"> </w:t>
      </w:r>
      <w:r w:rsidRPr="004F0898">
        <w:t>the</w:t>
      </w:r>
      <w:r>
        <w:t xml:space="preserve"> </w:t>
      </w:r>
      <w:r w:rsidRPr="004F0898">
        <w:t>full</w:t>
      </w:r>
      <w:r>
        <w:t xml:space="preserve"> </w:t>
      </w:r>
      <w:r w:rsidRPr="004F0898">
        <w:t>share</w:t>
      </w:r>
      <w:r>
        <w:t xml:space="preserve"> </w:t>
      </w:r>
      <w:r w:rsidRPr="004F0898">
        <w:t>of</w:t>
      </w:r>
      <w:r>
        <w:t xml:space="preserve"> </w:t>
      </w:r>
      <w:r w:rsidRPr="004F0898">
        <w:t>proceeds</w:t>
      </w:r>
      <w:r>
        <w:t xml:space="preserve"> </w:t>
      </w:r>
      <w:r w:rsidRPr="004F0898">
        <w:t>to</w:t>
      </w:r>
      <w:r>
        <w:t xml:space="preserve"> </w:t>
      </w:r>
      <w:r w:rsidRPr="004F0898">
        <w:t>which</w:t>
      </w:r>
      <w:r>
        <w:t xml:space="preserve"> </w:t>
      </w:r>
      <w:r w:rsidRPr="004F0898">
        <w:rPr>
          <w:u w:val="single"/>
        </w:rPr>
        <w:t>it</w:t>
      </w:r>
      <w:r>
        <w:rPr>
          <w:u w:val="single"/>
        </w:rPr>
        <w:t xml:space="preserve"> </w:t>
      </w:r>
      <w:r w:rsidRPr="004F0898">
        <w:rPr>
          <w:u w:val="single"/>
        </w:rPr>
        <w:t>was</w:t>
      </w:r>
      <w:r>
        <w:rPr>
          <w:u w:val="single"/>
        </w:rPr>
        <w:t xml:space="preserve"> </w:t>
      </w:r>
      <w:r w:rsidRPr="004F0898">
        <w:rPr>
          <w:u w:val="single"/>
        </w:rPr>
        <w:t>entitled</w:t>
      </w:r>
      <w:r w:rsidRPr="004F0898">
        <w:t>.”</w:t>
      </w:r>
      <w:r>
        <w:t xml:space="preserve"> </w:t>
      </w:r>
      <w:r w:rsidRPr="004F0898">
        <w:rPr>
          <w:u w:val="single"/>
        </w:rPr>
        <w:t>See</w:t>
      </w:r>
      <w:r>
        <w:t xml:space="preserve"> </w:t>
      </w:r>
      <w:r w:rsidRPr="004F0898">
        <w:rPr>
          <w:u w:val="single"/>
        </w:rPr>
        <w:t>id.</w:t>
      </w:r>
      <w:r w:rsidRPr="004F0898">
        <w:t>(emphasis</w:t>
      </w:r>
      <w:r>
        <w:t xml:space="preserve"> </w:t>
      </w:r>
      <w:r w:rsidRPr="004F0898">
        <w:t>added).</w:t>
      </w:r>
      <w:r>
        <w:t xml:space="preserve"> </w:t>
      </w:r>
      <w:r w:rsidRPr="004F0898">
        <w:t>But</w:t>
      </w:r>
      <w:r>
        <w:t xml:space="preserve"> </w:t>
      </w:r>
      <w:r w:rsidRPr="004F0898">
        <w:t>a</w:t>
      </w:r>
      <w:r>
        <w:t xml:space="preserve"> </w:t>
      </w:r>
      <w:r w:rsidRPr="004F0898">
        <w:t>rule</w:t>
      </w:r>
      <w:r>
        <w:t xml:space="preserve"> </w:t>
      </w:r>
      <w:r w:rsidRPr="004F0898">
        <w:t>interpreted</w:t>
      </w:r>
      <w:r>
        <w:t xml:space="preserve"> </w:t>
      </w:r>
      <w:r w:rsidRPr="004F0898">
        <w:t>to</w:t>
      </w:r>
      <w:r>
        <w:t xml:space="preserve"> </w:t>
      </w:r>
      <w:r w:rsidRPr="004F0898">
        <w:t>require</w:t>
      </w:r>
      <w:r>
        <w:t xml:space="preserve"> </w:t>
      </w:r>
      <w:r w:rsidRPr="004F0898">
        <w:t>the</w:t>
      </w:r>
      <w:r>
        <w:t xml:space="preserve"> </w:t>
      </w:r>
      <w:r w:rsidRPr="004F0898">
        <w:t>deed</w:t>
      </w:r>
      <w:r>
        <w:t xml:space="preserve"> </w:t>
      </w:r>
      <w:r w:rsidRPr="004F0898">
        <w:t>to</w:t>
      </w:r>
      <w:r>
        <w:t xml:space="preserve"> </w:t>
      </w:r>
      <w:r w:rsidRPr="004F0898">
        <w:t>allocate</w:t>
      </w:r>
      <w:r>
        <w:t xml:space="preserve"> </w:t>
      </w:r>
      <w:r w:rsidRPr="004F0898">
        <w:t>to</w:t>
      </w:r>
      <w:r>
        <w:t xml:space="preserve"> </w:t>
      </w:r>
      <w:r w:rsidRPr="004F0898">
        <w:t>the</w:t>
      </w:r>
      <w:r>
        <w:t xml:space="preserve"> </w:t>
      </w:r>
      <w:r w:rsidRPr="004F0898">
        <w:t>donee</w:t>
      </w:r>
      <w:r>
        <w:t xml:space="preserve"> </w:t>
      </w:r>
      <w:r w:rsidRPr="004F0898">
        <w:t>not</w:t>
      </w:r>
      <w:r>
        <w:t xml:space="preserve"> </w:t>
      </w:r>
      <w:r w:rsidRPr="004F0898">
        <w:t>only</w:t>
      </w:r>
      <w:r>
        <w:t xml:space="preserve"> </w:t>
      </w:r>
      <w:r w:rsidRPr="004F0898">
        <w:t>the</w:t>
      </w:r>
      <w:r>
        <w:t xml:space="preserve"> </w:t>
      </w:r>
      <w:r w:rsidRPr="004F0898">
        <w:t>proceeds</w:t>
      </w:r>
      <w:r>
        <w:t xml:space="preserve"> </w:t>
      </w:r>
      <w:r w:rsidRPr="004F0898">
        <w:t>attributable</w:t>
      </w:r>
      <w:r>
        <w:t xml:space="preserve"> </w:t>
      </w:r>
      <w:r w:rsidRPr="004F0898">
        <w:t>to</w:t>
      </w:r>
      <w:r>
        <w:t xml:space="preserve"> </w:t>
      </w:r>
      <w:r w:rsidRPr="004F0898">
        <w:rPr>
          <w:u w:val="single"/>
        </w:rPr>
        <w:t>its</w:t>
      </w:r>
      <w:r>
        <w:rPr>
          <w:u w:val="single"/>
        </w:rPr>
        <w:t xml:space="preserve"> </w:t>
      </w:r>
      <w:r w:rsidRPr="004F0898">
        <w:rPr>
          <w:u w:val="single"/>
        </w:rPr>
        <w:t>own</w:t>
      </w:r>
      <w:r>
        <w:t xml:space="preserve"> </w:t>
      </w:r>
      <w:r w:rsidRPr="004F0898">
        <w:t>real</w:t>
      </w:r>
      <w:r>
        <w:t xml:space="preserve"> </w:t>
      </w:r>
      <w:r w:rsidRPr="004F0898">
        <w:t>property</w:t>
      </w:r>
      <w:r>
        <w:t xml:space="preserve"> </w:t>
      </w:r>
      <w:r w:rsidRPr="004F0898">
        <w:t>interest</w:t>
      </w:r>
      <w:r>
        <w:t xml:space="preserve"> </w:t>
      </w:r>
      <w:r w:rsidRPr="004F0898">
        <w:t>but</w:t>
      </w:r>
      <w:r>
        <w:t xml:space="preserve"> </w:t>
      </w:r>
      <w:r w:rsidRPr="004F0898">
        <w:t>also</w:t>
      </w:r>
      <w:r>
        <w:t xml:space="preserve"> </w:t>
      </w:r>
      <w:r w:rsidRPr="004F0898">
        <w:t>a</w:t>
      </w:r>
      <w:r>
        <w:t xml:space="preserve"> </w:t>
      </w:r>
      <w:r w:rsidRPr="004F0898">
        <w:t>share</w:t>
      </w:r>
      <w:r>
        <w:t xml:space="preserve"> </w:t>
      </w:r>
      <w:r w:rsidRPr="004F0898">
        <w:t>of</w:t>
      </w:r>
      <w:r>
        <w:t xml:space="preserve"> </w:t>
      </w:r>
      <w:r w:rsidRPr="004F0898">
        <w:t>the</w:t>
      </w:r>
      <w:r>
        <w:t xml:space="preserve"> </w:t>
      </w:r>
      <w:r w:rsidRPr="004F0898">
        <w:t>proceeds</w:t>
      </w:r>
      <w:r>
        <w:t xml:space="preserve"> </w:t>
      </w:r>
      <w:r w:rsidRPr="004F0898">
        <w:t>attributable</w:t>
      </w:r>
      <w:r>
        <w:t xml:space="preserve"> </w:t>
      </w:r>
      <w:r w:rsidRPr="004F0898">
        <w:t>to</w:t>
      </w:r>
      <w:r>
        <w:t xml:space="preserve"> </w:t>
      </w:r>
      <w:r w:rsidRPr="004F0898">
        <w:t>the</w:t>
      </w:r>
      <w:r>
        <w:t xml:space="preserve"> </w:t>
      </w:r>
      <w:r w:rsidRPr="004F0898">
        <w:t>interest</w:t>
      </w:r>
      <w:r>
        <w:t xml:space="preserve"> </w:t>
      </w:r>
      <w:r w:rsidRPr="004F0898">
        <w:t>the</w:t>
      </w:r>
      <w:r>
        <w:t xml:space="preserve"> </w:t>
      </w:r>
      <w:r w:rsidRPr="004F0898">
        <w:t>Code</w:t>
      </w:r>
      <w:r>
        <w:t xml:space="preserve"> </w:t>
      </w:r>
      <w:r w:rsidRPr="004F0898">
        <w:t>permits</w:t>
      </w:r>
      <w:r>
        <w:t xml:space="preserve"> </w:t>
      </w:r>
      <w:r w:rsidRPr="004F0898">
        <w:rPr>
          <w:u w:val="single"/>
        </w:rPr>
        <w:t>the</w:t>
      </w:r>
      <w:r>
        <w:rPr>
          <w:u w:val="single"/>
        </w:rPr>
        <w:t xml:space="preserve"> </w:t>
      </w:r>
      <w:r w:rsidRPr="004F0898">
        <w:rPr>
          <w:u w:val="single"/>
        </w:rPr>
        <w:t>donor</w:t>
      </w:r>
      <w:r>
        <w:t xml:space="preserve"> </w:t>
      </w:r>
      <w:r w:rsidRPr="004F0898">
        <w:t>to</w:t>
      </w:r>
      <w:r>
        <w:t xml:space="preserve"> </w:t>
      </w:r>
      <w:r w:rsidRPr="004F0898">
        <w:t>retain</w:t>
      </w:r>
      <w:r>
        <w:t xml:space="preserve"> </w:t>
      </w:r>
      <w:r w:rsidRPr="004F0898">
        <w:t>does</w:t>
      </w:r>
      <w:r>
        <w:t xml:space="preserve"> </w:t>
      </w:r>
      <w:r w:rsidRPr="004F0898">
        <w:t>not</w:t>
      </w:r>
      <w:r>
        <w:t xml:space="preserve"> </w:t>
      </w:r>
      <w:r w:rsidRPr="004F0898">
        <w:t>“</w:t>
      </w:r>
      <w:r>
        <w:t xml:space="preserve"> </w:t>
      </w:r>
      <w:r w:rsidRPr="004F0898">
        <w:t>‘</w:t>
      </w:r>
      <w:r>
        <w:t xml:space="preserve"> </w:t>
      </w:r>
      <w:r w:rsidRPr="004F0898">
        <w:t>“fit”</w:t>
      </w:r>
      <w:r>
        <w:t xml:space="preserve"> </w:t>
      </w:r>
      <w:r w:rsidRPr="004F0898">
        <w:t>’</w:t>
      </w:r>
      <w:r>
        <w:t xml:space="preserve"> </w:t>
      </w:r>
      <w:r w:rsidRPr="004F0898">
        <w:t>with</w:t>
      </w:r>
      <w:r>
        <w:t xml:space="preserve"> </w:t>
      </w:r>
      <w:r w:rsidRPr="004F0898">
        <w:t>the</w:t>
      </w:r>
      <w:r>
        <w:t xml:space="preserve"> </w:t>
      </w:r>
      <w:r w:rsidRPr="004F0898">
        <w:t>statutory</w:t>
      </w:r>
      <w:r>
        <w:t xml:space="preserve"> </w:t>
      </w:r>
      <w:r w:rsidRPr="004F0898">
        <w:t>language”</w:t>
      </w:r>
      <w:r>
        <w:t xml:space="preserve"> </w:t>
      </w:r>
      <w:r w:rsidRPr="004F0898">
        <w:t>and</w:t>
      </w:r>
      <w:r>
        <w:t xml:space="preserve"> </w:t>
      </w:r>
      <w:r w:rsidRPr="004F0898">
        <w:t>is</w:t>
      </w:r>
      <w:r>
        <w:t xml:space="preserve"> </w:t>
      </w:r>
      <w:r w:rsidRPr="004F0898">
        <w:t>unreasonable.</w:t>
      </w:r>
      <w:r>
        <w:t xml:space="preserve"> </w:t>
      </w:r>
      <w:r w:rsidRPr="004F0898">
        <w:rPr>
          <w:u w:val="single"/>
        </w:rPr>
        <w:t>Good</w:t>
      </w:r>
      <w:r>
        <w:rPr>
          <w:u w:val="single"/>
        </w:rPr>
        <w:t xml:space="preserve"> </w:t>
      </w:r>
      <w:r w:rsidRPr="004F0898">
        <w:rPr>
          <w:u w:val="single"/>
        </w:rPr>
        <w:t>Fortune</w:t>
      </w:r>
      <w:r>
        <w:rPr>
          <w:u w:val="single"/>
        </w:rPr>
        <w:t xml:space="preserve"> </w:t>
      </w:r>
      <w:r w:rsidRPr="004F0898">
        <w:rPr>
          <w:u w:val="single"/>
        </w:rPr>
        <w:t>Shipping</w:t>
      </w:r>
      <w:r>
        <w:t xml:space="preserve"> </w:t>
      </w:r>
      <w:r w:rsidRPr="004F0898">
        <w:rPr>
          <w:u w:val="single"/>
        </w:rPr>
        <w:t>SA</w:t>
      </w:r>
      <w:r>
        <w:rPr>
          <w:u w:val="single"/>
        </w:rPr>
        <w:t xml:space="preserve"> </w:t>
      </w:r>
      <w:r w:rsidRPr="004F0898">
        <w:rPr>
          <w:u w:val="single"/>
        </w:rPr>
        <w:t>v.</w:t>
      </w:r>
      <w:r>
        <w:rPr>
          <w:u w:val="single"/>
        </w:rPr>
        <w:t xml:space="preserve"> </w:t>
      </w:r>
      <w:r w:rsidRPr="004F0898">
        <w:rPr>
          <w:u w:val="single"/>
        </w:rPr>
        <w:t>Commissioner</w:t>
      </w:r>
      <w:r w:rsidRPr="004F0898">
        <w:t>,</w:t>
      </w:r>
      <w:r>
        <w:t xml:space="preserve"> </w:t>
      </w:r>
      <w:r w:rsidRPr="004F0898">
        <w:t>897</w:t>
      </w:r>
      <w:r>
        <w:t xml:space="preserve"> </w:t>
      </w:r>
      <w:r w:rsidRPr="004F0898">
        <w:t>F.3d</w:t>
      </w:r>
      <w:r>
        <w:t xml:space="preserve"> </w:t>
      </w:r>
      <w:r w:rsidRPr="004F0898">
        <w:t>at</w:t>
      </w:r>
      <w:r>
        <w:t xml:space="preserve"> </w:t>
      </w:r>
      <w:r w:rsidRPr="004F0898">
        <w:t>262</w:t>
      </w:r>
      <w:r>
        <w:t xml:space="preserve"> </w:t>
      </w:r>
      <w:r w:rsidRPr="004F0898">
        <w:t>(quoting</w:t>
      </w:r>
      <w:r>
        <w:t xml:space="preserve"> </w:t>
      </w:r>
      <w:r w:rsidRPr="004F0898">
        <w:rPr>
          <w:u w:val="single"/>
        </w:rPr>
        <w:t>Goldstein</w:t>
      </w:r>
      <w:r w:rsidRPr="004F0898">
        <w:t>,</w:t>
      </w:r>
      <w:r>
        <w:t xml:space="preserve"> </w:t>
      </w:r>
      <w:r w:rsidRPr="004F0898">
        <w:t>451</w:t>
      </w:r>
      <w:r>
        <w:t xml:space="preserve"> </w:t>
      </w:r>
      <w:r w:rsidRPr="004F0898">
        <w:t>F.3d</w:t>
      </w:r>
      <w:r>
        <w:t xml:space="preserve"> </w:t>
      </w:r>
      <w:r w:rsidRPr="004F0898">
        <w:t>at</w:t>
      </w:r>
      <w:r>
        <w:t xml:space="preserve"> </w:t>
      </w:r>
      <w:r w:rsidRPr="004F0898">
        <w:t>881).</w:t>
      </w:r>
      <w:r>
        <w:t xml:space="preserve"> </w:t>
      </w:r>
      <w:r w:rsidRPr="004F0898">
        <w:t>Calling</w:t>
      </w:r>
      <w:r>
        <w:t xml:space="preserve"> </w:t>
      </w:r>
      <w:r w:rsidRPr="004F0898">
        <w:t>it</w:t>
      </w:r>
      <w:r>
        <w:t xml:space="preserve"> </w:t>
      </w:r>
      <w:r w:rsidRPr="004F0898">
        <w:t>a</w:t>
      </w:r>
      <w:r>
        <w:t xml:space="preserve"> </w:t>
      </w:r>
      <w:r w:rsidRPr="004F0898">
        <w:t>“policy</w:t>
      </w:r>
      <w:r>
        <w:t xml:space="preserve"> </w:t>
      </w:r>
      <w:r w:rsidRPr="004F0898">
        <w:t>decision”</w:t>
      </w:r>
      <w:r>
        <w:t xml:space="preserve"> </w:t>
      </w:r>
      <w:r w:rsidRPr="004F0898">
        <w:t>does</w:t>
      </w:r>
      <w:r>
        <w:t xml:space="preserve"> </w:t>
      </w:r>
      <w:r w:rsidRPr="004F0898">
        <w:t>not</w:t>
      </w:r>
      <w:r>
        <w:t xml:space="preserve"> </w:t>
      </w:r>
      <w:r w:rsidRPr="004F0898">
        <w:t>change</w:t>
      </w:r>
      <w:r>
        <w:t xml:space="preserve"> </w:t>
      </w:r>
      <w:r w:rsidRPr="004F0898">
        <w:t>the</w:t>
      </w:r>
      <w:r>
        <w:t xml:space="preserve"> </w:t>
      </w:r>
      <w:r w:rsidRPr="004F0898">
        <w:t>fact</w:t>
      </w:r>
      <w:r>
        <w:t xml:space="preserve"> </w:t>
      </w:r>
      <w:r w:rsidRPr="004F0898">
        <w:t>that</w:t>
      </w:r>
      <w:r>
        <w:t xml:space="preserve"> </w:t>
      </w:r>
      <w:r w:rsidRPr="004F0898">
        <w:t>the</w:t>
      </w:r>
      <w:r>
        <w:t xml:space="preserve"> </w:t>
      </w:r>
      <w:r w:rsidRPr="004F0898">
        <w:t>rule,</w:t>
      </w:r>
      <w:r>
        <w:t xml:space="preserve"> </w:t>
      </w:r>
      <w:r w:rsidRPr="004F0898">
        <w:t>as</w:t>
      </w:r>
      <w:r>
        <w:t xml:space="preserve"> </w:t>
      </w:r>
      <w:r w:rsidRPr="004F0898">
        <w:t>interpreted</w:t>
      </w:r>
      <w:r>
        <w:t xml:space="preserve"> </w:t>
      </w:r>
      <w:r w:rsidRPr="004F0898">
        <w:t>by</w:t>
      </w:r>
      <w:r>
        <w:t xml:space="preserve"> </w:t>
      </w:r>
      <w:r w:rsidRPr="004F0898">
        <w:t>the</w:t>
      </w:r>
      <w:r>
        <w:t xml:space="preserve"> </w:t>
      </w:r>
      <w:r w:rsidRPr="004F0898">
        <w:t>Commissioner,</w:t>
      </w:r>
      <w:r>
        <w:t xml:space="preserve"> </w:t>
      </w:r>
      <w:r w:rsidRPr="004F0898">
        <w:t>yields</w:t>
      </w:r>
      <w:r>
        <w:t xml:space="preserve"> </w:t>
      </w:r>
      <w:r w:rsidRPr="004F0898">
        <w:t>in</w:t>
      </w:r>
      <w:r>
        <w:t xml:space="preserve"> </w:t>
      </w:r>
      <w:r w:rsidRPr="004F0898">
        <w:t>certain</w:t>
      </w:r>
      <w:r>
        <w:t xml:space="preserve"> </w:t>
      </w:r>
      <w:r w:rsidRPr="004F0898">
        <w:t>circumstances</w:t>
      </w:r>
      <w:r>
        <w:t xml:space="preserve"> </w:t>
      </w:r>
      <w:r w:rsidRPr="004F0898">
        <w:t>a</w:t>
      </w:r>
      <w:r>
        <w:t xml:space="preserve"> </w:t>
      </w:r>
      <w:r w:rsidRPr="004F0898">
        <w:t>result</w:t>
      </w:r>
      <w:r>
        <w:t xml:space="preserve"> </w:t>
      </w:r>
      <w:r w:rsidRPr="004F0898">
        <w:t>that</w:t>
      </w:r>
      <w:r>
        <w:t xml:space="preserve"> </w:t>
      </w:r>
      <w:r w:rsidRPr="004F0898">
        <w:t>is</w:t>
      </w:r>
      <w:r>
        <w:t xml:space="preserve"> </w:t>
      </w:r>
      <w:r w:rsidRPr="004F0898">
        <w:t>entirely</w:t>
      </w:r>
      <w:r>
        <w:t xml:space="preserve"> </w:t>
      </w:r>
      <w:r w:rsidRPr="004F0898">
        <w:t>unreasonable</w:t>
      </w:r>
      <w:r>
        <w:t xml:space="preserve"> </w:t>
      </w:r>
      <w:r w:rsidRPr="004F0898">
        <w:t>and</w:t>
      </w:r>
      <w:r>
        <w:t xml:space="preserve"> </w:t>
      </w:r>
      <w:r w:rsidRPr="004F0898">
        <w:t>without</w:t>
      </w:r>
      <w:r>
        <w:t xml:space="preserve"> </w:t>
      </w:r>
      <w:r w:rsidRPr="004F0898">
        <w:t>any</w:t>
      </w:r>
      <w:r>
        <w:t xml:space="preserve"> </w:t>
      </w:r>
      <w:r w:rsidRPr="004F0898">
        <w:t>basis</w:t>
      </w:r>
      <w:r>
        <w:t xml:space="preserve"> </w:t>
      </w:r>
      <w:r w:rsidRPr="004F0898">
        <w:t>in</w:t>
      </w:r>
      <w:r>
        <w:t xml:space="preserve"> </w:t>
      </w:r>
      <w:r w:rsidRPr="004F0898">
        <w:t>the</w:t>
      </w:r>
      <w:r>
        <w:t xml:space="preserve"> </w:t>
      </w:r>
      <w:r w:rsidRPr="004F0898">
        <w:t>statute.</w:t>
      </w:r>
      <w:r>
        <w:t xml:space="preserve"> </w:t>
      </w:r>
      <w:r w:rsidRPr="004F0898">
        <w:t>Under</w:t>
      </w:r>
      <w:r>
        <w:t xml:space="preserve"> </w:t>
      </w:r>
      <w:r w:rsidRPr="004F0898">
        <w:rPr>
          <w:u w:val="single"/>
        </w:rPr>
        <w:t>Chevron</w:t>
      </w:r>
      <w:r w:rsidRPr="004F0898">
        <w:t>,</w:t>
      </w:r>
      <w:r>
        <w:t xml:space="preserve"> </w:t>
      </w:r>
      <w:r w:rsidRPr="004F0898">
        <w:t>Treasury</w:t>
      </w:r>
      <w:r>
        <w:t xml:space="preserve"> </w:t>
      </w:r>
      <w:r w:rsidRPr="004F0898">
        <w:t>is</w:t>
      </w:r>
      <w:r>
        <w:t xml:space="preserve"> </w:t>
      </w:r>
      <w:r w:rsidRPr="004F0898">
        <w:t>entitled</w:t>
      </w:r>
      <w:r>
        <w:t xml:space="preserve"> </w:t>
      </w:r>
      <w:r w:rsidRPr="004F0898">
        <w:t>to</w:t>
      </w:r>
      <w:r>
        <w:t xml:space="preserve"> </w:t>
      </w:r>
      <w:r w:rsidRPr="004F0898">
        <w:t>draw</w:t>
      </w:r>
      <w:r>
        <w:t xml:space="preserve"> </w:t>
      </w:r>
      <w:r w:rsidRPr="004F0898">
        <w:t>lines</w:t>
      </w:r>
      <w:r>
        <w:t xml:space="preserve"> </w:t>
      </w:r>
      <w:r w:rsidRPr="004F0898">
        <w:t>on</w:t>
      </w:r>
      <w:r>
        <w:t xml:space="preserve"> </w:t>
      </w:r>
      <w:r w:rsidRPr="004F0898">
        <w:t>the</w:t>
      </w:r>
      <w:r>
        <w:t xml:space="preserve"> </w:t>
      </w:r>
      <w:r w:rsidRPr="004F0898">
        <w:t>page</w:t>
      </w:r>
      <w:r>
        <w:t xml:space="preserve"> </w:t>
      </w:r>
      <w:r w:rsidRPr="004F0898">
        <w:t>provided</w:t>
      </w:r>
      <w:r>
        <w:t xml:space="preserve"> </w:t>
      </w:r>
      <w:r w:rsidRPr="004F0898">
        <w:t>by</w:t>
      </w:r>
      <w:r>
        <w:t xml:space="preserve"> </w:t>
      </w:r>
      <w:r w:rsidRPr="004F0898">
        <w:t>Congress;</w:t>
      </w:r>
      <w:r>
        <w:t xml:space="preserve"> </w:t>
      </w:r>
      <w:r w:rsidRPr="004F0898">
        <w:rPr>
          <w:u w:val="single"/>
        </w:rPr>
        <w:t>Chevron</w:t>
      </w:r>
      <w:r>
        <w:t xml:space="preserve"> </w:t>
      </w:r>
      <w:r w:rsidRPr="004F0898">
        <w:t>does</w:t>
      </w:r>
      <w:r>
        <w:t xml:space="preserve"> </w:t>
      </w:r>
      <w:r w:rsidRPr="004F0898">
        <w:t>not</w:t>
      </w:r>
      <w:r>
        <w:t xml:space="preserve"> </w:t>
      </w:r>
      <w:r w:rsidRPr="004F0898">
        <w:t>give</w:t>
      </w:r>
      <w:r>
        <w:t xml:space="preserve"> </w:t>
      </w:r>
      <w:r w:rsidRPr="004F0898">
        <w:t>Treasury</w:t>
      </w:r>
      <w:r>
        <w:t xml:space="preserve"> </w:t>
      </w:r>
      <w:r w:rsidRPr="004F0898">
        <w:t>legislative</w:t>
      </w:r>
      <w:r>
        <w:t xml:space="preserve"> </w:t>
      </w:r>
      <w:r w:rsidRPr="004F0898">
        <w:t>authority</w:t>
      </w:r>
      <w:r>
        <w:t xml:space="preserve"> </w:t>
      </w:r>
      <w:r w:rsidRPr="004F0898">
        <w:t>to</w:t>
      </w:r>
      <w:r>
        <w:t xml:space="preserve"> </w:t>
      </w:r>
      <w:r w:rsidRPr="004F0898">
        <w:t>substitute</w:t>
      </w:r>
      <w:r>
        <w:t xml:space="preserve"> </w:t>
      </w:r>
      <w:r w:rsidRPr="004F0898">
        <w:t>a</w:t>
      </w:r>
      <w:r>
        <w:t xml:space="preserve"> </w:t>
      </w:r>
      <w:r w:rsidRPr="004F0898">
        <w:t>different</w:t>
      </w:r>
      <w:r>
        <w:t xml:space="preserve"> </w:t>
      </w:r>
      <w:r w:rsidRPr="004F0898">
        <w:t>page</w:t>
      </w:r>
      <w:r>
        <w:t xml:space="preserve"> </w:t>
      </w:r>
      <w:r w:rsidRPr="004F0898">
        <w:t>for</w:t>
      </w:r>
      <w:r>
        <w:t xml:space="preserve"> </w:t>
      </w:r>
      <w:r w:rsidRPr="004F0898">
        <w:t>the</w:t>
      </w:r>
      <w:r>
        <w:t xml:space="preserve"> </w:t>
      </w:r>
      <w:r w:rsidRPr="004F0898">
        <w:t>one</w:t>
      </w:r>
      <w:r>
        <w:t xml:space="preserve"> </w:t>
      </w:r>
      <w:r w:rsidRPr="004F0898">
        <w:t>Congress</w:t>
      </w:r>
      <w:r>
        <w:t xml:space="preserve"> </w:t>
      </w:r>
      <w:r w:rsidRPr="004F0898">
        <w:t>enacted</w:t>
      </w:r>
      <w:r>
        <w:t xml:space="preserve"> </w:t>
      </w:r>
      <w:r w:rsidRPr="004F0898">
        <w:t>into</w:t>
      </w:r>
      <w:r>
        <w:t xml:space="preserve"> </w:t>
      </w:r>
      <w:r w:rsidRPr="004F0898">
        <w:t>law.</w:t>
      </w:r>
    </w:p>
    <w:p w:rsidR="007649DB" w:rsidRDefault="007649DB" w:rsidP="007649DB">
      <w:pPr>
        <w:pStyle w:val="Body15"/>
        <w:spacing w:before="240"/>
        <w:rPr>
          <w:color w:val="000000" w:themeColor="text1"/>
        </w:rPr>
      </w:pPr>
      <w:r>
        <w:rPr>
          <w:color w:val="000000" w:themeColor="text1"/>
        </w:rPr>
        <w:t>Judge Toro also found the procedural part of the rulemaking defective:</w:t>
      </w:r>
    </w:p>
    <w:p w:rsidR="007649DB" w:rsidRPr="00F01D45" w:rsidRDefault="007649DB" w:rsidP="007649DB">
      <w:pPr>
        <w:pStyle w:val="QS10"/>
        <w:rPr>
          <w:szCs w:val="20"/>
        </w:rPr>
      </w:pPr>
      <w:r w:rsidRPr="00F01D45">
        <w:rPr>
          <w:szCs w:val="20"/>
        </w:rPr>
        <w:t>In</w:t>
      </w:r>
      <w:r>
        <w:rPr>
          <w:szCs w:val="20"/>
        </w:rPr>
        <w:t xml:space="preserve"> </w:t>
      </w:r>
      <w:r w:rsidRPr="00F01D45">
        <w:rPr>
          <w:szCs w:val="20"/>
        </w:rPr>
        <w:t>response</w:t>
      </w:r>
      <w:r>
        <w:rPr>
          <w:szCs w:val="20"/>
        </w:rPr>
        <w:t xml:space="preserve"> </w:t>
      </w:r>
      <w:r w:rsidRPr="00F01D45">
        <w:rPr>
          <w:szCs w:val="20"/>
        </w:rPr>
        <w:t>to</w:t>
      </w:r>
      <w:r>
        <w:rPr>
          <w:szCs w:val="20"/>
        </w:rPr>
        <w:t xml:space="preserve"> </w:t>
      </w:r>
      <w:r w:rsidRPr="00F01D45">
        <w:rPr>
          <w:szCs w:val="20"/>
        </w:rPr>
        <w:t>the</w:t>
      </w:r>
      <w:r>
        <w:rPr>
          <w:szCs w:val="20"/>
        </w:rPr>
        <w:t xml:space="preserve"> </w:t>
      </w:r>
      <w:r w:rsidRPr="00F01D45">
        <w:rPr>
          <w:szCs w:val="20"/>
        </w:rPr>
        <w:t>notice,</w:t>
      </w:r>
      <w:r>
        <w:rPr>
          <w:szCs w:val="20"/>
        </w:rPr>
        <w:t xml:space="preserve"> </w:t>
      </w:r>
      <w:r w:rsidRPr="00F01D45">
        <w:rPr>
          <w:szCs w:val="20"/>
        </w:rPr>
        <w:t>Treasury</w:t>
      </w:r>
      <w:r>
        <w:rPr>
          <w:szCs w:val="20"/>
        </w:rPr>
        <w:t xml:space="preserve"> </w:t>
      </w:r>
      <w:r w:rsidRPr="00F01D45">
        <w:rPr>
          <w:szCs w:val="20"/>
        </w:rPr>
        <w:t>received</w:t>
      </w:r>
      <w:r>
        <w:rPr>
          <w:szCs w:val="20"/>
        </w:rPr>
        <w:t xml:space="preserve"> </w:t>
      </w:r>
      <w:r w:rsidRPr="00F01D45">
        <w:rPr>
          <w:szCs w:val="20"/>
        </w:rPr>
        <w:t>more</w:t>
      </w:r>
      <w:r>
        <w:rPr>
          <w:szCs w:val="20"/>
        </w:rPr>
        <w:t xml:space="preserve"> </w:t>
      </w:r>
      <w:r w:rsidRPr="00F01D45">
        <w:rPr>
          <w:szCs w:val="20"/>
        </w:rPr>
        <w:t>than</w:t>
      </w:r>
      <w:r>
        <w:rPr>
          <w:szCs w:val="20"/>
        </w:rPr>
        <w:t xml:space="preserve"> </w:t>
      </w:r>
      <w:r w:rsidRPr="00F01D45">
        <w:rPr>
          <w:szCs w:val="20"/>
        </w:rPr>
        <w:t>700</w:t>
      </w:r>
      <w:r>
        <w:rPr>
          <w:szCs w:val="20"/>
        </w:rPr>
        <w:t xml:space="preserve"> </w:t>
      </w:r>
      <w:r w:rsidRPr="00F01D45">
        <w:rPr>
          <w:szCs w:val="20"/>
        </w:rPr>
        <w:t>pages</w:t>
      </w:r>
      <w:r>
        <w:rPr>
          <w:szCs w:val="20"/>
        </w:rPr>
        <w:t xml:space="preserve"> </w:t>
      </w:r>
      <w:r w:rsidRPr="00F01D45">
        <w:rPr>
          <w:szCs w:val="20"/>
        </w:rPr>
        <w:t>of</w:t>
      </w:r>
      <w:r>
        <w:rPr>
          <w:szCs w:val="20"/>
        </w:rPr>
        <w:t xml:space="preserve"> </w:t>
      </w:r>
      <w:r w:rsidRPr="00F01D45">
        <w:rPr>
          <w:szCs w:val="20"/>
        </w:rPr>
        <w:t>comments</w:t>
      </w:r>
      <w:r>
        <w:rPr>
          <w:szCs w:val="20"/>
        </w:rPr>
        <w:t xml:space="preserve"> </w:t>
      </w:r>
      <w:r w:rsidRPr="00F01D45">
        <w:rPr>
          <w:szCs w:val="20"/>
        </w:rPr>
        <w:t>during</w:t>
      </w:r>
      <w:r>
        <w:rPr>
          <w:szCs w:val="20"/>
        </w:rPr>
        <w:t xml:space="preserve"> </w:t>
      </w:r>
      <w:r w:rsidRPr="00F01D45">
        <w:rPr>
          <w:szCs w:val="20"/>
        </w:rPr>
        <w:t>the</w:t>
      </w:r>
      <w:r>
        <w:rPr>
          <w:szCs w:val="20"/>
        </w:rPr>
        <w:t xml:space="preserve"> </w:t>
      </w:r>
      <w:r w:rsidRPr="00F01D45">
        <w:rPr>
          <w:szCs w:val="20"/>
        </w:rPr>
        <w:t>extended</w:t>
      </w:r>
      <w:r>
        <w:rPr>
          <w:szCs w:val="20"/>
        </w:rPr>
        <w:t xml:space="preserve"> </w:t>
      </w:r>
      <w:r w:rsidRPr="00F01D45">
        <w:rPr>
          <w:szCs w:val="20"/>
        </w:rPr>
        <w:t>comment</w:t>
      </w:r>
      <w:r>
        <w:rPr>
          <w:szCs w:val="20"/>
        </w:rPr>
        <w:t xml:space="preserve"> </w:t>
      </w:r>
      <w:r w:rsidRPr="00F01D45">
        <w:rPr>
          <w:szCs w:val="20"/>
        </w:rPr>
        <w:t>period</w:t>
      </w:r>
      <w:r>
        <w:rPr>
          <w:szCs w:val="20"/>
        </w:rPr>
        <w:t xml:space="preserve"> </w:t>
      </w:r>
      <w:r w:rsidRPr="00F01D45">
        <w:rPr>
          <w:szCs w:val="20"/>
        </w:rPr>
        <w:t>and</w:t>
      </w:r>
      <w:r>
        <w:rPr>
          <w:szCs w:val="20"/>
        </w:rPr>
        <w:t xml:space="preserve"> </w:t>
      </w:r>
      <w:r w:rsidRPr="00F01D45">
        <w:rPr>
          <w:szCs w:val="20"/>
        </w:rPr>
        <w:t>at</w:t>
      </w:r>
      <w:r>
        <w:rPr>
          <w:szCs w:val="20"/>
        </w:rPr>
        <w:t xml:space="preserve"> </w:t>
      </w:r>
      <w:r w:rsidRPr="00F01D45">
        <w:rPr>
          <w:szCs w:val="20"/>
        </w:rPr>
        <w:t>least</w:t>
      </w:r>
      <w:r>
        <w:rPr>
          <w:szCs w:val="20"/>
        </w:rPr>
        <w:t xml:space="preserve"> </w:t>
      </w:r>
      <w:r w:rsidRPr="00F01D45">
        <w:rPr>
          <w:szCs w:val="20"/>
        </w:rPr>
        <w:t>another</w:t>
      </w:r>
      <w:r>
        <w:rPr>
          <w:szCs w:val="20"/>
        </w:rPr>
        <w:t xml:space="preserve"> </w:t>
      </w:r>
      <w:r w:rsidRPr="00F01D45">
        <w:rPr>
          <w:szCs w:val="20"/>
        </w:rPr>
        <w:t>130</w:t>
      </w:r>
      <w:r>
        <w:rPr>
          <w:szCs w:val="20"/>
        </w:rPr>
        <w:t xml:space="preserve"> </w:t>
      </w:r>
      <w:r w:rsidRPr="00F01D45">
        <w:rPr>
          <w:szCs w:val="20"/>
        </w:rPr>
        <w:t>pages</w:t>
      </w:r>
      <w:r>
        <w:rPr>
          <w:szCs w:val="20"/>
        </w:rPr>
        <w:t xml:space="preserve"> </w:t>
      </w:r>
      <w:r w:rsidRPr="00F01D45">
        <w:rPr>
          <w:szCs w:val="20"/>
        </w:rPr>
        <w:t>after</w:t>
      </w:r>
      <w:r>
        <w:rPr>
          <w:szCs w:val="20"/>
        </w:rPr>
        <w:t xml:space="preserve"> </w:t>
      </w:r>
      <w:r w:rsidRPr="00F01D45">
        <w:rPr>
          <w:szCs w:val="20"/>
        </w:rPr>
        <w:t>the</w:t>
      </w:r>
      <w:r>
        <w:rPr>
          <w:szCs w:val="20"/>
        </w:rPr>
        <w:t xml:space="preserve"> </w:t>
      </w:r>
      <w:r w:rsidRPr="00F01D45">
        <w:rPr>
          <w:szCs w:val="20"/>
        </w:rPr>
        <w:t>comment</w:t>
      </w:r>
      <w:r>
        <w:rPr>
          <w:szCs w:val="20"/>
        </w:rPr>
        <w:t xml:space="preserve"> </w:t>
      </w:r>
      <w:r w:rsidRPr="00F01D45">
        <w:rPr>
          <w:szCs w:val="20"/>
        </w:rPr>
        <w:t>period</w:t>
      </w:r>
      <w:r>
        <w:rPr>
          <w:szCs w:val="20"/>
        </w:rPr>
        <w:t xml:space="preserve"> </w:t>
      </w:r>
      <w:r w:rsidRPr="00F01D45">
        <w:rPr>
          <w:szCs w:val="20"/>
        </w:rPr>
        <w:t>had</w:t>
      </w:r>
      <w:r>
        <w:rPr>
          <w:szCs w:val="20"/>
        </w:rPr>
        <w:t xml:space="preserve"> </w:t>
      </w:r>
      <w:r w:rsidRPr="00F01D45">
        <w:rPr>
          <w:szCs w:val="20"/>
        </w:rPr>
        <w:t>closed.</w:t>
      </w:r>
      <w:r>
        <w:rPr>
          <w:szCs w:val="20"/>
        </w:rPr>
        <w:t xml:space="preserve"> </w:t>
      </w:r>
      <w:r w:rsidRPr="00F01D45">
        <w:rPr>
          <w:szCs w:val="20"/>
        </w:rPr>
        <w:t>A</w:t>
      </w:r>
      <w:r>
        <w:rPr>
          <w:szCs w:val="20"/>
        </w:rPr>
        <w:t xml:space="preserve"> </w:t>
      </w:r>
      <w:r w:rsidRPr="00F01D45">
        <w:rPr>
          <w:szCs w:val="20"/>
        </w:rPr>
        <w:t>hearing</w:t>
      </w:r>
      <w:r>
        <w:rPr>
          <w:szCs w:val="20"/>
        </w:rPr>
        <w:t xml:space="preserve"> </w:t>
      </w:r>
      <w:r w:rsidRPr="00F01D45">
        <w:rPr>
          <w:szCs w:val="20"/>
        </w:rPr>
        <w:t>on</w:t>
      </w:r>
      <w:r>
        <w:rPr>
          <w:szCs w:val="20"/>
        </w:rPr>
        <w:t xml:space="preserve"> </w:t>
      </w:r>
      <w:r w:rsidRPr="00F01D45">
        <w:rPr>
          <w:szCs w:val="20"/>
        </w:rPr>
        <w:t>the</w:t>
      </w:r>
      <w:r>
        <w:rPr>
          <w:szCs w:val="20"/>
        </w:rPr>
        <w:t xml:space="preserve"> </w:t>
      </w:r>
      <w:r w:rsidRPr="00F01D45">
        <w:rPr>
          <w:szCs w:val="20"/>
        </w:rPr>
        <w:t>proposed</w:t>
      </w:r>
      <w:r>
        <w:rPr>
          <w:szCs w:val="20"/>
        </w:rPr>
        <w:t xml:space="preserve"> </w:t>
      </w:r>
      <w:r w:rsidRPr="00F01D45">
        <w:rPr>
          <w:szCs w:val="20"/>
        </w:rPr>
        <w:t>regulation</w:t>
      </w:r>
      <w:r>
        <w:rPr>
          <w:szCs w:val="20"/>
        </w:rPr>
        <w:t xml:space="preserve"> </w:t>
      </w:r>
      <w:r w:rsidRPr="00F01D45">
        <w:rPr>
          <w:szCs w:val="20"/>
        </w:rPr>
        <w:t>was</w:t>
      </w:r>
      <w:r>
        <w:rPr>
          <w:szCs w:val="20"/>
        </w:rPr>
        <w:t xml:space="preserve"> </w:t>
      </w:r>
      <w:r w:rsidRPr="00F01D45">
        <w:rPr>
          <w:szCs w:val="20"/>
        </w:rPr>
        <w:t>requested</w:t>
      </w:r>
      <w:r>
        <w:rPr>
          <w:szCs w:val="20"/>
        </w:rPr>
        <w:t xml:space="preserve"> </w:t>
      </w:r>
      <w:r w:rsidRPr="00F01D45">
        <w:rPr>
          <w:szCs w:val="20"/>
        </w:rPr>
        <w:t>and</w:t>
      </w:r>
      <w:r>
        <w:rPr>
          <w:szCs w:val="20"/>
        </w:rPr>
        <w:t xml:space="preserve"> </w:t>
      </w:r>
      <w:r w:rsidRPr="00F01D45">
        <w:rPr>
          <w:szCs w:val="20"/>
        </w:rPr>
        <w:t>was</w:t>
      </w:r>
      <w:r>
        <w:rPr>
          <w:szCs w:val="20"/>
        </w:rPr>
        <w:t xml:space="preserve"> </w:t>
      </w:r>
      <w:r w:rsidRPr="00F01D45">
        <w:rPr>
          <w:szCs w:val="20"/>
        </w:rPr>
        <w:t>held</w:t>
      </w:r>
      <w:r>
        <w:rPr>
          <w:szCs w:val="20"/>
        </w:rPr>
        <w:t xml:space="preserve"> </w:t>
      </w:r>
      <w:r w:rsidRPr="00F01D45">
        <w:rPr>
          <w:szCs w:val="20"/>
        </w:rPr>
        <w:t>on</w:t>
      </w:r>
      <w:r>
        <w:rPr>
          <w:szCs w:val="20"/>
        </w:rPr>
        <w:t xml:space="preserve"> </w:t>
      </w:r>
      <w:r w:rsidRPr="00F01D45">
        <w:rPr>
          <w:szCs w:val="20"/>
        </w:rPr>
        <w:t>September</w:t>
      </w:r>
      <w:r>
        <w:rPr>
          <w:szCs w:val="20"/>
        </w:rPr>
        <w:t xml:space="preserve"> </w:t>
      </w:r>
      <w:r w:rsidRPr="00F01D45">
        <w:rPr>
          <w:szCs w:val="20"/>
        </w:rPr>
        <w:t>15,</w:t>
      </w:r>
      <w:r>
        <w:rPr>
          <w:szCs w:val="20"/>
        </w:rPr>
        <w:t xml:space="preserve"> </w:t>
      </w:r>
      <w:r w:rsidRPr="00F01D45">
        <w:rPr>
          <w:szCs w:val="20"/>
        </w:rPr>
        <w:t>1983.</w:t>
      </w:r>
      <w:r>
        <w:rPr>
          <w:szCs w:val="20"/>
        </w:rPr>
        <w:t xml:space="preserve"> </w:t>
      </w:r>
      <w:r w:rsidRPr="00F01D45">
        <w:rPr>
          <w:szCs w:val="20"/>
        </w:rPr>
        <w:t>Thirty-seven</w:t>
      </w:r>
      <w:r>
        <w:rPr>
          <w:szCs w:val="20"/>
        </w:rPr>
        <w:t xml:space="preserve"> </w:t>
      </w:r>
      <w:r w:rsidRPr="00F01D45">
        <w:rPr>
          <w:szCs w:val="20"/>
        </w:rPr>
        <w:t>members</w:t>
      </w:r>
      <w:r>
        <w:rPr>
          <w:szCs w:val="20"/>
        </w:rPr>
        <w:t xml:space="preserve"> </w:t>
      </w:r>
      <w:r w:rsidRPr="00F01D45">
        <w:rPr>
          <w:szCs w:val="20"/>
        </w:rPr>
        <w:t>of</w:t>
      </w:r>
      <w:r>
        <w:rPr>
          <w:szCs w:val="20"/>
        </w:rPr>
        <w:t xml:space="preserve"> </w:t>
      </w:r>
      <w:r w:rsidRPr="00F01D45">
        <w:rPr>
          <w:szCs w:val="20"/>
        </w:rPr>
        <w:t>the</w:t>
      </w:r>
      <w:r>
        <w:rPr>
          <w:szCs w:val="20"/>
        </w:rPr>
        <w:t xml:space="preserve"> </w:t>
      </w:r>
      <w:r w:rsidRPr="00F01D45">
        <w:rPr>
          <w:szCs w:val="20"/>
        </w:rPr>
        <w:t>public</w:t>
      </w:r>
      <w:r>
        <w:rPr>
          <w:szCs w:val="20"/>
        </w:rPr>
        <w:t xml:space="preserve"> </w:t>
      </w:r>
      <w:r w:rsidRPr="00F01D45">
        <w:rPr>
          <w:szCs w:val="20"/>
        </w:rPr>
        <w:t>were</w:t>
      </w:r>
      <w:r>
        <w:rPr>
          <w:szCs w:val="20"/>
        </w:rPr>
        <w:t xml:space="preserve"> </w:t>
      </w:r>
      <w:r w:rsidRPr="00F01D45">
        <w:rPr>
          <w:szCs w:val="20"/>
        </w:rPr>
        <w:t>originally</w:t>
      </w:r>
      <w:r>
        <w:rPr>
          <w:szCs w:val="20"/>
        </w:rPr>
        <w:t xml:space="preserve"> </w:t>
      </w:r>
      <w:r w:rsidRPr="00F01D45">
        <w:rPr>
          <w:szCs w:val="20"/>
        </w:rPr>
        <w:t>scheduled</w:t>
      </w:r>
      <w:r>
        <w:rPr>
          <w:szCs w:val="20"/>
        </w:rPr>
        <w:t xml:space="preserve"> </w:t>
      </w:r>
      <w:r w:rsidRPr="00F01D45">
        <w:rPr>
          <w:szCs w:val="20"/>
        </w:rPr>
        <w:t>to</w:t>
      </w:r>
      <w:r>
        <w:rPr>
          <w:szCs w:val="20"/>
        </w:rPr>
        <w:t xml:space="preserve"> </w:t>
      </w:r>
      <w:r w:rsidRPr="00F01D45">
        <w:rPr>
          <w:szCs w:val="20"/>
        </w:rPr>
        <w:t>speak</w:t>
      </w:r>
      <w:r>
        <w:rPr>
          <w:szCs w:val="20"/>
        </w:rPr>
        <w:t xml:space="preserve"> </w:t>
      </w:r>
      <w:r w:rsidRPr="00F01D45">
        <w:rPr>
          <w:szCs w:val="20"/>
        </w:rPr>
        <w:t>at</w:t>
      </w:r>
      <w:r>
        <w:rPr>
          <w:szCs w:val="20"/>
        </w:rPr>
        <w:t xml:space="preserve"> </w:t>
      </w:r>
      <w:r w:rsidRPr="00F01D45">
        <w:rPr>
          <w:szCs w:val="20"/>
        </w:rPr>
        <w:t>the</w:t>
      </w:r>
      <w:r>
        <w:rPr>
          <w:szCs w:val="20"/>
        </w:rPr>
        <w:t xml:space="preserve"> </w:t>
      </w:r>
      <w:r w:rsidRPr="00F01D45">
        <w:rPr>
          <w:szCs w:val="20"/>
        </w:rPr>
        <w:t>hearing,</w:t>
      </w:r>
      <w:r>
        <w:rPr>
          <w:szCs w:val="20"/>
        </w:rPr>
        <w:t xml:space="preserve"> </w:t>
      </w:r>
      <w:r w:rsidRPr="00F01D45">
        <w:rPr>
          <w:szCs w:val="20"/>
        </w:rPr>
        <w:t>and</w:t>
      </w:r>
      <w:r>
        <w:rPr>
          <w:szCs w:val="20"/>
        </w:rPr>
        <w:t xml:space="preserve"> </w:t>
      </w:r>
      <w:r w:rsidRPr="00F01D45">
        <w:rPr>
          <w:szCs w:val="20"/>
        </w:rPr>
        <w:t>30</w:t>
      </w:r>
      <w:r>
        <w:rPr>
          <w:szCs w:val="20"/>
        </w:rPr>
        <w:t xml:space="preserve"> </w:t>
      </w:r>
      <w:r w:rsidRPr="00F01D45">
        <w:rPr>
          <w:szCs w:val="20"/>
        </w:rPr>
        <w:t>actually</w:t>
      </w:r>
      <w:r>
        <w:rPr>
          <w:szCs w:val="20"/>
        </w:rPr>
        <w:t xml:space="preserve"> </w:t>
      </w:r>
      <w:r w:rsidRPr="00F01D45">
        <w:rPr>
          <w:szCs w:val="20"/>
        </w:rPr>
        <w:t>spoke.</w:t>
      </w:r>
      <w:r>
        <w:rPr>
          <w:szCs w:val="20"/>
        </w:rPr>
        <w:t xml:space="preserve"> </w:t>
      </w:r>
      <w:r w:rsidRPr="00F01D45">
        <w:rPr>
          <w:szCs w:val="20"/>
        </w:rPr>
        <w:t>The</w:t>
      </w:r>
      <w:r>
        <w:rPr>
          <w:szCs w:val="20"/>
        </w:rPr>
        <w:t xml:space="preserve"> </w:t>
      </w:r>
      <w:r w:rsidRPr="00F01D45">
        <w:rPr>
          <w:szCs w:val="20"/>
        </w:rPr>
        <w:t>hearing</w:t>
      </w:r>
      <w:r>
        <w:rPr>
          <w:szCs w:val="20"/>
        </w:rPr>
        <w:t xml:space="preserve"> </w:t>
      </w:r>
      <w:r w:rsidRPr="00F01D45">
        <w:rPr>
          <w:szCs w:val="20"/>
        </w:rPr>
        <w:t>lasted</w:t>
      </w:r>
      <w:r>
        <w:rPr>
          <w:szCs w:val="20"/>
        </w:rPr>
        <w:t xml:space="preserve"> </w:t>
      </w:r>
      <w:r w:rsidRPr="00F01D45">
        <w:rPr>
          <w:szCs w:val="20"/>
        </w:rPr>
        <w:t>more</w:t>
      </w:r>
      <w:r>
        <w:rPr>
          <w:szCs w:val="20"/>
        </w:rPr>
        <w:t xml:space="preserve"> </w:t>
      </w:r>
      <w:r w:rsidRPr="00F01D45">
        <w:rPr>
          <w:szCs w:val="20"/>
        </w:rPr>
        <w:t>than</w:t>
      </w:r>
      <w:r>
        <w:rPr>
          <w:szCs w:val="20"/>
        </w:rPr>
        <w:t xml:space="preserve"> </w:t>
      </w:r>
      <w:r w:rsidRPr="00F01D45">
        <w:rPr>
          <w:szCs w:val="20"/>
        </w:rPr>
        <w:t>five</w:t>
      </w:r>
      <w:r>
        <w:rPr>
          <w:szCs w:val="20"/>
        </w:rPr>
        <w:t xml:space="preserve"> </w:t>
      </w:r>
      <w:r w:rsidRPr="00F01D45">
        <w:rPr>
          <w:szCs w:val="20"/>
        </w:rPr>
        <w:t>hours,</w:t>
      </w:r>
      <w:r>
        <w:rPr>
          <w:szCs w:val="20"/>
        </w:rPr>
        <w:t xml:space="preserve"> </w:t>
      </w:r>
      <w:r w:rsidRPr="00F01D45">
        <w:rPr>
          <w:szCs w:val="20"/>
        </w:rPr>
        <w:t>and</w:t>
      </w:r>
      <w:r>
        <w:rPr>
          <w:szCs w:val="20"/>
        </w:rPr>
        <w:t xml:space="preserve"> </w:t>
      </w:r>
      <w:r w:rsidRPr="00F01D45">
        <w:rPr>
          <w:szCs w:val="20"/>
        </w:rPr>
        <w:t>the</w:t>
      </w:r>
      <w:r>
        <w:rPr>
          <w:szCs w:val="20"/>
        </w:rPr>
        <w:t xml:space="preserve"> </w:t>
      </w:r>
      <w:r w:rsidRPr="00F01D45">
        <w:rPr>
          <w:szCs w:val="20"/>
        </w:rPr>
        <w:t>transcript</w:t>
      </w:r>
      <w:r>
        <w:rPr>
          <w:szCs w:val="20"/>
        </w:rPr>
        <w:t xml:space="preserve"> </w:t>
      </w:r>
      <w:r w:rsidRPr="00F01D45">
        <w:rPr>
          <w:szCs w:val="20"/>
        </w:rPr>
        <w:t>exceeds</w:t>
      </w:r>
      <w:r>
        <w:rPr>
          <w:szCs w:val="20"/>
        </w:rPr>
        <w:t xml:space="preserve"> </w:t>
      </w:r>
      <w:r w:rsidRPr="00F01D45">
        <w:rPr>
          <w:szCs w:val="20"/>
        </w:rPr>
        <w:t>200</w:t>
      </w:r>
      <w:r>
        <w:rPr>
          <w:szCs w:val="20"/>
        </w:rPr>
        <w:t xml:space="preserve"> </w:t>
      </w:r>
      <w:r w:rsidRPr="00F01D45">
        <w:rPr>
          <w:szCs w:val="20"/>
        </w:rPr>
        <w:t>pages.</w:t>
      </w:r>
    </w:p>
    <w:p w:rsidR="007649DB" w:rsidRPr="00F01D45" w:rsidRDefault="007649DB" w:rsidP="007649DB">
      <w:pPr>
        <w:pStyle w:val="QS10"/>
        <w:rPr>
          <w:szCs w:val="20"/>
        </w:rPr>
      </w:pPr>
      <w:r w:rsidRPr="00F01D45">
        <w:rPr>
          <w:szCs w:val="20"/>
        </w:rPr>
        <w:t>A</w:t>
      </w:r>
      <w:r>
        <w:rPr>
          <w:szCs w:val="20"/>
        </w:rPr>
        <w:t xml:space="preserve"> </w:t>
      </w:r>
      <w:r w:rsidRPr="00F01D45">
        <w:rPr>
          <w:szCs w:val="20"/>
        </w:rPr>
        <w:t>Treasury</w:t>
      </w:r>
      <w:r>
        <w:rPr>
          <w:szCs w:val="20"/>
        </w:rPr>
        <w:t xml:space="preserve"> </w:t>
      </w:r>
      <w:r w:rsidRPr="00F01D45">
        <w:rPr>
          <w:szCs w:val="20"/>
        </w:rPr>
        <w:t>Decision</w:t>
      </w:r>
      <w:r>
        <w:rPr>
          <w:szCs w:val="20"/>
        </w:rPr>
        <w:t xml:space="preserve"> </w:t>
      </w:r>
      <w:r w:rsidRPr="00F01D45">
        <w:rPr>
          <w:szCs w:val="20"/>
        </w:rPr>
        <w:t>adopting</w:t>
      </w:r>
      <w:r>
        <w:rPr>
          <w:szCs w:val="20"/>
        </w:rPr>
        <w:t xml:space="preserve"> </w:t>
      </w:r>
      <w:r w:rsidRPr="00F01D45">
        <w:rPr>
          <w:szCs w:val="20"/>
        </w:rPr>
        <w:t>final</w:t>
      </w:r>
      <w:r>
        <w:rPr>
          <w:szCs w:val="20"/>
        </w:rPr>
        <w:t xml:space="preserve"> </w:t>
      </w:r>
      <w:r w:rsidRPr="00F01D45">
        <w:rPr>
          <w:szCs w:val="20"/>
        </w:rPr>
        <w:t>regulations</w:t>
      </w:r>
      <w:r>
        <w:rPr>
          <w:szCs w:val="20"/>
        </w:rPr>
        <w:t xml:space="preserve"> </w:t>
      </w:r>
      <w:r w:rsidRPr="00F01D45">
        <w:rPr>
          <w:szCs w:val="20"/>
        </w:rPr>
        <w:t>was</w:t>
      </w:r>
      <w:r>
        <w:rPr>
          <w:szCs w:val="20"/>
        </w:rPr>
        <w:t xml:space="preserve"> </w:t>
      </w:r>
      <w:r w:rsidRPr="00F01D45">
        <w:rPr>
          <w:szCs w:val="20"/>
        </w:rPr>
        <w:t>published</w:t>
      </w:r>
      <w:r>
        <w:rPr>
          <w:szCs w:val="20"/>
        </w:rPr>
        <w:t xml:space="preserve"> </w:t>
      </w:r>
      <w:r w:rsidRPr="00F01D45">
        <w:rPr>
          <w:szCs w:val="20"/>
        </w:rPr>
        <w:t>in</w:t>
      </w:r>
      <w:r>
        <w:rPr>
          <w:szCs w:val="20"/>
        </w:rPr>
        <w:t xml:space="preserve"> </w:t>
      </w:r>
      <w:r w:rsidRPr="00F01D45">
        <w:rPr>
          <w:szCs w:val="20"/>
        </w:rPr>
        <w:t>the</w:t>
      </w:r>
      <w:r>
        <w:rPr>
          <w:szCs w:val="20"/>
        </w:rPr>
        <w:t xml:space="preserve"> </w:t>
      </w:r>
      <w:r w:rsidRPr="00F01D45">
        <w:rPr>
          <w:szCs w:val="20"/>
        </w:rPr>
        <w:t>Federal</w:t>
      </w:r>
      <w:r>
        <w:rPr>
          <w:szCs w:val="20"/>
        </w:rPr>
        <w:t xml:space="preserve"> </w:t>
      </w:r>
      <w:r w:rsidRPr="00F01D45">
        <w:rPr>
          <w:szCs w:val="20"/>
        </w:rPr>
        <w:t>Register</w:t>
      </w:r>
      <w:r>
        <w:rPr>
          <w:szCs w:val="20"/>
        </w:rPr>
        <w:t xml:space="preserve"> </w:t>
      </w:r>
      <w:r w:rsidRPr="00F01D45">
        <w:rPr>
          <w:szCs w:val="20"/>
        </w:rPr>
        <w:t>on</w:t>
      </w:r>
      <w:r>
        <w:rPr>
          <w:szCs w:val="20"/>
        </w:rPr>
        <w:t xml:space="preserve"> </w:t>
      </w:r>
      <w:r w:rsidRPr="00F01D45">
        <w:rPr>
          <w:szCs w:val="20"/>
        </w:rPr>
        <w:t>January</w:t>
      </w:r>
      <w:r>
        <w:rPr>
          <w:szCs w:val="20"/>
        </w:rPr>
        <w:t xml:space="preserve"> </w:t>
      </w:r>
      <w:r w:rsidRPr="00F01D45">
        <w:rPr>
          <w:szCs w:val="20"/>
        </w:rPr>
        <w:t>14,</w:t>
      </w:r>
      <w:r>
        <w:rPr>
          <w:szCs w:val="20"/>
        </w:rPr>
        <w:t xml:space="preserve"> </w:t>
      </w:r>
      <w:r w:rsidRPr="00F01D45">
        <w:rPr>
          <w:szCs w:val="20"/>
        </w:rPr>
        <w:t>1986.</w:t>
      </w:r>
      <w:r>
        <w:rPr>
          <w:szCs w:val="20"/>
        </w:rPr>
        <w:t xml:space="preserve"> </w:t>
      </w:r>
      <w:r w:rsidRPr="00F01D45">
        <w:rPr>
          <w:szCs w:val="20"/>
          <w:u w:val="single"/>
        </w:rPr>
        <w:t>See</w:t>
      </w:r>
      <w:r>
        <w:rPr>
          <w:szCs w:val="20"/>
        </w:rPr>
        <w:t xml:space="preserve"> </w:t>
      </w:r>
      <w:r w:rsidRPr="00F01D45">
        <w:rPr>
          <w:szCs w:val="20"/>
        </w:rPr>
        <w:t>T.D.</w:t>
      </w:r>
      <w:r>
        <w:rPr>
          <w:szCs w:val="20"/>
        </w:rPr>
        <w:t xml:space="preserve"> </w:t>
      </w:r>
      <w:r w:rsidRPr="00F01D45">
        <w:rPr>
          <w:szCs w:val="20"/>
        </w:rPr>
        <w:t>8069,</w:t>
      </w:r>
      <w:r>
        <w:rPr>
          <w:szCs w:val="20"/>
        </w:rPr>
        <w:t xml:space="preserve"> </w:t>
      </w:r>
      <w:r w:rsidRPr="00F01D45">
        <w:rPr>
          <w:szCs w:val="20"/>
        </w:rPr>
        <w:t>1986-1</w:t>
      </w:r>
      <w:r>
        <w:rPr>
          <w:szCs w:val="20"/>
        </w:rPr>
        <w:t xml:space="preserve"> </w:t>
      </w:r>
      <w:r w:rsidRPr="00F01D45">
        <w:rPr>
          <w:szCs w:val="20"/>
        </w:rPr>
        <w:t>C.B.</w:t>
      </w:r>
      <w:r>
        <w:rPr>
          <w:szCs w:val="20"/>
        </w:rPr>
        <w:t xml:space="preserve"> </w:t>
      </w:r>
      <w:r w:rsidRPr="00F01D45">
        <w:rPr>
          <w:szCs w:val="20"/>
        </w:rPr>
        <w:t>89,</w:t>
      </w:r>
      <w:r>
        <w:rPr>
          <w:szCs w:val="20"/>
        </w:rPr>
        <w:t xml:space="preserve"> </w:t>
      </w:r>
      <w:r w:rsidRPr="00F01D45">
        <w:rPr>
          <w:szCs w:val="20"/>
        </w:rPr>
        <w:t>51</w:t>
      </w:r>
      <w:r>
        <w:rPr>
          <w:szCs w:val="20"/>
        </w:rPr>
        <w:t xml:space="preserve"> </w:t>
      </w:r>
      <w:r w:rsidRPr="00F01D45">
        <w:rPr>
          <w:szCs w:val="20"/>
        </w:rPr>
        <w:t>Fed.</w:t>
      </w:r>
      <w:r>
        <w:rPr>
          <w:szCs w:val="20"/>
        </w:rPr>
        <w:t xml:space="preserve"> </w:t>
      </w:r>
      <w:r w:rsidRPr="00F01D45">
        <w:rPr>
          <w:szCs w:val="20"/>
        </w:rPr>
        <w:t>Reg.</w:t>
      </w:r>
      <w:r>
        <w:rPr>
          <w:szCs w:val="20"/>
        </w:rPr>
        <w:t xml:space="preserve"> </w:t>
      </w:r>
      <w:r w:rsidRPr="00F01D45">
        <w:rPr>
          <w:szCs w:val="20"/>
        </w:rPr>
        <w:t>1496</w:t>
      </w:r>
      <w:r>
        <w:rPr>
          <w:szCs w:val="20"/>
        </w:rPr>
        <w:t xml:space="preserve"> </w:t>
      </w:r>
      <w:r w:rsidRPr="00F01D45">
        <w:rPr>
          <w:szCs w:val="20"/>
        </w:rPr>
        <w:t>(Jan.</w:t>
      </w:r>
      <w:r>
        <w:rPr>
          <w:szCs w:val="20"/>
        </w:rPr>
        <w:t xml:space="preserve"> </w:t>
      </w:r>
      <w:r w:rsidRPr="00F01D45">
        <w:rPr>
          <w:szCs w:val="20"/>
        </w:rPr>
        <w:t>14,</w:t>
      </w:r>
      <w:r>
        <w:rPr>
          <w:szCs w:val="20"/>
        </w:rPr>
        <w:t xml:space="preserve"> </w:t>
      </w:r>
      <w:r w:rsidRPr="00F01D45">
        <w:rPr>
          <w:szCs w:val="20"/>
        </w:rPr>
        <w:t>1986).</w:t>
      </w:r>
      <w:r>
        <w:rPr>
          <w:szCs w:val="20"/>
        </w:rPr>
        <w:t xml:space="preserve"> </w:t>
      </w:r>
      <w:r w:rsidRPr="00F01D45">
        <w:rPr>
          <w:szCs w:val="20"/>
        </w:rPr>
        <w:t>The</w:t>
      </w:r>
      <w:r>
        <w:rPr>
          <w:szCs w:val="20"/>
        </w:rPr>
        <w:t xml:space="preserve"> </w:t>
      </w:r>
      <w:r w:rsidRPr="00F01D45">
        <w:rPr>
          <w:szCs w:val="20"/>
        </w:rPr>
        <w:t>Treasury</w:t>
      </w:r>
      <w:r>
        <w:rPr>
          <w:szCs w:val="20"/>
        </w:rPr>
        <w:t xml:space="preserve"> </w:t>
      </w:r>
      <w:r w:rsidRPr="00F01D45">
        <w:rPr>
          <w:szCs w:val="20"/>
        </w:rPr>
        <w:t>Decision</w:t>
      </w:r>
      <w:r>
        <w:rPr>
          <w:szCs w:val="20"/>
        </w:rPr>
        <w:t xml:space="preserve"> </w:t>
      </w:r>
      <w:r w:rsidRPr="00F01D45">
        <w:rPr>
          <w:szCs w:val="20"/>
        </w:rPr>
        <w:t>spanned</w:t>
      </w:r>
      <w:r>
        <w:rPr>
          <w:szCs w:val="20"/>
        </w:rPr>
        <w:t xml:space="preserve"> </w:t>
      </w:r>
      <w:r w:rsidRPr="00F01D45">
        <w:rPr>
          <w:szCs w:val="20"/>
        </w:rPr>
        <w:t>roughly</w:t>
      </w:r>
      <w:r>
        <w:rPr>
          <w:szCs w:val="20"/>
        </w:rPr>
        <w:t xml:space="preserve"> </w:t>
      </w:r>
      <w:r w:rsidRPr="00F01D45">
        <w:rPr>
          <w:szCs w:val="20"/>
        </w:rPr>
        <w:t>12</w:t>
      </w:r>
      <w:r>
        <w:rPr>
          <w:szCs w:val="20"/>
        </w:rPr>
        <w:t xml:space="preserve"> </w:t>
      </w:r>
      <w:r w:rsidRPr="00F01D45">
        <w:rPr>
          <w:szCs w:val="20"/>
        </w:rPr>
        <w:t>pages,</w:t>
      </w:r>
      <w:r>
        <w:rPr>
          <w:szCs w:val="20"/>
        </w:rPr>
        <w:t xml:space="preserve"> </w:t>
      </w:r>
      <w:r w:rsidRPr="00F01D45">
        <w:rPr>
          <w:szCs w:val="20"/>
        </w:rPr>
        <w:t>of</w:t>
      </w:r>
      <w:r>
        <w:rPr>
          <w:szCs w:val="20"/>
        </w:rPr>
        <w:t xml:space="preserve"> </w:t>
      </w:r>
      <w:r w:rsidRPr="00F01D45">
        <w:rPr>
          <w:szCs w:val="20"/>
        </w:rPr>
        <w:t>which</w:t>
      </w:r>
      <w:r>
        <w:rPr>
          <w:szCs w:val="20"/>
        </w:rPr>
        <w:t xml:space="preserve"> </w:t>
      </w:r>
      <w:r w:rsidRPr="00F01D45">
        <w:rPr>
          <w:szCs w:val="20"/>
        </w:rPr>
        <w:t>approximately</w:t>
      </w:r>
      <w:r>
        <w:rPr>
          <w:szCs w:val="20"/>
        </w:rPr>
        <w:t xml:space="preserve"> </w:t>
      </w:r>
      <w:r w:rsidRPr="00F01D45">
        <w:rPr>
          <w:szCs w:val="20"/>
        </w:rPr>
        <w:t>10</w:t>
      </w:r>
      <w:r>
        <w:rPr>
          <w:szCs w:val="20"/>
        </w:rPr>
        <w:t xml:space="preserve"> </w:t>
      </w:r>
      <w:r w:rsidRPr="00F01D45">
        <w:rPr>
          <w:szCs w:val="20"/>
        </w:rPr>
        <w:t>contained</w:t>
      </w:r>
      <w:r>
        <w:rPr>
          <w:szCs w:val="20"/>
        </w:rPr>
        <w:t xml:space="preserve"> </w:t>
      </w:r>
      <w:r w:rsidRPr="00F01D45">
        <w:rPr>
          <w:szCs w:val="20"/>
        </w:rPr>
        <w:t>the</w:t>
      </w:r>
      <w:r>
        <w:rPr>
          <w:szCs w:val="20"/>
        </w:rPr>
        <w:t xml:space="preserve"> </w:t>
      </w:r>
      <w:r w:rsidRPr="00F01D45">
        <w:rPr>
          <w:szCs w:val="20"/>
        </w:rPr>
        <w:t>actual</w:t>
      </w:r>
      <w:r>
        <w:rPr>
          <w:szCs w:val="20"/>
        </w:rPr>
        <w:t xml:space="preserve"> </w:t>
      </w:r>
      <w:r w:rsidRPr="00F01D45">
        <w:rPr>
          <w:szCs w:val="20"/>
        </w:rPr>
        <w:t>text</w:t>
      </w:r>
      <w:r>
        <w:rPr>
          <w:szCs w:val="20"/>
        </w:rPr>
        <w:t xml:space="preserve"> </w:t>
      </w:r>
      <w:r w:rsidRPr="00F01D45">
        <w:rPr>
          <w:szCs w:val="20"/>
        </w:rPr>
        <w:t>of</w:t>
      </w:r>
      <w:r>
        <w:rPr>
          <w:szCs w:val="20"/>
        </w:rPr>
        <w:t xml:space="preserve"> </w:t>
      </w:r>
      <w:r w:rsidRPr="00F01D45">
        <w:rPr>
          <w:szCs w:val="20"/>
        </w:rPr>
        <w:t>the</w:t>
      </w:r>
      <w:r>
        <w:rPr>
          <w:szCs w:val="20"/>
        </w:rPr>
        <w:t xml:space="preserve"> </w:t>
      </w:r>
      <w:r w:rsidRPr="00F01D45">
        <w:rPr>
          <w:szCs w:val="20"/>
        </w:rPr>
        <w:t>regulations.</w:t>
      </w:r>
      <w:r>
        <w:rPr>
          <w:szCs w:val="20"/>
        </w:rPr>
        <w:t xml:space="preserve"> </w:t>
      </w:r>
      <w:r w:rsidRPr="00F01D45">
        <w:rPr>
          <w:szCs w:val="20"/>
        </w:rPr>
        <w:t>That</w:t>
      </w:r>
      <w:r>
        <w:rPr>
          <w:szCs w:val="20"/>
        </w:rPr>
        <w:t xml:space="preserve"> </w:t>
      </w:r>
      <w:r w:rsidRPr="00F01D45">
        <w:rPr>
          <w:szCs w:val="20"/>
        </w:rPr>
        <w:t>left</w:t>
      </w:r>
      <w:r>
        <w:rPr>
          <w:szCs w:val="20"/>
        </w:rPr>
        <w:t xml:space="preserve"> </w:t>
      </w:r>
      <w:r w:rsidRPr="00F01D45">
        <w:rPr>
          <w:szCs w:val="20"/>
        </w:rPr>
        <w:t>just</w:t>
      </w:r>
      <w:r>
        <w:rPr>
          <w:szCs w:val="20"/>
        </w:rPr>
        <w:t xml:space="preserve"> </w:t>
      </w:r>
      <w:r w:rsidRPr="00F01D45">
        <w:rPr>
          <w:szCs w:val="20"/>
        </w:rPr>
        <w:t>over</w:t>
      </w:r>
      <w:r>
        <w:rPr>
          <w:szCs w:val="20"/>
        </w:rPr>
        <w:t xml:space="preserve"> </w:t>
      </w:r>
      <w:r w:rsidRPr="00F01D45">
        <w:rPr>
          <w:szCs w:val="20"/>
        </w:rPr>
        <w:t>two</w:t>
      </w:r>
      <w:r>
        <w:rPr>
          <w:szCs w:val="20"/>
        </w:rPr>
        <w:t xml:space="preserve"> </w:t>
      </w:r>
      <w:r w:rsidRPr="00F01D45">
        <w:rPr>
          <w:szCs w:val="20"/>
        </w:rPr>
        <w:t>pages</w:t>
      </w:r>
      <w:r>
        <w:rPr>
          <w:szCs w:val="20"/>
        </w:rPr>
        <w:t xml:space="preserve"> </w:t>
      </w:r>
      <w:r w:rsidRPr="00F01D45">
        <w:rPr>
          <w:szCs w:val="20"/>
        </w:rPr>
        <w:t>for</w:t>
      </w:r>
      <w:r>
        <w:rPr>
          <w:szCs w:val="20"/>
        </w:rPr>
        <w:t xml:space="preserve"> </w:t>
      </w:r>
      <w:r w:rsidRPr="00F01D45">
        <w:rPr>
          <w:szCs w:val="20"/>
        </w:rPr>
        <w:t>Treasury’s</w:t>
      </w:r>
      <w:r>
        <w:rPr>
          <w:szCs w:val="20"/>
        </w:rPr>
        <w:t xml:space="preserve"> </w:t>
      </w:r>
      <w:r w:rsidRPr="00F01D45">
        <w:rPr>
          <w:szCs w:val="20"/>
        </w:rPr>
        <w:t>responses</w:t>
      </w:r>
      <w:r>
        <w:rPr>
          <w:szCs w:val="20"/>
        </w:rPr>
        <w:t xml:space="preserve"> </w:t>
      </w:r>
      <w:r w:rsidRPr="00F01D45">
        <w:rPr>
          <w:szCs w:val="20"/>
        </w:rPr>
        <w:t>to</w:t>
      </w:r>
      <w:r>
        <w:rPr>
          <w:szCs w:val="20"/>
        </w:rPr>
        <w:t xml:space="preserve"> </w:t>
      </w:r>
      <w:r w:rsidRPr="00F01D45">
        <w:rPr>
          <w:szCs w:val="20"/>
        </w:rPr>
        <w:t>comments</w:t>
      </w:r>
      <w:r>
        <w:rPr>
          <w:szCs w:val="20"/>
        </w:rPr>
        <w:t xml:space="preserve"> </w:t>
      </w:r>
      <w:r w:rsidRPr="00F01D45">
        <w:rPr>
          <w:szCs w:val="20"/>
        </w:rPr>
        <w:t>and</w:t>
      </w:r>
      <w:r>
        <w:rPr>
          <w:szCs w:val="20"/>
        </w:rPr>
        <w:t xml:space="preserve"> </w:t>
      </w:r>
      <w:r w:rsidRPr="00F01D45">
        <w:rPr>
          <w:szCs w:val="20"/>
        </w:rPr>
        <w:t>other</w:t>
      </w:r>
      <w:r>
        <w:rPr>
          <w:szCs w:val="20"/>
        </w:rPr>
        <w:t xml:space="preserve"> </w:t>
      </w:r>
      <w:r w:rsidRPr="00F01D45">
        <w:rPr>
          <w:szCs w:val="20"/>
        </w:rPr>
        <w:t>administrative</w:t>
      </w:r>
      <w:r>
        <w:rPr>
          <w:szCs w:val="20"/>
        </w:rPr>
        <w:t xml:space="preserve"> </w:t>
      </w:r>
      <w:r w:rsidRPr="00F01D45">
        <w:rPr>
          <w:szCs w:val="20"/>
        </w:rPr>
        <w:t>matters</w:t>
      </w:r>
      <w:r>
        <w:rPr>
          <w:szCs w:val="20"/>
        </w:rPr>
        <w:t xml:space="preserve"> </w:t>
      </w:r>
      <w:r w:rsidRPr="00F01D45">
        <w:rPr>
          <w:szCs w:val="20"/>
        </w:rPr>
        <w:t>(for</w:t>
      </w:r>
      <w:r>
        <w:rPr>
          <w:szCs w:val="20"/>
        </w:rPr>
        <w:t xml:space="preserve"> </w:t>
      </w:r>
      <w:r w:rsidRPr="00F01D45">
        <w:rPr>
          <w:szCs w:val="20"/>
        </w:rPr>
        <w:t>example,</w:t>
      </w:r>
      <w:r>
        <w:rPr>
          <w:szCs w:val="20"/>
        </w:rPr>
        <w:t xml:space="preserve"> </w:t>
      </w:r>
      <w:r w:rsidRPr="00F01D45">
        <w:rPr>
          <w:szCs w:val="20"/>
        </w:rPr>
        <w:t>the</w:t>
      </w:r>
      <w:r>
        <w:rPr>
          <w:szCs w:val="20"/>
        </w:rPr>
        <w:t xml:space="preserve"> </w:t>
      </w:r>
      <w:r w:rsidRPr="00F01D45">
        <w:rPr>
          <w:szCs w:val="20"/>
        </w:rPr>
        <w:t>Paperwork</w:t>
      </w:r>
      <w:r>
        <w:rPr>
          <w:szCs w:val="20"/>
        </w:rPr>
        <w:t xml:space="preserve"> </w:t>
      </w:r>
      <w:r w:rsidRPr="00F01D45">
        <w:rPr>
          <w:szCs w:val="20"/>
        </w:rPr>
        <w:t>Reduction</w:t>
      </w:r>
      <w:r>
        <w:rPr>
          <w:szCs w:val="20"/>
        </w:rPr>
        <w:t xml:space="preserve"> </w:t>
      </w:r>
      <w:r w:rsidRPr="00F01D45">
        <w:rPr>
          <w:szCs w:val="20"/>
        </w:rPr>
        <w:t>Act</w:t>
      </w:r>
      <w:r>
        <w:rPr>
          <w:szCs w:val="20"/>
        </w:rPr>
        <w:t xml:space="preserve"> </w:t>
      </w:r>
      <w:r w:rsidRPr="00F01D45">
        <w:rPr>
          <w:szCs w:val="20"/>
        </w:rPr>
        <w:t>notice</w:t>
      </w:r>
      <w:r>
        <w:rPr>
          <w:szCs w:val="20"/>
        </w:rPr>
        <w:t xml:space="preserve"> </w:t>
      </w:r>
      <w:r w:rsidRPr="00F01D45">
        <w:rPr>
          <w:szCs w:val="20"/>
        </w:rPr>
        <w:t>and</w:t>
      </w:r>
      <w:r>
        <w:rPr>
          <w:szCs w:val="20"/>
        </w:rPr>
        <w:t xml:space="preserve"> </w:t>
      </w:r>
      <w:r w:rsidRPr="00F01D45">
        <w:rPr>
          <w:szCs w:val="20"/>
        </w:rPr>
        <w:t>drafting</w:t>
      </w:r>
      <w:r>
        <w:rPr>
          <w:szCs w:val="20"/>
        </w:rPr>
        <w:t xml:space="preserve"> </w:t>
      </w:r>
      <w:r w:rsidRPr="00F01D45">
        <w:rPr>
          <w:szCs w:val="20"/>
        </w:rPr>
        <w:t>information).</w:t>
      </w:r>
      <w:r>
        <w:rPr>
          <w:szCs w:val="20"/>
        </w:rPr>
        <w:t xml:space="preserve"> </w:t>
      </w:r>
      <w:r w:rsidRPr="00F01D45">
        <w:rPr>
          <w:szCs w:val="20"/>
        </w:rPr>
        <w:t>Put</w:t>
      </w:r>
      <w:r>
        <w:rPr>
          <w:szCs w:val="20"/>
        </w:rPr>
        <w:t xml:space="preserve"> </w:t>
      </w:r>
      <w:r w:rsidRPr="00F01D45">
        <w:rPr>
          <w:szCs w:val="20"/>
        </w:rPr>
        <w:t>another</w:t>
      </w:r>
      <w:r>
        <w:rPr>
          <w:szCs w:val="20"/>
        </w:rPr>
        <w:t xml:space="preserve"> </w:t>
      </w:r>
      <w:r w:rsidRPr="00F01D45">
        <w:rPr>
          <w:szCs w:val="20"/>
        </w:rPr>
        <w:t>way,</w:t>
      </w:r>
      <w:r>
        <w:rPr>
          <w:szCs w:val="20"/>
        </w:rPr>
        <w:t xml:space="preserve"> </w:t>
      </w:r>
      <w:r w:rsidRPr="00F01D45">
        <w:rPr>
          <w:szCs w:val="20"/>
        </w:rPr>
        <w:t>Treasury</w:t>
      </w:r>
      <w:r>
        <w:rPr>
          <w:szCs w:val="20"/>
        </w:rPr>
        <w:t xml:space="preserve"> </w:t>
      </w:r>
      <w:r w:rsidRPr="00F01D45">
        <w:rPr>
          <w:szCs w:val="20"/>
        </w:rPr>
        <w:t>used</w:t>
      </w:r>
      <w:r>
        <w:rPr>
          <w:szCs w:val="20"/>
        </w:rPr>
        <w:t xml:space="preserve"> </w:t>
      </w:r>
      <w:r w:rsidRPr="00F01D45">
        <w:rPr>
          <w:szCs w:val="20"/>
        </w:rPr>
        <w:t>six</w:t>
      </w:r>
      <w:r>
        <w:rPr>
          <w:szCs w:val="20"/>
        </w:rPr>
        <w:t xml:space="preserve"> </w:t>
      </w:r>
      <w:r w:rsidRPr="00F01D45">
        <w:rPr>
          <w:szCs w:val="20"/>
        </w:rPr>
        <w:t>columns</w:t>
      </w:r>
      <w:r>
        <w:rPr>
          <w:szCs w:val="20"/>
        </w:rPr>
        <w:t xml:space="preserve"> </w:t>
      </w:r>
      <w:r w:rsidRPr="00F01D45">
        <w:rPr>
          <w:szCs w:val="20"/>
        </w:rPr>
        <w:t>of</w:t>
      </w:r>
      <w:r>
        <w:rPr>
          <w:szCs w:val="20"/>
        </w:rPr>
        <w:t xml:space="preserve"> </w:t>
      </w:r>
      <w:r w:rsidRPr="00F01D45">
        <w:rPr>
          <w:szCs w:val="20"/>
        </w:rPr>
        <w:t>the</w:t>
      </w:r>
      <w:r>
        <w:rPr>
          <w:szCs w:val="20"/>
        </w:rPr>
        <w:t xml:space="preserve"> </w:t>
      </w:r>
      <w:r w:rsidRPr="00F01D45">
        <w:rPr>
          <w:szCs w:val="20"/>
        </w:rPr>
        <w:t>Federal</w:t>
      </w:r>
      <w:r>
        <w:rPr>
          <w:szCs w:val="20"/>
        </w:rPr>
        <w:t xml:space="preserve"> </w:t>
      </w:r>
      <w:r w:rsidRPr="00F01D45">
        <w:rPr>
          <w:szCs w:val="20"/>
        </w:rPr>
        <w:t>Register</w:t>
      </w:r>
      <w:r>
        <w:rPr>
          <w:szCs w:val="20"/>
        </w:rPr>
        <w:t xml:space="preserve"> </w:t>
      </w:r>
      <w:r w:rsidRPr="00F01D45">
        <w:rPr>
          <w:szCs w:val="20"/>
        </w:rPr>
        <w:t>to</w:t>
      </w:r>
      <w:r>
        <w:rPr>
          <w:szCs w:val="20"/>
        </w:rPr>
        <w:t xml:space="preserve"> </w:t>
      </w:r>
      <w:r w:rsidRPr="00F01D45">
        <w:rPr>
          <w:szCs w:val="20"/>
        </w:rPr>
        <w:t>address</w:t>
      </w:r>
      <w:r>
        <w:rPr>
          <w:szCs w:val="20"/>
        </w:rPr>
        <w:t xml:space="preserve"> </w:t>
      </w:r>
      <w:r w:rsidRPr="00F01D45">
        <w:rPr>
          <w:szCs w:val="20"/>
        </w:rPr>
        <w:t>more</w:t>
      </w:r>
      <w:r>
        <w:rPr>
          <w:szCs w:val="20"/>
        </w:rPr>
        <w:t xml:space="preserve"> </w:t>
      </w:r>
      <w:r w:rsidRPr="00F01D45">
        <w:rPr>
          <w:szCs w:val="20"/>
        </w:rPr>
        <w:t>than</w:t>
      </w:r>
      <w:r>
        <w:rPr>
          <w:szCs w:val="20"/>
        </w:rPr>
        <w:t xml:space="preserve"> </w:t>
      </w:r>
      <w:r w:rsidRPr="00F01D45">
        <w:rPr>
          <w:szCs w:val="20"/>
        </w:rPr>
        <w:t>700</w:t>
      </w:r>
      <w:r>
        <w:rPr>
          <w:szCs w:val="20"/>
        </w:rPr>
        <w:t xml:space="preserve"> </w:t>
      </w:r>
      <w:r w:rsidRPr="00F01D45">
        <w:rPr>
          <w:szCs w:val="20"/>
        </w:rPr>
        <w:t>pages</w:t>
      </w:r>
      <w:r>
        <w:rPr>
          <w:szCs w:val="20"/>
        </w:rPr>
        <w:t xml:space="preserve"> </w:t>
      </w:r>
      <w:r w:rsidRPr="00F01D45">
        <w:rPr>
          <w:szCs w:val="20"/>
        </w:rPr>
        <w:t>of</w:t>
      </w:r>
      <w:r>
        <w:rPr>
          <w:szCs w:val="20"/>
        </w:rPr>
        <w:t xml:space="preserve"> </w:t>
      </w:r>
      <w:r w:rsidRPr="00F01D45">
        <w:rPr>
          <w:szCs w:val="20"/>
        </w:rPr>
        <w:t>timely</w:t>
      </w:r>
      <w:r>
        <w:rPr>
          <w:szCs w:val="20"/>
        </w:rPr>
        <w:t xml:space="preserve"> </w:t>
      </w:r>
      <w:r w:rsidRPr="00F01D45">
        <w:rPr>
          <w:szCs w:val="20"/>
        </w:rPr>
        <w:t>comments</w:t>
      </w:r>
      <w:r>
        <w:rPr>
          <w:szCs w:val="20"/>
        </w:rPr>
        <w:t xml:space="preserve"> </w:t>
      </w:r>
      <w:r w:rsidRPr="00F01D45">
        <w:rPr>
          <w:szCs w:val="20"/>
        </w:rPr>
        <w:t>and</w:t>
      </w:r>
      <w:r>
        <w:rPr>
          <w:szCs w:val="20"/>
        </w:rPr>
        <w:t xml:space="preserve"> </w:t>
      </w:r>
      <w:r w:rsidRPr="00F01D45">
        <w:rPr>
          <w:szCs w:val="20"/>
        </w:rPr>
        <w:t>more</w:t>
      </w:r>
      <w:r>
        <w:rPr>
          <w:szCs w:val="20"/>
        </w:rPr>
        <w:t xml:space="preserve"> </w:t>
      </w:r>
      <w:r w:rsidRPr="00F01D45">
        <w:rPr>
          <w:szCs w:val="20"/>
        </w:rPr>
        <w:t>than</w:t>
      </w:r>
      <w:r>
        <w:rPr>
          <w:szCs w:val="20"/>
        </w:rPr>
        <w:t xml:space="preserve"> </w:t>
      </w:r>
      <w:r w:rsidRPr="00F01D45">
        <w:rPr>
          <w:szCs w:val="20"/>
        </w:rPr>
        <w:t>200</w:t>
      </w:r>
      <w:r>
        <w:rPr>
          <w:szCs w:val="20"/>
        </w:rPr>
        <w:t xml:space="preserve"> </w:t>
      </w:r>
      <w:r w:rsidRPr="00F01D45">
        <w:rPr>
          <w:szCs w:val="20"/>
        </w:rPr>
        <w:t>pages</w:t>
      </w:r>
      <w:r>
        <w:rPr>
          <w:szCs w:val="20"/>
        </w:rPr>
        <w:t xml:space="preserve"> </w:t>
      </w:r>
      <w:r w:rsidRPr="00F01D45">
        <w:rPr>
          <w:szCs w:val="20"/>
        </w:rPr>
        <w:t>of</w:t>
      </w:r>
      <w:r>
        <w:rPr>
          <w:szCs w:val="20"/>
        </w:rPr>
        <w:t xml:space="preserve"> </w:t>
      </w:r>
      <w:r w:rsidRPr="00F01D45">
        <w:rPr>
          <w:szCs w:val="20"/>
        </w:rPr>
        <w:t>public</w:t>
      </w:r>
      <w:r>
        <w:rPr>
          <w:szCs w:val="20"/>
        </w:rPr>
        <w:t xml:space="preserve"> </w:t>
      </w:r>
      <w:r w:rsidRPr="00F01D45">
        <w:rPr>
          <w:szCs w:val="20"/>
        </w:rPr>
        <w:t>testimony.</w:t>
      </w:r>
      <w:r>
        <w:rPr>
          <w:szCs w:val="20"/>
        </w:rPr>
        <w:t xml:space="preserve"> </w:t>
      </w:r>
      <w:r w:rsidRPr="00F01D45">
        <w:rPr>
          <w:szCs w:val="20"/>
        </w:rPr>
        <w:t>Those</w:t>
      </w:r>
      <w:r>
        <w:rPr>
          <w:szCs w:val="20"/>
        </w:rPr>
        <w:t xml:space="preserve"> </w:t>
      </w:r>
      <w:r w:rsidRPr="00F01D45">
        <w:rPr>
          <w:szCs w:val="20"/>
        </w:rPr>
        <w:t>six</w:t>
      </w:r>
      <w:r>
        <w:rPr>
          <w:szCs w:val="20"/>
        </w:rPr>
        <w:t xml:space="preserve"> </w:t>
      </w:r>
      <w:r w:rsidRPr="00F01D45">
        <w:rPr>
          <w:szCs w:val="20"/>
        </w:rPr>
        <w:t>columns</w:t>
      </w:r>
      <w:r>
        <w:rPr>
          <w:szCs w:val="20"/>
        </w:rPr>
        <w:t xml:space="preserve"> </w:t>
      </w:r>
      <w:r w:rsidRPr="00F01D45">
        <w:rPr>
          <w:szCs w:val="20"/>
        </w:rPr>
        <w:t>were</w:t>
      </w:r>
      <w:r>
        <w:rPr>
          <w:szCs w:val="20"/>
        </w:rPr>
        <w:t xml:space="preserve"> </w:t>
      </w:r>
      <w:r w:rsidRPr="00F01D45">
        <w:rPr>
          <w:szCs w:val="20"/>
        </w:rPr>
        <w:t>intended</w:t>
      </w:r>
      <w:r>
        <w:rPr>
          <w:szCs w:val="20"/>
        </w:rPr>
        <w:t xml:space="preserve"> </w:t>
      </w:r>
      <w:r w:rsidRPr="00F01D45">
        <w:rPr>
          <w:szCs w:val="20"/>
        </w:rPr>
        <w:t>to</w:t>
      </w:r>
      <w:r>
        <w:rPr>
          <w:szCs w:val="20"/>
        </w:rPr>
        <w:t xml:space="preserve"> </w:t>
      </w:r>
      <w:r w:rsidRPr="00F01D45">
        <w:rPr>
          <w:szCs w:val="20"/>
        </w:rPr>
        <w:t>cover</w:t>
      </w:r>
      <w:r>
        <w:rPr>
          <w:szCs w:val="20"/>
        </w:rPr>
        <w:t xml:space="preserve"> </w:t>
      </w:r>
      <w:r w:rsidRPr="00F01D45">
        <w:rPr>
          <w:szCs w:val="20"/>
        </w:rPr>
        <w:t>comments</w:t>
      </w:r>
      <w:r>
        <w:rPr>
          <w:szCs w:val="20"/>
        </w:rPr>
        <w:t xml:space="preserve"> </w:t>
      </w:r>
      <w:r w:rsidRPr="00F01D45">
        <w:rPr>
          <w:szCs w:val="20"/>
        </w:rPr>
        <w:t>on</w:t>
      </w:r>
      <w:r>
        <w:rPr>
          <w:szCs w:val="20"/>
        </w:rPr>
        <w:t xml:space="preserve"> </w:t>
      </w:r>
      <w:r w:rsidRPr="00F01D45">
        <w:rPr>
          <w:szCs w:val="20"/>
        </w:rPr>
        <w:t>a</w:t>
      </w:r>
      <w:r>
        <w:rPr>
          <w:szCs w:val="20"/>
        </w:rPr>
        <w:t xml:space="preserve"> </w:t>
      </w:r>
      <w:r w:rsidRPr="00F01D45">
        <w:rPr>
          <w:szCs w:val="20"/>
        </w:rPr>
        <w:t>“regulation</w:t>
      </w:r>
      <w:r>
        <w:rPr>
          <w:szCs w:val="20"/>
        </w:rPr>
        <w:t xml:space="preserve"> </w:t>
      </w:r>
      <w:r w:rsidRPr="00F01D45">
        <w:rPr>
          <w:szCs w:val="20"/>
        </w:rPr>
        <w:t>project</w:t>
      </w:r>
      <w:r>
        <w:rPr>
          <w:szCs w:val="20"/>
        </w:rPr>
        <w:t xml:space="preserve"> </w:t>
      </w:r>
      <w:r w:rsidRPr="00F01D45">
        <w:rPr>
          <w:szCs w:val="20"/>
        </w:rPr>
        <w:t>consisting</w:t>
      </w:r>
      <w:r>
        <w:rPr>
          <w:szCs w:val="20"/>
        </w:rPr>
        <w:t xml:space="preserve"> </w:t>
      </w:r>
      <w:r w:rsidRPr="00F01D45">
        <w:rPr>
          <w:szCs w:val="20"/>
        </w:rPr>
        <w:t>of</w:t>
      </w:r>
      <w:r>
        <w:rPr>
          <w:szCs w:val="20"/>
        </w:rPr>
        <w:t xml:space="preserve"> </w:t>
      </w:r>
      <w:r w:rsidRPr="00F01D45">
        <w:rPr>
          <w:szCs w:val="20"/>
        </w:rPr>
        <w:t>10</w:t>
      </w:r>
      <w:r>
        <w:rPr>
          <w:szCs w:val="20"/>
        </w:rPr>
        <w:t xml:space="preserve"> </w:t>
      </w:r>
      <w:r w:rsidRPr="00F01D45">
        <w:rPr>
          <w:szCs w:val="20"/>
        </w:rPr>
        <w:t>paragraphs,</w:t>
      </w:r>
      <w:r>
        <w:rPr>
          <w:szCs w:val="20"/>
        </w:rPr>
        <w:t xml:space="preserve"> </w:t>
      </w:r>
      <w:r w:rsidRPr="00F01D45">
        <w:rPr>
          <w:szCs w:val="20"/>
        </w:rPr>
        <w:t>23</w:t>
      </w:r>
      <w:r>
        <w:rPr>
          <w:szCs w:val="20"/>
        </w:rPr>
        <w:t xml:space="preserve"> </w:t>
      </w:r>
      <w:r w:rsidRPr="00F01D45">
        <w:rPr>
          <w:szCs w:val="20"/>
        </w:rPr>
        <w:t>subparagraphs,</w:t>
      </w:r>
      <w:r>
        <w:rPr>
          <w:szCs w:val="20"/>
        </w:rPr>
        <w:t xml:space="preserve"> </w:t>
      </w:r>
      <w:r w:rsidRPr="00F01D45">
        <w:rPr>
          <w:szCs w:val="20"/>
        </w:rPr>
        <w:t>30</w:t>
      </w:r>
      <w:r>
        <w:rPr>
          <w:szCs w:val="20"/>
        </w:rPr>
        <w:t xml:space="preserve"> </w:t>
      </w:r>
      <w:r w:rsidRPr="00F01D45">
        <w:rPr>
          <w:szCs w:val="20"/>
        </w:rPr>
        <w:t>subdivisions,</w:t>
      </w:r>
      <w:r>
        <w:rPr>
          <w:szCs w:val="20"/>
        </w:rPr>
        <w:t xml:space="preserve"> </w:t>
      </w:r>
      <w:r w:rsidRPr="00F01D45">
        <w:rPr>
          <w:szCs w:val="20"/>
        </w:rPr>
        <w:t>and</w:t>
      </w:r>
      <w:r>
        <w:rPr>
          <w:szCs w:val="20"/>
        </w:rPr>
        <w:t xml:space="preserve"> </w:t>
      </w:r>
      <w:r w:rsidRPr="00F01D45">
        <w:rPr>
          <w:szCs w:val="20"/>
        </w:rPr>
        <w:t>21</w:t>
      </w:r>
      <w:r>
        <w:rPr>
          <w:szCs w:val="20"/>
        </w:rPr>
        <w:t xml:space="preserve"> </w:t>
      </w:r>
      <w:r w:rsidRPr="00F01D45">
        <w:rPr>
          <w:szCs w:val="20"/>
        </w:rPr>
        <w:t>examples.”</w:t>
      </w:r>
      <w:r>
        <w:rPr>
          <w:szCs w:val="20"/>
        </w:rPr>
        <w:t xml:space="preserve"> </w:t>
      </w:r>
      <w:r w:rsidRPr="00F01D45">
        <w:rPr>
          <w:szCs w:val="20"/>
          <w:u w:val="single"/>
        </w:rPr>
        <w:t>See</w:t>
      </w:r>
      <w:r>
        <w:rPr>
          <w:szCs w:val="20"/>
        </w:rPr>
        <w:t xml:space="preserve"> </w:t>
      </w:r>
      <w:r w:rsidRPr="00F01D45">
        <w:rPr>
          <w:szCs w:val="20"/>
        </w:rPr>
        <w:t>op.</w:t>
      </w:r>
      <w:r>
        <w:rPr>
          <w:szCs w:val="20"/>
        </w:rPr>
        <w:t xml:space="preserve"> </w:t>
      </w:r>
      <w:r w:rsidRPr="00F01D45">
        <w:rPr>
          <w:szCs w:val="20"/>
        </w:rPr>
        <w:t>Ct.</w:t>
      </w:r>
      <w:r>
        <w:rPr>
          <w:szCs w:val="20"/>
        </w:rPr>
        <w:t xml:space="preserve"> </w:t>
      </w:r>
      <w:r w:rsidRPr="00F01D45">
        <w:rPr>
          <w:szCs w:val="20"/>
        </w:rPr>
        <w:t>p.</w:t>
      </w:r>
      <w:r>
        <w:rPr>
          <w:szCs w:val="20"/>
        </w:rPr>
        <w:t xml:space="preserve"> </w:t>
      </w:r>
      <w:r w:rsidRPr="00F01D45">
        <w:rPr>
          <w:szCs w:val="20"/>
        </w:rPr>
        <w:t>24.</w:t>
      </w:r>
    </w:p>
    <w:p w:rsidR="007649DB" w:rsidRPr="00F01D45" w:rsidRDefault="007649DB" w:rsidP="007649DB">
      <w:pPr>
        <w:pStyle w:val="QS10"/>
        <w:rPr>
          <w:szCs w:val="20"/>
        </w:rPr>
      </w:pPr>
      <w:r w:rsidRPr="00F01D45">
        <w:rPr>
          <w:szCs w:val="20"/>
        </w:rPr>
        <w:t>One</w:t>
      </w:r>
      <w:r>
        <w:rPr>
          <w:szCs w:val="20"/>
        </w:rPr>
        <w:t xml:space="preserve"> </w:t>
      </w:r>
      <w:r w:rsidRPr="00F01D45">
        <w:rPr>
          <w:szCs w:val="20"/>
        </w:rPr>
        <w:t>might</w:t>
      </w:r>
      <w:r>
        <w:rPr>
          <w:szCs w:val="20"/>
        </w:rPr>
        <w:t xml:space="preserve"> </w:t>
      </w:r>
      <w:r w:rsidRPr="00F01D45">
        <w:rPr>
          <w:szCs w:val="20"/>
        </w:rPr>
        <w:t>wonder</w:t>
      </w:r>
      <w:r>
        <w:rPr>
          <w:szCs w:val="20"/>
        </w:rPr>
        <w:t xml:space="preserve"> </w:t>
      </w:r>
      <w:r w:rsidRPr="00F01D45">
        <w:rPr>
          <w:szCs w:val="20"/>
        </w:rPr>
        <w:t>how</w:t>
      </w:r>
      <w:r>
        <w:rPr>
          <w:szCs w:val="20"/>
        </w:rPr>
        <w:t xml:space="preserve"> </w:t>
      </w:r>
      <w:r w:rsidRPr="00F01D45">
        <w:rPr>
          <w:szCs w:val="20"/>
        </w:rPr>
        <w:t>an</w:t>
      </w:r>
      <w:r>
        <w:rPr>
          <w:szCs w:val="20"/>
        </w:rPr>
        <w:t xml:space="preserve"> </w:t>
      </w:r>
      <w:r w:rsidRPr="00F01D45">
        <w:rPr>
          <w:szCs w:val="20"/>
        </w:rPr>
        <w:t>agency</w:t>
      </w:r>
      <w:r>
        <w:rPr>
          <w:szCs w:val="20"/>
        </w:rPr>
        <w:t xml:space="preserve"> </w:t>
      </w:r>
      <w:r w:rsidRPr="00F01D45">
        <w:rPr>
          <w:szCs w:val="20"/>
        </w:rPr>
        <w:t>familiar</w:t>
      </w:r>
      <w:r>
        <w:rPr>
          <w:szCs w:val="20"/>
        </w:rPr>
        <w:t xml:space="preserve"> </w:t>
      </w:r>
      <w:r w:rsidRPr="00F01D45">
        <w:rPr>
          <w:szCs w:val="20"/>
        </w:rPr>
        <w:t>with</w:t>
      </w:r>
      <w:r>
        <w:rPr>
          <w:szCs w:val="20"/>
        </w:rPr>
        <w:t xml:space="preserve"> </w:t>
      </w:r>
      <w:r w:rsidRPr="00F01D45">
        <w:rPr>
          <w:szCs w:val="20"/>
        </w:rPr>
        <w:t>the</w:t>
      </w:r>
      <w:r>
        <w:rPr>
          <w:szCs w:val="20"/>
        </w:rPr>
        <w:t xml:space="preserve"> </w:t>
      </w:r>
      <w:r w:rsidRPr="00F01D45">
        <w:rPr>
          <w:szCs w:val="20"/>
        </w:rPr>
        <w:t>D.C.</w:t>
      </w:r>
      <w:r>
        <w:rPr>
          <w:szCs w:val="20"/>
        </w:rPr>
        <w:t xml:space="preserve"> </w:t>
      </w:r>
      <w:r w:rsidRPr="00F01D45">
        <w:rPr>
          <w:szCs w:val="20"/>
        </w:rPr>
        <w:t>Circuit’s</w:t>
      </w:r>
      <w:r>
        <w:rPr>
          <w:szCs w:val="20"/>
        </w:rPr>
        <w:t xml:space="preserve"> </w:t>
      </w:r>
      <w:r w:rsidRPr="00F01D45">
        <w:rPr>
          <w:szCs w:val="20"/>
        </w:rPr>
        <w:t>decision</w:t>
      </w:r>
      <w:r>
        <w:rPr>
          <w:szCs w:val="20"/>
        </w:rPr>
        <w:t xml:space="preserve"> </w:t>
      </w:r>
      <w:r w:rsidRPr="00F01D45">
        <w:rPr>
          <w:szCs w:val="20"/>
        </w:rPr>
        <w:t>in</w:t>
      </w:r>
      <w:r>
        <w:rPr>
          <w:szCs w:val="20"/>
        </w:rPr>
        <w:t xml:space="preserve"> </w:t>
      </w:r>
      <w:r w:rsidRPr="00F01D45">
        <w:rPr>
          <w:szCs w:val="20"/>
          <w:u w:val="single"/>
        </w:rPr>
        <w:t>Home</w:t>
      </w:r>
      <w:r>
        <w:rPr>
          <w:szCs w:val="20"/>
          <w:u w:val="single"/>
        </w:rPr>
        <w:t xml:space="preserve"> </w:t>
      </w:r>
      <w:r w:rsidRPr="00F01D45">
        <w:rPr>
          <w:szCs w:val="20"/>
          <w:u w:val="single"/>
        </w:rPr>
        <w:t>Box</w:t>
      </w:r>
      <w:r>
        <w:rPr>
          <w:szCs w:val="20"/>
          <w:u w:val="single"/>
        </w:rPr>
        <w:t xml:space="preserve"> </w:t>
      </w:r>
      <w:r w:rsidRPr="00F01D45">
        <w:rPr>
          <w:szCs w:val="20"/>
          <w:u w:val="single"/>
        </w:rPr>
        <w:t>Office</w:t>
      </w:r>
      <w:r w:rsidRPr="00F01D45">
        <w:rPr>
          <w:szCs w:val="20"/>
        </w:rPr>
        <w:t>,</w:t>
      </w:r>
      <w:r>
        <w:rPr>
          <w:szCs w:val="20"/>
        </w:rPr>
        <w:t xml:space="preserve"> </w:t>
      </w:r>
      <w:r w:rsidRPr="00F01D45">
        <w:rPr>
          <w:szCs w:val="20"/>
        </w:rPr>
        <w:t>which</w:t>
      </w:r>
      <w:r>
        <w:rPr>
          <w:szCs w:val="20"/>
        </w:rPr>
        <w:t xml:space="preserve"> </w:t>
      </w:r>
      <w:r w:rsidRPr="00F01D45">
        <w:rPr>
          <w:szCs w:val="20"/>
        </w:rPr>
        <w:t>by</w:t>
      </w:r>
      <w:r>
        <w:rPr>
          <w:szCs w:val="20"/>
        </w:rPr>
        <w:t xml:space="preserve"> </w:t>
      </w:r>
      <w:r w:rsidRPr="00F01D45">
        <w:rPr>
          <w:szCs w:val="20"/>
        </w:rPr>
        <w:t>1986</w:t>
      </w:r>
      <w:r>
        <w:rPr>
          <w:szCs w:val="20"/>
        </w:rPr>
        <w:t xml:space="preserve"> </w:t>
      </w:r>
      <w:r w:rsidRPr="00F01D45">
        <w:rPr>
          <w:szCs w:val="20"/>
        </w:rPr>
        <w:t>had</w:t>
      </w:r>
      <w:r>
        <w:rPr>
          <w:szCs w:val="20"/>
        </w:rPr>
        <w:t xml:space="preserve"> </w:t>
      </w:r>
      <w:r w:rsidRPr="00F01D45">
        <w:rPr>
          <w:szCs w:val="20"/>
        </w:rPr>
        <w:t>been</w:t>
      </w:r>
      <w:r>
        <w:rPr>
          <w:szCs w:val="20"/>
        </w:rPr>
        <w:t xml:space="preserve"> </w:t>
      </w:r>
      <w:r w:rsidRPr="00F01D45">
        <w:rPr>
          <w:szCs w:val="20"/>
        </w:rPr>
        <w:t>on</w:t>
      </w:r>
      <w:r>
        <w:rPr>
          <w:szCs w:val="20"/>
        </w:rPr>
        <w:t xml:space="preserve"> </w:t>
      </w:r>
      <w:r w:rsidRPr="00F01D45">
        <w:rPr>
          <w:szCs w:val="20"/>
        </w:rPr>
        <w:t>the</w:t>
      </w:r>
      <w:r>
        <w:rPr>
          <w:szCs w:val="20"/>
        </w:rPr>
        <w:t xml:space="preserve"> </w:t>
      </w:r>
      <w:r w:rsidRPr="00F01D45">
        <w:rPr>
          <w:szCs w:val="20"/>
        </w:rPr>
        <w:t>books</w:t>
      </w:r>
      <w:r>
        <w:rPr>
          <w:szCs w:val="20"/>
        </w:rPr>
        <w:t xml:space="preserve"> </w:t>
      </w:r>
      <w:r w:rsidRPr="00F01D45">
        <w:rPr>
          <w:szCs w:val="20"/>
        </w:rPr>
        <w:t>for</w:t>
      </w:r>
      <w:r>
        <w:rPr>
          <w:szCs w:val="20"/>
        </w:rPr>
        <w:t xml:space="preserve"> </w:t>
      </w:r>
      <w:r w:rsidRPr="00F01D45">
        <w:rPr>
          <w:szCs w:val="20"/>
        </w:rPr>
        <w:t>more</w:t>
      </w:r>
      <w:r>
        <w:rPr>
          <w:szCs w:val="20"/>
        </w:rPr>
        <w:t xml:space="preserve"> </w:t>
      </w:r>
      <w:r w:rsidRPr="00F01D45">
        <w:rPr>
          <w:szCs w:val="20"/>
        </w:rPr>
        <w:t>than</w:t>
      </w:r>
      <w:r>
        <w:rPr>
          <w:szCs w:val="20"/>
        </w:rPr>
        <w:t xml:space="preserve"> </w:t>
      </w:r>
      <w:r w:rsidRPr="00F01D45">
        <w:rPr>
          <w:szCs w:val="20"/>
        </w:rPr>
        <w:t>eight</w:t>
      </w:r>
      <w:r>
        <w:rPr>
          <w:szCs w:val="20"/>
        </w:rPr>
        <w:t xml:space="preserve"> </w:t>
      </w:r>
      <w:r w:rsidRPr="00F01D45">
        <w:rPr>
          <w:szCs w:val="20"/>
        </w:rPr>
        <w:t>years,</w:t>
      </w:r>
      <w:r>
        <w:rPr>
          <w:szCs w:val="20"/>
        </w:rPr>
        <w:t xml:space="preserve"> </w:t>
      </w:r>
      <w:r w:rsidRPr="00F01D45">
        <w:rPr>
          <w:szCs w:val="20"/>
        </w:rPr>
        <w:t>could</w:t>
      </w:r>
      <w:r>
        <w:rPr>
          <w:szCs w:val="20"/>
        </w:rPr>
        <w:t xml:space="preserve"> </w:t>
      </w:r>
      <w:r w:rsidRPr="00F01D45">
        <w:rPr>
          <w:szCs w:val="20"/>
        </w:rPr>
        <w:t>have</w:t>
      </w:r>
      <w:r>
        <w:rPr>
          <w:szCs w:val="20"/>
        </w:rPr>
        <w:t xml:space="preserve"> </w:t>
      </w:r>
      <w:r w:rsidRPr="00F01D45">
        <w:rPr>
          <w:szCs w:val="20"/>
        </w:rPr>
        <w:t>thought</w:t>
      </w:r>
      <w:r>
        <w:rPr>
          <w:szCs w:val="20"/>
        </w:rPr>
        <w:t xml:space="preserve"> </w:t>
      </w:r>
      <w:r w:rsidRPr="00F01D45">
        <w:rPr>
          <w:szCs w:val="20"/>
        </w:rPr>
        <w:t>that</w:t>
      </w:r>
      <w:r>
        <w:rPr>
          <w:szCs w:val="20"/>
        </w:rPr>
        <w:t xml:space="preserve"> </w:t>
      </w:r>
      <w:r w:rsidRPr="00F01D45">
        <w:rPr>
          <w:szCs w:val="20"/>
        </w:rPr>
        <w:t>six</w:t>
      </w:r>
      <w:r>
        <w:rPr>
          <w:szCs w:val="20"/>
        </w:rPr>
        <w:t xml:space="preserve"> </w:t>
      </w:r>
      <w:r w:rsidRPr="00F01D45">
        <w:rPr>
          <w:szCs w:val="20"/>
        </w:rPr>
        <w:t>columns</w:t>
      </w:r>
      <w:r>
        <w:rPr>
          <w:szCs w:val="20"/>
        </w:rPr>
        <w:t xml:space="preserve"> </w:t>
      </w:r>
      <w:r w:rsidRPr="00F01D45">
        <w:rPr>
          <w:szCs w:val="20"/>
        </w:rPr>
        <w:t>in</w:t>
      </w:r>
      <w:r>
        <w:rPr>
          <w:szCs w:val="20"/>
        </w:rPr>
        <w:t xml:space="preserve"> </w:t>
      </w:r>
      <w:r w:rsidRPr="00F01D45">
        <w:rPr>
          <w:szCs w:val="20"/>
        </w:rPr>
        <w:t>the</w:t>
      </w:r>
      <w:r>
        <w:rPr>
          <w:szCs w:val="20"/>
        </w:rPr>
        <w:t xml:space="preserve"> </w:t>
      </w:r>
      <w:r w:rsidRPr="00F01D45">
        <w:rPr>
          <w:szCs w:val="20"/>
        </w:rPr>
        <w:t>Federal</w:t>
      </w:r>
      <w:r>
        <w:rPr>
          <w:szCs w:val="20"/>
        </w:rPr>
        <w:t xml:space="preserve"> </w:t>
      </w:r>
      <w:r w:rsidRPr="00F01D45">
        <w:rPr>
          <w:szCs w:val="20"/>
        </w:rPr>
        <w:t>Register</w:t>
      </w:r>
      <w:r>
        <w:rPr>
          <w:szCs w:val="20"/>
        </w:rPr>
        <w:t xml:space="preserve"> </w:t>
      </w:r>
      <w:r w:rsidRPr="00F01D45">
        <w:rPr>
          <w:szCs w:val="20"/>
        </w:rPr>
        <w:t>sufficed</w:t>
      </w:r>
      <w:r>
        <w:rPr>
          <w:szCs w:val="20"/>
        </w:rPr>
        <w:t xml:space="preserve"> </w:t>
      </w:r>
      <w:r w:rsidRPr="00F01D45">
        <w:rPr>
          <w:szCs w:val="20"/>
        </w:rPr>
        <w:t>to</w:t>
      </w:r>
      <w:r>
        <w:rPr>
          <w:szCs w:val="20"/>
        </w:rPr>
        <w:t xml:space="preserve"> </w:t>
      </w:r>
      <w:r w:rsidRPr="00F01D45">
        <w:rPr>
          <w:szCs w:val="20"/>
        </w:rPr>
        <w:t>“respond[</w:t>
      </w:r>
      <w:r>
        <w:rPr>
          <w:szCs w:val="20"/>
        </w:rPr>
        <w:t xml:space="preserve"> </w:t>
      </w:r>
      <w:r w:rsidRPr="00F01D45">
        <w:rPr>
          <w:szCs w:val="20"/>
        </w:rPr>
        <w:t>]</w:t>
      </w:r>
      <w:r>
        <w:rPr>
          <w:szCs w:val="20"/>
        </w:rPr>
        <w:t xml:space="preserve"> </w:t>
      </w:r>
      <w:r w:rsidRPr="00F01D45">
        <w:rPr>
          <w:szCs w:val="20"/>
        </w:rPr>
        <w:t>to</w:t>
      </w:r>
      <w:r>
        <w:rPr>
          <w:szCs w:val="20"/>
        </w:rPr>
        <w:t xml:space="preserve"> </w:t>
      </w:r>
      <w:r w:rsidRPr="00F01D45">
        <w:rPr>
          <w:szCs w:val="20"/>
        </w:rPr>
        <w:t>significant</w:t>
      </w:r>
      <w:r>
        <w:rPr>
          <w:szCs w:val="20"/>
        </w:rPr>
        <w:t xml:space="preserve"> </w:t>
      </w:r>
      <w:r w:rsidRPr="00F01D45">
        <w:rPr>
          <w:szCs w:val="20"/>
        </w:rPr>
        <w:t>points</w:t>
      </w:r>
      <w:r>
        <w:rPr>
          <w:szCs w:val="20"/>
        </w:rPr>
        <w:t xml:space="preserve"> </w:t>
      </w:r>
      <w:r w:rsidRPr="00F01D45">
        <w:rPr>
          <w:szCs w:val="20"/>
        </w:rPr>
        <w:t>raised</w:t>
      </w:r>
      <w:r>
        <w:rPr>
          <w:szCs w:val="20"/>
        </w:rPr>
        <w:t xml:space="preserve"> </w:t>
      </w:r>
      <w:r w:rsidRPr="00F01D45">
        <w:rPr>
          <w:szCs w:val="20"/>
        </w:rPr>
        <w:t>by</w:t>
      </w:r>
      <w:r>
        <w:rPr>
          <w:szCs w:val="20"/>
        </w:rPr>
        <w:t xml:space="preserve"> </w:t>
      </w:r>
      <w:r w:rsidRPr="00F01D45">
        <w:rPr>
          <w:szCs w:val="20"/>
        </w:rPr>
        <w:t>the</w:t>
      </w:r>
      <w:r>
        <w:rPr>
          <w:szCs w:val="20"/>
        </w:rPr>
        <w:t xml:space="preserve"> </w:t>
      </w:r>
      <w:r w:rsidRPr="00F01D45">
        <w:rPr>
          <w:szCs w:val="20"/>
        </w:rPr>
        <w:t>public”</w:t>
      </w:r>
      <w:r>
        <w:rPr>
          <w:szCs w:val="20"/>
        </w:rPr>
        <w:t xml:space="preserve"> </w:t>
      </w:r>
      <w:r w:rsidRPr="00F01D45">
        <w:rPr>
          <w:szCs w:val="20"/>
        </w:rPr>
        <w:t>in</w:t>
      </w:r>
      <w:r>
        <w:rPr>
          <w:szCs w:val="20"/>
        </w:rPr>
        <w:t xml:space="preserve"> </w:t>
      </w:r>
      <w:r w:rsidRPr="00F01D45">
        <w:rPr>
          <w:szCs w:val="20"/>
        </w:rPr>
        <w:t>more</w:t>
      </w:r>
      <w:r>
        <w:rPr>
          <w:szCs w:val="20"/>
        </w:rPr>
        <w:t xml:space="preserve"> </w:t>
      </w:r>
      <w:r w:rsidRPr="00F01D45">
        <w:rPr>
          <w:szCs w:val="20"/>
        </w:rPr>
        <w:t>than</w:t>
      </w:r>
      <w:r>
        <w:rPr>
          <w:szCs w:val="20"/>
        </w:rPr>
        <w:t xml:space="preserve"> </w:t>
      </w:r>
      <w:r w:rsidRPr="00F01D45">
        <w:rPr>
          <w:szCs w:val="20"/>
        </w:rPr>
        <w:t>700</w:t>
      </w:r>
      <w:r>
        <w:rPr>
          <w:szCs w:val="20"/>
        </w:rPr>
        <w:t xml:space="preserve"> </w:t>
      </w:r>
      <w:r w:rsidRPr="00F01D45">
        <w:rPr>
          <w:szCs w:val="20"/>
        </w:rPr>
        <w:t>pages,</w:t>
      </w:r>
      <w:r>
        <w:rPr>
          <w:szCs w:val="20"/>
        </w:rPr>
        <w:t xml:space="preserve"> </w:t>
      </w:r>
      <w:r w:rsidRPr="00F01D45">
        <w:rPr>
          <w:szCs w:val="20"/>
        </w:rPr>
        <w:t>or</w:t>
      </w:r>
      <w:r>
        <w:rPr>
          <w:szCs w:val="20"/>
        </w:rPr>
        <w:t xml:space="preserve"> </w:t>
      </w:r>
      <w:r w:rsidRPr="00F01D45">
        <w:rPr>
          <w:szCs w:val="20"/>
        </w:rPr>
        <w:t>how</w:t>
      </w:r>
      <w:r>
        <w:rPr>
          <w:szCs w:val="20"/>
        </w:rPr>
        <w:t xml:space="preserve"> </w:t>
      </w:r>
      <w:r w:rsidRPr="00F01D45">
        <w:rPr>
          <w:szCs w:val="20"/>
        </w:rPr>
        <w:t>that</w:t>
      </w:r>
      <w:r>
        <w:rPr>
          <w:szCs w:val="20"/>
        </w:rPr>
        <w:t xml:space="preserve"> </w:t>
      </w:r>
      <w:r w:rsidRPr="00F01D45">
        <w:rPr>
          <w:szCs w:val="20"/>
        </w:rPr>
        <w:t>response</w:t>
      </w:r>
      <w:r>
        <w:rPr>
          <w:szCs w:val="20"/>
        </w:rPr>
        <w:t xml:space="preserve"> </w:t>
      </w:r>
      <w:r w:rsidRPr="00F01D45">
        <w:rPr>
          <w:szCs w:val="20"/>
        </w:rPr>
        <w:t>constituted</w:t>
      </w:r>
      <w:r>
        <w:rPr>
          <w:szCs w:val="20"/>
        </w:rPr>
        <w:t xml:space="preserve"> </w:t>
      </w:r>
      <w:r w:rsidRPr="00F01D45">
        <w:rPr>
          <w:szCs w:val="20"/>
        </w:rPr>
        <w:t>a</w:t>
      </w:r>
      <w:r>
        <w:rPr>
          <w:szCs w:val="20"/>
        </w:rPr>
        <w:t xml:space="preserve"> </w:t>
      </w:r>
      <w:r w:rsidRPr="00F01D45">
        <w:rPr>
          <w:szCs w:val="20"/>
        </w:rPr>
        <w:t>“dialogue”</w:t>
      </w:r>
      <w:r>
        <w:rPr>
          <w:szCs w:val="20"/>
        </w:rPr>
        <w:t xml:space="preserve"> </w:t>
      </w:r>
      <w:r w:rsidRPr="00F01D45">
        <w:rPr>
          <w:szCs w:val="20"/>
        </w:rPr>
        <w:t>between</w:t>
      </w:r>
      <w:r>
        <w:rPr>
          <w:szCs w:val="20"/>
        </w:rPr>
        <w:t xml:space="preserve"> </w:t>
      </w:r>
      <w:r w:rsidRPr="00F01D45">
        <w:rPr>
          <w:szCs w:val="20"/>
        </w:rPr>
        <w:t>the</w:t>
      </w:r>
      <w:r>
        <w:rPr>
          <w:szCs w:val="20"/>
        </w:rPr>
        <w:t xml:space="preserve"> </w:t>
      </w:r>
      <w:r w:rsidRPr="00F01D45">
        <w:rPr>
          <w:szCs w:val="20"/>
        </w:rPr>
        <w:t>agency</w:t>
      </w:r>
      <w:r>
        <w:rPr>
          <w:szCs w:val="20"/>
        </w:rPr>
        <w:t xml:space="preserve"> </w:t>
      </w:r>
      <w:r w:rsidRPr="00F01D45">
        <w:rPr>
          <w:szCs w:val="20"/>
        </w:rPr>
        <w:t>and</w:t>
      </w:r>
      <w:r>
        <w:rPr>
          <w:szCs w:val="20"/>
        </w:rPr>
        <w:t xml:space="preserve"> </w:t>
      </w:r>
      <w:r w:rsidRPr="00F01D45">
        <w:rPr>
          <w:szCs w:val="20"/>
        </w:rPr>
        <w:t>the</w:t>
      </w:r>
      <w:r>
        <w:rPr>
          <w:szCs w:val="20"/>
        </w:rPr>
        <w:t xml:space="preserve"> </w:t>
      </w:r>
      <w:r w:rsidRPr="00F01D45">
        <w:rPr>
          <w:szCs w:val="20"/>
        </w:rPr>
        <w:t>public</w:t>
      </w:r>
      <w:r>
        <w:rPr>
          <w:szCs w:val="20"/>
        </w:rPr>
        <w:t xml:space="preserve"> </w:t>
      </w:r>
      <w:r w:rsidRPr="00F01D45">
        <w:rPr>
          <w:szCs w:val="20"/>
        </w:rPr>
        <w:t>contemplated</w:t>
      </w:r>
      <w:r>
        <w:rPr>
          <w:szCs w:val="20"/>
        </w:rPr>
        <w:t xml:space="preserve"> </w:t>
      </w:r>
      <w:r w:rsidRPr="00F01D45">
        <w:rPr>
          <w:szCs w:val="20"/>
        </w:rPr>
        <w:t>by</w:t>
      </w:r>
      <w:r>
        <w:rPr>
          <w:szCs w:val="20"/>
        </w:rPr>
        <w:t xml:space="preserve"> </w:t>
      </w:r>
      <w:r w:rsidRPr="00F01D45">
        <w:rPr>
          <w:szCs w:val="20"/>
        </w:rPr>
        <w:t>the</w:t>
      </w:r>
      <w:r>
        <w:rPr>
          <w:szCs w:val="20"/>
        </w:rPr>
        <w:t xml:space="preserve"> </w:t>
      </w:r>
      <w:r w:rsidRPr="00F01D45">
        <w:rPr>
          <w:szCs w:val="20"/>
        </w:rPr>
        <w:t>APA</w:t>
      </w:r>
      <w:r>
        <w:rPr>
          <w:szCs w:val="20"/>
        </w:rPr>
        <w:t xml:space="preserve"> </w:t>
      </w:r>
      <w:r w:rsidRPr="00F01D45">
        <w:rPr>
          <w:szCs w:val="20"/>
        </w:rPr>
        <w:t>as</w:t>
      </w:r>
      <w:r>
        <w:rPr>
          <w:szCs w:val="20"/>
        </w:rPr>
        <w:t xml:space="preserve"> </w:t>
      </w:r>
      <w:r w:rsidRPr="00F01D45">
        <w:rPr>
          <w:szCs w:val="20"/>
        </w:rPr>
        <w:t>interpreted</w:t>
      </w:r>
      <w:r>
        <w:rPr>
          <w:szCs w:val="20"/>
        </w:rPr>
        <w:t xml:space="preserve"> </w:t>
      </w:r>
      <w:r w:rsidRPr="00F01D45">
        <w:rPr>
          <w:szCs w:val="20"/>
        </w:rPr>
        <w:t>by</w:t>
      </w:r>
      <w:r>
        <w:rPr>
          <w:szCs w:val="20"/>
        </w:rPr>
        <w:t xml:space="preserve"> </w:t>
      </w:r>
      <w:r w:rsidRPr="00F01D45">
        <w:rPr>
          <w:szCs w:val="20"/>
          <w:u w:val="single"/>
        </w:rPr>
        <w:t>Home</w:t>
      </w:r>
      <w:r>
        <w:rPr>
          <w:szCs w:val="20"/>
          <w:u w:val="single"/>
        </w:rPr>
        <w:t xml:space="preserve"> </w:t>
      </w:r>
      <w:r w:rsidRPr="00F01D45">
        <w:rPr>
          <w:szCs w:val="20"/>
          <w:u w:val="single"/>
        </w:rPr>
        <w:t>Box</w:t>
      </w:r>
      <w:r>
        <w:rPr>
          <w:szCs w:val="20"/>
          <w:u w:val="single"/>
        </w:rPr>
        <w:t xml:space="preserve"> </w:t>
      </w:r>
      <w:r w:rsidRPr="00F01D45">
        <w:rPr>
          <w:szCs w:val="20"/>
          <w:u w:val="single"/>
        </w:rPr>
        <w:t>Office</w:t>
      </w:r>
      <w:r>
        <w:rPr>
          <w:szCs w:val="20"/>
        </w:rPr>
        <w:t xml:space="preserve"> </w:t>
      </w:r>
      <w:r w:rsidRPr="00F01D45">
        <w:rPr>
          <w:szCs w:val="20"/>
        </w:rPr>
        <w:t>and</w:t>
      </w:r>
      <w:r>
        <w:rPr>
          <w:szCs w:val="20"/>
        </w:rPr>
        <w:t xml:space="preserve"> </w:t>
      </w:r>
      <w:r w:rsidRPr="00F01D45">
        <w:rPr>
          <w:szCs w:val="20"/>
        </w:rPr>
        <w:t>the</w:t>
      </w:r>
      <w:r>
        <w:rPr>
          <w:szCs w:val="20"/>
        </w:rPr>
        <w:t xml:space="preserve"> </w:t>
      </w:r>
      <w:r w:rsidRPr="00F01D45">
        <w:rPr>
          <w:szCs w:val="20"/>
        </w:rPr>
        <w:t>authorities</w:t>
      </w:r>
      <w:r>
        <w:rPr>
          <w:szCs w:val="20"/>
        </w:rPr>
        <w:t xml:space="preserve"> </w:t>
      </w:r>
      <w:r w:rsidRPr="00F01D45">
        <w:rPr>
          <w:szCs w:val="20"/>
        </w:rPr>
        <w:t>on</w:t>
      </w:r>
      <w:r>
        <w:rPr>
          <w:szCs w:val="20"/>
        </w:rPr>
        <w:t xml:space="preserve"> </w:t>
      </w:r>
      <w:r w:rsidRPr="00F01D45">
        <w:rPr>
          <w:szCs w:val="20"/>
        </w:rPr>
        <w:t>which</w:t>
      </w:r>
      <w:r>
        <w:rPr>
          <w:szCs w:val="20"/>
        </w:rPr>
        <w:t xml:space="preserve"> </w:t>
      </w:r>
      <w:r w:rsidRPr="00F01D45">
        <w:rPr>
          <w:szCs w:val="20"/>
        </w:rPr>
        <w:t>it</w:t>
      </w:r>
      <w:r>
        <w:rPr>
          <w:szCs w:val="20"/>
        </w:rPr>
        <w:t xml:space="preserve"> </w:t>
      </w:r>
      <w:r w:rsidRPr="00F01D45">
        <w:rPr>
          <w:szCs w:val="20"/>
        </w:rPr>
        <w:t>relied.</w:t>
      </w:r>
      <w:r>
        <w:rPr>
          <w:szCs w:val="20"/>
        </w:rPr>
        <w:t xml:space="preserve"> </w:t>
      </w:r>
      <w:r w:rsidRPr="00F01D45">
        <w:rPr>
          <w:szCs w:val="20"/>
          <w:u w:val="single"/>
        </w:rPr>
        <w:t>Home</w:t>
      </w:r>
      <w:r>
        <w:rPr>
          <w:szCs w:val="20"/>
          <w:u w:val="single"/>
        </w:rPr>
        <w:t xml:space="preserve"> </w:t>
      </w:r>
      <w:r w:rsidRPr="00F01D45">
        <w:rPr>
          <w:szCs w:val="20"/>
          <w:u w:val="single"/>
        </w:rPr>
        <w:t>Box</w:t>
      </w:r>
      <w:r>
        <w:rPr>
          <w:szCs w:val="20"/>
          <w:u w:val="single"/>
        </w:rPr>
        <w:t xml:space="preserve"> </w:t>
      </w:r>
      <w:r w:rsidRPr="00F01D45">
        <w:rPr>
          <w:szCs w:val="20"/>
          <w:u w:val="single"/>
        </w:rPr>
        <w:t>Office</w:t>
      </w:r>
      <w:r w:rsidRPr="00F01D45">
        <w:rPr>
          <w:szCs w:val="20"/>
        </w:rPr>
        <w:t>,</w:t>
      </w:r>
      <w:r>
        <w:rPr>
          <w:szCs w:val="20"/>
        </w:rPr>
        <w:t xml:space="preserve"> </w:t>
      </w:r>
      <w:r w:rsidRPr="00F01D45">
        <w:rPr>
          <w:szCs w:val="20"/>
        </w:rPr>
        <w:t>567</w:t>
      </w:r>
      <w:r>
        <w:rPr>
          <w:szCs w:val="20"/>
        </w:rPr>
        <w:t xml:space="preserve"> </w:t>
      </w:r>
      <w:r w:rsidRPr="00F01D45">
        <w:rPr>
          <w:szCs w:val="20"/>
        </w:rPr>
        <w:t>F.2d</w:t>
      </w:r>
      <w:r>
        <w:rPr>
          <w:szCs w:val="20"/>
        </w:rPr>
        <w:t xml:space="preserve"> </w:t>
      </w:r>
      <w:r w:rsidRPr="00F01D45">
        <w:rPr>
          <w:szCs w:val="20"/>
        </w:rPr>
        <w:t>at</w:t>
      </w:r>
      <w:r>
        <w:rPr>
          <w:szCs w:val="20"/>
        </w:rPr>
        <w:t xml:space="preserve"> </w:t>
      </w:r>
      <w:r w:rsidRPr="00F01D45">
        <w:rPr>
          <w:szCs w:val="20"/>
        </w:rPr>
        <w:t>35-36</w:t>
      </w:r>
      <w:r>
        <w:rPr>
          <w:szCs w:val="20"/>
        </w:rPr>
        <w:t xml:space="preserve"> </w:t>
      </w:r>
      <w:r w:rsidRPr="00F01D45">
        <w:rPr>
          <w:szCs w:val="20"/>
        </w:rPr>
        <w:t>(fn.</w:t>
      </w:r>
      <w:r>
        <w:rPr>
          <w:szCs w:val="20"/>
        </w:rPr>
        <w:t xml:space="preserve"> </w:t>
      </w:r>
      <w:r w:rsidRPr="00F01D45">
        <w:rPr>
          <w:szCs w:val="20"/>
        </w:rPr>
        <w:t>ref.</w:t>
      </w:r>
      <w:r>
        <w:rPr>
          <w:szCs w:val="20"/>
        </w:rPr>
        <w:t xml:space="preserve"> </w:t>
      </w:r>
      <w:r w:rsidRPr="00F01D45">
        <w:rPr>
          <w:szCs w:val="20"/>
        </w:rPr>
        <w:t>omitted);</w:t>
      </w:r>
      <w:r>
        <w:rPr>
          <w:szCs w:val="20"/>
        </w:rPr>
        <w:t xml:space="preserve"> </w:t>
      </w:r>
      <w:r w:rsidRPr="00F01D45">
        <w:rPr>
          <w:szCs w:val="20"/>
          <w:u w:val="single"/>
        </w:rPr>
        <w:t>see</w:t>
      </w:r>
      <w:r>
        <w:rPr>
          <w:szCs w:val="20"/>
          <w:u w:val="single"/>
        </w:rPr>
        <w:t xml:space="preserve"> </w:t>
      </w:r>
      <w:r w:rsidRPr="00F01D45">
        <w:rPr>
          <w:szCs w:val="20"/>
          <w:u w:val="single"/>
        </w:rPr>
        <w:t>also</w:t>
      </w:r>
      <w:r>
        <w:rPr>
          <w:szCs w:val="20"/>
        </w:rPr>
        <w:t xml:space="preserve"> </w:t>
      </w:r>
      <w:r w:rsidRPr="00F01D45">
        <w:rPr>
          <w:szCs w:val="20"/>
          <w:u w:val="single"/>
        </w:rPr>
        <w:t>PPG</w:t>
      </w:r>
      <w:r>
        <w:rPr>
          <w:szCs w:val="20"/>
          <w:u w:val="single"/>
        </w:rPr>
        <w:t xml:space="preserve"> </w:t>
      </w:r>
      <w:r w:rsidRPr="00F01D45">
        <w:rPr>
          <w:szCs w:val="20"/>
          <w:u w:val="single"/>
        </w:rPr>
        <w:t>Indus.</w:t>
      </w:r>
      <w:r w:rsidRPr="00F01D45">
        <w:rPr>
          <w:szCs w:val="20"/>
        </w:rPr>
        <w:t>,</w:t>
      </w:r>
      <w:r>
        <w:rPr>
          <w:szCs w:val="20"/>
        </w:rPr>
        <w:t xml:space="preserve"> </w:t>
      </w:r>
      <w:r w:rsidRPr="00F01D45">
        <w:rPr>
          <w:szCs w:val="20"/>
        </w:rPr>
        <w:t>630</w:t>
      </w:r>
      <w:r>
        <w:rPr>
          <w:szCs w:val="20"/>
        </w:rPr>
        <w:t xml:space="preserve"> </w:t>
      </w:r>
      <w:r w:rsidRPr="00F01D45">
        <w:rPr>
          <w:szCs w:val="20"/>
        </w:rPr>
        <w:t>F.2d</w:t>
      </w:r>
      <w:r>
        <w:rPr>
          <w:szCs w:val="20"/>
        </w:rPr>
        <w:t xml:space="preserve"> </w:t>
      </w:r>
      <w:r w:rsidRPr="00F01D45">
        <w:rPr>
          <w:szCs w:val="20"/>
        </w:rPr>
        <w:t>at</w:t>
      </w:r>
      <w:r>
        <w:rPr>
          <w:szCs w:val="20"/>
        </w:rPr>
        <w:t xml:space="preserve"> </w:t>
      </w:r>
      <w:r w:rsidRPr="00F01D45">
        <w:rPr>
          <w:szCs w:val="20"/>
        </w:rPr>
        <w:t>466</w:t>
      </w:r>
      <w:r>
        <w:rPr>
          <w:szCs w:val="20"/>
        </w:rPr>
        <w:t xml:space="preserve"> </w:t>
      </w:r>
      <w:r w:rsidRPr="00F01D45">
        <w:rPr>
          <w:szCs w:val="20"/>
        </w:rPr>
        <w:t>(reiterating</w:t>
      </w:r>
      <w:r>
        <w:rPr>
          <w:szCs w:val="20"/>
        </w:rPr>
        <w:t xml:space="preserve"> </w:t>
      </w:r>
      <w:r w:rsidRPr="00F01D45">
        <w:rPr>
          <w:szCs w:val="20"/>
        </w:rPr>
        <w:t>that</w:t>
      </w:r>
      <w:r>
        <w:rPr>
          <w:szCs w:val="20"/>
        </w:rPr>
        <w:t xml:space="preserve"> </w:t>
      </w:r>
      <w:r w:rsidRPr="00F01D45">
        <w:rPr>
          <w:szCs w:val="20"/>
        </w:rPr>
        <w:t>the</w:t>
      </w:r>
      <w:r>
        <w:rPr>
          <w:szCs w:val="20"/>
        </w:rPr>
        <w:t xml:space="preserve"> </w:t>
      </w:r>
      <w:r w:rsidRPr="00F01D45">
        <w:rPr>
          <w:szCs w:val="20"/>
        </w:rPr>
        <w:t>APA</w:t>
      </w:r>
      <w:r>
        <w:rPr>
          <w:szCs w:val="20"/>
        </w:rPr>
        <w:t xml:space="preserve"> </w:t>
      </w:r>
      <w:r w:rsidRPr="00F01D45">
        <w:rPr>
          <w:szCs w:val="20"/>
        </w:rPr>
        <w:t>requires</w:t>
      </w:r>
      <w:r>
        <w:rPr>
          <w:szCs w:val="20"/>
        </w:rPr>
        <w:t xml:space="preserve"> </w:t>
      </w:r>
      <w:r w:rsidRPr="00F01D45">
        <w:rPr>
          <w:szCs w:val="20"/>
        </w:rPr>
        <w:t>agencies</w:t>
      </w:r>
      <w:r>
        <w:rPr>
          <w:szCs w:val="20"/>
        </w:rPr>
        <w:t xml:space="preserve"> </w:t>
      </w:r>
      <w:r w:rsidRPr="00F01D45">
        <w:rPr>
          <w:szCs w:val="20"/>
        </w:rPr>
        <w:t>“to</w:t>
      </w:r>
      <w:r>
        <w:rPr>
          <w:szCs w:val="20"/>
        </w:rPr>
        <w:t xml:space="preserve"> </w:t>
      </w:r>
      <w:r w:rsidRPr="00F01D45">
        <w:rPr>
          <w:szCs w:val="20"/>
        </w:rPr>
        <w:t>give</w:t>
      </w:r>
      <w:r>
        <w:rPr>
          <w:szCs w:val="20"/>
        </w:rPr>
        <w:t xml:space="preserve"> </w:t>
      </w:r>
      <w:r w:rsidRPr="00F01D45">
        <w:rPr>
          <w:szCs w:val="20"/>
        </w:rPr>
        <w:t>reasoned</w:t>
      </w:r>
      <w:r>
        <w:rPr>
          <w:szCs w:val="20"/>
        </w:rPr>
        <w:t xml:space="preserve"> </w:t>
      </w:r>
      <w:r w:rsidRPr="00F01D45">
        <w:rPr>
          <w:szCs w:val="20"/>
        </w:rPr>
        <w:t>responses</w:t>
      </w:r>
      <w:r>
        <w:rPr>
          <w:szCs w:val="20"/>
        </w:rPr>
        <w:t xml:space="preserve"> </w:t>
      </w:r>
      <w:r w:rsidRPr="00F01D45">
        <w:rPr>
          <w:szCs w:val="20"/>
        </w:rPr>
        <w:t>to</w:t>
      </w:r>
      <w:r>
        <w:rPr>
          <w:szCs w:val="20"/>
        </w:rPr>
        <w:t xml:space="preserve"> </w:t>
      </w:r>
      <w:r w:rsidRPr="00F01D45">
        <w:rPr>
          <w:szCs w:val="20"/>
        </w:rPr>
        <w:t>all</w:t>
      </w:r>
      <w:r>
        <w:rPr>
          <w:szCs w:val="20"/>
        </w:rPr>
        <w:t xml:space="preserve"> </w:t>
      </w:r>
      <w:r w:rsidRPr="00F01D45">
        <w:rPr>
          <w:szCs w:val="20"/>
        </w:rPr>
        <w:t>significant</w:t>
      </w:r>
      <w:r>
        <w:rPr>
          <w:szCs w:val="20"/>
        </w:rPr>
        <w:t xml:space="preserve"> </w:t>
      </w:r>
      <w:r w:rsidRPr="00F01D45">
        <w:rPr>
          <w:szCs w:val="20"/>
        </w:rPr>
        <w:t>comments</w:t>
      </w:r>
      <w:r>
        <w:rPr>
          <w:szCs w:val="20"/>
        </w:rPr>
        <w:t xml:space="preserve"> </w:t>
      </w:r>
      <w:r w:rsidRPr="00F01D45">
        <w:rPr>
          <w:szCs w:val="20"/>
        </w:rPr>
        <w:t>in</w:t>
      </w:r>
      <w:r>
        <w:rPr>
          <w:szCs w:val="20"/>
        </w:rPr>
        <w:t xml:space="preserve"> </w:t>
      </w:r>
      <w:r w:rsidRPr="00F01D45">
        <w:rPr>
          <w:szCs w:val="20"/>
        </w:rPr>
        <w:t>a</w:t>
      </w:r>
      <w:r>
        <w:rPr>
          <w:szCs w:val="20"/>
        </w:rPr>
        <w:t xml:space="preserve"> </w:t>
      </w:r>
      <w:r w:rsidRPr="00F01D45">
        <w:rPr>
          <w:szCs w:val="20"/>
        </w:rPr>
        <w:t>rulemaking</w:t>
      </w:r>
      <w:r>
        <w:rPr>
          <w:szCs w:val="20"/>
        </w:rPr>
        <w:t xml:space="preserve"> </w:t>
      </w:r>
      <w:r w:rsidRPr="00F01D45">
        <w:rPr>
          <w:szCs w:val="20"/>
        </w:rPr>
        <w:t>proceeding”).</w:t>
      </w:r>
      <w:r>
        <w:rPr>
          <w:szCs w:val="20"/>
        </w:rPr>
        <w:t xml:space="preserve"> </w:t>
      </w:r>
      <w:r w:rsidRPr="00F01D45">
        <w:rPr>
          <w:szCs w:val="20"/>
        </w:rPr>
        <w:t>Even</w:t>
      </w:r>
      <w:r>
        <w:rPr>
          <w:szCs w:val="20"/>
        </w:rPr>
        <w:t xml:space="preserve"> </w:t>
      </w:r>
      <w:r w:rsidRPr="00F01D45">
        <w:rPr>
          <w:szCs w:val="20"/>
        </w:rPr>
        <w:t>for</w:t>
      </w:r>
      <w:r>
        <w:rPr>
          <w:szCs w:val="20"/>
        </w:rPr>
        <w:t xml:space="preserve"> </w:t>
      </w:r>
      <w:r w:rsidRPr="00F01D45">
        <w:rPr>
          <w:szCs w:val="20"/>
        </w:rPr>
        <w:t>an</w:t>
      </w:r>
      <w:r>
        <w:rPr>
          <w:szCs w:val="20"/>
        </w:rPr>
        <w:t xml:space="preserve"> </w:t>
      </w:r>
      <w:r w:rsidRPr="00F01D45">
        <w:rPr>
          <w:szCs w:val="20"/>
        </w:rPr>
        <w:t>agency</w:t>
      </w:r>
      <w:r>
        <w:rPr>
          <w:szCs w:val="20"/>
        </w:rPr>
        <w:t xml:space="preserve"> </w:t>
      </w:r>
      <w:r w:rsidRPr="00F01D45">
        <w:rPr>
          <w:szCs w:val="20"/>
        </w:rPr>
        <w:t>determined</w:t>
      </w:r>
      <w:r>
        <w:rPr>
          <w:szCs w:val="20"/>
        </w:rPr>
        <w:t xml:space="preserve"> </w:t>
      </w:r>
      <w:r w:rsidRPr="00F01D45">
        <w:rPr>
          <w:szCs w:val="20"/>
        </w:rPr>
        <w:t>to</w:t>
      </w:r>
      <w:r>
        <w:rPr>
          <w:szCs w:val="20"/>
        </w:rPr>
        <w:t xml:space="preserve"> </w:t>
      </w:r>
      <w:r w:rsidRPr="00F01D45">
        <w:rPr>
          <w:szCs w:val="20"/>
        </w:rPr>
        <w:t>be</w:t>
      </w:r>
      <w:r>
        <w:rPr>
          <w:szCs w:val="20"/>
        </w:rPr>
        <w:t xml:space="preserve"> </w:t>
      </w:r>
      <w:r w:rsidRPr="00F01D45">
        <w:rPr>
          <w:szCs w:val="20"/>
        </w:rPr>
        <w:t>exceedingly</w:t>
      </w:r>
      <w:r>
        <w:rPr>
          <w:szCs w:val="20"/>
        </w:rPr>
        <w:t xml:space="preserve"> </w:t>
      </w:r>
      <w:r w:rsidRPr="00F01D45">
        <w:rPr>
          <w:szCs w:val="20"/>
        </w:rPr>
        <w:t>“concise,”</w:t>
      </w:r>
      <w:r>
        <w:rPr>
          <w:szCs w:val="20"/>
        </w:rPr>
        <w:t xml:space="preserve"> </w:t>
      </w:r>
      <w:r w:rsidRPr="00F01D45">
        <w:rPr>
          <w:szCs w:val="20"/>
        </w:rPr>
        <w:t>six</w:t>
      </w:r>
      <w:r>
        <w:rPr>
          <w:szCs w:val="20"/>
        </w:rPr>
        <w:t xml:space="preserve"> </w:t>
      </w:r>
      <w:r w:rsidRPr="00F01D45">
        <w:rPr>
          <w:szCs w:val="20"/>
        </w:rPr>
        <w:t>columns</w:t>
      </w:r>
      <w:r>
        <w:rPr>
          <w:szCs w:val="20"/>
        </w:rPr>
        <w:t xml:space="preserve"> </w:t>
      </w:r>
      <w:r w:rsidRPr="00F01D45">
        <w:rPr>
          <w:szCs w:val="20"/>
        </w:rPr>
        <w:t>in</w:t>
      </w:r>
      <w:r>
        <w:rPr>
          <w:szCs w:val="20"/>
        </w:rPr>
        <w:t xml:space="preserve"> </w:t>
      </w:r>
      <w:r w:rsidRPr="00F01D45">
        <w:rPr>
          <w:szCs w:val="20"/>
        </w:rPr>
        <w:t>the</w:t>
      </w:r>
      <w:r>
        <w:rPr>
          <w:szCs w:val="20"/>
        </w:rPr>
        <w:t xml:space="preserve"> </w:t>
      </w:r>
      <w:r w:rsidRPr="00F01D45">
        <w:rPr>
          <w:szCs w:val="20"/>
        </w:rPr>
        <w:t>Federal</w:t>
      </w:r>
      <w:r>
        <w:rPr>
          <w:szCs w:val="20"/>
        </w:rPr>
        <w:t xml:space="preserve"> </w:t>
      </w:r>
      <w:r w:rsidRPr="00F01D45">
        <w:rPr>
          <w:szCs w:val="20"/>
        </w:rPr>
        <w:t>Register</w:t>
      </w:r>
      <w:r>
        <w:rPr>
          <w:szCs w:val="20"/>
        </w:rPr>
        <w:t xml:space="preserve"> </w:t>
      </w:r>
      <w:r w:rsidRPr="00F01D45">
        <w:rPr>
          <w:szCs w:val="20"/>
        </w:rPr>
        <w:t>would</w:t>
      </w:r>
      <w:r>
        <w:rPr>
          <w:szCs w:val="20"/>
        </w:rPr>
        <w:t xml:space="preserve"> </w:t>
      </w:r>
      <w:r w:rsidRPr="00F01D45">
        <w:rPr>
          <w:szCs w:val="20"/>
        </w:rPr>
        <w:t>be</w:t>
      </w:r>
      <w:r>
        <w:rPr>
          <w:szCs w:val="20"/>
        </w:rPr>
        <w:t xml:space="preserve"> </w:t>
      </w:r>
      <w:r w:rsidRPr="00F01D45">
        <w:rPr>
          <w:szCs w:val="20"/>
        </w:rPr>
        <w:t>a</w:t>
      </w:r>
      <w:r>
        <w:rPr>
          <w:szCs w:val="20"/>
        </w:rPr>
        <w:t xml:space="preserve"> </w:t>
      </w:r>
      <w:r w:rsidRPr="00F01D45">
        <w:rPr>
          <w:szCs w:val="20"/>
        </w:rPr>
        <w:t>tight</w:t>
      </w:r>
      <w:r>
        <w:rPr>
          <w:szCs w:val="20"/>
        </w:rPr>
        <w:t xml:space="preserve"> </w:t>
      </w:r>
      <w:r w:rsidRPr="00F01D45">
        <w:rPr>
          <w:szCs w:val="20"/>
        </w:rPr>
        <w:t>amount</w:t>
      </w:r>
      <w:r>
        <w:rPr>
          <w:szCs w:val="20"/>
        </w:rPr>
        <w:t xml:space="preserve"> </w:t>
      </w:r>
      <w:r w:rsidRPr="00F01D45">
        <w:rPr>
          <w:szCs w:val="20"/>
        </w:rPr>
        <w:t>of</w:t>
      </w:r>
      <w:r>
        <w:rPr>
          <w:szCs w:val="20"/>
        </w:rPr>
        <w:t xml:space="preserve"> </w:t>
      </w:r>
      <w:r w:rsidRPr="00F01D45">
        <w:rPr>
          <w:szCs w:val="20"/>
        </w:rPr>
        <w:t>space</w:t>
      </w:r>
      <w:r>
        <w:rPr>
          <w:szCs w:val="20"/>
        </w:rPr>
        <w:t xml:space="preserve"> </w:t>
      </w:r>
      <w:r w:rsidRPr="00F01D45">
        <w:rPr>
          <w:szCs w:val="20"/>
        </w:rPr>
        <w:t>to</w:t>
      </w:r>
      <w:r>
        <w:rPr>
          <w:szCs w:val="20"/>
        </w:rPr>
        <w:t xml:space="preserve"> </w:t>
      </w:r>
      <w:r w:rsidRPr="00F01D45">
        <w:rPr>
          <w:szCs w:val="20"/>
        </w:rPr>
        <w:t>show</w:t>
      </w:r>
      <w:r>
        <w:rPr>
          <w:szCs w:val="20"/>
        </w:rPr>
        <w:t xml:space="preserve"> </w:t>
      </w:r>
      <w:r w:rsidRPr="00F01D45">
        <w:rPr>
          <w:szCs w:val="20"/>
        </w:rPr>
        <w:t>“what</w:t>
      </w:r>
      <w:r>
        <w:rPr>
          <w:szCs w:val="20"/>
        </w:rPr>
        <w:t xml:space="preserve"> </w:t>
      </w:r>
      <w:r w:rsidRPr="00F01D45">
        <w:rPr>
          <w:szCs w:val="20"/>
        </w:rPr>
        <w:t>major</w:t>
      </w:r>
      <w:r>
        <w:rPr>
          <w:szCs w:val="20"/>
        </w:rPr>
        <w:t xml:space="preserve"> </w:t>
      </w:r>
      <w:r w:rsidRPr="00F01D45">
        <w:rPr>
          <w:szCs w:val="20"/>
        </w:rPr>
        <w:t>issues</w:t>
      </w:r>
      <w:r>
        <w:rPr>
          <w:szCs w:val="20"/>
        </w:rPr>
        <w:t xml:space="preserve"> </w:t>
      </w:r>
      <w:r w:rsidRPr="00F01D45">
        <w:rPr>
          <w:szCs w:val="20"/>
        </w:rPr>
        <w:t>of</w:t>
      </w:r>
      <w:r>
        <w:rPr>
          <w:szCs w:val="20"/>
        </w:rPr>
        <w:t xml:space="preserve"> </w:t>
      </w:r>
      <w:r w:rsidRPr="00F01D45">
        <w:rPr>
          <w:szCs w:val="20"/>
        </w:rPr>
        <w:t>policy</w:t>
      </w:r>
      <w:r>
        <w:rPr>
          <w:szCs w:val="20"/>
        </w:rPr>
        <w:t xml:space="preserve"> </w:t>
      </w:r>
      <w:r w:rsidRPr="00F01D45">
        <w:rPr>
          <w:szCs w:val="20"/>
        </w:rPr>
        <w:t>were</w:t>
      </w:r>
      <w:r>
        <w:rPr>
          <w:szCs w:val="20"/>
        </w:rPr>
        <w:t xml:space="preserve"> </w:t>
      </w:r>
      <w:r w:rsidRPr="00F01D45">
        <w:rPr>
          <w:szCs w:val="20"/>
        </w:rPr>
        <w:t>ventilated</w:t>
      </w:r>
      <w:r>
        <w:rPr>
          <w:szCs w:val="20"/>
        </w:rPr>
        <w:t xml:space="preserve"> </w:t>
      </w:r>
      <w:r w:rsidRPr="00F01D45">
        <w:rPr>
          <w:szCs w:val="20"/>
        </w:rPr>
        <w:t>...</w:t>
      </w:r>
      <w:r>
        <w:rPr>
          <w:szCs w:val="20"/>
        </w:rPr>
        <w:t xml:space="preserve"> </w:t>
      </w:r>
      <w:r w:rsidRPr="00F01D45">
        <w:rPr>
          <w:szCs w:val="20"/>
        </w:rPr>
        <w:t>and</w:t>
      </w:r>
      <w:r>
        <w:rPr>
          <w:szCs w:val="20"/>
        </w:rPr>
        <w:t xml:space="preserve"> </w:t>
      </w:r>
      <w:r w:rsidRPr="00F01D45">
        <w:rPr>
          <w:szCs w:val="20"/>
        </w:rPr>
        <w:t>why</w:t>
      </w:r>
      <w:r>
        <w:rPr>
          <w:szCs w:val="20"/>
        </w:rPr>
        <w:t xml:space="preserve"> </w:t>
      </w:r>
      <w:r w:rsidRPr="00F01D45">
        <w:rPr>
          <w:szCs w:val="20"/>
        </w:rPr>
        <w:t>the</w:t>
      </w:r>
      <w:r>
        <w:rPr>
          <w:szCs w:val="20"/>
        </w:rPr>
        <w:t xml:space="preserve"> </w:t>
      </w:r>
      <w:r w:rsidRPr="00F01D45">
        <w:rPr>
          <w:szCs w:val="20"/>
        </w:rPr>
        <w:t>agency</w:t>
      </w:r>
      <w:r>
        <w:rPr>
          <w:szCs w:val="20"/>
        </w:rPr>
        <w:t xml:space="preserve"> </w:t>
      </w:r>
      <w:r w:rsidRPr="00F01D45">
        <w:rPr>
          <w:szCs w:val="20"/>
        </w:rPr>
        <w:t>reacted</w:t>
      </w:r>
      <w:r>
        <w:rPr>
          <w:szCs w:val="20"/>
        </w:rPr>
        <w:t xml:space="preserve"> </w:t>
      </w:r>
      <w:r w:rsidRPr="00F01D45">
        <w:rPr>
          <w:szCs w:val="20"/>
        </w:rPr>
        <w:t>to</w:t>
      </w:r>
      <w:r>
        <w:rPr>
          <w:szCs w:val="20"/>
        </w:rPr>
        <w:t xml:space="preserve"> </w:t>
      </w:r>
      <w:r w:rsidRPr="00F01D45">
        <w:rPr>
          <w:szCs w:val="20"/>
        </w:rPr>
        <w:t>them</w:t>
      </w:r>
      <w:r>
        <w:rPr>
          <w:szCs w:val="20"/>
        </w:rPr>
        <w:t xml:space="preserve"> </w:t>
      </w:r>
      <w:r w:rsidRPr="00F01D45">
        <w:rPr>
          <w:szCs w:val="20"/>
        </w:rPr>
        <w:t>as</w:t>
      </w:r>
      <w:r>
        <w:rPr>
          <w:szCs w:val="20"/>
        </w:rPr>
        <w:t xml:space="preserve"> </w:t>
      </w:r>
      <w:r w:rsidRPr="00F01D45">
        <w:rPr>
          <w:szCs w:val="20"/>
        </w:rPr>
        <w:t>it</w:t>
      </w:r>
      <w:r>
        <w:rPr>
          <w:szCs w:val="20"/>
        </w:rPr>
        <w:t xml:space="preserve"> </w:t>
      </w:r>
      <w:r w:rsidRPr="00F01D45">
        <w:rPr>
          <w:szCs w:val="20"/>
        </w:rPr>
        <w:t>did.”</w:t>
      </w:r>
      <w:r>
        <w:rPr>
          <w:szCs w:val="20"/>
        </w:rPr>
        <w:t xml:space="preserve"> </w:t>
      </w:r>
      <w:r w:rsidRPr="00F01D45">
        <w:rPr>
          <w:szCs w:val="20"/>
          <w:u w:val="single"/>
        </w:rPr>
        <w:t>Carlson</w:t>
      </w:r>
      <w:r w:rsidRPr="00F01D45">
        <w:rPr>
          <w:szCs w:val="20"/>
        </w:rPr>
        <w:t>,</w:t>
      </w:r>
      <w:r>
        <w:rPr>
          <w:szCs w:val="20"/>
        </w:rPr>
        <w:t xml:space="preserve"> </w:t>
      </w:r>
      <w:r w:rsidRPr="00F01D45">
        <w:rPr>
          <w:szCs w:val="20"/>
        </w:rPr>
        <w:t>938</w:t>
      </w:r>
      <w:r>
        <w:rPr>
          <w:szCs w:val="20"/>
        </w:rPr>
        <w:t xml:space="preserve"> </w:t>
      </w:r>
      <w:r w:rsidRPr="00F01D45">
        <w:rPr>
          <w:szCs w:val="20"/>
        </w:rPr>
        <w:t>F.3d</w:t>
      </w:r>
      <w:r>
        <w:rPr>
          <w:szCs w:val="20"/>
        </w:rPr>
        <w:t xml:space="preserve"> </w:t>
      </w:r>
      <w:r w:rsidRPr="00F01D45">
        <w:rPr>
          <w:szCs w:val="20"/>
        </w:rPr>
        <w:t>at</w:t>
      </w:r>
      <w:r>
        <w:rPr>
          <w:szCs w:val="20"/>
        </w:rPr>
        <w:t xml:space="preserve"> </w:t>
      </w:r>
      <w:r w:rsidRPr="00F01D45">
        <w:rPr>
          <w:szCs w:val="20"/>
        </w:rPr>
        <w:t>344</w:t>
      </w:r>
      <w:r>
        <w:rPr>
          <w:szCs w:val="20"/>
        </w:rPr>
        <w:t xml:space="preserve"> </w:t>
      </w:r>
      <w:r w:rsidRPr="00F01D45">
        <w:rPr>
          <w:szCs w:val="20"/>
        </w:rPr>
        <w:t>(alteration</w:t>
      </w:r>
      <w:r>
        <w:rPr>
          <w:szCs w:val="20"/>
        </w:rPr>
        <w:t xml:space="preserve"> </w:t>
      </w:r>
      <w:r w:rsidRPr="00F01D45">
        <w:rPr>
          <w:szCs w:val="20"/>
        </w:rPr>
        <w:t>in</w:t>
      </w:r>
      <w:r>
        <w:rPr>
          <w:szCs w:val="20"/>
        </w:rPr>
        <w:t xml:space="preserve"> </w:t>
      </w:r>
      <w:r w:rsidRPr="00F01D45">
        <w:rPr>
          <w:szCs w:val="20"/>
        </w:rPr>
        <w:t>original)</w:t>
      </w:r>
      <w:r>
        <w:rPr>
          <w:szCs w:val="20"/>
        </w:rPr>
        <w:t xml:space="preserve"> </w:t>
      </w:r>
      <w:r w:rsidRPr="00F01D45">
        <w:rPr>
          <w:szCs w:val="20"/>
        </w:rPr>
        <w:t>(quoting</w:t>
      </w:r>
      <w:r>
        <w:rPr>
          <w:szCs w:val="20"/>
        </w:rPr>
        <w:t xml:space="preserve"> </w:t>
      </w:r>
      <w:r w:rsidRPr="00F01D45">
        <w:rPr>
          <w:szCs w:val="20"/>
          <w:u w:val="single"/>
        </w:rPr>
        <w:t>Del.</w:t>
      </w:r>
      <w:r>
        <w:rPr>
          <w:szCs w:val="20"/>
          <w:u w:val="single"/>
        </w:rPr>
        <w:t xml:space="preserve"> </w:t>
      </w:r>
      <w:r w:rsidRPr="00F01D45">
        <w:rPr>
          <w:szCs w:val="20"/>
          <w:u w:val="single"/>
        </w:rPr>
        <w:t>Dep’t</w:t>
      </w:r>
      <w:r>
        <w:rPr>
          <w:szCs w:val="20"/>
          <w:u w:val="single"/>
        </w:rPr>
        <w:t xml:space="preserve"> </w:t>
      </w:r>
      <w:r w:rsidRPr="00F01D45">
        <w:rPr>
          <w:szCs w:val="20"/>
          <w:u w:val="single"/>
        </w:rPr>
        <w:t>of</w:t>
      </w:r>
      <w:r>
        <w:rPr>
          <w:szCs w:val="20"/>
          <w:u w:val="single"/>
        </w:rPr>
        <w:t xml:space="preserve"> </w:t>
      </w:r>
      <w:r w:rsidRPr="00F01D45">
        <w:rPr>
          <w:szCs w:val="20"/>
          <w:u w:val="single"/>
        </w:rPr>
        <w:t>Nat.</w:t>
      </w:r>
      <w:r>
        <w:rPr>
          <w:szCs w:val="20"/>
          <w:u w:val="single"/>
        </w:rPr>
        <w:t xml:space="preserve"> </w:t>
      </w:r>
      <w:r w:rsidRPr="00F01D45">
        <w:rPr>
          <w:szCs w:val="20"/>
          <w:u w:val="single"/>
        </w:rPr>
        <w:t>Res.</w:t>
      </w:r>
      <w:r>
        <w:rPr>
          <w:szCs w:val="20"/>
          <w:u w:val="single"/>
        </w:rPr>
        <w:t xml:space="preserve"> </w:t>
      </w:r>
      <w:r w:rsidRPr="00F01D45">
        <w:rPr>
          <w:szCs w:val="20"/>
          <w:u w:val="single"/>
        </w:rPr>
        <w:t>&amp;</w:t>
      </w:r>
      <w:r>
        <w:rPr>
          <w:szCs w:val="20"/>
          <w:u w:val="single"/>
        </w:rPr>
        <w:t xml:space="preserve"> </w:t>
      </w:r>
      <w:r w:rsidRPr="00F01D45">
        <w:rPr>
          <w:szCs w:val="20"/>
          <w:u w:val="single"/>
        </w:rPr>
        <w:t>Envtl.</w:t>
      </w:r>
      <w:r>
        <w:rPr>
          <w:szCs w:val="20"/>
        </w:rPr>
        <w:t xml:space="preserve"> </w:t>
      </w:r>
      <w:r w:rsidRPr="00F01D45">
        <w:rPr>
          <w:szCs w:val="20"/>
          <w:u w:val="single"/>
        </w:rPr>
        <w:t>Control</w:t>
      </w:r>
      <w:r>
        <w:rPr>
          <w:szCs w:val="20"/>
          <w:u w:val="single"/>
        </w:rPr>
        <w:t xml:space="preserve"> </w:t>
      </w:r>
      <w:r w:rsidRPr="00F01D45">
        <w:rPr>
          <w:szCs w:val="20"/>
          <w:u w:val="single"/>
        </w:rPr>
        <w:t>v.</w:t>
      </w:r>
      <w:r>
        <w:rPr>
          <w:szCs w:val="20"/>
          <w:u w:val="single"/>
        </w:rPr>
        <w:t xml:space="preserve"> </w:t>
      </w:r>
      <w:r w:rsidRPr="00F01D45">
        <w:rPr>
          <w:szCs w:val="20"/>
          <w:u w:val="single"/>
        </w:rPr>
        <w:t>EPA</w:t>
      </w:r>
      <w:r w:rsidRPr="00F01D45">
        <w:rPr>
          <w:szCs w:val="20"/>
        </w:rPr>
        <w:t>,</w:t>
      </w:r>
      <w:r>
        <w:rPr>
          <w:szCs w:val="20"/>
        </w:rPr>
        <w:t xml:space="preserve"> </w:t>
      </w:r>
      <w:r w:rsidRPr="00F01D45">
        <w:rPr>
          <w:szCs w:val="20"/>
        </w:rPr>
        <w:t>785</w:t>
      </w:r>
      <w:r>
        <w:rPr>
          <w:szCs w:val="20"/>
        </w:rPr>
        <w:t xml:space="preserve"> </w:t>
      </w:r>
      <w:r w:rsidRPr="00F01D45">
        <w:rPr>
          <w:szCs w:val="20"/>
        </w:rPr>
        <w:t>F.3d</w:t>
      </w:r>
      <w:r>
        <w:rPr>
          <w:szCs w:val="20"/>
        </w:rPr>
        <w:t xml:space="preserve"> </w:t>
      </w:r>
      <w:r w:rsidRPr="00F01D45">
        <w:rPr>
          <w:szCs w:val="20"/>
        </w:rPr>
        <w:t>1,</w:t>
      </w:r>
      <w:r>
        <w:rPr>
          <w:szCs w:val="20"/>
        </w:rPr>
        <w:t xml:space="preserve"> </w:t>
      </w:r>
      <w:r w:rsidRPr="00F01D45">
        <w:rPr>
          <w:szCs w:val="20"/>
        </w:rPr>
        <w:t>17</w:t>
      </w:r>
      <w:r>
        <w:rPr>
          <w:szCs w:val="20"/>
        </w:rPr>
        <w:t xml:space="preserve"> </w:t>
      </w:r>
      <w:r w:rsidRPr="00F01D45">
        <w:rPr>
          <w:szCs w:val="20"/>
        </w:rPr>
        <w:t>(D.C.</w:t>
      </w:r>
      <w:r>
        <w:rPr>
          <w:szCs w:val="20"/>
        </w:rPr>
        <w:t xml:space="preserve"> </w:t>
      </w:r>
      <w:r w:rsidRPr="00F01D45">
        <w:rPr>
          <w:szCs w:val="20"/>
        </w:rPr>
        <w:t>Cir.</w:t>
      </w:r>
      <w:r>
        <w:rPr>
          <w:szCs w:val="20"/>
        </w:rPr>
        <w:t xml:space="preserve"> </w:t>
      </w:r>
      <w:r w:rsidRPr="00F01D45">
        <w:rPr>
          <w:szCs w:val="20"/>
        </w:rPr>
        <w:t>2015)).</w:t>
      </w:r>
    </w:p>
    <w:p w:rsidR="007649DB" w:rsidRPr="00F01D45" w:rsidRDefault="007649DB" w:rsidP="007649DB">
      <w:pPr>
        <w:pStyle w:val="QS10"/>
        <w:rPr>
          <w:szCs w:val="20"/>
        </w:rPr>
      </w:pPr>
      <w:r w:rsidRPr="00F01D45">
        <w:rPr>
          <w:szCs w:val="20"/>
        </w:rPr>
        <w:t>But,</w:t>
      </w:r>
      <w:r>
        <w:rPr>
          <w:szCs w:val="20"/>
        </w:rPr>
        <w:t xml:space="preserve"> </w:t>
      </w:r>
      <w:r w:rsidRPr="00F01D45">
        <w:rPr>
          <w:szCs w:val="20"/>
        </w:rPr>
        <w:t>in</w:t>
      </w:r>
      <w:r>
        <w:rPr>
          <w:szCs w:val="20"/>
        </w:rPr>
        <w:t xml:space="preserve"> </w:t>
      </w:r>
      <w:r w:rsidRPr="00F01D45">
        <w:rPr>
          <w:szCs w:val="20"/>
        </w:rPr>
        <w:t>my</w:t>
      </w:r>
      <w:r>
        <w:rPr>
          <w:szCs w:val="20"/>
        </w:rPr>
        <w:t xml:space="preserve"> </w:t>
      </w:r>
      <w:r w:rsidRPr="00F01D45">
        <w:rPr>
          <w:szCs w:val="20"/>
        </w:rPr>
        <w:t>view,</w:t>
      </w:r>
      <w:r>
        <w:rPr>
          <w:szCs w:val="20"/>
        </w:rPr>
        <w:t xml:space="preserve"> </w:t>
      </w:r>
      <w:r w:rsidRPr="00F01D45">
        <w:rPr>
          <w:szCs w:val="20"/>
        </w:rPr>
        <w:t>Treasury</w:t>
      </w:r>
      <w:r>
        <w:rPr>
          <w:szCs w:val="20"/>
        </w:rPr>
        <w:t xml:space="preserve"> </w:t>
      </w:r>
      <w:r w:rsidRPr="00F01D45">
        <w:rPr>
          <w:szCs w:val="20"/>
        </w:rPr>
        <w:t>did</w:t>
      </w:r>
      <w:r>
        <w:rPr>
          <w:szCs w:val="20"/>
        </w:rPr>
        <w:t xml:space="preserve"> </w:t>
      </w:r>
      <w:r w:rsidRPr="00F01D45">
        <w:rPr>
          <w:szCs w:val="20"/>
        </w:rPr>
        <w:t>not</w:t>
      </w:r>
      <w:r>
        <w:rPr>
          <w:szCs w:val="20"/>
        </w:rPr>
        <w:t xml:space="preserve"> </w:t>
      </w:r>
      <w:r w:rsidRPr="00F01D45">
        <w:rPr>
          <w:szCs w:val="20"/>
        </w:rPr>
        <w:t>think</w:t>
      </w:r>
      <w:r>
        <w:rPr>
          <w:szCs w:val="20"/>
        </w:rPr>
        <w:t xml:space="preserve"> </w:t>
      </w:r>
      <w:r w:rsidRPr="00F01D45">
        <w:rPr>
          <w:szCs w:val="20"/>
        </w:rPr>
        <w:t>it</w:t>
      </w:r>
      <w:r>
        <w:rPr>
          <w:szCs w:val="20"/>
        </w:rPr>
        <w:t xml:space="preserve"> </w:t>
      </w:r>
      <w:r w:rsidRPr="00F01D45">
        <w:rPr>
          <w:szCs w:val="20"/>
        </w:rPr>
        <w:t>confronted</w:t>
      </w:r>
      <w:r>
        <w:rPr>
          <w:szCs w:val="20"/>
        </w:rPr>
        <w:t xml:space="preserve"> </w:t>
      </w:r>
      <w:r w:rsidRPr="00F01D45">
        <w:rPr>
          <w:szCs w:val="20"/>
        </w:rPr>
        <w:t>such</w:t>
      </w:r>
      <w:r>
        <w:rPr>
          <w:szCs w:val="20"/>
        </w:rPr>
        <w:t xml:space="preserve"> </w:t>
      </w:r>
      <w:r w:rsidRPr="00F01D45">
        <w:rPr>
          <w:szCs w:val="20"/>
        </w:rPr>
        <w:t>a</w:t>
      </w:r>
      <w:r>
        <w:rPr>
          <w:szCs w:val="20"/>
        </w:rPr>
        <w:t xml:space="preserve"> </w:t>
      </w:r>
      <w:r w:rsidRPr="00F01D45">
        <w:rPr>
          <w:szCs w:val="20"/>
        </w:rPr>
        <w:t>Herculean</w:t>
      </w:r>
      <w:r>
        <w:rPr>
          <w:szCs w:val="20"/>
        </w:rPr>
        <w:t xml:space="preserve"> </w:t>
      </w:r>
      <w:r w:rsidRPr="00F01D45">
        <w:rPr>
          <w:szCs w:val="20"/>
        </w:rPr>
        <w:t>task.</w:t>
      </w:r>
      <w:r>
        <w:rPr>
          <w:szCs w:val="20"/>
        </w:rPr>
        <w:t xml:space="preserve"> </w:t>
      </w:r>
      <w:r w:rsidRPr="00F01D45">
        <w:rPr>
          <w:szCs w:val="20"/>
        </w:rPr>
        <w:t>It</w:t>
      </w:r>
      <w:r>
        <w:rPr>
          <w:szCs w:val="20"/>
        </w:rPr>
        <w:t xml:space="preserve"> </w:t>
      </w:r>
      <w:r w:rsidRPr="00F01D45">
        <w:rPr>
          <w:szCs w:val="20"/>
        </w:rPr>
        <w:t>is</w:t>
      </w:r>
      <w:r>
        <w:rPr>
          <w:szCs w:val="20"/>
        </w:rPr>
        <w:t xml:space="preserve"> </w:t>
      </w:r>
      <w:r w:rsidRPr="00F01D45">
        <w:rPr>
          <w:szCs w:val="20"/>
        </w:rPr>
        <w:t>more</w:t>
      </w:r>
      <w:r>
        <w:rPr>
          <w:szCs w:val="20"/>
        </w:rPr>
        <w:t xml:space="preserve"> </w:t>
      </w:r>
      <w:r w:rsidRPr="00F01D45">
        <w:rPr>
          <w:szCs w:val="20"/>
        </w:rPr>
        <w:t>likely</w:t>
      </w:r>
      <w:r>
        <w:rPr>
          <w:szCs w:val="20"/>
        </w:rPr>
        <w:t xml:space="preserve"> </w:t>
      </w:r>
      <w:r w:rsidRPr="00F01D45">
        <w:rPr>
          <w:szCs w:val="20"/>
        </w:rPr>
        <w:t>that</w:t>
      </w:r>
      <w:r>
        <w:rPr>
          <w:szCs w:val="20"/>
        </w:rPr>
        <w:t xml:space="preserve"> </w:t>
      </w:r>
      <w:r w:rsidRPr="00F01D45">
        <w:rPr>
          <w:szCs w:val="20"/>
        </w:rPr>
        <w:t>Treasury</w:t>
      </w:r>
      <w:r>
        <w:rPr>
          <w:szCs w:val="20"/>
        </w:rPr>
        <w:t xml:space="preserve"> </w:t>
      </w:r>
      <w:r w:rsidRPr="00F01D45">
        <w:rPr>
          <w:szCs w:val="20"/>
        </w:rPr>
        <w:t>was</w:t>
      </w:r>
      <w:r>
        <w:rPr>
          <w:szCs w:val="20"/>
        </w:rPr>
        <w:t xml:space="preserve"> </w:t>
      </w:r>
      <w:r w:rsidRPr="00F01D45">
        <w:rPr>
          <w:szCs w:val="20"/>
        </w:rPr>
        <w:t>simply</w:t>
      </w:r>
      <w:r>
        <w:rPr>
          <w:szCs w:val="20"/>
        </w:rPr>
        <w:t xml:space="preserve"> </w:t>
      </w:r>
      <w:r w:rsidRPr="00F01D45">
        <w:rPr>
          <w:szCs w:val="20"/>
        </w:rPr>
        <w:t>following</w:t>
      </w:r>
      <w:r>
        <w:rPr>
          <w:szCs w:val="20"/>
        </w:rPr>
        <w:t xml:space="preserve"> </w:t>
      </w:r>
      <w:r w:rsidRPr="00F01D45">
        <w:rPr>
          <w:szCs w:val="20"/>
        </w:rPr>
        <w:t>its</w:t>
      </w:r>
      <w:r>
        <w:rPr>
          <w:szCs w:val="20"/>
        </w:rPr>
        <w:t xml:space="preserve"> </w:t>
      </w:r>
      <w:r w:rsidRPr="00F01D45">
        <w:rPr>
          <w:szCs w:val="20"/>
        </w:rPr>
        <w:t>historical</w:t>
      </w:r>
      <w:r>
        <w:rPr>
          <w:szCs w:val="20"/>
        </w:rPr>
        <w:t xml:space="preserve"> </w:t>
      </w:r>
      <w:r w:rsidRPr="00F01D45">
        <w:rPr>
          <w:szCs w:val="20"/>
        </w:rPr>
        <w:t>position</w:t>
      </w:r>
      <w:r>
        <w:rPr>
          <w:szCs w:val="20"/>
        </w:rPr>
        <w:t xml:space="preserve"> </w:t>
      </w:r>
      <w:r w:rsidRPr="00F01D45">
        <w:rPr>
          <w:szCs w:val="20"/>
        </w:rPr>
        <w:t>that</w:t>
      </w:r>
      <w:r>
        <w:rPr>
          <w:szCs w:val="20"/>
        </w:rPr>
        <w:t xml:space="preserve"> </w:t>
      </w:r>
      <w:r w:rsidRPr="00F01D45">
        <w:rPr>
          <w:szCs w:val="20"/>
        </w:rPr>
        <w:t>the</w:t>
      </w:r>
      <w:r>
        <w:rPr>
          <w:szCs w:val="20"/>
        </w:rPr>
        <w:t xml:space="preserve"> </w:t>
      </w:r>
      <w:r w:rsidRPr="00F01D45">
        <w:rPr>
          <w:szCs w:val="20"/>
        </w:rPr>
        <w:t>APA’s</w:t>
      </w:r>
      <w:r>
        <w:rPr>
          <w:szCs w:val="20"/>
        </w:rPr>
        <w:t xml:space="preserve"> </w:t>
      </w:r>
      <w:r w:rsidRPr="00F01D45">
        <w:rPr>
          <w:szCs w:val="20"/>
        </w:rPr>
        <w:t>procedural</w:t>
      </w:r>
      <w:r>
        <w:rPr>
          <w:szCs w:val="20"/>
        </w:rPr>
        <w:t xml:space="preserve"> </w:t>
      </w:r>
      <w:r w:rsidRPr="00F01D45">
        <w:rPr>
          <w:szCs w:val="20"/>
        </w:rPr>
        <w:t>requirements</w:t>
      </w:r>
      <w:r>
        <w:rPr>
          <w:szCs w:val="20"/>
        </w:rPr>
        <w:t xml:space="preserve"> </w:t>
      </w:r>
      <w:r w:rsidRPr="00F01D45">
        <w:rPr>
          <w:szCs w:val="20"/>
        </w:rPr>
        <w:t>did</w:t>
      </w:r>
      <w:r>
        <w:rPr>
          <w:szCs w:val="20"/>
        </w:rPr>
        <w:t xml:space="preserve"> </w:t>
      </w:r>
      <w:r w:rsidRPr="00F01D45">
        <w:rPr>
          <w:szCs w:val="20"/>
        </w:rPr>
        <w:t>not</w:t>
      </w:r>
      <w:r>
        <w:rPr>
          <w:szCs w:val="20"/>
        </w:rPr>
        <w:t xml:space="preserve"> </w:t>
      </w:r>
      <w:r w:rsidRPr="00F01D45">
        <w:rPr>
          <w:szCs w:val="20"/>
        </w:rPr>
        <w:t>apply</w:t>
      </w:r>
      <w:r>
        <w:rPr>
          <w:szCs w:val="20"/>
        </w:rPr>
        <w:t xml:space="preserve"> </w:t>
      </w:r>
      <w:r w:rsidRPr="00F01D45">
        <w:rPr>
          <w:szCs w:val="20"/>
        </w:rPr>
        <w:t>to</w:t>
      </w:r>
      <w:r>
        <w:rPr>
          <w:szCs w:val="20"/>
        </w:rPr>
        <w:t xml:space="preserve"> </w:t>
      </w:r>
      <w:r w:rsidRPr="00F01D45">
        <w:rPr>
          <w:szCs w:val="20"/>
        </w:rPr>
        <w:t>these</w:t>
      </w:r>
      <w:r>
        <w:rPr>
          <w:szCs w:val="20"/>
        </w:rPr>
        <w:t xml:space="preserve"> </w:t>
      </w:r>
      <w:r w:rsidRPr="00F01D45">
        <w:rPr>
          <w:szCs w:val="20"/>
        </w:rPr>
        <w:t>types</w:t>
      </w:r>
      <w:r>
        <w:rPr>
          <w:szCs w:val="20"/>
        </w:rPr>
        <w:t xml:space="preserve"> </w:t>
      </w:r>
      <w:r w:rsidRPr="00F01D45">
        <w:rPr>
          <w:szCs w:val="20"/>
        </w:rPr>
        <w:t>of</w:t>
      </w:r>
      <w:r>
        <w:rPr>
          <w:szCs w:val="20"/>
        </w:rPr>
        <w:t xml:space="preserve"> </w:t>
      </w:r>
      <w:r w:rsidRPr="00F01D45">
        <w:rPr>
          <w:szCs w:val="20"/>
        </w:rPr>
        <w:t>regulations.</w:t>
      </w:r>
      <w:hyperlink r:id="rId142" w:anchor="co_footnote_B00202050952136" w:history="1">
        <w:r w:rsidRPr="00F01D45">
          <w:rPr>
            <w:rStyle w:val="Hyperlink"/>
            <w:color w:val="auto"/>
            <w:szCs w:val="20"/>
            <w:vertAlign w:val="superscript"/>
          </w:rPr>
          <w:t>15</w:t>
        </w:r>
      </w:hyperlink>
      <w:r>
        <w:rPr>
          <w:szCs w:val="20"/>
        </w:rPr>
        <w:t xml:space="preserve"> </w:t>
      </w:r>
      <w:r w:rsidRPr="00F01D45">
        <w:rPr>
          <w:szCs w:val="20"/>
        </w:rPr>
        <w:t>As</w:t>
      </w:r>
      <w:r>
        <w:rPr>
          <w:szCs w:val="20"/>
        </w:rPr>
        <w:t xml:space="preserve"> </w:t>
      </w:r>
      <w:r w:rsidRPr="00F01D45">
        <w:rPr>
          <w:szCs w:val="20"/>
        </w:rPr>
        <w:t>the</w:t>
      </w:r>
      <w:r>
        <w:rPr>
          <w:szCs w:val="20"/>
        </w:rPr>
        <w:t xml:space="preserve"> </w:t>
      </w:r>
      <w:r w:rsidRPr="00F01D45">
        <w:rPr>
          <w:szCs w:val="20"/>
        </w:rPr>
        <w:t>Treasury</w:t>
      </w:r>
      <w:r>
        <w:rPr>
          <w:szCs w:val="20"/>
        </w:rPr>
        <w:t xml:space="preserve"> </w:t>
      </w:r>
      <w:r w:rsidRPr="00F01D45">
        <w:rPr>
          <w:szCs w:val="20"/>
        </w:rPr>
        <w:t>Decision</w:t>
      </w:r>
      <w:r>
        <w:rPr>
          <w:szCs w:val="20"/>
        </w:rPr>
        <w:t xml:space="preserve"> </w:t>
      </w:r>
      <w:r w:rsidRPr="00F01D45">
        <w:rPr>
          <w:szCs w:val="20"/>
        </w:rPr>
        <w:t>explains,</w:t>
      </w:r>
      <w:r>
        <w:rPr>
          <w:szCs w:val="20"/>
        </w:rPr>
        <w:t xml:space="preserve"> </w:t>
      </w:r>
      <w:r w:rsidRPr="00F01D45">
        <w:rPr>
          <w:szCs w:val="20"/>
        </w:rPr>
        <w:t>Treasury</w:t>
      </w:r>
      <w:r>
        <w:rPr>
          <w:szCs w:val="20"/>
        </w:rPr>
        <w:t xml:space="preserve"> </w:t>
      </w:r>
      <w:r w:rsidRPr="00F01D45">
        <w:rPr>
          <w:szCs w:val="20"/>
        </w:rPr>
        <w:t>took</w:t>
      </w:r>
      <w:r>
        <w:rPr>
          <w:szCs w:val="20"/>
        </w:rPr>
        <w:t xml:space="preserve"> </w:t>
      </w:r>
      <w:r w:rsidRPr="00F01D45">
        <w:rPr>
          <w:szCs w:val="20"/>
        </w:rPr>
        <w:t>the</w:t>
      </w:r>
      <w:r>
        <w:rPr>
          <w:szCs w:val="20"/>
        </w:rPr>
        <w:t xml:space="preserve"> </w:t>
      </w:r>
      <w:r w:rsidRPr="00F01D45">
        <w:rPr>
          <w:szCs w:val="20"/>
        </w:rPr>
        <w:t>view</w:t>
      </w:r>
      <w:r>
        <w:rPr>
          <w:szCs w:val="20"/>
        </w:rPr>
        <w:t xml:space="preserve"> </w:t>
      </w:r>
      <w:r w:rsidRPr="00F01D45">
        <w:rPr>
          <w:szCs w:val="20"/>
        </w:rPr>
        <w:t>that</w:t>
      </w:r>
      <w:r>
        <w:rPr>
          <w:szCs w:val="20"/>
        </w:rPr>
        <w:t xml:space="preserve"> </w:t>
      </w:r>
      <w:r w:rsidRPr="00F01D45">
        <w:rPr>
          <w:szCs w:val="20"/>
        </w:rPr>
        <w:t>“[a]lthough</w:t>
      </w:r>
      <w:r>
        <w:rPr>
          <w:szCs w:val="20"/>
        </w:rPr>
        <w:t xml:space="preserve"> </w:t>
      </w:r>
      <w:r w:rsidRPr="00F01D45">
        <w:rPr>
          <w:szCs w:val="20"/>
        </w:rPr>
        <w:t>a</w:t>
      </w:r>
      <w:r>
        <w:rPr>
          <w:szCs w:val="20"/>
        </w:rPr>
        <w:t xml:space="preserve"> </w:t>
      </w:r>
      <w:r w:rsidRPr="00F01D45">
        <w:rPr>
          <w:szCs w:val="20"/>
        </w:rPr>
        <w:t>notice</w:t>
      </w:r>
      <w:r>
        <w:rPr>
          <w:szCs w:val="20"/>
        </w:rPr>
        <w:t xml:space="preserve"> </w:t>
      </w:r>
      <w:r w:rsidRPr="00F01D45">
        <w:rPr>
          <w:szCs w:val="20"/>
        </w:rPr>
        <w:t>of</w:t>
      </w:r>
      <w:r>
        <w:rPr>
          <w:szCs w:val="20"/>
        </w:rPr>
        <w:t xml:space="preserve"> </w:t>
      </w:r>
      <w:r w:rsidRPr="00F01D45">
        <w:rPr>
          <w:szCs w:val="20"/>
        </w:rPr>
        <w:t>proposed</w:t>
      </w:r>
      <w:r>
        <w:rPr>
          <w:szCs w:val="20"/>
        </w:rPr>
        <w:t xml:space="preserve"> </w:t>
      </w:r>
      <w:r w:rsidRPr="00F01D45">
        <w:rPr>
          <w:szCs w:val="20"/>
        </w:rPr>
        <w:t>rulemaking</w:t>
      </w:r>
      <w:r>
        <w:rPr>
          <w:szCs w:val="20"/>
        </w:rPr>
        <w:t xml:space="preserve"> </w:t>
      </w:r>
      <w:r w:rsidRPr="00F01D45">
        <w:rPr>
          <w:szCs w:val="20"/>
        </w:rPr>
        <w:t>which</w:t>
      </w:r>
      <w:r>
        <w:rPr>
          <w:szCs w:val="20"/>
        </w:rPr>
        <w:t xml:space="preserve"> </w:t>
      </w:r>
      <w:r w:rsidRPr="00F01D45">
        <w:rPr>
          <w:szCs w:val="20"/>
        </w:rPr>
        <w:t>solicited</w:t>
      </w:r>
      <w:r>
        <w:rPr>
          <w:szCs w:val="20"/>
        </w:rPr>
        <w:t xml:space="preserve"> </w:t>
      </w:r>
      <w:r w:rsidRPr="00F01D45">
        <w:rPr>
          <w:szCs w:val="20"/>
        </w:rPr>
        <w:t>public</w:t>
      </w:r>
      <w:r>
        <w:rPr>
          <w:szCs w:val="20"/>
        </w:rPr>
        <w:t xml:space="preserve"> </w:t>
      </w:r>
      <w:r w:rsidRPr="00F01D45">
        <w:rPr>
          <w:szCs w:val="20"/>
        </w:rPr>
        <w:t>comments</w:t>
      </w:r>
      <w:r>
        <w:rPr>
          <w:szCs w:val="20"/>
        </w:rPr>
        <w:t xml:space="preserve"> </w:t>
      </w:r>
      <w:r w:rsidRPr="00F01D45">
        <w:rPr>
          <w:szCs w:val="20"/>
        </w:rPr>
        <w:t>was</w:t>
      </w:r>
      <w:r>
        <w:rPr>
          <w:szCs w:val="20"/>
        </w:rPr>
        <w:t xml:space="preserve"> </w:t>
      </w:r>
      <w:r w:rsidRPr="00F01D45">
        <w:rPr>
          <w:szCs w:val="20"/>
        </w:rPr>
        <w:t>issued,</w:t>
      </w:r>
      <w:r>
        <w:rPr>
          <w:szCs w:val="20"/>
        </w:rPr>
        <w:t xml:space="preserve"> </w:t>
      </w:r>
      <w:r w:rsidRPr="00F01D45">
        <w:rPr>
          <w:szCs w:val="20"/>
        </w:rPr>
        <w:t>the</w:t>
      </w:r>
      <w:r>
        <w:rPr>
          <w:szCs w:val="20"/>
        </w:rPr>
        <w:t xml:space="preserve"> </w:t>
      </w:r>
      <w:r w:rsidRPr="00F01D45">
        <w:rPr>
          <w:szCs w:val="20"/>
        </w:rPr>
        <w:t>*</w:t>
      </w:r>
      <w:r>
        <w:rPr>
          <w:szCs w:val="20"/>
        </w:rPr>
        <w:t xml:space="preserve"> </w:t>
      </w:r>
      <w:r w:rsidRPr="00F01D45">
        <w:rPr>
          <w:szCs w:val="20"/>
        </w:rPr>
        <w:t>*</w:t>
      </w:r>
      <w:r>
        <w:rPr>
          <w:szCs w:val="20"/>
        </w:rPr>
        <w:t xml:space="preserve"> </w:t>
      </w:r>
      <w:r w:rsidRPr="00F01D45">
        <w:rPr>
          <w:szCs w:val="20"/>
        </w:rPr>
        <w:t>*</w:t>
      </w:r>
      <w:r>
        <w:rPr>
          <w:szCs w:val="20"/>
        </w:rPr>
        <w:t xml:space="preserve"> </w:t>
      </w:r>
      <w:r w:rsidRPr="00F01D45">
        <w:rPr>
          <w:szCs w:val="20"/>
        </w:rPr>
        <w:t>[IRS]</w:t>
      </w:r>
      <w:r>
        <w:rPr>
          <w:szCs w:val="20"/>
        </w:rPr>
        <w:t xml:space="preserve"> </w:t>
      </w:r>
      <w:r w:rsidRPr="00F01D45">
        <w:rPr>
          <w:szCs w:val="20"/>
        </w:rPr>
        <w:t>concluded</w:t>
      </w:r>
      <w:r>
        <w:rPr>
          <w:szCs w:val="20"/>
        </w:rPr>
        <w:t xml:space="preserve"> </w:t>
      </w:r>
      <w:r w:rsidRPr="00F01D45">
        <w:rPr>
          <w:szCs w:val="20"/>
        </w:rPr>
        <w:t>when</w:t>
      </w:r>
      <w:r>
        <w:rPr>
          <w:szCs w:val="20"/>
        </w:rPr>
        <w:t xml:space="preserve"> </w:t>
      </w:r>
      <w:r w:rsidRPr="00F01D45">
        <w:rPr>
          <w:szCs w:val="20"/>
        </w:rPr>
        <w:t>the</w:t>
      </w:r>
      <w:r>
        <w:rPr>
          <w:szCs w:val="20"/>
        </w:rPr>
        <w:t xml:space="preserve"> </w:t>
      </w:r>
      <w:r w:rsidRPr="00F01D45">
        <w:rPr>
          <w:szCs w:val="20"/>
        </w:rPr>
        <w:t>notice</w:t>
      </w:r>
      <w:r>
        <w:rPr>
          <w:szCs w:val="20"/>
        </w:rPr>
        <w:t xml:space="preserve"> </w:t>
      </w:r>
      <w:r w:rsidRPr="00F01D45">
        <w:rPr>
          <w:szCs w:val="20"/>
        </w:rPr>
        <w:t>was</w:t>
      </w:r>
      <w:r>
        <w:rPr>
          <w:szCs w:val="20"/>
        </w:rPr>
        <w:t xml:space="preserve"> </w:t>
      </w:r>
      <w:r w:rsidRPr="00F01D45">
        <w:rPr>
          <w:szCs w:val="20"/>
        </w:rPr>
        <w:t>issued</w:t>
      </w:r>
      <w:r>
        <w:rPr>
          <w:szCs w:val="20"/>
        </w:rPr>
        <w:t xml:space="preserve"> </w:t>
      </w:r>
      <w:r w:rsidRPr="00F01D45">
        <w:rPr>
          <w:szCs w:val="20"/>
        </w:rPr>
        <w:t>that</w:t>
      </w:r>
      <w:r>
        <w:rPr>
          <w:szCs w:val="20"/>
        </w:rPr>
        <w:t xml:space="preserve"> </w:t>
      </w:r>
      <w:r w:rsidRPr="00F01D45">
        <w:rPr>
          <w:szCs w:val="20"/>
        </w:rPr>
        <w:t>the</w:t>
      </w:r>
      <w:r>
        <w:rPr>
          <w:szCs w:val="20"/>
        </w:rPr>
        <w:t xml:space="preserve"> </w:t>
      </w:r>
      <w:r w:rsidRPr="00F01D45">
        <w:rPr>
          <w:szCs w:val="20"/>
        </w:rPr>
        <w:t>regulations</w:t>
      </w:r>
      <w:r>
        <w:rPr>
          <w:szCs w:val="20"/>
        </w:rPr>
        <w:t xml:space="preserve"> </w:t>
      </w:r>
      <w:r w:rsidRPr="00F01D45">
        <w:rPr>
          <w:szCs w:val="20"/>
        </w:rPr>
        <w:t>are</w:t>
      </w:r>
      <w:r>
        <w:rPr>
          <w:szCs w:val="20"/>
        </w:rPr>
        <w:t xml:space="preserve"> </w:t>
      </w:r>
      <w:r w:rsidRPr="00F01D45">
        <w:rPr>
          <w:szCs w:val="20"/>
        </w:rPr>
        <w:t>interpretative</w:t>
      </w:r>
      <w:r>
        <w:rPr>
          <w:szCs w:val="20"/>
        </w:rPr>
        <w:t xml:space="preserve"> </w:t>
      </w:r>
      <w:r w:rsidRPr="00F01D45">
        <w:rPr>
          <w:szCs w:val="20"/>
        </w:rPr>
        <w:t>and</w:t>
      </w:r>
      <w:r>
        <w:rPr>
          <w:szCs w:val="20"/>
        </w:rPr>
        <w:t xml:space="preserve"> </w:t>
      </w:r>
      <w:r w:rsidRPr="00F01D45">
        <w:rPr>
          <w:szCs w:val="20"/>
        </w:rPr>
        <w:t>that</w:t>
      </w:r>
      <w:r>
        <w:rPr>
          <w:szCs w:val="20"/>
        </w:rPr>
        <w:t xml:space="preserve"> </w:t>
      </w:r>
      <w:r w:rsidRPr="00F01D45">
        <w:rPr>
          <w:szCs w:val="20"/>
        </w:rPr>
        <w:t>the</w:t>
      </w:r>
      <w:r>
        <w:rPr>
          <w:szCs w:val="20"/>
        </w:rPr>
        <w:t xml:space="preserve"> </w:t>
      </w:r>
      <w:r w:rsidRPr="00F01D45">
        <w:rPr>
          <w:szCs w:val="20"/>
        </w:rPr>
        <w:t>notice</w:t>
      </w:r>
      <w:r>
        <w:rPr>
          <w:szCs w:val="20"/>
        </w:rPr>
        <w:t xml:space="preserve"> </w:t>
      </w:r>
      <w:r w:rsidRPr="00F01D45">
        <w:rPr>
          <w:szCs w:val="20"/>
        </w:rPr>
        <w:t>and</w:t>
      </w:r>
      <w:r>
        <w:rPr>
          <w:szCs w:val="20"/>
        </w:rPr>
        <w:t xml:space="preserve"> </w:t>
      </w:r>
      <w:r w:rsidRPr="00F01D45">
        <w:rPr>
          <w:szCs w:val="20"/>
        </w:rPr>
        <w:t>public</w:t>
      </w:r>
      <w:r>
        <w:rPr>
          <w:szCs w:val="20"/>
        </w:rPr>
        <w:t xml:space="preserve"> </w:t>
      </w:r>
      <w:r w:rsidRPr="00F01D45">
        <w:rPr>
          <w:szCs w:val="20"/>
        </w:rPr>
        <w:t>comment</w:t>
      </w:r>
      <w:r>
        <w:rPr>
          <w:szCs w:val="20"/>
        </w:rPr>
        <w:t xml:space="preserve"> </w:t>
      </w:r>
      <w:r w:rsidRPr="00F01D45">
        <w:rPr>
          <w:szCs w:val="20"/>
        </w:rPr>
        <w:t>procedure</w:t>
      </w:r>
      <w:r>
        <w:rPr>
          <w:szCs w:val="20"/>
        </w:rPr>
        <w:t xml:space="preserve"> </w:t>
      </w:r>
      <w:r w:rsidRPr="00F01D45">
        <w:rPr>
          <w:szCs w:val="20"/>
        </w:rPr>
        <w:t>requirement</w:t>
      </w:r>
      <w:r>
        <w:rPr>
          <w:szCs w:val="20"/>
        </w:rPr>
        <w:t xml:space="preserve"> </w:t>
      </w:r>
      <w:r w:rsidRPr="00F01D45">
        <w:rPr>
          <w:szCs w:val="20"/>
        </w:rPr>
        <w:t>of</w:t>
      </w:r>
      <w:r>
        <w:rPr>
          <w:szCs w:val="20"/>
        </w:rPr>
        <w:t xml:space="preserve"> </w:t>
      </w:r>
      <w:r w:rsidRPr="00F01D45">
        <w:rPr>
          <w:szCs w:val="20"/>
        </w:rPr>
        <w:t>5</w:t>
      </w:r>
      <w:r>
        <w:rPr>
          <w:szCs w:val="20"/>
        </w:rPr>
        <w:t xml:space="preserve"> </w:t>
      </w:r>
      <w:r w:rsidRPr="00F01D45">
        <w:rPr>
          <w:szCs w:val="20"/>
        </w:rPr>
        <w:t>U.S.C.</w:t>
      </w:r>
      <w:r>
        <w:rPr>
          <w:szCs w:val="20"/>
        </w:rPr>
        <w:t xml:space="preserve"> </w:t>
      </w:r>
      <w:r w:rsidRPr="00F01D45">
        <w:rPr>
          <w:szCs w:val="20"/>
        </w:rPr>
        <w:t>553</w:t>
      </w:r>
      <w:r>
        <w:rPr>
          <w:szCs w:val="20"/>
        </w:rPr>
        <w:t xml:space="preserve"> </w:t>
      </w:r>
      <w:r w:rsidRPr="00F01D45">
        <w:rPr>
          <w:szCs w:val="20"/>
        </w:rPr>
        <w:t>did</w:t>
      </w:r>
      <w:r>
        <w:rPr>
          <w:szCs w:val="20"/>
        </w:rPr>
        <w:t xml:space="preserve"> </w:t>
      </w:r>
      <w:r w:rsidRPr="00F01D45">
        <w:rPr>
          <w:szCs w:val="20"/>
        </w:rPr>
        <w:t>not</w:t>
      </w:r>
      <w:r>
        <w:rPr>
          <w:szCs w:val="20"/>
        </w:rPr>
        <w:t xml:space="preserve"> </w:t>
      </w:r>
      <w:r w:rsidRPr="00F01D45">
        <w:rPr>
          <w:szCs w:val="20"/>
        </w:rPr>
        <w:t>apply.”</w:t>
      </w:r>
      <w:r>
        <w:rPr>
          <w:szCs w:val="20"/>
        </w:rPr>
        <w:t xml:space="preserve">  </w:t>
      </w:r>
      <w:r w:rsidRPr="00F01D45">
        <w:rPr>
          <w:szCs w:val="20"/>
        </w:rPr>
        <w:t>T.D.</w:t>
      </w:r>
      <w:r>
        <w:rPr>
          <w:szCs w:val="20"/>
        </w:rPr>
        <w:t xml:space="preserve"> </w:t>
      </w:r>
      <w:r w:rsidRPr="00F01D45">
        <w:rPr>
          <w:szCs w:val="20"/>
        </w:rPr>
        <w:t>8069,</w:t>
      </w:r>
      <w:r>
        <w:rPr>
          <w:szCs w:val="20"/>
        </w:rPr>
        <w:t xml:space="preserve"> </w:t>
      </w:r>
      <w:r w:rsidRPr="00F01D45">
        <w:rPr>
          <w:szCs w:val="20"/>
        </w:rPr>
        <w:t>1986-1</w:t>
      </w:r>
      <w:r>
        <w:rPr>
          <w:szCs w:val="20"/>
        </w:rPr>
        <w:t xml:space="preserve"> </w:t>
      </w:r>
      <w:r w:rsidRPr="00F01D45">
        <w:rPr>
          <w:szCs w:val="20"/>
        </w:rPr>
        <w:t>C.B.</w:t>
      </w:r>
      <w:r>
        <w:rPr>
          <w:szCs w:val="20"/>
        </w:rPr>
        <w:t xml:space="preserve"> </w:t>
      </w:r>
      <w:r w:rsidRPr="00F01D45">
        <w:rPr>
          <w:szCs w:val="20"/>
        </w:rPr>
        <w:t>at</w:t>
      </w:r>
      <w:r>
        <w:rPr>
          <w:szCs w:val="20"/>
        </w:rPr>
        <w:t xml:space="preserve"> </w:t>
      </w:r>
      <w:r w:rsidRPr="00F01D45">
        <w:rPr>
          <w:szCs w:val="20"/>
        </w:rPr>
        <w:t>92.</w:t>
      </w:r>
      <w:r>
        <w:rPr>
          <w:szCs w:val="20"/>
        </w:rPr>
        <w:t xml:space="preserve"> </w:t>
      </w:r>
      <w:r w:rsidRPr="00F01D45">
        <w:rPr>
          <w:szCs w:val="20"/>
        </w:rPr>
        <w:t>When</w:t>
      </w:r>
      <w:r>
        <w:rPr>
          <w:szCs w:val="20"/>
        </w:rPr>
        <w:t xml:space="preserve"> </w:t>
      </w:r>
      <w:r w:rsidRPr="00F01D45">
        <w:rPr>
          <w:szCs w:val="20"/>
        </w:rPr>
        <w:t>an</w:t>
      </w:r>
      <w:r>
        <w:rPr>
          <w:szCs w:val="20"/>
        </w:rPr>
        <w:t xml:space="preserve"> </w:t>
      </w:r>
      <w:r w:rsidRPr="00F01D45">
        <w:rPr>
          <w:szCs w:val="20"/>
        </w:rPr>
        <w:t>agency</w:t>
      </w:r>
      <w:r>
        <w:rPr>
          <w:szCs w:val="20"/>
        </w:rPr>
        <w:t xml:space="preserve"> </w:t>
      </w:r>
      <w:r w:rsidRPr="00F01D45">
        <w:rPr>
          <w:szCs w:val="20"/>
        </w:rPr>
        <w:t>engaged</w:t>
      </w:r>
      <w:r>
        <w:rPr>
          <w:szCs w:val="20"/>
        </w:rPr>
        <w:t xml:space="preserve"> </w:t>
      </w:r>
      <w:r w:rsidRPr="00F01D45">
        <w:rPr>
          <w:szCs w:val="20"/>
        </w:rPr>
        <w:t>in</w:t>
      </w:r>
      <w:r>
        <w:rPr>
          <w:szCs w:val="20"/>
        </w:rPr>
        <w:t xml:space="preserve"> </w:t>
      </w:r>
      <w:r w:rsidRPr="00F01D45">
        <w:rPr>
          <w:szCs w:val="20"/>
        </w:rPr>
        <w:t>a</w:t>
      </w:r>
      <w:r>
        <w:rPr>
          <w:szCs w:val="20"/>
        </w:rPr>
        <w:t xml:space="preserve"> </w:t>
      </w:r>
      <w:r w:rsidRPr="00F01D45">
        <w:rPr>
          <w:szCs w:val="20"/>
        </w:rPr>
        <w:t>particular</w:t>
      </w:r>
      <w:r>
        <w:rPr>
          <w:szCs w:val="20"/>
        </w:rPr>
        <w:t xml:space="preserve"> </w:t>
      </w:r>
      <w:r w:rsidRPr="00F01D45">
        <w:rPr>
          <w:szCs w:val="20"/>
        </w:rPr>
        <w:t>rulemaking</w:t>
      </w:r>
      <w:r>
        <w:rPr>
          <w:szCs w:val="20"/>
        </w:rPr>
        <w:t xml:space="preserve"> </w:t>
      </w:r>
      <w:r w:rsidRPr="00F01D45">
        <w:rPr>
          <w:szCs w:val="20"/>
        </w:rPr>
        <w:t>exercise</w:t>
      </w:r>
      <w:r>
        <w:rPr>
          <w:szCs w:val="20"/>
        </w:rPr>
        <w:t xml:space="preserve"> </w:t>
      </w:r>
      <w:r w:rsidRPr="00F01D45">
        <w:rPr>
          <w:szCs w:val="20"/>
        </w:rPr>
        <w:t>believes</w:t>
      </w:r>
      <w:r>
        <w:rPr>
          <w:szCs w:val="20"/>
        </w:rPr>
        <w:t xml:space="preserve"> </w:t>
      </w:r>
      <w:r w:rsidRPr="00F01D45">
        <w:rPr>
          <w:szCs w:val="20"/>
        </w:rPr>
        <w:t>the</w:t>
      </w:r>
      <w:r>
        <w:rPr>
          <w:szCs w:val="20"/>
        </w:rPr>
        <w:t xml:space="preserve"> </w:t>
      </w:r>
      <w:r w:rsidRPr="00F01D45">
        <w:rPr>
          <w:szCs w:val="20"/>
        </w:rPr>
        <w:t>APA</w:t>
      </w:r>
      <w:r>
        <w:rPr>
          <w:szCs w:val="20"/>
        </w:rPr>
        <w:t xml:space="preserve"> </w:t>
      </w:r>
      <w:r w:rsidRPr="00F01D45">
        <w:rPr>
          <w:szCs w:val="20"/>
        </w:rPr>
        <w:t>does</w:t>
      </w:r>
      <w:r>
        <w:rPr>
          <w:szCs w:val="20"/>
        </w:rPr>
        <w:t xml:space="preserve"> </w:t>
      </w:r>
      <w:r w:rsidRPr="00F01D45">
        <w:rPr>
          <w:szCs w:val="20"/>
        </w:rPr>
        <w:t>not</w:t>
      </w:r>
      <w:r>
        <w:rPr>
          <w:szCs w:val="20"/>
        </w:rPr>
        <w:t xml:space="preserve"> </w:t>
      </w:r>
      <w:r w:rsidRPr="00F01D45">
        <w:rPr>
          <w:szCs w:val="20"/>
        </w:rPr>
        <w:t>require</w:t>
      </w:r>
      <w:r>
        <w:rPr>
          <w:szCs w:val="20"/>
        </w:rPr>
        <w:t xml:space="preserve"> </w:t>
      </w:r>
      <w:r w:rsidRPr="00F01D45">
        <w:rPr>
          <w:szCs w:val="20"/>
        </w:rPr>
        <w:t>it</w:t>
      </w:r>
      <w:r>
        <w:rPr>
          <w:szCs w:val="20"/>
        </w:rPr>
        <w:t xml:space="preserve"> </w:t>
      </w:r>
      <w:r w:rsidRPr="00F01D45">
        <w:rPr>
          <w:szCs w:val="20"/>
        </w:rPr>
        <w:t>to</w:t>
      </w:r>
      <w:r>
        <w:rPr>
          <w:szCs w:val="20"/>
        </w:rPr>
        <w:t xml:space="preserve"> </w:t>
      </w:r>
      <w:r w:rsidRPr="00F01D45">
        <w:rPr>
          <w:szCs w:val="20"/>
        </w:rPr>
        <w:t>provide</w:t>
      </w:r>
      <w:r>
        <w:rPr>
          <w:szCs w:val="20"/>
        </w:rPr>
        <w:t xml:space="preserve"> </w:t>
      </w:r>
      <w:r w:rsidRPr="00F01D45">
        <w:rPr>
          <w:szCs w:val="20"/>
        </w:rPr>
        <w:t>notice</w:t>
      </w:r>
      <w:r>
        <w:rPr>
          <w:szCs w:val="20"/>
        </w:rPr>
        <w:t xml:space="preserve"> </w:t>
      </w:r>
      <w:r w:rsidRPr="00F01D45">
        <w:rPr>
          <w:szCs w:val="20"/>
        </w:rPr>
        <w:t>and</w:t>
      </w:r>
      <w:r>
        <w:rPr>
          <w:szCs w:val="20"/>
        </w:rPr>
        <w:t xml:space="preserve"> </w:t>
      </w:r>
      <w:r w:rsidRPr="00F01D45">
        <w:rPr>
          <w:szCs w:val="20"/>
        </w:rPr>
        <w:t>receive</w:t>
      </w:r>
      <w:r>
        <w:rPr>
          <w:szCs w:val="20"/>
        </w:rPr>
        <w:t xml:space="preserve"> </w:t>
      </w:r>
      <w:r w:rsidRPr="00F01D45">
        <w:rPr>
          <w:szCs w:val="20"/>
        </w:rPr>
        <w:t>comments</w:t>
      </w:r>
      <w:r>
        <w:rPr>
          <w:szCs w:val="20"/>
        </w:rPr>
        <w:t xml:space="preserve"> </w:t>
      </w:r>
      <w:r w:rsidRPr="00F01D45">
        <w:rPr>
          <w:szCs w:val="20"/>
        </w:rPr>
        <w:t>at</w:t>
      </w:r>
      <w:r>
        <w:rPr>
          <w:szCs w:val="20"/>
        </w:rPr>
        <w:t xml:space="preserve"> </w:t>
      </w:r>
      <w:r w:rsidRPr="00F01D45">
        <w:rPr>
          <w:szCs w:val="20"/>
        </w:rPr>
        <w:t>all,</w:t>
      </w:r>
      <w:r>
        <w:rPr>
          <w:szCs w:val="20"/>
        </w:rPr>
        <w:t xml:space="preserve"> </w:t>
      </w:r>
      <w:r w:rsidRPr="00F01D45">
        <w:rPr>
          <w:szCs w:val="20"/>
        </w:rPr>
        <w:t>it</w:t>
      </w:r>
      <w:r>
        <w:rPr>
          <w:szCs w:val="20"/>
        </w:rPr>
        <w:t xml:space="preserve"> </w:t>
      </w:r>
      <w:r w:rsidRPr="00F01D45">
        <w:rPr>
          <w:szCs w:val="20"/>
        </w:rPr>
        <w:t>is</w:t>
      </w:r>
      <w:r>
        <w:rPr>
          <w:szCs w:val="20"/>
        </w:rPr>
        <w:t xml:space="preserve"> </w:t>
      </w:r>
      <w:r w:rsidRPr="00F01D45">
        <w:rPr>
          <w:szCs w:val="20"/>
        </w:rPr>
        <w:t>not</w:t>
      </w:r>
      <w:r>
        <w:rPr>
          <w:szCs w:val="20"/>
        </w:rPr>
        <w:t xml:space="preserve"> </w:t>
      </w:r>
      <w:r w:rsidRPr="00F01D45">
        <w:rPr>
          <w:szCs w:val="20"/>
        </w:rPr>
        <w:t>difficult</w:t>
      </w:r>
      <w:r>
        <w:rPr>
          <w:szCs w:val="20"/>
        </w:rPr>
        <w:t xml:space="preserve"> </w:t>
      </w:r>
      <w:r w:rsidRPr="00F01D45">
        <w:rPr>
          <w:szCs w:val="20"/>
        </w:rPr>
        <w:t>to</w:t>
      </w:r>
      <w:r>
        <w:rPr>
          <w:szCs w:val="20"/>
        </w:rPr>
        <w:t xml:space="preserve"> </w:t>
      </w:r>
      <w:r w:rsidRPr="00F01D45">
        <w:rPr>
          <w:szCs w:val="20"/>
        </w:rPr>
        <w:t>see</w:t>
      </w:r>
      <w:r>
        <w:rPr>
          <w:szCs w:val="20"/>
        </w:rPr>
        <w:t xml:space="preserve"> </w:t>
      </w:r>
      <w:r w:rsidRPr="00F01D45">
        <w:rPr>
          <w:szCs w:val="20"/>
        </w:rPr>
        <w:t>why</w:t>
      </w:r>
      <w:r>
        <w:rPr>
          <w:szCs w:val="20"/>
        </w:rPr>
        <w:t xml:space="preserve"> </w:t>
      </w:r>
      <w:r w:rsidRPr="00F01D45">
        <w:rPr>
          <w:szCs w:val="20"/>
        </w:rPr>
        <w:t>that</w:t>
      </w:r>
      <w:r>
        <w:rPr>
          <w:szCs w:val="20"/>
        </w:rPr>
        <w:t xml:space="preserve"> </w:t>
      </w:r>
      <w:r w:rsidRPr="00F01D45">
        <w:rPr>
          <w:szCs w:val="20"/>
        </w:rPr>
        <w:t>agency</w:t>
      </w:r>
      <w:r>
        <w:rPr>
          <w:szCs w:val="20"/>
        </w:rPr>
        <w:t xml:space="preserve"> </w:t>
      </w:r>
      <w:r w:rsidRPr="00F01D45">
        <w:rPr>
          <w:szCs w:val="20"/>
        </w:rPr>
        <w:t>might</w:t>
      </w:r>
      <w:r>
        <w:rPr>
          <w:szCs w:val="20"/>
        </w:rPr>
        <w:t xml:space="preserve"> </w:t>
      </w:r>
      <w:r w:rsidRPr="00F01D45">
        <w:rPr>
          <w:szCs w:val="20"/>
        </w:rPr>
        <w:t>think</w:t>
      </w:r>
      <w:r>
        <w:rPr>
          <w:szCs w:val="20"/>
        </w:rPr>
        <w:t xml:space="preserve"> </w:t>
      </w:r>
      <w:r w:rsidRPr="00F01D45">
        <w:rPr>
          <w:szCs w:val="20"/>
        </w:rPr>
        <w:t>that</w:t>
      </w:r>
      <w:r>
        <w:rPr>
          <w:szCs w:val="20"/>
        </w:rPr>
        <w:t xml:space="preserve"> </w:t>
      </w:r>
      <w:r w:rsidRPr="00F01D45">
        <w:rPr>
          <w:szCs w:val="20"/>
        </w:rPr>
        <w:t>a</w:t>
      </w:r>
      <w:r>
        <w:rPr>
          <w:szCs w:val="20"/>
        </w:rPr>
        <w:t xml:space="preserve"> </w:t>
      </w:r>
      <w:r w:rsidRPr="00F01D45">
        <w:rPr>
          <w:szCs w:val="20"/>
        </w:rPr>
        <w:t>rather</w:t>
      </w:r>
      <w:r>
        <w:rPr>
          <w:szCs w:val="20"/>
        </w:rPr>
        <w:t xml:space="preserve"> </w:t>
      </w:r>
      <w:r w:rsidRPr="00F01D45">
        <w:rPr>
          <w:szCs w:val="20"/>
        </w:rPr>
        <w:t>brief</w:t>
      </w:r>
      <w:r>
        <w:rPr>
          <w:szCs w:val="20"/>
        </w:rPr>
        <w:t xml:space="preserve"> </w:t>
      </w:r>
      <w:r w:rsidRPr="00F01D45">
        <w:rPr>
          <w:szCs w:val="20"/>
        </w:rPr>
        <w:t>explanation,</w:t>
      </w:r>
      <w:r>
        <w:rPr>
          <w:szCs w:val="20"/>
        </w:rPr>
        <w:t xml:space="preserve"> </w:t>
      </w:r>
      <w:r w:rsidRPr="00F01D45">
        <w:rPr>
          <w:szCs w:val="20"/>
        </w:rPr>
        <w:t>offered</w:t>
      </w:r>
      <w:r>
        <w:rPr>
          <w:szCs w:val="20"/>
        </w:rPr>
        <w:t xml:space="preserve"> </w:t>
      </w:r>
      <w:r w:rsidRPr="00F01D45">
        <w:rPr>
          <w:szCs w:val="20"/>
        </w:rPr>
        <w:t>as</w:t>
      </w:r>
      <w:r>
        <w:rPr>
          <w:szCs w:val="20"/>
        </w:rPr>
        <w:t xml:space="preserve"> </w:t>
      </w:r>
      <w:r w:rsidRPr="00F01D45">
        <w:rPr>
          <w:szCs w:val="20"/>
        </w:rPr>
        <w:t>it</w:t>
      </w:r>
      <w:r>
        <w:rPr>
          <w:szCs w:val="20"/>
        </w:rPr>
        <w:t xml:space="preserve"> </w:t>
      </w:r>
      <w:r w:rsidRPr="00F01D45">
        <w:rPr>
          <w:szCs w:val="20"/>
        </w:rPr>
        <w:t>were</w:t>
      </w:r>
      <w:r>
        <w:rPr>
          <w:szCs w:val="20"/>
        </w:rPr>
        <w:t xml:space="preserve"> </w:t>
      </w:r>
      <w:r w:rsidRPr="00F01D45">
        <w:rPr>
          <w:szCs w:val="20"/>
        </w:rPr>
        <w:t>out</w:t>
      </w:r>
      <w:r>
        <w:rPr>
          <w:szCs w:val="20"/>
        </w:rPr>
        <w:t xml:space="preserve"> </w:t>
      </w:r>
      <w:r w:rsidRPr="00F01D45">
        <w:rPr>
          <w:szCs w:val="20"/>
        </w:rPr>
        <w:t>of</w:t>
      </w:r>
      <w:r>
        <w:rPr>
          <w:szCs w:val="20"/>
        </w:rPr>
        <w:t xml:space="preserve"> </w:t>
      </w:r>
      <w:r w:rsidRPr="00F01D45">
        <w:rPr>
          <w:szCs w:val="20"/>
        </w:rPr>
        <w:t>its</w:t>
      </w:r>
      <w:r>
        <w:rPr>
          <w:szCs w:val="20"/>
        </w:rPr>
        <w:t xml:space="preserve"> </w:t>
      </w:r>
      <w:r w:rsidRPr="00F01D45">
        <w:rPr>
          <w:szCs w:val="20"/>
        </w:rPr>
        <w:t>own</w:t>
      </w:r>
      <w:r>
        <w:rPr>
          <w:szCs w:val="20"/>
        </w:rPr>
        <w:t xml:space="preserve"> </w:t>
      </w:r>
      <w:r w:rsidRPr="00F01D45">
        <w:rPr>
          <w:szCs w:val="20"/>
        </w:rPr>
        <w:t>generosity,</w:t>
      </w:r>
      <w:r>
        <w:rPr>
          <w:szCs w:val="20"/>
        </w:rPr>
        <w:t xml:space="preserve"> </w:t>
      </w:r>
      <w:r w:rsidRPr="00F01D45">
        <w:rPr>
          <w:szCs w:val="20"/>
        </w:rPr>
        <w:t>should</w:t>
      </w:r>
      <w:r>
        <w:rPr>
          <w:szCs w:val="20"/>
        </w:rPr>
        <w:t xml:space="preserve"> </w:t>
      </w:r>
      <w:r w:rsidRPr="00F01D45">
        <w:rPr>
          <w:szCs w:val="20"/>
        </w:rPr>
        <w:t>be</w:t>
      </w:r>
      <w:r>
        <w:rPr>
          <w:szCs w:val="20"/>
        </w:rPr>
        <w:t xml:space="preserve"> </w:t>
      </w:r>
      <w:r w:rsidRPr="00F01D45">
        <w:rPr>
          <w:szCs w:val="20"/>
        </w:rPr>
        <w:t>good</w:t>
      </w:r>
      <w:r>
        <w:rPr>
          <w:szCs w:val="20"/>
        </w:rPr>
        <w:t xml:space="preserve"> </w:t>
      </w:r>
      <w:r w:rsidRPr="00F01D45">
        <w:rPr>
          <w:szCs w:val="20"/>
        </w:rPr>
        <w:t>enough.</w:t>
      </w:r>
      <w:hyperlink r:id="rId143" w:anchor="co_footnote_B00222050952136" w:history="1">
        <w:r w:rsidRPr="00F01D45">
          <w:rPr>
            <w:rStyle w:val="Hyperlink"/>
            <w:color w:val="auto"/>
            <w:szCs w:val="20"/>
            <w:vertAlign w:val="superscript"/>
          </w:rPr>
          <w:t>17</w:t>
        </w:r>
      </w:hyperlink>
    </w:p>
    <w:p w:rsidR="007649DB" w:rsidRPr="00F01D45" w:rsidRDefault="007649DB" w:rsidP="007649DB">
      <w:pPr>
        <w:pStyle w:val="QS10"/>
        <w:rPr>
          <w:szCs w:val="20"/>
        </w:rPr>
      </w:pPr>
      <w:r w:rsidRPr="00F01D45">
        <w:rPr>
          <w:szCs w:val="20"/>
        </w:rPr>
        <w:t>The</w:t>
      </w:r>
      <w:r>
        <w:rPr>
          <w:szCs w:val="20"/>
        </w:rPr>
        <w:t xml:space="preserve"> </w:t>
      </w:r>
      <w:r w:rsidRPr="00F01D45">
        <w:rPr>
          <w:szCs w:val="20"/>
        </w:rPr>
        <w:t>problem</w:t>
      </w:r>
      <w:r>
        <w:rPr>
          <w:szCs w:val="20"/>
        </w:rPr>
        <w:t xml:space="preserve"> </w:t>
      </w:r>
      <w:r w:rsidRPr="00F01D45">
        <w:rPr>
          <w:szCs w:val="20"/>
        </w:rPr>
        <w:t>with</w:t>
      </w:r>
      <w:r>
        <w:rPr>
          <w:szCs w:val="20"/>
        </w:rPr>
        <w:t xml:space="preserve"> </w:t>
      </w:r>
      <w:r w:rsidRPr="00F01D45">
        <w:rPr>
          <w:szCs w:val="20"/>
        </w:rPr>
        <w:t>this</w:t>
      </w:r>
      <w:r>
        <w:rPr>
          <w:szCs w:val="20"/>
        </w:rPr>
        <w:t xml:space="preserve"> </w:t>
      </w:r>
      <w:r w:rsidRPr="00F01D45">
        <w:rPr>
          <w:szCs w:val="20"/>
        </w:rPr>
        <w:t>position,</w:t>
      </w:r>
      <w:r>
        <w:rPr>
          <w:szCs w:val="20"/>
        </w:rPr>
        <w:t xml:space="preserve"> </w:t>
      </w:r>
      <w:r w:rsidRPr="00F01D45">
        <w:rPr>
          <w:szCs w:val="20"/>
        </w:rPr>
        <w:t>however,</w:t>
      </w:r>
      <w:r>
        <w:rPr>
          <w:szCs w:val="20"/>
        </w:rPr>
        <w:t xml:space="preserve"> </w:t>
      </w:r>
      <w:r w:rsidRPr="00F01D45">
        <w:rPr>
          <w:szCs w:val="20"/>
        </w:rPr>
        <w:t>is</w:t>
      </w:r>
      <w:r>
        <w:rPr>
          <w:szCs w:val="20"/>
        </w:rPr>
        <w:t xml:space="preserve"> </w:t>
      </w:r>
      <w:r w:rsidRPr="00F01D45">
        <w:rPr>
          <w:szCs w:val="20"/>
        </w:rPr>
        <w:t>that</w:t>
      </w:r>
      <w:r>
        <w:rPr>
          <w:szCs w:val="20"/>
        </w:rPr>
        <w:t xml:space="preserve"> </w:t>
      </w:r>
      <w:r w:rsidRPr="00F01D45">
        <w:rPr>
          <w:szCs w:val="20"/>
        </w:rPr>
        <w:t>Treasury’s</w:t>
      </w:r>
      <w:r>
        <w:rPr>
          <w:szCs w:val="20"/>
        </w:rPr>
        <w:t xml:space="preserve"> </w:t>
      </w:r>
      <w:r w:rsidRPr="00F01D45">
        <w:rPr>
          <w:szCs w:val="20"/>
        </w:rPr>
        <w:t>conclusion</w:t>
      </w:r>
      <w:r>
        <w:rPr>
          <w:szCs w:val="20"/>
        </w:rPr>
        <w:t xml:space="preserve"> </w:t>
      </w:r>
      <w:r w:rsidRPr="00F01D45">
        <w:rPr>
          <w:szCs w:val="20"/>
        </w:rPr>
        <w:t>that</w:t>
      </w:r>
      <w:r>
        <w:rPr>
          <w:szCs w:val="20"/>
        </w:rPr>
        <w:t xml:space="preserve"> </w:t>
      </w:r>
      <w:r w:rsidRPr="00F01D45">
        <w:rPr>
          <w:szCs w:val="20"/>
        </w:rPr>
        <w:t>the</w:t>
      </w:r>
      <w:r>
        <w:rPr>
          <w:szCs w:val="20"/>
        </w:rPr>
        <w:t xml:space="preserve"> </w:t>
      </w:r>
      <w:r w:rsidRPr="00F01D45">
        <w:rPr>
          <w:szCs w:val="20"/>
        </w:rPr>
        <w:t>regulation</w:t>
      </w:r>
      <w:r>
        <w:rPr>
          <w:szCs w:val="20"/>
        </w:rPr>
        <w:t xml:space="preserve"> </w:t>
      </w:r>
      <w:r w:rsidRPr="00F01D45">
        <w:rPr>
          <w:szCs w:val="20"/>
        </w:rPr>
        <w:t>at</w:t>
      </w:r>
      <w:r>
        <w:rPr>
          <w:szCs w:val="20"/>
        </w:rPr>
        <w:t xml:space="preserve"> </w:t>
      </w:r>
      <w:r w:rsidRPr="00F01D45">
        <w:rPr>
          <w:szCs w:val="20"/>
        </w:rPr>
        <w:t>issue</w:t>
      </w:r>
      <w:r>
        <w:rPr>
          <w:szCs w:val="20"/>
        </w:rPr>
        <w:t xml:space="preserve"> </w:t>
      </w:r>
      <w:r w:rsidRPr="00F01D45">
        <w:rPr>
          <w:szCs w:val="20"/>
        </w:rPr>
        <w:t>here</w:t>
      </w:r>
      <w:r>
        <w:rPr>
          <w:szCs w:val="20"/>
        </w:rPr>
        <w:t xml:space="preserve"> </w:t>
      </w:r>
      <w:r w:rsidRPr="00F01D45">
        <w:rPr>
          <w:szCs w:val="20"/>
        </w:rPr>
        <w:t>did</w:t>
      </w:r>
      <w:r>
        <w:rPr>
          <w:szCs w:val="20"/>
        </w:rPr>
        <w:t xml:space="preserve"> </w:t>
      </w:r>
      <w:r w:rsidRPr="00F01D45">
        <w:rPr>
          <w:szCs w:val="20"/>
        </w:rPr>
        <w:t>not</w:t>
      </w:r>
      <w:r>
        <w:rPr>
          <w:szCs w:val="20"/>
        </w:rPr>
        <w:t xml:space="preserve"> </w:t>
      </w:r>
      <w:r w:rsidRPr="00F01D45">
        <w:rPr>
          <w:szCs w:val="20"/>
        </w:rPr>
        <w:t>require</w:t>
      </w:r>
      <w:r>
        <w:rPr>
          <w:szCs w:val="20"/>
        </w:rPr>
        <w:t xml:space="preserve"> </w:t>
      </w:r>
      <w:r w:rsidRPr="00F01D45">
        <w:rPr>
          <w:szCs w:val="20"/>
        </w:rPr>
        <w:t>notice</w:t>
      </w:r>
      <w:r>
        <w:rPr>
          <w:szCs w:val="20"/>
        </w:rPr>
        <w:t xml:space="preserve"> </w:t>
      </w:r>
      <w:r w:rsidRPr="00F01D45">
        <w:rPr>
          <w:szCs w:val="20"/>
        </w:rPr>
        <w:t>and</w:t>
      </w:r>
      <w:r>
        <w:rPr>
          <w:szCs w:val="20"/>
        </w:rPr>
        <w:t xml:space="preserve"> </w:t>
      </w:r>
      <w:r w:rsidRPr="00F01D45">
        <w:rPr>
          <w:szCs w:val="20"/>
        </w:rPr>
        <w:t>comment</w:t>
      </w:r>
      <w:r>
        <w:rPr>
          <w:szCs w:val="20"/>
        </w:rPr>
        <w:t xml:space="preserve"> </w:t>
      </w:r>
      <w:r w:rsidRPr="00F01D45">
        <w:rPr>
          <w:szCs w:val="20"/>
        </w:rPr>
        <w:t>was</w:t>
      </w:r>
      <w:r>
        <w:rPr>
          <w:szCs w:val="20"/>
        </w:rPr>
        <w:t xml:space="preserve"> </w:t>
      </w:r>
      <w:r w:rsidRPr="00F01D45">
        <w:rPr>
          <w:szCs w:val="20"/>
        </w:rPr>
        <w:t>mistaken,</w:t>
      </w:r>
      <w:r>
        <w:rPr>
          <w:szCs w:val="20"/>
        </w:rPr>
        <w:t xml:space="preserve"> </w:t>
      </w:r>
      <w:r w:rsidRPr="00F01D45">
        <w:rPr>
          <w:szCs w:val="20"/>
        </w:rPr>
        <w:t>as</w:t>
      </w:r>
      <w:r>
        <w:rPr>
          <w:szCs w:val="20"/>
        </w:rPr>
        <w:t xml:space="preserve"> </w:t>
      </w:r>
      <w:r w:rsidRPr="00F01D45">
        <w:rPr>
          <w:szCs w:val="20"/>
        </w:rPr>
        <w:t>the</w:t>
      </w:r>
      <w:r>
        <w:rPr>
          <w:szCs w:val="20"/>
        </w:rPr>
        <w:t xml:space="preserve"> </w:t>
      </w:r>
      <w:r w:rsidRPr="00F01D45">
        <w:rPr>
          <w:szCs w:val="20"/>
        </w:rPr>
        <w:t>opinion</w:t>
      </w:r>
      <w:r>
        <w:rPr>
          <w:szCs w:val="20"/>
        </w:rPr>
        <w:t xml:space="preserve"> </w:t>
      </w:r>
      <w:r w:rsidRPr="00F01D45">
        <w:rPr>
          <w:szCs w:val="20"/>
        </w:rPr>
        <w:t>of</w:t>
      </w:r>
      <w:r>
        <w:rPr>
          <w:szCs w:val="20"/>
        </w:rPr>
        <w:t xml:space="preserve"> </w:t>
      </w:r>
      <w:r w:rsidRPr="00F01D45">
        <w:rPr>
          <w:szCs w:val="20"/>
        </w:rPr>
        <w:t>the</w:t>
      </w:r>
      <w:r>
        <w:rPr>
          <w:szCs w:val="20"/>
        </w:rPr>
        <w:t xml:space="preserve"> </w:t>
      </w:r>
      <w:r w:rsidRPr="00F01D45">
        <w:rPr>
          <w:szCs w:val="20"/>
        </w:rPr>
        <w:t>Court</w:t>
      </w:r>
      <w:r>
        <w:rPr>
          <w:szCs w:val="20"/>
        </w:rPr>
        <w:t xml:space="preserve"> </w:t>
      </w:r>
      <w:r w:rsidRPr="00F01D45">
        <w:rPr>
          <w:szCs w:val="20"/>
        </w:rPr>
        <w:t>correctly</w:t>
      </w:r>
      <w:r>
        <w:rPr>
          <w:szCs w:val="20"/>
        </w:rPr>
        <w:t xml:space="preserve"> </w:t>
      </w:r>
      <w:r w:rsidRPr="00F01D45">
        <w:rPr>
          <w:szCs w:val="20"/>
        </w:rPr>
        <w:t>makes</w:t>
      </w:r>
      <w:r>
        <w:rPr>
          <w:szCs w:val="20"/>
        </w:rPr>
        <w:t xml:space="preserve"> </w:t>
      </w:r>
      <w:r w:rsidRPr="00F01D45">
        <w:rPr>
          <w:szCs w:val="20"/>
        </w:rPr>
        <w:t>clear</w:t>
      </w:r>
    </w:p>
    <w:p w:rsidR="007649DB" w:rsidRDefault="007649DB" w:rsidP="007649DB">
      <w:pPr>
        <w:pStyle w:val="QS10"/>
        <w:jc w:val="center"/>
      </w:pPr>
      <w:r>
        <w:t>***</w:t>
      </w:r>
    </w:p>
    <w:p w:rsidR="007649DB" w:rsidRPr="00F01D45" w:rsidRDefault="007649DB" w:rsidP="007649DB">
      <w:pPr>
        <w:pStyle w:val="QS10"/>
        <w:rPr>
          <w:szCs w:val="20"/>
        </w:rPr>
      </w:pPr>
      <w:r w:rsidRPr="00F01D45">
        <w:rPr>
          <w:szCs w:val="20"/>
        </w:rPr>
        <w:t>The</w:t>
      </w:r>
      <w:r>
        <w:rPr>
          <w:szCs w:val="20"/>
        </w:rPr>
        <w:t xml:space="preserve"> </w:t>
      </w:r>
      <w:r w:rsidRPr="00F01D45">
        <w:rPr>
          <w:szCs w:val="20"/>
        </w:rPr>
        <w:t>NYLC</w:t>
      </w:r>
      <w:r>
        <w:rPr>
          <w:szCs w:val="20"/>
        </w:rPr>
        <w:t xml:space="preserve"> </w:t>
      </w:r>
      <w:r w:rsidRPr="00F01D45">
        <w:rPr>
          <w:szCs w:val="20"/>
        </w:rPr>
        <w:t>Comment</w:t>
      </w:r>
      <w:r>
        <w:rPr>
          <w:szCs w:val="20"/>
        </w:rPr>
        <w:t xml:space="preserve"> </w:t>
      </w:r>
      <w:r w:rsidRPr="00F01D45">
        <w:rPr>
          <w:szCs w:val="20"/>
        </w:rPr>
        <w:t>Letter</w:t>
      </w:r>
      <w:r>
        <w:rPr>
          <w:szCs w:val="20"/>
        </w:rPr>
        <w:t xml:space="preserve"> </w:t>
      </w:r>
      <w:r w:rsidRPr="00F01D45">
        <w:rPr>
          <w:szCs w:val="20"/>
        </w:rPr>
        <w:t>in</w:t>
      </w:r>
      <w:r>
        <w:rPr>
          <w:szCs w:val="20"/>
        </w:rPr>
        <w:t xml:space="preserve"> </w:t>
      </w:r>
      <w:r w:rsidRPr="00F01D45">
        <w:rPr>
          <w:szCs w:val="20"/>
        </w:rPr>
        <w:t>effect</w:t>
      </w:r>
      <w:r>
        <w:rPr>
          <w:szCs w:val="20"/>
        </w:rPr>
        <w:t xml:space="preserve"> </w:t>
      </w:r>
      <w:r w:rsidRPr="00F01D45">
        <w:rPr>
          <w:szCs w:val="20"/>
        </w:rPr>
        <w:t>countered</w:t>
      </w:r>
      <w:r>
        <w:rPr>
          <w:szCs w:val="20"/>
        </w:rPr>
        <w:t xml:space="preserve"> </w:t>
      </w:r>
      <w:r w:rsidRPr="00F01D45">
        <w:rPr>
          <w:szCs w:val="20"/>
        </w:rPr>
        <w:t>that</w:t>
      </w:r>
      <w:r>
        <w:rPr>
          <w:szCs w:val="20"/>
        </w:rPr>
        <w:t xml:space="preserve"> </w:t>
      </w:r>
      <w:r w:rsidRPr="00F01D45">
        <w:rPr>
          <w:szCs w:val="20"/>
        </w:rPr>
        <w:t>the</w:t>
      </w:r>
      <w:r>
        <w:rPr>
          <w:szCs w:val="20"/>
        </w:rPr>
        <w:t xml:space="preserve"> </w:t>
      </w:r>
      <w:r w:rsidRPr="00F01D45">
        <w:rPr>
          <w:szCs w:val="20"/>
        </w:rPr>
        <w:t>proposed</w:t>
      </w:r>
      <w:r>
        <w:rPr>
          <w:szCs w:val="20"/>
        </w:rPr>
        <w:t xml:space="preserve"> </w:t>
      </w:r>
      <w:r w:rsidRPr="00F01D45">
        <w:rPr>
          <w:szCs w:val="20"/>
        </w:rPr>
        <w:t>rule</w:t>
      </w:r>
      <w:r>
        <w:rPr>
          <w:szCs w:val="20"/>
        </w:rPr>
        <w:t xml:space="preserve"> </w:t>
      </w:r>
      <w:r w:rsidRPr="00F01D45">
        <w:rPr>
          <w:szCs w:val="20"/>
        </w:rPr>
        <w:t>on</w:t>
      </w:r>
      <w:r>
        <w:rPr>
          <w:szCs w:val="20"/>
        </w:rPr>
        <w:t xml:space="preserve"> </w:t>
      </w:r>
      <w:r w:rsidRPr="00F01D45">
        <w:rPr>
          <w:szCs w:val="20"/>
        </w:rPr>
        <w:t>future</w:t>
      </w:r>
      <w:r>
        <w:rPr>
          <w:szCs w:val="20"/>
        </w:rPr>
        <w:t xml:space="preserve"> </w:t>
      </w:r>
      <w:r w:rsidRPr="00F01D45">
        <w:rPr>
          <w:szCs w:val="20"/>
        </w:rPr>
        <w:t>donor</w:t>
      </w:r>
      <w:r>
        <w:rPr>
          <w:szCs w:val="20"/>
        </w:rPr>
        <w:t xml:space="preserve"> </w:t>
      </w:r>
      <w:r w:rsidRPr="00F01D45">
        <w:rPr>
          <w:szCs w:val="20"/>
        </w:rPr>
        <w:t>improvements</w:t>
      </w:r>
      <w:r>
        <w:rPr>
          <w:szCs w:val="20"/>
        </w:rPr>
        <w:t xml:space="preserve"> </w:t>
      </w:r>
      <w:r w:rsidRPr="00F01D45">
        <w:rPr>
          <w:szCs w:val="20"/>
        </w:rPr>
        <w:t>was</w:t>
      </w:r>
      <w:r>
        <w:rPr>
          <w:szCs w:val="20"/>
        </w:rPr>
        <w:t xml:space="preserve"> </w:t>
      </w:r>
      <w:r w:rsidRPr="00F01D45">
        <w:rPr>
          <w:szCs w:val="20"/>
        </w:rPr>
        <w:t>contrary</w:t>
      </w:r>
      <w:r>
        <w:rPr>
          <w:szCs w:val="20"/>
        </w:rPr>
        <w:t xml:space="preserve"> </w:t>
      </w:r>
      <w:r w:rsidRPr="00F01D45">
        <w:rPr>
          <w:szCs w:val="20"/>
        </w:rPr>
        <w:t>to</w:t>
      </w:r>
      <w:r>
        <w:rPr>
          <w:szCs w:val="20"/>
        </w:rPr>
        <w:t xml:space="preserve"> </w:t>
      </w:r>
      <w:r w:rsidRPr="00F01D45">
        <w:rPr>
          <w:szCs w:val="20"/>
        </w:rPr>
        <w:t>those</w:t>
      </w:r>
      <w:r>
        <w:rPr>
          <w:szCs w:val="20"/>
        </w:rPr>
        <w:t xml:space="preserve"> </w:t>
      </w:r>
      <w:r w:rsidRPr="00F01D45">
        <w:rPr>
          <w:szCs w:val="20"/>
        </w:rPr>
        <w:t>policy</w:t>
      </w:r>
      <w:r>
        <w:rPr>
          <w:szCs w:val="20"/>
        </w:rPr>
        <w:t xml:space="preserve"> </w:t>
      </w:r>
      <w:r w:rsidRPr="00F01D45">
        <w:rPr>
          <w:szCs w:val="20"/>
        </w:rPr>
        <w:t>decisions,</w:t>
      </w:r>
      <w:r>
        <w:rPr>
          <w:szCs w:val="20"/>
        </w:rPr>
        <w:t xml:space="preserve"> </w:t>
      </w:r>
      <w:r w:rsidRPr="00F01D45">
        <w:rPr>
          <w:szCs w:val="20"/>
        </w:rPr>
        <w:t>would</w:t>
      </w:r>
      <w:r>
        <w:rPr>
          <w:szCs w:val="20"/>
        </w:rPr>
        <w:t xml:space="preserve"> </w:t>
      </w:r>
      <w:r w:rsidRPr="00F01D45">
        <w:rPr>
          <w:szCs w:val="20"/>
        </w:rPr>
        <w:t>lead</w:t>
      </w:r>
      <w:r>
        <w:rPr>
          <w:szCs w:val="20"/>
        </w:rPr>
        <w:t xml:space="preserve"> </w:t>
      </w:r>
      <w:r w:rsidRPr="00F01D45">
        <w:rPr>
          <w:szCs w:val="20"/>
        </w:rPr>
        <w:t>to</w:t>
      </w:r>
      <w:r>
        <w:rPr>
          <w:szCs w:val="20"/>
        </w:rPr>
        <w:t xml:space="preserve"> </w:t>
      </w:r>
      <w:r w:rsidRPr="00F01D45">
        <w:rPr>
          <w:szCs w:val="20"/>
        </w:rPr>
        <w:t>inequitable</w:t>
      </w:r>
      <w:r>
        <w:rPr>
          <w:szCs w:val="20"/>
        </w:rPr>
        <w:t xml:space="preserve"> </w:t>
      </w:r>
      <w:r w:rsidRPr="00F01D45">
        <w:rPr>
          <w:szCs w:val="20"/>
        </w:rPr>
        <w:t>results</w:t>
      </w:r>
      <w:r>
        <w:rPr>
          <w:szCs w:val="20"/>
        </w:rPr>
        <w:t xml:space="preserve"> </w:t>
      </w:r>
      <w:r w:rsidRPr="00F01D45">
        <w:rPr>
          <w:szCs w:val="20"/>
        </w:rPr>
        <w:t>that</w:t>
      </w:r>
      <w:r>
        <w:rPr>
          <w:szCs w:val="20"/>
        </w:rPr>
        <w:t xml:space="preserve"> </w:t>
      </w:r>
      <w:r w:rsidRPr="00F01D45">
        <w:rPr>
          <w:szCs w:val="20"/>
        </w:rPr>
        <w:t>were</w:t>
      </w:r>
      <w:r>
        <w:rPr>
          <w:szCs w:val="20"/>
        </w:rPr>
        <w:t xml:space="preserve"> </w:t>
      </w:r>
      <w:r w:rsidRPr="00F01D45">
        <w:rPr>
          <w:szCs w:val="20"/>
        </w:rPr>
        <w:t>inconsistent</w:t>
      </w:r>
      <w:r>
        <w:rPr>
          <w:szCs w:val="20"/>
        </w:rPr>
        <w:t xml:space="preserve"> </w:t>
      </w:r>
      <w:r w:rsidRPr="00F01D45">
        <w:rPr>
          <w:szCs w:val="20"/>
        </w:rPr>
        <w:t>with</w:t>
      </w:r>
      <w:r>
        <w:rPr>
          <w:szCs w:val="20"/>
        </w:rPr>
        <w:t xml:space="preserve"> </w:t>
      </w:r>
      <w:r w:rsidRPr="00F01D45">
        <w:rPr>
          <w:szCs w:val="20"/>
        </w:rPr>
        <w:t>the</w:t>
      </w:r>
      <w:r>
        <w:rPr>
          <w:szCs w:val="20"/>
        </w:rPr>
        <w:t xml:space="preserve"> </w:t>
      </w:r>
      <w:r w:rsidRPr="00F01D45">
        <w:rPr>
          <w:szCs w:val="20"/>
        </w:rPr>
        <w:t>statute,</w:t>
      </w:r>
      <w:r>
        <w:rPr>
          <w:szCs w:val="20"/>
        </w:rPr>
        <w:t xml:space="preserve"> </w:t>
      </w:r>
      <w:r w:rsidRPr="00F01D45">
        <w:rPr>
          <w:szCs w:val="20"/>
        </w:rPr>
        <w:t>and</w:t>
      </w:r>
      <w:r>
        <w:rPr>
          <w:szCs w:val="20"/>
        </w:rPr>
        <w:t xml:space="preserve"> </w:t>
      </w:r>
      <w:r w:rsidRPr="00F01D45">
        <w:rPr>
          <w:szCs w:val="20"/>
        </w:rPr>
        <w:t>would</w:t>
      </w:r>
      <w:r>
        <w:rPr>
          <w:szCs w:val="20"/>
        </w:rPr>
        <w:t xml:space="preserve"> </w:t>
      </w:r>
      <w:r w:rsidRPr="00F01D45">
        <w:rPr>
          <w:szCs w:val="20"/>
        </w:rPr>
        <w:t>deter</w:t>
      </w:r>
      <w:r>
        <w:rPr>
          <w:szCs w:val="20"/>
        </w:rPr>
        <w:t xml:space="preserve"> </w:t>
      </w:r>
      <w:r w:rsidRPr="00F01D45">
        <w:rPr>
          <w:szCs w:val="20"/>
        </w:rPr>
        <w:t>future</w:t>
      </w:r>
      <w:r>
        <w:rPr>
          <w:szCs w:val="20"/>
        </w:rPr>
        <w:t xml:space="preserve"> </w:t>
      </w:r>
      <w:r w:rsidRPr="00F01D45">
        <w:rPr>
          <w:szCs w:val="20"/>
        </w:rPr>
        <w:t>contributions.</w:t>
      </w:r>
      <w:r>
        <w:rPr>
          <w:szCs w:val="20"/>
        </w:rPr>
        <w:t xml:space="preserve"> </w:t>
      </w:r>
      <w:r w:rsidRPr="00F01D45">
        <w:rPr>
          <w:szCs w:val="20"/>
        </w:rPr>
        <w:t>In</w:t>
      </w:r>
      <w:r>
        <w:rPr>
          <w:szCs w:val="20"/>
        </w:rPr>
        <w:t xml:space="preserve"> </w:t>
      </w:r>
      <w:r w:rsidRPr="00F01D45">
        <w:rPr>
          <w:szCs w:val="20"/>
        </w:rPr>
        <w:t>short,</w:t>
      </w:r>
      <w:r>
        <w:rPr>
          <w:szCs w:val="20"/>
        </w:rPr>
        <w:t xml:space="preserve"> </w:t>
      </w:r>
      <w:r w:rsidRPr="00F01D45">
        <w:rPr>
          <w:szCs w:val="20"/>
        </w:rPr>
        <w:t>the</w:t>
      </w:r>
      <w:r>
        <w:rPr>
          <w:szCs w:val="20"/>
        </w:rPr>
        <w:t xml:space="preserve"> </w:t>
      </w:r>
      <w:r w:rsidRPr="00F01D45">
        <w:rPr>
          <w:szCs w:val="20"/>
        </w:rPr>
        <w:t>NYLC</w:t>
      </w:r>
      <w:r>
        <w:rPr>
          <w:szCs w:val="20"/>
        </w:rPr>
        <w:t xml:space="preserve"> </w:t>
      </w:r>
      <w:r w:rsidRPr="00F01D45">
        <w:rPr>
          <w:szCs w:val="20"/>
        </w:rPr>
        <w:t>Comment</w:t>
      </w:r>
      <w:r>
        <w:rPr>
          <w:szCs w:val="20"/>
        </w:rPr>
        <w:t xml:space="preserve"> </w:t>
      </w:r>
      <w:r w:rsidRPr="00F01D45">
        <w:rPr>
          <w:szCs w:val="20"/>
        </w:rPr>
        <w:t>Letter</w:t>
      </w:r>
      <w:r>
        <w:rPr>
          <w:szCs w:val="20"/>
        </w:rPr>
        <w:t xml:space="preserve"> </w:t>
      </w:r>
      <w:r w:rsidRPr="00F01D45">
        <w:rPr>
          <w:szCs w:val="20"/>
        </w:rPr>
        <w:t>offered</w:t>
      </w:r>
      <w:r>
        <w:rPr>
          <w:szCs w:val="20"/>
        </w:rPr>
        <w:t xml:space="preserve"> </w:t>
      </w:r>
      <w:r w:rsidRPr="00F01D45">
        <w:rPr>
          <w:szCs w:val="20"/>
        </w:rPr>
        <w:t>comments</w:t>
      </w:r>
      <w:r>
        <w:rPr>
          <w:szCs w:val="20"/>
        </w:rPr>
        <w:t xml:space="preserve"> </w:t>
      </w:r>
      <w:r w:rsidRPr="00F01D45">
        <w:rPr>
          <w:szCs w:val="20"/>
        </w:rPr>
        <w:t>that,</w:t>
      </w:r>
      <w:r>
        <w:rPr>
          <w:szCs w:val="20"/>
        </w:rPr>
        <w:t xml:space="preserve"> </w:t>
      </w:r>
      <w:r w:rsidRPr="00F01D45">
        <w:rPr>
          <w:szCs w:val="20"/>
        </w:rPr>
        <w:t>“if</w:t>
      </w:r>
      <w:r>
        <w:rPr>
          <w:szCs w:val="20"/>
        </w:rPr>
        <w:t xml:space="preserve"> </w:t>
      </w:r>
      <w:r w:rsidRPr="00F01D45">
        <w:rPr>
          <w:szCs w:val="20"/>
        </w:rPr>
        <w:t>adopted,</w:t>
      </w:r>
      <w:r>
        <w:rPr>
          <w:szCs w:val="20"/>
        </w:rPr>
        <w:t xml:space="preserve"> </w:t>
      </w:r>
      <w:r w:rsidRPr="00F01D45">
        <w:rPr>
          <w:szCs w:val="20"/>
        </w:rPr>
        <w:t>would</w:t>
      </w:r>
      <w:r>
        <w:rPr>
          <w:szCs w:val="20"/>
        </w:rPr>
        <w:t xml:space="preserve"> </w:t>
      </w:r>
      <w:r w:rsidRPr="00F01D45">
        <w:rPr>
          <w:szCs w:val="20"/>
        </w:rPr>
        <w:t>require</w:t>
      </w:r>
      <w:r>
        <w:rPr>
          <w:szCs w:val="20"/>
        </w:rPr>
        <w:t xml:space="preserve"> </w:t>
      </w:r>
      <w:r w:rsidRPr="00F01D45">
        <w:rPr>
          <w:szCs w:val="20"/>
        </w:rPr>
        <w:t>a</w:t>
      </w:r>
      <w:r>
        <w:rPr>
          <w:szCs w:val="20"/>
        </w:rPr>
        <w:t xml:space="preserve"> </w:t>
      </w:r>
      <w:r w:rsidRPr="00F01D45">
        <w:rPr>
          <w:szCs w:val="20"/>
        </w:rPr>
        <w:t>change</w:t>
      </w:r>
      <w:r>
        <w:rPr>
          <w:szCs w:val="20"/>
        </w:rPr>
        <w:t xml:space="preserve"> </w:t>
      </w:r>
      <w:r w:rsidRPr="00F01D45">
        <w:rPr>
          <w:szCs w:val="20"/>
        </w:rPr>
        <w:t>in</w:t>
      </w:r>
      <w:r>
        <w:rPr>
          <w:szCs w:val="20"/>
        </w:rPr>
        <w:t xml:space="preserve"> </w:t>
      </w:r>
      <w:r w:rsidRPr="00F01D45">
        <w:rPr>
          <w:szCs w:val="20"/>
        </w:rPr>
        <w:t>an</w:t>
      </w:r>
      <w:r>
        <w:rPr>
          <w:szCs w:val="20"/>
        </w:rPr>
        <w:t xml:space="preserve"> </w:t>
      </w:r>
      <w:r w:rsidRPr="00F01D45">
        <w:rPr>
          <w:szCs w:val="20"/>
        </w:rPr>
        <w:t>agency’s</w:t>
      </w:r>
      <w:r>
        <w:rPr>
          <w:szCs w:val="20"/>
        </w:rPr>
        <w:t xml:space="preserve"> </w:t>
      </w:r>
      <w:r w:rsidRPr="00F01D45">
        <w:rPr>
          <w:szCs w:val="20"/>
        </w:rPr>
        <w:t>proposed</w:t>
      </w:r>
      <w:r>
        <w:rPr>
          <w:szCs w:val="20"/>
        </w:rPr>
        <w:t xml:space="preserve"> </w:t>
      </w:r>
      <w:r w:rsidRPr="00F01D45">
        <w:rPr>
          <w:szCs w:val="20"/>
        </w:rPr>
        <w:t>rule.”</w:t>
      </w:r>
      <w:r>
        <w:rPr>
          <w:szCs w:val="20"/>
        </w:rPr>
        <w:t xml:space="preserve"> </w:t>
      </w:r>
      <w:r w:rsidRPr="00F01D45">
        <w:rPr>
          <w:szCs w:val="20"/>
          <w:u w:val="single"/>
        </w:rPr>
        <w:t>Home</w:t>
      </w:r>
      <w:r>
        <w:rPr>
          <w:szCs w:val="20"/>
          <w:u w:val="single"/>
        </w:rPr>
        <w:t xml:space="preserve"> </w:t>
      </w:r>
      <w:r w:rsidRPr="00F01D45">
        <w:rPr>
          <w:szCs w:val="20"/>
          <w:u w:val="single"/>
        </w:rPr>
        <w:t>Box</w:t>
      </w:r>
      <w:r>
        <w:rPr>
          <w:szCs w:val="20"/>
        </w:rPr>
        <w:t xml:space="preserve"> </w:t>
      </w:r>
      <w:r w:rsidRPr="00F01D45">
        <w:rPr>
          <w:szCs w:val="20"/>
          <w:u w:val="single"/>
        </w:rPr>
        <w:t>Office</w:t>
      </w:r>
      <w:r w:rsidRPr="00F01D45">
        <w:rPr>
          <w:szCs w:val="20"/>
        </w:rPr>
        <w:t>,</w:t>
      </w:r>
      <w:r>
        <w:rPr>
          <w:szCs w:val="20"/>
        </w:rPr>
        <w:t xml:space="preserve"> </w:t>
      </w:r>
      <w:r w:rsidRPr="00F01D45">
        <w:rPr>
          <w:szCs w:val="20"/>
        </w:rPr>
        <w:t>567</w:t>
      </w:r>
      <w:r>
        <w:rPr>
          <w:szCs w:val="20"/>
        </w:rPr>
        <w:t xml:space="preserve"> </w:t>
      </w:r>
      <w:r w:rsidRPr="00F01D45">
        <w:rPr>
          <w:szCs w:val="20"/>
        </w:rPr>
        <w:t>F.2d</w:t>
      </w:r>
      <w:r>
        <w:rPr>
          <w:szCs w:val="20"/>
        </w:rPr>
        <w:t xml:space="preserve"> </w:t>
      </w:r>
      <w:r w:rsidRPr="00F01D45">
        <w:rPr>
          <w:szCs w:val="20"/>
        </w:rPr>
        <w:t>at</w:t>
      </w:r>
      <w:r>
        <w:rPr>
          <w:szCs w:val="20"/>
        </w:rPr>
        <w:t xml:space="preserve"> </w:t>
      </w:r>
      <w:r w:rsidRPr="00F01D45">
        <w:rPr>
          <w:szCs w:val="20"/>
        </w:rPr>
        <w:t>35</w:t>
      </w:r>
      <w:r>
        <w:rPr>
          <w:szCs w:val="20"/>
        </w:rPr>
        <w:t xml:space="preserve"> </w:t>
      </w:r>
      <w:r w:rsidRPr="00F01D45">
        <w:rPr>
          <w:szCs w:val="20"/>
        </w:rPr>
        <w:t>n.58.</w:t>
      </w:r>
      <w:r>
        <w:rPr>
          <w:szCs w:val="20"/>
        </w:rPr>
        <w:t xml:space="preserve"> </w:t>
      </w:r>
      <w:r w:rsidRPr="00F01D45">
        <w:rPr>
          <w:szCs w:val="20"/>
        </w:rPr>
        <w:t>Those</w:t>
      </w:r>
      <w:r>
        <w:rPr>
          <w:szCs w:val="20"/>
        </w:rPr>
        <w:t xml:space="preserve"> </w:t>
      </w:r>
      <w:r w:rsidRPr="00F01D45">
        <w:rPr>
          <w:szCs w:val="20"/>
        </w:rPr>
        <w:t>comments</w:t>
      </w:r>
      <w:r>
        <w:rPr>
          <w:szCs w:val="20"/>
        </w:rPr>
        <w:t xml:space="preserve"> </w:t>
      </w:r>
      <w:r w:rsidRPr="00F01D45">
        <w:rPr>
          <w:szCs w:val="20"/>
        </w:rPr>
        <w:t>were</w:t>
      </w:r>
      <w:r>
        <w:rPr>
          <w:szCs w:val="20"/>
        </w:rPr>
        <w:t xml:space="preserve"> </w:t>
      </w:r>
      <w:r w:rsidRPr="00F01D45">
        <w:rPr>
          <w:szCs w:val="20"/>
        </w:rPr>
        <w:t>both</w:t>
      </w:r>
      <w:r>
        <w:rPr>
          <w:szCs w:val="20"/>
        </w:rPr>
        <w:t xml:space="preserve"> </w:t>
      </w:r>
      <w:r w:rsidRPr="00F01D45">
        <w:rPr>
          <w:szCs w:val="20"/>
        </w:rPr>
        <w:t>“relevant</w:t>
      </w:r>
      <w:r>
        <w:rPr>
          <w:szCs w:val="20"/>
        </w:rPr>
        <w:t xml:space="preserve"> </w:t>
      </w:r>
      <w:r w:rsidRPr="00F01D45">
        <w:rPr>
          <w:szCs w:val="20"/>
        </w:rPr>
        <w:t>and</w:t>
      </w:r>
      <w:r>
        <w:rPr>
          <w:szCs w:val="20"/>
        </w:rPr>
        <w:t xml:space="preserve"> </w:t>
      </w:r>
      <w:r w:rsidRPr="00F01D45">
        <w:rPr>
          <w:szCs w:val="20"/>
        </w:rPr>
        <w:t>significant,”</w:t>
      </w:r>
      <w:r>
        <w:rPr>
          <w:szCs w:val="20"/>
        </w:rPr>
        <w:t xml:space="preserve"> </w:t>
      </w:r>
      <w:r w:rsidRPr="00F01D45">
        <w:rPr>
          <w:szCs w:val="20"/>
        </w:rPr>
        <w:t>requiring</w:t>
      </w:r>
      <w:r>
        <w:rPr>
          <w:szCs w:val="20"/>
        </w:rPr>
        <w:t xml:space="preserve"> </w:t>
      </w:r>
      <w:r w:rsidRPr="00F01D45">
        <w:rPr>
          <w:szCs w:val="20"/>
        </w:rPr>
        <w:t>a</w:t>
      </w:r>
      <w:r>
        <w:rPr>
          <w:szCs w:val="20"/>
        </w:rPr>
        <w:t xml:space="preserve"> </w:t>
      </w:r>
      <w:r w:rsidRPr="00F01D45">
        <w:rPr>
          <w:szCs w:val="20"/>
        </w:rPr>
        <w:t>response.</w:t>
      </w:r>
      <w:r>
        <w:rPr>
          <w:szCs w:val="20"/>
        </w:rPr>
        <w:t xml:space="preserve"> </w:t>
      </w:r>
      <w:r w:rsidRPr="00F01D45">
        <w:rPr>
          <w:szCs w:val="20"/>
          <w:u w:val="single"/>
        </w:rPr>
        <w:t>Grand</w:t>
      </w:r>
      <w:r>
        <w:rPr>
          <w:szCs w:val="20"/>
          <w:u w:val="single"/>
        </w:rPr>
        <w:t xml:space="preserve"> </w:t>
      </w:r>
      <w:r w:rsidRPr="00F01D45">
        <w:rPr>
          <w:szCs w:val="20"/>
          <w:u w:val="single"/>
        </w:rPr>
        <w:t>Canyon</w:t>
      </w:r>
      <w:r w:rsidRPr="00F01D45">
        <w:rPr>
          <w:szCs w:val="20"/>
        </w:rPr>
        <w:t>,</w:t>
      </w:r>
      <w:r>
        <w:rPr>
          <w:szCs w:val="20"/>
        </w:rPr>
        <w:t xml:space="preserve"> </w:t>
      </w:r>
      <w:r w:rsidRPr="00F01D45">
        <w:rPr>
          <w:szCs w:val="20"/>
        </w:rPr>
        <w:t>154</w:t>
      </w:r>
      <w:r>
        <w:rPr>
          <w:szCs w:val="20"/>
        </w:rPr>
        <w:t xml:space="preserve"> </w:t>
      </w:r>
      <w:r w:rsidRPr="00F01D45">
        <w:rPr>
          <w:szCs w:val="20"/>
        </w:rPr>
        <w:t>F.3d</w:t>
      </w:r>
      <w:r>
        <w:rPr>
          <w:szCs w:val="20"/>
        </w:rPr>
        <w:t xml:space="preserve"> </w:t>
      </w:r>
      <w:r w:rsidRPr="00F01D45">
        <w:rPr>
          <w:szCs w:val="20"/>
        </w:rPr>
        <w:t>at</w:t>
      </w:r>
      <w:r>
        <w:rPr>
          <w:szCs w:val="20"/>
        </w:rPr>
        <w:t xml:space="preserve"> </w:t>
      </w:r>
      <w:r w:rsidRPr="00F01D45">
        <w:rPr>
          <w:szCs w:val="20"/>
        </w:rPr>
        <w:t>468;</w:t>
      </w:r>
      <w:r>
        <w:rPr>
          <w:szCs w:val="20"/>
        </w:rPr>
        <w:t xml:space="preserve"> </w:t>
      </w:r>
      <w:r w:rsidRPr="00F01D45">
        <w:rPr>
          <w:szCs w:val="20"/>
          <w:u w:val="single"/>
        </w:rPr>
        <w:t>accord</w:t>
      </w:r>
      <w:r>
        <w:rPr>
          <w:szCs w:val="20"/>
        </w:rPr>
        <w:t xml:space="preserve"> </w:t>
      </w:r>
      <w:r w:rsidRPr="00F01D45">
        <w:rPr>
          <w:szCs w:val="20"/>
          <w:u w:val="single"/>
        </w:rPr>
        <w:t>Carlson</w:t>
      </w:r>
      <w:r w:rsidRPr="00F01D45">
        <w:rPr>
          <w:szCs w:val="20"/>
        </w:rPr>
        <w:t>,</w:t>
      </w:r>
      <w:r>
        <w:rPr>
          <w:szCs w:val="20"/>
        </w:rPr>
        <w:t xml:space="preserve"> </w:t>
      </w:r>
      <w:r w:rsidRPr="00F01D45">
        <w:rPr>
          <w:szCs w:val="20"/>
        </w:rPr>
        <w:t>938</w:t>
      </w:r>
      <w:r>
        <w:rPr>
          <w:szCs w:val="20"/>
        </w:rPr>
        <w:t xml:space="preserve"> </w:t>
      </w:r>
      <w:r w:rsidRPr="00F01D45">
        <w:rPr>
          <w:szCs w:val="20"/>
        </w:rPr>
        <w:t>F.3d</w:t>
      </w:r>
      <w:r>
        <w:rPr>
          <w:szCs w:val="20"/>
        </w:rPr>
        <w:t xml:space="preserve"> </w:t>
      </w:r>
      <w:r w:rsidRPr="00F01D45">
        <w:rPr>
          <w:szCs w:val="20"/>
        </w:rPr>
        <w:t>at</w:t>
      </w:r>
      <w:r>
        <w:rPr>
          <w:szCs w:val="20"/>
        </w:rPr>
        <w:t xml:space="preserve"> </w:t>
      </w:r>
      <w:r w:rsidRPr="00F01D45">
        <w:rPr>
          <w:szCs w:val="20"/>
        </w:rPr>
        <w:t>343-344.</w:t>
      </w:r>
    </w:p>
    <w:p w:rsidR="007649DB" w:rsidRPr="00F01D45" w:rsidRDefault="007649DB" w:rsidP="007649DB">
      <w:pPr>
        <w:pStyle w:val="QS10"/>
        <w:rPr>
          <w:szCs w:val="20"/>
        </w:rPr>
      </w:pPr>
      <w:r w:rsidRPr="00F01D45">
        <w:rPr>
          <w:szCs w:val="20"/>
        </w:rPr>
        <w:t>Unfortunately,</w:t>
      </w:r>
      <w:r>
        <w:rPr>
          <w:szCs w:val="20"/>
        </w:rPr>
        <w:t xml:space="preserve"> </w:t>
      </w:r>
      <w:r w:rsidRPr="00F01D45">
        <w:rPr>
          <w:szCs w:val="20"/>
        </w:rPr>
        <w:t>however,</w:t>
      </w:r>
      <w:r>
        <w:rPr>
          <w:szCs w:val="20"/>
        </w:rPr>
        <w:t xml:space="preserve"> </w:t>
      </w:r>
      <w:r w:rsidRPr="00F01D45">
        <w:rPr>
          <w:szCs w:val="20"/>
        </w:rPr>
        <w:t>the</w:t>
      </w:r>
      <w:r>
        <w:rPr>
          <w:szCs w:val="20"/>
        </w:rPr>
        <w:t xml:space="preserve"> </w:t>
      </w:r>
      <w:r w:rsidRPr="00F01D45">
        <w:rPr>
          <w:szCs w:val="20"/>
        </w:rPr>
        <w:t>Treasury</w:t>
      </w:r>
      <w:r>
        <w:rPr>
          <w:szCs w:val="20"/>
        </w:rPr>
        <w:t xml:space="preserve"> </w:t>
      </w:r>
      <w:r w:rsidRPr="00F01D45">
        <w:rPr>
          <w:szCs w:val="20"/>
        </w:rPr>
        <w:t>Decision</w:t>
      </w:r>
      <w:r>
        <w:rPr>
          <w:szCs w:val="20"/>
        </w:rPr>
        <w:t xml:space="preserve"> </w:t>
      </w:r>
      <w:r w:rsidRPr="00F01D45">
        <w:rPr>
          <w:szCs w:val="20"/>
        </w:rPr>
        <w:t>finalizing</w:t>
      </w:r>
      <w:r>
        <w:rPr>
          <w:szCs w:val="20"/>
        </w:rPr>
        <w:t xml:space="preserve"> </w:t>
      </w:r>
      <w:r w:rsidRPr="00F01D45">
        <w:rPr>
          <w:szCs w:val="20"/>
        </w:rPr>
        <w:t>the</w:t>
      </w:r>
      <w:r>
        <w:rPr>
          <w:szCs w:val="20"/>
        </w:rPr>
        <w:t xml:space="preserve"> </w:t>
      </w:r>
      <w:r w:rsidRPr="00F01D45">
        <w:rPr>
          <w:szCs w:val="20"/>
        </w:rPr>
        <w:t>regulations</w:t>
      </w:r>
      <w:r>
        <w:rPr>
          <w:szCs w:val="20"/>
        </w:rPr>
        <w:t xml:space="preserve"> </w:t>
      </w:r>
      <w:r w:rsidRPr="00F01D45">
        <w:rPr>
          <w:szCs w:val="20"/>
        </w:rPr>
        <w:t>contains</w:t>
      </w:r>
      <w:r>
        <w:rPr>
          <w:szCs w:val="20"/>
        </w:rPr>
        <w:t xml:space="preserve"> </w:t>
      </w:r>
      <w:r w:rsidRPr="00F01D45">
        <w:rPr>
          <w:szCs w:val="20"/>
        </w:rPr>
        <w:t>no</w:t>
      </w:r>
      <w:r>
        <w:rPr>
          <w:szCs w:val="20"/>
        </w:rPr>
        <w:t xml:space="preserve"> </w:t>
      </w:r>
      <w:r w:rsidRPr="00F01D45">
        <w:rPr>
          <w:szCs w:val="20"/>
        </w:rPr>
        <w:t>such</w:t>
      </w:r>
      <w:r>
        <w:rPr>
          <w:szCs w:val="20"/>
        </w:rPr>
        <w:t xml:space="preserve"> </w:t>
      </w:r>
      <w:r w:rsidRPr="00F01D45">
        <w:rPr>
          <w:szCs w:val="20"/>
        </w:rPr>
        <w:t>response.</w:t>
      </w:r>
      <w:r>
        <w:rPr>
          <w:szCs w:val="20"/>
        </w:rPr>
        <w:t xml:space="preserve"> </w:t>
      </w:r>
      <w:r w:rsidRPr="00F01D45">
        <w:rPr>
          <w:szCs w:val="20"/>
        </w:rPr>
        <w:t>The</w:t>
      </w:r>
      <w:r>
        <w:rPr>
          <w:szCs w:val="20"/>
        </w:rPr>
        <w:t xml:space="preserve"> </w:t>
      </w:r>
      <w:r w:rsidRPr="00F01D45">
        <w:rPr>
          <w:szCs w:val="20"/>
        </w:rPr>
        <w:t>Treasury</w:t>
      </w:r>
      <w:r>
        <w:rPr>
          <w:szCs w:val="20"/>
        </w:rPr>
        <w:t xml:space="preserve"> </w:t>
      </w:r>
      <w:r w:rsidRPr="00F01D45">
        <w:rPr>
          <w:szCs w:val="20"/>
        </w:rPr>
        <w:t>Decision</w:t>
      </w:r>
      <w:r>
        <w:rPr>
          <w:szCs w:val="20"/>
        </w:rPr>
        <w:t xml:space="preserve"> </w:t>
      </w:r>
      <w:r w:rsidRPr="00F01D45">
        <w:rPr>
          <w:szCs w:val="20"/>
        </w:rPr>
        <w:t>changed</w:t>
      </w:r>
      <w:r>
        <w:rPr>
          <w:szCs w:val="20"/>
        </w:rPr>
        <w:t xml:space="preserve"> </w:t>
      </w:r>
      <w:r w:rsidRPr="00F01D45">
        <w:rPr>
          <w:szCs w:val="20"/>
        </w:rPr>
        <w:t>the</w:t>
      </w:r>
      <w:r>
        <w:rPr>
          <w:szCs w:val="20"/>
        </w:rPr>
        <w:t xml:space="preserve"> </w:t>
      </w:r>
      <w:r w:rsidRPr="00F01D45">
        <w:rPr>
          <w:szCs w:val="20"/>
        </w:rPr>
        <w:t>sentence</w:t>
      </w:r>
      <w:r>
        <w:rPr>
          <w:szCs w:val="20"/>
        </w:rPr>
        <w:t xml:space="preserve"> </w:t>
      </w:r>
      <w:r w:rsidRPr="00F01D45">
        <w:rPr>
          <w:szCs w:val="20"/>
        </w:rPr>
        <w:t>on</w:t>
      </w:r>
      <w:r>
        <w:rPr>
          <w:szCs w:val="20"/>
        </w:rPr>
        <w:t xml:space="preserve"> </w:t>
      </w:r>
      <w:r w:rsidRPr="00F01D45">
        <w:rPr>
          <w:szCs w:val="20"/>
        </w:rPr>
        <w:t>which</w:t>
      </w:r>
      <w:r>
        <w:rPr>
          <w:szCs w:val="20"/>
        </w:rPr>
        <w:t xml:space="preserve"> </w:t>
      </w:r>
      <w:r w:rsidRPr="00F01D45">
        <w:rPr>
          <w:szCs w:val="20"/>
        </w:rPr>
        <w:t>the</w:t>
      </w:r>
      <w:r>
        <w:rPr>
          <w:szCs w:val="20"/>
        </w:rPr>
        <w:t xml:space="preserve"> </w:t>
      </w:r>
      <w:r w:rsidRPr="00F01D45">
        <w:rPr>
          <w:szCs w:val="20"/>
        </w:rPr>
        <w:t>Commissioner</w:t>
      </w:r>
      <w:r>
        <w:rPr>
          <w:szCs w:val="20"/>
        </w:rPr>
        <w:t xml:space="preserve"> </w:t>
      </w:r>
      <w:r w:rsidRPr="00F01D45">
        <w:rPr>
          <w:szCs w:val="20"/>
        </w:rPr>
        <w:t>relies</w:t>
      </w:r>
      <w:r>
        <w:rPr>
          <w:szCs w:val="20"/>
        </w:rPr>
        <w:t xml:space="preserve"> </w:t>
      </w:r>
      <w:r w:rsidRPr="00F01D45">
        <w:rPr>
          <w:szCs w:val="20"/>
        </w:rPr>
        <w:t>with</w:t>
      </w:r>
      <w:r>
        <w:rPr>
          <w:szCs w:val="20"/>
        </w:rPr>
        <w:t xml:space="preserve"> </w:t>
      </w:r>
      <w:r w:rsidRPr="00F01D45">
        <w:rPr>
          <w:szCs w:val="20"/>
        </w:rPr>
        <w:t>respect</w:t>
      </w:r>
      <w:r>
        <w:rPr>
          <w:szCs w:val="20"/>
        </w:rPr>
        <w:t xml:space="preserve"> </w:t>
      </w:r>
      <w:r w:rsidRPr="00F01D45">
        <w:rPr>
          <w:szCs w:val="20"/>
        </w:rPr>
        <w:t>to</w:t>
      </w:r>
      <w:r>
        <w:rPr>
          <w:szCs w:val="20"/>
        </w:rPr>
        <w:t xml:space="preserve"> </w:t>
      </w:r>
      <w:r w:rsidRPr="00F01D45">
        <w:rPr>
          <w:szCs w:val="20"/>
        </w:rPr>
        <w:t>donor</w:t>
      </w:r>
      <w:r>
        <w:rPr>
          <w:szCs w:val="20"/>
        </w:rPr>
        <w:t xml:space="preserve"> </w:t>
      </w:r>
      <w:r w:rsidRPr="00F01D45">
        <w:rPr>
          <w:szCs w:val="20"/>
        </w:rPr>
        <w:t>improvements</w:t>
      </w:r>
      <w:r>
        <w:rPr>
          <w:szCs w:val="20"/>
        </w:rPr>
        <w:t xml:space="preserve"> </w:t>
      </w:r>
      <w:r w:rsidRPr="00F01D45">
        <w:rPr>
          <w:szCs w:val="20"/>
        </w:rPr>
        <w:t>as</w:t>
      </w:r>
      <w:r>
        <w:rPr>
          <w:szCs w:val="20"/>
        </w:rPr>
        <w:t xml:space="preserve"> </w:t>
      </w:r>
      <w:r w:rsidRPr="00F01D45">
        <w:rPr>
          <w:szCs w:val="20"/>
        </w:rPr>
        <w:t>follows</w:t>
      </w:r>
      <w:r>
        <w:rPr>
          <w:szCs w:val="20"/>
        </w:rPr>
        <w:t xml:space="preserve"> </w:t>
      </w:r>
      <w:r w:rsidRPr="00F01D45">
        <w:rPr>
          <w:szCs w:val="20"/>
        </w:rPr>
        <w:t>(with</w:t>
      </w:r>
      <w:r>
        <w:rPr>
          <w:szCs w:val="20"/>
        </w:rPr>
        <w:t xml:space="preserve"> </w:t>
      </w:r>
      <w:r w:rsidRPr="00F01D45">
        <w:rPr>
          <w:szCs w:val="20"/>
        </w:rPr>
        <w:t>the</w:t>
      </w:r>
      <w:r>
        <w:rPr>
          <w:szCs w:val="20"/>
        </w:rPr>
        <w:t xml:space="preserve"> </w:t>
      </w:r>
      <w:r w:rsidRPr="00F01D45">
        <w:rPr>
          <w:szCs w:val="20"/>
        </w:rPr>
        <w:t>relevant</w:t>
      </w:r>
      <w:r>
        <w:rPr>
          <w:szCs w:val="20"/>
        </w:rPr>
        <w:t xml:space="preserve"> </w:t>
      </w:r>
      <w:r w:rsidRPr="00F01D45">
        <w:rPr>
          <w:szCs w:val="20"/>
        </w:rPr>
        <w:t>change</w:t>
      </w:r>
      <w:r>
        <w:rPr>
          <w:szCs w:val="20"/>
        </w:rPr>
        <w:t xml:space="preserve"> </w:t>
      </w:r>
      <w:r w:rsidRPr="00F01D45">
        <w:rPr>
          <w:szCs w:val="20"/>
        </w:rPr>
        <w:t>underscored):</w:t>
      </w:r>
    </w:p>
    <w:p w:rsidR="007649DB" w:rsidRPr="00F01D45" w:rsidRDefault="007649DB" w:rsidP="007649DB">
      <w:pPr>
        <w:pStyle w:val="QS10"/>
        <w:ind w:left="2160"/>
        <w:rPr>
          <w:szCs w:val="20"/>
        </w:rPr>
      </w:pPr>
      <w:r w:rsidRPr="00F01D45">
        <w:rPr>
          <w:szCs w:val="20"/>
        </w:rPr>
        <w:t>(1)</w:t>
      </w:r>
      <w:r>
        <w:rPr>
          <w:szCs w:val="20"/>
        </w:rPr>
        <w:t xml:space="preserve"> </w:t>
      </w:r>
      <w:r w:rsidRPr="00F01D45">
        <w:rPr>
          <w:szCs w:val="20"/>
        </w:rPr>
        <w:t>Proposed</w:t>
      </w:r>
      <w:r>
        <w:rPr>
          <w:szCs w:val="20"/>
        </w:rPr>
        <w:t xml:space="preserve"> </w:t>
      </w:r>
      <w:r w:rsidRPr="00F01D45">
        <w:rPr>
          <w:szCs w:val="20"/>
        </w:rPr>
        <w:t>Regulation:</w:t>
      </w:r>
      <w:r>
        <w:rPr>
          <w:szCs w:val="20"/>
        </w:rPr>
        <w:t xml:space="preserve"> </w:t>
      </w:r>
      <w:r w:rsidRPr="00F01D45">
        <w:rPr>
          <w:szCs w:val="20"/>
        </w:rPr>
        <w:t>“For</w:t>
      </w:r>
      <w:r>
        <w:rPr>
          <w:szCs w:val="20"/>
        </w:rPr>
        <w:t xml:space="preserve"> </w:t>
      </w:r>
      <w:r w:rsidRPr="00F01D45">
        <w:rPr>
          <w:szCs w:val="20"/>
        </w:rPr>
        <w:t>purposes</w:t>
      </w:r>
      <w:r>
        <w:rPr>
          <w:szCs w:val="20"/>
        </w:rPr>
        <w:t xml:space="preserve"> </w:t>
      </w:r>
      <w:r w:rsidRPr="00F01D45">
        <w:rPr>
          <w:szCs w:val="20"/>
        </w:rPr>
        <w:t>of</w:t>
      </w:r>
      <w:r>
        <w:rPr>
          <w:szCs w:val="20"/>
        </w:rPr>
        <w:t xml:space="preserve"> </w:t>
      </w:r>
      <w:r w:rsidRPr="00F01D45">
        <w:rPr>
          <w:szCs w:val="20"/>
        </w:rPr>
        <w:t>this</w:t>
      </w:r>
      <w:r>
        <w:rPr>
          <w:szCs w:val="20"/>
        </w:rPr>
        <w:t xml:space="preserve"> </w:t>
      </w:r>
      <w:r w:rsidRPr="00F01D45">
        <w:rPr>
          <w:szCs w:val="20"/>
        </w:rPr>
        <w:t>paragraph</w:t>
      </w:r>
      <w:r>
        <w:rPr>
          <w:szCs w:val="20"/>
        </w:rPr>
        <w:t xml:space="preserve"> </w:t>
      </w:r>
      <w:r w:rsidRPr="00F01D45">
        <w:rPr>
          <w:szCs w:val="20"/>
        </w:rPr>
        <w:t>(g)(5)(ii),</w:t>
      </w:r>
      <w:r>
        <w:rPr>
          <w:szCs w:val="20"/>
        </w:rPr>
        <w:t xml:space="preserve"> </w:t>
      </w:r>
      <w:r w:rsidRPr="00F01D45">
        <w:rPr>
          <w:szCs w:val="20"/>
          <w:u w:val="single"/>
        </w:rPr>
        <w:t>that</w:t>
      </w:r>
      <w:r>
        <w:rPr>
          <w:szCs w:val="20"/>
          <w:u w:val="single"/>
        </w:rPr>
        <w:t xml:space="preserve"> </w:t>
      </w:r>
      <w:r w:rsidRPr="00F01D45">
        <w:rPr>
          <w:szCs w:val="20"/>
          <w:u w:val="single"/>
        </w:rPr>
        <w:t>original</w:t>
      </w:r>
      <w:r>
        <w:rPr>
          <w:szCs w:val="20"/>
          <w:u w:val="single"/>
        </w:rPr>
        <w:t xml:space="preserve"> </w:t>
      </w:r>
      <w:r w:rsidRPr="00F01D45">
        <w:rPr>
          <w:szCs w:val="20"/>
          <w:u w:val="single"/>
        </w:rPr>
        <w:t>minimum</w:t>
      </w:r>
      <w:r>
        <w:rPr>
          <w:szCs w:val="20"/>
          <w:u w:val="single"/>
        </w:rPr>
        <w:t xml:space="preserve"> </w:t>
      </w:r>
      <w:r w:rsidRPr="00F01D45">
        <w:rPr>
          <w:szCs w:val="20"/>
          <w:u w:val="single"/>
        </w:rPr>
        <w:t>proportionate</w:t>
      </w:r>
      <w:r>
        <w:rPr>
          <w:szCs w:val="20"/>
          <w:u w:val="single"/>
        </w:rPr>
        <w:t xml:space="preserve"> </w:t>
      </w:r>
      <w:r w:rsidRPr="00F01D45">
        <w:rPr>
          <w:szCs w:val="20"/>
          <w:u w:val="single"/>
        </w:rPr>
        <w:t>value</w:t>
      </w:r>
      <w:r>
        <w:rPr>
          <w:szCs w:val="20"/>
        </w:rPr>
        <w:t xml:space="preserve"> </w:t>
      </w:r>
      <w:r w:rsidRPr="00F01D45">
        <w:rPr>
          <w:szCs w:val="20"/>
        </w:rPr>
        <w:t>of</w:t>
      </w:r>
      <w:r>
        <w:rPr>
          <w:szCs w:val="20"/>
        </w:rPr>
        <w:t xml:space="preserve"> </w:t>
      </w:r>
      <w:r w:rsidRPr="00F01D45">
        <w:rPr>
          <w:szCs w:val="20"/>
        </w:rPr>
        <w:t>the</w:t>
      </w:r>
      <w:r>
        <w:rPr>
          <w:szCs w:val="20"/>
        </w:rPr>
        <w:t xml:space="preserve"> </w:t>
      </w:r>
      <w:r w:rsidRPr="00F01D45">
        <w:rPr>
          <w:szCs w:val="20"/>
        </w:rPr>
        <w:t>donee’s</w:t>
      </w:r>
      <w:r>
        <w:rPr>
          <w:szCs w:val="20"/>
        </w:rPr>
        <w:t xml:space="preserve"> </w:t>
      </w:r>
      <w:r w:rsidRPr="00F01D45">
        <w:rPr>
          <w:szCs w:val="20"/>
        </w:rPr>
        <w:t>property</w:t>
      </w:r>
      <w:r>
        <w:rPr>
          <w:szCs w:val="20"/>
        </w:rPr>
        <w:t xml:space="preserve"> </w:t>
      </w:r>
      <w:r w:rsidRPr="00F01D45">
        <w:rPr>
          <w:szCs w:val="20"/>
        </w:rPr>
        <w:t>rights</w:t>
      </w:r>
      <w:r>
        <w:rPr>
          <w:szCs w:val="20"/>
        </w:rPr>
        <w:t xml:space="preserve"> </w:t>
      </w:r>
      <w:r w:rsidRPr="00F01D45">
        <w:rPr>
          <w:szCs w:val="20"/>
        </w:rPr>
        <w:t>shall</w:t>
      </w:r>
      <w:r>
        <w:rPr>
          <w:szCs w:val="20"/>
        </w:rPr>
        <w:t xml:space="preserve"> </w:t>
      </w:r>
      <w:r w:rsidRPr="00F01D45">
        <w:rPr>
          <w:szCs w:val="20"/>
        </w:rPr>
        <w:t>remain</w:t>
      </w:r>
      <w:r>
        <w:rPr>
          <w:szCs w:val="20"/>
        </w:rPr>
        <w:t xml:space="preserve"> </w:t>
      </w:r>
      <w:r w:rsidRPr="00F01D45">
        <w:rPr>
          <w:szCs w:val="20"/>
        </w:rPr>
        <w:t>constant.”</w:t>
      </w:r>
      <w:r>
        <w:rPr>
          <w:szCs w:val="20"/>
        </w:rPr>
        <w:t xml:space="preserve"> </w:t>
      </w:r>
      <w:r w:rsidRPr="00F01D45">
        <w:rPr>
          <w:szCs w:val="20"/>
        </w:rPr>
        <w:t>48</w:t>
      </w:r>
      <w:r>
        <w:rPr>
          <w:szCs w:val="20"/>
        </w:rPr>
        <w:t xml:space="preserve"> </w:t>
      </w:r>
      <w:r w:rsidRPr="00F01D45">
        <w:rPr>
          <w:szCs w:val="20"/>
        </w:rPr>
        <w:t>Fed.</w:t>
      </w:r>
      <w:r>
        <w:rPr>
          <w:szCs w:val="20"/>
        </w:rPr>
        <w:t xml:space="preserve"> </w:t>
      </w:r>
      <w:r w:rsidRPr="00F01D45">
        <w:rPr>
          <w:szCs w:val="20"/>
        </w:rPr>
        <w:t>Reg.</w:t>
      </w:r>
      <w:r>
        <w:rPr>
          <w:szCs w:val="20"/>
        </w:rPr>
        <w:t xml:space="preserve"> </w:t>
      </w:r>
      <w:r w:rsidRPr="00F01D45">
        <w:rPr>
          <w:szCs w:val="20"/>
        </w:rPr>
        <w:t>22946.</w:t>
      </w:r>
    </w:p>
    <w:p w:rsidR="007649DB" w:rsidRPr="00F01D45" w:rsidRDefault="007649DB" w:rsidP="007649DB">
      <w:pPr>
        <w:pStyle w:val="QS10"/>
        <w:ind w:left="2160"/>
        <w:rPr>
          <w:szCs w:val="20"/>
        </w:rPr>
      </w:pPr>
      <w:r w:rsidRPr="00F01D45">
        <w:rPr>
          <w:szCs w:val="20"/>
        </w:rPr>
        <w:t>(2)</w:t>
      </w:r>
      <w:r>
        <w:rPr>
          <w:szCs w:val="20"/>
        </w:rPr>
        <w:t xml:space="preserve"> </w:t>
      </w:r>
      <w:r w:rsidRPr="00F01D45">
        <w:rPr>
          <w:szCs w:val="20"/>
        </w:rPr>
        <w:t>Final</w:t>
      </w:r>
      <w:r>
        <w:rPr>
          <w:szCs w:val="20"/>
        </w:rPr>
        <w:t xml:space="preserve"> </w:t>
      </w:r>
      <w:r w:rsidRPr="00F01D45">
        <w:rPr>
          <w:szCs w:val="20"/>
        </w:rPr>
        <w:t>Regulation:</w:t>
      </w:r>
      <w:r>
        <w:rPr>
          <w:szCs w:val="20"/>
        </w:rPr>
        <w:t xml:space="preserve"> </w:t>
      </w:r>
      <w:r w:rsidRPr="00F01D45">
        <w:rPr>
          <w:szCs w:val="20"/>
        </w:rPr>
        <w:t>“For</w:t>
      </w:r>
      <w:r>
        <w:rPr>
          <w:szCs w:val="20"/>
        </w:rPr>
        <w:t xml:space="preserve"> </w:t>
      </w:r>
      <w:r w:rsidRPr="00F01D45">
        <w:rPr>
          <w:szCs w:val="20"/>
        </w:rPr>
        <w:t>purposes</w:t>
      </w:r>
      <w:r>
        <w:rPr>
          <w:szCs w:val="20"/>
        </w:rPr>
        <w:t xml:space="preserve"> </w:t>
      </w:r>
      <w:r w:rsidRPr="00F01D45">
        <w:rPr>
          <w:szCs w:val="20"/>
        </w:rPr>
        <w:t>of</w:t>
      </w:r>
      <w:r>
        <w:rPr>
          <w:szCs w:val="20"/>
        </w:rPr>
        <w:t xml:space="preserve"> </w:t>
      </w:r>
      <w:r w:rsidRPr="00F01D45">
        <w:rPr>
          <w:szCs w:val="20"/>
        </w:rPr>
        <w:t>this</w:t>
      </w:r>
      <w:r>
        <w:rPr>
          <w:szCs w:val="20"/>
        </w:rPr>
        <w:t xml:space="preserve"> </w:t>
      </w:r>
      <w:r w:rsidRPr="00F01D45">
        <w:rPr>
          <w:szCs w:val="20"/>
        </w:rPr>
        <w:t>paragraph</w:t>
      </w:r>
      <w:r>
        <w:rPr>
          <w:szCs w:val="20"/>
        </w:rPr>
        <w:t xml:space="preserve"> </w:t>
      </w:r>
      <w:r w:rsidRPr="00F01D45">
        <w:rPr>
          <w:szCs w:val="20"/>
        </w:rPr>
        <w:t>(g)(6)(ii),</w:t>
      </w:r>
      <w:r>
        <w:rPr>
          <w:szCs w:val="20"/>
        </w:rPr>
        <w:t xml:space="preserve"> </w:t>
      </w:r>
      <w:r w:rsidRPr="00F01D45">
        <w:rPr>
          <w:szCs w:val="20"/>
          <w:u w:val="single"/>
        </w:rPr>
        <w:t>that</w:t>
      </w:r>
      <w:r>
        <w:rPr>
          <w:szCs w:val="20"/>
          <w:u w:val="single"/>
        </w:rPr>
        <w:t xml:space="preserve"> </w:t>
      </w:r>
      <w:r w:rsidRPr="00F01D45">
        <w:rPr>
          <w:szCs w:val="20"/>
          <w:u w:val="single"/>
        </w:rPr>
        <w:t>proportionate</w:t>
      </w:r>
      <w:r>
        <w:rPr>
          <w:szCs w:val="20"/>
          <w:u w:val="single"/>
        </w:rPr>
        <w:t xml:space="preserve"> </w:t>
      </w:r>
      <w:r w:rsidRPr="00F01D45">
        <w:rPr>
          <w:szCs w:val="20"/>
          <w:u w:val="single"/>
        </w:rPr>
        <w:t>value</w:t>
      </w:r>
      <w:r>
        <w:rPr>
          <w:szCs w:val="20"/>
        </w:rPr>
        <w:t xml:space="preserve"> </w:t>
      </w:r>
      <w:r w:rsidRPr="00F01D45">
        <w:rPr>
          <w:szCs w:val="20"/>
        </w:rPr>
        <w:t>of</w:t>
      </w:r>
      <w:r>
        <w:rPr>
          <w:szCs w:val="20"/>
        </w:rPr>
        <w:t xml:space="preserve"> </w:t>
      </w:r>
      <w:r w:rsidRPr="00F01D45">
        <w:rPr>
          <w:szCs w:val="20"/>
        </w:rPr>
        <w:t>the</w:t>
      </w:r>
      <w:r>
        <w:rPr>
          <w:szCs w:val="20"/>
        </w:rPr>
        <w:t xml:space="preserve"> </w:t>
      </w:r>
      <w:r w:rsidRPr="00F01D45">
        <w:rPr>
          <w:szCs w:val="20"/>
        </w:rPr>
        <w:t>donee’s</w:t>
      </w:r>
      <w:r>
        <w:rPr>
          <w:szCs w:val="20"/>
        </w:rPr>
        <w:t xml:space="preserve"> </w:t>
      </w:r>
      <w:r w:rsidRPr="00F01D45">
        <w:rPr>
          <w:szCs w:val="20"/>
        </w:rPr>
        <w:t>property</w:t>
      </w:r>
      <w:r>
        <w:rPr>
          <w:szCs w:val="20"/>
        </w:rPr>
        <w:t xml:space="preserve"> </w:t>
      </w:r>
      <w:r w:rsidRPr="00F01D45">
        <w:rPr>
          <w:szCs w:val="20"/>
        </w:rPr>
        <w:t>rights</w:t>
      </w:r>
      <w:r>
        <w:rPr>
          <w:szCs w:val="20"/>
        </w:rPr>
        <w:t xml:space="preserve"> </w:t>
      </w:r>
      <w:r w:rsidRPr="00F01D45">
        <w:rPr>
          <w:szCs w:val="20"/>
        </w:rPr>
        <w:t>shall</w:t>
      </w:r>
      <w:r>
        <w:rPr>
          <w:szCs w:val="20"/>
        </w:rPr>
        <w:t xml:space="preserve"> </w:t>
      </w:r>
      <w:r w:rsidRPr="00F01D45">
        <w:rPr>
          <w:szCs w:val="20"/>
        </w:rPr>
        <w:t>remain</w:t>
      </w:r>
      <w:r>
        <w:rPr>
          <w:szCs w:val="20"/>
        </w:rPr>
        <w:t xml:space="preserve"> </w:t>
      </w:r>
      <w:r w:rsidRPr="00F01D45">
        <w:rPr>
          <w:szCs w:val="20"/>
        </w:rPr>
        <w:t>constant.”</w:t>
      </w:r>
      <w:r>
        <w:rPr>
          <w:szCs w:val="20"/>
        </w:rPr>
        <w:t xml:space="preserve"> </w:t>
      </w:r>
      <w:r w:rsidRPr="00F01D45">
        <w:rPr>
          <w:szCs w:val="20"/>
        </w:rPr>
        <w:t>T.D.</w:t>
      </w:r>
      <w:r>
        <w:rPr>
          <w:szCs w:val="20"/>
        </w:rPr>
        <w:t xml:space="preserve"> </w:t>
      </w:r>
      <w:r w:rsidRPr="00F01D45">
        <w:rPr>
          <w:szCs w:val="20"/>
        </w:rPr>
        <w:t>8069,</w:t>
      </w:r>
      <w:r>
        <w:rPr>
          <w:szCs w:val="20"/>
        </w:rPr>
        <w:t xml:space="preserve"> </w:t>
      </w:r>
      <w:r w:rsidRPr="00F01D45">
        <w:rPr>
          <w:szCs w:val="20"/>
        </w:rPr>
        <w:t>1986-1</w:t>
      </w:r>
      <w:r>
        <w:rPr>
          <w:szCs w:val="20"/>
        </w:rPr>
        <w:t xml:space="preserve"> </w:t>
      </w:r>
      <w:r w:rsidRPr="00F01D45">
        <w:rPr>
          <w:szCs w:val="20"/>
        </w:rPr>
        <w:t>C.B.</w:t>
      </w:r>
      <w:r>
        <w:rPr>
          <w:szCs w:val="20"/>
        </w:rPr>
        <w:t xml:space="preserve"> </w:t>
      </w:r>
      <w:r w:rsidRPr="00F01D45">
        <w:rPr>
          <w:szCs w:val="20"/>
        </w:rPr>
        <w:t>at</w:t>
      </w:r>
      <w:r>
        <w:rPr>
          <w:szCs w:val="20"/>
        </w:rPr>
        <w:t xml:space="preserve"> </w:t>
      </w:r>
      <w:r w:rsidRPr="00F01D45">
        <w:rPr>
          <w:szCs w:val="20"/>
        </w:rPr>
        <w:t>99.</w:t>
      </w:r>
    </w:p>
    <w:p w:rsidR="007649DB" w:rsidRPr="00F01D45" w:rsidRDefault="007649DB" w:rsidP="007649DB">
      <w:pPr>
        <w:pStyle w:val="QS10"/>
        <w:rPr>
          <w:szCs w:val="20"/>
        </w:rPr>
      </w:pPr>
      <w:r w:rsidRPr="00F01D45">
        <w:rPr>
          <w:szCs w:val="20"/>
        </w:rPr>
        <w:t>But</w:t>
      </w:r>
      <w:r>
        <w:rPr>
          <w:szCs w:val="20"/>
        </w:rPr>
        <w:t xml:space="preserve"> </w:t>
      </w:r>
      <w:r w:rsidRPr="00F01D45">
        <w:rPr>
          <w:szCs w:val="20"/>
        </w:rPr>
        <w:t>Treasury</w:t>
      </w:r>
      <w:r>
        <w:rPr>
          <w:szCs w:val="20"/>
        </w:rPr>
        <w:t xml:space="preserve"> </w:t>
      </w:r>
      <w:r w:rsidRPr="00F01D45">
        <w:rPr>
          <w:szCs w:val="20"/>
        </w:rPr>
        <w:t>gave</w:t>
      </w:r>
      <w:r>
        <w:rPr>
          <w:szCs w:val="20"/>
        </w:rPr>
        <w:t xml:space="preserve"> </w:t>
      </w:r>
      <w:r w:rsidRPr="00F01D45">
        <w:rPr>
          <w:szCs w:val="20"/>
        </w:rPr>
        <w:t>no</w:t>
      </w:r>
      <w:r>
        <w:rPr>
          <w:szCs w:val="20"/>
        </w:rPr>
        <w:t xml:space="preserve"> </w:t>
      </w:r>
      <w:r w:rsidRPr="00F01D45">
        <w:rPr>
          <w:szCs w:val="20"/>
        </w:rPr>
        <w:t>explanation</w:t>
      </w:r>
      <w:r>
        <w:rPr>
          <w:szCs w:val="20"/>
        </w:rPr>
        <w:t xml:space="preserve"> </w:t>
      </w:r>
      <w:r w:rsidRPr="00F01D45">
        <w:rPr>
          <w:szCs w:val="20"/>
        </w:rPr>
        <w:t>as</w:t>
      </w:r>
      <w:r>
        <w:rPr>
          <w:szCs w:val="20"/>
        </w:rPr>
        <w:t xml:space="preserve"> </w:t>
      </w:r>
      <w:r w:rsidRPr="00F01D45">
        <w:rPr>
          <w:szCs w:val="20"/>
        </w:rPr>
        <w:t>to</w:t>
      </w:r>
      <w:r>
        <w:rPr>
          <w:szCs w:val="20"/>
        </w:rPr>
        <w:t xml:space="preserve"> </w:t>
      </w:r>
      <w:r w:rsidRPr="00F01D45">
        <w:rPr>
          <w:szCs w:val="20"/>
        </w:rPr>
        <w:t>how</w:t>
      </w:r>
      <w:r>
        <w:rPr>
          <w:szCs w:val="20"/>
        </w:rPr>
        <w:t xml:space="preserve"> </w:t>
      </w:r>
      <w:r w:rsidRPr="00F01D45">
        <w:rPr>
          <w:szCs w:val="20"/>
        </w:rPr>
        <w:t>the</w:t>
      </w:r>
      <w:r>
        <w:rPr>
          <w:szCs w:val="20"/>
        </w:rPr>
        <w:t xml:space="preserve"> </w:t>
      </w:r>
      <w:r w:rsidRPr="00F01D45">
        <w:rPr>
          <w:szCs w:val="20"/>
        </w:rPr>
        <w:t>change</w:t>
      </w:r>
      <w:r>
        <w:rPr>
          <w:szCs w:val="20"/>
        </w:rPr>
        <w:t xml:space="preserve"> </w:t>
      </w:r>
      <w:r w:rsidRPr="00F01D45">
        <w:rPr>
          <w:szCs w:val="20"/>
        </w:rPr>
        <w:t>addressed</w:t>
      </w:r>
      <w:r>
        <w:rPr>
          <w:szCs w:val="20"/>
        </w:rPr>
        <w:t xml:space="preserve"> </w:t>
      </w:r>
      <w:r w:rsidRPr="00F01D45">
        <w:rPr>
          <w:szCs w:val="20"/>
        </w:rPr>
        <w:t>the</w:t>
      </w:r>
      <w:r>
        <w:rPr>
          <w:szCs w:val="20"/>
        </w:rPr>
        <w:t xml:space="preserve"> </w:t>
      </w:r>
      <w:r w:rsidRPr="00F01D45">
        <w:rPr>
          <w:szCs w:val="20"/>
        </w:rPr>
        <w:t>concerns</w:t>
      </w:r>
      <w:r>
        <w:rPr>
          <w:szCs w:val="20"/>
        </w:rPr>
        <w:t xml:space="preserve"> </w:t>
      </w:r>
      <w:r w:rsidRPr="00F01D45">
        <w:rPr>
          <w:szCs w:val="20"/>
        </w:rPr>
        <w:t>expressed</w:t>
      </w:r>
      <w:r>
        <w:rPr>
          <w:szCs w:val="20"/>
        </w:rPr>
        <w:t xml:space="preserve"> </w:t>
      </w:r>
      <w:r w:rsidRPr="00F01D45">
        <w:rPr>
          <w:szCs w:val="20"/>
        </w:rPr>
        <w:t>in</w:t>
      </w:r>
      <w:r>
        <w:rPr>
          <w:szCs w:val="20"/>
        </w:rPr>
        <w:t xml:space="preserve"> </w:t>
      </w:r>
      <w:r w:rsidRPr="00F01D45">
        <w:rPr>
          <w:szCs w:val="20"/>
        </w:rPr>
        <w:t>the</w:t>
      </w:r>
      <w:r>
        <w:rPr>
          <w:szCs w:val="20"/>
        </w:rPr>
        <w:t xml:space="preserve"> </w:t>
      </w:r>
      <w:r w:rsidRPr="00F01D45">
        <w:rPr>
          <w:szCs w:val="20"/>
        </w:rPr>
        <w:t>NYLC</w:t>
      </w:r>
      <w:r>
        <w:rPr>
          <w:szCs w:val="20"/>
        </w:rPr>
        <w:t xml:space="preserve"> </w:t>
      </w:r>
      <w:r w:rsidRPr="00F01D45">
        <w:rPr>
          <w:szCs w:val="20"/>
        </w:rPr>
        <w:t>Comment</w:t>
      </w:r>
      <w:r>
        <w:rPr>
          <w:szCs w:val="20"/>
        </w:rPr>
        <w:t xml:space="preserve"> </w:t>
      </w:r>
      <w:r w:rsidRPr="00F01D45">
        <w:rPr>
          <w:szCs w:val="20"/>
        </w:rPr>
        <w:t>Letter.</w:t>
      </w:r>
      <w:r>
        <w:rPr>
          <w:szCs w:val="20"/>
        </w:rPr>
        <w:t xml:space="preserve"> </w:t>
      </w:r>
      <w:r w:rsidRPr="00F01D45">
        <w:rPr>
          <w:szCs w:val="20"/>
        </w:rPr>
        <w:t>In</w:t>
      </w:r>
      <w:r>
        <w:rPr>
          <w:szCs w:val="20"/>
        </w:rPr>
        <w:t xml:space="preserve"> </w:t>
      </w:r>
      <w:r w:rsidRPr="00F01D45">
        <w:rPr>
          <w:szCs w:val="20"/>
        </w:rPr>
        <w:t>short,</w:t>
      </w:r>
      <w:r>
        <w:rPr>
          <w:szCs w:val="20"/>
        </w:rPr>
        <w:t xml:space="preserve"> </w:t>
      </w:r>
      <w:r w:rsidRPr="00F01D45">
        <w:rPr>
          <w:szCs w:val="20"/>
        </w:rPr>
        <w:t>Treasury’s</w:t>
      </w:r>
      <w:r>
        <w:rPr>
          <w:szCs w:val="20"/>
        </w:rPr>
        <w:t xml:space="preserve"> </w:t>
      </w:r>
      <w:r w:rsidRPr="00F01D45">
        <w:rPr>
          <w:szCs w:val="20"/>
        </w:rPr>
        <w:t>actions</w:t>
      </w:r>
      <w:r>
        <w:rPr>
          <w:szCs w:val="20"/>
        </w:rPr>
        <w:t xml:space="preserve"> </w:t>
      </w:r>
      <w:r w:rsidRPr="00F01D45">
        <w:rPr>
          <w:szCs w:val="20"/>
        </w:rPr>
        <w:t>did</w:t>
      </w:r>
      <w:r>
        <w:rPr>
          <w:szCs w:val="20"/>
        </w:rPr>
        <w:t xml:space="preserve"> </w:t>
      </w:r>
      <w:r w:rsidRPr="00F01D45">
        <w:rPr>
          <w:szCs w:val="20"/>
        </w:rPr>
        <w:t>not</w:t>
      </w:r>
      <w:r>
        <w:rPr>
          <w:szCs w:val="20"/>
        </w:rPr>
        <w:t xml:space="preserve"> </w:t>
      </w:r>
      <w:r w:rsidRPr="00F01D45">
        <w:rPr>
          <w:szCs w:val="20"/>
        </w:rPr>
        <w:t>provide</w:t>
      </w:r>
      <w:r>
        <w:rPr>
          <w:szCs w:val="20"/>
        </w:rPr>
        <w:t xml:space="preserve"> </w:t>
      </w:r>
      <w:r w:rsidRPr="00F01D45">
        <w:rPr>
          <w:szCs w:val="20"/>
        </w:rPr>
        <w:t>“an</w:t>
      </w:r>
      <w:r>
        <w:rPr>
          <w:szCs w:val="20"/>
        </w:rPr>
        <w:t xml:space="preserve"> </w:t>
      </w:r>
      <w:r w:rsidRPr="00F01D45">
        <w:rPr>
          <w:szCs w:val="20"/>
        </w:rPr>
        <w:t>explanation</w:t>
      </w:r>
      <w:r>
        <w:rPr>
          <w:szCs w:val="20"/>
        </w:rPr>
        <w:t xml:space="preserve"> </w:t>
      </w:r>
      <w:r w:rsidRPr="00F01D45">
        <w:rPr>
          <w:szCs w:val="20"/>
        </w:rPr>
        <w:t>[that]</w:t>
      </w:r>
      <w:r>
        <w:rPr>
          <w:szCs w:val="20"/>
        </w:rPr>
        <w:t xml:space="preserve"> </w:t>
      </w:r>
      <w:r w:rsidRPr="00F01D45">
        <w:rPr>
          <w:szCs w:val="20"/>
        </w:rPr>
        <w:t>is</w:t>
      </w:r>
      <w:r>
        <w:rPr>
          <w:szCs w:val="20"/>
        </w:rPr>
        <w:t xml:space="preserve"> </w:t>
      </w:r>
      <w:r w:rsidRPr="00F01D45">
        <w:rPr>
          <w:szCs w:val="20"/>
        </w:rPr>
        <w:t>clear</w:t>
      </w:r>
      <w:r>
        <w:rPr>
          <w:szCs w:val="20"/>
        </w:rPr>
        <w:t xml:space="preserve"> </w:t>
      </w:r>
      <w:r w:rsidRPr="00F01D45">
        <w:rPr>
          <w:szCs w:val="20"/>
        </w:rPr>
        <w:t>enough</w:t>
      </w:r>
      <w:r>
        <w:rPr>
          <w:szCs w:val="20"/>
        </w:rPr>
        <w:t xml:space="preserve"> </w:t>
      </w:r>
      <w:r w:rsidRPr="00F01D45">
        <w:rPr>
          <w:szCs w:val="20"/>
        </w:rPr>
        <w:t>that</w:t>
      </w:r>
      <w:r>
        <w:rPr>
          <w:szCs w:val="20"/>
        </w:rPr>
        <w:t xml:space="preserve"> </w:t>
      </w:r>
      <w:r w:rsidRPr="00F01D45">
        <w:rPr>
          <w:szCs w:val="20"/>
        </w:rPr>
        <w:t>its</w:t>
      </w:r>
      <w:r>
        <w:rPr>
          <w:szCs w:val="20"/>
        </w:rPr>
        <w:t xml:space="preserve"> </w:t>
      </w:r>
      <w:r w:rsidRPr="00F01D45">
        <w:rPr>
          <w:szCs w:val="20"/>
        </w:rPr>
        <w:t>‘path</w:t>
      </w:r>
      <w:r>
        <w:rPr>
          <w:szCs w:val="20"/>
        </w:rPr>
        <w:t xml:space="preserve"> </w:t>
      </w:r>
      <w:r w:rsidRPr="00F01D45">
        <w:rPr>
          <w:szCs w:val="20"/>
        </w:rPr>
        <w:t>may</w:t>
      </w:r>
      <w:r>
        <w:rPr>
          <w:szCs w:val="20"/>
        </w:rPr>
        <w:t xml:space="preserve"> </w:t>
      </w:r>
      <w:r w:rsidRPr="00F01D45">
        <w:rPr>
          <w:szCs w:val="20"/>
        </w:rPr>
        <w:t>reasonably</w:t>
      </w:r>
      <w:r>
        <w:rPr>
          <w:szCs w:val="20"/>
        </w:rPr>
        <w:t xml:space="preserve"> </w:t>
      </w:r>
      <w:r w:rsidRPr="00F01D45">
        <w:rPr>
          <w:szCs w:val="20"/>
        </w:rPr>
        <w:t>be</w:t>
      </w:r>
      <w:r>
        <w:rPr>
          <w:szCs w:val="20"/>
        </w:rPr>
        <w:t xml:space="preserve"> </w:t>
      </w:r>
      <w:r w:rsidRPr="00F01D45">
        <w:rPr>
          <w:szCs w:val="20"/>
        </w:rPr>
        <w:t>discerned.’</w:t>
      </w:r>
      <w:r>
        <w:rPr>
          <w:szCs w:val="20"/>
        </w:rPr>
        <w:t xml:space="preserve"> </w:t>
      </w:r>
      <w:r w:rsidRPr="00F01D45">
        <w:rPr>
          <w:szCs w:val="20"/>
        </w:rPr>
        <w:t>”</w:t>
      </w:r>
      <w:r>
        <w:rPr>
          <w:szCs w:val="20"/>
        </w:rPr>
        <w:t xml:space="preserve"> </w:t>
      </w:r>
      <w:r w:rsidRPr="00F01D45">
        <w:rPr>
          <w:szCs w:val="20"/>
          <w:u w:val="single"/>
        </w:rPr>
        <w:t>Encino</w:t>
      </w:r>
      <w:r>
        <w:rPr>
          <w:szCs w:val="20"/>
          <w:u w:val="single"/>
        </w:rPr>
        <w:t xml:space="preserve"> </w:t>
      </w:r>
      <w:r w:rsidRPr="00F01D45">
        <w:rPr>
          <w:szCs w:val="20"/>
          <w:u w:val="single"/>
        </w:rPr>
        <w:t>Motorcars</w:t>
      </w:r>
      <w:r w:rsidRPr="00F01D45">
        <w:rPr>
          <w:szCs w:val="20"/>
        </w:rPr>
        <w:t>,</w:t>
      </w:r>
      <w:r>
        <w:rPr>
          <w:szCs w:val="20"/>
        </w:rPr>
        <w:t xml:space="preserve"> </w:t>
      </w:r>
      <w:r w:rsidRPr="00F01D45">
        <w:rPr>
          <w:szCs w:val="20"/>
        </w:rPr>
        <w:t>579</w:t>
      </w:r>
      <w:r>
        <w:rPr>
          <w:szCs w:val="20"/>
        </w:rPr>
        <w:t xml:space="preserve"> </w:t>
      </w:r>
      <w:r w:rsidRPr="00F01D45">
        <w:rPr>
          <w:szCs w:val="20"/>
        </w:rPr>
        <w:t>U.S.</w:t>
      </w:r>
      <w:r>
        <w:rPr>
          <w:szCs w:val="20"/>
        </w:rPr>
        <w:t xml:space="preserve"> </w:t>
      </w:r>
      <w:r w:rsidRPr="00F01D45">
        <w:rPr>
          <w:szCs w:val="20"/>
        </w:rPr>
        <w:t>at</w:t>
      </w:r>
      <w:r>
        <w:rPr>
          <w:szCs w:val="20"/>
        </w:rPr>
        <w:t xml:space="preserve"> </w:t>
      </w:r>
      <w:r w:rsidRPr="00F01D45">
        <w:rPr>
          <w:szCs w:val="20"/>
        </w:rPr>
        <w:t>___,</w:t>
      </w:r>
      <w:r>
        <w:rPr>
          <w:szCs w:val="20"/>
        </w:rPr>
        <w:t xml:space="preserve"> </w:t>
      </w:r>
      <w:r w:rsidRPr="00F01D45">
        <w:rPr>
          <w:szCs w:val="20"/>
        </w:rPr>
        <w:t>136</w:t>
      </w:r>
      <w:r>
        <w:rPr>
          <w:szCs w:val="20"/>
        </w:rPr>
        <w:t xml:space="preserve"> </w:t>
      </w:r>
      <w:r w:rsidRPr="00F01D45">
        <w:rPr>
          <w:szCs w:val="20"/>
        </w:rPr>
        <w:t>S.</w:t>
      </w:r>
      <w:r>
        <w:rPr>
          <w:szCs w:val="20"/>
        </w:rPr>
        <w:t xml:space="preserve"> </w:t>
      </w:r>
      <w:r w:rsidRPr="00F01D45">
        <w:rPr>
          <w:szCs w:val="20"/>
        </w:rPr>
        <w:t>Ct.</w:t>
      </w:r>
      <w:r>
        <w:rPr>
          <w:szCs w:val="20"/>
        </w:rPr>
        <w:t xml:space="preserve"> </w:t>
      </w:r>
      <w:r w:rsidRPr="00F01D45">
        <w:rPr>
          <w:szCs w:val="20"/>
        </w:rPr>
        <w:t>at</w:t>
      </w:r>
      <w:r>
        <w:rPr>
          <w:szCs w:val="20"/>
        </w:rPr>
        <w:t xml:space="preserve"> </w:t>
      </w:r>
      <w:r w:rsidRPr="00F01D45">
        <w:rPr>
          <w:szCs w:val="20"/>
        </w:rPr>
        <w:t>2125</w:t>
      </w:r>
      <w:r>
        <w:rPr>
          <w:szCs w:val="20"/>
        </w:rPr>
        <w:t xml:space="preserve"> </w:t>
      </w:r>
      <w:r w:rsidRPr="00F01D45">
        <w:rPr>
          <w:szCs w:val="20"/>
        </w:rPr>
        <w:t>(quoting</w:t>
      </w:r>
      <w:r>
        <w:rPr>
          <w:szCs w:val="20"/>
        </w:rPr>
        <w:t xml:space="preserve"> </w:t>
      </w:r>
      <w:r w:rsidRPr="00F01D45">
        <w:rPr>
          <w:szCs w:val="20"/>
          <w:u w:val="single"/>
        </w:rPr>
        <w:t>Bowman</w:t>
      </w:r>
      <w:r>
        <w:rPr>
          <w:szCs w:val="20"/>
          <w:u w:val="single"/>
        </w:rPr>
        <w:t xml:space="preserve"> </w:t>
      </w:r>
      <w:r w:rsidRPr="00F01D45">
        <w:rPr>
          <w:szCs w:val="20"/>
          <w:u w:val="single"/>
        </w:rPr>
        <w:t>Transp.</w:t>
      </w:r>
      <w:r w:rsidRPr="00F01D45">
        <w:rPr>
          <w:szCs w:val="20"/>
        </w:rPr>
        <w:t>,</w:t>
      </w:r>
      <w:r>
        <w:rPr>
          <w:szCs w:val="20"/>
        </w:rPr>
        <w:t xml:space="preserve"> </w:t>
      </w:r>
      <w:r w:rsidRPr="00F01D45">
        <w:rPr>
          <w:szCs w:val="20"/>
        </w:rPr>
        <w:t>419</w:t>
      </w:r>
      <w:r>
        <w:rPr>
          <w:szCs w:val="20"/>
        </w:rPr>
        <w:t xml:space="preserve"> </w:t>
      </w:r>
      <w:r w:rsidRPr="00F01D45">
        <w:rPr>
          <w:szCs w:val="20"/>
        </w:rPr>
        <w:t>U.S.</w:t>
      </w:r>
      <w:r>
        <w:rPr>
          <w:szCs w:val="20"/>
        </w:rPr>
        <w:t xml:space="preserve"> </w:t>
      </w:r>
      <w:r w:rsidRPr="00F01D45">
        <w:rPr>
          <w:szCs w:val="20"/>
        </w:rPr>
        <w:t>at</w:t>
      </w:r>
      <w:r>
        <w:rPr>
          <w:szCs w:val="20"/>
        </w:rPr>
        <w:t xml:space="preserve"> </w:t>
      </w:r>
      <w:r w:rsidRPr="00F01D45">
        <w:rPr>
          <w:szCs w:val="20"/>
        </w:rPr>
        <w:t>286).</w:t>
      </w:r>
      <w:hyperlink r:id="rId144" w:anchor="co_footnote_B00232050952136" w:history="1">
        <w:r w:rsidRPr="00F01D45">
          <w:rPr>
            <w:rStyle w:val="Hyperlink"/>
            <w:color w:val="auto"/>
            <w:szCs w:val="20"/>
            <w:vertAlign w:val="superscript"/>
          </w:rPr>
          <w:t>18</w:t>
        </w:r>
      </w:hyperlink>
      <w:r>
        <w:rPr>
          <w:szCs w:val="20"/>
        </w:rPr>
        <w:t xml:space="preserve"> </w:t>
      </w:r>
      <w:r w:rsidRPr="00F01D45">
        <w:rPr>
          <w:szCs w:val="20"/>
        </w:rPr>
        <w:t>Nor</w:t>
      </w:r>
      <w:r>
        <w:rPr>
          <w:szCs w:val="20"/>
        </w:rPr>
        <w:t xml:space="preserve"> </w:t>
      </w:r>
      <w:r w:rsidRPr="00F01D45">
        <w:rPr>
          <w:szCs w:val="20"/>
        </w:rPr>
        <w:t>does</w:t>
      </w:r>
      <w:r>
        <w:rPr>
          <w:szCs w:val="20"/>
        </w:rPr>
        <w:t xml:space="preserve"> </w:t>
      </w:r>
      <w:r w:rsidRPr="00F01D45">
        <w:rPr>
          <w:szCs w:val="20"/>
        </w:rPr>
        <w:t>Treasury’s</w:t>
      </w:r>
      <w:r>
        <w:rPr>
          <w:szCs w:val="20"/>
        </w:rPr>
        <w:t xml:space="preserve"> </w:t>
      </w:r>
      <w:r w:rsidRPr="00F01D45">
        <w:rPr>
          <w:szCs w:val="20"/>
        </w:rPr>
        <w:t>action</w:t>
      </w:r>
      <w:r>
        <w:rPr>
          <w:szCs w:val="20"/>
        </w:rPr>
        <w:t xml:space="preserve"> </w:t>
      </w:r>
      <w:r w:rsidRPr="00F01D45">
        <w:rPr>
          <w:szCs w:val="20"/>
        </w:rPr>
        <w:t>provide</w:t>
      </w:r>
      <w:r>
        <w:rPr>
          <w:szCs w:val="20"/>
        </w:rPr>
        <w:t xml:space="preserve"> </w:t>
      </w:r>
      <w:r w:rsidRPr="00F01D45">
        <w:rPr>
          <w:szCs w:val="20"/>
        </w:rPr>
        <w:t>any</w:t>
      </w:r>
      <w:r>
        <w:rPr>
          <w:szCs w:val="20"/>
        </w:rPr>
        <w:t xml:space="preserve"> </w:t>
      </w:r>
      <w:r w:rsidRPr="00F01D45">
        <w:rPr>
          <w:szCs w:val="20"/>
        </w:rPr>
        <w:t>insight</w:t>
      </w:r>
      <w:r>
        <w:rPr>
          <w:szCs w:val="20"/>
        </w:rPr>
        <w:t xml:space="preserve"> </w:t>
      </w:r>
      <w:r w:rsidRPr="00F01D45">
        <w:rPr>
          <w:szCs w:val="20"/>
        </w:rPr>
        <w:t>on</w:t>
      </w:r>
      <w:r>
        <w:rPr>
          <w:szCs w:val="20"/>
        </w:rPr>
        <w:t xml:space="preserve"> </w:t>
      </w:r>
      <w:r w:rsidRPr="00F01D45">
        <w:rPr>
          <w:szCs w:val="20"/>
        </w:rPr>
        <w:t>“what</w:t>
      </w:r>
      <w:r>
        <w:rPr>
          <w:szCs w:val="20"/>
        </w:rPr>
        <w:t xml:space="preserve"> </w:t>
      </w:r>
      <w:r w:rsidRPr="00F01D45">
        <w:rPr>
          <w:szCs w:val="20"/>
        </w:rPr>
        <w:t>major</w:t>
      </w:r>
      <w:r>
        <w:rPr>
          <w:szCs w:val="20"/>
        </w:rPr>
        <w:t xml:space="preserve"> </w:t>
      </w:r>
      <w:r w:rsidRPr="00F01D45">
        <w:rPr>
          <w:szCs w:val="20"/>
        </w:rPr>
        <w:t>issues</w:t>
      </w:r>
      <w:r>
        <w:rPr>
          <w:szCs w:val="20"/>
        </w:rPr>
        <w:t xml:space="preserve"> </w:t>
      </w:r>
      <w:r w:rsidRPr="00F01D45">
        <w:rPr>
          <w:szCs w:val="20"/>
        </w:rPr>
        <w:t>of</w:t>
      </w:r>
      <w:r>
        <w:rPr>
          <w:szCs w:val="20"/>
        </w:rPr>
        <w:t xml:space="preserve"> </w:t>
      </w:r>
      <w:r w:rsidRPr="00F01D45">
        <w:rPr>
          <w:szCs w:val="20"/>
        </w:rPr>
        <w:t>policy</w:t>
      </w:r>
      <w:r>
        <w:rPr>
          <w:szCs w:val="20"/>
        </w:rPr>
        <w:t xml:space="preserve"> </w:t>
      </w:r>
      <w:r w:rsidRPr="00F01D45">
        <w:rPr>
          <w:szCs w:val="20"/>
        </w:rPr>
        <w:t>were</w:t>
      </w:r>
      <w:r>
        <w:rPr>
          <w:szCs w:val="20"/>
        </w:rPr>
        <w:t xml:space="preserve"> </w:t>
      </w:r>
      <w:r w:rsidRPr="00F01D45">
        <w:rPr>
          <w:szCs w:val="20"/>
        </w:rPr>
        <w:t>ventilated</w:t>
      </w:r>
      <w:r>
        <w:rPr>
          <w:szCs w:val="20"/>
        </w:rPr>
        <w:t xml:space="preserve"> </w:t>
      </w:r>
      <w:r w:rsidRPr="00F01D45">
        <w:rPr>
          <w:szCs w:val="20"/>
        </w:rPr>
        <w:t>...</w:t>
      </w:r>
      <w:r>
        <w:rPr>
          <w:szCs w:val="20"/>
        </w:rPr>
        <w:t xml:space="preserve"> </w:t>
      </w:r>
      <w:r w:rsidRPr="00F01D45">
        <w:rPr>
          <w:szCs w:val="20"/>
        </w:rPr>
        <w:t>and</w:t>
      </w:r>
      <w:r>
        <w:rPr>
          <w:szCs w:val="20"/>
        </w:rPr>
        <w:t xml:space="preserve"> </w:t>
      </w:r>
      <w:r w:rsidRPr="00F01D45">
        <w:rPr>
          <w:szCs w:val="20"/>
        </w:rPr>
        <w:t>why</w:t>
      </w:r>
      <w:r>
        <w:rPr>
          <w:szCs w:val="20"/>
        </w:rPr>
        <w:t xml:space="preserve"> </w:t>
      </w:r>
      <w:r w:rsidRPr="00F01D45">
        <w:rPr>
          <w:szCs w:val="20"/>
        </w:rPr>
        <w:t>the</w:t>
      </w:r>
      <w:r>
        <w:rPr>
          <w:szCs w:val="20"/>
        </w:rPr>
        <w:t xml:space="preserve"> </w:t>
      </w:r>
      <w:r w:rsidRPr="00F01D45">
        <w:rPr>
          <w:szCs w:val="20"/>
        </w:rPr>
        <w:t>agency</w:t>
      </w:r>
      <w:r>
        <w:rPr>
          <w:szCs w:val="20"/>
        </w:rPr>
        <w:t xml:space="preserve"> </w:t>
      </w:r>
      <w:r w:rsidRPr="00F01D45">
        <w:rPr>
          <w:szCs w:val="20"/>
        </w:rPr>
        <w:t>reacted</w:t>
      </w:r>
      <w:r>
        <w:rPr>
          <w:szCs w:val="20"/>
        </w:rPr>
        <w:t xml:space="preserve"> </w:t>
      </w:r>
      <w:r w:rsidRPr="00F01D45">
        <w:rPr>
          <w:szCs w:val="20"/>
        </w:rPr>
        <w:t>to</w:t>
      </w:r>
      <w:r>
        <w:rPr>
          <w:szCs w:val="20"/>
        </w:rPr>
        <w:t xml:space="preserve"> </w:t>
      </w:r>
      <w:r w:rsidRPr="00F01D45">
        <w:rPr>
          <w:szCs w:val="20"/>
        </w:rPr>
        <w:t>them</w:t>
      </w:r>
      <w:r>
        <w:rPr>
          <w:szCs w:val="20"/>
        </w:rPr>
        <w:t xml:space="preserve"> </w:t>
      </w:r>
      <w:r w:rsidRPr="00F01D45">
        <w:rPr>
          <w:szCs w:val="20"/>
        </w:rPr>
        <w:t>as</w:t>
      </w:r>
      <w:r>
        <w:rPr>
          <w:szCs w:val="20"/>
        </w:rPr>
        <w:t xml:space="preserve"> </w:t>
      </w:r>
      <w:r w:rsidRPr="00F01D45">
        <w:rPr>
          <w:szCs w:val="20"/>
        </w:rPr>
        <w:t>it</w:t>
      </w:r>
      <w:r>
        <w:rPr>
          <w:szCs w:val="20"/>
        </w:rPr>
        <w:t xml:space="preserve"> </w:t>
      </w:r>
      <w:r w:rsidRPr="00F01D45">
        <w:rPr>
          <w:szCs w:val="20"/>
        </w:rPr>
        <w:t>did”</w:t>
      </w:r>
      <w:r>
        <w:rPr>
          <w:szCs w:val="20"/>
        </w:rPr>
        <w:t xml:space="preserve"> </w:t>
      </w:r>
      <w:r w:rsidRPr="00F01D45">
        <w:rPr>
          <w:szCs w:val="20"/>
        </w:rPr>
        <w:t>on</w:t>
      </w:r>
      <w:r>
        <w:rPr>
          <w:szCs w:val="20"/>
        </w:rPr>
        <w:t xml:space="preserve"> </w:t>
      </w:r>
      <w:r w:rsidRPr="00F01D45">
        <w:rPr>
          <w:szCs w:val="20"/>
        </w:rPr>
        <w:t>this</w:t>
      </w:r>
      <w:r>
        <w:rPr>
          <w:szCs w:val="20"/>
        </w:rPr>
        <w:t xml:space="preserve"> </w:t>
      </w:r>
      <w:r w:rsidRPr="00F01D45">
        <w:rPr>
          <w:szCs w:val="20"/>
        </w:rPr>
        <w:t>point.</w:t>
      </w:r>
      <w:r>
        <w:rPr>
          <w:szCs w:val="20"/>
        </w:rPr>
        <w:t xml:space="preserve"> </w:t>
      </w:r>
      <w:r w:rsidRPr="00F01D45">
        <w:rPr>
          <w:szCs w:val="20"/>
          <w:u w:val="single"/>
        </w:rPr>
        <w:t>Carlson</w:t>
      </w:r>
      <w:r w:rsidRPr="00F01D45">
        <w:rPr>
          <w:szCs w:val="20"/>
        </w:rPr>
        <w:t>,</w:t>
      </w:r>
      <w:r>
        <w:rPr>
          <w:szCs w:val="20"/>
        </w:rPr>
        <w:t xml:space="preserve"> </w:t>
      </w:r>
      <w:r w:rsidRPr="00F01D45">
        <w:rPr>
          <w:szCs w:val="20"/>
        </w:rPr>
        <w:t>938</w:t>
      </w:r>
      <w:r>
        <w:rPr>
          <w:szCs w:val="20"/>
        </w:rPr>
        <w:t xml:space="preserve"> </w:t>
      </w:r>
      <w:r w:rsidRPr="00F01D45">
        <w:rPr>
          <w:szCs w:val="20"/>
        </w:rPr>
        <w:t>F.3d</w:t>
      </w:r>
      <w:r>
        <w:rPr>
          <w:szCs w:val="20"/>
        </w:rPr>
        <w:t xml:space="preserve"> </w:t>
      </w:r>
      <w:r w:rsidRPr="00F01D45">
        <w:rPr>
          <w:szCs w:val="20"/>
        </w:rPr>
        <w:t>at</w:t>
      </w:r>
      <w:r>
        <w:rPr>
          <w:szCs w:val="20"/>
        </w:rPr>
        <w:t xml:space="preserve"> </w:t>
      </w:r>
      <w:r w:rsidRPr="00F01D45">
        <w:rPr>
          <w:szCs w:val="20"/>
        </w:rPr>
        <w:t>344</w:t>
      </w:r>
      <w:r>
        <w:rPr>
          <w:szCs w:val="20"/>
        </w:rPr>
        <w:t xml:space="preserve"> </w:t>
      </w:r>
      <w:r w:rsidRPr="00F01D45">
        <w:rPr>
          <w:szCs w:val="20"/>
        </w:rPr>
        <w:t>(quoting</w:t>
      </w:r>
      <w:r>
        <w:rPr>
          <w:szCs w:val="20"/>
        </w:rPr>
        <w:t xml:space="preserve"> </w:t>
      </w:r>
      <w:r w:rsidRPr="00F01D45">
        <w:rPr>
          <w:szCs w:val="20"/>
          <w:u w:val="single"/>
        </w:rPr>
        <w:t>Del.</w:t>
      </w:r>
      <w:r>
        <w:rPr>
          <w:szCs w:val="20"/>
        </w:rPr>
        <w:t xml:space="preserve"> </w:t>
      </w:r>
      <w:r w:rsidRPr="00F01D45">
        <w:rPr>
          <w:szCs w:val="20"/>
          <w:u w:val="single"/>
        </w:rPr>
        <w:t>Dep’t</w:t>
      </w:r>
      <w:r>
        <w:rPr>
          <w:szCs w:val="20"/>
          <w:u w:val="single"/>
        </w:rPr>
        <w:t xml:space="preserve"> </w:t>
      </w:r>
      <w:r w:rsidRPr="00F01D45">
        <w:rPr>
          <w:szCs w:val="20"/>
          <w:u w:val="single"/>
        </w:rPr>
        <w:t>of</w:t>
      </w:r>
      <w:r>
        <w:rPr>
          <w:szCs w:val="20"/>
          <w:u w:val="single"/>
        </w:rPr>
        <w:t xml:space="preserve"> </w:t>
      </w:r>
      <w:r w:rsidRPr="00F01D45">
        <w:rPr>
          <w:szCs w:val="20"/>
          <w:u w:val="single"/>
        </w:rPr>
        <w:t>Nat.</w:t>
      </w:r>
      <w:r>
        <w:rPr>
          <w:szCs w:val="20"/>
          <w:u w:val="single"/>
        </w:rPr>
        <w:t xml:space="preserve"> </w:t>
      </w:r>
      <w:r w:rsidRPr="00F01D45">
        <w:rPr>
          <w:szCs w:val="20"/>
          <w:u w:val="single"/>
        </w:rPr>
        <w:t>Res.</w:t>
      </w:r>
      <w:r>
        <w:rPr>
          <w:szCs w:val="20"/>
          <w:u w:val="single"/>
        </w:rPr>
        <w:t xml:space="preserve"> </w:t>
      </w:r>
      <w:r w:rsidRPr="00F01D45">
        <w:rPr>
          <w:szCs w:val="20"/>
          <w:u w:val="single"/>
        </w:rPr>
        <w:t>&amp;</w:t>
      </w:r>
      <w:r>
        <w:rPr>
          <w:szCs w:val="20"/>
          <w:u w:val="single"/>
        </w:rPr>
        <w:t xml:space="preserve"> </w:t>
      </w:r>
      <w:r w:rsidRPr="00F01D45">
        <w:rPr>
          <w:szCs w:val="20"/>
          <w:u w:val="single"/>
        </w:rPr>
        <w:t>Envtl.</w:t>
      </w:r>
      <w:r>
        <w:rPr>
          <w:szCs w:val="20"/>
          <w:u w:val="single"/>
        </w:rPr>
        <w:t xml:space="preserve"> </w:t>
      </w:r>
      <w:r w:rsidRPr="00F01D45">
        <w:rPr>
          <w:szCs w:val="20"/>
          <w:u w:val="single"/>
        </w:rPr>
        <w:t>Control</w:t>
      </w:r>
      <w:r w:rsidRPr="00F01D45">
        <w:rPr>
          <w:szCs w:val="20"/>
        </w:rPr>
        <w:t>,</w:t>
      </w:r>
      <w:r>
        <w:rPr>
          <w:szCs w:val="20"/>
        </w:rPr>
        <w:t xml:space="preserve"> </w:t>
      </w:r>
      <w:r w:rsidRPr="00F01D45">
        <w:rPr>
          <w:szCs w:val="20"/>
        </w:rPr>
        <w:t>785</w:t>
      </w:r>
      <w:r>
        <w:rPr>
          <w:szCs w:val="20"/>
        </w:rPr>
        <w:t xml:space="preserve"> </w:t>
      </w:r>
      <w:r w:rsidRPr="00F01D45">
        <w:rPr>
          <w:szCs w:val="20"/>
        </w:rPr>
        <w:t>F.3d</w:t>
      </w:r>
      <w:r>
        <w:rPr>
          <w:szCs w:val="20"/>
        </w:rPr>
        <w:t xml:space="preserve"> </w:t>
      </w:r>
      <w:r w:rsidRPr="00F01D45">
        <w:rPr>
          <w:szCs w:val="20"/>
        </w:rPr>
        <w:t>at</w:t>
      </w:r>
      <w:r>
        <w:rPr>
          <w:szCs w:val="20"/>
        </w:rPr>
        <w:t xml:space="preserve"> </w:t>
      </w:r>
      <w:r w:rsidRPr="00F01D45">
        <w:rPr>
          <w:szCs w:val="20"/>
        </w:rPr>
        <w:t>17).</w:t>
      </w:r>
      <w:r>
        <w:rPr>
          <w:szCs w:val="20"/>
        </w:rPr>
        <w:t xml:space="preserve"> </w:t>
      </w:r>
    </w:p>
    <w:p w:rsidR="007649DB" w:rsidRDefault="007649DB" w:rsidP="007649DB">
      <w:pPr>
        <w:pStyle w:val="Body15"/>
        <w:spacing w:before="240"/>
        <w:rPr>
          <w:color w:val="000000" w:themeColor="text1"/>
        </w:rPr>
      </w:pPr>
      <w:r>
        <w:rPr>
          <w:color w:val="000000" w:themeColor="text1"/>
        </w:rPr>
        <w:t>Three judges agreed with portions of Judge Toro’s opinion.</w:t>
      </w:r>
    </w:p>
    <w:p w:rsidR="007649DB" w:rsidRDefault="007649DB" w:rsidP="007649DB">
      <w:pPr>
        <w:pStyle w:val="Body15"/>
        <w:spacing w:before="240"/>
        <w:rPr>
          <w:color w:val="000000" w:themeColor="text1"/>
        </w:rPr>
      </w:pPr>
      <w:r>
        <w:rPr>
          <w:color w:val="000000" w:themeColor="text1"/>
        </w:rPr>
        <w:t>The dissent reviewed multiple comments to Treasury’s proposed regulation and then turned to Treasury’s response:</w:t>
      </w:r>
    </w:p>
    <w:p w:rsidR="007649DB" w:rsidRPr="003D2498" w:rsidRDefault="007649DB" w:rsidP="007649DB">
      <w:pPr>
        <w:pStyle w:val="QS10"/>
        <w:rPr>
          <w:szCs w:val="20"/>
        </w:rPr>
      </w:pPr>
      <w:r w:rsidRPr="003D2498">
        <w:rPr>
          <w:szCs w:val="20"/>
        </w:rPr>
        <w:t>What</w:t>
      </w:r>
      <w:r>
        <w:rPr>
          <w:szCs w:val="20"/>
        </w:rPr>
        <w:t xml:space="preserve"> </w:t>
      </w:r>
      <w:r w:rsidRPr="003D2498">
        <w:rPr>
          <w:szCs w:val="20"/>
        </w:rPr>
        <w:t>we</w:t>
      </w:r>
      <w:r>
        <w:rPr>
          <w:szCs w:val="20"/>
        </w:rPr>
        <w:t xml:space="preserve"> </w:t>
      </w:r>
      <w:r w:rsidRPr="003D2498">
        <w:rPr>
          <w:szCs w:val="20"/>
        </w:rPr>
        <w:t>hear</w:t>
      </w:r>
      <w:r>
        <w:rPr>
          <w:szCs w:val="20"/>
        </w:rPr>
        <w:t xml:space="preserve"> </w:t>
      </w:r>
      <w:r w:rsidRPr="003D2498">
        <w:rPr>
          <w:szCs w:val="20"/>
        </w:rPr>
        <w:t>is</w:t>
      </w:r>
      <w:r>
        <w:rPr>
          <w:szCs w:val="20"/>
        </w:rPr>
        <w:t xml:space="preserve"> </w:t>
      </w:r>
      <w:r w:rsidRPr="003D2498">
        <w:rPr>
          <w:szCs w:val="20"/>
        </w:rPr>
        <w:t>the</w:t>
      </w:r>
      <w:r>
        <w:rPr>
          <w:szCs w:val="20"/>
        </w:rPr>
        <w:t xml:space="preserve"> </w:t>
      </w:r>
      <w:r w:rsidRPr="003D2498">
        <w:rPr>
          <w:szCs w:val="20"/>
        </w:rPr>
        <w:t>chirping</w:t>
      </w:r>
      <w:r>
        <w:rPr>
          <w:szCs w:val="20"/>
        </w:rPr>
        <w:t xml:space="preserve"> </w:t>
      </w:r>
      <w:r w:rsidRPr="003D2498">
        <w:rPr>
          <w:szCs w:val="20"/>
        </w:rPr>
        <w:t>of</w:t>
      </w:r>
      <w:r>
        <w:rPr>
          <w:szCs w:val="20"/>
        </w:rPr>
        <w:t xml:space="preserve"> </w:t>
      </w:r>
      <w:r w:rsidRPr="003D2498">
        <w:rPr>
          <w:szCs w:val="20"/>
        </w:rPr>
        <w:t>crickets.</w:t>
      </w:r>
    </w:p>
    <w:p w:rsidR="007649DB" w:rsidRPr="003D2498" w:rsidRDefault="007649DB" w:rsidP="007649DB">
      <w:pPr>
        <w:pStyle w:val="QS10"/>
        <w:rPr>
          <w:szCs w:val="20"/>
        </w:rPr>
      </w:pPr>
      <w:r w:rsidRPr="003D2498">
        <w:rPr>
          <w:szCs w:val="20"/>
        </w:rPr>
        <w:t>The</w:t>
      </w:r>
      <w:r>
        <w:rPr>
          <w:szCs w:val="20"/>
        </w:rPr>
        <w:t xml:space="preserve"> </w:t>
      </w:r>
      <w:r w:rsidRPr="003D2498">
        <w:rPr>
          <w:szCs w:val="20"/>
        </w:rPr>
        <w:t>Final</w:t>
      </w:r>
      <w:r>
        <w:rPr>
          <w:szCs w:val="20"/>
        </w:rPr>
        <w:t xml:space="preserve"> </w:t>
      </w:r>
      <w:r w:rsidRPr="003D2498">
        <w:rPr>
          <w:szCs w:val="20"/>
        </w:rPr>
        <w:t>Rule’s</w:t>
      </w:r>
      <w:r>
        <w:rPr>
          <w:szCs w:val="20"/>
        </w:rPr>
        <w:t xml:space="preserve"> </w:t>
      </w:r>
      <w:r w:rsidRPr="003D2498">
        <w:rPr>
          <w:szCs w:val="20"/>
        </w:rPr>
        <w:t>statement</w:t>
      </w:r>
      <w:r>
        <w:rPr>
          <w:szCs w:val="20"/>
        </w:rPr>
        <w:t xml:space="preserve"> </w:t>
      </w:r>
      <w:r w:rsidRPr="003D2498">
        <w:rPr>
          <w:szCs w:val="20"/>
        </w:rPr>
        <w:t>of</w:t>
      </w:r>
      <w:r>
        <w:rPr>
          <w:szCs w:val="20"/>
        </w:rPr>
        <w:t xml:space="preserve"> </w:t>
      </w:r>
      <w:r w:rsidRPr="003D2498">
        <w:rPr>
          <w:szCs w:val="20"/>
        </w:rPr>
        <w:t>basis</w:t>
      </w:r>
      <w:r>
        <w:rPr>
          <w:szCs w:val="20"/>
        </w:rPr>
        <w:t xml:space="preserve"> </w:t>
      </w:r>
      <w:r w:rsidRPr="003D2498">
        <w:rPr>
          <w:szCs w:val="20"/>
        </w:rPr>
        <w:t>and</w:t>
      </w:r>
      <w:r>
        <w:rPr>
          <w:szCs w:val="20"/>
        </w:rPr>
        <w:t xml:space="preserve"> </w:t>
      </w:r>
      <w:r w:rsidRPr="003D2498">
        <w:rPr>
          <w:szCs w:val="20"/>
        </w:rPr>
        <w:t>purpose</w:t>
      </w:r>
      <w:r>
        <w:rPr>
          <w:szCs w:val="20"/>
        </w:rPr>
        <w:t xml:space="preserve"> </w:t>
      </w:r>
      <w:r w:rsidRPr="003D2498">
        <w:rPr>
          <w:szCs w:val="20"/>
        </w:rPr>
        <w:t>shows</w:t>
      </w:r>
      <w:r>
        <w:rPr>
          <w:szCs w:val="20"/>
        </w:rPr>
        <w:t xml:space="preserve"> </w:t>
      </w:r>
      <w:r w:rsidRPr="003D2498">
        <w:rPr>
          <w:szCs w:val="20"/>
        </w:rPr>
        <w:t>absolutely</w:t>
      </w:r>
      <w:r>
        <w:rPr>
          <w:szCs w:val="20"/>
        </w:rPr>
        <w:t xml:space="preserve"> </w:t>
      </w:r>
      <w:r w:rsidRPr="003D2498">
        <w:rPr>
          <w:szCs w:val="20"/>
        </w:rPr>
        <w:t>no</w:t>
      </w:r>
      <w:r>
        <w:rPr>
          <w:szCs w:val="20"/>
        </w:rPr>
        <w:t xml:space="preserve"> </w:t>
      </w:r>
      <w:r w:rsidRPr="003D2498">
        <w:rPr>
          <w:szCs w:val="20"/>
        </w:rPr>
        <w:t>mention</w:t>
      </w:r>
      <w:r>
        <w:rPr>
          <w:szCs w:val="20"/>
        </w:rPr>
        <w:t xml:space="preserve"> </w:t>
      </w:r>
      <w:r w:rsidRPr="003D2498">
        <w:rPr>
          <w:szCs w:val="20"/>
        </w:rPr>
        <w:t>of</w:t>
      </w:r>
      <w:r>
        <w:rPr>
          <w:szCs w:val="20"/>
        </w:rPr>
        <w:t xml:space="preserve"> </w:t>
      </w:r>
      <w:r w:rsidRPr="003D2498">
        <w:rPr>
          <w:szCs w:val="20"/>
        </w:rPr>
        <w:t>the</w:t>
      </w:r>
      <w:r>
        <w:rPr>
          <w:szCs w:val="20"/>
        </w:rPr>
        <w:t xml:space="preserve"> </w:t>
      </w:r>
      <w:r w:rsidRPr="003D2498">
        <w:rPr>
          <w:szCs w:val="20"/>
        </w:rPr>
        <w:t>extinguishment-proceeds</w:t>
      </w:r>
      <w:r>
        <w:rPr>
          <w:szCs w:val="20"/>
        </w:rPr>
        <w:t xml:space="preserve"> </w:t>
      </w:r>
      <w:r w:rsidRPr="003D2498">
        <w:rPr>
          <w:szCs w:val="20"/>
        </w:rPr>
        <w:t>clause</w:t>
      </w:r>
      <w:r>
        <w:rPr>
          <w:szCs w:val="20"/>
        </w:rPr>
        <w:t xml:space="preserve"> </w:t>
      </w:r>
      <w:r w:rsidRPr="003D2498">
        <w:rPr>
          <w:szCs w:val="20"/>
        </w:rPr>
        <w:t>at</w:t>
      </w:r>
      <w:r>
        <w:rPr>
          <w:szCs w:val="20"/>
        </w:rPr>
        <w:t xml:space="preserve"> </w:t>
      </w:r>
      <w:r w:rsidRPr="003D2498">
        <w:rPr>
          <w:szCs w:val="20"/>
        </w:rPr>
        <w:t>all,</w:t>
      </w:r>
      <w:r>
        <w:rPr>
          <w:szCs w:val="20"/>
        </w:rPr>
        <w:t xml:space="preserve"> </w:t>
      </w:r>
      <w:r w:rsidRPr="003D2498">
        <w:rPr>
          <w:szCs w:val="20"/>
        </w:rPr>
        <w:t>much</w:t>
      </w:r>
      <w:r>
        <w:rPr>
          <w:szCs w:val="20"/>
        </w:rPr>
        <w:t xml:space="preserve"> </w:t>
      </w:r>
      <w:r w:rsidRPr="003D2498">
        <w:rPr>
          <w:szCs w:val="20"/>
        </w:rPr>
        <w:t>less</w:t>
      </w:r>
      <w:r>
        <w:rPr>
          <w:szCs w:val="20"/>
        </w:rPr>
        <w:t xml:space="preserve"> </w:t>
      </w:r>
      <w:r w:rsidRPr="003D2498">
        <w:rPr>
          <w:szCs w:val="20"/>
        </w:rPr>
        <w:t>any</w:t>
      </w:r>
      <w:r>
        <w:rPr>
          <w:szCs w:val="20"/>
        </w:rPr>
        <w:t xml:space="preserve"> </w:t>
      </w:r>
      <w:r w:rsidRPr="003D2498">
        <w:rPr>
          <w:szCs w:val="20"/>
        </w:rPr>
        <w:t>mention</w:t>
      </w:r>
      <w:r>
        <w:rPr>
          <w:szCs w:val="20"/>
        </w:rPr>
        <w:t xml:space="preserve"> </w:t>
      </w:r>
      <w:r w:rsidRPr="003D2498">
        <w:rPr>
          <w:szCs w:val="20"/>
        </w:rPr>
        <w:t>of</w:t>
      </w:r>
      <w:r>
        <w:rPr>
          <w:szCs w:val="20"/>
        </w:rPr>
        <w:t xml:space="preserve"> </w:t>
      </w:r>
      <w:r w:rsidRPr="003D2498">
        <w:rPr>
          <w:szCs w:val="20"/>
        </w:rPr>
        <w:t>the</w:t>
      </w:r>
      <w:r>
        <w:rPr>
          <w:szCs w:val="20"/>
        </w:rPr>
        <w:t xml:space="preserve"> </w:t>
      </w:r>
      <w:r w:rsidRPr="003D2498">
        <w:rPr>
          <w:szCs w:val="20"/>
        </w:rPr>
        <w:t>proportionate-share</w:t>
      </w:r>
      <w:r>
        <w:rPr>
          <w:szCs w:val="20"/>
        </w:rPr>
        <w:t xml:space="preserve"> </w:t>
      </w:r>
      <w:r w:rsidRPr="003D2498">
        <w:rPr>
          <w:szCs w:val="20"/>
        </w:rPr>
        <w:t>or</w:t>
      </w:r>
      <w:r>
        <w:rPr>
          <w:szCs w:val="20"/>
        </w:rPr>
        <w:t xml:space="preserve"> </w:t>
      </w:r>
      <w:r w:rsidRPr="003D2498">
        <w:rPr>
          <w:szCs w:val="20"/>
        </w:rPr>
        <w:t>improvements</w:t>
      </w:r>
      <w:r>
        <w:rPr>
          <w:szCs w:val="20"/>
        </w:rPr>
        <w:t xml:space="preserve"> </w:t>
      </w:r>
      <w:r w:rsidRPr="003D2498">
        <w:rPr>
          <w:szCs w:val="20"/>
        </w:rPr>
        <w:t>problems--and</w:t>
      </w:r>
      <w:r>
        <w:rPr>
          <w:szCs w:val="20"/>
        </w:rPr>
        <w:t xml:space="preserve"> </w:t>
      </w:r>
      <w:r w:rsidRPr="003D2498">
        <w:rPr>
          <w:szCs w:val="20"/>
        </w:rPr>
        <w:t>no</w:t>
      </w:r>
      <w:r>
        <w:rPr>
          <w:szCs w:val="20"/>
        </w:rPr>
        <w:t xml:space="preserve"> </w:t>
      </w:r>
      <w:r w:rsidRPr="003D2498">
        <w:rPr>
          <w:szCs w:val="20"/>
        </w:rPr>
        <w:t>reasoned</w:t>
      </w:r>
      <w:r>
        <w:rPr>
          <w:szCs w:val="20"/>
        </w:rPr>
        <w:t xml:space="preserve"> </w:t>
      </w:r>
      <w:r w:rsidRPr="003D2498">
        <w:rPr>
          <w:szCs w:val="20"/>
        </w:rPr>
        <w:t>response</w:t>
      </w:r>
      <w:r>
        <w:rPr>
          <w:szCs w:val="20"/>
        </w:rPr>
        <w:t xml:space="preserve"> </w:t>
      </w:r>
      <w:r w:rsidRPr="003D2498">
        <w:rPr>
          <w:szCs w:val="20"/>
        </w:rPr>
        <w:t>to</w:t>
      </w:r>
      <w:r>
        <w:rPr>
          <w:szCs w:val="20"/>
        </w:rPr>
        <w:t xml:space="preserve"> </w:t>
      </w:r>
      <w:r w:rsidRPr="003D2498">
        <w:rPr>
          <w:szCs w:val="20"/>
        </w:rPr>
        <w:t>any</w:t>
      </w:r>
      <w:r>
        <w:rPr>
          <w:szCs w:val="20"/>
        </w:rPr>
        <w:t xml:space="preserve"> </w:t>
      </w:r>
      <w:r w:rsidRPr="003D2498">
        <w:rPr>
          <w:szCs w:val="20"/>
        </w:rPr>
        <w:t>of</w:t>
      </w:r>
      <w:r>
        <w:rPr>
          <w:szCs w:val="20"/>
        </w:rPr>
        <w:t xml:space="preserve"> </w:t>
      </w:r>
      <w:r w:rsidRPr="003D2498">
        <w:rPr>
          <w:szCs w:val="20"/>
        </w:rPr>
        <w:t>the</w:t>
      </w:r>
      <w:r>
        <w:rPr>
          <w:szCs w:val="20"/>
        </w:rPr>
        <w:t xml:space="preserve"> </w:t>
      </w:r>
      <w:r w:rsidRPr="003D2498">
        <w:rPr>
          <w:szCs w:val="20"/>
        </w:rPr>
        <w:t>public’s</w:t>
      </w:r>
      <w:r>
        <w:rPr>
          <w:szCs w:val="20"/>
        </w:rPr>
        <w:t xml:space="preserve"> </w:t>
      </w:r>
      <w:r w:rsidRPr="003D2498">
        <w:rPr>
          <w:szCs w:val="20"/>
        </w:rPr>
        <w:t>comments</w:t>
      </w:r>
      <w:r>
        <w:rPr>
          <w:szCs w:val="20"/>
        </w:rPr>
        <w:t xml:space="preserve"> </w:t>
      </w:r>
      <w:r w:rsidRPr="003D2498">
        <w:rPr>
          <w:szCs w:val="20"/>
        </w:rPr>
        <w:t>on</w:t>
      </w:r>
      <w:r>
        <w:rPr>
          <w:szCs w:val="20"/>
        </w:rPr>
        <w:t xml:space="preserve"> </w:t>
      </w:r>
      <w:r w:rsidRPr="003D2498">
        <w:rPr>
          <w:szCs w:val="20"/>
        </w:rPr>
        <w:t>those</w:t>
      </w:r>
      <w:r>
        <w:rPr>
          <w:szCs w:val="20"/>
        </w:rPr>
        <w:t xml:space="preserve"> </w:t>
      </w:r>
      <w:r w:rsidRPr="003D2498">
        <w:rPr>
          <w:szCs w:val="20"/>
        </w:rPr>
        <w:t>provisions.</w:t>
      </w:r>
      <w:hyperlink r:id="rId145" w:anchor="co_footnote_B00362050952136" w:history="1">
        <w:r w:rsidRPr="003D2498">
          <w:rPr>
            <w:rStyle w:val="Hyperlink"/>
            <w:color w:val="auto"/>
            <w:szCs w:val="20"/>
            <w:vertAlign w:val="superscript"/>
          </w:rPr>
          <w:t>9</w:t>
        </w:r>
      </w:hyperlink>
      <w:r>
        <w:rPr>
          <w:szCs w:val="20"/>
        </w:rPr>
        <w:t xml:space="preserve"> </w:t>
      </w:r>
      <w:r w:rsidRPr="003D2498">
        <w:rPr>
          <w:szCs w:val="20"/>
        </w:rPr>
        <w:t>The</w:t>
      </w:r>
      <w:r>
        <w:rPr>
          <w:szCs w:val="20"/>
        </w:rPr>
        <w:t xml:space="preserve"> </w:t>
      </w:r>
      <w:r w:rsidRPr="003D2498">
        <w:rPr>
          <w:szCs w:val="20"/>
        </w:rPr>
        <w:t>majority</w:t>
      </w:r>
      <w:r>
        <w:rPr>
          <w:szCs w:val="20"/>
        </w:rPr>
        <w:t xml:space="preserve"> </w:t>
      </w:r>
      <w:r w:rsidRPr="003D2498">
        <w:rPr>
          <w:szCs w:val="20"/>
        </w:rPr>
        <w:t>doesn’t</w:t>
      </w:r>
      <w:r>
        <w:rPr>
          <w:szCs w:val="20"/>
        </w:rPr>
        <w:t xml:space="preserve"> </w:t>
      </w:r>
      <w:r w:rsidRPr="003D2498">
        <w:rPr>
          <w:szCs w:val="20"/>
        </w:rPr>
        <w:t>deny</w:t>
      </w:r>
      <w:r>
        <w:rPr>
          <w:szCs w:val="20"/>
        </w:rPr>
        <w:t xml:space="preserve"> </w:t>
      </w:r>
      <w:r w:rsidRPr="003D2498">
        <w:rPr>
          <w:szCs w:val="20"/>
        </w:rPr>
        <w:t>this,</w:t>
      </w:r>
      <w:r>
        <w:rPr>
          <w:szCs w:val="20"/>
        </w:rPr>
        <w:t xml:space="preserve"> </w:t>
      </w:r>
      <w:r w:rsidRPr="003D2498">
        <w:rPr>
          <w:szCs w:val="20"/>
          <w:u w:val="single"/>
        </w:rPr>
        <w:t>see</w:t>
      </w:r>
      <w:r>
        <w:rPr>
          <w:szCs w:val="20"/>
        </w:rPr>
        <w:t xml:space="preserve"> </w:t>
      </w:r>
      <w:r w:rsidRPr="003D2498">
        <w:rPr>
          <w:szCs w:val="20"/>
        </w:rPr>
        <w:t>op.</w:t>
      </w:r>
      <w:r>
        <w:rPr>
          <w:szCs w:val="20"/>
        </w:rPr>
        <w:t xml:space="preserve"> </w:t>
      </w:r>
      <w:r w:rsidRPr="003D2498">
        <w:rPr>
          <w:szCs w:val="20"/>
        </w:rPr>
        <w:t>Ct.</w:t>
      </w:r>
      <w:r>
        <w:rPr>
          <w:szCs w:val="20"/>
        </w:rPr>
        <w:t xml:space="preserve"> </w:t>
      </w:r>
      <w:r w:rsidRPr="003D2498">
        <w:rPr>
          <w:szCs w:val="20"/>
        </w:rPr>
        <w:t>pp.</w:t>
      </w:r>
      <w:r>
        <w:rPr>
          <w:szCs w:val="20"/>
        </w:rPr>
        <w:t xml:space="preserve"> </w:t>
      </w:r>
      <w:r w:rsidRPr="003D2498">
        <w:rPr>
          <w:szCs w:val="20"/>
        </w:rPr>
        <w:t>23-25,</w:t>
      </w:r>
      <w:r>
        <w:rPr>
          <w:szCs w:val="20"/>
        </w:rPr>
        <w:t xml:space="preserve"> </w:t>
      </w:r>
      <w:r w:rsidRPr="003D2498">
        <w:rPr>
          <w:szCs w:val="20"/>
        </w:rPr>
        <w:t>and</w:t>
      </w:r>
      <w:r>
        <w:rPr>
          <w:szCs w:val="20"/>
        </w:rPr>
        <w:t xml:space="preserve"> </w:t>
      </w:r>
      <w:r w:rsidRPr="003D2498">
        <w:rPr>
          <w:szCs w:val="20"/>
        </w:rPr>
        <w:t>we</w:t>
      </w:r>
      <w:r>
        <w:rPr>
          <w:szCs w:val="20"/>
        </w:rPr>
        <w:t xml:space="preserve"> </w:t>
      </w:r>
      <w:r w:rsidRPr="003D2498">
        <w:rPr>
          <w:szCs w:val="20"/>
        </w:rPr>
        <w:t>aren’t</w:t>
      </w:r>
      <w:r>
        <w:rPr>
          <w:szCs w:val="20"/>
        </w:rPr>
        <w:t xml:space="preserve"> </w:t>
      </w:r>
      <w:r w:rsidRPr="003D2498">
        <w:rPr>
          <w:szCs w:val="20"/>
        </w:rPr>
        <w:t>even</w:t>
      </w:r>
      <w:r>
        <w:rPr>
          <w:szCs w:val="20"/>
        </w:rPr>
        <w:t xml:space="preserve"> </w:t>
      </w:r>
      <w:r w:rsidRPr="003D2498">
        <w:rPr>
          <w:szCs w:val="20"/>
        </w:rPr>
        <w:t>the</w:t>
      </w:r>
      <w:r>
        <w:rPr>
          <w:szCs w:val="20"/>
        </w:rPr>
        <w:t xml:space="preserve"> </w:t>
      </w:r>
      <w:r w:rsidRPr="003D2498">
        <w:rPr>
          <w:szCs w:val="20"/>
        </w:rPr>
        <w:t>first</w:t>
      </w:r>
      <w:r>
        <w:rPr>
          <w:szCs w:val="20"/>
        </w:rPr>
        <w:t xml:space="preserve"> </w:t>
      </w:r>
      <w:r w:rsidRPr="003D2498">
        <w:rPr>
          <w:szCs w:val="20"/>
        </w:rPr>
        <w:t>court</w:t>
      </w:r>
      <w:r>
        <w:rPr>
          <w:szCs w:val="20"/>
        </w:rPr>
        <w:t xml:space="preserve"> </w:t>
      </w:r>
      <w:r w:rsidRPr="003D2498">
        <w:rPr>
          <w:szCs w:val="20"/>
        </w:rPr>
        <w:t>to</w:t>
      </w:r>
      <w:r>
        <w:rPr>
          <w:szCs w:val="20"/>
        </w:rPr>
        <w:t xml:space="preserve"> </w:t>
      </w:r>
      <w:r w:rsidRPr="003D2498">
        <w:rPr>
          <w:szCs w:val="20"/>
        </w:rPr>
        <w:t>notice:</w:t>
      </w:r>
      <w:r>
        <w:rPr>
          <w:szCs w:val="20"/>
        </w:rPr>
        <w:t xml:space="preserve"> </w:t>
      </w:r>
      <w:r w:rsidRPr="003D2498">
        <w:rPr>
          <w:szCs w:val="20"/>
        </w:rPr>
        <w:t>In</w:t>
      </w:r>
      <w:r>
        <w:rPr>
          <w:szCs w:val="20"/>
        </w:rPr>
        <w:t xml:space="preserve"> </w:t>
      </w:r>
      <w:r w:rsidRPr="003D2498">
        <w:rPr>
          <w:szCs w:val="20"/>
          <w:u w:val="single"/>
        </w:rPr>
        <w:t>Kaufman</w:t>
      </w:r>
      <w:r>
        <w:rPr>
          <w:szCs w:val="20"/>
          <w:u w:val="single"/>
        </w:rPr>
        <w:t xml:space="preserve"> </w:t>
      </w:r>
      <w:r w:rsidRPr="003D2498">
        <w:rPr>
          <w:szCs w:val="20"/>
          <w:u w:val="single"/>
        </w:rPr>
        <w:t>v.</w:t>
      </w:r>
      <w:r>
        <w:rPr>
          <w:szCs w:val="20"/>
          <w:u w:val="single"/>
        </w:rPr>
        <w:t xml:space="preserve"> </w:t>
      </w:r>
      <w:r w:rsidRPr="003D2498">
        <w:rPr>
          <w:szCs w:val="20"/>
          <w:u w:val="single"/>
        </w:rPr>
        <w:t>Shulman</w:t>
      </w:r>
      <w:r w:rsidRPr="003D2498">
        <w:rPr>
          <w:szCs w:val="20"/>
        </w:rPr>
        <w:t>,</w:t>
      </w:r>
      <w:r>
        <w:rPr>
          <w:szCs w:val="20"/>
        </w:rPr>
        <w:t xml:space="preserve"> </w:t>
      </w:r>
      <w:r w:rsidRPr="003D2498">
        <w:rPr>
          <w:szCs w:val="20"/>
        </w:rPr>
        <w:t>687</w:t>
      </w:r>
      <w:r>
        <w:rPr>
          <w:szCs w:val="20"/>
        </w:rPr>
        <w:t xml:space="preserve"> </w:t>
      </w:r>
      <w:r w:rsidRPr="003D2498">
        <w:rPr>
          <w:szCs w:val="20"/>
        </w:rPr>
        <w:t>F.3d</w:t>
      </w:r>
      <w:r>
        <w:rPr>
          <w:szCs w:val="20"/>
        </w:rPr>
        <w:t xml:space="preserve"> </w:t>
      </w:r>
      <w:r w:rsidRPr="003D2498">
        <w:rPr>
          <w:szCs w:val="20"/>
        </w:rPr>
        <w:t>21,</w:t>
      </w:r>
      <w:r>
        <w:rPr>
          <w:szCs w:val="20"/>
        </w:rPr>
        <w:t xml:space="preserve"> </w:t>
      </w:r>
      <w:r w:rsidRPr="003D2498">
        <w:rPr>
          <w:szCs w:val="20"/>
        </w:rPr>
        <w:t>26</w:t>
      </w:r>
      <w:r>
        <w:rPr>
          <w:szCs w:val="20"/>
        </w:rPr>
        <w:t xml:space="preserve"> </w:t>
      </w:r>
      <w:r w:rsidRPr="003D2498">
        <w:rPr>
          <w:szCs w:val="20"/>
        </w:rPr>
        <w:t>(1st</w:t>
      </w:r>
      <w:r>
        <w:rPr>
          <w:szCs w:val="20"/>
        </w:rPr>
        <w:t xml:space="preserve"> </w:t>
      </w:r>
      <w:r w:rsidRPr="003D2498">
        <w:rPr>
          <w:szCs w:val="20"/>
        </w:rPr>
        <w:t>Cir.</w:t>
      </w:r>
      <w:r>
        <w:rPr>
          <w:szCs w:val="20"/>
        </w:rPr>
        <w:t xml:space="preserve"> </w:t>
      </w:r>
      <w:r w:rsidRPr="003D2498">
        <w:rPr>
          <w:szCs w:val="20"/>
        </w:rPr>
        <w:t>2012),</w:t>
      </w:r>
      <w:r>
        <w:rPr>
          <w:szCs w:val="20"/>
        </w:rPr>
        <w:t xml:space="preserve"> </w:t>
      </w:r>
      <w:r w:rsidRPr="003D2498">
        <w:rPr>
          <w:szCs w:val="20"/>
        </w:rPr>
        <w:t>the</w:t>
      </w:r>
      <w:r>
        <w:rPr>
          <w:szCs w:val="20"/>
        </w:rPr>
        <w:t xml:space="preserve"> </w:t>
      </w:r>
      <w:r w:rsidRPr="003D2498">
        <w:rPr>
          <w:szCs w:val="20"/>
        </w:rPr>
        <w:t>First</w:t>
      </w:r>
      <w:r>
        <w:rPr>
          <w:szCs w:val="20"/>
        </w:rPr>
        <w:t xml:space="preserve"> </w:t>
      </w:r>
      <w:r w:rsidRPr="003D2498">
        <w:rPr>
          <w:szCs w:val="20"/>
        </w:rPr>
        <w:t>Circuit</w:t>
      </w:r>
      <w:r>
        <w:rPr>
          <w:szCs w:val="20"/>
        </w:rPr>
        <w:t xml:space="preserve"> </w:t>
      </w:r>
      <w:r w:rsidRPr="003D2498">
        <w:rPr>
          <w:szCs w:val="20"/>
        </w:rPr>
        <w:t>was</w:t>
      </w:r>
      <w:r>
        <w:rPr>
          <w:szCs w:val="20"/>
        </w:rPr>
        <w:t xml:space="preserve"> </w:t>
      </w:r>
      <w:r w:rsidRPr="003D2498">
        <w:rPr>
          <w:szCs w:val="20"/>
        </w:rPr>
        <w:t>forced</w:t>
      </w:r>
      <w:r>
        <w:rPr>
          <w:szCs w:val="20"/>
        </w:rPr>
        <w:t xml:space="preserve"> </w:t>
      </w:r>
      <w:r w:rsidRPr="003D2498">
        <w:rPr>
          <w:szCs w:val="20"/>
        </w:rPr>
        <w:t>to</w:t>
      </w:r>
      <w:r>
        <w:rPr>
          <w:szCs w:val="20"/>
        </w:rPr>
        <w:t xml:space="preserve"> </w:t>
      </w:r>
      <w:r w:rsidRPr="003D2498">
        <w:rPr>
          <w:szCs w:val="20"/>
        </w:rPr>
        <w:t>guess</w:t>
      </w:r>
      <w:r>
        <w:rPr>
          <w:szCs w:val="20"/>
        </w:rPr>
        <w:t xml:space="preserve"> </w:t>
      </w:r>
      <w:r w:rsidRPr="003D2498">
        <w:rPr>
          <w:szCs w:val="20"/>
        </w:rPr>
        <w:t>at</w:t>
      </w:r>
      <w:r>
        <w:rPr>
          <w:szCs w:val="20"/>
        </w:rPr>
        <w:t xml:space="preserve"> </w:t>
      </w:r>
      <w:r w:rsidRPr="003D2498">
        <w:rPr>
          <w:szCs w:val="20"/>
        </w:rPr>
        <w:t>the</w:t>
      </w:r>
      <w:r>
        <w:rPr>
          <w:szCs w:val="20"/>
        </w:rPr>
        <w:t xml:space="preserve"> </w:t>
      </w:r>
      <w:r w:rsidRPr="003D2498">
        <w:rPr>
          <w:szCs w:val="20"/>
        </w:rPr>
        <w:t>apparent</w:t>
      </w:r>
      <w:r>
        <w:rPr>
          <w:szCs w:val="20"/>
        </w:rPr>
        <w:t xml:space="preserve"> </w:t>
      </w:r>
      <w:r w:rsidRPr="003D2498">
        <w:rPr>
          <w:szCs w:val="20"/>
        </w:rPr>
        <w:t>purpose</w:t>
      </w:r>
      <w:r>
        <w:rPr>
          <w:szCs w:val="20"/>
        </w:rPr>
        <w:t xml:space="preserve"> </w:t>
      </w:r>
      <w:r w:rsidRPr="003D2498">
        <w:rPr>
          <w:szCs w:val="20"/>
        </w:rPr>
        <w:t>of</w:t>
      </w:r>
      <w:r>
        <w:rPr>
          <w:szCs w:val="20"/>
        </w:rPr>
        <w:t xml:space="preserve"> </w:t>
      </w:r>
      <w:r w:rsidRPr="003D2498">
        <w:rPr>
          <w:szCs w:val="20"/>
        </w:rPr>
        <w:t>the</w:t>
      </w:r>
      <w:r>
        <w:rPr>
          <w:szCs w:val="20"/>
        </w:rPr>
        <w:t xml:space="preserve"> </w:t>
      </w:r>
      <w:r w:rsidRPr="003D2498">
        <w:rPr>
          <w:szCs w:val="20"/>
        </w:rPr>
        <w:t>section</w:t>
      </w:r>
      <w:r>
        <w:rPr>
          <w:szCs w:val="20"/>
        </w:rPr>
        <w:t xml:space="preserve"> </w:t>
      </w:r>
      <w:r w:rsidRPr="003D2498">
        <w:rPr>
          <w:szCs w:val="20"/>
        </w:rPr>
        <w:t>1.170A-14(g)(6)(ii),</w:t>
      </w:r>
      <w:r>
        <w:rPr>
          <w:szCs w:val="20"/>
        </w:rPr>
        <w:t xml:space="preserve"> </w:t>
      </w:r>
      <w:r w:rsidRPr="003D2498">
        <w:rPr>
          <w:szCs w:val="20"/>
        </w:rPr>
        <w:t>Income</w:t>
      </w:r>
      <w:r>
        <w:rPr>
          <w:szCs w:val="20"/>
        </w:rPr>
        <w:t xml:space="preserve"> </w:t>
      </w:r>
      <w:r w:rsidRPr="003D2498">
        <w:rPr>
          <w:szCs w:val="20"/>
        </w:rPr>
        <w:t>Tax</w:t>
      </w:r>
      <w:r>
        <w:rPr>
          <w:szCs w:val="20"/>
        </w:rPr>
        <w:t xml:space="preserve"> </w:t>
      </w:r>
      <w:r w:rsidRPr="003D2498">
        <w:rPr>
          <w:szCs w:val="20"/>
        </w:rPr>
        <w:t>Regs.,</w:t>
      </w:r>
      <w:r>
        <w:rPr>
          <w:szCs w:val="20"/>
        </w:rPr>
        <w:t xml:space="preserve"> </w:t>
      </w:r>
      <w:r w:rsidRPr="003D2498">
        <w:rPr>
          <w:szCs w:val="20"/>
        </w:rPr>
        <w:t>after</w:t>
      </w:r>
      <w:r>
        <w:rPr>
          <w:szCs w:val="20"/>
        </w:rPr>
        <w:t xml:space="preserve"> </w:t>
      </w:r>
      <w:r w:rsidRPr="003D2498">
        <w:rPr>
          <w:szCs w:val="20"/>
        </w:rPr>
        <w:t>noting</w:t>
      </w:r>
      <w:r>
        <w:rPr>
          <w:szCs w:val="20"/>
        </w:rPr>
        <w:t xml:space="preserve"> </w:t>
      </w:r>
      <w:r w:rsidRPr="003D2498">
        <w:rPr>
          <w:szCs w:val="20"/>
        </w:rPr>
        <w:t>that</w:t>
      </w:r>
      <w:r>
        <w:rPr>
          <w:szCs w:val="20"/>
        </w:rPr>
        <w:t xml:space="preserve"> </w:t>
      </w:r>
      <w:r w:rsidRPr="003D2498">
        <w:rPr>
          <w:szCs w:val="20"/>
        </w:rPr>
        <w:t>it</w:t>
      </w:r>
      <w:r>
        <w:rPr>
          <w:szCs w:val="20"/>
        </w:rPr>
        <w:t xml:space="preserve"> </w:t>
      </w:r>
      <w:r w:rsidRPr="003D2498">
        <w:rPr>
          <w:szCs w:val="20"/>
        </w:rPr>
        <w:t>“was</w:t>
      </w:r>
      <w:r>
        <w:rPr>
          <w:szCs w:val="20"/>
        </w:rPr>
        <w:t xml:space="preserve"> </w:t>
      </w:r>
      <w:r w:rsidRPr="003D2498">
        <w:rPr>
          <w:szCs w:val="20"/>
        </w:rPr>
        <w:t>unexplained</w:t>
      </w:r>
      <w:r>
        <w:rPr>
          <w:szCs w:val="20"/>
        </w:rPr>
        <w:t xml:space="preserve"> </w:t>
      </w:r>
      <w:r w:rsidRPr="003D2498">
        <w:rPr>
          <w:szCs w:val="20"/>
        </w:rPr>
        <w:t>when</w:t>
      </w:r>
      <w:r>
        <w:rPr>
          <w:szCs w:val="20"/>
        </w:rPr>
        <w:t xml:space="preserve"> </w:t>
      </w:r>
      <w:r w:rsidRPr="003D2498">
        <w:rPr>
          <w:szCs w:val="20"/>
        </w:rPr>
        <w:t>first</w:t>
      </w:r>
      <w:r>
        <w:rPr>
          <w:szCs w:val="20"/>
        </w:rPr>
        <w:t xml:space="preserve"> </w:t>
      </w:r>
      <w:r w:rsidRPr="003D2498">
        <w:rPr>
          <w:szCs w:val="20"/>
        </w:rPr>
        <w:t>promulgated.”</w:t>
      </w:r>
    </w:p>
    <w:p w:rsidR="007649DB" w:rsidRPr="003D2498" w:rsidRDefault="007649DB" w:rsidP="007649DB">
      <w:pPr>
        <w:pStyle w:val="QS10"/>
        <w:rPr>
          <w:szCs w:val="20"/>
        </w:rPr>
      </w:pPr>
      <w:r w:rsidRPr="003D2498">
        <w:rPr>
          <w:szCs w:val="20"/>
        </w:rPr>
        <w:t>This</w:t>
      </w:r>
      <w:r>
        <w:rPr>
          <w:szCs w:val="20"/>
        </w:rPr>
        <w:t xml:space="preserve"> </w:t>
      </w:r>
      <w:r w:rsidRPr="003D2498">
        <w:rPr>
          <w:szCs w:val="20"/>
        </w:rPr>
        <w:t>makes</w:t>
      </w:r>
      <w:r>
        <w:rPr>
          <w:szCs w:val="20"/>
        </w:rPr>
        <w:t xml:space="preserve"> </w:t>
      </w:r>
      <w:r w:rsidRPr="003D2498">
        <w:rPr>
          <w:szCs w:val="20"/>
        </w:rPr>
        <w:t>the</w:t>
      </w:r>
      <w:r>
        <w:rPr>
          <w:szCs w:val="20"/>
        </w:rPr>
        <w:t xml:space="preserve"> </w:t>
      </w:r>
      <w:r w:rsidRPr="003D2498">
        <w:rPr>
          <w:szCs w:val="20"/>
        </w:rPr>
        <w:t>defining</w:t>
      </w:r>
      <w:r>
        <w:rPr>
          <w:szCs w:val="20"/>
        </w:rPr>
        <w:t xml:space="preserve"> </w:t>
      </w:r>
      <w:r w:rsidRPr="003D2498">
        <w:rPr>
          <w:szCs w:val="20"/>
        </w:rPr>
        <w:t>characteristic</w:t>
      </w:r>
      <w:r>
        <w:rPr>
          <w:szCs w:val="20"/>
        </w:rPr>
        <w:t xml:space="preserve"> </w:t>
      </w:r>
      <w:r w:rsidRPr="003D2498">
        <w:rPr>
          <w:szCs w:val="20"/>
        </w:rPr>
        <w:t>of</w:t>
      </w:r>
      <w:r>
        <w:rPr>
          <w:szCs w:val="20"/>
        </w:rPr>
        <w:t xml:space="preserve"> </w:t>
      </w:r>
      <w:r w:rsidRPr="003D2498">
        <w:rPr>
          <w:szCs w:val="20"/>
        </w:rPr>
        <w:t>section</w:t>
      </w:r>
      <w:r>
        <w:rPr>
          <w:szCs w:val="20"/>
        </w:rPr>
        <w:t xml:space="preserve"> </w:t>
      </w:r>
      <w:r w:rsidRPr="003D2498">
        <w:rPr>
          <w:szCs w:val="20"/>
        </w:rPr>
        <w:t>1.170A-14(g)(6)(ii),</w:t>
      </w:r>
      <w:r>
        <w:rPr>
          <w:szCs w:val="20"/>
        </w:rPr>
        <w:t xml:space="preserve"> </w:t>
      </w:r>
      <w:r w:rsidRPr="003D2498">
        <w:rPr>
          <w:szCs w:val="20"/>
        </w:rPr>
        <w:t>Income</w:t>
      </w:r>
      <w:r>
        <w:rPr>
          <w:szCs w:val="20"/>
        </w:rPr>
        <w:t xml:space="preserve"> </w:t>
      </w:r>
      <w:r w:rsidRPr="003D2498">
        <w:rPr>
          <w:szCs w:val="20"/>
        </w:rPr>
        <w:t>Tax</w:t>
      </w:r>
      <w:r>
        <w:rPr>
          <w:szCs w:val="20"/>
        </w:rPr>
        <w:t xml:space="preserve"> </w:t>
      </w:r>
      <w:r w:rsidRPr="003D2498">
        <w:rPr>
          <w:szCs w:val="20"/>
        </w:rPr>
        <w:t>Regs.,</w:t>
      </w:r>
      <w:r>
        <w:rPr>
          <w:szCs w:val="20"/>
        </w:rPr>
        <w:t xml:space="preserve"> </w:t>
      </w:r>
      <w:r w:rsidRPr="003D2498">
        <w:rPr>
          <w:szCs w:val="20"/>
        </w:rPr>
        <w:t>its</w:t>
      </w:r>
      <w:r>
        <w:rPr>
          <w:szCs w:val="20"/>
        </w:rPr>
        <w:t xml:space="preserve"> </w:t>
      </w:r>
      <w:r w:rsidRPr="003D2498">
        <w:rPr>
          <w:szCs w:val="20"/>
        </w:rPr>
        <w:t>utter</w:t>
      </w:r>
      <w:r>
        <w:rPr>
          <w:szCs w:val="20"/>
        </w:rPr>
        <w:t xml:space="preserve"> </w:t>
      </w:r>
      <w:r w:rsidRPr="003D2498">
        <w:rPr>
          <w:szCs w:val="20"/>
        </w:rPr>
        <w:t>lack</w:t>
      </w:r>
      <w:r>
        <w:rPr>
          <w:szCs w:val="20"/>
        </w:rPr>
        <w:t xml:space="preserve"> </w:t>
      </w:r>
      <w:r w:rsidRPr="003D2498">
        <w:rPr>
          <w:szCs w:val="20"/>
        </w:rPr>
        <w:t>of</w:t>
      </w:r>
      <w:r>
        <w:rPr>
          <w:szCs w:val="20"/>
        </w:rPr>
        <w:t xml:space="preserve"> </w:t>
      </w:r>
      <w:r w:rsidRPr="003D2498">
        <w:rPr>
          <w:szCs w:val="20"/>
        </w:rPr>
        <w:t>any</w:t>
      </w:r>
      <w:r>
        <w:rPr>
          <w:szCs w:val="20"/>
        </w:rPr>
        <w:t xml:space="preserve"> </w:t>
      </w:r>
      <w:r w:rsidRPr="003D2498">
        <w:rPr>
          <w:szCs w:val="20"/>
        </w:rPr>
        <w:t>contemporaneous</w:t>
      </w:r>
      <w:r>
        <w:rPr>
          <w:szCs w:val="20"/>
        </w:rPr>
        <w:t xml:space="preserve"> </w:t>
      </w:r>
      <w:r w:rsidRPr="003D2498">
        <w:rPr>
          <w:szCs w:val="20"/>
        </w:rPr>
        <w:t>explanation</w:t>
      </w:r>
      <w:r>
        <w:rPr>
          <w:szCs w:val="20"/>
        </w:rPr>
        <w:t xml:space="preserve"> </w:t>
      </w:r>
      <w:r w:rsidRPr="003D2498">
        <w:rPr>
          <w:szCs w:val="20"/>
        </w:rPr>
        <w:t>of</w:t>
      </w:r>
      <w:r>
        <w:rPr>
          <w:szCs w:val="20"/>
        </w:rPr>
        <w:t xml:space="preserve"> </w:t>
      </w:r>
      <w:r w:rsidRPr="003D2498">
        <w:rPr>
          <w:szCs w:val="20"/>
        </w:rPr>
        <w:t>its</w:t>
      </w:r>
      <w:r>
        <w:rPr>
          <w:szCs w:val="20"/>
        </w:rPr>
        <w:t xml:space="preserve"> </w:t>
      </w:r>
      <w:r w:rsidRPr="003D2498">
        <w:rPr>
          <w:szCs w:val="20"/>
        </w:rPr>
        <w:t>key</w:t>
      </w:r>
      <w:r>
        <w:rPr>
          <w:szCs w:val="20"/>
        </w:rPr>
        <w:t xml:space="preserve"> </w:t>
      </w:r>
      <w:r w:rsidRPr="003D2498">
        <w:rPr>
          <w:szCs w:val="20"/>
        </w:rPr>
        <w:t>choices--to</w:t>
      </w:r>
      <w:r>
        <w:rPr>
          <w:szCs w:val="20"/>
        </w:rPr>
        <w:t xml:space="preserve"> </w:t>
      </w:r>
      <w:r w:rsidRPr="003D2498">
        <w:rPr>
          <w:szCs w:val="20"/>
        </w:rPr>
        <w:t>require</w:t>
      </w:r>
      <w:r>
        <w:rPr>
          <w:szCs w:val="20"/>
        </w:rPr>
        <w:t xml:space="preserve"> </w:t>
      </w:r>
      <w:r w:rsidRPr="003D2498">
        <w:rPr>
          <w:szCs w:val="20"/>
        </w:rPr>
        <w:t>that</w:t>
      </w:r>
      <w:r>
        <w:rPr>
          <w:szCs w:val="20"/>
        </w:rPr>
        <w:t xml:space="preserve"> </w:t>
      </w:r>
      <w:r w:rsidRPr="003D2498">
        <w:rPr>
          <w:szCs w:val="20"/>
        </w:rPr>
        <w:t>donees</w:t>
      </w:r>
      <w:r>
        <w:rPr>
          <w:szCs w:val="20"/>
        </w:rPr>
        <w:t xml:space="preserve"> </w:t>
      </w:r>
      <w:r w:rsidRPr="003D2498">
        <w:rPr>
          <w:szCs w:val="20"/>
        </w:rPr>
        <w:t>get</w:t>
      </w:r>
      <w:r>
        <w:rPr>
          <w:szCs w:val="20"/>
        </w:rPr>
        <w:t xml:space="preserve"> </w:t>
      </w:r>
      <w:r w:rsidRPr="003D2498">
        <w:rPr>
          <w:szCs w:val="20"/>
        </w:rPr>
        <w:t>a</w:t>
      </w:r>
      <w:r>
        <w:rPr>
          <w:szCs w:val="20"/>
        </w:rPr>
        <w:t xml:space="preserve"> </w:t>
      </w:r>
      <w:r w:rsidRPr="003D2498">
        <w:rPr>
          <w:szCs w:val="20"/>
        </w:rPr>
        <w:t>fraction,</w:t>
      </w:r>
      <w:r>
        <w:rPr>
          <w:szCs w:val="20"/>
        </w:rPr>
        <w:t xml:space="preserve"> </w:t>
      </w:r>
      <w:r w:rsidRPr="003D2498">
        <w:rPr>
          <w:szCs w:val="20"/>
        </w:rPr>
        <w:t>rather</w:t>
      </w:r>
      <w:r>
        <w:rPr>
          <w:szCs w:val="20"/>
        </w:rPr>
        <w:t xml:space="preserve"> </w:t>
      </w:r>
      <w:r w:rsidRPr="003D2498">
        <w:rPr>
          <w:szCs w:val="20"/>
        </w:rPr>
        <w:t>than</w:t>
      </w:r>
      <w:r>
        <w:rPr>
          <w:szCs w:val="20"/>
        </w:rPr>
        <w:t xml:space="preserve"> </w:t>
      </w:r>
      <w:r w:rsidRPr="003D2498">
        <w:rPr>
          <w:szCs w:val="20"/>
        </w:rPr>
        <w:t>an</w:t>
      </w:r>
      <w:r>
        <w:rPr>
          <w:szCs w:val="20"/>
        </w:rPr>
        <w:t xml:space="preserve"> </w:t>
      </w:r>
      <w:r w:rsidRPr="003D2498">
        <w:rPr>
          <w:szCs w:val="20"/>
        </w:rPr>
        <w:t>absolute</w:t>
      </w:r>
      <w:r>
        <w:rPr>
          <w:szCs w:val="20"/>
        </w:rPr>
        <w:t xml:space="preserve"> </w:t>
      </w:r>
      <w:r w:rsidRPr="003D2498">
        <w:rPr>
          <w:szCs w:val="20"/>
        </w:rPr>
        <w:t>amount,</w:t>
      </w:r>
      <w:r>
        <w:rPr>
          <w:szCs w:val="20"/>
        </w:rPr>
        <w:t xml:space="preserve"> </w:t>
      </w:r>
      <w:r w:rsidRPr="003D2498">
        <w:rPr>
          <w:szCs w:val="20"/>
        </w:rPr>
        <w:t>of</w:t>
      </w:r>
      <w:r>
        <w:rPr>
          <w:szCs w:val="20"/>
        </w:rPr>
        <w:t xml:space="preserve"> </w:t>
      </w:r>
      <w:r w:rsidRPr="003D2498">
        <w:rPr>
          <w:szCs w:val="20"/>
        </w:rPr>
        <w:t>extinguishment</w:t>
      </w:r>
      <w:r>
        <w:rPr>
          <w:szCs w:val="20"/>
        </w:rPr>
        <w:t xml:space="preserve"> </w:t>
      </w:r>
      <w:r w:rsidRPr="003D2498">
        <w:rPr>
          <w:szCs w:val="20"/>
        </w:rPr>
        <w:t>proceeds</w:t>
      </w:r>
      <w:r>
        <w:rPr>
          <w:szCs w:val="20"/>
        </w:rPr>
        <w:t xml:space="preserve"> </w:t>
      </w:r>
      <w:r w:rsidRPr="003D2498">
        <w:rPr>
          <w:szCs w:val="20"/>
        </w:rPr>
        <w:t>and</w:t>
      </w:r>
      <w:r>
        <w:rPr>
          <w:szCs w:val="20"/>
        </w:rPr>
        <w:t xml:space="preserve"> </w:t>
      </w:r>
      <w:r w:rsidRPr="003D2498">
        <w:rPr>
          <w:szCs w:val="20"/>
        </w:rPr>
        <w:t>to</w:t>
      </w:r>
      <w:r>
        <w:rPr>
          <w:szCs w:val="20"/>
        </w:rPr>
        <w:t xml:space="preserve"> </w:t>
      </w:r>
      <w:r w:rsidRPr="003D2498">
        <w:rPr>
          <w:szCs w:val="20"/>
        </w:rPr>
        <w:t>require</w:t>
      </w:r>
      <w:r>
        <w:rPr>
          <w:szCs w:val="20"/>
        </w:rPr>
        <w:t xml:space="preserve"> </w:t>
      </w:r>
      <w:r w:rsidRPr="003D2498">
        <w:rPr>
          <w:szCs w:val="20"/>
        </w:rPr>
        <w:t>that</w:t>
      </w:r>
      <w:r>
        <w:rPr>
          <w:szCs w:val="20"/>
        </w:rPr>
        <w:t xml:space="preserve"> </w:t>
      </w:r>
      <w:r w:rsidRPr="003D2498">
        <w:rPr>
          <w:szCs w:val="20"/>
        </w:rPr>
        <w:t>they</w:t>
      </w:r>
      <w:r>
        <w:rPr>
          <w:szCs w:val="20"/>
        </w:rPr>
        <w:t xml:space="preserve"> </w:t>
      </w:r>
      <w:r w:rsidRPr="003D2498">
        <w:rPr>
          <w:szCs w:val="20"/>
        </w:rPr>
        <w:t>get</w:t>
      </w:r>
      <w:r>
        <w:rPr>
          <w:szCs w:val="20"/>
        </w:rPr>
        <w:t xml:space="preserve"> </w:t>
      </w:r>
      <w:r w:rsidRPr="003D2498">
        <w:rPr>
          <w:szCs w:val="20"/>
        </w:rPr>
        <w:t>a</w:t>
      </w:r>
      <w:r>
        <w:rPr>
          <w:szCs w:val="20"/>
        </w:rPr>
        <w:t xml:space="preserve"> </w:t>
      </w:r>
      <w:r w:rsidRPr="003D2498">
        <w:rPr>
          <w:szCs w:val="20"/>
        </w:rPr>
        <w:t>share</w:t>
      </w:r>
      <w:r>
        <w:rPr>
          <w:szCs w:val="20"/>
        </w:rPr>
        <w:t xml:space="preserve"> </w:t>
      </w:r>
      <w:r w:rsidRPr="003D2498">
        <w:rPr>
          <w:szCs w:val="20"/>
        </w:rPr>
        <w:t>of</w:t>
      </w:r>
      <w:r>
        <w:rPr>
          <w:szCs w:val="20"/>
        </w:rPr>
        <w:t xml:space="preserve"> </w:t>
      </w:r>
      <w:r w:rsidRPr="003D2498">
        <w:rPr>
          <w:szCs w:val="20"/>
        </w:rPr>
        <w:t>any</w:t>
      </w:r>
      <w:r>
        <w:rPr>
          <w:szCs w:val="20"/>
        </w:rPr>
        <w:t xml:space="preserve"> </w:t>
      </w:r>
      <w:r w:rsidRPr="003D2498">
        <w:rPr>
          <w:szCs w:val="20"/>
        </w:rPr>
        <w:t>proceeds</w:t>
      </w:r>
      <w:r>
        <w:rPr>
          <w:szCs w:val="20"/>
        </w:rPr>
        <w:t xml:space="preserve"> </w:t>
      </w:r>
      <w:r w:rsidRPr="003D2498">
        <w:rPr>
          <w:szCs w:val="20"/>
        </w:rPr>
        <w:t>from</w:t>
      </w:r>
      <w:r>
        <w:rPr>
          <w:szCs w:val="20"/>
        </w:rPr>
        <w:t xml:space="preserve"> </w:t>
      </w:r>
      <w:r w:rsidRPr="003D2498">
        <w:rPr>
          <w:szCs w:val="20"/>
        </w:rPr>
        <w:t>a</w:t>
      </w:r>
      <w:r>
        <w:rPr>
          <w:szCs w:val="20"/>
        </w:rPr>
        <w:t xml:space="preserve"> </w:t>
      </w:r>
      <w:r w:rsidRPr="003D2498">
        <w:rPr>
          <w:szCs w:val="20"/>
        </w:rPr>
        <w:t>donor’s</w:t>
      </w:r>
      <w:r>
        <w:rPr>
          <w:szCs w:val="20"/>
        </w:rPr>
        <w:t xml:space="preserve"> </w:t>
      </w:r>
      <w:r w:rsidRPr="003D2498">
        <w:rPr>
          <w:szCs w:val="20"/>
        </w:rPr>
        <w:t>improvements</w:t>
      </w:r>
      <w:r>
        <w:rPr>
          <w:szCs w:val="20"/>
        </w:rPr>
        <w:t xml:space="preserve"> </w:t>
      </w:r>
      <w:r w:rsidRPr="003D2498">
        <w:rPr>
          <w:szCs w:val="20"/>
        </w:rPr>
        <w:t>to</w:t>
      </w:r>
      <w:r>
        <w:rPr>
          <w:szCs w:val="20"/>
        </w:rPr>
        <w:t xml:space="preserve"> </w:t>
      </w:r>
      <w:r w:rsidRPr="003D2498">
        <w:rPr>
          <w:szCs w:val="20"/>
        </w:rPr>
        <w:t>the</w:t>
      </w:r>
      <w:r>
        <w:rPr>
          <w:szCs w:val="20"/>
        </w:rPr>
        <w:t xml:space="preserve"> </w:t>
      </w:r>
      <w:r w:rsidRPr="003D2498">
        <w:rPr>
          <w:szCs w:val="20"/>
        </w:rPr>
        <w:t>property.</w:t>
      </w:r>
      <w:r>
        <w:rPr>
          <w:szCs w:val="20"/>
        </w:rPr>
        <w:t xml:space="preserve"> </w:t>
      </w:r>
      <w:r w:rsidRPr="003D2498">
        <w:rPr>
          <w:szCs w:val="20"/>
        </w:rPr>
        <w:t>There</w:t>
      </w:r>
      <w:r>
        <w:rPr>
          <w:szCs w:val="20"/>
        </w:rPr>
        <w:t xml:space="preserve"> </w:t>
      </w:r>
      <w:r w:rsidRPr="003D2498">
        <w:rPr>
          <w:szCs w:val="20"/>
        </w:rPr>
        <w:t>is</w:t>
      </w:r>
      <w:r>
        <w:rPr>
          <w:szCs w:val="20"/>
        </w:rPr>
        <w:t xml:space="preserve"> </w:t>
      </w:r>
      <w:r w:rsidRPr="003D2498">
        <w:rPr>
          <w:szCs w:val="20"/>
        </w:rPr>
        <w:t>no</w:t>
      </w:r>
      <w:r>
        <w:rPr>
          <w:szCs w:val="20"/>
        </w:rPr>
        <w:t xml:space="preserve"> </w:t>
      </w:r>
      <w:r w:rsidRPr="003D2498">
        <w:rPr>
          <w:szCs w:val="20"/>
        </w:rPr>
        <w:t>prefiguring</w:t>
      </w:r>
      <w:r>
        <w:rPr>
          <w:szCs w:val="20"/>
        </w:rPr>
        <w:t xml:space="preserve"> </w:t>
      </w:r>
      <w:r w:rsidRPr="003D2498">
        <w:rPr>
          <w:szCs w:val="20"/>
        </w:rPr>
        <w:t>of</w:t>
      </w:r>
      <w:r>
        <w:rPr>
          <w:szCs w:val="20"/>
        </w:rPr>
        <w:t xml:space="preserve"> </w:t>
      </w:r>
      <w:r w:rsidRPr="003D2498">
        <w:rPr>
          <w:szCs w:val="20"/>
        </w:rPr>
        <w:t>these</w:t>
      </w:r>
      <w:r>
        <w:rPr>
          <w:szCs w:val="20"/>
        </w:rPr>
        <w:t xml:space="preserve"> </w:t>
      </w:r>
      <w:r w:rsidRPr="003D2498">
        <w:rPr>
          <w:szCs w:val="20"/>
        </w:rPr>
        <w:t>choices</w:t>
      </w:r>
      <w:r>
        <w:rPr>
          <w:szCs w:val="20"/>
        </w:rPr>
        <w:t xml:space="preserve"> </w:t>
      </w:r>
      <w:r w:rsidRPr="003D2498">
        <w:rPr>
          <w:szCs w:val="20"/>
        </w:rPr>
        <w:t>in</w:t>
      </w:r>
      <w:r>
        <w:rPr>
          <w:szCs w:val="20"/>
        </w:rPr>
        <w:t xml:space="preserve"> </w:t>
      </w:r>
      <w:r w:rsidRPr="003D2498">
        <w:rPr>
          <w:szCs w:val="20"/>
        </w:rPr>
        <w:t>the</w:t>
      </w:r>
      <w:r>
        <w:rPr>
          <w:szCs w:val="20"/>
        </w:rPr>
        <w:t xml:space="preserve"> </w:t>
      </w:r>
      <w:r w:rsidRPr="003D2498">
        <w:rPr>
          <w:szCs w:val="20"/>
        </w:rPr>
        <w:t>legislative</w:t>
      </w:r>
      <w:r>
        <w:rPr>
          <w:szCs w:val="20"/>
        </w:rPr>
        <w:t xml:space="preserve"> </w:t>
      </w:r>
      <w:r w:rsidRPr="003D2498">
        <w:rPr>
          <w:szCs w:val="20"/>
        </w:rPr>
        <w:t>history</w:t>
      </w:r>
      <w:r>
        <w:rPr>
          <w:szCs w:val="20"/>
        </w:rPr>
        <w:t xml:space="preserve"> </w:t>
      </w:r>
      <w:r w:rsidRPr="003D2498">
        <w:rPr>
          <w:szCs w:val="20"/>
        </w:rPr>
        <w:t>or</w:t>
      </w:r>
      <w:r>
        <w:rPr>
          <w:szCs w:val="20"/>
        </w:rPr>
        <w:t xml:space="preserve"> </w:t>
      </w:r>
      <w:r w:rsidRPr="003D2498">
        <w:rPr>
          <w:szCs w:val="20"/>
        </w:rPr>
        <w:t>the</w:t>
      </w:r>
      <w:r>
        <w:rPr>
          <w:szCs w:val="20"/>
        </w:rPr>
        <w:t xml:space="preserve"> </w:t>
      </w:r>
      <w:r w:rsidRPr="003D2498">
        <w:rPr>
          <w:szCs w:val="20"/>
        </w:rPr>
        <w:t>notice</w:t>
      </w:r>
      <w:r>
        <w:rPr>
          <w:szCs w:val="20"/>
        </w:rPr>
        <w:t xml:space="preserve"> </w:t>
      </w:r>
      <w:r w:rsidRPr="003D2498">
        <w:rPr>
          <w:szCs w:val="20"/>
        </w:rPr>
        <w:t>of</w:t>
      </w:r>
      <w:r>
        <w:rPr>
          <w:szCs w:val="20"/>
        </w:rPr>
        <w:t xml:space="preserve"> </w:t>
      </w:r>
      <w:r w:rsidRPr="003D2498">
        <w:rPr>
          <w:szCs w:val="20"/>
        </w:rPr>
        <w:t>proposed</w:t>
      </w:r>
      <w:r>
        <w:rPr>
          <w:szCs w:val="20"/>
        </w:rPr>
        <w:t xml:space="preserve"> </w:t>
      </w:r>
      <w:r w:rsidRPr="003D2498">
        <w:rPr>
          <w:szCs w:val="20"/>
        </w:rPr>
        <w:t>rulemaking,</w:t>
      </w:r>
      <w:r>
        <w:rPr>
          <w:szCs w:val="20"/>
        </w:rPr>
        <w:t xml:space="preserve"> </w:t>
      </w:r>
      <w:r w:rsidRPr="003D2498">
        <w:rPr>
          <w:szCs w:val="20"/>
        </w:rPr>
        <w:t>and</w:t>
      </w:r>
      <w:r>
        <w:rPr>
          <w:szCs w:val="20"/>
        </w:rPr>
        <w:t xml:space="preserve"> </w:t>
      </w:r>
      <w:r w:rsidRPr="003D2498">
        <w:rPr>
          <w:szCs w:val="20"/>
        </w:rPr>
        <w:t>no</w:t>
      </w:r>
      <w:r>
        <w:rPr>
          <w:szCs w:val="20"/>
        </w:rPr>
        <w:t xml:space="preserve"> </w:t>
      </w:r>
      <w:r w:rsidRPr="003D2498">
        <w:rPr>
          <w:szCs w:val="20"/>
        </w:rPr>
        <w:t>explanation</w:t>
      </w:r>
      <w:r>
        <w:rPr>
          <w:szCs w:val="20"/>
        </w:rPr>
        <w:t xml:space="preserve"> </w:t>
      </w:r>
      <w:r w:rsidRPr="003D2498">
        <w:rPr>
          <w:szCs w:val="20"/>
        </w:rPr>
        <w:t>of</w:t>
      </w:r>
      <w:r>
        <w:rPr>
          <w:szCs w:val="20"/>
        </w:rPr>
        <w:t xml:space="preserve"> </w:t>
      </w:r>
      <w:r w:rsidRPr="003D2498">
        <w:rPr>
          <w:szCs w:val="20"/>
        </w:rPr>
        <w:t>them</w:t>
      </w:r>
      <w:r>
        <w:rPr>
          <w:szCs w:val="20"/>
        </w:rPr>
        <w:t xml:space="preserve"> </w:t>
      </w:r>
      <w:r w:rsidRPr="003D2498">
        <w:rPr>
          <w:szCs w:val="20"/>
        </w:rPr>
        <w:t>in</w:t>
      </w:r>
      <w:r>
        <w:rPr>
          <w:szCs w:val="20"/>
        </w:rPr>
        <w:t xml:space="preserve"> </w:t>
      </w:r>
      <w:r w:rsidRPr="003D2498">
        <w:rPr>
          <w:szCs w:val="20"/>
        </w:rPr>
        <w:t>the</w:t>
      </w:r>
      <w:r>
        <w:rPr>
          <w:szCs w:val="20"/>
        </w:rPr>
        <w:t xml:space="preserve"> </w:t>
      </w:r>
      <w:r w:rsidRPr="003D2498">
        <w:rPr>
          <w:szCs w:val="20"/>
        </w:rPr>
        <w:t>Final</w:t>
      </w:r>
      <w:r>
        <w:rPr>
          <w:szCs w:val="20"/>
        </w:rPr>
        <w:t xml:space="preserve"> </w:t>
      </w:r>
      <w:r w:rsidRPr="003D2498">
        <w:rPr>
          <w:szCs w:val="20"/>
        </w:rPr>
        <w:t>Rule.</w:t>
      </w:r>
      <w:r>
        <w:rPr>
          <w:szCs w:val="20"/>
        </w:rPr>
        <w:t xml:space="preserve"> </w:t>
      </w:r>
      <w:r w:rsidRPr="003D2498">
        <w:rPr>
          <w:szCs w:val="20"/>
        </w:rPr>
        <w:t>Had</w:t>
      </w:r>
      <w:r>
        <w:rPr>
          <w:szCs w:val="20"/>
        </w:rPr>
        <w:t xml:space="preserve"> </w:t>
      </w:r>
      <w:r w:rsidRPr="003D2498">
        <w:rPr>
          <w:szCs w:val="20"/>
        </w:rPr>
        <w:t>Treasury</w:t>
      </w:r>
      <w:r>
        <w:rPr>
          <w:szCs w:val="20"/>
        </w:rPr>
        <w:t xml:space="preserve"> </w:t>
      </w:r>
      <w:r w:rsidRPr="003D2498">
        <w:rPr>
          <w:szCs w:val="20"/>
        </w:rPr>
        <w:t>responded</w:t>
      </w:r>
      <w:r>
        <w:rPr>
          <w:szCs w:val="20"/>
        </w:rPr>
        <w:t xml:space="preserve"> </w:t>
      </w:r>
      <w:r w:rsidRPr="003D2498">
        <w:rPr>
          <w:szCs w:val="20"/>
        </w:rPr>
        <w:t>in</w:t>
      </w:r>
      <w:r>
        <w:rPr>
          <w:szCs w:val="20"/>
        </w:rPr>
        <w:t xml:space="preserve"> </w:t>
      </w:r>
      <w:r w:rsidRPr="003D2498">
        <w:rPr>
          <w:szCs w:val="20"/>
        </w:rPr>
        <w:t>any</w:t>
      </w:r>
      <w:r>
        <w:rPr>
          <w:szCs w:val="20"/>
        </w:rPr>
        <w:t xml:space="preserve"> </w:t>
      </w:r>
      <w:r w:rsidRPr="003D2498">
        <w:rPr>
          <w:szCs w:val="20"/>
        </w:rPr>
        <w:t>meaningful</w:t>
      </w:r>
      <w:r>
        <w:rPr>
          <w:szCs w:val="20"/>
        </w:rPr>
        <w:t xml:space="preserve"> </w:t>
      </w:r>
      <w:r w:rsidRPr="003D2498">
        <w:rPr>
          <w:szCs w:val="20"/>
        </w:rPr>
        <w:t>way</w:t>
      </w:r>
      <w:r>
        <w:rPr>
          <w:szCs w:val="20"/>
        </w:rPr>
        <w:t xml:space="preserve"> </w:t>
      </w:r>
      <w:r w:rsidRPr="003D2498">
        <w:rPr>
          <w:szCs w:val="20"/>
        </w:rPr>
        <w:t>to</w:t>
      </w:r>
      <w:r>
        <w:rPr>
          <w:szCs w:val="20"/>
        </w:rPr>
        <w:t xml:space="preserve"> </w:t>
      </w:r>
      <w:r w:rsidRPr="003D2498">
        <w:rPr>
          <w:szCs w:val="20"/>
        </w:rPr>
        <w:t>the</w:t>
      </w:r>
      <w:r>
        <w:rPr>
          <w:szCs w:val="20"/>
        </w:rPr>
        <w:t xml:space="preserve"> </w:t>
      </w:r>
      <w:r w:rsidRPr="003D2498">
        <w:rPr>
          <w:szCs w:val="20"/>
        </w:rPr>
        <w:t>comments</w:t>
      </w:r>
      <w:r>
        <w:rPr>
          <w:szCs w:val="20"/>
        </w:rPr>
        <w:t xml:space="preserve"> </w:t>
      </w:r>
      <w:r w:rsidRPr="003D2498">
        <w:rPr>
          <w:szCs w:val="20"/>
        </w:rPr>
        <w:t>that</w:t>
      </w:r>
      <w:r>
        <w:rPr>
          <w:szCs w:val="20"/>
        </w:rPr>
        <w:t xml:space="preserve"> </w:t>
      </w:r>
      <w:r w:rsidRPr="003D2498">
        <w:rPr>
          <w:szCs w:val="20"/>
        </w:rPr>
        <w:t>it</w:t>
      </w:r>
      <w:r>
        <w:rPr>
          <w:szCs w:val="20"/>
        </w:rPr>
        <w:t xml:space="preserve"> </w:t>
      </w:r>
      <w:r w:rsidRPr="003D2498">
        <w:rPr>
          <w:szCs w:val="20"/>
        </w:rPr>
        <w:t>received,</w:t>
      </w:r>
      <w:r>
        <w:rPr>
          <w:szCs w:val="20"/>
        </w:rPr>
        <w:t xml:space="preserve"> </w:t>
      </w:r>
      <w:r w:rsidRPr="003D2498">
        <w:rPr>
          <w:szCs w:val="20"/>
        </w:rPr>
        <w:t>such</w:t>
      </w:r>
      <w:r>
        <w:rPr>
          <w:szCs w:val="20"/>
        </w:rPr>
        <w:t xml:space="preserve"> </w:t>
      </w:r>
      <w:r w:rsidRPr="003D2498">
        <w:rPr>
          <w:szCs w:val="20"/>
        </w:rPr>
        <w:t>as</w:t>
      </w:r>
      <w:r>
        <w:rPr>
          <w:szCs w:val="20"/>
        </w:rPr>
        <w:t xml:space="preserve"> </w:t>
      </w:r>
      <w:r w:rsidRPr="003D2498">
        <w:rPr>
          <w:szCs w:val="20"/>
        </w:rPr>
        <w:t>those</w:t>
      </w:r>
      <w:r>
        <w:rPr>
          <w:szCs w:val="20"/>
        </w:rPr>
        <w:t xml:space="preserve"> </w:t>
      </w:r>
      <w:r w:rsidRPr="003D2498">
        <w:rPr>
          <w:szCs w:val="20"/>
        </w:rPr>
        <w:t>from</w:t>
      </w:r>
      <w:r>
        <w:rPr>
          <w:szCs w:val="20"/>
        </w:rPr>
        <w:t xml:space="preserve"> </w:t>
      </w:r>
      <w:r w:rsidRPr="003D2498">
        <w:rPr>
          <w:szCs w:val="20"/>
        </w:rPr>
        <w:t>the</w:t>
      </w:r>
      <w:r>
        <w:rPr>
          <w:szCs w:val="20"/>
        </w:rPr>
        <w:t xml:space="preserve"> </w:t>
      </w:r>
      <w:r w:rsidRPr="003D2498">
        <w:rPr>
          <w:szCs w:val="20"/>
        </w:rPr>
        <w:t>NYLC,</w:t>
      </w:r>
      <w:r>
        <w:rPr>
          <w:szCs w:val="20"/>
        </w:rPr>
        <w:t xml:space="preserve"> </w:t>
      </w:r>
      <w:r w:rsidRPr="003D2498">
        <w:rPr>
          <w:szCs w:val="20"/>
        </w:rPr>
        <w:t>neither</w:t>
      </w:r>
      <w:r>
        <w:rPr>
          <w:szCs w:val="20"/>
        </w:rPr>
        <w:t xml:space="preserve"> </w:t>
      </w:r>
      <w:r w:rsidRPr="003D2498">
        <w:rPr>
          <w:szCs w:val="20"/>
        </w:rPr>
        <w:t>donors</w:t>
      </w:r>
      <w:r>
        <w:rPr>
          <w:szCs w:val="20"/>
        </w:rPr>
        <w:t xml:space="preserve"> </w:t>
      </w:r>
      <w:r w:rsidRPr="003D2498">
        <w:rPr>
          <w:szCs w:val="20"/>
        </w:rPr>
        <w:t>and</w:t>
      </w:r>
      <w:r>
        <w:rPr>
          <w:szCs w:val="20"/>
        </w:rPr>
        <w:t xml:space="preserve"> </w:t>
      </w:r>
      <w:r w:rsidRPr="003D2498">
        <w:rPr>
          <w:szCs w:val="20"/>
        </w:rPr>
        <w:t>donees,</w:t>
      </w:r>
      <w:r>
        <w:rPr>
          <w:szCs w:val="20"/>
        </w:rPr>
        <w:t xml:space="preserve"> </w:t>
      </w:r>
      <w:r w:rsidRPr="003D2498">
        <w:rPr>
          <w:szCs w:val="20"/>
        </w:rPr>
        <w:t>nor</w:t>
      </w:r>
      <w:r>
        <w:rPr>
          <w:szCs w:val="20"/>
        </w:rPr>
        <w:t xml:space="preserve"> </w:t>
      </w:r>
      <w:r w:rsidRPr="003D2498">
        <w:rPr>
          <w:szCs w:val="20"/>
        </w:rPr>
        <w:t>courts,</w:t>
      </w:r>
      <w:r>
        <w:rPr>
          <w:szCs w:val="20"/>
        </w:rPr>
        <w:t xml:space="preserve"> </w:t>
      </w:r>
      <w:r w:rsidRPr="003D2498">
        <w:rPr>
          <w:szCs w:val="20"/>
          <w:u w:val="single"/>
        </w:rPr>
        <w:t>see,</w:t>
      </w:r>
      <w:r>
        <w:rPr>
          <w:szCs w:val="20"/>
          <w:u w:val="single"/>
        </w:rPr>
        <w:t xml:space="preserve"> </w:t>
      </w:r>
      <w:r w:rsidRPr="003D2498">
        <w:rPr>
          <w:szCs w:val="20"/>
          <w:u w:val="single"/>
        </w:rPr>
        <w:t>e.g.</w:t>
      </w:r>
      <w:r w:rsidRPr="003D2498">
        <w:rPr>
          <w:szCs w:val="20"/>
        </w:rPr>
        <w:t>,</w:t>
      </w:r>
      <w:r>
        <w:rPr>
          <w:szCs w:val="20"/>
        </w:rPr>
        <w:t xml:space="preserve"> </w:t>
      </w:r>
      <w:r w:rsidRPr="003D2498">
        <w:rPr>
          <w:szCs w:val="20"/>
          <w:u w:val="single"/>
        </w:rPr>
        <w:t>Oakbrook</w:t>
      </w:r>
      <w:r w:rsidRPr="003D2498">
        <w:rPr>
          <w:szCs w:val="20"/>
        </w:rPr>
        <w:t>,</w:t>
      </w:r>
      <w:r>
        <w:rPr>
          <w:szCs w:val="20"/>
        </w:rPr>
        <w:t xml:space="preserve"> </w:t>
      </w:r>
      <w:r w:rsidRPr="003D2498">
        <w:rPr>
          <w:szCs w:val="20"/>
        </w:rPr>
        <w:t>T.C.</w:t>
      </w:r>
      <w:r>
        <w:rPr>
          <w:szCs w:val="20"/>
        </w:rPr>
        <w:t xml:space="preserve"> </w:t>
      </w:r>
      <w:r w:rsidRPr="003D2498">
        <w:rPr>
          <w:szCs w:val="20"/>
        </w:rPr>
        <w:t>Memo.</w:t>
      </w:r>
      <w:r>
        <w:rPr>
          <w:szCs w:val="20"/>
        </w:rPr>
        <w:t xml:space="preserve"> </w:t>
      </w:r>
      <w:r w:rsidRPr="003D2498">
        <w:rPr>
          <w:szCs w:val="20"/>
        </w:rPr>
        <w:t>2020-54,</w:t>
      </w:r>
      <w:r>
        <w:rPr>
          <w:szCs w:val="20"/>
        </w:rPr>
        <w:t xml:space="preserve"> </w:t>
      </w:r>
      <w:r w:rsidRPr="003D2498">
        <w:rPr>
          <w:szCs w:val="20"/>
        </w:rPr>
        <w:t>at</w:t>
      </w:r>
      <w:r>
        <w:rPr>
          <w:szCs w:val="20"/>
        </w:rPr>
        <w:t xml:space="preserve"> </w:t>
      </w:r>
      <w:r w:rsidRPr="003D2498">
        <w:rPr>
          <w:szCs w:val="20"/>
        </w:rPr>
        <w:t>*20-*28</w:t>
      </w:r>
      <w:r>
        <w:rPr>
          <w:szCs w:val="20"/>
        </w:rPr>
        <w:t xml:space="preserve"> </w:t>
      </w:r>
      <w:r w:rsidRPr="003D2498">
        <w:rPr>
          <w:szCs w:val="20"/>
        </w:rPr>
        <w:t>(highlighting</w:t>
      </w:r>
      <w:r>
        <w:rPr>
          <w:szCs w:val="20"/>
        </w:rPr>
        <w:t xml:space="preserve"> </w:t>
      </w:r>
      <w:r w:rsidRPr="003D2498">
        <w:rPr>
          <w:szCs w:val="20"/>
        </w:rPr>
        <w:t>the</w:t>
      </w:r>
      <w:r>
        <w:rPr>
          <w:szCs w:val="20"/>
        </w:rPr>
        <w:t xml:space="preserve"> </w:t>
      </w:r>
      <w:r w:rsidRPr="003D2498">
        <w:rPr>
          <w:szCs w:val="20"/>
        </w:rPr>
        <w:t>confusing</w:t>
      </w:r>
      <w:r>
        <w:rPr>
          <w:szCs w:val="20"/>
        </w:rPr>
        <w:t xml:space="preserve"> </w:t>
      </w:r>
      <w:r w:rsidRPr="003D2498">
        <w:rPr>
          <w:szCs w:val="20"/>
        </w:rPr>
        <w:t>nature</w:t>
      </w:r>
      <w:r>
        <w:rPr>
          <w:szCs w:val="20"/>
        </w:rPr>
        <w:t xml:space="preserve"> </w:t>
      </w:r>
      <w:r w:rsidRPr="003D2498">
        <w:rPr>
          <w:szCs w:val="20"/>
        </w:rPr>
        <w:t>of</w:t>
      </w:r>
      <w:r>
        <w:rPr>
          <w:szCs w:val="20"/>
        </w:rPr>
        <w:t xml:space="preserve"> </w:t>
      </w:r>
      <w:r w:rsidRPr="003D2498">
        <w:rPr>
          <w:szCs w:val="20"/>
        </w:rPr>
        <w:t>section</w:t>
      </w:r>
      <w:r>
        <w:rPr>
          <w:szCs w:val="20"/>
        </w:rPr>
        <w:t xml:space="preserve"> </w:t>
      </w:r>
      <w:r w:rsidRPr="003D2498">
        <w:rPr>
          <w:szCs w:val="20"/>
        </w:rPr>
        <w:t>1.170A-14(g)(6),</w:t>
      </w:r>
      <w:r>
        <w:rPr>
          <w:szCs w:val="20"/>
        </w:rPr>
        <w:t xml:space="preserve"> </w:t>
      </w:r>
      <w:r w:rsidRPr="003D2498">
        <w:rPr>
          <w:szCs w:val="20"/>
        </w:rPr>
        <w:t>Income</w:t>
      </w:r>
      <w:r>
        <w:rPr>
          <w:szCs w:val="20"/>
        </w:rPr>
        <w:t xml:space="preserve"> </w:t>
      </w:r>
      <w:r w:rsidRPr="003D2498">
        <w:rPr>
          <w:szCs w:val="20"/>
        </w:rPr>
        <w:t>Tax</w:t>
      </w:r>
      <w:r>
        <w:rPr>
          <w:szCs w:val="20"/>
        </w:rPr>
        <w:t xml:space="preserve"> </w:t>
      </w:r>
      <w:r w:rsidRPr="003D2498">
        <w:rPr>
          <w:szCs w:val="20"/>
        </w:rPr>
        <w:t>Regs.,</w:t>
      </w:r>
      <w:r>
        <w:rPr>
          <w:szCs w:val="20"/>
        </w:rPr>
        <w:t xml:space="preserve"> </w:t>
      </w:r>
      <w:r w:rsidRPr="003D2498">
        <w:rPr>
          <w:szCs w:val="20"/>
        </w:rPr>
        <w:t>and</w:t>
      </w:r>
      <w:r>
        <w:rPr>
          <w:szCs w:val="20"/>
        </w:rPr>
        <w:t xml:space="preserve"> </w:t>
      </w:r>
      <w:r w:rsidRPr="003D2498">
        <w:rPr>
          <w:szCs w:val="20"/>
        </w:rPr>
        <w:t>attempting</w:t>
      </w:r>
      <w:r>
        <w:rPr>
          <w:szCs w:val="20"/>
        </w:rPr>
        <w:t xml:space="preserve"> </w:t>
      </w:r>
      <w:r w:rsidRPr="003D2498">
        <w:rPr>
          <w:szCs w:val="20"/>
        </w:rPr>
        <w:t>to</w:t>
      </w:r>
      <w:r>
        <w:rPr>
          <w:szCs w:val="20"/>
        </w:rPr>
        <w:t xml:space="preserve"> </w:t>
      </w:r>
      <w:r w:rsidRPr="003D2498">
        <w:rPr>
          <w:szCs w:val="20"/>
        </w:rPr>
        <w:t>discern</w:t>
      </w:r>
      <w:r>
        <w:rPr>
          <w:szCs w:val="20"/>
        </w:rPr>
        <w:t xml:space="preserve"> </w:t>
      </w:r>
      <w:r w:rsidRPr="003D2498">
        <w:rPr>
          <w:szCs w:val="20"/>
        </w:rPr>
        <w:t>its</w:t>
      </w:r>
      <w:r>
        <w:rPr>
          <w:szCs w:val="20"/>
        </w:rPr>
        <w:t xml:space="preserve"> </w:t>
      </w:r>
      <w:r w:rsidRPr="003D2498">
        <w:rPr>
          <w:szCs w:val="20"/>
        </w:rPr>
        <w:t>meaning),</w:t>
      </w:r>
      <w:r>
        <w:rPr>
          <w:szCs w:val="20"/>
        </w:rPr>
        <w:t xml:space="preserve"> </w:t>
      </w:r>
      <w:r w:rsidRPr="003D2498">
        <w:rPr>
          <w:szCs w:val="20"/>
        </w:rPr>
        <w:t>nor</w:t>
      </w:r>
      <w:r>
        <w:rPr>
          <w:szCs w:val="20"/>
        </w:rPr>
        <w:t xml:space="preserve"> </w:t>
      </w:r>
      <w:r w:rsidRPr="003D2498">
        <w:rPr>
          <w:szCs w:val="20"/>
        </w:rPr>
        <w:t>the</w:t>
      </w:r>
      <w:r>
        <w:rPr>
          <w:szCs w:val="20"/>
        </w:rPr>
        <w:t xml:space="preserve"> </w:t>
      </w:r>
      <w:r w:rsidRPr="003D2498">
        <w:rPr>
          <w:szCs w:val="20"/>
        </w:rPr>
        <w:t>IRS,</w:t>
      </w:r>
      <w:r>
        <w:rPr>
          <w:szCs w:val="20"/>
        </w:rPr>
        <w:t xml:space="preserve"> </w:t>
      </w:r>
      <w:r w:rsidRPr="003D2498">
        <w:rPr>
          <w:szCs w:val="20"/>
          <w:u w:val="single"/>
        </w:rPr>
        <w:t>compare</w:t>
      </w:r>
      <w:r>
        <w:rPr>
          <w:szCs w:val="20"/>
        </w:rPr>
        <w:t xml:space="preserve"> </w:t>
      </w:r>
      <w:r w:rsidRPr="003D2498">
        <w:rPr>
          <w:szCs w:val="20"/>
        </w:rPr>
        <w:t>Priv.</w:t>
      </w:r>
      <w:r>
        <w:rPr>
          <w:szCs w:val="20"/>
        </w:rPr>
        <w:t xml:space="preserve"> </w:t>
      </w:r>
      <w:r w:rsidRPr="003D2498">
        <w:rPr>
          <w:szCs w:val="20"/>
        </w:rPr>
        <w:t>Ltr.</w:t>
      </w:r>
      <w:r>
        <w:rPr>
          <w:szCs w:val="20"/>
        </w:rPr>
        <w:t xml:space="preserve"> </w:t>
      </w:r>
      <w:r w:rsidRPr="003D2498">
        <w:rPr>
          <w:szCs w:val="20"/>
        </w:rPr>
        <w:t>Rul.</w:t>
      </w:r>
      <w:r>
        <w:rPr>
          <w:szCs w:val="20"/>
        </w:rPr>
        <w:t xml:space="preserve"> </w:t>
      </w:r>
      <w:r w:rsidRPr="003D2498">
        <w:rPr>
          <w:szCs w:val="20"/>
        </w:rPr>
        <w:t>200836014</w:t>
      </w:r>
      <w:r>
        <w:rPr>
          <w:szCs w:val="20"/>
        </w:rPr>
        <w:t xml:space="preserve"> </w:t>
      </w:r>
      <w:r w:rsidRPr="003D2498">
        <w:rPr>
          <w:szCs w:val="20"/>
        </w:rPr>
        <w:t>(Sept.</w:t>
      </w:r>
      <w:r>
        <w:rPr>
          <w:szCs w:val="20"/>
        </w:rPr>
        <w:t xml:space="preserve"> </w:t>
      </w:r>
      <w:r w:rsidRPr="003D2498">
        <w:rPr>
          <w:szCs w:val="20"/>
        </w:rPr>
        <w:t>5,</w:t>
      </w:r>
      <w:r>
        <w:rPr>
          <w:szCs w:val="20"/>
        </w:rPr>
        <w:t xml:space="preserve"> </w:t>
      </w:r>
      <w:r w:rsidRPr="003D2498">
        <w:rPr>
          <w:szCs w:val="20"/>
        </w:rPr>
        <w:t>2008)</w:t>
      </w:r>
      <w:r>
        <w:rPr>
          <w:szCs w:val="20"/>
        </w:rPr>
        <w:t xml:space="preserve"> </w:t>
      </w:r>
      <w:r w:rsidRPr="003D2498">
        <w:rPr>
          <w:szCs w:val="20"/>
        </w:rPr>
        <w:t>(stating</w:t>
      </w:r>
      <w:r>
        <w:rPr>
          <w:szCs w:val="20"/>
        </w:rPr>
        <w:t xml:space="preserve"> </w:t>
      </w:r>
      <w:r w:rsidRPr="003D2498">
        <w:rPr>
          <w:szCs w:val="20"/>
        </w:rPr>
        <w:t>that</w:t>
      </w:r>
      <w:r>
        <w:rPr>
          <w:szCs w:val="20"/>
        </w:rPr>
        <w:t xml:space="preserve"> </w:t>
      </w:r>
      <w:r w:rsidRPr="003D2498">
        <w:rPr>
          <w:szCs w:val="20"/>
        </w:rPr>
        <w:t>the</w:t>
      </w:r>
      <w:r>
        <w:rPr>
          <w:szCs w:val="20"/>
        </w:rPr>
        <w:t xml:space="preserve"> </w:t>
      </w:r>
      <w:r w:rsidRPr="003D2498">
        <w:rPr>
          <w:szCs w:val="20"/>
        </w:rPr>
        <w:t>regulation</w:t>
      </w:r>
      <w:r>
        <w:rPr>
          <w:szCs w:val="20"/>
        </w:rPr>
        <w:t xml:space="preserve"> </w:t>
      </w:r>
      <w:r w:rsidRPr="003D2498">
        <w:rPr>
          <w:szCs w:val="20"/>
        </w:rPr>
        <w:t>isn’t</w:t>
      </w:r>
      <w:r>
        <w:rPr>
          <w:szCs w:val="20"/>
        </w:rPr>
        <w:t xml:space="preserve"> </w:t>
      </w:r>
      <w:r w:rsidRPr="003D2498">
        <w:rPr>
          <w:szCs w:val="20"/>
        </w:rPr>
        <w:t>violated</w:t>
      </w:r>
      <w:r>
        <w:rPr>
          <w:szCs w:val="20"/>
        </w:rPr>
        <w:t xml:space="preserve"> </w:t>
      </w:r>
      <w:r w:rsidRPr="003D2498">
        <w:rPr>
          <w:szCs w:val="20"/>
        </w:rPr>
        <w:t>by</w:t>
      </w:r>
      <w:r>
        <w:rPr>
          <w:szCs w:val="20"/>
        </w:rPr>
        <w:t xml:space="preserve"> </w:t>
      </w:r>
      <w:r w:rsidRPr="003D2498">
        <w:rPr>
          <w:szCs w:val="20"/>
        </w:rPr>
        <w:t>a</w:t>
      </w:r>
      <w:r>
        <w:rPr>
          <w:szCs w:val="20"/>
        </w:rPr>
        <w:t xml:space="preserve"> </w:t>
      </w:r>
      <w:r w:rsidRPr="003D2498">
        <w:rPr>
          <w:szCs w:val="20"/>
        </w:rPr>
        <w:t>conservation</w:t>
      </w:r>
      <w:r>
        <w:rPr>
          <w:szCs w:val="20"/>
        </w:rPr>
        <w:t xml:space="preserve"> </w:t>
      </w:r>
      <w:r w:rsidRPr="003D2498">
        <w:rPr>
          <w:szCs w:val="20"/>
        </w:rPr>
        <w:t>easement</w:t>
      </w:r>
      <w:r>
        <w:rPr>
          <w:szCs w:val="20"/>
        </w:rPr>
        <w:t xml:space="preserve"> </w:t>
      </w:r>
      <w:r w:rsidRPr="003D2498">
        <w:rPr>
          <w:szCs w:val="20"/>
        </w:rPr>
        <w:t>in</w:t>
      </w:r>
      <w:r>
        <w:rPr>
          <w:szCs w:val="20"/>
        </w:rPr>
        <w:t xml:space="preserve"> </w:t>
      </w:r>
      <w:r w:rsidRPr="003D2498">
        <w:rPr>
          <w:szCs w:val="20"/>
        </w:rPr>
        <w:t>which</w:t>
      </w:r>
      <w:r>
        <w:rPr>
          <w:szCs w:val="20"/>
        </w:rPr>
        <w:t xml:space="preserve"> </w:t>
      </w:r>
      <w:r w:rsidRPr="003D2498">
        <w:rPr>
          <w:szCs w:val="20"/>
        </w:rPr>
        <w:t>a</w:t>
      </w:r>
      <w:r>
        <w:rPr>
          <w:szCs w:val="20"/>
        </w:rPr>
        <w:t xml:space="preserve"> </w:t>
      </w:r>
      <w:r w:rsidRPr="003D2498">
        <w:rPr>
          <w:szCs w:val="20"/>
        </w:rPr>
        <w:t>donee</w:t>
      </w:r>
      <w:r>
        <w:rPr>
          <w:szCs w:val="20"/>
        </w:rPr>
        <w:t xml:space="preserve"> </w:t>
      </w:r>
      <w:r w:rsidRPr="003D2498">
        <w:rPr>
          <w:szCs w:val="20"/>
        </w:rPr>
        <w:t>receives</w:t>
      </w:r>
      <w:r>
        <w:rPr>
          <w:szCs w:val="20"/>
        </w:rPr>
        <w:t xml:space="preserve"> </w:t>
      </w:r>
      <w:r w:rsidRPr="003D2498">
        <w:rPr>
          <w:szCs w:val="20"/>
        </w:rPr>
        <w:t>only</w:t>
      </w:r>
      <w:r>
        <w:rPr>
          <w:szCs w:val="20"/>
        </w:rPr>
        <w:t xml:space="preserve"> </w:t>
      </w:r>
      <w:r w:rsidRPr="003D2498">
        <w:rPr>
          <w:szCs w:val="20"/>
        </w:rPr>
        <w:t>proceeds</w:t>
      </w:r>
      <w:r>
        <w:rPr>
          <w:szCs w:val="20"/>
        </w:rPr>
        <w:t xml:space="preserve"> </w:t>
      </w:r>
      <w:r w:rsidRPr="003D2498">
        <w:rPr>
          <w:szCs w:val="20"/>
        </w:rPr>
        <w:t>less</w:t>
      </w:r>
      <w:r>
        <w:rPr>
          <w:szCs w:val="20"/>
        </w:rPr>
        <w:t xml:space="preserve"> </w:t>
      </w:r>
      <w:r w:rsidRPr="003D2498">
        <w:rPr>
          <w:szCs w:val="20"/>
        </w:rPr>
        <w:t>any</w:t>
      </w:r>
      <w:r>
        <w:rPr>
          <w:szCs w:val="20"/>
        </w:rPr>
        <w:t xml:space="preserve"> </w:t>
      </w:r>
      <w:r w:rsidRPr="003D2498">
        <w:rPr>
          <w:szCs w:val="20"/>
        </w:rPr>
        <w:t>amount</w:t>
      </w:r>
      <w:r>
        <w:rPr>
          <w:szCs w:val="20"/>
        </w:rPr>
        <w:t xml:space="preserve"> </w:t>
      </w:r>
      <w:r w:rsidRPr="003D2498">
        <w:rPr>
          <w:szCs w:val="20"/>
        </w:rPr>
        <w:t>attributable</w:t>
      </w:r>
      <w:r>
        <w:rPr>
          <w:szCs w:val="20"/>
        </w:rPr>
        <w:t xml:space="preserve"> </w:t>
      </w:r>
      <w:r w:rsidRPr="003D2498">
        <w:rPr>
          <w:szCs w:val="20"/>
        </w:rPr>
        <w:t>to</w:t>
      </w:r>
      <w:r>
        <w:rPr>
          <w:szCs w:val="20"/>
        </w:rPr>
        <w:t xml:space="preserve"> </w:t>
      </w:r>
      <w:r w:rsidRPr="003D2498">
        <w:rPr>
          <w:szCs w:val="20"/>
        </w:rPr>
        <w:t>an</w:t>
      </w:r>
      <w:r>
        <w:rPr>
          <w:szCs w:val="20"/>
        </w:rPr>
        <w:t xml:space="preserve"> </w:t>
      </w:r>
      <w:r w:rsidRPr="003D2498">
        <w:rPr>
          <w:szCs w:val="20"/>
        </w:rPr>
        <w:t>improvement),</w:t>
      </w:r>
      <w:r>
        <w:rPr>
          <w:szCs w:val="20"/>
        </w:rPr>
        <w:t xml:space="preserve"> </w:t>
      </w:r>
      <w:r w:rsidRPr="003D2498">
        <w:rPr>
          <w:szCs w:val="20"/>
          <w:u w:val="single"/>
        </w:rPr>
        <w:t>with Oakbrook</w:t>
      </w:r>
      <w:r w:rsidRPr="003D2498">
        <w:rPr>
          <w:szCs w:val="20"/>
        </w:rPr>
        <w:t>,</w:t>
      </w:r>
      <w:r>
        <w:rPr>
          <w:szCs w:val="20"/>
        </w:rPr>
        <w:t xml:space="preserve"> </w:t>
      </w:r>
      <w:r w:rsidRPr="003D2498">
        <w:rPr>
          <w:szCs w:val="20"/>
        </w:rPr>
        <w:t>T.C.</w:t>
      </w:r>
      <w:r>
        <w:rPr>
          <w:szCs w:val="20"/>
        </w:rPr>
        <w:t xml:space="preserve"> </w:t>
      </w:r>
      <w:r w:rsidRPr="003D2498">
        <w:rPr>
          <w:szCs w:val="20"/>
        </w:rPr>
        <w:t>Memo.</w:t>
      </w:r>
      <w:r>
        <w:rPr>
          <w:szCs w:val="20"/>
        </w:rPr>
        <w:t xml:space="preserve"> </w:t>
      </w:r>
      <w:r w:rsidRPr="003D2498">
        <w:rPr>
          <w:szCs w:val="20"/>
        </w:rPr>
        <w:t>2020-54,</w:t>
      </w:r>
      <w:r>
        <w:rPr>
          <w:szCs w:val="20"/>
        </w:rPr>
        <w:t xml:space="preserve"> </w:t>
      </w:r>
      <w:r w:rsidRPr="003D2498">
        <w:rPr>
          <w:szCs w:val="20"/>
        </w:rPr>
        <w:t>at</w:t>
      </w:r>
      <w:r>
        <w:rPr>
          <w:szCs w:val="20"/>
        </w:rPr>
        <w:t xml:space="preserve"> </w:t>
      </w:r>
      <w:r w:rsidRPr="003D2498">
        <w:rPr>
          <w:szCs w:val="20"/>
        </w:rPr>
        <w:t>*36</w:t>
      </w:r>
      <w:r>
        <w:rPr>
          <w:szCs w:val="20"/>
        </w:rPr>
        <w:t xml:space="preserve"> </w:t>
      </w:r>
      <w:r w:rsidRPr="003D2498">
        <w:rPr>
          <w:szCs w:val="20"/>
        </w:rPr>
        <w:t>(addressing</w:t>
      </w:r>
      <w:r>
        <w:rPr>
          <w:szCs w:val="20"/>
        </w:rPr>
        <w:t xml:space="preserve"> </w:t>
      </w:r>
      <w:r w:rsidRPr="003D2498">
        <w:rPr>
          <w:szCs w:val="20"/>
        </w:rPr>
        <w:t>the</w:t>
      </w:r>
      <w:r>
        <w:rPr>
          <w:szCs w:val="20"/>
        </w:rPr>
        <w:t xml:space="preserve"> </w:t>
      </w:r>
      <w:r w:rsidRPr="003D2498">
        <w:rPr>
          <w:szCs w:val="20"/>
        </w:rPr>
        <w:t>IRS’s</w:t>
      </w:r>
      <w:r>
        <w:rPr>
          <w:szCs w:val="20"/>
        </w:rPr>
        <w:t xml:space="preserve"> </w:t>
      </w:r>
      <w:r w:rsidRPr="003D2498">
        <w:rPr>
          <w:szCs w:val="20"/>
        </w:rPr>
        <w:t>argument</w:t>
      </w:r>
      <w:r>
        <w:rPr>
          <w:szCs w:val="20"/>
        </w:rPr>
        <w:t xml:space="preserve"> </w:t>
      </w:r>
      <w:r w:rsidRPr="003D2498">
        <w:rPr>
          <w:szCs w:val="20"/>
        </w:rPr>
        <w:t>that</w:t>
      </w:r>
      <w:r>
        <w:rPr>
          <w:szCs w:val="20"/>
        </w:rPr>
        <w:t xml:space="preserve"> </w:t>
      </w:r>
      <w:r w:rsidRPr="003D2498">
        <w:rPr>
          <w:szCs w:val="20"/>
        </w:rPr>
        <w:t>a</w:t>
      </w:r>
      <w:r>
        <w:rPr>
          <w:szCs w:val="20"/>
        </w:rPr>
        <w:t xml:space="preserve"> </w:t>
      </w:r>
      <w:r w:rsidRPr="003D2498">
        <w:rPr>
          <w:szCs w:val="20"/>
        </w:rPr>
        <w:t>conservation</w:t>
      </w:r>
      <w:r>
        <w:rPr>
          <w:szCs w:val="20"/>
        </w:rPr>
        <w:t xml:space="preserve"> </w:t>
      </w:r>
      <w:r w:rsidRPr="003D2498">
        <w:rPr>
          <w:szCs w:val="20"/>
        </w:rPr>
        <w:t>easement</w:t>
      </w:r>
      <w:r>
        <w:rPr>
          <w:szCs w:val="20"/>
        </w:rPr>
        <w:t xml:space="preserve"> </w:t>
      </w:r>
      <w:r w:rsidRPr="003D2498">
        <w:rPr>
          <w:szCs w:val="20"/>
        </w:rPr>
        <w:t>in</w:t>
      </w:r>
      <w:r>
        <w:rPr>
          <w:szCs w:val="20"/>
        </w:rPr>
        <w:t xml:space="preserve"> </w:t>
      </w:r>
      <w:r w:rsidRPr="003D2498">
        <w:rPr>
          <w:szCs w:val="20"/>
        </w:rPr>
        <w:t>which</w:t>
      </w:r>
      <w:r>
        <w:rPr>
          <w:szCs w:val="20"/>
        </w:rPr>
        <w:t xml:space="preserve"> </w:t>
      </w:r>
      <w:r w:rsidRPr="003D2498">
        <w:rPr>
          <w:szCs w:val="20"/>
        </w:rPr>
        <w:t>a</w:t>
      </w:r>
      <w:r>
        <w:rPr>
          <w:szCs w:val="20"/>
        </w:rPr>
        <w:t xml:space="preserve"> </w:t>
      </w:r>
      <w:r w:rsidRPr="003D2498">
        <w:rPr>
          <w:szCs w:val="20"/>
        </w:rPr>
        <w:t>donee</w:t>
      </w:r>
      <w:r>
        <w:rPr>
          <w:szCs w:val="20"/>
        </w:rPr>
        <w:t xml:space="preserve"> </w:t>
      </w:r>
      <w:r w:rsidRPr="003D2498">
        <w:rPr>
          <w:szCs w:val="20"/>
        </w:rPr>
        <w:t>receives</w:t>
      </w:r>
      <w:r>
        <w:rPr>
          <w:szCs w:val="20"/>
        </w:rPr>
        <w:t xml:space="preserve"> </w:t>
      </w:r>
      <w:r w:rsidRPr="003D2498">
        <w:rPr>
          <w:szCs w:val="20"/>
        </w:rPr>
        <w:t>only</w:t>
      </w:r>
      <w:r>
        <w:rPr>
          <w:szCs w:val="20"/>
        </w:rPr>
        <w:t xml:space="preserve"> </w:t>
      </w:r>
      <w:r w:rsidRPr="003D2498">
        <w:rPr>
          <w:szCs w:val="20"/>
        </w:rPr>
        <w:t>proceeds</w:t>
      </w:r>
      <w:r>
        <w:rPr>
          <w:szCs w:val="20"/>
        </w:rPr>
        <w:t xml:space="preserve"> </w:t>
      </w:r>
      <w:r w:rsidRPr="003D2498">
        <w:rPr>
          <w:szCs w:val="20"/>
        </w:rPr>
        <w:t>less</w:t>
      </w:r>
      <w:r>
        <w:rPr>
          <w:szCs w:val="20"/>
        </w:rPr>
        <w:t xml:space="preserve"> </w:t>
      </w:r>
      <w:r w:rsidRPr="003D2498">
        <w:rPr>
          <w:szCs w:val="20"/>
        </w:rPr>
        <w:t>any</w:t>
      </w:r>
      <w:r>
        <w:rPr>
          <w:szCs w:val="20"/>
        </w:rPr>
        <w:t xml:space="preserve"> </w:t>
      </w:r>
      <w:r w:rsidRPr="003D2498">
        <w:rPr>
          <w:szCs w:val="20"/>
        </w:rPr>
        <w:t>amount</w:t>
      </w:r>
      <w:r>
        <w:rPr>
          <w:szCs w:val="20"/>
        </w:rPr>
        <w:t xml:space="preserve"> </w:t>
      </w:r>
      <w:r w:rsidRPr="003D2498">
        <w:rPr>
          <w:szCs w:val="20"/>
        </w:rPr>
        <w:t>attributable</w:t>
      </w:r>
      <w:r>
        <w:rPr>
          <w:szCs w:val="20"/>
        </w:rPr>
        <w:t xml:space="preserve"> </w:t>
      </w:r>
      <w:r w:rsidRPr="003D2498">
        <w:rPr>
          <w:szCs w:val="20"/>
        </w:rPr>
        <w:t>to</w:t>
      </w:r>
      <w:r>
        <w:rPr>
          <w:szCs w:val="20"/>
        </w:rPr>
        <w:t xml:space="preserve"> </w:t>
      </w:r>
      <w:r w:rsidRPr="003D2498">
        <w:rPr>
          <w:szCs w:val="20"/>
        </w:rPr>
        <w:t>an</w:t>
      </w:r>
      <w:r>
        <w:rPr>
          <w:szCs w:val="20"/>
        </w:rPr>
        <w:t xml:space="preserve"> </w:t>
      </w:r>
      <w:r w:rsidRPr="003D2498">
        <w:rPr>
          <w:szCs w:val="20"/>
        </w:rPr>
        <w:t>improvement</w:t>
      </w:r>
      <w:r>
        <w:rPr>
          <w:szCs w:val="20"/>
        </w:rPr>
        <w:t xml:space="preserve"> </w:t>
      </w:r>
      <w:r w:rsidRPr="003D2498">
        <w:rPr>
          <w:szCs w:val="20"/>
        </w:rPr>
        <w:t>is</w:t>
      </w:r>
      <w:r>
        <w:rPr>
          <w:szCs w:val="20"/>
        </w:rPr>
        <w:t xml:space="preserve"> </w:t>
      </w:r>
      <w:r w:rsidRPr="003D2498">
        <w:rPr>
          <w:szCs w:val="20"/>
        </w:rPr>
        <w:t>a</w:t>
      </w:r>
      <w:r>
        <w:rPr>
          <w:szCs w:val="20"/>
        </w:rPr>
        <w:t xml:space="preserve"> </w:t>
      </w:r>
      <w:r w:rsidRPr="003D2498">
        <w:rPr>
          <w:szCs w:val="20"/>
        </w:rPr>
        <w:t>violation</w:t>
      </w:r>
      <w:r>
        <w:rPr>
          <w:szCs w:val="20"/>
        </w:rPr>
        <w:t xml:space="preserve"> </w:t>
      </w:r>
      <w:r w:rsidRPr="003D2498">
        <w:rPr>
          <w:szCs w:val="20"/>
        </w:rPr>
        <w:t>of</w:t>
      </w:r>
      <w:r>
        <w:rPr>
          <w:szCs w:val="20"/>
        </w:rPr>
        <w:t xml:space="preserve"> </w:t>
      </w:r>
      <w:r w:rsidRPr="003D2498">
        <w:rPr>
          <w:szCs w:val="20"/>
        </w:rPr>
        <w:t>the</w:t>
      </w:r>
      <w:r>
        <w:rPr>
          <w:szCs w:val="20"/>
        </w:rPr>
        <w:t xml:space="preserve"> </w:t>
      </w:r>
      <w:r w:rsidRPr="003D2498">
        <w:rPr>
          <w:szCs w:val="20"/>
        </w:rPr>
        <w:t>regulation),</w:t>
      </w:r>
      <w:r>
        <w:rPr>
          <w:szCs w:val="20"/>
        </w:rPr>
        <w:t xml:space="preserve"> </w:t>
      </w:r>
      <w:r w:rsidRPr="003D2498">
        <w:rPr>
          <w:szCs w:val="20"/>
        </w:rPr>
        <w:t>would</w:t>
      </w:r>
      <w:r>
        <w:rPr>
          <w:szCs w:val="20"/>
        </w:rPr>
        <w:t xml:space="preserve"> </w:t>
      </w:r>
      <w:r w:rsidRPr="003D2498">
        <w:rPr>
          <w:szCs w:val="20"/>
        </w:rPr>
        <w:t>have</w:t>
      </w:r>
      <w:r>
        <w:rPr>
          <w:szCs w:val="20"/>
        </w:rPr>
        <w:t xml:space="preserve"> </w:t>
      </w:r>
      <w:r w:rsidRPr="003D2498">
        <w:rPr>
          <w:szCs w:val="20"/>
        </w:rPr>
        <w:t>to</w:t>
      </w:r>
      <w:r>
        <w:rPr>
          <w:szCs w:val="20"/>
        </w:rPr>
        <w:t xml:space="preserve"> </w:t>
      </w:r>
      <w:r w:rsidRPr="003D2498">
        <w:rPr>
          <w:szCs w:val="20"/>
        </w:rPr>
        <w:t>grapple</w:t>
      </w:r>
      <w:r>
        <w:rPr>
          <w:szCs w:val="20"/>
        </w:rPr>
        <w:t xml:space="preserve"> </w:t>
      </w:r>
      <w:r w:rsidRPr="003D2498">
        <w:rPr>
          <w:szCs w:val="20"/>
        </w:rPr>
        <w:t>with</w:t>
      </w:r>
      <w:r>
        <w:rPr>
          <w:szCs w:val="20"/>
        </w:rPr>
        <w:t xml:space="preserve"> </w:t>
      </w:r>
      <w:r w:rsidRPr="003D2498">
        <w:rPr>
          <w:szCs w:val="20"/>
        </w:rPr>
        <w:t>whether</w:t>
      </w:r>
      <w:r>
        <w:rPr>
          <w:szCs w:val="20"/>
        </w:rPr>
        <w:t xml:space="preserve"> </w:t>
      </w:r>
      <w:r w:rsidRPr="003D2498">
        <w:rPr>
          <w:szCs w:val="20"/>
        </w:rPr>
        <w:t>“proportionate</w:t>
      </w:r>
      <w:r>
        <w:rPr>
          <w:szCs w:val="20"/>
        </w:rPr>
        <w:t xml:space="preserve"> </w:t>
      </w:r>
      <w:r w:rsidRPr="003D2498">
        <w:rPr>
          <w:szCs w:val="20"/>
        </w:rPr>
        <w:t>value”</w:t>
      </w:r>
      <w:r>
        <w:rPr>
          <w:szCs w:val="20"/>
        </w:rPr>
        <w:t xml:space="preserve"> </w:t>
      </w:r>
      <w:r w:rsidRPr="003D2498">
        <w:rPr>
          <w:szCs w:val="20"/>
        </w:rPr>
        <w:t>establishes</w:t>
      </w:r>
      <w:r>
        <w:rPr>
          <w:szCs w:val="20"/>
        </w:rPr>
        <w:t xml:space="preserve"> </w:t>
      </w:r>
      <w:r w:rsidRPr="003D2498">
        <w:rPr>
          <w:szCs w:val="20"/>
        </w:rPr>
        <w:t>a</w:t>
      </w:r>
      <w:r>
        <w:rPr>
          <w:szCs w:val="20"/>
        </w:rPr>
        <w:t xml:space="preserve"> </w:t>
      </w:r>
      <w:r w:rsidRPr="003D2498">
        <w:rPr>
          <w:szCs w:val="20"/>
        </w:rPr>
        <w:t>fraction</w:t>
      </w:r>
      <w:r>
        <w:rPr>
          <w:szCs w:val="20"/>
        </w:rPr>
        <w:t xml:space="preserve"> </w:t>
      </w:r>
      <w:r w:rsidRPr="003D2498">
        <w:rPr>
          <w:szCs w:val="20"/>
        </w:rPr>
        <w:t>or</w:t>
      </w:r>
      <w:r>
        <w:rPr>
          <w:szCs w:val="20"/>
        </w:rPr>
        <w:t xml:space="preserve"> </w:t>
      </w:r>
      <w:r w:rsidRPr="003D2498">
        <w:rPr>
          <w:szCs w:val="20"/>
        </w:rPr>
        <w:t>a</w:t>
      </w:r>
      <w:r>
        <w:rPr>
          <w:szCs w:val="20"/>
        </w:rPr>
        <w:t xml:space="preserve"> </w:t>
      </w:r>
      <w:r w:rsidRPr="003D2498">
        <w:rPr>
          <w:szCs w:val="20"/>
        </w:rPr>
        <w:t>fixed</w:t>
      </w:r>
      <w:r>
        <w:rPr>
          <w:szCs w:val="20"/>
        </w:rPr>
        <w:t xml:space="preserve"> </w:t>
      </w:r>
      <w:r w:rsidRPr="003D2498">
        <w:rPr>
          <w:szCs w:val="20"/>
        </w:rPr>
        <w:t>value,</w:t>
      </w:r>
      <w:r>
        <w:rPr>
          <w:szCs w:val="20"/>
        </w:rPr>
        <w:t xml:space="preserve"> </w:t>
      </w:r>
      <w:r w:rsidRPr="003D2498">
        <w:rPr>
          <w:szCs w:val="20"/>
        </w:rPr>
        <w:t>or</w:t>
      </w:r>
      <w:r>
        <w:rPr>
          <w:szCs w:val="20"/>
        </w:rPr>
        <w:t xml:space="preserve"> </w:t>
      </w:r>
      <w:r w:rsidRPr="003D2498">
        <w:rPr>
          <w:szCs w:val="20"/>
        </w:rPr>
        <w:t>whether</w:t>
      </w:r>
      <w:r>
        <w:rPr>
          <w:szCs w:val="20"/>
        </w:rPr>
        <w:t xml:space="preserve"> </w:t>
      </w:r>
      <w:r w:rsidRPr="003D2498">
        <w:rPr>
          <w:szCs w:val="20"/>
        </w:rPr>
        <w:t>a</w:t>
      </w:r>
      <w:r>
        <w:rPr>
          <w:szCs w:val="20"/>
        </w:rPr>
        <w:t xml:space="preserve"> </w:t>
      </w:r>
      <w:r w:rsidRPr="003D2498">
        <w:rPr>
          <w:szCs w:val="20"/>
        </w:rPr>
        <w:t>donee</w:t>
      </w:r>
      <w:r>
        <w:rPr>
          <w:szCs w:val="20"/>
        </w:rPr>
        <w:t xml:space="preserve"> </w:t>
      </w:r>
      <w:r w:rsidRPr="003D2498">
        <w:rPr>
          <w:szCs w:val="20"/>
        </w:rPr>
        <w:t>is</w:t>
      </w:r>
      <w:r>
        <w:rPr>
          <w:szCs w:val="20"/>
        </w:rPr>
        <w:t xml:space="preserve"> </w:t>
      </w:r>
      <w:r w:rsidRPr="003D2498">
        <w:rPr>
          <w:szCs w:val="20"/>
        </w:rPr>
        <w:t>entitled</w:t>
      </w:r>
      <w:r>
        <w:rPr>
          <w:szCs w:val="20"/>
        </w:rPr>
        <w:t xml:space="preserve"> </w:t>
      </w:r>
      <w:r w:rsidRPr="003D2498">
        <w:rPr>
          <w:szCs w:val="20"/>
        </w:rPr>
        <w:t>to</w:t>
      </w:r>
      <w:r>
        <w:rPr>
          <w:szCs w:val="20"/>
        </w:rPr>
        <w:t xml:space="preserve"> </w:t>
      </w:r>
      <w:r w:rsidRPr="003D2498">
        <w:rPr>
          <w:szCs w:val="20"/>
        </w:rPr>
        <w:t>any</w:t>
      </w:r>
      <w:r>
        <w:rPr>
          <w:szCs w:val="20"/>
        </w:rPr>
        <w:t xml:space="preserve"> </w:t>
      </w:r>
      <w:r w:rsidRPr="003D2498">
        <w:rPr>
          <w:szCs w:val="20"/>
        </w:rPr>
        <w:t>extinguishment</w:t>
      </w:r>
      <w:r>
        <w:rPr>
          <w:szCs w:val="20"/>
        </w:rPr>
        <w:t xml:space="preserve"> </w:t>
      </w:r>
      <w:r w:rsidRPr="003D2498">
        <w:rPr>
          <w:szCs w:val="20"/>
        </w:rPr>
        <w:t>proceeds</w:t>
      </w:r>
      <w:r>
        <w:rPr>
          <w:szCs w:val="20"/>
        </w:rPr>
        <w:t xml:space="preserve"> </w:t>
      </w:r>
      <w:r w:rsidRPr="003D2498">
        <w:rPr>
          <w:szCs w:val="20"/>
        </w:rPr>
        <w:t>attributable</w:t>
      </w:r>
      <w:r>
        <w:rPr>
          <w:szCs w:val="20"/>
        </w:rPr>
        <w:t xml:space="preserve"> </w:t>
      </w:r>
      <w:r w:rsidRPr="003D2498">
        <w:rPr>
          <w:szCs w:val="20"/>
        </w:rPr>
        <w:t>to</w:t>
      </w:r>
      <w:r>
        <w:rPr>
          <w:szCs w:val="20"/>
        </w:rPr>
        <w:t xml:space="preserve"> </w:t>
      </w:r>
      <w:r w:rsidRPr="003D2498">
        <w:rPr>
          <w:szCs w:val="20"/>
        </w:rPr>
        <w:t>the</w:t>
      </w:r>
      <w:r>
        <w:rPr>
          <w:szCs w:val="20"/>
        </w:rPr>
        <w:t xml:space="preserve"> </w:t>
      </w:r>
      <w:r w:rsidRPr="003D2498">
        <w:rPr>
          <w:szCs w:val="20"/>
        </w:rPr>
        <w:t>value</w:t>
      </w:r>
      <w:r>
        <w:rPr>
          <w:szCs w:val="20"/>
        </w:rPr>
        <w:t xml:space="preserve"> </w:t>
      </w:r>
      <w:r w:rsidRPr="003D2498">
        <w:rPr>
          <w:szCs w:val="20"/>
        </w:rPr>
        <w:t>of</w:t>
      </w:r>
      <w:r>
        <w:rPr>
          <w:szCs w:val="20"/>
        </w:rPr>
        <w:t xml:space="preserve"> </w:t>
      </w:r>
      <w:r w:rsidRPr="003D2498">
        <w:rPr>
          <w:szCs w:val="20"/>
        </w:rPr>
        <w:t>improvements</w:t>
      </w:r>
      <w:r>
        <w:rPr>
          <w:szCs w:val="20"/>
        </w:rPr>
        <w:t xml:space="preserve"> </w:t>
      </w:r>
      <w:r w:rsidRPr="003D2498">
        <w:rPr>
          <w:szCs w:val="20"/>
        </w:rPr>
        <w:t>or</w:t>
      </w:r>
      <w:r>
        <w:rPr>
          <w:szCs w:val="20"/>
        </w:rPr>
        <w:t xml:space="preserve"> </w:t>
      </w:r>
      <w:r w:rsidRPr="003D2498">
        <w:rPr>
          <w:szCs w:val="20"/>
        </w:rPr>
        <w:t>rising</w:t>
      </w:r>
      <w:r>
        <w:rPr>
          <w:szCs w:val="20"/>
        </w:rPr>
        <w:t xml:space="preserve"> </w:t>
      </w:r>
      <w:r w:rsidRPr="003D2498">
        <w:rPr>
          <w:szCs w:val="20"/>
        </w:rPr>
        <w:t>land</w:t>
      </w:r>
      <w:r>
        <w:rPr>
          <w:szCs w:val="20"/>
        </w:rPr>
        <w:t xml:space="preserve"> </w:t>
      </w:r>
      <w:r w:rsidRPr="003D2498">
        <w:rPr>
          <w:szCs w:val="20"/>
        </w:rPr>
        <w:t>values.</w:t>
      </w:r>
      <w:r>
        <w:rPr>
          <w:szCs w:val="20"/>
        </w:rPr>
        <w:t xml:space="preserve"> </w:t>
      </w:r>
      <w:r w:rsidRPr="003D2498">
        <w:rPr>
          <w:szCs w:val="20"/>
        </w:rPr>
        <w:t>Such</w:t>
      </w:r>
      <w:r>
        <w:rPr>
          <w:szCs w:val="20"/>
        </w:rPr>
        <w:t xml:space="preserve"> </w:t>
      </w:r>
      <w:r w:rsidRPr="003D2498">
        <w:rPr>
          <w:szCs w:val="20"/>
        </w:rPr>
        <w:t>widespread</w:t>
      </w:r>
      <w:r>
        <w:rPr>
          <w:szCs w:val="20"/>
        </w:rPr>
        <w:t xml:space="preserve"> </w:t>
      </w:r>
      <w:r w:rsidRPr="003D2498">
        <w:rPr>
          <w:szCs w:val="20"/>
        </w:rPr>
        <w:t>industry</w:t>
      </w:r>
      <w:r>
        <w:rPr>
          <w:szCs w:val="20"/>
        </w:rPr>
        <w:t xml:space="preserve"> </w:t>
      </w:r>
      <w:r w:rsidRPr="003D2498">
        <w:rPr>
          <w:szCs w:val="20"/>
        </w:rPr>
        <w:t>confusion</w:t>
      </w:r>
      <w:r>
        <w:rPr>
          <w:szCs w:val="20"/>
        </w:rPr>
        <w:t xml:space="preserve"> </w:t>
      </w:r>
      <w:r w:rsidRPr="003D2498">
        <w:rPr>
          <w:szCs w:val="20"/>
        </w:rPr>
        <w:t>is</w:t>
      </w:r>
      <w:r>
        <w:rPr>
          <w:szCs w:val="20"/>
        </w:rPr>
        <w:t xml:space="preserve"> </w:t>
      </w:r>
      <w:r w:rsidRPr="003D2498">
        <w:rPr>
          <w:szCs w:val="20"/>
        </w:rPr>
        <w:t>precisely</w:t>
      </w:r>
      <w:r>
        <w:rPr>
          <w:szCs w:val="20"/>
        </w:rPr>
        <w:t xml:space="preserve"> </w:t>
      </w:r>
      <w:r w:rsidRPr="003D2498">
        <w:rPr>
          <w:szCs w:val="20"/>
        </w:rPr>
        <w:t>what</w:t>
      </w:r>
      <w:r>
        <w:rPr>
          <w:szCs w:val="20"/>
        </w:rPr>
        <w:t xml:space="preserve"> </w:t>
      </w:r>
      <w:r w:rsidRPr="003D2498">
        <w:rPr>
          <w:szCs w:val="20"/>
        </w:rPr>
        <w:t>APA</w:t>
      </w:r>
      <w:r>
        <w:rPr>
          <w:szCs w:val="20"/>
        </w:rPr>
        <w:t xml:space="preserve"> </w:t>
      </w:r>
      <w:r w:rsidRPr="003D2498">
        <w:rPr>
          <w:szCs w:val="20"/>
        </w:rPr>
        <w:t>section</w:t>
      </w:r>
      <w:r>
        <w:rPr>
          <w:szCs w:val="20"/>
        </w:rPr>
        <w:t xml:space="preserve"> </w:t>
      </w:r>
      <w:r w:rsidRPr="003D2498">
        <w:rPr>
          <w:szCs w:val="20"/>
        </w:rPr>
        <w:t>553</w:t>
      </w:r>
      <w:r>
        <w:rPr>
          <w:szCs w:val="20"/>
        </w:rPr>
        <w:t xml:space="preserve"> </w:t>
      </w:r>
      <w:r w:rsidRPr="003D2498">
        <w:rPr>
          <w:szCs w:val="20"/>
        </w:rPr>
        <w:t>is</w:t>
      </w:r>
      <w:r>
        <w:rPr>
          <w:szCs w:val="20"/>
        </w:rPr>
        <w:t xml:space="preserve"> </w:t>
      </w:r>
      <w:r w:rsidRPr="003D2498">
        <w:rPr>
          <w:szCs w:val="20"/>
        </w:rPr>
        <w:t>intended</w:t>
      </w:r>
      <w:r>
        <w:rPr>
          <w:szCs w:val="20"/>
        </w:rPr>
        <w:t xml:space="preserve"> </w:t>
      </w:r>
      <w:r w:rsidRPr="003D2498">
        <w:rPr>
          <w:szCs w:val="20"/>
        </w:rPr>
        <w:t>to</w:t>
      </w:r>
      <w:r>
        <w:rPr>
          <w:szCs w:val="20"/>
        </w:rPr>
        <w:t xml:space="preserve"> </w:t>
      </w:r>
      <w:r w:rsidRPr="003D2498">
        <w:rPr>
          <w:szCs w:val="20"/>
        </w:rPr>
        <w:t>avoid.</w:t>
      </w:r>
      <w:r>
        <w:rPr>
          <w:szCs w:val="20"/>
        </w:rPr>
        <w:t xml:space="preserve"> </w:t>
      </w:r>
      <w:r w:rsidRPr="003D2498">
        <w:rPr>
          <w:szCs w:val="20"/>
        </w:rPr>
        <w:t>So</w:t>
      </w:r>
      <w:r>
        <w:rPr>
          <w:szCs w:val="20"/>
        </w:rPr>
        <w:t xml:space="preserve"> </w:t>
      </w:r>
      <w:r w:rsidRPr="003D2498">
        <w:rPr>
          <w:szCs w:val="20"/>
        </w:rPr>
        <w:t>while</w:t>
      </w:r>
      <w:r>
        <w:rPr>
          <w:szCs w:val="20"/>
        </w:rPr>
        <w:t xml:space="preserve"> </w:t>
      </w:r>
      <w:r w:rsidRPr="003D2498">
        <w:rPr>
          <w:szCs w:val="20"/>
        </w:rPr>
        <w:t>we</w:t>
      </w:r>
      <w:r>
        <w:rPr>
          <w:szCs w:val="20"/>
        </w:rPr>
        <w:t xml:space="preserve"> </w:t>
      </w:r>
      <w:r w:rsidRPr="003D2498">
        <w:rPr>
          <w:szCs w:val="20"/>
        </w:rPr>
        <w:t>don’t</w:t>
      </w:r>
      <w:r>
        <w:rPr>
          <w:szCs w:val="20"/>
        </w:rPr>
        <w:t xml:space="preserve"> </w:t>
      </w:r>
      <w:r w:rsidRPr="003D2498">
        <w:rPr>
          <w:szCs w:val="20"/>
        </w:rPr>
        <w:t>demand</w:t>
      </w:r>
      <w:r>
        <w:rPr>
          <w:szCs w:val="20"/>
        </w:rPr>
        <w:t xml:space="preserve"> </w:t>
      </w:r>
      <w:r w:rsidRPr="003D2498">
        <w:rPr>
          <w:szCs w:val="20"/>
        </w:rPr>
        <w:t>a</w:t>
      </w:r>
      <w:r>
        <w:rPr>
          <w:szCs w:val="20"/>
        </w:rPr>
        <w:t xml:space="preserve"> </w:t>
      </w:r>
      <w:r w:rsidRPr="003D2498">
        <w:rPr>
          <w:szCs w:val="20"/>
        </w:rPr>
        <w:t>perfect</w:t>
      </w:r>
      <w:r>
        <w:rPr>
          <w:szCs w:val="20"/>
        </w:rPr>
        <w:t xml:space="preserve"> </w:t>
      </w:r>
      <w:r w:rsidRPr="003D2498">
        <w:rPr>
          <w:szCs w:val="20"/>
        </w:rPr>
        <w:t>explanation</w:t>
      </w:r>
      <w:r>
        <w:rPr>
          <w:szCs w:val="20"/>
        </w:rPr>
        <w:t xml:space="preserve"> </w:t>
      </w:r>
      <w:r w:rsidRPr="003D2498">
        <w:rPr>
          <w:szCs w:val="20"/>
        </w:rPr>
        <w:t>for</w:t>
      </w:r>
      <w:r>
        <w:rPr>
          <w:szCs w:val="20"/>
        </w:rPr>
        <w:t xml:space="preserve"> </w:t>
      </w:r>
      <w:r w:rsidRPr="003D2498">
        <w:rPr>
          <w:szCs w:val="20"/>
        </w:rPr>
        <w:t>Treasury’s</w:t>
      </w:r>
      <w:r>
        <w:rPr>
          <w:szCs w:val="20"/>
        </w:rPr>
        <w:t xml:space="preserve"> </w:t>
      </w:r>
      <w:r w:rsidRPr="003D2498">
        <w:rPr>
          <w:szCs w:val="20"/>
        </w:rPr>
        <w:t>decision making,</w:t>
      </w:r>
      <w:r>
        <w:rPr>
          <w:szCs w:val="20"/>
        </w:rPr>
        <w:t xml:space="preserve"> </w:t>
      </w:r>
      <w:r w:rsidRPr="003D2498">
        <w:rPr>
          <w:szCs w:val="20"/>
          <w:u w:val="single"/>
        </w:rPr>
        <w:t>see</w:t>
      </w:r>
      <w:r>
        <w:rPr>
          <w:szCs w:val="20"/>
        </w:rPr>
        <w:t xml:space="preserve"> </w:t>
      </w:r>
      <w:r w:rsidRPr="003D2498">
        <w:rPr>
          <w:szCs w:val="20"/>
          <w:u w:val="single"/>
        </w:rPr>
        <w:t>Bowman</w:t>
      </w:r>
      <w:r>
        <w:rPr>
          <w:szCs w:val="20"/>
          <w:u w:val="single"/>
        </w:rPr>
        <w:t xml:space="preserve"> </w:t>
      </w:r>
      <w:r w:rsidRPr="003D2498">
        <w:rPr>
          <w:szCs w:val="20"/>
          <w:u w:val="single"/>
        </w:rPr>
        <w:t>Transp.</w:t>
      </w:r>
      <w:r w:rsidRPr="003D2498">
        <w:rPr>
          <w:szCs w:val="20"/>
        </w:rPr>
        <w:t>,</w:t>
      </w:r>
      <w:r>
        <w:rPr>
          <w:szCs w:val="20"/>
        </w:rPr>
        <w:t xml:space="preserve"> </w:t>
      </w:r>
      <w:r w:rsidRPr="003D2498">
        <w:rPr>
          <w:szCs w:val="20"/>
        </w:rPr>
        <w:t>419</w:t>
      </w:r>
      <w:r>
        <w:rPr>
          <w:szCs w:val="20"/>
        </w:rPr>
        <w:t xml:space="preserve"> </w:t>
      </w:r>
      <w:r w:rsidRPr="003D2498">
        <w:rPr>
          <w:szCs w:val="20"/>
        </w:rPr>
        <w:t>U.S.</w:t>
      </w:r>
      <w:r>
        <w:rPr>
          <w:szCs w:val="20"/>
        </w:rPr>
        <w:t xml:space="preserve"> </w:t>
      </w:r>
      <w:r w:rsidRPr="003D2498">
        <w:rPr>
          <w:szCs w:val="20"/>
        </w:rPr>
        <w:t>at</w:t>
      </w:r>
      <w:r>
        <w:rPr>
          <w:szCs w:val="20"/>
        </w:rPr>
        <w:t xml:space="preserve"> </w:t>
      </w:r>
      <w:r w:rsidRPr="003D2498">
        <w:rPr>
          <w:szCs w:val="20"/>
        </w:rPr>
        <w:t>286,</w:t>
      </w:r>
      <w:r>
        <w:rPr>
          <w:szCs w:val="20"/>
        </w:rPr>
        <w:t xml:space="preserve"> </w:t>
      </w:r>
      <w:r w:rsidRPr="003D2498">
        <w:rPr>
          <w:szCs w:val="20"/>
        </w:rPr>
        <w:t>we</w:t>
      </w:r>
      <w:r>
        <w:rPr>
          <w:szCs w:val="20"/>
        </w:rPr>
        <w:t xml:space="preserve"> </w:t>
      </w:r>
      <w:r w:rsidRPr="003D2498">
        <w:rPr>
          <w:szCs w:val="20"/>
        </w:rPr>
        <w:t>should</w:t>
      </w:r>
      <w:r>
        <w:rPr>
          <w:szCs w:val="20"/>
        </w:rPr>
        <w:t xml:space="preserve"> </w:t>
      </w:r>
      <w:r w:rsidRPr="003D2498">
        <w:rPr>
          <w:szCs w:val="20"/>
        </w:rPr>
        <w:t>demand</w:t>
      </w:r>
      <w:r>
        <w:rPr>
          <w:szCs w:val="20"/>
        </w:rPr>
        <w:t xml:space="preserve"> </w:t>
      </w:r>
      <w:r w:rsidRPr="003D2498">
        <w:rPr>
          <w:szCs w:val="20"/>
        </w:rPr>
        <w:t>some,</w:t>
      </w:r>
      <w:r>
        <w:rPr>
          <w:szCs w:val="20"/>
        </w:rPr>
        <w:t xml:space="preserve"> </w:t>
      </w:r>
      <w:r w:rsidRPr="003D2498">
        <w:rPr>
          <w:szCs w:val="20"/>
          <w:u w:val="single"/>
        </w:rPr>
        <w:t>see</w:t>
      </w:r>
      <w:r>
        <w:rPr>
          <w:szCs w:val="20"/>
        </w:rPr>
        <w:t xml:space="preserve"> </w:t>
      </w:r>
      <w:r w:rsidRPr="003D2498">
        <w:rPr>
          <w:szCs w:val="20"/>
          <w:u w:val="single"/>
        </w:rPr>
        <w:t>Encino</w:t>
      </w:r>
      <w:r>
        <w:rPr>
          <w:szCs w:val="20"/>
          <w:u w:val="single"/>
        </w:rPr>
        <w:t xml:space="preserve"> </w:t>
      </w:r>
      <w:r w:rsidRPr="003D2498">
        <w:rPr>
          <w:szCs w:val="20"/>
          <w:u w:val="single"/>
        </w:rPr>
        <w:t>Motorcars</w:t>
      </w:r>
      <w:r w:rsidRPr="003D2498">
        <w:rPr>
          <w:szCs w:val="20"/>
        </w:rPr>
        <w:t>,</w:t>
      </w:r>
      <w:r>
        <w:rPr>
          <w:szCs w:val="20"/>
        </w:rPr>
        <w:t xml:space="preserve"> </w:t>
      </w:r>
      <w:r w:rsidRPr="003D2498">
        <w:rPr>
          <w:szCs w:val="20"/>
        </w:rPr>
        <w:t>579</w:t>
      </w:r>
      <w:r>
        <w:rPr>
          <w:szCs w:val="20"/>
        </w:rPr>
        <w:t xml:space="preserve"> </w:t>
      </w:r>
      <w:r w:rsidRPr="003D2498">
        <w:rPr>
          <w:szCs w:val="20"/>
        </w:rPr>
        <w:t>U.S.</w:t>
      </w:r>
      <w:r>
        <w:rPr>
          <w:szCs w:val="20"/>
        </w:rPr>
        <w:t xml:space="preserve"> </w:t>
      </w:r>
      <w:r w:rsidRPr="003D2498">
        <w:rPr>
          <w:szCs w:val="20"/>
        </w:rPr>
        <w:t>at</w:t>
      </w:r>
      <w:r>
        <w:rPr>
          <w:szCs w:val="20"/>
        </w:rPr>
        <w:t xml:space="preserve"> </w:t>
      </w:r>
      <w:r w:rsidRPr="003D2498">
        <w:rPr>
          <w:szCs w:val="20"/>
        </w:rPr>
        <w:t>__,</w:t>
      </w:r>
      <w:r>
        <w:rPr>
          <w:szCs w:val="20"/>
        </w:rPr>
        <w:t xml:space="preserve"> </w:t>
      </w:r>
      <w:r w:rsidRPr="003D2498">
        <w:rPr>
          <w:szCs w:val="20"/>
        </w:rPr>
        <w:t>136</w:t>
      </w:r>
      <w:r>
        <w:rPr>
          <w:szCs w:val="20"/>
        </w:rPr>
        <w:t xml:space="preserve"> </w:t>
      </w:r>
      <w:r w:rsidRPr="003D2498">
        <w:rPr>
          <w:szCs w:val="20"/>
        </w:rPr>
        <w:t>S.</w:t>
      </w:r>
      <w:r>
        <w:rPr>
          <w:szCs w:val="20"/>
        </w:rPr>
        <w:t xml:space="preserve"> </w:t>
      </w:r>
      <w:r w:rsidRPr="003D2498">
        <w:rPr>
          <w:szCs w:val="20"/>
        </w:rPr>
        <w:t>Ct.</w:t>
      </w:r>
      <w:r>
        <w:rPr>
          <w:szCs w:val="20"/>
        </w:rPr>
        <w:t xml:space="preserve"> </w:t>
      </w:r>
      <w:r w:rsidRPr="003D2498">
        <w:rPr>
          <w:szCs w:val="20"/>
        </w:rPr>
        <w:t>at</w:t>
      </w:r>
      <w:r>
        <w:rPr>
          <w:szCs w:val="20"/>
        </w:rPr>
        <w:t xml:space="preserve"> </w:t>
      </w:r>
      <w:r w:rsidRPr="003D2498">
        <w:rPr>
          <w:szCs w:val="20"/>
        </w:rPr>
        <w:t>2125.</w:t>
      </w:r>
      <w:r>
        <w:rPr>
          <w:szCs w:val="20"/>
        </w:rPr>
        <w:t xml:space="preserve"> </w:t>
      </w:r>
      <w:r w:rsidRPr="003D2498">
        <w:rPr>
          <w:szCs w:val="20"/>
        </w:rPr>
        <w:t>And</w:t>
      </w:r>
      <w:r>
        <w:rPr>
          <w:szCs w:val="20"/>
        </w:rPr>
        <w:t xml:space="preserve"> </w:t>
      </w:r>
      <w:r w:rsidRPr="003D2498">
        <w:rPr>
          <w:szCs w:val="20"/>
        </w:rPr>
        <w:t>here,</w:t>
      </w:r>
      <w:r>
        <w:rPr>
          <w:szCs w:val="20"/>
        </w:rPr>
        <w:t xml:space="preserve"> </w:t>
      </w:r>
      <w:r w:rsidRPr="003D2498">
        <w:rPr>
          <w:szCs w:val="20"/>
        </w:rPr>
        <w:t>there</w:t>
      </w:r>
      <w:r>
        <w:rPr>
          <w:szCs w:val="20"/>
        </w:rPr>
        <w:t xml:space="preserve"> </w:t>
      </w:r>
      <w:r w:rsidRPr="003D2498">
        <w:rPr>
          <w:szCs w:val="20"/>
        </w:rPr>
        <w:t>wasn’t</w:t>
      </w:r>
      <w:r>
        <w:rPr>
          <w:szCs w:val="20"/>
        </w:rPr>
        <w:t xml:space="preserve"> </w:t>
      </w:r>
      <w:r w:rsidRPr="003D2498">
        <w:rPr>
          <w:szCs w:val="20"/>
        </w:rPr>
        <w:t>any.</w:t>
      </w:r>
    </w:p>
    <w:p w:rsidR="007649DB" w:rsidRPr="00133F46" w:rsidRDefault="007649DB" w:rsidP="007649DB">
      <w:pPr>
        <w:pStyle w:val="Body15"/>
        <w:spacing w:before="240"/>
        <w:rPr>
          <w:color w:val="000000" w:themeColor="text1"/>
        </w:rPr>
      </w:pPr>
      <w:r>
        <w:rPr>
          <w:color w:val="000000" w:themeColor="text1"/>
        </w:rPr>
        <w:t xml:space="preserve">With respect to the substance, the dissent notes that </w:t>
      </w:r>
      <w:r>
        <w:rPr>
          <w:color w:val="000000" w:themeColor="text1"/>
          <w:u w:val="single"/>
        </w:rPr>
        <w:t>Chevron</w:t>
      </w:r>
      <w:r>
        <w:rPr>
          <w:color w:val="000000" w:themeColor="text1"/>
        </w:rPr>
        <w:t xml:space="preserve"> can be applied in different ways – which is right is uncertain at the moment – and that Treasury now justifies the regulation on grounds different from what it did when it issued the regulation.  As to this point, the dissent states:</w:t>
      </w:r>
    </w:p>
    <w:p w:rsidR="007649DB" w:rsidRPr="003D2498" w:rsidRDefault="007649DB" w:rsidP="007649DB">
      <w:pPr>
        <w:pStyle w:val="QS10"/>
        <w:rPr>
          <w:szCs w:val="20"/>
        </w:rPr>
      </w:pPr>
      <w:r w:rsidRPr="003D2498">
        <w:rPr>
          <w:szCs w:val="20"/>
        </w:rPr>
        <w:t>These</w:t>
      </w:r>
      <w:r>
        <w:rPr>
          <w:szCs w:val="20"/>
        </w:rPr>
        <w:t xml:space="preserve"> </w:t>
      </w:r>
      <w:r w:rsidRPr="003D2498">
        <w:rPr>
          <w:szCs w:val="20"/>
        </w:rPr>
        <w:t>seem</w:t>
      </w:r>
      <w:r>
        <w:rPr>
          <w:szCs w:val="20"/>
        </w:rPr>
        <w:t xml:space="preserve"> </w:t>
      </w:r>
      <w:r w:rsidRPr="003D2498">
        <w:rPr>
          <w:szCs w:val="20"/>
        </w:rPr>
        <w:t>like</w:t>
      </w:r>
      <w:r>
        <w:rPr>
          <w:szCs w:val="20"/>
        </w:rPr>
        <w:t xml:space="preserve"> </w:t>
      </w:r>
      <w:r w:rsidRPr="003D2498">
        <w:rPr>
          <w:szCs w:val="20"/>
        </w:rPr>
        <w:t>perfectly</w:t>
      </w:r>
      <w:r>
        <w:rPr>
          <w:szCs w:val="20"/>
        </w:rPr>
        <w:t xml:space="preserve"> </w:t>
      </w:r>
      <w:r w:rsidRPr="003D2498">
        <w:rPr>
          <w:szCs w:val="20"/>
        </w:rPr>
        <w:t>plausible</w:t>
      </w:r>
      <w:r>
        <w:rPr>
          <w:szCs w:val="20"/>
        </w:rPr>
        <w:t xml:space="preserve"> </w:t>
      </w:r>
      <w:r w:rsidRPr="003D2498">
        <w:rPr>
          <w:szCs w:val="20"/>
        </w:rPr>
        <w:t>reasons.</w:t>
      </w:r>
      <w:r>
        <w:rPr>
          <w:szCs w:val="20"/>
        </w:rPr>
        <w:t xml:space="preserve"> </w:t>
      </w:r>
      <w:r w:rsidRPr="003D2498">
        <w:rPr>
          <w:szCs w:val="20"/>
        </w:rPr>
        <w:t>But</w:t>
      </w:r>
      <w:r>
        <w:rPr>
          <w:szCs w:val="20"/>
        </w:rPr>
        <w:t xml:space="preserve"> </w:t>
      </w:r>
      <w:r w:rsidRPr="003D2498">
        <w:rPr>
          <w:szCs w:val="20"/>
        </w:rPr>
        <w:t>they</w:t>
      </w:r>
      <w:r>
        <w:rPr>
          <w:szCs w:val="20"/>
        </w:rPr>
        <w:t xml:space="preserve"> </w:t>
      </w:r>
      <w:r w:rsidRPr="003D2498">
        <w:rPr>
          <w:szCs w:val="20"/>
        </w:rPr>
        <w:t>are</w:t>
      </w:r>
      <w:r>
        <w:rPr>
          <w:szCs w:val="20"/>
        </w:rPr>
        <w:t xml:space="preserve"> </w:t>
      </w:r>
      <w:r w:rsidRPr="003D2498">
        <w:rPr>
          <w:szCs w:val="20"/>
        </w:rPr>
        <w:t>not</w:t>
      </w:r>
      <w:r>
        <w:rPr>
          <w:szCs w:val="20"/>
        </w:rPr>
        <w:t xml:space="preserve"> </w:t>
      </w:r>
      <w:r w:rsidRPr="003D2498">
        <w:rPr>
          <w:szCs w:val="20"/>
        </w:rPr>
        <w:t>the</w:t>
      </w:r>
      <w:r>
        <w:rPr>
          <w:szCs w:val="20"/>
        </w:rPr>
        <w:t xml:space="preserve"> </w:t>
      </w:r>
      <w:r w:rsidRPr="003D2498">
        <w:rPr>
          <w:szCs w:val="20"/>
        </w:rPr>
        <w:t>ones</w:t>
      </w:r>
      <w:r>
        <w:rPr>
          <w:szCs w:val="20"/>
        </w:rPr>
        <w:t xml:space="preserve"> </w:t>
      </w:r>
      <w:r w:rsidRPr="003D2498">
        <w:rPr>
          <w:szCs w:val="20"/>
        </w:rPr>
        <w:t>that</w:t>
      </w:r>
      <w:r>
        <w:rPr>
          <w:szCs w:val="20"/>
        </w:rPr>
        <w:t xml:space="preserve"> </w:t>
      </w:r>
      <w:r w:rsidRPr="003D2498">
        <w:rPr>
          <w:szCs w:val="20"/>
        </w:rPr>
        <w:t>Treasury</w:t>
      </w:r>
      <w:r>
        <w:rPr>
          <w:szCs w:val="20"/>
        </w:rPr>
        <w:t xml:space="preserve"> </w:t>
      </w:r>
      <w:r w:rsidRPr="003D2498">
        <w:rPr>
          <w:szCs w:val="20"/>
        </w:rPr>
        <w:t>itself</w:t>
      </w:r>
      <w:r>
        <w:rPr>
          <w:szCs w:val="20"/>
        </w:rPr>
        <w:t xml:space="preserve"> </w:t>
      </w:r>
      <w:r w:rsidRPr="003D2498">
        <w:rPr>
          <w:szCs w:val="20"/>
        </w:rPr>
        <w:t>offered</w:t>
      </w:r>
      <w:r>
        <w:rPr>
          <w:szCs w:val="20"/>
        </w:rPr>
        <w:t xml:space="preserve"> </w:t>
      </w:r>
      <w:r w:rsidRPr="003D2498">
        <w:rPr>
          <w:szCs w:val="20"/>
        </w:rPr>
        <w:t>at</w:t>
      </w:r>
      <w:r>
        <w:rPr>
          <w:szCs w:val="20"/>
        </w:rPr>
        <w:t xml:space="preserve"> </w:t>
      </w:r>
      <w:r w:rsidRPr="003D2498">
        <w:rPr>
          <w:szCs w:val="20"/>
        </w:rPr>
        <w:t>the</w:t>
      </w:r>
      <w:r>
        <w:rPr>
          <w:szCs w:val="20"/>
        </w:rPr>
        <w:t xml:space="preserve"> </w:t>
      </w:r>
      <w:r w:rsidRPr="003D2498">
        <w:rPr>
          <w:szCs w:val="20"/>
        </w:rPr>
        <w:t>time</w:t>
      </w:r>
      <w:r>
        <w:rPr>
          <w:szCs w:val="20"/>
        </w:rPr>
        <w:t xml:space="preserve"> </w:t>
      </w:r>
      <w:r w:rsidRPr="003D2498">
        <w:rPr>
          <w:szCs w:val="20"/>
        </w:rPr>
        <w:t>it</w:t>
      </w:r>
      <w:r>
        <w:rPr>
          <w:szCs w:val="20"/>
        </w:rPr>
        <w:t xml:space="preserve"> </w:t>
      </w:r>
      <w:r w:rsidRPr="003D2498">
        <w:rPr>
          <w:szCs w:val="20"/>
        </w:rPr>
        <w:t>issued</w:t>
      </w:r>
      <w:r>
        <w:rPr>
          <w:szCs w:val="20"/>
        </w:rPr>
        <w:t xml:space="preserve"> </w:t>
      </w:r>
      <w:r w:rsidRPr="003D2498">
        <w:rPr>
          <w:szCs w:val="20"/>
        </w:rPr>
        <w:t>the</w:t>
      </w:r>
      <w:r>
        <w:rPr>
          <w:szCs w:val="20"/>
        </w:rPr>
        <w:t xml:space="preserve"> </w:t>
      </w:r>
      <w:r w:rsidRPr="003D2498">
        <w:rPr>
          <w:szCs w:val="20"/>
        </w:rPr>
        <w:t>regulation.</w:t>
      </w:r>
      <w:r>
        <w:rPr>
          <w:szCs w:val="20"/>
        </w:rPr>
        <w:t xml:space="preserve"> </w:t>
      </w:r>
      <w:r w:rsidRPr="003D2498">
        <w:rPr>
          <w:szCs w:val="20"/>
        </w:rPr>
        <w:t>This</w:t>
      </w:r>
      <w:r>
        <w:rPr>
          <w:szCs w:val="20"/>
        </w:rPr>
        <w:t xml:space="preserve"> </w:t>
      </w:r>
      <w:r w:rsidRPr="003D2498">
        <w:rPr>
          <w:szCs w:val="20"/>
        </w:rPr>
        <w:t>raises</w:t>
      </w:r>
      <w:r>
        <w:rPr>
          <w:szCs w:val="20"/>
        </w:rPr>
        <w:t xml:space="preserve"> </w:t>
      </w:r>
      <w:r w:rsidRPr="003D2498">
        <w:rPr>
          <w:szCs w:val="20"/>
        </w:rPr>
        <w:t>another</w:t>
      </w:r>
      <w:r>
        <w:rPr>
          <w:szCs w:val="20"/>
        </w:rPr>
        <w:t xml:space="preserve"> </w:t>
      </w:r>
      <w:r w:rsidRPr="003D2498">
        <w:rPr>
          <w:szCs w:val="20"/>
        </w:rPr>
        <w:t>problem</w:t>
      </w:r>
      <w:r>
        <w:rPr>
          <w:szCs w:val="20"/>
        </w:rPr>
        <w:t xml:space="preserve"> </w:t>
      </w:r>
      <w:r w:rsidRPr="003D2498">
        <w:rPr>
          <w:szCs w:val="20"/>
        </w:rPr>
        <w:t>for</w:t>
      </w:r>
      <w:r>
        <w:rPr>
          <w:szCs w:val="20"/>
        </w:rPr>
        <w:t xml:space="preserve"> </w:t>
      </w:r>
      <w:r w:rsidRPr="003D2498">
        <w:rPr>
          <w:szCs w:val="20"/>
        </w:rPr>
        <w:t>the</w:t>
      </w:r>
      <w:r>
        <w:rPr>
          <w:szCs w:val="20"/>
        </w:rPr>
        <w:t xml:space="preserve"> </w:t>
      </w:r>
      <w:r w:rsidRPr="003D2498">
        <w:rPr>
          <w:szCs w:val="20"/>
        </w:rPr>
        <w:t>Commissioner</w:t>
      </w:r>
      <w:r>
        <w:rPr>
          <w:szCs w:val="20"/>
        </w:rPr>
        <w:t xml:space="preserve"> </w:t>
      </w:r>
      <w:r w:rsidRPr="003D2498">
        <w:rPr>
          <w:szCs w:val="20"/>
        </w:rPr>
        <w:t>in</w:t>
      </w:r>
      <w:r>
        <w:rPr>
          <w:szCs w:val="20"/>
        </w:rPr>
        <w:t xml:space="preserve"> </w:t>
      </w:r>
      <w:r w:rsidRPr="003D2498">
        <w:rPr>
          <w:szCs w:val="20"/>
        </w:rPr>
        <w:t>his</w:t>
      </w:r>
      <w:r>
        <w:rPr>
          <w:szCs w:val="20"/>
        </w:rPr>
        <w:t xml:space="preserve"> </w:t>
      </w:r>
      <w:r w:rsidRPr="003D2498">
        <w:rPr>
          <w:szCs w:val="20"/>
        </w:rPr>
        <w:t>defense--the</w:t>
      </w:r>
      <w:r>
        <w:rPr>
          <w:szCs w:val="20"/>
        </w:rPr>
        <w:t xml:space="preserve"> </w:t>
      </w:r>
      <w:r w:rsidRPr="003D2498">
        <w:rPr>
          <w:szCs w:val="20"/>
          <w:u w:val="single"/>
        </w:rPr>
        <w:t>Chenery</w:t>
      </w:r>
      <w:r>
        <w:rPr>
          <w:szCs w:val="20"/>
        </w:rPr>
        <w:t xml:space="preserve"> </w:t>
      </w:r>
      <w:r w:rsidRPr="003D2498">
        <w:rPr>
          <w:szCs w:val="20"/>
        </w:rPr>
        <w:t>rule.</w:t>
      </w:r>
      <w:r>
        <w:rPr>
          <w:szCs w:val="20"/>
        </w:rPr>
        <w:t xml:space="preserve"> </w:t>
      </w:r>
      <w:r w:rsidRPr="003D2498">
        <w:rPr>
          <w:szCs w:val="20"/>
        </w:rPr>
        <w:t>The</w:t>
      </w:r>
      <w:r>
        <w:rPr>
          <w:szCs w:val="20"/>
        </w:rPr>
        <w:t xml:space="preserve"> </w:t>
      </w:r>
      <w:r w:rsidRPr="003D2498">
        <w:rPr>
          <w:szCs w:val="20"/>
          <w:u w:val="single"/>
        </w:rPr>
        <w:t>Chenery</w:t>
      </w:r>
      <w:r>
        <w:rPr>
          <w:szCs w:val="20"/>
        </w:rPr>
        <w:t xml:space="preserve"> </w:t>
      </w:r>
      <w:r w:rsidRPr="003D2498">
        <w:rPr>
          <w:szCs w:val="20"/>
        </w:rPr>
        <w:t>rule</w:t>
      </w:r>
      <w:r>
        <w:rPr>
          <w:szCs w:val="20"/>
        </w:rPr>
        <w:t xml:space="preserve"> </w:t>
      </w:r>
      <w:r w:rsidRPr="003D2498">
        <w:rPr>
          <w:szCs w:val="20"/>
        </w:rPr>
        <w:t>prevents</w:t>
      </w:r>
      <w:r>
        <w:rPr>
          <w:szCs w:val="20"/>
        </w:rPr>
        <w:t xml:space="preserve"> </w:t>
      </w:r>
      <w:r w:rsidRPr="003D2498">
        <w:rPr>
          <w:szCs w:val="20"/>
        </w:rPr>
        <w:t>an</w:t>
      </w:r>
      <w:r>
        <w:rPr>
          <w:szCs w:val="20"/>
        </w:rPr>
        <w:t xml:space="preserve"> </w:t>
      </w:r>
      <w:r w:rsidRPr="003D2498">
        <w:rPr>
          <w:szCs w:val="20"/>
        </w:rPr>
        <w:t>agency</w:t>
      </w:r>
      <w:r>
        <w:rPr>
          <w:szCs w:val="20"/>
        </w:rPr>
        <w:t xml:space="preserve"> </w:t>
      </w:r>
      <w:r w:rsidRPr="003D2498">
        <w:rPr>
          <w:szCs w:val="20"/>
        </w:rPr>
        <w:t>from</w:t>
      </w:r>
      <w:r>
        <w:rPr>
          <w:szCs w:val="20"/>
        </w:rPr>
        <w:t xml:space="preserve"> </w:t>
      </w:r>
      <w:r w:rsidRPr="003D2498">
        <w:rPr>
          <w:szCs w:val="20"/>
        </w:rPr>
        <w:t>relying</w:t>
      </w:r>
      <w:r>
        <w:rPr>
          <w:szCs w:val="20"/>
        </w:rPr>
        <w:t xml:space="preserve"> </w:t>
      </w:r>
      <w:r w:rsidRPr="003D2498">
        <w:rPr>
          <w:szCs w:val="20"/>
        </w:rPr>
        <w:t>on</w:t>
      </w:r>
      <w:r>
        <w:rPr>
          <w:szCs w:val="20"/>
        </w:rPr>
        <w:t xml:space="preserve"> </w:t>
      </w:r>
      <w:r w:rsidRPr="003D2498">
        <w:rPr>
          <w:rStyle w:val="Emphasis"/>
          <w:szCs w:val="20"/>
        </w:rPr>
        <w:t>post</w:t>
      </w:r>
      <w:r>
        <w:rPr>
          <w:rStyle w:val="Emphasis"/>
          <w:szCs w:val="20"/>
        </w:rPr>
        <w:t xml:space="preserve"> </w:t>
      </w:r>
      <w:r w:rsidRPr="003D2498">
        <w:rPr>
          <w:rStyle w:val="Emphasis"/>
          <w:szCs w:val="20"/>
        </w:rPr>
        <w:t>hoc</w:t>
      </w:r>
      <w:r>
        <w:rPr>
          <w:szCs w:val="20"/>
        </w:rPr>
        <w:t xml:space="preserve"> </w:t>
      </w:r>
      <w:r w:rsidRPr="003D2498">
        <w:rPr>
          <w:szCs w:val="20"/>
        </w:rPr>
        <w:t>rationalizations</w:t>
      </w:r>
      <w:r>
        <w:rPr>
          <w:szCs w:val="20"/>
        </w:rPr>
        <w:t xml:space="preserve"> </w:t>
      </w:r>
      <w:r w:rsidRPr="003D2498">
        <w:rPr>
          <w:szCs w:val="20"/>
        </w:rPr>
        <w:t>to</w:t>
      </w:r>
      <w:r>
        <w:rPr>
          <w:szCs w:val="20"/>
        </w:rPr>
        <w:t xml:space="preserve"> </w:t>
      </w:r>
      <w:r w:rsidRPr="003D2498">
        <w:rPr>
          <w:szCs w:val="20"/>
        </w:rPr>
        <w:t>defend</w:t>
      </w:r>
      <w:r>
        <w:rPr>
          <w:szCs w:val="20"/>
        </w:rPr>
        <w:t xml:space="preserve"> </w:t>
      </w:r>
      <w:r w:rsidRPr="003D2498">
        <w:rPr>
          <w:szCs w:val="20"/>
        </w:rPr>
        <w:t>its</w:t>
      </w:r>
      <w:r>
        <w:rPr>
          <w:szCs w:val="20"/>
        </w:rPr>
        <w:t xml:space="preserve"> </w:t>
      </w:r>
      <w:r w:rsidRPr="003D2498">
        <w:rPr>
          <w:szCs w:val="20"/>
        </w:rPr>
        <w:t>decision making.</w:t>
      </w:r>
      <w:r>
        <w:rPr>
          <w:szCs w:val="20"/>
        </w:rPr>
        <w:t xml:space="preserve"> </w:t>
      </w:r>
      <w:r w:rsidRPr="003D2498">
        <w:rPr>
          <w:szCs w:val="20"/>
          <w:u w:val="single"/>
        </w:rPr>
        <w:t>SEC</w:t>
      </w:r>
      <w:r>
        <w:rPr>
          <w:szCs w:val="20"/>
          <w:u w:val="single"/>
        </w:rPr>
        <w:t xml:space="preserve"> </w:t>
      </w:r>
      <w:r w:rsidRPr="003D2498">
        <w:rPr>
          <w:szCs w:val="20"/>
          <w:u w:val="single"/>
        </w:rPr>
        <w:t>v.</w:t>
      </w:r>
      <w:r>
        <w:rPr>
          <w:szCs w:val="20"/>
          <w:u w:val="single"/>
        </w:rPr>
        <w:t xml:space="preserve"> </w:t>
      </w:r>
      <w:r w:rsidRPr="003D2498">
        <w:rPr>
          <w:szCs w:val="20"/>
          <w:u w:val="single"/>
        </w:rPr>
        <w:t>Chenery</w:t>
      </w:r>
      <w:r>
        <w:rPr>
          <w:szCs w:val="20"/>
          <w:u w:val="single"/>
        </w:rPr>
        <w:t xml:space="preserve"> </w:t>
      </w:r>
      <w:r w:rsidRPr="003D2498">
        <w:rPr>
          <w:szCs w:val="20"/>
          <w:u w:val="single"/>
        </w:rPr>
        <w:t>Corp.</w:t>
      </w:r>
      <w:r w:rsidRPr="003D2498">
        <w:rPr>
          <w:szCs w:val="20"/>
        </w:rPr>
        <w:t>,</w:t>
      </w:r>
      <w:r>
        <w:rPr>
          <w:szCs w:val="20"/>
        </w:rPr>
        <w:t xml:space="preserve"> </w:t>
      </w:r>
      <w:r w:rsidRPr="003D2498">
        <w:rPr>
          <w:szCs w:val="20"/>
        </w:rPr>
        <w:t>318</w:t>
      </w:r>
      <w:r>
        <w:rPr>
          <w:szCs w:val="20"/>
        </w:rPr>
        <w:t xml:space="preserve"> </w:t>
      </w:r>
      <w:r w:rsidRPr="003D2498">
        <w:rPr>
          <w:szCs w:val="20"/>
        </w:rPr>
        <w:t>U.S.</w:t>
      </w:r>
      <w:r>
        <w:rPr>
          <w:szCs w:val="20"/>
        </w:rPr>
        <w:t xml:space="preserve"> </w:t>
      </w:r>
      <w:r w:rsidRPr="003D2498">
        <w:rPr>
          <w:szCs w:val="20"/>
        </w:rPr>
        <w:t>80,</w:t>
      </w:r>
      <w:r>
        <w:rPr>
          <w:szCs w:val="20"/>
        </w:rPr>
        <w:t xml:space="preserve"> </w:t>
      </w:r>
      <w:r w:rsidRPr="003D2498">
        <w:rPr>
          <w:szCs w:val="20"/>
        </w:rPr>
        <w:t>87</w:t>
      </w:r>
      <w:r>
        <w:rPr>
          <w:szCs w:val="20"/>
        </w:rPr>
        <w:t xml:space="preserve"> </w:t>
      </w:r>
      <w:r w:rsidRPr="003D2498">
        <w:rPr>
          <w:szCs w:val="20"/>
        </w:rPr>
        <w:t>(1943)</w:t>
      </w:r>
      <w:r>
        <w:rPr>
          <w:szCs w:val="20"/>
        </w:rPr>
        <w:t xml:space="preserve"> </w:t>
      </w:r>
      <w:r w:rsidRPr="003D2498">
        <w:rPr>
          <w:szCs w:val="20"/>
        </w:rPr>
        <w:t>(“The</w:t>
      </w:r>
      <w:r>
        <w:rPr>
          <w:szCs w:val="20"/>
        </w:rPr>
        <w:t xml:space="preserve"> </w:t>
      </w:r>
      <w:r w:rsidRPr="003D2498">
        <w:rPr>
          <w:szCs w:val="20"/>
        </w:rPr>
        <w:t>grounds</w:t>
      </w:r>
      <w:r>
        <w:rPr>
          <w:szCs w:val="20"/>
        </w:rPr>
        <w:t xml:space="preserve"> </w:t>
      </w:r>
      <w:r w:rsidRPr="003D2498">
        <w:rPr>
          <w:szCs w:val="20"/>
        </w:rPr>
        <w:t>upon</w:t>
      </w:r>
      <w:r>
        <w:rPr>
          <w:szCs w:val="20"/>
        </w:rPr>
        <w:t xml:space="preserve"> </w:t>
      </w:r>
      <w:r w:rsidRPr="003D2498">
        <w:rPr>
          <w:szCs w:val="20"/>
        </w:rPr>
        <w:t>which</w:t>
      </w:r>
      <w:r>
        <w:rPr>
          <w:szCs w:val="20"/>
        </w:rPr>
        <w:t xml:space="preserve"> </w:t>
      </w:r>
      <w:r w:rsidRPr="003D2498">
        <w:rPr>
          <w:szCs w:val="20"/>
        </w:rPr>
        <w:t>an</w:t>
      </w:r>
      <w:r>
        <w:rPr>
          <w:szCs w:val="20"/>
        </w:rPr>
        <w:t xml:space="preserve"> </w:t>
      </w:r>
      <w:r w:rsidRPr="003D2498">
        <w:rPr>
          <w:szCs w:val="20"/>
        </w:rPr>
        <w:t>administrative</w:t>
      </w:r>
      <w:r>
        <w:rPr>
          <w:szCs w:val="20"/>
        </w:rPr>
        <w:t xml:space="preserve"> </w:t>
      </w:r>
      <w:r w:rsidRPr="003D2498">
        <w:rPr>
          <w:szCs w:val="20"/>
        </w:rPr>
        <w:t>order</w:t>
      </w:r>
      <w:r>
        <w:rPr>
          <w:szCs w:val="20"/>
        </w:rPr>
        <w:t xml:space="preserve"> </w:t>
      </w:r>
      <w:r w:rsidRPr="003D2498">
        <w:rPr>
          <w:szCs w:val="20"/>
        </w:rPr>
        <w:t>must</w:t>
      </w:r>
      <w:r>
        <w:rPr>
          <w:szCs w:val="20"/>
        </w:rPr>
        <w:t xml:space="preserve"> </w:t>
      </w:r>
      <w:r w:rsidRPr="003D2498">
        <w:rPr>
          <w:szCs w:val="20"/>
        </w:rPr>
        <w:t>be</w:t>
      </w:r>
      <w:r>
        <w:rPr>
          <w:szCs w:val="20"/>
        </w:rPr>
        <w:t xml:space="preserve"> </w:t>
      </w:r>
      <w:r w:rsidRPr="003D2498">
        <w:rPr>
          <w:szCs w:val="20"/>
        </w:rPr>
        <w:t>judged</w:t>
      </w:r>
      <w:r>
        <w:rPr>
          <w:szCs w:val="20"/>
        </w:rPr>
        <w:t xml:space="preserve"> </w:t>
      </w:r>
      <w:r w:rsidRPr="003D2498">
        <w:rPr>
          <w:szCs w:val="20"/>
        </w:rPr>
        <w:t>are</w:t>
      </w:r>
      <w:r>
        <w:rPr>
          <w:szCs w:val="20"/>
        </w:rPr>
        <w:t xml:space="preserve"> </w:t>
      </w:r>
      <w:r w:rsidRPr="003D2498">
        <w:rPr>
          <w:szCs w:val="20"/>
        </w:rPr>
        <w:t>those</w:t>
      </w:r>
      <w:r>
        <w:rPr>
          <w:szCs w:val="20"/>
        </w:rPr>
        <w:t xml:space="preserve"> </w:t>
      </w:r>
      <w:r w:rsidRPr="003D2498">
        <w:rPr>
          <w:szCs w:val="20"/>
        </w:rPr>
        <w:t>upon</w:t>
      </w:r>
      <w:r>
        <w:rPr>
          <w:szCs w:val="20"/>
        </w:rPr>
        <w:t xml:space="preserve"> </w:t>
      </w:r>
      <w:r w:rsidRPr="003D2498">
        <w:rPr>
          <w:szCs w:val="20"/>
        </w:rPr>
        <w:t>which</w:t>
      </w:r>
      <w:r>
        <w:rPr>
          <w:szCs w:val="20"/>
        </w:rPr>
        <w:t xml:space="preserve"> </w:t>
      </w:r>
      <w:r w:rsidRPr="003D2498">
        <w:rPr>
          <w:szCs w:val="20"/>
        </w:rPr>
        <w:t>the</w:t>
      </w:r>
      <w:r>
        <w:rPr>
          <w:szCs w:val="20"/>
        </w:rPr>
        <w:t xml:space="preserve"> </w:t>
      </w:r>
      <w:r w:rsidRPr="003D2498">
        <w:rPr>
          <w:szCs w:val="20"/>
        </w:rPr>
        <w:t>record</w:t>
      </w:r>
      <w:r>
        <w:rPr>
          <w:szCs w:val="20"/>
        </w:rPr>
        <w:t xml:space="preserve"> </w:t>
      </w:r>
      <w:r w:rsidRPr="003D2498">
        <w:rPr>
          <w:szCs w:val="20"/>
        </w:rPr>
        <w:t>discloses</w:t>
      </w:r>
      <w:r>
        <w:rPr>
          <w:szCs w:val="20"/>
        </w:rPr>
        <w:t xml:space="preserve"> </w:t>
      </w:r>
      <w:r w:rsidRPr="003D2498">
        <w:rPr>
          <w:szCs w:val="20"/>
        </w:rPr>
        <w:t>that</w:t>
      </w:r>
      <w:r>
        <w:rPr>
          <w:szCs w:val="20"/>
        </w:rPr>
        <w:t xml:space="preserve"> </w:t>
      </w:r>
      <w:r w:rsidRPr="003D2498">
        <w:rPr>
          <w:szCs w:val="20"/>
        </w:rPr>
        <w:t>its</w:t>
      </w:r>
      <w:r>
        <w:rPr>
          <w:szCs w:val="20"/>
        </w:rPr>
        <w:t xml:space="preserve"> </w:t>
      </w:r>
      <w:r w:rsidRPr="003D2498">
        <w:rPr>
          <w:szCs w:val="20"/>
        </w:rPr>
        <w:t>action</w:t>
      </w:r>
      <w:r>
        <w:rPr>
          <w:szCs w:val="20"/>
        </w:rPr>
        <w:t xml:space="preserve"> </w:t>
      </w:r>
      <w:r w:rsidRPr="003D2498">
        <w:rPr>
          <w:szCs w:val="20"/>
        </w:rPr>
        <w:t>was</w:t>
      </w:r>
      <w:r>
        <w:rPr>
          <w:szCs w:val="20"/>
        </w:rPr>
        <w:t xml:space="preserve"> </w:t>
      </w:r>
      <w:r w:rsidRPr="003D2498">
        <w:rPr>
          <w:szCs w:val="20"/>
        </w:rPr>
        <w:t>based.”);</w:t>
      </w:r>
      <w:r>
        <w:rPr>
          <w:szCs w:val="20"/>
        </w:rPr>
        <w:t xml:space="preserve"> </w:t>
      </w:r>
      <w:r w:rsidRPr="003D2498">
        <w:rPr>
          <w:szCs w:val="20"/>
          <w:u w:val="single"/>
        </w:rPr>
        <w:t>see</w:t>
      </w:r>
      <w:r>
        <w:rPr>
          <w:szCs w:val="20"/>
          <w:u w:val="single"/>
        </w:rPr>
        <w:t xml:space="preserve"> </w:t>
      </w:r>
      <w:r w:rsidRPr="003D2498">
        <w:rPr>
          <w:szCs w:val="20"/>
          <w:u w:val="single"/>
        </w:rPr>
        <w:t>also</w:t>
      </w:r>
      <w:r>
        <w:rPr>
          <w:szCs w:val="20"/>
        </w:rPr>
        <w:t xml:space="preserve"> </w:t>
      </w:r>
      <w:r w:rsidRPr="003D2498">
        <w:rPr>
          <w:szCs w:val="20"/>
          <w:u w:val="single"/>
        </w:rPr>
        <w:t>State</w:t>
      </w:r>
      <w:r>
        <w:rPr>
          <w:szCs w:val="20"/>
          <w:u w:val="single"/>
        </w:rPr>
        <w:t xml:space="preserve"> </w:t>
      </w:r>
      <w:r w:rsidRPr="003D2498">
        <w:rPr>
          <w:szCs w:val="20"/>
          <w:u w:val="single"/>
        </w:rPr>
        <w:t>Farm</w:t>
      </w:r>
      <w:r w:rsidRPr="003D2498">
        <w:rPr>
          <w:szCs w:val="20"/>
        </w:rPr>
        <w:t>,</w:t>
      </w:r>
      <w:r>
        <w:rPr>
          <w:szCs w:val="20"/>
        </w:rPr>
        <w:t xml:space="preserve"> </w:t>
      </w:r>
      <w:r w:rsidRPr="003D2498">
        <w:rPr>
          <w:szCs w:val="20"/>
        </w:rPr>
        <w:t>463</w:t>
      </w:r>
      <w:r>
        <w:rPr>
          <w:szCs w:val="20"/>
        </w:rPr>
        <w:t xml:space="preserve"> </w:t>
      </w:r>
      <w:r w:rsidRPr="003D2498">
        <w:rPr>
          <w:szCs w:val="20"/>
        </w:rPr>
        <w:t>U.S.</w:t>
      </w:r>
      <w:r>
        <w:rPr>
          <w:szCs w:val="20"/>
        </w:rPr>
        <w:t xml:space="preserve"> </w:t>
      </w:r>
      <w:r w:rsidRPr="003D2498">
        <w:rPr>
          <w:szCs w:val="20"/>
        </w:rPr>
        <w:t>at</w:t>
      </w:r>
      <w:r>
        <w:rPr>
          <w:szCs w:val="20"/>
        </w:rPr>
        <w:t xml:space="preserve"> </w:t>
      </w:r>
      <w:r w:rsidRPr="003D2498">
        <w:rPr>
          <w:szCs w:val="20"/>
        </w:rPr>
        <w:t>50</w:t>
      </w:r>
      <w:r>
        <w:rPr>
          <w:szCs w:val="20"/>
        </w:rPr>
        <w:t xml:space="preserve"> </w:t>
      </w:r>
      <w:r w:rsidRPr="003D2498">
        <w:rPr>
          <w:szCs w:val="20"/>
        </w:rPr>
        <w:t>(courts</w:t>
      </w:r>
      <w:r>
        <w:rPr>
          <w:szCs w:val="20"/>
        </w:rPr>
        <w:t xml:space="preserve"> </w:t>
      </w:r>
      <w:r w:rsidRPr="003D2498">
        <w:rPr>
          <w:szCs w:val="20"/>
        </w:rPr>
        <w:t>may</w:t>
      </w:r>
      <w:r>
        <w:rPr>
          <w:szCs w:val="20"/>
        </w:rPr>
        <w:t xml:space="preserve"> </w:t>
      </w:r>
      <w:r w:rsidRPr="003D2498">
        <w:rPr>
          <w:szCs w:val="20"/>
        </w:rPr>
        <w:t>not</w:t>
      </w:r>
      <w:r>
        <w:rPr>
          <w:szCs w:val="20"/>
        </w:rPr>
        <w:t xml:space="preserve"> </w:t>
      </w:r>
      <w:r w:rsidRPr="003D2498">
        <w:rPr>
          <w:szCs w:val="20"/>
        </w:rPr>
        <w:t>accept</w:t>
      </w:r>
      <w:r>
        <w:rPr>
          <w:szCs w:val="20"/>
        </w:rPr>
        <w:t xml:space="preserve"> </w:t>
      </w:r>
      <w:r w:rsidRPr="003D2498">
        <w:rPr>
          <w:szCs w:val="20"/>
        </w:rPr>
        <w:t>post</w:t>
      </w:r>
      <w:r>
        <w:rPr>
          <w:szCs w:val="20"/>
        </w:rPr>
        <w:t xml:space="preserve"> </w:t>
      </w:r>
      <w:r w:rsidRPr="003D2498">
        <w:rPr>
          <w:szCs w:val="20"/>
        </w:rPr>
        <w:t>hoc</w:t>
      </w:r>
      <w:r>
        <w:rPr>
          <w:szCs w:val="20"/>
        </w:rPr>
        <w:t xml:space="preserve"> </w:t>
      </w:r>
      <w:r w:rsidRPr="003D2498">
        <w:rPr>
          <w:szCs w:val="20"/>
        </w:rPr>
        <w:t>rationalizations).</w:t>
      </w:r>
      <w:r>
        <w:rPr>
          <w:szCs w:val="20"/>
        </w:rPr>
        <w:t xml:space="preserve"> </w:t>
      </w:r>
      <w:r w:rsidRPr="003D2498">
        <w:rPr>
          <w:szCs w:val="20"/>
        </w:rPr>
        <w:t>And</w:t>
      </w:r>
      <w:r>
        <w:rPr>
          <w:szCs w:val="20"/>
        </w:rPr>
        <w:t xml:space="preserve"> </w:t>
      </w:r>
      <w:r w:rsidRPr="003D2498">
        <w:rPr>
          <w:szCs w:val="20"/>
          <w:u w:val="single"/>
        </w:rPr>
        <w:t>Chevron</w:t>
      </w:r>
      <w:r>
        <w:rPr>
          <w:szCs w:val="20"/>
        </w:rPr>
        <w:t xml:space="preserve"> </w:t>
      </w:r>
      <w:r w:rsidRPr="003D2498">
        <w:rPr>
          <w:szCs w:val="20"/>
        </w:rPr>
        <w:t>step</w:t>
      </w:r>
      <w:r>
        <w:rPr>
          <w:szCs w:val="20"/>
        </w:rPr>
        <w:t xml:space="preserve"> </w:t>
      </w:r>
      <w:r w:rsidRPr="003D2498">
        <w:rPr>
          <w:szCs w:val="20"/>
        </w:rPr>
        <w:t>2</w:t>
      </w:r>
      <w:r>
        <w:rPr>
          <w:szCs w:val="20"/>
        </w:rPr>
        <w:t xml:space="preserve"> </w:t>
      </w:r>
      <w:r w:rsidRPr="003D2498">
        <w:rPr>
          <w:szCs w:val="20"/>
        </w:rPr>
        <w:t>is</w:t>
      </w:r>
      <w:r>
        <w:rPr>
          <w:szCs w:val="20"/>
        </w:rPr>
        <w:t xml:space="preserve"> </w:t>
      </w:r>
      <w:r w:rsidRPr="003D2498">
        <w:rPr>
          <w:szCs w:val="20"/>
        </w:rPr>
        <w:t>limited</w:t>
      </w:r>
      <w:r>
        <w:rPr>
          <w:szCs w:val="20"/>
        </w:rPr>
        <w:t xml:space="preserve"> </w:t>
      </w:r>
      <w:r w:rsidRPr="003D2498">
        <w:rPr>
          <w:szCs w:val="20"/>
        </w:rPr>
        <w:t>by</w:t>
      </w:r>
      <w:r>
        <w:rPr>
          <w:szCs w:val="20"/>
        </w:rPr>
        <w:t xml:space="preserve"> </w:t>
      </w:r>
      <w:r w:rsidRPr="003D2498">
        <w:rPr>
          <w:szCs w:val="20"/>
          <w:u w:val="single"/>
        </w:rPr>
        <w:t>Chenery</w:t>
      </w:r>
      <w:r w:rsidRPr="003D2498">
        <w:rPr>
          <w:szCs w:val="20"/>
        </w:rPr>
        <w:t>.</w:t>
      </w:r>
      <w:r>
        <w:rPr>
          <w:szCs w:val="20"/>
        </w:rPr>
        <w:t xml:space="preserve"> </w:t>
      </w:r>
      <w:r w:rsidRPr="003D2498">
        <w:rPr>
          <w:szCs w:val="20"/>
          <w:u w:val="single"/>
        </w:rPr>
        <w:t>Bank</w:t>
      </w:r>
      <w:r>
        <w:rPr>
          <w:szCs w:val="20"/>
          <w:u w:val="single"/>
        </w:rPr>
        <w:t xml:space="preserve"> </w:t>
      </w:r>
      <w:r w:rsidRPr="003D2498">
        <w:rPr>
          <w:szCs w:val="20"/>
          <w:u w:val="single"/>
        </w:rPr>
        <w:t>of</w:t>
      </w:r>
      <w:r>
        <w:rPr>
          <w:szCs w:val="20"/>
          <w:u w:val="single"/>
        </w:rPr>
        <w:t xml:space="preserve"> </w:t>
      </w:r>
      <w:r w:rsidRPr="003D2498">
        <w:rPr>
          <w:szCs w:val="20"/>
          <w:u w:val="single"/>
        </w:rPr>
        <w:t>Am.,</w:t>
      </w:r>
      <w:r>
        <w:rPr>
          <w:szCs w:val="20"/>
          <w:u w:val="single"/>
        </w:rPr>
        <w:t xml:space="preserve"> </w:t>
      </w:r>
      <w:r w:rsidRPr="003D2498">
        <w:rPr>
          <w:szCs w:val="20"/>
          <w:u w:val="single"/>
        </w:rPr>
        <w:t>N.A.</w:t>
      </w:r>
      <w:r>
        <w:rPr>
          <w:szCs w:val="20"/>
          <w:u w:val="single"/>
        </w:rPr>
        <w:t xml:space="preserve"> </w:t>
      </w:r>
      <w:r w:rsidRPr="003D2498">
        <w:rPr>
          <w:szCs w:val="20"/>
          <w:u w:val="single"/>
        </w:rPr>
        <w:t>v.</w:t>
      </w:r>
      <w:r>
        <w:rPr>
          <w:szCs w:val="20"/>
          <w:u w:val="single"/>
        </w:rPr>
        <w:t xml:space="preserve"> </w:t>
      </w:r>
      <w:r w:rsidRPr="003D2498">
        <w:rPr>
          <w:szCs w:val="20"/>
          <w:u w:val="single"/>
        </w:rPr>
        <w:t>FDIC</w:t>
      </w:r>
      <w:r w:rsidRPr="003D2498">
        <w:rPr>
          <w:szCs w:val="20"/>
        </w:rPr>
        <w:t>,</w:t>
      </w:r>
      <w:r>
        <w:rPr>
          <w:szCs w:val="20"/>
        </w:rPr>
        <w:t xml:space="preserve"> </w:t>
      </w:r>
      <w:r w:rsidRPr="003D2498">
        <w:rPr>
          <w:szCs w:val="20"/>
        </w:rPr>
        <w:t>244</w:t>
      </w:r>
      <w:r>
        <w:rPr>
          <w:szCs w:val="20"/>
        </w:rPr>
        <w:t xml:space="preserve"> </w:t>
      </w:r>
      <w:r w:rsidRPr="003D2498">
        <w:rPr>
          <w:szCs w:val="20"/>
        </w:rPr>
        <w:t>F.3d</w:t>
      </w:r>
      <w:r>
        <w:rPr>
          <w:szCs w:val="20"/>
        </w:rPr>
        <w:t xml:space="preserve"> </w:t>
      </w:r>
      <w:r w:rsidRPr="003D2498">
        <w:rPr>
          <w:szCs w:val="20"/>
        </w:rPr>
        <w:t>1309,</w:t>
      </w:r>
      <w:r>
        <w:rPr>
          <w:szCs w:val="20"/>
        </w:rPr>
        <w:t xml:space="preserve"> </w:t>
      </w:r>
      <w:r w:rsidRPr="003D2498">
        <w:rPr>
          <w:szCs w:val="20"/>
        </w:rPr>
        <w:t>1319</w:t>
      </w:r>
      <w:r>
        <w:rPr>
          <w:szCs w:val="20"/>
        </w:rPr>
        <w:t xml:space="preserve"> </w:t>
      </w:r>
      <w:r w:rsidRPr="003D2498">
        <w:rPr>
          <w:szCs w:val="20"/>
        </w:rPr>
        <w:t>(11th</w:t>
      </w:r>
      <w:r>
        <w:rPr>
          <w:szCs w:val="20"/>
        </w:rPr>
        <w:t xml:space="preserve"> </w:t>
      </w:r>
      <w:r w:rsidRPr="003D2498">
        <w:rPr>
          <w:szCs w:val="20"/>
        </w:rPr>
        <w:t>Cir.</w:t>
      </w:r>
      <w:r>
        <w:rPr>
          <w:szCs w:val="20"/>
        </w:rPr>
        <w:t xml:space="preserve"> </w:t>
      </w:r>
      <w:r w:rsidRPr="003D2498">
        <w:rPr>
          <w:szCs w:val="20"/>
        </w:rPr>
        <w:t>2001)</w:t>
      </w:r>
      <w:r>
        <w:rPr>
          <w:szCs w:val="20"/>
        </w:rPr>
        <w:t xml:space="preserve"> </w:t>
      </w:r>
      <w:r w:rsidRPr="003D2498">
        <w:rPr>
          <w:szCs w:val="20"/>
        </w:rPr>
        <w:t>(stating</w:t>
      </w:r>
      <w:r>
        <w:rPr>
          <w:szCs w:val="20"/>
        </w:rPr>
        <w:t xml:space="preserve"> </w:t>
      </w:r>
      <w:r w:rsidRPr="003D2498">
        <w:rPr>
          <w:szCs w:val="20"/>
        </w:rPr>
        <w:t>that</w:t>
      </w:r>
      <w:r>
        <w:rPr>
          <w:szCs w:val="20"/>
        </w:rPr>
        <w:t xml:space="preserve"> </w:t>
      </w:r>
      <w:r w:rsidRPr="003D2498">
        <w:rPr>
          <w:szCs w:val="20"/>
          <w:u w:val="single"/>
        </w:rPr>
        <w:t>Chenery</w:t>
      </w:r>
      <w:r>
        <w:rPr>
          <w:szCs w:val="20"/>
        </w:rPr>
        <w:t xml:space="preserve"> </w:t>
      </w:r>
      <w:r w:rsidRPr="003D2498">
        <w:rPr>
          <w:szCs w:val="20"/>
        </w:rPr>
        <w:t>must</w:t>
      </w:r>
      <w:r>
        <w:rPr>
          <w:szCs w:val="20"/>
        </w:rPr>
        <w:t xml:space="preserve"> </w:t>
      </w:r>
      <w:r w:rsidRPr="003D2498">
        <w:rPr>
          <w:szCs w:val="20"/>
        </w:rPr>
        <w:t>be</w:t>
      </w:r>
      <w:r>
        <w:rPr>
          <w:szCs w:val="20"/>
        </w:rPr>
        <w:t xml:space="preserve"> </w:t>
      </w:r>
      <w:r w:rsidRPr="003D2498">
        <w:rPr>
          <w:szCs w:val="20"/>
        </w:rPr>
        <w:t>considered</w:t>
      </w:r>
      <w:r>
        <w:rPr>
          <w:szCs w:val="20"/>
        </w:rPr>
        <w:t xml:space="preserve"> </w:t>
      </w:r>
      <w:r w:rsidRPr="003D2498">
        <w:rPr>
          <w:szCs w:val="20"/>
        </w:rPr>
        <w:t>at</w:t>
      </w:r>
      <w:r>
        <w:rPr>
          <w:szCs w:val="20"/>
        </w:rPr>
        <w:t xml:space="preserve"> </w:t>
      </w:r>
      <w:r w:rsidRPr="003D2498">
        <w:rPr>
          <w:szCs w:val="20"/>
        </w:rPr>
        <w:t>step</w:t>
      </w:r>
      <w:r>
        <w:rPr>
          <w:szCs w:val="20"/>
        </w:rPr>
        <w:t xml:space="preserve"> </w:t>
      </w:r>
      <w:r w:rsidRPr="003D2498">
        <w:rPr>
          <w:szCs w:val="20"/>
        </w:rPr>
        <w:t>2</w:t>
      </w:r>
      <w:r>
        <w:rPr>
          <w:szCs w:val="20"/>
        </w:rPr>
        <w:t xml:space="preserve"> </w:t>
      </w:r>
      <w:r w:rsidRPr="003D2498">
        <w:rPr>
          <w:szCs w:val="20"/>
        </w:rPr>
        <w:t>of</w:t>
      </w:r>
      <w:r>
        <w:rPr>
          <w:szCs w:val="20"/>
        </w:rPr>
        <w:t xml:space="preserve"> </w:t>
      </w:r>
      <w:r w:rsidRPr="003D2498">
        <w:rPr>
          <w:szCs w:val="20"/>
          <w:u w:val="single"/>
        </w:rPr>
        <w:t>Chevron</w:t>
      </w:r>
      <w:r w:rsidRPr="003D2498">
        <w:rPr>
          <w:szCs w:val="20"/>
        </w:rPr>
        <w:t>);</w:t>
      </w:r>
      <w:r>
        <w:rPr>
          <w:szCs w:val="20"/>
        </w:rPr>
        <w:t xml:space="preserve"> </w:t>
      </w:r>
      <w:r w:rsidRPr="003D2498">
        <w:rPr>
          <w:szCs w:val="20"/>
          <w:u w:val="single"/>
        </w:rPr>
        <w:t>see</w:t>
      </w:r>
      <w:r>
        <w:rPr>
          <w:szCs w:val="20"/>
          <w:u w:val="single"/>
        </w:rPr>
        <w:t xml:space="preserve"> </w:t>
      </w:r>
      <w:r w:rsidRPr="003D2498">
        <w:rPr>
          <w:szCs w:val="20"/>
          <w:u w:val="single"/>
        </w:rPr>
        <w:t>also</w:t>
      </w:r>
      <w:r>
        <w:rPr>
          <w:szCs w:val="20"/>
        </w:rPr>
        <w:t xml:space="preserve"> </w:t>
      </w:r>
      <w:r w:rsidRPr="003D2498">
        <w:rPr>
          <w:szCs w:val="20"/>
          <w:u w:val="single"/>
        </w:rPr>
        <w:t>Council</w:t>
      </w:r>
      <w:r>
        <w:rPr>
          <w:szCs w:val="20"/>
        </w:rPr>
        <w:t xml:space="preserve"> </w:t>
      </w:r>
      <w:r w:rsidRPr="003D2498">
        <w:rPr>
          <w:szCs w:val="20"/>
          <w:u w:val="single"/>
        </w:rPr>
        <w:t>for</w:t>
      </w:r>
      <w:r>
        <w:rPr>
          <w:szCs w:val="20"/>
          <w:u w:val="single"/>
        </w:rPr>
        <w:t xml:space="preserve"> </w:t>
      </w:r>
      <w:r w:rsidRPr="003D2498">
        <w:rPr>
          <w:szCs w:val="20"/>
          <w:u w:val="single"/>
        </w:rPr>
        <w:t>Urological</w:t>
      </w:r>
      <w:r>
        <w:rPr>
          <w:szCs w:val="20"/>
          <w:u w:val="single"/>
        </w:rPr>
        <w:t xml:space="preserve"> </w:t>
      </w:r>
      <w:r w:rsidRPr="003D2498">
        <w:rPr>
          <w:szCs w:val="20"/>
          <w:u w:val="single"/>
        </w:rPr>
        <w:t>Interests</w:t>
      </w:r>
      <w:r>
        <w:rPr>
          <w:szCs w:val="20"/>
          <w:u w:val="single"/>
        </w:rPr>
        <w:t xml:space="preserve"> </w:t>
      </w:r>
      <w:r w:rsidRPr="003D2498">
        <w:rPr>
          <w:szCs w:val="20"/>
          <w:u w:val="single"/>
        </w:rPr>
        <w:t>v.</w:t>
      </w:r>
      <w:r>
        <w:rPr>
          <w:szCs w:val="20"/>
          <w:u w:val="single"/>
        </w:rPr>
        <w:t xml:space="preserve"> </w:t>
      </w:r>
      <w:r w:rsidRPr="003D2498">
        <w:rPr>
          <w:szCs w:val="20"/>
          <w:u w:val="single"/>
        </w:rPr>
        <w:t>Burwell</w:t>
      </w:r>
      <w:r w:rsidRPr="003D2498">
        <w:rPr>
          <w:szCs w:val="20"/>
        </w:rPr>
        <w:t>,</w:t>
      </w:r>
      <w:r>
        <w:rPr>
          <w:szCs w:val="20"/>
        </w:rPr>
        <w:t xml:space="preserve"> </w:t>
      </w:r>
      <w:r w:rsidRPr="003D2498">
        <w:rPr>
          <w:szCs w:val="20"/>
        </w:rPr>
        <w:t>790</w:t>
      </w:r>
      <w:r>
        <w:rPr>
          <w:szCs w:val="20"/>
        </w:rPr>
        <w:t xml:space="preserve"> </w:t>
      </w:r>
      <w:r w:rsidRPr="003D2498">
        <w:rPr>
          <w:szCs w:val="20"/>
        </w:rPr>
        <w:t>F.3d</w:t>
      </w:r>
      <w:r>
        <w:rPr>
          <w:szCs w:val="20"/>
        </w:rPr>
        <w:t xml:space="preserve"> </w:t>
      </w:r>
      <w:r w:rsidRPr="003D2498">
        <w:rPr>
          <w:szCs w:val="20"/>
        </w:rPr>
        <w:t>212,</w:t>
      </w:r>
      <w:r>
        <w:rPr>
          <w:szCs w:val="20"/>
        </w:rPr>
        <w:t xml:space="preserve"> </w:t>
      </w:r>
      <w:r w:rsidRPr="003D2498">
        <w:rPr>
          <w:szCs w:val="20"/>
        </w:rPr>
        <w:t>222</w:t>
      </w:r>
      <w:r>
        <w:rPr>
          <w:szCs w:val="20"/>
        </w:rPr>
        <w:t xml:space="preserve"> </w:t>
      </w:r>
      <w:r w:rsidRPr="003D2498">
        <w:rPr>
          <w:szCs w:val="20"/>
        </w:rPr>
        <w:t>(D.C.</w:t>
      </w:r>
      <w:r>
        <w:rPr>
          <w:szCs w:val="20"/>
        </w:rPr>
        <w:t xml:space="preserve"> </w:t>
      </w:r>
      <w:r w:rsidRPr="003D2498">
        <w:rPr>
          <w:szCs w:val="20"/>
        </w:rPr>
        <w:t>Cir.</w:t>
      </w:r>
      <w:r>
        <w:rPr>
          <w:szCs w:val="20"/>
        </w:rPr>
        <w:t xml:space="preserve"> </w:t>
      </w:r>
      <w:r w:rsidRPr="003D2498">
        <w:rPr>
          <w:szCs w:val="20"/>
        </w:rPr>
        <w:t>2015);</w:t>
      </w:r>
      <w:r>
        <w:rPr>
          <w:szCs w:val="20"/>
        </w:rPr>
        <w:t xml:space="preserve"> </w:t>
      </w:r>
      <w:r w:rsidRPr="003D2498">
        <w:rPr>
          <w:szCs w:val="20"/>
          <w:u w:val="single"/>
        </w:rPr>
        <w:t>America’s</w:t>
      </w:r>
      <w:r>
        <w:rPr>
          <w:szCs w:val="20"/>
        </w:rPr>
        <w:t xml:space="preserve"> </w:t>
      </w:r>
      <w:r w:rsidRPr="003D2498">
        <w:rPr>
          <w:szCs w:val="20"/>
          <w:u w:val="single"/>
        </w:rPr>
        <w:t>Cmty.</w:t>
      </w:r>
      <w:r>
        <w:rPr>
          <w:szCs w:val="20"/>
          <w:u w:val="single"/>
        </w:rPr>
        <w:t xml:space="preserve"> </w:t>
      </w:r>
      <w:r w:rsidRPr="003D2498">
        <w:rPr>
          <w:szCs w:val="20"/>
          <w:u w:val="single"/>
        </w:rPr>
        <w:t>Bankers</w:t>
      </w:r>
      <w:r>
        <w:rPr>
          <w:szCs w:val="20"/>
          <w:u w:val="single"/>
        </w:rPr>
        <w:t xml:space="preserve"> </w:t>
      </w:r>
      <w:r w:rsidRPr="003D2498">
        <w:rPr>
          <w:szCs w:val="20"/>
          <w:u w:val="single"/>
        </w:rPr>
        <w:t>v.</w:t>
      </w:r>
      <w:r>
        <w:rPr>
          <w:szCs w:val="20"/>
          <w:u w:val="single"/>
        </w:rPr>
        <w:t xml:space="preserve"> </w:t>
      </w:r>
      <w:r w:rsidRPr="003D2498">
        <w:rPr>
          <w:szCs w:val="20"/>
          <w:u w:val="single"/>
        </w:rPr>
        <w:t>FDIC</w:t>
      </w:r>
      <w:r w:rsidRPr="003D2498">
        <w:rPr>
          <w:szCs w:val="20"/>
        </w:rPr>
        <w:t>,</w:t>
      </w:r>
      <w:r>
        <w:rPr>
          <w:szCs w:val="20"/>
        </w:rPr>
        <w:t xml:space="preserve"> </w:t>
      </w:r>
      <w:r w:rsidRPr="003D2498">
        <w:rPr>
          <w:szCs w:val="20"/>
        </w:rPr>
        <w:t>200</w:t>
      </w:r>
      <w:r>
        <w:rPr>
          <w:szCs w:val="20"/>
        </w:rPr>
        <w:t xml:space="preserve"> </w:t>
      </w:r>
      <w:r w:rsidRPr="003D2498">
        <w:rPr>
          <w:szCs w:val="20"/>
        </w:rPr>
        <w:t>F.3d</w:t>
      </w:r>
      <w:r>
        <w:rPr>
          <w:szCs w:val="20"/>
        </w:rPr>
        <w:t xml:space="preserve"> </w:t>
      </w:r>
      <w:r w:rsidRPr="003D2498">
        <w:rPr>
          <w:szCs w:val="20"/>
        </w:rPr>
        <w:t>822,</w:t>
      </w:r>
      <w:r>
        <w:rPr>
          <w:szCs w:val="20"/>
        </w:rPr>
        <w:t xml:space="preserve"> </w:t>
      </w:r>
      <w:r w:rsidRPr="003D2498">
        <w:rPr>
          <w:szCs w:val="20"/>
        </w:rPr>
        <w:t>835</w:t>
      </w:r>
      <w:r>
        <w:rPr>
          <w:szCs w:val="20"/>
        </w:rPr>
        <w:t xml:space="preserve"> </w:t>
      </w:r>
      <w:r w:rsidRPr="003D2498">
        <w:rPr>
          <w:szCs w:val="20"/>
        </w:rPr>
        <w:t>(D.C.</w:t>
      </w:r>
      <w:r>
        <w:rPr>
          <w:szCs w:val="20"/>
        </w:rPr>
        <w:t xml:space="preserve"> </w:t>
      </w:r>
      <w:r w:rsidRPr="003D2498">
        <w:rPr>
          <w:szCs w:val="20"/>
        </w:rPr>
        <w:t>Cir.</w:t>
      </w:r>
      <w:r>
        <w:rPr>
          <w:szCs w:val="20"/>
        </w:rPr>
        <w:t xml:space="preserve"> </w:t>
      </w:r>
      <w:r w:rsidRPr="003D2498">
        <w:rPr>
          <w:szCs w:val="20"/>
        </w:rPr>
        <w:t>2000).</w:t>
      </w:r>
      <w:r>
        <w:rPr>
          <w:szCs w:val="20"/>
        </w:rPr>
        <w:t xml:space="preserve"> </w:t>
      </w:r>
      <w:r w:rsidRPr="003D2498">
        <w:rPr>
          <w:szCs w:val="20"/>
        </w:rPr>
        <w:t>We</w:t>
      </w:r>
      <w:r>
        <w:rPr>
          <w:szCs w:val="20"/>
        </w:rPr>
        <w:t xml:space="preserve"> </w:t>
      </w:r>
      <w:r w:rsidRPr="003D2498">
        <w:rPr>
          <w:szCs w:val="20"/>
        </w:rPr>
        <w:t>shouldn’t</w:t>
      </w:r>
      <w:r>
        <w:rPr>
          <w:szCs w:val="20"/>
        </w:rPr>
        <w:t xml:space="preserve"> </w:t>
      </w:r>
      <w:r w:rsidRPr="003D2498">
        <w:rPr>
          <w:szCs w:val="20"/>
        </w:rPr>
        <w:t>be</w:t>
      </w:r>
      <w:r>
        <w:rPr>
          <w:szCs w:val="20"/>
        </w:rPr>
        <w:t xml:space="preserve"> </w:t>
      </w:r>
      <w:r w:rsidRPr="003D2498">
        <w:rPr>
          <w:szCs w:val="20"/>
        </w:rPr>
        <w:t>coming</w:t>
      </w:r>
      <w:r>
        <w:rPr>
          <w:szCs w:val="20"/>
        </w:rPr>
        <w:t xml:space="preserve"> </w:t>
      </w:r>
      <w:r w:rsidRPr="003D2498">
        <w:rPr>
          <w:szCs w:val="20"/>
        </w:rPr>
        <w:t>up</w:t>
      </w:r>
      <w:r>
        <w:rPr>
          <w:szCs w:val="20"/>
        </w:rPr>
        <w:t xml:space="preserve"> </w:t>
      </w:r>
      <w:r w:rsidRPr="003D2498">
        <w:rPr>
          <w:szCs w:val="20"/>
        </w:rPr>
        <w:t>with</w:t>
      </w:r>
      <w:r>
        <w:rPr>
          <w:szCs w:val="20"/>
        </w:rPr>
        <w:t xml:space="preserve"> </w:t>
      </w:r>
      <w:r w:rsidRPr="003D2498">
        <w:rPr>
          <w:szCs w:val="20"/>
        </w:rPr>
        <w:t>our</w:t>
      </w:r>
      <w:r>
        <w:rPr>
          <w:szCs w:val="20"/>
        </w:rPr>
        <w:t xml:space="preserve"> </w:t>
      </w:r>
      <w:r w:rsidRPr="003D2498">
        <w:rPr>
          <w:szCs w:val="20"/>
        </w:rPr>
        <w:t>own</w:t>
      </w:r>
      <w:r>
        <w:rPr>
          <w:szCs w:val="20"/>
        </w:rPr>
        <w:t xml:space="preserve"> </w:t>
      </w:r>
      <w:r w:rsidRPr="003D2498">
        <w:rPr>
          <w:rStyle w:val="Emphasis"/>
          <w:szCs w:val="20"/>
        </w:rPr>
        <w:t>post</w:t>
      </w:r>
      <w:r>
        <w:rPr>
          <w:rStyle w:val="Emphasis"/>
          <w:szCs w:val="20"/>
        </w:rPr>
        <w:t xml:space="preserve"> </w:t>
      </w:r>
      <w:r w:rsidRPr="003D2498">
        <w:rPr>
          <w:rStyle w:val="Emphasis"/>
          <w:szCs w:val="20"/>
        </w:rPr>
        <w:t>hoc</w:t>
      </w:r>
      <w:r>
        <w:rPr>
          <w:szCs w:val="20"/>
        </w:rPr>
        <w:t xml:space="preserve"> </w:t>
      </w:r>
      <w:r w:rsidRPr="003D2498">
        <w:rPr>
          <w:szCs w:val="20"/>
        </w:rPr>
        <w:t>justifications</w:t>
      </w:r>
      <w:r>
        <w:rPr>
          <w:szCs w:val="20"/>
        </w:rPr>
        <w:t xml:space="preserve"> </w:t>
      </w:r>
      <w:r w:rsidRPr="003D2498">
        <w:rPr>
          <w:szCs w:val="20"/>
        </w:rPr>
        <w:t>for</w:t>
      </w:r>
      <w:r>
        <w:rPr>
          <w:szCs w:val="20"/>
        </w:rPr>
        <w:t xml:space="preserve"> </w:t>
      </w:r>
      <w:r w:rsidRPr="003D2498">
        <w:rPr>
          <w:szCs w:val="20"/>
        </w:rPr>
        <w:t>the</w:t>
      </w:r>
      <w:r>
        <w:rPr>
          <w:szCs w:val="20"/>
        </w:rPr>
        <w:t xml:space="preserve"> </w:t>
      </w:r>
      <w:r w:rsidRPr="003D2498">
        <w:rPr>
          <w:szCs w:val="20"/>
        </w:rPr>
        <w:t>reasonableness</w:t>
      </w:r>
      <w:r>
        <w:rPr>
          <w:szCs w:val="20"/>
        </w:rPr>
        <w:t xml:space="preserve"> </w:t>
      </w:r>
      <w:r w:rsidRPr="003D2498">
        <w:rPr>
          <w:szCs w:val="20"/>
        </w:rPr>
        <w:t>of</w:t>
      </w:r>
      <w:r>
        <w:rPr>
          <w:szCs w:val="20"/>
        </w:rPr>
        <w:t xml:space="preserve"> </w:t>
      </w:r>
      <w:r w:rsidRPr="003D2498">
        <w:rPr>
          <w:szCs w:val="20"/>
        </w:rPr>
        <w:t>the</w:t>
      </w:r>
      <w:r>
        <w:rPr>
          <w:szCs w:val="20"/>
        </w:rPr>
        <w:t xml:space="preserve"> </w:t>
      </w:r>
      <w:r w:rsidRPr="003D2498">
        <w:rPr>
          <w:szCs w:val="20"/>
        </w:rPr>
        <w:t>rule</w:t>
      </w:r>
      <w:r>
        <w:rPr>
          <w:szCs w:val="20"/>
        </w:rPr>
        <w:t xml:space="preserve"> </w:t>
      </w:r>
      <w:r w:rsidRPr="003D2498">
        <w:rPr>
          <w:szCs w:val="20"/>
        </w:rPr>
        <w:t>if</w:t>
      </w:r>
      <w:r>
        <w:rPr>
          <w:szCs w:val="20"/>
        </w:rPr>
        <w:t xml:space="preserve"> </w:t>
      </w:r>
      <w:r w:rsidRPr="003D2498">
        <w:rPr>
          <w:szCs w:val="20"/>
        </w:rPr>
        <w:t>the</w:t>
      </w:r>
      <w:r>
        <w:rPr>
          <w:szCs w:val="20"/>
        </w:rPr>
        <w:t xml:space="preserve"> </w:t>
      </w:r>
      <w:r w:rsidRPr="003D2498">
        <w:rPr>
          <w:szCs w:val="20"/>
        </w:rPr>
        <w:t>Commissioner’s</w:t>
      </w:r>
      <w:r>
        <w:rPr>
          <w:szCs w:val="20"/>
        </w:rPr>
        <w:t xml:space="preserve"> </w:t>
      </w:r>
      <w:r w:rsidRPr="003D2498">
        <w:rPr>
          <w:szCs w:val="20"/>
        </w:rPr>
        <w:t>lawyers</w:t>
      </w:r>
      <w:r>
        <w:rPr>
          <w:szCs w:val="20"/>
        </w:rPr>
        <w:t xml:space="preserve"> </w:t>
      </w:r>
      <w:r w:rsidRPr="003D2498">
        <w:rPr>
          <w:szCs w:val="20"/>
        </w:rPr>
        <w:t>wouldn’t</w:t>
      </w:r>
      <w:r>
        <w:rPr>
          <w:szCs w:val="20"/>
        </w:rPr>
        <w:t xml:space="preserve"> </w:t>
      </w:r>
      <w:r w:rsidRPr="003D2498">
        <w:rPr>
          <w:szCs w:val="20"/>
        </w:rPr>
        <w:t>be</w:t>
      </w:r>
      <w:r>
        <w:rPr>
          <w:szCs w:val="20"/>
        </w:rPr>
        <w:t xml:space="preserve"> </w:t>
      </w:r>
      <w:r w:rsidRPr="003D2498">
        <w:rPr>
          <w:szCs w:val="20"/>
        </w:rPr>
        <w:t>able</w:t>
      </w:r>
      <w:r>
        <w:rPr>
          <w:szCs w:val="20"/>
        </w:rPr>
        <w:t xml:space="preserve"> </w:t>
      </w:r>
      <w:r w:rsidRPr="003D2498">
        <w:rPr>
          <w:szCs w:val="20"/>
        </w:rPr>
        <w:t>to.</w:t>
      </w:r>
    </w:p>
    <w:p w:rsidR="007649DB" w:rsidRPr="003D2498" w:rsidRDefault="007649DB" w:rsidP="007649DB">
      <w:pPr>
        <w:pStyle w:val="QS10"/>
        <w:rPr>
          <w:szCs w:val="20"/>
        </w:rPr>
      </w:pPr>
      <w:r w:rsidRPr="003D2498">
        <w:rPr>
          <w:szCs w:val="20"/>
        </w:rPr>
        <w:t>The</w:t>
      </w:r>
      <w:r>
        <w:rPr>
          <w:szCs w:val="20"/>
        </w:rPr>
        <w:t xml:space="preserve"> </w:t>
      </w:r>
      <w:r w:rsidRPr="003D2498">
        <w:rPr>
          <w:szCs w:val="20"/>
        </w:rPr>
        <w:t>same</w:t>
      </w:r>
      <w:r>
        <w:rPr>
          <w:szCs w:val="20"/>
        </w:rPr>
        <w:t xml:space="preserve"> </w:t>
      </w:r>
      <w:r w:rsidRPr="003D2498">
        <w:rPr>
          <w:szCs w:val="20"/>
        </w:rPr>
        <w:t>problem</w:t>
      </w:r>
      <w:r>
        <w:rPr>
          <w:szCs w:val="20"/>
        </w:rPr>
        <w:t xml:space="preserve"> </w:t>
      </w:r>
      <w:r w:rsidRPr="003D2498">
        <w:rPr>
          <w:szCs w:val="20"/>
        </w:rPr>
        <w:t>affects</w:t>
      </w:r>
      <w:r>
        <w:rPr>
          <w:szCs w:val="20"/>
        </w:rPr>
        <w:t xml:space="preserve"> </w:t>
      </w:r>
      <w:r w:rsidRPr="003D2498">
        <w:rPr>
          <w:szCs w:val="20"/>
        </w:rPr>
        <w:t>our</w:t>
      </w:r>
      <w:r>
        <w:rPr>
          <w:szCs w:val="20"/>
        </w:rPr>
        <w:t xml:space="preserve"> </w:t>
      </w:r>
      <w:r w:rsidRPr="003D2498">
        <w:rPr>
          <w:szCs w:val="20"/>
        </w:rPr>
        <w:t>analysis</w:t>
      </w:r>
      <w:r>
        <w:rPr>
          <w:szCs w:val="20"/>
        </w:rPr>
        <w:t xml:space="preserve"> </w:t>
      </w:r>
      <w:r w:rsidRPr="003D2498">
        <w:rPr>
          <w:szCs w:val="20"/>
        </w:rPr>
        <w:t>of</w:t>
      </w:r>
      <w:r>
        <w:rPr>
          <w:szCs w:val="20"/>
        </w:rPr>
        <w:t xml:space="preserve"> </w:t>
      </w:r>
      <w:r w:rsidRPr="003D2498">
        <w:rPr>
          <w:szCs w:val="20"/>
        </w:rPr>
        <w:t>the</w:t>
      </w:r>
      <w:r>
        <w:rPr>
          <w:szCs w:val="20"/>
        </w:rPr>
        <w:t xml:space="preserve"> </w:t>
      </w:r>
      <w:r w:rsidRPr="003D2498">
        <w:rPr>
          <w:szCs w:val="20"/>
        </w:rPr>
        <w:t>substantive</w:t>
      </w:r>
      <w:r>
        <w:rPr>
          <w:szCs w:val="20"/>
        </w:rPr>
        <w:t xml:space="preserve"> </w:t>
      </w:r>
      <w:r w:rsidRPr="003D2498">
        <w:rPr>
          <w:szCs w:val="20"/>
        </w:rPr>
        <w:t>validity</w:t>
      </w:r>
      <w:r>
        <w:rPr>
          <w:szCs w:val="20"/>
        </w:rPr>
        <w:t xml:space="preserve"> </w:t>
      </w:r>
      <w:r w:rsidRPr="003D2498">
        <w:rPr>
          <w:szCs w:val="20"/>
        </w:rPr>
        <w:t>of</w:t>
      </w:r>
      <w:r>
        <w:rPr>
          <w:szCs w:val="20"/>
        </w:rPr>
        <w:t xml:space="preserve"> </w:t>
      </w:r>
      <w:r w:rsidRPr="003D2498">
        <w:rPr>
          <w:szCs w:val="20"/>
        </w:rPr>
        <w:t>this</w:t>
      </w:r>
      <w:r>
        <w:rPr>
          <w:szCs w:val="20"/>
        </w:rPr>
        <w:t xml:space="preserve"> </w:t>
      </w:r>
      <w:r w:rsidRPr="003D2498">
        <w:rPr>
          <w:szCs w:val="20"/>
        </w:rPr>
        <w:t>regulation</w:t>
      </w:r>
      <w:r>
        <w:rPr>
          <w:szCs w:val="20"/>
        </w:rPr>
        <w:t xml:space="preserve"> </w:t>
      </w:r>
      <w:r w:rsidRPr="003D2498">
        <w:rPr>
          <w:szCs w:val="20"/>
        </w:rPr>
        <w:t>under</w:t>
      </w:r>
      <w:r>
        <w:rPr>
          <w:szCs w:val="20"/>
        </w:rPr>
        <w:t xml:space="preserve"> </w:t>
      </w:r>
      <w:r w:rsidRPr="003D2498">
        <w:rPr>
          <w:szCs w:val="20"/>
          <w:u w:val="single"/>
        </w:rPr>
        <w:t>State</w:t>
      </w:r>
      <w:r>
        <w:rPr>
          <w:szCs w:val="20"/>
          <w:u w:val="single"/>
        </w:rPr>
        <w:t xml:space="preserve"> </w:t>
      </w:r>
      <w:r w:rsidRPr="003D2498">
        <w:rPr>
          <w:szCs w:val="20"/>
          <w:u w:val="single"/>
        </w:rPr>
        <w:t>Farm</w:t>
      </w:r>
      <w:r w:rsidRPr="003D2498">
        <w:rPr>
          <w:szCs w:val="20"/>
        </w:rPr>
        <w:t>.</w:t>
      </w:r>
      <w:r>
        <w:rPr>
          <w:szCs w:val="20"/>
        </w:rPr>
        <w:t xml:space="preserve"> </w:t>
      </w:r>
      <w:r w:rsidRPr="003D2498">
        <w:rPr>
          <w:szCs w:val="20"/>
        </w:rPr>
        <w:t>The</w:t>
      </w:r>
      <w:r>
        <w:rPr>
          <w:szCs w:val="20"/>
        </w:rPr>
        <w:t xml:space="preserve"> </w:t>
      </w:r>
      <w:r w:rsidRPr="003D2498">
        <w:rPr>
          <w:szCs w:val="20"/>
        </w:rPr>
        <w:t>Sixth</w:t>
      </w:r>
      <w:r>
        <w:rPr>
          <w:szCs w:val="20"/>
        </w:rPr>
        <w:t xml:space="preserve"> </w:t>
      </w:r>
      <w:r w:rsidRPr="003D2498">
        <w:rPr>
          <w:szCs w:val="20"/>
        </w:rPr>
        <w:t>Circuit</w:t>
      </w:r>
      <w:r>
        <w:rPr>
          <w:szCs w:val="20"/>
        </w:rPr>
        <w:t xml:space="preserve"> </w:t>
      </w:r>
      <w:r w:rsidRPr="003D2498">
        <w:rPr>
          <w:szCs w:val="20"/>
        </w:rPr>
        <w:t>has</w:t>
      </w:r>
      <w:r>
        <w:rPr>
          <w:szCs w:val="20"/>
        </w:rPr>
        <w:t xml:space="preserve"> </w:t>
      </w:r>
      <w:r w:rsidRPr="003D2498">
        <w:rPr>
          <w:szCs w:val="20"/>
        </w:rPr>
        <w:t>warned</w:t>
      </w:r>
      <w:r>
        <w:rPr>
          <w:szCs w:val="20"/>
        </w:rPr>
        <w:t xml:space="preserve"> </w:t>
      </w:r>
      <w:r w:rsidRPr="003D2498">
        <w:rPr>
          <w:szCs w:val="20"/>
        </w:rPr>
        <w:t>agencies</w:t>
      </w:r>
      <w:r>
        <w:rPr>
          <w:szCs w:val="20"/>
        </w:rPr>
        <w:t xml:space="preserve"> </w:t>
      </w:r>
      <w:r w:rsidRPr="003D2498">
        <w:rPr>
          <w:szCs w:val="20"/>
        </w:rPr>
        <w:t>that</w:t>
      </w:r>
      <w:r>
        <w:rPr>
          <w:szCs w:val="20"/>
        </w:rPr>
        <w:t xml:space="preserve"> </w:t>
      </w:r>
      <w:r w:rsidRPr="003D2498">
        <w:rPr>
          <w:szCs w:val="20"/>
        </w:rPr>
        <w:t>its</w:t>
      </w:r>
      <w:r>
        <w:rPr>
          <w:szCs w:val="20"/>
        </w:rPr>
        <w:t xml:space="preserve"> </w:t>
      </w:r>
      <w:r w:rsidRPr="003D2498">
        <w:rPr>
          <w:szCs w:val="20"/>
        </w:rPr>
        <w:t>arguments</w:t>
      </w:r>
      <w:r>
        <w:rPr>
          <w:szCs w:val="20"/>
        </w:rPr>
        <w:t xml:space="preserve"> </w:t>
      </w:r>
      <w:r w:rsidRPr="003D2498">
        <w:rPr>
          <w:szCs w:val="20"/>
        </w:rPr>
        <w:t>in</w:t>
      </w:r>
      <w:r>
        <w:rPr>
          <w:szCs w:val="20"/>
        </w:rPr>
        <w:t xml:space="preserve"> </w:t>
      </w:r>
      <w:r w:rsidRPr="003D2498">
        <w:rPr>
          <w:szCs w:val="20"/>
        </w:rPr>
        <w:t>favor</w:t>
      </w:r>
      <w:r>
        <w:rPr>
          <w:szCs w:val="20"/>
        </w:rPr>
        <w:t xml:space="preserve"> </w:t>
      </w:r>
      <w:r w:rsidRPr="003D2498">
        <w:rPr>
          <w:szCs w:val="20"/>
        </w:rPr>
        <w:t>of</w:t>
      </w:r>
      <w:r>
        <w:rPr>
          <w:szCs w:val="20"/>
        </w:rPr>
        <w:t xml:space="preserve"> </w:t>
      </w:r>
      <w:r w:rsidRPr="003D2498">
        <w:rPr>
          <w:szCs w:val="20"/>
        </w:rPr>
        <w:t>a</w:t>
      </w:r>
      <w:r>
        <w:rPr>
          <w:szCs w:val="20"/>
        </w:rPr>
        <w:t xml:space="preserve"> </w:t>
      </w:r>
      <w:r w:rsidRPr="003D2498">
        <w:rPr>
          <w:szCs w:val="20"/>
        </w:rPr>
        <w:t>regulation</w:t>
      </w:r>
      <w:r>
        <w:rPr>
          <w:szCs w:val="20"/>
        </w:rPr>
        <w:t xml:space="preserve"> </w:t>
      </w:r>
      <w:r w:rsidRPr="003D2498">
        <w:rPr>
          <w:szCs w:val="20"/>
        </w:rPr>
        <w:t>not</w:t>
      </w:r>
      <w:r>
        <w:rPr>
          <w:szCs w:val="20"/>
        </w:rPr>
        <w:t xml:space="preserve"> </w:t>
      </w:r>
      <w:r w:rsidRPr="003D2498">
        <w:rPr>
          <w:szCs w:val="20"/>
        </w:rPr>
        <w:t>being</w:t>
      </w:r>
      <w:r>
        <w:rPr>
          <w:szCs w:val="20"/>
        </w:rPr>
        <w:t xml:space="preserve"> </w:t>
      </w:r>
      <w:r w:rsidRPr="003D2498">
        <w:rPr>
          <w:szCs w:val="20"/>
        </w:rPr>
        <w:t>“arbitrary,</w:t>
      </w:r>
      <w:r>
        <w:rPr>
          <w:szCs w:val="20"/>
        </w:rPr>
        <w:t xml:space="preserve"> </w:t>
      </w:r>
      <w:r w:rsidRPr="003D2498">
        <w:rPr>
          <w:szCs w:val="20"/>
        </w:rPr>
        <w:t>capricious,</w:t>
      </w:r>
      <w:r>
        <w:rPr>
          <w:szCs w:val="20"/>
        </w:rPr>
        <w:t xml:space="preserve"> </w:t>
      </w:r>
      <w:r w:rsidRPr="003D2498">
        <w:rPr>
          <w:szCs w:val="20"/>
        </w:rPr>
        <w:t>an</w:t>
      </w:r>
      <w:r>
        <w:rPr>
          <w:szCs w:val="20"/>
        </w:rPr>
        <w:t xml:space="preserve"> </w:t>
      </w:r>
      <w:r w:rsidRPr="003D2498">
        <w:rPr>
          <w:szCs w:val="20"/>
        </w:rPr>
        <w:t>abuse</w:t>
      </w:r>
      <w:r>
        <w:rPr>
          <w:szCs w:val="20"/>
        </w:rPr>
        <w:t xml:space="preserve"> </w:t>
      </w:r>
      <w:r w:rsidRPr="003D2498">
        <w:rPr>
          <w:szCs w:val="20"/>
        </w:rPr>
        <w:t>of</w:t>
      </w:r>
      <w:r>
        <w:rPr>
          <w:szCs w:val="20"/>
        </w:rPr>
        <w:t xml:space="preserve"> </w:t>
      </w:r>
      <w:r w:rsidRPr="003D2498">
        <w:rPr>
          <w:szCs w:val="20"/>
        </w:rPr>
        <w:t>discretion,</w:t>
      </w:r>
      <w:r>
        <w:rPr>
          <w:szCs w:val="20"/>
        </w:rPr>
        <w:t xml:space="preserve"> </w:t>
      </w:r>
      <w:r w:rsidRPr="003D2498">
        <w:rPr>
          <w:szCs w:val="20"/>
        </w:rPr>
        <w:t>or</w:t>
      </w:r>
      <w:r>
        <w:rPr>
          <w:szCs w:val="20"/>
        </w:rPr>
        <w:t xml:space="preserve"> </w:t>
      </w:r>
      <w:r w:rsidRPr="003D2498">
        <w:rPr>
          <w:szCs w:val="20"/>
        </w:rPr>
        <w:t>otherwise</w:t>
      </w:r>
      <w:r>
        <w:rPr>
          <w:szCs w:val="20"/>
        </w:rPr>
        <w:t xml:space="preserve"> </w:t>
      </w:r>
      <w:r w:rsidRPr="003D2498">
        <w:rPr>
          <w:szCs w:val="20"/>
        </w:rPr>
        <w:t>not</w:t>
      </w:r>
      <w:r>
        <w:rPr>
          <w:szCs w:val="20"/>
        </w:rPr>
        <w:t xml:space="preserve"> </w:t>
      </w:r>
      <w:r w:rsidRPr="003D2498">
        <w:rPr>
          <w:szCs w:val="20"/>
        </w:rPr>
        <w:t>in</w:t>
      </w:r>
      <w:r>
        <w:rPr>
          <w:szCs w:val="20"/>
        </w:rPr>
        <w:t xml:space="preserve"> </w:t>
      </w:r>
      <w:r w:rsidRPr="003D2498">
        <w:rPr>
          <w:szCs w:val="20"/>
        </w:rPr>
        <w:t>accordance</w:t>
      </w:r>
      <w:r>
        <w:rPr>
          <w:szCs w:val="20"/>
        </w:rPr>
        <w:t xml:space="preserve"> </w:t>
      </w:r>
      <w:r w:rsidRPr="003D2498">
        <w:rPr>
          <w:szCs w:val="20"/>
        </w:rPr>
        <w:t>with</w:t>
      </w:r>
      <w:r>
        <w:rPr>
          <w:szCs w:val="20"/>
        </w:rPr>
        <w:t xml:space="preserve"> </w:t>
      </w:r>
      <w:r w:rsidRPr="003D2498">
        <w:rPr>
          <w:szCs w:val="20"/>
        </w:rPr>
        <w:t>law”</w:t>
      </w:r>
      <w:r>
        <w:rPr>
          <w:szCs w:val="20"/>
        </w:rPr>
        <w:t xml:space="preserve"> </w:t>
      </w:r>
      <w:r w:rsidRPr="003D2498">
        <w:rPr>
          <w:szCs w:val="20"/>
        </w:rPr>
        <w:t>is</w:t>
      </w:r>
      <w:r>
        <w:rPr>
          <w:szCs w:val="20"/>
        </w:rPr>
        <w:t xml:space="preserve"> </w:t>
      </w:r>
      <w:r w:rsidRPr="003D2498">
        <w:rPr>
          <w:szCs w:val="20"/>
        </w:rPr>
        <w:t>likewise</w:t>
      </w:r>
      <w:r>
        <w:rPr>
          <w:szCs w:val="20"/>
        </w:rPr>
        <w:t xml:space="preserve"> </w:t>
      </w:r>
      <w:r w:rsidRPr="003D2498">
        <w:rPr>
          <w:szCs w:val="20"/>
        </w:rPr>
        <w:t>limited</w:t>
      </w:r>
      <w:r>
        <w:rPr>
          <w:szCs w:val="20"/>
        </w:rPr>
        <w:t xml:space="preserve"> </w:t>
      </w:r>
      <w:r w:rsidRPr="003D2498">
        <w:rPr>
          <w:szCs w:val="20"/>
        </w:rPr>
        <w:t>by</w:t>
      </w:r>
      <w:r>
        <w:rPr>
          <w:szCs w:val="20"/>
        </w:rPr>
        <w:t xml:space="preserve"> </w:t>
      </w:r>
      <w:r w:rsidRPr="003D2498">
        <w:rPr>
          <w:szCs w:val="20"/>
        </w:rPr>
        <w:t>the</w:t>
      </w:r>
      <w:r>
        <w:rPr>
          <w:szCs w:val="20"/>
        </w:rPr>
        <w:t xml:space="preserve"> </w:t>
      </w:r>
      <w:r w:rsidRPr="003D2498">
        <w:rPr>
          <w:szCs w:val="20"/>
          <w:u w:val="single"/>
        </w:rPr>
        <w:t>Chenery</w:t>
      </w:r>
      <w:r>
        <w:rPr>
          <w:szCs w:val="20"/>
        </w:rPr>
        <w:t xml:space="preserve"> </w:t>
      </w:r>
      <w:r w:rsidRPr="003D2498">
        <w:rPr>
          <w:szCs w:val="20"/>
        </w:rPr>
        <w:t>rule.</w:t>
      </w:r>
      <w:r>
        <w:rPr>
          <w:szCs w:val="20"/>
        </w:rPr>
        <w:t xml:space="preserve"> </w:t>
      </w:r>
      <w:r w:rsidRPr="003D2498">
        <w:rPr>
          <w:szCs w:val="20"/>
          <w:u w:val="single"/>
        </w:rPr>
        <w:t>See</w:t>
      </w:r>
      <w:r>
        <w:rPr>
          <w:szCs w:val="20"/>
        </w:rPr>
        <w:t xml:space="preserve"> </w:t>
      </w:r>
      <w:r w:rsidRPr="003D2498">
        <w:rPr>
          <w:szCs w:val="20"/>
          <w:u w:val="single"/>
        </w:rPr>
        <w:t>Atrium</w:t>
      </w:r>
      <w:r w:rsidRPr="003D2498">
        <w:rPr>
          <w:szCs w:val="20"/>
        </w:rPr>
        <w:t>,</w:t>
      </w:r>
      <w:r>
        <w:rPr>
          <w:szCs w:val="20"/>
        </w:rPr>
        <w:t xml:space="preserve"> </w:t>
      </w:r>
      <w:r w:rsidRPr="003D2498">
        <w:rPr>
          <w:szCs w:val="20"/>
        </w:rPr>
        <w:t>766</w:t>
      </w:r>
      <w:r>
        <w:rPr>
          <w:szCs w:val="20"/>
        </w:rPr>
        <w:t xml:space="preserve"> </w:t>
      </w:r>
      <w:r w:rsidRPr="003D2498">
        <w:rPr>
          <w:szCs w:val="20"/>
        </w:rPr>
        <w:t>F.3d</w:t>
      </w:r>
      <w:r>
        <w:rPr>
          <w:szCs w:val="20"/>
        </w:rPr>
        <w:t xml:space="preserve"> </w:t>
      </w:r>
      <w:r w:rsidRPr="003D2498">
        <w:rPr>
          <w:szCs w:val="20"/>
        </w:rPr>
        <w:t>at</w:t>
      </w:r>
      <w:r>
        <w:rPr>
          <w:szCs w:val="20"/>
        </w:rPr>
        <w:t xml:space="preserve"> </w:t>
      </w:r>
      <w:r w:rsidRPr="003D2498">
        <w:rPr>
          <w:szCs w:val="20"/>
        </w:rPr>
        <w:t>567-68</w:t>
      </w:r>
      <w:r>
        <w:rPr>
          <w:szCs w:val="20"/>
        </w:rPr>
        <w:t xml:space="preserve"> </w:t>
      </w:r>
      <w:r w:rsidRPr="003D2498">
        <w:rPr>
          <w:szCs w:val="20"/>
        </w:rPr>
        <w:t>(“[T]he</w:t>
      </w:r>
      <w:r>
        <w:rPr>
          <w:szCs w:val="20"/>
        </w:rPr>
        <w:t xml:space="preserve"> </w:t>
      </w:r>
      <w:r w:rsidRPr="003D2498">
        <w:rPr>
          <w:szCs w:val="20"/>
        </w:rPr>
        <w:t>ground</w:t>
      </w:r>
      <w:r>
        <w:rPr>
          <w:szCs w:val="20"/>
        </w:rPr>
        <w:t xml:space="preserve"> </w:t>
      </w:r>
      <w:r w:rsidRPr="003D2498">
        <w:rPr>
          <w:szCs w:val="20"/>
        </w:rPr>
        <w:t>upon</w:t>
      </w:r>
      <w:r>
        <w:rPr>
          <w:szCs w:val="20"/>
        </w:rPr>
        <w:t xml:space="preserve"> </w:t>
      </w:r>
      <w:r w:rsidRPr="003D2498">
        <w:rPr>
          <w:szCs w:val="20"/>
        </w:rPr>
        <w:t>which</w:t>
      </w:r>
      <w:r>
        <w:rPr>
          <w:szCs w:val="20"/>
        </w:rPr>
        <w:t xml:space="preserve"> </w:t>
      </w:r>
      <w:r w:rsidRPr="003D2498">
        <w:rPr>
          <w:szCs w:val="20"/>
        </w:rPr>
        <w:t>an</w:t>
      </w:r>
      <w:r>
        <w:rPr>
          <w:szCs w:val="20"/>
        </w:rPr>
        <w:t xml:space="preserve"> </w:t>
      </w:r>
      <w:r w:rsidRPr="003D2498">
        <w:rPr>
          <w:szCs w:val="20"/>
        </w:rPr>
        <w:t>administrative</w:t>
      </w:r>
      <w:r>
        <w:rPr>
          <w:szCs w:val="20"/>
        </w:rPr>
        <w:t xml:space="preserve"> </w:t>
      </w:r>
      <w:r w:rsidRPr="003D2498">
        <w:rPr>
          <w:szCs w:val="20"/>
        </w:rPr>
        <w:t>order</w:t>
      </w:r>
      <w:r>
        <w:rPr>
          <w:szCs w:val="20"/>
        </w:rPr>
        <w:t xml:space="preserve"> </w:t>
      </w:r>
      <w:r w:rsidRPr="003D2498">
        <w:rPr>
          <w:szCs w:val="20"/>
        </w:rPr>
        <w:t>must</w:t>
      </w:r>
      <w:r>
        <w:rPr>
          <w:szCs w:val="20"/>
        </w:rPr>
        <w:t xml:space="preserve"> </w:t>
      </w:r>
      <w:r w:rsidRPr="003D2498">
        <w:rPr>
          <w:szCs w:val="20"/>
        </w:rPr>
        <w:t>be</w:t>
      </w:r>
      <w:r>
        <w:rPr>
          <w:szCs w:val="20"/>
        </w:rPr>
        <w:t xml:space="preserve"> </w:t>
      </w:r>
      <w:r w:rsidRPr="003D2498">
        <w:rPr>
          <w:szCs w:val="20"/>
        </w:rPr>
        <w:t>judged</w:t>
      </w:r>
      <w:r>
        <w:rPr>
          <w:szCs w:val="20"/>
        </w:rPr>
        <w:t xml:space="preserve"> </w:t>
      </w:r>
      <w:r w:rsidRPr="003D2498">
        <w:rPr>
          <w:szCs w:val="20"/>
        </w:rPr>
        <w:t>are</w:t>
      </w:r>
      <w:r>
        <w:rPr>
          <w:szCs w:val="20"/>
        </w:rPr>
        <w:t xml:space="preserve"> </w:t>
      </w:r>
      <w:r w:rsidRPr="003D2498">
        <w:rPr>
          <w:szCs w:val="20"/>
        </w:rPr>
        <w:t>those</w:t>
      </w:r>
      <w:r>
        <w:rPr>
          <w:szCs w:val="20"/>
        </w:rPr>
        <w:t xml:space="preserve"> </w:t>
      </w:r>
      <w:r w:rsidRPr="003D2498">
        <w:rPr>
          <w:szCs w:val="20"/>
        </w:rPr>
        <w:t>upon</w:t>
      </w:r>
      <w:r>
        <w:rPr>
          <w:szCs w:val="20"/>
        </w:rPr>
        <w:t xml:space="preserve"> </w:t>
      </w:r>
      <w:r w:rsidRPr="003D2498">
        <w:rPr>
          <w:szCs w:val="20"/>
        </w:rPr>
        <w:t>which</w:t>
      </w:r>
      <w:r>
        <w:rPr>
          <w:szCs w:val="20"/>
        </w:rPr>
        <w:t xml:space="preserve"> </w:t>
      </w:r>
      <w:r w:rsidRPr="003D2498">
        <w:rPr>
          <w:szCs w:val="20"/>
        </w:rPr>
        <w:t>the</w:t>
      </w:r>
      <w:r>
        <w:rPr>
          <w:szCs w:val="20"/>
        </w:rPr>
        <w:t xml:space="preserve"> </w:t>
      </w:r>
      <w:r w:rsidRPr="003D2498">
        <w:rPr>
          <w:szCs w:val="20"/>
        </w:rPr>
        <w:t>record</w:t>
      </w:r>
      <w:r>
        <w:rPr>
          <w:szCs w:val="20"/>
        </w:rPr>
        <w:t xml:space="preserve"> </w:t>
      </w:r>
      <w:r w:rsidRPr="003D2498">
        <w:rPr>
          <w:szCs w:val="20"/>
        </w:rPr>
        <w:t>discloses</w:t>
      </w:r>
      <w:r>
        <w:rPr>
          <w:szCs w:val="20"/>
        </w:rPr>
        <w:t xml:space="preserve"> </w:t>
      </w:r>
      <w:r w:rsidRPr="003D2498">
        <w:rPr>
          <w:szCs w:val="20"/>
        </w:rPr>
        <w:t>that</w:t>
      </w:r>
      <w:r>
        <w:rPr>
          <w:szCs w:val="20"/>
        </w:rPr>
        <w:t xml:space="preserve"> </w:t>
      </w:r>
      <w:r w:rsidRPr="003D2498">
        <w:rPr>
          <w:szCs w:val="20"/>
        </w:rPr>
        <w:t>its</w:t>
      </w:r>
      <w:r>
        <w:rPr>
          <w:szCs w:val="20"/>
        </w:rPr>
        <w:t xml:space="preserve"> </w:t>
      </w:r>
      <w:r w:rsidRPr="003D2498">
        <w:rPr>
          <w:szCs w:val="20"/>
        </w:rPr>
        <w:t>action</w:t>
      </w:r>
      <w:r>
        <w:rPr>
          <w:szCs w:val="20"/>
        </w:rPr>
        <w:t xml:space="preserve"> </w:t>
      </w:r>
      <w:r w:rsidRPr="003D2498">
        <w:rPr>
          <w:szCs w:val="20"/>
        </w:rPr>
        <w:t>was</w:t>
      </w:r>
      <w:r>
        <w:rPr>
          <w:szCs w:val="20"/>
        </w:rPr>
        <w:t xml:space="preserve"> </w:t>
      </w:r>
      <w:r w:rsidRPr="003D2498">
        <w:rPr>
          <w:szCs w:val="20"/>
        </w:rPr>
        <w:t>based.”</w:t>
      </w:r>
      <w:r>
        <w:rPr>
          <w:szCs w:val="20"/>
        </w:rPr>
        <w:t xml:space="preserve"> </w:t>
      </w:r>
      <w:r w:rsidRPr="003D2498">
        <w:rPr>
          <w:szCs w:val="20"/>
        </w:rPr>
        <w:t>(quoting</w:t>
      </w:r>
      <w:r>
        <w:rPr>
          <w:szCs w:val="20"/>
        </w:rPr>
        <w:t xml:space="preserve"> </w:t>
      </w:r>
      <w:r w:rsidRPr="003D2498">
        <w:rPr>
          <w:szCs w:val="20"/>
          <w:u w:val="single"/>
        </w:rPr>
        <w:t>Chenery</w:t>
      </w:r>
      <w:r w:rsidRPr="003D2498">
        <w:rPr>
          <w:szCs w:val="20"/>
        </w:rPr>
        <w:t>,</w:t>
      </w:r>
      <w:r>
        <w:rPr>
          <w:szCs w:val="20"/>
        </w:rPr>
        <w:t xml:space="preserve"> </w:t>
      </w:r>
      <w:r w:rsidRPr="003D2498">
        <w:rPr>
          <w:szCs w:val="20"/>
        </w:rPr>
        <w:t>318</w:t>
      </w:r>
      <w:r>
        <w:rPr>
          <w:szCs w:val="20"/>
        </w:rPr>
        <w:t xml:space="preserve"> </w:t>
      </w:r>
      <w:r w:rsidRPr="003D2498">
        <w:rPr>
          <w:szCs w:val="20"/>
        </w:rPr>
        <w:t>U.S.</w:t>
      </w:r>
      <w:r>
        <w:rPr>
          <w:szCs w:val="20"/>
        </w:rPr>
        <w:t xml:space="preserve"> </w:t>
      </w:r>
      <w:r w:rsidRPr="003D2498">
        <w:rPr>
          <w:szCs w:val="20"/>
        </w:rPr>
        <w:t>at</w:t>
      </w:r>
      <w:r>
        <w:rPr>
          <w:szCs w:val="20"/>
        </w:rPr>
        <w:t xml:space="preserve"> </w:t>
      </w:r>
      <w:r w:rsidRPr="003D2498">
        <w:rPr>
          <w:szCs w:val="20"/>
        </w:rPr>
        <w:t>87)).</w:t>
      </w:r>
    </w:p>
    <w:p w:rsidR="007649DB" w:rsidRDefault="007649DB" w:rsidP="007649DB">
      <w:pPr>
        <w:pStyle w:val="QS10"/>
        <w:rPr>
          <w:szCs w:val="20"/>
        </w:rPr>
      </w:pPr>
      <w:r w:rsidRPr="003D2498">
        <w:rPr>
          <w:szCs w:val="20"/>
        </w:rPr>
        <w:t>The</w:t>
      </w:r>
      <w:r>
        <w:rPr>
          <w:szCs w:val="20"/>
        </w:rPr>
        <w:t xml:space="preserve"> </w:t>
      </w:r>
      <w:r w:rsidRPr="003D2498">
        <w:rPr>
          <w:szCs w:val="20"/>
        </w:rPr>
        <w:t>majority</w:t>
      </w:r>
      <w:r>
        <w:rPr>
          <w:szCs w:val="20"/>
        </w:rPr>
        <w:t xml:space="preserve"> </w:t>
      </w:r>
      <w:r w:rsidRPr="003D2498">
        <w:rPr>
          <w:szCs w:val="20"/>
        </w:rPr>
        <w:t>today</w:t>
      </w:r>
      <w:r>
        <w:rPr>
          <w:szCs w:val="20"/>
        </w:rPr>
        <w:t xml:space="preserve"> </w:t>
      </w:r>
      <w:r w:rsidRPr="003D2498">
        <w:rPr>
          <w:szCs w:val="20"/>
        </w:rPr>
        <w:t>comes</w:t>
      </w:r>
      <w:r>
        <w:rPr>
          <w:szCs w:val="20"/>
        </w:rPr>
        <w:t xml:space="preserve"> </w:t>
      </w:r>
      <w:r w:rsidRPr="003D2498">
        <w:rPr>
          <w:szCs w:val="20"/>
        </w:rPr>
        <w:t>up</w:t>
      </w:r>
      <w:r>
        <w:rPr>
          <w:szCs w:val="20"/>
        </w:rPr>
        <w:t xml:space="preserve"> </w:t>
      </w:r>
      <w:r w:rsidRPr="003D2498">
        <w:rPr>
          <w:szCs w:val="20"/>
        </w:rPr>
        <w:t>with</w:t>
      </w:r>
      <w:r>
        <w:rPr>
          <w:szCs w:val="20"/>
        </w:rPr>
        <w:t xml:space="preserve"> </w:t>
      </w:r>
      <w:r w:rsidRPr="003D2498">
        <w:rPr>
          <w:szCs w:val="20"/>
        </w:rPr>
        <w:t>as</w:t>
      </w:r>
      <w:r>
        <w:rPr>
          <w:szCs w:val="20"/>
        </w:rPr>
        <w:t xml:space="preserve"> </w:t>
      </w:r>
      <w:r w:rsidRPr="003D2498">
        <w:rPr>
          <w:szCs w:val="20"/>
        </w:rPr>
        <w:t>good</w:t>
      </w:r>
      <w:r>
        <w:rPr>
          <w:szCs w:val="20"/>
        </w:rPr>
        <w:t xml:space="preserve"> </w:t>
      </w:r>
      <w:r w:rsidRPr="003D2498">
        <w:rPr>
          <w:szCs w:val="20"/>
        </w:rPr>
        <w:t>a</w:t>
      </w:r>
      <w:r>
        <w:rPr>
          <w:szCs w:val="20"/>
        </w:rPr>
        <w:t xml:space="preserve"> </w:t>
      </w:r>
      <w:r w:rsidRPr="003D2498">
        <w:rPr>
          <w:szCs w:val="20"/>
        </w:rPr>
        <w:t>set</w:t>
      </w:r>
      <w:r>
        <w:rPr>
          <w:szCs w:val="20"/>
        </w:rPr>
        <w:t xml:space="preserve"> </w:t>
      </w:r>
      <w:r w:rsidRPr="003D2498">
        <w:rPr>
          <w:szCs w:val="20"/>
        </w:rPr>
        <w:t>of</w:t>
      </w:r>
      <w:r>
        <w:rPr>
          <w:szCs w:val="20"/>
        </w:rPr>
        <w:t xml:space="preserve"> </w:t>
      </w:r>
      <w:r w:rsidRPr="003D2498">
        <w:rPr>
          <w:szCs w:val="20"/>
        </w:rPr>
        <w:t>arguments</w:t>
      </w:r>
      <w:r>
        <w:rPr>
          <w:szCs w:val="20"/>
        </w:rPr>
        <w:t xml:space="preserve"> </w:t>
      </w:r>
      <w:r w:rsidRPr="003D2498">
        <w:rPr>
          <w:szCs w:val="20"/>
        </w:rPr>
        <w:t>as</w:t>
      </w:r>
      <w:r>
        <w:rPr>
          <w:szCs w:val="20"/>
        </w:rPr>
        <w:t xml:space="preserve"> </w:t>
      </w:r>
      <w:r w:rsidRPr="003D2498">
        <w:rPr>
          <w:szCs w:val="20"/>
        </w:rPr>
        <w:t>possible</w:t>
      </w:r>
      <w:r>
        <w:rPr>
          <w:szCs w:val="20"/>
        </w:rPr>
        <w:t xml:space="preserve"> </w:t>
      </w:r>
      <w:r w:rsidRPr="003D2498">
        <w:rPr>
          <w:szCs w:val="20"/>
        </w:rPr>
        <w:t>to</w:t>
      </w:r>
      <w:r>
        <w:rPr>
          <w:szCs w:val="20"/>
        </w:rPr>
        <w:t xml:space="preserve"> </w:t>
      </w:r>
      <w:r w:rsidRPr="003D2498">
        <w:rPr>
          <w:szCs w:val="20"/>
        </w:rPr>
        <w:t>justify</w:t>
      </w:r>
      <w:r>
        <w:rPr>
          <w:szCs w:val="20"/>
        </w:rPr>
        <w:t xml:space="preserve"> </w:t>
      </w:r>
      <w:r w:rsidRPr="003D2498">
        <w:rPr>
          <w:szCs w:val="20"/>
        </w:rPr>
        <w:t>the</w:t>
      </w:r>
      <w:r>
        <w:rPr>
          <w:szCs w:val="20"/>
        </w:rPr>
        <w:t xml:space="preserve"> </w:t>
      </w:r>
      <w:r w:rsidRPr="003D2498">
        <w:rPr>
          <w:szCs w:val="20"/>
        </w:rPr>
        <w:t>reasonableness</w:t>
      </w:r>
      <w:r>
        <w:rPr>
          <w:szCs w:val="20"/>
        </w:rPr>
        <w:t xml:space="preserve"> </w:t>
      </w:r>
      <w:r w:rsidRPr="003D2498">
        <w:rPr>
          <w:szCs w:val="20"/>
        </w:rPr>
        <w:t>of</w:t>
      </w:r>
      <w:r>
        <w:rPr>
          <w:szCs w:val="20"/>
        </w:rPr>
        <w:t xml:space="preserve"> </w:t>
      </w:r>
      <w:r w:rsidRPr="003D2498">
        <w:rPr>
          <w:szCs w:val="20"/>
        </w:rPr>
        <w:t>the</w:t>
      </w:r>
      <w:r>
        <w:rPr>
          <w:szCs w:val="20"/>
        </w:rPr>
        <w:t xml:space="preserve"> </w:t>
      </w:r>
      <w:r w:rsidRPr="003D2498">
        <w:rPr>
          <w:szCs w:val="20"/>
        </w:rPr>
        <w:t>regulatory</w:t>
      </w:r>
      <w:r>
        <w:rPr>
          <w:szCs w:val="20"/>
        </w:rPr>
        <w:t xml:space="preserve"> </w:t>
      </w:r>
      <w:r w:rsidRPr="003D2498">
        <w:rPr>
          <w:szCs w:val="20"/>
        </w:rPr>
        <w:t>choices</w:t>
      </w:r>
      <w:r>
        <w:rPr>
          <w:szCs w:val="20"/>
        </w:rPr>
        <w:t xml:space="preserve"> </w:t>
      </w:r>
      <w:r w:rsidRPr="003D2498">
        <w:rPr>
          <w:szCs w:val="20"/>
        </w:rPr>
        <w:t>that</w:t>
      </w:r>
      <w:r>
        <w:rPr>
          <w:szCs w:val="20"/>
        </w:rPr>
        <w:t xml:space="preserve"> </w:t>
      </w:r>
      <w:r w:rsidRPr="003D2498">
        <w:rPr>
          <w:szCs w:val="20"/>
        </w:rPr>
        <w:t>Treasury</w:t>
      </w:r>
      <w:r>
        <w:rPr>
          <w:szCs w:val="20"/>
        </w:rPr>
        <w:t xml:space="preserve"> </w:t>
      </w:r>
      <w:r w:rsidRPr="003D2498">
        <w:rPr>
          <w:szCs w:val="20"/>
        </w:rPr>
        <w:t>made</w:t>
      </w:r>
      <w:r>
        <w:rPr>
          <w:szCs w:val="20"/>
        </w:rPr>
        <w:t xml:space="preserve"> </w:t>
      </w:r>
      <w:r w:rsidRPr="003D2498">
        <w:rPr>
          <w:szCs w:val="20"/>
        </w:rPr>
        <w:t>when</w:t>
      </w:r>
      <w:r>
        <w:rPr>
          <w:szCs w:val="20"/>
        </w:rPr>
        <w:t xml:space="preserve"> </w:t>
      </w:r>
      <w:r w:rsidRPr="003D2498">
        <w:rPr>
          <w:szCs w:val="20"/>
        </w:rPr>
        <w:t>it</w:t>
      </w:r>
      <w:r>
        <w:rPr>
          <w:szCs w:val="20"/>
        </w:rPr>
        <w:t xml:space="preserve"> </w:t>
      </w:r>
      <w:r w:rsidRPr="003D2498">
        <w:rPr>
          <w:szCs w:val="20"/>
        </w:rPr>
        <w:t>was</w:t>
      </w:r>
      <w:r>
        <w:rPr>
          <w:szCs w:val="20"/>
        </w:rPr>
        <w:t xml:space="preserve"> </w:t>
      </w:r>
      <w:r w:rsidRPr="003D2498">
        <w:rPr>
          <w:szCs w:val="20"/>
        </w:rPr>
        <w:t>drafting</w:t>
      </w:r>
      <w:r>
        <w:rPr>
          <w:szCs w:val="20"/>
        </w:rPr>
        <w:t xml:space="preserve"> </w:t>
      </w:r>
      <w:r w:rsidRPr="003D2498">
        <w:rPr>
          <w:szCs w:val="20"/>
        </w:rPr>
        <w:t>this</w:t>
      </w:r>
      <w:r>
        <w:rPr>
          <w:szCs w:val="20"/>
        </w:rPr>
        <w:t xml:space="preserve"> </w:t>
      </w:r>
      <w:r w:rsidRPr="003D2498">
        <w:rPr>
          <w:szCs w:val="20"/>
        </w:rPr>
        <w:t>regulation.</w:t>
      </w:r>
      <w:r>
        <w:rPr>
          <w:szCs w:val="20"/>
        </w:rPr>
        <w:t xml:space="preserve"> </w:t>
      </w:r>
      <w:r w:rsidRPr="003D2498">
        <w:rPr>
          <w:szCs w:val="20"/>
        </w:rPr>
        <w:t>But</w:t>
      </w:r>
      <w:r>
        <w:rPr>
          <w:szCs w:val="20"/>
        </w:rPr>
        <w:t xml:space="preserve"> </w:t>
      </w:r>
      <w:r w:rsidRPr="003D2498">
        <w:rPr>
          <w:szCs w:val="20"/>
        </w:rPr>
        <w:t>Treasury</w:t>
      </w:r>
      <w:r>
        <w:rPr>
          <w:szCs w:val="20"/>
        </w:rPr>
        <w:t xml:space="preserve"> </w:t>
      </w:r>
      <w:r w:rsidRPr="003D2498">
        <w:rPr>
          <w:szCs w:val="20"/>
        </w:rPr>
        <w:t>didn’t</w:t>
      </w:r>
      <w:r>
        <w:rPr>
          <w:szCs w:val="20"/>
        </w:rPr>
        <w:t xml:space="preserve"> </w:t>
      </w:r>
      <w:r w:rsidRPr="003D2498">
        <w:rPr>
          <w:szCs w:val="20"/>
        </w:rPr>
        <w:t>make</w:t>
      </w:r>
      <w:r>
        <w:rPr>
          <w:szCs w:val="20"/>
        </w:rPr>
        <w:t xml:space="preserve"> </w:t>
      </w:r>
      <w:r w:rsidRPr="003D2498">
        <w:rPr>
          <w:szCs w:val="20"/>
        </w:rPr>
        <w:t>them.</w:t>
      </w:r>
      <w:r>
        <w:rPr>
          <w:szCs w:val="20"/>
        </w:rPr>
        <w:t xml:space="preserve"> </w:t>
      </w:r>
      <w:r w:rsidRPr="003D2498">
        <w:rPr>
          <w:szCs w:val="20"/>
        </w:rPr>
        <w:t>Or</w:t>
      </w:r>
      <w:r>
        <w:rPr>
          <w:szCs w:val="20"/>
        </w:rPr>
        <w:t xml:space="preserve"> </w:t>
      </w:r>
      <w:r w:rsidRPr="003D2498">
        <w:rPr>
          <w:szCs w:val="20"/>
        </w:rPr>
        <w:t>at</w:t>
      </w:r>
      <w:r>
        <w:rPr>
          <w:szCs w:val="20"/>
        </w:rPr>
        <w:t xml:space="preserve"> </w:t>
      </w:r>
      <w:r w:rsidRPr="003D2498">
        <w:rPr>
          <w:szCs w:val="20"/>
        </w:rPr>
        <w:t>least</w:t>
      </w:r>
      <w:r>
        <w:rPr>
          <w:szCs w:val="20"/>
        </w:rPr>
        <w:t xml:space="preserve"> </w:t>
      </w:r>
      <w:r w:rsidRPr="003D2498">
        <w:rPr>
          <w:szCs w:val="20"/>
        </w:rPr>
        <w:t>it</w:t>
      </w:r>
      <w:r>
        <w:rPr>
          <w:szCs w:val="20"/>
        </w:rPr>
        <w:t xml:space="preserve"> </w:t>
      </w:r>
      <w:r w:rsidRPr="003D2498">
        <w:rPr>
          <w:szCs w:val="20"/>
        </w:rPr>
        <w:t>didn’t</w:t>
      </w:r>
      <w:r>
        <w:rPr>
          <w:szCs w:val="20"/>
        </w:rPr>
        <w:t xml:space="preserve"> </w:t>
      </w:r>
      <w:r w:rsidRPr="003D2498">
        <w:rPr>
          <w:szCs w:val="20"/>
        </w:rPr>
        <w:t>make</w:t>
      </w:r>
      <w:r>
        <w:rPr>
          <w:szCs w:val="20"/>
        </w:rPr>
        <w:t xml:space="preserve"> </w:t>
      </w:r>
      <w:r w:rsidRPr="003D2498">
        <w:rPr>
          <w:szCs w:val="20"/>
        </w:rPr>
        <w:t>them</w:t>
      </w:r>
      <w:r>
        <w:rPr>
          <w:szCs w:val="20"/>
        </w:rPr>
        <w:t xml:space="preserve"> </w:t>
      </w:r>
      <w:r w:rsidRPr="003D2498">
        <w:rPr>
          <w:szCs w:val="20"/>
        </w:rPr>
        <w:t>in</w:t>
      </w:r>
      <w:r>
        <w:rPr>
          <w:szCs w:val="20"/>
        </w:rPr>
        <w:t xml:space="preserve"> </w:t>
      </w:r>
      <w:r w:rsidRPr="003D2498">
        <w:rPr>
          <w:szCs w:val="20"/>
        </w:rPr>
        <w:t>the</w:t>
      </w:r>
      <w:r>
        <w:rPr>
          <w:szCs w:val="20"/>
        </w:rPr>
        <w:t xml:space="preserve"> </w:t>
      </w:r>
      <w:r w:rsidRPr="003D2498">
        <w:rPr>
          <w:szCs w:val="20"/>
        </w:rPr>
        <w:t>administrative</w:t>
      </w:r>
      <w:r>
        <w:rPr>
          <w:szCs w:val="20"/>
        </w:rPr>
        <w:t xml:space="preserve"> </w:t>
      </w:r>
      <w:r w:rsidRPr="003D2498">
        <w:rPr>
          <w:szCs w:val="20"/>
        </w:rPr>
        <w:t>record</w:t>
      </w:r>
      <w:r>
        <w:rPr>
          <w:szCs w:val="20"/>
        </w:rPr>
        <w:t xml:space="preserve"> </w:t>
      </w:r>
      <w:r w:rsidRPr="003D2498">
        <w:rPr>
          <w:szCs w:val="20"/>
        </w:rPr>
        <w:t>of</w:t>
      </w:r>
      <w:r>
        <w:rPr>
          <w:szCs w:val="20"/>
        </w:rPr>
        <w:t xml:space="preserve"> </w:t>
      </w:r>
      <w:r w:rsidRPr="003D2498">
        <w:rPr>
          <w:szCs w:val="20"/>
        </w:rPr>
        <w:t>this</w:t>
      </w:r>
      <w:r>
        <w:rPr>
          <w:szCs w:val="20"/>
        </w:rPr>
        <w:t xml:space="preserve"> </w:t>
      </w:r>
      <w:r w:rsidRPr="003D2498">
        <w:rPr>
          <w:szCs w:val="20"/>
        </w:rPr>
        <w:t>regulation.</w:t>
      </w:r>
    </w:p>
    <w:p w:rsidR="00397C1C" w:rsidRDefault="00397C1C" w:rsidP="00397C1C">
      <w:pPr>
        <w:pStyle w:val="Body15"/>
        <w:spacing w:before="240"/>
        <w:rPr>
          <w:szCs w:val="20"/>
        </w:rPr>
      </w:pPr>
      <w:r>
        <w:rPr>
          <w:szCs w:val="20"/>
        </w:rPr>
        <w:t xml:space="preserve">The Eleventh Circuit in </w:t>
      </w:r>
      <w:r>
        <w:rPr>
          <w:szCs w:val="20"/>
          <w:u w:val="single"/>
        </w:rPr>
        <w:t>Tot Property Holdings, LLC v. Commissioner</w:t>
      </w:r>
      <w:r>
        <w:rPr>
          <w:szCs w:val="20"/>
        </w:rPr>
        <w:t xml:space="preserve">, </w:t>
      </w:r>
      <w:r w:rsidR="00EB19C7" w:rsidRPr="00EB19C7">
        <w:rPr>
          <w:szCs w:val="20"/>
        </w:rPr>
        <w:t>2021 WL 2559088</w:t>
      </w:r>
      <w:r>
        <w:rPr>
          <w:szCs w:val="20"/>
        </w:rPr>
        <w:t xml:space="preserve"> (11</w:t>
      </w:r>
      <w:r w:rsidRPr="00397C1C">
        <w:rPr>
          <w:szCs w:val="20"/>
          <w:vertAlign w:val="superscript"/>
        </w:rPr>
        <w:t>th</w:t>
      </w:r>
      <w:r>
        <w:rPr>
          <w:szCs w:val="20"/>
        </w:rPr>
        <w:t xml:space="preserve"> Cir. 2021) upheld the Tax Court’s determination that a savings clause in the easement deed could not save the deduction.  The opinion states:</w:t>
      </w:r>
    </w:p>
    <w:p w:rsidR="00C21F7A" w:rsidRPr="00C21F7A" w:rsidRDefault="00C21F7A" w:rsidP="00C21F7A">
      <w:pPr>
        <w:pStyle w:val="QS10"/>
        <w:rPr>
          <w:color w:val="000000" w:themeColor="text1"/>
          <w:szCs w:val="20"/>
        </w:rPr>
      </w:pPr>
      <w:r w:rsidRPr="00C21F7A">
        <w:rPr>
          <w:color w:val="000000" w:themeColor="text1"/>
          <w:szCs w:val="20"/>
        </w:rPr>
        <w:t>Section 9 of the deed governs extinguishment and condemnation of the easement. Section 9.1, the extinguishment section, states:</w:t>
      </w:r>
    </w:p>
    <w:p w:rsidR="00C21F7A" w:rsidRPr="00C21F7A" w:rsidRDefault="00C21F7A" w:rsidP="00C21F7A">
      <w:pPr>
        <w:pStyle w:val="QS10"/>
        <w:ind w:left="2160"/>
        <w:rPr>
          <w:color w:val="000000" w:themeColor="text1"/>
          <w:szCs w:val="20"/>
        </w:rPr>
      </w:pPr>
      <w:r w:rsidRPr="00C21F7A">
        <w:rPr>
          <w:color w:val="000000" w:themeColor="text1"/>
          <w:szCs w:val="20"/>
        </w:rPr>
        <w:t>If circumstances arise in the future that render the purpose of this Easement impossible to accomplish, the Easement can only be terminated or extinguished, whether in whole or in part, by judicial proceedings in a court of competent jurisdiction. The amount of the proceeds to which Grantee shall be entitled from any sale, exchange, or involuntary conversion of all or any portion of the Property subsequent to such termination or extinguishment, shall be the stipulated fair market value of this Easement, or proportionate part thereof, as determined in accordance with Section 9.2 or 26 C.F.R. Section 1.170A-14, if different.</w:t>
      </w:r>
    </w:p>
    <w:p w:rsidR="00C21F7A" w:rsidRPr="00C21F7A" w:rsidRDefault="00C21F7A" w:rsidP="00C21F7A">
      <w:pPr>
        <w:pStyle w:val="QS10"/>
        <w:rPr>
          <w:color w:val="000000" w:themeColor="text1"/>
          <w:szCs w:val="20"/>
        </w:rPr>
      </w:pPr>
      <w:r w:rsidRPr="00C21F7A">
        <w:rPr>
          <w:color w:val="000000" w:themeColor="text1"/>
          <w:szCs w:val="20"/>
        </w:rPr>
        <w:t>Section 9.2 of the deed is entitled “Valuation.” The easement is a real property interest immediately vested in Foothills. According to Sections 9.1 and 9.2, the stipulated fair market value of the easement at the time of such future extinguishment (which will determine the “amount of the proceeds to which Grantee shall be entitled”) shall be determined by (as stated in Section 9.2):</w:t>
      </w:r>
    </w:p>
    <w:p w:rsidR="00C21F7A" w:rsidRPr="00C21F7A" w:rsidRDefault="00C21F7A" w:rsidP="00C21F7A">
      <w:pPr>
        <w:pStyle w:val="QS10"/>
        <w:ind w:left="2160"/>
        <w:rPr>
          <w:color w:val="000000" w:themeColor="text1"/>
          <w:szCs w:val="20"/>
        </w:rPr>
      </w:pPr>
      <w:r w:rsidRPr="00C21F7A">
        <w:rPr>
          <w:color w:val="000000" w:themeColor="text1"/>
          <w:szCs w:val="20"/>
        </w:rPr>
        <w:t>multiplying (a) the fair market value of the Property unencumbered by this Easement (minus any increase in value after the date of this grant attributable to improvements) by (b) a fraction, the numerator of which is the value of this Easement at the time of the grant and the denominator of which is the value of the Property without deduction of the value of this Easement at the time of this grant.</w:t>
      </w:r>
    </w:p>
    <w:p w:rsidR="00C21F7A" w:rsidRDefault="00C21F7A" w:rsidP="00C21F7A">
      <w:pPr>
        <w:pStyle w:val="QS10"/>
        <w:rPr>
          <w:color w:val="000000" w:themeColor="text1"/>
          <w:szCs w:val="20"/>
        </w:rPr>
      </w:pPr>
      <w:r w:rsidRPr="00C21F7A">
        <w:rPr>
          <w:color w:val="000000" w:themeColor="text1"/>
          <w:szCs w:val="20"/>
        </w:rPr>
        <w:t>In other words, this Section 9.2 formula provides that, upon any such future extinguishment (e.g. condemnation), the proceeds (e.g. proceeds of the condemnation) shall be reduced by “any increase in value after the date of this grant attributable to improvements,” and then the charitable donee's share would be determined by multiplying that reduced amount times the defined fraction. And the numerator and denominator of the fraction are the value, respectively, of the easement and unencumbered property at the time of the grant. Section 9.2 then concludes as follows: “It is intended that this Section 9.2 be interpreted to adhere to and be consistent with 26 C.F.R. Section 1.170A-14(g)(6)(ii).”</w:t>
      </w:r>
    </w:p>
    <w:p w:rsidR="00397C1C" w:rsidRDefault="00397C1C" w:rsidP="00C21F7A">
      <w:pPr>
        <w:pStyle w:val="QS10"/>
        <w:jc w:val="center"/>
        <w:rPr>
          <w:szCs w:val="20"/>
        </w:rPr>
      </w:pPr>
      <w:r>
        <w:rPr>
          <w:szCs w:val="20"/>
        </w:rPr>
        <w:t>* * *</w:t>
      </w:r>
    </w:p>
    <w:p w:rsidR="00C21F7A" w:rsidRDefault="00C21F7A" w:rsidP="00C21F7A">
      <w:pPr>
        <w:pStyle w:val="QS10"/>
        <w:rPr>
          <w:color w:val="000000" w:themeColor="text1"/>
          <w:szCs w:val="20"/>
        </w:rPr>
      </w:pPr>
      <w:r w:rsidRPr="00C21F7A">
        <w:rPr>
          <w:color w:val="000000" w:themeColor="text1"/>
          <w:szCs w:val="20"/>
        </w:rPr>
        <w:t>The dispositive question for whether the taxpayer may claim a deduction in this case is whether the Treasury Regulation Override provisions in Section 9 of the easement deed are impermissible savings clauses that are triggered by a condition subsequent, on the one hand, or valid interpretive provisions, on the other. If the former, the deed is not in compliance with 26 C.F.R. § 1.170A-14, no deduction can be claimed, and we must affirm the Tax Court on this issue. If the latter, it is at least arguable that the deed complies.</w:t>
      </w:r>
    </w:p>
    <w:p w:rsidR="00397C1C" w:rsidRDefault="00397C1C" w:rsidP="00C21F7A">
      <w:pPr>
        <w:pStyle w:val="QS10"/>
        <w:jc w:val="center"/>
        <w:rPr>
          <w:szCs w:val="20"/>
        </w:rPr>
      </w:pPr>
      <w:r>
        <w:rPr>
          <w:szCs w:val="20"/>
        </w:rPr>
        <w:t>* * *</w:t>
      </w:r>
    </w:p>
    <w:p w:rsidR="00C21F7A" w:rsidRPr="00C21F7A" w:rsidRDefault="00C21F7A" w:rsidP="00C21F7A">
      <w:pPr>
        <w:pStyle w:val="QS10"/>
        <w:rPr>
          <w:color w:val="000000" w:themeColor="text1"/>
          <w:szCs w:val="20"/>
        </w:rPr>
      </w:pPr>
      <w:r w:rsidRPr="00C21F7A">
        <w:rPr>
          <w:color w:val="000000" w:themeColor="text1"/>
          <w:szCs w:val="20"/>
        </w:rPr>
        <w:t>Appellants attempt to circumvent the problem of inconsistency of Section 9.2 with the requirements of the regulation, and the resulting disallowance of their deduction, by relying on the Treasury Regulation Override provisions of Sections 9.1 and 9.2. They argue that, pursuant to those provisions, the amount of the proceeds to which Foothills is entitled shall be “determined in accordance with Section 9.2 or 26 C.F.R Section 1.170A-14, if different,” and “[i]t is intended that this Section 9.2 be interpreted to adhere to and be consistent with 26 C.F.R. Section 1.170A-14(g)(6)(ii).” Appellants' argument is that these provisions are interpretive tools that operate to require proceeds to be distributed in compliance with 26 C.F.R § 1.170A-14. Because the formula in Section 9.2—the preferred alternative to applying § 1.170A-14, according to the deed—is, in fact, “different” from the regulatory formula and the deed requires the regulations to always control, TOT argues that we must interpret the deed to comply with the regulation.</w:t>
      </w:r>
    </w:p>
    <w:p w:rsidR="00C21F7A" w:rsidRPr="00C21F7A" w:rsidRDefault="00C21F7A" w:rsidP="00C21F7A">
      <w:pPr>
        <w:pStyle w:val="QS10"/>
        <w:rPr>
          <w:color w:val="000000" w:themeColor="text1"/>
          <w:szCs w:val="20"/>
        </w:rPr>
      </w:pPr>
      <w:r w:rsidRPr="00C21F7A">
        <w:rPr>
          <w:color w:val="000000" w:themeColor="text1"/>
          <w:szCs w:val="20"/>
        </w:rPr>
        <w:t>TOT argues that the Tax Court erred in holding that the Treasury Regulation Override provisions were not interpretive and contained a “condition subsequent savings clause.” Whether the donation of the conservation easement is deductible, thus, turns on whether the Override provisions in the easement deed are unenforceable savings clauses, rather than valid interpretive provisions. We turn next to discuss the distinction between a condition subsequent savings clause, on the one hand, and a merely interpretive clause on the other hand.</w:t>
      </w:r>
    </w:p>
    <w:p w:rsidR="00A32861" w:rsidRDefault="00A32861">
      <w:pPr>
        <w:rPr>
          <w:bCs w:val="0"/>
          <w:szCs w:val="20"/>
        </w:rPr>
      </w:pPr>
      <w:r>
        <w:rPr>
          <w:szCs w:val="20"/>
        </w:rPr>
        <w:br w:type="page"/>
      </w:r>
    </w:p>
    <w:p w:rsidR="00397C1C" w:rsidRDefault="00397C1C" w:rsidP="00397C1C">
      <w:pPr>
        <w:pStyle w:val="Body15"/>
        <w:spacing w:before="240"/>
        <w:rPr>
          <w:szCs w:val="20"/>
        </w:rPr>
      </w:pPr>
      <w:r>
        <w:rPr>
          <w:szCs w:val="20"/>
        </w:rPr>
        <w:t>The court concluded the cl</w:t>
      </w:r>
      <w:r w:rsidR="00E458E3">
        <w:rPr>
          <w:szCs w:val="20"/>
        </w:rPr>
        <w:t>ause in question is a condition-</w:t>
      </w:r>
      <w:r>
        <w:rPr>
          <w:szCs w:val="20"/>
        </w:rPr>
        <w:t>subsequent savings clause:</w:t>
      </w:r>
    </w:p>
    <w:p w:rsidR="00E458E3" w:rsidRPr="00E458E3" w:rsidRDefault="00E458E3" w:rsidP="00E458E3">
      <w:pPr>
        <w:pStyle w:val="QS10"/>
        <w:rPr>
          <w:color w:val="000000" w:themeColor="text1"/>
          <w:szCs w:val="20"/>
        </w:rPr>
      </w:pPr>
      <w:r w:rsidRPr="00E458E3">
        <w:rPr>
          <w:color w:val="000000" w:themeColor="text1"/>
          <w:szCs w:val="20"/>
          <w:u w:val="single"/>
        </w:rPr>
        <w:t>First</w:t>
      </w:r>
      <w:r w:rsidRPr="00E458E3">
        <w:rPr>
          <w:color w:val="000000" w:themeColor="text1"/>
          <w:szCs w:val="20"/>
        </w:rPr>
        <w:t>, the formula in Section 9.2 of the easement deed is unambiguous. It plainly and unambiguously provides that the required fraction, or proportionate share, shall be applied to the sales proceeds “minus any increase in value after the date of th[e] grant attributable to improvements.” Juxtaposed against the deed's alternative formula—that in 26 C.F.R. § 1.170A-14(g)(6)(ii)—Section 9.2's subtraction of the value of property improvements is stark. As in </w:t>
      </w:r>
      <w:r w:rsidRPr="00E458E3">
        <w:rPr>
          <w:color w:val="000000" w:themeColor="text1"/>
          <w:szCs w:val="20"/>
          <w:u w:val="single"/>
        </w:rPr>
        <w:t>Belk</w:t>
      </w:r>
      <w:r w:rsidRPr="00E458E3">
        <w:rPr>
          <w:color w:val="000000" w:themeColor="text1"/>
          <w:szCs w:val="20"/>
        </w:rPr>
        <w:t>, therefore, “[t]here is no open interpretive question for the savings clause to ‘help’ clarify.” 774 F.3d at 230. Rather, Section 9.2 unambiguously provides that the value attributable to improvements will be subtracted from condemnation proceeds before the required fraction is applied.</w:t>
      </w:r>
    </w:p>
    <w:p w:rsidR="00E458E3" w:rsidRPr="00E458E3" w:rsidRDefault="00E458E3" w:rsidP="00E458E3">
      <w:pPr>
        <w:pStyle w:val="QS10"/>
        <w:rPr>
          <w:color w:val="000000" w:themeColor="text1"/>
          <w:szCs w:val="20"/>
        </w:rPr>
      </w:pPr>
      <w:r w:rsidRPr="00E458E3">
        <w:rPr>
          <w:color w:val="000000" w:themeColor="text1"/>
          <w:szCs w:val="20"/>
          <w:u w:val="single"/>
        </w:rPr>
        <w:t>Second</w:t>
      </w:r>
      <w:r w:rsidRPr="00E458E3">
        <w:rPr>
          <w:color w:val="000000" w:themeColor="text1"/>
          <w:szCs w:val="20"/>
        </w:rPr>
        <w:t>, the operation of the Treasury Regulation Override provisions in this case means that the preferred formula—expressly described in the easement deed in Section 9.2—is simply nullified. Again, Section 9.1 defines the fair market value of Foothills's proceeds “as determined in accordance with Section 9.2 or 26 C.F.R Section 1.170A-14, if different.” Thus, Section 9.1 clearly states that Section 9.2's formula applies; it is first in the provision and has no condition attached to it. Then, the provision continues to contemplate the regulation's application, but its application is conditional. That is, the application of the regulation is conditioned on whether it is “different” from the plain text of the express formula in the easement deed in Section 9.2. If it is “different,” the Override operates to simply rewrite the easement deed to eliminate the Section 9.2 formula, leaving operative only the regulatory formula. If enforced, then, the Override would then impermissibly “countermand the plain text of the [e]asement [d]eed.” </w:t>
      </w:r>
      <w:r w:rsidRPr="00E458E3">
        <w:rPr>
          <w:color w:val="000000" w:themeColor="text1"/>
          <w:szCs w:val="20"/>
          <w:u w:val="single"/>
        </w:rPr>
        <w:t>Coal Prop.</w:t>
      </w:r>
      <w:r w:rsidRPr="00E458E3">
        <w:rPr>
          <w:color w:val="000000" w:themeColor="text1"/>
          <w:szCs w:val="20"/>
        </w:rPr>
        <w:t>, 153 T.C. at 141; </w:t>
      </w:r>
      <w:r w:rsidRPr="00E458E3">
        <w:rPr>
          <w:color w:val="000000" w:themeColor="text1"/>
          <w:szCs w:val="20"/>
          <w:u w:val="single"/>
        </w:rPr>
        <w:t>e.g.</w:t>
      </w:r>
      <w:r w:rsidRPr="00E458E3">
        <w:rPr>
          <w:color w:val="000000" w:themeColor="text1"/>
          <w:szCs w:val="20"/>
        </w:rPr>
        <w:t>, </w:t>
      </w:r>
      <w:r w:rsidRPr="00E458E3">
        <w:rPr>
          <w:color w:val="000000" w:themeColor="text1"/>
          <w:szCs w:val="20"/>
          <w:u w:val="single"/>
        </w:rPr>
        <w:t>Belk</w:t>
      </w:r>
      <w:r w:rsidRPr="00E458E3">
        <w:rPr>
          <w:color w:val="000000" w:themeColor="text1"/>
          <w:szCs w:val="20"/>
        </w:rPr>
        <w:t>, 774 F.3d at 230 (“Thus, the Belks ask us to employ their savings clause not to aid in determining [their] intent, but to rewrite their Easement in response to our holding. This we will not do.” (internal quotation marks omitted) (citation omitted)).</w:t>
      </w:r>
    </w:p>
    <w:p w:rsidR="00E458E3" w:rsidRDefault="00E458E3" w:rsidP="00E458E3">
      <w:pPr>
        <w:pStyle w:val="QS10"/>
        <w:rPr>
          <w:color w:val="000000" w:themeColor="text1"/>
          <w:szCs w:val="20"/>
        </w:rPr>
      </w:pPr>
      <w:r>
        <w:rPr>
          <w:color w:val="000000" w:themeColor="text1"/>
          <w:szCs w:val="20"/>
          <w:u w:val="single"/>
        </w:rPr>
        <w:t>T</w:t>
      </w:r>
      <w:r w:rsidRPr="00E458E3">
        <w:rPr>
          <w:color w:val="000000" w:themeColor="text1"/>
          <w:szCs w:val="20"/>
          <w:u w:val="single"/>
        </w:rPr>
        <w:t>hird</w:t>
      </w:r>
      <w:r w:rsidRPr="00E458E3">
        <w:rPr>
          <w:color w:val="000000" w:themeColor="text1"/>
          <w:szCs w:val="20"/>
        </w:rPr>
        <w:t>, for the Override to be triggered and for the regulation to apply as the proper formula over Section 9.2's formula, a future event must occur, i.e. a determination that the proper interpretation of the regulation is “different” from the formula set forth in Section 9.2. And, in this sense, Foothills's property right to proceeds “equal to the [regulatory] proportionate value” is not “immediately vested,” 26 C.F.R. § 1.170A-14(g)(6)(ii), as the regulation requires, since the defined right to proceeds—without improvements subtracted out—is conditioned on a subsequent IRS or court determination.</w:t>
      </w:r>
    </w:p>
    <w:p w:rsidR="004C3AC4" w:rsidRDefault="004C3AC4" w:rsidP="00803A76">
      <w:pPr>
        <w:pStyle w:val="Body15"/>
        <w:spacing w:before="240"/>
        <w:rPr>
          <w:color w:val="000000" w:themeColor="text1"/>
          <w:szCs w:val="20"/>
        </w:rPr>
      </w:pPr>
      <w:r>
        <w:rPr>
          <w:color w:val="000000" w:themeColor="text1"/>
          <w:szCs w:val="20"/>
        </w:rPr>
        <w:t xml:space="preserve">An IRS Chief Counsel’s Memorandum released </w:t>
      </w:r>
      <w:r w:rsidRPr="00803A76">
        <w:rPr>
          <w:szCs w:val="20"/>
        </w:rPr>
        <w:t>July</w:t>
      </w:r>
      <w:r>
        <w:rPr>
          <w:color w:val="000000" w:themeColor="text1"/>
          <w:szCs w:val="20"/>
        </w:rPr>
        <w:t xml:space="preserve"> 30, 2021, CCA 202130014, sets forth the government position and offers satisfactory language for easements to adopt</w:t>
      </w:r>
      <w:r w:rsidR="00DF688B">
        <w:rPr>
          <w:color w:val="000000" w:themeColor="text1"/>
          <w:szCs w:val="20"/>
        </w:rPr>
        <w:t xml:space="preserve"> on the extinguishment issue</w:t>
      </w:r>
      <w:r>
        <w:rPr>
          <w:color w:val="000000" w:themeColor="text1"/>
          <w:szCs w:val="20"/>
        </w:rPr>
        <w:t>.  The CCA states:</w:t>
      </w:r>
    </w:p>
    <w:p w:rsidR="004C3AC4" w:rsidRDefault="004C3AC4" w:rsidP="00372EF6">
      <w:pPr>
        <w:autoSpaceDE w:val="0"/>
        <w:autoSpaceDN w:val="0"/>
        <w:adjustRightInd w:val="0"/>
        <w:ind w:left="1440" w:right="1440"/>
        <w:rPr>
          <w:bCs w:val="0"/>
          <w:szCs w:val="20"/>
        </w:rPr>
      </w:pPr>
      <w:r w:rsidRPr="00372EF6">
        <w:rPr>
          <w:bCs w:val="0"/>
          <w:szCs w:val="20"/>
        </w:rPr>
        <w:t>ISSUE</w:t>
      </w:r>
    </w:p>
    <w:p w:rsidR="00372EF6" w:rsidRPr="00372EF6" w:rsidRDefault="00372EF6" w:rsidP="00372EF6">
      <w:pPr>
        <w:autoSpaceDE w:val="0"/>
        <w:autoSpaceDN w:val="0"/>
        <w:adjustRightInd w:val="0"/>
        <w:ind w:left="1440" w:right="1440"/>
        <w:rPr>
          <w:bCs w:val="0"/>
          <w:szCs w:val="20"/>
        </w:rPr>
      </w:pPr>
    </w:p>
    <w:p w:rsidR="004C3AC4" w:rsidRDefault="004C3AC4" w:rsidP="00372EF6">
      <w:pPr>
        <w:autoSpaceDE w:val="0"/>
        <w:autoSpaceDN w:val="0"/>
        <w:adjustRightInd w:val="0"/>
        <w:ind w:left="1440" w:right="1440"/>
        <w:rPr>
          <w:bCs w:val="0"/>
          <w:szCs w:val="20"/>
        </w:rPr>
      </w:pPr>
      <w:r w:rsidRPr="00372EF6">
        <w:rPr>
          <w:bCs w:val="0"/>
          <w:szCs w:val="20"/>
        </w:rPr>
        <w:t>Does a conservation easement fail to satisfy the requirements of section 170(h) of the Code if the deed contains language subtracting from the donee’s extinguishment proceeds the value of post-donation improvements or the post-donation increase in value of the property attributable to improvements?</w:t>
      </w:r>
    </w:p>
    <w:p w:rsidR="00372EF6" w:rsidRPr="00372EF6" w:rsidRDefault="00372EF6" w:rsidP="00372EF6">
      <w:pPr>
        <w:autoSpaceDE w:val="0"/>
        <w:autoSpaceDN w:val="0"/>
        <w:adjustRightInd w:val="0"/>
        <w:ind w:left="1440" w:right="1440"/>
        <w:rPr>
          <w:bCs w:val="0"/>
          <w:szCs w:val="20"/>
        </w:rPr>
      </w:pPr>
    </w:p>
    <w:p w:rsidR="004C3AC4" w:rsidRDefault="004C3AC4" w:rsidP="00372EF6">
      <w:pPr>
        <w:autoSpaceDE w:val="0"/>
        <w:autoSpaceDN w:val="0"/>
        <w:adjustRightInd w:val="0"/>
        <w:ind w:left="1440" w:right="1440"/>
        <w:rPr>
          <w:bCs w:val="0"/>
          <w:szCs w:val="20"/>
        </w:rPr>
      </w:pPr>
      <w:r w:rsidRPr="00372EF6">
        <w:rPr>
          <w:bCs w:val="0"/>
          <w:szCs w:val="20"/>
        </w:rPr>
        <w:t>CONCLUSION</w:t>
      </w:r>
    </w:p>
    <w:p w:rsidR="00372EF6" w:rsidRPr="00372EF6" w:rsidRDefault="00372EF6" w:rsidP="00372EF6">
      <w:pPr>
        <w:autoSpaceDE w:val="0"/>
        <w:autoSpaceDN w:val="0"/>
        <w:adjustRightInd w:val="0"/>
        <w:ind w:left="1440" w:right="1440"/>
        <w:rPr>
          <w:bCs w:val="0"/>
          <w:szCs w:val="20"/>
        </w:rPr>
      </w:pPr>
    </w:p>
    <w:p w:rsidR="004C3AC4" w:rsidRDefault="004C3AC4" w:rsidP="00372EF6">
      <w:pPr>
        <w:pStyle w:val="QS10"/>
        <w:rPr>
          <w:bCs/>
          <w:szCs w:val="20"/>
        </w:rPr>
      </w:pPr>
      <w:r w:rsidRPr="00372EF6">
        <w:rPr>
          <w:bCs/>
          <w:szCs w:val="20"/>
        </w:rPr>
        <w:t>Yes. Decreasing the portion of the proceeds that is required to be allocated to the donee upon extinguishment under Treas. Reg. § 1.170A-14(g)(6)(ii) causes the easement to fail to satisfy the requirements of section 170(h) unless, as provided in Treas. Reg. § 1.170A-14(g)(6)(ii), state law provides that the donor is entitled to the full proceeds from the conversion.</w:t>
      </w:r>
    </w:p>
    <w:p w:rsidR="00372EF6" w:rsidRDefault="00372EF6" w:rsidP="00803A76">
      <w:pPr>
        <w:pStyle w:val="Body15"/>
        <w:spacing w:before="240"/>
        <w:rPr>
          <w:bCs/>
          <w:szCs w:val="20"/>
        </w:rPr>
      </w:pPr>
      <w:r>
        <w:rPr>
          <w:bCs/>
          <w:szCs w:val="20"/>
        </w:rPr>
        <w:t xml:space="preserve">The CCA </w:t>
      </w:r>
      <w:r w:rsidRPr="00803A76">
        <w:rPr>
          <w:color w:val="000000" w:themeColor="text1"/>
          <w:szCs w:val="20"/>
        </w:rPr>
        <w:t>goes</w:t>
      </w:r>
      <w:r>
        <w:rPr>
          <w:bCs/>
          <w:szCs w:val="20"/>
        </w:rPr>
        <w:t xml:space="preserve"> on to set forth appropriate language:</w:t>
      </w:r>
    </w:p>
    <w:p w:rsidR="00372EF6" w:rsidRDefault="00372EF6" w:rsidP="00803A76">
      <w:pPr>
        <w:pStyle w:val="QS10"/>
      </w:pPr>
      <w:r w:rsidRPr="00372EF6">
        <w:t>Donor agrees that the donation of the perpetual conservation</w:t>
      </w:r>
      <w:r>
        <w:t xml:space="preserve"> </w:t>
      </w:r>
      <w:r w:rsidRPr="00372EF6">
        <w:t>restriction described in this deed gives rise to a property right,</w:t>
      </w:r>
      <w:r>
        <w:t xml:space="preserve"> </w:t>
      </w:r>
      <w:r w:rsidRPr="00372EF6">
        <w:t>immediately vested in the donee organization, with a fair market</w:t>
      </w:r>
      <w:r>
        <w:t xml:space="preserve"> </w:t>
      </w:r>
      <w:r w:rsidRPr="00372EF6">
        <w:t>value that is at least equal to the proportionate value that the</w:t>
      </w:r>
      <w:r>
        <w:t xml:space="preserve"> </w:t>
      </w:r>
      <w:r w:rsidRPr="00372EF6">
        <w:t>perpetual conservation restriction, at the time of the gift, bears to</w:t>
      </w:r>
      <w:r>
        <w:t xml:space="preserve"> </w:t>
      </w:r>
      <w:r w:rsidRPr="00372EF6">
        <w:t>the fair market value of the property as a whole at that time. For</w:t>
      </w:r>
      <w:r>
        <w:t xml:space="preserve"> </w:t>
      </w:r>
      <w:r w:rsidRPr="00372EF6">
        <w:t xml:space="preserve">purposes of this paragraph, the proportionate value of the </w:t>
      </w:r>
      <w:r>
        <w:t xml:space="preserve">donee </w:t>
      </w:r>
      <w:r w:rsidRPr="00372EF6">
        <w:t>organization's property rights shall remain constant.</w:t>
      </w:r>
      <w:r>
        <w:t xml:space="preserve"> </w:t>
      </w:r>
    </w:p>
    <w:p w:rsidR="00372EF6" w:rsidRDefault="00372EF6" w:rsidP="00803A76">
      <w:pPr>
        <w:pStyle w:val="QS10"/>
      </w:pPr>
      <w:r w:rsidRPr="00372EF6">
        <w:t>On a subsequent sale, exchange, or involuntary conversion of the</w:t>
      </w:r>
      <w:r>
        <w:t xml:space="preserve"> </w:t>
      </w:r>
      <w:r w:rsidRPr="00372EF6">
        <w:t>subject property, the donee organization will be entitled to a portion</w:t>
      </w:r>
      <w:r>
        <w:t xml:space="preserve"> </w:t>
      </w:r>
      <w:r w:rsidRPr="00372EF6">
        <w:t>of the proceeds at least equal to that proportionate value of the</w:t>
      </w:r>
      <w:r>
        <w:t xml:space="preserve"> </w:t>
      </w:r>
      <w:r w:rsidRPr="00372EF6">
        <w:t>perpetual conservation restriction.</w:t>
      </w:r>
      <w:r>
        <w:t xml:space="preserve">  </w:t>
      </w:r>
    </w:p>
    <w:p w:rsidR="00372EF6" w:rsidRDefault="00372EF6" w:rsidP="00803A76">
      <w:pPr>
        <w:pStyle w:val="QS10"/>
      </w:pPr>
      <w:r w:rsidRPr="00372EF6">
        <w:t>All of the donee organization’s proceeds from a subsequent sale or</w:t>
      </w:r>
      <w:r>
        <w:t xml:space="preserve"> </w:t>
      </w:r>
      <w:r w:rsidRPr="00372EF6">
        <w:t>exchange of the property must be used by the donee organization</w:t>
      </w:r>
      <w:r>
        <w:t xml:space="preserve"> </w:t>
      </w:r>
      <w:r w:rsidRPr="00372EF6">
        <w:t>in a manner consistent with the conservation purposes of the</w:t>
      </w:r>
      <w:r>
        <w:t xml:space="preserve"> </w:t>
      </w:r>
      <w:r w:rsidRPr="00372EF6">
        <w:t>original contribution.</w:t>
      </w:r>
    </w:p>
    <w:p w:rsidR="00B576F9" w:rsidRPr="003003E7" w:rsidRDefault="00B576F9" w:rsidP="00B66CCE">
      <w:pPr>
        <w:pStyle w:val="Heading20"/>
        <w:numPr>
          <w:ilvl w:val="1"/>
          <w:numId w:val="34"/>
        </w:numPr>
        <w:tabs>
          <w:tab w:val="clear" w:pos="2700"/>
          <w:tab w:val="num" w:pos="1440"/>
        </w:tabs>
        <w:ind w:left="0"/>
        <w:rPr>
          <w:vanish/>
          <w:color w:val="000000" w:themeColor="text1"/>
          <w:specVanish/>
        </w:rPr>
      </w:pPr>
      <w:bookmarkStart w:id="166" w:name="_Toc94704624"/>
      <w:r>
        <w:rPr>
          <w:b/>
          <w:color w:val="000000" w:themeColor="text1"/>
          <w:u w:val="single"/>
        </w:rPr>
        <w:t>Golf Course Does Not Automatically Invalidate Conservation Easement Deduction</w:t>
      </w:r>
      <w:bookmarkEnd w:id="166"/>
    </w:p>
    <w:p w:rsidR="00B576F9" w:rsidRDefault="00B576F9" w:rsidP="00B576F9">
      <w:pPr>
        <w:pStyle w:val="Heading2Body"/>
      </w:pPr>
      <w:r>
        <w:t xml:space="preserve">.  The Eleventh Circuit in </w:t>
      </w:r>
      <w:r>
        <w:rPr>
          <w:u w:val="single"/>
        </w:rPr>
        <w:t>Champions Retreat Golf Founders v. Commissioner</w:t>
      </w:r>
      <w:r>
        <w:t>, 2020 WL 2462534 (11</w:t>
      </w:r>
      <w:r w:rsidRPr="003003E7">
        <w:rPr>
          <w:vertAlign w:val="superscript"/>
        </w:rPr>
        <w:t>th</w:t>
      </w:r>
      <w:r>
        <w:rPr>
          <w:vertAlign w:val="superscript"/>
        </w:rPr>
        <w:t xml:space="preserve"> </w:t>
      </w:r>
      <w:r>
        <w:t>Cir. 2020) summarized the case as follows:</w:t>
      </w:r>
    </w:p>
    <w:p w:rsidR="00B576F9" w:rsidRDefault="00B576F9" w:rsidP="00B576F9">
      <w:pPr>
        <w:pStyle w:val="QS10"/>
      </w:pPr>
      <w:r>
        <w:t xml:space="preserve">The appellant taxpayer claimed a charitable deduction for donating a conservation easement over property that included a private golf course and undeveloped land. The Commissioner of Internal Revenue disallowed the deduction, and the Tax Court upheld the decision. The deduction was proper if the donation was made for “the protection of a relatively natural habitat of fish, wildlife, or plants, or similar ecosystem,” or was made for “the preservation of open space . . . for the scenic enjoyment of the general public.” I.R.C. </w:t>
      </w:r>
      <w:r w:rsidRPr="00424F03">
        <w:rPr>
          <w:rFonts w:ascii="Open Sans" w:hAnsi="Open Sans"/>
        </w:rPr>
        <w:t>§</w:t>
      </w:r>
      <w:r>
        <w:rPr>
          <w:rFonts w:ascii="Open Sans" w:hAnsi="Open Sans"/>
        </w:rPr>
        <w:t xml:space="preserve"> </w:t>
      </w:r>
      <w:r w:rsidRPr="00424F03">
        <w:rPr>
          <w:rFonts w:ascii="Open Sans" w:hAnsi="Open Sans"/>
        </w:rPr>
        <w:t>170(h)(4)(A)(ii)</w:t>
      </w:r>
      <w:r>
        <w:t xml:space="preserve"> &amp; </w:t>
      </w:r>
      <w:r w:rsidRPr="00424F03">
        <w:rPr>
          <w:rFonts w:ascii="Open Sans" w:hAnsi="Open Sans"/>
        </w:rPr>
        <w:t>(iii)(I)</w:t>
      </w:r>
      <w:r>
        <w:t>.</w:t>
      </w:r>
    </w:p>
    <w:p w:rsidR="00B576F9" w:rsidRDefault="00B576F9" w:rsidP="00B576F9">
      <w:pPr>
        <w:pStyle w:val="QS10"/>
      </w:pPr>
      <w:r>
        <w:t>Without the golf course, this easement would easily meet these criteria. Because the Code does not disqualify an easement just because it includes a golf course, we reverse the Tax Court's decision and remand for determination of the proper amount of the deduction.</w:t>
      </w:r>
    </w:p>
    <w:p w:rsidR="00B576F9" w:rsidRDefault="00B576F9" w:rsidP="00B576F9">
      <w:pPr>
        <w:pStyle w:val="Body15"/>
        <w:spacing w:before="240"/>
        <w:rPr>
          <w:color w:val="000000" w:themeColor="text1"/>
        </w:rPr>
      </w:pPr>
      <w:r>
        <w:rPr>
          <w:color w:val="000000" w:themeColor="text1"/>
        </w:rPr>
        <w:t>One of the issues addressed by the court was whether the land was required to be natural, or was the habitat required to be natural.  The opinion states:</w:t>
      </w:r>
    </w:p>
    <w:p w:rsidR="00B576F9" w:rsidRDefault="00B576F9" w:rsidP="00B576F9">
      <w:pPr>
        <w:pStyle w:val="QS10"/>
      </w:pPr>
      <w:r>
        <w:t>The Commissioner's expert takes no issue with the proposition that many birds use the property including some that are worthy of protection. He says, though, that the habitat itself is not relatively natural. For this he focuses on the fairways and greens — they consist of non-native bermuda and bent grass — not the undeveloped portion of the easement, which is, at least for the most part, quite natural.</w:t>
      </w:r>
    </w:p>
    <w:p w:rsidR="00B576F9" w:rsidRDefault="00B576F9" w:rsidP="00B576F9">
      <w:pPr>
        <w:pStyle w:val="QS10"/>
      </w:pPr>
      <w:r>
        <w:t xml:space="preserve">What matters under the Code and regulation is not so much whether all the </w:t>
      </w:r>
      <w:r>
        <w:rPr>
          <w:rStyle w:val="Emphasis"/>
          <w:rFonts w:ascii="Open Sans" w:hAnsi="Open Sans"/>
          <w:color w:val="222222"/>
        </w:rPr>
        <w:t>land</w:t>
      </w:r>
      <w:r>
        <w:t xml:space="preserve"> is natural, but whether the</w:t>
      </w:r>
      <w:r>
        <w:rPr>
          <w:rStyle w:val="Emphasis"/>
          <w:rFonts w:ascii="Open Sans" w:hAnsi="Open Sans"/>
          <w:color w:val="222222"/>
        </w:rPr>
        <w:t xml:space="preserve"> habitat</w:t>
      </w:r>
      <w:r>
        <w:t xml:space="preserve"> is natural. Indeed, the regulation says it is not disqualifying that the land has been altered, so long as “the fish, wildlife, or plants continue to exist there in a relatively natural state.” 26 C.F.R. § </w:t>
      </w:r>
      <w:r w:rsidRPr="00424F03">
        <w:t>1.170A-14(d)(3)(i)</w:t>
      </w:r>
      <w:r>
        <w:t>. The Commissioner's expert noted nothing unnatural about these birds' existence; they apparently find the habitat quite suitable.</w:t>
      </w:r>
    </w:p>
    <w:p w:rsidR="00B576F9" w:rsidRDefault="00B576F9" w:rsidP="00B576F9">
      <w:pPr>
        <w:pStyle w:val="QS10"/>
      </w:pPr>
      <w:r>
        <w:t xml:space="preserve">Champions also cites the property's population of southern fox squirrels — a species for which the habitat, including the golf course, is hospitable. The species is not threatened but has suffered declines caused by diminishing habitat, due in part to forest-management practices. The Commissioner discounts the importance of the species, noting that Georgia has a six-month season in which hunters may take up to 12 squirrels per day. But that is not dispositive of the question whether providing the squirrels a habitat is a conservation purpose. That Georgia chooses not to protect the species hardly seems a reason to deny whatever protection is available under </w:t>
      </w:r>
      <w:r>
        <w:rPr>
          <w:rStyle w:val="Emphasis"/>
          <w:rFonts w:ascii="Open Sans" w:hAnsi="Open Sans"/>
          <w:color w:val="222222"/>
        </w:rPr>
        <w:t>federal</w:t>
      </w:r>
      <w:r>
        <w:t xml:space="preserve"> law. Protecting fox squirrels would not alone be sufficient to establish a conservation purpose, but they add to the weight on Champions' side of the scale.</w:t>
      </w:r>
    </w:p>
    <w:p w:rsidR="00B576F9" w:rsidRDefault="00B576F9" w:rsidP="00B576F9">
      <w:pPr>
        <w:pStyle w:val="QS10"/>
      </w:pPr>
      <w:r>
        <w:t>Finally, while the golf course itself is comprised primarily of non-native grasses, the remainder of the easement property is natural and includes a rare species of plant, the denseflower knotweed. The Commissioner has offered no theory under which protecting the denseflower knotweed is not an appropriate conservation purpose.</w:t>
      </w:r>
    </w:p>
    <w:p w:rsidR="00B576F9" w:rsidRDefault="00B576F9" w:rsidP="00B576F9">
      <w:pPr>
        <w:pStyle w:val="QS10"/>
      </w:pPr>
      <w:r>
        <w:t>It is true, as the Commissioner notes, that the knotweed exists on only a limited proportion of the easement — perhaps 7%, with the capacity to occupy up to 17%. But the knotweed that exists, whatever its proportion, is worthy of protection.</w:t>
      </w:r>
    </w:p>
    <w:p w:rsidR="00B576F9" w:rsidRDefault="00B576F9" w:rsidP="00B576F9">
      <w:pPr>
        <w:pStyle w:val="Body15"/>
        <w:spacing w:before="240"/>
        <w:rPr>
          <w:color w:val="000000" w:themeColor="text1"/>
        </w:rPr>
      </w:pPr>
      <w:r>
        <w:rPr>
          <w:color w:val="000000" w:themeColor="text1"/>
        </w:rPr>
        <w:t>A discussion of the Tax Court’s approach to birds cannot be read without a smile:</w:t>
      </w:r>
    </w:p>
    <w:p w:rsidR="00B576F9" w:rsidRPr="00424F03" w:rsidRDefault="00B576F9" w:rsidP="00B576F9">
      <w:pPr>
        <w:pStyle w:val="QS10"/>
      </w:pPr>
      <w:r w:rsidRPr="00424F03">
        <w:t>Despite</w:t>
      </w:r>
      <w:r>
        <w:t xml:space="preserve"> </w:t>
      </w:r>
      <w:r w:rsidRPr="00424F03">
        <w:t>the</w:t>
      </w:r>
      <w:r>
        <w:t xml:space="preserve"> </w:t>
      </w:r>
      <w:r w:rsidRPr="00424F03">
        <w:t>abundant</w:t>
      </w:r>
      <w:r>
        <w:t xml:space="preserve"> </w:t>
      </w:r>
      <w:r w:rsidRPr="00424F03">
        <w:t>bird</w:t>
      </w:r>
      <w:r>
        <w:t xml:space="preserve"> </w:t>
      </w:r>
      <w:r w:rsidRPr="00424F03">
        <w:t>species,</w:t>
      </w:r>
      <w:r>
        <w:t xml:space="preserve"> </w:t>
      </w:r>
      <w:r w:rsidRPr="00424F03">
        <w:t>including</w:t>
      </w:r>
      <w:r>
        <w:t xml:space="preserve"> </w:t>
      </w:r>
      <w:r w:rsidRPr="00424F03">
        <w:t>many</w:t>
      </w:r>
      <w:r>
        <w:t xml:space="preserve"> </w:t>
      </w:r>
      <w:r w:rsidRPr="00424F03">
        <w:t>of</w:t>
      </w:r>
      <w:r>
        <w:t xml:space="preserve"> </w:t>
      </w:r>
      <w:r w:rsidRPr="00424F03">
        <w:t>conservation</w:t>
      </w:r>
      <w:r>
        <w:t xml:space="preserve"> </w:t>
      </w:r>
      <w:r w:rsidRPr="00424F03">
        <w:t>concern,</w:t>
      </w:r>
      <w:r>
        <w:t xml:space="preserve"> </w:t>
      </w:r>
      <w:r w:rsidRPr="00424F03">
        <w:t>the</w:t>
      </w:r>
      <w:r>
        <w:t xml:space="preserve"> </w:t>
      </w:r>
      <w:r w:rsidRPr="00424F03">
        <w:t>declining</w:t>
      </w:r>
      <w:r>
        <w:t xml:space="preserve"> </w:t>
      </w:r>
      <w:r w:rsidRPr="00424F03">
        <w:t>southern</w:t>
      </w:r>
      <w:r>
        <w:t xml:space="preserve"> </w:t>
      </w:r>
      <w:r w:rsidRPr="00424F03">
        <w:t>fox</w:t>
      </w:r>
      <w:r>
        <w:t xml:space="preserve"> </w:t>
      </w:r>
      <w:r w:rsidRPr="00424F03">
        <w:t>squirrels,</w:t>
      </w:r>
      <w:r>
        <w:t xml:space="preserve"> </w:t>
      </w:r>
      <w:r w:rsidRPr="00424F03">
        <w:t>and</w:t>
      </w:r>
      <w:r>
        <w:t xml:space="preserve"> </w:t>
      </w:r>
      <w:r w:rsidRPr="00424F03">
        <w:t>the</w:t>
      </w:r>
      <w:r>
        <w:t xml:space="preserve"> </w:t>
      </w:r>
      <w:r w:rsidRPr="00424F03">
        <w:t>rare</w:t>
      </w:r>
      <w:r>
        <w:t xml:space="preserve"> </w:t>
      </w:r>
      <w:r w:rsidRPr="00424F03">
        <w:t>denseflower</w:t>
      </w:r>
      <w:r>
        <w:t xml:space="preserve"> </w:t>
      </w:r>
      <w:r w:rsidRPr="00424F03">
        <w:t>knotweed,</w:t>
      </w:r>
      <w:r>
        <w:t xml:space="preserve"> </w:t>
      </w:r>
      <w:r w:rsidRPr="00424F03">
        <w:t>the</w:t>
      </w:r>
      <w:r>
        <w:t xml:space="preserve"> </w:t>
      </w:r>
      <w:r w:rsidRPr="00424F03">
        <w:t>Tax</w:t>
      </w:r>
      <w:r>
        <w:t xml:space="preserve"> </w:t>
      </w:r>
      <w:r w:rsidRPr="00424F03">
        <w:t>Court</w:t>
      </w:r>
      <w:r>
        <w:t xml:space="preserve"> </w:t>
      </w:r>
      <w:r w:rsidRPr="00424F03">
        <w:t>said</w:t>
      </w:r>
      <w:r>
        <w:t xml:space="preserve"> </w:t>
      </w:r>
      <w:r w:rsidRPr="00424F03">
        <w:t>Champions</w:t>
      </w:r>
      <w:r>
        <w:t xml:space="preserve"> </w:t>
      </w:r>
      <w:r w:rsidRPr="00424F03">
        <w:t>had</w:t>
      </w:r>
      <w:r>
        <w:t xml:space="preserve"> </w:t>
      </w:r>
      <w:r w:rsidRPr="00424F03">
        <w:t>not</w:t>
      </w:r>
      <w:r>
        <w:t xml:space="preserve"> </w:t>
      </w:r>
      <w:r w:rsidRPr="00424F03">
        <w:t>established</w:t>
      </w:r>
      <w:r>
        <w:t xml:space="preserve"> </w:t>
      </w:r>
      <w:r w:rsidRPr="00424F03">
        <w:t>the</w:t>
      </w:r>
      <w:r>
        <w:t xml:space="preserve"> </w:t>
      </w:r>
      <w:r w:rsidRPr="00424F03">
        <w:t>required</w:t>
      </w:r>
      <w:r>
        <w:t xml:space="preserve"> </w:t>
      </w:r>
      <w:r w:rsidRPr="00424F03">
        <w:t>conservation</w:t>
      </w:r>
      <w:r>
        <w:t xml:space="preserve"> </w:t>
      </w:r>
      <w:r w:rsidRPr="00424F03">
        <w:t>purpose.</w:t>
      </w:r>
      <w:r>
        <w:t xml:space="preserve"> </w:t>
      </w:r>
      <w:r w:rsidRPr="00424F03">
        <w:t>To</w:t>
      </w:r>
      <w:r>
        <w:t xml:space="preserve"> </w:t>
      </w:r>
      <w:r w:rsidRPr="00424F03">
        <w:t>reach</w:t>
      </w:r>
      <w:r>
        <w:t xml:space="preserve"> </w:t>
      </w:r>
      <w:r w:rsidRPr="00424F03">
        <w:t>this</w:t>
      </w:r>
      <w:r>
        <w:t xml:space="preserve"> </w:t>
      </w:r>
      <w:r w:rsidRPr="00424F03">
        <w:t>result,</w:t>
      </w:r>
      <w:r>
        <w:t xml:space="preserve"> </w:t>
      </w:r>
      <w:r w:rsidRPr="00424F03">
        <w:t>the</w:t>
      </w:r>
      <w:r>
        <w:t xml:space="preserve"> </w:t>
      </w:r>
      <w:r w:rsidRPr="00424F03">
        <w:t>court</w:t>
      </w:r>
      <w:r>
        <w:t xml:space="preserve"> </w:t>
      </w:r>
      <w:r w:rsidRPr="00424F03">
        <w:t>considered,</w:t>
      </w:r>
      <w:r>
        <w:t xml:space="preserve"> </w:t>
      </w:r>
      <w:r w:rsidRPr="00424F03">
        <w:t>or</w:t>
      </w:r>
      <w:r>
        <w:t xml:space="preserve"> </w:t>
      </w:r>
      <w:r w:rsidRPr="00424F03">
        <w:t>at</w:t>
      </w:r>
      <w:r>
        <w:t xml:space="preserve"> </w:t>
      </w:r>
      <w:r w:rsidRPr="00424F03">
        <w:t>least</w:t>
      </w:r>
      <w:r>
        <w:t xml:space="preserve"> </w:t>
      </w:r>
      <w:r w:rsidRPr="00424F03">
        <w:t>discussed</w:t>
      </w:r>
      <w:r>
        <w:t xml:space="preserve"> </w:t>
      </w:r>
      <w:r w:rsidRPr="00424F03">
        <w:t>in</w:t>
      </w:r>
      <w:r>
        <w:t xml:space="preserve"> </w:t>
      </w:r>
      <w:r w:rsidRPr="00424F03">
        <w:t>its</w:t>
      </w:r>
      <w:r>
        <w:t xml:space="preserve"> </w:t>
      </w:r>
      <w:r w:rsidRPr="00424F03">
        <w:t>opinion,</w:t>
      </w:r>
      <w:r>
        <w:t xml:space="preserve"> </w:t>
      </w:r>
      <w:r w:rsidRPr="00424F03">
        <w:t>only</w:t>
      </w:r>
      <w:r>
        <w:t xml:space="preserve"> </w:t>
      </w:r>
      <w:r w:rsidRPr="00424F03">
        <w:t>birds</w:t>
      </w:r>
      <w:r>
        <w:t xml:space="preserve"> </w:t>
      </w:r>
      <w:r w:rsidRPr="00424F03">
        <w:t>seen</w:t>
      </w:r>
      <w:r>
        <w:t xml:space="preserve"> </w:t>
      </w:r>
      <w:r w:rsidRPr="00424F03">
        <w:t>by</w:t>
      </w:r>
      <w:r>
        <w:t xml:space="preserve"> </w:t>
      </w:r>
      <w:r w:rsidRPr="00424F03">
        <w:t>both</w:t>
      </w:r>
      <w:r>
        <w:t xml:space="preserve"> </w:t>
      </w:r>
      <w:r w:rsidRPr="00424F03">
        <w:t>Champions</w:t>
      </w:r>
      <w:r>
        <w:t xml:space="preserve"> </w:t>
      </w:r>
      <w:r w:rsidRPr="00424F03">
        <w:t>experts</w:t>
      </w:r>
      <w:r>
        <w:t xml:space="preserve"> </w:t>
      </w:r>
      <w:r w:rsidRPr="00424F03">
        <w:t>—</w:t>
      </w:r>
      <w:r>
        <w:t xml:space="preserve"> </w:t>
      </w:r>
      <w:r w:rsidRPr="00424F03">
        <w:t>ignoring</w:t>
      </w:r>
      <w:r>
        <w:t xml:space="preserve"> </w:t>
      </w:r>
      <w:r w:rsidRPr="00424F03">
        <w:t>any</w:t>
      </w:r>
      <w:r>
        <w:t xml:space="preserve"> </w:t>
      </w:r>
      <w:r w:rsidRPr="00424F03">
        <w:t>bird</w:t>
      </w:r>
      <w:r>
        <w:t xml:space="preserve"> </w:t>
      </w:r>
      <w:r w:rsidRPr="00424F03">
        <w:t>seen</w:t>
      </w:r>
      <w:r>
        <w:t xml:space="preserve"> </w:t>
      </w:r>
      <w:r w:rsidRPr="00424F03">
        <w:t>by</w:t>
      </w:r>
      <w:r>
        <w:t xml:space="preserve"> </w:t>
      </w:r>
      <w:r w:rsidRPr="00424F03">
        <w:t>only</w:t>
      </w:r>
      <w:r>
        <w:t xml:space="preserve"> </w:t>
      </w:r>
      <w:r w:rsidRPr="00424F03">
        <w:t>one</w:t>
      </w:r>
      <w:r>
        <w:t xml:space="preserve"> </w:t>
      </w:r>
      <w:r w:rsidRPr="00424F03">
        <w:t>Champions</w:t>
      </w:r>
      <w:r>
        <w:t xml:space="preserve"> </w:t>
      </w:r>
      <w:r w:rsidRPr="00424F03">
        <w:t>expert,</w:t>
      </w:r>
      <w:r>
        <w:t xml:space="preserve"> </w:t>
      </w:r>
      <w:r w:rsidRPr="00424F03">
        <w:t>even</w:t>
      </w:r>
      <w:r>
        <w:t xml:space="preserve"> </w:t>
      </w:r>
      <w:r w:rsidRPr="00424F03">
        <w:t>if</w:t>
      </w:r>
      <w:r>
        <w:t xml:space="preserve"> </w:t>
      </w:r>
      <w:r w:rsidRPr="00424F03">
        <w:t>the</w:t>
      </w:r>
      <w:r>
        <w:t xml:space="preserve"> </w:t>
      </w:r>
      <w:r w:rsidRPr="00424F03">
        <w:t>bird</w:t>
      </w:r>
      <w:r>
        <w:t xml:space="preserve"> </w:t>
      </w:r>
      <w:r w:rsidRPr="00424F03">
        <w:t>was</w:t>
      </w:r>
      <w:r>
        <w:t xml:space="preserve"> </w:t>
      </w:r>
      <w:r w:rsidRPr="00424F03">
        <w:t>also</w:t>
      </w:r>
      <w:r>
        <w:t xml:space="preserve"> </w:t>
      </w:r>
      <w:r w:rsidRPr="00424F03">
        <w:t>seen</w:t>
      </w:r>
      <w:r>
        <w:t xml:space="preserve"> </w:t>
      </w:r>
      <w:r w:rsidRPr="00424F03">
        <w:t>by</w:t>
      </w:r>
      <w:r>
        <w:t xml:space="preserve"> </w:t>
      </w:r>
      <w:r w:rsidRPr="00424F03">
        <w:t>the</w:t>
      </w:r>
      <w:r>
        <w:t xml:space="preserve"> </w:t>
      </w:r>
      <w:r w:rsidRPr="00424F03">
        <w:t>Commissioner's</w:t>
      </w:r>
      <w:r>
        <w:t xml:space="preserve"> </w:t>
      </w:r>
      <w:r w:rsidRPr="00424F03">
        <w:t>expert.</w:t>
      </w:r>
      <w:r>
        <w:t xml:space="preserve"> </w:t>
      </w:r>
      <w:r w:rsidRPr="00424F03">
        <w:t>The</w:t>
      </w:r>
      <w:r>
        <w:t xml:space="preserve"> </w:t>
      </w:r>
      <w:r w:rsidRPr="00424F03">
        <w:t>court</w:t>
      </w:r>
      <w:r>
        <w:t xml:space="preserve"> </w:t>
      </w:r>
      <w:r w:rsidRPr="00424F03">
        <w:t>did</w:t>
      </w:r>
      <w:r>
        <w:t xml:space="preserve"> </w:t>
      </w:r>
      <w:r w:rsidRPr="00424F03">
        <w:t>this</w:t>
      </w:r>
      <w:r>
        <w:t xml:space="preserve"> </w:t>
      </w:r>
      <w:r w:rsidRPr="00424F03">
        <w:t>despite</w:t>
      </w:r>
      <w:r>
        <w:t xml:space="preserve"> </w:t>
      </w:r>
      <w:r w:rsidRPr="00424F03">
        <w:t>explicitly</w:t>
      </w:r>
      <w:r>
        <w:t xml:space="preserve"> </w:t>
      </w:r>
      <w:r w:rsidRPr="00424F03">
        <w:t>crediting</w:t>
      </w:r>
      <w:r>
        <w:t xml:space="preserve"> </w:t>
      </w:r>
      <w:r w:rsidRPr="00424F03">
        <w:t>the</w:t>
      </w:r>
      <w:r>
        <w:t xml:space="preserve"> </w:t>
      </w:r>
      <w:r w:rsidRPr="00424F03">
        <w:t>testimony</w:t>
      </w:r>
      <w:r>
        <w:t xml:space="preserve"> </w:t>
      </w:r>
      <w:r w:rsidRPr="00424F03">
        <w:t>of</w:t>
      </w:r>
      <w:r>
        <w:t xml:space="preserve"> </w:t>
      </w:r>
      <w:r w:rsidRPr="00424F03">
        <w:t>both</w:t>
      </w:r>
      <w:r>
        <w:t xml:space="preserve"> </w:t>
      </w:r>
      <w:r w:rsidRPr="00424F03">
        <w:t>Champions</w:t>
      </w:r>
      <w:r>
        <w:t xml:space="preserve"> </w:t>
      </w:r>
      <w:r w:rsidRPr="00424F03">
        <w:t>experts.</w:t>
      </w:r>
      <w:r>
        <w:t xml:space="preserve"> </w:t>
      </w:r>
      <w:r w:rsidRPr="00424F03">
        <w:t>The</w:t>
      </w:r>
      <w:r>
        <w:t xml:space="preserve"> </w:t>
      </w:r>
      <w:r w:rsidRPr="00424F03">
        <w:t>court</w:t>
      </w:r>
      <w:r>
        <w:t xml:space="preserve"> </w:t>
      </w:r>
      <w:r w:rsidRPr="00424F03">
        <w:t>offered</w:t>
      </w:r>
      <w:r>
        <w:t xml:space="preserve"> </w:t>
      </w:r>
      <w:r w:rsidRPr="00424F03">
        <w:t>no</w:t>
      </w:r>
      <w:r>
        <w:t xml:space="preserve"> </w:t>
      </w:r>
      <w:r w:rsidRPr="00424F03">
        <w:t>explanation</w:t>
      </w:r>
      <w:r>
        <w:t xml:space="preserve"> </w:t>
      </w:r>
      <w:r w:rsidRPr="00424F03">
        <w:t>for</w:t>
      </w:r>
      <w:r>
        <w:t xml:space="preserve"> </w:t>
      </w:r>
      <w:r w:rsidRPr="00424F03">
        <w:t>this</w:t>
      </w:r>
      <w:r>
        <w:t xml:space="preserve"> </w:t>
      </w:r>
      <w:r w:rsidRPr="00424F03">
        <w:t>approach,</w:t>
      </w:r>
      <w:r>
        <w:t xml:space="preserve"> </w:t>
      </w:r>
      <w:r w:rsidRPr="00424F03">
        <w:t>and</w:t>
      </w:r>
      <w:r>
        <w:t xml:space="preserve"> </w:t>
      </w:r>
      <w:r w:rsidRPr="00424F03">
        <w:t>we</w:t>
      </w:r>
      <w:r>
        <w:t xml:space="preserve"> </w:t>
      </w:r>
      <w:r w:rsidRPr="00424F03">
        <w:t>can</w:t>
      </w:r>
      <w:r>
        <w:t xml:space="preserve"> </w:t>
      </w:r>
      <w:r w:rsidRPr="00424F03">
        <w:t>conceive</w:t>
      </w:r>
      <w:r>
        <w:t xml:space="preserve"> </w:t>
      </w:r>
      <w:r w:rsidRPr="00424F03">
        <w:t>of</w:t>
      </w:r>
      <w:r>
        <w:t xml:space="preserve"> </w:t>
      </w:r>
      <w:r w:rsidRPr="00424F03">
        <w:t>none.</w:t>
      </w:r>
    </w:p>
    <w:p w:rsidR="00B576F9" w:rsidRPr="00424F03" w:rsidRDefault="00B576F9" w:rsidP="00B576F9">
      <w:pPr>
        <w:pStyle w:val="QS10"/>
      </w:pPr>
      <w:r w:rsidRPr="00424F03">
        <w:t>The</w:t>
      </w:r>
      <w:r>
        <w:t xml:space="preserve"> </w:t>
      </w:r>
      <w:r w:rsidRPr="00424F03">
        <w:t>court</w:t>
      </w:r>
      <w:r>
        <w:t xml:space="preserve"> </w:t>
      </w:r>
      <w:r w:rsidRPr="00424F03">
        <w:t>also</w:t>
      </w:r>
      <w:r>
        <w:t xml:space="preserve"> </w:t>
      </w:r>
      <w:r w:rsidRPr="00424F03">
        <w:t>ignored</w:t>
      </w:r>
      <w:r>
        <w:t xml:space="preserve"> </w:t>
      </w:r>
      <w:r w:rsidRPr="00424F03">
        <w:t>a</w:t>
      </w:r>
      <w:r>
        <w:t xml:space="preserve"> </w:t>
      </w:r>
      <w:r w:rsidRPr="00424F03">
        <w:t>bird</w:t>
      </w:r>
      <w:r>
        <w:t xml:space="preserve"> </w:t>
      </w:r>
      <w:r w:rsidRPr="00424F03">
        <w:t>that</w:t>
      </w:r>
      <w:r>
        <w:t xml:space="preserve"> </w:t>
      </w:r>
      <w:r w:rsidRPr="00424F03">
        <w:t>was</w:t>
      </w:r>
      <w:r>
        <w:t xml:space="preserve"> </w:t>
      </w:r>
      <w:r w:rsidRPr="00424F03">
        <w:t>heard</w:t>
      </w:r>
      <w:r>
        <w:t xml:space="preserve"> </w:t>
      </w:r>
      <w:r w:rsidRPr="00424F03">
        <w:t>but</w:t>
      </w:r>
      <w:r>
        <w:t xml:space="preserve"> </w:t>
      </w:r>
      <w:r w:rsidRPr="00424F03">
        <w:t>not</w:t>
      </w:r>
      <w:r>
        <w:t xml:space="preserve"> </w:t>
      </w:r>
      <w:r w:rsidRPr="00424F03">
        <w:t>seen.</w:t>
      </w:r>
      <w:r>
        <w:t xml:space="preserve"> </w:t>
      </w:r>
      <w:r w:rsidRPr="00424F03">
        <w:t>The</w:t>
      </w:r>
      <w:r>
        <w:t xml:space="preserve"> </w:t>
      </w:r>
      <w:r w:rsidRPr="00424F03">
        <w:t>court</w:t>
      </w:r>
      <w:r>
        <w:t xml:space="preserve"> </w:t>
      </w:r>
      <w:r w:rsidRPr="00424F03">
        <w:t>did</w:t>
      </w:r>
      <w:r>
        <w:t xml:space="preserve"> </w:t>
      </w:r>
      <w:r w:rsidRPr="00424F03">
        <w:t>not</w:t>
      </w:r>
      <w:r>
        <w:t xml:space="preserve"> </w:t>
      </w:r>
      <w:r w:rsidRPr="00424F03">
        <w:t>explain</w:t>
      </w:r>
      <w:r>
        <w:t xml:space="preserve"> </w:t>
      </w:r>
      <w:r w:rsidRPr="00424F03">
        <w:t>how</w:t>
      </w:r>
      <w:r>
        <w:t xml:space="preserve"> </w:t>
      </w:r>
      <w:r w:rsidRPr="00424F03">
        <w:t>a</w:t>
      </w:r>
      <w:r>
        <w:t xml:space="preserve"> </w:t>
      </w:r>
      <w:r w:rsidRPr="00424F03">
        <w:t>bird</w:t>
      </w:r>
      <w:r>
        <w:t xml:space="preserve"> </w:t>
      </w:r>
      <w:r w:rsidRPr="00424F03">
        <w:t>could</w:t>
      </w:r>
      <w:r>
        <w:t xml:space="preserve"> </w:t>
      </w:r>
      <w:r w:rsidRPr="00424F03">
        <w:t>be</w:t>
      </w:r>
      <w:r>
        <w:t xml:space="preserve"> </w:t>
      </w:r>
      <w:r w:rsidRPr="00424F03">
        <w:t>heard</w:t>
      </w:r>
      <w:r>
        <w:t xml:space="preserve"> </w:t>
      </w:r>
      <w:r w:rsidRPr="00424F03">
        <w:t>if</w:t>
      </w:r>
      <w:r>
        <w:t xml:space="preserve"> </w:t>
      </w:r>
      <w:r w:rsidRPr="00424F03">
        <w:t>not</w:t>
      </w:r>
      <w:r>
        <w:t xml:space="preserve"> </w:t>
      </w:r>
      <w:r w:rsidRPr="00424F03">
        <w:t>present</w:t>
      </w:r>
      <w:r>
        <w:t xml:space="preserve"> </w:t>
      </w:r>
      <w:r w:rsidRPr="00424F03">
        <w:t>on</w:t>
      </w:r>
      <w:r>
        <w:t xml:space="preserve"> </w:t>
      </w:r>
      <w:r w:rsidRPr="00424F03">
        <w:t>or</w:t>
      </w:r>
      <w:r>
        <w:t xml:space="preserve"> </w:t>
      </w:r>
      <w:r w:rsidRPr="00424F03">
        <w:t>at</w:t>
      </w:r>
      <w:r>
        <w:t xml:space="preserve"> </w:t>
      </w:r>
      <w:r w:rsidRPr="00424F03">
        <w:t>least</w:t>
      </w:r>
      <w:r>
        <w:t xml:space="preserve"> </w:t>
      </w:r>
      <w:r w:rsidRPr="00424F03">
        <w:t>near</w:t>
      </w:r>
      <w:r>
        <w:t xml:space="preserve"> </w:t>
      </w:r>
      <w:r w:rsidRPr="00424F03">
        <w:t>the</w:t>
      </w:r>
      <w:r>
        <w:t xml:space="preserve"> </w:t>
      </w:r>
      <w:r w:rsidRPr="00424F03">
        <w:t>property.</w:t>
      </w:r>
    </w:p>
    <w:p w:rsidR="00B576F9" w:rsidRPr="00424F03" w:rsidRDefault="00B576F9" w:rsidP="00B576F9">
      <w:pPr>
        <w:pStyle w:val="QS10"/>
      </w:pPr>
      <w:r w:rsidRPr="00424F03">
        <w:t>The</w:t>
      </w:r>
      <w:r>
        <w:t xml:space="preserve"> </w:t>
      </w:r>
      <w:r w:rsidRPr="00424F03">
        <w:t>Tax</w:t>
      </w:r>
      <w:r>
        <w:t xml:space="preserve"> </w:t>
      </w:r>
      <w:r w:rsidRPr="00424F03">
        <w:t>Court's</w:t>
      </w:r>
      <w:r>
        <w:t xml:space="preserve"> </w:t>
      </w:r>
      <w:r w:rsidRPr="00424F03">
        <w:t>implicit</w:t>
      </w:r>
      <w:r>
        <w:t xml:space="preserve"> </w:t>
      </w:r>
      <w:r w:rsidRPr="00424F03">
        <w:t>finding</w:t>
      </w:r>
      <w:r>
        <w:t xml:space="preserve"> </w:t>
      </w:r>
      <w:r w:rsidRPr="00424F03">
        <w:t>that</w:t>
      </w:r>
      <w:r>
        <w:t xml:space="preserve"> </w:t>
      </w:r>
      <w:r w:rsidRPr="00424F03">
        <w:t>the</w:t>
      </w:r>
      <w:r>
        <w:t xml:space="preserve"> </w:t>
      </w:r>
      <w:r w:rsidRPr="00424F03">
        <w:t>only</w:t>
      </w:r>
      <w:r>
        <w:t xml:space="preserve"> </w:t>
      </w:r>
      <w:r w:rsidRPr="00424F03">
        <w:t>birds</w:t>
      </w:r>
      <w:r>
        <w:t xml:space="preserve"> </w:t>
      </w:r>
      <w:r w:rsidRPr="00424F03">
        <w:t>on</w:t>
      </w:r>
      <w:r>
        <w:t xml:space="preserve"> </w:t>
      </w:r>
      <w:r w:rsidRPr="00424F03">
        <w:t>the</w:t>
      </w:r>
      <w:r>
        <w:t xml:space="preserve"> </w:t>
      </w:r>
      <w:r w:rsidRPr="00424F03">
        <w:t>property</w:t>
      </w:r>
      <w:r>
        <w:t xml:space="preserve"> </w:t>
      </w:r>
      <w:r w:rsidRPr="00424F03">
        <w:t>were</w:t>
      </w:r>
      <w:r>
        <w:t xml:space="preserve"> </w:t>
      </w:r>
      <w:r w:rsidRPr="00424F03">
        <w:t>those</w:t>
      </w:r>
      <w:r>
        <w:t xml:space="preserve"> </w:t>
      </w:r>
      <w:r w:rsidRPr="00424F03">
        <w:t>seen</w:t>
      </w:r>
      <w:r>
        <w:t xml:space="preserve"> </w:t>
      </w:r>
      <w:r w:rsidRPr="00424F03">
        <w:t>by</w:t>
      </w:r>
      <w:r>
        <w:t xml:space="preserve"> </w:t>
      </w:r>
      <w:r w:rsidRPr="00424F03">
        <w:t>both</w:t>
      </w:r>
      <w:r>
        <w:t xml:space="preserve"> </w:t>
      </w:r>
      <w:r w:rsidRPr="00424F03">
        <w:t>Champions</w:t>
      </w:r>
      <w:r>
        <w:t xml:space="preserve"> </w:t>
      </w:r>
      <w:r w:rsidRPr="00424F03">
        <w:t>experts</w:t>
      </w:r>
      <w:r>
        <w:t xml:space="preserve"> </w:t>
      </w:r>
      <w:r w:rsidRPr="00424F03">
        <w:t>is</w:t>
      </w:r>
      <w:r>
        <w:t xml:space="preserve"> </w:t>
      </w:r>
      <w:r w:rsidRPr="00424F03">
        <w:t>clearly</w:t>
      </w:r>
      <w:r>
        <w:t xml:space="preserve"> </w:t>
      </w:r>
      <w:r w:rsidRPr="00424F03">
        <w:t>erroneous.</w:t>
      </w:r>
      <w:r>
        <w:t xml:space="preserve"> </w:t>
      </w:r>
      <w:r w:rsidRPr="00424F03">
        <w:t>More</w:t>
      </w:r>
      <w:r>
        <w:t xml:space="preserve"> </w:t>
      </w:r>
      <w:r w:rsidRPr="00424F03">
        <w:t>importantly,</w:t>
      </w:r>
      <w:r>
        <w:t xml:space="preserve"> </w:t>
      </w:r>
      <w:r w:rsidRPr="00424F03">
        <w:t>the</w:t>
      </w:r>
      <w:r>
        <w:t xml:space="preserve"> </w:t>
      </w:r>
      <w:r w:rsidRPr="00424F03">
        <w:t>Tax</w:t>
      </w:r>
      <w:r>
        <w:t xml:space="preserve"> </w:t>
      </w:r>
      <w:r w:rsidRPr="00424F03">
        <w:t>Court's</w:t>
      </w:r>
      <w:r>
        <w:t xml:space="preserve"> </w:t>
      </w:r>
      <w:r w:rsidRPr="00424F03">
        <w:t>conclusion</w:t>
      </w:r>
      <w:r>
        <w:t xml:space="preserve"> </w:t>
      </w:r>
      <w:r w:rsidRPr="00424F03">
        <w:t>that</w:t>
      </w:r>
      <w:r>
        <w:t xml:space="preserve"> </w:t>
      </w:r>
      <w:r w:rsidRPr="00424F03">
        <w:t>Champions</w:t>
      </w:r>
      <w:r>
        <w:t xml:space="preserve"> </w:t>
      </w:r>
      <w:r w:rsidRPr="00424F03">
        <w:t>did</w:t>
      </w:r>
      <w:r>
        <w:t xml:space="preserve"> </w:t>
      </w:r>
      <w:r w:rsidRPr="00424F03">
        <w:t>not</w:t>
      </w:r>
      <w:r>
        <w:t xml:space="preserve"> </w:t>
      </w:r>
      <w:r w:rsidRPr="00424F03">
        <w:t>contribute</w:t>
      </w:r>
      <w:r>
        <w:t xml:space="preserve"> </w:t>
      </w:r>
      <w:r w:rsidRPr="00424F03">
        <w:t>this</w:t>
      </w:r>
      <w:r>
        <w:t xml:space="preserve"> </w:t>
      </w:r>
      <w:r w:rsidRPr="00424F03">
        <w:t>easement</w:t>
      </w:r>
      <w:r>
        <w:t xml:space="preserve"> </w:t>
      </w:r>
      <w:r w:rsidRPr="00424F03">
        <w:t>“for</w:t>
      </w:r>
      <w:r>
        <w:t xml:space="preserve"> </w:t>
      </w:r>
      <w:r w:rsidRPr="00424F03">
        <w:t>the</w:t>
      </w:r>
      <w:r>
        <w:t xml:space="preserve"> </w:t>
      </w:r>
      <w:r w:rsidRPr="00424F03">
        <w:t>protection</w:t>
      </w:r>
      <w:r>
        <w:t xml:space="preserve"> </w:t>
      </w:r>
      <w:r w:rsidRPr="00424F03">
        <w:t>of</w:t>
      </w:r>
      <w:r>
        <w:t xml:space="preserve"> </w:t>
      </w:r>
      <w:r w:rsidRPr="00424F03">
        <w:t>a</w:t>
      </w:r>
      <w:r>
        <w:t xml:space="preserve"> </w:t>
      </w:r>
      <w:r w:rsidRPr="00424F03">
        <w:t>relatively</w:t>
      </w:r>
      <w:r>
        <w:t xml:space="preserve"> </w:t>
      </w:r>
      <w:r w:rsidRPr="00424F03">
        <w:t>natural</w:t>
      </w:r>
      <w:r>
        <w:t xml:space="preserve"> </w:t>
      </w:r>
      <w:r w:rsidRPr="00424F03">
        <w:t>habitat</w:t>
      </w:r>
      <w:r>
        <w:t xml:space="preserve"> </w:t>
      </w:r>
      <w:r w:rsidRPr="00424F03">
        <w:t>of</w:t>
      </w:r>
      <w:r>
        <w:t xml:space="preserve"> </w:t>
      </w:r>
      <w:r w:rsidRPr="00424F03">
        <w:t>fish,</w:t>
      </w:r>
      <w:r>
        <w:t xml:space="preserve"> </w:t>
      </w:r>
      <w:r w:rsidRPr="00424F03">
        <w:t>wildlife,</w:t>
      </w:r>
      <w:r>
        <w:t xml:space="preserve"> </w:t>
      </w:r>
      <w:r w:rsidRPr="00424F03">
        <w:t>or</w:t>
      </w:r>
      <w:r>
        <w:t xml:space="preserve"> </w:t>
      </w:r>
      <w:r w:rsidRPr="00424F03">
        <w:t>plants,</w:t>
      </w:r>
      <w:r>
        <w:t xml:space="preserve"> </w:t>
      </w:r>
      <w:r w:rsidRPr="00424F03">
        <w:t>or</w:t>
      </w:r>
      <w:r>
        <w:t xml:space="preserve"> </w:t>
      </w:r>
      <w:r w:rsidRPr="00424F03">
        <w:t>similar</w:t>
      </w:r>
      <w:r>
        <w:t xml:space="preserve"> </w:t>
      </w:r>
      <w:r w:rsidRPr="00424F03">
        <w:t>ecosystem”</w:t>
      </w:r>
      <w:r>
        <w:t xml:space="preserve"> </w:t>
      </w:r>
      <w:r w:rsidRPr="00424F03">
        <w:t>—</w:t>
      </w:r>
      <w:r>
        <w:t xml:space="preserve"> </w:t>
      </w:r>
      <w:r w:rsidRPr="00424F03">
        <w:t>a</w:t>
      </w:r>
      <w:r>
        <w:t xml:space="preserve"> </w:t>
      </w:r>
      <w:r w:rsidRPr="00424F03">
        <w:t>conclusion</w:t>
      </w:r>
      <w:r>
        <w:t xml:space="preserve"> </w:t>
      </w:r>
      <w:r w:rsidRPr="00424F03">
        <w:t>based</w:t>
      </w:r>
      <w:r>
        <w:t xml:space="preserve"> </w:t>
      </w:r>
      <w:r w:rsidRPr="00424F03">
        <w:t>in</w:t>
      </w:r>
      <w:r>
        <w:t xml:space="preserve"> </w:t>
      </w:r>
      <w:r w:rsidRPr="00424F03">
        <w:t>part</w:t>
      </w:r>
      <w:r>
        <w:t xml:space="preserve"> </w:t>
      </w:r>
      <w:r w:rsidRPr="00424F03">
        <w:t>on</w:t>
      </w:r>
      <w:r>
        <w:t xml:space="preserve"> </w:t>
      </w:r>
      <w:r w:rsidRPr="00424F03">
        <w:t>the</w:t>
      </w:r>
      <w:r>
        <w:t xml:space="preserve"> </w:t>
      </w:r>
      <w:r w:rsidRPr="00424F03">
        <w:t>clearly</w:t>
      </w:r>
      <w:r>
        <w:t xml:space="preserve"> </w:t>
      </w:r>
      <w:r w:rsidRPr="00424F03">
        <w:t>erroneous</w:t>
      </w:r>
      <w:r>
        <w:t xml:space="preserve"> </w:t>
      </w:r>
      <w:r w:rsidRPr="00424F03">
        <w:t>finding</w:t>
      </w:r>
      <w:r>
        <w:t xml:space="preserve"> </w:t>
      </w:r>
      <w:r w:rsidRPr="00424F03">
        <w:t>of</w:t>
      </w:r>
      <w:r>
        <w:t xml:space="preserve"> </w:t>
      </w:r>
      <w:r w:rsidRPr="00424F03">
        <w:t>fact</w:t>
      </w:r>
      <w:r>
        <w:t xml:space="preserve"> </w:t>
      </w:r>
      <w:r w:rsidRPr="00424F03">
        <w:t>—</w:t>
      </w:r>
      <w:r>
        <w:t xml:space="preserve"> </w:t>
      </w:r>
      <w:r w:rsidRPr="00424F03">
        <w:t>is</w:t>
      </w:r>
      <w:r>
        <w:t xml:space="preserve"> </w:t>
      </w:r>
      <w:r w:rsidRPr="00424F03">
        <w:t>wrong</w:t>
      </w:r>
      <w:r>
        <w:t xml:space="preserve"> </w:t>
      </w:r>
      <w:r w:rsidRPr="00424F03">
        <w:t>as</w:t>
      </w:r>
      <w:r>
        <w:t xml:space="preserve"> </w:t>
      </w:r>
      <w:r w:rsidRPr="00424F03">
        <w:t>a</w:t>
      </w:r>
      <w:r>
        <w:t xml:space="preserve"> </w:t>
      </w:r>
      <w:r w:rsidRPr="00424F03">
        <w:t>matter</w:t>
      </w:r>
      <w:r>
        <w:t xml:space="preserve"> </w:t>
      </w:r>
      <w:r w:rsidRPr="00424F03">
        <w:t>of</w:t>
      </w:r>
      <w:r>
        <w:t xml:space="preserve"> </w:t>
      </w:r>
      <w:r w:rsidRPr="00424F03">
        <w:t>law.</w:t>
      </w:r>
    </w:p>
    <w:p w:rsidR="00B576F9" w:rsidRPr="00424F03" w:rsidRDefault="00B576F9" w:rsidP="00B576F9">
      <w:pPr>
        <w:pStyle w:val="QS10"/>
      </w:pPr>
      <w:r w:rsidRPr="00424F03">
        <w:t>Were</w:t>
      </w:r>
      <w:r>
        <w:t xml:space="preserve"> </w:t>
      </w:r>
      <w:r w:rsidRPr="00424F03">
        <w:t>it</w:t>
      </w:r>
      <w:r>
        <w:t xml:space="preserve"> </w:t>
      </w:r>
      <w:r w:rsidRPr="00424F03">
        <w:t>not</w:t>
      </w:r>
      <w:r>
        <w:t xml:space="preserve"> </w:t>
      </w:r>
      <w:r w:rsidRPr="00424F03">
        <w:t>for</w:t>
      </w:r>
      <w:r>
        <w:t xml:space="preserve"> </w:t>
      </w:r>
      <w:r w:rsidRPr="00424F03">
        <w:t>the</w:t>
      </w:r>
      <w:r>
        <w:t xml:space="preserve"> </w:t>
      </w:r>
      <w:r w:rsidRPr="00424F03">
        <w:t>presence</w:t>
      </w:r>
      <w:r>
        <w:t xml:space="preserve"> </w:t>
      </w:r>
      <w:r w:rsidRPr="00424F03">
        <w:t>of</w:t>
      </w:r>
      <w:r>
        <w:t xml:space="preserve"> </w:t>
      </w:r>
      <w:r w:rsidRPr="00424F03">
        <w:t>a</w:t>
      </w:r>
      <w:r>
        <w:t xml:space="preserve"> </w:t>
      </w:r>
      <w:r w:rsidRPr="00424F03">
        <w:t>golf</w:t>
      </w:r>
      <w:r>
        <w:t xml:space="preserve"> </w:t>
      </w:r>
      <w:r w:rsidRPr="00424F03">
        <w:t>course</w:t>
      </w:r>
      <w:r>
        <w:t xml:space="preserve"> </w:t>
      </w:r>
      <w:r w:rsidRPr="00424F03">
        <w:t>on</w:t>
      </w:r>
      <w:r>
        <w:t xml:space="preserve"> </w:t>
      </w:r>
      <w:r w:rsidRPr="00424F03">
        <w:t>part</w:t>
      </w:r>
      <w:r>
        <w:t xml:space="preserve"> </w:t>
      </w:r>
      <w:r w:rsidRPr="00424F03">
        <w:t>of</w:t>
      </w:r>
      <w:r>
        <w:t xml:space="preserve"> </w:t>
      </w:r>
      <w:r w:rsidRPr="00424F03">
        <w:t>this</w:t>
      </w:r>
      <w:r>
        <w:t xml:space="preserve"> </w:t>
      </w:r>
      <w:r w:rsidRPr="00424F03">
        <w:t>property,</w:t>
      </w:r>
      <w:r>
        <w:t xml:space="preserve"> </w:t>
      </w:r>
      <w:r w:rsidRPr="00424F03">
        <w:t>the</w:t>
      </w:r>
      <w:r>
        <w:t xml:space="preserve"> </w:t>
      </w:r>
      <w:r w:rsidRPr="00424F03">
        <w:t>assertion</w:t>
      </w:r>
      <w:r>
        <w:t xml:space="preserve"> </w:t>
      </w:r>
      <w:r w:rsidRPr="00424F03">
        <w:t>that</w:t>
      </w:r>
      <w:r>
        <w:t xml:space="preserve"> </w:t>
      </w:r>
      <w:r w:rsidRPr="00424F03">
        <w:t>contributing</w:t>
      </w:r>
      <w:r>
        <w:t xml:space="preserve"> </w:t>
      </w:r>
      <w:r w:rsidRPr="00424F03">
        <w:t>an</w:t>
      </w:r>
      <w:r>
        <w:t xml:space="preserve"> </w:t>
      </w:r>
      <w:r w:rsidRPr="00424F03">
        <w:t>easement</w:t>
      </w:r>
      <w:r>
        <w:t xml:space="preserve"> </w:t>
      </w:r>
      <w:r w:rsidRPr="00424F03">
        <w:t>over</w:t>
      </w:r>
      <w:r>
        <w:t xml:space="preserve"> </w:t>
      </w:r>
      <w:r w:rsidRPr="00424F03">
        <w:t>property</w:t>
      </w:r>
      <w:r>
        <w:t xml:space="preserve"> </w:t>
      </w:r>
      <w:r w:rsidRPr="00424F03">
        <w:t>with</w:t>
      </w:r>
      <w:r>
        <w:t xml:space="preserve"> </w:t>
      </w:r>
      <w:r w:rsidRPr="00424F03">
        <w:t>this</w:t>
      </w:r>
      <w:r>
        <w:t xml:space="preserve"> </w:t>
      </w:r>
      <w:r w:rsidRPr="00424F03">
        <w:t>array</w:t>
      </w:r>
      <w:r>
        <w:t xml:space="preserve"> </w:t>
      </w:r>
      <w:r w:rsidRPr="00424F03">
        <w:t>of</w:t>
      </w:r>
      <w:r>
        <w:t xml:space="preserve"> </w:t>
      </w:r>
      <w:r w:rsidRPr="00424F03">
        <w:t>species</w:t>
      </w:r>
      <w:r>
        <w:t xml:space="preserve"> </w:t>
      </w:r>
      <w:r w:rsidRPr="00424F03">
        <w:t>does</w:t>
      </w:r>
      <w:r>
        <w:t xml:space="preserve"> </w:t>
      </w:r>
      <w:r w:rsidRPr="00424F03">
        <w:t>not</w:t>
      </w:r>
      <w:r>
        <w:t xml:space="preserve"> </w:t>
      </w:r>
      <w:r w:rsidRPr="00424F03">
        <w:t>qualify</w:t>
      </w:r>
      <w:r>
        <w:t xml:space="preserve"> </w:t>
      </w:r>
      <w:r w:rsidRPr="00424F03">
        <w:t>as</w:t>
      </w:r>
      <w:r>
        <w:t xml:space="preserve"> </w:t>
      </w:r>
      <w:r w:rsidRPr="00424F03">
        <w:t>a</w:t>
      </w:r>
      <w:r>
        <w:t xml:space="preserve"> </w:t>
      </w:r>
      <w:r w:rsidRPr="00424F03">
        <w:t>conservation</w:t>
      </w:r>
      <w:r>
        <w:t xml:space="preserve"> </w:t>
      </w:r>
      <w:r w:rsidRPr="00424F03">
        <w:t>purpose</w:t>
      </w:r>
      <w:r>
        <w:t xml:space="preserve"> </w:t>
      </w:r>
      <w:r w:rsidRPr="00424F03">
        <w:t>would</w:t>
      </w:r>
      <w:r>
        <w:t xml:space="preserve"> </w:t>
      </w:r>
      <w:r w:rsidRPr="00424F03">
        <w:t>be</w:t>
      </w:r>
      <w:r>
        <w:t xml:space="preserve"> </w:t>
      </w:r>
      <w:r w:rsidRPr="00424F03">
        <w:t>a</w:t>
      </w:r>
      <w:r>
        <w:t xml:space="preserve"> </w:t>
      </w:r>
      <w:r w:rsidRPr="00424F03">
        <w:t>nonstarter.</w:t>
      </w:r>
    </w:p>
    <w:p w:rsidR="00803A76" w:rsidRDefault="00803A76">
      <w:pPr>
        <w:rPr>
          <w:bCs w:val="0"/>
          <w:color w:val="000000" w:themeColor="text1"/>
        </w:rPr>
      </w:pPr>
      <w:r>
        <w:rPr>
          <w:color w:val="000000" w:themeColor="text1"/>
        </w:rPr>
        <w:br w:type="page"/>
      </w:r>
    </w:p>
    <w:p w:rsidR="00B576F9" w:rsidRDefault="00B576F9" w:rsidP="00B576F9">
      <w:pPr>
        <w:pStyle w:val="Body15"/>
        <w:spacing w:before="240"/>
        <w:rPr>
          <w:color w:val="000000" w:themeColor="text1"/>
        </w:rPr>
      </w:pPr>
      <w:r>
        <w:rPr>
          <w:color w:val="000000" w:themeColor="text1"/>
        </w:rPr>
        <w:t>The concerned land is also scenic, notes the court:</w:t>
      </w:r>
    </w:p>
    <w:p w:rsidR="00B576F9" w:rsidRPr="00424F03" w:rsidRDefault="00B576F9" w:rsidP="00B576F9">
      <w:pPr>
        <w:pStyle w:val="QS10"/>
      </w:pPr>
      <w:r w:rsidRPr="00424F03">
        <w:t>The</w:t>
      </w:r>
      <w:r>
        <w:t xml:space="preserve"> </w:t>
      </w:r>
      <w:r w:rsidRPr="00424F03">
        <w:t>record</w:t>
      </w:r>
      <w:r>
        <w:t xml:space="preserve"> </w:t>
      </w:r>
      <w:r w:rsidRPr="00424F03">
        <w:t>establishes</w:t>
      </w:r>
      <w:r>
        <w:t xml:space="preserve"> </w:t>
      </w:r>
      <w:r w:rsidRPr="00424F03">
        <w:t>without</w:t>
      </w:r>
      <w:r>
        <w:t xml:space="preserve"> </w:t>
      </w:r>
      <w:r w:rsidRPr="00424F03">
        <w:t>dispute</w:t>
      </w:r>
      <w:r>
        <w:t xml:space="preserve"> </w:t>
      </w:r>
      <w:r w:rsidRPr="00424F03">
        <w:t>that</w:t>
      </w:r>
      <w:r>
        <w:t xml:space="preserve"> </w:t>
      </w:r>
      <w:r w:rsidRPr="00424F03">
        <w:t>members</w:t>
      </w:r>
      <w:r>
        <w:t xml:space="preserve"> </w:t>
      </w:r>
      <w:r w:rsidRPr="00424F03">
        <w:t>of</w:t>
      </w:r>
      <w:r>
        <w:t xml:space="preserve"> </w:t>
      </w:r>
      <w:r w:rsidRPr="00424F03">
        <w:t>the</w:t>
      </w:r>
      <w:r>
        <w:t xml:space="preserve"> </w:t>
      </w:r>
      <w:r w:rsidRPr="00424F03">
        <w:t>public</w:t>
      </w:r>
      <w:r>
        <w:t xml:space="preserve"> </w:t>
      </w:r>
      <w:r w:rsidRPr="00424F03">
        <w:t>can</w:t>
      </w:r>
      <w:r>
        <w:t xml:space="preserve"> </w:t>
      </w:r>
      <w:r w:rsidRPr="00424F03">
        <w:t>and</w:t>
      </w:r>
      <w:r>
        <w:t xml:space="preserve"> </w:t>
      </w:r>
      <w:r w:rsidRPr="00424F03">
        <w:t>do</w:t>
      </w:r>
      <w:r>
        <w:t xml:space="preserve"> </w:t>
      </w:r>
      <w:r w:rsidRPr="00424F03">
        <w:t>canoe</w:t>
      </w:r>
      <w:r>
        <w:t xml:space="preserve"> </w:t>
      </w:r>
      <w:r w:rsidRPr="00424F03">
        <w:t>and</w:t>
      </w:r>
      <w:r>
        <w:t xml:space="preserve"> </w:t>
      </w:r>
      <w:r w:rsidRPr="00424F03">
        <w:t>kayak</w:t>
      </w:r>
      <w:r>
        <w:t xml:space="preserve"> </w:t>
      </w:r>
      <w:r w:rsidRPr="00424F03">
        <w:t>on</w:t>
      </w:r>
      <w:r>
        <w:t xml:space="preserve"> </w:t>
      </w:r>
      <w:r w:rsidRPr="00424F03">
        <w:t>the</w:t>
      </w:r>
      <w:r>
        <w:t xml:space="preserve"> </w:t>
      </w:r>
      <w:r w:rsidRPr="00424F03">
        <w:t>Savannah</w:t>
      </w:r>
      <w:r>
        <w:t xml:space="preserve"> </w:t>
      </w:r>
      <w:r w:rsidRPr="00424F03">
        <w:t>River</w:t>
      </w:r>
      <w:r>
        <w:t xml:space="preserve"> </w:t>
      </w:r>
      <w:r w:rsidRPr="00424F03">
        <w:t>alongside</w:t>
      </w:r>
      <w:r>
        <w:t xml:space="preserve"> </w:t>
      </w:r>
      <w:r w:rsidRPr="00424F03">
        <w:t>the</w:t>
      </w:r>
      <w:r>
        <w:t xml:space="preserve"> </w:t>
      </w:r>
      <w:r w:rsidRPr="00424F03">
        <w:t>easement</w:t>
      </w:r>
      <w:r>
        <w:t xml:space="preserve"> </w:t>
      </w:r>
      <w:r w:rsidRPr="00424F03">
        <w:t>and</w:t>
      </w:r>
      <w:r>
        <w:t xml:space="preserve"> </w:t>
      </w:r>
      <w:r w:rsidRPr="00424F03">
        <w:t>on</w:t>
      </w:r>
      <w:r>
        <w:t xml:space="preserve"> </w:t>
      </w:r>
      <w:r w:rsidRPr="00424F03">
        <w:t>the</w:t>
      </w:r>
      <w:r>
        <w:t xml:space="preserve"> </w:t>
      </w:r>
      <w:r w:rsidRPr="00424F03">
        <w:t>Little</w:t>
      </w:r>
      <w:r>
        <w:t xml:space="preserve"> </w:t>
      </w:r>
      <w:r w:rsidRPr="00424F03">
        <w:t>River</w:t>
      </w:r>
      <w:r>
        <w:t xml:space="preserve"> </w:t>
      </w:r>
      <w:r w:rsidRPr="00424F03">
        <w:t>as</w:t>
      </w:r>
      <w:r>
        <w:t xml:space="preserve"> </w:t>
      </w:r>
      <w:r w:rsidRPr="00424F03">
        <w:t>it</w:t>
      </w:r>
      <w:r>
        <w:t xml:space="preserve"> </w:t>
      </w:r>
      <w:r w:rsidRPr="00424F03">
        <w:t>runs</w:t>
      </w:r>
      <w:r>
        <w:t xml:space="preserve"> </w:t>
      </w:r>
      <w:r w:rsidRPr="00424F03">
        <w:t>through</w:t>
      </w:r>
      <w:r>
        <w:t xml:space="preserve"> </w:t>
      </w:r>
      <w:r w:rsidRPr="00424F03">
        <w:t>the</w:t>
      </w:r>
      <w:r>
        <w:t xml:space="preserve"> </w:t>
      </w:r>
      <w:r w:rsidRPr="00424F03">
        <w:t>easement.</w:t>
      </w:r>
      <w:r>
        <w:t xml:space="preserve"> </w:t>
      </w:r>
      <w:r w:rsidRPr="00424F03">
        <w:t>The</w:t>
      </w:r>
      <w:r>
        <w:t xml:space="preserve"> </w:t>
      </w:r>
      <w:r w:rsidRPr="00424F03">
        <w:t>view</w:t>
      </w:r>
      <w:r>
        <w:t xml:space="preserve"> </w:t>
      </w:r>
      <w:r w:rsidRPr="00424F03">
        <w:t>from</w:t>
      </w:r>
      <w:r>
        <w:t xml:space="preserve"> </w:t>
      </w:r>
      <w:r w:rsidRPr="00424F03">
        <w:t>the</w:t>
      </w:r>
      <w:r>
        <w:t xml:space="preserve"> </w:t>
      </w:r>
      <w:r w:rsidRPr="00424F03">
        <w:t>rivers</w:t>
      </w:r>
      <w:r>
        <w:t xml:space="preserve"> </w:t>
      </w:r>
      <w:r w:rsidRPr="00424F03">
        <w:t>includes</w:t>
      </w:r>
      <w:r>
        <w:t xml:space="preserve"> </w:t>
      </w:r>
      <w:r w:rsidRPr="00424F03">
        <w:t>the</w:t>
      </w:r>
      <w:r>
        <w:t xml:space="preserve"> </w:t>
      </w:r>
      <w:r w:rsidRPr="00424F03">
        <w:t>easement's</w:t>
      </w:r>
      <w:r>
        <w:t xml:space="preserve"> </w:t>
      </w:r>
      <w:r w:rsidRPr="00424F03">
        <w:t>natural</w:t>
      </w:r>
      <w:r>
        <w:t xml:space="preserve"> </w:t>
      </w:r>
      <w:r w:rsidRPr="00424F03">
        <w:t>areas</w:t>
      </w:r>
      <w:r>
        <w:t xml:space="preserve"> </w:t>
      </w:r>
      <w:r w:rsidRPr="00424F03">
        <w:t>as</w:t>
      </w:r>
      <w:r>
        <w:t xml:space="preserve"> </w:t>
      </w:r>
      <w:r w:rsidRPr="00424F03">
        <w:t>well</w:t>
      </w:r>
      <w:r>
        <w:t xml:space="preserve"> </w:t>
      </w:r>
      <w:r w:rsidRPr="00424F03">
        <w:t>as</w:t>
      </w:r>
      <w:r>
        <w:t xml:space="preserve"> </w:t>
      </w:r>
      <w:r w:rsidRPr="00424F03">
        <w:t>the</w:t>
      </w:r>
      <w:r>
        <w:t xml:space="preserve"> </w:t>
      </w:r>
      <w:r w:rsidRPr="00424F03">
        <w:t>golf</w:t>
      </w:r>
      <w:r>
        <w:t xml:space="preserve"> </w:t>
      </w:r>
      <w:r w:rsidRPr="00424F03">
        <w:t>course.</w:t>
      </w:r>
      <w:r>
        <w:t xml:space="preserve"> </w:t>
      </w:r>
      <w:r w:rsidRPr="00424F03">
        <w:t>The</w:t>
      </w:r>
      <w:r>
        <w:t xml:space="preserve"> </w:t>
      </w:r>
      <w:r w:rsidRPr="00424F03">
        <w:t>record</w:t>
      </w:r>
      <w:r>
        <w:t xml:space="preserve"> </w:t>
      </w:r>
      <w:r w:rsidRPr="00424F03">
        <w:t>includes</w:t>
      </w:r>
      <w:r>
        <w:t xml:space="preserve"> </w:t>
      </w:r>
      <w:r w:rsidRPr="00424F03">
        <w:t>a</w:t>
      </w:r>
      <w:r>
        <w:t xml:space="preserve"> </w:t>
      </w:r>
      <w:r w:rsidRPr="00424F03">
        <w:t>video</w:t>
      </w:r>
      <w:r>
        <w:t xml:space="preserve"> </w:t>
      </w:r>
      <w:r w:rsidRPr="00424F03">
        <w:t>illustrating</w:t>
      </w:r>
      <w:r>
        <w:t xml:space="preserve"> </w:t>
      </w:r>
      <w:r w:rsidRPr="00424F03">
        <w:t>the</w:t>
      </w:r>
      <w:r>
        <w:t xml:space="preserve"> </w:t>
      </w:r>
      <w:r w:rsidRPr="00424F03">
        <w:t>stark</w:t>
      </w:r>
      <w:r>
        <w:t xml:space="preserve"> </w:t>
      </w:r>
      <w:r w:rsidRPr="00424F03">
        <w:t>difference</w:t>
      </w:r>
      <w:r>
        <w:t xml:space="preserve"> </w:t>
      </w:r>
      <w:r w:rsidRPr="00424F03">
        <w:t>in</w:t>
      </w:r>
      <w:r>
        <w:t xml:space="preserve"> </w:t>
      </w:r>
      <w:r w:rsidRPr="00424F03">
        <w:t>the</w:t>
      </w:r>
      <w:r>
        <w:t xml:space="preserve"> </w:t>
      </w:r>
      <w:r w:rsidRPr="00424F03">
        <w:t>views</w:t>
      </w:r>
      <w:r>
        <w:t xml:space="preserve"> </w:t>
      </w:r>
      <w:r w:rsidRPr="00424F03">
        <w:t>of</w:t>
      </w:r>
      <w:r>
        <w:t xml:space="preserve"> </w:t>
      </w:r>
      <w:r w:rsidRPr="00424F03">
        <w:t>the</w:t>
      </w:r>
      <w:r>
        <w:t xml:space="preserve"> </w:t>
      </w:r>
      <w:r w:rsidRPr="00424F03">
        <w:t>easement</w:t>
      </w:r>
      <w:r>
        <w:t xml:space="preserve"> </w:t>
      </w:r>
      <w:r w:rsidRPr="00424F03">
        <w:t>property,</w:t>
      </w:r>
      <w:r>
        <w:t xml:space="preserve"> </w:t>
      </w:r>
      <w:r w:rsidRPr="00424F03">
        <w:t>on</w:t>
      </w:r>
      <w:r>
        <w:t xml:space="preserve"> </w:t>
      </w:r>
      <w:r w:rsidRPr="00424F03">
        <w:t>the</w:t>
      </w:r>
      <w:r>
        <w:t xml:space="preserve"> </w:t>
      </w:r>
      <w:r w:rsidRPr="00424F03">
        <w:t>one</w:t>
      </w:r>
      <w:r>
        <w:t xml:space="preserve"> </w:t>
      </w:r>
      <w:r w:rsidRPr="00424F03">
        <w:t>hand,</w:t>
      </w:r>
      <w:r>
        <w:t xml:space="preserve"> </w:t>
      </w:r>
      <w:r w:rsidRPr="00424F03">
        <w:t>and</w:t>
      </w:r>
      <w:r>
        <w:t xml:space="preserve"> </w:t>
      </w:r>
      <w:r w:rsidRPr="00424F03">
        <w:t>the</w:t>
      </w:r>
      <w:r>
        <w:t xml:space="preserve"> </w:t>
      </w:r>
      <w:r w:rsidRPr="00424F03">
        <w:t>property</w:t>
      </w:r>
      <w:r>
        <w:t xml:space="preserve"> </w:t>
      </w:r>
      <w:r w:rsidRPr="00424F03">
        <w:t>farther</w:t>
      </w:r>
      <w:r>
        <w:t xml:space="preserve"> </w:t>
      </w:r>
      <w:r w:rsidRPr="00424F03">
        <w:t>down</w:t>
      </w:r>
      <w:r>
        <w:t xml:space="preserve"> </w:t>
      </w:r>
      <w:r w:rsidRPr="00424F03">
        <w:t>the</w:t>
      </w:r>
      <w:r>
        <w:t xml:space="preserve"> </w:t>
      </w:r>
      <w:r w:rsidRPr="00424F03">
        <w:t>Savannah</w:t>
      </w:r>
      <w:r>
        <w:t xml:space="preserve"> </w:t>
      </w:r>
      <w:r w:rsidRPr="00424F03">
        <w:t>River,</w:t>
      </w:r>
      <w:r>
        <w:t xml:space="preserve"> </w:t>
      </w:r>
      <w:r w:rsidRPr="00424F03">
        <w:t>on</w:t>
      </w:r>
      <w:r>
        <w:t xml:space="preserve"> </w:t>
      </w:r>
      <w:r w:rsidRPr="00424F03">
        <w:t>the</w:t>
      </w:r>
      <w:r>
        <w:t xml:space="preserve"> </w:t>
      </w:r>
      <w:r w:rsidRPr="00424F03">
        <w:t>other.</w:t>
      </w:r>
      <w:r>
        <w:t xml:space="preserve"> </w:t>
      </w:r>
      <w:r w:rsidRPr="00424F03">
        <w:t>The</w:t>
      </w:r>
      <w:r>
        <w:t xml:space="preserve"> </w:t>
      </w:r>
      <w:r w:rsidRPr="00424F03">
        <w:t>downriver</w:t>
      </w:r>
      <w:r>
        <w:t xml:space="preserve"> </w:t>
      </w:r>
      <w:r w:rsidRPr="00424F03">
        <w:t>property</w:t>
      </w:r>
      <w:r>
        <w:t xml:space="preserve"> </w:t>
      </w:r>
      <w:r w:rsidRPr="00424F03">
        <w:t>includes</w:t>
      </w:r>
      <w:r>
        <w:t xml:space="preserve"> </w:t>
      </w:r>
      <w:r w:rsidRPr="00424F03">
        <w:t>considerable</w:t>
      </w:r>
      <w:r>
        <w:t xml:space="preserve"> </w:t>
      </w:r>
      <w:r w:rsidRPr="00424F03">
        <w:t>development</w:t>
      </w:r>
      <w:r>
        <w:t xml:space="preserve"> </w:t>
      </w:r>
      <w:r w:rsidRPr="00424F03">
        <w:t>—</w:t>
      </w:r>
      <w:r>
        <w:t xml:space="preserve"> </w:t>
      </w:r>
      <w:r w:rsidRPr="00424F03">
        <w:t>development</w:t>
      </w:r>
      <w:r>
        <w:t xml:space="preserve"> </w:t>
      </w:r>
      <w:r w:rsidRPr="00424F03">
        <w:t>that</w:t>
      </w:r>
      <w:r>
        <w:t xml:space="preserve"> </w:t>
      </w:r>
      <w:r w:rsidRPr="00424F03">
        <w:t>few</w:t>
      </w:r>
      <w:r>
        <w:t xml:space="preserve"> </w:t>
      </w:r>
      <w:r w:rsidRPr="00424F03">
        <w:t>canoers</w:t>
      </w:r>
      <w:r>
        <w:t xml:space="preserve"> </w:t>
      </w:r>
      <w:r w:rsidRPr="00424F03">
        <w:t>or</w:t>
      </w:r>
      <w:r>
        <w:t xml:space="preserve"> </w:t>
      </w:r>
      <w:r w:rsidRPr="00424F03">
        <w:t>kayakers</w:t>
      </w:r>
      <w:r>
        <w:t xml:space="preserve"> </w:t>
      </w:r>
      <w:r w:rsidRPr="00424F03">
        <w:t>would</w:t>
      </w:r>
      <w:r>
        <w:t xml:space="preserve"> </w:t>
      </w:r>
      <w:r w:rsidRPr="00424F03">
        <w:t>find</w:t>
      </w:r>
      <w:r>
        <w:t xml:space="preserve"> </w:t>
      </w:r>
      <w:r w:rsidRPr="00424F03">
        <w:t>scenic.</w:t>
      </w:r>
    </w:p>
    <w:p w:rsidR="00B576F9" w:rsidRPr="00424F03" w:rsidRDefault="00B576F9" w:rsidP="00B576F9">
      <w:pPr>
        <w:pStyle w:val="QS10"/>
      </w:pPr>
      <w:r w:rsidRPr="00424F03">
        <w:t>One</w:t>
      </w:r>
      <w:r>
        <w:t xml:space="preserve"> </w:t>
      </w:r>
      <w:r w:rsidRPr="00424F03">
        <w:t>could</w:t>
      </w:r>
      <w:r>
        <w:t xml:space="preserve"> </w:t>
      </w:r>
      <w:r w:rsidRPr="00424F03">
        <w:t>perhaps</w:t>
      </w:r>
      <w:r>
        <w:t xml:space="preserve"> </w:t>
      </w:r>
      <w:r w:rsidRPr="00424F03">
        <w:t>debate</w:t>
      </w:r>
      <w:r>
        <w:t xml:space="preserve"> </w:t>
      </w:r>
      <w:r w:rsidRPr="00424F03">
        <w:t>whether</w:t>
      </w:r>
      <w:r>
        <w:t xml:space="preserve"> </w:t>
      </w:r>
      <w:r w:rsidRPr="00424F03">
        <w:t>a</w:t>
      </w:r>
      <w:r>
        <w:t xml:space="preserve"> </w:t>
      </w:r>
      <w:r w:rsidRPr="00424F03">
        <w:t>golf</w:t>
      </w:r>
      <w:r>
        <w:t xml:space="preserve"> </w:t>
      </w:r>
      <w:r w:rsidRPr="00424F03">
        <w:t>course</w:t>
      </w:r>
      <w:r>
        <w:t xml:space="preserve"> </w:t>
      </w:r>
      <w:r w:rsidRPr="00424F03">
        <w:t>provides</w:t>
      </w:r>
      <w:r>
        <w:t xml:space="preserve"> </w:t>
      </w:r>
      <w:r w:rsidRPr="00424F03">
        <w:t>scenic</w:t>
      </w:r>
      <w:r>
        <w:t xml:space="preserve"> </w:t>
      </w:r>
      <w:r w:rsidRPr="00424F03">
        <w:t>enjoyment.</w:t>
      </w:r>
      <w:r>
        <w:t xml:space="preserve"> </w:t>
      </w:r>
      <w:r w:rsidRPr="00424F03">
        <w:t>But</w:t>
      </w:r>
      <w:r>
        <w:t xml:space="preserve"> </w:t>
      </w:r>
      <w:r w:rsidRPr="00424F03">
        <w:t>the</w:t>
      </w:r>
      <w:r>
        <w:t xml:space="preserve"> </w:t>
      </w:r>
      <w:r w:rsidRPr="00424F03">
        <w:t>natural</w:t>
      </w:r>
      <w:r>
        <w:t xml:space="preserve"> </w:t>
      </w:r>
      <w:r w:rsidRPr="00424F03">
        <w:t>areas</w:t>
      </w:r>
      <w:r>
        <w:t xml:space="preserve"> </w:t>
      </w:r>
      <w:r w:rsidRPr="00424F03">
        <w:t>covered</w:t>
      </w:r>
      <w:r>
        <w:t xml:space="preserve"> </w:t>
      </w:r>
      <w:r w:rsidRPr="00424F03">
        <w:t>by</w:t>
      </w:r>
      <w:r>
        <w:t xml:space="preserve"> </w:t>
      </w:r>
      <w:r w:rsidRPr="00424F03">
        <w:t>this</w:t>
      </w:r>
      <w:r>
        <w:t xml:space="preserve"> </w:t>
      </w:r>
      <w:r w:rsidRPr="00424F03">
        <w:t>easement</w:t>
      </w:r>
      <w:r>
        <w:t xml:space="preserve"> </w:t>
      </w:r>
      <w:r w:rsidRPr="00424F03">
        <w:t>surely</w:t>
      </w:r>
      <w:r>
        <w:t xml:space="preserve"> </w:t>
      </w:r>
      <w:r w:rsidRPr="00424F03">
        <w:t>do.</w:t>
      </w:r>
      <w:r>
        <w:t xml:space="preserve"> </w:t>
      </w:r>
      <w:r w:rsidRPr="00424F03">
        <w:t>And</w:t>
      </w:r>
      <w:r>
        <w:t xml:space="preserve"> </w:t>
      </w:r>
      <w:r w:rsidRPr="00424F03">
        <w:t>the</w:t>
      </w:r>
      <w:r>
        <w:t xml:space="preserve"> </w:t>
      </w:r>
      <w:r w:rsidRPr="00424F03">
        <w:t>golf</w:t>
      </w:r>
      <w:r>
        <w:t xml:space="preserve"> </w:t>
      </w:r>
      <w:r w:rsidRPr="00424F03">
        <w:t>course,</w:t>
      </w:r>
      <w:r>
        <w:t xml:space="preserve"> </w:t>
      </w:r>
      <w:r w:rsidRPr="00424F03">
        <w:t>whose</w:t>
      </w:r>
      <w:r>
        <w:t xml:space="preserve"> </w:t>
      </w:r>
      <w:r w:rsidRPr="00424F03">
        <w:t>most</w:t>
      </w:r>
      <w:r>
        <w:t xml:space="preserve"> </w:t>
      </w:r>
      <w:r w:rsidRPr="00424F03">
        <w:t>prominent</w:t>
      </w:r>
      <w:r>
        <w:t xml:space="preserve"> </w:t>
      </w:r>
      <w:r w:rsidRPr="00424F03">
        <w:t>feature</w:t>
      </w:r>
      <w:r>
        <w:t xml:space="preserve"> </w:t>
      </w:r>
      <w:r w:rsidRPr="00424F03">
        <w:t>visible</w:t>
      </w:r>
      <w:r>
        <w:t xml:space="preserve"> </w:t>
      </w:r>
      <w:r w:rsidRPr="00424F03">
        <w:t>from</w:t>
      </w:r>
      <w:r>
        <w:t xml:space="preserve"> </w:t>
      </w:r>
      <w:r w:rsidRPr="00424F03">
        <w:t>a</w:t>
      </w:r>
      <w:r>
        <w:t xml:space="preserve"> </w:t>
      </w:r>
      <w:r w:rsidRPr="00424F03">
        <w:t>canoe</w:t>
      </w:r>
      <w:r>
        <w:t xml:space="preserve"> </w:t>
      </w:r>
      <w:r w:rsidRPr="00424F03">
        <w:t>or</w:t>
      </w:r>
      <w:r>
        <w:t xml:space="preserve"> </w:t>
      </w:r>
      <w:r w:rsidRPr="00424F03">
        <w:t>kayak</w:t>
      </w:r>
      <w:r>
        <w:t xml:space="preserve"> </w:t>
      </w:r>
      <w:r w:rsidRPr="00424F03">
        <w:t>on</w:t>
      </w:r>
      <w:r>
        <w:t xml:space="preserve"> </w:t>
      </w:r>
      <w:r w:rsidRPr="00424F03">
        <w:t>the</w:t>
      </w:r>
      <w:r>
        <w:t xml:space="preserve"> </w:t>
      </w:r>
      <w:r w:rsidRPr="00424F03">
        <w:t>river</w:t>
      </w:r>
      <w:r>
        <w:t xml:space="preserve"> </w:t>
      </w:r>
      <w:r w:rsidRPr="00424F03">
        <w:t>is</w:t>
      </w:r>
      <w:r>
        <w:t xml:space="preserve"> </w:t>
      </w:r>
      <w:r w:rsidRPr="00424F03">
        <w:t>the</w:t>
      </w:r>
      <w:r>
        <w:t xml:space="preserve"> </w:t>
      </w:r>
      <w:r w:rsidRPr="00424F03">
        <w:t>trees,</w:t>
      </w:r>
      <w:r>
        <w:t xml:space="preserve"> </w:t>
      </w:r>
      <w:r w:rsidRPr="00424F03">
        <w:t>detracts</w:t>
      </w:r>
      <w:r>
        <w:t xml:space="preserve"> </w:t>
      </w:r>
      <w:r w:rsidRPr="00424F03">
        <w:t>only</w:t>
      </w:r>
      <w:r>
        <w:t xml:space="preserve"> </w:t>
      </w:r>
      <w:r w:rsidRPr="00424F03">
        <w:t>a</w:t>
      </w:r>
      <w:r>
        <w:t xml:space="preserve"> </w:t>
      </w:r>
      <w:r w:rsidRPr="00424F03">
        <w:t>little,</w:t>
      </w:r>
      <w:r>
        <w:t xml:space="preserve"> </w:t>
      </w:r>
      <w:r w:rsidRPr="00424F03">
        <w:t>if</w:t>
      </w:r>
      <w:r>
        <w:t xml:space="preserve"> </w:t>
      </w:r>
      <w:r w:rsidRPr="00424F03">
        <w:t>at</w:t>
      </w:r>
      <w:r>
        <w:t xml:space="preserve"> </w:t>
      </w:r>
      <w:r w:rsidRPr="00424F03">
        <w:t>all.</w:t>
      </w:r>
      <w:r>
        <w:t xml:space="preserve"> </w:t>
      </w:r>
      <w:r w:rsidRPr="00424F03">
        <w:t>When</w:t>
      </w:r>
      <w:r>
        <w:t xml:space="preserve"> </w:t>
      </w:r>
      <w:r w:rsidRPr="00424F03">
        <w:t>compared</w:t>
      </w:r>
      <w:r>
        <w:t xml:space="preserve"> </w:t>
      </w:r>
      <w:r w:rsidRPr="00424F03">
        <w:t>to</w:t>
      </w:r>
      <w:r>
        <w:t xml:space="preserve"> </w:t>
      </w:r>
      <w:r w:rsidRPr="00424F03">
        <w:t>a</w:t>
      </w:r>
      <w:r>
        <w:t xml:space="preserve"> </w:t>
      </w:r>
      <w:r w:rsidRPr="00424F03">
        <w:t>condominium</w:t>
      </w:r>
      <w:r>
        <w:t xml:space="preserve"> </w:t>
      </w:r>
      <w:r w:rsidRPr="00424F03">
        <w:t>building</w:t>
      </w:r>
      <w:r>
        <w:t xml:space="preserve"> </w:t>
      </w:r>
      <w:r w:rsidRPr="00424F03">
        <w:t>or</w:t>
      </w:r>
      <w:r>
        <w:t xml:space="preserve"> </w:t>
      </w:r>
      <w:r w:rsidRPr="00424F03">
        <w:t>even</w:t>
      </w:r>
      <w:r>
        <w:t xml:space="preserve"> </w:t>
      </w:r>
      <w:r w:rsidRPr="00424F03">
        <w:t>private</w:t>
      </w:r>
      <w:r>
        <w:t xml:space="preserve"> </w:t>
      </w:r>
      <w:r w:rsidRPr="00424F03">
        <w:t>homes,</w:t>
      </w:r>
      <w:r>
        <w:t xml:space="preserve"> </w:t>
      </w:r>
      <w:r w:rsidRPr="00424F03">
        <w:t>the</w:t>
      </w:r>
      <w:r>
        <w:t xml:space="preserve"> </w:t>
      </w:r>
      <w:r w:rsidRPr="00424F03">
        <w:t>easement</w:t>
      </w:r>
      <w:r>
        <w:t xml:space="preserve"> </w:t>
      </w:r>
      <w:r w:rsidRPr="00424F03">
        <w:t>property</w:t>
      </w:r>
      <w:r>
        <w:t xml:space="preserve"> </w:t>
      </w:r>
      <w:r w:rsidRPr="00424F03">
        <w:t>qualifies</w:t>
      </w:r>
      <w:r>
        <w:t xml:space="preserve"> </w:t>
      </w:r>
      <w:r w:rsidRPr="00424F03">
        <w:t>as</w:t>
      </w:r>
      <w:r>
        <w:t xml:space="preserve"> </w:t>
      </w:r>
      <w:r w:rsidRPr="00424F03">
        <w:t>open</w:t>
      </w:r>
      <w:r>
        <w:t xml:space="preserve"> </w:t>
      </w:r>
      <w:r w:rsidRPr="00424F03">
        <w:t>space</w:t>
      </w:r>
      <w:r>
        <w:t xml:space="preserve"> </w:t>
      </w:r>
      <w:r w:rsidRPr="00424F03">
        <w:t>providing</w:t>
      </w:r>
      <w:r>
        <w:t xml:space="preserve"> </w:t>
      </w:r>
      <w:r w:rsidRPr="00424F03">
        <w:t>scenic</w:t>
      </w:r>
      <w:r>
        <w:t xml:space="preserve"> </w:t>
      </w:r>
      <w:r w:rsidRPr="00424F03">
        <w:t>enjoyment.</w:t>
      </w:r>
      <w:r>
        <w:t xml:space="preserve"> </w:t>
      </w:r>
      <w:r w:rsidRPr="00424F03">
        <w:t>And</w:t>
      </w:r>
      <w:r>
        <w:t xml:space="preserve"> </w:t>
      </w:r>
      <w:r w:rsidRPr="00424F03">
        <w:t>preserving</w:t>
      </w:r>
      <w:r>
        <w:t xml:space="preserve"> </w:t>
      </w:r>
      <w:r w:rsidRPr="00424F03">
        <w:t>relatively</w:t>
      </w:r>
      <w:r>
        <w:t xml:space="preserve"> </w:t>
      </w:r>
      <w:r w:rsidRPr="00424F03">
        <w:t>natural</w:t>
      </w:r>
      <w:r>
        <w:t xml:space="preserve"> </w:t>
      </w:r>
      <w:r w:rsidRPr="00424F03">
        <w:t>views</w:t>
      </w:r>
      <w:r>
        <w:t xml:space="preserve"> </w:t>
      </w:r>
      <w:r w:rsidRPr="00424F03">
        <w:t>along</w:t>
      </w:r>
      <w:r>
        <w:t xml:space="preserve"> </w:t>
      </w:r>
      <w:r w:rsidRPr="00424F03">
        <w:t>these</w:t>
      </w:r>
      <w:r>
        <w:t xml:space="preserve"> </w:t>
      </w:r>
      <w:r w:rsidRPr="00424F03">
        <w:t>two</w:t>
      </w:r>
      <w:r>
        <w:t xml:space="preserve"> </w:t>
      </w:r>
      <w:r w:rsidRPr="00424F03">
        <w:t>rivers</w:t>
      </w:r>
      <w:r>
        <w:t xml:space="preserve"> </w:t>
      </w:r>
      <w:r w:rsidRPr="00424F03">
        <w:t>—</w:t>
      </w:r>
      <w:r>
        <w:t xml:space="preserve"> </w:t>
      </w:r>
      <w:r w:rsidRPr="00424F03">
        <w:t>views</w:t>
      </w:r>
      <w:r>
        <w:t xml:space="preserve"> </w:t>
      </w:r>
      <w:r w:rsidRPr="00424F03">
        <w:t>free</w:t>
      </w:r>
      <w:r>
        <w:t xml:space="preserve"> </w:t>
      </w:r>
      <w:r w:rsidRPr="00424F03">
        <w:t>of</w:t>
      </w:r>
      <w:r>
        <w:t xml:space="preserve"> </w:t>
      </w:r>
      <w:r w:rsidRPr="00424F03">
        <w:t>development</w:t>
      </w:r>
      <w:r>
        <w:t xml:space="preserve"> </w:t>
      </w:r>
      <w:r w:rsidRPr="00424F03">
        <w:t>on</w:t>
      </w:r>
      <w:r>
        <w:t xml:space="preserve"> </w:t>
      </w:r>
      <w:r w:rsidRPr="00424F03">
        <w:t>the</w:t>
      </w:r>
      <w:r>
        <w:t xml:space="preserve"> </w:t>
      </w:r>
      <w:r w:rsidRPr="00424F03">
        <w:t>other</w:t>
      </w:r>
      <w:r>
        <w:t xml:space="preserve"> </w:t>
      </w:r>
      <w:r w:rsidRPr="00424F03">
        <w:t>side</w:t>
      </w:r>
      <w:r>
        <w:t xml:space="preserve"> </w:t>
      </w:r>
      <w:r w:rsidRPr="00424F03">
        <w:t>as</w:t>
      </w:r>
      <w:r>
        <w:t xml:space="preserve"> </w:t>
      </w:r>
      <w:r w:rsidRPr="00424F03">
        <w:t>well</w:t>
      </w:r>
      <w:r>
        <w:t xml:space="preserve"> </w:t>
      </w:r>
      <w:r w:rsidRPr="00424F03">
        <w:t>because</w:t>
      </w:r>
      <w:r>
        <w:t xml:space="preserve"> </w:t>
      </w:r>
      <w:r w:rsidRPr="00424F03">
        <w:t>of</w:t>
      </w:r>
      <w:r>
        <w:t xml:space="preserve"> </w:t>
      </w:r>
      <w:r w:rsidRPr="00424F03">
        <w:t>the</w:t>
      </w:r>
      <w:r>
        <w:t xml:space="preserve"> </w:t>
      </w:r>
      <w:r w:rsidRPr="00424F03">
        <w:t>national</w:t>
      </w:r>
      <w:r>
        <w:t xml:space="preserve"> </w:t>
      </w:r>
      <w:r w:rsidRPr="00424F03">
        <w:t>forest</w:t>
      </w:r>
      <w:r>
        <w:t xml:space="preserve"> </w:t>
      </w:r>
      <w:r w:rsidRPr="00424F03">
        <w:t>—</w:t>
      </w:r>
      <w:r>
        <w:t xml:space="preserve"> </w:t>
      </w:r>
      <w:r w:rsidRPr="00424F03">
        <w:t>serves</w:t>
      </w:r>
      <w:r>
        <w:t xml:space="preserve"> </w:t>
      </w:r>
      <w:r w:rsidRPr="00424F03">
        <w:t>a</w:t>
      </w:r>
      <w:r>
        <w:t xml:space="preserve"> </w:t>
      </w:r>
      <w:r w:rsidRPr="00424F03">
        <w:t>public</w:t>
      </w:r>
      <w:r>
        <w:t xml:space="preserve"> </w:t>
      </w:r>
      <w:r w:rsidRPr="00424F03">
        <w:t>interest.</w:t>
      </w:r>
    </w:p>
    <w:p w:rsidR="00B576F9" w:rsidRPr="00424F03" w:rsidRDefault="00B576F9" w:rsidP="00B576F9">
      <w:pPr>
        <w:pStyle w:val="QS10"/>
      </w:pPr>
      <w:r w:rsidRPr="00424F03">
        <w:t>In</w:t>
      </w:r>
      <w:r>
        <w:t xml:space="preserve"> </w:t>
      </w:r>
      <w:r w:rsidRPr="00424F03">
        <w:t>asserting</w:t>
      </w:r>
      <w:r>
        <w:t xml:space="preserve"> </w:t>
      </w:r>
      <w:r w:rsidRPr="00424F03">
        <w:t>the</w:t>
      </w:r>
      <w:r>
        <w:t xml:space="preserve"> </w:t>
      </w:r>
      <w:r w:rsidRPr="00424F03">
        <w:t>contrary,</w:t>
      </w:r>
      <w:r>
        <w:t xml:space="preserve"> </w:t>
      </w:r>
      <w:r w:rsidRPr="00424F03">
        <w:t>the</w:t>
      </w:r>
      <w:r>
        <w:t xml:space="preserve"> </w:t>
      </w:r>
      <w:r w:rsidRPr="00424F03">
        <w:t>Commissioner</w:t>
      </w:r>
      <w:r>
        <w:t xml:space="preserve"> </w:t>
      </w:r>
      <w:r w:rsidRPr="00424F03">
        <w:t>says</w:t>
      </w:r>
      <w:r>
        <w:t xml:space="preserve"> </w:t>
      </w:r>
      <w:r w:rsidRPr="00424F03">
        <w:t>the</w:t>
      </w:r>
      <w:r>
        <w:t xml:space="preserve"> </w:t>
      </w:r>
      <w:r w:rsidRPr="00424F03">
        <w:t>rivers'</w:t>
      </w:r>
      <w:r>
        <w:t xml:space="preserve"> </w:t>
      </w:r>
      <w:r w:rsidRPr="00424F03">
        <w:t>banks</w:t>
      </w:r>
      <w:r>
        <w:t xml:space="preserve"> </w:t>
      </w:r>
      <w:r w:rsidRPr="00424F03">
        <w:t>are</w:t>
      </w:r>
      <w:r>
        <w:t xml:space="preserve"> </w:t>
      </w:r>
      <w:r w:rsidRPr="00424F03">
        <w:t>from</w:t>
      </w:r>
      <w:r>
        <w:t xml:space="preserve"> </w:t>
      </w:r>
      <w:r w:rsidRPr="00424F03">
        <w:t>three</w:t>
      </w:r>
      <w:r>
        <w:t xml:space="preserve"> </w:t>
      </w:r>
      <w:r w:rsidRPr="00424F03">
        <w:t>to</w:t>
      </w:r>
      <w:r>
        <w:t xml:space="preserve"> </w:t>
      </w:r>
      <w:r w:rsidRPr="00424F03">
        <w:t>ten</w:t>
      </w:r>
      <w:r>
        <w:t xml:space="preserve"> </w:t>
      </w:r>
      <w:r w:rsidRPr="00424F03">
        <w:t>feet</w:t>
      </w:r>
      <w:r>
        <w:t xml:space="preserve"> </w:t>
      </w:r>
      <w:r w:rsidRPr="00424F03">
        <w:t>high,</w:t>
      </w:r>
      <w:r>
        <w:t xml:space="preserve"> </w:t>
      </w:r>
      <w:r w:rsidRPr="00424F03">
        <w:t>as</w:t>
      </w:r>
      <w:r>
        <w:t xml:space="preserve"> </w:t>
      </w:r>
      <w:r w:rsidRPr="00424F03">
        <w:t>if</w:t>
      </w:r>
      <w:r>
        <w:t xml:space="preserve"> </w:t>
      </w:r>
      <w:r w:rsidRPr="00424F03">
        <w:t>this</w:t>
      </w:r>
      <w:r>
        <w:t xml:space="preserve"> </w:t>
      </w:r>
      <w:r w:rsidRPr="00424F03">
        <w:t>somehow</w:t>
      </w:r>
      <w:r>
        <w:t xml:space="preserve"> </w:t>
      </w:r>
      <w:r w:rsidRPr="00424F03">
        <w:t>eliminates</w:t>
      </w:r>
      <w:r>
        <w:t xml:space="preserve"> </w:t>
      </w:r>
      <w:r w:rsidRPr="00424F03">
        <w:t>the</w:t>
      </w:r>
      <w:r>
        <w:t xml:space="preserve"> </w:t>
      </w:r>
      <w:r w:rsidRPr="00424F03">
        <w:t>opportunity</w:t>
      </w:r>
      <w:r>
        <w:t xml:space="preserve"> </w:t>
      </w:r>
      <w:r w:rsidRPr="00424F03">
        <w:t>for</w:t>
      </w:r>
      <w:r>
        <w:t xml:space="preserve"> </w:t>
      </w:r>
      <w:r w:rsidRPr="00424F03">
        <w:t>scenic</w:t>
      </w:r>
      <w:r>
        <w:t xml:space="preserve"> </w:t>
      </w:r>
      <w:r w:rsidRPr="00424F03">
        <w:t>enjoyment.</w:t>
      </w:r>
      <w:r>
        <w:t xml:space="preserve"> </w:t>
      </w:r>
      <w:r w:rsidRPr="00424F03">
        <w:t>The</w:t>
      </w:r>
      <w:r>
        <w:t xml:space="preserve"> </w:t>
      </w:r>
      <w:r w:rsidRPr="00424F03">
        <w:t>Tax</w:t>
      </w:r>
      <w:r>
        <w:t xml:space="preserve"> </w:t>
      </w:r>
      <w:r w:rsidRPr="00424F03">
        <w:t>Court</w:t>
      </w:r>
      <w:r>
        <w:t xml:space="preserve"> </w:t>
      </w:r>
      <w:r w:rsidRPr="00424F03">
        <w:t>took</w:t>
      </w:r>
      <w:r>
        <w:t xml:space="preserve"> </w:t>
      </w:r>
      <w:r w:rsidRPr="00424F03">
        <w:t>the</w:t>
      </w:r>
      <w:r>
        <w:t xml:space="preserve"> </w:t>
      </w:r>
      <w:r w:rsidRPr="00424F03">
        <w:t>same</w:t>
      </w:r>
      <w:r>
        <w:t xml:space="preserve"> </w:t>
      </w:r>
      <w:r w:rsidRPr="00424F03">
        <w:t>approach.</w:t>
      </w:r>
      <w:r>
        <w:t xml:space="preserve"> </w:t>
      </w:r>
      <w:r w:rsidRPr="00424F03">
        <w:t>But</w:t>
      </w:r>
      <w:r>
        <w:t xml:space="preserve"> </w:t>
      </w:r>
      <w:r w:rsidRPr="00424F03">
        <w:t>trees,</w:t>
      </w:r>
      <w:r>
        <w:t xml:space="preserve"> </w:t>
      </w:r>
      <w:r w:rsidRPr="00424F03">
        <w:t>on</w:t>
      </w:r>
      <w:r>
        <w:t xml:space="preserve"> </w:t>
      </w:r>
      <w:r w:rsidRPr="00424F03">
        <w:t>the</w:t>
      </w:r>
      <w:r>
        <w:t xml:space="preserve"> </w:t>
      </w:r>
      <w:r w:rsidRPr="00424F03">
        <w:t>one</w:t>
      </w:r>
      <w:r>
        <w:t xml:space="preserve"> </w:t>
      </w:r>
      <w:r w:rsidRPr="00424F03">
        <w:t>hand,</w:t>
      </w:r>
      <w:r>
        <w:t xml:space="preserve"> </w:t>
      </w:r>
      <w:r w:rsidRPr="00424F03">
        <w:t>and</w:t>
      </w:r>
      <w:r>
        <w:t xml:space="preserve"> </w:t>
      </w:r>
      <w:r w:rsidRPr="00424F03">
        <w:t>condos</w:t>
      </w:r>
      <w:r>
        <w:t xml:space="preserve"> </w:t>
      </w:r>
      <w:r w:rsidRPr="00424F03">
        <w:t>or</w:t>
      </w:r>
      <w:r>
        <w:t xml:space="preserve"> </w:t>
      </w:r>
      <w:r w:rsidRPr="00424F03">
        <w:t>other</w:t>
      </w:r>
      <w:r>
        <w:t xml:space="preserve"> </w:t>
      </w:r>
      <w:r w:rsidRPr="00424F03">
        <w:t>buildings,</w:t>
      </w:r>
      <w:r>
        <w:t xml:space="preserve"> </w:t>
      </w:r>
      <w:r w:rsidRPr="00424F03">
        <w:t>on</w:t>
      </w:r>
      <w:r>
        <w:t xml:space="preserve"> </w:t>
      </w:r>
      <w:r w:rsidRPr="00424F03">
        <w:t>the</w:t>
      </w:r>
      <w:r>
        <w:t xml:space="preserve"> </w:t>
      </w:r>
      <w:r w:rsidRPr="00424F03">
        <w:t>other</w:t>
      </w:r>
      <w:r>
        <w:t xml:space="preserve"> </w:t>
      </w:r>
      <w:r w:rsidRPr="00424F03">
        <w:t>hand,</w:t>
      </w:r>
      <w:r>
        <w:t xml:space="preserve"> </w:t>
      </w:r>
      <w:r w:rsidRPr="00424F03">
        <w:t>can</w:t>
      </w:r>
      <w:r>
        <w:t xml:space="preserve"> </w:t>
      </w:r>
      <w:r w:rsidRPr="00424F03">
        <w:t>be</w:t>
      </w:r>
      <w:r>
        <w:t xml:space="preserve"> </w:t>
      </w:r>
      <w:r w:rsidRPr="00424F03">
        <w:t>seen</w:t>
      </w:r>
      <w:r>
        <w:t xml:space="preserve"> </w:t>
      </w:r>
      <w:r w:rsidRPr="00424F03">
        <w:t>from</w:t>
      </w:r>
      <w:r>
        <w:t xml:space="preserve"> </w:t>
      </w:r>
      <w:r w:rsidRPr="00424F03">
        <w:t>a</w:t>
      </w:r>
      <w:r>
        <w:t xml:space="preserve"> </w:t>
      </w:r>
      <w:r w:rsidRPr="00424F03">
        <w:t>canoe</w:t>
      </w:r>
      <w:r>
        <w:t xml:space="preserve"> </w:t>
      </w:r>
      <w:r w:rsidRPr="00424F03">
        <w:t>or</w:t>
      </w:r>
      <w:r>
        <w:t xml:space="preserve"> </w:t>
      </w:r>
      <w:r w:rsidRPr="00424F03">
        <w:t>kayak,</w:t>
      </w:r>
      <w:r>
        <w:t xml:space="preserve"> </w:t>
      </w:r>
      <w:r w:rsidRPr="00424F03">
        <w:t>even</w:t>
      </w:r>
      <w:r>
        <w:t xml:space="preserve"> </w:t>
      </w:r>
      <w:r w:rsidRPr="00424F03">
        <w:t>when</w:t>
      </w:r>
      <w:r>
        <w:t xml:space="preserve"> </w:t>
      </w:r>
      <w:r w:rsidRPr="00424F03">
        <w:t>a</w:t>
      </w:r>
      <w:r>
        <w:t xml:space="preserve"> </w:t>
      </w:r>
      <w:r w:rsidRPr="00424F03">
        <w:t>river's</w:t>
      </w:r>
      <w:r>
        <w:t xml:space="preserve"> </w:t>
      </w:r>
      <w:r w:rsidRPr="00424F03">
        <w:t>banks</w:t>
      </w:r>
      <w:r>
        <w:t xml:space="preserve"> </w:t>
      </w:r>
      <w:r w:rsidRPr="00424F03">
        <w:t>are</w:t>
      </w:r>
      <w:r>
        <w:t xml:space="preserve"> </w:t>
      </w:r>
      <w:r w:rsidRPr="00424F03">
        <w:t>ten</w:t>
      </w:r>
      <w:r>
        <w:t xml:space="preserve"> </w:t>
      </w:r>
      <w:r w:rsidRPr="00424F03">
        <w:t>feet</w:t>
      </w:r>
      <w:r>
        <w:t xml:space="preserve"> </w:t>
      </w:r>
      <w:r w:rsidRPr="00424F03">
        <w:t>high.</w:t>
      </w:r>
      <w:r>
        <w:t xml:space="preserve"> </w:t>
      </w:r>
      <w:r w:rsidRPr="00424F03">
        <w:t>Indeed,</w:t>
      </w:r>
      <w:r>
        <w:t xml:space="preserve"> </w:t>
      </w:r>
      <w:r w:rsidRPr="00424F03">
        <w:t>if</w:t>
      </w:r>
      <w:r>
        <w:t xml:space="preserve"> </w:t>
      </w:r>
      <w:r w:rsidRPr="00424F03">
        <w:t>a</w:t>
      </w:r>
      <w:r>
        <w:t xml:space="preserve"> </w:t>
      </w:r>
      <w:r w:rsidRPr="00424F03">
        <w:t>ten-foot</w:t>
      </w:r>
      <w:r>
        <w:t xml:space="preserve"> </w:t>
      </w:r>
      <w:r w:rsidRPr="00424F03">
        <w:t>bank</w:t>
      </w:r>
      <w:r>
        <w:t xml:space="preserve"> </w:t>
      </w:r>
      <w:r w:rsidRPr="00424F03">
        <w:t>obscures</w:t>
      </w:r>
      <w:r>
        <w:t xml:space="preserve"> </w:t>
      </w:r>
      <w:r w:rsidRPr="00424F03">
        <w:t>anything,</w:t>
      </w:r>
      <w:r>
        <w:t xml:space="preserve"> </w:t>
      </w:r>
      <w:r w:rsidRPr="00424F03">
        <w:t>it</w:t>
      </w:r>
      <w:r>
        <w:t xml:space="preserve"> </w:t>
      </w:r>
      <w:r w:rsidRPr="00424F03">
        <w:t>is</w:t>
      </w:r>
      <w:r>
        <w:t xml:space="preserve"> </w:t>
      </w:r>
      <w:r w:rsidRPr="00424F03">
        <w:t>the</w:t>
      </w:r>
      <w:r>
        <w:t xml:space="preserve"> </w:t>
      </w:r>
      <w:r w:rsidRPr="00424F03">
        <w:t>fairways</w:t>
      </w:r>
      <w:r>
        <w:t xml:space="preserve"> </w:t>
      </w:r>
      <w:r w:rsidRPr="00424F03">
        <w:t>and</w:t>
      </w:r>
      <w:r>
        <w:t xml:space="preserve"> </w:t>
      </w:r>
      <w:r w:rsidRPr="00424F03">
        <w:t>greens</w:t>
      </w:r>
      <w:r>
        <w:t xml:space="preserve"> </w:t>
      </w:r>
      <w:r w:rsidRPr="00424F03">
        <w:t>and</w:t>
      </w:r>
      <w:r>
        <w:t xml:space="preserve"> </w:t>
      </w:r>
      <w:r w:rsidRPr="00424F03">
        <w:t>other</w:t>
      </w:r>
      <w:r>
        <w:t xml:space="preserve"> </w:t>
      </w:r>
      <w:r w:rsidRPr="00424F03">
        <w:t>non-natural</w:t>
      </w:r>
      <w:r>
        <w:t xml:space="preserve"> </w:t>
      </w:r>
      <w:r w:rsidRPr="00424F03">
        <w:t>features</w:t>
      </w:r>
      <w:r>
        <w:t xml:space="preserve"> </w:t>
      </w:r>
      <w:r w:rsidRPr="00424F03">
        <w:t>of</w:t>
      </w:r>
      <w:r>
        <w:t xml:space="preserve"> </w:t>
      </w:r>
      <w:r w:rsidRPr="00424F03">
        <w:t>a</w:t>
      </w:r>
      <w:r>
        <w:t xml:space="preserve"> </w:t>
      </w:r>
      <w:r w:rsidRPr="00424F03">
        <w:t>golf</w:t>
      </w:r>
      <w:r>
        <w:t xml:space="preserve"> </w:t>
      </w:r>
      <w:r w:rsidRPr="00424F03">
        <w:t>course,</w:t>
      </w:r>
      <w:r>
        <w:t xml:space="preserve"> </w:t>
      </w:r>
      <w:r w:rsidRPr="00424F03">
        <w:t>not</w:t>
      </w:r>
      <w:r>
        <w:t xml:space="preserve"> </w:t>
      </w:r>
      <w:r w:rsidRPr="00424F03">
        <w:t>the</w:t>
      </w:r>
      <w:r>
        <w:t xml:space="preserve"> </w:t>
      </w:r>
      <w:r w:rsidRPr="00424F03">
        <w:t>trees.</w:t>
      </w:r>
      <w:r>
        <w:t xml:space="preserve"> </w:t>
      </w:r>
      <w:r w:rsidRPr="00424F03">
        <w:t>From</w:t>
      </w:r>
      <w:r>
        <w:t xml:space="preserve"> </w:t>
      </w:r>
      <w:r w:rsidRPr="00424F03">
        <w:t>a</w:t>
      </w:r>
      <w:r>
        <w:t xml:space="preserve"> </w:t>
      </w:r>
      <w:r w:rsidRPr="00424F03">
        <w:t>kayak</w:t>
      </w:r>
      <w:r>
        <w:t xml:space="preserve"> </w:t>
      </w:r>
      <w:r w:rsidRPr="00424F03">
        <w:t>on</w:t>
      </w:r>
      <w:r>
        <w:t xml:space="preserve"> </w:t>
      </w:r>
      <w:r w:rsidRPr="00424F03">
        <w:t>a</w:t>
      </w:r>
      <w:r>
        <w:t xml:space="preserve"> </w:t>
      </w:r>
      <w:r w:rsidRPr="00424F03">
        <w:t>river</w:t>
      </w:r>
      <w:r>
        <w:t xml:space="preserve"> </w:t>
      </w:r>
      <w:r w:rsidRPr="00424F03">
        <w:t>with</w:t>
      </w:r>
      <w:r>
        <w:t xml:space="preserve"> </w:t>
      </w:r>
      <w:r w:rsidRPr="00424F03">
        <w:t>a</w:t>
      </w:r>
      <w:r>
        <w:t xml:space="preserve"> </w:t>
      </w:r>
      <w:r w:rsidRPr="00424F03">
        <w:t>ten-foot</w:t>
      </w:r>
      <w:r>
        <w:t xml:space="preserve"> </w:t>
      </w:r>
      <w:r w:rsidRPr="00424F03">
        <w:t>bank,</w:t>
      </w:r>
      <w:r>
        <w:t xml:space="preserve"> </w:t>
      </w:r>
      <w:r w:rsidRPr="00424F03">
        <w:t>the</w:t>
      </w:r>
      <w:r>
        <w:t xml:space="preserve"> </w:t>
      </w:r>
      <w:r w:rsidRPr="00424F03">
        <w:t>flat</w:t>
      </w:r>
      <w:r>
        <w:t xml:space="preserve"> </w:t>
      </w:r>
      <w:r w:rsidRPr="00424F03">
        <w:t>parts</w:t>
      </w:r>
      <w:r>
        <w:t xml:space="preserve"> </w:t>
      </w:r>
      <w:r w:rsidRPr="00424F03">
        <w:t>of</w:t>
      </w:r>
      <w:r>
        <w:t xml:space="preserve"> </w:t>
      </w:r>
      <w:r w:rsidRPr="00424F03">
        <w:t>a</w:t>
      </w:r>
      <w:r>
        <w:t xml:space="preserve"> </w:t>
      </w:r>
      <w:r w:rsidRPr="00424F03">
        <w:t>golf</w:t>
      </w:r>
      <w:r>
        <w:t xml:space="preserve"> </w:t>
      </w:r>
      <w:r w:rsidRPr="00424F03">
        <w:t>course</w:t>
      </w:r>
      <w:r>
        <w:t xml:space="preserve"> </w:t>
      </w:r>
      <w:r w:rsidRPr="00424F03">
        <w:t>look</w:t>
      </w:r>
      <w:r>
        <w:t xml:space="preserve"> </w:t>
      </w:r>
      <w:r w:rsidRPr="00424F03">
        <w:t>just</w:t>
      </w:r>
      <w:r>
        <w:t xml:space="preserve"> </w:t>
      </w:r>
      <w:r w:rsidRPr="00424F03">
        <w:t>like</w:t>
      </w:r>
      <w:r>
        <w:t xml:space="preserve"> </w:t>
      </w:r>
      <w:r w:rsidRPr="00424F03">
        <w:t>open</w:t>
      </w:r>
      <w:r>
        <w:t xml:space="preserve"> </w:t>
      </w:r>
      <w:r w:rsidRPr="00424F03">
        <w:t>land.</w:t>
      </w:r>
      <w:r>
        <w:t xml:space="preserve"> </w:t>
      </w:r>
      <w:r w:rsidRPr="00424F03">
        <w:t>The</w:t>
      </w:r>
      <w:r>
        <w:t xml:space="preserve"> </w:t>
      </w:r>
      <w:r w:rsidRPr="00424F03">
        <w:t>notion</w:t>
      </w:r>
      <w:r>
        <w:t xml:space="preserve"> </w:t>
      </w:r>
      <w:r w:rsidRPr="00424F03">
        <w:t>that</w:t>
      </w:r>
      <w:r>
        <w:t xml:space="preserve"> </w:t>
      </w:r>
      <w:r w:rsidRPr="00424F03">
        <w:t>the</w:t>
      </w:r>
      <w:r>
        <w:t xml:space="preserve"> </w:t>
      </w:r>
      <w:r w:rsidRPr="00424F03">
        <w:t>banks</w:t>
      </w:r>
      <w:r>
        <w:t xml:space="preserve"> </w:t>
      </w:r>
      <w:r w:rsidRPr="00424F03">
        <w:t>somehow</w:t>
      </w:r>
      <w:r>
        <w:t xml:space="preserve"> </w:t>
      </w:r>
      <w:r w:rsidRPr="00424F03">
        <w:t>prevent</w:t>
      </w:r>
      <w:r>
        <w:t xml:space="preserve"> </w:t>
      </w:r>
      <w:r w:rsidRPr="00424F03">
        <w:t>scenic</w:t>
      </w:r>
      <w:r>
        <w:t xml:space="preserve"> </w:t>
      </w:r>
      <w:r w:rsidRPr="00424F03">
        <w:t>enjoyment</w:t>
      </w:r>
      <w:r>
        <w:t xml:space="preserve"> </w:t>
      </w:r>
      <w:r w:rsidRPr="00424F03">
        <w:t>is</w:t>
      </w:r>
      <w:r>
        <w:t xml:space="preserve"> </w:t>
      </w:r>
      <w:r w:rsidRPr="00424F03">
        <w:t>a</w:t>
      </w:r>
      <w:r>
        <w:t xml:space="preserve"> </w:t>
      </w:r>
      <w:r w:rsidRPr="00424F03">
        <w:t>makeweight.</w:t>
      </w:r>
    </w:p>
    <w:p w:rsidR="00B576F9" w:rsidRPr="00424F03" w:rsidRDefault="00B576F9" w:rsidP="00B576F9">
      <w:pPr>
        <w:pStyle w:val="QS10"/>
      </w:pPr>
      <w:r w:rsidRPr="00424F03">
        <w:t>Were</w:t>
      </w:r>
      <w:r>
        <w:t xml:space="preserve"> </w:t>
      </w:r>
      <w:r w:rsidRPr="00424F03">
        <w:t>it</w:t>
      </w:r>
      <w:r>
        <w:t xml:space="preserve"> </w:t>
      </w:r>
      <w:r w:rsidRPr="00424F03">
        <w:t>not</w:t>
      </w:r>
      <w:r>
        <w:t xml:space="preserve"> </w:t>
      </w:r>
      <w:r w:rsidRPr="00424F03">
        <w:t>for</w:t>
      </w:r>
      <w:r>
        <w:t xml:space="preserve"> </w:t>
      </w:r>
      <w:r w:rsidRPr="00424F03">
        <w:t>the</w:t>
      </w:r>
      <w:r>
        <w:t xml:space="preserve"> </w:t>
      </w:r>
      <w:r w:rsidRPr="00424F03">
        <w:t>presence</w:t>
      </w:r>
      <w:r>
        <w:t xml:space="preserve"> </w:t>
      </w:r>
      <w:r w:rsidRPr="00424F03">
        <w:t>of</w:t>
      </w:r>
      <w:r>
        <w:t xml:space="preserve"> </w:t>
      </w:r>
      <w:r w:rsidRPr="00424F03">
        <w:t>a</w:t>
      </w:r>
      <w:r>
        <w:t xml:space="preserve"> </w:t>
      </w:r>
      <w:r w:rsidRPr="00424F03">
        <w:t>golf</w:t>
      </w:r>
      <w:r>
        <w:t xml:space="preserve"> </w:t>
      </w:r>
      <w:r w:rsidRPr="00424F03">
        <w:t>course</w:t>
      </w:r>
      <w:r>
        <w:t xml:space="preserve"> </w:t>
      </w:r>
      <w:r w:rsidRPr="00424F03">
        <w:t>on</w:t>
      </w:r>
      <w:r>
        <w:t xml:space="preserve"> </w:t>
      </w:r>
      <w:r w:rsidRPr="00424F03">
        <w:t>part</w:t>
      </w:r>
      <w:r>
        <w:t xml:space="preserve"> </w:t>
      </w:r>
      <w:r w:rsidRPr="00424F03">
        <w:t>of</w:t>
      </w:r>
      <w:r>
        <w:t xml:space="preserve"> </w:t>
      </w:r>
      <w:r w:rsidRPr="00424F03">
        <w:t>this</w:t>
      </w:r>
      <w:r>
        <w:t xml:space="preserve"> </w:t>
      </w:r>
      <w:r w:rsidRPr="00424F03">
        <w:t>property,</w:t>
      </w:r>
      <w:r>
        <w:t xml:space="preserve"> </w:t>
      </w:r>
      <w:r w:rsidRPr="00424F03">
        <w:t>the</w:t>
      </w:r>
      <w:r>
        <w:t xml:space="preserve"> </w:t>
      </w:r>
      <w:r w:rsidRPr="00424F03">
        <w:t>assertion</w:t>
      </w:r>
      <w:r>
        <w:t xml:space="preserve"> </w:t>
      </w:r>
      <w:r w:rsidRPr="00424F03">
        <w:t>that</w:t>
      </w:r>
      <w:r>
        <w:t xml:space="preserve"> </w:t>
      </w:r>
      <w:r w:rsidRPr="00424F03">
        <w:t>preserving</w:t>
      </w:r>
      <w:r>
        <w:t xml:space="preserve"> </w:t>
      </w:r>
      <w:r w:rsidRPr="00424F03">
        <w:t>open</w:t>
      </w:r>
      <w:r>
        <w:t xml:space="preserve"> </w:t>
      </w:r>
      <w:r w:rsidRPr="00424F03">
        <w:t>space</w:t>
      </w:r>
      <w:r>
        <w:t xml:space="preserve"> </w:t>
      </w:r>
      <w:r w:rsidRPr="00424F03">
        <w:t>alongside</w:t>
      </w:r>
      <w:r>
        <w:t xml:space="preserve"> </w:t>
      </w:r>
      <w:r w:rsidRPr="00424F03">
        <w:t>rivers</w:t>
      </w:r>
      <w:r>
        <w:t xml:space="preserve"> </w:t>
      </w:r>
      <w:r w:rsidRPr="00424F03">
        <w:t>with</w:t>
      </w:r>
      <w:r>
        <w:t xml:space="preserve"> </w:t>
      </w:r>
      <w:r w:rsidRPr="00424F03">
        <w:t>three-</w:t>
      </w:r>
      <w:r>
        <w:t xml:space="preserve"> </w:t>
      </w:r>
      <w:r w:rsidRPr="00424F03">
        <w:t>to</w:t>
      </w:r>
      <w:r>
        <w:t xml:space="preserve"> </w:t>
      </w:r>
      <w:r w:rsidRPr="00424F03">
        <w:t>ten-foot</w:t>
      </w:r>
      <w:r>
        <w:t xml:space="preserve"> </w:t>
      </w:r>
      <w:r w:rsidRPr="00424F03">
        <w:t>banks</w:t>
      </w:r>
      <w:r>
        <w:t xml:space="preserve"> </w:t>
      </w:r>
      <w:r w:rsidRPr="00424F03">
        <w:t>cannot</w:t>
      </w:r>
      <w:r>
        <w:t xml:space="preserve"> </w:t>
      </w:r>
      <w:r w:rsidRPr="00424F03">
        <w:t>be</w:t>
      </w:r>
      <w:r>
        <w:t xml:space="preserve"> </w:t>
      </w:r>
      <w:r w:rsidRPr="00424F03">
        <w:t>“for</w:t>
      </w:r>
      <w:r>
        <w:t xml:space="preserve"> </w:t>
      </w:r>
      <w:r w:rsidRPr="00424F03">
        <w:t>the</w:t>
      </w:r>
      <w:r>
        <w:t xml:space="preserve"> </w:t>
      </w:r>
      <w:r w:rsidRPr="00424F03">
        <w:t>scenic</w:t>
      </w:r>
      <w:r>
        <w:t xml:space="preserve"> </w:t>
      </w:r>
      <w:r w:rsidRPr="00424F03">
        <w:t>enjoyment</w:t>
      </w:r>
      <w:r>
        <w:t xml:space="preserve"> </w:t>
      </w:r>
      <w:r w:rsidRPr="00424F03">
        <w:t>of</w:t>
      </w:r>
      <w:r>
        <w:t xml:space="preserve"> </w:t>
      </w:r>
      <w:r w:rsidRPr="00424F03">
        <w:t>the</w:t>
      </w:r>
      <w:r>
        <w:t xml:space="preserve"> </w:t>
      </w:r>
      <w:r w:rsidRPr="00424F03">
        <w:t>general</w:t>
      </w:r>
      <w:r>
        <w:t xml:space="preserve"> </w:t>
      </w:r>
      <w:r w:rsidRPr="00424F03">
        <w:t>public”</w:t>
      </w:r>
      <w:r>
        <w:t xml:space="preserve"> </w:t>
      </w:r>
      <w:r w:rsidRPr="00424F03">
        <w:t>and</w:t>
      </w:r>
      <w:r>
        <w:t xml:space="preserve"> </w:t>
      </w:r>
      <w:r w:rsidRPr="00424F03">
        <w:t>provide</w:t>
      </w:r>
      <w:r>
        <w:t xml:space="preserve"> </w:t>
      </w:r>
      <w:r w:rsidRPr="00424F03">
        <w:t>a</w:t>
      </w:r>
      <w:r>
        <w:t xml:space="preserve"> </w:t>
      </w:r>
      <w:r w:rsidRPr="00424F03">
        <w:t>public</w:t>
      </w:r>
      <w:r>
        <w:t xml:space="preserve"> </w:t>
      </w:r>
      <w:r w:rsidRPr="00424F03">
        <w:t>benefit</w:t>
      </w:r>
      <w:r>
        <w:t xml:space="preserve"> </w:t>
      </w:r>
      <w:r w:rsidRPr="00424F03">
        <w:t>would</w:t>
      </w:r>
      <w:r>
        <w:t xml:space="preserve"> </w:t>
      </w:r>
      <w:r w:rsidRPr="00424F03">
        <w:t>be</w:t>
      </w:r>
      <w:r>
        <w:t xml:space="preserve"> </w:t>
      </w:r>
      <w:r w:rsidRPr="00424F03">
        <w:t>a</w:t>
      </w:r>
      <w:r>
        <w:t xml:space="preserve"> </w:t>
      </w:r>
      <w:r w:rsidRPr="00424F03">
        <w:t>nonstarter.</w:t>
      </w:r>
    </w:p>
    <w:p w:rsidR="00B576F9" w:rsidRDefault="00B576F9" w:rsidP="00B576F9">
      <w:pPr>
        <w:pStyle w:val="Body15"/>
        <w:spacing w:before="240"/>
        <w:rPr>
          <w:color w:val="000000" w:themeColor="text1"/>
        </w:rPr>
      </w:pPr>
      <w:r>
        <w:rPr>
          <w:color w:val="000000" w:themeColor="text1"/>
        </w:rPr>
        <w:t>A dissent thought that the property was scenic but was dubious about the other conservation values:</w:t>
      </w:r>
    </w:p>
    <w:p w:rsidR="00B576F9" w:rsidRDefault="005A0124" w:rsidP="00B576F9">
      <w:pPr>
        <w:pStyle w:val="QS10"/>
      </w:pPr>
      <w:r w:rsidRPr="005A0124">
        <w:rPr>
          <w:i/>
          <w:iCs/>
        </w:rPr>
        <w:t xml:space="preserve">Second, </w:t>
      </w:r>
      <w:r w:rsidR="00B576F9">
        <w:t xml:space="preserve">in my view, Champions' easement might not be a “relatively natural habitat.” I.R.C. </w:t>
      </w:r>
      <w:r w:rsidR="00B576F9" w:rsidRPr="00424F03">
        <w:t>§</w:t>
      </w:r>
      <w:r w:rsidR="00B576F9">
        <w:t xml:space="preserve"> </w:t>
      </w:r>
      <w:r w:rsidR="00B576F9" w:rsidRPr="00424F03">
        <w:t>170(h)(4)(A)(ii)</w:t>
      </w:r>
      <w:r w:rsidR="00B576F9">
        <w:t>. The man-made golf course takes up more than 80 percent of the easement. In making the course, Champions used non-native grasses, one of which requires the use of large fans to keep it cool in the hot Georgia sun. And to maintain the course, Champions pumps anywhere from 70,000 to 600,000 gallons of water a day out of the Little River.</w:t>
      </w:r>
    </w:p>
    <w:p w:rsidR="00B576F9" w:rsidRDefault="00B576F9" w:rsidP="00B576F9">
      <w:pPr>
        <w:pStyle w:val="QS10"/>
      </w:pPr>
      <w:r>
        <w:t>Champions also coats its golf course with chemicals — including fungicide, herbicide, insecticide, algaecide, and fertilizer. To apply these potent chemicals, Champions' staff members sometimes need gloves and respirators. The chemicals not only artificially change the habitat, but do so in ways that pose what the tax court called “environmental hazards.” In fact, Champions designed the golf course to drain into nearby ponds, creeks, and otherwise undisturbed wetlands. The golf course drains toward the knotweed (a rare plant that Champions says is protected by the easement), and as the majority itself recognizes, “the knotweed thus may suffer harm from the chemicals used on the course.” Maj. Op. at 14. Although the majority finds comfort in Champions' pledge to follow the golf industry's best environmental practices, we have little information about what those practices are, or how they stack up to other standards. And those standards, whatever they are, hardly define the boundary between easements that can and cannot qualify for a deduction under federal law.</w:t>
      </w:r>
    </w:p>
    <w:p w:rsidR="00B576F9" w:rsidRDefault="00B576F9" w:rsidP="00B576F9">
      <w:pPr>
        <w:pStyle w:val="QS10"/>
      </w:pPr>
      <w:r>
        <w:t>Ultimately, the majority is willing to look past the easement's unnatural features because of the birds and squirrels living there. The argument has some force, especially because it does appear that the tax court overlooked evidence about the prevalence of these species. But the presence of animals cannot hide that a lot of the easement is highly developed and at least somewhat hazardous to certain species. And no matter how many animals live on the Champions easement, the reality remains the same: with the chemicals, imported grasses, large fans, artificial drainage, and water pumping, it is not at all clear that the easement amounts to a “relatively natural habitat.” I do not mean to say that a golf course could never qualify; it's simply not clear that this one does.</w:t>
      </w:r>
    </w:p>
    <w:p w:rsidR="00B576F9" w:rsidRPr="00970365" w:rsidRDefault="00B576F9" w:rsidP="00B66CCE">
      <w:pPr>
        <w:pStyle w:val="Heading20"/>
        <w:numPr>
          <w:ilvl w:val="1"/>
          <w:numId w:val="34"/>
        </w:numPr>
        <w:tabs>
          <w:tab w:val="clear" w:pos="2700"/>
          <w:tab w:val="num" w:pos="1440"/>
        </w:tabs>
        <w:ind w:left="0"/>
        <w:rPr>
          <w:vanish/>
          <w:color w:val="000000" w:themeColor="text1"/>
          <w:specVanish/>
        </w:rPr>
      </w:pPr>
      <w:bookmarkStart w:id="167" w:name="_Toc94704625"/>
      <w:r>
        <w:rPr>
          <w:b/>
          <w:color w:val="000000" w:themeColor="text1"/>
          <w:u w:val="single"/>
        </w:rPr>
        <w:t>Perpetuity Requirement in Façade Easement</w:t>
      </w:r>
      <w:bookmarkEnd w:id="167"/>
    </w:p>
    <w:p w:rsidR="00B576F9" w:rsidRDefault="00B576F9" w:rsidP="00B576F9">
      <w:pPr>
        <w:pStyle w:val="Heading2Body"/>
      </w:pPr>
      <w:r>
        <w:t xml:space="preserve">.  The Sixth Circuit has strictly construed the perpetuity requirement for conservation easements in </w:t>
      </w:r>
      <w:r>
        <w:rPr>
          <w:u w:val="single"/>
        </w:rPr>
        <w:t>Hoffman Properties v. Commissioner</w:t>
      </w:r>
      <w:r w:rsidRPr="002302AE">
        <w:t>, 956 F.3d 832</w:t>
      </w:r>
      <w:r>
        <w:rPr>
          <w:b/>
        </w:rPr>
        <w:t xml:space="preserve"> (</w:t>
      </w:r>
      <w:r>
        <w:t>6th Cir. 2020).  The opinion states:</w:t>
      </w:r>
    </w:p>
    <w:p w:rsidR="00B576F9" w:rsidRDefault="00B576F9" w:rsidP="00B576F9">
      <w:pPr>
        <w:pStyle w:val="QS10"/>
        <w:rPr>
          <w:color w:val="000000" w:themeColor="text1"/>
        </w:rPr>
      </w:pPr>
      <w:r>
        <w:t xml:space="preserve">The parties agree on the general legal framework. To satisfy the “perpetuity” requirement, the donation must be “[e]nforceable in perpetuity,” meaning that it includes “legally enforceable restrictions” that will prevent the donor from using its retained interest in the property in a way “inconsistent with the [donation’s] conservation purposes.” Treas. Reg. § 1.170A-14(g)(1); </w:t>
      </w:r>
      <w:r w:rsidRPr="00B56597">
        <w:rPr>
          <w:i/>
        </w:rPr>
        <w:t>see</w:t>
      </w:r>
      <w:r>
        <w:rPr>
          <w:i/>
        </w:rPr>
        <w:t xml:space="preserve"> </w:t>
      </w:r>
      <w:r w:rsidRPr="00B56597">
        <w:rPr>
          <w:i/>
        </w:rPr>
        <w:t>Glass</w:t>
      </w:r>
      <w:r>
        <w:rPr>
          <w:i/>
        </w:rPr>
        <w:t xml:space="preserve"> </w:t>
      </w:r>
      <w:r w:rsidRPr="00B56597">
        <w:rPr>
          <w:i/>
        </w:rPr>
        <w:t>v.</w:t>
      </w:r>
      <w:r>
        <w:rPr>
          <w:i/>
        </w:rPr>
        <w:t xml:space="preserve"> </w:t>
      </w:r>
      <w:r w:rsidRPr="00B56597">
        <w:rPr>
          <w:i/>
        </w:rPr>
        <w:t>Comm’r</w:t>
      </w:r>
      <w:r>
        <w:t>, 471 F.3d 698, 713 (6th Cir. 2006). The parties simply disagree about whether Hoffman’s donation included adequate restrictions.</w:t>
      </w:r>
    </w:p>
    <w:p w:rsidR="00B576F9" w:rsidRDefault="00B576F9" w:rsidP="00B576F9">
      <w:pPr>
        <w:pStyle w:val="QS10"/>
        <w:jc w:val="center"/>
        <w:rPr>
          <w:color w:val="000000" w:themeColor="text1"/>
        </w:rPr>
      </w:pPr>
      <w:r>
        <w:rPr>
          <w:color w:val="000000" w:themeColor="text1"/>
        </w:rPr>
        <w:t>***</w:t>
      </w:r>
    </w:p>
    <w:p w:rsidR="00B576F9" w:rsidRDefault="00B576F9" w:rsidP="00B576F9">
      <w:pPr>
        <w:pStyle w:val="QS10"/>
      </w:pPr>
      <w:r>
        <w:t xml:space="preserve">The key language in this agreement is in Paragraph 3. That Paragraph describes certain “[c]onditional [r]ights”—actions that Hoffman could take so long as AAHP approved. JA 107. For instance, Hoffman reserved the right to “[a]lter, reconstruct or change the appearance [of the façade] . . . contrary to the Secretary’s Standards” or to “[a]lter or change the appearance of the Air Space in a manner contrary to the Secretary’s Standards.” JA 107–08. (For reference, the “Secretary’s Standards” are regulations issued by the Secretary of the Interior on the rehabilitation of historic buildings. 36 C.F.R. § 67.7.) Paragraph 3 also directs Hoffman to submit these proposed changes to AAHP, which would review the changes based on the Secretary’s Standards and either approve or reject them. Finally, the Paragraph makes clear that AAHP’s “failure . . . to act within forty-five (45) days of receipt [of a proposed change] shall be deemed to constitute approval [of the change] and to permit [Hoffman] to undertake the proposed activity.” JA 108. </w:t>
      </w:r>
    </w:p>
    <w:p w:rsidR="00B576F9" w:rsidRDefault="00B576F9" w:rsidP="00B576F9">
      <w:pPr>
        <w:pStyle w:val="QS10"/>
      </w:pPr>
      <w:r>
        <w:t xml:space="preserve">Simply put, Paragraph 3 gives AAHP a 45-day window in which to prevent certain changes to the façade or airspace. And if the organization misses that window—for whatever reason—it loses the ability to stop the change. It almost goes without saying that this provision violates the “perpetuity” requirement. After all, there’s a world of difference between restrictions that are enforceable “in perpetuity” and those that are enforceable for only 45 days. </w:t>
      </w:r>
      <w:r w:rsidRPr="00B56597">
        <w:rPr>
          <w:i/>
        </w:rPr>
        <w:t>See</w:t>
      </w:r>
      <w:r>
        <w:rPr>
          <w:i/>
        </w:rPr>
        <w:t xml:space="preserve"> </w:t>
      </w:r>
      <w:r w:rsidRPr="00B56597">
        <w:rPr>
          <w:i/>
        </w:rPr>
        <w:t>The</w:t>
      </w:r>
      <w:r>
        <w:rPr>
          <w:i/>
        </w:rPr>
        <w:t xml:space="preserve"> </w:t>
      </w:r>
      <w:r w:rsidRPr="00B56597">
        <w:rPr>
          <w:i/>
        </w:rPr>
        <w:t>American</w:t>
      </w:r>
      <w:r>
        <w:rPr>
          <w:i/>
        </w:rPr>
        <w:t xml:space="preserve"> </w:t>
      </w:r>
      <w:r w:rsidRPr="00B56597">
        <w:rPr>
          <w:i/>
        </w:rPr>
        <w:t>Heritage</w:t>
      </w:r>
      <w:r>
        <w:rPr>
          <w:i/>
        </w:rPr>
        <w:t xml:space="preserve"> </w:t>
      </w:r>
      <w:r w:rsidRPr="00B56597">
        <w:rPr>
          <w:i/>
        </w:rPr>
        <w:t>Dictionary</w:t>
      </w:r>
      <w:r>
        <w:t xml:space="preserve"> 977 (1976) (defining “perpetuity” as “[t]ime without end; eternity”); </w:t>
      </w:r>
      <w:r w:rsidRPr="00B56597">
        <w:rPr>
          <w:i/>
        </w:rPr>
        <w:t>Black’s</w:t>
      </w:r>
      <w:r>
        <w:rPr>
          <w:i/>
        </w:rPr>
        <w:t xml:space="preserve"> </w:t>
      </w:r>
      <w:r w:rsidRPr="00B56597">
        <w:rPr>
          <w:i/>
        </w:rPr>
        <w:t>Law</w:t>
      </w:r>
      <w:r>
        <w:rPr>
          <w:i/>
        </w:rPr>
        <w:t xml:space="preserve"> </w:t>
      </w:r>
      <w:r w:rsidRPr="00B56597">
        <w:rPr>
          <w:i/>
        </w:rPr>
        <w:t>Dictionary</w:t>
      </w:r>
      <w:r>
        <w:t xml:space="preserve"> 711 (5th ed. 1979) (defining “in perpetuity” as “[e]ndless duration; forever”); </w:t>
      </w:r>
      <w:r w:rsidRPr="00B56597">
        <w:rPr>
          <w:i/>
        </w:rPr>
        <w:t>Webster’s</w:t>
      </w:r>
      <w:r>
        <w:rPr>
          <w:i/>
        </w:rPr>
        <w:t xml:space="preserve"> </w:t>
      </w:r>
      <w:r w:rsidRPr="00B56597">
        <w:rPr>
          <w:i/>
        </w:rPr>
        <w:t>Third</w:t>
      </w:r>
      <w:r>
        <w:rPr>
          <w:i/>
        </w:rPr>
        <w:t xml:space="preserve"> </w:t>
      </w:r>
      <w:r w:rsidRPr="00B56597">
        <w:rPr>
          <w:i/>
        </w:rPr>
        <w:t>New</w:t>
      </w:r>
      <w:r>
        <w:rPr>
          <w:i/>
        </w:rPr>
        <w:t xml:space="preserve"> </w:t>
      </w:r>
      <w:r w:rsidRPr="00B56597">
        <w:rPr>
          <w:i/>
        </w:rPr>
        <w:t>International</w:t>
      </w:r>
      <w:r>
        <w:rPr>
          <w:i/>
        </w:rPr>
        <w:t xml:space="preserve"> </w:t>
      </w:r>
      <w:r w:rsidRPr="00B56597">
        <w:rPr>
          <w:i/>
        </w:rPr>
        <w:t>Dictionary</w:t>
      </w:r>
      <w:r>
        <w:t xml:space="preserve"> 1685 (1986) (defining “perpetuity” as “endless time” and a “duration without limitations as to time”). You can’t even really compare the two. </w:t>
      </w:r>
    </w:p>
    <w:p w:rsidR="00B576F9" w:rsidRDefault="00B576F9" w:rsidP="00B576F9">
      <w:pPr>
        <w:pStyle w:val="QS10"/>
        <w:rPr>
          <w:color w:val="000000" w:themeColor="text1"/>
        </w:rPr>
      </w:pPr>
      <w:r>
        <w:t>What’s more, it seems that most (if not all) of the rights reserved in Paragraph 3 could be inconsistent with the conservation purposes of the donation. We know this not only because of the sheer breadth of the reserved rights—for instance, the power to “[a]lter, reconstruct, or change” the façade—but also because many of the rights are expressly defined as “contrary to the Secretary’s Standards.” JA 107. Recall that these standards concern the rehabilitation of historic buildings; they’re designed to ensure that any changes are “consistent with the historic character of the property.” 36 C.F.R. § 67.7(e). And the donation agreement itself tells AAHP to use these standards when it evaluates whether a proposed change would conflict with the purposes of the donation. So it’s not hard to imagine how these changes would be inconsistent with the conservation purposes of the donation. By all appearances, then, the agreement fails to protect these purposes “in perpetuity.”</w:t>
      </w:r>
    </w:p>
    <w:p w:rsidR="00B576F9" w:rsidRDefault="00B576F9" w:rsidP="00B576F9">
      <w:pPr>
        <w:pStyle w:val="QS10"/>
        <w:jc w:val="center"/>
        <w:rPr>
          <w:color w:val="000000" w:themeColor="text1"/>
        </w:rPr>
      </w:pPr>
      <w:r>
        <w:rPr>
          <w:color w:val="000000" w:themeColor="text1"/>
        </w:rPr>
        <w:t>***</w:t>
      </w:r>
    </w:p>
    <w:p w:rsidR="00B576F9" w:rsidRDefault="00B576F9" w:rsidP="00B576F9">
      <w:pPr>
        <w:pStyle w:val="QS10"/>
      </w:pPr>
      <w:r w:rsidRPr="00B56597">
        <w:rPr>
          <w:i/>
        </w:rPr>
        <w:t>The</w:t>
      </w:r>
      <w:r>
        <w:rPr>
          <w:i/>
        </w:rPr>
        <w:t xml:space="preserve"> </w:t>
      </w:r>
      <w:r w:rsidRPr="00B56597">
        <w:rPr>
          <w:i/>
        </w:rPr>
        <w:t>Donation</w:t>
      </w:r>
      <w:r>
        <w:rPr>
          <w:i/>
        </w:rPr>
        <w:t xml:space="preserve"> </w:t>
      </w:r>
      <w:r w:rsidRPr="00B56597">
        <w:rPr>
          <w:i/>
        </w:rPr>
        <w:t>Agreement</w:t>
      </w:r>
      <w:r>
        <w:t xml:space="preserve">. Hoffman also insists that other provisions in the agreement protect the conservation purposes “in perpetuity.” But this argument misses the point: whatever else the agreement says, Paragraph 3 prevents AAHP from enforcing these provisions if the organization fails to act on the proposed change within 45 days. And again, this brief window falls far short of the statutory requirement that the conservation purposes of the donation be “protected in perpetuity.” I.R.C. § 170(h)(5)(A). </w:t>
      </w:r>
    </w:p>
    <w:p w:rsidR="00B576F9" w:rsidRDefault="00B576F9" w:rsidP="00B576F9">
      <w:pPr>
        <w:pStyle w:val="QS10"/>
      </w:pPr>
      <w:r>
        <w:t xml:space="preserve">For similar reasons, Paragraph 10 doesn’t do Hoffman any good even though it provides that the agreement “shall be interpreted broadly to effect its purposes and the transfer of rights and the restrictions on use.” JA 118. This provision tells us to construe the agreement, not rewrite it. </w:t>
      </w:r>
      <w:r w:rsidRPr="00B56597">
        <w:rPr>
          <w:i/>
        </w:rPr>
        <w:t>Cf.</w:t>
      </w:r>
      <w:r>
        <w:rPr>
          <w:i/>
        </w:rPr>
        <w:t xml:space="preserve"> </w:t>
      </w:r>
      <w:r w:rsidRPr="00B56597">
        <w:rPr>
          <w:i/>
        </w:rPr>
        <w:t>Keen</w:t>
      </w:r>
      <w:r>
        <w:rPr>
          <w:i/>
        </w:rPr>
        <w:t xml:space="preserve"> </w:t>
      </w:r>
      <w:r w:rsidRPr="00B56597">
        <w:rPr>
          <w:i/>
        </w:rPr>
        <w:t>v.</w:t>
      </w:r>
      <w:r>
        <w:rPr>
          <w:i/>
        </w:rPr>
        <w:t xml:space="preserve"> </w:t>
      </w:r>
      <w:r w:rsidRPr="00B56597">
        <w:rPr>
          <w:i/>
        </w:rPr>
        <w:t>Helson</w:t>
      </w:r>
      <w:r>
        <w:t>, 930 F.3d 799, 805 (6th Cir. 2019). But there’s no way Hoffman could prevail unless we rewrote some of the terms in Paragraph 3.1.</w:t>
      </w:r>
    </w:p>
    <w:p w:rsidR="00B576F9" w:rsidRDefault="00B576F9" w:rsidP="00B576F9">
      <w:pPr>
        <w:pStyle w:val="Body15"/>
        <w:spacing w:before="240"/>
      </w:pPr>
      <w:r w:rsidRPr="006053A8">
        <w:rPr>
          <w:color w:val="000000" w:themeColor="text1"/>
        </w:rPr>
        <w:t>Footnote</w:t>
      </w:r>
      <w:r>
        <w:t xml:space="preserve"> 1 addresses savings clauses:</w:t>
      </w:r>
    </w:p>
    <w:p w:rsidR="00B576F9" w:rsidRDefault="00B576F9" w:rsidP="00B576F9">
      <w:pPr>
        <w:pStyle w:val="QS10"/>
        <w:rPr>
          <w:color w:val="000000" w:themeColor="text1"/>
        </w:rPr>
      </w:pPr>
      <w:r>
        <w:t>Curiously, Hoffman doesn’t point to the one provision in the agreement that might support this result. Paragraph 10 includes what appears to be a saving clause: “Notwithstanding anything to the contrary herein, [the parties] agree that [AAHP] shall hold this [donation] ‘exclusively for conservation purposes’ as that term is defined in the Code and [its] implementing regulations[.]” JA 118. Hoffman might have argued that this clause negates any other provision in the agreement that would render the donation not “exclusively for conservation purposes”—such as the 45-day provision. But perhaps it didn’t make this argument because other courts have found saving clauses unenforceable in this context.</w:t>
      </w:r>
      <w:r>
        <w:rPr>
          <w:i/>
        </w:rPr>
        <w:t xml:space="preserve"> </w:t>
      </w:r>
      <w:r w:rsidRPr="00B56597">
        <w:rPr>
          <w:i/>
        </w:rPr>
        <w:t>See,</w:t>
      </w:r>
      <w:r>
        <w:rPr>
          <w:i/>
        </w:rPr>
        <w:t xml:space="preserve"> </w:t>
      </w:r>
      <w:r w:rsidRPr="00B56597">
        <w:rPr>
          <w:i/>
        </w:rPr>
        <w:t>e.g.,</w:t>
      </w:r>
      <w:r>
        <w:rPr>
          <w:i/>
        </w:rPr>
        <w:t xml:space="preserve"> </w:t>
      </w:r>
      <w:r w:rsidRPr="00B56597">
        <w:rPr>
          <w:i/>
        </w:rPr>
        <w:t>Belk</w:t>
      </w:r>
      <w:r>
        <w:rPr>
          <w:i/>
        </w:rPr>
        <w:t xml:space="preserve"> </w:t>
      </w:r>
      <w:r w:rsidRPr="00B56597">
        <w:rPr>
          <w:i/>
        </w:rPr>
        <w:t>v.</w:t>
      </w:r>
      <w:r>
        <w:rPr>
          <w:i/>
        </w:rPr>
        <w:t xml:space="preserve"> </w:t>
      </w:r>
      <w:r w:rsidRPr="00B56597">
        <w:rPr>
          <w:i/>
        </w:rPr>
        <w:t>Comm’r</w:t>
      </w:r>
      <w:r>
        <w:t xml:space="preserve">, 774 F.3d 221, 228–30 (4th Cir. 2014); </w:t>
      </w:r>
      <w:r w:rsidRPr="00B56597">
        <w:rPr>
          <w:i/>
        </w:rPr>
        <w:t>R.R.</w:t>
      </w:r>
      <w:r>
        <w:rPr>
          <w:i/>
        </w:rPr>
        <w:t xml:space="preserve"> </w:t>
      </w:r>
      <w:r w:rsidRPr="00B56597">
        <w:rPr>
          <w:i/>
        </w:rPr>
        <w:t>Holdings,</w:t>
      </w:r>
      <w:r>
        <w:rPr>
          <w:i/>
        </w:rPr>
        <w:t xml:space="preserve"> </w:t>
      </w:r>
      <w:r w:rsidRPr="00B56597">
        <w:rPr>
          <w:i/>
        </w:rPr>
        <w:t>LLC</w:t>
      </w:r>
      <w:r>
        <w:rPr>
          <w:i/>
        </w:rPr>
        <w:t xml:space="preserve"> </w:t>
      </w:r>
      <w:r w:rsidRPr="00B56597">
        <w:rPr>
          <w:i/>
        </w:rPr>
        <w:t>v.</w:t>
      </w:r>
      <w:r>
        <w:rPr>
          <w:i/>
        </w:rPr>
        <w:t xml:space="preserve"> </w:t>
      </w:r>
      <w:r w:rsidRPr="00B56597">
        <w:rPr>
          <w:i/>
        </w:rPr>
        <w:t>Comm’r</w:t>
      </w:r>
      <w:r>
        <w:t>, 119 T.C.M. (CCH) 1136, 2020 WL 569926, at *6–7 (2020). Since Hoffman hasn’t raised the issue, we’ll leave it for another day.</w:t>
      </w:r>
    </w:p>
    <w:p w:rsidR="00B576F9" w:rsidRDefault="00B576F9" w:rsidP="00B576F9">
      <w:pPr>
        <w:pStyle w:val="Body15"/>
        <w:spacing w:before="240"/>
        <w:rPr>
          <w:color w:val="000000" w:themeColor="text1"/>
        </w:rPr>
      </w:pPr>
      <w:r>
        <w:rPr>
          <w:color w:val="000000" w:themeColor="text1"/>
        </w:rPr>
        <w:t>The taxpayer argued that it had amended the original agreement to correct the problem but that amendment had not been recorded, as the original required, and the taxpayer presented no evidence that the chances the 45-day clause would be implicated were so remote as to be negligible.</w:t>
      </w:r>
    </w:p>
    <w:p w:rsidR="00B576F9" w:rsidRDefault="00B576F9" w:rsidP="00B576F9">
      <w:pPr>
        <w:pStyle w:val="Body15"/>
        <w:spacing w:before="240"/>
        <w:rPr>
          <w:color w:val="000000" w:themeColor="text1"/>
        </w:rPr>
      </w:pPr>
      <w:r>
        <w:rPr>
          <w:color w:val="000000" w:themeColor="text1"/>
        </w:rPr>
        <w:t>Suppose the 45-day clause were the reverse: if no response from the charitable organization then no change could be made.  Chief Counsel Memorandum 202002011 approved such a clause stating:</w:t>
      </w:r>
    </w:p>
    <w:p w:rsidR="00B576F9" w:rsidRDefault="00B576F9" w:rsidP="00B576F9">
      <w:pPr>
        <w:pStyle w:val="QS10"/>
      </w:pPr>
      <w:r>
        <w:rPr>
          <w:rStyle w:val="Strong"/>
          <w:rFonts w:ascii="Open Sans" w:hAnsi="Open Sans"/>
          <w:color w:val="222222"/>
        </w:rPr>
        <w:t>Constructive Denial.</w:t>
      </w:r>
      <w:r>
        <w:t xml:space="preserve"> For activities or uses that are expressly permitted by the terms of the easement only with the easement holder's approval, the property owner's request for approval shall be in writing and shall describe the nature, scope, design, location, timetable, and any other material aspect of the proposed activity or use in sufficient detail to permit the easement holder to make an informed determination regarding approval or denial of the request. Such a request shall be delivered to the easement holder at least sixty (60) days prior to the anticipated start date of such activity or use.</w:t>
      </w:r>
    </w:p>
    <w:p w:rsidR="00B576F9" w:rsidRDefault="00B576F9" w:rsidP="00B576F9">
      <w:pPr>
        <w:pStyle w:val="QS10"/>
      </w:pPr>
      <w:r>
        <w:t>The easement holder agrees to use reasonable diligence to respond to such a request within the sixty (60) days of delivery. The easement holder's failure to respond to such a request within the sixty (60) day period shall be deemed a constructive denial.</w:t>
      </w:r>
    </w:p>
    <w:p w:rsidR="00B576F9" w:rsidRDefault="00B576F9" w:rsidP="00B576F9">
      <w:pPr>
        <w:pStyle w:val="QS10"/>
      </w:pPr>
      <w:r>
        <w:t>Because a constructive denial is not a decision by the easement holder based on the merits of the property owner's request, it is not final or binding on the easement holder, and the property owner can resubmit the same or a similar request for approval.</w:t>
      </w:r>
    </w:p>
    <w:p w:rsidR="00B576F9" w:rsidRDefault="00B576F9" w:rsidP="00B576F9">
      <w:pPr>
        <w:pStyle w:val="QS10"/>
      </w:pPr>
      <w:r w:rsidRPr="006053A8">
        <w:t>Section</w:t>
      </w:r>
      <w:r>
        <w:t xml:space="preserve"> </w:t>
      </w:r>
      <w:r w:rsidRPr="006053A8">
        <w:t>170(h)(1)</w:t>
      </w:r>
      <w:r>
        <w:t xml:space="preserve"> allows a deduction for a contribution of a qualified real property interest to a qualified organization exclusively for conservation purposes. </w:t>
      </w:r>
      <w:r w:rsidRPr="006053A8">
        <w:t>Section</w:t>
      </w:r>
      <w:r>
        <w:t xml:space="preserve"> </w:t>
      </w:r>
      <w:r w:rsidRPr="006053A8">
        <w:t>170(h)(2)(C)</w:t>
      </w:r>
      <w:r>
        <w:t xml:space="preserve"> states that a qualified real property interest is a restriction (granted in perpetuity) on the use of the real property. </w:t>
      </w:r>
      <w:r w:rsidRPr="006053A8">
        <w:t>Section</w:t>
      </w:r>
      <w:r>
        <w:t xml:space="preserve"> </w:t>
      </w:r>
      <w:r w:rsidRPr="006053A8">
        <w:t>170(h)(5)(A)</w:t>
      </w:r>
      <w:r>
        <w:t xml:space="preserve"> further provides that in order for a contribution to be treated as exclusively for conservation purposes, the conservation purpose must be protected in perpetuity.</w:t>
      </w:r>
    </w:p>
    <w:p w:rsidR="00B576F9" w:rsidRPr="006053A8" w:rsidRDefault="00B576F9" w:rsidP="00B576F9">
      <w:pPr>
        <w:pStyle w:val="QS10"/>
        <w:rPr>
          <w:szCs w:val="20"/>
          <w:u w:val="single"/>
        </w:rPr>
      </w:pPr>
      <w:r w:rsidRPr="006053A8">
        <w:rPr>
          <w:szCs w:val="20"/>
          <w:u w:val="single"/>
        </w:rPr>
        <w:t>CONCLUSION</w:t>
      </w:r>
    </w:p>
    <w:p w:rsidR="00B576F9" w:rsidRDefault="00B576F9" w:rsidP="00B576F9">
      <w:pPr>
        <w:pStyle w:val="QS10"/>
        <w:rPr>
          <w:sz w:val="24"/>
        </w:rPr>
      </w:pPr>
      <w:r>
        <w:t xml:space="preserve">No, a constructive denial clause is not inconsistent with the perpetuity requirements of </w:t>
      </w:r>
      <w:r w:rsidRPr="006053A8">
        <w:t>section</w:t>
      </w:r>
      <w:r>
        <w:t xml:space="preserve"> </w:t>
      </w:r>
      <w:r w:rsidRPr="006053A8">
        <w:t>170(h)</w:t>
      </w:r>
      <w:r>
        <w:t>.</w:t>
      </w:r>
    </w:p>
    <w:p w:rsidR="00F21C73" w:rsidRPr="00F21C73" w:rsidRDefault="007261B1" w:rsidP="00B66CCE">
      <w:pPr>
        <w:pStyle w:val="Heading20"/>
        <w:numPr>
          <w:ilvl w:val="1"/>
          <w:numId w:val="34"/>
        </w:numPr>
        <w:tabs>
          <w:tab w:val="clear" w:pos="2700"/>
          <w:tab w:val="num" w:pos="1440"/>
        </w:tabs>
        <w:ind w:left="0"/>
        <w:rPr>
          <w:vanish/>
          <w:color w:val="000000" w:themeColor="text1"/>
          <w:specVanish/>
        </w:rPr>
      </w:pPr>
      <w:bookmarkStart w:id="168" w:name="_Toc94704626"/>
      <w:r>
        <w:rPr>
          <w:b/>
          <w:color w:val="000000" w:themeColor="text1"/>
          <w:u w:val="single"/>
        </w:rPr>
        <w:t>No</w:t>
      </w:r>
      <w:r w:rsidR="00C64050">
        <w:rPr>
          <w:b/>
          <w:color w:val="000000" w:themeColor="text1"/>
          <w:u w:val="single"/>
        </w:rPr>
        <w:t xml:space="preserve"> </w:t>
      </w:r>
      <w:r>
        <w:rPr>
          <w:b/>
          <w:color w:val="000000" w:themeColor="text1"/>
          <w:u w:val="single"/>
        </w:rPr>
        <w:t>Self-Dealing</w:t>
      </w:r>
      <w:r w:rsidR="00C64050">
        <w:rPr>
          <w:b/>
          <w:color w:val="000000" w:themeColor="text1"/>
          <w:u w:val="single"/>
        </w:rPr>
        <w:t xml:space="preserve"> </w:t>
      </w:r>
      <w:r>
        <w:rPr>
          <w:b/>
          <w:color w:val="000000" w:themeColor="text1"/>
          <w:u w:val="single"/>
        </w:rPr>
        <w:t>Where</w:t>
      </w:r>
      <w:r w:rsidR="00C64050">
        <w:rPr>
          <w:b/>
          <w:color w:val="000000" w:themeColor="text1"/>
          <w:u w:val="single"/>
        </w:rPr>
        <w:t xml:space="preserve"> </w:t>
      </w:r>
      <w:r>
        <w:rPr>
          <w:b/>
          <w:color w:val="000000" w:themeColor="text1"/>
          <w:u w:val="single"/>
        </w:rPr>
        <w:t>Marital</w:t>
      </w:r>
      <w:r w:rsidR="00C64050">
        <w:rPr>
          <w:b/>
          <w:color w:val="000000" w:themeColor="text1"/>
          <w:u w:val="single"/>
        </w:rPr>
        <w:t xml:space="preserve"> </w:t>
      </w:r>
      <w:r>
        <w:rPr>
          <w:b/>
          <w:color w:val="000000" w:themeColor="text1"/>
          <w:u w:val="single"/>
        </w:rPr>
        <w:t>Trust</w:t>
      </w:r>
      <w:r w:rsidR="00C64050">
        <w:rPr>
          <w:b/>
          <w:color w:val="000000" w:themeColor="text1"/>
          <w:u w:val="single"/>
        </w:rPr>
        <w:t xml:space="preserve"> </w:t>
      </w:r>
      <w:r>
        <w:rPr>
          <w:b/>
          <w:color w:val="000000" w:themeColor="text1"/>
          <w:u w:val="single"/>
        </w:rPr>
        <w:t>and</w:t>
      </w:r>
      <w:r w:rsidR="00C64050">
        <w:rPr>
          <w:b/>
          <w:color w:val="000000" w:themeColor="text1"/>
          <w:u w:val="single"/>
        </w:rPr>
        <w:t xml:space="preserve"> </w:t>
      </w:r>
      <w:r>
        <w:rPr>
          <w:b/>
          <w:color w:val="000000" w:themeColor="text1"/>
          <w:u w:val="single"/>
        </w:rPr>
        <w:t>Charitable</w:t>
      </w:r>
      <w:r w:rsidR="00C64050">
        <w:rPr>
          <w:b/>
          <w:color w:val="000000" w:themeColor="text1"/>
          <w:u w:val="single"/>
        </w:rPr>
        <w:t xml:space="preserve"> </w:t>
      </w:r>
      <w:r>
        <w:rPr>
          <w:b/>
          <w:color w:val="000000" w:themeColor="text1"/>
          <w:u w:val="single"/>
        </w:rPr>
        <w:t>Trust</w:t>
      </w:r>
      <w:r w:rsidR="00C64050">
        <w:rPr>
          <w:b/>
          <w:color w:val="000000" w:themeColor="text1"/>
          <w:u w:val="single"/>
        </w:rPr>
        <w:t xml:space="preserve"> </w:t>
      </w:r>
      <w:r w:rsidR="00F21C73">
        <w:rPr>
          <w:b/>
          <w:color w:val="000000" w:themeColor="text1"/>
          <w:u w:val="single"/>
        </w:rPr>
        <w:t>Divided</w:t>
      </w:r>
      <w:r w:rsidR="00C64050">
        <w:rPr>
          <w:b/>
          <w:color w:val="000000" w:themeColor="text1"/>
          <w:u w:val="single"/>
        </w:rPr>
        <w:t xml:space="preserve"> </w:t>
      </w:r>
      <w:r w:rsidR="00F21C73">
        <w:rPr>
          <w:b/>
          <w:color w:val="000000" w:themeColor="text1"/>
          <w:u w:val="single"/>
        </w:rPr>
        <w:t>Assets</w:t>
      </w:r>
      <w:bookmarkEnd w:id="168"/>
    </w:p>
    <w:p w:rsidR="00172E8B" w:rsidRDefault="00F21C73" w:rsidP="00F21C73">
      <w:pPr>
        <w:pStyle w:val="Heading2Body"/>
      </w:pPr>
      <w:r>
        <w:t>.</w:t>
      </w:r>
      <w:r w:rsidR="00C64050">
        <w:t xml:space="preserve">  </w:t>
      </w:r>
      <w:r>
        <w:t>A</w:t>
      </w:r>
      <w:r w:rsidR="00C64050">
        <w:t xml:space="preserve"> </w:t>
      </w:r>
      <w:r>
        <w:t>series</w:t>
      </w:r>
      <w:r w:rsidR="00C64050">
        <w:t xml:space="preserve"> </w:t>
      </w:r>
      <w:r>
        <w:t>of</w:t>
      </w:r>
      <w:r w:rsidR="00C64050">
        <w:t xml:space="preserve"> </w:t>
      </w:r>
      <w:r>
        <w:t>complicated</w:t>
      </w:r>
      <w:r w:rsidR="00C64050">
        <w:t xml:space="preserve"> </w:t>
      </w:r>
      <w:r>
        <w:t>transactions</w:t>
      </w:r>
      <w:r w:rsidR="00C64050">
        <w:t xml:space="preserve"> </w:t>
      </w:r>
      <w:r w:rsidR="005A727F">
        <w:t>“cashing</w:t>
      </w:r>
      <w:r w:rsidR="00C64050">
        <w:t xml:space="preserve"> </w:t>
      </w:r>
      <w:r w:rsidR="005A727F">
        <w:t>the</w:t>
      </w:r>
      <w:r w:rsidR="00C64050">
        <w:t xml:space="preserve"> </w:t>
      </w:r>
      <w:r w:rsidR="005A727F">
        <w:t>spouse</w:t>
      </w:r>
      <w:r w:rsidR="00C64050">
        <w:t xml:space="preserve"> </w:t>
      </w:r>
      <w:r w:rsidR="005A727F">
        <w:t>out”</w:t>
      </w:r>
      <w:r w:rsidR="00C64050">
        <w:t xml:space="preserve"> </w:t>
      </w:r>
      <w:r w:rsidR="005A727F">
        <w:t>of</w:t>
      </w:r>
      <w:r w:rsidR="00C64050">
        <w:t xml:space="preserve"> </w:t>
      </w:r>
      <w:r w:rsidR="005A727F">
        <w:t>various</w:t>
      </w:r>
      <w:r w:rsidR="00C64050">
        <w:t xml:space="preserve"> </w:t>
      </w:r>
      <w:r w:rsidR="005A727F">
        <w:t>trusts</w:t>
      </w:r>
      <w:r w:rsidR="00C64050">
        <w:t xml:space="preserve"> </w:t>
      </w:r>
      <w:r>
        <w:t>were</w:t>
      </w:r>
      <w:r w:rsidR="00C64050">
        <w:t xml:space="preserve"> </w:t>
      </w:r>
      <w:r>
        <w:t>summarized</w:t>
      </w:r>
      <w:r w:rsidR="00C64050">
        <w:t xml:space="preserve"> </w:t>
      </w:r>
      <w:r>
        <w:t>by</w:t>
      </w:r>
      <w:r w:rsidR="00C64050">
        <w:t xml:space="preserve"> </w:t>
      </w:r>
      <w:r>
        <w:t>the</w:t>
      </w:r>
      <w:r w:rsidR="00C64050">
        <w:t xml:space="preserve"> </w:t>
      </w:r>
      <w:r>
        <w:t>IRS</w:t>
      </w:r>
      <w:r w:rsidR="00C64050">
        <w:t xml:space="preserve"> </w:t>
      </w:r>
      <w:r>
        <w:t>in</w:t>
      </w:r>
      <w:r w:rsidR="00C64050">
        <w:t xml:space="preserve"> </w:t>
      </w:r>
      <w:r>
        <w:t>PLR</w:t>
      </w:r>
      <w:r w:rsidR="00C64050">
        <w:t xml:space="preserve"> </w:t>
      </w:r>
      <w:r>
        <w:t>202016002</w:t>
      </w:r>
      <w:r w:rsidR="00C64050">
        <w:t xml:space="preserve"> </w:t>
      </w:r>
      <w:r>
        <w:t>as</w:t>
      </w:r>
      <w:r w:rsidR="00C64050">
        <w:t xml:space="preserve"> </w:t>
      </w:r>
      <w:r>
        <w:t>follows:</w:t>
      </w:r>
    </w:p>
    <w:p w:rsidR="00514AB2" w:rsidRDefault="00514AB2" w:rsidP="00514AB2">
      <w:pPr>
        <w:pStyle w:val="QS10"/>
      </w:pPr>
      <w:r>
        <w:t>The</w:t>
      </w:r>
      <w:r w:rsidR="00C64050">
        <w:t xml:space="preserve"> </w:t>
      </w:r>
      <w:r>
        <w:t>transaction</w:t>
      </w:r>
      <w:r w:rsidR="00C64050">
        <w:t xml:space="preserve"> </w:t>
      </w:r>
      <w:r>
        <w:t>pursuant</w:t>
      </w:r>
      <w:r w:rsidR="00C64050">
        <w:t xml:space="preserve"> </w:t>
      </w:r>
      <w:r>
        <w:t>to</w:t>
      </w:r>
      <w:r w:rsidR="00C64050">
        <w:t xml:space="preserve"> </w:t>
      </w:r>
      <w:r>
        <w:t>the</w:t>
      </w:r>
      <w:r w:rsidR="00C64050">
        <w:t xml:space="preserve"> </w:t>
      </w:r>
      <w:r>
        <w:t>Settlement</w:t>
      </w:r>
      <w:r w:rsidR="00C64050">
        <w:t xml:space="preserve"> </w:t>
      </w:r>
      <w:r>
        <w:t>Agreement,</w:t>
      </w:r>
      <w:r w:rsidR="00C64050">
        <w:t xml:space="preserve"> </w:t>
      </w:r>
      <w:r>
        <w:t>in</w:t>
      </w:r>
      <w:r w:rsidR="00C64050">
        <w:t xml:space="preserve"> </w:t>
      </w:r>
      <w:r>
        <w:t>which</w:t>
      </w:r>
      <w:r w:rsidR="00C64050">
        <w:t xml:space="preserve"> </w:t>
      </w:r>
      <w:r>
        <w:t>Spouse</w:t>
      </w:r>
      <w:r w:rsidR="00C64050">
        <w:t xml:space="preserve"> </w:t>
      </w:r>
      <w:r>
        <w:t>will</w:t>
      </w:r>
      <w:r w:rsidR="00C64050">
        <w:t xml:space="preserve"> </w:t>
      </w:r>
      <w:r>
        <w:t>receive</w:t>
      </w:r>
      <w:r w:rsidR="00C64050">
        <w:t xml:space="preserve"> </w:t>
      </w:r>
      <w:r>
        <w:t>the</w:t>
      </w:r>
      <w:r w:rsidR="00C64050">
        <w:t xml:space="preserve"> </w:t>
      </w:r>
      <w:r>
        <w:t>present</w:t>
      </w:r>
      <w:r w:rsidR="00C64050">
        <w:t xml:space="preserve"> </w:t>
      </w:r>
      <w:r>
        <w:t>value</w:t>
      </w:r>
      <w:r w:rsidR="00C64050">
        <w:t xml:space="preserve"> </w:t>
      </w:r>
      <w:r>
        <w:t>of</w:t>
      </w:r>
      <w:r w:rsidR="00C64050">
        <w:t xml:space="preserve"> </w:t>
      </w:r>
      <w:r>
        <w:t>her</w:t>
      </w:r>
      <w:r w:rsidR="00C64050">
        <w:t xml:space="preserve"> </w:t>
      </w:r>
      <w:r>
        <w:t>life</w:t>
      </w:r>
      <w:r w:rsidR="00C64050">
        <w:t xml:space="preserve"> </w:t>
      </w:r>
      <w:r>
        <w:t>income</w:t>
      </w:r>
      <w:r w:rsidR="00C64050">
        <w:t xml:space="preserve"> </w:t>
      </w:r>
      <w:r>
        <w:t>interests</w:t>
      </w:r>
      <w:r w:rsidR="00C64050">
        <w:t xml:space="preserve"> </w:t>
      </w:r>
      <w:r>
        <w:t>in</w:t>
      </w:r>
      <w:r w:rsidR="00C64050">
        <w:t xml:space="preserve"> </w:t>
      </w:r>
      <w:r>
        <w:t>Irrevocable</w:t>
      </w:r>
      <w:r w:rsidR="00C64050">
        <w:t xml:space="preserve"> </w:t>
      </w:r>
      <w:r>
        <w:t>Trust</w:t>
      </w:r>
      <w:r w:rsidR="00C64050">
        <w:t xml:space="preserve"> </w:t>
      </w:r>
      <w:r>
        <w:t>and</w:t>
      </w:r>
      <w:r w:rsidR="00C64050">
        <w:t xml:space="preserve"> </w:t>
      </w:r>
      <w:r>
        <w:t>Marital</w:t>
      </w:r>
      <w:r w:rsidR="00C64050">
        <w:t xml:space="preserve"> </w:t>
      </w:r>
      <w:r>
        <w:t>Trust,</w:t>
      </w:r>
      <w:r w:rsidR="00C64050">
        <w:t xml:space="preserve"> </w:t>
      </w:r>
      <w:r>
        <w:t>and</w:t>
      </w:r>
      <w:r w:rsidR="00C64050">
        <w:t xml:space="preserve"> </w:t>
      </w:r>
      <w:r>
        <w:t>Charitable</w:t>
      </w:r>
      <w:r w:rsidR="00C64050">
        <w:t xml:space="preserve"> </w:t>
      </w:r>
      <w:r>
        <w:t>Trust</w:t>
      </w:r>
      <w:r w:rsidR="00C64050">
        <w:t xml:space="preserve"> </w:t>
      </w:r>
      <w:r>
        <w:t>will</w:t>
      </w:r>
      <w:r w:rsidR="00C64050">
        <w:t xml:space="preserve"> </w:t>
      </w:r>
      <w:r>
        <w:t>receive</w:t>
      </w:r>
      <w:r w:rsidR="00C64050">
        <w:t xml:space="preserve"> </w:t>
      </w:r>
      <w:r>
        <w:t>the</w:t>
      </w:r>
      <w:r w:rsidR="00C64050">
        <w:t xml:space="preserve"> </w:t>
      </w:r>
      <w:r>
        <w:t>remaining</w:t>
      </w:r>
      <w:r w:rsidR="00C64050">
        <w:t xml:space="preserve"> </w:t>
      </w:r>
      <w:r>
        <w:t>trust</w:t>
      </w:r>
      <w:r w:rsidR="00C64050">
        <w:t xml:space="preserve"> </w:t>
      </w:r>
      <w:r>
        <w:t>assets,</w:t>
      </w:r>
      <w:r w:rsidR="00C64050">
        <w:t xml:space="preserve"> </w:t>
      </w:r>
      <w:r>
        <w:t>may</w:t>
      </w:r>
      <w:r w:rsidR="00C64050">
        <w:t xml:space="preserve"> </w:t>
      </w:r>
      <w:r>
        <w:t>be</w:t>
      </w:r>
      <w:r w:rsidR="00C64050">
        <w:t xml:space="preserve"> </w:t>
      </w:r>
      <w:r>
        <w:t>regarded</w:t>
      </w:r>
      <w:r w:rsidR="00C64050">
        <w:t xml:space="preserve"> </w:t>
      </w:r>
      <w:r>
        <w:t>in</w:t>
      </w:r>
      <w:r w:rsidR="00C64050">
        <w:t xml:space="preserve"> </w:t>
      </w:r>
      <w:r>
        <w:t>substance</w:t>
      </w:r>
      <w:r w:rsidR="00C64050">
        <w:t xml:space="preserve"> </w:t>
      </w:r>
      <w:r>
        <w:t>as</w:t>
      </w:r>
      <w:r w:rsidR="00C64050">
        <w:t xml:space="preserve"> </w:t>
      </w:r>
      <w:r>
        <w:t>an</w:t>
      </w:r>
      <w:r w:rsidR="00C64050">
        <w:t xml:space="preserve"> </w:t>
      </w:r>
      <w:r>
        <w:t>indirect</w:t>
      </w:r>
      <w:r w:rsidR="00C64050">
        <w:t xml:space="preserve"> </w:t>
      </w:r>
      <w:r>
        <w:t>exchange</w:t>
      </w:r>
      <w:r w:rsidR="00C64050">
        <w:t xml:space="preserve"> </w:t>
      </w:r>
      <w:r>
        <w:t>between</w:t>
      </w:r>
      <w:r w:rsidR="00C64050">
        <w:t xml:space="preserve"> </w:t>
      </w:r>
      <w:r>
        <w:t>Spouse</w:t>
      </w:r>
      <w:r w:rsidR="00C64050">
        <w:t xml:space="preserve"> </w:t>
      </w:r>
      <w:r>
        <w:t>and</w:t>
      </w:r>
      <w:r w:rsidR="00C64050">
        <w:t xml:space="preserve"> </w:t>
      </w:r>
      <w:r>
        <w:t>Charitable</w:t>
      </w:r>
      <w:r w:rsidR="00C64050">
        <w:t xml:space="preserve"> </w:t>
      </w:r>
      <w:r>
        <w:t>Trust</w:t>
      </w:r>
      <w:r w:rsidR="00C64050">
        <w:t xml:space="preserve"> </w:t>
      </w:r>
      <w:r>
        <w:t>similar</w:t>
      </w:r>
      <w:r w:rsidR="00C64050">
        <w:t xml:space="preserve"> </w:t>
      </w:r>
      <w:r>
        <w:t>to</w:t>
      </w:r>
      <w:r w:rsidR="00C64050">
        <w:t xml:space="preserve"> </w:t>
      </w:r>
      <w:r>
        <w:t>the</w:t>
      </w:r>
      <w:r w:rsidR="00C64050">
        <w:t xml:space="preserve"> </w:t>
      </w:r>
      <w:r>
        <w:t>one</w:t>
      </w:r>
      <w:r w:rsidR="00C64050">
        <w:t xml:space="preserve"> </w:t>
      </w:r>
      <w:r>
        <w:t>described</w:t>
      </w:r>
      <w:r w:rsidR="00C64050">
        <w:t xml:space="preserve"> </w:t>
      </w:r>
      <w:r>
        <w:t>in</w:t>
      </w:r>
      <w:r w:rsidR="00C64050">
        <w:t xml:space="preserve"> </w:t>
      </w:r>
      <w:r w:rsidRPr="00514AB2">
        <w:t>Rev.</w:t>
      </w:r>
      <w:r w:rsidR="00C64050">
        <w:t xml:space="preserve"> </w:t>
      </w:r>
      <w:r w:rsidRPr="00514AB2">
        <w:t>Rul.</w:t>
      </w:r>
      <w:r w:rsidR="00C64050">
        <w:t xml:space="preserve"> </w:t>
      </w:r>
      <w:r w:rsidRPr="00514AB2">
        <w:t>72-243</w:t>
      </w:r>
      <w:r>
        <w:t>.</w:t>
      </w:r>
      <w:r w:rsidR="00C64050">
        <w:t xml:space="preserve"> </w:t>
      </w:r>
      <w:r>
        <w:t>Charitable</w:t>
      </w:r>
      <w:r w:rsidR="00C64050">
        <w:t xml:space="preserve"> </w:t>
      </w:r>
      <w:r>
        <w:t>Trust</w:t>
      </w:r>
      <w:r w:rsidR="00C64050">
        <w:t xml:space="preserve"> </w:t>
      </w:r>
      <w:r>
        <w:t>was</w:t>
      </w:r>
      <w:r w:rsidR="00C64050">
        <w:t xml:space="preserve"> </w:t>
      </w:r>
      <w:r>
        <w:t>not</w:t>
      </w:r>
      <w:r w:rsidR="00C64050">
        <w:t xml:space="preserve"> </w:t>
      </w:r>
      <w:r>
        <w:t>funded</w:t>
      </w:r>
      <w:r w:rsidR="00C64050">
        <w:t xml:space="preserve"> </w:t>
      </w:r>
      <w:r>
        <w:t>upon</w:t>
      </w:r>
      <w:r w:rsidR="00C64050">
        <w:t xml:space="preserve"> </w:t>
      </w:r>
      <w:r>
        <w:t>Decedent's</w:t>
      </w:r>
      <w:r w:rsidR="00C64050">
        <w:t xml:space="preserve"> </w:t>
      </w:r>
      <w:r>
        <w:t>death</w:t>
      </w:r>
      <w:r w:rsidR="00C64050">
        <w:t xml:space="preserve"> </w:t>
      </w:r>
      <w:r>
        <w:t>by</w:t>
      </w:r>
      <w:r w:rsidR="00C64050">
        <w:t xml:space="preserve"> </w:t>
      </w:r>
      <w:r>
        <w:t>Decedent,</w:t>
      </w:r>
      <w:r w:rsidR="00C64050">
        <w:t xml:space="preserve"> </w:t>
      </w:r>
      <w:r>
        <w:t>and</w:t>
      </w:r>
      <w:r w:rsidR="00C64050">
        <w:t xml:space="preserve"> </w:t>
      </w:r>
      <w:r>
        <w:t>no</w:t>
      </w:r>
      <w:r w:rsidR="00C64050">
        <w:t xml:space="preserve"> </w:t>
      </w:r>
      <w:r>
        <w:t>deduction</w:t>
      </w:r>
      <w:r w:rsidR="00C64050">
        <w:t xml:space="preserve"> </w:t>
      </w:r>
      <w:r>
        <w:t>has</w:t>
      </w:r>
      <w:r w:rsidR="00C64050">
        <w:t xml:space="preserve"> </w:t>
      </w:r>
      <w:r>
        <w:t>been</w:t>
      </w:r>
      <w:r w:rsidR="00C64050">
        <w:t xml:space="preserve"> </w:t>
      </w:r>
      <w:r>
        <w:t>or</w:t>
      </w:r>
      <w:r w:rsidR="00C64050">
        <w:t xml:space="preserve"> </w:t>
      </w:r>
      <w:r>
        <w:t>will</w:t>
      </w:r>
      <w:r w:rsidR="00C64050">
        <w:t xml:space="preserve"> </w:t>
      </w:r>
      <w:r>
        <w:t>be</w:t>
      </w:r>
      <w:r w:rsidR="00C64050">
        <w:t xml:space="preserve"> </w:t>
      </w:r>
      <w:r>
        <w:t>allowed</w:t>
      </w:r>
      <w:r w:rsidR="00C64050">
        <w:t xml:space="preserve"> </w:t>
      </w:r>
      <w:r>
        <w:t>under</w:t>
      </w:r>
      <w:r w:rsidR="00C64050">
        <w:t xml:space="preserve"> </w:t>
      </w:r>
      <w:r w:rsidRPr="00514AB2">
        <w:t>§</w:t>
      </w:r>
      <w:r w:rsidR="00C64050">
        <w:t xml:space="preserve"> </w:t>
      </w:r>
      <w:r w:rsidRPr="00514AB2">
        <w:t>170</w:t>
      </w:r>
      <w:r>
        <w:t>,</w:t>
      </w:r>
      <w:r w:rsidR="00C64050">
        <w:t xml:space="preserve"> </w:t>
      </w:r>
      <w:r w:rsidRPr="00514AB2">
        <w:t>545(b)(2)</w:t>
      </w:r>
      <w:r>
        <w:t>,</w:t>
      </w:r>
      <w:r w:rsidR="00C64050">
        <w:t xml:space="preserve"> </w:t>
      </w:r>
      <w:r w:rsidRPr="00514AB2">
        <w:t>642(c)</w:t>
      </w:r>
      <w:r>
        <w:t>,</w:t>
      </w:r>
      <w:r w:rsidR="00C64050">
        <w:t xml:space="preserve"> </w:t>
      </w:r>
      <w:r w:rsidRPr="00514AB2">
        <w:t>2055</w:t>
      </w:r>
      <w:r>
        <w:t>,</w:t>
      </w:r>
      <w:r w:rsidR="00C64050">
        <w:t xml:space="preserve"> </w:t>
      </w:r>
      <w:r w:rsidRPr="00514AB2">
        <w:t>2106(a)(2)</w:t>
      </w:r>
      <w:r>
        <w:t>,</w:t>
      </w:r>
      <w:r w:rsidR="00C64050">
        <w:t xml:space="preserve"> </w:t>
      </w:r>
      <w:r>
        <w:t>or</w:t>
      </w:r>
      <w:r w:rsidR="00C64050">
        <w:t xml:space="preserve"> </w:t>
      </w:r>
      <w:r w:rsidRPr="00514AB2">
        <w:t>2522</w:t>
      </w:r>
      <w:r w:rsidR="00C64050">
        <w:t xml:space="preserve"> </w:t>
      </w:r>
      <w:r>
        <w:t>with</w:t>
      </w:r>
      <w:r w:rsidR="00C64050">
        <w:t xml:space="preserve"> </w:t>
      </w:r>
      <w:r>
        <w:t>respect</w:t>
      </w:r>
      <w:r w:rsidR="00C64050">
        <w:t xml:space="preserve"> </w:t>
      </w:r>
      <w:r>
        <w:t>to</w:t>
      </w:r>
      <w:r w:rsidR="00C64050">
        <w:t xml:space="preserve"> </w:t>
      </w:r>
      <w:r>
        <w:t>Charitable</w:t>
      </w:r>
      <w:r w:rsidR="00C64050">
        <w:t xml:space="preserve"> </w:t>
      </w:r>
      <w:r>
        <w:t>Trust</w:t>
      </w:r>
      <w:r w:rsidR="00C64050">
        <w:t xml:space="preserve"> </w:t>
      </w:r>
      <w:r>
        <w:t>prior</w:t>
      </w:r>
      <w:r w:rsidR="00C64050">
        <w:t xml:space="preserve"> </w:t>
      </w:r>
      <w:r>
        <w:t>to</w:t>
      </w:r>
      <w:r w:rsidR="00C64050">
        <w:t xml:space="preserve"> </w:t>
      </w:r>
      <w:r>
        <w:t>the</w:t>
      </w:r>
      <w:r w:rsidR="00C64050">
        <w:t xml:space="preserve"> </w:t>
      </w:r>
      <w:r>
        <w:t>contemplated</w:t>
      </w:r>
      <w:r w:rsidR="00C64050">
        <w:t xml:space="preserve"> </w:t>
      </w:r>
      <w:r>
        <w:t>exchange.</w:t>
      </w:r>
      <w:r w:rsidR="00C64050">
        <w:t xml:space="preserve"> </w:t>
      </w:r>
      <w:r>
        <w:t>Therefore,</w:t>
      </w:r>
      <w:r w:rsidR="00C64050">
        <w:t xml:space="preserve"> </w:t>
      </w:r>
      <w:r>
        <w:t>prior</w:t>
      </w:r>
      <w:r w:rsidR="00C64050">
        <w:t xml:space="preserve"> </w:t>
      </w:r>
      <w:r>
        <w:t>to</w:t>
      </w:r>
      <w:r w:rsidR="00C64050">
        <w:t xml:space="preserve"> </w:t>
      </w:r>
      <w:r>
        <w:t>the</w:t>
      </w:r>
      <w:r w:rsidR="00C64050">
        <w:t xml:space="preserve"> </w:t>
      </w:r>
      <w:r>
        <w:t>exchange,</w:t>
      </w:r>
      <w:r w:rsidR="00C64050">
        <w:t xml:space="preserve"> </w:t>
      </w:r>
      <w:r>
        <w:t>Charitable</w:t>
      </w:r>
      <w:r w:rsidR="00C64050">
        <w:t xml:space="preserve"> </w:t>
      </w:r>
      <w:r>
        <w:t>Trust</w:t>
      </w:r>
      <w:r w:rsidR="00C64050">
        <w:t xml:space="preserve"> </w:t>
      </w:r>
      <w:r>
        <w:t>is</w:t>
      </w:r>
      <w:r w:rsidR="00C64050">
        <w:t xml:space="preserve"> </w:t>
      </w:r>
      <w:r>
        <w:t>not</w:t>
      </w:r>
      <w:r w:rsidR="00C64050">
        <w:t xml:space="preserve"> </w:t>
      </w:r>
      <w:r>
        <w:t>a</w:t>
      </w:r>
      <w:r w:rsidR="00C64050">
        <w:t xml:space="preserve"> </w:t>
      </w:r>
      <w:r>
        <w:t>trust</w:t>
      </w:r>
      <w:r w:rsidR="00C64050">
        <w:t xml:space="preserve"> </w:t>
      </w:r>
      <w:r>
        <w:t>described</w:t>
      </w:r>
      <w:r w:rsidR="00C64050">
        <w:t xml:space="preserve"> </w:t>
      </w:r>
      <w:r>
        <w:t>in</w:t>
      </w:r>
      <w:r w:rsidR="00C64050">
        <w:t xml:space="preserve"> </w:t>
      </w:r>
      <w:r w:rsidRPr="00514AB2">
        <w:t>§</w:t>
      </w:r>
      <w:r w:rsidR="00C64050">
        <w:t xml:space="preserve"> </w:t>
      </w:r>
      <w:r w:rsidRPr="00514AB2">
        <w:t>4947(a)(1)</w:t>
      </w:r>
      <w:r>
        <w:t>.</w:t>
      </w:r>
    </w:p>
    <w:p w:rsidR="00514AB2" w:rsidRDefault="00514AB2" w:rsidP="00514AB2">
      <w:pPr>
        <w:pStyle w:val="QS10"/>
      </w:pPr>
      <w:r>
        <w:t>As</w:t>
      </w:r>
      <w:r w:rsidR="00C64050">
        <w:t xml:space="preserve"> </w:t>
      </w:r>
      <w:r>
        <w:t>discussed</w:t>
      </w:r>
      <w:r w:rsidR="00C64050">
        <w:t xml:space="preserve"> </w:t>
      </w:r>
      <w:r>
        <w:t>above,</w:t>
      </w:r>
      <w:r w:rsidR="00C64050">
        <w:t xml:space="preserve"> </w:t>
      </w:r>
      <w:r>
        <w:t>Spouse</w:t>
      </w:r>
      <w:r w:rsidR="00C64050">
        <w:t xml:space="preserve"> </w:t>
      </w:r>
      <w:r>
        <w:t>will</w:t>
      </w:r>
      <w:r w:rsidR="00C64050">
        <w:t xml:space="preserve"> </w:t>
      </w:r>
      <w:r>
        <w:t>receive</w:t>
      </w:r>
      <w:r w:rsidR="00C64050">
        <w:t xml:space="preserve"> </w:t>
      </w:r>
      <w:r>
        <w:t>a</w:t>
      </w:r>
      <w:r w:rsidR="00C64050">
        <w:t xml:space="preserve"> </w:t>
      </w:r>
      <w:r>
        <w:t>gift</w:t>
      </w:r>
      <w:r w:rsidR="00C64050">
        <w:t xml:space="preserve"> </w:t>
      </w:r>
      <w:r>
        <w:t>tax</w:t>
      </w:r>
      <w:r w:rsidR="00C64050">
        <w:t xml:space="preserve"> </w:t>
      </w:r>
      <w:r>
        <w:t>deduction</w:t>
      </w:r>
      <w:r w:rsidR="00C64050">
        <w:t xml:space="preserve"> </w:t>
      </w:r>
      <w:r>
        <w:t>under</w:t>
      </w:r>
      <w:r w:rsidR="00C64050">
        <w:t xml:space="preserve"> </w:t>
      </w:r>
      <w:r w:rsidRPr="00514AB2">
        <w:t>§</w:t>
      </w:r>
      <w:r w:rsidR="00C64050">
        <w:t xml:space="preserve"> </w:t>
      </w:r>
      <w:r w:rsidRPr="00514AB2">
        <w:t>2522</w:t>
      </w:r>
      <w:r w:rsidR="00C64050">
        <w:t xml:space="preserve"> </w:t>
      </w:r>
      <w:r>
        <w:t>of</w:t>
      </w:r>
      <w:r w:rsidR="00C64050">
        <w:t xml:space="preserve"> </w:t>
      </w:r>
      <w:r>
        <w:t>more</w:t>
      </w:r>
      <w:r w:rsidR="00C64050">
        <w:t xml:space="preserve"> </w:t>
      </w:r>
      <w:r>
        <w:t>than</w:t>
      </w:r>
      <w:r w:rsidR="00C64050">
        <w:t xml:space="preserve"> </w:t>
      </w:r>
      <w:r>
        <w:t>$5,000</w:t>
      </w:r>
      <w:r w:rsidR="00C64050">
        <w:t xml:space="preserve"> </w:t>
      </w:r>
      <w:r>
        <w:t>for</w:t>
      </w:r>
      <w:r w:rsidR="00C64050">
        <w:t xml:space="preserve"> </w:t>
      </w:r>
      <w:r>
        <w:t>the</w:t>
      </w:r>
      <w:r w:rsidR="00C64050">
        <w:t xml:space="preserve"> </w:t>
      </w:r>
      <w:r>
        <w:t>property</w:t>
      </w:r>
      <w:r w:rsidR="00C64050">
        <w:t xml:space="preserve"> </w:t>
      </w:r>
      <w:r>
        <w:t>deemed</w:t>
      </w:r>
      <w:r w:rsidR="00C64050">
        <w:t xml:space="preserve"> </w:t>
      </w:r>
      <w:r>
        <w:t>transferred</w:t>
      </w:r>
      <w:r w:rsidR="00C64050">
        <w:t xml:space="preserve"> </w:t>
      </w:r>
      <w:r>
        <w:t>by</w:t>
      </w:r>
      <w:r w:rsidR="00C64050">
        <w:t xml:space="preserve"> </w:t>
      </w:r>
      <w:r>
        <w:t>her</w:t>
      </w:r>
      <w:r w:rsidR="00C64050">
        <w:t xml:space="preserve"> </w:t>
      </w:r>
      <w:r>
        <w:t>to</w:t>
      </w:r>
      <w:r w:rsidR="00C64050">
        <w:t xml:space="preserve"> </w:t>
      </w:r>
      <w:r>
        <w:t>Charitable</w:t>
      </w:r>
      <w:r w:rsidR="00C64050">
        <w:t xml:space="preserve"> </w:t>
      </w:r>
      <w:r>
        <w:t>Trust</w:t>
      </w:r>
      <w:r w:rsidR="00C64050">
        <w:t xml:space="preserve"> </w:t>
      </w:r>
      <w:r>
        <w:t>(which</w:t>
      </w:r>
      <w:r w:rsidR="00C64050">
        <w:t xml:space="preserve"> </w:t>
      </w:r>
      <w:r>
        <w:t>will</w:t>
      </w:r>
      <w:r w:rsidR="00C64050">
        <w:t xml:space="preserve"> </w:t>
      </w:r>
      <w:r>
        <w:t>exceed</w:t>
      </w:r>
      <w:r w:rsidR="00C64050">
        <w:t xml:space="preserve"> </w:t>
      </w:r>
      <w:r>
        <w:t>2</w:t>
      </w:r>
      <w:r w:rsidR="00C64050">
        <w:t xml:space="preserve"> </w:t>
      </w:r>
      <w:r>
        <w:t>percent</w:t>
      </w:r>
      <w:r w:rsidR="00C64050">
        <w:t xml:space="preserve"> </w:t>
      </w:r>
      <w:r>
        <w:t>of</w:t>
      </w:r>
      <w:r w:rsidR="00C64050">
        <w:t xml:space="preserve"> </w:t>
      </w:r>
      <w:r>
        <w:t>all</w:t>
      </w:r>
      <w:r w:rsidR="00C64050">
        <w:t xml:space="preserve"> </w:t>
      </w:r>
      <w:r>
        <w:t>contributions</w:t>
      </w:r>
      <w:r w:rsidR="00C64050">
        <w:t xml:space="preserve"> </w:t>
      </w:r>
      <w:r>
        <w:t>to</w:t>
      </w:r>
      <w:r w:rsidR="00C64050">
        <w:t xml:space="preserve"> </w:t>
      </w:r>
      <w:r>
        <w:t>Charitable</w:t>
      </w:r>
      <w:r w:rsidR="00C64050">
        <w:t xml:space="preserve"> </w:t>
      </w:r>
      <w:r>
        <w:t>Trust),</w:t>
      </w:r>
      <w:r w:rsidR="00C64050">
        <w:t xml:space="preserve"> </w:t>
      </w:r>
      <w:r>
        <w:t>causing</w:t>
      </w:r>
      <w:r w:rsidR="00C64050">
        <w:t xml:space="preserve"> </w:t>
      </w:r>
      <w:r>
        <w:t>Charitable</w:t>
      </w:r>
      <w:r w:rsidR="00C64050">
        <w:t xml:space="preserve"> </w:t>
      </w:r>
      <w:r>
        <w:t>Trust</w:t>
      </w:r>
      <w:r w:rsidR="00C64050">
        <w:t xml:space="preserve"> </w:t>
      </w:r>
      <w:r>
        <w:t>to</w:t>
      </w:r>
      <w:r w:rsidR="00C64050">
        <w:t xml:space="preserve"> </w:t>
      </w:r>
      <w:r>
        <w:t>be</w:t>
      </w:r>
      <w:r w:rsidR="00C64050">
        <w:t xml:space="preserve"> </w:t>
      </w:r>
      <w:r>
        <w:t>subject</w:t>
      </w:r>
      <w:r w:rsidR="00C64050">
        <w:t xml:space="preserve"> </w:t>
      </w:r>
      <w:r>
        <w:t>to</w:t>
      </w:r>
      <w:r w:rsidR="00C64050">
        <w:t xml:space="preserve"> </w:t>
      </w:r>
      <w:r w:rsidRPr="00514AB2">
        <w:t>§</w:t>
      </w:r>
      <w:r w:rsidR="00C64050">
        <w:t xml:space="preserve"> </w:t>
      </w:r>
      <w:r w:rsidRPr="00514AB2">
        <w:t>4947(a)(1)</w:t>
      </w:r>
      <w:r w:rsidR="00C64050">
        <w:t xml:space="preserve"> </w:t>
      </w:r>
      <w:r>
        <w:t>at</w:t>
      </w:r>
      <w:r w:rsidR="00C64050">
        <w:t xml:space="preserve"> </w:t>
      </w:r>
      <w:r>
        <w:t>that</w:t>
      </w:r>
      <w:r w:rsidR="00C64050">
        <w:t xml:space="preserve"> </w:t>
      </w:r>
      <w:r>
        <w:t>time.</w:t>
      </w:r>
      <w:r w:rsidR="00C64050">
        <w:t xml:space="preserve"> </w:t>
      </w:r>
      <w:r>
        <w:t>Spouse</w:t>
      </w:r>
      <w:r w:rsidR="00C64050">
        <w:t xml:space="preserve"> </w:t>
      </w:r>
      <w:r>
        <w:t>will</w:t>
      </w:r>
      <w:r w:rsidR="00C64050">
        <w:t xml:space="preserve"> </w:t>
      </w:r>
      <w:r>
        <w:t>be</w:t>
      </w:r>
      <w:r w:rsidR="00C64050">
        <w:t xml:space="preserve"> </w:t>
      </w:r>
      <w:r>
        <w:t>a</w:t>
      </w:r>
      <w:r w:rsidR="00C64050">
        <w:t xml:space="preserve"> </w:t>
      </w:r>
      <w:r>
        <w:t>disqualified</w:t>
      </w:r>
      <w:r w:rsidR="00C64050">
        <w:t xml:space="preserve"> </w:t>
      </w:r>
      <w:r>
        <w:t>person</w:t>
      </w:r>
      <w:r w:rsidR="00C64050">
        <w:t xml:space="preserve"> </w:t>
      </w:r>
      <w:r>
        <w:t>with</w:t>
      </w:r>
      <w:r w:rsidR="00C64050">
        <w:t xml:space="preserve"> </w:t>
      </w:r>
      <w:r>
        <w:t>respect</w:t>
      </w:r>
      <w:r w:rsidR="00C64050">
        <w:t xml:space="preserve"> </w:t>
      </w:r>
      <w:r>
        <w:t>to</w:t>
      </w:r>
      <w:r w:rsidR="00C64050">
        <w:t xml:space="preserve"> </w:t>
      </w:r>
      <w:r>
        <w:t>Charitable</w:t>
      </w:r>
      <w:r w:rsidR="00C64050">
        <w:t xml:space="preserve"> </w:t>
      </w:r>
      <w:r>
        <w:t>Trust</w:t>
      </w:r>
      <w:r w:rsidR="00C64050">
        <w:t xml:space="preserve"> </w:t>
      </w:r>
      <w:r>
        <w:t>when</w:t>
      </w:r>
      <w:r w:rsidR="00C64050">
        <w:t xml:space="preserve"> </w:t>
      </w:r>
      <w:r>
        <w:t>the</w:t>
      </w:r>
      <w:r w:rsidR="00C64050">
        <w:t xml:space="preserve"> </w:t>
      </w:r>
      <w:r>
        <w:t>Settlement</w:t>
      </w:r>
      <w:r w:rsidR="00C64050">
        <w:t xml:space="preserve"> </w:t>
      </w:r>
      <w:r>
        <w:t>Agreement</w:t>
      </w:r>
      <w:r w:rsidR="00C64050">
        <w:t xml:space="preserve"> </w:t>
      </w:r>
      <w:r>
        <w:t>is</w:t>
      </w:r>
      <w:r w:rsidR="00C64050">
        <w:t xml:space="preserve"> </w:t>
      </w:r>
      <w:r>
        <w:t>executed,</w:t>
      </w:r>
      <w:r w:rsidR="00C64050">
        <w:t xml:space="preserve"> </w:t>
      </w:r>
      <w:r>
        <w:t>as</w:t>
      </w:r>
      <w:r w:rsidR="00C64050">
        <w:t xml:space="preserve"> </w:t>
      </w:r>
      <w:r>
        <w:t>a</w:t>
      </w:r>
      <w:r w:rsidR="00C64050">
        <w:t xml:space="preserve"> </w:t>
      </w:r>
      <w:r>
        <w:t>substantial</w:t>
      </w:r>
      <w:r w:rsidR="00C64050">
        <w:t xml:space="preserve"> </w:t>
      </w:r>
      <w:r>
        <w:t>contributor</w:t>
      </w:r>
      <w:r w:rsidR="00C64050">
        <w:t xml:space="preserve"> </w:t>
      </w:r>
      <w:r>
        <w:t>to</w:t>
      </w:r>
      <w:r w:rsidR="00C64050">
        <w:t xml:space="preserve"> </w:t>
      </w:r>
      <w:r>
        <w:t>Charitable</w:t>
      </w:r>
      <w:r w:rsidR="00C64050">
        <w:t xml:space="preserve"> </w:t>
      </w:r>
      <w:r>
        <w:t>Trust</w:t>
      </w:r>
      <w:r w:rsidR="00C64050">
        <w:t xml:space="preserve"> </w:t>
      </w:r>
      <w:r>
        <w:t>and</w:t>
      </w:r>
      <w:r w:rsidR="00C64050">
        <w:t xml:space="preserve"> </w:t>
      </w:r>
      <w:r>
        <w:t>as</w:t>
      </w:r>
      <w:r w:rsidR="00C64050">
        <w:t xml:space="preserve"> </w:t>
      </w:r>
      <w:r>
        <w:t>a</w:t>
      </w:r>
      <w:r w:rsidR="00C64050">
        <w:t xml:space="preserve"> </w:t>
      </w:r>
      <w:r>
        <w:t>family</w:t>
      </w:r>
      <w:r w:rsidR="00C64050">
        <w:t xml:space="preserve"> </w:t>
      </w:r>
      <w:r>
        <w:t>member</w:t>
      </w:r>
      <w:r w:rsidR="00C64050">
        <w:t xml:space="preserve"> </w:t>
      </w:r>
      <w:r>
        <w:t>of</w:t>
      </w:r>
      <w:r w:rsidR="00C64050">
        <w:t xml:space="preserve"> </w:t>
      </w:r>
      <w:r>
        <w:t>the</w:t>
      </w:r>
      <w:r w:rsidR="00C64050">
        <w:t xml:space="preserve"> </w:t>
      </w:r>
      <w:r>
        <w:t>creator</w:t>
      </w:r>
      <w:r w:rsidR="00C64050">
        <w:t xml:space="preserve"> </w:t>
      </w:r>
      <w:r>
        <w:t>of</w:t>
      </w:r>
      <w:r w:rsidR="00C64050">
        <w:t xml:space="preserve"> </w:t>
      </w:r>
      <w:r>
        <w:t>Charitable</w:t>
      </w:r>
      <w:r w:rsidR="00C64050">
        <w:t xml:space="preserve"> </w:t>
      </w:r>
      <w:r>
        <w:t>Trust.</w:t>
      </w:r>
      <w:r w:rsidR="00C64050">
        <w:t xml:space="preserve"> </w:t>
      </w:r>
      <w:r w:rsidRPr="00514AB2">
        <w:t>Section</w:t>
      </w:r>
      <w:r w:rsidR="00C64050">
        <w:t xml:space="preserve"> </w:t>
      </w:r>
      <w:r w:rsidRPr="00514AB2">
        <w:t>53.4941(d)-1(a)</w:t>
      </w:r>
      <w:r w:rsidR="00C64050">
        <w:t xml:space="preserve"> </w:t>
      </w:r>
      <w:r>
        <w:t>provides,</w:t>
      </w:r>
      <w:r w:rsidR="00C64050">
        <w:t xml:space="preserve"> </w:t>
      </w:r>
      <w:r>
        <w:t>however,</w:t>
      </w:r>
      <w:r w:rsidR="00C64050">
        <w:t xml:space="preserve"> </w:t>
      </w:r>
      <w:r>
        <w:t>that</w:t>
      </w:r>
      <w:r w:rsidR="00C64050">
        <w:t xml:space="preserve"> </w:t>
      </w:r>
      <w:r>
        <w:t>the</w:t>
      </w:r>
      <w:r w:rsidR="00C64050">
        <w:t xml:space="preserve"> </w:t>
      </w:r>
      <w:r>
        <w:t>term</w:t>
      </w:r>
      <w:r w:rsidR="00C64050">
        <w:t xml:space="preserve"> </w:t>
      </w:r>
      <w:r>
        <w:t>“self-dealing”</w:t>
      </w:r>
      <w:r w:rsidR="00C64050">
        <w:t xml:space="preserve"> </w:t>
      </w:r>
      <w:r>
        <w:t>does</w:t>
      </w:r>
      <w:r w:rsidR="00C64050">
        <w:t xml:space="preserve"> </w:t>
      </w:r>
      <w:r>
        <w:t>not</w:t>
      </w:r>
      <w:r w:rsidR="00C64050">
        <w:t xml:space="preserve"> </w:t>
      </w:r>
      <w:r>
        <w:t>include</w:t>
      </w:r>
      <w:r w:rsidR="00C64050">
        <w:t xml:space="preserve"> </w:t>
      </w:r>
      <w:r>
        <w:t>a</w:t>
      </w:r>
      <w:r w:rsidR="00C64050">
        <w:t xml:space="preserve"> </w:t>
      </w:r>
      <w:r>
        <w:t>transaction</w:t>
      </w:r>
      <w:r w:rsidR="00C64050">
        <w:t xml:space="preserve"> </w:t>
      </w:r>
      <w:r>
        <w:t>between</w:t>
      </w:r>
      <w:r w:rsidR="00C64050">
        <w:t xml:space="preserve"> </w:t>
      </w:r>
      <w:r>
        <w:t>a</w:t>
      </w:r>
      <w:r w:rsidR="00C64050">
        <w:t xml:space="preserve"> </w:t>
      </w:r>
      <w:r>
        <w:t>private</w:t>
      </w:r>
      <w:r w:rsidR="00C64050">
        <w:t xml:space="preserve"> </w:t>
      </w:r>
      <w:r>
        <w:t>foundation</w:t>
      </w:r>
      <w:r w:rsidR="00C64050">
        <w:t xml:space="preserve"> </w:t>
      </w:r>
      <w:r>
        <w:t>and</w:t>
      </w:r>
      <w:r w:rsidR="00C64050">
        <w:t xml:space="preserve"> </w:t>
      </w:r>
      <w:r>
        <w:t>a</w:t>
      </w:r>
      <w:r w:rsidR="00C64050">
        <w:t xml:space="preserve"> </w:t>
      </w:r>
      <w:r>
        <w:t>disqualified</w:t>
      </w:r>
      <w:r w:rsidR="00C64050">
        <w:t xml:space="preserve"> </w:t>
      </w:r>
      <w:r>
        <w:t>person</w:t>
      </w:r>
      <w:r w:rsidR="00C64050">
        <w:t xml:space="preserve"> </w:t>
      </w:r>
      <w:r>
        <w:t>where</w:t>
      </w:r>
      <w:r w:rsidR="00C64050">
        <w:t xml:space="preserve"> </w:t>
      </w:r>
      <w:r>
        <w:t>the</w:t>
      </w:r>
      <w:r w:rsidR="00C64050">
        <w:t xml:space="preserve"> </w:t>
      </w:r>
      <w:r>
        <w:t>disqualified</w:t>
      </w:r>
      <w:r w:rsidR="00C64050">
        <w:t xml:space="preserve"> </w:t>
      </w:r>
      <w:r>
        <w:t>person</w:t>
      </w:r>
      <w:r w:rsidR="00C64050">
        <w:t xml:space="preserve"> </w:t>
      </w:r>
      <w:r>
        <w:t>status</w:t>
      </w:r>
      <w:r w:rsidR="00C64050">
        <w:t xml:space="preserve"> </w:t>
      </w:r>
      <w:r>
        <w:t>arises</w:t>
      </w:r>
      <w:r w:rsidR="00C64050">
        <w:t xml:space="preserve"> </w:t>
      </w:r>
      <w:r>
        <w:t>only</w:t>
      </w:r>
      <w:r w:rsidR="00C64050">
        <w:t xml:space="preserve"> </w:t>
      </w:r>
      <w:r>
        <w:t>as</w:t>
      </w:r>
      <w:r w:rsidR="00C64050">
        <w:t xml:space="preserve"> </w:t>
      </w:r>
      <w:r>
        <w:t>a</w:t>
      </w:r>
      <w:r w:rsidR="00C64050">
        <w:t xml:space="preserve"> </w:t>
      </w:r>
      <w:r>
        <w:t>result</w:t>
      </w:r>
      <w:r w:rsidR="00C64050">
        <w:t xml:space="preserve"> </w:t>
      </w:r>
      <w:r>
        <w:t>of</w:t>
      </w:r>
      <w:r w:rsidR="00C64050">
        <w:t xml:space="preserve"> </w:t>
      </w:r>
      <w:r>
        <w:t>such</w:t>
      </w:r>
      <w:r w:rsidR="00C64050">
        <w:t xml:space="preserve"> </w:t>
      </w:r>
      <w:r>
        <w:t>transaction.</w:t>
      </w:r>
      <w:r w:rsidR="00C64050">
        <w:t xml:space="preserve"> </w:t>
      </w:r>
      <w:r>
        <w:t>Accordingly,</w:t>
      </w:r>
      <w:r w:rsidR="00C64050">
        <w:t xml:space="preserve"> </w:t>
      </w:r>
      <w:r w:rsidRPr="00514AB2">
        <w:t>§4941</w:t>
      </w:r>
      <w:r w:rsidR="00C64050">
        <w:t xml:space="preserve"> </w:t>
      </w:r>
      <w:r>
        <w:t>will</w:t>
      </w:r>
      <w:r w:rsidR="00C64050">
        <w:t xml:space="preserve"> </w:t>
      </w:r>
      <w:r>
        <w:t>not</w:t>
      </w:r>
      <w:r w:rsidR="00C64050">
        <w:t xml:space="preserve"> </w:t>
      </w:r>
      <w:r>
        <w:t>apply</w:t>
      </w:r>
      <w:r w:rsidR="00C64050">
        <w:t xml:space="preserve"> </w:t>
      </w:r>
      <w:r>
        <w:t>to</w:t>
      </w:r>
      <w:r w:rsidR="00C64050">
        <w:t xml:space="preserve"> </w:t>
      </w:r>
      <w:r>
        <w:t>the</w:t>
      </w:r>
      <w:r w:rsidR="00C64050">
        <w:t xml:space="preserve"> </w:t>
      </w:r>
      <w:r>
        <w:t>indirect</w:t>
      </w:r>
      <w:r w:rsidR="00C64050">
        <w:t xml:space="preserve"> </w:t>
      </w:r>
      <w:r>
        <w:t>exchange</w:t>
      </w:r>
      <w:r w:rsidR="00C64050">
        <w:t xml:space="preserve"> </w:t>
      </w:r>
      <w:r>
        <w:t>between</w:t>
      </w:r>
      <w:r w:rsidR="00C64050">
        <w:t xml:space="preserve"> </w:t>
      </w:r>
      <w:r>
        <w:t>Spouse</w:t>
      </w:r>
      <w:r w:rsidR="00C64050">
        <w:t xml:space="preserve"> </w:t>
      </w:r>
      <w:r>
        <w:t>and</w:t>
      </w:r>
      <w:r w:rsidR="00C64050">
        <w:t xml:space="preserve"> </w:t>
      </w:r>
      <w:r>
        <w:t>Charitable</w:t>
      </w:r>
      <w:r w:rsidR="00C64050">
        <w:t xml:space="preserve"> </w:t>
      </w:r>
      <w:r>
        <w:t>Trust</w:t>
      </w:r>
      <w:r w:rsidR="00C64050">
        <w:t xml:space="preserve"> </w:t>
      </w:r>
      <w:r>
        <w:t>pursuant</w:t>
      </w:r>
      <w:r w:rsidR="00C64050">
        <w:t xml:space="preserve"> </w:t>
      </w:r>
      <w:r>
        <w:t>to</w:t>
      </w:r>
      <w:r w:rsidR="00C64050">
        <w:t xml:space="preserve"> </w:t>
      </w:r>
      <w:r>
        <w:t>the</w:t>
      </w:r>
      <w:r w:rsidR="00C64050">
        <w:t xml:space="preserve"> </w:t>
      </w:r>
      <w:r>
        <w:t>Settlement</w:t>
      </w:r>
      <w:r w:rsidR="00C64050">
        <w:t xml:space="preserve"> </w:t>
      </w:r>
      <w:r>
        <w:t>Agreement</w:t>
      </w:r>
      <w:r w:rsidR="00C64050">
        <w:t xml:space="preserve"> </w:t>
      </w:r>
      <w:r>
        <w:t>in</w:t>
      </w:r>
      <w:r w:rsidR="00C64050">
        <w:t xml:space="preserve"> </w:t>
      </w:r>
      <w:r>
        <w:t>which</w:t>
      </w:r>
      <w:r w:rsidR="00C64050">
        <w:t xml:space="preserve"> </w:t>
      </w:r>
      <w:r>
        <w:t>Spouse</w:t>
      </w:r>
      <w:r w:rsidR="00C64050">
        <w:t xml:space="preserve"> </w:t>
      </w:r>
      <w:r>
        <w:t>will</w:t>
      </w:r>
      <w:r w:rsidR="00C64050">
        <w:t xml:space="preserve"> </w:t>
      </w:r>
      <w:r>
        <w:t>receive</w:t>
      </w:r>
      <w:r w:rsidR="00C64050">
        <w:t xml:space="preserve"> </w:t>
      </w:r>
      <w:r>
        <w:t>the</w:t>
      </w:r>
      <w:r w:rsidR="00C64050">
        <w:t xml:space="preserve"> </w:t>
      </w:r>
      <w:r>
        <w:t>present</w:t>
      </w:r>
      <w:r w:rsidR="00C64050">
        <w:t xml:space="preserve"> </w:t>
      </w:r>
      <w:r>
        <w:t>value</w:t>
      </w:r>
      <w:r w:rsidR="00C64050">
        <w:t xml:space="preserve"> </w:t>
      </w:r>
      <w:r>
        <w:t>of</w:t>
      </w:r>
      <w:r w:rsidR="00C64050">
        <w:t xml:space="preserve"> </w:t>
      </w:r>
      <w:r>
        <w:t>her</w:t>
      </w:r>
      <w:r w:rsidR="00C64050">
        <w:t xml:space="preserve"> </w:t>
      </w:r>
      <w:r>
        <w:t>life</w:t>
      </w:r>
      <w:r w:rsidR="00C64050">
        <w:t xml:space="preserve"> </w:t>
      </w:r>
      <w:r>
        <w:t>income</w:t>
      </w:r>
      <w:r w:rsidR="00C64050">
        <w:t xml:space="preserve"> </w:t>
      </w:r>
      <w:r>
        <w:t>interest</w:t>
      </w:r>
      <w:r w:rsidR="00C64050">
        <w:t xml:space="preserve"> </w:t>
      </w:r>
      <w:r>
        <w:t>in</w:t>
      </w:r>
      <w:r w:rsidR="00C64050">
        <w:t xml:space="preserve"> </w:t>
      </w:r>
      <w:r>
        <w:t>Irrevocable</w:t>
      </w:r>
      <w:r w:rsidR="00C64050">
        <w:t xml:space="preserve"> </w:t>
      </w:r>
      <w:r>
        <w:t>Trust,</w:t>
      </w:r>
      <w:r w:rsidR="00C64050">
        <w:t xml:space="preserve"> </w:t>
      </w:r>
      <w:r>
        <w:t>GST</w:t>
      </w:r>
      <w:r w:rsidR="00C64050">
        <w:t xml:space="preserve"> </w:t>
      </w:r>
      <w:r>
        <w:t>Exempt</w:t>
      </w:r>
      <w:r w:rsidR="00C64050">
        <w:t xml:space="preserve"> </w:t>
      </w:r>
      <w:r>
        <w:t>Marital</w:t>
      </w:r>
      <w:r w:rsidR="00C64050">
        <w:t xml:space="preserve"> </w:t>
      </w:r>
      <w:r>
        <w:t>Trust,</w:t>
      </w:r>
      <w:r w:rsidR="00C64050">
        <w:t xml:space="preserve"> </w:t>
      </w:r>
      <w:r>
        <w:t>and</w:t>
      </w:r>
      <w:r w:rsidR="00C64050">
        <w:t xml:space="preserve"> </w:t>
      </w:r>
      <w:r>
        <w:t>GST</w:t>
      </w:r>
      <w:r w:rsidR="00C64050">
        <w:t xml:space="preserve"> </w:t>
      </w:r>
      <w:r>
        <w:t>Non-Exempt</w:t>
      </w:r>
      <w:r w:rsidR="00C64050">
        <w:t xml:space="preserve"> </w:t>
      </w:r>
      <w:r>
        <w:t>Marital</w:t>
      </w:r>
      <w:r w:rsidR="00C64050">
        <w:t xml:space="preserve"> </w:t>
      </w:r>
      <w:r>
        <w:t>Trust,</w:t>
      </w:r>
      <w:r w:rsidR="00C64050">
        <w:t xml:space="preserve"> </w:t>
      </w:r>
      <w:r>
        <w:t>and</w:t>
      </w:r>
      <w:r w:rsidR="00C64050">
        <w:t xml:space="preserve"> </w:t>
      </w:r>
      <w:r>
        <w:t>Charitable</w:t>
      </w:r>
      <w:r w:rsidR="00C64050">
        <w:t xml:space="preserve"> </w:t>
      </w:r>
      <w:r>
        <w:t>Trust</w:t>
      </w:r>
      <w:r w:rsidR="00C64050">
        <w:t xml:space="preserve"> </w:t>
      </w:r>
      <w:r>
        <w:t>will</w:t>
      </w:r>
      <w:r w:rsidR="00C64050">
        <w:t xml:space="preserve"> </w:t>
      </w:r>
      <w:r>
        <w:t>receive</w:t>
      </w:r>
      <w:r w:rsidR="00C64050">
        <w:t xml:space="preserve"> </w:t>
      </w:r>
      <w:r>
        <w:t>the</w:t>
      </w:r>
      <w:r w:rsidR="00C64050">
        <w:t xml:space="preserve"> </w:t>
      </w:r>
      <w:r>
        <w:t>remaining</w:t>
      </w:r>
      <w:r w:rsidR="00C64050">
        <w:t xml:space="preserve"> </w:t>
      </w:r>
      <w:r>
        <w:t>trust</w:t>
      </w:r>
      <w:r w:rsidR="00C64050">
        <w:t xml:space="preserve"> </w:t>
      </w:r>
      <w:r>
        <w:t>assets.</w:t>
      </w:r>
    </w:p>
    <w:p w:rsidR="00514AB2" w:rsidRDefault="00514AB2" w:rsidP="00514AB2">
      <w:pPr>
        <w:pStyle w:val="QS10"/>
      </w:pPr>
      <w:r>
        <w:t>Based</w:t>
      </w:r>
      <w:r w:rsidR="00C64050">
        <w:t xml:space="preserve"> </w:t>
      </w:r>
      <w:r>
        <w:t>on</w:t>
      </w:r>
      <w:r w:rsidR="00C64050">
        <w:t xml:space="preserve"> </w:t>
      </w:r>
      <w:r>
        <w:t>the</w:t>
      </w:r>
      <w:r w:rsidR="00C64050">
        <w:t xml:space="preserve"> </w:t>
      </w:r>
      <w:r>
        <w:t>facts</w:t>
      </w:r>
      <w:r w:rsidR="00C64050">
        <w:t xml:space="preserve"> </w:t>
      </w:r>
      <w:r>
        <w:t>submitted</w:t>
      </w:r>
      <w:r w:rsidR="00C64050">
        <w:t xml:space="preserve"> </w:t>
      </w:r>
      <w:r>
        <w:t>and</w:t>
      </w:r>
      <w:r w:rsidR="00C64050">
        <w:t xml:space="preserve"> </w:t>
      </w:r>
      <w:r>
        <w:t>the</w:t>
      </w:r>
      <w:r w:rsidR="00C64050">
        <w:t xml:space="preserve"> </w:t>
      </w:r>
      <w:r>
        <w:t>representations</w:t>
      </w:r>
      <w:r w:rsidR="00C64050">
        <w:t xml:space="preserve"> </w:t>
      </w:r>
      <w:r>
        <w:t>made,</w:t>
      </w:r>
      <w:r w:rsidR="00C64050">
        <w:t xml:space="preserve"> </w:t>
      </w:r>
      <w:r>
        <w:t>we</w:t>
      </w:r>
      <w:r w:rsidR="00C64050">
        <w:t xml:space="preserve"> </w:t>
      </w:r>
      <w:r>
        <w:t>conclude</w:t>
      </w:r>
      <w:r w:rsidR="00C64050">
        <w:t xml:space="preserve"> </w:t>
      </w:r>
      <w:r>
        <w:t>that</w:t>
      </w:r>
      <w:r w:rsidR="00C64050">
        <w:t xml:space="preserve"> </w:t>
      </w:r>
      <w:r>
        <w:t>the</w:t>
      </w:r>
      <w:r w:rsidR="00C64050">
        <w:t xml:space="preserve"> </w:t>
      </w:r>
      <w:r>
        <w:t>indirect</w:t>
      </w:r>
      <w:r w:rsidR="00C64050">
        <w:t xml:space="preserve"> </w:t>
      </w:r>
      <w:r>
        <w:t>exchange</w:t>
      </w:r>
      <w:r w:rsidR="00C64050">
        <w:t xml:space="preserve"> </w:t>
      </w:r>
      <w:r>
        <w:t>between</w:t>
      </w:r>
      <w:r w:rsidR="00C64050">
        <w:t xml:space="preserve"> </w:t>
      </w:r>
      <w:r>
        <w:t>Spouse</w:t>
      </w:r>
      <w:r w:rsidR="00C64050">
        <w:t xml:space="preserve"> </w:t>
      </w:r>
      <w:r>
        <w:t>and</w:t>
      </w:r>
      <w:r w:rsidR="00C64050">
        <w:t xml:space="preserve"> </w:t>
      </w:r>
      <w:r>
        <w:t>Charitable</w:t>
      </w:r>
      <w:r w:rsidR="00C64050">
        <w:t xml:space="preserve"> </w:t>
      </w:r>
      <w:r>
        <w:t>Trust</w:t>
      </w:r>
      <w:r w:rsidR="00C64050">
        <w:t xml:space="preserve"> </w:t>
      </w:r>
      <w:r>
        <w:t>pursuant</w:t>
      </w:r>
      <w:r w:rsidR="00C64050">
        <w:t xml:space="preserve"> </w:t>
      </w:r>
      <w:r>
        <w:t>to</w:t>
      </w:r>
      <w:r w:rsidR="00C64050">
        <w:t xml:space="preserve"> </w:t>
      </w:r>
      <w:r>
        <w:t>the</w:t>
      </w:r>
      <w:r w:rsidR="00C64050">
        <w:t xml:space="preserve"> </w:t>
      </w:r>
      <w:r>
        <w:t>Settlement</w:t>
      </w:r>
      <w:r w:rsidR="00C64050">
        <w:t xml:space="preserve"> </w:t>
      </w:r>
      <w:r>
        <w:t>Agreement</w:t>
      </w:r>
      <w:r w:rsidR="00C64050">
        <w:t xml:space="preserve"> </w:t>
      </w:r>
      <w:r>
        <w:t>will</w:t>
      </w:r>
      <w:r w:rsidR="00C64050">
        <w:t xml:space="preserve"> </w:t>
      </w:r>
      <w:r>
        <w:t>not</w:t>
      </w:r>
      <w:r w:rsidR="00C64050">
        <w:t xml:space="preserve"> </w:t>
      </w:r>
      <w:r>
        <w:t>be</w:t>
      </w:r>
      <w:r w:rsidR="00C64050">
        <w:t xml:space="preserve"> </w:t>
      </w:r>
      <w:r>
        <w:t>treated</w:t>
      </w:r>
      <w:r w:rsidR="00C64050">
        <w:t xml:space="preserve"> </w:t>
      </w:r>
      <w:r>
        <w:t>as</w:t>
      </w:r>
      <w:r w:rsidR="00C64050">
        <w:t xml:space="preserve"> </w:t>
      </w:r>
      <w:r>
        <w:t>an</w:t>
      </w:r>
      <w:r w:rsidR="00C64050">
        <w:t xml:space="preserve"> </w:t>
      </w:r>
      <w:r>
        <w:t>act</w:t>
      </w:r>
      <w:r w:rsidR="00C64050">
        <w:t xml:space="preserve"> </w:t>
      </w:r>
      <w:r>
        <w:t>of</w:t>
      </w:r>
      <w:r w:rsidR="00C64050">
        <w:t xml:space="preserve"> </w:t>
      </w:r>
      <w:r>
        <w:t>self-dealing</w:t>
      </w:r>
      <w:r w:rsidR="00C64050">
        <w:t xml:space="preserve"> </w:t>
      </w:r>
      <w:r>
        <w:t>under</w:t>
      </w:r>
      <w:r w:rsidR="00C64050">
        <w:t xml:space="preserve"> </w:t>
      </w:r>
      <w:r w:rsidRPr="00514AB2">
        <w:t>§</w:t>
      </w:r>
      <w:r w:rsidR="00C64050">
        <w:t xml:space="preserve"> </w:t>
      </w:r>
      <w:r w:rsidRPr="00514AB2">
        <w:t>4941</w:t>
      </w:r>
      <w:r>
        <w:t>.</w:t>
      </w:r>
    </w:p>
    <w:p w:rsidR="00F21C73" w:rsidRDefault="00F21C73" w:rsidP="007D3CA2">
      <w:pPr>
        <w:pStyle w:val="Body15"/>
        <w:spacing w:before="240"/>
        <w:rPr>
          <w:color w:val="000000" w:themeColor="text1"/>
        </w:rPr>
      </w:pPr>
      <w:r>
        <w:rPr>
          <w:color w:val="000000" w:themeColor="text1"/>
        </w:rPr>
        <w:t>That</w:t>
      </w:r>
      <w:r w:rsidR="00C64050">
        <w:rPr>
          <w:color w:val="000000" w:themeColor="text1"/>
        </w:rPr>
        <w:t xml:space="preserve"> </w:t>
      </w:r>
      <w:r>
        <w:rPr>
          <w:color w:val="000000" w:themeColor="text1"/>
        </w:rPr>
        <w:t>the</w:t>
      </w:r>
      <w:r w:rsidR="00C64050">
        <w:rPr>
          <w:color w:val="000000" w:themeColor="text1"/>
        </w:rPr>
        <w:t xml:space="preserve"> </w:t>
      </w:r>
      <w:r>
        <w:rPr>
          <w:color w:val="000000" w:themeColor="text1"/>
        </w:rPr>
        <w:t>trust</w:t>
      </w:r>
      <w:r w:rsidR="00C64050">
        <w:rPr>
          <w:color w:val="000000" w:themeColor="text1"/>
        </w:rPr>
        <w:t xml:space="preserve"> </w:t>
      </w:r>
      <w:r>
        <w:rPr>
          <w:color w:val="000000" w:themeColor="text1"/>
        </w:rPr>
        <w:t>was</w:t>
      </w:r>
      <w:r w:rsidR="00C64050">
        <w:rPr>
          <w:color w:val="000000" w:themeColor="text1"/>
        </w:rPr>
        <w:t xml:space="preserve"> </w:t>
      </w:r>
      <w:r>
        <w:rPr>
          <w:color w:val="000000" w:themeColor="text1"/>
        </w:rPr>
        <w:t>not</w:t>
      </w:r>
      <w:r w:rsidR="00C64050">
        <w:rPr>
          <w:color w:val="000000" w:themeColor="text1"/>
        </w:rPr>
        <w:t xml:space="preserve"> </w:t>
      </w:r>
      <w:r>
        <w:rPr>
          <w:color w:val="000000" w:themeColor="text1"/>
        </w:rPr>
        <w:t>yet</w:t>
      </w:r>
      <w:r w:rsidR="00C64050">
        <w:rPr>
          <w:color w:val="000000" w:themeColor="text1"/>
        </w:rPr>
        <w:t xml:space="preserve"> </w:t>
      </w:r>
      <w:r>
        <w:rPr>
          <w:color w:val="000000" w:themeColor="text1"/>
        </w:rPr>
        <w:t>funded</w:t>
      </w:r>
      <w:r w:rsidR="00C64050">
        <w:rPr>
          <w:color w:val="000000" w:themeColor="text1"/>
        </w:rPr>
        <w:t xml:space="preserve"> </w:t>
      </w:r>
      <w:r>
        <w:rPr>
          <w:color w:val="000000" w:themeColor="text1"/>
        </w:rPr>
        <w:t>was</w:t>
      </w:r>
      <w:r w:rsidR="00C64050">
        <w:rPr>
          <w:color w:val="000000" w:themeColor="text1"/>
        </w:rPr>
        <w:t xml:space="preserve"> </w:t>
      </w:r>
      <w:r>
        <w:rPr>
          <w:color w:val="000000" w:themeColor="text1"/>
        </w:rPr>
        <w:t>key.</w:t>
      </w:r>
    </w:p>
    <w:p w:rsidR="00514AB2" w:rsidRPr="00514AB2" w:rsidRDefault="00514AB2" w:rsidP="00B66CCE">
      <w:pPr>
        <w:pStyle w:val="Heading20"/>
        <w:numPr>
          <w:ilvl w:val="1"/>
          <w:numId w:val="34"/>
        </w:numPr>
        <w:tabs>
          <w:tab w:val="clear" w:pos="2700"/>
          <w:tab w:val="num" w:pos="1440"/>
        </w:tabs>
        <w:ind w:left="0"/>
        <w:rPr>
          <w:vanish/>
          <w:color w:val="000000" w:themeColor="text1"/>
          <w:specVanish/>
        </w:rPr>
      </w:pPr>
      <w:bookmarkStart w:id="169" w:name="_Toc94704627"/>
      <w:r>
        <w:rPr>
          <w:b/>
          <w:color w:val="000000" w:themeColor="text1"/>
          <w:u w:val="single"/>
        </w:rPr>
        <w:t>Eyewear</w:t>
      </w:r>
      <w:r w:rsidR="00C64050">
        <w:rPr>
          <w:b/>
          <w:color w:val="000000" w:themeColor="text1"/>
          <w:u w:val="single"/>
        </w:rPr>
        <w:t xml:space="preserve"> </w:t>
      </w:r>
      <w:r>
        <w:rPr>
          <w:b/>
          <w:color w:val="000000" w:themeColor="text1"/>
          <w:u w:val="single"/>
        </w:rPr>
        <w:t>Contribution</w:t>
      </w:r>
      <w:r w:rsidR="00C64050">
        <w:rPr>
          <w:b/>
          <w:color w:val="000000" w:themeColor="text1"/>
          <w:u w:val="single"/>
        </w:rPr>
        <w:t xml:space="preserve"> </w:t>
      </w:r>
      <w:r>
        <w:rPr>
          <w:b/>
          <w:color w:val="000000" w:themeColor="text1"/>
          <w:u w:val="single"/>
        </w:rPr>
        <w:t>Flunks</w:t>
      </w:r>
      <w:r w:rsidR="00C64050">
        <w:rPr>
          <w:b/>
          <w:color w:val="000000" w:themeColor="text1"/>
          <w:u w:val="single"/>
        </w:rPr>
        <w:t xml:space="preserve"> </w:t>
      </w:r>
      <w:r>
        <w:rPr>
          <w:b/>
          <w:color w:val="000000" w:themeColor="text1"/>
          <w:u w:val="single"/>
        </w:rPr>
        <w:t>Appraisal</w:t>
      </w:r>
      <w:r w:rsidR="00C64050">
        <w:rPr>
          <w:b/>
          <w:color w:val="000000" w:themeColor="text1"/>
          <w:u w:val="single"/>
        </w:rPr>
        <w:t xml:space="preserve"> </w:t>
      </w:r>
      <w:r>
        <w:rPr>
          <w:b/>
          <w:color w:val="000000" w:themeColor="text1"/>
          <w:u w:val="single"/>
        </w:rPr>
        <w:t>Requirements</w:t>
      </w:r>
      <w:bookmarkEnd w:id="169"/>
    </w:p>
    <w:p w:rsidR="00172E8B" w:rsidRDefault="00514AB2" w:rsidP="00514AB2">
      <w:pPr>
        <w:pStyle w:val="Heading2Body"/>
      </w:pPr>
      <w:r>
        <w:t>.</w:t>
      </w:r>
      <w:r w:rsidR="00C64050">
        <w:t xml:space="preserve">  </w:t>
      </w:r>
      <w:r>
        <w:rPr>
          <w:u w:val="single"/>
        </w:rPr>
        <w:t>Campbell</w:t>
      </w:r>
      <w:r w:rsidR="00C64050">
        <w:rPr>
          <w:u w:val="single"/>
        </w:rPr>
        <w:t xml:space="preserve"> </w:t>
      </w:r>
      <w:r>
        <w:rPr>
          <w:u w:val="single"/>
        </w:rPr>
        <w:t>v.</w:t>
      </w:r>
      <w:r w:rsidR="00C64050">
        <w:rPr>
          <w:u w:val="single"/>
        </w:rPr>
        <w:t xml:space="preserve"> </w:t>
      </w:r>
      <w:r>
        <w:rPr>
          <w:u w:val="single"/>
        </w:rPr>
        <w:t>Commissioner</w:t>
      </w:r>
      <w:r>
        <w:t>,</w:t>
      </w:r>
      <w:r w:rsidR="00C64050">
        <w:t xml:space="preserve"> </w:t>
      </w:r>
      <w:r>
        <w:t>T.C.</w:t>
      </w:r>
      <w:r w:rsidR="00C64050">
        <w:t xml:space="preserve"> </w:t>
      </w:r>
      <w:r>
        <w:t>Memo.</w:t>
      </w:r>
      <w:r w:rsidR="00C64050">
        <w:t xml:space="preserve"> </w:t>
      </w:r>
      <w:r>
        <w:t>2020-41,</w:t>
      </w:r>
      <w:r w:rsidR="00C64050">
        <w:t xml:space="preserve"> </w:t>
      </w:r>
      <w:r>
        <w:t>deals</w:t>
      </w:r>
      <w:r w:rsidR="00C64050">
        <w:t xml:space="preserve"> </w:t>
      </w:r>
      <w:r>
        <w:t>with</w:t>
      </w:r>
      <w:r w:rsidR="00C64050">
        <w:t xml:space="preserve"> </w:t>
      </w:r>
      <w:r>
        <w:t>a</w:t>
      </w:r>
      <w:r w:rsidR="00C64050">
        <w:t xml:space="preserve"> </w:t>
      </w:r>
      <w:r>
        <w:t>fascinating</w:t>
      </w:r>
      <w:r w:rsidR="00C64050">
        <w:t xml:space="preserve"> </w:t>
      </w:r>
      <w:r>
        <w:t>charitable</w:t>
      </w:r>
      <w:r w:rsidR="00C64050">
        <w:t xml:space="preserve"> </w:t>
      </w:r>
      <w:r>
        <w:t>contribution</w:t>
      </w:r>
      <w:r w:rsidR="00C64050">
        <w:t xml:space="preserve"> </w:t>
      </w:r>
      <w:r>
        <w:t>strategy</w:t>
      </w:r>
      <w:r w:rsidR="00C64050">
        <w:t xml:space="preserve"> </w:t>
      </w:r>
      <w:r>
        <w:t>summarized</w:t>
      </w:r>
      <w:r w:rsidR="00C64050">
        <w:t xml:space="preserve"> </w:t>
      </w:r>
      <w:r>
        <w:t>by</w:t>
      </w:r>
      <w:r w:rsidR="00C64050">
        <w:t xml:space="preserve"> </w:t>
      </w:r>
      <w:r>
        <w:t>the</w:t>
      </w:r>
      <w:r w:rsidR="00C64050">
        <w:t xml:space="preserve"> </w:t>
      </w:r>
      <w:r>
        <w:t>court</w:t>
      </w:r>
      <w:r w:rsidR="00C64050">
        <w:t xml:space="preserve"> </w:t>
      </w:r>
      <w:r>
        <w:t>as</w:t>
      </w:r>
      <w:r w:rsidR="00C64050">
        <w:t xml:space="preserve"> </w:t>
      </w:r>
      <w:r>
        <w:t>follows:</w:t>
      </w:r>
    </w:p>
    <w:p w:rsidR="00514AB2" w:rsidRDefault="00CD4A52" w:rsidP="00CD4A52">
      <w:pPr>
        <w:pStyle w:val="QS10"/>
        <w:rPr>
          <w:color w:val="000000" w:themeColor="text1"/>
        </w:rPr>
      </w:pPr>
      <w:r>
        <w:t>This</w:t>
      </w:r>
      <w:r w:rsidR="00C64050">
        <w:t xml:space="preserve"> </w:t>
      </w:r>
      <w:r>
        <w:t>eyewear</w:t>
      </w:r>
      <w:r w:rsidR="00C64050">
        <w:t xml:space="preserve"> </w:t>
      </w:r>
      <w:r>
        <w:t>charitable</w:t>
      </w:r>
      <w:r w:rsidR="00C64050">
        <w:t xml:space="preserve"> </w:t>
      </w:r>
      <w:r>
        <w:t>contribution</w:t>
      </w:r>
      <w:r w:rsidR="00C64050">
        <w:t xml:space="preserve"> </w:t>
      </w:r>
      <w:r>
        <w:t>program</w:t>
      </w:r>
      <w:r w:rsidR="00C64050">
        <w:t xml:space="preserve"> </w:t>
      </w:r>
      <w:r>
        <w:t>involved</w:t>
      </w:r>
      <w:r w:rsidR="00C64050">
        <w:t xml:space="preserve"> </w:t>
      </w:r>
      <w:r>
        <w:t>ZD</w:t>
      </w:r>
      <w:r w:rsidR="00C64050">
        <w:t xml:space="preserve"> </w:t>
      </w:r>
      <w:r>
        <w:t>Products,</w:t>
      </w:r>
      <w:r w:rsidR="00C64050">
        <w:t xml:space="preserve"> </w:t>
      </w:r>
      <w:r>
        <w:t>Inc.</w:t>
      </w:r>
      <w:r w:rsidR="00C64050">
        <w:t xml:space="preserve"> </w:t>
      </w:r>
      <w:r>
        <w:t>(ZD</w:t>
      </w:r>
      <w:r w:rsidR="00C64050">
        <w:t xml:space="preserve"> </w:t>
      </w:r>
      <w:r>
        <w:t>Products),</w:t>
      </w:r>
      <w:r w:rsidR="00C64050">
        <w:t xml:space="preserve"> </w:t>
      </w:r>
      <w:r>
        <w:t>consolidating</w:t>
      </w:r>
      <w:r w:rsidR="00C64050">
        <w:t xml:space="preserve"> </w:t>
      </w:r>
      <w:r>
        <w:t>over</w:t>
      </w:r>
      <w:r w:rsidR="00C64050">
        <w:t xml:space="preserve"> </w:t>
      </w:r>
      <w:r>
        <w:t>170,000</w:t>
      </w:r>
      <w:r w:rsidR="00C64050">
        <w:t xml:space="preserve"> </w:t>
      </w:r>
      <w:r>
        <w:t>designer</w:t>
      </w:r>
      <w:r w:rsidR="00C64050">
        <w:t xml:space="preserve"> </w:t>
      </w:r>
      <w:r>
        <w:t>eyeglass</w:t>
      </w:r>
      <w:r w:rsidR="00C64050">
        <w:t xml:space="preserve"> </w:t>
      </w:r>
      <w:r>
        <w:t>frames</w:t>
      </w:r>
      <w:r w:rsidR="00C64050">
        <w:t xml:space="preserve"> </w:t>
      </w:r>
      <w:r>
        <w:t>it</w:t>
      </w:r>
      <w:r w:rsidR="00C64050">
        <w:t xml:space="preserve"> </w:t>
      </w:r>
      <w:r>
        <w:t>possessed</w:t>
      </w:r>
      <w:r w:rsidR="00C64050">
        <w:t xml:space="preserve"> </w:t>
      </w:r>
      <w:r>
        <w:t>into</w:t>
      </w:r>
      <w:r w:rsidR="00C64050">
        <w:t xml:space="preserve"> </w:t>
      </w:r>
      <w:r>
        <w:t>units</w:t>
      </w:r>
      <w:r w:rsidR="00C64050">
        <w:t xml:space="preserve"> </w:t>
      </w:r>
      <w:r>
        <w:t>of</w:t>
      </w:r>
      <w:r w:rsidR="00C64050">
        <w:t xml:space="preserve"> </w:t>
      </w:r>
      <w:r>
        <w:t>approximately</w:t>
      </w:r>
      <w:r w:rsidR="00C64050">
        <w:t xml:space="preserve"> </w:t>
      </w:r>
      <w:r>
        <w:t>3,432</w:t>
      </w:r>
      <w:r w:rsidR="00C64050">
        <w:t xml:space="preserve"> </w:t>
      </w:r>
      <w:r>
        <w:t>frames</w:t>
      </w:r>
      <w:r w:rsidR="00C64050">
        <w:t xml:space="preserve"> </w:t>
      </w:r>
      <w:r>
        <w:t>each</w:t>
      </w:r>
      <w:r w:rsidR="00C64050">
        <w:t xml:space="preserve"> </w:t>
      </w:r>
      <w:r>
        <w:t>and</w:t>
      </w:r>
      <w:r w:rsidR="00C64050">
        <w:t xml:space="preserve"> </w:t>
      </w:r>
      <w:r>
        <w:t>selling</w:t>
      </w:r>
      <w:r w:rsidR="00C64050">
        <w:t xml:space="preserve"> </w:t>
      </w:r>
      <w:r>
        <w:t>these</w:t>
      </w:r>
      <w:r w:rsidR="00C64050">
        <w:t xml:space="preserve"> </w:t>
      </w:r>
      <w:r>
        <w:t>units</w:t>
      </w:r>
      <w:r w:rsidR="00C64050">
        <w:t xml:space="preserve"> </w:t>
      </w:r>
      <w:r>
        <w:t>to</w:t>
      </w:r>
      <w:r w:rsidR="00C64050">
        <w:t xml:space="preserve"> </w:t>
      </w:r>
      <w:r>
        <w:t>50</w:t>
      </w:r>
      <w:r w:rsidR="00C64050">
        <w:t xml:space="preserve"> </w:t>
      </w:r>
      <w:r>
        <w:t>buyers</w:t>
      </w:r>
      <w:r w:rsidR="00C64050">
        <w:t xml:space="preserve"> </w:t>
      </w:r>
      <w:r>
        <w:t>for</w:t>
      </w:r>
      <w:r w:rsidR="00C64050">
        <w:t xml:space="preserve"> </w:t>
      </w:r>
      <w:r>
        <w:t>$50,000</w:t>
      </w:r>
      <w:r w:rsidR="00C64050">
        <w:t xml:space="preserve"> </w:t>
      </w:r>
      <w:r>
        <w:t>per</w:t>
      </w:r>
      <w:r w:rsidR="00C64050">
        <w:t xml:space="preserve"> </w:t>
      </w:r>
      <w:r>
        <w:t>unit;</w:t>
      </w:r>
      <w:r w:rsidR="00C64050">
        <w:t xml:space="preserve"> </w:t>
      </w:r>
      <w:r>
        <w:t>each</w:t>
      </w:r>
      <w:r w:rsidR="00C64050">
        <w:t xml:space="preserve"> </w:t>
      </w:r>
      <w:r>
        <w:t>buyer</w:t>
      </w:r>
      <w:r w:rsidR="00C64050">
        <w:t xml:space="preserve"> </w:t>
      </w:r>
      <w:r>
        <w:t>would</w:t>
      </w:r>
      <w:r w:rsidR="00C64050">
        <w:t xml:space="preserve"> </w:t>
      </w:r>
      <w:r>
        <w:t>then</w:t>
      </w:r>
      <w:r w:rsidR="00C64050">
        <w:t xml:space="preserve"> </w:t>
      </w:r>
      <w:r>
        <w:t>purportedly</w:t>
      </w:r>
      <w:r w:rsidR="00C64050">
        <w:t xml:space="preserve"> </w:t>
      </w:r>
      <w:r>
        <w:t>be</w:t>
      </w:r>
      <w:r w:rsidR="00C64050">
        <w:t xml:space="preserve"> </w:t>
      </w:r>
      <w:r>
        <w:t>eligible</w:t>
      </w:r>
      <w:r w:rsidR="00C64050">
        <w:t xml:space="preserve"> </w:t>
      </w:r>
      <w:r>
        <w:t>to</w:t>
      </w:r>
      <w:r w:rsidR="00C64050">
        <w:t xml:space="preserve"> </w:t>
      </w:r>
      <w:r>
        <w:t>donate</w:t>
      </w:r>
      <w:r w:rsidR="00C64050">
        <w:t xml:space="preserve"> </w:t>
      </w:r>
      <w:r>
        <w:t>his</w:t>
      </w:r>
      <w:r w:rsidR="00C64050">
        <w:t xml:space="preserve"> </w:t>
      </w:r>
      <w:r>
        <w:t>or</w:t>
      </w:r>
      <w:r w:rsidR="00C64050">
        <w:t xml:space="preserve"> </w:t>
      </w:r>
      <w:r>
        <w:t>her</w:t>
      </w:r>
      <w:r w:rsidR="00C64050">
        <w:t xml:space="preserve"> </w:t>
      </w:r>
      <w:r>
        <w:t>frames</w:t>
      </w:r>
      <w:r w:rsidR="00C64050">
        <w:t xml:space="preserve"> </w:t>
      </w:r>
      <w:r>
        <w:t>after</w:t>
      </w:r>
      <w:r w:rsidR="00C64050">
        <w:t xml:space="preserve"> </w:t>
      </w:r>
      <w:r>
        <w:t>a</w:t>
      </w:r>
      <w:r w:rsidR="00C64050">
        <w:t xml:space="preserve"> </w:t>
      </w:r>
      <w:r>
        <w:t>minimum</w:t>
      </w:r>
      <w:r w:rsidR="00C64050">
        <w:t xml:space="preserve"> </w:t>
      </w:r>
      <w:r>
        <w:t>one-year</w:t>
      </w:r>
      <w:r w:rsidR="00C64050">
        <w:t xml:space="preserve"> </w:t>
      </w:r>
      <w:r>
        <w:t>holding</w:t>
      </w:r>
      <w:r w:rsidR="00C64050">
        <w:t xml:space="preserve"> </w:t>
      </w:r>
      <w:r>
        <w:t>period</w:t>
      </w:r>
      <w:r w:rsidR="00C64050">
        <w:t xml:space="preserve"> </w:t>
      </w:r>
      <w:r>
        <w:t>to</w:t>
      </w:r>
      <w:r w:rsidR="00C64050">
        <w:t xml:space="preserve"> </w:t>
      </w:r>
      <w:r>
        <w:t>Lions</w:t>
      </w:r>
      <w:r w:rsidR="00C64050">
        <w:t xml:space="preserve"> </w:t>
      </w:r>
      <w:r>
        <w:t>in</w:t>
      </w:r>
      <w:r w:rsidR="00C64050">
        <w:t xml:space="preserve"> </w:t>
      </w:r>
      <w:r>
        <w:t>Sight,</w:t>
      </w:r>
      <w:r w:rsidR="00C64050">
        <w:t xml:space="preserve"> </w:t>
      </w:r>
      <w:r>
        <w:t>a</w:t>
      </w:r>
      <w:r w:rsidR="00C64050">
        <w:t xml:space="preserve"> </w:t>
      </w:r>
      <w:r w:rsidRPr="00CD4A52">
        <w:t>section</w:t>
      </w:r>
      <w:r w:rsidR="00C64050">
        <w:t xml:space="preserve"> </w:t>
      </w:r>
      <w:r w:rsidRPr="00CD4A52">
        <w:t>501(c)(3)</w:t>
      </w:r>
      <w:r w:rsidR="00C64050">
        <w:t xml:space="preserve"> </w:t>
      </w:r>
      <w:r>
        <w:t>nonprofit</w:t>
      </w:r>
      <w:r w:rsidR="00C64050">
        <w:t xml:space="preserve"> </w:t>
      </w:r>
      <w:r>
        <w:t>organization</w:t>
      </w:r>
      <w:hyperlink r:id="rId146" w:anchor="2cd3m-0000004" w:history="1">
        <w:r>
          <w:rPr>
            <w:rStyle w:val="Hyperlink"/>
            <w:rFonts w:ascii="Open Sans" w:hAnsi="Open Sans"/>
            <w:color w:val="D35C1D"/>
            <w:sz w:val="18"/>
            <w:szCs w:val="18"/>
            <w:vertAlign w:val="superscript"/>
          </w:rPr>
          <w:t>4</w:t>
        </w:r>
      </w:hyperlink>
      <w:r w:rsidR="00C64050">
        <w:t xml:space="preserve"> </w:t>
      </w:r>
      <w:r>
        <w:t>(or</w:t>
      </w:r>
      <w:r w:rsidR="00C64050">
        <w:t xml:space="preserve"> </w:t>
      </w:r>
      <w:r>
        <w:t>to</w:t>
      </w:r>
      <w:r w:rsidR="00C64050">
        <w:t xml:space="preserve"> </w:t>
      </w:r>
      <w:r>
        <w:t>a</w:t>
      </w:r>
      <w:r w:rsidR="00C64050">
        <w:t xml:space="preserve"> </w:t>
      </w:r>
      <w:r>
        <w:t>different</w:t>
      </w:r>
      <w:r w:rsidR="00C64050">
        <w:t xml:space="preserve"> </w:t>
      </w:r>
      <w:r>
        <w:t>qualified</w:t>
      </w:r>
      <w:r w:rsidR="00C64050">
        <w:t xml:space="preserve"> </w:t>
      </w:r>
      <w:r>
        <w:t>charitable</w:t>
      </w:r>
      <w:r w:rsidR="00C64050">
        <w:t xml:space="preserve"> </w:t>
      </w:r>
      <w:r>
        <w:t>organization</w:t>
      </w:r>
      <w:r w:rsidR="00C64050">
        <w:t xml:space="preserve"> </w:t>
      </w:r>
      <w:r>
        <w:t>of</w:t>
      </w:r>
      <w:r w:rsidR="00C64050">
        <w:t xml:space="preserve"> </w:t>
      </w:r>
      <w:r>
        <w:t>the</w:t>
      </w:r>
      <w:r w:rsidR="00C64050">
        <w:t xml:space="preserve"> </w:t>
      </w:r>
      <w:r>
        <w:t>buyer's</w:t>
      </w:r>
      <w:r w:rsidR="00C64050">
        <w:t xml:space="preserve"> </w:t>
      </w:r>
      <w:r>
        <w:t>choosing),</w:t>
      </w:r>
      <w:r w:rsidR="00C64050">
        <w:t xml:space="preserve"> </w:t>
      </w:r>
      <w:r>
        <w:t>and</w:t>
      </w:r>
      <w:r w:rsidR="00C64050">
        <w:t xml:space="preserve"> </w:t>
      </w:r>
      <w:r>
        <w:t>claim</w:t>
      </w:r>
      <w:r w:rsidR="00C64050">
        <w:t xml:space="preserve"> </w:t>
      </w:r>
      <w:r>
        <w:t>a</w:t>
      </w:r>
      <w:r w:rsidR="00C64050">
        <w:t xml:space="preserve"> </w:t>
      </w:r>
      <w:r>
        <w:t>charitable</w:t>
      </w:r>
      <w:r w:rsidR="00C64050">
        <w:t xml:space="preserve"> </w:t>
      </w:r>
      <w:r>
        <w:t>contribution</w:t>
      </w:r>
      <w:r w:rsidR="00C64050">
        <w:t xml:space="preserve"> </w:t>
      </w:r>
      <w:r>
        <w:t>deduction</w:t>
      </w:r>
      <w:r w:rsidR="00C64050">
        <w:t xml:space="preserve"> </w:t>
      </w:r>
      <w:r>
        <w:t>at</w:t>
      </w:r>
      <w:r w:rsidR="00C64050">
        <w:t xml:space="preserve"> </w:t>
      </w:r>
      <w:r>
        <w:t>the</w:t>
      </w:r>
      <w:r w:rsidR="00C64050">
        <w:t xml:space="preserve"> </w:t>
      </w:r>
      <w:r>
        <w:t>appraised</w:t>
      </w:r>
      <w:r w:rsidR="00C64050">
        <w:t xml:space="preserve"> </w:t>
      </w:r>
      <w:r>
        <w:t>fair</w:t>
      </w:r>
      <w:r w:rsidR="00C64050">
        <w:t xml:space="preserve"> </w:t>
      </w:r>
      <w:r>
        <w:t>market</w:t>
      </w:r>
      <w:r w:rsidR="00C64050">
        <w:t xml:space="preserve"> </w:t>
      </w:r>
      <w:r>
        <w:t>value</w:t>
      </w:r>
      <w:r w:rsidR="00C64050">
        <w:t xml:space="preserve"> </w:t>
      </w:r>
      <w:r>
        <w:t>at</w:t>
      </w:r>
      <w:r w:rsidR="00C64050">
        <w:t xml:space="preserve"> </w:t>
      </w:r>
      <w:r>
        <w:t>the</w:t>
      </w:r>
      <w:r w:rsidR="00C64050">
        <w:t xml:space="preserve"> </w:t>
      </w:r>
      <w:r>
        <w:t>time</w:t>
      </w:r>
      <w:r w:rsidR="00C64050">
        <w:t xml:space="preserve"> </w:t>
      </w:r>
      <w:r>
        <w:t>of</w:t>
      </w:r>
      <w:r w:rsidR="00C64050">
        <w:t xml:space="preserve"> </w:t>
      </w:r>
      <w:r>
        <w:t>donation.</w:t>
      </w:r>
      <w:r w:rsidR="00C64050">
        <w:t xml:space="preserve"> </w:t>
      </w:r>
    </w:p>
    <w:p w:rsidR="00514AB2" w:rsidRDefault="00514AB2" w:rsidP="007D3CA2">
      <w:pPr>
        <w:pStyle w:val="Body15"/>
        <w:spacing w:before="240"/>
        <w:rPr>
          <w:color w:val="000000" w:themeColor="text1"/>
        </w:rPr>
      </w:pPr>
      <w:r>
        <w:rPr>
          <w:color w:val="000000" w:themeColor="text1"/>
        </w:rPr>
        <w:t>The</w:t>
      </w:r>
      <w:r w:rsidR="00C64050">
        <w:rPr>
          <w:color w:val="000000" w:themeColor="text1"/>
        </w:rPr>
        <w:t xml:space="preserve"> </w:t>
      </w:r>
      <w:r>
        <w:rPr>
          <w:color w:val="000000" w:themeColor="text1"/>
        </w:rPr>
        <w:t>appraisal</w:t>
      </w:r>
      <w:r w:rsidR="00C64050">
        <w:rPr>
          <w:color w:val="000000" w:themeColor="text1"/>
        </w:rPr>
        <w:t xml:space="preserve"> </w:t>
      </w:r>
      <w:r>
        <w:rPr>
          <w:color w:val="000000" w:themeColor="text1"/>
        </w:rPr>
        <w:t>was</w:t>
      </w:r>
      <w:r w:rsidR="00C64050">
        <w:rPr>
          <w:color w:val="000000" w:themeColor="text1"/>
        </w:rPr>
        <w:t xml:space="preserve"> </w:t>
      </w:r>
      <w:r>
        <w:rPr>
          <w:color w:val="000000" w:themeColor="text1"/>
        </w:rPr>
        <w:t>fascinating:</w:t>
      </w:r>
    </w:p>
    <w:p w:rsidR="00CD4A52" w:rsidRDefault="00CD4A52" w:rsidP="00CD4A52">
      <w:pPr>
        <w:pStyle w:val="QS10"/>
      </w:pPr>
      <w:r>
        <w:t>The</w:t>
      </w:r>
      <w:r w:rsidR="00C64050">
        <w:t xml:space="preserve"> </w:t>
      </w:r>
      <w:r>
        <w:t>initial</w:t>
      </w:r>
      <w:r w:rsidR="00C64050">
        <w:t xml:space="preserve"> </w:t>
      </w:r>
      <w:r>
        <w:t>written</w:t>
      </w:r>
      <w:r w:rsidR="00C64050">
        <w:t xml:space="preserve"> </w:t>
      </w:r>
      <w:r>
        <w:t>appraisal</w:t>
      </w:r>
      <w:r w:rsidR="00C64050">
        <w:t xml:space="preserve"> </w:t>
      </w:r>
      <w:r>
        <w:t>prepared</w:t>
      </w:r>
      <w:r w:rsidR="00C64050">
        <w:t xml:space="preserve"> </w:t>
      </w:r>
      <w:r>
        <w:t>by</w:t>
      </w:r>
      <w:r w:rsidR="00C64050">
        <w:t xml:space="preserve"> </w:t>
      </w:r>
      <w:r>
        <w:t>Marshall</w:t>
      </w:r>
      <w:r w:rsidR="00C64050">
        <w:t xml:space="preserve"> </w:t>
      </w:r>
      <w:r>
        <w:t>&amp;</w:t>
      </w:r>
      <w:r w:rsidR="00C64050">
        <w:t xml:space="preserve"> </w:t>
      </w:r>
      <w:r>
        <w:t>Stevens</w:t>
      </w:r>
      <w:r w:rsidR="00C64050">
        <w:t xml:space="preserve"> </w:t>
      </w:r>
      <w:r>
        <w:t>and</w:t>
      </w:r>
      <w:r w:rsidR="00C64050">
        <w:t xml:space="preserve"> </w:t>
      </w:r>
      <w:r>
        <w:t>dated</w:t>
      </w:r>
      <w:r w:rsidR="00C64050">
        <w:t xml:space="preserve"> </w:t>
      </w:r>
      <w:r>
        <w:t>November</w:t>
      </w:r>
      <w:r w:rsidR="00C64050">
        <w:t xml:space="preserve"> </w:t>
      </w:r>
      <w:r>
        <w:t>27,</w:t>
      </w:r>
      <w:r w:rsidR="00C64050">
        <w:t xml:space="preserve"> </w:t>
      </w:r>
      <w:r>
        <w:t>2006</w:t>
      </w:r>
      <w:r w:rsidR="00C64050">
        <w:t xml:space="preserve"> </w:t>
      </w:r>
      <w:r>
        <w:t>(2006</w:t>
      </w:r>
      <w:r w:rsidR="00C64050">
        <w:t xml:space="preserve"> </w:t>
      </w:r>
      <w:r>
        <w:t>Marshall</w:t>
      </w:r>
      <w:r w:rsidR="00C64050">
        <w:t xml:space="preserve"> </w:t>
      </w:r>
      <w:r>
        <w:t>&amp;</w:t>
      </w:r>
      <w:r w:rsidR="00C64050">
        <w:t xml:space="preserve"> </w:t>
      </w:r>
      <w:r>
        <w:t>Stevens</w:t>
      </w:r>
      <w:r w:rsidR="00C64050">
        <w:t xml:space="preserve"> </w:t>
      </w:r>
      <w:r>
        <w:t>appraisal),</w:t>
      </w:r>
      <w:r w:rsidR="00C64050">
        <w:t xml:space="preserve"> </w:t>
      </w:r>
      <w:r>
        <w:t>was</w:t>
      </w:r>
      <w:r w:rsidR="00C64050">
        <w:t xml:space="preserve"> </w:t>
      </w:r>
      <w:r>
        <w:t>included</w:t>
      </w:r>
      <w:r w:rsidR="00C64050">
        <w:t xml:space="preserve"> </w:t>
      </w:r>
      <w:r>
        <w:t>with</w:t>
      </w:r>
      <w:r w:rsidR="00C64050">
        <w:t xml:space="preserve"> </w:t>
      </w:r>
      <w:r>
        <w:t>the</w:t>
      </w:r>
      <w:r w:rsidR="00C64050">
        <w:t xml:space="preserve"> </w:t>
      </w:r>
      <w:r>
        <w:t>offering</w:t>
      </w:r>
      <w:r w:rsidR="00C64050">
        <w:t xml:space="preserve"> </w:t>
      </w:r>
      <w:r>
        <w:t>memorandum.</w:t>
      </w:r>
      <w:r w:rsidR="00C64050">
        <w:t xml:space="preserve"> </w:t>
      </w:r>
      <w:r>
        <w:t>The</w:t>
      </w:r>
      <w:r w:rsidR="00C64050">
        <w:t xml:space="preserve"> </w:t>
      </w:r>
      <w:r>
        <w:t>2006</w:t>
      </w:r>
      <w:r w:rsidR="00C64050">
        <w:t xml:space="preserve"> </w:t>
      </w:r>
      <w:r>
        <w:t>Marshall</w:t>
      </w:r>
      <w:r w:rsidR="00C64050">
        <w:t xml:space="preserve"> </w:t>
      </w:r>
      <w:r>
        <w:t>&amp;</w:t>
      </w:r>
      <w:r w:rsidR="00C64050">
        <w:t xml:space="preserve"> </w:t>
      </w:r>
      <w:r>
        <w:t>Stevens</w:t>
      </w:r>
      <w:r w:rsidR="00C64050">
        <w:t xml:space="preserve"> </w:t>
      </w:r>
      <w:r>
        <w:t>appraisal</w:t>
      </w:r>
      <w:r w:rsidR="00C64050">
        <w:t xml:space="preserve"> </w:t>
      </w:r>
      <w:r>
        <w:t>described</w:t>
      </w:r>
      <w:r w:rsidR="00C64050">
        <w:t xml:space="preserve"> </w:t>
      </w:r>
      <w:r>
        <w:t>the</w:t>
      </w:r>
      <w:r w:rsidR="00C64050">
        <w:t xml:space="preserve"> </w:t>
      </w:r>
      <w:r>
        <w:rPr>
          <w:rStyle w:val="Strong"/>
          <w:rFonts w:ascii="Open Sans" w:hAnsi="Open Sans"/>
          <w:color w:val="222222"/>
        </w:rPr>
        <w:t>[*6]</w:t>
      </w:r>
      <w:r w:rsidR="00C64050">
        <w:t xml:space="preserve"> </w:t>
      </w:r>
      <w:r>
        <w:t>property</w:t>
      </w:r>
      <w:r w:rsidR="00C64050">
        <w:t xml:space="preserve"> </w:t>
      </w:r>
      <w:r>
        <w:t>that</w:t>
      </w:r>
      <w:r w:rsidR="00C64050">
        <w:t xml:space="preserve"> </w:t>
      </w:r>
      <w:r>
        <w:t>ZD</w:t>
      </w:r>
      <w:r w:rsidR="00C64050">
        <w:t xml:space="preserve"> </w:t>
      </w:r>
      <w:r>
        <w:t>Products</w:t>
      </w:r>
      <w:r w:rsidR="00C64050">
        <w:t xml:space="preserve"> </w:t>
      </w:r>
      <w:r>
        <w:t>requested</w:t>
      </w:r>
      <w:r w:rsidR="00C64050">
        <w:t xml:space="preserve"> </w:t>
      </w:r>
      <w:r>
        <w:t>it</w:t>
      </w:r>
      <w:r w:rsidR="00C64050">
        <w:t xml:space="preserve"> </w:t>
      </w:r>
      <w:r>
        <w:t>value</w:t>
      </w:r>
      <w:r w:rsidR="00C64050">
        <w:t xml:space="preserve"> </w:t>
      </w:r>
      <w:r>
        <w:t>and</w:t>
      </w:r>
      <w:r w:rsidR="00C64050">
        <w:t xml:space="preserve"> </w:t>
      </w:r>
      <w:r>
        <w:t>the</w:t>
      </w:r>
      <w:r w:rsidR="00C64050">
        <w:t xml:space="preserve"> </w:t>
      </w:r>
      <w:r>
        <w:t>property's</w:t>
      </w:r>
      <w:r w:rsidR="00C64050">
        <w:t xml:space="preserve"> </w:t>
      </w:r>
      <w:r>
        <w:t>physical</w:t>
      </w:r>
      <w:r w:rsidR="00C64050">
        <w:t xml:space="preserve"> </w:t>
      </w:r>
      <w:r>
        <w:t>condition</w:t>
      </w:r>
      <w:r w:rsidR="00C64050">
        <w:t xml:space="preserve"> </w:t>
      </w:r>
      <w:r>
        <w:t>as</w:t>
      </w:r>
      <w:r w:rsidR="00C64050">
        <w:t xml:space="preserve"> </w:t>
      </w:r>
      <w:r>
        <w:t>follows:</w:t>
      </w:r>
    </w:p>
    <w:p w:rsidR="00CD4A52" w:rsidRDefault="00CD4A52" w:rsidP="00CD4A52">
      <w:pPr>
        <w:pStyle w:val="QS10"/>
        <w:ind w:left="2160"/>
      </w:pPr>
      <w:r>
        <w:rPr>
          <w:rStyle w:val="Strong"/>
          <w:rFonts w:ascii="Open Sans" w:hAnsi="Open Sans"/>
          <w:color w:val="222222"/>
        </w:rPr>
        <w:t>1.3</w:t>
      </w:r>
      <w:r w:rsidR="00C64050">
        <w:rPr>
          <w:rStyle w:val="Strong"/>
          <w:rFonts w:ascii="Open Sans" w:hAnsi="Open Sans"/>
          <w:color w:val="222222"/>
        </w:rPr>
        <w:t xml:space="preserve"> </w:t>
      </w:r>
      <w:r>
        <w:rPr>
          <w:rStyle w:val="Strong"/>
          <w:rFonts w:ascii="Open Sans" w:hAnsi="Open Sans"/>
          <w:color w:val="222222"/>
        </w:rPr>
        <w:t>Description</w:t>
      </w:r>
      <w:r w:rsidR="00C64050">
        <w:rPr>
          <w:rStyle w:val="Strong"/>
          <w:rFonts w:ascii="Open Sans" w:hAnsi="Open Sans"/>
          <w:color w:val="222222"/>
        </w:rPr>
        <w:t xml:space="preserve"> </w:t>
      </w:r>
      <w:r>
        <w:rPr>
          <w:rStyle w:val="Strong"/>
          <w:rFonts w:ascii="Open Sans" w:hAnsi="Open Sans"/>
          <w:color w:val="222222"/>
        </w:rPr>
        <w:t>of</w:t>
      </w:r>
      <w:r w:rsidR="00C64050">
        <w:rPr>
          <w:rStyle w:val="Strong"/>
          <w:rFonts w:ascii="Open Sans" w:hAnsi="Open Sans"/>
          <w:color w:val="222222"/>
        </w:rPr>
        <w:t xml:space="preserve"> </w:t>
      </w:r>
      <w:r>
        <w:rPr>
          <w:rStyle w:val="Strong"/>
          <w:rFonts w:ascii="Open Sans" w:hAnsi="Open Sans"/>
          <w:color w:val="222222"/>
        </w:rPr>
        <w:t>the</w:t>
      </w:r>
      <w:r w:rsidR="00C64050">
        <w:rPr>
          <w:rStyle w:val="Strong"/>
          <w:rFonts w:ascii="Open Sans" w:hAnsi="Open Sans"/>
          <w:color w:val="222222"/>
        </w:rPr>
        <w:t xml:space="preserve"> </w:t>
      </w:r>
      <w:r>
        <w:rPr>
          <w:rStyle w:val="Strong"/>
          <w:rFonts w:ascii="Open Sans" w:hAnsi="Open Sans"/>
          <w:color w:val="222222"/>
        </w:rPr>
        <w:t>Donated</w:t>
      </w:r>
      <w:r w:rsidR="00C64050">
        <w:rPr>
          <w:rStyle w:val="Strong"/>
          <w:rFonts w:ascii="Open Sans" w:hAnsi="Open Sans"/>
          <w:color w:val="222222"/>
        </w:rPr>
        <w:t xml:space="preserve"> </w:t>
      </w:r>
      <w:r>
        <w:rPr>
          <w:rStyle w:val="Strong"/>
          <w:rFonts w:ascii="Open Sans" w:hAnsi="Open Sans"/>
          <w:color w:val="222222"/>
        </w:rPr>
        <w:t>Property</w:t>
      </w:r>
    </w:p>
    <w:p w:rsidR="00CD4A52" w:rsidRDefault="00CD4A52" w:rsidP="00CD4A52">
      <w:pPr>
        <w:pStyle w:val="QS10"/>
        <w:ind w:left="2160"/>
      </w:pPr>
      <w:r>
        <w:t>The</w:t>
      </w:r>
      <w:r w:rsidR="00C64050">
        <w:t xml:space="preserve"> </w:t>
      </w:r>
      <w:r>
        <w:t>property</w:t>
      </w:r>
      <w:r w:rsidR="00C64050">
        <w:t xml:space="preserve"> </w:t>
      </w:r>
      <w:r>
        <w:t>to</w:t>
      </w:r>
      <w:r w:rsidR="00C64050">
        <w:t xml:space="preserve"> </w:t>
      </w:r>
      <w:r>
        <w:t>be</w:t>
      </w:r>
      <w:r w:rsidR="00C64050">
        <w:t xml:space="preserve"> </w:t>
      </w:r>
      <w:r>
        <w:t>contributed</w:t>
      </w:r>
      <w:r w:rsidR="00C64050">
        <w:t xml:space="preserve"> </w:t>
      </w:r>
      <w:r>
        <w:t>consists</w:t>
      </w:r>
      <w:r w:rsidR="00C64050">
        <w:t xml:space="preserve"> </w:t>
      </w:r>
      <w:r>
        <w:t>of</w:t>
      </w:r>
      <w:r w:rsidR="00C64050">
        <w:t xml:space="preserve"> </w:t>
      </w:r>
      <w:r>
        <w:t>new</w:t>
      </w:r>
      <w:r w:rsidR="00C64050">
        <w:t xml:space="preserve"> </w:t>
      </w:r>
      <w:r>
        <w:t>(unused)</w:t>
      </w:r>
      <w:r w:rsidR="00C64050">
        <w:t xml:space="preserve"> </w:t>
      </w:r>
      <w:r>
        <w:t>Designer</w:t>
      </w:r>
      <w:r w:rsidR="00C64050">
        <w:t xml:space="preserve"> </w:t>
      </w:r>
      <w:r>
        <w:t>Eyewear</w:t>
      </w:r>
      <w:r w:rsidR="00C64050">
        <w:t xml:space="preserve"> </w:t>
      </w:r>
      <w:r>
        <w:t>Products</w:t>
      </w:r>
      <w:r w:rsidR="00C64050">
        <w:t xml:space="preserve"> </w:t>
      </w:r>
      <w:r>
        <w:t>(“Designer</w:t>
      </w:r>
      <w:r w:rsidR="00C64050">
        <w:t xml:space="preserve"> </w:t>
      </w:r>
      <w:r>
        <w:t>Eyewear</w:t>
      </w:r>
      <w:r w:rsidR="00C64050">
        <w:t xml:space="preserve"> </w:t>
      </w:r>
      <w:r>
        <w:t>Products”</w:t>
      </w:r>
      <w:r w:rsidR="00C64050">
        <w:t xml:space="preserve"> </w:t>
      </w:r>
      <w:r>
        <w:t>or</w:t>
      </w:r>
      <w:r w:rsidR="00C64050">
        <w:t xml:space="preserve"> </w:t>
      </w:r>
      <w:r>
        <w:t>“donated</w:t>
      </w:r>
      <w:r w:rsidR="00C64050">
        <w:t xml:space="preserve"> </w:t>
      </w:r>
      <w:r>
        <w:t>property”).</w:t>
      </w:r>
      <w:r w:rsidR="00C64050">
        <w:t xml:space="preserve"> </w:t>
      </w:r>
      <w:r>
        <w:t>The</w:t>
      </w:r>
      <w:r w:rsidR="00C64050">
        <w:t xml:space="preserve"> </w:t>
      </w:r>
      <w:r>
        <w:t>subject</w:t>
      </w:r>
      <w:r w:rsidR="00C64050">
        <w:t xml:space="preserve"> </w:t>
      </w:r>
      <w:r>
        <w:t>property</w:t>
      </w:r>
      <w:r w:rsidR="00C64050">
        <w:t xml:space="preserve"> </w:t>
      </w:r>
      <w:r>
        <w:t>list</w:t>
      </w:r>
      <w:r w:rsidR="00C64050">
        <w:t xml:space="preserve"> </w:t>
      </w:r>
      <w:r>
        <w:t>with</w:t>
      </w:r>
      <w:r w:rsidR="00C64050">
        <w:t xml:space="preserve"> </w:t>
      </w:r>
      <w:r>
        <w:t>description,</w:t>
      </w:r>
      <w:r w:rsidR="00C64050">
        <w:t xml:space="preserve"> </w:t>
      </w:r>
      <w:r>
        <w:t>count</w:t>
      </w:r>
      <w:r w:rsidR="00C64050">
        <w:t xml:space="preserve"> </w:t>
      </w:r>
      <w:r>
        <w:t>and</w:t>
      </w:r>
      <w:r w:rsidR="00C64050">
        <w:t xml:space="preserve"> </w:t>
      </w:r>
      <w:r>
        <w:t>wholesale</w:t>
      </w:r>
      <w:r w:rsidR="00C64050">
        <w:t xml:space="preserve"> </w:t>
      </w:r>
      <w:r>
        <w:t>price</w:t>
      </w:r>
      <w:r w:rsidR="00C64050">
        <w:t xml:space="preserve"> </w:t>
      </w:r>
      <w:r>
        <w:t>originated</w:t>
      </w:r>
      <w:r w:rsidR="00C64050">
        <w:t xml:space="preserve"> </w:t>
      </w:r>
      <w:r>
        <w:t>from</w:t>
      </w:r>
      <w:r w:rsidR="00C64050">
        <w:t xml:space="preserve"> </w:t>
      </w:r>
      <w:r>
        <w:t>Eyewear</w:t>
      </w:r>
      <w:r w:rsidR="00C64050">
        <w:t xml:space="preserve"> </w:t>
      </w:r>
      <w:r>
        <w:t>Designs</w:t>
      </w:r>
      <w:r w:rsidR="00C64050">
        <w:t xml:space="preserve"> </w:t>
      </w:r>
      <w:r>
        <w:t>LTD.</w:t>
      </w:r>
      <w:r w:rsidR="00C64050">
        <w:t xml:space="preserve"> </w:t>
      </w:r>
      <w:r>
        <w:t>Located</w:t>
      </w:r>
      <w:r w:rsidR="00C64050">
        <w:t xml:space="preserve"> </w:t>
      </w:r>
      <w:r>
        <w:t>in</w:t>
      </w:r>
      <w:r w:rsidR="00C64050">
        <w:t xml:space="preserve"> </w:t>
      </w:r>
      <w:r>
        <w:t>Syosset</w:t>
      </w:r>
      <w:r w:rsidR="00C64050">
        <w:t xml:space="preserve"> </w:t>
      </w:r>
      <w:r>
        <w:t>NY.</w:t>
      </w:r>
      <w:r w:rsidR="00C64050">
        <w:t xml:space="preserve"> </w:t>
      </w:r>
      <w:r>
        <w:t>The</w:t>
      </w:r>
      <w:r w:rsidR="00C64050">
        <w:t xml:space="preserve"> </w:t>
      </w:r>
      <w:r>
        <w:t>subject</w:t>
      </w:r>
      <w:r w:rsidR="00C64050">
        <w:t xml:space="preserve"> </w:t>
      </w:r>
      <w:r>
        <w:t>property</w:t>
      </w:r>
      <w:r w:rsidR="00C64050">
        <w:t xml:space="preserve"> </w:t>
      </w:r>
      <w:r>
        <w:t>consists</w:t>
      </w:r>
      <w:r w:rsidR="00C64050">
        <w:t xml:space="preserve"> </w:t>
      </w:r>
      <w:r>
        <w:t>of</w:t>
      </w:r>
      <w:r w:rsidR="00C64050">
        <w:t xml:space="preserve"> </w:t>
      </w:r>
      <w:r>
        <w:t>various</w:t>
      </w:r>
      <w:r w:rsidR="00C64050">
        <w:t xml:space="preserve"> </w:t>
      </w:r>
      <w:r>
        <w:t>styles</w:t>
      </w:r>
      <w:r w:rsidR="00C64050">
        <w:t xml:space="preserve"> </w:t>
      </w:r>
      <w:r>
        <w:t>and</w:t>
      </w:r>
      <w:r w:rsidR="00C64050">
        <w:t xml:space="preserve"> </w:t>
      </w:r>
      <w:r>
        <w:t>designer</w:t>
      </w:r>
      <w:r w:rsidR="00C64050">
        <w:t xml:space="preserve"> </w:t>
      </w:r>
      <w:r>
        <w:t>brand</w:t>
      </w:r>
      <w:r w:rsidR="00C64050">
        <w:t xml:space="preserve"> </w:t>
      </w:r>
      <w:r>
        <w:t>names.</w:t>
      </w:r>
      <w:r w:rsidR="00C64050">
        <w:t xml:space="preserve"> </w:t>
      </w:r>
      <w:r>
        <w:t>These</w:t>
      </w:r>
      <w:r w:rsidR="00C64050">
        <w:t xml:space="preserve"> </w:t>
      </w:r>
      <w:r>
        <w:t>designer</w:t>
      </w:r>
      <w:r w:rsidR="00C64050">
        <w:t xml:space="preserve"> </w:t>
      </w:r>
      <w:r>
        <w:t>brand</w:t>
      </w:r>
      <w:r w:rsidR="00C64050">
        <w:t xml:space="preserve"> </w:t>
      </w:r>
      <w:r>
        <w:t>names</w:t>
      </w:r>
      <w:r w:rsidR="00C64050">
        <w:t xml:space="preserve"> </w:t>
      </w:r>
      <w:r>
        <w:t>include</w:t>
      </w:r>
      <w:r w:rsidR="00C64050">
        <w:t xml:space="preserve"> </w:t>
      </w:r>
      <w:r>
        <w:t>Bill</w:t>
      </w:r>
      <w:r w:rsidR="00C64050">
        <w:t xml:space="preserve"> </w:t>
      </w:r>
      <w:r>
        <w:t>Blass,</w:t>
      </w:r>
      <w:r w:rsidR="00C64050">
        <w:t xml:space="preserve"> </w:t>
      </w:r>
      <w:r>
        <w:t>Elizabeth</w:t>
      </w:r>
      <w:r w:rsidR="00C64050">
        <w:t xml:space="preserve"> </w:t>
      </w:r>
      <w:r>
        <w:t>Arden,</w:t>
      </w:r>
      <w:r w:rsidR="00C64050">
        <w:t xml:space="preserve"> </w:t>
      </w:r>
      <w:r>
        <w:t>Perry</w:t>
      </w:r>
      <w:r w:rsidR="00C64050">
        <w:t xml:space="preserve"> </w:t>
      </w:r>
      <w:r>
        <w:t>Ellis,</w:t>
      </w:r>
      <w:r w:rsidR="00C64050">
        <w:t xml:space="preserve"> </w:t>
      </w:r>
      <w:r>
        <w:t>and</w:t>
      </w:r>
      <w:r w:rsidR="00C64050">
        <w:t xml:space="preserve"> </w:t>
      </w:r>
      <w:r>
        <w:t>Pierre</w:t>
      </w:r>
      <w:r w:rsidR="00C64050">
        <w:t xml:space="preserve"> </w:t>
      </w:r>
      <w:r>
        <w:t>Cardin.</w:t>
      </w:r>
      <w:r w:rsidR="00C64050">
        <w:t xml:space="preserve"> </w:t>
      </w:r>
      <w:r>
        <w:t>The</w:t>
      </w:r>
      <w:r w:rsidR="00C64050">
        <w:t xml:space="preserve"> </w:t>
      </w:r>
      <w:r>
        <w:t>total</w:t>
      </w:r>
      <w:r w:rsidR="00C64050">
        <w:t xml:space="preserve"> </w:t>
      </w:r>
      <w:r>
        <w:t>quantity</w:t>
      </w:r>
      <w:r w:rsidR="00C64050">
        <w:t xml:space="preserve"> </w:t>
      </w:r>
      <w:r>
        <w:t>is</w:t>
      </w:r>
      <w:r w:rsidR="00C64050">
        <w:t xml:space="preserve"> </w:t>
      </w:r>
      <w:r>
        <w:t>171,600.</w:t>
      </w:r>
      <w:r w:rsidR="00C64050">
        <w:t xml:space="preserve"> </w:t>
      </w:r>
      <w:r>
        <w:t>A</w:t>
      </w:r>
      <w:r w:rsidR="00C64050">
        <w:t xml:space="preserve"> </w:t>
      </w:r>
      <w:r>
        <w:t>sampling</w:t>
      </w:r>
      <w:r w:rsidR="00C64050">
        <w:t xml:space="preserve"> </w:t>
      </w:r>
      <w:r>
        <w:t>of</w:t>
      </w:r>
      <w:r w:rsidR="00C64050">
        <w:t xml:space="preserve"> </w:t>
      </w:r>
      <w:r>
        <w:t>the</w:t>
      </w:r>
      <w:r w:rsidR="00C64050">
        <w:t xml:space="preserve"> </w:t>
      </w:r>
      <w:r>
        <w:t>various</w:t>
      </w:r>
      <w:r w:rsidR="00C64050">
        <w:t xml:space="preserve"> </w:t>
      </w:r>
      <w:r>
        <w:t>brand</w:t>
      </w:r>
      <w:r w:rsidR="00C64050">
        <w:t xml:space="preserve"> </w:t>
      </w:r>
      <w:r>
        <w:t>names</w:t>
      </w:r>
      <w:r w:rsidR="00C64050">
        <w:t xml:space="preserve"> </w:t>
      </w:r>
      <w:r>
        <w:t>and</w:t>
      </w:r>
      <w:r w:rsidR="00C64050">
        <w:t xml:space="preserve"> </w:t>
      </w:r>
      <w:r>
        <w:t>models</w:t>
      </w:r>
      <w:r w:rsidR="00C64050">
        <w:t xml:space="preserve"> </w:t>
      </w:r>
      <w:r>
        <w:t>show</w:t>
      </w:r>
      <w:r w:rsidR="00C64050">
        <w:t xml:space="preserve"> </w:t>
      </w:r>
      <w:r>
        <w:t>that</w:t>
      </w:r>
      <w:r w:rsidR="00C64050">
        <w:t xml:space="preserve"> </w:t>
      </w:r>
      <w:r>
        <w:t>the</w:t>
      </w:r>
      <w:r w:rsidR="00C64050">
        <w:t xml:space="preserve"> </w:t>
      </w:r>
      <w:r>
        <w:t>eyewear</w:t>
      </w:r>
      <w:r w:rsidR="00C64050">
        <w:t xml:space="preserve"> </w:t>
      </w:r>
      <w:r>
        <w:t>brands</w:t>
      </w:r>
      <w:r w:rsidR="00C64050">
        <w:t xml:space="preserve"> </w:t>
      </w:r>
      <w:r>
        <w:t>are</w:t>
      </w:r>
      <w:r w:rsidR="00C64050">
        <w:t xml:space="preserve"> </w:t>
      </w:r>
      <w:r>
        <w:t>still</w:t>
      </w:r>
      <w:r w:rsidR="00C64050">
        <w:t xml:space="preserve"> </w:t>
      </w:r>
      <w:r>
        <w:t>active</w:t>
      </w:r>
      <w:r w:rsidR="00C64050">
        <w:t xml:space="preserve"> </w:t>
      </w:r>
      <w:r>
        <w:t>in</w:t>
      </w:r>
      <w:r w:rsidR="00C64050">
        <w:t xml:space="preserve"> </w:t>
      </w:r>
      <w:r>
        <w:t>the</w:t>
      </w:r>
      <w:r w:rsidR="00C64050">
        <w:t xml:space="preserve"> </w:t>
      </w:r>
      <w:r>
        <w:t>marketplace.</w:t>
      </w:r>
      <w:r w:rsidR="00C64050">
        <w:t xml:space="preserve"> </w:t>
      </w:r>
      <w:r>
        <w:t>These</w:t>
      </w:r>
      <w:r w:rsidR="00C64050">
        <w:t xml:space="preserve"> </w:t>
      </w:r>
      <w:r>
        <w:t>particular</w:t>
      </w:r>
      <w:r w:rsidR="00C64050">
        <w:t xml:space="preserve"> </w:t>
      </w:r>
      <w:r>
        <w:t>designer</w:t>
      </w:r>
      <w:r w:rsidR="00C64050">
        <w:t xml:space="preserve"> </w:t>
      </w:r>
      <w:r>
        <w:t>eyewear</w:t>
      </w:r>
      <w:r w:rsidR="00C64050">
        <w:t xml:space="preserve"> </w:t>
      </w:r>
      <w:r>
        <w:t>product</w:t>
      </w:r>
      <w:r w:rsidR="00C64050">
        <w:t xml:space="preserve"> </w:t>
      </w:r>
      <w:r>
        <w:t>brand</w:t>
      </w:r>
      <w:r w:rsidR="00C64050">
        <w:t xml:space="preserve"> </w:t>
      </w:r>
      <w:r>
        <w:t>names</w:t>
      </w:r>
      <w:r w:rsidR="00C64050">
        <w:t xml:space="preserve"> </w:t>
      </w:r>
      <w:r>
        <w:t>are</w:t>
      </w:r>
      <w:r w:rsidR="00C64050">
        <w:t xml:space="preserve"> </w:t>
      </w:r>
      <w:r>
        <w:t>some</w:t>
      </w:r>
      <w:r w:rsidR="00C64050">
        <w:t xml:space="preserve"> </w:t>
      </w:r>
      <w:r>
        <w:t>of</w:t>
      </w:r>
      <w:r w:rsidR="00C64050">
        <w:t xml:space="preserve"> </w:t>
      </w:r>
      <w:r>
        <w:t>the</w:t>
      </w:r>
      <w:r w:rsidR="00C64050">
        <w:t xml:space="preserve"> </w:t>
      </w:r>
      <w:r>
        <w:t>most</w:t>
      </w:r>
      <w:r w:rsidR="00C64050">
        <w:t xml:space="preserve"> </w:t>
      </w:r>
      <w:r>
        <w:t>well</w:t>
      </w:r>
      <w:r w:rsidR="00C64050">
        <w:t xml:space="preserve"> </w:t>
      </w:r>
      <w:r>
        <w:t>known</w:t>
      </w:r>
      <w:r w:rsidR="00C64050">
        <w:t xml:space="preserve"> </w:t>
      </w:r>
      <w:r>
        <w:t>and</w:t>
      </w:r>
      <w:r w:rsidR="00C64050">
        <w:t xml:space="preserve"> </w:t>
      </w:r>
      <w:r>
        <w:t>long</w:t>
      </w:r>
      <w:r w:rsidR="00C64050">
        <w:t xml:space="preserve"> </w:t>
      </w:r>
      <w:r>
        <w:t>standing</w:t>
      </w:r>
      <w:r w:rsidR="00C64050">
        <w:t xml:space="preserve"> </w:t>
      </w:r>
      <w:r>
        <w:t>eyewear</w:t>
      </w:r>
      <w:r w:rsidR="00C64050">
        <w:t xml:space="preserve"> </w:t>
      </w:r>
      <w:r>
        <w:t>products</w:t>
      </w:r>
      <w:r w:rsidR="00C64050">
        <w:t xml:space="preserve"> </w:t>
      </w:r>
      <w:r>
        <w:t>in</w:t>
      </w:r>
      <w:r w:rsidR="00C64050">
        <w:t xml:space="preserve"> </w:t>
      </w:r>
      <w:r>
        <w:t>the</w:t>
      </w:r>
      <w:r w:rsidR="00C64050">
        <w:t xml:space="preserve"> </w:t>
      </w:r>
      <w:r>
        <w:t>designer</w:t>
      </w:r>
      <w:r w:rsidR="00C64050">
        <w:t xml:space="preserve"> </w:t>
      </w:r>
      <w:r>
        <w:t>eyewear</w:t>
      </w:r>
      <w:r w:rsidR="00C64050">
        <w:t xml:space="preserve"> </w:t>
      </w:r>
      <w:r>
        <w:t>marketplace.</w:t>
      </w:r>
      <w:r w:rsidR="00C64050">
        <w:t xml:space="preserve"> </w:t>
      </w:r>
      <w:r>
        <w:t>They</w:t>
      </w:r>
      <w:r w:rsidR="00C64050">
        <w:t xml:space="preserve"> </w:t>
      </w:r>
      <w:r>
        <w:t>have</w:t>
      </w:r>
      <w:r w:rsidR="00C64050">
        <w:t xml:space="preserve"> </w:t>
      </w:r>
      <w:r>
        <w:t>however</w:t>
      </w:r>
      <w:r w:rsidR="00C64050">
        <w:t xml:space="preserve"> </w:t>
      </w:r>
      <w:r>
        <w:t>have</w:t>
      </w:r>
      <w:r w:rsidR="00C64050">
        <w:t xml:space="preserve"> </w:t>
      </w:r>
      <w:r>
        <w:t>[sic]</w:t>
      </w:r>
      <w:r w:rsidR="00C64050">
        <w:t xml:space="preserve"> </w:t>
      </w:r>
      <w:r>
        <w:t>been</w:t>
      </w:r>
      <w:r w:rsidR="00C64050">
        <w:t xml:space="preserve"> </w:t>
      </w:r>
      <w:r>
        <w:t>discounted</w:t>
      </w:r>
      <w:r w:rsidR="00C64050">
        <w:t xml:space="preserve"> </w:t>
      </w:r>
      <w:r>
        <w:t>over</w:t>
      </w:r>
      <w:r w:rsidR="00C64050">
        <w:t xml:space="preserve"> </w:t>
      </w:r>
      <w:r>
        <w:t>time</w:t>
      </w:r>
      <w:r w:rsidR="00C64050">
        <w:t xml:space="preserve"> </w:t>
      </w:r>
      <w:r>
        <w:t>and</w:t>
      </w:r>
      <w:r w:rsidR="00C64050">
        <w:t xml:space="preserve"> </w:t>
      </w:r>
      <w:r>
        <w:t>are</w:t>
      </w:r>
      <w:r w:rsidR="00C64050">
        <w:t xml:space="preserve"> </w:t>
      </w:r>
      <w:r>
        <w:t>no</w:t>
      </w:r>
      <w:r w:rsidR="00C64050">
        <w:t xml:space="preserve"> </w:t>
      </w:r>
      <w:r>
        <w:t>longer</w:t>
      </w:r>
      <w:r w:rsidR="00C64050">
        <w:t xml:space="preserve"> </w:t>
      </w:r>
      <w:r>
        <w:t>the</w:t>
      </w:r>
      <w:r w:rsidR="00C64050">
        <w:t xml:space="preserve"> </w:t>
      </w:r>
      <w:r>
        <w:t>most</w:t>
      </w:r>
      <w:r w:rsidR="00C64050">
        <w:t xml:space="preserve"> </w:t>
      </w:r>
      <w:r>
        <w:t>current</w:t>
      </w:r>
      <w:r w:rsidR="00C64050">
        <w:t xml:space="preserve"> </w:t>
      </w:r>
      <w:r>
        <w:t>popular</w:t>
      </w:r>
      <w:r w:rsidR="00C64050">
        <w:t xml:space="preserve"> </w:t>
      </w:r>
      <w:r>
        <w:t>styles</w:t>
      </w:r>
      <w:r w:rsidR="00C64050">
        <w:t xml:space="preserve"> </w:t>
      </w:r>
      <w:r>
        <w:t>and</w:t>
      </w:r>
      <w:r w:rsidR="00C64050">
        <w:t xml:space="preserve"> </w:t>
      </w:r>
      <w:r>
        <w:t>brands.</w:t>
      </w:r>
    </w:p>
    <w:p w:rsidR="00803A76" w:rsidRDefault="00803A76">
      <w:pPr>
        <w:rPr>
          <w:rStyle w:val="Strong"/>
          <w:rFonts w:ascii="Open Sans" w:hAnsi="Open Sans"/>
          <w:bCs/>
          <w:color w:val="222222"/>
        </w:rPr>
      </w:pPr>
      <w:r>
        <w:rPr>
          <w:rStyle w:val="Strong"/>
          <w:rFonts w:ascii="Open Sans" w:hAnsi="Open Sans"/>
          <w:color w:val="222222"/>
        </w:rPr>
        <w:br w:type="page"/>
      </w:r>
    </w:p>
    <w:p w:rsidR="00CD4A52" w:rsidRDefault="00CD4A52" w:rsidP="00CD4A52">
      <w:pPr>
        <w:pStyle w:val="QS10"/>
        <w:ind w:left="2160"/>
      </w:pPr>
      <w:r>
        <w:rPr>
          <w:rStyle w:val="Strong"/>
          <w:rFonts w:ascii="Open Sans" w:hAnsi="Open Sans"/>
          <w:color w:val="222222"/>
        </w:rPr>
        <w:t>1.4</w:t>
      </w:r>
      <w:r w:rsidR="00C64050">
        <w:rPr>
          <w:rStyle w:val="Strong"/>
          <w:rFonts w:ascii="Open Sans" w:hAnsi="Open Sans"/>
          <w:color w:val="222222"/>
        </w:rPr>
        <w:t xml:space="preserve"> </w:t>
      </w:r>
      <w:r>
        <w:rPr>
          <w:rStyle w:val="Strong"/>
          <w:rFonts w:ascii="Open Sans" w:hAnsi="Open Sans"/>
          <w:color w:val="222222"/>
        </w:rPr>
        <w:t>Physical</w:t>
      </w:r>
      <w:r w:rsidR="00C64050">
        <w:rPr>
          <w:rStyle w:val="Strong"/>
          <w:rFonts w:ascii="Open Sans" w:hAnsi="Open Sans"/>
          <w:color w:val="222222"/>
        </w:rPr>
        <w:t xml:space="preserve"> </w:t>
      </w:r>
      <w:r>
        <w:rPr>
          <w:rStyle w:val="Strong"/>
          <w:rFonts w:ascii="Open Sans" w:hAnsi="Open Sans"/>
          <w:color w:val="222222"/>
        </w:rPr>
        <w:t>Condition</w:t>
      </w:r>
      <w:r w:rsidR="00C64050">
        <w:rPr>
          <w:rStyle w:val="Strong"/>
          <w:rFonts w:ascii="Open Sans" w:hAnsi="Open Sans"/>
          <w:color w:val="222222"/>
        </w:rPr>
        <w:t xml:space="preserve"> </w:t>
      </w:r>
      <w:r>
        <w:rPr>
          <w:rStyle w:val="Strong"/>
          <w:rFonts w:ascii="Open Sans" w:hAnsi="Open Sans"/>
          <w:color w:val="222222"/>
        </w:rPr>
        <w:t>of</w:t>
      </w:r>
      <w:r w:rsidR="00C64050">
        <w:rPr>
          <w:rStyle w:val="Strong"/>
          <w:rFonts w:ascii="Open Sans" w:hAnsi="Open Sans"/>
          <w:color w:val="222222"/>
        </w:rPr>
        <w:t xml:space="preserve"> </w:t>
      </w:r>
      <w:r>
        <w:rPr>
          <w:rStyle w:val="Strong"/>
          <w:rFonts w:ascii="Open Sans" w:hAnsi="Open Sans"/>
          <w:color w:val="222222"/>
        </w:rPr>
        <w:t>the</w:t>
      </w:r>
      <w:r w:rsidR="00C64050">
        <w:rPr>
          <w:rStyle w:val="Strong"/>
          <w:rFonts w:ascii="Open Sans" w:hAnsi="Open Sans"/>
          <w:color w:val="222222"/>
        </w:rPr>
        <w:t xml:space="preserve"> </w:t>
      </w:r>
      <w:r>
        <w:rPr>
          <w:rStyle w:val="Strong"/>
          <w:rFonts w:ascii="Open Sans" w:hAnsi="Open Sans"/>
          <w:color w:val="222222"/>
        </w:rPr>
        <w:t>Property</w:t>
      </w:r>
    </w:p>
    <w:p w:rsidR="00CD4A52" w:rsidRDefault="00CD4A52" w:rsidP="00CD4A52">
      <w:pPr>
        <w:pStyle w:val="QS10"/>
        <w:ind w:left="2160"/>
      </w:pPr>
      <w:r>
        <w:t>We</w:t>
      </w:r>
      <w:r w:rsidR="00C64050">
        <w:t xml:space="preserve"> </w:t>
      </w:r>
      <w:r>
        <w:t>have</w:t>
      </w:r>
      <w:r w:rsidR="00C64050">
        <w:t xml:space="preserve"> </w:t>
      </w:r>
      <w:r>
        <w:t>not</w:t>
      </w:r>
      <w:r w:rsidR="00C64050">
        <w:t xml:space="preserve"> </w:t>
      </w:r>
      <w:r>
        <w:t>made</w:t>
      </w:r>
      <w:r w:rsidR="00C64050">
        <w:t xml:space="preserve"> </w:t>
      </w:r>
      <w:r>
        <w:t>a</w:t>
      </w:r>
      <w:r w:rsidR="00C64050">
        <w:t xml:space="preserve"> </w:t>
      </w:r>
      <w:r>
        <w:t>personal</w:t>
      </w:r>
      <w:r w:rsidR="00C64050">
        <w:t xml:space="preserve"> </w:t>
      </w:r>
      <w:r>
        <w:t>viewing</w:t>
      </w:r>
      <w:r w:rsidR="00C64050">
        <w:t xml:space="preserve"> </w:t>
      </w:r>
      <w:r>
        <w:t>of</w:t>
      </w:r>
      <w:r w:rsidR="00C64050">
        <w:t xml:space="preserve"> </w:t>
      </w:r>
      <w:r>
        <w:t>the</w:t>
      </w:r>
      <w:r w:rsidR="00C64050">
        <w:t xml:space="preserve"> </w:t>
      </w:r>
      <w:r>
        <w:t>subject</w:t>
      </w:r>
      <w:r w:rsidR="00C64050">
        <w:t xml:space="preserve"> </w:t>
      </w:r>
      <w:r>
        <w:t>property.</w:t>
      </w:r>
      <w:r w:rsidR="00C64050">
        <w:t xml:space="preserve"> </w:t>
      </w:r>
      <w:r>
        <w:t>It</w:t>
      </w:r>
      <w:r w:rsidR="00C64050">
        <w:t xml:space="preserve"> </w:t>
      </w:r>
      <w:r>
        <w:t>is</w:t>
      </w:r>
      <w:r w:rsidR="00C64050">
        <w:t xml:space="preserve"> </w:t>
      </w:r>
      <w:r>
        <w:t>our</w:t>
      </w:r>
      <w:r w:rsidR="00C64050">
        <w:t xml:space="preserve"> </w:t>
      </w:r>
      <w:r>
        <w:t>understanding</w:t>
      </w:r>
      <w:r w:rsidR="00C64050">
        <w:t xml:space="preserve"> </w:t>
      </w:r>
      <w:r>
        <w:t>that</w:t>
      </w:r>
      <w:r w:rsidR="00C64050">
        <w:t xml:space="preserve"> </w:t>
      </w:r>
      <w:r>
        <w:t>the</w:t>
      </w:r>
      <w:r w:rsidR="00C64050">
        <w:t xml:space="preserve"> </w:t>
      </w:r>
      <w:r>
        <w:t>subject</w:t>
      </w:r>
      <w:r w:rsidR="00C64050">
        <w:t xml:space="preserve"> </w:t>
      </w:r>
      <w:r>
        <w:t>property</w:t>
      </w:r>
      <w:r w:rsidR="00C64050">
        <w:t xml:space="preserve"> </w:t>
      </w:r>
      <w:r>
        <w:t>analyzed</w:t>
      </w:r>
      <w:r w:rsidR="00C64050">
        <w:t xml:space="preserve"> </w:t>
      </w:r>
      <w:r>
        <w:t>is</w:t>
      </w:r>
      <w:r w:rsidR="00C64050">
        <w:t xml:space="preserve"> </w:t>
      </w:r>
      <w:r>
        <w:t>in</w:t>
      </w:r>
      <w:r w:rsidR="00C64050">
        <w:t xml:space="preserve"> </w:t>
      </w:r>
      <w:r>
        <w:t>new</w:t>
      </w:r>
      <w:r w:rsidR="00C64050">
        <w:t xml:space="preserve"> </w:t>
      </w:r>
      <w:r>
        <w:t>(unused)</w:t>
      </w:r>
      <w:r w:rsidR="00C64050">
        <w:t xml:space="preserve"> </w:t>
      </w:r>
      <w:r>
        <w:t>condition</w:t>
      </w:r>
      <w:r w:rsidR="00C64050">
        <w:t xml:space="preserve"> </w:t>
      </w:r>
      <w:r>
        <w:t>and</w:t>
      </w:r>
      <w:r w:rsidR="00C64050">
        <w:t xml:space="preserve"> </w:t>
      </w:r>
      <w:r>
        <w:t>that</w:t>
      </w:r>
      <w:r w:rsidR="00C64050">
        <w:t xml:space="preserve"> </w:t>
      </w:r>
      <w:r>
        <w:t>the</w:t>
      </w:r>
      <w:r w:rsidR="00C64050">
        <w:t xml:space="preserve"> </w:t>
      </w:r>
      <w:r>
        <w:t>amount</w:t>
      </w:r>
      <w:r w:rsidR="00C64050">
        <w:t xml:space="preserve"> </w:t>
      </w:r>
      <w:r>
        <w:t>of</w:t>
      </w:r>
      <w:r w:rsidR="00C64050">
        <w:t xml:space="preserve"> </w:t>
      </w:r>
      <w:r>
        <w:t>property</w:t>
      </w:r>
      <w:r w:rsidR="00C64050">
        <w:t xml:space="preserve"> </w:t>
      </w:r>
      <w:r>
        <w:t>or</w:t>
      </w:r>
      <w:r w:rsidR="00C64050">
        <w:t xml:space="preserve"> </w:t>
      </w:r>
      <w:r>
        <w:t>“count”</w:t>
      </w:r>
      <w:r w:rsidR="00C64050">
        <w:t xml:space="preserve"> </w:t>
      </w:r>
      <w:r>
        <w:t>is</w:t>
      </w:r>
      <w:r w:rsidR="00C64050">
        <w:t xml:space="preserve"> </w:t>
      </w:r>
      <w:r>
        <w:t>correct.</w:t>
      </w:r>
      <w:r w:rsidR="00C64050">
        <w:t xml:space="preserve"> </w:t>
      </w:r>
      <w:r>
        <w:t>The</w:t>
      </w:r>
      <w:r w:rsidR="00C64050">
        <w:t xml:space="preserve"> </w:t>
      </w:r>
      <w:r>
        <w:t>current</w:t>
      </w:r>
      <w:r w:rsidR="00C64050">
        <w:t xml:space="preserve"> </w:t>
      </w:r>
      <w:r>
        <w:t>location</w:t>
      </w:r>
      <w:r w:rsidR="00C64050">
        <w:t xml:space="preserve"> </w:t>
      </w:r>
      <w:r>
        <w:t>of</w:t>
      </w:r>
      <w:r w:rsidR="00C64050">
        <w:t xml:space="preserve"> </w:t>
      </w:r>
      <w:r>
        <w:t>the</w:t>
      </w:r>
      <w:r w:rsidR="00C64050">
        <w:t xml:space="preserve"> </w:t>
      </w:r>
      <w:r>
        <w:t>subject</w:t>
      </w:r>
      <w:r w:rsidR="00C64050">
        <w:t xml:space="preserve"> </w:t>
      </w:r>
      <w:r>
        <w:t>property</w:t>
      </w:r>
      <w:r w:rsidR="00C64050">
        <w:t xml:space="preserve"> </w:t>
      </w:r>
      <w:r>
        <w:t>is</w:t>
      </w:r>
      <w:r w:rsidR="00C64050">
        <w:t xml:space="preserve"> </w:t>
      </w:r>
      <w:r>
        <w:t>not</w:t>
      </w:r>
      <w:r w:rsidR="00C64050">
        <w:t xml:space="preserve"> </w:t>
      </w:r>
      <w:r>
        <w:t>known.</w:t>
      </w:r>
    </w:p>
    <w:p w:rsidR="00CD4A52" w:rsidRDefault="00CD4A52" w:rsidP="00CD4A52">
      <w:pPr>
        <w:pStyle w:val="QS10"/>
      </w:pPr>
      <w:r>
        <w:t>The</w:t>
      </w:r>
      <w:r w:rsidR="00C64050">
        <w:t xml:space="preserve"> </w:t>
      </w:r>
      <w:r>
        <w:t>referenced</w:t>
      </w:r>
      <w:r w:rsidR="00C64050">
        <w:t xml:space="preserve"> </w:t>
      </w:r>
      <w:r>
        <w:t>“subject</w:t>
      </w:r>
      <w:r w:rsidR="00C64050">
        <w:t xml:space="preserve"> </w:t>
      </w:r>
      <w:r>
        <w:t>property</w:t>
      </w:r>
      <w:r w:rsidR="00C64050">
        <w:t xml:space="preserve"> </w:t>
      </w:r>
      <w:r>
        <w:t>list”</w:t>
      </w:r>
      <w:r w:rsidR="00C64050">
        <w:t xml:space="preserve"> </w:t>
      </w:r>
      <w:r>
        <w:t>(which</w:t>
      </w:r>
      <w:r w:rsidR="00C64050">
        <w:t xml:space="preserve"> </w:t>
      </w:r>
      <w:r>
        <w:t>was</w:t>
      </w:r>
      <w:r w:rsidR="00C64050">
        <w:t xml:space="preserve"> </w:t>
      </w:r>
      <w:r>
        <w:t>attached</w:t>
      </w:r>
      <w:r w:rsidR="00C64050">
        <w:t xml:space="preserve"> </w:t>
      </w:r>
      <w:r>
        <w:t>to</w:t>
      </w:r>
      <w:r w:rsidR="00C64050">
        <w:t xml:space="preserve"> </w:t>
      </w:r>
      <w:r>
        <w:t>the</w:t>
      </w:r>
      <w:r w:rsidR="00C64050">
        <w:t xml:space="preserve"> </w:t>
      </w:r>
      <w:r>
        <w:t>2006</w:t>
      </w:r>
      <w:r w:rsidR="00C64050">
        <w:t xml:space="preserve"> </w:t>
      </w:r>
      <w:r>
        <w:t>Marshall</w:t>
      </w:r>
      <w:r w:rsidR="00C64050">
        <w:t xml:space="preserve"> </w:t>
      </w:r>
      <w:r>
        <w:t>&amp;</w:t>
      </w:r>
      <w:r w:rsidR="00C64050">
        <w:t xml:space="preserve"> </w:t>
      </w:r>
      <w:r>
        <w:t>Stevens</w:t>
      </w:r>
      <w:r w:rsidR="00C64050">
        <w:t xml:space="preserve"> </w:t>
      </w:r>
      <w:r>
        <w:t>appraisal)</w:t>
      </w:r>
      <w:r w:rsidR="00C64050">
        <w:t xml:space="preserve"> </w:t>
      </w:r>
      <w:r>
        <w:t>stated</w:t>
      </w:r>
      <w:r w:rsidR="00C64050">
        <w:t xml:space="preserve"> </w:t>
      </w:r>
      <w:r>
        <w:t>that</w:t>
      </w:r>
      <w:r w:rsidR="00C64050">
        <w:t xml:space="preserve"> </w:t>
      </w:r>
      <w:r>
        <w:t>the</w:t>
      </w:r>
      <w:r w:rsidR="00C64050">
        <w:t xml:space="preserve"> </w:t>
      </w:r>
      <w:r>
        <w:t>“donated</w:t>
      </w:r>
      <w:r w:rsidR="00C64050">
        <w:t xml:space="preserve"> </w:t>
      </w:r>
      <w:r>
        <w:t>property”</w:t>
      </w:r>
      <w:r w:rsidR="00C64050">
        <w:t xml:space="preserve"> </w:t>
      </w:r>
      <w:r>
        <w:t>consisted</w:t>
      </w:r>
      <w:r w:rsidR="00C64050">
        <w:t xml:space="preserve"> </w:t>
      </w:r>
      <w:r>
        <w:t>of</w:t>
      </w:r>
      <w:r w:rsidR="00C64050">
        <w:t xml:space="preserve"> </w:t>
      </w:r>
      <w:r>
        <w:t>31,950</w:t>
      </w:r>
      <w:r w:rsidR="00C64050">
        <w:t xml:space="preserve"> </w:t>
      </w:r>
      <w:r>
        <w:t>Bill</w:t>
      </w:r>
      <w:r w:rsidR="00C64050">
        <w:t xml:space="preserve"> </w:t>
      </w:r>
      <w:r>
        <w:t>Blass</w:t>
      </w:r>
      <w:r w:rsidR="00C64050">
        <w:t xml:space="preserve"> </w:t>
      </w:r>
      <w:r>
        <w:t>frames,</w:t>
      </w:r>
      <w:r w:rsidR="00C64050">
        <w:t xml:space="preserve"> </w:t>
      </w:r>
      <w:r>
        <w:t>23,150</w:t>
      </w:r>
      <w:r w:rsidR="00C64050">
        <w:t xml:space="preserve"> </w:t>
      </w:r>
      <w:r>
        <w:t>Elizabeth</w:t>
      </w:r>
      <w:r w:rsidR="00C64050">
        <w:t xml:space="preserve"> </w:t>
      </w:r>
      <w:r>
        <w:t>Arden</w:t>
      </w:r>
      <w:r w:rsidR="00C64050">
        <w:t xml:space="preserve"> </w:t>
      </w:r>
      <w:r>
        <w:t>frames,</w:t>
      </w:r>
      <w:r w:rsidR="00C64050">
        <w:t xml:space="preserve"> </w:t>
      </w:r>
      <w:r>
        <w:t>13,200</w:t>
      </w:r>
      <w:r w:rsidR="00C64050">
        <w:t xml:space="preserve"> </w:t>
      </w:r>
      <w:r>
        <w:t>Elizabeth</w:t>
      </w:r>
      <w:r w:rsidR="00C64050">
        <w:t xml:space="preserve"> </w:t>
      </w:r>
      <w:r>
        <w:t>Arden</w:t>
      </w:r>
      <w:r w:rsidR="00C64050">
        <w:t xml:space="preserve"> </w:t>
      </w:r>
      <w:r>
        <w:t>“Petites”</w:t>
      </w:r>
      <w:r w:rsidR="00C64050">
        <w:t xml:space="preserve"> </w:t>
      </w:r>
      <w:r>
        <w:t>frames,</w:t>
      </w:r>
      <w:r w:rsidR="00C64050">
        <w:t xml:space="preserve"> </w:t>
      </w:r>
      <w:r>
        <w:t>33,150</w:t>
      </w:r>
      <w:r w:rsidR="00C64050">
        <w:t xml:space="preserve"> </w:t>
      </w:r>
      <w:r>
        <w:t>Pierre</w:t>
      </w:r>
      <w:r w:rsidR="00C64050">
        <w:t xml:space="preserve"> </w:t>
      </w:r>
      <w:r>
        <w:t>Cardin</w:t>
      </w:r>
      <w:r w:rsidR="00C64050">
        <w:t xml:space="preserve"> </w:t>
      </w:r>
      <w:r>
        <w:t>frames,</w:t>
      </w:r>
      <w:r w:rsidR="00C64050">
        <w:t xml:space="preserve"> </w:t>
      </w:r>
      <w:r>
        <w:t>54,350</w:t>
      </w:r>
      <w:r w:rsidR="00C64050">
        <w:t xml:space="preserve"> </w:t>
      </w:r>
      <w:r>
        <w:t>Perry</w:t>
      </w:r>
      <w:r w:rsidR="00C64050">
        <w:t xml:space="preserve"> </w:t>
      </w:r>
      <w:r>
        <w:t>Ellis</w:t>
      </w:r>
      <w:r w:rsidR="00C64050">
        <w:t xml:space="preserve"> </w:t>
      </w:r>
      <w:r>
        <w:t>frames,</w:t>
      </w:r>
      <w:r w:rsidR="00C64050">
        <w:t xml:space="preserve"> </w:t>
      </w:r>
      <w:r>
        <w:t>and</w:t>
      </w:r>
      <w:r w:rsidR="00C64050">
        <w:t xml:space="preserve"> </w:t>
      </w:r>
      <w:r>
        <w:t>15,800</w:t>
      </w:r>
      <w:r w:rsidR="00C64050">
        <w:t xml:space="preserve"> </w:t>
      </w:r>
      <w:r>
        <w:t>Perry</w:t>
      </w:r>
      <w:r w:rsidR="00C64050">
        <w:t xml:space="preserve"> </w:t>
      </w:r>
      <w:r>
        <w:t>Ellis</w:t>
      </w:r>
      <w:r w:rsidR="00C64050">
        <w:t xml:space="preserve"> </w:t>
      </w:r>
      <w:r>
        <w:t>America</w:t>
      </w:r>
      <w:r w:rsidR="00C64050">
        <w:t xml:space="preserve"> </w:t>
      </w:r>
      <w:r>
        <w:t>frames.</w:t>
      </w:r>
      <w:r w:rsidR="00C64050">
        <w:t xml:space="preserve"> </w:t>
      </w:r>
      <w:r>
        <w:t>This</w:t>
      </w:r>
      <w:r w:rsidR="00C64050">
        <w:t xml:space="preserve"> </w:t>
      </w:r>
      <w:r>
        <w:t>list</w:t>
      </w:r>
      <w:r w:rsidR="00C64050">
        <w:t xml:space="preserve"> </w:t>
      </w:r>
      <w:r>
        <w:t>also</w:t>
      </w:r>
      <w:r w:rsidR="00C64050">
        <w:t xml:space="preserve"> </w:t>
      </w:r>
      <w:r>
        <w:t>showed</w:t>
      </w:r>
      <w:r w:rsidR="00C64050">
        <w:t xml:space="preserve"> </w:t>
      </w:r>
      <w:r>
        <w:t>various</w:t>
      </w:r>
      <w:r w:rsidR="00C64050">
        <w:t xml:space="preserve"> </w:t>
      </w:r>
      <w:r>
        <w:t>models</w:t>
      </w:r>
      <w:r w:rsidR="00C64050">
        <w:t xml:space="preserve"> </w:t>
      </w:r>
      <w:r>
        <w:t>within</w:t>
      </w:r>
      <w:r w:rsidR="00C64050">
        <w:t xml:space="preserve"> </w:t>
      </w:r>
      <w:r>
        <w:t>each</w:t>
      </w:r>
      <w:r w:rsidR="00C64050">
        <w:t xml:space="preserve"> </w:t>
      </w:r>
      <w:r>
        <w:t>eyewear</w:t>
      </w:r>
      <w:r w:rsidR="00C64050">
        <w:t xml:space="preserve"> </w:t>
      </w:r>
      <w:r>
        <w:t>brand</w:t>
      </w:r>
      <w:r w:rsidR="00C64050">
        <w:t xml:space="preserve"> </w:t>
      </w:r>
      <w:r>
        <w:t>of</w:t>
      </w:r>
      <w:r w:rsidR="00C64050">
        <w:t xml:space="preserve"> </w:t>
      </w:r>
      <w:r>
        <w:t>varying</w:t>
      </w:r>
      <w:r w:rsidR="00C64050">
        <w:t xml:space="preserve"> </w:t>
      </w:r>
      <w:r>
        <w:t>quantities</w:t>
      </w:r>
      <w:r w:rsidR="00C64050">
        <w:t xml:space="preserve"> </w:t>
      </w:r>
      <w:r>
        <w:t>and</w:t>
      </w:r>
      <w:r w:rsidR="00C64050">
        <w:t xml:space="preserve"> </w:t>
      </w:r>
      <w:r>
        <w:t>wholesale</w:t>
      </w:r>
      <w:r w:rsidR="00C64050">
        <w:t xml:space="preserve"> </w:t>
      </w:r>
      <w:r>
        <w:t>prices.</w:t>
      </w:r>
      <w:r w:rsidR="00C64050">
        <w:t xml:space="preserve"> </w:t>
      </w:r>
      <w:r>
        <w:t>The</w:t>
      </w:r>
      <w:r w:rsidR="00C64050">
        <w:t xml:space="preserve"> </w:t>
      </w:r>
      <w:r>
        <w:t>wholesale</w:t>
      </w:r>
      <w:r w:rsidR="00C64050">
        <w:t xml:space="preserve"> </w:t>
      </w:r>
      <w:r>
        <w:t>price</w:t>
      </w:r>
      <w:r w:rsidR="00C64050">
        <w:t xml:space="preserve"> </w:t>
      </w:r>
      <w:r>
        <w:t>per</w:t>
      </w:r>
      <w:r w:rsidR="00C64050">
        <w:t xml:space="preserve"> </w:t>
      </w:r>
      <w:r>
        <w:t>model</w:t>
      </w:r>
      <w:r w:rsidR="00C64050">
        <w:t xml:space="preserve"> </w:t>
      </w:r>
      <w:r>
        <w:rPr>
          <w:rStyle w:val="Strong"/>
          <w:rFonts w:ascii="Open Sans" w:hAnsi="Open Sans"/>
          <w:color w:val="222222"/>
        </w:rPr>
        <w:t>[*7]</w:t>
      </w:r>
      <w:r w:rsidR="00C64050">
        <w:t xml:space="preserve"> </w:t>
      </w:r>
      <w:r>
        <w:t>ranged</w:t>
      </w:r>
      <w:r w:rsidR="00C64050">
        <w:t xml:space="preserve"> </w:t>
      </w:r>
      <w:r>
        <w:t>from</w:t>
      </w:r>
      <w:r w:rsidR="00C64050">
        <w:t xml:space="preserve"> </w:t>
      </w:r>
      <w:r>
        <w:t>$37</w:t>
      </w:r>
      <w:r w:rsidR="00C64050">
        <w:t xml:space="preserve"> </w:t>
      </w:r>
      <w:r>
        <w:t>to</w:t>
      </w:r>
      <w:r w:rsidR="00C64050">
        <w:t xml:space="preserve"> </w:t>
      </w:r>
      <w:r>
        <w:t>$80.</w:t>
      </w:r>
      <w:r w:rsidR="00C64050">
        <w:t xml:space="preserve"> </w:t>
      </w:r>
      <w:r>
        <w:t>Using</w:t>
      </w:r>
      <w:r w:rsidR="00C64050">
        <w:t xml:space="preserve"> </w:t>
      </w:r>
      <w:r>
        <w:t>the</w:t>
      </w:r>
      <w:r w:rsidR="00C64050">
        <w:t xml:space="preserve"> </w:t>
      </w:r>
      <w:r>
        <w:t>market</w:t>
      </w:r>
      <w:r w:rsidR="00C64050">
        <w:t xml:space="preserve"> </w:t>
      </w:r>
      <w:r>
        <w:t>approach</w:t>
      </w:r>
      <w:hyperlink r:id="rId147" w:anchor="2cd3m-0000007" w:history="1">
        <w:r>
          <w:rPr>
            <w:rStyle w:val="Hyperlink"/>
            <w:rFonts w:ascii="Open Sans" w:hAnsi="Open Sans"/>
            <w:color w:val="D35C1D"/>
            <w:sz w:val="18"/>
            <w:szCs w:val="18"/>
            <w:vertAlign w:val="superscript"/>
          </w:rPr>
          <w:t>7</w:t>
        </w:r>
      </w:hyperlink>
      <w:r w:rsidR="00C64050">
        <w:t xml:space="preserve"> </w:t>
      </w:r>
      <w:r>
        <w:t>and</w:t>
      </w:r>
      <w:r w:rsidR="00C64050">
        <w:t xml:space="preserve"> </w:t>
      </w:r>
      <w:r>
        <w:t>on</w:t>
      </w:r>
      <w:r w:rsidR="00C64050">
        <w:t xml:space="preserve"> </w:t>
      </w:r>
      <w:r>
        <w:t>the</w:t>
      </w:r>
      <w:r w:rsidR="00C64050">
        <w:t xml:space="preserve"> </w:t>
      </w:r>
      <w:r>
        <w:t>basis</w:t>
      </w:r>
      <w:r w:rsidR="00C64050">
        <w:t xml:space="preserve"> </w:t>
      </w:r>
      <w:r>
        <w:t>of</w:t>
      </w:r>
      <w:r w:rsidR="00C64050">
        <w:t xml:space="preserve"> </w:t>
      </w:r>
      <w:r>
        <w:t>the</w:t>
      </w:r>
      <w:r w:rsidR="00C64050">
        <w:t xml:space="preserve"> </w:t>
      </w:r>
      <w:r>
        <w:t>wholesale</w:t>
      </w:r>
      <w:r w:rsidR="00C64050">
        <w:t xml:space="preserve"> </w:t>
      </w:r>
      <w:r>
        <w:t>prices</w:t>
      </w:r>
      <w:r w:rsidR="00C64050">
        <w:t xml:space="preserve"> </w:t>
      </w:r>
      <w:r>
        <w:t>with</w:t>
      </w:r>
      <w:r w:rsidR="00C64050">
        <w:t xml:space="preserve"> </w:t>
      </w:r>
      <w:r>
        <w:t>a</w:t>
      </w:r>
      <w:r w:rsidR="00C64050">
        <w:t xml:space="preserve"> </w:t>
      </w:r>
      <w:r>
        <w:t>markup</w:t>
      </w:r>
      <w:r w:rsidR="00C64050">
        <w:t xml:space="preserve"> </w:t>
      </w:r>
      <w:r>
        <w:t>of</w:t>
      </w:r>
      <w:r w:rsidR="00C64050">
        <w:t xml:space="preserve"> </w:t>
      </w:r>
      <w:r>
        <w:t>35%,</w:t>
      </w:r>
      <w:r w:rsidR="00C64050">
        <w:t xml:space="preserve"> </w:t>
      </w:r>
      <w:r>
        <w:t>Marshall</w:t>
      </w:r>
      <w:r w:rsidR="00C64050">
        <w:t xml:space="preserve"> </w:t>
      </w:r>
      <w:r>
        <w:t>&amp;</w:t>
      </w:r>
      <w:r w:rsidR="00C64050">
        <w:t xml:space="preserve"> </w:t>
      </w:r>
      <w:r>
        <w:t>Stevens</w:t>
      </w:r>
      <w:r w:rsidR="00C64050">
        <w:t xml:space="preserve"> </w:t>
      </w:r>
      <w:r>
        <w:t>opined</w:t>
      </w:r>
      <w:r w:rsidR="00C64050">
        <w:t xml:space="preserve"> </w:t>
      </w:r>
      <w:r>
        <w:t>that</w:t>
      </w:r>
      <w:r w:rsidR="00C64050">
        <w:t xml:space="preserve"> </w:t>
      </w:r>
      <w:r>
        <w:t>the</w:t>
      </w:r>
      <w:r w:rsidR="00C64050">
        <w:t xml:space="preserve"> </w:t>
      </w:r>
      <w:r>
        <w:t>fair</w:t>
      </w:r>
      <w:r w:rsidR="00C64050">
        <w:t xml:space="preserve"> </w:t>
      </w:r>
      <w:r>
        <w:t>market</w:t>
      </w:r>
      <w:r w:rsidR="00C64050">
        <w:t xml:space="preserve"> </w:t>
      </w:r>
      <w:r>
        <w:t>value</w:t>
      </w:r>
      <w:r w:rsidR="00C64050">
        <w:t xml:space="preserve"> </w:t>
      </w:r>
      <w:r>
        <w:t>of</w:t>
      </w:r>
      <w:r w:rsidR="00C64050">
        <w:t xml:space="preserve"> </w:t>
      </w:r>
      <w:r>
        <w:t>the</w:t>
      </w:r>
      <w:r w:rsidR="00C64050">
        <w:t xml:space="preserve"> </w:t>
      </w:r>
      <w:r>
        <w:t>“donated</w:t>
      </w:r>
      <w:r w:rsidR="00C64050">
        <w:t xml:space="preserve"> </w:t>
      </w:r>
      <w:r>
        <w:t>property”</w:t>
      </w:r>
      <w:r w:rsidR="00C64050">
        <w:t xml:space="preserve"> </w:t>
      </w:r>
      <w:r>
        <w:t>as</w:t>
      </w:r>
      <w:r w:rsidR="00C64050">
        <w:t xml:space="preserve"> </w:t>
      </w:r>
      <w:r>
        <w:t>of</w:t>
      </w:r>
      <w:r w:rsidR="00C64050">
        <w:t xml:space="preserve"> </w:t>
      </w:r>
      <w:r>
        <w:t>November</w:t>
      </w:r>
      <w:r w:rsidR="00C64050">
        <w:t xml:space="preserve"> </w:t>
      </w:r>
      <w:r>
        <w:t>27,</w:t>
      </w:r>
      <w:r w:rsidR="00C64050">
        <w:t xml:space="preserve"> </w:t>
      </w:r>
      <w:r>
        <w:t>2006,</w:t>
      </w:r>
      <w:r w:rsidR="00C64050">
        <w:t xml:space="preserve"> </w:t>
      </w:r>
      <w:r>
        <w:t>was</w:t>
      </w:r>
      <w:r w:rsidR="00C64050">
        <w:t xml:space="preserve"> </w:t>
      </w:r>
      <w:r>
        <w:t>$11,266,115.</w:t>
      </w:r>
    </w:p>
    <w:p w:rsidR="00514AB2" w:rsidRDefault="00514AB2" w:rsidP="00CD4A52">
      <w:pPr>
        <w:pStyle w:val="QS10"/>
        <w:jc w:val="center"/>
      </w:pPr>
      <w:r>
        <w:t>***</w:t>
      </w:r>
    </w:p>
    <w:p w:rsidR="00CD4A52" w:rsidRDefault="00CD4A52" w:rsidP="00CD4A52">
      <w:pPr>
        <w:pStyle w:val="QS10"/>
      </w:pPr>
      <w:r>
        <w:t>Pursuant</w:t>
      </w:r>
      <w:r w:rsidR="00C64050">
        <w:t xml:space="preserve"> </w:t>
      </w:r>
      <w:r>
        <w:t>to</w:t>
      </w:r>
      <w:r w:rsidR="00C64050">
        <w:t xml:space="preserve"> </w:t>
      </w:r>
      <w:r>
        <w:t>the</w:t>
      </w:r>
      <w:r w:rsidR="00C64050">
        <w:t xml:space="preserve"> </w:t>
      </w:r>
      <w:r>
        <w:t>offering</w:t>
      </w:r>
      <w:r w:rsidR="00C64050">
        <w:t xml:space="preserve"> </w:t>
      </w:r>
      <w:r>
        <w:t>memorandum</w:t>
      </w:r>
      <w:r w:rsidR="00C64050">
        <w:t xml:space="preserve"> </w:t>
      </w:r>
      <w:r>
        <w:t>Marshall</w:t>
      </w:r>
      <w:r w:rsidR="00C64050">
        <w:t xml:space="preserve"> </w:t>
      </w:r>
      <w:r>
        <w:t>&amp;</w:t>
      </w:r>
      <w:r w:rsidR="00C64050">
        <w:t xml:space="preserve"> </w:t>
      </w:r>
      <w:r>
        <w:t>Stevens</w:t>
      </w:r>
      <w:r w:rsidR="00C64050">
        <w:t xml:space="preserve"> </w:t>
      </w:r>
      <w:r>
        <w:t>prepared</w:t>
      </w:r>
      <w:r w:rsidR="00C64050">
        <w:t xml:space="preserve"> </w:t>
      </w:r>
      <w:r>
        <w:t>a</w:t>
      </w:r>
      <w:r w:rsidR="00C64050">
        <w:t xml:space="preserve"> </w:t>
      </w:r>
      <w:r>
        <w:t>followup</w:t>
      </w:r>
      <w:r w:rsidR="00C64050">
        <w:t xml:space="preserve"> </w:t>
      </w:r>
      <w:r>
        <w:t>written</w:t>
      </w:r>
      <w:r w:rsidR="00C64050">
        <w:t xml:space="preserve"> </w:t>
      </w:r>
      <w:r>
        <w:t>appraisal</w:t>
      </w:r>
      <w:r w:rsidR="00C64050">
        <w:t xml:space="preserve"> </w:t>
      </w:r>
      <w:r>
        <w:t>for</w:t>
      </w:r>
      <w:r w:rsidR="00C64050">
        <w:t xml:space="preserve"> </w:t>
      </w:r>
      <w:r>
        <w:t>ZD</w:t>
      </w:r>
      <w:r w:rsidR="00C64050">
        <w:t xml:space="preserve"> </w:t>
      </w:r>
      <w:r>
        <w:t>Products;</w:t>
      </w:r>
      <w:r w:rsidR="00C64050">
        <w:t xml:space="preserve"> </w:t>
      </w:r>
      <w:r>
        <w:t>this</w:t>
      </w:r>
      <w:r w:rsidR="00C64050">
        <w:t xml:space="preserve"> </w:t>
      </w:r>
      <w:r>
        <w:t>appraisal</w:t>
      </w:r>
      <w:r w:rsidR="00C64050">
        <w:t xml:space="preserve"> </w:t>
      </w:r>
      <w:r>
        <w:t>was</w:t>
      </w:r>
      <w:r w:rsidR="00C64050">
        <w:t xml:space="preserve"> </w:t>
      </w:r>
      <w:r>
        <w:t>dated</w:t>
      </w:r>
      <w:r w:rsidR="00C64050">
        <w:t xml:space="preserve"> </w:t>
      </w:r>
      <w:r>
        <w:t>December</w:t>
      </w:r>
      <w:r w:rsidR="00C64050">
        <w:t xml:space="preserve"> </w:t>
      </w:r>
      <w:r>
        <w:t>26,</w:t>
      </w:r>
      <w:r w:rsidR="00C64050">
        <w:t xml:space="preserve"> </w:t>
      </w:r>
      <w:r>
        <w:t>2007,</w:t>
      </w:r>
      <w:r w:rsidR="00C64050">
        <w:t xml:space="preserve"> </w:t>
      </w:r>
      <w:r>
        <w:t>and</w:t>
      </w:r>
      <w:r w:rsidR="00C64050">
        <w:t xml:space="preserve"> </w:t>
      </w:r>
      <w:r>
        <w:t>certified</w:t>
      </w:r>
      <w:r w:rsidR="00C64050">
        <w:t xml:space="preserve"> </w:t>
      </w:r>
      <w:r>
        <w:t>by</w:t>
      </w:r>
      <w:r w:rsidR="00C64050">
        <w:t xml:space="preserve"> </w:t>
      </w:r>
      <w:r>
        <w:t>Senior</w:t>
      </w:r>
      <w:r w:rsidR="00C64050">
        <w:t xml:space="preserve"> </w:t>
      </w:r>
      <w:r>
        <w:t>Manager</w:t>
      </w:r>
      <w:r w:rsidR="00C64050">
        <w:t xml:space="preserve"> </w:t>
      </w:r>
      <w:r>
        <w:t>Shane</w:t>
      </w:r>
      <w:r w:rsidR="00C64050">
        <w:t xml:space="preserve"> </w:t>
      </w:r>
      <w:r>
        <w:t>Park</w:t>
      </w:r>
      <w:r w:rsidR="00C64050">
        <w:t xml:space="preserve"> </w:t>
      </w:r>
      <w:r>
        <w:t>at</w:t>
      </w:r>
      <w:r w:rsidR="00C64050">
        <w:t xml:space="preserve"> </w:t>
      </w:r>
      <w:r>
        <w:t>Marshall</w:t>
      </w:r>
      <w:r w:rsidR="00C64050">
        <w:t xml:space="preserve"> </w:t>
      </w:r>
      <w:r>
        <w:t>&amp;</w:t>
      </w:r>
      <w:r w:rsidR="00C64050">
        <w:t xml:space="preserve"> </w:t>
      </w:r>
      <w:r>
        <w:t>Stevens</w:t>
      </w:r>
      <w:r w:rsidR="00C64050">
        <w:t xml:space="preserve"> </w:t>
      </w:r>
      <w:r>
        <w:t>(2007</w:t>
      </w:r>
      <w:r w:rsidR="00C64050">
        <w:t xml:space="preserve"> </w:t>
      </w:r>
      <w:r>
        <w:t>Marshall</w:t>
      </w:r>
      <w:r w:rsidR="00C64050">
        <w:t xml:space="preserve"> </w:t>
      </w:r>
      <w:r>
        <w:t>&amp;</w:t>
      </w:r>
      <w:r w:rsidR="00C64050">
        <w:t xml:space="preserve"> </w:t>
      </w:r>
      <w:r>
        <w:t>Stevens</w:t>
      </w:r>
      <w:r w:rsidR="00C64050">
        <w:t xml:space="preserve"> </w:t>
      </w:r>
      <w:r>
        <w:t>appraisal).</w:t>
      </w:r>
      <w:r w:rsidR="00C64050">
        <w:t xml:space="preserve"> </w:t>
      </w:r>
      <w:r>
        <w:t>The</w:t>
      </w:r>
      <w:r w:rsidR="00C64050">
        <w:t xml:space="preserve"> </w:t>
      </w:r>
      <w:r>
        <w:t>2007</w:t>
      </w:r>
      <w:r w:rsidR="00C64050">
        <w:t xml:space="preserve"> </w:t>
      </w:r>
      <w:r>
        <w:t>Marshall</w:t>
      </w:r>
      <w:r w:rsidR="00C64050">
        <w:t xml:space="preserve"> </w:t>
      </w:r>
      <w:r>
        <w:t>&amp;</w:t>
      </w:r>
      <w:r w:rsidR="00C64050">
        <w:t xml:space="preserve"> </w:t>
      </w:r>
      <w:r>
        <w:t>Stevens</w:t>
      </w:r>
      <w:r w:rsidR="00C64050">
        <w:t xml:space="preserve"> </w:t>
      </w:r>
      <w:r>
        <w:t>appraisal</w:t>
      </w:r>
      <w:r w:rsidR="00C64050">
        <w:t xml:space="preserve"> </w:t>
      </w:r>
      <w:r>
        <w:t>contained</w:t>
      </w:r>
      <w:r w:rsidR="00C64050">
        <w:t xml:space="preserve"> </w:t>
      </w:r>
      <w:r>
        <w:t>the</w:t>
      </w:r>
      <w:r w:rsidR="00C64050">
        <w:t xml:space="preserve"> </w:t>
      </w:r>
      <w:r>
        <w:t>same</w:t>
      </w:r>
      <w:r w:rsidR="00C64050">
        <w:t xml:space="preserve"> </w:t>
      </w:r>
      <w:r>
        <w:t>description</w:t>
      </w:r>
      <w:r w:rsidR="00C64050">
        <w:t xml:space="preserve"> </w:t>
      </w:r>
      <w:r>
        <w:t>and</w:t>
      </w:r>
      <w:r w:rsidR="00C64050">
        <w:t xml:space="preserve"> </w:t>
      </w:r>
      <w:r>
        <w:t>physical</w:t>
      </w:r>
      <w:r w:rsidR="00C64050">
        <w:t xml:space="preserve"> </w:t>
      </w:r>
      <w:r>
        <w:t>condition</w:t>
      </w:r>
      <w:r w:rsidR="00C64050">
        <w:t xml:space="preserve"> </w:t>
      </w:r>
      <w:r>
        <w:t>of</w:t>
      </w:r>
      <w:r w:rsidR="00C64050">
        <w:t xml:space="preserve"> </w:t>
      </w:r>
      <w:r>
        <w:t>the</w:t>
      </w:r>
      <w:r w:rsidR="00C64050">
        <w:t xml:space="preserve"> </w:t>
      </w:r>
      <w:r>
        <w:t>“donated</w:t>
      </w:r>
      <w:r w:rsidR="00C64050">
        <w:t xml:space="preserve"> </w:t>
      </w:r>
      <w:r>
        <w:t>property”</w:t>
      </w:r>
      <w:r w:rsidR="00C64050">
        <w:t xml:space="preserve"> </w:t>
      </w:r>
      <w:r>
        <w:t>as</w:t>
      </w:r>
      <w:r w:rsidR="00C64050">
        <w:t xml:space="preserve"> </w:t>
      </w:r>
      <w:r>
        <w:t>the</w:t>
      </w:r>
      <w:r w:rsidR="00C64050">
        <w:t xml:space="preserve"> </w:t>
      </w:r>
      <w:r>
        <w:t>2006</w:t>
      </w:r>
      <w:r w:rsidR="00C64050">
        <w:t xml:space="preserve"> </w:t>
      </w:r>
      <w:r>
        <w:t>Marshall</w:t>
      </w:r>
      <w:r w:rsidR="00C64050">
        <w:t xml:space="preserve"> </w:t>
      </w:r>
      <w:r>
        <w:t>&amp;</w:t>
      </w:r>
      <w:r w:rsidR="00C64050">
        <w:t xml:space="preserve"> </w:t>
      </w:r>
      <w:r>
        <w:t>Stevens</w:t>
      </w:r>
      <w:r w:rsidR="00C64050">
        <w:t xml:space="preserve"> </w:t>
      </w:r>
      <w:r>
        <w:t>appraisal</w:t>
      </w:r>
      <w:r w:rsidR="00C64050">
        <w:t xml:space="preserve"> </w:t>
      </w:r>
      <w:r>
        <w:t>except</w:t>
      </w:r>
      <w:r w:rsidR="00C64050">
        <w:t xml:space="preserve"> </w:t>
      </w:r>
      <w:r>
        <w:t>that</w:t>
      </w:r>
      <w:r w:rsidR="00C64050">
        <w:t xml:space="preserve"> </w:t>
      </w:r>
      <w:r>
        <w:t>the</w:t>
      </w:r>
      <w:r w:rsidR="00C64050">
        <w:t xml:space="preserve"> </w:t>
      </w:r>
      <w:r>
        <w:t>total</w:t>
      </w:r>
      <w:r w:rsidR="00C64050">
        <w:t xml:space="preserve"> </w:t>
      </w:r>
      <w:r>
        <w:t>quantity</w:t>
      </w:r>
      <w:r w:rsidR="00C64050">
        <w:t xml:space="preserve"> </w:t>
      </w:r>
      <w:r>
        <w:t>of</w:t>
      </w:r>
      <w:r w:rsidR="00C64050">
        <w:t xml:space="preserve"> </w:t>
      </w:r>
      <w:r>
        <w:t>eyeglass</w:t>
      </w:r>
      <w:r w:rsidR="00C64050">
        <w:t xml:space="preserve"> </w:t>
      </w:r>
      <w:r>
        <w:t>frames</w:t>
      </w:r>
      <w:r w:rsidR="00C64050">
        <w:t xml:space="preserve"> </w:t>
      </w:r>
      <w:r>
        <w:t>had</w:t>
      </w:r>
      <w:r w:rsidR="00C64050">
        <w:t xml:space="preserve"> </w:t>
      </w:r>
      <w:r>
        <w:t>increased</w:t>
      </w:r>
      <w:r w:rsidR="00C64050">
        <w:t xml:space="preserve"> </w:t>
      </w:r>
      <w:r>
        <w:t>to</w:t>
      </w:r>
      <w:r w:rsidR="00C64050">
        <w:t xml:space="preserve"> </w:t>
      </w:r>
      <w:r>
        <w:t>349,629</w:t>
      </w:r>
      <w:r w:rsidR="00C64050">
        <w:t xml:space="preserve"> </w:t>
      </w:r>
      <w:r>
        <w:t>(from</w:t>
      </w:r>
      <w:r w:rsidR="00C64050">
        <w:t xml:space="preserve"> </w:t>
      </w:r>
      <w:r>
        <w:t>171,600)</w:t>
      </w:r>
      <w:r w:rsidR="00C64050">
        <w:t xml:space="preserve"> </w:t>
      </w:r>
      <w:r>
        <w:t>and</w:t>
      </w:r>
      <w:r w:rsidR="00C64050">
        <w:t xml:space="preserve"> </w:t>
      </w:r>
      <w:r>
        <w:t>included</w:t>
      </w:r>
      <w:r w:rsidR="00C64050">
        <w:t xml:space="preserve"> </w:t>
      </w:r>
      <w:r>
        <w:t>the</w:t>
      </w:r>
      <w:r w:rsidR="00C64050">
        <w:t xml:space="preserve"> </w:t>
      </w:r>
      <w:r>
        <w:t>following</w:t>
      </w:r>
      <w:r w:rsidR="00C64050">
        <w:t xml:space="preserve"> </w:t>
      </w:r>
      <w:r>
        <w:t>additional</w:t>
      </w:r>
      <w:r w:rsidR="00C64050">
        <w:t xml:space="preserve"> </w:t>
      </w:r>
      <w:r>
        <w:t>brand</w:t>
      </w:r>
      <w:r w:rsidR="00C64050">
        <w:t xml:space="preserve"> </w:t>
      </w:r>
      <w:r>
        <w:t>names</w:t>
      </w:r>
      <w:r w:rsidR="00C64050">
        <w:t xml:space="preserve"> </w:t>
      </w:r>
      <w:r>
        <w:t>—</w:t>
      </w:r>
      <w:r w:rsidR="00C64050">
        <w:t xml:space="preserve"> </w:t>
      </w:r>
      <w:r>
        <w:t>Laura</w:t>
      </w:r>
      <w:r w:rsidR="00C64050">
        <w:t xml:space="preserve"> </w:t>
      </w:r>
      <w:r>
        <w:t>Ashley,</w:t>
      </w:r>
      <w:r w:rsidR="00C64050">
        <w:t xml:space="preserve"> </w:t>
      </w:r>
      <w:r>
        <w:t>Eddie</w:t>
      </w:r>
      <w:r w:rsidR="00C64050">
        <w:t xml:space="preserve"> </w:t>
      </w:r>
      <w:r>
        <w:t>Bauer,</w:t>
      </w:r>
      <w:r w:rsidR="00C64050">
        <w:t xml:space="preserve"> </w:t>
      </w:r>
      <w:r>
        <w:t>HSM,</w:t>
      </w:r>
      <w:r w:rsidR="00C64050">
        <w:t xml:space="preserve"> </w:t>
      </w:r>
      <w:r>
        <w:t>Nicole</w:t>
      </w:r>
      <w:r w:rsidR="00C64050">
        <w:t xml:space="preserve"> </w:t>
      </w:r>
      <w:r>
        <w:t>Miller,</w:t>
      </w:r>
      <w:r w:rsidR="00C64050">
        <w:t xml:space="preserve"> </w:t>
      </w:r>
      <w:r>
        <w:t>Dakota</w:t>
      </w:r>
      <w:r w:rsidR="00C64050">
        <w:t xml:space="preserve"> </w:t>
      </w:r>
      <w:r>
        <w:t>Smith,</w:t>
      </w:r>
      <w:r w:rsidR="00C64050">
        <w:t xml:space="preserve"> </w:t>
      </w:r>
      <w:r>
        <w:t>and</w:t>
      </w:r>
      <w:r w:rsidR="00C64050">
        <w:t xml:space="preserve"> </w:t>
      </w:r>
      <w:r>
        <w:t>Bebe.</w:t>
      </w:r>
    </w:p>
    <w:p w:rsidR="00CD4A52" w:rsidRDefault="00CD4A52" w:rsidP="00CD4A52">
      <w:pPr>
        <w:pStyle w:val="QS10"/>
      </w:pPr>
      <w:r>
        <w:t>The</w:t>
      </w:r>
      <w:r w:rsidR="00C64050">
        <w:t xml:space="preserve"> </w:t>
      </w:r>
      <w:r>
        <w:t>inventory</w:t>
      </w:r>
      <w:r w:rsidR="00C64050">
        <w:t xml:space="preserve"> </w:t>
      </w:r>
      <w:r>
        <w:t>list</w:t>
      </w:r>
      <w:r w:rsidR="00C64050">
        <w:t xml:space="preserve"> </w:t>
      </w:r>
      <w:r>
        <w:t>attached</w:t>
      </w:r>
      <w:r w:rsidR="00C64050">
        <w:t xml:space="preserve"> </w:t>
      </w:r>
      <w:r>
        <w:t>to</w:t>
      </w:r>
      <w:r w:rsidR="00C64050">
        <w:t xml:space="preserve"> </w:t>
      </w:r>
      <w:r>
        <w:t>the</w:t>
      </w:r>
      <w:r w:rsidR="00C64050">
        <w:t xml:space="preserve"> </w:t>
      </w:r>
      <w:r>
        <w:t>2007</w:t>
      </w:r>
      <w:r w:rsidR="00C64050">
        <w:t xml:space="preserve"> </w:t>
      </w:r>
      <w:r>
        <w:t>Marshall</w:t>
      </w:r>
      <w:r w:rsidR="00C64050">
        <w:t xml:space="preserve"> </w:t>
      </w:r>
      <w:r>
        <w:t>&amp;</w:t>
      </w:r>
      <w:r w:rsidR="00C64050">
        <w:t xml:space="preserve"> </w:t>
      </w:r>
      <w:r>
        <w:t>Stevens</w:t>
      </w:r>
      <w:r w:rsidR="00C64050">
        <w:t xml:space="preserve"> </w:t>
      </w:r>
      <w:r>
        <w:t>appraisal</w:t>
      </w:r>
      <w:r w:rsidR="00C64050">
        <w:t xml:space="preserve"> </w:t>
      </w:r>
      <w:r>
        <w:t>stated</w:t>
      </w:r>
      <w:r w:rsidR="00C64050">
        <w:t xml:space="preserve"> </w:t>
      </w:r>
      <w:r>
        <w:t>that</w:t>
      </w:r>
      <w:r w:rsidR="00C64050">
        <w:t xml:space="preserve"> </w:t>
      </w:r>
      <w:r>
        <w:t>the</w:t>
      </w:r>
      <w:r w:rsidR="00C64050">
        <w:t xml:space="preserve"> </w:t>
      </w:r>
      <w:r>
        <w:t>“donated</w:t>
      </w:r>
      <w:r w:rsidR="00C64050">
        <w:t xml:space="preserve"> </w:t>
      </w:r>
      <w:r>
        <w:t>property”</w:t>
      </w:r>
      <w:r w:rsidR="00C64050">
        <w:t xml:space="preserve"> </w:t>
      </w:r>
      <w:r>
        <w:t>consisted</w:t>
      </w:r>
      <w:r w:rsidR="00C64050">
        <w:t xml:space="preserve"> </w:t>
      </w:r>
      <w:r>
        <w:t>of</w:t>
      </w:r>
      <w:r w:rsidR="00C64050">
        <w:t xml:space="preserve"> </w:t>
      </w:r>
      <w:r>
        <w:t>the</w:t>
      </w:r>
      <w:r w:rsidR="00C64050">
        <w:t xml:space="preserve"> </w:t>
      </w:r>
      <w:r>
        <w:t>same</w:t>
      </w:r>
      <w:r w:rsidR="00C64050">
        <w:t xml:space="preserve"> </w:t>
      </w:r>
      <w:r>
        <w:t>quantity</w:t>
      </w:r>
      <w:r w:rsidR="00C64050">
        <w:t xml:space="preserve"> </w:t>
      </w:r>
      <w:r>
        <w:t>and</w:t>
      </w:r>
      <w:r w:rsidR="00C64050">
        <w:t xml:space="preserve"> </w:t>
      </w:r>
      <w:r>
        <w:t>frame</w:t>
      </w:r>
      <w:r w:rsidR="00C64050">
        <w:t xml:space="preserve"> </w:t>
      </w:r>
      <w:r>
        <w:t>models</w:t>
      </w:r>
      <w:r w:rsidR="00C64050">
        <w:t xml:space="preserve"> </w:t>
      </w:r>
      <w:r>
        <w:t>as</w:t>
      </w:r>
      <w:r w:rsidR="00C64050">
        <w:t xml:space="preserve"> </w:t>
      </w:r>
      <w:r>
        <w:t>the</w:t>
      </w:r>
      <w:r w:rsidR="00C64050">
        <w:t xml:space="preserve"> </w:t>
      </w:r>
      <w:r>
        <w:t>inventory</w:t>
      </w:r>
      <w:r w:rsidR="00C64050">
        <w:t xml:space="preserve"> </w:t>
      </w:r>
      <w:r>
        <w:t>list</w:t>
      </w:r>
      <w:r w:rsidR="00C64050">
        <w:t xml:space="preserve"> </w:t>
      </w:r>
      <w:r>
        <w:t>attached</w:t>
      </w:r>
      <w:r w:rsidR="00C64050">
        <w:t xml:space="preserve"> </w:t>
      </w:r>
      <w:r>
        <w:t>to</w:t>
      </w:r>
      <w:r w:rsidR="00C64050">
        <w:t xml:space="preserve"> </w:t>
      </w:r>
      <w:r>
        <w:t>the</w:t>
      </w:r>
      <w:r w:rsidR="00C64050">
        <w:t xml:space="preserve"> </w:t>
      </w:r>
      <w:r>
        <w:t>2006</w:t>
      </w:r>
      <w:r w:rsidR="00C64050">
        <w:t xml:space="preserve"> </w:t>
      </w:r>
      <w:r>
        <w:t>Marshall</w:t>
      </w:r>
      <w:r w:rsidR="00C64050">
        <w:t xml:space="preserve"> </w:t>
      </w:r>
      <w:r>
        <w:t>&amp;</w:t>
      </w:r>
      <w:r w:rsidR="00C64050">
        <w:t xml:space="preserve"> </w:t>
      </w:r>
      <w:r>
        <w:t>Stevens</w:t>
      </w:r>
      <w:r w:rsidR="00C64050">
        <w:t xml:space="preserve"> </w:t>
      </w:r>
      <w:r>
        <w:t>appraisal</w:t>
      </w:r>
      <w:r w:rsidR="00C64050">
        <w:t xml:space="preserve"> </w:t>
      </w:r>
      <w:r>
        <w:t>plus</w:t>
      </w:r>
      <w:r w:rsidR="00C64050">
        <w:t xml:space="preserve"> </w:t>
      </w:r>
      <w:r>
        <w:t>84,847</w:t>
      </w:r>
      <w:r w:rsidR="00C64050">
        <w:t xml:space="preserve"> </w:t>
      </w:r>
      <w:r>
        <w:t>Laura</w:t>
      </w:r>
      <w:r w:rsidR="00C64050">
        <w:t xml:space="preserve"> </w:t>
      </w:r>
      <w:r>
        <w:t>Ashley</w:t>
      </w:r>
      <w:r w:rsidR="00C64050">
        <w:t xml:space="preserve"> </w:t>
      </w:r>
      <w:r>
        <w:t>frames,</w:t>
      </w:r>
      <w:r w:rsidR="00C64050">
        <w:t xml:space="preserve"> </w:t>
      </w:r>
      <w:r>
        <w:t>38,923</w:t>
      </w:r>
      <w:r w:rsidR="00C64050">
        <w:t xml:space="preserve"> </w:t>
      </w:r>
      <w:r>
        <w:t>Eddie</w:t>
      </w:r>
      <w:r w:rsidR="00C64050">
        <w:t xml:space="preserve"> </w:t>
      </w:r>
      <w:r>
        <w:t>Bauer</w:t>
      </w:r>
      <w:r w:rsidR="00C64050">
        <w:t xml:space="preserve"> </w:t>
      </w:r>
      <w:r>
        <w:t>frames,</w:t>
      </w:r>
      <w:r w:rsidR="00C64050">
        <w:t xml:space="preserve"> </w:t>
      </w:r>
      <w:r>
        <w:t>583</w:t>
      </w:r>
      <w:r w:rsidR="00C64050">
        <w:t xml:space="preserve"> </w:t>
      </w:r>
      <w:r>
        <w:t>HSM</w:t>
      </w:r>
      <w:r w:rsidR="00C64050">
        <w:t xml:space="preserve"> </w:t>
      </w:r>
      <w:r>
        <w:t>frames,</w:t>
      </w:r>
      <w:r w:rsidR="00C64050">
        <w:t xml:space="preserve"> </w:t>
      </w:r>
      <w:r>
        <w:t>6,044</w:t>
      </w:r>
      <w:r w:rsidR="00C64050">
        <w:t xml:space="preserve"> </w:t>
      </w:r>
      <w:r>
        <w:t>Nicole</w:t>
      </w:r>
      <w:r w:rsidR="00C64050">
        <w:t xml:space="preserve"> </w:t>
      </w:r>
      <w:r>
        <w:t>Miller</w:t>
      </w:r>
      <w:r w:rsidR="00C64050">
        <w:t xml:space="preserve"> </w:t>
      </w:r>
      <w:r>
        <w:t>frames,</w:t>
      </w:r>
      <w:r w:rsidR="00C64050">
        <w:t xml:space="preserve"> </w:t>
      </w:r>
      <w:r>
        <w:t>1,047</w:t>
      </w:r>
      <w:r w:rsidR="00C64050">
        <w:t xml:space="preserve"> </w:t>
      </w:r>
      <w:r>
        <w:t>Signature</w:t>
      </w:r>
      <w:r w:rsidR="00C64050">
        <w:t xml:space="preserve"> </w:t>
      </w:r>
      <w:r>
        <w:t>Collection</w:t>
      </w:r>
      <w:r w:rsidR="00C64050">
        <w:t xml:space="preserve"> </w:t>
      </w:r>
      <w:r>
        <w:t>frames,</w:t>
      </w:r>
      <w:hyperlink r:id="rId148" w:anchor="2cd3m-0000008" w:history="1">
        <w:r>
          <w:rPr>
            <w:rStyle w:val="Hyperlink"/>
            <w:rFonts w:ascii="Open Sans" w:hAnsi="Open Sans"/>
            <w:color w:val="D35C1D"/>
            <w:sz w:val="18"/>
            <w:szCs w:val="18"/>
            <w:vertAlign w:val="superscript"/>
          </w:rPr>
          <w:t>8</w:t>
        </w:r>
      </w:hyperlink>
      <w:r w:rsidR="00C64050">
        <w:t xml:space="preserve"> </w:t>
      </w:r>
      <w:r>
        <w:t>43,411</w:t>
      </w:r>
      <w:r w:rsidR="00C64050">
        <w:t xml:space="preserve"> </w:t>
      </w:r>
      <w:r>
        <w:t>Dakota</w:t>
      </w:r>
      <w:r w:rsidR="00C64050">
        <w:t xml:space="preserve"> </w:t>
      </w:r>
      <w:r>
        <w:t>Smith</w:t>
      </w:r>
      <w:r w:rsidR="00C64050">
        <w:t xml:space="preserve"> </w:t>
      </w:r>
      <w:r>
        <w:t>frames,</w:t>
      </w:r>
      <w:r w:rsidR="00C64050">
        <w:t xml:space="preserve"> </w:t>
      </w:r>
      <w:r>
        <w:t>and</w:t>
      </w:r>
      <w:r w:rsidR="00C64050">
        <w:t xml:space="preserve"> </w:t>
      </w:r>
      <w:r>
        <w:t>3,174</w:t>
      </w:r>
      <w:r w:rsidR="00C64050">
        <w:t xml:space="preserve"> </w:t>
      </w:r>
      <w:r>
        <w:t>Bebe</w:t>
      </w:r>
      <w:r w:rsidR="00C64050">
        <w:t xml:space="preserve"> </w:t>
      </w:r>
      <w:r>
        <w:t>frames.</w:t>
      </w:r>
      <w:r w:rsidR="00C64050">
        <w:t xml:space="preserve"> </w:t>
      </w:r>
      <w:r>
        <w:t>This</w:t>
      </w:r>
      <w:r w:rsidR="00C64050">
        <w:t xml:space="preserve"> </w:t>
      </w:r>
      <w:r>
        <w:t>list</w:t>
      </w:r>
      <w:r w:rsidR="00C64050">
        <w:t xml:space="preserve"> </w:t>
      </w:r>
      <w:r>
        <w:t>also</w:t>
      </w:r>
      <w:r w:rsidR="00C64050">
        <w:t xml:space="preserve"> </w:t>
      </w:r>
      <w:r>
        <w:t>showed</w:t>
      </w:r>
      <w:r w:rsidR="00C64050">
        <w:t xml:space="preserve"> </w:t>
      </w:r>
      <w:r>
        <w:t>various</w:t>
      </w:r>
      <w:r w:rsidR="00C64050">
        <w:t xml:space="preserve"> </w:t>
      </w:r>
      <w:r>
        <w:t>models</w:t>
      </w:r>
      <w:r w:rsidR="00C64050">
        <w:t xml:space="preserve"> </w:t>
      </w:r>
      <w:r>
        <w:t>within</w:t>
      </w:r>
      <w:r w:rsidR="00C64050">
        <w:t xml:space="preserve"> </w:t>
      </w:r>
      <w:r>
        <w:t>each</w:t>
      </w:r>
      <w:r w:rsidR="00C64050">
        <w:t xml:space="preserve"> </w:t>
      </w:r>
      <w:r>
        <w:t>eyewear</w:t>
      </w:r>
      <w:r w:rsidR="00C64050">
        <w:t xml:space="preserve"> </w:t>
      </w:r>
      <w:r>
        <w:t>brand</w:t>
      </w:r>
      <w:r w:rsidR="00C64050">
        <w:t xml:space="preserve"> </w:t>
      </w:r>
      <w:r>
        <w:t>of</w:t>
      </w:r>
      <w:r w:rsidR="00C64050">
        <w:t xml:space="preserve"> </w:t>
      </w:r>
      <w:r>
        <w:t>varying</w:t>
      </w:r>
      <w:r w:rsidR="00C64050">
        <w:t xml:space="preserve"> </w:t>
      </w:r>
      <w:r>
        <w:t>quantities</w:t>
      </w:r>
      <w:r w:rsidR="00C64050">
        <w:t xml:space="preserve"> </w:t>
      </w:r>
      <w:r>
        <w:t>and</w:t>
      </w:r>
      <w:r w:rsidR="00C64050">
        <w:t xml:space="preserve"> </w:t>
      </w:r>
      <w:r>
        <w:t>wholesale</w:t>
      </w:r>
      <w:r w:rsidR="00C64050">
        <w:t xml:space="preserve"> </w:t>
      </w:r>
      <w:r>
        <w:t>prices.</w:t>
      </w:r>
      <w:r w:rsidR="00C64050">
        <w:t xml:space="preserve"> </w:t>
      </w:r>
      <w:r>
        <w:t>Like</w:t>
      </w:r>
      <w:r w:rsidR="00C64050">
        <w:t xml:space="preserve"> </w:t>
      </w:r>
      <w:r>
        <w:t>the</w:t>
      </w:r>
      <w:r w:rsidR="00C64050">
        <w:t xml:space="preserve"> </w:t>
      </w:r>
      <w:r>
        <w:t>inventory</w:t>
      </w:r>
      <w:r w:rsidR="00C64050">
        <w:t xml:space="preserve"> </w:t>
      </w:r>
      <w:r>
        <w:t>list</w:t>
      </w:r>
      <w:r w:rsidR="00C64050">
        <w:t xml:space="preserve"> </w:t>
      </w:r>
      <w:r>
        <w:t>attached</w:t>
      </w:r>
      <w:r w:rsidR="00C64050">
        <w:t xml:space="preserve"> </w:t>
      </w:r>
      <w:r>
        <w:t>to</w:t>
      </w:r>
      <w:r w:rsidR="00C64050">
        <w:t xml:space="preserve"> </w:t>
      </w:r>
      <w:r>
        <w:t>the</w:t>
      </w:r>
      <w:r w:rsidR="00C64050">
        <w:t xml:space="preserve"> </w:t>
      </w:r>
      <w:r>
        <w:t>2006</w:t>
      </w:r>
      <w:r w:rsidR="00C64050">
        <w:t xml:space="preserve"> </w:t>
      </w:r>
      <w:r>
        <w:t>Marshall</w:t>
      </w:r>
      <w:r w:rsidR="00C64050">
        <w:t xml:space="preserve"> </w:t>
      </w:r>
      <w:r>
        <w:t>&amp;</w:t>
      </w:r>
      <w:r w:rsidR="00C64050">
        <w:t xml:space="preserve"> </w:t>
      </w:r>
      <w:r>
        <w:t>Stevens</w:t>
      </w:r>
      <w:r w:rsidR="00C64050">
        <w:t xml:space="preserve"> </w:t>
      </w:r>
      <w:r>
        <w:t>appraisal,</w:t>
      </w:r>
      <w:r w:rsidR="00C64050">
        <w:t xml:space="preserve"> </w:t>
      </w:r>
      <w:r>
        <w:t>the</w:t>
      </w:r>
      <w:r w:rsidR="00C64050">
        <w:t xml:space="preserve"> </w:t>
      </w:r>
      <w:r>
        <w:t>wholesale</w:t>
      </w:r>
      <w:r w:rsidR="00C64050">
        <w:t xml:space="preserve"> </w:t>
      </w:r>
      <w:r>
        <w:t>price</w:t>
      </w:r>
      <w:r w:rsidR="00C64050">
        <w:t xml:space="preserve"> </w:t>
      </w:r>
      <w:r>
        <w:t>per</w:t>
      </w:r>
      <w:r w:rsidR="00C64050">
        <w:t xml:space="preserve"> </w:t>
      </w:r>
      <w:r>
        <w:t>model</w:t>
      </w:r>
      <w:r w:rsidR="00C64050">
        <w:t xml:space="preserve"> </w:t>
      </w:r>
      <w:r>
        <w:t>ranged</w:t>
      </w:r>
      <w:r w:rsidR="00C64050">
        <w:t xml:space="preserve"> </w:t>
      </w:r>
      <w:r>
        <w:t>from</w:t>
      </w:r>
      <w:r w:rsidR="00C64050">
        <w:t xml:space="preserve"> </w:t>
      </w:r>
      <w:r>
        <w:t>$37</w:t>
      </w:r>
      <w:r w:rsidR="00C64050">
        <w:t xml:space="preserve"> </w:t>
      </w:r>
      <w:r>
        <w:t>to</w:t>
      </w:r>
      <w:r w:rsidR="00C64050">
        <w:t xml:space="preserve"> </w:t>
      </w:r>
      <w:r>
        <w:t>$80.</w:t>
      </w:r>
      <w:r w:rsidR="00C64050">
        <w:t xml:space="preserve"> </w:t>
      </w:r>
      <w:r>
        <w:t>Using</w:t>
      </w:r>
      <w:r w:rsidR="00C64050">
        <w:t xml:space="preserve"> </w:t>
      </w:r>
      <w:r>
        <w:t>the</w:t>
      </w:r>
      <w:r w:rsidR="00C64050">
        <w:t xml:space="preserve"> </w:t>
      </w:r>
      <w:r>
        <w:t>market</w:t>
      </w:r>
      <w:r w:rsidR="00C64050">
        <w:t xml:space="preserve"> </w:t>
      </w:r>
      <w:r>
        <w:t>approach</w:t>
      </w:r>
      <w:r w:rsidR="00C64050">
        <w:t xml:space="preserve"> </w:t>
      </w:r>
      <w:r>
        <w:t>and</w:t>
      </w:r>
      <w:r w:rsidR="00C64050">
        <w:t xml:space="preserve"> </w:t>
      </w:r>
      <w:r>
        <w:t>on</w:t>
      </w:r>
      <w:r w:rsidR="00C64050">
        <w:t xml:space="preserve"> </w:t>
      </w:r>
      <w:r>
        <w:t>the</w:t>
      </w:r>
      <w:r w:rsidR="00C64050">
        <w:t xml:space="preserve"> </w:t>
      </w:r>
      <w:r>
        <w:t>basis</w:t>
      </w:r>
      <w:r w:rsidR="00C64050">
        <w:t xml:space="preserve"> </w:t>
      </w:r>
      <w:r>
        <w:t>of</w:t>
      </w:r>
      <w:r w:rsidR="00C64050">
        <w:t xml:space="preserve"> </w:t>
      </w:r>
      <w:r>
        <w:t>the</w:t>
      </w:r>
      <w:r w:rsidR="00C64050">
        <w:t xml:space="preserve"> </w:t>
      </w:r>
      <w:r>
        <w:t>wholesale</w:t>
      </w:r>
      <w:r w:rsidR="00C64050">
        <w:t xml:space="preserve"> </w:t>
      </w:r>
      <w:r>
        <w:t>prices</w:t>
      </w:r>
      <w:r w:rsidR="00C64050">
        <w:t xml:space="preserve"> </w:t>
      </w:r>
      <w:r>
        <w:t>with</w:t>
      </w:r>
      <w:r w:rsidR="00C64050">
        <w:t xml:space="preserve"> </w:t>
      </w:r>
      <w:r>
        <w:t>a</w:t>
      </w:r>
      <w:r w:rsidR="00C64050">
        <w:t xml:space="preserve"> </w:t>
      </w:r>
      <w:r>
        <w:t>markup</w:t>
      </w:r>
      <w:r w:rsidR="00C64050">
        <w:t xml:space="preserve"> </w:t>
      </w:r>
      <w:r>
        <w:t>of</w:t>
      </w:r>
      <w:r w:rsidR="00C64050">
        <w:t xml:space="preserve"> </w:t>
      </w:r>
      <w:r>
        <w:t>35%,</w:t>
      </w:r>
      <w:r w:rsidR="00C64050">
        <w:t xml:space="preserve"> </w:t>
      </w:r>
      <w:r>
        <w:t>Marshall</w:t>
      </w:r>
      <w:r w:rsidR="00C64050">
        <w:t xml:space="preserve"> </w:t>
      </w:r>
      <w:r>
        <w:t>&amp;</w:t>
      </w:r>
      <w:r w:rsidR="00C64050">
        <w:t xml:space="preserve"> </w:t>
      </w:r>
      <w:r>
        <w:t>Stevens</w:t>
      </w:r>
      <w:r w:rsidR="00C64050">
        <w:t xml:space="preserve"> </w:t>
      </w:r>
      <w:r>
        <w:t>opined</w:t>
      </w:r>
      <w:r w:rsidR="00C64050">
        <w:t xml:space="preserve"> </w:t>
      </w:r>
      <w:r>
        <w:t>that</w:t>
      </w:r>
      <w:r w:rsidR="00C64050">
        <w:t xml:space="preserve"> </w:t>
      </w:r>
      <w:r>
        <w:t>the</w:t>
      </w:r>
      <w:r w:rsidR="00C64050">
        <w:t xml:space="preserve"> </w:t>
      </w:r>
      <w:r>
        <w:t>fair</w:t>
      </w:r>
      <w:r w:rsidR="00C64050">
        <w:t xml:space="preserve"> </w:t>
      </w:r>
      <w:r>
        <w:t>market</w:t>
      </w:r>
      <w:r w:rsidR="00C64050">
        <w:t xml:space="preserve"> </w:t>
      </w:r>
      <w:r>
        <w:t>value</w:t>
      </w:r>
      <w:r w:rsidR="00C64050">
        <w:t xml:space="preserve"> </w:t>
      </w:r>
      <w:r>
        <w:t>of</w:t>
      </w:r>
      <w:r w:rsidR="00C64050">
        <w:t xml:space="preserve"> </w:t>
      </w:r>
      <w:r>
        <w:t>the</w:t>
      </w:r>
      <w:r w:rsidR="00C64050">
        <w:t xml:space="preserve"> </w:t>
      </w:r>
      <w:r>
        <w:t>“donated</w:t>
      </w:r>
      <w:r w:rsidR="00C64050">
        <w:t xml:space="preserve"> </w:t>
      </w:r>
      <w:r>
        <w:t>property”</w:t>
      </w:r>
      <w:r w:rsidR="00C64050">
        <w:t xml:space="preserve"> </w:t>
      </w:r>
      <w:r>
        <w:t>as</w:t>
      </w:r>
      <w:r w:rsidR="00C64050">
        <w:t xml:space="preserve"> </w:t>
      </w:r>
      <w:r>
        <w:t>of</w:t>
      </w:r>
      <w:r w:rsidR="00C64050">
        <w:t xml:space="preserve"> </w:t>
      </w:r>
      <w:r>
        <w:t>December</w:t>
      </w:r>
      <w:r w:rsidR="00C64050">
        <w:t xml:space="preserve"> </w:t>
      </w:r>
      <w:r>
        <w:t>26,</w:t>
      </w:r>
      <w:r w:rsidR="00C64050">
        <w:t xml:space="preserve"> </w:t>
      </w:r>
      <w:r>
        <w:t>2007,</w:t>
      </w:r>
      <w:r w:rsidR="00C64050">
        <w:t xml:space="preserve"> </w:t>
      </w:r>
      <w:r>
        <w:t>was</w:t>
      </w:r>
      <w:r w:rsidR="00C64050">
        <w:t xml:space="preserve"> </w:t>
      </w:r>
      <w:r>
        <w:t>$24,019,826.</w:t>
      </w:r>
    </w:p>
    <w:p w:rsidR="00CD4A52" w:rsidRDefault="00CD4A52" w:rsidP="00CD4A52">
      <w:pPr>
        <w:pStyle w:val="QS10"/>
      </w:pPr>
      <w:r>
        <w:t>On</w:t>
      </w:r>
      <w:r w:rsidR="00C64050">
        <w:t xml:space="preserve"> </w:t>
      </w:r>
      <w:r>
        <w:t>April</w:t>
      </w:r>
      <w:r w:rsidR="00C64050">
        <w:t xml:space="preserve"> </w:t>
      </w:r>
      <w:r>
        <w:t>9,</w:t>
      </w:r>
      <w:r w:rsidR="00C64050">
        <w:t xml:space="preserve"> </w:t>
      </w:r>
      <w:r>
        <w:t>2008,</w:t>
      </w:r>
      <w:r w:rsidR="00C64050">
        <w:t xml:space="preserve"> </w:t>
      </w:r>
      <w:r>
        <w:t>Marshall</w:t>
      </w:r>
      <w:r w:rsidR="00C64050">
        <w:t xml:space="preserve"> </w:t>
      </w:r>
      <w:r>
        <w:t>&amp;</w:t>
      </w:r>
      <w:r w:rsidR="00C64050">
        <w:t xml:space="preserve"> </w:t>
      </w:r>
      <w:r>
        <w:t>Stevens</w:t>
      </w:r>
      <w:r w:rsidR="00C64050">
        <w:t xml:space="preserve"> </w:t>
      </w:r>
      <w:r>
        <w:t>sent</w:t>
      </w:r>
      <w:r w:rsidR="00C64050">
        <w:t xml:space="preserve"> </w:t>
      </w:r>
      <w:r>
        <w:t>petitioners</w:t>
      </w:r>
      <w:r w:rsidR="00C64050">
        <w:t xml:space="preserve"> </w:t>
      </w:r>
      <w:r>
        <w:t>a</w:t>
      </w:r>
      <w:r w:rsidR="00C64050">
        <w:t xml:space="preserve"> </w:t>
      </w:r>
      <w:r>
        <w:t>letter</w:t>
      </w:r>
      <w:r w:rsidR="00C64050">
        <w:t xml:space="preserve"> </w:t>
      </w:r>
      <w:r>
        <w:t>stating</w:t>
      </w:r>
      <w:r w:rsidR="00C64050">
        <w:t xml:space="preserve"> </w:t>
      </w:r>
      <w:r>
        <w:t>that</w:t>
      </w:r>
      <w:r w:rsidR="00C64050">
        <w:t xml:space="preserve"> </w:t>
      </w:r>
      <w:r>
        <w:t>it</w:t>
      </w:r>
      <w:r w:rsidR="00C64050">
        <w:t xml:space="preserve"> </w:t>
      </w:r>
      <w:r>
        <w:t>had</w:t>
      </w:r>
      <w:r w:rsidR="00C64050">
        <w:t xml:space="preserve"> </w:t>
      </w:r>
      <w:r>
        <w:t>“made</w:t>
      </w:r>
      <w:r w:rsidR="00C64050">
        <w:t xml:space="preserve"> </w:t>
      </w:r>
      <w:r>
        <w:t>an</w:t>
      </w:r>
      <w:r w:rsidR="00C64050">
        <w:t xml:space="preserve"> </w:t>
      </w:r>
      <w:r>
        <w:t>analysis</w:t>
      </w:r>
      <w:r w:rsidR="00C64050">
        <w:t xml:space="preserve"> </w:t>
      </w:r>
      <w:r>
        <w:t>and</w:t>
      </w:r>
      <w:r w:rsidR="00C64050">
        <w:t xml:space="preserve"> </w:t>
      </w:r>
      <w:r>
        <w:t>valuation</w:t>
      </w:r>
      <w:r w:rsidR="00C64050">
        <w:t xml:space="preserve"> </w:t>
      </w:r>
      <w:r>
        <w:t>of</w:t>
      </w:r>
      <w:r w:rsidR="00C64050">
        <w:t xml:space="preserve"> </w:t>
      </w:r>
      <w:r>
        <w:t>the</w:t>
      </w:r>
      <w:r w:rsidR="00C64050">
        <w:t xml:space="preserve"> </w:t>
      </w:r>
      <w:r>
        <w:t>Fair</w:t>
      </w:r>
      <w:r w:rsidR="00C64050">
        <w:t xml:space="preserve"> </w:t>
      </w:r>
      <w:r>
        <w:t>Market</w:t>
      </w:r>
      <w:r w:rsidR="00C64050">
        <w:t xml:space="preserve"> </w:t>
      </w:r>
      <w:r>
        <w:t>Value</w:t>
      </w:r>
      <w:r w:rsidR="00C64050">
        <w:t xml:space="preserve"> </w:t>
      </w:r>
      <w:r>
        <w:t>of</w:t>
      </w:r>
      <w:r w:rsidR="00C64050">
        <w:t xml:space="preserve"> </w:t>
      </w:r>
      <w:r>
        <w:t>Designer</w:t>
      </w:r>
      <w:r w:rsidR="00C64050">
        <w:t xml:space="preserve"> </w:t>
      </w:r>
      <w:r>
        <w:t>Eyewear</w:t>
      </w:r>
      <w:r w:rsidR="00C64050">
        <w:t xml:space="preserve"> </w:t>
      </w:r>
      <w:r>
        <w:t>Products”</w:t>
      </w:r>
      <w:r w:rsidR="00C64050">
        <w:t xml:space="preserve"> </w:t>
      </w:r>
      <w:r>
        <w:t>and</w:t>
      </w:r>
      <w:r w:rsidR="00C64050">
        <w:t xml:space="preserve"> </w:t>
      </w:r>
      <w:r>
        <w:t>that</w:t>
      </w:r>
      <w:r w:rsidR="00C64050">
        <w:t xml:space="preserve"> </w:t>
      </w:r>
      <w:r>
        <w:t>“as</w:t>
      </w:r>
      <w:r w:rsidR="00C64050">
        <w:t xml:space="preserve"> </w:t>
      </w:r>
      <w:r>
        <w:t>a</w:t>
      </w:r>
      <w:r w:rsidR="00C64050">
        <w:t xml:space="preserve"> </w:t>
      </w:r>
      <w:r>
        <w:t>result</w:t>
      </w:r>
      <w:r w:rsidR="00C64050">
        <w:t xml:space="preserve"> </w:t>
      </w:r>
      <w:r>
        <w:t>of</w:t>
      </w:r>
      <w:r w:rsidR="00C64050">
        <w:t xml:space="preserve"> </w:t>
      </w:r>
      <w:r>
        <w:t>our</w:t>
      </w:r>
      <w:r w:rsidR="00C64050">
        <w:t xml:space="preserve"> </w:t>
      </w:r>
      <w:r>
        <w:t>analysis,</w:t>
      </w:r>
      <w:r w:rsidR="00C64050">
        <w:t xml:space="preserve"> </w:t>
      </w:r>
      <w:r>
        <w:t>we</w:t>
      </w:r>
      <w:r w:rsidR="00C64050">
        <w:t xml:space="preserve"> </w:t>
      </w:r>
      <w:r>
        <w:t>have</w:t>
      </w:r>
      <w:r w:rsidR="00C64050">
        <w:t xml:space="preserve"> </w:t>
      </w:r>
      <w:r>
        <w:t>determined</w:t>
      </w:r>
      <w:r w:rsidR="00C64050">
        <w:t xml:space="preserve"> </w:t>
      </w:r>
      <w:r>
        <w:t>that</w:t>
      </w:r>
      <w:r w:rsidR="00C64050">
        <w:t xml:space="preserve"> </w:t>
      </w:r>
      <w:r>
        <w:t>the</w:t>
      </w:r>
      <w:r w:rsidR="00C64050">
        <w:t xml:space="preserve"> </w:t>
      </w:r>
      <w:r>
        <w:t>Fair</w:t>
      </w:r>
      <w:r w:rsidR="00C64050">
        <w:t xml:space="preserve"> </w:t>
      </w:r>
      <w:r>
        <w:t>Market</w:t>
      </w:r>
      <w:r w:rsidR="00C64050">
        <w:t xml:space="preserve"> </w:t>
      </w:r>
      <w:r>
        <w:t>Value</w:t>
      </w:r>
      <w:r w:rsidR="00C64050">
        <w:t xml:space="preserve"> </w:t>
      </w:r>
      <w:r>
        <w:t>of</w:t>
      </w:r>
      <w:r w:rsidR="00C64050">
        <w:t xml:space="preserve"> </w:t>
      </w:r>
      <w:r>
        <w:t>the</w:t>
      </w:r>
      <w:r w:rsidR="00C64050">
        <w:t xml:space="preserve"> </w:t>
      </w:r>
      <w:r>
        <w:t>Designer</w:t>
      </w:r>
      <w:r w:rsidR="00C64050">
        <w:t xml:space="preserve"> </w:t>
      </w:r>
      <w:r>
        <w:t>Eyewear</w:t>
      </w:r>
      <w:r w:rsidR="00C64050">
        <w:t xml:space="preserve"> </w:t>
      </w:r>
      <w:r>
        <w:t>Products</w:t>
      </w:r>
      <w:r w:rsidR="00C64050">
        <w:t xml:space="preserve"> </w:t>
      </w:r>
      <w:r>
        <w:t>you</w:t>
      </w:r>
      <w:r w:rsidR="00C64050">
        <w:t xml:space="preserve"> </w:t>
      </w:r>
      <w:r>
        <w:t>hold</w:t>
      </w:r>
      <w:r w:rsidR="00C64050">
        <w:t xml:space="preserve"> </w:t>
      </w:r>
      <w:r>
        <w:t>is</w:t>
      </w:r>
      <w:r w:rsidR="00C64050">
        <w:t xml:space="preserve"> </w:t>
      </w:r>
      <w:r>
        <w:t>$225,596</w:t>
      </w:r>
      <w:r w:rsidR="00C64050">
        <w:t xml:space="preserve"> </w:t>
      </w:r>
      <w:r>
        <w:t>based</w:t>
      </w:r>
      <w:r w:rsidR="00C64050">
        <w:t xml:space="preserve"> </w:t>
      </w:r>
      <w:r>
        <w:t>on”</w:t>
      </w:r>
      <w:r w:rsidR="00C64050">
        <w:t xml:space="preserve"> </w:t>
      </w:r>
      <w:r>
        <w:t>the</w:t>
      </w:r>
      <w:r w:rsidR="00C64050">
        <w:t xml:space="preserve"> </w:t>
      </w:r>
      <w:r>
        <w:t>2007</w:t>
      </w:r>
      <w:r w:rsidR="00C64050">
        <w:t xml:space="preserve"> </w:t>
      </w:r>
      <w:r>
        <w:t>Marshall</w:t>
      </w:r>
      <w:r w:rsidR="00C64050">
        <w:t xml:space="preserve"> </w:t>
      </w:r>
      <w:r>
        <w:t>&amp;</w:t>
      </w:r>
      <w:r w:rsidR="00C64050">
        <w:t xml:space="preserve"> </w:t>
      </w:r>
      <w:r>
        <w:t>Stevens</w:t>
      </w:r>
      <w:r w:rsidR="00C64050">
        <w:t xml:space="preserve"> </w:t>
      </w:r>
      <w:r>
        <w:t>appraisal.</w:t>
      </w:r>
      <w:r w:rsidR="00C64050">
        <w:t xml:space="preserve"> </w:t>
      </w:r>
      <w:r>
        <w:t>The</w:t>
      </w:r>
      <w:r w:rsidR="00C64050">
        <w:t xml:space="preserve"> </w:t>
      </w:r>
      <w:r>
        <w:t>2007</w:t>
      </w:r>
      <w:r w:rsidR="00C64050">
        <w:t xml:space="preserve"> </w:t>
      </w:r>
      <w:r>
        <w:t>Marshall</w:t>
      </w:r>
      <w:r w:rsidR="00C64050">
        <w:t xml:space="preserve"> </w:t>
      </w:r>
      <w:r>
        <w:t>&amp;</w:t>
      </w:r>
      <w:r w:rsidR="00C64050">
        <w:t xml:space="preserve"> </w:t>
      </w:r>
      <w:r>
        <w:t>Stevens</w:t>
      </w:r>
      <w:r w:rsidR="00C64050">
        <w:t xml:space="preserve"> </w:t>
      </w:r>
      <w:r>
        <w:t>appraisal</w:t>
      </w:r>
      <w:r w:rsidR="00C64050">
        <w:t xml:space="preserve"> </w:t>
      </w:r>
      <w:r>
        <w:t>was</w:t>
      </w:r>
      <w:r w:rsidR="00C64050">
        <w:t xml:space="preserve"> </w:t>
      </w:r>
      <w:r>
        <w:t>attached</w:t>
      </w:r>
      <w:r w:rsidR="00C64050">
        <w:t xml:space="preserve"> </w:t>
      </w:r>
      <w:r>
        <w:t>to</w:t>
      </w:r>
      <w:r w:rsidR="00C64050">
        <w:t xml:space="preserve"> </w:t>
      </w:r>
      <w:r>
        <w:t>the</w:t>
      </w:r>
      <w:r w:rsidR="00C64050">
        <w:t xml:space="preserve"> </w:t>
      </w:r>
      <w:r>
        <w:t>letter.</w:t>
      </w:r>
    </w:p>
    <w:p w:rsidR="00514AB2" w:rsidRDefault="00514AB2" w:rsidP="007D3CA2">
      <w:pPr>
        <w:pStyle w:val="Body15"/>
        <w:spacing w:before="240"/>
        <w:rPr>
          <w:color w:val="000000" w:themeColor="text1"/>
        </w:rPr>
      </w:pPr>
      <w:r>
        <w:rPr>
          <w:color w:val="000000" w:themeColor="text1"/>
        </w:rPr>
        <w:t>The</w:t>
      </w:r>
      <w:r w:rsidR="00C64050">
        <w:rPr>
          <w:color w:val="000000" w:themeColor="text1"/>
        </w:rPr>
        <w:t xml:space="preserve"> </w:t>
      </w:r>
      <w:r>
        <w:rPr>
          <w:color w:val="000000" w:themeColor="text1"/>
        </w:rPr>
        <w:t>court</w:t>
      </w:r>
      <w:r w:rsidR="00C64050">
        <w:rPr>
          <w:color w:val="000000" w:themeColor="text1"/>
        </w:rPr>
        <w:t xml:space="preserve"> </w:t>
      </w:r>
      <w:r>
        <w:rPr>
          <w:color w:val="000000" w:themeColor="text1"/>
        </w:rPr>
        <w:t>agreed</w:t>
      </w:r>
      <w:r w:rsidR="00C64050">
        <w:rPr>
          <w:color w:val="000000" w:themeColor="text1"/>
        </w:rPr>
        <w:t xml:space="preserve"> </w:t>
      </w:r>
      <w:r>
        <w:rPr>
          <w:color w:val="000000" w:themeColor="text1"/>
        </w:rPr>
        <w:t>with</w:t>
      </w:r>
      <w:r w:rsidR="00C64050">
        <w:rPr>
          <w:color w:val="000000" w:themeColor="text1"/>
        </w:rPr>
        <w:t xml:space="preserve"> </w:t>
      </w:r>
      <w:r>
        <w:rPr>
          <w:color w:val="000000" w:themeColor="text1"/>
        </w:rPr>
        <w:t>the</w:t>
      </w:r>
      <w:r w:rsidR="00C64050">
        <w:rPr>
          <w:color w:val="000000" w:themeColor="text1"/>
        </w:rPr>
        <w:t xml:space="preserve"> </w:t>
      </w:r>
      <w:r>
        <w:rPr>
          <w:color w:val="000000" w:themeColor="text1"/>
        </w:rPr>
        <w:t>IRS</w:t>
      </w:r>
      <w:r w:rsidR="00C64050">
        <w:rPr>
          <w:color w:val="000000" w:themeColor="text1"/>
        </w:rPr>
        <w:t xml:space="preserve"> </w:t>
      </w:r>
      <w:r>
        <w:rPr>
          <w:color w:val="000000" w:themeColor="text1"/>
        </w:rPr>
        <w:t>that</w:t>
      </w:r>
      <w:r w:rsidR="00C64050">
        <w:rPr>
          <w:color w:val="000000" w:themeColor="text1"/>
        </w:rPr>
        <w:t xml:space="preserve"> </w:t>
      </w:r>
      <w:r>
        <w:rPr>
          <w:color w:val="000000" w:themeColor="text1"/>
        </w:rPr>
        <w:t>whatever</w:t>
      </w:r>
      <w:r w:rsidR="00C64050">
        <w:rPr>
          <w:color w:val="000000" w:themeColor="text1"/>
        </w:rPr>
        <w:t xml:space="preserve"> </w:t>
      </w:r>
      <w:r>
        <w:rPr>
          <w:color w:val="000000" w:themeColor="text1"/>
        </w:rPr>
        <w:t>the</w:t>
      </w:r>
      <w:r w:rsidR="00C64050">
        <w:rPr>
          <w:color w:val="000000" w:themeColor="text1"/>
        </w:rPr>
        <w:t xml:space="preserve"> </w:t>
      </w:r>
      <w:r>
        <w:rPr>
          <w:color w:val="000000" w:themeColor="text1"/>
        </w:rPr>
        <w:t>appraisal</w:t>
      </w:r>
      <w:r w:rsidR="00C64050">
        <w:rPr>
          <w:color w:val="000000" w:themeColor="text1"/>
        </w:rPr>
        <w:t xml:space="preserve"> </w:t>
      </w:r>
      <w:r>
        <w:rPr>
          <w:color w:val="000000" w:themeColor="text1"/>
        </w:rPr>
        <w:t>was</w:t>
      </w:r>
      <w:r w:rsidR="00C64050">
        <w:rPr>
          <w:color w:val="000000" w:themeColor="text1"/>
        </w:rPr>
        <w:t xml:space="preserve"> </w:t>
      </w:r>
      <w:r>
        <w:rPr>
          <w:color w:val="000000" w:themeColor="text1"/>
        </w:rPr>
        <w:t>of,</w:t>
      </w:r>
      <w:r w:rsidR="00C64050">
        <w:rPr>
          <w:color w:val="000000" w:themeColor="text1"/>
        </w:rPr>
        <w:t xml:space="preserve"> </w:t>
      </w:r>
      <w:r>
        <w:rPr>
          <w:color w:val="000000" w:themeColor="text1"/>
        </w:rPr>
        <w:t>it</w:t>
      </w:r>
      <w:r w:rsidR="00C64050">
        <w:rPr>
          <w:color w:val="000000" w:themeColor="text1"/>
        </w:rPr>
        <w:t xml:space="preserve"> </w:t>
      </w:r>
      <w:r>
        <w:rPr>
          <w:color w:val="000000" w:themeColor="text1"/>
        </w:rPr>
        <w:t>was</w:t>
      </w:r>
      <w:r w:rsidR="00C64050">
        <w:rPr>
          <w:color w:val="000000" w:themeColor="text1"/>
        </w:rPr>
        <w:t xml:space="preserve"> </w:t>
      </w:r>
      <w:r>
        <w:rPr>
          <w:color w:val="000000" w:themeColor="text1"/>
        </w:rPr>
        <w:t>not</w:t>
      </w:r>
      <w:r w:rsidR="00C64050">
        <w:rPr>
          <w:color w:val="000000" w:themeColor="text1"/>
        </w:rPr>
        <w:t xml:space="preserve"> </w:t>
      </w:r>
      <w:r>
        <w:rPr>
          <w:color w:val="000000" w:themeColor="text1"/>
        </w:rPr>
        <w:t>of</w:t>
      </w:r>
      <w:r w:rsidR="00C64050">
        <w:rPr>
          <w:color w:val="000000" w:themeColor="text1"/>
        </w:rPr>
        <w:t xml:space="preserve"> </w:t>
      </w:r>
      <w:r>
        <w:rPr>
          <w:color w:val="000000" w:themeColor="text1"/>
        </w:rPr>
        <w:t>what</w:t>
      </w:r>
      <w:r w:rsidR="00C64050">
        <w:rPr>
          <w:color w:val="000000" w:themeColor="text1"/>
        </w:rPr>
        <w:t xml:space="preserve"> </w:t>
      </w:r>
      <w:r>
        <w:rPr>
          <w:color w:val="000000" w:themeColor="text1"/>
        </w:rPr>
        <w:t>the</w:t>
      </w:r>
      <w:r w:rsidR="00C64050">
        <w:rPr>
          <w:color w:val="000000" w:themeColor="text1"/>
        </w:rPr>
        <w:t xml:space="preserve"> </w:t>
      </w:r>
      <w:r>
        <w:rPr>
          <w:color w:val="000000" w:themeColor="text1"/>
        </w:rPr>
        <w:t>taxpayer</w:t>
      </w:r>
      <w:r w:rsidR="00C64050">
        <w:rPr>
          <w:color w:val="000000" w:themeColor="text1"/>
        </w:rPr>
        <w:t xml:space="preserve"> </w:t>
      </w:r>
      <w:r>
        <w:rPr>
          <w:color w:val="000000" w:themeColor="text1"/>
        </w:rPr>
        <w:t>donated.</w:t>
      </w:r>
      <w:r w:rsidR="00C64050">
        <w:rPr>
          <w:color w:val="000000" w:themeColor="text1"/>
        </w:rPr>
        <w:t xml:space="preserve">  </w:t>
      </w:r>
      <w:r>
        <w:rPr>
          <w:color w:val="000000" w:themeColor="text1"/>
        </w:rPr>
        <w:t>Indeed,</w:t>
      </w:r>
      <w:r w:rsidR="00C64050">
        <w:rPr>
          <w:color w:val="000000" w:themeColor="text1"/>
        </w:rPr>
        <w:t xml:space="preserve"> </w:t>
      </w:r>
      <w:r>
        <w:rPr>
          <w:color w:val="000000" w:themeColor="text1"/>
        </w:rPr>
        <w:t>it</w:t>
      </w:r>
      <w:r w:rsidR="00C64050">
        <w:rPr>
          <w:color w:val="000000" w:themeColor="text1"/>
        </w:rPr>
        <w:t xml:space="preserve"> </w:t>
      </w:r>
      <w:r>
        <w:rPr>
          <w:color w:val="000000" w:themeColor="text1"/>
        </w:rPr>
        <w:t>was</w:t>
      </w:r>
      <w:r w:rsidR="00C64050">
        <w:rPr>
          <w:color w:val="000000" w:themeColor="text1"/>
        </w:rPr>
        <w:t xml:space="preserve"> </w:t>
      </w:r>
      <w:r>
        <w:rPr>
          <w:color w:val="000000" w:themeColor="text1"/>
        </w:rPr>
        <w:t>impossible</w:t>
      </w:r>
      <w:r w:rsidR="00C64050">
        <w:rPr>
          <w:color w:val="000000" w:themeColor="text1"/>
        </w:rPr>
        <w:t xml:space="preserve"> </w:t>
      </w:r>
      <w:r>
        <w:rPr>
          <w:color w:val="000000" w:themeColor="text1"/>
        </w:rPr>
        <w:t>to</w:t>
      </w:r>
      <w:r w:rsidR="00C64050">
        <w:rPr>
          <w:color w:val="000000" w:themeColor="text1"/>
        </w:rPr>
        <w:t xml:space="preserve"> </w:t>
      </w:r>
      <w:r>
        <w:rPr>
          <w:color w:val="000000" w:themeColor="text1"/>
        </w:rPr>
        <w:t>ascertain</w:t>
      </w:r>
      <w:r w:rsidR="00C64050">
        <w:rPr>
          <w:color w:val="000000" w:themeColor="text1"/>
        </w:rPr>
        <w:t xml:space="preserve"> </w:t>
      </w:r>
      <w:r>
        <w:rPr>
          <w:color w:val="000000" w:themeColor="text1"/>
        </w:rPr>
        <w:t>what</w:t>
      </w:r>
      <w:r w:rsidR="00C64050">
        <w:rPr>
          <w:color w:val="000000" w:themeColor="text1"/>
        </w:rPr>
        <w:t xml:space="preserve"> </w:t>
      </w:r>
      <w:r>
        <w:rPr>
          <w:color w:val="000000" w:themeColor="text1"/>
        </w:rPr>
        <w:t>the</w:t>
      </w:r>
      <w:r w:rsidR="00C64050">
        <w:rPr>
          <w:color w:val="000000" w:themeColor="text1"/>
        </w:rPr>
        <w:t xml:space="preserve"> </w:t>
      </w:r>
      <w:r>
        <w:rPr>
          <w:color w:val="000000" w:themeColor="text1"/>
        </w:rPr>
        <w:t>taxpayer</w:t>
      </w:r>
      <w:r w:rsidR="00C64050">
        <w:rPr>
          <w:color w:val="000000" w:themeColor="text1"/>
        </w:rPr>
        <w:t xml:space="preserve"> </w:t>
      </w:r>
      <w:r>
        <w:rPr>
          <w:color w:val="000000" w:themeColor="text1"/>
        </w:rPr>
        <w:t>donated:</w:t>
      </w:r>
    </w:p>
    <w:p w:rsidR="00CD4A52" w:rsidRDefault="00CD4A52" w:rsidP="00CD4A52">
      <w:pPr>
        <w:pStyle w:val="QS10"/>
      </w:pPr>
      <w:r>
        <w:t>Although</w:t>
      </w:r>
      <w:r w:rsidR="00C64050">
        <w:t xml:space="preserve"> </w:t>
      </w:r>
      <w:r>
        <w:t>the</w:t>
      </w:r>
      <w:r w:rsidR="00C64050">
        <w:t xml:space="preserve"> </w:t>
      </w:r>
      <w:r>
        <w:t>2007</w:t>
      </w:r>
      <w:r w:rsidR="00C64050">
        <w:t xml:space="preserve"> </w:t>
      </w:r>
      <w:r>
        <w:t>Marshall</w:t>
      </w:r>
      <w:r w:rsidR="00C64050">
        <w:t xml:space="preserve"> </w:t>
      </w:r>
      <w:r>
        <w:t>&amp;</w:t>
      </w:r>
      <w:r w:rsidR="00C64050">
        <w:t xml:space="preserve"> </w:t>
      </w:r>
      <w:r>
        <w:t>Stevens</w:t>
      </w:r>
      <w:r w:rsidR="00C64050">
        <w:t xml:space="preserve"> </w:t>
      </w:r>
      <w:r>
        <w:t>appraisal</w:t>
      </w:r>
      <w:r w:rsidR="00C64050">
        <w:t xml:space="preserve"> </w:t>
      </w:r>
      <w:r>
        <w:t>included</w:t>
      </w:r>
      <w:r w:rsidR="00C64050">
        <w:t xml:space="preserve"> </w:t>
      </w:r>
      <w:r>
        <w:t>Mr.</w:t>
      </w:r>
      <w:r w:rsidR="00C64050">
        <w:t xml:space="preserve"> </w:t>
      </w:r>
      <w:r>
        <w:t>Campbell's</w:t>
      </w:r>
      <w:r w:rsidR="00C64050">
        <w:t xml:space="preserve"> </w:t>
      </w:r>
      <w:r>
        <w:t>3,432</w:t>
      </w:r>
      <w:r w:rsidR="00C64050">
        <w:t xml:space="preserve"> </w:t>
      </w:r>
      <w:r>
        <w:t>eyeglass</w:t>
      </w:r>
      <w:r w:rsidR="00C64050">
        <w:t xml:space="preserve"> </w:t>
      </w:r>
      <w:r>
        <w:t>frames,</w:t>
      </w:r>
      <w:r w:rsidR="00C64050">
        <w:t xml:space="preserve"> </w:t>
      </w:r>
      <w:r>
        <w:t>we</w:t>
      </w:r>
      <w:r w:rsidR="00C64050">
        <w:t xml:space="preserve"> </w:t>
      </w:r>
      <w:r>
        <w:t>(and</w:t>
      </w:r>
      <w:r w:rsidR="00C64050">
        <w:t xml:space="preserve"> </w:t>
      </w:r>
      <w:r>
        <w:t>the</w:t>
      </w:r>
      <w:r w:rsidR="00C64050">
        <w:t xml:space="preserve"> </w:t>
      </w:r>
      <w:r>
        <w:t>IRS)</w:t>
      </w:r>
      <w:r w:rsidR="00C64050">
        <w:t xml:space="preserve"> </w:t>
      </w:r>
      <w:r>
        <w:t>have</w:t>
      </w:r>
      <w:r w:rsidR="00C64050">
        <w:t xml:space="preserve"> </w:t>
      </w:r>
      <w:r>
        <w:t>no</w:t>
      </w:r>
      <w:r w:rsidR="00C64050">
        <w:t xml:space="preserve"> </w:t>
      </w:r>
      <w:r>
        <w:t>way</w:t>
      </w:r>
      <w:r w:rsidR="00C64050">
        <w:t xml:space="preserve"> </w:t>
      </w:r>
      <w:r>
        <w:t>to</w:t>
      </w:r>
      <w:r w:rsidR="00C64050">
        <w:t xml:space="preserve"> </w:t>
      </w:r>
      <w:r>
        <w:t>determine</w:t>
      </w:r>
      <w:r w:rsidR="00C64050">
        <w:t xml:space="preserve"> </w:t>
      </w:r>
      <w:r>
        <w:t>whether</w:t>
      </w:r>
      <w:r w:rsidR="00C64050">
        <w:t xml:space="preserve"> </w:t>
      </w:r>
      <w:r>
        <w:t>what</w:t>
      </w:r>
      <w:r w:rsidR="00C64050">
        <w:t xml:space="preserve"> </w:t>
      </w:r>
      <w:r>
        <w:t>he</w:t>
      </w:r>
      <w:r w:rsidR="00C64050">
        <w:t xml:space="preserve"> </w:t>
      </w:r>
      <w:r>
        <w:t>alone</w:t>
      </w:r>
      <w:r w:rsidR="00C64050">
        <w:t xml:space="preserve"> </w:t>
      </w:r>
      <w:r>
        <w:t>contributed</w:t>
      </w:r>
      <w:r w:rsidR="00C64050">
        <w:t xml:space="preserve"> </w:t>
      </w:r>
      <w:r>
        <w:t>is</w:t>
      </w:r>
      <w:r w:rsidR="00C64050">
        <w:t xml:space="preserve"> </w:t>
      </w:r>
      <w:r>
        <w:t>overvalued.</w:t>
      </w:r>
      <w:r w:rsidR="00C64050">
        <w:t xml:space="preserve"> </w:t>
      </w:r>
      <w:r>
        <w:t>This</w:t>
      </w:r>
      <w:r w:rsidR="00C64050">
        <w:t xml:space="preserve"> </w:t>
      </w:r>
      <w:r>
        <w:t>is</w:t>
      </w:r>
      <w:r w:rsidR="00C64050">
        <w:t xml:space="preserve"> </w:t>
      </w:r>
      <w:r>
        <w:t>the</w:t>
      </w:r>
      <w:r w:rsidR="00C64050">
        <w:t xml:space="preserve"> </w:t>
      </w:r>
      <w:r>
        <w:t>type</w:t>
      </w:r>
      <w:r w:rsidR="00C64050">
        <w:t xml:space="preserve"> </w:t>
      </w:r>
      <w:r>
        <w:t>of</w:t>
      </w:r>
      <w:r w:rsidR="00C64050">
        <w:t xml:space="preserve"> </w:t>
      </w:r>
      <w:r>
        <w:t>situation</w:t>
      </w:r>
      <w:r w:rsidR="00C64050">
        <w:t xml:space="preserve"> </w:t>
      </w:r>
      <w:r>
        <w:t>that</w:t>
      </w:r>
      <w:r w:rsidR="00C64050">
        <w:t xml:space="preserve"> </w:t>
      </w:r>
      <w:r>
        <w:t>Congress</w:t>
      </w:r>
      <w:r w:rsidR="00C64050">
        <w:t xml:space="preserve"> </w:t>
      </w:r>
      <w:r>
        <w:t>intended</w:t>
      </w:r>
      <w:r w:rsidR="00C64050">
        <w:t xml:space="preserve"> </w:t>
      </w:r>
      <w:r>
        <w:t>to</w:t>
      </w:r>
      <w:r w:rsidR="00C64050">
        <w:t xml:space="preserve"> </w:t>
      </w:r>
      <w:r>
        <w:t>prevent</w:t>
      </w:r>
      <w:r w:rsidR="00C64050">
        <w:t xml:space="preserve"> </w:t>
      </w:r>
      <w:r>
        <w:t>when</w:t>
      </w:r>
      <w:r w:rsidR="00C64050">
        <w:t xml:space="preserve"> </w:t>
      </w:r>
      <w:r>
        <w:t>it</w:t>
      </w:r>
      <w:r w:rsidR="00C64050">
        <w:t xml:space="preserve"> </w:t>
      </w:r>
      <w:r>
        <w:t>codified</w:t>
      </w:r>
      <w:r w:rsidR="00C64050">
        <w:t xml:space="preserve"> </w:t>
      </w:r>
      <w:r>
        <w:t>more</w:t>
      </w:r>
      <w:r w:rsidR="00C64050">
        <w:t xml:space="preserve"> </w:t>
      </w:r>
      <w:r>
        <w:t>than</w:t>
      </w:r>
      <w:r w:rsidR="00C64050">
        <w:t xml:space="preserve"> </w:t>
      </w:r>
      <w:r>
        <w:t>15</w:t>
      </w:r>
      <w:r w:rsidR="00C64050">
        <w:t xml:space="preserve"> </w:t>
      </w:r>
      <w:r>
        <w:t>years</w:t>
      </w:r>
      <w:r w:rsidR="00C64050">
        <w:t xml:space="preserve"> </w:t>
      </w:r>
      <w:r>
        <w:t>ago</w:t>
      </w:r>
      <w:r w:rsidR="00C64050">
        <w:t xml:space="preserve"> </w:t>
      </w:r>
      <w:r>
        <w:t>the</w:t>
      </w:r>
      <w:r w:rsidR="00C64050">
        <w:t xml:space="preserve"> </w:t>
      </w:r>
      <w:r>
        <w:t>requirement</w:t>
      </w:r>
      <w:r w:rsidR="00C64050">
        <w:t xml:space="preserve"> </w:t>
      </w:r>
      <w:r>
        <w:t>that</w:t>
      </w:r>
      <w:r w:rsidR="00C64050">
        <w:t xml:space="preserve"> </w:t>
      </w:r>
      <w:r>
        <w:t>a</w:t>
      </w:r>
      <w:r w:rsidR="00C64050">
        <w:t xml:space="preserve"> </w:t>
      </w:r>
      <w:r>
        <w:t>taxpayer</w:t>
      </w:r>
      <w:r w:rsidR="00C64050">
        <w:t xml:space="preserve"> </w:t>
      </w:r>
      <w:r>
        <w:t>claiming</w:t>
      </w:r>
      <w:r w:rsidR="00C64050">
        <w:t xml:space="preserve"> </w:t>
      </w:r>
      <w:r>
        <w:t>a</w:t>
      </w:r>
      <w:r w:rsidR="00C64050">
        <w:t xml:space="preserve"> </w:t>
      </w:r>
      <w:r>
        <w:t>charitable</w:t>
      </w:r>
      <w:r w:rsidR="00C64050">
        <w:t xml:space="preserve"> </w:t>
      </w:r>
      <w:r>
        <w:t>contribution</w:t>
      </w:r>
      <w:r w:rsidR="00C64050">
        <w:t xml:space="preserve"> </w:t>
      </w:r>
      <w:r>
        <w:t>deduction</w:t>
      </w:r>
      <w:r w:rsidR="00C64050">
        <w:t xml:space="preserve"> </w:t>
      </w:r>
      <w:r>
        <w:t>for</w:t>
      </w:r>
      <w:r w:rsidR="00C64050">
        <w:t xml:space="preserve"> </w:t>
      </w:r>
      <w:r>
        <w:t>the</w:t>
      </w:r>
      <w:r w:rsidR="00C64050">
        <w:t xml:space="preserve"> </w:t>
      </w:r>
      <w:r>
        <w:t>donation</w:t>
      </w:r>
      <w:r w:rsidR="00C64050">
        <w:t xml:space="preserve"> </w:t>
      </w:r>
      <w:r>
        <w:t>of</w:t>
      </w:r>
      <w:r w:rsidR="00C64050">
        <w:t xml:space="preserve"> </w:t>
      </w:r>
      <w:r>
        <w:t>property</w:t>
      </w:r>
      <w:r w:rsidR="00C64050">
        <w:t xml:space="preserve"> </w:t>
      </w:r>
      <w:r>
        <w:t>worth</w:t>
      </w:r>
      <w:r w:rsidR="00C64050">
        <w:t xml:space="preserve"> </w:t>
      </w:r>
      <w:r>
        <w:t>more</w:t>
      </w:r>
      <w:r w:rsidR="00C64050">
        <w:t xml:space="preserve"> </w:t>
      </w:r>
      <w:r>
        <w:t>than</w:t>
      </w:r>
      <w:r w:rsidR="00C64050">
        <w:t xml:space="preserve"> </w:t>
      </w:r>
      <w:r>
        <w:t>$5,000</w:t>
      </w:r>
      <w:r w:rsidR="00C64050">
        <w:t xml:space="preserve"> </w:t>
      </w:r>
      <w:r>
        <w:t>obtain</w:t>
      </w:r>
      <w:r w:rsidR="00C64050">
        <w:t xml:space="preserve"> </w:t>
      </w:r>
      <w:r>
        <w:t>a</w:t>
      </w:r>
      <w:r w:rsidR="00C64050">
        <w:t xml:space="preserve"> </w:t>
      </w:r>
      <w:r>
        <w:t>qualified</w:t>
      </w:r>
      <w:r w:rsidR="00C64050">
        <w:t xml:space="preserve"> </w:t>
      </w:r>
      <w:r>
        <w:t>appraisal</w:t>
      </w:r>
      <w:r w:rsidR="00C64050">
        <w:t xml:space="preserve"> </w:t>
      </w:r>
      <w:r>
        <w:t>for</w:t>
      </w:r>
      <w:r w:rsidR="00C64050">
        <w:t xml:space="preserve"> </w:t>
      </w:r>
      <w:r>
        <w:t>the</w:t>
      </w:r>
      <w:r w:rsidR="00C64050">
        <w:t xml:space="preserve"> </w:t>
      </w:r>
      <w:r>
        <w:t>property</w:t>
      </w:r>
      <w:r w:rsidR="00C64050">
        <w:t xml:space="preserve"> </w:t>
      </w:r>
      <w:r>
        <w:t>contributed.</w:t>
      </w:r>
      <w:r w:rsidR="00C64050">
        <w:t xml:space="preserve"> </w:t>
      </w:r>
      <w:r w:rsidRPr="00CD4A52">
        <w:t>Sec.</w:t>
      </w:r>
      <w:r w:rsidR="00C64050">
        <w:t xml:space="preserve"> </w:t>
      </w:r>
      <w:r w:rsidRPr="00CD4A52">
        <w:t>170(f)(11)(C)</w:t>
      </w:r>
      <w:r w:rsidR="00C64050">
        <w:t xml:space="preserve"> </w:t>
      </w:r>
      <w:r>
        <w:t>(as</w:t>
      </w:r>
      <w:r w:rsidR="00C64050">
        <w:t xml:space="preserve"> </w:t>
      </w:r>
      <w:r>
        <w:t>amended</w:t>
      </w:r>
      <w:r w:rsidR="00C64050">
        <w:t xml:space="preserve"> </w:t>
      </w:r>
      <w:r>
        <w:t>by</w:t>
      </w:r>
      <w:r w:rsidR="00C64050">
        <w:t xml:space="preserve"> </w:t>
      </w:r>
      <w:r>
        <w:t>the</w:t>
      </w:r>
      <w:r w:rsidR="00C64050">
        <w:t xml:space="preserve"> </w:t>
      </w:r>
      <w:r>
        <w:t>American</w:t>
      </w:r>
      <w:r w:rsidR="00C64050">
        <w:t xml:space="preserve"> </w:t>
      </w:r>
      <w:r>
        <w:t>Jobs</w:t>
      </w:r>
      <w:r w:rsidR="00C64050">
        <w:t xml:space="preserve"> </w:t>
      </w:r>
      <w:r>
        <w:t>Creation</w:t>
      </w:r>
      <w:r w:rsidR="00C64050">
        <w:t xml:space="preserve"> </w:t>
      </w:r>
      <w:r>
        <w:t>Act</w:t>
      </w:r>
      <w:r w:rsidR="00C64050">
        <w:t xml:space="preserve"> </w:t>
      </w:r>
      <w:r>
        <w:t>of</w:t>
      </w:r>
      <w:r w:rsidR="00C64050">
        <w:t xml:space="preserve"> </w:t>
      </w:r>
      <w:r>
        <w:t>2004,</w:t>
      </w:r>
      <w:r w:rsidR="00C64050">
        <w:t xml:space="preserve"> </w:t>
      </w:r>
      <w:r>
        <w:t>Pub.</w:t>
      </w:r>
      <w:r w:rsidR="00C64050">
        <w:t xml:space="preserve"> </w:t>
      </w:r>
      <w:r>
        <w:t>L.</w:t>
      </w:r>
      <w:r w:rsidR="00C64050">
        <w:t xml:space="preserve"> </w:t>
      </w:r>
      <w:r>
        <w:t>No.</w:t>
      </w:r>
      <w:r w:rsidR="00C64050">
        <w:t xml:space="preserve"> </w:t>
      </w:r>
      <w:r>
        <w:t>108-357,</w:t>
      </w:r>
      <w:r w:rsidR="00C64050">
        <w:t xml:space="preserve"> </w:t>
      </w:r>
      <w:r w:rsidRPr="00CD4A52">
        <w:t>sec.</w:t>
      </w:r>
      <w:r w:rsidR="00C64050">
        <w:t xml:space="preserve"> </w:t>
      </w:r>
      <w:r w:rsidRPr="00CD4A52">
        <w:t>883(a)</w:t>
      </w:r>
      <w:r>
        <w:t>,</w:t>
      </w:r>
      <w:r w:rsidR="00C64050">
        <w:t xml:space="preserve"> </w:t>
      </w:r>
      <w:r>
        <w:t>118</w:t>
      </w:r>
      <w:r w:rsidR="00C64050">
        <w:t xml:space="preserve"> </w:t>
      </w:r>
      <w:r>
        <w:t>Stat.</w:t>
      </w:r>
      <w:r w:rsidR="00C64050">
        <w:t xml:space="preserve"> </w:t>
      </w:r>
      <w:r>
        <w:t>at</w:t>
      </w:r>
      <w:r w:rsidR="00C64050">
        <w:t xml:space="preserve"> </w:t>
      </w:r>
      <w:r>
        <w:t>1631).</w:t>
      </w:r>
    </w:p>
    <w:p w:rsidR="00CD4A52" w:rsidRDefault="00CD4A52" w:rsidP="00CD4A52">
      <w:pPr>
        <w:pStyle w:val="QS10"/>
      </w:pPr>
      <w:r>
        <w:t>Tellingly,</w:t>
      </w:r>
      <w:r w:rsidR="00C64050">
        <w:t xml:space="preserve"> </w:t>
      </w:r>
      <w:r>
        <w:t>the</w:t>
      </w:r>
      <w:r w:rsidR="00C64050">
        <w:t xml:space="preserve"> </w:t>
      </w:r>
      <w:r>
        <w:t>349,629</w:t>
      </w:r>
      <w:r w:rsidR="00C64050">
        <w:t xml:space="preserve"> </w:t>
      </w:r>
      <w:r>
        <w:t>eyeglass</w:t>
      </w:r>
      <w:r w:rsidR="00C64050">
        <w:t xml:space="preserve"> </w:t>
      </w:r>
      <w:r>
        <w:t>frames</w:t>
      </w:r>
      <w:r w:rsidR="00C64050">
        <w:t xml:space="preserve"> </w:t>
      </w:r>
      <w:r>
        <w:t>that</w:t>
      </w:r>
      <w:r w:rsidR="00C64050">
        <w:t xml:space="preserve"> </w:t>
      </w:r>
      <w:r>
        <w:t>Marshall</w:t>
      </w:r>
      <w:r w:rsidR="00C64050">
        <w:t xml:space="preserve"> </w:t>
      </w:r>
      <w:r>
        <w:t>&amp;</w:t>
      </w:r>
      <w:r w:rsidR="00C64050">
        <w:t xml:space="preserve"> </w:t>
      </w:r>
      <w:r>
        <w:t>Stevens</w:t>
      </w:r>
      <w:r w:rsidR="00C64050">
        <w:t xml:space="preserve"> </w:t>
      </w:r>
      <w:r>
        <w:t>valued</w:t>
      </w:r>
      <w:r w:rsidR="00C64050">
        <w:t xml:space="preserve"> </w:t>
      </w:r>
      <w:r>
        <w:t>varied</w:t>
      </w:r>
      <w:r w:rsidR="00C64050">
        <w:t xml:space="preserve"> </w:t>
      </w:r>
      <w:r>
        <w:t>in</w:t>
      </w:r>
      <w:r w:rsidR="00C64050">
        <w:t xml:space="preserve"> </w:t>
      </w:r>
      <w:r>
        <w:t>price</w:t>
      </w:r>
      <w:r w:rsidR="00C64050">
        <w:t xml:space="preserve"> </w:t>
      </w:r>
      <w:r>
        <w:t>between</w:t>
      </w:r>
      <w:r w:rsidR="00C64050">
        <w:t xml:space="preserve"> </w:t>
      </w:r>
      <w:r>
        <w:t>$37</w:t>
      </w:r>
      <w:r w:rsidR="00C64050">
        <w:t xml:space="preserve"> </w:t>
      </w:r>
      <w:r>
        <w:t>and</w:t>
      </w:r>
      <w:r w:rsidR="00C64050">
        <w:t xml:space="preserve"> </w:t>
      </w:r>
      <w:r>
        <w:t>$80,</w:t>
      </w:r>
      <w:r w:rsidR="00C64050">
        <w:t xml:space="preserve"> </w:t>
      </w:r>
      <w:r>
        <w:t>yet</w:t>
      </w:r>
      <w:r w:rsidR="00C64050">
        <w:t xml:space="preserve"> </w:t>
      </w:r>
      <w:r>
        <w:t>petitioners</w:t>
      </w:r>
      <w:r w:rsidR="00C64050">
        <w:t xml:space="preserve"> </w:t>
      </w:r>
      <w:r>
        <w:t>could</w:t>
      </w:r>
      <w:r w:rsidR="00C64050">
        <w:t xml:space="preserve"> </w:t>
      </w:r>
      <w:r>
        <w:t>not</w:t>
      </w:r>
      <w:r w:rsidR="00C64050">
        <w:t xml:space="preserve"> </w:t>
      </w:r>
      <w:r>
        <w:t>discern</w:t>
      </w:r>
      <w:r w:rsidR="00C64050">
        <w:t xml:space="preserve"> </w:t>
      </w:r>
      <w:r>
        <w:t>whether</w:t>
      </w:r>
      <w:r w:rsidR="00C64050">
        <w:t xml:space="preserve"> </w:t>
      </w:r>
      <w:r>
        <w:t>Mr.</w:t>
      </w:r>
      <w:r w:rsidR="00C64050">
        <w:t xml:space="preserve"> </w:t>
      </w:r>
      <w:r>
        <w:t>Campbell's</w:t>
      </w:r>
      <w:r w:rsidR="00C64050">
        <w:t xml:space="preserve"> </w:t>
      </w:r>
      <w:r>
        <w:t>3,432</w:t>
      </w:r>
      <w:r w:rsidR="00C64050">
        <w:t xml:space="preserve"> </w:t>
      </w:r>
      <w:r>
        <w:t>frames</w:t>
      </w:r>
      <w:r w:rsidR="00C64050">
        <w:t xml:space="preserve"> </w:t>
      </w:r>
      <w:r>
        <w:t>are</w:t>
      </w:r>
      <w:r w:rsidR="00C64050">
        <w:t xml:space="preserve"> </w:t>
      </w:r>
      <w:r>
        <w:t>from</w:t>
      </w:r>
      <w:r w:rsidR="00C64050">
        <w:t xml:space="preserve"> </w:t>
      </w:r>
      <w:r>
        <w:t>the</w:t>
      </w:r>
      <w:r w:rsidR="00C64050">
        <w:t xml:space="preserve"> </w:t>
      </w:r>
      <w:r>
        <w:t>low</w:t>
      </w:r>
      <w:r w:rsidR="00C64050">
        <w:t xml:space="preserve"> </w:t>
      </w:r>
      <w:r>
        <w:t>end</w:t>
      </w:r>
      <w:r w:rsidR="00C64050">
        <w:t xml:space="preserve"> </w:t>
      </w:r>
      <w:r>
        <w:t>of</w:t>
      </w:r>
      <w:r w:rsidR="00C64050">
        <w:t xml:space="preserve"> </w:t>
      </w:r>
      <w:r>
        <w:t>the</w:t>
      </w:r>
      <w:r w:rsidR="00C64050">
        <w:t xml:space="preserve"> </w:t>
      </w:r>
      <w:r>
        <w:t>price</w:t>
      </w:r>
      <w:r w:rsidR="00C64050">
        <w:t xml:space="preserve"> </w:t>
      </w:r>
      <w:r>
        <w:t>spectrum,</w:t>
      </w:r>
      <w:r w:rsidR="00C64050">
        <w:t xml:space="preserve"> </w:t>
      </w:r>
      <w:r>
        <w:t>the</w:t>
      </w:r>
      <w:r w:rsidR="00C64050">
        <w:t xml:space="preserve"> </w:t>
      </w:r>
      <w:r>
        <w:t>high</w:t>
      </w:r>
      <w:r w:rsidR="00C64050">
        <w:t xml:space="preserve"> </w:t>
      </w:r>
      <w:r>
        <w:t>end,</w:t>
      </w:r>
      <w:r w:rsidR="00C64050">
        <w:t xml:space="preserve"> </w:t>
      </w:r>
      <w:r>
        <w:t>or</w:t>
      </w:r>
      <w:r w:rsidR="00C64050">
        <w:t xml:space="preserve"> </w:t>
      </w:r>
      <w:r>
        <w:t>some</w:t>
      </w:r>
      <w:r w:rsidR="00C64050">
        <w:t xml:space="preserve"> </w:t>
      </w:r>
      <w:r>
        <w:t>varying</w:t>
      </w:r>
      <w:r w:rsidR="00C64050">
        <w:t xml:space="preserve"> </w:t>
      </w:r>
      <w:r>
        <w:t>combination.</w:t>
      </w:r>
      <w:r w:rsidR="00C64050">
        <w:t xml:space="preserve"> </w:t>
      </w:r>
      <w:r>
        <w:t>Indeed,</w:t>
      </w:r>
      <w:r w:rsidR="00C64050">
        <w:t xml:space="preserve"> </w:t>
      </w:r>
      <w:r>
        <w:t>the</w:t>
      </w:r>
      <w:r w:rsidR="00C64050">
        <w:t xml:space="preserve"> </w:t>
      </w:r>
      <w:r>
        <w:t>2012</w:t>
      </w:r>
      <w:r w:rsidR="00C64050">
        <w:t xml:space="preserve"> </w:t>
      </w:r>
      <w:r>
        <w:t>Miles</w:t>
      </w:r>
      <w:r w:rsidR="00C64050">
        <w:t xml:space="preserve"> </w:t>
      </w:r>
      <w:r>
        <w:t>appraisal</w:t>
      </w:r>
      <w:r w:rsidR="00C64050">
        <w:t xml:space="preserve"> </w:t>
      </w:r>
      <w:r>
        <w:t>highlights</w:t>
      </w:r>
      <w:r w:rsidR="00C64050">
        <w:t xml:space="preserve"> </w:t>
      </w:r>
      <w:r>
        <w:t>the</w:t>
      </w:r>
      <w:r w:rsidR="00C64050">
        <w:t xml:space="preserve"> </w:t>
      </w:r>
      <w:r>
        <w:t>primary</w:t>
      </w:r>
      <w:r w:rsidR="00C64050">
        <w:t xml:space="preserve"> </w:t>
      </w:r>
      <w:r>
        <w:t>defect</w:t>
      </w:r>
      <w:r w:rsidR="00C64050">
        <w:t xml:space="preserve"> </w:t>
      </w:r>
      <w:r>
        <w:t>of</w:t>
      </w:r>
      <w:r w:rsidR="00C64050">
        <w:t xml:space="preserve"> </w:t>
      </w:r>
      <w:r>
        <w:t>the</w:t>
      </w:r>
      <w:r w:rsidR="00C64050">
        <w:t xml:space="preserve"> </w:t>
      </w:r>
      <w:r>
        <w:t>2007</w:t>
      </w:r>
      <w:r w:rsidR="00C64050">
        <w:t xml:space="preserve"> </w:t>
      </w:r>
      <w:r>
        <w:t>Marshall</w:t>
      </w:r>
      <w:r w:rsidR="00C64050">
        <w:t xml:space="preserve"> </w:t>
      </w:r>
      <w:r>
        <w:t>&amp;</w:t>
      </w:r>
      <w:r w:rsidR="00C64050">
        <w:t xml:space="preserve"> </w:t>
      </w:r>
      <w:r>
        <w:t>Stevens</w:t>
      </w:r>
      <w:r w:rsidR="00C64050">
        <w:t xml:space="preserve"> </w:t>
      </w:r>
      <w:r>
        <w:t>appraisal.</w:t>
      </w:r>
      <w:r w:rsidR="00C64050">
        <w:t xml:space="preserve"> </w:t>
      </w:r>
      <w:r>
        <w:t>In</w:t>
      </w:r>
      <w:r w:rsidR="00C64050">
        <w:t xml:space="preserve"> </w:t>
      </w:r>
      <w:r>
        <w:t>the</w:t>
      </w:r>
      <w:r w:rsidR="00C64050">
        <w:t xml:space="preserve"> </w:t>
      </w:r>
      <w:r>
        <w:t>2012</w:t>
      </w:r>
      <w:r w:rsidR="00C64050">
        <w:t xml:space="preserve"> </w:t>
      </w:r>
      <w:r>
        <w:t>Miles</w:t>
      </w:r>
      <w:r w:rsidR="00C64050">
        <w:t xml:space="preserve"> </w:t>
      </w:r>
      <w:r>
        <w:t>appraisal,</w:t>
      </w:r>
      <w:r w:rsidR="00C64050">
        <w:t xml:space="preserve"> </w:t>
      </w:r>
      <w:r>
        <w:t>39,709</w:t>
      </w:r>
      <w:r w:rsidR="00C64050">
        <w:t xml:space="preserve"> </w:t>
      </w:r>
      <w:r>
        <w:t>of</w:t>
      </w:r>
      <w:r w:rsidR="00C64050">
        <w:t xml:space="preserve"> </w:t>
      </w:r>
      <w:r>
        <w:t>the</w:t>
      </w:r>
      <w:r w:rsidR="00C64050">
        <w:t xml:space="preserve"> </w:t>
      </w:r>
      <w:r>
        <w:t>349,629</w:t>
      </w:r>
      <w:r w:rsidR="00C64050">
        <w:t xml:space="preserve"> </w:t>
      </w:r>
      <w:r>
        <w:t>eyeglass</w:t>
      </w:r>
      <w:r w:rsidR="00C64050">
        <w:t xml:space="preserve"> </w:t>
      </w:r>
      <w:r>
        <w:t>frames</w:t>
      </w:r>
      <w:r w:rsidR="00C64050">
        <w:t xml:space="preserve"> </w:t>
      </w:r>
      <w:r>
        <w:t>were</w:t>
      </w:r>
      <w:r w:rsidR="00C64050">
        <w:t xml:space="preserve"> </w:t>
      </w:r>
      <w:r>
        <w:t>assigned</w:t>
      </w:r>
      <w:r w:rsidR="00C64050">
        <w:t xml:space="preserve"> </w:t>
      </w:r>
      <w:r>
        <w:t>a</w:t>
      </w:r>
      <w:r w:rsidR="00C64050">
        <w:t xml:space="preserve"> </w:t>
      </w:r>
      <w:r>
        <w:t>value</w:t>
      </w:r>
      <w:r w:rsidR="00C64050">
        <w:t xml:space="preserve"> </w:t>
      </w:r>
      <w:r>
        <w:t>of</w:t>
      </w:r>
      <w:r w:rsidR="00C64050">
        <w:t xml:space="preserve"> </w:t>
      </w:r>
      <w:r>
        <w:t>zero</w:t>
      </w:r>
      <w:r w:rsidR="00C64050">
        <w:t xml:space="preserve"> </w:t>
      </w:r>
      <w:r>
        <w:t>as</w:t>
      </w:r>
      <w:r w:rsidR="00C64050">
        <w:t xml:space="preserve"> </w:t>
      </w:r>
      <w:r>
        <w:t>of</w:t>
      </w:r>
      <w:r w:rsidR="00C64050">
        <w:t xml:space="preserve"> </w:t>
      </w:r>
      <w:r>
        <w:t>December</w:t>
      </w:r>
      <w:r w:rsidR="00C64050">
        <w:t xml:space="preserve"> </w:t>
      </w:r>
      <w:r>
        <w:t>2007.</w:t>
      </w:r>
      <w:r w:rsidR="00C64050">
        <w:t xml:space="preserve"> </w:t>
      </w:r>
      <w:r>
        <w:t>Might</w:t>
      </w:r>
      <w:r w:rsidR="00C64050">
        <w:t xml:space="preserve"> </w:t>
      </w:r>
      <w:r>
        <w:t>Mr.</w:t>
      </w:r>
      <w:r w:rsidR="00C64050">
        <w:t xml:space="preserve"> </w:t>
      </w:r>
      <w:r>
        <w:t>Campbell's</w:t>
      </w:r>
      <w:r w:rsidR="00C64050">
        <w:t xml:space="preserve"> </w:t>
      </w:r>
      <w:r>
        <w:t>3,432</w:t>
      </w:r>
      <w:r w:rsidR="00C64050">
        <w:t xml:space="preserve"> </w:t>
      </w:r>
      <w:r>
        <w:t>frames</w:t>
      </w:r>
      <w:r w:rsidR="00C64050">
        <w:t xml:space="preserve"> </w:t>
      </w:r>
      <w:r>
        <w:t>been</w:t>
      </w:r>
      <w:r w:rsidR="00C64050">
        <w:t xml:space="preserve"> </w:t>
      </w:r>
      <w:r>
        <w:t>a</w:t>
      </w:r>
      <w:r w:rsidR="00C64050">
        <w:t xml:space="preserve"> </w:t>
      </w:r>
      <w:r>
        <w:t>part</w:t>
      </w:r>
      <w:r w:rsidR="00C64050">
        <w:t xml:space="preserve"> </w:t>
      </w:r>
      <w:r>
        <w:t>of</w:t>
      </w:r>
      <w:r w:rsidR="00C64050">
        <w:t xml:space="preserve"> </w:t>
      </w:r>
      <w:r>
        <w:t>the</w:t>
      </w:r>
      <w:r w:rsidR="00C64050">
        <w:t xml:space="preserve"> </w:t>
      </w:r>
      <w:r>
        <w:t>39,709</w:t>
      </w:r>
      <w:r w:rsidR="00C64050">
        <w:t xml:space="preserve"> </w:t>
      </w:r>
      <w:r>
        <w:t>frames?</w:t>
      </w:r>
    </w:p>
    <w:p w:rsidR="00CD4A52" w:rsidRDefault="00CD4A52" w:rsidP="00CD4A52">
      <w:pPr>
        <w:pStyle w:val="QS10"/>
      </w:pPr>
      <w:r>
        <w:t>On</w:t>
      </w:r>
      <w:r w:rsidR="00C64050">
        <w:t xml:space="preserve"> </w:t>
      </w:r>
      <w:r>
        <w:t>brief</w:t>
      </w:r>
      <w:r w:rsidR="00C64050">
        <w:t xml:space="preserve"> </w:t>
      </w:r>
      <w:r>
        <w:t>petitioners</w:t>
      </w:r>
      <w:r w:rsidR="00C64050">
        <w:t xml:space="preserve"> </w:t>
      </w:r>
      <w:r>
        <w:t>argue</w:t>
      </w:r>
      <w:r w:rsidR="00C64050">
        <w:t xml:space="preserve"> </w:t>
      </w:r>
      <w:r>
        <w:t>(via</w:t>
      </w:r>
      <w:r w:rsidR="00C64050">
        <w:t xml:space="preserve"> </w:t>
      </w:r>
      <w:r>
        <w:t>requesting</w:t>
      </w:r>
      <w:r w:rsidR="00C64050">
        <w:t xml:space="preserve"> </w:t>
      </w:r>
      <w:r>
        <w:t>that</w:t>
      </w:r>
      <w:r w:rsidR="00C64050">
        <w:t xml:space="preserve"> </w:t>
      </w:r>
      <w:r>
        <w:t>the</w:t>
      </w:r>
      <w:r w:rsidR="00C64050">
        <w:t xml:space="preserve"> </w:t>
      </w:r>
      <w:r>
        <w:t>Court</w:t>
      </w:r>
      <w:r w:rsidR="00C64050">
        <w:t xml:space="preserve"> </w:t>
      </w:r>
      <w:r>
        <w:t>find</w:t>
      </w:r>
      <w:r w:rsidR="00C64050">
        <w:t xml:space="preserve"> </w:t>
      </w:r>
      <w:r>
        <w:t>as</w:t>
      </w:r>
      <w:r w:rsidR="00C64050">
        <w:t xml:space="preserve"> </w:t>
      </w:r>
      <w:r>
        <w:t>fact)</w:t>
      </w:r>
      <w:r w:rsidR="00C64050">
        <w:t xml:space="preserve"> </w:t>
      </w:r>
      <w:r>
        <w:t>that</w:t>
      </w:r>
      <w:r w:rsidR="00C64050">
        <w:t xml:space="preserve"> </w:t>
      </w:r>
      <w:r>
        <w:t>Mr.</w:t>
      </w:r>
      <w:r w:rsidR="00C64050">
        <w:t xml:space="preserve"> </w:t>
      </w:r>
      <w:r>
        <w:t>Campbell</w:t>
      </w:r>
      <w:r w:rsidR="00C64050">
        <w:t xml:space="preserve"> </w:t>
      </w:r>
      <w:r>
        <w:t>purchased</w:t>
      </w:r>
      <w:r w:rsidR="00C64050">
        <w:t xml:space="preserve"> </w:t>
      </w:r>
      <w:r>
        <w:t>and</w:t>
      </w:r>
      <w:r w:rsidR="00C64050">
        <w:t xml:space="preserve"> </w:t>
      </w:r>
      <w:r>
        <w:t>donated</w:t>
      </w:r>
      <w:r w:rsidR="00C64050">
        <w:t xml:space="preserve"> </w:t>
      </w:r>
      <w:r>
        <w:t>a</w:t>
      </w:r>
      <w:r w:rsidR="00C64050">
        <w:t xml:space="preserve"> </w:t>
      </w:r>
      <w:r>
        <w:t>fractional</w:t>
      </w:r>
      <w:r w:rsidR="00C64050">
        <w:t xml:space="preserve"> </w:t>
      </w:r>
      <w:r>
        <w:t>interest,</w:t>
      </w:r>
      <w:r w:rsidR="00C64050">
        <w:t xml:space="preserve"> </w:t>
      </w:r>
      <w:r>
        <w:t>i.e.,</w:t>
      </w:r>
      <w:r w:rsidR="00C64050">
        <w:t xml:space="preserve"> </w:t>
      </w:r>
      <w:r>
        <w:t>an</w:t>
      </w:r>
      <w:r w:rsidR="00C64050">
        <w:t xml:space="preserve"> </w:t>
      </w:r>
      <w:r>
        <w:t>undivided</w:t>
      </w:r>
      <w:r w:rsidR="00C64050">
        <w:t xml:space="preserve"> </w:t>
      </w:r>
      <w:r>
        <w:t>3,432d</w:t>
      </w:r>
      <w:r w:rsidR="00C64050">
        <w:t xml:space="preserve"> </w:t>
      </w:r>
      <w:r>
        <w:t>interest,</w:t>
      </w:r>
      <w:r w:rsidR="00C64050">
        <w:t xml:space="preserve"> </w:t>
      </w:r>
      <w:r>
        <w:t>in</w:t>
      </w:r>
      <w:r w:rsidR="00C64050">
        <w:t xml:space="preserve"> </w:t>
      </w:r>
      <w:r>
        <w:t>the</w:t>
      </w:r>
      <w:r w:rsidR="00C64050">
        <w:t xml:space="preserve"> </w:t>
      </w:r>
      <w:r>
        <w:t>349,629</w:t>
      </w:r>
      <w:r w:rsidR="00C64050">
        <w:t xml:space="preserve"> </w:t>
      </w:r>
      <w:r>
        <w:t>frames.</w:t>
      </w:r>
      <w:r w:rsidR="00C64050">
        <w:t xml:space="preserve"> </w:t>
      </w:r>
      <w:r>
        <w:t>The</w:t>
      </w:r>
      <w:r w:rsidR="00C64050">
        <w:t xml:space="preserve"> </w:t>
      </w:r>
      <w:r>
        <w:t>record</w:t>
      </w:r>
      <w:r w:rsidR="00C64050">
        <w:t xml:space="preserve"> </w:t>
      </w:r>
      <w:r>
        <w:t>unmistakably</w:t>
      </w:r>
      <w:r w:rsidR="00C64050">
        <w:t xml:space="preserve"> </w:t>
      </w:r>
      <w:r>
        <w:t>belies</w:t>
      </w:r>
      <w:r w:rsidR="00C64050">
        <w:t xml:space="preserve"> </w:t>
      </w:r>
      <w:r>
        <w:t>this.</w:t>
      </w:r>
      <w:r w:rsidR="00C64050">
        <w:t xml:space="preserve"> </w:t>
      </w:r>
      <w:r>
        <w:t>As</w:t>
      </w:r>
      <w:r w:rsidR="00C64050">
        <w:t xml:space="preserve"> </w:t>
      </w:r>
      <w:r>
        <w:t>an</w:t>
      </w:r>
      <w:r w:rsidR="00C64050">
        <w:t xml:space="preserve"> </w:t>
      </w:r>
      <w:r>
        <w:t>initial</w:t>
      </w:r>
      <w:r w:rsidR="00C64050">
        <w:t xml:space="preserve"> </w:t>
      </w:r>
      <w:r>
        <w:t>matter,</w:t>
      </w:r>
      <w:r w:rsidR="00C64050">
        <w:t xml:space="preserve"> </w:t>
      </w:r>
      <w:r>
        <w:t>petitioners</w:t>
      </w:r>
      <w:r w:rsidR="00C64050">
        <w:t xml:space="preserve"> </w:t>
      </w:r>
      <w:r>
        <w:t>have</w:t>
      </w:r>
      <w:r w:rsidR="00C64050">
        <w:t xml:space="preserve"> </w:t>
      </w:r>
      <w:r>
        <w:t>stipulated</w:t>
      </w:r>
      <w:r w:rsidR="00C64050">
        <w:t xml:space="preserve"> </w:t>
      </w:r>
      <w:r>
        <w:t>that</w:t>
      </w:r>
      <w:r w:rsidR="00C64050">
        <w:t xml:space="preserve"> </w:t>
      </w:r>
      <w:r>
        <w:t>Mr.</w:t>
      </w:r>
      <w:r w:rsidR="00C64050">
        <w:t xml:space="preserve"> </w:t>
      </w:r>
      <w:r>
        <w:t>Campbell</w:t>
      </w:r>
      <w:r w:rsidR="00C64050">
        <w:t xml:space="preserve"> </w:t>
      </w:r>
      <w:r>
        <w:t>purchased</w:t>
      </w:r>
      <w:r w:rsidR="00C64050">
        <w:t xml:space="preserve"> </w:t>
      </w:r>
      <w:r>
        <w:t>a</w:t>
      </w:r>
      <w:r w:rsidR="00C64050">
        <w:t xml:space="preserve"> </w:t>
      </w:r>
      <w:r>
        <w:t>single</w:t>
      </w:r>
      <w:r w:rsidR="00C64050">
        <w:t xml:space="preserve"> </w:t>
      </w:r>
      <w:r>
        <w:t>allotment</w:t>
      </w:r>
      <w:r w:rsidR="00C64050">
        <w:t xml:space="preserve"> </w:t>
      </w:r>
      <w:r>
        <w:t>of</w:t>
      </w:r>
      <w:r w:rsidR="00C64050">
        <w:t xml:space="preserve"> </w:t>
      </w:r>
      <w:r>
        <w:t>3,432</w:t>
      </w:r>
      <w:r w:rsidR="00C64050">
        <w:t xml:space="preserve"> </w:t>
      </w:r>
      <w:r>
        <w:t>eyeglass</w:t>
      </w:r>
      <w:r w:rsidR="00C64050">
        <w:t xml:space="preserve"> </w:t>
      </w:r>
      <w:r>
        <w:t>frames</w:t>
      </w:r>
      <w:r w:rsidR="00C64050">
        <w:t xml:space="preserve"> </w:t>
      </w:r>
      <w:r>
        <w:t>from</w:t>
      </w:r>
      <w:r w:rsidR="00C64050">
        <w:t xml:space="preserve"> </w:t>
      </w:r>
      <w:r>
        <w:t>ZD</w:t>
      </w:r>
      <w:r w:rsidR="00C64050">
        <w:t xml:space="preserve"> </w:t>
      </w:r>
      <w:r>
        <w:t>Products.</w:t>
      </w:r>
      <w:r w:rsidR="00C64050">
        <w:t xml:space="preserve"> </w:t>
      </w:r>
    </w:p>
    <w:p w:rsidR="00514AB2" w:rsidRDefault="00312E95" w:rsidP="007D3CA2">
      <w:pPr>
        <w:pStyle w:val="Body15"/>
        <w:spacing w:before="240"/>
        <w:rPr>
          <w:color w:val="000000" w:themeColor="text1"/>
        </w:rPr>
      </w:pPr>
      <w:r>
        <w:rPr>
          <w:color w:val="000000" w:themeColor="text1"/>
        </w:rPr>
        <w:t>Oddly,</w:t>
      </w:r>
      <w:r w:rsidR="00C64050">
        <w:rPr>
          <w:color w:val="000000" w:themeColor="text1"/>
        </w:rPr>
        <w:t xml:space="preserve"> </w:t>
      </w:r>
      <w:r>
        <w:rPr>
          <w:color w:val="000000" w:themeColor="text1"/>
        </w:rPr>
        <w:t>t</w:t>
      </w:r>
      <w:r w:rsidR="00514AB2">
        <w:rPr>
          <w:color w:val="000000" w:themeColor="text1"/>
        </w:rPr>
        <w:t>he</w:t>
      </w:r>
      <w:r w:rsidR="00C64050">
        <w:rPr>
          <w:color w:val="000000" w:themeColor="text1"/>
        </w:rPr>
        <w:t xml:space="preserve"> </w:t>
      </w:r>
      <w:r w:rsidR="00514AB2">
        <w:rPr>
          <w:color w:val="000000" w:themeColor="text1"/>
        </w:rPr>
        <w:t>taxpayers</w:t>
      </w:r>
      <w:r w:rsidR="00C64050">
        <w:rPr>
          <w:color w:val="000000" w:themeColor="text1"/>
        </w:rPr>
        <w:t xml:space="preserve"> </w:t>
      </w:r>
      <w:r w:rsidR="00514AB2">
        <w:rPr>
          <w:color w:val="000000" w:themeColor="text1"/>
        </w:rPr>
        <w:t>also</w:t>
      </w:r>
      <w:r w:rsidR="00C64050">
        <w:rPr>
          <w:color w:val="000000" w:themeColor="text1"/>
        </w:rPr>
        <w:t xml:space="preserve"> </w:t>
      </w:r>
      <w:r w:rsidR="00514AB2">
        <w:rPr>
          <w:color w:val="000000" w:themeColor="text1"/>
        </w:rPr>
        <w:t>did</w:t>
      </w:r>
      <w:r w:rsidR="00C64050">
        <w:rPr>
          <w:color w:val="000000" w:themeColor="text1"/>
        </w:rPr>
        <w:t xml:space="preserve"> </w:t>
      </w:r>
      <w:r w:rsidR="00514AB2">
        <w:rPr>
          <w:color w:val="000000" w:themeColor="text1"/>
        </w:rPr>
        <w:t>not</w:t>
      </w:r>
      <w:r w:rsidR="00C64050">
        <w:rPr>
          <w:color w:val="000000" w:themeColor="text1"/>
        </w:rPr>
        <w:t xml:space="preserve"> </w:t>
      </w:r>
      <w:r w:rsidR="00514AB2">
        <w:rPr>
          <w:color w:val="000000" w:themeColor="text1"/>
        </w:rPr>
        <w:t>receive</w:t>
      </w:r>
      <w:r w:rsidR="00C64050">
        <w:rPr>
          <w:color w:val="000000" w:themeColor="text1"/>
        </w:rPr>
        <w:t xml:space="preserve"> </w:t>
      </w:r>
      <w:r w:rsidR="00514AB2">
        <w:rPr>
          <w:color w:val="000000" w:themeColor="text1"/>
        </w:rPr>
        <w:t>an</w:t>
      </w:r>
      <w:r w:rsidR="00C64050">
        <w:rPr>
          <w:color w:val="000000" w:themeColor="text1"/>
        </w:rPr>
        <w:t xml:space="preserve"> </w:t>
      </w:r>
      <w:r w:rsidR="00514AB2">
        <w:rPr>
          <w:color w:val="000000" w:themeColor="text1"/>
        </w:rPr>
        <w:t>appropriate</w:t>
      </w:r>
      <w:r w:rsidR="00C64050">
        <w:rPr>
          <w:color w:val="000000" w:themeColor="text1"/>
        </w:rPr>
        <w:t xml:space="preserve"> </w:t>
      </w:r>
      <w:r w:rsidR="00514AB2">
        <w:rPr>
          <w:color w:val="000000" w:themeColor="text1"/>
        </w:rPr>
        <w:t>contemporaneous</w:t>
      </w:r>
      <w:r w:rsidR="00C64050">
        <w:rPr>
          <w:color w:val="000000" w:themeColor="text1"/>
        </w:rPr>
        <w:t xml:space="preserve"> </w:t>
      </w:r>
      <w:r w:rsidR="00514AB2">
        <w:rPr>
          <w:color w:val="000000" w:themeColor="text1"/>
        </w:rPr>
        <w:t>written</w:t>
      </w:r>
      <w:r w:rsidR="00C64050">
        <w:rPr>
          <w:color w:val="000000" w:themeColor="text1"/>
        </w:rPr>
        <w:t xml:space="preserve"> </w:t>
      </w:r>
      <w:r w:rsidR="00514AB2">
        <w:rPr>
          <w:color w:val="000000" w:themeColor="text1"/>
        </w:rPr>
        <w:t>acknowledgment</w:t>
      </w:r>
      <w:r w:rsidR="00C64050">
        <w:rPr>
          <w:color w:val="000000" w:themeColor="text1"/>
        </w:rPr>
        <w:t xml:space="preserve"> </w:t>
      </w:r>
      <w:r w:rsidR="00514AB2">
        <w:rPr>
          <w:color w:val="000000" w:themeColor="text1"/>
        </w:rPr>
        <w:t>which</w:t>
      </w:r>
      <w:r w:rsidR="00C64050">
        <w:rPr>
          <w:color w:val="000000" w:themeColor="text1"/>
        </w:rPr>
        <w:t xml:space="preserve"> </w:t>
      </w:r>
      <w:r w:rsidR="00514AB2">
        <w:rPr>
          <w:color w:val="000000" w:themeColor="text1"/>
        </w:rPr>
        <w:t>is</w:t>
      </w:r>
      <w:r w:rsidR="00C64050">
        <w:rPr>
          <w:color w:val="000000" w:themeColor="text1"/>
        </w:rPr>
        <w:t xml:space="preserve"> </w:t>
      </w:r>
      <w:r w:rsidR="00514AB2">
        <w:rPr>
          <w:color w:val="000000" w:themeColor="text1"/>
        </w:rPr>
        <w:t>somewhat</w:t>
      </w:r>
      <w:r w:rsidR="00C64050">
        <w:rPr>
          <w:color w:val="000000" w:themeColor="text1"/>
        </w:rPr>
        <w:t xml:space="preserve"> </w:t>
      </w:r>
      <w:r w:rsidR="00514AB2">
        <w:rPr>
          <w:color w:val="000000" w:themeColor="text1"/>
        </w:rPr>
        <w:t>bizarre.</w:t>
      </w:r>
      <w:r w:rsidR="00C64050">
        <w:rPr>
          <w:color w:val="000000" w:themeColor="text1"/>
        </w:rPr>
        <w:t xml:space="preserve">  </w:t>
      </w:r>
      <w:r w:rsidR="00514AB2">
        <w:rPr>
          <w:color w:val="000000" w:themeColor="text1"/>
        </w:rPr>
        <w:t>The</w:t>
      </w:r>
      <w:r w:rsidR="00C64050">
        <w:rPr>
          <w:color w:val="000000" w:themeColor="text1"/>
        </w:rPr>
        <w:t xml:space="preserve"> </w:t>
      </w:r>
      <w:r w:rsidR="00514AB2">
        <w:rPr>
          <w:color w:val="000000" w:themeColor="text1"/>
        </w:rPr>
        <w:t>opinion</w:t>
      </w:r>
      <w:r w:rsidR="00C64050">
        <w:rPr>
          <w:color w:val="000000" w:themeColor="text1"/>
        </w:rPr>
        <w:t xml:space="preserve"> </w:t>
      </w:r>
      <w:r w:rsidR="00514AB2">
        <w:rPr>
          <w:color w:val="000000" w:themeColor="text1"/>
        </w:rPr>
        <w:t>notes:</w:t>
      </w:r>
    </w:p>
    <w:p w:rsidR="00514AB2" w:rsidRDefault="006D50CD" w:rsidP="006D50CD">
      <w:pPr>
        <w:pStyle w:val="QS10"/>
        <w:rPr>
          <w:color w:val="000000" w:themeColor="text1"/>
        </w:rPr>
      </w:pPr>
      <w:r>
        <w:t>Respondent</w:t>
      </w:r>
      <w:r w:rsidR="00C64050">
        <w:t xml:space="preserve"> </w:t>
      </w:r>
      <w:r>
        <w:t>contends</w:t>
      </w:r>
      <w:r w:rsidR="00C64050">
        <w:t xml:space="preserve"> </w:t>
      </w:r>
      <w:r>
        <w:t>that</w:t>
      </w:r>
      <w:r w:rsidR="00C64050">
        <w:t xml:space="preserve"> </w:t>
      </w:r>
      <w:r>
        <w:t>Lions</w:t>
      </w:r>
      <w:r w:rsidR="00C64050">
        <w:t xml:space="preserve"> </w:t>
      </w:r>
      <w:r>
        <w:t>in</w:t>
      </w:r>
      <w:r w:rsidR="00C64050">
        <w:t xml:space="preserve"> </w:t>
      </w:r>
      <w:r>
        <w:t>Sight's</w:t>
      </w:r>
      <w:r w:rsidR="00C64050">
        <w:t xml:space="preserve"> </w:t>
      </w:r>
      <w:r>
        <w:t>December</w:t>
      </w:r>
      <w:r w:rsidR="00C64050">
        <w:t xml:space="preserve"> </w:t>
      </w:r>
      <w:r>
        <w:t>28,</w:t>
      </w:r>
      <w:r w:rsidR="00C64050">
        <w:t xml:space="preserve"> </w:t>
      </w:r>
      <w:r>
        <w:t>2007,</w:t>
      </w:r>
      <w:r w:rsidR="00C64050">
        <w:t xml:space="preserve"> </w:t>
      </w:r>
      <w:r>
        <w:t>letter</w:t>
      </w:r>
      <w:r w:rsidR="00C64050">
        <w:t xml:space="preserve"> </w:t>
      </w:r>
      <w:r>
        <w:t>to</w:t>
      </w:r>
      <w:r w:rsidR="00C64050">
        <w:t xml:space="preserve"> </w:t>
      </w:r>
      <w:r>
        <w:t>Mr.</w:t>
      </w:r>
      <w:r w:rsidR="00C64050">
        <w:t xml:space="preserve"> </w:t>
      </w:r>
      <w:r>
        <w:t>Campbell</w:t>
      </w:r>
      <w:r w:rsidR="00C64050">
        <w:t xml:space="preserve"> </w:t>
      </w:r>
      <w:r>
        <w:t>was</w:t>
      </w:r>
      <w:r w:rsidR="00C64050">
        <w:t xml:space="preserve"> </w:t>
      </w:r>
      <w:r>
        <w:t>not</w:t>
      </w:r>
      <w:r w:rsidR="00C64050">
        <w:t xml:space="preserve"> </w:t>
      </w:r>
      <w:r>
        <w:t>a</w:t>
      </w:r>
      <w:r w:rsidR="00C64050">
        <w:t xml:space="preserve"> </w:t>
      </w:r>
      <w:r>
        <w:t>proper</w:t>
      </w:r>
      <w:r w:rsidR="00C64050">
        <w:t xml:space="preserve"> </w:t>
      </w:r>
      <w:r>
        <w:t>CWA</w:t>
      </w:r>
      <w:r w:rsidR="00C64050">
        <w:t xml:space="preserve"> </w:t>
      </w:r>
      <w:r>
        <w:t>because</w:t>
      </w:r>
      <w:r w:rsidR="00C64050">
        <w:t xml:space="preserve"> </w:t>
      </w:r>
      <w:r>
        <w:t>it</w:t>
      </w:r>
      <w:r w:rsidR="00C64050">
        <w:t xml:space="preserve"> </w:t>
      </w:r>
      <w:r>
        <w:t>did</w:t>
      </w:r>
      <w:r w:rsidR="00C64050">
        <w:t xml:space="preserve"> </w:t>
      </w:r>
      <w:r>
        <w:t>not</w:t>
      </w:r>
      <w:r w:rsidR="00C64050">
        <w:t xml:space="preserve"> </w:t>
      </w:r>
      <w:r>
        <w:t>address</w:t>
      </w:r>
      <w:r w:rsidR="00C64050">
        <w:t xml:space="preserve"> </w:t>
      </w:r>
      <w:r>
        <w:t>the</w:t>
      </w:r>
      <w:r w:rsidR="00C64050">
        <w:t xml:space="preserve"> </w:t>
      </w:r>
      <w:r>
        <w:t>“goods</w:t>
      </w:r>
      <w:r w:rsidR="00C64050">
        <w:t xml:space="preserve"> </w:t>
      </w:r>
      <w:r>
        <w:t>or</w:t>
      </w:r>
      <w:r w:rsidR="00C64050">
        <w:t xml:space="preserve"> </w:t>
      </w:r>
      <w:r>
        <w:t>services”</w:t>
      </w:r>
      <w:r w:rsidR="00C64050">
        <w:t xml:space="preserve"> </w:t>
      </w:r>
      <w:r>
        <w:t>question.</w:t>
      </w:r>
      <w:r w:rsidR="00C64050">
        <w:t xml:space="preserve"> </w:t>
      </w:r>
      <w:r>
        <w:t>We</w:t>
      </w:r>
      <w:r w:rsidR="00C64050">
        <w:t xml:space="preserve"> </w:t>
      </w:r>
      <w:r>
        <w:t>agree</w:t>
      </w:r>
      <w:r w:rsidR="00C64050">
        <w:t xml:space="preserve"> </w:t>
      </w:r>
      <w:r>
        <w:t>(although</w:t>
      </w:r>
      <w:r w:rsidR="00C64050">
        <w:t xml:space="preserve"> </w:t>
      </w:r>
      <w:r>
        <w:t>we</w:t>
      </w:r>
      <w:r w:rsidR="00C64050">
        <w:t xml:space="preserve"> </w:t>
      </w:r>
      <w:r>
        <w:t>recognize</w:t>
      </w:r>
      <w:r w:rsidR="00C64050">
        <w:t xml:space="preserve"> </w:t>
      </w:r>
      <w:r>
        <w:t>that</w:t>
      </w:r>
      <w:r w:rsidR="00C64050">
        <w:t xml:space="preserve"> </w:t>
      </w:r>
      <w:r>
        <w:t>petitioners</w:t>
      </w:r>
      <w:r w:rsidR="00C64050">
        <w:t xml:space="preserve"> </w:t>
      </w:r>
      <w:r>
        <w:t>claim,</w:t>
      </w:r>
      <w:r w:rsidR="00C64050">
        <w:t xml:space="preserve"> </w:t>
      </w:r>
      <w:r>
        <w:t>and</w:t>
      </w:r>
      <w:r w:rsidR="00C64050">
        <w:t xml:space="preserve"> </w:t>
      </w:r>
      <w:r>
        <w:t>it</w:t>
      </w:r>
      <w:r w:rsidR="00C64050">
        <w:t xml:space="preserve"> </w:t>
      </w:r>
      <w:r>
        <w:t>can</w:t>
      </w:r>
      <w:r w:rsidR="00C64050">
        <w:t xml:space="preserve"> </w:t>
      </w:r>
      <w:r>
        <w:t>be</w:t>
      </w:r>
      <w:r w:rsidR="00C64050">
        <w:t xml:space="preserve"> </w:t>
      </w:r>
      <w:r>
        <w:t>inferred</w:t>
      </w:r>
      <w:r w:rsidR="00C64050">
        <w:t xml:space="preserve"> </w:t>
      </w:r>
      <w:r>
        <w:t>from</w:t>
      </w:r>
      <w:r w:rsidR="00C64050">
        <w:t xml:space="preserve"> </w:t>
      </w:r>
      <w:r>
        <w:t>the</w:t>
      </w:r>
      <w:r w:rsidR="00C64050">
        <w:t xml:space="preserve"> </w:t>
      </w:r>
      <w:r>
        <w:t>record,</w:t>
      </w:r>
      <w:r w:rsidR="00C64050">
        <w:t xml:space="preserve"> </w:t>
      </w:r>
      <w:r>
        <w:t>that</w:t>
      </w:r>
      <w:r w:rsidR="00C64050">
        <w:t xml:space="preserve"> </w:t>
      </w:r>
      <w:r>
        <w:t>Mr.</w:t>
      </w:r>
      <w:r w:rsidR="00C64050">
        <w:t xml:space="preserve"> </w:t>
      </w:r>
      <w:r>
        <w:t>Campbell's</w:t>
      </w:r>
      <w:r w:rsidR="00C64050">
        <w:t xml:space="preserve"> </w:t>
      </w:r>
      <w:r>
        <w:t>Lions</w:t>
      </w:r>
      <w:r w:rsidR="00C64050">
        <w:t xml:space="preserve"> </w:t>
      </w:r>
      <w:r>
        <w:t>in</w:t>
      </w:r>
      <w:r w:rsidR="00C64050">
        <w:t xml:space="preserve"> </w:t>
      </w:r>
      <w:r>
        <w:t>Sight</w:t>
      </w:r>
      <w:r w:rsidR="00C64050">
        <w:t xml:space="preserve"> </w:t>
      </w:r>
      <w:r>
        <w:t>donation</w:t>
      </w:r>
      <w:r w:rsidR="00C64050">
        <w:t xml:space="preserve"> </w:t>
      </w:r>
      <w:r>
        <w:t>was</w:t>
      </w:r>
      <w:r w:rsidR="00C64050">
        <w:t xml:space="preserve"> </w:t>
      </w:r>
      <w:r>
        <w:t>not</w:t>
      </w:r>
      <w:r w:rsidR="00C64050">
        <w:t xml:space="preserve"> </w:t>
      </w:r>
      <w:r>
        <w:t>made</w:t>
      </w:r>
      <w:r w:rsidR="00C64050">
        <w:t xml:space="preserve"> </w:t>
      </w:r>
      <w:r>
        <w:t>with</w:t>
      </w:r>
      <w:r w:rsidR="00C64050">
        <w:t xml:space="preserve"> </w:t>
      </w:r>
      <w:r>
        <w:t>the</w:t>
      </w:r>
      <w:r w:rsidR="00C64050">
        <w:t xml:space="preserve"> </w:t>
      </w:r>
      <w:r>
        <w:t>expectation</w:t>
      </w:r>
      <w:r w:rsidR="00C64050">
        <w:t xml:space="preserve"> </w:t>
      </w:r>
      <w:r>
        <w:t>of</w:t>
      </w:r>
      <w:r w:rsidR="00C64050">
        <w:t xml:space="preserve"> </w:t>
      </w:r>
      <w:r>
        <w:t>a</w:t>
      </w:r>
      <w:r w:rsidR="00C64050">
        <w:t xml:space="preserve"> </w:t>
      </w:r>
      <w:r>
        <w:t>quid</w:t>
      </w:r>
      <w:r w:rsidR="00C64050">
        <w:t xml:space="preserve"> </w:t>
      </w:r>
      <w:r>
        <w:t>pro</w:t>
      </w:r>
      <w:r w:rsidR="00C64050">
        <w:t xml:space="preserve"> </w:t>
      </w:r>
      <w:r>
        <w:t>quo).</w:t>
      </w:r>
      <w:r w:rsidR="00C64050">
        <w:t xml:space="preserve"> </w:t>
      </w:r>
      <w:r>
        <w:t>The</w:t>
      </w:r>
      <w:r w:rsidR="00C64050">
        <w:t xml:space="preserve"> </w:t>
      </w:r>
      <w:r>
        <w:t>letter</w:t>
      </w:r>
      <w:r w:rsidR="00C64050">
        <w:t xml:space="preserve"> </w:t>
      </w:r>
      <w:r>
        <w:t>merely</w:t>
      </w:r>
      <w:r w:rsidR="00C64050">
        <w:t xml:space="preserve"> </w:t>
      </w:r>
      <w:r>
        <w:t>acknowledged</w:t>
      </w:r>
      <w:r w:rsidR="00C64050">
        <w:t xml:space="preserve"> </w:t>
      </w:r>
      <w:r>
        <w:t>his</w:t>
      </w:r>
      <w:r w:rsidR="00C64050">
        <w:t xml:space="preserve"> </w:t>
      </w:r>
      <w:r>
        <w:t>“generous</w:t>
      </w:r>
      <w:r w:rsidR="00C64050">
        <w:t xml:space="preserve"> </w:t>
      </w:r>
      <w:r>
        <w:t>gift</w:t>
      </w:r>
      <w:r w:rsidR="00C64050">
        <w:t xml:space="preserve"> </w:t>
      </w:r>
      <w:r>
        <w:t>of</w:t>
      </w:r>
      <w:r w:rsidR="00C64050">
        <w:t xml:space="preserve"> </w:t>
      </w:r>
      <w:r>
        <w:t>prescription</w:t>
      </w:r>
      <w:r w:rsidR="00C64050">
        <w:t xml:space="preserve"> </w:t>
      </w:r>
      <w:r>
        <w:t>eyeware</w:t>
      </w:r>
      <w:r w:rsidR="00C64050">
        <w:t xml:space="preserve"> </w:t>
      </w:r>
      <w:r>
        <w:t>[sic]”</w:t>
      </w:r>
      <w:r w:rsidR="00C64050">
        <w:t xml:space="preserve"> </w:t>
      </w:r>
      <w:r>
        <w:t>and</w:t>
      </w:r>
      <w:r w:rsidR="00C64050">
        <w:t xml:space="preserve"> </w:t>
      </w:r>
      <w:r>
        <w:t>how</w:t>
      </w:r>
      <w:r w:rsidR="00C64050">
        <w:t xml:space="preserve"> </w:t>
      </w:r>
      <w:r>
        <w:t>his</w:t>
      </w:r>
      <w:r w:rsidR="00C64050">
        <w:t xml:space="preserve"> </w:t>
      </w:r>
      <w:r>
        <w:t>contribution</w:t>
      </w:r>
      <w:r w:rsidR="00C64050">
        <w:t xml:space="preserve"> </w:t>
      </w:r>
      <w:r>
        <w:t>would</w:t>
      </w:r>
      <w:r w:rsidR="00C64050">
        <w:t xml:space="preserve"> </w:t>
      </w:r>
      <w:r>
        <w:t>assist</w:t>
      </w:r>
      <w:r w:rsidR="00C64050">
        <w:t xml:space="preserve"> </w:t>
      </w:r>
      <w:r>
        <w:t>Lions</w:t>
      </w:r>
      <w:r w:rsidR="00C64050">
        <w:t xml:space="preserve"> </w:t>
      </w:r>
      <w:r>
        <w:t>in</w:t>
      </w:r>
      <w:r w:rsidR="00C64050">
        <w:t xml:space="preserve"> </w:t>
      </w:r>
      <w:r>
        <w:t>Sight;</w:t>
      </w:r>
      <w:r w:rsidR="00C64050">
        <w:t xml:space="preserve"> </w:t>
      </w:r>
      <w:r>
        <w:t>it</w:t>
      </w:r>
      <w:r w:rsidR="00C64050">
        <w:t xml:space="preserve"> </w:t>
      </w:r>
      <w:r>
        <w:t>made</w:t>
      </w:r>
      <w:r w:rsidR="00C64050">
        <w:t xml:space="preserve"> </w:t>
      </w:r>
      <w:r>
        <w:t>no</w:t>
      </w:r>
      <w:r w:rsidR="00C64050">
        <w:t xml:space="preserve"> </w:t>
      </w:r>
      <w:r>
        <w:t>mention</w:t>
      </w:r>
      <w:r w:rsidR="00C64050">
        <w:t xml:space="preserve"> </w:t>
      </w:r>
      <w:r>
        <w:t>of</w:t>
      </w:r>
      <w:r w:rsidR="00C64050">
        <w:t xml:space="preserve"> </w:t>
      </w:r>
      <w:r>
        <w:t>whether</w:t>
      </w:r>
      <w:r w:rsidR="00C64050">
        <w:t xml:space="preserve"> </w:t>
      </w:r>
      <w:r>
        <w:t>Lions</w:t>
      </w:r>
      <w:r w:rsidR="00C64050">
        <w:t xml:space="preserve"> </w:t>
      </w:r>
      <w:r>
        <w:t>in</w:t>
      </w:r>
      <w:r w:rsidR="00C64050">
        <w:t xml:space="preserve"> </w:t>
      </w:r>
      <w:r>
        <w:t>Sight</w:t>
      </w:r>
      <w:r w:rsidR="00C64050">
        <w:t xml:space="preserve"> </w:t>
      </w:r>
      <w:r>
        <w:t>provided</w:t>
      </w:r>
      <w:r w:rsidR="00C64050">
        <w:t xml:space="preserve"> </w:t>
      </w:r>
      <w:r>
        <w:t>any</w:t>
      </w:r>
      <w:r w:rsidR="00C64050">
        <w:t xml:space="preserve"> </w:t>
      </w:r>
      <w:r>
        <w:t>goods</w:t>
      </w:r>
      <w:r w:rsidR="00C64050">
        <w:t xml:space="preserve"> </w:t>
      </w:r>
      <w:r>
        <w:t>or</w:t>
      </w:r>
      <w:r w:rsidR="00C64050">
        <w:t xml:space="preserve"> </w:t>
      </w:r>
      <w:r>
        <w:t>services</w:t>
      </w:r>
      <w:r w:rsidR="00C64050">
        <w:t xml:space="preserve"> </w:t>
      </w:r>
      <w:r>
        <w:t>in</w:t>
      </w:r>
      <w:r w:rsidR="00C64050">
        <w:t xml:space="preserve"> </w:t>
      </w:r>
      <w:r>
        <w:t>consideration</w:t>
      </w:r>
      <w:r w:rsidR="00C64050">
        <w:t xml:space="preserve"> </w:t>
      </w:r>
      <w:r>
        <w:t>for</w:t>
      </w:r>
      <w:r w:rsidR="00C64050">
        <w:t xml:space="preserve"> </w:t>
      </w:r>
      <w:r>
        <w:t>Mr.</w:t>
      </w:r>
      <w:r w:rsidR="00C64050">
        <w:t xml:space="preserve"> </w:t>
      </w:r>
      <w:r>
        <w:t>Campbell's</w:t>
      </w:r>
      <w:r w:rsidR="00C64050">
        <w:t xml:space="preserve"> </w:t>
      </w:r>
      <w:r>
        <w:t>contribution.</w:t>
      </w:r>
      <w:r w:rsidR="00C64050">
        <w:t xml:space="preserve"> </w:t>
      </w:r>
      <w:r>
        <w:t>As</w:t>
      </w:r>
      <w:r w:rsidR="00C64050">
        <w:t xml:space="preserve"> </w:t>
      </w:r>
      <w:r>
        <w:t>we</w:t>
      </w:r>
      <w:r w:rsidR="00C64050">
        <w:t xml:space="preserve"> </w:t>
      </w:r>
      <w:r>
        <w:t>have</w:t>
      </w:r>
      <w:r w:rsidR="00C64050">
        <w:t xml:space="preserve"> </w:t>
      </w:r>
      <w:r>
        <w:t>stated</w:t>
      </w:r>
      <w:r w:rsidR="00C64050">
        <w:t xml:space="preserve"> </w:t>
      </w:r>
      <w:r>
        <w:t>many</w:t>
      </w:r>
      <w:r w:rsidR="00C64050">
        <w:t xml:space="preserve"> </w:t>
      </w:r>
      <w:r>
        <w:t>times,</w:t>
      </w:r>
      <w:r w:rsidR="00C64050">
        <w:t xml:space="preserve"> </w:t>
      </w:r>
      <w:r>
        <w:t>the</w:t>
      </w:r>
      <w:r w:rsidR="00C64050">
        <w:t xml:space="preserve"> </w:t>
      </w:r>
      <w:r>
        <w:t>CWA</w:t>
      </w:r>
      <w:r w:rsidR="00C64050">
        <w:t xml:space="preserve"> </w:t>
      </w:r>
      <w:r>
        <w:t>must</w:t>
      </w:r>
      <w:r w:rsidR="00C64050">
        <w:t xml:space="preserve"> </w:t>
      </w:r>
      <w:r>
        <w:t>affirmatively</w:t>
      </w:r>
      <w:r w:rsidR="00C64050">
        <w:t xml:space="preserve"> </w:t>
      </w:r>
      <w:r>
        <w:t>state</w:t>
      </w:r>
      <w:r w:rsidR="00C64050">
        <w:t xml:space="preserve"> </w:t>
      </w:r>
      <w:r>
        <w:t>that</w:t>
      </w:r>
      <w:r w:rsidR="00C64050">
        <w:t xml:space="preserve"> </w:t>
      </w:r>
      <w:r>
        <w:t>no</w:t>
      </w:r>
      <w:r w:rsidR="00C64050">
        <w:t xml:space="preserve"> </w:t>
      </w:r>
      <w:r>
        <w:t>consideration</w:t>
      </w:r>
      <w:r w:rsidR="00C64050">
        <w:t xml:space="preserve"> </w:t>
      </w:r>
      <w:r>
        <w:t>was</w:t>
      </w:r>
      <w:r w:rsidR="00C64050">
        <w:t xml:space="preserve"> </w:t>
      </w:r>
      <w:r>
        <w:t>provided</w:t>
      </w:r>
      <w:r w:rsidR="00C64050">
        <w:t xml:space="preserve"> </w:t>
      </w:r>
      <w:r>
        <w:t>for</w:t>
      </w:r>
      <w:r w:rsidR="00C64050">
        <w:t xml:space="preserve"> </w:t>
      </w:r>
      <w:r>
        <w:t>the</w:t>
      </w:r>
      <w:r w:rsidR="00C64050">
        <w:t xml:space="preserve"> </w:t>
      </w:r>
      <w:r>
        <w:t>contributed</w:t>
      </w:r>
      <w:r w:rsidR="00C64050">
        <w:t xml:space="preserve"> </w:t>
      </w:r>
      <w:r>
        <w:t>property</w:t>
      </w:r>
      <w:r w:rsidR="00C64050">
        <w:t xml:space="preserve"> </w:t>
      </w:r>
      <w:r>
        <w:t>regardless</w:t>
      </w:r>
      <w:r w:rsidR="00C64050">
        <w:t xml:space="preserve"> </w:t>
      </w:r>
      <w:r>
        <w:t>of</w:t>
      </w:r>
      <w:r w:rsidR="00C64050">
        <w:t xml:space="preserve"> </w:t>
      </w:r>
      <w:r>
        <w:t>whether</w:t>
      </w:r>
      <w:r w:rsidR="00C64050">
        <w:t xml:space="preserve"> </w:t>
      </w:r>
      <w:r>
        <w:t>a</w:t>
      </w:r>
      <w:r w:rsidR="00C64050">
        <w:t xml:space="preserve"> </w:t>
      </w:r>
      <w:r>
        <w:t>taxpayer</w:t>
      </w:r>
      <w:r w:rsidR="00C64050">
        <w:t xml:space="preserve"> </w:t>
      </w:r>
      <w:r>
        <w:t>actually</w:t>
      </w:r>
      <w:r w:rsidR="00C64050">
        <w:t xml:space="preserve"> </w:t>
      </w:r>
      <w:r>
        <w:t>received</w:t>
      </w:r>
      <w:r w:rsidR="00C64050">
        <w:t xml:space="preserve"> </w:t>
      </w:r>
      <w:r>
        <w:t>any</w:t>
      </w:r>
      <w:r w:rsidR="00C64050">
        <w:t xml:space="preserve"> </w:t>
      </w:r>
      <w:r>
        <w:t>consideration;</w:t>
      </w:r>
      <w:r w:rsidR="00C64050">
        <w:t xml:space="preserve"> </w:t>
      </w:r>
      <w:r>
        <w:t>this</w:t>
      </w:r>
      <w:r w:rsidR="00C64050">
        <w:t xml:space="preserve"> </w:t>
      </w:r>
      <w:r>
        <w:t>is</w:t>
      </w:r>
      <w:r w:rsidR="00C64050">
        <w:t xml:space="preserve"> </w:t>
      </w:r>
      <w:r>
        <w:t>a</w:t>
      </w:r>
      <w:r w:rsidR="00C64050">
        <w:t xml:space="preserve"> </w:t>
      </w:r>
      <w:r>
        <w:t>mandatory</w:t>
      </w:r>
      <w:r w:rsidR="00C64050">
        <w:t xml:space="preserve"> </w:t>
      </w:r>
      <w:r>
        <w:t>requirement</w:t>
      </w:r>
      <w:r w:rsidR="00C64050">
        <w:t xml:space="preserve"> </w:t>
      </w:r>
      <w:r>
        <w:t>and</w:t>
      </w:r>
      <w:r w:rsidR="00C64050">
        <w:t xml:space="preserve"> </w:t>
      </w:r>
      <w:r>
        <w:t>no</w:t>
      </w:r>
      <w:r w:rsidR="00C64050">
        <w:t xml:space="preserve"> </w:t>
      </w:r>
      <w:r>
        <w:t>deduction</w:t>
      </w:r>
      <w:r w:rsidR="00C64050">
        <w:t xml:space="preserve"> </w:t>
      </w:r>
      <w:r>
        <w:t>will</w:t>
      </w:r>
      <w:r w:rsidR="00C64050">
        <w:t xml:space="preserve"> </w:t>
      </w:r>
      <w:r>
        <w:t>be</w:t>
      </w:r>
      <w:r w:rsidR="00C64050">
        <w:t xml:space="preserve"> </w:t>
      </w:r>
      <w:r>
        <w:t>allowed</w:t>
      </w:r>
      <w:r w:rsidR="00C64050">
        <w:t xml:space="preserve"> </w:t>
      </w:r>
      <w:r>
        <w:t>if</w:t>
      </w:r>
      <w:r w:rsidR="00C64050">
        <w:t xml:space="preserve"> </w:t>
      </w:r>
      <w:r>
        <w:t>the</w:t>
      </w:r>
      <w:r w:rsidR="00C64050">
        <w:t xml:space="preserve"> </w:t>
      </w:r>
      <w:r>
        <w:t>CWA</w:t>
      </w:r>
      <w:r w:rsidR="00C64050">
        <w:t xml:space="preserve"> </w:t>
      </w:r>
      <w:r>
        <w:t>does</w:t>
      </w:r>
      <w:r w:rsidR="00C64050">
        <w:t xml:space="preserve"> </w:t>
      </w:r>
      <w:r>
        <w:t>not</w:t>
      </w:r>
      <w:r w:rsidR="00C64050">
        <w:t xml:space="preserve"> </w:t>
      </w:r>
      <w:r>
        <w:t>include</w:t>
      </w:r>
      <w:r w:rsidR="00C64050">
        <w:t xml:space="preserve"> </w:t>
      </w:r>
      <w:r>
        <w:t>such</w:t>
      </w:r>
      <w:r w:rsidR="00C64050">
        <w:t xml:space="preserve"> </w:t>
      </w:r>
      <w:r>
        <w:t>a</w:t>
      </w:r>
      <w:r w:rsidR="00C64050">
        <w:t xml:space="preserve"> </w:t>
      </w:r>
      <w:r>
        <w:t>statement.</w:t>
      </w:r>
    </w:p>
    <w:p w:rsidR="00514AB2" w:rsidRDefault="00312E95" w:rsidP="00514AB2">
      <w:pPr>
        <w:pStyle w:val="Body15"/>
        <w:spacing w:before="240"/>
        <w:rPr>
          <w:color w:val="000000" w:themeColor="text1"/>
        </w:rPr>
      </w:pPr>
      <w:r>
        <w:rPr>
          <w:color w:val="000000" w:themeColor="text1"/>
        </w:rPr>
        <w:t>Ironically,</w:t>
      </w:r>
      <w:r w:rsidR="00C64050">
        <w:rPr>
          <w:color w:val="000000" w:themeColor="text1"/>
        </w:rPr>
        <w:t xml:space="preserve"> </w:t>
      </w:r>
      <w:r w:rsidR="00514AB2">
        <w:rPr>
          <w:color w:val="000000" w:themeColor="text1"/>
        </w:rPr>
        <w:t>the</w:t>
      </w:r>
      <w:r w:rsidR="00C64050">
        <w:rPr>
          <w:color w:val="000000" w:themeColor="text1"/>
        </w:rPr>
        <w:t xml:space="preserve"> </w:t>
      </w:r>
      <w:r w:rsidR="00514AB2">
        <w:rPr>
          <w:color w:val="000000" w:themeColor="text1"/>
        </w:rPr>
        <w:t>taxpayers</w:t>
      </w:r>
      <w:r w:rsidR="00C64050">
        <w:rPr>
          <w:color w:val="000000" w:themeColor="text1"/>
        </w:rPr>
        <w:t xml:space="preserve"> </w:t>
      </w:r>
      <w:r w:rsidR="00514AB2">
        <w:rPr>
          <w:color w:val="000000" w:themeColor="text1"/>
        </w:rPr>
        <w:t>avoided</w:t>
      </w:r>
      <w:r w:rsidR="00C64050">
        <w:rPr>
          <w:color w:val="000000" w:themeColor="text1"/>
        </w:rPr>
        <w:t xml:space="preserve"> </w:t>
      </w:r>
      <w:r w:rsidR="00514AB2">
        <w:rPr>
          <w:color w:val="000000" w:themeColor="text1"/>
        </w:rPr>
        <w:t>penalties</w:t>
      </w:r>
      <w:r w:rsidR="00C64050">
        <w:rPr>
          <w:color w:val="000000" w:themeColor="text1"/>
        </w:rPr>
        <w:t xml:space="preserve"> </w:t>
      </w:r>
      <w:r w:rsidR="00514AB2">
        <w:rPr>
          <w:color w:val="000000" w:themeColor="text1"/>
        </w:rPr>
        <w:t>because</w:t>
      </w:r>
      <w:r w:rsidR="00C64050">
        <w:rPr>
          <w:color w:val="000000" w:themeColor="text1"/>
        </w:rPr>
        <w:t xml:space="preserve"> </w:t>
      </w:r>
      <w:r w:rsidR="00514AB2">
        <w:rPr>
          <w:color w:val="000000" w:themeColor="text1"/>
        </w:rPr>
        <w:t>the</w:t>
      </w:r>
      <w:r w:rsidR="00C64050">
        <w:rPr>
          <w:color w:val="000000" w:themeColor="text1"/>
        </w:rPr>
        <w:t xml:space="preserve"> </w:t>
      </w:r>
      <w:r w:rsidR="00514AB2">
        <w:rPr>
          <w:color w:val="000000" w:themeColor="text1"/>
        </w:rPr>
        <w:t>IRS</w:t>
      </w:r>
      <w:r w:rsidR="00C64050">
        <w:rPr>
          <w:color w:val="000000" w:themeColor="text1"/>
        </w:rPr>
        <w:t xml:space="preserve"> </w:t>
      </w:r>
      <w:r w:rsidR="00514AB2">
        <w:rPr>
          <w:color w:val="000000" w:themeColor="text1"/>
        </w:rPr>
        <w:t>notice</w:t>
      </w:r>
      <w:r w:rsidR="00C64050">
        <w:rPr>
          <w:color w:val="000000" w:themeColor="text1"/>
        </w:rPr>
        <w:t xml:space="preserve"> </w:t>
      </w:r>
      <w:r w:rsidR="00514AB2">
        <w:rPr>
          <w:color w:val="000000" w:themeColor="text1"/>
        </w:rPr>
        <w:t>of</w:t>
      </w:r>
      <w:r w:rsidR="00C64050">
        <w:rPr>
          <w:color w:val="000000" w:themeColor="text1"/>
        </w:rPr>
        <w:t xml:space="preserve"> </w:t>
      </w:r>
      <w:r w:rsidR="00514AB2">
        <w:rPr>
          <w:color w:val="000000" w:themeColor="text1"/>
        </w:rPr>
        <w:t>penalties</w:t>
      </w:r>
      <w:r w:rsidR="00C64050">
        <w:rPr>
          <w:color w:val="000000" w:themeColor="text1"/>
        </w:rPr>
        <w:t xml:space="preserve"> </w:t>
      </w:r>
      <w:r w:rsidR="00514AB2">
        <w:rPr>
          <w:color w:val="000000" w:themeColor="text1"/>
        </w:rPr>
        <w:t>was</w:t>
      </w:r>
      <w:r w:rsidR="00C64050">
        <w:rPr>
          <w:color w:val="000000" w:themeColor="text1"/>
        </w:rPr>
        <w:t xml:space="preserve"> </w:t>
      </w:r>
      <w:r w:rsidR="00514AB2">
        <w:rPr>
          <w:color w:val="000000" w:themeColor="text1"/>
        </w:rPr>
        <w:t>defective:</w:t>
      </w:r>
    </w:p>
    <w:p w:rsidR="00514AB2" w:rsidRDefault="006D50CD" w:rsidP="006D50CD">
      <w:pPr>
        <w:pStyle w:val="QS10"/>
      </w:pPr>
      <w:r>
        <w:t>On</w:t>
      </w:r>
      <w:r w:rsidR="00C64050">
        <w:t xml:space="preserve"> </w:t>
      </w:r>
      <w:r>
        <w:t>the</w:t>
      </w:r>
      <w:r w:rsidR="00C64050">
        <w:t xml:space="preserve"> </w:t>
      </w:r>
      <w:r>
        <w:t>basis</w:t>
      </w:r>
      <w:r w:rsidR="00C64050">
        <w:t xml:space="preserve"> </w:t>
      </w:r>
      <w:r>
        <w:t>of</w:t>
      </w:r>
      <w:r w:rsidR="00C64050">
        <w:t xml:space="preserve"> </w:t>
      </w:r>
      <w:r>
        <w:t>the</w:t>
      </w:r>
      <w:r w:rsidR="00C64050">
        <w:t xml:space="preserve"> </w:t>
      </w:r>
      <w:r>
        <w:t>record</w:t>
      </w:r>
      <w:r w:rsidR="00C64050">
        <w:t xml:space="preserve"> </w:t>
      </w:r>
      <w:r>
        <w:t>before</w:t>
      </w:r>
      <w:r w:rsidR="00C64050">
        <w:t xml:space="preserve"> </w:t>
      </w:r>
      <w:r>
        <w:t>us,</w:t>
      </w:r>
      <w:r w:rsidR="00C64050">
        <w:t xml:space="preserve"> </w:t>
      </w:r>
      <w:r>
        <w:t>we</w:t>
      </w:r>
      <w:r w:rsidR="00C64050">
        <w:t xml:space="preserve"> </w:t>
      </w:r>
      <w:r>
        <w:t>hold</w:t>
      </w:r>
      <w:r w:rsidR="00C64050">
        <w:t xml:space="preserve"> </w:t>
      </w:r>
      <w:r>
        <w:t>that</w:t>
      </w:r>
      <w:r w:rsidR="00C64050">
        <w:t xml:space="preserve"> </w:t>
      </w:r>
      <w:r>
        <w:t>respondent</w:t>
      </w:r>
      <w:r w:rsidR="00C64050">
        <w:t xml:space="preserve"> </w:t>
      </w:r>
      <w:r>
        <w:t>has</w:t>
      </w:r>
      <w:r w:rsidR="00C64050">
        <w:t xml:space="preserve"> </w:t>
      </w:r>
      <w:r>
        <w:t>failed</w:t>
      </w:r>
      <w:r w:rsidR="00C64050">
        <w:t xml:space="preserve"> </w:t>
      </w:r>
      <w:r>
        <w:t>to</w:t>
      </w:r>
      <w:r w:rsidR="00C64050">
        <w:t xml:space="preserve"> </w:t>
      </w:r>
      <w:r>
        <w:t>carry</w:t>
      </w:r>
      <w:r w:rsidR="00C64050">
        <w:t xml:space="preserve"> </w:t>
      </w:r>
      <w:r>
        <w:t>his</w:t>
      </w:r>
      <w:r w:rsidR="00C64050">
        <w:t xml:space="preserve"> </w:t>
      </w:r>
      <w:r>
        <w:t>initial</w:t>
      </w:r>
      <w:r w:rsidR="00C64050">
        <w:t xml:space="preserve"> </w:t>
      </w:r>
      <w:r>
        <w:t>burden</w:t>
      </w:r>
      <w:r w:rsidR="00C64050">
        <w:t xml:space="preserve"> </w:t>
      </w:r>
      <w:r>
        <w:t>of</w:t>
      </w:r>
      <w:r w:rsidR="00C64050">
        <w:t xml:space="preserve"> </w:t>
      </w:r>
      <w:r>
        <w:t>production</w:t>
      </w:r>
      <w:r w:rsidR="00C64050">
        <w:t xml:space="preserve"> </w:t>
      </w:r>
      <w:r>
        <w:t>under</w:t>
      </w:r>
      <w:r w:rsidR="00C64050">
        <w:t xml:space="preserve"> </w:t>
      </w:r>
      <w:r w:rsidRPr="006D50CD">
        <w:t>section</w:t>
      </w:r>
      <w:r w:rsidR="00C64050">
        <w:t xml:space="preserve"> </w:t>
      </w:r>
      <w:r w:rsidRPr="006D50CD">
        <w:t>7491(c)</w:t>
      </w:r>
      <w:r w:rsidR="00C64050">
        <w:t xml:space="preserve"> </w:t>
      </w:r>
      <w:r>
        <w:t>to</w:t>
      </w:r>
      <w:r w:rsidR="00C64050">
        <w:t xml:space="preserve"> </w:t>
      </w:r>
      <w:r>
        <w:t>show</w:t>
      </w:r>
      <w:r w:rsidR="00C64050">
        <w:t xml:space="preserve"> </w:t>
      </w:r>
      <w:r>
        <w:t>that</w:t>
      </w:r>
      <w:r w:rsidR="00C64050">
        <w:t xml:space="preserve"> </w:t>
      </w:r>
      <w:r>
        <w:t>he</w:t>
      </w:r>
      <w:r w:rsidR="00C64050">
        <w:t xml:space="preserve"> </w:t>
      </w:r>
      <w:r>
        <w:t>complied</w:t>
      </w:r>
      <w:r w:rsidR="00C64050">
        <w:t xml:space="preserve"> </w:t>
      </w:r>
      <w:r>
        <w:t>with</w:t>
      </w:r>
      <w:r w:rsidR="00C64050">
        <w:t xml:space="preserve"> </w:t>
      </w:r>
      <w:r>
        <w:t>the</w:t>
      </w:r>
      <w:r w:rsidR="00C64050">
        <w:t xml:space="preserve"> </w:t>
      </w:r>
      <w:r>
        <w:t>procedural</w:t>
      </w:r>
      <w:r w:rsidR="00C64050">
        <w:t xml:space="preserve"> </w:t>
      </w:r>
      <w:r>
        <w:t>requirements</w:t>
      </w:r>
      <w:r w:rsidR="00C64050">
        <w:t xml:space="preserve"> </w:t>
      </w:r>
      <w:r>
        <w:t>of</w:t>
      </w:r>
      <w:r w:rsidR="00C64050">
        <w:t xml:space="preserve"> </w:t>
      </w:r>
      <w:r w:rsidRPr="006D50CD">
        <w:t>section</w:t>
      </w:r>
      <w:r w:rsidR="00C64050">
        <w:t xml:space="preserve"> </w:t>
      </w:r>
      <w:r w:rsidRPr="006D50CD">
        <w:t>6751(b)</w:t>
      </w:r>
      <w:r>
        <w:t>.</w:t>
      </w:r>
      <w:r w:rsidR="00C64050">
        <w:t xml:space="preserve"> </w:t>
      </w:r>
      <w:r>
        <w:t>The</w:t>
      </w:r>
      <w:r w:rsidR="00C64050">
        <w:t xml:space="preserve"> </w:t>
      </w:r>
      <w:r>
        <w:t>Civil</w:t>
      </w:r>
      <w:r w:rsidR="00C64050">
        <w:t xml:space="preserve"> </w:t>
      </w:r>
      <w:r>
        <w:t>Penalty</w:t>
      </w:r>
      <w:r w:rsidR="00C64050">
        <w:t xml:space="preserve"> </w:t>
      </w:r>
      <w:r>
        <w:t>Approval</w:t>
      </w:r>
      <w:r w:rsidR="00C64050">
        <w:t xml:space="preserve"> </w:t>
      </w:r>
      <w:r>
        <w:t>Form,</w:t>
      </w:r>
      <w:r w:rsidR="00C64050">
        <w:t xml:space="preserve"> </w:t>
      </w:r>
      <w:r>
        <w:t>although</w:t>
      </w:r>
      <w:r w:rsidR="00C64050">
        <w:t xml:space="preserve"> </w:t>
      </w:r>
      <w:r>
        <w:t>properly</w:t>
      </w:r>
      <w:r w:rsidR="00C64050">
        <w:t xml:space="preserve"> </w:t>
      </w:r>
      <w:r>
        <w:t>signed</w:t>
      </w:r>
      <w:r w:rsidR="00C64050">
        <w:t xml:space="preserve"> </w:t>
      </w:r>
      <w:r>
        <w:t>and</w:t>
      </w:r>
      <w:r w:rsidR="00C64050">
        <w:t xml:space="preserve"> </w:t>
      </w:r>
      <w:r>
        <w:t>dated</w:t>
      </w:r>
      <w:r w:rsidR="00C64050">
        <w:t xml:space="preserve"> </w:t>
      </w:r>
      <w:r>
        <w:t>before</w:t>
      </w:r>
      <w:r w:rsidR="00C64050">
        <w:t xml:space="preserve"> </w:t>
      </w:r>
      <w:r>
        <w:t>the</w:t>
      </w:r>
      <w:r w:rsidR="00C64050">
        <w:t xml:space="preserve"> </w:t>
      </w:r>
      <w:r>
        <w:t>issuance</w:t>
      </w:r>
      <w:r w:rsidR="00C64050">
        <w:t xml:space="preserve"> </w:t>
      </w:r>
      <w:r>
        <w:t>of</w:t>
      </w:r>
      <w:r w:rsidR="00C64050">
        <w:t xml:space="preserve"> </w:t>
      </w:r>
      <w:r>
        <w:t>the</w:t>
      </w:r>
      <w:r w:rsidR="00C64050">
        <w:t xml:space="preserve"> </w:t>
      </w:r>
      <w:r>
        <w:t>notice</w:t>
      </w:r>
      <w:r w:rsidR="00C64050">
        <w:t xml:space="preserve"> </w:t>
      </w:r>
      <w:r>
        <w:t>of</w:t>
      </w:r>
      <w:r w:rsidR="00C64050">
        <w:t xml:space="preserve"> </w:t>
      </w:r>
      <w:r>
        <w:t>deficiency</w:t>
      </w:r>
      <w:r w:rsidR="00C64050">
        <w:t xml:space="preserve"> </w:t>
      </w:r>
      <w:r>
        <w:t>(the</w:t>
      </w:r>
      <w:r w:rsidR="00C64050">
        <w:t xml:space="preserve"> </w:t>
      </w:r>
      <w:r>
        <w:t>first</w:t>
      </w:r>
      <w:r w:rsidR="00C64050">
        <w:t xml:space="preserve"> </w:t>
      </w:r>
      <w:r>
        <w:t>formal</w:t>
      </w:r>
      <w:r w:rsidR="00C64050">
        <w:t xml:space="preserve"> </w:t>
      </w:r>
      <w:r>
        <w:t>communication</w:t>
      </w:r>
      <w:r w:rsidR="00C64050">
        <w:t xml:space="preserve"> </w:t>
      </w:r>
      <w:r>
        <w:t>of</w:t>
      </w:r>
      <w:r w:rsidR="00C64050">
        <w:t xml:space="preserve"> </w:t>
      </w:r>
      <w:r>
        <w:t>penalties</w:t>
      </w:r>
      <w:r w:rsidR="00C64050">
        <w:t xml:space="preserve"> </w:t>
      </w:r>
      <w:r>
        <w:t>to</w:t>
      </w:r>
      <w:r w:rsidR="00C64050">
        <w:t xml:space="preserve"> </w:t>
      </w:r>
      <w:r>
        <w:t>petitioners),</w:t>
      </w:r>
      <w:r w:rsidR="00C64050">
        <w:t xml:space="preserve"> </w:t>
      </w:r>
      <w:r>
        <w:t>does</w:t>
      </w:r>
      <w:r w:rsidR="00C64050">
        <w:t xml:space="preserve"> </w:t>
      </w:r>
      <w:r>
        <w:t>not</w:t>
      </w:r>
      <w:r w:rsidR="00C64050">
        <w:t xml:space="preserve"> </w:t>
      </w:r>
      <w:r>
        <w:t>show</w:t>
      </w:r>
      <w:r w:rsidR="00C64050">
        <w:t xml:space="preserve"> </w:t>
      </w:r>
      <w:r>
        <w:t>separate</w:t>
      </w:r>
      <w:r w:rsidR="00C64050">
        <w:t xml:space="preserve"> </w:t>
      </w:r>
      <w:r>
        <w:t>approval</w:t>
      </w:r>
      <w:r w:rsidR="00C64050">
        <w:t xml:space="preserve"> </w:t>
      </w:r>
      <w:r>
        <w:t>for</w:t>
      </w:r>
      <w:r w:rsidR="00C64050">
        <w:t xml:space="preserve"> </w:t>
      </w:r>
      <w:r>
        <w:t>the</w:t>
      </w:r>
      <w:r w:rsidR="00C64050">
        <w:t xml:space="preserve"> </w:t>
      </w:r>
      <w:r w:rsidRPr="006D50CD">
        <w:t>section</w:t>
      </w:r>
      <w:r w:rsidR="00C64050">
        <w:t xml:space="preserve"> </w:t>
      </w:r>
      <w:r w:rsidRPr="006D50CD">
        <w:t>6662(a)</w:t>
      </w:r>
      <w:r w:rsidR="00C64050">
        <w:t xml:space="preserve"> </w:t>
      </w:r>
      <w:r>
        <w:t>and</w:t>
      </w:r>
      <w:r w:rsidR="00C64050">
        <w:t xml:space="preserve"> </w:t>
      </w:r>
      <w:r w:rsidRPr="006D50CD">
        <w:t>(h)</w:t>
      </w:r>
      <w:r w:rsidR="00C64050">
        <w:t xml:space="preserve"> </w:t>
      </w:r>
      <w:r>
        <w:t>penalties.</w:t>
      </w:r>
      <w:r w:rsidR="00C64050">
        <w:t xml:space="preserve"> </w:t>
      </w:r>
      <w:r>
        <w:t>The</w:t>
      </w:r>
      <w:r w:rsidR="00C64050">
        <w:t xml:space="preserve"> </w:t>
      </w:r>
      <w:r>
        <w:t>one-page</w:t>
      </w:r>
      <w:r w:rsidR="00C64050">
        <w:t xml:space="preserve"> </w:t>
      </w:r>
      <w:r>
        <w:t>form</w:t>
      </w:r>
      <w:r w:rsidR="00C64050">
        <w:t xml:space="preserve"> </w:t>
      </w:r>
      <w:r>
        <w:t>fails</w:t>
      </w:r>
      <w:r w:rsidR="00C64050">
        <w:t xml:space="preserve"> </w:t>
      </w:r>
      <w:r>
        <w:t>to</w:t>
      </w:r>
      <w:r w:rsidR="00C64050">
        <w:t xml:space="preserve"> </w:t>
      </w:r>
      <w:r>
        <w:t>state</w:t>
      </w:r>
      <w:r w:rsidR="00C64050">
        <w:t xml:space="preserve"> </w:t>
      </w:r>
      <w:r>
        <w:t>with</w:t>
      </w:r>
      <w:r w:rsidR="00C64050">
        <w:t xml:space="preserve"> </w:t>
      </w:r>
      <w:r>
        <w:t>any</w:t>
      </w:r>
      <w:r w:rsidR="00C64050">
        <w:t xml:space="preserve"> </w:t>
      </w:r>
      <w:r>
        <w:t>degree</w:t>
      </w:r>
      <w:r w:rsidR="00C64050">
        <w:t xml:space="preserve"> </w:t>
      </w:r>
      <w:r>
        <w:t>of</w:t>
      </w:r>
      <w:r w:rsidR="00C64050">
        <w:t xml:space="preserve"> </w:t>
      </w:r>
      <w:r>
        <w:t>specificity</w:t>
      </w:r>
      <w:r w:rsidR="00C64050">
        <w:t xml:space="preserve"> </w:t>
      </w:r>
      <w:r>
        <w:t>which</w:t>
      </w:r>
      <w:r w:rsidR="00C64050">
        <w:t xml:space="preserve"> </w:t>
      </w:r>
      <w:r>
        <w:t>penalties</w:t>
      </w:r>
      <w:r w:rsidR="00C64050">
        <w:t xml:space="preserve"> </w:t>
      </w:r>
      <w:r>
        <w:t>should</w:t>
      </w:r>
      <w:r w:rsidR="00C64050">
        <w:t xml:space="preserve"> </w:t>
      </w:r>
      <w:r>
        <w:t>be</w:t>
      </w:r>
      <w:r w:rsidR="00C64050">
        <w:t xml:space="preserve"> </w:t>
      </w:r>
      <w:r>
        <w:t>asserted</w:t>
      </w:r>
      <w:r w:rsidR="00C64050">
        <w:t xml:space="preserve"> </w:t>
      </w:r>
      <w:r>
        <w:t>(and</w:t>
      </w:r>
      <w:r w:rsidR="00C64050">
        <w:t xml:space="preserve"> </w:t>
      </w:r>
      <w:r>
        <w:t>are</w:t>
      </w:r>
      <w:r w:rsidR="00C64050">
        <w:t xml:space="preserve"> </w:t>
      </w:r>
      <w:r>
        <w:t>approved);</w:t>
      </w:r>
      <w:r w:rsidR="00C64050">
        <w:t xml:space="preserve"> </w:t>
      </w:r>
      <w:r>
        <w:t>indeed,</w:t>
      </w:r>
      <w:r w:rsidR="00C64050">
        <w:t xml:space="preserve"> </w:t>
      </w:r>
      <w:r>
        <w:t>all</w:t>
      </w:r>
      <w:r w:rsidR="00C64050">
        <w:t xml:space="preserve"> </w:t>
      </w:r>
      <w:r>
        <w:t>that</w:t>
      </w:r>
      <w:r w:rsidR="00C64050">
        <w:t xml:space="preserve"> </w:t>
      </w:r>
      <w:r>
        <w:t>the</w:t>
      </w:r>
      <w:r w:rsidR="00C64050">
        <w:t xml:space="preserve"> </w:t>
      </w:r>
      <w:r>
        <w:t>form</w:t>
      </w:r>
      <w:r w:rsidR="00C64050">
        <w:t xml:space="preserve"> </w:t>
      </w:r>
      <w:r>
        <w:t>states</w:t>
      </w:r>
      <w:r w:rsidR="00C64050">
        <w:t xml:space="preserve"> </w:t>
      </w:r>
      <w:r>
        <w:t>is</w:t>
      </w:r>
      <w:r w:rsidR="00C64050">
        <w:t xml:space="preserve"> </w:t>
      </w:r>
      <w:r>
        <w:t>that</w:t>
      </w:r>
      <w:r w:rsidR="00C64050">
        <w:t xml:space="preserve"> </w:t>
      </w:r>
      <w:r>
        <w:t>a</w:t>
      </w:r>
      <w:r w:rsidR="00C64050">
        <w:t xml:space="preserve"> </w:t>
      </w:r>
      <w:r>
        <w:t>“[p]enalty</w:t>
      </w:r>
      <w:r w:rsidR="00C64050">
        <w:t xml:space="preserve"> </w:t>
      </w:r>
      <w:r>
        <w:t>will</w:t>
      </w:r>
      <w:r w:rsidR="00C64050">
        <w:t xml:space="preserve"> </w:t>
      </w:r>
      <w:r>
        <w:t>be</w:t>
      </w:r>
      <w:r w:rsidR="00C64050">
        <w:t xml:space="preserve"> </w:t>
      </w:r>
      <w:r>
        <w:t>asserted</w:t>
      </w:r>
      <w:r w:rsidR="00C64050">
        <w:t xml:space="preserve"> </w:t>
      </w:r>
      <w:r>
        <w:t>with</w:t>
      </w:r>
      <w:r w:rsidR="00C64050">
        <w:t xml:space="preserve"> </w:t>
      </w:r>
      <w:r>
        <w:t>the</w:t>
      </w:r>
      <w:r w:rsidR="00C64050">
        <w:t xml:space="preserve"> </w:t>
      </w:r>
      <w:r>
        <w:t>2008</w:t>
      </w:r>
      <w:r w:rsidR="00C64050">
        <w:t xml:space="preserve"> </w:t>
      </w:r>
      <w:r>
        <w:t>[y]ear.”</w:t>
      </w:r>
      <w:r w:rsidR="00C64050">
        <w:t xml:space="preserve"> </w:t>
      </w:r>
      <w:r w:rsidRPr="006D50CD">
        <w:t>Section</w:t>
      </w:r>
      <w:r w:rsidR="00C64050">
        <w:t xml:space="preserve"> </w:t>
      </w:r>
      <w:r w:rsidRPr="006D50CD">
        <w:t>6751(b)(1)</w:t>
      </w:r>
      <w:r w:rsidR="00C64050">
        <w:t xml:space="preserve"> </w:t>
      </w:r>
      <w:r>
        <w:t>would</w:t>
      </w:r>
      <w:r w:rsidR="00C64050">
        <w:t xml:space="preserve"> </w:t>
      </w:r>
      <w:r>
        <w:t>be</w:t>
      </w:r>
      <w:r w:rsidR="00C64050">
        <w:t xml:space="preserve"> </w:t>
      </w:r>
      <w:r>
        <w:t>meaningless</w:t>
      </w:r>
      <w:r w:rsidR="00C64050">
        <w:t xml:space="preserve"> </w:t>
      </w:r>
      <w:r>
        <w:t>if</w:t>
      </w:r>
      <w:r w:rsidR="00C64050">
        <w:t xml:space="preserve"> </w:t>
      </w:r>
      <w:r>
        <w:t>written</w:t>
      </w:r>
      <w:r w:rsidR="00C64050">
        <w:t xml:space="preserve"> </w:t>
      </w:r>
      <w:r>
        <w:t>supervisory</w:t>
      </w:r>
      <w:r w:rsidR="00C64050">
        <w:t xml:space="preserve"> </w:t>
      </w:r>
      <w:r>
        <w:t>approval</w:t>
      </w:r>
      <w:r w:rsidR="00C64050">
        <w:t xml:space="preserve"> </w:t>
      </w:r>
      <w:r>
        <w:t>of</w:t>
      </w:r>
      <w:r w:rsidR="00C64050">
        <w:t xml:space="preserve"> </w:t>
      </w:r>
      <w:r>
        <w:t>an</w:t>
      </w:r>
      <w:r w:rsidR="00C64050">
        <w:t xml:space="preserve"> </w:t>
      </w:r>
      <w:r>
        <w:t>unspecified</w:t>
      </w:r>
      <w:r w:rsidR="00C64050">
        <w:t xml:space="preserve"> </w:t>
      </w:r>
      <w:r>
        <w:t>penalty</w:t>
      </w:r>
      <w:r w:rsidR="00C64050">
        <w:t xml:space="preserve"> </w:t>
      </w:r>
      <w:r>
        <w:t>was</w:t>
      </w:r>
      <w:r w:rsidR="00C64050">
        <w:t xml:space="preserve"> </w:t>
      </w:r>
      <w:r>
        <w:t>sufficient;</w:t>
      </w:r>
      <w:r w:rsidR="00C64050">
        <w:t xml:space="preserve"> </w:t>
      </w:r>
      <w:r>
        <w:t>examining</w:t>
      </w:r>
      <w:r w:rsidR="00C64050">
        <w:t xml:space="preserve"> </w:t>
      </w:r>
      <w:r>
        <w:t>agents</w:t>
      </w:r>
      <w:r w:rsidR="00C64050">
        <w:t xml:space="preserve"> </w:t>
      </w:r>
      <w:r>
        <w:t>would</w:t>
      </w:r>
      <w:r w:rsidR="00C64050">
        <w:t xml:space="preserve"> </w:t>
      </w:r>
      <w:r>
        <w:t>be</w:t>
      </w:r>
      <w:r w:rsidR="00C64050">
        <w:t xml:space="preserve"> </w:t>
      </w:r>
      <w:r>
        <w:t>free</w:t>
      </w:r>
      <w:r w:rsidR="00C64050">
        <w:t xml:space="preserve"> </w:t>
      </w:r>
      <w:r>
        <w:t>to</w:t>
      </w:r>
      <w:r w:rsidR="00C64050">
        <w:t xml:space="preserve"> </w:t>
      </w:r>
      <w:r>
        <w:t>assert</w:t>
      </w:r>
      <w:r w:rsidR="00C64050">
        <w:t xml:space="preserve"> </w:t>
      </w:r>
      <w:r>
        <w:t>any</w:t>
      </w:r>
      <w:r w:rsidR="00C64050">
        <w:t xml:space="preserve"> </w:t>
      </w:r>
      <w:r>
        <w:t>type</w:t>
      </w:r>
      <w:r w:rsidR="00C64050">
        <w:t xml:space="preserve"> </w:t>
      </w:r>
      <w:r>
        <w:t>of</w:t>
      </w:r>
      <w:r w:rsidR="00C64050">
        <w:t xml:space="preserve"> </w:t>
      </w:r>
      <w:r>
        <w:t>penalty</w:t>
      </w:r>
      <w:r w:rsidR="00C64050">
        <w:t xml:space="preserve"> </w:t>
      </w:r>
      <w:r>
        <w:t>after</w:t>
      </w:r>
      <w:r w:rsidR="00C64050">
        <w:t xml:space="preserve"> </w:t>
      </w:r>
      <w:r>
        <w:t>written</w:t>
      </w:r>
      <w:r w:rsidR="00C64050">
        <w:t xml:space="preserve"> </w:t>
      </w:r>
      <w:r>
        <w:t>supervisory</w:t>
      </w:r>
      <w:r w:rsidR="00C64050">
        <w:t xml:space="preserve"> </w:t>
      </w:r>
      <w:r>
        <w:t>approval</w:t>
      </w:r>
      <w:r w:rsidR="00C64050">
        <w:t xml:space="preserve"> </w:t>
      </w:r>
      <w:r>
        <w:t>was</w:t>
      </w:r>
      <w:r w:rsidR="00C64050">
        <w:t xml:space="preserve"> </w:t>
      </w:r>
      <w:r>
        <w:t>given,</w:t>
      </w:r>
      <w:r w:rsidR="00C64050">
        <w:t xml:space="preserve"> </w:t>
      </w:r>
      <w:r>
        <w:t>an</w:t>
      </w:r>
      <w:r w:rsidR="00C64050">
        <w:t xml:space="preserve"> </w:t>
      </w:r>
      <w:r>
        <w:t>action</w:t>
      </w:r>
      <w:r w:rsidR="00C64050">
        <w:t xml:space="preserve"> </w:t>
      </w:r>
      <w:r>
        <w:t>that</w:t>
      </w:r>
      <w:r w:rsidR="00C64050">
        <w:t xml:space="preserve"> </w:t>
      </w:r>
      <w:r w:rsidRPr="006D50CD">
        <w:t>section</w:t>
      </w:r>
      <w:r w:rsidR="00C64050">
        <w:t xml:space="preserve"> </w:t>
      </w:r>
      <w:r w:rsidRPr="006D50CD">
        <w:t>6751(b)(1)</w:t>
      </w:r>
      <w:r w:rsidR="00C64050">
        <w:t xml:space="preserve"> </w:t>
      </w:r>
      <w:r>
        <w:t>was</w:t>
      </w:r>
      <w:r w:rsidR="00C64050">
        <w:t xml:space="preserve"> </w:t>
      </w:r>
      <w:r>
        <w:t>designed</w:t>
      </w:r>
      <w:r w:rsidR="00C64050">
        <w:t xml:space="preserve"> </w:t>
      </w:r>
      <w:r>
        <w:t>to</w:t>
      </w:r>
      <w:r w:rsidR="00C64050">
        <w:t xml:space="preserve"> </w:t>
      </w:r>
      <w:r>
        <w:t>prevent.</w:t>
      </w:r>
      <w:r w:rsidR="00C64050">
        <w:t xml:space="preserve"> </w:t>
      </w:r>
      <w:r>
        <w:t>Consequently,</w:t>
      </w:r>
      <w:r w:rsidR="00C64050">
        <w:t xml:space="preserve"> </w:t>
      </w:r>
      <w:r>
        <w:t>since</w:t>
      </w:r>
      <w:r w:rsidR="00C64050">
        <w:t xml:space="preserve"> </w:t>
      </w:r>
      <w:r>
        <w:t>respondent</w:t>
      </w:r>
      <w:r w:rsidR="00C64050">
        <w:t xml:space="preserve"> </w:t>
      </w:r>
      <w:r>
        <w:t>has</w:t>
      </w:r>
      <w:r w:rsidR="00C64050">
        <w:t xml:space="preserve"> </w:t>
      </w:r>
      <w:r>
        <w:t>not</w:t>
      </w:r>
      <w:r w:rsidR="00C64050">
        <w:t xml:space="preserve"> </w:t>
      </w:r>
      <w:r>
        <w:t>proffered</w:t>
      </w:r>
      <w:r w:rsidR="00C64050">
        <w:t xml:space="preserve"> </w:t>
      </w:r>
      <w:r>
        <w:t>any</w:t>
      </w:r>
      <w:r w:rsidR="00C64050">
        <w:t xml:space="preserve"> </w:t>
      </w:r>
      <w:r>
        <w:t>other</w:t>
      </w:r>
      <w:r w:rsidR="00C64050">
        <w:t xml:space="preserve"> </w:t>
      </w:r>
      <w:r>
        <w:t>evidence</w:t>
      </w:r>
      <w:r w:rsidR="00C64050">
        <w:t xml:space="preserve"> </w:t>
      </w:r>
      <w:r>
        <w:t>that</w:t>
      </w:r>
      <w:r w:rsidR="00C64050">
        <w:t xml:space="preserve"> </w:t>
      </w:r>
      <w:r>
        <w:t>he</w:t>
      </w:r>
      <w:r w:rsidR="00C64050">
        <w:t xml:space="preserve"> </w:t>
      </w:r>
      <w:r>
        <w:t>complied</w:t>
      </w:r>
      <w:r w:rsidR="00C64050">
        <w:t xml:space="preserve"> </w:t>
      </w:r>
      <w:r>
        <w:t>with</w:t>
      </w:r>
      <w:r w:rsidR="00C64050">
        <w:t xml:space="preserve"> </w:t>
      </w:r>
      <w:r>
        <w:t>the</w:t>
      </w:r>
      <w:r w:rsidR="00C64050">
        <w:t xml:space="preserve"> </w:t>
      </w:r>
      <w:r>
        <w:t>procedural</w:t>
      </w:r>
      <w:r w:rsidR="00C64050">
        <w:t xml:space="preserve"> </w:t>
      </w:r>
      <w:r>
        <w:t>requirements</w:t>
      </w:r>
      <w:r w:rsidR="00C64050">
        <w:t xml:space="preserve"> </w:t>
      </w:r>
      <w:r>
        <w:t>of</w:t>
      </w:r>
      <w:r w:rsidR="00C64050">
        <w:t xml:space="preserve"> </w:t>
      </w:r>
      <w:r w:rsidRPr="006D50CD">
        <w:t>section</w:t>
      </w:r>
      <w:r w:rsidR="00C64050">
        <w:t xml:space="preserve"> </w:t>
      </w:r>
      <w:r w:rsidRPr="006D50CD">
        <w:t>6751(b)</w:t>
      </w:r>
      <w:r>
        <w:t>,</w:t>
      </w:r>
      <w:r w:rsidR="00C64050">
        <w:t xml:space="preserve"> </w:t>
      </w:r>
      <w:r>
        <w:t>petitioners</w:t>
      </w:r>
      <w:r w:rsidR="00C64050">
        <w:t xml:space="preserve"> </w:t>
      </w:r>
      <w:r>
        <w:t>are</w:t>
      </w:r>
      <w:r w:rsidR="00C64050">
        <w:t xml:space="preserve"> </w:t>
      </w:r>
      <w:r>
        <w:t>not</w:t>
      </w:r>
      <w:r w:rsidR="00C64050">
        <w:t xml:space="preserve"> </w:t>
      </w:r>
      <w:r>
        <w:t>liable</w:t>
      </w:r>
      <w:r w:rsidR="00C64050">
        <w:t xml:space="preserve"> </w:t>
      </w:r>
      <w:r>
        <w:t>for</w:t>
      </w:r>
      <w:r w:rsidR="00C64050">
        <w:t xml:space="preserve"> </w:t>
      </w:r>
      <w:r>
        <w:t>the</w:t>
      </w:r>
      <w:r w:rsidR="00C64050">
        <w:t xml:space="preserve"> </w:t>
      </w:r>
      <w:r w:rsidRPr="006D50CD">
        <w:t>section</w:t>
      </w:r>
      <w:r w:rsidR="00C64050">
        <w:t xml:space="preserve"> </w:t>
      </w:r>
      <w:r w:rsidRPr="006D50CD">
        <w:t>6662(a)</w:t>
      </w:r>
      <w:r w:rsidR="00C64050">
        <w:t xml:space="preserve"> </w:t>
      </w:r>
      <w:r>
        <w:t>and</w:t>
      </w:r>
      <w:r w:rsidR="00C64050">
        <w:t xml:space="preserve"> </w:t>
      </w:r>
      <w:r w:rsidRPr="006D50CD">
        <w:t>(h)</w:t>
      </w:r>
      <w:r w:rsidR="00C64050">
        <w:t xml:space="preserve"> </w:t>
      </w:r>
      <w:r>
        <w:t>accuracy-related</w:t>
      </w:r>
      <w:r w:rsidR="00C64050">
        <w:t xml:space="preserve"> </w:t>
      </w:r>
      <w:r>
        <w:t>penalties.</w:t>
      </w:r>
    </w:p>
    <w:p w:rsidR="0006315F" w:rsidRPr="0006315F" w:rsidRDefault="0006315F" w:rsidP="0006315F">
      <w:pPr>
        <w:pStyle w:val="Body15"/>
        <w:spacing w:before="240"/>
      </w:pPr>
      <w:r>
        <w:t xml:space="preserve">In </w:t>
      </w:r>
      <w:r>
        <w:rPr>
          <w:u w:val="single"/>
        </w:rPr>
        <w:t>Chiarelli v. Commissioner</w:t>
      </w:r>
      <w:r>
        <w:t xml:space="preserve">, T.C. Memo. 2021-27, the Tax Court denied charitable contribution of various sizes - </w:t>
      </w:r>
      <w:r w:rsidR="00511298">
        <w:t xml:space="preserve">&gt; </w:t>
      </w:r>
      <w:r>
        <w:t xml:space="preserve">$250 because of no </w:t>
      </w:r>
      <w:r w:rsidR="00984E6E" w:rsidRPr="00984E6E">
        <w:t>contemporaneous</w:t>
      </w:r>
      <w:r>
        <w:t xml:space="preserve"> written acknowledgement,</w:t>
      </w:r>
      <w:r w:rsidR="00511298">
        <w:t xml:space="preserve"> &gt;</w:t>
      </w:r>
      <w:r>
        <w:t xml:space="preserve"> $500 because of no acknowledgement and no form 8283 completed per instructions, and</w:t>
      </w:r>
      <w:r w:rsidR="00511298">
        <w:t xml:space="preserve"> &gt;</w:t>
      </w:r>
      <w:r>
        <w:t xml:space="preserve"> $5,000, no appraisal.  The taxpayer was a lawyer and</w:t>
      </w:r>
      <w:r w:rsidR="00984E6E">
        <w:t xml:space="preserve"> </w:t>
      </w:r>
      <w:r>
        <w:t>t</w:t>
      </w:r>
      <w:r w:rsidR="00984E6E">
        <w:t>h</w:t>
      </w:r>
      <w:r>
        <w:t xml:space="preserve">e court found no reasonable cause. </w:t>
      </w:r>
    </w:p>
    <w:p w:rsidR="001A64D3" w:rsidRPr="001A64D3" w:rsidRDefault="006053A8" w:rsidP="00B66CCE">
      <w:pPr>
        <w:pStyle w:val="Heading20"/>
        <w:numPr>
          <w:ilvl w:val="1"/>
          <w:numId w:val="34"/>
        </w:numPr>
        <w:tabs>
          <w:tab w:val="clear" w:pos="2700"/>
          <w:tab w:val="num" w:pos="1440"/>
        </w:tabs>
        <w:ind w:left="0"/>
        <w:rPr>
          <w:vanish/>
          <w:color w:val="000000" w:themeColor="text1"/>
          <w:specVanish/>
        </w:rPr>
      </w:pPr>
      <w:bookmarkStart w:id="170" w:name="_Toc94704628"/>
      <w:r>
        <w:rPr>
          <w:b/>
          <w:color w:val="000000" w:themeColor="text1"/>
          <w:u w:val="single"/>
        </w:rPr>
        <w:t>Donation</w:t>
      </w:r>
      <w:r w:rsidR="00C64050">
        <w:rPr>
          <w:b/>
          <w:color w:val="000000" w:themeColor="text1"/>
          <w:u w:val="single"/>
        </w:rPr>
        <w:t xml:space="preserve"> </w:t>
      </w:r>
      <w:r>
        <w:rPr>
          <w:b/>
          <w:color w:val="000000" w:themeColor="text1"/>
          <w:u w:val="single"/>
        </w:rPr>
        <w:t>Disallowed</w:t>
      </w:r>
      <w:r w:rsidR="00C64050">
        <w:rPr>
          <w:b/>
          <w:color w:val="000000" w:themeColor="text1"/>
          <w:u w:val="single"/>
        </w:rPr>
        <w:t xml:space="preserve"> </w:t>
      </w:r>
      <w:r>
        <w:rPr>
          <w:b/>
          <w:color w:val="000000" w:themeColor="text1"/>
          <w:u w:val="single"/>
        </w:rPr>
        <w:t>Because</w:t>
      </w:r>
      <w:r w:rsidR="00C64050">
        <w:rPr>
          <w:b/>
          <w:color w:val="000000" w:themeColor="text1"/>
          <w:u w:val="single"/>
        </w:rPr>
        <w:t xml:space="preserve"> </w:t>
      </w:r>
      <w:r>
        <w:rPr>
          <w:b/>
          <w:color w:val="000000" w:themeColor="text1"/>
          <w:u w:val="single"/>
        </w:rPr>
        <w:t>Appraisal</w:t>
      </w:r>
      <w:r w:rsidR="00C64050">
        <w:rPr>
          <w:b/>
          <w:color w:val="000000" w:themeColor="text1"/>
          <w:u w:val="single"/>
        </w:rPr>
        <w:t xml:space="preserve"> </w:t>
      </w:r>
      <w:r>
        <w:rPr>
          <w:b/>
          <w:color w:val="000000" w:themeColor="text1"/>
          <w:u w:val="single"/>
        </w:rPr>
        <w:t>Summary</w:t>
      </w:r>
      <w:r w:rsidR="00C64050">
        <w:rPr>
          <w:b/>
          <w:color w:val="000000" w:themeColor="text1"/>
          <w:u w:val="single"/>
        </w:rPr>
        <w:t xml:space="preserve"> </w:t>
      </w:r>
      <w:r>
        <w:rPr>
          <w:b/>
          <w:color w:val="000000" w:themeColor="text1"/>
          <w:u w:val="single"/>
        </w:rPr>
        <w:t>Omitted</w:t>
      </w:r>
      <w:r w:rsidR="00C64050">
        <w:rPr>
          <w:b/>
          <w:color w:val="000000" w:themeColor="text1"/>
          <w:u w:val="single"/>
        </w:rPr>
        <w:t xml:space="preserve"> </w:t>
      </w:r>
      <w:r>
        <w:rPr>
          <w:b/>
          <w:color w:val="000000" w:themeColor="text1"/>
          <w:u w:val="single"/>
        </w:rPr>
        <w:t>Basis</w:t>
      </w:r>
      <w:r w:rsidR="00C64050">
        <w:rPr>
          <w:b/>
          <w:color w:val="000000" w:themeColor="text1"/>
          <w:u w:val="single"/>
        </w:rPr>
        <w:t xml:space="preserve"> </w:t>
      </w:r>
      <w:r>
        <w:rPr>
          <w:b/>
          <w:color w:val="000000" w:themeColor="text1"/>
          <w:u w:val="single"/>
        </w:rPr>
        <w:t>Information</w:t>
      </w:r>
      <w:bookmarkEnd w:id="170"/>
    </w:p>
    <w:p w:rsidR="006053A8" w:rsidRDefault="006053A8" w:rsidP="001A64D3">
      <w:pPr>
        <w:pStyle w:val="Heading2Body"/>
      </w:pPr>
      <w:r>
        <w:t>.</w:t>
      </w:r>
      <w:r w:rsidR="00C64050">
        <w:t xml:space="preserve">  </w:t>
      </w:r>
      <w:r w:rsidR="00AB7FDD">
        <w:rPr>
          <w:u w:val="single"/>
        </w:rPr>
        <w:t>Loube</w:t>
      </w:r>
      <w:r w:rsidR="00C64050">
        <w:rPr>
          <w:u w:val="single"/>
        </w:rPr>
        <w:t xml:space="preserve"> </w:t>
      </w:r>
      <w:r w:rsidR="00AB7FDD">
        <w:rPr>
          <w:u w:val="single"/>
        </w:rPr>
        <w:t>v.</w:t>
      </w:r>
      <w:r w:rsidR="00C64050">
        <w:rPr>
          <w:u w:val="single"/>
        </w:rPr>
        <w:t xml:space="preserve"> </w:t>
      </w:r>
      <w:r w:rsidR="00AB7FDD">
        <w:rPr>
          <w:u w:val="single"/>
        </w:rPr>
        <w:t>Commissioner</w:t>
      </w:r>
      <w:r w:rsidR="00AB7FDD">
        <w:t>,</w:t>
      </w:r>
      <w:r w:rsidR="00C64050">
        <w:t xml:space="preserve"> </w:t>
      </w:r>
      <w:r w:rsidR="00AB7FDD">
        <w:t>T.C.</w:t>
      </w:r>
      <w:r w:rsidR="00C64050">
        <w:t xml:space="preserve"> </w:t>
      </w:r>
      <w:r w:rsidR="00AB7FDD">
        <w:t>Memo.</w:t>
      </w:r>
      <w:r w:rsidR="00C64050">
        <w:t xml:space="preserve"> </w:t>
      </w:r>
      <w:r w:rsidR="00AB7FDD">
        <w:t>2020-3,</w:t>
      </w:r>
      <w:r w:rsidR="00C64050">
        <w:t xml:space="preserve"> </w:t>
      </w:r>
      <w:r w:rsidR="00AB7FDD">
        <w:t>involved</w:t>
      </w:r>
      <w:r w:rsidR="00C64050">
        <w:t xml:space="preserve"> </w:t>
      </w:r>
      <w:r w:rsidR="00AB7FDD">
        <w:t>the</w:t>
      </w:r>
      <w:r w:rsidR="00C64050">
        <w:t xml:space="preserve"> </w:t>
      </w:r>
      <w:r w:rsidR="00AB7FDD">
        <w:t>contribution</w:t>
      </w:r>
      <w:r w:rsidR="00C64050">
        <w:t xml:space="preserve"> </w:t>
      </w:r>
      <w:r w:rsidR="00AB7FDD">
        <w:t>of</w:t>
      </w:r>
      <w:r w:rsidR="00C64050">
        <w:t xml:space="preserve"> </w:t>
      </w:r>
      <w:r w:rsidR="00AB7FDD">
        <w:t>a</w:t>
      </w:r>
      <w:r w:rsidR="00C64050">
        <w:t xml:space="preserve"> </w:t>
      </w:r>
      <w:r w:rsidR="00AB7FDD">
        <w:t>house</w:t>
      </w:r>
      <w:r w:rsidR="00C64050">
        <w:t xml:space="preserve"> </w:t>
      </w:r>
      <w:r w:rsidR="00AB7FDD">
        <w:t>for</w:t>
      </w:r>
      <w:r w:rsidR="00C64050">
        <w:t xml:space="preserve"> </w:t>
      </w:r>
      <w:r w:rsidR="00AB7FDD">
        <w:t>deconstruction</w:t>
      </w:r>
      <w:r w:rsidR="00C64050">
        <w:t xml:space="preserve"> </w:t>
      </w:r>
      <w:r w:rsidR="00AB7FDD">
        <w:t>to</w:t>
      </w:r>
      <w:r w:rsidR="00C64050">
        <w:t xml:space="preserve"> </w:t>
      </w:r>
      <w:r w:rsidR="00AB7FDD">
        <w:t>a</w:t>
      </w:r>
      <w:r w:rsidR="00C64050">
        <w:t xml:space="preserve"> </w:t>
      </w:r>
      <w:r w:rsidR="00AB7FDD">
        <w:t>charitable</w:t>
      </w:r>
      <w:r w:rsidR="00C64050">
        <w:t xml:space="preserve"> </w:t>
      </w:r>
      <w:r w:rsidR="00AB7FDD">
        <w:t>organization.</w:t>
      </w:r>
      <w:r w:rsidR="00C64050">
        <w:t xml:space="preserve">  </w:t>
      </w:r>
      <w:r w:rsidR="00AB7FDD">
        <w:t>T</w:t>
      </w:r>
      <w:r w:rsidR="00F5216E">
        <w:t>he</w:t>
      </w:r>
      <w:r w:rsidR="00C64050">
        <w:t xml:space="preserve"> </w:t>
      </w:r>
      <w:r w:rsidR="00F5216E">
        <w:t>taxpayer</w:t>
      </w:r>
      <w:r w:rsidR="00C64050">
        <w:t xml:space="preserve"> </w:t>
      </w:r>
      <w:r w:rsidR="00F5216E">
        <w:t>attached</w:t>
      </w:r>
      <w:r w:rsidR="00C64050">
        <w:t xml:space="preserve"> </w:t>
      </w:r>
      <w:r w:rsidR="00F5216E">
        <w:t>the</w:t>
      </w:r>
      <w:r w:rsidR="00C64050">
        <w:t xml:space="preserve"> </w:t>
      </w:r>
      <w:r w:rsidR="00F5216E">
        <w:t>appraisal</w:t>
      </w:r>
      <w:r w:rsidR="00C64050">
        <w:t xml:space="preserve"> </w:t>
      </w:r>
      <w:r w:rsidR="00F5216E">
        <w:t>to</w:t>
      </w:r>
      <w:r w:rsidR="00C64050">
        <w:t xml:space="preserve"> </w:t>
      </w:r>
      <w:r w:rsidR="00F5216E">
        <w:t>the</w:t>
      </w:r>
      <w:r w:rsidR="00C64050">
        <w:t xml:space="preserve"> </w:t>
      </w:r>
      <w:r w:rsidR="00F5216E">
        <w:t>taxpayer’s</w:t>
      </w:r>
      <w:r w:rsidR="00C64050">
        <w:t xml:space="preserve"> </w:t>
      </w:r>
      <w:r w:rsidR="00F5216E">
        <w:t>income</w:t>
      </w:r>
      <w:r w:rsidR="00C64050">
        <w:t xml:space="preserve"> </w:t>
      </w:r>
      <w:r w:rsidR="00F5216E">
        <w:t>tax</w:t>
      </w:r>
      <w:r w:rsidR="00C64050">
        <w:t xml:space="preserve"> </w:t>
      </w:r>
      <w:r w:rsidR="00F5216E">
        <w:t>return</w:t>
      </w:r>
      <w:r w:rsidR="00C64050">
        <w:t xml:space="preserve"> </w:t>
      </w:r>
      <w:r w:rsidR="00F5216E">
        <w:t>but</w:t>
      </w:r>
      <w:r w:rsidR="00C64050">
        <w:t xml:space="preserve"> </w:t>
      </w:r>
      <w:r w:rsidR="00F5216E">
        <w:t>the</w:t>
      </w:r>
      <w:r w:rsidR="00C64050">
        <w:t xml:space="preserve"> </w:t>
      </w:r>
      <w:r w:rsidR="00F5216E">
        <w:t>appraisal</w:t>
      </w:r>
      <w:r w:rsidR="00C64050">
        <w:t xml:space="preserve"> </w:t>
      </w:r>
      <w:r w:rsidR="00F5216E">
        <w:t>summary</w:t>
      </w:r>
      <w:r w:rsidR="00C64050">
        <w:t xml:space="preserve"> </w:t>
      </w:r>
      <w:r w:rsidR="00F5216E">
        <w:t>did</w:t>
      </w:r>
      <w:r w:rsidR="00C64050">
        <w:t xml:space="preserve"> </w:t>
      </w:r>
      <w:r w:rsidR="00F5216E">
        <w:t>not</w:t>
      </w:r>
      <w:r w:rsidR="00C64050">
        <w:t xml:space="preserve"> </w:t>
      </w:r>
      <w:r w:rsidR="00F5216E">
        <w:t>set</w:t>
      </w:r>
      <w:r w:rsidR="00C64050">
        <w:t xml:space="preserve"> </w:t>
      </w:r>
      <w:r w:rsidR="00F5216E">
        <w:t>forth</w:t>
      </w:r>
      <w:r w:rsidR="00C64050">
        <w:t xml:space="preserve"> </w:t>
      </w:r>
      <w:r w:rsidR="00F5216E">
        <w:t>basis</w:t>
      </w:r>
      <w:r w:rsidR="00C64050">
        <w:t xml:space="preserve"> </w:t>
      </w:r>
      <w:r w:rsidR="00F5216E">
        <w:t>which</w:t>
      </w:r>
      <w:r w:rsidR="00C64050">
        <w:t xml:space="preserve"> </w:t>
      </w:r>
      <w:r w:rsidR="00F5216E">
        <w:t>t</w:t>
      </w:r>
      <w:r w:rsidR="00A03617">
        <w:t>h</w:t>
      </w:r>
      <w:r w:rsidR="00F5216E">
        <w:t>e</w:t>
      </w:r>
      <w:r w:rsidR="00C64050">
        <w:t xml:space="preserve"> </w:t>
      </w:r>
      <w:r w:rsidR="00F5216E">
        <w:t>court</w:t>
      </w:r>
      <w:r w:rsidR="00C64050">
        <w:t xml:space="preserve"> </w:t>
      </w:r>
      <w:r w:rsidR="00F5216E">
        <w:t>held</w:t>
      </w:r>
      <w:r w:rsidR="00C64050">
        <w:t xml:space="preserve"> </w:t>
      </w:r>
      <w:r w:rsidR="00F5216E">
        <w:t>was</w:t>
      </w:r>
      <w:r w:rsidR="00C64050">
        <w:t xml:space="preserve"> </w:t>
      </w:r>
      <w:r w:rsidR="00F5216E">
        <w:t>fatal.</w:t>
      </w:r>
      <w:r w:rsidR="00C64050">
        <w:t xml:space="preserve">  </w:t>
      </w:r>
      <w:r w:rsidR="00F5216E">
        <w:t>The</w:t>
      </w:r>
      <w:r w:rsidR="00C64050">
        <w:t xml:space="preserve"> </w:t>
      </w:r>
      <w:r w:rsidR="00F5216E">
        <w:t>opinion</w:t>
      </w:r>
      <w:r w:rsidR="00C64050">
        <w:t xml:space="preserve"> </w:t>
      </w:r>
      <w:r w:rsidR="00F5216E">
        <w:t>states:</w:t>
      </w:r>
    </w:p>
    <w:p w:rsidR="00A03617" w:rsidRPr="00072457" w:rsidRDefault="00A03617" w:rsidP="00072457">
      <w:pPr>
        <w:pStyle w:val="QS10"/>
        <w:rPr>
          <w:szCs w:val="20"/>
        </w:rPr>
      </w:pPr>
      <w:r w:rsidRPr="00072457">
        <w:rPr>
          <w:szCs w:val="20"/>
        </w:rPr>
        <w:t>We</w:t>
      </w:r>
      <w:r w:rsidR="00C64050">
        <w:rPr>
          <w:szCs w:val="20"/>
        </w:rPr>
        <w:t xml:space="preserve"> </w:t>
      </w:r>
      <w:r w:rsidRPr="00072457">
        <w:rPr>
          <w:szCs w:val="20"/>
        </w:rPr>
        <w:t>have</w:t>
      </w:r>
      <w:r w:rsidR="00C64050">
        <w:rPr>
          <w:szCs w:val="20"/>
        </w:rPr>
        <w:t xml:space="preserve"> </w:t>
      </w:r>
      <w:r w:rsidRPr="00072457">
        <w:rPr>
          <w:szCs w:val="20"/>
        </w:rPr>
        <w:t>recently</w:t>
      </w:r>
      <w:r w:rsidR="00C64050">
        <w:rPr>
          <w:szCs w:val="20"/>
        </w:rPr>
        <w:t xml:space="preserve"> </w:t>
      </w:r>
      <w:r w:rsidRPr="00072457">
        <w:rPr>
          <w:szCs w:val="20"/>
        </w:rPr>
        <w:t>held</w:t>
      </w:r>
      <w:r w:rsidR="00C64050">
        <w:rPr>
          <w:szCs w:val="20"/>
        </w:rPr>
        <w:t xml:space="preserve"> </w:t>
      </w:r>
      <w:r w:rsidRPr="00072457">
        <w:rPr>
          <w:szCs w:val="20"/>
        </w:rPr>
        <w:t>that</w:t>
      </w:r>
      <w:r w:rsidR="00C64050">
        <w:rPr>
          <w:szCs w:val="20"/>
        </w:rPr>
        <w:t xml:space="preserve"> </w:t>
      </w:r>
      <w:r w:rsidRPr="00072457">
        <w:rPr>
          <w:szCs w:val="20"/>
        </w:rPr>
        <w:t>a</w:t>
      </w:r>
      <w:r w:rsidR="00C64050">
        <w:rPr>
          <w:szCs w:val="20"/>
        </w:rPr>
        <w:t xml:space="preserve"> </w:t>
      </w:r>
      <w:r w:rsidRPr="00072457">
        <w:rPr>
          <w:szCs w:val="20"/>
        </w:rPr>
        <w:t>taxpayer</w:t>
      </w:r>
      <w:r w:rsidR="00C64050">
        <w:rPr>
          <w:szCs w:val="20"/>
        </w:rPr>
        <w:t xml:space="preserve"> </w:t>
      </w:r>
      <w:r w:rsidRPr="00072457">
        <w:rPr>
          <w:szCs w:val="20"/>
        </w:rPr>
        <w:t>who</w:t>
      </w:r>
      <w:r w:rsidR="00C64050">
        <w:rPr>
          <w:szCs w:val="20"/>
        </w:rPr>
        <w:t xml:space="preserve"> </w:t>
      </w:r>
      <w:r w:rsidRPr="00072457">
        <w:rPr>
          <w:szCs w:val="20"/>
        </w:rPr>
        <w:t>fails</w:t>
      </w:r>
      <w:r w:rsidR="00C64050">
        <w:rPr>
          <w:szCs w:val="20"/>
        </w:rPr>
        <w:t xml:space="preserve"> </w:t>
      </w:r>
      <w:r w:rsidRPr="00072457">
        <w:rPr>
          <w:szCs w:val="20"/>
        </w:rPr>
        <w:t>to</w:t>
      </w:r>
      <w:r w:rsidR="00C64050">
        <w:rPr>
          <w:szCs w:val="20"/>
        </w:rPr>
        <w:t xml:space="preserve"> </w:t>
      </w:r>
      <w:r w:rsidRPr="00072457">
        <w:rPr>
          <w:szCs w:val="20"/>
        </w:rPr>
        <w:t>disclose</w:t>
      </w:r>
      <w:r w:rsidR="00C64050">
        <w:rPr>
          <w:szCs w:val="20"/>
        </w:rPr>
        <w:t xml:space="preserve"> </w:t>
      </w:r>
      <w:r w:rsidRPr="00072457">
        <w:rPr>
          <w:szCs w:val="20"/>
        </w:rPr>
        <w:t>“cost</w:t>
      </w:r>
      <w:r w:rsidR="00C64050">
        <w:rPr>
          <w:szCs w:val="20"/>
        </w:rPr>
        <w:t xml:space="preserve"> </w:t>
      </w:r>
      <w:r w:rsidRPr="00072457">
        <w:rPr>
          <w:szCs w:val="20"/>
        </w:rPr>
        <w:t>or</w:t>
      </w:r>
      <w:r w:rsidR="00C64050">
        <w:rPr>
          <w:szCs w:val="20"/>
        </w:rPr>
        <w:t xml:space="preserve"> </w:t>
      </w:r>
      <w:r w:rsidRPr="00072457">
        <w:rPr>
          <w:szCs w:val="20"/>
        </w:rPr>
        <w:t>adjusted</w:t>
      </w:r>
      <w:r w:rsidR="00C64050">
        <w:rPr>
          <w:szCs w:val="20"/>
        </w:rPr>
        <w:t xml:space="preserve"> </w:t>
      </w:r>
      <w:r w:rsidRPr="00072457">
        <w:rPr>
          <w:szCs w:val="20"/>
        </w:rPr>
        <w:t>basis”</w:t>
      </w:r>
      <w:r w:rsidR="00C64050">
        <w:rPr>
          <w:szCs w:val="20"/>
        </w:rPr>
        <w:t xml:space="preserve"> </w:t>
      </w:r>
      <w:r w:rsidRPr="00072457">
        <w:rPr>
          <w:szCs w:val="20"/>
        </w:rPr>
        <w:t>on</w:t>
      </w:r>
      <w:r w:rsidR="00C64050">
        <w:rPr>
          <w:szCs w:val="20"/>
        </w:rPr>
        <w:t xml:space="preserve"> </w:t>
      </w:r>
      <w:r w:rsidRPr="00072457">
        <w:rPr>
          <w:szCs w:val="20"/>
        </w:rPr>
        <w:t>its</w:t>
      </w:r>
      <w:r w:rsidR="00C64050">
        <w:rPr>
          <w:szCs w:val="20"/>
        </w:rPr>
        <w:t xml:space="preserve"> </w:t>
      </w:r>
      <w:r w:rsidRPr="00072457">
        <w:rPr>
          <w:szCs w:val="20"/>
        </w:rPr>
        <w:t>appraisal</w:t>
      </w:r>
      <w:r w:rsidR="00C64050">
        <w:rPr>
          <w:szCs w:val="20"/>
        </w:rPr>
        <w:t xml:space="preserve"> </w:t>
      </w:r>
      <w:r w:rsidRPr="00072457">
        <w:rPr>
          <w:szCs w:val="20"/>
        </w:rPr>
        <w:t>summary</w:t>
      </w:r>
      <w:r w:rsidR="00C64050">
        <w:rPr>
          <w:szCs w:val="20"/>
        </w:rPr>
        <w:t xml:space="preserve"> </w:t>
      </w:r>
      <w:r w:rsidRPr="00072457">
        <w:rPr>
          <w:szCs w:val="20"/>
        </w:rPr>
        <w:t>has</w:t>
      </w:r>
      <w:r w:rsidR="00C64050">
        <w:rPr>
          <w:szCs w:val="20"/>
        </w:rPr>
        <w:t xml:space="preserve"> </w:t>
      </w:r>
      <w:r w:rsidRPr="00072457">
        <w:rPr>
          <w:szCs w:val="20"/>
        </w:rPr>
        <w:t>failed</w:t>
      </w:r>
      <w:r w:rsidR="00C64050">
        <w:rPr>
          <w:szCs w:val="20"/>
        </w:rPr>
        <w:t xml:space="preserve"> </w:t>
      </w:r>
      <w:r w:rsidRPr="00072457">
        <w:rPr>
          <w:szCs w:val="20"/>
        </w:rPr>
        <w:t>to</w:t>
      </w:r>
      <w:r w:rsidR="00C64050">
        <w:rPr>
          <w:szCs w:val="20"/>
        </w:rPr>
        <w:t xml:space="preserve"> </w:t>
      </w:r>
      <w:r w:rsidRPr="00072457">
        <w:rPr>
          <w:szCs w:val="20"/>
        </w:rPr>
        <w:t>substantially</w:t>
      </w:r>
      <w:r w:rsidR="00C64050">
        <w:rPr>
          <w:szCs w:val="20"/>
        </w:rPr>
        <w:t xml:space="preserve"> </w:t>
      </w:r>
      <w:r w:rsidRPr="00072457">
        <w:rPr>
          <w:szCs w:val="20"/>
        </w:rPr>
        <w:t>comply</w:t>
      </w:r>
      <w:r w:rsidR="00C64050">
        <w:rPr>
          <w:szCs w:val="20"/>
        </w:rPr>
        <w:t xml:space="preserve"> </w:t>
      </w:r>
      <w:r w:rsidRPr="00072457">
        <w:rPr>
          <w:szCs w:val="20"/>
        </w:rPr>
        <w:t>with</w:t>
      </w:r>
      <w:r w:rsidR="00C64050">
        <w:rPr>
          <w:szCs w:val="20"/>
        </w:rPr>
        <w:t xml:space="preserve"> </w:t>
      </w:r>
      <w:r w:rsidRPr="00072457">
        <w:rPr>
          <w:szCs w:val="20"/>
        </w:rPr>
        <w:t>section</w:t>
      </w:r>
      <w:r w:rsidR="00C64050">
        <w:rPr>
          <w:szCs w:val="20"/>
        </w:rPr>
        <w:t xml:space="preserve"> </w:t>
      </w:r>
      <w:r w:rsidRPr="00072457">
        <w:rPr>
          <w:szCs w:val="20"/>
        </w:rPr>
        <w:t>1.170A-13,</w:t>
      </w:r>
      <w:r w:rsidR="00C64050">
        <w:rPr>
          <w:szCs w:val="20"/>
        </w:rPr>
        <w:t xml:space="preserve"> </w:t>
      </w:r>
      <w:r w:rsidRPr="00072457">
        <w:rPr>
          <w:szCs w:val="20"/>
        </w:rPr>
        <w:t>Income</w:t>
      </w:r>
      <w:r w:rsidR="00C64050">
        <w:rPr>
          <w:szCs w:val="20"/>
        </w:rPr>
        <w:t xml:space="preserve"> </w:t>
      </w:r>
      <w:r w:rsidRPr="00072457">
        <w:rPr>
          <w:szCs w:val="20"/>
        </w:rPr>
        <w:t>Tax</w:t>
      </w:r>
      <w:r w:rsidR="00C64050">
        <w:rPr>
          <w:szCs w:val="20"/>
        </w:rPr>
        <w:t xml:space="preserve"> </w:t>
      </w:r>
      <w:r w:rsidRPr="00072457">
        <w:rPr>
          <w:szCs w:val="20"/>
        </w:rPr>
        <w:t>Regs.</w:t>
      </w:r>
      <w:r w:rsidR="00C64050">
        <w:rPr>
          <w:szCs w:val="20"/>
        </w:rPr>
        <w:t xml:space="preserve"> </w:t>
      </w:r>
      <w:r w:rsidRPr="00072457">
        <w:rPr>
          <w:szCs w:val="20"/>
          <w:u w:val="single"/>
        </w:rPr>
        <w:t>RERI</w:t>
      </w:r>
      <w:r w:rsidR="00C64050">
        <w:rPr>
          <w:szCs w:val="20"/>
          <w:u w:val="single"/>
        </w:rPr>
        <w:t xml:space="preserve"> </w:t>
      </w:r>
      <w:r w:rsidRPr="00072457">
        <w:rPr>
          <w:szCs w:val="20"/>
          <w:u w:val="single"/>
        </w:rPr>
        <w:t>Holdings</w:t>
      </w:r>
      <w:r w:rsidR="00C64050">
        <w:rPr>
          <w:szCs w:val="20"/>
          <w:u w:val="single"/>
        </w:rPr>
        <w:t xml:space="preserve"> </w:t>
      </w:r>
      <w:r w:rsidRPr="00072457">
        <w:rPr>
          <w:szCs w:val="20"/>
          <w:u w:val="single"/>
        </w:rPr>
        <w:t>I,</w:t>
      </w:r>
      <w:r w:rsidR="00C64050">
        <w:rPr>
          <w:szCs w:val="20"/>
          <w:u w:val="single"/>
        </w:rPr>
        <w:t xml:space="preserve"> </w:t>
      </w:r>
      <w:r w:rsidRPr="00072457">
        <w:rPr>
          <w:szCs w:val="20"/>
          <w:u w:val="single"/>
        </w:rPr>
        <w:t>LLC</w:t>
      </w:r>
      <w:r w:rsidR="00C64050">
        <w:rPr>
          <w:szCs w:val="20"/>
          <w:u w:val="single"/>
        </w:rPr>
        <w:t xml:space="preserve"> </w:t>
      </w:r>
      <w:r w:rsidRPr="00072457">
        <w:rPr>
          <w:szCs w:val="20"/>
          <w:u w:val="single"/>
        </w:rPr>
        <w:t>v.</w:t>
      </w:r>
      <w:r w:rsidR="00C64050">
        <w:rPr>
          <w:szCs w:val="20"/>
          <w:u w:val="single"/>
        </w:rPr>
        <w:t xml:space="preserve"> </w:t>
      </w:r>
      <w:r w:rsidRPr="00072457">
        <w:rPr>
          <w:szCs w:val="20"/>
          <w:u w:val="single"/>
        </w:rPr>
        <w:t>Commissioner</w:t>
      </w:r>
      <w:r w:rsidRPr="00072457">
        <w:rPr>
          <w:szCs w:val="20"/>
        </w:rPr>
        <w:t>,</w:t>
      </w:r>
      <w:r w:rsidR="00C64050">
        <w:rPr>
          <w:szCs w:val="20"/>
        </w:rPr>
        <w:t xml:space="preserve"> </w:t>
      </w:r>
      <w:r w:rsidRPr="00072457">
        <w:rPr>
          <w:szCs w:val="20"/>
        </w:rPr>
        <w:t>149</w:t>
      </w:r>
      <w:r w:rsidR="00C64050">
        <w:rPr>
          <w:szCs w:val="20"/>
        </w:rPr>
        <w:t xml:space="preserve"> </w:t>
      </w:r>
      <w:r w:rsidRPr="00072457">
        <w:rPr>
          <w:szCs w:val="20"/>
        </w:rPr>
        <w:t>T.C.</w:t>
      </w:r>
      <w:r w:rsidR="00C64050">
        <w:rPr>
          <w:szCs w:val="20"/>
        </w:rPr>
        <w:t xml:space="preserve"> </w:t>
      </w:r>
      <w:r w:rsidRPr="00072457">
        <w:rPr>
          <w:szCs w:val="20"/>
        </w:rPr>
        <w:t>1.</w:t>
      </w:r>
      <w:r w:rsidR="00C64050">
        <w:rPr>
          <w:szCs w:val="20"/>
        </w:rPr>
        <w:t xml:space="preserve"> </w:t>
      </w:r>
      <w:r w:rsidRPr="00072457">
        <w:rPr>
          <w:szCs w:val="20"/>
        </w:rPr>
        <w:t>We</w:t>
      </w:r>
      <w:r w:rsidR="00C64050">
        <w:rPr>
          <w:szCs w:val="20"/>
        </w:rPr>
        <w:t xml:space="preserve"> </w:t>
      </w:r>
      <w:r w:rsidRPr="00072457">
        <w:rPr>
          <w:szCs w:val="20"/>
        </w:rPr>
        <w:t>decided</w:t>
      </w:r>
      <w:r w:rsidR="00C64050">
        <w:rPr>
          <w:szCs w:val="20"/>
        </w:rPr>
        <w:t xml:space="preserve"> </w:t>
      </w:r>
      <w:r w:rsidRPr="00072457">
        <w:rPr>
          <w:szCs w:val="20"/>
        </w:rPr>
        <w:t>so</w:t>
      </w:r>
      <w:r w:rsidR="00C64050">
        <w:rPr>
          <w:szCs w:val="20"/>
        </w:rPr>
        <w:t xml:space="preserve"> </w:t>
      </w:r>
      <w:r w:rsidRPr="00072457">
        <w:rPr>
          <w:szCs w:val="20"/>
        </w:rPr>
        <w:t>because</w:t>
      </w:r>
      <w:r w:rsidR="00C64050">
        <w:rPr>
          <w:szCs w:val="20"/>
        </w:rPr>
        <w:t xml:space="preserve"> </w:t>
      </w:r>
      <w:r w:rsidRPr="00072457">
        <w:rPr>
          <w:szCs w:val="20"/>
        </w:rPr>
        <w:t>Congress</w:t>
      </w:r>
      <w:r w:rsidR="00C64050">
        <w:rPr>
          <w:szCs w:val="20"/>
        </w:rPr>
        <w:t xml:space="preserve"> </w:t>
      </w:r>
      <w:r w:rsidRPr="00072457">
        <w:rPr>
          <w:szCs w:val="20"/>
        </w:rPr>
        <w:t>specifically</w:t>
      </w:r>
      <w:r w:rsidR="00C64050">
        <w:rPr>
          <w:szCs w:val="20"/>
        </w:rPr>
        <w:t xml:space="preserve"> </w:t>
      </w:r>
      <w:r w:rsidRPr="00072457">
        <w:rPr>
          <w:szCs w:val="20"/>
        </w:rPr>
        <w:t>enacted</w:t>
      </w:r>
      <w:r w:rsidR="00C64050">
        <w:rPr>
          <w:szCs w:val="20"/>
        </w:rPr>
        <w:t xml:space="preserve"> </w:t>
      </w:r>
      <w:r w:rsidRPr="00072457">
        <w:rPr>
          <w:szCs w:val="20"/>
        </w:rPr>
        <w:t>DEFRA's</w:t>
      </w:r>
      <w:r w:rsidR="00C64050">
        <w:rPr>
          <w:szCs w:val="20"/>
        </w:rPr>
        <w:t xml:space="preserve"> </w:t>
      </w:r>
      <w:r w:rsidRPr="00072457">
        <w:rPr>
          <w:szCs w:val="20"/>
        </w:rPr>
        <w:t>heightened</w:t>
      </w:r>
      <w:r w:rsidR="00C64050">
        <w:rPr>
          <w:szCs w:val="20"/>
        </w:rPr>
        <w:t xml:space="preserve"> </w:t>
      </w:r>
      <w:r w:rsidRPr="00072457">
        <w:rPr>
          <w:szCs w:val="20"/>
        </w:rPr>
        <w:t>reporting</w:t>
      </w:r>
      <w:r w:rsidR="00C64050">
        <w:rPr>
          <w:szCs w:val="20"/>
        </w:rPr>
        <w:t xml:space="preserve"> </w:t>
      </w:r>
      <w:r w:rsidRPr="00072457">
        <w:rPr>
          <w:szCs w:val="20"/>
        </w:rPr>
        <w:t>requirements</w:t>
      </w:r>
      <w:r w:rsidR="00C64050">
        <w:rPr>
          <w:szCs w:val="20"/>
        </w:rPr>
        <w:t xml:space="preserve"> </w:t>
      </w:r>
      <w:r w:rsidRPr="00072457">
        <w:rPr>
          <w:szCs w:val="20"/>
        </w:rPr>
        <w:t>in</w:t>
      </w:r>
      <w:r w:rsidR="00C64050">
        <w:rPr>
          <w:szCs w:val="20"/>
        </w:rPr>
        <w:t xml:space="preserve"> </w:t>
      </w:r>
      <w:r w:rsidRPr="00072457">
        <w:rPr>
          <w:szCs w:val="20"/>
        </w:rPr>
        <w:t>order</w:t>
      </w:r>
      <w:r w:rsidR="00C64050">
        <w:rPr>
          <w:szCs w:val="20"/>
        </w:rPr>
        <w:t xml:space="preserve"> </w:t>
      </w:r>
      <w:r w:rsidRPr="00072457">
        <w:rPr>
          <w:szCs w:val="20"/>
        </w:rPr>
        <w:t>to</w:t>
      </w:r>
      <w:r w:rsidR="00C64050">
        <w:rPr>
          <w:szCs w:val="20"/>
        </w:rPr>
        <w:t xml:space="preserve"> </w:t>
      </w:r>
      <w:r w:rsidRPr="00072457">
        <w:rPr>
          <w:szCs w:val="20"/>
        </w:rPr>
        <w:t>combat</w:t>
      </w:r>
      <w:r w:rsidR="00C64050">
        <w:rPr>
          <w:szCs w:val="20"/>
        </w:rPr>
        <w:t xml:space="preserve"> </w:t>
      </w:r>
      <w:r w:rsidRPr="00072457">
        <w:rPr>
          <w:szCs w:val="20"/>
        </w:rPr>
        <w:t>inflated</w:t>
      </w:r>
      <w:r w:rsidR="00C64050">
        <w:rPr>
          <w:szCs w:val="20"/>
        </w:rPr>
        <w:t xml:space="preserve"> </w:t>
      </w:r>
      <w:r w:rsidRPr="00072457">
        <w:rPr>
          <w:szCs w:val="20"/>
        </w:rPr>
        <w:t>charitable</w:t>
      </w:r>
      <w:r w:rsidR="00C64050">
        <w:rPr>
          <w:szCs w:val="20"/>
        </w:rPr>
        <w:t xml:space="preserve"> </w:t>
      </w:r>
      <w:r w:rsidRPr="00072457">
        <w:rPr>
          <w:szCs w:val="20"/>
        </w:rPr>
        <w:t>deductions</w:t>
      </w:r>
      <w:r w:rsidR="00C64050">
        <w:rPr>
          <w:szCs w:val="20"/>
        </w:rPr>
        <w:t xml:space="preserve"> </w:t>
      </w:r>
      <w:r w:rsidRPr="00072457">
        <w:rPr>
          <w:szCs w:val="20"/>
        </w:rPr>
        <w:t>by</w:t>
      </w:r>
      <w:r w:rsidR="00C64050">
        <w:rPr>
          <w:szCs w:val="20"/>
        </w:rPr>
        <w:t xml:space="preserve"> </w:t>
      </w:r>
      <w:r w:rsidRPr="00072457">
        <w:rPr>
          <w:szCs w:val="20"/>
        </w:rPr>
        <w:t>requiring,</w:t>
      </w:r>
      <w:r w:rsidR="00C64050">
        <w:rPr>
          <w:szCs w:val="20"/>
        </w:rPr>
        <w:t xml:space="preserve"> </w:t>
      </w:r>
      <w:r w:rsidRPr="00072457">
        <w:rPr>
          <w:szCs w:val="20"/>
        </w:rPr>
        <w:t>where</w:t>
      </w:r>
      <w:r w:rsidR="00C64050">
        <w:rPr>
          <w:szCs w:val="20"/>
        </w:rPr>
        <w:t xml:space="preserve"> </w:t>
      </w:r>
      <w:r w:rsidRPr="00072457">
        <w:rPr>
          <w:szCs w:val="20"/>
        </w:rPr>
        <w:t>reasonably</w:t>
      </w:r>
      <w:r w:rsidR="00C64050">
        <w:rPr>
          <w:szCs w:val="20"/>
        </w:rPr>
        <w:t xml:space="preserve"> </w:t>
      </w:r>
      <w:r w:rsidRPr="00072457">
        <w:rPr>
          <w:szCs w:val="20"/>
        </w:rPr>
        <w:t>obtainable,</w:t>
      </w:r>
      <w:r w:rsidR="00C64050">
        <w:rPr>
          <w:szCs w:val="20"/>
        </w:rPr>
        <w:t xml:space="preserve"> </w:t>
      </w:r>
      <w:r w:rsidRPr="00072457">
        <w:rPr>
          <w:szCs w:val="20"/>
        </w:rPr>
        <w:t>the</w:t>
      </w:r>
      <w:r w:rsidR="00C64050">
        <w:rPr>
          <w:szCs w:val="20"/>
        </w:rPr>
        <w:t xml:space="preserve"> </w:t>
      </w:r>
      <w:r w:rsidRPr="00072457">
        <w:rPr>
          <w:szCs w:val="20"/>
        </w:rPr>
        <w:t>disclosure</w:t>
      </w:r>
      <w:r w:rsidR="00C64050">
        <w:rPr>
          <w:szCs w:val="20"/>
        </w:rPr>
        <w:t xml:space="preserve"> </w:t>
      </w:r>
      <w:r w:rsidRPr="00072457">
        <w:rPr>
          <w:szCs w:val="20"/>
        </w:rPr>
        <w:t>of</w:t>
      </w:r>
      <w:r w:rsidR="00C64050">
        <w:rPr>
          <w:szCs w:val="20"/>
        </w:rPr>
        <w:t xml:space="preserve"> </w:t>
      </w:r>
      <w:r w:rsidRPr="00072457">
        <w:rPr>
          <w:szCs w:val="20"/>
        </w:rPr>
        <w:t>“cost</w:t>
      </w:r>
      <w:r w:rsidR="00C64050">
        <w:rPr>
          <w:szCs w:val="20"/>
        </w:rPr>
        <w:t xml:space="preserve"> </w:t>
      </w:r>
      <w:r w:rsidRPr="00072457">
        <w:rPr>
          <w:szCs w:val="20"/>
        </w:rPr>
        <w:t>or</w:t>
      </w:r>
      <w:r w:rsidR="00C64050">
        <w:rPr>
          <w:szCs w:val="20"/>
        </w:rPr>
        <w:t xml:space="preserve"> </w:t>
      </w:r>
      <w:r w:rsidRPr="00072457">
        <w:rPr>
          <w:szCs w:val="20"/>
        </w:rPr>
        <w:t>adjusted</w:t>
      </w:r>
      <w:r w:rsidR="00C64050">
        <w:rPr>
          <w:szCs w:val="20"/>
        </w:rPr>
        <w:t xml:space="preserve"> </w:t>
      </w:r>
      <w:r w:rsidRPr="00072457">
        <w:rPr>
          <w:szCs w:val="20"/>
        </w:rPr>
        <w:t>basis”</w:t>
      </w:r>
      <w:r w:rsidR="00C64050">
        <w:rPr>
          <w:szCs w:val="20"/>
        </w:rPr>
        <w:t xml:space="preserve"> </w:t>
      </w:r>
      <w:r w:rsidRPr="00072457">
        <w:rPr>
          <w:szCs w:val="20"/>
        </w:rPr>
        <w:t>to</w:t>
      </w:r>
      <w:r w:rsidR="00C64050">
        <w:rPr>
          <w:szCs w:val="20"/>
        </w:rPr>
        <w:t xml:space="preserve"> </w:t>
      </w:r>
      <w:r w:rsidRPr="00072457">
        <w:rPr>
          <w:szCs w:val="20"/>
        </w:rPr>
        <w:t>“facilitate</w:t>
      </w:r>
      <w:r w:rsidR="00C64050">
        <w:rPr>
          <w:szCs w:val="20"/>
        </w:rPr>
        <w:t xml:space="preserve"> </w:t>
      </w:r>
      <w:r w:rsidRPr="00072457">
        <w:rPr>
          <w:szCs w:val="20"/>
        </w:rPr>
        <w:t>the</w:t>
      </w:r>
      <w:r w:rsidR="00C64050">
        <w:rPr>
          <w:szCs w:val="20"/>
        </w:rPr>
        <w:t xml:space="preserve"> </w:t>
      </w:r>
      <w:r w:rsidRPr="00072457">
        <w:rPr>
          <w:szCs w:val="20"/>
        </w:rPr>
        <w:t>Commissioner's</w:t>
      </w:r>
      <w:r w:rsidR="00C64050">
        <w:rPr>
          <w:szCs w:val="20"/>
        </w:rPr>
        <w:t xml:space="preserve"> </w:t>
      </w:r>
      <w:r w:rsidRPr="00072457">
        <w:rPr>
          <w:szCs w:val="20"/>
        </w:rPr>
        <w:t>efficient</w:t>
      </w:r>
      <w:r w:rsidR="00C64050">
        <w:rPr>
          <w:szCs w:val="20"/>
        </w:rPr>
        <w:t xml:space="preserve"> </w:t>
      </w:r>
      <w:r w:rsidRPr="00072457">
        <w:rPr>
          <w:szCs w:val="20"/>
        </w:rPr>
        <w:t>identification</w:t>
      </w:r>
      <w:r w:rsidR="00C64050">
        <w:rPr>
          <w:szCs w:val="20"/>
        </w:rPr>
        <w:t xml:space="preserve"> </w:t>
      </w:r>
      <w:r w:rsidRPr="00072457">
        <w:rPr>
          <w:szCs w:val="20"/>
        </w:rPr>
        <w:t>of</w:t>
      </w:r>
      <w:r w:rsidR="00C64050">
        <w:rPr>
          <w:szCs w:val="20"/>
        </w:rPr>
        <w:t xml:space="preserve"> </w:t>
      </w:r>
      <w:r w:rsidRPr="00072457">
        <w:rPr>
          <w:szCs w:val="20"/>
        </w:rPr>
        <w:t>overvalued</w:t>
      </w:r>
      <w:r w:rsidR="00C64050">
        <w:rPr>
          <w:szCs w:val="20"/>
        </w:rPr>
        <w:t xml:space="preserve"> </w:t>
      </w:r>
      <w:r w:rsidRPr="00072457">
        <w:rPr>
          <w:szCs w:val="20"/>
        </w:rPr>
        <w:t>property.”</w:t>
      </w:r>
      <w:r w:rsidR="00C64050">
        <w:rPr>
          <w:szCs w:val="20"/>
        </w:rPr>
        <w:t xml:space="preserve"> </w:t>
      </w:r>
      <w:r w:rsidRPr="00072457">
        <w:rPr>
          <w:szCs w:val="20"/>
          <w:u w:val="single"/>
        </w:rPr>
        <w:t>Belair</w:t>
      </w:r>
      <w:r w:rsidR="00C64050">
        <w:rPr>
          <w:szCs w:val="20"/>
          <w:u w:val="single"/>
        </w:rPr>
        <w:t xml:space="preserve"> </w:t>
      </w:r>
      <w:r w:rsidRPr="00072457">
        <w:rPr>
          <w:szCs w:val="20"/>
          <w:u w:val="single"/>
        </w:rPr>
        <w:t>Woods,</w:t>
      </w:r>
      <w:r w:rsidR="00C64050">
        <w:rPr>
          <w:szCs w:val="20"/>
          <w:u w:val="single"/>
        </w:rPr>
        <w:t xml:space="preserve"> </w:t>
      </w:r>
      <w:r w:rsidRPr="00072457">
        <w:rPr>
          <w:szCs w:val="20"/>
          <w:u w:val="single"/>
        </w:rPr>
        <w:t>LLC</w:t>
      </w:r>
      <w:r w:rsidR="00C64050">
        <w:rPr>
          <w:szCs w:val="20"/>
          <w:u w:val="single"/>
        </w:rPr>
        <w:t xml:space="preserve"> </w:t>
      </w:r>
      <w:r w:rsidRPr="00072457">
        <w:rPr>
          <w:szCs w:val="20"/>
          <w:u w:val="single"/>
        </w:rPr>
        <w:t>v.</w:t>
      </w:r>
      <w:r w:rsidR="00C64050">
        <w:rPr>
          <w:szCs w:val="20"/>
          <w:u w:val="single"/>
        </w:rPr>
        <w:t xml:space="preserve"> </w:t>
      </w:r>
      <w:r w:rsidRPr="00072457">
        <w:rPr>
          <w:szCs w:val="20"/>
          <w:u w:val="single"/>
        </w:rPr>
        <w:t>Commissioner</w:t>
      </w:r>
      <w:r w:rsidRPr="00072457">
        <w:rPr>
          <w:szCs w:val="20"/>
        </w:rPr>
        <w:t>,</w:t>
      </w:r>
      <w:r w:rsidR="00C64050">
        <w:rPr>
          <w:szCs w:val="20"/>
        </w:rPr>
        <w:t xml:space="preserve"> </w:t>
      </w:r>
      <w:r w:rsidRPr="00072457">
        <w:rPr>
          <w:szCs w:val="20"/>
        </w:rPr>
        <w:t>at</w:t>
      </w:r>
      <w:r w:rsidR="00C64050">
        <w:rPr>
          <w:szCs w:val="20"/>
        </w:rPr>
        <w:t xml:space="preserve"> </w:t>
      </w:r>
      <w:r w:rsidRPr="00072457">
        <w:rPr>
          <w:szCs w:val="20"/>
        </w:rPr>
        <w:t>*17.</w:t>
      </w:r>
      <w:r w:rsidR="00C64050">
        <w:rPr>
          <w:szCs w:val="20"/>
        </w:rPr>
        <w:t xml:space="preserve"> </w:t>
      </w:r>
      <w:r w:rsidRPr="00072457">
        <w:rPr>
          <w:szCs w:val="20"/>
        </w:rPr>
        <w:t>Thus,</w:t>
      </w:r>
      <w:r w:rsidR="00C64050">
        <w:rPr>
          <w:szCs w:val="20"/>
        </w:rPr>
        <w:t xml:space="preserve"> </w:t>
      </w:r>
      <w:r w:rsidRPr="00072457">
        <w:rPr>
          <w:szCs w:val="20"/>
        </w:rPr>
        <w:t>a</w:t>
      </w:r>
      <w:r w:rsidR="00C64050">
        <w:rPr>
          <w:szCs w:val="20"/>
        </w:rPr>
        <w:t xml:space="preserve"> </w:t>
      </w:r>
      <w:r w:rsidRPr="00072457">
        <w:rPr>
          <w:szCs w:val="20"/>
        </w:rPr>
        <w:t>taxpayer's</w:t>
      </w:r>
      <w:r w:rsidR="00C64050">
        <w:rPr>
          <w:szCs w:val="20"/>
        </w:rPr>
        <w:t xml:space="preserve"> </w:t>
      </w:r>
      <w:r w:rsidRPr="00072457">
        <w:rPr>
          <w:szCs w:val="20"/>
        </w:rPr>
        <w:t>failure</w:t>
      </w:r>
      <w:r w:rsidR="00C64050">
        <w:rPr>
          <w:szCs w:val="20"/>
        </w:rPr>
        <w:t xml:space="preserve"> </w:t>
      </w:r>
      <w:r w:rsidRPr="00072457">
        <w:rPr>
          <w:szCs w:val="20"/>
        </w:rPr>
        <w:t>to</w:t>
      </w:r>
      <w:r w:rsidR="00C64050">
        <w:rPr>
          <w:szCs w:val="20"/>
        </w:rPr>
        <w:t xml:space="preserve"> </w:t>
      </w:r>
      <w:r w:rsidRPr="00072457">
        <w:rPr>
          <w:szCs w:val="20"/>
        </w:rPr>
        <w:t>provide</w:t>
      </w:r>
      <w:r w:rsidR="00C64050">
        <w:rPr>
          <w:szCs w:val="20"/>
        </w:rPr>
        <w:t xml:space="preserve"> </w:t>
      </w:r>
      <w:r w:rsidRPr="00072457">
        <w:rPr>
          <w:szCs w:val="20"/>
        </w:rPr>
        <w:t>the</w:t>
      </w:r>
      <w:r w:rsidR="00C64050">
        <w:rPr>
          <w:szCs w:val="20"/>
        </w:rPr>
        <w:t xml:space="preserve"> </w:t>
      </w:r>
      <w:r w:rsidRPr="00072457">
        <w:rPr>
          <w:szCs w:val="20"/>
        </w:rPr>
        <w:t>“cost</w:t>
      </w:r>
      <w:r w:rsidR="00C64050">
        <w:rPr>
          <w:szCs w:val="20"/>
        </w:rPr>
        <w:t xml:space="preserve"> </w:t>
      </w:r>
      <w:r w:rsidRPr="00072457">
        <w:rPr>
          <w:szCs w:val="20"/>
        </w:rPr>
        <w:t>or</w:t>
      </w:r>
      <w:r w:rsidR="00C64050">
        <w:rPr>
          <w:szCs w:val="20"/>
        </w:rPr>
        <w:t xml:space="preserve"> </w:t>
      </w:r>
      <w:r w:rsidRPr="00072457">
        <w:rPr>
          <w:szCs w:val="20"/>
        </w:rPr>
        <w:t>adjusted</w:t>
      </w:r>
      <w:r w:rsidR="00C64050">
        <w:rPr>
          <w:szCs w:val="20"/>
        </w:rPr>
        <w:t xml:space="preserve"> </w:t>
      </w:r>
      <w:r w:rsidRPr="00072457">
        <w:rPr>
          <w:szCs w:val="20"/>
        </w:rPr>
        <w:t>basis”</w:t>
      </w:r>
      <w:r w:rsidR="00C64050">
        <w:rPr>
          <w:szCs w:val="20"/>
        </w:rPr>
        <w:t xml:space="preserve"> </w:t>
      </w:r>
      <w:r w:rsidRPr="00072457">
        <w:rPr>
          <w:szCs w:val="20"/>
        </w:rPr>
        <w:t>on</w:t>
      </w:r>
      <w:r w:rsidR="00C64050">
        <w:rPr>
          <w:szCs w:val="20"/>
        </w:rPr>
        <w:t xml:space="preserve"> </w:t>
      </w:r>
      <w:r w:rsidRPr="00072457">
        <w:rPr>
          <w:szCs w:val="20"/>
        </w:rPr>
        <w:t>an</w:t>
      </w:r>
      <w:r w:rsidR="00C64050">
        <w:rPr>
          <w:szCs w:val="20"/>
        </w:rPr>
        <w:t xml:space="preserve"> </w:t>
      </w:r>
      <w:r w:rsidRPr="00072457">
        <w:rPr>
          <w:szCs w:val="20"/>
        </w:rPr>
        <w:t>appraisal</w:t>
      </w:r>
      <w:r w:rsidR="00C64050">
        <w:rPr>
          <w:szCs w:val="20"/>
        </w:rPr>
        <w:t xml:space="preserve"> </w:t>
      </w:r>
      <w:r w:rsidRPr="00072457">
        <w:rPr>
          <w:szCs w:val="20"/>
        </w:rPr>
        <w:t>summary</w:t>
      </w:r>
      <w:r w:rsidR="00C64050">
        <w:rPr>
          <w:szCs w:val="20"/>
        </w:rPr>
        <w:t xml:space="preserve"> </w:t>
      </w:r>
      <w:r w:rsidRPr="00072457">
        <w:rPr>
          <w:szCs w:val="20"/>
        </w:rPr>
        <w:t>is</w:t>
      </w:r>
      <w:r w:rsidR="00C64050">
        <w:rPr>
          <w:szCs w:val="20"/>
        </w:rPr>
        <w:t xml:space="preserve"> </w:t>
      </w:r>
      <w:r w:rsidRPr="00072457">
        <w:rPr>
          <w:szCs w:val="20"/>
        </w:rPr>
        <w:t>a</w:t>
      </w:r>
      <w:r w:rsidR="00C64050">
        <w:rPr>
          <w:szCs w:val="20"/>
        </w:rPr>
        <w:t xml:space="preserve"> </w:t>
      </w:r>
      <w:r w:rsidRPr="00072457">
        <w:rPr>
          <w:szCs w:val="20"/>
        </w:rPr>
        <w:t>failure</w:t>
      </w:r>
      <w:r w:rsidR="00C64050">
        <w:rPr>
          <w:szCs w:val="20"/>
        </w:rPr>
        <w:t xml:space="preserve"> </w:t>
      </w:r>
      <w:r w:rsidRPr="00072457">
        <w:rPr>
          <w:szCs w:val="20"/>
        </w:rPr>
        <w:t>to</w:t>
      </w:r>
      <w:r w:rsidR="00C64050">
        <w:rPr>
          <w:szCs w:val="20"/>
        </w:rPr>
        <w:t xml:space="preserve"> </w:t>
      </w:r>
      <w:r w:rsidRPr="00072457">
        <w:rPr>
          <w:szCs w:val="20"/>
        </w:rPr>
        <w:t>substantially</w:t>
      </w:r>
      <w:r w:rsidR="00C64050">
        <w:rPr>
          <w:szCs w:val="20"/>
        </w:rPr>
        <w:t xml:space="preserve"> </w:t>
      </w:r>
      <w:r w:rsidRPr="00072457">
        <w:rPr>
          <w:szCs w:val="20"/>
        </w:rPr>
        <w:t>comply</w:t>
      </w:r>
      <w:r w:rsidR="00C64050">
        <w:rPr>
          <w:szCs w:val="20"/>
        </w:rPr>
        <w:t xml:space="preserve"> </w:t>
      </w:r>
      <w:r w:rsidRPr="00072457">
        <w:rPr>
          <w:szCs w:val="20"/>
        </w:rPr>
        <w:t>with</w:t>
      </w:r>
      <w:r w:rsidR="00C64050">
        <w:rPr>
          <w:szCs w:val="20"/>
        </w:rPr>
        <w:t xml:space="preserve"> </w:t>
      </w:r>
      <w:r w:rsidRPr="00072457">
        <w:rPr>
          <w:szCs w:val="20"/>
        </w:rPr>
        <w:t>DEFRA</w:t>
      </w:r>
      <w:r w:rsidR="00C64050">
        <w:rPr>
          <w:szCs w:val="20"/>
        </w:rPr>
        <w:t xml:space="preserve"> </w:t>
      </w:r>
      <w:r w:rsidRPr="00072457">
        <w:rPr>
          <w:szCs w:val="20"/>
        </w:rPr>
        <w:t>sec.</w:t>
      </w:r>
      <w:r w:rsidR="00C64050">
        <w:rPr>
          <w:szCs w:val="20"/>
        </w:rPr>
        <w:t xml:space="preserve"> </w:t>
      </w:r>
      <w:r w:rsidRPr="00072457">
        <w:rPr>
          <w:szCs w:val="20"/>
        </w:rPr>
        <w:t>155</w:t>
      </w:r>
      <w:r w:rsidR="00C64050">
        <w:rPr>
          <w:szCs w:val="20"/>
        </w:rPr>
        <w:t xml:space="preserve"> </w:t>
      </w:r>
      <w:r w:rsidRPr="00072457">
        <w:rPr>
          <w:szCs w:val="20"/>
        </w:rPr>
        <w:t>because</w:t>
      </w:r>
      <w:r w:rsidR="00C64050">
        <w:rPr>
          <w:szCs w:val="20"/>
        </w:rPr>
        <w:t xml:space="preserve"> </w:t>
      </w:r>
      <w:r w:rsidRPr="00072457">
        <w:rPr>
          <w:szCs w:val="20"/>
        </w:rPr>
        <w:t>it</w:t>
      </w:r>
      <w:r w:rsidR="00C64050">
        <w:rPr>
          <w:szCs w:val="20"/>
        </w:rPr>
        <w:t xml:space="preserve"> </w:t>
      </w:r>
      <w:r w:rsidRPr="00072457">
        <w:rPr>
          <w:szCs w:val="20"/>
        </w:rPr>
        <w:t>is</w:t>
      </w:r>
      <w:r w:rsidR="00C64050">
        <w:rPr>
          <w:szCs w:val="20"/>
        </w:rPr>
        <w:t xml:space="preserve"> </w:t>
      </w:r>
      <w:r w:rsidRPr="00072457">
        <w:rPr>
          <w:szCs w:val="20"/>
        </w:rPr>
        <w:t>a</w:t>
      </w:r>
      <w:r w:rsidR="00C64050">
        <w:rPr>
          <w:szCs w:val="20"/>
        </w:rPr>
        <w:t xml:space="preserve"> </w:t>
      </w:r>
      <w:r w:rsidRPr="00072457">
        <w:rPr>
          <w:szCs w:val="20"/>
        </w:rPr>
        <w:t>failure</w:t>
      </w:r>
      <w:r w:rsidR="00C64050">
        <w:rPr>
          <w:szCs w:val="20"/>
        </w:rPr>
        <w:t xml:space="preserve"> </w:t>
      </w:r>
      <w:r w:rsidRPr="00072457">
        <w:rPr>
          <w:szCs w:val="20"/>
        </w:rPr>
        <w:t>to</w:t>
      </w:r>
      <w:r w:rsidR="00C64050">
        <w:rPr>
          <w:szCs w:val="20"/>
        </w:rPr>
        <w:t xml:space="preserve"> </w:t>
      </w:r>
      <w:r w:rsidRPr="00072457">
        <w:rPr>
          <w:szCs w:val="20"/>
        </w:rPr>
        <w:t>“provide[</w:t>
      </w:r>
      <w:r w:rsidR="00C64050">
        <w:rPr>
          <w:szCs w:val="20"/>
        </w:rPr>
        <w:t xml:space="preserve"> </w:t>
      </w:r>
      <w:r w:rsidRPr="00072457">
        <w:rPr>
          <w:szCs w:val="20"/>
        </w:rPr>
        <w:t>]</w:t>
      </w:r>
      <w:r w:rsidR="00C64050">
        <w:rPr>
          <w:szCs w:val="20"/>
        </w:rPr>
        <w:t xml:space="preserve"> </w:t>
      </w:r>
      <w:r w:rsidRPr="00072457">
        <w:rPr>
          <w:szCs w:val="20"/>
        </w:rPr>
        <w:t>sufficient</w:t>
      </w:r>
      <w:r w:rsidR="00C64050">
        <w:rPr>
          <w:szCs w:val="20"/>
        </w:rPr>
        <w:t xml:space="preserve"> </w:t>
      </w:r>
      <w:r w:rsidRPr="00072457">
        <w:rPr>
          <w:szCs w:val="20"/>
        </w:rPr>
        <w:t>information</w:t>
      </w:r>
      <w:r w:rsidR="00C64050">
        <w:rPr>
          <w:szCs w:val="20"/>
        </w:rPr>
        <w:t xml:space="preserve"> </w:t>
      </w:r>
      <w:r w:rsidRPr="00072457">
        <w:rPr>
          <w:szCs w:val="20"/>
        </w:rPr>
        <w:t>to</w:t>
      </w:r>
      <w:r w:rsidR="00C64050">
        <w:rPr>
          <w:szCs w:val="20"/>
        </w:rPr>
        <w:t xml:space="preserve"> </w:t>
      </w:r>
      <w:r w:rsidRPr="00072457">
        <w:rPr>
          <w:szCs w:val="20"/>
        </w:rPr>
        <w:t>permit</w:t>
      </w:r>
      <w:r w:rsidR="00C64050">
        <w:rPr>
          <w:szCs w:val="20"/>
        </w:rPr>
        <w:t xml:space="preserve"> </w:t>
      </w:r>
      <w:r w:rsidRPr="00072457">
        <w:rPr>
          <w:szCs w:val="20"/>
        </w:rPr>
        <w:t>*</w:t>
      </w:r>
      <w:r w:rsidR="00C64050">
        <w:rPr>
          <w:szCs w:val="20"/>
        </w:rPr>
        <w:t xml:space="preserve"> </w:t>
      </w:r>
      <w:r w:rsidRPr="00072457">
        <w:rPr>
          <w:szCs w:val="20"/>
        </w:rPr>
        <w:t>*</w:t>
      </w:r>
      <w:r w:rsidR="00C64050">
        <w:rPr>
          <w:szCs w:val="20"/>
        </w:rPr>
        <w:t xml:space="preserve"> </w:t>
      </w:r>
      <w:r w:rsidRPr="00072457">
        <w:rPr>
          <w:szCs w:val="20"/>
        </w:rPr>
        <w:t>*</w:t>
      </w:r>
      <w:r w:rsidR="00C64050">
        <w:rPr>
          <w:szCs w:val="20"/>
        </w:rPr>
        <w:t xml:space="preserve"> </w:t>
      </w:r>
      <w:r w:rsidRPr="00072457">
        <w:rPr>
          <w:szCs w:val="20"/>
        </w:rPr>
        <w:t>[the</w:t>
      </w:r>
      <w:r w:rsidR="00C64050">
        <w:rPr>
          <w:szCs w:val="20"/>
        </w:rPr>
        <w:t xml:space="preserve"> </w:t>
      </w:r>
      <w:r w:rsidRPr="00072457">
        <w:rPr>
          <w:szCs w:val="20"/>
        </w:rPr>
        <w:t>Commissioner]</w:t>
      </w:r>
      <w:r w:rsidR="00C64050">
        <w:rPr>
          <w:szCs w:val="20"/>
        </w:rPr>
        <w:t xml:space="preserve"> </w:t>
      </w:r>
      <w:r w:rsidRPr="00072457">
        <w:rPr>
          <w:szCs w:val="20"/>
        </w:rPr>
        <w:t>to</w:t>
      </w:r>
      <w:r w:rsidR="00C64050">
        <w:rPr>
          <w:szCs w:val="20"/>
        </w:rPr>
        <w:t xml:space="preserve"> </w:t>
      </w:r>
      <w:r w:rsidRPr="00072457">
        <w:rPr>
          <w:szCs w:val="20"/>
        </w:rPr>
        <w:t>evaluate</w:t>
      </w:r>
      <w:r w:rsidR="00C64050">
        <w:rPr>
          <w:szCs w:val="20"/>
        </w:rPr>
        <w:t xml:space="preserve"> </w:t>
      </w:r>
      <w:r w:rsidRPr="00072457">
        <w:rPr>
          <w:szCs w:val="20"/>
        </w:rPr>
        <w:t>the[</w:t>
      </w:r>
      <w:r w:rsidR="00C64050">
        <w:rPr>
          <w:szCs w:val="20"/>
        </w:rPr>
        <w:t xml:space="preserve"> </w:t>
      </w:r>
      <w:r w:rsidRPr="00072457">
        <w:rPr>
          <w:szCs w:val="20"/>
        </w:rPr>
        <w:t>]</w:t>
      </w:r>
      <w:r w:rsidR="00C64050">
        <w:rPr>
          <w:szCs w:val="20"/>
        </w:rPr>
        <w:t xml:space="preserve"> </w:t>
      </w:r>
      <w:r w:rsidRPr="00072457">
        <w:rPr>
          <w:szCs w:val="20"/>
        </w:rPr>
        <w:t>reported</w:t>
      </w:r>
      <w:r w:rsidR="00C64050">
        <w:rPr>
          <w:szCs w:val="20"/>
        </w:rPr>
        <w:t xml:space="preserve"> </w:t>
      </w:r>
      <w:r w:rsidRPr="00072457">
        <w:rPr>
          <w:szCs w:val="20"/>
        </w:rPr>
        <w:t>contributions,</w:t>
      </w:r>
      <w:r w:rsidR="00C64050">
        <w:rPr>
          <w:szCs w:val="20"/>
        </w:rPr>
        <w:t xml:space="preserve"> </w:t>
      </w:r>
      <w:r w:rsidRPr="00072457">
        <w:rPr>
          <w:szCs w:val="20"/>
        </w:rPr>
        <w:t>as</w:t>
      </w:r>
      <w:r w:rsidR="00C64050">
        <w:rPr>
          <w:szCs w:val="20"/>
        </w:rPr>
        <w:t xml:space="preserve"> </w:t>
      </w:r>
      <w:r w:rsidRPr="00072457">
        <w:rPr>
          <w:szCs w:val="20"/>
        </w:rPr>
        <w:t>intended</w:t>
      </w:r>
      <w:r w:rsidR="00C64050">
        <w:rPr>
          <w:szCs w:val="20"/>
        </w:rPr>
        <w:t xml:space="preserve"> </w:t>
      </w:r>
      <w:r w:rsidRPr="00072457">
        <w:rPr>
          <w:szCs w:val="20"/>
        </w:rPr>
        <w:t>by</w:t>
      </w:r>
      <w:r w:rsidR="00C64050">
        <w:rPr>
          <w:szCs w:val="20"/>
        </w:rPr>
        <w:t xml:space="preserve"> </w:t>
      </w:r>
      <w:r w:rsidRPr="00072457">
        <w:rPr>
          <w:szCs w:val="20"/>
        </w:rPr>
        <w:t>Congress.”</w:t>
      </w:r>
      <w:r w:rsidR="00C64050">
        <w:rPr>
          <w:szCs w:val="20"/>
        </w:rPr>
        <w:t xml:space="preserve"> </w:t>
      </w:r>
      <w:r w:rsidRPr="00072457">
        <w:rPr>
          <w:szCs w:val="20"/>
          <w:u w:val="single"/>
        </w:rPr>
        <w:t>Smith</w:t>
      </w:r>
      <w:r w:rsidR="00C64050">
        <w:rPr>
          <w:szCs w:val="20"/>
          <w:u w:val="single"/>
        </w:rPr>
        <w:t xml:space="preserve"> </w:t>
      </w:r>
      <w:r w:rsidRPr="00072457">
        <w:rPr>
          <w:szCs w:val="20"/>
          <w:u w:val="single"/>
        </w:rPr>
        <w:t>v.</w:t>
      </w:r>
      <w:r w:rsidR="00C64050">
        <w:rPr>
          <w:szCs w:val="20"/>
          <w:u w:val="single"/>
        </w:rPr>
        <w:t xml:space="preserve"> </w:t>
      </w:r>
      <w:r w:rsidRPr="00072457">
        <w:rPr>
          <w:szCs w:val="20"/>
          <w:u w:val="single"/>
        </w:rPr>
        <w:t>Commissioner</w:t>
      </w:r>
      <w:r w:rsidRPr="00072457">
        <w:rPr>
          <w:szCs w:val="20"/>
        </w:rPr>
        <w:t>,</w:t>
      </w:r>
      <w:r w:rsidR="00C64050">
        <w:rPr>
          <w:szCs w:val="20"/>
        </w:rPr>
        <w:t xml:space="preserve"> </w:t>
      </w:r>
      <w:r w:rsidRPr="00072457">
        <w:rPr>
          <w:szCs w:val="20"/>
        </w:rPr>
        <w:t>2007</w:t>
      </w:r>
      <w:r w:rsidR="00C64050">
        <w:rPr>
          <w:szCs w:val="20"/>
        </w:rPr>
        <w:t xml:space="preserve"> </w:t>
      </w:r>
      <w:r w:rsidRPr="00072457">
        <w:rPr>
          <w:szCs w:val="20"/>
        </w:rPr>
        <w:t>WL</w:t>
      </w:r>
      <w:r w:rsidR="00C64050">
        <w:rPr>
          <w:szCs w:val="20"/>
        </w:rPr>
        <w:t xml:space="preserve"> </w:t>
      </w:r>
      <w:r w:rsidRPr="00072457">
        <w:rPr>
          <w:szCs w:val="20"/>
        </w:rPr>
        <w:t>4410771,</w:t>
      </w:r>
      <w:r w:rsidR="00C64050">
        <w:rPr>
          <w:szCs w:val="20"/>
        </w:rPr>
        <w:t xml:space="preserve"> </w:t>
      </w:r>
      <w:r w:rsidRPr="00072457">
        <w:rPr>
          <w:szCs w:val="20"/>
        </w:rPr>
        <w:t>at</w:t>
      </w:r>
      <w:r w:rsidR="00C64050">
        <w:rPr>
          <w:szCs w:val="20"/>
        </w:rPr>
        <w:t xml:space="preserve"> </w:t>
      </w:r>
      <w:r w:rsidRPr="00072457">
        <w:rPr>
          <w:szCs w:val="20"/>
        </w:rPr>
        <w:t>*20;</w:t>
      </w:r>
      <w:r w:rsidR="00C64050">
        <w:rPr>
          <w:szCs w:val="20"/>
        </w:rPr>
        <w:t xml:space="preserve"> </w:t>
      </w:r>
      <w:r w:rsidRPr="00072457">
        <w:rPr>
          <w:szCs w:val="20"/>
          <w:u w:val="single"/>
        </w:rPr>
        <w:t>see</w:t>
      </w:r>
      <w:r w:rsidR="00C64050">
        <w:rPr>
          <w:szCs w:val="20"/>
          <w:u w:val="single"/>
        </w:rPr>
        <w:t xml:space="preserve"> </w:t>
      </w:r>
      <w:r w:rsidRPr="00072457">
        <w:rPr>
          <w:szCs w:val="20"/>
          <w:u w:val="single"/>
        </w:rPr>
        <w:t>also</w:t>
      </w:r>
      <w:r w:rsidR="00C64050">
        <w:rPr>
          <w:szCs w:val="20"/>
        </w:rPr>
        <w:t xml:space="preserve"> </w:t>
      </w:r>
      <w:r w:rsidRPr="00072457">
        <w:rPr>
          <w:szCs w:val="20"/>
          <w:u w:val="single"/>
        </w:rPr>
        <w:t>Belair</w:t>
      </w:r>
      <w:r w:rsidR="00C64050">
        <w:rPr>
          <w:szCs w:val="20"/>
          <w:u w:val="single"/>
        </w:rPr>
        <w:t xml:space="preserve"> </w:t>
      </w:r>
      <w:r w:rsidRPr="00072457">
        <w:rPr>
          <w:szCs w:val="20"/>
          <w:u w:val="single"/>
        </w:rPr>
        <w:t>Woods,</w:t>
      </w:r>
      <w:r w:rsidR="00C64050">
        <w:rPr>
          <w:szCs w:val="20"/>
          <w:u w:val="single"/>
        </w:rPr>
        <w:t xml:space="preserve"> </w:t>
      </w:r>
      <w:r w:rsidRPr="00072457">
        <w:rPr>
          <w:szCs w:val="20"/>
          <w:u w:val="single"/>
        </w:rPr>
        <w:t>LLC</w:t>
      </w:r>
      <w:r w:rsidR="00C64050">
        <w:rPr>
          <w:szCs w:val="20"/>
          <w:u w:val="single"/>
        </w:rPr>
        <w:t xml:space="preserve"> </w:t>
      </w:r>
      <w:r w:rsidRPr="00072457">
        <w:rPr>
          <w:szCs w:val="20"/>
          <w:u w:val="single"/>
        </w:rPr>
        <w:t>v.</w:t>
      </w:r>
      <w:r w:rsidR="00C64050">
        <w:rPr>
          <w:szCs w:val="20"/>
          <w:u w:val="single"/>
        </w:rPr>
        <w:t xml:space="preserve"> </w:t>
      </w:r>
      <w:r w:rsidRPr="00072457">
        <w:rPr>
          <w:szCs w:val="20"/>
          <w:u w:val="single"/>
        </w:rPr>
        <w:t>Commissioner</w:t>
      </w:r>
      <w:r w:rsidRPr="00072457">
        <w:rPr>
          <w:szCs w:val="20"/>
        </w:rPr>
        <w:t>,</w:t>
      </w:r>
      <w:r w:rsidR="00C64050">
        <w:rPr>
          <w:szCs w:val="20"/>
        </w:rPr>
        <w:t xml:space="preserve"> </w:t>
      </w:r>
      <w:r w:rsidRPr="00072457">
        <w:rPr>
          <w:szCs w:val="20"/>
        </w:rPr>
        <w:t>at</w:t>
      </w:r>
      <w:r w:rsidR="00C64050">
        <w:rPr>
          <w:szCs w:val="20"/>
        </w:rPr>
        <w:t xml:space="preserve"> </w:t>
      </w:r>
      <w:r w:rsidRPr="00072457">
        <w:rPr>
          <w:szCs w:val="20"/>
        </w:rPr>
        <w:t>*15-*20.</w:t>
      </w:r>
    </w:p>
    <w:p w:rsidR="00072457" w:rsidRPr="00072457" w:rsidRDefault="00A03617" w:rsidP="00072457">
      <w:pPr>
        <w:pStyle w:val="QS10"/>
        <w:rPr>
          <w:szCs w:val="20"/>
        </w:rPr>
      </w:pPr>
      <w:r w:rsidRPr="00072457">
        <w:rPr>
          <w:szCs w:val="20"/>
        </w:rPr>
        <w:t>In</w:t>
      </w:r>
      <w:r w:rsidR="00C64050">
        <w:rPr>
          <w:szCs w:val="20"/>
        </w:rPr>
        <w:t xml:space="preserve"> </w:t>
      </w:r>
      <w:r w:rsidRPr="00072457">
        <w:rPr>
          <w:szCs w:val="20"/>
          <w:u w:val="single"/>
        </w:rPr>
        <w:t>RERI</w:t>
      </w:r>
      <w:r w:rsidR="00C64050">
        <w:rPr>
          <w:szCs w:val="20"/>
          <w:u w:val="single"/>
        </w:rPr>
        <w:t xml:space="preserve"> </w:t>
      </w:r>
      <w:r w:rsidRPr="00072457">
        <w:rPr>
          <w:szCs w:val="20"/>
          <w:u w:val="single"/>
        </w:rPr>
        <w:t>Holdings</w:t>
      </w:r>
      <w:r w:rsidR="00C64050">
        <w:rPr>
          <w:szCs w:val="20"/>
          <w:u w:val="single"/>
        </w:rPr>
        <w:t xml:space="preserve"> </w:t>
      </w:r>
      <w:r w:rsidRPr="00072457">
        <w:rPr>
          <w:szCs w:val="20"/>
          <w:u w:val="single"/>
        </w:rPr>
        <w:t>I,</w:t>
      </w:r>
      <w:r w:rsidR="00C64050">
        <w:rPr>
          <w:szCs w:val="20"/>
          <w:u w:val="single"/>
        </w:rPr>
        <w:t xml:space="preserve"> </w:t>
      </w:r>
      <w:r w:rsidRPr="00072457">
        <w:rPr>
          <w:szCs w:val="20"/>
          <w:u w:val="single"/>
        </w:rPr>
        <w:t>LLC</w:t>
      </w:r>
      <w:r w:rsidR="00C64050">
        <w:rPr>
          <w:szCs w:val="20"/>
          <w:u w:val="single"/>
        </w:rPr>
        <w:t xml:space="preserve"> </w:t>
      </w:r>
      <w:r w:rsidRPr="00072457">
        <w:rPr>
          <w:szCs w:val="20"/>
          <w:u w:val="single"/>
        </w:rPr>
        <w:t>v.</w:t>
      </w:r>
      <w:r w:rsidR="00C64050">
        <w:rPr>
          <w:szCs w:val="20"/>
          <w:u w:val="single"/>
        </w:rPr>
        <w:t xml:space="preserve"> </w:t>
      </w:r>
      <w:r w:rsidRPr="00072457">
        <w:rPr>
          <w:szCs w:val="20"/>
          <w:u w:val="single"/>
        </w:rPr>
        <w:t>Commissioner</w:t>
      </w:r>
      <w:r w:rsidRPr="00072457">
        <w:rPr>
          <w:szCs w:val="20"/>
        </w:rPr>
        <w:t>,</w:t>
      </w:r>
      <w:r w:rsidR="00C64050">
        <w:rPr>
          <w:szCs w:val="20"/>
        </w:rPr>
        <w:t xml:space="preserve"> </w:t>
      </w:r>
      <w:r w:rsidRPr="00072457">
        <w:rPr>
          <w:szCs w:val="20"/>
        </w:rPr>
        <w:t>149</w:t>
      </w:r>
      <w:r w:rsidR="00C64050">
        <w:rPr>
          <w:szCs w:val="20"/>
        </w:rPr>
        <w:t xml:space="preserve"> </w:t>
      </w:r>
      <w:r w:rsidRPr="00072457">
        <w:rPr>
          <w:szCs w:val="20"/>
        </w:rPr>
        <w:t>T.C.</w:t>
      </w:r>
      <w:r w:rsidR="00C64050">
        <w:rPr>
          <w:szCs w:val="20"/>
        </w:rPr>
        <w:t xml:space="preserve"> </w:t>
      </w:r>
      <w:r w:rsidRPr="00072457">
        <w:rPr>
          <w:szCs w:val="20"/>
        </w:rPr>
        <w:t>at</w:t>
      </w:r>
      <w:r w:rsidR="00C64050">
        <w:rPr>
          <w:szCs w:val="20"/>
        </w:rPr>
        <w:t xml:space="preserve"> </w:t>
      </w:r>
      <w:r w:rsidRPr="00072457">
        <w:rPr>
          <w:szCs w:val="20"/>
        </w:rPr>
        <w:t>2-3,</w:t>
      </w:r>
      <w:r w:rsidR="00C64050">
        <w:rPr>
          <w:szCs w:val="20"/>
        </w:rPr>
        <w:t xml:space="preserve"> </w:t>
      </w:r>
      <w:r w:rsidRPr="00072457">
        <w:rPr>
          <w:szCs w:val="20"/>
        </w:rPr>
        <w:t>a</w:t>
      </w:r>
      <w:r w:rsidR="00C64050">
        <w:rPr>
          <w:szCs w:val="20"/>
        </w:rPr>
        <w:t xml:space="preserve"> </w:t>
      </w:r>
      <w:r w:rsidRPr="00072457">
        <w:rPr>
          <w:szCs w:val="20"/>
        </w:rPr>
        <w:t>partnership</w:t>
      </w:r>
      <w:r w:rsidR="00C64050">
        <w:rPr>
          <w:szCs w:val="20"/>
        </w:rPr>
        <w:t xml:space="preserve"> </w:t>
      </w:r>
      <w:r w:rsidRPr="00072457">
        <w:rPr>
          <w:szCs w:val="20"/>
        </w:rPr>
        <w:t>acquired</w:t>
      </w:r>
      <w:r w:rsidR="00C64050">
        <w:rPr>
          <w:szCs w:val="20"/>
        </w:rPr>
        <w:t xml:space="preserve"> </w:t>
      </w:r>
      <w:r w:rsidRPr="00072457">
        <w:rPr>
          <w:szCs w:val="20"/>
        </w:rPr>
        <w:t>and</w:t>
      </w:r>
      <w:r w:rsidR="00C64050">
        <w:rPr>
          <w:szCs w:val="20"/>
        </w:rPr>
        <w:t xml:space="preserve"> </w:t>
      </w:r>
      <w:r w:rsidRPr="00072457">
        <w:rPr>
          <w:szCs w:val="20"/>
        </w:rPr>
        <w:t>donated</w:t>
      </w:r>
      <w:r w:rsidR="00C64050">
        <w:rPr>
          <w:szCs w:val="20"/>
        </w:rPr>
        <w:t xml:space="preserve"> </w:t>
      </w:r>
      <w:r w:rsidRPr="00072457">
        <w:rPr>
          <w:szCs w:val="20"/>
        </w:rPr>
        <w:t>a</w:t>
      </w:r>
      <w:r w:rsidR="00C64050">
        <w:rPr>
          <w:szCs w:val="20"/>
        </w:rPr>
        <w:t xml:space="preserve"> </w:t>
      </w:r>
      <w:r w:rsidRPr="00072457">
        <w:rPr>
          <w:szCs w:val="20"/>
        </w:rPr>
        <w:t>future</w:t>
      </w:r>
      <w:r w:rsidR="00C64050">
        <w:rPr>
          <w:szCs w:val="20"/>
        </w:rPr>
        <w:t xml:space="preserve"> </w:t>
      </w:r>
      <w:r w:rsidRPr="00072457">
        <w:rPr>
          <w:szCs w:val="20"/>
        </w:rPr>
        <w:t>interest</w:t>
      </w:r>
      <w:r w:rsidR="00C64050">
        <w:rPr>
          <w:szCs w:val="20"/>
        </w:rPr>
        <w:t xml:space="preserve"> </w:t>
      </w:r>
      <w:r w:rsidRPr="00072457">
        <w:rPr>
          <w:szCs w:val="20"/>
        </w:rPr>
        <w:t>in</w:t>
      </w:r>
      <w:r w:rsidR="00C64050">
        <w:rPr>
          <w:szCs w:val="20"/>
        </w:rPr>
        <w:t xml:space="preserve"> </w:t>
      </w:r>
      <w:r w:rsidRPr="00072457">
        <w:rPr>
          <w:szCs w:val="20"/>
        </w:rPr>
        <w:t>commercial</w:t>
      </w:r>
      <w:r w:rsidR="00C64050">
        <w:rPr>
          <w:szCs w:val="20"/>
        </w:rPr>
        <w:t xml:space="preserve"> </w:t>
      </w:r>
      <w:r w:rsidRPr="00072457">
        <w:rPr>
          <w:szCs w:val="20"/>
        </w:rPr>
        <w:t>property</w:t>
      </w:r>
      <w:r w:rsidR="00C64050">
        <w:rPr>
          <w:szCs w:val="20"/>
        </w:rPr>
        <w:t xml:space="preserve"> </w:t>
      </w:r>
      <w:r w:rsidRPr="00072457">
        <w:rPr>
          <w:szCs w:val="20"/>
        </w:rPr>
        <w:t>to</w:t>
      </w:r>
      <w:r w:rsidR="00C64050">
        <w:rPr>
          <w:szCs w:val="20"/>
        </w:rPr>
        <w:t xml:space="preserve"> </w:t>
      </w:r>
      <w:r w:rsidRPr="00072457">
        <w:rPr>
          <w:szCs w:val="20"/>
        </w:rPr>
        <w:t>a</w:t>
      </w:r>
      <w:r w:rsidR="00C64050">
        <w:rPr>
          <w:szCs w:val="20"/>
        </w:rPr>
        <w:t xml:space="preserve"> </w:t>
      </w:r>
      <w:r w:rsidRPr="00072457">
        <w:rPr>
          <w:szCs w:val="20"/>
        </w:rPr>
        <w:t>university.</w:t>
      </w:r>
      <w:r w:rsidR="00C64050">
        <w:rPr>
          <w:szCs w:val="20"/>
        </w:rPr>
        <w:t xml:space="preserve"> </w:t>
      </w:r>
      <w:r w:rsidRPr="00072457">
        <w:rPr>
          <w:szCs w:val="20"/>
        </w:rPr>
        <w:t>The</w:t>
      </w:r>
      <w:r w:rsidR="00C64050">
        <w:rPr>
          <w:szCs w:val="20"/>
        </w:rPr>
        <w:t xml:space="preserve"> </w:t>
      </w:r>
      <w:r w:rsidRPr="00072457">
        <w:rPr>
          <w:szCs w:val="20"/>
        </w:rPr>
        <w:t>partnership</w:t>
      </w:r>
      <w:r w:rsidR="00C64050">
        <w:rPr>
          <w:szCs w:val="20"/>
        </w:rPr>
        <w:t xml:space="preserve"> </w:t>
      </w:r>
      <w:r w:rsidRPr="00072457">
        <w:rPr>
          <w:szCs w:val="20"/>
        </w:rPr>
        <w:t>claimed</w:t>
      </w:r>
      <w:r w:rsidR="00C64050">
        <w:rPr>
          <w:szCs w:val="20"/>
        </w:rPr>
        <w:t xml:space="preserve"> </w:t>
      </w:r>
      <w:r w:rsidRPr="00072457">
        <w:rPr>
          <w:szCs w:val="20"/>
        </w:rPr>
        <w:t>a</w:t>
      </w:r>
      <w:r w:rsidR="00C64050">
        <w:rPr>
          <w:szCs w:val="20"/>
        </w:rPr>
        <w:t xml:space="preserve"> </w:t>
      </w:r>
      <w:r w:rsidRPr="00072457">
        <w:rPr>
          <w:szCs w:val="20"/>
        </w:rPr>
        <w:t>$33,019,000</w:t>
      </w:r>
      <w:r w:rsidR="00C64050">
        <w:rPr>
          <w:szCs w:val="20"/>
        </w:rPr>
        <w:t xml:space="preserve"> </w:t>
      </w:r>
      <w:r w:rsidRPr="00072457">
        <w:rPr>
          <w:szCs w:val="20"/>
        </w:rPr>
        <w:t>charitable</w:t>
      </w:r>
      <w:r w:rsidR="00C64050">
        <w:rPr>
          <w:szCs w:val="20"/>
        </w:rPr>
        <w:t xml:space="preserve"> </w:t>
      </w:r>
      <w:r w:rsidRPr="00072457">
        <w:rPr>
          <w:szCs w:val="20"/>
        </w:rPr>
        <w:t>contribution</w:t>
      </w:r>
      <w:r w:rsidR="00C64050">
        <w:rPr>
          <w:szCs w:val="20"/>
        </w:rPr>
        <w:t xml:space="preserve"> </w:t>
      </w:r>
      <w:r w:rsidRPr="00072457">
        <w:rPr>
          <w:szCs w:val="20"/>
        </w:rPr>
        <w:t>deduction</w:t>
      </w:r>
      <w:r w:rsidR="00C64050">
        <w:rPr>
          <w:szCs w:val="20"/>
        </w:rPr>
        <w:t xml:space="preserve"> </w:t>
      </w:r>
      <w:r w:rsidRPr="00072457">
        <w:rPr>
          <w:szCs w:val="20"/>
        </w:rPr>
        <w:t>on</w:t>
      </w:r>
      <w:r w:rsidR="00C64050">
        <w:rPr>
          <w:szCs w:val="20"/>
        </w:rPr>
        <w:t xml:space="preserve"> </w:t>
      </w:r>
      <w:r w:rsidRPr="00072457">
        <w:rPr>
          <w:szCs w:val="20"/>
        </w:rPr>
        <w:t>its</w:t>
      </w:r>
      <w:r w:rsidR="00C64050">
        <w:rPr>
          <w:szCs w:val="20"/>
        </w:rPr>
        <w:t xml:space="preserve"> </w:t>
      </w:r>
      <w:r w:rsidRPr="00072457">
        <w:rPr>
          <w:szCs w:val="20"/>
        </w:rPr>
        <w:t>informational</w:t>
      </w:r>
      <w:r w:rsidR="00C64050">
        <w:rPr>
          <w:szCs w:val="20"/>
        </w:rPr>
        <w:t xml:space="preserve"> </w:t>
      </w:r>
      <w:r w:rsidRPr="00072457">
        <w:rPr>
          <w:szCs w:val="20"/>
        </w:rPr>
        <w:t>return.</w:t>
      </w:r>
      <w:r w:rsidR="00C64050">
        <w:rPr>
          <w:szCs w:val="20"/>
        </w:rPr>
        <w:t xml:space="preserve"> </w:t>
      </w:r>
      <w:r w:rsidRPr="00072457">
        <w:rPr>
          <w:szCs w:val="20"/>
          <w:u w:val="single"/>
        </w:rPr>
        <w:t>Id.</w:t>
      </w:r>
      <w:r w:rsidR="00C64050">
        <w:rPr>
          <w:szCs w:val="20"/>
        </w:rPr>
        <w:t xml:space="preserve"> </w:t>
      </w:r>
      <w:r w:rsidRPr="00072457">
        <w:rPr>
          <w:szCs w:val="20"/>
        </w:rPr>
        <w:t>The</w:t>
      </w:r>
      <w:r w:rsidR="00C64050">
        <w:rPr>
          <w:szCs w:val="20"/>
        </w:rPr>
        <w:t xml:space="preserve"> </w:t>
      </w:r>
      <w:r w:rsidRPr="00072457">
        <w:rPr>
          <w:szCs w:val="20"/>
        </w:rPr>
        <w:t>partnership</w:t>
      </w:r>
      <w:r w:rsidR="00C64050">
        <w:rPr>
          <w:szCs w:val="20"/>
        </w:rPr>
        <w:t xml:space="preserve"> </w:t>
      </w:r>
      <w:r w:rsidRPr="00072457">
        <w:rPr>
          <w:szCs w:val="20"/>
        </w:rPr>
        <w:t>attached</w:t>
      </w:r>
      <w:r w:rsidR="00C64050">
        <w:rPr>
          <w:szCs w:val="20"/>
        </w:rPr>
        <w:t xml:space="preserve"> </w:t>
      </w:r>
      <w:r w:rsidRPr="00072457">
        <w:rPr>
          <w:szCs w:val="20"/>
        </w:rPr>
        <w:t>to</w:t>
      </w:r>
      <w:r w:rsidR="00C64050">
        <w:rPr>
          <w:szCs w:val="20"/>
        </w:rPr>
        <w:t xml:space="preserve"> </w:t>
      </w:r>
      <w:r w:rsidRPr="00072457">
        <w:rPr>
          <w:szCs w:val="20"/>
        </w:rPr>
        <w:t>its</w:t>
      </w:r>
      <w:r w:rsidR="00C64050">
        <w:rPr>
          <w:szCs w:val="20"/>
        </w:rPr>
        <w:t xml:space="preserve"> </w:t>
      </w:r>
      <w:r w:rsidRPr="00072457">
        <w:rPr>
          <w:szCs w:val="20"/>
        </w:rPr>
        <w:t>return</w:t>
      </w:r>
      <w:r w:rsidR="00C64050">
        <w:rPr>
          <w:szCs w:val="20"/>
        </w:rPr>
        <w:t xml:space="preserve"> </w:t>
      </w:r>
      <w:r w:rsidRPr="00072457">
        <w:rPr>
          <w:szCs w:val="20"/>
        </w:rPr>
        <w:t>a</w:t>
      </w:r>
      <w:r w:rsidR="00C64050">
        <w:rPr>
          <w:szCs w:val="20"/>
        </w:rPr>
        <w:t xml:space="preserve"> </w:t>
      </w:r>
      <w:r w:rsidRPr="00072457">
        <w:rPr>
          <w:szCs w:val="20"/>
        </w:rPr>
        <w:t>complete</w:t>
      </w:r>
      <w:r w:rsidR="00C64050">
        <w:rPr>
          <w:szCs w:val="20"/>
        </w:rPr>
        <w:t xml:space="preserve"> </w:t>
      </w:r>
      <w:r w:rsidRPr="00072457">
        <w:rPr>
          <w:szCs w:val="20"/>
        </w:rPr>
        <w:t>appraisal</w:t>
      </w:r>
      <w:r w:rsidR="00C64050">
        <w:rPr>
          <w:szCs w:val="20"/>
        </w:rPr>
        <w:t xml:space="preserve"> </w:t>
      </w:r>
      <w:r w:rsidRPr="00072457">
        <w:rPr>
          <w:szCs w:val="20"/>
        </w:rPr>
        <w:t>as</w:t>
      </w:r>
      <w:r w:rsidR="00C64050">
        <w:rPr>
          <w:szCs w:val="20"/>
        </w:rPr>
        <w:t xml:space="preserve"> </w:t>
      </w:r>
      <w:r w:rsidRPr="00072457">
        <w:rPr>
          <w:szCs w:val="20"/>
        </w:rPr>
        <w:t>well</w:t>
      </w:r>
      <w:r w:rsidR="00C64050">
        <w:rPr>
          <w:szCs w:val="20"/>
        </w:rPr>
        <w:t xml:space="preserve"> </w:t>
      </w:r>
      <w:r w:rsidRPr="00072457">
        <w:rPr>
          <w:szCs w:val="20"/>
        </w:rPr>
        <w:t>as</w:t>
      </w:r>
      <w:r w:rsidR="00C64050">
        <w:rPr>
          <w:szCs w:val="20"/>
        </w:rPr>
        <w:t xml:space="preserve"> </w:t>
      </w:r>
      <w:r w:rsidRPr="00072457">
        <w:rPr>
          <w:szCs w:val="20"/>
        </w:rPr>
        <w:t>an</w:t>
      </w:r>
      <w:r w:rsidR="00C64050">
        <w:rPr>
          <w:szCs w:val="20"/>
        </w:rPr>
        <w:t xml:space="preserve"> </w:t>
      </w:r>
      <w:r w:rsidRPr="00072457">
        <w:rPr>
          <w:szCs w:val="20"/>
        </w:rPr>
        <w:t>appraisal</w:t>
      </w:r>
      <w:r w:rsidR="00C64050">
        <w:rPr>
          <w:szCs w:val="20"/>
        </w:rPr>
        <w:t xml:space="preserve"> </w:t>
      </w:r>
      <w:r w:rsidRPr="00072457">
        <w:rPr>
          <w:szCs w:val="20"/>
        </w:rPr>
        <w:t>summary.</w:t>
      </w:r>
      <w:r w:rsidR="00C64050">
        <w:rPr>
          <w:szCs w:val="20"/>
        </w:rPr>
        <w:t xml:space="preserve"> </w:t>
      </w:r>
      <w:r w:rsidRPr="00072457">
        <w:rPr>
          <w:szCs w:val="20"/>
          <w:u w:val="single"/>
        </w:rPr>
        <w:t>Id.</w:t>
      </w:r>
      <w:r w:rsidR="00C64050">
        <w:rPr>
          <w:szCs w:val="20"/>
        </w:rPr>
        <w:t xml:space="preserve"> </w:t>
      </w:r>
      <w:r w:rsidRPr="00072457">
        <w:rPr>
          <w:szCs w:val="20"/>
        </w:rPr>
        <w:t>at</w:t>
      </w:r>
      <w:r w:rsidR="00C64050">
        <w:rPr>
          <w:szCs w:val="20"/>
        </w:rPr>
        <w:t xml:space="preserve"> </w:t>
      </w:r>
      <w:r w:rsidRPr="00072457">
        <w:rPr>
          <w:szCs w:val="20"/>
        </w:rPr>
        <w:t>7.</w:t>
      </w:r>
      <w:r w:rsidR="00C64050">
        <w:rPr>
          <w:szCs w:val="20"/>
        </w:rPr>
        <w:t xml:space="preserve"> </w:t>
      </w:r>
      <w:r w:rsidRPr="00072457">
        <w:rPr>
          <w:szCs w:val="20"/>
        </w:rPr>
        <w:t>However,</w:t>
      </w:r>
      <w:r w:rsidR="00C64050">
        <w:rPr>
          <w:szCs w:val="20"/>
        </w:rPr>
        <w:t xml:space="preserve"> </w:t>
      </w:r>
      <w:r w:rsidRPr="00072457">
        <w:rPr>
          <w:szCs w:val="20"/>
        </w:rPr>
        <w:t>the</w:t>
      </w:r>
      <w:r w:rsidR="00C64050">
        <w:rPr>
          <w:szCs w:val="20"/>
        </w:rPr>
        <w:t xml:space="preserve"> </w:t>
      </w:r>
      <w:r w:rsidRPr="00072457">
        <w:rPr>
          <w:szCs w:val="20"/>
        </w:rPr>
        <w:t>appraisal</w:t>
      </w:r>
      <w:r w:rsidR="00C64050">
        <w:rPr>
          <w:szCs w:val="20"/>
        </w:rPr>
        <w:t xml:space="preserve"> </w:t>
      </w:r>
      <w:r w:rsidRPr="00072457">
        <w:rPr>
          <w:szCs w:val="20"/>
        </w:rPr>
        <w:t>summary</w:t>
      </w:r>
      <w:r w:rsidR="00C64050">
        <w:rPr>
          <w:szCs w:val="20"/>
        </w:rPr>
        <w:t xml:space="preserve"> </w:t>
      </w:r>
      <w:r w:rsidRPr="00072457">
        <w:rPr>
          <w:szCs w:val="20"/>
        </w:rPr>
        <w:t>left</w:t>
      </w:r>
      <w:r w:rsidR="00C64050">
        <w:rPr>
          <w:szCs w:val="20"/>
        </w:rPr>
        <w:t xml:space="preserve"> </w:t>
      </w:r>
      <w:r w:rsidRPr="00072457">
        <w:rPr>
          <w:szCs w:val="20"/>
        </w:rPr>
        <w:t>blank</w:t>
      </w:r>
      <w:r w:rsidR="00C64050">
        <w:rPr>
          <w:szCs w:val="20"/>
        </w:rPr>
        <w:t xml:space="preserve"> </w:t>
      </w:r>
      <w:r w:rsidRPr="00072457">
        <w:rPr>
          <w:szCs w:val="20"/>
        </w:rPr>
        <w:t>the</w:t>
      </w:r>
      <w:r w:rsidR="00C64050">
        <w:rPr>
          <w:szCs w:val="20"/>
        </w:rPr>
        <w:t xml:space="preserve"> </w:t>
      </w:r>
      <w:r w:rsidRPr="00072457">
        <w:rPr>
          <w:szCs w:val="20"/>
        </w:rPr>
        <w:t>space</w:t>
      </w:r>
      <w:r w:rsidR="00C64050">
        <w:rPr>
          <w:szCs w:val="20"/>
        </w:rPr>
        <w:t xml:space="preserve"> </w:t>
      </w:r>
      <w:r w:rsidRPr="00072457">
        <w:rPr>
          <w:szCs w:val="20"/>
        </w:rPr>
        <w:t>for</w:t>
      </w:r>
      <w:r w:rsidR="00C64050">
        <w:rPr>
          <w:szCs w:val="20"/>
        </w:rPr>
        <w:t xml:space="preserve"> </w:t>
      </w:r>
      <w:r w:rsidRPr="00072457">
        <w:rPr>
          <w:szCs w:val="20"/>
        </w:rPr>
        <w:t>the</w:t>
      </w:r>
      <w:r w:rsidR="00C64050">
        <w:rPr>
          <w:szCs w:val="20"/>
        </w:rPr>
        <w:t xml:space="preserve"> </w:t>
      </w:r>
      <w:r w:rsidRPr="00072457">
        <w:rPr>
          <w:szCs w:val="20"/>
        </w:rPr>
        <w:t>donor's</w:t>
      </w:r>
      <w:r w:rsidR="00C64050">
        <w:rPr>
          <w:szCs w:val="20"/>
        </w:rPr>
        <w:t xml:space="preserve"> </w:t>
      </w:r>
      <w:r w:rsidRPr="00072457">
        <w:rPr>
          <w:szCs w:val="20"/>
        </w:rPr>
        <w:t>cost</w:t>
      </w:r>
      <w:r w:rsidR="00C64050">
        <w:rPr>
          <w:szCs w:val="20"/>
        </w:rPr>
        <w:t xml:space="preserve"> </w:t>
      </w:r>
      <w:r w:rsidRPr="00072457">
        <w:rPr>
          <w:szCs w:val="20"/>
        </w:rPr>
        <w:t>or</w:t>
      </w:r>
      <w:r w:rsidR="00C64050">
        <w:rPr>
          <w:szCs w:val="20"/>
        </w:rPr>
        <w:t xml:space="preserve"> </w:t>
      </w:r>
      <w:r w:rsidRPr="00072457">
        <w:rPr>
          <w:szCs w:val="20"/>
        </w:rPr>
        <w:t>adjusted</w:t>
      </w:r>
      <w:r w:rsidR="00C64050">
        <w:rPr>
          <w:szCs w:val="20"/>
        </w:rPr>
        <w:t xml:space="preserve"> </w:t>
      </w:r>
      <w:r w:rsidRPr="00072457">
        <w:rPr>
          <w:szCs w:val="20"/>
        </w:rPr>
        <w:t>basis</w:t>
      </w:r>
      <w:r w:rsidR="00C64050">
        <w:rPr>
          <w:szCs w:val="20"/>
        </w:rPr>
        <w:t xml:space="preserve"> </w:t>
      </w:r>
      <w:r w:rsidRPr="00072457">
        <w:rPr>
          <w:szCs w:val="20"/>
        </w:rPr>
        <w:t>and</w:t>
      </w:r>
      <w:r w:rsidR="00C64050">
        <w:rPr>
          <w:szCs w:val="20"/>
        </w:rPr>
        <w:t xml:space="preserve"> </w:t>
      </w:r>
      <w:r w:rsidRPr="00072457">
        <w:rPr>
          <w:szCs w:val="20"/>
        </w:rPr>
        <w:t>provided</w:t>
      </w:r>
      <w:r w:rsidR="00C64050">
        <w:rPr>
          <w:szCs w:val="20"/>
        </w:rPr>
        <w:t xml:space="preserve"> </w:t>
      </w:r>
      <w:r w:rsidRPr="00072457">
        <w:rPr>
          <w:szCs w:val="20"/>
        </w:rPr>
        <w:t>no</w:t>
      </w:r>
      <w:r w:rsidR="00C64050">
        <w:rPr>
          <w:szCs w:val="20"/>
        </w:rPr>
        <w:t xml:space="preserve"> </w:t>
      </w:r>
      <w:r w:rsidRPr="00072457">
        <w:rPr>
          <w:szCs w:val="20"/>
        </w:rPr>
        <w:t>explanation</w:t>
      </w:r>
      <w:r w:rsidR="00C64050">
        <w:rPr>
          <w:szCs w:val="20"/>
        </w:rPr>
        <w:t xml:space="preserve"> </w:t>
      </w:r>
      <w:r w:rsidRPr="00072457">
        <w:rPr>
          <w:szCs w:val="20"/>
        </w:rPr>
        <w:t>for</w:t>
      </w:r>
      <w:r w:rsidR="00C64050">
        <w:rPr>
          <w:szCs w:val="20"/>
        </w:rPr>
        <w:t xml:space="preserve"> </w:t>
      </w:r>
      <w:r w:rsidRPr="00072457">
        <w:rPr>
          <w:szCs w:val="20"/>
        </w:rPr>
        <w:t>the</w:t>
      </w:r>
      <w:r w:rsidR="00C64050">
        <w:rPr>
          <w:szCs w:val="20"/>
        </w:rPr>
        <w:t xml:space="preserve"> </w:t>
      </w:r>
      <w:r w:rsidRPr="00072457">
        <w:rPr>
          <w:szCs w:val="20"/>
        </w:rPr>
        <w:t>omission.</w:t>
      </w:r>
      <w:r w:rsidR="00C64050">
        <w:rPr>
          <w:szCs w:val="20"/>
        </w:rPr>
        <w:t xml:space="preserve"> </w:t>
      </w:r>
      <w:r w:rsidRPr="00072457">
        <w:rPr>
          <w:szCs w:val="20"/>
          <w:u w:val="single"/>
        </w:rPr>
        <w:t>Id.</w:t>
      </w:r>
      <w:r w:rsidR="00C64050">
        <w:rPr>
          <w:szCs w:val="20"/>
        </w:rPr>
        <w:t xml:space="preserve"> </w:t>
      </w:r>
      <w:r w:rsidRPr="00072457">
        <w:rPr>
          <w:szCs w:val="20"/>
        </w:rPr>
        <w:t>We</w:t>
      </w:r>
      <w:r w:rsidR="00C64050">
        <w:rPr>
          <w:szCs w:val="20"/>
        </w:rPr>
        <w:t xml:space="preserve"> </w:t>
      </w:r>
      <w:r w:rsidRPr="00072457">
        <w:rPr>
          <w:szCs w:val="20"/>
        </w:rPr>
        <w:t>held</w:t>
      </w:r>
      <w:r w:rsidR="00C64050">
        <w:rPr>
          <w:szCs w:val="20"/>
        </w:rPr>
        <w:t xml:space="preserve"> </w:t>
      </w:r>
      <w:r w:rsidRPr="00072457">
        <w:rPr>
          <w:szCs w:val="20"/>
        </w:rPr>
        <w:t>in</w:t>
      </w:r>
      <w:r w:rsidR="00C64050">
        <w:rPr>
          <w:szCs w:val="20"/>
        </w:rPr>
        <w:t xml:space="preserve"> </w:t>
      </w:r>
      <w:r w:rsidRPr="00072457">
        <w:rPr>
          <w:szCs w:val="20"/>
          <w:u w:val="single"/>
        </w:rPr>
        <w:t>RERI</w:t>
      </w:r>
      <w:r w:rsidR="00C64050">
        <w:rPr>
          <w:szCs w:val="20"/>
        </w:rPr>
        <w:t xml:space="preserve"> </w:t>
      </w:r>
      <w:r w:rsidRPr="00072457">
        <w:rPr>
          <w:szCs w:val="20"/>
        </w:rPr>
        <w:t>that</w:t>
      </w:r>
      <w:r w:rsidR="00C64050">
        <w:rPr>
          <w:szCs w:val="20"/>
        </w:rPr>
        <w:t xml:space="preserve"> </w:t>
      </w:r>
      <w:r w:rsidRPr="00072457">
        <w:rPr>
          <w:szCs w:val="20"/>
        </w:rPr>
        <w:t>the</w:t>
      </w:r>
      <w:r w:rsidR="00C64050">
        <w:rPr>
          <w:szCs w:val="20"/>
        </w:rPr>
        <w:t xml:space="preserve"> </w:t>
      </w:r>
      <w:r w:rsidRPr="00072457">
        <w:rPr>
          <w:szCs w:val="20"/>
        </w:rPr>
        <w:t>omission</w:t>
      </w:r>
      <w:r w:rsidR="00C64050">
        <w:rPr>
          <w:szCs w:val="20"/>
        </w:rPr>
        <w:t xml:space="preserve"> </w:t>
      </w:r>
      <w:r w:rsidRPr="00072457">
        <w:rPr>
          <w:szCs w:val="20"/>
        </w:rPr>
        <w:t>of</w:t>
      </w:r>
      <w:r w:rsidR="00C64050">
        <w:rPr>
          <w:szCs w:val="20"/>
        </w:rPr>
        <w:t xml:space="preserve"> </w:t>
      </w:r>
      <w:r w:rsidRPr="00072457">
        <w:rPr>
          <w:szCs w:val="20"/>
        </w:rPr>
        <w:t>basis</w:t>
      </w:r>
      <w:r w:rsidR="00C64050">
        <w:rPr>
          <w:szCs w:val="20"/>
        </w:rPr>
        <w:t xml:space="preserve"> </w:t>
      </w:r>
      <w:r w:rsidRPr="00072457">
        <w:rPr>
          <w:szCs w:val="20"/>
        </w:rPr>
        <w:t>from</w:t>
      </w:r>
      <w:r w:rsidR="00C64050">
        <w:rPr>
          <w:szCs w:val="20"/>
        </w:rPr>
        <w:t xml:space="preserve"> </w:t>
      </w:r>
      <w:r w:rsidRPr="00072457">
        <w:rPr>
          <w:szCs w:val="20"/>
        </w:rPr>
        <w:t>an</w:t>
      </w:r>
      <w:r w:rsidR="00C64050">
        <w:rPr>
          <w:szCs w:val="20"/>
        </w:rPr>
        <w:t xml:space="preserve"> </w:t>
      </w:r>
      <w:r w:rsidRPr="00072457">
        <w:rPr>
          <w:szCs w:val="20"/>
        </w:rPr>
        <w:t>appraisal</w:t>
      </w:r>
      <w:r w:rsidR="00C64050">
        <w:rPr>
          <w:szCs w:val="20"/>
        </w:rPr>
        <w:t xml:space="preserve"> </w:t>
      </w:r>
      <w:r w:rsidRPr="00072457">
        <w:rPr>
          <w:szCs w:val="20"/>
        </w:rPr>
        <w:t>summary</w:t>
      </w:r>
      <w:r w:rsidR="00C64050">
        <w:rPr>
          <w:szCs w:val="20"/>
        </w:rPr>
        <w:t xml:space="preserve"> </w:t>
      </w:r>
      <w:r w:rsidRPr="00072457">
        <w:rPr>
          <w:szCs w:val="20"/>
        </w:rPr>
        <w:t>prevents</w:t>
      </w:r>
      <w:r w:rsidR="00C64050">
        <w:rPr>
          <w:szCs w:val="20"/>
        </w:rPr>
        <w:t xml:space="preserve"> </w:t>
      </w:r>
      <w:r w:rsidRPr="00072457">
        <w:rPr>
          <w:szCs w:val="20"/>
        </w:rPr>
        <w:t>the</w:t>
      </w:r>
      <w:r w:rsidR="00C64050">
        <w:rPr>
          <w:szCs w:val="20"/>
        </w:rPr>
        <w:t xml:space="preserve"> </w:t>
      </w:r>
      <w:r w:rsidRPr="00072457">
        <w:rPr>
          <w:szCs w:val="20"/>
        </w:rPr>
        <w:t>appraisal</w:t>
      </w:r>
      <w:r w:rsidR="00C64050">
        <w:rPr>
          <w:szCs w:val="20"/>
        </w:rPr>
        <w:t xml:space="preserve"> </w:t>
      </w:r>
      <w:r w:rsidRPr="00072457">
        <w:rPr>
          <w:szCs w:val="20"/>
        </w:rPr>
        <w:t>summary</w:t>
      </w:r>
      <w:r w:rsidR="00C64050">
        <w:rPr>
          <w:szCs w:val="20"/>
        </w:rPr>
        <w:t xml:space="preserve"> </w:t>
      </w:r>
      <w:r w:rsidRPr="00072457">
        <w:rPr>
          <w:szCs w:val="20"/>
        </w:rPr>
        <w:t>from</w:t>
      </w:r>
      <w:r w:rsidR="00C64050">
        <w:rPr>
          <w:szCs w:val="20"/>
        </w:rPr>
        <w:t xml:space="preserve"> </w:t>
      </w:r>
      <w:r w:rsidRPr="00072457">
        <w:rPr>
          <w:szCs w:val="20"/>
        </w:rPr>
        <w:t>achieving</w:t>
      </w:r>
      <w:r w:rsidR="00C64050">
        <w:rPr>
          <w:szCs w:val="20"/>
        </w:rPr>
        <w:t xml:space="preserve"> </w:t>
      </w:r>
      <w:r w:rsidRPr="00072457">
        <w:rPr>
          <w:szCs w:val="20"/>
        </w:rPr>
        <w:t>its</w:t>
      </w:r>
      <w:r w:rsidR="00C64050">
        <w:rPr>
          <w:szCs w:val="20"/>
        </w:rPr>
        <w:t xml:space="preserve"> </w:t>
      </w:r>
      <w:r w:rsidRPr="00072457">
        <w:rPr>
          <w:szCs w:val="20"/>
        </w:rPr>
        <w:t>intended</w:t>
      </w:r>
      <w:r w:rsidR="00C64050">
        <w:rPr>
          <w:szCs w:val="20"/>
        </w:rPr>
        <w:t xml:space="preserve"> </w:t>
      </w:r>
      <w:r w:rsidRPr="00072457">
        <w:rPr>
          <w:szCs w:val="20"/>
        </w:rPr>
        <w:t>purposes</w:t>
      </w:r>
      <w:r w:rsidR="00C64050">
        <w:rPr>
          <w:szCs w:val="20"/>
        </w:rPr>
        <w:t xml:space="preserve"> </w:t>
      </w:r>
      <w:r w:rsidRPr="00072457">
        <w:rPr>
          <w:szCs w:val="20"/>
        </w:rPr>
        <w:t>and</w:t>
      </w:r>
      <w:r w:rsidR="00C64050">
        <w:rPr>
          <w:szCs w:val="20"/>
        </w:rPr>
        <w:t xml:space="preserve"> </w:t>
      </w:r>
      <w:r w:rsidRPr="00072457">
        <w:rPr>
          <w:szCs w:val="20"/>
        </w:rPr>
        <w:t>cannot</w:t>
      </w:r>
      <w:r w:rsidR="00C64050">
        <w:rPr>
          <w:szCs w:val="20"/>
        </w:rPr>
        <w:t xml:space="preserve"> </w:t>
      </w:r>
      <w:r w:rsidRPr="00072457">
        <w:rPr>
          <w:szCs w:val="20"/>
        </w:rPr>
        <w:t>be</w:t>
      </w:r>
      <w:r w:rsidR="00C64050">
        <w:rPr>
          <w:szCs w:val="20"/>
        </w:rPr>
        <w:t xml:space="preserve"> </w:t>
      </w:r>
      <w:r w:rsidRPr="00072457">
        <w:rPr>
          <w:szCs w:val="20"/>
        </w:rPr>
        <w:t>excused</w:t>
      </w:r>
      <w:r w:rsidR="00C64050">
        <w:rPr>
          <w:szCs w:val="20"/>
        </w:rPr>
        <w:t xml:space="preserve"> </w:t>
      </w:r>
      <w:r w:rsidRPr="00072457">
        <w:rPr>
          <w:szCs w:val="20"/>
        </w:rPr>
        <w:t>by</w:t>
      </w:r>
      <w:r w:rsidR="00C64050">
        <w:rPr>
          <w:szCs w:val="20"/>
        </w:rPr>
        <w:t xml:space="preserve"> </w:t>
      </w:r>
      <w:r w:rsidRPr="00072457">
        <w:rPr>
          <w:szCs w:val="20"/>
        </w:rPr>
        <w:t>substantial</w:t>
      </w:r>
      <w:r w:rsidR="00C64050">
        <w:rPr>
          <w:szCs w:val="20"/>
        </w:rPr>
        <w:t xml:space="preserve"> </w:t>
      </w:r>
      <w:r w:rsidRPr="00072457">
        <w:rPr>
          <w:szCs w:val="20"/>
        </w:rPr>
        <w:t>compliance.</w:t>
      </w:r>
      <w:r w:rsidR="00C64050">
        <w:rPr>
          <w:szCs w:val="20"/>
        </w:rPr>
        <w:t xml:space="preserve"> </w:t>
      </w:r>
      <w:r w:rsidRPr="00072457">
        <w:rPr>
          <w:szCs w:val="20"/>
          <w:u w:val="single"/>
        </w:rPr>
        <w:t>Id.</w:t>
      </w:r>
      <w:r w:rsidR="00C64050">
        <w:rPr>
          <w:szCs w:val="20"/>
        </w:rPr>
        <w:t xml:space="preserve"> </w:t>
      </w:r>
      <w:r w:rsidRPr="00072457">
        <w:rPr>
          <w:szCs w:val="20"/>
        </w:rPr>
        <w:t>at</w:t>
      </w:r>
      <w:r w:rsidR="00C64050">
        <w:rPr>
          <w:szCs w:val="20"/>
        </w:rPr>
        <w:t xml:space="preserve"> </w:t>
      </w:r>
      <w:r w:rsidRPr="00072457">
        <w:rPr>
          <w:szCs w:val="20"/>
        </w:rPr>
        <w:t>16-17.</w:t>
      </w:r>
    </w:p>
    <w:p w:rsidR="00A03617" w:rsidRPr="00072457" w:rsidRDefault="00A03617" w:rsidP="00072457">
      <w:pPr>
        <w:pStyle w:val="QS10"/>
        <w:rPr>
          <w:szCs w:val="20"/>
        </w:rPr>
      </w:pPr>
      <w:r w:rsidRPr="00072457">
        <w:rPr>
          <w:szCs w:val="20"/>
        </w:rPr>
        <w:t>In</w:t>
      </w:r>
      <w:r w:rsidR="00C64050">
        <w:rPr>
          <w:szCs w:val="20"/>
        </w:rPr>
        <w:t xml:space="preserve"> </w:t>
      </w:r>
      <w:r w:rsidRPr="00072457">
        <w:rPr>
          <w:szCs w:val="20"/>
          <w:u w:val="single"/>
        </w:rPr>
        <w:t>Belair</w:t>
      </w:r>
      <w:r w:rsidR="00C64050">
        <w:rPr>
          <w:szCs w:val="20"/>
          <w:u w:val="single"/>
        </w:rPr>
        <w:t xml:space="preserve"> </w:t>
      </w:r>
      <w:r w:rsidRPr="00072457">
        <w:rPr>
          <w:szCs w:val="20"/>
          <w:u w:val="single"/>
        </w:rPr>
        <w:t>Woods,</w:t>
      </w:r>
      <w:r w:rsidR="00C64050">
        <w:rPr>
          <w:szCs w:val="20"/>
          <w:u w:val="single"/>
        </w:rPr>
        <w:t xml:space="preserve"> </w:t>
      </w:r>
      <w:r w:rsidRPr="00072457">
        <w:rPr>
          <w:szCs w:val="20"/>
          <w:u w:val="single"/>
        </w:rPr>
        <w:t>LLC</w:t>
      </w:r>
      <w:r w:rsidR="00C64050">
        <w:rPr>
          <w:szCs w:val="20"/>
          <w:u w:val="single"/>
        </w:rPr>
        <w:t xml:space="preserve"> </w:t>
      </w:r>
      <w:r w:rsidRPr="00072457">
        <w:rPr>
          <w:szCs w:val="20"/>
          <w:u w:val="single"/>
        </w:rPr>
        <w:t>v.</w:t>
      </w:r>
      <w:r w:rsidR="00C64050">
        <w:rPr>
          <w:szCs w:val="20"/>
          <w:u w:val="single"/>
        </w:rPr>
        <w:t xml:space="preserve"> </w:t>
      </w:r>
      <w:r w:rsidRPr="00072457">
        <w:rPr>
          <w:szCs w:val="20"/>
          <w:u w:val="single"/>
        </w:rPr>
        <w:t>Commissioner</w:t>
      </w:r>
      <w:r w:rsidRPr="00072457">
        <w:rPr>
          <w:szCs w:val="20"/>
        </w:rPr>
        <w:t>,</w:t>
      </w:r>
      <w:r w:rsidR="00C64050">
        <w:rPr>
          <w:szCs w:val="20"/>
        </w:rPr>
        <w:t xml:space="preserve"> </w:t>
      </w:r>
      <w:r w:rsidRPr="00072457">
        <w:rPr>
          <w:szCs w:val="20"/>
        </w:rPr>
        <w:t>at</w:t>
      </w:r>
      <w:r w:rsidR="00C64050">
        <w:rPr>
          <w:szCs w:val="20"/>
        </w:rPr>
        <w:t xml:space="preserve"> </w:t>
      </w:r>
      <w:r w:rsidRPr="00072457">
        <w:rPr>
          <w:szCs w:val="20"/>
        </w:rPr>
        <w:t>*3-*5,</w:t>
      </w:r>
      <w:r w:rsidR="00C64050">
        <w:rPr>
          <w:szCs w:val="20"/>
        </w:rPr>
        <w:t xml:space="preserve"> </w:t>
      </w:r>
      <w:r w:rsidRPr="00072457">
        <w:rPr>
          <w:szCs w:val="20"/>
        </w:rPr>
        <w:t>a</w:t>
      </w:r>
      <w:r w:rsidR="00C64050">
        <w:rPr>
          <w:szCs w:val="20"/>
        </w:rPr>
        <w:t xml:space="preserve"> </w:t>
      </w:r>
      <w:r w:rsidRPr="00072457">
        <w:rPr>
          <w:szCs w:val="20"/>
        </w:rPr>
        <w:t>limited</w:t>
      </w:r>
      <w:r w:rsidR="00C64050">
        <w:rPr>
          <w:szCs w:val="20"/>
        </w:rPr>
        <w:t xml:space="preserve"> </w:t>
      </w:r>
      <w:r w:rsidRPr="00072457">
        <w:rPr>
          <w:szCs w:val="20"/>
        </w:rPr>
        <w:t>liability</w:t>
      </w:r>
      <w:r w:rsidR="00C64050">
        <w:rPr>
          <w:szCs w:val="20"/>
        </w:rPr>
        <w:t xml:space="preserve"> </w:t>
      </w:r>
      <w:r w:rsidRPr="00072457">
        <w:rPr>
          <w:szCs w:val="20"/>
        </w:rPr>
        <w:t>company</w:t>
      </w:r>
      <w:r w:rsidR="00C64050">
        <w:rPr>
          <w:szCs w:val="20"/>
        </w:rPr>
        <w:t xml:space="preserve"> </w:t>
      </w:r>
      <w:r w:rsidRPr="00072457">
        <w:rPr>
          <w:szCs w:val="20"/>
        </w:rPr>
        <w:t>(Belair)</w:t>
      </w:r>
      <w:r w:rsidR="00C64050">
        <w:rPr>
          <w:szCs w:val="20"/>
        </w:rPr>
        <w:t xml:space="preserve"> </w:t>
      </w:r>
      <w:r w:rsidRPr="00072457">
        <w:rPr>
          <w:szCs w:val="20"/>
        </w:rPr>
        <w:t>entered</w:t>
      </w:r>
      <w:r w:rsidR="00C64050">
        <w:rPr>
          <w:szCs w:val="20"/>
        </w:rPr>
        <w:t xml:space="preserve"> </w:t>
      </w:r>
      <w:r w:rsidRPr="00072457">
        <w:rPr>
          <w:szCs w:val="20"/>
        </w:rPr>
        <w:t>into</w:t>
      </w:r>
      <w:r w:rsidR="00C64050">
        <w:rPr>
          <w:szCs w:val="20"/>
        </w:rPr>
        <w:t xml:space="preserve"> </w:t>
      </w:r>
      <w:r w:rsidRPr="00072457">
        <w:rPr>
          <w:szCs w:val="20"/>
        </w:rPr>
        <w:t>a</w:t>
      </w:r>
      <w:r w:rsidR="00C64050">
        <w:rPr>
          <w:szCs w:val="20"/>
        </w:rPr>
        <w:t xml:space="preserve"> </w:t>
      </w:r>
      <w:r w:rsidRPr="00072457">
        <w:rPr>
          <w:szCs w:val="20"/>
        </w:rPr>
        <w:t>deed</w:t>
      </w:r>
      <w:r w:rsidR="00C64050">
        <w:rPr>
          <w:szCs w:val="20"/>
        </w:rPr>
        <w:t xml:space="preserve"> </w:t>
      </w:r>
      <w:r w:rsidRPr="00072457">
        <w:rPr>
          <w:szCs w:val="20"/>
        </w:rPr>
        <w:t>of</w:t>
      </w:r>
      <w:r w:rsidR="00C64050">
        <w:rPr>
          <w:szCs w:val="20"/>
        </w:rPr>
        <w:t xml:space="preserve"> </w:t>
      </w:r>
      <w:r w:rsidRPr="00072457">
        <w:rPr>
          <w:szCs w:val="20"/>
        </w:rPr>
        <w:t>conservation</w:t>
      </w:r>
      <w:r w:rsidR="00C64050">
        <w:rPr>
          <w:szCs w:val="20"/>
        </w:rPr>
        <w:t xml:space="preserve"> </w:t>
      </w:r>
      <w:r w:rsidRPr="00072457">
        <w:rPr>
          <w:szCs w:val="20"/>
        </w:rPr>
        <w:t>easement</w:t>
      </w:r>
      <w:r w:rsidR="00C64050">
        <w:rPr>
          <w:szCs w:val="20"/>
        </w:rPr>
        <w:t xml:space="preserve"> </w:t>
      </w:r>
      <w:r w:rsidRPr="00072457">
        <w:rPr>
          <w:szCs w:val="20"/>
        </w:rPr>
        <w:t>with</w:t>
      </w:r>
      <w:r w:rsidR="00C64050">
        <w:rPr>
          <w:szCs w:val="20"/>
        </w:rPr>
        <w:t xml:space="preserve"> </w:t>
      </w:r>
      <w:r w:rsidRPr="00072457">
        <w:rPr>
          <w:szCs w:val="20"/>
        </w:rPr>
        <w:t>a</w:t>
      </w:r>
      <w:r w:rsidR="00C64050">
        <w:rPr>
          <w:szCs w:val="20"/>
        </w:rPr>
        <w:t xml:space="preserve"> </w:t>
      </w:r>
      <w:r w:rsidRPr="00072457">
        <w:rPr>
          <w:szCs w:val="20"/>
        </w:rPr>
        <w:t>land</w:t>
      </w:r>
      <w:r w:rsidR="00C64050">
        <w:rPr>
          <w:szCs w:val="20"/>
        </w:rPr>
        <w:t xml:space="preserve"> </w:t>
      </w:r>
      <w:r w:rsidRPr="00072457">
        <w:rPr>
          <w:szCs w:val="20"/>
        </w:rPr>
        <w:t>trust.</w:t>
      </w:r>
      <w:r w:rsidR="00C64050">
        <w:rPr>
          <w:szCs w:val="20"/>
        </w:rPr>
        <w:t xml:space="preserve"> </w:t>
      </w:r>
      <w:r w:rsidRPr="00072457">
        <w:rPr>
          <w:szCs w:val="20"/>
        </w:rPr>
        <w:t>The</w:t>
      </w:r>
      <w:r w:rsidR="00C64050">
        <w:rPr>
          <w:szCs w:val="20"/>
        </w:rPr>
        <w:t xml:space="preserve"> </w:t>
      </w:r>
      <w:r w:rsidRPr="00072457">
        <w:rPr>
          <w:szCs w:val="20"/>
        </w:rPr>
        <w:t>easement</w:t>
      </w:r>
      <w:r w:rsidR="00C64050">
        <w:rPr>
          <w:szCs w:val="20"/>
        </w:rPr>
        <w:t xml:space="preserve"> </w:t>
      </w:r>
      <w:r w:rsidRPr="00072457">
        <w:rPr>
          <w:szCs w:val="20"/>
        </w:rPr>
        <w:t>covered</w:t>
      </w:r>
      <w:r w:rsidR="00C64050">
        <w:rPr>
          <w:szCs w:val="20"/>
        </w:rPr>
        <w:t xml:space="preserve"> </w:t>
      </w:r>
      <w:r w:rsidRPr="00072457">
        <w:rPr>
          <w:szCs w:val="20"/>
        </w:rPr>
        <w:t>141.15</w:t>
      </w:r>
      <w:r w:rsidR="00C64050">
        <w:rPr>
          <w:szCs w:val="20"/>
        </w:rPr>
        <w:t xml:space="preserve"> </w:t>
      </w:r>
      <w:r w:rsidRPr="00072457">
        <w:rPr>
          <w:szCs w:val="20"/>
        </w:rPr>
        <w:t>acres</w:t>
      </w:r>
      <w:r w:rsidR="00C64050">
        <w:rPr>
          <w:szCs w:val="20"/>
        </w:rPr>
        <w:t xml:space="preserve"> </w:t>
      </w:r>
      <w:r w:rsidRPr="00072457">
        <w:rPr>
          <w:szCs w:val="20"/>
        </w:rPr>
        <w:t>of</w:t>
      </w:r>
      <w:r w:rsidR="00C64050">
        <w:rPr>
          <w:szCs w:val="20"/>
        </w:rPr>
        <w:t xml:space="preserve"> </w:t>
      </w:r>
      <w:r w:rsidRPr="00072457">
        <w:rPr>
          <w:szCs w:val="20"/>
        </w:rPr>
        <w:t>land.</w:t>
      </w:r>
      <w:r w:rsidR="00C64050">
        <w:rPr>
          <w:szCs w:val="20"/>
        </w:rPr>
        <w:t xml:space="preserve"> </w:t>
      </w:r>
      <w:r w:rsidRPr="00072457">
        <w:rPr>
          <w:szCs w:val="20"/>
          <w:u w:val="single"/>
        </w:rPr>
        <w:t>Id.</w:t>
      </w:r>
      <w:r w:rsidR="00C64050">
        <w:rPr>
          <w:szCs w:val="20"/>
        </w:rPr>
        <w:t xml:space="preserve"> </w:t>
      </w:r>
      <w:r w:rsidRPr="00072457">
        <w:rPr>
          <w:szCs w:val="20"/>
        </w:rPr>
        <w:t>Belair</w:t>
      </w:r>
      <w:r w:rsidR="00C64050">
        <w:rPr>
          <w:szCs w:val="20"/>
        </w:rPr>
        <w:t xml:space="preserve"> </w:t>
      </w:r>
      <w:r w:rsidRPr="00072457">
        <w:rPr>
          <w:szCs w:val="20"/>
        </w:rPr>
        <w:t>claimed</w:t>
      </w:r>
      <w:r w:rsidR="00C64050">
        <w:rPr>
          <w:szCs w:val="20"/>
        </w:rPr>
        <w:t xml:space="preserve"> </w:t>
      </w:r>
      <w:r w:rsidRPr="00072457">
        <w:rPr>
          <w:szCs w:val="20"/>
        </w:rPr>
        <w:t>a</w:t>
      </w:r>
      <w:r w:rsidR="00C64050">
        <w:rPr>
          <w:szCs w:val="20"/>
        </w:rPr>
        <w:t xml:space="preserve"> </w:t>
      </w:r>
      <w:r w:rsidRPr="00072457">
        <w:rPr>
          <w:szCs w:val="20"/>
        </w:rPr>
        <w:t>resulting</w:t>
      </w:r>
      <w:r w:rsidR="00C64050">
        <w:rPr>
          <w:szCs w:val="20"/>
        </w:rPr>
        <w:t xml:space="preserve"> </w:t>
      </w:r>
      <w:r w:rsidRPr="00072457">
        <w:rPr>
          <w:szCs w:val="20"/>
        </w:rPr>
        <w:t>charitable</w:t>
      </w:r>
      <w:r w:rsidR="00C64050">
        <w:rPr>
          <w:szCs w:val="20"/>
        </w:rPr>
        <w:t xml:space="preserve"> </w:t>
      </w:r>
      <w:r w:rsidRPr="00072457">
        <w:rPr>
          <w:szCs w:val="20"/>
        </w:rPr>
        <w:t>contribution</w:t>
      </w:r>
      <w:r w:rsidR="00C64050">
        <w:rPr>
          <w:szCs w:val="20"/>
        </w:rPr>
        <w:t xml:space="preserve"> </w:t>
      </w:r>
      <w:r w:rsidRPr="00072457">
        <w:rPr>
          <w:szCs w:val="20"/>
        </w:rPr>
        <w:t>deduction</w:t>
      </w:r>
      <w:r w:rsidR="00C64050">
        <w:rPr>
          <w:szCs w:val="20"/>
        </w:rPr>
        <w:t xml:space="preserve"> </w:t>
      </w:r>
      <w:r w:rsidRPr="00072457">
        <w:rPr>
          <w:szCs w:val="20"/>
        </w:rPr>
        <w:t>of</w:t>
      </w:r>
      <w:r w:rsidR="00C64050">
        <w:rPr>
          <w:szCs w:val="20"/>
        </w:rPr>
        <w:t xml:space="preserve"> </w:t>
      </w:r>
      <w:r w:rsidRPr="00072457">
        <w:rPr>
          <w:szCs w:val="20"/>
        </w:rPr>
        <w:t>$4,778,000</w:t>
      </w:r>
      <w:r w:rsidR="00C64050">
        <w:rPr>
          <w:szCs w:val="20"/>
        </w:rPr>
        <w:t xml:space="preserve"> </w:t>
      </w:r>
      <w:r w:rsidRPr="00072457">
        <w:rPr>
          <w:szCs w:val="20"/>
        </w:rPr>
        <w:t>on</w:t>
      </w:r>
      <w:r w:rsidR="00C64050">
        <w:rPr>
          <w:szCs w:val="20"/>
        </w:rPr>
        <w:t xml:space="preserve"> </w:t>
      </w:r>
      <w:r w:rsidRPr="00072457">
        <w:rPr>
          <w:szCs w:val="20"/>
        </w:rPr>
        <w:t>its</w:t>
      </w:r>
      <w:r w:rsidR="00C64050">
        <w:rPr>
          <w:szCs w:val="20"/>
        </w:rPr>
        <w:t xml:space="preserve"> </w:t>
      </w:r>
      <w:r w:rsidRPr="00072457">
        <w:rPr>
          <w:szCs w:val="20"/>
        </w:rPr>
        <w:t>tax</w:t>
      </w:r>
      <w:r w:rsidR="00C64050">
        <w:rPr>
          <w:szCs w:val="20"/>
        </w:rPr>
        <w:t xml:space="preserve"> </w:t>
      </w:r>
      <w:r w:rsidRPr="00072457">
        <w:rPr>
          <w:szCs w:val="20"/>
        </w:rPr>
        <w:t>return.</w:t>
      </w:r>
      <w:r w:rsidR="00C64050">
        <w:rPr>
          <w:szCs w:val="20"/>
        </w:rPr>
        <w:t xml:space="preserve"> </w:t>
      </w:r>
      <w:r w:rsidRPr="00072457">
        <w:rPr>
          <w:szCs w:val="20"/>
          <w:u w:val="single"/>
        </w:rPr>
        <w:t>Id.</w:t>
      </w:r>
      <w:r w:rsidR="00C64050">
        <w:rPr>
          <w:szCs w:val="20"/>
        </w:rPr>
        <w:t xml:space="preserve"> </w:t>
      </w:r>
      <w:r w:rsidRPr="00072457">
        <w:rPr>
          <w:szCs w:val="20"/>
        </w:rPr>
        <w:t>at</w:t>
      </w:r>
      <w:r w:rsidR="00C64050">
        <w:rPr>
          <w:szCs w:val="20"/>
        </w:rPr>
        <w:t xml:space="preserve"> </w:t>
      </w:r>
      <w:r w:rsidRPr="00072457">
        <w:rPr>
          <w:szCs w:val="20"/>
        </w:rPr>
        <w:t>*5-*6.</w:t>
      </w:r>
      <w:r w:rsidR="00C64050">
        <w:rPr>
          <w:szCs w:val="20"/>
        </w:rPr>
        <w:t xml:space="preserve"> </w:t>
      </w:r>
      <w:r w:rsidRPr="00072457">
        <w:rPr>
          <w:szCs w:val="20"/>
        </w:rPr>
        <w:t>Belair</w:t>
      </w:r>
      <w:r w:rsidR="00C64050">
        <w:rPr>
          <w:szCs w:val="20"/>
        </w:rPr>
        <w:t xml:space="preserve"> </w:t>
      </w:r>
      <w:r w:rsidRPr="00072457">
        <w:rPr>
          <w:szCs w:val="20"/>
        </w:rPr>
        <w:t>attached</w:t>
      </w:r>
      <w:r w:rsidR="00C64050">
        <w:rPr>
          <w:szCs w:val="20"/>
        </w:rPr>
        <w:t xml:space="preserve"> </w:t>
      </w:r>
      <w:r w:rsidRPr="00072457">
        <w:rPr>
          <w:szCs w:val="20"/>
        </w:rPr>
        <w:t>an</w:t>
      </w:r>
      <w:r w:rsidR="00C64050">
        <w:rPr>
          <w:szCs w:val="20"/>
        </w:rPr>
        <w:t xml:space="preserve"> </w:t>
      </w:r>
      <w:r w:rsidRPr="00072457">
        <w:rPr>
          <w:szCs w:val="20"/>
        </w:rPr>
        <w:t>appraisal</w:t>
      </w:r>
      <w:r w:rsidR="00C64050">
        <w:rPr>
          <w:szCs w:val="20"/>
        </w:rPr>
        <w:t xml:space="preserve"> </w:t>
      </w:r>
      <w:r w:rsidRPr="00072457">
        <w:rPr>
          <w:szCs w:val="20"/>
        </w:rPr>
        <w:t>summary</w:t>
      </w:r>
      <w:r w:rsidR="00C64050">
        <w:rPr>
          <w:szCs w:val="20"/>
        </w:rPr>
        <w:t xml:space="preserve"> </w:t>
      </w:r>
      <w:r w:rsidRPr="00072457">
        <w:rPr>
          <w:szCs w:val="20"/>
        </w:rPr>
        <w:t>which</w:t>
      </w:r>
      <w:r w:rsidR="00C64050">
        <w:rPr>
          <w:szCs w:val="20"/>
        </w:rPr>
        <w:t xml:space="preserve"> </w:t>
      </w:r>
      <w:r w:rsidRPr="00072457">
        <w:rPr>
          <w:szCs w:val="20"/>
        </w:rPr>
        <w:t>did</w:t>
      </w:r>
      <w:r w:rsidR="00C64050">
        <w:rPr>
          <w:szCs w:val="20"/>
        </w:rPr>
        <w:t xml:space="preserve"> </w:t>
      </w:r>
      <w:r w:rsidRPr="00072457">
        <w:rPr>
          <w:szCs w:val="20"/>
        </w:rPr>
        <w:t>not</w:t>
      </w:r>
      <w:r w:rsidR="00C64050">
        <w:rPr>
          <w:szCs w:val="20"/>
        </w:rPr>
        <w:t xml:space="preserve"> </w:t>
      </w:r>
      <w:r w:rsidRPr="00072457">
        <w:rPr>
          <w:szCs w:val="20"/>
        </w:rPr>
        <w:t>state</w:t>
      </w:r>
      <w:r w:rsidR="00C64050">
        <w:rPr>
          <w:szCs w:val="20"/>
        </w:rPr>
        <w:t xml:space="preserve"> </w:t>
      </w:r>
      <w:r w:rsidRPr="00072457">
        <w:rPr>
          <w:szCs w:val="20"/>
        </w:rPr>
        <w:t>the</w:t>
      </w:r>
      <w:r w:rsidR="00C64050">
        <w:rPr>
          <w:szCs w:val="20"/>
        </w:rPr>
        <w:t xml:space="preserve"> </w:t>
      </w:r>
      <w:r w:rsidRPr="00072457">
        <w:rPr>
          <w:szCs w:val="20"/>
        </w:rPr>
        <w:t>cost</w:t>
      </w:r>
      <w:r w:rsidR="00C64050">
        <w:rPr>
          <w:szCs w:val="20"/>
        </w:rPr>
        <w:t xml:space="preserve"> </w:t>
      </w:r>
      <w:r w:rsidRPr="00072457">
        <w:rPr>
          <w:szCs w:val="20"/>
        </w:rPr>
        <w:t>or</w:t>
      </w:r>
      <w:r w:rsidR="00C64050">
        <w:rPr>
          <w:szCs w:val="20"/>
        </w:rPr>
        <w:t xml:space="preserve"> </w:t>
      </w:r>
      <w:r w:rsidRPr="00072457">
        <w:rPr>
          <w:szCs w:val="20"/>
        </w:rPr>
        <w:t>the</w:t>
      </w:r>
      <w:r w:rsidR="00C64050">
        <w:rPr>
          <w:szCs w:val="20"/>
        </w:rPr>
        <w:t xml:space="preserve"> </w:t>
      </w:r>
      <w:r w:rsidRPr="00072457">
        <w:rPr>
          <w:szCs w:val="20"/>
        </w:rPr>
        <w:t>adjusted</w:t>
      </w:r>
      <w:r w:rsidR="00C64050">
        <w:rPr>
          <w:szCs w:val="20"/>
        </w:rPr>
        <w:t xml:space="preserve"> </w:t>
      </w:r>
      <w:r w:rsidRPr="00072457">
        <w:rPr>
          <w:szCs w:val="20"/>
        </w:rPr>
        <w:t>basis</w:t>
      </w:r>
      <w:r w:rsidR="00C64050">
        <w:rPr>
          <w:szCs w:val="20"/>
        </w:rPr>
        <w:t xml:space="preserve"> </w:t>
      </w:r>
      <w:r w:rsidRPr="00072457">
        <w:rPr>
          <w:szCs w:val="20"/>
        </w:rPr>
        <w:t>of</w:t>
      </w:r>
      <w:r w:rsidR="00C64050">
        <w:rPr>
          <w:szCs w:val="20"/>
        </w:rPr>
        <w:t xml:space="preserve"> </w:t>
      </w:r>
      <w:r w:rsidRPr="00072457">
        <w:rPr>
          <w:szCs w:val="20"/>
        </w:rPr>
        <w:t>the</w:t>
      </w:r>
      <w:r w:rsidR="00C64050">
        <w:rPr>
          <w:szCs w:val="20"/>
        </w:rPr>
        <w:t xml:space="preserve"> </w:t>
      </w:r>
      <w:r w:rsidRPr="00072457">
        <w:rPr>
          <w:szCs w:val="20"/>
        </w:rPr>
        <w:t>property</w:t>
      </w:r>
      <w:r w:rsidR="00C64050">
        <w:rPr>
          <w:szCs w:val="20"/>
        </w:rPr>
        <w:t xml:space="preserve"> </w:t>
      </w:r>
      <w:r w:rsidRPr="00072457">
        <w:rPr>
          <w:szCs w:val="20"/>
        </w:rPr>
        <w:t>contributed.</w:t>
      </w:r>
      <w:r w:rsidR="00C64050">
        <w:rPr>
          <w:szCs w:val="20"/>
        </w:rPr>
        <w:t xml:space="preserve"> </w:t>
      </w:r>
      <w:r w:rsidRPr="00072457">
        <w:rPr>
          <w:szCs w:val="20"/>
          <w:u w:val="single"/>
        </w:rPr>
        <w:t>Id.</w:t>
      </w:r>
      <w:r w:rsidR="00C64050">
        <w:rPr>
          <w:szCs w:val="20"/>
        </w:rPr>
        <w:t xml:space="preserve"> </w:t>
      </w:r>
      <w:r w:rsidRPr="00072457">
        <w:rPr>
          <w:szCs w:val="20"/>
        </w:rPr>
        <w:t>at</w:t>
      </w:r>
      <w:r w:rsidR="00C64050">
        <w:rPr>
          <w:szCs w:val="20"/>
        </w:rPr>
        <w:t xml:space="preserve"> </w:t>
      </w:r>
      <w:r w:rsidRPr="00072457">
        <w:rPr>
          <w:szCs w:val="20"/>
        </w:rPr>
        <w:t>*6-*7.</w:t>
      </w:r>
      <w:r w:rsidR="00C64050">
        <w:rPr>
          <w:szCs w:val="20"/>
        </w:rPr>
        <w:t xml:space="preserve"> </w:t>
      </w:r>
      <w:r w:rsidRPr="00072457">
        <w:rPr>
          <w:szCs w:val="20"/>
        </w:rPr>
        <w:t>Belair</w:t>
      </w:r>
      <w:r w:rsidR="00C64050">
        <w:rPr>
          <w:szCs w:val="20"/>
        </w:rPr>
        <w:t xml:space="preserve"> </w:t>
      </w:r>
      <w:r w:rsidRPr="00072457">
        <w:rPr>
          <w:szCs w:val="20"/>
        </w:rPr>
        <w:t>also</w:t>
      </w:r>
      <w:r w:rsidR="00C64050">
        <w:rPr>
          <w:szCs w:val="20"/>
        </w:rPr>
        <w:t xml:space="preserve"> </w:t>
      </w:r>
      <w:r w:rsidRPr="00072457">
        <w:rPr>
          <w:szCs w:val="20"/>
        </w:rPr>
        <w:t>attached</w:t>
      </w:r>
      <w:r w:rsidR="00C64050">
        <w:rPr>
          <w:szCs w:val="20"/>
        </w:rPr>
        <w:t xml:space="preserve"> </w:t>
      </w:r>
      <w:r w:rsidRPr="00072457">
        <w:rPr>
          <w:szCs w:val="20"/>
        </w:rPr>
        <w:t>a</w:t>
      </w:r>
      <w:r w:rsidR="00C64050">
        <w:rPr>
          <w:szCs w:val="20"/>
        </w:rPr>
        <w:t xml:space="preserve"> </w:t>
      </w:r>
      <w:r w:rsidRPr="00072457">
        <w:rPr>
          <w:szCs w:val="20"/>
        </w:rPr>
        <w:t>letter</w:t>
      </w:r>
      <w:r w:rsidR="00C64050">
        <w:rPr>
          <w:szCs w:val="20"/>
        </w:rPr>
        <w:t xml:space="preserve"> </w:t>
      </w:r>
      <w:r w:rsidRPr="00072457">
        <w:rPr>
          <w:szCs w:val="20"/>
        </w:rPr>
        <w:t>indicating</w:t>
      </w:r>
      <w:r w:rsidR="00C64050">
        <w:rPr>
          <w:szCs w:val="20"/>
        </w:rPr>
        <w:t xml:space="preserve"> </w:t>
      </w:r>
      <w:r w:rsidRPr="00072457">
        <w:rPr>
          <w:szCs w:val="20"/>
        </w:rPr>
        <w:t>that</w:t>
      </w:r>
      <w:r w:rsidR="00C64050">
        <w:rPr>
          <w:szCs w:val="20"/>
        </w:rPr>
        <w:t xml:space="preserve"> </w:t>
      </w:r>
      <w:r w:rsidRPr="00072457">
        <w:rPr>
          <w:szCs w:val="20"/>
        </w:rPr>
        <w:t>it</w:t>
      </w:r>
      <w:r w:rsidR="00C64050">
        <w:rPr>
          <w:szCs w:val="20"/>
        </w:rPr>
        <w:t xml:space="preserve"> </w:t>
      </w:r>
      <w:r w:rsidRPr="00072457">
        <w:rPr>
          <w:szCs w:val="20"/>
        </w:rPr>
        <w:t>did</w:t>
      </w:r>
      <w:r w:rsidR="00C64050">
        <w:rPr>
          <w:szCs w:val="20"/>
        </w:rPr>
        <w:t xml:space="preserve"> </w:t>
      </w:r>
      <w:r w:rsidRPr="00072457">
        <w:rPr>
          <w:szCs w:val="20"/>
        </w:rPr>
        <w:t>not</w:t>
      </w:r>
      <w:r w:rsidR="00C64050">
        <w:rPr>
          <w:szCs w:val="20"/>
        </w:rPr>
        <w:t xml:space="preserve"> </w:t>
      </w:r>
      <w:r w:rsidRPr="00072457">
        <w:rPr>
          <w:szCs w:val="20"/>
        </w:rPr>
        <w:t>state</w:t>
      </w:r>
      <w:r w:rsidR="00C64050">
        <w:rPr>
          <w:szCs w:val="20"/>
        </w:rPr>
        <w:t xml:space="preserve"> </w:t>
      </w:r>
      <w:r w:rsidRPr="00072457">
        <w:rPr>
          <w:szCs w:val="20"/>
        </w:rPr>
        <w:t>the</w:t>
      </w:r>
      <w:r w:rsidR="00C64050">
        <w:rPr>
          <w:szCs w:val="20"/>
        </w:rPr>
        <w:t xml:space="preserve"> </w:t>
      </w:r>
      <w:r w:rsidRPr="00072457">
        <w:rPr>
          <w:szCs w:val="20"/>
        </w:rPr>
        <w:t>basis</w:t>
      </w:r>
      <w:r w:rsidR="00C64050">
        <w:rPr>
          <w:szCs w:val="20"/>
        </w:rPr>
        <w:t xml:space="preserve"> </w:t>
      </w:r>
      <w:r w:rsidRPr="00072457">
        <w:rPr>
          <w:szCs w:val="20"/>
        </w:rPr>
        <w:t>because</w:t>
      </w:r>
      <w:r w:rsidR="00C64050">
        <w:rPr>
          <w:szCs w:val="20"/>
        </w:rPr>
        <w:t xml:space="preserve"> </w:t>
      </w:r>
      <w:r w:rsidRPr="00072457">
        <w:rPr>
          <w:szCs w:val="20"/>
        </w:rPr>
        <w:t>“the</w:t>
      </w:r>
      <w:r w:rsidR="00C64050">
        <w:rPr>
          <w:szCs w:val="20"/>
        </w:rPr>
        <w:t xml:space="preserve"> </w:t>
      </w:r>
      <w:r w:rsidRPr="00072457">
        <w:rPr>
          <w:szCs w:val="20"/>
        </w:rPr>
        <w:t>basis</w:t>
      </w:r>
      <w:r w:rsidR="00C64050">
        <w:rPr>
          <w:szCs w:val="20"/>
        </w:rPr>
        <w:t xml:space="preserve"> </w:t>
      </w:r>
      <w:r w:rsidRPr="00072457">
        <w:rPr>
          <w:szCs w:val="20"/>
        </w:rPr>
        <w:t>of</w:t>
      </w:r>
      <w:r w:rsidR="00C64050">
        <w:rPr>
          <w:szCs w:val="20"/>
        </w:rPr>
        <w:t xml:space="preserve"> </w:t>
      </w:r>
      <w:r w:rsidRPr="00072457">
        <w:rPr>
          <w:szCs w:val="20"/>
        </w:rPr>
        <w:t>the</w:t>
      </w:r>
      <w:r w:rsidR="00C64050">
        <w:rPr>
          <w:szCs w:val="20"/>
        </w:rPr>
        <w:t xml:space="preserve"> </w:t>
      </w:r>
      <w:r w:rsidRPr="00072457">
        <w:rPr>
          <w:szCs w:val="20"/>
        </w:rPr>
        <w:t>property</w:t>
      </w:r>
      <w:r w:rsidR="00C64050">
        <w:rPr>
          <w:szCs w:val="20"/>
        </w:rPr>
        <w:t xml:space="preserve"> </w:t>
      </w:r>
      <w:r w:rsidRPr="00072457">
        <w:rPr>
          <w:szCs w:val="20"/>
        </w:rPr>
        <w:t>is</w:t>
      </w:r>
      <w:r w:rsidR="00C64050">
        <w:rPr>
          <w:szCs w:val="20"/>
        </w:rPr>
        <w:t xml:space="preserve"> </w:t>
      </w:r>
      <w:r w:rsidRPr="00072457">
        <w:rPr>
          <w:szCs w:val="20"/>
        </w:rPr>
        <w:t>not</w:t>
      </w:r>
      <w:r w:rsidR="00C64050">
        <w:rPr>
          <w:szCs w:val="20"/>
        </w:rPr>
        <w:t xml:space="preserve"> </w:t>
      </w:r>
      <w:r w:rsidRPr="00072457">
        <w:rPr>
          <w:szCs w:val="20"/>
        </w:rPr>
        <w:t>taken</w:t>
      </w:r>
      <w:r w:rsidR="00C64050">
        <w:rPr>
          <w:szCs w:val="20"/>
        </w:rPr>
        <w:t xml:space="preserve"> </w:t>
      </w:r>
      <w:r w:rsidRPr="00072457">
        <w:rPr>
          <w:szCs w:val="20"/>
        </w:rPr>
        <w:t>into</w:t>
      </w:r>
      <w:r w:rsidR="00C64050">
        <w:rPr>
          <w:szCs w:val="20"/>
        </w:rPr>
        <w:t xml:space="preserve"> </w:t>
      </w:r>
      <w:r w:rsidRPr="00072457">
        <w:rPr>
          <w:szCs w:val="20"/>
        </w:rPr>
        <w:t>consideration</w:t>
      </w:r>
      <w:r w:rsidR="00C64050">
        <w:rPr>
          <w:szCs w:val="20"/>
        </w:rPr>
        <w:t xml:space="preserve"> </w:t>
      </w:r>
      <w:r w:rsidRPr="00072457">
        <w:rPr>
          <w:szCs w:val="20"/>
        </w:rPr>
        <w:t>when</w:t>
      </w:r>
      <w:r w:rsidR="00C64050">
        <w:rPr>
          <w:szCs w:val="20"/>
        </w:rPr>
        <w:t xml:space="preserve"> </w:t>
      </w:r>
      <w:r w:rsidRPr="00072457">
        <w:rPr>
          <w:szCs w:val="20"/>
        </w:rPr>
        <w:t>computing</w:t>
      </w:r>
      <w:r w:rsidR="00C64050">
        <w:rPr>
          <w:szCs w:val="20"/>
        </w:rPr>
        <w:t xml:space="preserve"> </w:t>
      </w:r>
      <w:r w:rsidRPr="00072457">
        <w:rPr>
          <w:szCs w:val="20"/>
        </w:rPr>
        <w:t>the</w:t>
      </w:r>
      <w:r w:rsidR="00C64050">
        <w:rPr>
          <w:szCs w:val="20"/>
        </w:rPr>
        <w:t xml:space="preserve"> </w:t>
      </w:r>
      <w:r w:rsidRPr="00072457">
        <w:rPr>
          <w:szCs w:val="20"/>
        </w:rPr>
        <w:t>amount</w:t>
      </w:r>
      <w:r w:rsidR="00C64050">
        <w:rPr>
          <w:szCs w:val="20"/>
        </w:rPr>
        <w:t xml:space="preserve"> </w:t>
      </w:r>
      <w:r w:rsidRPr="00072457">
        <w:rPr>
          <w:szCs w:val="20"/>
        </w:rPr>
        <w:t>of</w:t>
      </w:r>
      <w:r w:rsidR="00C64050">
        <w:rPr>
          <w:szCs w:val="20"/>
        </w:rPr>
        <w:t xml:space="preserve"> </w:t>
      </w:r>
      <w:r w:rsidRPr="00072457">
        <w:rPr>
          <w:szCs w:val="20"/>
        </w:rPr>
        <w:t>the</w:t>
      </w:r>
      <w:r w:rsidR="00C64050">
        <w:rPr>
          <w:szCs w:val="20"/>
        </w:rPr>
        <w:t xml:space="preserve"> </w:t>
      </w:r>
      <w:r w:rsidRPr="00072457">
        <w:rPr>
          <w:szCs w:val="20"/>
        </w:rPr>
        <w:t>deduction.”</w:t>
      </w:r>
      <w:r w:rsidR="00C64050">
        <w:rPr>
          <w:szCs w:val="20"/>
        </w:rPr>
        <w:t xml:space="preserve"> </w:t>
      </w:r>
      <w:r w:rsidRPr="00072457">
        <w:rPr>
          <w:szCs w:val="20"/>
          <w:u w:val="single"/>
        </w:rPr>
        <w:t>Id.</w:t>
      </w:r>
      <w:r w:rsidR="00C64050">
        <w:rPr>
          <w:szCs w:val="20"/>
        </w:rPr>
        <w:t xml:space="preserve"> </w:t>
      </w:r>
      <w:r w:rsidRPr="00072457">
        <w:rPr>
          <w:szCs w:val="20"/>
        </w:rPr>
        <w:t>at</w:t>
      </w:r>
      <w:r w:rsidR="00C64050">
        <w:rPr>
          <w:szCs w:val="20"/>
        </w:rPr>
        <w:t xml:space="preserve"> </w:t>
      </w:r>
      <w:r w:rsidRPr="00072457">
        <w:rPr>
          <w:szCs w:val="20"/>
        </w:rPr>
        <w:t>*7.</w:t>
      </w:r>
      <w:r w:rsidR="00C64050">
        <w:rPr>
          <w:szCs w:val="20"/>
        </w:rPr>
        <w:t xml:space="preserve"> </w:t>
      </w:r>
      <w:r w:rsidRPr="00072457">
        <w:rPr>
          <w:szCs w:val="20"/>
        </w:rPr>
        <w:t>The</w:t>
      </w:r>
      <w:r w:rsidR="00C64050">
        <w:rPr>
          <w:szCs w:val="20"/>
        </w:rPr>
        <w:t xml:space="preserve"> </w:t>
      </w:r>
      <w:r w:rsidRPr="00072457">
        <w:rPr>
          <w:szCs w:val="20"/>
        </w:rPr>
        <w:t>Court</w:t>
      </w:r>
      <w:r w:rsidR="00C64050">
        <w:rPr>
          <w:szCs w:val="20"/>
        </w:rPr>
        <w:t xml:space="preserve"> </w:t>
      </w:r>
      <w:r w:rsidRPr="00072457">
        <w:rPr>
          <w:szCs w:val="20"/>
        </w:rPr>
        <w:t>found</w:t>
      </w:r>
      <w:r w:rsidR="00C64050">
        <w:rPr>
          <w:szCs w:val="20"/>
        </w:rPr>
        <w:t xml:space="preserve"> </w:t>
      </w:r>
      <w:r w:rsidRPr="00072457">
        <w:rPr>
          <w:szCs w:val="20"/>
        </w:rPr>
        <w:t>that</w:t>
      </w:r>
      <w:r w:rsidR="00C64050">
        <w:rPr>
          <w:szCs w:val="20"/>
        </w:rPr>
        <w:t xml:space="preserve"> </w:t>
      </w:r>
      <w:r w:rsidRPr="00072457">
        <w:rPr>
          <w:szCs w:val="20"/>
        </w:rPr>
        <w:t>Belair</w:t>
      </w:r>
      <w:r w:rsidR="00C64050">
        <w:rPr>
          <w:szCs w:val="20"/>
        </w:rPr>
        <w:t xml:space="preserve"> </w:t>
      </w:r>
      <w:r w:rsidRPr="00072457">
        <w:rPr>
          <w:szCs w:val="20"/>
        </w:rPr>
        <w:t>did</w:t>
      </w:r>
      <w:r w:rsidR="00C64050">
        <w:rPr>
          <w:szCs w:val="20"/>
        </w:rPr>
        <w:t xml:space="preserve"> </w:t>
      </w:r>
      <w:r w:rsidRPr="00072457">
        <w:rPr>
          <w:szCs w:val="20"/>
        </w:rPr>
        <w:t>not</w:t>
      </w:r>
      <w:r w:rsidR="00C64050">
        <w:rPr>
          <w:szCs w:val="20"/>
        </w:rPr>
        <w:t xml:space="preserve"> </w:t>
      </w:r>
      <w:r w:rsidRPr="00072457">
        <w:rPr>
          <w:szCs w:val="20"/>
        </w:rPr>
        <w:t>strictly</w:t>
      </w:r>
      <w:r w:rsidR="00C64050">
        <w:rPr>
          <w:szCs w:val="20"/>
        </w:rPr>
        <w:t xml:space="preserve"> </w:t>
      </w:r>
      <w:r w:rsidRPr="00072457">
        <w:rPr>
          <w:szCs w:val="20"/>
        </w:rPr>
        <w:t>comply</w:t>
      </w:r>
      <w:r w:rsidR="00C64050">
        <w:rPr>
          <w:szCs w:val="20"/>
        </w:rPr>
        <w:t xml:space="preserve"> </w:t>
      </w:r>
      <w:r w:rsidRPr="00072457">
        <w:rPr>
          <w:szCs w:val="20"/>
        </w:rPr>
        <w:t>with</w:t>
      </w:r>
      <w:r w:rsidR="00C64050">
        <w:rPr>
          <w:szCs w:val="20"/>
        </w:rPr>
        <w:t xml:space="preserve"> </w:t>
      </w:r>
      <w:r w:rsidRPr="00072457">
        <w:rPr>
          <w:szCs w:val="20"/>
        </w:rPr>
        <w:t>the</w:t>
      </w:r>
      <w:r w:rsidR="00C64050">
        <w:rPr>
          <w:szCs w:val="20"/>
        </w:rPr>
        <w:t xml:space="preserve"> </w:t>
      </w:r>
      <w:r w:rsidRPr="00072457">
        <w:rPr>
          <w:szCs w:val="20"/>
        </w:rPr>
        <w:t>regulatory</w:t>
      </w:r>
      <w:r w:rsidR="00C64050">
        <w:rPr>
          <w:szCs w:val="20"/>
        </w:rPr>
        <w:t xml:space="preserve"> </w:t>
      </w:r>
      <w:r w:rsidRPr="00072457">
        <w:rPr>
          <w:szCs w:val="20"/>
        </w:rPr>
        <w:t>requirement</w:t>
      </w:r>
      <w:r w:rsidR="00C64050">
        <w:rPr>
          <w:szCs w:val="20"/>
        </w:rPr>
        <w:t xml:space="preserve"> </w:t>
      </w:r>
      <w:r w:rsidRPr="00072457">
        <w:rPr>
          <w:szCs w:val="20"/>
        </w:rPr>
        <w:t>because</w:t>
      </w:r>
      <w:r w:rsidR="00C64050">
        <w:rPr>
          <w:szCs w:val="20"/>
        </w:rPr>
        <w:t xml:space="preserve"> </w:t>
      </w:r>
      <w:r w:rsidRPr="00072457">
        <w:rPr>
          <w:szCs w:val="20"/>
        </w:rPr>
        <w:t>the</w:t>
      </w:r>
      <w:r w:rsidR="00C64050">
        <w:rPr>
          <w:szCs w:val="20"/>
        </w:rPr>
        <w:t xml:space="preserve"> </w:t>
      </w:r>
      <w:r w:rsidRPr="00072457">
        <w:rPr>
          <w:szCs w:val="20"/>
        </w:rPr>
        <w:t>appraisal</w:t>
      </w:r>
      <w:r w:rsidR="00C64050">
        <w:rPr>
          <w:szCs w:val="20"/>
        </w:rPr>
        <w:t xml:space="preserve"> </w:t>
      </w:r>
      <w:r w:rsidRPr="00072457">
        <w:rPr>
          <w:szCs w:val="20"/>
        </w:rPr>
        <w:t>summary</w:t>
      </w:r>
      <w:r w:rsidR="00C64050">
        <w:rPr>
          <w:szCs w:val="20"/>
        </w:rPr>
        <w:t xml:space="preserve"> </w:t>
      </w:r>
      <w:r w:rsidRPr="00072457">
        <w:rPr>
          <w:szCs w:val="20"/>
        </w:rPr>
        <w:t>did</w:t>
      </w:r>
      <w:r w:rsidR="00C64050">
        <w:rPr>
          <w:szCs w:val="20"/>
        </w:rPr>
        <w:t xml:space="preserve"> </w:t>
      </w:r>
      <w:r w:rsidRPr="00072457">
        <w:rPr>
          <w:szCs w:val="20"/>
        </w:rPr>
        <w:t>not</w:t>
      </w:r>
      <w:r w:rsidR="00C64050">
        <w:rPr>
          <w:szCs w:val="20"/>
        </w:rPr>
        <w:t xml:space="preserve"> </w:t>
      </w:r>
      <w:r w:rsidRPr="00072457">
        <w:rPr>
          <w:szCs w:val="20"/>
        </w:rPr>
        <w:t>report</w:t>
      </w:r>
      <w:r w:rsidR="00C64050">
        <w:rPr>
          <w:szCs w:val="20"/>
        </w:rPr>
        <w:t xml:space="preserve"> </w:t>
      </w:r>
      <w:r w:rsidRPr="00072457">
        <w:rPr>
          <w:szCs w:val="20"/>
        </w:rPr>
        <w:t>the</w:t>
      </w:r>
      <w:r w:rsidR="00C64050">
        <w:rPr>
          <w:szCs w:val="20"/>
        </w:rPr>
        <w:t xml:space="preserve"> </w:t>
      </w:r>
      <w:r w:rsidRPr="00072457">
        <w:rPr>
          <w:szCs w:val="20"/>
        </w:rPr>
        <w:t>basis</w:t>
      </w:r>
      <w:r w:rsidR="00C64050">
        <w:rPr>
          <w:szCs w:val="20"/>
        </w:rPr>
        <w:t xml:space="preserve"> </w:t>
      </w:r>
      <w:r w:rsidRPr="00072457">
        <w:rPr>
          <w:szCs w:val="20"/>
        </w:rPr>
        <w:t>and</w:t>
      </w:r>
      <w:r w:rsidR="00C64050">
        <w:rPr>
          <w:szCs w:val="20"/>
        </w:rPr>
        <w:t xml:space="preserve"> </w:t>
      </w:r>
      <w:r w:rsidRPr="00072457">
        <w:rPr>
          <w:szCs w:val="20"/>
        </w:rPr>
        <w:t>the</w:t>
      </w:r>
      <w:r w:rsidR="00C64050">
        <w:rPr>
          <w:szCs w:val="20"/>
        </w:rPr>
        <w:t xml:space="preserve"> </w:t>
      </w:r>
      <w:r w:rsidRPr="00072457">
        <w:rPr>
          <w:szCs w:val="20"/>
        </w:rPr>
        <w:t>attached</w:t>
      </w:r>
      <w:r w:rsidR="00C64050">
        <w:rPr>
          <w:szCs w:val="20"/>
        </w:rPr>
        <w:t xml:space="preserve"> </w:t>
      </w:r>
      <w:r w:rsidRPr="00072457">
        <w:rPr>
          <w:szCs w:val="20"/>
        </w:rPr>
        <w:t>letter</w:t>
      </w:r>
      <w:r w:rsidR="00C64050">
        <w:rPr>
          <w:szCs w:val="20"/>
        </w:rPr>
        <w:t xml:space="preserve"> </w:t>
      </w:r>
      <w:r w:rsidRPr="00072457">
        <w:rPr>
          <w:szCs w:val="20"/>
        </w:rPr>
        <w:t>failed</w:t>
      </w:r>
      <w:r w:rsidR="00C64050">
        <w:rPr>
          <w:szCs w:val="20"/>
        </w:rPr>
        <w:t xml:space="preserve"> </w:t>
      </w:r>
      <w:r w:rsidRPr="00072457">
        <w:rPr>
          <w:szCs w:val="20"/>
        </w:rPr>
        <w:t>to</w:t>
      </w:r>
      <w:r w:rsidR="00C64050">
        <w:rPr>
          <w:szCs w:val="20"/>
        </w:rPr>
        <w:t xml:space="preserve"> </w:t>
      </w:r>
      <w:r w:rsidRPr="00072457">
        <w:rPr>
          <w:szCs w:val="20"/>
        </w:rPr>
        <w:t>provide</w:t>
      </w:r>
      <w:r w:rsidR="00C64050">
        <w:rPr>
          <w:szCs w:val="20"/>
        </w:rPr>
        <w:t xml:space="preserve"> </w:t>
      </w:r>
      <w:r w:rsidRPr="00072457">
        <w:rPr>
          <w:szCs w:val="20"/>
        </w:rPr>
        <w:t>a</w:t>
      </w:r>
      <w:r w:rsidR="00C64050">
        <w:rPr>
          <w:szCs w:val="20"/>
        </w:rPr>
        <w:t xml:space="preserve"> </w:t>
      </w:r>
      <w:r w:rsidRPr="00072457">
        <w:rPr>
          <w:szCs w:val="20"/>
        </w:rPr>
        <w:t>sufficient</w:t>
      </w:r>
      <w:r w:rsidR="00C64050">
        <w:rPr>
          <w:szCs w:val="20"/>
        </w:rPr>
        <w:t xml:space="preserve"> </w:t>
      </w:r>
      <w:r w:rsidRPr="00072457">
        <w:rPr>
          <w:szCs w:val="20"/>
        </w:rPr>
        <w:t>explanation</w:t>
      </w:r>
      <w:r w:rsidR="00C64050">
        <w:rPr>
          <w:szCs w:val="20"/>
        </w:rPr>
        <w:t xml:space="preserve"> </w:t>
      </w:r>
      <w:r w:rsidRPr="00072457">
        <w:rPr>
          <w:szCs w:val="20"/>
        </w:rPr>
        <w:t>showing</w:t>
      </w:r>
      <w:r w:rsidR="00C64050">
        <w:rPr>
          <w:szCs w:val="20"/>
        </w:rPr>
        <w:t xml:space="preserve"> </w:t>
      </w:r>
      <w:r w:rsidRPr="00072457">
        <w:rPr>
          <w:szCs w:val="20"/>
        </w:rPr>
        <w:t>why</w:t>
      </w:r>
      <w:r w:rsidR="00C64050">
        <w:rPr>
          <w:szCs w:val="20"/>
        </w:rPr>
        <w:t xml:space="preserve"> </w:t>
      </w:r>
      <w:r w:rsidRPr="00072457">
        <w:rPr>
          <w:szCs w:val="20"/>
        </w:rPr>
        <w:t>Belair</w:t>
      </w:r>
      <w:r w:rsidR="00C64050">
        <w:rPr>
          <w:szCs w:val="20"/>
        </w:rPr>
        <w:t xml:space="preserve"> </w:t>
      </w:r>
      <w:r w:rsidRPr="00072457">
        <w:rPr>
          <w:szCs w:val="20"/>
        </w:rPr>
        <w:t>was</w:t>
      </w:r>
      <w:r w:rsidR="00C64050">
        <w:rPr>
          <w:szCs w:val="20"/>
        </w:rPr>
        <w:t xml:space="preserve"> </w:t>
      </w:r>
      <w:r w:rsidRPr="00072457">
        <w:rPr>
          <w:szCs w:val="20"/>
        </w:rPr>
        <w:t>unable</w:t>
      </w:r>
      <w:r w:rsidR="00C64050">
        <w:rPr>
          <w:szCs w:val="20"/>
        </w:rPr>
        <w:t xml:space="preserve"> </w:t>
      </w:r>
      <w:r w:rsidRPr="00072457">
        <w:rPr>
          <w:szCs w:val="20"/>
        </w:rPr>
        <w:t>to</w:t>
      </w:r>
      <w:r w:rsidR="00C64050">
        <w:rPr>
          <w:szCs w:val="20"/>
        </w:rPr>
        <w:t xml:space="preserve"> </w:t>
      </w:r>
      <w:r w:rsidRPr="00072457">
        <w:rPr>
          <w:szCs w:val="20"/>
        </w:rPr>
        <w:t>provide</w:t>
      </w:r>
      <w:r w:rsidR="00C64050">
        <w:rPr>
          <w:szCs w:val="20"/>
        </w:rPr>
        <w:t xml:space="preserve"> </w:t>
      </w:r>
      <w:r w:rsidRPr="00072457">
        <w:rPr>
          <w:szCs w:val="20"/>
        </w:rPr>
        <w:t>that</w:t>
      </w:r>
      <w:r w:rsidR="00C64050">
        <w:rPr>
          <w:szCs w:val="20"/>
        </w:rPr>
        <w:t xml:space="preserve"> </w:t>
      </w:r>
      <w:r w:rsidRPr="00072457">
        <w:rPr>
          <w:szCs w:val="20"/>
        </w:rPr>
        <w:t>information.</w:t>
      </w:r>
      <w:r w:rsidR="00C64050">
        <w:rPr>
          <w:szCs w:val="20"/>
        </w:rPr>
        <w:t xml:space="preserve"> </w:t>
      </w:r>
      <w:r w:rsidRPr="00072457">
        <w:rPr>
          <w:szCs w:val="20"/>
          <w:u w:val="single"/>
        </w:rPr>
        <w:t>Id.</w:t>
      </w:r>
      <w:r w:rsidR="00C64050">
        <w:rPr>
          <w:szCs w:val="20"/>
        </w:rPr>
        <w:t xml:space="preserve"> </w:t>
      </w:r>
      <w:r w:rsidRPr="00072457">
        <w:rPr>
          <w:szCs w:val="20"/>
        </w:rPr>
        <w:t>at</w:t>
      </w:r>
      <w:r w:rsidR="00C64050">
        <w:rPr>
          <w:szCs w:val="20"/>
        </w:rPr>
        <w:t xml:space="preserve"> </w:t>
      </w:r>
      <w:r w:rsidRPr="00072457">
        <w:rPr>
          <w:szCs w:val="20"/>
        </w:rPr>
        <w:t>*11-*12.</w:t>
      </w:r>
    </w:p>
    <w:p w:rsidR="00A03617" w:rsidRPr="00072457" w:rsidRDefault="00A03617" w:rsidP="00072457">
      <w:pPr>
        <w:pStyle w:val="QS10"/>
        <w:rPr>
          <w:szCs w:val="20"/>
        </w:rPr>
      </w:pPr>
      <w:r w:rsidRPr="00072457">
        <w:rPr>
          <w:szCs w:val="20"/>
        </w:rPr>
        <w:t>Belair's</w:t>
      </w:r>
      <w:r w:rsidR="00C64050">
        <w:rPr>
          <w:szCs w:val="20"/>
        </w:rPr>
        <w:t xml:space="preserve"> </w:t>
      </w:r>
      <w:r w:rsidRPr="00072457">
        <w:rPr>
          <w:szCs w:val="20"/>
        </w:rPr>
        <w:t>tax</w:t>
      </w:r>
      <w:r w:rsidR="00C64050">
        <w:rPr>
          <w:szCs w:val="20"/>
        </w:rPr>
        <w:t xml:space="preserve"> </w:t>
      </w:r>
      <w:r w:rsidRPr="00072457">
        <w:rPr>
          <w:szCs w:val="20"/>
        </w:rPr>
        <w:t>matters</w:t>
      </w:r>
      <w:r w:rsidR="00C64050">
        <w:rPr>
          <w:szCs w:val="20"/>
        </w:rPr>
        <w:t xml:space="preserve"> </w:t>
      </w:r>
      <w:r w:rsidRPr="00072457">
        <w:rPr>
          <w:szCs w:val="20"/>
        </w:rPr>
        <w:t>partner</w:t>
      </w:r>
      <w:r w:rsidR="00C64050">
        <w:rPr>
          <w:szCs w:val="20"/>
        </w:rPr>
        <w:t xml:space="preserve"> </w:t>
      </w:r>
      <w:r w:rsidRPr="00072457">
        <w:rPr>
          <w:szCs w:val="20"/>
        </w:rPr>
        <w:t>argued</w:t>
      </w:r>
      <w:r w:rsidR="00C64050">
        <w:rPr>
          <w:szCs w:val="20"/>
        </w:rPr>
        <w:t xml:space="preserve"> </w:t>
      </w:r>
      <w:r w:rsidRPr="00072457">
        <w:rPr>
          <w:szCs w:val="20"/>
        </w:rPr>
        <w:t>that</w:t>
      </w:r>
      <w:r w:rsidR="00C64050">
        <w:rPr>
          <w:szCs w:val="20"/>
        </w:rPr>
        <w:t xml:space="preserve"> </w:t>
      </w:r>
      <w:r w:rsidRPr="00072457">
        <w:rPr>
          <w:szCs w:val="20"/>
        </w:rPr>
        <w:t>the</w:t>
      </w:r>
      <w:r w:rsidR="00C64050">
        <w:rPr>
          <w:szCs w:val="20"/>
        </w:rPr>
        <w:t xml:space="preserve"> </w:t>
      </w:r>
      <w:r w:rsidRPr="00072457">
        <w:rPr>
          <w:szCs w:val="20"/>
        </w:rPr>
        <w:t>disclosure</w:t>
      </w:r>
      <w:r w:rsidR="00C64050">
        <w:rPr>
          <w:szCs w:val="20"/>
        </w:rPr>
        <w:t xml:space="preserve"> </w:t>
      </w:r>
      <w:r w:rsidRPr="00072457">
        <w:rPr>
          <w:szCs w:val="20"/>
        </w:rPr>
        <w:t>in</w:t>
      </w:r>
      <w:r w:rsidR="00C64050">
        <w:rPr>
          <w:szCs w:val="20"/>
        </w:rPr>
        <w:t xml:space="preserve"> </w:t>
      </w:r>
      <w:r w:rsidRPr="00072457">
        <w:rPr>
          <w:szCs w:val="20"/>
        </w:rPr>
        <w:t>the</w:t>
      </w:r>
      <w:r w:rsidR="00C64050">
        <w:rPr>
          <w:szCs w:val="20"/>
        </w:rPr>
        <w:t xml:space="preserve"> </w:t>
      </w:r>
      <w:r w:rsidRPr="00072457">
        <w:rPr>
          <w:szCs w:val="20"/>
        </w:rPr>
        <w:t>return</w:t>
      </w:r>
      <w:r w:rsidR="00C64050">
        <w:rPr>
          <w:szCs w:val="20"/>
        </w:rPr>
        <w:t xml:space="preserve"> </w:t>
      </w:r>
      <w:r w:rsidRPr="00072457">
        <w:rPr>
          <w:szCs w:val="20"/>
        </w:rPr>
        <w:t>had</w:t>
      </w:r>
      <w:r w:rsidR="00C64050">
        <w:rPr>
          <w:szCs w:val="20"/>
        </w:rPr>
        <w:t xml:space="preserve"> </w:t>
      </w:r>
      <w:r w:rsidRPr="00072457">
        <w:rPr>
          <w:szCs w:val="20"/>
        </w:rPr>
        <w:t>substantially</w:t>
      </w:r>
      <w:r w:rsidR="00C64050">
        <w:rPr>
          <w:szCs w:val="20"/>
        </w:rPr>
        <w:t xml:space="preserve"> </w:t>
      </w:r>
      <w:r w:rsidRPr="00072457">
        <w:rPr>
          <w:szCs w:val="20"/>
        </w:rPr>
        <w:t>complied</w:t>
      </w:r>
      <w:r w:rsidR="00C64050">
        <w:rPr>
          <w:szCs w:val="20"/>
        </w:rPr>
        <w:t xml:space="preserve"> </w:t>
      </w:r>
      <w:r w:rsidRPr="00072457">
        <w:rPr>
          <w:szCs w:val="20"/>
        </w:rPr>
        <w:t>because</w:t>
      </w:r>
      <w:r w:rsidR="00C64050">
        <w:rPr>
          <w:szCs w:val="20"/>
        </w:rPr>
        <w:t xml:space="preserve"> </w:t>
      </w:r>
      <w:r w:rsidRPr="00072457">
        <w:rPr>
          <w:szCs w:val="20"/>
        </w:rPr>
        <w:t>Belair's</w:t>
      </w:r>
      <w:r w:rsidR="00C64050">
        <w:rPr>
          <w:szCs w:val="20"/>
        </w:rPr>
        <w:t xml:space="preserve"> </w:t>
      </w:r>
      <w:r w:rsidRPr="00072457">
        <w:rPr>
          <w:szCs w:val="20"/>
        </w:rPr>
        <w:t>cost</w:t>
      </w:r>
      <w:r w:rsidR="00C64050">
        <w:rPr>
          <w:szCs w:val="20"/>
        </w:rPr>
        <w:t xml:space="preserve"> </w:t>
      </w:r>
      <w:r w:rsidRPr="00072457">
        <w:rPr>
          <w:szCs w:val="20"/>
        </w:rPr>
        <w:t>basis</w:t>
      </w:r>
      <w:r w:rsidR="00C64050">
        <w:rPr>
          <w:szCs w:val="20"/>
        </w:rPr>
        <w:t xml:space="preserve"> </w:t>
      </w:r>
      <w:r w:rsidRPr="00072457">
        <w:rPr>
          <w:szCs w:val="20"/>
        </w:rPr>
        <w:t>in</w:t>
      </w:r>
      <w:r w:rsidR="00C64050">
        <w:rPr>
          <w:szCs w:val="20"/>
        </w:rPr>
        <w:t xml:space="preserve"> </w:t>
      </w:r>
      <w:r w:rsidRPr="00072457">
        <w:rPr>
          <w:szCs w:val="20"/>
        </w:rPr>
        <w:t>the</w:t>
      </w:r>
      <w:r w:rsidR="00C64050">
        <w:rPr>
          <w:szCs w:val="20"/>
        </w:rPr>
        <w:t xml:space="preserve"> </w:t>
      </w:r>
      <w:r w:rsidRPr="00072457">
        <w:rPr>
          <w:szCs w:val="20"/>
        </w:rPr>
        <w:t>conservation</w:t>
      </w:r>
      <w:r w:rsidR="00C64050">
        <w:rPr>
          <w:szCs w:val="20"/>
        </w:rPr>
        <w:t xml:space="preserve"> </w:t>
      </w:r>
      <w:r w:rsidRPr="00072457">
        <w:rPr>
          <w:szCs w:val="20"/>
        </w:rPr>
        <w:t>easement</w:t>
      </w:r>
      <w:r w:rsidR="00C64050">
        <w:rPr>
          <w:szCs w:val="20"/>
        </w:rPr>
        <w:t xml:space="preserve"> </w:t>
      </w:r>
      <w:r w:rsidRPr="00072457">
        <w:rPr>
          <w:szCs w:val="20"/>
        </w:rPr>
        <w:t>could</w:t>
      </w:r>
      <w:r w:rsidR="00C64050">
        <w:rPr>
          <w:szCs w:val="20"/>
        </w:rPr>
        <w:t xml:space="preserve"> </w:t>
      </w:r>
      <w:r w:rsidRPr="00072457">
        <w:rPr>
          <w:szCs w:val="20"/>
        </w:rPr>
        <w:t>be</w:t>
      </w:r>
      <w:r w:rsidR="00C64050">
        <w:rPr>
          <w:szCs w:val="20"/>
        </w:rPr>
        <w:t xml:space="preserve"> </w:t>
      </w:r>
      <w:r w:rsidRPr="00072457">
        <w:rPr>
          <w:szCs w:val="20"/>
        </w:rPr>
        <w:t>effectively</w:t>
      </w:r>
      <w:r w:rsidR="00C64050">
        <w:rPr>
          <w:szCs w:val="20"/>
        </w:rPr>
        <w:t xml:space="preserve"> </w:t>
      </w:r>
      <w:r w:rsidRPr="00072457">
        <w:rPr>
          <w:szCs w:val="20"/>
        </w:rPr>
        <w:t>derived</w:t>
      </w:r>
      <w:r w:rsidR="00C64050">
        <w:rPr>
          <w:szCs w:val="20"/>
        </w:rPr>
        <w:t xml:space="preserve"> </w:t>
      </w:r>
      <w:r w:rsidRPr="00072457">
        <w:rPr>
          <w:szCs w:val="20"/>
        </w:rPr>
        <w:t>from</w:t>
      </w:r>
      <w:r w:rsidR="00C64050">
        <w:rPr>
          <w:szCs w:val="20"/>
        </w:rPr>
        <w:t xml:space="preserve"> </w:t>
      </w:r>
      <w:r w:rsidRPr="00072457">
        <w:rPr>
          <w:szCs w:val="20"/>
        </w:rPr>
        <w:t>several</w:t>
      </w:r>
      <w:r w:rsidR="00C64050">
        <w:rPr>
          <w:szCs w:val="20"/>
        </w:rPr>
        <w:t xml:space="preserve"> </w:t>
      </w:r>
      <w:r w:rsidRPr="00072457">
        <w:rPr>
          <w:szCs w:val="20"/>
        </w:rPr>
        <w:t>attachments</w:t>
      </w:r>
      <w:r w:rsidR="00C64050">
        <w:rPr>
          <w:szCs w:val="20"/>
        </w:rPr>
        <w:t xml:space="preserve"> </w:t>
      </w:r>
      <w:r w:rsidRPr="00072457">
        <w:rPr>
          <w:szCs w:val="20"/>
        </w:rPr>
        <w:t>to</w:t>
      </w:r>
      <w:r w:rsidR="00C64050">
        <w:rPr>
          <w:szCs w:val="20"/>
        </w:rPr>
        <w:t xml:space="preserve"> </w:t>
      </w:r>
      <w:r w:rsidRPr="00072457">
        <w:rPr>
          <w:szCs w:val="20"/>
        </w:rPr>
        <w:t>its</w:t>
      </w:r>
      <w:r w:rsidR="00C64050">
        <w:rPr>
          <w:szCs w:val="20"/>
        </w:rPr>
        <w:t xml:space="preserve"> </w:t>
      </w:r>
      <w:r w:rsidRPr="00072457">
        <w:rPr>
          <w:szCs w:val="20"/>
        </w:rPr>
        <w:t>partnership</w:t>
      </w:r>
      <w:r w:rsidR="00C64050">
        <w:rPr>
          <w:szCs w:val="20"/>
        </w:rPr>
        <w:t xml:space="preserve"> </w:t>
      </w:r>
      <w:r w:rsidRPr="00072457">
        <w:rPr>
          <w:szCs w:val="20"/>
        </w:rPr>
        <w:t>tax</w:t>
      </w:r>
      <w:r w:rsidR="00C64050">
        <w:rPr>
          <w:szCs w:val="20"/>
        </w:rPr>
        <w:t xml:space="preserve"> </w:t>
      </w:r>
      <w:r w:rsidRPr="00072457">
        <w:rPr>
          <w:szCs w:val="20"/>
        </w:rPr>
        <w:t>return:</w:t>
      </w:r>
      <w:r w:rsidR="00C64050">
        <w:rPr>
          <w:szCs w:val="20"/>
        </w:rPr>
        <w:t xml:space="preserve"> </w:t>
      </w:r>
      <w:r w:rsidRPr="00072457">
        <w:rPr>
          <w:szCs w:val="20"/>
        </w:rPr>
        <w:t>(1)</w:t>
      </w:r>
      <w:r w:rsidR="00C64050">
        <w:rPr>
          <w:szCs w:val="20"/>
        </w:rPr>
        <w:t xml:space="preserve"> </w:t>
      </w:r>
      <w:r w:rsidRPr="00072457">
        <w:rPr>
          <w:szCs w:val="20"/>
        </w:rPr>
        <w:t>a</w:t>
      </w:r>
      <w:r w:rsidR="00C64050">
        <w:rPr>
          <w:szCs w:val="20"/>
        </w:rPr>
        <w:t xml:space="preserve"> </w:t>
      </w:r>
      <w:r w:rsidRPr="00072457">
        <w:rPr>
          <w:szCs w:val="20"/>
        </w:rPr>
        <w:t>Schedule</w:t>
      </w:r>
      <w:r w:rsidR="00C64050">
        <w:rPr>
          <w:szCs w:val="20"/>
        </w:rPr>
        <w:t xml:space="preserve"> </w:t>
      </w:r>
      <w:r w:rsidRPr="00072457">
        <w:rPr>
          <w:szCs w:val="20"/>
        </w:rPr>
        <w:t>L,</w:t>
      </w:r>
      <w:r w:rsidR="00C64050">
        <w:rPr>
          <w:szCs w:val="20"/>
        </w:rPr>
        <w:t xml:space="preserve"> </w:t>
      </w:r>
      <w:r w:rsidRPr="00072457">
        <w:rPr>
          <w:szCs w:val="20"/>
        </w:rPr>
        <w:t>Balance</w:t>
      </w:r>
      <w:r w:rsidR="00C64050">
        <w:rPr>
          <w:szCs w:val="20"/>
        </w:rPr>
        <w:t xml:space="preserve"> </w:t>
      </w:r>
      <w:r w:rsidRPr="00072457">
        <w:rPr>
          <w:szCs w:val="20"/>
        </w:rPr>
        <w:t>Sheets</w:t>
      </w:r>
      <w:r w:rsidR="00C64050">
        <w:rPr>
          <w:szCs w:val="20"/>
        </w:rPr>
        <w:t xml:space="preserve"> </w:t>
      </w:r>
      <w:r w:rsidRPr="00072457">
        <w:rPr>
          <w:szCs w:val="20"/>
        </w:rPr>
        <w:t>per</w:t>
      </w:r>
      <w:r w:rsidR="00C64050">
        <w:rPr>
          <w:szCs w:val="20"/>
        </w:rPr>
        <w:t xml:space="preserve"> </w:t>
      </w:r>
      <w:r w:rsidRPr="00072457">
        <w:rPr>
          <w:szCs w:val="20"/>
        </w:rPr>
        <w:t>Books;</w:t>
      </w:r>
      <w:r w:rsidR="00C64050">
        <w:rPr>
          <w:szCs w:val="20"/>
        </w:rPr>
        <w:t xml:space="preserve"> </w:t>
      </w:r>
      <w:r w:rsidRPr="00072457">
        <w:rPr>
          <w:szCs w:val="20"/>
        </w:rPr>
        <w:t>(2)</w:t>
      </w:r>
      <w:r w:rsidR="00C64050">
        <w:rPr>
          <w:szCs w:val="20"/>
        </w:rPr>
        <w:t xml:space="preserve"> </w:t>
      </w:r>
      <w:r w:rsidRPr="00072457">
        <w:rPr>
          <w:szCs w:val="20"/>
        </w:rPr>
        <w:t>a</w:t>
      </w:r>
      <w:r w:rsidR="00C64050">
        <w:rPr>
          <w:szCs w:val="20"/>
        </w:rPr>
        <w:t xml:space="preserve"> </w:t>
      </w:r>
      <w:r w:rsidRPr="00072457">
        <w:rPr>
          <w:szCs w:val="20"/>
        </w:rPr>
        <w:t>Schedule</w:t>
      </w:r>
      <w:r w:rsidR="00C64050">
        <w:rPr>
          <w:szCs w:val="20"/>
        </w:rPr>
        <w:t xml:space="preserve"> </w:t>
      </w:r>
      <w:r w:rsidRPr="00072457">
        <w:rPr>
          <w:szCs w:val="20"/>
        </w:rPr>
        <w:t>M-1,</w:t>
      </w:r>
      <w:r w:rsidR="00C64050">
        <w:rPr>
          <w:szCs w:val="20"/>
        </w:rPr>
        <w:t xml:space="preserve"> </w:t>
      </w:r>
      <w:r w:rsidRPr="00072457">
        <w:rPr>
          <w:szCs w:val="20"/>
        </w:rPr>
        <w:t>Reconciliation</w:t>
      </w:r>
      <w:r w:rsidR="00C64050">
        <w:rPr>
          <w:szCs w:val="20"/>
        </w:rPr>
        <w:t xml:space="preserve"> </w:t>
      </w:r>
      <w:r w:rsidRPr="00072457">
        <w:rPr>
          <w:szCs w:val="20"/>
        </w:rPr>
        <w:t>of</w:t>
      </w:r>
      <w:r w:rsidR="00C64050">
        <w:rPr>
          <w:szCs w:val="20"/>
        </w:rPr>
        <w:t xml:space="preserve"> </w:t>
      </w:r>
      <w:r w:rsidRPr="00072457">
        <w:rPr>
          <w:szCs w:val="20"/>
        </w:rPr>
        <w:t>Income</w:t>
      </w:r>
      <w:r w:rsidR="00C64050">
        <w:rPr>
          <w:szCs w:val="20"/>
        </w:rPr>
        <w:t xml:space="preserve"> </w:t>
      </w:r>
      <w:r w:rsidRPr="00072457">
        <w:rPr>
          <w:szCs w:val="20"/>
        </w:rPr>
        <w:t>(Loss)</w:t>
      </w:r>
      <w:r w:rsidR="00C64050">
        <w:rPr>
          <w:szCs w:val="20"/>
        </w:rPr>
        <w:t xml:space="preserve"> </w:t>
      </w:r>
      <w:r w:rsidRPr="00072457">
        <w:rPr>
          <w:szCs w:val="20"/>
        </w:rPr>
        <w:t>Per</w:t>
      </w:r>
      <w:r w:rsidR="00C64050">
        <w:rPr>
          <w:szCs w:val="20"/>
        </w:rPr>
        <w:t xml:space="preserve"> </w:t>
      </w:r>
      <w:r w:rsidRPr="00072457">
        <w:rPr>
          <w:szCs w:val="20"/>
        </w:rPr>
        <w:t>Books</w:t>
      </w:r>
      <w:r w:rsidR="00C64050">
        <w:rPr>
          <w:szCs w:val="20"/>
        </w:rPr>
        <w:t xml:space="preserve"> </w:t>
      </w:r>
      <w:r w:rsidRPr="00072457">
        <w:rPr>
          <w:szCs w:val="20"/>
        </w:rPr>
        <w:t>With</w:t>
      </w:r>
      <w:r w:rsidR="00C64050">
        <w:rPr>
          <w:szCs w:val="20"/>
        </w:rPr>
        <w:t xml:space="preserve"> </w:t>
      </w:r>
      <w:r w:rsidRPr="00072457">
        <w:rPr>
          <w:szCs w:val="20"/>
        </w:rPr>
        <w:t>Income</w:t>
      </w:r>
      <w:r w:rsidR="00C64050">
        <w:rPr>
          <w:szCs w:val="20"/>
        </w:rPr>
        <w:t xml:space="preserve"> </w:t>
      </w:r>
      <w:r w:rsidRPr="00072457">
        <w:rPr>
          <w:szCs w:val="20"/>
        </w:rPr>
        <w:t>(Loss)</w:t>
      </w:r>
      <w:r w:rsidR="00C64050">
        <w:rPr>
          <w:szCs w:val="20"/>
        </w:rPr>
        <w:t xml:space="preserve"> </w:t>
      </w:r>
      <w:r w:rsidRPr="00072457">
        <w:rPr>
          <w:szCs w:val="20"/>
        </w:rPr>
        <w:t>Per</w:t>
      </w:r>
      <w:r w:rsidR="00C64050">
        <w:rPr>
          <w:szCs w:val="20"/>
        </w:rPr>
        <w:t xml:space="preserve"> </w:t>
      </w:r>
      <w:r w:rsidRPr="00072457">
        <w:rPr>
          <w:szCs w:val="20"/>
        </w:rPr>
        <w:t>Return;</w:t>
      </w:r>
      <w:r w:rsidR="00C64050">
        <w:rPr>
          <w:szCs w:val="20"/>
        </w:rPr>
        <w:t xml:space="preserve"> </w:t>
      </w:r>
      <w:r w:rsidRPr="00072457">
        <w:rPr>
          <w:szCs w:val="20"/>
        </w:rPr>
        <w:t>(3)</w:t>
      </w:r>
      <w:r w:rsidR="00C64050">
        <w:rPr>
          <w:szCs w:val="20"/>
        </w:rPr>
        <w:t xml:space="preserve"> </w:t>
      </w:r>
      <w:r w:rsidRPr="00072457">
        <w:rPr>
          <w:szCs w:val="20"/>
        </w:rPr>
        <w:t>a</w:t>
      </w:r>
      <w:r w:rsidR="00C64050">
        <w:rPr>
          <w:szCs w:val="20"/>
        </w:rPr>
        <w:t xml:space="preserve"> </w:t>
      </w:r>
      <w:r w:rsidRPr="00072457">
        <w:rPr>
          <w:szCs w:val="20"/>
        </w:rPr>
        <w:t>section</w:t>
      </w:r>
      <w:r w:rsidR="00C64050">
        <w:rPr>
          <w:szCs w:val="20"/>
        </w:rPr>
        <w:t xml:space="preserve"> </w:t>
      </w:r>
      <w:r w:rsidRPr="00072457">
        <w:rPr>
          <w:szCs w:val="20"/>
        </w:rPr>
        <w:t>743(b)</w:t>
      </w:r>
      <w:r w:rsidR="00C64050">
        <w:rPr>
          <w:szCs w:val="20"/>
        </w:rPr>
        <w:t xml:space="preserve"> </w:t>
      </w:r>
      <w:r w:rsidRPr="00072457">
        <w:rPr>
          <w:szCs w:val="20"/>
        </w:rPr>
        <w:t>election</w:t>
      </w:r>
      <w:r w:rsidR="00C64050">
        <w:rPr>
          <w:szCs w:val="20"/>
        </w:rPr>
        <w:t xml:space="preserve"> </w:t>
      </w:r>
      <w:r w:rsidRPr="00072457">
        <w:rPr>
          <w:szCs w:val="20"/>
        </w:rPr>
        <w:t>and</w:t>
      </w:r>
      <w:r w:rsidR="00C64050">
        <w:rPr>
          <w:szCs w:val="20"/>
        </w:rPr>
        <w:t xml:space="preserve"> </w:t>
      </w:r>
      <w:r w:rsidRPr="00072457">
        <w:rPr>
          <w:szCs w:val="20"/>
        </w:rPr>
        <w:t>calculation</w:t>
      </w:r>
      <w:r w:rsidR="00C64050">
        <w:rPr>
          <w:szCs w:val="20"/>
        </w:rPr>
        <w:t xml:space="preserve"> </w:t>
      </w:r>
      <w:r w:rsidRPr="00072457">
        <w:rPr>
          <w:szCs w:val="20"/>
        </w:rPr>
        <w:t>sheet;</w:t>
      </w:r>
      <w:r w:rsidR="00C64050">
        <w:rPr>
          <w:szCs w:val="20"/>
        </w:rPr>
        <w:t xml:space="preserve"> </w:t>
      </w:r>
      <w:r w:rsidRPr="00072457">
        <w:rPr>
          <w:szCs w:val="20"/>
        </w:rPr>
        <w:t>and</w:t>
      </w:r>
      <w:r w:rsidR="00C64050">
        <w:rPr>
          <w:szCs w:val="20"/>
        </w:rPr>
        <w:t xml:space="preserve"> </w:t>
      </w:r>
      <w:r w:rsidRPr="00072457">
        <w:rPr>
          <w:szCs w:val="20"/>
        </w:rPr>
        <w:t>(4)</w:t>
      </w:r>
      <w:r w:rsidR="00C64050">
        <w:rPr>
          <w:szCs w:val="20"/>
        </w:rPr>
        <w:t xml:space="preserve"> </w:t>
      </w:r>
      <w:r w:rsidRPr="00072457">
        <w:rPr>
          <w:szCs w:val="20"/>
        </w:rPr>
        <w:t>the</w:t>
      </w:r>
      <w:r w:rsidR="00C64050">
        <w:rPr>
          <w:szCs w:val="20"/>
        </w:rPr>
        <w:t xml:space="preserve"> </w:t>
      </w:r>
      <w:r w:rsidRPr="00072457">
        <w:rPr>
          <w:szCs w:val="20"/>
        </w:rPr>
        <w:t>attached</w:t>
      </w:r>
      <w:r w:rsidR="00C64050">
        <w:rPr>
          <w:szCs w:val="20"/>
        </w:rPr>
        <w:t xml:space="preserve"> </w:t>
      </w:r>
      <w:r w:rsidRPr="00072457">
        <w:rPr>
          <w:szCs w:val="20"/>
        </w:rPr>
        <w:t>appraisal.</w:t>
      </w:r>
      <w:r w:rsidR="00C64050">
        <w:rPr>
          <w:szCs w:val="20"/>
        </w:rPr>
        <w:t xml:space="preserve"> </w:t>
      </w:r>
      <w:r w:rsidRPr="00072457">
        <w:rPr>
          <w:szCs w:val="20"/>
          <w:u w:val="single"/>
        </w:rPr>
        <w:t>Id.</w:t>
      </w:r>
      <w:r w:rsidR="00C64050">
        <w:rPr>
          <w:szCs w:val="20"/>
        </w:rPr>
        <w:t xml:space="preserve"> </w:t>
      </w:r>
      <w:r w:rsidRPr="00072457">
        <w:rPr>
          <w:szCs w:val="20"/>
        </w:rPr>
        <w:t>at</w:t>
      </w:r>
      <w:r w:rsidR="00C64050">
        <w:rPr>
          <w:szCs w:val="20"/>
        </w:rPr>
        <w:t xml:space="preserve"> </w:t>
      </w:r>
      <w:r w:rsidRPr="00072457">
        <w:rPr>
          <w:szCs w:val="20"/>
        </w:rPr>
        <w:t>*19.</w:t>
      </w:r>
      <w:r w:rsidR="00C64050">
        <w:rPr>
          <w:szCs w:val="20"/>
        </w:rPr>
        <w:t xml:space="preserve"> </w:t>
      </w:r>
      <w:r w:rsidRPr="00072457">
        <w:rPr>
          <w:szCs w:val="20"/>
        </w:rPr>
        <w:t>We</w:t>
      </w:r>
      <w:r w:rsidR="00C64050">
        <w:rPr>
          <w:szCs w:val="20"/>
        </w:rPr>
        <w:t xml:space="preserve"> </w:t>
      </w:r>
      <w:r w:rsidRPr="00072457">
        <w:rPr>
          <w:szCs w:val="20"/>
        </w:rPr>
        <w:t>rejected</w:t>
      </w:r>
      <w:r w:rsidR="00C64050">
        <w:rPr>
          <w:szCs w:val="20"/>
        </w:rPr>
        <w:t xml:space="preserve"> </w:t>
      </w:r>
      <w:r w:rsidRPr="00072457">
        <w:rPr>
          <w:szCs w:val="20"/>
        </w:rPr>
        <w:t>the</w:t>
      </w:r>
      <w:r w:rsidR="00C64050">
        <w:rPr>
          <w:szCs w:val="20"/>
        </w:rPr>
        <w:t xml:space="preserve"> </w:t>
      </w:r>
      <w:r w:rsidRPr="00072457">
        <w:rPr>
          <w:szCs w:val="20"/>
        </w:rPr>
        <w:t>tax</w:t>
      </w:r>
      <w:r w:rsidR="00C64050">
        <w:rPr>
          <w:szCs w:val="20"/>
        </w:rPr>
        <w:t xml:space="preserve"> </w:t>
      </w:r>
      <w:r w:rsidRPr="00072457">
        <w:rPr>
          <w:szCs w:val="20"/>
        </w:rPr>
        <w:t>matters</w:t>
      </w:r>
      <w:r w:rsidR="00C64050">
        <w:rPr>
          <w:szCs w:val="20"/>
        </w:rPr>
        <w:t xml:space="preserve"> </w:t>
      </w:r>
      <w:r w:rsidRPr="00072457">
        <w:rPr>
          <w:szCs w:val="20"/>
        </w:rPr>
        <w:t>partner's</w:t>
      </w:r>
      <w:r w:rsidR="00C64050">
        <w:rPr>
          <w:szCs w:val="20"/>
        </w:rPr>
        <w:t xml:space="preserve"> </w:t>
      </w:r>
      <w:r w:rsidRPr="00072457">
        <w:rPr>
          <w:szCs w:val="20"/>
        </w:rPr>
        <w:t>argument</w:t>
      </w:r>
      <w:r w:rsidR="00C64050">
        <w:rPr>
          <w:szCs w:val="20"/>
        </w:rPr>
        <w:t xml:space="preserve"> </w:t>
      </w:r>
      <w:r w:rsidRPr="00072457">
        <w:rPr>
          <w:szCs w:val="20"/>
        </w:rPr>
        <w:t>because</w:t>
      </w:r>
      <w:r w:rsidR="00C64050">
        <w:rPr>
          <w:szCs w:val="20"/>
        </w:rPr>
        <w:t xml:space="preserve"> </w:t>
      </w:r>
      <w:r w:rsidRPr="00072457">
        <w:rPr>
          <w:szCs w:val="20"/>
        </w:rPr>
        <w:t>supplying</w:t>
      </w:r>
      <w:r w:rsidR="00C64050">
        <w:rPr>
          <w:szCs w:val="20"/>
        </w:rPr>
        <w:t xml:space="preserve"> </w:t>
      </w:r>
      <w:r w:rsidRPr="00072457">
        <w:rPr>
          <w:szCs w:val="20"/>
        </w:rPr>
        <w:t>the</w:t>
      </w:r>
      <w:r w:rsidR="00C64050">
        <w:rPr>
          <w:szCs w:val="20"/>
        </w:rPr>
        <w:t xml:space="preserve"> </w:t>
      </w:r>
      <w:r w:rsidRPr="00072457">
        <w:rPr>
          <w:szCs w:val="20"/>
        </w:rPr>
        <w:t>cost</w:t>
      </w:r>
      <w:r w:rsidR="00C64050">
        <w:rPr>
          <w:szCs w:val="20"/>
        </w:rPr>
        <w:t xml:space="preserve"> </w:t>
      </w:r>
      <w:r w:rsidRPr="00072457">
        <w:rPr>
          <w:szCs w:val="20"/>
        </w:rPr>
        <w:t>or</w:t>
      </w:r>
      <w:r w:rsidR="00C64050">
        <w:rPr>
          <w:szCs w:val="20"/>
        </w:rPr>
        <w:t xml:space="preserve"> </w:t>
      </w:r>
      <w:r w:rsidRPr="00072457">
        <w:rPr>
          <w:szCs w:val="20"/>
        </w:rPr>
        <w:t>adjusted</w:t>
      </w:r>
      <w:r w:rsidR="00C64050">
        <w:rPr>
          <w:szCs w:val="20"/>
        </w:rPr>
        <w:t xml:space="preserve"> </w:t>
      </w:r>
      <w:r w:rsidRPr="00072457">
        <w:rPr>
          <w:szCs w:val="20"/>
        </w:rPr>
        <w:t>basis</w:t>
      </w:r>
      <w:r w:rsidR="00C64050">
        <w:rPr>
          <w:szCs w:val="20"/>
        </w:rPr>
        <w:t xml:space="preserve"> </w:t>
      </w:r>
      <w:r w:rsidRPr="00072457">
        <w:rPr>
          <w:szCs w:val="20"/>
        </w:rPr>
        <w:t>on</w:t>
      </w:r>
      <w:r w:rsidR="00C64050">
        <w:rPr>
          <w:szCs w:val="20"/>
        </w:rPr>
        <w:t xml:space="preserve"> </w:t>
      </w:r>
      <w:r w:rsidRPr="00072457">
        <w:rPr>
          <w:szCs w:val="20"/>
        </w:rPr>
        <w:t>the</w:t>
      </w:r>
      <w:r w:rsidR="00C64050">
        <w:rPr>
          <w:szCs w:val="20"/>
        </w:rPr>
        <w:t xml:space="preserve"> </w:t>
      </w:r>
      <w:r w:rsidRPr="00072457">
        <w:rPr>
          <w:szCs w:val="20"/>
        </w:rPr>
        <w:t>appraisal</w:t>
      </w:r>
      <w:r w:rsidR="00C64050">
        <w:rPr>
          <w:szCs w:val="20"/>
        </w:rPr>
        <w:t xml:space="preserve"> </w:t>
      </w:r>
      <w:r w:rsidRPr="00072457">
        <w:rPr>
          <w:szCs w:val="20"/>
        </w:rPr>
        <w:t>summary</w:t>
      </w:r>
      <w:r w:rsidR="00C64050">
        <w:rPr>
          <w:szCs w:val="20"/>
        </w:rPr>
        <w:t xml:space="preserve"> </w:t>
      </w:r>
      <w:r w:rsidRPr="00072457">
        <w:rPr>
          <w:szCs w:val="20"/>
        </w:rPr>
        <w:t>goes</w:t>
      </w:r>
      <w:r w:rsidR="00C64050">
        <w:rPr>
          <w:szCs w:val="20"/>
        </w:rPr>
        <w:t xml:space="preserve"> </w:t>
      </w:r>
      <w:r w:rsidRPr="00072457">
        <w:rPr>
          <w:szCs w:val="20"/>
        </w:rPr>
        <w:t>directly</w:t>
      </w:r>
      <w:r w:rsidR="00C64050">
        <w:rPr>
          <w:szCs w:val="20"/>
        </w:rPr>
        <w:t xml:space="preserve"> </w:t>
      </w:r>
      <w:r w:rsidRPr="00072457">
        <w:rPr>
          <w:szCs w:val="20"/>
        </w:rPr>
        <w:t>to</w:t>
      </w:r>
      <w:r w:rsidR="00C64050">
        <w:rPr>
          <w:szCs w:val="20"/>
        </w:rPr>
        <w:t xml:space="preserve"> </w:t>
      </w:r>
      <w:r w:rsidRPr="00072457">
        <w:rPr>
          <w:szCs w:val="20"/>
        </w:rPr>
        <w:t>the</w:t>
      </w:r>
      <w:r w:rsidR="00C64050">
        <w:rPr>
          <w:szCs w:val="20"/>
        </w:rPr>
        <w:t xml:space="preserve"> </w:t>
      </w:r>
      <w:r w:rsidRPr="00072457">
        <w:rPr>
          <w:szCs w:val="20"/>
        </w:rPr>
        <w:t>essence</w:t>
      </w:r>
      <w:r w:rsidR="00C64050">
        <w:rPr>
          <w:szCs w:val="20"/>
        </w:rPr>
        <w:t xml:space="preserve"> </w:t>
      </w:r>
      <w:r w:rsidRPr="00072457">
        <w:rPr>
          <w:szCs w:val="20"/>
        </w:rPr>
        <w:t>of</w:t>
      </w:r>
      <w:r w:rsidR="00C64050">
        <w:rPr>
          <w:szCs w:val="20"/>
        </w:rPr>
        <w:t xml:space="preserve"> </w:t>
      </w:r>
      <w:r w:rsidRPr="00072457">
        <w:rPr>
          <w:szCs w:val="20"/>
        </w:rPr>
        <w:t>statute.</w:t>
      </w:r>
      <w:r w:rsidR="00C64050">
        <w:rPr>
          <w:szCs w:val="20"/>
        </w:rPr>
        <w:t xml:space="preserve"> </w:t>
      </w:r>
      <w:r w:rsidRPr="00072457">
        <w:rPr>
          <w:szCs w:val="20"/>
          <w:u w:val="single"/>
        </w:rPr>
        <w:t>Id.</w:t>
      </w:r>
      <w:r w:rsidR="00C64050">
        <w:rPr>
          <w:szCs w:val="20"/>
        </w:rPr>
        <w:t xml:space="preserve"> </w:t>
      </w:r>
      <w:r w:rsidRPr="00072457">
        <w:rPr>
          <w:szCs w:val="20"/>
        </w:rPr>
        <w:t>at</w:t>
      </w:r>
      <w:r w:rsidR="00C64050">
        <w:rPr>
          <w:szCs w:val="20"/>
        </w:rPr>
        <w:t xml:space="preserve"> </w:t>
      </w:r>
      <w:r w:rsidRPr="00072457">
        <w:rPr>
          <w:szCs w:val="20"/>
        </w:rPr>
        <w:t>*15-*16</w:t>
      </w:r>
      <w:r w:rsidR="00C64050">
        <w:rPr>
          <w:szCs w:val="20"/>
        </w:rPr>
        <w:t xml:space="preserve"> </w:t>
      </w:r>
      <w:r w:rsidRPr="00072457">
        <w:rPr>
          <w:szCs w:val="20"/>
        </w:rPr>
        <w:t>(citing</w:t>
      </w:r>
      <w:r w:rsidR="00C64050">
        <w:rPr>
          <w:szCs w:val="20"/>
        </w:rPr>
        <w:t xml:space="preserve"> </w:t>
      </w:r>
      <w:r w:rsidRPr="00072457">
        <w:rPr>
          <w:szCs w:val="20"/>
          <w:u w:val="single"/>
        </w:rPr>
        <w:t>Bond</w:t>
      </w:r>
      <w:r w:rsidR="00C64050">
        <w:rPr>
          <w:szCs w:val="20"/>
          <w:u w:val="single"/>
        </w:rPr>
        <w:t xml:space="preserve"> </w:t>
      </w:r>
      <w:r w:rsidRPr="00072457">
        <w:rPr>
          <w:szCs w:val="20"/>
          <w:u w:val="single"/>
        </w:rPr>
        <w:t>v.</w:t>
      </w:r>
      <w:r w:rsidR="00C64050">
        <w:rPr>
          <w:szCs w:val="20"/>
          <w:u w:val="single"/>
        </w:rPr>
        <w:t xml:space="preserve"> </w:t>
      </w:r>
      <w:r w:rsidRPr="00072457">
        <w:rPr>
          <w:szCs w:val="20"/>
          <w:u w:val="single"/>
        </w:rPr>
        <w:t>Commissioner</w:t>
      </w:r>
      <w:r w:rsidRPr="00072457">
        <w:rPr>
          <w:szCs w:val="20"/>
        </w:rPr>
        <w:t>,</w:t>
      </w:r>
      <w:r w:rsidR="00C64050">
        <w:rPr>
          <w:szCs w:val="20"/>
        </w:rPr>
        <w:t xml:space="preserve"> </w:t>
      </w:r>
      <w:r w:rsidRPr="00072457">
        <w:rPr>
          <w:szCs w:val="20"/>
        </w:rPr>
        <w:t>100</w:t>
      </w:r>
      <w:r w:rsidR="00C64050">
        <w:rPr>
          <w:szCs w:val="20"/>
        </w:rPr>
        <w:t xml:space="preserve"> </w:t>
      </w:r>
      <w:r w:rsidRPr="00072457">
        <w:rPr>
          <w:szCs w:val="20"/>
        </w:rPr>
        <w:t>T.C.</w:t>
      </w:r>
      <w:r w:rsidR="00C64050">
        <w:rPr>
          <w:szCs w:val="20"/>
        </w:rPr>
        <w:t xml:space="preserve"> </w:t>
      </w:r>
      <w:r w:rsidRPr="00072457">
        <w:rPr>
          <w:szCs w:val="20"/>
        </w:rPr>
        <w:t>at</w:t>
      </w:r>
      <w:r w:rsidR="00C64050">
        <w:rPr>
          <w:szCs w:val="20"/>
        </w:rPr>
        <w:t xml:space="preserve"> </w:t>
      </w:r>
      <w:r w:rsidRPr="00072457">
        <w:rPr>
          <w:szCs w:val="20"/>
        </w:rPr>
        <w:t>41).</w:t>
      </w:r>
    </w:p>
    <w:p w:rsidR="00A03617" w:rsidRPr="00072457" w:rsidRDefault="00A03617" w:rsidP="00072457">
      <w:pPr>
        <w:pStyle w:val="QS10"/>
        <w:rPr>
          <w:szCs w:val="20"/>
        </w:rPr>
      </w:pPr>
      <w:r w:rsidRPr="00072457">
        <w:rPr>
          <w:szCs w:val="20"/>
        </w:rPr>
        <w:t>Petitioners</w:t>
      </w:r>
      <w:r w:rsidR="00C64050">
        <w:rPr>
          <w:szCs w:val="20"/>
        </w:rPr>
        <w:t xml:space="preserve"> </w:t>
      </w:r>
      <w:r w:rsidRPr="00072457">
        <w:rPr>
          <w:szCs w:val="20"/>
        </w:rPr>
        <w:t>contend</w:t>
      </w:r>
      <w:r w:rsidR="00C64050">
        <w:rPr>
          <w:szCs w:val="20"/>
        </w:rPr>
        <w:t xml:space="preserve"> </w:t>
      </w:r>
      <w:r w:rsidRPr="00072457">
        <w:rPr>
          <w:szCs w:val="20"/>
        </w:rPr>
        <w:t>that</w:t>
      </w:r>
      <w:r w:rsidR="00C64050">
        <w:rPr>
          <w:szCs w:val="20"/>
        </w:rPr>
        <w:t xml:space="preserve"> </w:t>
      </w:r>
      <w:r w:rsidRPr="00072457">
        <w:rPr>
          <w:szCs w:val="20"/>
        </w:rPr>
        <w:t>attaching</w:t>
      </w:r>
      <w:r w:rsidR="00C64050">
        <w:rPr>
          <w:szCs w:val="20"/>
        </w:rPr>
        <w:t xml:space="preserve"> </w:t>
      </w:r>
      <w:r w:rsidRPr="00072457">
        <w:rPr>
          <w:szCs w:val="20"/>
        </w:rPr>
        <w:t>the</w:t>
      </w:r>
      <w:r w:rsidR="00C64050">
        <w:rPr>
          <w:szCs w:val="20"/>
        </w:rPr>
        <w:t xml:space="preserve"> </w:t>
      </w:r>
      <w:r w:rsidRPr="00072457">
        <w:rPr>
          <w:szCs w:val="20"/>
        </w:rPr>
        <w:t>full</w:t>
      </w:r>
      <w:r w:rsidR="00C64050">
        <w:rPr>
          <w:szCs w:val="20"/>
        </w:rPr>
        <w:t xml:space="preserve"> </w:t>
      </w:r>
      <w:r w:rsidRPr="00072457">
        <w:rPr>
          <w:szCs w:val="20"/>
        </w:rPr>
        <w:t>appraisal</w:t>
      </w:r>
      <w:r w:rsidR="00C64050">
        <w:rPr>
          <w:szCs w:val="20"/>
        </w:rPr>
        <w:t xml:space="preserve"> </w:t>
      </w:r>
      <w:r w:rsidRPr="00072457">
        <w:rPr>
          <w:szCs w:val="20"/>
        </w:rPr>
        <w:t>to</w:t>
      </w:r>
      <w:r w:rsidR="00C64050">
        <w:rPr>
          <w:szCs w:val="20"/>
        </w:rPr>
        <w:t xml:space="preserve"> </w:t>
      </w:r>
      <w:r w:rsidRPr="00072457">
        <w:rPr>
          <w:szCs w:val="20"/>
        </w:rPr>
        <w:t>their</w:t>
      </w:r>
      <w:r w:rsidR="00C64050">
        <w:rPr>
          <w:szCs w:val="20"/>
        </w:rPr>
        <w:t xml:space="preserve"> </w:t>
      </w:r>
      <w:r w:rsidRPr="00072457">
        <w:rPr>
          <w:szCs w:val="20"/>
        </w:rPr>
        <w:t>return</w:t>
      </w:r>
      <w:r w:rsidR="00C64050">
        <w:rPr>
          <w:szCs w:val="20"/>
        </w:rPr>
        <w:t xml:space="preserve"> </w:t>
      </w:r>
      <w:r w:rsidRPr="00072457">
        <w:rPr>
          <w:szCs w:val="20"/>
        </w:rPr>
        <w:t>provided</w:t>
      </w:r>
      <w:r w:rsidR="00C64050">
        <w:rPr>
          <w:szCs w:val="20"/>
        </w:rPr>
        <w:t xml:space="preserve"> </w:t>
      </w:r>
      <w:r w:rsidRPr="00072457">
        <w:rPr>
          <w:szCs w:val="20"/>
        </w:rPr>
        <w:t>the</w:t>
      </w:r>
      <w:r w:rsidR="00C64050">
        <w:rPr>
          <w:szCs w:val="20"/>
        </w:rPr>
        <w:t xml:space="preserve"> </w:t>
      </w:r>
      <w:r w:rsidRPr="00072457">
        <w:rPr>
          <w:szCs w:val="20"/>
        </w:rPr>
        <w:t>necessary</w:t>
      </w:r>
      <w:r w:rsidR="00C64050">
        <w:rPr>
          <w:szCs w:val="20"/>
        </w:rPr>
        <w:t xml:space="preserve"> </w:t>
      </w:r>
      <w:r w:rsidRPr="00072457">
        <w:rPr>
          <w:szCs w:val="20"/>
        </w:rPr>
        <w:t>information</w:t>
      </w:r>
      <w:r w:rsidR="00C64050">
        <w:rPr>
          <w:szCs w:val="20"/>
        </w:rPr>
        <w:t xml:space="preserve"> </w:t>
      </w:r>
      <w:r w:rsidRPr="00072457">
        <w:rPr>
          <w:szCs w:val="20"/>
        </w:rPr>
        <w:t>such</w:t>
      </w:r>
      <w:r w:rsidR="00C64050">
        <w:rPr>
          <w:szCs w:val="20"/>
        </w:rPr>
        <w:t xml:space="preserve"> </w:t>
      </w:r>
      <w:r w:rsidRPr="00072457">
        <w:rPr>
          <w:szCs w:val="20"/>
        </w:rPr>
        <w:t>that</w:t>
      </w:r>
      <w:r w:rsidR="00C64050">
        <w:rPr>
          <w:szCs w:val="20"/>
        </w:rPr>
        <w:t xml:space="preserve"> </w:t>
      </w:r>
      <w:r w:rsidRPr="00072457">
        <w:rPr>
          <w:szCs w:val="20"/>
        </w:rPr>
        <w:t>they</w:t>
      </w:r>
      <w:r w:rsidR="00C64050">
        <w:rPr>
          <w:szCs w:val="20"/>
        </w:rPr>
        <w:t xml:space="preserve"> </w:t>
      </w:r>
      <w:r w:rsidRPr="00072457">
        <w:rPr>
          <w:szCs w:val="20"/>
        </w:rPr>
        <w:t>substantially</w:t>
      </w:r>
      <w:r w:rsidR="00C64050">
        <w:rPr>
          <w:szCs w:val="20"/>
        </w:rPr>
        <w:t xml:space="preserve"> </w:t>
      </w:r>
      <w:r w:rsidRPr="00072457">
        <w:rPr>
          <w:szCs w:val="20"/>
        </w:rPr>
        <w:t>complied.</w:t>
      </w:r>
      <w:r w:rsidR="00C64050">
        <w:rPr>
          <w:szCs w:val="20"/>
        </w:rPr>
        <w:t xml:space="preserve"> </w:t>
      </w:r>
      <w:r w:rsidRPr="00072457">
        <w:rPr>
          <w:szCs w:val="20"/>
        </w:rPr>
        <w:t>We</w:t>
      </w:r>
      <w:r w:rsidR="00C64050">
        <w:rPr>
          <w:szCs w:val="20"/>
        </w:rPr>
        <w:t xml:space="preserve"> </w:t>
      </w:r>
      <w:r w:rsidRPr="00072457">
        <w:rPr>
          <w:szCs w:val="20"/>
        </w:rPr>
        <w:t>are</w:t>
      </w:r>
      <w:r w:rsidR="00C64050">
        <w:rPr>
          <w:szCs w:val="20"/>
        </w:rPr>
        <w:t xml:space="preserve"> </w:t>
      </w:r>
      <w:r w:rsidRPr="00072457">
        <w:rPr>
          <w:szCs w:val="20"/>
        </w:rPr>
        <w:t>not</w:t>
      </w:r>
      <w:r w:rsidR="00C64050">
        <w:rPr>
          <w:szCs w:val="20"/>
        </w:rPr>
        <w:t xml:space="preserve"> </w:t>
      </w:r>
      <w:r w:rsidRPr="00072457">
        <w:rPr>
          <w:szCs w:val="20"/>
        </w:rPr>
        <w:t>swayed.</w:t>
      </w:r>
      <w:r w:rsidR="00C64050">
        <w:rPr>
          <w:szCs w:val="20"/>
        </w:rPr>
        <w:t xml:space="preserve"> </w:t>
      </w:r>
      <w:r w:rsidRPr="00072457">
        <w:rPr>
          <w:szCs w:val="20"/>
        </w:rPr>
        <w:t>While</w:t>
      </w:r>
      <w:r w:rsidR="00C64050">
        <w:rPr>
          <w:szCs w:val="20"/>
        </w:rPr>
        <w:t xml:space="preserve"> </w:t>
      </w:r>
      <w:r w:rsidRPr="00072457">
        <w:rPr>
          <w:szCs w:val="20"/>
        </w:rPr>
        <w:t>it</w:t>
      </w:r>
      <w:r w:rsidR="00C64050">
        <w:rPr>
          <w:szCs w:val="20"/>
        </w:rPr>
        <w:t xml:space="preserve"> </w:t>
      </w:r>
      <w:r w:rsidRPr="00072457">
        <w:rPr>
          <w:szCs w:val="20"/>
        </w:rPr>
        <w:t>may</w:t>
      </w:r>
      <w:r w:rsidR="00C64050">
        <w:rPr>
          <w:szCs w:val="20"/>
        </w:rPr>
        <w:t xml:space="preserve"> </w:t>
      </w:r>
      <w:r w:rsidRPr="00072457">
        <w:rPr>
          <w:szCs w:val="20"/>
        </w:rPr>
        <w:t>have</w:t>
      </w:r>
      <w:r w:rsidR="00C64050">
        <w:rPr>
          <w:szCs w:val="20"/>
        </w:rPr>
        <w:t xml:space="preserve"> </w:t>
      </w:r>
      <w:r w:rsidRPr="00072457">
        <w:rPr>
          <w:szCs w:val="20"/>
        </w:rPr>
        <w:t>been</w:t>
      </w:r>
      <w:r w:rsidR="00C64050">
        <w:rPr>
          <w:szCs w:val="20"/>
        </w:rPr>
        <w:t xml:space="preserve"> </w:t>
      </w:r>
      <w:r w:rsidRPr="00072457">
        <w:rPr>
          <w:szCs w:val="20"/>
        </w:rPr>
        <w:t>possible</w:t>
      </w:r>
      <w:r w:rsidR="00C64050">
        <w:rPr>
          <w:szCs w:val="20"/>
        </w:rPr>
        <w:t xml:space="preserve"> </w:t>
      </w:r>
      <w:r w:rsidRPr="00072457">
        <w:rPr>
          <w:szCs w:val="20"/>
        </w:rPr>
        <w:t>for</w:t>
      </w:r>
      <w:r w:rsidR="00C64050">
        <w:rPr>
          <w:szCs w:val="20"/>
        </w:rPr>
        <w:t xml:space="preserve"> </w:t>
      </w:r>
      <w:r w:rsidRPr="00072457">
        <w:rPr>
          <w:szCs w:val="20"/>
        </w:rPr>
        <w:t>the</w:t>
      </w:r>
      <w:r w:rsidR="00C64050">
        <w:rPr>
          <w:szCs w:val="20"/>
        </w:rPr>
        <w:t xml:space="preserve"> </w:t>
      </w:r>
      <w:r w:rsidRPr="00072457">
        <w:rPr>
          <w:szCs w:val="20"/>
        </w:rPr>
        <w:t>Commissioner</w:t>
      </w:r>
      <w:r w:rsidR="00C64050">
        <w:rPr>
          <w:szCs w:val="20"/>
        </w:rPr>
        <w:t xml:space="preserve"> </w:t>
      </w:r>
      <w:r w:rsidRPr="00072457">
        <w:rPr>
          <w:szCs w:val="20"/>
        </w:rPr>
        <w:t>to</w:t>
      </w:r>
      <w:r w:rsidR="00C64050">
        <w:rPr>
          <w:szCs w:val="20"/>
        </w:rPr>
        <w:t xml:space="preserve"> </w:t>
      </w:r>
      <w:r w:rsidRPr="00072457">
        <w:rPr>
          <w:szCs w:val="20"/>
        </w:rPr>
        <w:t>glean</w:t>
      </w:r>
      <w:r w:rsidR="00C64050">
        <w:rPr>
          <w:szCs w:val="20"/>
        </w:rPr>
        <w:t xml:space="preserve"> </w:t>
      </w:r>
      <w:r w:rsidRPr="00072457">
        <w:rPr>
          <w:szCs w:val="20"/>
        </w:rPr>
        <w:t>sufficient</w:t>
      </w:r>
      <w:r w:rsidR="00C64050">
        <w:rPr>
          <w:szCs w:val="20"/>
        </w:rPr>
        <w:t xml:space="preserve"> </w:t>
      </w:r>
      <w:r w:rsidRPr="00072457">
        <w:rPr>
          <w:szCs w:val="20"/>
        </w:rPr>
        <w:t>information</w:t>
      </w:r>
      <w:r w:rsidR="00C64050">
        <w:rPr>
          <w:szCs w:val="20"/>
        </w:rPr>
        <w:t xml:space="preserve"> </w:t>
      </w:r>
      <w:r w:rsidRPr="00072457">
        <w:rPr>
          <w:szCs w:val="20"/>
        </w:rPr>
        <w:t>from</w:t>
      </w:r>
      <w:r w:rsidR="00C64050">
        <w:rPr>
          <w:szCs w:val="20"/>
        </w:rPr>
        <w:t xml:space="preserve"> </w:t>
      </w:r>
      <w:r w:rsidRPr="00072457">
        <w:rPr>
          <w:szCs w:val="20"/>
        </w:rPr>
        <w:t>the</w:t>
      </w:r>
      <w:r w:rsidR="00C64050">
        <w:rPr>
          <w:szCs w:val="20"/>
        </w:rPr>
        <w:t xml:space="preserve"> </w:t>
      </w:r>
      <w:r w:rsidRPr="00072457">
        <w:rPr>
          <w:szCs w:val="20"/>
        </w:rPr>
        <w:t>purchase</w:t>
      </w:r>
      <w:r w:rsidR="00C64050">
        <w:rPr>
          <w:szCs w:val="20"/>
        </w:rPr>
        <w:t xml:space="preserve"> </w:t>
      </w:r>
      <w:r w:rsidRPr="00072457">
        <w:rPr>
          <w:szCs w:val="20"/>
        </w:rPr>
        <w:t>price</w:t>
      </w:r>
      <w:r w:rsidR="00C64050">
        <w:rPr>
          <w:szCs w:val="20"/>
        </w:rPr>
        <w:t xml:space="preserve"> </w:t>
      </w:r>
      <w:r w:rsidRPr="00072457">
        <w:rPr>
          <w:szCs w:val="20"/>
        </w:rPr>
        <w:t>and</w:t>
      </w:r>
      <w:r w:rsidR="00C64050">
        <w:rPr>
          <w:szCs w:val="20"/>
        </w:rPr>
        <w:t xml:space="preserve"> </w:t>
      </w:r>
      <w:r w:rsidRPr="00072457">
        <w:rPr>
          <w:szCs w:val="20"/>
        </w:rPr>
        <w:t>tax</w:t>
      </w:r>
      <w:r w:rsidR="00C64050">
        <w:rPr>
          <w:szCs w:val="20"/>
        </w:rPr>
        <w:t xml:space="preserve"> </w:t>
      </w:r>
      <w:r w:rsidRPr="00072457">
        <w:rPr>
          <w:szCs w:val="20"/>
        </w:rPr>
        <w:t>information</w:t>
      </w:r>
      <w:r w:rsidR="00C64050">
        <w:rPr>
          <w:szCs w:val="20"/>
        </w:rPr>
        <w:t xml:space="preserve"> </w:t>
      </w:r>
      <w:r w:rsidRPr="00072457">
        <w:rPr>
          <w:szCs w:val="20"/>
        </w:rPr>
        <w:t>listed</w:t>
      </w:r>
      <w:r w:rsidR="00C64050">
        <w:rPr>
          <w:szCs w:val="20"/>
        </w:rPr>
        <w:t xml:space="preserve"> </w:t>
      </w:r>
      <w:r w:rsidRPr="00072457">
        <w:rPr>
          <w:szCs w:val="20"/>
        </w:rPr>
        <w:t>in</w:t>
      </w:r>
      <w:r w:rsidR="00C64050">
        <w:rPr>
          <w:szCs w:val="20"/>
        </w:rPr>
        <w:t xml:space="preserve"> </w:t>
      </w:r>
      <w:r w:rsidRPr="00072457">
        <w:rPr>
          <w:szCs w:val="20"/>
        </w:rPr>
        <w:t>the</w:t>
      </w:r>
      <w:r w:rsidR="00C64050">
        <w:rPr>
          <w:szCs w:val="20"/>
        </w:rPr>
        <w:t xml:space="preserve"> </w:t>
      </w:r>
      <w:r w:rsidRPr="00072457">
        <w:rPr>
          <w:szCs w:val="20"/>
        </w:rPr>
        <w:t>appraisal,</w:t>
      </w:r>
      <w:r w:rsidR="00C64050">
        <w:rPr>
          <w:szCs w:val="20"/>
        </w:rPr>
        <w:t xml:space="preserve"> </w:t>
      </w:r>
      <w:r w:rsidRPr="00072457">
        <w:rPr>
          <w:szCs w:val="20"/>
        </w:rPr>
        <w:t>that</w:t>
      </w:r>
      <w:r w:rsidR="00C64050">
        <w:rPr>
          <w:szCs w:val="20"/>
        </w:rPr>
        <w:t xml:space="preserve"> </w:t>
      </w:r>
      <w:r w:rsidRPr="00072457">
        <w:rPr>
          <w:szCs w:val="20"/>
        </w:rPr>
        <w:t>does</w:t>
      </w:r>
      <w:r w:rsidR="00C64050">
        <w:rPr>
          <w:szCs w:val="20"/>
        </w:rPr>
        <w:t xml:space="preserve"> </w:t>
      </w:r>
      <w:r w:rsidRPr="00072457">
        <w:rPr>
          <w:szCs w:val="20"/>
        </w:rPr>
        <w:t>nothing</w:t>
      </w:r>
      <w:r w:rsidR="00C64050">
        <w:rPr>
          <w:szCs w:val="20"/>
        </w:rPr>
        <w:t xml:space="preserve"> </w:t>
      </w:r>
      <w:r w:rsidRPr="00072457">
        <w:rPr>
          <w:szCs w:val="20"/>
        </w:rPr>
        <w:t>to</w:t>
      </w:r>
      <w:r w:rsidR="00C64050">
        <w:rPr>
          <w:szCs w:val="20"/>
        </w:rPr>
        <w:t xml:space="preserve"> </w:t>
      </w:r>
      <w:r w:rsidRPr="00072457">
        <w:rPr>
          <w:szCs w:val="20"/>
        </w:rPr>
        <w:t>change</w:t>
      </w:r>
      <w:r w:rsidR="00C64050">
        <w:rPr>
          <w:szCs w:val="20"/>
        </w:rPr>
        <w:t xml:space="preserve"> </w:t>
      </w:r>
      <w:r w:rsidRPr="00072457">
        <w:rPr>
          <w:szCs w:val="20"/>
        </w:rPr>
        <w:t>the</w:t>
      </w:r>
      <w:r w:rsidR="00C64050">
        <w:rPr>
          <w:szCs w:val="20"/>
        </w:rPr>
        <w:t xml:space="preserve"> </w:t>
      </w:r>
      <w:r w:rsidRPr="00072457">
        <w:rPr>
          <w:szCs w:val="20"/>
        </w:rPr>
        <w:t>fact</w:t>
      </w:r>
      <w:r w:rsidR="00C64050">
        <w:rPr>
          <w:szCs w:val="20"/>
        </w:rPr>
        <w:t xml:space="preserve"> </w:t>
      </w:r>
      <w:r w:rsidRPr="00072457">
        <w:rPr>
          <w:szCs w:val="20"/>
        </w:rPr>
        <w:t>that</w:t>
      </w:r>
      <w:r w:rsidR="00C64050">
        <w:rPr>
          <w:szCs w:val="20"/>
        </w:rPr>
        <w:t xml:space="preserve"> </w:t>
      </w:r>
      <w:r w:rsidRPr="00072457">
        <w:rPr>
          <w:szCs w:val="20"/>
        </w:rPr>
        <w:t>Congress</w:t>
      </w:r>
      <w:r w:rsidR="00C64050">
        <w:rPr>
          <w:szCs w:val="20"/>
        </w:rPr>
        <w:t xml:space="preserve"> </w:t>
      </w:r>
      <w:r w:rsidRPr="00072457">
        <w:rPr>
          <w:szCs w:val="20"/>
        </w:rPr>
        <w:t>specifically</w:t>
      </w:r>
      <w:r w:rsidR="00C64050">
        <w:rPr>
          <w:szCs w:val="20"/>
        </w:rPr>
        <w:t xml:space="preserve"> </w:t>
      </w:r>
      <w:r w:rsidRPr="00072457">
        <w:rPr>
          <w:szCs w:val="20"/>
        </w:rPr>
        <w:t>passed</w:t>
      </w:r>
      <w:r w:rsidR="00C64050">
        <w:rPr>
          <w:szCs w:val="20"/>
        </w:rPr>
        <w:t xml:space="preserve"> </w:t>
      </w:r>
      <w:r w:rsidRPr="00072457">
        <w:rPr>
          <w:szCs w:val="20"/>
        </w:rPr>
        <w:t>DEFRA's</w:t>
      </w:r>
      <w:r w:rsidR="00C64050">
        <w:rPr>
          <w:szCs w:val="20"/>
        </w:rPr>
        <w:t xml:space="preserve"> </w:t>
      </w:r>
      <w:r w:rsidRPr="00072457">
        <w:rPr>
          <w:szCs w:val="20"/>
        </w:rPr>
        <w:t>heightened</w:t>
      </w:r>
      <w:r w:rsidR="00C64050">
        <w:rPr>
          <w:szCs w:val="20"/>
        </w:rPr>
        <w:t xml:space="preserve"> </w:t>
      </w:r>
      <w:r w:rsidRPr="00072457">
        <w:rPr>
          <w:szCs w:val="20"/>
        </w:rPr>
        <w:t>substantiation</w:t>
      </w:r>
      <w:r w:rsidR="00C64050">
        <w:rPr>
          <w:szCs w:val="20"/>
        </w:rPr>
        <w:t xml:space="preserve"> </w:t>
      </w:r>
      <w:r w:rsidRPr="00072457">
        <w:rPr>
          <w:szCs w:val="20"/>
        </w:rPr>
        <w:t>requirements</w:t>
      </w:r>
      <w:r w:rsidR="00C64050">
        <w:rPr>
          <w:szCs w:val="20"/>
        </w:rPr>
        <w:t xml:space="preserve"> </w:t>
      </w:r>
      <w:r w:rsidRPr="00072457">
        <w:rPr>
          <w:szCs w:val="20"/>
        </w:rPr>
        <w:t>so</w:t>
      </w:r>
      <w:r w:rsidR="00C64050">
        <w:rPr>
          <w:szCs w:val="20"/>
        </w:rPr>
        <w:t xml:space="preserve"> </w:t>
      </w:r>
      <w:r w:rsidRPr="00072457">
        <w:rPr>
          <w:szCs w:val="20"/>
        </w:rPr>
        <w:t>that</w:t>
      </w:r>
      <w:r w:rsidR="00C64050">
        <w:rPr>
          <w:szCs w:val="20"/>
        </w:rPr>
        <w:t xml:space="preserve"> </w:t>
      </w:r>
      <w:r w:rsidRPr="00072457">
        <w:rPr>
          <w:szCs w:val="20"/>
        </w:rPr>
        <w:t>the</w:t>
      </w:r>
      <w:r w:rsidR="00C64050">
        <w:rPr>
          <w:szCs w:val="20"/>
        </w:rPr>
        <w:t xml:space="preserve"> </w:t>
      </w:r>
      <w:r w:rsidRPr="00072457">
        <w:rPr>
          <w:szCs w:val="20"/>
        </w:rPr>
        <w:t>Commissioner</w:t>
      </w:r>
      <w:r w:rsidR="00C64050">
        <w:rPr>
          <w:szCs w:val="20"/>
        </w:rPr>
        <w:t xml:space="preserve"> </w:t>
      </w:r>
      <w:r w:rsidRPr="00072457">
        <w:rPr>
          <w:szCs w:val="20"/>
        </w:rPr>
        <w:t>could</w:t>
      </w:r>
      <w:r w:rsidR="00C64050">
        <w:rPr>
          <w:szCs w:val="20"/>
        </w:rPr>
        <w:t xml:space="preserve"> </w:t>
      </w:r>
      <w:r w:rsidRPr="00072457">
        <w:rPr>
          <w:szCs w:val="20"/>
        </w:rPr>
        <w:t>efficiently</w:t>
      </w:r>
      <w:r w:rsidR="00C64050">
        <w:rPr>
          <w:szCs w:val="20"/>
        </w:rPr>
        <w:t xml:space="preserve"> </w:t>
      </w:r>
      <w:r w:rsidRPr="00072457">
        <w:rPr>
          <w:szCs w:val="20"/>
        </w:rPr>
        <w:t>flag</w:t>
      </w:r>
      <w:r w:rsidR="00C64050">
        <w:rPr>
          <w:szCs w:val="20"/>
        </w:rPr>
        <w:t xml:space="preserve"> </w:t>
      </w:r>
      <w:r w:rsidRPr="00072457">
        <w:rPr>
          <w:szCs w:val="20"/>
        </w:rPr>
        <w:t>properties</w:t>
      </w:r>
      <w:r w:rsidR="00C64050">
        <w:rPr>
          <w:szCs w:val="20"/>
        </w:rPr>
        <w:t xml:space="preserve"> </w:t>
      </w:r>
      <w:r w:rsidRPr="00072457">
        <w:rPr>
          <w:szCs w:val="20"/>
        </w:rPr>
        <w:t>for</w:t>
      </w:r>
      <w:r w:rsidR="00C64050">
        <w:rPr>
          <w:szCs w:val="20"/>
        </w:rPr>
        <w:t xml:space="preserve"> </w:t>
      </w:r>
      <w:r w:rsidRPr="00072457">
        <w:rPr>
          <w:szCs w:val="20"/>
        </w:rPr>
        <w:t>overvaluation</w:t>
      </w:r>
      <w:r w:rsidR="00C64050">
        <w:rPr>
          <w:szCs w:val="20"/>
        </w:rPr>
        <w:t xml:space="preserve"> </w:t>
      </w:r>
      <w:r w:rsidRPr="00072457">
        <w:rPr>
          <w:szCs w:val="20"/>
        </w:rPr>
        <w:t>from</w:t>
      </w:r>
      <w:r w:rsidR="00C64050">
        <w:rPr>
          <w:szCs w:val="20"/>
        </w:rPr>
        <w:t xml:space="preserve"> </w:t>
      </w:r>
      <w:r w:rsidRPr="00072457">
        <w:rPr>
          <w:szCs w:val="20"/>
        </w:rPr>
        <w:t>the</w:t>
      </w:r>
      <w:r w:rsidR="00C64050">
        <w:rPr>
          <w:szCs w:val="20"/>
        </w:rPr>
        <w:t xml:space="preserve"> </w:t>
      </w:r>
      <w:r w:rsidRPr="00072457">
        <w:rPr>
          <w:szCs w:val="20"/>
        </w:rPr>
        <w:t>face</w:t>
      </w:r>
      <w:r w:rsidR="00C64050">
        <w:rPr>
          <w:szCs w:val="20"/>
        </w:rPr>
        <w:t xml:space="preserve"> </w:t>
      </w:r>
      <w:r w:rsidRPr="00072457">
        <w:rPr>
          <w:szCs w:val="20"/>
        </w:rPr>
        <w:t>of</w:t>
      </w:r>
      <w:r w:rsidR="00C64050">
        <w:rPr>
          <w:szCs w:val="20"/>
        </w:rPr>
        <w:t xml:space="preserve"> </w:t>
      </w:r>
      <w:r w:rsidRPr="00072457">
        <w:rPr>
          <w:szCs w:val="20"/>
        </w:rPr>
        <w:t>appraisal</w:t>
      </w:r>
      <w:r w:rsidR="00C64050">
        <w:rPr>
          <w:szCs w:val="20"/>
        </w:rPr>
        <w:t xml:space="preserve"> </w:t>
      </w:r>
      <w:r w:rsidRPr="00072457">
        <w:rPr>
          <w:szCs w:val="20"/>
        </w:rPr>
        <w:t>summaries.</w:t>
      </w:r>
      <w:r w:rsidR="00C64050">
        <w:rPr>
          <w:szCs w:val="20"/>
        </w:rPr>
        <w:t xml:space="preserve"> </w:t>
      </w:r>
      <w:r w:rsidRPr="00072457">
        <w:rPr>
          <w:szCs w:val="20"/>
        </w:rPr>
        <w:t>In</w:t>
      </w:r>
      <w:r w:rsidR="00C64050">
        <w:rPr>
          <w:szCs w:val="20"/>
        </w:rPr>
        <w:t xml:space="preserve"> </w:t>
      </w:r>
      <w:r w:rsidRPr="00072457">
        <w:rPr>
          <w:szCs w:val="20"/>
        </w:rPr>
        <w:t>so</w:t>
      </w:r>
      <w:r w:rsidR="00C64050">
        <w:rPr>
          <w:szCs w:val="20"/>
        </w:rPr>
        <w:t xml:space="preserve"> </w:t>
      </w:r>
      <w:r w:rsidRPr="00072457">
        <w:rPr>
          <w:szCs w:val="20"/>
        </w:rPr>
        <w:t>doing,</w:t>
      </w:r>
      <w:r w:rsidR="00C64050">
        <w:rPr>
          <w:szCs w:val="20"/>
        </w:rPr>
        <w:t xml:space="preserve"> </w:t>
      </w:r>
      <w:r w:rsidRPr="00072457">
        <w:rPr>
          <w:szCs w:val="20"/>
        </w:rPr>
        <w:t>Congress</w:t>
      </w:r>
      <w:r w:rsidR="00C64050">
        <w:rPr>
          <w:szCs w:val="20"/>
        </w:rPr>
        <w:t xml:space="preserve"> </w:t>
      </w:r>
      <w:r w:rsidRPr="00072457">
        <w:rPr>
          <w:szCs w:val="20"/>
        </w:rPr>
        <w:t>wanted</w:t>
      </w:r>
      <w:r w:rsidR="00C64050">
        <w:rPr>
          <w:szCs w:val="20"/>
        </w:rPr>
        <w:t xml:space="preserve"> </w:t>
      </w:r>
      <w:r w:rsidRPr="00072457">
        <w:rPr>
          <w:szCs w:val="20"/>
        </w:rPr>
        <w:t>precisely</w:t>
      </w:r>
      <w:r w:rsidR="00C64050">
        <w:rPr>
          <w:szCs w:val="20"/>
        </w:rPr>
        <w:t xml:space="preserve"> </w:t>
      </w:r>
      <w:r w:rsidRPr="00072457">
        <w:rPr>
          <w:szCs w:val="20"/>
        </w:rPr>
        <w:t>to</w:t>
      </w:r>
      <w:r w:rsidR="00C64050">
        <w:rPr>
          <w:szCs w:val="20"/>
        </w:rPr>
        <w:t xml:space="preserve"> </w:t>
      </w:r>
      <w:r w:rsidRPr="00072457">
        <w:rPr>
          <w:szCs w:val="20"/>
        </w:rPr>
        <w:t>prevent</w:t>
      </w:r>
      <w:r w:rsidR="00C64050">
        <w:rPr>
          <w:szCs w:val="20"/>
        </w:rPr>
        <w:t xml:space="preserve"> </w:t>
      </w:r>
      <w:r w:rsidRPr="00072457">
        <w:rPr>
          <w:szCs w:val="20"/>
        </w:rPr>
        <w:t>the</w:t>
      </w:r>
      <w:r w:rsidR="00C64050">
        <w:rPr>
          <w:szCs w:val="20"/>
        </w:rPr>
        <w:t xml:space="preserve"> </w:t>
      </w:r>
      <w:r w:rsidRPr="00072457">
        <w:rPr>
          <w:szCs w:val="20"/>
        </w:rPr>
        <w:t>Commissioner</w:t>
      </w:r>
      <w:r w:rsidR="00C64050">
        <w:rPr>
          <w:szCs w:val="20"/>
        </w:rPr>
        <w:t xml:space="preserve"> </w:t>
      </w:r>
      <w:r w:rsidRPr="00072457">
        <w:rPr>
          <w:szCs w:val="20"/>
        </w:rPr>
        <w:t>from</w:t>
      </w:r>
      <w:r w:rsidR="00C64050">
        <w:rPr>
          <w:szCs w:val="20"/>
        </w:rPr>
        <w:t xml:space="preserve"> </w:t>
      </w:r>
      <w:r w:rsidRPr="00072457">
        <w:rPr>
          <w:szCs w:val="20"/>
        </w:rPr>
        <w:t>having</w:t>
      </w:r>
      <w:r w:rsidR="00C64050">
        <w:rPr>
          <w:szCs w:val="20"/>
        </w:rPr>
        <w:t xml:space="preserve"> </w:t>
      </w:r>
      <w:r w:rsidRPr="00072457">
        <w:rPr>
          <w:szCs w:val="20"/>
        </w:rPr>
        <w:t>to</w:t>
      </w:r>
      <w:r w:rsidR="00C64050">
        <w:rPr>
          <w:szCs w:val="20"/>
        </w:rPr>
        <w:t xml:space="preserve"> </w:t>
      </w:r>
      <w:r w:rsidRPr="00072457">
        <w:rPr>
          <w:szCs w:val="20"/>
        </w:rPr>
        <w:t>sleuth</w:t>
      </w:r>
      <w:r w:rsidR="00C64050">
        <w:rPr>
          <w:szCs w:val="20"/>
        </w:rPr>
        <w:t xml:space="preserve"> </w:t>
      </w:r>
      <w:r w:rsidRPr="00072457">
        <w:rPr>
          <w:szCs w:val="20"/>
        </w:rPr>
        <w:t>through</w:t>
      </w:r>
      <w:r w:rsidR="00C64050">
        <w:rPr>
          <w:szCs w:val="20"/>
        </w:rPr>
        <w:t xml:space="preserve"> </w:t>
      </w:r>
      <w:r w:rsidRPr="00072457">
        <w:rPr>
          <w:szCs w:val="20"/>
        </w:rPr>
        <w:t>the</w:t>
      </w:r>
      <w:r w:rsidR="00C64050">
        <w:rPr>
          <w:szCs w:val="20"/>
        </w:rPr>
        <w:t xml:space="preserve"> </w:t>
      </w:r>
      <w:r w:rsidRPr="00072457">
        <w:rPr>
          <w:szCs w:val="20"/>
        </w:rPr>
        <w:t>footnotes</w:t>
      </w:r>
      <w:r w:rsidR="00C64050">
        <w:rPr>
          <w:szCs w:val="20"/>
        </w:rPr>
        <w:t xml:space="preserve"> </w:t>
      </w:r>
      <w:r w:rsidRPr="00072457">
        <w:rPr>
          <w:szCs w:val="20"/>
        </w:rPr>
        <w:t>of</w:t>
      </w:r>
      <w:r w:rsidR="00C64050">
        <w:rPr>
          <w:szCs w:val="20"/>
        </w:rPr>
        <w:t xml:space="preserve"> </w:t>
      </w:r>
      <w:r w:rsidRPr="00072457">
        <w:rPr>
          <w:szCs w:val="20"/>
        </w:rPr>
        <w:t>millions</w:t>
      </w:r>
      <w:r w:rsidR="00C64050">
        <w:rPr>
          <w:szCs w:val="20"/>
        </w:rPr>
        <w:t xml:space="preserve"> </w:t>
      </w:r>
      <w:r w:rsidRPr="00072457">
        <w:rPr>
          <w:szCs w:val="20"/>
        </w:rPr>
        <w:t>of</w:t>
      </w:r>
      <w:r w:rsidR="00C64050">
        <w:rPr>
          <w:szCs w:val="20"/>
        </w:rPr>
        <w:t xml:space="preserve"> </w:t>
      </w:r>
      <w:r w:rsidRPr="00072457">
        <w:rPr>
          <w:szCs w:val="20"/>
        </w:rPr>
        <w:t>returns.</w:t>
      </w:r>
      <w:r w:rsidR="00C64050">
        <w:rPr>
          <w:szCs w:val="20"/>
        </w:rPr>
        <w:t xml:space="preserve"> </w:t>
      </w:r>
      <w:r w:rsidRPr="00072457">
        <w:rPr>
          <w:szCs w:val="20"/>
        </w:rPr>
        <w:t>“The</w:t>
      </w:r>
      <w:r w:rsidR="00C64050">
        <w:rPr>
          <w:szCs w:val="20"/>
        </w:rPr>
        <w:t xml:space="preserve"> </w:t>
      </w:r>
      <w:r w:rsidRPr="00072457">
        <w:rPr>
          <w:szCs w:val="20"/>
        </w:rPr>
        <w:t>IRS</w:t>
      </w:r>
      <w:r w:rsidR="00C64050">
        <w:rPr>
          <w:szCs w:val="20"/>
        </w:rPr>
        <w:t xml:space="preserve"> </w:t>
      </w:r>
      <w:r w:rsidRPr="00072457">
        <w:rPr>
          <w:szCs w:val="20"/>
        </w:rPr>
        <w:t>reviews</w:t>
      </w:r>
      <w:r w:rsidR="00C64050">
        <w:rPr>
          <w:szCs w:val="20"/>
        </w:rPr>
        <w:t xml:space="preserve"> </w:t>
      </w:r>
      <w:r w:rsidRPr="00072457">
        <w:rPr>
          <w:szCs w:val="20"/>
        </w:rPr>
        <w:t>millions</w:t>
      </w:r>
      <w:r w:rsidR="00C64050">
        <w:rPr>
          <w:szCs w:val="20"/>
        </w:rPr>
        <w:t xml:space="preserve"> </w:t>
      </w:r>
      <w:r w:rsidRPr="00072457">
        <w:rPr>
          <w:szCs w:val="20"/>
        </w:rPr>
        <w:t>of</w:t>
      </w:r>
      <w:r w:rsidR="00C64050">
        <w:rPr>
          <w:szCs w:val="20"/>
        </w:rPr>
        <w:t xml:space="preserve"> </w:t>
      </w:r>
      <w:r w:rsidRPr="00072457">
        <w:rPr>
          <w:szCs w:val="20"/>
        </w:rPr>
        <w:t>returns</w:t>
      </w:r>
      <w:r w:rsidR="00C64050">
        <w:rPr>
          <w:szCs w:val="20"/>
        </w:rPr>
        <w:t xml:space="preserve"> </w:t>
      </w:r>
      <w:r w:rsidRPr="00072457">
        <w:rPr>
          <w:szCs w:val="20"/>
        </w:rPr>
        <w:t>each</w:t>
      </w:r>
      <w:r w:rsidR="00C64050">
        <w:rPr>
          <w:szCs w:val="20"/>
        </w:rPr>
        <w:t xml:space="preserve"> </w:t>
      </w:r>
      <w:r w:rsidRPr="00072457">
        <w:rPr>
          <w:szCs w:val="20"/>
        </w:rPr>
        <w:t>year</w:t>
      </w:r>
      <w:r w:rsidR="00C64050">
        <w:rPr>
          <w:szCs w:val="20"/>
        </w:rPr>
        <w:t xml:space="preserve"> </w:t>
      </w:r>
      <w:r w:rsidRPr="00072457">
        <w:rPr>
          <w:szCs w:val="20"/>
        </w:rPr>
        <w:t>for</w:t>
      </w:r>
      <w:r w:rsidR="00C64050">
        <w:rPr>
          <w:szCs w:val="20"/>
        </w:rPr>
        <w:t xml:space="preserve"> </w:t>
      </w:r>
      <w:r w:rsidRPr="00072457">
        <w:rPr>
          <w:szCs w:val="20"/>
        </w:rPr>
        <w:t>audit</w:t>
      </w:r>
      <w:r w:rsidR="00C64050">
        <w:rPr>
          <w:szCs w:val="20"/>
        </w:rPr>
        <w:t xml:space="preserve"> </w:t>
      </w:r>
      <w:r w:rsidRPr="00072457">
        <w:rPr>
          <w:szCs w:val="20"/>
        </w:rPr>
        <w:t>potential,</w:t>
      </w:r>
      <w:r w:rsidR="00C64050">
        <w:rPr>
          <w:szCs w:val="20"/>
        </w:rPr>
        <w:t xml:space="preserve"> </w:t>
      </w:r>
      <w:r w:rsidRPr="00072457">
        <w:rPr>
          <w:szCs w:val="20"/>
        </w:rPr>
        <w:t>and</w:t>
      </w:r>
      <w:r w:rsidR="00C64050">
        <w:rPr>
          <w:szCs w:val="20"/>
        </w:rPr>
        <w:t xml:space="preserve"> </w:t>
      </w:r>
      <w:r w:rsidRPr="00072457">
        <w:rPr>
          <w:szCs w:val="20"/>
        </w:rPr>
        <w:t>the</w:t>
      </w:r>
      <w:r w:rsidR="00C64050">
        <w:rPr>
          <w:szCs w:val="20"/>
        </w:rPr>
        <w:t xml:space="preserve"> </w:t>
      </w:r>
      <w:r w:rsidRPr="00072457">
        <w:rPr>
          <w:szCs w:val="20"/>
        </w:rPr>
        <w:t>disclosure</w:t>
      </w:r>
      <w:r w:rsidR="00C64050">
        <w:rPr>
          <w:szCs w:val="20"/>
        </w:rPr>
        <w:t xml:space="preserve"> </w:t>
      </w:r>
      <w:r w:rsidRPr="00072457">
        <w:rPr>
          <w:szCs w:val="20"/>
        </w:rPr>
        <w:t>of</w:t>
      </w:r>
      <w:r w:rsidR="00C64050">
        <w:rPr>
          <w:szCs w:val="20"/>
        </w:rPr>
        <w:t xml:space="preserve"> </w:t>
      </w:r>
      <w:r w:rsidRPr="00072457">
        <w:rPr>
          <w:szCs w:val="20"/>
        </w:rPr>
        <w:t>cost</w:t>
      </w:r>
      <w:r w:rsidR="00C64050">
        <w:rPr>
          <w:szCs w:val="20"/>
        </w:rPr>
        <w:t xml:space="preserve"> </w:t>
      </w:r>
      <w:r w:rsidRPr="00072457">
        <w:rPr>
          <w:szCs w:val="20"/>
        </w:rPr>
        <w:t>basis</w:t>
      </w:r>
      <w:r w:rsidR="00C64050">
        <w:rPr>
          <w:szCs w:val="20"/>
        </w:rPr>
        <w:t xml:space="preserve"> </w:t>
      </w:r>
      <w:r w:rsidRPr="00072457">
        <w:rPr>
          <w:szCs w:val="20"/>
        </w:rPr>
        <w:t>on</w:t>
      </w:r>
      <w:r w:rsidR="00C64050">
        <w:rPr>
          <w:szCs w:val="20"/>
        </w:rPr>
        <w:t xml:space="preserve"> </w:t>
      </w:r>
      <w:r w:rsidRPr="00072457">
        <w:rPr>
          <w:szCs w:val="20"/>
        </w:rPr>
        <w:t>the</w:t>
      </w:r>
      <w:r w:rsidR="00C64050">
        <w:rPr>
          <w:szCs w:val="20"/>
        </w:rPr>
        <w:t xml:space="preserve"> </w:t>
      </w:r>
      <w:r w:rsidRPr="00072457">
        <w:rPr>
          <w:szCs w:val="20"/>
        </w:rPr>
        <w:t>Form</w:t>
      </w:r>
      <w:r w:rsidR="00C64050">
        <w:rPr>
          <w:szCs w:val="20"/>
        </w:rPr>
        <w:t xml:space="preserve"> </w:t>
      </w:r>
      <w:r w:rsidRPr="00072457">
        <w:rPr>
          <w:szCs w:val="20"/>
        </w:rPr>
        <w:t>8283</w:t>
      </w:r>
      <w:r w:rsidR="00C64050">
        <w:rPr>
          <w:szCs w:val="20"/>
        </w:rPr>
        <w:t xml:space="preserve"> </w:t>
      </w:r>
      <w:r w:rsidRPr="00072457">
        <w:rPr>
          <w:szCs w:val="20"/>
        </w:rPr>
        <w:t>itself</w:t>
      </w:r>
      <w:r w:rsidR="00C64050">
        <w:rPr>
          <w:szCs w:val="20"/>
        </w:rPr>
        <w:t xml:space="preserve"> </w:t>
      </w:r>
      <w:r w:rsidRPr="00072457">
        <w:rPr>
          <w:szCs w:val="20"/>
        </w:rPr>
        <w:t>is</w:t>
      </w:r>
      <w:r w:rsidR="00C64050">
        <w:rPr>
          <w:szCs w:val="20"/>
        </w:rPr>
        <w:t xml:space="preserve"> </w:t>
      </w:r>
      <w:r w:rsidRPr="00072457">
        <w:rPr>
          <w:szCs w:val="20"/>
        </w:rPr>
        <w:t>necessary</w:t>
      </w:r>
      <w:r w:rsidR="00C64050">
        <w:rPr>
          <w:szCs w:val="20"/>
        </w:rPr>
        <w:t xml:space="preserve"> </w:t>
      </w:r>
      <w:r w:rsidRPr="00072457">
        <w:rPr>
          <w:szCs w:val="20"/>
        </w:rPr>
        <w:t>to</w:t>
      </w:r>
      <w:r w:rsidR="00C64050">
        <w:rPr>
          <w:szCs w:val="20"/>
        </w:rPr>
        <w:t xml:space="preserve"> </w:t>
      </w:r>
      <w:r w:rsidRPr="00072457">
        <w:rPr>
          <w:szCs w:val="20"/>
        </w:rPr>
        <w:t>make</w:t>
      </w:r>
      <w:r w:rsidR="00C64050">
        <w:rPr>
          <w:szCs w:val="20"/>
        </w:rPr>
        <w:t xml:space="preserve"> </w:t>
      </w:r>
      <w:r w:rsidRPr="00072457">
        <w:rPr>
          <w:szCs w:val="20"/>
        </w:rPr>
        <w:t>this</w:t>
      </w:r>
      <w:r w:rsidR="00C64050">
        <w:rPr>
          <w:szCs w:val="20"/>
        </w:rPr>
        <w:t xml:space="preserve"> </w:t>
      </w:r>
      <w:r w:rsidRPr="00072457">
        <w:rPr>
          <w:szCs w:val="20"/>
        </w:rPr>
        <w:t>process</w:t>
      </w:r>
      <w:r w:rsidR="00C64050">
        <w:rPr>
          <w:szCs w:val="20"/>
        </w:rPr>
        <w:t xml:space="preserve"> </w:t>
      </w:r>
      <w:r w:rsidRPr="00072457">
        <w:rPr>
          <w:szCs w:val="20"/>
        </w:rPr>
        <w:t>manageable.</w:t>
      </w:r>
      <w:r w:rsidR="00C64050">
        <w:rPr>
          <w:szCs w:val="20"/>
        </w:rPr>
        <w:t xml:space="preserve"> </w:t>
      </w:r>
      <w:r w:rsidRPr="00072457">
        <w:rPr>
          <w:szCs w:val="20"/>
        </w:rPr>
        <w:t>Revenue</w:t>
      </w:r>
      <w:r w:rsidR="00C64050">
        <w:rPr>
          <w:szCs w:val="20"/>
        </w:rPr>
        <w:t xml:space="preserve"> </w:t>
      </w:r>
      <w:r w:rsidRPr="00072457">
        <w:rPr>
          <w:szCs w:val="20"/>
        </w:rPr>
        <w:t>agents</w:t>
      </w:r>
      <w:r w:rsidR="00C64050">
        <w:rPr>
          <w:szCs w:val="20"/>
        </w:rPr>
        <w:t xml:space="preserve"> </w:t>
      </w:r>
      <w:r w:rsidRPr="00072457">
        <w:rPr>
          <w:szCs w:val="20"/>
        </w:rPr>
        <w:t>cannot</w:t>
      </w:r>
      <w:r w:rsidR="00C64050">
        <w:rPr>
          <w:szCs w:val="20"/>
        </w:rPr>
        <w:t xml:space="preserve"> </w:t>
      </w:r>
      <w:r w:rsidRPr="00072457">
        <w:rPr>
          <w:szCs w:val="20"/>
        </w:rPr>
        <w:t>be</w:t>
      </w:r>
      <w:r w:rsidR="00C64050">
        <w:rPr>
          <w:szCs w:val="20"/>
        </w:rPr>
        <w:t xml:space="preserve"> </w:t>
      </w:r>
      <w:r w:rsidRPr="00072457">
        <w:rPr>
          <w:szCs w:val="20"/>
        </w:rPr>
        <w:t>required</w:t>
      </w:r>
      <w:r w:rsidR="00C64050">
        <w:rPr>
          <w:szCs w:val="20"/>
        </w:rPr>
        <w:t xml:space="preserve"> </w:t>
      </w:r>
      <w:r w:rsidRPr="00072457">
        <w:rPr>
          <w:szCs w:val="20"/>
        </w:rPr>
        <w:t>to</w:t>
      </w:r>
      <w:r w:rsidR="00C64050">
        <w:rPr>
          <w:szCs w:val="20"/>
        </w:rPr>
        <w:t xml:space="preserve"> </w:t>
      </w:r>
      <w:r w:rsidRPr="00072457">
        <w:rPr>
          <w:szCs w:val="20"/>
        </w:rPr>
        <w:t>sift</w:t>
      </w:r>
      <w:r w:rsidR="00C64050">
        <w:rPr>
          <w:szCs w:val="20"/>
        </w:rPr>
        <w:t xml:space="preserve"> </w:t>
      </w:r>
      <w:r w:rsidRPr="00072457">
        <w:rPr>
          <w:szCs w:val="20"/>
        </w:rPr>
        <w:t>through</w:t>
      </w:r>
      <w:r w:rsidR="00C64050">
        <w:rPr>
          <w:szCs w:val="20"/>
        </w:rPr>
        <w:t xml:space="preserve"> </w:t>
      </w:r>
      <w:r w:rsidRPr="00072457">
        <w:rPr>
          <w:szCs w:val="20"/>
        </w:rPr>
        <w:t>dozens</w:t>
      </w:r>
      <w:r w:rsidR="00C64050">
        <w:rPr>
          <w:szCs w:val="20"/>
        </w:rPr>
        <w:t xml:space="preserve"> </w:t>
      </w:r>
      <w:r w:rsidRPr="00072457">
        <w:rPr>
          <w:szCs w:val="20"/>
        </w:rPr>
        <w:t>or</w:t>
      </w:r>
      <w:r w:rsidR="00C64050">
        <w:rPr>
          <w:szCs w:val="20"/>
        </w:rPr>
        <w:t xml:space="preserve"> </w:t>
      </w:r>
      <w:r w:rsidRPr="00072457">
        <w:rPr>
          <w:szCs w:val="20"/>
        </w:rPr>
        <w:t>hundreds</w:t>
      </w:r>
      <w:r w:rsidR="00C64050">
        <w:rPr>
          <w:szCs w:val="20"/>
        </w:rPr>
        <w:t xml:space="preserve"> </w:t>
      </w:r>
      <w:r w:rsidRPr="00072457">
        <w:rPr>
          <w:szCs w:val="20"/>
        </w:rPr>
        <w:t>of</w:t>
      </w:r>
      <w:r w:rsidR="00C64050">
        <w:rPr>
          <w:szCs w:val="20"/>
        </w:rPr>
        <w:t xml:space="preserve"> </w:t>
      </w:r>
      <w:r w:rsidRPr="00072457">
        <w:rPr>
          <w:szCs w:val="20"/>
        </w:rPr>
        <w:t>pages</w:t>
      </w:r>
      <w:r w:rsidR="00C64050">
        <w:rPr>
          <w:szCs w:val="20"/>
        </w:rPr>
        <w:t xml:space="preserve"> </w:t>
      </w:r>
      <w:r w:rsidRPr="00072457">
        <w:rPr>
          <w:szCs w:val="20"/>
        </w:rPr>
        <w:t>of</w:t>
      </w:r>
      <w:r w:rsidR="00C64050">
        <w:rPr>
          <w:szCs w:val="20"/>
        </w:rPr>
        <w:t xml:space="preserve"> </w:t>
      </w:r>
      <w:r w:rsidRPr="00072457">
        <w:rPr>
          <w:szCs w:val="20"/>
        </w:rPr>
        <w:t>complex</w:t>
      </w:r>
      <w:r w:rsidR="00C64050">
        <w:rPr>
          <w:szCs w:val="20"/>
        </w:rPr>
        <w:t xml:space="preserve"> </w:t>
      </w:r>
      <w:r w:rsidRPr="00072457">
        <w:rPr>
          <w:szCs w:val="20"/>
        </w:rPr>
        <w:t>returns</w:t>
      </w:r>
      <w:r w:rsidR="00C64050">
        <w:rPr>
          <w:szCs w:val="20"/>
        </w:rPr>
        <w:t xml:space="preserve"> </w:t>
      </w:r>
      <w:r w:rsidRPr="00072457">
        <w:rPr>
          <w:szCs w:val="20"/>
        </w:rPr>
        <w:t>looking</w:t>
      </w:r>
      <w:r w:rsidR="00C64050">
        <w:rPr>
          <w:szCs w:val="20"/>
        </w:rPr>
        <w:t xml:space="preserve"> </w:t>
      </w:r>
      <w:r w:rsidRPr="00072457">
        <w:rPr>
          <w:szCs w:val="20"/>
        </w:rPr>
        <w:t>for</w:t>
      </w:r>
      <w:r w:rsidR="00C64050">
        <w:rPr>
          <w:szCs w:val="20"/>
        </w:rPr>
        <w:t xml:space="preserve"> </w:t>
      </w:r>
      <w:r w:rsidRPr="00072457">
        <w:rPr>
          <w:szCs w:val="20"/>
        </w:rPr>
        <w:t>clues</w:t>
      </w:r>
      <w:r w:rsidR="00C64050">
        <w:rPr>
          <w:szCs w:val="20"/>
        </w:rPr>
        <w:t xml:space="preserve"> </w:t>
      </w:r>
      <w:r w:rsidRPr="00072457">
        <w:rPr>
          <w:szCs w:val="20"/>
        </w:rPr>
        <w:t>about</w:t>
      </w:r>
      <w:r w:rsidR="00C64050">
        <w:rPr>
          <w:szCs w:val="20"/>
        </w:rPr>
        <w:t xml:space="preserve"> </w:t>
      </w:r>
      <w:r w:rsidRPr="00072457">
        <w:rPr>
          <w:szCs w:val="20"/>
        </w:rPr>
        <w:t>what</w:t>
      </w:r>
      <w:r w:rsidR="00C64050">
        <w:rPr>
          <w:szCs w:val="20"/>
        </w:rPr>
        <w:t xml:space="preserve"> </w:t>
      </w:r>
      <w:r w:rsidRPr="00072457">
        <w:rPr>
          <w:szCs w:val="20"/>
        </w:rPr>
        <w:t>the</w:t>
      </w:r>
      <w:r w:rsidR="00C64050">
        <w:rPr>
          <w:szCs w:val="20"/>
        </w:rPr>
        <w:t xml:space="preserve"> </w:t>
      </w:r>
      <w:r w:rsidRPr="00072457">
        <w:rPr>
          <w:szCs w:val="20"/>
        </w:rPr>
        <w:t>taxpayer's</w:t>
      </w:r>
      <w:r w:rsidR="00C64050">
        <w:rPr>
          <w:szCs w:val="20"/>
        </w:rPr>
        <w:t xml:space="preserve"> </w:t>
      </w:r>
      <w:r w:rsidRPr="00072457">
        <w:rPr>
          <w:szCs w:val="20"/>
        </w:rPr>
        <w:t>cost</w:t>
      </w:r>
      <w:r w:rsidR="00C64050">
        <w:rPr>
          <w:szCs w:val="20"/>
        </w:rPr>
        <w:t xml:space="preserve"> </w:t>
      </w:r>
      <w:r w:rsidRPr="00072457">
        <w:rPr>
          <w:szCs w:val="20"/>
        </w:rPr>
        <w:t>basis</w:t>
      </w:r>
      <w:r w:rsidR="00C64050">
        <w:rPr>
          <w:szCs w:val="20"/>
        </w:rPr>
        <w:t xml:space="preserve"> </w:t>
      </w:r>
      <w:r w:rsidRPr="00072457">
        <w:rPr>
          <w:szCs w:val="20"/>
        </w:rPr>
        <w:t>might</w:t>
      </w:r>
      <w:r w:rsidR="00C64050">
        <w:rPr>
          <w:szCs w:val="20"/>
        </w:rPr>
        <w:t xml:space="preserve"> </w:t>
      </w:r>
      <w:r w:rsidRPr="00072457">
        <w:rPr>
          <w:szCs w:val="20"/>
        </w:rPr>
        <w:t>be.”</w:t>
      </w:r>
      <w:r w:rsidR="00C64050">
        <w:rPr>
          <w:szCs w:val="20"/>
        </w:rPr>
        <w:t xml:space="preserve"> </w:t>
      </w:r>
      <w:r w:rsidRPr="00072457">
        <w:rPr>
          <w:szCs w:val="20"/>
          <w:u w:val="single"/>
        </w:rPr>
        <w:t>Belair</w:t>
      </w:r>
      <w:r w:rsidR="00C64050">
        <w:rPr>
          <w:szCs w:val="20"/>
          <w:u w:val="single"/>
        </w:rPr>
        <w:t xml:space="preserve"> </w:t>
      </w:r>
      <w:r w:rsidRPr="00072457">
        <w:rPr>
          <w:szCs w:val="20"/>
          <w:u w:val="single"/>
        </w:rPr>
        <w:t>Woods,</w:t>
      </w:r>
      <w:r w:rsidR="00C64050">
        <w:rPr>
          <w:szCs w:val="20"/>
          <w:u w:val="single"/>
        </w:rPr>
        <w:t xml:space="preserve"> </w:t>
      </w:r>
      <w:r w:rsidRPr="00072457">
        <w:rPr>
          <w:szCs w:val="20"/>
          <w:u w:val="single"/>
        </w:rPr>
        <w:t>LLC</w:t>
      </w:r>
      <w:r w:rsidR="00C64050">
        <w:rPr>
          <w:szCs w:val="20"/>
          <w:u w:val="single"/>
        </w:rPr>
        <w:t xml:space="preserve"> </w:t>
      </w:r>
      <w:r w:rsidRPr="00072457">
        <w:rPr>
          <w:szCs w:val="20"/>
          <w:u w:val="single"/>
        </w:rPr>
        <w:t>v.</w:t>
      </w:r>
      <w:r w:rsidR="00C64050">
        <w:rPr>
          <w:szCs w:val="20"/>
          <w:u w:val="single"/>
        </w:rPr>
        <w:t xml:space="preserve"> </w:t>
      </w:r>
      <w:r w:rsidRPr="00072457">
        <w:rPr>
          <w:szCs w:val="20"/>
          <w:u w:val="single"/>
        </w:rPr>
        <w:t>Commissioner</w:t>
      </w:r>
      <w:r w:rsidRPr="00072457">
        <w:rPr>
          <w:szCs w:val="20"/>
        </w:rPr>
        <w:t>,</w:t>
      </w:r>
      <w:r w:rsidR="00C64050">
        <w:rPr>
          <w:szCs w:val="20"/>
        </w:rPr>
        <w:t xml:space="preserve"> </w:t>
      </w:r>
      <w:r w:rsidRPr="00072457">
        <w:rPr>
          <w:szCs w:val="20"/>
        </w:rPr>
        <w:t>at</w:t>
      </w:r>
      <w:r w:rsidR="00C64050">
        <w:rPr>
          <w:szCs w:val="20"/>
        </w:rPr>
        <w:t xml:space="preserve"> </w:t>
      </w:r>
      <w:r w:rsidRPr="00072457">
        <w:rPr>
          <w:szCs w:val="20"/>
        </w:rPr>
        <w:t>*20.</w:t>
      </w:r>
      <w:r w:rsidR="00C64050">
        <w:rPr>
          <w:szCs w:val="20"/>
        </w:rPr>
        <w:t xml:space="preserve"> </w:t>
      </w:r>
      <w:r w:rsidRPr="00072457">
        <w:rPr>
          <w:szCs w:val="20"/>
        </w:rPr>
        <w:t>“If</w:t>
      </w:r>
      <w:r w:rsidR="00C64050">
        <w:rPr>
          <w:szCs w:val="20"/>
        </w:rPr>
        <w:t xml:space="preserve"> </w:t>
      </w:r>
      <w:r w:rsidRPr="00072457">
        <w:rPr>
          <w:szCs w:val="20"/>
        </w:rPr>
        <w:t>cost</w:t>
      </w:r>
      <w:r w:rsidR="00C64050">
        <w:rPr>
          <w:szCs w:val="20"/>
        </w:rPr>
        <w:t xml:space="preserve"> </w:t>
      </w:r>
      <w:r w:rsidRPr="00072457">
        <w:rPr>
          <w:szCs w:val="20"/>
        </w:rPr>
        <w:t>basis</w:t>
      </w:r>
      <w:r w:rsidR="00C64050">
        <w:rPr>
          <w:szCs w:val="20"/>
        </w:rPr>
        <w:t xml:space="preserve"> </w:t>
      </w:r>
      <w:r w:rsidRPr="00072457">
        <w:rPr>
          <w:szCs w:val="20"/>
        </w:rPr>
        <w:t>is</w:t>
      </w:r>
      <w:r w:rsidR="00C64050">
        <w:rPr>
          <w:szCs w:val="20"/>
        </w:rPr>
        <w:t xml:space="preserve"> </w:t>
      </w:r>
      <w:r w:rsidRPr="00072457">
        <w:rPr>
          <w:szCs w:val="20"/>
        </w:rPr>
        <w:t>not</w:t>
      </w:r>
      <w:r w:rsidR="00C64050">
        <w:rPr>
          <w:szCs w:val="20"/>
        </w:rPr>
        <w:t xml:space="preserve"> </w:t>
      </w:r>
      <w:r w:rsidRPr="00072457">
        <w:rPr>
          <w:szCs w:val="20"/>
        </w:rPr>
        <w:t>explicitly</w:t>
      </w:r>
      <w:r w:rsidR="00C64050">
        <w:rPr>
          <w:szCs w:val="20"/>
        </w:rPr>
        <w:t xml:space="preserve"> </w:t>
      </w:r>
      <w:r w:rsidRPr="00072457">
        <w:rPr>
          <w:szCs w:val="20"/>
        </w:rPr>
        <w:t>disclosed</w:t>
      </w:r>
      <w:r w:rsidR="00C64050">
        <w:rPr>
          <w:szCs w:val="20"/>
        </w:rPr>
        <w:t xml:space="preserve"> </w:t>
      </w:r>
      <w:r w:rsidRPr="00072457">
        <w:rPr>
          <w:szCs w:val="20"/>
        </w:rPr>
        <w:t>where</w:t>
      </w:r>
      <w:r w:rsidR="00C64050">
        <w:rPr>
          <w:szCs w:val="20"/>
        </w:rPr>
        <w:t xml:space="preserve"> </w:t>
      </w:r>
      <w:r w:rsidRPr="00072457">
        <w:rPr>
          <w:szCs w:val="20"/>
        </w:rPr>
        <w:t>it</w:t>
      </w:r>
      <w:r w:rsidR="00C64050">
        <w:rPr>
          <w:szCs w:val="20"/>
        </w:rPr>
        <w:t xml:space="preserve"> </w:t>
      </w:r>
      <w:r w:rsidRPr="00072457">
        <w:rPr>
          <w:szCs w:val="20"/>
        </w:rPr>
        <w:t>is</w:t>
      </w:r>
      <w:r w:rsidR="00C64050">
        <w:rPr>
          <w:szCs w:val="20"/>
        </w:rPr>
        <w:t xml:space="preserve"> </w:t>
      </w:r>
      <w:r w:rsidRPr="00072457">
        <w:rPr>
          <w:szCs w:val="20"/>
        </w:rPr>
        <w:t>required</w:t>
      </w:r>
      <w:r w:rsidR="00C64050">
        <w:rPr>
          <w:szCs w:val="20"/>
        </w:rPr>
        <w:t xml:space="preserve"> </w:t>
      </w:r>
      <w:r w:rsidRPr="00072457">
        <w:rPr>
          <w:szCs w:val="20"/>
        </w:rPr>
        <w:t>to</w:t>
      </w:r>
      <w:r w:rsidR="00C64050">
        <w:rPr>
          <w:szCs w:val="20"/>
        </w:rPr>
        <w:t xml:space="preserve"> </w:t>
      </w:r>
      <w:r w:rsidRPr="00072457">
        <w:rPr>
          <w:szCs w:val="20"/>
        </w:rPr>
        <w:t>be</w:t>
      </w:r>
      <w:r w:rsidR="00C64050">
        <w:rPr>
          <w:szCs w:val="20"/>
        </w:rPr>
        <w:t xml:space="preserve"> </w:t>
      </w:r>
      <w:r w:rsidRPr="00072457">
        <w:rPr>
          <w:szCs w:val="20"/>
        </w:rPr>
        <w:t>disclosed,</w:t>
      </w:r>
      <w:r w:rsidR="00C64050">
        <w:rPr>
          <w:szCs w:val="20"/>
        </w:rPr>
        <w:t xml:space="preserve"> </w:t>
      </w:r>
      <w:r w:rsidRPr="00072457">
        <w:rPr>
          <w:szCs w:val="20"/>
        </w:rPr>
        <w:t>the</w:t>
      </w:r>
      <w:r w:rsidR="00C64050">
        <w:rPr>
          <w:szCs w:val="20"/>
        </w:rPr>
        <w:t xml:space="preserve"> </w:t>
      </w:r>
      <w:r w:rsidRPr="00072457">
        <w:rPr>
          <w:szCs w:val="20"/>
        </w:rPr>
        <w:t>Commissioner</w:t>
      </w:r>
      <w:r w:rsidR="00C64050">
        <w:rPr>
          <w:szCs w:val="20"/>
        </w:rPr>
        <w:t xml:space="preserve"> </w:t>
      </w:r>
      <w:r w:rsidRPr="00072457">
        <w:rPr>
          <w:szCs w:val="20"/>
        </w:rPr>
        <w:t>will</w:t>
      </w:r>
      <w:r w:rsidR="00C64050">
        <w:rPr>
          <w:szCs w:val="20"/>
        </w:rPr>
        <w:t xml:space="preserve"> </w:t>
      </w:r>
      <w:r w:rsidRPr="00072457">
        <w:rPr>
          <w:szCs w:val="20"/>
        </w:rPr>
        <w:t>be</w:t>
      </w:r>
      <w:r w:rsidR="00C64050">
        <w:rPr>
          <w:szCs w:val="20"/>
        </w:rPr>
        <w:t xml:space="preserve"> </w:t>
      </w:r>
      <w:r w:rsidRPr="00072457">
        <w:rPr>
          <w:szCs w:val="20"/>
        </w:rPr>
        <w:t>handicapped</w:t>
      </w:r>
      <w:r w:rsidR="00C64050">
        <w:rPr>
          <w:szCs w:val="20"/>
        </w:rPr>
        <w:t xml:space="preserve"> </w:t>
      </w:r>
      <w:r w:rsidRPr="00072457">
        <w:rPr>
          <w:szCs w:val="20"/>
        </w:rPr>
        <w:t>in</w:t>
      </w:r>
      <w:r w:rsidR="00C64050">
        <w:rPr>
          <w:szCs w:val="20"/>
        </w:rPr>
        <w:t xml:space="preserve"> </w:t>
      </w:r>
      <w:r w:rsidRPr="00072457">
        <w:rPr>
          <w:szCs w:val="20"/>
        </w:rPr>
        <w:t>identifying</w:t>
      </w:r>
      <w:r w:rsidR="00C64050">
        <w:rPr>
          <w:szCs w:val="20"/>
        </w:rPr>
        <w:t xml:space="preserve"> </w:t>
      </w:r>
      <w:r w:rsidRPr="00072457">
        <w:rPr>
          <w:szCs w:val="20"/>
        </w:rPr>
        <w:t>suspicious</w:t>
      </w:r>
      <w:r w:rsidR="00C64050">
        <w:rPr>
          <w:szCs w:val="20"/>
        </w:rPr>
        <w:t xml:space="preserve"> </w:t>
      </w:r>
      <w:r w:rsidRPr="00072457">
        <w:rPr>
          <w:szCs w:val="20"/>
        </w:rPr>
        <w:t>charitable</w:t>
      </w:r>
      <w:r w:rsidR="00C64050">
        <w:rPr>
          <w:szCs w:val="20"/>
        </w:rPr>
        <w:t xml:space="preserve"> </w:t>
      </w:r>
      <w:r w:rsidRPr="00072457">
        <w:rPr>
          <w:szCs w:val="20"/>
        </w:rPr>
        <w:t>deductions</w:t>
      </w:r>
      <w:r w:rsidR="00C64050">
        <w:rPr>
          <w:szCs w:val="20"/>
        </w:rPr>
        <w:t xml:space="preserve"> </w:t>
      </w:r>
      <w:r w:rsidRPr="00072457">
        <w:rPr>
          <w:szCs w:val="20"/>
        </w:rPr>
        <w:t>and</w:t>
      </w:r>
      <w:r w:rsidR="00C64050">
        <w:rPr>
          <w:szCs w:val="20"/>
        </w:rPr>
        <w:t xml:space="preserve"> </w:t>
      </w:r>
      <w:r w:rsidRPr="00072457">
        <w:rPr>
          <w:szCs w:val="20"/>
        </w:rPr>
        <w:t>deterring</w:t>
      </w:r>
      <w:r w:rsidR="00C64050">
        <w:rPr>
          <w:szCs w:val="20"/>
        </w:rPr>
        <w:t xml:space="preserve"> </w:t>
      </w:r>
      <w:r w:rsidRPr="00072457">
        <w:rPr>
          <w:szCs w:val="20"/>
        </w:rPr>
        <w:t>taxpayers</w:t>
      </w:r>
      <w:r w:rsidR="00C64050">
        <w:rPr>
          <w:szCs w:val="20"/>
        </w:rPr>
        <w:t xml:space="preserve"> </w:t>
      </w:r>
      <w:r w:rsidRPr="00072457">
        <w:rPr>
          <w:szCs w:val="20"/>
        </w:rPr>
        <w:t>from</w:t>
      </w:r>
      <w:r w:rsidR="00C64050">
        <w:rPr>
          <w:szCs w:val="20"/>
        </w:rPr>
        <w:t xml:space="preserve"> </w:t>
      </w:r>
      <w:r w:rsidRPr="00072457">
        <w:rPr>
          <w:szCs w:val="20"/>
        </w:rPr>
        <w:t>‘continu[ing]</w:t>
      </w:r>
      <w:r w:rsidR="00C64050">
        <w:rPr>
          <w:szCs w:val="20"/>
        </w:rPr>
        <w:t xml:space="preserve"> </w:t>
      </w:r>
      <w:r w:rsidRPr="00072457">
        <w:rPr>
          <w:szCs w:val="20"/>
        </w:rPr>
        <w:t>to</w:t>
      </w:r>
      <w:r w:rsidR="00C64050">
        <w:rPr>
          <w:szCs w:val="20"/>
        </w:rPr>
        <w:t xml:space="preserve"> </w:t>
      </w:r>
      <w:r w:rsidRPr="00072457">
        <w:rPr>
          <w:szCs w:val="20"/>
        </w:rPr>
        <w:t>play</w:t>
      </w:r>
      <w:r w:rsidR="00C64050">
        <w:rPr>
          <w:szCs w:val="20"/>
        </w:rPr>
        <w:t xml:space="preserve"> </w:t>
      </w:r>
      <w:r w:rsidRPr="00072457">
        <w:rPr>
          <w:szCs w:val="20"/>
        </w:rPr>
        <w:t>the</w:t>
      </w:r>
      <w:r w:rsidR="00C64050">
        <w:rPr>
          <w:szCs w:val="20"/>
        </w:rPr>
        <w:t xml:space="preserve"> </w:t>
      </w:r>
      <w:r w:rsidRPr="00072457">
        <w:rPr>
          <w:szCs w:val="20"/>
        </w:rPr>
        <w:t>“audit</w:t>
      </w:r>
      <w:r w:rsidR="00C64050">
        <w:rPr>
          <w:szCs w:val="20"/>
        </w:rPr>
        <w:t xml:space="preserve"> </w:t>
      </w:r>
      <w:r w:rsidRPr="00072457">
        <w:rPr>
          <w:szCs w:val="20"/>
        </w:rPr>
        <w:t>lottery.”</w:t>
      </w:r>
      <w:r w:rsidR="00C64050">
        <w:rPr>
          <w:szCs w:val="20"/>
        </w:rPr>
        <w:t xml:space="preserve"> </w:t>
      </w:r>
      <w:r w:rsidRPr="00072457">
        <w:rPr>
          <w:szCs w:val="20"/>
        </w:rPr>
        <w:t>’</w:t>
      </w:r>
      <w:r w:rsidR="00C64050">
        <w:rPr>
          <w:szCs w:val="20"/>
        </w:rPr>
        <w:t xml:space="preserve"> </w:t>
      </w:r>
      <w:r w:rsidRPr="00072457">
        <w:rPr>
          <w:szCs w:val="20"/>
        </w:rPr>
        <w:t>”</w:t>
      </w:r>
      <w:r w:rsidR="00C64050">
        <w:rPr>
          <w:szCs w:val="20"/>
        </w:rPr>
        <w:t xml:space="preserve"> </w:t>
      </w:r>
      <w:r w:rsidRPr="00072457">
        <w:rPr>
          <w:szCs w:val="20"/>
          <w:u w:val="single"/>
        </w:rPr>
        <w:t>Id.</w:t>
      </w:r>
      <w:r w:rsidRPr="00072457">
        <w:rPr>
          <w:szCs w:val="20"/>
        </w:rPr>
        <w:t>(quoting</w:t>
      </w:r>
      <w:r w:rsidR="00C64050">
        <w:rPr>
          <w:szCs w:val="20"/>
        </w:rPr>
        <w:t xml:space="preserve"> </w:t>
      </w:r>
      <w:r w:rsidRPr="00072457">
        <w:rPr>
          <w:szCs w:val="20"/>
        </w:rPr>
        <w:t>S.</w:t>
      </w:r>
      <w:r w:rsidR="00C64050">
        <w:rPr>
          <w:szCs w:val="20"/>
        </w:rPr>
        <w:t xml:space="preserve"> </w:t>
      </w:r>
      <w:r w:rsidRPr="00072457">
        <w:rPr>
          <w:szCs w:val="20"/>
        </w:rPr>
        <w:t>Prt.</w:t>
      </w:r>
      <w:r w:rsidR="00C64050">
        <w:rPr>
          <w:szCs w:val="20"/>
        </w:rPr>
        <w:t xml:space="preserve"> </w:t>
      </w:r>
      <w:r w:rsidRPr="00072457">
        <w:rPr>
          <w:szCs w:val="20"/>
        </w:rPr>
        <w:t>No.</w:t>
      </w:r>
      <w:r w:rsidR="00C64050">
        <w:rPr>
          <w:szCs w:val="20"/>
        </w:rPr>
        <w:t xml:space="preserve"> </w:t>
      </w:r>
      <w:r w:rsidRPr="00072457">
        <w:rPr>
          <w:szCs w:val="20"/>
        </w:rPr>
        <w:t>98-169</w:t>
      </w:r>
      <w:r w:rsidR="00C64050">
        <w:rPr>
          <w:szCs w:val="20"/>
        </w:rPr>
        <w:t xml:space="preserve"> </w:t>
      </w:r>
      <w:r w:rsidRPr="00072457">
        <w:rPr>
          <w:szCs w:val="20"/>
        </w:rPr>
        <w:t>(Vol.</w:t>
      </w:r>
      <w:r w:rsidR="00C64050">
        <w:rPr>
          <w:szCs w:val="20"/>
        </w:rPr>
        <w:t xml:space="preserve"> </w:t>
      </w:r>
      <w:r w:rsidRPr="00072457">
        <w:rPr>
          <w:szCs w:val="20"/>
        </w:rPr>
        <w:t>1),</w:t>
      </w:r>
      <w:r w:rsidR="00C64050">
        <w:rPr>
          <w:szCs w:val="20"/>
        </w:rPr>
        <w:t xml:space="preserve"> </w:t>
      </w:r>
      <w:r w:rsidRPr="00072457">
        <w:rPr>
          <w:szCs w:val="20"/>
        </w:rPr>
        <w:t>at</w:t>
      </w:r>
      <w:r w:rsidR="00C64050">
        <w:rPr>
          <w:szCs w:val="20"/>
        </w:rPr>
        <w:t xml:space="preserve"> </w:t>
      </w:r>
      <w:r w:rsidRPr="00072457">
        <w:rPr>
          <w:szCs w:val="20"/>
        </w:rPr>
        <w:t>444</w:t>
      </w:r>
      <w:r w:rsidR="00C64050">
        <w:rPr>
          <w:szCs w:val="20"/>
        </w:rPr>
        <w:t xml:space="preserve"> </w:t>
      </w:r>
      <w:r w:rsidRPr="00072457">
        <w:rPr>
          <w:szCs w:val="20"/>
        </w:rPr>
        <w:t>(1984)).</w:t>
      </w:r>
      <w:r w:rsidR="00C64050">
        <w:rPr>
          <w:szCs w:val="20"/>
        </w:rPr>
        <w:t xml:space="preserve"> </w:t>
      </w:r>
      <w:r w:rsidRPr="00072457">
        <w:rPr>
          <w:szCs w:val="20"/>
        </w:rPr>
        <w:t>That</w:t>
      </w:r>
      <w:r w:rsidR="00C64050">
        <w:rPr>
          <w:szCs w:val="20"/>
        </w:rPr>
        <w:t xml:space="preserve"> </w:t>
      </w:r>
      <w:r w:rsidRPr="00072457">
        <w:rPr>
          <w:szCs w:val="20"/>
        </w:rPr>
        <w:t>is</w:t>
      </w:r>
      <w:r w:rsidR="00C64050">
        <w:rPr>
          <w:szCs w:val="20"/>
        </w:rPr>
        <w:t xml:space="preserve"> </w:t>
      </w:r>
      <w:r w:rsidRPr="00072457">
        <w:rPr>
          <w:szCs w:val="20"/>
        </w:rPr>
        <w:t>why</w:t>
      </w:r>
      <w:r w:rsidR="00C64050">
        <w:rPr>
          <w:szCs w:val="20"/>
        </w:rPr>
        <w:t xml:space="preserve"> </w:t>
      </w:r>
      <w:r w:rsidRPr="00072457">
        <w:rPr>
          <w:szCs w:val="20"/>
        </w:rPr>
        <w:t>we</w:t>
      </w:r>
      <w:r w:rsidR="00C64050">
        <w:rPr>
          <w:szCs w:val="20"/>
        </w:rPr>
        <w:t xml:space="preserve"> </w:t>
      </w:r>
      <w:r w:rsidRPr="00072457">
        <w:rPr>
          <w:szCs w:val="20"/>
        </w:rPr>
        <w:t>ruled</w:t>
      </w:r>
      <w:r w:rsidR="00C64050">
        <w:rPr>
          <w:szCs w:val="20"/>
        </w:rPr>
        <w:t xml:space="preserve"> </w:t>
      </w:r>
      <w:r w:rsidRPr="00072457">
        <w:rPr>
          <w:szCs w:val="20"/>
        </w:rPr>
        <w:t>as</w:t>
      </w:r>
      <w:r w:rsidR="00C64050">
        <w:rPr>
          <w:szCs w:val="20"/>
        </w:rPr>
        <w:t xml:space="preserve"> </w:t>
      </w:r>
      <w:r w:rsidRPr="00072457">
        <w:rPr>
          <w:szCs w:val="20"/>
        </w:rPr>
        <w:t>we</w:t>
      </w:r>
      <w:r w:rsidR="00C64050">
        <w:rPr>
          <w:szCs w:val="20"/>
        </w:rPr>
        <w:t xml:space="preserve"> </w:t>
      </w:r>
      <w:r w:rsidRPr="00072457">
        <w:rPr>
          <w:szCs w:val="20"/>
        </w:rPr>
        <w:t>did</w:t>
      </w:r>
      <w:r w:rsidR="00C64050">
        <w:rPr>
          <w:szCs w:val="20"/>
        </w:rPr>
        <w:t xml:space="preserve"> </w:t>
      </w:r>
      <w:r w:rsidRPr="00072457">
        <w:rPr>
          <w:szCs w:val="20"/>
        </w:rPr>
        <w:t>in</w:t>
      </w:r>
      <w:r w:rsidR="00C64050">
        <w:rPr>
          <w:szCs w:val="20"/>
        </w:rPr>
        <w:t xml:space="preserve"> </w:t>
      </w:r>
      <w:r w:rsidRPr="00072457">
        <w:rPr>
          <w:szCs w:val="20"/>
          <w:u w:val="single"/>
        </w:rPr>
        <w:t>RERI</w:t>
      </w:r>
      <w:r w:rsidR="00C64050">
        <w:rPr>
          <w:szCs w:val="20"/>
        </w:rPr>
        <w:t xml:space="preserve"> </w:t>
      </w:r>
      <w:r w:rsidRPr="00072457">
        <w:rPr>
          <w:szCs w:val="20"/>
        </w:rPr>
        <w:t>and</w:t>
      </w:r>
      <w:r w:rsidR="00C64050">
        <w:rPr>
          <w:szCs w:val="20"/>
        </w:rPr>
        <w:t xml:space="preserve"> </w:t>
      </w:r>
      <w:r w:rsidRPr="00072457">
        <w:rPr>
          <w:szCs w:val="20"/>
          <w:u w:val="single"/>
        </w:rPr>
        <w:t>Belair</w:t>
      </w:r>
      <w:r w:rsidR="00C64050">
        <w:rPr>
          <w:szCs w:val="20"/>
          <w:u w:val="single"/>
        </w:rPr>
        <w:t xml:space="preserve"> </w:t>
      </w:r>
      <w:r w:rsidRPr="00072457">
        <w:rPr>
          <w:szCs w:val="20"/>
          <w:u w:val="single"/>
        </w:rPr>
        <w:t>Woods</w:t>
      </w:r>
      <w:r w:rsidR="00C64050">
        <w:rPr>
          <w:szCs w:val="20"/>
        </w:rPr>
        <w:t xml:space="preserve"> </w:t>
      </w:r>
      <w:r w:rsidRPr="00072457">
        <w:rPr>
          <w:szCs w:val="20"/>
        </w:rPr>
        <w:t>and</w:t>
      </w:r>
      <w:r w:rsidR="00C64050">
        <w:rPr>
          <w:szCs w:val="20"/>
        </w:rPr>
        <w:t xml:space="preserve"> </w:t>
      </w:r>
      <w:r w:rsidRPr="00072457">
        <w:rPr>
          <w:szCs w:val="20"/>
        </w:rPr>
        <w:t>why</w:t>
      </w:r>
      <w:r w:rsidR="00C64050">
        <w:rPr>
          <w:szCs w:val="20"/>
        </w:rPr>
        <w:t xml:space="preserve"> </w:t>
      </w:r>
      <w:r w:rsidRPr="00072457">
        <w:rPr>
          <w:szCs w:val="20"/>
        </w:rPr>
        <w:t>we</w:t>
      </w:r>
      <w:r w:rsidR="00C64050">
        <w:rPr>
          <w:szCs w:val="20"/>
        </w:rPr>
        <w:t xml:space="preserve"> </w:t>
      </w:r>
      <w:r w:rsidRPr="00072457">
        <w:rPr>
          <w:szCs w:val="20"/>
        </w:rPr>
        <w:t>rule</w:t>
      </w:r>
      <w:r w:rsidR="00C64050">
        <w:rPr>
          <w:szCs w:val="20"/>
        </w:rPr>
        <w:t xml:space="preserve"> </w:t>
      </w:r>
      <w:r w:rsidRPr="00072457">
        <w:rPr>
          <w:szCs w:val="20"/>
        </w:rPr>
        <w:t>as</w:t>
      </w:r>
      <w:r w:rsidR="00C64050">
        <w:rPr>
          <w:szCs w:val="20"/>
        </w:rPr>
        <w:t xml:space="preserve"> </w:t>
      </w:r>
      <w:r w:rsidRPr="00072457">
        <w:rPr>
          <w:szCs w:val="20"/>
        </w:rPr>
        <w:t>we</w:t>
      </w:r>
      <w:r w:rsidR="00C64050">
        <w:rPr>
          <w:szCs w:val="20"/>
        </w:rPr>
        <w:t xml:space="preserve"> </w:t>
      </w:r>
      <w:r w:rsidRPr="00072457">
        <w:rPr>
          <w:szCs w:val="20"/>
        </w:rPr>
        <w:t>do</w:t>
      </w:r>
      <w:r w:rsidR="00C64050">
        <w:rPr>
          <w:szCs w:val="20"/>
        </w:rPr>
        <w:t xml:space="preserve"> </w:t>
      </w:r>
      <w:r w:rsidRPr="00072457">
        <w:rPr>
          <w:szCs w:val="20"/>
        </w:rPr>
        <w:t>now.</w:t>
      </w:r>
    </w:p>
    <w:p w:rsidR="00F5216E" w:rsidRDefault="00F5216E" w:rsidP="00970365">
      <w:pPr>
        <w:pStyle w:val="Body15"/>
        <w:spacing w:before="240"/>
        <w:rPr>
          <w:color w:val="000000" w:themeColor="text1"/>
        </w:rPr>
      </w:pPr>
      <w:r>
        <w:rPr>
          <w:color w:val="000000" w:themeColor="text1"/>
        </w:rPr>
        <w:t>The</w:t>
      </w:r>
      <w:r w:rsidR="00C64050">
        <w:rPr>
          <w:color w:val="000000" w:themeColor="text1"/>
        </w:rPr>
        <w:t xml:space="preserve"> </w:t>
      </w:r>
      <w:r>
        <w:rPr>
          <w:color w:val="000000" w:themeColor="text1"/>
        </w:rPr>
        <w:t>charity</w:t>
      </w:r>
      <w:r w:rsidR="00C64050">
        <w:rPr>
          <w:color w:val="000000" w:themeColor="text1"/>
        </w:rPr>
        <w:t xml:space="preserve"> </w:t>
      </w:r>
      <w:r>
        <w:rPr>
          <w:color w:val="000000" w:themeColor="text1"/>
        </w:rPr>
        <w:t>itself</w:t>
      </w:r>
      <w:r w:rsidR="00C64050">
        <w:rPr>
          <w:color w:val="000000" w:themeColor="text1"/>
        </w:rPr>
        <w:t xml:space="preserve"> </w:t>
      </w:r>
      <w:r>
        <w:rPr>
          <w:color w:val="000000" w:themeColor="text1"/>
        </w:rPr>
        <w:t>was</w:t>
      </w:r>
      <w:r w:rsidR="00C64050">
        <w:rPr>
          <w:color w:val="000000" w:themeColor="text1"/>
        </w:rPr>
        <w:t xml:space="preserve"> </w:t>
      </w:r>
      <w:r>
        <w:rPr>
          <w:color w:val="000000" w:themeColor="text1"/>
        </w:rPr>
        <w:t>interesting:</w:t>
      </w:r>
    </w:p>
    <w:p w:rsidR="00A03617" w:rsidRDefault="00A03617" w:rsidP="00A03617">
      <w:pPr>
        <w:pStyle w:val="QS10"/>
      </w:pPr>
      <w:r>
        <w:t>Petitioners</w:t>
      </w:r>
      <w:r w:rsidR="00C64050">
        <w:t xml:space="preserve"> </w:t>
      </w:r>
      <w:r>
        <w:t>resided</w:t>
      </w:r>
      <w:r w:rsidR="00C64050">
        <w:t xml:space="preserve"> </w:t>
      </w:r>
      <w:r>
        <w:t>in</w:t>
      </w:r>
      <w:r w:rsidR="00C64050">
        <w:t xml:space="preserve"> </w:t>
      </w:r>
      <w:r>
        <w:t>Maryland</w:t>
      </w:r>
      <w:r w:rsidR="00C64050">
        <w:t xml:space="preserve"> </w:t>
      </w:r>
      <w:r>
        <w:t>when</w:t>
      </w:r>
      <w:r w:rsidR="00C64050">
        <w:t xml:space="preserve"> </w:t>
      </w:r>
      <w:r>
        <w:t>they</w:t>
      </w:r>
      <w:r w:rsidR="00C64050">
        <w:t xml:space="preserve"> </w:t>
      </w:r>
      <w:r>
        <w:t>filed</w:t>
      </w:r>
      <w:r w:rsidR="00C64050">
        <w:t xml:space="preserve"> </w:t>
      </w:r>
      <w:r>
        <w:t>their</w:t>
      </w:r>
      <w:r w:rsidR="00C64050">
        <w:t xml:space="preserve"> </w:t>
      </w:r>
      <w:r>
        <w:t>petition.</w:t>
      </w:r>
      <w:r w:rsidR="00C64050">
        <w:t xml:space="preserve"> </w:t>
      </w:r>
      <w:r>
        <w:t>On</w:t>
      </w:r>
      <w:r w:rsidR="00C64050">
        <w:t xml:space="preserve"> </w:t>
      </w:r>
      <w:r>
        <w:t>or</w:t>
      </w:r>
      <w:r w:rsidR="00C64050">
        <w:t xml:space="preserve"> </w:t>
      </w:r>
      <w:r>
        <w:t>about</w:t>
      </w:r>
      <w:r w:rsidR="00C64050">
        <w:t xml:space="preserve"> </w:t>
      </w:r>
      <w:r>
        <w:t>July</w:t>
      </w:r>
      <w:r w:rsidR="00C64050">
        <w:t xml:space="preserve"> </w:t>
      </w:r>
      <w:r>
        <w:t>1,</w:t>
      </w:r>
      <w:r w:rsidR="00C64050">
        <w:t xml:space="preserve"> </w:t>
      </w:r>
      <w:r>
        <w:t>2013,</w:t>
      </w:r>
      <w:r w:rsidR="00C64050">
        <w:t xml:space="preserve"> </w:t>
      </w:r>
      <w:r>
        <w:t>petitioners</w:t>
      </w:r>
      <w:r w:rsidR="00C64050">
        <w:t xml:space="preserve"> </w:t>
      </w:r>
      <w:r>
        <w:t>purchased</w:t>
      </w:r>
      <w:r w:rsidR="00C64050">
        <w:t xml:space="preserve"> </w:t>
      </w:r>
      <w:r>
        <w:t>real</w:t>
      </w:r>
      <w:r w:rsidR="00C64050">
        <w:t xml:space="preserve"> </w:t>
      </w:r>
      <w:r>
        <w:t>property</w:t>
      </w:r>
      <w:r w:rsidR="00C64050">
        <w:t xml:space="preserve"> </w:t>
      </w:r>
      <w:r>
        <w:t>in</w:t>
      </w:r>
      <w:r w:rsidR="00C64050">
        <w:t xml:space="preserve"> </w:t>
      </w:r>
      <w:r>
        <w:t>Potomac,</w:t>
      </w:r>
      <w:r w:rsidR="00C64050">
        <w:t xml:space="preserve"> </w:t>
      </w:r>
      <w:r>
        <w:t>Maryland.</w:t>
      </w:r>
      <w:r w:rsidR="00C64050">
        <w:t xml:space="preserve"> </w:t>
      </w:r>
      <w:r>
        <w:t>The</w:t>
      </w:r>
      <w:r w:rsidR="00C64050">
        <w:t xml:space="preserve"> </w:t>
      </w:r>
      <w:r>
        <w:t>property</w:t>
      </w:r>
      <w:r w:rsidR="00C64050">
        <w:t xml:space="preserve"> </w:t>
      </w:r>
      <w:r>
        <w:t>was</w:t>
      </w:r>
      <w:r w:rsidR="00C64050">
        <w:t xml:space="preserve"> </w:t>
      </w:r>
      <w:r>
        <w:t>purchased</w:t>
      </w:r>
      <w:r w:rsidR="00C64050">
        <w:t xml:space="preserve"> </w:t>
      </w:r>
      <w:r>
        <w:t>for</w:t>
      </w:r>
      <w:r w:rsidR="00C64050">
        <w:t xml:space="preserve"> </w:t>
      </w:r>
      <w:r>
        <w:t>$795,000</w:t>
      </w:r>
      <w:r w:rsidR="00C64050">
        <w:t xml:space="preserve"> </w:t>
      </w:r>
      <w:r>
        <w:t>and</w:t>
      </w:r>
      <w:r w:rsidR="00C64050">
        <w:t xml:space="preserve"> </w:t>
      </w:r>
      <w:r>
        <w:t>consisted</w:t>
      </w:r>
      <w:r w:rsidR="00C64050">
        <w:t xml:space="preserve"> </w:t>
      </w:r>
      <w:r>
        <w:t>of</w:t>
      </w:r>
      <w:r w:rsidR="00C64050">
        <w:t xml:space="preserve"> </w:t>
      </w:r>
      <w:r>
        <w:t>0.38</w:t>
      </w:r>
      <w:r w:rsidR="00C64050">
        <w:t xml:space="preserve"> </w:t>
      </w:r>
      <w:r>
        <w:t>acres</w:t>
      </w:r>
      <w:r w:rsidR="00C64050">
        <w:t xml:space="preserve"> </w:t>
      </w:r>
      <w:r>
        <w:t>of</w:t>
      </w:r>
      <w:r w:rsidR="00C64050">
        <w:t xml:space="preserve"> </w:t>
      </w:r>
      <w:r>
        <w:t>land</w:t>
      </w:r>
      <w:r w:rsidR="00C64050">
        <w:t xml:space="preserve"> </w:t>
      </w:r>
      <w:r>
        <w:t>and</w:t>
      </w:r>
      <w:r w:rsidR="00C64050">
        <w:t xml:space="preserve"> </w:t>
      </w:r>
      <w:r>
        <w:t>a</w:t>
      </w:r>
      <w:r w:rsidR="00C64050">
        <w:t xml:space="preserve"> </w:t>
      </w:r>
      <w:r>
        <w:t>single-family</w:t>
      </w:r>
      <w:r w:rsidR="00C64050">
        <w:t xml:space="preserve"> </w:t>
      </w:r>
      <w:r>
        <w:t>house.</w:t>
      </w:r>
      <w:r w:rsidR="00C64050">
        <w:t xml:space="preserve"> </w:t>
      </w:r>
      <w:r>
        <w:t>Petitioners</w:t>
      </w:r>
      <w:r w:rsidR="00C64050">
        <w:t xml:space="preserve"> </w:t>
      </w:r>
      <w:r>
        <w:t>desired</w:t>
      </w:r>
      <w:r w:rsidR="00C64050">
        <w:t xml:space="preserve"> </w:t>
      </w:r>
      <w:r>
        <w:t>to</w:t>
      </w:r>
      <w:r w:rsidR="00C64050">
        <w:t xml:space="preserve"> </w:t>
      </w:r>
      <w:r>
        <w:t>demolish</w:t>
      </w:r>
      <w:r w:rsidR="00C64050">
        <w:t xml:space="preserve"> </w:t>
      </w:r>
      <w:r>
        <w:t>the</w:t>
      </w:r>
      <w:r w:rsidR="00C64050">
        <w:t xml:space="preserve"> </w:t>
      </w:r>
      <w:r>
        <w:t>house</w:t>
      </w:r>
      <w:r w:rsidR="00C64050">
        <w:t xml:space="preserve"> </w:t>
      </w:r>
      <w:r>
        <w:t>and</w:t>
      </w:r>
      <w:r w:rsidR="00C64050">
        <w:t xml:space="preserve"> </w:t>
      </w:r>
      <w:r>
        <w:t>construct</w:t>
      </w:r>
      <w:r w:rsidR="00C64050">
        <w:t xml:space="preserve"> </w:t>
      </w:r>
      <w:r>
        <w:t>in</w:t>
      </w:r>
      <w:r w:rsidR="00C64050">
        <w:t xml:space="preserve"> </w:t>
      </w:r>
      <w:r>
        <w:t>its</w:t>
      </w:r>
      <w:r w:rsidR="00C64050">
        <w:t xml:space="preserve"> </w:t>
      </w:r>
      <w:r>
        <w:t>place</w:t>
      </w:r>
      <w:r w:rsidR="00C64050">
        <w:t xml:space="preserve"> </w:t>
      </w:r>
      <w:r>
        <w:t>a</w:t>
      </w:r>
      <w:r w:rsidR="00C64050">
        <w:t xml:space="preserve"> </w:t>
      </w:r>
      <w:r>
        <w:t>new</w:t>
      </w:r>
      <w:r w:rsidR="00C64050">
        <w:t xml:space="preserve"> </w:t>
      </w:r>
      <w:r>
        <w:t>residence</w:t>
      </w:r>
      <w:r w:rsidR="00C64050">
        <w:t xml:space="preserve"> </w:t>
      </w:r>
      <w:r>
        <w:t>of</w:t>
      </w:r>
      <w:r w:rsidR="00C64050">
        <w:t xml:space="preserve"> </w:t>
      </w:r>
      <w:r>
        <w:t>their</w:t>
      </w:r>
      <w:r w:rsidR="00C64050">
        <w:t xml:space="preserve"> </w:t>
      </w:r>
      <w:r>
        <w:t>own</w:t>
      </w:r>
      <w:r w:rsidR="00C64050">
        <w:t xml:space="preserve"> </w:t>
      </w:r>
      <w:r>
        <w:t>design.</w:t>
      </w:r>
    </w:p>
    <w:p w:rsidR="00A03617" w:rsidRDefault="00A03617" w:rsidP="00A03617">
      <w:pPr>
        <w:pStyle w:val="QS10"/>
      </w:pPr>
      <w:r>
        <w:t>Second</w:t>
      </w:r>
      <w:r w:rsidR="00C64050">
        <w:t xml:space="preserve"> </w:t>
      </w:r>
      <w:r>
        <w:t>Chance,</w:t>
      </w:r>
      <w:r w:rsidR="00C64050">
        <w:t xml:space="preserve"> </w:t>
      </w:r>
      <w:r>
        <w:t>Inc.</w:t>
      </w:r>
      <w:r w:rsidR="00C64050">
        <w:t xml:space="preserve"> </w:t>
      </w:r>
      <w:r>
        <w:t>(Second</w:t>
      </w:r>
      <w:r w:rsidR="00C64050">
        <w:t xml:space="preserve"> </w:t>
      </w:r>
      <w:r>
        <w:t>Chance),</w:t>
      </w:r>
      <w:r w:rsidR="00C64050">
        <w:t xml:space="preserve"> </w:t>
      </w:r>
      <w:r>
        <w:t>is</w:t>
      </w:r>
      <w:r w:rsidR="00C64050">
        <w:t xml:space="preserve"> </w:t>
      </w:r>
      <w:r>
        <w:t>incorporated</w:t>
      </w:r>
      <w:r w:rsidR="00C64050">
        <w:t xml:space="preserve"> </w:t>
      </w:r>
      <w:r>
        <w:t>under</w:t>
      </w:r>
      <w:r w:rsidR="00C64050">
        <w:t xml:space="preserve"> </w:t>
      </w:r>
      <w:r>
        <w:t>the</w:t>
      </w:r>
      <w:r w:rsidR="00C64050">
        <w:t xml:space="preserve"> </w:t>
      </w:r>
      <w:r>
        <w:t>laws</w:t>
      </w:r>
      <w:r w:rsidR="00C64050">
        <w:t xml:space="preserve"> </w:t>
      </w:r>
      <w:r>
        <w:t>of</w:t>
      </w:r>
      <w:r w:rsidR="00C64050">
        <w:t xml:space="preserve"> </w:t>
      </w:r>
      <w:r>
        <w:t>Maryland</w:t>
      </w:r>
      <w:r w:rsidR="00C64050">
        <w:t xml:space="preserve"> </w:t>
      </w:r>
      <w:r>
        <w:t>and</w:t>
      </w:r>
      <w:r w:rsidR="00C64050">
        <w:t xml:space="preserve"> </w:t>
      </w:r>
      <w:r>
        <w:t>qualifies</w:t>
      </w:r>
      <w:r w:rsidR="00C64050">
        <w:t xml:space="preserve"> </w:t>
      </w:r>
      <w:r>
        <w:t>as</w:t>
      </w:r>
      <w:r w:rsidR="00C64050">
        <w:t xml:space="preserve"> </w:t>
      </w:r>
      <w:r>
        <w:t>a</w:t>
      </w:r>
      <w:r w:rsidR="00C64050">
        <w:t xml:space="preserve"> </w:t>
      </w:r>
      <w:r>
        <w:t>charitable</w:t>
      </w:r>
      <w:r w:rsidR="00C64050">
        <w:t xml:space="preserve"> </w:t>
      </w:r>
      <w:r>
        <w:t>organization</w:t>
      </w:r>
      <w:r w:rsidR="00C64050">
        <w:t xml:space="preserve"> </w:t>
      </w:r>
      <w:r>
        <w:t>under</w:t>
      </w:r>
      <w:r w:rsidR="00C64050">
        <w:t xml:space="preserve"> </w:t>
      </w:r>
      <w:r w:rsidRPr="00A03617">
        <w:t>section</w:t>
      </w:r>
      <w:r w:rsidR="00C64050">
        <w:t xml:space="preserve"> </w:t>
      </w:r>
      <w:r w:rsidRPr="00A03617">
        <w:t>501(c)(3)</w:t>
      </w:r>
      <w:r>
        <w:t>.</w:t>
      </w:r>
      <w:r w:rsidR="00C64050">
        <w:t xml:space="preserve"> </w:t>
      </w:r>
      <w:r>
        <w:t>Second</w:t>
      </w:r>
      <w:r w:rsidR="00C64050">
        <w:t xml:space="preserve"> </w:t>
      </w:r>
      <w:r>
        <w:t>Chance</w:t>
      </w:r>
      <w:r w:rsidR="00C64050">
        <w:t xml:space="preserve"> </w:t>
      </w:r>
      <w:r>
        <w:t>performs</w:t>
      </w:r>
      <w:r w:rsidR="00C64050">
        <w:t xml:space="preserve"> </w:t>
      </w:r>
      <w:r>
        <w:t>deconstruction,</w:t>
      </w:r>
      <w:r w:rsidR="00C64050">
        <w:t xml:space="preserve"> </w:t>
      </w:r>
      <w:r>
        <w:t>which</w:t>
      </w:r>
      <w:r w:rsidR="00C64050">
        <w:t xml:space="preserve"> </w:t>
      </w:r>
      <w:r>
        <w:t>is</w:t>
      </w:r>
      <w:r w:rsidR="00C64050">
        <w:t xml:space="preserve"> </w:t>
      </w:r>
      <w:r>
        <w:t>something</w:t>
      </w:r>
      <w:r w:rsidR="00C64050">
        <w:t xml:space="preserve"> </w:t>
      </w:r>
      <w:r>
        <w:t>less</w:t>
      </w:r>
      <w:r w:rsidR="00C64050">
        <w:t xml:space="preserve"> </w:t>
      </w:r>
      <w:r>
        <w:t>than</w:t>
      </w:r>
      <w:r w:rsidR="00C64050">
        <w:t xml:space="preserve"> </w:t>
      </w:r>
      <w:r>
        <w:t>demolition.</w:t>
      </w:r>
      <w:r w:rsidR="00C64050">
        <w:t xml:space="preserve"> </w:t>
      </w:r>
      <w:r>
        <w:t>Where</w:t>
      </w:r>
      <w:r w:rsidR="00C64050">
        <w:t xml:space="preserve"> </w:t>
      </w:r>
      <w:r>
        <w:t>demolition</w:t>
      </w:r>
      <w:r w:rsidR="00C64050">
        <w:t xml:space="preserve"> </w:t>
      </w:r>
      <w:r>
        <w:t>typically</w:t>
      </w:r>
      <w:r w:rsidR="00C64050">
        <w:t xml:space="preserve"> </w:t>
      </w:r>
      <w:r>
        <w:t>results</w:t>
      </w:r>
      <w:r w:rsidR="00C64050">
        <w:t xml:space="preserve"> </w:t>
      </w:r>
      <w:r>
        <w:t>in</w:t>
      </w:r>
      <w:r w:rsidR="00C64050">
        <w:t xml:space="preserve"> </w:t>
      </w:r>
      <w:r>
        <w:t>annihilation</w:t>
      </w:r>
      <w:r w:rsidR="00C64050">
        <w:t xml:space="preserve"> </w:t>
      </w:r>
      <w:r>
        <w:t>of</w:t>
      </w:r>
      <w:r w:rsidR="00C64050">
        <w:t xml:space="preserve"> </w:t>
      </w:r>
      <w:r>
        <w:t>a</w:t>
      </w:r>
      <w:r w:rsidR="00C64050">
        <w:t xml:space="preserve"> </w:t>
      </w:r>
      <w:r>
        <w:t>structure,</w:t>
      </w:r>
      <w:r w:rsidR="00C64050">
        <w:t xml:space="preserve"> </w:t>
      </w:r>
      <w:r>
        <w:t>deconstruction</w:t>
      </w:r>
      <w:r w:rsidR="00C64050">
        <w:t xml:space="preserve"> </w:t>
      </w:r>
      <w:r>
        <w:t>might</w:t>
      </w:r>
      <w:r w:rsidR="00C64050">
        <w:t xml:space="preserve"> </w:t>
      </w:r>
      <w:r>
        <w:t>involve</w:t>
      </w:r>
      <w:r w:rsidR="00C64050">
        <w:t xml:space="preserve"> </w:t>
      </w:r>
      <w:r>
        <w:t>only</w:t>
      </w:r>
      <w:r w:rsidR="00C64050">
        <w:t xml:space="preserve"> </w:t>
      </w:r>
      <w:r>
        <w:t>the</w:t>
      </w:r>
      <w:r w:rsidR="00C64050">
        <w:t xml:space="preserve"> </w:t>
      </w:r>
      <w:r>
        <w:t>removal</w:t>
      </w:r>
      <w:r w:rsidR="00C64050">
        <w:t xml:space="preserve"> </w:t>
      </w:r>
      <w:r>
        <w:t>of</w:t>
      </w:r>
      <w:r w:rsidR="00C64050">
        <w:t xml:space="preserve"> </w:t>
      </w:r>
      <w:r>
        <w:t>furniture,</w:t>
      </w:r>
      <w:r w:rsidR="00C64050">
        <w:t xml:space="preserve"> </w:t>
      </w:r>
      <w:r>
        <w:t>appliances,</w:t>
      </w:r>
      <w:r w:rsidR="00C64050">
        <w:t xml:space="preserve"> </w:t>
      </w:r>
      <w:r>
        <w:t>fixtures,</w:t>
      </w:r>
      <w:r w:rsidR="00C64050">
        <w:t xml:space="preserve"> </w:t>
      </w:r>
      <w:r>
        <w:t>lumber,</w:t>
      </w:r>
      <w:r w:rsidR="00C64050">
        <w:t xml:space="preserve"> </w:t>
      </w:r>
      <w:r>
        <w:t>and</w:t>
      </w:r>
      <w:r w:rsidR="00C64050">
        <w:t xml:space="preserve"> </w:t>
      </w:r>
      <w:r>
        <w:t>other</w:t>
      </w:r>
      <w:r w:rsidR="00C64050">
        <w:t xml:space="preserve"> </w:t>
      </w:r>
      <w:r>
        <w:t>materials.</w:t>
      </w:r>
      <w:r w:rsidR="00C64050">
        <w:t xml:space="preserve"> </w:t>
      </w:r>
      <w:r>
        <w:t>Second</w:t>
      </w:r>
      <w:r w:rsidR="00C64050">
        <w:t xml:space="preserve"> </w:t>
      </w:r>
      <w:r>
        <w:t>Chance</w:t>
      </w:r>
      <w:r w:rsidR="00C64050">
        <w:t xml:space="preserve"> </w:t>
      </w:r>
      <w:r>
        <w:t>sells</w:t>
      </w:r>
      <w:r w:rsidR="00C64050">
        <w:t xml:space="preserve"> </w:t>
      </w:r>
      <w:r>
        <w:t>salvageable</w:t>
      </w:r>
      <w:r w:rsidR="00C64050">
        <w:t xml:space="preserve"> </w:t>
      </w:r>
      <w:r>
        <w:t>material</w:t>
      </w:r>
      <w:r w:rsidR="00C64050">
        <w:t xml:space="preserve"> </w:t>
      </w:r>
      <w:r>
        <w:t>from</w:t>
      </w:r>
      <w:r w:rsidR="00C64050">
        <w:t xml:space="preserve"> </w:t>
      </w:r>
      <w:r>
        <w:t>deconstruction</w:t>
      </w:r>
      <w:r w:rsidR="00C64050">
        <w:t xml:space="preserve"> </w:t>
      </w:r>
      <w:r>
        <w:t>on</w:t>
      </w:r>
      <w:r w:rsidR="00C64050">
        <w:t xml:space="preserve"> </w:t>
      </w:r>
      <w:r>
        <w:t>the</w:t>
      </w:r>
      <w:r w:rsidR="00C64050">
        <w:t xml:space="preserve"> </w:t>
      </w:r>
      <w:r>
        <w:t>open</w:t>
      </w:r>
      <w:r w:rsidR="00C64050">
        <w:t xml:space="preserve"> </w:t>
      </w:r>
      <w:r>
        <w:t>market</w:t>
      </w:r>
      <w:r w:rsidR="00C64050">
        <w:t xml:space="preserve"> </w:t>
      </w:r>
      <w:r>
        <w:t>through</w:t>
      </w:r>
      <w:r w:rsidR="00C64050">
        <w:t xml:space="preserve"> </w:t>
      </w:r>
      <w:r>
        <w:t>its</w:t>
      </w:r>
      <w:r w:rsidR="00C64050">
        <w:t xml:space="preserve"> </w:t>
      </w:r>
      <w:r>
        <w:t>warehouse.</w:t>
      </w:r>
      <w:r w:rsidR="00C64050">
        <w:t xml:space="preserve"> </w:t>
      </w:r>
      <w:r>
        <w:t>But</w:t>
      </w:r>
      <w:r w:rsidR="00C64050">
        <w:t xml:space="preserve"> </w:t>
      </w:r>
      <w:r>
        <w:t>Second</w:t>
      </w:r>
      <w:r w:rsidR="00C64050">
        <w:t xml:space="preserve"> </w:t>
      </w:r>
      <w:r>
        <w:t>Chance's</w:t>
      </w:r>
      <w:r w:rsidR="00C64050">
        <w:t xml:space="preserve"> </w:t>
      </w:r>
      <w:r>
        <w:t>raison</w:t>
      </w:r>
      <w:r w:rsidR="00C64050">
        <w:t xml:space="preserve"> </w:t>
      </w:r>
      <w:r>
        <w:t>d'être</w:t>
      </w:r>
      <w:r w:rsidR="00C64050">
        <w:t xml:space="preserve"> </w:t>
      </w:r>
      <w:r>
        <w:t>is</w:t>
      </w:r>
      <w:r w:rsidR="00C64050">
        <w:t xml:space="preserve"> </w:t>
      </w:r>
      <w:r>
        <w:t>to</w:t>
      </w:r>
      <w:r w:rsidR="00C64050">
        <w:t xml:space="preserve"> </w:t>
      </w:r>
      <w:r>
        <w:t>use</w:t>
      </w:r>
      <w:r w:rsidR="00C64050">
        <w:t xml:space="preserve"> </w:t>
      </w:r>
      <w:r>
        <w:t>the</w:t>
      </w:r>
      <w:r w:rsidR="00C64050">
        <w:t xml:space="preserve"> </w:t>
      </w:r>
      <w:r>
        <w:t>deconstruction</w:t>
      </w:r>
      <w:r w:rsidR="00C64050">
        <w:t xml:space="preserve"> </w:t>
      </w:r>
      <w:r>
        <w:t>process</w:t>
      </w:r>
      <w:r w:rsidR="00C64050">
        <w:t xml:space="preserve"> </w:t>
      </w:r>
      <w:r>
        <w:t>to</w:t>
      </w:r>
      <w:r w:rsidR="00C64050">
        <w:t xml:space="preserve"> </w:t>
      </w:r>
      <w:r>
        <w:t>teach</w:t>
      </w:r>
      <w:r w:rsidR="00C64050">
        <w:t xml:space="preserve"> </w:t>
      </w:r>
      <w:r>
        <w:t>marketable</w:t>
      </w:r>
      <w:r w:rsidR="00C64050">
        <w:t xml:space="preserve"> </w:t>
      </w:r>
      <w:r>
        <w:t>skills</w:t>
      </w:r>
      <w:r w:rsidR="00C64050">
        <w:t xml:space="preserve"> </w:t>
      </w:r>
      <w:r>
        <w:t>to</w:t>
      </w:r>
      <w:r w:rsidR="00C64050">
        <w:t xml:space="preserve"> </w:t>
      </w:r>
      <w:r>
        <w:t>persons</w:t>
      </w:r>
      <w:r w:rsidR="00C64050">
        <w:t xml:space="preserve"> </w:t>
      </w:r>
      <w:r>
        <w:t>facing</w:t>
      </w:r>
      <w:r w:rsidR="00C64050">
        <w:t xml:space="preserve"> </w:t>
      </w:r>
      <w:r>
        <w:t>barriers</w:t>
      </w:r>
      <w:r w:rsidR="00C64050">
        <w:t xml:space="preserve"> </w:t>
      </w:r>
      <w:r>
        <w:t>to</w:t>
      </w:r>
      <w:r w:rsidR="00C64050">
        <w:t xml:space="preserve"> </w:t>
      </w:r>
      <w:r>
        <w:t>employment</w:t>
      </w:r>
      <w:r w:rsidR="00C64050">
        <w:t xml:space="preserve"> </w:t>
      </w:r>
      <w:r>
        <w:t>ranging</w:t>
      </w:r>
      <w:r w:rsidR="00C64050">
        <w:t xml:space="preserve"> </w:t>
      </w:r>
      <w:r>
        <w:t>from</w:t>
      </w:r>
      <w:r w:rsidR="00C64050">
        <w:t xml:space="preserve"> </w:t>
      </w:r>
      <w:r>
        <w:t>limited</w:t>
      </w:r>
      <w:r w:rsidR="00C64050">
        <w:t xml:space="preserve"> </w:t>
      </w:r>
      <w:r>
        <w:t>education</w:t>
      </w:r>
      <w:r w:rsidR="00C64050">
        <w:t xml:space="preserve"> </w:t>
      </w:r>
      <w:r>
        <w:t>to</w:t>
      </w:r>
      <w:r w:rsidR="00C64050">
        <w:t xml:space="preserve"> </w:t>
      </w:r>
      <w:r>
        <w:t>criminal</w:t>
      </w:r>
      <w:r w:rsidR="00C64050">
        <w:t xml:space="preserve"> </w:t>
      </w:r>
      <w:r>
        <w:t>records</w:t>
      </w:r>
      <w:r w:rsidR="00C64050">
        <w:t xml:space="preserve"> </w:t>
      </w:r>
      <w:r>
        <w:t>while</w:t>
      </w:r>
      <w:r w:rsidR="00C64050">
        <w:t xml:space="preserve"> </w:t>
      </w:r>
      <w:r>
        <w:t>environmentally</w:t>
      </w:r>
      <w:r w:rsidR="00C64050">
        <w:t xml:space="preserve"> </w:t>
      </w:r>
      <w:r>
        <w:t>reusing</w:t>
      </w:r>
      <w:r w:rsidR="00C64050">
        <w:t xml:space="preserve"> </w:t>
      </w:r>
      <w:r>
        <w:t>materials</w:t>
      </w:r>
      <w:r w:rsidR="00C64050">
        <w:t xml:space="preserve"> </w:t>
      </w:r>
      <w:r>
        <w:t>that</w:t>
      </w:r>
      <w:r w:rsidR="00C64050">
        <w:t xml:space="preserve"> </w:t>
      </w:r>
      <w:r>
        <w:t>would</w:t>
      </w:r>
      <w:r w:rsidR="00C64050">
        <w:t xml:space="preserve"> </w:t>
      </w:r>
      <w:r>
        <w:t>otherwise</w:t>
      </w:r>
      <w:r w:rsidR="00C64050">
        <w:t xml:space="preserve"> </w:t>
      </w:r>
      <w:r>
        <w:t>end</w:t>
      </w:r>
      <w:r w:rsidR="00C64050">
        <w:t xml:space="preserve"> </w:t>
      </w:r>
      <w:r>
        <w:t>up</w:t>
      </w:r>
      <w:r w:rsidR="00C64050">
        <w:t xml:space="preserve"> </w:t>
      </w:r>
      <w:r>
        <w:t>as</w:t>
      </w:r>
      <w:r w:rsidR="00C64050">
        <w:t xml:space="preserve"> </w:t>
      </w:r>
      <w:r>
        <w:t>landfill</w:t>
      </w:r>
      <w:r w:rsidR="00C64050">
        <w:t xml:space="preserve"> </w:t>
      </w:r>
      <w:r>
        <w:t>debris.</w:t>
      </w:r>
    </w:p>
    <w:p w:rsidR="00A03617" w:rsidRDefault="00A03617" w:rsidP="00A03617">
      <w:pPr>
        <w:pStyle w:val="QS10"/>
      </w:pPr>
      <w:r>
        <w:t>Typically,</w:t>
      </w:r>
      <w:r w:rsidR="00C64050">
        <w:t xml:space="preserve"> </w:t>
      </w:r>
      <w:r>
        <w:t>at</w:t>
      </w:r>
      <w:r w:rsidR="00C64050">
        <w:t xml:space="preserve"> </w:t>
      </w:r>
      <w:r>
        <w:t>the</w:t>
      </w:r>
      <w:r w:rsidR="00C64050">
        <w:t xml:space="preserve"> </w:t>
      </w:r>
      <w:r>
        <w:t>stage</w:t>
      </w:r>
      <w:r w:rsidR="00C64050">
        <w:t xml:space="preserve"> </w:t>
      </w:r>
      <w:r>
        <w:t>where</w:t>
      </w:r>
      <w:r w:rsidR="00C64050">
        <w:t xml:space="preserve"> </w:t>
      </w:r>
      <w:r>
        <w:t>the</w:t>
      </w:r>
      <w:r w:rsidR="00C64050">
        <w:t xml:space="preserve"> </w:t>
      </w:r>
      <w:r>
        <w:t>decision</w:t>
      </w:r>
      <w:r w:rsidR="00C64050">
        <w:t xml:space="preserve"> </w:t>
      </w:r>
      <w:r>
        <w:t>has</w:t>
      </w:r>
      <w:r w:rsidR="00C64050">
        <w:t xml:space="preserve"> </w:t>
      </w:r>
      <w:r>
        <w:t>been</w:t>
      </w:r>
      <w:r w:rsidR="00C64050">
        <w:t xml:space="preserve"> </w:t>
      </w:r>
      <w:r>
        <w:t>made</w:t>
      </w:r>
      <w:r w:rsidR="00C64050">
        <w:t xml:space="preserve"> </w:t>
      </w:r>
      <w:r>
        <w:t>to</w:t>
      </w:r>
      <w:r w:rsidR="00C64050">
        <w:t xml:space="preserve"> </w:t>
      </w:r>
      <w:r>
        <w:t>demolish</w:t>
      </w:r>
      <w:r w:rsidR="00C64050">
        <w:t xml:space="preserve"> </w:t>
      </w:r>
      <w:r>
        <w:t>a</w:t>
      </w:r>
      <w:r w:rsidR="00C64050">
        <w:t xml:space="preserve"> </w:t>
      </w:r>
      <w:r>
        <w:t>structure,</w:t>
      </w:r>
      <w:r w:rsidR="00C64050">
        <w:t xml:space="preserve"> </w:t>
      </w:r>
      <w:r>
        <w:t>the</w:t>
      </w:r>
      <w:r w:rsidR="00C64050">
        <w:t xml:space="preserve"> </w:t>
      </w:r>
      <w:r>
        <w:t>owner</w:t>
      </w:r>
      <w:r w:rsidR="00C64050">
        <w:t xml:space="preserve"> </w:t>
      </w:r>
      <w:r>
        <w:t>will</w:t>
      </w:r>
      <w:r w:rsidR="00C64050">
        <w:t xml:space="preserve"> </w:t>
      </w:r>
      <w:r>
        <w:t>enter</w:t>
      </w:r>
      <w:r w:rsidR="00C64050">
        <w:t xml:space="preserve"> </w:t>
      </w:r>
      <w:r>
        <w:t>into</w:t>
      </w:r>
      <w:r w:rsidR="00C64050">
        <w:t xml:space="preserve"> </w:t>
      </w:r>
      <w:r>
        <w:t>an</w:t>
      </w:r>
      <w:r w:rsidR="00C64050">
        <w:t xml:space="preserve"> </w:t>
      </w:r>
      <w:r>
        <w:t>agreement</w:t>
      </w:r>
      <w:r w:rsidR="00C64050">
        <w:t xml:space="preserve"> </w:t>
      </w:r>
      <w:r>
        <w:t>with</w:t>
      </w:r>
      <w:r w:rsidR="00C64050">
        <w:t xml:space="preserve"> </w:t>
      </w:r>
      <w:r>
        <w:t>Second</w:t>
      </w:r>
      <w:r w:rsidR="00C64050">
        <w:t xml:space="preserve"> </w:t>
      </w:r>
      <w:r>
        <w:t>Chance</w:t>
      </w:r>
      <w:r w:rsidR="00C64050">
        <w:t xml:space="preserve"> </w:t>
      </w:r>
      <w:r>
        <w:t>to</w:t>
      </w:r>
      <w:r w:rsidR="00C64050">
        <w:t xml:space="preserve"> </w:t>
      </w:r>
      <w:r>
        <w:t>allow</w:t>
      </w:r>
      <w:r w:rsidR="00C64050">
        <w:t xml:space="preserve"> </w:t>
      </w:r>
      <w:r>
        <w:t>Second</w:t>
      </w:r>
      <w:r w:rsidR="00C64050">
        <w:t xml:space="preserve"> </w:t>
      </w:r>
      <w:r>
        <w:t>Chance</w:t>
      </w:r>
      <w:r w:rsidR="00C64050">
        <w:t xml:space="preserve"> </w:t>
      </w:r>
      <w:r>
        <w:t>to</w:t>
      </w:r>
      <w:r w:rsidR="00C64050">
        <w:t xml:space="preserve"> </w:t>
      </w:r>
      <w:r>
        <w:t>use</w:t>
      </w:r>
      <w:r w:rsidR="00C64050">
        <w:t xml:space="preserve"> </w:t>
      </w:r>
      <w:r>
        <w:t>the</w:t>
      </w:r>
      <w:r w:rsidR="00C64050">
        <w:t xml:space="preserve"> </w:t>
      </w:r>
      <w:r>
        <w:t>structure</w:t>
      </w:r>
      <w:r w:rsidR="00C64050">
        <w:t xml:space="preserve"> </w:t>
      </w:r>
      <w:r>
        <w:t>for</w:t>
      </w:r>
      <w:r w:rsidR="00C64050">
        <w:t xml:space="preserve"> </w:t>
      </w:r>
      <w:r>
        <w:t>deconstruction.</w:t>
      </w:r>
      <w:r w:rsidR="00C64050">
        <w:t xml:space="preserve"> </w:t>
      </w:r>
      <w:r>
        <w:t>The</w:t>
      </w:r>
      <w:r w:rsidR="00C64050">
        <w:t xml:space="preserve"> </w:t>
      </w:r>
      <w:r>
        <w:t>owner</w:t>
      </w:r>
      <w:r w:rsidR="00C64050">
        <w:t xml:space="preserve"> </w:t>
      </w:r>
      <w:r>
        <w:t>will</w:t>
      </w:r>
      <w:r w:rsidR="00C64050">
        <w:t xml:space="preserve"> </w:t>
      </w:r>
      <w:r>
        <w:t>also</w:t>
      </w:r>
      <w:r w:rsidR="00C64050">
        <w:t xml:space="preserve"> </w:t>
      </w:r>
      <w:r>
        <w:t>make</w:t>
      </w:r>
      <w:r w:rsidR="00C64050">
        <w:t xml:space="preserve"> </w:t>
      </w:r>
      <w:r>
        <w:t>a</w:t>
      </w:r>
      <w:r w:rsidR="00C64050">
        <w:t xml:space="preserve"> </w:t>
      </w:r>
      <w:r>
        <w:t>cash</w:t>
      </w:r>
      <w:r w:rsidR="00C64050">
        <w:t xml:space="preserve"> </w:t>
      </w:r>
      <w:r>
        <w:t>contribution</w:t>
      </w:r>
      <w:r w:rsidR="00C64050">
        <w:t xml:space="preserve"> </w:t>
      </w:r>
      <w:r>
        <w:t>to</w:t>
      </w:r>
      <w:r w:rsidR="00C64050">
        <w:t xml:space="preserve"> </w:t>
      </w:r>
      <w:r>
        <w:t>Second</w:t>
      </w:r>
      <w:r w:rsidR="00C64050">
        <w:t xml:space="preserve"> </w:t>
      </w:r>
      <w:r>
        <w:t>Chance,</w:t>
      </w:r>
      <w:r w:rsidR="00C64050">
        <w:t xml:space="preserve"> </w:t>
      </w:r>
      <w:r>
        <w:t>which</w:t>
      </w:r>
      <w:r w:rsidR="00C64050">
        <w:t xml:space="preserve"> </w:t>
      </w:r>
      <w:r>
        <w:t>covers</w:t>
      </w:r>
      <w:r w:rsidR="00C64050">
        <w:t xml:space="preserve"> </w:t>
      </w:r>
      <w:r>
        <w:t>the</w:t>
      </w:r>
      <w:r w:rsidR="00C64050">
        <w:t xml:space="preserve"> </w:t>
      </w:r>
      <w:r>
        <w:t>upfront</w:t>
      </w:r>
      <w:r w:rsidR="00C64050">
        <w:t xml:space="preserve"> </w:t>
      </w:r>
      <w:r>
        <w:t>costs</w:t>
      </w:r>
      <w:r w:rsidR="00C64050">
        <w:t xml:space="preserve"> </w:t>
      </w:r>
      <w:r>
        <w:t>of</w:t>
      </w:r>
      <w:r w:rsidR="00C64050">
        <w:t xml:space="preserve"> </w:t>
      </w:r>
      <w:r>
        <w:t>Second</w:t>
      </w:r>
      <w:r w:rsidR="00C64050">
        <w:t xml:space="preserve"> </w:t>
      </w:r>
      <w:r>
        <w:t>Chance's</w:t>
      </w:r>
      <w:r w:rsidR="00C64050">
        <w:t xml:space="preserve"> </w:t>
      </w:r>
      <w:r>
        <w:t>deconstruction.</w:t>
      </w:r>
      <w:r w:rsidR="00C64050">
        <w:t xml:space="preserve"> </w:t>
      </w:r>
      <w:r>
        <w:t>Once</w:t>
      </w:r>
      <w:r w:rsidR="00C64050">
        <w:t xml:space="preserve"> </w:t>
      </w:r>
      <w:r>
        <w:t>Second</w:t>
      </w:r>
      <w:r w:rsidR="00C64050">
        <w:t xml:space="preserve"> </w:t>
      </w:r>
      <w:r>
        <w:t>Chance</w:t>
      </w:r>
      <w:r w:rsidR="00C64050">
        <w:t xml:space="preserve"> </w:t>
      </w:r>
      <w:r>
        <w:t>has</w:t>
      </w:r>
      <w:r w:rsidR="00C64050">
        <w:t xml:space="preserve"> </w:t>
      </w:r>
      <w:r>
        <w:t>finished</w:t>
      </w:r>
      <w:r w:rsidR="00C64050">
        <w:t xml:space="preserve"> </w:t>
      </w:r>
      <w:r>
        <w:t>its</w:t>
      </w:r>
      <w:r w:rsidR="00C64050">
        <w:t xml:space="preserve"> </w:t>
      </w:r>
      <w:r>
        <w:t>training</w:t>
      </w:r>
      <w:r w:rsidR="00C64050">
        <w:t xml:space="preserve"> </w:t>
      </w:r>
      <w:r>
        <w:t>and</w:t>
      </w:r>
      <w:r w:rsidR="00C64050">
        <w:t xml:space="preserve"> </w:t>
      </w:r>
      <w:r>
        <w:t>removed</w:t>
      </w:r>
      <w:r w:rsidR="00C64050">
        <w:t xml:space="preserve"> </w:t>
      </w:r>
      <w:r>
        <w:t>salvageable</w:t>
      </w:r>
      <w:r w:rsidR="00C64050">
        <w:t xml:space="preserve"> </w:t>
      </w:r>
      <w:r>
        <w:t>materials,</w:t>
      </w:r>
      <w:r w:rsidR="00C64050">
        <w:t xml:space="preserve"> </w:t>
      </w:r>
      <w:r>
        <w:t>the</w:t>
      </w:r>
      <w:r w:rsidR="00C64050">
        <w:t xml:space="preserve"> </w:t>
      </w:r>
      <w:r>
        <w:t>owner</w:t>
      </w:r>
      <w:r w:rsidR="00C64050">
        <w:t xml:space="preserve"> </w:t>
      </w:r>
      <w:r>
        <w:t>will</w:t>
      </w:r>
      <w:r w:rsidR="00C64050">
        <w:t xml:space="preserve"> </w:t>
      </w:r>
      <w:r>
        <w:t>engage</w:t>
      </w:r>
      <w:r w:rsidR="00C64050">
        <w:t xml:space="preserve"> </w:t>
      </w:r>
      <w:r>
        <w:t>a</w:t>
      </w:r>
      <w:r w:rsidR="00C64050">
        <w:t xml:space="preserve"> </w:t>
      </w:r>
      <w:r>
        <w:t>third</w:t>
      </w:r>
      <w:r w:rsidR="00C64050">
        <w:t xml:space="preserve"> </w:t>
      </w:r>
      <w:r>
        <w:t>party</w:t>
      </w:r>
      <w:r w:rsidR="00C64050">
        <w:t xml:space="preserve"> </w:t>
      </w:r>
      <w:r>
        <w:t>to</w:t>
      </w:r>
      <w:r w:rsidR="00C64050">
        <w:t xml:space="preserve"> </w:t>
      </w:r>
      <w:r>
        <w:t>demolish</w:t>
      </w:r>
      <w:r w:rsidR="00C64050">
        <w:t xml:space="preserve"> </w:t>
      </w:r>
      <w:r>
        <w:t>the</w:t>
      </w:r>
      <w:r w:rsidR="00C64050">
        <w:t xml:space="preserve"> </w:t>
      </w:r>
      <w:r>
        <w:t>structure.</w:t>
      </w:r>
    </w:p>
    <w:p w:rsidR="00A03617" w:rsidRDefault="00A03617" w:rsidP="00A03617">
      <w:pPr>
        <w:pStyle w:val="QS10"/>
      </w:pPr>
      <w:r>
        <w:t>Second</w:t>
      </w:r>
      <w:r w:rsidR="00C64050">
        <w:t xml:space="preserve"> </w:t>
      </w:r>
      <w:r>
        <w:t>Chance</w:t>
      </w:r>
      <w:r w:rsidR="00C64050">
        <w:t xml:space="preserve"> </w:t>
      </w:r>
      <w:r>
        <w:t>contacted</w:t>
      </w:r>
      <w:r w:rsidR="00C64050">
        <w:t xml:space="preserve"> </w:t>
      </w:r>
      <w:r>
        <w:t>petitioners</w:t>
      </w:r>
      <w:r w:rsidR="00C64050">
        <w:t xml:space="preserve"> </w:t>
      </w:r>
      <w:r>
        <w:t>via</w:t>
      </w:r>
      <w:r w:rsidR="00C64050">
        <w:t xml:space="preserve"> </w:t>
      </w:r>
      <w:r>
        <w:t>email</w:t>
      </w:r>
      <w:r w:rsidR="00C64050">
        <w:t xml:space="preserve"> </w:t>
      </w:r>
      <w:r>
        <w:t>on</w:t>
      </w:r>
      <w:r w:rsidR="00C64050">
        <w:t xml:space="preserve"> </w:t>
      </w:r>
      <w:r>
        <w:t>May</w:t>
      </w:r>
      <w:r w:rsidR="00C64050">
        <w:t xml:space="preserve"> </w:t>
      </w:r>
      <w:r>
        <w:t>3,</w:t>
      </w:r>
      <w:r w:rsidR="00C64050">
        <w:t xml:space="preserve"> </w:t>
      </w:r>
      <w:r>
        <w:t>2013,</w:t>
      </w:r>
      <w:r w:rsidR="00C64050">
        <w:t xml:space="preserve"> </w:t>
      </w:r>
      <w:r>
        <w:t>explaining</w:t>
      </w:r>
      <w:r w:rsidR="00C64050">
        <w:t xml:space="preserve"> </w:t>
      </w:r>
      <w:r>
        <w:t>its</w:t>
      </w:r>
      <w:r w:rsidR="00C64050">
        <w:t xml:space="preserve"> </w:t>
      </w:r>
      <w:r>
        <w:t>deconstruction</w:t>
      </w:r>
      <w:r w:rsidR="00C64050">
        <w:t xml:space="preserve"> </w:t>
      </w:r>
      <w:r>
        <w:t>program.</w:t>
      </w:r>
      <w:r w:rsidR="00C64050">
        <w:t xml:space="preserve"> </w:t>
      </w:r>
      <w:r>
        <w:t>The</w:t>
      </w:r>
      <w:r w:rsidR="00C64050">
        <w:t xml:space="preserve"> </w:t>
      </w:r>
      <w:r>
        <w:t>email</w:t>
      </w:r>
      <w:r w:rsidR="00C64050">
        <w:t xml:space="preserve"> </w:t>
      </w:r>
      <w:r>
        <w:t>noted</w:t>
      </w:r>
      <w:r w:rsidR="00C64050">
        <w:t xml:space="preserve"> </w:t>
      </w:r>
      <w:r>
        <w:t>that</w:t>
      </w:r>
      <w:r w:rsidR="00C64050">
        <w:t xml:space="preserve"> </w:t>
      </w:r>
      <w:r>
        <w:t>a</w:t>
      </w:r>
      <w:r w:rsidR="00C64050">
        <w:t xml:space="preserve"> </w:t>
      </w:r>
      <w:r>
        <w:t>contribution</w:t>
      </w:r>
      <w:r w:rsidR="00C64050">
        <w:t xml:space="preserve"> </w:t>
      </w:r>
      <w:r>
        <w:t>would</w:t>
      </w:r>
      <w:r w:rsidR="00C64050">
        <w:t xml:space="preserve"> </w:t>
      </w:r>
      <w:r>
        <w:t>generate</w:t>
      </w:r>
      <w:r w:rsidR="00C64050">
        <w:t xml:space="preserve"> </w:t>
      </w:r>
      <w:r>
        <w:t>a</w:t>
      </w:r>
      <w:r w:rsidR="00C64050">
        <w:t xml:space="preserve"> </w:t>
      </w:r>
      <w:r>
        <w:t>tax</w:t>
      </w:r>
      <w:r w:rsidR="00C64050">
        <w:t xml:space="preserve"> </w:t>
      </w:r>
      <w:r>
        <w:t>deduction</w:t>
      </w:r>
      <w:r w:rsidR="00C64050">
        <w:t xml:space="preserve"> </w:t>
      </w:r>
      <w:r>
        <w:t>and</w:t>
      </w:r>
      <w:r w:rsidR="00C64050">
        <w:t xml:space="preserve"> </w:t>
      </w:r>
      <w:r>
        <w:t>included</w:t>
      </w:r>
      <w:r w:rsidR="00C64050">
        <w:t xml:space="preserve"> </w:t>
      </w:r>
      <w:r>
        <w:t>a</w:t>
      </w:r>
      <w:r w:rsidR="00C64050">
        <w:t xml:space="preserve"> </w:t>
      </w:r>
      <w:r>
        <w:t>“Tax</w:t>
      </w:r>
      <w:r w:rsidR="00C64050">
        <w:t xml:space="preserve"> </w:t>
      </w:r>
      <w:r>
        <w:t>Strategy</w:t>
      </w:r>
      <w:r w:rsidR="00C64050">
        <w:t xml:space="preserve"> </w:t>
      </w:r>
      <w:r>
        <w:t>Planning</w:t>
      </w:r>
      <w:r w:rsidR="00C64050">
        <w:t xml:space="preserve"> </w:t>
      </w:r>
      <w:r>
        <w:t>Worksheet”.</w:t>
      </w:r>
      <w:r w:rsidR="00C64050">
        <w:t xml:space="preserve"> </w:t>
      </w:r>
      <w:r>
        <w:t>It</w:t>
      </w:r>
      <w:r w:rsidR="00C64050">
        <w:t xml:space="preserve"> </w:t>
      </w:r>
      <w:r>
        <w:t>further</w:t>
      </w:r>
      <w:r w:rsidR="00C64050">
        <w:t xml:space="preserve"> </w:t>
      </w:r>
      <w:r>
        <w:t>noted</w:t>
      </w:r>
      <w:r w:rsidR="00C64050">
        <w:t xml:space="preserve"> </w:t>
      </w:r>
      <w:r>
        <w:t>that</w:t>
      </w:r>
      <w:r w:rsidR="00C64050">
        <w:t xml:space="preserve"> </w:t>
      </w:r>
      <w:r>
        <w:t>a</w:t>
      </w:r>
      <w:r w:rsidR="00C64050">
        <w:t xml:space="preserve"> </w:t>
      </w:r>
      <w:r>
        <w:t>demolition</w:t>
      </w:r>
      <w:r w:rsidR="00C64050">
        <w:t xml:space="preserve"> </w:t>
      </w:r>
      <w:r>
        <w:t>company</w:t>
      </w:r>
      <w:r w:rsidR="00C64050">
        <w:t xml:space="preserve"> </w:t>
      </w:r>
      <w:r>
        <w:t>would</w:t>
      </w:r>
      <w:r w:rsidR="00C64050">
        <w:t xml:space="preserve"> </w:t>
      </w:r>
      <w:r>
        <w:t>still</w:t>
      </w:r>
      <w:r w:rsidR="00C64050">
        <w:t xml:space="preserve"> </w:t>
      </w:r>
      <w:r>
        <w:t>have</w:t>
      </w:r>
      <w:r w:rsidR="00C64050">
        <w:t xml:space="preserve"> </w:t>
      </w:r>
      <w:r>
        <w:t>to</w:t>
      </w:r>
      <w:r w:rsidR="00C64050">
        <w:t xml:space="preserve"> </w:t>
      </w:r>
      <w:r>
        <w:t>be</w:t>
      </w:r>
      <w:r w:rsidR="00C64050">
        <w:t xml:space="preserve"> </w:t>
      </w:r>
      <w:r>
        <w:t>engaged</w:t>
      </w:r>
      <w:r w:rsidR="00C64050">
        <w:t xml:space="preserve"> </w:t>
      </w:r>
      <w:r>
        <w:t>and</w:t>
      </w:r>
      <w:r w:rsidR="00C64050">
        <w:t xml:space="preserve"> </w:t>
      </w:r>
      <w:r>
        <w:t>that</w:t>
      </w:r>
      <w:r w:rsidR="00C64050">
        <w:t xml:space="preserve"> </w:t>
      </w:r>
      <w:r>
        <w:t>the</w:t>
      </w:r>
      <w:r w:rsidR="00C64050">
        <w:t xml:space="preserve"> </w:t>
      </w:r>
      <w:r>
        <w:t>demolition</w:t>
      </w:r>
      <w:r w:rsidR="00C64050">
        <w:t xml:space="preserve"> </w:t>
      </w:r>
      <w:r>
        <w:t>company's</w:t>
      </w:r>
      <w:r w:rsidR="00C64050">
        <w:t xml:space="preserve"> </w:t>
      </w:r>
      <w:r>
        <w:t>cost</w:t>
      </w:r>
      <w:r w:rsidR="00C64050">
        <w:t xml:space="preserve"> </w:t>
      </w:r>
      <w:r>
        <w:t>would</w:t>
      </w:r>
      <w:r w:rsidR="00C64050">
        <w:t xml:space="preserve"> </w:t>
      </w:r>
      <w:r>
        <w:t>be</w:t>
      </w:r>
      <w:r w:rsidR="00C64050">
        <w:t xml:space="preserve"> </w:t>
      </w:r>
      <w:r>
        <w:t>constant</w:t>
      </w:r>
      <w:r w:rsidR="00C64050">
        <w:t xml:space="preserve"> </w:t>
      </w:r>
      <w:r>
        <w:t>in</w:t>
      </w:r>
      <w:r w:rsidR="00C64050">
        <w:t xml:space="preserve"> </w:t>
      </w:r>
      <w:r>
        <w:t>the</w:t>
      </w:r>
      <w:r w:rsidR="00C64050">
        <w:t xml:space="preserve"> </w:t>
      </w:r>
      <w:r>
        <w:t>project.</w:t>
      </w:r>
    </w:p>
    <w:p w:rsidR="00F5216E" w:rsidRPr="00511298" w:rsidRDefault="00A03617" w:rsidP="00072457">
      <w:pPr>
        <w:pStyle w:val="Body15"/>
        <w:spacing w:before="240"/>
        <w:rPr>
          <w:color w:val="000000" w:themeColor="text1"/>
        </w:rPr>
      </w:pPr>
      <w:r w:rsidRPr="00072457">
        <w:rPr>
          <w:color w:val="000000" w:themeColor="text1"/>
        </w:rPr>
        <w:t>Foo</w:t>
      </w:r>
      <w:r w:rsidRPr="00511298">
        <w:rPr>
          <w:color w:val="000000" w:themeColor="text1"/>
        </w:rPr>
        <w:t>tnote</w:t>
      </w:r>
      <w:r w:rsidR="00C64050" w:rsidRPr="00511298">
        <w:rPr>
          <w:color w:val="000000" w:themeColor="text1"/>
        </w:rPr>
        <w:t xml:space="preserve"> </w:t>
      </w:r>
      <w:r w:rsidRPr="00511298">
        <w:rPr>
          <w:color w:val="000000" w:themeColor="text1"/>
        </w:rPr>
        <w:t>2</w:t>
      </w:r>
      <w:r w:rsidR="00C64050" w:rsidRPr="00511298">
        <w:rPr>
          <w:color w:val="000000" w:themeColor="text1"/>
        </w:rPr>
        <w:t xml:space="preserve"> </w:t>
      </w:r>
      <w:r w:rsidRPr="00511298">
        <w:rPr>
          <w:color w:val="000000" w:themeColor="text1"/>
        </w:rPr>
        <w:t>states:</w:t>
      </w:r>
    </w:p>
    <w:p w:rsidR="00A03617" w:rsidRPr="00511298" w:rsidRDefault="00A03617" w:rsidP="00A03617">
      <w:pPr>
        <w:pStyle w:val="QS10"/>
        <w:rPr>
          <w:color w:val="000000" w:themeColor="text1"/>
          <w:szCs w:val="20"/>
        </w:rPr>
      </w:pPr>
      <w:r w:rsidRPr="00511298">
        <w:rPr>
          <w:color w:val="000000" w:themeColor="text1"/>
          <w:szCs w:val="20"/>
        </w:rPr>
        <w:t>The</w:t>
      </w:r>
      <w:r w:rsidR="00C64050" w:rsidRPr="00511298">
        <w:rPr>
          <w:color w:val="000000" w:themeColor="text1"/>
          <w:szCs w:val="20"/>
        </w:rPr>
        <w:t xml:space="preserve"> </w:t>
      </w:r>
      <w:r w:rsidRPr="00511298">
        <w:rPr>
          <w:color w:val="000000" w:themeColor="text1"/>
          <w:szCs w:val="20"/>
        </w:rPr>
        <w:t>parties</w:t>
      </w:r>
      <w:r w:rsidR="00C64050" w:rsidRPr="00511298">
        <w:rPr>
          <w:color w:val="000000" w:themeColor="text1"/>
          <w:szCs w:val="20"/>
        </w:rPr>
        <w:t xml:space="preserve"> </w:t>
      </w:r>
      <w:r w:rsidRPr="00511298">
        <w:rPr>
          <w:color w:val="000000" w:themeColor="text1"/>
          <w:szCs w:val="20"/>
        </w:rPr>
        <w:t>in</w:t>
      </w:r>
      <w:r w:rsidR="00C64050" w:rsidRPr="00511298">
        <w:rPr>
          <w:color w:val="000000" w:themeColor="text1"/>
          <w:szCs w:val="20"/>
        </w:rPr>
        <w:t xml:space="preserve"> </w:t>
      </w:r>
      <w:r w:rsidRPr="00511298">
        <w:rPr>
          <w:color w:val="000000" w:themeColor="text1"/>
          <w:szCs w:val="20"/>
        </w:rPr>
        <w:t>this</w:t>
      </w:r>
      <w:r w:rsidR="00C64050" w:rsidRPr="00511298">
        <w:rPr>
          <w:color w:val="000000" w:themeColor="text1"/>
          <w:szCs w:val="20"/>
        </w:rPr>
        <w:t xml:space="preserve"> </w:t>
      </w:r>
      <w:r w:rsidRPr="00511298">
        <w:rPr>
          <w:color w:val="000000" w:themeColor="text1"/>
          <w:szCs w:val="20"/>
        </w:rPr>
        <w:t>case</w:t>
      </w:r>
      <w:r w:rsidR="00C64050" w:rsidRPr="00511298">
        <w:rPr>
          <w:color w:val="000000" w:themeColor="text1"/>
          <w:szCs w:val="20"/>
        </w:rPr>
        <w:t xml:space="preserve"> </w:t>
      </w:r>
      <w:r w:rsidRPr="00511298">
        <w:rPr>
          <w:color w:val="000000" w:themeColor="text1"/>
          <w:szCs w:val="20"/>
        </w:rPr>
        <w:t>appear</w:t>
      </w:r>
      <w:r w:rsidR="00C64050" w:rsidRPr="00511298">
        <w:rPr>
          <w:color w:val="000000" w:themeColor="text1"/>
          <w:szCs w:val="20"/>
        </w:rPr>
        <w:t xml:space="preserve"> </w:t>
      </w:r>
      <w:r w:rsidRPr="00511298">
        <w:rPr>
          <w:color w:val="000000" w:themeColor="text1"/>
          <w:szCs w:val="20"/>
        </w:rPr>
        <w:t>to</w:t>
      </w:r>
      <w:r w:rsidR="00C64050" w:rsidRPr="00511298">
        <w:rPr>
          <w:color w:val="000000" w:themeColor="text1"/>
          <w:szCs w:val="20"/>
        </w:rPr>
        <w:t xml:space="preserve"> </w:t>
      </w:r>
      <w:r w:rsidRPr="00511298">
        <w:rPr>
          <w:color w:val="000000" w:themeColor="text1"/>
          <w:szCs w:val="20"/>
        </w:rPr>
        <w:t>agree</w:t>
      </w:r>
      <w:r w:rsidR="00C64050" w:rsidRPr="00511298">
        <w:rPr>
          <w:color w:val="000000" w:themeColor="text1"/>
          <w:szCs w:val="20"/>
        </w:rPr>
        <w:t xml:space="preserve"> </w:t>
      </w:r>
      <w:r w:rsidRPr="00511298">
        <w:rPr>
          <w:color w:val="000000" w:themeColor="text1"/>
          <w:szCs w:val="20"/>
        </w:rPr>
        <w:t>that</w:t>
      </w:r>
      <w:r w:rsidR="00C64050" w:rsidRPr="00511298">
        <w:rPr>
          <w:color w:val="000000" w:themeColor="text1"/>
          <w:szCs w:val="20"/>
        </w:rPr>
        <w:t xml:space="preserve"> </w:t>
      </w:r>
      <w:r w:rsidRPr="00511298">
        <w:rPr>
          <w:color w:val="000000" w:themeColor="text1"/>
          <w:szCs w:val="20"/>
        </w:rPr>
        <w:t>Second</w:t>
      </w:r>
      <w:r w:rsidR="00C64050" w:rsidRPr="00511298">
        <w:rPr>
          <w:color w:val="000000" w:themeColor="text1"/>
          <w:szCs w:val="20"/>
        </w:rPr>
        <w:t xml:space="preserve"> </w:t>
      </w:r>
      <w:r w:rsidRPr="00511298">
        <w:rPr>
          <w:color w:val="000000" w:themeColor="text1"/>
          <w:szCs w:val="20"/>
        </w:rPr>
        <w:t>Chance's</w:t>
      </w:r>
      <w:r w:rsidR="00C64050" w:rsidRPr="00511298">
        <w:rPr>
          <w:color w:val="000000" w:themeColor="text1"/>
          <w:szCs w:val="20"/>
        </w:rPr>
        <w:t xml:space="preserve"> </w:t>
      </w:r>
      <w:r w:rsidRPr="00511298">
        <w:rPr>
          <w:color w:val="000000" w:themeColor="text1"/>
          <w:szCs w:val="20"/>
        </w:rPr>
        <w:t>deconstruction</w:t>
      </w:r>
      <w:r w:rsidR="00C64050" w:rsidRPr="00511298">
        <w:rPr>
          <w:color w:val="000000" w:themeColor="text1"/>
          <w:szCs w:val="20"/>
        </w:rPr>
        <w:t xml:space="preserve"> </w:t>
      </w:r>
      <w:r w:rsidRPr="00511298">
        <w:rPr>
          <w:color w:val="000000" w:themeColor="text1"/>
          <w:szCs w:val="20"/>
        </w:rPr>
        <w:t>did</w:t>
      </w:r>
      <w:r w:rsidR="00C64050" w:rsidRPr="00511298">
        <w:rPr>
          <w:color w:val="000000" w:themeColor="text1"/>
          <w:szCs w:val="20"/>
        </w:rPr>
        <w:t xml:space="preserve"> </w:t>
      </w:r>
      <w:r w:rsidRPr="00511298">
        <w:rPr>
          <w:color w:val="000000" w:themeColor="text1"/>
          <w:szCs w:val="20"/>
        </w:rPr>
        <w:t>not</w:t>
      </w:r>
      <w:r w:rsidR="00C64050" w:rsidRPr="00511298">
        <w:rPr>
          <w:color w:val="000000" w:themeColor="text1"/>
          <w:szCs w:val="20"/>
        </w:rPr>
        <w:t xml:space="preserve"> </w:t>
      </w:r>
      <w:r w:rsidRPr="00511298">
        <w:rPr>
          <w:color w:val="000000" w:themeColor="text1"/>
          <w:szCs w:val="20"/>
        </w:rPr>
        <w:t>appreciably</w:t>
      </w:r>
      <w:r w:rsidR="00C64050" w:rsidRPr="00511298">
        <w:rPr>
          <w:color w:val="000000" w:themeColor="text1"/>
          <w:szCs w:val="20"/>
        </w:rPr>
        <w:t xml:space="preserve"> </w:t>
      </w:r>
      <w:r w:rsidRPr="00511298">
        <w:rPr>
          <w:color w:val="000000" w:themeColor="text1"/>
          <w:szCs w:val="20"/>
        </w:rPr>
        <w:t>reduce</w:t>
      </w:r>
      <w:r w:rsidR="00C64050" w:rsidRPr="00511298">
        <w:rPr>
          <w:color w:val="000000" w:themeColor="text1"/>
          <w:szCs w:val="20"/>
        </w:rPr>
        <w:t xml:space="preserve"> </w:t>
      </w:r>
      <w:r w:rsidRPr="00511298">
        <w:rPr>
          <w:color w:val="000000" w:themeColor="text1"/>
          <w:szCs w:val="20"/>
        </w:rPr>
        <w:t>petitioners'</w:t>
      </w:r>
      <w:r w:rsidR="00C64050" w:rsidRPr="00511298">
        <w:rPr>
          <w:color w:val="000000" w:themeColor="text1"/>
          <w:szCs w:val="20"/>
        </w:rPr>
        <w:t xml:space="preserve"> </w:t>
      </w:r>
      <w:r w:rsidRPr="00511298">
        <w:rPr>
          <w:color w:val="000000" w:themeColor="text1"/>
          <w:szCs w:val="20"/>
        </w:rPr>
        <w:t>demolition</w:t>
      </w:r>
      <w:r w:rsidR="00C64050" w:rsidRPr="00511298">
        <w:rPr>
          <w:color w:val="000000" w:themeColor="text1"/>
          <w:szCs w:val="20"/>
        </w:rPr>
        <w:t xml:space="preserve"> </w:t>
      </w:r>
      <w:r w:rsidRPr="00511298">
        <w:rPr>
          <w:color w:val="000000" w:themeColor="text1"/>
          <w:szCs w:val="20"/>
        </w:rPr>
        <w:t>costs.</w:t>
      </w:r>
    </w:p>
    <w:p w:rsidR="00F5216E" w:rsidRDefault="00F5216E" w:rsidP="00970365">
      <w:pPr>
        <w:pStyle w:val="Body15"/>
        <w:spacing w:before="240"/>
        <w:rPr>
          <w:color w:val="000000" w:themeColor="text1"/>
        </w:rPr>
      </w:pPr>
      <w:r>
        <w:rPr>
          <w:color w:val="000000" w:themeColor="text1"/>
        </w:rPr>
        <w:t>The</w:t>
      </w:r>
      <w:r w:rsidR="00C64050">
        <w:rPr>
          <w:color w:val="000000" w:themeColor="text1"/>
        </w:rPr>
        <w:t xml:space="preserve"> </w:t>
      </w:r>
      <w:r>
        <w:rPr>
          <w:color w:val="000000" w:themeColor="text1"/>
        </w:rPr>
        <w:t>IRS</w:t>
      </w:r>
      <w:r w:rsidR="00C64050">
        <w:rPr>
          <w:color w:val="000000" w:themeColor="text1"/>
        </w:rPr>
        <w:t xml:space="preserve"> </w:t>
      </w:r>
      <w:r>
        <w:rPr>
          <w:color w:val="000000" w:themeColor="text1"/>
        </w:rPr>
        <w:t>had</w:t>
      </w:r>
      <w:r w:rsidR="00C64050">
        <w:rPr>
          <w:color w:val="000000" w:themeColor="text1"/>
        </w:rPr>
        <w:t xml:space="preserve"> </w:t>
      </w:r>
      <w:r>
        <w:rPr>
          <w:color w:val="000000" w:themeColor="text1"/>
        </w:rPr>
        <w:t>other</w:t>
      </w:r>
      <w:r w:rsidR="00C64050">
        <w:rPr>
          <w:color w:val="000000" w:themeColor="text1"/>
        </w:rPr>
        <w:t xml:space="preserve"> </w:t>
      </w:r>
      <w:r>
        <w:rPr>
          <w:color w:val="000000" w:themeColor="text1"/>
        </w:rPr>
        <w:t>issues</w:t>
      </w:r>
      <w:r w:rsidR="00C64050">
        <w:rPr>
          <w:color w:val="000000" w:themeColor="text1"/>
        </w:rPr>
        <w:t xml:space="preserve"> </w:t>
      </w:r>
      <w:r>
        <w:rPr>
          <w:color w:val="000000" w:themeColor="text1"/>
        </w:rPr>
        <w:t>with</w:t>
      </w:r>
      <w:r w:rsidR="00C64050">
        <w:rPr>
          <w:color w:val="000000" w:themeColor="text1"/>
        </w:rPr>
        <w:t xml:space="preserve"> </w:t>
      </w:r>
      <w:r>
        <w:rPr>
          <w:color w:val="000000" w:themeColor="text1"/>
        </w:rPr>
        <w:t>the</w:t>
      </w:r>
      <w:r w:rsidR="00C64050">
        <w:rPr>
          <w:color w:val="000000" w:themeColor="text1"/>
        </w:rPr>
        <w:t xml:space="preserve"> </w:t>
      </w:r>
      <w:r>
        <w:rPr>
          <w:color w:val="000000" w:themeColor="text1"/>
        </w:rPr>
        <w:t>way</w:t>
      </w:r>
      <w:r w:rsidR="00C64050">
        <w:rPr>
          <w:color w:val="000000" w:themeColor="text1"/>
        </w:rPr>
        <w:t xml:space="preserve"> </w:t>
      </w:r>
      <w:r>
        <w:rPr>
          <w:color w:val="000000" w:themeColor="text1"/>
        </w:rPr>
        <w:t>the</w:t>
      </w:r>
      <w:r w:rsidR="00C64050">
        <w:rPr>
          <w:color w:val="000000" w:themeColor="text1"/>
        </w:rPr>
        <w:t xml:space="preserve"> </w:t>
      </w:r>
      <w:r>
        <w:rPr>
          <w:color w:val="000000" w:themeColor="text1"/>
        </w:rPr>
        <w:t>appraisal</w:t>
      </w:r>
      <w:r w:rsidR="00C64050">
        <w:rPr>
          <w:color w:val="000000" w:themeColor="text1"/>
        </w:rPr>
        <w:t xml:space="preserve"> </w:t>
      </w:r>
      <w:r>
        <w:rPr>
          <w:color w:val="000000" w:themeColor="text1"/>
        </w:rPr>
        <w:t>was</w:t>
      </w:r>
      <w:r w:rsidR="00C64050">
        <w:rPr>
          <w:color w:val="000000" w:themeColor="text1"/>
        </w:rPr>
        <w:t xml:space="preserve"> </w:t>
      </w:r>
      <w:r>
        <w:rPr>
          <w:color w:val="000000" w:themeColor="text1"/>
        </w:rPr>
        <w:t>done</w:t>
      </w:r>
      <w:r w:rsidR="00C64050">
        <w:rPr>
          <w:color w:val="000000" w:themeColor="text1"/>
        </w:rPr>
        <w:t xml:space="preserve"> </w:t>
      </w:r>
      <w:r>
        <w:rPr>
          <w:color w:val="000000" w:themeColor="text1"/>
        </w:rPr>
        <w:t>–</w:t>
      </w:r>
      <w:r w:rsidR="00C64050">
        <w:rPr>
          <w:color w:val="000000" w:themeColor="text1"/>
        </w:rPr>
        <w:t xml:space="preserve"> </w:t>
      </w:r>
      <w:r>
        <w:rPr>
          <w:color w:val="000000" w:themeColor="text1"/>
        </w:rPr>
        <w:t>appraising</w:t>
      </w:r>
      <w:r w:rsidR="00C64050">
        <w:rPr>
          <w:color w:val="000000" w:themeColor="text1"/>
        </w:rPr>
        <w:t xml:space="preserve"> </w:t>
      </w:r>
      <w:r>
        <w:rPr>
          <w:color w:val="000000" w:themeColor="text1"/>
        </w:rPr>
        <w:t>the</w:t>
      </w:r>
      <w:r w:rsidR="00C64050">
        <w:rPr>
          <w:color w:val="000000" w:themeColor="text1"/>
        </w:rPr>
        <w:t xml:space="preserve"> </w:t>
      </w:r>
      <w:r>
        <w:rPr>
          <w:color w:val="000000" w:themeColor="text1"/>
        </w:rPr>
        <w:t>house</w:t>
      </w:r>
      <w:r w:rsidR="00C64050">
        <w:rPr>
          <w:color w:val="000000" w:themeColor="text1"/>
        </w:rPr>
        <w:t xml:space="preserve"> </w:t>
      </w:r>
      <w:r>
        <w:rPr>
          <w:color w:val="000000" w:themeColor="text1"/>
        </w:rPr>
        <w:t>versus</w:t>
      </w:r>
      <w:r w:rsidR="00C64050">
        <w:rPr>
          <w:color w:val="000000" w:themeColor="text1"/>
        </w:rPr>
        <w:t xml:space="preserve"> </w:t>
      </w:r>
      <w:r>
        <w:rPr>
          <w:color w:val="000000" w:themeColor="text1"/>
        </w:rPr>
        <w:t>items</w:t>
      </w:r>
      <w:r w:rsidR="00C64050">
        <w:rPr>
          <w:color w:val="000000" w:themeColor="text1"/>
        </w:rPr>
        <w:t xml:space="preserve"> </w:t>
      </w:r>
      <w:r>
        <w:rPr>
          <w:color w:val="000000" w:themeColor="text1"/>
        </w:rPr>
        <w:t>in</w:t>
      </w:r>
      <w:r w:rsidR="00C64050">
        <w:rPr>
          <w:color w:val="000000" w:themeColor="text1"/>
        </w:rPr>
        <w:t xml:space="preserve"> </w:t>
      </w:r>
      <w:r>
        <w:rPr>
          <w:color w:val="000000" w:themeColor="text1"/>
        </w:rPr>
        <w:t>the</w:t>
      </w:r>
      <w:r w:rsidR="00C64050">
        <w:rPr>
          <w:color w:val="000000" w:themeColor="text1"/>
        </w:rPr>
        <w:t xml:space="preserve"> </w:t>
      </w:r>
      <w:r>
        <w:rPr>
          <w:color w:val="000000" w:themeColor="text1"/>
        </w:rPr>
        <w:t>house</w:t>
      </w:r>
      <w:r w:rsidR="00C64050">
        <w:rPr>
          <w:color w:val="000000" w:themeColor="text1"/>
        </w:rPr>
        <w:t xml:space="preserve"> </w:t>
      </w:r>
      <w:r>
        <w:rPr>
          <w:color w:val="000000" w:themeColor="text1"/>
        </w:rPr>
        <w:t>–</w:t>
      </w:r>
      <w:r w:rsidR="00C64050">
        <w:rPr>
          <w:color w:val="000000" w:themeColor="text1"/>
        </w:rPr>
        <w:t xml:space="preserve"> </w:t>
      </w:r>
      <w:r>
        <w:rPr>
          <w:color w:val="000000" w:themeColor="text1"/>
        </w:rPr>
        <w:t>and</w:t>
      </w:r>
      <w:r w:rsidR="00C64050">
        <w:rPr>
          <w:color w:val="000000" w:themeColor="text1"/>
        </w:rPr>
        <w:t xml:space="preserve"> </w:t>
      </w:r>
      <w:r>
        <w:rPr>
          <w:color w:val="000000" w:themeColor="text1"/>
        </w:rPr>
        <w:t>the</w:t>
      </w:r>
      <w:r w:rsidR="00C64050">
        <w:rPr>
          <w:color w:val="000000" w:themeColor="text1"/>
        </w:rPr>
        <w:t xml:space="preserve"> </w:t>
      </w:r>
      <w:r>
        <w:rPr>
          <w:color w:val="000000" w:themeColor="text1"/>
        </w:rPr>
        <w:t>IRS</w:t>
      </w:r>
      <w:r w:rsidR="00C64050">
        <w:rPr>
          <w:color w:val="000000" w:themeColor="text1"/>
        </w:rPr>
        <w:t xml:space="preserve"> </w:t>
      </w:r>
      <w:r>
        <w:rPr>
          <w:color w:val="000000" w:themeColor="text1"/>
        </w:rPr>
        <w:t>also</w:t>
      </w:r>
      <w:r w:rsidR="00C64050">
        <w:rPr>
          <w:color w:val="000000" w:themeColor="text1"/>
        </w:rPr>
        <w:t xml:space="preserve"> </w:t>
      </w:r>
      <w:r>
        <w:rPr>
          <w:color w:val="000000" w:themeColor="text1"/>
        </w:rPr>
        <w:t>advanced</w:t>
      </w:r>
      <w:r w:rsidR="00C64050">
        <w:rPr>
          <w:color w:val="000000" w:themeColor="text1"/>
        </w:rPr>
        <w:t xml:space="preserve"> </w:t>
      </w:r>
      <w:r>
        <w:rPr>
          <w:color w:val="000000" w:themeColor="text1"/>
        </w:rPr>
        <w:t>the</w:t>
      </w:r>
      <w:r w:rsidR="00C64050">
        <w:rPr>
          <w:color w:val="000000" w:themeColor="text1"/>
        </w:rPr>
        <w:t xml:space="preserve"> </w:t>
      </w:r>
      <w:r>
        <w:rPr>
          <w:color w:val="000000" w:themeColor="text1"/>
        </w:rPr>
        <w:t>interesting</w:t>
      </w:r>
      <w:r w:rsidR="00C64050">
        <w:rPr>
          <w:color w:val="000000" w:themeColor="text1"/>
        </w:rPr>
        <w:t xml:space="preserve"> </w:t>
      </w:r>
      <w:r>
        <w:rPr>
          <w:color w:val="000000" w:themeColor="text1"/>
        </w:rPr>
        <w:t>argument</w:t>
      </w:r>
      <w:r w:rsidR="00C64050">
        <w:rPr>
          <w:color w:val="000000" w:themeColor="text1"/>
        </w:rPr>
        <w:t xml:space="preserve"> </w:t>
      </w:r>
      <w:r>
        <w:rPr>
          <w:color w:val="000000" w:themeColor="text1"/>
        </w:rPr>
        <w:t>that</w:t>
      </w:r>
      <w:r w:rsidR="00C64050">
        <w:rPr>
          <w:color w:val="000000" w:themeColor="text1"/>
        </w:rPr>
        <w:t xml:space="preserve"> </w:t>
      </w:r>
      <w:r>
        <w:rPr>
          <w:color w:val="000000" w:themeColor="text1"/>
        </w:rPr>
        <w:t>the</w:t>
      </w:r>
      <w:r w:rsidR="00C64050">
        <w:rPr>
          <w:color w:val="000000" w:themeColor="text1"/>
        </w:rPr>
        <w:t xml:space="preserve"> </w:t>
      </w:r>
      <w:r>
        <w:rPr>
          <w:color w:val="000000" w:themeColor="text1"/>
        </w:rPr>
        <w:t>gift</w:t>
      </w:r>
      <w:r w:rsidR="00C64050">
        <w:rPr>
          <w:color w:val="000000" w:themeColor="text1"/>
        </w:rPr>
        <w:t xml:space="preserve"> </w:t>
      </w:r>
      <w:r>
        <w:rPr>
          <w:color w:val="000000" w:themeColor="text1"/>
        </w:rPr>
        <w:t>was</w:t>
      </w:r>
      <w:r w:rsidR="00C64050">
        <w:rPr>
          <w:color w:val="000000" w:themeColor="text1"/>
        </w:rPr>
        <w:t xml:space="preserve"> </w:t>
      </w:r>
      <w:r>
        <w:rPr>
          <w:color w:val="000000" w:themeColor="text1"/>
        </w:rPr>
        <w:t>a</w:t>
      </w:r>
      <w:r w:rsidR="00C64050">
        <w:rPr>
          <w:color w:val="000000" w:themeColor="text1"/>
        </w:rPr>
        <w:t xml:space="preserve"> </w:t>
      </w:r>
      <w:r>
        <w:rPr>
          <w:color w:val="000000" w:themeColor="text1"/>
        </w:rPr>
        <w:t>partial</w:t>
      </w:r>
      <w:r w:rsidR="00C64050">
        <w:rPr>
          <w:color w:val="000000" w:themeColor="text1"/>
        </w:rPr>
        <w:t xml:space="preserve"> </w:t>
      </w:r>
      <w:r>
        <w:rPr>
          <w:color w:val="000000" w:themeColor="text1"/>
        </w:rPr>
        <w:t>interest.</w:t>
      </w:r>
      <w:r w:rsidR="00C64050">
        <w:rPr>
          <w:color w:val="000000" w:themeColor="text1"/>
        </w:rPr>
        <w:t xml:space="preserve">  </w:t>
      </w:r>
      <w:r>
        <w:rPr>
          <w:color w:val="000000" w:themeColor="text1"/>
        </w:rPr>
        <w:t>The</w:t>
      </w:r>
      <w:r w:rsidR="00C64050">
        <w:rPr>
          <w:color w:val="000000" w:themeColor="text1"/>
        </w:rPr>
        <w:t xml:space="preserve"> </w:t>
      </w:r>
      <w:r>
        <w:rPr>
          <w:color w:val="000000" w:themeColor="text1"/>
        </w:rPr>
        <w:t>court</w:t>
      </w:r>
      <w:r w:rsidR="00C64050">
        <w:rPr>
          <w:color w:val="000000" w:themeColor="text1"/>
        </w:rPr>
        <w:t xml:space="preserve"> </w:t>
      </w:r>
      <w:r>
        <w:rPr>
          <w:color w:val="000000" w:themeColor="text1"/>
        </w:rPr>
        <w:t>did</w:t>
      </w:r>
      <w:r w:rsidR="00C64050">
        <w:rPr>
          <w:color w:val="000000" w:themeColor="text1"/>
        </w:rPr>
        <w:t xml:space="preserve"> </w:t>
      </w:r>
      <w:r>
        <w:rPr>
          <w:color w:val="000000" w:themeColor="text1"/>
        </w:rPr>
        <w:t>not</w:t>
      </w:r>
      <w:r w:rsidR="00C64050">
        <w:rPr>
          <w:color w:val="000000" w:themeColor="text1"/>
        </w:rPr>
        <w:t xml:space="preserve"> </w:t>
      </w:r>
      <w:r>
        <w:rPr>
          <w:color w:val="000000" w:themeColor="text1"/>
        </w:rPr>
        <w:t>address</w:t>
      </w:r>
      <w:r w:rsidR="00C64050">
        <w:rPr>
          <w:color w:val="000000" w:themeColor="text1"/>
        </w:rPr>
        <w:t xml:space="preserve"> </w:t>
      </w:r>
      <w:r w:rsidR="00312E95">
        <w:rPr>
          <w:color w:val="000000" w:themeColor="text1"/>
        </w:rPr>
        <w:t>those</w:t>
      </w:r>
      <w:r w:rsidR="00C64050">
        <w:rPr>
          <w:color w:val="000000" w:themeColor="text1"/>
        </w:rPr>
        <w:t xml:space="preserve"> </w:t>
      </w:r>
      <w:r>
        <w:rPr>
          <w:color w:val="000000" w:themeColor="text1"/>
        </w:rPr>
        <w:t>arguments.</w:t>
      </w:r>
      <w:r w:rsidR="00C64050">
        <w:rPr>
          <w:color w:val="000000" w:themeColor="text1"/>
        </w:rPr>
        <w:t xml:space="preserve">  </w:t>
      </w:r>
      <w:r>
        <w:rPr>
          <w:color w:val="000000" w:themeColor="text1"/>
        </w:rPr>
        <w:t>See</w:t>
      </w:r>
      <w:r w:rsidR="00C64050">
        <w:rPr>
          <w:color w:val="000000" w:themeColor="text1"/>
        </w:rPr>
        <w:t xml:space="preserve"> </w:t>
      </w:r>
      <w:r>
        <w:rPr>
          <w:color w:val="000000" w:themeColor="text1"/>
        </w:rPr>
        <w:t>also</w:t>
      </w:r>
      <w:r w:rsidR="00C64050">
        <w:rPr>
          <w:color w:val="000000" w:themeColor="text1"/>
        </w:rPr>
        <w:t xml:space="preserve"> </w:t>
      </w:r>
      <w:r>
        <w:rPr>
          <w:color w:val="000000" w:themeColor="text1"/>
          <w:u w:val="single"/>
        </w:rPr>
        <w:t>Oakhill</w:t>
      </w:r>
      <w:r w:rsidR="00C64050">
        <w:rPr>
          <w:color w:val="000000" w:themeColor="text1"/>
          <w:u w:val="single"/>
        </w:rPr>
        <w:t xml:space="preserve"> </w:t>
      </w:r>
      <w:r>
        <w:rPr>
          <w:color w:val="000000" w:themeColor="text1"/>
          <w:u w:val="single"/>
        </w:rPr>
        <w:t>Woods</w:t>
      </w:r>
      <w:r w:rsidR="00C64050">
        <w:rPr>
          <w:color w:val="000000" w:themeColor="text1"/>
          <w:u w:val="single"/>
        </w:rPr>
        <w:t xml:space="preserve"> </w:t>
      </w:r>
      <w:r>
        <w:rPr>
          <w:color w:val="000000" w:themeColor="text1"/>
          <w:u w:val="single"/>
        </w:rPr>
        <w:t>v.</w:t>
      </w:r>
      <w:r w:rsidR="00C64050">
        <w:rPr>
          <w:color w:val="000000" w:themeColor="text1"/>
          <w:u w:val="single"/>
        </w:rPr>
        <w:t xml:space="preserve"> </w:t>
      </w:r>
      <w:r>
        <w:rPr>
          <w:color w:val="000000" w:themeColor="text1"/>
          <w:u w:val="single"/>
        </w:rPr>
        <w:t>Commissioner</w:t>
      </w:r>
      <w:r>
        <w:rPr>
          <w:color w:val="000000" w:themeColor="text1"/>
        </w:rPr>
        <w:t>,</w:t>
      </w:r>
      <w:r w:rsidR="00C64050">
        <w:rPr>
          <w:color w:val="000000" w:themeColor="text1"/>
        </w:rPr>
        <w:t xml:space="preserve"> </w:t>
      </w:r>
      <w:r>
        <w:rPr>
          <w:color w:val="000000" w:themeColor="text1"/>
        </w:rPr>
        <w:t>T.C.</w:t>
      </w:r>
      <w:r w:rsidR="00C64050">
        <w:rPr>
          <w:color w:val="000000" w:themeColor="text1"/>
        </w:rPr>
        <w:t xml:space="preserve"> </w:t>
      </w:r>
      <w:r>
        <w:rPr>
          <w:color w:val="000000" w:themeColor="text1"/>
        </w:rPr>
        <w:t>Memo.</w:t>
      </w:r>
      <w:r w:rsidR="00C64050">
        <w:rPr>
          <w:color w:val="000000" w:themeColor="text1"/>
        </w:rPr>
        <w:t xml:space="preserve"> </w:t>
      </w:r>
      <w:r>
        <w:rPr>
          <w:color w:val="000000" w:themeColor="text1"/>
        </w:rPr>
        <w:t>2020-24,</w:t>
      </w:r>
      <w:r w:rsidR="00C64050">
        <w:rPr>
          <w:color w:val="000000" w:themeColor="text1"/>
        </w:rPr>
        <w:t xml:space="preserve"> </w:t>
      </w:r>
      <w:r>
        <w:rPr>
          <w:color w:val="000000" w:themeColor="text1"/>
        </w:rPr>
        <w:t>with</w:t>
      </w:r>
      <w:r w:rsidR="00C64050">
        <w:rPr>
          <w:color w:val="000000" w:themeColor="text1"/>
        </w:rPr>
        <w:t xml:space="preserve"> </w:t>
      </w:r>
      <w:r>
        <w:rPr>
          <w:color w:val="000000" w:themeColor="text1"/>
        </w:rPr>
        <w:t>the</w:t>
      </w:r>
      <w:r w:rsidR="00C64050">
        <w:rPr>
          <w:color w:val="000000" w:themeColor="text1"/>
        </w:rPr>
        <w:t xml:space="preserve"> </w:t>
      </w:r>
      <w:r>
        <w:rPr>
          <w:color w:val="000000" w:themeColor="text1"/>
        </w:rPr>
        <w:t>same</w:t>
      </w:r>
      <w:r w:rsidR="00C64050">
        <w:rPr>
          <w:color w:val="000000" w:themeColor="text1"/>
        </w:rPr>
        <w:t xml:space="preserve"> </w:t>
      </w:r>
      <w:r>
        <w:rPr>
          <w:color w:val="000000" w:themeColor="text1"/>
        </w:rPr>
        <w:t>issue</w:t>
      </w:r>
      <w:r w:rsidR="00C64050">
        <w:rPr>
          <w:color w:val="000000" w:themeColor="text1"/>
        </w:rPr>
        <w:t xml:space="preserve"> </w:t>
      </w:r>
      <w:r>
        <w:rPr>
          <w:color w:val="000000" w:themeColor="text1"/>
        </w:rPr>
        <w:t>and</w:t>
      </w:r>
      <w:r w:rsidR="00C64050">
        <w:rPr>
          <w:color w:val="000000" w:themeColor="text1"/>
        </w:rPr>
        <w:t xml:space="preserve"> </w:t>
      </w:r>
      <w:r>
        <w:rPr>
          <w:color w:val="000000" w:themeColor="text1"/>
        </w:rPr>
        <w:t>result.</w:t>
      </w:r>
      <w:r w:rsidR="00C64050">
        <w:rPr>
          <w:color w:val="000000" w:themeColor="text1"/>
        </w:rPr>
        <w:t xml:space="preserve">  </w:t>
      </w:r>
      <w:r>
        <w:rPr>
          <w:color w:val="000000" w:themeColor="text1"/>
        </w:rPr>
        <w:t>The</w:t>
      </w:r>
      <w:r w:rsidR="00C64050">
        <w:rPr>
          <w:color w:val="000000" w:themeColor="text1"/>
        </w:rPr>
        <w:t xml:space="preserve"> </w:t>
      </w:r>
      <w:r>
        <w:rPr>
          <w:color w:val="000000" w:themeColor="text1"/>
        </w:rPr>
        <w:t>Tax</w:t>
      </w:r>
      <w:r w:rsidR="00C64050">
        <w:rPr>
          <w:color w:val="000000" w:themeColor="text1"/>
        </w:rPr>
        <w:t xml:space="preserve"> </w:t>
      </w:r>
      <w:r>
        <w:rPr>
          <w:color w:val="000000" w:themeColor="text1"/>
        </w:rPr>
        <w:t>Court</w:t>
      </w:r>
      <w:r w:rsidR="00C64050">
        <w:rPr>
          <w:color w:val="000000" w:themeColor="text1"/>
        </w:rPr>
        <w:t xml:space="preserve"> </w:t>
      </w:r>
      <w:r w:rsidR="00312E95">
        <w:rPr>
          <w:color w:val="000000" w:themeColor="text1"/>
        </w:rPr>
        <w:t>also</w:t>
      </w:r>
      <w:r w:rsidR="00C64050">
        <w:rPr>
          <w:color w:val="000000" w:themeColor="text1"/>
        </w:rPr>
        <w:t xml:space="preserve"> </w:t>
      </w:r>
      <w:r>
        <w:rPr>
          <w:color w:val="000000" w:themeColor="text1"/>
        </w:rPr>
        <w:t>rejected</w:t>
      </w:r>
      <w:r w:rsidR="00C64050">
        <w:rPr>
          <w:color w:val="000000" w:themeColor="text1"/>
        </w:rPr>
        <w:t xml:space="preserve"> </w:t>
      </w:r>
      <w:r>
        <w:rPr>
          <w:color w:val="000000" w:themeColor="text1"/>
        </w:rPr>
        <w:t>a</w:t>
      </w:r>
      <w:r w:rsidR="00C64050">
        <w:rPr>
          <w:color w:val="000000" w:themeColor="text1"/>
        </w:rPr>
        <w:t xml:space="preserve"> </w:t>
      </w:r>
      <w:r>
        <w:rPr>
          <w:color w:val="000000" w:themeColor="text1"/>
        </w:rPr>
        <w:t>challenge</w:t>
      </w:r>
      <w:r w:rsidR="00C64050">
        <w:rPr>
          <w:color w:val="000000" w:themeColor="text1"/>
        </w:rPr>
        <w:t xml:space="preserve"> </w:t>
      </w:r>
      <w:r>
        <w:rPr>
          <w:color w:val="000000" w:themeColor="text1"/>
        </w:rPr>
        <w:t>to</w:t>
      </w:r>
      <w:r w:rsidR="00C64050">
        <w:rPr>
          <w:color w:val="000000" w:themeColor="text1"/>
        </w:rPr>
        <w:t xml:space="preserve"> </w:t>
      </w:r>
      <w:r>
        <w:rPr>
          <w:color w:val="000000" w:themeColor="text1"/>
        </w:rPr>
        <w:t>the</w:t>
      </w:r>
      <w:r w:rsidR="00C64050">
        <w:rPr>
          <w:color w:val="000000" w:themeColor="text1"/>
        </w:rPr>
        <w:t xml:space="preserve"> </w:t>
      </w:r>
      <w:r>
        <w:rPr>
          <w:color w:val="000000" w:themeColor="text1"/>
        </w:rPr>
        <w:t>regulation’s</w:t>
      </w:r>
      <w:r w:rsidR="00C64050">
        <w:rPr>
          <w:color w:val="000000" w:themeColor="text1"/>
        </w:rPr>
        <w:t xml:space="preserve"> </w:t>
      </w:r>
      <w:r>
        <w:rPr>
          <w:color w:val="000000" w:themeColor="text1"/>
        </w:rPr>
        <w:t>validity:</w:t>
      </w:r>
    </w:p>
    <w:p w:rsidR="00072457" w:rsidRPr="00072457" w:rsidRDefault="00072457" w:rsidP="00072457">
      <w:pPr>
        <w:pStyle w:val="QS10"/>
        <w:rPr>
          <w:szCs w:val="20"/>
        </w:rPr>
      </w:pPr>
      <w:r w:rsidRPr="00072457">
        <w:rPr>
          <w:szCs w:val="20"/>
        </w:rPr>
        <w:t>This</w:t>
      </w:r>
      <w:r w:rsidR="00C64050">
        <w:rPr>
          <w:szCs w:val="20"/>
        </w:rPr>
        <w:t xml:space="preserve"> </w:t>
      </w:r>
      <w:r w:rsidRPr="00072457">
        <w:rPr>
          <w:szCs w:val="20"/>
        </w:rPr>
        <w:t>argument</w:t>
      </w:r>
      <w:r w:rsidR="00C64050">
        <w:rPr>
          <w:szCs w:val="20"/>
        </w:rPr>
        <w:t xml:space="preserve"> </w:t>
      </w:r>
      <w:r w:rsidRPr="00072457">
        <w:rPr>
          <w:szCs w:val="20"/>
        </w:rPr>
        <w:t>is</w:t>
      </w:r>
      <w:r w:rsidR="00C64050">
        <w:rPr>
          <w:szCs w:val="20"/>
        </w:rPr>
        <w:t xml:space="preserve"> </w:t>
      </w:r>
      <w:r w:rsidRPr="00072457">
        <w:rPr>
          <w:szCs w:val="20"/>
        </w:rPr>
        <w:t>unpersuasive</w:t>
      </w:r>
      <w:r w:rsidR="00C64050">
        <w:rPr>
          <w:szCs w:val="20"/>
        </w:rPr>
        <w:t xml:space="preserve"> </w:t>
      </w:r>
      <w:r w:rsidRPr="00072457">
        <w:rPr>
          <w:szCs w:val="20"/>
        </w:rPr>
        <w:t>for</w:t>
      </w:r>
      <w:r w:rsidR="00C64050">
        <w:rPr>
          <w:szCs w:val="20"/>
        </w:rPr>
        <w:t xml:space="preserve"> </w:t>
      </w:r>
      <w:r w:rsidRPr="00072457">
        <w:rPr>
          <w:szCs w:val="20"/>
        </w:rPr>
        <w:t>at</w:t>
      </w:r>
      <w:r w:rsidR="00C64050">
        <w:rPr>
          <w:szCs w:val="20"/>
        </w:rPr>
        <w:t xml:space="preserve"> </w:t>
      </w:r>
      <w:r w:rsidRPr="00072457">
        <w:rPr>
          <w:szCs w:val="20"/>
        </w:rPr>
        <w:t>least</w:t>
      </w:r>
      <w:r w:rsidR="00C64050">
        <w:rPr>
          <w:szCs w:val="20"/>
        </w:rPr>
        <w:t xml:space="preserve"> </w:t>
      </w:r>
      <w:r w:rsidRPr="00072457">
        <w:rPr>
          <w:szCs w:val="20"/>
        </w:rPr>
        <w:t>three</w:t>
      </w:r>
      <w:r w:rsidR="00C64050">
        <w:rPr>
          <w:szCs w:val="20"/>
        </w:rPr>
        <w:t xml:space="preserve"> </w:t>
      </w:r>
      <w:r w:rsidRPr="00072457">
        <w:rPr>
          <w:szCs w:val="20"/>
        </w:rPr>
        <w:t>reasons.</w:t>
      </w:r>
      <w:r w:rsidR="00C64050">
        <w:rPr>
          <w:szCs w:val="20"/>
        </w:rPr>
        <w:t xml:space="preserve"> </w:t>
      </w:r>
      <w:r w:rsidRPr="00072457">
        <w:rPr>
          <w:szCs w:val="20"/>
        </w:rPr>
        <w:t>First,</w:t>
      </w:r>
      <w:r w:rsidR="00C64050">
        <w:rPr>
          <w:szCs w:val="20"/>
        </w:rPr>
        <w:t xml:space="preserve"> </w:t>
      </w:r>
      <w:r w:rsidRPr="00072457">
        <w:rPr>
          <w:szCs w:val="20"/>
        </w:rPr>
        <w:t>a</w:t>
      </w:r>
      <w:r w:rsidR="00C64050">
        <w:rPr>
          <w:szCs w:val="20"/>
        </w:rPr>
        <w:t xml:space="preserve"> </w:t>
      </w:r>
      <w:r w:rsidRPr="00072457">
        <w:rPr>
          <w:szCs w:val="20"/>
        </w:rPr>
        <w:t>taxpayer's</w:t>
      </w:r>
      <w:r w:rsidR="00C64050">
        <w:rPr>
          <w:szCs w:val="20"/>
        </w:rPr>
        <w:t xml:space="preserve"> </w:t>
      </w:r>
      <w:r w:rsidRPr="00072457">
        <w:rPr>
          <w:szCs w:val="20"/>
        </w:rPr>
        <w:t>“return”</w:t>
      </w:r>
      <w:r w:rsidR="00C64050">
        <w:rPr>
          <w:szCs w:val="20"/>
        </w:rPr>
        <w:t xml:space="preserve"> </w:t>
      </w:r>
      <w:r w:rsidRPr="00072457">
        <w:rPr>
          <w:szCs w:val="20"/>
        </w:rPr>
        <w:t>for</w:t>
      </w:r>
      <w:r w:rsidR="00C64050">
        <w:rPr>
          <w:szCs w:val="20"/>
        </w:rPr>
        <w:t xml:space="preserve"> </w:t>
      </w:r>
      <w:r w:rsidRPr="00072457">
        <w:rPr>
          <w:szCs w:val="20"/>
        </w:rPr>
        <w:t>a</w:t>
      </w:r>
      <w:r w:rsidR="00C64050">
        <w:rPr>
          <w:szCs w:val="20"/>
        </w:rPr>
        <w:t xml:space="preserve"> </w:t>
      </w:r>
      <w:r w:rsidRPr="00072457">
        <w:rPr>
          <w:szCs w:val="20"/>
        </w:rPr>
        <w:t>particular</w:t>
      </w:r>
      <w:r w:rsidR="00C64050">
        <w:rPr>
          <w:szCs w:val="20"/>
        </w:rPr>
        <w:t xml:space="preserve"> </w:t>
      </w:r>
      <w:r w:rsidRPr="00072457">
        <w:rPr>
          <w:szCs w:val="20"/>
        </w:rPr>
        <w:t>year</w:t>
      </w:r>
      <w:r w:rsidR="00C64050">
        <w:rPr>
          <w:szCs w:val="20"/>
        </w:rPr>
        <w:t xml:space="preserve"> </w:t>
      </w:r>
      <w:r w:rsidRPr="00072457">
        <w:rPr>
          <w:szCs w:val="20"/>
        </w:rPr>
        <w:t>includes</w:t>
      </w:r>
      <w:r w:rsidR="00C64050">
        <w:rPr>
          <w:szCs w:val="20"/>
        </w:rPr>
        <w:t xml:space="preserve"> </w:t>
      </w:r>
      <w:r w:rsidRPr="00072457">
        <w:rPr>
          <w:szCs w:val="20"/>
        </w:rPr>
        <w:t>all</w:t>
      </w:r>
      <w:r w:rsidR="00C64050">
        <w:rPr>
          <w:szCs w:val="20"/>
        </w:rPr>
        <w:t xml:space="preserve"> </w:t>
      </w:r>
      <w:r w:rsidRPr="00072457">
        <w:rPr>
          <w:szCs w:val="20"/>
        </w:rPr>
        <w:t>IRS</w:t>
      </w:r>
      <w:r w:rsidR="00C64050">
        <w:rPr>
          <w:szCs w:val="20"/>
        </w:rPr>
        <w:t xml:space="preserve"> </w:t>
      </w:r>
      <w:r w:rsidRPr="00072457">
        <w:rPr>
          <w:szCs w:val="20"/>
        </w:rPr>
        <w:t>forms</w:t>
      </w:r>
      <w:r w:rsidR="00C64050">
        <w:rPr>
          <w:szCs w:val="20"/>
        </w:rPr>
        <w:t xml:space="preserve"> </w:t>
      </w:r>
      <w:r w:rsidRPr="00072457">
        <w:rPr>
          <w:szCs w:val="20"/>
        </w:rPr>
        <w:t>and</w:t>
      </w:r>
      <w:r w:rsidR="00C64050">
        <w:rPr>
          <w:szCs w:val="20"/>
        </w:rPr>
        <w:t xml:space="preserve"> </w:t>
      </w:r>
      <w:r w:rsidRPr="00072457">
        <w:rPr>
          <w:szCs w:val="20"/>
        </w:rPr>
        <w:t>schedules</w:t>
      </w:r>
      <w:r w:rsidR="00C64050">
        <w:rPr>
          <w:szCs w:val="20"/>
        </w:rPr>
        <w:t xml:space="preserve"> </w:t>
      </w:r>
      <w:r w:rsidRPr="00072457">
        <w:rPr>
          <w:szCs w:val="20"/>
        </w:rPr>
        <w:t>required</w:t>
      </w:r>
      <w:r w:rsidR="00C64050">
        <w:rPr>
          <w:szCs w:val="20"/>
        </w:rPr>
        <w:t xml:space="preserve"> </w:t>
      </w:r>
      <w:r w:rsidRPr="00072457">
        <w:rPr>
          <w:szCs w:val="20"/>
        </w:rPr>
        <w:t>to</w:t>
      </w:r>
      <w:r w:rsidR="00C64050">
        <w:rPr>
          <w:szCs w:val="20"/>
        </w:rPr>
        <w:t xml:space="preserve"> </w:t>
      </w:r>
      <w:r w:rsidRPr="00072457">
        <w:rPr>
          <w:szCs w:val="20"/>
        </w:rPr>
        <w:t>be</w:t>
      </w:r>
      <w:r w:rsidR="00C64050">
        <w:rPr>
          <w:szCs w:val="20"/>
        </w:rPr>
        <w:t xml:space="preserve"> </w:t>
      </w:r>
      <w:r w:rsidRPr="00072457">
        <w:rPr>
          <w:szCs w:val="20"/>
        </w:rPr>
        <w:t>filed</w:t>
      </w:r>
      <w:r w:rsidR="00C64050">
        <w:rPr>
          <w:szCs w:val="20"/>
        </w:rPr>
        <w:t xml:space="preserve"> </w:t>
      </w:r>
      <w:r w:rsidRPr="00072457">
        <w:rPr>
          <w:szCs w:val="20"/>
        </w:rPr>
        <w:t>as</w:t>
      </w:r>
      <w:r w:rsidR="00C64050">
        <w:rPr>
          <w:szCs w:val="20"/>
        </w:rPr>
        <w:t xml:space="preserve"> </w:t>
      </w:r>
      <w:r w:rsidRPr="00072457">
        <w:rPr>
          <w:szCs w:val="20"/>
        </w:rPr>
        <w:t>part</w:t>
      </w:r>
      <w:r w:rsidR="00C64050">
        <w:rPr>
          <w:szCs w:val="20"/>
        </w:rPr>
        <w:t xml:space="preserve"> </w:t>
      </w:r>
      <w:r w:rsidRPr="00072457">
        <w:rPr>
          <w:szCs w:val="20"/>
        </w:rPr>
        <w:t>of</w:t>
      </w:r>
      <w:r w:rsidR="00C64050">
        <w:rPr>
          <w:szCs w:val="20"/>
        </w:rPr>
        <w:t xml:space="preserve"> </w:t>
      </w:r>
      <w:r w:rsidRPr="00072457">
        <w:rPr>
          <w:szCs w:val="20"/>
        </w:rPr>
        <w:t>the</w:t>
      </w:r>
      <w:r w:rsidR="00C64050">
        <w:rPr>
          <w:szCs w:val="20"/>
        </w:rPr>
        <w:t xml:space="preserve"> </w:t>
      </w:r>
      <w:r w:rsidRPr="00072457">
        <w:rPr>
          <w:szCs w:val="20"/>
        </w:rPr>
        <w:t>return.</w:t>
      </w:r>
      <w:r w:rsidR="00C64050">
        <w:rPr>
          <w:szCs w:val="20"/>
        </w:rPr>
        <w:t xml:space="preserve"> </w:t>
      </w:r>
      <w:r w:rsidRPr="00072457">
        <w:rPr>
          <w:szCs w:val="20"/>
          <w:u w:val="single"/>
        </w:rPr>
        <w:t>See</w:t>
      </w:r>
      <w:r w:rsidR="00C64050">
        <w:rPr>
          <w:szCs w:val="20"/>
        </w:rPr>
        <w:t xml:space="preserve"> </w:t>
      </w:r>
      <w:r w:rsidRPr="00072457">
        <w:rPr>
          <w:szCs w:val="20"/>
        </w:rPr>
        <w:t>sec.</w:t>
      </w:r>
      <w:r w:rsidR="00C64050">
        <w:rPr>
          <w:szCs w:val="20"/>
        </w:rPr>
        <w:t xml:space="preserve"> </w:t>
      </w:r>
      <w:r w:rsidRPr="00072457">
        <w:rPr>
          <w:szCs w:val="20"/>
        </w:rPr>
        <w:t>1.6011-1,</w:t>
      </w:r>
      <w:r w:rsidR="00C64050">
        <w:rPr>
          <w:szCs w:val="20"/>
        </w:rPr>
        <w:t xml:space="preserve"> </w:t>
      </w:r>
      <w:r w:rsidRPr="00072457">
        <w:rPr>
          <w:szCs w:val="20"/>
        </w:rPr>
        <w:t>Income</w:t>
      </w:r>
      <w:r w:rsidR="00C64050">
        <w:rPr>
          <w:szCs w:val="20"/>
        </w:rPr>
        <w:t xml:space="preserve"> </w:t>
      </w:r>
      <w:r w:rsidRPr="00072457">
        <w:rPr>
          <w:szCs w:val="20"/>
        </w:rPr>
        <w:t>Tax</w:t>
      </w:r>
      <w:r w:rsidR="00C64050">
        <w:rPr>
          <w:szCs w:val="20"/>
        </w:rPr>
        <w:t xml:space="preserve"> </w:t>
      </w:r>
      <w:r w:rsidRPr="00072457">
        <w:rPr>
          <w:szCs w:val="20"/>
        </w:rPr>
        <w:t>Regs.</w:t>
      </w:r>
      <w:r w:rsidR="00C64050">
        <w:rPr>
          <w:szCs w:val="20"/>
        </w:rPr>
        <w:t xml:space="preserve"> </w:t>
      </w:r>
      <w:r w:rsidRPr="00072457">
        <w:rPr>
          <w:szCs w:val="20"/>
        </w:rPr>
        <w:t>The</w:t>
      </w:r>
      <w:r w:rsidR="00C64050">
        <w:rPr>
          <w:szCs w:val="20"/>
        </w:rPr>
        <w:t xml:space="preserve"> </w:t>
      </w:r>
      <w:r w:rsidRPr="00072457">
        <w:rPr>
          <w:szCs w:val="20"/>
        </w:rPr>
        <w:t>Form</w:t>
      </w:r>
      <w:r w:rsidR="00C64050">
        <w:rPr>
          <w:szCs w:val="20"/>
        </w:rPr>
        <w:t xml:space="preserve"> </w:t>
      </w:r>
      <w:r w:rsidRPr="00072457">
        <w:rPr>
          <w:szCs w:val="20"/>
        </w:rPr>
        <w:t>8283,</w:t>
      </w:r>
      <w:r w:rsidR="00C64050">
        <w:rPr>
          <w:szCs w:val="20"/>
        </w:rPr>
        <w:t xml:space="preserve"> </w:t>
      </w:r>
      <w:r w:rsidRPr="00072457">
        <w:rPr>
          <w:szCs w:val="20"/>
        </w:rPr>
        <w:t>comprising</w:t>
      </w:r>
      <w:r w:rsidR="00C64050">
        <w:rPr>
          <w:szCs w:val="20"/>
        </w:rPr>
        <w:t xml:space="preserve"> </w:t>
      </w:r>
      <w:r w:rsidRPr="00072457">
        <w:rPr>
          <w:szCs w:val="20"/>
        </w:rPr>
        <w:t>the</w:t>
      </w:r>
      <w:r w:rsidR="00C64050">
        <w:rPr>
          <w:szCs w:val="20"/>
        </w:rPr>
        <w:t xml:space="preserve"> </w:t>
      </w:r>
      <w:r w:rsidRPr="00072457">
        <w:rPr>
          <w:szCs w:val="20"/>
        </w:rPr>
        <w:t>appraisal</w:t>
      </w:r>
      <w:r w:rsidR="00C64050">
        <w:rPr>
          <w:szCs w:val="20"/>
        </w:rPr>
        <w:t xml:space="preserve"> </w:t>
      </w:r>
      <w:r w:rsidRPr="00072457">
        <w:rPr>
          <w:szCs w:val="20"/>
        </w:rPr>
        <w:t>summary,</w:t>
      </w:r>
      <w:r w:rsidR="00C64050">
        <w:rPr>
          <w:szCs w:val="20"/>
        </w:rPr>
        <w:t xml:space="preserve"> </w:t>
      </w:r>
      <w:r w:rsidRPr="00072457">
        <w:rPr>
          <w:szCs w:val="20"/>
        </w:rPr>
        <w:t>was</w:t>
      </w:r>
      <w:r w:rsidR="00C64050">
        <w:rPr>
          <w:szCs w:val="20"/>
        </w:rPr>
        <w:t xml:space="preserve"> </w:t>
      </w:r>
      <w:r w:rsidRPr="00072457">
        <w:rPr>
          <w:szCs w:val="20"/>
        </w:rPr>
        <w:t>an</w:t>
      </w:r>
      <w:r w:rsidR="00C64050">
        <w:rPr>
          <w:szCs w:val="20"/>
        </w:rPr>
        <w:t xml:space="preserve"> </w:t>
      </w:r>
      <w:r w:rsidRPr="00072457">
        <w:rPr>
          <w:szCs w:val="20"/>
        </w:rPr>
        <w:t>essential</w:t>
      </w:r>
      <w:r w:rsidR="00C64050">
        <w:rPr>
          <w:szCs w:val="20"/>
        </w:rPr>
        <w:t xml:space="preserve"> </w:t>
      </w:r>
      <w:r w:rsidRPr="00072457">
        <w:rPr>
          <w:szCs w:val="20"/>
        </w:rPr>
        <w:t>component</w:t>
      </w:r>
      <w:r w:rsidR="00C64050">
        <w:rPr>
          <w:szCs w:val="20"/>
        </w:rPr>
        <w:t xml:space="preserve"> </w:t>
      </w:r>
      <w:r w:rsidRPr="00072457">
        <w:rPr>
          <w:szCs w:val="20"/>
        </w:rPr>
        <w:t>of</w:t>
      </w:r>
      <w:r w:rsidR="00C64050">
        <w:rPr>
          <w:szCs w:val="20"/>
        </w:rPr>
        <w:t xml:space="preserve"> </w:t>
      </w:r>
      <w:r w:rsidRPr="00072457">
        <w:rPr>
          <w:szCs w:val="20"/>
        </w:rPr>
        <w:t>petitioner's</w:t>
      </w:r>
      <w:r w:rsidR="00C64050">
        <w:rPr>
          <w:szCs w:val="20"/>
        </w:rPr>
        <w:t xml:space="preserve"> </w:t>
      </w:r>
      <w:r w:rsidRPr="00072457">
        <w:rPr>
          <w:szCs w:val="20"/>
        </w:rPr>
        <w:t>return</w:t>
      </w:r>
      <w:r w:rsidR="00C64050">
        <w:rPr>
          <w:szCs w:val="20"/>
        </w:rPr>
        <w:t xml:space="preserve"> </w:t>
      </w:r>
      <w:r w:rsidRPr="00072457">
        <w:rPr>
          <w:szCs w:val="20"/>
        </w:rPr>
        <w:t>for</w:t>
      </w:r>
      <w:r w:rsidR="00C64050">
        <w:rPr>
          <w:szCs w:val="20"/>
        </w:rPr>
        <w:t xml:space="preserve"> </w:t>
      </w:r>
      <w:r w:rsidRPr="00072457">
        <w:rPr>
          <w:szCs w:val="20"/>
        </w:rPr>
        <w:t>2010.</w:t>
      </w:r>
      <w:r w:rsidR="00C64050">
        <w:rPr>
          <w:szCs w:val="20"/>
        </w:rPr>
        <w:t xml:space="preserve"> </w:t>
      </w:r>
      <w:r w:rsidRPr="00072457">
        <w:rPr>
          <w:szCs w:val="20"/>
        </w:rPr>
        <w:t>By</w:t>
      </w:r>
      <w:r w:rsidR="00C64050">
        <w:rPr>
          <w:szCs w:val="20"/>
        </w:rPr>
        <w:t xml:space="preserve"> </w:t>
      </w:r>
      <w:r w:rsidRPr="00072457">
        <w:rPr>
          <w:szCs w:val="20"/>
        </w:rPr>
        <w:t>requiring</w:t>
      </w:r>
      <w:r w:rsidR="00C64050">
        <w:rPr>
          <w:szCs w:val="20"/>
        </w:rPr>
        <w:t xml:space="preserve"> </w:t>
      </w:r>
      <w:r w:rsidRPr="00072457">
        <w:rPr>
          <w:szCs w:val="20"/>
        </w:rPr>
        <w:t>inclusion</w:t>
      </w:r>
      <w:r w:rsidR="00C64050">
        <w:rPr>
          <w:szCs w:val="20"/>
        </w:rPr>
        <w:t xml:space="preserve"> </w:t>
      </w:r>
      <w:r w:rsidRPr="00072457">
        <w:rPr>
          <w:szCs w:val="20"/>
        </w:rPr>
        <w:t>of</w:t>
      </w:r>
      <w:r w:rsidR="00C64050">
        <w:rPr>
          <w:szCs w:val="20"/>
        </w:rPr>
        <w:t xml:space="preserve"> </w:t>
      </w:r>
      <w:r w:rsidRPr="00072457">
        <w:rPr>
          <w:szCs w:val="20"/>
        </w:rPr>
        <w:t>information</w:t>
      </w:r>
      <w:r w:rsidR="00C64050">
        <w:rPr>
          <w:szCs w:val="20"/>
        </w:rPr>
        <w:t xml:space="preserve"> </w:t>
      </w:r>
      <w:r w:rsidRPr="00072457">
        <w:rPr>
          <w:szCs w:val="20"/>
        </w:rPr>
        <w:t>concerning</w:t>
      </w:r>
      <w:r w:rsidR="00C64050">
        <w:rPr>
          <w:szCs w:val="20"/>
        </w:rPr>
        <w:t xml:space="preserve"> </w:t>
      </w:r>
      <w:r w:rsidRPr="00072457">
        <w:rPr>
          <w:szCs w:val="20"/>
        </w:rPr>
        <w:t>cost</w:t>
      </w:r>
      <w:r w:rsidR="00C64050">
        <w:rPr>
          <w:szCs w:val="20"/>
        </w:rPr>
        <w:t xml:space="preserve"> </w:t>
      </w:r>
      <w:r w:rsidRPr="00072457">
        <w:rPr>
          <w:szCs w:val="20"/>
        </w:rPr>
        <w:t>basis</w:t>
      </w:r>
      <w:r w:rsidR="00C64050">
        <w:rPr>
          <w:szCs w:val="20"/>
        </w:rPr>
        <w:t xml:space="preserve"> </w:t>
      </w:r>
      <w:r w:rsidRPr="00072457">
        <w:rPr>
          <w:szCs w:val="20"/>
        </w:rPr>
        <w:t>and</w:t>
      </w:r>
      <w:r w:rsidR="00C64050">
        <w:rPr>
          <w:szCs w:val="20"/>
        </w:rPr>
        <w:t xml:space="preserve"> </w:t>
      </w:r>
      <w:r w:rsidRPr="00072457">
        <w:rPr>
          <w:szCs w:val="20"/>
        </w:rPr>
        <w:t>acquisition</w:t>
      </w:r>
      <w:r w:rsidR="00C64050">
        <w:rPr>
          <w:szCs w:val="20"/>
        </w:rPr>
        <w:t xml:space="preserve"> </w:t>
      </w:r>
      <w:r w:rsidRPr="00072457">
        <w:rPr>
          <w:szCs w:val="20"/>
        </w:rPr>
        <w:t>date</w:t>
      </w:r>
      <w:r w:rsidR="00C64050">
        <w:rPr>
          <w:szCs w:val="20"/>
        </w:rPr>
        <w:t xml:space="preserve"> </w:t>
      </w:r>
      <w:r w:rsidRPr="00072457">
        <w:rPr>
          <w:szCs w:val="20"/>
        </w:rPr>
        <w:t>on</w:t>
      </w:r>
      <w:r w:rsidR="00C64050">
        <w:rPr>
          <w:szCs w:val="20"/>
        </w:rPr>
        <w:t xml:space="preserve"> </w:t>
      </w:r>
      <w:r w:rsidRPr="00072457">
        <w:rPr>
          <w:szCs w:val="20"/>
        </w:rPr>
        <w:t>the</w:t>
      </w:r>
      <w:r w:rsidR="00C64050">
        <w:rPr>
          <w:szCs w:val="20"/>
        </w:rPr>
        <w:t xml:space="preserve"> </w:t>
      </w:r>
      <w:r w:rsidRPr="00072457">
        <w:rPr>
          <w:szCs w:val="20"/>
        </w:rPr>
        <w:t>Form</w:t>
      </w:r>
      <w:r w:rsidR="00C64050">
        <w:rPr>
          <w:szCs w:val="20"/>
        </w:rPr>
        <w:t xml:space="preserve"> </w:t>
      </w:r>
      <w:r w:rsidRPr="00072457">
        <w:rPr>
          <w:szCs w:val="20"/>
        </w:rPr>
        <w:t>8283,</w:t>
      </w:r>
      <w:r w:rsidR="00C64050">
        <w:rPr>
          <w:szCs w:val="20"/>
        </w:rPr>
        <w:t xml:space="preserve"> </w:t>
      </w:r>
      <w:r w:rsidRPr="00072457">
        <w:rPr>
          <w:szCs w:val="20"/>
        </w:rPr>
        <w:t>the</w:t>
      </w:r>
      <w:r w:rsidR="00C64050">
        <w:rPr>
          <w:szCs w:val="20"/>
        </w:rPr>
        <w:t xml:space="preserve"> </w:t>
      </w:r>
      <w:r w:rsidRPr="00072457">
        <w:rPr>
          <w:szCs w:val="20"/>
        </w:rPr>
        <w:t>Secretary</w:t>
      </w:r>
      <w:r w:rsidR="00C64050">
        <w:rPr>
          <w:szCs w:val="20"/>
        </w:rPr>
        <w:t xml:space="preserve"> </w:t>
      </w:r>
      <w:r w:rsidRPr="00072457">
        <w:rPr>
          <w:szCs w:val="20"/>
        </w:rPr>
        <w:t>complied</w:t>
      </w:r>
      <w:r w:rsidR="00C64050">
        <w:rPr>
          <w:szCs w:val="20"/>
        </w:rPr>
        <w:t xml:space="preserve"> </w:t>
      </w:r>
      <w:r w:rsidRPr="00072457">
        <w:rPr>
          <w:szCs w:val="20"/>
        </w:rPr>
        <w:t>with</w:t>
      </w:r>
      <w:r w:rsidR="00C64050">
        <w:rPr>
          <w:szCs w:val="20"/>
        </w:rPr>
        <w:t xml:space="preserve"> </w:t>
      </w:r>
      <w:r w:rsidRPr="00072457">
        <w:rPr>
          <w:szCs w:val="20"/>
        </w:rPr>
        <w:t>Congress'</w:t>
      </w:r>
      <w:r w:rsidR="00C64050">
        <w:rPr>
          <w:szCs w:val="20"/>
        </w:rPr>
        <w:t xml:space="preserve"> </w:t>
      </w:r>
      <w:r w:rsidRPr="00072457">
        <w:rPr>
          <w:szCs w:val="20"/>
        </w:rPr>
        <w:t>mandate</w:t>
      </w:r>
      <w:r w:rsidR="00C64050">
        <w:rPr>
          <w:szCs w:val="20"/>
        </w:rPr>
        <w:t xml:space="preserve"> </w:t>
      </w:r>
      <w:r w:rsidRPr="00072457">
        <w:rPr>
          <w:szCs w:val="20"/>
        </w:rPr>
        <w:t>that</w:t>
      </w:r>
      <w:r w:rsidR="00C64050">
        <w:rPr>
          <w:szCs w:val="20"/>
        </w:rPr>
        <w:t xml:space="preserve"> </w:t>
      </w:r>
      <w:r w:rsidRPr="00072457">
        <w:rPr>
          <w:szCs w:val="20"/>
        </w:rPr>
        <w:t>such</w:t>
      </w:r>
      <w:r w:rsidR="00C64050">
        <w:rPr>
          <w:szCs w:val="20"/>
        </w:rPr>
        <w:t xml:space="preserve"> </w:t>
      </w:r>
      <w:r w:rsidRPr="00072457">
        <w:rPr>
          <w:szCs w:val="20"/>
        </w:rPr>
        <w:t>data</w:t>
      </w:r>
      <w:r w:rsidR="00C64050">
        <w:rPr>
          <w:szCs w:val="20"/>
        </w:rPr>
        <w:t xml:space="preserve"> </w:t>
      </w:r>
      <w:r w:rsidRPr="00072457">
        <w:rPr>
          <w:szCs w:val="20"/>
        </w:rPr>
        <w:t>be</w:t>
      </w:r>
      <w:r w:rsidR="00C64050">
        <w:rPr>
          <w:szCs w:val="20"/>
        </w:rPr>
        <w:t xml:space="preserve"> </w:t>
      </w:r>
      <w:r w:rsidRPr="00072457">
        <w:rPr>
          <w:szCs w:val="20"/>
        </w:rPr>
        <w:t>“include[d]</w:t>
      </w:r>
      <w:r w:rsidR="00C64050">
        <w:rPr>
          <w:szCs w:val="20"/>
        </w:rPr>
        <w:t xml:space="preserve"> </w:t>
      </w:r>
      <w:r w:rsidRPr="00072457">
        <w:rPr>
          <w:szCs w:val="20"/>
        </w:rPr>
        <w:t>on</w:t>
      </w:r>
      <w:r w:rsidR="00C64050">
        <w:rPr>
          <w:szCs w:val="20"/>
        </w:rPr>
        <w:t xml:space="preserve"> </w:t>
      </w:r>
      <w:r w:rsidRPr="00072457">
        <w:rPr>
          <w:szCs w:val="20"/>
        </w:rPr>
        <w:t>such</w:t>
      </w:r>
      <w:r w:rsidR="00C64050">
        <w:rPr>
          <w:szCs w:val="20"/>
        </w:rPr>
        <w:t xml:space="preserve"> </w:t>
      </w:r>
      <w:r w:rsidRPr="00072457">
        <w:rPr>
          <w:szCs w:val="20"/>
        </w:rPr>
        <w:t>return.”</w:t>
      </w:r>
      <w:r w:rsidR="00C64050">
        <w:rPr>
          <w:szCs w:val="20"/>
        </w:rPr>
        <w:t xml:space="preserve"> </w:t>
      </w:r>
      <w:r w:rsidRPr="00072457">
        <w:rPr>
          <w:szCs w:val="20"/>
        </w:rPr>
        <w:t>DEFRA</w:t>
      </w:r>
      <w:r w:rsidR="00C64050">
        <w:rPr>
          <w:szCs w:val="20"/>
        </w:rPr>
        <w:t xml:space="preserve"> </w:t>
      </w:r>
      <w:r w:rsidRPr="00072457">
        <w:rPr>
          <w:szCs w:val="20"/>
        </w:rPr>
        <w:t>sec.</w:t>
      </w:r>
      <w:r w:rsidR="00C64050">
        <w:rPr>
          <w:szCs w:val="20"/>
        </w:rPr>
        <w:t xml:space="preserve"> </w:t>
      </w:r>
      <w:r w:rsidRPr="00072457">
        <w:rPr>
          <w:szCs w:val="20"/>
        </w:rPr>
        <w:t>155(a)(1)(C).</w:t>
      </w:r>
    </w:p>
    <w:p w:rsidR="00072457" w:rsidRPr="00072457" w:rsidRDefault="00072457" w:rsidP="00072457">
      <w:pPr>
        <w:pStyle w:val="QS10"/>
        <w:rPr>
          <w:szCs w:val="20"/>
        </w:rPr>
      </w:pPr>
      <w:r w:rsidRPr="00072457">
        <w:rPr>
          <w:szCs w:val="20"/>
        </w:rPr>
        <w:t>Second,</w:t>
      </w:r>
      <w:r w:rsidR="00C64050">
        <w:rPr>
          <w:szCs w:val="20"/>
        </w:rPr>
        <w:t xml:space="preserve"> </w:t>
      </w:r>
      <w:r w:rsidRPr="00072457">
        <w:rPr>
          <w:szCs w:val="20"/>
        </w:rPr>
        <w:t>even</w:t>
      </w:r>
      <w:r w:rsidR="00C64050">
        <w:rPr>
          <w:szCs w:val="20"/>
        </w:rPr>
        <w:t xml:space="preserve"> </w:t>
      </w:r>
      <w:r w:rsidRPr="00072457">
        <w:rPr>
          <w:szCs w:val="20"/>
        </w:rPr>
        <w:t>if</w:t>
      </w:r>
      <w:r w:rsidR="00C64050">
        <w:rPr>
          <w:szCs w:val="20"/>
        </w:rPr>
        <w:t xml:space="preserve"> </w:t>
      </w:r>
      <w:r w:rsidRPr="00072457">
        <w:rPr>
          <w:szCs w:val="20"/>
        </w:rPr>
        <w:t>Congress</w:t>
      </w:r>
      <w:r w:rsidR="00C64050">
        <w:rPr>
          <w:szCs w:val="20"/>
        </w:rPr>
        <w:t xml:space="preserve"> </w:t>
      </w:r>
      <w:r w:rsidRPr="00072457">
        <w:rPr>
          <w:szCs w:val="20"/>
        </w:rPr>
        <w:t>were</w:t>
      </w:r>
      <w:r w:rsidR="00C64050">
        <w:rPr>
          <w:szCs w:val="20"/>
        </w:rPr>
        <w:t xml:space="preserve"> </w:t>
      </w:r>
      <w:r w:rsidRPr="00072457">
        <w:rPr>
          <w:szCs w:val="20"/>
        </w:rPr>
        <w:t>thought</w:t>
      </w:r>
      <w:r w:rsidR="00C64050">
        <w:rPr>
          <w:szCs w:val="20"/>
        </w:rPr>
        <w:t xml:space="preserve"> </w:t>
      </w:r>
      <w:r w:rsidRPr="00072457">
        <w:rPr>
          <w:szCs w:val="20"/>
        </w:rPr>
        <w:t>to</w:t>
      </w:r>
      <w:r w:rsidR="00C64050">
        <w:rPr>
          <w:szCs w:val="20"/>
        </w:rPr>
        <w:t xml:space="preserve"> </w:t>
      </w:r>
      <w:r w:rsidRPr="00072457">
        <w:rPr>
          <w:szCs w:val="20"/>
        </w:rPr>
        <w:t>have</w:t>
      </w:r>
      <w:r w:rsidR="00C64050">
        <w:rPr>
          <w:szCs w:val="20"/>
        </w:rPr>
        <w:t xml:space="preserve"> </w:t>
      </w:r>
      <w:r w:rsidRPr="00072457">
        <w:rPr>
          <w:szCs w:val="20"/>
        </w:rPr>
        <w:t>intended</w:t>
      </w:r>
      <w:r w:rsidR="00C64050">
        <w:rPr>
          <w:szCs w:val="20"/>
        </w:rPr>
        <w:t xml:space="preserve"> </w:t>
      </w:r>
      <w:r w:rsidRPr="00072457">
        <w:rPr>
          <w:szCs w:val="20"/>
        </w:rPr>
        <w:t>“appraisal</w:t>
      </w:r>
      <w:r w:rsidR="00C64050">
        <w:rPr>
          <w:szCs w:val="20"/>
        </w:rPr>
        <w:t xml:space="preserve"> </w:t>
      </w:r>
      <w:r w:rsidRPr="00072457">
        <w:rPr>
          <w:szCs w:val="20"/>
        </w:rPr>
        <w:t>summary”</w:t>
      </w:r>
      <w:r w:rsidR="00C64050">
        <w:rPr>
          <w:szCs w:val="20"/>
        </w:rPr>
        <w:t xml:space="preserve"> </w:t>
      </w:r>
      <w:r w:rsidRPr="00072457">
        <w:rPr>
          <w:szCs w:val="20"/>
        </w:rPr>
        <w:t>and</w:t>
      </w:r>
      <w:r w:rsidR="00C64050">
        <w:rPr>
          <w:szCs w:val="20"/>
        </w:rPr>
        <w:t xml:space="preserve"> </w:t>
      </w:r>
      <w:r w:rsidRPr="00072457">
        <w:rPr>
          <w:szCs w:val="20"/>
        </w:rPr>
        <w:t>“return”</w:t>
      </w:r>
      <w:r w:rsidR="00C64050">
        <w:rPr>
          <w:szCs w:val="20"/>
        </w:rPr>
        <w:t xml:space="preserve"> </w:t>
      </w:r>
      <w:r w:rsidRPr="00072457">
        <w:rPr>
          <w:szCs w:val="20"/>
        </w:rPr>
        <w:t>to</w:t>
      </w:r>
      <w:r w:rsidR="00C64050">
        <w:rPr>
          <w:szCs w:val="20"/>
        </w:rPr>
        <w:t xml:space="preserve"> </w:t>
      </w:r>
      <w:r w:rsidRPr="00072457">
        <w:rPr>
          <w:szCs w:val="20"/>
        </w:rPr>
        <w:t>be</w:t>
      </w:r>
      <w:r w:rsidR="00C64050">
        <w:rPr>
          <w:szCs w:val="20"/>
        </w:rPr>
        <w:t xml:space="preserve"> </w:t>
      </w:r>
      <w:r w:rsidRPr="00072457">
        <w:rPr>
          <w:szCs w:val="20"/>
        </w:rPr>
        <w:t>mutually</w:t>
      </w:r>
      <w:r w:rsidR="00C64050">
        <w:rPr>
          <w:szCs w:val="20"/>
        </w:rPr>
        <w:t xml:space="preserve"> </w:t>
      </w:r>
      <w:r w:rsidRPr="00072457">
        <w:rPr>
          <w:szCs w:val="20"/>
        </w:rPr>
        <w:t>exclusive</w:t>
      </w:r>
      <w:r w:rsidR="00C64050">
        <w:rPr>
          <w:szCs w:val="20"/>
        </w:rPr>
        <w:t xml:space="preserve"> </w:t>
      </w:r>
      <w:r w:rsidRPr="00072457">
        <w:rPr>
          <w:szCs w:val="20"/>
        </w:rPr>
        <w:t>terms,</w:t>
      </w:r>
      <w:r w:rsidR="00C64050">
        <w:rPr>
          <w:szCs w:val="20"/>
        </w:rPr>
        <w:t xml:space="preserve"> </w:t>
      </w:r>
      <w:r w:rsidRPr="00072457">
        <w:rPr>
          <w:szCs w:val="20"/>
        </w:rPr>
        <w:t>there</w:t>
      </w:r>
      <w:r w:rsidR="00C64050">
        <w:rPr>
          <w:szCs w:val="20"/>
        </w:rPr>
        <w:t xml:space="preserve"> </w:t>
      </w:r>
      <w:r w:rsidRPr="00072457">
        <w:rPr>
          <w:szCs w:val="20"/>
        </w:rPr>
        <w:t>is</w:t>
      </w:r>
      <w:r w:rsidR="00C64050">
        <w:rPr>
          <w:szCs w:val="20"/>
        </w:rPr>
        <w:t xml:space="preserve"> </w:t>
      </w:r>
      <w:r w:rsidRPr="00072457">
        <w:rPr>
          <w:szCs w:val="20"/>
        </w:rPr>
        <w:t>nothing</w:t>
      </w:r>
      <w:r w:rsidR="00C64050">
        <w:rPr>
          <w:szCs w:val="20"/>
        </w:rPr>
        <w:t xml:space="preserve"> </w:t>
      </w:r>
      <w:r w:rsidRPr="00072457">
        <w:rPr>
          <w:szCs w:val="20"/>
        </w:rPr>
        <w:t>in</w:t>
      </w:r>
      <w:r w:rsidR="00C64050">
        <w:rPr>
          <w:szCs w:val="20"/>
        </w:rPr>
        <w:t xml:space="preserve"> </w:t>
      </w:r>
      <w:r w:rsidRPr="00072457">
        <w:rPr>
          <w:szCs w:val="20"/>
        </w:rPr>
        <w:t>DEFRA</w:t>
      </w:r>
      <w:r w:rsidR="00C64050">
        <w:rPr>
          <w:szCs w:val="20"/>
        </w:rPr>
        <w:t xml:space="preserve"> </w:t>
      </w:r>
      <w:r w:rsidRPr="00072457">
        <w:rPr>
          <w:szCs w:val="20"/>
        </w:rPr>
        <w:t>section</w:t>
      </w:r>
      <w:r w:rsidR="00C64050">
        <w:rPr>
          <w:szCs w:val="20"/>
        </w:rPr>
        <w:t xml:space="preserve"> </w:t>
      </w:r>
      <w:r w:rsidRPr="00072457">
        <w:rPr>
          <w:szCs w:val="20"/>
        </w:rPr>
        <w:t>155</w:t>
      </w:r>
      <w:r w:rsidR="00C64050">
        <w:rPr>
          <w:szCs w:val="20"/>
        </w:rPr>
        <w:t xml:space="preserve"> </w:t>
      </w:r>
      <w:r w:rsidRPr="00072457">
        <w:rPr>
          <w:szCs w:val="20"/>
        </w:rPr>
        <w:t>that</w:t>
      </w:r>
      <w:r w:rsidR="00C64050">
        <w:rPr>
          <w:szCs w:val="20"/>
        </w:rPr>
        <w:t xml:space="preserve"> </w:t>
      </w:r>
      <w:r w:rsidRPr="00072457">
        <w:rPr>
          <w:szCs w:val="20"/>
          <w:u w:val="single"/>
        </w:rPr>
        <w:t>prohibits</w:t>
      </w:r>
      <w:r w:rsidR="00C64050">
        <w:rPr>
          <w:szCs w:val="20"/>
        </w:rPr>
        <w:t xml:space="preserve"> </w:t>
      </w:r>
      <w:r w:rsidRPr="00072457">
        <w:rPr>
          <w:szCs w:val="20"/>
        </w:rPr>
        <w:t>the</w:t>
      </w:r>
      <w:r w:rsidR="00C64050">
        <w:rPr>
          <w:szCs w:val="20"/>
        </w:rPr>
        <w:t xml:space="preserve"> </w:t>
      </w:r>
      <w:r w:rsidRPr="00072457">
        <w:rPr>
          <w:szCs w:val="20"/>
        </w:rPr>
        <w:t>Secretary</w:t>
      </w:r>
      <w:r w:rsidR="00C64050">
        <w:rPr>
          <w:szCs w:val="20"/>
        </w:rPr>
        <w:t xml:space="preserve"> </w:t>
      </w:r>
      <w:r w:rsidRPr="00072457">
        <w:rPr>
          <w:szCs w:val="20"/>
        </w:rPr>
        <w:t>from</w:t>
      </w:r>
      <w:r w:rsidR="00C64050">
        <w:rPr>
          <w:szCs w:val="20"/>
        </w:rPr>
        <w:t xml:space="preserve"> </w:t>
      </w:r>
      <w:r w:rsidRPr="00072457">
        <w:rPr>
          <w:szCs w:val="20"/>
        </w:rPr>
        <w:t>requiring</w:t>
      </w:r>
      <w:r w:rsidR="00C64050">
        <w:rPr>
          <w:szCs w:val="20"/>
        </w:rPr>
        <w:t xml:space="preserve"> </w:t>
      </w:r>
      <w:r w:rsidRPr="00072457">
        <w:rPr>
          <w:szCs w:val="20"/>
        </w:rPr>
        <w:t>that</w:t>
      </w:r>
      <w:r w:rsidR="00C64050">
        <w:rPr>
          <w:szCs w:val="20"/>
        </w:rPr>
        <w:t xml:space="preserve"> </w:t>
      </w:r>
      <w:r w:rsidRPr="00072457">
        <w:rPr>
          <w:szCs w:val="20"/>
        </w:rPr>
        <w:t>information</w:t>
      </w:r>
      <w:r w:rsidR="00C64050">
        <w:rPr>
          <w:szCs w:val="20"/>
        </w:rPr>
        <w:t xml:space="preserve"> </w:t>
      </w:r>
      <w:r w:rsidRPr="00072457">
        <w:rPr>
          <w:szCs w:val="20"/>
        </w:rPr>
        <w:t>concerning</w:t>
      </w:r>
      <w:r w:rsidR="00C64050">
        <w:rPr>
          <w:szCs w:val="20"/>
        </w:rPr>
        <w:t xml:space="preserve"> </w:t>
      </w:r>
      <w:r w:rsidRPr="00072457">
        <w:rPr>
          <w:szCs w:val="20"/>
        </w:rPr>
        <w:t>cost</w:t>
      </w:r>
      <w:r w:rsidR="00C64050">
        <w:rPr>
          <w:szCs w:val="20"/>
        </w:rPr>
        <w:t xml:space="preserve"> </w:t>
      </w:r>
      <w:r w:rsidRPr="00072457">
        <w:rPr>
          <w:szCs w:val="20"/>
        </w:rPr>
        <w:t>basis</w:t>
      </w:r>
      <w:r w:rsidR="00C64050">
        <w:rPr>
          <w:szCs w:val="20"/>
        </w:rPr>
        <w:t xml:space="preserve"> </w:t>
      </w:r>
      <w:r w:rsidRPr="00072457">
        <w:rPr>
          <w:szCs w:val="20"/>
        </w:rPr>
        <w:t>and</w:t>
      </w:r>
      <w:r w:rsidR="00C64050">
        <w:rPr>
          <w:szCs w:val="20"/>
        </w:rPr>
        <w:t xml:space="preserve"> </w:t>
      </w:r>
      <w:r w:rsidRPr="00072457">
        <w:rPr>
          <w:szCs w:val="20"/>
        </w:rPr>
        <w:t>acquisition</w:t>
      </w:r>
      <w:r w:rsidR="00C64050">
        <w:rPr>
          <w:szCs w:val="20"/>
        </w:rPr>
        <w:t xml:space="preserve"> </w:t>
      </w:r>
      <w:r w:rsidRPr="00072457">
        <w:rPr>
          <w:szCs w:val="20"/>
        </w:rPr>
        <w:t>date</w:t>
      </w:r>
      <w:r w:rsidR="00C64050">
        <w:rPr>
          <w:szCs w:val="20"/>
        </w:rPr>
        <w:t xml:space="preserve"> </w:t>
      </w:r>
      <w:r w:rsidRPr="00072457">
        <w:rPr>
          <w:szCs w:val="20"/>
        </w:rPr>
        <w:t>be</w:t>
      </w:r>
      <w:r w:rsidR="00C64050">
        <w:rPr>
          <w:szCs w:val="20"/>
        </w:rPr>
        <w:t xml:space="preserve"> </w:t>
      </w:r>
      <w:r w:rsidRPr="00072457">
        <w:rPr>
          <w:szCs w:val="20"/>
        </w:rPr>
        <w:t>included</w:t>
      </w:r>
      <w:r w:rsidR="00C64050">
        <w:rPr>
          <w:szCs w:val="20"/>
        </w:rPr>
        <w:t xml:space="preserve"> </w:t>
      </w:r>
      <w:r w:rsidRPr="00072457">
        <w:rPr>
          <w:szCs w:val="20"/>
          <w:u w:val="single"/>
        </w:rPr>
        <w:t>both</w:t>
      </w:r>
      <w:r w:rsidR="00C64050">
        <w:rPr>
          <w:szCs w:val="20"/>
        </w:rPr>
        <w:t xml:space="preserve"> </w:t>
      </w:r>
      <w:r w:rsidRPr="00072457">
        <w:rPr>
          <w:szCs w:val="20"/>
        </w:rPr>
        <w:t>on</w:t>
      </w:r>
      <w:r w:rsidR="00C64050">
        <w:rPr>
          <w:szCs w:val="20"/>
        </w:rPr>
        <w:t xml:space="preserve"> </w:t>
      </w:r>
      <w:r w:rsidRPr="00072457">
        <w:rPr>
          <w:szCs w:val="20"/>
        </w:rPr>
        <w:t>the</w:t>
      </w:r>
      <w:r w:rsidR="00C64050">
        <w:rPr>
          <w:szCs w:val="20"/>
        </w:rPr>
        <w:t xml:space="preserve"> </w:t>
      </w:r>
      <w:r w:rsidRPr="00072457">
        <w:rPr>
          <w:szCs w:val="20"/>
        </w:rPr>
        <w:t>appraisal</w:t>
      </w:r>
      <w:r w:rsidR="00C64050">
        <w:rPr>
          <w:szCs w:val="20"/>
        </w:rPr>
        <w:t xml:space="preserve"> </w:t>
      </w:r>
      <w:r w:rsidRPr="00072457">
        <w:rPr>
          <w:szCs w:val="20"/>
        </w:rPr>
        <w:t>summary</w:t>
      </w:r>
      <w:r w:rsidR="00C64050">
        <w:rPr>
          <w:szCs w:val="20"/>
        </w:rPr>
        <w:t xml:space="preserve"> </w:t>
      </w:r>
      <w:r w:rsidRPr="00072457">
        <w:rPr>
          <w:szCs w:val="20"/>
          <w:u w:val="single"/>
        </w:rPr>
        <w:t>and</w:t>
      </w:r>
      <w:r w:rsidR="00C64050">
        <w:rPr>
          <w:szCs w:val="20"/>
        </w:rPr>
        <w:t xml:space="preserve"> </w:t>
      </w:r>
      <w:r w:rsidRPr="00072457">
        <w:rPr>
          <w:szCs w:val="20"/>
        </w:rPr>
        <w:t>elsewhere</w:t>
      </w:r>
      <w:r w:rsidR="00C64050">
        <w:rPr>
          <w:szCs w:val="20"/>
        </w:rPr>
        <w:t xml:space="preserve"> </w:t>
      </w:r>
      <w:r w:rsidRPr="00072457">
        <w:rPr>
          <w:szCs w:val="20"/>
        </w:rPr>
        <w:t>on</w:t>
      </w:r>
      <w:r w:rsidR="00C64050">
        <w:rPr>
          <w:szCs w:val="20"/>
        </w:rPr>
        <w:t xml:space="preserve"> </w:t>
      </w:r>
      <w:r w:rsidRPr="00072457">
        <w:rPr>
          <w:szCs w:val="20"/>
        </w:rPr>
        <w:t>the</w:t>
      </w:r>
      <w:r w:rsidR="00C64050">
        <w:rPr>
          <w:szCs w:val="20"/>
        </w:rPr>
        <w:t xml:space="preserve"> </w:t>
      </w:r>
      <w:r w:rsidRPr="00072457">
        <w:rPr>
          <w:szCs w:val="20"/>
        </w:rPr>
        <w:t>return.</w:t>
      </w:r>
      <w:r w:rsidR="00C64050">
        <w:rPr>
          <w:szCs w:val="20"/>
        </w:rPr>
        <w:t xml:space="preserve"> </w:t>
      </w:r>
      <w:r w:rsidRPr="00072457">
        <w:rPr>
          <w:szCs w:val="20"/>
        </w:rPr>
        <w:t>Petitioner</w:t>
      </w:r>
      <w:r w:rsidR="00C64050">
        <w:rPr>
          <w:szCs w:val="20"/>
        </w:rPr>
        <w:t xml:space="preserve"> </w:t>
      </w:r>
      <w:r w:rsidRPr="00072457">
        <w:rPr>
          <w:szCs w:val="20"/>
        </w:rPr>
        <w:t>reads</w:t>
      </w:r>
      <w:r w:rsidR="00C64050">
        <w:rPr>
          <w:szCs w:val="20"/>
        </w:rPr>
        <w:t xml:space="preserve"> </w:t>
      </w:r>
      <w:r w:rsidRPr="00072457">
        <w:rPr>
          <w:szCs w:val="20"/>
        </w:rPr>
        <w:t>into</w:t>
      </w:r>
      <w:r w:rsidR="00C64050">
        <w:rPr>
          <w:szCs w:val="20"/>
        </w:rPr>
        <w:t xml:space="preserve"> </w:t>
      </w:r>
      <w:r w:rsidRPr="00072457">
        <w:rPr>
          <w:szCs w:val="20"/>
        </w:rPr>
        <w:t>DEFRA</w:t>
      </w:r>
      <w:r w:rsidR="00C64050">
        <w:rPr>
          <w:szCs w:val="20"/>
        </w:rPr>
        <w:t xml:space="preserve"> </w:t>
      </w:r>
      <w:r w:rsidRPr="00072457">
        <w:rPr>
          <w:szCs w:val="20"/>
        </w:rPr>
        <w:t>section</w:t>
      </w:r>
      <w:r w:rsidR="00C64050">
        <w:rPr>
          <w:szCs w:val="20"/>
        </w:rPr>
        <w:t xml:space="preserve"> </w:t>
      </w:r>
      <w:r w:rsidRPr="00072457">
        <w:rPr>
          <w:szCs w:val="20"/>
        </w:rPr>
        <w:t>155(a)(1)(C)</w:t>
      </w:r>
      <w:r w:rsidR="00C64050">
        <w:rPr>
          <w:szCs w:val="20"/>
        </w:rPr>
        <w:t xml:space="preserve"> </w:t>
      </w:r>
      <w:r w:rsidRPr="00072457">
        <w:rPr>
          <w:szCs w:val="20"/>
        </w:rPr>
        <w:t>a</w:t>
      </w:r>
      <w:r w:rsidR="00C64050">
        <w:rPr>
          <w:szCs w:val="20"/>
        </w:rPr>
        <w:t xml:space="preserve"> </w:t>
      </w:r>
      <w:r w:rsidRPr="00072457">
        <w:rPr>
          <w:szCs w:val="20"/>
        </w:rPr>
        <w:t>negative</w:t>
      </w:r>
      <w:r w:rsidR="00C64050">
        <w:rPr>
          <w:szCs w:val="20"/>
        </w:rPr>
        <w:t xml:space="preserve"> </w:t>
      </w:r>
      <w:r w:rsidRPr="00072457">
        <w:rPr>
          <w:szCs w:val="20"/>
        </w:rPr>
        <w:t>pregnant</w:t>
      </w:r>
      <w:r w:rsidR="00C64050">
        <w:rPr>
          <w:szCs w:val="20"/>
        </w:rPr>
        <w:t xml:space="preserve"> </w:t>
      </w:r>
      <w:r w:rsidRPr="00072457">
        <w:rPr>
          <w:szCs w:val="20"/>
        </w:rPr>
        <w:t>that</w:t>
      </w:r>
      <w:r w:rsidR="00C64050">
        <w:rPr>
          <w:szCs w:val="20"/>
        </w:rPr>
        <w:t xml:space="preserve"> </w:t>
      </w:r>
      <w:r w:rsidRPr="00072457">
        <w:rPr>
          <w:szCs w:val="20"/>
        </w:rPr>
        <w:t>is</w:t>
      </w:r>
      <w:r w:rsidR="00C64050">
        <w:rPr>
          <w:szCs w:val="20"/>
        </w:rPr>
        <w:t xml:space="preserve"> </w:t>
      </w:r>
      <w:r w:rsidRPr="00072457">
        <w:rPr>
          <w:szCs w:val="20"/>
        </w:rPr>
        <w:t>wholly</w:t>
      </w:r>
      <w:r w:rsidR="00C64050">
        <w:rPr>
          <w:szCs w:val="20"/>
        </w:rPr>
        <w:t xml:space="preserve"> </w:t>
      </w:r>
      <w:r w:rsidRPr="00072457">
        <w:rPr>
          <w:szCs w:val="20"/>
        </w:rPr>
        <w:t>unjustified</w:t>
      </w:r>
      <w:r w:rsidR="00C64050">
        <w:rPr>
          <w:szCs w:val="20"/>
        </w:rPr>
        <w:t xml:space="preserve"> </w:t>
      </w:r>
      <w:r w:rsidRPr="00072457">
        <w:rPr>
          <w:szCs w:val="20"/>
        </w:rPr>
        <w:t>by</w:t>
      </w:r>
      <w:r w:rsidR="00C64050">
        <w:rPr>
          <w:szCs w:val="20"/>
        </w:rPr>
        <w:t xml:space="preserve"> </w:t>
      </w:r>
      <w:r w:rsidRPr="00072457">
        <w:rPr>
          <w:szCs w:val="20"/>
        </w:rPr>
        <w:t>the</w:t>
      </w:r>
      <w:r w:rsidR="00C64050">
        <w:rPr>
          <w:szCs w:val="20"/>
        </w:rPr>
        <w:t xml:space="preserve"> </w:t>
      </w:r>
      <w:r w:rsidRPr="00072457">
        <w:rPr>
          <w:szCs w:val="20"/>
        </w:rPr>
        <w:t>text.</w:t>
      </w:r>
    </w:p>
    <w:p w:rsidR="00072457" w:rsidRPr="00072457" w:rsidRDefault="00072457" w:rsidP="00072457">
      <w:pPr>
        <w:pStyle w:val="QS10"/>
        <w:rPr>
          <w:szCs w:val="20"/>
        </w:rPr>
      </w:pPr>
      <w:r w:rsidRPr="00072457">
        <w:rPr>
          <w:szCs w:val="20"/>
        </w:rPr>
        <w:t>Third,</w:t>
      </w:r>
      <w:r w:rsidR="00C64050">
        <w:rPr>
          <w:szCs w:val="20"/>
        </w:rPr>
        <w:t xml:space="preserve"> </w:t>
      </w:r>
      <w:r w:rsidRPr="00072457">
        <w:rPr>
          <w:szCs w:val="20"/>
        </w:rPr>
        <w:t>DEFRA</w:t>
      </w:r>
      <w:r w:rsidR="00C64050">
        <w:rPr>
          <w:szCs w:val="20"/>
        </w:rPr>
        <w:t xml:space="preserve"> </w:t>
      </w:r>
      <w:r w:rsidRPr="00072457">
        <w:rPr>
          <w:szCs w:val="20"/>
        </w:rPr>
        <w:t>section</w:t>
      </w:r>
      <w:r w:rsidR="00C64050">
        <w:rPr>
          <w:szCs w:val="20"/>
        </w:rPr>
        <w:t xml:space="preserve"> </w:t>
      </w:r>
      <w:r w:rsidRPr="00072457">
        <w:rPr>
          <w:szCs w:val="20"/>
        </w:rPr>
        <w:t>155(a)(3),</w:t>
      </w:r>
      <w:r w:rsidR="00C64050">
        <w:rPr>
          <w:szCs w:val="20"/>
        </w:rPr>
        <w:t xml:space="preserve"> </w:t>
      </w:r>
      <w:r w:rsidRPr="00072457">
        <w:rPr>
          <w:szCs w:val="20"/>
        </w:rPr>
        <w:t>which</w:t>
      </w:r>
      <w:r w:rsidR="00C64050">
        <w:rPr>
          <w:szCs w:val="20"/>
        </w:rPr>
        <w:t xml:space="preserve"> </w:t>
      </w:r>
      <w:r w:rsidRPr="00072457">
        <w:rPr>
          <w:szCs w:val="20"/>
        </w:rPr>
        <w:t>petitioner</w:t>
      </w:r>
      <w:r w:rsidR="00C64050">
        <w:rPr>
          <w:szCs w:val="20"/>
        </w:rPr>
        <w:t xml:space="preserve"> </w:t>
      </w:r>
      <w:r w:rsidRPr="00072457">
        <w:rPr>
          <w:szCs w:val="20"/>
        </w:rPr>
        <w:t>fails</w:t>
      </w:r>
      <w:r w:rsidR="00C64050">
        <w:rPr>
          <w:szCs w:val="20"/>
        </w:rPr>
        <w:t xml:space="preserve"> </w:t>
      </w:r>
      <w:r w:rsidRPr="00072457">
        <w:rPr>
          <w:szCs w:val="20"/>
        </w:rPr>
        <w:t>to</w:t>
      </w:r>
      <w:r w:rsidR="00C64050">
        <w:rPr>
          <w:szCs w:val="20"/>
        </w:rPr>
        <w:t xml:space="preserve"> </w:t>
      </w:r>
      <w:r w:rsidRPr="00072457">
        <w:rPr>
          <w:szCs w:val="20"/>
        </w:rPr>
        <w:t>cite,</w:t>
      </w:r>
      <w:r w:rsidR="00C64050">
        <w:rPr>
          <w:szCs w:val="20"/>
        </w:rPr>
        <w:t xml:space="preserve"> </w:t>
      </w:r>
      <w:r w:rsidRPr="00072457">
        <w:rPr>
          <w:szCs w:val="20"/>
        </w:rPr>
        <w:t>wholly</w:t>
      </w:r>
      <w:r w:rsidR="00C64050">
        <w:rPr>
          <w:szCs w:val="20"/>
        </w:rPr>
        <w:t xml:space="preserve"> </w:t>
      </w:r>
      <w:r w:rsidRPr="00072457">
        <w:rPr>
          <w:szCs w:val="20"/>
        </w:rPr>
        <w:t>undermines</w:t>
      </w:r>
      <w:r w:rsidR="00C64050">
        <w:rPr>
          <w:szCs w:val="20"/>
        </w:rPr>
        <w:t xml:space="preserve"> </w:t>
      </w:r>
      <w:r w:rsidRPr="00072457">
        <w:rPr>
          <w:szCs w:val="20"/>
        </w:rPr>
        <w:t>its</w:t>
      </w:r>
      <w:r w:rsidR="00C64050">
        <w:rPr>
          <w:szCs w:val="20"/>
        </w:rPr>
        <w:t xml:space="preserve"> </w:t>
      </w:r>
      <w:r w:rsidRPr="00072457">
        <w:rPr>
          <w:szCs w:val="20"/>
        </w:rPr>
        <w:t>argument.</w:t>
      </w:r>
      <w:r w:rsidR="00C64050">
        <w:rPr>
          <w:szCs w:val="20"/>
        </w:rPr>
        <w:t xml:space="preserve"> </w:t>
      </w:r>
      <w:r w:rsidRPr="00072457">
        <w:rPr>
          <w:szCs w:val="20"/>
        </w:rPr>
        <w:t>That</w:t>
      </w:r>
      <w:r w:rsidR="00C64050">
        <w:rPr>
          <w:szCs w:val="20"/>
        </w:rPr>
        <w:t xml:space="preserve"> </w:t>
      </w:r>
      <w:r w:rsidRPr="00072457">
        <w:rPr>
          <w:szCs w:val="20"/>
        </w:rPr>
        <w:t>paragraph,</w:t>
      </w:r>
      <w:r w:rsidR="00C64050">
        <w:rPr>
          <w:szCs w:val="20"/>
        </w:rPr>
        <w:t xml:space="preserve"> </w:t>
      </w:r>
      <w:r w:rsidRPr="00072457">
        <w:rPr>
          <w:szCs w:val="20"/>
        </w:rPr>
        <w:t>captioned</w:t>
      </w:r>
      <w:r w:rsidR="00C64050">
        <w:rPr>
          <w:szCs w:val="20"/>
        </w:rPr>
        <w:t xml:space="preserve"> </w:t>
      </w:r>
      <w:r w:rsidRPr="00072457">
        <w:rPr>
          <w:szCs w:val="20"/>
        </w:rPr>
        <w:t>“Appraisal</w:t>
      </w:r>
      <w:r w:rsidR="00C64050">
        <w:rPr>
          <w:szCs w:val="20"/>
        </w:rPr>
        <w:t xml:space="preserve"> </w:t>
      </w:r>
      <w:r w:rsidRPr="00072457">
        <w:rPr>
          <w:szCs w:val="20"/>
        </w:rPr>
        <w:t>summary,”</w:t>
      </w:r>
      <w:r w:rsidR="00C64050">
        <w:rPr>
          <w:szCs w:val="20"/>
        </w:rPr>
        <w:t xml:space="preserve"> </w:t>
      </w:r>
      <w:r w:rsidRPr="00072457">
        <w:rPr>
          <w:szCs w:val="20"/>
        </w:rPr>
        <w:t>provides</w:t>
      </w:r>
      <w:r w:rsidR="00C64050">
        <w:rPr>
          <w:szCs w:val="20"/>
        </w:rPr>
        <w:t xml:space="preserve"> </w:t>
      </w:r>
      <w:r w:rsidRPr="00072457">
        <w:rPr>
          <w:szCs w:val="20"/>
        </w:rPr>
        <w:t>that,</w:t>
      </w:r>
      <w:r w:rsidR="00C64050">
        <w:rPr>
          <w:szCs w:val="20"/>
        </w:rPr>
        <w:t xml:space="preserve"> </w:t>
      </w:r>
      <w:r w:rsidRPr="00072457">
        <w:rPr>
          <w:szCs w:val="20"/>
        </w:rPr>
        <w:t>“[f]or</w:t>
      </w:r>
      <w:r w:rsidR="00C64050">
        <w:rPr>
          <w:szCs w:val="20"/>
        </w:rPr>
        <w:t xml:space="preserve"> </w:t>
      </w:r>
      <w:r w:rsidRPr="00072457">
        <w:rPr>
          <w:szCs w:val="20"/>
        </w:rPr>
        <w:t>purposes</w:t>
      </w:r>
      <w:r w:rsidR="00C64050">
        <w:rPr>
          <w:szCs w:val="20"/>
        </w:rPr>
        <w:t xml:space="preserve"> </w:t>
      </w:r>
      <w:r w:rsidRPr="00072457">
        <w:rPr>
          <w:szCs w:val="20"/>
        </w:rPr>
        <w:t>of</w:t>
      </w:r>
      <w:r w:rsidR="00C64050">
        <w:rPr>
          <w:szCs w:val="20"/>
        </w:rPr>
        <w:t xml:space="preserve"> </w:t>
      </w:r>
      <w:r w:rsidRPr="00072457">
        <w:rPr>
          <w:szCs w:val="20"/>
        </w:rPr>
        <w:t>this</w:t>
      </w:r>
      <w:r w:rsidR="00C64050">
        <w:rPr>
          <w:szCs w:val="20"/>
        </w:rPr>
        <w:t xml:space="preserve"> </w:t>
      </w:r>
      <w:r w:rsidRPr="00072457">
        <w:rPr>
          <w:szCs w:val="20"/>
        </w:rPr>
        <w:t>subsection,</w:t>
      </w:r>
      <w:r w:rsidR="00C64050">
        <w:rPr>
          <w:szCs w:val="20"/>
        </w:rPr>
        <w:t xml:space="preserve"> </w:t>
      </w:r>
      <w:r w:rsidRPr="00072457">
        <w:rPr>
          <w:szCs w:val="20"/>
        </w:rPr>
        <w:t>the</w:t>
      </w:r>
      <w:r w:rsidR="00C64050">
        <w:rPr>
          <w:szCs w:val="20"/>
        </w:rPr>
        <w:t xml:space="preserve"> </w:t>
      </w:r>
      <w:r w:rsidRPr="00072457">
        <w:rPr>
          <w:szCs w:val="20"/>
        </w:rPr>
        <w:t>appraisal</w:t>
      </w:r>
      <w:r w:rsidR="00C64050">
        <w:rPr>
          <w:szCs w:val="20"/>
        </w:rPr>
        <w:t xml:space="preserve"> </w:t>
      </w:r>
      <w:r w:rsidRPr="00072457">
        <w:rPr>
          <w:szCs w:val="20"/>
        </w:rPr>
        <w:t>summary</w:t>
      </w:r>
      <w:r w:rsidR="00C64050">
        <w:rPr>
          <w:szCs w:val="20"/>
        </w:rPr>
        <w:t xml:space="preserve"> </w:t>
      </w:r>
      <w:r w:rsidRPr="00072457">
        <w:rPr>
          <w:szCs w:val="20"/>
        </w:rPr>
        <w:t>shall</w:t>
      </w:r>
      <w:r w:rsidR="00C64050">
        <w:rPr>
          <w:szCs w:val="20"/>
        </w:rPr>
        <w:t xml:space="preserve"> </w:t>
      </w:r>
      <w:r w:rsidRPr="00072457">
        <w:rPr>
          <w:szCs w:val="20"/>
        </w:rPr>
        <w:t>be</w:t>
      </w:r>
      <w:r w:rsidR="00C64050">
        <w:rPr>
          <w:szCs w:val="20"/>
        </w:rPr>
        <w:t xml:space="preserve"> </w:t>
      </w:r>
      <w:r w:rsidRPr="00072457">
        <w:rPr>
          <w:szCs w:val="20"/>
        </w:rPr>
        <w:t>in</w:t>
      </w:r>
      <w:r w:rsidR="00C64050">
        <w:rPr>
          <w:szCs w:val="20"/>
        </w:rPr>
        <w:t xml:space="preserve"> </w:t>
      </w:r>
      <w:r w:rsidRPr="00072457">
        <w:rPr>
          <w:szCs w:val="20"/>
        </w:rPr>
        <w:t>such</w:t>
      </w:r>
      <w:r w:rsidR="00C64050">
        <w:rPr>
          <w:szCs w:val="20"/>
        </w:rPr>
        <w:t xml:space="preserve"> </w:t>
      </w:r>
      <w:r w:rsidRPr="00072457">
        <w:rPr>
          <w:szCs w:val="20"/>
        </w:rPr>
        <w:t>form</w:t>
      </w:r>
      <w:r w:rsidR="00C64050">
        <w:rPr>
          <w:szCs w:val="20"/>
        </w:rPr>
        <w:t xml:space="preserve"> </w:t>
      </w:r>
      <w:r w:rsidRPr="00072457">
        <w:rPr>
          <w:szCs w:val="20"/>
          <w:u w:val="single"/>
        </w:rPr>
        <w:t>and</w:t>
      </w:r>
      <w:r w:rsidR="00C64050">
        <w:rPr>
          <w:szCs w:val="20"/>
          <w:u w:val="single"/>
        </w:rPr>
        <w:t xml:space="preserve"> </w:t>
      </w:r>
      <w:r w:rsidRPr="00072457">
        <w:rPr>
          <w:szCs w:val="20"/>
          <w:u w:val="single"/>
        </w:rPr>
        <w:t>include</w:t>
      </w:r>
      <w:r w:rsidR="00C64050">
        <w:rPr>
          <w:szCs w:val="20"/>
          <w:u w:val="single"/>
        </w:rPr>
        <w:t xml:space="preserve"> </w:t>
      </w:r>
      <w:r w:rsidRPr="00072457">
        <w:rPr>
          <w:szCs w:val="20"/>
          <w:u w:val="single"/>
        </w:rPr>
        <w:t>such</w:t>
      </w:r>
      <w:r w:rsidR="00C64050">
        <w:rPr>
          <w:szCs w:val="20"/>
          <w:u w:val="single"/>
        </w:rPr>
        <w:t xml:space="preserve"> </w:t>
      </w:r>
      <w:r w:rsidRPr="00072457">
        <w:rPr>
          <w:szCs w:val="20"/>
          <w:u w:val="single"/>
        </w:rPr>
        <w:t>information</w:t>
      </w:r>
      <w:r w:rsidR="00747AE4">
        <w:rPr>
          <w:szCs w:val="20"/>
        </w:rPr>
        <w:t xml:space="preserve"> </w:t>
      </w:r>
      <w:r w:rsidRPr="00072457">
        <w:rPr>
          <w:szCs w:val="20"/>
        </w:rPr>
        <w:t>as</w:t>
      </w:r>
      <w:r w:rsidR="00C64050">
        <w:rPr>
          <w:szCs w:val="20"/>
        </w:rPr>
        <w:t xml:space="preserve"> </w:t>
      </w:r>
      <w:r w:rsidRPr="00072457">
        <w:rPr>
          <w:szCs w:val="20"/>
        </w:rPr>
        <w:t>the</w:t>
      </w:r>
      <w:r w:rsidR="00C64050">
        <w:rPr>
          <w:szCs w:val="20"/>
        </w:rPr>
        <w:t xml:space="preserve"> </w:t>
      </w:r>
      <w:r w:rsidRPr="00072457">
        <w:rPr>
          <w:szCs w:val="20"/>
        </w:rPr>
        <w:t>Secretary</w:t>
      </w:r>
      <w:r w:rsidR="00C64050">
        <w:rPr>
          <w:szCs w:val="20"/>
        </w:rPr>
        <w:t xml:space="preserve"> </w:t>
      </w:r>
      <w:r w:rsidRPr="00072457">
        <w:rPr>
          <w:szCs w:val="20"/>
        </w:rPr>
        <w:t>prescribes</w:t>
      </w:r>
      <w:r w:rsidR="00C64050">
        <w:rPr>
          <w:szCs w:val="20"/>
        </w:rPr>
        <w:t xml:space="preserve"> </w:t>
      </w:r>
      <w:r w:rsidRPr="00072457">
        <w:rPr>
          <w:szCs w:val="20"/>
        </w:rPr>
        <w:t>by</w:t>
      </w:r>
      <w:r w:rsidR="00C64050">
        <w:rPr>
          <w:szCs w:val="20"/>
        </w:rPr>
        <w:t xml:space="preserve"> </w:t>
      </w:r>
      <w:r w:rsidRPr="00072457">
        <w:rPr>
          <w:szCs w:val="20"/>
        </w:rPr>
        <w:t>regulations.”</w:t>
      </w:r>
      <w:r w:rsidR="00C64050">
        <w:rPr>
          <w:szCs w:val="20"/>
        </w:rPr>
        <w:t xml:space="preserve"> </w:t>
      </w:r>
      <w:r w:rsidRPr="00072457">
        <w:rPr>
          <w:szCs w:val="20"/>
        </w:rPr>
        <w:t>(Emphasis</w:t>
      </w:r>
      <w:r w:rsidR="00C64050">
        <w:rPr>
          <w:szCs w:val="20"/>
        </w:rPr>
        <w:t xml:space="preserve"> </w:t>
      </w:r>
      <w:r w:rsidRPr="00072457">
        <w:rPr>
          <w:szCs w:val="20"/>
        </w:rPr>
        <w:t>added.)</w:t>
      </w:r>
      <w:r w:rsidR="00C64050">
        <w:rPr>
          <w:szCs w:val="20"/>
        </w:rPr>
        <w:t xml:space="preserve"> </w:t>
      </w:r>
      <w:r w:rsidRPr="00072457">
        <w:rPr>
          <w:szCs w:val="20"/>
        </w:rPr>
        <w:t>Congress</w:t>
      </w:r>
      <w:r w:rsidR="00C64050">
        <w:rPr>
          <w:szCs w:val="20"/>
        </w:rPr>
        <w:t xml:space="preserve"> </w:t>
      </w:r>
      <w:r w:rsidRPr="00072457">
        <w:rPr>
          <w:szCs w:val="20"/>
        </w:rPr>
        <w:t>thus</w:t>
      </w:r>
      <w:r w:rsidR="00C64050">
        <w:rPr>
          <w:szCs w:val="20"/>
        </w:rPr>
        <w:t xml:space="preserve"> </w:t>
      </w:r>
      <w:r w:rsidRPr="00072457">
        <w:rPr>
          <w:szCs w:val="20"/>
        </w:rPr>
        <w:t>left</w:t>
      </w:r>
      <w:r w:rsidR="00C64050">
        <w:rPr>
          <w:szCs w:val="20"/>
        </w:rPr>
        <w:t xml:space="preserve"> </w:t>
      </w:r>
      <w:r w:rsidRPr="00072457">
        <w:rPr>
          <w:szCs w:val="20"/>
        </w:rPr>
        <w:t>the</w:t>
      </w:r>
      <w:r w:rsidR="00C64050">
        <w:rPr>
          <w:szCs w:val="20"/>
        </w:rPr>
        <w:t xml:space="preserve"> </w:t>
      </w:r>
      <w:r w:rsidRPr="00072457">
        <w:rPr>
          <w:szCs w:val="20"/>
        </w:rPr>
        <w:t>Secretary</w:t>
      </w:r>
      <w:r w:rsidR="00C64050">
        <w:rPr>
          <w:szCs w:val="20"/>
        </w:rPr>
        <w:t xml:space="preserve"> </w:t>
      </w:r>
      <w:r w:rsidRPr="00072457">
        <w:rPr>
          <w:szCs w:val="20"/>
        </w:rPr>
        <w:t>with</w:t>
      </w:r>
      <w:r w:rsidR="00C64050">
        <w:rPr>
          <w:szCs w:val="20"/>
        </w:rPr>
        <w:t xml:space="preserve"> </w:t>
      </w:r>
      <w:r w:rsidRPr="00072457">
        <w:rPr>
          <w:szCs w:val="20"/>
        </w:rPr>
        <w:t>discretion</w:t>
      </w:r>
      <w:r w:rsidR="00C64050">
        <w:rPr>
          <w:szCs w:val="20"/>
        </w:rPr>
        <w:t xml:space="preserve"> </w:t>
      </w:r>
      <w:r w:rsidRPr="00072457">
        <w:rPr>
          <w:szCs w:val="20"/>
        </w:rPr>
        <w:t>to</w:t>
      </w:r>
      <w:r w:rsidR="00C64050">
        <w:rPr>
          <w:szCs w:val="20"/>
        </w:rPr>
        <w:t xml:space="preserve"> </w:t>
      </w:r>
      <w:r w:rsidRPr="00072457">
        <w:rPr>
          <w:szCs w:val="20"/>
        </w:rPr>
        <w:t>require</w:t>
      </w:r>
      <w:r w:rsidR="00C64050">
        <w:rPr>
          <w:szCs w:val="20"/>
        </w:rPr>
        <w:t xml:space="preserve"> </w:t>
      </w:r>
      <w:r w:rsidRPr="00072457">
        <w:rPr>
          <w:szCs w:val="20"/>
        </w:rPr>
        <w:t>inclusion</w:t>
      </w:r>
      <w:r w:rsidR="00C64050">
        <w:rPr>
          <w:szCs w:val="20"/>
        </w:rPr>
        <w:t xml:space="preserve"> </w:t>
      </w:r>
      <w:r w:rsidRPr="00072457">
        <w:rPr>
          <w:szCs w:val="20"/>
        </w:rPr>
        <w:t>on</w:t>
      </w:r>
      <w:r w:rsidR="00C64050">
        <w:rPr>
          <w:szCs w:val="20"/>
        </w:rPr>
        <w:t xml:space="preserve"> </w:t>
      </w:r>
      <w:r w:rsidRPr="00072457">
        <w:rPr>
          <w:szCs w:val="20"/>
        </w:rPr>
        <w:t>Form</w:t>
      </w:r>
      <w:r w:rsidR="00C64050">
        <w:rPr>
          <w:szCs w:val="20"/>
        </w:rPr>
        <w:t xml:space="preserve"> </w:t>
      </w:r>
      <w:r w:rsidRPr="00072457">
        <w:rPr>
          <w:szCs w:val="20"/>
        </w:rPr>
        <w:t>8283</w:t>
      </w:r>
      <w:r w:rsidR="00C64050">
        <w:rPr>
          <w:szCs w:val="20"/>
        </w:rPr>
        <w:t xml:space="preserve"> </w:t>
      </w:r>
      <w:r w:rsidRPr="00072457">
        <w:rPr>
          <w:szCs w:val="20"/>
        </w:rPr>
        <w:t>of</w:t>
      </w:r>
      <w:r w:rsidR="00C64050">
        <w:rPr>
          <w:szCs w:val="20"/>
        </w:rPr>
        <w:t xml:space="preserve"> </w:t>
      </w:r>
      <w:r w:rsidRPr="00072457">
        <w:rPr>
          <w:szCs w:val="20"/>
        </w:rPr>
        <w:t>whatever</w:t>
      </w:r>
      <w:r w:rsidR="00C64050">
        <w:rPr>
          <w:szCs w:val="20"/>
        </w:rPr>
        <w:t xml:space="preserve"> </w:t>
      </w:r>
      <w:r w:rsidRPr="00072457">
        <w:rPr>
          <w:szCs w:val="20"/>
        </w:rPr>
        <w:t>information</w:t>
      </w:r>
      <w:r w:rsidR="00C64050">
        <w:rPr>
          <w:szCs w:val="20"/>
        </w:rPr>
        <w:t xml:space="preserve"> </w:t>
      </w:r>
      <w:r w:rsidRPr="00072457">
        <w:rPr>
          <w:szCs w:val="20"/>
        </w:rPr>
        <w:t>the</w:t>
      </w:r>
      <w:r w:rsidR="00C64050">
        <w:rPr>
          <w:szCs w:val="20"/>
        </w:rPr>
        <w:t xml:space="preserve"> </w:t>
      </w:r>
      <w:r w:rsidRPr="00072457">
        <w:rPr>
          <w:szCs w:val="20"/>
        </w:rPr>
        <w:t>Secretary</w:t>
      </w:r>
      <w:r w:rsidR="00C64050">
        <w:rPr>
          <w:szCs w:val="20"/>
        </w:rPr>
        <w:t xml:space="preserve"> </w:t>
      </w:r>
      <w:r w:rsidRPr="00072457">
        <w:rPr>
          <w:szCs w:val="20"/>
        </w:rPr>
        <w:t>reasonably</w:t>
      </w:r>
      <w:r w:rsidR="00C64050">
        <w:rPr>
          <w:szCs w:val="20"/>
        </w:rPr>
        <w:t xml:space="preserve"> </w:t>
      </w:r>
      <w:r w:rsidRPr="00072457">
        <w:rPr>
          <w:szCs w:val="20"/>
        </w:rPr>
        <w:t>deemed</w:t>
      </w:r>
      <w:r w:rsidR="00C64050">
        <w:rPr>
          <w:szCs w:val="20"/>
        </w:rPr>
        <w:t xml:space="preserve"> </w:t>
      </w:r>
      <w:r w:rsidRPr="00072457">
        <w:rPr>
          <w:szCs w:val="20"/>
        </w:rPr>
        <w:t>relevant.</w:t>
      </w:r>
      <w:r w:rsidR="00C64050">
        <w:rPr>
          <w:szCs w:val="20"/>
        </w:rPr>
        <w:t xml:space="preserve"> </w:t>
      </w:r>
      <w:r w:rsidRPr="00072457">
        <w:rPr>
          <w:szCs w:val="20"/>
          <w:u w:val="single"/>
        </w:rPr>
        <w:t>See</w:t>
      </w:r>
      <w:r w:rsidR="00C64050">
        <w:rPr>
          <w:szCs w:val="20"/>
        </w:rPr>
        <w:t xml:space="preserve"> </w:t>
      </w:r>
      <w:r w:rsidRPr="00072457">
        <w:rPr>
          <w:szCs w:val="20"/>
          <w:u w:val="single"/>
        </w:rPr>
        <w:t>Blau</w:t>
      </w:r>
      <w:r w:rsidRPr="00072457">
        <w:rPr>
          <w:szCs w:val="20"/>
        </w:rPr>
        <w:t>,</w:t>
      </w:r>
      <w:r w:rsidR="00C64050">
        <w:rPr>
          <w:szCs w:val="20"/>
        </w:rPr>
        <w:t xml:space="preserve"> </w:t>
      </w:r>
      <w:r w:rsidRPr="00072457">
        <w:rPr>
          <w:szCs w:val="20"/>
        </w:rPr>
        <w:t>924</w:t>
      </w:r>
      <w:r w:rsidR="00C64050">
        <w:rPr>
          <w:szCs w:val="20"/>
        </w:rPr>
        <w:t xml:space="preserve"> </w:t>
      </w:r>
      <w:r w:rsidRPr="00072457">
        <w:rPr>
          <w:szCs w:val="20"/>
        </w:rPr>
        <w:t>F.3d</w:t>
      </w:r>
      <w:r w:rsidR="00C64050">
        <w:rPr>
          <w:szCs w:val="20"/>
        </w:rPr>
        <w:t xml:space="preserve"> </w:t>
      </w:r>
      <w:r w:rsidRPr="00072457">
        <w:rPr>
          <w:szCs w:val="20"/>
        </w:rPr>
        <w:t>at</w:t>
      </w:r>
      <w:r w:rsidR="00C64050">
        <w:rPr>
          <w:szCs w:val="20"/>
        </w:rPr>
        <w:t xml:space="preserve"> </w:t>
      </w:r>
      <w:r w:rsidRPr="00072457">
        <w:rPr>
          <w:szCs w:val="20"/>
        </w:rPr>
        <w:t>1270</w:t>
      </w:r>
      <w:r w:rsidR="00C64050">
        <w:rPr>
          <w:szCs w:val="20"/>
        </w:rPr>
        <w:t xml:space="preserve"> </w:t>
      </w:r>
      <w:r w:rsidRPr="00072457">
        <w:rPr>
          <w:szCs w:val="20"/>
        </w:rPr>
        <w:t>(“Though</w:t>
      </w:r>
      <w:r w:rsidR="00C64050">
        <w:rPr>
          <w:szCs w:val="20"/>
        </w:rPr>
        <w:t xml:space="preserve"> </w:t>
      </w:r>
      <w:r w:rsidRPr="00072457">
        <w:rPr>
          <w:szCs w:val="20"/>
        </w:rPr>
        <w:t>the</w:t>
      </w:r>
      <w:r w:rsidR="00C64050">
        <w:rPr>
          <w:szCs w:val="20"/>
        </w:rPr>
        <w:t xml:space="preserve"> </w:t>
      </w:r>
      <w:r w:rsidRPr="00072457">
        <w:rPr>
          <w:szCs w:val="20"/>
        </w:rPr>
        <w:t>Congress</w:t>
      </w:r>
      <w:r w:rsidR="00C64050">
        <w:rPr>
          <w:szCs w:val="20"/>
        </w:rPr>
        <w:t xml:space="preserve"> </w:t>
      </w:r>
      <w:r w:rsidRPr="00072457">
        <w:rPr>
          <w:szCs w:val="20"/>
        </w:rPr>
        <w:t>left</w:t>
      </w:r>
      <w:r w:rsidR="00C64050">
        <w:rPr>
          <w:szCs w:val="20"/>
        </w:rPr>
        <w:t xml:space="preserve"> </w:t>
      </w:r>
      <w:r w:rsidRPr="00072457">
        <w:rPr>
          <w:szCs w:val="20"/>
        </w:rPr>
        <w:t>it</w:t>
      </w:r>
      <w:r w:rsidR="00C64050">
        <w:rPr>
          <w:szCs w:val="20"/>
        </w:rPr>
        <w:t xml:space="preserve"> </w:t>
      </w:r>
      <w:r w:rsidRPr="00072457">
        <w:rPr>
          <w:szCs w:val="20"/>
        </w:rPr>
        <w:t>to</w:t>
      </w:r>
      <w:r w:rsidR="00C64050">
        <w:rPr>
          <w:szCs w:val="20"/>
        </w:rPr>
        <w:t xml:space="preserve"> </w:t>
      </w:r>
      <w:r w:rsidRPr="00072457">
        <w:rPr>
          <w:szCs w:val="20"/>
        </w:rPr>
        <w:t>the</w:t>
      </w:r>
      <w:r w:rsidR="00C64050">
        <w:rPr>
          <w:szCs w:val="20"/>
        </w:rPr>
        <w:t xml:space="preserve"> </w:t>
      </w:r>
      <w:r w:rsidRPr="00072457">
        <w:rPr>
          <w:szCs w:val="20"/>
        </w:rPr>
        <w:t>discretion</w:t>
      </w:r>
      <w:r w:rsidR="00C64050">
        <w:rPr>
          <w:szCs w:val="20"/>
        </w:rPr>
        <w:t xml:space="preserve"> </w:t>
      </w:r>
      <w:r w:rsidRPr="00072457">
        <w:rPr>
          <w:szCs w:val="20"/>
        </w:rPr>
        <w:t>of</w:t>
      </w:r>
      <w:r w:rsidR="00C64050">
        <w:rPr>
          <w:szCs w:val="20"/>
        </w:rPr>
        <w:t xml:space="preserve"> </w:t>
      </w:r>
      <w:r w:rsidRPr="00072457">
        <w:rPr>
          <w:szCs w:val="20"/>
        </w:rPr>
        <w:t>the</w:t>
      </w:r>
      <w:r w:rsidR="00C64050">
        <w:rPr>
          <w:szCs w:val="20"/>
        </w:rPr>
        <w:t xml:space="preserve"> </w:t>
      </w:r>
      <w:r w:rsidRPr="00072457">
        <w:rPr>
          <w:szCs w:val="20"/>
        </w:rPr>
        <w:t>Secretary</w:t>
      </w:r>
      <w:r w:rsidR="00C64050">
        <w:rPr>
          <w:szCs w:val="20"/>
        </w:rPr>
        <w:t xml:space="preserve"> </w:t>
      </w:r>
      <w:r w:rsidRPr="00072457">
        <w:rPr>
          <w:szCs w:val="20"/>
        </w:rPr>
        <w:t>*</w:t>
      </w:r>
      <w:r w:rsidR="00C64050">
        <w:rPr>
          <w:szCs w:val="20"/>
        </w:rPr>
        <w:t xml:space="preserve"> </w:t>
      </w:r>
      <w:r w:rsidRPr="00072457">
        <w:rPr>
          <w:szCs w:val="20"/>
        </w:rPr>
        <w:t>*</w:t>
      </w:r>
      <w:r w:rsidR="00C64050">
        <w:rPr>
          <w:szCs w:val="20"/>
        </w:rPr>
        <w:t xml:space="preserve"> </w:t>
      </w:r>
      <w:r w:rsidRPr="00072457">
        <w:rPr>
          <w:szCs w:val="20"/>
        </w:rPr>
        <w:t>*</w:t>
      </w:r>
      <w:r w:rsidR="00C64050">
        <w:rPr>
          <w:szCs w:val="20"/>
        </w:rPr>
        <w:t xml:space="preserve"> </w:t>
      </w:r>
      <w:r w:rsidRPr="00072457">
        <w:rPr>
          <w:szCs w:val="20"/>
        </w:rPr>
        <w:t>to</w:t>
      </w:r>
      <w:r w:rsidR="00C64050">
        <w:rPr>
          <w:szCs w:val="20"/>
        </w:rPr>
        <w:t xml:space="preserve"> </w:t>
      </w:r>
      <w:r w:rsidRPr="00072457">
        <w:rPr>
          <w:szCs w:val="20"/>
        </w:rPr>
        <w:t>impose</w:t>
      </w:r>
      <w:r w:rsidR="00C64050">
        <w:rPr>
          <w:szCs w:val="20"/>
        </w:rPr>
        <w:t xml:space="preserve"> </w:t>
      </w:r>
      <w:r w:rsidRPr="00072457">
        <w:rPr>
          <w:szCs w:val="20"/>
        </w:rPr>
        <w:t>additional</w:t>
      </w:r>
      <w:r w:rsidR="00C64050">
        <w:rPr>
          <w:szCs w:val="20"/>
        </w:rPr>
        <w:t xml:space="preserve"> </w:t>
      </w:r>
      <w:r w:rsidRPr="00072457">
        <w:rPr>
          <w:szCs w:val="20"/>
        </w:rPr>
        <w:t>reporting</w:t>
      </w:r>
      <w:r w:rsidR="00C64050">
        <w:rPr>
          <w:szCs w:val="20"/>
        </w:rPr>
        <w:t xml:space="preserve"> </w:t>
      </w:r>
      <w:r w:rsidRPr="00072457">
        <w:rPr>
          <w:szCs w:val="20"/>
        </w:rPr>
        <w:t>requirements,</w:t>
      </w:r>
      <w:r w:rsidR="00C64050">
        <w:rPr>
          <w:szCs w:val="20"/>
        </w:rPr>
        <w:t xml:space="preserve"> </w:t>
      </w:r>
      <w:r w:rsidRPr="00072457">
        <w:rPr>
          <w:szCs w:val="20"/>
        </w:rPr>
        <w:t>the</w:t>
      </w:r>
      <w:r w:rsidR="00C64050">
        <w:rPr>
          <w:szCs w:val="20"/>
        </w:rPr>
        <w:t xml:space="preserve"> </w:t>
      </w:r>
      <w:r w:rsidRPr="00072457">
        <w:rPr>
          <w:szCs w:val="20"/>
        </w:rPr>
        <w:t>Congress</w:t>
      </w:r>
      <w:r w:rsidR="00C64050">
        <w:rPr>
          <w:szCs w:val="20"/>
        </w:rPr>
        <w:t xml:space="preserve"> </w:t>
      </w:r>
      <w:r w:rsidRPr="00072457">
        <w:rPr>
          <w:szCs w:val="20"/>
        </w:rPr>
        <w:t>specifically</w:t>
      </w:r>
      <w:r w:rsidR="00C64050">
        <w:rPr>
          <w:szCs w:val="20"/>
        </w:rPr>
        <w:t xml:space="preserve"> </w:t>
      </w:r>
      <w:r w:rsidRPr="00072457">
        <w:rPr>
          <w:szCs w:val="20"/>
        </w:rPr>
        <w:t>identified</w:t>
      </w:r>
      <w:r w:rsidR="00C64050">
        <w:rPr>
          <w:szCs w:val="20"/>
        </w:rPr>
        <w:t xml:space="preserve"> </w:t>
      </w:r>
      <w:r w:rsidRPr="00072457">
        <w:rPr>
          <w:szCs w:val="20"/>
        </w:rPr>
        <w:t>the</w:t>
      </w:r>
      <w:r w:rsidR="00C64050">
        <w:rPr>
          <w:szCs w:val="20"/>
        </w:rPr>
        <w:t xml:space="preserve"> </w:t>
      </w:r>
      <w:r w:rsidRPr="00072457">
        <w:rPr>
          <w:szCs w:val="20"/>
        </w:rPr>
        <w:t>basis</w:t>
      </w:r>
      <w:r w:rsidR="00C64050">
        <w:rPr>
          <w:szCs w:val="20"/>
        </w:rPr>
        <w:t xml:space="preserve"> </w:t>
      </w:r>
      <w:r w:rsidRPr="00072457">
        <w:rPr>
          <w:szCs w:val="20"/>
        </w:rPr>
        <w:t>and</w:t>
      </w:r>
      <w:r w:rsidR="00C64050">
        <w:rPr>
          <w:szCs w:val="20"/>
        </w:rPr>
        <w:t xml:space="preserve"> </w:t>
      </w:r>
      <w:r w:rsidRPr="00072457">
        <w:rPr>
          <w:szCs w:val="20"/>
        </w:rPr>
        <w:t>the</w:t>
      </w:r>
      <w:r w:rsidR="00C64050">
        <w:rPr>
          <w:szCs w:val="20"/>
        </w:rPr>
        <w:t xml:space="preserve"> </w:t>
      </w:r>
      <w:r w:rsidRPr="00072457">
        <w:rPr>
          <w:szCs w:val="20"/>
        </w:rPr>
        <w:t>date</w:t>
      </w:r>
      <w:r w:rsidR="00C64050">
        <w:rPr>
          <w:szCs w:val="20"/>
        </w:rPr>
        <w:t xml:space="preserve"> </w:t>
      </w:r>
      <w:r w:rsidRPr="00072457">
        <w:rPr>
          <w:szCs w:val="20"/>
        </w:rPr>
        <w:t>of</w:t>
      </w:r>
      <w:r w:rsidR="00C64050">
        <w:rPr>
          <w:szCs w:val="20"/>
        </w:rPr>
        <w:t xml:space="preserve"> </w:t>
      </w:r>
      <w:r w:rsidRPr="00072457">
        <w:rPr>
          <w:szCs w:val="20"/>
        </w:rPr>
        <w:t>acquisition</w:t>
      </w:r>
      <w:r w:rsidR="00C64050">
        <w:rPr>
          <w:szCs w:val="20"/>
        </w:rPr>
        <w:t xml:space="preserve"> </w:t>
      </w:r>
      <w:r w:rsidRPr="00072457">
        <w:rPr>
          <w:szCs w:val="20"/>
        </w:rPr>
        <w:t>as</w:t>
      </w:r>
      <w:r w:rsidR="00C64050">
        <w:rPr>
          <w:szCs w:val="20"/>
        </w:rPr>
        <w:t xml:space="preserve"> </w:t>
      </w:r>
      <w:r w:rsidRPr="00072457">
        <w:rPr>
          <w:szCs w:val="20"/>
        </w:rPr>
        <w:t>the</w:t>
      </w:r>
      <w:r w:rsidR="00C64050">
        <w:rPr>
          <w:szCs w:val="20"/>
        </w:rPr>
        <w:t xml:space="preserve"> </w:t>
      </w:r>
      <w:r w:rsidRPr="00072457">
        <w:rPr>
          <w:szCs w:val="20"/>
        </w:rPr>
        <w:t>bare</w:t>
      </w:r>
      <w:r w:rsidR="00C64050">
        <w:rPr>
          <w:szCs w:val="20"/>
        </w:rPr>
        <w:t xml:space="preserve"> </w:t>
      </w:r>
      <w:r w:rsidRPr="00072457">
        <w:rPr>
          <w:szCs w:val="20"/>
        </w:rPr>
        <w:t>mini-mum</w:t>
      </w:r>
      <w:r w:rsidR="00C64050">
        <w:rPr>
          <w:szCs w:val="20"/>
        </w:rPr>
        <w:t xml:space="preserve"> </w:t>
      </w:r>
      <w:r w:rsidRPr="00072457">
        <w:rPr>
          <w:szCs w:val="20"/>
        </w:rPr>
        <w:t>that</w:t>
      </w:r>
      <w:r w:rsidR="00C64050">
        <w:rPr>
          <w:szCs w:val="20"/>
        </w:rPr>
        <w:t xml:space="preserve"> </w:t>
      </w:r>
      <w:r w:rsidRPr="00072457">
        <w:rPr>
          <w:szCs w:val="20"/>
        </w:rPr>
        <w:t>a</w:t>
      </w:r>
      <w:r w:rsidR="00C64050">
        <w:rPr>
          <w:szCs w:val="20"/>
        </w:rPr>
        <w:t xml:space="preserve"> </w:t>
      </w:r>
      <w:r w:rsidRPr="00072457">
        <w:rPr>
          <w:szCs w:val="20"/>
        </w:rPr>
        <w:t>taxpayer</w:t>
      </w:r>
      <w:r w:rsidR="00C64050">
        <w:rPr>
          <w:szCs w:val="20"/>
        </w:rPr>
        <w:t xml:space="preserve"> </w:t>
      </w:r>
      <w:r w:rsidRPr="00072457">
        <w:rPr>
          <w:szCs w:val="20"/>
        </w:rPr>
        <w:t>must</w:t>
      </w:r>
      <w:r w:rsidR="00C64050">
        <w:rPr>
          <w:szCs w:val="20"/>
        </w:rPr>
        <w:t xml:space="preserve"> </w:t>
      </w:r>
      <w:r w:rsidRPr="00072457">
        <w:rPr>
          <w:szCs w:val="20"/>
        </w:rPr>
        <w:t>provide.”).</w:t>
      </w:r>
      <w:r w:rsidR="00C64050">
        <w:rPr>
          <w:szCs w:val="20"/>
        </w:rPr>
        <w:t xml:space="preserve"> </w:t>
      </w:r>
      <w:r w:rsidRPr="00072457">
        <w:rPr>
          <w:szCs w:val="20"/>
        </w:rPr>
        <w:t>The</w:t>
      </w:r>
      <w:r w:rsidR="00C64050">
        <w:rPr>
          <w:szCs w:val="20"/>
        </w:rPr>
        <w:t xml:space="preserve"> </w:t>
      </w:r>
      <w:r w:rsidRPr="00072457">
        <w:rPr>
          <w:szCs w:val="20"/>
        </w:rPr>
        <w:t>Code</w:t>
      </w:r>
      <w:r w:rsidR="00C64050">
        <w:rPr>
          <w:szCs w:val="20"/>
        </w:rPr>
        <w:t xml:space="preserve"> </w:t>
      </w:r>
      <w:r w:rsidRPr="00072457">
        <w:rPr>
          <w:szCs w:val="20"/>
        </w:rPr>
        <w:t>provision</w:t>
      </w:r>
      <w:r w:rsidR="00C64050">
        <w:rPr>
          <w:szCs w:val="20"/>
        </w:rPr>
        <w:t xml:space="preserve"> </w:t>
      </w:r>
      <w:r w:rsidRPr="00072457">
        <w:rPr>
          <w:szCs w:val="20"/>
        </w:rPr>
        <w:t>governing</w:t>
      </w:r>
      <w:r w:rsidR="00C64050">
        <w:rPr>
          <w:szCs w:val="20"/>
        </w:rPr>
        <w:t xml:space="preserve"> </w:t>
      </w:r>
      <w:r w:rsidRPr="00072457">
        <w:rPr>
          <w:szCs w:val="20"/>
        </w:rPr>
        <w:t>appraisals</w:t>
      </w:r>
      <w:r w:rsidR="00C64050">
        <w:rPr>
          <w:szCs w:val="20"/>
        </w:rPr>
        <w:t xml:space="preserve"> </w:t>
      </w:r>
      <w:r w:rsidRPr="00072457">
        <w:rPr>
          <w:szCs w:val="20"/>
        </w:rPr>
        <w:t>makes</w:t>
      </w:r>
      <w:r w:rsidR="00C64050">
        <w:rPr>
          <w:szCs w:val="20"/>
        </w:rPr>
        <w:t xml:space="preserve"> </w:t>
      </w:r>
      <w:r w:rsidRPr="00072457">
        <w:rPr>
          <w:szCs w:val="20"/>
        </w:rPr>
        <w:t>the</w:t>
      </w:r>
      <w:r w:rsidR="00C64050">
        <w:rPr>
          <w:szCs w:val="20"/>
        </w:rPr>
        <w:t xml:space="preserve"> </w:t>
      </w:r>
      <w:r w:rsidRPr="00072457">
        <w:rPr>
          <w:szCs w:val="20"/>
        </w:rPr>
        <w:t>depth</w:t>
      </w:r>
      <w:r w:rsidR="00C64050">
        <w:rPr>
          <w:szCs w:val="20"/>
        </w:rPr>
        <w:t xml:space="preserve"> </w:t>
      </w:r>
      <w:r w:rsidRPr="00072457">
        <w:rPr>
          <w:szCs w:val="20"/>
        </w:rPr>
        <w:t>of</w:t>
      </w:r>
      <w:r w:rsidR="00C64050">
        <w:rPr>
          <w:szCs w:val="20"/>
        </w:rPr>
        <w:t xml:space="preserve"> </w:t>
      </w:r>
      <w:r w:rsidRPr="00072457">
        <w:rPr>
          <w:szCs w:val="20"/>
        </w:rPr>
        <w:t>the</w:t>
      </w:r>
      <w:r w:rsidR="00C64050">
        <w:rPr>
          <w:szCs w:val="20"/>
        </w:rPr>
        <w:t xml:space="preserve"> </w:t>
      </w:r>
      <w:r w:rsidRPr="00072457">
        <w:rPr>
          <w:szCs w:val="20"/>
        </w:rPr>
        <w:t>Secretary's</w:t>
      </w:r>
      <w:r w:rsidR="00C64050">
        <w:rPr>
          <w:szCs w:val="20"/>
        </w:rPr>
        <w:t xml:space="preserve"> </w:t>
      </w:r>
      <w:r w:rsidRPr="00072457">
        <w:rPr>
          <w:szCs w:val="20"/>
        </w:rPr>
        <w:t>discretion</w:t>
      </w:r>
      <w:r w:rsidR="00C64050">
        <w:rPr>
          <w:szCs w:val="20"/>
        </w:rPr>
        <w:t xml:space="preserve"> </w:t>
      </w:r>
      <w:r w:rsidRPr="00072457">
        <w:rPr>
          <w:szCs w:val="20"/>
        </w:rPr>
        <w:t>plain.</w:t>
      </w:r>
      <w:r w:rsidR="00C64050">
        <w:rPr>
          <w:szCs w:val="20"/>
        </w:rPr>
        <w:t xml:space="preserve"> </w:t>
      </w:r>
      <w:r w:rsidRPr="00072457">
        <w:rPr>
          <w:szCs w:val="20"/>
          <w:u w:val="single"/>
        </w:rPr>
        <w:t>See</w:t>
      </w:r>
      <w:r w:rsidR="00C64050">
        <w:rPr>
          <w:szCs w:val="20"/>
        </w:rPr>
        <w:t xml:space="preserve"> </w:t>
      </w:r>
      <w:r w:rsidRPr="00072457">
        <w:rPr>
          <w:szCs w:val="20"/>
        </w:rPr>
        <w:t>sec.</w:t>
      </w:r>
      <w:r w:rsidR="00C64050">
        <w:rPr>
          <w:szCs w:val="20"/>
        </w:rPr>
        <w:t xml:space="preserve"> </w:t>
      </w:r>
      <w:r w:rsidRPr="00072457">
        <w:rPr>
          <w:szCs w:val="20"/>
        </w:rPr>
        <w:t>170(f)(11)(C)</w:t>
      </w:r>
      <w:r w:rsidR="00C64050">
        <w:rPr>
          <w:szCs w:val="20"/>
        </w:rPr>
        <w:t xml:space="preserve"> </w:t>
      </w:r>
      <w:r w:rsidRPr="00072457">
        <w:rPr>
          <w:szCs w:val="20"/>
        </w:rPr>
        <w:t>(requiring</w:t>
      </w:r>
      <w:r w:rsidR="00C64050">
        <w:rPr>
          <w:szCs w:val="20"/>
        </w:rPr>
        <w:t xml:space="preserve"> </w:t>
      </w:r>
      <w:r w:rsidRPr="00072457">
        <w:rPr>
          <w:szCs w:val="20"/>
        </w:rPr>
        <w:t>that</w:t>
      </w:r>
      <w:r w:rsidR="00C64050">
        <w:rPr>
          <w:szCs w:val="20"/>
        </w:rPr>
        <w:t xml:space="preserve"> </w:t>
      </w:r>
      <w:r w:rsidRPr="00072457">
        <w:rPr>
          <w:szCs w:val="20"/>
        </w:rPr>
        <w:t>taxpayers</w:t>
      </w:r>
      <w:r w:rsidR="00C64050">
        <w:rPr>
          <w:szCs w:val="20"/>
        </w:rPr>
        <w:t xml:space="preserve"> </w:t>
      </w:r>
      <w:r w:rsidRPr="00072457">
        <w:rPr>
          <w:szCs w:val="20"/>
        </w:rPr>
        <w:t>obtain</w:t>
      </w:r>
      <w:r w:rsidR="00C64050">
        <w:rPr>
          <w:szCs w:val="20"/>
        </w:rPr>
        <w:t xml:space="preserve"> </w:t>
      </w:r>
      <w:r w:rsidRPr="00072457">
        <w:rPr>
          <w:szCs w:val="20"/>
        </w:rPr>
        <w:t>a</w:t>
      </w:r>
      <w:r w:rsidR="00C64050">
        <w:rPr>
          <w:szCs w:val="20"/>
        </w:rPr>
        <w:t xml:space="preserve"> </w:t>
      </w:r>
      <w:r w:rsidRPr="00072457">
        <w:rPr>
          <w:szCs w:val="20"/>
        </w:rPr>
        <w:t>qualified</w:t>
      </w:r>
      <w:r w:rsidR="00C64050">
        <w:rPr>
          <w:szCs w:val="20"/>
        </w:rPr>
        <w:t xml:space="preserve"> </w:t>
      </w:r>
      <w:r w:rsidRPr="00072457">
        <w:rPr>
          <w:szCs w:val="20"/>
        </w:rPr>
        <w:t>appraisal</w:t>
      </w:r>
      <w:r w:rsidR="00C64050">
        <w:rPr>
          <w:szCs w:val="20"/>
        </w:rPr>
        <w:t xml:space="preserve"> </w:t>
      </w:r>
      <w:r w:rsidRPr="00072457">
        <w:rPr>
          <w:szCs w:val="20"/>
        </w:rPr>
        <w:t>and</w:t>
      </w:r>
      <w:r w:rsidR="00C64050">
        <w:rPr>
          <w:szCs w:val="20"/>
        </w:rPr>
        <w:t xml:space="preserve"> </w:t>
      </w:r>
      <w:r w:rsidRPr="00072457">
        <w:rPr>
          <w:szCs w:val="20"/>
        </w:rPr>
        <w:t>“attach[</w:t>
      </w:r>
      <w:r w:rsidR="00C64050">
        <w:rPr>
          <w:szCs w:val="20"/>
        </w:rPr>
        <w:t xml:space="preserve"> </w:t>
      </w:r>
      <w:r w:rsidRPr="00072457">
        <w:rPr>
          <w:szCs w:val="20"/>
        </w:rPr>
        <w:t>]</w:t>
      </w:r>
      <w:r w:rsidR="00C64050">
        <w:rPr>
          <w:szCs w:val="20"/>
        </w:rPr>
        <w:t xml:space="preserve"> </w:t>
      </w:r>
      <w:r w:rsidRPr="00072457">
        <w:rPr>
          <w:szCs w:val="20"/>
        </w:rPr>
        <w:t>to</w:t>
      </w:r>
      <w:r w:rsidR="00C64050">
        <w:rPr>
          <w:szCs w:val="20"/>
        </w:rPr>
        <w:t xml:space="preserve"> </w:t>
      </w:r>
      <w:r w:rsidRPr="00072457">
        <w:rPr>
          <w:szCs w:val="20"/>
        </w:rPr>
        <w:t>the</w:t>
      </w:r>
      <w:r w:rsidR="00C64050">
        <w:rPr>
          <w:szCs w:val="20"/>
        </w:rPr>
        <w:t xml:space="preserve"> </w:t>
      </w:r>
      <w:r w:rsidRPr="00072457">
        <w:rPr>
          <w:szCs w:val="20"/>
        </w:rPr>
        <w:t>return</w:t>
      </w:r>
      <w:r w:rsidR="00C64050">
        <w:rPr>
          <w:szCs w:val="20"/>
        </w:rPr>
        <w:t xml:space="preserve"> </w:t>
      </w:r>
      <w:r w:rsidRPr="00072457">
        <w:rPr>
          <w:szCs w:val="20"/>
        </w:rPr>
        <w:t>*</w:t>
      </w:r>
      <w:r w:rsidR="00C64050">
        <w:rPr>
          <w:szCs w:val="20"/>
        </w:rPr>
        <w:t xml:space="preserve"> </w:t>
      </w:r>
      <w:r w:rsidRPr="00072457">
        <w:rPr>
          <w:szCs w:val="20"/>
        </w:rPr>
        <w:t>*</w:t>
      </w:r>
      <w:r w:rsidR="00C64050">
        <w:rPr>
          <w:szCs w:val="20"/>
        </w:rPr>
        <w:t xml:space="preserve"> </w:t>
      </w:r>
      <w:r w:rsidRPr="00072457">
        <w:rPr>
          <w:szCs w:val="20"/>
        </w:rPr>
        <w:t>*</w:t>
      </w:r>
      <w:r w:rsidR="00C64050">
        <w:rPr>
          <w:szCs w:val="20"/>
        </w:rPr>
        <w:t xml:space="preserve"> </w:t>
      </w:r>
      <w:r w:rsidRPr="00072457">
        <w:rPr>
          <w:szCs w:val="20"/>
        </w:rPr>
        <w:t>such</w:t>
      </w:r>
      <w:r w:rsidR="00C64050">
        <w:rPr>
          <w:szCs w:val="20"/>
        </w:rPr>
        <w:t xml:space="preserve"> </w:t>
      </w:r>
      <w:r w:rsidRPr="00072457">
        <w:rPr>
          <w:szCs w:val="20"/>
        </w:rPr>
        <w:t>information</w:t>
      </w:r>
      <w:r w:rsidR="00C64050">
        <w:rPr>
          <w:szCs w:val="20"/>
        </w:rPr>
        <w:t xml:space="preserve"> </w:t>
      </w:r>
      <w:r w:rsidRPr="00072457">
        <w:rPr>
          <w:szCs w:val="20"/>
        </w:rPr>
        <w:t>regarding</w:t>
      </w:r>
      <w:r w:rsidR="00C64050">
        <w:rPr>
          <w:szCs w:val="20"/>
        </w:rPr>
        <w:t xml:space="preserve"> </w:t>
      </w:r>
      <w:r w:rsidRPr="00072457">
        <w:rPr>
          <w:szCs w:val="20"/>
        </w:rPr>
        <w:t>such</w:t>
      </w:r>
      <w:r w:rsidR="00C64050">
        <w:rPr>
          <w:szCs w:val="20"/>
        </w:rPr>
        <w:t xml:space="preserve"> </w:t>
      </w:r>
      <w:r w:rsidRPr="00072457">
        <w:rPr>
          <w:szCs w:val="20"/>
        </w:rPr>
        <w:t>property</w:t>
      </w:r>
      <w:r w:rsidR="00C64050">
        <w:rPr>
          <w:szCs w:val="20"/>
        </w:rPr>
        <w:t xml:space="preserve"> </w:t>
      </w:r>
      <w:r w:rsidRPr="00072457">
        <w:rPr>
          <w:szCs w:val="20"/>
        </w:rPr>
        <w:t>and</w:t>
      </w:r>
      <w:r w:rsidR="00C64050">
        <w:rPr>
          <w:szCs w:val="20"/>
        </w:rPr>
        <w:t xml:space="preserve"> </w:t>
      </w:r>
      <w:r w:rsidRPr="00072457">
        <w:rPr>
          <w:szCs w:val="20"/>
        </w:rPr>
        <w:t>such</w:t>
      </w:r>
      <w:r w:rsidR="00C64050">
        <w:rPr>
          <w:szCs w:val="20"/>
        </w:rPr>
        <w:t xml:space="preserve"> </w:t>
      </w:r>
      <w:r w:rsidRPr="00072457">
        <w:rPr>
          <w:szCs w:val="20"/>
        </w:rPr>
        <w:t>appraisal</w:t>
      </w:r>
      <w:r w:rsidR="00C64050">
        <w:rPr>
          <w:szCs w:val="20"/>
        </w:rPr>
        <w:t xml:space="preserve"> </w:t>
      </w:r>
      <w:r w:rsidRPr="00072457">
        <w:rPr>
          <w:szCs w:val="20"/>
        </w:rPr>
        <w:t>as</w:t>
      </w:r>
      <w:r w:rsidR="00C64050">
        <w:rPr>
          <w:szCs w:val="20"/>
        </w:rPr>
        <w:t xml:space="preserve"> </w:t>
      </w:r>
      <w:r w:rsidRPr="00072457">
        <w:rPr>
          <w:szCs w:val="20"/>
        </w:rPr>
        <w:t>the</w:t>
      </w:r>
      <w:r w:rsidR="00C64050">
        <w:rPr>
          <w:szCs w:val="20"/>
        </w:rPr>
        <w:t xml:space="preserve"> </w:t>
      </w:r>
      <w:r w:rsidRPr="00072457">
        <w:rPr>
          <w:szCs w:val="20"/>
        </w:rPr>
        <w:t>Secretary</w:t>
      </w:r>
      <w:r w:rsidR="00C64050">
        <w:rPr>
          <w:szCs w:val="20"/>
        </w:rPr>
        <w:t xml:space="preserve"> </w:t>
      </w:r>
      <w:r w:rsidRPr="00072457">
        <w:rPr>
          <w:szCs w:val="20"/>
        </w:rPr>
        <w:t>may</w:t>
      </w:r>
      <w:r w:rsidR="00C64050">
        <w:rPr>
          <w:szCs w:val="20"/>
        </w:rPr>
        <w:t xml:space="preserve"> </w:t>
      </w:r>
      <w:r w:rsidRPr="00072457">
        <w:rPr>
          <w:szCs w:val="20"/>
        </w:rPr>
        <w:t>require”).</w:t>
      </w:r>
      <w:r w:rsidR="00C64050">
        <w:rPr>
          <w:szCs w:val="20"/>
        </w:rPr>
        <w:t xml:space="preserve"> </w:t>
      </w:r>
      <w:r w:rsidRPr="00072457">
        <w:rPr>
          <w:szCs w:val="20"/>
        </w:rPr>
        <w:t>For</w:t>
      </w:r>
      <w:r w:rsidR="00C64050">
        <w:rPr>
          <w:szCs w:val="20"/>
        </w:rPr>
        <w:t xml:space="preserve"> </w:t>
      </w:r>
      <w:r w:rsidRPr="00072457">
        <w:rPr>
          <w:szCs w:val="20"/>
        </w:rPr>
        <w:t>these</w:t>
      </w:r>
      <w:r w:rsidR="00C64050">
        <w:rPr>
          <w:szCs w:val="20"/>
        </w:rPr>
        <w:t xml:space="preserve"> </w:t>
      </w:r>
      <w:r w:rsidRPr="00072457">
        <w:rPr>
          <w:szCs w:val="20"/>
        </w:rPr>
        <w:t>reasons</w:t>
      </w:r>
      <w:r w:rsidR="00C64050">
        <w:rPr>
          <w:szCs w:val="20"/>
        </w:rPr>
        <w:t xml:space="preserve"> </w:t>
      </w:r>
      <w:r w:rsidRPr="00072457">
        <w:rPr>
          <w:szCs w:val="20"/>
        </w:rPr>
        <w:t>we</w:t>
      </w:r>
      <w:r w:rsidR="00C64050">
        <w:rPr>
          <w:szCs w:val="20"/>
        </w:rPr>
        <w:t xml:space="preserve"> </w:t>
      </w:r>
      <w:r w:rsidRPr="00072457">
        <w:rPr>
          <w:szCs w:val="20"/>
        </w:rPr>
        <w:t>reject</w:t>
      </w:r>
      <w:r w:rsidR="00C64050">
        <w:rPr>
          <w:szCs w:val="20"/>
        </w:rPr>
        <w:t xml:space="preserve"> </w:t>
      </w:r>
      <w:r w:rsidRPr="00072457">
        <w:rPr>
          <w:szCs w:val="20"/>
        </w:rPr>
        <w:t>petitioner's</w:t>
      </w:r>
      <w:r w:rsidR="00C64050">
        <w:rPr>
          <w:szCs w:val="20"/>
        </w:rPr>
        <w:t xml:space="preserve"> </w:t>
      </w:r>
      <w:r w:rsidRPr="00072457">
        <w:rPr>
          <w:szCs w:val="20"/>
        </w:rPr>
        <w:t>contention</w:t>
      </w:r>
      <w:r w:rsidR="00C64050">
        <w:rPr>
          <w:szCs w:val="20"/>
        </w:rPr>
        <w:t xml:space="preserve"> </w:t>
      </w:r>
      <w:r w:rsidRPr="00072457">
        <w:rPr>
          <w:szCs w:val="20"/>
        </w:rPr>
        <w:t>that</w:t>
      </w:r>
      <w:r w:rsidR="00C64050">
        <w:rPr>
          <w:szCs w:val="20"/>
        </w:rPr>
        <w:t xml:space="preserve"> </w:t>
      </w:r>
      <w:r w:rsidRPr="00072457">
        <w:rPr>
          <w:szCs w:val="20"/>
        </w:rPr>
        <w:t>the</w:t>
      </w:r>
      <w:r w:rsidR="00C64050">
        <w:rPr>
          <w:szCs w:val="20"/>
        </w:rPr>
        <w:t xml:space="preserve"> </w:t>
      </w:r>
      <w:r w:rsidRPr="00072457">
        <w:rPr>
          <w:szCs w:val="20"/>
        </w:rPr>
        <w:t>regulation</w:t>
      </w:r>
      <w:r w:rsidR="00C64050">
        <w:rPr>
          <w:szCs w:val="20"/>
        </w:rPr>
        <w:t xml:space="preserve"> </w:t>
      </w:r>
      <w:r w:rsidRPr="00072457">
        <w:rPr>
          <w:szCs w:val="20"/>
        </w:rPr>
        <w:t>violates</w:t>
      </w:r>
      <w:r w:rsidR="00C64050">
        <w:rPr>
          <w:szCs w:val="20"/>
        </w:rPr>
        <w:t xml:space="preserve"> </w:t>
      </w:r>
      <w:r w:rsidRPr="00072457">
        <w:rPr>
          <w:szCs w:val="20"/>
          <w:u w:val="single"/>
        </w:rPr>
        <w:t>Chevron</w:t>
      </w:r>
      <w:r w:rsidR="00C64050">
        <w:rPr>
          <w:szCs w:val="20"/>
        </w:rPr>
        <w:t xml:space="preserve"> </w:t>
      </w:r>
      <w:r w:rsidRPr="00072457">
        <w:rPr>
          <w:szCs w:val="20"/>
        </w:rPr>
        <w:t>step</w:t>
      </w:r>
      <w:r w:rsidR="00C64050">
        <w:rPr>
          <w:szCs w:val="20"/>
        </w:rPr>
        <w:t xml:space="preserve"> </w:t>
      </w:r>
      <w:r w:rsidRPr="00072457">
        <w:rPr>
          <w:szCs w:val="20"/>
        </w:rPr>
        <w:t>one</w:t>
      </w:r>
      <w:r w:rsidR="00C64050">
        <w:rPr>
          <w:szCs w:val="20"/>
        </w:rPr>
        <w:t xml:space="preserve"> </w:t>
      </w:r>
      <w:r w:rsidRPr="00072457">
        <w:rPr>
          <w:szCs w:val="20"/>
        </w:rPr>
        <w:t>on</w:t>
      </w:r>
      <w:r w:rsidR="00C64050">
        <w:rPr>
          <w:szCs w:val="20"/>
        </w:rPr>
        <w:t xml:space="preserve"> </w:t>
      </w:r>
      <w:r w:rsidRPr="00072457">
        <w:rPr>
          <w:szCs w:val="20"/>
        </w:rPr>
        <w:t>the</w:t>
      </w:r>
      <w:r w:rsidR="00C64050">
        <w:rPr>
          <w:szCs w:val="20"/>
        </w:rPr>
        <w:t xml:space="preserve"> </w:t>
      </w:r>
      <w:r w:rsidRPr="00072457">
        <w:rPr>
          <w:szCs w:val="20"/>
        </w:rPr>
        <w:t>theory</w:t>
      </w:r>
      <w:r w:rsidR="00C64050">
        <w:rPr>
          <w:szCs w:val="20"/>
        </w:rPr>
        <w:t xml:space="preserve"> </w:t>
      </w:r>
      <w:r w:rsidRPr="00072457">
        <w:rPr>
          <w:szCs w:val="20"/>
        </w:rPr>
        <w:t>that</w:t>
      </w:r>
      <w:r w:rsidR="00C64050">
        <w:rPr>
          <w:szCs w:val="20"/>
        </w:rPr>
        <w:t xml:space="preserve"> </w:t>
      </w:r>
      <w:r w:rsidRPr="00072457">
        <w:rPr>
          <w:szCs w:val="20"/>
        </w:rPr>
        <w:t>it</w:t>
      </w:r>
      <w:r w:rsidR="00C64050">
        <w:rPr>
          <w:szCs w:val="20"/>
        </w:rPr>
        <w:t xml:space="preserve"> </w:t>
      </w:r>
      <w:r w:rsidRPr="00072457">
        <w:rPr>
          <w:szCs w:val="20"/>
        </w:rPr>
        <w:t>contravenes</w:t>
      </w:r>
      <w:r w:rsidR="00C64050">
        <w:rPr>
          <w:szCs w:val="20"/>
        </w:rPr>
        <w:t xml:space="preserve"> </w:t>
      </w:r>
      <w:r w:rsidRPr="00072457">
        <w:rPr>
          <w:szCs w:val="20"/>
        </w:rPr>
        <w:t>“the</w:t>
      </w:r>
      <w:r w:rsidR="00C64050">
        <w:rPr>
          <w:szCs w:val="20"/>
        </w:rPr>
        <w:t xml:space="preserve"> </w:t>
      </w:r>
      <w:r w:rsidRPr="00072457">
        <w:rPr>
          <w:szCs w:val="20"/>
        </w:rPr>
        <w:t>unambiguous</w:t>
      </w:r>
      <w:r w:rsidR="00C64050">
        <w:rPr>
          <w:szCs w:val="20"/>
        </w:rPr>
        <w:t xml:space="preserve"> </w:t>
      </w:r>
      <w:r w:rsidRPr="00072457">
        <w:rPr>
          <w:szCs w:val="20"/>
        </w:rPr>
        <w:t>language</w:t>
      </w:r>
      <w:r w:rsidR="00C64050">
        <w:rPr>
          <w:szCs w:val="20"/>
        </w:rPr>
        <w:t xml:space="preserve"> </w:t>
      </w:r>
      <w:r w:rsidRPr="00072457">
        <w:rPr>
          <w:szCs w:val="20"/>
        </w:rPr>
        <w:t>of</w:t>
      </w:r>
      <w:r w:rsidR="00C64050">
        <w:rPr>
          <w:szCs w:val="20"/>
        </w:rPr>
        <w:t xml:space="preserve"> </w:t>
      </w:r>
      <w:r w:rsidRPr="00072457">
        <w:rPr>
          <w:szCs w:val="20"/>
        </w:rPr>
        <w:t>the</w:t>
      </w:r>
      <w:r w:rsidR="00C64050">
        <w:rPr>
          <w:szCs w:val="20"/>
        </w:rPr>
        <w:t xml:space="preserve"> </w:t>
      </w:r>
      <w:r w:rsidRPr="00072457">
        <w:rPr>
          <w:szCs w:val="20"/>
        </w:rPr>
        <w:t>statute.”</w:t>
      </w:r>
    </w:p>
    <w:p w:rsidR="00072457" w:rsidRPr="00072457" w:rsidRDefault="00072457" w:rsidP="00072457">
      <w:pPr>
        <w:pStyle w:val="QS10"/>
        <w:rPr>
          <w:szCs w:val="20"/>
        </w:rPr>
      </w:pPr>
      <w:r w:rsidRPr="00072457">
        <w:rPr>
          <w:szCs w:val="20"/>
        </w:rPr>
        <w:t>It</w:t>
      </w:r>
      <w:r w:rsidR="00C64050">
        <w:rPr>
          <w:szCs w:val="20"/>
        </w:rPr>
        <w:t xml:space="preserve"> </w:t>
      </w:r>
      <w:r w:rsidRPr="00072457">
        <w:rPr>
          <w:szCs w:val="20"/>
        </w:rPr>
        <w:t>seems</w:t>
      </w:r>
      <w:r w:rsidR="00C64050">
        <w:rPr>
          <w:szCs w:val="20"/>
        </w:rPr>
        <w:t xml:space="preserve"> </w:t>
      </w:r>
      <w:r w:rsidRPr="00072457">
        <w:rPr>
          <w:szCs w:val="20"/>
        </w:rPr>
        <w:t>equally</w:t>
      </w:r>
      <w:r w:rsidR="00C64050">
        <w:rPr>
          <w:szCs w:val="20"/>
        </w:rPr>
        <w:t xml:space="preserve"> </w:t>
      </w:r>
      <w:r w:rsidRPr="00072457">
        <w:rPr>
          <w:szCs w:val="20"/>
        </w:rPr>
        <w:t>obvious</w:t>
      </w:r>
      <w:r w:rsidR="00C64050">
        <w:rPr>
          <w:szCs w:val="20"/>
        </w:rPr>
        <w:t xml:space="preserve"> </w:t>
      </w:r>
      <w:r w:rsidRPr="00072457">
        <w:rPr>
          <w:szCs w:val="20"/>
        </w:rPr>
        <w:t>that</w:t>
      </w:r>
      <w:r w:rsidR="00C64050">
        <w:rPr>
          <w:szCs w:val="20"/>
        </w:rPr>
        <w:t xml:space="preserve"> </w:t>
      </w:r>
      <w:r w:rsidRPr="00072457">
        <w:rPr>
          <w:szCs w:val="20"/>
        </w:rPr>
        <w:t>the</w:t>
      </w:r>
      <w:r w:rsidR="00C64050">
        <w:rPr>
          <w:szCs w:val="20"/>
        </w:rPr>
        <w:t xml:space="preserve"> </w:t>
      </w:r>
      <w:r w:rsidRPr="00072457">
        <w:rPr>
          <w:szCs w:val="20"/>
        </w:rPr>
        <w:t>regulation</w:t>
      </w:r>
      <w:r w:rsidR="00C64050">
        <w:rPr>
          <w:szCs w:val="20"/>
        </w:rPr>
        <w:t xml:space="preserve"> </w:t>
      </w:r>
      <w:r w:rsidRPr="00072457">
        <w:rPr>
          <w:szCs w:val="20"/>
        </w:rPr>
        <w:t>satisfies</w:t>
      </w:r>
      <w:r w:rsidR="00C64050">
        <w:rPr>
          <w:szCs w:val="20"/>
        </w:rPr>
        <w:t xml:space="preserve"> </w:t>
      </w:r>
      <w:r w:rsidRPr="00072457">
        <w:rPr>
          <w:szCs w:val="20"/>
          <w:u w:val="single"/>
        </w:rPr>
        <w:t>Chevron</w:t>
      </w:r>
      <w:r w:rsidR="00C64050">
        <w:rPr>
          <w:szCs w:val="20"/>
        </w:rPr>
        <w:t xml:space="preserve"> </w:t>
      </w:r>
      <w:r w:rsidRPr="00072457">
        <w:rPr>
          <w:szCs w:val="20"/>
        </w:rPr>
        <w:t>step</w:t>
      </w:r>
      <w:r w:rsidR="00C64050">
        <w:rPr>
          <w:szCs w:val="20"/>
        </w:rPr>
        <w:t xml:space="preserve"> </w:t>
      </w:r>
      <w:r w:rsidRPr="00072457">
        <w:rPr>
          <w:szCs w:val="20"/>
        </w:rPr>
        <w:t>two,</w:t>
      </w:r>
      <w:r w:rsidR="00C64050">
        <w:rPr>
          <w:szCs w:val="20"/>
        </w:rPr>
        <w:t xml:space="preserve"> </w:t>
      </w:r>
      <w:r w:rsidRPr="00072457">
        <w:rPr>
          <w:szCs w:val="20"/>
        </w:rPr>
        <w:t>which</w:t>
      </w:r>
      <w:r w:rsidR="00C64050">
        <w:rPr>
          <w:szCs w:val="20"/>
        </w:rPr>
        <w:t xml:space="preserve"> </w:t>
      </w:r>
      <w:r w:rsidRPr="00072457">
        <w:rPr>
          <w:szCs w:val="20"/>
        </w:rPr>
        <w:t>requires</w:t>
      </w:r>
      <w:r w:rsidR="00C64050">
        <w:rPr>
          <w:szCs w:val="20"/>
        </w:rPr>
        <w:t xml:space="preserve"> </w:t>
      </w:r>
      <w:r w:rsidRPr="00072457">
        <w:rPr>
          <w:szCs w:val="20"/>
        </w:rPr>
        <w:t>that</w:t>
      </w:r>
      <w:r w:rsidR="00C64050">
        <w:rPr>
          <w:szCs w:val="20"/>
        </w:rPr>
        <w:t xml:space="preserve"> </w:t>
      </w:r>
      <w:r w:rsidRPr="00072457">
        <w:rPr>
          <w:szCs w:val="20"/>
        </w:rPr>
        <w:t>the</w:t>
      </w:r>
      <w:r w:rsidR="00C64050">
        <w:rPr>
          <w:szCs w:val="20"/>
        </w:rPr>
        <w:t xml:space="preserve"> </w:t>
      </w:r>
      <w:r w:rsidRPr="00072457">
        <w:rPr>
          <w:szCs w:val="20"/>
        </w:rPr>
        <w:t>regulation</w:t>
      </w:r>
      <w:r w:rsidR="00C64050">
        <w:rPr>
          <w:szCs w:val="20"/>
        </w:rPr>
        <w:t xml:space="preserve"> </w:t>
      </w:r>
      <w:r w:rsidRPr="00072457">
        <w:rPr>
          <w:szCs w:val="20"/>
        </w:rPr>
        <w:t>be</w:t>
      </w:r>
      <w:r w:rsidR="00C64050">
        <w:rPr>
          <w:szCs w:val="20"/>
        </w:rPr>
        <w:t xml:space="preserve"> </w:t>
      </w:r>
      <w:r w:rsidRPr="00072457">
        <w:rPr>
          <w:szCs w:val="20"/>
        </w:rPr>
        <w:t>“based</w:t>
      </w:r>
      <w:r w:rsidR="00C64050">
        <w:rPr>
          <w:szCs w:val="20"/>
        </w:rPr>
        <w:t xml:space="preserve"> </w:t>
      </w:r>
      <w:r w:rsidRPr="00072457">
        <w:rPr>
          <w:szCs w:val="20"/>
        </w:rPr>
        <w:t>on</w:t>
      </w:r>
      <w:r w:rsidR="00C64050">
        <w:rPr>
          <w:szCs w:val="20"/>
        </w:rPr>
        <w:t xml:space="preserve"> </w:t>
      </w:r>
      <w:r w:rsidRPr="00072457">
        <w:rPr>
          <w:szCs w:val="20"/>
        </w:rPr>
        <w:t>a</w:t>
      </w:r>
      <w:r w:rsidR="00C64050">
        <w:rPr>
          <w:szCs w:val="20"/>
        </w:rPr>
        <w:t xml:space="preserve"> </w:t>
      </w:r>
      <w:r w:rsidRPr="00072457">
        <w:rPr>
          <w:szCs w:val="20"/>
        </w:rPr>
        <w:t>permissible</w:t>
      </w:r>
      <w:r w:rsidR="00C64050">
        <w:rPr>
          <w:szCs w:val="20"/>
        </w:rPr>
        <w:t xml:space="preserve"> </w:t>
      </w:r>
      <w:r w:rsidRPr="00072457">
        <w:rPr>
          <w:szCs w:val="20"/>
        </w:rPr>
        <w:t>construction</w:t>
      </w:r>
      <w:r w:rsidR="00C64050">
        <w:rPr>
          <w:szCs w:val="20"/>
        </w:rPr>
        <w:t xml:space="preserve"> </w:t>
      </w:r>
      <w:r w:rsidRPr="00072457">
        <w:rPr>
          <w:szCs w:val="20"/>
        </w:rPr>
        <w:t>of</w:t>
      </w:r>
      <w:r w:rsidR="00C64050">
        <w:rPr>
          <w:szCs w:val="20"/>
        </w:rPr>
        <w:t xml:space="preserve"> </w:t>
      </w:r>
      <w:r w:rsidRPr="00072457">
        <w:rPr>
          <w:szCs w:val="20"/>
        </w:rPr>
        <w:t>the</w:t>
      </w:r>
      <w:r w:rsidR="00C64050">
        <w:rPr>
          <w:szCs w:val="20"/>
        </w:rPr>
        <w:t xml:space="preserve"> </w:t>
      </w:r>
      <w:r w:rsidRPr="00072457">
        <w:rPr>
          <w:szCs w:val="20"/>
        </w:rPr>
        <w:t>statute.”</w:t>
      </w:r>
      <w:r w:rsidR="00C64050">
        <w:rPr>
          <w:szCs w:val="20"/>
        </w:rPr>
        <w:t xml:space="preserve"> </w:t>
      </w:r>
      <w:r w:rsidRPr="00072457">
        <w:rPr>
          <w:szCs w:val="20"/>
          <w:u w:val="single"/>
        </w:rPr>
        <w:t>Chevron</w:t>
      </w:r>
      <w:r w:rsidRPr="00072457">
        <w:rPr>
          <w:szCs w:val="20"/>
        </w:rPr>
        <w:t>,</w:t>
      </w:r>
      <w:r w:rsidR="00C64050">
        <w:rPr>
          <w:szCs w:val="20"/>
        </w:rPr>
        <w:t xml:space="preserve"> </w:t>
      </w:r>
      <w:r w:rsidRPr="00072457">
        <w:rPr>
          <w:szCs w:val="20"/>
        </w:rPr>
        <w:t>467</w:t>
      </w:r>
      <w:r w:rsidR="00C64050">
        <w:rPr>
          <w:szCs w:val="20"/>
        </w:rPr>
        <w:t xml:space="preserve"> </w:t>
      </w:r>
      <w:r w:rsidRPr="00072457">
        <w:rPr>
          <w:szCs w:val="20"/>
        </w:rPr>
        <w:t>U.S.</w:t>
      </w:r>
      <w:r w:rsidR="00C64050">
        <w:rPr>
          <w:szCs w:val="20"/>
        </w:rPr>
        <w:t xml:space="preserve"> </w:t>
      </w:r>
      <w:r w:rsidRPr="00072457">
        <w:rPr>
          <w:szCs w:val="20"/>
        </w:rPr>
        <w:t>at</w:t>
      </w:r>
      <w:r w:rsidR="00C64050">
        <w:rPr>
          <w:szCs w:val="20"/>
        </w:rPr>
        <w:t xml:space="preserve"> </w:t>
      </w:r>
      <w:r w:rsidRPr="00072457">
        <w:rPr>
          <w:szCs w:val="20"/>
        </w:rPr>
        <w:t>843,</w:t>
      </w:r>
      <w:r w:rsidR="00C64050">
        <w:rPr>
          <w:szCs w:val="20"/>
        </w:rPr>
        <w:t xml:space="preserve"> </w:t>
      </w:r>
      <w:r w:rsidRPr="00072457">
        <w:rPr>
          <w:szCs w:val="20"/>
        </w:rPr>
        <w:t>104</w:t>
      </w:r>
      <w:r w:rsidR="00C64050">
        <w:rPr>
          <w:szCs w:val="20"/>
        </w:rPr>
        <w:t xml:space="preserve"> </w:t>
      </w:r>
      <w:r w:rsidRPr="00072457">
        <w:rPr>
          <w:szCs w:val="20"/>
        </w:rPr>
        <w:t>S.Ct.</w:t>
      </w:r>
      <w:r w:rsidR="00C64050">
        <w:rPr>
          <w:szCs w:val="20"/>
        </w:rPr>
        <w:t xml:space="preserve"> </w:t>
      </w:r>
      <w:r w:rsidRPr="00072457">
        <w:rPr>
          <w:szCs w:val="20"/>
        </w:rPr>
        <w:t>2778.</w:t>
      </w:r>
      <w:r w:rsidR="00C64050">
        <w:rPr>
          <w:szCs w:val="20"/>
        </w:rPr>
        <w:t xml:space="preserve"> </w:t>
      </w:r>
      <w:r w:rsidRPr="00072457">
        <w:rPr>
          <w:szCs w:val="20"/>
        </w:rPr>
        <w:t>When</w:t>
      </w:r>
      <w:r w:rsidR="00C64050">
        <w:rPr>
          <w:szCs w:val="20"/>
        </w:rPr>
        <w:t xml:space="preserve"> </w:t>
      </w:r>
      <w:r w:rsidRPr="00072457">
        <w:rPr>
          <w:szCs w:val="20"/>
        </w:rPr>
        <w:t>enacting</w:t>
      </w:r>
      <w:r w:rsidR="00C64050">
        <w:rPr>
          <w:szCs w:val="20"/>
        </w:rPr>
        <w:t xml:space="preserve"> </w:t>
      </w:r>
      <w:r w:rsidRPr="00072457">
        <w:rPr>
          <w:szCs w:val="20"/>
        </w:rPr>
        <w:t>DEFRA</w:t>
      </w:r>
      <w:r w:rsidR="00C64050">
        <w:rPr>
          <w:szCs w:val="20"/>
        </w:rPr>
        <w:t xml:space="preserve"> </w:t>
      </w:r>
      <w:r w:rsidRPr="00072457">
        <w:rPr>
          <w:szCs w:val="20"/>
        </w:rPr>
        <w:t>Congress</w:t>
      </w:r>
      <w:r w:rsidR="00C64050">
        <w:rPr>
          <w:szCs w:val="20"/>
        </w:rPr>
        <w:t xml:space="preserve"> </w:t>
      </w:r>
      <w:r w:rsidRPr="00072457">
        <w:rPr>
          <w:szCs w:val="20"/>
        </w:rPr>
        <w:t>decided</w:t>
      </w:r>
      <w:r w:rsidR="00C64050">
        <w:rPr>
          <w:szCs w:val="20"/>
        </w:rPr>
        <w:t xml:space="preserve"> </w:t>
      </w:r>
      <w:r w:rsidRPr="00072457">
        <w:rPr>
          <w:szCs w:val="20"/>
        </w:rPr>
        <w:t>that</w:t>
      </w:r>
      <w:r w:rsidR="00C64050">
        <w:rPr>
          <w:szCs w:val="20"/>
        </w:rPr>
        <w:t xml:space="preserve"> </w:t>
      </w:r>
      <w:r w:rsidRPr="00072457">
        <w:rPr>
          <w:szCs w:val="20"/>
        </w:rPr>
        <w:t>the</w:t>
      </w:r>
      <w:r w:rsidR="00C64050">
        <w:rPr>
          <w:szCs w:val="20"/>
        </w:rPr>
        <w:t xml:space="preserve"> </w:t>
      </w:r>
      <w:r w:rsidRPr="00072457">
        <w:rPr>
          <w:szCs w:val="20"/>
        </w:rPr>
        <w:t>IRS</w:t>
      </w:r>
      <w:r w:rsidR="00C64050">
        <w:rPr>
          <w:szCs w:val="20"/>
        </w:rPr>
        <w:t xml:space="preserve"> </w:t>
      </w:r>
      <w:r w:rsidRPr="00072457">
        <w:rPr>
          <w:szCs w:val="20"/>
        </w:rPr>
        <w:t>needed</w:t>
      </w:r>
      <w:r w:rsidR="00C64050">
        <w:rPr>
          <w:szCs w:val="20"/>
        </w:rPr>
        <w:t xml:space="preserve"> </w:t>
      </w:r>
      <w:r w:rsidRPr="00072457">
        <w:rPr>
          <w:szCs w:val="20"/>
        </w:rPr>
        <w:t>disclosure</w:t>
      </w:r>
      <w:r w:rsidR="00C64050">
        <w:rPr>
          <w:szCs w:val="20"/>
        </w:rPr>
        <w:t xml:space="preserve"> </w:t>
      </w:r>
      <w:r w:rsidRPr="00072457">
        <w:rPr>
          <w:szCs w:val="20"/>
        </w:rPr>
        <w:t>of</w:t>
      </w:r>
      <w:r w:rsidR="00C64050">
        <w:rPr>
          <w:szCs w:val="20"/>
        </w:rPr>
        <w:t xml:space="preserve"> </w:t>
      </w:r>
      <w:r w:rsidRPr="00072457">
        <w:rPr>
          <w:szCs w:val="20"/>
        </w:rPr>
        <w:t>information--specifically</w:t>
      </w:r>
      <w:r w:rsidR="00C64050">
        <w:rPr>
          <w:szCs w:val="20"/>
        </w:rPr>
        <w:t xml:space="preserve"> </w:t>
      </w:r>
      <w:r w:rsidRPr="00072457">
        <w:rPr>
          <w:szCs w:val="20"/>
        </w:rPr>
        <w:t>including</w:t>
      </w:r>
      <w:r w:rsidR="00C64050">
        <w:rPr>
          <w:szCs w:val="20"/>
        </w:rPr>
        <w:t xml:space="preserve"> </w:t>
      </w:r>
      <w:r w:rsidRPr="00072457">
        <w:rPr>
          <w:szCs w:val="20"/>
        </w:rPr>
        <w:t>information</w:t>
      </w:r>
      <w:r w:rsidR="00C64050">
        <w:rPr>
          <w:szCs w:val="20"/>
        </w:rPr>
        <w:t xml:space="preserve"> </w:t>
      </w:r>
      <w:r w:rsidRPr="00072457">
        <w:rPr>
          <w:szCs w:val="20"/>
        </w:rPr>
        <w:t>concerning</w:t>
      </w:r>
      <w:r w:rsidR="00C64050">
        <w:rPr>
          <w:szCs w:val="20"/>
        </w:rPr>
        <w:t xml:space="preserve"> </w:t>
      </w:r>
      <w:r w:rsidRPr="00072457">
        <w:rPr>
          <w:szCs w:val="20"/>
        </w:rPr>
        <w:t>cost</w:t>
      </w:r>
      <w:r w:rsidR="00C64050">
        <w:rPr>
          <w:szCs w:val="20"/>
        </w:rPr>
        <w:t xml:space="preserve"> </w:t>
      </w:r>
      <w:r w:rsidRPr="00072457">
        <w:rPr>
          <w:szCs w:val="20"/>
        </w:rPr>
        <w:t>basis</w:t>
      </w:r>
      <w:r w:rsidR="00C64050">
        <w:rPr>
          <w:szCs w:val="20"/>
        </w:rPr>
        <w:t xml:space="preserve"> </w:t>
      </w:r>
      <w:r w:rsidRPr="00072457">
        <w:rPr>
          <w:szCs w:val="20"/>
        </w:rPr>
        <w:t>and</w:t>
      </w:r>
      <w:r w:rsidR="00C64050">
        <w:rPr>
          <w:szCs w:val="20"/>
        </w:rPr>
        <w:t xml:space="preserve"> </w:t>
      </w:r>
      <w:r w:rsidRPr="00072457">
        <w:rPr>
          <w:szCs w:val="20"/>
        </w:rPr>
        <w:t>acquisition</w:t>
      </w:r>
      <w:r w:rsidR="00C64050">
        <w:rPr>
          <w:szCs w:val="20"/>
        </w:rPr>
        <w:t xml:space="preserve"> </w:t>
      </w:r>
      <w:r w:rsidRPr="00072457">
        <w:rPr>
          <w:szCs w:val="20"/>
        </w:rPr>
        <w:t>date</w:t>
      </w:r>
      <w:r w:rsidR="00C64050">
        <w:rPr>
          <w:szCs w:val="20"/>
        </w:rPr>
        <w:t xml:space="preserve"> </w:t>
      </w:r>
      <w:r w:rsidRPr="00072457">
        <w:rPr>
          <w:szCs w:val="20"/>
        </w:rPr>
        <w:t>of</w:t>
      </w:r>
      <w:r w:rsidR="00C64050">
        <w:rPr>
          <w:szCs w:val="20"/>
        </w:rPr>
        <w:t xml:space="preserve"> </w:t>
      </w:r>
      <w:r w:rsidRPr="00072457">
        <w:rPr>
          <w:szCs w:val="20"/>
        </w:rPr>
        <w:t>donated</w:t>
      </w:r>
      <w:r w:rsidR="00C64050">
        <w:rPr>
          <w:szCs w:val="20"/>
        </w:rPr>
        <w:t xml:space="preserve"> </w:t>
      </w:r>
      <w:r w:rsidRPr="00072457">
        <w:rPr>
          <w:szCs w:val="20"/>
        </w:rPr>
        <w:t>property--in</w:t>
      </w:r>
      <w:r w:rsidR="00C64050">
        <w:rPr>
          <w:szCs w:val="20"/>
        </w:rPr>
        <w:t xml:space="preserve"> </w:t>
      </w:r>
      <w:r w:rsidRPr="00072457">
        <w:rPr>
          <w:szCs w:val="20"/>
        </w:rPr>
        <w:t>order</w:t>
      </w:r>
      <w:r w:rsidR="00C64050">
        <w:rPr>
          <w:szCs w:val="20"/>
        </w:rPr>
        <w:t xml:space="preserve"> </w:t>
      </w:r>
      <w:r w:rsidRPr="00072457">
        <w:rPr>
          <w:szCs w:val="20"/>
        </w:rPr>
        <w:t>to</w:t>
      </w:r>
      <w:r w:rsidR="00C64050">
        <w:rPr>
          <w:szCs w:val="20"/>
        </w:rPr>
        <w:t xml:space="preserve"> </w:t>
      </w:r>
      <w:r w:rsidRPr="00072457">
        <w:rPr>
          <w:szCs w:val="20"/>
        </w:rPr>
        <w:t>combat</w:t>
      </w:r>
      <w:r w:rsidR="00C64050">
        <w:rPr>
          <w:szCs w:val="20"/>
        </w:rPr>
        <w:t xml:space="preserve"> </w:t>
      </w:r>
      <w:r w:rsidRPr="00072457">
        <w:rPr>
          <w:szCs w:val="20"/>
        </w:rPr>
        <w:t>claims</w:t>
      </w:r>
      <w:r w:rsidR="00C64050">
        <w:rPr>
          <w:szCs w:val="20"/>
        </w:rPr>
        <w:t xml:space="preserve"> </w:t>
      </w:r>
      <w:r w:rsidRPr="00072457">
        <w:rPr>
          <w:szCs w:val="20"/>
        </w:rPr>
        <w:t>of</w:t>
      </w:r>
      <w:r w:rsidR="00C64050">
        <w:rPr>
          <w:szCs w:val="20"/>
        </w:rPr>
        <w:t xml:space="preserve"> </w:t>
      </w:r>
      <w:r w:rsidRPr="00072457">
        <w:rPr>
          <w:szCs w:val="20"/>
        </w:rPr>
        <w:t>“excessive</w:t>
      </w:r>
      <w:r w:rsidR="00C64050">
        <w:rPr>
          <w:szCs w:val="20"/>
        </w:rPr>
        <w:t xml:space="preserve"> </w:t>
      </w:r>
      <w:r w:rsidRPr="00072457">
        <w:rPr>
          <w:szCs w:val="20"/>
        </w:rPr>
        <w:t>charitable</w:t>
      </w:r>
      <w:r w:rsidR="00C64050">
        <w:rPr>
          <w:szCs w:val="20"/>
        </w:rPr>
        <w:t xml:space="preserve"> </w:t>
      </w:r>
      <w:r w:rsidRPr="00072457">
        <w:rPr>
          <w:szCs w:val="20"/>
        </w:rPr>
        <w:t>deductions”</w:t>
      </w:r>
      <w:r w:rsidR="00C64050">
        <w:rPr>
          <w:szCs w:val="20"/>
        </w:rPr>
        <w:t xml:space="preserve"> </w:t>
      </w:r>
      <w:r w:rsidRPr="00072457">
        <w:rPr>
          <w:szCs w:val="20"/>
        </w:rPr>
        <w:t>by</w:t>
      </w:r>
      <w:r w:rsidR="00C64050">
        <w:rPr>
          <w:szCs w:val="20"/>
        </w:rPr>
        <w:t xml:space="preserve"> </w:t>
      </w:r>
      <w:r w:rsidRPr="00072457">
        <w:rPr>
          <w:szCs w:val="20"/>
        </w:rPr>
        <w:t>taxpayers</w:t>
      </w:r>
      <w:r w:rsidR="00C64050">
        <w:rPr>
          <w:szCs w:val="20"/>
        </w:rPr>
        <w:t xml:space="preserve"> </w:t>
      </w:r>
      <w:r w:rsidRPr="00072457">
        <w:rPr>
          <w:szCs w:val="20"/>
        </w:rPr>
        <w:t>seeking</w:t>
      </w:r>
      <w:r w:rsidR="00C64050">
        <w:rPr>
          <w:szCs w:val="20"/>
        </w:rPr>
        <w:t xml:space="preserve"> </w:t>
      </w:r>
      <w:r w:rsidRPr="00072457">
        <w:rPr>
          <w:szCs w:val="20"/>
        </w:rPr>
        <w:t>to</w:t>
      </w:r>
      <w:r w:rsidR="00C64050">
        <w:rPr>
          <w:szCs w:val="20"/>
        </w:rPr>
        <w:t xml:space="preserve"> </w:t>
      </w:r>
      <w:r w:rsidRPr="00072457">
        <w:rPr>
          <w:szCs w:val="20"/>
        </w:rPr>
        <w:t>“play</w:t>
      </w:r>
      <w:r w:rsidR="00C64050">
        <w:rPr>
          <w:szCs w:val="20"/>
        </w:rPr>
        <w:t xml:space="preserve"> </w:t>
      </w:r>
      <w:r w:rsidRPr="00072457">
        <w:rPr>
          <w:szCs w:val="20"/>
        </w:rPr>
        <w:t>‘the</w:t>
      </w:r>
      <w:r w:rsidR="00C64050">
        <w:rPr>
          <w:szCs w:val="20"/>
        </w:rPr>
        <w:t xml:space="preserve"> </w:t>
      </w:r>
      <w:r w:rsidRPr="00072457">
        <w:rPr>
          <w:szCs w:val="20"/>
        </w:rPr>
        <w:t>audit</w:t>
      </w:r>
      <w:r w:rsidR="00C64050">
        <w:rPr>
          <w:szCs w:val="20"/>
        </w:rPr>
        <w:t xml:space="preserve"> </w:t>
      </w:r>
      <w:r w:rsidRPr="00072457">
        <w:rPr>
          <w:szCs w:val="20"/>
        </w:rPr>
        <w:t>lottery.’</w:t>
      </w:r>
      <w:r w:rsidR="00C64050">
        <w:rPr>
          <w:szCs w:val="20"/>
        </w:rPr>
        <w:t xml:space="preserve"> </w:t>
      </w:r>
      <w:r w:rsidRPr="00072457">
        <w:rPr>
          <w:szCs w:val="20"/>
        </w:rPr>
        <w:t>”</w:t>
      </w:r>
      <w:r w:rsidR="00C64050">
        <w:rPr>
          <w:szCs w:val="20"/>
        </w:rPr>
        <w:t xml:space="preserve"> </w:t>
      </w:r>
      <w:r w:rsidRPr="00072457">
        <w:rPr>
          <w:szCs w:val="20"/>
        </w:rPr>
        <w:t>S.</w:t>
      </w:r>
      <w:r w:rsidR="00C64050">
        <w:rPr>
          <w:szCs w:val="20"/>
        </w:rPr>
        <w:t xml:space="preserve"> </w:t>
      </w:r>
      <w:r w:rsidRPr="00072457">
        <w:rPr>
          <w:szCs w:val="20"/>
        </w:rPr>
        <w:t>Prt.</w:t>
      </w:r>
      <w:r w:rsidR="00C64050">
        <w:rPr>
          <w:szCs w:val="20"/>
        </w:rPr>
        <w:t xml:space="preserve"> </w:t>
      </w:r>
      <w:r w:rsidRPr="00072457">
        <w:rPr>
          <w:szCs w:val="20"/>
        </w:rPr>
        <w:t>No.</w:t>
      </w:r>
      <w:r w:rsidR="00C64050">
        <w:rPr>
          <w:szCs w:val="20"/>
        </w:rPr>
        <w:t xml:space="preserve"> </w:t>
      </w:r>
      <w:r w:rsidRPr="00072457">
        <w:rPr>
          <w:szCs w:val="20"/>
        </w:rPr>
        <w:t>98-169</w:t>
      </w:r>
      <w:r w:rsidR="00C64050">
        <w:rPr>
          <w:szCs w:val="20"/>
        </w:rPr>
        <w:t xml:space="preserve"> </w:t>
      </w:r>
      <w:r w:rsidRPr="00072457">
        <w:rPr>
          <w:szCs w:val="20"/>
        </w:rPr>
        <w:t>(Vol.</w:t>
      </w:r>
      <w:r w:rsidR="00C64050">
        <w:rPr>
          <w:szCs w:val="20"/>
        </w:rPr>
        <w:t xml:space="preserve"> </w:t>
      </w:r>
      <w:r w:rsidRPr="00072457">
        <w:rPr>
          <w:szCs w:val="20"/>
        </w:rPr>
        <w:t>1),</w:t>
      </w:r>
      <w:r w:rsidR="00C64050">
        <w:rPr>
          <w:szCs w:val="20"/>
        </w:rPr>
        <w:t xml:space="preserve"> </w:t>
      </w:r>
      <w:r w:rsidRPr="00072457">
        <w:rPr>
          <w:szCs w:val="20"/>
          <w:u w:val="single"/>
        </w:rPr>
        <w:t>supra</w:t>
      </w:r>
      <w:r w:rsidR="00C64050">
        <w:rPr>
          <w:szCs w:val="20"/>
        </w:rPr>
        <w:t xml:space="preserve"> </w:t>
      </w:r>
      <w:r w:rsidRPr="00072457">
        <w:rPr>
          <w:szCs w:val="20"/>
        </w:rPr>
        <w:t>at</w:t>
      </w:r>
      <w:r w:rsidR="00C64050">
        <w:rPr>
          <w:szCs w:val="20"/>
        </w:rPr>
        <w:t xml:space="preserve"> </w:t>
      </w:r>
      <w:r w:rsidRPr="00072457">
        <w:rPr>
          <w:szCs w:val="20"/>
        </w:rPr>
        <w:t>444.</w:t>
      </w:r>
      <w:r w:rsidR="00C64050">
        <w:rPr>
          <w:szCs w:val="20"/>
        </w:rPr>
        <w:t xml:space="preserve"> </w:t>
      </w:r>
      <w:r w:rsidRPr="00072457">
        <w:rPr>
          <w:szCs w:val="20"/>
        </w:rPr>
        <w:t>Congress</w:t>
      </w:r>
      <w:r w:rsidR="00C64050">
        <w:rPr>
          <w:szCs w:val="20"/>
        </w:rPr>
        <w:t xml:space="preserve"> </w:t>
      </w:r>
      <w:r w:rsidRPr="00072457">
        <w:rPr>
          <w:szCs w:val="20"/>
        </w:rPr>
        <w:t>accordingly</w:t>
      </w:r>
      <w:r w:rsidR="00C64050">
        <w:rPr>
          <w:szCs w:val="20"/>
        </w:rPr>
        <w:t xml:space="preserve"> </w:t>
      </w:r>
      <w:r w:rsidRPr="00072457">
        <w:rPr>
          <w:szCs w:val="20"/>
        </w:rPr>
        <w:t>directed</w:t>
      </w:r>
      <w:r w:rsidR="00C64050">
        <w:rPr>
          <w:szCs w:val="20"/>
        </w:rPr>
        <w:t xml:space="preserve"> </w:t>
      </w:r>
      <w:r w:rsidRPr="00072457">
        <w:rPr>
          <w:szCs w:val="20"/>
        </w:rPr>
        <w:t>the</w:t>
      </w:r>
      <w:r w:rsidR="00C64050">
        <w:rPr>
          <w:szCs w:val="20"/>
        </w:rPr>
        <w:t xml:space="preserve"> </w:t>
      </w:r>
      <w:r w:rsidRPr="00072457">
        <w:rPr>
          <w:szCs w:val="20"/>
        </w:rPr>
        <w:t>Secretary</w:t>
      </w:r>
      <w:r w:rsidR="00C64050">
        <w:rPr>
          <w:szCs w:val="20"/>
        </w:rPr>
        <w:t xml:space="preserve"> </w:t>
      </w:r>
      <w:r w:rsidRPr="00072457">
        <w:rPr>
          <w:szCs w:val="20"/>
        </w:rPr>
        <w:t>to</w:t>
      </w:r>
      <w:r w:rsidR="00C64050">
        <w:rPr>
          <w:szCs w:val="20"/>
        </w:rPr>
        <w:t xml:space="preserve"> </w:t>
      </w:r>
      <w:r w:rsidRPr="00072457">
        <w:rPr>
          <w:szCs w:val="20"/>
        </w:rPr>
        <w:t>issue</w:t>
      </w:r>
      <w:r w:rsidR="00C64050">
        <w:rPr>
          <w:szCs w:val="20"/>
        </w:rPr>
        <w:t xml:space="preserve"> </w:t>
      </w:r>
      <w:r w:rsidRPr="00072457">
        <w:rPr>
          <w:szCs w:val="20"/>
        </w:rPr>
        <w:t>regulations</w:t>
      </w:r>
      <w:r w:rsidR="00C64050">
        <w:rPr>
          <w:szCs w:val="20"/>
        </w:rPr>
        <w:t xml:space="preserve"> </w:t>
      </w:r>
      <w:r w:rsidRPr="00072457">
        <w:rPr>
          <w:szCs w:val="20"/>
        </w:rPr>
        <w:t>requiring</w:t>
      </w:r>
      <w:r w:rsidR="00C64050">
        <w:rPr>
          <w:szCs w:val="20"/>
        </w:rPr>
        <w:t xml:space="preserve"> </w:t>
      </w:r>
      <w:r w:rsidRPr="00072457">
        <w:rPr>
          <w:szCs w:val="20"/>
        </w:rPr>
        <w:t>that</w:t>
      </w:r>
      <w:r w:rsidR="00C64050">
        <w:rPr>
          <w:szCs w:val="20"/>
        </w:rPr>
        <w:t xml:space="preserve"> </w:t>
      </w:r>
      <w:r w:rsidRPr="00072457">
        <w:rPr>
          <w:szCs w:val="20"/>
        </w:rPr>
        <w:t>taxpayers</w:t>
      </w:r>
      <w:r w:rsidR="00C64050">
        <w:rPr>
          <w:szCs w:val="20"/>
        </w:rPr>
        <w:t xml:space="preserve"> </w:t>
      </w:r>
      <w:r w:rsidRPr="00072457">
        <w:rPr>
          <w:szCs w:val="20"/>
        </w:rPr>
        <w:t>claiming</w:t>
      </w:r>
      <w:r w:rsidR="00C64050">
        <w:rPr>
          <w:szCs w:val="20"/>
        </w:rPr>
        <w:t xml:space="preserve"> </w:t>
      </w:r>
      <w:r w:rsidRPr="00072457">
        <w:rPr>
          <w:szCs w:val="20"/>
        </w:rPr>
        <w:t>certain</w:t>
      </w:r>
      <w:r w:rsidR="00C64050">
        <w:rPr>
          <w:szCs w:val="20"/>
        </w:rPr>
        <w:t xml:space="preserve"> </w:t>
      </w:r>
      <w:r w:rsidRPr="00072457">
        <w:rPr>
          <w:szCs w:val="20"/>
        </w:rPr>
        <w:t>types</w:t>
      </w:r>
      <w:r w:rsidR="00C64050">
        <w:rPr>
          <w:szCs w:val="20"/>
        </w:rPr>
        <w:t xml:space="preserve"> </w:t>
      </w:r>
      <w:r w:rsidRPr="00072457">
        <w:rPr>
          <w:szCs w:val="20"/>
        </w:rPr>
        <w:t>of</w:t>
      </w:r>
      <w:r w:rsidR="00C64050">
        <w:rPr>
          <w:szCs w:val="20"/>
        </w:rPr>
        <w:t xml:space="preserve"> </w:t>
      </w:r>
      <w:r w:rsidRPr="00072457">
        <w:rPr>
          <w:szCs w:val="20"/>
        </w:rPr>
        <w:t>charitable</w:t>
      </w:r>
      <w:r w:rsidR="00C64050">
        <w:rPr>
          <w:szCs w:val="20"/>
        </w:rPr>
        <w:t xml:space="preserve"> </w:t>
      </w:r>
      <w:r w:rsidRPr="00072457">
        <w:rPr>
          <w:szCs w:val="20"/>
        </w:rPr>
        <w:t>deductions</w:t>
      </w:r>
      <w:r w:rsidR="00C64050">
        <w:rPr>
          <w:szCs w:val="20"/>
        </w:rPr>
        <w:t xml:space="preserve"> </w:t>
      </w:r>
      <w:r w:rsidRPr="00072457">
        <w:rPr>
          <w:szCs w:val="20"/>
        </w:rPr>
        <w:t>attach</w:t>
      </w:r>
      <w:r w:rsidR="00C64050">
        <w:rPr>
          <w:szCs w:val="20"/>
        </w:rPr>
        <w:t xml:space="preserve"> </w:t>
      </w:r>
      <w:r w:rsidRPr="00072457">
        <w:rPr>
          <w:szCs w:val="20"/>
        </w:rPr>
        <w:t>to</w:t>
      </w:r>
      <w:r w:rsidR="00C64050">
        <w:rPr>
          <w:szCs w:val="20"/>
        </w:rPr>
        <w:t xml:space="preserve"> </w:t>
      </w:r>
      <w:r w:rsidRPr="00072457">
        <w:rPr>
          <w:szCs w:val="20"/>
        </w:rPr>
        <w:t>their</w:t>
      </w:r>
      <w:r w:rsidR="00C64050">
        <w:rPr>
          <w:szCs w:val="20"/>
        </w:rPr>
        <w:t xml:space="preserve"> </w:t>
      </w:r>
      <w:r w:rsidRPr="00072457">
        <w:rPr>
          <w:szCs w:val="20"/>
        </w:rPr>
        <w:t>returns</w:t>
      </w:r>
      <w:r w:rsidR="00C64050">
        <w:rPr>
          <w:szCs w:val="20"/>
        </w:rPr>
        <w:t xml:space="preserve"> </w:t>
      </w:r>
      <w:r w:rsidRPr="00072457">
        <w:rPr>
          <w:szCs w:val="20"/>
        </w:rPr>
        <w:t>an</w:t>
      </w:r>
      <w:r w:rsidR="00C64050">
        <w:rPr>
          <w:szCs w:val="20"/>
        </w:rPr>
        <w:t xml:space="preserve"> </w:t>
      </w:r>
      <w:r w:rsidRPr="00072457">
        <w:rPr>
          <w:szCs w:val="20"/>
        </w:rPr>
        <w:t>appraisal</w:t>
      </w:r>
      <w:r w:rsidR="00C64050">
        <w:rPr>
          <w:szCs w:val="20"/>
        </w:rPr>
        <w:t xml:space="preserve"> </w:t>
      </w:r>
      <w:r w:rsidRPr="00072457">
        <w:rPr>
          <w:szCs w:val="20"/>
        </w:rPr>
        <w:t>summary,</w:t>
      </w:r>
      <w:r w:rsidR="00C64050">
        <w:rPr>
          <w:szCs w:val="20"/>
        </w:rPr>
        <w:t xml:space="preserve"> </w:t>
      </w:r>
      <w:r w:rsidRPr="00072457">
        <w:rPr>
          <w:szCs w:val="20"/>
        </w:rPr>
        <w:t>which</w:t>
      </w:r>
      <w:r w:rsidR="00C64050">
        <w:rPr>
          <w:szCs w:val="20"/>
        </w:rPr>
        <w:t xml:space="preserve"> </w:t>
      </w:r>
      <w:r w:rsidRPr="00072457">
        <w:rPr>
          <w:szCs w:val="20"/>
        </w:rPr>
        <w:t>“shall</w:t>
      </w:r>
      <w:r w:rsidR="00C64050">
        <w:rPr>
          <w:szCs w:val="20"/>
        </w:rPr>
        <w:t xml:space="preserve"> </w:t>
      </w:r>
      <w:r w:rsidRPr="00072457">
        <w:rPr>
          <w:szCs w:val="20"/>
        </w:rPr>
        <w:t>be</w:t>
      </w:r>
      <w:r w:rsidR="00C64050">
        <w:rPr>
          <w:szCs w:val="20"/>
        </w:rPr>
        <w:t xml:space="preserve"> </w:t>
      </w:r>
      <w:r w:rsidRPr="00072457">
        <w:rPr>
          <w:szCs w:val="20"/>
        </w:rPr>
        <w:t>in</w:t>
      </w:r>
      <w:r w:rsidR="00C64050">
        <w:rPr>
          <w:szCs w:val="20"/>
        </w:rPr>
        <w:t xml:space="preserve"> </w:t>
      </w:r>
      <w:r w:rsidRPr="00072457">
        <w:rPr>
          <w:szCs w:val="20"/>
        </w:rPr>
        <w:t>such</w:t>
      </w:r>
      <w:r w:rsidR="00C64050">
        <w:rPr>
          <w:szCs w:val="20"/>
        </w:rPr>
        <w:t xml:space="preserve"> </w:t>
      </w:r>
      <w:r w:rsidRPr="00072457">
        <w:rPr>
          <w:szCs w:val="20"/>
        </w:rPr>
        <w:t>form</w:t>
      </w:r>
      <w:r w:rsidR="00C64050">
        <w:rPr>
          <w:szCs w:val="20"/>
        </w:rPr>
        <w:t xml:space="preserve"> </w:t>
      </w:r>
      <w:r w:rsidRPr="00072457">
        <w:rPr>
          <w:szCs w:val="20"/>
        </w:rPr>
        <w:t>and</w:t>
      </w:r>
      <w:r w:rsidR="00C64050">
        <w:rPr>
          <w:szCs w:val="20"/>
        </w:rPr>
        <w:t xml:space="preserve"> </w:t>
      </w:r>
      <w:r w:rsidRPr="00072457">
        <w:rPr>
          <w:szCs w:val="20"/>
        </w:rPr>
        <w:t>include</w:t>
      </w:r>
      <w:r w:rsidR="00C64050">
        <w:rPr>
          <w:szCs w:val="20"/>
        </w:rPr>
        <w:t xml:space="preserve"> </w:t>
      </w:r>
      <w:r w:rsidRPr="00072457">
        <w:rPr>
          <w:szCs w:val="20"/>
        </w:rPr>
        <w:t>such</w:t>
      </w:r>
      <w:r w:rsidR="00C64050">
        <w:rPr>
          <w:szCs w:val="20"/>
        </w:rPr>
        <w:t xml:space="preserve"> </w:t>
      </w:r>
      <w:r w:rsidRPr="00072457">
        <w:rPr>
          <w:szCs w:val="20"/>
        </w:rPr>
        <w:t>information</w:t>
      </w:r>
      <w:r w:rsidR="00C64050">
        <w:rPr>
          <w:szCs w:val="20"/>
        </w:rPr>
        <w:t xml:space="preserve"> </w:t>
      </w:r>
      <w:r w:rsidRPr="00072457">
        <w:rPr>
          <w:szCs w:val="20"/>
        </w:rPr>
        <w:t>as</w:t>
      </w:r>
      <w:r w:rsidR="00C64050">
        <w:rPr>
          <w:szCs w:val="20"/>
        </w:rPr>
        <w:t xml:space="preserve"> </w:t>
      </w:r>
      <w:r w:rsidRPr="00072457">
        <w:rPr>
          <w:szCs w:val="20"/>
        </w:rPr>
        <w:t>the</w:t>
      </w:r>
      <w:r w:rsidR="00C64050">
        <w:rPr>
          <w:szCs w:val="20"/>
        </w:rPr>
        <w:t xml:space="preserve"> </w:t>
      </w:r>
      <w:r w:rsidRPr="00072457">
        <w:rPr>
          <w:szCs w:val="20"/>
        </w:rPr>
        <w:t>Secretary</w:t>
      </w:r>
      <w:r w:rsidR="00C64050">
        <w:rPr>
          <w:szCs w:val="20"/>
        </w:rPr>
        <w:t xml:space="preserve"> </w:t>
      </w:r>
      <w:r w:rsidRPr="00072457">
        <w:rPr>
          <w:szCs w:val="20"/>
        </w:rPr>
        <w:t>prescribes</w:t>
      </w:r>
      <w:r w:rsidR="00C64050">
        <w:rPr>
          <w:szCs w:val="20"/>
        </w:rPr>
        <w:t xml:space="preserve"> </w:t>
      </w:r>
      <w:r w:rsidRPr="00072457">
        <w:rPr>
          <w:szCs w:val="20"/>
        </w:rPr>
        <w:t>by</w:t>
      </w:r>
      <w:r w:rsidR="00C64050">
        <w:rPr>
          <w:szCs w:val="20"/>
        </w:rPr>
        <w:t xml:space="preserve"> </w:t>
      </w:r>
      <w:r w:rsidRPr="00072457">
        <w:rPr>
          <w:szCs w:val="20"/>
        </w:rPr>
        <w:t>regulations.”</w:t>
      </w:r>
      <w:r w:rsidR="00C64050">
        <w:rPr>
          <w:szCs w:val="20"/>
        </w:rPr>
        <w:t xml:space="preserve"> </w:t>
      </w:r>
      <w:r w:rsidRPr="00072457">
        <w:rPr>
          <w:szCs w:val="20"/>
        </w:rPr>
        <w:t>DEFRA</w:t>
      </w:r>
      <w:r w:rsidR="00C64050">
        <w:rPr>
          <w:szCs w:val="20"/>
        </w:rPr>
        <w:t xml:space="preserve"> </w:t>
      </w:r>
      <w:r w:rsidRPr="00072457">
        <w:rPr>
          <w:szCs w:val="20"/>
        </w:rPr>
        <w:t>sec.</w:t>
      </w:r>
      <w:r w:rsidR="00C64050">
        <w:rPr>
          <w:szCs w:val="20"/>
        </w:rPr>
        <w:t xml:space="preserve"> </w:t>
      </w:r>
      <w:r w:rsidRPr="00072457">
        <w:rPr>
          <w:szCs w:val="20"/>
        </w:rPr>
        <w:t>155(a)(3).</w:t>
      </w:r>
    </w:p>
    <w:p w:rsidR="00072457" w:rsidRDefault="00072457" w:rsidP="00072457">
      <w:pPr>
        <w:pStyle w:val="QS10"/>
        <w:rPr>
          <w:szCs w:val="20"/>
        </w:rPr>
      </w:pPr>
      <w:r w:rsidRPr="00072457">
        <w:rPr>
          <w:szCs w:val="20"/>
        </w:rPr>
        <w:t>The</w:t>
      </w:r>
      <w:r w:rsidR="00C64050">
        <w:rPr>
          <w:szCs w:val="20"/>
        </w:rPr>
        <w:t xml:space="preserve"> </w:t>
      </w:r>
      <w:r w:rsidRPr="00072457">
        <w:rPr>
          <w:szCs w:val="20"/>
        </w:rPr>
        <w:t>Secretary</w:t>
      </w:r>
      <w:r w:rsidR="00C64050">
        <w:rPr>
          <w:szCs w:val="20"/>
        </w:rPr>
        <w:t xml:space="preserve"> </w:t>
      </w:r>
      <w:r w:rsidRPr="00072457">
        <w:rPr>
          <w:szCs w:val="20"/>
        </w:rPr>
        <w:t>reasonably</w:t>
      </w:r>
      <w:r w:rsidR="00C64050">
        <w:rPr>
          <w:szCs w:val="20"/>
        </w:rPr>
        <w:t xml:space="preserve"> </w:t>
      </w:r>
      <w:r w:rsidRPr="00072457">
        <w:rPr>
          <w:szCs w:val="20"/>
        </w:rPr>
        <w:t>concluded</w:t>
      </w:r>
      <w:r w:rsidR="00C64050">
        <w:rPr>
          <w:szCs w:val="20"/>
        </w:rPr>
        <w:t xml:space="preserve"> </w:t>
      </w:r>
      <w:r w:rsidRPr="00072457">
        <w:rPr>
          <w:szCs w:val="20"/>
        </w:rPr>
        <w:t>that</w:t>
      </w:r>
      <w:r w:rsidR="00C64050">
        <w:rPr>
          <w:szCs w:val="20"/>
        </w:rPr>
        <w:t xml:space="preserve"> </w:t>
      </w:r>
      <w:r w:rsidRPr="00072457">
        <w:rPr>
          <w:szCs w:val="20"/>
        </w:rPr>
        <w:t>the</w:t>
      </w:r>
      <w:r w:rsidR="00C64050">
        <w:rPr>
          <w:szCs w:val="20"/>
        </w:rPr>
        <w:t xml:space="preserve"> </w:t>
      </w:r>
      <w:r w:rsidRPr="00072457">
        <w:rPr>
          <w:szCs w:val="20"/>
        </w:rPr>
        <w:t>information</w:t>
      </w:r>
      <w:r w:rsidR="00C64050">
        <w:rPr>
          <w:szCs w:val="20"/>
        </w:rPr>
        <w:t xml:space="preserve"> </w:t>
      </w:r>
      <w:r w:rsidRPr="00072457">
        <w:rPr>
          <w:szCs w:val="20"/>
        </w:rPr>
        <w:t>the</w:t>
      </w:r>
      <w:r w:rsidR="00C64050">
        <w:rPr>
          <w:szCs w:val="20"/>
        </w:rPr>
        <w:t xml:space="preserve"> </w:t>
      </w:r>
      <w:r w:rsidRPr="00072457">
        <w:rPr>
          <w:szCs w:val="20"/>
        </w:rPr>
        <w:t>IRS</w:t>
      </w:r>
      <w:r w:rsidR="00C64050">
        <w:rPr>
          <w:szCs w:val="20"/>
        </w:rPr>
        <w:t xml:space="preserve"> </w:t>
      </w:r>
      <w:r w:rsidRPr="00072457">
        <w:rPr>
          <w:szCs w:val="20"/>
        </w:rPr>
        <w:t>needed</w:t>
      </w:r>
      <w:r w:rsidR="00C64050">
        <w:rPr>
          <w:szCs w:val="20"/>
        </w:rPr>
        <w:t xml:space="preserve"> </w:t>
      </w:r>
      <w:r w:rsidRPr="00072457">
        <w:rPr>
          <w:szCs w:val="20"/>
        </w:rPr>
        <w:t>would</w:t>
      </w:r>
      <w:r w:rsidR="00C64050">
        <w:rPr>
          <w:szCs w:val="20"/>
        </w:rPr>
        <w:t xml:space="preserve"> </w:t>
      </w:r>
      <w:r w:rsidRPr="00072457">
        <w:rPr>
          <w:szCs w:val="20"/>
        </w:rPr>
        <w:t>be</w:t>
      </w:r>
      <w:r w:rsidR="00C64050">
        <w:rPr>
          <w:szCs w:val="20"/>
        </w:rPr>
        <w:t xml:space="preserve"> </w:t>
      </w:r>
      <w:r w:rsidRPr="00072457">
        <w:rPr>
          <w:szCs w:val="20"/>
        </w:rPr>
        <w:t>most</w:t>
      </w:r>
      <w:r w:rsidR="00C64050">
        <w:rPr>
          <w:szCs w:val="20"/>
        </w:rPr>
        <w:t xml:space="preserve"> </w:t>
      </w:r>
      <w:r w:rsidRPr="00072457">
        <w:rPr>
          <w:szCs w:val="20"/>
        </w:rPr>
        <w:t>accessible</w:t>
      </w:r>
      <w:r w:rsidR="00C64050">
        <w:rPr>
          <w:szCs w:val="20"/>
        </w:rPr>
        <w:t xml:space="preserve"> </w:t>
      </w:r>
      <w:r w:rsidRPr="00072457">
        <w:rPr>
          <w:szCs w:val="20"/>
        </w:rPr>
        <w:t>to</w:t>
      </w:r>
      <w:r w:rsidR="00C64050">
        <w:rPr>
          <w:szCs w:val="20"/>
        </w:rPr>
        <w:t xml:space="preserve"> </w:t>
      </w:r>
      <w:r w:rsidRPr="00072457">
        <w:rPr>
          <w:szCs w:val="20"/>
        </w:rPr>
        <w:t>its</w:t>
      </w:r>
      <w:r w:rsidR="00C64050">
        <w:rPr>
          <w:szCs w:val="20"/>
        </w:rPr>
        <w:t xml:space="preserve"> </w:t>
      </w:r>
      <w:r w:rsidRPr="00072457">
        <w:rPr>
          <w:szCs w:val="20"/>
        </w:rPr>
        <w:t>examining</w:t>
      </w:r>
      <w:r w:rsidR="00C64050">
        <w:rPr>
          <w:szCs w:val="20"/>
        </w:rPr>
        <w:t xml:space="preserve"> </w:t>
      </w:r>
      <w:r w:rsidRPr="00072457">
        <w:rPr>
          <w:szCs w:val="20"/>
        </w:rPr>
        <w:t>agents</w:t>
      </w:r>
      <w:r w:rsidR="00C64050">
        <w:rPr>
          <w:szCs w:val="20"/>
        </w:rPr>
        <w:t xml:space="preserve"> </w:t>
      </w:r>
      <w:r w:rsidRPr="00072457">
        <w:rPr>
          <w:szCs w:val="20"/>
        </w:rPr>
        <w:t>if</w:t>
      </w:r>
      <w:r w:rsidR="00C64050">
        <w:rPr>
          <w:szCs w:val="20"/>
        </w:rPr>
        <w:t xml:space="preserve"> </w:t>
      </w:r>
      <w:r w:rsidRPr="00072457">
        <w:rPr>
          <w:szCs w:val="20"/>
        </w:rPr>
        <w:t>all</w:t>
      </w:r>
      <w:r w:rsidR="00C64050">
        <w:rPr>
          <w:szCs w:val="20"/>
        </w:rPr>
        <w:t xml:space="preserve"> </w:t>
      </w:r>
      <w:r w:rsidRPr="00072457">
        <w:rPr>
          <w:szCs w:val="20"/>
        </w:rPr>
        <w:t>of</w:t>
      </w:r>
      <w:r w:rsidR="00C64050">
        <w:rPr>
          <w:szCs w:val="20"/>
        </w:rPr>
        <w:t xml:space="preserve"> </w:t>
      </w:r>
      <w:r w:rsidRPr="00072457">
        <w:rPr>
          <w:szCs w:val="20"/>
        </w:rPr>
        <w:t>the</w:t>
      </w:r>
      <w:r w:rsidR="00C64050">
        <w:rPr>
          <w:szCs w:val="20"/>
        </w:rPr>
        <w:t xml:space="preserve"> </w:t>
      </w:r>
      <w:r w:rsidRPr="00072457">
        <w:rPr>
          <w:szCs w:val="20"/>
        </w:rPr>
        <w:t>required</w:t>
      </w:r>
      <w:r w:rsidR="00C64050">
        <w:rPr>
          <w:szCs w:val="20"/>
        </w:rPr>
        <w:t xml:space="preserve"> </w:t>
      </w:r>
      <w:r w:rsidRPr="00072457">
        <w:rPr>
          <w:szCs w:val="20"/>
        </w:rPr>
        <w:t>information</w:t>
      </w:r>
      <w:r w:rsidR="00C64050">
        <w:rPr>
          <w:szCs w:val="20"/>
        </w:rPr>
        <w:t xml:space="preserve"> </w:t>
      </w:r>
      <w:r w:rsidRPr="00072457">
        <w:rPr>
          <w:szCs w:val="20"/>
        </w:rPr>
        <w:t>appeared</w:t>
      </w:r>
      <w:r w:rsidR="00C64050">
        <w:rPr>
          <w:szCs w:val="20"/>
        </w:rPr>
        <w:t xml:space="preserve"> </w:t>
      </w:r>
      <w:r w:rsidRPr="00072457">
        <w:rPr>
          <w:szCs w:val="20"/>
        </w:rPr>
        <w:t>in</w:t>
      </w:r>
      <w:r w:rsidR="00C64050">
        <w:rPr>
          <w:szCs w:val="20"/>
        </w:rPr>
        <w:t xml:space="preserve"> </w:t>
      </w:r>
      <w:r w:rsidRPr="00072457">
        <w:rPr>
          <w:szCs w:val="20"/>
        </w:rPr>
        <w:t>the</w:t>
      </w:r>
      <w:r w:rsidR="00C64050">
        <w:rPr>
          <w:szCs w:val="20"/>
        </w:rPr>
        <w:t xml:space="preserve"> </w:t>
      </w:r>
      <w:r w:rsidRPr="00072457">
        <w:rPr>
          <w:szCs w:val="20"/>
        </w:rPr>
        <w:t>same</w:t>
      </w:r>
      <w:r w:rsidR="00C64050">
        <w:rPr>
          <w:szCs w:val="20"/>
        </w:rPr>
        <w:t xml:space="preserve"> </w:t>
      </w:r>
      <w:r w:rsidRPr="00072457">
        <w:rPr>
          <w:szCs w:val="20"/>
        </w:rPr>
        <w:t>place,</w:t>
      </w:r>
      <w:r w:rsidR="00C64050">
        <w:rPr>
          <w:szCs w:val="20"/>
        </w:rPr>
        <w:t xml:space="preserve"> </w:t>
      </w:r>
      <w:r w:rsidRPr="00072457">
        <w:rPr>
          <w:szCs w:val="20"/>
        </w:rPr>
        <w:t>namely,</w:t>
      </w:r>
      <w:r w:rsidR="00C64050">
        <w:rPr>
          <w:szCs w:val="20"/>
        </w:rPr>
        <w:t xml:space="preserve"> </w:t>
      </w:r>
      <w:r w:rsidRPr="00072457">
        <w:rPr>
          <w:szCs w:val="20"/>
        </w:rPr>
        <w:t>on</w:t>
      </w:r>
      <w:r w:rsidR="00C64050">
        <w:rPr>
          <w:szCs w:val="20"/>
        </w:rPr>
        <w:t xml:space="preserve"> </w:t>
      </w:r>
      <w:r w:rsidRPr="00072457">
        <w:rPr>
          <w:szCs w:val="20"/>
        </w:rPr>
        <w:t>the</w:t>
      </w:r>
      <w:r w:rsidR="00C64050">
        <w:rPr>
          <w:szCs w:val="20"/>
        </w:rPr>
        <w:t xml:space="preserve"> </w:t>
      </w:r>
      <w:r w:rsidRPr="00072457">
        <w:rPr>
          <w:szCs w:val="20"/>
        </w:rPr>
        <w:t>appraisal</w:t>
      </w:r>
      <w:r w:rsidR="00C64050">
        <w:rPr>
          <w:szCs w:val="20"/>
        </w:rPr>
        <w:t xml:space="preserve"> </w:t>
      </w:r>
      <w:r w:rsidRPr="00072457">
        <w:rPr>
          <w:szCs w:val="20"/>
        </w:rPr>
        <w:t>summary.</w:t>
      </w:r>
      <w:r w:rsidR="00C64050">
        <w:rPr>
          <w:szCs w:val="20"/>
        </w:rPr>
        <w:t xml:space="preserve"> </w:t>
      </w:r>
      <w:r w:rsidRPr="00072457">
        <w:rPr>
          <w:szCs w:val="20"/>
        </w:rPr>
        <w:t>The</w:t>
      </w:r>
      <w:r w:rsidR="00C64050">
        <w:rPr>
          <w:szCs w:val="20"/>
        </w:rPr>
        <w:t xml:space="preserve"> </w:t>
      </w:r>
      <w:r w:rsidRPr="00072457">
        <w:rPr>
          <w:szCs w:val="20"/>
        </w:rPr>
        <w:t>Secretary</w:t>
      </w:r>
      <w:r w:rsidR="00C64050">
        <w:rPr>
          <w:szCs w:val="20"/>
        </w:rPr>
        <w:t xml:space="preserve"> </w:t>
      </w:r>
      <w:r w:rsidRPr="00072457">
        <w:rPr>
          <w:szCs w:val="20"/>
        </w:rPr>
        <w:t>[*27]</w:t>
      </w:r>
      <w:r w:rsidR="00C64050">
        <w:rPr>
          <w:szCs w:val="20"/>
        </w:rPr>
        <w:t xml:space="preserve"> </w:t>
      </w:r>
      <w:r w:rsidRPr="00072457">
        <w:rPr>
          <w:szCs w:val="20"/>
        </w:rPr>
        <w:t>therefore</w:t>
      </w:r>
      <w:r w:rsidR="00C64050">
        <w:rPr>
          <w:szCs w:val="20"/>
        </w:rPr>
        <w:t xml:space="preserve"> </w:t>
      </w:r>
      <w:r w:rsidRPr="00072457">
        <w:rPr>
          <w:szCs w:val="20"/>
        </w:rPr>
        <w:t>issued</w:t>
      </w:r>
      <w:r w:rsidR="00C64050">
        <w:rPr>
          <w:szCs w:val="20"/>
        </w:rPr>
        <w:t xml:space="preserve"> </w:t>
      </w:r>
      <w:r w:rsidRPr="00072457">
        <w:rPr>
          <w:szCs w:val="20"/>
        </w:rPr>
        <w:t>regulations</w:t>
      </w:r>
      <w:r w:rsidR="00C64050">
        <w:rPr>
          <w:szCs w:val="20"/>
        </w:rPr>
        <w:t xml:space="preserve"> </w:t>
      </w:r>
      <w:r w:rsidRPr="00072457">
        <w:rPr>
          <w:szCs w:val="20"/>
        </w:rPr>
        <w:t>requiring</w:t>
      </w:r>
      <w:r w:rsidR="00C64050">
        <w:rPr>
          <w:szCs w:val="20"/>
        </w:rPr>
        <w:t xml:space="preserve"> </w:t>
      </w:r>
      <w:r w:rsidRPr="00072457">
        <w:rPr>
          <w:szCs w:val="20"/>
        </w:rPr>
        <w:t>that</w:t>
      </w:r>
      <w:r w:rsidR="00C64050">
        <w:rPr>
          <w:szCs w:val="20"/>
        </w:rPr>
        <w:t xml:space="preserve"> </w:t>
      </w:r>
      <w:r w:rsidRPr="00072457">
        <w:rPr>
          <w:szCs w:val="20"/>
        </w:rPr>
        <w:t>information</w:t>
      </w:r>
      <w:r w:rsidR="00C64050">
        <w:rPr>
          <w:szCs w:val="20"/>
        </w:rPr>
        <w:t xml:space="preserve"> </w:t>
      </w:r>
      <w:r w:rsidRPr="00072457">
        <w:rPr>
          <w:szCs w:val="20"/>
        </w:rPr>
        <w:t>concerning</w:t>
      </w:r>
      <w:r w:rsidR="00C64050">
        <w:rPr>
          <w:szCs w:val="20"/>
        </w:rPr>
        <w:t xml:space="preserve"> </w:t>
      </w:r>
      <w:r w:rsidRPr="00072457">
        <w:rPr>
          <w:szCs w:val="20"/>
        </w:rPr>
        <w:t>cost</w:t>
      </w:r>
      <w:r w:rsidR="00C64050">
        <w:rPr>
          <w:szCs w:val="20"/>
        </w:rPr>
        <w:t xml:space="preserve"> </w:t>
      </w:r>
      <w:r w:rsidRPr="00072457">
        <w:rPr>
          <w:szCs w:val="20"/>
        </w:rPr>
        <w:t>basis</w:t>
      </w:r>
      <w:r w:rsidR="00C64050">
        <w:rPr>
          <w:szCs w:val="20"/>
        </w:rPr>
        <w:t xml:space="preserve"> </w:t>
      </w:r>
      <w:r w:rsidRPr="00072457">
        <w:rPr>
          <w:szCs w:val="20"/>
        </w:rPr>
        <w:t>and</w:t>
      </w:r>
      <w:r w:rsidR="00C64050">
        <w:rPr>
          <w:szCs w:val="20"/>
        </w:rPr>
        <w:t xml:space="preserve"> </w:t>
      </w:r>
      <w:r w:rsidRPr="00072457">
        <w:rPr>
          <w:szCs w:val="20"/>
        </w:rPr>
        <w:t>acquisition</w:t>
      </w:r>
      <w:r w:rsidR="00C64050">
        <w:rPr>
          <w:szCs w:val="20"/>
        </w:rPr>
        <w:t xml:space="preserve"> </w:t>
      </w:r>
      <w:r w:rsidRPr="00072457">
        <w:rPr>
          <w:szCs w:val="20"/>
        </w:rPr>
        <w:t>date</w:t>
      </w:r>
      <w:r w:rsidR="00C64050">
        <w:rPr>
          <w:szCs w:val="20"/>
        </w:rPr>
        <w:t xml:space="preserve"> </w:t>
      </w:r>
      <w:r w:rsidRPr="00072457">
        <w:rPr>
          <w:szCs w:val="20"/>
        </w:rPr>
        <w:t>(as</w:t>
      </w:r>
      <w:r w:rsidR="00C64050">
        <w:rPr>
          <w:szCs w:val="20"/>
        </w:rPr>
        <w:t xml:space="preserve"> </w:t>
      </w:r>
      <w:r w:rsidRPr="00072457">
        <w:rPr>
          <w:szCs w:val="20"/>
        </w:rPr>
        <w:t>well</w:t>
      </w:r>
      <w:r w:rsidR="00C64050">
        <w:rPr>
          <w:szCs w:val="20"/>
        </w:rPr>
        <w:t xml:space="preserve"> </w:t>
      </w:r>
      <w:r w:rsidRPr="00072457">
        <w:rPr>
          <w:szCs w:val="20"/>
        </w:rPr>
        <w:t>as</w:t>
      </w:r>
      <w:r w:rsidR="00C64050">
        <w:rPr>
          <w:szCs w:val="20"/>
        </w:rPr>
        <w:t xml:space="preserve"> </w:t>
      </w:r>
      <w:r w:rsidRPr="00072457">
        <w:rPr>
          <w:szCs w:val="20"/>
        </w:rPr>
        <w:t>nine</w:t>
      </w:r>
      <w:r w:rsidR="00C64050">
        <w:rPr>
          <w:szCs w:val="20"/>
        </w:rPr>
        <w:t xml:space="preserve"> </w:t>
      </w:r>
      <w:r w:rsidRPr="00072457">
        <w:rPr>
          <w:szCs w:val="20"/>
        </w:rPr>
        <w:t>other</w:t>
      </w:r>
      <w:r w:rsidR="00C64050">
        <w:rPr>
          <w:szCs w:val="20"/>
        </w:rPr>
        <w:t xml:space="preserve"> </w:t>
      </w:r>
      <w:r w:rsidRPr="00072457">
        <w:rPr>
          <w:szCs w:val="20"/>
        </w:rPr>
        <w:t>types</w:t>
      </w:r>
      <w:r w:rsidR="00C64050">
        <w:rPr>
          <w:szCs w:val="20"/>
        </w:rPr>
        <w:t xml:space="preserve"> </w:t>
      </w:r>
      <w:r w:rsidRPr="00072457">
        <w:rPr>
          <w:szCs w:val="20"/>
        </w:rPr>
        <w:t>of</w:t>
      </w:r>
      <w:r w:rsidR="00C64050">
        <w:rPr>
          <w:szCs w:val="20"/>
        </w:rPr>
        <w:t xml:space="preserve"> </w:t>
      </w:r>
      <w:r w:rsidRPr="00072457">
        <w:rPr>
          <w:szCs w:val="20"/>
        </w:rPr>
        <w:t>information)</w:t>
      </w:r>
      <w:r w:rsidR="00C64050">
        <w:rPr>
          <w:szCs w:val="20"/>
        </w:rPr>
        <w:t xml:space="preserve"> </w:t>
      </w:r>
      <w:r w:rsidRPr="00072457">
        <w:rPr>
          <w:szCs w:val="20"/>
        </w:rPr>
        <w:t>be</w:t>
      </w:r>
      <w:r w:rsidR="00C64050">
        <w:rPr>
          <w:szCs w:val="20"/>
        </w:rPr>
        <w:t xml:space="preserve"> </w:t>
      </w:r>
      <w:r w:rsidRPr="00072457">
        <w:rPr>
          <w:szCs w:val="20"/>
        </w:rPr>
        <w:t>included</w:t>
      </w:r>
      <w:r w:rsidR="00C64050">
        <w:rPr>
          <w:szCs w:val="20"/>
        </w:rPr>
        <w:t xml:space="preserve"> </w:t>
      </w:r>
      <w:r w:rsidRPr="00072457">
        <w:rPr>
          <w:szCs w:val="20"/>
        </w:rPr>
        <w:t>in</w:t>
      </w:r>
      <w:r w:rsidR="00C64050">
        <w:rPr>
          <w:szCs w:val="20"/>
        </w:rPr>
        <w:t xml:space="preserve"> </w:t>
      </w:r>
      <w:r w:rsidRPr="00072457">
        <w:rPr>
          <w:szCs w:val="20"/>
        </w:rPr>
        <w:t>the</w:t>
      </w:r>
      <w:r w:rsidR="00C64050">
        <w:rPr>
          <w:szCs w:val="20"/>
        </w:rPr>
        <w:t xml:space="preserve"> </w:t>
      </w:r>
      <w:r w:rsidRPr="00072457">
        <w:rPr>
          <w:szCs w:val="20"/>
        </w:rPr>
        <w:t>appraisal</w:t>
      </w:r>
      <w:r w:rsidR="00C64050">
        <w:rPr>
          <w:szCs w:val="20"/>
        </w:rPr>
        <w:t xml:space="preserve"> </w:t>
      </w:r>
      <w:r w:rsidRPr="00072457">
        <w:rPr>
          <w:szCs w:val="20"/>
        </w:rPr>
        <w:t>summary</w:t>
      </w:r>
      <w:r w:rsidR="00C64050">
        <w:rPr>
          <w:szCs w:val="20"/>
        </w:rPr>
        <w:t xml:space="preserve"> </w:t>
      </w:r>
      <w:r w:rsidRPr="00072457">
        <w:rPr>
          <w:szCs w:val="20"/>
        </w:rPr>
        <w:t>included</w:t>
      </w:r>
      <w:r w:rsidR="00C64050">
        <w:rPr>
          <w:szCs w:val="20"/>
        </w:rPr>
        <w:t xml:space="preserve"> </w:t>
      </w:r>
      <w:r w:rsidRPr="00072457">
        <w:rPr>
          <w:szCs w:val="20"/>
        </w:rPr>
        <w:t>with</w:t>
      </w:r>
      <w:r w:rsidR="00C64050">
        <w:rPr>
          <w:szCs w:val="20"/>
        </w:rPr>
        <w:t xml:space="preserve"> </w:t>
      </w:r>
      <w:r w:rsidRPr="00072457">
        <w:rPr>
          <w:szCs w:val="20"/>
        </w:rPr>
        <w:t>the</w:t>
      </w:r>
      <w:r w:rsidR="00C64050">
        <w:rPr>
          <w:szCs w:val="20"/>
        </w:rPr>
        <w:t xml:space="preserve"> </w:t>
      </w:r>
      <w:r w:rsidRPr="00072457">
        <w:rPr>
          <w:szCs w:val="20"/>
        </w:rPr>
        <w:t>return.</w:t>
      </w:r>
      <w:r w:rsidR="00C64050">
        <w:rPr>
          <w:szCs w:val="20"/>
        </w:rPr>
        <w:t xml:space="preserve"> </w:t>
      </w:r>
      <w:r w:rsidRPr="00072457">
        <w:rPr>
          <w:szCs w:val="20"/>
          <w:u w:val="single"/>
        </w:rPr>
        <w:t>See</w:t>
      </w:r>
      <w:r w:rsidR="00C64050">
        <w:rPr>
          <w:szCs w:val="20"/>
        </w:rPr>
        <w:t xml:space="preserve"> </w:t>
      </w:r>
      <w:r w:rsidRPr="00072457">
        <w:rPr>
          <w:szCs w:val="20"/>
        </w:rPr>
        <w:t>sec.</w:t>
      </w:r>
      <w:r w:rsidR="00C64050">
        <w:rPr>
          <w:szCs w:val="20"/>
        </w:rPr>
        <w:t xml:space="preserve"> </w:t>
      </w:r>
      <w:r w:rsidRPr="00072457">
        <w:rPr>
          <w:szCs w:val="20"/>
        </w:rPr>
        <w:t>1.170A-13(c)(4)(ii),</w:t>
      </w:r>
      <w:r w:rsidR="00C64050">
        <w:rPr>
          <w:szCs w:val="20"/>
        </w:rPr>
        <w:t xml:space="preserve"> </w:t>
      </w:r>
      <w:r w:rsidRPr="00072457">
        <w:rPr>
          <w:szCs w:val="20"/>
        </w:rPr>
        <w:t>Income</w:t>
      </w:r>
      <w:r w:rsidR="00C64050">
        <w:rPr>
          <w:szCs w:val="20"/>
        </w:rPr>
        <w:t xml:space="preserve"> </w:t>
      </w:r>
      <w:r w:rsidRPr="00072457">
        <w:rPr>
          <w:szCs w:val="20"/>
        </w:rPr>
        <w:t>Tax</w:t>
      </w:r>
      <w:r w:rsidR="00C64050">
        <w:rPr>
          <w:szCs w:val="20"/>
        </w:rPr>
        <w:t xml:space="preserve"> </w:t>
      </w:r>
      <w:r w:rsidRPr="00072457">
        <w:rPr>
          <w:szCs w:val="20"/>
        </w:rPr>
        <w:t>Regs.</w:t>
      </w:r>
      <w:r w:rsidR="00C64050">
        <w:rPr>
          <w:szCs w:val="20"/>
        </w:rPr>
        <w:t xml:space="preserve"> </w:t>
      </w:r>
      <w:r w:rsidRPr="00072457">
        <w:rPr>
          <w:szCs w:val="20"/>
        </w:rPr>
        <w:t>We</w:t>
      </w:r>
      <w:r w:rsidR="00C64050">
        <w:rPr>
          <w:szCs w:val="20"/>
        </w:rPr>
        <w:t xml:space="preserve"> </w:t>
      </w:r>
      <w:r w:rsidRPr="00072457">
        <w:rPr>
          <w:szCs w:val="20"/>
        </w:rPr>
        <w:t>have</w:t>
      </w:r>
      <w:r w:rsidR="00C64050">
        <w:rPr>
          <w:szCs w:val="20"/>
        </w:rPr>
        <w:t xml:space="preserve"> </w:t>
      </w:r>
      <w:r w:rsidRPr="00072457">
        <w:rPr>
          <w:szCs w:val="20"/>
        </w:rPr>
        <w:t>no</w:t>
      </w:r>
      <w:r w:rsidR="00C64050">
        <w:rPr>
          <w:szCs w:val="20"/>
        </w:rPr>
        <w:t xml:space="preserve"> </w:t>
      </w:r>
      <w:r w:rsidRPr="00072457">
        <w:rPr>
          <w:szCs w:val="20"/>
        </w:rPr>
        <w:t>difficulty</w:t>
      </w:r>
      <w:r w:rsidR="00C64050">
        <w:rPr>
          <w:szCs w:val="20"/>
        </w:rPr>
        <w:t xml:space="preserve"> </w:t>
      </w:r>
      <w:r w:rsidRPr="00072457">
        <w:rPr>
          <w:szCs w:val="20"/>
        </w:rPr>
        <w:t>concluding</w:t>
      </w:r>
      <w:r w:rsidR="00C64050">
        <w:rPr>
          <w:szCs w:val="20"/>
        </w:rPr>
        <w:t xml:space="preserve"> </w:t>
      </w:r>
      <w:r w:rsidRPr="00072457">
        <w:rPr>
          <w:szCs w:val="20"/>
        </w:rPr>
        <w:t>that</w:t>
      </w:r>
      <w:r w:rsidR="00C64050">
        <w:rPr>
          <w:szCs w:val="20"/>
        </w:rPr>
        <w:t xml:space="preserve"> </w:t>
      </w:r>
      <w:r w:rsidRPr="00072457">
        <w:rPr>
          <w:szCs w:val="20"/>
        </w:rPr>
        <w:t>the</w:t>
      </w:r>
      <w:r w:rsidR="00C64050">
        <w:rPr>
          <w:szCs w:val="20"/>
        </w:rPr>
        <w:t xml:space="preserve"> </w:t>
      </w:r>
      <w:r w:rsidRPr="00072457">
        <w:rPr>
          <w:szCs w:val="20"/>
        </w:rPr>
        <w:t>Secretary's</w:t>
      </w:r>
      <w:r w:rsidR="00C64050">
        <w:rPr>
          <w:szCs w:val="20"/>
        </w:rPr>
        <w:t xml:space="preserve"> </w:t>
      </w:r>
      <w:r w:rsidRPr="00072457">
        <w:rPr>
          <w:szCs w:val="20"/>
        </w:rPr>
        <w:t>requirement</w:t>
      </w:r>
      <w:r w:rsidR="00C64050">
        <w:rPr>
          <w:szCs w:val="20"/>
        </w:rPr>
        <w:t xml:space="preserve"> </w:t>
      </w:r>
      <w:r w:rsidRPr="00072457">
        <w:rPr>
          <w:szCs w:val="20"/>
        </w:rPr>
        <w:t>to</w:t>
      </w:r>
      <w:r w:rsidR="00C64050">
        <w:rPr>
          <w:szCs w:val="20"/>
        </w:rPr>
        <w:t xml:space="preserve"> </w:t>
      </w:r>
      <w:r w:rsidRPr="00072457">
        <w:rPr>
          <w:szCs w:val="20"/>
        </w:rPr>
        <w:t>this</w:t>
      </w:r>
      <w:r w:rsidR="00C64050">
        <w:rPr>
          <w:szCs w:val="20"/>
        </w:rPr>
        <w:t xml:space="preserve"> </w:t>
      </w:r>
      <w:r w:rsidRPr="00072457">
        <w:rPr>
          <w:szCs w:val="20"/>
        </w:rPr>
        <w:t>effect</w:t>
      </w:r>
      <w:r w:rsidR="00C64050">
        <w:rPr>
          <w:szCs w:val="20"/>
        </w:rPr>
        <w:t xml:space="preserve"> </w:t>
      </w:r>
      <w:r w:rsidRPr="00072457">
        <w:rPr>
          <w:szCs w:val="20"/>
        </w:rPr>
        <w:t>was</w:t>
      </w:r>
      <w:r w:rsidR="00C64050">
        <w:rPr>
          <w:szCs w:val="20"/>
        </w:rPr>
        <w:t xml:space="preserve"> </w:t>
      </w:r>
      <w:r w:rsidRPr="00072457">
        <w:rPr>
          <w:szCs w:val="20"/>
        </w:rPr>
        <w:t>“based</w:t>
      </w:r>
      <w:r w:rsidR="00C64050">
        <w:rPr>
          <w:szCs w:val="20"/>
        </w:rPr>
        <w:t xml:space="preserve"> </w:t>
      </w:r>
      <w:r w:rsidRPr="00072457">
        <w:rPr>
          <w:szCs w:val="20"/>
        </w:rPr>
        <w:t>on</w:t>
      </w:r>
      <w:r w:rsidR="00C64050">
        <w:rPr>
          <w:szCs w:val="20"/>
        </w:rPr>
        <w:t xml:space="preserve"> </w:t>
      </w:r>
      <w:r w:rsidRPr="00072457">
        <w:rPr>
          <w:szCs w:val="20"/>
        </w:rPr>
        <w:t>a</w:t>
      </w:r>
      <w:r w:rsidR="00C64050">
        <w:rPr>
          <w:szCs w:val="20"/>
        </w:rPr>
        <w:t xml:space="preserve"> </w:t>
      </w:r>
      <w:r w:rsidRPr="00072457">
        <w:rPr>
          <w:szCs w:val="20"/>
        </w:rPr>
        <w:t>permissible</w:t>
      </w:r>
      <w:r w:rsidR="00C64050">
        <w:rPr>
          <w:szCs w:val="20"/>
        </w:rPr>
        <w:t xml:space="preserve"> </w:t>
      </w:r>
      <w:r w:rsidRPr="00072457">
        <w:rPr>
          <w:szCs w:val="20"/>
        </w:rPr>
        <w:t>construction</w:t>
      </w:r>
      <w:r w:rsidR="00C64050">
        <w:rPr>
          <w:szCs w:val="20"/>
        </w:rPr>
        <w:t xml:space="preserve"> </w:t>
      </w:r>
      <w:r w:rsidRPr="00072457">
        <w:rPr>
          <w:szCs w:val="20"/>
        </w:rPr>
        <w:t>of</w:t>
      </w:r>
      <w:r w:rsidR="00C64050">
        <w:rPr>
          <w:szCs w:val="20"/>
        </w:rPr>
        <w:t xml:space="preserve"> </w:t>
      </w:r>
      <w:r w:rsidRPr="00072457">
        <w:rPr>
          <w:szCs w:val="20"/>
        </w:rPr>
        <w:t>the</w:t>
      </w:r>
      <w:r w:rsidR="00C64050">
        <w:rPr>
          <w:szCs w:val="20"/>
        </w:rPr>
        <w:t xml:space="preserve"> </w:t>
      </w:r>
      <w:r w:rsidRPr="00072457">
        <w:rPr>
          <w:szCs w:val="20"/>
        </w:rPr>
        <w:t>statute.”</w:t>
      </w:r>
      <w:r w:rsidR="00C64050">
        <w:rPr>
          <w:szCs w:val="20"/>
        </w:rPr>
        <w:t xml:space="preserve"> </w:t>
      </w:r>
      <w:r w:rsidRPr="00072457">
        <w:rPr>
          <w:szCs w:val="20"/>
          <w:u w:val="single"/>
        </w:rPr>
        <w:t>Chevron</w:t>
      </w:r>
      <w:r w:rsidRPr="00072457">
        <w:rPr>
          <w:szCs w:val="20"/>
        </w:rPr>
        <w:t>,</w:t>
      </w:r>
      <w:r w:rsidR="00C64050">
        <w:rPr>
          <w:szCs w:val="20"/>
        </w:rPr>
        <w:t xml:space="preserve"> </w:t>
      </w:r>
      <w:r w:rsidRPr="00072457">
        <w:rPr>
          <w:szCs w:val="20"/>
        </w:rPr>
        <w:t>467</w:t>
      </w:r>
      <w:r w:rsidR="00C64050">
        <w:rPr>
          <w:szCs w:val="20"/>
        </w:rPr>
        <w:t xml:space="preserve"> </w:t>
      </w:r>
      <w:r w:rsidRPr="00072457">
        <w:rPr>
          <w:szCs w:val="20"/>
        </w:rPr>
        <w:t>U.S.</w:t>
      </w:r>
      <w:r w:rsidR="00C64050">
        <w:rPr>
          <w:szCs w:val="20"/>
        </w:rPr>
        <w:t xml:space="preserve"> </w:t>
      </w:r>
      <w:r w:rsidRPr="00072457">
        <w:rPr>
          <w:szCs w:val="20"/>
        </w:rPr>
        <w:t>at</w:t>
      </w:r>
      <w:r w:rsidR="00C64050">
        <w:rPr>
          <w:szCs w:val="20"/>
        </w:rPr>
        <w:t xml:space="preserve"> </w:t>
      </w:r>
      <w:r w:rsidRPr="00072457">
        <w:rPr>
          <w:szCs w:val="20"/>
        </w:rPr>
        <w:t>843,</w:t>
      </w:r>
      <w:r w:rsidR="00C64050">
        <w:rPr>
          <w:szCs w:val="20"/>
        </w:rPr>
        <w:t xml:space="preserve"> </w:t>
      </w:r>
      <w:r w:rsidRPr="00072457">
        <w:rPr>
          <w:szCs w:val="20"/>
        </w:rPr>
        <w:t>104</w:t>
      </w:r>
      <w:r w:rsidR="00C64050">
        <w:rPr>
          <w:szCs w:val="20"/>
        </w:rPr>
        <w:t xml:space="preserve"> </w:t>
      </w:r>
      <w:r w:rsidRPr="00072457">
        <w:rPr>
          <w:szCs w:val="20"/>
        </w:rPr>
        <w:t>S.Ct.</w:t>
      </w:r>
      <w:r w:rsidR="00C64050">
        <w:rPr>
          <w:szCs w:val="20"/>
        </w:rPr>
        <w:t xml:space="preserve"> </w:t>
      </w:r>
      <w:r w:rsidRPr="00072457">
        <w:rPr>
          <w:szCs w:val="20"/>
        </w:rPr>
        <w:t>2778.</w:t>
      </w:r>
      <w:r w:rsidR="00C64050">
        <w:rPr>
          <w:szCs w:val="20"/>
        </w:rPr>
        <w:t xml:space="preserve"> </w:t>
      </w:r>
      <w:r w:rsidRPr="00072457">
        <w:rPr>
          <w:szCs w:val="20"/>
        </w:rPr>
        <w:t>We</w:t>
      </w:r>
      <w:r w:rsidR="00C64050">
        <w:rPr>
          <w:szCs w:val="20"/>
        </w:rPr>
        <w:t xml:space="preserve"> </w:t>
      </w:r>
      <w:r w:rsidRPr="00072457">
        <w:rPr>
          <w:szCs w:val="20"/>
        </w:rPr>
        <w:t>will</w:t>
      </w:r>
      <w:r w:rsidR="00C64050">
        <w:rPr>
          <w:szCs w:val="20"/>
        </w:rPr>
        <w:t xml:space="preserve"> </w:t>
      </w:r>
      <w:r w:rsidRPr="00072457">
        <w:rPr>
          <w:szCs w:val="20"/>
        </w:rPr>
        <w:t>accordingly</w:t>
      </w:r>
      <w:r w:rsidR="00C64050">
        <w:rPr>
          <w:szCs w:val="20"/>
        </w:rPr>
        <w:t xml:space="preserve"> </w:t>
      </w:r>
      <w:r w:rsidRPr="00072457">
        <w:rPr>
          <w:szCs w:val="20"/>
        </w:rPr>
        <w:t>deny</w:t>
      </w:r>
      <w:r w:rsidR="00C64050">
        <w:rPr>
          <w:szCs w:val="20"/>
        </w:rPr>
        <w:t xml:space="preserve"> </w:t>
      </w:r>
      <w:r w:rsidRPr="00072457">
        <w:rPr>
          <w:szCs w:val="20"/>
        </w:rPr>
        <w:t>petitioner's</w:t>
      </w:r>
      <w:r w:rsidR="00C64050">
        <w:rPr>
          <w:szCs w:val="20"/>
        </w:rPr>
        <w:t xml:space="preserve"> </w:t>
      </w:r>
      <w:r w:rsidRPr="00072457">
        <w:rPr>
          <w:szCs w:val="20"/>
        </w:rPr>
        <w:t>cross-motion</w:t>
      </w:r>
      <w:r w:rsidR="00C64050">
        <w:rPr>
          <w:szCs w:val="20"/>
        </w:rPr>
        <w:t xml:space="preserve"> </w:t>
      </w:r>
      <w:r w:rsidRPr="00072457">
        <w:rPr>
          <w:szCs w:val="20"/>
        </w:rPr>
        <w:t>for</w:t>
      </w:r>
      <w:r w:rsidR="00C64050">
        <w:rPr>
          <w:szCs w:val="20"/>
        </w:rPr>
        <w:t xml:space="preserve"> </w:t>
      </w:r>
      <w:r w:rsidRPr="00072457">
        <w:rPr>
          <w:szCs w:val="20"/>
        </w:rPr>
        <w:t>summary</w:t>
      </w:r>
      <w:r w:rsidR="00C64050">
        <w:rPr>
          <w:szCs w:val="20"/>
        </w:rPr>
        <w:t xml:space="preserve"> </w:t>
      </w:r>
      <w:r w:rsidRPr="00072457">
        <w:rPr>
          <w:szCs w:val="20"/>
        </w:rPr>
        <w:t>judgment</w:t>
      </w:r>
      <w:r w:rsidR="00C64050">
        <w:rPr>
          <w:szCs w:val="20"/>
        </w:rPr>
        <w:t xml:space="preserve"> </w:t>
      </w:r>
      <w:r w:rsidRPr="00072457">
        <w:rPr>
          <w:szCs w:val="20"/>
        </w:rPr>
        <w:t>insofar</w:t>
      </w:r>
      <w:r w:rsidR="00C64050">
        <w:rPr>
          <w:szCs w:val="20"/>
        </w:rPr>
        <w:t xml:space="preserve"> </w:t>
      </w:r>
      <w:r w:rsidRPr="00072457">
        <w:rPr>
          <w:szCs w:val="20"/>
        </w:rPr>
        <w:t>as</w:t>
      </w:r>
      <w:r w:rsidR="00C64050">
        <w:rPr>
          <w:szCs w:val="20"/>
        </w:rPr>
        <w:t xml:space="preserve"> </w:t>
      </w:r>
      <w:r w:rsidRPr="00072457">
        <w:rPr>
          <w:szCs w:val="20"/>
        </w:rPr>
        <w:t>it</w:t>
      </w:r>
      <w:r w:rsidR="00C64050">
        <w:rPr>
          <w:szCs w:val="20"/>
        </w:rPr>
        <w:t xml:space="preserve"> </w:t>
      </w:r>
      <w:r w:rsidRPr="00072457">
        <w:rPr>
          <w:szCs w:val="20"/>
        </w:rPr>
        <w:t>contends</w:t>
      </w:r>
      <w:r w:rsidR="00C64050">
        <w:rPr>
          <w:szCs w:val="20"/>
        </w:rPr>
        <w:t xml:space="preserve"> </w:t>
      </w:r>
      <w:r w:rsidRPr="00072457">
        <w:rPr>
          <w:szCs w:val="20"/>
        </w:rPr>
        <w:t>that</w:t>
      </w:r>
      <w:r w:rsidR="00C64050">
        <w:rPr>
          <w:szCs w:val="20"/>
        </w:rPr>
        <w:t xml:space="preserve"> </w:t>
      </w:r>
      <w:r w:rsidRPr="00072457">
        <w:rPr>
          <w:szCs w:val="20"/>
        </w:rPr>
        <w:t>the</w:t>
      </w:r>
      <w:r w:rsidR="00C64050">
        <w:rPr>
          <w:szCs w:val="20"/>
        </w:rPr>
        <w:t xml:space="preserve"> </w:t>
      </w:r>
      <w:r w:rsidRPr="00072457">
        <w:rPr>
          <w:szCs w:val="20"/>
        </w:rPr>
        <w:t>regulation</w:t>
      </w:r>
      <w:r w:rsidR="00C64050">
        <w:rPr>
          <w:szCs w:val="20"/>
        </w:rPr>
        <w:t xml:space="preserve"> </w:t>
      </w:r>
      <w:r w:rsidRPr="00072457">
        <w:rPr>
          <w:szCs w:val="20"/>
        </w:rPr>
        <w:t>is</w:t>
      </w:r>
      <w:r w:rsidR="00C64050">
        <w:rPr>
          <w:szCs w:val="20"/>
        </w:rPr>
        <w:t xml:space="preserve"> </w:t>
      </w:r>
      <w:r w:rsidRPr="00072457">
        <w:rPr>
          <w:szCs w:val="20"/>
        </w:rPr>
        <w:t>invalid.</w:t>
      </w:r>
    </w:p>
    <w:p w:rsidR="00E256CE" w:rsidRPr="00E256CE" w:rsidRDefault="00EF0833" w:rsidP="00B66CCE">
      <w:pPr>
        <w:pStyle w:val="Heading20"/>
        <w:numPr>
          <w:ilvl w:val="1"/>
          <w:numId w:val="34"/>
        </w:numPr>
        <w:tabs>
          <w:tab w:val="clear" w:pos="2700"/>
          <w:tab w:val="num" w:pos="1440"/>
        </w:tabs>
        <w:ind w:left="0"/>
        <w:rPr>
          <w:vanish/>
          <w:szCs w:val="20"/>
          <w:specVanish/>
        </w:rPr>
      </w:pPr>
      <w:bookmarkStart w:id="171" w:name="_Toc94704629"/>
      <w:r w:rsidRPr="00EF0833">
        <w:rPr>
          <w:b/>
          <w:szCs w:val="20"/>
          <w:u w:val="single"/>
        </w:rPr>
        <w:t>Judicial Ethics, Oklahoma</w:t>
      </w:r>
      <w:bookmarkEnd w:id="171"/>
    </w:p>
    <w:p w:rsidR="00EF0833" w:rsidRDefault="00EF0833" w:rsidP="00E256CE">
      <w:pPr>
        <w:pStyle w:val="Heading2Body"/>
      </w:pPr>
      <w:r w:rsidRPr="00EF0833">
        <w:t>.  A judge may not serve as a trustee of a charitable foundation under Oklahoma law.  Oklahoma Judicial Ethics Opinion 2020-1, 2020</w:t>
      </w:r>
      <w:r w:rsidR="00043DAC">
        <w:t xml:space="preserve"> </w:t>
      </w:r>
      <w:r w:rsidRPr="00EF0833">
        <w:t>WL</w:t>
      </w:r>
      <w:r w:rsidR="00043DAC">
        <w:t xml:space="preserve"> </w:t>
      </w:r>
      <w:r w:rsidRPr="00EF0833">
        <w:t>7863327.  A friend died</w:t>
      </w:r>
      <w:r w:rsidR="00043DAC">
        <w:t xml:space="preserve"> and created </w:t>
      </w:r>
      <w:r w:rsidRPr="00EF0833">
        <w:t xml:space="preserve">a charitable </w:t>
      </w:r>
      <w:r w:rsidR="00043DAC">
        <w:t xml:space="preserve">foundation; </w:t>
      </w:r>
      <w:r w:rsidRPr="00EF0833">
        <w:t xml:space="preserve">the </w:t>
      </w:r>
      <w:r w:rsidR="007341A5" w:rsidRPr="00EF0833">
        <w:t>judge</w:t>
      </w:r>
      <w:r w:rsidRPr="00EF0833">
        <w:t xml:space="preserve"> </w:t>
      </w:r>
      <w:r w:rsidR="00043DAC">
        <w:t xml:space="preserve">was </w:t>
      </w:r>
      <w:r w:rsidRPr="00EF0833">
        <w:t xml:space="preserve">to be one of three trustees.  A duty of the trustees </w:t>
      </w:r>
      <w:r w:rsidR="00043DAC">
        <w:t>wa</w:t>
      </w:r>
      <w:r w:rsidRPr="00EF0833">
        <w:t>s to select charitable distributees.  The Ethics Commission reasoned that “[t]he trustees of the newly created charitable foundation could put themselves in conflicting situations with other charities based on their decisions of granting or denying the other charities' requests for funding.</w:t>
      </w:r>
      <w:r>
        <w:t>”  Rule 3.7 of the Code of Judicial Conduct provides:</w:t>
      </w:r>
    </w:p>
    <w:p w:rsidR="007341A5" w:rsidRPr="007341A5" w:rsidRDefault="007341A5" w:rsidP="007341A5">
      <w:pPr>
        <w:pStyle w:val="QS10"/>
        <w:rPr>
          <w:b/>
        </w:rPr>
      </w:pPr>
      <w:r w:rsidRPr="007341A5">
        <w:rPr>
          <w:b/>
        </w:rPr>
        <w:t>RULE 3.7 Participation in Educational, Religious, Charitable, Fraternal, or Civic Organizations and Activities</w:t>
      </w:r>
    </w:p>
    <w:p w:rsidR="007341A5" w:rsidRPr="007341A5" w:rsidRDefault="007341A5" w:rsidP="007341A5">
      <w:pPr>
        <w:pStyle w:val="QS10"/>
      </w:pPr>
      <w:r w:rsidRPr="007341A5">
        <w:t>(A) Subject to the requirements of Rule 3.1, a judge may participate in activities sponsored by organizations or governmental entities concerned with the law, the legal system, or the administration of justice, and those sponsored by or on behalf of educational, religious, charitable, fraternal, or civic organizations not conducted for profit, including but not limited to the following activities:</w:t>
      </w:r>
    </w:p>
    <w:p w:rsidR="007341A5" w:rsidRPr="007341A5" w:rsidRDefault="007341A5" w:rsidP="007341A5">
      <w:pPr>
        <w:pStyle w:val="QS10"/>
      </w:pPr>
      <w:r w:rsidRPr="007341A5">
        <w:t>(1) assisting such an organization or entity in planning related to fund-raising, and participating in the management and investment of the organization's or entity's funds;</w:t>
      </w:r>
    </w:p>
    <w:p w:rsidR="007341A5" w:rsidRPr="007341A5" w:rsidRDefault="007341A5" w:rsidP="007341A5">
      <w:pPr>
        <w:pStyle w:val="QS10"/>
      </w:pPr>
      <w:r w:rsidRPr="007341A5">
        <w:t>(2) soliciting contributions for such an organization or entity, but only from members of the judge's family, members of the judge's household or from judges over whom the judge does not exercise supervisory or appellate authority;</w:t>
      </w:r>
    </w:p>
    <w:p w:rsidR="007341A5" w:rsidRPr="007341A5" w:rsidRDefault="007341A5" w:rsidP="007341A5">
      <w:pPr>
        <w:pStyle w:val="QS10"/>
      </w:pPr>
      <w:r w:rsidRPr="007341A5">
        <w:t>(3) soliciting membership for such an organization or entity, even though the membership dues or fees generated may be used to support the objectives of the organization or entity, but only if the organization or entity is concerned with the law, the legal system, or the administration of justice;</w:t>
      </w:r>
    </w:p>
    <w:p w:rsidR="007341A5" w:rsidRPr="007341A5" w:rsidRDefault="007341A5" w:rsidP="007341A5">
      <w:pPr>
        <w:pStyle w:val="QS10"/>
      </w:pPr>
      <w:r w:rsidRPr="007341A5">
        <w:t>(4) appearing or speaking at, receiving an award or other recognition at, being featured on the program of, and permitting his or her title to be used in connection with an event of such an organization or entity, but if the event serves a fund-raising purpose, the judge may participate only if the event concerns the law, the legal system, or the administration of justice;</w:t>
      </w:r>
    </w:p>
    <w:p w:rsidR="007341A5" w:rsidRPr="007341A5" w:rsidRDefault="007341A5" w:rsidP="007341A5">
      <w:pPr>
        <w:pStyle w:val="QS10"/>
      </w:pPr>
      <w:r w:rsidRPr="007341A5">
        <w:t>(5) making recommendations to such a public or private fund-granting organization or entity in connection with its programs and activities, but only if the organization or entity is concerned with the law, the legal system, or the administration of justice; and</w:t>
      </w:r>
    </w:p>
    <w:p w:rsidR="007341A5" w:rsidRPr="007341A5" w:rsidRDefault="007341A5" w:rsidP="007341A5">
      <w:pPr>
        <w:pStyle w:val="QS10"/>
      </w:pPr>
      <w:r w:rsidRPr="007341A5">
        <w:t>(6) serving as an officer, director, trustee, or nonlegal advisor of such an organization or entity, unless it is likely that the organization or entity:</w:t>
      </w:r>
    </w:p>
    <w:p w:rsidR="007341A5" w:rsidRPr="007341A5" w:rsidRDefault="007341A5" w:rsidP="007341A5">
      <w:pPr>
        <w:pStyle w:val="QS10"/>
        <w:ind w:left="1872"/>
      </w:pPr>
      <w:r w:rsidRPr="007341A5">
        <w:t>(a) will be engaged in proceedings that would ordinarily come before the judge; or</w:t>
      </w:r>
    </w:p>
    <w:p w:rsidR="007341A5" w:rsidRPr="007341A5" w:rsidRDefault="007341A5" w:rsidP="007341A5">
      <w:pPr>
        <w:pStyle w:val="QS10"/>
        <w:ind w:left="1872"/>
      </w:pPr>
      <w:r w:rsidRPr="007341A5">
        <w:t>(b) will frequently be engaged in adversary proceedings in the court of which the judge is a member, or in any court subject to the appellate jurisdiction of the court of which the judge is a member.</w:t>
      </w:r>
    </w:p>
    <w:p w:rsidR="007341A5" w:rsidRPr="007341A5" w:rsidRDefault="007341A5" w:rsidP="007341A5">
      <w:pPr>
        <w:pStyle w:val="QS10"/>
      </w:pPr>
      <w:r w:rsidRPr="007341A5">
        <w:t>COMMENT</w:t>
      </w:r>
    </w:p>
    <w:p w:rsidR="007341A5" w:rsidRPr="007341A5" w:rsidRDefault="007341A5" w:rsidP="007341A5">
      <w:pPr>
        <w:pStyle w:val="QS10"/>
      </w:pPr>
      <w:r w:rsidRPr="007341A5">
        <w:t>[1] The activities permitted by paragraph (A) generally include those sponsored by or undertaken on behalf of public or private not-for-profit educational institutions, and other not-for-profit organizations, including law-related, charitable, and other organizations.</w:t>
      </w:r>
    </w:p>
    <w:p w:rsidR="007341A5" w:rsidRPr="007341A5" w:rsidRDefault="007341A5" w:rsidP="007341A5">
      <w:pPr>
        <w:pStyle w:val="QS10"/>
      </w:pPr>
      <w:r w:rsidRPr="007341A5">
        <w:t>[2] Even for law-related organizations, a judge should consider whether the membership and purposes of the organization, or the nature of the judge's participation in or association with the organization, would conflict with the judge's obligation to refrain from activities that reflect adversely upon a judge's independence, integrity, and impartiality.</w:t>
      </w:r>
    </w:p>
    <w:p w:rsidR="007341A5" w:rsidRPr="007341A5" w:rsidRDefault="007341A5" w:rsidP="007341A5">
      <w:pPr>
        <w:pStyle w:val="QS10"/>
      </w:pPr>
      <w:r w:rsidRPr="007341A5">
        <w:t>[3] Mere attendance at an event, whether or not the event serves a fund-raising purpose, does not constitute a violation of paragraph 4(A). It is also generally permissible for a judge to serve as an usher or a food server or preparer, or to perform similar functions, at fund-raising events sponsored by educational, religious, charitable, fraternal, or civic organizations. Such activities are not solicitation and do not present an element of coercion or abuse the prestige of judicial office.</w:t>
      </w:r>
    </w:p>
    <w:p w:rsidR="007341A5" w:rsidRPr="007341A5" w:rsidRDefault="007341A5" w:rsidP="007341A5">
      <w:pPr>
        <w:pStyle w:val="QS10"/>
      </w:pPr>
      <w:r w:rsidRPr="007341A5">
        <w:t>[4] Identification of a judge's position in educational, religious, charitable, fraternal, or civic organizations on letterhead used for fund-raising or membership solicitation does not violate this Rule. The letterhead may list the judge's title or judicial office if comparable designations are used for other persons.</w:t>
      </w:r>
    </w:p>
    <w:p w:rsidR="00EF0833" w:rsidRDefault="00EF0833" w:rsidP="00EF0833">
      <w:pPr>
        <w:pStyle w:val="Body15"/>
        <w:spacing w:before="240"/>
        <w:rPr>
          <w:color w:val="000000" w:themeColor="text1"/>
        </w:rPr>
      </w:pPr>
      <w:r>
        <w:rPr>
          <w:color w:val="000000" w:themeColor="text1"/>
        </w:rPr>
        <w:t>Presumably the concern was that the judiciary could be seen as favoring or disfavoring certain charities.</w:t>
      </w:r>
    </w:p>
    <w:p w:rsidR="000942E4" w:rsidRPr="000942E4" w:rsidRDefault="004671F1" w:rsidP="00B66CCE">
      <w:pPr>
        <w:pStyle w:val="Heading20"/>
        <w:numPr>
          <w:ilvl w:val="1"/>
          <w:numId w:val="34"/>
        </w:numPr>
        <w:tabs>
          <w:tab w:val="clear" w:pos="2700"/>
          <w:tab w:val="num" w:pos="1440"/>
        </w:tabs>
        <w:ind w:left="0"/>
        <w:rPr>
          <w:vanish/>
          <w:color w:val="000000" w:themeColor="text1"/>
          <w:specVanish/>
        </w:rPr>
      </w:pPr>
      <w:bookmarkStart w:id="172" w:name="_Toc94704630"/>
      <w:r>
        <w:rPr>
          <w:b/>
          <w:color w:val="000000" w:themeColor="text1"/>
          <w:u w:val="single"/>
        </w:rPr>
        <w:t>No Self-Dealing Due To Tax Reimbursement Provision After Spouses’ Deaths</w:t>
      </w:r>
      <w:bookmarkEnd w:id="172"/>
    </w:p>
    <w:p w:rsidR="004671F1" w:rsidRDefault="004671F1" w:rsidP="000942E4">
      <w:pPr>
        <w:pStyle w:val="Heading2Body"/>
      </w:pPr>
      <w:r>
        <w:t>.  In PLR 202042007 husband had created Trust A, wife had created Trust B, each a revocable trust that had become irrevocable when each died.  Husband’s estate is subject to estate tax because Trust B became a QTIP</w:t>
      </w:r>
      <w:r w:rsidR="00806803">
        <w:t xml:space="preserve"> for husband at wife’s death and Trust B contains a tax reimbursement provision in favor of husband’s estate.  The reimbursement would be in t</w:t>
      </w:r>
      <w:r w:rsidR="00F309E0">
        <w:t>h</w:t>
      </w:r>
      <w:r w:rsidR="00806803">
        <w:t>e form of closely-held stock and husband’s estate would seek to pay t</w:t>
      </w:r>
      <w:r w:rsidR="00F309E0">
        <w:t>h</w:t>
      </w:r>
      <w:r w:rsidR="00806803">
        <w:t>e estate tax using section 6166.  Meanwhile, the assets in Trust A would pay to the couple’s private foundation, generating no estate tax.</w:t>
      </w:r>
    </w:p>
    <w:p w:rsidR="00806803" w:rsidRDefault="00806803" w:rsidP="00806803">
      <w:pPr>
        <w:pStyle w:val="Body15"/>
        <w:spacing w:before="240"/>
        <w:rPr>
          <w:color w:val="000000" w:themeColor="text1"/>
        </w:rPr>
      </w:pPr>
      <w:r w:rsidRPr="00806803">
        <w:rPr>
          <w:color w:val="000000" w:themeColor="text1"/>
        </w:rPr>
        <w:t xml:space="preserve">The </w:t>
      </w:r>
      <w:r>
        <w:rPr>
          <w:color w:val="000000" w:themeColor="text1"/>
        </w:rPr>
        <w:t>issue was that at husband’s death half of the QTIP, Trust B, passed to the foundation, so would the payment of estate tax be indirect self-dealing</w:t>
      </w:r>
      <w:r w:rsidR="00F309E0">
        <w:rPr>
          <w:color w:val="000000" w:themeColor="text1"/>
        </w:rPr>
        <w:t>?</w:t>
      </w:r>
      <w:r>
        <w:rPr>
          <w:color w:val="000000" w:themeColor="text1"/>
        </w:rPr>
        <w:t xml:space="preserve">  The IRS concluded it would not:</w:t>
      </w:r>
    </w:p>
    <w:p w:rsidR="00806803" w:rsidRPr="00806803" w:rsidRDefault="00806803" w:rsidP="007E5DBC">
      <w:pPr>
        <w:pStyle w:val="QS10"/>
      </w:pPr>
      <w:r w:rsidRPr="00806803">
        <w:t>H's estate will pay an estate tax that results from the inclusion of the assets of Trust B in H's estate for tax purposes. Trust B, pursuant to the Trust B trust agreement and the order of the probate court, is reimbursing H's estate, in kind, with Corporation stock having a fair market value equal to the estate tax resulting from the inclusion of the Trust B assets in H's estate.</w:t>
      </w:r>
    </w:p>
    <w:p w:rsidR="00806803" w:rsidRPr="00806803" w:rsidRDefault="00806803" w:rsidP="007E5DBC">
      <w:pPr>
        <w:pStyle w:val="QS10"/>
      </w:pPr>
      <w:r w:rsidRPr="00806803">
        <w:t>Trust B requires the trustee of Trust B to reimburse H's estate for the estate taxes resulting from the inclusion of the assets of Trust B in H's estate before making any distributions to beneficiaries. Thus, the reimbursement by Trust B to H's estate in the form of Corporation shares pursuant to Trust B trust agreement is payment of a necessary expense associated with the administration of Trust B. Taxpayer's only interest in Trust B is as a residuary beneficiary. Thus, while under</w:t>
      </w:r>
      <w:r w:rsidR="007E5DBC">
        <w:t xml:space="preserve"> </w:t>
      </w:r>
      <w:r w:rsidRPr="00806803">
        <w:rPr>
          <w:i/>
          <w:iCs/>
        </w:rPr>
        <w:t>Reis</w:t>
      </w:r>
      <w:r w:rsidRPr="00806803">
        <w:t>, supra, Taxpayer has an interest in the Trust B residuary assets, Taxpayer has no interest in the stock transferred to H's estate to satisfy Trust B's reimbursement obligation because, by definition, it is not part of the Trust B residuary.</w:t>
      </w:r>
    </w:p>
    <w:p w:rsidR="00806803" w:rsidRDefault="00806803" w:rsidP="00806803">
      <w:pPr>
        <w:pStyle w:val="Body15"/>
        <w:spacing w:before="240"/>
        <w:rPr>
          <w:color w:val="000000" w:themeColor="text1"/>
        </w:rPr>
      </w:pPr>
      <w:r>
        <w:rPr>
          <w:color w:val="000000" w:themeColor="text1"/>
        </w:rPr>
        <w:t xml:space="preserve">The reference to </w:t>
      </w:r>
      <w:r>
        <w:rPr>
          <w:color w:val="000000" w:themeColor="text1"/>
          <w:u w:val="single"/>
        </w:rPr>
        <w:t>Reis</w:t>
      </w:r>
      <w:r>
        <w:rPr>
          <w:color w:val="000000" w:themeColor="text1"/>
        </w:rPr>
        <w:t xml:space="preserve"> is to </w:t>
      </w:r>
      <w:r>
        <w:rPr>
          <w:color w:val="000000" w:themeColor="text1"/>
          <w:u w:val="single"/>
        </w:rPr>
        <w:t>Estate of Reis v. Commissioner</w:t>
      </w:r>
      <w:r>
        <w:rPr>
          <w:color w:val="000000" w:themeColor="text1"/>
        </w:rPr>
        <w:t>, 87 T.C. 1016 (1986) in which the Tax Court held that where an estate passed to a foundation the assets of the estate are akin to assets of the foundation and actions affecting them are subject to the self-dealing rules.</w:t>
      </w:r>
    </w:p>
    <w:p w:rsidR="005364A2" w:rsidRPr="005364A2" w:rsidRDefault="00B66CCE" w:rsidP="00B66CCE">
      <w:pPr>
        <w:pStyle w:val="Heading20"/>
        <w:numPr>
          <w:ilvl w:val="1"/>
          <w:numId w:val="34"/>
        </w:numPr>
        <w:tabs>
          <w:tab w:val="clear" w:pos="2700"/>
          <w:tab w:val="num" w:pos="1440"/>
        </w:tabs>
        <w:ind w:left="0"/>
        <w:rPr>
          <w:vanish/>
          <w:lang w:val="en"/>
          <w:specVanish/>
        </w:rPr>
      </w:pPr>
      <w:bookmarkStart w:id="173" w:name="_Toc94704631"/>
      <w:r w:rsidRPr="00B66CCE">
        <w:rPr>
          <w:b/>
          <w:color w:val="000000" w:themeColor="text1"/>
          <w:u w:val="single"/>
        </w:rPr>
        <w:t>Pre-Arranged Sales</w:t>
      </w:r>
      <w:bookmarkEnd w:id="173"/>
    </w:p>
    <w:p w:rsidR="00B66CCE" w:rsidRDefault="00B66CCE" w:rsidP="005364A2">
      <w:pPr>
        <w:pStyle w:val="Heading2Body"/>
        <w:rPr>
          <w:lang w:val="en"/>
        </w:rPr>
      </w:pPr>
      <w:r>
        <w:t xml:space="preserve">.  </w:t>
      </w:r>
      <w:r w:rsidRPr="00BB556F">
        <w:t xml:space="preserve">Under the anticipatory assignment of income doctrine, a taxpayer who earns or otherwise creates a right to receive income will be taxed on any gain realized from </w:t>
      </w:r>
      <w:r>
        <w:t xml:space="preserve">that right </w:t>
      </w:r>
      <w:r w:rsidRPr="00BB556F">
        <w:t xml:space="preserve">if, based on the realities and substance of events, the receipt of income is practically certain to occur, even if the taxpayer transfers the right before receiving the income (see </w:t>
      </w:r>
      <w:r>
        <w:rPr>
          <w:u w:val="single"/>
        </w:rPr>
        <w:t>Ferguson v. Commissione</w:t>
      </w:r>
      <w:r w:rsidRPr="00BB556F">
        <w:rPr>
          <w:u w:val="single"/>
        </w:rPr>
        <w:t>r</w:t>
      </w:r>
      <w:r w:rsidRPr="00BB556F">
        <w:t>, 174 F.3d 997 (9th Cir. 1999);</w:t>
      </w:r>
      <w:r>
        <w:t xml:space="preserve"> </w:t>
      </w:r>
      <w:r w:rsidRPr="00BB556F">
        <w:rPr>
          <w:u w:val="single"/>
        </w:rPr>
        <w:t>Lucas v. Earl</w:t>
      </w:r>
      <w:r w:rsidRPr="00BB556F">
        <w:t>, 281 U.S. 111 (1930)).  The related step transaction doctrine similarly prevents a taxpayer from escaping taxation by collapsing a series of substantially linked steps into a single overall transaction (</w:t>
      </w:r>
      <w:r w:rsidRPr="00BB556F">
        <w:rPr>
          <w:lang w:val="en"/>
        </w:rPr>
        <w:t>see</w:t>
      </w:r>
      <w:r>
        <w:rPr>
          <w:lang w:val="en"/>
        </w:rPr>
        <w:t xml:space="preserve"> </w:t>
      </w:r>
      <w:r>
        <w:rPr>
          <w:u w:val="single"/>
          <w:lang w:val="en"/>
        </w:rPr>
        <w:t>Penrod v. Commissione</w:t>
      </w:r>
      <w:r w:rsidRPr="00BB556F">
        <w:rPr>
          <w:u w:val="single"/>
          <w:lang w:val="en"/>
        </w:rPr>
        <w:t>r</w:t>
      </w:r>
      <w:r w:rsidRPr="00BB556F">
        <w:rPr>
          <w:lang w:val="en"/>
        </w:rPr>
        <w:t xml:space="preserve">, 88 T.C. 1415, 1428 (1987)).  </w:t>
      </w:r>
    </w:p>
    <w:p w:rsidR="00B66CCE" w:rsidRDefault="00B66CCE" w:rsidP="00B66CCE">
      <w:pPr>
        <w:pStyle w:val="Body15"/>
        <w:rPr>
          <w:snapToGrid w:val="0"/>
        </w:rPr>
      </w:pPr>
      <w:r w:rsidRPr="00C4154B">
        <w:rPr>
          <w:snapToGrid w:val="0"/>
        </w:rPr>
        <w:t xml:space="preserve">In </w:t>
      </w:r>
      <w:r w:rsidRPr="00C4154B">
        <w:rPr>
          <w:snapToGrid w:val="0"/>
          <w:u w:val="single"/>
        </w:rPr>
        <w:t>Palmer v. Commissioner</w:t>
      </w:r>
      <w:r w:rsidRPr="00C4154B">
        <w:rPr>
          <w:snapToGrid w:val="0"/>
        </w:rPr>
        <w:t xml:space="preserve"> (62 T.C. 684 (1974), aff'd on other grounds, 523 F.2d 1308 (8</w:t>
      </w:r>
      <w:r w:rsidRPr="00C4154B">
        <w:rPr>
          <w:snapToGrid w:val="0"/>
          <w:vertAlign w:val="superscript"/>
        </w:rPr>
        <w:t>th</w:t>
      </w:r>
      <w:r w:rsidRPr="00C4154B">
        <w:rPr>
          <w:snapToGrid w:val="0"/>
        </w:rPr>
        <w:t xml:space="preserve"> Cir. 1975), acq, 1978-1 C.B. 2), the Tax Court held that a taxpayer's gift of stock in a closely-held corporation to a private foundation, followed by a redemption, would not be characterized as a sale or redemption between the taxpayer and the corporation followed by a gift of the redemption proceeds to the foundation, because the </w:t>
      </w:r>
      <w:r w:rsidRPr="00E2659E">
        <w:t>foundation</w:t>
      </w:r>
      <w:r w:rsidRPr="00C4154B">
        <w:rPr>
          <w:snapToGrid w:val="0"/>
        </w:rPr>
        <w:t xml:space="preserve"> was not legally obligated to redeem the stock at the time it received the shares.  In Revenue Ruling 78-197 (1978-1 C.B. 83), the Service announced that it would treat the proceeds of a stock redemption under facts similar to those in the </w:t>
      </w:r>
      <w:r w:rsidRPr="00C4154B">
        <w:rPr>
          <w:snapToGrid w:val="0"/>
          <w:u w:val="single"/>
        </w:rPr>
        <w:t>Palmer</w:t>
      </w:r>
      <w:r w:rsidRPr="00C4154B">
        <w:rPr>
          <w:snapToGrid w:val="0"/>
        </w:rPr>
        <w:t xml:space="preserve"> case as income to the donor only if the donee is legally bound or can be compelled by the corporation to surrender the shares for redemption.  The </w:t>
      </w:r>
      <w:r>
        <w:rPr>
          <w:snapToGrid w:val="0"/>
        </w:rPr>
        <w:t>“</w:t>
      </w:r>
      <w:r w:rsidRPr="00C4154B">
        <w:rPr>
          <w:snapToGrid w:val="0"/>
        </w:rPr>
        <w:t>bright line</w:t>
      </w:r>
      <w:r>
        <w:rPr>
          <w:snapToGrid w:val="0"/>
        </w:rPr>
        <w:t>”</w:t>
      </w:r>
      <w:r w:rsidRPr="00C4154B">
        <w:rPr>
          <w:snapToGrid w:val="0"/>
        </w:rPr>
        <w:t xml:space="preserve"> test of </w:t>
      </w:r>
      <w:r w:rsidRPr="00C4154B">
        <w:rPr>
          <w:snapToGrid w:val="0"/>
          <w:u w:val="single"/>
        </w:rPr>
        <w:t>Palmer</w:t>
      </w:r>
      <w:r w:rsidRPr="00C4154B">
        <w:rPr>
          <w:snapToGrid w:val="0"/>
        </w:rPr>
        <w:t xml:space="preserve"> and Revenue Ruling 78-197 </w:t>
      </w:r>
      <w:r w:rsidRPr="00BB556F">
        <w:rPr>
          <w:snapToGrid w:val="0"/>
        </w:rPr>
        <w:t>is not haze free.</w:t>
      </w:r>
    </w:p>
    <w:p w:rsidR="00B66CCE" w:rsidRPr="00FB0953" w:rsidRDefault="00B66CCE" w:rsidP="00B66CCE">
      <w:pPr>
        <w:pStyle w:val="Body15"/>
        <w:rPr>
          <w:snapToGrid w:val="0"/>
        </w:rPr>
      </w:pPr>
      <w:r w:rsidRPr="00FB0953">
        <w:rPr>
          <w:snapToGrid w:val="0"/>
        </w:rPr>
        <w:t xml:space="preserve">In </w:t>
      </w:r>
      <w:r w:rsidRPr="00FB0953">
        <w:rPr>
          <w:snapToGrid w:val="0"/>
          <w:u w:val="single"/>
        </w:rPr>
        <w:t>Blake v. Commissioner</w:t>
      </w:r>
      <w:r w:rsidRPr="00FB0953">
        <w:rPr>
          <w:snapToGrid w:val="0"/>
        </w:rPr>
        <w:t xml:space="preserve">, 42 T.C.M. 1336 (1981), aff’d, 697 F.2d 473 (2d. Cir. 1982), the donor contributed stock to a charity with the understanding that the charity would permit the corporation to redeem the stock and the charity would then use the proceeds to buy the donor’s yacht at an inflated price.  The yacht was sold shortly thereafter by the charity for less than 50 percent of the price it </w:t>
      </w:r>
      <w:r w:rsidRPr="00E2659E">
        <w:t>had</w:t>
      </w:r>
      <w:r w:rsidRPr="00FB0953">
        <w:rPr>
          <w:snapToGrid w:val="0"/>
        </w:rPr>
        <w:t xml:space="preserve"> paid the donor.  The Second Circuit Court of Appeals found </w:t>
      </w:r>
      <w:r w:rsidRPr="00FB0953">
        <w:t>the</w:t>
      </w:r>
      <w:r w:rsidRPr="00FB0953">
        <w:rPr>
          <w:snapToGrid w:val="0"/>
        </w:rPr>
        <w:t xml:space="preserve"> “understanding” enough to re-</w:t>
      </w:r>
      <w:r w:rsidRPr="0039233C">
        <w:t>characterize</w:t>
      </w:r>
      <w:r w:rsidRPr="00FB0953">
        <w:rPr>
          <w:snapToGrid w:val="0"/>
        </w:rPr>
        <w:t xml:space="preserve"> the transaction as a sale of stock by the donor, followed by a contribution of the yacht to charity.  Note that, unlike in other situations, there was a quid pro quo required by the donor in order for the donor to make the stock gift.</w:t>
      </w:r>
    </w:p>
    <w:p w:rsidR="00B66CCE" w:rsidRDefault="00235723" w:rsidP="00B66CCE">
      <w:pPr>
        <w:pStyle w:val="Body15"/>
        <w:rPr>
          <w:snapToGrid w:val="0"/>
        </w:rPr>
      </w:pPr>
      <w:r>
        <w:rPr>
          <w:snapToGrid w:val="0"/>
        </w:rPr>
        <w:t xml:space="preserve">In </w:t>
      </w:r>
      <w:r w:rsidR="00B66CCE" w:rsidRPr="00F63FD1">
        <w:rPr>
          <w:snapToGrid w:val="0"/>
          <w:u w:val="single"/>
        </w:rPr>
        <w:t>Ferguson v. Commissioner</w:t>
      </w:r>
      <w:r w:rsidR="00B66CCE" w:rsidRPr="00F63FD1">
        <w:rPr>
          <w:snapToGrid w:val="0"/>
        </w:rPr>
        <w:t>, 108 T.C. 244, (1997), aff’d, 174 F.3d 997 (9</w:t>
      </w:r>
      <w:r w:rsidR="00B66CCE" w:rsidRPr="00F63FD1">
        <w:rPr>
          <w:snapToGrid w:val="0"/>
          <w:vertAlign w:val="superscript"/>
        </w:rPr>
        <w:t>th</w:t>
      </w:r>
      <w:r w:rsidR="00B66CCE" w:rsidRPr="00F63FD1">
        <w:rPr>
          <w:snapToGrid w:val="0"/>
        </w:rPr>
        <w:t xml:space="preserve"> Cir. 1999), </w:t>
      </w:r>
      <w:r>
        <w:rPr>
          <w:snapToGrid w:val="0"/>
        </w:rPr>
        <w:t xml:space="preserve">there was </w:t>
      </w:r>
      <w:r w:rsidR="00B66CCE" w:rsidRPr="00F63FD1">
        <w:rPr>
          <w:snapToGrid w:val="0"/>
        </w:rPr>
        <w:t xml:space="preserve">a gift of stock followed by a redemption pursuant to the terms of a merger agreement.  The donors were </w:t>
      </w:r>
      <w:r w:rsidR="00B66CCE" w:rsidRPr="00FB0953">
        <w:t>directors</w:t>
      </w:r>
      <w:r w:rsidR="00B66CCE" w:rsidRPr="00F63FD1">
        <w:rPr>
          <w:snapToGrid w:val="0"/>
        </w:rPr>
        <w:t xml:space="preserve"> and minority shareholders of Company A.  On day 1, Company A entered into an agreement and plan of merger with Company B.  Company A’s board of directors (the donors abstaining) approved the merger and recommended it to the shareholders.  On day 6, Company B made its tender offer.  By day 34, more than 50 percent of the shareholders had tendered their shares.  On day 43, the donors donated some of their Company A stock to a charity, which in turn immediately tendered the stock to Company B.  On day 46, Company B announced its acceptance of all the tendered shares and purchased all of the shares on day 47.  The Tax Court found that the donors were taxable on the gain from the stock transferred to charity because by the date of the gift the donors’ interest had been converted from an interest in a viable corporation to a fixed right to receive cash.  The Ninth Circuit Court of Appeals affirmed, holding that the transaction had </w:t>
      </w:r>
      <w:r w:rsidR="00B66CCE">
        <w:rPr>
          <w:snapToGrid w:val="0"/>
        </w:rPr>
        <w:t>“</w:t>
      </w:r>
      <w:r w:rsidR="00B66CCE" w:rsidRPr="00F63FD1">
        <w:rPr>
          <w:snapToGrid w:val="0"/>
        </w:rPr>
        <w:t>ripened</w:t>
      </w:r>
      <w:r w:rsidR="00B66CCE">
        <w:rPr>
          <w:snapToGrid w:val="0"/>
        </w:rPr>
        <w:t>”</w:t>
      </w:r>
      <w:r w:rsidR="00B66CCE" w:rsidRPr="00F63FD1">
        <w:rPr>
          <w:snapToGrid w:val="0"/>
        </w:rPr>
        <w:t xml:space="preserve"> into a right to receive sale proceeds once 50 percent shareholder approval for the merger had been reached.</w:t>
      </w:r>
    </w:p>
    <w:p w:rsidR="00B66CCE" w:rsidRPr="002B6EB0" w:rsidRDefault="00B66CCE" w:rsidP="00B66CCE">
      <w:pPr>
        <w:pStyle w:val="Body15"/>
        <w:rPr>
          <w:snapToGrid w:val="0"/>
        </w:rPr>
      </w:pPr>
      <w:r w:rsidRPr="00F63FD1">
        <w:rPr>
          <w:bCs/>
        </w:rPr>
        <w:t xml:space="preserve">The application of Revenue Ruling 78-197 </w:t>
      </w:r>
      <w:r w:rsidR="00235723">
        <w:rPr>
          <w:bCs/>
        </w:rPr>
        <w:t xml:space="preserve">again </w:t>
      </w:r>
      <w:r w:rsidRPr="00F63FD1">
        <w:rPr>
          <w:bCs/>
        </w:rPr>
        <w:t xml:space="preserve">arose in </w:t>
      </w:r>
      <w:r w:rsidRPr="00F63FD1">
        <w:rPr>
          <w:bCs/>
          <w:u w:val="single"/>
        </w:rPr>
        <w:t>Gerald A. Rauenhorst, et al. v. Commissioner</w:t>
      </w:r>
      <w:r w:rsidRPr="00F63FD1">
        <w:rPr>
          <w:bCs/>
        </w:rPr>
        <w:t xml:space="preserve">, 119 T.C. No. 9 (2002).  In that case, Arbeit (a partnership) owned warrants enabling it to purchase NMG stock.  On September 28, 1993, WCP (a corporation) offered to purchase all NMG stock.  On November 9, 1993 the partnership assigned some warrants to four charities.  On November 19 Arbeit sold its remaining warrant to WCP, and the charities sold their warrants to WCP.  On November 22, 1993, WCP and NMG </w:t>
      </w:r>
      <w:r w:rsidRPr="00E2659E">
        <w:t>agreed</w:t>
      </w:r>
      <w:r w:rsidRPr="00F63FD1">
        <w:rPr>
          <w:bCs/>
        </w:rPr>
        <w:t xml:space="preserve"> on a sale of all the NMG stock.  The government argued that the bright-line test of Revenue Ruling 78-197 was not controlling.  The court held that, based on the facts of the case and the </w:t>
      </w:r>
      <w:r>
        <w:rPr>
          <w:bCs/>
        </w:rPr>
        <w:t>“</w:t>
      </w:r>
      <w:r w:rsidRPr="00F63FD1">
        <w:rPr>
          <w:bCs/>
        </w:rPr>
        <w:t>no legal obligation</w:t>
      </w:r>
      <w:r>
        <w:rPr>
          <w:bCs/>
        </w:rPr>
        <w:t>”</w:t>
      </w:r>
      <w:r w:rsidRPr="00F63FD1">
        <w:rPr>
          <w:bCs/>
        </w:rPr>
        <w:t xml:space="preserve"> test of </w:t>
      </w:r>
      <w:r w:rsidRPr="00F63FD1">
        <w:rPr>
          <w:bCs/>
          <w:u w:val="single"/>
        </w:rPr>
        <w:t>Palmer</w:t>
      </w:r>
      <w:r w:rsidRPr="00F63FD1">
        <w:rPr>
          <w:bCs/>
        </w:rPr>
        <w:t xml:space="preserve"> and Revenue Ruling 78-197, there was no prearranged sale, and in the process took a very dim view of the government’s urging to ignore the ruling:</w:t>
      </w:r>
    </w:p>
    <w:p w:rsidR="00B66CCE" w:rsidRDefault="00B66CCE" w:rsidP="00B66CCE">
      <w:pPr>
        <w:pStyle w:val="QS10"/>
        <w:rPr>
          <w:bCs/>
        </w:rPr>
      </w:pPr>
      <w:r w:rsidRPr="00F47DC7">
        <w:t>While this Court may not be bound by the Commissioner’s revenue rulings, and in the appropriate case we could disregard a ruling or rulings as inconsistent with our interpretation of the law, see</w:t>
      </w:r>
      <w:r>
        <w:t xml:space="preserve"> </w:t>
      </w:r>
      <w:r w:rsidRPr="00F47DC7">
        <w:rPr>
          <w:u w:val="single"/>
        </w:rPr>
        <w:t>Stark v. Commissioner</w:t>
      </w:r>
      <w:r w:rsidRPr="00F47DC7">
        <w:t xml:space="preserve">, 86 T.C. 243, 251 (1986), in this case it is </w:t>
      </w:r>
      <w:r w:rsidRPr="00303FD5">
        <w:t>respondent</w:t>
      </w:r>
      <w:r w:rsidRPr="00F47DC7">
        <w:t xml:space="preserve"> who argues against the principles stated in his ruling and in favor of our previous pronouncements on this issue. The Commissioner’s revenue ruling has been in existence for nearly 25 years, and it has not been revoked or modified. </w:t>
      </w:r>
      <w:r>
        <w:t xml:space="preserve"> </w:t>
      </w:r>
      <w:r w:rsidRPr="00F47DC7">
        <w:t xml:space="preserve">No doubt taxpayers have </w:t>
      </w:r>
      <w:r w:rsidRPr="00933685">
        <w:t>referred</w:t>
      </w:r>
      <w:r w:rsidRPr="00F47DC7">
        <w:t xml:space="preserve"> to that ruling in planning their charitable contributions, and, indeed, petitioners submit that they relied upon that ruling in planning the charitable contributions at issue. Under the circumstances of this case, we treat the Commissioner’s position in Rev. Rul. 78</w:t>
      </w:r>
      <w:r w:rsidRPr="00F47DC7">
        <w:noBreakHyphen/>
        <w:t>197, 1978</w:t>
      </w:r>
      <w:r w:rsidRPr="00F47DC7">
        <w:noBreakHyphen/>
        <w:t xml:space="preserve">1 C.B. 83, as a concession. Accordingly, our decision is limited to the question whether the charitable donees were legally obligated or could be compelled to sell the stock warrants at the time of the </w:t>
      </w:r>
      <w:r w:rsidRPr="00933685">
        <w:t>assignments</w:t>
      </w:r>
      <w:r w:rsidRPr="00F47DC7">
        <w:t>.</w:t>
      </w:r>
    </w:p>
    <w:p w:rsidR="00B66CCE" w:rsidRDefault="00B66CCE" w:rsidP="00B66CCE">
      <w:pPr>
        <w:pStyle w:val="Body15"/>
        <w:rPr>
          <w:bCs/>
        </w:rPr>
      </w:pPr>
      <w:r>
        <w:t>A footnote to the opinion</w:t>
      </w:r>
      <w:r w:rsidRPr="00BB556F">
        <w:t xml:space="preserve"> states</w:t>
      </w:r>
      <w:r>
        <w:t xml:space="preserve"> as follows</w:t>
      </w:r>
      <w:r w:rsidRPr="00BB556F">
        <w:t>:</w:t>
      </w:r>
    </w:p>
    <w:p w:rsidR="00B66CCE" w:rsidRPr="00BB556F" w:rsidRDefault="00B66CCE" w:rsidP="00B66CCE">
      <w:pPr>
        <w:pStyle w:val="QS10"/>
        <w:rPr>
          <w:bCs/>
          <w:sz w:val="18"/>
          <w:szCs w:val="18"/>
        </w:rPr>
      </w:pPr>
      <w:r w:rsidRPr="00F47DC7">
        <w:t xml:space="preserve">The record indicates that no agreement was entered into by the donees before Nov. 19, 1993, the date they signed the warrant purchase and sale agreement. On Nov. 16, 1993, NMG’s legal counsel sent letters to each of the donees enclosing a warrant </w:t>
      </w:r>
      <w:r w:rsidRPr="00933685">
        <w:t>purchase</w:t>
      </w:r>
      <w:r w:rsidRPr="00F47DC7">
        <w:t xml:space="preserve"> and sale agreement. Those letters state that pursuant to the warrant purchase and sale agreement, the donees would agree to sell thei</w:t>
      </w:r>
      <w:r>
        <w:t>r reissued warrants to WCP and “</w:t>
      </w:r>
      <w:r w:rsidRPr="00F47DC7">
        <w:t>to abstain from either exercising its Warrant or selling or otherwise transferring it to any oth</w:t>
      </w:r>
      <w:r>
        <w:t>er party through Dec. 31, 1993.”</w:t>
      </w:r>
      <w:r w:rsidRPr="00F47DC7">
        <w:t xml:space="preserve"> Certainly, the formality of having the donees enter into the warrant purchase and sale agreements suggests that they had not entered into any binding agreements before Nov. 19, 1993</w:t>
      </w:r>
      <w:r w:rsidRPr="00BB556F">
        <w:rPr>
          <w:sz w:val="18"/>
          <w:szCs w:val="18"/>
        </w:rPr>
        <w:t>.</w:t>
      </w:r>
    </w:p>
    <w:p w:rsidR="00B66CCE" w:rsidRPr="00BB556F" w:rsidRDefault="00B66CCE" w:rsidP="00B66CCE">
      <w:pPr>
        <w:pStyle w:val="Body15"/>
        <w:rPr>
          <w:bCs/>
        </w:rPr>
      </w:pPr>
      <w:r w:rsidRPr="00BB556F">
        <w:rPr>
          <w:bCs/>
        </w:rPr>
        <w:t xml:space="preserve">Subsequent to </w:t>
      </w:r>
      <w:r w:rsidRPr="00310967">
        <w:rPr>
          <w:bCs/>
          <w:u w:val="single"/>
        </w:rPr>
        <w:t>Rauenhorst</w:t>
      </w:r>
      <w:r>
        <w:rPr>
          <w:bCs/>
        </w:rPr>
        <w:t xml:space="preserve">, </w:t>
      </w:r>
      <w:r w:rsidRPr="00BB556F">
        <w:rPr>
          <w:bCs/>
        </w:rPr>
        <w:t>the government reiterated its intention, generally, to follow its own rulings in litigation.</w:t>
      </w:r>
      <w:r>
        <w:rPr>
          <w:bCs/>
        </w:rPr>
        <w:t xml:space="preserve">  In PLR 200230004, a </w:t>
      </w:r>
      <w:r w:rsidRPr="00BB556F">
        <w:rPr>
          <w:bCs/>
        </w:rPr>
        <w:t xml:space="preserve">husband and wife proposed to transfer 495 of 500 shares of a C corporation to a charitable remainder unitrust and asked whether the redemption would be treated as an </w:t>
      </w:r>
      <w:r w:rsidRPr="00E2659E">
        <w:t>assignment</w:t>
      </w:r>
      <w:r w:rsidRPr="00BB556F">
        <w:rPr>
          <w:bCs/>
        </w:rPr>
        <w:t xml:space="preserve"> of income.  The ruling first describes </w:t>
      </w:r>
      <w:r w:rsidRPr="00BB556F">
        <w:rPr>
          <w:bCs/>
          <w:u w:val="single"/>
        </w:rPr>
        <w:t>Palmer</w:t>
      </w:r>
      <w:r w:rsidRPr="00BB556F">
        <w:rPr>
          <w:bCs/>
        </w:rPr>
        <w:t xml:space="preserve"> and Revenue Ruling 78-197 and then states</w:t>
      </w:r>
      <w:r>
        <w:rPr>
          <w:bCs/>
        </w:rPr>
        <w:t xml:space="preserve"> as follows</w:t>
      </w:r>
      <w:r w:rsidRPr="00BB556F">
        <w:rPr>
          <w:bCs/>
        </w:rPr>
        <w:t>:</w:t>
      </w:r>
    </w:p>
    <w:p w:rsidR="00B66CCE" w:rsidRPr="00F47DC7" w:rsidRDefault="00B66CCE" w:rsidP="00B66CCE">
      <w:pPr>
        <w:pStyle w:val="QS10"/>
        <w:rPr>
          <w:bCs/>
        </w:rPr>
      </w:pPr>
      <w:r w:rsidRPr="00F47DC7">
        <w:t xml:space="preserve">In the present case, at the time </w:t>
      </w:r>
      <w:r w:rsidRPr="00F47DC7">
        <w:rPr>
          <w:u w:val="single"/>
        </w:rPr>
        <w:t>X</w:t>
      </w:r>
      <w:r w:rsidRPr="00F47DC7">
        <w:t xml:space="preserve"> shares are transferred to Trust, </w:t>
      </w:r>
      <w:r w:rsidRPr="00F47DC7">
        <w:rPr>
          <w:u w:val="single"/>
        </w:rPr>
        <w:t>X</w:t>
      </w:r>
      <w:r w:rsidRPr="00F47DC7">
        <w:t xml:space="preserve"> will be under no legal obligation to redeem the contributed stock. There is no agreement among the parties under which </w:t>
      </w:r>
      <w:r w:rsidRPr="00F47DC7">
        <w:rPr>
          <w:u w:val="single"/>
        </w:rPr>
        <w:t>X</w:t>
      </w:r>
      <w:r w:rsidRPr="00F47DC7">
        <w:t xml:space="preserve"> would be obligated to redeem, or Trust would be obligated to surrender for redemption, the stock. Trust is not legally obligated to accept any offer of redemption made by </w:t>
      </w:r>
      <w:r w:rsidRPr="00F47DC7">
        <w:rPr>
          <w:u w:val="single"/>
        </w:rPr>
        <w:t>X</w:t>
      </w:r>
      <w:r w:rsidRPr="00F47DC7">
        <w:t xml:space="preserve">. </w:t>
      </w:r>
      <w:r>
        <w:t xml:space="preserve"> </w:t>
      </w:r>
      <w:r w:rsidRPr="00F47DC7">
        <w:t xml:space="preserve">Accordingly, any redemption by </w:t>
      </w:r>
      <w:r w:rsidRPr="00F47DC7">
        <w:rPr>
          <w:u w:val="single"/>
        </w:rPr>
        <w:t>X</w:t>
      </w:r>
      <w:r w:rsidRPr="00F47DC7">
        <w:t xml:space="preserve"> of the stock contributed by Grantors to Trust will be respected.</w:t>
      </w:r>
    </w:p>
    <w:p w:rsidR="00B66CCE" w:rsidRPr="00F47DC7" w:rsidRDefault="00B66CCE" w:rsidP="00B66CCE">
      <w:pPr>
        <w:pStyle w:val="QS10"/>
        <w:rPr>
          <w:bCs/>
        </w:rPr>
      </w:pPr>
      <w:r w:rsidRPr="00F47DC7">
        <w:t xml:space="preserve">Based on the representations submitted and information described above, we conclude that a purchase by </w:t>
      </w:r>
      <w:r w:rsidRPr="00F47DC7">
        <w:rPr>
          <w:u w:val="single"/>
        </w:rPr>
        <w:t>X</w:t>
      </w:r>
      <w:r w:rsidRPr="00F47DC7">
        <w:t xml:space="preserve"> of the stock transferred by Grantors to Trust will be treated as a redemption of the stock from Trust, and will not be treated as a redemption of stock from Grantors or a distribution by </w:t>
      </w:r>
      <w:r w:rsidRPr="00F47DC7">
        <w:rPr>
          <w:u w:val="single"/>
        </w:rPr>
        <w:t>X</w:t>
      </w:r>
      <w:r w:rsidRPr="00F47DC7">
        <w:t xml:space="preserve"> to Grantors. Therefore, the sale or redemption by Trust of its </w:t>
      </w:r>
      <w:r w:rsidRPr="00F47DC7">
        <w:rPr>
          <w:u w:val="single"/>
        </w:rPr>
        <w:t>X</w:t>
      </w:r>
      <w:r w:rsidRPr="00F47DC7">
        <w:t xml:space="preserve"> stock will not result in the capital gain in such sale or the redemption price being attributed for tax purposes to Grantors.</w:t>
      </w:r>
    </w:p>
    <w:p w:rsidR="00B66CCE" w:rsidRPr="00BB556F" w:rsidRDefault="00B66CCE" w:rsidP="00B66CCE">
      <w:pPr>
        <w:pStyle w:val="Body15"/>
        <w:rPr>
          <w:bCs/>
        </w:rPr>
      </w:pPr>
      <w:r>
        <w:rPr>
          <w:bCs/>
        </w:rPr>
        <w:t>In PLR</w:t>
      </w:r>
      <w:r w:rsidRPr="00BB556F">
        <w:rPr>
          <w:bCs/>
        </w:rPr>
        <w:t xml:space="preserve"> 200321010, a retired officer of a </w:t>
      </w:r>
      <w:r w:rsidRPr="00E2659E">
        <w:t>corporation</w:t>
      </w:r>
      <w:r w:rsidRPr="00BB556F">
        <w:rPr>
          <w:bCs/>
        </w:rPr>
        <w:t xml:space="preserve"> intended to give shares of the corporation to a </w:t>
      </w:r>
      <w:r>
        <w:rPr>
          <w:bCs/>
        </w:rPr>
        <w:t>charitable remainder unitrust</w:t>
      </w:r>
      <w:r w:rsidRPr="00BB556F">
        <w:rPr>
          <w:bCs/>
        </w:rPr>
        <w:t xml:space="preserve">.  The </w:t>
      </w:r>
      <w:r>
        <w:rPr>
          <w:bCs/>
        </w:rPr>
        <w:t>transfer would trigger an option under a shareholder agreement, giving the company the right to purchase the stock for a formula price.  The ruling described the “bright-line”</w:t>
      </w:r>
      <w:r w:rsidRPr="00BB556F">
        <w:rPr>
          <w:bCs/>
        </w:rPr>
        <w:t xml:space="preserve"> test of </w:t>
      </w:r>
      <w:r w:rsidRPr="00BB556F">
        <w:rPr>
          <w:bCs/>
          <w:u w:val="single"/>
        </w:rPr>
        <w:t>Palmer</w:t>
      </w:r>
      <w:r w:rsidRPr="00BB556F">
        <w:rPr>
          <w:bCs/>
        </w:rPr>
        <w:t xml:space="preserve">, </w:t>
      </w:r>
      <w:r>
        <w:rPr>
          <w:bCs/>
        </w:rPr>
        <w:t>cited</w:t>
      </w:r>
      <w:r w:rsidRPr="00BB556F">
        <w:rPr>
          <w:bCs/>
        </w:rPr>
        <w:t xml:space="preserve"> </w:t>
      </w:r>
      <w:r w:rsidRPr="00BB556F">
        <w:rPr>
          <w:bCs/>
          <w:u w:val="single"/>
        </w:rPr>
        <w:t>Rauenhorst,</w:t>
      </w:r>
      <w:r w:rsidRPr="00BB556F">
        <w:rPr>
          <w:bCs/>
        </w:rPr>
        <w:t xml:space="preserve"> and concluded</w:t>
      </w:r>
      <w:r>
        <w:rPr>
          <w:bCs/>
        </w:rPr>
        <w:t xml:space="preserve"> as follows</w:t>
      </w:r>
      <w:r w:rsidRPr="00BB556F">
        <w:rPr>
          <w:bCs/>
        </w:rPr>
        <w:t>:</w:t>
      </w:r>
    </w:p>
    <w:p w:rsidR="00B66CCE" w:rsidRPr="007D741C" w:rsidRDefault="00B66CCE" w:rsidP="00B66CCE">
      <w:pPr>
        <w:pStyle w:val="QS10"/>
        <w:rPr>
          <w:bCs/>
        </w:rPr>
      </w:pPr>
      <w:r w:rsidRPr="007D741C">
        <w:t xml:space="preserve">Consequently, the test for purposes of this ruling request, is whether the CRUT will be legally bound or can be compelled by Company to surrender the stock for redemption at the time of the donation. </w:t>
      </w:r>
      <w:r>
        <w:t xml:space="preserve"> </w:t>
      </w:r>
      <w:r w:rsidRPr="007D741C">
        <w:t xml:space="preserve">Here, X proposes to transfer the Company stock to the CRUT. Under the restrictions contained in each year’s stock restriction agreement, the CRUT must first offer the stock to Company at a set formula price should the CRUT propose to dispose of the shares. This provision amounts to a right of first refusal. </w:t>
      </w:r>
      <w:r>
        <w:t xml:space="preserve"> </w:t>
      </w:r>
      <w:r w:rsidRPr="007D741C">
        <w:t>However, it does not mean that the CRUT is legally bound or can be compelled by Company to surrender the stock to Company at the time of the donation. The information submitted contains no indication that the CRUT will be legally bound, or could be compelled by Company, to redeem or sell the gifted stock. That all or a portion of the gifted stock was subject to restrictions upon transfer to a third party by X, and thus by the CRUT following the transfer, does not give Company the ability to compel its redemption or sale from the CRUT. The CRUT is free to retain title to and ownership of the stock indefinitely.</w:t>
      </w:r>
    </w:p>
    <w:p w:rsidR="00B66CCE" w:rsidRDefault="00B66CCE" w:rsidP="00B66CCE">
      <w:pPr>
        <w:pStyle w:val="QS10"/>
        <w:rPr>
          <w:bCs/>
        </w:rPr>
      </w:pPr>
      <w:r w:rsidRPr="007D741C">
        <w:t xml:space="preserve">Because the CRUT is not legally bound and cannot be compelled by Company to redeem or sell the stock, we conclude that the transfer of the Company stock by X to the CRUT, followed by any subsequent redemption of the stock by Company, will not be recharacterized for federal income tax purposes as a redemption of the stock by Company from X followed by a contribution of the redemption proceeds to the CRUT. See </w:t>
      </w:r>
      <w:r w:rsidRPr="007D741C">
        <w:rPr>
          <w:u w:val="single"/>
        </w:rPr>
        <w:t>Palmer v. Commissioner</w:t>
      </w:r>
      <w:r w:rsidRPr="007D741C">
        <w:t>, supra, and Rev. Rul. 78</w:t>
      </w:r>
      <w:r w:rsidRPr="007D741C">
        <w:noBreakHyphen/>
        <w:t>197, supra. The same principles apply if the stock is sold by the CRUT rather than redeemed by Company. Thus, provided there is no prearranged sale contract whereby the CRUT is legally bound to sell the stock upon the contribution, we conclude that any subsequent sale will not be recharacterized for federal income tax purposes as a sale of the stock by X, followed by a contribution of the sale proceeds to the CRUT. Accordingly, any redemption proceeds or sales proceeds received by the CRUT for the stock will not be treated as taxable income received by X.</w:t>
      </w:r>
    </w:p>
    <w:p w:rsidR="00B66CCE" w:rsidRDefault="00B66CCE" w:rsidP="00B66CCE">
      <w:pPr>
        <w:pStyle w:val="Body15"/>
        <w:rPr>
          <w:bCs/>
        </w:rPr>
      </w:pPr>
      <w:r>
        <w:t>See also PLR</w:t>
      </w:r>
      <w:r w:rsidRPr="00BB556F">
        <w:t xml:space="preserve"> 200821024 to the same effect.</w:t>
      </w:r>
    </w:p>
    <w:p w:rsidR="00B66CCE" w:rsidRDefault="00B66CCE" w:rsidP="00B66CCE">
      <w:pPr>
        <w:pStyle w:val="Body15"/>
      </w:pPr>
      <w:r>
        <w:t xml:space="preserve">In </w:t>
      </w:r>
      <w:r>
        <w:rPr>
          <w:u w:val="single"/>
        </w:rPr>
        <w:t>Dickinson v. Commissioner</w:t>
      </w:r>
      <w:r>
        <w:t xml:space="preserve">, T.C. Memo. 2020-128, Judge Greaves reached the right result but the </w:t>
      </w:r>
      <w:r w:rsidR="00235723">
        <w:t xml:space="preserve">litigation itself is disturbing.  </w:t>
      </w:r>
      <w:r>
        <w:t>The CFO of a private company donated shares to a donor advised fund (DAF) when allowed to transfer shares by t</w:t>
      </w:r>
      <w:r w:rsidR="00597CC2">
        <w:t>h</w:t>
      </w:r>
      <w:r>
        <w:t>e board, on three occasions.  The board was comfortable allowing the transfers because the DAF had a policy of trying to sell closely-held shares quickly which meant, as a practical matter, offering the shares back to the company.  In fact, after each donation the company redeemed the shares.</w:t>
      </w:r>
    </w:p>
    <w:p w:rsidR="00B66CCE" w:rsidRDefault="00B66CCE" w:rsidP="00B66CCE">
      <w:pPr>
        <w:pStyle w:val="Body15"/>
      </w:pPr>
      <w:r>
        <w:t>The IRS treated the donation and redemption as an integrated whole to claim the taxpayers in effect sold the stock and contributed t</w:t>
      </w:r>
      <w:r w:rsidR="00235723">
        <w:t>h</w:t>
      </w:r>
      <w:r>
        <w:t>e proceeds.  Why is puzzling.  One would have thought that Rev. Rul. 78-197 would have been dispositive for the taxpayers but apparently not</w:t>
      </w:r>
      <w:r w:rsidR="00235723">
        <w:t>.  The opinion</w:t>
      </w:r>
      <w:r>
        <w:t xml:space="preserve"> discusses that ruling as follows:</w:t>
      </w:r>
    </w:p>
    <w:p w:rsidR="00B66CCE" w:rsidRPr="00E2659E" w:rsidRDefault="00B66CCE" w:rsidP="00B66CCE">
      <w:pPr>
        <w:pStyle w:val="QS10"/>
      </w:pPr>
      <w:r>
        <w:t xml:space="preserve">The parties point us to Rev. Rul. 78-197, 1978-1 C.B. 83, a “bright-line” rule the IRS applies in cases like </w:t>
      </w:r>
      <w:r>
        <w:rPr>
          <w:u w:val="single"/>
        </w:rPr>
        <w:t>Palmer</w:t>
      </w:r>
      <w:r>
        <w:t xml:space="preserve">, which focuses on the donee’s control over the disposition of the appreciated property.  </w:t>
      </w:r>
      <w:r>
        <w:rPr>
          <w:u w:val="single"/>
        </w:rPr>
        <w:t>See</w:t>
      </w:r>
      <w:r>
        <w:t xml:space="preserve"> </w:t>
      </w:r>
      <w:r>
        <w:rPr>
          <w:u w:val="single"/>
        </w:rPr>
        <w:t>Rauenhorst v. Commissioner</w:t>
      </w:r>
      <w:r>
        <w:t xml:space="preserve">, 119 T.C. at 165.  This Court has not adopted Rev. Rul. 78-197, </w:t>
      </w:r>
      <w:r>
        <w:rPr>
          <w:u w:val="single"/>
        </w:rPr>
        <w:t>supra</w:t>
      </w:r>
      <w:r>
        <w:t xml:space="preserve">, as the test for resolving anticipatory assignment of income issues, </w:t>
      </w:r>
      <w:r>
        <w:rPr>
          <w:u w:val="single"/>
        </w:rPr>
        <w:t>see</w:t>
      </w:r>
      <w:r>
        <w:t xml:space="preserve"> </w:t>
      </w:r>
      <w:r>
        <w:rPr>
          <w:u w:val="single"/>
        </w:rPr>
        <w:t>Rauenhorst v. Commissioner</w:t>
      </w:r>
      <w:r>
        <w:t xml:space="preserve">, 119 T.C. at 166, and does not do so today.  The ultimate question, as noted in </w:t>
      </w:r>
      <w:r>
        <w:rPr>
          <w:u w:val="single"/>
        </w:rPr>
        <w:t>Palmer</w:t>
      </w:r>
      <w:r>
        <w:t xml:space="preserve">, is whether the redemption and the shareholder’s corresponding right to income had already crystallized </w:t>
      </w:r>
      <w:r>
        <w:rPr>
          <w:u w:val="single"/>
        </w:rPr>
        <w:t>at the time of the gift</w:t>
      </w:r>
      <w:r>
        <w:t xml:space="preserve">.  </w:t>
      </w:r>
      <w:r>
        <w:rPr>
          <w:u w:val="single"/>
        </w:rPr>
        <w:t>See</w:t>
      </w:r>
      <w:r>
        <w:t xml:space="preserve"> </w:t>
      </w:r>
      <w:r>
        <w:rPr>
          <w:u w:val="single"/>
        </w:rPr>
        <w:t>Palmer v. Commissioner</w:t>
      </w:r>
      <w:r>
        <w:t xml:space="preserve">, 62 T.C. at 694-695.  Regardless of whether the donee’s obligation to redeem the stock may suggest the donor had a fixed right to redemption income at the time of donation, </w:t>
      </w:r>
      <w:r>
        <w:rPr>
          <w:u w:val="single"/>
        </w:rPr>
        <w:t>See</w:t>
      </w:r>
      <w:r>
        <w:t xml:space="preserve"> </w:t>
      </w:r>
      <w:r>
        <w:rPr>
          <w:u w:val="single"/>
        </w:rPr>
        <w:t>Rauenhorst v. Commissioner</w:t>
      </w:r>
      <w:r>
        <w:t xml:space="preserve">, 119 T.C. at 166-167, respondent does not allege that petitioner husband had any such right in this case.  Accordingly, respondent’s resort to Rev. Rul. 78-197, </w:t>
      </w:r>
      <w:r>
        <w:rPr>
          <w:u w:val="single"/>
        </w:rPr>
        <w:t>supra</w:t>
      </w:r>
      <w:r>
        <w:t>, is unavailing.</w:t>
      </w:r>
    </w:p>
    <w:p w:rsidR="00B66CCE" w:rsidRDefault="00B66CCE" w:rsidP="00B66CCE">
      <w:pPr>
        <w:pStyle w:val="Body15"/>
      </w:pPr>
      <w:r>
        <w:t xml:space="preserve">The opinion relies on a two-prong approach set forth in </w:t>
      </w:r>
      <w:r>
        <w:rPr>
          <w:u w:val="single"/>
        </w:rPr>
        <w:t>Humacid Co. v. Commissioner</w:t>
      </w:r>
      <w:r>
        <w:t>, 42 T.C. 894 (1964), which respected the form of the transaction if the taxpayer (1) gives the property away absolutely and parts with title thereto (2) before the property gives rise to income by way of a sale.</w:t>
      </w:r>
    </w:p>
    <w:p w:rsidR="00B66CCE" w:rsidRDefault="00B66CCE" w:rsidP="00B66CCE">
      <w:pPr>
        <w:pStyle w:val="Body15"/>
      </w:pPr>
      <w:r>
        <w:t>The court determined both prongs were easily met.  Even a “preexisting understanding among the parties that the donee would redeem donated stock does not convert a postdonation redemption into a predonation redemption.”</w:t>
      </w:r>
    </w:p>
    <w:p w:rsidR="00B66CCE" w:rsidRDefault="00B66CCE" w:rsidP="00B66CCE">
      <w:pPr>
        <w:pStyle w:val="Body15"/>
      </w:pPr>
      <w:r>
        <w:t>The opinion notes:</w:t>
      </w:r>
    </w:p>
    <w:p w:rsidR="00B66CCE" w:rsidRPr="00161455" w:rsidRDefault="00B66CCE" w:rsidP="00B66CCE">
      <w:pPr>
        <w:pStyle w:val="QS10"/>
      </w:pPr>
      <w:r w:rsidRPr="00161455">
        <w:t>Furthermore, neither a pattern of stock donations followed by donee redemptions, a stock donation closely followed by a donee redemption, nor selection of a donee on the basis of the donee's internal policy of redeeming donated stock suggests that the donor failed to transfer all his rights in the donated stock. </w:t>
      </w:r>
      <w:r w:rsidRPr="00161455">
        <w:rPr>
          <w:u w:val="single"/>
        </w:rPr>
        <w:t>See, e.g.</w:t>
      </w:r>
      <w:r w:rsidRPr="00161455">
        <w:t>, </w:t>
      </w:r>
      <w:hyperlink r:id="rId149" w:anchor="co_pp_sp_350_242" w:history="1">
        <w:r w:rsidRPr="00161455">
          <w:rPr>
            <w:u w:val="single"/>
          </w:rPr>
          <w:t>Grove v. Commissioner</w:t>
        </w:r>
        <w:r w:rsidRPr="00161455">
          <w:rPr>
            <w:rStyle w:val="Hyperlink"/>
            <w:color w:val="auto"/>
            <w:u w:val="none"/>
          </w:rPr>
          <w:t>, 490 F.2d at 242–245</w:t>
        </w:r>
      </w:hyperlink>
      <w:r w:rsidRPr="00161455">
        <w:t> (respecting form of transaction where donee needed to fundraise to support its operations, and over a decade consistently redeemed annual donations of stock for which donor remained entitled to dividends); </w:t>
      </w:r>
      <w:hyperlink r:id="rId150" w:anchor="co_pp_sp_350_705" w:history="1">
        <w:r w:rsidRPr="00161455">
          <w:rPr>
            <w:u w:val="single"/>
          </w:rPr>
          <w:t>Carrington v. Commissioner</w:t>
        </w:r>
        <w:r w:rsidRPr="00161455">
          <w:rPr>
            <w:rStyle w:val="Hyperlink"/>
            <w:color w:val="auto"/>
            <w:u w:val="none"/>
          </w:rPr>
          <w:t>, 476 F.2d at 705–706</w:t>
        </w:r>
      </w:hyperlink>
      <w:r w:rsidRPr="00161455">
        <w:t> (respecting form of transaction where donee redeemed stock eight days after it was donated); </w:t>
      </w:r>
      <w:hyperlink r:id="rId151" w:anchor="co_pp_sp_838_692" w:history="1">
        <w:r w:rsidRPr="00161455">
          <w:rPr>
            <w:u w:val="single"/>
          </w:rPr>
          <w:t>Palmer v. Commissioner</w:t>
        </w:r>
        <w:r w:rsidRPr="00161455">
          <w:rPr>
            <w:rStyle w:val="Hyperlink"/>
            <w:color w:val="auto"/>
            <w:u w:val="none"/>
          </w:rPr>
          <w:t>, 62 T.C. 684, 692–693 (1974)</w:t>
        </w:r>
      </w:hyperlink>
      <w:r w:rsidRPr="00161455">
        <w:t>, (respecting form of transaction where, pursuant to a single plan, the taxpayer donated stock to a foundation and then caused the corporation to redeem the stock from the foundation the day after the donation), </w:t>
      </w:r>
      <w:r w:rsidRPr="00161455">
        <w:rPr>
          <w:u w:val="single"/>
        </w:rPr>
        <w:t>aff'd</w:t>
      </w:r>
      <w:r w:rsidRPr="00161455">
        <w:t>, </w:t>
      </w:r>
      <w:hyperlink r:id="rId152" w:history="1">
        <w:r w:rsidRPr="00161455">
          <w:rPr>
            <w:rStyle w:val="Hyperlink"/>
            <w:color w:val="auto"/>
            <w:u w:val="none"/>
          </w:rPr>
          <w:t>523 F.2d 1308 (8th Cir. 1975)</w:t>
        </w:r>
      </w:hyperlink>
      <w:r w:rsidRPr="00161455">
        <w:t>. Petitioners' contemporaneous documentary evidence of an absolute gift, and respondent's failure to assert facts indicating any genuine controversy on this point, lead us to conclude that petitioner husband's donations satisfy the first </w:t>
      </w:r>
      <w:r w:rsidRPr="00161455">
        <w:rPr>
          <w:u w:val="single"/>
        </w:rPr>
        <w:t>Humacid</w:t>
      </w:r>
      <w:r w:rsidRPr="00161455">
        <w:t> requirement.</w:t>
      </w:r>
    </w:p>
    <w:p w:rsidR="00B66CCE" w:rsidRDefault="00B66CCE" w:rsidP="00B66CCE">
      <w:pPr>
        <w:pStyle w:val="Body15"/>
      </w:pPr>
      <w:r>
        <w:t>With respect to second prong, the court follows a “practically certain” analysis which is squishier that the bright-line test of Rev. Rul. 78-197:</w:t>
      </w:r>
    </w:p>
    <w:p w:rsidR="00B66CCE" w:rsidRDefault="00B66CCE" w:rsidP="00B66CCE">
      <w:pPr>
        <w:pStyle w:val="QS10"/>
      </w:pPr>
      <w:r w:rsidRPr="00161455">
        <w:t>Where a donee redeems shares shortly after a donation, the assignment of income doctrine applies only if the redemption was practically certain to occur at the time of the gift, and would have occurred whether the shareholder made the gift or not. </w:t>
      </w:r>
      <w:r w:rsidRPr="003C1FEB">
        <w:rPr>
          <w:u w:val="single"/>
        </w:rPr>
        <w:t>See</w:t>
      </w:r>
      <w:r w:rsidRPr="00161455">
        <w:t> </w:t>
      </w:r>
      <w:r w:rsidRPr="003C1FEB">
        <w:rPr>
          <w:u w:val="single"/>
        </w:rPr>
        <w:t>Palmer v. Commissioner</w:t>
      </w:r>
      <w:r w:rsidRPr="003C1FEB">
        <w:t>, 62 T.C. at 694–695</w:t>
      </w:r>
      <w:r w:rsidRPr="00161455">
        <w:t>; s</w:t>
      </w:r>
      <w:r w:rsidRPr="003C1FEB">
        <w:rPr>
          <w:u w:val="single"/>
        </w:rPr>
        <w:t>ee also</w:t>
      </w:r>
      <w:r w:rsidRPr="00161455">
        <w:t> </w:t>
      </w:r>
      <w:r w:rsidRPr="003C1FEB">
        <w:rPr>
          <w:u w:val="single"/>
        </w:rPr>
        <w:t>Ferguson v. Commissioner</w:t>
      </w:r>
      <w:r w:rsidRPr="003C1FEB">
        <w:t>, 174 F.3d 997, 1003–1004 (9th Cir. 1999)</w:t>
      </w:r>
      <w:r w:rsidRPr="00161455">
        <w:t> (finding that the shareholder recognizes income from a stock sale where acquisition is “practically certain to occur”, rather than the subject of “a mere anticipation or expectation”, before the shareholder donates stock), </w:t>
      </w:r>
      <w:r w:rsidRPr="003C1FEB">
        <w:rPr>
          <w:u w:val="single"/>
        </w:rPr>
        <w:t>aff'g</w:t>
      </w:r>
      <w:r w:rsidRPr="00161455">
        <w:t> </w:t>
      </w:r>
      <w:hyperlink r:id="rId153" w:history="1">
        <w:r w:rsidRPr="00161455">
          <w:rPr>
            <w:rStyle w:val="Hyperlink"/>
            <w:color w:val="auto"/>
            <w:u w:val="none"/>
          </w:rPr>
          <w:t>108 T.C. 244 (1997)</w:t>
        </w:r>
      </w:hyperlink>
      <w:r w:rsidRPr="00161455">
        <w:t>. In </w:t>
      </w:r>
      <w:hyperlink r:id="rId154" w:anchor="co_pp_sp_350_276" w:history="1">
        <w:r w:rsidRPr="003C1FEB">
          <w:rPr>
            <w:u w:val="single"/>
          </w:rPr>
          <w:t>Hudspeth v. United States</w:t>
        </w:r>
        <w:r w:rsidRPr="00161455">
          <w:rPr>
            <w:rStyle w:val="Hyperlink"/>
            <w:color w:val="auto"/>
            <w:u w:val="none"/>
          </w:rPr>
          <w:t>, 471 F.2d 275, 276 (8th Cir. 1972)</w:t>
        </w:r>
      </w:hyperlink>
      <w:r w:rsidRPr="00161455">
        <w:t>, for example, the court recast a stock donation as a taxable stock sale and donation of the sale proceeds where the taxpayer donated stock after the issuing corporation's directors and shareholders had adopted a plan of complete liquidation. </w:t>
      </w:r>
      <w:r w:rsidRPr="003C1FEB">
        <w:rPr>
          <w:u w:val="single"/>
        </w:rPr>
        <w:t>See also</w:t>
      </w:r>
      <w:r w:rsidRPr="00161455">
        <w:t> </w:t>
      </w:r>
      <w:r w:rsidRPr="003C1FEB">
        <w:rPr>
          <w:u w:val="single"/>
        </w:rPr>
        <w:t>Jones v. United States</w:t>
      </w:r>
      <w:r w:rsidRPr="003C1FEB">
        <w:t>, 531 F.2d 1343, 1343–1344 (6th Cir. 1976)</w:t>
      </w:r>
      <w:r w:rsidRPr="00161455">
        <w:t>; </w:t>
      </w:r>
      <w:r w:rsidRPr="003C1FEB">
        <w:rPr>
          <w:u w:val="single"/>
        </w:rPr>
        <w:t>Allen v. Commissioner</w:t>
      </w:r>
      <w:r w:rsidRPr="003C1FEB">
        <w:t>, 66 T.C. 340, 347 (1976)</w:t>
      </w:r>
      <w:r w:rsidRPr="00161455">
        <w:t>.</w:t>
      </w:r>
      <w:hyperlink r:id="rId155" w:anchor="co_footnote_B00022051785606" w:history="1">
        <w:r w:rsidRPr="00161455">
          <w:rPr>
            <w:rStyle w:val="Hyperlink"/>
            <w:color w:val="auto"/>
            <w:u w:val="none"/>
          </w:rPr>
          <w:t>2</w:t>
        </w:r>
      </w:hyperlink>
      <w:r w:rsidRPr="00161455">
        <w:t> By contrast, there was no assignment of income in </w:t>
      </w:r>
      <w:r w:rsidRPr="003C1FEB">
        <w:rPr>
          <w:u w:val="single"/>
        </w:rPr>
        <w:t>Palmer v. Commissioner</w:t>
      </w:r>
      <w:r w:rsidRPr="003C1FEB">
        <w:t>, 62 T.C. at 687–688, 695</w:t>
      </w:r>
      <w:r w:rsidRPr="00161455">
        <w:t>, even though all parties were related and anticipated the redemption before the donation, because “no vote for the redemption had yet been taken” when the shareholder donated the stock. As in </w:t>
      </w:r>
      <w:r w:rsidRPr="003C1FEB">
        <w:rPr>
          <w:u w:val="single"/>
        </w:rPr>
        <w:t>Palmer</w:t>
      </w:r>
      <w:r w:rsidRPr="00161455">
        <w:t>, the redemption in this case was not a fait accompli at the time of the gift. </w:t>
      </w:r>
    </w:p>
    <w:p w:rsidR="000A5344" w:rsidRPr="000A5344" w:rsidRDefault="00235723" w:rsidP="00DE478A">
      <w:pPr>
        <w:pStyle w:val="Heading20"/>
        <w:numPr>
          <w:ilvl w:val="1"/>
          <w:numId w:val="34"/>
        </w:numPr>
        <w:tabs>
          <w:tab w:val="clear" w:pos="2700"/>
          <w:tab w:val="num" w:pos="1440"/>
        </w:tabs>
        <w:ind w:left="0"/>
        <w:rPr>
          <w:b/>
          <w:vanish/>
          <w:color w:val="000000" w:themeColor="text1"/>
          <w:u w:val="single"/>
          <w:specVanish/>
        </w:rPr>
      </w:pPr>
      <w:bookmarkStart w:id="174" w:name="_Toc94704632"/>
      <w:r>
        <w:rPr>
          <w:b/>
          <w:color w:val="000000" w:themeColor="text1"/>
          <w:u w:val="single"/>
        </w:rPr>
        <w:t>Another</w:t>
      </w:r>
      <w:r w:rsidR="00DE478A">
        <w:rPr>
          <w:b/>
          <w:color w:val="000000" w:themeColor="text1"/>
          <w:u w:val="single"/>
        </w:rPr>
        <w:t xml:space="preserve"> Favorable Note to CLT Via Non-Voting LLC Interests Ruling</w:t>
      </w:r>
      <w:bookmarkEnd w:id="174"/>
    </w:p>
    <w:p w:rsidR="00DE478A" w:rsidRPr="00DE478A" w:rsidRDefault="00DE478A" w:rsidP="000A5344">
      <w:pPr>
        <w:pStyle w:val="Heading2Body"/>
        <w:rPr>
          <w:b/>
          <w:u w:val="single"/>
        </w:rPr>
      </w:pPr>
      <w:r>
        <w:t>.  Many individuals sell assets during lifetime to family trusts in exchange for notes.  A foundation or entity like a CLT that is similarly subject to the self-dealing rules of section 4941 may not hold those notes, because the obligor trust will be a disqualified person with respect to the CLT.  The solution to this problem is to drop the note into an LLC and transfer non-voting interests to the CLT.  Such was allowed most recently in PLR 202037009 which states:</w:t>
      </w:r>
    </w:p>
    <w:p w:rsidR="007A0E0C" w:rsidRDefault="007A0E0C" w:rsidP="007A0E0C">
      <w:pPr>
        <w:pStyle w:val="QS10"/>
      </w:pPr>
      <w:r>
        <w:t xml:space="preserve">CLT proposes that Revocable Trust form LLC and contribute cash and the Note to LLC in exchange for 100% of LLC’s ownership interests, 99% of which are nonvoting interests and 1% of which are voting interests. Revocable Trust will satisfy its distribution obligations by distributing to CLT an amount of nonvoting interests in LLC with a value equal to CLT’s full distribution entitlement. The remaining undistributed nonvoting interests and all voting interests in LLC will be distributed to the other Revocable Trust beneficiaries, A, B, and C in their individual capacities, and not as trustees of CLT. </w:t>
      </w:r>
    </w:p>
    <w:p w:rsidR="007A0E0C" w:rsidRDefault="007A0E0C" w:rsidP="007A0E0C">
      <w:pPr>
        <w:pStyle w:val="QS10"/>
      </w:pPr>
      <w:r>
        <w:t xml:space="preserve">Pursuant to the LLC operating agreement, LLC will be managed by a single manager (Manager) who is selected and may be removed by a vote of the members holding a majority of the voting interests. The holders of the nonvoting interests will possess no management rights or rights to vote on the appointment or removal of Manager. An amendment to the LLC operating agreement or dissolution of the LLC requires the approval of all members, whether holding voting or nonvoting interests. </w:t>
      </w:r>
    </w:p>
    <w:p w:rsidR="007A0E0C" w:rsidRDefault="007A0E0C" w:rsidP="007A0E0C">
      <w:pPr>
        <w:pStyle w:val="QS10"/>
      </w:pPr>
      <w:r>
        <w:t>LLC will hold and administer the Note and receive payments of interest and principal on the Note. Aside from the cash initially contributed to LLC by Revocable Trust, LLC’s PLR-133620-18 3 sole asset and source of income will be the Note. CLT will engage only in passive investment activities, and not in the operation of any business enterprise. At least 95% of CLT’s gross income will be from passive investments including interest and dividends.</w:t>
      </w:r>
    </w:p>
    <w:p w:rsidR="007A0E0C" w:rsidRDefault="007A0E0C" w:rsidP="007A0E0C">
      <w:pPr>
        <w:pStyle w:val="QS10"/>
        <w:jc w:val="center"/>
      </w:pPr>
      <w:r>
        <w:t>* * *</w:t>
      </w:r>
    </w:p>
    <w:p w:rsidR="007A0E0C" w:rsidRDefault="007A0E0C" w:rsidP="007A0E0C">
      <w:pPr>
        <w:pStyle w:val="QS10"/>
      </w:pPr>
      <w:r>
        <w:t xml:space="preserve">CLT will not “control” LLC within the meaning of Treas. Reg. § 53.4941(d)-1(b)(5) due to a lack of voting power. As holder of the nonvoting interests, CLT will have no management rights or right to vote on the manager of LLC. The other beneficiaries of Revocable Trust will own all of the voting interests, giving them the right to select and remove the manager LLC. As a holder of nonvoting interests, CLT will have a right to receive distributions only if LLC dissolves or chooses to make current distributions, but the timing and amount of such distributions will be uncertain and cannot be compelled by CLT. Only the other beneficiaries of Revocable Trust, as the holders of the voting interests, may elect or remove the Manager, who will have the sole power to manage the affairs of LLC and determine the timing and amount of distributions. Thus, CLT and CLT’s trustees (acting only in such capacity) will not have sufficient votes or positions of authority to cause LLC to engage in a transaction. </w:t>
      </w:r>
    </w:p>
    <w:p w:rsidR="007A0E0C" w:rsidRDefault="007A0E0C" w:rsidP="007A0E0C">
      <w:pPr>
        <w:pStyle w:val="QS10"/>
      </w:pPr>
      <w:r>
        <w:t xml:space="preserve">Additionally, CLT will not have the power to compel dissolution of LLC since LLC may only be dissolved with written approval of all members, including the holders of the voting interests. The power associated with the nonvoting interests of LLC as a necessary party to vote on the liquidation of LLC is not considered equivalent to a “veto power” within the meaning of Treas. Reg. § 53.4941(d)-1(b)(5) because the power cannot be exercised over an action relevant to any potential act of self-dealing. Consequently, CLT will not “control” LLC within the meaning of Treas. Reg. § 53.4941(d)-1(b)(5) </w:t>
      </w:r>
    </w:p>
    <w:p w:rsidR="007A0E0C" w:rsidRDefault="007A0E0C" w:rsidP="007A0E0C">
      <w:pPr>
        <w:pStyle w:val="QS10"/>
      </w:pPr>
      <w:r>
        <w:t xml:space="preserve">Accordingly, CLT’s receipt of nonvoting interests in LLC from Revocable Trust will not constitute a loan or extension of credit between a “private foundation” and a “disqualified person” within the meaning of section 4941(d)(1)(B) and Treas. Reg. §53.4941(d)-2(c) because CLT will not acquire an interest in the promissory note; instead, CLT will acquire nonvoting interests in LLC, with respect to which it will not have any management rights or control over distributions. </w:t>
      </w:r>
    </w:p>
    <w:p w:rsidR="007A0E0C" w:rsidRDefault="007A0E0C" w:rsidP="007A0E0C">
      <w:pPr>
        <w:pStyle w:val="QS10"/>
      </w:pPr>
      <w:r>
        <w:t xml:space="preserve">Thus, CLT’s receipt and continued ownership of nonvoting interests in LLC will not constitute an act of self-dealing described in section 4941. </w:t>
      </w:r>
    </w:p>
    <w:p w:rsidR="007A0E0C" w:rsidRDefault="007A0E0C" w:rsidP="00014E28">
      <w:pPr>
        <w:pStyle w:val="QS10"/>
        <w:jc w:val="center"/>
      </w:pPr>
      <w:r>
        <w:t>* * *</w:t>
      </w:r>
    </w:p>
    <w:p w:rsidR="007A0E0C" w:rsidRDefault="007A0E0C" w:rsidP="007A0E0C">
      <w:pPr>
        <w:pStyle w:val="QS10"/>
      </w:pPr>
      <w:r>
        <w:t>Under Treas. Reg. § 53.4941(d)-1(b)(4), a transaction between a private foundation and an organization does not result in an act of self-dealing where the organization is neither controlled by the foundation nor does it have a disqualified person owning at least a 35% beneficial interest in the organization. Here, as explained above, CLT does not control LLC because CLT only holds nonvoting interests, with the only voting interests in LLC held by the other Revocable Trust beneficiaries. Although the other Revocable Trust beneficiaries may be trustees of CLT and thus disqualified persons, they own the voting interests in LLC in their individual capacities and not as foundation managers of CLT. Further, the other Revocable Trust beneficiaries only own an approximately 1% beneficial interest in LLC, below the 35% threshold.</w:t>
      </w:r>
    </w:p>
    <w:p w:rsidR="007A0E0C" w:rsidRDefault="007A0E0C" w:rsidP="00014E28">
      <w:pPr>
        <w:pStyle w:val="QS10"/>
        <w:jc w:val="center"/>
      </w:pPr>
      <w:r>
        <w:t>* * *</w:t>
      </w:r>
    </w:p>
    <w:p w:rsidR="007A0E0C" w:rsidRDefault="007A0E0C" w:rsidP="007A0E0C">
      <w:pPr>
        <w:pStyle w:val="QS10"/>
      </w:pPr>
      <w:r>
        <w:t>LLC’s sole asset will be the Note, which will generate passive income in the form of interest, as described in sections 4943(d)(3) and 512(b)(1). As such, LLC will not be considered a “business enterprise” for purposes of section 4943(d)(3) because at least 95 percent of its gross income will derive from passive sources. See also Treas. Reg. § 53.4943-10(c)(1). Because LLC will not be considered a “business enterprise,” the restrictions on excess business holdings under section 4943 will not apply. Thus, CLT’s receipt and continued ownership of nonvoting interests in LLC will not result in excess business holdings under section 4943.</w:t>
      </w:r>
    </w:p>
    <w:p w:rsidR="00B66F0A" w:rsidRDefault="00511298" w:rsidP="00DE478A">
      <w:pPr>
        <w:pStyle w:val="Body15"/>
      </w:pPr>
      <w:r>
        <w:t>See also PLR 202101002</w:t>
      </w:r>
      <w:r w:rsidR="00B66F0A">
        <w:t>, involving the sale during life</w:t>
      </w:r>
      <w:r w:rsidR="00235723">
        <w:t xml:space="preserve">time to a joint revocable trust followed by </w:t>
      </w:r>
      <w:r>
        <w:t xml:space="preserve">approval of </w:t>
      </w:r>
      <w:r w:rsidR="00235723">
        <w:t>the note contribution</w:t>
      </w:r>
      <w:r>
        <w:t xml:space="preserve"> via an LLC.  Practitioners have heard </w:t>
      </w:r>
      <w:r w:rsidR="00DF688B">
        <w:t xml:space="preserve">that </w:t>
      </w:r>
      <w:r>
        <w:t>the IRS may change this ruling position</w:t>
      </w:r>
      <w:r w:rsidR="00235723">
        <w:t>.</w:t>
      </w:r>
    </w:p>
    <w:p w:rsidR="00C925FF" w:rsidRPr="00C925FF" w:rsidRDefault="00D7011E" w:rsidP="00D7011E">
      <w:pPr>
        <w:pStyle w:val="Heading20"/>
        <w:numPr>
          <w:ilvl w:val="1"/>
          <w:numId w:val="34"/>
        </w:numPr>
        <w:tabs>
          <w:tab w:val="clear" w:pos="2700"/>
          <w:tab w:val="num" w:pos="1440"/>
        </w:tabs>
        <w:ind w:left="0"/>
        <w:rPr>
          <w:vanish/>
          <w:specVanish/>
        </w:rPr>
      </w:pPr>
      <w:bookmarkStart w:id="175" w:name="_Toc94704633"/>
      <w:r>
        <w:rPr>
          <w:b/>
          <w:u w:val="single"/>
        </w:rPr>
        <w:t xml:space="preserve">Termination of a </w:t>
      </w:r>
      <w:r w:rsidR="005E6222">
        <w:rPr>
          <w:b/>
          <w:u w:val="single"/>
        </w:rPr>
        <w:t>CRA</w:t>
      </w:r>
      <w:r>
        <w:rPr>
          <w:b/>
          <w:u w:val="single"/>
        </w:rPr>
        <w:t>T</w:t>
      </w:r>
      <w:bookmarkEnd w:id="175"/>
    </w:p>
    <w:p w:rsidR="00D7011E" w:rsidRDefault="00D7011E" w:rsidP="00C925FF">
      <w:pPr>
        <w:pStyle w:val="Heading2Body"/>
      </w:pPr>
      <w:r>
        <w:t>.  In PLR 202047005 spouses were annuity beneficiaries of a charitable rem</w:t>
      </w:r>
      <w:r w:rsidR="000211D0">
        <w:t>a</w:t>
      </w:r>
      <w:r>
        <w:t>inder annuity trust.  The spouses assigned their annuity interes</w:t>
      </w:r>
      <w:r w:rsidR="005E6222">
        <w:t>t</w:t>
      </w:r>
      <w:r>
        <w:t xml:space="preserve">s to the remainder charity which became the only beneficiary of the trust.  The trust would then be dissolved by court order.  The annuitant spouses were also trustees of the CRAT.  The IRS determined there would be no self-dealing nor income tax at termination.  The spouses would receive no income tax deduction for the contribution because they have no basis in the annuity interest.  The ruling notes: </w:t>
      </w:r>
    </w:p>
    <w:p w:rsidR="00D7011E" w:rsidRDefault="005E6222" w:rsidP="005E6222">
      <w:pPr>
        <w:pStyle w:val="QS10"/>
      </w:pPr>
      <w:r>
        <w:t xml:space="preserve">In Rev. Rul. 86-60, 1986-1 C.B. 302, Situation 1, in 1980, </w:t>
      </w:r>
      <w:r w:rsidRPr="005E6222">
        <w:rPr>
          <w:u w:val="single"/>
        </w:rPr>
        <w:t>A</w:t>
      </w:r>
      <w:r>
        <w:t xml:space="preserve"> created a charitable remainder annuity trust described in section 664(d)(1). </w:t>
      </w:r>
      <w:r w:rsidRPr="005E6222">
        <w:rPr>
          <w:u w:val="single"/>
        </w:rPr>
        <w:t>A</w:t>
      </w:r>
      <w:r>
        <w:t xml:space="preserve"> retained the annuity interest in the trust for life. The remainder beneficiary was </w:t>
      </w:r>
      <w:r w:rsidRPr="005E6222">
        <w:rPr>
          <w:u w:val="single"/>
        </w:rPr>
        <w:t>X</w:t>
      </w:r>
      <w:r>
        <w:t xml:space="preserve">, a charitable organization described in sections 170(c) and 2522(a). In 1984, </w:t>
      </w:r>
      <w:r w:rsidRPr="005E6222">
        <w:rPr>
          <w:u w:val="single"/>
        </w:rPr>
        <w:t>A</w:t>
      </w:r>
      <w:r>
        <w:t xml:space="preserve"> transferred the entire annuity interest in the trust to </w:t>
      </w:r>
      <w:r w:rsidRPr="005E6222">
        <w:rPr>
          <w:u w:val="single"/>
        </w:rPr>
        <w:t>X</w:t>
      </w:r>
      <w:r>
        <w:t xml:space="preserve">. The Service ruled that, although </w:t>
      </w:r>
      <w:r w:rsidRPr="005E6222">
        <w:rPr>
          <w:u w:val="single"/>
        </w:rPr>
        <w:t>A</w:t>
      </w:r>
      <w:r>
        <w:t xml:space="preserve"> had previously divided the interest </w:t>
      </w:r>
      <w:r w:rsidRPr="005E6222">
        <w:rPr>
          <w:u w:val="single"/>
        </w:rPr>
        <w:t>A</w:t>
      </w:r>
      <w:r>
        <w:t xml:space="preserve"> held in the property, the division was not to avoid section 170(f)(2)(A). Thus, under section 1.170A-7(a)(2)(i), </w:t>
      </w:r>
      <w:r w:rsidRPr="005E6222">
        <w:rPr>
          <w:u w:val="single"/>
        </w:rPr>
        <w:t>A</w:t>
      </w:r>
      <w:r>
        <w:t xml:space="preserve">’s transfer of </w:t>
      </w:r>
      <w:r w:rsidRPr="005E6222">
        <w:rPr>
          <w:u w:val="single"/>
        </w:rPr>
        <w:t>A</w:t>
      </w:r>
      <w:r>
        <w:t>’s entire life annuity interest qualified for an income tax charitable deduction.</w:t>
      </w:r>
    </w:p>
    <w:p w:rsidR="00D7011E" w:rsidRDefault="00D7011E" w:rsidP="005E6222">
      <w:pPr>
        <w:pStyle w:val="QS10"/>
        <w:jc w:val="center"/>
      </w:pPr>
      <w:r>
        <w:t>* * *</w:t>
      </w:r>
    </w:p>
    <w:p w:rsidR="005E6222" w:rsidRDefault="005E6222" w:rsidP="005E6222">
      <w:pPr>
        <w:pStyle w:val="QS10"/>
      </w:pPr>
      <w:r>
        <w:t xml:space="preserve">Generally, section 170(a)(1) would permit an income tax charitable contribution deduction for the present value of an annuity interest assigned to a charitable organization; such assignment would be treated as a gift for Federal income tax purposes. </w:t>
      </w:r>
    </w:p>
    <w:p w:rsidR="005E6222" w:rsidRDefault="005E6222" w:rsidP="005E6222">
      <w:pPr>
        <w:pStyle w:val="QS10"/>
      </w:pPr>
      <w:r>
        <w:t xml:space="preserve">Analogous to the taxpayer in Situation 1 in Rev. Rul. 86-60, Taxpayer and Spouse desire to transfer their undivided annuity interest to Foundation, a charitable organization described in sections 170(c) and 2522(a). Pursuant to section 170(e)(1)(B)(ii), Taxpayer’s and Spouse’s income tax charitable contribution deduction will be reduced by the total amount of the gain that would have been realized if the contributed property had been sold at its fair market value. Pursuant to section 1001 et. seq., as described above, Taxpayer’s and Spouse’s basis in the annuity interest will be zero, thus resulting in a gain equal to their entire interest transferred, and no income tax charitable contribution deduction will be allowed for the assignment of their annuity interest. </w:t>
      </w:r>
    </w:p>
    <w:p w:rsidR="005E6222" w:rsidRDefault="005E6222" w:rsidP="005E6222">
      <w:pPr>
        <w:pStyle w:val="QS10"/>
      </w:pPr>
      <w:r>
        <w:t xml:space="preserve">Despite the fact that Taxpayer and Spouse will not be eligible for an income tax charitable contribution deduction for the assignment of their undivided annuity interest, Rev. Rul. 86-60 provides that the assignment of an annuity interest is treated as a gift under section 1.170A-1(h), and not as a sale or exchange of a capital asset that would result in taxable income to Taxpayer and Spouse. </w:t>
      </w:r>
    </w:p>
    <w:p w:rsidR="00D7011E" w:rsidRDefault="005E6222" w:rsidP="005E6222">
      <w:pPr>
        <w:pStyle w:val="QS10"/>
      </w:pPr>
      <w:r>
        <w:t>Section 170(a)(1) allows as a deduction any charitable contribution (as defined in subsection (c)) payment of which is made within the taxable year. Special rules apply for contributions to private foundations. Pursuant to section 170(e)(B)(ii), the amount of any charitable contribution of property otherwise taken into account under section 170 is reduced by the sum of, in the case of a charitable contribution to or for the use of a private foundation (as defined in section 509(a)), other than a private foundation described in subsection (b)(1)(F), the amount of gain which would have been long-term capital gain if the property contributed had been sold by the taxpayer at its fair market value (determined at the time of such contribution). As a result, the charitable contribution deduction for appreciated property to private foundations is generally limited to the donor’s basis in the property, which in this case, is zero.</w:t>
      </w:r>
    </w:p>
    <w:p w:rsidR="008567A1" w:rsidRPr="008567A1" w:rsidRDefault="008567A1" w:rsidP="008567A1">
      <w:pPr>
        <w:pStyle w:val="Heading20"/>
        <w:numPr>
          <w:ilvl w:val="1"/>
          <w:numId w:val="34"/>
        </w:numPr>
        <w:tabs>
          <w:tab w:val="clear" w:pos="2700"/>
          <w:tab w:val="num" w:pos="1440"/>
        </w:tabs>
        <w:ind w:left="0"/>
        <w:rPr>
          <w:vanish/>
          <w:specVanish/>
        </w:rPr>
      </w:pPr>
      <w:bookmarkStart w:id="176" w:name="_Toc94704634"/>
      <w:r>
        <w:rPr>
          <w:b/>
          <w:u w:val="single"/>
        </w:rPr>
        <w:t>Disqualified Person for Section 4958 Purposes</w:t>
      </w:r>
      <w:bookmarkEnd w:id="176"/>
    </w:p>
    <w:p w:rsidR="008567A1" w:rsidRDefault="008567A1" w:rsidP="008567A1">
      <w:pPr>
        <w:pStyle w:val="Heading2Body"/>
      </w:pPr>
      <w:r>
        <w:t xml:space="preserve">.  The case of </w:t>
      </w:r>
      <w:r>
        <w:rPr>
          <w:u w:val="single"/>
        </w:rPr>
        <w:t>Fumo v. Commissioner</w:t>
      </w:r>
      <w:r>
        <w:t>, T.C. Memo. 2021-61, is a good reminder that section 4958 applies to individuals who can exercise “substantial influence” over a charity making them a disqualified person subject to excise taxes</w:t>
      </w:r>
      <w:r w:rsidR="00511298">
        <w:t xml:space="preserve"> even if not officially an officer, director, or employee</w:t>
      </w:r>
      <w:r>
        <w:t>.  The opinion summarizes the situation as follows:</w:t>
      </w:r>
    </w:p>
    <w:p w:rsidR="00C039BF" w:rsidRPr="00C039BF" w:rsidRDefault="00C039BF" w:rsidP="00C039BF">
      <w:pPr>
        <w:pStyle w:val="QS10"/>
        <w:rPr>
          <w:color w:val="000000" w:themeColor="text1"/>
          <w:szCs w:val="20"/>
        </w:rPr>
      </w:pPr>
      <w:r w:rsidRPr="00C039BF">
        <w:rPr>
          <w:color w:val="000000" w:themeColor="text1"/>
          <w:szCs w:val="20"/>
        </w:rPr>
        <w:t>Petitioner was convicted in 2009 on Federal criminal charges, including mail and wire fraud. One victim of his fraud was Citizens Alliance for Better Neighborhoods (Citizens Alliance), an organization exempt </w:t>
      </w:r>
      <w:r w:rsidRPr="00C039BF">
        <w:rPr>
          <w:b/>
          <w:color w:val="000000" w:themeColor="text1"/>
          <w:szCs w:val="20"/>
        </w:rPr>
        <w:t>[*2]</w:t>
      </w:r>
      <w:r w:rsidRPr="00C039BF">
        <w:rPr>
          <w:color w:val="000000" w:themeColor="text1"/>
          <w:szCs w:val="20"/>
        </w:rPr>
        <w:t> from Federal income tax under </w:t>
      </w:r>
      <w:r w:rsidRPr="00C039BF">
        <w:rPr>
          <w:color w:val="000000" w:themeColor="text1"/>
          <w:szCs w:val="20"/>
          <w:u w:val="single"/>
        </w:rPr>
        <w:t>section 501(a)</w:t>
      </w:r>
      <w:r w:rsidRPr="00C039BF">
        <w:rPr>
          <w:color w:val="000000" w:themeColor="text1"/>
          <w:szCs w:val="20"/>
        </w:rPr>
        <w:t> and </w:t>
      </w:r>
      <w:r w:rsidRPr="00C039BF">
        <w:rPr>
          <w:color w:val="000000" w:themeColor="text1"/>
          <w:szCs w:val="20"/>
          <w:u w:val="single"/>
        </w:rPr>
        <w:t>(c)(3)</w:t>
      </w:r>
      <w:r w:rsidRPr="00C039BF">
        <w:rPr>
          <w:color w:val="000000" w:themeColor="text1"/>
          <w:szCs w:val="20"/>
        </w:rPr>
        <w:t>.</w:t>
      </w:r>
      <w:hyperlink r:id="rId156" w:anchor="co_footnote_B00012053651086" w:history="1">
        <w:r w:rsidRPr="00C039BF">
          <w:rPr>
            <w:color w:val="000000" w:themeColor="text1"/>
            <w:szCs w:val="20"/>
            <w:u w:val="single"/>
            <w:vertAlign w:val="superscript"/>
          </w:rPr>
          <w:t>1</w:t>
        </w:r>
      </w:hyperlink>
      <w:r w:rsidRPr="00C039BF">
        <w:rPr>
          <w:color w:val="000000" w:themeColor="text1"/>
          <w:szCs w:val="20"/>
        </w:rPr>
        <w:t> In May 2013 the Internal Revenue Service (IRS or respondent) determined that petitioner was liable for excise taxes under </w:t>
      </w:r>
      <w:r w:rsidRPr="00C039BF">
        <w:rPr>
          <w:color w:val="000000" w:themeColor="text1"/>
          <w:szCs w:val="20"/>
          <w:u w:val="single"/>
        </w:rPr>
        <w:t>section 4958(a)(1)</w:t>
      </w:r>
      <w:r w:rsidRPr="00C039BF">
        <w:rPr>
          <w:color w:val="000000" w:themeColor="text1"/>
          <w:szCs w:val="20"/>
        </w:rPr>
        <w:t>. That section imposes, in the case of any “excess benefit transaction” involving a charity, a tax equal to 25% of the excess benefit, and provides that such tax “shall be paid by any disqualified person * * * with respect to such transaction.”</w:t>
      </w:r>
    </w:p>
    <w:p w:rsidR="00C039BF" w:rsidRPr="00C039BF" w:rsidRDefault="00C039BF" w:rsidP="00C039BF">
      <w:pPr>
        <w:pStyle w:val="QS10"/>
        <w:rPr>
          <w:color w:val="000000" w:themeColor="text1"/>
          <w:szCs w:val="20"/>
        </w:rPr>
      </w:pPr>
      <w:r w:rsidRPr="00C039BF">
        <w:rPr>
          <w:color w:val="000000" w:themeColor="text1"/>
          <w:szCs w:val="20"/>
        </w:rPr>
        <w:t>A “disqualified person” is defined to include anyone who was, during a five-year look-back period, “in a position to exercise substantial influence over the affairs of the organization.” </w:t>
      </w:r>
      <w:r w:rsidRPr="00C039BF">
        <w:rPr>
          <w:color w:val="000000" w:themeColor="text1"/>
          <w:szCs w:val="20"/>
          <w:u w:val="single"/>
        </w:rPr>
        <w:t>Sec. 4958(f)(1)(A)</w:t>
      </w:r>
      <w:r w:rsidRPr="00C039BF">
        <w:rPr>
          <w:color w:val="000000" w:themeColor="text1"/>
          <w:szCs w:val="20"/>
        </w:rPr>
        <w:t>. Respondent has filed a motion for partial summary judgment contending that petitioner was a “disqualified person” with respect to Citizens Alliance during 2002-2004. Although he was not an officer, director, or employee of the organization, we agree with respondent that he was “in a position to exercise substantial influence over * * * [its] affairs.” </w:t>
      </w:r>
      <w:r w:rsidRPr="00C039BF">
        <w:rPr>
          <w:color w:val="000000" w:themeColor="text1"/>
          <w:szCs w:val="20"/>
          <w:u w:val="single"/>
        </w:rPr>
        <w:t>Ibid.</w:t>
      </w:r>
      <w:r w:rsidRPr="00C039BF">
        <w:rPr>
          <w:color w:val="000000" w:themeColor="text1"/>
          <w:szCs w:val="20"/>
        </w:rPr>
        <w:t> </w:t>
      </w:r>
    </w:p>
    <w:p w:rsidR="00E67AFD" w:rsidRDefault="00E67AFD">
      <w:pPr>
        <w:rPr>
          <w:bCs w:val="0"/>
        </w:rPr>
      </w:pPr>
      <w:r>
        <w:br w:type="page"/>
      </w:r>
    </w:p>
    <w:p w:rsidR="008567A1" w:rsidRDefault="008567A1" w:rsidP="008567A1">
      <w:pPr>
        <w:pStyle w:val="Body15"/>
      </w:pPr>
      <w:r>
        <w:t>The larger background is more colorful:</w:t>
      </w:r>
    </w:p>
    <w:p w:rsidR="00C039BF" w:rsidRPr="00C039BF" w:rsidRDefault="00C039BF" w:rsidP="00C039BF">
      <w:pPr>
        <w:pStyle w:val="QS10"/>
        <w:rPr>
          <w:szCs w:val="20"/>
        </w:rPr>
      </w:pPr>
      <w:r w:rsidRPr="00C039BF">
        <w:rPr>
          <w:szCs w:val="20"/>
        </w:rPr>
        <w:t>Petitioner himself was never employed as an officer, director, trustee, or employee of Citizens Alliance. However, he used his power and influence as the chairman of a senate appropriations committee to obtain funding for the organization from a variety of public and private sources. During 1991-2004 he was instrumental in securing at least $15 million in public grants for Citizens Alliance and a comparable volume of funding from private sources. This included a $17 million grant from a public utility, which Citizens Alliance received after petitioner agreed to drop a lawsuit against the utility.</w:t>
      </w:r>
    </w:p>
    <w:p w:rsidR="00C039BF" w:rsidRPr="00C039BF" w:rsidRDefault="00C039BF" w:rsidP="00C039BF">
      <w:pPr>
        <w:pStyle w:val="QS10"/>
        <w:rPr>
          <w:szCs w:val="20"/>
        </w:rPr>
      </w:pPr>
      <w:r w:rsidRPr="00C039BF">
        <w:rPr>
          <w:szCs w:val="20"/>
        </w:rPr>
        <w:t>In February 2007 a grand jury charged petitioner with 139 counts of criminal activity. Thirty-four of these counts, on which Ms. Arnao was charged as a codefendant, related to a scheme to defraud Citizens Alliance. The indictment alleged that petitioner and Ms. Arnao conspired to use Citizens Alliance's funds to purchase vehicles, farm equipment, tools, and consumer goods for petitioner's use and make other expenditures on his behalf (e.g., for foreign travel, the services of a private investigator, and cell phone service for his chauffeurs and daughter).</w:t>
      </w:r>
    </w:p>
    <w:p w:rsidR="00C039BF" w:rsidRPr="00C039BF" w:rsidRDefault="00C039BF" w:rsidP="00C039BF">
      <w:pPr>
        <w:pStyle w:val="QS10"/>
        <w:rPr>
          <w:szCs w:val="20"/>
        </w:rPr>
      </w:pPr>
      <w:r w:rsidRPr="00C039BF">
        <w:rPr>
          <w:szCs w:val="20"/>
        </w:rPr>
        <w:t>In March 2009, following a six-month trial, petitioner was convicted on all 34 counts related to the scheme to defraud Citizens Alliance. After several appeals related to sentencing, petitioner was ultimately required to pay Citizens Alliance restitution of $1,165,317. That was the amount of loss petitioner caused to the organization, as determined by the trial court.</w:t>
      </w:r>
    </w:p>
    <w:p w:rsidR="00C039BF" w:rsidRPr="00C039BF" w:rsidRDefault="00C039BF" w:rsidP="00C039BF">
      <w:pPr>
        <w:pStyle w:val="QS10"/>
        <w:rPr>
          <w:szCs w:val="20"/>
        </w:rPr>
      </w:pPr>
      <w:r w:rsidRPr="00C039BF">
        <w:rPr>
          <w:szCs w:val="20"/>
        </w:rPr>
        <w:t>Petitioner testified during his criminal trial. He testified that he considered Citizens Alliance a “constituent service” of his senate office and expected to derive political benefits from the work it performed in his district. Although Ms. Arnao exercised day-to-day control over the organization's affairs, petitioner approved most significant projects and directed many major expenditures (including purchase of the office building that housed his first district office).</w:t>
      </w:r>
    </w:p>
    <w:p w:rsidR="00C039BF" w:rsidRPr="00C039BF" w:rsidRDefault="00C039BF" w:rsidP="00C039BF">
      <w:pPr>
        <w:pStyle w:val="QS10"/>
        <w:rPr>
          <w:szCs w:val="20"/>
        </w:rPr>
      </w:pPr>
      <w:r w:rsidRPr="00C039BF">
        <w:rPr>
          <w:szCs w:val="20"/>
        </w:rPr>
        <w:t>Petitioner testified that he received over the years many “perks and gifts” from Citizens Alliance. He owned several residences, including a farm near Harrisburg, and he was apparently something of a tool aficionado. He admitted at trial that, between 1998 and 2003, he received $43,000 in tools paid for by Citizens Alliance. When he wanted the organization to purchase tools for him, he testified that he would email Ms. Arnao or another senate staff member, who would order the tools using Citizens Alliance's credit card.</w:t>
      </w:r>
    </w:p>
    <w:p w:rsidR="00C039BF" w:rsidRPr="00C039BF" w:rsidRDefault="00C039BF" w:rsidP="00C039BF">
      <w:pPr>
        <w:pStyle w:val="QS10"/>
        <w:rPr>
          <w:szCs w:val="20"/>
        </w:rPr>
      </w:pPr>
      <w:r w:rsidRPr="00C039BF">
        <w:rPr>
          <w:szCs w:val="20"/>
        </w:rPr>
        <w:t>Petitioner routinely enjoyed the use of trucks, minivans, and other vehicles owned or leased by Citizens Alliance. He admitted at trial that, in 2003, the organization paid for a bulldozer that was used exclusively on his farm. When the bulldozer broke down in December of that year, Citizens Alliance paid $16,000 to repair it.</w:t>
      </w:r>
    </w:p>
    <w:p w:rsidR="00C039BF" w:rsidRDefault="00C039BF" w:rsidP="00C039BF">
      <w:pPr>
        <w:pStyle w:val="QS10"/>
        <w:rPr>
          <w:szCs w:val="20"/>
        </w:rPr>
      </w:pPr>
      <w:r w:rsidRPr="00C039BF">
        <w:rPr>
          <w:szCs w:val="20"/>
        </w:rPr>
        <w:t>Petitioner admitted at trial that he “did have a significant role” in Citizens Alliance. While he “did not make all the decisions,” he “did make a lot of decisions on important topics.” As he explained: “I don't have a title or a job. Do I have influence? Yes.” When asked by his defense attorney to describe his relationship with Citizens Alliance, he stated: “I viewed it as my non-profit. I viewed it as my entity, my baby. Gave it birth and nursed it along, got involved more with strategy and ideas. You know, that's how we viewed it. And we ran it out of our office.” On cross-examination he testified similarly: “I created it. I helped it. I guided it. I gave it strategy. I gave it my time and effort. I raised money for it. If it weren't for me, it wouldn't exist.”</w:t>
      </w:r>
    </w:p>
    <w:p w:rsidR="00E25851" w:rsidRPr="00E25851" w:rsidRDefault="00984E6E" w:rsidP="00984E6E">
      <w:pPr>
        <w:pStyle w:val="Heading20"/>
        <w:numPr>
          <w:ilvl w:val="1"/>
          <w:numId w:val="34"/>
        </w:numPr>
        <w:tabs>
          <w:tab w:val="clear" w:pos="2700"/>
          <w:tab w:val="num" w:pos="1440"/>
        </w:tabs>
        <w:ind w:left="0"/>
        <w:rPr>
          <w:vanish/>
          <w:specVanish/>
        </w:rPr>
      </w:pPr>
      <w:bookmarkStart w:id="177" w:name="_Toc94704635"/>
      <w:r>
        <w:rPr>
          <w:b/>
          <w:u w:val="single"/>
        </w:rPr>
        <w:t>Donor Challenge to Charity’s Promise</w:t>
      </w:r>
      <w:bookmarkEnd w:id="177"/>
    </w:p>
    <w:p w:rsidR="00984E6E" w:rsidRDefault="00984E6E" w:rsidP="00DF688B">
      <w:pPr>
        <w:pStyle w:val="Heading2Body"/>
      </w:pPr>
      <w:r>
        <w:t xml:space="preserve">.  </w:t>
      </w:r>
      <w:r w:rsidR="00E25851">
        <w:t xml:space="preserve">Malcolm and Emily Fairbairn gave a significant amount of Energous stock to charity in December, 2017.  They believed the charity had promised to liquidate the stock in a particular way, did not, and reduced the benefit to their fund and the amount of their income tax deduction.  Before the court in </w:t>
      </w:r>
      <w:r w:rsidR="00E25851">
        <w:rPr>
          <w:u w:val="single"/>
        </w:rPr>
        <w:t>Fairbairn v. Fidelity Investments Charitable Gift Fund</w:t>
      </w:r>
      <w:r w:rsidR="00E25851">
        <w:t xml:space="preserve">, </w:t>
      </w:r>
      <w:r w:rsidR="008D1C60" w:rsidRPr="008D1C60">
        <w:t>2021 WL 754534</w:t>
      </w:r>
      <w:r w:rsidR="00E25851">
        <w:t xml:space="preserve"> (N.D.Ca. 2021) was whether the donors could recover damages.  The court held no.  More specifically, the donors made these claims:</w:t>
      </w:r>
    </w:p>
    <w:p w:rsidR="006564C0" w:rsidRPr="008D1C60" w:rsidRDefault="006564C0" w:rsidP="006564C0">
      <w:pPr>
        <w:pStyle w:val="QS10"/>
        <w:rPr>
          <w:color w:val="000000" w:themeColor="text1"/>
          <w:szCs w:val="20"/>
        </w:rPr>
      </w:pPr>
      <w:r w:rsidRPr="008D1C60">
        <w:rPr>
          <w:color w:val="000000" w:themeColor="text1"/>
          <w:szCs w:val="20"/>
        </w:rPr>
        <w:t>The Fairbains</w:t>
      </w:r>
      <w:r w:rsidR="0035039F">
        <w:rPr>
          <w:color w:val="000000" w:themeColor="text1"/>
          <w:szCs w:val="20"/>
        </w:rPr>
        <w:t xml:space="preserve"> [</w:t>
      </w:r>
      <w:r w:rsidR="0035039F" w:rsidRPr="0035039F">
        <w:rPr>
          <w:i/>
          <w:color w:val="000000" w:themeColor="text1"/>
          <w:szCs w:val="20"/>
        </w:rPr>
        <w:t>sic</w:t>
      </w:r>
      <w:r w:rsidR="0035039F">
        <w:rPr>
          <w:color w:val="000000" w:themeColor="text1"/>
          <w:szCs w:val="20"/>
        </w:rPr>
        <w:t>]</w:t>
      </w:r>
      <w:r w:rsidRPr="008D1C60">
        <w:rPr>
          <w:color w:val="000000" w:themeColor="text1"/>
          <w:szCs w:val="20"/>
        </w:rPr>
        <w:t xml:space="preserve"> allege that Fidelity Charitable representative Justin Kunz made four separate promises on December 27 or December 28, 2017 to entice them to donate 1.93 million-WATT shares to their Fidelity Charitable DAF:</w:t>
      </w:r>
    </w:p>
    <w:p w:rsidR="006564C0" w:rsidRPr="008D1C60" w:rsidRDefault="006564C0" w:rsidP="0015194E">
      <w:pPr>
        <w:pStyle w:val="QS10"/>
        <w:ind w:left="2160"/>
        <w:rPr>
          <w:color w:val="000000" w:themeColor="text1"/>
          <w:szCs w:val="20"/>
        </w:rPr>
      </w:pPr>
      <w:r w:rsidRPr="008D1C60">
        <w:rPr>
          <w:color w:val="000000" w:themeColor="text1"/>
          <w:szCs w:val="20"/>
        </w:rPr>
        <w:t>• Fidelity Charitable would not trade more than 10% of the daily trading volume of Energous shares,</w:t>
      </w:r>
    </w:p>
    <w:p w:rsidR="0015194E" w:rsidRPr="008D1C60" w:rsidRDefault="006564C0" w:rsidP="0015194E">
      <w:pPr>
        <w:pStyle w:val="QS10"/>
        <w:ind w:left="2160"/>
        <w:rPr>
          <w:color w:val="000000" w:themeColor="text1"/>
          <w:szCs w:val="20"/>
        </w:rPr>
      </w:pPr>
      <w:r w:rsidRPr="008D1C60">
        <w:rPr>
          <w:color w:val="000000" w:themeColor="text1"/>
          <w:szCs w:val="20"/>
        </w:rPr>
        <w:t>• Fidelity Charitable would employ sophisticated, state-of-the art methods for liquidating large blocks of stock,</w:t>
      </w:r>
    </w:p>
    <w:p w:rsidR="0015194E" w:rsidRPr="008D1C60" w:rsidRDefault="006564C0" w:rsidP="0015194E">
      <w:pPr>
        <w:pStyle w:val="QS10"/>
        <w:ind w:left="2160"/>
        <w:rPr>
          <w:color w:val="000000" w:themeColor="text1"/>
          <w:szCs w:val="20"/>
        </w:rPr>
      </w:pPr>
      <w:r w:rsidRPr="008D1C60">
        <w:rPr>
          <w:color w:val="000000" w:themeColor="text1"/>
          <w:szCs w:val="20"/>
        </w:rPr>
        <w:t>• Fidelity Charitable would allow the Fairbairns to advise on a price limit (i.e., a point below which Fidelity would not sell shares without first consulting the Fairbairns), and</w:t>
      </w:r>
    </w:p>
    <w:p w:rsidR="006564C0" w:rsidRPr="008D1C60" w:rsidRDefault="006564C0" w:rsidP="0015194E">
      <w:pPr>
        <w:pStyle w:val="QS10"/>
        <w:ind w:left="2160"/>
        <w:rPr>
          <w:color w:val="000000" w:themeColor="text1"/>
          <w:szCs w:val="20"/>
        </w:rPr>
      </w:pPr>
      <w:r w:rsidRPr="008D1C60">
        <w:rPr>
          <w:color w:val="000000" w:themeColor="text1"/>
          <w:szCs w:val="20"/>
        </w:rPr>
        <w:t>• Fidelity would not liquidate any of the donated Energous shares until the new year.</w:t>
      </w:r>
    </w:p>
    <w:p w:rsidR="006564C0" w:rsidRPr="008D1C60" w:rsidRDefault="006564C0" w:rsidP="006564C0">
      <w:pPr>
        <w:pStyle w:val="QS10"/>
        <w:rPr>
          <w:color w:val="000000" w:themeColor="text1"/>
          <w:szCs w:val="20"/>
        </w:rPr>
      </w:pPr>
      <w:r w:rsidRPr="008D1C60">
        <w:rPr>
          <w:color w:val="000000" w:themeColor="text1"/>
          <w:szCs w:val="20"/>
        </w:rPr>
        <w:t>(Dkt. No. 1 at ¶ 65.) The Fairbairns contend that Fidelity Charitable did not do as Kunz promised and therefore Fidelity Charitable is liable for common law misrepresentation, breach of contract, promissory estoppel and violating California's unfair competition law.</w:t>
      </w:r>
    </w:p>
    <w:p w:rsidR="00E25851" w:rsidRDefault="00E25851" w:rsidP="00E25851">
      <w:pPr>
        <w:pStyle w:val="Body15"/>
      </w:pPr>
      <w:r>
        <w:t>The court held that Fidelity never sold more than 10% in a day.  The other promises the court found Fidelity simply did not make:</w:t>
      </w:r>
    </w:p>
    <w:p w:rsidR="0015194E" w:rsidRPr="0015194E" w:rsidRDefault="0015194E" w:rsidP="0015194E">
      <w:pPr>
        <w:pStyle w:val="QS10"/>
      </w:pPr>
      <w:r w:rsidRPr="0015194E">
        <w:t>The </w:t>
      </w:r>
      <w:r w:rsidRPr="0015194E">
        <w:rPr>
          <w:color w:val="252525"/>
        </w:rPr>
        <w:t>Fairbairns</w:t>
      </w:r>
      <w:r w:rsidRPr="0015194E">
        <w:t>’ conduct after they learned that the shares had all been sold on December 29 also weighs against a finding that the promises were made. When Malcolm learned on January 5, 2018 about the December 29 sale of the WATT shares, he did not confront Kunz by email or telephone about the alleged broken promises. Indeed, it was not until January 15, 2018 that the </w:t>
      </w:r>
      <w:r w:rsidRPr="0015194E">
        <w:rPr>
          <w:color w:val="252525"/>
        </w:rPr>
        <w:t>Fairbairns</w:t>
      </w:r>
      <w:r w:rsidRPr="0015194E">
        <w:t> even mentioned to </w:t>
      </w:r>
      <w:r w:rsidRPr="0015194E">
        <w:rPr>
          <w:color w:val="252525"/>
        </w:rPr>
        <w:t>Fidelity</w:t>
      </w:r>
      <w:r w:rsidRPr="0015194E">
        <w:t> Charitable that the liquidation had violated promises made to them. Malcolm's testimony that he was too angry and needed to cool off would make sense for a few hours, or maybe a few days, but 10 days of silence is hard to understand.</w:t>
      </w:r>
    </w:p>
    <w:p w:rsidR="0015194E" w:rsidRPr="0015194E" w:rsidRDefault="0015194E" w:rsidP="0015194E">
      <w:pPr>
        <w:pStyle w:val="QS10"/>
      </w:pPr>
      <w:r w:rsidRPr="0015194E">
        <w:t>Further, in January 2018, when the </w:t>
      </w:r>
      <w:r w:rsidRPr="0015194E">
        <w:rPr>
          <w:color w:val="252525"/>
        </w:rPr>
        <w:t>Fairbairns</w:t>
      </w:r>
      <w:r w:rsidRPr="0015194E">
        <w:t> were communicating with Kunz about the liquidation, they never asserted that Kunz had made those promises. Instead, in their communications with Kunz they stated they “were told,” or “the DAF people” had told them, without suggesting that Kunz was the DAF person who told them. </w:t>
      </w:r>
      <w:r w:rsidRPr="0015194E">
        <w:rPr>
          <w:color w:val="252525"/>
        </w:rPr>
        <w:t>Emily's</w:t>
      </w:r>
      <w:r w:rsidRPr="0015194E">
        <w:t> testimony that she said “the DAF people” rather than “You” because she did not want to accuse Kunz of wrongdoing while he was trying to rectify the situation within </w:t>
      </w:r>
      <w:r w:rsidRPr="0015194E">
        <w:rPr>
          <w:color w:val="252525"/>
        </w:rPr>
        <w:t>Fidelity</w:t>
      </w:r>
      <w:r w:rsidRPr="0015194E">
        <w:t> Charitable is not persuasive. In the very same communications </w:t>
      </w:r>
      <w:r w:rsidRPr="0015194E">
        <w:rPr>
          <w:color w:val="252525"/>
        </w:rPr>
        <w:t>Emily</w:t>
      </w:r>
      <w:r w:rsidRPr="0015194E">
        <w:t> also tells Kunz: “I do want you to know how much I respect your </w:t>
      </w:r>
      <w:r w:rsidRPr="0015194E">
        <w:rPr>
          <w:i/>
          <w:iCs/>
        </w:rPr>
        <w:t>integrity</w:t>
      </w:r>
      <w:r w:rsidRPr="0015194E">
        <w:t> and efforts.” (Ex. 174 (emphasis added).) It is one thing to not directly accuse the person who lied to you; it is another to gratuitously tell that person you respect their integrity.</w:t>
      </w:r>
    </w:p>
    <w:p w:rsidR="0015194E" w:rsidRDefault="0015194E" w:rsidP="0015194E">
      <w:pPr>
        <w:pStyle w:val="QS10"/>
      </w:pPr>
      <w:r w:rsidRPr="0015194E">
        <w:t>As to the alleged promise to allow the </w:t>
      </w:r>
      <w:r w:rsidRPr="0015194E">
        <w:rPr>
          <w:color w:val="252525"/>
        </w:rPr>
        <w:t>Fairbairns</w:t>
      </w:r>
      <w:r w:rsidRPr="0015194E">
        <w:t> to advise on a sale price limit, even the email Malcolm wrote on January 15, 2018 in which he states for the first time that he was told certain things, represents only that he was told (by some unidentified person) that the </w:t>
      </w:r>
      <w:r w:rsidRPr="0015194E">
        <w:rPr>
          <w:color w:val="252525"/>
        </w:rPr>
        <w:t>Fairbairns</w:t>
      </w:r>
      <w:r w:rsidRPr="0015194E">
        <w:t> could advise on a price limit “if necessary.” (Ex. 128.) The email is consistent with Malcolm's trial testimony: “if we run into a problem, or if there is something that's coming up, and if we're having any sort of difficulty in selling the stock, that, you know, I would be called, advised, I would be able to advise.” (Dkt. No. 242 at 371.) Even accepting Malcolm's testimony, the ability to advise on a price was only if </w:t>
      </w:r>
      <w:r w:rsidRPr="0015194E">
        <w:rPr>
          <w:color w:val="252525"/>
        </w:rPr>
        <w:t>Fidelity</w:t>
      </w:r>
      <w:r w:rsidRPr="0015194E">
        <w:t> Charitable was having difficulty in selling the stock, as a trader might encounter with a thinly-traded stock. </w:t>
      </w:r>
      <w:r w:rsidRPr="0015194E">
        <w:rPr>
          <w:color w:val="252525"/>
        </w:rPr>
        <w:t>Fidelity</w:t>
      </w:r>
      <w:r w:rsidRPr="0015194E">
        <w:t> Charitable was having no trouble trading WATT on December 29, 2017 when it was trading at nearly historically high volume and price.</w:t>
      </w:r>
    </w:p>
    <w:p w:rsidR="008D1C60" w:rsidRDefault="008D1C60" w:rsidP="008D1C60">
      <w:pPr>
        <w:pStyle w:val="Body15"/>
      </w:pPr>
      <w:r>
        <w:t>All charities, including community foundations, need to be careful about statements to donors.  Statements may be characterized as promises and promises may give rise to contracts with state law effects.</w:t>
      </w:r>
    </w:p>
    <w:p w:rsidR="00F5458F" w:rsidRDefault="00F5458F" w:rsidP="008D1C60">
      <w:pPr>
        <w:pStyle w:val="Body15"/>
      </w:pPr>
      <w:r>
        <w:t xml:space="preserve">In </w:t>
      </w:r>
      <w:r w:rsidRPr="00F5458F">
        <w:rPr>
          <w:u w:val="single"/>
        </w:rPr>
        <w:t>Pinkert v. Schwab Charitable Fund</w:t>
      </w:r>
      <w:r>
        <w:t>, 2021 WL 2476869 (N. D. Ca. 2021), the claim was that Schwab operates investment pools that are more expensive than other similar investment pools which is a breach of Schwab’s fi</w:t>
      </w:r>
      <w:r w:rsidR="00351159">
        <w:t>duciary duty, as the opinion describes:</w:t>
      </w:r>
    </w:p>
    <w:p w:rsidR="00351159" w:rsidRPr="00351159" w:rsidRDefault="00351159" w:rsidP="00351159">
      <w:pPr>
        <w:pStyle w:val="Body15"/>
        <w:spacing w:line="240" w:lineRule="auto"/>
        <w:ind w:left="1440" w:right="1440" w:firstLine="0"/>
        <w:rPr>
          <w:bCs/>
          <w:szCs w:val="20"/>
        </w:rPr>
      </w:pPr>
      <w:r w:rsidRPr="00351159">
        <w:rPr>
          <w:bCs/>
          <w:szCs w:val="20"/>
        </w:rPr>
        <w:t xml:space="preserve">The plaintiff alleges that there are cheaper alternatives available for the index funds and the money-market fund. </w:t>
      </w:r>
      <w:r w:rsidR="00F5458F" w:rsidRPr="00351159">
        <w:rPr>
          <w:bCs/>
          <w:szCs w:val="20"/>
        </w:rPr>
        <w:t>(For example, Vanguard has a cheaper money-market fund.) Also, investment funds have classes of shares that are more expensive for smaller investors with less bargaining power (akin to a retail price) and less expensive for institutional investors (a wholesale price). Schwab Charitable allegedly selected the retail shares of some funds when it could have qualified for the wholesale shares. In a similar vein, Schwab Charitable could have used its market power to negotiate better rates for the custodial and brokerage services that Charles Schwab provides it. The idea is that Schwab Charitable has benefited Charles Schwab to the detriment of the fund, leaving fewer dollars in donor accounts, including the plaintiff’s account, that can be donated to charitable organizations.</w:t>
      </w:r>
      <w:r>
        <w:rPr>
          <w:bCs/>
          <w:szCs w:val="20"/>
        </w:rPr>
        <w:t xml:space="preserve">   (footnotes omitted)</w:t>
      </w:r>
    </w:p>
    <w:p w:rsidR="00F5458F" w:rsidRDefault="00351159" w:rsidP="00F5458F">
      <w:pPr>
        <w:pStyle w:val="Body15"/>
      </w:pPr>
      <w:r>
        <w:t>The court denied standing because there was no allegation that Schwab promised certain investments which were not made, and the donor gave away the contribution to Schwab and was not a beneficiary of the charitable fund in any way that would create standing.  The plaintiff also argued that the fees reduced the amount available to be given away which did reputational damage to the plaintiff, an argument the court rejected stating:</w:t>
      </w:r>
    </w:p>
    <w:p w:rsidR="00351159" w:rsidRDefault="00351159" w:rsidP="00EF7F0C">
      <w:pPr>
        <w:pStyle w:val="Body15"/>
        <w:spacing w:line="240" w:lineRule="auto"/>
        <w:ind w:left="1440" w:right="1440"/>
        <w:rPr>
          <w:bCs/>
          <w:szCs w:val="20"/>
        </w:rPr>
      </w:pPr>
      <w:r w:rsidRPr="00351159">
        <w:rPr>
          <w:bCs/>
          <w:szCs w:val="20"/>
        </w:rPr>
        <w:t xml:space="preserve">Third, the plaintiff contends that the defendants injured his “reputational and expressive interests” in his account. He uses the account to advance his philanthropic goals, support charities that are meaningful to his family, and cultivate the family value of charitable giving. The excess fees reduce his ability to advance those interests.24 He cites no analogous case to support this argument. Instead, he cites </w:t>
      </w:r>
      <w:r w:rsidRPr="00351159">
        <w:rPr>
          <w:bCs/>
          <w:i/>
          <w:iCs/>
          <w:szCs w:val="20"/>
        </w:rPr>
        <w:t xml:space="preserve">Friends of the Earth </w:t>
      </w:r>
      <w:r w:rsidRPr="00351159">
        <w:rPr>
          <w:bCs/>
          <w:szCs w:val="20"/>
        </w:rPr>
        <w:t xml:space="preserve">and </w:t>
      </w:r>
      <w:r w:rsidRPr="00351159">
        <w:rPr>
          <w:bCs/>
          <w:i/>
          <w:iCs/>
          <w:szCs w:val="20"/>
        </w:rPr>
        <w:t xml:space="preserve">Spokeo. </w:t>
      </w:r>
      <w:r w:rsidRPr="00351159">
        <w:rPr>
          <w:bCs/>
          <w:szCs w:val="20"/>
        </w:rPr>
        <w:t xml:space="preserve">The interests that establish standing in an environmental case (recreational, aesthetic, and economic) or a data-privacy case (harm to reputation) are not analogous. For one, standing is contextual, and the harm to a plaintiff-donor’s advisory or reputational interest is not injury in fact commensurate with the industrial pollution reducing recreational opportunities in </w:t>
      </w:r>
      <w:r w:rsidRPr="00351159">
        <w:rPr>
          <w:bCs/>
          <w:i/>
          <w:iCs/>
          <w:szCs w:val="20"/>
        </w:rPr>
        <w:t xml:space="preserve">Friends of the Earth </w:t>
      </w:r>
      <w:r w:rsidRPr="00351159">
        <w:rPr>
          <w:bCs/>
          <w:szCs w:val="20"/>
        </w:rPr>
        <w:t xml:space="preserve">or the inaccurate information in a consumer report that was injury in </w:t>
      </w:r>
      <w:r w:rsidRPr="00351159">
        <w:rPr>
          <w:bCs/>
          <w:i/>
          <w:iCs/>
          <w:szCs w:val="20"/>
        </w:rPr>
        <w:t>Spokeo</w:t>
      </w:r>
      <w:r w:rsidRPr="00351159">
        <w:rPr>
          <w:bCs/>
          <w:szCs w:val="20"/>
        </w:rPr>
        <w:t xml:space="preserve">. </w:t>
      </w:r>
      <w:r w:rsidRPr="00351159">
        <w:rPr>
          <w:bCs/>
          <w:i/>
          <w:iCs/>
          <w:szCs w:val="20"/>
        </w:rPr>
        <w:t>Friends of the Earth, Inc. v. Laidlaw Envtl. Servs. (TOC), Inc.</w:t>
      </w:r>
      <w:r w:rsidRPr="00351159">
        <w:rPr>
          <w:bCs/>
          <w:szCs w:val="20"/>
        </w:rPr>
        <w:t xml:space="preserve">, 528 U.S. 167, 181–84 (2000); </w:t>
      </w:r>
      <w:r w:rsidRPr="00351159">
        <w:rPr>
          <w:bCs/>
          <w:i/>
          <w:iCs/>
          <w:szCs w:val="20"/>
        </w:rPr>
        <w:t>Robins v. Spokeo, Inc.</w:t>
      </w:r>
      <w:r w:rsidRPr="00351159">
        <w:rPr>
          <w:bCs/>
          <w:szCs w:val="20"/>
        </w:rPr>
        <w:t>, 867 F.3d 1108, 1112 (9th Cir. 2017).</w:t>
      </w:r>
    </w:p>
    <w:p w:rsidR="00AD1265" w:rsidRPr="00351159" w:rsidRDefault="00AD1265" w:rsidP="00AD1265">
      <w:pPr>
        <w:pStyle w:val="Body15"/>
        <w:spacing w:line="240" w:lineRule="auto"/>
        <w:ind w:right="1440"/>
        <w:rPr>
          <w:szCs w:val="20"/>
        </w:rPr>
      </w:pPr>
      <w:r>
        <w:rPr>
          <w:bCs/>
          <w:szCs w:val="20"/>
        </w:rPr>
        <w:t>The case is on appeal to the 9</w:t>
      </w:r>
      <w:r w:rsidRPr="00AD1265">
        <w:rPr>
          <w:bCs/>
          <w:szCs w:val="20"/>
          <w:vertAlign w:val="superscript"/>
        </w:rPr>
        <w:t>th</w:t>
      </w:r>
      <w:r>
        <w:rPr>
          <w:bCs/>
          <w:szCs w:val="20"/>
        </w:rPr>
        <w:t xml:space="preserve"> Circuit.</w:t>
      </w:r>
    </w:p>
    <w:p w:rsidR="00F12A54" w:rsidRPr="00F12A54" w:rsidRDefault="008F01A1" w:rsidP="008F01A1">
      <w:pPr>
        <w:pStyle w:val="Heading20"/>
        <w:numPr>
          <w:ilvl w:val="1"/>
          <w:numId w:val="34"/>
        </w:numPr>
        <w:tabs>
          <w:tab w:val="clear" w:pos="2700"/>
          <w:tab w:val="num" w:pos="1440"/>
        </w:tabs>
        <w:ind w:left="0"/>
        <w:rPr>
          <w:vanish/>
          <w:specVanish/>
        </w:rPr>
      </w:pPr>
      <w:bookmarkStart w:id="178" w:name="_Toc94704636"/>
      <w:r>
        <w:rPr>
          <w:b/>
          <w:u w:val="single"/>
        </w:rPr>
        <w:t>No Appraisal, No Deduction, But Yes, A Penalty</w:t>
      </w:r>
      <w:bookmarkEnd w:id="178"/>
    </w:p>
    <w:p w:rsidR="00F12A54" w:rsidRDefault="008F01A1" w:rsidP="00463483">
      <w:pPr>
        <w:pStyle w:val="Heading2Body"/>
        <w:rPr>
          <w:szCs w:val="20"/>
        </w:rPr>
      </w:pPr>
      <w:r>
        <w:t xml:space="preserve">.  </w:t>
      </w:r>
      <w:r>
        <w:rPr>
          <w:u w:val="single"/>
        </w:rPr>
        <w:t>Pankratz v. Commissioner</w:t>
      </w:r>
      <w:r>
        <w:t>, T.C. Memo.</w:t>
      </w:r>
      <w:r w:rsidR="00F12A54">
        <w:t xml:space="preserve"> 2021-26, involved multiple income tax issues but of particular interest was the charitable income tax deduction.  The taxpayers gave to charity oil and gas interests, real estate, and a conference center, without any professional appraisals.  The court denied charitable deduction.  With respect to potential relief, the taxpayer’s tax filing process was key.</w:t>
      </w:r>
      <w:r w:rsidR="00463483">
        <w:t xml:space="preserve">  </w:t>
      </w:r>
      <w:r w:rsidR="00F12A54">
        <w:rPr>
          <w:szCs w:val="20"/>
        </w:rPr>
        <w:t>The opinion describes that as follows:</w:t>
      </w:r>
    </w:p>
    <w:p w:rsidR="00F12A54" w:rsidRDefault="00463483" w:rsidP="00463483">
      <w:pPr>
        <w:pStyle w:val="QS10"/>
        <w:rPr>
          <w:szCs w:val="20"/>
        </w:rPr>
      </w:pPr>
      <w:r>
        <w:t>Pankratz owned over 13,000 acres in seven counties in South Dakota. The bookkeeping for these was done by Jim Horning, one of Pankratz's longest serving employees. Horning had graduated from Briar Cliff College with a bachelor of arts degree in accounting, and done a brief stint at an accounting firm. He is not a CPA, attorney, or licensed tax preparer, but over the years his role grew to include paying and filing invoices, depositing checks, reconciling bank statements, and compiling and collecting other financial information. He also prepares information for Pankratz's income-tax return every year.</w:t>
      </w:r>
    </w:p>
    <w:p w:rsidR="00F12A54" w:rsidRDefault="00F12A54" w:rsidP="00056130">
      <w:pPr>
        <w:pStyle w:val="QS10"/>
        <w:jc w:val="center"/>
      </w:pPr>
      <w:r>
        <w:t>* * *</w:t>
      </w:r>
    </w:p>
    <w:p w:rsidR="00056130" w:rsidRPr="00056130" w:rsidRDefault="00056130" w:rsidP="00056130">
      <w:pPr>
        <w:pStyle w:val="QS10"/>
      </w:pPr>
      <w:r w:rsidRPr="00056130">
        <w:t>Pankratz retained Wohlenberg Ritzman &amp; Co.--the same accounting firm that has prepared his tax returns since the early 1970s--to do his 2008 and 2009 returns. Pankratz's goal for Wohlenberg was to compile a “good, honest income tax return.” Blaine Meier, a CPA and partner at Wohlenberg, had taken over as the primary preparer of Pankratz's tax returns starting in 2005, and was in charge of his 2008 and 2009 returns.</w:t>
      </w:r>
    </w:p>
    <w:p w:rsidR="00056130" w:rsidRPr="00056130" w:rsidRDefault="00056130" w:rsidP="00056130">
      <w:pPr>
        <w:pStyle w:val="QS10"/>
      </w:pPr>
      <w:r w:rsidRPr="00056130">
        <w:t>Meier had a standard procedure. A client would come into the office for a face-to-face meeting and discuss the tax information he brought with him. After going through the information, Meier (or a Wohlenberg staff member) would enter the information into tax-preparation software. Meier would then do a final review to make sure all of the information had been properly entered, the correct forms used, and the calculations checked--and give the return his final approval. He would then process and file the tax return.</w:t>
      </w:r>
    </w:p>
    <w:p w:rsidR="00056130" w:rsidRPr="00056130" w:rsidRDefault="00056130" w:rsidP="00056130">
      <w:pPr>
        <w:pStyle w:val="QS10"/>
      </w:pPr>
      <w:r w:rsidRPr="00056130">
        <w:t>His process for Pankratz, however, was different. Neither he nor the staff at Wohlenberg prepared the return directly. Instead, Horning gathered information and took it to Wohlenberg where Horning personally entered information into the firm's tax-preparation software. Meier testified, and we do find him credible on this point, that he himself would then review what Horning had prepared. We also find that Meier went form by form, and reviewed all the forms that were part of the return. Wohlenberg's software was also written to notify Meier of any issues so that he could raise with the client any issue that it flagged. Things were, again, a bit different with Pankratz. Meier didn't discuss any flagged issues with him, but with Horning. Horning was then supposed to discuss them with Pankratz. Meier said, and again we find him credible on this, that he never spoke to Pankratz directly because “he wasn't around.” After this indirect review, Meier would sign the return.</w:t>
      </w:r>
    </w:p>
    <w:p w:rsidR="00056130" w:rsidRPr="00056130" w:rsidRDefault="00056130" w:rsidP="00056130">
      <w:pPr>
        <w:pStyle w:val="QS10"/>
      </w:pPr>
      <w:r w:rsidRPr="00056130">
        <w:t>This roundabout way of return preparation had caused errors in the past. And we do find Pankratz was aware of these issues before he filed his 2008 and 2009 returns.</w:t>
      </w:r>
    </w:p>
    <w:p w:rsidR="00F12A54" w:rsidRPr="00056130" w:rsidRDefault="00F12A54" w:rsidP="00056130">
      <w:pPr>
        <w:pStyle w:val="QS10"/>
        <w:jc w:val="center"/>
      </w:pPr>
      <w:r w:rsidRPr="00056130">
        <w:t>* * *</w:t>
      </w:r>
    </w:p>
    <w:p w:rsidR="00056130" w:rsidRDefault="00056130" w:rsidP="00056130">
      <w:pPr>
        <w:pStyle w:val="QS10"/>
      </w:pPr>
      <w:r>
        <w:t>Meier reviewed this return. Meier noticed the large noncash contributions listed on Form 8283 and noticed that no appraisals were attached. Meier raised this issue with Horning.</w:t>
      </w:r>
      <w:hyperlink r:id="rId157" w:anchor="co_footnote_B00072053176326" w:history="1">
        <w:r>
          <w:rPr>
            <w:rStyle w:val="Hyperlink"/>
            <w:rFonts w:ascii="Arial" w:hAnsi="Arial" w:cs="Arial"/>
            <w:color w:val="4778C2"/>
            <w:sz w:val="21"/>
            <w:szCs w:val="21"/>
            <w:vertAlign w:val="superscript"/>
          </w:rPr>
          <w:t>7</w:t>
        </w:r>
      </w:hyperlink>
      <w:r>
        <w:t> But we also find credible the testimony that neither Meier nor Horning told Pankratz himself about this problem.</w:t>
      </w:r>
    </w:p>
    <w:p w:rsidR="00056130" w:rsidRDefault="00056130" w:rsidP="00056130">
      <w:pPr>
        <w:pStyle w:val="QS10"/>
      </w:pPr>
      <w:r>
        <w:rPr>
          <w:b/>
          <w:bCs/>
          <w:i/>
          <w:iCs/>
          <w:color w:val="007236"/>
        </w:rPr>
        <w:t>*6</w:t>
      </w:r>
      <w:r>
        <w:t> Despite this potential issue, Meier signed the return, and Horning filed it. Throughout this process Meier never met with Pankratz to discuss his return. And Pankratz never reviewed his 2008 return before it was filed, because it was filed a day or two before the deadline and he wasn't around.</w:t>
      </w:r>
    </w:p>
    <w:p w:rsidR="00F12A54" w:rsidRDefault="00F12A54" w:rsidP="00056130">
      <w:pPr>
        <w:pStyle w:val="QS10"/>
        <w:jc w:val="center"/>
        <w:rPr>
          <w:szCs w:val="20"/>
        </w:rPr>
      </w:pPr>
      <w:r>
        <w:rPr>
          <w:szCs w:val="20"/>
        </w:rPr>
        <w:t>* * *</w:t>
      </w:r>
    </w:p>
    <w:p w:rsidR="00056130" w:rsidRPr="00056130" w:rsidRDefault="00056130" w:rsidP="00056130">
      <w:pPr>
        <w:pStyle w:val="QS10"/>
      </w:pPr>
      <w:r w:rsidRPr="00056130">
        <w:t>For the 2009 return the process was mostly the same. Horning compiled the information, went to Wohlenberg, and fed it into the firm's tax software. He recorded the donation of the conference center on Form 8283. He listed the donation as “CONFERENCE CENTER” in section B, part I of Form 8283. He left the appraised fair market value blank. He attached no appraisal to the return.</w:t>
      </w:r>
    </w:p>
    <w:p w:rsidR="00056130" w:rsidRPr="00056130" w:rsidRDefault="00056130" w:rsidP="00056130">
      <w:pPr>
        <w:pStyle w:val="QS10"/>
      </w:pPr>
      <w:r w:rsidRPr="00056130">
        <w:t>Meier again reviewed the return and again noticed that there was no appraisal attached to Form 8283. He again told Horning that this was a problem. This time, however, Horning called Pankratz and told him that he needed an appraisal if he wanted a deduction for his donation of the conference center.</w:t>
      </w:r>
    </w:p>
    <w:p w:rsidR="00056130" w:rsidRPr="00056130" w:rsidRDefault="00056130" w:rsidP="00056130">
      <w:pPr>
        <w:pStyle w:val="QS10"/>
      </w:pPr>
      <w:r w:rsidRPr="00056130">
        <w:t>Pankratz asked Horning if instead he could just deduct the cost of the building. Pankratz and Horning discussed it and finally decided this informal valuation would work. They valued the conference center at its cost. We specifically find that they didn't ask Meier whether this informal valuation was appropriate. As with the 2008 return, Pankratz never had a face-to-face meeting with Meier. He never spoke on the phone with Meier. And most importantly, he never reviewed the final return before it was filed shortly before it was due.</w:t>
      </w:r>
    </w:p>
    <w:p w:rsidR="00F12A54" w:rsidRDefault="00F12A54" w:rsidP="00F12A54">
      <w:pPr>
        <w:pStyle w:val="Body15"/>
        <w:rPr>
          <w:szCs w:val="20"/>
        </w:rPr>
      </w:pPr>
      <w:r>
        <w:rPr>
          <w:szCs w:val="20"/>
        </w:rPr>
        <w:t>With t</w:t>
      </w:r>
      <w:r w:rsidR="00463483">
        <w:rPr>
          <w:szCs w:val="20"/>
        </w:rPr>
        <w:t>h</w:t>
      </w:r>
      <w:r>
        <w:rPr>
          <w:szCs w:val="20"/>
        </w:rPr>
        <w:t>at process as background, t</w:t>
      </w:r>
      <w:r w:rsidR="00463483">
        <w:rPr>
          <w:szCs w:val="20"/>
        </w:rPr>
        <w:t>h</w:t>
      </w:r>
      <w:r>
        <w:rPr>
          <w:szCs w:val="20"/>
        </w:rPr>
        <w:t>e court looked to see if t</w:t>
      </w:r>
      <w:r w:rsidR="00463483">
        <w:rPr>
          <w:szCs w:val="20"/>
        </w:rPr>
        <w:t>h</w:t>
      </w:r>
      <w:r>
        <w:rPr>
          <w:szCs w:val="20"/>
        </w:rPr>
        <w:t>ere were reasonable cause for the failure to file an appraisal:</w:t>
      </w:r>
    </w:p>
    <w:p w:rsidR="00F12A54" w:rsidRPr="00056130" w:rsidRDefault="00056130" w:rsidP="00056130">
      <w:pPr>
        <w:pStyle w:val="QS10"/>
        <w:rPr>
          <w:color w:val="000000" w:themeColor="text1"/>
          <w:szCs w:val="20"/>
        </w:rPr>
      </w:pPr>
      <w:r w:rsidRPr="00056130">
        <w:rPr>
          <w:color w:val="000000" w:themeColor="text1"/>
          <w:szCs w:val="20"/>
        </w:rPr>
        <w:t>Pankratz concedes that he did not attach a qualified appraisal of either his oil and gas interests or the conference center to his returns. The complete denial of a deduction can be harsh, but this failure alone might be enough for us to deny the contested deductions. </w:t>
      </w:r>
      <w:r w:rsidRPr="00056130">
        <w:rPr>
          <w:color w:val="000000" w:themeColor="text1"/>
          <w:szCs w:val="20"/>
          <w:u w:val="single"/>
        </w:rPr>
        <w:t>See</w:t>
      </w:r>
      <w:r w:rsidRPr="00056130">
        <w:rPr>
          <w:color w:val="000000" w:themeColor="text1"/>
          <w:szCs w:val="20"/>
        </w:rPr>
        <w:t> sec. 170(f)(11)(A)(i). There is but one hope for Pankratz--section 170(f)(11)(A)(ii)(II). Congress, when it codified many of the old substantiation regulations in section 170(f)(11), added an escape hatch from nondeductibility for well-intentioned taxpayers. Section 170(f)(11)(A)(ii)(II) tells us not to deny a deduction for failure to comply with subparagraph (B), (C), or (D) “if it is shown that the failure to meet such requirements is due to reasonable cause and not to willful neglect.” Neither the Code nor the regulations tell us what “reasonable cause” means in this section, but “reasonable cause” is a phrase that one finds in a great many sections of the Code that provide for defenses to penalties and additions to tax. And we've already held that we should look to cases that apply those sections to give meaning to the term in this section. </w:t>
      </w:r>
      <w:r w:rsidRPr="00056130">
        <w:rPr>
          <w:color w:val="000000" w:themeColor="text1"/>
          <w:szCs w:val="20"/>
          <w:u w:val="single"/>
        </w:rPr>
        <w:t>See</w:t>
      </w:r>
      <w:r w:rsidRPr="00056130">
        <w:rPr>
          <w:color w:val="000000" w:themeColor="text1"/>
          <w:szCs w:val="20"/>
        </w:rPr>
        <w:t> </w:t>
      </w:r>
      <w:r w:rsidRPr="00056130">
        <w:rPr>
          <w:color w:val="000000" w:themeColor="text1"/>
          <w:szCs w:val="20"/>
          <w:u w:val="single"/>
        </w:rPr>
        <w:t>Presley v. Commissioner</w:t>
      </w:r>
      <w:r w:rsidRPr="00056130">
        <w:rPr>
          <w:color w:val="000000" w:themeColor="text1"/>
          <w:szCs w:val="20"/>
        </w:rPr>
        <w:t>, T.C. Memo. 2018-171, 116 T.C.M. (CCH) 387, 402 (2018), </w:t>
      </w:r>
      <w:r w:rsidRPr="00056130">
        <w:rPr>
          <w:color w:val="000000" w:themeColor="text1"/>
          <w:szCs w:val="20"/>
          <w:u w:val="single"/>
        </w:rPr>
        <w:t>aff'd</w:t>
      </w:r>
      <w:r w:rsidRPr="00056130">
        <w:rPr>
          <w:color w:val="000000" w:themeColor="text1"/>
          <w:szCs w:val="20"/>
        </w:rPr>
        <w:t>, 790 F. App'x 914 (10th Cir. 2019); </w:t>
      </w:r>
      <w:r w:rsidRPr="00056130">
        <w:rPr>
          <w:color w:val="000000" w:themeColor="text1"/>
          <w:szCs w:val="20"/>
          <w:u w:val="single"/>
        </w:rPr>
        <w:t>Crimi v. Commissioner</w:t>
      </w:r>
      <w:r w:rsidRPr="00056130">
        <w:rPr>
          <w:color w:val="000000" w:themeColor="text1"/>
          <w:szCs w:val="20"/>
        </w:rPr>
        <w:t>, T.C. Memo. 2013-51, 105 T.C.M. (CCH) 1330, 1353 (2013).</w:t>
      </w:r>
    </w:p>
    <w:p w:rsidR="00F12A54" w:rsidRDefault="00F12A54" w:rsidP="00056130">
      <w:pPr>
        <w:pStyle w:val="QS10"/>
        <w:jc w:val="center"/>
        <w:rPr>
          <w:szCs w:val="20"/>
        </w:rPr>
      </w:pPr>
      <w:r>
        <w:rPr>
          <w:szCs w:val="20"/>
        </w:rPr>
        <w:t>* * *</w:t>
      </w:r>
    </w:p>
    <w:p w:rsidR="00EE4E20" w:rsidRPr="00EE4E20" w:rsidRDefault="00EE4E20" w:rsidP="00EE4E20">
      <w:pPr>
        <w:pStyle w:val="QS10"/>
        <w:rPr>
          <w:color w:val="000000" w:themeColor="text1"/>
          <w:szCs w:val="20"/>
        </w:rPr>
      </w:pPr>
      <w:r w:rsidRPr="00EE4E20">
        <w:rPr>
          <w:color w:val="000000" w:themeColor="text1"/>
          <w:szCs w:val="20"/>
        </w:rPr>
        <w:t>Reasonable cause requires a taxpayer to exercise ordinary business care and prudence. </w:t>
      </w:r>
      <w:r w:rsidRPr="00EE4E20">
        <w:rPr>
          <w:color w:val="000000" w:themeColor="text1"/>
          <w:szCs w:val="20"/>
          <w:u w:val="single"/>
        </w:rPr>
        <w:t>See, e.g.</w:t>
      </w:r>
      <w:r w:rsidRPr="00EE4E20">
        <w:rPr>
          <w:color w:val="000000" w:themeColor="text1"/>
          <w:szCs w:val="20"/>
        </w:rPr>
        <w:t>, </w:t>
      </w:r>
      <w:r w:rsidRPr="00EE4E20">
        <w:rPr>
          <w:color w:val="000000" w:themeColor="text1"/>
          <w:szCs w:val="20"/>
          <w:u w:val="single"/>
        </w:rPr>
        <w:t>United States v. Boyle</w:t>
      </w:r>
      <w:r w:rsidRPr="00EE4E20">
        <w:rPr>
          <w:color w:val="000000" w:themeColor="text1"/>
          <w:szCs w:val="20"/>
        </w:rPr>
        <w:t>, 469 U.S. 241, 246 (1985); </w:t>
      </w:r>
      <w:r w:rsidRPr="00EE4E20">
        <w:rPr>
          <w:color w:val="000000" w:themeColor="text1"/>
          <w:szCs w:val="20"/>
          <w:u w:val="single"/>
        </w:rPr>
        <w:t>Presley</w:t>
      </w:r>
      <w:r w:rsidRPr="00EE4E20">
        <w:rPr>
          <w:color w:val="000000" w:themeColor="text1"/>
          <w:szCs w:val="20"/>
        </w:rPr>
        <w:t>, 116 T.C.M. (CCH) at 402. Whether a taxpayer had reasonable cause is a fact-intensive inquiry that requires a case-by-case examination of all the facts and circumstances presented. </w:t>
      </w:r>
      <w:r w:rsidRPr="00EE4E20">
        <w:rPr>
          <w:color w:val="000000" w:themeColor="text1"/>
          <w:szCs w:val="20"/>
          <w:u w:val="single"/>
        </w:rPr>
        <w:t>Presley</w:t>
      </w:r>
      <w:r w:rsidRPr="00EE4E20">
        <w:rPr>
          <w:color w:val="000000" w:themeColor="text1"/>
          <w:szCs w:val="20"/>
        </w:rPr>
        <w:t>, 116 T.C.M. (CCH) at 402; </w:t>
      </w:r>
      <w:r w:rsidRPr="00EE4E20">
        <w:rPr>
          <w:color w:val="000000" w:themeColor="text1"/>
          <w:szCs w:val="20"/>
          <w:u w:val="single"/>
        </w:rPr>
        <w:t>Crimi</w:t>
      </w:r>
      <w:r w:rsidRPr="00EE4E20">
        <w:rPr>
          <w:color w:val="000000" w:themeColor="text1"/>
          <w:szCs w:val="20"/>
        </w:rPr>
        <w:t>, 105 T.C.M. (CCH) at 1353. Pankratz argues that he had reasonable cause for the position he took on his return because he reasonably relied on Meier's and Horning's advice. When a taxpayer claims to have relied on the advice of a professional, he must show that:</w:t>
      </w:r>
    </w:p>
    <w:p w:rsidR="00EE4E20" w:rsidRPr="00EE4E20" w:rsidRDefault="00EE4E20" w:rsidP="00EE4E20">
      <w:pPr>
        <w:pStyle w:val="QS10"/>
        <w:rPr>
          <w:color w:val="000000" w:themeColor="text1"/>
          <w:szCs w:val="20"/>
        </w:rPr>
      </w:pPr>
      <w:r w:rsidRPr="00EE4E20">
        <w:rPr>
          <w:color w:val="000000" w:themeColor="text1"/>
          <w:szCs w:val="20"/>
        </w:rPr>
        <w:t>• the professional was a competent tax adviser with sufficient expertise to justify reliance,</w:t>
      </w:r>
    </w:p>
    <w:p w:rsidR="00EE4E20" w:rsidRPr="00EE4E20" w:rsidRDefault="00EE4E20" w:rsidP="00EE4E20">
      <w:pPr>
        <w:pStyle w:val="QS10"/>
        <w:rPr>
          <w:color w:val="000000" w:themeColor="text1"/>
          <w:szCs w:val="20"/>
        </w:rPr>
      </w:pPr>
      <w:r w:rsidRPr="00EE4E20">
        <w:rPr>
          <w:color w:val="000000" w:themeColor="text1"/>
          <w:szCs w:val="20"/>
        </w:rPr>
        <w:t>• he provided necessary and accurate information to the professional who gave him advice, and</w:t>
      </w:r>
    </w:p>
    <w:p w:rsidR="00EE4E20" w:rsidRPr="00EE4E20" w:rsidRDefault="00EE4E20" w:rsidP="00EE4E20">
      <w:pPr>
        <w:pStyle w:val="QS10"/>
        <w:rPr>
          <w:color w:val="000000" w:themeColor="text1"/>
          <w:szCs w:val="20"/>
        </w:rPr>
      </w:pPr>
      <w:r w:rsidRPr="00EE4E20">
        <w:rPr>
          <w:color w:val="000000" w:themeColor="text1"/>
          <w:szCs w:val="20"/>
        </w:rPr>
        <w:t>• he actually relied in good faith on that advice.</w:t>
      </w:r>
    </w:p>
    <w:p w:rsidR="00EE4E20" w:rsidRPr="00EE4E20" w:rsidRDefault="00EE4E20" w:rsidP="00EE4E20">
      <w:pPr>
        <w:pStyle w:val="QS10"/>
        <w:rPr>
          <w:color w:val="000000" w:themeColor="text1"/>
          <w:szCs w:val="20"/>
        </w:rPr>
      </w:pPr>
      <w:r w:rsidRPr="00EE4E20">
        <w:rPr>
          <w:color w:val="000000" w:themeColor="text1"/>
          <w:szCs w:val="20"/>
          <w:u w:val="single"/>
        </w:rPr>
        <w:t>See</w:t>
      </w:r>
      <w:r w:rsidRPr="00EE4E20">
        <w:rPr>
          <w:color w:val="000000" w:themeColor="text1"/>
          <w:szCs w:val="20"/>
        </w:rPr>
        <w:t> </w:t>
      </w:r>
      <w:r w:rsidRPr="00EE4E20">
        <w:rPr>
          <w:color w:val="000000" w:themeColor="text1"/>
          <w:szCs w:val="20"/>
          <w:u w:val="single"/>
        </w:rPr>
        <w:t>Alt. Healthcare Advocates v. Commissioner</w:t>
      </w:r>
      <w:r w:rsidRPr="00EE4E20">
        <w:rPr>
          <w:color w:val="000000" w:themeColor="text1"/>
          <w:szCs w:val="20"/>
        </w:rPr>
        <w:t>, 151 T.C. 225, 246 (2018); </w:t>
      </w:r>
      <w:r w:rsidRPr="00EE4E20">
        <w:rPr>
          <w:color w:val="000000" w:themeColor="text1"/>
          <w:szCs w:val="20"/>
          <w:u w:val="single"/>
        </w:rPr>
        <w:t>Neonatology Assocs., P.A. v. Commissioner</w:t>
      </w:r>
      <w:r w:rsidRPr="00EE4E20">
        <w:rPr>
          <w:color w:val="000000" w:themeColor="text1"/>
          <w:szCs w:val="20"/>
        </w:rPr>
        <w:t>, 115 T.C. 43, 99 (2000), </w:t>
      </w:r>
      <w:r w:rsidRPr="00EE4E20">
        <w:rPr>
          <w:color w:val="000000" w:themeColor="text1"/>
          <w:szCs w:val="20"/>
          <w:u w:val="single"/>
        </w:rPr>
        <w:t>aff'd</w:t>
      </w:r>
      <w:r w:rsidRPr="00EE4E20">
        <w:rPr>
          <w:color w:val="000000" w:themeColor="text1"/>
          <w:szCs w:val="20"/>
        </w:rPr>
        <w:t>, 299 F.3d 221 (3d Cir. 2002).</w:t>
      </w:r>
    </w:p>
    <w:p w:rsidR="00EE4E20" w:rsidRPr="00EE4E20" w:rsidRDefault="00EE4E20" w:rsidP="00EE4E20">
      <w:pPr>
        <w:pStyle w:val="QS10"/>
        <w:rPr>
          <w:color w:val="000000" w:themeColor="text1"/>
          <w:szCs w:val="20"/>
        </w:rPr>
      </w:pPr>
      <w:r w:rsidRPr="00EE4E20">
        <w:rPr>
          <w:color w:val="000000" w:themeColor="text1"/>
          <w:szCs w:val="20"/>
        </w:rPr>
        <w:t>1. </w:t>
      </w:r>
      <w:r w:rsidRPr="00EE4E20">
        <w:rPr>
          <w:color w:val="000000" w:themeColor="text1"/>
          <w:szCs w:val="20"/>
          <w:u w:val="single"/>
        </w:rPr>
        <w:t>Competent Tax Adviser</w:t>
      </w:r>
    </w:p>
    <w:p w:rsidR="00EE4E20" w:rsidRPr="00EE4E20" w:rsidRDefault="00EE4E20" w:rsidP="00EE4E20">
      <w:pPr>
        <w:pStyle w:val="QS10"/>
        <w:rPr>
          <w:color w:val="000000" w:themeColor="text1"/>
          <w:szCs w:val="20"/>
        </w:rPr>
      </w:pPr>
      <w:r w:rsidRPr="00EE4E20">
        <w:rPr>
          <w:color w:val="000000" w:themeColor="text1"/>
          <w:szCs w:val="20"/>
        </w:rPr>
        <w:t>It is uncontested that Meier is a competent tax adviser with sufficient expertise to justify reliance. Whether Horning is a competent tax adviser with sufficient experience to justify reliance is a more difficult question.</w:t>
      </w:r>
    </w:p>
    <w:p w:rsidR="00EE4E20" w:rsidRPr="00EE4E20" w:rsidRDefault="00EE4E20" w:rsidP="00EE4E20">
      <w:pPr>
        <w:pStyle w:val="QS10"/>
        <w:rPr>
          <w:color w:val="000000" w:themeColor="text1"/>
          <w:szCs w:val="20"/>
        </w:rPr>
      </w:pPr>
      <w:r w:rsidRPr="00EE4E20">
        <w:rPr>
          <w:color w:val="000000" w:themeColor="text1"/>
          <w:szCs w:val="20"/>
        </w:rPr>
        <w:t>There is no precise threshold of competence that a tax adviser must have to justify reliance. Our practical test looks for expertise commensurate with the facts of each case. </w:t>
      </w:r>
      <w:r w:rsidRPr="00EE4E20">
        <w:rPr>
          <w:color w:val="000000" w:themeColor="text1"/>
          <w:szCs w:val="20"/>
          <w:u w:val="single"/>
        </w:rPr>
        <w:t>CNT Inv'rs, LLC v. Commissioner</w:t>
      </w:r>
      <w:r w:rsidRPr="00EE4E20">
        <w:rPr>
          <w:color w:val="000000" w:themeColor="text1"/>
          <w:szCs w:val="20"/>
        </w:rPr>
        <w:t>, 144 T.C. 161, 224 (2015); </w:t>
      </w:r>
      <w:r w:rsidRPr="00EE4E20">
        <w:rPr>
          <w:color w:val="000000" w:themeColor="text1"/>
          <w:szCs w:val="20"/>
          <w:u w:val="single"/>
        </w:rPr>
        <w:t>see also</w:t>
      </w:r>
      <w:r w:rsidRPr="00EE4E20">
        <w:rPr>
          <w:color w:val="000000" w:themeColor="text1"/>
          <w:szCs w:val="20"/>
        </w:rPr>
        <w:t> </w:t>
      </w:r>
      <w:r w:rsidRPr="00EE4E20">
        <w:rPr>
          <w:color w:val="000000" w:themeColor="text1"/>
          <w:szCs w:val="20"/>
          <w:u w:val="single"/>
        </w:rPr>
        <w:t>Neonatology</w:t>
      </w:r>
      <w:r w:rsidRPr="00EE4E20">
        <w:rPr>
          <w:color w:val="000000" w:themeColor="text1"/>
          <w:szCs w:val="20"/>
        </w:rPr>
        <w:t>, 115 T.C. at 99 (insurance agent lacked sufficient expertise to advise on complex, group whole/term hybrid life insurance plan); </w:t>
      </w:r>
      <w:r w:rsidRPr="00EE4E20">
        <w:rPr>
          <w:color w:val="000000" w:themeColor="text1"/>
          <w:szCs w:val="20"/>
          <w:u w:val="single"/>
        </w:rPr>
        <w:t>Thousand Oaks Residential Care Home I, Inc. v. Commissioner</w:t>
      </w:r>
      <w:r w:rsidRPr="00EE4E20">
        <w:rPr>
          <w:color w:val="000000" w:themeColor="text1"/>
          <w:szCs w:val="20"/>
        </w:rPr>
        <w:t>, T.C. Memo. 2013-10, 105 T.C.M. (CCH) 1056, 1066 (2013) (longtime accountant who prepared tax returns full time, was an enrolled agent, and had a master's degree in business administration was competent professional to advise on employment-plan contributions).</w:t>
      </w:r>
    </w:p>
    <w:p w:rsidR="00EE4E20" w:rsidRPr="00EE4E20" w:rsidRDefault="00EE4E20" w:rsidP="00EE4E20">
      <w:pPr>
        <w:pStyle w:val="QS10"/>
        <w:rPr>
          <w:color w:val="000000" w:themeColor="text1"/>
          <w:szCs w:val="20"/>
        </w:rPr>
      </w:pPr>
      <w:r w:rsidRPr="00EE4E20">
        <w:rPr>
          <w:color w:val="000000" w:themeColor="text1"/>
          <w:szCs w:val="20"/>
        </w:rPr>
        <w:t>When we apply this practical test, we find that Horning was not a competent tax adviser. He is not a CPA. He is not an attorney. He is not a full-time return preparer. He has no professional license of any kind. He is just a longtime employee who provides financial-related support to Pankratz and has a bachelor's degree in accounting. We are specifically not saying that a professional license is always required for a reliance defense to penalties, only that Horning's experience is not enough to make him competent to prepare a large and complex tax return which included information from over a dozen businesses and farms. Pankratz himself knew that his usual way of preparing returns for his businesses had led to understatements of tax in the past. And it leads us to find again, as we did in </w:t>
      </w:r>
      <w:r w:rsidRPr="00EE4E20">
        <w:rPr>
          <w:color w:val="000000" w:themeColor="text1"/>
          <w:szCs w:val="20"/>
          <w:u w:val="single"/>
        </w:rPr>
        <w:t>Kirman v. Commissioner</w:t>
      </w:r>
      <w:r w:rsidRPr="00EE4E20">
        <w:rPr>
          <w:color w:val="000000" w:themeColor="text1"/>
          <w:szCs w:val="20"/>
        </w:rPr>
        <w:t>, T.C. Memo. 2011-128, 101 T.C.M. (CCH) 1625, 1633 (2011), that a longtime preparer may not be a competent adviser on whom a taxpayer could reasonably rely.</w:t>
      </w:r>
    </w:p>
    <w:p w:rsidR="00F12A54" w:rsidRDefault="00F12A54" w:rsidP="00056130">
      <w:pPr>
        <w:pStyle w:val="QS10"/>
        <w:jc w:val="center"/>
        <w:rPr>
          <w:szCs w:val="20"/>
        </w:rPr>
      </w:pPr>
      <w:r>
        <w:rPr>
          <w:szCs w:val="20"/>
        </w:rPr>
        <w:t>* * *</w:t>
      </w:r>
    </w:p>
    <w:p w:rsidR="00F12A54" w:rsidRPr="00EE4E20" w:rsidRDefault="00EE4E20" w:rsidP="00EE4E20">
      <w:pPr>
        <w:pStyle w:val="QS10"/>
        <w:rPr>
          <w:szCs w:val="20"/>
        </w:rPr>
      </w:pPr>
      <w:r w:rsidRPr="00EE4E20">
        <w:rPr>
          <w:szCs w:val="20"/>
        </w:rPr>
        <w:t>Here, we find that Pankratz did provide all necessary information to Meier, because the firm had all the working papers that Horning used to prepare the return. The irony is not lost on us that these cases focus around an appraisal that was not provided--which would seemingly indicate that Pankratz did not provide </w:t>
      </w:r>
      <w:r w:rsidRPr="00EE4E20">
        <w:rPr>
          <w:rStyle w:val="Emphasis"/>
          <w:color w:val="212121"/>
          <w:szCs w:val="20"/>
        </w:rPr>
        <w:t>all</w:t>
      </w:r>
      <w:r w:rsidRPr="00EE4E20">
        <w:rPr>
          <w:szCs w:val="20"/>
        </w:rPr>
        <w:t> necessary information. There's a subtle point here: We think it reasonable for Pankratz to not know </w:t>
      </w:r>
      <w:r w:rsidRPr="00EE4E20">
        <w:rPr>
          <w:rStyle w:val="Emphasis"/>
          <w:color w:val="212121"/>
          <w:szCs w:val="20"/>
        </w:rPr>
        <w:t>before</w:t>
      </w:r>
      <w:r w:rsidRPr="00EE4E20">
        <w:rPr>
          <w:szCs w:val="20"/>
        </w:rPr>
        <w:t> he prepared his return that he needed an appraisal. The last time he made a large, noncash contribution he hadn't attached an appraisal to his return and yet it had been accepted by the IRS. But we want to be careful about limiting this finding of reasonableness--we find only that it was reasonable for Pankratz to not know about this requirement when he first submitted information to the Meier firm.</w:t>
      </w:r>
    </w:p>
    <w:p w:rsidR="00F12A54" w:rsidRDefault="00F12A54" w:rsidP="00056130">
      <w:pPr>
        <w:pStyle w:val="QS10"/>
        <w:jc w:val="center"/>
        <w:rPr>
          <w:szCs w:val="20"/>
        </w:rPr>
      </w:pPr>
      <w:r>
        <w:rPr>
          <w:szCs w:val="20"/>
        </w:rPr>
        <w:t>* * *</w:t>
      </w:r>
    </w:p>
    <w:p w:rsidR="00EE4E20" w:rsidRPr="00EE4E20" w:rsidRDefault="00EE4E20" w:rsidP="00EE4E20">
      <w:pPr>
        <w:pStyle w:val="QS10"/>
        <w:rPr>
          <w:color w:val="000000" w:themeColor="text1"/>
          <w:szCs w:val="20"/>
        </w:rPr>
      </w:pPr>
      <w:r w:rsidRPr="00EE4E20">
        <w:rPr>
          <w:color w:val="000000" w:themeColor="text1"/>
          <w:szCs w:val="20"/>
        </w:rPr>
        <w:t>We first have to figure out whether Meier actually advised Pankratz that he didn't need an appraisal. The big problem for Pankratz here is that Meier told Horning that there needed to be an appraisal, yet neither Horning nor Pankratz nor anyone else ever got one. We do find Pankratz credible when he said that no one ever told </w:t>
      </w:r>
      <w:r w:rsidRPr="00EE4E20">
        <w:rPr>
          <w:rStyle w:val="Emphasis"/>
          <w:color w:val="000000" w:themeColor="text1"/>
          <w:szCs w:val="20"/>
        </w:rPr>
        <w:t>him</w:t>
      </w:r>
      <w:r w:rsidRPr="00EE4E20">
        <w:rPr>
          <w:color w:val="000000" w:themeColor="text1"/>
          <w:szCs w:val="20"/>
        </w:rPr>
        <w:t> he needed an appraisal. And we acknowledge that Pankratz never had a face-to-face meeting with Meier or spoke with him over the phone. But this only makes it easier for us to find that Pankratz did not rely on Meier's advice.</w:t>
      </w:r>
    </w:p>
    <w:p w:rsidR="00EE4E20" w:rsidRPr="00EE4E20" w:rsidRDefault="00EE4E20" w:rsidP="00EE4E20">
      <w:pPr>
        <w:pStyle w:val="QS10"/>
        <w:rPr>
          <w:color w:val="000000" w:themeColor="text1"/>
          <w:szCs w:val="20"/>
        </w:rPr>
      </w:pPr>
      <w:r w:rsidRPr="00EE4E20">
        <w:rPr>
          <w:color w:val="000000" w:themeColor="text1"/>
          <w:szCs w:val="20"/>
        </w:rPr>
        <w:t>Then there's the problem that Pankratz admitted that he never reviewed his return. A taxpayer's failure to review a return, though troubling, is not by itself fatal--there can be cases where even diligent taxpayers wouldn't be able to see a subtle problem in their tax returns. </w:t>
      </w:r>
      <w:r w:rsidRPr="00EE4E20">
        <w:rPr>
          <w:color w:val="000000" w:themeColor="text1"/>
          <w:szCs w:val="20"/>
          <w:u w:val="single"/>
        </w:rPr>
        <w:t>CNT Inv'rs, LLC</w:t>
      </w:r>
      <w:r w:rsidRPr="00EE4E20">
        <w:rPr>
          <w:color w:val="000000" w:themeColor="text1"/>
          <w:szCs w:val="20"/>
        </w:rPr>
        <w:t>, 144 T.C. at 234. That's not the case here.</w:t>
      </w:r>
    </w:p>
    <w:p w:rsidR="00EE4E20" w:rsidRPr="00EE4E20" w:rsidRDefault="00EE4E20" w:rsidP="00EE4E20">
      <w:pPr>
        <w:pStyle w:val="QS10"/>
        <w:rPr>
          <w:color w:val="000000" w:themeColor="text1"/>
          <w:szCs w:val="20"/>
        </w:rPr>
      </w:pPr>
      <w:r w:rsidRPr="00EE4E20">
        <w:rPr>
          <w:color w:val="000000" w:themeColor="text1"/>
          <w:szCs w:val="20"/>
        </w:rPr>
        <w:t>We first look to Pankratz's education, sophistication, and business experience. He is very well educated, with both a college degree and a doctorate. And, although he tried to represent himself as a lowly farm hand, he is a sophisticated and savvy businessman--he was able to create Grand Labs from nothing and sell it for $85 million, and he then invested his money in several different ventures in several different states. He may lack formal tax training, but we find that he possesses a sharp and sophisticated mind for business. Had Pankratz simply looked at Form 8283 he would have noticed that, at the very least, he likely needed to get appraisals. This makes his case unlike </w:t>
      </w:r>
      <w:r w:rsidRPr="00EE4E20">
        <w:rPr>
          <w:color w:val="000000" w:themeColor="text1"/>
          <w:szCs w:val="20"/>
          <w:u w:val="single"/>
        </w:rPr>
        <w:t>CNT Investors,</w:t>
      </w:r>
      <w:r w:rsidRPr="00EE4E20">
        <w:rPr>
          <w:color w:val="000000" w:themeColor="text1"/>
          <w:szCs w:val="20"/>
        </w:rPr>
        <w:t> </w:t>
      </w:r>
      <w:r w:rsidRPr="00EE4E20">
        <w:rPr>
          <w:color w:val="000000" w:themeColor="text1"/>
          <w:szCs w:val="20"/>
          <w:u w:val="single"/>
        </w:rPr>
        <w:t>LLC</w:t>
      </w:r>
      <w:r w:rsidRPr="00EE4E20">
        <w:rPr>
          <w:color w:val="000000" w:themeColor="text1"/>
          <w:szCs w:val="20"/>
        </w:rPr>
        <w:t>, because there the taxpayer met with his adviser and his review of the return would not have shown any issues. </w:t>
      </w:r>
      <w:r w:rsidRPr="00EE4E20">
        <w:rPr>
          <w:color w:val="000000" w:themeColor="text1"/>
          <w:szCs w:val="20"/>
          <w:u w:val="single"/>
        </w:rPr>
        <w:t>See</w:t>
      </w:r>
      <w:r w:rsidRPr="00EE4E20">
        <w:rPr>
          <w:color w:val="000000" w:themeColor="text1"/>
          <w:szCs w:val="20"/>
        </w:rPr>
        <w:t> </w:t>
      </w:r>
      <w:r w:rsidRPr="00EE4E20">
        <w:rPr>
          <w:color w:val="000000" w:themeColor="text1"/>
          <w:szCs w:val="20"/>
          <w:u w:val="single"/>
        </w:rPr>
        <w:t>CNT Inv'rs, LLC</w:t>
      </w:r>
      <w:r w:rsidRPr="00EE4E20">
        <w:rPr>
          <w:color w:val="000000" w:themeColor="text1"/>
          <w:szCs w:val="20"/>
        </w:rPr>
        <w:t>, 114 T.C. at 234.</w:t>
      </w:r>
    </w:p>
    <w:p w:rsidR="00EE4E20" w:rsidRPr="00EE4E20" w:rsidRDefault="00EE4E20" w:rsidP="00EE4E20">
      <w:pPr>
        <w:pStyle w:val="QS10"/>
        <w:rPr>
          <w:color w:val="000000" w:themeColor="text1"/>
          <w:szCs w:val="20"/>
        </w:rPr>
      </w:pPr>
      <w:r w:rsidRPr="00EE4E20">
        <w:rPr>
          <w:color w:val="000000" w:themeColor="text1"/>
          <w:szCs w:val="20"/>
        </w:rPr>
        <w:t>One does not have to be a tax expert to be able to read Form 8283. Had Pankratz reviewed that two-page form, he would have seen that it said “[a]n appraisal is generally required for property listed in Section B,” or “you must attach a qualified appraisal of the property,” or “[a]ppraised fair market value,” or “Declaration of Appraiser.” For a man as smart as Pankratz, this would have suggested that there was a potential major error on the return, and should have</w:t>
      </w:r>
      <w:r>
        <w:rPr>
          <w:color w:val="000000" w:themeColor="text1"/>
          <w:szCs w:val="20"/>
        </w:rPr>
        <w:t xml:space="preserve"> </w:t>
      </w:r>
      <w:r w:rsidRPr="00EE4E20">
        <w:rPr>
          <w:color w:val="000000" w:themeColor="text1"/>
          <w:szCs w:val="20"/>
        </w:rPr>
        <w:t>prompted him (at the very least) to ask Meier whether an appraisal was needed.</w:t>
      </w:r>
      <w:hyperlink r:id="rId158" w:anchor="co_footnote_B00102053176326" w:history="1">
        <w:r w:rsidRPr="00EE4E20">
          <w:rPr>
            <w:rStyle w:val="Hyperlink"/>
            <w:color w:val="000000" w:themeColor="text1"/>
            <w:szCs w:val="20"/>
            <w:vertAlign w:val="superscript"/>
          </w:rPr>
          <w:t>10</w:t>
        </w:r>
      </w:hyperlink>
      <w:r w:rsidRPr="00EE4E20">
        <w:rPr>
          <w:color w:val="000000" w:themeColor="text1"/>
          <w:szCs w:val="20"/>
        </w:rPr>
        <w:t> Instead, he just signed the return.</w:t>
      </w:r>
    </w:p>
    <w:p w:rsidR="00EE4E20" w:rsidRPr="00EE4E20" w:rsidRDefault="00EE4E20" w:rsidP="00EE4E20">
      <w:pPr>
        <w:pStyle w:val="QS10"/>
        <w:rPr>
          <w:color w:val="000000" w:themeColor="text1"/>
          <w:szCs w:val="20"/>
        </w:rPr>
      </w:pPr>
      <w:r w:rsidRPr="00EE4E20">
        <w:rPr>
          <w:color w:val="000000" w:themeColor="text1"/>
          <w:szCs w:val="20"/>
        </w:rPr>
        <w:t>With neither advice nor good faith reliance on that advice, we deny the deduction for Pankratz's contribution of his interests in the oil and gas fields.</w:t>
      </w:r>
    </w:p>
    <w:p w:rsidR="00F12A54" w:rsidRDefault="00F12A54" w:rsidP="00F12A54">
      <w:pPr>
        <w:pStyle w:val="Body15"/>
        <w:rPr>
          <w:szCs w:val="20"/>
        </w:rPr>
      </w:pPr>
      <w:r>
        <w:rPr>
          <w:szCs w:val="20"/>
        </w:rPr>
        <w:t xml:space="preserve">The bottom-line is that the court concluded a reasonable taxpayer would review his return and spot the </w:t>
      </w:r>
      <w:r w:rsidR="001401C7">
        <w:rPr>
          <w:szCs w:val="20"/>
        </w:rPr>
        <w:t xml:space="preserve">language of the </w:t>
      </w:r>
      <w:r>
        <w:rPr>
          <w:szCs w:val="20"/>
        </w:rPr>
        <w:t>Form 8283 which clearly requires an appraisal.  For t</w:t>
      </w:r>
      <w:r w:rsidR="00463483">
        <w:rPr>
          <w:szCs w:val="20"/>
        </w:rPr>
        <w:t>h</w:t>
      </w:r>
      <w:r>
        <w:rPr>
          <w:szCs w:val="20"/>
        </w:rPr>
        <w:t>e same reason, the court upheld a penalty too:</w:t>
      </w:r>
    </w:p>
    <w:p w:rsidR="00F12A54" w:rsidRPr="00EE4E20" w:rsidRDefault="00EE4E20" w:rsidP="00EE4E20">
      <w:pPr>
        <w:pStyle w:val="QS10"/>
        <w:rPr>
          <w:color w:val="000000" w:themeColor="text1"/>
          <w:szCs w:val="20"/>
        </w:rPr>
      </w:pPr>
      <w:r w:rsidRPr="00EE4E20">
        <w:rPr>
          <w:color w:val="000000" w:themeColor="text1"/>
          <w:szCs w:val="20"/>
        </w:rPr>
        <w:t>Our conclusion--that Pankratz lacked reasonable cause for omission of appraisals--was based on regulations and precedents under section 170(f)(11)(A)(ii)(II), which we used because caselaw tells us that the defense is the same for both sections. So it is. And we find in this context, and for the same reasons stated above, that Pankratz lacked reasonable cause claiming those deductions. Penalties apply here.</w:t>
      </w:r>
    </w:p>
    <w:p w:rsidR="00485DB9" w:rsidRPr="004B2313" w:rsidRDefault="00856D6A">
      <w:pPr>
        <w:pStyle w:val="Heading1"/>
        <w:rPr>
          <w:rStyle w:val="LeadInHeading1"/>
          <w:b/>
          <w:vanish/>
          <w:specVanish/>
        </w:rPr>
      </w:pPr>
      <w:bookmarkStart w:id="179" w:name="_Toc94704637"/>
      <w:r w:rsidRPr="004B2313">
        <w:rPr>
          <w:rStyle w:val="LeadInHeading1"/>
          <w:b/>
        </w:rPr>
        <w:t>SECTION</w:t>
      </w:r>
      <w:r w:rsidR="00C64050">
        <w:rPr>
          <w:rStyle w:val="LeadInHeading1"/>
          <w:b/>
        </w:rPr>
        <w:t xml:space="preserve"> </w:t>
      </w:r>
      <w:r w:rsidRPr="004B2313">
        <w:rPr>
          <w:rStyle w:val="LeadInHeading1"/>
          <w:b/>
        </w:rPr>
        <w:t>408</w:t>
      </w:r>
      <w:r w:rsidR="00C64050">
        <w:rPr>
          <w:rStyle w:val="LeadInHeading1"/>
          <w:b/>
        </w:rPr>
        <w:t xml:space="preserve"> </w:t>
      </w:r>
      <w:r w:rsidRPr="004B2313">
        <w:rPr>
          <w:rStyle w:val="LeadInHeading1"/>
          <w:b/>
        </w:rPr>
        <w:t>—</w:t>
      </w:r>
      <w:r w:rsidR="00C64050">
        <w:rPr>
          <w:rStyle w:val="LeadInHeading1"/>
          <w:b/>
        </w:rPr>
        <w:t xml:space="preserve"> </w:t>
      </w:r>
      <w:bookmarkStart w:id="180" w:name="_Toc203216577"/>
      <w:bookmarkStart w:id="181" w:name="_Toc203216778"/>
      <w:bookmarkStart w:id="182" w:name="_Toc203217318"/>
      <w:bookmarkStart w:id="183" w:name="_Toc203217380"/>
      <w:bookmarkStart w:id="184" w:name="_Toc203217468"/>
      <w:bookmarkStart w:id="185" w:name="_Toc203217592"/>
      <w:bookmarkEnd w:id="124"/>
      <w:bookmarkEnd w:id="125"/>
      <w:bookmarkEnd w:id="180"/>
      <w:bookmarkEnd w:id="181"/>
      <w:bookmarkEnd w:id="182"/>
      <w:bookmarkEnd w:id="183"/>
      <w:bookmarkEnd w:id="184"/>
      <w:bookmarkEnd w:id="185"/>
      <w:r w:rsidRPr="004B2313">
        <w:rPr>
          <w:rStyle w:val="LeadInHeading1"/>
          <w:b/>
        </w:rPr>
        <w:t>IRAs</w:t>
      </w:r>
      <w:r w:rsidR="00C64050">
        <w:rPr>
          <w:rStyle w:val="LeadInHeading1"/>
          <w:b/>
        </w:rPr>
        <w:t xml:space="preserve"> </w:t>
      </w:r>
      <w:r w:rsidRPr="004B2313">
        <w:rPr>
          <w:rStyle w:val="LeadInHeading1"/>
          <w:b/>
        </w:rPr>
        <w:t>AND</w:t>
      </w:r>
      <w:r w:rsidR="00C64050">
        <w:rPr>
          <w:rStyle w:val="LeadInHeading1"/>
          <w:b/>
        </w:rPr>
        <w:t xml:space="preserve"> </w:t>
      </w:r>
      <w:r w:rsidRPr="004B2313">
        <w:rPr>
          <w:rStyle w:val="LeadInHeading1"/>
          <w:b/>
        </w:rPr>
        <w:t>RETIREMENT</w:t>
      </w:r>
      <w:r w:rsidR="00C64050">
        <w:rPr>
          <w:rStyle w:val="LeadInHeading1"/>
          <w:b/>
        </w:rPr>
        <w:t xml:space="preserve"> </w:t>
      </w:r>
      <w:r w:rsidRPr="004B2313">
        <w:rPr>
          <w:rStyle w:val="LeadInHeading1"/>
          <w:b/>
        </w:rPr>
        <w:t>PLANS</w:t>
      </w:r>
      <w:bookmarkEnd w:id="126"/>
      <w:bookmarkEnd w:id="127"/>
      <w:bookmarkEnd w:id="128"/>
      <w:bookmarkEnd w:id="129"/>
      <w:bookmarkEnd w:id="130"/>
      <w:bookmarkEnd w:id="131"/>
      <w:bookmarkEnd w:id="132"/>
      <w:bookmarkEnd w:id="133"/>
      <w:bookmarkEnd w:id="134"/>
      <w:bookmarkEnd w:id="135"/>
      <w:bookmarkEnd w:id="179"/>
    </w:p>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rsidR="00485DB9" w:rsidRDefault="00485DB9">
      <w:pPr>
        <w:pStyle w:val="HBody1"/>
        <w:rPr>
          <w:color w:val="000000"/>
        </w:rPr>
      </w:pPr>
    </w:p>
    <w:p w:rsidR="008713B4" w:rsidRPr="000A2602" w:rsidRDefault="0043192C" w:rsidP="00F7650C">
      <w:pPr>
        <w:pStyle w:val="Heading20"/>
        <w:numPr>
          <w:ilvl w:val="1"/>
          <w:numId w:val="46"/>
        </w:numPr>
        <w:tabs>
          <w:tab w:val="clear" w:pos="2700"/>
          <w:tab w:val="num" w:pos="1440"/>
        </w:tabs>
        <w:ind w:left="0"/>
        <w:rPr>
          <w:vanish/>
          <w:specVanish/>
        </w:rPr>
      </w:pPr>
      <w:bookmarkStart w:id="186" w:name="_Toc94704638"/>
      <w:bookmarkStart w:id="187" w:name="_Toc534992107"/>
      <w:r w:rsidRPr="000A2602">
        <w:rPr>
          <w:b/>
        </w:rPr>
        <w:t>SECURE Act Changes</w:t>
      </w:r>
      <w:bookmarkEnd w:id="186"/>
    </w:p>
    <w:p w:rsidR="00122279" w:rsidRPr="0043192C" w:rsidRDefault="0043192C" w:rsidP="008713B4">
      <w:pPr>
        <w:pStyle w:val="Heading2Body"/>
      </w:pPr>
      <w:r>
        <w:rPr>
          <w:b/>
        </w:rPr>
        <w:t xml:space="preserve">.  </w:t>
      </w:r>
      <w:r w:rsidR="002D2B68">
        <w:t xml:space="preserve">Sections 114 and 401 of the </w:t>
      </w:r>
      <w:r w:rsidR="00122279" w:rsidRPr="0043192C">
        <w:t>Setting Every Community Up for Retirement Enhancement (“SECURE”) Act of 2019</w:t>
      </w:r>
      <w:bookmarkStart w:id="188" w:name="_Toc49868244"/>
      <w:bookmarkStart w:id="189" w:name="_Toc49868141"/>
      <w:bookmarkEnd w:id="187"/>
      <w:r w:rsidR="00122279" w:rsidRPr="0043192C">
        <w:t xml:space="preserve"> contain a number of provisions important to estate planners primarily in connection with distributions from defin</w:t>
      </w:r>
      <w:r w:rsidR="002D2B68">
        <w:t xml:space="preserve">ed contribution plans (“plans”) </w:t>
      </w:r>
      <w:r w:rsidR="00122279" w:rsidRPr="0043192C">
        <w:t>and individual re</w:t>
      </w:r>
      <w:r w:rsidR="002D2B68">
        <w:t>tirement accounts</w:t>
      </w:r>
      <w:bookmarkEnd w:id="188"/>
      <w:bookmarkEnd w:id="189"/>
      <w:r w:rsidR="002D2B68">
        <w:t>.</w:t>
      </w:r>
    </w:p>
    <w:p w:rsidR="00122279" w:rsidRPr="00B67570" w:rsidRDefault="00122279" w:rsidP="00122279">
      <w:pPr>
        <w:pStyle w:val="Heading3"/>
        <w:tabs>
          <w:tab w:val="clear" w:pos="2160"/>
          <w:tab w:val="num" w:pos="0"/>
        </w:tabs>
        <w:suppressAutoHyphens w:val="0"/>
        <w:spacing w:line="240" w:lineRule="auto"/>
        <w:jc w:val="both"/>
        <w:rPr>
          <w:bCs/>
          <w:szCs w:val="20"/>
        </w:rPr>
      </w:pPr>
      <w:bookmarkStart w:id="190" w:name="_Toc62114853"/>
      <w:bookmarkStart w:id="191" w:name="_Toc49868245"/>
      <w:r w:rsidRPr="00B67570">
        <w:rPr>
          <w:rStyle w:val="LeadInHeading3"/>
          <w:bCs/>
          <w:szCs w:val="20"/>
        </w:rPr>
        <w:t>Required Beginning Date Change</w:t>
      </w:r>
      <w:bookmarkEnd w:id="190"/>
      <w:bookmarkEnd w:id="191"/>
    </w:p>
    <w:p w:rsidR="002D2B68" w:rsidRDefault="00122279" w:rsidP="00902C22">
      <w:pPr>
        <w:pStyle w:val="Body15"/>
        <w:rPr>
          <w:szCs w:val="20"/>
        </w:rPr>
      </w:pPr>
      <w:r w:rsidRPr="0043192C">
        <w:rPr>
          <w:szCs w:val="20"/>
        </w:rPr>
        <w:t xml:space="preserve">The term required beginning date (“RBD”) refers to the date when the plan participant or IRA owner (the “employee”) begins receiving required minimum distributions (“RMDs”) from the </w:t>
      </w:r>
      <w:r w:rsidRPr="0043192C">
        <w:rPr>
          <w:szCs w:val="20"/>
          <w:lang w:eastAsia="en-GB"/>
        </w:rPr>
        <w:t>plan</w:t>
      </w:r>
      <w:r w:rsidRPr="0043192C">
        <w:rPr>
          <w:szCs w:val="20"/>
        </w:rPr>
        <w:t xml:space="preserve"> or IRA.  Before the SECURE Act, the RBD was April 1 of the year following the year in which the employee reached age 70½ or, if not a 5% owner, retired, whichever was later.  Section 114 o</w:t>
      </w:r>
      <w:r w:rsidR="00AC21BD">
        <w:rPr>
          <w:szCs w:val="20"/>
        </w:rPr>
        <w:t>f the SECURE Act, amending s</w:t>
      </w:r>
      <w:r w:rsidRPr="0043192C">
        <w:rPr>
          <w:szCs w:val="20"/>
        </w:rPr>
        <w:t>ections 401(a)(9)(B) &amp; (C) and 408(b), changes the RBD for employees who reach age 70½ after December 31, 2019 to April 1 of the year following the year in which the employee reaches age 72 or, if not a 5% owner, retires, whichever is later.  One result of this change is that no one will have an RBD in 2021.</w:t>
      </w:r>
    </w:p>
    <w:p w:rsidR="002D2B68" w:rsidRDefault="00122279" w:rsidP="00902C22">
      <w:pPr>
        <w:pStyle w:val="Body15"/>
        <w:rPr>
          <w:szCs w:val="20"/>
        </w:rPr>
      </w:pPr>
      <w:r w:rsidRPr="0043192C">
        <w:rPr>
          <w:szCs w:val="20"/>
        </w:rPr>
        <w:t xml:space="preserve">This is a small positive development for </w:t>
      </w:r>
      <w:r w:rsidRPr="0043192C">
        <w:rPr>
          <w:szCs w:val="20"/>
          <w:lang w:eastAsia="en-GB"/>
        </w:rPr>
        <w:t>taxpayers</w:t>
      </w:r>
      <w:r w:rsidRPr="0043192C">
        <w:rPr>
          <w:szCs w:val="20"/>
        </w:rPr>
        <w:t xml:space="preserve"> because, while there is no prohibition against or penalty for starting to receive distributions a year or two earlier than one’s RBD, those who can afford to defer starting to receive distributions until the new RBD may have as much as an extra year of tax-deferred earnings on the amount of their initial RMD.  </w:t>
      </w:r>
    </w:p>
    <w:p w:rsidR="00122279" w:rsidRPr="00B67570" w:rsidRDefault="00122279" w:rsidP="00122279">
      <w:pPr>
        <w:pStyle w:val="Heading3"/>
        <w:tabs>
          <w:tab w:val="clear" w:pos="2160"/>
          <w:tab w:val="num" w:pos="0"/>
        </w:tabs>
        <w:suppressAutoHyphens w:val="0"/>
        <w:spacing w:line="240" w:lineRule="auto"/>
        <w:jc w:val="both"/>
        <w:rPr>
          <w:bCs/>
          <w:szCs w:val="20"/>
        </w:rPr>
      </w:pPr>
      <w:bookmarkStart w:id="192" w:name="_Toc62114854"/>
      <w:bookmarkStart w:id="193" w:name="_Toc49868246"/>
      <w:r w:rsidRPr="00B67570">
        <w:rPr>
          <w:rStyle w:val="LeadInHeading3"/>
          <w:bCs/>
          <w:szCs w:val="20"/>
        </w:rPr>
        <w:t xml:space="preserve">Introduction of </w:t>
      </w:r>
      <w:r w:rsidRPr="00B67570">
        <w:rPr>
          <w:bCs/>
          <w:szCs w:val="20"/>
        </w:rPr>
        <w:t>“</w:t>
      </w:r>
      <w:r w:rsidRPr="00B67570">
        <w:rPr>
          <w:rStyle w:val="LeadInHeading3"/>
          <w:bCs/>
          <w:szCs w:val="20"/>
        </w:rPr>
        <w:t>Eligible Designated Beneficiary</w:t>
      </w:r>
      <w:r w:rsidRPr="00B67570">
        <w:rPr>
          <w:bCs/>
          <w:szCs w:val="20"/>
        </w:rPr>
        <w:t>”</w:t>
      </w:r>
      <w:r w:rsidRPr="00B67570">
        <w:rPr>
          <w:rStyle w:val="LeadInHeading3"/>
          <w:bCs/>
          <w:szCs w:val="20"/>
        </w:rPr>
        <w:t xml:space="preserve"> Concept</w:t>
      </w:r>
      <w:bookmarkEnd w:id="192"/>
      <w:bookmarkEnd w:id="193"/>
    </w:p>
    <w:p w:rsidR="00AC21BD" w:rsidRDefault="00122279" w:rsidP="00902C22">
      <w:pPr>
        <w:pStyle w:val="Body15"/>
        <w:rPr>
          <w:szCs w:val="20"/>
        </w:rPr>
      </w:pPr>
      <w:r w:rsidRPr="0043192C">
        <w:rPr>
          <w:szCs w:val="20"/>
        </w:rPr>
        <w:t xml:space="preserve">Section 401 </w:t>
      </w:r>
      <w:r w:rsidR="00AC21BD">
        <w:rPr>
          <w:szCs w:val="20"/>
        </w:rPr>
        <w:t>of the SECURE Act, amending s</w:t>
      </w:r>
      <w:r w:rsidRPr="0043192C">
        <w:rPr>
          <w:rFonts w:cstheme="minorHAnsi"/>
          <w:szCs w:val="20"/>
        </w:rPr>
        <w:t>ection</w:t>
      </w:r>
      <w:r w:rsidRPr="0043192C">
        <w:rPr>
          <w:szCs w:val="20"/>
        </w:rPr>
        <w:t xml:space="preserve"> 401(a)(9)(E), introduces the term “eligible designated beneficiary” (“EDB”).  An EDB includes an employee’s surviving spouse, an employee’s child who has not reached majority</w:t>
      </w:r>
      <w:r w:rsidR="00996D95">
        <w:rPr>
          <w:szCs w:val="20"/>
        </w:rPr>
        <w:t xml:space="preserve"> (</w:t>
      </w:r>
      <w:r w:rsidR="002D2B68">
        <w:rPr>
          <w:szCs w:val="20"/>
        </w:rPr>
        <w:t xml:space="preserve">an </w:t>
      </w:r>
      <w:r w:rsidR="00996D95">
        <w:rPr>
          <w:szCs w:val="20"/>
        </w:rPr>
        <w:t>employee’s child who has not</w:t>
      </w:r>
      <w:r w:rsidR="002D2B68">
        <w:rPr>
          <w:szCs w:val="20"/>
        </w:rPr>
        <w:t xml:space="preserve"> completed a “specified course of education”</w:t>
      </w:r>
      <w:r w:rsidR="00996D95">
        <w:rPr>
          <w:szCs w:val="20"/>
        </w:rPr>
        <w:t xml:space="preserve"> is a minor but what such a course is, is uncertain; similarly, a child who has not </w:t>
      </w:r>
      <w:r w:rsidR="002D2B68">
        <w:rPr>
          <w:szCs w:val="20"/>
        </w:rPr>
        <w:t>attained age 26</w:t>
      </w:r>
      <w:r w:rsidR="00996D95">
        <w:rPr>
          <w:szCs w:val="20"/>
        </w:rPr>
        <w:t xml:space="preserve"> appears to be a minor for these purposes</w:t>
      </w:r>
      <w:r w:rsidR="002D2B68">
        <w:rPr>
          <w:szCs w:val="20"/>
        </w:rPr>
        <w:t>)</w:t>
      </w:r>
      <w:r w:rsidRPr="0043192C">
        <w:rPr>
          <w:szCs w:val="20"/>
        </w:rPr>
        <w:t>, a “disabled” indivi</w:t>
      </w:r>
      <w:r w:rsidR="000D71EE">
        <w:rPr>
          <w:szCs w:val="20"/>
        </w:rPr>
        <w:t>dual (within the meaning of s</w:t>
      </w:r>
      <w:r w:rsidRPr="0043192C">
        <w:rPr>
          <w:rFonts w:cstheme="minorHAnsi"/>
          <w:szCs w:val="20"/>
        </w:rPr>
        <w:t>ection</w:t>
      </w:r>
      <w:r w:rsidRPr="0043192C">
        <w:rPr>
          <w:szCs w:val="20"/>
        </w:rPr>
        <w:t xml:space="preserve"> 72(m)(7)), a chronically ill individual (within t</w:t>
      </w:r>
      <w:r w:rsidR="000D71EE">
        <w:rPr>
          <w:szCs w:val="20"/>
        </w:rPr>
        <w:t>he meaning of s</w:t>
      </w:r>
      <w:r w:rsidRPr="0043192C">
        <w:rPr>
          <w:rFonts w:cstheme="minorHAnsi"/>
          <w:szCs w:val="20"/>
        </w:rPr>
        <w:t>ection</w:t>
      </w:r>
      <w:r w:rsidRPr="0043192C">
        <w:rPr>
          <w:szCs w:val="20"/>
        </w:rPr>
        <w:t xml:space="preserve"> 7702B(c)(2)) and an individual not more than ten years younger than the employee.  An employee’s child who has reached majority is no longer an EDB.  EDB status is determined as of the employee’s date of death.</w:t>
      </w:r>
    </w:p>
    <w:p w:rsidR="00122279" w:rsidRPr="00B67570" w:rsidRDefault="00122279" w:rsidP="00122279">
      <w:pPr>
        <w:pStyle w:val="Heading3"/>
        <w:tabs>
          <w:tab w:val="clear" w:pos="2160"/>
          <w:tab w:val="num" w:pos="0"/>
        </w:tabs>
        <w:suppressAutoHyphens w:val="0"/>
        <w:spacing w:line="240" w:lineRule="auto"/>
        <w:jc w:val="both"/>
        <w:rPr>
          <w:bCs/>
          <w:szCs w:val="20"/>
        </w:rPr>
      </w:pPr>
      <w:bookmarkStart w:id="194" w:name="_Toc62114855"/>
      <w:bookmarkStart w:id="195" w:name="_Toc49868247"/>
      <w:r w:rsidRPr="00B67570">
        <w:rPr>
          <w:rStyle w:val="LeadInHeading3"/>
          <w:bCs/>
          <w:szCs w:val="20"/>
        </w:rPr>
        <w:t>Minimum Required Distribution Rules Under SECURE Act</w:t>
      </w:r>
      <w:bookmarkEnd w:id="194"/>
      <w:bookmarkEnd w:id="195"/>
    </w:p>
    <w:p w:rsidR="00902C22" w:rsidRDefault="00122279" w:rsidP="00902C22">
      <w:pPr>
        <w:pStyle w:val="Body15"/>
        <w:rPr>
          <w:szCs w:val="20"/>
        </w:rPr>
      </w:pPr>
      <w:r w:rsidRPr="0043192C">
        <w:rPr>
          <w:szCs w:val="20"/>
        </w:rPr>
        <w:t xml:space="preserve">Before the SECURE Act, if the beneficiary of a defined contribution plan or IRA was a designated beneficiary (“DB”) (very simply, an individual who is designated as a beneficiary under the plan (or IRA)), RMDs could generally be made to the DB over his or her life expectancy.  The opportunity to spread RMDs over a beneficiary's life expectancy was (and is) </w:t>
      </w:r>
      <w:r w:rsidRPr="0043192C">
        <w:rPr>
          <w:szCs w:val="20"/>
          <w:lang w:eastAsia="en-GB"/>
        </w:rPr>
        <w:t>generally</w:t>
      </w:r>
      <w:r w:rsidRPr="0043192C">
        <w:rPr>
          <w:szCs w:val="20"/>
        </w:rPr>
        <w:t xml:space="preserve"> considered to be a positive attribute because it usually enables accumulation and compounding of tax-deferred earnings within the plan or IRA for a relatively long period.</w:t>
      </w:r>
    </w:p>
    <w:p w:rsidR="00122279" w:rsidRDefault="00122279" w:rsidP="00902C22">
      <w:pPr>
        <w:pStyle w:val="Body15"/>
        <w:rPr>
          <w:szCs w:val="20"/>
        </w:rPr>
      </w:pPr>
      <w:r w:rsidRPr="0043192C">
        <w:rPr>
          <w:szCs w:val="20"/>
        </w:rPr>
        <w:t xml:space="preserve">The SECURE Act left the defined contribution plan and IRA distribution options pertaining to a surviving spouse largely unchanged.  </w:t>
      </w:r>
      <w:r w:rsidRPr="0043192C">
        <w:rPr>
          <w:szCs w:val="20"/>
          <w:lang w:eastAsia="en-GB"/>
        </w:rPr>
        <w:t>As</w:t>
      </w:r>
      <w:r w:rsidRPr="0043192C">
        <w:rPr>
          <w:szCs w:val="20"/>
        </w:rPr>
        <w:t xml:space="preserve"> before, a surviving spouse may elect to treat a predeceased spouse’s IRA as her or his own, implement a spousal rollover or take plan or IRA distributions over her or his life expectancy as annually recalculated.  A surviving spouse may delay the start of distributions until the predeceased spouse would have reached age 72.</w:t>
      </w:r>
    </w:p>
    <w:p w:rsidR="00122279" w:rsidRDefault="00122279" w:rsidP="00902C22">
      <w:pPr>
        <w:pStyle w:val="Body15"/>
        <w:rPr>
          <w:szCs w:val="20"/>
        </w:rPr>
      </w:pPr>
      <w:r w:rsidRPr="0043192C">
        <w:rPr>
          <w:szCs w:val="20"/>
        </w:rPr>
        <w:t xml:space="preserve">Also left undisturbed by the SECURE Act are the RMD rules applicable when there is no DB.  In that case, if the employee </w:t>
      </w:r>
      <w:r w:rsidRPr="0043192C">
        <w:rPr>
          <w:szCs w:val="20"/>
          <w:lang w:eastAsia="en-GB"/>
        </w:rPr>
        <w:t>dies</w:t>
      </w:r>
      <w:r w:rsidRPr="0043192C">
        <w:rPr>
          <w:szCs w:val="20"/>
        </w:rPr>
        <w:t xml:space="preserve"> before reaching his or her RBD, all plan or IRA proceeds must be distributed by the end of the fifth year after the year of the employee’s death, and, if the employee dies on or after reaching his or her RBD, all plan or IRA proceeds must be distributed over the employee’s then remaining life expectancy without annual recalculation.</w:t>
      </w:r>
    </w:p>
    <w:p w:rsidR="00122279" w:rsidRPr="0043192C" w:rsidRDefault="00122279" w:rsidP="00902C22">
      <w:pPr>
        <w:pStyle w:val="Body15"/>
        <w:rPr>
          <w:szCs w:val="20"/>
        </w:rPr>
      </w:pPr>
      <w:r w:rsidRPr="0043192C">
        <w:rPr>
          <w:szCs w:val="20"/>
          <w:lang w:eastAsia="en-GB"/>
        </w:rPr>
        <w:t>However</w:t>
      </w:r>
      <w:r w:rsidRPr="0043192C">
        <w:rPr>
          <w:szCs w:val="20"/>
        </w:rPr>
        <w:t>, under the SECURE Act, if and only if a plan or IRA beneficiary is an EDB, he or she may receive plan or IRA proceeds over his or her life expectancy (but, unless such beneficiary is the employee’s surviving spouse, without annual recalculation).  If a plan or IRA beneficiary is a DB but not an EDB, that DB must take all plan or IRA proceeds by the end of the tenth year after the year of the employee’s death.  These provisions are effective with respect to plans and IRAs where the employee died or dies after December 31, 2019.</w:t>
      </w:r>
    </w:p>
    <w:p w:rsidR="00122279" w:rsidRPr="00B67570" w:rsidRDefault="00122279" w:rsidP="00122279">
      <w:pPr>
        <w:pStyle w:val="Heading3"/>
        <w:tabs>
          <w:tab w:val="clear" w:pos="2160"/>
          <w:tab w:val="num" w:pos="0"/>
        </w:tabs>
        <w:suppressAutoHyphens w:val="0"/>
        <w:spacing w:line="240" w:lineRule="auto"/>
        <w:jc w:val="both"/>
        <w:rPr>
          <w:bCs/>
          <w:szCs w:val="20"/>
        </w:rPr>
      </w:pPr>
      <w:bookmarkStart w:id="196" w:name="_Toc62114856"/>
      <w:bookmarkStart w:id="197" w:name="_Toc49868248"/>
      <w:r w:rsidRPr="00B67570">
        <w:rPr>
          <w:rStyle w:val="LeadInHeading3"/>
          <w:bCs/>
          <w:szCs w:val="20"/>
        </w:rPr>
        <w:t>Summary of Trust Planning Under SECURE Act</w:t>
      </w:r>
      <w:bookmarkEnd w:id="196"/>
      <w:bookmarkEnd w:id="197"/>
    </w:p>
    <w:p w:rsidR="00122279" w:rsidRPr="0043192C" w:rsidRDefault="00122279" w:rsidP="00902C22">
      <w:pPr>
        <w:pStyle w:val="Body15"/>
        <w:rPr>
          <w:szCs w:val="20"/>
        </w:rPr>
      </w:pPr>
      <w:r w:rsidRPr="0043192C">
        <w:rPr>
          <w:szCs w:val="20"/>
        </w:rPr>
        <w:t xml:space="preserve">A so-called “conduit trust” is a trust whose terms </w:t>
      </w:r>
      <w:r w:rsidRPr="00B67570">
        <w:rPr>
          <w:szCs w:val="20"/>
          <w:u w:val="single"/>
        </w:rPr>
        <w:t>mandate</w:t>
      </w:r>
      <w:r w:rsidRPr="0043192C">
        <w:rPr>
          <w:szCs w:val="20"/>
        </w:rPr>
        <w:t xml:space="preserve"> that any and all distributions the trust receives from a plan or IRA pursuant to the applicable beneficiary designation shall be immediately paid over to the current beneficiary.  A conduit trust is the </w:t>
      </w:r>
      <w:r w:rsidRPr="0043192C">
        <w:rPr>
          <w:szCs w:val="20"/>
          <w:lang w:eastAsia="en-GB"/>
        </w:rPr>
        <w:t>ultimate</w:t>
      </w:r>
      <w:r w:rsidRPr="0043192C">
        <w:rPr>
          <w:szCs w:val="20"/>
        </w:rPr>
        <w:t xml:space="preserve"> “see-through trust” because, when determining the amounts of RMDs distributable from a plan or IRA to the trust, one simply looks to the identity and age of the current beneficiary.</w:t>
      </w:r>
    </w:p>
    <w:p w:rsidR="00122279" w:rsidRDefault="00122279" w:rsidP="00902C22">
      <w:pPr>
        <w:pStyle w:val="Body15"/>
        <w:rPr>
          <w:szCs w:val="20"/>
        </w:rPr>
      </w:pPr>
      <w:r w:rsidRPr="0043192C">
        <w:rPr>
          <w:szCs w:val="20"/>
        </w:rPr>
        <w:t>If plan or IRA benefits are payable to a conduit trust for the benefit of the employee’s surviving spouse, those benefits may be paid over the annually recalculated life expectancy of the surviving spouse.  Following the death of the surviving spouse, any remaining benefits will have to be paid no later than the end of the tenth year after the year of death of the surviving spouse.</w:t>
      </w:r>
    </w:p>
    <w:p w:rsidR="00122279" w:rsidRDefault="00122279" w:rsidP="00902C22">
      <w:pPr>
        <w:pStyle w:val="Body15"/>
        <w:rPr>
          <w:szCs w:val="20"/>
        </w:rPr>
      </w:pPr>
      <w:r w:rsidRPr="0043192C">
        <w:rPr>
          <w:szCs w:val="20"/>
        </w:rPr>
        <w:t>If plan or IRA benefits are payable to a conduit trust for the benefit of a non-spousal EDB, those benefits may be paid over the life expectancy of the EDB without recalculation.  Following the death of the non-spousal EDB, any remaining benefits will have to be paid no later than the end of the tenth year after the year of such death.  The</w:t>
      </w:r>
      <w:r w:rsidRPr="00B67570">
        <w:rPr>
          <w:szCs w:val="20"/>
        </w:rPr>
        <w:t xml:space="preserve"> </w:t>
      </w:r>
      <w:r w:rsidRPr="00B67570">
        <w:rPr>
          <w:szCs w:val="20"/>
          <w:u w:val="single"/>
        </w:rPr>
        <w:t>major exception</w:t>
      </w:r>
      <w:r w:rsidRPr="00B67570">
        <w:rPr>
          <w:szCs w:val="20"/>
        </w:rPr>
        <w:t xml:space="preserve"> </w:t>
      </w:r>
      <w:r w:rsidRPr="0043192C">
        <w:rPr>
          <w:szCs w:val="20"/>
        </w:rPr>
        <w:t>to these rules, however, is that, if the non-spousal EDB is a minor child of the employee, the plan or IRA benefits payable to the conduit trust can no longer be paid over the EDB’s life expectancy (without recalculation) from and after the point when that child has reached majority.  From and after that time, any remaining benefits will have to be paid no later than the end of the tenth year after the year in which the child reached majority.</w:t>
      </w:r>
      <w:r w:rsidR="00C30651">
        <w:rPr>
          <w:szCs w:val="20"/>
        </w:rPr>
        <w:t xml:space="preserve">  </w:t>
      </w:r>
      <w:r w:rsidRPr="0043192C">
        <w:rPr>
          <w:szCs w:val="20"/>
        </w:rPr>
        <w:t>If plan or IRA benefits are payable to a conduit trust for the benefit of a DB who is not an EDB, those benefits will have to be paid no later than the end of the tenth year after the year of the employee’s death.</w:t>
      </w:r>
    </w:p>
    <w:p w:rsidR="00122279" w:rsidRDefault="00122279" w:rsidP="00902C22">
      <w:pPr>
        <w:pStyle w:val="Body15"/>
        <w:rPr>
          <w:szCs w:val="20"/>
        </w:rPr>
      </w:pPr>
      <w:r w:rsidRPr="0043192C">
        <w:rPr>
          <w:szCs w:val="20"/>
        </w:rPr>
        <w:t xml:space="preserve">A so-called “accumulation trust” is a “see-through trust” whose terms </w:t>
      </w:r>
      <w:r w:rsidRPr="00B67570">
        <w:rPr>
          <w:szCs w:val="20"/>
          <w:u w:val="single"/>
        </w:rPr>
        <w:t>do not require</w:t>
      </w:r>
      <w:r w:rsidRPr="0043192C">
        <w:rPr>
          <w:szCs w:val="20"/>
        </w:rPr>
        <w:t xml:space="preserve"> that any and all distributions the trust receives from a plan or IRA pursuant to the applicable beneficiary designation shall be paid over to any trust beneficiary at any particular time.</w:t>
      </w:r>
      <w:r w:rsidR="000D71EE">
        <w:rPr>
          <w:szCs w:val="20"/>
        </w:rPr>
        <w:t xml:space="preserve">  A see-through trust is one that is </w:t>
      </w:r>
      <w:r w:rsidR="000D71EE">
        <w:t xml:space="preserve">valid under state law, irrevocable, has identifiable, human beneficiaries and as to which certain documentation is provided to the plan or IRA custodian or trustee by October 31 of the year after the employee’s death.  </w:t>
      </w:r>
      <w:r w:rsidR="000D71EE" w:rsidRPr="000D71EE">
        <w:rPr>
          <w:u w:val="single"/>
        </w:rPr>
        <w:t>See</w:t>
      </w:r>
      <w:r w:rsidR="000D71EE">
        <w:t xml:space="preserve"> Treas. Reg. Section 1.401(a)(9)-4, A-5(b).</w:t>
      </w:r>
    </w:p>
    <w:p w:rsidR="00122279" w:rsidRPr="0043192C" w:rsidRDefault="00122279" w:rsidP="00902C22">
      <w:pPr>
        <w:pStyle w:val="Body15"/>
        <w:rPr>
          <w:szCs w:val="20"/>
        </w:rPr>
      </w:pPr>
      <w:r w:rsidRPr="0043192C">
        <w:rPr>
          <w:szCs w:val="20"/>
        </w:rPr>
        <w:t>In general, if plan or IRA benefits are payable to an accumulation trust, those benefits will have to be paid no later than the end of the tenth year after the year of the employee’s death.  The exceptions to this general rule are as follows:</w:t>
      </w:r>
    </w:p>
    <w:p w:rsidR="00122279" w:rsidRPr="0043192C" w:rsidRDefault="00122279" w:rsidP="00DD5B8E">
      <w:pPr>
        <w:pStyle w:val="BodyTextFirstIndent"/>
        <w:numPr>
          <w:ilvl w:val="0"/>
          <w:numId w:val="37"/>
        </w:numPr>
        <w:spacing w:after="240"/>
        <w:ind w:hanging="720"/>
        <w:jc w:val="both"/>
        <w:rPr>
          <w:szCs w:val="20"/>
        </w:rPr>
      </w:pPr>
      <w:r w:rsidRPr="0043192C">
        <w:rPr>
          <w:szCs w:val="20"/>
        </w:rPr>
        <w:t>If the accumulation trust is for the benefit of a disabled individual or a chronically ill individual, (two categories</w:t>
      </w:r>
      <w:r w:rsidR="000D71EE">
        <w:rPr>
          <w:szCs w:val="20"/>
        </w:rPr>
        <w:t xml:space="preserve"> of EDB as defined in amended s</w:t>
      </w:r>
      <w:r w:rsidRPr="0043192C">
        <w:rPr>
          <w:rFonts w:cstheme="minorHAnsi"/>
          <w:szCs w:val="20"/>
        </w:rPr>
        <w:t>ection</w:t>
      </w:r>
      <w:r w:rsidRPr="0043192C">
        <w:rPr>
          <w:szCs w:val="20"/>
        </w:rPr>
        <w:t xml:space="preserve"> 401(a)(9)(E)) and has multiple beneficiaries, it is an “applicable multi-beneficiary trust” (“AMBT”).  Plan or IRA benefits payable to an AMBT may be paid using the life expectancy method, but it is not entirely clear whether the measuring life is that of the disabled or chronically ill individual or another beneficiary.</w:t>
      </w:r>
    </w:p>
    <w:p w:rsidR="00122279" w:rsidRPr="0043192C" w:rsidRDefault="00122279" w:rsidP="00DD5B8E">
      <w:pPr>
        <w:pStyle w:val="BodyTextFirstIndent"/>
        <w:numPr>
          <w:ilvl w:val="0"/>
          <w:numId w:val="37"/>
        </w:numPr>
        <w:spacing w:after="240"/>
        <w:ind w:hanging="720"/>
        <w:jc w:val="both"/>
        <w:rPr>
          <w:szCs w:val="20"/>
        </w:rPr>
      </w:pPr>
      <w:r w:rsidRPr="0043192C">
        <w:rPr>
          <w:szCs w:val="20"/>
        </w:rPr>
        <w:t>If one or more beneficiaries of the accumulation trust are non-DBs:</w:t>
      </w:r>
    </w:p>
    <w:p w:rsidR="00122279" w:rsidRPr="0043192C" w:rsidRDefault="00122279" w:rsidP="00DD5B8E">
      <w:pPr>
        <w:pStyle w:val="BodyTextFirstIndent"/>
        <w:numPr>
          <w:ilvl w:val="1"/>
          <w:numId w:val="37"/>
        </w:numPr>
        <w:spacing w:after="240"/>
        <w:ind w:hanging="720"/>
        <w:jc w:val="both"/>
        <w:rPr>
          <w:szCs w:val="20"/>
        </w:rPr>
      </w:pPr>
      <w:r w:rsidRPr="0043192C">
        <w:rPr>
          <w:szCs w:val="20"/>
        </w:rPr>
        <w:t>If the employee dies before his or her RBD, plan or IRA benefits will have to be paid no later than the end of the fifth year after the year of the employee’s death.</w:t>
      </w:r>
    </w:p>
    <w:p w:rsidR="00122279" w:rsidRPr="0043192C" w:rsidRDefault="00122279" w:rsidP="00DD5B8E">
      <w:pPr>
        <w:pStyle w:val="BodyText"/>
        <w:numPr>
          <w:ilvl w:val="1"/>
          <w:numId w:val="37"/>
        </w:numPr>
        <w:spacing w:after="240"/>
        <w:ind w:right="0" w:hanging="810"/>
        <w:jc w:val="both"/>
        <w:rPr>
          <w:sz w:val="20"/>
          <w:szCs w:val="20"/>
        </w:rPr>
      </w:pPr>
      <w:r w:rsidRPr="0043192C">
        <w:rPr>
          <w:sz w:val="20"/>
          <w:szCs w:val="20"/>
        </w:rPr>
        <w:t>If the employee dies on or after his or her RBD, plan or IRA benefits may be paid over the employee’s then remaining life expectancy without recalculation.</w:t>
      </w:r>
    </w:p>
    <w:p w:rsidR="000A2602" w:rsidRPr="000A2602" w:rsidRDefault="00122279" w:rsidP="000A2602">
      <w:pPr>
        <w:pStyle w:val="Heading20"/>
        <w:tabs>
          <w:tab w:val="left" w:pos="1440"/>
        </w:tabs>
        <w:ind w:left="0"/>
        <w:rPr>
          <w:vanish/>
          <w:specVanish/>
        </w:rPr>
      </w:pPr>
      <w:bookmarkStart w:id="198" w:name="_Toc62114857"/>
      <w:bookmarkStart w:id="199" w:name="_Toc94704639"/>
      <w:r w:rsidRPr="000A2602">
        <w:rPr>
          <w:rFonts w:eastAsiaTheme="majorEastAsia"/>
          <w:b/>
          <w:bCs/>
          <w:u w:val="single"/>
        </w:rPr>
        <w:t>Waiver of 2020 Required Minimum Distributions</w:t>
      </w:r>
      <w:bookmarkEnd w:id="198"/>
      <w:bookmarkEnd w:id="199"/>
    </w:p>
    <w:p w:rsidR="00122279" w:rsidRPr="0043192C" w:rsidRDefault="00B67570" w:rsidP="000A2602">
      <w:pPr>
        <w:pStyle w:val="Heading2Body"/>
      </w:pPr>
      <w:r w:rsidRPr="000A2602">
        <w:rPr>
          <w:rFonts w:eastAsiaTheme="majorEastAsia"/>
          <w:b/>
        </w:rPr>
        <w:t>.</w:t>
      </w:r>
      <w:r w:rsidR="000A2602" w:rsidRPr="000A2602">
        <w:rPr>
          <w:rFonts w:eastAsiaTheme="majorEastAsia"/>
          <w:b/>
        </w:rPr>
        <w:t xml:space="preserve">  </w:t>
      </w:r>
      <w:r w:rsidR="00122279" w:rsidRPr="0043192C">
        <w:t>The CARES Act (the “Coronavirus Aid, Relief and Economic Security Act”), signed by the President on March 27, 2020, includes a provision (Sec</w:t>
      </w:r>
      <w:r w:rsidR="00C30651">
        <w:t>tion 2203, amending s</w:t>
      </w:r>
      <w:r w:rsidR="00122279" w:rsidRPr="000A2602">
        <w:rPr>
          <w:rFonts w:cstheme="minorHAnsi"/>
        </w:rPr>
        <w:t>ections</w:t>
      </w:r>
      <w:r w:rsidR="00122279" w:rsidRPr="0043192C">
        <w:t xml:space="preserve"> 401(a)(9) &amp; 402(c)(4)) granting a waiver of any and all defined contribution plan and IRA RMDs that, in the absence of the waiver, would have been required in 2020.  Thus, amounts that would have been mandated RMDs for 2020 (even for those who reached age 70½ in 2019 and so would have been required to take two RMDs in 2020) were permitted instead to remain inside the plan or IRA in 2020 and continue to generate tax-deferred investment return.</w:t>
      </w:r>
    </w:p>
    <w:p w:rsidR="00122279" w:rsidRPr="0043192C" w:rsidRDefault="00122279" w:rsidP="00902C22">
      <w:pPr>
        <w:pStyle w:val="Body15"/>
        <w:rPr>
          <w:szCs w:val="20"/>
        </w:rPr>
      </w:pPr>
      <w:bookmarkStart w:id="200" w:name="_Toc49868250"/>
      <w:bookmarkStart w:id="201" w:name="_Toc49868147"/>
      <w:r w:rsidRPr="0043192C">
        <w:rPr>
          <w:szCs w:val="20"/>
        </w:rPr>
        <w:t xml:space="preserve">On June 23, 2020, the IRS issued Notice 2020-51.  Notice 2020-51 explicitly allows a recipient of a RMD in 2020 to roll it over – essentially reversing the transaction and its </w:t>
      </w:r>
      <w:r w:rsidRPr="0043192C">
        <w:rPr>
          <w:szCs w:val="20"/>
          <w:lang w:eastAsia="en-GB"/>
        </w:rPr>
        <w:t>otherwise</w:t>
      </w:r>
      <w:r w:rsidRPr="0043192C">
        <w:rPr>
          <w:szCs w:val="20"/>
        </w:rPr>
        <w:t xml:space="preserve"> applicable tax consequences.</w:t>
      </w:r>
      <w:bookmarkEnd w:id="200"/>
      <w:bookmarkEnd w:id="201"/>
      <w:r w:rsidRPr="0043192C">
        <w:rPr>
          <w:szCs w:val="20"/>
        </w:rPr>
        <w:t xml:space="preserve"> </w:t>
      </w:r>
    </w:p>
    <w:p w:rsidR="00122279" w:rsidRPr="0043192C" w:rsidRDefault="00122279" w:rsidP="00902C22">
      <w:pPr>
        <w:pStyle w:val="Body15"/>
        <w:rPr>
          <w:szCs w:val="20"/>
        </w:rPr>
      </w:pPr>
      <w:bookmarkStart w:id="202" w:name="_Toc49868251"/>
      <w:bookmarkStart w:id="203" w:name="_Toc49868148"/>
      <w:r w:rsidRPr="0043192C">
        <w:rPr>
          <w:szCs w:val="20"/>
        </w:rPr>
        <w:t>The timing of enactment of the CARES Act in relation to the 2020 RMD waiver it granted, however, created a dilemma for those employees who wanted to take advantage of the waiver but at the time of enactment or shortly thereafter had already taken their 2020 RMD and allowed sixty days to pass.  To alleviate this problem, Notice 2020-51 also expanded the usual sixty-day rollover period so that any RMD received in 2020, regardless of when received in 2020, could be rolled over until August 31, 2020, at the earliest.</w:t>
      </w:r>
      <w:bookmarkEnd w:id="202"/>
      <w:bookmarkEnd w:id="203"/>
    </w:p>
    <w:p w:rsidR="00122279" w:rsidRPr="0043192C" w:rsidRDefault="00122279" w:rsidP="00902C22">
      <w:pPr>
        <w:pStyle w:val="Body15"/>
        <w:rPr>
          <w:szCs w:val="20"/>
        </w:rPr>
      </w:pPr>
      <w:bookmarkStart w:id="204" w:name="_Toc49868252"/>
      <w:bookmarkStart w:id="205" w:name="_Toc49868149"/>
      <w:r w:rsidRPr="0043192C">
        <w:rPr>
          <w:szCs w:val="20"/>
        </w:rPr>
        <w:t>Other important provisions of the CARES Act include Section 2202,</w:t>
      </w:r>
      <w:r w:rsidR="00C30651">
        <w:rPr>
          <w:szCs w:val="20"/>
        </w:rPr>
        <w:t xml:space="preserve"> </w:t>
      </w:r>
      <w:r w:rsidR="00C30651">
        <w:rPr>
          <w:szCs w:val="20"/>
          <w:lang w:eastAsia="en-GB"/>
        </w:rPr>
        <w:t>amending</w:t>
      </w:r>
      <w:r w:rsidR="00C30651">
        <w:rPr>
          <w:szCs w:val="20"/>
        </w:rPr>
        <w:t xml:space="preserve"> s</w:t>
      </w:r>
      <w:r w:rsidRPr="0043192C">
        <w:rPr>
          <w:rFonts w:cstheme="minorHAnsi"/>
          <w:szCs w:val="20"/>
        </w:rPr>
        <w:t>ection</w:t>
      </w:r>
      <w:r w:rsidRPr="0043192C">
        <w:rPr>
          <w:szCs w:val="20"/>
        </w:rPr>
        <w:t xml:space="preserve"> 72, which allowed the following:</w:t>
      </w:r>
      <w:bookmarkEnd w:id="204"/>
      <w:bookmarkEnd w:id="205"/>
    </w:p>
    <w:p w:rsidR="00122279" w:rsidRPr="001401C7" w:rsidRDefault="00122279" w:rsidP="00DD5B8E">
      <w:pPr>
        <w:numPr>
          <w:ilvl w:val="0"/>
          <w:numId w:val="38"/>
        </w:numPr>
        <w:spacing w:after="240"/>
        <w:ind w:hanging="720"/>
        <w:jc w:val="both"/>
        <w:outlineLvl w:val="2"/>
        <w:rPr>
          <w:b/>
          <w:i/>
          <w:color w:val="000000" w:themeColor="text1"/>
          <w:szCs w:val="20"/>
        </w:rPr>
      </w:pPr>
      <w:bookmarkStart w:id="206" w:name="_Toc49868253"/>
      <w:bookmarkStart w:id="207" w:name="_Toc49868150"/>
      <w:r w:rsidRPr="001401C7">
        <w:rPr>
          <w:color w:val="000000" w:themeColor="text1"/>
          <w:szCs w:val="20"/>
        </w:rPr>
        <w:t>A “qualified individual” could receive in-service “coronavirus-related distributions” from a plan or IRA of up to $100,000.00 from January 1, 2020 through December 30, 2020 without being subject to the 10% early distribution penalty if the recipient was under age 59½ and with the options to elect ratable income taxation of the amount distributed over a three-year period or to repay to the plan or IRA within three years the amount distributed as if the repayment were validly rolled-over in a trustee-to-trustee transfer within sixty days of the distribution.</w:t>
      </w:r>
      <w:bookmarkEnd w:id="206"/>
      <w:bookmarkEnd w:id="207"/>
      <w:r w:rsidR="00C30651" w:rsidRPr="001401C7">
        <w:rPr>
          <w:color w:val="000000" w:themeColor="text1"/>
          <w:szCs w:val="20"/>
        </w:rPr>
        <w:t xml:space="preserve">  Qualified individuals are those who </w:t>
      </w:r>
      <w:r w:rsidR="00C30651" w:rsidRPr="001401C7">
        <w:rPr>
          <w:color w:val="000000" w:themeColor="text1"/>
        </w:rPr>
        <w:t>is diagnosed with SARS-CoV-2 or COVID-19, whose spouse or a dependent diagnosed with SARS-CoV-2 or COVID-19 or who e</w:t>
      </w:r>
      <w:r w:rsidR="00C30651" w:rsidRPr="001401C7">
        <w:rPr>
          <w:color w:val="000000" w:themeColor="text1"/>
          <w:shd w:val="clear" w:color="auto" w:fill="FEFEFE"/>
        </w:rPr>
        <w:t>xperiences adverse financial consequences from being quarantined, furloughed or laid off, having work hours reduced, being unable to work due to lack of child care or closing or reducing the hours of a business owned or operated by such individual.  This was an expansive group.</w:t>
      </w:r>
    </w:p>
    <w:p w:rsidR="00122279" w:rsidRPr="001401C7" w:rsidRDefault="00122279" w:rsidP="00DD5B8E">
      <w:pPr>
        <w:numPr>
          <w:ilvl w:val="0"/>
          <w:numId w:val="38"/>
        </w:numPr>
        <w:spacing w:after="240"/>
        <w:ind w:hanging="720"/>
        <w:jc w:val="both"/>
        <w:outlineLvl w:val="2"/>
        <w:rPr>
          <w:b/>
          <w:bCs w:val="0"/>
          <w:i/>
          <w:color w:val="000000" w:themeColor="text1"/>
          <w:szCs w:val="20"/>
        </w:rPr>
      </w:pPr>
      <w:bookmarkStart w:id="208" w:name="_Toc49868254"/>
      <w:bookmarkStart w:id="209" w:name="_Toc49868151"/>
      <w:r w:rsidRPr="001401C7">
        <w:rPr>
          <w:color w:val="000000" w:themeColor="text1"/>
          <w:szCs w:val="20"/>
        </w:rPr>
        <w:t xml:space="preserve">A qualified individual could receive loans from a qualified plan of up to $100,000.00 or the employee’s nonforfeitable, accrued benefit (an increase in the loan limit from $50,000 or one-half of the employee’s nonforfeitable, accrued benefit) through September 22, 2020.  </w:t>
      </w:r>
      <w:r w:rsidR="00B03698" w:rsidRPr="001401C7">
        <w:rPr>
          <w:color w:val="000000" w:themeColor="text1"/>
          <w:szCs w:val="20"/>
          <w:u w:val="single"/>
        </w:rPr>
        <w:t>See</w:t>
      </w:r>
      <w:r w:rsidR="00B03698" w:rsidRPr="001401C7">
        <w:rPr>
          <w:color w:val="000000" w:themeColor="text1"/>
          <w:szCs w:val="20"/>
        </w:rPr>
        <w:t xml:space="preserve"> </w:t>
      </w:r>
      <w:r w:rsidR="00B03698" w:rsidRPr="001401C7">
        <w:rPr>
          <w:color w:val="000000" w:themeColor="text1"/>
        </w:rPr>
        <w:t xml:space="preserve">IRS Notice 2020-50.  </w:t>
      </w:r>
      <w:r w:rsidRPr="001401C7">
        <w:rPr>
          <w:color w:val="000000" w:themeColor="text1"/>
          <w:szCs w:val="20"/>
        </w:rPr>
        <w:t>A plan sponsor may delay a qualified individual’s loan repayment obligation for one year.  Subsequent repayments with respect to any such loan are required to be adjusted to reflect that delay and any interest accruing during that delay.</w:t>
      </w:r>
      <w:bookmarkEnd w:id="208"/>
      <w:bookmarkEnd w:id="209"/>
    </w:p>
    <w:p w:rsidR="00E52521" w:rsidRPr="00E52521" w:rsidRDefault="004C6E3C" w:rsidP="004C6E3C">
      <w:pPr>
        <w:pStyle w:val="Heading20"/>
        <w:tabs>
          <w:tab w:val="left" w:pos="1440"/>
        </w:tabs>
        <w:ind w:left="0"/>
        <w:rPr>
          <w:rFonts w:eastAsiaTheme="majorEastAsia"/>
          <w:bCs/>
          <w:vanish/>
          <w:specVanish/>
        </w:rPr>
      </w:pPr>
      <w:bookmarkStart w:id="210" w:name="_Toc94704640"/>
      <w:r>
        <w:rPr>
          <w:rFonts w:eastAsiaTheme="majorEastAsia"/>
          <w:b/>
          <w:bCs/>
          <w:u w:val="single"/>
        </w:rPr>
        <w:t>Transfer to Inherited IRA Denied</w:t>
      </w:r>
      <w:bookmarkEnd w:id="210"/>
    </w:p>
    <w:p w:rsidR="004C6E3C" w:rsidRPr="004C6E3C" w:rsidRDefault="004C6E3C" w:rsidP="00E52521">
      <w:pPr>
        <w:pStyle w:val="Heading2Body"/>
        <w:rPr>
          <w:rFonts w:eastAsiaTheme="majorEastAsia"/>
        </w:rPr>
      </w:pPr>
      <w:r>
        <w:rPr>
          <w:rFonts w:eastAsiaTheme="majorEastAsia"/>
        </w:rPr>
        <w:t xml:space="preserve">.  A taxpayer ended up in a bad situation in PLR 202125007. </w:t>
      </w:r>
      <w:r w:rsidR="001401C7">
        <w:rPr>
          <w:rFonts w:eastAsiaTheme="majorEastAsia"/>
        </w:rPr>
        <w:t xml:space="preserve"> The facts were straightforward:</w:t>
      </w:r>
    </w:p>
    <w:p w:rsidR="00E52521" w:rsidRDefault="004C6E3C" w:rsidP="004C6E3C">
      <w:pPr>
        <w:pStyle w:val="QS10"/>
      </w:pPr>
      <w:r>
        <w:t xml:space="preserve">You represent that in Year 1, within months after Decedent A’s death, the custodian of IRA X advised Trust T’s trustees that they could not trade stocks in IRA X and that the assets of IRA X would have to be transferred to another account in order to trade stocks. Following the custodian’s advice, Trust T’s trustees transferred substantially all of IRA X’s assets to a non-IRA account held by the custodian for the benefit of Trust T. </w:t>
      </w:r>
    </w:p>
    <w:p w:rsidR="004C6E3C" w:rsidRPr="004C6E3C" w:rsidRDefault="004C6E3C" w:rsidP="004C6E3C">
      <w:pPr>
        <w:pStyle w:val="QS10"/>
        <w:rPr>
          <w:rFonts w:eastAsiaTheme="majorEastAsia"/>
          <w:bCs/>
        </w:rPr>
      </w:pPr>
      <w:r>
        <w:t>Several months have passed since the transfer of IRA X’s assets to the non-IRA account. You request that the transfer be permitted to be reversed, so that the assets in the nonIRA account may be transferred to an inherited IRA account for the benefit of Trust T.</w:t>
      </w:r>
    </w:p>
    <w:p w:rsidR="004C6E3C" w:rsidRDefault="004C6E3C" w:rsidP="004C6E3C">
      <w:pPr>
        <w:pStyle w:val="Body15"/>
        <w:rPr>
          <w:rFonts w:eastAsiaTheme="majorEastAsia"/>
          <w:bCs/>
        </w:rPr>
      </w:pPr>
      <w:r>
        <w:rPr>
          <w:rFonts w:eastAsiaTheme="majorEastAsia"/>
          <w:bCs/>
        </w:rPr>
        <w:t>The IRS said no.  The ruling states:</w:t>
      </w:r>
    </w:p>
    <w:p w:rsidR="00E52521" w:rsidRDefault="00E52521" w:rsidP="00E52521">
      <w:pPr>
        <w:pStyle w:val="QS10"/>
      </w:pPr>
      <w:r>
        <w:t>Assets in an inherited IRA for the benefit of a trust are not permitted to be rolled over under section 408(d)(3). The only permitted method of transferring assets from an inherited IRA to another inherited IRA is via a trustee-to</w:t>
      </w:r>
      <w:r w:rsidR="000E21EC">
        <w:t>-</w:t>
      </w:r>
      <w:r>
        <w:t xml:space="preserve">trustee transfer, which requires a direct transfer from one IRA to another IRA. Therefore, once the assets have been distributed from an inherited IRA, there is no permitted method of transferring them back into an IRA. In this case, the assets of IRA X were transferred to a non-IRA account. Accordingly, the assets may not now be transferred to an IRA account. </w:t>
      </w:r>
    </w:p>
    <w:p w:rsidR="00E52521" w:rsidRDefault="00E52521" w:rsidP="00E52521">
      <w:pPr>
        <w:pStyle w:val="QS10"/>
      </w:pPr>
      <w:r>
        <w:t xml:space="preserve">With regard to your second ruling request, section 408(d) provides that, except with respect to investment in the contract, assets distributed out of an inherited IRA are included in gross income. Accordingly, Trust T will be required to include in gross income for Year 1, the year in which the distribution from IRA X occurred, any portion of the amounts transferred from IRA X that is not investment in the contract. </w:t>
      </w:r>
    </w:p>
    <w:p w:rsidR="004C6E3C" w:rsidRPr="004C6E3C" w:rsidRDefault="00E52521" w:rsidP="00E52521">
      <w:pPr>
        <w:pStyle w:val="QS10"/>
        <w:rPr>
          <w:rFonts w:eastAsiaTheme="majorEastAsia"/>
          <w:bCs/>
        </w:rPr>
      </w:pPr>
      <w:r>
        <w:t>With regard to your third ruling request, as also set forth in the first ruling, Trust T may not transfer IRA X’s assets currently held in the non-IRA account into any IRA account.</w:t>
      </w:r>
    </w:p>
    <w:p w:rsidR="00485DB9" w:rsidRPr="00454670" w:rsidRDefault="00856D6A">
      <w:pPr>
        <w:pStyle w:val="Heading1"/>
        <w:rPr>
          <w:color w:val="000000"/>
        </w:rPr>
      </w:pPr>
      <w:bookmarkStart w:id="211" w:name="_Toc168206569"/>
      <w:bookmarkStart w:id="212" w:name="_Toc168218205"/>
      <w:bookmarkStart w:id="213" w:name="_Toc231154863"/>
      <w:bookmarkStart w:id="214" w:name="_Toc295129788"/>
      <w:bookmarkStart w:id="215" w:name="_Toc295132401"/>
      <w:bookmarkStart w:id="216" w:name="_Toc295133918"/>
      <w:bookmarkStart w:id="217" w:name="_Toc295133953"/>
      <w:bookmarkStart w:id="218" w:name="_Toc295136482"/>
      <w:bookmarkStart w:id="219" w:name="_Toc297645086"/>
      <w:bookmarkStart w:id="220" w:name="_Toc297647157"/>
      <w:bookmarkStart w:id="221" w:name="_Toc297728340"/>
      <w:bookmarkStart w:id="222" w:name="_Toc297732797"/>
      <w:bookmarkStart w:id="223" w:name="_Toc298255190"/>
      <w:bookmarkStart w:id="224" w:name="_Toc298316764"/>
      <w:bookmarkStart w:id="225" w:name="_Toc298334609"/>
      <w:bookmarkStart w:id="226" w:name="_Toc298338107"/>
      <w:bookmarkStart w:id="227" w:name="_Toc301364445"/>
      <w:bookmarkStart w:id="228" w:name="_Toc302465905"/>
      <w:bookmarkStart w:id="229" w:name="_Toc303094280"/>
      <w:bookmarkStart w:id="230" w:name="_Toc303172874"/>
      <w:bookmarkStart w:id="231" w:name="_Toc303181204"/>
      <w:bookmarkStart w:id="232" w:name="_Toc321753613"/>
      <w:bookmarkStart w:id="233" w:name="_Toc322015784"/>
      <w:bookmarkStart w:id="234" w:name="_Toc322015963"/>
      <w:bookmarkStart w:id="235" w:name="_Toc322016501"/>
      <w:bookmarkStart w:id="236" w:name="_Toc376946755"/>
      <w:bookmarkStart w:id="237" w:name="_Toc376947602"/>
      <w:bookmarkStart w:id="238" w:name="_Toc376948396"/>
      <w:bookmarkStart w:id="239" w:name="_Toc376949190"/>
      <w:bookmarkStart w:id="240" w:name="_Toc94704641"/>
      <w:r w:rsidRPr="00454670">
        <w:rPr>
          <w:color w:val="000000"/>
        </w:rPr>
        <w:t>SECTIONS</w:t>
      </w:r>
      <w:r w:rsidR="00C64050">
        <w:rPr>
          <w:color w:val="000000"/>
        </w:rPr>
        <w:t xml:space="preserve"> </w:t>
      </w:r>
      <w:r w:rsidRPr="00454670">
        <w:rPr>
          <w:color w:val="000000"/>
        </w:rPr>
        <w:t>671-678</w:t>
      </w:r>
      <w:r w:rsidR="00C64050">
        <w:rPr>
          <w:color w:val="000000"/>
        </w:rPr>
        <w:t xml:space="preserve"> </w:t>
      </w:r>
      <w:r w:rsidRPr="00454670">
        <w:rPr>
          <w:color w:val="000000"/>
        </w:rPr>
        <w:t>--</w:t>
      </w:r>
      <w:r w:rsidR="00C64050">
        <w:rPr>
          <w:color w:val="000000"/>
        </w:rPr>
        <w:t xml:space="preserve"> </w:t>
      </w:r>
      <w:r w:rsidRPr="00454670">
        <w:rPr>
          <w:color w:val="000000"/>
        </w:rPr>
        <w:t>GRANTOR</w:t>
      </w:r>
      <w:r w:rsidR="00C64050">
        <w:rPr>
          <w:color w:val="000000"/>
        </w:rPr>
        <w:t xml:space="preserve"> </w:t>
      </w:r>
      <w:r w:rsidRPr="00454670">
        <w:rPr>
          <w:color w:val="000000"/>
        </w:rPr>
        <w:t>TRUST</w:t>
      </w:r>
      <w:r w:rsidR="00C64050">
        <w:rPr>
          <w:color w:val="000000"/>
        </w:rPr>
        <w:t xml:space="preserve"> </w:t>
      </w:r>
      <w:r w:rsidRPr="00454670">
        <w:rPr>
          <w:color w:val="000000"/>
        </w:rPr>
        <w:t>RULES</w:t>
      </w:r>
      <w:bookmarkStart w:id="241" w:name="_Toc168206571"/>
      <w:bookmarkStart w:id="242" w:name="_Toc168218208"/>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9C5E3F" w:rsidRPr="002302AE" w:rsidRDefault="00B03698" w:rsidP="002F1597">
      <w:pPr>
        <w:pStyle w:val="Heading20"/>
        <w:numPr>
          <w:ilvl w:val="1"/>
          <w:numId w:val="10"/>
        </w:numPr>
        <w:tabs>
          <w:tab w:val="clear" w:pos="2700"/>
        </w:tabs>
        <w:ind w:left="0"/>
        <w:rPr>
          <w:b/>
          <w:vanish/>
          <w:lang w:eastAsia="en-GB"/>
          <w:specVanish/>
        </w:rPr>
      </w:pPr>
      <w:bookmarkStart w:id="243" w:name="_Toc94704642"/>
      <w:r>
        <w:rPr>
          <w:b/>
          <w:u w:val="single"/>
          <w:lang w:eastAsia="en-GB"/>
        </w:rPr>
        <w:t>Section 678 and a Presently Exercisable General Power of Appointment As A Planning Device</w:t>
      </w:r>
      <w:bookmarkEnd w:id="243"/>
    </w:p>
    <w:p w:rsidR="00127398" w:rsidRPr="00127398" w:rsidRDefault="00204512" w:rsidP="007436A5">
      <w:pPr>
        <w:pStyle w:val="Heading2Body"/>
        <w:divId w:val="740101842"/>
        <w:rPr>
          <w:szCs w:val="20"/>
        </w:rPr>
      </w:pPr>
      <w:r>
        <w:t>.</w:t>
      </w:r>
      <w:r w:rsidR="00C64050">
        <w:t xml:space="preserve"> </w:t>
      </w:r>
      <w:r w:rsidR="00127398" w:rsidRPr="00127398">
        <w:rPr>
          <w:szCs w:val="20"/>
        </w:rPr>
        <w:t>Section 678 provides:</w:t>
      </w:r>
    </w:p>
    <w:p w:rsidR="00127398" w:rsidRPr="00127398" w:rsidRDefault="00127398" w:rsidP="00127398">
      <w:pPr>
        <w:pStyle w:val="QS10"/>
        <w:divId w:val="740101842"/>
        <w:rPr>
          <w:szCs w:val="20"/>
        </w:rPr>
      </w:pPr>
      <w:r w:rsidRPr="00127398">
        <w:rPr>
          <w:szCs w:val="20"/>
        </w:rPr>
        <w:t>(a) General Rule. —A person other than the grantor shall be treated as the owner of any portion of a trust with respect to which:</w:t>
      </w:r>
    </w:p>
    <w:p w:rsidR="00127398" w:rsidRPr="00127398" w:rsidRDefault="00127398" w:rsidP="00127398">
      <w:pPr>
        <w:pStyle w:val="QS10"/>
        <w:ind w:left="2160"/>
        <w:divId w:val="740101842"/>
        <w:rPr>
          <w:szCs w:val="20"/>
        </w:rPr>
      </w:pPr>
      <w:r w:rsidRPr="00127398">
        <w:rPr>
          <w:szCs w:val="20"/>
        </w:rPr>
        <w:t xml:space="preserve">(1) such person has a power exercisable solely by himself to vest the corpus </w:t>
      </w:r>
      <w:r w:rsidRPr="00127398">
        <w:rPr>
          <w:szCs w:val="20"/>
          <w:u w:val="single"/>
        </w:rPr>
        <w:t>or the income therefrom</w:t>
      </w:r>
      <w:r w:rsidRPr="00127398">
        <w:rPr>
          <w:szCs w:val="20"/>
        </w:rPr>
        <w:t xml:space="preserve"> in himself, or</w:t>
      </w:r>
    </w:p>
    <w:p w:rsidR="00127398" w:rsidRPr="00127398" w:rsidRDefault="00127398" w:rsidP="00127398">
      <w:pPr>
        <w:pStyle w:val="QS10"/>
        <w:ind w:left="2160"/>
        <w:divId w:val="740101842"/>
        <w:rPr>
          <w:szCs w:val="20"/>
        </w:rPr>
      </w:pPr>
      <w:r w:rsidRPr="00127398">
        <w:rPr>
          <w:szCs w:val="20"/>
        </w:rPr>
        <w:t>(2) such person has previously partially released or otherwise modified such a power and after the release or modification retains such control as would, within the principles of sections 671 to 677, inclusive, subject a grantor of a trust to treatment as the owner thereof.</w:t>
      </w:r>
    </w:p>
    <w:p w:rsidR="00127398" w:rsidRPr="00127398" w:rsidRDefault="00127398" w:rsidP="00127398">
      <w:pPr>
        <w:pStyle w:val="QS10"/>
        <w:divId w:val="740101842"/>
        <w:rPr>
          <w:szCs w:val="20"/>
        </w:rPr>
      </w:pPr>
      <w:r w:rsidRPr="00127398">
        <w:rPr>
          <w:szCs w:val="20"/>
        </w:rPr>
        <w:t>(b) Exception Where Grantor Is Taxable. Subsection (a) shall not apply with respect to a power over income, as originally granted or thereafter modified, if the grantor of the trust or a transferor (to whom section 679 applies) is otherwise treated as the owner under the provisions of this subpart other than this section.</w:t>
      </w:r>
    </w:p>
    <w:p w:rsidR="00127398" w:rsidRPr="00127398" w:rsidRDefault="00127398" w:rsidP="00127398">
      <w:pPr>
        <w:pStyle w:val="QS10"/>
        <w:divId w:val="740101842"/>
        <w:rPr>
          <w:szCs w:val="20"/>
        </w:rPr>
      </w:pPr>
      <w:r w:rsidRPr="00127398">
        <w:rPr>
          <w:szCs w:val="20"/>
        </w:rPr>
        <w:t>[emphasis added]</w:t>
      </w:r>
    </w:p>
    <w:p w:rsidR="00127398" w:rsidRPr="00127398" w:rsidRDefault="00127398" w:rsidP="002A253D">
      <w:pPr>
        <w:pStyle w:val="Body15"/>
        <w:divId w:val="740101842"/>
        <w:rPr>
          <w:szCs w:val="20"/>
        </w:rPr>
      </w:pPr>
      <w:r w:rsidRPr="00127398">
        <w:rPr>
          <w:szCs w:val="20"/>
          <w:lang w:eastAsia="en-GB"/>
        </w:rPr>
        <w:t xml:space="preserve">Section 678(a)(2) has long been the basis for estate tax planning: a parent contributes $5000 to a trust that gives the child a 30 day withdrawal right and gives the child other powers that would have made the trust a grantor trust if the child had contributed the $5000 to the trust.  The child would appear to be the owner of the entire trust (assuming that parent has no rights in the trust that would make the parent the grantor) and thus Rev. Rul. 85-13 would treat the child and the trust as the same taxpayer.  Such trusts are often referred to as BDITs – Beneficiary Deemed Inheritor’s Trusts – and have been the subject of wide discussion and controversy.  See, e.g., </w:t>
      </w:r>
      <w:r w:rsidRPr="00127398">
        <w:rPr>
          <w:szCs w:val="20"/>
        </w:rPr>
        <w:t>Jerome M. Hesch, Lawrence Brody, Richard A. Oshins &amp; Susan P. Rounds,</w:t>
      </w:r>
      <w:r w:rsidRPr="00127398">
        <w:rPr>
          <w:i/>
          <w:iCs/>
          <w:szCs w:val="20"/>
        </w:rPr>
        <w:t xml:space="preserve"> A Gift From Above: Estate Planning on a Higher Plane — The Unique Design of a BDIT Minimizes — Even Eliminates — Many Tax and Non-Tax Problems</w:t>
      </w:r>
      <w:r w:rsidRPr="00127398">
        <w:rPr>
          <w:szCs w:val="20"/>
        </w:rPr>
        <w:t>, 150 Tr. &amp; Est. 17 (Nov. 2011); but also Rev. Proc. 2021-3, Section 4 (42) which provides:</w:t>
      </w:r>
    </w:p>
    <w:p w:rsidR="00127398" w:rsidRPr="00127398" w:rsidRDefault="00127398" w:rsidP="00127398">
      <w:pPr>
        <w:pStyle w:val="QS10"/>
        <w:divId w:val="740101842"/>
        <w:rPr>
          <w:szCs w:val="20"/>
        </w:rPr>
      </w:pPr>
      <w:r w:rsidRPr="00127398">
        <w:rPr>
          <w:szCs w:val="20"/>
        </w:rPr>
        <w:t>(42) Section 678.—Person Other than Grantor Treated as Substantial Owner.— Whether a person will be treated as the owner of any portion of a trust over which that person has a power to withdraw the trust property (or had such power prior to a release or modification, but retains other powers which would cause that person to be the owner of the trust under § 671 if the person were the grantor), other than a power which would constitute a general power of appointment within the meaning of § 2041. if the trust purchases the property from that person with a note and the value of the assets with which the trust was funded by the grantor is nominal compared to the value of the property purchased.</w:t>
      </w:r>
    </w:p>
    <w:p w:rsidR="00127398" w:rsidRPr="00127398" w:rsidRDefault="00127398" w:rsidP="002A253D">
      <w:pPr>
        <w:pStyle w:val="Body15"/>
        <w:divId w:val="740101842"/>
        <w:rPr>
          <w:szCs w:val="20"/>
          <w:lang w:eastAsia="en-GB"/>
        </w:rPr>
      </w:pPr>
      <w:r w:rsidRPr="00127398">
        <w:rPr>
          <w:szCs w:val="20"/>
          <w:lang w:eastAsia="en-GB"/>
        </w:rPr>
        <w:t>Section 678(a)(1) has given rise to a different kind of planning.  Suppose a beneficiary may withdraw an amount equal to all of the trust's taxable income in any given year (from all of the trust assets) but not the entire trust assets.  Ed Morrow refers to this as the BDOT; IRC 678(a)(1) the "</w:t>
      </w:r>
      <w:r w:rsidRPr="00127398">
        <w:rPr>
          <w:i/>
          <w:szCs w:val="20"/>
          <w:lang w:eastAsia="en-GB"/>
        </w:rPr>
        <w:t>Beneficiary Deemed Owner Trust</w:t>
      </w:r>
      <w:r w:rsidRPr="00127398">
        <w:rPr>
          <w:szCs w:val="20"/>
          <w:lang w:eastAsia="en-GB"/>
        </w:rPr>
        <w:t>" (BDOT), LEIMBERG ESTATE PLANNING NEWSLETTER #2516 (Sept. 5, 2017).  The BDOT appears clearly effective for income shifting, but it is not quite as clear whether it makes the person with the right to withdraw the owner of the entire trust for Rev. Rul. 85-13 purposes.</w:t>
      </w:r>
    </w:p>
    <w:p w:rsidR="00127398" w:rsidRPr="00127398" w:rsidRDefault="00127398" w:rsidP="002A253D">
      <w:pPr>
        <w:pStyle w:val="Body15"/>
        <w:divId w:val="740101842"/>
        <w:rPr>
          <w:szCs w:val="20"/>
          <w:lang w:eastAsia="en-GB"/>
        </w:rPr>
      </w:pPr>
      <w:r w:rsidRPr="00127398">
        <w:rPr>
          <w:szCs w:val="20"/>
          <w:lang w:eastAsia="en-GB"/>
        </w:rPr>
        <w:t xml:space="preserve">The regulations governing the grantor trust rules (sections 671-679) clearly provide that the reference to "income "unless specifically limited, refers to income determined for tax purposes and not to income for trust accounting purposes. Treas. Reg. §1.671-2(b).  In order for the beneficiary to be treated as the owner of the entire trust for income tax purposes under section 678(a)(1), the withdrawal power must apply to all net taxable income during the year, including capital gains. If a beneficiary may withdraw "income" then under applicable state law the concern would be that the trust means income determined for trust accounting purposes which would not typically include extraordinary dividends or capital gains. </w:t>
      </w:r>
    </w:p>
    <w:p w:rsidR="00127398" w:rsidRPr="00127398" w:rsidRDefault="00127398" w:rsidP="002A253D">
      <w:pPr>
        <w:pStyle w:val="Body15"/>
        <w:divId w:val="740101842"/>
        <w:rPr>
          <w:szCs w:val="20"/>
          <w:lang w:eastAsia="en-GB"/>
        </w:rPr>
      </w:pPr>
      <w:r w:rsidRPr="00127398">
        <w:rPr>
          <w:szCs w:val="20"/>
          <w:lang w:eastAsia="en-GB"/>
        </w:rPr>
        <w:t xml:space="preserve">To cause the taxable income attributable to the corpus portion of the trust also to be treated as owned by the beneficiary, the withdrawal power must apply with respect to an amount equal to all of the net taxable income. Having the corpus portion of the trust being treated as owned by the beneficiary for income tax purposes is extremely important if the beneficiary wishes to sell assets to the trust and have the transfer treated as a non-recognition event under the reasoning of Rev. Rul. 85-13.  In </w:t>
      </w:r>
      <w:r w:rsidRPr="00127398">
        <w:rPr>
          <w:szCs w:val="20"/>
          <w:u w:val="single"/>
          <w:lang w:eastAsia="en-GB"/>
        </w:rPr>
        <w:t>Campbell v. Commissioner</w:t>
      </w:r>
      <w:r w:rsidRPr="00127398">
        <w:rPr>
          <w:szCs w:val="20"/>
          <w:lang w:eastAsia="en-GB"/>
        </w:rPr>
        <w:t xml:space="preserve">, T.C. Memo 1979-495, beneficiaries had the power to cause the trustee to distribute capital gains; beneficiaries did not request and the trustee did not distribute the capital gains income to the beneficiaries, but they were deemed to be the owners of the capital gains income under section 678(a)(1).  PLR 201633021 also supports this result. </w:t>
      </w:r>
    </w:p>
    <w:p w:rsidR="00127398" w:rsidRPr="00127398" w:rsidRDefault="00127398" w:rsidP="002A253D">
      <w:pPr>
        <w:pStyle w:val="Body15"/>
        <w:divId w:val="740101842"/>
        <w:rPr>
          <w:szCs w:val="20"/>
          <w:lang w:eastAsia="en-GB"/>
        </w:rPr>
      </w:pPr>
      <w:r w:rsidRPr="00127398">
        <w:rPr>
          <w:szCs w:val="20"/>
          <w:lang w:eastAsia="en-GB"/>
        </w:rPr>
        <w:t xml:space="preserve">Income is taxable to a powerholder under section 678(a)(1) whether or not the amount is actually withdrawn. If it is withdrawn, such withdrawal is generally a non-taxable event because it is not a distribution that is reported under the distribution rules for non-grantor trusts. Rev. Rul. 67-241. For instance, section 678(a)(1) applies if the powerholder is a minor for whom a guardian who could exercise the power has not been appointed. Rev. Rul. 81-6 (child could withdraw all income until age 25; minority status irrelevant); </w:t>
      </w:r>
      <w:r w:rsidRPr="00127398">
        <w:rPr>
          <w:szCs w:val="20"/>
          <w:u w:val="single"/>
          <w:lang w:eastAsia="en-GB"/>
        </w:rPr>
        <w:t>Trust No. 3 v. Commissioner</w:t>
      </w:r>
      <w:r w:rsidRPr="00127398">
        <w:rPr>
          <w:szCs w:val="20"/>
          <w:lang w:eastAsia="en-GB"/>
        </w:rPr>
        <w:t xml:space="preserve">, 285 F.2d 102 (7th Cir. 1960)(minor beneficiaries could terminate a trust; that no guardians had been appointed was irrelevant). </w:t>
      </w:r>
    </w:p>
    <w:p w:rsidR="00127398" w:rsidRPr="00127398" w:rsidRDefault="00127398" w:rsidP="002A253D">
      <w:pPr>
        <w:pStyle w:val="Body15"/>
        <w:divId w:val="740101842"/>
        <w:rPr>
          <w:szCs w:val="20"/>
          <w:lang w:eastAsia="en-GB"/>
        </w:rPr>
      </w:pPr>
      <w:r w:rsidRPr="00127398">
        <w:rPr>
          <w:szCs w:val="20"/>
          <w:lang w:eastAsia="en-GB"/>
        </w:rPr>
        <w:t>What happens if the power is not exercised, as will often be the case?  The trust agreement may provide that failure to withdraw the taxable income amount in a particular year would lapse and could not be exercised in a later year. If so, and if the lapsed power exceeds the greater of "(A) $5,000, or (B) 5 percent of the aggregate value, at the time of such lapse, of the assets out of which, or the proceeds of which, the exercise of the lapsed powers could have been satisfied," the power holder will be treated as having made a gift of the excess amount (unless it is an incomplete gift because of retained powers over the trust), which will mean the property will be included in the powerholder’s estate.  Note that if the person with the withdrawal right is not an individual the “5 x 5 exception” may not apply; section 2514(e), which creates the exception, applies by its term to an “individual.”</w:t>
      </w:r>
    </w:p>
    <w:p w:rsidR="00127398" w:rsidRPr="00127398" w:rsidRDefault="00127398" w:rsidP="002A253D">
      <w:pPr>
        <w:pStyle w:val="Body15"/>
        <w:divId w:val="740101842"/>
        <w:rPr>
          <w:szCs w:val="20"/>
          <w:lang w:eastAsia="en-GB"/>
        </w:rPr>
      </w:pPr>
      <w:r w:rsidRPr="00127398">
        <w:rPr>
          <w:szCs w:val="20"/>
          <w:lang w:eastAsia="en-GB"/>
        </w:rPr>
        <w:t xml:space="preserve">Generally, the net taxable income of a trust will be less than 5% of the trust value. To use the full trust value to  measure the 5% amount, the beneficiary ought to be able to withdraw the net taxable income amount from all of the trust assets. In Rev. Rul. 66-87 the beneficiary had the power to withdraw accounting income and the 5% element was calculated based just on the accounting income, not all trust assets.  </w:t>
      </w:r>
      <w:r w:rsidRPr="00127398">
        <w:rPr>
          <w:szCs w:val="20"/>
          <w:u w:val="single"/>
          <w:lang w:eastAsia="en-GB"/>
        </w:rPr>
        <w:t>Fish v. U.S.</w:t>
      </w:r>
      <w:r w:rsidRPr="00127398">
        <w:rPr>
          <w:szCs w:val="20"/>
          <w:lang w:eastAsia="en-GB"/>
        </w:rPr>
        <w:t xml:space="preserve">, 432 F.2d 1278 (9th Cir. 1970), held that the 5% amount, when applied to a power to withdraw "all or part of the net income of the trust for that year" was only 5% of the income, not 5% of the trust assets.  The taxpayer argued that because the income payable to the decedent would have been payable either from corpus or income, the entire trust represents "assets out of which, or the proceeds out of which, the exercise of lapsed powers could be satisfied." The court disagreed because for federal tax purposes the distribution would have been a distribution of income.  </w:t>
      </w:r>
    </w:p>
    <w:p w:rsidR="00127398" w:rsidRPr="00127398" w:rsidRDefault="00127398" w:rsidP="002A253D">
      <w:pPr>
        <w:pStyle w:val="Body15"/>
        <w:divId w:val="740101842"/>
        <w:rPr>
          <w:szCs w:val="20"/>
          <w:lang w:eastAsia="en-GB"/>
        </w:rPr>
      </w:pPr>
      <w:r w:rsidRPr="00127398">
        <w:rPr>
          <w:szCs w:val="20"/>
          <w:lang w:eastAsia="en-GB"/>
        </w:rPr>
        <w:t xml:space="preserve">The IRS cited </w:t>
      </w:r>
      <w:r w:rsidRPr="00127398">
        <w:rPr>
          <w:szCs w:val="20"/>
          <w:u w:val="single"/>
          <w:lang w:eastAsia="en-GB"/>
        </w:rPr>
        <w:t>Fish</w:t>
      </w:r>
      <w:r w:rsidRPr="00127398">
        <w:rPr>
          <w:szCs w:val="20"/>
          <w:lang w:eastAsia="en-GB"/>
        </w:rPr>
        <w:t xml:space="preserve"> in Rev. Rul. 85-88 to hold that where a power of appointment is limited to annual trust income the 5 percent test is based on annual trust income, not the amount of trust corpus.  Neither </w:t>
      </w:r>
      <w:r w:rsidRPr="00127398">
        <w:rPr>
          <w:szCs w:val="20"/>
          <w:u w:val="single"/>
          <w:lang w:eastAsia="en-GB"/>
        </w:rPr>
        <w:t>Fish</w:t>
      </w:r>
      <w:r w:rsidRPr="00127398">
        <w:rPr>
          <w:szCs w:val="20"/>
          <w:lang w:eastAsia="en-GB"/>
        </w:rPr>
        <w:t xml:space="preserve"> nor the Ruling considered the result if the withdrawal right could be from </w:t>
      </w:r>
      <w:r w:rsidRPr="00127398">
        <w:rPr>
          <w:szCs w:val="20"/>
          <w:u w:val="single"/>
          <w:lang w:eastAsia="en-GB"/>
        </w:rPr>
        <w:t>any</w:t>
      </w:r>
      <w:r w:rsidRPr="00127398">
        <w:rPr>
          <w:szCs w:val="20"/>
          <w:lang w:eastAsia="en-GB"/>
        </w:rPr>
        <w:t xml:space="preserve"> trust assets.  Prudence suggests that a beneficiary should be authorized to withdraw the greater of the net taxable income or 5% of the trust corpus from any of the income or out of the entire corpus of the trust.  The right to withdraw may also hang.</w:t>
      </w:r>
    </w:p>
    <w:p w:rsidR="00127398" w:rsidRPr="00127398" w:rsidRDefault="00127398" w:rsidP="002A253D">
      <w:pPr>
        <w:pStyle w:val="Body15"/>
        <w:divId w:val="740101842"/>
        <w:rPr>
          <w:szCs w:val="20"/>
          <w:lang w:eastAsia="en-GB"/>
        </w:rPr>
      </w:pPr>
      <w:r w:rsidRPr="00127398">
        <w:rPr>
          <w:szCs w:val="20"/>
          <w:lang w:eastAsia="en-GB"/>
        </w:rPr>
        <w:t>Other issues to consider are the rights of creditors of the powerholder and the presence of a true grantor under sections 671-677 which trump section 678.</w:t>
      </w:r>
    </w:p>
    <w:p w:rsidR="00127398" w:rsidRPr="00127398" w:rsidRDefault="00127398" w:rsidP="002A253D">
      <w:pPr>
        <w:pStyle w:val="Body15"/>
        <w:divId w:val="740101842"/>
        <w:rPr>
          <w:szCs w:val="20"/>
          <w:lang w:eastAsia="en-GB"/>
        </w:rPr>
      </w:pPr>
      <w:r w:rsidRPr="00127398">
        <w:rPr>
          <w:szCs w:val="20"/>
          <w:lang w:eastAsia="en-GB"/>
        </w:rPr>
        <w:t xml:space="preserve">If the </w:t>
      </w:r>
      <w:r w:rsidRPr="00127398">
        <w:rPr>
          <w:szCs w:val="20"/>
          <w:u w:val="single"/>
          <w:lang w:eastAsia="en-GB"/>
        </w:rPr>
        <w:t>Fish</w:t>
      </w:r>
      <w:r w:rsidRPr="00127398">
        <w:rPr>
          <w:szCs w:val="20"/>
          <w:lang w:eastAsia="en-GB"/>
        </w:rPr>
        <w:t xml:space="preserve"> problem can be solved, almost any trust may be taxed to a designated person, for example a person in a state without an income tax.  That may not mean the trust is a wholly grantor trust with the benefits of Rev. Rul. 85-13.  Does the grantor have rights over corpus?  Treas. Reg. § 1.671-3(a)(1) indicates one person can own “income” but not own corpus.  Put another way, </w:t>
      </w:r>
      <w:r w:rsidRPr="00127398">
        <w:rPr>
          <w:color w:val="000000"/>
          <w:szCs w:val="20"/>
        </w:rPr>
        <w:t xml:space="preserve">what does the term “portion” mean in section 678?  It could mean the “income” portion as opposed to the “corpus” portion or it could mean the undivided interest portion of the trust that a person with a right of withdrawal could withdraw, whether income or corpus.  Treas. Reg. </w:t>
      </w:r>
      <w:r w:rsidRPr="00127398">
        <w:rPr>
          <w:szCs w:val="20"/>
          <w:lang w:eastAsia="en-GB"/>
        </w:rPr>
        <w:t>§ 1.671-3 provides as follows:</w:t>
      </w:r>
    </w:p>
    <w:p w:rsidR="00127398" w:rsidRPr="00127398" w:rsidRDefault="00127398" w:rsidP="00127398">
      <w:pPr>
        <w:pStyle w:val="QS10"/>
        <w:divId w:val="740101842"/>
        <w:rPr>
          <w:szCs w:val="20"/>
          <w:lang w:val="en"/>
        </w:rPr>
      </w:pPr>
      <w:r w:rsidRPr="00127398">
        <w:rPr>
          <w:b/>
          <w:szCs w:val="20"/>
          <w:lang w:val="en"/>
        </w:rPr>
        <w:t>(a)</w:t>
      </w:r>
      <w:r w:rsidRPr="00127398">
        <w:rPr>
          <w:szCs w:val="20"/>
          <w:lang w:val="en"/>
        </w:rPr>
        <w:t xml:space="preserve"> When a grantor or another </w:t>
      </w:r>
      <w:hyperlink r:id="rId159" w:tooltip="person" w:history="1">
        <w:r w:rsidRPr="00127398">
          <w:rPr>
            <w:rStyle w:val="Hyperlink"/>
            <w:color w:val="auto"/>
            <w:szCs w:val="20"/>
            <w:u w:val="none"/>
            <w:lang w:val="en"/>
          </w:rPr>
          <w:t>person</w:t>
        </w:r>
      </w:hyperlink>
      <w:r w:rsidRPr="00127398">
        <w:rPr>
          <w:szCs w:val="20"/>
          <w:lang w:val="en"/>
        </w:rPr>
        <w:t xml:space="preserve"> is treated under subpart E (section 671 and following) as the </w:t>
      </w:r>
      <w:hyperlink r:id="rId160" w:tooltip="owner" w:history="1">
        <w:r w:rsidRPr="00127398">
          <w:rPr>
            <w:rStyle w:val="Hyperlink"/>
            <w:color w:val="auto"/>
            <w:szCs w:val="20"/>
            <w:u w:val="none"/>
            <w:lang w:val="en"/>
          </w:rPr>
          <w:t>owner</w:t>
        </w:r>
      </w:hyperlink>
      <w:r w:rsidRPr="00127398">
        <w:rPr>
          <w:szCs w:val="20"/>
          <w:lang w:val="en"/>
        </w:rPr>
        <w:t xml:space="preserve"> of any portion of a </w:t>
      </w:r>
      <w:hyperlink r:id="rId161" w:tooltip="trust" w:history="1">
        <w:r w:rsidRPr="00127398">
          <w:rPr>
            <w:rStyle w:val="Hyperlink"/>
            <w:color w:val="auto"/>
            <w:szCs w:val="20"/>
            <w:u w:val="none"/>
            <w:lang w:val="en"/>
          </w:rPr>
          <w:t>trust</w:t>
        </w:r>
      </w:hyperlink>
      <w:r w:rsidRPr="00127398">
        <w:rPr>
          <w:szCs w:val="20"/>
          <w:lang w:val="en"/>
        </w:rPr>
        <w:t xml:space="preserve">, there are included in computing his </w:t>
      </w:r>
      <w:hyperlink r:id="rId162" w:tooltip="tax liability" w:history="1">
        <w:r w:rsidRPr="00127398">
          <w:rPr>
            <w:rStyle w:val="Hyperlink"/>
            <w:color w:val="auto"/>
            <w:szCs w:val="20"/>
            <w:u w:val="none"/>
            <w:lang w:val="en"/>
          </w:rPr>
          <w:t>tax liability</w:t>
        </w:r>
      </w:hyperlink>
      <w:r w:rsidRPr="00127398">
        <w:rPr>
          <w:szCs w:val="20"/>
          <w:lang w:val="en"/>
        </w:rPr>
        <w:t xml:space="preserve"> those items of </w:t>
      </w:r>
      <w:hyperlink r:id="rId163" w:tooltip="income" w:history="1">
        <w:r w:rsidRPr="00127398">
          <w:rPr>
            <w:rStyle w:val="Hyperlink"/>
            <w:color w:val="auto"/>
            <w:szCs w:val="20"/>
            <w:u w:val="none"/>
            <w:lang w:val="en"/>
          </w:rPr>
          <w:t>income</w:t>
        </w:r>
      </w:hyperlink>
      <w:r w:rsidRPr="00127398">
        <w:rPr>
          <w:szCs w:val="20"/>
          <w:lang w:val="en"/>
        </w:rPr>
        <w:t xml:space="preserve">, deduction, and credit against tax attributable to or included in that portion. For example: </w:t>
      </w:r>
    </w:p>
    <w:p w:rsidR="00127398" w:rsidRPr="00127398" w:rsidRDefault="00127398" w:rsidP="00127398">
      <w:pPr>
        <w:pStyle w:val="QS10"/>
        <w:ind w:left="2160"/>
        <w:divId w:val="740101842"/>
        <w:rPr>
          <w:szCs w:val="20"/>
          <w:lang w:val="en"/>
        </w:rPr>
      </w:pPr>
      <w:r w:rsidRPr="00127398">
        <w:rPr>
          <w:b/>
          <w:szCs w:val="20"/>
          <w:lang w:val="en"/>
        </w:rPr>
        <w:t>(1)</w:t>
      </w:r>
      <w:r w:rsidRPr="00127398">
        <w:rPr>
          <w:szCs w:val="20"/>
          <w:lang w:val="en"/>
        </w:rPr>
        <w:t xml:space="preserve"> If a grantor or another </w:t>
      </w:r>
      <w:hyperlink r:id="rId164" w:tooltip="person" w:history="1">
        <w:r w:rsidRPr="00127398">
          <w:rPr>
            <w:rStyle w:val="Hyperlink"/>
            <w:color w:val="auto"/>
            <w:szCs w:val="20"/>
            <w:u w:val="none"/>
            <w:lang w:val="en"/>
          </w:rPr>
          <w:t>person</w:t>
        </w:r>
      </w:hyperlink>
      <w:r w:rsidRPr="00127398">
        <w:rPr>
          <w:szCs w:val="20"/>
          <w:lang w:val="en"/>
        </w:rPr>
        <w:t xml:space="preserve"> is treated as the </w:t>
      </w:r>
      <w:hyperlink r:id="rId165" w:tooltip="owner" w:history="1">
        <w:r w:rsidRPr="00127398">
          <w:rPr>
            <w:rStyle w:val="Hyperlink"/>
            <w:color w:val="auto"/>
            <w:szCs w:val="20"/>
            <w:u w:val="none"/>
            <w:lang w:val="en"/>
          </w:rPr>
          <w:t>owner</w:t>
        </w:r>
      </w:hyperlink>
      <w:r w:rsidRPr="00127398">
        <w:rPr>
          <w:szCs w:val="20"/>
          <w:lang w:val="en"/>
        </w:rPr>
        <w:t xml:space="preserve"> of an entire </w:t>
      </w:r>
      <w:hyperlink r:id="rId166" w:tooltip="trust" w:history="1">
        <w:r w:rsidRPr="00127398">
          <w:rPr>
            <w:rStyle w:val="Hyperlink"/>
            <w:color w:val="auto"/>
            <w:szCs w:val="20"/>
            <w:u w:val="none"/>
            <w:lang w:val="en"/>
          </w:rPr>
          <w:t>trust</w:t>
        </w:r>
      </w:hyperlink>
      <w:r w:rsidRPr="00127398">
        <w:rPr>
          <w:szCs w:val="20"/>
          <w:lang w:val="en"/>
        </w:rPr>
        <w:t xml:space="preserve"> (corpus as well as ordinary income), he takes into </w:t>
      </w:r>
      <w:hyperlink r:id="rId167" w:tooltip="account" w:history="1">
        <w:r w:rsidRPr="00127398">
          <w:rPr>
            <w:rStyle w:val="Hyperlink"/>
            <w:color w:val="auto"/>
            <w:szCs w:val="20"/>
            <w:u w:val="none"/>
            <w:lang w:val="en"/>
          </w:rPr>
          <w:t>account</w:t>
        </w:r>
      </w:hyperlink>
      <w:r w:rsidRPr="00127398">
        <w:rPr>
          <w:szCs w:val="20"/>
          <w:lang w:val="en"/>
        </w:rPr>
        <w:t xml:space="preserve"> in computing his </w:t>
      </w:r>
      <w:hyperlink r:id="rId168" w:tooltip="income" w:history="1">
        <w:r w:rsidRPr="00127398">
          <w:rPr>
            <w:rStyle w:val="Hyperlink"/>
            <w:color w:val="auto"/>
            <w:szCs w:val="20"/>
            <w:u w:val="none"/>
            <w:lang w:val="en"/>
          </w:rPr>
          <w:t>income</w:t>
        </w:r>
      </w:hyperlink>
      <w:r w:rsidRPr="00127398">
        <w:rPr>
          <w:szCs w:val="20"/>
          <w:lang w:val="en"/>
        </w:rPr>
        <w:t xml:space="preserve"> </w:t>
      </w:r>
      <w:hyperlink r:id="rId169" w:tooltip="tax liability" w:history="1">
        <w:r w:rsidRPr="00127398">
          <w:rPr>
            <w:rStyle w:val="Hyperlink"/>
            <w:color w:val="auto"/>
            <w:szCs w:val="20"/>
            <w:u w:val="none"/>
            <w:lang w:val="en"/>
          </w:rPr>
          <w:t>tax liability</w:t>
        </w:r>
      </w:hyperlink>
      <w:r w:rsidRPr="00127398">
        <w:rPr>
          <w:szCs w:val="20"/>
          <w:lang w:val="en"/>
        </w:rPr>
        <w:t xml:space="preserve"> all items of </w:t>
      </w:r>
      <w:hyperlink r:id="rId170" w:tooltip="income" w:history="1">
        <w:r w:rsidRPr="00127398">
          <w:rPr>
            <w:rStyle w:val="Hyperlink"/>
            <w:color w:val="auto"/>
            <w:szCs w:val="20"/>
            <w:u w:val="none"/>
            <w:lang w:val="en"/>
          </w:rPr>
          <w:t>income</w:t>
        </w:r>
      </w:hyperlink>
      <w:r w:rsidRPr="00127398">
        <w:rPr>
          <w:szCs w:val="20"/>
          <w:lang w:val="en"/>
        </w:rPr>
        <w:t xml:space="preserve">, deduction, and credit (including </w:t>
      </w:r>
      <w:hyperlink r:id="rId171" w:tooltip="capital gains" w:history="1">
        <w:r w:rsidRPr="00127398">
          <w:rPr>
            <w:rStyle w:val="Hyperlink"/>
            <w:color w:val="auto"/>
            <w:szCs w:val="20"/>
            <w:u w:val="none"/>
            <w:lang w:val="en"/>
          </w:rPr>
          <w:t>capital gains</w:t>
        </w:r>
      </w:hyperlink>
      <w:r w:rsidRPr="00127398">
        <w:rPr>
          <w:szCs w:val="20"/>
          <w:lang w:val="en"/>
        </w:rPr>
        <w:t xml:space="preserve"> and losses) to which he would have been entitled had the </w:t>
      </w:r>
      <w:hyperlink r:id="rId172" w:tooltip="trust" w:history="1">
        <w:r w:rsidRPr="00127398">
          <w:rPr>
            <w:rStyle w:val="Hyperlink"/>
            <w:color w:val="auto"/>
            <w:szCs w:val="20"/>
            <w:u w:val="none"/>
            <w:lang w:val="en"/>
          </w:rPr>
          <w:t>trust</w:t>
        </w:r>
      </w:hyperlink>
      <w:r w:rsidRPr="00127398">
        <w:rPr>
          <w:szCs w:val="20"/>
          <w:lang w:val="en"/>
        </w:rPr>
        <w:t xml:space="preserve"> not been in existence during the period he is treated as </w:t>
      </w:r>
      <w:hyperlink r:id="rId173" w:tooltip="owner" w:history="1">
        <w:r w:rsidRPr="00127398">
          <w:rPr>
            <w:rStyle w:val="Hyperlink"/>
            <w:color w:val="auto"/>
            <w:szCs w:val="20"/>
            <w:u w:val="none"/>
            <w:lang w:val="en"/>
          </w:rPr>
          <w:t>owner</w:t>
        </w:r>
      </w:hyperlink>
      <w:r w:rsidRPr="00127398">
        <w:rPr>
          <w:szCs w:val="20"/>
          <w:lang w:val="en"/>
        </w:rPr>
        <w:t xml:space="preserve">. </w:t>
      </w:r>
    </w:p>
    <w:p w:rsidR="00127398" w:rsidRPr="00127398" w:rsidRDefault="00127398" w:rsidP="00127398">
      <w:pPr>
        <w:pStyle w:val="QS10"/>
        <w:ind w:left="2160"/>
        <w:divId w:val="740101842"/>
        <w:rPr>
          <w:szCs w:val="20"/>
          <w:lang w:val="en"/>
        </w:rPr>
      </w:pPr>
      <w:r w:rsidRPr="00127398">
        <w:rPr>
          <w:b/>
          <w:szCs w:val="20"/>
          <w:lang w:val="en"/>
        </w:rPr>
        <w:t>(2)</w:t>
      </w:r>
      <w:r w:rsidRPr="00127398">
        <w:rPr>
          <w:szCs w:val="20"/>
          <w:lang w:val="en"/>
        </w:rPr>
        <w:t xml:space="preserve"> If the portion treated as owned consists of specific </w:t>
      </w:r>
      <w:hyperlink r:id="rId174" w:tooltip="trust" w:history="1">
        <w:r w:rsidRPr="00127398">
          <w:rPr>
            <w:rStyle w:val="Hyperlink"/>
            <w:color w:val="auto"/>
            <w:szCs w:val="20"/>
            <w:u w:val="none"/>
            <w:lang w:val="en"/>
          </w:rPr>
          <w:t>trust</w:t>
        </w:r>
      </w:hyperlink>
      <w:r w:rsidRPr="00127398">
        <w:rPr>
          <w:szCs w:val="20"/>
          <w:lang w:val="en"/>
        </w:rPr>
        <w:t xml:space="preserve"> </w:t>
      </w:r>
      <w:hyperlink r:id="rId175" w:tooltip="property" w:history="1">
        <w:r w:rsidRPr="00127398">
          <w:rPr>
            <w:rStyle w:val="Hyperlink"/>
            <w:color w:val="auto"/>
            <w:szCs w:val="20"/>
            <w:u w:val="none"/>
            <w:lang w:val="en"/>
          </w:rPr>
          <w:t>property</w:t>
        </w:r>
      </w:hyperlink>
      <w:r w:rsidRPr="00127398">
        <w:rPr>
          <w:szCs w:val="20"/>
          <w:lang w:val="en"/>
        </w:rPr>
        <w:t xml:space="preserve"> and its </w:t>
      </w:r>
      <w:hyperlink r:id="rId176" w:tooltip="income" w:history="1">
        <w:r w:rsidRPr="00127398">
          <w:rPr>
            <w:rStyle w:val="Hyperlink"/>
            <w:color w:val="auto"/>
            <w:szCs w:val="20"/>
            <w:u w:val="none"/>
            <w:lang w:val="en"/>
          </w:rPr>
          <w:t>income</w:t>
        </w:r>
      </w:hyperlink>
      <w:r w:rsidRPr="00127398">
        <w:rPr>
          <w:szCs w:val="20"/>
          <w:lang w:val="en"/>
        </w:rPr>
        <w:t xml:space="preserve">, all items directly related to that </w:t>
      </w:r>
      <w:hyperlink r:id="rId177" w:tooltip="property" w:history="1">
        <w:r w:rsidRPr="00127398">
          <w:rPr>
            <w:rStyle w:val="Hyperlink"/>
            <w:color w:val="auto"/>
            <w:szCs w:val="20"/>
            <w:u w:val="none"/>
            <w:lang w:val="en"/>
          </w:rPr>
          <w:t>property</w:t>
        </w:r>
      </w:hyperlink>
      <w:r w:rsidRPr="00127398">
        <w:rPr>
          <w:szCs w:val="20"/>
          <w:lang w:val="en"/>
        </w:rPr>
        <w:t xml:space="preserve"> are attributable to the portion. Items directly related to </w:t>
      </w:r>
      <w:hyperlink r:id="rId178" w:tooltip="trust" w:history="1">
        <w:r w:rsidRPr="00127398">
          <w:rPr>
            <w:rStyle w:val="Hyperlink"/>
            <w:color w:val="auto"/>
            <w:szCs w:val="20"/>
            <w:u w:val="none"/>
            <w:lang w:val="en"/>
          </w:rPr>
          <w:t>trust</w:t>
        </w:r>
      </w:hyperlink>
      <w:r w:rsidRPr="00127398">
        <w:rPr>
          <w:szCs w:val="20"/>
          <w:lang w:val="en"/>
        </w:rPr>
        <w:t xml:space="preserve"> </w:t>
      </w:r>
      <w:hyperlink r:id="rId179" w:tooltip="property" w:history="1">
        <w:r w:rsidRPr="00127398">
          <w:rPr>
            <w:rStyle w:val="Hyperlink"/>
            <w:color w:val="auto"/>
            <w:szCs w:val="20"/>
            <w:u w:val="none"/>
            <w:lang w:val="en"/>
          </w:rPr>
          <w:t>property</w:t>
        </w:r>
      </w:hyperlink>
      <w:r w:rsidRPr="00127398">
        <w:rPr>
          <w:szCs w:val="20"/>
          <w:lang w:val="en"/>
        </w:rPr>
        <w:t xml:space="preserve"> not included in the portion treated as owned by the grantor or other </w:t>
      </w:r>
      <w:hyperlink r:id="rId180" w:tooltip="person" w:history="1">
        <w:r w:rsidRPr="00127398">
          <w:rPr>
            <w:rStyle w:val="Hyperlink"/>
            <w:color w:val="auto"/>
            <w:szCs w:val="20"/>
            <w:u w:val="none"/>
            <w:lang w:val="en"/>
          </w:rPr>
          <w:t>person</w:t>
        </w:r>
      </w:hyperlink>
      <w:r w:rsidRPr="00127398">
        <w:rPr>
          <w:szCs w:val="20"/>
          <w:lang w:val="en"/>
        </w:rPr>
        <w:t xml:space="preserve"> are governed by the provisions of subparts A through D (section 641 and following), part I, subchapter J, chapter 1 of the Code. Items that relate both to the portion treated as owned by the grantor and to the balance of the </w:t>
      </w:r>
      <w:hyperlink r:id="rId181" w:tooltip="trust" w:history="1">
        <w:r w:rsidRPr="00127398">
          <w:rPr>
            <w:rStyle w:val="Hyperlink"/>
            <w:color w:val="auto"/>
            <w:szCs w:val="20"/>
            <w:u w:val="none"/>
            <w:lang w:val="en"/>
          </w:rPr>
          <w:t>trust</w:t>
        </w:r>
      </w:hyperlink>
      <w:r w:rsidRPr="00127398">
        <w:rPr>
          <w:szCs w:val="20"/>
          <w:lang w:val="en"/>
        </w:rPr>
        <w:t xml:space="preserve"> must be apportioned in a manner that is reasonable in the light of all the circumstances of each case, including the </w:t>
      </w:r>
      <w:hyperlink r:id="rId182" w:tooltip="terms" w:history="1">
        <w:r w:rsidRPr="00127398">
          <w:rPr>
            <w:rStyle w:val="Hyperlink"/>
            <w:color w:val="auto"/>
            <w:szCs w:val="20"/>
            <w:u w:val="none"/>
            <w:lang w:val="en"/>
          </w:rPr>
          <w:t>terms</w:t>
        </w:r>
      </w:hyperlink>
      <w:r w:rsidRPr="00127398">
        <w:rPr>
          <w:szCs w:val="20"/>
          <w:lang w:val="en"/>
        </w:rPr>
        <w:t xml:space="preserve"> of the governing instrument, local law, and the practice of the </w:t>
      </w:r>
      <w:hyperlink r:id="rId183" w:tooltip="trustee" w:history="1">
        <w:r w:rsidRPr="00127398">
          <w:rPr>
            <w:rStyle w:val="Hyperlink"/>
            <w:color w:val="auto"/>
            <w:szCs w:val="20"/>
            <w:u w:val="none"/>
            <w:lang w:val="en"/>
          </w:rPr>
          <w:t>trustee</w:t>
        </w:r>
      </w:hyperlink>
      <w:r w:rsidRPr="00127398">
        <w:rPr>
          <w:szCs w:val="20"/>
          <w:lang w:val="en"/>
        </w:rPr>
        <w:t xml:space="preserve"> if it is reasonable and consistent. </w:t>
      </w:r>
    </w:p>
    <w:p w:rsidR="00127398" w:rsidRPr="00127398" w:rsidRDefault="00127398" w:rsidP="00127398">
      <w:pPr>
        <w:pStyle w:val="QS10"/>
        <w:ind w:left="2160"/>
        <w:divId w:val="740101842"/>
        <w:rPr>
          <w:szCs w:val="20"/>
          <w:lang w:val="en"/>
        </w:rPr>
      </w:pPr>
      <w:r w:rsidRPr="00127398">
        <w:rPr>
          <w:b/>
          <w:szCs w:val="20"/>
          <w:lang w:val="en"/>
        </w:rPr>
        <w:t>(3)</w:t>
      </w:r>
      <w:r w:rsidRPr="00127398">
        <w:rPr>
          <w:szCs w:val="20"/>
          <w:lang w:val="en"/>
        </w:rPr>
        <w:t xml:space="preserve"> If the portion of a </w:t>
      </w:r>
      <w:hyperlink r:id="rId184" w:tooltip="trust" w:history="1">
        <w:r w:rsidRPr="00127398">
          <w:rPr>
            <w:rStyle w:val="Hyperlink"/>
            <w:color w:val="auto"/>
            <w:szCs w:val="20"/>
            <w:u w:val="none"/>
            <w:lang w:val="en"/>
          </w:rPr>
          <w:t>trust</w:t>
        </w:r>
      </w:hyperlink>
      <w:r w:rsidRPr="00127398">
        <w:rPr>
          <w:szCs w:val="20"/>
          <w:lang w:val="en"/>
        </w:rPr>
        <w:t xml:space="preserve"> treated as owned by a grantor or another </w:t>
      </w:r>
      <w:hyperlink r:id="rId185" w:tooltip="person" w:history="1">
        <w:r w:rsidRPr="00127398">
          <w:rPr>
            <w:rStyle w:val="Hyperlink"/>
            <w:color w:val="auto"/>
            <w:szCs w:val="20"/>
            <w:u w:val="none"/>
            <w:lang w:val="en"/>
          </w:rPr>
          <w:t>person</w:t>
        </w:r>
      </w:hyperlink>
      <w:r w:rsidRPr="00127398">
        <w:rPr>
          <w:szCs w:val="20"/>
          <w:lang w:val="en"/>
        </w:rPr>
        <w:t xml:space="preserve"> consists of an undivided fractional </w:t>
      </w:r>
      <w:hyperlink r:id="rId186" w:tooltip="interest" w:history="1">
        <w:r w:rsidRPr="00127398">
          <w:rPr>
            <w:rStyle w:val="Hyperlink"/>
            <w:color w:val="auto"/>
            <w:szCs w:val="20"/>
            <w:u w:val="none"/>
            <w:lang w:val="en"/>
          </w:rPr>
          <w:t>interest</w:t>
        </w:r>
      </w:hyperlink>
      <w:r w:rsidRPr="00127398">
        <w:rPr>
          <w:szCs w:val="20"/>
          <w:lang w:val="en"/>
        </w:rPr>
        <w:t xml:space="preserve"> in the </w:t>
      </w:r>
      <w:hyperlink r:id="rId187" w:tooltip="trust" w:history="1">
        <w:r w:rsidRPr="00127398">
          <w:rPr>
            <w:rStyle w:val="Hyperlink"/>
            <w:color w:val="auto"/>
            <w:szCs w:val="20"/>
            <w:u w:val="none"/>
            <w:lang w:val="en"/>
          </w:rPr>
          <w:t>trust</w:t>
        </w:r>
      </w:hyperlink>
      <w:r w:rsidRPr="00127398">
        <w:rPr>
          <w:szCs w:val="20"/>
          <w:lang w:val="en"/>
        </w:rPr>
        <w:t xml:space="preserve">, or of an </w:t>
      </w:r>
      <w:hyperlink r:id="rId188" w:tooltip="interest" w:history="1">
        <w:r w:rsidRPr="00127398">
          <w:rPr>
            <w:rStyle w:val="Hyperlink"/>
            <w:color w:val="auto"/>
            <w:szCs w:val="20"/>
            <w:u w:val="none"/>
            <w:lang w:val="en"/>
          </w:rPr>
          <w:t>interest</w:t>
        </w:r>
      </w:hyperlink>
      <w:r w:rsidRPr="00127398">
        <w:rPr>
          <w:szCs w:val="20"/>
          <w:lang w:val="en"/>
        </w:rPr>
        <w:t xml:space="preserve"> represented by a dollar </w:t>
      </w:r>
      <w:hyperlink r:id="rId189" w:tooltip="amount" w:history="1">
        <w:r w:rsidRPr="00127398">
          <w:rPr>
            <w:rStyle w:val="Hyperlink"/>
            <w:color w:val="auto"/>
            <w:szCs w:val="20"/>
            <w:u w:val="none"/>
            <w:lang w:val="en"/>
          </w:rPr>
          <w:t>amount</w:t>
        </w:r>
      </w:hyperlink>
      <w:r w:rsidRPr="00127398">
        <w:rPr>
          <w:szCs w:val="20"/>
          <w:lang w:val="en"/>
        </w:rPr>
        <w:t xml:space="preserve">, a pro rata share of each item of </w:t>
      </w:r>
      <w:hyperlink r:id="rId190" w:tooltip="income" w:history="1">
        <w:r w:rsidRPr="00127398">
          <w:rPr>
            <w:rStyle w:val="Hyperlink"/>
            <w:color w:val="auto"/>
            <w:szCs w:val="20"/>
            <w:u w:val="none"/>
            <w:lang w:val="en"/>
          </w:rPr>
          <w:t>income</w:t>
        </w:r>
      </w:hyperlink>
      <w:r w:rsidRPr="00127398">
        <w:rPr>
          <w:szCs w:val="20"/>
          <w:lang w:val="en"/>
        </w:rPr>
        <w:t xml:space="preserve">, deduction, and credit is normally allocated to the portion. Thus, where the portion owned consists of an </w:t>
      </w:r>
      <w:hyperlink r:id="rId191" w:tooltip="interest" w:history="1">
        <w:r w:rsidRPr="00127398">
          <w:rPr>
            <w:rStyle w:val="Hyperlink"/>
            <w:color w:val="auto"/>
            <w:szCs w:val="20"/>
            <w:u w:val="none"/>
            <w:lang w:val="en"/>
          </w:rPr>
          <w:t>interest</w:t>
        </w:r>
      </w:hyperlink>
      <w:r w:rsidRPr="00127398">
        <w:rPr>
          <w:szCs w:val="20"/>
          <w:lang w:val="en"/>
        </w:rPr>
        <w:t xml:space="preserve"> in or a right to an </w:t>
      </w:r>
      <w:hyperlink r:id="rId192" w:tooltip="amount" w:history="1">
        <w:r w:rsidRPr="00127398">
          <w:rPr>
            <w:rStyle w:val="Hyperlink"/>
            <w:color w:val="auto"/>
            <w:szCs w:val="20"/>
            <w:u w:val="none"/>
            <w:lang w:val="en"/>
          </w:rPr>
          <w:t>amount</w:t>
        </w:r>
      </w:hyperlink>
      <w:r w:rsidRPr="00127398">
        <w:rPr>
          <w:szCs w:val="20"/>
          <w:lang w:val="en"/>
        </w:rPr>
        <w:t xml:space="preserve"> of corpus only, a fraction of each item (including items allocated to corpus, such as capital gains) is attributed to the portion. The numerator of this fraction is the </w:t>
      </w:r>
      <w:hyperlink r:id="rId193" w:tooltip="amount" w:history="1">
        <w:r w:rsidRPr="00127398">
          <w:rPr>
            <w:rStyle w:val="Hyperlink"/>
            <w:color w:val="auto"/>
            <w:szCs w:val="20"/>
            <w:u w:val="none"/>
            <w:lang w:val="en"/>
          </w:rPr>
          <w:t>amount</w:t>
        </w:r>
      </w:hyperlink>
      <w:r w:rsidRPr="00127398">
        <w:rPr>
          <w:szCs w:val="20"/>
          <w:lang w:val="en"/>
        </w:rPr>
        <w:t xml:space="preserve"> which is subject to the </w:t>
      </w:r>
      <w:hyperlink r:id="rId194" w:tooltip="control" w:history="1">
        <w:r w:rsidRPr="00127398">
          <w:rPr>
            <w:rStyle w:val="Hyperlink"/>
            <w:color w:val="auto"/>
            <w:szCs w:val="20"/>
            <w:u w:val="none"/>
            <w:lang w:val="en"/>
          </w:rPr>
          <w:t>control</w:t>
        </w:r>
      </w:hyperlink>
      <w:r w:rsidRPr="00127398">
        <w:rPr>
          <w:szCs w:val="20"/>
          <w:lang w:val="en"/>
        </w:rPr>
        <w:t xml:space="preserve"> of the grantor or other </w:t>
      </w:r>
      <w:hyperlink r:id="rId195" w:tooltip="person" w:history="1">
        <w:r w:rsidRPr="00127398">
          <w:rPr>
            <w:rStyle w:val="Hyperlink"/>
            <w:color w:val="auto"/>
            <w:szCs w:val="20"/>
            <w:u w:val="none"/>
            <w:lang w:val="en"/>
          </w:rPr>
          <w:t>person</w:t>
        </w:r>
      </w:hyperlink>
      <w:r w:rsidRPr="00127398">
        <w:rPr>
          <w:szCs w:val="20"/>
          <w:lang w:val="en"/>
        </w:rPr>
        <w:t xml:space="preserve"> and the denominator is normally the </w:t>
      </w:r>
      <w:hyperlink r:id="rId196" w:tooltip="fair market value" w:history="1">
        <w:r w:rsidRPr="00127398">
          <w:rPr>
            <w:rStyle w:val="Hyperlink"/>
            <w:color w:val="auto"/>
            <w:szCs w:val="20"/>
            <w:u w:val="none"/>
            <w:lang w:val="en"/>
          </w:rPr>
          <w:t>fair market value</w:t>
        </w:r>
      </w:hyperlink>
      <w:r w:rsidRPr="00127398">
        <w:rPr>
          <w:szCs w:val="20"/>
          <w:lang w:val="en"/>
        </w:rPr>
        <w:t xml:space="preserve"> of the </w:t>
      </w:r>
      <w:hyperlink r:id="rId197" w:tooltip="trust" w:history="1">
        <w:r w:rsidRPr="00127398">
          <w:rPr>
            <w:rStyle w:val="Hyperlink"/>
            <w:color w:val="auto"/>
            <w:szCs w:val="20"/>
            <w:u w:val="none"/>
            <w:lang w:val="en"/>
          </w:rPr>
          <w:t>trust</w:t>
        </w:r>
      </w:hyperlink>
      <w:r w:rsidRPr="00127398">
        <w:rPr>
          <w:szCs w:val="20"/>
          <w:lang w:val="en"/>
        </w:rPr>
        <w:t xml:space="preserve"> corpus at the beginning of the </w:t>
      </w:r>
      <w:hyperlink r:id="rId198" w:tooltip="taxable year" w:history="1">
        <w:r w:rsidRPr="00127398">
          <w:rPr>
            <w:rStyle w:val="Hyperlink"/>
            <w:color w:val="auto"/>
            <w:szCs w:val="20"/>
            <w:u w:val="none"/>
            <w:lang w:val="en"/>
          </w:rPr>
          <w:t>taxable year</w:t>
        </w:r>
      </w:hyperlink>
      <w:r w:rsidRPr="00127398">
        <w:rPr>
          <w:szCs w:val="20"/>
          <w:lang w:val="en"/>
        </w:rPr>
        <w:t xml:space="preserve"> in question. The share not treated as owned by the grantor or other </w:t>
      </w:r>
      <w:hyperlink r:id="rId199" w:tooltip="person" w:history="1">
        <w:r w:rsidRPr="00127398">
          <w:rPr>
            <w:rStyle w:val="Hyperlink"/>
            <w:color w:val="auto"/>
            <w:szCs w:val="20"/>
            <w:u w:val="none"/>
            <w:lang w:val="en"/>
          </w:rPr>
          <w:t>person</w:t>
        </w:r>
      </w:hyperlink>
      <w:r w:rsidRPr="00127398">
        <w:rPr>
          <w:szCs w:val="20"/>
          <w:lang w:val="en"/>
        </w:rPr>
        <w:t xml:space="preserve"> is governed by the provisions of subparts A through D. See the last three sentences of </w:t>
      </w:r>
      <w:hyperlink r:id="rId200" w:anchor="c" w:tooltip="paragraph (c)" w:history="1">
        <w:r w:rsidRPr="00127398">
          <w:rPr>
            <w:rStyle w:val="Hyperlink"/>
            <w:color w:val="auto"/>
            <w:szCs w:val="20"/>
            <w:u w:val="none"/>
            <w:lang w:val="en"/>
          </w:rPr>
          <w:t>paragraph (c)</w:t>
        </w:r>
      </w:hyperlink>
      <w:r w:rsidRPr="00127398">
        <w:rPr>
          <w:szCs w:val="20"/>
          <w:lang w:val="en"/>
        </w:rPr>
        <w:t xml:space="preserve"> of this section for the principles applicable if the portion treated as owned consists of an </w:t>
      </w:r>
      <w:hyperlink r:id="rId201" w:tooltip="interest" w:history="1">
        <w:r w:rsidRPr="00127398">
          <w:rPr>
            <w:rStyle w:val="Hyperlink"/>
            <w:color w:val="auto"/>
            <w:szCs w:val="20"/>
            <w:u w:val="none"/>
            <w:lang w:val="en"/>
          </w:rPr>
          <w:t>interest</w:t>
        </w:r>
      </w:hyperlink>
      <w:r w:rsidRPr="00127398">
        <w:rPr>
          <w:szCs w:val="20"/>
          <w:lang w:val="en"/>
        </w:rPr>
        <w:t xml:space="preserve"> in part of the ordinary </w:t>
      </w:r>
      <w:hyperlink r:id="rId202" w:tooltip="income" w:history="1">
        <w:r w:rsidRPr="00127398">
          <w:rPr>
            <w:rStyle w:val="Hyperlink"/>
            <w:color w:val="auto"/>
            <w:szCs w:val="20"/>
            <w:u w:val="none"/>
            <w:lang w:val="en"/>
          </w:rPr>
          <w:t>income</w:t>
        </w:r>
      </w:hyperlink>
      <w:r w:rsidRPr="00127398">
        <w:rPr>
          <w:szCs w:val="20"/>
          <w:lang w:val="en"/>
        </w:rPr>
        <w:t xml:space="preserve"> in contrast to an </w:t>
      </w:r>
      <w:hyperlink r:id="rId203" w:tooltip="interest" w:history="1">
        <w:r w:rsidRPr="00127398">
          <w:rPr>
            <w:rStyle w:val="Hyperlink"/>
            <w:color w:val="auto"/>
            <w:szCs w:val="20"/>
            <w:u w:val="none"/>
            <w:lang w:val="en"/>
          </w:rPr>
          <w:t>interest</w:t>
        </w:r>
      </w:hyperlink>
      <w:r w:rsidRPr="00127398">
        <w:rPr>
          <w:szCs w:val="20"/>
          <w:lang w:val="en"/>
        </w:rPr>
        <w:t xml:space="preserve"> in corpus alone. </w:t>
      </w:r>
    </w:p>
    <w:p w:rsidR="00127398" w:rsidRPr="00127398" w:rsidRDefault="00127398" w:rsidP="00127398">
      <w:pPr>
        <w:pStyle w:val="QS10"/>
        <w:divId w:val="740101842"/>
        <w:rPr>
          <w:szCs w:val="20"/>
          <w:lang w:val="en"/>
        </w:rPr>
      </w:pPr>
      <w:r w:rsidRPr="00127398">
        <w:rPr>
          <w:b/>
          <w:szCs w:val="20"/>
          <w:lang w:val="en"/>
        </w:rPr>
        <w:t>(b)</w:t>
      </w:r>
      <w:r w:rsidRPr="00127398">
        <w:rPr>
          <w:szCs w:val="20"/>
          <w:lang w:val="en"/>
        </w:rPr>
        <w:t xml:space="preserve"> If a grantor or another </w:t>
      </w:r>
      <w:hyperlink r:id="rId204" w:tooltip="person" w:history="1">
        <w:r w:rsidRPr="00127398">
          <w:rPr>
            <w:rStyle w:val="Hyperlink"/>
            <w:color w:val="auto"/>
            <w:szCs w:val="20"/>
            <w:u w:val="none"/>
            <w:lang w:val="en"/>
          </w:rPr>
          <w:t>person</w:t>
        </w:r>
      </w:hyperlink>
      <w:r w:rsidRPr="00127398">
        <w:rPr>
          <w:szCs w:val="20"/>
          <w:lang w:val="en"/>
        </w:rPr>
        <w:t xml:space="preserve"> is treated as the </w:t>
      </w:r>
      <w:hyperlink r:id="rId205" w:tooltip="owner" w:history="1">
        <w:r w:rsidRPr="00127398">
          <w:rPr>
            <w:rStyle w:val="Hyperlink"/>
            <w:color w:val="auto"/>
            <w:szCs w:val="20"/>
            <w:u w:val="none"/>
            <w:lang w:val="en"/>
          </w:rPr>
          <w:t>owner</w:t>
        </w:r>
      </w:hyperlink>
      <w:r w:rsidRPr="00127398">
        <w:rPr>
          <w:szCs w:val="20"/>
          <w:lang w:val="en"/>
        </w:rPr>
        <w:t xml:space="preserve"> of a portion of a </w:t>
      </w:r>
      <w:hyperlink r:id="rId206" w:tooltip="trust" w:history="1">
        <w:r w:rsidRPr="00127398">
          <w:rPr>
            <w:rStyle w:val="Hyperlink"/>
            <w:color w:val="auto"/>
            <w:szCs w:val="20"/>
            <w:u w:val="none"/>
            <w:lang w:val="en"/>
          </w:rPr>
          <w:t>trust</w:t>
        </w:r>
      </w:hyperlink>
      <w:r w:rsidRPr="00127398">
        <w:rPr>
          <w:szCs w:val="20"/>
          <w:lang w:val="en"/>
        </w:rPr>
        <w:t xml:space="preserve">, that portion may or may not include both ordinary </w:t>
      </w:r>
      <w:hyperlink r:id="rId207" w:tooltip="income" w:history="1">
        <w:r w:rsidRPr="00127398">
          <w:rPr>
            <w:rStyle w:val="Hyperlink"/>
            <w:color w:val="auto"/>
            <w:szCs w:val="20"/>
            <w:u w:val="none"/>
            <w:lang w:val="en"/>
          </w:rPr>
          <w:t>income</w:t>
        </w:r>
      </w:hyperlink>
      <w:r w:rsidRPr="00127398">
        <w:rPr>
          <w:szCs w:val="20"/>
          <w:lang w:val="en"/>
        </w:rPr>
        <w:t xml:space="preserve"> and </w:t>
      </w:r>
      <w:hyperlink r:id="rId208" w:tooltip="other income" w:history="1">
        <w:r w:rsidRPr="00127398">
          <w:rPr>
            <w:rStyle w:val="Hyperlink"/>
            <w:color w:val="auto"/>
            <w:szCs w:val="20"/>
            <w:u w:val="none"/>
            <w:lang w:val="en"/>
          </w:rPr>
          <w:t>other income</w:t>
        </w:r>
      </w:hyperlink>
      <w:r w:rsidRPr="00127398">
        <w:rPr>
          <w:szCs w:val="20"/>
          <w:lang w:val="en"/>
        </w:rPr>
        <w:t xml:space="preserve"> allocable to corpus. For example: </w:t>
      </w:r>
    </w:p>
    <w:p w:rsidR="00127398" w:rsidRPr="00127398" w:rsidRDefault="00127398" w:rsidP="00127398">
      <w:pPr>
        <w:pStyle w:val="QS10"/>
        <w:ind w:left="2160"/>
        <w:divId w:val="740101842"/>
        <w:rPr>
          <w:szCs w:val="20"/>
          <w:lang w:val="en"/>
        </w:rPr>
      </w:pPr>
      <w:r w:rsidRPr="00127398">
        <w:rPr>
          <w:b/>
          <w:szCs w:val="20"/>
          <w:lang w:val="en"/>
        </w:rPr>
        <w:t>(1)</w:t>
      </w:r>
      <w:r w:rsidRPr="00127398">
        <w:rPr>
          <w:szCs w:val="20"/>
          <w:lang w:val="en"/>
        </w:rPr>
        <w:t xml:space="preserve"> Only ordinary </w:t>
      </w:r>
      <w:hyperlink r:id="rId209" w:tooltip="income" w:history="1">
        <w:r w:rsidRPr="00127398">
          <w:rPr>
            <w:rStyle w:val="Hyperlink"/>
            <w:color w:val="auto"/>
            <w:szCs w:val="20"/>
            <w:u w:val="none"/>
            <w:lang w:val="en"/>
          </w:rPr>
          <w:t>income</w:t>
        </w:r>
      </w:hyperlink>
      <w:r w:rsidRPr="00127398">
        <w:rPr>
          <w:szCs w:val="20"/>
          <w:lang w:val="en"/>
        </w:rPr>
        <w:t xml:space="preserve"> is included </w:t>
      </w:r>
      <w:hyperlink r:id="rId210" w:tooltip="by reason of" w:history="1">
        <w:r w:rsidRPr="00127398">
          <w:rPr>
            <w:rStyle w:val="Hyperlink"/>
            <w:color w:val="auto"/>
            <w:szCs w:val="20"/>
            <w:u w:val="none"/>
            <w:lang w:val="en"/>
          </w:rPr>
          <w:t>by reason of</w:t>
        </w:r>
      </w:hyperlink>
      <w:r w:rsidRPr="00127398">
        <w:rPr>
          <w:szCs w:val="20"/>
          <w:lang w:val="en"/>
        </w:rPr>
        <w:t xml:space="preserve"> an </w:t>
      </w:r>
      <w:hyperlink r:id="rId211" w:tooltip="interest" w:history="1">
        <w:r w:rsidRPr="00127398">
          <w:rPr>
            <w:rStyle w:val="Hyperlink"/>
            <w:color w:val="auto"/>
            <w:szCs w:val="20"/>
            <w:u w:val="none"/>
            <w:lang w:val="en"/>
          </w:rPr>
          <w:t>interest</w:t>
        </w:r>
      </w:hyperlink>
      <w:r w:rsidRPr="00127398">
        <w:rPr>
          <w:szCs w:val="20"/>
          <w:lang w:val="en"/>
        </w:rPr>
        <w:t xml:space="preserve"> in or a power over ordinary </w:t>
      </w:r>
      <w:hyperlink r:id="rId212" w:tooltip="income" w:history="1">
        <w:r w:rsidRPr="00127398">
          <w:rPr>
            <w:rStyle w:val="Hyperlink"/>
            <w:color w:val="auto"/>
            <w:szCs w:val="20"/>
            <w:u w:val="none"/>
            <w:lang w:val="en"/>
          </w:rPr>
          <w:t>income</w:t>
        </w:r>
      </w:hyperlink>
      <w:r w:rsidRPr="00127398">
        <w:rPr>
          <w:szCs w:val="20"/>
          <w:lang w:val="en"/>
        </w:rPr>
        <w:t xml:space="preserve"> alone. Thus, if a grantor is treated under section 673 as an </w:t>
      </w:r>
      <w:hyperlink r:id="rId213" w:tooltip="owner" w:history="1">
        <w:r w:rsidRPr="00127398">
          <w:rPr>
            <w:rStyle w:val="Hyperlink"/>
            <w:color w:val="auto"/>
            <w:szCs w:val="20"/>
            <w:u w:val="none"/>
            <w:lang w:val="en"/>
          </w:rPr>
          <w:t>owner</w:t>
        </w:r>
      </w:hyperlink>
      <w:r w:rsidRPr="00127398">
        <w:rPr>
          <w:szCs w:val="20"/>
          <w:lang w:val="en"/>
        </w:rPr>
        <w:t xml:space="preserve"> </w:t>
      </w:r>
      <w:hyperlink r:id="rId214" w:tooltip="by reason of" w:history="1">
        <w:r w:rsidRPr="00127398">
          <w:rPr>
            <w:rStyle w:val="Hyperlink"/>
            <w:color w:val="auto"/>
            <w:szCs w:val="20"/>
            <w:u w:val="none"/>
            <w:lang w:val="en"/>
          </w:rPr>
          <w:t>by reason of</w:t>
        </w:r>
      </w:hyperlink>
      <w:r w:rsidRPr="00127398">
        <w:rPr>
          <w:szCs w:val="20"/>
          <w:lang w:val="en"/>
        </w:rPr>
        <w:t xml:space="preserve"> a reversionary </w:t>
      </w:r>
      <w:hyperlink r:id="rId215" w:tooltip="interest" w:history="1">
        <w:r w:rsidRPr="00127398">
          <w:rPr>
            <w:rStyle w:val="Hyperlink"/>
            <w:color w:val="auto"/>
            <w:szCs w:val="20"/>
            <w:u w:val="none"/>
            <w:lang w:val="en"/>
          </w:rPr>
          <w:t>interest</w:t>
        </w:r>
      </w:hyperlink>
      <w:r w:rsidRPr="00127398">
        <w:rPr>
          <w:szCs w:val="20"/>
          <w:lang w:val="en"/>
        </w:rPr>
        <w:t xml:space="preserve"> in ordinary </w:t>
      </w:r>
      <w:hyperlink r:id="rId216" w:tooltip="income" w:history="1">
        <w:r w:rsidRPr="00127398">
          <w:rPr>
            <w:rStyle w:val="Hyperlink"/>
            <w:color w:val="auto"/>
            <w:szCs w:val="20"/>
            <w:u w:val="none"/>
            <w:lang w:val="en"/>
          </w:rPr>
          <w:t>income</w:t>
        </w:r>
      </w:hyperlink>
      <w:r w:rsidRPr="00127398">
        <w:rPr>
          <w:szCs w:val="20"/>
          <w:lang w:val="en"/>
        </w:rPr>
        <w:t xml:space="preserve"> only, items of </w:t>
      </w:r>
      <w:hyperlink r:id="rId217" w:tooltip="income" w:history="1">
        <w:r w:rsidRPr="00127398">
          <w:rPr>
            <w:rStyle w:val="Hyperlink"/>
            <w:color w:val="auto"/>
            <w:szCs w:val="20"/>
            <w:u w:val="none"/>
            <w:lang w:val="en"/>
          </w:rPr>
          <w:t>income</w:t>
        </w:r>
      </w:hyperlink>
      <w:r w:rsidRPr="00127398">
        <w:rPr>
          <w:szCs w:val="20"/>
          <w:lang w:val="en"/>
        </w:rPr>
        <w:t xml:space="preserve"> allocable to corpus will not be included in the portion he is treated as owning. Similarly, if a grantor or another </w:t>
      </w:r>
      <w:hyperlink r:id="rId218" w:tooltip="person" w:history="1">
        <w:r w:rsidRPr="00127398">
          <w:rPr>
            <w:rStyle w:val="Hyperlink"/>
            <w:color w:val="auto"/>
            <w:szCs w:val="20"/>
            <w:u w:val="none"/>
            <w:lang w:val="en"/>
          </w:rPr>
          <w:t>person</w:t>
        </w:r>
      </w:hyperlink>
      <w:r w:rsidRPr="00127398">
        <w:rPr>
          <w:szCs w:val="20"/>
          <w:lang w:val="en"/>
        </w:rPr>
        <w:t xml:space="preserve"> is treated under sections 674-678 as an </w:t>
      </w:r>
      <w:hyperlink r:id="rId219" w:tooltip="owner" w:history="1">
        <w:r w:rsidRPr="00127398">
          <w:rPr>
            <w:rStyle w:val="Hyperlink"/>
            <w:color w:val="auto"/>
            <w:szCs w:val="20"/>
            <w:u w:val="none"/>
            <w:lang w:val="en"/>
          </w:rPr>
          <w:t>owner</w:t>
        </w:r>
      </w:hyperlink>
      <w:r w:rsidRPr="00127398">
        <w:rPr>
          <w:szCs w:val="20"/>
          <w:lang w:val="en"/>
        </w:rPr>
        <w:t xml:space="preserve"> of a portion </w:t>
      </w:r>
      <w:hyperlink r:id="rId220" w:tooltip="by reason of" w:history="1">
        <w:r w:rsidRPr="00127398">
          <w:rPr>
            <w:rStyle w:val="Hyperlink"/>
            <w:color w:val="auto"/>
            <w:szCs w:val="20"/>
            <w:u w:val="none"/>
            <w:lang w:val="en"/>
          </w:rPr>
          <w:t>by reason of</w:t>
        </w:r>
      </w:hyperlink>
      <w:r w:rsidRPr="00127398">
        <w:rPr>
          <w:szCs w:val="20"/>
          <w:lang w:val="en"/>
        </w:rPr>
        <w:t xml:space="preserve"> a power over ordinary </w:t>
      </w:r>
      <w:hyperlink r:id="rId221" w:tooltip="income" w:history="1">
        <w:r w:rsidRPr="00127398">
          <w:rPr>
            <w:rStyle w:val="Hyperlink"/>
            <w:color w:val="auto"/>
            <w:szCs w:val="20"/>
            <w:u w:val="none"/>
            <w:lang w:val="en"/>
          </w:rPr>
          <w:t>income</w:t>
        </w:r>
      </w:hyperlink>
      <w:r w:rsidRPr="00127398">
        <w:rPr>
          <w:szCs w:val="20"/>
          <w:lang w:val="en"/>
        </w:rPr>
        <w:t xml:space="preserve"> only, items of </w:t>
      </w:r>
      <w:hyperlink r:id="rId222" w:tooltip="income" w:history="1">
        <w:r w:rsidRPr="00127398">
          <w:rPr>
            <w:rStyle w:val="Hyperlink"/>
            <w:color w:val="auto"/>
            <w:szCs w:val="20"/>
            <w:u w:val="none"/>
            <w:lang w:val="en"/>
          </w:rPr>
          <w:t>income</w:t>
        </w:r>
      </w:hyperlink>
      <w:r w:rsidRPr="00127398">
        <w:rPr>
          <w:szCs w:val="20"/>
          <w:lang w:val="en"/>
        </w:rPr>
        <w:t xml:space="preserve"> allocable to corpus are not included in that portion. (See </w:t>
      </w:r>
      <w:hyperlink r:id="rId223" w:anchor="c" w:tooltip="paragraph (c)" w:history="1">
        <w:r w:rsidRPr="00127398">
          <w:rPr>
            <w:rStyle w:val="Hyperlink"/>
            <w:color w:val="auto"/>
            <w:szCs w:val="20"/>
            <w:u w:val="none"/>
            <w:lang w:val="en"/>
          </w:rPr>
          <w:t>paragraph (c)</w:t>
        </w:r>
      </w:hyperlink>
      <w:r w:rsidRPr="00127398">
        <w:rPr>
          <w:szCs w:val="20"/>
          <w:lang w:val="en"/>
        </w:rPr>
        <w:t xml:space="preserve"> of this section to determine the </w:t>
      </w:r>
      <w:hyperlink r:id="rId224" w:tooltip="treatment" w:history="1">
        <w:r w:rsidRPr="00127398">
          <w:rPr>
            <w:rStyle w:val="Hyperlink"/>
            <w:color w:val="auto"/>
            <w:szCs w:val="20"/>
            <w:u w:val="none"/>
            <w:lang w:val="en"/>
          </w:rPr>
          <w:t>treatment</w:t>
        </w:r>
      </w:hyperlink>
      <w:r w:rsidRPr="00127398">
        <w:rPr>
          <w:szCs w:val="20"/>
          <w:lang w:val="en"/>
        </w:rPr>
        <w:t xml:space="preserve"> of </w:t>
      </w:r>
      <w:hyperlink r:id="rId225" w:tooltip="deductions" w:history="1">
        <w:r w:rsidRPr="00127398">
          <w:rPr>
            <w:rStyle w:val="Hyperlink"/>
            <w:color w:val="auto"/>
            <w:szCs w:val="20"/>
            <w:u w:val="none"/>
            <w:lang w:val="en"/>
          </w:rPr>
          <w:t>deductions</w:t>
        </w:r>
      </w:hyperlink>
      <w:r w:rsidRPr="00127398">
        <w:rPr>
          <w:szCs w:val="20"/>
          <w:lang w:val="en"/>
        </w:rPr>
        <w:t xml:space="preserve"> and credits when only ordinary </w:t>
      </w:r>
      <w:hyperlink r:id="rId226" w:tooltip="income" w:history="1">
        <w:r w:rsidRPr="00127398">
          <w:rPr>
            <w:rStyle w:val="Hyperlink"/>
            <w:color w:val="auto"/>
            <w:szCs w:val="20"/>
            <w:u w:val="none"/>
            <w:lang w:val="en"/>
          </w:rPr>
          <w:t>income</w:t>
        </w:r>
      </w:hyperlink>
      <w:r w:rsidRPr="00127398">
        <w:rPr>
          <w:szCs w:val="20"/>
          <w:lang w:val="en"/>
        </w:rPr>
        <w:t xml:space="preserve"> is included in the portion.) </w:t>
      </w:r>
    </w:p>
    <w:p w:rsidR="00127398" w:rsidRPr="00127398" w:rsidRDefault="00127398" w:rsidP="00127398">
      <w:pPr>
        <w:pStyle w:val="QS10"/>
        <w:ind w:left="2160"/>
        <w:divId w:val="740101842"/>
        <w:rPr>
          <w:szCs w:val="20"/>
          <w:lang w:val="en"/>
        </w:rPr>
      </w:pPr>
      <w:r w:rsidRPr="00127398">
        <w:rPr>
          <w:b/>
          <w:szCs w:val="20"/>
          <w:lang w:val="en"/>
        </w:rPr>
        <w:t>(2)</w:t>
      </w:r>
      <w:r w:rsidRPr="00127398">
        <w:rPr>
          <w:szCs w:val="20"/>
          <w:lang w:val="en"/>
        </w:rPr>
        <w:t xml:space="preserve"> Only </w:t>
      </w:r>
      <w:hyperlink r:id="rId227" w:tooltip="income" w:history="1">
        <w:r w:rsidRPr="00127398">
          <w:rPr>
            <w:rStyle w:val="Hyperlink"/>
            <w:color w:val="auto"/>
            <w:szCs w:val="20"/>
            <w:u w:val="none"/>
            <w:lang w:val="en"/>
          </w:rPr>
          <w:t>income</w:t>
        </w:r>
      </w:hyperlink>
      <w:r w:rsidRPr="00127398">
        <w:rPr>
          <w:szCs w:val="20"/>
          <w:lang w:val="en"/>
        </w:rPr>
        <w:t xml:space="preserve"> allocable to corpus is included </w:t>
      </w:r>
      <w:hyperlink r:id="rId228" w:tooltip="by reason of" w:history="1">
        <w:r w:rsidRPr="00127398">
          <w:rPr>
            <w:rStyle w:val="Hyperlink"/>
            <w:color w:val="auto"/>
            <w:szCs w:val="20"/>
            <w:u w:val="none"/>
            <w:lang w:val="en"/>
          </w:rPr>
          <w:t>by reason of</w:t>
        </w:r>
      </w:hyperlink>
      <w:r w:rsidRPr="00127398">
        <w:rPr>
          <w:szCs w:val="20"/>
          <w:lang w:val="en"/>
        </w:rPr>
        <w:t xml:space="preserve"> an </w:t>
      </w:r>
      <w:hyperlink r:id="rId229" w:tooltip="interest" w:history="1">
        <w:r w:rsidRPr="00127398">
          <w:rPr>
            <w:rStyle w:val="Hyperlink"/>
            <w:color w:val="auto"/>
            <w:szCs w:val="20"/>
            <w:u w:val="none"/>
            <w:lang w:val="en"/>
          </w:rPr>
          <w:t>interest</w:t>
        </w:r>
      </w:hyperlink>
      <w:r w:rsidRPr="00127398">
        <w:rPr>
          <w:szCs w:val="20"/>
          <w:lang w:val="en"/>
        </w:rPr>
        <w:t xml:space="preserve"> in or a power over corpus alone, if satisfaction of the </w:t>
      </w:r>
      <w:hyperlink r:id="rId230" w:tooltip="interest" w:history="1">
        <w:r w:rsidRPr="00127398">
          <w:rPr>
            <w:rStyle w:val="Hyperlink"/>
            <w:color w:val="auto"/>
            <w:szCs w:val="20"/>
            <w:u w:val="none"/>
            <w:lang w:val="en"/>
          </w:rPr>
          <w:t>interest</w:t>
        </w:r>
      </w:hyperlink>
      <w:r w:rsidRPr="00127398">
        <w:rPr>
          <w:szCs w:val="20"/>
          <w:lang w:val="en"/>
        </w:rPr>
        <w:t xml:space="preserve"> or an </w:t>
      </w:r>
      <w:hyperlink r:id="rId231" w:tooltip="exercise" w:history="1">
        <w:r w:rsidRPr="00127398">
          <w:rPr>
            <w:rStyle w:val="Hyperlink"/>
            <w:color w:val="auto"/>
            <w:szCs w:val="20"/>
            <w:u w:val="none"/>
            <w:lang w:val="en"/>
          </w:rPr>
          <w:t>exercise</w:t>
        </w:r>
      </w:hyperlink>
      <w:r w:rsidRPr="00127398">
        <w:rPr>
          <w:szCs w:val="20"/>
          <w:lang w:val="en"/>
        </w:rPr>
        <w:t xml:space="preserve"> of the power will not </w:t>
      </w:r>
      <w:hyperlink r:id="rId232" w:tooltip="result" w:history="1">
        <w:r w:rsidRPr="00127398">
          <w:rPr>
            <w:rStyle w:val="Hyperlink"/>
            <w:color w:val="auto"/>
            <w:szCs w:val="20"/>
            <w:u w:val="none"/>
            <w:lang w:val="en"/>
          </w:rPr>
          <w:t>result</w:t>
        </w:r>
      </w:hyperlink>
      <w:r w:rsidRPr="00127398">
        <w:rPr>
          <w:szCs w:val="20"/>
          <w:lang w:val="en"/>
        </w:rPr>
        <w:t xml:space="preserve"> in an </w:t>
      </w:r>
      <w:hyperlink r:id="rId233" w:tooltip="interest" w:history="1">
        <w:r w:rsidRPr="00127398">
          <w:rPr>
            <w:rStyle w:val="Hyperlink"/>
            <w:color w:val="auto"/>
            <w:szCs w:val="20"/>
            <w:u w:val="none"/>
            <w:lang w:val="en"/>
          </w:rPr>
          <w:t>interest</w:t>
        </w:r>
      </w:hyperlink>
      <w:r w:rsidRPr="00127398">
        <w:rPr>
          <w:szCs w:val="20"/>
          <w:lang w:val="en"/>
        </w:rPr>
        <w:t xml:space="preserve"> in or the </w:t>
      </w:r>
      <w:hyperlink r:id="rId234" w:tooltip="exercise" w:history="1">
        <w:r w:rsidRPr="00127398">
          <w:rPr>
            <w:rStyle w:val="Hyperlink"/>
            <w:color w:val="auto"/>
            <w:szCs w:val="20"/>
            <w:u w:val="none"/>
            <w:lang w:val="en"/>
          </w:rPr>
          <w:t>exercise</w:t>
        </w:r>
      </w:hyperlink>
      <w:r w:rsidRPr="00127398">
        <w:rPr>
          <w:szCs w:val="20"/>
          <w:lang w:val="en"/>
        </w:rPr>
        <w:t xml:space="preserve"> of a power over ordinary </w:t>
      </w:r>
      <w:hyperlink r:id="rId235" w:tooltip="income" w:history="1">
        <w:r w:rsidRPr="00127398">
          <w:rPr>
            <w:rStyle w:val="Hyperlink"/>
            <w:color w:val="auto"/>
            <w:szCs w:val="20"/>
            <w:u w:val="none"/>
            <w:lang w:val="en"/>
          </w:rPr>
          <w:t>income</w:t>
        </w:r>
      </w:hyperlink>
      <w:r w:rsidRPr="00127398">
        <w:rPr>
          <w:szCs w:val="20"/>
          <w:lang w:val="en"/>
        </w:rPr>
        <w:t xml:space="preserve"> which would itself cause that </w:t>
      </w:r>
      <w:hyperlink r:id="rId236" w:tooltip="income" w:history="1">
        <w:r w:rsidRPr="00127398">
          <w:rPr>
            <w:rStyle w:val="Hyperlink"/>
            <w:color w:val="auto"/>
            <w:szCs w:val="20"/>
            <w:u w:val="none"/>
            <w:lang w:val="en"/>
          </w:rPr>
          <w:t>income</w:t>
        </w:r>
      </w:hyperlink>
      <w:r w:rsidRPr="00127398">
        <w:rPr>
          <w:szCs w:val="20"/>
          <w:lang w:val="en"/>
        </w:rPr>
        <w:t xml:space="preserve"> to be included. For </w:t>
      </w:r>
      <w:hyperlink r:id="rId237" w:tooltip="example" w:history="1">
        <w:r w:rsidRPr="00127398">
          <w:rPr>
            <w:rStyle w:val="Hyperlink"/>
            <w:color w:val="auto"/>
            <w:szCs w:val="20"/>
            <w:u w:val="none"/>
            <w:lang w:val="en"/>
          </w:rPr>
          <w:t>example</w:t>
        </w:r>
      </w:hyperlink>
      <w:r w:rsidRPr="00127398">
        <w:rPr>
          <w:szCs w:val="20"/>
          <w:lang w:val="en"/>
        </w:rPr>
        <w:t xml:space="preserve">, if a grantor has a reversionary </w:t>
      </w:r>
      <w:hyperlink r:id="rId238" w:tooltip="interest" w:history="1">
        <w:r w:rsidRPr="00127398">
          <w:rPr>
            <w:rStyle w:val="Hyperlink"/>
            <w:color w:val="auto"/>
            <w:szCs w:val="20"/>
            <w:u w:val="none"/>
            <w:lang w:val="en"/>
          </w:rPr>
          <w:t>interest</w:t>
        </w:r>
      </w:hyperlink>
      <w:r w:rsidRPr="00127398">
        <w:rPr>
          <w:szCs w:val="20"/>
          <w:lang w:val="en"/>
        </w:rPr>
        <w:t xml:space="preserve"> in a </w:t>
      </w:r>
      <w:hyperlink r:id="rId239" w:tooltip="trust" w:history="1">
        <w:r w:rsidRPr="00127398">
          <w:rPr>
            <w:rStyle w:val="Hyperlink"/>
            <w:color w:val="auto"/>
            <w:szCs w:val="20"/>
            <w:u w:val="none"/>
            <w:lang w:val="en"/>
          </w:rPr>
          <w:t>trust</w:t>
        </w:r>
      </w:hyperlink>
      <w:r w:rsidRPr="00127398">
        <w:rPr>
          <w:szCs w:val="20"/>
          <w:lang w:val="en"/>
        </w:rPr>
        <w:t xml:space="preserve"> which is not such as to require that he be treated as an </w:t>
      </w:r>
      <w:hyperlink r:id="rId240" w:tooltip="owner" w:history="1">
        <w:r w:rsidRPr="00127398">
          <w:rPr>
            <w:rStyle w:val="Hyperlink"/>
            <w:color w:val="auto"/>
            <w:szCs w:val="20"/>
            <w:u w:val="none"/>
            <w:lang w:val="en"/>
          </w:rPr>
          <w:t>owner</w:t>
        </w:r>
      </w:hyperlink>
      <w:r w:rsidRPr="00127398">
        <w:rPr>
          <w:szCs w:val="20"/>
          <w:lang w:val="en"/>
        </w:rPr>
        <w:t xml:space="preserve"> under section 673, he may nevertheless be treated as an </w:t>
      </w:r>
      <w:hyperlink r:id="rId241" w:tooltip="owner" w:history="1">
        <w:r w:rsidRPr="00127398">
          <w:rPr>
            <w:rStyle w:val="Hyperlink"/>
            <w:color w:val="auto"/>
            <w:szCs w:val="20"/>
            <w:u w:val="none"/>
            <w:lang w:val="en"/>
          </w:rPr>
          <w:t>owner</w:t>
        </w:r>
      </w:hyperlink>
      <w:r w:rsidRPr="00127398">
        <w:rPr>
          <w:szCs w:val="20"/>
          <w:lang w:val="en"/>
        </w:rPr>
        <w:t xml:space="preserve"> under section 677(a)(2) since any </w:t>
      </w:r>
      <w:hyperlink r:id="rId242" w:tooltip="income" w:history="1">
        <w:r w:rsidRPr="00127398">
          <w:rPr>
            <w:rStyle w:val="Hyperlink"/>
            <w:color w:val="auto"/>
            <w:szCs w:val="20"/>
            <w:u w:val="none"/>
            <w:lang w:val="en"/>
          </w:rPr>
          <w:t>income</w:t>
        </w:r>
      </w:hyperlink>
      <w:r w:rsidRPr="00127398">
        <w:rPr>
          <w:szCs w:val="20"/>
          <w:lang w:val="en"/>
        </w:rPr>
        <w:t xml:space="preserve"> allocable to corpus is accumulated for future distribution to him, but items of </w:t>
      </w:r>
      <w:hyperlink r:id="rId243" w:tooltip="income" w:history="1">
        <w:r w:rsidRPr="00127398">
          <w:rPr>
            <w:rStyle w:val="Hyperlink"/>
            <w:color w:val="auto"/>
            <w:szCs w:val="20"/>
            <w:u w:val="none"/>
            <w:lang w:val="en"/>
          </w:rPr>
          <w:t>income</w:t>
        </w:r>
      </w:hyperlink>
      <w:r w:rsidRPr="00127398">
        <w:rPr>
          <w:szCs w:val="20"/>
          <w:lang w:val="en"/>
        </w:rPr>
        <w:t xml:space="preserve"> included in determining ordinary </w:t>
      </w:r>
      <w:hyperlink r:id="rId244" w:tooltip="income" w:history="1">
        <w:r w:rsidRPr="00127398">
          <w:rPr>
            <w:rStyle w:val="Hyperlink"/>
            <w:color w:val="auto"/>
            <w:szCs w:val="20"/>
            <w:u w:val="none"/>
            <w:lang w:val="en"/>
          </w:rPr>
          <w:t>income</w:t>
        </w:r>
      </w:hyperlink>
      <w:r w:rsidRPr="00127398">
        <w:rPr>
          <w:szCs w:val="20"/>
          <w:lang w:val="en"/>
        </w:rPr>
        <w:t xml:space="preserve"> are not included in the portion he is treated as owning. Similarly, he may have a power over corpus which is such that he is treated as an </w:t>
      </w:r>
      <w:hyperlink r:id="rId245" w:tooltip="owner" w:history="1">
        <w:r w:rsidRPr="00127398">
          <w:rPr>
            <w:rStyle w:val="Hyperlink"/>
            <w:color w:val="auto"/>
            <w:szCs w:val="20"/>
            <w:u w:val="none"/>
            <w:lang w:val="en"/>
          </w:rPr>
          <w:t>owner</w:t>
        </w:r>
      </w:hyperlink>
      <w:r w:rsidRPr="00127398">
        <w:rPr>
          <w:szCs w:val="20"/>
          <w:lang w:val="en"/>
        </w:rPr>
        <w:t xml:space="preserve"> under section 674 or 676 </w:t>
      </w:r>
      <w:hyperlink r:id="rId246" w:tooltip="(a)" w:history="1">
        <w:r w:rsidRPr="00127398">
          <w:rPr>
            <w:rStyle w:val="Hyperlink"/>
            <w:color w:val="auto"/>
            <w:szCs w:val="20"/>
            <w:u w:val="none"/>
            <w:lang w:val="en"/>
          </w:rPr>
          <w:t>(a)</w:t>
        </w:r>
      </w:hyperlink>
      <w:r w:rsidRPr="00127398">
        <w:rPr>
          <w:szCs w:val="20"/>
          <w:lang w:val="en"/>
        </w:rPr>
        <w:t xml:space="preserve">, but ordinary </w:t>
      </w:r>
      <w:hyperlink r:id="rId247" w:tooltip="income" w:history="1">
        <w:r w:rsidRPr="00127398">
          <w:rPr>
            <w:rStyle w:val="Hyperlink"/>
            <w:color w:val="auto"/>
            <w:szCs w:val="20"/>
            <w:u w:val="none"/>
            <w:lang w:val="en"/>
          </w:rPr>
          <w:t>income</w:t>
        </w:r>
      </w:hyperlink>
      <w:r w:rsidRPr="00127398">
        <w:rPr>
          <w:szCs w:val="20"/>
          <w:lang w:val="en"/>
        </w:rPr>
        <w:t xml:space="preserve"> will not be included in the portion he owns, if his power can only affect </w:t>
      </w:r>
      <w:hyperlink r:id="rId248" w:tooltip="income" w:history="1">
        <w:r w:rsidRPr="00127398">
          <w:rPr>
            <w:rStyle w:val="Hyperlink"/>
            <w:color w:val="auto"/>
            <w:szCs w:val="20"/>
            <w:u w:val="none"/>
            <w:lang w:val="en"/>
          </w:rPr>
          <w:t>income</w:t>
        </w:r>
      </w:hyperlink>
      <w:r w:rsidRPr="00127398">
        <w:rPr>
          <w:szCs w:val="20"/>
          <w:lang w:val="en"/>
        </w:rPr>
        <w:t xml:space="preserve"> received after a period of time such that he would not be treated as an </w:t>
      </w:r>
      <w:hyperlink r:id="rId249" w:tooltip="owner" w:history="1">
        <w:r w:rsidRPr="00127398">
          <w:rPr>
            <w:rStyle w:val="Hyperlink"/>
            <w:color w:val="auto"/>
            <w:szCs w:val="20"/>
            <w:u w:val="none"/>
            <w:lang w:val="en"/>
          </w:rPr>
          <w:t>owner</w:t>
        </w:r>
      </w:hyperlink>
      <w:r w:rsidRPr="00127398">
        <w:rPr>
          <w:szCs w:val="20"/>
          <w:lang w:val="en"/>
        </w:rPr>
        <w:t xml:space="preserve"> of the </w:t>
      </w:r>
      <w:hyperlink r:id="rId250" w:tooltip="income" w:history="1">
        <w:r w:rsidRPr="00127398">
          <w:rPr>
            <w:rStyle w:val="Hyperlink"/>
            <w:color w:val="auto"/>
            <w:szCs w:val="20"/>
            <w:u w:val="none"/>
            <w:lang w:val="en"/>
          </w:rPr>
          <w:t>income</w:t>
        </w:r>
      </w:hyperlink>
      <w:r w:rsidRPr="00127398">
        <w:rPr>
          <w:szCs w:val="20"/>
          <w:lang w:val="en"/>
        </w:rPr>
        <w:t xml:space="preserve"> if the power were a reversionary </w:t>
      </w:r>
      <w:hyperlink r:id="rId251" w:tooltip="interest" w:history="1">
        <w:r w:rsidRPr="00127398">
          <w:rPr>
            <w:rStyle w:val="Hyperlink"/>
            <w:color w:val="auto"/>
            <w:szCs w:val="20"/>
            <w:u w:val="none"/>
            <w:lang w:val="en"/>
          </w:rPr>
          <w:t>interest</w:t>
        </w:r>
      </w:hyperlink>
      <w:r w:rsidRPr="00127398">
        <w:rPr>
          <w:szCs w:val="20"/>
          <w:lang w:val="en"/>
        </w:rPr>
        <w:t xml:space="preserve">. (See </w:t>
      </w:r>
      <w:hyperlink r:id="rId252" w:anchor="c" w:tooltip="paragraph (c)" w:history="1">
        <w:r w:rsidRPr="00127398">
          <w:rPr>
            <w:rStyle w:val="Hyperlink"/>
            <w:color w:val="auto"/>
            <w:szCs w:val="20"/>
            <w:u w:val="none"/>
            <w:lang w:val="en"/>
          </w:rPr>
          <w:t>paragraph (c)</w:t>
        </w:r>
      </w:hyperlink>
      <w:r w:rsidRPr="00127398">
        <w:rPr>
          <w:szCs w:val="20"/>
          <w:lang w:val="en"/>
        </w:rPr>
        <w:t xml:space="preserve"> of this section to determine the </w:t>
      </w:r>
      <w:hyperlink r:id="rId253" w:tooltip="treatment" w:history="1">
        <w:r w:rsidRPr="00127398">
          <w:rPr>
            <w:rStyle w:val="Hyperlink"/>
            <w:color w:val="auto"/>
            <w:szCs w:val="20"/>
            <w:u w:val="none"/>
            <w:lang w:val="en"/>
          </w:rPr>
          <w:t>treatment</w:t>
        </w:r>
      </w:hyperlink>
      <w:r w:rsidRPr="00127398">
        <w:rPr>
          <w:szCs w:val="20"/>
          <w:lang w:val="en"/>
        </w:rPr>
        <w:t xml:space="preserve"> of </w:t>
      </w:r>
      <w:hyperlink r:id="rId254" w:tooltip="deductions" w:history="1">
        <w:r w:rsidRPr="00127398">
          <w:rPr>
            <w:rStyle w:val="Hyperlink"/>
            <w:color w:val="auto"/>
            <w:szCs w:val="20"/>
            <w:u w:val="none"/>
            <w:lang w:val="en"/>
          </w:rPr>
          <w:t>deductions</w:t>
        </w:r>
      </w:hyperlink>
      <w:r w:rsidRPr="00127398">
        <w:rPr>
          <w:szCs w:val="20"/>
          <w:lang w:val="en"/>
        </w:rPr>
        <w:t xml:space="preserve"> and credits when only </w:t>
      </w:r>
      <w:hyperlink r:id="rId255" w:tooltip="income" w:history="1">
        <w:r w:rsidRPr="00127398">
          <w:rPr>
            <w:rStyle w:val="Hyperlink"/>
            <w:color w:val="auto"/>
            <w:szCs w:val="20"/>
            <w:u w:val="none"/>
            <w:lang w:val="en"/>
          </w:rPr>
          <w:t>income</w:t>
        </w:r>
      </w:hyperlink>
      <w:r w:rsidRPr="00127398">
        <w:rPr>
          <w:szCs w:val="20"/>
          <w:lang w:val="en"/>
        </w:rPr>
        <w:t xml:space="preserve"> allocated to corpus is included in the portion.) </w:t>
      </w:r>
    </w:p>
    <w:p w:rsidR="00127398" w:rsidRPr="00127398" w:rsidRDefault="00127398" w:rsidP="00127398">
      <w:pPr>
        <w:pStyle w:val="QS10"/>
        <w:ind w:left="2160"/>
        <w:divId w:val="740101842"/>
        <w:rPr>
          <w:szCs w:val="20"/>
          <w:lang w:val="en"/>
        </w:rPr>
      </w:pPr>
      <w:r w:rsidRPr="00127398">
        <w:rPr>
          <w:b/>
          <w:szCs w:val="20"/>
          <w:lang w:val="en"/>
        </w:rPr>
        <w:t>(3)</w:t>
      </w:r>
      <w:r w:rsidRPr="00127398">
        <w:rPr>
          <w:szCs w:val="20"/>
          <w:lang w:val="en"/>
        </w:rPr>
        <w:t xml:space="preserve"> Both ordinary </w:t>
      </w:r>
      <w:hyperlink r:id="rId256" w:tooltip="income" w:history="1">
        <w:r w:rsidRPr="00127398">
          <w:rPr>
            <w:rStyle w:val="Hyperlink"/>
            <w:color w:val="auto"/>
            <w:szCs w:val="20"/>
            <w:u w:val="none"/>
            <w:lang w:val="en"/>
          </w:rPr>
          <w:t>income</w:t>
        </w:r>
      </w:hyperlink>
      <w:r w:rsidRPr="00127398">
        <w:rPr>
          <w:szCs w:val="20"/>
          <w:lang w:val="en"/>
        </w:rPr>
        <w:t xml:space="preserve"> and </w:t>
      </w:r>
      <w:hyperlink r:id="rId257" w:tooltip="other income" w:history="1">
        <w:r w:rsidRPr="00127398">
          <w:rPr>
            <w:rStyle w:val="Hyperlink"/>
            <w:color w:val="auto"/>
            <w:szCs w:val="20"/>
            <w:u w:val="none"/>
            <w:lang w:val="en"/>
          </w:rPr>
          <w:t>other income</w:t>
        </w:r>
      </w:hyperlink>
      <w:r w:rsidRPr="00127398">
        <w:rPr>
          <w:szCs w:val="20"/>
          <w:lang w:val="en"/>
        </w:rPr>
        <w:t xml:space="preserve"> allocable to corpus are included </w:t>
      </w:r>
      <w:hyperlink r:id="rId258" w:tooltip="by reason of" w:history="1">
        <w:r w:rsidRPr="00127398">
          <w:rPr>
            <w:rStyle w:val="Hyperlink"/>
            <w:color w:val="auto"/>
            <w:szCs w:val="20"/>
            <w:u w:val="none"/>
            <w:lang w:val="en"/>
          </w:rPr>
          <w:t>by reason of</w:t>
        </w:r>
      </w:hyperlink>
      <w:r w:rsidRPr="00127398">
        <w:rPr>
          <w:szCs w:val="20"/>
          <w:lang w:val="en"/>
        </w:rPr>
        <w:t xml:space="preserve"> an </w:t>
      </w:r>
      <w:hyperlink r:id="rId259" w:tooltip="interest" w:history="1">
        <w:r w:rsidRPr="00127398">
          <w:rPr>
            <w:rStyle w:val="Hyperlink"/>
            <w:color w:val="auto"/>
            <w:szCs w:val="20"/>
            <w:u w:val="none"/>
            <w:lang w:val="en"/>
          </w:rPr>
          <w:t>interest</w:t>
        </w:r>
      </w:hyperlink>
      <w:r w:rsidRPr="00127398">
        <w:rPr>
          <w:szCs w:val="20"/>
          <w:lang w:val="en"/>
        </w:rPr>
        <w:t xml:space="preserve"> in or a power over both ordinary </w:t>
      </w:r>
      <w:hyperlink r:id="rId260" w:tooltip="income" w:history="1">
        <w:r w:rsidRPr="00127398">
          <w:rPr>
            <w:rStyle w:val="Hyperlink"/>
            <w:color w:val="auto"/>
            <w:szCs w:val="20"/>
            <w:u w:val="none"/>
            <w:lang w:val="en"/>
          </w:rPr>
          <w:t>income</w:t>
        </w:r>
      </w:hyperlink>
      <w:r w:rsidRPr="00127398">
        <w:rPr>
          <w:szCs w:val="20"/>
          <w:lang w:val="en"/>
        </w:rPr>
        <w:t xml:space="preserve"> and corpus, or an </w:t>
      </w:r>
      <w:hyperlink r:id="rId261" w:tooltip="interest" w:history="1">
        <w:r w:rsidRPr="00127398">
          <w:rPr>
            <w:rStyle w:val="Hyperlink"/>
            <w:color w:val="auto"/>
            <w:szCs w:val="20"/>
            <w:u w:val="none"/>
            <w:lang w:val="en"/>
          </w:rPr>
          <w:t>interest</w:t>
        </w:r>
      </w:hyperlink>
      <w:r w:rsidRPr="00127398">
        <w:rPr>
          <w:szCs w:val="20"/>
          <w:lang w:val="en"/>
        </w:rPr>
        <w:t xml:space="preserve"> in or a power over corpus alone which does not come within the provisions of subparagraph (2) of this paragraph. For </w:t>
      </w:r>
      <w:hyperlink r:id="rId262" w:tooltip="example" w:history="1">
        <w:r w:rsidRPr="00127398">
          <w:rPr>
            <w:rStyle w:val="Hyperlink"/>
            <w:color w:val="auto"/>
            <w:szCs w:val="20"/>
            <w:u w:val="none"/>
            <w:lang w:val="en"/>
          </w:rPr>
          <w:t>example</w:t>
        </w:r>
      </w:hyperlink>
      <w:r w:rsidRPr="00127398">
        <w:rPr>
          <w:szCs w:val="20"/>
          <w:lang w:val="en"/>
        </w:rPr>
        <w:t xml:space="preserve">, if a grantor is treated under section 673 as the </w:t>
      </w:r>
      <w:hyperlink r:id="rId263" w:tooltip="owner" w:history="1">
        <w:r w:rsidRPr="00127398">
          <w:rPr>
            <w:rStyle w:val="Hyperlink"/>
            <w:color w:val="auto"/>
            <w:szCs w:val="20"/>
            <w:u w:val="none"/>
            <w:lang w:val="en"/>
          </w:rPr>
          <w:t>owner</w:t>
        </w:r>
      </w:hyperlink>
      <w:r w:rsidRPr="00127398">
        <w:rPr>
          <w:szCs w:val="20"/>
          <w:lang w:val="en"/>
        </w:rPr>
        <w:t xml:space="preserve"> of a portion of a </w:t>
      </w:r>
      <w:hyperlink r:id="rId264" w:tooltip="trust" w:history="1">
        <w:r w:rsidRPr="00127398">
          <w:rPr>
            <w:rStyle w:val="Hyperlink"/>
            <w:color w:val="auto"/>
            <w:szCs w:val="20"/>
            <w:u w:val="none"/>
            <w:lang w:val="en"/>
          </w:rPr>
          <w:t>trust</w:t>
        </w:r>
      </w:hyperlink>
      <w:r w:rsidRPr="00127398">
        <w:rPr>
          <w:szCs w:val="20"/>
          <w:lang w:val="en"/>
        </w:rPr>
        <w:t xml:space="preserve"> </w:t>
      </w:r>
      <w:hyperlink r:id="rId265" w:tooltip="by reason of" w:history="1">
        <w:r w:rsidRPr="00127398">
          <w:rPr>
            <w:rStyle w:val="Hyperlink"/>
            <w:color w:val="auto"/>
            <w:szCs w:val="20"/>
            <w:u w:val="none"/>
            <w:lang w:val="en"/>
          </w:rPr>
          <w:t>by reason of</w:t>
        </w:r>
      </w:hyperlink>
      <w:r w:rsidRPr="00127398">
        <w:rPr>
          <w:szCs w:val="20"/>
          <w:lang w:val="en"/>
        </w:rPr>
        <w:t xml:space="preserve"> a reversionary </w:t>
      </w:r>
      <w:hyperlink r:id="rId266" w:tooltip="interest" w:history="1">
        <w:r w:rsidRPr="00127398">
          <w:rPr>
            <w:rStyle w:val="Hyperlink"/>
            <w:color w:val="auto"/>
            <w:szCs w:val="20"/>
            <w:u w:val="none"/>
            <w:lang w:val="en"/>
          </w:rPr>
          <w:t>interest</w:t>
        </w:r>
      </w:hyperlink>
      <w:r w:rsidRPr="00127398">
        <w:rPr>
          <w:szCs w:val="20"/>
          <w:lang w:val="en"/>
        </w:rPr>
        <w:t xml:space="preserve"> in corpus, both ordinary </w:t>
      </w:r>
      <w:hyperlink r:id="rId267" w:tooltip="income" w:history="1">
        <w:r w:rsidRPr="00127398">
          <w:rPr>
            <w:rStyle w:val="Hyperlink"/>
            <w:color w:val="auto"/>
            <w:szCs w:val="20"/>
            <w:u w:val="none"/>
            <w:lang w:val="en"/>
          </w:rPr>
          <w:t>income</w:t>
        </w:r>
      </w:hyperlink>
      <w:r w:rsidRPr="00127398">
        <w:rPr>
          <w:szCs w:val="20"/>
          <w:lang w:val="en"/>
        </w:rPr>
        <w:t xml:space="preserve"> and </w:t>
      </w:r>
      <w:hyperlink r:id="rId268" w:tooltip="other income" w:history="1">
        <w:r w:rsidRPr="00127398">
          <w:rPr>
            <w:rStyle w:val="Hyperlink"/>
            <w:color w:val="auto"/>
            <w:szCs w:val="20"/>
            <w:u w:val="none"/>
            <w:lang w:val="en"/>
          </w:rPr>
          <w:t>other income</w:t>
        </w:r>
      </w:hyperlink>
      <w:r w:rsidRPr="00127398">
        <w:rPr>
          <w:szCs w:val="20"/>
          <w:lang w:val="en"/>
        </w:rPr>
        <w:t xml:space="preserve"> allocable to corpus are included in the portion. Further, a grantor includes both ordinary </w:t>
      </w:r>
      <w:hyperlink r:id="rId269" w:tooltip="income" w:history="1">
        <w:r w:rsidRPr="00127398">
          <w:rPr>
            <w:rStyle w:val="Hyperlink"/>
            <w:color w:val="auto"/>
            <w:szCs w:val="20"/>
            <w:u w:val="none"/>
            <w:lang w:val="en"/>
          </w:rPr>
          <w:t>income</w:t>
        </w:r>
      </w:hyperlink>
      <w:r w:rsidRPr="00127398">
        <w:rPr>
          <w:szCs w:val="20"/>
          <w:lang w:val="en"/>
        </w:rPr>
        <w:t xml:space="preserve"> and </w:t>
      </w:r>
      <w:hyperlink r:id="rId270" w:tooltip="other income" w:history="1">
        <w:r w:rsidRPr="00127398">
          <w:rPr>
            <w:rStyle w:val="Hyperlink"/>
            <w:color w:val="auto"/>
            <w:szCs w:val="20"/>
            <w:u w:val="none"/>
            <w:lang w:val="en"/>
          </w:rPr>
          <w:t>other income</w:t>
        </w:r>
      </w:hyperlink>
      <w:r w:rsidRPr="00127398">
        <w:rPr>
          <w:szCs w:val="20"/>
          <w:lang w:val="en"/>
        </w:rPr>
        <w:t xml:space="preserve"> allocable to corpus in the portion he is treated as owning if he is treated under section 674 or 676 as an </w:t>
      </w:r>
      <w:hyperlink r:id="rId271" w:tooltip="owner" w:history="1">
        <w:r w:rsidRPr="00127398">
          <w:rPr>
            <w:rStyle w:val="Hyperlink"/>
            <w:color w:val="auto"/>
            <w:szCs w:val="20"/>
            <w:u w:val="none"/>
            <w:lang w:val="en"/>
          </w:rPr>
          <w:t>owner</w:t>
        </w:r>
      </w:hyperlink>
      <w:r w:rsidRPr="00127398">
        <w:rPr>
          <w:szCs w:val="20"/>
          <w:lang w:val="en"/>
        </w:rPr>
        <w:t xml:space="preserve"> because of a power over corpus which can affect </w:t>
      </w:r>
      <w:hyperlink r:id="rId272" w:tooltip="income" w:history="1">
        <w:r w:rsidRPr="00127398">
          <w:rPr>
            <w:rStyle w:val="Hyperlink"/>
            <w:color w:val="auto"/>
            <w:szCs w:val="20"/>
            <w:u w:val="none"/>
            <w:lang w:val="en"/>
          </w:rPr>
          <w:t>income</w:t>
        </w:r>
      </w:hyperlink>
      <w:r w:rsidRPr="00127398">
        <w:rPr>
          <w:szCs w:val="20"/>
          <w:lang w:val="en"/>
        </w:rPr>
        <w:t xml:space="preserve"> received within a period such that he would be treated as an </w:t>
      </w:r>
      <w:hyperlink r:id="rId273" w:tooltip="owner" w:history="1">
        <w:r w:rsidRPr="00127398">
          <w:rPr>
            <w:rStyle w:val="Hyperlink"/>
            <w:color w:val="auto"/>
            <w:szCs w:val="20"/>
            <w:u w:val="none"/>
            <w:lang w:val="en"/>
          </w:rPr>
          <w:t>owner</w:t>
        </w:r>
      </w:hyperlink>
      <w:r w:rsidRPr="00127398">
        <w:rPr>
          <w:szCs w:val="20"/>
          <w:lang w:val="en"/>
        </w:rPr>
        <w:t xml:space="preserve"> under section 673 if the power were a reversionary </w:t>
      </w:r>
      <w:hyperlink r:id="rId274" w:tooltip="interest" w:history="1">
        <w:r w:rsidRPr="00127398">
          <w:rPr>
            <w:rStyle w:val="Hyperlink"/>
            <w:color w:val="auto"/>
            <w:szCs w:val="20"/>
            <w:u w:val="none"/>
            <w:lang w:val="en"/>
          </w:rPr>
          <w:t>interest</w:t>
        </w:r>
      </w:hyperlink>
      <w:r w:rsidRPr="00127398">
        <w:rPr>
          <w:szCs w:val="20"/>
          <w:lang w:val="en"/>
        </w:rPr>
        <w:t xml:space="preserve">. Similarly, a grantor or another </w:t>
      </w:r>
      <w:hyperlink r:id="rId275" w:tooltip="person" w:history="1">
        <w:r w:rsidRPr="00127398">
          <w:rPr>
            <w:rStyle w:val="Hyperlink"/>
            <w:color w:val="auto"/>
            <w:szCs w:val="20"/>
            <w:u w:val="none"/>
            <w:lang w:val="en"/>
          </w:rPr>
          <w:t>person</w:t>
        </w:r>
      </w:hyperlink>
      <w:r w:rsidRPr="00127398">
        <w:rPr>
          <w:szCs w:val="20"/>
          <w:lang w:val="en"/>
        </w:rPr>
        <w:t xml:space="preserve"> includes both ordinary </w:t>
      </w:r>
      <w:hyperlink r:id="rId276" w:tooltip="income" w:history="1">
        <w:r w:rsidRPr="00127398">
          <w:rPr>
            <w:rStyle w:val="Hyperlink"/>
            <w:color w:val="auto"/>
            <w:szCs w:val="20"/>
            <w:u w:val="none"/>
            <w:lang w:val="en"/>
          </w:rPr>
          <w:t>income</w:t>
        </w:r>
      </w:hyperlink>
      <w:r w:rsidRPr="00127398">
        <w:rPr>
          <w:szCs w:val="20"/>
          <w:lang w:val="en"/>
        </w:rPr>
        <w:t xml:space="preserve"> and </w:t>
      </w:r>
      <w:hyperlink r:id="rId277" w:tooltip="other income" w:history="1">
        <w:r w:rsidRPr="00127398">
          <w:rPr>
            <w:rStyle w:val="Hyperlink"/>
            <w:color w:val="auto"/>
            <w:szCs w:val="20"/>
            <w:u w:val="none"/>
            <w:lang w:val="en"/>
          </w:rPr>
          <w:t>other income</w:t>
        </w:r>
      </w:hyperlink>
      <w:r w:rsidRPr="00127398">
        <w:rPr>
          <w:szCs w:val="20"/>
          <w:lang w:val="en"/>
        </w:rPr>
        <w:t xml:space="preserve"> allocable to corpus in the portion he is treated as owning if he is treated as an </w:t>
      </w:r>
      <w:hyperlink r:id="rId278" w:tooltip="owner" w:history="1">
        <w:r w:rsidRPr="00127398">
          <w:rPr>
            <w:rStyle w:val="Hyperlink"/>
            <w:color w:val="auto"/>
            <w:szCs w:val="20"/>
            <w:u w:val="none"/>
            <w:lang w:val="en"/>
          </w:rPr>
          <w:t>owner</w:t>
        </w:r>
      </w:hyperlink>
      <w:r w:rsidRPr="00127398">
        <w:rPr>
          <w:szCs w:val="20"/>
          <w:lang w:val="en"/>
        </w:rPr>
        <w:t xml:space="preserve"> under section 675 or 678 because of a power over corpus. </w:t>
      </w:r>
    </w:p>
    <w:p w:rsidR="00127398" w:rsidRPr="00127398" w:rsidRDefault="00127398" w:rsidP="00127398">
      <w:pPr>
        <w:pStyle w:val="QS10"/>
        <w:divId w:val="740101842"/>
        <w:rPr>
          <w:szCs w:val="20"/>
          <w:lang w:val="en"/>
        </w:rPr>
      </w:pPr>
      <w:r w:rsidRPr="00127398">
        <w:rPr>
          <w:b/>
          <w:szCs w:val="20"/>
          <w:lang w:val="en"/>
        </w:rPr>
        <w:t>(c)</w:t>
      </w:r>
      <w:r w:rsidRPr="00127398">
        <w:rPr>
          <w:szCs w:val="20"/>
          <w:lang w:val="en"/>
        </w:rPr>
        <w:t xml:space="preserve"> If only </w:t>
      </w:r>
      <w:hyperlink r:id="rId279" w:tooltip="income" w:history="1">
        <w:r w:rsidRPr="00127398">
          <w:rPr>
            <w:rStyle w:val="Hyperlink"/>
            <w:color w:val="auto"/>
            <w:szCs w:val="20"/>
            <w:u w:val="none"/>
            <w:lang w:val="en"/>
          </w:rPr>
          <w:t>income</w:t>
        </w:r>
      </w:hyperlink>
      <w:r w:rsidRPr="00127398">
        <w:rPr>
          <w:szCs w:val="20"/>
          <w:lang w:val="en"/>
        </w:rPr>
        <w:t xml:space="preserve"> allocable to corpus is included in computing a grantor's </w:t>
      </w:r>
      <w:hyperlink r:id="rId280" w:tooltip="tax liability" w:history="1">
        <w:r w:rsidRPr="00127398">
          <w:rPr>
            <w:rStyle w:val="Hyperlink"/>
            <w:color w:val="auto"/>
            <w:szCs w:val="20"/>
            <w:u w:val="none"/>
            <w:lang w:val="en"/>
          </w:rPr>
          <w:t>tax liability</w:t>
        </w:r>
      </w:hyperlink>
      <w:r w:rsidRPr="00127398">
        <w:rPr>
          <w:szCs w:val="20"/>
          <w:lang w:val="en"/>
        </w:rPr>
        <w:t xml:space="preserve">, he will take into </w:t>
      </w:r>
      <w:hyperlink r:id="rId281" w:tooltip="account" w:history="1">
        <w:r w:rsidRPr="00127398">
          <w:rPr>
            <w:rStyle w:val="Hyperlink"/>
            <w:color w:val="auto"/>
            <w:szCs w:val="20"/>
            <w:u w:val="none"/>
            <w:lang w:val="en"/>
          </w:rPr>
          <w:t>account</w:t>
        </w:r>
      </w:hyperlink>
      <w:r w:rsidRPr="00127398">
        <w:rPr>
          <w:szCs w:val="20"/>
          <w:lang w:val="en"/>
        </w:rPr>
        <w:t xml:space="preserve"> in that </w:t>
      </w:r>
      <w:hyperlink r:id="rId282" w:tooltip="computation" w:history="1">
        <w:r w:rsidRPr="00127398">
          <w:rPr>
            <w:rStyle w:val="Hyperlink"/>
            <w:color w:val="auto"/>
            <w:szCs w:val="20"/>
            <w:u w:val="none"/>
            <w:lang w:val="en"/>
          </w:rPr>
          <w:t>computation</w:t>
        </w:r>
      </w:hyperlink>
      <w:r w:rsidRPr="00127398">
        <w:rPr>
          <w:szCs w:val="20"/>
          <w:lang w:val="en"/>
        </w:rPr>
        <w:t xml:space="preserve"> only those items of </w:t>
      </w:r>
      <w:hyperlink r:id="rId283" w:tooltip="income" w:history="1">
        <w:r w:rsidRPr="00127398">
          <w:rPr>
            <w:rStyle w:val="Hyperlink"/>
            <w:color w:val="auto"/>
            <w:szCs w:val="20"/>
            <w:u w:val="none"/>
            <w:lang w:val="en"/>
          </w:rPr>
          <w:t>income</w:t>
        </w:r>
      </w:hyperlink>
      <w:r w:rsidRPr="00127398">
        <w:rPr>
          <w:szCs w:val="20"/>
          <w:lang w:val="en"/>
        </w:rPr>
        <w:t xml:space="preserve">, </w:t>
      </w:r>
      <w:hyperlink r:id="rId284" w:tooltip="deductions" w:history="1">
        <w:r w:rsidRPr="00127398">
          <w:rPr>
            <w:rStyle w:val="Hyperlink"/>
            <w:color w:val="auto"/>
            <w:szCs w:val="20"/>
            <w:u w:val="none"/>
            <w:lang w:val="en"/>
          </w:rPr>
          <w:t>deductions</w:t>
        </w:r>
      </w:hyperlink>
      <w:r w:rsidRPr="00127398">
        <w:rPr>
          <w:szCs w:val="20"/>
          <w:lang w:val="en"/>
        </w:rPr>
        <w:t xml:space="preserve">, and credit which would not be included under subparts A through D in the </w:t>
      </w:r>
      <w:hyperlink r:id="rId285" w:tooltip="computation" w:history="1">
        <w:r w:rsidRPr="00127398">
          <w:rPr>
            <w:rStyle w:val="Hyperlink"/>
            <w:color w:val="auto"/>
            <w:szCs w:val="20"/>
            <w:u w:val="none"/>
            <w:lang w:val="en"/>
          </w:rPr>
          <w:t>computation</w:t>
        </w:r>
      </w:hyperlink>
      <w:r w:rsidRPr="00127398">
        <w:rPr>
          <w:szCs w:val="20"/>
          <w:lang w:val="en"/>
        </w:rPr>
        <w:t xml:space="preserve"> of the </w:t>
      </w:r>
      <w:hyperlink r:id="rId286" w:tooltip="tax liability" w:history="1">
        <w:r w:rsidRPr="00127398">
          <w:rPr>
            <w:rStyle w:val="Hyperlink"/>
            <w:color w:val="auto"/>
            <w:szCs w:val="20"/>
            <w:u w:val="none"/>
            <w:lang w:val="en"/>
          </w:rPr>
          <w:t>tax liability</w:t>
        </w:r>
      </w:hyperlink>
      <w:r w:rsidRPr="00127398">
        <w:rPr>
          <w:szCs w:val="20"/>
          <w:lang w:val="en"/>
        </w:rPr>
        <w:t xml:space="preserve"> of the current </w:t>
      </w:r>
      <w:hyperlink r:id="rId287" w:tooltip="income" w:history="1">
        <w:r w:rsidRPr="00127398">
          <w:rPr>
            <w:rStyle w:val="Hyperlink"/>
            <w:color w:val="auto"/>
            <w:szCs w:val="20"/>
            <w:u w:val="none"/>
            <w:lang w:val="en"/>
          </w:rPr>
          <w:t>income</w:t>
        </w:r>
      </w:hyperlink>
      <w:r w:rsidRPr="00127398">
        <w:rPr>
          <w:szCs w:val="20"/>
          <w:lang w:val="en"/>
        </w:rPr>
        <w:t xml:space="preserve"> beneficiaries if all </w:t>
      </w:r>
      <w:hyperlink r:id="rId288" w:tooltip="distributable net income" w:history="1">
        <w:r w:rsidRPr="00127398">
          <w:rPr>
            <w:rStyle w:val="Hyperlink"/>
            <w:color w:val="auto"/>
            <w:szCs w:val="20"/>
            <w:u w:val="none"/>
            <w:lang w:val="en"/>
          </w:rPr>
          <w:t>distributable net income</w:t>
        </w:r>
      </w:hyperlink>
      <w:r w:rsidRPr="00127398">
        <w:rPr>
          <w:szCs w:val="20"/>
          <w:lang w:val="en"/>
        </w:rPr>
        <w:t xml:space="preserve"> had actually been distributed to those beneficiaries. On the other hand, if the grantor or another </w:t>
      </w:r>
      <w:hyperlink r:id="rId289" w:tooltip="person" w:history="1">
        <w:r w:rsidRPr="00127398">
          <w:rPr>
            <w:rStyle w:val="Hyperlink"/>
            <w:color w:val="auto"/>
            <w:szCs w:val="20"/>
            <w:u w:val="none"/>
            <w:lang w:val="en"/>
          </w:rPr>
          <w:t>person</w:t>
        </w:r>
      </w:hyperlink>
      <w:r w:rsidRPr="00127398">
        <w:rPr>
          <w:szCs w:val="20"/>
          <w:lang w:val="en"/>
        </w:rPr>
        <w:t xml:space="preserve"> is treated as an </w:t>
      </w:r>
      <w:hyperlink r:id="rId290" w:tooltip="owner" w:history="1">
        <w:r w:rsidRPr="00127398">
          <w:rPr>
            <w:rStyle w:val="Hyperlink"/>
            <w:color w:val="auto"/>
            <w:szCs w:val="20"/>
            <w:u w:val="none"/>
            <w:lang w:val="en"/>
          </w:rPr>
          <w:t>owner</w:t>
        </w:r>
      </w:hyperlink>
      <w:r w:rsidRPr="00127398">
        <w:rPr>
          <w:szCs w:val="20"/>
          <w:lang w:val="en"/>
        </w:rPr>
        <w:t xml:space="preserve"> solely because of his </w:t>
      </w:r>
      <w:hyperlink r:id="rId291" w:tooltip="interest" w:history="1">
        <w:r w:rsidRPr="00127398">
          <w:rPr>
            <w:rStyle w:val="Hyperlink"/>
            <w:color w:val="auto"/>
            <w:szCs w:val="20"/>
            <w:u w:val="none"/>
            <w:lang w:val="en"/>
          </w:rPr>
          <w:t>interest</w:t>
        </w:r>
      </w:hyperlink>
      <w:r w:rsidRPr="00127398">
        <w:rPr>
          <w:szCs w:val="20"/>
          <w:lang w:val="en"/>
        </w:rPr>
        <w:t xml:space="preserve"> in or power over ordinary </w:t>
      </w:r>
      <w:hyperlink r:id="rId292" w:tooltip="income" w:history="1">
        <w:r w:rsidRPr="00127398">
          <w:rPr>
            <w:rStyle w:val="Hyperlink"/>
            <w:color w:val="auto"/>
            <w:szCs w:val="20"/>
            <w:u w:val="none"/>
            <w:lang w:val="en"/>
          </w:rPr>
          <w:t>income</w:t>
        </w:r>
      </w:hyperlink>
      <w:r w:rsidRPr="00127398">
        <w:rPr>
          <w:szCs w:val="20"/>
          <w:lang w:val="en"/>
        </w:rPr>
        <w:t xml:space="preserve"> alone, he will take into </w:t>
      </w:r>
      <w:hyperlink r:id="rId293" w:tooltip="account" w:history="1">
        <w:r w:rsidRPr="00127398">
          <w:rPr>
            <w:rStyle w:val="Hyperlink"/>
            <w:color w:val="auto"/>
            <w:szCs w:val="20"/>
            <w:u w:val="none"/>
            <w:lang w:val="en"/>
          </w:rPr>
          <w:t>account</w:t>
        </w:r>
      </w:hyperlink>
      <w:r w:rsidRPr="00127398">
        <w:rPr>
          <w:szCs w:val="20"/>
          <w:lang w:val="en"/>
        </w:rPr>
        <w:t xml:space="preserve"> in computing his </w:t>
      </w:r>
      <w:hyperlink r:id="rId294" w:tooltip="tax liability" w:history="1">
        <w:r w:rsidRPr="00127398">
          <w:rPr>
            <w:rStyle w:val="Hyperlink"/>
            <w:color w:val="auto"/>
            <w:szCs w:val="20"/>
            <w:u w:val="none"/>
            <w:lang w:val="en"/>
          </w:rPr>
          <w:t>tax liability</w:t>
        </w:r>
      </w:hyperlink>
      <w:r w:rsidRPr="00127398">
        <w:rPr>
          <w:szCs w:val="20"/>
          <w:lang w:val="en"/>
        </w:rPr>
        <w:t xml:space="preserve"> those items which would be included in computing the </w:t>
      </w:r>
      <w:hyperlink r:id="rId295" w:tooltip="tax liability" w:history="1">
        <w:r w:rsidRPr="00127398">
          <w:rPr>
            <w:rStyle w:val="Hyperlink"/>
            <w:color w:val="auto"/>
            <w:szCs w:val="20"/>
            <w:u w:val="none"/>
            <w:lang w:val="en"/>
          </w:rPr>
          <w:t>tax liability</w:t>
        </w:r>
      </w:hyperlink>
      <w:r w:rsidRPr="00127398">
        <w:rPr>
          <w:szCs w:val="20"/>
          <w:lang w:val="en"/>
        </w:rPr>
        <w:t xml:space="preserve"> of a current </w:t>
      </w:r>
      <w:hyperlink r:id="rId296" w:tooltip="income" w:history="1">
        <w:r w:rsidRPr="00127398">
          <w:rPr>
            <w:rStyle w:val="Hyperlink"/>
            <w:color w:val="auto"/>
            <w:szCs w:val="20"/>
            <w:u w:val="none"/>
            <w:lang w:val="en"/>
          </w:rPr>
          <w:t>income</w:t>
        </w:r>
      </w:hyperlink>
      <w:r w:rsidRPr="00127398">
        <w:rPr>
          <w:szCs w:val="20"/>
          <w:lang w:val="en"/>
        </w:rPr>
        <w:t xml:space="preserve"> </w:t>
      </w:r>
      <w:hyperlink r:id="rId297" w:tooltip="beneficiary" w:history="1">
        <w:r w:rsidRPr="00127398">
          <w:rPr>
            <w:rStyle w:val="Hyperlink"/>
            <w:color w:val="auto"/>
            <w:szCs w:val="20"/>
            <w:u w:val="none"/>
            <w:lang w:val="en"/>
          </w:rPr>
          <w:t>beneficiary</w:t>
        </w:r>
      </w:hyperlink>
      <w:r w:rsidRPr="00127398">
        <w:rPr>
          <w:szCs w:val="20"/>
          <w:lang w:val="en"/>
        </w:rPr>
        <w:t xml:space="preserve">, including expenses allocable to corpus which enter into the </w:t>
      </w:r>
      <w:hyperlink r:id="rId298" w:tooltip="computation" w:history="1">
        <w:r w:rsidRPr="00127398">
          <w:rPr>
            <w:rStyle w:val="Hyperlink"/>
            <w:color w:val="auto"/>
            <w:szCs w:val="20"/>
            <w:u w:val="none"/>
            <w:lang w:val="en"/>
          </w:rPr>
          <w:t>computation</w:t>
        </w:r>
      </w:hyperlink>
      <w:r w:rsidRPr="00127398">
        <w:rPr>
          <w:szCs w:val="20"/>
          <w:lang w:val="en"/>
        </w:rPr>
        <w:t xml:space="preserve"> of </w:t>
      </w:r>
      <w:hyperlink r:id="rId299" w:tooltip="distributable net income" w:history="1">
        <w:r w:rsidRPr="00127398">
          <w:rPr>
            <w:rStyle w:val="Hyperlink"/>
            <w:color w:val="auto"/>
            <w:szCs w:val="20"/>
            <w:u w:val="none"/>
            <w:lang w:val="en"/>
          </w:rPr>
          <w:t>distributable net income</w:t>
        </w:r>
      </w:hyperlink>
      <w:r w:rsidRPr="00127398">
        <w:rPr>
          <w:szCs w:val="20"/>
          <w:lang w:val="en"/>
        </w:rPr>
        <w:t xml:space="preserve">. If the grantor or other </w:t>
      </w:r>
      <w:hyperlink r:id="rId300" w:tooltip="person" w:history="1">
        <w:r w:rsidRPr="00127398">
          <w:rPr>
            <w:rStyle w:val="Hyperlink"/>
            <w:color w:val="auto"/>
            <w:szCs w:val="20"/>
            <w:u w:val="none"/>
            <w:lang w:val="en"/>
          </w:rPr>
          <w:t>person</w:t>
        </w:r>
      </w:hyperlink>
      <w:r w:rsidRPr="00127398">
        <w:rPr>
          <w:szCs w:val="20"/>
          <w:lang w:val="en"/>
        </w:rPr>
        <w:t xml:space="preserve"> is treated as an </w:t>
      </w:r>
      <w:hyperlink r:id="rId301" w:tooltip="owner" w:history="1">
        <w:r w:rsidRPr="00127398">
          <w:rPr>
            <w:rStyle w:val="Hyperlink"/>
            <w:color w:val="auto"/>
            <w:szCs w:val="20"/>
            <w:u w:val="none"/>
            <w:lang w:val="en"/>
          </w:rPr>
          <w:t>owner</w:t>
        </w:r>
      </w:hyperlink>
      <w:r w:rsidRPr="00127398">
        <w:rPr>
          <w:szCs w:val="20"/>
          <w:lang w:val="en"/>
        </w:rPr>
        <w:t xml:space="preserve"> because of his power over or right to a dollar </w:t>
      </w:r>
      <w:hyperlink r:id="rId302" w:tooltip="amount" w:history="1">
        <w:r w:rsidRPr="00127398">
          <w:rPr>
            <w:rStyle w:val="Hyperlink"/>
            <w:color w:val="auto"/>
            <w:szCs w:val="20"/>
            <w:u w:val="none"/>
            <w:lang w:val="en"/>
          </w:rPr>
          <w:t>amount</w:t>
        </w:r>
      </w:hyperlink>
      <w:r w:rsidRPr="00127398">
        <w:rPr>
          <w:szCs w:val="20"/>
          <w:lang w:val="en"/>
        </w:rPr>
        <w:t xml:space="preserve"> of ordinary </w:t>
      </w:r>
      <w:hyperlink r:id="rId303" w:tooltip="income" w:history="1">
        <w:r w:rsidRPr="00127398">
          <w:rPr>
            <w:rStyle w:val="Hyperlink"/>
            <w:color w:val="auto"/>
            <w:szCs w:val="20"/>
            <w:u w:val="none"/>
            <w:lang w:val="en"/>
          </w:rPr>
          <w:t>income</w:t>
        </w:r>
      </w:hyperlink>
      <w:r w:rsidRPr="00127398">
        <w:rPr>
          <w:szCs w:val="20"/>
          <w:lang w:val="en"/>
        </w:rPr>
        <w:t xml:space="preserve">, he will first take into </w:t>
      </w:r>
      <w:hyperlink r:id="rId304" w:tooltip="account" w:history="1">
        <w:r w:rsidRPr="00127398">
          <w:rPr>
            <w:rStyle w:val="Hyperlink"/>
            <w:color w:val="auto"/>
            <w:szCs w:val="20"/>
            <w:u w:val="none"/>
            <w:lang w:val="en"/>
          </w:rPr>
          <w:t>account</w:t>
        </w:r>
      </w:hyperlink>
      <w:r w:rsidRPr="00127398">
        <w:rPr>
          <w:szCs w:val="20"/>
          <w:lang w:val="en"/>
        </w:rPr>
        <w:t xml:space="preserve"> a portion of those items of </w:t>
      </w:r>
      <w:hyperlink r:id="rId305" w:tooltip="income" w:history="1">
        <w:r w:rsidRPr="00127398">
          <w:rPr>
            <w:rStyle w:val="Hyperlink"/>
            <w:color w:val="auto"/>
            <w:szCs w:val="20"/>
            <w:u w:val="none"/>
            <w:lang w:val="en"/>
          </w:rPr>
          <w:t>income</w:t>
        </w:r>
      </w:hyperlink>
      <w:r w:rsidRPr="00127398">
        <w:rPr>
          <w:szCs w:val="20"/>
          <w:lang w:val="en"/>
        </w:rPr>
        <w:t xml:space="preserve"> and expense entering into the </w:t>
      </w:r>
      <w:hyperlink r:id="rId306" w:tooltip="computation" w:history="1">
        <w:r w:rsidRPr="00127398">
          <w:rPr>
            <w:rStyle w:val="Hyperlink"/>
            <w:color w:val="auto"/>
            <w:szCs w:val="20"/>
            <w:u w:val="none"/>
            <w:lang w:val="en"/>
          </w:rPr>
          <w:t>computation</w:t>
        </w:r>
      </w:hyperlink>
      <w:r w:rsidRPr="00127398">
        <w:rPr>
          <w:szCs w:val="20"/>
          <w:lang w:val="en"/>
        </w:rPr>
        <w:t xml:space="preserve"> of ordinary </w:t>
      </w:r>
      <w:hyperlink r:id="rId307" w:tooltip="income" w:history="1">
        <w:r w:rsidRPr="00127398">
          <w:rPr>
            <w:rStyle w:val="Hyperlink"/>
            <w:color w:val="auto"/>
            <w:szCs w:val="20"/>
            <w:u w:val="none"/>
            <w:lang w:val="en"/>
          </w:rPr>
          <w:t>income</w:t>
        </w:r>
      </w:hyperlink>
      <w:r w:rsidRPr="00127398">
        <w:rPr>
          <w:szCs w:val="20"/>
          <w:lang w:val="en"/>
        </w:rPr>
        <w:t xml:space="preserve"> under the </w:t>
      </w:r>
      <w:hyperlink r:id="rId308" w:tooltip="trust" w:history="1">
        <w:r w:rsidRPr="00127398">
          <w:rPr>
            <w:rStyle w:val="Hyperlink"/>
            <w:color w:val="auto"/>
            <w:szCs w:val="20"/>
            <w:u w:val="none"/>
            <w:lang w:val="en"/>
          </w:rPr>
          <w:t>trust</w:t>
        </w:r>
      </w:hyperlink>
      <w:r w:rsidRPr="00127398">
        <w:rPr>
          <w:szCs w:val="20"/>
          <w:lang w:val="en"/>
        </w:rPr>
        <w:t xml:space="preserve"> instrument or local law sufficient to produce </w:t>
      </w:r>
      <w:hyperlink r:id="rId309" w:tooltip="income" w:history="1">
        <w:r w:rsidRPr="00127398">
          <w:rPr>
            <w:rStyle w:val="Hyperlink"/>
            <w:color w:val="auto"/>
            <w:szCs w:val="20"/>
            <w:u w:val="none"/>
            <w:lang w:val="en"/>
          </w:rPr>
          <w:t>income</w:t>
        </w:r>
      </w:hyperlink>
      <w:r w:rsidRPr="00127398">
        <w:rPr>
          <w:szCs w:val="20"/>
          <w:lang w:val="en"/>
        </w:rPr>
        <w:t xml:space="preserve"> of the dollar </w:t>
      </w:r>
      <w:hyperlink r:id="rId310" w:tooltip="amount" w:history="1">
        <w:r w:rsidRPr="00127398">
          <w:rPr>
            <w:rStyle w:val="Hyperlink"/>
            <w:color w:val="auto"/>
            <w:szCs w:val="20"/>
            <w:u w:val="none"/>
            <w:lang w:val="en"/>
          </w:rPr>
          <w:t>amount</w:t>
        </w:r>
      </w:hyperlink>
      <w:r w:rsidRPr="00127398">
        <w:rPr>
          <w:szCs w:val="20"/>
          <w:lang w:val="en"/>
        </w:rPr>
        <w:t xml:space="preserve"> required. There will then be attributable to him a pro rata portion of other items entering into the </w:t>
      </w:r>
      <w:hyperlink r:id="rId311" w:tooltip="computation" w:history="1">
        <w:r w:rsidRPr="00127398">
          <w:rPr>
            <w:rStyle w:val="Hyperlink"/>
            <w:color w:val="auto"/>
            <w:szCs w:val="20"/>
            <w:u w:val="none"/>
            <w:lang w:val="en"/>
          </w:rPr>
          <w:t>computation</w:t>
        </w:r>
      </w:hyperlink>
      <w:r w:rsidRPr="00127398">
        <w:rPr>
          <w:szCs w:val="20"/>
          <w:lang w:val="en"/>
        </w:rPr>
        <w:t xml:space="preserve"> of </w:t>
      </w:r>
      <w:hyperlink r:id="rId312" w:tooltip="distributable net income" w:history="1">
        <w:r w:rsidRPr="00127398">
          <w:rPr>
            <w:rStyle w:val="Hyperlink"/>
            <w:color w:val="auto"/>
            <w:szCs w:val="20"/>
            <w:u w:val="none"/>
            <w:lang w:val="en"/>
          </w:rPr>
          <w:t>distributable net income</w:t>
        </w:r>
      </w:hyperlink>
      <w:r w:rsidRPr="00127398">
        <w:rPr>
          <w:szCs w:val="20"/>
          <w:lang w:val="en"/>
        </w:rPr>
        <w:t xml:space="preserve"> under subparts A through D, such as expenses allocable to corpus, and a pro rata portion of credits of the </w:t>
      </w:r>
      <w:hyperlink r:id="rId313" w:tooltip="trust" w:history="1">
        <w:r w:rsidRPr="00127398">
          <w:rPr>
            <w:rStyle w:val="Hyperlink"/>
            <w:color w:val="auto"/>
            <w:szCs w:val="20"/>
            <w:u w:val="none"/>
            <w:lang w:val="en"/>
          </w:rPr>
          <w:t>trust</w:t>
        </w:r>
      </w:hyperlink>
      <w:r w:rsidRPr="00127398">
        <w:rPr>
          <w:szCs w:val="20"/>
          <w:lang w:val="en"/>
        </w:rPr>
        <w:t xml:space="preserve">. For </w:t>
      </w:r>
      <w:hyperlink r:id="rId314" w:tooltip="examples" w:history="1">
        <w:r w:rsidRPr="00127398">
          <w:rPr>
            <w:rStyle w:val="Hyperlink"/>
            <w:color w:val="auto"/>
            <w:szCs w:val="20"/>
            <w:u w:val="none"/>
            <w:lang w:val="en"/>
          </w:rPr>
          <w:t>examples</w:t>
        </w:r>
      </w:hyperlink>
      <w:r w:rsidRPr="00127398">
        <w:rPr>
          <w:szCs w:val="20"/>
          <w:lang w:val="en"/>
        </w:rPr>
        <w:t xml:space="preserve"> of </w:t>
      </w:r>
      <w:hyperlink r:id="rId315" w:tooltip="computations" w:history="1">
        <w:r w:rsidRPr="00127398">
          <w:rPr>
            <w:rStyle w:val="Hyperlink"/>
            <w:color w:val="auto"/>
            <w:szCs w:val="20"/>
            <w:u w:val="none"/>
            <w:lang w:val="en"/>
          </w:rPr>
          <w:t>computations</w:t>
        </w:r>
      </w:hyperlink>
      <w:r w:rsidRPr="00127398">
        <w:rPr>
          <w:szCs w:val="20"/>
          <w:lang w:val="en"/>
        </w:rPr>
        <w:t xml:space="preserve"> under this paragraph, see paragraph </w:t>
      </w:r>
      <w:hyperlink r:id="rId316" w:tooltip="(g)" w:history="1">
        <w:r w:rsidRPr="00127398">
          <w:rPr>
            <w:rStyle w:val="Hyperlink"/>
            <w:color w:val="auto"/>
            <w:szCs w:val="20"/>
            <w:u w:val="none"/>
            <w:lang w:val="en"/>
          </w:rPr>
          <w:t>(g)</w:t>
        </w:r>
      </w:hyperlink>
      <w:r w:rsidRPr="00127398">
        <w:rPr>
          <w:szCs w:val="20"/>
          <w:lang w:val="en"/>
        </w:rPr>
        <w:t xml:space="preserve"> of </w:t>
      </w:r>
      <w:hyperlink r:id="rId317" w:anchor="a_-1" w:tooltip="§ 1.677(a)-1" w:history="1">
        <w:r w:rsidRPr="00127398">
          <w:rPr>
            <w:rStyle w:val="Hyperlink"/>
            <w:color w:val="auto"/>
            <w:szCs w:val="20"/>
            <w:u w:val="none"/>
            <w:lang w:val="en"/>
          </w:rPr>
          <w:t>§ 1.677(a)-1</w:t>
        </w:r>
      </w:hyperlink>
      <w:r w:rsidRPr="00127398">
        <w:rPr>
          <w:szCs w:val="20"/>
          <w:lang w:val="en"/>
        </w:rPr>
        <w:t xml:space="preserve">. </w:t>
      </w:r>
    </w:p>
    <w:p w:rsidR="00127398" w:rsidRDefault="00127398" w:rsidP="00902C22">
      <w:pPr>
        <w:pStyle w:val="Body15"/>
        <w:divId w:val="740101842"/>
        <w:rPr>
          <w:szCs w:val="20"/>
        </w:rPr>
      </w:pPr>
      <w:r w:rsidRPr="00127398">
        <w:rPr>
          <w:color w:val="000000"/>
          <w:szCs w:val="20"/>
        </w:rPr>
        <w:t xml:space="preserve">Where one trust can withdraw </w:t>
      </w:r>
      <w:r w:rsidRPr="00127398">
        <w:rPr>
          <w:color w:val="000000"/>
          <w:szCs w:val="20"/>
          <w:u w:val="single"/>
        </w:rPr>
        <w:t>all</w:t>
      </w:r>
      <w:r w:rsidRPr="00127398">
        <w:rPr>
          <w:color w:val="000000"/>
          <w:szCs w:val="20"/>
        </w:rPr>
        <w:t xml:space="preserve"> of the assets of the other trust, the trust with the withdrawal right seems clearly the owner of the whole trust for income tax purposes.  But with a more limited withdrawal right the result is uncertain.  </w:t>
      </w:r>
      <w:r w:rsidRPr="00127398">
        <w:rPr>
          <w:szCs w:val="20"/>
        </w:rPr>
        <w:t xml:space="preserve">An example of a power to vest “the income therefrom” is described in Private Letter Ruling 201633021.  The ruling involved Trust 1 and Trust 2 which were non-grantor trusts because the grantor had died.  The assets of Trust 1 and Trust 2 are held for the benefit of the same beneficiaries.  The governing document of Trust 2 provides that Trust 1 retains the power, solely exercisable by Trust 1, to revest the net income of Trust 2 in Trust 1; provided, however, that such power shall lapse on the last day of such calendar year.  Trust 2 further provides that income includes (i) any dividends, interest, fees and other </w:t>
      </w:r>
      <w:r w:rsidRPr="00127398">
        <w:rPr>
          <w:szCs w:val="20"/>
          <w:lang w:eastAsia="en-GB"/>
        </w:rPr>
        <w:t>amounts</w:t>
      </w:r>
      <w:r w:rsidRPr="00127398">
        <w:rPr>
          <w:szCs w:val="20"/>
        </w:rPr>
        <w:t xml:space="preserve"> characterized as income under section 643(b) of the Code, (ii) any net capital gains realized with respect to assets held less than twelve months, and (iii) any net capital gains realized with respect to assets held longer than twelve months.  The ruling provides that the trustee “proposes to transfer funds from Trust 1 to Trust 2.”  </w:t>
      </w:r>
    </w:p>
    <w:p w:rsidR="00127398" w:rsidRDefault="00127398" w:rsidP="00902C22">
      <w:pPr>
        <w:pStyle w:val="Body15"/>
        <w:divId w:val="740101842"/>
        <w:rPr>
          <w:szCs w:val="20"/>
        </w:rPr>
      </w:pPr>
      <w:r w:rsidRPr="00127398">
        <w:rPr>
          <w:szCs w:val="20"/>
        </w:rPr>
        <w:t xml:space="preserve">The IRS concluded, “Trust 1 will be treated as the owner of the portion of Trust 2 over which they have the power to withdraw under § 678(a).  Accordingly, Trust 1 will take into account in computing their tax liability those items which would be included in computing the tax liability of a current income beneficiary, including expenses allocable to which enter into the computation of distributable net income. Additionally, Trust 1 will also take into account the net capital gains of Trust 2.”  The ruling </w:t>
      </w:r>
      <w:r w:rsidRPr="00127398">
        <w:rPr>
          <w:szCs w:val="20"/>
          <w:lang w:eastAsia="en-GB"/>
        </w:rPr>
        <w:t>unfortunately</w:t>
      </w:r>
      <w:r w:rsidRPr="00127398">
        <w:rPr>
          <w:szCs w:val="20"/>
        </w:rPr>
        <w:t xml:space="preserve"> does not provide any insight on what the income tax consequences would be when Trust 1 “transfers funds” to Trust 2.  The language of the ruling implies the Trust 1 will be treated as a beneficiary of Trust 2 but also “as the owner of the portion of Trust 2 over which they have the power to withdraw under § 678(a).”  </w:t>
      </w:r>
    </w:p>
    <w:p w:rsidR="00127398" w:rsidRDefault="00127398" w:rsidP="00902C22">
      <w:pPr>
        <w:pStyle w:val="Body15"/>
        <w:divId w:val="740101842"/>
        <w:rPr>
          <w:szCs w:val="20"/>
        </w:rPr>
      </w:pPr>
      <w:r w:rsidRPr="00127398">
        <w:rPr>
          <w:szCs w:val="20"/>
        </w:rPr>
        <w:t xml:space="preserve">The language doesn’t necessarily (but it could) mean </w:t>
      </w:r>
      <w:r w:rsidRPr="00127398">
        <w:rPr>
          <w:szCs w:val="20"/>
          <w:lang w:eastAsia="en-GB"/>
        </w:rPr>
        <w:t>that</w:t>
      </w:r>
      <w:r w:rsidRPr="00127398">
        <w:rPr>
          <w:szCs w:val="20"/>
        </w:rPr>
        <w:t xml:space="preserve"> Trust 1 is the deemed owner entirely of Trust 2 and all of its assets.  If Trust 1 is treated as the owner entirely of Trust 2, then theoretically Trust 1 could engage in a sale of the assets of Trust 1 to Trust 2 in exchange for an installment note, and the transaction would be disregarded for income tax purposes under Revenue Ruling 85-13.  This would be the result if Trust one could withdraw all the assets of Trust 2 at any time. </w:t>
      </w:r>
    </w:p>
    <w:p w:rsidR="00127398" w:rsidRDefault="00127398" w:rsidP="00902C22">
      <w:pPr>
        <w:pStyle w:val="Body15"/>
        <w:divId w:val="740101842"/>
        <w:rPr>
          <w:szCs w:val="20"/>
        </w:rPr>
      </w:pPr>
      <w:r w:rsidRPr="00127398">
        <w:rPr>
          <w:szCs w:val="20"/>
        </w:rPr>
        <w:t xml:space="preserve">If, however, Trust 1 is merely an entity that must report the income, capital gain, expenses, and other items used to compute DNI, then such a transaction could, in part, be considered a taxable event.  Even if the latter interpretation is correct, if Trust 1 is a non-GST exempt trust and </w:t>
      </w:r>
      <w:r w:rsidRPr="00127398">
        <w:rPr>
          <w:szCs w:val="20"/>
          <w:lang w:eastAsia="en-GB"/>
        </w:rPr>
        <w:t>Trust</w:t>
      </w:r>
      <w:r w:rsidRPr="00127398">
        <w:rPr>
          <w:szCs w:val="20"/>
        </w:rPr>
        <w:t xml:space="preserve"> 2 is a GST exempt trust, the tax liability borne by Trust 1 from all of Trust 2’s income and capital gain could significantly increase Trust 2’s trust assets over time and decrease the assets in Trust 1.</w:t>
      </w:r>
    </w:p>
    <w:p w:rsidR="007436A5" w:rsidRPr="00127398" w:rsidRDefault="00127398" w:rsidP="00902C22">
      <w:pPr>
        <w:pStyle w:val="Body15"/>
        <w:divId w:val="740101842"/>
        <w:rPr>
          <w:szCs w:val="20"/>
        </w:rPr>
      </w:pPr>
      <w:r w:rsidRPr="00127398">
        <w:rPr>
          <w:szCs w:val="20"/>
        </w:rPr>
        <w:t xml:space="preserve">In a more recent ruling, PLR 202022002, the trust agreement of a Trust 1 prohibited the distribution of Shares (perhaps of a closely-held company) to the beneficiaries, but allowed for the distribution of the proceeds from the sale of Shares.  Trust 1 contributed all of its Shares to LLC, a newly formed entity classified as partnership for Federal tax purposes, in exchange for membership interest in LLC.  The same restrictions on the Shares were placed on the membership interests of LLC.  Trust 1 then transferred a portion of its LLC interest to a Subtrust for the sole benefit of A.  After A </w:t>
      </w:r>
      <w:r w:rsidRPr="00127398">
        <w:rPr>
          <w:szCs w:val="20"/>
          <w:lang w:eastAsia="en-GB"/>
        </w:rPr>
        <w:t>reached</w:t>
      </w:r>
      <w:r w:rsidRPr="00127398">
        <w:rPr>
          <w:szCs w:val="20"/>
        </w:rPr>
        <w:t xml:space="preserve"> the age of 40, A exercised a withdrawal right to take all of the Subtrust’s assets, except the LLC interests.  The Subtrust agreed to sell a portion of its LLC interests to Trust 2 in exchange for cash and a promissory note.  Trust 2 is a grantor trust with respect to A.  A also had the authority to withdraw the cash and promissory note from Subtrust after the sale.  The IRS concluded, “because A has a power exercisable by herself to vest the proceeds of Subtrust’s LLC interest in herself and that those proceeds are Subtrust’s only asset, A will be treated as the owner of Subtrust under § 678.  Consequently, the transfer of the LLC interests to Trust 2 is not recognized as a sale for federal income tax purposes because Trust 2 and Subtrust are both wholly owned by A.”</w:t>
      </w:r>
    </w:p>
    <w:p w:rsidR="008E4730" w:rsidRPr="008E4730" w:rsidRDefault="008E4730" w:rsidP="002F1597">
      <w:pPr>
        <w:pStyle w:val="Heading20"/>
        <w:numPr>
          <w:ilvl w:val="1"/>
          <w:numId w:val="10"/>
        </w:numPr>
        <w:tabs>
          <w:tab w:val="clear" w:pos="2700"/>
        </w:tabs>
        <w:ind w:left="0"/>
        <w:rPr>
          <w:vanish/>
          <w:specVanish/>
        </w:rPr>
      </w:pPr>
      <w:bookmarkStart w:id="244" w:name="_Toc94704643"/>
      <w:r>
        <w:rPr>
          <w:b/>
          <w:u w:val="single"/>
        </w:rPr>
        <w:t>Grantor</w:t>
      </w:r>
      <w:r w:rsidR="00C64050">
        <w:rPr>
          <w:b/>
          <w:u w:val="single"/>
        </w:rPr>
        <w:t xml:space="preserve"> </w:t>
      </w:r>
      <w:r>
        <w:rPr>
          <w:b/>
          <w:u w:val="single"/>
        </w:rPr>
        <w:t>Trusts</w:t>
      </w:r>
      <w:r w:rsidR="00C64050">
        <w:rPr>
          <w:b/>
          <w:u w:val="single"/>
        </w:rPr>
        <w:t xml:space="preserve"> </w:t>
      </w:r>
      <w:r>
        <w:rPr>
          <w:b/>
          <w:u w:val="single"/>
        </w:rPr>
        <w:t>and</w:t>
      </w:r>
      <w:r w:rsidR="00C64050">
        <w:rPr>
          <w:b/>
          <w:u w:val="single"/>
        </w:rPr>
        <w:t xml:space="preserve"> </w:t>
      </w:r>
      <w:r>
        <w:rPr>
          <w:b/>
          <w:u w:val="single"/>
        </w:rPr>
        <w:t>Spouses</w:t>
      </w:r>
      <w:bookmarkEnd w:id="244"/>
    </w:p>
    <w:p w:rsidR="008E4730" w:rsidRDefault="001F74F7" w:rsidP="008E4730">
      <w:pPr>
        <w:pStyle w:val="Heading2Body"/>
      </w:pPr>
      <w:r>
        <w:t>.</w:t>
      </w:r>
      <w:r w:rsidR="00C64050">
        <w:t xml:space="preserve">  </w:t>
      </w:r>
      <w:r>
        <w:t>PLR</w:t>
      </w:r>
      <w:r w:rsidR="00C64050">
        <w:t xml:space="preserve"> </w:t>
      </w:r>
      <w:r>
        <w:t>2019</w:t>
      </w:r>
      <w:r w:rsidR="008E4730">
        <w:t>27003</w:t>
      </w:r>
      <w:r w:rsidR="00C64050">
        <w:t xml:space="preserve"> </w:t>
      </w:r>
      <w:r w:rsidR="008E4730">
        <w:t>is</w:t>
      </w:r>
      <w:r w:rsidR="00C64050">
        <w:t xml:space="preserve"> </w:t>
      </w:r>
      <w:r w:rsidR="008E4730">
        <w:t>helpful.</w:t>
      </w:r>
      <w:r w:rsidR="00C64050">
        <w:t xml:space="preserve">  </w:t>
      </w:r>
      <w:r w:rsidR="008E4730">
        <w:t>Each</w:t>
      </w:r>
      <w:r w:rsidR="00C64050">
        <w:t xml:space="preserve"> </w:t>
      </w:r>
      <w:r w:rsidR="008E4730">
        <w:t>spouse</w:t>
      </w:r>
      <w:r w:rsidR="00C64050">
        <w:t xml:space="preserve"> </w:t>
      </w:r>
      <w:r w:rsidR="008E4730">
        <w:t>created</w:t>
      </w:r>
      <w:r w:rsidR="00C64050">
        <w:t xml:space="preserve"> </w:t>
      </w:r>
      <w:r w:rsidR="008E4730">
        <w:t>a</w:t>
      </w:r>
      <w:r w:rsidR="00C64050">
        <w:t xml:space="preserve"> </w:t>
      </w:r>
      <w:r w:rsidR="008E4730">
        <w:t>grantor</w:t>
      </w:r>
      <w:r w:rsidR="00C64050">
        <w:t xml:space="preserve"> </w:t>
      </w:r>
      <w:r w:rsidR="008E4730">
        <w:t>trust.</w:t>
      </w:r>
      <w:r w:rsidR="00C64050">
        <w:t xml:space="preserve">  </w:t>
      </w:r>
      <w:r w:rsidR="008E4730">
        <w:t>Then</w:t>
      </w:r>
      <w:r w:rsidR="00C64050">
        <w:t xml:space="preserve"> </w:t>
      </w:r>
      <w:r w:rsidR="008E4730">
        <w:t>spouse</w:t>
      </w:r>
      <w:r w:rsidR="00C64050">
        <w:t xml:space="preserve"> </w:t>
      </w:r>
      <w:r w:rsidR="008E4730">
        <w:t>one</w:t>
      </w:r>
      <w:r w:rsidR="00C64050">
        <w:t xml:space="preserve"> </w:t>
      </w:r>
      <w:r w:rsidR="008E4730">
        <w:t>sold</w:t>
      </w:r>
      <w:r w:rsidR="00C64050">
        <w:t xml:space="preserve"> </w:t>
      </w:r>
      <w:r w:rsidR="008E4730">
        <w:t>a</w:t>
      </w:r>
      <w:r w:rsidR="00C64050">
        <w:t xml:space="preserve"> </w:t>
      </w:r>
      <w:r w:rsidR="008E4730">
        <w:t>partnership</w:t>
      </w:r>
      <w:r w:rsidR="00C64050">
        <w:t xml:space="preserve"> </w:t>
      </w:r>
      <w:r w:rsidR="008E4730">
        <w:t>interest</w:t>
      </w:r>
      <w:r w:rsidR="00C64050">
        <w:t xml:space="preserve"> </w:t>
      </w:r>
      <w:r w:rsidR="008E4730">
        <w:t>to</w:t>
      </w:r>
      <w:r w:rsidR="00C64050">
        <w:t xml:space="preserve"> </w:t>
      </w:r>
      <w:r w:rsidR="00F61354">
        <w:t>spouse two’s trust</w:t>
      </w:r>
      <w:r w:rsidR="008E4730">
        <w:t>,</w:t>
      </w:r>
      <w:r w:rsidR="00C64050">
        <w:t xml:space="preserve"> </w:t>
      </w:r>
      <w:r w:rsidR="008E4730">
        <w:t>and</w:t>
      </w:r>
      <w:r w:rsidR="00C64050">
        <w:t xml:space="preserve"> </w:t>
      </w:r>
      <w:r w:rsidR="008E4730">
        <w:t>Trust</w:t>
      </w:r>
      <w:r w:rsidR="00C64050">
        <w:t xml:space="preserve"> </w:t>
      </w:r>
      <w:r w:rsidR="008E4730">
        <w:t>One</w:t>
      </w:r>
      <w:r w:rsidR="00C64050">
        <w:t xml:space="preserve"> </w:t>
      </w:r>
      <w:r w:rsidR="008E4730">
        <w:t>sold</w:t>
      </w:r>
      <w:r w:rsidR="00C64050">
        <w:t xml:space="preserve"> </w:t>
      </w:r>
      <w:r w:rsidR="008E4730">
        <w:t>interests</w:t>
      </w:r>
      <w:r w:rsidR="00C64050">
        <w:t xml:space="preserve"> </w:t>
      </w:r>
      <w:r w:rsidR="008E4730">
        <w:t>to</w:t>
      </w:r>
      <w:r w:rsidR="00C64050">
        <w:t xml:space="preserve"> </w:t>
      </w:r>
      <w:r w:rsidR="008E4730">
        <w:t>Trust</w:t>
      </w:r>
      <w:r w:rsidR="00C64050">
        <w:t xml:space="preserve"> </w:t>
      </w:r>
      <w:r w:rsidR="008E4730">
        <w:t>Two.</w:t>
      </w:r>
      <w:r w:rsidR="00C64050">
        <w:t xml:space="preserve">  </w:t>
      </w:r>
      <w:r w:rsidR="008E4730">
        <w:t>The</w:t>
      </w:r>
      <w:r w:rsidR="00C64050">
        <w:t xml:space="preserve"> </w:t>
      </w:r>
      <w:r w:rsidR="008E4730">
        <w:t>ruling</w:t>
      </w:r>
      <w:r w:rsidR="00C64050">
        <w:t xml:space="preserve"> </w:t>
      </w:r>
      <w:r w:rsidR="008E4730">
        <w:t>provides:</w:t>
      </w:r>
    </w:p>
    <w:p w:rsidR="008E4730" w:rsidRDefault="008E4730" w:rsidP="008E4730">
      <w:pPr>
        <w:pStyle w:val="QS10"/>
      </w:pPr>
      <w:r>
        <w:t>Section</w:t>
      </w:r>
      <w:r w:rsidR="00C64050">
        <w:t xml:space="preserve"> </w:t>
      </w:r>
      <w:r>
        <w:t>1041(a)(1)</w:t>
      </w:r>
      <w:r w:rsidR="00C64050">
        <w:t xml:space="preserve"> </w:t>
      </w:r>
      <w:r>
        <w:t>of</w:t>
      </w:r>
      <w:r w:rsidR="00C64050">
        <w:t xml:space="preserve"> </w:t>
      </w:r>
      <w:r>
        <w:t>the</w:t>
      </w:r>
      <w:r w:rsidR="00C64050">
        <w:t xml:space="preserve"> </w:t>
      </w:r>
      <w:r>
        <w:t>Code</w:t>
      </w:r>
      <w:r w:rsidR="00C64050">
        <w:t xml:space="preserve"> </w:t>
      </w:r>
      <w:r>
        <w:t>provides</w:t>
      </w:r>
      <w:r w:rsidR="00C64050">
        <w:t xml:space="preserve"> </w:t>
      </w:r>
      <w:r>
        <w:t>that</w:t>
      </w:r>
      <w:r w:rsidR="00C64050">
        <w:t xml:space="preserve"> </w:t>
      </w:r>
      <w:r>
        <w:t>no</w:t>
      </w:r>
      <w:r w:rsidR="00C64050">
        <w:t xml:space="preserve"> </w:t>
      </w:r>
      <w:r>
        <w:t>gain</w:t>
      </w:r>
      <w:r w:rsidR="00C64050">
        <w:t xml:space="preserve"> </w:t>
      </w:r>
      <w:r>
        <w:t>or</w:t>
      </w:r>
      <w:r w:rsidR="00C64050">
        <w:t xml:space="preserve"> </w:t>
      </w:r>
      <w:r>
        <w:t>loss</w:t>
      </w:r>
      <w:r w:rsidR="00C64050">
        <w:t xml:space="preserve"> </w:t>
      </w:r>
      <w:r>
        <w:t>shall</w:t>
      </w:r>
      <w:r w:rsidR="00C64050">
        <w:t xml:space="preserve"> </w:t>
      </w:r>
      <w:r>
        <w:t>be</w:t>
      </w:r>
      <w:r w:rsidR="00C64050">
        <w:t xml:space="preserve"> </w:t>
      </w:r>
      <w:r>
        <w:t>recognized</w:t>
      </w:r>
      <w:r w:rsidR="00C64050">
        <w:t xml:space="preserve"> </w:t>
      </w:r>
      <w:r>
        <w:t>on</w:t>
      </w:r>
      <w:r w:rsidR="00C64050">
        <w:t xml:space="preserve"> </w:t>
      </w:r>
      <w:r>
        <w:t>a</w:t>
      </w:r>
      <w:r w:rsidR="00C64050">
        <w:t xml:space="preserve"> </w:t>
      </w:r>
      <w:r>
        <w:t>transfer</w:t>
      </w:r>
      <w:r w:rsidR="00C64050">
        <w:t xml:space="preserve"> </w:t>
      </w:r>
      <w:r>
        <w:t>of</w:t>
      </w:r>
      <w:r w:rsidR="00C64050">
        <w:t xml:space="preserve"> </w:t>
      </w:r>
      <w:r>
        <w:t>property</w:t>
      </w:r>
      <w:r w:rsidR="00C64050">
        <w:t xml:space="preserve"> </w:t>
      </w:r>
      <w:r>
        <w:t>from</w:t>
      </w:r>
      <w:r w:rsidR="00C64050">
        <w:t xml:space="preserve"> </w:t>
      </w:r>
      <w:r>
        <w:t>an</w:t>
      </w:r>
      <w:r w:rsidR="00C64050">
        <w:t xml:space="preserve"> </w:t>
      </w:r>
      <w:r>
        <w:t>individual</w:t>
      </w:r>
      <w:r w:rsidR="00C64050">
        <w:t xml:space="preserve"> </w:t>
      </w:r>
      <w:r>
        <w:t>to</w:t>
      </w:r>
      <w:r w:rsidR="00C64050">
        <w:t xml:space="preserve"> </w:t>
      </w:r>
      <w:r>
        <w:t>a</w:t>
      </w:r>
      <w:r w:rsidR="00C64050">
        <w:t xml:space="preserve"> </w:t>
      </w:r>
      <w:r>
        <w:t>spouse.</w:t>
      </w:r>
      <w:r w:rsidR="00C64050">
        <w:t xml:space="preserve"> </w:t>
      </w:r>
      <w:r>
        <w:t>Section</w:t>
      </w:r>
      <w:r w:rsidR="00C64050">
        <w:t xml:space="preserve"> </w:t>
      </w:r>
      <w:r>
        <w:t>1041(b)</w:t>
      </w:r>
      <w:r w:rsidR="00C64050">
        <w:t xml:space="preserve"> </w:t>
      </w:r>
      <w:r>
        <w:t>of</w:t>
      </w:r>
      <w:r w:rsidR="00C64050">
        <w:t xml:space="preserve"> </w:t>
      </w:r>
      <w:r>
        <w:t>the</w:t>
      </w:r>
      <w:r w:rsidR="00C64050">
        <w:t xml:space="preserve"> </w:t>
      </w:r>
      <w:r>
        <w:t>Code</w:t>
      </w:r>
      <w:r w:rsidR="00C64050">
        <w:t xml:space="preserve"> </w:t>
      </w:r>
      <w:r>
        <w:t>provides</w:t>
      </w:r>
      <w:r w:rsidR="00C64050">
        <w:t xml:space="preserve"> </w:t>
      </w:r>
      <w:r>
        <w:t>that,</w:t>
      </w:r>
      <w:r w:rsidR="00C64050">
        <w:t xml:space="preserve"> </w:t>
      </w:r>
      <w:r>
        <w:t>in</w:t>
      </w:r>
      <w:r w:rsidR="00C64050">
        <w:t xml:space="preserve"> </w:t>
      </w:r>
      <w:r>
        <w:t>the</w:t>
      </w:r>
      <w:r w:rsidR="00C64050">
        <w:t xml:space="preserve"> </w:t>
      </w:r>
      <w:r>
        <w:t>case</w:t>
      </w:r>
      <w:r w:rsidR="00C64050">
        <w:t xml:space="preserve"> </w:t>
      </w:r>
      <w:r>
        <w:t>of</w:t>
      </w:r>
      <w:r w:rsidR="00C64050">
        <w:t xml:space="preserve"> </w:t>
      </w:r>
      <w:r>
        <w:t>any</w:t>
      </w:r>
      <w:r w:rsidR="00C64050">
        <w:t xml:space="preserve"> </w:t>
      </w:r>
      <w:r>
        <w:t>transfer</w:t>
      </w:r>
      <w:r w:rsidR="00C64050">
        <w:t xml:space="preserve"> </w:t>
      </w:r>
      <w:r>
        <w:t>described</w:t>
      </w:r>
      <w:r w:rsidR="00C64050">
        <w:t xml:space="preserve"> </w:t>
      </w:r>
      <w:r>
        <w:t>in</w:t>
      </w:r>
      <w:r w:rsidR="00C64050">
        <w:t xml:space="preserve"> </w:t>
      </w:r>
      <w:r>
        <w:t>subsection</w:t>
      </w:r>
      <w:r w:rsidR="00C64050">
        <w:t xml:space="preserve"> </w:t>
      </w:r>
      <w:r>
        <w:t>(a),</w:t>
      </w:r>
      <w:r w:rsidR="00C64050">
        <w:t xml:space="preserve"> </w:t>
      </w:r>
      <w:r>
        <w:t>(1)</w:t>
      </w:r>
      <w:r w:rsidR="00C64050">
        <w:t xml:space="preserve"> </w:t>
      </w:r>
      <w:r>
        <w:t>the</w:t>
      </w:r>
      <w:r w:rsidR="00C64050">
        <w:t xml:space="preserve"> </w:t>
      </w:r>
      <w:r>
        <w:t>property</w:t>
      </w:r>
      <w:r w:rsidR="00C64050">
        <w:t xml:space="preserve"> </w:t>
      </w:r>
      <w:r>
        <w:t>shall</w:t>
      </w:r>
      <w:r w:rsidR="00C64050">
        <w:t xml:space="preserve"> </w:t>
      </w:r>
      <w:r>
        <w:t>be</w:t>
      </w:r>
      <w:r w:rsidR="00C64050">
        <w:t xml:space="preserve"> </w:t>
      </w:r>
      <w:r>
        <w:t>treated</w:t>
      </w:r>
      <w:r w:rsidR="00C64050">
        <w:t xml:space="preserve"> </w:t>
      </w:r>
      <w:r>
        <w:t>as</w:t>
      </w:r>
      <w:r w:rsidR="00C64050">
        <w:t xml:space="preserve"> </w:t>
      </w:r>
      <w:r>
        <w:t>acquired</w:t>
      </w:r>
      <w:r w:rsidR="00C64050">
        <w:t xml:space="preserve"> </w:t>
      </w:r>
      <w:r>
        <w:t>by</w:t>
      </w:r>
      <w:r w:rsidR="00C64050">
        <w:t xml:space="preserve"> </w:t>
      </w:r>
      <w:r>
        <w:t>the</w:t>
      </w:r>
      <w:r w:rsidR="00C64050">
        <w:t xml:space="preserve"> </w:t>
      </w:r>
      <w:r>
        <w:t>transferee</w:t>
      </w:r>
      <w:r w:rsidR="00C64050">
        <w:t xml:space="preserve"> </w:t>
      </w:r>
      <w:r>
        <w:t>by</w:t>
      </w:r>
      <w:r w:rsidR="00C64050">
        <w:t xml:space="preserve"> </w:t>
      </w:r>
      <w:r>
        <w:t>gift,</w:t>
      </w:r>
      <w:r w:rsidR="00C64050">
        <w:t xml:space="preserve"> </w:t>
      </w:r>
      <w:r>
        <w:t>and</w:t>
      </w:r>
      <w:r w:rsidR="00C64050">
        <w:t xml:space="preserve"> </w:t>
      </w:r>
      <w:r>
        <w:t>(2)</w:t>
      </w:r>
      <w:r w:rsidR="00C64050">
        <w:t xml:space="preserve"> </w:t>
      </w:r>
      <w:r>
        <w:t>the</w:t>
      </w:r>
      <w:r w:rsidR="00C64050">
        <w:t xml:space="preserve"> </w:t>
      </w:r>
      <w:r>
        <w:t>basis</w:t>
      </w:r>
      <w:r w:rsidR="00C64050">
        <w:t xml:space="preserve"> </w:t>
      </w:r>
      <w:r>
        <w:t>of</w:t>
      </w:r>
      <w:r w:rsidR="00C64050">
        <w:t xml:space="preserve"> </w:t>
      </w:r>
      <w:r>
        <w:t>the</w:t>
      </w:r>
      <w:r w:rsidR="00C64050">
        <w:t xml:space="preserve"> </w:t>
      </w:r>
      <w:r>
        <w:t>transferee</w:t>
      </w:r>
      <w:r w:rsidR="00C64050">
        <w:t xml:space="preserve"> </w:t>
      </w:r>
      <w:r>
        <w:t>in</w:t>
      </w:r>
      <w:r w:rsidR="00C64050">
        <w:t xml:space="preserve"> </w:t>
      </w:r>
      <w:r>
        <w:t>the</w:t>
      </w:r>
      <w:r w:rsidR="00C64050">
        <w:t xml:space="preserve"> </w:t>
      </w:r>
      <w:r>
        <w:t>property</w:t>
      </w:r>
      <w:r w:rsidR="00C64050">
        <w:t xml:space="preserve"> </w:t>
      </w:r>
      <w:r>
        <w:t>shall</w:t>
      </w:r>
      <w:r w:rsidR="00C64050">
        <w:t xml:space="preserve"> </w:t>
      </w:r>
      <w:r>
        <w:t>be</w:t>
      </w:r>
      <w:r w:rsidR="00C64050">
        <w:t xml:space="preserve"> </w:t>
      </w:r>
      <w:r>
        <w:t>the</w:t>
      </w:r>
      <w:r w:rsidR="00C64050">
        <w:t xml:space="preserve"> </w:t>
      </w:r>
      <w:r>
        <w:t>adjusted</w:t>
      </w:r>
      <w:r w:rsidR="00C64050">
        <w:t xml:space="preserve"> </w:t>
      </w:r>
      <w:r>
        <w:t>basis</w:t>
      </w:r>
      <w:r w:rsidR="00C64050">
        <w:t xml:space="preserve"> </w:t>
      </w:r>
      <w:r>
        <w:t>of</w:t>
      </w:r>
      <w:r w:rsidR="00C64050">
        <w:t xml:space="preserve"> </w:t>
      </w:r>
      <w:r>
        <w:t>the</w:t>
      </w:r>
      <w:r w:rsidR="00C64050">
        <w:t xml:space="preserve"> </w:t>
      </w:r>
      <w:r>
        <w:t>transferor.</w:t>
      </w:r>
      <w:r w:rsidR="00C64050">
        <w:t xml:space="preserve"> </w:t>
      </w:r>
      <w:r>
        <w:t>Because</w:t>
      </w:r>
      <w:r w:rsidR="00C64050">
        <w:t xml:space="preserve"> </w:t>
      </w:r>
      <w:r>
        <w:t>Trust</w:t>
      </w:r>
      <w:r w:rsidR="00C64050">
        <w:t xml:space="preserve"> </w:t>
      </w:r>
      <w:r>
        <w:t>1</w:t>
      </w:r>
      <w:r w:rsidR="00C64050">
        <w:t xml:space="preserve"> </w:t>
      </w:r>
      <w:r>
        <w:t>is</w:t>
      </w:r>
      <w:r w:rsidR="00C64050">
        <w:t xml:space="preserve"> </w:t>
      </w:r>
      <w:r>
        <w:t>a</w:t>
      </w:r>
      <w:r w:rsidR="00C64050">
        <w:t xml:space="preserve"> </w:t>
      </w:r>
      <w:r>
        <w:t>grantor</w:t>
      </w:r>
      <w:r w:rsidR="00C64050">
        <w:t xml:space="preserve"> </w:t>
      </w:r>
      <w:r>
        <w:t>trust,</w:t>
      </w:r>
      <w:r w:rsidR="00C64050">
        <w:t xml:space="preserve"> </w:t>
      </w:r>
      <w:r>
        <w:t>assets</w:t>
      </w:r>
      <w:r w:rsidR="00C64050">
        <w:t xml:space="preserve"> </w:t>
      </w:r>
      <w:r>
        <w:t>sold</w:t>
      </w:r>
      <w:r w:rsidR="00C64050">
        <w:t xml:space="preserve"> </w:t>
      </w:r>
      <w:r>
        <w:t>by</w:t>
      </w:r>
      <w:r w:rsidR="00C64050">
        <w:t xml:space="preserve"> </w:t>
      </w:r>
      <w:r>
        <w:t>Trust</w:t>
      </w:r>
      <w:r w:rsidR="00C64050">
        <w:t xml:space="preserve"> </w:t>
      </w:r>
      <w:r>
        <w:t>1</w:t>
      </w:r>
      <w:r w:rsidR="00C64050">
        <w:t xml:space="preserve"> </w:t>
      </w:r>
      <w:r>
        <w:t>will</w:t>
      </w:r>
      <w:r w:rsidR="00C64050">
        <w:t xml:space="preserve"> </w:t>
      </w:r>
      <w:r>
        <w:t>be</w:t>
      </w:r>
      <w:r w:rsidR="00C64050">
        <w:t xml:space="preserve"> </w:t>
      </w:r>
      <w:r>
        <w:t>treated</w:t>
      </w:r>
      <w:r w:rsidR="00C64050">
        <w:t xml:space="preserve"> </w:t>
      </w:r>
      <w:r>
        <w:t>for</w:t>
      </w:r>
      <w:r w:rsidR="00C64050">
        <w:t xml:space="preserve"> </w:t>
      </w:r>
      <w:r>
        <w:t>federal</w:t>
      </w:r>
      <w:r w:rsidR="00C64050">
        <w:t xml:space="preserve"> </w:t>
      </w:r>
      <w:r>
        <w:t>tax</w:t>
      </w:r>
      <w:r w:rsidR="00C64050">
        <w:t xml:space="preserve"> </w:t>
      </w:r>
      <w:r>
        <w:t>purposes</w:t>
      </w:r>
      <w:r w:rsidR="00C64050">
        <w:t xml:space="preserve"> </w:t>
      </w:r>
      <w:r>
        <w:t>as</w:t>
      </w:r>
      <w:r w:rsidR="00C64050">
        <w:t xml:space="preserve"> </w:t>
      </w:r>
      <w:r>
        <w:t>sold</w:t>
      </w:r>
      <w:r w:rsidR="00C64050">
        <w:t xml:space="preserve"> </w:t>
      </w:r>
      <w:r>
        <w:t>by</w:t>
      </w:r>
      <w:r w:rsidR="00C64050">
        <w:t xml:space="preserve"> </w:t>
      </w:r>
      <w:r>
        <w:t>Spouse</w:t>
      </w:r>
      <w:r w:rsidR="00C64050">
        <w:t xml:space="preserve"> </w:t>
      </w:r>
      <w:r>
        <w:t>1.</w:t>
      </w:r>
      <w:r w:rsidR="00C64050">
        <w:t xml:space="preserve"> </w:t>
      </w:r>
      <w:r>
        <w:t>In</w:t>
      </w:r>
      <w:r w:rsidR="00C64050">
        <w:t xml:space="preserve"> </w:t>
      </w:r>
      <w:r>
        <w:t>addition,</w:t>
      </w:r>
      <w:r w:rsidR="00C64050">
        <w:t xml:space="preserve"> </w:t>
      </w:r>
      <w:r>
        <w:t>because</w:t>
      </w:r>
      <w:r w:rsidR="00C64050">
        <w:t xml:space="preserve"> </w:t>
      </w:r>
      <w:r>
        <w:t>Trust</w:t>
      </w:r>
      <w:r w:rsidR="00C64050">
        <w:t xml:space="preserve"> </w:t>
      </w:r>
      <w:r>
        <w:t>2</w:t>
      </w:r>
      <w:r w:rsidR="00C64050">
        <w:t xml:space="preserve"> </w:t>
      </w:r>
      <w:r>
        <w:t>is</w:t>
      </w:r>
      <w:r w:rsidR="00C64050">
        <w:t xml:space="preserve"> </w:t>
      </w:r>
      <w:r>
        <w:t>a</w:t>
      </w:r>
      <w:r w:rsidR="00C64050">
        <w:t xml:space="preserve"> </w:t>
      </w:r>
      <w:r>
        <w:t>grantor</w:t>
      </w:r>
      <w:r w:rsidR="00C64050">
        <w:t xml:space="preserve"> </w:t>
      </w:r>
      <w:r>
        <w:t>trust,</w:t>
      </w:r>
      <w:r w:rsidR="00C64050">
        <w:t xml:space="preserve"> </w:t>
      </w:r>
      <w:r>
        <w:t>assets</w:t>
      </w:r>
      <w:r w:rsidR="00C64050">
        <w:t xml:space="preserve"> </w:t>
      </w:r>
      <w:r>
        <w:t>purchased</w:t>
      </w:r>
      <w:r w:rsidR="00C64050">
        <w:t xml:space="preserve"> </w:t>
      </w:r>
      <w:r>
        <w:t>from</w:t>
      </w:r>
      <w:r w:rsidR="00C64050">
        <w:t xml:space="preserve"> </w:t>
      </w:r>
      <w:r>
        <w:t>Taxpayer</w:t>
      </w:r>
      <w:r w:rsidR="00C64050">
        <w:t xml:space="preserve"> </w:t>
      </w:r>
      <w:r>
        <w:t>and</w:t>
      </w:r>
      <w:r w:rsidR="00C64050">
        <w:t xml:space="preserve"> </w:t>
      </w:r>
      <w:r>
        <w:t>Trust</w:t>
      </w:r>
      <w:r w:rsidR="00C64050">
        <w:t xml:space="preserve"> </w:t>
      </w:r>
      <w:r>
        <w:t>1</w:t>
      </w:r>
      <w:r w:rsidR="00C64050">
        <w:t xml:space="preserve"> </w:t>
      </w:r>
      <w:r>
        <w:t>will</w:t>
      </w:r>
      <w:r w:rsidR="00C64050">
        <w:t xml:space="preserve"> </w:t>
      </w:r>
      <w:r>
        <w:t>be</w:t>
      </w:r>
      <w:r w:rsidR="00C64050">
        <w:t xml:space="preserve"> </w:t>
      </w:r>
      <w:r>
        <w:t>treated</w:t>
      </w:r>
      <w:r w:rsidR="00C64050">
        <w:t xml:space="preserve"> </w:t>
      </w:r>
      <w:r>
        <w:t>for</w:t>
      </w:r>
      <w:r w:rsidR="00C64050">
        <w:t xml:space="preserve"> </w:t>
      </w:r>
      <w:r>
        <w:t>federal</w:t>
      </w:r>
      <w:r w:rsidR="00C64050">
        <w:t xml:space="preserve"> </w:t>
      </w:r>
      <w:r>
        <w:t>tax</w:t>
      </w:r>
      <w:r w:rsidR="00C64050">
        <w:t xml:space="preserve"> </w:t>
      </w:r>
      <w:r>
        <w:t>purposes</w:t>
      </w:r>
      <w:r w:rsidR="00C64050">
        <w:t xml:space="preserve"> </w:t>
      </w:r>
      <w:r>
        <w:t>as</w:t>
      </w:r>
      <w:r w:rsidR="00C64050">
        <w:t xml:space="preserve"> </w:t>
      </w:r>
      <w:r>
        <w:t>purchased</w:t>
      </w:r>
      <w:r w:rsidR="00C64050">
        <w:t xml:space="preserve"> </w:t>
      </w:r>
      <w:r>
        <w:t>by</w:t>
      </w:r>
      <w:r w:rsidR="00C64050">
        <w:t xml:space="preserve"> </w:t>
      </w:r>
      <w:r>
        <w:t>Spouse</w:t>
      </w:r>
      <w:r w:rsidR="00C64050">
        <w:t xml:space="preserve"> </w:t>
      </w:r>
      <w:r>
        <w:t>2.</w:t>
      </w:r>
      <w:r w:rsidR="00C64050">
        <w:t xml:space="preserve"> </w:t>
      </w:r>
      <w:r>
        <w:t>Accordingly,</w:t>
      </w:r>
      <w:r w:rsidR="00C64050">
        <w:t xml:space="preserve"> </w:t>
      </w:r>
      <w:r>
        <w:t>based</w:t>
      </w:r>
      <w:r w:rsidR="00C64050">
        <w:t xml:space="preserve"> </w:t>
      </w:r>
      <w:r>
        <w:t>on</w:t>
      </w:r>
      <w:r w:rsidR="00C64050">
        <w:t xml:space="preserve"> </w:t>
      </w:r>
      <w:r>
        <w:t>the</w:t>
      </w:r>
      <w:r w:rsidR="00C64050">
        <w:t xml:space="preserve"> </w:t>
      </w:r>
      <w:r>
        <w:t>information</w:t>
      </w:r>
      <w:r w:rsidR="00C64050">
        <w:t xml:space="preserve"> </w:t>
      </w:r>
      <w:r>
        <w:t>submitted,</w:t>
      </w:r>
      <w:r w:rsidR="00C64050">
        <w:t xml:space="preserve"> </w:t>
      </w:r>
      <w:r>
        <w:t>we</w:t>
      </w:r>
      <w:r w:rsidR="00C64050">
        <w:t xml:space="preserve"> </w:t>
      </w:r>
      <w:r>
        <w:t>rule</w:t>
      </w:r>
      <w:r w:rsidR="00C64050">
        <w:t xml:space="preserve"> </w:t>
      </w:r>
      <w:r>
        <w:t>as</w:t>
      </w:r>
      <w:r w:rsidR="00C64050">
        <w:t xml:space="preserve"> </w:t>
      </w:r>
      <w:r>
        <w:t>follows:</w:t>
      </w:r>
      <w:r w:rsidR="00C64050">
        <w:t xml:space="preserve"> </w:t>
      </w:r>
      <w:r>
        <w:t>(1)</w:t>
      </w:r>
      <w:r w:rsidR="00C64050">
        <w:t xml:space="preserve"> </w:t>
      </w:r>
      <w:r>
        <w:t>Spouse</w:t>
      </w:r>
      <w:r w:rsidR="00C64050">
        <w:t xml:space="preserve"> </w:t>
      </w:r>
      <w:r>
        <w:t>1</w:t>
      </w:r>
      <w:r w:rsidR="00C64050">
        <w:t xml:space="preserve"> </w:t>
      </w:r>
      <w:r>
        <w:t>will</w:t>
      </w:r>
      <w:r w:rsidR="00C64050">
        <w:t xml:space="preserve"> </w:t>
      </w:r>
      <w:r>
        <w:t>recognize</w:t>
      </w:r>
      <w:r w:rsidR="00C64050">
        <w:t xml:space="preserve"> </w:t>
      </w:r>
      <w:r>
        <w:t>no</w:t>
      </w:r>
      <w:r w:rsidR="00C64050">
        <w:t xml:space="preserve"> </w:t>
      </w:r>
      <w:r>
        <w:t>gain</w:t>
      </w:r>
      <w:r w:rsidR="00C64050">
        <w:t xml:space="preserve"> </w:t>
      </w:r>
      <w:r>
        <w:t>or</w:t>
      </w:r>
      <w:r w:rsidR="00C64050">
        <w:t xml:space="preserve"> </w:t>
      </w:r>
      <w:r>
        <w:t>loss</w:t>
      </w:r>
      <w:r w:rsidR="00C64050">
        <w:t xml:space="preserve"> </w:t>
      </w:r>
      <w:r>
        <w:t>on</w:t>
      </w:r>
      <w:r w:rsidR="00C64050">
        <w:t xml:space="preserve"> </w:t>
      </w:r>
      <w:r>
        <w:t>the</w:t>
      </w:r>
      <w:r w:rsidR="00C64050">
        <w:t xml:space="preserve"> </w:t>
      </w:r>
      <w:r>
        <w:t>sale</w:t>
      </w:r>
      <w:r w:rsidR="00C64050">
        <w:t xml:space="preserve"> </w:t>
      </w:r>
      <w:r>
        <w:t>by</w:t>
      </w:r>
      <w:r w:rsidR="00C64050">
        <w:t xml:space="preserve"> </w:t>
      </w:r>
      <w:r>
        <w:t>Spouse</w:t>
      </w:r>
      <w:r w:rsidR="00C64050">
        <w:t xml:space="preserve"> </w:t>
      </w:r>
      <w:r>
        <w:t>1</w:t>
      </w:r>
      <w:r w:rsidR="00C64050">
        <w:t xml:space="preserve"> </w:t>
      </w:r>
      <w:r>
        <w:t>of</w:t>
      </w:r>
      <w:r w:rsidR="00C64050">
        <w:t xml:space="preserve"> </w:t>
      </w:r>
      <w:r>
        <w:t>a</w:t>
      </w:r>
      <w:r w:rsidR="00C64050">
        <w:t xml:space="preserve"> </w:t>
      </w:r>
      <w:r>
        <w:t>x</w:t>
      </w:r>
      <w:r w:rsidR="00C64050">
        <w:t xml:space="preserve"> </w:t>
      </w:r>
      <w:r>
        <w:t>percent</w:t>
      </w:r>
      <w:r w:rsidR="00C64050">
        <w:t xml:space="preserve"> </w:t>
      </w:r>
      <w:r>
        <w:t>limited</w:t>
      </w:r>
      <w:r w:rsidR="00C64050">
        <w:t xml:space="preserve"> </w:t>
      </w:r>
      <w:r>
        <w:t>partnership</w:t>
      </w:r>
      <w:r w:rsidR="00C64050">
        <w:t xml:space="preserve"> </w:t>
      </w:r>
      <w:r>
        <w:t>interest</w:t>
      </w:r>
      <w:r w:rsidR="00C64050">
        <w:t xml:space="preserve"> </w:t>
      </w:r>
      <w:r>
        <w:t>in</w:t>
      </w:r>
      <w:r w:rsidR="00C64050">
        <w:t xml:space="preserve"> </w:t>
      </w:r>
      <w:r>
        <w:t>Partnership</w:t>
      </w:r>
      <w:r w:rsidR="00C64050">
        <w:t xml:space="preserve"> </w:t>
      </w:r>
      <w:r>
        <w:t>to</w:t>
      </w:r>
      <w:r w:rsidR="00C64050">
        <w:t xml:space="preserve"> </w:t>
      </w:r>
      <w:r>
        <w:t>Trust</w:t>
      </w:r>
      <w:r w:rsidR="00C64050">
        <w:t xml:space="preserve"> </w:t>
      </w:r>
      <w:r>
        <w:t>2</w:t>
      </w:r>
      <w:r w:rsidR="00C64050">
        <w:t xml:space="preserve"> </w:t>
      </w:r>
      <w:r>
        <w:t>(§</w:t>
      </w:r>
      <w:r w:rsidR="00C64050">
        <w:t xml:space="preserve"> </w:t>
      </w:r>
      <w:r>
        <w:t>1041(a)(1)</w:t>
      </w:r>
      <w:r w:rsidR="00C64050">
        <w:t xml:space="preserve"> </w:t>
      </w:r>
      <w:r>
        <w:t>and</w:t>
      </w:r>
      <w:r w:rsidR="00C64050">
        <w:t xml:space="preserve"> </w:t>
      </w:r>
      <w:r>
        <w:t>Rev.</w:t>
      </w:r>
      <w:r w:rsidR="00C64050">
        <w:t xml:space="preserve"> </w:t>
      </w:r>
      <w:r>
        <w:t>Rul.</w:t>
      </w:r>
      <w:r w:rsidR="00C64050">
        <w:t xml:space="preserve"> </w:t>
      </w:r>
      <w:r>
        <w:t>85-13).</w:t>
      </w:r>
      <w:r w:rsidR="00C64050">
        <w:t xml:space="preserve"> </w:t>
      </w:r>
      <w:r>
        <w:t>(2)</w:t>
      </w:r>
      <w:r w:rsidR="00C64050">
        <w:t xml:space="preserve"> </w:t>
      </w:r>
      <w:r>
        <w:t>Spouse</w:t>
      </w:r>
      <w:r w:rsidR="00C64050">
        <w:t xml:space="preserve"> </w:t>
      </w:r>
      <w:r>
        <w:t>1</w:t>
      </w:r>
      <w:r w:rsidR="00C64050">
        <w:t xml:space="preserve"> </w:t>
      </w:r>
      <w:r>
        <w:t>will</w:t>
      </w:r>
      <w:r w:rsidR="00C64050">
        <w:t xml:space="preserve"> </w:t>
      </w:r>
      <w:r>
        <w:t>recognize</w:t>
      </w:r>
      <w:r w:rsidR="00C64050">
        <w:t xml:space="preserve"> </w:t>
      </w:r>
      <w:r>
        <w:t>no</w:t>
      </w:r>
      <w:r w:rsidR="00C64050">
        <w:t xml:space="preserve"> </w:t>
      </w:r>
      <w:r>
        <w:t>gain</w:t>
      </w:r>
      <w:r w:rsidR="00C64050">
        <w:t xml:space="preserve"> </w:t>
      </w:r>
      <w:r>
        <w:t>or</w:t>
      </w:r>
      <w:r w:rsidR="00C64050">
        <w:t xml:space="preserve"> </w:t>
      </w:r>
      <w:r>
        <w:t>loss</w:t>
      </w:r>
      <w:r w:rsidR="00C64050">
        <w:t xml:space="preserve"> </w:t>
      </w:r>
      <w:r>
        <w:t>on</w:t>
      </w:r>
      <w:r w:rsidR="00C64050">
        <w:t xml:space="preserve"> </w:t>
      </w:r>
      <w:r>
        <w:t>the</w:t>
      </w:r>
      <w:r w:rsidR="00C64050">
        <w:t xml:space="preserve"> </w:t>
      </w:r>
      <w:r>
        <w:t>sale</w:t>
      </w:r>
      <w:r w:rsidR="00C64050">
        <w:t xml:space="preserve"> </w:t>
      </w:r>
      <w:r>
        <w:t>by</w:t>
      </w:r>
      <w:r w:rsidR="00C64050">
        <w:t xml:space="preserve"> </w:t>
      </w:r>
      <w:r>
        <w:t>Trust</w:t>
      </w:r>
      <w:r w:rsidR="00C64050">
        <w:t xml:space="preserve"> </w:t>
      </w:r>
      <w:r>
        <w:t>1</w:t>
      </w:r>
      <w:r w:rsidR="00C64050">
        <w:t xml:space="preserve"> </w:t>
      </w:r>
      <w:r>
        <w:t>of</w:t>
      </w:r>
      <w:r w:rsidR="00C64050">
        <w:t xml:space="preserve"> </w:t>
      </w:r>
      <w:r>
        <w:t>a</w:t>
      </w:r>
      <w:r w:rsidR="00C64050">
        <w:t xml:space="preserve"> </w:t>
      </w:r>
      <w:r>
        <w:t>x</w:t>
      </w:r>
      <w:r w:rsidR="00C64050">
        <w:t xml:space="preserve"> </w:t>
      </w:r>
      <w:r>
        <w:t>percent</w:t>
      </w:r>
      <w:r w:rsidR="00C64050">
        <w:t xml:space="preserve"> </w:t>
      </w:r>
      <w:r>
        <w:t>limited</w:t>
      </w:r>
      <w:r w:rsidR="00C64050">
        <w:t xml:space="preserve"> </w:t>
      </w:r>
      <w:r>
        <w:t>partnership</w:t>
      </w:r>
      <w:r w:rsidR="00C64050">
        <w:t xml:space="preserve"> </w:t>
      </w:r>
      <w:r>
        <w:t>interest</w:t>
      </w:r>
      <w:r w:rsidR="00C64050">
        <w:t xml:space="preserve"> </w:t>
      </w:r>
      <w:r>
        <w:t>in</w:t>
      </w:r>
      <w:r w:rsidR="00C64050">
        <w:t xml:space="preserve"> </w:t>
      </w:r>
      <w:r>
        <w:t>Partnership</w:t>
      </w:r>
      <w:r w:rsidR="00C64050">
        <w:t xml:space="preserve"> </w:t>
      </w:r>
      <w:r>
        <w:t>to</w:t>
      </w:r>
      <w:r w:rsidR="00C64050">
        <w:t xml:space="preserve"> </w:t>
      </w:r>
      <w:r>
        <w:t>Trust</w:t>
      </w:r>
      <w:r w:rsidR="00C64050">
        <w:t xml:space="preserve"> </w:t>
      </w:r>
      <w:r>
        <w:t>2</w:t>
      </w:r>
      <w:r w:rsidR="00C64050">
        <w:t xml:space="preserve"> </w:t>
      </w:r>
      <w:r>
        <w:t>(§</w:t>
      </w:r>
      <w:r w:rsidR="00C64050">
        <w:t xml:space="preserve"> </w:t>
      </w:r>
      <w:r>
        <w:t>1041(a)(1)</w:t>
      </w:r>
      <w:r w:rsidR="00C64050">
        <w:t xml:space="preserve"> </w:t>
      </w:r>
      <w:r>
        <w:t>and</w:t>
      </w:r>
      <w:r w:rsidR="00C64050">
        <w:t xml:space="preserve"> </w:t>
      </w:r>
      <w:r>
        <w:t>Rev.</w:t>
      </w:r>
      <w:r w:rsidR="00C64050">
        <w:t xml:space="preserve"> </w:t>
      </w:r>
      <w:r>
        <w:t>Rul.</w:t>
      </w:r>
      <w:r w:rsidR="00C64050">
        <w:t xml:space="preserve"> </w:t>
      </w:r>
      <w:r>
        <w:t>85-13).</w:t>
      </w:r>
      <w:r w:rsidR="00C64050">
        <w:t xml:space="preserve"> </w:t>
      </w:r>
      <w:r>
        <w:t>(3)</w:t>
      </w:r>
      <w:r w:rsidR="00C64050">
        <w:t xml:space="preserve"> </w:t>
      </w:r>
      <w:r>
        <w:t>The</w:t>
      </w:r>
      <w:r w:rsidR="00C64050">
        <w:t xml:space="preserve"> </w:t>
      </w:r>
      <w:r>
        <w:t>basis</w:t>
      </w:r>
      <w:r w:rsidR="00C64050">
        <w:t xml:space="preserve"> </w:t>
      </w:r>
      <w:r>
        <w:t>of</w:t>
      </w:r>
      <w:r w:rsidR="00C64050">
        <w:t xml:space="preserve"> </w:t>
      </w:r>
      <w:r>
        <w:t>property</w:t>
      </w:r>
      <w:r w:rsidR="00C64050">
        <w:t xml:space="preserve"> </w:t>
      </w:r>
      <w:r>
        <w:t>acquired</w:t>
      </w:r>
      <w:r w:rsidR="00C64050">
        <w:t xml:space="preserve"> </w:t>
      </w:r>
      <w:r>
        <w:t>from</w:t>
      </w:r>
      <w:r w:rsidR="00C64050">
        <w:t xml:space="preserve"> </w:t>
      </w:r>
      <w:r>
        <w:t>Spouse</w:t>
      </w:r>
      <w:r w:rsidR="00C64050">
        <w:t xml:space="preserve"> </w:t>
      </w:r>
      <w:r>
        <w:t>1</w:t>
      </w:r>
      <w:r w:rsidR="00C64050">
        <w:t xml:space="preserve"> </w:t>
      </w:r>
      <w:r>
        <w:t>by</w:t>
      </w:r>
      <w:r w:rsidR="00C64050">
        <w:t xml:space="preserve"> </w:t>
      </w:r>
      <w:r>
        <w:t>Trust</w:t>
      </w:r>
      <w:r w:rsidR="00C64050">
        <w:t xml:space="preserve"> </w:t>
      </w:r>
      <w:r>
        <w:t>2</w:t>
      </w:r>
      <w:r w:rsidR="00C64050">
        <w:t xml:space="preserve"> </w:t>
      </w:r>
      <w:r>
        <w:t>will</w:t>
      </w:r>
      <w:r w:rsidR="00C64050">
        <w:t xml:space="preserve"> </w:t>
      </w:r>
      <w:r>
        <w:t>be</w:t>
      </w:r>
      <w:r w:rsidR="00C64050">
        <w:t xml:space="preserve"> </w:t>
      </w:r>
      <w:r>
        <w:t>the</w:t>
      </w:r>
      <w:r w:rsidR="00C64050">
        <w:t xml:space="preserve"> </w:t>
      </w:r>
      <w:r>
        <w:t>same</w:t>
      </w:r>
      <w:r w:rsidR="00C64050">
        <w:t xml:space="preserve"> </w:t>
      </w:r>
      <w:r>
        <w:t>as</w:t>
      </w:r>
      <w:r w:rsidR="00C64050">
        <w:t xml:space="preserve"> </w:t>
      </w:r>
      <w:r>
        <w:t>the</w:t>
      </w:r>
      <w:r w:rsidR="00C64050">
        <w:t xml:space="preserve"> </w:t>
      </w:r>
      <w:r>
        <w:t>adjusted</w:t>
      </w:r>
      <w:r w:rsidR="00C64050">
        <w:t xml:space="preserve"> </w:t>
      </w:r>
      <w:r>
        <w:t>basis</w:t>
      </w:r>
      <w:r w:rsidR="00C64050">
        <w:t xml:space="preserve"> </w:t>
      </w:r>
      <w:r>
        <w:t>in</w:t>
      </w:r>
      <w:r w:rsidR="00C64050">
        <w:t xml:space="preserve"> </w:t>
      </w:r>
      <w:r>
        <w:t>the</w:t>
      </w:r>
      <w:r w:rsidR="00C64050">
        <w:t xml:space="preserve"> </w:t>
      </w:r>
      <w:r>
        <w:t>property</w:t>
      </w:r>
      <w:r w:rsidR="00C64050">
        <w:t xml:space="preserve"> </w:t>
      </w:r>
      <w:r>
        <w:t>in</w:t>
      </w:r>
      <w:r w:rsidR="00C64050">
        <w:t xml:space="preserve"> </w:t>
      </w:r>
      <w:r>
        <w:t>the</w:t>
      </w:r>
      <w:r w:rsidR="00C64050">
        <w:t xml:space="preserve"> </w:t>
      </w:r>
      <w:r>
        <w:t>hands</w:t>
      </w:r>
      <w:r w:rsidR="00C64050">
        <w:t xml:space="preserve"> </w:t>
      </w:r>
      <w:r>
        <w:t>of</w:t>
      </w:r>
      <w:r w:rsidR="00C64050">
        <w:t xml:space="preserve"> </w:t>
      </w:r>
      <w:r>
        <w:t>Spouse</w:t>
      </w:r>
      <w:r w:rsidR="00C64050">
        <w:t xml:space="preserve"> </w:t>
      </w:r>
      <w:r>
        <w:t>1</w:t>
      </w:r>
      <w:r w:rsidR="00C64050">
        <w:t xml:space="preserve"> </w:t>
      </w:r>
      <w:r>
        <w:t>(§</w:t>
      </w:r>
      <w:r w:rsidR="00C64050">
        <w:t xml:space="preserve"> </w:t>
      </w:r>
      <w:r>
        <w:t>1041(b)(2)).</w:t>
      </w:r>
      <w:r w:rsidR="00C64050">
        <w:t xml:space="preserve"> </w:t>
      </w:r>
      <w:r>
        <w:t>(4)</w:t>
      </w:r>
      <w:r w:rsidR="00C64050">
        <w:t xml:space="preserve"> </w:t>
      </w:r>
      <w:r>
        <w:t>The</w:t>
      </w:r>
      <w:r w:rsidR="00C64050">
        <w:t xml:space="preserve"> </w:t>
      </w:r>
      <w:r>
        <w:t>basis</w:t>
      </w:r>
      <w:r w:rsidR="00C64050">
        <w:t xml:space="preserve"> </w:t>
      </w:r>
      <w:r>
        <w:t>of</w:t>
      </w:r>
      <w:r w:rsidR="00C64050">
        <w:t xml:space="preserve"> </w:t>
      </w:r>
      <w:r>
        <w:t>property</w:t>
      </w:r>
      <w:r w:rsidR="00C64050">
        <w:t xml:space="preserve"> </w:t>
      </w:r>
      <w:r>
        <w:t>acquired</w:t>
      </w:r>
      <w:r w:rsidR="00C64050">
        <w:t xml:space="preserve"> </w:t>
      </w:r>
      <w:r>
        <w:t>from</w:t>
      </w:r>
      <w:r w:rsidR="00C64050">
        <w:t xml:space="preserve"> </w:t>
      </w:r>
      <w:r>
        <w:t>Trust</w:t>
      </w:r>
      <w:r w:rsidR="00C64050">
        <w:t xml:space="preserve"> </w:t>
      </w:r>
      <w:r>
        <w:t>1</w:t>
      </w:r>
      <w:r w:rsidR="00C64050">
        <w:t xml:space="preserve"> </w:t>
      </w:r>
      <w:r>
        <w:t>by</w:t>
      </w:r>
      <w:r w:rsidR="00C64050">
        <w:t xml:space="preserve"> </w:t>
      </w:r>
      <w:r>
        <w:t>Trust</w:t>
      </w:r>
      <w:r w:rsidR="00C64050">
        <w:t xml:space="preserve"> </w:t>
      </w:r>
      <w:r>
        <w:t>2</w:t>
      </w:r>
      <w:r w:rsidR="00C64050">
        <w:t xml:space="preserve"> </w:t>
      </w:r>
      <w:r>
        <w:t>will</w:t>
      </w:r>
      <w:r w:rsidR="00C64050">
        <w:t xml:space="preserve"> </w:t>
      </w:r>
      <w:r>
        <w:t>be</w:t>
      </w:r>
      <w:r w:rsidR="00C64050">
        <w:t xml:space="preserve"> </w:t>
      </w:r>
      <w:r>
        <w:t>the</w:t>
      </w:r>
      <w:r w:rsidR="00C64050">
        <w:t xml:space="preserve"> </w:t>
      </w:r>
      <w:r>
        <w:t>same</w:t>
      </w:r>
      <w:r w:rsidR="00C64050">
        <w:t xml:space="preserve"> </w:t>
      </w:r>
      <w:r>
        <w:t>as</w:t>
      </w:r>
      <w:r w:rsidR="00C64050">
        <w:t xml:space="preserve"> </w:t>
      </w:r>
      <w:r>
        <w:t>the</w:t>
      </w:r>
      <w:r w:rsidR="00C64050">
        <w:t xml:space="preserve"> </w:t>
      </w:r>
      <w:r>
        <w:t>adjusted</w:t>
      </w:r>
      <w:r w:rsidR="00C64050">
        <w:t xml:space="preserve"> </w:t>
      </w:r>
      <w:r>
        <w:t>basis</w:t>
      </w:r>
      <w:r w:rsidR="00C64050">
        <w:t xml:space="preserve"> </w:t>
      </w:r>
      <w:r>
        <w:t>in</w:t>
      </w:r>
      <w:r w:rsidR="00C64050">
        <w:t xml:space="preserve"> </w:t>
      </w:r>
      <w:r>
        <w:t>the</w:t>
      </w:r>
      <w:r w:rsidR="00C64050">
        <w:t xml:space="preserve"> </w:t>
      </w:r>
      <w:r>
        <w:t>property</w:t>
      </w:r>
      <w:r w:rsidR="00C64050">
        <w:t xml:space="preserve"> </w:t>
      </w:r>
      <w:r>
        <w:t>in</w:t>
      </w:r>
      <w:r w:rsidR="00C64050">
        <w:t xml:space="preserve"> </w:t>
      </w:r>
      <w:r>
        <w:t>the</w:t>
      </w:r>
      <w:r w:rsidR="00C64050">
        <w:t xml:space="preserve"> </w:t>
      </w:r>
      <w:r>
        <w:t>hands</w:t>
      </w:r>
      <w:r w:rsidR="00C64050">
        <w:t xml:space="preserve"> </w:t>
      </w:r>
      <w:r>
        <w:t>of</w:t>
      </w:r>
      <w:r w:rsidR="00C64050">
        <w:t xml:space="preserve"> </w:t>
      </w:r>
      <w:r>
        <w:t>Trust</w:t>
      </w:r>
      <w:r w:rsidR="00C64050">
        <w:t xml:space="preserve"> </w:t>
      </w:r>
      <w:r>
        <w:t>1</w:t>
      </w:r>
      <w:r w:rsidR="00C64050">
        <w:t xml:space="preserve"> </w:t>
      </w:r>
      <w:r>
        <w:t>(§</w:t>
      </w:r>
      <w:r w:rsidR="00C64050">
        <w:t xml:space="preserve"> </w:t>
      </w:r>
      <w:r>
        <w:t>1041(b)(2)).</w:t>
      </w:r>
    </w:p>
    <w:p w:rsidR="00FF7CCA" w:rsidRPr="00FF7CCA" w:rsidRDefault="007436A5" w:rsidP="00902C22">
      <w:pPr>
        <w:pStyle w:val="Heading20"/>
        <w:numPr>
          <w:ilvl w:val="1"/>
          <w:numId w:val="10"/>
        </w:numPr>
        <w:tabs>
          <w:tab w:val="clear" w:pos="2700"/>
        </w:tabs>
        <w:ind w:left="0"/>
        <w:rPr>
          <w:vanish/>
          <w:color w:val="000000"/>
          <w:szCs w:val="20"/>
          <w:specVanish/>
        </w:rPr>
      </w:pPr>
      <w:bookmarkStart w:id="245" w:name="_Toc94704644"/>
      <w:r w:rsidRPr="007436A5">
        <w:rPr>
          <w:b/>
          <w:u w:val="single"/>
        </w:rPr>
        <w:t>DING Trusts</w:t>
      </w:r>
      <w:bookmarkEnd w:id="245"/>
    </w:p>
    <w:p w:rsidR="007436A5" w:rsidRDefault="007436A5" w:rsidP="00FF7CCA">
      <w:pPr>
        <w:pStyle w:val="Heading2Body"/>
      </w:pPr>
      <w:r>
        <w:t>.  State income tax may be avoided if assets may be transferred into a non-grantor trust in such a way as to avoid the transferor making a gift.  The typical acronym for such trusts is a DING Trust, for Delaware Incomplete Non-Grantor Trusts, but there is nothing magical about Delaware as the state in which the trust ought be created.</w:t>
      </w:r>
    </w:p>
    <w:p w:rsidR="007436A5" w:rsidRDefault="007436A5" w:rsidP="007436A5">
      <w:pPr>
        <w:pStyle w:val="Body15"/>
        <w:rPr>
          <w:color w:val="000000"/>
          <w:szCs w:val="20"/>
        </w:rPr>
      </w:pPr>
      <w:r>
        <w:rPr>
          <w:color w:val="000000"/>
          <w:szCs w:val="20"/>
        </w:rPr>
        <w:t xml:space="preserve">Typically, the grantor of the trust wants to be a beneficiary.  Thus, in order to avoid grantor trust status the grantor may receive distributions only at the direction of adverse parties.  Generally, some of the grantor's descendants are beneficiaries of the trust and are thus thought to be adverse for income tax purposes, and thus are empowered to make distributions to the grantor.  </w:t>
      </w:r>
    </w:p>
    <w:p w:rsidR="007436A5" w:rsidRDefault="007436A5" w:rsidP="007436A5">
      <w:pPr>
        <w:pStyle w:val="Body15"/>
        <w:rPr>
          <w:color w:val="000000"/>
          <w:szCs w:val="20"/>
        </w:rPr>
      </w:pPr>
      <w:r>
        <w:rPr>
          <w:color w:val="000000"/>
          <w:szCs w:val="20"/>
        </w:rPr>
        <w:t>The grantor also wants the transfer to be incomplete for gift tax purposes.   In a string of rulings beginning in 2001 the IRS determined that a testamentary power of appointment in the grantor made the gift incomplete.  See e.g. 200148028, 200715005, and others in between.  In CCA 201208026 the IRS reversed that position, concluding that the testamentary power of appointment would only affect the remainder interest not the income or present interest.  So, the trick is to give the grantor some power that will make the gift incomplete but that will not cause the trust to be a grantor trust for income tax purposes.</w:t>
      </w:r>
    </w:p>
    <w:p w:rsidR="007436A5" w:rsidRDefault="007436A5" w:rsidP="007436A5">
      <w:pPr>
        <w:pStyle w:val="Body15"/>
        <w:rPr>
          <w:color w:val="000000"/>
          <w:szCs w:val="20"/>
        </w:rPr>
      </w:pPr>
      <w:r>
        <w:rPr>
          <w:color w:val="000000"/>
          <w:szCs w:val="20"/>
        </w:rPr>
        <w:t xml:space="preserve">One such power is the grantor's power to make distributions in a non-fiduciary capacity pursuant to a fixed and ascertainable standard under Reg. §2511-2 so long as retention of such power does not cause the assets of the trust to be subject to the grantor's creditors (because that would cause the trust to be a grantor trust for income tax purposes, per Rev. Rul. 54-516).  Delaware, Ohio, Nevada and Wyoming protect trusts where the donor retains this power.  </w:t>
      </w:r>
    </w:p>
    <w:p w:rsidR="007436A5" w:rsidRDefault="007436A5" w:rsidP="007436A5">
      <w:pPr>
        <w:pStyle w:val="Body15"/>
        <w:rPr>
          <w:color w:val="000000"/>
          <w:szCs w:val="20"/>
        </w:rPr>
      </w:pPr>
      <w:r>
        <w:rPr>
          <w:color w:val="000000"/>
          <w:szCs w:val="20"/>
        </w:rPr>
        <w:t>Another potential power would be to require the grantor's consent before distributions were made to others.  This power would pass muster in many of the asset protection states, including Delaware.</w:t>
      </w:r>
    </w:p>
    <w:p w:rsidR="007436A5" w:rsidRDefault="007436A5" w:rsidP="007436A5">
      <w:pPr>
        <w:pStyle w:val="Body15"/>
        <w:rPr>
          <w:color w:val="000000"/>
          <w:szCs w:val="20"/>
        </w:rPr>
      </w:pPr>
      <w:r>
        <w:rPr>
          <w:color w:val="000000"/>
          <w:szCs w:val="20"/>
        </w:rPr>
        <w:t>In IR-2007-127 (July 9, 2007) the IRS announced it was reconsidering its position on the gift tax consequences to the beneficiaries on the distribution committees.  The IRS was likely spooked by comments from a professional group about the tax consequences of DINGs and the government's arguably incoherent ruling position.  However, without comment on what learning has been achieved, the IRS began issuing rulings in this area, in March 2013.</w:t>
      </w:r>
    </w:p>
    <w:p w:rsidR="007436A5" w:rsidRDefault="007436A5" w:rsidP="007436A5">
      <w:pPr>
        <w:pStyle w:val="Body15"/>
        <w:rPr>
          <w:color w:val="000000"/>
          <w:szCs w:val="20"/>
        </w:rPr>
      </w:pPr>
      <w:r>
        <w:rPr>
          <w:color w:val="000000"/>
          <w:szCs w:val="20"/>
        </w:rPr>
        <w:t>New York has enacted legislation providing that DINGs are subject to New York income tax if created by a New York domiciliary even if not a grantor trust for federal income tax purposes.  Other states may adopt similar legislation.</w:t>
      </w:r>
    </w:p>
    <w:p w:rsidR="007436A5" w:rsidRDefault="007436A5" w:rsidP="007436A5">
      <w:pPr>
        <w:pStyle w:val="Body15"/>
      </w:pPr>
      <w:r>
        <w:t>PLR 201832008 is typical of current ING trust creation.  The distribution of authority is carefully divided and distributed:</w:t>
      </w:r>
    </w:p>
    <w:p w:rsidR="007436A5" w:rsidRDefault="007436A5" w:rsidP="007436A5">
      <w:pPr>
        <w:pStyle w:val="QS10"/>
      </w:pPr>
      <w:r>
        <w:t>Grantor is the only donor and all property contributed to Trust will be Grantor's separate property under State 1 law. The trustee, Trustee, is a trust company with its headquarter in State 2. Trust is governed by the laws of State 2. Currently, Grantor and Spouse have two minor children, Child 1 and Child 2.</w:t>
      </w:r>
    </w:p>
    <w:p w:rsidR="007436A5" w:rsidRDefault="007436A5" w:rsidP="007436A5">
      <w:pPr>
        <w:pStyle w:val="QS10"/>
      </w:pPr>
      <w:r>
        <w:t>During Grantor's lifetime, at any time or times, Trustee, pursuant to an appointment of the Committee or Grantor, while the Committee is in existence, shall distribute to the Beneficiaries such amounts of net income or principal of Trust as the Committee or Grantor determines. Any appointment, determination, or action by the Committee requires either (i) The unanimous written consent of the then serving members of the Committee, other than Grantor (Unanimous Member Power), or (ii) The written consent of Grantor and a majority of the other then serving members of the Committee (Grantor's Consent Power). In addition, Grantor, in a non-fiduciary capacity, may appoint such amounts of principal to one or more persons in the group consisting of Grantor's descendants, Father, Mother, and Individual, as Grantor deems advisable to provide for such person's health, support, and education. (Grantor's Sole Power). Such power may not be exercised to discharge or satisfy Grantor's legal obligations. Any net income not distributed shall be accumulated and added to the principal of Trust.</w:t>
      </w:r>
    </w:p>
    <w:p w:rsidR="007436A5" w:rsidRDefault="007436A5" w:rsidP="007436A5">
      <w:pPr>
        <w:pStyle w:val="QS10"/>
      </w:pPr>
      <w:r>
        <w:t>If at any time a Committee member fails or ceases to serve then the position of such Committee member shall remain vacant; subject to exception for the appointment of representatives with legal authority to act on behalf of another Committee member.</w:t>
      </w:r>
    </w:p>
    <w:p w:rsidR="007436A5" w:rsidRDefault="007436A5" w:rsidP="007436A5">
      <w:pPr>
        <w:pStyle w:val="QS10"/>
      </w:pPr>
      <w:r>
        <w:t>The Trust agreement provides that if there is no Committee, the trustee (other than a beneficiary-trustee) may pay any one or more of the beneficiaries such amount or amounts of the net income and principal for any purpose, even to the extent of all or none, at any time and from time to time, as the trustee determines in his discretion and only with Grantor's written consent, and in making such determinations, the trustee may consider or ignore, in the trustee's discretion, the beneficiaries' other financial resources of any kind.</w:t>
      </w:r>
    </w:p>
    <w:p w:rsidR="007436A5" w:rsidRDefault="007436A5" w:rsidP="007436A5">
      <w:pPr>
        <w:pStyle w:val="QS10"/>
      </w:pPr>
      <w:r>
        <w:t>Initially, Committee consists of Grantor, Representative 1, Representative 2, Father, and Mother. Representatives 1 and 2 act on behalf of Child 1 and Child 2, respectively, until each child reaches majority age. As each of the minor children, Child 1 and Child 2, reaches majority age, that child will become a member of the Committee, replacing his representative. Trust provides that, at any time, members of the Committee, may by unanimous vote add one or more members to the Committee (other than Spouse) provided that such members are beneficiaries of Trust. The Trust agreement, as amended, states that Committee shall be deemed not to exist at any time there are fewer than two members other than Grantor. The Committee shall also be dissolved and cease to exist upon Grantor's death.</w:t>
      </w:r>
    </w:p>
    <w:p w:rsidR="007436A5" w:rsidRDefault="007436A5" w:rsidP="007436A5">
      <w:pPr>
        <w:pStyle w:val="QS10"/>
      </w:pPr>
      <w:r>
        <w:t>Upon Grantor's death, the trustee shall distribute such amounts of trust property as Grantor appoint to or in favor of any one person or more persons or entities, other than Grantor, Grantor's estate, the creditors of Grantor, or the creditors of Grantor's estate, as Grantor may appoint by will (Grantor's Testamentary Power). Such power may not be exercised to discharge or satisfy Grantor's legal obligations.</w:t>
      </w:r>
    </w:p>
    <w:p w:rsidR="007436A5" w:rsidRDefault="007436A5" w:rsidP="007436A5">
      <w:pPr>
        <w:pStyle w:val="QS10"/>
      </w:pPr>
      <w:r>
        <w:t>Upon Grantor's death, the trustee shall divide the then remaining trust property into as many separate shares of equal value as necessary to dispose of the property. Any balance which is not distributed pursuant to Grantor's Testamentary Power shall be distributed as follows: (1) one such equal share to Father, if he is then living; (2) one such equal share to Mother, if she is then living; (3) one such equal share to Individual, if he is then living, and (4) seven such equal shares to Grantor's then living descendants, by right of representation, to be held in further trust for such descendants. If none of the remainder beneficiaries is living upon Grantor's death, any balance which is not distributed pursuant to Grantor's Testamentary Power shall be distributed in equal shares in further trust for the benefit of individuals named in Trust.</w:t>
      </w:r>
    </w:p>
    <w:p w:rsidR="007436A5" w:rsidRDefault="007436A5" w:rsidP="007436A5">
      <w:pPr>
        <w:pStyle w:val="Body15"/>
      </w:pPr>
      <w:r>
        <w:t>The grantor’s contribution to the trust was an incomplete gift:</w:t>
      </w:r>
    </w:p>
    <w:p w:rsidR="007436A5" w:rsidRDefault="007436A5" w:rsidP="007436A5">
      <w:pPr>
        <w:pStyle w:val="QS10"/>
        <w:rPr>
          <w:color w:val="000000" w:themeColor="text1"/>
        </w:rPr>
      </w:pPr>
      <w:r>
        <w:rPr>
          <w:color w:val="000000" w:themeColor="text1"/>
        </w:rPr>
        <w:t xml:space="preserve">In this case, Grantor retained the Grantor's Consent Power over the net income and principal of Trust. Under </w:t>
      </w:r>
      <w:hyperlink r:id="rId318" w:anchor="co_pp_7fdd00001ca15" w:history="1">
        <w:r>
          <w:rPr>
            <w:rStyle w:val="Hyperlink"/>
            <w:color w:val="000000" w:themeColor="text1"/>
          </w:rPr>
          <w:t>§ 25.2511-2(e)</w:t>
        </w:r>
      </w:hyperlink>
      <w:r>
        <w:rPr>
          <w:color w:val="000000" w:themeColor="text1"/>
        </w:rPr>
        <w:t xml:space="preserve">, a donor is considered as himself having a power if it is exercisable by him in conjunction with any person not having a substantial adverse interest in the disposition of the transferred property or the income therefrom. The Committee members are not takers in default for purposes of </w:t>
      </w:r>
      <w:hyperlink r:id="rId319" w:anchor="co_pp_c0ae00006c482" w:history="1">
        <w:r>
          <w:rPr>
            <w:rStyle w:val="Hyperlink"/>
            <w:color w:val="000000" w:themeColor="text1"/>
          </w:rPr>
          <w:t>§ 25.2514-3(b)(2)</w:t>
        </w:r>
      </w:hyperlink>
      <w:r>
        <w:rPr>
          <w:color w:val="000000" w:themeColor="text1"/>
        </w:rPr>
        <w:t xml:space="preserve">. They are merely co-holders of the power. Under </w:t>
      </w:r>
      <w:hyperlink r:id="rId320" w:anchor="co_pp_c0ae00006c482" w:history="1">
        <w:r>
          <w:rPr>
            <w:rStyle w:val="Hyperlink"/>
            <w:color w:val="000000" w:themeColor="text1"/>
          </w:rPr>
          <w:t>§ 25.2514-3(b)(2)</w:t>
        </w:r>
      </w:hyperlink>
      <w:r>
        <w:rPr>
          <w:color w:val="000000" w:themeColor="text1"/>
        </w:rPr>
        <w:t xml:space="preserve">, a co-holder of a power is only considered as having an adverse interest where he may possess the power after the possessor's death and may exercise it at that time in favor of himself, his estate, his creditors, or the creditors of his estate. In this case, the Committee ceases to exist upon the death of Grantor. Accordingly, the Committee members do not have interests adverse to Grantor under </w:t>
      </w:r>
      <w:hyperlink r:id="rId321" w:anchor="co_pp_c0ae00006c482" w:history="1">
        <w:r>
          <w:rPr>
            <w:rStyle w:val="Hyperlink"/>
            <w:color w:val="000000" w:themeColor="text1"/>
          </w:rPr>
          <w:t>§ 25.2514-3(b)(2)</w:t>
        </w:r>
      </w:hyperlink>
      <w:r>
        <w:rPr>
          <w:color w:val="000000" w:themeColor="text1"/>
        </w:rPr>
        <w:t xml:space="preserve"> and for purposes of </w:t>
      </w:r>
      <w:hyperlink r:id="rId322" w:anchor="co_pp_7fdd00001ca15" w:history="1">
        <w:r>
          <w:rPr>
            <w:rStyle w:val="Hyperlink"/>
            <w:color w:val="000000" w:themeColor="text1"/>
          </w:rPr>
          <w:t>§ 25.2511-2(e)</w:t>
        </w:r>
      </w:hyperlink>
      <w:r>
        <w:rPr>
          <w:color w:val="000000" w:themeColor="text1"/>
        </w:rPr>
        <w:t xml:space="preserve">. Therefore, Grantor is considered as possessing the power to distribute net income and principal to any beneficiary himself because he retained the Grantor's Consent Power. </w:t>
      </w:r>
    </w:p>
    <w:p w:rsidR="007436A5" w:rsidRDefault="007436A5" w:rsidP="007436A5">
      <w:pPr>
        <w:pStyle w:val="QS10"/>
        <w:rPr>
          <w:color w:val="000000" w:themeColor="text1"/>
        </w:rPr>
      </w:pPr>
      <w:r>
        <w:rPr>
          <w:color w:val="000000" w:themeColor="text1"/>
        </w:rPr>
        <w:t>If the Committee ceases to exist, the Trustee has the power to distribute net income to a beneficiary. However, the Trustee's power is not a condition precedent to each Grantor's Consent Power. Each Grantor's Consent Power over income is presently exercisable and not subject to a condition precedent. Thus, the Trustee's power to distribute net income does not cause the transfer of property to be complete with respect to the income interest in Trust for federal gift tax purposes. Therefore, each Grantor is considered as possessing the power to distribute income to any beneficiary himself or herself because he or she retained the Grantor's Consent Power.</w:t>
      </w:r>
    </w:p>
    <w:p w:rsidR="007436A5" w:rsidRDefault="007436A5" w:rsidP="007436A5">
      <w:pPr>
        <w:pStyle w:val="QS10"/>
        <w:rPr>
          <w:color w:val="000000" w:themeColor="text1"/>
        </w:rPr>
      </w:pPr>
      <w:r>
        <w:rPr>
          <w:color w:val="000000" w:themeColor="text1"/>
        </w:rPr>
        <w:t xml:space="preserve">Grantor also retained the Grantor's Sole Power over the principal of Trust. Under </w:t>
      </w:r>
      <w:hyperlink r:id="rId323" w:anchor="co_pp_4b24000003ba5" w:history="1">
        <w:r>
          <w:rPr>
            <w:rStyle w:val="Hyperlink"/>
            <w:color w:val="000000" w:themeColor="text1"/>
          </w:rPr>
          <w:t>§ 25.2511-2(c)</w:t>
        </w:r>
      </w:hyperlink>
      <w:r>
        <w:rPr>
          <w:color w:val="000000" w:themeColor="text1"/>
        </w:rPr>
        <w:t>, a gift is incomplete if and to the extent that a reserved power gives the donor the power to name new beneficiaries or to change the interests of the beneficiaries as between themselves unless the power is a fiduciary power limited by a fixed or ascertainable standard. In this case, the Grantor's Sole Power gives Grantor the power to change the interests of the beneficiaries. Even though Grantor's power is limited by an ascertainable standard, i.e., health, education, and support, Grantor's power is not a fiduciary power. Accordingly, the retention of the Grantor's Consent Power and the Grantor's Sole Power causes the transfer of property to Trust to be incomplete for federal gift tax purposes.</w:t>
      </w:r>
    </w:p>
    <w:p w:rsidR="007436A5" w:rsidRDefault="007436A5" w:rsidP="007436A5">
      <w:pPr>
        <w:pStyle w:val="QS10"/>
        <w:rPr>
          <w:color w:val="000000" w:themeColor="text1"/>
        </w:rPr>
      </w:pPr>
      <w:r>
        <w:rPr>
          <w:color w:val="000000" w:themeColor="text1"/>
        </w:rPr>
        <w:t xml:space="preserve">If the Committee ceases to exist, the Trustee, in its fiduciary capacity, also has the power to distribute principal to one or more beneficiaries. The powers of the Trustee are not conditions precedent to the Grantor's powers. Grantor's Sole Power over principal is presently exercisable and not subject to a condition precedent. Accordingly, Grantor retains dominion and control over the principal of Trust until the Trustee exercises his or her power to appoint principal. </w:t>
      </w:r>
      <w:r>
        <w:rPr>
          <w:i/>
          <w:iCs/>
          <w:color w:val="000000" w:themeColor="text1"/>
        </w:rPr>
        <w:t xml:space="preserve">See </w:t>
      </w:r>
      <w:hyperlink r:id="rId324" w:history="1">
        <w:r>
          <w:rPr>
            <w:rStyle w:val="Hyperlink"/>
            <w:i/>
            <w:iCs/>
            <w:color w:val="000000" w:themeColor="text1"/>
          </w:rPr>
          <w:t>Goldstein v. Commissioner</w:t>
        </w:r>
        <w:r>
          <w:rPr>
            <w:rStyle w:val="Hyperlink"/>
            <w:color w:val="000000" w:themeColor="text1"/>
          </w:rPr>
          <w:t>, 37 T.C. 897 (1962)</w:t>
        </w:r>
      </w:hyperlink>
      <w:r>
        <w:rPr>
          <w:color w:val="000000" w:themeColor="text1"/>
        </w:rPr>
        <w:t>. Thus, the Trustee's powers to distribute principal do not cause the transfer of property to be complete with respect to the remainder in Trust for federal gift tax purposes. Accordingly, the retention of Grantor's Consent Power and Grantor's Sole Power causes the transfer of property to Trust to be wholly incomplete for federal gift tax purposes.</w:t>
      </w:r>
    </w:p>
    <w:p w:rsidR="007436A5" w:rsidRDefault="007436A5" w:rsidP="007436A5">
      <w:pPr>
        <w:pStyle w:val="QS10"/>
        <w:rPr>
          <w:color w:val="000000" w:themeColor="text1"/>
        </w:rPr>
      </w:pPr>
      <w:r>
        <w:rPr>
          <w:color w:val="000000" w:themeColor="text1"/>
        </w:rPr>
        <w:t xml:space="preserve">Further, Grantor retained the Grantor's Testamentary Power to appoint the property in Trust to any persons, other than to the Grantor's estate, Grantor's creditors, or the creditors of Grantor's estate. Under </w:t>
      </w:r>
      <w:hyperlink r:id="rId325" w:anchor="co_pp_a83b000018c76" w:history="1">
        <w:r>
          <w:rPr>
            <w:rStyle w:val="Hyperlink"/>
            <w:color w:val="000000" w:themeColor="text1"/>
          </w:rPr>
          <w:t>§ 25.2511-2(b)</w:t>
        </w:r>
      </w:hyperlink>
      <w:r>
        <w:rPr>
          <w:color w:val="000000" w:themeColor="text1"/>
        </w:rPr>
        <w:t>, the retention of a testamentary power to appoint the remainder of a trust is considered a retention of dominion and control over the remainder. Accordingly, the retention of this power causes the transfer of property to Trust to be incomplete with respect to the remainder for federal tax purposes.</w:t>
      </w:r>
    </w:p>
    <w:p w:rsidR="007436A5" w:rsidRDefault="007436A5" w:rsidP="007436A5">
      <w:pPr>
        <w:pStyle w:val="QS10"/>
        <w:rPr>
          <w:color w:val="000000" w:themeColor="text1"/>
        </w:rPr>
      </w:pPr>
      <w:r>
        <w:rPr>
          <w:color w:val="000000" w:themeColor="text1"/>
        </w:rPr>
        <w:t xml:space="preserve">Finally, the Committee members possess the Unanimous Member Power over net income and principal. This power is not a condition precedent to Grantor's powers. Grantor's powers over the net income and principal are presently exercisable and not subject to a condition precedent. Grantor retains dominion and control over the net income and principal of Trust until the Committee members exercise their Unanimous Member Power. Accordingly, the Unanimous Member Power does not cause the transfer of property to be complete with respect to the income interest for federal gift tax purposes. </w:t>
      </w:r>
      <w:r>
        <w:rPr>
          <w:i/>
          <w:iCs/>
          <w:color w:val="000000" w:themeColor="text1"/>
        </w:rPr>
        <w:t xml:space="preserve">See </w:t>
      </w:r>
      <w:hyperlink r:id="rId326" w:history="1">
        <w:r>
          <w:rPr>
            <w:rStyle w:val="Hyperlink"/>
            <w:i/>
            <w:iCs/>
            <w:color w:val="000000" w:themeColor="text1"/>
          </w:rPr>
          <w:t>Goldstein v. Commissioner</w:t>
        </w:r>
        <w:r>
          <w:rPr>
            <w:rStyle w:val="Hyperlink"/>
            <w:color w:val="000000" w:themeColor="text1"/>
          </w:rPr>
          <w:t>, 37 T.C. 897 (1962)</w:t>
        </w:r>
      </w:hyperlink>
      <w:r>
        <w:rPr>
          <w:color w:val="000000" w:themeColor="text1"/>
        </w:rPr>
        <w:t xml:space="preserve">; </w:t>
      </w:r>
      <w:hyperlink r:id="rId327" w:history="1">
        <w:r>
          <w:rPr>
            <w:rStyle w:val="Hyperlink"/>
            <w:i/>
            <w:iCs/>
            <w:color w:val="000000" w:themeColor="text1"/>
          </w:rPr>
          <w:t>Estate of Goelet v. Commissioner</w:t>
        </w:r>
        <w:r>
          <w:rPr>
            <w:rStyle w:val="Hyperlink"/>
            <w:color w:val="000000" w:themeColor="text1"/>
          </w:rPr>
          <w:t>, 51 T.C. 352 (1968)</w:t>
        </w:r>
      </w:hyperlink>
      <w:r>
        <w:rPr>
          <w:color w:val="000000" w:themeColor="text1"/>
        </w:rPr>
        <w:t>.</w:t>
      </w:r>
    </w:p>
    <w:p w:rsidR="007436A5" w:rsidRDefault="007436A5" w:rsidP="007436A5">
      <w:pPr>
        <w:pStyle w:val="Body15"/>
      </w:pPr>
      <w:r>
        <w:t xml:space="preserve">Nonetheless the grantor’s powers did not make the trust taxable to the grantor for income tax purposes. </w:t>
      </w:r>
    </w:p>
    <w:p w:rsidR="007436A5" w:rsidRDefault="007436A5" w:rsidP="007436A5">
      <w:pPr>
        <w:pStyle w:val="Body15"/>
      </w:pPr>
      <w:r>
        <w:t>A distribution from the trust to other than the grantor would be a gift by the grantor.  See also PLR 202006002, dealing with community property (one of a series), and PLR 202014001, also part of a series.  See also PLR 202017018.</w:t>
      </w:r>
    </w:p>
    <w:p w:rsidR="007436A5" w:rsidRDefault="007436A5" w:rsidP="007436A5">
      <w:pPr>
        <w:pStyle w:val="Body15"/>
      </w:pPr>
      <w:r>
        <w:t>PLR 201908008 is a recent incomplete gift, non-grantor trust ruling, with a charitable feature.  The facts presented were otherwise typical:</w:t>
      </w:r>
    </w:p>
    <w:p w:rsidR="007436A5" w:rsidRDefault="007436A5" w:rsidP="007436A5">
      <w:pPr>
        <w:pStyle w:val="QS10"/>
      </w:pPr>
      <w:r>
        <w:t xml:space="preserve">On Date, Settlor created Trust, an irrevocable trust, for the benefit of Individual A, Individual B, and Foundation (Eligible Beneficiaries). Trust has an Independent Trustee and an Administrative Trustee. The situs of Trust is State. </w:t>
      </w:r>
    </w:p>
    <w:p w:rsidR="007436A5" w:rsidRDefault="007436A5" w:rsidP="007436A5">
      <w:pPr>
        <w:pStyle w:val="QS10"/>
      </w:pPr>
      <w:r>
        <w:t xml:space="preserve">Article I(1) of Trust provides that during the life of Settlor, the trustees shall pay so much, if any, of the net income from such trust to or for the benefit of any one or more of the Eligible Beneficiaries, in such equal or unequal shares and to the exclusion of any one or more of the other Eligible Beneficiaries, as the Distribution Committee shall, at any time or from time to time by written instrument delivered to the trustees, direct; provided, however, that the trustees shall not distribute any amount to any of the Eligible Beneficiaries pursuant to any direction of the Distribution Committee unless and until Settlor shall, acting individually and solely in a nonfiduciary capacity, first consent in writing to such direction (Settlor’s Consent Power). </w:t>
      </w:r>
    </w:p>
    <w:p w:rsidR="007436A5" w:rsidRDefault="007436A5" w:rsidP="007436A5">
      <w:pPr>
        <w:pStyle w:val="QS10"/>
      </w:pPr>
      <w:r>
        <w:t xml:space="preserve">Article I(2) provides that the trustees shall be authorized to distribute all or any part of the net income not so paid pursuant to Article I(1) to any one or more of the Eligible Beneficiaries, in such equal or unequal shares and to the exclusion of any one or more of the other Eligible Beneficiaries, as the Independent Trustee shall, at any time or from time to time in the absolute discretion of the Independent Trustee, determine for any purpose. </w:t>
      </w:r>
    </w:p>
    <w:p w:rsidR="007436A5" w:rsidRDefault="007436A5" w:rsidP="007436A5">
      <w:pPr>
        <w:pStyle w:val="QS10"/>
      </w:pPr>
      <w:r>
        <w:t xml:space="preserve">Article I(3) provides that the trustees shall pay so much, if any, of the principal of such trust to or for the benefit of any one or more charitable organizations, and in such equal or unequal shares, as Settlor shall, at any time or from time to time by written instrument, direct and appoint; provided, however, that this power of appointment shall be a limited power, which shall not be exercisable to any extent in favor of Settlor, Settlor’s estate, the creditors of Settlor, or the creditors of Settlor’s estate (Settlor’s Inter Vivos Limited Power of Appointment). </w:t>
      </w:r>
    </w:p>
    <w:p w:rsidR="007436A5" w:rsidRDefault="007436A5" w:rsidP="007436A5">
      <w:pPr>
        <w:pStyle w:val="QS10"/>
      </w:pPr>
      <w:r>
        <w:t xml:space="preserve">Any net income not so paid pursuant to Article I shall be accumulated and added to principal. </w:t>
      </w:r>
    </w:p>
    <w:p w:rsidR="007436A5" w:rsidRDefault="007436A5" w:rsidP="007436A5">
      <w:pPr>
        <w:pStyle w:val="QS10"/>
      </w:pPr>
      <w:r>
        <w:t>Article II provides that following Settlor’s death, the trustees shall distribute the trust estate to one or more charitable organizations, and in such equal or unequal shares, as Settlor shall direct and appoint; provided, however, that this power of appointment shall be a limited power, which shall not be exercisable to any extent in favor of Settlor, Settlor’s estate, creditors of Settlor, or creditors of Settlor’s estate (Settlor’s Testamentary Limited Power of Appointment). To the extent Trust property is not effectively appointed, the trustees shall distribute such whole or part to such one or more charitable organizations, and in such equal or unequal shares, as the Independent Trustee shall determine in the absolute discretion of the Independent Trustee.</w:t>
      </w:r>
    </w:p>
    <w:p w:rsidR="007436A5" w:rsidRDefault="007436A5" w:rsidP="007436A5">
      <w:pPr>
        <w:pStyle w:val="QS10"/>
      </w:pPr>
      <w:r>
        <w:t xml:space="preserve">Article III(A) provides that during the life of Settlor, the Distribution Committee shall have the power to direct the trustees as provided in Article I. Following Settlor’s death, the PLR-113144-18 3 Distribution Committee shall cease to exist and the person or persons who shall, immediately prior to the death of Settlor, be in office as members of the Distribution Committee shall cease to have any authority, either individually or collectively, to direct the trustees or to exercise any other right or power under Trust. </w:t>
      </w:r>
    </w:p>
    <w:p w:rsidR="007436A5" w:rsidRDefault="007436A5" w:rsidP="007436A5">
      <w:pPr>
        <w:pStyle w:val="QS10"/>
      </w:pPr>
      <w:r>
        <w:t xml:space="preserve">Under Article III(B), the initial members of the Distribution Committee are Independent Trustee, Individual A and Individual B. Article III(C) provides that Settlor, or if Settlor at any time is not able to act, the members of the Distribution Committee may appoint successor members to the committee. The Independent Trust also has the power under Article III(D) to appoint members to the committee. </w:t>
      </w:r>
    </w:p>
    <w:p w:rsidR="007436A5" w:rsidRDefault="007436A5" w:rsidP="007436A5">
      <w:pPr>
        <w:pStyle w:val="QS10"/>
      </w:pPr>
      <w:r>
        <w:t xml:space="preserve">Article III(F) provides that (i) there shall be at least one member of the Distribution Committee in office at all times during Settlor’s life and (ii) a majority of the members of the committee shall, at all times during Settlor’s life, consist of Eligible Beneficiaries. </w:t>
      </w:r>
    </w:p>
    <w:p w:rsidR="007436A5" w:rsidRDefault="007436A5" w:rsidP="007436A5">
      <w:pPr>
        <w:pStyle w:val="QS10"/>
      </w:pPr>
      <w:r>
        <w:t xml:space="preserve">Article III(G) provides that if and so long as there shall be more than one member on the Distribution Committee, the committee shall act by majority vote of such members. </w:t>
      </w:r>
    </w:p>
    <w:p w:rsidR="007436A5" w:rsidRDefault="007436A5" w:rsidP="007436A5">
      <w:pPr>
        <w:pStyle w:val="QS10"/>
      </w:pPr>
      <w:r>
        <w:t>Article V(G) provides that there shall not be more than three individuals, or more than two individuals and one corporation in office as trustees of Trust, and none of Settlor, Settlor’s husband, and any individual or corporation who is related or subordinate to Settlor or Settlor’s husband (within the meaning of § 672(c)) is eligible to serve as trustee of Trust.</w:t>
      </w:r>
    </w:p>
    <w:p w:rsidR="007436A5" w:rsidRDefault="007436A5" w:rsidP="007436A5">
      <w:pPr>
        <w:pStyle w:val="QS10"/>
      </w:pPr>
      <w:r>
        <w:t xml:space="preserve">Article XII(B)(6) defines the term “charitable organization” to mean and include only an organization (a) that is described in §§ 170(c), 2055(a), and 2522(a); and (b) that shall not, by any action or course of conduct, have so disqualified itself that any charitable deduction that would otherwise be available for federal income, estate or gift tax purposes, in respect of property passing to such organization, would be disallowed. </w:t>
      </w:r>
    </w:p>
    <w:p w:rsidR="007436A5" w:rsidRDefault="007436A5" w:rsidP="007436A5">
      <w:pPr>
        <w:pStyle w:val="QS10"/>
      </w:pPr>
      <w:r>
        <w:t>Settlor has made the following representations. Settlor has not claimed nor will she claim an income tax or gift tax charitable deduction under § 170(c) or 2522(a) for any property transferred by Settlor to Trust at any time, unless and until Trust makes a payment to one or more charitable organizations. No person (including any corporation or trust) other than Settlor is presently expected to make any transfer of property to Trust at any time, so no other charitable deduction will be claimed or available for contributions of property to Trust. Trust will not set aside any amounts for charitable purposes and claim a deduction under § 642(c)(2).</w:t>
      </w:r>
    </w:p>
    <w:p w:rsidR="007436A5" w:rsidRDefault="007436A5" w:rsidP="007436A5">
      <w:pPr>
        <w:pStyle w:val="Body15"/>
      </w:pPr>
      <w:r>
        <w:t>The charitable provisions are not typical.  The ruling states that the trust may receive a section 643(c) deduction and that the settlor will not be a disqualified person with respect to the trust because no income tax deduction was claimed.  With respect to this point, the ruling states:</w:t>
      </w:r>
    </w:p>
    <w:p w:rsidR="007436A5" w:rsidRDefault="007436A5" w:rsidP="007436A5">
      <w:pPr>
        <w:pStyle w:val="QS10"/>
      </w:pPr>
      <w:r>
        <w:t>The basic purpose of § 4947 is to prevent these trusts from being used to avoid the requirements and restrictions applicable to private foundations. For purposes of this section, a trust shall be presumed (in the absence of proof to the contrary) to have amounts in trust for which a charitable deduction was allowed if a deduction would have been allowable under one of these sections.</w:t>
      </w:r>
    </w:p>
    <w:p w:rsidR="007436A5" w:rsidRDefault="007436A5" w:rsidP="007436A5">
      <w:pPr>
        <w:pStyle w:val="QS10"/>
      </w:pPr>
      <w:r>
        <w:t xml:space="preserve">Section 53.4947-1(c)(1)(i) provides that a trust is one which has amounts in trust for which a deduction was allowed under § 642(c) within the meaning of § 4947(a)(2) once a deduction is allowed under § 642(c) to the trust for any amount permanently set aside. </w:t>
      </w:r>
    </w:p>
    <w:p w:rsidR="007436A5" w:rsidRDefault="007436A5" w:rsidP="007436A5">
      <w:pPr>
        <w:pStyle w:val="QS10"/>
      </w:pPr>
      <w:r>
        <w:t xml:space="preserve">In </w:t>
      </w:r>
      <w:r>
        <w:rPr>
          <w:u w:val="single"/>
        </w:rPr>
        <w:t>Virginian Hotel Corp. v. Helvering</w:t>
      </w:r>
      <w:r>
        <w:t xml:space="preserve">, 319 U.S. 523 (1943), the Supreme Court held that “allowed” meant that the taxpayer had taken the deduction and the Commissioner had not challenged it. Id. at 527. Noting that there was “no machinery for formal allowances of deductions from gross income,” a deduction being claimed and going unchallenged is the only way in which a deduction could be “allowed.” </w:t>
      </w:r>
    </w:p>
    <w:p w:rsidR="007436A5" w:rsidRDefault="007436A5" w:rsidP="007436A5">
      <w:pPr>
        <w:pStyle w:val="QS10"/>
      </w:pPr>
      <w:r>
        <w:t xml:space="preserve">Trust has both charitable and non-charitable beneficiaries and is not exempt from tax under § 501(a). One of the requirements to qualify as a split-interest trust described in § 4947(a)(2) is that the trust has amounts in trust for which a charitable deduction was allowed to some person (including the trust itself for a charitable set-aside). Settlor has represented that, for the duration of Trust, Trust will not hold any amounts for which a person claimed a charitable deduction for a transfer to Trust, or for which Trust claimed a charitable deduction under § 642(c)(2) for a set-aside. Thus, for Settlor’s life, Trust will not qualify as a split-interest trust under § 4947(a)(2). The fact that Settlor may claim a gift tax deduction under § 2522 (or that Trust may claim an income tax deduction under § 642(c)(1) when a charitable distribution from Trust is made is not material, because such amount is not held in Trust when the charitable deduction arises. </w:t>
      </w:r>
    </w:p>
    <w:p w:rsidR="007436A5" w:rsidRDefault="007436A5" w:rsidP="007436A5">
      <w:pPr>
        <w:pStyle w:val="QS10"/>
      </w:pPr>
      <w:r>
        <w:t>Based upon the facts submitted and representations made, we conclude that Settlor will not be a disqualified person with respect to Trust because Trust will not be treated as a split-interest trust within the meaning of §§ 4947(a)(2) and 53.4947-1(c)(1)(i) and, accordingly, the provisions of §§ 507, 508(e), 4941, 4943, 4944, and 4945 shall not apply to Trust during Settlor’s life.</w:t>
      </w:r>
    </w:p>
    <w:p w:rsidR="007436A5" w:rsidRDefault="00227A69" w:rsidP="00227A69">
      <w:pPr>
        <w:spacing w:line="360" w:lineRule="auto"/>
        <w:ind w:firstLine="720"/>
        <w:jc w:val="both"/>
      </w:pPr>
      <w:r>
        <w:t xml:space="preserve">In PLR 202017018 – the only </w:t>
      </w:r>
      <w:r w:rsidR="006B0341">
        <w:t>I</w:t>
      </w:r>
      <w:r>
        <w:t xml:space="preserve">NG ruling issued in 2020 – </w:t>
      </w:r>
      <w:r w:rsidR="007436A5">
        <w:t>a settlor established an irrevocable trust to benefit himself, his spouse, his descendants, his parents and his parents’ descendants (in addition to himself and his own descendants).  A corporate fiduciary was the sole Trustee</w:t>
      </w:r>
      <w:r w:rsidR="00223C81">
        <w:t xml:space="preserve"> and there was a distribution committee </w:t>
      </w:r>
      <w:r w:rsidR="007436A5">
        <w:t>consist</w:t>
      </w:r>
      <w:r w:rsidR="00223C81">
        <w:t>ing</w:t>
      </w:r>
      <w:r w:rsidR="007436A5">
        <w:t xml:space="preserve"> of at least two individuals other than the settlor and the settlor’s spouse but could also include the settlor.  The distribution committee was initially the settlor, the settlor’s parents and the settlor’s sister.  An elaborate mechanism was set forth in the trust instrument to ensure that, throughout the settlor’s life, the distribution committee remained intact.  At the settlor’s death, the distribution committee was to cease operations, and all powers previously held by the distribution committee were thereafter to be held and exercised by the Trustee.</w:t>
      </w:r>
      <w:r w:rsidR="00223C81">
        <w:t xml:space="preserve">  Distributions from the trust could be made as follows:</w:t>
      </w:r>
    </w:p>
    <w:p w:rsidR="007436A5" w:rsidRDefault="007436A5" w:rsidP="00DD5B8E">
      <w:pPr>
        <w:pStyle w:val="ListParagraph"/>
        <w:numPr>
          <w:ilvl w:val="0"/>
          <w:numId w:val="39"/>
        </w:numPr>
        <w:spacing w:after="160" w:line="240" w:lineRule="auto"/>
        <w:ind w:left="1440" w:right="0" w:hanging="720"/>
        <w:contextualSpacing/>
        <w:rPr>
          <w:sz w:val="26"/>
        </w:rPr>
      </w:pPr>
      <w:r>
        <w:t>Income or principal could be distributed to or for any beneficiary (other than the settlor’s spouse) as determined by a majority of the distribution committee, other than the settlor or the settlor’s spouse, acting in a non-fiduciary capacity, with the written consent of the settlor;</w:t>
      </w:r>
    </w:p>
    <w:p w:rsidR="007436A5" w:rsidRDefault="007436A5" w:rsidP="00DD5B8E">
      <w:pPr>
        <w:pStyle w:val="ListParagraph"/>
        <w:numPr>
          <w:ilvl w:val="0"/>
          <w:numId w:val="39"/>
        </w:numPr>
        <w:spacing w:after="160" w:line="240" w:lineRule="auto"/>
        <w:ind w:left="1440" w:right="0" w:hanging="720"/>
        <w:contextualSpacing/>
        <w:rPr>
          <w:sz w:val="24"/>
        </w:rPr>
      </w:pPr>
      <w:r>
        <w:t>Income or principal could be distributed to or for any beneficiary as determined unanimously by the distribution committee, other than the settlor or the settlor’s spouse, acting in a non-fiduciary capacity; and</w:t>
      </w:r>
    </w:p>
    <w:p w:rsidR="007436A5" w:rsidRDefault="007436A5" w:rsidP="00DD5B8E">
      <w:pPr>
        <w:pStyle w:val="ListParagraph"/>
        <w:numPr>
          <w:ilvl w:val="0"/>
          <w:numId w:val="39"/>
        </w:numPr>
        <w:spacing w:after="160" w:line="240" w:lineRule="auto"/>
        <w:ind w:left="1440" w:right="0" w:hanging="720"/>
        <w:contextualSpacing/>
      </w:pPr>
      <w:r>
        <w:t>Principal could be distributed to or for any beneficiary (other than the settlor or the settlor’s spouse) as determined by the settlor, acting in a non-fiduciary capacity, for the health, education or support of any one or more of such beneficiaries.</w:t>
      </w:r>
    </w:p>
    <w:p w:rsidR="007436A5" w:rsidRDefault="007436A5" w:rsidP="00B469DE">
      <w:pPr>
        <w:pStyle w:val="Body15"/>
      </w:pPr>
      <w:r>
        <w:t>Consistent with the above rules, distributions could be made in equal or unequal amounts among concurrent beneficiaries.  During the settlor’s life, the Trustee was not permitted to make any distributions except as directed in accordance with the above rules.</w:t>
      </w:r>
      <w:r w:rsidR="00223C81">
        <w:t xml:space="preserve">  </w:t>
      </w:r>
      <w:r>
        <w:t>In addition, the settlor held a testamentary power of appointment that could be exercised in favor the settlors’ parents’ descendants (except the settlor, his estate, his creditors or his estate’s creditors), the settlor’s spouse or any one or more charitable organizations.</w:t>
      </w:r>
    </w:p>
    <w:p w:rsidR="00E67AFD" w:rsidRDefault="00E67AFD">
      <w:pPr>
        <w:rPr>
          <w:bCs w:val="0"/>
        </w:rPr>
      </w:pPr>
      <w:r>
        <w:br w:type="page"/>
      </w:r>
    </w:p>
    <w:p w:rsidR="007436A5" w:rsidRDefault="007436A5" w:rsidP="00B469DE">
      <w:pPr>
        <w:pStyle w:val="Body15"/>
      </w:pPr>
      <w:r>
        <w:t>The IRS ruled as follows:</w:t>
      </w:r>
    </w:p>
    <w:p w:rsidR="007436A5" w:rsidRDefault="007436A5" w:rsidP="00DD5B8E">
      <w:pPr>
        <w:pStyle w:val="ListParagraph"/>
        <w:numPr>
          <w:ilvl w:val="0"/>
          <w:numId w:val="40"/>
        </w:numPr>
        <w:spacing w:after="160" w:line="240" w:lineRule="auto"/>
        <w:ind w:left="1440" w:right="0" w:hanging="720"/>
        <w:contextualSpacing/>
      </w:pPr>
      <w:r>
        <w:t>Neither the settlor nor any member of the distribution committee will be considered the grantor or owner of the trust for income tax purposes;</w:t>
      </w:r>
    </w:p>
    <w:p w:rsidR="007436A5" w:rsidRDefault="007436A5" w:rsidP="00DD5B8E">
      <w:pPr>
        <w:pStyle w:val="ListParagraph"/>
        <w:numPr>
          <w:ilvl w:val="0"/>
          <w:numId w:val="40"/>
        </w:numPr>
        <w:spacing w:after="160" w:line="240" w:lineRule="auto"/>
        <w:ind w:left="1440" w:right="0" w:hanging="720"/>
        <w:contextualSpacing/>
      </w:pPr>
      <w:r>
        <w:t>The settlor’s transfer of property to the trust will be considered not to be a completed gift for gift tax purposes;</w:t>
      </w:r>
    </w:p>
    <w:p w:rsidR="007436A5" w:rsidRDefault="007436A5" w:rsidP="00DD5B8E">
      <w:pPr>
        <w:pStyle w:val="ListParagraph"/>
        <w:numPr>
          <w:ilvl w:val="0"/>
          <w:numId w:val="40"/>
        </w:numPr>
        <w:spacing w:after="160" w:line="240" w:lineRule="auto"/>
        <w:ind w:left="1440" w:right="0" w:hanging="720"/>
        <w:contextualSpacing/>
      </w:pPr>
      <w:r>
        <w:t>Discretionary distributions won’t be considered gifts for gift tax purposes by any distribution committee member; and</w:t>
      </w:r>
    </w:p>
    <w:p w:rsidR="007436A5" w:rsidRDefault="007436A5" w:rsidP="00B469DE">
      <w:pPr>
        <w:pStyle w:val="ListParagraph"/>
        <w:numPr>
          <w:ilvl w:val="0"/>
          <w:numId w:val="40"/>
        </w:numPr>
        <w:spacing w:line="240" w:lineRule="auto"/>
        <w:ind w:left="1440" w:right="0" w:hanging="720"/>
        <w:contextualSpacing/>
      </w:pPr>
      <w:r>
        <w:t>A distribution committee member’s gross estate for estate tax purposes won’t include the value of any trust property.</w:t>
      </w:r>
    </w:p>
    <w:p w:rsidR="00227A69" w:rsidRDefault="007436A5" w:rsidP="00B469DE">
      <w:pPr>
        <w:pStyle w:val="Body15"/>
      </w:pPr>
      <w:r>
        <w:t xml:space="preserve">Last year, the IRS indicated it wouldn’t issue ING trust rulings with respect to ING trusts with </w:t>
      </w:r>
      <w:r w:rsidR="006B0341">
        <w:t xml:space="preserve">somewhat narrow characteristics in Revenue Procedure 2020-3. </w:t>
      </w:r>
      <w:r>
        <w:t xml:space="preserve">Even more recently, the IRS completely put the </w:t>
      </w:r>
      <w:r w:rsidR="006B0341">
        <w:t xml:space="preserve">brakes on all ING trust rulings in Rev. Proc. 2021-3  (Section 5.01(9) &amp; (17)). </w:t>
      </w:r>
      <w:r>
        <w:t xml:space="preserve"> </w:t>
      </w:r>
      <w:r w:rsidR="00227A69">
        <w:t xml:space="preserve">Quite obviously, for an ING trust to be effective the state in which the trust is resident must either not have an income tax or must have an income tax rate much lower than the rate being avoided.  </w:t>
      </w:r>
    </w:p>
    <w:p w:rsidR="00485DB9" w:rsidRPr="00876120" w:rsidRDefault="00856D6A">
      <w:pPr>
        <w:pStyle w:val="Heading1"/>
        <w:rPr>
          <w:rStyle w:val="LeadInHeading1"/>
          <w:b/>
          <w:vanish/>
          <w:specVanish/>
        </w:rPr>
      </w:pPr>
      <w:bookmarkStart w:id="246" w:name="_Toc295133919"/>
      <w:bookmarkStart w:id="247" w:name="_Toc297647158"/>
      <w:bookmarkStart w:id="248" w:name="_Toc297728341"/>
      <w:bookmarkStart w:id="249" w:name="_Toc322015785"/>
      <w:bookmarkStart w:id="250" w:name="_Toc322015964"/>
      <w:bookmarkStart w:id="251" w:name="_Toc322016502"/>
      <w:bookmarkStart w:id="252" w:name="_Toc376946757"/>
      <w:bookmarkStart w:id="253" w:name="_Toc376947604"/>
      <w:bookmarkStart w:id="254" w:name="_Toc376948398"/>
      <w:bookmarkStart w:id="255" w:name="_Toc376949192"/>
      <w:bookmarkStart w:id="256" w:name="_Toc94704645"/>
      <w:bookmarkStart w:id="257" w:name="_Toc231154865"/>
      <w:bookmarkStart w:id="258" w:name="_Toc295129789"/>
      <w:bookmarkStart w:id="259" w:name="_Toc295132402"/>
      <w:bookmarkStart w:id="260" w:name="_Toc295133954"/>
      <w:bookmarkStart w:id="261" w:name="_Toc295136483"/>
      <w:bookmarkStart w:id="262" w:name="_Toc297645087"/>
      <w:bookmarkStart w:id="263" w:name="_Toc297732798"/>
      <w:bookmarkStart w:id="264" w:name="_Toc298255191"/>
      <w:bookmarkStart w:id="265" w:name="_Toc298316765"/>
      <w:bookmarkStart w:id="266" w:name="_Toc298334610"/>
      <w:bookmarkStart w:id="267" w:name="_Toc298338108"/>
      <w:bookmarkStart w:id="268" w:name="_Toc301364446"/>
      <w:bookmarkStart w:id="269" w:name="_Toc302465906"/>
      <w:bookmarkStart w:id="270" w:name="_Toc303094281"/>
      <w:bookmarkStart w:id="271" w:name="_Toc303172875"/>
      <w:bookmarkStart w:id="272" w:name="_Toc303181205"/>
      <w:bookmarkStart w:id="273" w:name="_Toc321753614"/>
      <w:r w:rsidRPr="00876120">
        <w:rPr>
          <w:rStyle w:val="LeadInHeading1"/>
          <w:b/>
        </w:rPr>
        <w:t>SECTION</w:t>
      </w:r>
      <w:r w:rsidR="00C64050">
        <w:rPr>
          <w:rStyle w:val="LeadInHeading1"/>
          <w:b/>
        </w:rPr>
        <w:t xml:space="preserve"> </w:t>
      </w:r>
      <w:r w:rsidRPr="00876120">
        <w:rPr>
          <w:rStyle w:val="LeadInHeading1"/>
          <w:b/>
        </w:rPr>
        <w:t>1361</w:t>
      </w:r>
      <w:r w:rsidR="00C64050">
        <w:rPr>
          <w:rStyle w:val="LeadInHeading1"/>
          <w:b/>
        </w:rPr>
        <w:t xml:space="preserve"> </w:t>
      </w:r>
      <w:bookmarkEnd w:id="241"/>
      <w:bookmarkEnd w:id="242"/>
      <w:r w:rsidRPr="00876120">
        <w:rPr>
          <w:rStyle w:val="LeadInHeading1"/>
          <w:b/>
        </w:rPr>
        <w:t>–</w:t>
      </w:r>
      <w:r w:rsidR="00C64050">
        <w:rPr>
          <w:rStyle w:val="LeadInHeading1"/>
          <w:b/>
        </w:rPr>
        <w:t xml:space="preserve"> </w:t>
      </w:r>
      <w:r w:rsidRPr="00876120">
        <w:rPr>
          <w:rStyle w:val="LeadInHeading1"/>
          <w:b/>
        </w:rPr>
        <w:t>S</w:t>
      </w:r>
      <w:r w:rsidR="00C64050">
        <w:rPr>
          <w:rStyle w:val="LeadInHeading1"/>
          <w:b/>
        </w:rPr>
        <w:t xml:space="preserve"> </w:t>
      </w:r>
      <w:r w:rsidRPr="00876120">
        <w:rPr>
          <w:rStyle w:val="LeadInHeading1"/>
          <w:b/>
        </w:rPr>
        <w:t>CORPORATIONS</w:t>
      </w:r>
      <w:bookmarkStart w:id="274" w:name="_Toc321753766"/>
      <w:bookmarkStart w:id="275" w:name="_Toc322015786"/>
      <w:bookmarkStart w:id="276" w:name="_Toc321753767"/>
      <w:bookmarkStart w:id="277" w:name="_Toc322015787"/>
      <w:bookmarkStart w:id="278" w:name="_Toc321753768"/>
      <w:bookmarkStart w:id="279" w:name="_Toc322015788"/>
      <w:bookmarkStart w:id="280" w:name="_Toc321753769"/>
      <w:bookmarkStart w:id="281" w:name="_Toc322015789"/>
      <w:bookmarkStart w:id="282" w:name="_Toc321753770"/>
      <w:bookmarkStart w:id="283" w:name="_Toc322015790"/>
      <w:bookmarkStart w:id="284" w:name="_Toc321753771"/>
      <w:bookmarkStart w:id="285" w:name="_Toc322015791"/>
      <w:bookmarkEnd w:id="246"/>
      <w:bookmarkEnd w:id="247"/>
      <w:bookmarkEnd w:id="248"/>
      <w:bookmarkEnd w:id="249"/>
      <w:bookmarkEnd w:id="250"/>
      <w:bookmarkEnd w:id="251"/>
      <w:bookmarkEnd w:id="252"/>
      <w:bookmarkEnd w:id="253"/>
      <w:bookmarkEnd w:id="254"/>
      <w:bookmarkEnd w:id="255"/>
      <w:bookmarkEnd w:id="256"/>
      <w:bookmarkEnd w:id="274"/>
      <w:bookmarkEnd w:id="275"/>
      <w:bookmarkEnd w:id="276"/>
      <w:bookmarkEnd w:id="277"/>
      <w:bookmarkEnd w:id="278"/>
      <w:bookmarkEnd w:id="279"/>
      <w:bookmarkEnd w:id="280"/>
      <w:bookmarkEnd w:id="281"/>
      <w:bookmarkEnd w:id="282"/>
      <w:bookmarkEnd w:id="283"/>
      <w:bookmarkEnd w:id="284"/>
      <w:bookmarkEnd w:id="285"/>
    </w:p>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rsidR="00485DB9" w:rsidRPr="00454670" w:rsidRDefault="00485DB9">
      <w:pPr>
        <w:pStyle w:val="HBody1"/>
        <w:rPr>
          <w:color w:val="000000"/>
        </w:rPr>
      </w:pPr>
    </w:p>
    <w:p w:rsidR="00485DB9" w:rsidRPr="00454670" w:rsidRDefault="00856D6A">
      <w:pPr>
        <w:pStyle w:val="Heading1"/>
        <w:rPr>
          <w:color w:val="000000"/>
        </w:rPr>
      </w:pPr>
      <w:bookmarkStart w:id="286" w:name="_Toc231154867"/>
      <w:bookmarkStart w:id="287" w:name="_Toc295129790"/>
      <w:bookmarkStart w:id="288" w:name="_Toc295132403"/>
      <w:bookmarkStart w:id="289" w:name="_Toc295133920"/>
      <w:bookmarkStart w:id="290" w:name="_Toc295133955"/>
      <w:bookmarkStart w:id="291" w:name="_Toc295136484"/>
      <w:bookmarkStart w:id="292" w:name="_Toc297645088"/>
      <w:bookmarkStart w:id="293" w:name="_Toc297647159"/>
      <w:bookmarkStart w:id="294" w:name="_Toc297728342"/>
      <w:bookmarkStart w:id="295" w:name="_Toc297732799"/>
      <w:bookmarkStart w:id="296" w:name="_Toc298255192"/>
      <w:bookmarkStart w:id="297" w:name="_Toc298316766"/>
      <w:bookmarkStart w:id="298" w:name="_Toc298334611"/>
      <w:bookmarkStart w:id="299" w:name="_Toc298338109"/>
      <w:bookmarkStart w:id="300" w:name="_Toc301364447"/>
      <w:bookmarkStart w:id="301" w:name="_Toc302465907"/>
      <w:bookmarkStart w:id="302" w:name="_Toc303094282"/>
      <w:bookmarkStart w:id="303" w:name="_Toc303172876"/>
      <w:bookmarkStart w:id="304" w:name="_Toc303181206"/>
      <w:bookmarkStart w:id="305" w:name="_Toc321753615"/>
      <w:bookmarkStart w:id="306" w:name="_Toc322015792"/>
      <w:bookmarkStart w:id="307" w:name="_Toc322015965"/>
      <w:bookmarkStart w:id="308" w:name="_Toc322016503"/>
      <w:bookmarkStart w:id="309" w:name="_Toc376946758"/>
      <w:bookmarkStart w:id="310" w:name="_Toc376947605"/>
      <w:bookmarkStart w:id="311" w:name="_Toc376948399"/>
      <w:bookmarkStart w:id="312" w:name="_Toc376949193"/>
      <w:bookmarkStart w:id="313" w:name="_Toc94704646"/>
      <w:bookmarkStart w:id="314" w:name="_Toc168218213"/>
      <w:r w:rsidRPr="00454670">
        <w:rPr>
          <w:color w:val="000000"/>
        </w:rPr>
        <w:t>SECTIONS</w:t>
      </w:r>
      <w:r w:rsidR="00C64050">
        <w:rPr>
          <w:color w:val="000000"/>
        </w:rPr>
        <w:t xml:space="preserve"> </w:t>
      </w:r>
      <w:r w:rsidRPr="00454670">
        <w:rPr>
          <w:color w:val="000000"/>
        </w:rPr>
        <w:t>2031</w:t>
      </w:r>
      <w:r w:rsidR="00C64050">
        <w:rPr>
          <w:color w:val="000000"/>
        </w:rPr>
        <w:t xml:space="preserve"> </w:t>
      </w:r>
      <w:r w:rsidRPr="00454670">
        <w:rPr>
          <w:color w:val="000000"/>
        </w:rPr>
        <w:t>and</w:t>
      </w:r>
      <w:r w:rsidR="00C64050">
        <w:rPr>
          <w:color w:val="000000"/>
        </w:rPr>
        <w:t xml:space="preserve"> </w:t>
      </w:r>
      <w:r w:rsidRPr="00454670">
        <w:rPr>
          <w:color w:val="000000"/>
        </w:rPr>
        <w:t>2512</w:t>
      </w:r>
      <w:r w:rsidR="00C64050">
        <w:rPr>
          <w:color w:val="000000"/>
        </w:rPr>
        <w:t xml:space="preserve"> </w:t>
      </w:r>
      <w:r w:rsidRPr="00454670">
        <w:rPr>
          <w:color w:val="000000"/>
        </w:rPr>
        <w:t>–</w:t>
      </w:r>
      <w:r w:rsidR="00C64050">
        <w:rPr>
          <w:color w:val="000000"/>
        </w:rPr>
        <w:t xml:space="preserve"> </w:t>
      </w:r>
      <w:r w:rsidRPr="00454670">
        <w:rPr>
          <w:color w:val="000000"/>
        </w:rPr>
        <w:t>VALUATION</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B92A88" w:rsidRPr="00B92A88" w:rsidRDefault="00FE06DC" w:rsidP="00B66CCE">
      <w:pPr>
        <w:pStyle w:val="Heading20"/>
        <w:numPr>
          <w:ilvl w:val="1"/>
          <w:numId w:val="32"/>
        </w:numPr>
        <w:tabs>
          <w:tab w:val="clear" w:pos="2700"/>
        </w:tabs>
        <w:ind w:left="0"/>
        <w:rPr>
          <w:vanish/>
          <w:lang w:eastAsia="en-GB"/>
          <w:specVanish/>
        </w:rPr>
      </w:pPr>
      <w:bookmarkStart w:id="315" w:name="_Toc94704647"/>
      <w:r>
        <w:rPr>
          <w:b/>
          <w:u w:val="single"/>
        </w:rPr>
        <w:t>Valuation</w:t>
      </w:r>
      <w:r w:rsidR="00C64050">
        <w:rPr>
          <w:b/>
          <w:u w:val="single"/>
          <w:lang w:eastAsia="en-GB"/>
        </w:rPr>
        <w:t xml:space="preserve"> </w:t>
      </w:r>
      <w:r>
        <w:rPr>
          <w:b/>
          <w:u w:val="single"/>
          <w:lang w:eastAsia="en-GB"/>
        </w:rPr>
        <w:t>of</w:t>
      </w:r>
      <w:r w:rsidR="00C64050">
        <w:rPr>
          <w:b/>
          <w:u w:val="single"/>
          <w:lang w:eastAsia="en-GB"/>
        </w:rPr>
        <w:t xml:space="preserve"> </w:t>
      </w:r>
      <w:r>
        <w:rPr>
          <w:b/>
          <w:u w:val="single"/>
          <w:lang w:eastAsia="en-GB"/>
        </w:rPr>
        <w:t>LLCs</w:t>
      </w:r>
      <w:bookmarkEnd w:id="315"/>
    </w:p>
    <w:p w:rsidR="00B715D5" w:rsidRDefault="00FE06DC" w:rsidP="00B92A88">
      <w:pPr>
        <w:pStyle w:val="Heading2Body"/>
      </w:pPr>
      <w:r>
        <w:t>.</w:t>
      </w:r>
      <w:r w:rsidR="00C64050">
        <w:t xml:space="preserve">  </w:t>
      </w:r>
      <w:r>
        <w:t>At</w:t>
      </w:r>
      <w:r w:rsidR="00C64050">
        <w:t xml:space="preserve"> </w:t>
      </w:r>
      <w:r>
        <w:t>issue</w:t>
      </w:r>
      <w:r w:rsidR="00C64050">
        <w:t xml:space="preserve"> </w:t>
      </w:r>
      <w:r>
        <w:t>in</w:t>
      </w:r>
      <w:r w:rsidR="00C64050">
        <w:t xml:space="preserve"> </w:t>
      </w:r>
      <w:r>
        <w:rPr>
          <w:u w:val="single"/>
        </w:rPr>
        <w:t>Grieve</w:t>
      </w:r>
      <w:r w:rsidR="00C64050">
        <w:rPr>
          <w:u w:val="single"/>
        </w:rPr>
        <w:t xml:space="preserve"> </w:t>
      </w:r>
      <w:r>
        <w:rPr>
          <w:u w:val="single"/>
        </w:rPr>
        <w:t>v.</w:t>
      </w:r>
      <w:r w:rsidR="00C64050">
        <w:rPr>
          <w:u w:val="single"/>
        </w:rPr>
        <w:t xml:space="preserve"> </w:t>
      </w:r>
      <w:r>
        <w:rPr>
          <w:u w:val="single"/>
        </w:rPr>
        <w:t>Commissioner</w:t>
      </w:r>
      <w:r>
        <w:t>,</w:t>
      </w:r>
      <w:r w:rsidR="00C64050">
        <w:t xml:space="preserve"> </w:t>
      </w:r>
      <w:r>
        <w:t>T.C.</w:t>
      </w:r>
      <w:r w:rsidR="00C64050">
        <w:t xml:space="preserve"> </w:t>
      </w:r>
      <w:r>
        <w:t>Memo.</w:t>
      </w:r>
      <w:r w:rsidR="00C64050">
        <w:t xml:space="preserve"> </w:t>
      </w:r>
      <w:r>
        <w:t>2020-28,</w:t>
      </w:r>
      <w:r w:rsidR="00C64050">
        <w:t xml:space="preserve"> </w:t>
      </w:r>
      <w:r>
        <w:t>was</w:t>
      </w:r>
      <w:r w:rsidR="00C64050">
        <w:t xml:space="preserve"> </w:t>
      </w:r>
      <w:r>
        <w:t>the</w:t>
      </w:r>
      <w:r w:rsidR="00C64050">
        <w:t xml:space="preserve"> </w:t>
      </w:r>
      <w:r>
        <w:t>valuation</w:t>
      </w:r>
      <w:r w:rsidR="00C64050">
        <w:t xml:space="preserve"> </w:t>
      </w:r>
      <w:r>
        <w:t>of</w:t>
      </w:r>
      <w:r w:rsidR="00C64050">
        <w:t xml:space="preserve"> </w:t>
      </w:r>
      <w:r>
        <w:t>non-voting</w:t>
      </w:r>
      <w:r w:rsidR="00C64050">
        <w:t xml:space="preserve"> </w:t>
      </w:r>
      <w:r>
        <w:t>interests</w:t>
      </w:r>
      <w:r w:rsidR="00C64050">
        <w:t xml:space="preserve"> </w:t>
      </w:r>
      <w:r>
        <w:t>in</w:t>
      </w:r>
      <w:r w:rsidR="00C64050">
        <w:t xml:space="preserve"> </w:t>
      </w:r>
      <w:r>
        <w:t>two</w:t>
      </w:r>
      <w:r w:rsidR="00C64050">
        <w:t xml:space="preserve"> </w:t>
      </w:r>
      <w:r>
        <w:t>LLCs,</w:t>
      </w:r>
      <w:r w:rsidR="00C64050">
        <w:t xml:space="preserve"> </w:t>
      </w:r>
      <w:r>
        <w:t>Rabbit</w:t>
      </w:r>
      <w:r w:rsidR="00C64050">
        <w:t xml:space="preserve"> </w:t>
      </w:r>
      <w:r>
        <w:t>and</w:t>
      </w:r>
      <w:r w:rsidR="00C64050">
        <w:t xml:space="preserve"> </w:t>
      </w:r>
      <w:r>
        <w:t>Angus,</w:t>
      </w:r>
      <w:r w:rsidR="00C64050">
        <w:t xml:space="preserve"> </w:t>
      </w:r>
      <w:r w:rsidR="00892999">
        <w:t>each</w:t>
      </w:r>
      <w:r w:rsidR="00C64050">
        <w:t xml:space="preserve"> </w:t>
      </w:r>
      <w:r>
        <w:t>holding</w:t>
      </w:r>
      <w:r w:rsidR="00C64050">
        <w:t xml:space="preserve"> </w:t>
      </w:r>
      <w:r>
        <w:t>securities.</w:t>
      </w:r>
      <w:r w:rsidR="00C64050">
        <w:t xml:space="preserve">  </w:t>
      </w:r>
      <w:r>
        <w:t>Interests</w:t>
      </w:r>
      <w:r w:rsidR="00C64050">
        <w:t xml:space="preserve"> </w:t>
      </w:r>
      <w:r>
        <w:t>in</w:t>
      </w:r>
      <w:r w:rsidR="00C64050">
        <w:t xml:space="preserve"> </w:t>
      </w:r>
      <w:r>
        <w:t>one</w:t>
      </w:r>
      <w:r w:rsidR="00C64050">
        <w:t xml:space="preserve"> </w:t>
      </w:r>
      <w:r>
        <w:t>were</w:t>
      </w:r>
      <w:r w:rsidR="00C64050">
        <w:t xml:space="preserve"> </w:t>
      </w:r>
      <w:r>
        <w:t>given</w:t>
      </w:r>
      <w:r w:rsidR="00C64050">
        <w:t xml:space="preserve"> </w:t>
      </w:r>
      <w:r>
        <w:t>to</w:t>
      </w:r>
      <w:r w:rsidR="00C64050">
        <w:t xml:space="preserve"> </w:t>
      </w:r>
      <w:r>
        <w:t>a</w:t>
      </w:r>
      <w:r w:rsidR="00C64050">
        <w:t xml:space="preserve"> </w:t>
      </w:r>
      <w:r>
        <w:t>2</w:t>
      </w:r>
      <w:r w:rsidR="00C64050">
        <w:t xml:space="preserve"> </w:t>
      </w:r>
      <w:r>
        <w:t>year</w:t>
      </w:r>
      <w:r w:rsidR="00C64050">
        <w:t xml:space="preserve"> </w:t>
      </w:r>
      <w:r>
        <w:t>GRAT,</w:t>
      </w:r>
      <w:r w:rsidR="00C64050">
        <w:t xml:space="preserve"> </w:t>
      </w:r>
      <w:r>
        <w:t>and</w:t>
      </w:r>
      <w:r w:rsidR="00C64050">
        <w:t xml:space="preserve"> </w:t>
      </w:r>
      <w:r w:rsidR="00892999">
        <w:t>in</w:t>
      </w:r>
      <w:r w:rsidR="00C64050">
        <w:t xml:space="preserve"> </w:t>
      </w:r>
      <w:r>
        <w:t>the</w:t>
      </w:r>
      <w:r w:rsidR="00C64050">
        <w:t xml:space="preserve"> </w:t>
      </w:r>
      <w:r>
        <w:t>other</w:t>
      </w:r>
      <w:r w:rsidR="00C64050">
        <w:t xml:space="preserve"> </w:t>
      </w:r>
      <w:r>
        <w:t>interests</w:t>
      </w:r>
      <w:r w:rsidR="00C64050">
        <w:t xml:space="preserve"> </w:t>
      </w:r>
      <w:r>
        <w:t>were</w:t>
      </w:r>
      <w:r w:rsidR="00C64050">
        <w:t xml:space="preserve"> </w:t>
      </w:r>
      <w:r>
        <w:t>transferred</w:t>
      </w:r>
      <w:r w:rsidR="00C64050">
        <w:t xml:space="preserve"> </w:t>
      </w:r>
      <w:r>
        <w:t>in</w:t>
      </w:r>
      <w:r w:rsidR="00C64050">
        <w:t xml:space="preserve"> </w:t>
      </w:r>
      <w:r>
        <w:t>exchange</w:t>
      </w:r>
      <w:r w:rsidR="00C64050">
        <w:t xml:space="preserve"> </w:t>
      </w:r>
      <w:r>
        <w:t>for</w:t>
      </w:r>
      <w:r w:rsidR="00C64050">
        <w:t xml:space="preserve"> </w:t>
      </w:r>
      <w:r>
        <w:t>a</w:t>
      </w:r>
      <w:r w:rsidR="00C64050">
        <w:t xml:space="preserve"> </w:t>
      </w:r>
      <w:r>
        <w:t>private</w:t>
      </w:r>
      <w:r w:rsidR="00C64050">
        <w:t xml:space="preserve"> </w:t>
      </w:r>
      <w:r>
        <w:t>annuity.</w:t>
      </w:r>
      <w:r w:rsidR="00C64050">
        <w:t xml:space="preserve">  </w:t>
      </w:r>
      <w:r>
        <w:t>The</w:t>
      </w:r>
      <w:r w:rsidR="00C64050">
        <w:t xml:space="preserve"> </w:t>
      </w:r>
      <w:r>
        <w:t>LLCs</w:t>
      </w:r>
      <w:r w:rsidR="00C64050">
        <w:t xml:space="preserve"> </w:t>
      </w:r>
      <w:r>
        <w:t>were</w:t>
      </w:r>
      <w:r w:rsidR="00C64050">
        <w:t xml:space="preserve"> </w:t>
      </w:r>
      <w:r>
        <w:t>controlled</w:t>
      </w:r>
      <w:r w:rsidR="00C64050">
        <w:t xml:space="preserve"> </w:t>
      </w:r>
      <w:r>
        <w:t>by</w:t>
      </w:r>
      <w:r w:rsidR="00C64050">
        <w:t xml:space="preserve"> </w:t>
      </w:r>
      <w:r>
        <w:t>the</w:t>
      </w:r>
      <w:r w:rsidR="00C64050">
        <w:t xml:space="preserve"> </w:t>
      </w:r>
      <w:r>
        <w:t>transferor’s</w:t>
      </w:r>
      <w:r w:rsidR="00C64050">
        <w:t xml:space="preserve"> </w:t>
      </w:r>
      <w:r>
        <w:t>daughter,</w:t>
      </w:r>
      <w:r w:rsidR="00C64050">
        <w:t xml:space="preserve"> </w:t>
      </w:r>
      <w:r>
        <w:t>Margaret.</w:t>
      </w:r>
      <w:r w:rsidR="00C64050">
        <w:t xml:space="preserve">  </w:t>
      </w:r>
      <w:r>
        <w:t>The</w:t>
      </w:r>
      <w:r w:rsidR="00C64050">
        <w:t xml:space="preserve"> </w:t>
      </w:r>
      <w:r>
        <w:t>IRS</w:t>
      </w:r>
      <w:r w:rsidR="00C64050">
        <w:t xml:space="preserve"> </w:t>
      </w:r>
      <w:r>
        <w:t>argued</w:t>
      </w:r>
      <w:r w:rsidR="00C64050">
        <w:t xml:space="preserve"> </w:t>
      </w:r>
      <w:r>
        <w:t>that</w:t>
      </w:r>
      <w:r w:rsidR="00C64050">
        <w:t xml:space="preserve"> </w:t>
      </w:r>
      <w:r>
        <w:t>the</w:t>
      </w:r>
      <w:r w:rsidR="00C64050">
        <w:t xml:space="preserve"> </w:t>
      </w:r>
      <w:r>
        <w:t>voting</w:t>
      </w:r>
      <w:r w:rsidR="00C64050">
        <w:t xml:space="preserve"> </w:t>
      </w:r>
      <w:r>
        <w:t>and</w:t>
      </w:r>
      <w:r w:rsidR="00C64050">
        <w:t xml:space="preserve"> </w:t>
      </w:r>
      <w:r>
        <w:t>non-voting</w:t>
      </w:r>
      <w:r w:rsidR="00C64050">
        <w:t xml:space="preserve"> </w:t>
      </w:r>
      <w:r>
        <w:t>should</w:t>
      </w:r>
      <w:r w:rsidR="00C64050">
        <w:t xml:space="preserve"> </w:t>
      </w:r>
      <w:r>
        <w:t>be</w:t>
      </w:r>
      <w:r w:rsidR="00C64050">
        <w:t xml:space="preserve"> </w:t>
      </w:r>
      <w:r>
        <w:t>valued</w:t>
      </w:r>
      <w:r w:rsidR="00C64050">
        <w:t xml:space="preserve"> </w:t>
      </w:r>
      <w:r>
        <w:t>together,</w:t>
      </w:r>
      <w:r w:rsidR="00C64050">
        <w:t xml:space="preserve"> </w:t>
      </w:r>
      <w:r>
        <w:t>which</w:t>
      </w:r>
      <w:r w:rsidR="00C64050">
        <w:t xml:space="preserve"> </w:t>
      </w:r>
      <w:r>
        <w:t>the</w:t>
      </w:r>
      <w:r w:rsidR="00C64050">
        <w:t xml:space="preserve"> </w:t>
      </w:r>
      <w:r>
        <w:t>court</w:t>
      </w:r>
      <w:r w:rsidR="00C64050">
        <w:t xml:space="preserve"> </w:t>
      </w:r>
      <w:r>
        <w:t>rejected.</w:t>
      </w:r>
    </w:p>
    <w:p w:rsidR="00B92A88" w:rsidRDefault="00FE06DC" w:rsidP="00B92A88">
      <w:pPr>
        <w:pStyle w:val="QS10"/>
      </w:pPr>
      <w:r>
        <w:t>When</w:t>
      </w:r>
      <w:r w:rsidR="00C64050">
        <w:t xml:space="preserve"> </w:t>
      </w:r>
      <w:r>
        <w:t>a</w:t>
      </w:r>
      <w:r w:rsidR="00C64050">
        <w:t xml:space="preserve"> </w:t>
      </w:r>
      <w:r>
        <w:t>gift</w:t>
      </w:r>
      <w:r w:rsidR="00C64050">
        <w:t xml:space="preserve"> </w:t>
      </w:r>
      <w:r>
        <w:t>of</w:t>
      </w:r>
      <w:r w:rsidR="00C64050">
        <w:t xml:space="preserve"> </w:t>
      </w:r>
      <w:r>
        <w:t>property</w:t>
      </w:r>
      <w:r w:rsidR="00C64050">
        <w:t xml:space="preserve"> </w:t>
      </w:r>
      <w:r>
        <w:t>is</w:t>
      </w:r>
      <w:r w:rsidR="00C64050">
        <w:t xml:space="preserve"> </w:t>
      </w:r>
      <w:r>
        <w:t>made,</w:t>
      </w:r>
      <w:r w:rsidR="00C64050">
        <w:t xml:space="preserve"> </w:t>
      </w:r>
      <w:r>
        <w:t>its</w:t>
      </w:r>
      <w:r w:rsidR="00C64050">
        <w:t xml:space="preserve"> </w:t>
      </w:r>
      <w:r>
        <w:t>value</w:t>
      </w:r>
      <w:r w:rsidR="00C64050">
        <w:t xml:space="preserve"> </w:t>
      </w:r>
      <w:r>
        <w:t>at</w:t>
      </w:r>
      <w:r w:rsidR="00C64050">
        <w:t xml:space="preserve"> </w:t>
      </w:r>
      <w:r>
        <w:t>the</w:t>
      </w:r>
      <w:r w:rsidR="00C64050">
        <w:t xml:space="preserve"> </w:t>
      </w:r>
      <w:r>
        <w:t>date</w:t>
      </w:r>
      <w:r w:rsidR="00C64050">
        <w:t xml:space="preserve"> </w:t>
      </w:r>
      <w:r>
        <w:t>of</w:t>
      </w:r>
      <w:r w:rsidR="00C64050">
        <w:t xml:space="preserve"> </w:t>
      </w:r>
      <w:r>
        <w:t>the</w:t>
      </w:r>
      <w:r w:rsidR="00C64050">
        <w:t xml:space="preserve"> </w:t>
      </w:r>
      <w:r>
        <w:t>gift</w:t>
      </w:r>
      <w:r w:rsidR="00C64050">
        <w:t xml:space="preserve"> </w:t>
      </w:r>
      <w:r>
        <w:t>shall</w:t>
      </w:r>
      <w:r w:rsidR="00C64050">
        <w:t xml:space="preserve"> </w:t>
      </w:r>
      <w:r>
        <w:t>be</w:t>
      </w:r>
      <w:r w:rsidR="00C64050">
        <w:t xml:space="preserve"> </w:t>
      </w:r>
      <w:r>
        <w:t>considered</w:t>
      </w:r>
      <w:r w:rsidR="00C64050">
        <w:t xml:space="preserve"> </w:t>
      </w:r>
      <w:r>
        <w:t>the</w:t>
      </w:r>
      <w:r w:rsidR="00C64050">
        <w:t xml:space="preserve"> </w:t>
      </w:r>
      <w:r>
        <w:t>amount</w:t>
      </w:r>
      <w:r w:rsidR="00C64050">
        <w:t xml:space="preserve"> </w:t>
      </w:r>
      <w:r>
        <w:t>of</w:t>
      </w:r>
      <w:r w:rsidR="00C64050">
        <w:t xml:space="preserve"> </w:t>
      </w:r>
      <w:r>
        <w:t>the</w:t>
      </w:r>
      <w:r w:rsidR="00C64050">
        <w:t xml:space="preserve"> </w:t>
      </w:r>
      <w:r>
        <w:t>gift.</w:t>
      </w:r>
      <w:r w:rsidR="00C64050">
        <w:t xml:space="preserve"> </w:t>
      </w:r>
      <w:r>
        <w:t>Sec.</w:t>
      </w:r>
      <w:r w:rsidR="00C64050">
        <w:t xml:space="preserve"> </w:t>
      </w:r>
      <w:r>
        <w:t>25.2512-1,</w:t>
      </w:r>
      <w:r w:rsidR="00C64050">
        <w:t xml:space="preserve"> </w:t>
      </w:r>
      <w:r>
        <w:t>Gift</w:t>
      </w:r>
      <w:r w:rsidR="00C64050">
        <w:t xml:space="preserve"> </w:t>
      </w:r>
      <w:r>
        <w:t>Tax</w:t>
      </w:r>
      <w:r w:rsidR="00C64050">
        <w:t xml:space="preserve"> </w:t>
      </w:r>
      <w:r>
        <w:t>Regs.</w:t>
      </w:r>
      <w:r w:rsidR="00C64050">
        <w:t xml:space="preserve"> </w:t>
      </w:r>
      <w:r>
        <w:t>We</w:t>
      </w:r>
      <w:r w:rsidR="00C64050">
        <w:t xml:space="preserve"> </w:t>
      </w:r>
      <w:r>
        <w:t>do</w:t>
      </w:r>
      <w:r w:rsidR="00C64050">
        <w:t xml:space="preserve"> </w:t>
      </w:r>
      <w:r>
        <w:t>not</w:t>
      </w:r>
      <w:r w:rsidR="00C64050">
        <w:t xml:space="preserve"> </w:t>
      </w:r>
      <w:r>
        <w:t>engage</w:t>
      </w:r>
      <w:r w:rsidR="00C64050">
        <w:t xml:space="preserve"> </w:t>
      </w:r>
      <w:r>
        <w:t>in</w:t>
      </w:r>
      <w:r w:rsidR="00C64050">
        <w:t xml:space="preserve"> </w:t>
      </w:r>
      <w:r>
        <w:t>imaginary</w:t>
      </w:r>
      <w:r w:rsidR="00C64050">
        <w:t xml:space="preserve"> </w:t>
      </w:r>
      <w:r>
        <w:t>scenarios</w:t>
      </w:r>
      <w:r w:rsidR="00C64050">
        <w:t xml:space="preserve"> </w:t>
      </w:r>
      <w:r>
        <w:t>as</w:t>
      </w:r>
      <w:r w:rsidR="00C64050">
        <w:t xml:space="preserve"> </w:t>
      </w:r>
      <w:r>
        <w:t>to</w:t>
      </w:r>
      <w:r w:rsidR="00C64050">
        <w:t xml:space="preserve"> </w:t>
      </w:r>
      <w:r>
        <w:t>who</w:t>
      </w:r>
      <w:r w:rsidR="00C64050">
        <w:t xml:space="preserve"> </w:t>
      </w:r>
      <w:r>
        <w:t>a</w:t>
      </w:r>
      <w:r w:rsidR="00C64050">
        <w:t xml:space="preserve"> </w:t>
      </w:r>
      <w:r>
        <w:t>purchaser</w:t>
      </w:r>
      <w:r w:rsidR="00C64050">
        <w:t xml:space="preserve"> </w:t>
      </w:r>
      <w:r>
        <w:t>might</w:t>
      </w:r>
      <w:r w:rsidR="00C64050">
        <w:t xml:space="preserve"> </w:t>
      </w:r>
      <w:r>
        <w:t>be.</w:t>
      </w:r>
      <w:r w:rsidR="00C64050">
        <w:rPr>
          <w:u w:val="single"/>
        </w:rPr>
        <w:t xml:space="preserve"> </w:t>
      </w:r>
      <w:r w:rsidRPr="00B92A88">
        <w:rPr>
          <w:u w:val="single"/>
        </w:rPr>
        <w:t>Estate</w:t>
      </w:r>
      <w:r w:rsidR="00C64050">
        <w:rPr>
          <w:u w:val="single"/>
        </w:rPr>
        <w:t xml:space="preserve"> </w:t>
      </w:r>
      <w:r w:rsidRPr="00B92A88">
        <w:rPr>
          <w:u w:val="single"/>
        </w:rPr>
        <w:t>of</w:t>
      </w:r>
      <w:r w:rsidR="00C64050">
        <w:rPr>
          <w:u w:val="single"/>
        </w:rPr>
        <w:t xml:space="preserve"> </w:t>
      </w:r>
      <w:r w:rsidRPr="00B92A88">
        <w:rPr>
          <w:u w:val="single"/>
        </w:rPr>
        <w:t>Giustina</w:t>
      </w:r>
      <w:r w:rsidR="00C64050">
        <w:rPr>
          <w:u w:val="single"/>
        </w:rPr>
        <w:t xml:space="preserve"> </w:t>
      </w:r>
      <w:r w:rsidRPr="00B92A88">
        <w:rPr>
          <w:u w:val="single"/>
        </w:rPr>
        <w:t>v.</w:t>
      </w:r>
      <w:r w:rsidR="00C64050">
        <w:rPr>
          <w:u w:val="single"/>
        </w:rPr>
        <w:t xml:space="preserve"> </w:t>
      </w:r>
      <w:r w:rsidRPr="00B92A88">
        <w:rPr>
          <w:u w:val="single"/>
        </w:rPr>
        <w:t>Commissioner</w:t>
      </w:r>
      <w:r>
        <w:t>,</w:t>
      </w:r>
      <w:r w:rsidR="00C64050">
        <w:t xml:space="preserve"> </w:t>
      </w:r>
      <w:r>
        <w:t>586</w:t>
      </w:r>
      <w:r w:rsidR="00C64050">
        <w:t xml:space="preserve"> </w:t>
      </w:r>
      <w:r>
        <w:t>F.</w:t>
      </w:r>
      <w:r w:rsidR="00C64050">
        <w:t xml:space="preserve"> </w:t>
      </w:r>
      <w:r>
        <w:t>App’x</w:t>
      </w:r>
      <w:r w:rsidR="00C64050">
        <w:t xml:space="preserve"> </w:t>
      </w:r>
      <w:r>
        <w:t>417,</w:t>
      </w:r>
      <w:r w:rsidR="00C64050">
        <w:t xml:space="preserve"> </w:t>
      </w:r>
      <w:r>
        <w:t>418</w:t>
      </w:r>
      <w:r w:rsidR="00C64050">
        <w:t xml:space="preserve"> </w:t>
      </w:r>
      <w:r>
        <w:t>(9th</w:t>
      </w:r>
      <w:r w:rsidR="00C64050">
        <w:t xml:space="preserve"> </w:t>
      </w:r>
      <w:r>
        <w:t>Cir.</w:t>
      </w:r>
      <w:r w:rsidR="00C64050">
        <w:t xml:space="preserve"> </w:t>
      </w:r>
      <w:r>
        <w:t>2014),</w:t>
      </w:r>
      <w:r w:rsidR="00C64050">
        <w:t xml:space="preserve"> </w:t>
      </w:r>
      <w:r w:rsidRPr="00B92A88">
        <w:rPr>
          <w:u w:val="single"/>
        </w:rPr>
        <w:t>rev’g</w:t>
      </w:r>
      <w:r w:rsidR="00C64050">
        <w:rPr>
          <w:u w:val="single"/>
        </w:rPr>
        <w:t xml:space="preserve"> </w:t>
      </w:r>
      <w:r w:rsidRPr="00B92A88">
        <w:rPr>
          <w:u w:val="single"/>
        </w:rPr>
        <w:t>and</w:t>
      </w:r>
      <w:r w:rsidR="00C64050">
        <w:rPr>
          <w:u w:val="single"/>
        </w:rPr>
        <w:t xml:space="preserve"> </w:t>
      </w:r>
      <w:r w:rsidRPr="00B92A88">
        <w:rPr>
          <w:u w:val="single"/>
        </w:rPr>
        <w:t>remanding</w:t>
      </w:r>
      <w:r w:rsidR="00C64050">
        <w:t xml:space="preserve"> </w:t>
      </w:r>
      <w:r>
        <w:t>T.C.</w:t>
      </w:r>
      <w:r w:rsidR="00C64050">
        <w:t xml:space="preserve"> </w:t>
      </w:r>
      <w:r>
        <w:t>Memo.</w:t>
      </w:r>
      <w:r w:rsidR="00C64050">
        <w:t xml:space="preserve"> </w:t>
      </w:r>
      <w:r>
        <w:t>2011-141.</w:t>
      </w:r>
      <w:r w:rsidR="00C64050">
        <w:t xml:space="preserve"> </w:t>
      </w:r>
      <w:r>
        <w:t>In</w:t>
      </w:r>
      <w:r w:rsidR="00C64050">
        <w:t xml:space="preserve"> </w:t>
      </w:r>
      <w:r w:rsidRPr="00B92A88">
        <w:rPr>
          <w:u w:val="single"/>
        </w:rPr>
        <w:t>Olson</w:t>
      </w:r>
      <w:r w:rsidR="00C64050">
        <w:rPr>
          <w:u w:val="single"/>
        </w:rPr>
        <w:t xml:space="preserve"> </w:t>
      </w:r>
      <w:r w:rsidRPr="00B92A88">
        <w:rPr>
          <w:u w:val="single"/>
        </w:rPr>
        <w:t>v.</w:t>
      </w:r>
      <w:r w:rsidR="00C64050">
        <w:rPr>
          <w:u w:val="single"/>
        </w:rPr>
        <w:t xml:space="preserve"> </w:t>
      </w:r>
      <w:r w:rsidRPr="00B92A88">
        <w:rPr>
          <w:u w:val="single"/>
        </w:rPr>
        <w:t>United</w:t>
      </w:r>
      <w:r w:rsidR="00C64050">
        <w:rPr>
          <w:u w:val="single"/>
        </w:rPr>
        <w:t xml:space="preserve"> </w:t>
      </w:r>
      <w:r w:rsidRPr="00B92A88">
        <w:rPr>
          <w:u w:val="single"/>
        </w:rPr>
        <w:t>States</w:t>
      </w:r>
      <w:r>
        <w:t>,</w:t>
      </w:r>
      <w:r w:rsidR="00C64050">
        <w:t xml:space="preserve"> </w:t>
      </w:r>
      <w:r>
        <w:t>292</w:t>
      </w:r>
      <w:r w:rsidR="00C64050">
        <w:t xml:space="preserve"> </w:t>
      </w:r>
      <w:r>
        <w:t>U.S.</w:t>
      </w:r>
      <w:r w:rsidR="00C64050">
        <w:t xml:space="preserve"> </w:t>
      </w:r>
      <w:r>
        <w:t>246,</w:t>
      </w:r>
      <w:r w:rsidR="00C64050">
        <w:t xml:space="preserve"> </w:t>
      </w:r>
      <w:r>
        <w:t>257</w:t>
      </w:r>
      <w:r w:rsidR="00C64050">
        <w:t xml:space="preserve"> </w:t>
      </w:r>
      <w:r>
        <w:t>(1934),</w:t>
      </w:r>
      <w:r w:rsidR="00C64050">
        <w:t xml:space="preserve"> </w:t>
      </w:r>
      <w:r>
        <w:t>the</w:t>
      </w:r>
      <w:r w:rsidR="00C64050">
        <w:t xml:space="preserve"> </w:t>
      </w:r>
      <w:r>
        <w:t>Supreme</w:t>
      </w:r>
      <w:r w:rsidR="00C64050">
        <w:t xml:space="preserve"> </w:t>
      </w:r>
      <w:r>
        <w:t>Court</w:t>
      </w:r>
      <w:r w:rsidR="00C64050">
        <w:t xml:space="preserve"> </w:t>
      </w:r>
      <w:r>
        <w:t>explained:</w:t>
      </w:r>
      <w:r w:rsidR="00C64050">
        <w:t xml:space="preserve"> </w:t>
      </w:r>
    </w:p>
    <w:p w:rsidR="00FE06DC" w:rsidRDefault="00FE06DC" w:rsidP="00B92A88">
      <w:pPr>
        <w:pStyle w:val="QS10"/>
        <w:ind w:left="2160"/>
      </w:pPr>
      <w:r>
        <w:t>Elements</w:t>
      </w:r>
      <w:r w:rsidR="00C64050">
        <w:t xml:space="preserve"> </w:t>
      </w:r>
      <w:r>
        <w:t>affecting</w:t>
      </w:r>
      <w:r w:rsidR="00C64050">
        <w:t xml:space="preserve"> </w:t>
      </w:r>
      <w:r>
        <w:t>value</w:t>
      </w:r>
      <w:r w:rsidR="00C64050">
        <w:t xml:space="preserve"> </w:t>
      </w:r>
      <w:r>
        <w:t>that</w:t>
      </w:r>
      <w:r w:rsidR="00C64050">
        <w:t xml:space="preserve"> </w:t>
      </w:r>
      <w:r>
        <w:t>depend</w:t>
      </w:r>
      <w:r w:rsidR="00C64050">
        <w:t xml:space="preserve"> </w:t>
      </w:r>
      <w:r>
        <w:t>upon</w:t>
      </w:r>
      <w:r w:rsidR="00C64050">
        <w:t xml:space="preserve"> </w:t>
      </w:r>
      <w:r>
        <w:t>events</w:t>
      </w:r>
      <w:r w:rsidR="00C64050">
        <w:t xml:space="preserve"> </w:t>
      </w:r>
      <w:r>
        <w:t>or</w:t>
      </w:r>
      <w:r w:rsidR="00C64050">
        <w:t xml:space="preserve"> </w:t>
      </w:r>
      <w:r>
        <w:t>combinations</w:t>
      </w:r>
      <w:r w:rsidR="00C64050">
        <w:t xml:space="preserve"> </w:t>
      </w:r>
      <w:r>
        <w:t>of</w:t>
      </w:r>
      <w:r w:rsidR="00C64050">
        <w:t xml:space="preserve"> </w:t>
      </w:r>
      <w:r>
        <w:t>occurrences</w:t>
      </w:r>
      <w:r w:rsidR="00C64050">
        <w:t xml:space="preserve"> </w:t>
      </w:r>
      <w:r>
        <w:t>which,</w:t>
      </w:r>
      <w:r w:rsidR="00C64050">
        <w:t xml:space="preserve"> </w:t>
      </w:r>
      <w:r>
        <w:t>while</w:t>
      </w:r>
      <w:r w:rsidR="00C64050">
        <w:t xml:space="preserve"> </w:t>
      </w:r>
      <w:r>
        <w:t>within</w:t>
      </w:r>
      <w:r w:rsidR="00C64050">
        <w:t xml:space="preserve"> </w:t>
      </w:r>
      <w:r>
        <w:t>the</w:t>
      </w:r>
      <w:r w:rsidR="00C64050">
        <w:t xml:space="preserve"> </w:t>
      </w:r>
      <w:r>
        <w:t>realm</w:t>
      </w:r>
      <w:r w:rsidR="00C64050">
        <w:t xml:space="preserve"> </w:t>
      </w:r>
      <w:r>
        <w:t>of</w:t>
      </w:r>
      <w:r w:rsidR="00C64050">
        <w:t xml:space="preserve"> </w:t>
      </w:r>
      <w:r>
        <w:t>possibility,</w:t>
      </w:r>
      <w:r w:rsidR="00C64050">
        <w:t xml:space="preserve"> </w:t>
      </w:r>
      <w:r>
        <w:t>are</w:t>
      </w:r>
      <w:r w:rsidR="00C64050">
        <w:t xml:space="preserve"> </w:t>
      </w:r>
      <w:r>
        <w:t>not</w:t>
      </w:r>
      <w:r w:rsidR="00C64050">
        <w:t xml:space="preserve"> </w:t>
      </w:r>
      <w:r>
        <w:t>fairly</w:t>
      </w:r>
      <w:r w:rsidR="00C64050">
        <w:t xml:space="preserve"> </w:t>
      </w:r>
      <w:r>
        <w:t>shown</w:t>
      </w:r>
      <w:r w:rsidR="00C64050">
        <w:t xml:space="preserve"> </w:t>
      </w:r>
      <w:r>
        <w:t>to</w:t>
      </w:r>
      <w:r w:rsidR="00C64050">
        <w:t xml:space="preserve"> </w:t>
      </w:r>
      <w:r>
        <w:t>be</w:t>
      </w:r>
      <w:r w:rsidR="00C64050">
        <w:t xml:space="preserve"> </w:t>
      </w:r>
      <w:r>
        <w:t>reasonably</w:t>
      </w:r>
      <w:r w:rsidR="00C64050">
        <w:t xml:space="preserve"> </w:t>
      </w:r>
      <w:r>
        <w:t>probable</w:t>
      </w:r>
      <w:r w:rsidR="00C64050">
        <w:t xml:space="preserve"> </w:t>
      </w:r>
      <w:r>
        <w:t>should</w:t>
      </w:r>
      <w:r w:rsidR="00C64050">
        <w:t xml:space="preserve"> </w:t>
      </w:r>
      <w:r>
        <w:t>be</w:t>
      </w:r>
      <w:r w:rsidR="00C64050">
        <w:t xml:space="preserve"> </w:t>
      </w:r>
      <w:r>
        <w:t>excluded</w:t>
      </w:r>
      <w:r w:rsidR="00C64050">
        <w:t xml:space="preserve"> </w:t>
      </w:r>
      <w:r>
        <w:t>from</w:t>
      </w:r>
      <w:r w:rsidR="00C64050">
        <w:t xml:space="preserve"> </w:t>
      </w:r>
      <w:r>
        <w:t>consideration</w:t>
      </w:r>
      <w:r w:rsidR="00C64050">
        <w:t xml:space="preserve"> </w:t>
      </w:r>
      <w:r>
        <w:t>for</w:t>
      </w:r>
      <w:r w:rsidR="00C64050">
        <w:t xml:space="preserve"> </w:t>
      </w:r>
      <w:r>
        <w:t>that</w:t>
      </w:r>
      <w:r w:rsidR="00C64050">
        <w:t xml:space="preserve"> </w:t>
      </w:r>
      <w:r>
        <w:t>would</w:t>
      </w:r>
      <w:r w:rsidR="00C64050">
        <w:t xml:space="preserve"> </w:t>
      </w:r>
      <w:r>
        <w:t>be</w:t>
      </w:r>
      <w:r w:rsidR="00C64050">
        <w:t xml:space="preserve"> </w:t>
      </w:r>
      <w:r>
        <w:t>to</w:t>
      </w:r>
      <w:r w:rsidR="00C64050">
        <w:t xml:space="preserve"> </w:t>
      </w:r>
      <w:r>
        <w:t>allow</w:t>
      </w:r>
      <w:r w:rsidR="00C64050">
        <w:t xml:space="preserve"> </w:t>
      </w:r>
      <w:r>
        <w:t>mere</w:t>
      </w:r>
      <w:r w:rsidR="00C64050">
        <w:t xml:space="preserve"> </w:t>
      </w:r>
      <w:r>
        <w:t>speculation</w:t>
      </w:r>
      <w:r w:rsidR="00C64050">
        <w:t xml:space="preserve"> </w:t>
      </w:r>
      <w:r>
        <w:t>and</w:t>
      </w:r>
      <w:r w:rsidR="00C64050">
        <w:t xml:space="preserve"> </w:t>
      </w:r>
      <w:r>
        <w:t>conjecture</w:t>
      </w:r>
      <w:r w:rsidR="00C64050">
        <w:t xml:space="preserve"> </w:t>
      </w:r>
      <w:r>
        <w:t>to</w:t>
      </w:r>
      <w:r w:rsidR="00C64050">
        <w:t xml:space="preserve"> </w:t>
      </w:r>
      <w:r>
        <w:t>become</w:t>
      </w:r>
      <w:r w:rsidR="00C64050">
        <w:t xml:space="preserve"> </w:t>
      </w:r>
      <w:r>
        <w:t>a</w:t>
      </w:r>
      <w:r w:rsidR="00C64050">
        <w:t xml:space="preserve"> </w:t>
      </w:r>
      <w:r>
        <w:t>guide</w:t>
      </w:r>
      <w:r w:rsidR="00C64050">
        <w:t xml:space="preserve"> </w:t>
      </w:r>
      <w:r>
        <w:t>for</w:t>
      </w:r>
      <w:r w:rsidR="00C64050">
        <w:t xml:space="preserve"> </w:t>
      </w:r>
      <w:r>
        <w:t>the</w:t>
      </w:r>
      <w:r w:rsidR="00C64050">
        <w:t xml:space="preserve"> </w:t>
      </w:r>
      <w:r>
        <w:t>ascertainment</w:t>
      </w:r>
      <w:r w:rsidR="00C64050">
        <w:t xml:space="preserve"> </w:t>
      </w:r>
      <w:r>
        <w:t>of</w:t>
      </w:r>
      <w:r w:rsidR="00C64050">
        <w:t xml:space="preserve"> </w:t>
      </w:r>
      <w:r>
        <w:t>value--a</w:t>
      </w:r>
      <w:r w:rsidR="00C64050">
        <w:t xml:space="preserve"> </w:t>
      </w:r>
      <w:r>
        <w:t>thing</w:t>
      </w:r>
      <w:r w:rsidR="00C64050">
        <w:t xml:space="preserve"> </w:t>
      </w:r>
      <w:r>
        <w:t>to</w:t>
      </w:r>
      <w:r w:rsidR="00C64050">
        <w:t xml:space="preserve"> </w:t>
      </w:r>
      <w:r>
        <w:t>be</w:t>
      </w:r>
      <w:r w:rsidR="00C64050">
        <w:t xml:space="preserve"> </w:t>
      </w:r>
      <w:r>
        <w:t>condemned</w:t>
      </w:r>
      <w:r w:rsidR="00C64050">
        <w:t xml:space="preserve"> </w:t>
      </w:r>
      <w:r>
        <w:t>in</w:t>
      </w:r>
      <w:r w:rsidR="00C64050">
        <w:t xml:space="preserve"> </w:t>
      </w:r>
      <w:r>
        <w:t>business</w:t>
      </w:r>
      <w:r w:rsidR="00C64050">
        <w:t xml:space="preserve"> </w:t>
      </w:r>
      <w:r>
        <w:t>transactions</w:t>
      </w:r>
      <w:r w:rsidR="00C64050">
        <w:t xml:space="preserve"> </w:t>
      </w:r>
      <w:r>
        <w:t>as</w:t>
      </w:r>
      <w:r w:rsidR="00C64050">
        <w:t xml:space="preserve"> </w:t>
      </w:r>
      <w:r>
        <w:t>well</w:t>
      </w:r>
      <w:r w:rsidR="00C64050">
        <w:t xml:space="preserve"> </w:t>
      </w:r>
      <w:r>
        <w:t>as</w:t>
      </w:r>
      <w:r w:rsidR="00C64050">
        <w:t xml:space="preserve"> </w:t>
      </w:r>
      <w:r>
        <w:t>in</w:t>
      </w:r>
      <w:r w:rsidR="00C64050">
        <w:t xml:space="preserve"> </w:t>
      </w:r>
      <w:r>
        <w:t>judicial</w:t>
      </w:r>
      <w:r w:rsidR="00C64050">
        <w:t xml:space="preserve"> </w:t>
      </w:r>
      <w:r>
        <w:t>ascertainment</w:t>
      </w:r>
      <w:r w:rsidR="00C64050">
        <w:t xml:space="preserve"> </w:t>
      </w:r>
      <w:r>
        <w:t>of</w:t>
      </w:r>
      <w:r w:rsidR="00C64050">
        <w:t xml:space="preserve"> </w:t>
      </w:r>
      <w:r>
        <w:t>truth.</w:t>
      </w:r>
      <w:r w:rsidR="00C64050">
        <w:t xml:space="preserve"> </w:t>
      </w:r>
      <w:r>
        <w:t>*</w:t>
      </w:r>
      <w:r w:rsidR="00C64050">
        <w:t xml:space="preserve"> </w:t>
      </w:r>
      <w:r>
        <w:t>*</w:t>
      </w:r>
      <w:r w:rsidR="00C64050">
        <w:t xml:space="preserve"> </w:t>
      </w:r>
      <w:r>
        <w:t>*</w:t>
      </w:r>
    </w:p>
    <w:p w:rsidR="00B92A88" w:rsidRDefault="00B92A88" w:rsidP="00B92A88">
      <w:pPr>
        <w:pStyle w:val="QS10"/>
      </w:pPr>
      <w:r w:rsidRPr="00B92A88">
        <w:t>Respondent’s</w:t>
      </w:r>
      <w:r w:rsidR="00C64050">
        <w:t xml:space="preserve"> </w:t>
      </w:r>
      <w:r w:rsidRPr="00B92A88">
        <w:t>expert</w:t>
      </w:r>
      <w:r w:rsidR="00C64050">
        <w:t xml:space="preserve"> </w:t>
      </w:r>
      <w:r w:rsidRPr="00B92A88">
        <w:t>relies</w:t>
      </w:r>
      <w:r w:rsidR="00C64050">
        <w:t xml:space="preserve"> </w:t>
      </w:r>
      <w:r w:rsidRPr="00B92A88">
        <w:t>upon</w:t>
      </w:r>
      <w:r w:rsidR="00C64050">
        <w:t xml:space="preserve"> </w:t>
      </w:r>
      <w:r w:rsidRPr="00B92A88">
        <w:t>an</w:t>
      </w:r>
      <w:r w:rsidR="00C64050">
        <w:t xml:space="preserve"> </w:t>
      </w:r>
      <w:r w:rsidRPr="00B92A88">
        <w:t>additional</w:t>
      </w:r>
      <w:r w:rsidR="00C64050">
        <w:t xml:space="preserve"> </w:t>
      </w:r>
      <w:r w:rsidRPr="00B92A88">
        <w:t>action,</w:t>
      </w:r>
      <w:r w:rsidR="00C64050">
        <w:t xml:space="preserve"> </w:t>
      </w:r>
      <w:r w:rsidRPr="00B92A88">
        <w:t>the</w:t>
      </w:r>
      <w:r w:rsidR="00C64050">
        <w:t xml:space="preserve"> </w:t>
      </w:r>
      <w:r w:rsidRPr="00B92A88">
        <w:t>purchase</w:t>
      </w:r>
      <w:r w:rsidR="00C64050">
        <w:t xml:space="preserve"> </w:t>
      </w:r>
      <w:r w:rsidRPr="00B92A88">
        <w:t>of</w:t>
      </w:r>
      <w:r w:rsidR="00C64050">
        <w:t xml:space="preserve"> </w:t>
      </w:r>
      <w:r w:rsidRPr="00B92A88">
        <w:t>the</w:t>
      </w:r>
      <w:r w:rsidR="00C64050">
        <w:t xml:space="preserve"> </w:t>
      </w:r>
      <w:r w:rsidRPr="00B92A88">
        <w:t>class</w:t>
      </w:r>
      <w:r w:rsidR="00C64050">
        <w:t xml:space="preserve"> </w:t>
      </w:r>
      <w:r w:rsidRPr="00B92A88">
        <w:t>A</w:t>
      </w:r>
      <w:r w:rsidR="00C64050">
        <w:t xml:space="preserve"> </w:t>
      </w:r>
      <w:r w:rsidRPr="00B92A88">
        <w:t>units.</w:t>
      </w:r>
      <w:r w:rsidR="00C64050">
        <w:t xml:space="preserve"> </w:t>
      </w:r>
      <w:r w:rsidRPr="00B92A88">
        <w:t>Mr.</w:t>
      </w:r>
      <w:r w:rsidR="00C64050">
        <w:t xml:space="preserve"> </w:t>
      </w:r>
      <w:r w:rsidRPr="00B92A88">
        <w:t>Mitchell</w:t>
      </w:r>
      <w:r w:rsidR="00C64050">
        <w:t xml:space="preserve"> </w:t>
      </w:r>
      <w:r w:rsidRPr="00B92A88">
        <w:t>contends</w:t>
      </w:r>
      <w:r w:rsidR="00C64050">
        <w:t xml:space="preserve"> </w:t>
      </w:r>
      <w:r w:rsidRPr="00B92A88">
        <w:t>that</w:t>
      </w:r>
      <w:r w:rsidR="00C64050">
        <w:t xml:space="preserve"> </w:t>
      </w:r>
      <w:r w:rsidRPr="00B92A88">
        <w:t>the</w:t>
      </w:r>
      <w:r w:rsidR="00C64050">
        <w:t xml:space="preserve"> </w:t>
      </w:r>
      <w:r w:rsidRPr="00B92A88">
        <w:t>economic</w:t>
      </w:r>
      <w:r w:rsidR="00C64050">
        <w:t xml:space="preserve"> </w:t>
      </w:r>
      <w:r w:rsidRPr="00B92A88">
        <w:t>realities</w:t>
      </w:r>
      <w:r w:rsidR="00C64050">
        <w:t xml:space="preserve"> </w:t>
      </w:r>
      <w:r w:rsidRPr="00B92A88">
        <w:t>have</w:t>
      </w:r>
      <w:r w:rsidR="00C64050">
        <w:t xml:space="preserve"> </w:t>
      </w:r>
      <w:r w:rsidRPr="00B92A88">
        <w:t>to</w:t>
      </w:r>
      <w:r w:rsidR="00C64050">
        <w:t xml:space="preserve"> </w:t>
      </w:r>
      <w:r w:rsidRPr="00B92A88">
        <w:t>be</w:t>
      </w:r>
      <w:r w:rsidR="00C64050">
        <w:t xml:space="preserve"> </w:t>
      </w:r>
      <w:r w:rsidRPr="00B92A88">
        <w:t>taken</w:t>
      </w:r>
      <w:r w:rsidR="00C64050">
        <w:t xml:space="preserve"> </w:t>
      </w:r>
      <w:r w:rsidRPr="00B92A88">
        <w:t>into</w:t>
      </w:r>
      <w:r w:rsidR="00C64050">
        <w:t xml:space="preserve"> </w:t>
      </w:r>
      <w:r w:rsidRPr="00B92A88">
        <w:t>consideration</w:t>
      </w:r>
      <w:r w:rsidR="00C64050">
        <w:t xml:space="preserve"> </w:t>
      </w:r>
      <w:r w:rsidRPr="00B92A88">
        <w:t>and</w:t>
      </w:r>
      <w:r w:rsidR="00C64050">
        <w:t xml:space="preserve"> </w:t>
      </w:r>
      <w:r w:rsidRPr="00B92A88">
        <w:t>that</w:t>
      </w:r>
      <w:r w:rsidR="00C64050">
        <w:t xml:space="preserve"> </w:t>
      </w:r>
      <w:r w:rsidRPr="00B92A88">
        <w:t>the</w:t>
      </w:r>
      <w:r w:rsidR="00C64050">
        <w:t xml:space="preserve"> </w:t>
      </w:r>
      <w:r w:rsidRPr="00B92A88">
        <w:t>economic</w:t>
      </w:r>
      <w:r w:rsidR="00C64050">
        <w:t xml:space="preserve"> </w:t>
      </w:r>
      <w:r w:rsidRPr="00B92A88">
        <w:t>stake</w:t>
      </w:r>
      <w:r w:rsidR="00C64050">
        <w:t xml:space="preserve"> </w:t>
      </w:r>
      <w:r w:rsidRPr="00B92A88">
        <w:t>of</w:t>
      </w:r>
      <w:r w:rsidR="00C64050">
        <w:t xml:space="preserve"> </w:t>
      </w:r>
      <w:r w:rsidRPr="00B92A88">
        <w:t>the</w:t>
      </w:r>
      <w:r w:rsidR="00C64050">
        <w:t xml:space="preserve"> </w:t>
      </w:r>
      <w:r w:rsidRPr="00B92A88">
        <w:t>holder</w:t>
      </w:r>
      <w:r w:rsidR="00C64050">
        <w:t xml:space="preserve"> </w:t>
      </w:r>
      <w:r w:rsidRPr="00B92A88">
        <w:t>of</w:t>
      </w:r>
      <w:r w:rsidR="00C64050">
        <w:t xml:space="preserve"> </w:t>
      </w:r>
      <w:r w:rsidRPr="00B92A88">
        <w:t>a</w:t>
      </w:r>
      <w:r w:rsidR="00C64050">
        <w:t xml:space="preserve"> </w:t>
      </w:r>
      <w:r w:rsidRPr="00B92A88">
        <w:t>99.8%</w:t>
      </w:r>
      <w:r w:rsidR="00C64050">
        <w:t xml:space="preserve"> </w:t>
      </w:r>
      <w:r w:rsidRPr="00B92A88">
        <w:t>interest</w:t>
      </w:r>
      <w:r w:rsidR="00C64050">
        <w:t xml:space="preserve"> </w:t>
      </w:r>
      <w:r w:rsidRPr="00B92A88">
        <w:t>of</w:t>
      </w:r>
      <w:r w:rsidR="00C64050">
        <w:t xml:space="preserve"> </w:t>
      </w:r>
      <w:r w:rsidRPr="00B92A88">
        <w:t>the</w:t>
      </w:r>
      <w:r w:rsidR="00C64050">
        <w:t xml:space="preserve"> </w:t>
      </w:r>
      <w:r w:rsidRPr="00B92A88">
        <w:t>class</w:t>
      </w:r>
      <w:r w:rsidR="00C64050">
        <w:t xml:space="preserve"> </w:t>
      </w:r>
      <w:r w:rsidRPr="00B92A88">
        <w:t>B</w:t>
      </w:r>
      <w:r w:rsidR="00C64050">
        <w:t xml:space="preserve"> </w:t>
      </w:r>
      <w:r w:rsidRPr="00B92A88">
        <w:t>units</w:t>
      </w:r>
      <w:r w:rsidR="00C64050">
        <w:t xml:space="preserve"> </w:t>
      </w:r>
      <w:r w:rsidRPr="00B92A88">
        <w:t>“dwarfs”</w:t>
      </w:r>
      <w:r w:rsidR="00C64050">
        <w:t xml:space="preserve"> </w:t>
      </w:r>
      <w:r w:rsidRPr="00B92A88">
        <w:t>that</w:t>
      </w:r>
      <w:r w:rsidR="00C64050">
        <w:t xml:space="preserve"> </w:t>
      </w:r>
      <w:r w:rsidRPr="00B92A88">
        <w:t>of</w:t>
      </w:r>
      <w:r w:rsidR="00C64050">
        <w:t xml:space="preserve"> </w:t>
      </w:r>
      <w:r w:rsidRPr="00B92A88">
        <w:t>the</w:t>
      </w:r>
      <w:r w:rsidR="00C64050">
        <w:t xml:space="preserve"> </w:t>
      </w:r>
      <w:r w:rsidRPr="00B92A88">
        <w:t>holder</w:t>
      </w:r>
      <w:r w:rsidR="00C64050">
        <w:t xml:space="preserve"> </w:t>
      </w:r>
      <w:r w:rsidRPr="00B92A88">
        <w:t>of</w:t>
      </w:r>
      <w:r w:rsidR="00C64050">
        <w:t xml:space="preserve"> </w:t>
      </w:r>
      <w:r w:rsidRPr="00B92A88">
        <w:t>the</w:t>
      </w:r>
      <w:r w:rsidR="00C64050">
        <w:t xml:space="preserve"> </w:t>
      </w:r>
      <w:r w:rsidRPr="00B92A88">
        <w:t>class</w:t>
      </w:r>
      <w:r w:rsidR="00C64050">
        <w:t xml:space="preserve"> </w:t>
      </w:r>
      <w:r w:rsidRPr="00B92A88">
        <w:t>A</w:t>
      </w:r>
      <w:r w:rsidR="00C64050">
        <w:t xml:space="preserve"> </w:t>
      </w:r>
      <w:r w:rsidRPr="00B92A88">
        <w:t>units.</w:t>
      </w:r>
      <w:r w:rsidR="00C64050">
        <w:t xml:space="preserve"> </w:t>
      </w:r>
      <w:r w:rsidRPr="00B92A88">
        <w:t>However,</w:t>
      </w:r>
      <w:r w:rsidR="00C64050">
        <w:t xml:space="preserve"> </w:t>
      </w:r>
      <w:r w:rsidRPr="00B92A88">
        <w:t>Margaret,</w:t>
      </w:r>
      <w:r w:rsidR="00C64050">
        <w:t xml:space="preserve"> </w:t>
      </w:r>
      <w:r w:rsidRPr="00B92A88">
        <w:t>the</w:t>
      </w:r>
      <w:r w:rsidR="00C64050">
        <w:t xml:space="preserve"> </w:t>
      </w:r>
      <w:r w:rsidRPr="00B92A88">
        <w:t>sole</w:t>
      </w:r>
      <w:r w:rsidR="00C64050">
        <w:t xml:space="preserve"> </w:t>
      </w:r>
      <w:r w:rsidRPr="00B92A88">
        <w:t>owner</w:t>
      </w:r>
      <w:r w:rsidR="00C64050">
        <w:t xml:space="preserve"> </w:t>
      </w:r>
      <w:r w:rsidRPr="00B92A88">
        <w:t>of</w:t>
      </w:r>
      <w:r w:rsidR="00C64050">
        <w:t xml:space="preserve"> </w:t>
      </w:r>
      <w:r w:rsidRPr="00B92A88">
        <w:t>the</w:t>
      </w:r>
      <w:r w:rsidR="00C64050">
        <w:t xml:space="preserve"> </w:t>
      </w:r>
      <w:r w:rsidRPr="00B92A88">
        <w:t>class</w:t>
      </w:r>
      <w:r w:rsidR="00C64050">
        <w:t xml:space="preserve"> </w:t>
      </w:r>
      <w:r w:rsidRPr="00B92A88">
        <w:t>A</w:t>
      </w:r>
      <w:r w:rsidR="00C64050">
        <w:t xml:space="preserve"> </w:t>
      </w:r>
      <w:r w:rsidRPr="00B92A88">
        <w:t>units,</w:t>
      </w:r>
      <w:r w:rsidR="00C64050">
        <w:t xml:space="preserve"> </w:t>
      </w:r>
      <w:r w:rsidRPr="00B92A88">
        <w:t>testified</w:t>
      </w:r>
      <w:r w:rsidR="00C64050">
        <w:t xml:space="preserve"> </w:t>
      </w:r>
      <w:r w:rsidRPr="00B92A88">
        <w:t>that</w:t>
      </w:r>
      <w:r w:rsidR="00C64050">
        <w:t xml:space="preserve"> </w:t>
      </w:r>
      <w:r w:rsidRPr="00B92A88">
        <w:t>she</w:t>
      </w:r>
      <w:r w:rsidR="00C64050">
        <w:t xml:space="preserve"> </w:t>
      </w:r>
      <w:r w:rsidRPr="00B92A88">
        <w:t>had</w:t>
      </w:r>
      <w:r w:rsidR="00C64050">
        <w:t xml:space="preserve"> </w:t>
      </w:r>
      <w:r w:rsidRPr="00B92A88">
        <w:t>no</w:t>
      </w:r>
      <w:r w:rsidR="00C64050">
        <w:t xml:space="preserve"> </w:t>
      </w:r>
      <w:r w:rsidRPr="00B92A88">
        <w:t>intention</w:t>
      </w:r>
      <w:r w:rsidR="00C64050">
        <w:t xml:space="preserve"> </w:t>
      </w:r>
      <w:r w:rsidRPr="00B92A88">
        <w:t>of</w:t>
      </w:r>
      <w:r w:rsidR="00C64050">
        <w:t xml:space="preserve"> </w:t>
      </w:r>
      <w:r w:rsidRPr="00B92A88">
        <w:t>selling</w:t>
      </w:r>
      <w:r w:rsidR="00C64050">
        <w:t xml:space="preserve"> </w:t>
      </w:r>
      <w:r w:rsidRPr="00B92A88">
        <w:t>the</w:t>
      </w:r>
      <w:r w:rsidR="00C64050">
        <w:t xml:space="preserve"> </w:t>
      </w:r>
      <w:r w:rsidRPr="00B92A88">
        <w:t>units.</w:t>
      </w:r>
      <w:r w:rsidR="00C64050">
        <w:t xml:space="preserve"> </w:t>
      </w:r>
      <w:r w:rsidRPr="00B92A88">
        <w:t>She</w:t>
      </w:r>
      <w:r w:rsidR="00C64050">
        <w:t xml:space="preserve"> </w:t>
      </w:r>
      <w:r w:rsidRPr="00B92A88">
        <w:t>further</w:t>
      </w:r>
      <w:r w:rsidR="00C64050">
        <w:t xml:space="preserve"> </w:t>
      </w:r>
      <w:r w:rsidRPr="00B92A88">
        <w:t>testified</w:t>
      </w:r>
      <w:r w:rsidR="00C64050">
        <w:t xml:space="preserve"> </w:t>
      </w:r>
      <w:r w:rsidRPr="00B92A88">
        <w:t>that</w:t>
      </w:r>
      <w:r w:rsidR="00C64050">
        <w:t xml:space="preserve"> </w:t>
      </w:r>
      <w:r w:rsidRPr="00B92A88">
        <w:t>if</w:t>
      </w:r>
      <w:r w:rsidR="00C64050">
        <w:t xml:space="preserve"> </w:t>
      </w:r>
      <w:r w:rsidRPr="00B92A88">
        <w:t>she</w:t>
      </w:r>
      <w:r w:rsidR="00C64050">
        <w:t xml:space="preserve"> </w:t>
      </w:r>
      <w:r w:rsidRPr="00B92A88">
        <w:t>ever</w:t>
      </w:r>
      <w:r w:rsidR="00C64050">
        <w:t xml:space="preserve"> </w:t>
      </w:r>
      <w:r w:rsidRPr="00B92A88">
        <w:t>sold</w:t>
      </w:r>
      <w:r w:rsidR="00C64050">
        <w:t xml:space="preserve"> </w:t>
      </w:r>
      <w:r w:rsidRPr="00B92A88">
        <w:t>the</w:t>
      </w:r>
      <w:r w:rsidR="00C64050">
        <w:t xml:space="preserve"> </w:t>
      </w:r>
      <w:r w:rsidRPr="00B92A88">
        <w:t>units</w:t>
      </w:r>
      <w:r w:rsidR="00C64050">
        <w:t xml:space="preserve"> </w:t>
      </w:r>
      <w:r w:rsidRPr="00B92A88">
        <w:t>she</w:t>
      </w:r>
      <w:r w:rsidR="00C64050">
        <w:t xml:space="preserve"> </w:t>
      </w:r>
      <w:r w:rsidRPr="00B92A88">
        <w:t>would</w:t>
      </w:r>
      <w:r w:rsidR="00C64050">
        <w:t xml:space="preserve"> </w:t>
      </w:r>
      <w:r w:rsidRPr="00B92A88">
        <w:t>demand</w:t>
      </w:r>
      <w:r w:rsidR="00C64050">
        <w:t xml:space="preserve"> </w:t>
      </w:r>
      <w:r w:rsidRPr="00B92A88">
        <w:t>a</w:t>
      </w:r>
      <w:r w:rsidR="00C64050">
        <w:t xml:space="preserve"> </w:t>
      </w:r>
      <w:r w:rsidRPr="00B92A88">
        <w:t>premium</w:t>
      </w:r>
      <w:r w:rsidR="00C64050">
        <w:t xml:space="preserve"> </w:t>
      </w:r>
      <w:r w:rsidRPr="00B92A88">
        <w:t>much</w:t>
      </w:r>
      <w:r w:rsidR="00C64050">
        <w:t xml:space="preserve"> </w:t>
      </w:r>
      <w:r w:rsidRPr="00B92A88">
        <w:t>higher</w:t>
      </w:r>
      <w:r w:rsidR="00C64050">
        <w:t xml:space="preserve"> </w:t>
      </w:r>
      <w:r w:rsidRPr="00B92A88">
        <w:t>than</w:t>
      </w:r>
      <w:r w:rsidR="00C64050">
        <w:t xml:space="preserve"> </w:t>
      </w:r>
      <w:r w:rsidRPr="00B92A88">
        <w:t>what</w:t>
      </w:r>
      <w:r w:rsidR="00C64050">
        <w:t xml:space="preserve"> </w:t>
      </w:r>
      <w:r w:rsidRPr="00B92A88">
        <w:t>was</w:t>
      </w:r>
      <w:r w:rsidR="00C64050">
        <w:t xml:space="preserve"> </w:t>
      </w:r>
      <w:r w:rsidRPr="00B92A88">
        <w:t>estimated</w:t>
      </w:r>
      <w:r w:rsidR="00C64050">
        <w:t xml:space="preserve"> </w:t>
      </w:r>
      <w:r w:rsidRPr="00B92A88">
        <w:t>in</w:t>
      </w:r>
      <w:r w:rsidR="00C64050">
        <w:t xml:space="preserve"> </w:t>
      </w:r>
      <w:r w:rsidRPr="00B92A88">
        <w:t>the</w:t>
      </w:r>
      <w:r w:rsidR="00C64050">
        <w:t xml:space="preserve"> </w:t>
      </w:r>
      <w:r w:rsidRPr="00B92A88">
        <w:t>Mitchell</w:t>
      </w:r>
      <w:r w:rsidR="00C64050">
        <w:t xml:space="preserve"> </w:t>
      </w:r>
      <w:r w:rsidRPr="00B92A88">
        <w:t>reports.</w:t>
      </w:r>
      <w:r w:rsidR="00C64050">
        <w:t xml:space="preserve"> </w:t>
      </w:r>
      <w:r w:rsidRPr="00B92A88">
        <w:t>If</w:t>
      </w:r>
      <w:r w:rsidR="00C64050">
        <w:t xml:space="preserve"> </w:t>
      </w:r>
      <w:r w:rsidRPr="00B92A88">
        <w:t>the</w:t>
      </w:r>
      <w:r w:rsidR="00C64050">
        <w:t xml:space="preserve"> </w:t>
      </w:r>
      <w:r w:rsidRPr="00B92A88">
        <w:t>class</w:t>
      </w:r>
      <w:r w:rsidR="00C64050">
        <w:t xml:space="preserve"> </w:t>
      </w:r>
      <w:r w:rsidRPr="00B92A88">
        <w:t>B</w:t>
      </w:r>
      <w:r w:rsidR="00C64050">
        <w:t xml:space="preserve"> </w:t>
      </w:r>
      <w:r w:rsidRPr="00B92A88">
        <w:t>units</w:t>
      </w:r>
      <w:r w:rsidR="00C64050">
        <w:t xml:space="preserve"> </w:t>
      </w:r>
      <w:r w:rsidRPr="00B92A88">
        <w:t>were</w:t>
      </w:r>
      <w:r w:rsidR="00C64050">
        <w:t xml:space="preserve"> </w:t>
      </w:r>
      <w:r w:rsidRPr="00B92A88">
        <w:t>ever</w:t>
      </w:r>
      <w:r w:rsidR="00C64050">
        <w:t xml:space="preserve"> </w:t>
      </w:r>
      <w:r w:rsidRPr="00B92A88">
        <w:t>sold</w:t>
      </w:r>
      <w:r w:rsidR="00C64050">
        <w:t xml:space="preserve"> </w:t>
      </w:r>
      <w:r w:rsidRPr="00B92A88">
        <w:t>outside</w:t>
      </w:r>
      <w:r w:rsidR="00C64050">
        <w:t xml:space="preserve"> </w:t>
      </w:r>
      <w:r w:rsidRPr="00B92A88">
        <w:t>the</w:t>
      </w:r>
      <w:r w:rsidR="00C64050">
        <w:t xml:space="preserve"> </w:t>
      </w:r>
      <w:r w:rsidRPr="00B92A88">
        <w:t>family,</w:t>
      </w:r>
      <w:r w:rsidR="00C64050">
        <w:t xml:space="preserve"> </w:t>
      </w:r>
      <w:r w:rsidRPr="00B92A88">
        <w:t>Margaret</w:t>
      </w:r>
      <w:r w:rsidR="00C64050">
        <w:t xml:space="preserve"> </w:t>
      </w:r>
      <w:r w:rsidRPr="00B92A88">
        <w:t>explained</w:t>
      </w:r>
      <w:r w:rsidR="00C64050">
        <w:t xml:space="preserve"> </w:t>
      </w:r>
      <w:r w:rsidRPr="00B92A88">
        <w:t>that</w:t>
      </w:r>
      <w:r w:rsidR="00C64050">
        <w:t xml:space="preserve"> </w:t>
      </w:r>
      <w:r w:rsidRPr="00B92A88">
        <w:t>she</w:t>
      </w:r>
      <w:r w:rsidR="00C64050">
        <w:t xml:space="preserve"> </w:t>
      </w:r>
      <w:r w:rsidRPr="00B92A88">
        <w:t>would</w:t>
      </w:r>
      <w:r w:rsidR="00C64050">
        <w:t xml:space="preserve"> </w:t>
      </w:r>
      <w:r w:rsidRPr="00B92A88">
        <w:t>require</w:t>
      </w:r>
      <w:r w:rsidR="00C64050">
        <w:t xml:space="preserve"> </w:t>
      </w:r>
      <w:r w:rsidRPr="00B92A88">
        <w:t>that</w:t>
      </w:r>
      <w:r w:rsidR="00C64050">
        <w:t xml:space="preserve"> </w:t>
      </w:r>
      <w:r w:rsidRPr="00B92A88">
        <w:t>she</w:t>
      </w:r>
      <w:r w:rsidR="00C64050">
        <w:t xml:space="preserve"> </w:t>
      </w:r>
      <w:r w:rsidRPr="00B92A88">
        <w:t>be</w:t>
      </w:r>
      <w:r w:rsidR="00C64050">
        <w:t xml:space="preserve"> </w:t>
      </w:r>
      <w:r w:rsidRPr="00B92A88">
        <w:t>paid</w:t>
      </w:r>
      <w:r w:rsidR="00C64050">
        <w:t xml:space="preserve"> </w:t>
      </w:r>
      <w:r w:rsidRPr="00B92A88">
        <w:t>a</w:t>
      </w:r>
      <w:r w:rsidR="00C64050">
        <w:t xml:space="preserve"> </w:t>
      </w:r>
      <w:r w:rsidRPr="00B92A88">
        <w:t>management</w:t>
      </w:r>
      <w:r w:rsidR="00C64050">
        <w:t xml:space="preserve"> </w:t>
      </w:r>
      <w:r w:rsidRPr="00B92A88">
        <w:t>fee.</w:t>
      </w:r>
      <w:r w:rsidR="00C64050">
        <w:t xml:space="preserve"> </w:t>
      </w:r>
    </w:p>
    <w:p w:rsidR="00B92A88" w:rsidRDefault="00B92A88" w:rsidP="00B92A88">
      <w:pPr>
        <w:pStyle w:val="QS10"/>
      </w:pPr>
      <w:r w:rsidRPr="00B92A88">
        <w:t>We</w:t>
      </w:r>
      <w:r w:rsidR="00C64050">
        <w:t xml:space="preserve"> </w:t>
      </w:r>
      <w:r w:rsidRPr="00B92A88">
        <w:t>are</w:t>
      </w:r>
      <w:r w:rsidR="00C64050">
        <w:t xml:space="preserve"> </w:t>
      </w:r>
      <w:r w:rsidRPr="00B92A88">
        <w:t>looking</w:t>
      </w:r>
      <w:r w:rsidR="00C64050">
        <w:t xml:space="preserve"> </w:t>
      </w:r>
      <w:r w:rsidRPr="00B92A88">
        <w:t>at</w:t>
      </w:r>
      <w:r w:rsidR="00C64050">
        <w:t xml:space="preserve"> </w:t>
      </w:r>
      <w:r w:rsidRPr="00B92A88">
        <w:t>the</w:t>
      </w:r>
      <w:r w:rsidR="00C64050">
        <w:t xml:space="preserve"> </w:t>
      </w:r>
      <w:r w:rsidRPr="00B92A88">
        <w:t>value</w:t>
      </w:r>
      <w:r w:rsidR="00C64050">
        <w:t xml:space="preserve"> </w:t>
      </w:r>
      <w:r w:rsidRPr="00B92A88">
        <w:t>of</w:t>
      </w:r>
      <w:r w:rsidR="00C64050">
        <w:t xml:space="preserve"> </w:t>
      </w:r>
      <w:r w:rsidRPr="00B92A88">
        <w:t>the</w:t>
      </w:r>
      <w:r w:rsidR="00C64050">
        <w:t xml:space="preserve"> </w:t>
      </w:r>
      <w:r w:rsidRPr="00B92A88">
        <w:t>class</w:t>
      </w:r>
      <w:r w:rsidR="00C64050">
        <w:t xml:space="preserve"> </w:t>
      </w:r>
      <w:r w:rsidRPr="00B92A88">
        <w:t>B</w:t>
      </w:r>
      <w:r w:rsidR="00C64050">
        <w:t xml:space="preserve"> </w:t>
      </w:r>
      <w:r w:rsidRPr="00B92A88">
        <w:t>units</w:t>
      </w:r>
      <w:r w:rsidR="00C64050">
        <w:t xml:space="preserve"> </w:t>
      </w:r>
      <w:r w:rsidRPr="00B92A88">
        <w:t>on</w:t>
      </w:r>
      <w:r w:rsidR="00C64050">
        <w:t xml:space="preserve"> </w:t>
      </w:r>
      <w:r w:rsidRPr="00B92A88">
        <w:t>the</w:t>
      </w:r>
      <w:r w:rsidR="00C64050">
        <w:t xml:space="preserve"> </w:t>
      </w:r>
      <w:r w:rsidRPr="00B92A88">
        <w:t>date</w:t>
      </w:r>
      <w:r w:rsidR="00C64050">
        <w:t xml:space="preserve"> </w:t>
      </w:r>
      <w:r w:rsidRPr="00B92A88">
        <w:t>of</w:t>
      </w:r>
      <w:r w:rsidR="00C64050">
        <w:t xml:space="preserve"> </w:t>
      </w:r>
      <w:r w:rsidRPr="00B92A88">
        <w:t>the</w:t>
      </w:r>
      <w:r w:rsidR="00C64050">
        <w:t xml:space="preserve"> </w:t>
      </w:r>
      <w:r w:rsidRPr="00B92A88">
        <w:t>gifts</w:t>
      </w:r>
      <w:r w:rsidR="00C64050">
        <w:t xml:space="preserve"> </w:t>
      </w:r>
      <w:r w:rsidRPr="00B92A88">
        <w:t>and</w:t>
      </w:r>
      <w:r w:rsidR="00C64050">
        <w:t xml:space="preserve"> </w:t>
      </w:r>
      <w:r w:rsidRPr="00B92A88">
        <w:t>not</w:t>
      </w:r>
      <w:r w:rsidR="00C64050">
        <w:t xml:space="preserve"> </w:t>
      </w:r>
      <w:r w:rsidRPr="00B92A88">
        <w:t>the</w:t>
      </w:r>
      <w:r w:rsidR="00C64050">
        <w:t xml:space="preserve"> </w:t>
      </w:r>
      <w:r w:rsidRPr="00B92A88">
        <w:t>value</w:t>
      </w:r>
      <w:r w:rsidR="00C64050">
        <w:t xml:space="preserve"> </w:t>
      </w:r>
      <w:r w:rsidRPr="00B92A88">
        <w:t>of</w:t>
      </w:r>
      <w:r w:rsidR="00C64050">
        <w:t xml:space="preserve"> </w:t>
      </w:r>
      <w:r w:rsidRPr="00B92A88">
        <w:t>the</w:t>
      </w:r>
      <w:r w:rsidR="00C64050">
        <w:t xml:space="preserve"> </w:t>
      </w:r>
      <w:r w:rsidRPr="00B92A88">
        <w:t>class</w:t>
      </w:r>
      <w:r w:rsidR="00C64050">
        <w:t xml:space="preserve"> </w:t>
      </w:r>
      <w:r w:rsidRPr="00B92A88">
        <w:t>B</w:t>
      </w:r>
      <w:r w:rsidR="00C64050">
        <w:t xml:space="preserve"> </w:t>
      </w:r>
      <w:r w:rsidRPr="00B92A88">
        <w:t>units</w:t>
      </w:r>
      <w:r w:rsidR="00C64050">
        <w:t xml:space="preserve"> </w:t>
      </w:r>
      <w:r w:rsidRPr="00B92A88">
        <w:t>on</w:t>
      </w:r>
      <w:r w:rsidR="00C64050">
        <w:t xml:space="preserve"> </w:t>
      </w:r>
      <w:r w:rsidRPr="00B92A88">
        <w:t>the</w:t>
      </w:r>
      <w:r w:rsidR="00C64050">
        <w:t xml:space="preserve"> </w:t>
      </w:r>
      <w:r w:rsidRPr="00B92A88">
        <w:t>basis</w:t>
      </w:r>
      <w:r w:rsidR="00C64050">
        <w:t xml:space="preserve"> </w:t>
      </w:r>
      <w:r w:rsidRPr="00B92A88">
        <w:t>of</w:t>
      </w:r>
      <w:r w:rsidR="00C64050">
        <w:t xml:space="preserve"> </w:t>
      </w:r>
      <w:r w:rsidRPr="00B92A88">
        <w:t>subsequent</w:t>
      </w:r>
      <w:r w:rsidR="00C64050">
        <w:t xml:space="preserve"> </w:t>
      </w:r>
      <w:r w:rsidRPr="00B92A88">
        <w:t>events</w:t>
      </w:r>
      <w:r w:rsidR="00C64050">
        <w:t xml:space="preserve"> </w:t>
      </w:r>
      <w:r w:rsidRPr="00B92A88">
        <w:t>that,</w:t>
      </w:r>
      <w:r w:rsidR="00C64050">
        <w:t xml:space="preserve"> </w:t>
      </w:r>
      <w:r w:rsidRPr="00B92A88">
        <w:t>while</w:t>
      </w:r>
      <w:r w:rsidR="00C64050">
        <w:t xml:space="preserve"> </w:t>
      </w:r>
      <w:r w:rsidRPr="00B92A88">
        <w:t>within</w:t>
      </w:r>
      <w:r w:rsidR="00C64050">
        <w:t xml:space="preserve"> </w:t>
      </w:r>
      <w:r w:rsidRPr="00B92A88">
        <w:t>the</w:t>
      </w:r>
      <w:r w:rsidR="00C64050">
        <w:t xml:space="preserve"> </w:t>
      </w:r>
      <w:r w:rsidRPr="00B92A88">
        <w:t>realm</w:t>
      </w:r>
      <w:r w:rsidR="00C64050">
        <w:t xml:space="preserve"> </w:t>
      </w:r>
      <w:r w:rsidRPr="00B92A88">
        <w:t>of</w:t>
      </w:r>
      <w:r w:rsidR="00C64050">
        <w:t xml:space="preserve"> </w:t>
      </w:r>
      <w:r w:rsidRPr="00B92A88">
        <w:t>possibilities,</w:t>
      </w:r>
      <w:r w:rsidR="00C64050">
        <w:t xml:space="preserve"> </w:t>
      </w:r>
      <w:r w:rsidRPr="00B92A88">
        <w:t>are</w:t>
      </w:r>
      <w:r w:rsidR="00C64050">
        <w:t xml:space="preserve"> </w:t>
      </w:r>
      <w:r w:rsidRPr="00B92A88">
        <w:t>not</w:t>
      </w:r>
      <w:r w:rsidR="00C64050">
        <w:t xml:space="preserve"> </w:t>
      </w:r>
      <w:r w:rsidRPr="00B92A88">
        <w:t>reasonably</w:t>
      </w:r>
      <w:r w:rsidR="00C64050">
        <w:t xml:space="preserve"> </w:t>
      </w:r>
      <w:r w:rsidRPr="00B92A88">
        <w:t>probable,</w:t>
      </w:r>
      <w:r w:rsidR="00C64050">
        <w:t xml:space="preserve"> </w:t>
      </w:r>
      <w:r w:rsidRPr="00B92A88">
        <w:t>nor</w:t>
      </w:r>
      <w:r w:rsidR="00C64050">
        <w:t xml:space="preserve"> </w:t>
      </w:r>
      <w:r w:rsidRPr="00B92A88">
        <w:t>the</w:t>
      </w:r>
      <w:r w:rsidR="00C64050">
        <w:t xml:space="preserve"> </w:t>
      </w:r>
      <w:r w:rsidRPr="00B92A88">
        <w:t>value</w:t>
      </w:r>
      <w:r w:rsidR="00C64050">
        <w:t xml:space="preserve"> </w:t>
      </w:r>
      <w:r w:rsidRPr="00B92A88">
        <w:t>of</w:t>
      </w:r>
      <w:r w:rsidR="00C64050">
        <w:t xml:space="preserve"> </w:t>
      </w:r>
      <w:r w:rsidRPr="00B92A88">
        <w:t>the</w:t>
      </w:r>
      <w:r w:rsidR="00C64050">
        <w:t xml:space="preserve"> </w:t>
      </w:r>
      <w:r w:rsidRPr="00B92A88">
        <w:t>class</w:t>
      </w:r>
      <w:r w:rsidR="00C64050">
        <w:t xml:space="preserve"> </w:t>
      </w:r>
      <w:r w:rsidRPr="00B92A88">
        <w:t>A</w:t>
      </w:r>
      <w:r w:rsidR="00C64050">
        <w:t xml:space="preserve"> </w:t>
      </w:r>
      <w:r w:rsidRPr="00B92A88">
        <w:t>units.</w:t>
      </w:r>
      <w:r w:rsidR="00C64050">
        <w:t xml:space="preserve"> </w:t>
      </w:r>
      <w:r w:rsidRPr="00B92A88">
        <w:rPr>
          <w:u w:val="single"/>
        </w:rPr>
        <w:t>See</w:t>
      </w:r>
      <w:r w:rsidR="00C64050">
        <w:rPr>
          <w:u w:val="single"/>
        </w:rPr>
        <w:t xml:space="preserve"> </w:t>
      </w:r>
      <w:r w:rsidRPr="00B92A88">
        <w:rPr>
          <w:u w:val="single"/>
        </w:rPr>
        <w:t>id</w:t>
      </w:r>
      <w:r w:rsidRPr="00B92A88">
        <w:t>.</w:t>
      </w:r>
      <w:r w:rsidR="00C64050">
        <w:t xml:space="preserve"> </w:t>
      </w:r>
      <w:r w:rsidRPr="00B92A88">
        <w:t>In</w:t>
      </w:r>
      <w:r w:rsidR="00C64050">
        <w:t xml:space="preserve"> </w:t>
      </w:r>
      <w:r w:rsidRPr="00B92A88">
        <w:rPr>
          <w:u w:val="single"/>
        </w:rPr>
        <w:t>Succession</w:t>
      </w:r>
      <w:r w:rsidR="00C64050">
        <w:rPr>
          <w:u w:val="single"/>
        </w:rPr>
        <w:t xml:space="preserve"> </w:t>
      </w:r>
      <w:r w:rsidRPr="00B92A88">
        <w:rPr>
          <w:u w:val="single"/>
        </w:rPr>
        <w:t>of</w:t>
      </w:r>
      <w:r w:rsidR="00C64050">
        <w:rPr>
          <w:u w:val="single"/>
        </w:rPr>
        <w:t xml:space="preserve"> </w:t>
      </w:r>
      <w:r w:rsidRPr="00B92A88">
        <w:rPr>
          <w:u w:val="single"/>
        </w:rPr>
        <w:t>McCord</w:t>
      </w:r>
      <w:r w:rsidR="00C64050">
        <w:rPr>
          <w:u w:val="single"/>
        </w:rPr>
        <w:t xml:space="preserve"> </w:t>
      </w:r>
      <w:r w:rsidRPr="00B92A88">
        <w:rPr>
          <w:u w:val="single"/>
        </w:rPr>
        <w:t>v.</w:t>
      </w:r>
      <w:r w:rsidR="00C64050">
        <w:rPr>
          <w:u w:val="single"/>
        </w:rPr>
        <w:t xml:space="preserve"> </w:t>
      </w:r>
      <w:r w:rsidRPr="00B92A88">
        <w:rPr>
          <w:u w:val="single"/>
        </w:rPr>
        <w:t>Commissi</w:t>
      </w:r>
      <w:r w:rsidRPr="00B92A88">
        <w:t>oner,</w:t>
      </w:r>
      <w:r w:rsidR="00C64050">
        <w:t xml:space="preserve"> </w:t>
      </w:r>
      <w:r w:rsidRPr="00B92A88">
        <w:t>461</w:t>
      </w:r>
      <w:r w:rsidR="00C64050">
        <w:t xml:space="preserve"> </w:t>
      </w:r>
      <w:r w:rsidRPr="00B92A88">
        <w:t>F.3d</w:t>
      </w:r>
      <w:r w:rsidR="00C64050">
        <w:t xml:space="preserve"> </w:t>
      </w:r>
      <w:r w:rsidRPr="00B92A88">
        <w:t>614,</w:t>
      </w:r>
      <w:r w:rsidR="00C64050">
        <w:t xml:space="preserve"> </w:t>
      </w:r>
      <w:r w:rsidRPr="00B92A88">
        <w:t>629</w:t>
      </w:r>
      <w:r w:rsidR="00C64050">
        <w:t xml:space="preserve"> </w:t>
      </w:r>
      <w:r w:rsidRPr="00B92A88">
        <w:t>(5th</w:t>
      </w:r>
      <w:r w:rsidR="00C64050">
        <w:t xml:space="preserve"> </w:t>
      </w:r>
      <w:r w:rsidRPr="00B92A88">
        <w:t>Cir.</w:t>
      </w:r>
      <w:r w:rsidR="00C64050">
        <w:t xml:space="preserve"> </w:t>
      </w:r>
      <w:r w:rsidRPr="00B92A88">
        <w:t>2006),</w:t>
      </w:r>
      <w:r w:rsidR="00C64050">
        <w:t xml:space="preserve"> </w:t>
      </w:r>
      <w:r w:rsidRPr="00B92A88">
        <w:rPr>
          <w:u w:val="single"/>
        </w:rPr>
        <w:t>rev’g</w:t>
      </w:r>
      <w:r w:rsidR="00C64050">
        <w:rPr>
          <w:u w:val="single"/>
        </w:rPr>
        <w:t xml:space="preserve"> </w:t>
      </w:r>
      <w:r w:rsidRPr="00B92A88">
        <w:rPr>
          <w:u w:val="single"/>
        </w:rPr>
        <w:t>and</w:t>
      </w:r>
      <w:r w:rsidR="00C64050">
        <w:rPr>
          <w:u w:val="single"/>
        </w:rPr>
        <w:t xml:space="preserve"> </w:t>
      </w:r>
      <w:r w:rsidRPr="00B92A88">
        <w:rPr>
          <w:u w:val="single"/>
        </w:rPr>
        <w:t>remanding</w:t>
      </w:r>
      <w:r w:rsidR="00C64050">
        <w:rPr>
          <w:u w:val="single"/>
        </w:rPr>
        <w:t xml:space="preserve"> </w:t>
      </w:r>
      <w:r w:rsidRPr="00B92A88">
        <w:rPr>
          <w:u w:val="single"/>
        </w:rPr>
        <w:t>McCord</w:t>
      </w:r>
      <w:r w:rsidR="00C64050">
        <w:rPr>
          <w:u w:val="single"/>
        </w:rPr>
        <w:t xml:space="preserve"> </w:t>
      </w:r>
      <w:r w:rsidRPr="00B92A88">
        <w:rPr>
          <w:u w:val="single"/>
        </w:rPr>
        <w:t>v.</w:t>
      </w:r>
      <w:r w:rsidR="00C64050">
        <w:rPr>
          <w:u w:val="single"/>
        </w:rPr>
        <w:t xml:space="preserve"> </w:t>
      </w:r>
      <w:r w:rsidRPr="00B92A88">
        <w:rPr>
          <w:u w:val="single"/>
        </w:rPr>
        <w:t>Commissioner</w:t>
      </w:r>
      <w:r w:rsidRPr="00B92A88">
        <w:t>,</w:t>
      </w:r>
      <w:r w:rsidR="00C64050">
        <w:t xml:space="preserve"> </w:t>
      </w:r>
      <w:r w:rsidRPr="00B92A88">
        <w:t>120</w:t>
      </w:r>
      <w:r w:rsidR="00C64050">
        <w:t xml:space="preserve"> </w:t>
      </w:r>
      <w:r w:rsidRPr="00B92A88">
        <w:t>T.C.</w:t>
      </w:r>
      <w:r w:rsidR="00C64050">
        <w:t xml:space="preserve"> </w:t>
      </w:r>
      <w:r w:rsidRPr="00B92A88">
        <w:t>358</w:t>
      </w:r>
      <w:r w:rsidR="00C64050">
        <w:t xml:space="preserve"> </w:t>
      </w:r>
      <w:r w:rsidRPr="00B92A88">
        <w:t>(2003),</w:t>
      </w:r>
      <w:r w:rsidR="00C64050">
        <w:t xml:space="preserve"> </w:t>
      </w:r>
      <w:r w:rsidRPr="00B92A88">
        <w:t>the</w:t>
      </w:r>
      <w:r w:rsidR="00C64050">
        <w:t xml:space="preserve"> </w:t>
      </w:r>
      <w:r w:rsidRPr="00B92A88">
        <w:t>Court</w:t>
      </w:r>
      <w:r w:rsidR="00C64050">
        <w:t xml:space="preserve"> </w:t>
      </w:r>
      <w:r w:rsidRPr="00B92A88">
        <w:t>of</w:t>
      </w:r>
      <w:r w:rsidR="00C64050">
        <w:t xml:space="preserve"> </w:t>
      </w:r>
      <w:r w:rsidRPr="00B92A88">
        <w:t>Appeals</w:t>
      </w:r>
      <w:r w:rsidR="00C64050">
        <w:t xml:space="preserve"> </w:t>
      </w:r>
      <w:r w:rsidRPr="00B92A88">
        <w:t>for</w:t>
      </w:r>
      <w:r w:rsidR="00C64050">
        <w:t xml:space="preserve"> </w:t>
      </w:r>
      <w:r w:rsidRPr="00B92A88">
        <w:t>the</w:t>
      </w:r>
      <w:r w:rsidR="00C64050">
        <w:t xml:space="preserve"> </w:t>
      </w:r>
      <w:r w:rsidRPr="00B92A88">
        <w:t>Fifth</w:t>
      </w:r>
      <w:r w:rsidR="00C64050">
        <w:t xml:space="preserve"> </w:t>
      </w:r>
      <w:r w:rsidRPr="00B92A88">
        <w:t>Circuit</w:t>
      </w:r>
      <w:r w:rsidR="00C64050">
        <w:t xml:space="preserve"> </w:t>
      </w:r>
      <w:r w:rsidRPr="00B92A88">
        <w:t>reasoned</w:t>
      </w:r>
      <w:r w:rsidR="00C64050">
        <w:t xml:space="preserve"> </w:t>
      </w:r>
      <w:r w:rsidRPr="00B92A88">
        <w:t>that</w:t>
      </w:r>
      <w:r w:rsidR="00C64050">
        <w:t xml:space="preserve"> </w:t>
      </w:r>
      <w:r w:rsidRPr="00B92A88">
        <w:t>there</w:t>
      </w:r>
      <w:r w:rsidR="00C64050">
        <w:t xml:space="preserve"> </w:t>
      </w:r>
      <w:r w:rsidRPr="00B92A88">
        <w:t>are</w:t>
      </w:r>
      <w:r w:rsidR="00C64050">
        <w:t xml:space="preserve"> </w:t>
      </w:r>
      <w:r w:rsidRPr="00B92A88">
        <w:t>three</w:t>
      </w:r>
      <w:r w:rsidR="00C64050">
        <w:t xml:space="preserve"> </w:t>
      </w:r>
      <w:r w:rsidRPr="00B92A88">
        <w:t>types</w:t>
      </w:r>
      <w:r w:rsidR="00C64050">
        <w:t xml:space="preserve"> </w:t>
      </w:r>
      <w:r w:rsidRPr="00B92A88">
        <w:t>of</w:t>
      </w:r>
      <w:r w:rsidR="00C64050">
        <w:t xml:space="preserve"> </w:t>
      </w:r>
      <w:r w:rsidRPr="00B92A88">
        <w:t>conditions</w:t>
      </w:r>
      <w:r w:rsidR="00C64050">
        <w:t xml:space="preserve"> </w:t>
      </w:r>
      <w:r w:rsidRPr="00B92A88">
        <w:t>along</w:t>
      </w:r>
      <w:r w:rsidR="00C64050">
        <w:t xml:space="preserve"> </w:t>
      </w:r>
      <w:r w:rsidRPr="00B92A88">
        <w:t>the</w:t>
      </w:r>
      <w:r w:rsidR="00C64050">
        <w:t xml:space="preserve"> </w:t>
      </w:r>
      <w:r w:rsidRPr="00B92A88">
        <w:t>“speculative”</w:t>
      </w:r>
      <w:r w:rsidR="00C64050">
        <w:t xml:space="preserve"> </w:t>
      </w:r>
      <w:r w:rsidRPr="00B92A88">
        <w:t>continuum:</w:t>
      </w:r>
      <w:r w:rsidR="00C64050">
        <w:t xml:space="preserve"> </w:t>
      </w:r>
      <w:r w:rsidRPr="00B92A88">
        <w:t>(1)</w:t>
      </w:r>
      <w:r w:rsidR="00C64050">
        <w:t xml:space="preserve"> </w:t>
      </w:r>
      <w:r w:rsidRPr="00B92A88">
        <w:t>a</w:t>
      </w:r>
      <w:r w:rsidR="00C64050">
        <w:t xml:space="preserve"> </w:t>
      </w:r>
      <w:r w:rsidRPr="00B92A88">
        <w:t>future</w:t>
      </w:r>
      <w:r w:rsidR="00C64050">
        <w:t xml:space="preserve"> </w:t>
      </w:r>
      <w:r w:rsidRPr="00B92A88">
        <w:t>event</w:t>
      </w:r>
      <w:r w:rsidR="00C64050">
        <w:t xml:space="preserve"> </w:t>
      </w:r>
      <w:r w:rsidRPr="00B92A88">
        <w:t>that</w:t>
      </w:r>
      <w:r w:rsidR="00C64050">
        <w:t xml:space="preserve"> </w:t>
      </w:r>
      <w:r w:rsidRPr="00B92A88">
        <w:t>is</w:t>
      </w:r>
      <w:r w:rsidR="00C64050">
        <w:t xml:space="preserve"> </w:t>
      </w:r>
      <w:r w:rsidRPr="00B92A88">
        <w:t>absolutely</w:t>
      </w:r>
      <w:r w:rsidR="00C64050">
        <w:t xml:space="preserve"> </w:t>
      </w:r>
      <w:r w:rsidRPr="00B92A88">
        <w:t>certain</w:t>
      </w:r>
      <w:r w:rsidR="00C64050">
        <w:t xml:space="preserve"> </w:t>
      </w:r>
      <w:r w:rsidRPr="00B92A88">
        <w:t>to</w:t>
      </w:r>
      <w:r w:rsidR="00C64050">
        <w:t xml:space="preserve"> </w:t>
      </w:r>
      <w:r w:rsidRPr="00B92A88">
        <w:t>occur;</w:t>
      </w:r>
      <w:r w:rsidR="00C64050">
        <w:t xml:space="preserve"> </w:t>
      </w:r>
      <w:r w:rsidRPr="00B92A88">
        <w:t>(2)</w:t>
      </w:r>
      <w:r w:rsidR="00C64050">
        <w:t xml:space="preserve"> </w:t>
      </w:r>
      <w:r w:rsidRPr="00B92A88">
        <w:t>a</w:t>
      </w:r>
      <w:r w:rsidR="00C64050">
        <w:t xml:space="preserve"> </w:t>
      </w:r>
      <w:r w:rsidRPr="00B92A88">
        <w:t>future</w:t>
      </w:r>
      <w:r w:rsidR="00C64050">
        <w:t xml:space="preserve"> </w:t>
      </w:r>
      <w:r w:rsidRPr="00B92A88">
        <w:t>event</w:t>
      </w:r>
      <w:r w:rsidR="00C64050">
        <w:t xml:space="preserve"> </w:t>
      </w:r>
      <w:r w:rsidRPr="00B92A88">
        <w:t>“that</w:t>
      </w:r>
      <w:r w:rsidR="00C64050">
        <w:t xml:space="preserve"> </w:t>
      </w:r>
      <w:r w:rsidRPr="00B92A88">
        <w:t>is</w:t>
      </w:r>
      <w:r w:rsidR="00C64050">
        <w:t xml:space="preserve"> </w:t>
      </w:r>
      <w:r w:rsidRPr="00B92A88">
        <w:t>not</w:t>
      </w:r>
      <w:r w:rsidR="00C64050">
        <w:t xml:space="preserve"> </w:t>
      </w:r>
      <w:r w:rsidRPr="00B92A88">
        <w:t>absolutely</w:t>
      </w:r>
      <w:r w:rsidR="00C64050">
        <w:t xml:space="preserve"> </w:t>
      </w:r>
      <w:r w:rsidRPr="00B92A88">
        <w:t>certain</w:t>
      </w:r>
      <w:r w:rsidR="00C64050">
        <w:t xml:space="preserve"> </w:t>
      </w:r>
      <w:r w:rsidRPr="00B92A88">
        <w:t>to</w:t>
      </w:r>
      <w:r w:rsidR="00C64050">
        <w:t xml:space="preserve"> </w:t>
      </w:r>
      <w:r w:rsidRPr="00B92A88">
        <w:t>occur,</w:t>
      </w:r>
      <w:r w:rsidR="00C64050">
        <w:t xml:space="preserve"> </w:t>
      </w:r>
      <w:r w:rsidRPr="00B92A88">
        <w:t>but</w:t>
      </w:r>
      <w:r w:rsidR="00C64050">
        <w:t xml:space="preserve"> </w:t>
      </w:r>
      <w:r w:rsidRPr="00B92A88">
        <w:t>nevertheless</w:t>
      </w:r>
      <w:r w:rsidR="00C64050">
        <w:t xml:space="preserve"> </w:t>
      </w:r>
      <w:r w:rsidRPr="00B92A88">
        <w:t>may</w:t>
      </w:r>
      <w:r w:rsidR="00C64050">
        <w:t xml:space="preserve"> </w:t>
      </w:r>
      <w:r w:rsidRPr="00B92A88">
        <w:t>be</w:t>
      </w:r>
      <w:r w:rsidR="00C64050">
        <w:t xml:space="preserve"> </w:t>
      </w:r>
      <w:r w:rsidRPr="00B92A88">
        <w:t>a</w:t>
      </w:r>
      <w:r w:rsidR="00C64050">
        <w:t xml:space="preserve"> </w:t>
      </w:r>
      <w:r w:rsidRPr="00B92A88">
        <w:t>‘more</w:t>
      </w:r>
      <w:r w:rsidR="00C64050">
        <w:t xml:space="preserve"> </w:t>
      </w:r>
      <w:r w:rsidRPr="00B92A88">
        <w:t>.</w:t>
      </w:r>
      <w:r w:rsidR="00C64050">
        <w:t xml:space="preserve"> </w:t>
      </w:r>
      <w:r w:rsidRPr="00B92A88">
        <w:t>.</w:t>
      </w:r>
      <w:r w:rsidR="00C64050">
        <w:t xml:space="preserve"> </w:t>
      </w:r>
      <w:r w:rsidRPr="00B92A88">
        <w:t>.</w:t>
      </w:r>
      <w:r w:rsidR="00C64050">
        <w:t xml:space="preserve"> </w:t>
      </w:r>
      <w:r w:rsidRPr="00B92A88">
        <w:t>certain</w:t>
      </w:r>
      <w:r w:rsidR="00C64050">
        <w:t xml:space="preserve"> </w:t>
      </w:r>
      <w:r w:rsidRPr="00B92A88">
        <w:t>prophec[y]’”;</w:t>
      </w:r>
      <w:r w:rsidR="00C64050">
        <w:t xml:space="preserve"> </w:t>
      </w:r>
      <w:r w:rsidRPr="00B92A88">
        <w:t>and</w:t>
      </w:r>
      <w:r w:rsidR="00C64050">
        <w:t xml:space="preserve"> </w:t>
      </w:r>
      <w:r w:rsidRPr="00B92A88">
        <w:t>(3)</w:t>
      </w:r>
      <w:r w:rsidR="00C64050">
        <w:t xml:space="preserve"> </w:t>
      </w:r>
      <w:r w:rsidRPr="00B92A88">
        <w:t>“a</w:t>
      </w:r>
      <w:r w:rsidR="00C64050">
        <w:t xml:space="preserve"> </w:t>
      </w:r>
      <w:r w:rsidRPr="00B92A88">
        <w:t>possible,</w:t>
      </w:r>
      <w:r w:rsidR="00C64050">
        <w:t xml:space="preserve"> </w:t>
      </w:r>
      <w:r w:rsidRPr="00B92A88">
        <w:t>but</w:t>
      </w:r>
      <w:r w:rsidR="00C64050">
        <w:t xml:space="preserve"> </w:t>
      </w:r>
      <w:r w:rsidRPr="00B92A88">
        <w:t>low-odds,</w:t>
      </w:r>
      <w:r w:rsidR="00C64050">
        <w:t xml:space="preserve"> </w:t>
      </w:r>
      <w:r w:rsidRPr="00B92A88">
        <w:t>future</w:t>
      </w:r>
      <w:r w:rsidR="00C64050">
        <w:t xml:space="preserve"> </w:t>
      </w:r>
      <w:r w:rsidRPr="00B92A88">
        <w:t>event”</w:t>
      </w:r>
      <w:r w:rsidR="00C64050">
        <w:t xml:space="preserve"> </w:t>
      </w:r>
      <w:r w:rsidRPr="00B92A88">
        <w:t>which</w:t>
      </w:r>
      <w:r w:rsidR="00C64050">
        <w:t xml:space="preserve"> </w:t>
      </w:r>
      <w:r w:rsidRPr="00B92A88">
        <w:t>is</w:t>
      </w:r>
      <w:r w:rsidR="00C64050">
        <w:t xml:space="preserve"> </w:t>
      </w:r>
      <w:r w:rsidRPr="00B92A88">
        <w:t>“undeniably</w:t>
      </w:r>
      <w:r w:rsidR="00C64050">
        <w:t xml:space="preserve"> </w:t>
      </w:r>
      <w:r w:rsidRPr="00B92A88">
        <w:t>a</w:t>
      </w:r>
      <w:r w:rsidR="00C64050">
        <w:t xml:space="preserve"> </w:t>
      </w:r>
      <w:r w:rsidRPr="00B92A88">
        <w:t>‘less</w:t>
      </w:r>
      <w:r w:rsidR="00C64050">
        <w:t xml:space="preserve"> </w:t>
      </w:r>
      <w:r w:rsidRPr="00B92A88">
        <w:t>.</w:t>
      </w:r>
      <w:r w:rsidR="00C64050">
        <w:t xml:space="preserve"> </w:t>
      </w:r>
      <w:r w:rsidRPr="00B92A88">
        <w:t>.</w:t>
      </w:r>
      <w:r w:rsidR="00C64050">
        <w:t xml:space="preserve"> </w:t>
      </w:r>
      <w:r w:rsidRPr="00B92A88">
        <w:t>.</w:t>
      </w:r>
      <w:r w:rsidR="00C64050">
        <w:t xml:space="preserve"> </w:t>
      </w:r>
      <w:r w:rsidRPr="00B92A88">
        <w:t>certain</w:t>
      </w:r>
      <w:r w:rsidR="00C64050">
        <w:t xml:space="preserve"> </w:t>
      </w:r>
      <w:r w:rsidRPr="00B92A88">
        <w:t>prophec[y]’”.</w:t>
      </w:r>
      <w:r w:rsidR="00C64050">
        <w:t xml:space="preserve"> </w:t>
      </w:r>
    </w:p>
    <w:p w:rsidR="00B92A88" w:rsidRPr="00B92A88" w:rsidRDefault="00B92A88" w:rsidP="00B92A88">
      <w:pPr>
        <w:pStyle w:val="QS10"/>
      </w:pPr>
      <w:r w:rsidRPr="00B92A88">
        <w:t>Mr.</w:t>
      </w:r>
      <w:r w:rsidR="00C64050">
        <w:t xml:space="preserve"> </w:t>
      </w:r>
      <w:r w:rsidRPr="00B92A88">
        <w:t>Mitchell’s</w:t>
      </w:r>
      <w:r w:rsidR="00C64050">
        <w:t xml:space="preserve"> </w:t>
      </w:r>
      <w:r w:rsidRPr="00B92A88">
        <w:t>valuations</w:t>
      </w:r>
      <w:r w:rsidR="00C64050">
        <w:t xml:space="preserve"> </w:t>
      </w:r>
      <w:r w:rsidRPr="00B92A88">
        <w:t>relied</w:t>
      </w:r>
      <w:r w:rsidR="00C64050">
        <w:t xml:space="preserve"> </w:t>
      </w:r>
      <w:r w:rsidRPr="00B92A88">
        <w:t>on</w:t>
      </w:r>
      <w:r w:rsidR="00C64050">
        <w:t xml:space="preserve"> </w:t>
      </w:r>
      <w:r w:rsidRPr="00B92A88">
        <w:t>an</w:t>
      </w:r>
      <w:r w:rsidR="00C64050">
        <w:t xml:space="preserve"> </w:t>
      </w:r>
      <w:r w:rsidRPr="00B92A88">
        <w:t>additional</w:t>
      </w:r>
      <w:r w:rsidR="00C64050">
        <w:t xml:space="preserve"> </w:t>
      </w:r>
      <w:r w:rsidRPr="00B92A88">
        <w:t>action.</w:t>
      </w:r>
      <w:r w:rsidR="00C64050">
        <w:t xml:space="preserve"> </w:t>
      </w:r>
      <w:r w:rsidRPr="00B92A88">
        <w:t>He</w:t>
      </w:r>
      <w:r w:rsidR="00C64050">
        <w:t xml:space="preserve"> </w:t>
      </w:r>
      <w:r w:rsidRPr="00B92A88">
        <w:t>concluded</w:t>
      </w:r>
      <w:r w:rsidR="00C64050">
        <w:t xml:space="preserve"> </w:t>
      </w:r>
      <w:r w:rsidRPr="00B92A88">
        <w:t>that</w:t>
      </w:r>
      <w:r w:rsidR="00C64050">
        <w:t xml:space="preserve"> </w:t>
      </w:r>
      <w:r w:rsidRPr="00B92A88">
        <w:t>to</w:t>
      </w:r>
      <w:r w:rsidR="00C64050">
        <w:t xml:space="preserve"> </w:t>
      </w:r>
      <w:r w:rsidRPr="00B92A88">
        <w:t>determine</w:t>
      </w:r>
      <w:r w:rsidR="00C64050">
        <w:t xml:space="preserve"> </w:t>
      </w:r>
      <w:r w:rsidRPr="00B92A88">
        <w:t>the</w:t>
      </w:r>
      <w:r w:rsidR="00C64050">
        <w:t xml:space="preserve"> </w:t>
      </w:r>
      <w:r w:rsidRPr="00B92A88">
        <w:t>value</w:t>
      </w:r>
      <w:r w:rsidR="00C64050">
        <w:t xml:space="preserve"> </w:t>
      </w:r>
      <w:r w:rsidRPr="00B92A88">
        <w:t>of</w:t>
      </w:r>
      <w:r w:rsidR="00C64050">
        <w:t xml:space="preserve"> </w:t>
      </w:r>
      <w:r w:rsidRPr="00B92A88">
        <w:t>what</w:t>
      </w:r>
      <w:r w:rsidR="00C64050">
        <w:t xml:space="preserve"> </w:t>
      </w:r>
      <w:r w:rsidRPr="00B92A88">
        <w:t>a</w:t>
      </w:r>
      <w:r w:rsidR="00C64050">
        <w:t xml:space="preserve"> </w:t>
      </w:r>
      <w:r w:rsidRPr="00B92A88">
        <w:t>willing</w:t>
      </w:r>
      <w:r w:rsidR="00C64050">
        <w:t xml:space="preserve"> </w:t>
      </w:r>
      <w:r w:rsidRPr="00B92A88">
        <w:t>buyer</w:t>
      </w:r>
      <w:r w:rsidR="00C64050">
        <w:t xml:space="preserve"> </w:t>
      </w:r>
      <w:r w:rsidRPr="00B92A88">
        <w:t>would</w:t>
      </w:r>
      <w:r w:rsidR="00C64050">
        <w:t xml:space="preserve"> </w:t>
      </w:r>
      <w:r w:rsidRPr="00B92A88">
        <w:t>pay</w:t>
      </w:r>
      <w:r w:rsidR="00C64050">
        <w:t xml:space="preserve"> </w:t>
      </w:r>
      <w:r w:rsidRPr="00B92A88">
        <w:t>and</w:t>
      </w:r>
      <w:r w:rsidR="00C64050">
        <w:t xml:space="preserve"> </w:t>
      </w:r>
      <w:r w:rsidRPr="00B92A88">
        <w:t>what</w:t>
      </w:r>
      <w:r w:rsidR="00C64050">
        <w:t xml:space="preserve"> </w:t>
      </w:r>
      <w:r w:rsidRPr="00B92A88">
        <w:t>a</w:t>
      </w:r>
      <w:r w:rsidR="00C64050">
        <w:t xml:space="preserve"> </w:t>
      </w:r>
      <w:r w:rsidRPr="00B92A88">
        <w:t>willing</w:t>
      </w:r>
      <w:r w:rsidR="00C64050">
        <w:t xml:space="preserve"> </w:t>
      </w:r>
      <w:r w:rsidRPr="00B92A88">
        <w:t>seller</w:t>
      </w:r>
      <w:r w:rsidR="00C64050">
        <w:t xml:space="preserve"> </w:t>
      </w:r>
      <w:r w:rsidRPr="00B92A88">
        <w:t>would</w:t>
      </w:r>
      <w:r w:rsidR="00C64050">
        <w:t xml:space="preserve"> </w:t>
      </w:r>
      <w:r w:rsidRPr="00B92A88">
        <w:t>seek</w:t>
      </w:r>
      <w:r w:rsidR="00C64050">
        <w:t xml:space="preserve"> </w:t>
      </w:r>
      <w:r w:rsidRPr="00B92A88">
        <w:t>for</w:t>
      </w:r>
      <w:r w:rsidR="00C64050">
        <w:t xml:space="preserve"> </w:t>
      </w:r>
      <w:r w:rsidRPr="00B92A88">
        <w:t>the</w:t>
      </w:r>
      <w:r w:rsidR="00C64050">
        <w:t xml:space="preserve"> </w:t>
      </w:r>
      <w:r w:rsidRPr="00B92A88">
        <w:t>class</w:t>
      </w:r>
      <w:r w:rsidR="00C64050">
        <w:t xml:space="preserve"> </w:t>
      </w:r>
      <w:r w:rsidRPr="00B92A88">
        <w:t>B</w:t>
      </w:r>
      <w:r w:rsidR="00C64050">
        <w:t xml:space="preserve"> </w:t>
      </w:r>
      <w:r w:rsidRPr="00B92A88">
        <w:t>units,</w:t>
      </w:r>
      <w:r w:rsidR="00C64050">
        <w:t xml:space="preserve"> </w:t>
      </w:r>
      <w:r w:rsidRPr="00B92A88">
        <w:t>a</w:t>
      </w:r>
      <w:r w:rsidR="00C64050">
        <w:t xml:space="preserve"> </w:t>
      </w:r>
      <w:r w:rsidRPr="00B92A88">
        <w:t>premium</w:t>
      </w:r>
      <w:r w:rsidR="00C64050">
        <w:t xml:space="preserve"> </w:t>
      </w:r>
      <w:r w:rsidRPr="00B92A88">
        <w:t>to</w:t>
      </w:r>
      <w:r w:rsidR="00C64050">
        <w:t xml:space="preserve"> </w:t>
      </w:r>
      <w:r w:rsidRPr="00B92A88">
        <w:t>purchase</w:t>
      </w:r>
      <w:r w:rsidR="00C64050">
        <w:t xml:space="preserve"> </w:t>
      </w:r>
      <w:r w:rsidRPr="00B92A88">
        <w:t>the</w:t>
      </w:r>
      <w:r w:rsidR="00C64050">
        <w:t xml:space="preserve"> </w:t>
      </w:r>
      <w:r w:rsidRPr="00B92A88">
        <w:t>class</w:t>
      </w:r>
      <w:r w:rsidR="00C64050">
        <w:t xml:space="preserve"> </w:t>
      </w:r>
      <w:r w:rsidRPr="00B92A88">
        <w:t>A</w:t>
      </w:r>
      <w:r w:rsidR="00C64050">
        <w:t xml:space="preserve"> </w:t>
      </w:r>
      <w:r w:rsidRPr="00B92A88">
        <w:t>units</w:t>
      </w:r>
      <w:r w:rsidR="00C64050">
        <w:t xml:space="preserve"> </w:t>
      </w:r>
      <w:r w:rsidRPr="00B92A88">
        <w:t>has</w:t>
      </w:r>
      <w:r w:rsidR="00C64050">
        <w:t xml:space="preserve"> </w:t>
      </w:r>
      <w:r w:rsidRPr="00B92A88">
        <w:t>to</w:t>
      </w:r>
      <w:r w:rsidR="00C64050">
        <w:t xml:space="preserve"> </w:t>
      </w:r>
      <w:r w:rsidRPr="00B92A88">
        <w:t>be</w:t>
      </w:r>
      <w:r w:rsidR="00C64050">
        <w:t xml:space="preserve"> </w:t>
      </w:r>
      <w:r w:rsidRPr="00B92A88">
        <w:t>taken</w:t>
      </w:r>
      <w:r w:rsidR="00C64050">
        <w:t xml:space="preserve"> </w:t>
      </w:r>
      <w:r w:rsidRPr="00B92A88">
        <w:t>into</w:t>
      </w:r>
      <w:r w:rsidR="00C64050">
        <w:t xml:space="preserve"> </w:t>
      </w:r>
      <w:r w:rsidRPr="00B92A88">
        <w:t>account.</w:t>
      </w:r>
      <w:r w:rsidR="00C64050">
        <w:t xml:space="preserve"> </w:t>
      </w:r>
      <w:r w:rsidRPr="00B92A88">
        <w:t>Elements</w:t>
      </w:r>
      <w:r w:rsidR="00C64050">
        <w:t xml:space="preserve"> </w:t>
      </w:r>
      <w:r w:rsidRPr="00B92A88">
        <w:t>affecting</w:t>
      </w:r>
      <w:r w:rsidR="00C64050">
        <w:t xml:space="preserve"> </w:t>
      </w:r>
      <w:r w:rsidRPr="00B92A88">
        <w:t>the</w:t>
      </w:r>
      <w:r w:rsidR="00C64050">
        <w:t xml:space="preserve"> </w:t>
      </w:r>
      <w:r w:rsidRPr="00B92A88">
        <w:t>value</w:t>
      </w:r>
      <w:r w:rsidR="00C64050">
        <w:t xml:space="preserve"> </w:t>
      </w:r>
      <w:r w:rsidRPr="00B92A88">
        <w:t>that</w:t>
      </w:r>
      <w:r w:rsidR="00C64050">
        <w:t xml:space="preserve"> </w:t>
      </w:r>
      <w:r w:rsidRPr="00B92A88">
        <w:t>depend</w:t>
      </w:r>
      <w:r w:rsidR="00C64050">
        <w:t xml:space="preserve"> </w:t>
      </w:r>
      <w:r w:rsidRPr="00B92A88">
        <w:t>upon</w:t>
      </w:r>
      <w:r w:rsidR="00C64050">
        <w:t xml:space="preserve"> </w:t>
      </w:r>
      <w:r w:rsidRPr="00B92A88">
        <w:t>events</w:t>
      </w:r>
      <w:r w:rsidR="00C64050">
        <w:t xml:space="preserve"> </w:t>
      </w:r>
      <w:r w:rsidRPr="00B92A88">
        <w:t>within</w:t>
      </w:r>
      <w:r w:rsidR="00C64050">
        <w:t xml:space="preserve"> </w:t>
      </w:r>
      <w:r w:rsidRPr="00B92A88">
        <w:t>the</w:t>
      </w:r>
      <w:r w:rsidR="00C64050">
        <w:t xml:space="preserve"> </w:t>
      </w:r>
      <w:r w:rsidRPr="00B92A88">
        <w:t>realm</w:t>
      </w:r>
      <w:r w:rsidR="00C64050">
        <w:t xml:space="preserve"> </w:t>
      </w:r>
      <w:r w:rsidRPr="00B92A88">
        <w:t>of</w:t>
      </w:r>
      <w:r w:rsidR="00C64050">
        <w:t xml:space="preserve"> </w:t>
      </w:r>
      <w:r w:rsidRPr="00B92A88">
        <w:t>possibility</w:t>
      </w:r>
      <w:r w:rsidR="00C64050">
        <w:t xml:space="preserve"> </w:t>
      </w:r>
      <w:r w:rsidRPr="00B92A88">
        <w:t>should</w:t>
      </w:r>
      <w:r w:rsidR="00C64050">
        <w:t xml:space="preserve"> </w:t>
      </w:r>
      <w:r w:rsidRPr="00B92A88">
        <w:t>not</w:t>
      </w:r>
      <w:r w:rsidR="00C64050">
        <w:t xml:space="preserve"> </w:t>
      </w:r>
      <w:r w:rsidRPr="00B92A88">
        <w:t>be</w:t>
      </w:r>
      <w:r w:rsidR="00C64050">
        <w:t xml:space="preserve"> </w:t>
      </w:r>
      <w:r w:rsidRPr="00B92A88">
        <w:t>considered</w:t>
      </w:r>
      <w:r w:rsidR="00C64050">
        <w:t xml:space="preserve"> </w:t>
      </w:r>
      <w:r w:rsidRPr="00B92A88">
        <w:t>if</w:t>
      </w:r>
      <w:r w:rsidR="00C64050">
        <w:t xml:space="preserve"> </w:t>
      </w:r>
      <w:r w:rsidRPr="00B92A88">
        <w:t>the</w:t>
      </w:r>
      <w:r w:rsidR="00C64050">
        <w:t xml:space="preserve"> </w:t>
      </w:r>
      <w:r w:rsidRPr="00B92A88">
        <w:t>events</w:t>
      </w:r>
      <w:r w:rsidR="00C64050">
        <w:t xml:space="preserve"> </w:t>
      </w:r>
      <w:r w:rsidRPr="00B92A88">
        <w:t>are</w:t>
      </w:r>
      <w:r w:rsidR="00C64050">
        <w:t xml:space="preserve"> </w:t>
      </w:r>
      <w:r w:rsidRPr="00B92A88">
        <w:t>not</w:t>
      </w:r>
      <w:r w:rsidR="00C64050">
        <w:t xml:space="preserve"> </w:t>
      </w:r>
      <w:r w:rsidRPr="00B92A88">
        <w:t>shown</w:t>
      </w:r>
      <w:r w:rsidR="00C64050">
        <w:t xml:space="preserve"> </w:t>
      </w:r>
      <w:r w:rsidRPr="00B92A88">
        <w:t>to</w:t>
      </w:r>
      <w:r w:rsidR="00C64050">
        <w:t xml:space="preserve"> </w:t>
      </w:r>
      <w:r w:rsidRPr="00B92A88">
        <w:t>be</w:t>
      </w:r>
      <w:r w:rsidR="00C64050">
        <w:t xml:space="preserve"> </w:t>
      </w:r>
      <w:r w:rsidRPr="00B92A88">
        <w:t>reasonably</w:t>
      </w:r>
      <w:r w:rsidR="00C64050">
        <w:t xml:space="preserve"> </w:t>
      </w:r>
      <w:r w:rsidRPr="00B92A88">
        <w:t>probable.</w:t>
      </w:r>
      <w:r w:rsidR="00C64050">
        <w:t xml:space="preserve"> </w:t>
      </w:r>
      <w:r w:rsidRPr="00B92A88">
        <w:rPr>
          <w:u w:val="single"/>
        </w:rPr>
        <w:t>Olson</w:t>
      </w:r>
      <w:r w:rsidRPr="00B92A88">
        <w:t>,</w:t>
      </w:r>
      <w:r w:rsidR="00C64050">
        <w:t xml:space="preserve"> </w:t>
      </w:r>
      <w:r w:rsidRPr="00B92A88">
        <w:t>292</w:t>
      </w:r>
      <w:r w:rsidR="00C64050">
        <w:t xml:space="preserve"> </w:t>
      </w:r>
      <w:r w:rsidRPr="00B92A88">
        <w:t>U.S.</w:t>
      </w:r>
      <w:r w:rsidR="00C64050">
        <w:t xml:space="preserve"> </w:t>
      </w:r>
      <w:r w:rsidRPr="00B92A88">
        <w:t>at</w:t>
      </w:r>
      <w:r w:rsidR="00C64050">
        <w:t xml:space="preserve"> </w:t>
      </w:r>
      <w:r w:rsidRPr="00B92A88">
        <w:t>257.</w:t>
      </w:r>
      <w:r w:rsidR="00C64050">
        <w:t xml:space="preserve"> </w:t>
      </w:r>
      <w:r w:rsidRPr="00B92A88">
        <w:t>The</w:t>
      </w:r>
      <w:r w:rsidR="00C64050">
        <w:t xml:space="preserve"> </w:t>
      </w:r>
      <w:r w:rsidRPr="00B92A88">
        <w:t>facts</w:t>
      </w:r>
      <w:r w:rsidR="00C64050">
        <w:t xml:space="preserve"> </w:t>
      </w:r>
      <w:r w:rsidRPr="00B92A88">
        <w:t>do</w:t>
      </w:r>
      <w:r w:rsidR="00C64050">
        <w:t xml:space="preserve"> </w:t>
      </w:r>
      <w:r w:rsidRPr="00B92A88">
        <w:t>not</w:t>
      </w:r>
      <w:r w:rsidR="00C64050">
        <w:t xml:space="preserve"> </w:t>
      </w:r>
      <w:r w:rsidRPr="00B92A88">
        <w:t>show</w:t>
      </w:r>
      <w:r w:rsidR="00C64050">
        <w:t xml:space="preserve"> </w:t>
      </w:r>
      <w:r w:rsidRPr="00B92A88">
        <w:t>that</w:t>
      </w:r>
      <w:r w:rsidR="00C64050">
        <w:t xml:space="preserve"> </w:t>
      </w:r>
      <w:r w:rsidRPr="00B92A88">
        <w:t>it</w:t>
      </w:r>
      <w:r w:rsidR="00C64050">
        <w:t xml:space="preserve"> </w:t>
      </w:r>
      <w:r w:rsidRPr="00B92A88">
        <w:t>is</w:t>
      </w:r>
      <w:r w:rsidR="00C64050">
        <w:t xml:space="preserve"> </w:t>
      </w:r>
      <w:r w:rsidRPr="00B92A88">
        <w:t>reasonably</w:t>
      </w:r>
      <w:r w:rsidR="00C64050">
        <w:t xml:space="preserve"> </w:t>
      </w:r>
      <w:r w:rsidRPr="00B92A88">
        <w:t>probable</w:t>
      </w:r>
      <w:r w:rsidR="00C64050">
        <w:t xml:space="preserve"> </w:t>
      </w:r>
      <w:r w:rsidRPr="00B92A88">
        <w:t>that</w:t>
      </w:r>
      <w:r w:rsidR="00C64050">
        <w:t xml:space="preserve"> </w:t>
      </w:r>
      <w:r w:rsidRPr="00B92A88">
        <w:t>a</w:t>
      </w:r>
      <w:r w:rsidR="00C64050">
        <w:t xml:space="preserve"> </w:t>
      </w:r>
      <w:r w:rsidRPr="00B92A88">
        <w:t>willing</w:t>
      </w:r>
      <w:r w:rsidR="00C64050">
        <w:t xml:space="preserve"> </w:t>
      </w:r>
      <w:r w:rsidRPr="00B92A88">
        <w:t>seller</w:t>
      </w:r>
      <w:r w:rsidR="00C64050">
        <w:t xml:space="preserve"> </w:t>
      </w:r>
      <w:r w:rsidRPr="00B92A88">
        <w:t>or</w:t>
      </w:r>
      <w:r w:rsidR="00C64050">
        <w:t xml:space="preserve"> </w:t>
      </w:r>
      <w:r w:rsidRPr="00B92A88">
        <w:t>a</w:t>
      </w:r>
      <w:r w:rsidR="00C64050">
        <w:t xml:space="preserve"> </w:t>
      </w:r>
      <w:r w:rsidRPr="00B92A88">
        <w:t>willing</w:t>
      </w:r>
      <w:r w:rsidR="00C64050">
        <w:t xml:space="preserve"> </w:t>
      </w:r>
      <w:r w:rsidRPr="00B92A88">
        <w:t>buyer</w:t>
      </w:r>
      <w:r w:rsidR="00C64050">
        <w:t xml:space="preserve"> </w:t>
      </w:r>
      <w:r w:rsidRPr="00B92A88">
        <w:t>of</w:t>
      </w:r>
      <w:r w:rsidR="00C64050">
        <w:t xml:space="preserve"> </w:t>
      </w:r>
      <w:r w:rsidRPr="00B92A88">
        <w:t>the</w:t>
      </w:r>
      <w:r w:rsidR="00C64050">
        <w:t xml:space="preserve"> </w:t>
      </w:r>
      <w:r w:rsidRPr="00B92A88">
        <w:t>class</w:t>
      </w:r>
      <w:r w:rsidR="00C64050">
        <w:t xml:space="preserve"> </w:t>
      </w:r>
      <w:r w:rsidRPr="00B92A88">
        <w:t>B</w:t>
      </w:r>
      <w:r w:rsidR="00C64050">
        <w:t xml:space="preserve"> </w:t>
      </w:r>
      <w:r w:rsidRPr="00B92A88">
        <w:t>units</w:t>
      </w:r>
      <w:r w:rsidR="00C64050">
        <w:t xml:space="preserve"> </w:t>
      </w:r>
      <w:r w:rsidRPr="00B92A88">
        <w:t>would</w:t>
      </w:r>
      <w:r w:rsidR="00C64050">
        <w:t xml:space="preserve"> </w:t>
      </w:r>
      <w:r w:rsidRPr="00B92A88">
        <w:t>also</w:t>
      </w:r>
      <w:r w:rsidR="00C64050">
        <w:t xml:space="preserve"> </w:t>
      </w:r>
      <w:r w:rsidRPr="00B92A88">
        <w:t>buy</w:t>
      </w:r>
      <w:r w:rsidR="00C64050">
        <w:t xml:space="preserve"> </w:t>
      </w:r>
      <w:r w:rsidRPr="00B92A88">
        <w:t>the</w:t>
      </w:r>
      <w:r w:rsidR="00C64050">
        <w:t xml:space="preserve"> </w:t>
      </w:r>
      <w:r w:rsidRPr="00B92A88">
        <w:t>class</w:t>
      </w:r>
      <w:r w:rsidR="00C64050">
        <w:t xml:space="preserve"> </w:t>
      </w:r>
      <w:r w:rsidRPr="00B92A88">
        <w:t>A</w:t>
      </w:r>
      <w:r w:rsidR="00C64050">
        <w:t xml:space="preserve"> </w:t>
      </w:r>
      <w:r w:rsidRPr="00B92A88">
        <w:t>units</w:t>
      </w:r>
      <w:r w:rsidR="00C64050">
        <w:t xml:space="preserve"> </w:t>
      </w:r>
      <w:r w:rsidRPr="00B92A88">
        <w:t>and</w:t>
      </w:r>
      <w:r w:rsidR="00C64050">
        <w:t xml:space="preserve"> </w:t>
      </w:r>
      <w:r w:rsidRPr="00B92A88">
        <w:t>that</w:t>
      </w:r>
      <w:r w:rsidR="00C64050">
        <w:t xml:space="preserve"> </w:t>
      </w:r>
      <w:r w:rsidRPr="00B92A88">
        <w:t>the</w:t>
      </w:r>
      <w:r w:rsidR="00C64050">
        <w:t xml:space="preserve"> </w:t>
      </w:r>
      <w:r w:rsidRPr="00B92A88">
        <w:t>class</w:t>
      </w:r>
      <w:r w:rsidR="00C64050">
        <w:t xml:space="preserve"> </w:t>
      </w:r>
      <w:r w:rsidRPr="00B92A88">
        <w:t>A</w:t>
      </w:r>
      <w:r w:rsidR="00C64050">
        <w:t xml:space="preserve"> </w:t>
      </w:r>
      <w:r w:rsidRPr="00B92A88">
        <w:t>units</w:t>
      </w:r>
      <w:r w:rsidR="00C64050">
        <w:t xml:space="preserve"> </w:t>
      </w:r>
      <w:r w:rsidRPr="00B92A88">
        <w:t>would</w:t>
      </w:r>
      <w:r w:rsidR="00C64050">
        <w:t xml:space="preserve"> </w:t>
      </w:r>
      <w:r w:rsidRPr="00B92A88">
        <w:t>be</w:t>
      </w:r>
      <w:r w:rsidR="00C64050">
        <w:t xml:space="preserve"> </w:t>
      </w:r>
      <w:r w:rsidRPr="00B92A88">
        <w:t>available</w:t>
      </w:r>
      <w:r w:rsidR="00C64050">
        <w:t xml:space="preserve"> </w:t>
      </w:r>
      <w:r w:rsidRPr="00B92A88">
        <w:t>to</w:t>
      </w:r>
      <w:r w:rsidR="00C64050">
        <w:t xml:space="preserve"> </w:t>
      </w:r>
      <w:r w:rsidRPr="00B92A88">
        <w:t>purchase.</w:t>
      </w:r>
      <w:r w:rsidR="00C64050">
        <w:t xml:space="preserve"> </w:t>
      </w:r>
      <w:r w:rsidRPr="00B92A88">
        <w:t>To</w:t>
      </w:r>
      <w:r w:rsidR="00C64050">
        <w:t xml:space="preserve"> </w:t>
      </w:r>
      <w:r w:rsidRPr="00B92A88">
        <w:t>determine</w:t>
      </w:r>
      <w:r w:rsidR="00C64050">
        <w:t xml:space="preserve"> </w:t>
      </w:r>
      <w:r w:rsidRPr="00B92A88">
        <w:t>the</w:t>
      </w:r>
      <w:r w:rsidR="00C64050">
        <w:t xml:space="preserve"> </w:t>
      </w:r>
      <w:r w:rsidRPr="00B92A88">
        <w:t>fair</w:t>
      </w:r>
      <w:r w:rsidR="00C64050">
        <w:t xml:space="preserve"> </w:t>
      </w:r>
      <w:r w:rsidRPr="00B92A88">
        <w:t>market</w:t>
      </w:r>
      <w:r w:rsidR="00C64050">
        <w:t xml:space="preserve"> </w:t>
      </w:r>
      <w:r w:rsidRPr="00B92A88">
        <w:t>values</w:t>
      </w:r>
      <w:r w:rsidR="00C64050">
        <w:t xml:space="preserve"> </w:t>
      </w:r>
      <w:r w:rsidRPr="00B92A88">
        <w:t>of</w:t>
      </w:r>
      <w:r w:rsidR="00C64050">
        <w:t xml:space="preserve"> </w:t>
      </w:r>
      <w:r w:rsidRPr="00B92A88">
        <w:t>the</w:t>
      </w:r>
      <w:r w:rsidR="00C64050">
        <w:t xml:space="preserve"> </w:t>
      </w:r>
      <w:r w:rsidRPr="00B92A88">
        <w:t>class</w:t>
      </w:r>
      <w:r w:rsidR="00C64050">
        <w:t xml:space="preserve"> </w:t>
      </w:r>
      <w:r w:rsidRPr="00B92A88">
        <w:t>B</w:t>
      </w:r>
      <w:r w:rsidR="00C64050">
        <w:t xml:space="preserve"> </w:t>
      </w:r>
      <w:r w:rsidRPr="00B92A88">
        <w:t>units</w:t>
      </w:r>
      <w:r w:rsidR="00C64050">
        <w:t xml:space="preserve"> </w:t>
      </w:r>
      <w:r w:rsidRPr="00B92A88">
        <w:t>we</w:t>
      </w:r>
      <w:r w:rsidR="00C64050">
        <w:t xml:space="preserve"> </w:t>
      </w:r>
      <w:r w:rsidRPr="00B92A88">
        <w:t>look</w:t>
      </w:r>
      <w:r w:rsidR="00C64050">
        <w:t xml:space="preserve"> </w:t>
      </w:r>
      <w:r w:rsidRPr="00B92A88">
        <w:t>at</w:t>
      </w:r>
      <w:r w:rsidR="00C64050">
        <w:t xml:space="preserve"> </w:t>
      </w:r>
      <w:r w:rsidRPr="00B92A88">
        <w:t>the</w:t>
      </w:r>
      <w:r w:rsidR="00C64050">
        <w:t xml:space="preserve"> </w:t>
      </w:r>
      <w:r w:rsidRPr="00B92A88">
        <w:t>willing</w:t>
      </w:r>
      <w:r w:rsidR="00C64050">
        <w:t xml:space="preserve"> </w:t>
      </w:r>
      <w:r w:rsidRPr="00B92A88">
        <w:t>buyer</w:t>
      </w:r>
      <w:r w:rsidR="00C64050">
        <w:t xml:space="preserve"> </w:t>
      </w:r>
      <w:r w:rsidRPr="00B92A88">
        <w:t>and</w:t>
      </w:r>
      <w:r w:rsidR="00C64050">
        <w:t xml:space="preserve"> </w:t>
      </w:r>
      <w:r w:rsidRPr="00B92A88">
        <w:t>willing</w:t>
      </w:r>
      <w:r w:rsidR="00C64050">
        <w:t xml:space="preserve"> </w:t>
      </w:r>
      <w:r w:rsidRPr="00B92A88">
        <w:t>seller</w:t>
      </w:r>
      <w:r w:rsidR="00C64050">
        <w:t xml:space="preserve"> </w:t>
      </w:r>
      <w:r w:rsidRPr="00B92A88">
        <w:t>of</w:t>
      </w:r>
      <w:r w:rsidR="00C64050">
        <w:t xml:space="preserve"> </w:t>
      </w:r>
      <w:r w:rsidRPr="00B92A88">
        <w:t>the</w:t>
      </w:r>
      <w:r w:rsidR="00C64050">
        <w:t xml:space="preserve"> </w:t>
      </w:r>
      <w:r w:rsidRPr="00B92A88">
        <w:t>class</w:t>
      </w:r>
      <w:r w:rsidR="00C64050">
        <w:t xml:space="preserve"> </w:t>
      </w:r>
      <w:r w:rsidRPr="00B92A88">
        <w:t>B</w:t>
      </w:r>
      <w:r w:rsidR="00C64050">
        <w:t xml:space="preserve"> </w:t>
      </w:r>
      <w:r w:rsidRPr="00B92A88">
        <w:t>units,</w:t>
      </w:r>
      <w:r w:rsidR="00C64050">
        <w:t xml:space="preserve"> </w:t>
      </w:r>
      <w:r w:rsidRPr="00B92A88">
        <w:t>and</w:t>
      </w:r>
      <w:r w:rsidR="00C64050">
        <w:t xml:space="preserve"> </w:t>
      </w:r>
      <w:r w:rsidRPr="00B92A88">
        <w:t>not</w:t>
      </w:r>
      <w:r w:rsidR="00C64050">
        <w:t xml:space="preserve"> </w:t>
      </w:r>
      <w:r w:rsidRPr="00B92A88">
        <w:t>the</w:t>
      </w:r>
      <w:r w:rsidR="00C64050">
        <w:t xml:space="preserve"> </w:t>
      </w:r>
      <w:r w:rsidRPr="00B92A88">
        <w:t>willing</w:t>
      </w:r>
      <w:r w:rsidR="00C64050">
        <w:t xml:space="preserve"> </w:t>
      </w:r>
      <w:r w:rsidRPr="00B92A88">
        <w:t>buyer</w:t>
      </w:r>
      <w:r w:rsidR="00C64050">
        <w:t xml:space="preserve"> </w:t>
      </w:r>
      <w:r w:rsidRPr="00B92A88">
        <w:t>and</w:t>
      </w:r>
      <w:r w:rsidR="00C64050">
        <w:t xml:space="preserve"> </w:t>
      </w:r>
      <w:r w:rsidRPr="00B92A88">
        <w:t>willing</w:t>
      </w:r>
      <w:r w:rsidR="00C64050">
        <w:t xml:space="preserve"> </w:t>
      </w:r>
      <w:r w:rsidRPr="00B92A88">
        <w:t>seller</w:t>
      </w:r>
      <w:r w:rsidR="00C64050">
        <w:t xml:space="preserve"> </w:t>
      </w:r>
      <w:r w:rsidRPr="00B92A88">
        <w:t>of</w:t>
      </w:r>
      <w:r w:rsidR="00C64050">
        <w:t xml:space="preserve"> </w:t>
      </w:r>
      <w:r w:rsidRPr="00B92A88">
        <w:t>the</w:t>
      </w:r>
      <w:r w:rsidR="00C64050">
        <w:t xml:space="preserve"> </w:t>
      </w:r>
      <w:r w:rsidRPr="00B92A88">
        <w:t>class</w:t>
      </w:r>
      <w:r w:rsidR="00C64050">
        <w:t xml:space="preserve"> </w:t>
      </w:r>
      <w:r w:rsidRPr="00B92A88">
        <w:t>A</w:t>
      </w:r>
      <w:r w:rsidR="00C64050">
        <w:t xml:space="preserve"> </w:t>
      </w:r>
      <w:r w:rsidRPr="00B92A88">
        <w:t>units.</w:t>
      </w:r>
    </w:p>
    <w:p w:rsidR="00FE06DC" w:rsidRDefault="00FE06DC" w:rsidP="00FE06DC">
      <w:pPr>
        <w:pStyle w:val="Body15"/>
        <w:rPr>
          <w:lang w:eastAsia="en-GB"/>
        </w:rPr>
      </w:pPr>
      <w:r w:rsidRPr="00FE06DC">
        <w:rPr>
          <w:lang w:eastAsia="en-GB"/>
        </w:rPr>
        <w:t>It</w:t>
      </w:r>
      <w:r w:rsidR="00C64050">
        <w:rPr>
          <w:lang w:eastAsia="en-GB"/>
        </w:rPr>
        <w:t xml:space="preserve"> </w:t>
      </w:r>
      <w:r w:rsidRPr="00FE06DC">
        <w:rPr>
          <w:lang w:eastAsia="en-GB"/>
        </w:rPr>
        <w:t>is</w:t>
      </w:r>
      <w:r w:rsidR="00C64050">
        <w:rPr>
          <w:lang w:eastAsia="en-GB"/>
        </w:rPr>
        <w:t xml:space="preserve"> </w:t>
      </w:r>
      <w:r w:rsidRPr="00FE06DC">
        <w:rPr>
          <w:lang w:eastAsia="en-GB"/>
        </w:rPr>
        <w:t>un</w:t>
      </w:r>
      <w:r>
        <w:rPr>
          <w:lang w:eastAsia="en-GB"/>
        </w:rPr>
        <w:t>clear</w:t>
      </w:r>
      <w:r w:rsidR="00C64050">
        <w:rPr>
          <w:lang w:eastAsia="en-GB"/>
        </w:rPr>
        <w:t xml:space="preserve"> </w:t>
      </w:r>
      <w:r>
        <w:rPr>
          <w:lang w:eastAsia="en-GB"/>
        </w:rPr>
        <w:t>from</w:t>
      </w:r>
      <w:r w:rsidR="00C64050">
        <w:rPr>
          <w:lang w:eastAsia="en-GB"/>
        </w:rPr>
        <w:t xml:space="preserve"> </w:t>
      </w:r>
      <w:r>
        <w:rPr>
          <w:lang w:eastAsia="en-GB"/>
        </w:rPr>
        <w:t>the</w:t>
      </w:r>
      <w:r w:rsidR="00C64050">
        <w:rPr>
          <w:lang w:eastAsia="en-GB"/>
        </w:rPr>
        <w:t xml:space="preserve"> </w:t>
      </w:r>
      <w:r>
        <w:rPr>
          <w:lang w:eastAsia="en-GB"/>
        </w:rPr>
        <w:t>opinion</w:t>
      </w:r>
      <w:r w:rsidR="00C64050">
        <w:rPr>
          <w:lang w:eastAsia="en-GB"/>
        </w:rPr>
        <w:t xml:space="preserve"> </w:t>
      </w:r>
      <w:r>
        <w:rPr>
          <w:lang w:eastAsia="en-GB"/>
        </w:rPr>
        <w:t>what</w:t>
      </w:r>
      <w:r w:rsidR="00C64050">
        <w:rPr>
          <w:lang w:eastAsia="en-GB"/>
        </w:rPr>
        <w:t xml:space="preserve"> </w:t>
      </w:r>
      <w:r>
        <w:rPr>
          <w:lang w:eastAsia="en-GB"/>
        </w:rPr>
        <w:t>inspired</w:t>
      </w:r>
      <w:r w:rsidR="00C64050">
        <w:rPr>
          <w:lang w:eastAsia="en-GB"/>
        </w:rPr>
        <w:t xml:space="preserve"> </w:t>
      </w:r>
      <w:r>
        <w:rPr>
          <w:lang w:eastAsia="en-GB"/>
        </w:rPr>
        <w:t>the</w:t>
      </w:r>
      <w:r w:rsidR="00C64050">
        <w:rPr>
          <w:lang w:eastAsia="en-GB"/>
        </w:rPr>
        <w:t xml:space="preserve"> </w:t>
      </w:r>
      <w:r>
        <w:rPr>
          <w:lang w:eastAsia="en-GB"/>
        </w:rPr>
        <w:t>IRS</w:t>
      </w:r>
      <w:r w:rsidR="00C64050">
        <w:rPr>
          <w:lang w:eastAsia="en-GB"/>
        </w:rPr>
        <w:t xml:space="preserve"> </w:t>
      </w:r>
      <w:r>
        <w:rPr>
          <w:lang w:eastAsia="en-GB"/>
        </w:rPr>
        <w:t>to</w:t>
      </w:r>
      <w:r w:rsidR="00C64050">
        <w:rPr>
          <w:lang w:eastAsia="en-GB"/>
        </w:rPr>
        <w:t xml:space="preserve"> </w:t>
      </w:r>
      <w:r>
        <w:rPr>
          <w:lang w:eastAsia="en-GB"/>
        </w:rPr>
        <w:t>audit</w:t>
      </w:r>
      <w:r w:rsidR="00C64050">
        <w:rPr>
          <w:lang w:eastAsia="en-GB"/>
        </w:rPr>
        <w:t xml:space="preserve"> </w:t>
      </w:r>
      <w:r>
        <w:rPr>
          <w:lang w:eastAsia="en-GB"/>
        </w:rPr>
        <w:t>these</w:t>
      </w:r>
      <w:r w:rsidR="00C64050">
        <w:rPr>
          <w:lang w:eastAsia="en-GB"/>
        </w:rPr>
        <w:t xml:space="preserve"> </w:t>
      </w:r>
      <w:r>
        <w:rPr>
          <w:lang w:eastAsia="en-GB"/>
        </w:rPr>
        <w:t>transactions.</w:t>
      </w:r>
    </w:p>
    <w:p w:rsidR="00883692" w:rsidRPr="00883692" w:rsidRDefault="002C1DE7" w:rsidP="002C1DE7">
      <w:pPr>
        <w:pStyle w:val="Heading20"/>
        <w:numPr>
          <w:ilvl w:val="1"/>
          <w:numId w:val="32"/>
        </w:numPr>
        <w:tabs>
          <w:tab w:val="clear" w:pos="2700"/>
        </w:tabs>
        <w:ind w:left="0"/>
        <w:rPr>
          <w:vanish/>
          <w:lang w:eastAsia="en-GB"/>
          <w:specVanish/>
        </w:rPr>
      </w:pPr>
      <w:bookmarkStart w:id="316" w:name="_Toc94704648"/>
      <w:r>
        <w:rPr>
          <w:b/>
          <w:u w:val="single"/>
          <w:lang w:eastAsia="en-GB"/>
        </w:rPr>
        <w:t>Valuation of LLCs H</w:t>
      </w:r>
      <w:r w:rsidR="009162EA">
        <w:rPr>
          <w:b/>
          <w:u w:val="single"/>
          <w:lang w:eastAsia="en-GB"/>
        </w:rPr>
        <w:t>o</w:t>
      </w:r>
      <w:r>
        <w:rPr>
          <w:b/>
          <w:u w:val="single"/>
          <w:lang w:eastAsia="en-GB"/>
        </w:rPr>
        <w:t>lding Leased Property For Gift, Estate, and Charitable Purposes</w:t>
      </w:r>
      <w:bookmarkEnd w:id="316"/>
    </w:p>
    <w:p w:rsidR="002C1DE7" w:rsidRDefault="002C1DE7" w:rsidP="00883692">
      <w:pPr>
        <w:pStyle w:val="Heading2Body"/>
      </w:pPr>
      <w:r>
        <w:t xml:space="preserve">.  Judge Buch has decided for the Tax Court a straightforward valuation case in </w:t>
      </w:r>
      <w:r>
        <w:rPr>
          <w:u w:val="single"/>
        </w:rPr>
        <w:t>Estate of Warne v. Commissioner</w:t>
      </w:r>
      <w:r>
        <w:t xml:space="preserve">, T.C. Memo. 2021-17.  There were five LLCs at issue with </w:t>
      </w:r>
      <w:r w:rsidR="0046422B">
        <w:t>various</w:t>
      </w:r>
      <w:r>
        <w:t xml:space="preserve"> percentages owned by a family trust included in the decedent’s estate.</w:t>
      </w:r>
    </w:p>
    <w:p w:rsidR="002C1DE7" w:rsidRDefault="002C1DE7" w:rsidP="002C1DE7">
      <w:pPr>
        <w:pStyle w:val="Body15"/>
        <w:rPr>
          <w:lang w:eastAsia="en-GB"/>
        </w:rPr>
      </w:pPr>
      <w:r>
        <w:rPr>
          <w:lang w:eastAsia="en-GB"/>
        </w:rPr>
        <w:t>The easiest issue</w:t>
      </w:r>
      <w:r w:rsidR="001401C7">
        <w:rPr>
          <w:lang w:eastAsia="en-GB"/>
        </w:rPr>
        <w:t xml:space="preserve"> for the court</w:t>
      </w:r>
      <w:r>
        <w:rPr>
          <w:lang w:eastAsia="en-GB"/>
        </w:rPr>
        <w:t xml:space="preserve"> to deal wit</w:t>
      </w:r>
      <w:r w:rsidR="009162EA">
        <w:rPr>
          <w:lang w:eastAsia="en-GB"/>
        </w:rPr>
        <w:t>h</w:t>
      </w:r>
      <w:r>
        <w:rPr>
          <w:lang w:eastAsia="en-GB"/>
        </w:rPr>
        <w:t xml:space="preserve"> was t</w:t>
      </w:r>
      <w:r w:rsidR="009162EA">
        <w:rPr>
          <w:lang w:eastAsia="en-GB"/>
        </w:rPr>
        <w:t>h</w:t>
      </w:r>
      <w:r>
        <w:rPr>
          <w:lang w:eastAsia="en-GB"/>
        </w:rPr>
        <w:t xml:space="preserve">e estate tax charitable deduction.  At the decedent’s death she left 75% of Royal Gardens, LLC to the family foundation and 25% to St. John’s Lutheran </w:t>
      </w:r>
      <w:r w:rsidR="009162EA">
        <w:rPr>
          <w:lang w:eastAsia="en-GB"/>
        </w:rPr>
        <w:t>Ch</w:t>
      </w:r>
      <w:r>
        <w:rPr>
          <w:lang w:eastAsia="en-GB"/>
        </w:rPr>
        <w:t xml:space="preserve">urch.  The estate argued that 100% went to charity but the IRS argued </w:t>
      </w:r>
      <w:r>
        <w:rPr>
          <w:u w:val="single"/>
          <w:lang w:eastAsia="en-GB"/>
        </w:rPr>
        <w:t>Ahmanson Foundation v. United States</w:t>
      </w:r>
      <w:r>
        <w:rPr>
          <w:lang w:eastAsia="en-GB"/>
        </w:rPr>
        <w:t>, (9</w:t>
      </w:r>
      <w:r w:rsidRPr="002C1DE7">
        <w:rPr>
          <w:vertAlign w:val="superscript"/>
          <w:lang w:eastAsia="en-GB"/>
        </w:rPr>
        <w:t>th</w:t>
      </w:r>
      <w:r>
        <w:rPr>
          <w:lang w:eastAsia="en-GB"/>
        </w:rPr>
        <w:t xml:space="preserve"> Cir. 1981) and the Tax Court agreed with the IRS.  An estate rec</w:t>
      </w:r>
      <w:r w:rsidR="009162EA">
        <w:rPr>
          <w:lang w:eastAsia="en-GB"/>
        </w:rPr>
        <w:t>eives a charitable deduction only</w:t>
      </w:r>
      <w:r>
        <w:rPr>
          <w:lang w:eastAsia="en-GB"/>
        </w:rPr>
        <w:t xml:space="preserve"> for what charities receive, which t</w:t>
      </w:r>
      <w:r w:rsidR="009162EA">
        <w:rPr>
          <w:lang w:eastAsia="en-GB"/>
        </w:rPr>
        <w:t>h</w:t>
      </w:r>
      <w:r>
        <w:rPr>
          <w:lang w:eastAsia="en-GB"/>
        </w:rPr>
        <w:t xml:space="preserve">e court held was a 4% discount for the 75% and a 27.385% discount for the 25% (each stipulated by the parties).  The discounts could have been avoided by leaving 100% to the Foundation and </w:t>
      </w:r>
      <w:r w:rsidR="00817E7D">
        <w:rPr>
          <w:lang w:eastAsia="en-GB"/>
        </w:rPr>
        <w:t xml:space="preserve">having </w:t>
      </w:r>
      <w:r>
        <w:rPr>
          <w:lang w:eastAsia="en-GB"/>
        </w:rPr>
        <w:t xml:space="preserve">it distribute 25% to the </w:t>
      </w:r>
      <w:r w:rsidR="0046422B">
        <w:rPr>
          <w:lang w:eastAsia="en-GB"/>
        </w:rPr>
        <w:t>church</w:t>
      </w:r>
      <w:r>
        <w:rPr>
          <w:lang w:eastAsia="en-GB"/>
        </w:rPr>
        <w:t>.</w:t>
      </w:r>
    </w:p>
    <w:p w:rsidR="002C1DE7" w:rsidRDefault="002C1DE7" w:rsidP="002C1DE7">
      <w:pPr>
        <w:pStyle w:val="Body15"/>
        <w:rPr>
          <w:lang w:eastAsia="en-GB"/>
        </w:rPr>
      </w:pPr>
      <w:r>
        <w:rPr>
          <w:lang w:eastAsia="en-GB"/>
        </w:rPr>
        <w:t xml:space="preserve">The family trust held </w:t>
      </w:r>
      <w:r w:rsidR="009162EA">
        <w:rPr>
          <w:lang w:eastAsia="en-GB"/>
        </w:rPr>
        <w:t xml:space="preserve">fractions of the </w:t>
      </w:r>
      <w:r w:rsidR="0046422B">
        <w:rPr>
          <w:lang w:eastAsia="en-GB"/>
        </w:rPr>
        <w:t>other</w:t>
      </w:r>
      <w:r w:rsidR="009162EA">
        <w:rPr>
          <w:lang w:eastAsia="en-GB"/>
        </w:rPr>
        <w:t xml:space="preserve"> LLCs as follows:</w:t>
      </w:r>
    </w:p>
    <w:p w:rsidR="009162EA" w:rsidRDefault="00524259" w:rsidP="00524259">
      <w:pPr>
        <w:pStyle w:val="QS10"/>
        <w:rPr>
          <w:lang w:eastAsia="en-GB"/>
        </w:rPr>
      </w:pPr>
      <w:r>
        <w:t>At the time of Miriam Warne’s death, the LLCs had the following ownership structure: WRW was held 78% by the Family Trust and 22% by William Warne; VJK was held 86.3% by the Family Trust, 0.5% by Tom Warne, and 4.4% by each of the three granddaughters; Warne Ranch was held 72.5% by the Family Trust, 26% by Tom Warne, and 0.5% by each granddaughter; Warne Investments was held 87.432% by the Family Trust and 12.568% by Trust “H”; and Royal Gardens was held 100% by the Family Trust. William Warne and Tom Warne were cotrustees of the Family Trust. They are also coexecutors of Miriam Warne’s estate.</w:t>
      </w:r>
    </w:p>
    <w:p w:rsidR="009162EA" w:rsidRDefault="009162EA" w:rsidP="002C1DE7">
      <w:pPr>
        <w:pStyle w:val="Body15"/>
        <w:rPr>
          <w:lang w:eastAsia="en-GB"/>
        </w:rPr>
      </w:pPr>
      <w:r>
        <w:rPr>
          <w:lang w:eastAsia="en-GB"/>
        </w:rPr>
        <w:t xml:space="preserve">The experts valued the leased real estate using a sales comparison approach to value the land.  With respect to the effect of </w:t>
      </w:r>
      <w:r w:rsidR="0046422B">
        <w:rPr>
          <w:lang w:eastAsia="en-GB"/>
        </w:rPr>
        <w:t>discounts</w:t>
      </w:r>
      <w:r>
        <w:rPr>
          <w:lang w:eastAsia="en-GB"/>
        </w:rPr>
        <w:t xml:space="preserve"> at the entity level, the opinion states:</w:t>
      </w:r>
    </w:p>
    <w:p w:rsidR="009162EA" w:rsidRDefault="00524259" w:rsidP="00524259">
      <w:pPr>
        <w:pStyle w:val="QS10"/>
        <w:rPr>
          <w:lang w:eastAsia="en-GB"/>
        </w:rPr>
      </w:pPr>
      <w:r>
        <w:t>The discount for lack of control for the majority interests held by the Family Trust should be low. The LLCs’ operating agreements grant significant power to the majority interest holder, such as the ability to unilaterally dissolve the LLCs and appoint and remove managers. The Family Trust held the majority interest in every LLC at issue. When a majority interest holder exerts control similar to that which the Family Trust can exercise in the LLCs, we have held that no discount for lack of control applies.31 Because the parties agree to a discount for lack of control, we will find one; however, given the control retained by the Family Trust, the discount should be slight.</w:t>
      </w:r>
    </w:p>
    <w:p w:rsidR="009162EA" w:rsidRDefault="009162EA" w:rsidP="002C1DE7">
      <w:pPr>
        <w:pStyle w:val="Body15"/>
        <w:rPr>
          <w:lang w:eastAsia="en-GB"/>
        </w:rPr>
      </w:pPr>
      <w:r>
        <w:rPr>
          <w:lang w:eastAsia="en-GB"/>
        </w:rPr>
        <w:t>The IRS’s expert argued for a 2% lack of control discount based on closed-end mutual funds, which the court rejected.  The taxpayer’s expert argued based on data from minority interest</w:t>
      </w:r>
      <w:r w:rsidR="00817E7D">
        <w:rPr>
          <w:lang w:eastAsia="en-GB"/>
        </w:rPr>
        <w:t xml:space="preserve"> sales</w:t>
      </w:r>
      <w:r>
        <w:rPr>
          <w:lang w:eastAsia="en-GB"/>
        </w:rPr>
        <w:t xml:space="preserve"> for a 5% - 8% discount.  However the taxpayer’s expert also assumed that if the majority tried to liquidate the minority would sue which the court concluded was an unwarranted assumption.  So the court applied a 4% lack of control discount.  The court much preferred the taxpayer’s expert on </w:t>
      </w:r>
      <w:r w:rsidR="00916802">
        <w:rPr>
          <w:lang w:eastAsia="en-GB"/>
        </w:rPr>
        <w:t>lack of marketability, stating:</w:t>
      </w:r>
    </w:p>
    <w:p w:rsidR="00524259" w:rsidRDefault="00524259" w:rsidP="00524259">
      <w:pPr>
        <w:pStyle w:val="QS10"/>
      </w:pPr>
      <w:r>
        <w:t xml:space="preserve">The parties’ experts used the same general method to calculate their discounts for lack of marketability. Both experts calculated the LLCs’ restricted stock equivalent discounts and adjusted that calculation to account for the LLCs’ characteristics to reach the final discount for lack of marketability. However, Mr. Schwab’s analysis was more credible. His report considered additional metrics and provided a more thorough explanation of his process. In calculating the restricted stock equivalent discount, he determined the most important factors-- such as the market-to-book ratio and market risk volatility--and he gave them more significant weight in his analysis. Mr. Schwab concluded a 10% to 12% restricted stock equivalent discount and decreased it by 25% as a holding period adjustment. He opined that a 5% to 10% discount for lack of marketability should apply. </w:t>
      </w:r>
    </w:p>
    <w:p w:rsidR="00524259" w:rsidRDefault="00524259" w:rsidP="00524259">
      <w:pPr>
        <w:pStyle w:val="QS10"/>
      </w:pPr>
      <w:r>
        <w:t xml:space="preserve">In contrast, Mr. Robak concluded a 2% discount for lack of marketability, providing little information to support this conclusion. In calculating the restricted stock equivalent discount, Mr. Robak weighted every factor equally and reached a 14.5% restricted stock equivalent discount. He then calculated a 2% discount for lack of marketability without justifying the substantial decrease in the discount. When an expert does not provide enough evidence to support his opinion, we decline to adopt that opinion. Without justification for his conclusion, it appears Mr. Robak made a visceral reduction of the discount rate data instead of a statistical one. We therefore decline to adopt the Commissioner’s discount for lack of marketability analysis. </w:t>
      </w:r>
    </w:p>
    <w:p w:rsidR="00916802" w:rsidRDefault="00524259" w:rsidP="00524259">
      <w:pPr>
        <w:pStyle w:val="QS10"/>
        <w:rPr>
          <w:lang w:eastAsia="en-GB"/>
        </w:rPr>
      </w:pPr>
      <w:r>
        <w:t>We adopt Mr. Schwab’s lack of marketability discount but believe it should remain at the lower end of the 5% to 10% range. Therefore, the discount for lack of marketability for the LLCs is 5%.</w:t>
      </w:r>
    </w:p>
    <w:p w:rsidR="00916802" w:rsidRDefault="00817E7D" w:rsidP="002C1DE7">
      <w:pPr>
        <w:pStyle w:val="Body15"/>
        <w:rPr>
          <w:lang w:eastAsia="en-GB"/>
        </w:rPr>
      </w:pPr>
      <w:r>
        <w:rPr>
          <w:lang w:eastAsia="en-GB"/>
        </w:rPr>
        <w:t>Each of t</w:t>
      </w:r>
      <w:r w:rsidR="00916802">
        <w:rPr>
          <w:lang w:eastAsia="en-GB"/>
        </w:rPr>
        <w:t xml:space="preserve">he parties used different experts to value </w:t>
      </w:r>
      <w:r w:rsidR="001E2ED9">
        <w:rPr>
          <w:lang w:eastAsia="en-GB"/>
        </w:rPr>
        <w:t xml:space="preserve">the underlying properties then </w:t>
      </w:r>
      <w:r w:rsidR="00916802">
        <w:rPr>
          <w:lang w:eastAsia="en-GB"/>
        </w:rPr>
        <w:t>the entities.</w:t>
      </w:r>
    </w:p>
    <w:p w:rsidR="00916802" w:rsidRDefault="00916802" w:rsidP="002C1DE7">
      <w:pPr>
        <w:pStyle w:val="Body15"/>
        <w:rPr>
          <w:lang w:eastAsia="en-GB"/>
        </w:rPr>
      </w:pPr>
      <w:r>
        <w:rPr>
          <w:lang w:eastAsia="en-GB"/>
        </w:rPr>
        <w:t>The taxpayers had not filed a timely gift tax return and the court upheld a penalty because the estate presented no evidence of reasonable cause.</w:t>
      </w:r>
    </w:p>
    <w:p w:rsidR="00787DDB" w:rsidRPr="00787DDB" w:rsidRDefault="00787DDB" w:rsidP="00787DDB">
      <w:pPr>
        <w:pStyle w:val="Heading20"/>
        <w:numPr>
          <w:ilvl w:val="1"/>
          <w:numId w:val="32"/>
        </w:numPr>
        <w:tabs>
          <w:tab w:val="clear" w:pos="2700"/>
        </w:tabs>
        <w:ind w:left="0"/>
        <w:rPr>
          <w:vanish/>
          <w:lang w:eastAsia="en-GB"/>
          <w:specVanish/>
        </w:rPr>
      </w:pPr>
      <w:bookmarkStart w:id="317" w:name="_Toc94704649"/>
      <w:r>
        <w:rPr>
          <w:b/>
          <w:u w:val="single"/>
          <w:lang w:eastAsia="en-GB"/>
        </w:rPr>
        <w:t>Valuation of Image and Likeness</w:t>
      </w:r>
      <w:bookmarkEnd w:id="317"/>
    </w:p>
    <w:p w:rsidR="00874E0F" w:rsidRDefault="00787DDB" w:rsidP="00787DDB">
      <w:pPr>
        <w:pStyle w:val="Heading2Body"/>
      </w:pPr>
      <w:r>
        <w:t xml:space="preserve">.  The Tax Court was presented with </w:t>
      </w:r>
      <w:r w:rsidR="00874E0F">
        <w:t xml:space="preserve">valuing </w:t>
      </w:r>
      <w:r>
        <w:t xml:space="preserve">the </w:t>
      </w:r>
      <w:r w:rsidR="001401C7">
        <w:t xml:space="preserve">decedent’s </w:t>
      </w:r>
      <w:r>
        <w:t xml:space="preserve">image and likeness, as well as certain business assets, in </w:t>
      </w:r>
      <w:r>
        <w:rPr>
          <w:u w:val="single"/>
        </w:rPr>
        <w:t>Estate of Michael Jackson</w:t>
      </w:r>
      <w:r>
        <w:t>, T. C. Memo. 2021-48.</w:t>
      </w:r>
      <w:r w:rsidR="00874E0F">
        <w:t xml:space="preserve">  Judge Holmes wrote a lengthy </w:t>
      </w:r>
      <w:r w:rsidR="001401C7">
        <w:t xml:space="preserve">opinion </w:t>
      </w:r>
      <w:r w:rsidR="00874E0F">
        <w:t xml:space="preserve">(breezy, for </w:t>
      </w:r>
      <w:r w:rsidR="001401C7">
        <w:t xml:space="preserve">a </w:t>
      </w:r>
      <w:r w:rsidR="00874E0F">
        <w:t>Tax Court</w:t>
      </w:r>
      <w:r w:rsidR="001401C7">
        <w:t xml:space="preserve"> judge</w:t>
      </w:r>
      <w:r w:rsidR="00874E0F">
        <w:t xml:space="preserve">) which reviews much of Jackson’s business and musical career (omitting discussion of personal matters almost entirely) and also outlines </w:t>
      </w:r>
      <w:r w:rsidR="00D34A3A">
        <w:t>the</w:t>
      </w:r>
      <w:r w:rsidR="00874E0F">
        <w:t xml:space="preserve"> current business strategies of the music industry.  With respect to valuation itself the most broadly applicable points are that the court refused to tax effect streams of earnings and refused to apply a penalty to the estate.  Regarding the tax effecting issue, the opinion states:</w:t>
      </w:r>
    </w:p>
    <w:p w:rsidR="00AD3B21" w:rsidRPr="00020EF8" w:rsidRDefault="00AD3B21" w:rsidP="00AD3B21">
      <w:pPr>
        <w:pStyle w:val="QS10"/>
        <w:rPr>
          <w:color w:val="000000" w:themeColor="text1"/>
        </w:rPr>
      </w:pPr>
      <w:r>
        <w:t xml:space="preserve">Fishman, Wallis, and Dahl in their respective DCF analyses concluded that the appropriate hypothetical buyer for each asset would be a C corporation, and therefore, each of them reduced cashflows by the income-tax liability that would be paid by a hypothetical C corporation buyer. To make things even more complicated, each also computed </w:t>
      </w:r>
      <w:r w:rsidRPr="00020EF8">
        <w:rPr>
          <w:color w:val="000000" w:themeColor="text1"/>
        </w:rPr>
        <w:t>a discount rate that included the effects of a C corporation's tax rate. They all stated that this was appropriate because it used both after-tax cashflows and after-tax discount rates. Each of the Estate's experts, however, used a different tax rate to do his computation:</w:t>
      </w:r>
    </w:p>
    <w:p w:rsidR="00AD3B21" w:rsidRPr="00020EF8" w:rsidRDefault="00AD3B21" w:rsidP="00AD3B21">
      <w:pPr>
        <w:pStyle w:val="QS10"/>
        <w:rPr>
          <w:color w:val="000000" w:themeColor="text1"/>
        </w:rPr>
      </w:pPr>
      <w:r w:rsidRPr="00020EF8">
        <w:rPr>
          <w:color w:val="000000" w:themeColor="text1"/>
        </w:rPr>
        <w:t>• Fishman applied a 35% rate based on the federal rate,</w:t>
      </w:r>
    </w:p>
    <w:p w:rsidR="00AD3B21" w:rsidRPr="00020EF8" w:rsidRDefault="00AD3B21" w:rsidP="00AD3B21">
      <w:pPr>
        <w:pStyle w:val="QS10"/>
        <w:rPr>
          <w:color w:val="000000" w:themeColor="text1"/>
        </w:rPr>
      </w:pPr>
      <w:r w:rsidRPr="00020EF8">
        <w:rPr>
          <w:color w:val="000000" w:themeColor="text1"/>
        </w:rPr>
        <w:t>• Wallis applied a 39.615% rate based on a combined federal and New York State rate, and</w:t>
      </w:r>
    </w:p>
    <w:p w:rsidR="00AD3B21" w:rsidRPr="00020EF8" w:rsidRDefault="00AD3B21" w:rsidP="00AD3B21">
      <w:pPr>
        <w:pStyle w:val="QS10"/>
        <w:rPr>
          <w:color w:val="000000" w:themeColor="text1"/>
        </w:rPr>
      </w:pPr>
      <w:r w:rsidRPr="00020EF8">
        <w:rPr>
          <w:color w:val="000000" w:themeColor="text1"/>
        </w:rPr>
        <w:t>• Dahl applied a 39.8% rate based on a combined federal and undisclosed state rate.</w:t>
      </w:r>
    </w:p>
    <w:p w:rsidR="00AD3B21" w:rsidRPr="00020EF8" w:rsidRDefault="00AD3B21" w:rsidP="00AD3B21">
      <w:pPr>
        <w:pStyle w:val="QS10"/>
        <w:rPr>
          <w:color w:val="000000" w:themeColor="text1"/>
          <w:szCs w:val="20"/>
        </w:rPr>
      </w:pPr>
      <w:r w:rsidRPr="00020EF8">
        <w:rPr>
          <w:color w:val="000000" w:themeColor="text1"/>
          <w:szCs w:val="20"/>
        </w:rPr>
        <w:t>When we've faced this issue in the past, we've shied away from tax affecting because of these difficult practical problems. </w:t>
      </w:r>
      <w:r w:rsidRPr="00020EF8">
        <w:rPr>
          <w:color w:val="000000" w:themeColor="text1"/>
          <w:szCs w:val="20"/>
          <w:u w:val="single"/>
        </w:rPr>
        <w:t>See</w:t>
      </w:r>
      <w:r w:rsidRPr="00020EF8">
        <w:rPr>
          <w:color w:val="000000" w:themeColor="text1"/>
          <w:szCs w:val="20"/>
        </w:rPr>
        <w:t> </w:t>
      </w:r>
      <w:r w:rsidRPr="00020EF8">
        <w:rPr>
          <w:color w:val="000000" w:themeColor="text1"/>
          <w:szCs w:val="20"/>
          <w:u w:val="single"/>
        </w:rPr>
        <w:t>Estate of Gallagher</w:t>
      </w:r>
      <w:r w:rsidRPr="00020EF8">
        <w:rPr>
          <w:color w:val="000000" w:themeColor="text1"/>
          <w:szCs w:val="20"/>
        </w:rPr>
        <w:t>, 101 T.C.M. (CCH) at 1710; </w:t>
      </w:r>
      <w:r w:rsidRPr="00020EF8">
        <w:rPr>
          <w:color w:val="000000" w:themeColor="text1"/>
          <w:szCs w:val="20"/>
          <w:u w:val="single"/>
        </w:rPr>
        <w:t>Estate of Giustina</w:t>
      </w:r>
      <w:r w:rsidRPr="00020EF8">
        <w:rPr>
          <w:color w:val="000000" w:themeColor="text1"/>
          <w:szCs w:val="20"/>
        </w:rPr>
        <w:t>, 101 T.C.M. (CCH) at 1679; </w:t>
      </w:r>
      <w:r w:rsidRPr="00020EF8">
        <w:rPr>
          <w:color w:val="000000" w:themeColor="text1"/>
          <w:szCs w:val="20"/>
          <w:u w:val="single"/>
        </w:rPr>
        <w:t>Dallas v. Commissioner</w:t>
      </w:r>
      <w:r w:rsidRPr="00020EF8">
        <w:rPr>
          <w:color w:val="000000" w:themeColor="text1"/>
          <w:szCs w:val="20"/>
        </w:rPr>
        <w:t>, 92 T.C.M. (CCH) 313, 317-18 (2006) (tax affecting not appropriate when the taxpayer presumed that an S corporation would lose its S corporation status after a sale); </w:t>
      </w:r>
      <w:r w:rsidRPr="00020EF8">
        <w:rPr>
          <w:color w:val="000000" w:themeColor="text1"/>
          <w:szCs w:val="20"/>
          <w:u w:val="single"/>
        </w:rPr>
        <w:t>Gross</w:t>
      </w:r>
      <w:r w:rsidRPr="00020EF8">
        <w:rPr>
          <w:color w:val="000000" w:themeColor="text1"/>
          <w:szCs w:val="20"/>
        </w:rPr>
        <w:t>, 78 T.C.M. (CCH) at 207. For example, in </w:t>
      </w:r>
      <w:r w:rsidRPr="00020EF8">
        <w:rPr>
          <w:color w:val="000000" w:themeColor="text1"/>
          <w:szCs w:val="20"/>
          <w:u w:val="single"/>
        </w:rPr>
        <w:t>Wall v. Commissioner</w:t>
      </w:r>
      <w:r w:rsidRPr="00020EF8">
        <w:rPr>
          <w:color w:val="000000" w:themeColor="text1"/>
          <w:szCs w:val="20"/>
        </w:rPr>
        <w:t>, 81 T.C.M. (CCH) 1425, 1432-33 n.19 (2001), we noted that</w:t>
      </w:r>
    </w:p>
    <w:p w:rsidR="00AD3B21" w:rsidRPr="00020EF8" w:rsidRDefault="00AD3B21" w:rsidP="008140F4">
      <w:pPr>
        <w:pStyle w:val="QS10"/>
        <w:ind w:left="2160"/>
        <w:rPr>
          <w:color w:val="000000" w:themeColor="text1"/>
        </w:rPr>
      </w:pPr>
      <w:r w:rsidRPr="00020EF8">
        <w:rPr>
          <w:color w:val="000000" w:themeColor="text1"/>
        </w:rPr>
        <w:t>[t]he argument in favor of tax-effecting stresses that many potential buyers of S corporations are C corporations. Because a C corporation would be unable to maintain a target company's S corporation status following an acquisition, the C corporation would tax-effect the S corporation's income (at C corporation rates) in deciding how much it would pay for the S corporation. </w:t>
      </w:r>
      <w:r w:rsidRPr="00020EF8">
        <w:rPr>
          <w:color w:val="000000" w:themeColor="text1"/>
          <w:u w:val="single"/>
        </w:rPr>
        <w:t>See</w:t>
      </w:r>
      <w:r w:rsidRPr="00020EF8">
        <w:rPr>
          <w:color w:val="000000" w:themeColor="text1"/>
        </w:rPr>
        <w:t> Trugman, Understanding Business Valuation: A Practical Guide to Valuing Small to Medium-Sized Businesses, at 198-199 (1998). By contrast, the argument against tax-effecting stresses that although an S corporation's stockholders are subject to tax on the corporation's income, they are generally not subject to a second level of tax when that income is distributed to them. This could make an S corporation at least somewhat more valuable than an equivalent C corporation. However, tax-effecting an S corporation's income, and then determining the value of that income by reference to the rates of return on taxable investments, means that an appraisal will give no value to S corporation status.</w:t>
      </w:r>
    </w:p>
    <w:p w:rsidR="00AD3B21" w:rsidRPr="00020EF8" w:rsidRDefault="00AD3B21" w:rsidP="00AD3B21">
      <w:pPr>
        <w:pStyle w:val="QS10"/>
        <w:rPr>
          <w:color w:val="000000" w:themeColor="text1"/>
          <w:szCs w:val="20"/>
        </w:rPr>
      </w:pPr>
      <w:r w:rsidRPr="00020EF8">
        <w:rPr>
          <w:color w:val="000000" w:themeColor="text1"/>
          <w:szCs w:val="20"/>
        </w:rPr>
        <w:t>There has, it seems, been only one case where we allowed tax affecting in a valuation. </w:t>
      </w:r>
      <w:r w:rsidRPr="00020EF8">
        <w:rPr>
          <w:color w:val="000000" w:themeColor="text1"/>
          <w:szCs w:val="20"/>
          <w:u w:val="single"/>
        </w:rPr>
        <w:t>See</w:t>
      </w:r>
      <w:r w:rsidRPr="00020EF8">
        <w:rPr>
          <w:color w:val="000000" w:themeColor="text1"/>
          <w:szCs w:val="20"/>
        </w:rPr>
        <w:t> </w:t>
      </w:r>
      <w:r w:rsidRPr="00020EF8">
        <w:rPr>
          <w:color w:val="000000" w:themeColor="text1"/>
          <w:szCs w:val="20"/>
          <w:u w:val="single"/>
        </w:rPr>
        <w:t>Estate of Jones v. Commissioner</w:t>
      </w:r>
      <w:r w:rsidRPr="00020EF8">
        <w:rPr>
          <w:color w:val="000000" w:themeColor="text1"/>
          <w:szCs w:val="20"/>
        </w:rPr>
        <w:t>, T.C. Memo. 2019-101, at *41-*42. In </w:t>
      </w:r>
      <w:r w:rsidRPr="00020EF8">
        <w:rPr>
          <w:color w:val="000000" w:themeColor="text1"/>
          <w:szCs w:val="20"/>
          <w:u w:val="single"/>
        </w:rPr>
        <w:t>Estate of Jones</w:t>
      </w:r>
      <w:r w:rsidRPr="00020EF8">
        <w:rPr>
          <w:color w:val="000000" w:themeColor="text1"/>
          <w:szCs w:val="20"/>
        </w:rPr>
        <w:t>, both experts agreed that a hypothetical buyer and seller would take into account the form of business entity in determining the fair market value of a limited-partnership interest. </w:t>
      </w:r>
      <w:r w:rsidRPr="00020EF8">
        <w:rPr>
          <w:color w:val="000000" w:themeColor="text1"/>
          <w:szCs w:val="20"/>
          <w:u w:val="single"/>
        </w:rPr>
        <w:t>Id.</w:t>
      </w:r>
      <w:r w:rsidRPr="00020EF8">
        <w:rPr>
          <w:color w:val="000000" w:themeColor="text1"/>
          <w:szCs w:val="20"/>
        </w:rPr>
        <w:t> at *39. The parties just disagreed on how to account for this effect. </w:t>
      </w:r>
      <w:r w:rsidRPr="00020EF8">
        <w:rPr>
          <w:color w:val="000000" w:themeColor="text1"/>
          <w:szCs w:val="20"/>
          <w:u w:val="single"/>
        </w:rPr>
        <w:t>Id.</w:t>
      </w:r>
      <w:r w:rsidRPr="00020EF8">
        <w:rPr>
          <w:color w:val="000000" w:themeColor="text1"/>
          <w:szCs w:val="20"/>
        </w:rPr>
        <w:t> The Commissioner's expert argued against tax affecting because the company at issue was a natural-resource holding company--not because it would pay no entity-level tax. </w:t>
      </w:r>
      <w:r w:rsidRPr="00020EF8">
        <w:rPr>
          <w:color w:val="000000" w:themeColor="text1"/>
          <w:szCs w:val="20"/>
          <w:u w:val="single"/>
        </w:rPr>
        <w:t>Id.</w:t>
      </w:r>
    </w:p>
    <w:p w:rsidR="00AD3B21" w:rsidRPr="00020EF8" w:rsidRDefault="00AD3B21" w:rsidP="00AD3B21">
      <w:pPr>
        <w:pStyle w:val="QS10"/>
        <w:rPr>
          <w:color w:val="000000" w:themeColor="text1"/>
          <w:szCs w:val="20"/>
        </w:rPr>
      </w:pPr>
      <w:r w:rsidRPr="00020EF8">
        <w:rPr>
          <w:color w:val="000000" w:themeColor="text1"/>
          <w:szCs w:val="20"/>
        </w:rPr>
        <w:t>The experts here strongly disagree on the appropriateness of tax affecting. We view this disagreement just as we have in the past, as one that is a dispute about fact. And we find, as we have done consistently in the past apart from </w:t>
      </w:r>
      <w:r w:rsidRPr="00020EF8">
        <w:rPr>
          <w:color w:val="000000" w:themeColor="text1"/>
          <w:szCs w:val="20"/>
          <w:u w:val="single"/>
        </w:rPr>
        <w:t>Estate of Jones</w:t>
      </w:r>
      <w:r w:rsidRPr="00020EF8">
        <w:rPr>
          <w:color w:val="000000" w:themeColor="text1"/>
          <w:szCs w:val="20"/>
        </w:rPr>
        <w:t>, that by a preponderance of the evidence tax affecting is not appropriate here because the Estate has failed to persuade us that a C corporation would be the hypothetical buyer of any of the three contested assets. The Estate's experts did not even discuss in a persuasive way their reasons for assuming that a C corporation would be the only or even likely buyer for these assets. </w:t>
      </w:r>
    </w:p>
    <w:p w:rsidR="00787DDB" w:rsidRPr="00020EF8" w:rsidRDefault="00874E0F" w:rsidP="004F4CB3">
      <w:pPr>
        <w:pStyle w:val="QS10"/>
        <w:jc w:val="center"/>
        <w:rPr>
          <w:color w:val="000000" w:themeColor="text1"/>
        </w:rPr>
      </w:pPr>
      <w:r w:rsidRPr="00020EF8">
        <w:rPr>
          <w:color w:val="000000" w:themeColor="text1"/>
        </w:rPr>
        <w:t>*</w:t>
      </w:r>
      <w:r w:rsidR="004F4CB3" w:rsidRPr="00020EF8">
        <w:rPr>
          <w:color w:val="000000" w:themeColor="text1"/>
        </w:rPr>
        <w:t xml:space="preserve"> </w:t>
      </w:r>
      <w:r w:rsidRPr="00020EF8">
        <w:rPr>
          <w:color w:val="000000" w:themeColor="text1"/>
        </w:rPr>
        <w:t>*</w:t>
      </w:r>
      <w:r w:rsidR="004F4CB3" w:rsidRPr="00020EF8">
        <w:rPr>
          <w:color w:val="000000" w:themeColor="text1"/>
        </w:rPr>
        <w:t xml:space="preserve"> </w:t>
      </w:r>
      <w:r w:rsidRPr="00020EF8">
        <w:rPr>
          <w:color w:val="000000" w:themeColor="text1"/>
        </w:rPr>
        <w:t>*</w:t>
      </w:r>
    </w:p>
    <w:p w:rsidR="004F4CB3" w:rsidRPr="004F4CB3" w:rsidRDefault="004F4CB3" w:rsidP="004F4CB3">
      <w:pPr>
        <w:pStyle w:val="QS10"/>
      </w:pPr>
      <w:r w:rsidRPr="00020EF8">
        <w:rPr>
          <w:color w:val="000000" w:themeColor="text1"/>
        </w:rPr>
        <w:t>Our finding reflects these facts: The Estate's own experts used inc</w:t>
      </w:r>
      <w:r w:rsidRPr="004F4CB3">
        <w:t>onsistent tax rates. They failed to explain persuasively the assumption that a C corporation would be the buyer of the assets at issue. They failed to persuasively explain why many of the new pass-through entities that have arisen recently wouldn't be suitable purchasers. And they were met with expert testimony from the Commissioner's side that was, at least on this very particular point, persuasive in light of our precedent. This all leads us to find that tax affecting is inappropriate on the specific facts of this case. We distinguish </w:t>
      </w:r>
      <w:r w:rsidRPr="004F4CB3">
        <w:rPr>
          <w:u w:val="single"/>
        </w:rPr>
        <w:t>Estate of Jones</w:t>
      </w:r>
      <w:r w:rsidRPr="004F4CB3">
        <w:t> as an instance where the experts agreed to take into account the form of the business entity and agreed on the entity type. The Commissioner argued there, as he does here, that we shouldn't tax affect, but his own experts didn't seem to be on board. As we observed, “[t]hey do not offer any defense of respondent's proposed zero tax rate. Thus, we do not have a fight between valuation experts but a fight between lawyers.” </w:t>
      </w:r>
      <w:r w:rsidRPr="004F4CB3">
        <w:rPr>
          <w:u w:val="single"/>
        </w:rPr>
        <w:t>Estate of Jones</w:t>
      </w:r>
      <w:r w:rsidRPr="004F4CB3">
        <w:t>, at *39.</w:t>
      </w:r>
    </w:p>
    <w:p w:rsidR="004F4CB3" w:rsidRPr="004F4CB3" w:rsidRDefault="004F4CB3" w:rsidP="004F4CB3">
      <w:pPr>
        <w:pStyle w:val="QS10"/>
      </w:pPr>
      <w:r w:rsidRPr="004F4CB3">
        <w:t>We do not hold that tax affecting is never called for. But our cases show how difficult a factual issue it is to demonstrate even a reasonable approximation of what that effect would be. In </w:t>
      </w:r>
      <w:r w:rsidRPr="004F4CB3">
        <w:rPr>
          <w:u w:val="single"/>
        </w:rPr>
        <w:t>Estate of Jones</w:t>
      </w:r>
      <w:r w:rsidRPr="004F4CB3">
        <w:t>, there was expert evidence on only one side of the question, and that made a difference.</w:t>
      </w:r>
    </w:p>
    <w:p w:rsidR="004F4CB3" w:rsidRPr="004F4CB3" w:rsidRDefault="004F4CB3" w:rsidP="004F4CB3">
      <w:pPr>
        <w:pStyle w:val="QS10"/>
      </w:pPr>
      <w:r w:rsidRPr="004F4CB3">
        <w:t>That was not the case here.</w:t>
      </w:r>
    </w:p>
    <w:p w:rsidR="00874E0F" w:rsidRPr="00D21668" w:rsidRDefault="00874E0F" w:rsidP="002C1DE7">
      <w:pPr>
        <w:pStyle w:val="Body15"/>
        <w:rPr>
          <w:color w:val="000000" w:themeColor="text1"/>
          <w:lang w:eastAsia="en-GB"/>
        </w:rPr>
      </w:pPr>
      <w:r>
        <w:rPr>
          <w:lang w:eastAsia="en-GB"/>
        </w:rPr>
        <w:t>The IR</w:t>
      </w:r>
      <w:r w:rsidRPr="00D21668">
        <w:rPr>
          <w:color w:val="000000" w:themeColor="text1"/>
          <w:lang w:eastAsia="en-GB"/>
        </w:rPr>
        <w:t>S and estate values were significantly far apart</w:t>
      </w:r>
      <w:r w:rsidR="00D21668">
        <w:rPr>
          <w:color w:val="000000" w:themeColor="text1"/>
          <w:lang w:eastAsia="en-GB"/>
        </w:rPr>
        <w:t xml:space="preserve"> on values as </w:t>
      </w:r>
      <w:r w:rsidRPr="00D21668">
        <w:rPr>
          <w:color w:val="000000" w:themeColor="text1"/>
          <w:lang w:eastAsia="en-GB"/>
        </w:rPr>
        <w:t>noted in the Conclusion to the opinion:</w:t>
      </w:r>
    </w:p>
    <w:tbl>
      <w:tblPr>
        <w:tblW w:w="0" w:type="auto"/>
        <w:jc w:val="center"/>
        <w:tblCellMar>
          <w:top w:w="15" w:type="dxa"/>
          <w:left w:w="15" w:type="dxa"/>
          <w:bottom w:w="15" w:type="dxa"/>
          <w:right w:w="15" w:type="dxa"/>
        </w:tblCellMar>
        <w:tblLook w:val="04A0" w:firstRow="1" w:lastRow="0" w:firstColumn="1" w:lastColumn="0" w:noHBand="0" w:noVBand="1"/>
      </w:tblPr>
      <w:tblGrid>
        <w:gridCol w:w="2391"/>
        <w:gridCol w:w="972"/>
        <w:gridCol w:w="1239"/>
        <w:gridCol w:w="1072"/>
      </w:tblGrid>
      <w:tr w:rsidR="00C45993" w:rsidRPr="00D21668" w:rsidTr="00C45993">
        <w:trPr>
          <w:jc w:val="center"/>
        </w:trPr>
        <w:tc>
          <w:tcPr>
            <w:tcW w:w="0" w:type="auto"/>
            <w:tcBorders>
              <w:top w:val="nil"/>
              <w:left w:val="nil"/>
              <w:bottom w:val="single" w:sz="6" w:space="0" w:color="CCCCCC"/>
              <w:right w:val="nil"/>
            </w:tcBorders>
            <w:tcMar>
              <w:top w:w="0" w:type="dxa"/>
              <w:left w:w="36" w:type="dxa"/>
              <w:bottom w:w="0" w:type="dxa"/>
              <w:right w:w="36" w:type="dxa"/>
            </w:tcMar>
            <w:hideMark/>
          </w:tcPr>
          <w:p w:rsidR="00C45993" w:rsidRPr="00D21668" w:rsidRDefault="00C45993" w:rsidP="00C45993">
            <w:pPr>
              <w:jc w:val="center"/>
              <w:rPr>
                <w:bCs w:val="0"/>
                <w:color w:val="000000" w:themeColor="text1"/>
                <w:szCs w:val="20"/>
              </w:rPr>
            </w:pPr>
            <w:r w:rsidRPr="00D21668">
              <w:rPr>
                <w:bCs w:val="0"/>
                <w:color w:val="000000" w:themeColor="text1"/>
                <w:szCs w:val="20"/>
              </w:rPr>
              <w:t>Asset</w:t>
            </w:r>
          </w:p>
        </w:tc>
        <w:tc>
          <w:tcPr>
            <w:tcW w:w="0" w:type="auto"/>
            <w:tcBorders>
              <w:top w:val="nil"/>
              <w:left w:val="nil"/>
              <w:bottom w:val="single" w:sz="6" w:space="0" w:color="CCCCCC"/>
              <w:right w:val="nil"/>
            </w:tcBorders>
            <w:tcMar>
              <w:top w:w="0" w:type="dxa"/>
              <w:left w:w="36" w:type="dxa"/>
              <w:bottom w:w="0" w:type="dxa"/>
              <w:right w:w="36" w:type="dxa"/>
            </w:tcMar>
            <w:hideMark/>
          </w:tcPr>
          <w:p w:rsidR="00C45993" w:rsidRPr="00D21668" w:rsidRDefault="00C45993" w:rsidP="00C45993">
            <w:pPr>
              <w:jc w:val="center"/>
              <w:rPr>
                <w:bCs w:val="0"/>
                <w:color w:val="000000" w:themeColor="text1"/>
                <w:szCs w:val="20"/>
              </w:rPr>
            </w:pPr>
            <w:r w:rsidRPr="00D21668">
              <w:rPr>
                <w:bCs w:val="0"/>
                <w:color w:val="000000" w:themeColor="text1"/>
                <w:szCs w:val="20"/>
              </w:rPr>
              <w:t>Estate</w:t>
            </w:r>
          </w:p>
        </w:tc>
        <w:tc>
          <w:tcPr>
            <w:tcW w:w="0" w:type="auto"/>
            <w:tcBorders>
              <w:top w:val="nil"/>
              <w:left w:val="nil"/>
              <w:bottom w:val="single" w:sz="6" w:space="0" w:color="CCCCCC"/>
              <w:right w:val="nil"/>
            </w:tcBorders>
            <w:tcMar>
              <w:top w:w="0" w:type="dxa"/>
              <w:left w:w="36" w:type="dxa"/>
              <w:bottom w:w="0" w:type="dxa"/>
              <w:right w:w="36" w:type="dxa"/>
            </w:tcMar>
            <w:hideMark/>
          </w:tcPr>
          <w:p w:rsidR="00C45993" w:rsidRPr="00D21668" w:rsidRDefault="00C45993" w:rsidP="00C45993">
            <w:pPr>
              <w:jc w:val="center"/>
              <w:rPr>
                <w:bCs w:val="0"/>
                <w:color w:val="000000" w:themeColor="text1"/>
                <w:szCs w:val="20"/>
              </w:rPr>
            </w:pPr>
            <w:r w:rsidRPr="00D21668">
              <w:rPr>
                <w:bCs w:val="0"/>
                <w:color w:val="000000" w:themeColor="text1"/>
                <w:szCs w:val="20"/>
              </w:rPr>
              <w:t>Commissioner</w:t>
            </w:r>
          </w:p>
        </w:tc>
        <w:tc>
          <w:tcPr>
            <w:tcW w:w="0" w:type="auto"/>
            <w:tcBorders>
              <w:top w:val="nil"/>
              <w:left w:val="nil"/>
              <w:bottom w:val="single" w:sz="6" w:space="0" w:color="CCCCCC"/>
              <w:right w:val="nil"/>
            </w:tcBorders>
            <w:tcMar>
              <w:top w:w="0" w:type="dxa"/>
              <w:left w:w="36" w:type="dxa"/>
              <w:bottom w:w="0" w:type="dxa"/>
              <w:right w:w="36" w:type="dxa"/>
            </w:tcMar>
            <w:hideMark/>
          </w:tcPr>
          <w:p w:rsidR="00C45993" w:rsidRPr="00D21668" w:rsidRDefault="00C45993" w:rsidP="00C45993">
            <w:pPr>
              <w:jc w:val="center"/>
              <w:rPr>
                <w:bCs w:val="0"/>
                <w:color w:val="000000" w:themeColor="text1"/>
                <w:szCs w:val="20"/>
              </w:rPr>
            </w:pPr>
            <w:r w:rsidRPr="00D21668">
              <w:rPr>
                <w:bCs w:val="0"/>
                <w:color w:val="000000" w:themeColor="text1"/>
                <w:szCs w:val="20"/>
              </w:rPr>
              <w:t>Tax Court</w:t>
            </w:r>
          </w:p>
        </w:tc>
      </w:tr>
      <w:tr w:rsidR="00C45993" w:rsidRPr="00D21668" w:rsidTr="00C45993">
        <w:trPr>
          <w:jc w:val="center"/>
        </w:trPr>
        <w:tc>
          <w:tcPr>
            <w:tcW w:w="0" w:type="auto"/>
            <w:tcBorders>
              <w:top w:val="nil"/>
              <w:left w:val="nil"/>
              <w:bottom w:val="single" w:sz="6" w:space="0" w:color="CCCCCC"/>
              <w:right w:val="nil"/>
            </w:tcBorders>
            <w:tcMar>
              <w:top w:w="0" w:type="dxa"/>
              <w:left w:w="36" w:type="dxa"/>
              <w:bottom w:w="0" w:type="dxa"/>
              <w:right w:w="36" w:type="dxa"/>
            </w:tcMar>
            <w:hideMark/>
          </w:tcPr>
          <w:p w:rsidR="00C45993" w:rsidRPr="00D21668" w:rsidRDefault="00C45993" w:rsidP="00C45993">
            <w:pPr>
              <w:rPr>
                <w:bCs w:val="0"/>
                <w:color w:val="000000" w:themeColor="text1"/>
                <w:szCs w:val="20"/>
              </w:rPr>
            </w:pPr>
            <w:r w:rsidRPr="00D21668">
              <w:rPr>
                <w:bCs w:val="0"/>
                <w:color w:val="000000" w:themeColor="text1"/>
                <w:szCs w:val="20"/>
              </w:rPr>
              <w:t>Jackson's image and likeness</w:t>
            </w:r>
          </w:p>
        </w:tc>
        <w:tc>
          <w:tcPr>
            <w:tcW w:w="0" w:type="auto"/>
            <w:tcBorders>
              <w:top w:val="nil"/>
              <w:left w:val="nil"/>
              <w:bottom w:val="single" w:sz="6" w:space="0" w:color="CCCCCC"/>
              <w:right w:val="nil"/>
            </w:tcBorders>
            <w:tcMar>
              <w:top w:w="0" w:type="dxa"/>
              <w:left w:w="36" w:type="dxa"/>
              <w:bottom w:w="0" w:type="dxa"/>
              <w:right w:w="36" w:type="dxa"/>
            </w:tcMar>
            <w:hideMark/>
          </w:tcPr>
          <w:p w:rsidR="00C45993" w:rsidRPr="00D21668" w:rsidRDefault="00C45993" w:rsidP="00C45993">
            <w:pPr>
              <w:jc w:val="right"/>
              <w:rPr>
                <w:bCs w:val="0"/>
                <w:color w:val="000000" w:themeColor="text1"/>
                <w:szCs w:val="20"/>
              </w:rPr>
            </w:pPr>
            <w:r w:rsidRPr="00D21668">
              <w:rPr>
                <w:bCs w:val="0"/>
                <w:color w:val="000000" w:themeColor="text1"/>
                <w:szCs w:val="20"/>
              </w:rPr>
              <w:t>$3,078,000</w:t>
            </w:r>
          </w:p>
        </w:tc>
        <w:tc>
          <w:tcPr>
            <w:tcW w:w="0" w:type="auto"/>
            <w:tcBorders>
              <w:top w:val="nil"/>
              <w:left w:val="nil"/>
              <w:bottom w:val="single" w:sz="6" w:space="0" w:color="CCCCCC"/>
              <w:right w:val="nil"/>
            </w:tcBorders>
            <w:tcMar>
              <w:top w:w="0" w:type="dxa"/>
              <w:left w:w="36" w:type="dxa"/>
              <w:bottom w:w="0" w:type="dxa"/>
              <w:right w:w="36" w:type="dxa"/>
            </w:tcMar>
            <w:hideMark/>
          </w:tcPr>
          <w:p w:rsidR="00C45993" w:rsidRPr="00D21668" w:rsidRDefault="00C45993" w:rsidP="00C45993">
            <w:pPr>
              <w:jc w:val="right"/>
              <w:rPr>
                <w:bCs w:val="0"/>
                <w:color w:val="000000" w:themeColor="text1"/>
                <w:szCs w:val="20"/>
              </w:rPr>
            </w:pPr>
            <w:r w:rsidRPr="00D21668">
              <w:rPr>
                <w:bCs w:val="0"/>
                <w:color w:val="000000" w:themeColor="text1"/>
                <w:szCs w:val="20"/>
              </w:rPr>
              <w:t>$161,307,045</w:t>
            </w:r>
          </w:p>
        </w:tc>
        <w:tc>
          <w:tcPr>
            <w:tcW w:w="0" w:type="auto"/>
            <w:tcBorders>
              <w:top w:val="nil"/>
              <w:left w:val="nil"/>
              <w:bottom w:val="single" w:sz="6" w:space="0" w:color="CCCCCC"/>
              <w:right w:val="nil"/>
            </w:tcBorders>
            <w:tcMar>
              <w:top w:w="0" w:type="dxa"/>
              <w:left w:w="36" w:type="dxa"/>
              <w:bottom w:w="0" w:type="dxa"/>
              <w:right w:w="36" w:type="dxa"/>
            </w:tcMar>
            <w:hideMark/>
          </w:tcPr>
          <w:p w:rsidR="00C45993" w:rsidRPr="00D21668" w:rsidRDefault="00C45993" w:rsidP="00C45993">
            <w:pPr>
              <w:jc w:val="right"/>
              <w:rPr>
                <w:bCs w:val="0"/>
                <w:color w:val="000000" w:themeColor="text1"/>
                <w:szCs w:val="20"/>
              </w:rPr>
            </w:pPr>
            <w:r w:rsidRPr="00D21668">
              <w:rPr>
                <w:bCs w:val="0"/>
                <w:color w:val="000000" w:themeColor="text1"/>
                <w:szCs w:val="20"/>
              </w:rPr>
              <w:t>$4,153,912</w:t>
            </w:r>
          </w:p>
        </w:tc>
      </w:tr>
      <w:tr w:rsidR="00C45993" w:rsidRPr="00D21668" w:rsidTr="00C45993">
        <w:trPr>
          <w:jc w:val="center"/>
        </w:trPr>
        <w:tc>
          <w:tcPr>
            <w:tcW w:w="0" w:type="auto"/>
            <w:tcBorders>
              <w:top w:val="nil"/>
              <w:left w:val="nil"/>
              <w:bottom w:val="single" w:sz="6" w:space="0" w:color="CCCCCC"/>
              <w:right w:val="nil"/>
            </w:tcBorders>
            <w:tcMar>
              <w:top w:w="0" w:type="dxa"/>
              <w:left w:w="36" w:type="dxa"/>
              <w:bottom w:w="0" w:type="dxa"/>
              <w:right w:w="36" w:type="dxa"/>
            </w:tcMar>
            <w:hideMark/>
          </w:tcPr>
          <w:p w:rsidR="00C45993" w:rsidRPr="00D21668" w:rsidRDefault="00C45993" w:rsidP="00C45993">
            <w:pPr>
              <w:rPr>
                <w:bCs w:val="0"/>
                <w:color w:val="000000" w:themeColor="text1"/>
                <w:szCs w:val="20"/>
              </w:rPr>
            </w:pPr>
            <w:r w:rsidRPr="00D21668">
              <w:rPr>
                <w:bCs w:val="0"/>
                <w:color w:val="000000" w:themeColor="text1"/>
                <w:szCs w:val="20"/>
              </w:rPr>
              <w:t>NHT II</w:t>
            </w:r>
          </w:p>
        </w:tc>
        <w:tc>
          <w:tcPr>
            <w:tcW w:w="0" w:type="auto"/>
            <w:tcBorders>
              <w:top w:val="nil"/>
              <w:left w:val="nil"/>
              <w:bottom w:val="single" w:sz="6" w:space="0" w:color="CCCCCC"/>
              <w:right w:val="nil"/>
            </w:tcBorders>
            <w:tcMar>
              <w:top w:w="0" w:type="dxa"/>
              <w:left w:w="36" w:type="dxa"/>
              <w:bottom w:w="0" w:type="dxa"/>
              <w:right w:w="36" w:type="dxa"/>
            </w:tcMar>
            <w:hideMark/>
          </w:tcPr>
          <w:p w:rsidR="00C45993" w:rsidRPr="00D21668" w:rsidRDefault="00C45993" w:rsidP="00C45993">
            <w:pPr>
              <w:jc w:val="center"/>
              <w:rPr>
                <w:bCs w:val="0"/>
                <w:color w:val="000000" w:themeColor="text1"/>
                <w:szCs w:val="20"/>
              </w:rPr>
            </w:pPr>
            <w:r w:rsidRPr="00D21668">
              <w:rPr>
                <w:bCs w:val="0"/>
                <w:color w:val="000000" w:themeColor="text1"/>
                <w:szCs w:val="20"/>
              </w:rPr>
              <w:t>-0-</w:t>
            </w:r>
          </w:p>
        </w:tc>
        <w:tc>
          <w:tcPr>
            <w:tcW w:w="0" w:type="auto"/>
            <w:tcBorders>
              <w:top w:val="nil"/>
              <w:left w:val="nil"/>
              <w:bottom w:val="single" w:sz="6" w:space="0" w:color="CCCCCC"/>
              <w:right w:val="nil"/>
            </w:tcBorders>
            <w:tcMar>
              <w:top w:w="0" w:type="dxa"/>
              <w:left w:w="36" w:type="dxa"/>
              <w:bottom w:w="0" w:type="dxa"/>
              <w:right w:w="36" w:type="dxa"/>
            </w:tcMar>
            <w:hideMark/>
          </w:tcPr>
          <w:p w:rsidR="00C45993" w:rsidRPr="00D21668" w:rsidRDefault="00C45993" w:rsidP="00C45993">
            <w:pPr>
              <w:jc w:val="right"/>
              <w:rPr>
                <w:bCs w:val="0"/>
                <w:color w:val="000000" w:themeColor="text1"/>
                <w:szCs w:val="20"/>
              </w:rPr>
            </w:pPr>
            <w:r w:rsidRPr="00D21668">
              <w:rPr>
                <w:bCs w:val="0"/>
                <w:color w:val="000000" w:themeColor="text1"/>
                <w:szCs w:val="20"/>
              </w:rPr>
              <w:t>206,295,934</w:t>
            </w:r>
          </w:p>
        </w:tc>
        <w:tc>
          <w:tcPr>
            <w:tcW w:w="0" w:type="auto"/>
            <w:tcBorders>
              <w:top w:val="nil"/>
              <w:left w:val="nil"/>
              <w:bottom w:val="single" w:sz="6" w:space="0" w:color="CCCCCC"/>
              <w:right w:val="nil"/>
            </w:tcBorders>
            <w:tcMar>
              <w:top w:w="0" w:type="dxa"/>
              <w:left w:w="36" w:type="dxa"/>
              <w:bottom w:w="0" w:type="dxa"/>
              <w:right w:w="36" w:type="dxa"/>
            </w:tcMar>
            <w:hideMark/>
          </w:tcPr>
          <w:p w:rsidR="00C45993" w:rsidRPr="00D21668" w:rsidRDefault="00C45993" w:rsidP="00C45993">
            <w:pPr>
              <w:jc w:val="center"/>
              <w:rPr>
                <w:bCs w:val="0"/>
                <w:color w:val="000000" w:themeColor="text1"/>
                <w:szCs w:val="20"/>
              </w:rPr>
            </w:pPr>
            <w:r w:rsidRPr="00D21668">
              <w:rPr>
                <w:bCs w:val="0"/>
                <w:color w:val="000000" w:themeColor="text1"/>
                <w:szCs w:val="20"/>
              </w:rPr>
              <w:t>-0-</w:t>
            </w:r>
          </w:p>
        </w:tc>
      </w:tr>
      <w:tr w:rsidR="00C45993" w:rsidRPr="00D21668" w:rsidTr="00C45993">
        <w:trPr>
          <w:jc w:val="center"/>
        </w:trPr>
        <w:tc>
          <w:tcPr>
            <w:tcW w:w="0" w:type="auto"/>
            <w:tcBorders>
              <w:top w:val="nil"/>
              <w:left w:val="nil"/>
              <w:bottom w:val="single" w:sz="6" w:space="0" w:color="CCCCCC"/>
              <w:right w:val="nil"/>
            </w:tcBorders>
            <w:tcMar>
              <w:top w:w="0" w:type="dxa"/>
              <w:left w:w="36" w:type="dxa"/>
              <w:bottom w:w="0" w:type="dxa"/>
              <w:right w:w="36" w:type="dxa"/>
            </w:tcMar>
            <w:hideMark/>
          </w:tcPr>
          <w:p w:rsidR="00C45993" w:rsidRPr="00D21668" w:rsidRDefault="00C45993" w:rsidP="00C45993">
            <w:pPr>
              <w:rPr>
                <w:bCs w:val="0"/>
                <w:color w:val="000000" w:themeColor="text1"/>
                <w:szCs w:val="20"/>
              </w:rPr>
            </w:pPr>
            <w:r w:rsidRPr="00D21668">
              <w:rPr>
                <w:bCs w:val="0"/>
                <w:color w:val="000000" w:themeColor="text1"/>
                <w:szCs w:val="20"/>
              </w:rPr>
              <w:t>NHT III</w:t>
            </w:r>
          </w:p>
        </w:tc>
        <w:tc>
          <w:tcPr>
            <w:tcW w:w="0" w:type="auto"/>
            <w:tcBorders>
              <w:top w:val="nil"/>
              <w:left w:val="nil"/>
              <w:bottom w:val="single" w:sz="6" w:space="0" w:color="CCCCCC"/>
              <w:right w:val="nil"/>
            </w:tcBorders>
            <w:tcMar>
              <w:top w:w="0" w:type="dxa"/>
              <w:left w:w="36" w:type="dxa"/>
              <w:bottom w:w="0" w:type="dxa"/>
              <w:right w:w="36" w:type="dxa"/>
            </w:tcMar>
            <w:hideMark/>
          </w:tcPr>
          <w:p w:rsidR="00C45993" w:rsidRPr="00D21668" w:rsidRDefault="00C45993" w:rsidP="00C45993">
            <w:pPr>
              <w:jc w:val="right"/>
              <w:rPr>
                <w:bCs w:val="0"/>
                <w:color w:val="000000" w:themeColor="text1"/>
                <w:szCs w:val="20"/>
              </w:rPr>
            </w:pPr>
            <w:r w:rsidRPr="00D21668">
              <w:rPr>
                <w:bCs w:val="0"/>
                <w:color w:val="000000" w:themeColor="text1"/>
                <w:szCs w:val="20"/>
              </w:rPr>
              <w:t>2,267,316</w:t>
            </w:r>
          </w:p>
        </w:tc>
        <w:tc>
          <w:tcPr>
            <w:tcW w:w="0" w:type="auto"/>
            <w:tcBorders>
              <w:top w:val="nil"/>
              <w:left w:val="nil"/>
              <w:bottom w:val="single" w:sz="6" w:space="0" w:color="CCCCCC"/>
              <w:right w:val="nil"/>
            </w:tcBorders>
            <w:tcMar>
              <w:top w:w="0" w:type="dxa"/>
              <w:left w:w="36" w:type="dxa"/>
              <w:bottom w:w="0" w:type="dxa"/>
              <w:right w:w="36" w:type="dxa"/>
            </w:tcMar>
            <w:hideMark/>
          </w:tcPr>
          <w:p w:rsidR="00C45993" w:rsidRPr="00D21668" w:rsidRDefault="00C45993" w:rsidP="00C45993">
            <w:pPr>
              <w:jc w:val="right"/>
              <w:rPr>
                <w:bCs w:val="0"/>
                <w:color w:val="000000" w:themeColor="text1"/>
                <w:szCs w:val="20"/>
              </w:rPr>
            </w:pPr>
            <w:r w:rsidRPr="00D21668">
              <w:rPr>
                <w:bCs w:val="0"/>
                <w:color w:val="000000" w:themeColor="text1"/>
                <w:szCs w:val="20"/>
              </w:rPr>
              <w:t>114,263,615</w:t>
            </w:r>
          </w:p>
        </w:tc>
        <w:tc>
          <w:tcPr>
            <w:tcW w:w="0" w:type="auto"/>
            <w:tcBorders>
              <w:top w:val="nil"/>
              <w:left w:val="nil"/>
              <w:bottom w:val="single" w:sz="6" w:space="0" w:color="CCCCCC"/>
              <w:right w:val="nil"/>
            </w:tcBorders>
            <w:tcMar>
              <w:top w:w="0" w:type="dxa"/>
              <w:left w:w="36" w:type="dxa"/>
              <w:bottom w:w="0" w:type="dxa"/>
              <w:right w:w="36" w:type="dxa"/>
            </w:tcMar>
            <w:hideMark/>
          </w:tcPr>
          <w:p w:rsidR="00C45993" w:rsidRPr="00D21668" w:rsidRDefault="00C45993" w:rsidP="00C45993">
            <w:pPr>
              <w:jc w:val="right"/>
              <w:rPr>
                <w:bCs w:val="0"/>
                <w:color w:val="000000" w:themeColor="text1"/>
                <w:szCs w:val="20"/>
              </w:rPr>
            </w:pPr>
            <w:r w:rsidRPr="00D21668">
              <w:rPr>
                <w:bCs w:val="0"/>
                <w:color w:val="000000" w:themeColor="text1"/>
                <w:szCs w:val="20"/>
              </w:rPr>
              <w:t>107,313,561</w:t>
            </w:r>
          </w:p>
        </w:tc>
      </w:tr>
    </w:tbl>
    <w:p w:rsidR="00874E0F" w:rsidRDefault="00D21668" w:rsidP="00C45993">
      <w:pPr>
        <w:pStyle w:val="Body15"/>
        <w:spacing w:before="240"/>
        <w:rPr>
          <w:lang w:eastAsia="en-GB"/>
        </w:rPr>
      </w:pPr>
      <w:r>
        <w:rPr>
          <w:lang w:eastAsia="en-GB"/>
        </w:rPr>
        <w:t>But no penalties were imposed:</w:t>
      </w:r>
    </w:p>
    <w:p w:rsidR="00C45993" w:rsidRPr="00C45993" w:rsidRDefault="00C45993" w:rsidP="00C45993">
      <w:pPr>
        <w:pStyle w:val="QS10"/>
      </w:pPr>
      <w:r w:rsidRPr="00C45993">
        <w:t>The Estate valued Jackson's image and likeness at roughly $2,000 on its return. This was based on an appraisal by Moss Adams--an accounting firm that we specifically find is reputable and credible. </w:t>
      </w:r>
      <w:r w:rsidRPr="00C45993">
        <w:rPr>
          <w:u w:val="single"/>
        </w:rPr>
        <w:t>See</w:t>
      </w:r>
      <w:r w:rsidRPr="00C45993">
        <w:t> </w:t>
      </w:r>
      <w:r w:rsidRPr="00C45993">
        <w:rPr>
          <w:u w:val="single"/>
        </w:rPr>
        <w:t>supra</w:t>
      </w:r>
      <w:r w:rsidRPr="00C45993">
        <w:t> pp. 49, 100-01. Moss Adams based its valuation on the last 10 years of Jackson's life, and concluded to the surprise of the Estate that Jackson's image and likeness was not worth very much. The Commissioner argues that this valuation was clearly wrong--and the Estate should have known not to rely on it.</w:t>
      </w:r>
    </w:p>
    <w:p w:rsidR="00C45993" w:rsidRPr="00C45993" w:rsidRDefault="00C45993" w:rsidP="00C45993">
      <w:pPr>
        <w:pStyle w:val="QS10"/>
      </w:pPr>
      <w:r w:rsidRPr="00C45993">
        <w:t>But the facts show that this low valuation wasn't that farfetched. Jackson made almost no money attributable to his name and likeness in the last decade of his life, especially after the 2003 trial. And in 2009, even as Jackson rapidly sold out multiple concerts, exploitation of his name and likeness earned him only $24. Moss Adams followed standard appraisal procedure in this area--it focused on the last 10 years of Jackson's life. Though Fishman and Roesler--who we find credible--eventually expanded their dataset, they both stated in their reports that they typically only look at the 10 most recent years of income. While we disagree with Moss Adams's appraisal, we do find that it was reasonable. And we find that the Estate reasonably relied on it in good faith once it discovered how little revenue Jackson had been earning from use of his name and likeness. No penalties here.</w:t>
      </w:r>
    </w:p>
    <w:p w:rsidR="00C45993" w:rsidRPr="00C45993" w:rsidRDefault="00C45993" w:rsidP="00C45993">
      <w:pPr>
        <w:pStyle w:val="QS10"/>
      </w:pPr>
      <w:r w:rsidRPr="00C45993">
        <w:t>We find much the same for the valuation of NHT III. Our own opinion shows how complicated valuing Mijac and NHT III is. The Estate again used Moss Adams to help them estimate this value. We also disagree with this appraisal value, but we again find that it was reasonable given all the facts and circumstances. And we again find it was reasonable for the Estate to rely on it and that it did so in good faith. No penalties here either.</w:t>
      </w:r>
    </w:p>
    <w:p w:rsidR="00874E0F" w:rsidRDefault="00874E0F" w:rsidP="002C1DE7">
      <w:pPr>
        <w:pStyle w:val="Body15"/>
        <w:rPr>
          <w:lang w:eastAsia="en-GB"/>
        </w:rPr>
      </w:pPr>
      <w:r>
        <w:rPr>
          <w:lang w:eastAsia="en-GB"/>
        </w:rPr>
        <w:t xml:space="preserve">The estate had multiple experts, whereas </w:t>
      </w:r>
      <w:r w:rsidR="00D34A3A">
        <w:rPr>
          <w:lang w:eastAsia="en-GB"/>
        </w:rPr>
        <w:t>the</w:t>
      </w:r>
      <w:r>
        <w:rPr>
          <w:lang w:eastAsia="en-GB"/>
        </w:rPr>
        <w:t xml:space="preserve"> IRS only had one.  The court was not thrilled with the IRS expert:</w:t>
      </w:r>
    </w:p>
    <w:p w:rsidR="00556A1A" w:rsidRPr="00556A1A" w:rsidRDefault="00556A1A" w:rsidP="00AD3B21">
      <w:pPr>
        <w:pStyle w:val="QS10"/>
      </w:pPr>
      <w:r w:rsidRPr="00556A1A">
        <w:t>As the Commissioner's only expert witness, Anson's credibility was an especially important part of the case. And it suffered greatly at trial. His problems began when he was asked about the effect on himself and his firm if the Commissioner prevailed in the case. He responded: “I have no idea. I've never worked for the Internal Revenue Service before.” Later when asked whether he or his firm had previously been retained by the Commissioner to write an intellectual-property valuation report in Whitney Houston's estate-tax case, Anson replied: “No. Absolutely not.” That was a lie. Approximately two years before he testified, the Commissioner had retained Anson to write a valuation report titled, “Analysis of the Fair Market Value of the Intangible Property Rights Held by the Estate of Whitney E. Houston as of February 11, 2012 For Estate Tax Purposes.” It was only after a recess and advice from the Commissioner's counsel that Anson admitted to this.</w:t>
      </w:r>
    </w:p>
    <w:p w:rsidR="00556A1A" w:rsidRPr="00556A1A" w:rsidRDefault="00556A1A" w:rsidP="00AD3B21">
      <w:pPr>
        <w:pStyle w:val="QS10"/>
      </w:pPr>
      <w:r w:rsidRPr="00556A1A">
        <w:t>Anson also testified that neither he nor his firm ever advertised to promote business. This was also a lie. In the midst of trial, Anson's firm touted his testimony in the following email blast:</w:t>
      </w:r>
    </w:p>
    <w:p w:rsidR="00556A1A" w:rsidRPr="00556A1A" w:rsidRDefault="00556A1A" w:rsidP="008140F4">
      <w:pPr>
        <w:pStyle w:val="QS10"/>
        <w:ind w:left="2160"/>
      </w:pPr>
      <w:r w:rsidRPr="00556A1A">
        <w:t>What has been described as the “tax trial of the century” by the </w:t>
      </w:r>
      <w:r w:rsidRPr="00556A1A">
        <w:rPr>
          <w:u w:val="single"/>
        </w:rPr>
        <w:t>Hollywood Reporter</w:t>
      </w:r>
      <w:r w:rsidRPr="00556A1A">
        <w:t>, the case between the Internal Revenue Service and the Estate of Michael Jackson began in Tax Court this week. CONSOR Chairman Weston Anson is the expert of the century and will be testifying on behalf of the IRS.</w:t>
      </w:r>
    </w:p>
    <w:p w:rsidR="00556A1A" w:rsidRPr="00556A1A" w:rsidRDefault="00556A1A" w:rsidP="008140F4">
      <w:pPr>
        <w:pStyle w:val="QS10"/>
        <w:ind w:left="2160"/>
      </w:pPr>
      <w:r w:rsidRPr="00556A1A">
        <w:t>The big discrepancy in the value of the Jackson estate will be sure to bring testimony tailor made for a Hollywood blockbuster. While CONSOR valued the intellectual property assets of the Jackson estate at a total close to $1 billion, the estate initially valued the assets at time of death at a mere $2,105.</w:t>
      </w:r>
    </w:p>
    <w:p w:rsidR="00556A1A" w:rsidRPr="00556A1A" w:rsidRDefault="00556A1A" w:rsidP="00AD3B21">
      <w:pPr>
        <w:pStyle w:val="QS10"/>
      </w:pPr>
      <w:r w:rsidRPr="00556A1A">
        <w:t>And in a lecture given before trial Anson referred to his valuation in this case, stating, “I'm sitting today * * * in a deposition in what's known as the ‘Billion Dollar Tax Case.’ * * * [W]e've just spent the last year valuing the estate of Michael Jackson.” When asked at trial whether he had in fact referred to this case as a billion-dollar case, Anson replied with his own question: “Would you like to be called the lawyer of the century?”</w:t>
      </w:r>
    </w:p>
    <w:p w:rsidR="00556A1A" w:rsidRPr="00556A1A" w:rsidRDefault="00556A1A" w:rsidP="00AD3B21">
      <w:pPr>
        <w:pStyle w:val="QS10"/>
      </w:pPr>
      <w:r w:rsidRPr="00556A1A">
        <w:t>The Estate moved to strike all of Anson's testimony, including his expert reports, as tainted by perjury. We denied the Estate's motion finding it “too severe.” We instead stated that “[a] more proportionate remedy would be to discount the credibility and weight we give to [Anson's] opinions.” There is nothing wrong about marketing one's services or taking on another case for the IRS while working on this one. But Anson did undermine his own credibility in being so parsimonious with the truth about these things he didn't even benefit </w:t>
      </w:r>
      <w:r w:rsidRPr="00556A1A">
        <w:rPr>
          <w:b/>
        </w:rPr>
        <w:t>[*61]</w:t>
      </w:r>
      <w:r w:rsidRPr="00556A1A">
        <w:t> from being untruthful about, as well as in not answering questions directly throughout his testimony.</w:t>
      </w:r>
    </w:p>
    <w:p w:rsidR="00556A1A" w:rsidRPr="00556A1A" w:rsidRDefault="00556A1A" w:rsidP="00AD3B21">
      <w:pPr>
        <w:pStyle w:val="QS10"/>
      </w:pPr>
      <w:r w:rsidRPr="00556A1A">
        <w:t>This affects our factfinding throughout.</w:t>
      </w:r>
    </w:p>
    <w:p w:rsidR="00485DB9" w:rsidRPr="00454670" w:rsidRDefault="00856D6A">
      <w:pPr>
        <w:pStyle w:val="Heading1"/>
        <w:rPr>
          <w:color w:val="000000"/>
        </w:rPr>
      </w:pPr>
      <w:bookmarkStart w:id="318" w:name="_Toc168206583"/>
      <w:bookmarkStart w:id="319" w:name="_Toc168218220"/>
      <w:bookmarkStart w:id="320" w:name="_Toc231154870"/>
      <w:bookmarkStart w:id="321" w:name="_Toc295129791"/>
      <w:bookmarkStart w:id="322" w:name="_Toc295132404"/>
      <w:bookmarkStart w:id="323" w:name="_Toc295133923"/>
      <w:bookmarkStart w:id="324" w:name="_Toc295133958"/>
      <w:bookmarkStart w:id="325" w:name="_Toc295136488"/>
      <w:bookmarkStart w:id="326" w:name="_Toc297645093"/>
      <w:bookmarkStart w:id="327" w:name="_Toc297647164"/>
      <w:bookmarkStart w:id="328" w:name="_Toc297728349"/>
      <w:bookmarkStart w:id="329" w:name="_Toc297732806"/>
      <w:bookmarkStart w:id="330" w:name="_Toc298255199"/>
      <w:bookmarkStart w:id="331" w:name="_Toc298316773"/>
      <w:bookmarkStart w:id="332" w:name="_Toc298334618"/>
      <w:bookmarkStart w:id="333" w:name="_Toc298338116"/>
      <w:bookmarkStart w:id="334" w:name="_Toc301364454"/>
      <w:bookmarkStart w:id="335" w:name="_Toc302465914"/>
      <w:bookmarkStart w:id="336" w:name="_Toc303094289"/>
      <w:bookmarkStart w:id="337" w:name="_Toc303172885"/>
      <w:bookmarkStart w:id="338" w:name="_Toc303181215"/>
      <w:bookmarkStart w:id="339" w:name="_Toc321753625"/>
      <w:bookmarkStart w:id="340" w:name="_Toc322015802"/>
      <w:bookmarkStart w:id="341" w:name="_Toc322015975"/>
      <w:bookmarkStart w:id="342" w:name="_Toc322016513"/>
      <w:bookmarkStart w:id="343" w:name="_Toc376946762"/>
      <w:bookmarkStart w:id="344" w:name="_Toc376947609"/>
      <w:bookmarkStart w:id="345" w:name="_Toc376948403"/>
      <w:bookmarkStart w:id="346" w:name="_Toc376949197"/>
      <w:bookmarkStart w:id="347" w:name="_Toc94704650"/>
      <w:bookmarkEnd w:id="314"/>
      <w:r w:rsidRPr="00454670">
        <w:rPr>
          <w:color w:val="000000"/>
        </w:rPr>
        <w:t>SECTION</w:t>
      </w:r>
      <w:r w:rsidR="00C64050">
        <w:rPr>
          <w:color w:val="000000"/>
        </w:rPr>
        <w:t xml:space="preserve"> </w:t>
      </w:r>
      <w:r w:rsidRPr="00454670">
        <w:rPr>
          <w:color w:val="000000"/>
        </w:rPr>
        <w:t>2032</w:t>
      </w:r>
      <w:r w:rsidR="00C64050">
        <w:rPr>
          <w:color w:val="000000"/>
        </w:rPr>
        <w:t xml:space="preserve"> </w:t>
      </w:r>
      <w:r w:rsidRPr="00454670">
        <w:rPr>
          <w:color w:val="000000"/>
        </w:rPr>
        <w:t>—</w:t>
      </w:r>
      <w:r w:rsidR="00C64050">
        <w:rPr>
          <w:color w:val="000000"/>
        </w:rPr>
        <w:t xml:space="preserve"> </w:t>
      </w:r>
      <w:r w:rsidRPr="00454670">
        <w:rPr>
          <w:color w:val="000000"/>
        </w:rPr>
        <w:t>ALTERNATE</w:t>
      </w:r>
      <w:r w:rsidR="00C64050">
        <w:rPr>
          <w:color w:val="000000"/>
        </w:rPr>
        <w:t xml:space="preserve"> </w:t>
      </w:r>
      <w:r w:rsidRPr="00454670">
        <w:rPr>
          <w:color w:val="000000"/>
        </w:rPr>
        <w:t>VALUATION</w:t>
      </w:r>
      <w:r w:rsidR="00C64050">
        <w:rPr>
          <w:color w:val="000000"/>
        </w:rPr>
        <w:t xml:space="preserve"> </w:t>
      </w:r>
      <w:r w:rsidRPr="00454670">
        <w:rPr>
          <w:color w:val="000000"/>
        </w:rPr>
        <w:t>AND</w:t>
      </w:r>
      <w:r w:rsidR="00C64050">
        <w:rPr>
          <w:color w:val="000000"/>
        </w:rPr>
        <w:t xml:space="preserve"> </w:t>
      </w:r>
      <w:r w:rsidRPr="00454670">
        <w:rPr>
          <w:color w:val="000000"/>
        </w:rPr>
        <w:t>SECTION</w:t>
      </w:r>
      <w:r w:rsidR="00C64050">
        <w:rPr>
          <w:color w:val="000000"/>
        </w:rPr>
        <w:t xml:space="preserve"> </w:t>
      </w:r>
      <w:r w:rsidRPr="00454670">
        <w:rPr>
          <w:color w:val="000000"/>
        </w:rPr>
        <w:t>2032A</w:t>
      </w:r>
      <w:r w:rsidR="00C64050">
        <w:rPr>
          <w:color w:val="000000"/>
        </w:rPr>
        <w:t xml:space="preserve"> </w:t>
      </w:r>
      <w:r w:rsidRPr="00454670">
        <w:rPr>
          <w:color w:val="000000"/>
        </w:rPr>
        <w:t>—</w:t>
      </w:r>
      <w:r w:rsidR="00C64050">
        <w:rPr>
          <w:color w:val="000000"/>
        </w:rPr>
        <w:t xml:space="preserve"> </w:t>
      </w:r>
      <w:r w:rsidRPr="00454670">
        <w:rPr>
          <w:color w:val="000000"/>
        </w:rPr>
        <w:t>SPECIAL</w:t>
      </w:r>
      <w:r w:rsidR="00C64050">
        <w:rPr>
          <w:color w:val="000000"/>
        </w:rPr>
        <w:t xml:space="preserve"> </w:t>
      </w:r>
      <w:r w:rsidRPr="00454670">
        <w:rPr>
          <w:color w:val="000000"/>
        </w:rPr>
        <w:t>USE</w:t>
      </w:r>
      <w:r w:rsidR="00C64050">
        <w:rPr>
          <w:color w:val="000000"/>
        </w:rPr>
        <w:t xml:space="preserve"> </w:t>
      </w:r>
      <w:r w:rsidRPr="00454670">
        <w:rPr>
          <w:color w:val="000000"/>
        </w:rPr>
        <w:t>VALUATION</w:t>
      </w:r>
      <w:bookmarkStart w:id="348" w:name="_Toc203217889"/>
      <w:bookmarkStart w:id="349" w:name="_Toc168206588"/>
      <w:bookmarkStart w:id="350" w:name="_Toc168218222"/>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rsidR="00485DB9" w:rsidRPr="008C0FE2" w:rsidRDefault="00856D6A" w:rsidP="00E343D0">
      <w:pPr>
        <w:pStyle w:val="Heading20"/>
        <w:numPr>
          <w:ilvl w:val="1"/>
          <w:numId w:val="8"/>
        </w:numPr>
        <w:tabs>
          <w:tab w:val="clear" w:pos="2700"/>
        </w:tabs>
        <w:ind w:left="0"/>
        <w:rPr>
          <w:rStyle w:val="LeadInHeading2"/>
          <w:vanish/>
          <w:specVanish/>
        </w:rPr>
      </w:pPr>
      <w:bookmarkStart w:id="351" w:name="_Toc321753627"/>
      <w:bookmarkStart w:id="352" w:name="_Toc322015804"/>
      <w:bookmarkStart w:id="353" w:name="_Toc322015977"/>
      <w:bookmarkStart w:id="354" w:name="_Toc322016515"/>
      <w:bookmarkStart w:id="355" w:name="_Toc376946763"/>
      <w:bookmarkStart w:id="356" w:name="_Toc376947610"/>
      <w:bookmarkStart w:id="357" w:name="_Toc376948404"/>
      <w:bookmarkStart w:id="358" w:name="_Toc376949198"/>
      <w:bookmarkStart w:id="359" w:name="_Toc94704651"/>
      <w:r w:rsidRPr="008C0FE2">
        <w:rPr>
          <w:rStyle w:val="LeadInHeading2"/>
        </w:rPr>
        <w:t>New</w:t>
      </w:r>
      <w:r w:rsidR="00C64050">
        <w:rPr>
          <w:rStyle w:val="LeadInHeading2"/>
        </w:rPr>
        <w:t xml:space="preserve"> </w:t>
      </w:r>
      <w:r w:rsidRPr="008C0FE2">
        <w:rPr>
          <w:rStyle w:val="LeadInHeading2"/>
        </w:rPr>
        <w:t>Proposed</w:t>
      </w:r>
      <w:r w:rsidR="00C64050">
        <w:rPr>
          <w:rStyle w:val="LeadInHeading2"/>
        </w:rPr>
        <w:t xml:space="preserve"> </w:t>
      </w:r>
      <w:r w:rsidRPr="008C0FE2">
        <w:rPr>
          <w:rStyle w:val="LeadInHeading2"/>
        </w:rPr>
        <w:t>Alternate</w:t>
      </w:r>
      <w:r w:rsidR="00C64050">
        <w:rPr>
          <w:rStyle w:val="LeadInHeading2"/>
        </w:rPr>
        <w:t xml:space="preserve"> </w:t>
      </w:r>
      <w:r w:rsidRPr="008C0FE2">
        <w:rPr>
          <w:rStyle w:val="LeadInHeading2"/>
        </w:rPr>
        <w:t>Valuation</w:t>
      </w:r>
      <w:r w:rsidR="00C64050">
        <w:rPr>
          <w:rStyle w:val="LeadInHeading2"/>
        </w:rPr>
        <w:t xml:space="preserve"> </w:t>
      </w:r>
      <w:r w:rsidRPr="008C0FE2">
        <w:rPr>
          <w:rStyle w:val="LeadInHeading2"/>
        </w:rPr>
        <w:t>Regulations</w:t>
      </w:r>
      <w:bookmarkEnd w:id="351"/>
      <w:bookmarkEnd w:id="352"/>
      <w:bookmarkEnd w:id="353"/>
      <w:bookmarkEnd w:id="354"/>
      <w:bookmarkEnd w:id="355"/>
      <w:bookmarkEnd w:id="356"/>
      <w:bookmarkEnd w:id="357"/>
      <w:bookmarkEnd w:id="358"/>
      <w:bookmarkEnd w:id="359"/>
    </w:p>
    <w:p w:rsidR="00485DB9" w:rsidRPr="00454670" w:rsidRDefault="00856D6A">
      <w:pPr>
        <w:pStyle w:val="HBody21"/>
        <w:rPr>
          <w:vanish/>
          <w:color w:val="000000"/>
          <w:szCs w:val="20"/>
        </w:rPr>
      </w:pPr>
      <w:r w:rsidRPr="00454670">
        <w:rPr>
          <w:color w:val="000000"/>
          <w:szCs w:val="20"/>
        </w:rPr>
        <w:t>.</w:t>
      </w:r>
      <w:r w:rsidR="00C64050">
        <w:rPr>
          <w:color w:val="000000"/>
          <w:szCs w:val="20"/>
        </w:rPr>
        <w:t xml:space="preserve">  </w:t>
      </w:r>
      <w:r w:rsidR="0065188C">
        <w:rPr>
          <w:color w:val="000000"/>
          <w:szCs w:val="20"/>
        </w:rPr>
        <w:t>[WAITING</w:t>
      </w:r>
      <w:r w:rsidR="00C64050">
        <w:rPr>
          <w:color w:val="000000"/>
          <w:szCs w:val="20"/>
        </w:rPr>
        <w:t xml:space="preserve"> </w:t>
      </w:r>
      <w:r w:rsidR="0065188C">
        <w:rPr>
          <w:color w:val="000000"/>
          <w:szCs w:val="20"/>
        </w:rPr>
        <w:t>ON</w:t>
      </w:r>
      <w:r w:rsidR="00C64050">
        <w:rPr>
          <w:color w:val="000000"/>
          <w:szCs w:val="20"/>
        </w:rPr>
        <w:t xml:space="preserve"> </w:t>
      </w:r>
      <w:r w:rsidR="0065188C">
        <w:rPr>
          <w:color w:val="000000"/>
          <w:szCs w:val="20"/>
        </w:rPr>
        <w:t>FINAL</w:t>
      </w:r>
      <w:r w:rsidR="00C64050">
        <w:rPr>
          <w:color w:val="000000"/>
          <w:szCs w:val="20"/>
        </w:rPr>
        <w:t xml:space="preserve"> </w:t>
      </w:r>
      <w:r w:rsidR="0065188C">
        <w:rPr>
          <w:color w:val="000000"/>
          <w:szCs w:val="20"/>
        </w:rPr>
        <w:t>REGULATIONS.]</w:t>
      </w:r>
      <w:r w:rsidR="00C64050">
        <w:rPr>
          <w:color w:val="000000"/>
          <w:szCs w:val="20"/>
        </w:rPr>
        <w:t xml:space="preserve">  </w:t>
      </w:r>
      <w:r w:rsidRPr="00454670">
        <w:rPr>
          <w:color w:val="000000"/>
          <w:szCs w:val="20"/>
        </w:rPr>
        <w:t>REG-112196-07.</w:t>
      </w:r>
      <w:r w:rsidR="00C64050">
        <w:rPr>
          <w:color w:val="000000"/>
          <w:szCs w:val="20"/>
        </w:rPr>
        <w:t xml:space="preserve">  </w:t>
      </w:r>
      <w:r w:rsidRPr="00454670">
        <w:rPr>
          <w:color w:val="000000"/>
          <w:szCs w:val="20"/>
        </w:rPr>
        <w:t>An</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may</w:t>
      </w:r>
      <w:r w:rsidR="00C64050">
        <w:rPr>
          <w:color w:val="000000"/>
          <w:szCs w:val="20"/>
        </w:rPr>
        <w:t xml:space="preserve"> </w:t>
      </w:r>
      <w:r w:rsidRPr="00454670">
        <w:rPr>
          <w:color w:val="000000"/>
          <w:szCs w:val="20"/>
        </w:rPr>
        <w:t>elect</w:t>
      </w:r>
      <w:r w:rsidR="00C64050">
        <w:rPr>
          <w:color w:val="000000"/>
          <w:szCs w:val="20"/>
        </w:rPr>
        <w:t xml:space="preserve"> </w:t>
      </w:r>
      <w:r w:rsidRPr="00454670">
        <w:rPr>
          <w:color w:val="000000"/>
          <w:szCs w:val="20"/>
        </w:rPr>
        <w:t>alternate</w:t>
      </w:r>
      <w:r w:rsidR="00C64050">
        <w:rPr>
          <w:color w:val="000000"/>
          <w:szCs w:val="20"/>
        </w:rPr>
        <w:t xml:space="preserve"> </w:t>
      </w:r>
      <w:r w:rsidRPr="00454670">
        <w:rPr>
          <w:color w:val="000000"/>
          <w:szCs w:val="20"/>
        </w:rPr>
        <w:t>valuation</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its</w:t>
      </w:r>
      <w:r w:rsidR="00C64050">
        <w:rPr>
          <w:color w:val="000000"/>
          <w:szCs w:val="20"/>
        </w:rPr>
        <w:t xml:space="preserve"> </w:t>
      </w:r>
      <w:r w:rsidRPr="00454670">
        <w:rPr>
          <w:color w:val="000000"/>
          <w:szCs w:val="20"/>
        </w:rPr>
        <w:t>assets</w:t>
      </w:r>
      <w:r w:rsidR="00C64050">
        <w:rPr>
          <w:color w:val="000000"/>
          <w:szCs w:val="20"/>
        </w:rPr>
        <w:t xml:space="preserve"> </w:t>
      </w:r>
      <w:r w:rsidRPr="00454670">
        <w:rPr>
          <w:color w:val="000000"/>
          <w:szCs w:val="20"/>
        </w:rPr>
        <w:t>as</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six</w:t>
      </w:r>
      <w:r w:rsidR="00C64050">
        <w:rPr>
          <w:color w:val="000000"/>
          <w:szCs w:val="20"/>
        </w:rPr>
        <w:t xml:space="preserve"> </w:t>
      </w:r>
      <w:r w:rsidRPr="00454670">
        <w:rPr>
          <w:color w:val="000000"/>
          <w:szCs w:val="20"/>
        </w:rPr>
        <w:t>months</w:t>
      </w:r>
      <w:r w:rsidR="00C64050">
        <w:rPr>
          <w:color w:val="000000"/>
          <w:szCs w:val="20"/>
        </w:rPr>
        <w:t xml:space="preserve"> </w:t>
      </w:r>
      <w:r w:rsidRPr="00454670">
        <w:rPr>
          <w:color w:val="000000"/>
          <w:szCs w:val="20"/>
        </w:rPr>
        <w:t>after</w:t>
      </w:r>
      <w:r w:rsidR="00C64050">
        <w:rPr>
          <w:color w:val="000000"/>
          <w:szCs w:val="20"/>
        </w:rPr>
        <w:t xml:space="preserve"> </w:t>
      </w:r>
      <w:r w:rsidRPr="00454670">
        <w:rPr>
          <w:color w:val="000000"/>
          <w:szCs w:val="20"/>
        </w:rPr>
        <w:t>death</w:t>
      </w:r>
      <w:r w:rsidR="00C64050">
        <w:rPr>
          <w:color w:val="000000"/>
          <w:szCs w:val="20"/>
        </w:rPr>
        <w:t xml:space="preserve"> </w:t>
      </w:r>
      <w:r w:rsidRPr="00454670">
        <w:rPr>
          <w:color w:val="000000"/>
          <w:szCs w:val="20"/>
        </w:rPr>
        <w:t>for</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tax</w:t>
      </w:r>
      <w:r w:rsidR="00C64050">
        <w:rPr>
          <w:color w:val="000000"/>
          <w:szCs w:val="20"/>
        </w:rPr>
        <w:t xml:space="preserve"> </w:t>
      </w:r>
      <w:r w:rsidRPr="00454670">
        <w:rPr>
          <w:color w:val="000000"/>
          <w:szCs w:val="20"/>
        </w:rPr>
        <w:t>purposes.</w:t>
      </w:r>
      <w:r w:rsidR="00C64050">
        <w:rPr>
          <w:color w:val="000000"/>
          <w:szCs w:val="20"/>
        </w:rPr>
        <w:t xml:space="preserve">  </w:t>
      </w:r>
      <w:r w:rsidRPr="00454670">
        <w:rPr>
          <w:color w:val="000000"/>
          <w:szCs w:val="20"/>
        </w:rPr>
        <w:t>If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alternate</w:t>
      </w:r>
      <w:r w:rsidR="00C64050">
        <w:rPr>
          <w:color w:val="000000"/>
          <w:szCs w:val="20"/>
        </w:rPr>
        <w:t xml:space="preserve"> </w:t>
      </w:r>
      <w:r w:rsidRPr="00454670">
        <w:rPr>
          <w:color w:val="000000"/>
          <w:szCs w:val="20"/>
        </w:rPr>
        <w:t>valuation</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elected,</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disposed</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before</w:t>
      </w:r>
      <w:r w:rsidR="00C64050">
        <w:rPr>
          <w:color w:val="000000"/>
          <w:szCs w:val="20"/>
        </w:rPr>
        <w:t xml:space="preserve"> </w:t>
      </w:r>
      <w:r w:rsidRPr="00454670">
        <w:rPr>
          <w:color w:val="000000"/>
          <w:szCs w:val="20"/>
        </w:rPr>
        <w:t>six</w:t>
      </w:r>
      <w:r w:rsidR="00C64050">
        <w:rPr>
          <w:color w:val="000000"/>
          <w:szCs w:val="20"/>
        </w:rPr>
        <w:t xml:space="preserve"> </w:t>
      </w:r>
      <w:r w:rsidRPr="00454670">
        <w:rPr>
          <w:color w:val="000000"/>
          <w:szCs w:val="20"/>
        </w:rPr>
        <w:t>months</w:t>
      </w:r>
      <w:r w:rsidR="00C64050">
        <w:rPr>
          <w:color w:val="000000"/>
          <w:szCs w:val="20"/>
        </w:rPr>
        <w:t xml:space="preserve"> </w:t>
      </w:r>
      <w:r w:rsidRPr="00454670">
        <w:rPr>
          <w:color w:val="000000"/>
          <w:szCs w:val="20"/>
        </w:rPr>
        <w:t>after</w:t>
      </w:r>
      <w:r w:rsidR="00C64050">
        <w:rPr>
          <w:color w:val="000000"/>
          <w:szCs w:val="20"/>
        </w:rPr>
        <w:t xml:space="preserve"> </w:t>
      </w:r>
      <w:r w:rsidRPr="00454670">
        <w:rPr>
          <w:color w:val="000000"/>
          <w:szCs w:val="20"/>
        </w:rPr>
        <w:t>death</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valued</w:t>
      </w:r>
      <w:r w:rsidR="00C64050">
        <w:rPr>
          <w:color w:val="000000"/>
          <w:szCs w:val="20"/>
        </w:rPr>
        <w:t xml:space="preserve"> </w:t>
      </w:r>
      <w:r w:rsidRPr="00454670">
        <w:rPr>
          <w:color w:val="000000"/>
          <w:szCs w:val="20"/>
        </w:rPr>
        <w:t>on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disposition.</w:t>
      </w:r>
      <w:r w:rsidR="00C64050">
        <w:rPr>
          <w:color w:val="000000"/>
          <w:szCs w:val="20"/>
        </w:rPr>
        <w:t xml:space="preserve">  </w:t>
      </w:r>
      <w:r w:rsidRPr="00454670">
        <w:rPr>
          <w:color w:val="000000"/>
          <w:szCs w:val="20"/>
        </w:rPr>
        <w:t>§2032</w:t>
      </w:r>
      <w:r w:rsidR="00C64050">
        <w:rPr>
          <w:color w:val="000000"/>
          <w:szCs w:val="20"/>
        </w:rPr>
        <w:t xml:space="preserve"> </w:t>
      </w:r>
      <w:r w:rsidRPr="00454670">
        <w:rPr>
          <w:color w:val="000000"/>
          <w:szCs w:val="20"/>
        </w:rPr>
        <w:t>was</w:t>
      </w:r>
      <w:r w:rsidR="00C64050">
        <w:rPr>
          <w:color w:val="000000"/>
          <w:szCs w:val="20"/>
        </w:rPr>
        <w:t xml:space="preserve"> </w:t>
      </w:r>
      <w:r w:rsidRPr="00454670">
        <w:rPr>
          <w:color w:val="000000"/>
          <w:szCs w:val="20"/>
        </w:rPr>
        <w:t>originally</w:t>
      </w:r>
      <w:r w:rsidR="00C64050">
        <w:rPr>
          <w:color w:val="000000"/>
          <w:szCs w:val="20"/>
        </w:rPr>
        <w:t xml:space="preserve"> </w:t>
      </w:r>
      <w:r w:rsidRPr="00454670">
        <w:rPr>
          <w:color w:val="000000"/>
          <w:szCs w:val="20"/>
        </w:rPr>
        <w:t>enacted</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1935,</w:t>
      </w:r>
      <w:r w:rsidR="00C64050">
        <w:rPr>
          <w:color w:val="000000"/>
          <w:szCs w:val="20"/>
        </w:rPr>
        <w:t xml:space="preserve"> </w:t>
      </w:r>
      <w:r w:rsidRPr="00454670">
        <w:rPr>
          <w:color w:val="000000"/>
          <w:szCs w:val="20"/>
        </w:rPr>
        <w:t>after</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stock</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crash</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1929.</w:t>
      </w:r>
      <w:r w:rsidR="00C64050">
        <w:rPr>
          <w:color w:val="000000"/>
          <w:szCs w:val="20"/>
        </w:rPr>
        <w:t xml:space="preserve">  </w:t>
      </w:r>
      <w:r w:rsidRPr="00454670">
        <w:rPr>
          <w:color w:val="000000"/>
          <w:szCs w:val="20"/>
        </w:rPr>
        <w:t>On</w:t>
      </w:r>
      <w:r w:rsidR="00C64050">
        <w:rPr>
          <w:color w:val="000000"/>
          <w:szCs w:val="20"/>
        </w:rPr>
        <w:t xml:space="preserve"> </w:t>
      </w:r>
      <w:r w:rsidRPr="00454670">
        <w:rPr>
          <w:color w:val="000000"/>
          <w:szCs w:val="20"/>
        </w:rPr>
        <w:t>April</w:t>
      </w:r>
      <w:r w:rsidR="00C64050">
        <w:rPr>
          <w:color w:val="000000"/>
          <w:szCs w:val="20"/>
        </w:rPr>
        <w:t xml:space="preserve"> </w:t>
      </w:r>
      <w:r w:rsidRPr="00454670">
        <w:rPr>
          <w:color w:val="000000"/>
          <w:szCs w:val="20"/>
        </w:rPr>
        <w:t>25,</w:t>
      </w:r>
      <w:r w:rsidR="00C64050">
        <w:rPr>
          <w:color w:val="000000"/>
          <w:szCs w:val="20"/>
        </w:rPr>
        <w:t xml:space="preserve"> </w:t>
      </w:r>
      <w:r w:rsidRPr="00454670">
        <w:rPr>
          <w:color w:val="000000"/>
          <w:szCs w:val="20"/>
        </w:rPr>
        <w:t>2008,</w:t>
      </w:r>
      <w:r w:rsidR="00C64050">
        <w:rPr>
          <w:color w:val="000000"/>
          <w:szCs w:val="20"/>
        </w:rPr>
        <w:t xml:space="preserve"> </w:t>
      </w:r>
      <w:r w:rsidRPr="00454670">
        <w:rPr>
          <w:color w:val="000000"/>
          <w:szCs w:val="20"/>
        </w:rPr>
        <w:t>Treasury</w:t>
      </w:r>
      <w:r w:rsidR="00C64050">
        <w:rPr>
          <w:color w:val="000000"/>
          <w:szCs w:val="20"/>
        </w:rPr>
        <w:t xml:space="preserve"> </w:t>
      </w:r>
      <w:r w:rsidRPr="00454670">
        <w:rPr>
          <w:color w:val="000000"/>
          <w:szCs w:val="20"/>
        </w:rPr>
        <w:t>issued</w:t>
      </w:r>
      <w:r w:rsidR="00C64050">
        <w:rPr>
          <w:color w:val="000000"/>
          <w:szCs w:val="20"/>
        </w:rPr>
        <w:t xml:space="preserve"> </w:t>
      </w:r>
      <w:r w:rsidRPr="00454670">
        <w:rPr>
          <w:color w:val="000000"/>
          <w:szCs w:val="20"/>
        </w:rPr>
        <w:t>proposed</w:t>
      </w:r>
      <w:r w:rsidR="00C64050">
        <w:rPr>
          <w:color w:val="000000"/>
          <w:szCs w:val="20"/>
        </w:rPr>
        <w:t xml:space="preserve"> </w:t>
      </w:r>
      <w:r w:rsidRPr="00454670">
        <w:rPr>
          <w:color w:val="000000"/>
          <w:szCs w:val="20"/>
        </w:rPr>
        <w:t>Regulations</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restrict</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application</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section</w:t>
      </w:r>
      <w:r w:rsidR="00C64050">
        <w:rPr>
          <w:color w:val="000000"/>
          <w:szCs w:val="20"/>
        </w:rPr>
        <w:t xml:space="preserve"> </w:t>
      </w:r>
      <w:r w:rsidRPr="00454670">
        <w:rPr>
          <w:color w:val="000000"/>
          <w:szCs w:val="20"/>
        </w:rPr>
        <w:t>2032</w:t>
      </w:r>
      <w:r w:rsidR="00C64050">
        <w:rPr>
          <w:color w:val="000000"/>
          <w:szCs w:val="20"/>
        </w:rPr>
        <w:t xml:space="preserve"> </w:t>
      </w:r>
      <w:r w:rsidRPr="00454670">
        <w:rPr>
          <w:color w:val="000000"/>
          <w:szCs w:val="20"/>
        </w:rPr>
        <w:t>by</w:t>
      </w:r>
      <w:r w:rsidR="00C64050">
        <w:rPr>
          <w:color w:val="000000"/>
          <w:szCs w:val="20"/>
        </w:rPr>
        <w:t xml:space="preserve"> </w:t>
      </w:r>
      <w:r w:rsidRPr="00454670">
        <w:rPr>
          <w:color w:val="000000"/>
          <w:szCs w:val="20"/>
        </w:rPr>
        <w:t>preventing</w:t>
      </w:r>
      <w:r w:rsidR="00C64050">
        <w:rPr>
          <w:color w:val="000000"/>
          <w:szCs w:val="20"/>
        </w:rPr>
        <w:t xml:space="preserve"> </w:t>
      </w:r>
      <w:r w:rsidRPr="00454670">
        <w:rPr>
          <w:color w:val="000000"/>
          <w:szCs w:val="20"/>
        </w:rPr>
        <w:t>post-death</w:t>
      </w:r>
      <w:r w:rsidR="00C64050">
        <w:rPr>
          <w:color w:val="000000"/>
          <w:szCs w:val="20"/>
        </w:rPr>
        <w:t xml:space="preserve"> </w:t>
      </w:r>
      <w:r w:rsidRPr="00454670">
        <w:rPr>
          <w:color w:val="000000"/>
          <w:szCs w:val="20"/>
        </w:rPr>
        <w:t>events</w:t>
      </w:r>
      <w:r w:rsidR="00C64050">
        <w:rPr>
          <w:color w:val="000000"/>
          <w:szCs w:val="20"/>
        </w:rPr>
        <w:t xml:space="preserve"> </w:t>
      </w:r>
      <w:r w:rsidRPr="00454670">
        <w:rPr>
          <w:color w:val="000000"/>
          <w:szCs w:val="20"/>
        </w:rPr>
        <w:t>other</w:t>
      </w:r>
      <w:r w:rsidR="00C64050">
        <w:rPr>
          <w:color w:val="000000"/>
          <w:szCs w:val="20"/>
        </w:rPr>
        <w:t xml:space="preserve"> </w:t>
      </w:r>
      <w:r w:rsidRPr="00454670">
        <w:rPr>
          <w:color w:val="000000"/>
          <w:szCs w:val="20"/>
        </w:rPr>
        <w:t>than</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conditions</w:t>
      </w:r>
      <w:r w:rsidR="00C64050">
        <w:rPr>
          <w:color w:val="000000"/>
          <w:szCs w:val="20"/>
        </w:rPr>
        <w:t xml:space="preserve"> </w:t>
      </w:r>
      <w:r w:rsidRPr="00454670">
        <w:rPr>
          <w:color w:val="000000"/>
          <w:szCs w:val="20"/>
        </w:rPr>
        <w:t>from</w:t>
      </w:r>
      <w:r w:rsidR="00C64050">
        <w:rPr>
          <w:color w:val="000000"/>
          <w:szCs w:val="20"/>
        </w:rPr>
        <w:t xml:space="preserve"> </w:t>
      </w:r>
      <w:r w:rsidRPr="00454670">
        <w:rPr>
          <w:color w:val="000000"/>
          <w:szCs w:val="20"/>
        </w:rPr>
        <w:t>being</w:t>
      </w:r>
      <w:r w:rsidR="00C64050">
        <w:rPr>
          <w:color w:val="000000"/>
          <w:szCs w:val="20"/>
        </w:rPr>
        <w:t xml:space="preserve"> </w:t>
      </w:r>
      <w:r w:rsidRPr="00454670">
        <w:rPr>
          <w:color w:val="000000"/>
          <w:szCs w:val="20"/>
        </w:rPr>
        <w:t>taken</w:t>
      </w:r>
      <w:r w:rsidR="00C64050">
        <w:rPr>
          <w:color w:val="000000"/>
          <w:szCs w:val="20"/>
        </w:rPr>
        <w:t xml:space="preserve"> </w:t>
      </w:r>
      <w:r w:rsidRPr="00454670">
        <w:rPr>
          <w:color w:val="000000"/>
          <w:szCs w:val="20"/>
        </w:rPr>
        <w:t>into</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when</w:t>
      </w:r>
      <w:r w:rsidR="00C64050">
        <w:rPr>
          <w:color w:val="000000"/>
          <w:szCs w:val="20"/>
        </w:rPr>
        <w:t xml:space="preserve"> </w:t>
      </w:r>
      <w:r w:rsidRPr="00454670">
        <w:rPr>
          <w:color w:val="000000"/>
          <w:szCs w:val="20"/>
        </w:rPr>
        <w:t>valuing</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Those</w:t>
      </w:r>
      <w:r w:rsidR="00C64050">
        <w:rPr>
          <w:color w:val="000000"/>
          <w:szCs w:val="20"/>
        </w:rPr>
        <w:t xml:space="preserve"> </w:t>
      </w:r>
      <w:r w:rsidRPr="00454670">
        <w:rPr>
          <w:color w:val="000000"/>
          <w:szCs w:val="20"/>
        </w:rPr>
        <w:t>Proposed</w:t>
      </w:r>
      <w:r w:rsidR="00C64050">
        <w:rPr>
          <w:color w:val="000000"/>
          <w:szCs w:val="20"/>
        </w:rPr>
        <w:t xml:space="preserve"> </w:t>
      </w:r>
      <w:r w:rsidRPr="00454670">
        <w:rPr>
          <w:color w:val="000000"/>
          <w:szCs w:val="20"/>
        </w:rPr>
        <w:t>Regulations</w:t>
      </w:r>
      <w:r w:rsidR="00C64050">
        <w:rPr>
          <w:color w:val="000000"/>
          <w:szCs w:val="20"/>
        </w:rPr>
        <w:t xml:space="preserve"> </w:t>
      </w:r>
      <w:r w:rsidRPr="00454670">
        <w:rPr>
          <w:color w:val="000000"/>
          <w:szCs w:val="20"/>
        </w:rPr>
        <w:t>defined</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conditions</w:t>
      </w:r>
      <w:r w:rsidR="00C64050">
        <w:rPr>
          <w:color w:val="000000"/>
          <w:szCs w:val="20"/>
        </w:rPr>
        <w:t xml:space="preserve"> </w:t>
      </w:r>
      <w:r w:rsidRPr="00454670">
        <w:rPr>
          <w:color w:val="000000"/>
          <w:szCs w:val="20"/>
        </w:rPr>
        <w:t>as</w:t>
      </w:r>
      <w:r w:rsidR="00C64050">
        <w:rPr>
          <w:color w:val="000000"/>
          <w:szCs w:val="20"/>
        </w:rPr>
        <w:t xml:space="preserve"> </w:t>
      </w:r>
      <w:r w:rsidRPr="00454670">
        <w:rPr>
          <w:color w:val="000000"/>
          <w:szCs w:val="20"/>
        </w:rPr>
        <w:t>events</w:t>
      </w:r>
      <w:r w:rsidR="00C64050">
        <w:rPr>
          <w:color w:val="000000"/>
          <w:szCs w:val="20"/>
        </w:rPr>
        <w:t xml:space="preserve"> </w:t>
      </w:r>
      <w:r w:rsidRPr="00454670">
        <w:rPr>
          <w:color w:val="000000"/>
          <w:szCs w:val="20"/>
        </w:rPr>
        <w:t>outside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control</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decedent,</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decedent's</w:t>
      </w:r>
      <w:r w:rsidR="00C64050">
        <w:rPr>
          <w:color w:val="000000"/>
          <w:szCs w:val="20"/>
        </w:rPr>
        <w:t xml:space="preserve"> </w:t>
      </w:r>
      <w:r w:rsidRPr="00454670">
        <w:rPr>
          <w:color w:val="000000"/>
          <w:szCs w:val="20"/>
        </w:rPr>
        <w:t>executor</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trustee,</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any</w:t>
      </w:r>
      <w:r w:rsidR="00C64050">
        <w:rPr>
          <w:color w:val="000000"/>
          <w:szCs w:val="20"/>
        </w:rPr>
        <w:t xml:space="preserve"> </w:t>
      </w:r>
      <w:r w:rsidRPr="00454670">
        <w:rPr>
          <w:color w:val="000000"/>
          <w:szCs w:val="20"/>
        </w:rPr>
        <w:t>other</w:t>
      </w:r>
      <w:r w:rsidR="00C64050">
        <w:rPr>
          <w:color w:val="000000"/>
          <w:szCs w:val="20"/>
        </w:rPr>
        <w:t xml:space="preserve"> </w:t>
      </w:r>
      <w:r w:rsidRPr="00454670">
        <w:rPr>
          <w:color w:val="000000"/>
          <w:szCs w:val="20"/>
        </w:rPr>
        <w:t>person</w:t>
      </w:r>
      <w:r w:rsidR="00C64050">
        <w:rPr>
          <w:color w:val="000000"/>
          <w:szCs w:val="20"/>
        </w:rPr>
        <w:t xml:space="preserve"> </w:t>
      </w:r>
      <w:r w:rsidRPr="00454670">
        <w:rPr>
          <w:color w:val="000000"/>
          <w:szCs w:val="20"/>
        </w:rPr>
        <w:t>whose</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being</w:t>
      </w:r>
      <w:r w:rsidR="00C64050">
        <w:rPr>
          <w:color w:val="000000"/>
          <w:szCs w:val="20"/>
        </w:rPr>
        <w:t xml:space="preserve"> </w:t>
      </w:r>
      <w:r w:rsidRPr="00454670">
        <w:rPr>
          <w:color w:val="000000"/>
          <w:szCs w:val="20"/>
        </w:rPr>
        <w:t>valued</w:t>
      </w:r>
      <w:r w:rsidR="00C64050">
        <w:rPr>
          <w:color w:val="000000"/>
          <w:szCs w:val="20"/>
        </w:rPr>
        <w:t xml:space="preserve"> </w:t>
      </w:r>
      <w:r w:rsidRPr="00454670">
        <w:rPr>
          <w:color w:val="000000"/>
          <w:szCs w:val="20"/>
        </w:rPr>
        <w:t>affected</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government’s</w:t>
      </w:r>
      <w:r w:rsidR="00C64050">
        <w:rPr>
          <w:color w:val="000000"/>
          <w:szCs w:val="20"/>
        </w:rPr>
        <w:t xml:space="preserve"> </w:t>
      </w:r>
      <w:r w:rsidRPr="00454670">
        <w:rPr>
          <w:color w:val="000000"/>
          <w:szCs w:val="20"/>
        </w:rPr>
        <w:t>defeat</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u w:val="single"/>
        </w:rPr>
        <w:t>Kohler</w:t>
      </w:r>
      <w:r w:rsidR="00C64050">
        <w:rPr>
          <w:color w:val="000000"/>
          <w:szCs w:val="20"/>
          <w:u w:val="single"/>
        </w:rPr>
        <w:t xml:space="preserve"> </w:t>
      </w:r>
      <w:r w:rsidRPr="00454670">
        <w:rPr>
          <w:color w:val="000000"/>
          <w:szCs w:val="20"/>
          <w:u w:val="single"/>
        </w:rPr>
        <w:t>v.</w:t>
      </w:r>
      <w:r w:rsidR="00C64050">
        <w:rPr>
          <w:color w:val="000000"/>
          <w:szCs w:val="20"/>
          <w:u w:val="single"/>
        </w:rPr>
        <w:t xml:space="preserve"> </w:t>
      </w:r>
      <w:r w:rsidRPr="00454670">
        <w:rPr>
          <w:color w:val="000000"/>
          <w:szCs w:val="20"/>
          <w:u w:val="single"/>
        </w:rPr>
        <w:t>Commissioner</w:t>
      </w:r>
      <w:r w:rsidRPr="00454670">
        <w:rPr>
          <w:color w:val="000000"/>
          <w:szCs w:val="20"/>
        </w:rPr>
        <w:t>,</w:t>
      </w:r>
      <w:r w:rsidR="00C64050">
        <w:rPr>
          <w:color w:val="000000"/>
          <w:szCs w:val="20"/>
        </w:rPr>
        <w:t xml:space="preserve"> </w:t>
      </w:r>
      <w:r w:rsidRPr="00454670">
        <w:rPr>
          <w:color w:val="000000"/>
          <w:szCs w:val="20"/>
        </w:rPr>
        <w:t>T.C.</w:t>
      </w:r>
      <w:r w:rsidR="00C64050">
        <w:rPr>
          <w:color w:val="000000"/>
          <w:szCs w:val="20"/>
        </w:rPr>
        <w:t xml:space="preserve"> </w:t>
      </w:r>
      <w:r w:rsidRPr="00454670">
        <w:rPr>
          <w:color w:val="000000"/>
          <w:szCs w:val="20"/>
        </w:rPr>
        <w:t>Memo.</w:t>
      </w:r>
      <w:r w:rsidR="00C64050">
        <w:rPr>
          <w:color w:val="000000"/>
          <w:szCs w:val="20"/>
        </w:rPr>
        <w:t xml:space="preserve"> </w:t>
      </w:r>
      <w:r w:rsidRPr="00454670">
        <w:rPr>
          <w:color w:val="000000"/>
          <w:szCs w:val="20"/>
        </w:rPr>
        <w:t>2006-152,</w:t>
      </w:r>
      <w:r w:rsidR="00C64050">
        <w:rPr>
          <w:color w:val="000000"/>
          <w:szCs w:val="20"/>
        </w:rPr>
        <w:t xml:space="preserve"> </w:t>
      </w:r>
      <w:r w:rsidRPr="00454670">
        <w:rPr>
          <w:color w:val="000000"/>
          <w:szCs w:val="20"/>
        </w:rPr>
        <w:t>inspired</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Proposed</w:t>
      </w:r>
      <w:r w:rsidR="00C64050">
        <w:rPr>
          <w:color w:val="000000"/>
          <w:szCs w:val="20"/>
        </w:rPr>
        <w:t xml:space="preserve"> </w:t>
      </w:r>
      <w:r w:rsidRPr="00454670">
        <w:rPr>
          <w:color w:val="000000"/>
          <w:szCs w:val="20"/>
        </w:rPr>
        <w:t>Regulations.</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Tax</w:t>
      </w:r>
      <w:r w:rsidR="00C64050">
        <w:rPr>
          <w:color w:val="000000"/>
          <w:szCs w:val="20"/>
        </w:rPr>
        <w:t xml:space="preserve"> </w:t>
      </w:r>
      <w:r w:rsidRPr="00454670">
        <w:rPr>
          <w:color w:val="000000"/>
          <w:szCs w:val="20"/>
        </w:rPr>
        <w:t>Court</w:t>
      </w:r>
      <w:r w:rsidR="00C64050">
        <w:rPr>
          <w:color w:val="000000"/>
          <w:szCs w:val="20"/>
        </w:rPr>
        <w:t xml:space="preserve"> </w:t>
      </w:r>
      <w:r w:rsidRPr="00454670">
        <w:rPr>
          <w:color w:val="000000"/>
          <w:szCs w:val="20"/>
        </w:rPr>
        <w:t>ruled</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u w:val="single"/>
        </w:rPr>
        <w:t>Kohler</w:t>
      </w:r>
      <w:r w:rsidR="00C64050">
        <w:rPr>
          <w:color w:val="000000"/>
          <w:szCs w:val="20"/>
        </w:rPr>
        <w:t xml:space="preserve"> </w:t>
      </w:r>
      <w:r w:rsidRPr="00454670">
        <w:rPr>
          <w:color w:val="000000"/>
          <w:szCs w:val="20"/>
        </w:rPr>
        <w:t>that</w:t>
      </w:r>
      <w:r w:rsidR="00C64050">
        <w:rPr>
          <w:color w:val="000000"/>
          <w:szCs w:val="20"/>
        </w:rPr>
        <w:t xml:space="preserve"> </w:t>
      </w:r>
      <w:r w:rsidRPr="00454670">
        <w:rPr>
          <w:color w:val="000000"/>
          <w:szCs w:val="20"/>
        </w:rPr>
        <w:t>stock</w:t>
      </w:r>
      <w:r w:rsidR="00C64050">
        <w:rPr>
          <w:color w:val="000000"/>
          <w:szCs w:val="20"/>
        </w:rPr>
        <w:t xml:space="preserve"> </w:t>
      </w:r>
      <w:r w:rsidRPr="00454670">
        <w:rPr>
          <w:color w:val="000000"/>
          <w:szCs w:val="20"/>
        </w:rPr>
        <w:t>received</w:t>
      </w:r>
      <w:r w:rsidR="00C64050">
        <w:rPr>
          <w:color w:val="000000"/>
          <w:szCs w:val="20"/>
        </w:rPr>
        <w:t xml:space="preserve"> </w:t>
      </w:r>
      <w:r w:rsidRPr="00454670">
        <w:rPr>
          <w:color w:val="000000"/>
          <w:szCs w:val="20"/>
        </w:rPr>
        <w:t>by</w:t>
      </w:r>
      <w:r w:rsidR="00C64050">
        <w:rPr>
          <w:color w:val="000000"/>
          <w:szCs w:val="20"/>
        </w:rPr>
        <w:t xml:space="preserve"> </w:t>
      </w:r>
      <w:r w:rsidRPr="00454670">
        <w:rPr>
          <w:color w:val="000000"/>
          <w:szCs w:val="20"/>
        </w:rPr>
        <w:t>an</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post-death</w:t>
      </w:r>
      <w:r w:rsidR="00C64050">
        <w:rPr>
          <w:color w:val="000000"/>
          <w:szCs w:val="20"/>
        </w:rPr>
        <w:t xml:space="preserve"> </w:t>
      </w:r>
      <w:r w:rsidRPr="00454670">
        <w:rPr>
          <w:color w:val="000000"/>
          <w:szCs w:val="20"/>
        </w:rPr>
        <w:t>reorganization</w:t>
      </w:r>
      <w:r w:rsidR="00C64050">
        <w:rPr>
          <w:color w:val="000000"/>
          <w:szCs w:val="20"/>
        </w:rPr>
        <w:t xml:space="preserve"> </w:t>
      </w:r>
      <w:r w:rsidRPr="00454670">
        <w:rPr>
          <w:color w:val="000000"/>
          <w:szCs w:val="20"/>
        </w:rPr>
        <w:t>should</w:t>
      </w:r>
      <w:r w:rsidR="00C64050">
        <w:rPr>
          <w:color w:val="000000"/>
          <w:szCs w:val="20"/>
        </w:rPr>
        <w:t xml:space="preserve"> </w:t>
      </w:r>
      <w:r w:rsidRPr="00454670">
        <w:rPr>
          <w:color w:val="000000"/>
          <w:szCs w:val="20"/>
        </w:rPr>
        <w:t>be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valued</w:t>
      </w:r>
      <w:r w:rsidR="00C64050">
        <w:rPr>
          <w:color w:val="000000"/>
          <w:szCs w:val="20"/>
        </w:rPr>
        <w:t xml:space="preserve"> </w:t>
      </w:r>
      <w:r w:rsidRPr="00454670">
        <w:rPr>
          <w:color w:val="000000"/>
          <w:szCs w:val="20"/>
        </w:rPr>
        <w:t>on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alternate</w:t>
      </w:r>
      <w:r w:rsidR="00C64050">
        <w:rPr>
          <w:color w:val="000000"/>
          <w:szCs w:val="20"/>
        </w:rPr>
        <w:t xml:space="preserve"> </w:t>
      </w:r>
      <w:r w:rsidRPr="00454670">
        <w:rPr>
          <w:color w:val="000000"/>
          <w:szCs w:val="20"/>
        </w:rPr>
        <w:t>valuation</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that</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restrictions</w:t>
      </w:r>
      <w:r w:rsidR="00C64050">
        <w:rPr>
          <w:color w:val="000000"/>
          <w:szCs w:val="20"/>
        </w:rPr>
        <w:t xml:space="preserve"> </w:t>
      </w:r>
      <w:r w:rsidRPr="00454670">
        <w:rPr>
          <w:color w:val="000000"/>
          <w:szCs w:val="20"/>
        </w:rPr>
        <w:t>placed</w:t>
      </w:r>
      <w:r w:rsidR="00C64050">
        <w:rPr>
          <w:color w:val="000000"/>
          <w:szCs w:val="20"/>
        </w:rPr>
        <w:t xml:space="preserve"> </w:t>
      </w:r>
      <w:r w:rsidRPr="00454670">
        <w:rPr>
          <w:color w:val="000000"/>
          <w:szCs w:val="20"/>
        </w:rPr>
        <w:t>on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stock</w:t>
      </w:r>
      <w:r w:rsidR="00C64050">
        <w:rPr>
          <w:color w:val="000000"/>
          <w:szCs w:val="20"/>
        </w:rPr>
        <w:t xml:space="preserve"> </w:t>
      </w:r>
      <w:r w:rsidRPr="00454670">
        <w:rPr>
          <w:color w:val="000000"/>
          <w:szCs w:val="20"/>
        </w:rPr>
        <w:t>should</w:t>
      </w:r>
      <w:r w:rsidR="00C64050">
        <w:rPr>
          <w:color w:val="000000"/>
          <w:szCs w:val="20"/>
        </w:rPr>
        <w:t xml:space="preserve"> </w:t>
      </w:r>
      <w:r w:rsidRPr="00454670">
        <w:rPr>
          <w:color w:val="000000"/>
          <w:szCs w:val="20"/>
        </w:rPr>
        <w:t>be</w:t>
      </w:r>
      <w:r w:rsidR="00C64050">
        <w:rPr>
          <w:color w:val="000000"/>
          <w:szCs w:val="20"/>
        </w:rPr>
        <w:t xml:space="preserve"> </w:t>
      </w:r>
      <w:r w:rsidRPr="00454670">
        <w:rPr>
          <w:color w:val="000000"/>
          <w:szCs w:val="20"/>
        </w:rPr>
        <w:t>taken</w:t>
      </w:r>
      <w:r w:rsidR="00C64050">
        <w:rPr>
          <w:color w:val="000000"/>
          <w:szCs w:val="20"/>
        </w:rPr>
        <w:t xml:space="preserve"> </w:t>
      </w:r>
      <w:r w:rsidRPr="00454670">
        <w:rPr>
          <w:color w:val="000000"/>
          <w:szCs w:val="20"/>
        </w:rPr>
        <w:t>into</w:t>
      </w:r>
      <w:r w:rsidR="00C64050">
        <w:rPr>
          <w:color w:val="000000"/>
          <w:szCs w:val="20"/>
        </w:rPr>
        <w:t xml:space="preserve"> </w:t>
      </w:r>
      <w:r w:rsidRPr="00454670">
        <w:rPr>
          <w:color w:val="000000"/>
          <w:szCs w:val="20"/>
        </w:rPr>
        <w:t>account.</w:t>
      </w:r>
      <w:r w:rsidR="00C64050">
        <w:rPr>
          <w:color w:val="000000"/>
          <w:szCs w:val="20"/>
        </w:rPr>
        <w:t xml:space="preserve">  </w:t>
      </w:r>
    </w:p>
    <w:p w:rsidR="00485DB9" w:rsidRPr="00454670" w:rsidRDefault="00856D6A">
      <w:pPr>
        <w:pStyle w:val="Body15"/>
        <w:rPr>
          <w:color w:val="000000"/>
          <w:szCs w:val="20"/>
        </w:rPr>
      </w:pPr>
      <w:r w:rsidRPr="00454670">
        <w:rPr>
          <w:color w:val="000000"/>
          <w:szCs w:val="20"/>
        </w:rPr>
        <w:t>In</w:t>
      </w:r>
      <w:r w:rsidR="00C64050">
        <w:rPr>
          <w:color w:val="000000"/>
          <w:szCs w:val="20"/>
        </w:rPr>
        <w:t xml:space="preserve"> </w:t>
      </w:r>
      <w:r w:rsidRPr="00454670">
        <w:rPr>
          <w:color w:val="000000"/>
          <w:szCs w:val="20"/>
        </w:rPr>
        <w:t>its</w:t>
      </w:r>
      <w:r w:rsidR="00C64050">
        <w:rPr>
          <w:color w:val="000000"/>
          <w:szCs w:val="20"/>
        </w:rPr>
        <w:t xml:space="preserve"> </w:t>
      </w:r>
      <w:r w:rsidRPr="00454670">
        <w:rPr>
          <w:color w:val="000000"/>
          <w:szCs w:val="20"/>
        </w:rPr>
        <w:t>action</w:t>
      </w:r>
      <w:r w:rsidR="00C64050">
        <w:rPr>
          <w:color w:val="000000"/>
          <w:szCs w:val="20"/>
        </w:rPr>
        <w:t xml:space="preserve"> </w:t>
      </w:r>
      <w:r w:rsidRPr="00454670">
        <w:rPr>
          <w:color w:val="000000"/>
          <w:szCs w:val="20"/>
        </w:rPr>
        <w:t>on</w:t>
      </w:r>
      <w:r w:rsidR="00C64050">
        <w:rPr>
          <w:color w:val="000000"/>
          <w:szCs w:val="20"/>
        </w:rPr>
        <w:t xml:space="preserve"> </w:t>
      </w:r>
      <w:r w:rsidRPr="00454670">
        <w:rPr>
          <w:color w:val="000000"/>
          <w:szCs w:val="20"/>
        </w:rPr>
        <w:t>decision</w:t>
      </w:r>
      <w:r w:rsidR="00C64050">
        <w:rPr>
          <w:color w:val="000000"/>
          <w:szCs w:val="20"/>
        </w:rPr>
        <w:t xml:space="preserve"> </w:t>
      </w:r>
      <w:r w:rsidRPr="00454670">
        <w:rPr>
          <w:color w:val="000000"/>
          <w:szCs w:val="20"/>
        </w:rPr>
        <w:t>stating</w:t>
      </w:r>
      <w:r w:rsidR="00C64050">
        <w:rPr>
          <w:color w:val="000000"/>
          <w:szCs w:val="20"/>
        </w:rPr>
        <w:t xml:space="preserve"> </w:t>
      </w:r>
      <w:r w:rsidRPr="00454670">
        <w:rPr>
          <w:color w:val="000000"/>
          <w:szCs w:val="20"/>
        </w:rPr>
        <w:t>non-acquiescence,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IRS</w:t>
      </w:r>
      <w:r w:rsidR="00C64050">
        <w:rPr>
          <w:color w:val="000000"/>
          <w:szCs w:val="20"/>
        </w:rPr>
        <w:t xml:space="preserve"> </w:t>
      </w:r>
      <w:r w:rsidRPr="00454670">
        <w:rPr>
          <w:color w:val="000000"/>
          <w:szCs w:val="20"/>
        </w:rPr>
        <w:t>took</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view</w:t>
      </w:r>
      <w:r w:rsidR="00C64050">
        <w:rPr>
          <w:color w:val="000000"/>
          <w:szCs w:val="20"/>
        </w:rPr>
        <w:t xml:space="preserve"> </w:t>
      </w:r>
      <w:r w:rsidRPr="00454670">
        <w:rPr>
          <w:color w:val="000000"/>
          <w:szCs w:val="20"/>
        </w:rPr>
        <w:t>that</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court</w:t>
      </w:r>
      <w:r w:rsidR="00C64050">
        <w:rPr>
          <w:color w:val="000000"/>
          <w:szCs w:val="20"/>
        </w:rPr>
        <w:t xml:space="preserve"> </w:t>
      </w:r>
      <w:r w:rsidRPr="00454670">
        <w:rPr>
          <w:color w:val="000000"/>
          <w:szCs w:val="20"/>
        </w:rPr>
        <w:t>incorrectly</w:t>
      </w:r>
      <w:r w:rsidR="00C64050">
        <w:rPr>
          <w:color w:val="000000"/>
          <w:szCs w:val="20"/>
        </w:rPr>
        <w:t xml:space="preserve"> </w:t>
      </w:r>
      <w:r w:rsidRPr="00454670">
        <w:rPr>
          <w:color w:val="000000"/>
          <w:szCs w:val="20"/>
        </w:rPr>
        <w:t>applied</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regulations</w:t>
      </w:r>
      <w:r w:rsidR="00C64050">
        <w:rPr>
          <w:color w:val="000000"/>
          <w:szCs w:val="20"/>
        </w:rPr>
        <w:t xml:space="preserve"> </w:t>
      </w:r>
      <w:r w:rsidRPr="00454670">
        <w:rPr>
          <w:color w:val="000000"/>
          <w:szCs w:val="20"/>
        </w:rPr>
        <w:t>by</w:t>
      </w:r>
      <w:r w:rsidR="00C64050">
        <w:rPr>
          <w:color w:val="000000"/>
          <w:szCs w:val="20"/>
        </w:rPr>
        <w:t xml:space="preserve"> </w:t>
      </w:r>
      <w:r w:rsidRPr="00454670">
        <w:rPr>
          <w:color w:val="000000"/>
          <w:szCs w:val="20"/>
        </w:rPr>
        <w:t>allowing</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post-death</w:t>
      </w:r>
      <w:r w:rsidR="00C64050">
        <w:rPr>
          <w:color w:val="000000"/>
          <w:szCs w:val="20"/>
        </w:rPr>
        <w:t xml:space="preserve"> </w:t>
      </w:r>
      <w:r w:rsidRPr="00454670">
        <w:rPr>
          <w:color w:val="000000"/>
          <w:szCs w:val="20"/>
        </w:rPr>
        <w:t>change</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character</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be</w:t>
      </w:r>
      <w:r w:rsidR="00C64050">
        <w:rPr>
          <w:color w:val="000000"/>
          <w:szCs w:val="20"/>
        </w:rPr>
        <w:t xml:space="preserve"> </w:t>
      </w:r>
      <w:r w:rsidRPr="00454670">
        <w:rPr>
          <w:color w:val="000000"/>
          <w:szCs w:val="20"/>
        </w:rPr>
        <w:t>taken</w:t>
      </w:r>
      <w:r w:rsidR="00C64050">
        <w:rPr>
          <w:color w:val="000000"/>
          <w:szCs w:val="20"/>
        </w:rPr>
        <w:t xml:space="preserve"> </w:t>
      </w:r>
      <w:r w:rsidRPr="00454670">
        <w:rPr>
          <w:color w:val="000000"/>
          <w:szCs w:val="20"/>
        </w:rPr>
        <w:t>into</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when</w:t>
      </w:r>
      <w:r w:rsidR="00C64050">
        <w:rPr>
          <w:color w:val="000000"/>
          <w:szCs w:val="20"/>
        </w:rPr>
        <w:t xml:space="preserve"> </w:t>
      </w:r>
      <w:r w:rsidRPr="00454670">
        <w:rPr>
          <w:color w:val="000000"/>
          <w:szCs w:val="20"/>
        </w:rPr>
        <w:t>determining</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property's</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IRS</w:t>
      </w:r>
      <w:r w:rsidR="00C64050">
        <w:rPr>
          <w:color w:val="000000"/>
          <w:szCs w:val="20"/>
        </w:rPr>
        <w:t xml:space="preserve"> </w:t>
      </w:r>
      <w:r w:rsidRPr="00454670">
        <w:rPr>
          <w:color w:val="000000"/>
          <w:szCs w:val="20"/>
        </w:rPr>
        <w:t>thought</w:t>
      </w:r>
      <w:r w:rsidR="00C64050">
        <w:rPr>
          <w:color w:val="000000"/>
          <w:szCs w:val="20"/>
        </w:rPr>
        <w:t xml:space="preserve"> </w:t>
      </w:r>
      <w:r w:rsidRPr="00454670">
        <w:rPr>
          <w:color w:val="000000"/>
          <w:szCs w:val="20"/>
        </w:rPr>
        <w:t>that</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court</w:t>
      </w:r>
      <w:r w:rsidR="00C64050">
        <w:rPr>
          <w:color w:val="000000"/>
          <w:szCs w:val="20"/>
        </w:rPr>
        <w:t xml:space="preserve"> </w:t>
      </w:r>
      <w:r w:rsidRPr="00454670">
        <w:rPr>
          <w:color w:val="000000"/>
          <w:szCs w:val="20"/>
        </w:rPr>
        <w:t>misapplied</w:t>
      </w:r>
      <w:r w:rsidR="00C64050">
        <w:rPr>
          <w:color w:val="000000"/>
          <w:szCs w:val="20"/>
        </w:rPr>
        <w:t xml:space="preserve"> </w:t>
      </w:r>
      <w:r w:rsidRPr="00454670">
        <w:rPr>
          <w:color w:val="000000"/>
          <w:szCs w:val="20"/>
        </w:rPr>
        <w:t>Treas.</w:t>
      </w:r>
      <w:r w:rsidR="00C64050">
        <w:rPr>
          <w:color w:val="000000"/>
          <w:szCs w:val="20"/>
        </w:rPr>
        <w:t xml:space="preserve"> </w:t>
      </w:r>
      <w:r w:rsidRPr="00454670">
        <w:rPr>
          <w:color w:val="000000"/>
          <w:szCs w:val="20"/>
        </w:rPr>
        <w:t>Reg.</w:t>
      </w:r>
      <w:r w:rsidR="00C64050">
        <w:rPr>
          <w:color w:val="000000"/>
          <w:szCs w:val="20"/>
        </w:rPr>
        <w:t xml:space="preserve"> </w:t>
      </w:r>
      <w:r w:rsidRPr="00454670">
        <w:rPr>
          <w:color w:val="000000"/>
          <w:szCs w:val="20"/>
        </w:rPr>
        <w:t>§</w:t>
      </w:r>
      <w:r w:rsidR="00C64050">
        <w:rPr>
          <w:color w:val="000000"/>
          <w:szCs w:val="20"/>
        </w:rPr>
        <w:t xml:space="preserve"> </w:t>
      </w:r>
      <w:r w:rsidRPr="00454670">
        <w:rPr>
          <w:color w:val="000000"/>
          <w:szCs w:val="20"/>
        </w:rPr>
        <w:t>20.2032-1(c)(1),</w:t>
      </w:r>
      <w:r w:rsidR="00C64050">
        <w:rPr>
          <w:color w:val="000000"/>
          <w:szCs w:val="20"/>
        </w:rPr>
        <w:t xml:space="preserve"> </w:t>
      </w:r>
      <w:r w:rsidRPr="00454670">
        <w:rPr>
          <w:color w:val="000000"/>
          <w:szCs w:val="20"/>
        </w:rPr>
        <w:t>which</w:t>
      </w:r>
      <w:r w:rsidR="00C64050">
        <w:rPr>
          <w:color w:val="000000"/>
          <w:szCs w:val="20"/>
        </w:rPr>
        <w:t xml:space="preserve"> </w:t>
      </w:r>
      <w:r w:rsidRPr="00454670">
        <w:rPr>
          <w:color w:val="000000"/>
          <w:szCs w:val="20"/>
        </w:rPr>
        <w:t>provides</w:t>
      </w:r>
      <w:r w:rsidR="00C64050">
        <w:rPr>
          <w:color w:val="000000"/>
          <w:szCs w:val="20"/>
        </w:rPr>
        <w:t xml:space="preserve"> </w:t>
      </w:r>
      <w:r w:rsidRPr="00454670">
        <w:rPr>
          <w:color w:val="000000"/>
          <w:szCs w:val="20"/>
        </w:rPr>
        <w:t>that</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tax-free</w:t>
      </w:r>
      <w:r w:rsidR="00C64050">
        <w:rPr>
          <w:color w:val="000000"/>
          <w:szCs w:val="20"/>
        </w:rPr>
        <w:t xml:space="preserve"> </w:t>
      </w:r>
      <w:r w:rsidRPr="00454670">
        <w:rPr>
          <w:color w:val="000000"/>
          <w:szCs w:val="20"/>
        </w:rPr>
        <w:t>reorganization</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not</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disposition</w:t>
      </w:r>
      <w:r w:rsidR="00C64050">
        <w:rPr>
          <w:color w:val="000000"/>
          <w:szCs w:val="20"/>
        </w:rPr>
        <w:t xml:space="preserve"> </w:t>
      </w:r>
      <w:r w:rsidRPr="00454670">
        <w:rPr>
          <w:color w:val="000000"/>
          <w:szCs w:val="20"/>
        </w:rPr>
        <w:t>under</w:t>
      </w:r>
      <w:r w:rsidR="00C64050">
        <w:rPr>
          <w:color w:val="000000"/>
          <w:szCs w:val="20"/>
        </w:rPr>
        <w:t xml:space="preserve"> </w:t>
      </w:r>
      <w:r w:rsidRPr="00454670">
        <w:rPr>
          <w:color w:val="000000"/>
          <w:szCs w:val="20"/>
        </w:rPr>
        <w:t>section</w:t>
      </w:r>
      <w:r w:rsidR="00C64050">
        <w:rPr>
          <w:color w:val="000000"/>
          <w:szCs w:val="20"/>
        </w:rPr>
        <w:t xml:space="preserve"> </w:t>
      </w:r>
      <w:r w:rsidRPr="00454670">
        <w:rPr>
          <w:color w:val="000000"/>
          <w:szCs w:val="20"/>
        </w:rPr>
        <w:t>2032.</w:t>
      </w:r>
      <w:r w:rsidR="00C64050">
        <w:rPr>
          <w:color w:val="000000"/>
          <w:szCs w:val="20"/>
        </w:rPr>
        <w:t xml:space="preserve"> </w:t>
      </w:r>
    </w:p>
    <w:p w:rsidR="00485DB9" w:rsidRPr="00454670" w:rsidRDefault="00856D6A">
      <w:pPr>
        <w:pStyle w:val="Body15"/>
        <w:rPr>
          <w:color w:val="000000"/>
          <w:szCs w:val="20"/>
        </w:rPr>
      </w:pPr>
      <w:r w:rsidRPr="00454670">
        <w:rPr>
          <w:color w:val="000000"/>
          <w:szCs w:val="20"/>
        </w:rPr>
        <w:t>The</w:t>
      </w:r>
      <w:r w:rsidR="00C64050">
        <w:rPr>
          <w:color w:val="000000"/>
          <w:szCs w:val="20"/>
        </w:rPr>
        <w:t xml:space="preserve"> </w:t>
      </w:r>
      <w:r w:rsidRPr="00454670">
        <w:rPr>
          <w:color w:val="000000"/>
          <w:szCs w:val="20"/>
        </w:rPr>
        <w:t>Background</w:t>
      </w:r>
      <w:r w:rsidR="00C64050">
        <w:rPr>
          <w:color w:val="000000"/>
          <w:szCs w:val="20"/>
        </w:rPr>
        <w:t xml:space="preserve"> </w:t>
      </w:r>
      <w:r w:rsidRPr="00454670">
        <w:rPr>
          <w:color w:val="000000"/>
          <w:szCs w:val="20"/>
        </w:rPr>
        <w:t>portion</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Supplementary</w:t>
      </w:r>
      <w:r w:rsidR="00C64050">
        <w:rPr>
          <w:color w:val="000000"/>
          <w:szCs w:val="20"/>
        </w:rPr>
        <w:t xml:space="preserve"> </w:t>
      </w:r>
      <w:r w:rsidRPr="00454670">
        <w:rPr>
          <w:color w:val="000000"/>
          <w:szCs w:val="20"/>
        </w:rPr>
        <w:t>Information</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2011</w:t>
      </w:r>
      <w:r w:rsidR="00C64050">
        <w:rPr>
          <w:color w:val="000000"/>
          <w:szCs w:val="20"/>
        </w:rPr>
        <w:t xml:space="preserve"> </w:t>
      </w:r>
      <w:r w:rsidRPr="00454670">
        <w:rPr>
          <w:color w:val="000000"/>
          <w:szCs w:val="20"/>
        </w:rPr>
        <w:t>Proposed</w:t>
      </w:r>
      <w:r w:rsidR="00C64050">
        <w:rPr>
          <w:color w:val="000000"/>
          <w:szCs w:val="20"/>
        </w:rPr>
        <w:t xml:space="preserve"> </w:t>
      </w:r>
      <w:r w:rsidRPr="00454670">
        <w:rPr>
          <w:color w:val="000000"/>
          <w:szCs w:val="20"/>
        </w:rPr>
        <w:t>Regulations</w:t>
      </w:r>
      <w:r w:rsidR="00C64050">
        <w:rPr>
          <w:color w:val="000000"/>
          <w:szCs w:val="20"/>
        </w:rPr>
        <w:t xml:space="preserve"> </w:t>
      </w:r>
      <w:r w:rsidRPr="00454670">
        <w:rPr>
          <w:color w:val="000000"/>
          <w:szCs w:val="20"/>
        </w:rPr>
        <w:t>discussed</w:t>
      </w:r>
      <w:r w:rsidR="00C64050">
        <w:rPr>
          <w:color w:val="000000"/>
          <w:szCs w:val="20"/>
        </w:rPr>
        <w:t xml:space="preserve"> </w:t>
      </w:r>
      <w:r w:rsidRPr="00454670">
        <w:rPr>
          <w:color w:val="000000"/>
          <w:szCs w:val="20"/>
        </w:rPr>
        <w:t>them</w:t>
      </w:r>
      <w:r w:rsidR="00C64050">
        <w:rPr>
          <w:color w:val="000000"/>
          <w:szCs w:val="20"/>
        </w:rPr>
        <w:t xml:space="preserve"> </w:t>
      </w:r>
      <w:r w:rsidRPr="00454670">
        <w:rPr>
          <w:color w:val="000000"/>
          <w:szCs w:val="20"/>
        </w:rPr>
        <w:t>as</w:t>
      </w:r>
      <w:r w:rsidR="00C64050">
        <w:rPr>
          <w:color w:val="000000"/>
          <w:szCs w:val="20"/>
        </w:rPr>
        <w:t xml:space="preserve"> </w:t>
      </w:r>
      <w:r w:rsidRPr="00454670">
        <w:rPr>
          <w:color w:val="000000"/>
          <w:szCs w:val="20"/>
        </w:rPr>
        <w:t>follows:</w:t>
      </w:r>
    </w:p>
    <w:p w:rsidR="00485DB9" w:rsidRPr="00454670" w:rsidRDefault="00856D6A" w:rsidP="00E54F20">
      <w:pPr>
        <w:pStyle w:val="QS10"/>
        <w:rPr>
          <w:color w:val="000000"/>
          <w:szCs w:val="20"/>
        </w:rPr>
      </w:pPr>
      <w:r w:rsidRPr="00454670">
        <w:rPr>
          <w:color w:val="000000"/>
          <w:szCs w:val="20"/>
        </w:rPr>
        <w:t>Generally,</w:t>
      </w:r>
      <w:r w:rsidR="00C64050">
        <w:rPr>
          <w:color w:val="000000"/>
          <w:szCs w:val="20"/>
        </w:rPr>
        <w:t xml:space="preserve"> </w:t>
      </w:r>
      <w:r w:rsidRPr="00454670">
        <w:rPr>
          <w:color w:val="000000"/>
          <w:szCs w:val="20"/>
        </w:rPr>
        <w:t>paragraph</w:t>
      </w:r>
      <w:r w:rsidR="00C64050">
        <w:rPr>
          <w:color w:val="000000"/>
          <w:szCs w:val="20"/>
        </w:rPr>
        <w:t xml:space="preserve"> </w:t>
      </w:r>
      <w:r w:rsidRPr="00454670">
        <w:rPr>
          <w:color w:val="000000"/>
          <w:szCs w:val="20"/>
        </w:rPr>
        <w:t>(c)(1)(i)</w:t>
      </w:r>
      <w:r w:rsidR="00C64050">
        <w:rPr>
          <w:color w:val="000000"/>
          <w:szCs w:val="20"/>
        </w:rPr>
        <w:t xml:space="preserve"> </w:t>
      </w:r>
      <w:r w:rsidRPr="00454670">
        <w:rPr>
          <w:color w:val="000000"/>
          <w:szCs w:val="20"/>
        </w:rPr>
        <w:t>identifies</w:t>
      </w:r>
      <w:r w:rsidR="00C64050">
        <w:rPr>
          <w:color w:val="000000"/>
          <w:szCs w:val="20"/>
        </w:rPr>
        <w:t xml:space="preserve"> </w:t>
      </w:r>
      <w:r w:rsidRPr="00454670">
        <w:rPr>
          <w:color w:val="000000"/>
          <w:szCs w:val="20"/>
        </w:rPr>
        <w:t>transactions</w:t>
      </w:r>
      <w:r w:rsidR="00C64050">
        <w:rPr>
          <w:color w:val="000000"/>
          <w:szCs w:val="20"/>
        </w:rPr>
        <w:t xml:space="preserve"> </w:t>
      </w:r>
      <w:r w:rsidRPr="00454670">
        <w:rPr>
          <w:color w:val="000000"/>
          <w:szCs w:val="20"/>
        </w:rPr>
        <w:t>that</w:t>
      </w:r>
      <w:r w:rsidR="00C64050">
        <w:rPr>
          <w:color w:val="000000"/>
          <w:szCs w:val="20"/>
        </w:rPr>
        <w:t xml:space="preserve"> </w:t>
      </w:r>
      <w:r w:rsidRPr="00454670">
        <w:rPr>
          <w:color w:val="000000"/>
          <w:szCs w:val="20"/>
        </w:rPr>
        <w:t>constitute</w:t>
      </w:r>
      <w:r w:rsidR="00C64050">
        <w:rPr>
          <w:color w:val="000000"/>
          <w:szCs w:val="20"/>
        </w:rPr>
        <w:t xml:space="preserve"> </w:t>
      </w:r>
      <w:r w:rsidRPr="00454670">
        <w:rPr>
          <w:color w:val="000000"/>
          <w:szCs w:val="20"/>
        </w:rPr>
        <w:t>distributions,</w:t>
      </w:r>
      <w:r w:rsidR="00C64050">
        <w:rPr>
          <w:color w:val="000000"/>
          <w:szCs w:val="20"/>
        </w:rPr>
        <w:t xml:space="preserve"> </w:t>
      </w:r>
      <w:r w:rsidRPr="00454670">
        <w:rPr>
          <w:color w:val="000000"/>
          <w:szCs w:val="20"/>
        </w:rPr>
        <w:t>sales,</w:t>
      </w:r>
      <w:r w:rsidR="00C64050">
        <w:rPr>
          <w:color w:val="000000"/>
          <w:szCs w:val="20"/>
        </w:rPr>
        <w:t xml:space="preserve"> </w:t>
      </w:r>
      <w:r w:rsidRPr="00454670">
        <w:rPr>
          <w:color w:val="000000"/>
          <w:szCs w:val="20"/>
        </w:rPr>
        <w:t>exchanges,</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dispositions</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If</w:t>
      </w:r>
      <w:r w:rsidR="00C64050">
        <w:rPr>
          <w:color w:val="000000"/>
          <w:szCs w:val="20"/>
        </w:rPr>
        <w:t xml:space="preserve"> </w:t>
      </w:r>
      <w:r w:rsidRPr="00454670">
        <w:rPr>
          <w:color w:val="000000"/>
          <w:szCs w:val="20"/>
        </w:rPr>
        <w:t>an</w:t>
      </w:r>
      <w:r w:rsidR="00C64050">
        <w:rPr>
          <w:color w:val="000000"/>
          <w:szCs w:val="20"/>
        </w:rPr>
        <w:t xml:space="preserve"> </w:t>
      </w:r>
      <w:r w:rsidRPr="00454670">
        <w:rPr>
          <w:color w:val="000000"/>
          <w:szCs w:val="20"/>
        </w:rPr>
        <w:t>estate's</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other</w:t>
      </w:r>
      <w:r w:rsidR="00C64050">
        <w:rPr>
          <w:color w:val="000000"/>
          <w:szCs w:val="20"/>
        </w:rPr>
        <w:t xml:space="preserve"> </w:t>
      </w:r>
      <w:r w:rsidRPr="00454670">
        <w:rPr>
          <w:color w:val="000000"/>
          <w:szCs w:val="20"/>
        </w:rPr>
        <w:t>holder's)</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subject</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such</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transaction</w:t>
      </w:r>
      <w:r w:rsidR="00C64050">
        <w:rPr>
          <w:color w:val="000000"/>
          <w:szCs w:val="20"/>
        </w:rPr>
        <w:t xml:space="preserve"> </w:t>
      </w:r>
      <w:r w:rsidRPr="00454670">
        <w:rPr>
          <w:color w:val="000000"/>
          <w:szCs w:val="20"/>
        </w:rPr>
        <w:t>during</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alternate</w:t>
      </w:r>
      <w:r w:rsidR="00C64050">
        <w:rPr>
          <w:color w:val="000000"/>
          <w:szCs w:val="20"/>
        </w:rPr>
        <w:t xml:space="preserve"> </w:t>
      </w:r>
      <w:r w:rsidRPr="00454670">
        <w:rPr>
          <w:color w:val="000000"/>
          <w:szCs w:val="20"/>
        </w:rPr>
        <w:t>valuation</w:t>
      </w:r>
      <w:r w:rsidR="00C64050">
        <w:rPr>
          <w:color w:val="000000"/>
          <w:szCs w:val="20"/>
        </w:rPr>
        <w:t xml:space="preserve"> </w:t>
      </w:r>
      <w:r w:rsidRPr="00454670">
        <w:rPr>
          <w:color w:val="000000"/>
          <w:szCs w:val="20"/>
        </w:rPr>
        <w:t>period,</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must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that</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on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transaction</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included</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gross</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that</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on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immediately</w:t>
      </w:r>
      <w:r w:rsidR="00C64050">
        <w:rPr>
          <w:color w:val="000000"/>
          <w:szCs w:val="20"/>
        </w:rPr>
        <w:t xml:space="preserve"> </w:t>
      </w:r>
      <w:r w:rsidRPr="00454670">
        <w:rPr>
          <w:color w:val="000000"/>
          <w:szCs w:val="20"/>
        </w:rPr>
        <w:t>prior</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transaction.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term</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refers</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includible</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decedent's</w:t>
      </w:r>
      <w:r w:rsidR="00C64050">
        <w:rPr>
          <w:color w:val="000000"/>
          <w:szCs w:val="20"/>
        </w:rPr>
        <w:t xml:space="preserve"> </w:t>
      </w:r>
      <w:r w:rsidRPr="00454670">
        <w:rPr>
          <w:color w:val="000000"/>
          <w:szCs w:val="20"/>
        </w:rPr>
        <w:t>gross</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under</w:t>
      </w:r>
      <w:r w:rsidR="00C64050">
        <w:rPr>
          <w:color w:val="000000"/>
          <w:szCs w:val="20"/>
        </w:rPr>
        <w:t xml:space="preserve"> </w:t>
      </w:r>
      <w:r w:rsidRPr="00454670">
        <w:rPr>
          <w:color w:val="000000"/>
          <w:szCs w:val="20"/>
        </w:rPr>
        <w:t>section</w:t>
      </w:r>
      <w:r w:rsidR="00C64050">
        <w:rPr>
          <w:color w:val="000000"/>
          <w:szCs w:val="20"/>
        </w:rPr>
        <w:t xml:space="preserve"> </w:t>
      </w:r>
      <w:r w:rsidRPr="00454670">
        <w:rPr>
          <w:color w:val="000000"/>
          <w:szCs w:val="20"/>
        </w:rPr>
        <w:t>2033.</w:t>
      </w:r>
      <w:r w:rsidR="00C64050">
        <w:rPr>
          <w:color w:val="000000"/>
          <w:szCs w:val="20"/>
        </w:rPr>
        <w:t xml:space="preserve"> </w:t>
      </w:r>
    </w:p>
    <w:p w:rsidR="00485DB9" w:rsidRPr="00454670" w:rsidRDefault="00856D6A" w:rsidP="00E54F20">
      <w:pPr>
        <w:pStyle w:val="QS10"/>
        <w:rPr>
          <w:color w:val="000000"/>
          <w:szCs w:val="20"/>
        </w:rPr>
      </w:pPr>
      <w:r w:rsidRPr="00454670">
        <w:rPr>
          <w:color w:val="000000"/>
          <w:szCs w:val="20"/>
        </w:rPr>
        <w:t>Sections</w:t>
      </w:r>
      <w:r w:rsidR="00C64050">
        <w:rPr>
          <w:color w:val="000000"/>
          <w:szCs w:val="20"/>
        </w:rPr>
        <w:t xml:space="preserve"> </w:t>
      </w:r>
      <w:r w:rsidRPr="00454670">
        <w:rPr>
          <w:color w:val="000000"/>
          <w:szCs w:val="20"/>
        </w:rPr>
        <w:t>20.2032-1(c)(1)(ii)</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(c)(1)(iii)(A)</w:t>
      </w:r>
      <w:r w:rsidR="00C64050">
        <w:rPr>
          <w:color w:val="000000"/>
          <w:szCs w:val="20"/>
        </w:rPr>
        <w:t xml:space="preserve"> </w:t>
      </w:r>
      <w:r w:rsidRPr="00454670">
        <w:rPr>
          <w:color w:val="000000"/>
          <w:szCs w:val="20"/>
        </w:rPr>
        <w:t>identify</w:t>
      </w:r>
      <w:r w:rsidR="00C64050">
        <w:rPr>
          <w:color w:val="000000"/>
          <w:szCs w:val="20"/>
        </w:rPr>
        <w:t xml:space="preserve"> </w:t>
      </w:r>
      <w:r w:rsidRPr="00454670">
        <w:rPr>
          <w:color w:val="000000"/>
          <w:szCs w:val="20"/>
        </w:rPr>
        <w:t>two</w:t>
      </w:r>
      <w:r w:rsidR="00C64050">
        <w:rPr>
          <w:color w:val="000000"/>
          <w:szCs w:val="20"/>
        </w:rPr>
        <w:t xml:space="preserve"> </w:t>
      </w:r>
      <w:r w:rsidRPr="00454670">
        <w:rPr>
          <w:color w:val="000000"/>
          <w:szCs w:val="20"/>
        </w:rPr>
        <w:t>exceptions</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rule</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w:t>
      </w:r>
      <w:r w:rsidR="00C64050">
        <w:rPr>
          <w:color w:val="000000"/>
          <w:szCs w:val="20"/>
        </w:rPr>
        <w:t xml:space="preserve"> </w:t>
      </w:r>
      <w:r w:rsidRPr="00454670">
        <w:rPr>
          <w:color w:val="000000"/>
          <w:szCs w:val="20"/>
        </w:rPr>
        <w:t>20.2032-1(c)(1)(i).</w:t>
      </w:r>
      <w:r w:rsidR="00C64050">
        <w:rPr>
          <w:color w:val="000000"/>
          <w:szCs w:val="20"/>
        </w:rPr>
        <w:t xml:space="preserve"> </w:t>
      </w:r>
      <w:r w:rsidRPr="00454670">
        <w:rPr>
          <w:color w:val="000000"/>
          <w:szCs w:val="20"/>
        </w:rPr>
        <w:t>If</w:t>
      </w:r>
      <w:r w:rsidR="00C64050">
        <w:rPr>
          <w:color w:val="000000"/>
          <w:szCs w:val="20"/>
        </w:rPr>
        <w:t xml:space="preserve"> </w:t>
      </w:r>
      <w:r w:rsidRPr="00454670">
        <w:rPr>
          <w:color w:val="000000"/>
          <w:szCs w:val="20"/>
        </w:rPr>
        <w:t>either</w:t>
      </w:r>
      <w:r w:rsidR="00C64050">
        <w:rPr>
          <w:color w:val="000000"/>
          <w:szCs w:val="20"/>
        </w:rPr>
        <w:t xml:space="preserve"> </w:t>
      </w:r>
      <w:r w:rsidRPr="00454670">
        <w:rPr>
          <w:color w:val="000000"/>
          <w:szCs w:val="20"/>
        </w:rPr>
        <w:t>exception</w:t>
      </w:r>
      <w:r w:rsidR="00C64050">
        <w:rPr>
          <w:color w:val="000000"/>
          <w:szCs w:val="20"/>
        </w:rPr>
        <w:t xml:space="preserve"> </w:t>
      </w:r>
      <w:r w:rsidRPr="00454670">
        <w:rPr>
          <w:color w:val="000000"/>
          <w:szCs w:val="20"/>
        </w:rPr>
        <w:t>applies,</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may</w:t>
      </w:r>
      <w:r w:rsidR="00C64050">
        <w:rPr>
          <w:color w:val="000000"/>
          <w:szCs w:val="20"/>
        </w:rPr>
        <w:t xml:space="preserve"> </w:t>
      </w:r>
      <w:r w:rsidRPr="00454670">
        <w:rPr>
          <w:color w:val="000000"/>
          <w:szCs w:val="20"/>
        </w:rPr>
        <w:t>use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6-month</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held</w:t>
      </w:r>
      <w:r w:rsidR="00C64050">
        <w:rPr>
          <w:color w:val="000000"/>
          <w:szCs w:val="20"/>
        </w:rPr>
        <w:t xml:space="preserve"> </w:t>
      </w:r>
      <w:r w:rsidRPr="00454670">
        <w:rPr>
          <w:color w:val="000000"/>
          <w:szCs w:val="20"/>
        </w:rPr>
        <w:t>on</w:t>
      </w:r>
      <w:r w:rsidR="00C64050">
        <w:rPr>
          <w:color w:val="000000"/>
          <w:szCs w:val="20"/>
        </w:rPr>
        <w:t xml:space="preserve"> </w:t>
      </w:r>
      <w:r w:rsidRPr="00454670">
        <w:rPr>
          <w:color w:val="000000"/>
          <w:szCs w:val="20"/>
        </w:rPr>
        <w:t>that</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exception</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w:t>
      </w:r>
      <w:r w:rsidR="00C64050">
        <w:rPr>
          <w:color w:val="000000"/>
          <w:szCs w:val="20"/>
        </w:rPr>
        <w:t xml:space="preserve"> </w:t>
      </w:r>
      <w:r w:rsidRPr="00454670">
        <w:rPr>
          <w:color w:val="000000"/>
          <w:szCs w:val="20"/>
        </w:rPr>
        <w:t>20.2032-1(c)(1)(ii)</w:t>
      </w:r>
      <w:r w:rsidR="00C64050">
        <w:rPr>
          <w:color w:val="000000"/>
          <w:szCs w:val="20"/>
        </w:rPr>
        <w:t xml:space="preserve"> </w:t>
      </w:r>
      <w:r w:rsidRPr="00454670">
        <w:rPr>
          <w:color w:val="000000"/>
          <w:szCs w:val="20"/>
        </w:rPr>
        <w:t>applies</w:t>
      </w:r>
      <w:r w:rsidR="00C64050">
        <w:rPr>
          <w:color w:val="000000"/>
          <w:szCs w:val="20"/>
        </w:rPr>
        <w:t xml:space="preserve"> </w:t>
      </w:r>
      <w:r w:rsidRPr="00454670">
        <w:rPr>
          <w:color w:val="000000"/>
          <w:szCs w:val="20"/>
        </w:rPr>
        <w:t>only</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transactions</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which</w:t>
      </w:r>
      <w:r w:rsidR="00C64050">
        <w:rPr>
          <w:color w:val="000000"/>
          <w:szCs w:val="20"/>
        </w:rPr>
        <w:t xml:space="preserve"> </w:t>
      </w:r>
      <w:r w:rsidRPr="00454670">
        <w:rPr>
          <w:color w:val="000000"/>
          <w:szCs w:val="20"/>
        </w:rPr>
        <w:t>an</w:t>
      </w:r>
      <w:r w:rsidR="00C64050">
        <w:rPr>
          <w:color w:val="000000"/>
          <w:szCs w:val="20"/>
        </w:rPr>
        <w:t xml:space="preserve"> </w:t>
      </w:r>
      <w:r w:rsidRPr="00454670">
        <w:rPr>
          <w:color w:val="000000"/>
          <w:szCs w:val="20"/>
        </w:rPr>
        <w:t>interest</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corporation,</w:t>
      </w:r>
      <w:r w:rsidR="00C64050">
        <w:rPr>
          <w:color w:val="000000"/>
          <w:szCs w:val="20"/>
        </w:rPr>
        <w:t xml:space="preserve"> </w:t>
      </w:r>
      <w:r w:rsidRPr="00454670">
        <w:rPr>
          <w:color w:val="000000"/>
          <w:szCs w:val="20"/>
        </w:rPr>
        <w:t>partnership,</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other</w:t>
      </w:r>
      <w:r w:rsidR="00C64050">
        <w:rPr>
          <w:color w:val="000000"/>
          <w:szCs w:val="20"/>
        </w:rPr>
        <w:t xml:space="preserve"> </w:t>
      </w:r>
      <w:r w:rsidRPr="00454670">
        <w:rPr>
          <w:color w:val="000000"/>
          <w:szCs w:val="20"/>
        </w:rPr>
        <w:t>entity</w:t>
      </w:r>
      <w:r w:rsidR="00C64050">
        <w:rPr>
          <w:color w:val="000000"/>
          <w:szCs w:val="20"/>
        </w:rPr>
        <w:t xml:space="preserve"> </w:t>
      </w:r>
      <w:r w:rsidRPr="00454670">
        <w:rPr>
          <w:color w:val="000000"/>
          <w:szCs w:val="20"/>
        </w:rPr>
        <w:t>(entity)</w:t>
      </w:r>
      <w:r w:rsidR="00C64050">
        <w:rPr>
          <w:color w:val="000000"/>
          <w:szCs w:val="20"/>
        </w:rPr>
        <w:t xml:space="preserve"> </w:t>
      </w:r>
      <w:r w:rsidRPr="00454670">
        <w:rPr>
          <w:color w:val="000000"/>
          <w:szCs w:val="20"/>
        </w:rPr>
        <w:t>includible</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decedent's</w:t>
      </w:r>
      <w:r w:rsidR="00C64050">
        <w:rPr>
          <w:color w:val="000000"/>
          <w:szCs w:val="20"/>
        </w:rPr>
        <w:t xml:space="preserve"> </w:t>
      </w:r>
      <w:r w:rsidRPr="00454670">
        <w:rPr>
          <w:color w:val="000000"/>
          <w:szCs w:val="20"/>
        </w:rPr>
        <w:t>gross</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exchanged</w:t>
      </w:r>
      <w:r w:rsidR="00C64050">
        <w:rPr>
          <w:color w:val="000000"/>
          <w:szCs w:val="20"/>
        </w:rPr>
        <w:t xml:space="preserve"> </w:t>
      </w:r>
      <w:r w:rsidRPr="00454670">
        <w:rPr>
          <w:color w:val="000000"/>
          <w:szCs w:val="20"/>
        </w:rPr>
        <w:t>for</w:t>
      </w:r>
      <w:r w:rsidR="00C64050">
        <w:rPr>
          <w:color w:val="000000"/>
          <w:szCs w:val="20"/>
        </w:rPr>
        <w:t xml:space="preserve"> </w:t>
      </w:r>
      <w:r w:rsidRPr="00454670">
        <w:rPr>
          <w:color w:val="000000"/>
          <w:szCs w:val="20"/>
        </w:rPr>
        <w:t>one</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more</w:t>
      </w:r>
      <w:r w:rsidR="00C64050">
        <w:rPr>
          <w:color w:val="000000"/>
          <w:szCs w:val="20"/>
        </w:rPr>
        <w:t xml:space="preserve"> </w:t>
      </w:r>
      <w:r w:rsidRPr="00454670">
        <w:rPr>
          <w:color w:val="000000"/>
          <w:szCs w:val="20"/>
        </w:rPr>
        <w:t>different</w:t>
      </w:r>
      <w:r w:rsidR="00C64050">
        <w:rPr>
          <w:color w:val="000000"/>
          <w:szCs w:val="20"/>
        </w:rPr>
        <w:t xml:space="preserve"> </w:t>
      </w:r>
      <w:r w:rsidRPr="00454670">
        <w:rPr>
          <w:color w:val="000000"/>
          <w:szCs w:val="20"/>
        </w:rPr>
        <w:t>interests</w:t>
      </w:r>
      <w:r w:rsidR="00C64050">
        <w:rPr>
          <w:color w:val="000000"/>
          <w:szCs w:val="20"/>
        </w:rPr>
        <w:t xml:space="preserve"> </w:t>
      </w:r>
      <w:r w:rsidRPr="00454670">
        <w:rPr>
          <w:color w:val="000000"/>
          <w:szCs w:val="20"/>
        </w:rPr>
        <w:t>(for</w:t>
      </w:r>
      <w:r w:rsidR="00C64050">
        <w:rPr>
          <w:color w:val="000000"/>
          <w:szCs w:val="20"/>
        </w:rPr>
        <w:t xml:space="preserve"> </w:t>
      </w:r>
      <w:r w:rsidRPr="00454670">
        <w:rPr>
          <w:color w:val="000000"/>
          <w:szCs w:val="20"/>
        </w:rPr>
        <w:t>example,</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different</w:t>
      </w:r>
      <w:r w:rsidR="00C64050">
        <w:rPr>
          <w:color w:val="000000"/>
          <w:szCs w:val="20"/>
        </w:rPr>
        <w:t xml:space="preserve"> </w:t>
      </w:r>
      <w:r w:rsidRPr="00454670">
        <w:rPr>
          <w:color w:val="000000"/>
          <w:szCs w:val="20"/>
        </w:rPr>
        <w:t>class</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stock)</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same</w:t>
      </w:r>
      <w:r w:rsidR="00C64050">
        <w:rPr>
          <w:color w:val="000000"/>
          <w:szCs w:val="20"/>
        </w:rPr>
        <w:t xml:space="preserve"> </w:t>
      </w:r>
      <w:r w:rsidRPr="00454670">
        <w:rPr>
          <w:color w:val="000000"/>
          <w:szCs w:val="20"/>
        </w:rPr>
        <w:t>entity</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an</w:t>
      </w:r>
      <w:r w:rsidR="00C64050">
        <w:rPr>
          <w:color w:val="000000"/>
          <w:szCs w:val="20"/>
        </w:rPr>
        <w:t xml:space="preserve"> </w:t>
      </w:r>
      <w:r w:rsidRPr="00454670">
        <w:rPr>
          <w:color w:val="000000"/>
          <w:szCs w:val="20"/>
        </w:rPr>
        <w:t>acquiring</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resulting</w:t>
      </w:r>
      <w:r w:rsidR="00C64050">
        <w:rPr>
          <w:color w:val="000000"/>
          <w:szCs w:val="20"/>
        </w:rPr>
        <w:t xml:space="preserve"> </w:t>
      </w:r>
      <w:r w:rsidRPr="00454670">
        <w:rPr>
          <w:color w:val="000000"/>
          <w:szCs w:val="20"/>
        </w:rPr>
        <w:t>entity</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entities</w:t>
      </w:r>
      <w:r w:rsidR="00C64050">
        <w:rPr>
          <w:color w:val="000000"/>
          <w:szCs w:val="20"/>
        </w:rPr>
        <w:t xml:space="preserve"> </w:t>
      </w:r>
      <w:r w:rsidRPr="00454670">
        <w:rPr>
          <w:color w:val="000000"/>
          <w:szCs w:val="20"/>
        </w:rPr>
        <w:t>during</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alternate</w:t>
      </w:r>
      <w:r w:rsidR="00C64050">
        <w:rPr>
          <w:color w:val="000000"/>
          <w:szCs w:val="20"/>
        </w:rPr>
        <w:t xml:space="preserve"> </w:t>
      </w:r>
      <w:r w:rsidRPr="00454670">
        <w:rPr>
          <w:color w:val="000000"/>
          <w:szCs w:val="20"/>
        </w:rPr>
        <w:t>valuation</w:t>
      </w:r>
      <w:r w:rsidR="00C64050">
        <w:rPr>
          <w:color w:val="000000"/>
          <w:szCs w:val="20"/>
        </w:rPr>
        <w:t xml:space="preserve"> </w:t>
      </w:r>
      <w:r w:rsidRPr="00454670">
        <w:rPr>
          <w:color w:val="000000"/>
          <w:szCs w:val="20"/>
        </w:rPr>
        <w:t>period.</w:t>
      </w:r>
      <w:r w:rsidR="00C64050">
        <w:rPr>
          <w:color w:val="000000"/>
          <w:szCs w:val="20"/>
        </w:rPr>
        <w:t xml:space="preserve"> </w:t>
      </w:r>
      <w:r w:rsidRPr="00454670">
        <w:rPr>
          <w:color w:val="000000"/>
          <w:szCs w:val="20"/>
        </w:rPr>
        <w:t>Such</w:t>
      </w:r>
      <w:r w:rsidR="00C64050">
        <w:rPr>
          <w:color w:val="000000"/>
          <w:szCs w:val="20"/>
        </w:rPr>
        <w:t xml:space="preserve"> </w:t>
      </w:r>
      <w:r w:rsidRPr="00454670">
        <w:rPr>
          <w:color w:val="000000"/>
          <w:szCs w:val="20"/>
        </w:rPr>
        <w:t>transactions</w:t>
      </w:r>
      <w:r w:rsidR="00C64050">
        <w:rPr>
          <w:color w:val="000000"/>
          <w:szCs w:val="20"/>
        </w:rPr>
        <w:t xml:space="preserve"> </w:t>
      </w:r>
      <w:r w:rsidRPr="00454670">
        <w:rPr>
          <w:color w:val="000000"/>
          <w:szCs w:val="20"/>
        </w:rPr>
        <w:t>may</w:t>
      </w:r>
      <w:r w:rsidR="00C64050">
        <w:rPr>
          <w:color w:val="000000"/>
          <w:szCs w:val="20"/>
        </w:rPr>
        <w:t xml:space="preserve"> </w:t>
      </w:r>
      <w:r w:rsidRPr="00454670">
        <w:rPr>
          <w:color w:val="000000"/>
          <w:szCs w:val="20"/>
        </w:rPr>
        <w:t>include,</w:t>
      </w:r>
      <w:r w:rsidR="00C64050">
        <w:rPr>
          <w:color w:val="000000"/>
          <w:szCs w:val="20"/>
        </w:rPr>
        <w:t xml:space="preserve"> </w:t>
      </w:r>
      <w:r w:rsidRPr="00454670">
        <w:rPr>
          <w:color w:val="000000"/>
          <w:szCs w:val="20"/>
        </w:rPr>
        <w:t>without</w:t>
      </w:r>
      <w:r w:rsidR="00C64050">
        <w:rPr>
          <w:color w:val="000000"/>
          <w:szCs w:val="20"/>
        </w:rPr>
        <w:t xml:space="preserve"> </w:t>
      </w:r>
      <w:r w:rsidRPr="00454670">
        <w:rPr>
          <w:color w:val="000000"/>
          <w:szCs w:val="20"/>
        </w:rPr>
        <w:t>limitation,</w:t>
      </w:r>
      <w:r w:rsidR="00C64050">
        <w:rPr>
          <w:color w:val="000000"/>
          <w:szCs w:val="20"/>
        </w:rPr>
        <w:t xml:space="preserve"> </w:t>
      </w:r>
      <w:r w:rsidRPr="00454670">
        <w:rPr>
          <w:color w:val="000000"/>
          <w:szCs w:val="20"/>
        </w:rPr>
        <w:t>reorganizations,</w:t>
      </w:r>
      <w:r w:rsidR="00C64050">
        <w:rPr>
          <w:color w:val="000000"/>
          <w:szCs w:val="20"/>
        </w:rPr>
        <w:t xml:space="preserve"> </w:t>
      </w:r>
      <w:r w:rsidRPr="00454670">
        <w:rPr>
          <w:color w:val="000000"/>
          <w:szCs w:val="20"/>
        </w:rPr>
        <w:t>recapitalizations,</w:t>
      </w:r>
      <w:r w:rsidR="00C64050">
        <w:rPr>
          <w:color w:val="000000"/>
          <w:szCs w:val="20"/>
        </w:rPr>
        <w:t xml:space="preserve"> </w:t>
      </w:r>
      <w:r w:rsidRPr="00454670">
        <w:rPr>
          <w:color w:val="000000"/>
          <w:szCs w:val="20"/>
        </w:rPr>
        <w:t>mergers,</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similar</w:t>
      </w:r>
      <w:r w:rsidR="00C64050">
        <w:rPr>
          <w:color w:val="000000"/>
          <w:szCs w:val="20"/>
        </w:rPr>
        <w:t xml:space="preserve"> </w:t>
      </w:r>
      <w:r w:rsidRPr="00454670">
        <w:rPr>
          <w:color w:val="000000"/>
          <w:szCs w:val="20"/>
        </w:rPr>
        <w:t>transactions.</w:t>
      </w:r>
      <w:r w:rsidR="00C64050">
        <w:rPr>
          <w:color w:val="000000"/>
          <w:szCs w:val="20"/>
        </w:rPr>
        <w:t xml:space="preserve"> </w:t>
      </w:r>
      <w:r w:rsidRPr="00454670">
        <w:rPr>
          <w:color w:val="000000"/>
          <w:szCs w:val="20"/>
        </w:rPr>
        <w:t>This</w:t>
      </w:r>
      <w:r w:rsidR="00C64050">
        <w:rPr>
          <w:color w:val="000000"/>
          <w:szCs w:val="20"/>
        </w:rPr>
        <w:t xml:space="preserve"> </w:t>
      </w:r>
      <w:r w:rsidRPr="00454670">
        <w:rPr>
          <w:color w:val="000000"/>
          <w:szCs w:val="20"/>
        </w:rPr>
        <w:t>exception</w:t>
      </w:r>
      <w:r w:rsidR="00C64050">
        <w:rPr>
          <w:color w:val="000000"/>
          <w:szCs w:val="20"/>
        </w:rPr>
        <w:t xml:space="preserve"> </w:t>
      </w:r>
      <w:r w:rsidRPr="00454670">
        <w:rPr>
          <w:color w:val="000000"/>
          <w:szCs w:val="20"/>
        </w:rPr>
        <w:t>substitutes</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test</w:t>
      </w:r>
      <w:r w:rsidR="00C64050">
        <w:rPr>
          <w:color w:val="000000"/>
          <w:szCs w:val="20"/>
        </w:rPr>
        <w:t xml:space="preserve"> </w:t>
      </w:r>
      <w:r w:rsidRPr="00454670">
        <w:rPr>
          <w:color w:val="000000"/>
          <w:szCs w:val="20"/>
        </w:rPr>
        <w:t>for</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corporate</w:t>
      </w:r>
      <w:r w:rsidR="00C64050">
        <w:rPr>
          <w:color w:val="000000"/>
          <w:szCs w:val="20"/>
        </w:rPr>
        <w:t xml:space="preserve"> </w:t>
      </w:r>
      <w:r w:rsidRPr="00454670">
        <w:rPr>
          <w:color w:val="000000"/>
          <w:szCs w:val="20"/>
        </w:rPr>
        <w:t>provisions</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current</w:t>
      </w:r>
      <w:r w:rsidR="00C64050">
        <w:rPr>
          <w:color w:val="000000"/>
          <w:szCs w:val="20"/>
        </w:rPr>
        <w:t xml:space="preserve"> </w:t>
      </w:r>
      <w:r w:rsidRPr="00454670">
        <w:rPr>
          <w:color w:val="000000"/>
          <w:szCs w:val="20"/>
        </w:rPr>
        <w:t>regulations.</w:t>
      </w:r>
      <w:r w:rsidR="00C64050">
        <w:rPr>
          <w:color w:val="000000"/>
          <w:szCs w:val="20"/>
        </w:rPr>
        <w:t xml:space="preserve"> </w:t>
      </w:r>
      <w:r w:rsidRPr="00454670">
        <w:rPr>
          <w:color w:val="000000"/>
          <w:szCs w:val="20"/>
        </w:rPr>
        <w:t>Specifically,</w:t>
      </w:r>
      <w:r w:rsidR="00C64050">
        <w:rPr>
          <w:color w:val="000000"/>
          <w:szCs w:val="20"/>
        </w:rPr>
        <w:t xml:space="preserve"> </w:t>
      </w:r>
      <w:r w:rsidRPr="00454670">
        <w:rPr>
          <w:color w:val="000000"/>
          <w:szCs w:val="20"/>
        </w:rPr>
        <w:t>this</w:t>
      </w:r>
      <w:r w:rsidR="00C64050">
        <w:rPr>
          <w:color w:val="000000"/>
          <w:szCs w:val="20"/>
        </w:rPr>
        <w:t xml:space="preserve"> </w:t>
      </w:r>
      <w:r w:rsidRPr="00454670">
        <w:rPr>
          <w:color w:val="000000"/>
          <w:szCs w:val="20"/>
        </w:rPr>
        <w:t>paragraph</w:t>
      </w:r>
      <w:r w:rsidR="00C64050">
        <w:rPr>
          <w:color w:val="000000"/>
          <w:szCs w:val="20"/>
        </w:rPr>
        <w:t xml:space="preserve"> </w:t>
      </w:r>
      <w:r w:rsidRPr="00454670">
        <w:rPr>
          <w:color w:val="000000"/>
          <w:szCs w:val="20"/>
        </w:rPr>
        <w:t>proposes</w:t>
      </w:r>
      <w:r w:rsidR="00C64050">
        <w:rPr>
          <w:color w:val="000000"/>
          <w:szCs w:val="20"/>
        </w:rPr>
        <w:t xml:space="preserve"> </w:t>
      </w:r>
      <w:r w:rsidRPr="00454670">
        <w:rPr>
          <w:color w:val="000000"/>
          <w:szCs w:val="20"/>
        </w:rPr>
        <w:t>that,</w:t>
      </w:r>
      <w:r w:rsidR="00C64050">
        <w:rPr>
          <w:color w:val="000000"/>
          <w:szCs w:val="20"/>
        </w:rPr>
        <w:t xml:space="preserve"> </w:t>
      </w:r>
      <w:r w:rsidRPr="00454670">
        <w:rPr>
          <w:color w:val="000000"/>
          <w:szCs w:val="20"/>
        </w:rPr>
        <w:t>if,</w:t>
      </w:r>
      <w:r w:rsidR="00C64050">
        <w:rPr>
          <w:color w:val="000000"/>
          <w:szCs w:val="20"/>
        </w:rPr>
        <w:t xml:space="preserve"> </w:t>
      </w:r>
      <w:r w:rsidRPr="00454670">
        <w:rPr>
          <w:color w:val="000000"/>
          <w:szCs w:val="20"/>
        </w:rPr>
        <w:t>during</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alternate</w:t>
      </w:r>
      <w:r w:rsidR="00C64050">
        <w:rPr>
          <w:color w:val="000000"/>
          <w:szCs w:val="20"/>
        </w:rPr>
        <w:t xml:space="preserve"> </w:t>
      </w:r>
      <w:r w:rsidRPr="00454670">
        <w:rPr>
          <w:color w:val="000000"/>
          <w:szCs w:val="20"/>
        </w:rPr>
        <w:t>valuation</w:t>
      </w:r>
      <w:r w:rsidR="00C64050">
        <w:rPr>
          <w:color w:val="000000"/>
          <w:szCs w:val="20"/>
        </w:rPr>
        <w:t xml:space="preserve"> </w:t>
      </w:r>
      <w:r w:rsidRPr="00454670">
        <w:rPr>
          <w:color w:val="000000"/>
          <w:szCs w:val="20"/>
        </w:rPr>
        <w:t>period,</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interest</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an</w:t>
      </w:r>
      <w:r w:rsidR="00C64050">
        <w:rPr>
          <w:color w:val="000000"/>
          <w:szCs w:val="20"/>
        </w:rPr>
        <w:t xml:space="preserve"> </w:t>
      </w:r>
      <w:r w:rsidRPr="00454670">
        <w:rPr>
          <w:color w:val="000000"/>
          <w:szCs w:val="20"/>
        </w:rPr>
        <w:t>entity</w:t>
      </w:r>
      <w:r w:rsidR="00C64050">
        <w:rPr>
          <w:color w:val="000000"/>
          <w:szCs w:val="20"/>
        </w:rPr>
        <w:t xml:space="preserve"> </w:t>
      </w:r>
      <w:r w:rsidRPr="00454670">
        <w:rPr>
          <w:color w:val="000000"/>
          <w:szCs w:val="20"/>
        </w:rPr>
        <w:t>includible</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gross</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exchanged</w:t>
      </w:r>
      <w:r w:rsidR="00C64050">
        <w:rPr>
          <w:color w:val="000000"/>
          <w:szCs w:val="20"/>
        </w:rPr>
        <w:t xml:space="preserve"> </w:t>
      </w:r>
      <w:r w:rsidRPr="00454670">
        <w:rPr>
          <w:color w:val="000000"/>
          <w:szCs w:val="20"/>
        </w:rPr>
        <w:t>for</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different</w:t>
      </w:r>
      <w:r w:rsidR="00C64050">
        <w:rPr>
          <w:color w:val="000000"/>
          <w:szCs w:val="20"/>
        </w:rPr>
        <w:t xml:space="preserve"> </w:t>
      </w:r>
      <w:r w:rsidRPr="00454670">
        <w:rPr>
          <w:color w:val="000000"/>
          <w:szCs w:val="20"/>
        </w:rPr>
        <w:t>interest</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same</w:t>
      </w:r>
      <w:r w:rsidR="00C64050">
        <w:rPr>
          <w:color w:val="000000"/>
          <w:szCs w:val="20"/>
        </w:rPr>
        <w:t xml:space="preserve"> </w:t>
      </w:r>
      <w:r w:rsidRPr="00454670">
        <w:rPr>
          <w:color w:val="000000"/>
          <w:szCs w:val="20"/>
        </w:rPr>
        <w:t>entity,</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an</w:t>
      </w:r>
      <w:r w:rsidR="00C64050">
        <w:rPr>
          <w:color w:val="000000"/>
          <w:szCs w:val="20"/>
        </w:rPr>
        <w:t xml:space="preserve"> </w:t>
      </w:r>
      <w:r w:rsidRPr="00454670">
        <w:rPr>
          <w:color w:val="000000"/>
          <w:szCs w:val="20"/>
        </w:rPr>
        <w:t>acquiring</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resulting</w:t>
      </w:r>
      <w:r w:rsidR="00C64050">
        <w:rPr>
          <w:color w:val="000000"/>
          <w:szCs w:val="20"/>
        </w:rPr>
        <w:t xml:space="preserve"> </w:t>
      </w:r>
      <w:r w:rsidRPr="00454670">
        <w:rPr>
          <w:color w:val="000000"/>
          <w:szCs w:val="20"/>
        </w:rPr>
        <w:t>entity</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entities,</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if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interest</w:t>
      </w:r>
      <w:r w:rsidR="00C64050">
        <w:rPr>
          <w:color w:val="000000"/>
          <w:szCs w:val="20"/>
        </w:rPr>
        <w:t xml:space="preserve"> </w:t>
      </w:r>
      <w:r w:rsidRPr="00454670">
        <w:rPr>
          <w:color w:val="000000"/>
          <w:szCs w:val="20"/>
        </w:rPr>
        <w:t>on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exchange</w:t>
      </w:r>
      <w:r w:rsidR="00C64050">
        <w:rPr>
          <w:color w:val="000000"/>
          <w:szCs w:val="20"/>
        </w:rPr>
        <w:t xml:space="preserve"> </w:t>
      </w:r>
      <w:r w:rsidRPr="00454670">
        <w:rPr>
          <w:color w:val="000000"/>
          <w:szCs w:val="20"/>
        </w:rPr>
        <w:t>equals</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for</w:t>
      </w:r>
      <w:r w:rsidR="00C64050">
        <w:rPr>
          <w:color w:val="000000"/>
          <w:szCs w:val="20"/>
        </w:rPr>
        <w:t xml:space="preserve"> </w:t>
      </w:r>
      <w:r w:rsidRPr="00454670">
        <w:rPr>
          <w:color w:val="000000"/>
          <w:szCs w:val="20"/>
        </w:rPr>
        <w:t>which</w:t>
      </w:r>
      <w:r w:rsidR="00C64050">
        <w:rPr>
          <w:color w:val="000000"/>
          <w:szCs w:val="20"/>
        </w:rPr>
        <w:t xml:space="preserve"> </w:t>
      </w:r>
      <w:r w:rsidRPr="00454670">
        <w:rPr>
          <w:color w:val="000000"/>
          <w:szCs w:val="20"/>
        </w:rPr>
        <w:t>it</w:t>
      </w:r>
      <w:r w:rsidR="00C64050">
        <w:rPr>
          <w:color w:val="000000"/>
          <w:szCs w:val="20"/>
        </w:rPr>
        <w:t xml:space="preserve"> </w:t>
      </w:r>
      <w:r w:rsidRPr="00454670">
        <w:rPr>
          <w:color w:val="000000"/>
          <w:szCs w:val="20"/>
        </w:rPr>
        <w:t>was</w:t>
      </w:r>
      <w:r w:rsidR="00C64050">
        <w:rPr>
          <w:color w:val="000000"/>
          <w:szCs w:val="20"/>
        </w:rPr>
        <w:t xml:space="preserve"> </w:t>
      </w:r>
      <w:r w:rsidRPr="00454670">
        <w:rPr>
          <w:color w:val="000000"/>
          <w:szCs w:val="20"/>
        </w:rPr>
        <w:t>exchanged,</w:t>
      </w:r>
      <w:r w:rsidR="00C64050">
        <w:rPr>
          <w:color w:val="000000"/>
          <w:szCs w:val="20"/>
        </w:rPr>
        <w:t xml:space="preserve"> </w:t>
      </w:r>
      <w:r w:rsidRPr="00454670">
        <w:rPr>
          <w:color w:val="000000"/>
          <w:szCs w:val="20"/>
        </w:rPr>
        <w:t>then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transaction</w:t>
      </w:r>
      <w:r w:rsidR="00C64050">
        <w:rPr>
          <w:color w:val="000000"/>
          <w:szCs w:val="20"/>
        </w:rPr>
        <w:t xml:space="preserve"> </w:t>
      </w:r>
      <w:r w:rsidRPr="00454670">
        <w:rPr>
          <w:color w:val="000000"/>
          <w:szCs w:val="20"/>
        </w:rPr>
        <w:t>will</w:t>
      </w:r>
      <w:r w:rsidR="00C64050">
        <w:rPr>
          <w:color w:val="000000"/>
          <w:szCs w:val="20"/>
        </w:rPr>
        <w:t xml:space="preserve"> </w:t>
      </w:r>
      <w:r w:rsidRPr="00454670">
        <w:rPr>
          <w:color w:val="000000"/>
          <w:szCs w:val="20"/>
        </w:rPr>
        <w:t>not</w:t>
      </w:r>
      <w:r w:rsidR="00C64050">
        <w:rPr>
          <w:color w:val="000000"/>
          <w:szCs w:val="20"/>
        </w:rPr>
        <w:t xml:space="preserve"> </w:t>
      </w:r>
      <w:r w:rsidRPr="00454670">
        <w:rPr>
          <w:color w:val="000000"/>
          <w:szCs w:val="20"/>
        </w:rPr>
        <w:t>be</w:t>
      </w:r>
      <w:r w:rsidR="00C64050">
        <w:rPr>
          <w:color w:val="000000"/>
          <w:szCs w:val="20"/>
        </w:rPr>
        <w:t xml:space="preserve"> </w:t>
      </w:r>
      <w:r w:rsidRPr="00454670">
        <w:rPr>
          <w:color w:val="000000"/>
          <w:szCs w:val="20"/>
        </w:rPr>
        <w:t>treated</w:t>
      </w:r>
      <w:r w:rsidR="00C64050">
        <w:rPr>
          <w:color w:val="000000"/>
          <w:szCs w:val="20"/>
        </w:rPr>
        <w:t xml:space="preserve"> </w:t>
      </w:r>
      <w:r w:rsidRPr="00454670">
        <w:rPr>
          <w:color w:val="000000"/>
          <w:szCs w:val="20"/>
        </w:rPr>
        <w:t>as</w:t>
      </w:r>
      <w:r w:rsidR="00C64050">
        <w:rPr>
          <w:color w:val="000000"/>
          <w:szCs w:val="20"/>
        </w:rPr>
        <w:t xml:space="preserve"> </w:t>
      </w:r>
      <w:r w:rsidRPr="00454670">
        <w:rPr>
          <w:color w:val="000000"/>
          <w:szCs w:val="20"/>
        </w:rPr>
        <w:t>an</w:t>
      </w:r>
      <w:r w:rsidR="00C64050">
        <w:rPr>
          <w:color w:val="000000"/>
          <w:szCs w:val="20"/>
        </w:rPr>
        <w:t xml:space="preserve"> </w:t>
      </w:r>
      <w:r w:rsidRPr="00454670">
        <w:rPr>
          <w:color w:val="000000"/>
          <w:szCs w:val="20"/>
        </w:rPr>
        <w:t>exchange</w:t>
      </w:r>
      <w:r w:rsidR="00C64050">
        <w:rPr>
          <w:color w:val="000000"/>
          <w:szCs w:val="20"/>
        </w:rPr>
        <w:t xml:space="preserve"> </w:t>
      </w:r>
      <w:r w:rsidRPr="00454670">
        <w:rPr>
          <w:color w:val="000000"/>
          <w:szCs w:val="20"/>
        </w:rPr>
        <w:t>for</w:t>
      </w:r>
      <w:r w:rsidR="00C64050">
        <w:rPr>
          <w:color w:val="000000"/>
          <w:szCs w:val="20"/>
        </w:rPr>
        <w:t xml:space="preserve"> </w:t>
      </w:r>
      <w:r w:rsidRPr="00454670">
        <w:rPr>
          <w:color w:val="000000"/>
          <w:szCs w:val="20"/>
        </w:rPr>
        <w:t>purposes</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section</w:t>
      </w:r>
      <w:r w:rsidR="00C64050">
        <w:rPr>
          <w:color w:val="000000"/>
          <w:szCs w:val="20"/>
        </w:rPr>
        <w:t xml:space="preserve"> </w:t>
      </w:r>
      <w:r w:rsidRPr="00454670">
        <w:rPr>
          <w:color w:val="000000"/>
          <w:szCs w:val="20"/>
        </w:rPr>
        <w:t>2032(a)(1).</w:t>
      </w:r>
      <w:r w:rsidR="00C64050">
        <w:rPr>
          <w:color w:val="000000"/>
          <w:szCs w:val="20"/>
        </w:rPr>
        <w:t xml:space="preserve"> </w:t>
      </w:r>
      <w:r w:rsidRPr="00454670">
        <w:rPr>
          <w:color w:val="000000"/>
          <w:szCs w:val="20"/>
        </w:rPr>
        <w:t>As</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result,</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may</w:t>
      </w:r>
      <w:r w:rsidR="00C64050">
        <w:rPr>
          <w:color w:val="000000"/>
          <w:szCs w:val="20"/>
        </w:rPr>
        <w:t xml:space="preserve"> </w:t>
      </w:r>
      <w:r w:rsidRPr="00454670">
        <w:rPr>
          <w:color w:val="000000"/>
          <w:szCs w:val="20"/>
        </w:rPr>
        <w:t>use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6-month</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interest</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same</w:t>
      </w:r>
      <w:r w:rsidR="00C64050">
        <w:rPr>
          <w:color w:val="000000"/>
          <w:szCs w:val="20"/>
        </w:rPr>
        <w:t xml:space="preserve"> </w:t>
      </w:r>
      <w:r w:rsidRPr="00454670">
        <w:rPr>
          <w:color w:val="000000"/>
          <w:szCs w:val="20"/>
        </w:rPr>
        <w:t>entity</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acquiring</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resulting</w:t>
      </w:r>
      <w:r w:rsidR="00C64050">
        <w:rPr>
          <w:color w:val="000000"/>
          <w:szCs w:val="20"/>
        </w:rPr>
        <w:t xml:space="preserve"> </w:t>
      </w:r>
      <w:r w:rsidRPr="00454670">
        <w:rPr>
          <w:color w:val="000000"/>
          <w:szCs w:val="20"/>
        </w:rPr>
        <w:t>entity</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entities</w:t>
      </w:r>
      <w:r w:rsidR="00C64050">
        <w:rPr>
          <w:color w:val="000000"/>
          <w:szCs w:val="20"/>
        </w:rPr>
        <w:t xml:space="preserve"> </w:t>
      </w:r>
      <w:r w:rsidRPr="00454670">
        <w:rPr>
          <w:color w:val="000000"/>
          <w:szCs w:val="20"/>
        </w:rPr>
        <w:t>received</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exchange.</w:t>
      </w:r>
      <w:r w:rsidR="00C64050">
        <w:rPr>
          <w:color w:val="000000"/>
          <w:szCs w:val="20"/>
        </w:rPr>
        <w:t xml:space="preserve"> </w:t>
      </w:r>
      <w:r w:rsidRPr="00454670">
        <w:rPr>
          <w:color w:val="000000"/>
          <w:szCs w:val="20"/>
        </w:rPr>
        <w:t>For</w:t>
      </w:r>
      <w:r w:rsidR="00C64050">
        <w:rPr>
          <w:color w:val="000000"/>
          <w:szCs w:val="20"/>
        </w:rPr>
        <w:t xml:space="preserve"> </w:t>
      </w:r>
      <w:r w:rsidRPr="00454670">
        <w:rPr>
          <w:color w:val="000000"/>
          <w:szCs w:val="20"/>
        </w:rPr>
        <w:t>this</w:t>
      </w:r>
      <w:r w:rsidR="00C64050">
        <w:rPr>
          <w:color w:val="000000"/>
          <w:szCs w:val="20"/>
        </w:rPr>
        <w:t xml:space="preserve"> </w:t>
      </w:r>
      <w:r w:rsidRPr="00454670">
        <w:rPr>
          <w:color w:val="000000"/>
          <w:szCs w:val="20"/>
        </w:rPr>
        <w:t>purpose,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values</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surrendered</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received</w:t>
      </w:r>
      <w:r w:rsidR="00C64050">
        <w:rPr>
          <w:color w:val="000000"/>
          <w:szCs w:val="20"/>
        </w:rPr>
        <w:t xml:space="preserve"> </w:t>
      </w:r>
      <w:r w:rsidRPr="00454670">
        <w:rPr>
          <w:color w:val="000000"/>
          <w:szCs w:val="20"/>
        </w:rPr>
        <w:t>interest</w:t>
      </w:r>
      <w:r w:rsidR="00C64050">
        <w:rPr>
          <w:color w:val="000000"/>
          <w:szCs w:val="20"/>
        </w:rPr>
        <w:t xml:space="preserve"> </w:t>
      </w:r>
      <w:r w:rsidRPr="00454670">
        <w:rPr>
          <w:color w:val="000000"/>
          <w:szCs w:val="20"/>
        </w:rPr>
        <w:t>are</w:t>
      </w:r>
      <w:r w:rsidR="00C64050">
        <w:rPr>
          <w:color w:val="000000"/>
          <w:szCs w:val="20"/>
        </w:rPr>
        <w:t xml:space="preserve"> </w:t>
      </w:r>
      <w:r w:rsidRPr="00454670">
        <w:rPr>
          <w:color w:val="000000"/>
          <w:szCs w:val="20"/>
        </w:rPr>
        <w:t>deemed</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be</w:t>
      </w:r>
      <w:r w:rsidR="00C64050">
        <w:rPr>
          <w:color w:val="000000"/>
          <w:szCs w:val="20"/>
        </w:rPr>
        <w:t xml:space="preserve"> </w:t>
      </w:r>
      <w:r w:rsidRPr="00454670">
        <w:rPr>
          <w:color w:val="000000"/>
          <w:szCs w:val="20"/>
        </w:rPr>
        <w:t>equal</w:t>
      </w:r>
      <w:r w:rsidR="00C64050">
        <w:rPr>
          <w:color w:val="000000"/>
          <w:szCs w:val="20"/>
        </w:rPr>
        <w:t xml:space="preserve"> </w:t>
      </w:r>
      <w:r w:rsidRPr="00454670">
        <w:rPr>
          <w:color w:val="000000"/>
          <w:szCs w:val="20"/>
        </w:rPr>
        <w:t>if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difference</w:t>
      </w:r>
      <w:r w:rsidR="00C64050">
        <w:rPr>
          <w:color w:val="000000"/>
          <w:szCs w:val="20"/>
        </w:rPr>
        <w:t xml:space="preserve"> </w:t>
      </w:r>
      <w:r w:rsidRPr="00454670">
        <w:rPr>
          <w:color w:val="000000"/>
          <w:szCs w:val="20"/>
        </w:rPr>
        <w:t>between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values</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surrendered</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received</w:t>
      </w:r>
      <w:r w:rsidR="00C64050">
        <w:rPr>
          <w:color w:val="000000"/>
          <w:szCs w:val="20"/>
        </w:rPr>
        <w:t xml:space="preserve"> </w:t>
      </w:r>
      <w:r w:rsidRPr="00454670">
        <w:rPr>
          <w:color w:val="000000"/>
          <w:szCs w:val="20"/>
        </w:rPr>
        <w:t>interest</w:t>
      </w:r>
      <w:r w:rsidR="00C64050">
        <w:rPr>
          <w:color w:val="000000"/>
          <w:szCs w:val="20"/>
        </w:rPr>
        <w:t xml:space="preserve"> </w:t>
      </w:r>
      <w:r w:rsidRPr="00454670">
        <w:rPr>
          <w:color w:val="000000"/>
          <w:szCs w:val="20"/>
        </w:rPr>
        <w:t>does</w:t>
      </w:r>
      <w:r w:rsidR="00C64050">
        <w:rPr>
          <w:color w:val="000000"/>
          <w:szCs w:val="20"/>
        </w:rPr>
        <w:t xml:space="preserve"> </w:t>
      </w:r>
      <w:r w:rsidRPr="00454670">
        <w:rPr>
          <w:color w:val="000000"/>
          <w:szCs w:val="20"/>
        </w:rPr>
        <w:t>not</w:t>
      </w:r>
      <w:r w:rsidR="00C64050">
        <w:rPr>
          <w:color w:val="000000"/>
          <w:szCs w:val="20"/>
        </w:rPr>
        <w:t xml:space="preserve"> </w:t>
      </w:r>
      <w:r w:rsidRPr="00454670">
        <w:rPr>
          <w:color w:val="000000"/>
          <w:szCs w:val="20"/>
        </w:rPr>
        <w:t>exceed</w:t>
      </w:r>
      <w:r w:rsidR="00C64050">
        <w:rPr>
          <w:color w:val="000000"/>
          <w:szCs w:val="20"/>
        </w:rPr>
        <w:t xml:space="preserve"> </w:t>
      </w:r>
      <w:r w:rsidRPr="00454670">
        <w:rPr>
          <w:color w:val="000000"/>
          <w:szCs w:val="20"/>
        </w:rPr>
        <w:t>5</w:t>
      </w:r>
      <w:r w:rsidR="00C64050">
        <w:rPr>
          <w:color w:val="000000"/>
          <w:szCs w:val="20"/>
        </w:rPr>
        <w:t xml:space="preserve"> </w:t>
      </w:r>
      <w:r w:rsidRPr="00454670">
        <w:rPr>
          <w:color w:val="000000"/>
          <w:szCs w:val="20"/>
        </w:rPr>
        <w:t>percent</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surrendered</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as</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transaction</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This</w:t>
      </w:r>
      <w:r w:rsidR="00C64050">
        <w:rPr>
          <w:color w:val="000000"/>
          <w:szCs w:val="20"/>
        </w:rPr>
        <w:t xml:space="preserve"> </w:t>
      </w:r>
      <w:r w:rsidRPr="00454670">
        <w:rPr>
          <w:color w:val="000000"/>
          <w:szCs w:val="20"/>
        </w:rPr>
        <w:t>section</w:t>
      </w:r>
      <w:r w:rsidR="00C64050">
        <w:rPr>
          <w:color w:val="000000"/>
          <w:szCs w:val="20"/>
        </w:rPr>
        <w:t xml:space="preserve"> </w:t>
      </w:r>
      <w:r w:rsidRPr="00454670">
        <w:rPr>
          <w:color w:val="000000"/>
          <w:szCs w:val="20"/>
        </w:rPr>
        <w:t>has</w:t>
      </w:r>
      <w:r w:rsidR="00C64050">
        <w:rPr>
          <w:color w:val="000000"/>
          <w:szCs w:val="20"/>
        </w:rPr>
        <w:t xml:space="preserve"> </w:t>
      </w:r>
      <w:r w:rsidRPr="00454670">
        <w:rPr>
          <w:color w:val="000000"/>
          <w:szCs w:val="20"/>
        </w:rPr>
        <w:t>no</w:t>
      </w:r>
      <w:r w:rsidR="00C64050">
        <w:rPr>
          <w:color w:val="000000"/>
          <w:szCs w:val="20"/>
        </w:rPr>
        <w:t xml:space="preserve"> </w:t>
      </w:r>
      <w:r w:rsidRPr="00454670">
        <w:rPr>
          <w:color w:val="000000"/>
          <w:szCs w:val="20"/>
        </w:rPr>
        <w:t>effect</w:t>
      </w:r>
      <w:r w:rsidR="00C64050">
        <w:rPr>
          <w:color w:val="000000"/>
          <w:szCs w:val="20"/>
        </w:rPr>
        <w:t xml:space="preserve"> </w:t>
      </w:r>
      <w:r w:rsidRPr="00454670">
        <w:rPr>
          <w:color w:val="000000"/>
          <w:szCs w:val="20"/>
        </w:rPr>
        <w:t>on</w:t>
      </w:r>
      <w:r w:rsidR="00C64050">
        <w:rPr>
          <w:color w:val="000000"/>
          <w:szCs w:val="20"/>
        </w:rPr>
        <w:t xml:space="preserve"> </w:t>
      </w:r>
      <w:r w:rsidRPr="00454670">
        <w:rPr>
          <w:color w:val="000000"/>
          <w:szCs w:val="20"/>
        </w:rPr>
        <w:t>any</w:t>
      </w:r>
      <w:r w:rsidR="00C64050">
        <w:rPr>
          <w:color w:val="000000"/>
          <w:szCs w:val="20"/>
        </w:rPr>
        <w:t xml:space="preserve"> </w:t>
      </w:r>
      <w:r w:rsidRPr="00454670">
        <w:rPr>
          <w:color w:val="000000"/>
          <w:szCs w:val="20"/>
        </w:rPr>
        <w:t>other</w:t>
      </w:r>
      <w:r w:rsidR="00C64050">
        <w:rPr>
          <w:color w:val="000000"/>
          <w:szCs w:val="20"/>
        </w:rPr>
        <w:t xml:space="preserve"> </w:t>
      </w:r>
      <w:r w:rsidRPr="00454670">
        <w:rPr>
          <w:color w:val="000000"/>
          <w:szCs w:val="20"/>
        </w:rPr>
        <w:t>provision</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Code</w:t>
      </w:r>
      <w:r w:rsidR="00C64050">
        <w:rPr>
          <w:color w:val="000000"/>
          <w:szCs w:val="20"/>
        </w:rPr>
        <w:t xml:space="preserve"> </w:t>
      </w:r>
      <w:r w:rsidRPr="00454670">
        <w:rPr>
          <w:color w:val="000000"/>
          <w:szCs w:val="20"/>
        </w:rPr>
        <w:t>that</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applicable</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transaction.</w:t>
      </w:r>
      <w:r w:rsidR="00C64050">
        <w:rPr>
          <w:color w:val="000000"/>
          <w:szCs w:val="20"/>
        </w:rPr>
        <w:t xml:space="preserve"> </w:t>
      </w:r>
      <w:r w:rsidRPr="00454670">
        <w:rPr>
          <w:color w:val="000000"/>
          <w:szCs w:val="20"/>
        </w:rPr>
        <w:t>For</w:t>
      </w:r>
      <w:r w:rsidR="00C64050">
        <w:rPr>
          <w:color w:val="000000"/>
          <w:szCs w:val="20"/>
        </w:rPr>
        <w:t xml:space="preserve"> </w:t>
      </w:r>
      <w:r w:rsidRPr="00454670">
        <w:rPr>
          <w:color w:val="000000"/>
          <w:szCs w:val="20"/>
        </w:rPr>
        <w:t>example,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provisions</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chapter</w:t>
      </w:r>
      <w:r w:rsidR="00C64050">
        <w:rPr>
          <w:color w:val="000000"/>
          <w:szCs w:val="20"/>
        </w:rPr>
        <w:t xml:space="preserve"> </w:t>
      </w:r>
      <w:r w:rsidRPr="00454670">
        <w:rPr>
          <w:color w:val="000000"/>
          <w:szCs w:val="20"/>
        </w:rPr>
        <w:t>14</w:t>
      </w:r>
      <w:r w:rsidR="00C64050">
        <w:rPr>
          <w:color w:val="000000"/>
          <w:szCs w:val="20"/>
        </w:rPr>
        <w:t xml:space="preserve"> </w:t>
      </w:r>
      <w:r w:rsidRPr="00454670">
        <w:rPr>
          <w:color w:val="000000"/>
          <w:szCs w:val="20"/>
        </w:rPr>
        <w:t>may</w:t>
      </w:r>
      <w:r w:rsidR="00C64050">
        <w:rPr>
          <w:color w:val="000000"/>
          <w:szCs w:val="20"/>
        </w:rPr>
        <w:t xml:space="preserve"> </w:t>
      </w:r>
      <w:r w:rsidRPr="00454670">
        <w:rPr>
          <w:color w:val="000000"/>
          <w:szCs w:val="20"/>
        </w:rPr>
        <w:t>apply</w:t>
      </w:r>
      <w:r w:rsidR="00C64050">
        <w:rPr>
          <w:color w:val="000000"/>
          <w:szCs w:val="20"/>
        </w:rPr>
        <w:t xml:space="preserve"> </w:t>
      </w:r>
      <w:r w:rsidRPr="00454670">
        <w:rPr>
          <w:color w:val="000000"/>
          <w:szCs w:val="20"/>
        </w:rPr>
        <w:t>even</w:t>
      </w:r>
      <w:r w:rsidR="00C64050">
        <w:rPr>
          <w:color w:val="000000"/>
          <w:szCs w:val="20"/>
        </w:rPr>
        <w:t xml:space="preserve"> </w:t>
      </w:r>
      <w:r w:rsidRPr="00454670">
        <w:rPr>
          <w:color w:val="000000"/>
          <w:szCs w:val="20"/>
        </w:rPr>
        <w:t>if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transaction</w:t>
      </w:r>
      <w:r w:rsidR="00C64050">
        <w:rPr>
          <w:color w:val="000000"/>
          <w:szCs w:val="20"/>
        </w:rPr>
        <w:t xml:space="preserve"> </w:t>
      </w:r>
      <w:r w:rsidRPr="00454670">
        <w:rPr>
          <w:color w:val="000000"/>
          <w:szCs w:val="20"/>
        </w:rPr>
        <w:t>does</w:t>
      </w:r>
      <w:r w:rsidR="00C64050">
        <w:rPr>
          <w:color w:val="000000"/>
          <w:szCs w:val="20"/>
        </w:rPr>
        <w:t xml:space="preserve"> </w:t>
      </w:r>
      <w:r w:rsidRPr="00454670">
        <w:rPr>
          <w:color w:val="000000"/>
          <w:szCs w:val="20"/>
        </w:rPr>
        <w:t>not</w:t>
      </w:r>
      <w:r w:rsidR="00C64050">
        <w:rPr>
          <w:color w:val="000000"/>
          <w:szCs w:val="20"/>
        </w:rPr>
        <w:t xml:space="preserve"> </w:t>
      </w:r>
      <w:r w:rsidRPr="00454670">
        <w:rPr>
          <w:color w:val="000000"/>
          <w:szCs w:val="20"/>
        </w:rPr>
        <w:t>result</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deemed</w:t>
      </w:r>
      <w:r w:rsidR="00C64050">
        <w:rPr>
          <w:color w:val="000000"/>
          <w:szCs w:val="20"/>
        </w:rPr>
        <w:t xml:space="preserve"> </w:t>
      </w:r>
      <w:r w:rsidRPr="00454670">
        <w:rPr>
          <w:color w:val="000000"/>
          <w:szCs w:val="20"/>
        </w:rPr>
        <w:t>exchange</w:t>
      </w:r>
      <w:r w:rsidR="00C64050">
        <w:rPr>
          <w:color w:val="000000"/>
          <w:szCs w:val="20"/>
        </w:rPr>
        <w:t xml:space="preserve"> </w:t>
      </w:r>
      <w:r w:rsidRPr="00454670">
        <w:rPr>
          <w:color w:val="000000"/>
          <w:szCs w:val="20"/>
        </w:rPr>
        <w:t>for</w:t>
      </w:r>
      <w:r w:rsidR="00C64050">
        <w:rPr>
          <w:color w:val="000000"/>
          <w:szCs w:val="20"/>
        </w:rPr>
        <w:t xml:space="preserve"> </w:t>
      </w:r>
      <w:r w:rsidRPr="00454670">
        <w:rPr>
          <w:color w:val="000000"/>
          <w:szCs w:val="20"/>
        </w:rPr>
        <w:t>section</w:t>
      </w:r>
      <w:r w:rsidR="00C64050">
        <w:rPr>
          <w:color w:val="000000"/>
          <w:szCs w:val="20"/>
        </w:rPr>
        <w:t xml:space="preserve"> </w:t>
      </w:r>
      <w:r w:rsidRPr="00454670">
        <w:rPr>
          <w:color w:val="000000"/>
          <w:szCs w:val="20"/>
        </w:rPr>
        <w:t>2032</w:t>
      </w:r>
      <w:r w:rsidR="00C64050">
        <w:rPr>
          <w:color w:val="000000"/>
          <w:szCs w:val="20"/>
        </w:rPr>
        <w:t xml:space="preserve"> </w:t>
      </w:r>
      <w:r w:rsidRPr="00454670">
        <w:rPr>
          <w:color w:val="000000"/>
          <w:szCs w:val="20"/>
        </w:rPr>
        <w:t>purposes</w:t>
      </w:r>
      <w:r w:rsidR="00C64050">
        <w:rPr>
          <w:color w:val="000000"/>
          <w:szCs w:val="20"/>
        </w:rPr>
        <w:t xml:space="preserve"> </w:t>
      </w:r>
      <w:r w:rsidRPr="00454670">
        <w:rPr>
          <w:color w:val="000000"/>
          <w:szCs w:val="20"/>
        </w:rPr>
        <w:t>as</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result</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satisfying</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provisions</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w:t>
      </w:r>
      <w:r w:rsidR="00C64050">
        <w:rPr>
          <w:color w:val="000000"/>
          <w:szCs w:val="20"/>
        </w:rPr>
        <w:t xml:space="preserve"> </w:t>
      </w:r>
      <w:r w:rsidRPr="00454670">
        <w:rPr>
          <w:color w:val="000000"/>
          <w:szCs w:val="20"/>
        </w:rPr>
        <w:t>20.2032-1(c)(1)(ii).</w:t>
      </w:r>
      <w:r w:rsidR="00C64050">
        <w:rPr>
          <w:color w:val="000000"/>
          <w:szCs w:val="20"/>
        </w:rPr>
        <w:t xml:space="preserve"> </w:t>
      </w:r>
    </w:p>
    <w:p w:rsidR="00485DB9" w:rsidRPr="00454670" w:rsidRDefault="00856D6A" w:rsidP="00E54F20">
      <w:pPr>
        <w:pStyle w:val="QS10"/>
        <w:rPr>
          <w:color w:val="000000"/>
          <w:szCs w:val="20"/>
        </w:rPr>
      </w:pPr>
      <w:r w:rsidRPr="00454670">
        <w:rPr>
          <w:color w:val="000000"/>
          <w:szCs w:val="20"/>
        </w:rPr>
        <w:t>Section</w:t>
      </w:r>
      <w:r w:rsidR="00C64050">
        <w:rPr>
          <w:color w:val="000000"/>
          <w:szCs w:val="20"/>
        </w:rPr>
        <w:t xml:space="preserve"> </w:t>
      </w:r>
      <w:r w:rsidRPr="00454670">
        <w:rPr>
          <w:color w:val="000000"/>
          <w:szCs w:val="20"/>
        </w:rPr>
        <w:t>20.2032-1(c)(1)(iii)(A)</w:t>
      </w:r>
      <w:r w:rsidR="00C64050">
        <w:rPr>
          <w:color w:val="000000"/>
          <w:szCs w:val="20"/>
        </w:rPr>
        <w:t xml:space="preserve"> </w:t>
      </w:r>
      <w:r w:rsidRPr="00454670">
        <w:rPr>
          <w:color w:val="000000"/>
          <w:szCs w:val="20"/>
        </w:rPr>
        <w:t>proposes</w:t>
      </w:r>
      <w:r w:rsidR="00C64050">
        <w:rPr>
          <w:color w:val="000000"/>
          <w:szCs w:val="20"/>
        </w:rPr>
        <w:t xml:space="preserve"> </w:t>
      </w:r>
      <w:r w:rsidRPr="00454670">
        <w:rPr>
          <w:color w:val="000000"/>
          <w:szCs w:val="20"/>
        </w:rPr>
        <w:t>that,</w:t>
      </w:r>
      <w:r w:rsidR="00C64050">
        <w:rPr>
          <w:color w:val="000000"/>
          <w:szCs w:val="20"/>
        </w:rPr>
        <w:t xml:space="preserve"> </w:t>
      </w:r>
      <w:r w:rsidRPr="00454670">
        <w:rPr>
          <w:color w:val="000000"/>
          <w:szCs w:val="20"/>
        </w:rPr>
        <w:t>if,</w:t>
      </w:r>
      <w:r w:rsidR="00C64050">
        <w:rPr>
          <w:color w:val="000000"/>
          <w:szCs w:val="20"/>
        </w:rPr>
        <w:t xml:space="preserve"> </w:t>
      </w:r>
      <w:r w:rsidRPr="00454670">
        <w:rPr>
          <w:color w:val="000000"/>
          <w:szCs w:val="20"/>
        </w:rPr>
        <w:t>during</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alternate</w:t>
      </w:r>
      <w:r w:rsidR="00C64050">
        <w:rPr>
          <w:color w:val="000000"/>
          <w:szCs w:val="20"/>
        </w:rPr>
        <w:t xml:space="preserve"> </w:t>
      </w:r>
      <w:r w:rsidRPr="00454670">
        <w:rPr>
          <w:color w:val="000000"/>
          <w:szCs w:val="20"/>
        </w:rPr>
        <w:t>valuation</w:t>
      </w:r>
      <w:r w:rsidR="00C64050">
        <w:rPr>
          <w:color w:val="000000"/>
          <w:szCs w:val="20"/>
        </w:rPr>
        <w:t xml:space="preserve"> </w:t>
      </w:r>
      <w:r w:rsidRPr="00454670">
        <w:rPr>
          <w:color w:val="000000"/>
          <w:szCs w:val="20"/>
        </w:rPr>
        <w:t>period,</w:t>
      </w:r>
      <w:r w:rsidR="00C64050">
        <w:rPr>
          <w:color w:val="000000"/>
          <w:szCs w:val="20"/>
        </w:rPr>
        <w:t xml:space="preserve"> </w:t>
      </w:r>
      <w:r w:rsidRPr="00454670">
        <w:rPr>
          <w:color w:val="000000"/>
          <w:szCs w:val="20"/>
        </w:rPr>
        <w:t>an</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other</w:t>
      </w:r>
      <w:r w:rsidR="00C64050">
        <w:rPr>
          <w:color w:val="000000"/>
          <w:szCs w:val="20"/>
        </w:rPr>
        <w:t xml:space="preserve"> </w:t>
      </w:r>
      <w:r w:rsidRPr="00454670">
        <w:rPr>
          <w:color w:val="000000"/>
          <w:szCs w:val="20"/>
        </w:rPr>
        <w:t>holder)</w:t>
      </w:r>
      <w:r w:rsidR="00C64050">
        <w:rPr>
          <w:color w:val="000000"/>
          <w:szCs w:val="20"/>
        </w:rPr>
        <w:t xml:space="preserve"> </w:t>
      </w:r>
      <w:r w:rsidRPr="00454670">
        <w:rPr>
          <w:color w:val="000000"/>
          <w:szCs w:val="20"/>
        </w:rPr>
        <w:t>receives</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distribution</w:t>
      </w:r>
      <w:r w:rsidR="00C64050">
        <w:rPr>
          <w:color w:val="000000"/>
          <w:szCs w:val="20"/>
        </w:rPr>
        <w:t xml:space="preserve"> </w:t>
      </w:r>
      <w:r w:rsidRPr="00454670">
        <w:rPr>
          <w:color w:val="000000"/>
          <w:szCs w:val="20"/>
        </w:rPr>
        <w:t>from</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business</w:t>
      </w:r>
      <w:r w:rsidR="00C64050">
        <w:rPr>
          <w:color w:val="000000"/>
          <w:szCs w:val="20"/>
        </w:rPr>
        <w:t xml:space="preserve"> </w:t>
      </w:r>
      <w:r w:rsidRPr="00454670">
        <w:rPr>
          <w:color w:val="000000"/>
          <w:szCs w:val="20"/>
        </w:rPr>
        <w:t>entity,</w:t>
      </w:r>
      <w:r w:rsidR="00C64050">
        <w:rPr>
          <w:color w:val="000000"/>
          <w:szCs w:val="20"/>
        </w:rPr>
        <w:t xml:space="preserve"> </w:t>
      </w:r>
      <w:r w:rsidRPr="00454670">
        <w:rPr>
          <w:color w:val="000000"/>
          <w:szCs w:val="20"/>
        </w:rPr>
        <w:t>bank</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retirement</w:t>
      </w:r>
      <w:r w:rsidR="00C64050">
        <w:rPr>
          <w:color w:val="000000"/>
          <w:szCs w:val="20"/>
        </w:rPr>
        <w:t xml:space="preserve"> </w:t>
      </w:r>
      <w:r w:rsidRPr="00454670">
        <w:rPr>
          <w:color w:val="000000"/>
          <w:szCs w:val="20"/>
        </w:rPr>
        <w:t>trust</w:t>
      </w:r>
      <w:r w:rsidR="00C64050">
        <w:rPr>
          <w:color w:val="000000"/>
          <w:szCs w:val="20"/>
        </w:rPr>
        <w:t xml:space="preserve"> </w:t>
      </w:r>
      <w:r w:rsidRPr="00454670">
        <w:rPr>
          <w:color w:val="000000"/>
          <w:szCs w:val="20"/>
        </w:rPr>
        <w:t>(entity)</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an</w:t>
      </w:r>
      <w:r w:rsidR="00C64050">
        <w:rPr>
          <w:color w:val="000000"/>
          <w:szCs w:val="20"/>
        </w:rPr>
        <w:t xml:space="preserve"> </w:t>
      </w:r>
      <w:r w:rsidRPr="00454670">
        <w:rPr>
          <w:color w:val="000000"/>
          <w:szCs w:val="20"/>
        </w:rPr>
        <w:t>interest</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that</w:t>
      </w:r>
      <w:r w:rsidR="00C64050">
        <w:rPr>
          <w:color w:val="000000"/>
          <w:szCs w:val="20"/>
        </w:rPr>
        <w:t xml:space="preserve"> </w:t>
      </w:r>
      <w:r w:rsidRPr="00454670">
        <w:rPr>
          <w:color w:val="000000"/>
          <w:szCs w:val="20"/>
        </w:rPr>
        <w:t>entity</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includible</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decedent's</w:t>
      </w:r>
      <w:r w:rsidR="00C64050">
        <w:rPr>
          <w:color w:val="000000"/>
          <w:szCs w:val="20"/>
        </w:rPr>
        <w:t xml:space="preserve"> </w:t>
      </w:r>
      <w:r w:rsidRPr="00454670">
        <w:rPr>
          <w:color w:val="000000"/>
          <w:szCs w:val="20"/>
        </w:rPr>
        <w:t>gross</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may</w:t>
      </w:r>
      <w:r w:rsidR="00C64050">
        <w:rPr>
          <w:color w:val="000000"/>
          <w:szCs w:val="20"/>
        </w:rPr>
        <w:t xml:space="preserve"> </w:t>
      </w:r>
      <w:r w:rsidRPr="00454670">
        <w:rPr>
          <w:color w:val="000000"/>
          <w:szCs w:val="20"/>
        </w:rPr>
        <w:t>use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6-month</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held</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if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following</w:t>
      </w:r>
      <w:r w:rsidR="00C64050">
        <w:rPr>
          <w:color w:val="000000"/>
          <w:szCs w:val="20"/>
        </w:rPr>
        <w:t xml:space="preserve"> </w:t>
      </w:r>
      <w:r w:rsidRPr="00454670">
        <w:rPr>
          <w:color w:val="000000"/>
          <w:szCs w:val="20"/>
        </w:rPr>
        <w:t>requirement</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satisfied.</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interest</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entity</w:t>
      </w:r>
      <w:r w:rsidR="00C64050">
        <w:rPr>
          <w:color w:val="000000"/>
          <w:szCs w:val="20"/>
        </w:rPr>
        <w:t xml:space="preserve"> </w:t>
      </w:r>
      <w:r w:rsidRPr="00454670">
        <w:rPr>
          <w:color w:val="000000"/>
          <w:szCs w:val="20"/>
        </w:rPr>
        <w:t>includible</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gross</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immediately</w:t>
      </w:r>
      <w:r w:rsidR="00C64050">
        <w:rPr>
          <w:color w:val="000000"/>
          <w:szCs w:val="20"/>
        </w:rPr>
        <w:t xml:space="preserve"> </w:t>
      </w:r>
      <w:r w:rsidRPr="00454670">
        <w:rPr>
          <w:color w:val="000000"/>
          <w:szCs w:val="20"/>
        </w:rPr>
        <w:t>before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distribution</w:t>
      </w:r>
      <w:r w:rsidR="00C64050">
        <w:rPr>
          <w:color w:val="000000"/>
          <w:szCs w:val="20"/>
        </w:rPr>
        <w:t xml:space="preserve"> </w:t>
      </w:r>
      <w:r w:rsidRPr="00454670">
        <w:rPr>
          <w:color w:val="000000"/>
          <w:szCs w:val="20"/>
        </w:rPr>
        <w:t>must</w:t>
      </w:r>
      <w:r w:rsidR="00C64050">
        <w:rPr>
          <w:color w:val="000000"/>
          <w:szCs w:val="20"/>
        </w:rPr>
        <w:t xml:space="preserve"> </w:t>
      </w:r>
      <w:r w:rsidRPr="00454670">
        <w:rPr>
          <w:color w:val="000000"/>
          <w:szCs w:val="20"/>
        </w:rPr>
        <w:t>equal</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sum</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distributed</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on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distribution</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interest</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entity</w:t>
      </w:r>
      <w:r w:rsidR="00C64050">
        <w:rPr>
          <w:color w:val="000000"/>
          <w:szCs w:val="20"/>
        </w:rPr>
        <w:t xml:space="preserve"> </w:t>
      </w:r>
      <w:r w:rsidRPr="00454670">
        <w:rPr>
          <w:color w:val="000000"/>
          <w:szCs w:val="20"/>
        </w:rPr>
        <w:t>includible</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gross</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immediately</w:t>
      </w:r>
      <w:r w:rsidR="00C64050">
        <w:rPr>
          <w:color w:val="000000"/>
          <w:szCs w:val="20"/>
        </w:rPr>
        <w:t xml:space="preserve"> </w:t>
      </w:r>
      <w:r w:rsidRPr="00454670">
        <w:rPr>
          <w:color w:val="000000"/>
          <w:szCs w:val="20"/>
        </w:rPr>
        <w:t>after</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distribution.</w:t>
      </w:r>
      <w:r w:rsidR="00C64050">
        <w:rPr>
          <w:color w:val="000000"/>
          <w:szCs w:val="20"/>
        </w:rPr>
        <w:t xml:space="preserve"> </w:t>
      </w:r>
      <w:r w:rsidRPr="00454670">
        <w:rPr>
          <w:color w:val="000000"/>
          <w:szCs w:val="20"/>
        </w:rPr>
        <w:t>If</w:t>
      </w:r>
      <w:r w:rsidR="00C64050">
        <w:rPr>
          <w:color w:val="000000"/>
          <w:szCs w:val="20"/>
        </w:rPr>
        <w:t xml:space="preserve"> </w:t>
      </w:r>
      <w:r w:rsidRPr="00454670">
        <w:rPr>
          <w:color w:val="000000"/>
          <w:szCs w:val="20"/>
        </w:rPr>
        <w:t>this</w:t>
      </w:r>
      <w:r w:rsidR="00C64050">
        <w:rPr>
          <w:color w:val="000000"/>
          <w:szCs w:val="20"/>
        </w:rPr>
        <w:t xml:space="preserve"> </w:t>
      </w:r>
      <w:r w:rsidRPr="00454670">
        <w:rPr>
          <w:color w:val="000000"/>
          <w:szCs w:val="20"/>
        </w:rPr>
        <w:t>requirement</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not</w:t>
      </w:r>
      <w:r w:rsidR="00C64050">
        <w:rPr>
          <w:color w:val="000000"/>
          <w:szCs w:val="20"/>
        </w:rPr>
        <w:t xml:space="preserve"> </w:t>
      </w:r>
      <w:r w:rsidRPr="00454670">
        <w:rPr>
          <w:color w:val="000000"/>
          <w:szCs w:val="20"/>
        </w:rPr>
        <w:t>satisfied,</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must</w:t>
      </w:r>
      <w:r w:rsidR="00C64050">
        <w:rPr>
          <w:color w:val="000000"/>
          <w:szCs w:val="20"/>
        </w:rPr>
        <w:t xml:space="preserve"> </w:t>
      </w:r>
      <w:r w:rsidRPr="00454670">
        <w:rPr>
          <w:color w:val="000000"/>
          <w:szCs w:val="20"/>
        </w:rPr>
        <w:t>use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as</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distribution</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immediately</w:t>
      </w:r>
      <w:r w:rsidR="00C64050">
        <w:rPr>
          <w:color w:val="000000"/>
          <w:szCs w:val="20"/>
        </w:rPr>
        <w:t xml:space="preserve"> </w:t>
      </w:r>
      <w:r w:rsidRPr="00454670">
        <w:rPr>
          <w:color w:val="000000"/>
          <w:szCs w:val="20"/>
        </w:rPr>
        <w:t>prior</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distribution</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entire</w:t>
      </w:r>
      <w:r w:rsidR="00C64050">
        <w:rPr>
          <w:color w:val="000000"/>
          <w:szCs w:val="20"/>
        </w:rPr>
        <w:t xml:space="preserve"> </w:t>
      </w:r>
      <w:r w:rsidRPr="00454670">
        <w:rPr>
          <w:color w:val="000000"/>
          <w:szCs w:val="20"/>
        </w:rPr>
        <w:t>interest</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entity</w:t>
      </w:r>
      <w:r w:rsidR="00C64050">
        <w:rPr>
          <w:color w:val="000000"/>
          <w:szCs w:val="20"/>
        </w:rPr>
        <w:t xml:space="preserve"> </w:t>
      </w:r>
      <w:r w:rsidRPr="00454670">
        <w:rPr>
          <w:color w:val="000000"/>
          <w:szCs w:val="20"/>
        </w:rPr>
        <w:t>includible</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gross</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For</w:t>
      </w:r>
      <w:r w:rsidR="00C64050">
        <w:rPr>
          <w:color w:val="000000"/>
          <w:szCs w:val="20"/>
        </w:rPr>
        <w:t xml:space="preserve"> </w:t>
      </w:r>
      <w:r w:rsidRPr="00454670">
        <w:rPr>
          <w:color w:val="000000"/>
          <w:szCs w:val="20"/>
        </w:rPr>
        <w:t>purposes</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this</w:t>
      </w:r>
      <w:r w:rsidR="00C64050">
        <w:rPr>
          <w:color w:val="000000"/>
          <w:szCs w:val="20"/>
        </w:rPr>
        <w:t xml:space="preserve"> </w:t>
      </w:r>
      <w:r w:rsidRPr="00454670">
        <w:rPr>
          <w:color w:val="000000"/>
          <w:szCs w:val="20"/>
        </w:rPr>
        <w:t>section,</w:t>
      </w:r>
      <w:r w:rsidR="00C64050">
        <w:rPr>
          <w:color w:val="000000"/>
          <w:szCs w:val="20"/>
        </w:rPr>
        <w:t xml:space="preserve"> </w:t>
      </w:r>
      <w:r w:rsidRPr="00454670">
        <w:rPr>
          <w:color w:val="000000"/>
          <w:szCs w:val="20"/>
        </w:rPr>
        <w:t>any</w:t>
      </w:r>
      <w:r w:rsidR="00C64050">
        <w:rPr>
          <w:color w:val="000000"/>
          <w:szCs w:val="20"/>
        </w:rPr>
        <w:t xml:space="preserve"> </w:t>
      </w:r>
      <w:r w:rsidRPr="00454670">
        <w:rPr>
          <w:color w:val="000000"/>
          <w:szCs w:val="20"/>
        </w:rPr>
        <w:t>distribution</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deemed</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consist</w:t>
      </w:r>
      <w:r w:rsidR="00C64050">
        <w:rPr>
          <w:color w:val="000000"/>
          <w:szCs w:val="20"/>
        </w:rPr>
        <w:t xml:space="preserve"> </w:t>
      </w:r>
      <w:r w:rsidRPr="00454670">
        <w:rPr>
          <w:color w:val="000000"/>
          <w:szCs w:val="20"/>
        </w:rPr>
        <w:t>first</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excluded</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(as</w:t>
      </w:r>
      <w:r w:rsidR="00C64050">
        <w:rPr>
          <w:color w:val="000000"/>
          <w:szCs w:val="20"/>
        </w:rPr>
        <w:t xml:space="preserve"> </w:t>
      </w:r>
      <w:r w:rsidRPr="00454670">
        <w:rPr>
          <w:color w:val="000000"/>
          <w:szCs w:val="20"/>
        </w:rPr>
        <w:t>defined</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w:t>
      </w:r>
      <w:r w:rsidR="00C64050">
        <w:rPr>
          <w:color w:val="000000"/>
          <w:szCs w:val="20"/>
        </w:rPr>
        <w:t xml:space="preserve"> </w:t>
      </w:r>
      <w:r w:rsidRPr="00454670">
        <w:rPr>
          <w:color w:val="000000"/>
          <w:szCs w:val="20"/>
        </w:rPr>
        <w:t>20.2032-1(d)),</w:t>
      </w:r>
      <w:r w:rsidR="00C64050">
        <w:rPr>
          <w:color w:val="000000"/>
          <w:szCs w:val="20"/>
        </w:rPr>
        <w:t xml:space="preserve"> </w:t>
      </w:r>
      <w:r w:rsidRPr="00454670">
        <w:rPr>
          <w:color w:val="000000"/>
          <w:szCs w:val="20"/>
        </w:rPr>
        <w:t>if</w:t>
      </w:r>
      <w:r w:rsidR="00C64050">
        <w:rPr>
          <w:color w:val="000000"/>
          <w:szCs w:val="20"/>
        </w:rPr>
        <w:t xml:space="preserve"> </w:t>
      </w:r>
      <w:r w:rsidRPr="00454670">
        <w:rPr>
          <w:color w:val="000000"/>
          <w:szCs w:val="20"/>
        </w:rPr>
        <w:t>any,</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then</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included</w:t>
      </w:r>
      <w:r w:rsidR="00C64050">
        <w:rPr>
          <w:color w:val="000000"/>
          <w:szCs w:val="20"/>
        </w:rPr>
        <w:t xml:space="preserve"> </w:t>
      </w:r>
      <w:r w:rsidRPr="00454670">
        <w:rPr>
          <w:color w:val="000000"/>
          <w:szCs w:val="20"/>
        </w:rPr>
        <w:t>property.</w:t>
      </w:r>
      <w:r w:rsidR="00C64050">
        <w:rPr>
          <w:color w:val="000000"/>
          <w:szCs w:val="20"/>
        </w:rPr>
        <w:t xml:space="preserve"> </w:t>
      </w:r>
    </w:p>
    <w:p w:rsidR="00485DB9" w:rsidRPr="00454670" w:rsidRDefault="00856D6A">
      <w:pPr>
        <w:pStyle w:val="Body15"/>
        <w:rPr>
          <w:color w:val="000000"/>
          <w:szCs w:val="20"/>
        </w:rPr>
      </w:pPr>
      <w:r w:rsidRPr="00454670">
        <w:rPr>
          <w:color w:val="000000"/>
          <w:szCs w:val="20"/>
        </w:rPr>
        <w:t>The</w:t>
      </w:r>
      <w:r w:rsidR="00C64050">
        <w:rPr>
          <w:color w:val="000000"/>
          <w:szCs w:val="20"/>
        </w:rPr>
        <w:t xml:space="preserve"> </w:t>
      </w:r>
      <w:r w:rsidRPr="00454670">
        <w:rPr>
          <w:color w:val="000000"/>
          <w:szCs w:val="20"/>
        </w:rPr>
        <w:t>Proposed</w:t>
      </w:r>
      <w:r w:rsidR="00C64050">
        <w:rPr>
          <w:color w:val="000000"/>
          <w:szCs w:val="20"/>
        </w:rPr>
        <w:t xml:space="preserve"> </w:t>
      </w:r>
      <w:r w:rsidRPr="00454670">
        <w:rPr>
          <w:color w:val="000000"/>
          <w:szCs w:val="20"/>
        </w:rPr>
        <w:t>Regulations</w:t>
      </w:r>
      <w:r w:rsidR="00C64050">
        <w:rPr>
          <w:color w:val="000000"/>
          <w:szCs w:val="20"/>
        </w:rPr>
        <w:t xml:space="preserve"> </w:t>
      </w:r>
      <w:r w:rsidRPr="00454670">
        <w:rPr>
          <w:color w:val="000000"/>
          <w:szCs w:val="20"/>
        </w:rPr>
        <w:t>contain</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large</w:t>
      </w:r>
      <w:r w:rsidR="00C64050">
        <w:rPr>
          <w:color w:val="000000"/>
          <w:szCs w:val="20"/>
        </w:rPr>
        <w:t xml:space="preserve"> </w:t>
      </w:r>
      <w:r w:rsidRPr="00454670">
        <w:rPr>
          <w:color w:val="000000"/>
          <w:szCs w:val="20"/>
        </w:rPr>
        <w:t>number</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examples.</w:t>
      </w:r>
      <w:r w:rsidR="00C64050">
        <w:rPr>
          <w:color w:val="000000"/>
          <w:szCs w:val="20"/>
        </w:rPr>
        <w:t xml:space="preserve">  </w:t>
      </w:r>
      <w:r w:rsidRPr="00454670">
        <w:rPr>
          <w:color w:val="000000"/>
          <w:szCs w:val="20"/>
        </w:rPr>
        <w:t>Examples</w:t>
      </w:r>
      <w:r w:rsidR="00C64050">
        <w:rPr>
          <w:color w:val="000000"/>
          <w:szCs w:val="20"/>
        </w:rPr>
        <w:t xml:space="preserve"> </w:t>
      </w:r>
      <w:r w:rsidRPr="00454670">
        <w:rPr>
          <w:color w:val="000000"/>
          <w:szCs w:val="20"/>
        </w:rPr>
        <w:t>1</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3</w:t>
      </w:r>
      <w:r w:rsidR="00C64050">
        <w:rPr>
          <w:color w:val="000000"/>
          <w:szCs w:val="20"/>
        </w:rPr>
        <w:t xml:space="preserve"> </w:t>
      </w:r>
      <w:r w:rsidRPr="00454670">
        <w:rPr>
          <w:color w:val="000000"/>
          <w:szCs w:val="20"/>
        </w:rPr>
        <w:t>illustrate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basic</w:t>
      </w:r>
      <w:r w:rsidR="00C64050">
        <w:rPr>
          <w:color w:val="000000"/>
          <w:szCs w:val="20"/>
        </w:rPr>
        <w:t xml:space="preserve"> </w:t>
      </w:r>
      <w:r w:rsidRPr="00454670">
        <w:rPr>
          <w:color w:val="000000"/>
          <w:szCs w:val="20"/>
        </w:rPr>
        <w:t>position:</w:t>
      </w:r>
    </w:p>
    <w:p w:rsidR="00485DB9" w:rsidRPr="00454670" w:rsidRDefault="00856D6A" w:rsidP="00E54F20">
      <w:pPr>
        <w:pStyle w:val="QS10"/>
        <w:rPr>
          <w:color w:val="000000"/>
          <w:szCs w:val="20"/>
        </w:rPr>
      </w:pPr>
      <w:r w:rsidRPr="00454670">
        <w:rPr>
          <w:color w:val="000000"/>
          <w:szCs w:val="20"/>
          <w:u w:val="single"/>
        </w:rPr>
        <w:t>Example</w:t>
      </w:r>
      <w:r w:rsidR="00C64050">
        <w:rPr>
          <w:color w:val="000000"/>
          <w:szCs w:val="20"/>
          <w:u w:val="single"/>
        </w:rPr>
        <w:t xml:space="preserve"> </w:t>
      </w:r>
      <w:r w:rsidRPr="00454670">
        <w:rPr>
          <w:color w:val="000000"/>
          <w:szCs w:val="20"/>
          <w:u w:val="single"/>
        </w:rPr>
        <w:t>1</w:t>
      </w:r>
      <w:r w:rsidRPr="00454670">
        <w:rPr>
          <w:color w:val="000000"/>
          <w:szCs w:val="20"/>
        </w:rPr>
        <w:t>.</w:t>
      </w:r>
      <w:r w:rsidR="00C64050">
        <w:rPr>
          <w:color w:val="000000"/>
          <w:szCs w:val="20"/>
        </w:rPr>
        <w:t xml:space="preserve"> </w:t>
      </w:r>
      <w:r w:rsidRPr="00454670">
        <w:rPr>
          <w:color w:val="000000"/>
          <w:szCs w:val="20"/>
        </w:rPr>
        <w:t>At</w:t>
      </w:r>
      <w:r w:rsidR="00C64050">
        <w:rPr>
          <w:color w:val="000000"/>
          <w:szCs w:val="20"/>
        </w:rPr>
        <w:t xml:space="preserve"> </w:t>
      </w:r>
      <w:r w:rsidRPr="00454670">
        <w:rPr>
          <w:color w:val="000000"/>
          <w:szCs w:val="20"/>
        </w:rPr>
        <w:t>D's</w:t>
      </w:r>
      <w:r w:rsidR="00C64050">
        <w:rPr>
          <w:color w:val="000000"/>
          <w:szCs w:val="20"/>
        </w:rPr>
        <w:t xml:space="preserve"> </w:t>
      </w:r>
      <w:r w:rsidRPr="00454670">
        <w:rPr>
          <w:color w:val="000000"/>
          <w:szCs w:val="20"/>
        </w:rPr>
        <w:t>death,</w:t>
      </w:r>
      <w:r w:rsidR="00C64050">
        <w:rPr>
          <w:color w:val="000000"/>
          <w:szCs w:val="20"/>
        </w:rPr>
        <w:t xml:space="preserve"> </w:t>
      </w:r>
      <w:r w:rsidRPr="00454670">
        <w:rPr>
          <w:color w:val="000000"/>
          <w:szCs w:val="20"/>
        </w:rPr>
        <w:t>D</w:t>
      </w:r>
      <w:r w:rsidR="00C64050">
        <w:rPr>
          <w:color w:val="000000"/>
          <w:szCs w:val="20"/>
        </w:rPr>
        <w:t xml:space="preserve"> </w:t>
      </w:r>
      <w:r w:rsidRPr="00454670">
        <w:rPr>
          <w:color w:val="000000"/>
          <w:szCs w:val="20"/>
        </w:rPr>
        <w:t>owned</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with</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$100X.</w:t>
      </w:r>
      <w:r w:rsidR="00C64050">
        <w:rPr>
          <w:color w:val="000000"/>
          <w:szCs w:val="20"/>
        </w:rPr>
        <w:t xml:space="preserve"> </w:t>
      </w:r>
      <w:r w:rsidRPr="00454670">
        <w:rPr>
          <w:color w:val="000000"/>
          <w:szCs w:val="20"/>
        </w:rPr>
        <w:t>Two</w:t>
      </w:r>
      <w:r w:rsidR="00C64050">
        <w:rPr>
          <w:color w:val="000000"/>
          <w:szCs w:val="20"/>
        </w:rPr>
        <w:t xml:space="preserve"> </w:t>
      </w:r>
      <w:r w:rsidRPr="00454670">
        <w:rPr>
          <w:color w:val="000000"/>
          <w:szCs w:val="20"/>
        </w:rPr>
        <w:t>months</w:t>
      </w:r>
      <w:r w:rsidR="00C64050">
        <w:rPr>
          <w:color w:val="000000"/>
          <w:szCs w:val="20"/>
        </w:rPr>
        <w:t xml:space="preserve"> </w:t>
      </w:r>
      <w:r w:rsidRPr="00454670">
        <w:rPr>
          <w:color w:val="000000"/>
          <w:szCs w:val="20"/>
        </w:rPr>
        <w:t>after</w:t>
      </w:r>
      <w:r w:rsidR="00C64050">
        <w:rPr>
          <w:color w:val="000000"/>
          <w:szCs w:val="20"/>
        </w:rPr>
        <w:t xml:space="preserve"> </w:t>
      </w:r>
      <w:r w:rsidRPr="00454670">
        <w:rPr>
          <w:color w:val="000000"/>
          <w:szCs w:val="20"/>
        </w:rPr>
        <w:t>D's</w:t>
      </w:r>
      <w:r w:rsidR="00C64050">
        <w:rPr>
          <w:color w:val="000000"/>
          <w:szCs w:val="20"/>
        </w:rPr>
        <w:t xml:space="preserve"> </w:t>
      </w:r>
      <w:r w:rsidRPr="00454670">
        <w:rPr>
          <w:color w:val="000000"/>
          <w:szCs w:val="20"/>
        </w:rPr>
        <w:t>death</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1),</w:t>
      </w:r>
      <w:r w:rsidR="00C64050">
        <w:rPr>
          <w:color w:val="000000"/>
          <w:szCs w:val="20"/>
        </w:rPr>
        <w:t xml:space="preserve"> </w:t>
      </w:r>
      <w:r w:rsidRPr="00454670">
        <w:rPr>
          <w:color w:val="000000"/>
          <w:szCs w:val="20"/>
        </w:rPr>
        <w:t>D's</w:t>
      </w:r>
      <w:r w:rsidR="00C64050">
        <w:rPr>
          <w:color w:val="000000"/>
          <w:szCs w:val="20"/>
        </w:rPr>
        <w:t xml:space="preserve"> </w:t>
      </w:r>
      <w:r w:rsidRPr="00454670">
        <w:rPr>
          <w:color w:val="000000"/>
          <w:szCs w:val="20"/>
        </w:rPr>
        <w:t>executor</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D's</w:t>
      </w:r>
      <w:r w:rsidR="00C64050">
        <w:rPr>
          <w:color w:val="000000"/>
          <w:szCs w:val="20"/>
        </w:rPr>
        <w:t xml:space="preserve"> </w:t>
      </w:r>
      <w:r w:rsidRPr="00454670">
        <w:rPr>
          <w:color w:val="000000"/>
          <w:szCs w:val="20"/>
        </w:rPr>
        <w:t>family</w:t>
      </w:r>
      <w:r w:rsidR="00C64050">
        <w:rPr>
          <w:color w:val="000000"/>
          <w:szCs w:val="20"/>
        </w:rPr>
        <w:t xml:space="preserve"> </w:t>
      </w:r>
      <w:r w:rsidRPr="00454670">
        <w:rPr>
          <w:color w:val="000000"/>
          <w:szCs w:val="20"/>
        </w:rPr>
        <w:t>members</w:t>
      </w:r>
      <w:r w:rsidR="00C64050">
        <w:rPr>
          <w:color w:val="000000"/>
          <w:szCs w:val="20"/>
        </w:rPr>
        <w:t xml:space="preserve"> </w:t>
      </w:r>
      <w:r w:rsidRPr="00454670">
        <w:rPr>
          <w:color w:val="000000"/>
          <w:szCs w:val="20"/>
        </w:rPr>
        <w:t>formed</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limited</w:t>
      </w:r>
      <w:r w:rsidR="00C64050">
        <w:rPr>
          <w:color w:val="000000"/>
          <w:szCs w:val="20"/>
        </w:rPr>
        <w:t xml:space="preserve"> </w:t>
      </w:r>
      <w:r w:rsidRPr="00454670">
        <w:rPr>
          <w:color w:val="000000"/>
          <w:szCs w:val="20"/>
        </w:rPr>
        <w:t>partnership.</w:t>
      </w:r>
      <w:r w:rsidR="00C64050">
        <w:rPr>
          <w:color w:val="000000"/>
          <w:szCs w:val="20"/>
        </w:rPr>
        <w:t xml:space="preserve"> </w:t>
      </w:r>
      <w:r w:rsidRPr="00454670">
        <w:rPr>
          <w:color w:val="000000"/>
          <w:szCs w:val="20"/>
        </w:rPr>
        <w:t>D's</w:t>
      </w:r>
      <w:r w:rsidR="00C64050">
        <w:rPr>
          <w:color w:val="000000"/>
          <w:szCs w:val="20"/>
        </w:rPr>
        <w:t xml:space="preserve"> </w:t>
      </w:r>
      <w:r w:rsidRPr="00454670">
        <w:rPr>
          <w:color w:val="000000"/>
          <w:szCs w:val="20"/>
        </w:rPr>
        <w:t>executor</w:t>
      </w:r>
      <w:r w:rsidR="00C64050">
        <w:rPr>
          <w:color w:val="000000"/>
          <w:szCs w:val="20"/>
        </w:rPr>
        <w:t xml:space="preserve"> </w:t>
      </w:r>
      <w:r w:rsidRPr="00454670">
        <w:rPr>
          <w:color w:val="000000"/>
          <w:szCs w:val="20"/>
        </w:rPr>
        <w:t>contributed</w:t>
      </w:r>
      <w:r w:rsidR="00C64050">
        <w:rPr>
          <w:color w:val="000000"/>
          <w:szCs w:val="20"/>
        </w:rPr>
        <w:t xml:space="preserve"> </w:t>
      </w:r>
      <w:r w:rsidRPr="00454670">
        <w:rPr>
          <w:color w:val="000000"/>
          <w:szCs w:val="20"/>
        </w:rPr>
        <w:t>all</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partnership</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received</w:t>
      </w:r>
      <w:r w:rsidR="00C64050">
        <w:rPr>
          <w:color w:val="000000"/>
          <w:szCs w:val="20"/>
        </w:rPr>
        <w:t xml:space="preserve"> </w:t>
      </w:r>
      <w:r w:rsidRPr="00454670">
        <w:rPr>
          <w:color w:val="000000"/>
          <w:szCs w:val="20"/>
        </w:rPr>
        <w:t>an</w:t>
      </w:r>
      <w:r w:rsidR="00C64050">
        <w:rPr>
          <w:color w:val="000000"/>
          <w:szCs w:val="20"/>
        </w:rPr>
        <w:t xml:space="preserve"> </w:t>
      </w:r>
      <w:r w:rsidRPr="00454670">
        <w:rPr>
          <w:color w:val="000000"/>
          <w:szCs w:val="20"/>
        </w:rPr>
        <w:t>interest</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partnership</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exchange.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investment</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partnership</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transaction</w:t>
      </w:r>
      <w:r w:rsidR="00C64050">
        <w:rPr>
          <w:color w:val="000000"/>
          <w:szCs w:val="20"/>
        </w:rPr>
        <w:t xml:space="preserve"> </w:t>
      </w:r>
      <w:r w:rsidRPr="00454670">
        <w:rPr>
          <w:color w:val="000000"/>
          <w:szCs w:val="20"/>
        </w:rPr>
        <w:t>described</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paragraph</w:t>
      </w:r>
      <w:r w:rsidR="00C64050">
        <w:rPr>
          <w:color w:val="000000"/>
          <w:szCs w:val="20"/>
        </w:rPr>
        <w:t xml:space="preserve"> </w:t>
      </w:r>
      <w:r w:rsidRPr="00454670">
        <w:rPr>
          <w:color w:val="000000"/>
          <w:szCs w:val="20"/>
        </w:rPr>
        <w:t>(c)(1)(i)(F)</w:t>
      </w:r>
      <w:r w:rsidR="00C64050">
        <w:rPr>
          <w:color w:val="000000"/>
          <w:szCs w:val="20"/>
        </w:rPr>
        <w:t xml:space="preserve"> </w:t>
      </w:r>
      <w:r w:rsidRPr="00454670">
        <w:rPr>
          <w:color w:val="000000"/>
          <w:szCs w:val="20"/>
        </w:rPr>
        <w:t>and/or</w:t>
      </w:r>
      <w:r w:rsidR="00C64050">
        <w:rPr>
          <w:color w:val="000000"/>
          <w:szCs w:val="20"/>
        </w:rPr>
        <w:t xml:space="preserve"> </w:t>
      </w:r>
      <w:r w:rsidRPr="00454670">
        <w:rPr>
          <w:color w:val="000000"/>
          <w:szCs w:val="20"/>
        </w:rPr>
        <w:t>(G)</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this</w:t>
      </w:r>
      <w:r w:rsidR="00C64050">
        <w:rPr>
          <w:color w:val="000000"/>
          <w:szCs w:val="20"/>
        </w:rPr>
        <w:t xml:space="preserve"> </w:t>
      </w:r>
      <w:r w:rsidRPr="00454670">
        <w:rPr>
          <w:color w:val="000000"/>
          <w:szCs w:val="20"/>
        </w:rPr>
        <w:t>section.</w:t>
      </w:r>
      <w:r w:rsidR="00C64050">
        <w:rPr>
          <w:color w:val="000000"/>
          <w:szCs w:val="20"/>
        </w:rPr>
        <w:t xml:space="preserve"> </w:t>
      </w:r>
      <w:r w:rsidRPr="00454670">
        <w:rPr>
          <w:color w:val="000000"/>
          <w:szCs w:val="20"/>
        </w:rPr>
        <w:t>As</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result,</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alternate</w:t>
      </w:r>
      <w:r w:rsidR="00C64050">
        <w:rPr>
          <w:color w:val="000000"/>
          <w:szCs w:val="20"/>
        </w:rPr>
        <w:t xml:space="preserve"> </w:t>
      </w:r>
      <w:r w:rsidRPr="00454670">
        <w:rPr>
          <w:color w:val="000000"/>
          <w:szCs w:val="20"/>
        </w:rPr>
        <w:t>valuation</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its</w:t>
      </w:r>
      <w:r w:rsidR="00C64050">
        <w:rPr>
          <w:color w:val="000000"/>
          <w:szCs w:val="20"/>
        </w:rPr>
        <w:t xml:space="preserve"> </w:t>
      </w:r>
      <w:r w:rsidRPr="00454670">
        <w:rPr>
          <w:color w:val="000000"/>
          <w:szCs w:val="20"/>
        </w:rPr>
        <w:t>contribution</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be</w:t>
      </w:r>
      <w:r w:rsidR="00C64050">
        <w:rPr>
          <w:color w:val="000000"/>
          <w:szCs w:val="20"/>
        </w:rPr>
        <w:t xml:space="preserve"> </w:t>
      </w:r>
      <w:r w:rsidRPr="00454670">
        <w:rPr>
          <w:color w:val="000000"/>
          <w:szCs w:val="20"/>
        </w:rPr>
        <w:t>included</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D's</w:t>
      </w:r>
      <w:r w:rsidR="00C64050">
        <w:rPr>
          <w:color w:val="000000"/>
          <w:szCs w:val="20"/>
        </w:rPr>
        <w:t xml:space="preserve"> </w:t>
      </w:r>
      <w:r w:rsidRPr="00454670">
        <w:rPr>
          <w:color w:val="000000"/>
          <w:szCs w:val="20"/>
        </w:rPr>
        <w:t>gross</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immediately</w:t>
      </w:r>
      <w:r w:rsidR="00C64050">
        <w:rPr>
          <w:color w:val="000000"/>
          <w:szCs w:val="20"/>
        </w:rPr>
        <w:t xml:space="preserve"> </w:t>
      </w:r>
      <w:r w:rsidRPr="00454670">
        <w:rPr>
          <w:color w:val="000000"/>
          <w:szCs w:val="20"/>
        </w:rPr>
        <w:t>prior</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its</w:t>
      </w:r>
      <w:r w:rsidR="00C64050">
        <w:rPr>
          <w:color w:val="000000"/>
          <w:szCs w:val="20"/>
        </w:rPr>
        <w:t xml:space="preserve"> </w:t>
      </w:r>
      <w:r w:rsidRPr="00454670">
        <w:rPr>
          <w:color w:val="000000"/>
          <w:szCs w:val="20"/>
        </w:rPr>
        <w:t>contribution</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partnership.</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result</w:t>
      </w:r>
      <w:r w:rsidR="00C64050">
        <w:rPr>
          <w:color w:val="000000"/>
          <w:szCs w:val="20"/>
        </w:rPr>
        <w:t xml:space="preserve"> </w:t>
      </w:r>
      <w:r w:rsidRPr="00454670">
        <w:rPr>
          <w:color w:val="000000"/>
          <w:szCs w:val="20"/>
        </w:rPr>
        <w:t>would</w:t>
      </w:r>
      <w:r w:rsidR="00C64050">
        <w:rPr>
          <w:color w:val="000000"/>
          <w:szCs w:val="20"/>
        </w:rPr>
        <w:t xml:space="preserve"> </w:t>
      </w:r>
      <w:r w:rsidRPr="00454670">
        <w:rPr>
          <w:color w:val="000000"/>
          <w:szCs w:val="20"/>
        </w:rPr>
        <w:t>be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same</w:t>
      </w:r>
      <w:r w:rsidR="00C64050">
        <w:rPr>
          <w:color w:val="000000"/>
          <w:szCs w:val="20"/>
        </w:rPr>
        <w:t xml:space="preserve"> </w:t>
      </w:r>
      <w:r w:rsidRPr="00454670">
        <w:rPr>
          <w:color w:val="000000"/>
          <w:szCs w:val="20"/>
        </w:rPr>
        <w:t>if</w:t>
      </w:r>
      <w:r w:rsidR="00C64050">
        <w:rPr>
          <w:color w:val="000000"/>
          <w:szCs w:val="20"/>
        </w:rPr>
        <w:t xml:space="preserve"> </w:t>
      </w:r>
      <w:r w:rsidRPr="00454670">
        <w:rPr>
          <w:color w:val="000000"/>
          <w:szCs w:val="20"/>
        </w:rPr>
        <w:t>D's</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instead</w:t>
      </w:r>
      <w:r w:rsidR="00C64050">
        <w:rPr>
          <w:color w:val="000000"/>
          <w:szCs w:val="20"/>
        </w:rPr>
        <w:t xml:space="preserve"> </w:t>
      </w:r>
      <w:r w:rsidRPr="00454670">
        <w:rPr>
          <w:color w:val="000000"/>
          <w:szCs w:val="20"/>
        </w:rPr>
        <w:t>had</w:t>
      </w:r>
      <w:r w:rsidR="00C64050">
        <w:rPr>
          <w:color w:val="000000"/>
          <w:szCs w:val="20"/>
        </w:rPr>
        <w:t xml:space="preserve"> </w:t>
      </w:r>
      <w:r w:rsidRPr="00454670">
        <w:rPr>
          <w:color w:val="000000"/>
          <w:szCs w:val="20"/>
        </w:rPr>
        <w:t>contributed</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limited</w:t>
      </w:r>
      <w:r w:rsidR="00C64050">
        <w:rPr>
          <w:color w:val="000000"/>
          <w:szCs w:val="20"/>
        </w:rPr>
        <w:t xml:space="preserve"> </w:t>
      </w:r>
      <w:r w:rsidRPr="00454670">
        <w:rPr>
          <w:color w:val="000000"/>
          <w:szCs w:val="20"/>
        </w:rPr>
        <w:t>partnership</w:t>
      </w:r>
      <w:r w:rsidR="00C64050">
        <w:rPr>
          <w:color w:val="000000"/>
          <w:szCs w:val="20"/>
        </w:rPr>
        <w:t xml:space="preserve"> </w:t>
      </w:r>
      <w:r w:rsidRPr="00454670">
        <w:rPr>
          <w:color w:val="000000"/>
          <w:szCs w:val="20"/>
        </w:rPr>
        <w:t>formed</w:t>
      </w:r>
      <w:r w:rsidR="00C64050">
        <w:rPr>
          <w:color w:val="000000"/>
          <w:szCs w:val="20"/>
        </w:rPr>
        <w:t xml:space="preserve"> </w:t>
      </w:r>
      <w:r w:rsidRPr="00454670">
        <w:rPr>
          <w:color w:val="000000"/>
          <w:szCs w:val="20"/>
        </w:rPr>
        <w:t>prior</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D's</w:t>
      </w:r>
      <w:r w:rsidR="00C64050">
        <w:rPr>
          <w:color w:val="000000"/>
          <w:szCs w:val="20"/>
        </w:rPr>
        <w:t xml:space="preserve"> </w:t>
      </w:r>
      <w:r w:rsidRPr="00454670">
        <w:rPr>
          <w:color w:val="000000"/>
          <w:szCs w:val="20"/>
        </w:rPr>
        <w:t>death</w:t>
      </w:r>
      <w:r w:rsidR="00C64050">
        <w:rPr>
          <w:color w:val="000000"/>
          <w:szCs w:val="20"/>
        </w:rPr>
        <w:t xml:space="preserve"> </w:t>
      </w:r>
      <w:r w:rsidRPr="00454670">
        <w:rPr>
          <w:color w:val="000000"/>
          <w:szCs w:val="20"/>
        </w:rPr>
        <w:t>by</w:t>
      </w:r>
      <w:r w:rsidR="00C64050">
        <w:rPr>
          <w:color w:val="000000"/>
          <w:szCs w:val="20"/>
        </w:rPr>
        <w:t xml:space="preserve"> </w:t>
      </w:r>
      <w:r w:rsidRPr="00454670">
        <w:rPr>
          <w:color w:val="000000"/>
          <w:szCs w:val="20"/>
        </w:rPr>
        <w:t>D</w:t>
      </w:r>
      <w:r w:rsidR="00C64050">
        <w:rPr>
          <w:color w:val="000000"/>
          <w:szCs w:val="20"/>
        </w:rPr>
        <w:t xml:space="preserve"> </w:t>
      </w:r>
      <w:r w:rsidRPr="00454670">
        <w:rPr>
          <w:color w:val="000000"/>
          <w:szCs w:val="20"/>
        </w:rPr>
        <w:t>and/or</w:t>
      </w:r>
      <w:r w:rsidR="00C64050">
        <w:rPr>
          <w:color w:val="000000"/>
          <w:szCs w:val="20"/>
        </w:rPr>
        <w:t xml:space="preserve"> </w:t>
      </w:r>
      <w:r w:rsidRPr="00454670">
        <w:rPr>
          <w:color w:val="000000"/>
          <w:szCs w:val="20"/>
        </w:rPr>
        <w:t>other</w:t>
      </w:r>
      <w:r w:rsidR="00C64050">
        <w:rPr>
          <w:color w:val="000000"/>
          <w:szCs w:val="20"/>
        </w:rPr>
        <w:t xml:space="preserve"> </w:t>
      </w:r>
      <w:r w:rsidRPr="00454670">
        <w:rPr>
          <w:color w:val="000000"/>
          <w:szCs w:val="20"/>
        </w:rPr>
        <w:t>parties,</w:t>
      </w:r>
      <w:r w:rsidR="00C64050">
        <w:rPr>
          <w:color w:val="000000"/>
          <w:szCs w:val="20"/>
        </w:rPr>
        <w:t xml:space="preserve"> </w:t>
      </w:r>
      <w:r w:rsidRPr="00454670">
        <w:rPr>
          <w:color w:val="000000"/>
          <w:szCs w:val="20"/>
        </w:rPr>
        <w:t>related</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unrelated</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D.</w:t>
      </w:r>
      <w:r w:rsidR="00C64050">
        <w:rPr>
          <w:color w:val="000000"/>
          <w:szCs w:val="20"/>
        </w:rPr>
        <w:t xml:space="preserve"> </w:t>
      </w:r>
      <w:r w:rsidRPr="00454670">
        <w:rPr>
          <w:color w:val="000000"/>
          <w:szCs w:val="20"/>
        </w:rPr>
        <w:t>Further,</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result</w:t>
      </w:r>
      <w:r w:rsidR="00C64050">
        <w:rPr>
          <w:color w:val="000000"/>
          <w:szCs w:val="20"/>
        </w:rPr>
        <w:t xml:space="preserve"> </w:t>
      </w:r>
      <w:r w:rsidRPr="00454670">
        <w:rPr>
          <w:color w:val="000000"/>
          <w:szCs w:val="20"/>
        </w:rPr>
        <w:t>would</w:t>
      </w:r>
      <w:r w:rsidR="00C64050">
        <w:rPr>
          <w:color w:val="000000"/>
          <w:szCs w:val="20"/>
        </w:rPr>
        <w:t xml:space="preserve"> </w:t>
      </w:r>
      <w:r w:rsidRPr="00454670">
        <w:rPr>
          <w:color w:val="000000"/>
          <w:szCs w:val="20"/>
        </w:rPr>
        <w:t>be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same</w:t>
      </w:r>
      <w:r w:rsidR="00C64050">
        <w:rPr>
          <w:color w:val="000000"/>
          <w:szCs w:val="20"/>
        </w:rPr>
        <w:t xml:space="preserve"> </w:t>
      </w:r>
      <w:r w:rsidRPr="00454670">
        <w:rPr>
          <w:color w:val="000000"/>
          <w:szCs w:val="20"/>
        </w:rPr>
        <w:t>if</w:t>
      </w:r>
      <w:r w:rsidR="00C64050">
        <w:rPr>
          <w:color w:val="000000"/>
          <w:szCs w:val="20"/>
        </w:rPr>
        <w:t xml:space="preserve"> </w:t>
      </w:r>
      <w:r w:rsidRPr="00454670">
        <w:rPr>
          <w:color w:val="000000"/>
          <w:szCs w:val="20"/>
        </w:rPr>
        <w:t>D's</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had</w:t>
      </w:r>
      <w:r w:rsidR="00C64050">
        <w:rPr>
          <w:color w:val="000000"/>
          <w:szCs w:val="20"/>
        </w:rPr>
        <w:t xml:space="preserve"> </w:t>
      </w:r>
      <w:r w:rsidRPr="00454670">
        <w:rPr>
          <w:color w:val="000000"/>
          <w:szCs w:val="20"/>
        </w:rPr>
        <w:t>contributed</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corporation,</w:t>
      </w:r>
      <w:r w:rsidR="00C64050">
        <w:rPr>
          <w:color w:val="000000"/>
          <w:szCs w:val="20"/>
        </w:rPr>
        <w:t xml:space="preserve"> </w:t>
      </w:r>
      <w:r w:rsidRPr="00454670">
        <w:rPr>
          <w:color w:val="000000"/>
          <w:szCs w:val="20"/>
        </w:rPr>
        <w:t>publicly</w:t>
      </w:r>
      <w:r w:rsidR="00C64050">
        <w:rPr>
          <w:color w:val="000000"/>
          <w:szCs w:val="20"/>
        </w:rPr>
        <w:t xml:space="preserve"> </w:t>
      </w:r>
      <w:r w:rsidRPr="00454670">
        <w:rPr>
          <w:color w:val="000000"/>
          <w:szCs w:val="20"/>
        </w:rPr>
        <w:t>traded</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otherwise,</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other</w:t>
      </w:r>
      <w:r w:rsidR="00C64050">
        <w:rPr>
          <w:color w:val="000000"/>
          <w:szCs w:val="20"/>
        </w:rPr>
        <w:t xml:space="preserve"> </w:t>
      </w:r>
      <w:r w:rsidRPr="00454670">
        <w:rPr>
          <w:color w:val="000000"/>
          <w:szCs w:val="20"/>
        </w:rPr>
        <w:t>entity</w:t>
      </w:r>
      <w:r w:rsidR="00C64050">
        <w:rPr>
          <w:color w:val="000000"/>
          <w:szCs w:val="20"/>
        </w:rPr>
        <w:t xml:space="preserve"> </w:t>
      </w:r>
      <w:r w:rsidRPr="00454670">
        <w:rPr>
          <w:color w:val="000000"/>
          <w:szCs w:val="20"/>
        </w:rPr>
        <w:t>after</w:t>
      </w:r>
      <w:r w:rsidR="00C64050">
        <w:rPr>
          <w:color w:val="000000"/>
          <w:szCs w:val="20"/>
        </w:rPr>
        <w:t xml:space="preserve"> </w:t>
      </w:r>
      <w:r w:rsidRPr="00454670">
        <w:rPr>
          <w:color w:val="000000"/>
          <w:szCs w:val="20"/>
        </w:rPr>
        <w:t>D's</w:t>
      </w:r>
      <w:r w:rsidR="00C64050">
        <w:rPr>
          <w:color w:val="000000"/>
          <w:szCs w:val="20"/>
        </w:rPr>
        <w:t xml:space="preserve"> </w:t>
      </w:r>
      <w:r w:rsidRPr="00454670">
        <w:rPr>
          <w:color w:val="000000"/>
          <w:szCs w:val="20"/>
        </w:rPr>
        <w:t>death</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prior</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6-month</w:t>
      </w:r>
      <w:r w:rsidR="00C64050">
        <w:rPr>
          <w:color w:val="000000"/>
          <w:szCs w:val="20"/>
        </w:rPr>
        <w:t xml:space="preserve"> </w:t>
      </w:r>
      <w:r w:rsidRPr="00454670">
        <w:rPr>
          <w:color w:val="000000"/>
          <w:szCs w:val="20"/>
        </w:rPr>
        <w:t>date.</w:t>
      </w:r>
      <w:r w:rsidR="00C64050">
        <w:rPr>
          <w:color w:val="000000"/>
          <w:szCs w:val="20"/>
        </w:rPr>
        <w:t xml:space="preserve"> </w:t>
      </w:r>
    </w:p>
    <w:p w:rsidR="00485DB9" w:rsidRPr="00454670" w:rsidRDefault="00B52AA7">
      <w:pPr>
        <w:pStyle w:val="QS10"/>
        <w:jc w:val="center"/>
        <w:rPr>
          <w:color w:val="000000"/>
          <w:szCs w:val="20"/>
        </w:rPr>
      </w:pPr>
      <w:r>
        <w:rPr>
          <w:color w:val="000000"/>
          <w:szCs w:val="20"/>
        </w:rPr>
        <w:t>***</w:t>
      </w:r>
    </w:p>
    <w:p w:rsidR="00485DB9" w:rsidRPr="00454670" w:rsidRDefault="00856D6A" w:rsidP="00E54F20">
      <w:pPr>
        <w:pStyle w:val="QS10"/>
        <w:rPr>
          <w:color w:val="000000"/>
          <w:szCs w:val="20"/>
        </w:rPr>
      </w:pPr>
      <w:r w:rsidRPr="00454670">
        <w:rPr>
          <w:color w:val="000000"/>
          <w:szCs w:val="20"/>
          <w:u w:val="single"/>
        </w:rPr>
        <w:t>Example</w:t>
      </w:r>
      <w:r w:rsidR="00C64050">
        <w:rPr>
          <w:color w:val="000000"/>
          <w:szCs w:val="20"/>
          <w:u w:val="single"/>
        </w:rPr>
        <w:t xml:space="preserve"> </w:t>
      </w:r>
      <w:r w:rsidRPr="00454670">
        <w:rPr>
          <w:color w:val="000000"/>
          <w:szCs w:val="20"/>
          <w:u w:val="single"/>
        </w:rPr>
        <w:t>3.</w:t>
      </w:r>
      <w:r w:rsidR="00C64050">
        <w:rPr>
          <w:color w:val="000000"/>
          <w:szCs w:val="20"/>
        </w:rPr>
        <w:t xml:space="preserve"> </w:t>
      </w:r>
      <w:r w:rsidRPr="00454670">
        <w:rPr>
          <w:color w:val="000000"/>
          <w:szCs w:val="20"/>
        </w:rPr>
        <w:t>D's</w:t>
      </w:r>
      <w:r w:rsidR="00C64050">
        <w:rPr>
          <w:color w:val="000000"/>
          <w:szCs w:val="20"/>
        </w:rPr>
        <w:t xml:space="preserve"> </w:t>
      </w:r>
      <w:r w:rsidRPr="00454670">
        <w:rPr>
          <w:color w:val="000000"/>
          <w:szCs w:val="20"/>
        </w:rPr>
        <w:t>gross</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includes</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controlling</w:t>
      </w:r>
      <w:r w:rsidR="00C64050">
        <w:rPr>
          <w:color w:val="000000"/>
          <w:szCs w:val="20"/>
        </w:rPr>
        <w:t xml:space="preserve"> </w:t>
      </w:r>
      <w:r w:rsidRPr="00454670">
        <w:rPr>
          <w:color w:val="000000"/>
          <w:szCs w:val="20"/>
        </w:rPr>
        <w:t>interest</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Y,</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corporation.</w:t>
      </w:r>
      <w:r w:rsidR="00C64050">
        <w:rPr>
          <w:color w:val="000000"/>
          <w:szCs w:val="20"/>
        </w:rPr>
        <w:t xml:space="preserve"> </w:t>
      </w:r>
      <w:r w:rsidRPr="00454670">
        <w:rPr>
          <w:color w:val="000000"/>
          <w:szCs w:val="20"/>
        </w:rPr>
        <w:t>During</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alternate</w:t>
      </w:r>
      <w:r w:rsidR="00C64050">
        <w:rPr>
          <w:color w:val="000000"/>
          <w:szCs w:val="20"/>
        </w:rPr>
        <w:t xml:space="preserve"> </w:t>
      </w:r>
      <w:r w:rsidRPr="00454670">
        <w:rPr>
          <w:color w:val="000000"/>
          <w:szCs w:val="20"/>
        </w:rPr>
        <w:t>valuation</w:t>
      </w:r>
      <w:r w:rsidR="00C64050">
        <w:rPr>
          <w:color w:val="000000"/>
          <w:szCs w:val="20"/>
        </w:rPr>
        <w:t xml:space="preserve"> </w:t>
      </w:r>
      <w:r w:rsidRPr="00454670">
        <w:rPr>
          <w:color w:val="000000"/>
          <w:szCs w:val="20"/>
        </w:rPr>
        <w:t>period,</w:t>
      </w:r>
      <w:r w:rsidR="00C64050">
        <w:rPr>
          <w:color w:val="000000"/>
          <w:szCs w:val="20"/>
        </w:rPr>
        <w:t xml:space="preserve"> </w:t>
      </w:r>
      <w:r w:rsidRPr="00454670">
        <w:rPr>
          <w:color w:val="000000"/>
          <w:szCs w:val="20"/>
        </w:rPr>
        <w:t>Y</w:t>
      </w:r>
      <w:r w:rsidR="00C64050">
        <w:rPr>
          <w:color w:val="000000"/>
          <w:szCs w:val="20"/>
        </w:rPr>
        <w:t xml:space="preserve"> </w:t>
      </w:r>
      <w:r w:rsidRPr="00454670">
        <w:rPr>
          <w:color w:val="000000"/>
          <w:szCs w:val="20"/>
        </w:rPr>
        <w:t>issued</w:t>
      </w:r>
      <w:r w:rsidR="00C64050">
        <w:rPr>
          <w:color w:val="000000"/>
          <w:szCs w:val="20"/>
        </w:rPr>
        <w:t xml:space="preserve"> </w:t>
      </w:r>
      <w:r w:rsidRPr="00454670">
        <w:rPr>
          <w:color w:val="000000"/>
          <w:szCs w:val="20"/>
        </w:rPr>
        <w:t>additional</w:t>
      </w:r>
      <w:r w:rsidR="00C64050">
        <w:rPr>
          <w:color w:val="000000"/>
          <w:szCs w:val="20"/>
        </w:rPr>
        <w:t xml:space="preserve"> </w:t>
      </w:r>
      <w:r w:rsidRPr="00454670">
        <w:rPr>
          <w:color w:val="000000"/>
          <w:szCs w:val="20"/>
        </w:rPr>
        <w:t>shares</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stock</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awarded</w:t>
      </w:r>
      <w:r w:rsidR="00C64050">
        <w:rPr>
          <w:color w:val="000000"/>
          <w:szCs w:val="20"/>
        </w:rPr>
        <w:t xml:space="preserve"> </w:t>
      </w:r>
      <w:r w:rsidRPr="00454670">
        <w:rPr>
          <w:color w:val="000000"/>
          <w:szCs w:val="20"/>
        </w:rPr>
        <w:t>them</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certain</w:t>
      </w:r>
      <w:r w:rsidR="00C64050">
        <w:rPr>
          <w:color w:val="000000"/>
          <w:szCs w:val="20"/>
        </w:rPr>
        <w:t xml:space="preserve"> </w:t>
      </w:r>
      <w:r w:rsidRPr="00454670">
        <w:rPr>
          <w:color w:val="000000"/>
          <w:szCs w:val="20"/>
        </w:rPr>
        <w:t>key</w:t>
      </w:r>
      <w:r w:rsidR="00C64050">
        <w:rPr>
          <w:color w:val="000000"/>
          <w:szCs w:val="20"/>
        </w:rPr>
        <w:t xml:space="preserve"> </w:t>
      </w:r>
      <w:r w:rsidRPr="00454670">
        <w:rPr>
          <w:color w:val="000000"/>
          <w:szCs w:val="20"/>
        </w:rPr>
        <w:t>employees.</w:t>
      </w:r>
      <w:r w:rsidR="00C64050">
        <w:rPr>
          <w:color w:val="000000"/>
          <w:szCs w:val="20"/>
        </w:rPr>
        <w:t xml:space="preserve"> </w:t>
      </w:r>
      <w:r w:rsidRPr="00454670">
        <w:rPr>
          <w:color w:val="000000"/>
          <w:szCs w:val="20"/>
        </w:rPr>
        <w:t>D's</w:t>
      </w:r>
      <w:r w:rsidR="00C64050">
        <w:rPr>
          <w:color w:val="000000"/>
          <w:szCs w:val="20"/>
        </w:rPr>
        <w:t xml:space="preserve"> </w:t>
      </w:r>
      <w:r w:rsidRPr="00454670">
        <w:rPr>
          <w:color w:val="000000"/>
          <w:szCs w:val="20"/>
        </w:rPr>
        <w:t>interest</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Y</w:t>
      </w:r>
      <w:r w:rsidR="00C64050">
        <w:rPr>
          <w:color w:val="000000"/>
          <w:szCs w:val="20"/>
        </w:rPr>
        <w:t xml:space="preserve"> </w:t>
      </w:r>
      <w:r w:rsidRPr="00454670">
        <w:rPr>
          <w:color w:val="000000"/>
          <w:szCs w:val="20"/>
        </w:rPr>
        <w:t>was</w:t>
      </w:r>
      <w:r w:rsidR="00C64050">
        <w:rPr>
          <w:color w:val="000000"/>
          <w:szCs w:val="20"/>
        </w:rPr>
        <w:t xml:space="preserve"> </w:t>
      </w:r>
      <w:r w:rsidRPr="00454670">
        <w:rPr>
          <w:color w:val="000000"/>
          <w:szCs w:val="20"/>
        </w:rPr>
        <w:t>diluted</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non-controlling</w:t>
      </w:r>
      <w:r w:rsidR="00C64050">
        <w:rPr>
          <w:color w:val="000000"/>
          <w:szCs w:val="20"/>
        </w:rPr>
        <w:t xml:space="preserve"> </w:t>
      </w:r>
      <w:r w:rsidRPr="00454670">
        <w:rPr>
          <w:color w:val="000000"/>
          <w:szCs w:val="20"/>
        </w:rPr>
        <w:t>interest</w:t>
      </w:r>
      <w:r w:rsidR="00C64050">
        <w:rPr>
          <w:color w:val="000000"/>
          <w:szCs w:val="20"/>
        </w:rPr>
        <w:t xml:space="preserve"> </w:t>
      </w:r>
      <w:r w:rsidRPr="00454670">
        <w:rPr>
          <w:color w:val="000000"/>
          <w:szCs w:val="20"/>
        </w:rPr>
        <w:t>by</w:t>
      </w:r>
      <w:r w:rsidR="00C64050">
        <w:rPr>
          <w:color w:val="000000"/>
          <w:szCs w:val="20"/>
        </w:rPr>
        <w:t xml:space="preserve"> </w:t>
      </w:r>
      <w:r w:rsidRPr="00454670">
        <w:rPr>
          <w:color w:val="000000"/>
          <w:szCs w:val="20"/>
        </w:rPr>
        <w:t>Y's</w:t>
      </w:r>
      <w:r w:rsidR="00C64050">
        <w:rPr>
          <w:color w:val="000000"/>
          <w:szCs w:val="20"/>
        </w:rPr>
        <w:t xml:space="preserve"> </w:t>
      </w:r>
      <w:r w:rsidRPr="00454670">
        <w:rPr>
          <w:color w:val="000000"/>
          <w:szCs w:val="20"/>
        </w:rPr>
        <w:t>issuance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additional</w:t>
      </w:r>
      <w:r w:rsidR="00C64050">
        <w:rPr>
          <w:color w:val="000000"/>
          <w:szCs w:val="20"/>
        </w:rPr>
        <w:t xml:space="preserve"> </w:t>
      </w:r>
      <w:r w:rsidRPr="00454670">
        <w:rPr>
          <w:color w:val="000000"/>
          <w:szCs w:val="20"/>
        </w:rPr>
        <w:t>stock.</w:t>
      </w:r>
      <w:r w:rsidR="00C64050">
        <w:rPr>
          <w:color w:val="000000"/>
          <w:szCs w:val="20"/>
        </w:rPr>
        <w:t xml:space="preserve"> </w:t>
      </w:r>
      <w:r w:rsidRPr="00454670">
        <w:rPr>
          <w:color w:val="000000"/>
          <w:szCs w:val="20"/>
        </w:rPr>
        <w:t>Y's</w:t>
      </w:r>
      <w:r w:rsidR="00C64050">
        <w:rPr>
          <w:color w:val="000000"/>
          <w:szCs w:val="20"/>
        </w:rPr>
        <w:t xml:space="preserve"> </w:t>
      </w:r>
      <w:r w:rsidRPr="00454670">
        <w:rPr>
          <w:color w:val="000000"/>
          <w:szCs w:val="20"/>
        </w:rPr>
        <w:t>issuance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stock</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transaction</w:t>
      </w:r>
      <w:r w:rsidR="00C64050">
        <w:rPr>
          <w:color w:val="000000"/>
          <w:szCs w:val="20"/>
        </w:rPr>
        <w:t xml:space="preserve"> </w:t>
      </w:r>
      <w:r w:rsidRPr="00454670">
        <w:rPr>
          <w:color w:val="000000"/>
          <w:szCs w:val="20"/>
        </w:rPr>
        <w:t>described</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paragraph</w:t>
      </w:r>
      <w:r w:rsidR="00C64050">
        <w:rPr>
          <w:color w:val="000000"/>
          <w:szCs w:val="20"/>
        </w:rPr>
        <w:t xml:space="preserve"> </w:t>
      </w:r>
      <w:r w:rsidRPr="00454670">
        <w:rPr>
          <w:color w:val="000000"/>
          <w:szCs w:val="20"/>
        </w:rPr>
        <w:t>(c)(1)(i)(I)</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this</w:t>
      </w:r>
      <w:r w:rsidR="00C64050">
        <w:rPr>
          <w:color w:val="000000"/>
          <w:szCs w:val="20"/>
        </w:rPr>
        <w:t xml:space="preserve"> </w:t>
      </w:r>
      <w:r w:rsidRPr="00454670">
        <w:rPr>
          <w:color w:val="000000"/>
          <w:szCs w:val="20"/>
        </w:rPr>
        <w:t>section.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be</w:t>
      </w:r>
      <w:r w:rsidR="00C64050">
        <w:rPr>
          <w:color w:val="000000"/>
          <w:szCs w:val="20"/>
        </w:rPr>
        <w:t xml:space="preserve"> </w:t>
      </w:r>
      <w:r w:rsidRPr="00454670">
        <w:rPr>
          <w:color w:val="000000"/>
          <w:szCs w:val="20"/>
        </w:rPr>
        <w:t>included</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D's</w:t>
      </w:r>
      <w:r w:rsidR="00C64050">
        <w:rPr>
          <w:color w:val="000000"/>
          <w:szCs w:val="20"/>
        </w:rPr>
        <w:t xml:space="preserve"> </w:t>
      </w:r>
      <w:r w:rsidRPr="00454670">
        <w:rPr>
          <w:color w:val="000000"/>
          <w:szCs w:val="20"/>
        </w:rPr>
        <w:t>gross</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D's</w:t>
      </w:r>
      <w:r w:rsidR="00C64050">
        <w:rPr>
          <w:color w:val="000000"/>
          <w:szCs w:val="20"/>
        </w:rPr>
        <w:t xml:space="preserve"> </w:t>
      </w:r>
      <w:r w:rsidRPr="00454670">
        <w:rPr>
          <w:color w:val="000000"/>
          <w:szCs w:val="20"/>
        </w:rPr>
        <w:t>stock</w:t>
      </w:r>
      <w:r w:rsidR="00C64050">
        <w:rPr>
          <w:color w:val="000000"/>
          <w:szCs w:val="20"/>
        </w:rPr>
        <w:t xml:space="preserve"> </w:t>
      </w:r>
      <w:r w:rsidRPr="00454670">
        <w:rPr>
          <w:color w:val="000000"/>
          <w:szCs w:val="20"/>
        </w:rPr>
        <w:t>immediately</w:t>
      </w:r>
      <w:r w:rsidR="00C64050">
        <w:rPr>
          <w:color w:val="000000"/>
          <w:szCs w:val="20"/>
        </w:rPr>
        <w:t xml:space="preserve"> </w:t>
      </w:r>
      <w:r w:rsidRPr="00454670">
        <w:rPr>
          <w:color w:val="000000"/>
          <w:szCs w:val="20"/>
        </w:rPr>
        <w:t>prior</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Y's</w:t>
      </w:r>
      <w:r w:rsidR="00C64050">
        <w:rPr>
          <w:color w:val="000000"/>
          <w:szCs w:val="20"/>
        </w:rPr>
        <w:t xml:space="preserve"> </w:t>
      </w:r>
      <w:r w:rsidRPr="00454670">
        <w:rPr>
          <w:color w:val="000000"/>
          <w:szCs w:val="20"/>
        </w:rPr>
        <w:t>issuance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additional</w:t>
      </w:r>
      <w:r w:rsidR="00C64050">
        <w:rPr>
          <w:color w:val="000000"/>
          <w:szCs w:val="20"/>
        </w:rPr>
        <w:t xml:space="preserve"> </w:t>
      </w:r>
      <w:r w:rsidRPr="00454670">
        <w:rPr>
          <w:color w:val="000000"/>
          <w:szCs w:val="20"/>
        </w:rPr>
        <w:t>stock.</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result</w:t>
      </w:r>
      <w:r w:rsidR="00C64050">
        <w:rPr>
          <w:color w:val="000000"/>
          <w:szCs w:val="20"/>
        </w:rPr>
        <w:t xml:space="preserve"> </w:t>
      </w:r>
      <w:r w:rsidRPr="00454670">
        <w:rPr>
          <w:color w:val="000000"/>
          <w:szCs w:val="20"/>
        </w:rPr>
        <w:t>would</w:t>
      </w:r>
      <w:r w:rsidR="00C64050">
        <w:rPr>
          <w:color w:val="000000"/>
          <w:szCs w:val="20"/>
        </w:rPr>
        <w:t xml:space="preserve"> </w:t>
      </w:r>
      <w:r w:rsidRPr="00454670">
        <w:rPr>
          <w:color w:val="000000"/>
          <w:szCs w:val="20"/>
        </w:rPr>
        <w:t>be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same</w:t>
      </w:r>
      <w:r w:rsidR="00C64050">
        <w:rPr>
          <w:color w:val="000000"/>
          <w:szCs w:val="20"/>
        </w:rPr>
        <w:t xml:space="preserve"> </w:t>
      </w:r>
      <w:r w:rsidRPr="00454670">
        <w:rPr>
          <w:color w:val="000000"/>
          <w:szCs w:val="20"/>
        </w:rPr>
        <w:t>if</w:t>
      </w:r>
      <w:r w:rsidR="00C64050">
        <w:rPr>
          <w:color w:val="000000"/>
          <w:szCs w:val="20"/>
        </w:rPr>
        <w:t xml:space="preserve"> </w:t>
      </w:r>
      <w:r w:rsidRPr="00454670">
        <w:rPr>
          <w:color w:val="000000"/>
          <w:szCs w:val="20"/>
        </w:rPr>
        <w:t>D's</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included</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minority</w:t>
      </w:r>
      <w:r w:rsidR="00C64050">
        <w:rPr>
          <w:color w:val="000000"/>
          <w:szCs w:val="20"/>
        </w:rPr>
        <w:t xml:space="preserve"> </w:t>
      </w:r>
      <w:r w:rsidRPr="00454670">
        <w:rPr>
          <w:color w:val="000000"/>
          <w:szCs w:val="20"/>
        </w:rPr>
        <w:t>interest</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Y</w:t>
      </w:r>
      <w:r w:rsidR="00C64050">
        <w:rPr>
          <w:color w:val="000000"/>
          <w:szCs w:val="20"/>
        </w:rPr>
        <w:t xml:space="preserve"> </w:t>
      </w:r>
      <w:r w:rsidRPr="00454670">
        <w:rPr>
          <w:color w:val="000000"/>
          <w:szCs w:val="20"/>
        </w:rPr>
        <w:t>on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death</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that</w:t>
      </w:r>
      <w:r w:rsidR="00C64050">
        <w:rPr>
          <w:color w:val="000000"/>
          <w:szCs w:val="20"/>
        </w:rPr>
        <w:t xml:space="preserve"> </w:t>
      </w:r>
      <w:r w:rsidRPr="00454670">
        <w:rPr>
          <w:color w:val="000000"/>
          <w:szCs w:val="20"/>
        </w:rPr>
        <w:t>interest</w:t>
      </w:r>
      <w:r w:rsidR="00C64050">
        <w:rPr>
          <w:color w:val="000000"/>
          <w:szCs w:val="20"/>
        </w:rPr>
        <w:t xml:space="preserve"> </w:t>
      </w:r>
      <w:r w:rsidRPr="00454670">
        <w:rPr>
          <w:color w:val="000000"/>
          <w:szCs w:val="20"/>
        </w:rPr>
        <w:t>became</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controlling</w:t>
      </w:r>
      <w:r w:rsidR="00C64050">
        <w:rPr>
          <w:color w:val="000000"/>
          <w:szCs w:val="20"/>
        </w:rPr>
        <w:t xml:space="preserve"> </w:t>
      </w:r>
      <w:r w:rsidRPr="00454670">
        <w:rPr>
          <w:color w:val="000000"/>
          <w:szCs w:val="20"/>
        </w:rPr>
        <w:t>interest</w:t>
      </w:r>
      <w:r w:rsidR="00C64050">
        <w:rPr>
          <w:color w:val="000000"/>
          <w:szCs w:val="20"/>
        </w:rPr>
        <w:t xml:space="preserve"> </w:t>
      </w:r>
      <w:r w:rsidRPr="00454670">
        <w:rPr>
          <w:color w:val="000000"/>
          <w:szCs w:val="20"/>
        </w:rPr>
        <w:t>during</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alternate</w:t>
      </w:r>
      <w:r w:rsidR="00C64050">
        <w:rPr>
          <w:color w:val="000000"/>
          <w:szCs w:val="20"/>
        </w:rPr>
        <w:t xml:space="preserve"> </w:t>
      </w:r>
      <w:r w:rsidRPr="00454670">
        <w:rPr>
          <w:color w:val="000000"/>
          <w:szCs w:val="20"/>
        </w:rPr>
        <w:t>valuation</w:t>
      </w:r>
      <w:r w:rsidR="00C64050">
        <w:rPr>
          <w:color w:val="000000"/>
          <w:szCs w:val="20"/>
        </w:rPr>
        <w:t xml:space="preserve"> </w:t>
      </w:r>
      <w:r w:rsidRPr="00454670">
        <w:rPr>
          <w:color w:val="000000"/>
          <w:szCs w:val="20"/>
        </w:rPr>
        <w:t>period</w:t>
      </w:r>
      <w:r w:rsidR="00C64050">
        <w:rPr>
          <w:color w:val="000000"/>
          <w:szCs w:val="20"/>
        </w:rPr>
        <w:t xml:space="preserve"> </w:t>
      </w:r>
      <w:r w:rsidRPr="00454670">
        <w:rPr>
          <w:color w:val="000000"/>
          <w:szCs w:val="20"/>
        </w:rPr>
        <w:t>as</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result</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Y's</w:t>
      </w:r>
      <w:r w:rsidR="00C64050">
        <w:rPr>
          <w:color w:val="000000"/>
          <w:szCs w:val="20"/>
        </w:rPr>
        <w:t xml:space="preserve"> </w:t>
      </w:r>
      <w:r w:rsidRPr="00454670">
        <w:rPr>
          <w:color w:val="000000"/>
          <w:szCs w:val="20"/>
        </w:rPr>
        <w:t>redemption</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shares</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another</w:t>
      </w:r>
      <w:r w:rsidR="00C64050">
        <w:rPr>
          <w:color w:val="000000"/>
          <w:szCs w:val="20"/>
        </w:rPr>
        <w:t xml:space="preserve"> </w:t>
      </w:r>
      <w:r w:rsidRPr="00454670">
        <w:rPr>
          <w:color w:val="000000"/>
          <w:szCs w:val="20"/>
        </w:rPr>
        <w:t>shareholder.</w:t>
      </w:r>
      <w:r w:rsidR="00C64050">
        <w:rPr>
          <w:color w:val="000000"/>
          <w:szCs w:val="20"/>
        </w:rPr>
        <w:t xml:space="preserve"> </w:t>
      </w:r>
    </w:p>
    <w:p w:rsidR="00485DB9" w:rsidRPr="00454670" w:rsidRDefault="00856D6A">
      <w:pPr>
        <w:pStyle w:val="Body15"/>
        <w:rPr>
          <w:color w:val="000000"/>
          <w:szCs w:val="20"/>
        </w:rPr>
      </w:pPr>
      <w:r w:rsidRPr="00454670">
        <w:rPr>
          <w:color w:val="000000"/>
          <w:szCs w:val="20"/>
        </w:rPr>
        <w:t>The</w:t>
      </w:r>
      <w:r w:rsidR="00C64050">
        <w:rPr>
          <w:color w:val="000000"/>
          <w:szCs w:val="20"/>
        </w:rPr>
        <w:t xml:space="preserve"> </w:t>
      </w:r>
      <w:r w:rsidRPr="00454670">
        <w:rPr>
          <w:color w:val="000000"/>
          <w:szCs w:val="20"/>
        </w:rPr>
        <w:t>IRS</w:t>
      </w:r>
      <w:r w:rsidR="00C64050">
        <w:rPr>
          <w:color w:val="000000"/>
          <w:szCs w:val="20"/>
        </w:rPr>
        <w:t xml:space="preserve"> </w:t>
      </w:r>
      <w:r w:rsidRPr="00454670">
        <w:rPr>
          <w:color w:val="000000"/>
          <w:szCs w:val="20"/>
        </w:rPr>
        <w:t>realizes</w:t>
      </w:r>
      <w:r w:rsidR="00C64050">
        <w:rPr>
          <w:color w:val="000000"/>
          <w:szCs w:val="20"/>
        </w:rPr>
        <w:t xml:space="preserve"> </w:t>
      </w:r>
      <w:r w:rsidRPr="00454670">
        <w:rPr>
          <w:color w:val="000000"/>
          <w:szCs w:val="20"/>
        </w:rPr>
        <w:t>that</w:t>
      </w:r>
      <w:r w:rsidR="00C64050">
        <w:rPr>
          <w:color w:val="000000"/>
          <w:szCs w:val="20"/>
        </w:rPr>
        <w:t xml:space="preserve"> </w:t>
      </w:r>
      <w:r w:rsidRPr="00454670">
        <w:rPr>
          <w:color w:val="000000"/>
          <w:szCs w:val="20"/>
        </w:rPr>
        <w:t>any</w:t>
      </w:r>
      <w:r w:rsidR="00C64050">
        <w:rPr>
          <w:color w:val="000000"/>
          <w:szCs w:val="20"/>
        </w:rPr>
        <w:t xml:space="preserve"> </w:t>
      </w:r>
      <w:r w:rsidRPr="00454670">
        <w:rPr>
          <w:color w:val="000000"/>
          <w:szCs w:val="20"/>
        </w:rPr>
        <w:t>recapitalization</w:t>
      </w:r>
      <w:r w:rsidR="00C64050">
        <w:rPr>
          <w:color w:val="000000"/>
          <w:szCs w:val="20"/>
        </w:rPr>
        <w:t xml:space="preserve"> </w:t>
      </w:r>
      <w:r w:rsidRPr="00454670">
        <w:rPr>
          <w:color w:val="000000"/>
          <w:szCs w:val="20"/>
        </w:rPr>
        <w:t>may</w:t>
      </w:r>
      <w:r w:rsidR="00C64050">
        <w:rPr>
          <w:color w:val="000000"/>
          <w:szCs w:val="20"/>
        </w:rPr>
        <w:t xml:space="preserve"> </w:t>
      </w:r>
      <w:r w:rsidRPr="00454670">
        <w:rPr>
          <w:color w:val="000000"/>
          <w:szCs w:val="20"/>
        </w:rPr>
        <w:t>result</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small</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changes.</w:t>
      </w:r>
      <w:r w:rsidR="00C64050">
        <w:rPr>
          <w:color w:val="000000"/>
          <w:szCs w:val="20"/>
        </w:rPr>
        <w:t xml:space="preserve">  </w:t>
      </w:r>
      <w:r w:rsidRPr="00454670">
        <w:rPr>
          <w:color w:val="000000"/>
          <w:szCs w:val="20"/>
        </w:rPr>
        <w:t>Example</w:t>
      </w:r>
      <w:r w:rsidR="00C64050">
        <w:rPr>
          <w:color w:val="000000"/>
          <w:szCs w:val="20"/>
        </w:rPr>
        <w:t xml:space="preserve"> </w:t>
      </w:r>
      <w:r w:rsidRPr="00454670">
        <w:rPr>
          <w:color w:val="000000"/>
          <w:szCs w:val="20"/>
        </w:rPr>
        <w:t>5</w:t>
      </w:r>
      <w:r w:rsidR="00C64050">
        <w:rPr>
          <w:color w:val="000000"/>
          <w:szCs w:val="20"/>
        </w:rPr>
        <w:t xml:space="preserve"> </w:t>
      </w:r>
      <w:r w:rsidRPr="00454670">
        <w:rPr>
          <w:color w:val="000000"/>
          <w:szCs w:val="20"/>
        </w:rPr>
        <w:t>illustrates</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5%</w:t>
      </w:r>
      <w:r w:rsidR="00C64050">
        <w:rPr>
          <w:color w:val="000000"/>
          <w:szCs w:val="20"/>
        </w:rPr>
        <w:t xml:space="preserve"> </w:t>
      </w:r>
      <w:r w:rsidRPr="00454670">
        <w:rPr>
          <w:color w:val="000000"/>
          <w:szCs w:val="20"/>
        </w:rPr>
        <w:t>de</w:t>
      </w:r>
      <w:r w:rsidR="00C64050">
        <w:rPr>
          <w:color w:val="000000"/>
          <w:szCs w:val="20"/>
        </w:rPr>
        <w:t xml:space="preserve"> </w:t>
      </w:r>
      <w:r w:rsidRPr="00454670">
        <w:rPr>
          <w:color w:val="000000"/>
          <w:szCs w:val="20"/>
        </w:rPr>
        <w:t>minimis</w:t>
      </w:r>
      <w:r w:rsidR="00C64050">
        <w:rPr>
          <w:color w:val="000000"/>
          <w:szCs w:val="20"/>
        </w:rPr>
        <w:t xml:space="preserve"> </w:t>
      </w:r>
      <w:r w:rsidRPr="00454670">
        <w:rPr>
          <w:color w:val="000000"/>
          <w:szCs w:val="20"/>
        </w:rPr>
        <w:t>rule</w:t>
      </w:r>
      <w:r w:rsidR="00C64050">
        <w:rPr>
          <w:color w:val="000000"/>
          <w:szCs w:val="20"/>
        </w:rPr>
        <w:t xml:space="preserve"> </w:t>
      </w:r>
      <w:r w:rsidRPr="00454670">
        <w:rPr>
          <w:color w:val="000000"/>
          <w:szCs w:val="20"/>
        </w:rPr>
        <w:t>for</w:t>
      </w:r>
      <w:r w:rsidR="00C64050">
        <w:rPr>
          <w:color w:val="000000"/>
          <w:szCs w:val="20"/>
        </w:rPr>
        <w:t xml:space="preserve"> </w:t>
      </w:r>
      <w:r w:rsidRPr="00454670">
        <w:rPr>
          <w:color w:val="000000"/>
          <w:szCs w:val="20"/>
        </w:rPr>
        <w:t>reorganizations</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recapitalizations,</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upshot</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which</w:t>
      </w:r>
      <w:r w:rsidR="00C64050">
        <w:rPr>
          <w:color w:val="000000"/>
          <w:szCs w:val="20"/>
        </w:rPr>
        <w:t xml:space="preserve"> </w:t>
      </w:r>
      <w:r w:rsidRPr="00454670">
        <w:rPr>
          <w:color w:val="000000"/>
          <w:szCs w:val="20"/>
        </w:rPr>
        <w:t>could</w:t>
      </w:r>
      <w:r w:rsidR="00C64050">
        <w:rPr>
          <w:color w:val="000000"/>
          <w:szCs w:val="20"/>
        </w:rPr>
        <w:t xml:space="preserve"> </w:t>
      </w:r>
      <w:r w:rsidRPr="00454670">
        <w:rPr>
          <w:color w:val="000000"/>
          <w:szCs w:val="20"/>
        </w:rPr>
        <w:t>be</w:t>
      </w:r>
      <w:r w:rsidR="00C64050">
        <w:rPr>
          <w:color w:val="000000"/>
          <w:szCs w:val="20"/>
        </w:rPr>
        <w:t xml:space="preserve"> </w:t>
      </w:r>
      <w:r w:rsidRPr="00454670">
        <w:rPr>
          <w:color w:val="000000"/>
          <w:szCs w:val="20"/>
        </w:rPr>
        <w:t>an</w:t>
      </w:r>
      <w:r w:rsidR="00C64050">
        <w:rPr>
          <w:color w:val="000000"/>
          <w:szCs w:val="20"/>
        </w:rPr>
        <w:t xml:space="preserve"> </w:t>
      </w:r>
      <w:r w:rsidRPr="00454670">
        <w:rPr>
          <w:color w:val="000000"/>
          <w:szCs w:val="20"/>
        </w:rPr>
        <w:t>incentive</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recapitalize</w:t>
      </w:r>
      <w:r w:rsidR="00C64050">
        <w:rPr>
          <w:color w:val="000000"/>
          <w:szCs w:val="20"/>
        </w:rPr>
        <w:t xml:space="preserve"> </w:t>
      </w:r>
      <w:r w:rsidRPr="00454670">
        <w:rPr>
          <w:color w:val="000000"/>
          <w:szCs w:val="20"/>
        </w:rPr>
        <w:t>entities</w:t>
      </w:r>
      <w:r w:rsidR="00C64050">
        <w:rPr>
          <w:color w:val="000000"/>
          <w:szCs w:val="20"/>
        </w:rPr>
        <w:t xml:space="preserve"> </w:t>
      </w:r>
      <w:r w:rsidRPr="00454670">
        <w:rPr>
          <w:color w:val="000000"/>
          <w:szCs w:val="20"/>
        </w:rPr>
        <w:t>automatically</w:t>
      </w:r>
      <w:r w:rsidR="00C64050">
        <w:rPr>
          <w:color w:val="000000"/>
          <w:szCs w:val="20"/>
        </w:rPr>
        <w:t xml:space="preserve"> </w:t>
      </w:r>
      <w:r w:rsidRPr="00454670">
        <w:rPr>
          <w:color w:val="000000"/>
          <w:szCs w:val="20"/>
        </w:rPr>
        <w:t>if</w:t>
      </w:r>
      <w:r w:rsidR="00C64050">
        <w:rPr>
          <w:color w:val="000000"/>
          <w:szCs w:val="20"/>
        </w:rPr>
        <w:t xml:space="preserve"> </w:t>
      </w:r>
      <w:r w:rsidRPr="00454670">
        <w:rPr>
          <w:color w:val="000000"/>
          <w:szCs w:val="20"/>
        </w:rPr>
        <w:t>4.99%</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substantial</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savings.</w:t>
      </w:r>
    </w:p>
    <w:p w:rsidR="00485DB9" w:rsidRPr="00454670" w:rsidRDefault="00856D6A" w:rsidP="00E54F20">
      <w:pPr>
        <w:pStyle w:val="QS10"/>
        <w:rPr>
          <w:color w:val="000000"/>
          <w:szCs w:val="20"/>
        </w:rPr>
      </w:pPr>
      <w:r w:rsidRPr="00454670">
        <w:rPr>
          <w:color w:val="000000"/>
          <w:szCs w:val="20"/>
          <w:u w:val="single"/>
        </w:rPr>
        <w:t>Example</w:t>
      </w:r>
      <w:r w:rsidR="00C64050">
        <w:rPr>
          <w:color w:val="000000"/>
          <w:szCs w:val="20"/>
          <w:u w:val="single"/>
        </w:rPr>
        <w:t xml:space="preserve"> </w:t>
      </w:r>
      <w:r w:rsidRPr="00454670">
        <w:rPr>
          <w:color w:val="000000"/>
          <w:szCs w:val="20"/>
          <w:u w:val="single"/>
        </w:rPr>
        <w:t>5</w:t>
      </w:r>
      <w:r w:rsidRPr="00454670">
        <w:rPr>
          <w:color w:val="000000"/>
          <w:szCs w:val="20"/>
        </w:rPr>
        <w:t>.</w:t>
      </w:r>
      <w:r w:rsidR="00C64050">
        <w:rPr>
          <w:color w:val="000000"/>
          <w:szCs w:val="20"/>
        </w:rPr>
        <w:t xml:space="preserve"> </w:t>
      </w:r>
      <w:r w:rsidRPr="00454670">
        <w:rPr>
          <w:color w:val="000000"/>
          <w:szCs w:val="20"/>
        </w:rPr>
        <w:t>(i)</w:t>
      </w:r>
      <w:r w:rsidR="00C64050">
        <w:rPr>
          <w:color w:val="000000"/>
          <w:szCs w:val="20"/>
        </w:rPr>
        <w:t xml:space="preserve"> </w:t>
      </w:r>
      <w:r w:rsidRPr="00454670">
        <w:rPr>
          <w:color w:val="000000"/>
          <w:szCs w:val="20"/>
        </w:rPr>
        <w:t>At</w:t>
      </w:r>
      <w:r w:rsidR="00C64050">
        <w:rPr>
          <w:color w:val="000000"/>
          <w:szCs w:val="20"/>
        </w:rPr>
        <w:t xml:space="preserve"> </w:t>
      </w:r>
      <w:r w:rsidRPr="00454670">
        <w:rPr>
          <w:color w:val="000000"/>
          <w:szCs w:val="20"/>
        </w:rPr>
        <w:t>D's</w:t>
      </w:r>
      <w:r w:rsidR="00C64050">
        <w:rPr>
          <w:color w:val="000000"/>
          <w:szCs w:val="20"/>
        </w:rPr>
        <w:t xml:space="preserve"> </w:t>
      </w:r>
      <w:r w:rsidRPr="00454670">
        <w:rPr>
          <w:color w:val="000000"/>
          <w:szCs w:val="20"/>
        </w:rPr>
        <w:t>death,</w:t>
      </w:r>
      <w:r w:rsidR="00C64050">
        <w:rPr>
          <w:color w:val="000000"/>
          <w:szCs w:val="20"/>
        </w:rPr>
        <w:t xml:space="preserve"> </w:t>
      </w:r>
      <w:r w:rsidRPr="00454670">
        <w:rPr>
          <w:color w:val="000000"/>
          <w:szCs w:val="20"/>
        </w:rPr>
        <w:t>D</w:t>
      </w:r>
      <w:r w:rsidR="00C64050">
        <w:rPr>
          <w:color w:val="000000"/>
          <w:szCs w:val="20"/>
        </w:rPr>
        <w:t xml:space="preserve"> </w:t>
      </w:r>
      <w:r w:rsidRPr="00454670">
        <w:rPr>
          <w:color w:val="000000"/>
          <w:szCs w:val="20"/>
        </w:rPr>
        <w:t>owned</w:t>
      </w:r>
      <w:r w:rsidR="00C64050">
        <w:rPr>
          <w:color w:val="000000"/>
          <w:szCs w:val="20"/>
        </w:rPr>
        <w:t xml:space="preserve"> </w:t>
      </w:r>
      <w:r w:rsidRPr="00454670">
        <w:rPr>
          <w:color w:val="000000"/>
          <w:szCs w:val="20"/>
        </w:rPr>
        <w:t>common</w:t>
      </w:r>
      <w:r w:rsidR="00C64050">
        <w:rPr>
          <w:color w:val="000000"/>
          <w:szCs w:val="20"/>
        </w:rPr>
        <w:t xml:space="preserve"> </w:t>
      </w:r>
      <w:r w:rsidRPr="00454670">
        <w:rPr>
          <w:color w:val="000000"/>
          <w:szCs w:val="20"/>
        </w:rPr>
        <w:t>stock</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Y,</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corporation.</w:t>
      </w:r>
      <w:r w:rsidR="00C64050">
        <w:rPr>
          <w:color w:val="000000"/>
          <w:szCs w:val="20"/>
        </w:rPr>
        <w:t xml:space="preserve"> </w:t>
      </w:r>
      <w:r w:rsidRPr="00454670">
        <w:rPr>
          <w:color w:val="000000"/>
          <w:szCs w:val="20"/>
        </w:rPr>
        <w:t>Two</w:t>
      </w:r>
      <w:r w:rsidR="00C64050">
        <w:rPr>
          <w:color w:val="000000"/>
          <w:szCs w:val="20"/>
        </w:rPr>
        <w:t xml:space="preserve"> </w:t>
      </w:r>
      <w:r w:rsidRPr="00454670">
        <w:rPr>
          <w:color w:val="000000"/>
          <w:szCs w:val="20"/>
        </w:rPr>
        <w:t>months</w:t>
      </w:r>
      <w:r w:rsidR="00C64050">
        <w:rPr>
          <w:color w:val="000000"/>
          <w:szCs w:val="20"/>
        </w:rPr>
        <w:t xml:space="preserve"> </w:t>
      </w:r>
      <w:r w:rsidRPr="00454670">
        <w:rPr>
          <w:color w:val="000000"/>
          <w:szCs w:val="20"/>
        </w:rPr>
        <w:t>after</w:t>
      </w:r>
      <w:r w:rsidR="00C64050">
        <w:rPr>
          <w:color w:val="000000"/>
          <w:szCs w:val="20"/>
        </w:rPr>
        <w:t xml:space="preserve"> </w:t>
      </w:r>
      <w:r w:rsidRPr="00454670">
        <w:rPr>
          <w:color w:val="000000"/>
          <w:szCs w:val="20"/>
        </w:rPr>
        <w:t>D's</w:t>
      </w:r>
      <w:r w:rsidR="00C64050">
        <w:rPr>
          <w:color w:val="000000"/>
          <w:szCs w:val="20"/>
        </w:rPr>
        <w:t xml:space="preserve"> </w:t>
      </w:r>
      <w:r w:rsidRPr="00454670">
        <w:rPr>
          <w:color w:val="000000"/>
          <w:szCs w:val="20"/>
        </w:rPr>
        <w:t>death</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1),</w:t>
      </w:r>
      <w:r w:rsidR="00C64050">
        <w:rPr>
          <w:color w:val="000000"/>
          <w:szCs w:val="20"/>
        </w:rPr>
        <w:t xml:space="preserve"> </w:t>
      </w:r>
      <w:r w:rsidRPr="00454670">
        <w:rPr>
          <w:color w:val="000000"/>
          <w:szCs w:val="20"/>
        </w:rPr>
        <w:t>there</w:t>
      </w:r>
      <w:r w:rsidR="00C64050">
        <w:rPr>
          <w:color w:val="000000"/>
          <w:szCs w:val="20"/>
        </w:rPr>
        <w:t xml:space="preserve"> </w:t>
      </w:r>
      <w:r w:rsidRPr="00454670">
        <w:rPr>
          <w:color w:val="000000"/>
          <w:szCs w:val="20"/>
        </w:rPr>
        <w:t>was</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reorganization</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Y.</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reorganization,</w:t>
      </w:r>
      <w:r w:rsidR="00C64050">
        <w:rPr>
          <w:color w:val="000000"/>
          <w:szCs w:val="20"/>
        </w:rPr>
        <w:t xml:space="preserve"> </w:t>
      </w:r>
      <w:r w:rsidRPr="00454670">
        <w:rPr>
          <w:color w:val="000000"/>
          <w:szCs w:val="20"/>
        </w:rPr>
        <w:t>D's</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exchanged</w:t>
      </w:r>
      <w:r w:rsidR="00C64050">
        <w:rPr>
          <w:color w:val="000000"/>
          <w:szCs w:val="20"/>
        </w:rPr>
        <w:t xml:space="preserve"> </w:t>
      </w:r>
      <w:r w:rsidRPr="00454670">
        <w:rPr>
          <w:color w:val="000000"/>
          <w:szCs w:val="20"/>
        </w:rPr>
        <w:t>all</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its</w:t>
      </w:r>
      <w:r w:rsidR="00C64050">
        <w:rPr>
          <w:color w:val="000000"/>
          <w:szCs w:val="20"/>
        </w:rPr>
        <w:t xml:space="preserve"> </w:t>
      </w:r>
      <w:r w:rsidRPr="00454670">
        <w:rPr>
          <w:color w:val="000000"/>
          <w:szCs w:val="20"/>
        </w:rPr>
        <w:t>stock</w:t>
      </w:r>
      <w:r w:rsidR="00C64050">
        <w:rPr>
          <w:color w:val="000000"/>
          <w:szCs w:val="20"/>
        </w:rPr>
        <w:t xml:space="preserve"> </w:t>
      </w:r>
      <w:r w:rsidRPr="00454670">
        <w:rPr>
          <w:color w:val="000000"/>
          <w:szCs w:val="20"/>
        </w:rPr>
        <w:t>for</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new</w:t>
      </w:r>
      <w:r w:rsidR="00C64050">
        <w:rPr>
          <w:color w:val="000000"/>
          <w:szCs w:val="20"/>
        </w:rPr>
        <w:t xml:space="preserve"> </w:t>
      </w:r>
      <w:r w:rsidRPr="00454670">
        <w:rPr>
          <w:color w:val="000000"/>
          <w:szCs w:val="20"/>
        </w:rPr>
        <w:t>class</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stock</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X.</w:t>
      </w:r>
      <w:r w:rsidR="00C64050">
        <w:rPr>
          <w:color w:val="000000"/>
          <w:szCs w:val="20"/>
        </w:rPr>
        <w:t xml:space="preserve"> </w:t>
      </w:r>
      <w:r w:rsidRPr="00454670">
        <w:rPr>
          <w:color w:val="000000"/>
          <w:szCs w:val="20"/>
        </w:rPr>
        <w:t>On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reorganization,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difference</w:t>
      </w:r>
      <w:r w:rsidR="00C64050">
        <w:rPr>
          <w:color w:val="000000"/>
          <w:szCs w:val="20"/>
        </w:rPr>
        <w:t xml:space="preserve"> </w:t>
      </w:r>
      <w:r w:rsidRPr="00454670">
        <w:rPr>
          <w:color w:val="000000"/>
          <w:szCs w:val="20"/>
        </w:rPr>
        <w:t>between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stock</w:t>
      </w:r>
      <w:r w:rsidR="00C64050">
        <w:rPr>
          <w:color w:val="000000"/>
          <w:szCs w:val="20"/>
        </w:rPr>
        <w:t xml:space="preserve"> </w:t>
      </w:r>
      <w:r w:rsidRPr="00454670">
        <w:rPr>
          <w:color w:val="000000"/>
          <w:szCs w:val="20"/>
        </w:rPr>
        <w:t>D's</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received</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on</w:t>
      </w:r>
      <w:r w:rsidR="00C64050">
        <w:rPr>
          <w:color w:val="000000"/>
          <w:szCs w:val="20"/>
        </w:rPr>
        <w:t xml:space="preserve"> </w:t>
      </w:r>
      <w:r w:rsidRPr="00454670">
        <w:rPr>
          <w:color w:val="000000"/>
          <w:szCs w:val="20"/>
        </w:rPr>
        <w:t>that</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stock</w:t>
      </w:r>
      <w:r w:rsidR="00C64050">
        <w:rPr>
          <w:color w:val="000000"/>
          <w:szCs w:val="20"/>
        </w:rPr>
        <w:t xml:space="preserve"> </w:t>
      </w:r>
      <w:r w:rsidRPr="00454670">
        <w:rPr>
          <w:color w:val="000000"/>
          <w:szCs w:val="20"/>
        </w:rPr>
        <w:t>includible</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D's</w:t>
      </w:r>
      <w:r w:rsidR="00C64050">
        <w:rPr>
          <w:color w:val="000000"/>
          <w:szCs w:val="20"/>
        </w:rPr>
        <w:t xml:space="preserve"> </w:t>
      </w:r>
      <w:r w:rsidRPr="00454670">
        <w:rPr>
          <w:color w:val="000000"/>
          <w:szCs w:val="20"/>
        </w:rPr>
        <w:t>gross</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at</w:t>
      </w:r>
      <w:r w:rsidR="00C64050">
        <w:rPr>
          <w:color w:val="000000"/>
          <w:szCs w:val="20"/>
        </w:rPr>
        <w:t xml:space="preserve"> </w:t>
      </w:r>
      <w:r w:rsidRPr="00454670">
        <w:rPr>
          <w:color w:val="000000"/>
          <w:szCs w:val="20"/>
        </w:rPr>
        <w:t>death</w:t>
      </w:r>
      <w:r w:rsidR="00C64050">
        <w:rPr>
          <w:color w:val="000000"/>
          <w:szCs w:val="20"/>
        </w:rPr>
        <w:t xml:space="preserve"> </w:t>
      </w:r>
      <w:r w:rsidRPr="00454670">
        <w:rPr>
          <w:color w:val="000000"/>
          <w:szCs w:val="20"/>
        </w:rPr>
        <w:t>was</w:t>
      </w:r>
      <w:r w:rsidR="00C64050">
        <w:rPr>
          <w:color w:val="000000"/>
          <w:szCs w:val="20"/>
        </w:rPr>
        <w:t xml:space="preserve"> </w:t>
      </w:r>
      <w:r w:rsidRPr="00454670">
        <w:rPr>
          <w:color w:val="000000"/>
          <w:szCs w:val="20"/>
        </w:rPr>
        <w:t>greater</w:t>
      </w:r>
      <w:r w:rsidR="00C64050">
        <w:rPr>
          <w:color w:val="000000"/>
          <w:szCs w:val="20"/>
        </w:rPr>
        <w:t xml:space="preserve"> </w:t>
      </w:r>
      <w:r w:rsidRPr="00454670">
        <w:rPr>
          <w:color w:val="000000"/>
          <w:szCs w:val="20"/>
        </w:rPr>
        <w:t>than</w:t>
      </w:r>
      <w:r w:rsidR="00C64050">
        <w:rPr>
          <w:color w:val="000000"/>
          <w:szCs w:val="20"/>
        </w:rPr>
        <w:t xml:space="preserve"> </w:t>
      </w:r>
      <w:r w:rsidRPr="00454670">
        <w:rPr>
          <w:color w:val="000000"/>
          <w:szCs w:val="20"/>
        </w:rPr>
        <w:t>5%</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as</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reorganization,</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stock</w:t>
      </w:r>
      <w:r w:rsidR="00C64050">
        <w:rPr>
          <w:color w:val="000000"/>
          <w:szCs w:val="20"/>
        </w:rPr>
        <w:t xml:space="preserve"> </w:t>
      </w:r>
      <w:r w:rsidRPr="00454670">
        <w:rPr>
          <w:color w:val="000000"/>
          <w:szCs w:val="20"/>
        </w:rPr>
        <w:t>D</w:t>
      </w:r>
      <w:r w:rsidR="00C64050">
        <w:rPr>
          <w:color w:val="000000"/>
          <w:szCs w:val="20"/>
        </w:rPr>
        <w:t xml:space="preserve"> </w:t>
      </w:r>
      <w:r w:rsidRPr="00454670">
        <w:rPr>
          <w:color w:val="000000"/>
          <w:szCs w:val="20"/>
        </w:rPr>
        <w:t>held</w:t>
      </w:r>
      <w:r w:rsidR="00C64050">
        <w:rPr>
          <w:color w:val="000000"/>
          <w:szCs w:val="20"/>
        </w:rPr>
        <w:t xml:space="preserve"> </w:t>
      </w:r>
      <w:r w:rsidRPr="00454670">
        <w:rPr>
          <w:color w:val="000000"/>
          <w:szCs w:val="20"/>
        </w:rPr>
        <w:t>at</w:t>
      </w:r>
      <w:r w:rsidR="00C64050">
        <w:rPr>
          <w:color w:val="000000"/>
          <w:szCs w:val="20"/>
        </w:rPr>
        <w:t xml:space="preserve"> </w:t>
      </w:r>
      <w:r w:rsidRPr="00454670">
        <w:rPr>
          <w:color w:val="000000"/>
          <w:szCs w:val="20"/>
        </w:rPr>
        <w:t>death.</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reorganization</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transaction</w:t>
      </w:r>
      <w:r w:rsidR="00C64050">
        <w:rPr>
          <w:color w:val="000000"/>
          <w:szCs w:val="20"/>
        </w:rPr>
        <w:t xml:space="preserve"> </w:t>
      </w:r>
      <w:r w:rsidRPr="00454670">
        <w:rPr>
          <w:color w:val="000000"/>
          <w:szCs w:val="20"/>
        </w:rPr>
        <w:t>described</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paragraph</w:t>
      </w:r>
      <w:r w:rsidR="00C64050">
        <w:rPr>
          <w:color w:val="000000"/>
          <w:szCs w:val="20"/>
        </w:rPr>
        <w:t xml:space="preserve"> </w:t>
      </w:r>
      <w:r w:rsidRPr="00454670">
        <w:rPr>
          <w:color w:val="000000"/>
          <w:szCs w:val="20"/>
        </w:rPr>
        <w:t>(c)(1)(i)(H)</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this</w:t>
      </w:r>
      <w:r w:rsidR="00C64050">
        <w:rPr>
          <w:color w:val="000000"/>
          <w:szCs w:val="20"/>
        </w:rPr>
        <w:t xml:space="preserve"> </w:t>
      </w:r>
      <w:r w:rsidRPr="00454670">
        <w:rPr>
          <w:color w:val="000000"/>
          <w:szCs w:val="20"/>
        </w:rPr>
        <w:t>section</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does</w:t>
      </w:r>
      <w:r w:rsidR="00C64050">
        <w:rPr>
          <w:color w:val="000000"/>
          <w:szCs w:val="20"/>
        </w:rPr>
        <w:t xml:space="preserve"> </w:t>
      </w:r>
      <w:r w:rsidRPr="00454670">
        <w:rPr>
          <w:color w:val="000000"/>
          <w:szCs w:val="20"/>
        </w:rPr>
        <w:t>not</w:t>
      </w:r>
      <w:r w:rsidR="00C64050">
        <w:rPr>
          <w:color w:val="000000"/>
          <w:szCs w:val="20"/>
        </w:rPr>
        <w:t xml:space="preserve"> </w:t>
      </w:r>
      <w:r w:rsidRPr="00454670">
        <w:rPr>
          <w:color w:val="000000"/>
          <w:szCs w:val="20"/>
        </w:rPr>
        <w:t>satisfy</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exception</w:t>
      </w:r>
      <w:r w:rsidR="00C64050">
        <w:rPr>
          <w:color w:val="000000"/>
          <w:szCs w:val="20"/>
        </w:rPr>
        <w:t xml:space="preserve"> </w:t>
      </w:r>
      <w:r w:rsidRPr="00454670">
        <w:rPr>
          <w:color w:val="000000"/>
          <w:szCs w:val="20"/>
        </w:rPr>
        <w:t>described</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paragraph</w:t>
      </w:r>
      <w:r w:rsidR="00C64050">
        <w:rPr>
          <w:color w:val="000000"/>
          <w:szCs w:val="20"/>
        </w:rPr>
        <w:t xml:space="preserve"> </w:t>
      </w:r>
      <w:r w:rsidRPr="00454670">
        <w:rPr>
          <w:color w:val="000000"/>
          <w:szCs w:val="20"/>
        </w:rPr>
        <w:t>(c)(1)(ii)</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this</w:t>
      </w:r>
      <w:r w:rsidR="00C64050">
        <w:rPr>
          <w:color w:val="000000"/>
          <w:szCs w:val="20"/>
        </w:rPr>
        <w:t xml:space="preserve"> </w:t>
      </w:r>
      <w:r w:rsidRPr="00454670">
        <w:rPr>
          <w:color w:val="000000"/>
          <w:szCs w:val="20"/>
        </w:rPr>
        <w:t>section.</w:t>
      </w:r>
      <w:r w:rsidR="00C64050">
        <w:rPr>
          <w:color w:val="000000"/>
          <w:szCs w:val="20"/>
        </w:rPr>
        <w:t xml:space="preserve"> </w:t>
      </w:r>
      <w:r w:rsidRPr="00454670">
        <w:rPr>
          <w:color w:val="000000"/>
          <w:szCs w:val="20"/>
        </w:rPr>
        <w:t>Thus,</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alternate</w:t>
      </w:r>
      <w:r w:rsidR="00C64050">
        <w:rPr>
          <w:color w:val="000000"/>
          <w:szCs w:val="20"/>
        </w:rPr>
        <w:t xml:space="preserve"> </w:t>
      </w:r>
      <w:r w:rsidRPr="00454670">
        <w:rPr>
          <w:color w:val="000000"/>
          <w:szCs w:val="20"/>
        </w:rPr>
        <w:t>valuation</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reorganization</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be</w:t>
      </w:r>
      <w:r w:rsidR="00C64050">
        <w:rPr>
          <w:color w:val="000000"/>
          <w:szCs w:val="20"/>
        </w:rPr>
        <w:t xml:space="preserve"> </w:t>
      </w:r>
      <w:r w:rsidRPr="00454670">
        <w:rPr>
          <w:color w:val="000000"/>
          <w:szCs w:val="20"/>
        </w:rPr>
        <w:t>included</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D's</w:t>
      </w:r>
      <w:r w:rsidR="00C64050">
        <w:rPr>
          <w:color w:val="000000"/>
          <w:szCs w:val="20"/>
        </w:rPr>
        <w:t xml:space="preserve"> </w:t>
      </w:r>
      <w:r w:rsidRPr="00454670">
        <w:rPr>
          <w:color w:val="000000"/>
          <w:szCs w:val="20"/>
        </w:rPr>
        <w:t>gross</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stock</w:t>
      </w:r>
      <w:r w:rsidR="00C64050">
        <w:rPr>
          <w:color w:val="000000"/>
          <w:szCs w:val="20"/>
        </w:rPr>
        <w:t xml:space="preserve"> </w:t>
      </w:r>
      <w:r w:rsidRPr="00454670">
        <w:rPr>
          <w:color w:val="000000"/>
          <w:szCs w:val="20"/>
        </w:rPr>
        <w:t>immediately</w:t>
      </w:r>
      <w:r w:rsidR="00C64050">
        <w:rPr>
          <w:color w:val="000000"/>
          <w:szCs w:val="20"/>
        </w:rPr>
        <w:t xml:space="preserve"> </w:t>
      </w:r>
      <w:r w:rsidRPr="00454670">
        <w:rPr>
          <w:color w:val="000000"/>
          <w:szCs w:val="20"/>
        </w:rPr>
        <w:t>prior</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reorganization.</w:t>
      </w:r>
      <w:r w:rsidR="00C64050">
        <w:rPr>
          <w:color w:val="000000"/>
          <w:szCs w:val="20"/>
        </w:rPr>
        <w:t xml:space="preserve"> </w:t>
      </w:r>
      <w:r w:rsidRPr="00454670">
        <w:rPr>
          <w:color w:val="000000"/>
          <w:szCs w:val="20"/>
        </w:rPr>
        <w:t>This</w:t>
      </w:r>
      <w:r w:rsidR="00C64050">
        <w:rPr>
          <w:color w:val="000000"/>
          <w:szCs w:val="20"/>
        </w:rPr>
        <w:t xml:space="preserve"> </w:t>
      </w:r>
      <w:r w:rsidRPr="00454670">
        <w:rPr>
          <w:color w:val="000000"/>
          <w:szCs w:val="20"/>
        </w:rPr>
        <w:t>result</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not</w:t>
      </w:r>
      <w:r w:rsidR="00C64050">
        <w:rPr>
          <w:color w:val="000000"/>
          <w:szCs w:val="20"/>
        </w:rPr>
        <w:t xml:space="preserve"> </w:t>
      </w:r>
      <w:r w:rsidRPr="00454670">
        <w:rPr>
          <w:color w:val="000000"/>
          <w:szCs w:val="20"/>
        </w:rPr>
        <w:t>affected</w:t>
      </w:r>
      <w:r w:rsidR="00C64050">
        <w:rPr>
          <w:color w:val="000000"/>
          <w:szCs w:val="20"/>
        </w:rPr>
        <w:t xml:space="preserve"> </w:t>
      </w:r>
      <w:r w:rsidRPr="00454670">
        <w:rPr>
          <w:color w:val="000000"/>
          <w:szCs w:val="20"/>
        </w:rPr>
        <w:t>by</w:t>
      </w:r>
      <w:r w:rsidR="00C64050">
        <w:rPr>
          <w:color w:val="000000"/>
          <w:szCs w:val="20"/>
        </w:rPr>
        <w:t xml:space="preserve"> </w:t>
      </w:r>
      <w:r w:rsidRPr="00454670">
        <w:rPr>
          <w:color w:val="000000"/>
          <w:szCs w:val="20"/>
        </w:rPr>
        <w:t>whether</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not</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reorganization</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tax-free</w:t>
      </w:r>
      <w:r w:rsidR="00C64050">
        <w:rPr>
          <w:color w:val="000000"/>
          <w:szCs w:val="20"/>
        </w:rPr>
        <w:t xml:space="preserve"> </w:t>
      </w:r>
      <w:r w:rsidRPr="00454670">
        <w:rPr>
          <w:color w:val="000000"/>
          <w:szCs w:val="20"/>
        </w:rPr>
        <w:t>reorganization</w:t>
      </w:r>
      <w:r w:rsidR="00C64050">
        <w:rPr>
          <w:color w:val="000000"/>
          <w:szCs w:val="20"/>
        </w:rPr>
        <w:t xml:space="preserve"> </w:t>
      </w:r>
      <w:r w:rsidRPr="00454670">
        <w:rPr>
          <w:color w:val="000000"/>
          <w:szCs w:val="20"/>
        </w:rPr>
        <w:t>for</w:t>
      </w:r>
      <w:r w:rsidR="00C64050">
        <w:rPr>
          <w:color w:val="000000"/>
          <w:szCs w:val="20"/>
        </w:rPr>
        <w:t xml:space="preserve"> </w:t>
      </w:r>
      <w:r w:rsidRPr="00454670">
        <w:rPr>
          <w:color w:val="000000"/>
          <w:szCs w:val="20"/>
        </w:rPr>
        <w:t>Federal</w:t>
      </w:r>
      <w:r w:rsidR="00C64050">
        <w:rPr>
          <w:color w:val="000000"/>
          <w:szCs w:val="20"/>
        </w:rPr>
        <w:t xml:space="preserve"> </w:t>
      </w:r>
      <w:r w:rsidRPr="00454670">
        <w:rPr>
          <w:color w:val="000000"/>
          <w:szCs w:val="20"/>
        </w:rPr>
        <w:t>income</w:t>
      </w:r>
      <w:r w:rsidR="00C64050">
        <w:rPr>
          <w:color w:val="000000"/>
          <w:szCs w:val="20"/>
        </w:rPr>
        <w:t xml:space="preserve"> </w:t>
      </w:r>
      <w:r w:rsidRPr="00454670">
        <w:rPr>
          <w:color w:val="000000"/>
          <w:szCs w:val="20"/>
        </w:rPr>
        <w:t>tax</w:t>
      </w:r>
      <w:r w:rsidR="00C64050">
        <w:rPr>
          <w:color w:val="000000"/>
          <w:szCs w:val="20"/>
        </w:rPr>
        <w:t xml:space="preserve"> </w:t>
      </w:r>
      <w:r w:rsidRPr="00454670">
        <w:rPr>
          <w:color w:val="000000"/>
          <w:szCs w:val="20"/>
        </w:rPr>
        <w:t>purposes.</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result</w:t>
      </w:r>
      <w:r w:rsidR="00C64050">
        <w:rPr>
          <w:color w:val="000000"/>
          <w:szCs w:val="20"/>
        </w:rPr>
        <w:t xml:space="preserve"> </w:t>
      </w:r>
      <w:r w:rsidRPr="00454670">
        <w:rPr>
          <w:color w:val="000000"/>
          <w:szCs w:val="20"/>
        </w:rPr>
        <w:t>would</w:t>
      </w:r>
      <w:r w:rsidR="00C64050">
        <w:rPr>
          <w:color w:val="000000"/>
          <w:szCs w:val="20"/>
        </w:rPr>
        <w:t xml:space="preserve"> </w:t>
      </w:r>
      <w:r w:rsidRPr="00454670">
        <w:rPr>
          <w:color w:val="000000"/>
          <w:szCs w:val="20"/>
        </w:rPr>
        <w:t>be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same</w:t>
      </w:r>
      <w:r w:rsidR="00C64050">
        <w:rPr>
          <w:color w:val="000000"/>
          <w:szCs w:val="20"/>
        </w:rPr>
        <w:t xml:space="preserve"> </w:t>
      </w:r>
      <w:r w:rsidRPr="00454670">
        <w:rPr>
          <w:color w:val="000000"/>
          <w:szCs w:val="20"/>
        </w:rPr>
        <w:t>if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stock</w:t>
      </w:r>
      <w:r w:rsidR="00C64050">
        <w:rPr>
          <w:color w:val="000000"/>
          <w:szCs w:val="20"/>
        </w:rPr>
        <w:t xml:space="preserve"> </w:t>
      </w:r>
      <w:r w:rsidRPr="00454670">
        <w:rPr>
          <w:color w:val="000000"/>
          <w:szCs w:val="20"/>
        </w:rPr>
        <w:t>had</w:t>
      </w:r>
      <w:r w:rsidR="00C64050">
        <w:rPr>
          <w:color w:val="000000"/>
          <w:szCs w:val="20"/>
        </w:rPr>
        <w:t xml:space="preserve"> </w:t>
      </w:r>
      <w:r w:rsidRPr="00454670">
        <w:rPr>
          <w:color w:val="000000"/>
          <w:szCs w:val="20"/>
        </w:rPr>
        <w:t>been</w:t>
      </w:r>
      <w:r w:rsidR="00C64050">
        <w:rPr>
          <w:color w:val="000000"/>
          <w:szCs w:val="20"/>
        </w:rPr>
        <w:t xml:space="preserve"> </w:t>
      </w:r>
      <w:r w:rsidRPr="00454670">
        <w:rPr>
          <w:color w:val="000000"/>
          <w:szCs w:val="20"/>
        </w:rPr>
        <w:t>held,</w:t>
      </w:r>
      <w:r w:rsidR="00C64050">
        <w:rPr>
          <w:color w:val="000000"/>
          <w:szCs w:val="20"/>
        </w:rPr>
        <w:t xml:space="preserve"> </w:t>
      </w:r>
      <w:r w:rsidRPr="00454670">
        <w:rPr>
          <w:color w:val="000000"/>
          <w:szCs w:val="20"/>
        </w:rPr>
        <w:t>for</w:t>
      </w:r>
      <w:r w:rsidR="00C64050">
        <w:rPr>
          <w:color w:val="000000"/>
          <w:szCs w:val="20"/>
        </w:rPr>
        <w:t xml:space="preserve"> </w:t>
      </w:r>
      <w:r w:rsidRPr="00454670">
        <w:rPr>
          <w:color w:val="000000"/>
          <w:szCs w:val="20"/>
        </w:rPr>
        <w:t>example,</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an</w:t>
      </w:r>
      <w:r w:rsidR="00C64050">
        <w:rPr>
          <w:color w:val="000000"/>
          <w:szCs w:val="20"/>
        </w:rPr>
        <w:t xml:space="preserve"> </w:t>
      </w:r>
      <w:r w:rsidRPr="00454670">
        <w:rPr>
          <w:color w:val="000000"/>
          <w:szCs w:val="20"/>
        </w:rPr>
        <w:t>IRA</w:t>
      </w:r>
      <w:r w:rsidR="00C64050">
        <w:rPr>
          <w:color w:val="000000"/>
          <w:szCs w:val="20"/>
        </w:rPr>
        <w:t xml:space="preserve"> </w:t>
      </w:r>
      <w:r w:rsidRPr="00454670">
        <w:rPr>
          <w:color w:val="000000"/>
          <w:szCs w:val="20"/>
        </w:rPr>
        <w:t>with</w:t>
      </w:r>
      <w:r w:rsidR="00C64050">
        <w:rPr>
          <w:color w:val="000000"/>
          <w:szCs w:val="20"/>
        </w:rPr>
        <w:t xml:space="preserve"> </w:t>
      </w:r>
      <w:r w:rsidRPr="00454670">
        <w:rPr>
          <w:color w:val="000000"/>
          <w:szCs w:val="20"/>
        </w:rPr>
        <w:t>designated</w:t>
      </w:r>
      <w:r w:rsidR="00C64050">
        <w:rPr>
          <w:color w:val="000000"/>
          <w:szCs w:val="20"/>
        </w:rPr>
        <w:t xml:space="preserve"> </w:t>
      </w:r>
      <w:r w:rsidRPr="00454670">
        <w:rPr>
          <w:color w:val="000000"/>
          <w:szCs w:val="20"/>
        </w:rPr>
        <w:t>beneficiaries.</w:t>
      </w:r>
      <w:r w:rsidR="00C64050">
        <w:rPr>
          <w:color w:val="000000"/>
          <w:szCs w:val="20"/>
        </w:rPr>
        <w:t xml:space="preserve"> </w:t>
      </w:r>
      <w:r w:rsidRPr="00454670">
        <w:rPr>
          <w:color w:val="000000"/>
          <w:szCs w:val="20"/>
        </w:rPr>
        <w:t>See</w:t>
      </w:r>
      <w:r w:rsidR="00C64050">
        <w:rPr>
          <w:color w:val="000000"/>
          <w:szCs w:val="20"/>
        </w:rPr>
        <w:t xml:space="preserve"> </w:t>
      </w:r>
      <w:r w:rsidRPr="00454670">
        <w:rPr>
          <w:color w:val="000000"/>
          <w:szCs w:val="20"/>
        </w:rPr>
        <w:t>paragraph</w:t>
      </w:r>
      <w:r w:rsidR="00C64050">
        <w:rPr>
          <w:color w:val="000000"/>
          <w:szCs w:val="20"/>
        </w:rPr>
        <w:t xml:space="preserve"> </w:t>
      </w:r>
      <w:r w:rsidRPr="00454670">
        <w:rPr>
          <w:color w:val="000000"/>
          <w:szCs w:val="20"/>
        </w:rPr>
        <w:t>(c)(3)(i)(C)</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this</w:t>
      </w:r>
      <w:r w:rsidR="00C64050">
        <w:rPr>
          <w:color w:val="000000"/>
          <w:szCs w:val="20"/>
        </w:rPr>
        <w:t xml:space="preserve"> </w:t>
      </w:r>
      <w:r w:rsidRPr="00454670">
        <w:rPr>
          <w:color w:val="000000"/>
          <w:szCs w:val="20"/>
        </w:rPr>
        <w:t>section.</w:t>
      </w:r>
      <w:r w:rsidR="00C64050">
        <w:rPr>
          <w:color w:val="000000"/>
          <w:szCs w:val="20"/>
        </w:rPr>
        <w:t xml:space="preserve"> </w:t>
      </w:r>
    </w:p>
    <w:p w:rsidR="00485DB9" w:rsidRPr="00454670" w:rsidRDefault="00856D6A" w:rsidP="00E54F20">
      <w:pPr>
        <w:pStyle w:val="QS10"/>
        <w:rPr>
          <w:color w:val="000000"/>
          <w:szCs w:val="20"/>
        </w:rPr>
      </w:pPr>
      <w:r w:rsidRPr="00454670">
        <w:rPr>
          <w:color w:val="000000"/>
          <w:szCs w:val="20"/>
        </w:rPr>
        <w:t>(ii)</w:t>
      </w:r>
      <w:r w:rsidR="00C64050">
        <w:rPr>
          <w:color w:val="000000"/>
          <w:szCs w:val="20"/>
        </w:rPr>
        <w:t xml:space="preserve"> </w:t>
      </w:r>
      <w:r w:rsidRPr="00454670">
        <w:rPr>
          <w:color w:val="000000"/>
          <w:szCs w:val="20"/>
        </w:rPr>
        <w:t>If,</w:t>
      </w:r>
      <w:r w:rsidR="00C64050">
        <w:rPr>
          <w:color w:val="000000"/>
          <w:szCs w:val="20"/>
        </w:rPr>
        <w:t xml:space="preserve"> </w:t>
      </w:r>
      <w:r w:rsidRPr="00454670">
        <w:rPr>
          <w:color w:val="000000"/>
          <w:szCs w:val="20"/>
        </w:rPr>
        <w:t>instead,</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difference</w:t>
      </w:r>
      <w:r w:rsidR="00C64050">
        <w:rPr>
          <w:color w:val="000000"/>
          <w:szCs w:val="20"/>
        </w:rPr>
        <w:t xml:space="preserve"> </w:t>
      </w:r>
      <w:r w:rsidRPr="00454670">
        <w:rPr>
          <w:color w:val="000000"/>
          <w:szCs w:val="20"/>
        </w:rPr>
        <w:t>between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two</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values</w:t>
      </w:r>
      <w:r w:rsidR="00C64050">
        <w:rPr>
          <w:color w:val="000000"/>
          <w:szCs w:val="20"/>
        </w:rPr>
        <w:t xml:space="preserve"> </w:t>
      </w:r>
      <w:r w:rsidRPr="00454670">
        <w:rPr>
          <w:color w:val="000000"/>
          <w:szCs w:val="20"/>
        </w:rPr>
        <w:t>as</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reorganization</w:t>
      </w:r>
      <w:r w:rsidR="00C64050">
        <w:rPr>
          <w:color w:val="000000"/>
          <w:szCs w:val="20"/>
        </w:rPr>
        <w:t xml:space="preserve"> </w:t>
      </w:r>
      <w:r w:rsidRPr="00454670">
        <w:rPr>
          <w:color w:val="000000"/>
          <w:szCs w:val="20"/>
        </w:rPr>
        <w:t>was</w:t>
      </w:r>
      <w:r w:rsidR="00C64050">
        <w:rPr>
          <w:color w:val="000000"/>
          <w:szCs w:val="20"/>
        </w:rPr>
        <w:t xml:space="preserve"> </w:t>
      </w:r>
      <w:r w:rsidRPr="00454670">
        <w:rPr>
          <w:color w:val="000000"/>
          <w:szCs w:val="20"/>
        </w:rPr>
        <w:t>equal</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less</w:t>
      </w:r>
      <w:r w:rsidR="00C64050">
        <w:rPr>
          <w:color w:val="000000"/>
          <w:szCs w:val="20"/>
        </w:rPr>
        <w:t xml:space="preserve"> </w:t>
      </w:r>
      <w:r w:rsidRPr="00454670">
        <w:rPr>
          <w:color w:val="000000"/>
          <w:szCs w:val="20"/>
        </w:rPr>
        <w:t>than</w:t>
      </w:r>
      <w:r w:rsidR="00C64050">
        <w:rPr>
          <w:color w:val="000000"/>
          <w:szCs w:val="20"/>
        </w:rPr>
        <w:t xml:space="preserve"> </w:t>
      </w:r>
      <w:r w:rsidRPr="00454670">
        <w:rPr>
          <w:color w:val="000000"/>
          <w:szCs w:val="20"/>
        </w:rPr>
        <w:t>5%</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as</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reorganization,</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stock</w:t>
      </w:r>
      <w:r w:rsidR="00C64050">
        <w:rPr>
          <w:color w:val="000000"/>
          <w:szCs w:val="20"/>
        </w:rPr>
        <w:t xml:space="preserve"> </w:t>
      </w:r>
      <w:r w:rsidRPr="00454670">
        <w:rPr>
          <w:color w:val="000000"/>
          <w:szCs w:val="20"/>
        </w:rPr>
        <w:t>D</w:t>
      </w:r>
      <w:r w:rsidR="00C64050">
        <w:rPr>
          <w:color w:val="000000"/>
          <w:szCs w:val="20"/>
        </w:rPr>
        <w:t xml:space="preserve"> </w:t>
      </w:r>
      <w:r w:rsidRPr="00454670">
        <w:rPr>
          <w:color w:val="000000"/>
          <w:szCs w:val="20"/>
        </w:rPr>
        <w:t>held</w:t>
      </w:r>
      <w:r w:rsidR="00C64050">
        <w:rPr>
          <w:color w:val="000000"/>
          <w:szCs w:val="20"/>
        </w:rPr>
        <w:t xml:space="preserve"> </w:t>
      </w:r>
      <w:r w:rsidRPr="00454670">
        <w:rPr>
          <w:color w:val="000000"/>
          <w:szCs w:val="20"/>
        </w:rPr>
        <w:t>at</w:t>
      </w:r>
      <w:r w:rsidR="00C64050">
        <w:rPr>
          <w:color w:val="000000"/>
          <w:szCs w:val="20"/>
        </w:rPr>
        <w:t xml:space="preserve"> </w:t>
      </w:r>
      <w:r w:rsidRPr="00454670">
        <w:rPr>
          <w:color w:val="000000"/>
          <w:szCs w:val="20"/>
        </w:rPr>
        <w:t>death,</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reorganization</w:t>
      </w:r>
      <w:r w:rsidR="00C64050">
        <w:rPr>
          <w:color w:val="000000"/>
          <w:szCs w:val="20"/>
        </w:rPr>
        <w:t xml:space="preserve"> </w:t>
      </w:r>
      <w:r w:rsidRPr="00454670">
        <w:rPr>
          <w:color w:val="000000"/>
          <w:szCs w:val="20"/>
        </w:rPr>
        <w:t>would</w:t>
      </w:r>
      <w:r w:rsidR="00C64050">
        <w:rPr>
          <w:color w:val="000000"/>
          <w:szCs w:val="20"/>
        </w:rPr>
        <w:t xml:space="preserve"> </w:t>
      </w:r>
      <w:r w:rsidRPr="00454670">
        <w:rPr>
          <w:color w:val="000000"/>
          <w:szCs w:val="20"/>
        </w:rPr>
        <w:t>satisfy</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exception</w:t>
      </w:r>
      <w:r w:rsidR="00C64050">
        <w:rPr>
          <w:color w:val="000000"/>
          <w:szCs w:val="20"/>
        </w:rPr>
        <w:t xml:space="preserve"> </w:t>
      </w:r>
      <w:r w:rsidRPr="00454670">
        <w:rPr>
          <w:color w:val="000000"/>
          <w:szCs w:val="20"/>
        </w:rPr>
        <w:t>provided</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paragraph</w:t>
      </w:r>
      <w:r w:rsidR="00C64050">
        <w:rPr>
          <w:color w:val="000000"/>
          <w:szCs w:val="20"/>
        </w:rPr>
        <w:t xml:space="preserve"> </w:t>
      </w:r>
      <w:r w:rsidRPr="00454670">
        <w:rPr>
          <w:color w:val="000000"/>
          <w:szCs w:val="20"/>
        </w:rPr>
        <w:t>(c)(1)(ii)</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this</w:t>
      </w:r>
      <w:r w:rsidR="00C64050">
        <w:rPr>
          <w:color w:val="000000"/>
          <w:szCs w:val="20"/>
        </w:rPr>
        <w:t xml:space="preserve"> </w:t>
      </w:r>
      <w:r w:rsidRPr="00454670">
        <w:rPr>
          <w:color w:val="000000"/>
          <w:szCs w:val="20"/>
        </w:rPr>
        <w:t>section.</w:t>
      </w:r>
      <w:r w:rsidR="00C64050">
        <w:rPr>
          <w:color w:val="000000"/>
          <w:szCs w:val="20"/>
        </w:rPr>
        <w:t xml:space="preserve"> </w:t>
      </w:r>
      <w:r w:rsidRPr="00454670">
        <w:rPr>
          <w:color w:val="000000"/>
          <w:szCs w:val="20"/>
        </w:rPr>
        <w:t>Thus,</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alternate</w:t>
      </w:r>
      <w:r w:rsidR="00C64050">
        <w:rPr>
          <w:color w:val="000000"/>
          <w:szCs w:val="20"/>
        </w:rPr>
        <w:t xml:space="preserve"> </w:t>
      </w:r>
      <w:r w:rsidRPr="00454670">
        <w:rPr>
          <w:color w:val="000000"/>
          <w:szCs w:val="20"/>
        </w:rPr>
        <w:t>valuation</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would</w:t>
      </w:r>
      <w:r w:rsidR="00C64050">
        <w:rPr>
          <w:color w:val="000000"/>
          <w:szCs w:val="20"/>
        </w:rPr>
        <w:t xml:space="preserve"> </w:t>
      </w:r>
      <w:r w:rsidRPr="00454670">
        <w:rPr>
          <w:color w:val="000000"/>
          <w:szCs w:val="20"/>
        </w:rPr>
        <w:t>be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6-month</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be</w:t>
      </w:r>
      <w:r w:rsidR="00C64050">
        <w:rPr>
          <w:color w:val="000000"/>
          <w:szCs w:val="20"/>
        </w:rPr>
        <w:t xml:space="preserve"> </w:t>
      </w:r>
      <w:r w:rsidRPr="00454670">
        <w:rPr>
          <w:color w:val="000000"/>
          <w:szCs w:val="20"/>
        </w:rPr>
        <w:t>included</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D's</w:t>
      </w:r>
      <w:r w:rsidR="00C64050">
        <w:rPr>
          <w:color w:val="000000"/>
          <w:szCs w:val="20"/>
        </w:rPr>
        <w:t xml:space="preserve"> </w:t>
      </w:r>
      <w:r w:rsidRPr="00454670">
        <w:rPr>
          <w:color w:val="000000"/>
          <w:szCs w:val="20"/>
        </w:rPr>
        <w:t>gross</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would</w:t>
      </w:r>
      <w:r w:rsidR="00C64050">
        <w:rPr>
          <w:color w:val="000000"/>
          <w:szCs w:val="20"/>
        </w:rPr>
        <w:t xml:space="preserve"> </w:t>
      </w:r>
      <w:r w:rsidRPr="00454670">
        <w:rPr>
          <w:color w:val="000000"/>
          <w:szCs w:val="20"/>
        </w:rPr>
        <w:t>be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determined</w:t>
      </w:r>
      <w:r w:rsidR="00C64050">
        <w:rPr>
          <w:color w:val="000000"/>
          <w:szCs w:val="20"/>
        </w:rPr>
        <w:t xml:space="preserve"> </w:t>
      </w:r>
      <w:r w:rsidRPr="00454670">
        <w:rPr>
          <w:color w:val="000000"/>
          <w:szCs w:val="20"/>
        </w:rPr>
        <w:t>as</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6-month</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new</w:t>
      </w:r>
      <w:r w:rsidR="00C64050">
        <w:rPr>
          <w:color w:val="000000"/>
          <w:szCs w:val="20"/>
        </w:rPr>
        <w:t xml:space="preserve"> </w:t>
      </w:r>
      <w:r w:rsidRPr="00454670">
        <w:rPr>
          <w:color w:val="000000"/>
          <w:szCs w:val="20"/>
        </w:rPr>
        <w:t>class</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stock</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Y</w:t>
      </w:r>
      <w:r w:rsidR="00C64050">
        <w:rPr>
          <w:color w:val="000000"/>
          <w:szCs w:val="20"/>
        </w:rPr>
        <w:t xml:space="preserve"> </w:t>
      </w:r>
      <w:r w:rsidRPr="00454670">
        <w:rPr>
          <w:color w:val="000000"/>
          <w:szCs w:val="20"/>
        </w:rPr>
        <w:t>that</w:t>
      </w:r>
      <w:r w:rsidR="00C64050">
        <w:rPr>
          <w:color w:val="000000"/>
          <w:szCs w:val="20"/>
        </w:rPr>
        <w:t xml:space="preserve"> </w:t>
      </w:r>
      <w:r w:rsidRPr="00454670">
        <w:rPr>
          <w:color w:val="000000"/>
          <w:szCs w:val="20"/>
        </w:rPr>
        <w:t>D's</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received</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reorganization.</w:t>
      </w:r>
      <w:r w:rsidR="00C64050">
        <w:rPr>
          <w:color w:val="000000"/>
          <w:szCs w:val="20"/>
        </w:rPr>
        <w:t xml:space="preserve"> </w:t>
      </w:r>
    </w:p>
    <w:p w:rsidR="00485DB9" w:rsidRPr="00454670" w:rsidRDefault="00856D6A">
      <w:pPr>
        <w:pStyle w:val="Body15"/>
        <w:rPr>
          <w:color w:val="000000"/>
          <w:szCs w:val="20"/>
        </w:rPr>
      </w:pPr>
      <w:r w:rsidRPr="00454670">
        <w:rPr>
          <w:color w:val="000000"/>
          <w:szCs w:val="20"/>
        </w:rPr>
        <w:t>Conservation</w:t>
      </w:r>
      <w:r w:rsidR="00C64050">
        <w:rPr>
          <w:color w:val="000000"/>
          <w:szCs w:val="20"/>
        </w:rPr>
        <w:t xml:space="preserve"> </w:t>
      </w:r>
      <w:r w:rsidRPr="00454670">
        <w:rPr>
          <w:color w:val="000000"/>
          <w:szCs w:val="20"/>
        </w:rPr>
        <w:t>easements</w:t>
      </w:r>
      <w:r w:rsidR="00C64050">
        <w:rPr>
          <w:color w:val="000000"/>
          <w:szCs w:val="20"/>
        </w:rPr>
        <w:t xml:space="preserve"> </w:t>
      </w:r>
      <w:r w:rsidRPr="00454670">
        <w:rPr>
          <w:color w:val="000000"/>
          <w:szCs w:val="20"/>
        </w:rPr>
        <w:t>granted</w:t>
      </w:r>
      <w:r w:rsidR="00C64050">
        <w:rPr>
          <w:color w:val="000000"/>
          <w:szCs w:val="20"/>
        </w:rPr>
        <w:t xml:space="preserve"> </w:t>
      </w:r>
      <w:r w:rsidRPr="00454670">
        <w:rPr>
          <w:color w:val="000000"/>
          <w:szCs w:val="20"/>
        </w:rPr>
        <w:t>during</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administration</w:t>
      </w:r>
      <w:r w:rsidR="00C64050">
        <w:rPr>
          <w:color w:val="000000"/>
          <w:szCs w:val="20"/>
        </w:rPr>
        <w:t xml:space="preserve"> </w:t>
      </w:r>
      <w:r w:rsidRPr="00454670">
        <w:rPr>
          <w:color w:val="000000"/>
          <w:szCs w:val="20"/>
        </w:rPr>
        <w:t>are</w:t>
      </w:r>
      <w:r w:rsidR="00C64050">
        <w:rPr>
          <w:color w:val="000000"/>
          <w:szCs w:val="20"/>
        </w:rPr>
        <w:t xml:space="preserve"> </w:t>
      </w:r>
      <w:r w:rsidRPr="00454670">
        <w:rPr>
          <w:color w:val="000000"/>
          <w:szCs w:val="20"/>
        </w:rPr>
        <w:t>an</w:t>
      </w:r>
      <w:r w:rsidR="00C64050">
        <w:rPr>
          <w:color w:val="000000"/>
          <w:szCs w:val="20"/>
        </w:rPr>
        <w:t xml:space="preserve"> </w:t>
      </w:r>
      <w:r w:rsidRPr="00454670">
        <w:rPr>
          <w:color w:val="000000"/>
          <w:szCs w:val="20"/>
        </w:rPr>
        <w:t>exception</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general</w:t>
      </w:r>
      <w:r w:rsidR="00C64050">
        <w:rPr>
          <w:color w:val="000000"/>
          <w:szCs w:val="20"/>
        </w:rPr>
        <w:t xml:space="preserve"> </w:t>
      </w:r>
      <w:r w:rsidRPr="00454670">
        <w:rPr>
          <w:color w:val="000000"/>
          <w:szCs w:val="20"/>
        </w:rPr>
        <w:t>rule.</w:t>
      </w:r>
      <w:r w:rsidR="00C64050">
        <w:rPr>
          <w:color w:val="000000"/>
          <w:szCs w:val="20"/>
        </w:rPr>
        <w:t xml:space="preserve">  </w:t>
      </w:r>
      <w:r w:rsidRPr="00454670">
        <w:rPr>
          <w:color w:val="000000"/>
          <w:szCs w:val="20"/>
        </w:rPr>
        <w:t>As</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result,</w:t>
      </w:r>
      <w:r w:rsidR="00C64050">
        <w:rPr>
          <w:color w:val="000000"/>
          <w:szCs w:val="20"/>
        </w:rPr>
        <w:t xml:space="preserve"> </w:t>
      </w:r>
      <w:r w:rsidRPr="00454670">
        <w:rPr>
          <w:color w:val="000000"/>
          <w:szCs w:val="20"/>
        </w:rPr>
        <w:t>for</w:t>
      </w:r>
      <w:r w:rsidR="00C64050">
        <w:rPr>
          <w:color w:val="000000"/>
          <w:szCs w:val="20"/>
        </w:rPr>
        <w:t xml:space="preserve"> </w:t>
      </w:r>
      <w:r w:rsidRPr="00454670">
        <w:rPr>
          <w:color w:val="000000"/>
          <w:szCs w:val="20"/>
        </w:rPr>
        <w:t>purposes</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determining</w:t>
      </w:r>
      <w:r w:rsidR="00C64050">
        <w:rPr>
          <w:color w:val="000000"/>
          <w:szCs w:val="20"/>
        </w:rPr>
        <w:t xml:space="preserve"> </w:t>
      </w:r>
      <w:r w:rsidRPr="00454670">
        <w:rPr>
          <w:color w:val="000000"/>
          <w:szCs w:val="20"/>
        </w:rPr>
        <w:t>both</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estate's</w:t>
      </w:r>
      <w:r w:rsidR="00C64050">
        <w:rPr>
          <w:color w:val="000000"/>
          <w:szCs w:val="20"/>
        </w:rPr>
        <w:t xml:space="preserve"> </w:t>
      </w:r>
      <w:r w:rsidRPr="00454670">
        <w:rPr>
          <w:color w:val="000000"/>
          <w:szCs w:val="20"/>
        </w:rPr>
        <w:t>eligibility</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make</w:t>
      </w:r>
      <w:r w:rsidR="00C64050">
        <w:rPr>
          <w:color w:val="000000"/>
          <w:szCs w:val="20"/>
        </w:rPr>
        <w:t xml:space="preserve"> </w:t>
      </w:r>
      <w:r w:rsidRPr="00454670">
        <w:rPr>
          <w:color w:val="000000"/>
          <w:szCs w:val="20"/>
        </w:rPr>
        <w:t>an</w:t>
      </w:r>
      <w:r w:rsidR="00C64050">
        <w:rPr>
          <w:color w:val="000000"/>
          <w:szCs w:val="20"/>
        </w:rPr>
        <w:t xml:space="preserve"> </w:t>
      </w:r>
      <w:r w:rsidRPr="00454670">
        <w:rPr>
          <w:color w:val="000000"/>
          <w:szCs w:val="20"/>
        </w:rPr>
        <w:t>election</w:t>
      </w:r>
      <w:r w:rsidR="00C64050">
        <w:rPr>
          <w:color w:val="000000"/>
          <w:szCs w:val="20"/>
        </w:rPr>
        <w:t xml:space="preserve"> </w:t>
      </w:r>
      <w:r w:rsidRPr="00454670">
        <w:rPr>
          <w:color w:val="000000"/>
          <w:szCs w:val="20"/>
        </w:rPr>
        <w:t>under</w:t>
      </w:r>
      <w:r w:rsidR="00C64050">
        <w:rPr>
          <w:color w:val="000000"/>
          <w:szCs w:val="20"/>
        </w:rPr>
        <w:t xml:space="preserve"> </w:t>
      </w:r>
      <w:r w:rsidRPr="00454670">
        <w:rPr>
          <w:color w:val="000000"/>
          <w:szCs w:val="20"/>
        </w:rPr>
        <w:t>§2032</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on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alternate</w:t>
      </w:r>
      <w:r w:rsidR="00C64050">
        <w:rPr>
          <w:color w:val="000000"/>
          <w:szCs w:val="20"/>
        </w:rPr>
        <w:t xml:space="preserve"> </w:t>
      </w:r>
      <w:r w:rsidRPr="00454670">
        <w:rPr>
          <w:color w:val="000000"/>
          <w:szCs w:val="20"/>
        </w:rPr>
        <w:t>valuation</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as</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death</w:t>
      </w:r>
      <w:r w:rsidR="00C64050">
        <w:rPr>
          <w:color w:val="000000"/>
          <w:szCs w:val="20"/>
        </w:rPr>
        <w:t xml:space="preserve"> </w:t>
      </w:r>
      <w:r w:rsidRPr="00454670">
        <w:rPr>
          <w:color w:val="000000"/>
          <w:szCs w:val="20"/>
        </w:rPr>
        <w:t>must</w:t>
      </w:r>
      <w:r w:rsidR="00C64050">
        <w:rPr>
          <w:color w:val="000000"/>
          <w:szCs w:val="20"/>
        </w:rPr>
        <w:t xml:space="preserve"> </w:t>
      </w:r>
      <w:r w:rsidRPr="00454670">
        <w:rPr>
          <w:color w:val="000000"/>
          <w:szCs w:val="20"/>
        </w:rPr>
        <w:t>be</w:t>
      </w:r>
      <w:r w:rsidR="00C64050">
        <w:rPr>
          <w:color w:val="000000"/>
          <w:szCs w:val="20"/>
        </w:rPr>
        <w:t xml:space="preserve"> </w:t>
      </w:r>
      <w:r w:rsidRPr="00454670">
        <w:rPr>
          <w:color w:val="000000"/>
          <w:szCs w:val="20"/>
        </w:rPr>
        <w:t>compared</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that</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as</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alternate</w:t>
      </w:r>
      <w:r w:rsidR="00C64050">
        <w:rPr>
          <w:color w:val="000000"/>
          <w:szCs w:val="20"/>
        </w:rPr>
        <w:t xml:space="preserve"> </w:t>
      </w:r>
      <w:r w:rsidRPr="00454670">
        <w:rPr>
          <w:color w:val="000000"/>
          <w:szCs w:val="20"/>
        </w:rPr>
        <w:t>valuation</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each</w:t>
      </w:r>
      <w:r w:rsidR="00C64050">
        <w:rPr>
          <w:color w:val="000000"/>
          <w:szCs w:val="20"/>
        </w:rPr>
        <w:t xml:space="preserve"> </w:t>
      </w:r>
      <w:r w:rsidRPr="00454670">
        <w:rPr>
          <w:color w:val="000000"/>
          <w:szCs w:val="20"/>
        </w:rPr>
        <w:t>case</w:t>
      </w:r>
      <w:r w:rsidR="00C64050">
        <w:rPr>
          <w:color w:val="000000"/>
          <w:szCs w:val="20"/>
        </w:rPr>
        <w:t xml:space="preserve"> </w:t>
      </w:r>
      <w:r w:rsidRPr="00454670">
        <w:rPr>
          <w:color w:val="000000"/>
          <w:szCs w:val="20"/>
        </w:rPr>
        <w:t>as</w:t>
      </w:r>
      <w:r w:rsidR="00C64050">
        <w:rPr>
          <w:color w:val="000000"/>
          <w:szCs w:val="20"/>
        </w:rPr>
        <w:t xml:space="preserve"> </w:t>
      </w:r>
      <w:r w:rsidRPr="00454670">
        <w:rPr>
          <w:color w:val="000000"/>
          <w:szCs w:val="20"/>
        </w:rPr>
        <w:t>that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adjusted</w:t>
      </w:r>
      <w:r w:rsidR="00C64050">
        <w:rPr>
          <w:color w:val="000000"/>
          <w:szCs w:val="20"/>
        </w:rPr>
        <w:t xml:space="preserve"> </w:t>
      </w:r>
      <w:r w:rsidRPr="00454670">
        <w:rPr>
          <w:color w:val="000000"/>
          <w:szCs w:val="20"/>
        </w:rPr>
        <w:t>by</w:t>
      </w:r>
      <w:r w:rsidR="00C64050">
        <w:rPr>
          <w:color w:val="000000"/>
          <w:szCs w:val="20"/>
        </w:rPr>
        <w:t xml:space="preserve"> </w:t>
      </w:r>
      <w:r w:rsidRPr="00454670">
        <w:rPr>
          <w:color w:val="000000"/>
          <w:szCs w:val="20"/>
        </w:rPr>
        <w:t>reason</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existence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conservation</w:t>
      </w:r>
      <w:r w:rsidR="00C64050">
        <w:rPr>
          <w:color w:val="000000"/>
          <w:szCs w:val="20"/>
        </w:rPr>
        <w:t xml:space="preserve"> </w:t>
      </w:r>
      <w:r w:rsidRPr="00454670">
        <w:rPr>
          <w:color w:val="000000"/>
          <w:szCs w:val="20"/>
        </w:rPr>
        <w:t>easement.</w:t>
      </w:r>
      <w:r w:rsidR="00C64050">
        <w:rPr>
          <w:color w:val="000000"/>
          <w:szCs w:val="20"/>
        </w:rPr>
        <w:t xml:space="preserve"> </w:t>
      </w:r>
    </w:p>
    <w:p w:rsidR="00485DB9" w:rsidRPr="00454670" w:rsidRDefault="00856D6A">
      <w:pPr>
        <w:pStyle w:val="Body15"/>
        <w:rPr>
          <w:color w:val="000000"/>
          <w:szCs w:val="20"/>
        </w:rPr>
      </w:pPr>
      <w:r w:rsidRPr="00454670">
        <w:rPr>
          <w:color w:val="000000"/>
          <w:szCs w:val="20"/>
        </w:rPr>
        <w:t>Retirement</w:t>
      </w:r>
      <w:r w:rsidR="00C64050">
        <w:rPr>
          <w:color w:val="000000"/>
          <w:szCs w:val="20"/>
        </w:rPr>
        <w:t xml:space="preserve"> </w:t>
      </w:r>
      <w:r w:rsidRPr="00454670">
        <w:rPr>
          <w:color w:val="000000"/>
          <w:szCs w:val="20"/>
        </w:rPr>
        <w:t>plans</w:t>
      </w:r>
      <w:r w:rsidR="00C64050">
        <w:rPr>
          <w:color w:val="000000"/>
          <w:szCs w:val="20"/>
        </w:rPr>
        <w:t xml:space="preserve"> </w:t>
      </w:r>
      <w:r w:rsidRPr="00454670">
        <w:rPr>
          <w:color w:val="000000"/>
          <w:szCs w:val="20"/>
        </w:rPr>
        <w:t>are</w:t>
      </w:r>
      <w:r w:rsidR="00C64050">
        <w:rPr>
          <w:color w:val="000000"/>
          <w:szCs w:val="20"/>
        </w:rPr>
        <w:t xml:space="preserve"> </w:t>
      </w:r>
      <w:r w:rsidRPr="00454670">
        <w:rPr>
          <w:color w:val="000000"/>
          <w:szCs w:val="20"/>
        </w:rPr>
        <w:t>specifically</w:t>
      </w:r>
      <w:r w:rsidR="00C64050">
        <w:rPr>
          <w:color w:val="000000"/>
          <w:szCs w:val="20"/>
        </w:rPr>
        <w:t xml:space="preserve"> </w:t>
      </w:r>
      <w:r w:rsidRPr="00454670">
        <w:rPr>
          <w:color w:val="000000"/>
          <w:szCs w:val="20"/>
        </w:rPr>
        <w:t>discussed.</w:t>
      </w:r>
      <w:r w:rsidR="00C64050">
        <w:rPr>
          <w:color w:val="000000"/>
          <w:szCs w:val="20"/>
        </w:rPr>
        <w:t xml:space="preserve">  </w:t>
      </w:r>
      <w:r w:rsidRPr="00454670">
        <w:rPr>
          <w:color w:val="000000"/>
          <w:szCs w:val="20"/>
        </w:rPr>
        <w:t>Alternate</w:t>
      </w:r>
      <w:r w:rsidR="00C64050">
        <w:rPr>
          <w:color w:val="000000"/>
          <w:szCs w:val="20"/>
        </w:rPr>
        <w:t xml:space="preserve"> </w:t>
      </w:r>
      <w:r w:rsidRPr="00454670">
        <w:rPr>
          <w:color w:val="000000"/>
          <w:szCs w:val="20"/>
        </w:rPr>
        <w:t>valuation</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available.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Proposed</w:t>
      </w:r>
      <w:r w:rsidR="00C64050">
        <w:rPr>
          <w:color w:val="000000"/>
          <w:szCs w:val="20"/>
        </w:rPr>
        <w:t xml:space="preserve"> </w:t>
      </w:r>
      <w:r w:rsidRPr="00454670">
        <w:rPr>
          <w:color w:val="000000"/>
          <w:szCs w:val="20"/>
        </w:rPr>
        <w:t>Regulations</w:t>
      </w:r>
      <w:r w:rsidR="00C64050">
        <w:rPr>
          <w:color w:val="000000"/>
          <w:szCs w:val="20"/>
        </w:rPr>
        <w:t xml:space="preserve"> </w:t>
      </w:r>
      <w:r w:rsidRPr="00454670">
        <w:rPr>
          <w:color w:val="000000"/>
          <w:szCs w:val="20"/>
        </w:rPr>
        <w:t>provide:</w:t>
      </w:r>
    </w:p>
    <w:p w:rsidR="00485DB9" w:rsidRPr="00454670" w:rsidRDefault="00856D6A" w:rsidP="00E54F20">
      <w:pPr>
        <w:pStyle w:val="QS10"/>
        <w:rPr>
          <w:color w:val="000000"/>
          <w:szCs w:val="20"/>
        </w:rPr>
      </w:pPr>
      <w:r w:rsidRPr="00454670">
        <w:rPr>
          <w:color w:val="000000"/>
          <w:szCs w:val="20"/>
        </w:rPr>
        <w:t>(iii)</w:t>
      </w:r>
      <w:r w:rsidR="00C64050">
        <w:rPr>
          <w:color w:val="000000"/>
          <w:szCs w:val="20"/>
        </w:rPr>
        <w:t xml:space="preserve"> </w:t>
      </w:r>
      <w:r w:rsidRPr="00454670">
        <w:rPr>
          <w:color w:val="000000"/>
          <w:szCs w:val="20"/>
        </w:rPr>
        <w:t>Distributions</w:t>
      </w:r>
      <w:r w:rsidR="00C64050">
        <w:rPr>
          <w:color w:val="000000"/>
          <w:szCs w:val="20"/>
        </w:rPr>
        <w:t xml:space="preserve"> </w:t>
      </w:r>
      <w:r w:rsidRPr="00454670">
        <w:rPr>
          <w:color w:val="000000"/>
          <w:szCs w:val="20"/>
        </w:rPr>
        <w:t>from</w:t>
      </w:r>
      <w:r w:rsidR="00C64050">
        <w:rPr>
          <w:color w:val="000000"/>
          <w:szCs w:val="20"/>
        </w:rPr>
        <w:t xml:space="preserve"> </w:t>
      </w:r>
      <w:r w:rsidRPr="00454670">
        <w:rPr>
          <w:color w:val="000000"/>
          <w:szCs w:val="20"/>
        </w:rPr>
        <w:t>an</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entity</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which</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decedent</w:t>
      </w:r>
      <w:r w:rsidR="00C64050">
        <w:rPr>
          <w:color w:val="000000"/>
          <w:szCs w:val="20"/>
        </w:rPr>
        <w:t xml:space="preserve"> </w:t>
      </w:r>
      <w:r w:rsidRPr="00454670">
        <w:rPr>
          <w:color w:val="000000"/>
          <w:szCs w:val="20"/>
        </w:rPr>
        <w:t>held</w:t>
      </w:r>
      <w:r w:rsidR="00C64050">
        <w:rPr>
          <w:color w:val="000000"/>
          <w:szCs w:val="20"/>
        </w:rPr>
        <w:t xml:space="preserve"> </w:t>
      </w:r>
      <w:r w:rsidRPr="00454670">
        <w:rPr>
          <w:color w:val="000000"/>
          <w:szCs w:val="20"/>
        </w:rPr>
        <w:t>an</w:t>
      </w:r>
      <w:r w:rsidR="00C64050">
        <w:rPr>
          <w:color w:val="000000"/>
          <w:szCs w:val="20"/>
        </w:rPr>
        <w:t xml:space="preserve"> </w:t>
      </w:r>
      <w:r w:rsidRPr="00454670">
        <w:rPr>
          <w:color w:val="000000"/>
          <w:szCs w:val="20"/>
        </w:rPr>
        <w:t>interest</w:t>
      </w:r>
      <w:r w:rsidR="00C64050">
        <w:rPr>
          <w:color w:val="000000"/>
          <w:szCs w:val="20"/>
        </w:rPr>
        <w:t xml:space="preserve"> </w:t>
      </w:r>
      <w:r w:rsidRPr="00454670">
        <w:rPr>
          <w:color w:val="000000"/>
          <w:szCs w:val="20"/>
        </w:rPr>
        <w:t>at</w:t>
      </w:r>
      <w:r w:rsidR="00C64050">
        <w:rPr>
          <w:color w:val="000000"/>
          <w:szCs w:val="20"/>
        </w:rPr>
        <w:t xml:space="preserve"> </w:t>
      </w:r>
      <w:r w:rsidRPr="00454670">
        <w:rPr>
          <w:color w:val="000000"/>
          <w:szCs w:val="20"/>
        </w:rPr>
        <w:t>death.</w:t>
      </w:r>
      <w:r w:rsidR="00C64050">
        <w:rPr>
          <w:color w:val="000000"/>
          <w:szCs w:val="20"/>
        </w:rPr>
        <w:t xml:space="preserve"> </w:t>
      </w:r>
    </w:p>
    <w:p w:rsidR="00485DB9" w:rsidRPr="00454670" w:rsidRDefault="00856D6A" w:rsidP="00E54F20">
      <w:pPr>
        <w:pStyle w:val="QS10"/>
        <w:rPr>
          <w:color w:val="000000"/>
          <w:szCs w:val="20"/>
        </w:rPr>
      </w:pPr>
      <w:r w:rsidRPr="00454670">
        <w:rPr>
          <w:color w:val="000000"/>
          <w:szCs w:val="20"/>
        </w:rPr>
        <w:t>(A)</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general.</w:t>
      </w:r>
      <w:r w:rsidR="00C64050">
        <w:rPr>
          <w:color w:val="000000"/>
          <w:szCs w:val="20"/>
        </w:rPr>
        <w:t xml:space="preserve"> </w:t>
      </w:r>
      <w:r w:rsidRPr="00454670">
        <w:rPr>
          <w:color w:val="000000"/>
          <w:szCs w:val="20"/>
        </w:rPr>
        <w:t>If</w:t>
      </w:r>
      <w:r w:rsidR="00C64050">
        <w:rPr>
          <w:color w:val="000000"/>
          <w:szCs w:val="20"/>
        </w:rPr>
        <w:t xml:space="preserve"> </w:t>
      </w:r>
      <w:r w:rsidRPr="00454670">
        <w:rPr>
          <w:color w:val="000000"/>
          <w:szCs w:val="20"/>
        </w:rPr>
        <w:t>during</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alternate</w:t>
      </w:r>
      <w:r w:rsidR="00C64050">
        <w:rPr>
          <w:color w:val="000000"/>
          <w:szCs w:val="20"/>
        </w:rPr>
        <w:t xml:space="preserve"> </w:t>
      </w:r>
      <w:r w:rsidRPr="00454670">
        <w:rPr>
          <w:color w:val="000000"/>
          <w:szCs w:val="20"/>
        </w:rPr>
        <w:t>valuation</w:t>
      </w:r>
      <w:r w:rsidR="00C64050">
        <w:rPr>
          <w:color w:val="000000"/>
          <w:szCs w:val="20"/>
        </w:rPr>
        <w:t xml:space="preserve"> </w:t>
      </w:r>
      <w:r w:rsidRPr="00454670">
        <w:rPr>
          <w:color w:val="000000"/>
          <w:szCs w:val="20"/>
        </w:rPr>
        <w:t>period,</w:t>
      </w:r>
      <w:r w:rsidR="00C64050">
        <w:rPr>
          <w:color w:val="000000"/>
          <w:szCs w:val="20"/>
        </w:rPr>
        <w:t xml:space="preserve"> </w:t>
      </w:r>
      <w:r w:rsidRPr="00454670">
        <w:rPr>
          <w:color w:val="000000"/>
          <w:szCs w:val="20"/>
        </w:rPr>
        <w:t>an</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other</w:t>
      </w:r>
      <w:r w:rsidR="00C64050">
        <w:rPr>
          <w:color w:val="000000"/>
          <w:szCs w:val="20"/>
        </w:rPr>
        <w:t xml:space="preserve"> </w:t>
      </w:r>
      <w:r w:rsidRPr="00454670">
        <w:rPr>
          <w:color w:val="000000"/>
          <w:szCs w:val="20"/>
        </w:rPr>
        <w:t>holder</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decedent's</w:t>
      </w:r>
      <w:r w:rsidR="00C64050">
        <w:rPr>
          <w:color w:val="000000"/>
          <w:szCs w:val="20"/>
        </w:rPr>
        <w:t xml:space="preserve"> </w:t>
      </w:r>
      <w:r w:rsidRPr="00454670">
        <w:rPr>
          <w:color w:val="000000"/>
          <w:szCs w:val="20"/>
        </w:rPr>
        <w:t>interest)</w:t>
      </w:r>
      <w:r w:rsidR="00C64050">
        <w:rPr>
          <w:color w:val="000000"/>
          <w:szCs w:val="20"/>
        </w:rPr>
        <w:t xml:space="preserve"> </w:t>
      </w:r>
      <w:r w:rsidRPr="00454670">
        <w:rPr>
          <w:color w:val="000000"/>
          <w:szCs w:val="20"/>
        </w:rPr>
        <w:t>receives</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distribution</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disbursement</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extent</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distribution</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disbursement</w:t>
      </w:r>
      <w:r w:rsidR="00C64050">
        <w:rPr>
          <w:color w:val="000000"/>
          <w:szCs w:val="20"/>
        </w:rPr>
        <w:t xml:space="preserve"> </w:t>
      </w:r>
      <w:r w:rsidRPr="00454670">
        <w:rPr>
          <w:color w:val="000000"/>
          <w:szCs w:val="20"/>
        </w:rPr>
        <w:t>consists</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included</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as</w:t>
      </w:r>
      <w:r w:rsidR="00C64050">
        <w:rPr>
          <w:color w:val="000000"/>
          <w:szCs w:val="20"/>
        </w:rPr>
        <w:t xml:space="preserve"> </w:t>
      </w:r>
      <w:r w:rsidRPr="00454670">
        <w:rPr>
          <w:color w:val="000000"/>
          <w:szCs w:val="20"/>
        </w:rPr>
        <w:t>defined</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paragraph</w:t>
      </w:r>
      <w:r w:rsidR="00C64050">
        <w:rPr>
          <w:color w:val="000000"/>
          <w:szCs w:val="20"/>
        </w:rPr>
        <w:t xml:space="preserve"> </w:t>
      </w:r>
      <w:r w:rsidRPr="00454670">
        <w:rPr>
          <w:color w:val="000000"/>
          <w:szCs w:val="20"/>
        </w:rPr>
        <w:t>(d)</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this</w:t>
      </w:r>
      <w:r w:rsidR="00C64050">
        <w:rPr>
          <w:color w:val="000000"/>
          <w:szCs w:val="20"/>
        </w:rPr>
        <w:t xml:space="preserve"> </w:t>
      </w:r>
      <w:r w:rsidRPr="00454670">
        <w:rPr>
          <w:color w:val="000000"/>
          <w:szCs w:val="20"/>
        </w:rPr>
        <w:t>section)</w:t>
      </w:r>
      <w:r w:rsidR="00C64050">
        <w:rPr>
          <w:color w:val="000000"/>
          <w:szCs w:val="20"/>
        </w:rPr>
        <w:t xml:space="preserve"> </w:t>
      </w:r>
      <w:r w:rsidRPr="00454670">
        <w:rPr>
          <w:color w:val="000000"/>
          <w:szCs w:val="20"/>
        </w:rPr>
        <w:t>(payment)</w:t>
      </w:r>
      <w:r w:rsidR="00C64050">
        <w:rPr>
          <w:color w:val="000000"/>
          <w:szCs w:val="20"/>
        </w:rPr>
        <w:t xml:space="preserve"> </w:t>
      </w:r>
      <w:r w:rsidRPr="00454670">
        <w:rPr>
          <w:color w:val="000000"/>
          <w:szCs w:val="20"/>
        </w:rPr>
        <w:t>from</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partnership,</w:t>
      </w:r>
      <w:r w:rsidR="00C64050">
        <w:rPr>
          <w:color w:val="000000"/>
          <w:szCs w:val="20"/>
        </w:rPr>
        <w:t xml:space="preserve"> </w:t>
      </w:r>
      <w:r w:rsidRPr="00454670">
        <w:rPr>
          <w:color w:val="000000"/>
          <w:szCs w:val="20"/>
        </w:rPr>
        <w:t>corporation,</w:t>
      </w:r>
      <w:r w:rsidR="00C64050">
        <w:rPr>
          <w:color w:val="000000"/>
          <w:szCs w:val="20"/>
        </w:rPr>
        <w:t xml:space="preserve"> </w:t>
      </w:r>
      <w:r w:rsidRPr="00454670">
        <w:rPr>
          <w:color w:val="000000"/>
          <w:szCs w:val="20"/>
        </w:rPr>
        <w:t>trust</w:t>
      </w:r>
      <w:r w:rsidR="00C64050">
        <w:rPr>
          <w:color w:val="000000"/>
          <w:szCs w:val="20"/>
        </w:rPr>
        <w:t xml:space="preserve"> </w:t>
      </w:r>
      <w:r w:rsidRPr="00454670">
        <w:rPr>
          <w:color w:val="000000"/>
          <w:szCs w:val="20"/>
        </w:rPr>
        <w:t>(including</w:t>
      </w:r>
      <w:r w:rsidR="00C64050">
        <w:rPr>
          <w:color w:val="000000"/>
          <w:szCs w:val="20"/>
        </w:rPr>
        <w:t xml:space="preserve"> </w:t>
      </w:r>
      <w:r w:rsidRPr="00454670">
        <w:rPr>
          <w:color w:val="000000"/>
          <w:szCs w:val="20"/>
        </w:rPr>
        <w:t>an</w:t>
      </w:r>
      <w:r w:rsidR="00C64050">
        <w:rPr>
          <w:color w:val="000000"/>
          <w:szCs w:val="20"/>
        </w:rPr>
        <w:t xml:space="preserve"> </w:t>
      </w:r>
      <w:r w:rsidRPr="00454670">
        <w:rPr>
          <w:color w:val="000000"/>
          <w:szCs w:val="20"/>
        </w:rPr>
        <w:t>IRA,</w:t>
      </w:r>
      <w:r w:rsidR="00C64050">
        <w:rPr>
          <w:color w:val="000000"/>
          <w:szCs w:val="20"/>
        </w:rPr>
        <w:t xml:space="preserve"> </w:t>
      </w:r>
      <w:r w:rsidRPr="00454670">
        <w:rPr>
          <w:color w:val="000000"/>
          <w:szCs w:val="20"/>
        </w:rPr>
        <w:t>Roth</w:t>
      </w:r>
      <w:r w:rsidR="00C64050">
        <w:rPr>
          <w:color w:val="000000"/>
          <w:szCs w:val="20"/>
        </w:rPr>
        <w:t xml:space="preserve"> </w:t>
      </w:r>
      <w:r w:rsidRPr="00454670">
        <w:rPr>
          <w:color w:val="000000"/>
          <w:szCs w:val="20"/>
        </w:rPr>
        <w:t>IRA,</w:t>
      </w:r>
      <w:r w:rsidR="00C64050">
        <w:rPr>
          <w:color w:val="000000"/>
          <w:szCs w:val="20"/>
        </w:rPr>
        <w:t xml:space="preserve"> </w:t>
      </w:r>
      <w:r w:rsidRPr="00454670">
        <w:rPr>
          <w:color w:val="000000"/>
          <w:szCs w:val="20"/>
        </w:rPr>
        <w:t>403(b),</w:t>
      </w:r>
      <w:r w:rsidR="00C64050">
        <w:rPr>
          <w:color w:val="000000"/>
          <w:szCs w:val="20"/>
        </w:rPr>
        <w:t xml:space="preserve"> </w:t>
      </w:r>
      <w:r w:rsidRPr="00454670">
        <w:rPr>
          <w:color w:val="000000"/>
          <w:szCs w:val="20"/>
        </w:rPr>
        <w:t>401(k),</w:t>
      </w:r>
      <w:r w:rsidR="00C64050">
        <w:rPr>
          <w:color w:val="000000"/>
          <w:szCs w:val="20"/>
        </w:rPr>
        <w:t xml:space="preserve"> </w:t>
      </w:r>
      <w:r w:rsidRPr="00454670">
        <w:rPr>
          <w:color w:val="000000"/>
          <w:szCs w:val="20"/>
        </w:rPr>
        <w:t>Thrift</w:t>
      </w:r>
      <w:r w:rsidR="00C64050">
        <w:rPr>
          <w:color w:val="000000"/>
          <w:szCs w:val="20"/>
        </w:rPr>
        <w:t xml:space="preserve"> </w:t>
      </w:r>
      <w:r w:rsidRPr="00454670">
        <w:rPr>
          <w:color w:val="000000"/>
          <w:szCs w:val="20"/>
        </w:rPr>
        <w:t>Savings</w:t>
      </w:r>
      <w:r w:rsidR="00C64050">
        <w:rPr>
          <w:color w:val="000000"/>
          <w:szCs w:val="20"/>
        </w:rPr>
        <w:t xml:space="preserve"> </w:t>
      </w:r>
      <w:r w:rsidRPr="00454670">
        <w:rPr>
          <w:color w:val="000000"/>
          <w:szCs w:val="20"/>
        </w:rPr>
        <w:t>Plan,</w:t>
      </w:r>
      <w:r w:rsidR="00C64050">
        <w:rPr>
          <w:color w:val="000000"/>
          <w:szCs w:val="20"/>
        </w:rPr>
        <w:t xml:space="preserve"> </w:t>
      </w:r>
      <w:r w:rsidRPr="00454670">
        <w:rPr>
          <w:color w:val="000000"/>
          <w:szCs w:val="20"/>
        </w:rPr>
        <w:t>etc.),</w:t>
      </w:r>
      <w:r w:rsidR="00C64050">
        <w:rPr>
          <w:color w:val="000000"/>
          <w:szCs w:val="20"/>
        </w:rPr>
        <w:t xml:space="preserve"> </w:t>
      </w:r>
      <w:r w:rsidRPr="00454670">
        <w:rPr>
          <w:color w:val="000000"/>
          <w:szCs w:val="20"/>
        </w:rPr>
        <w:t>bank</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similar</w:t>
      </w:r>
      <w:r w:rsidR="00C64050">
        <w:rPr>
          <w:color w:val="000000"/>
          <w:szCs w:val="20"/>
        </w:rPr>
        <w:t xml:space="preserve"> </w:t>
      </w:r>
      <w:r w:rsidRPr="00454670">
        <w:rPr>
          <w:color w:val="000000"/>
          <w:szCs w:val="20"/>
        </w:rPr>
        <w:t>asset,</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other</w:t>
      </w:r>
      <w:r w:rsidR="00C64050">
        <w:rPr>
          <w:color w:val="000000"/>
          <w:szCs w:val="20"/>
        </w:rPr>
        <w:t xml:space="preserve"> </w:t>
      </w:r>
      <w:r w:rsidRPr="00454670">
        <w:rPr>
          <w:color w:val="000000"/>
          <w:szCs w:val="20"/>
        </w:rPr>
        <w:t>entity</w:t>
      </w:r>
      <w:r w:rsidR="00C64050">
        <w:rPr>
          <w:color w:val="000000"/>
          <w:szCs w:val="20"/>
        </w:rPr>
        <w:t xml:space="preserve"> </w:t>
      </w:r>
      <w:r w:rsidRPr="00454670">
        <w:rPr>
          <w:color w:val="000000"/>
          <w:szCs w:val="20"/>
        </w:rPr>
        <w:t>(entity),</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an</w:t>
      </w:r>
      <w:r w:rsidR="00C64050">
        <w:rPr>
          <w:color w:val="000000"/>
          <w:szCs w:val="20"/>
        </w:rPr>
        <w:t xml:space="preserve"> </w:t>
      </w:r>
      <w:r w:rsidRPr="00454670">
        <w:rPr>
          <w:color w:val="000000"/>
          <w:szCs w:val="20"/>
        </w:rPr>
        <w:t>interest</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that</w:t>
      </w:r>
      <w:r w:rsidR="00C64050">
        <w:rPr>
          <w:color w:val="000000"/>
          <w:szCs w:val="20"/>
        </w:rPr>
        <w:t xml:space="preserve"> </w:t>
      </w:r>
      <w:r w:rsidRPr="00454670">
        <w:rPr>
          <w:color w:val="000000"/>
          <w:szCs w:val="20"/>
        </w:rPr>
        <w:t>entity</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includible</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gross</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payment</w:t>
      </w:r>
      <w:r w:rsidR="00C64050">
        <w:rPr>
          <w:color w:val="000000"/>
          <w:szCs w:val="20"/>
        </w:rPr>
        <w:t xml:space="preserve"> </w:t>
      </w:r>
      <w:r w:rsidRPr="00454670">
        <w:rPr>
          <w:color w:val="000000"/>
          <w:szCs w:val="20"/>
        </w:rPr>
        <w:t>does</w:t>
      </w:r>
      <w:r w:rsidR="00C64050">
        <w:rPr>
          <w:color w:val="000000"/>
          <w:szCs w:val="20"/>
        </w:rPr>
        <w:t xml:space="preserve"> </w:t>
      </w:r>
      <w:r w:rsidRPr="00454670">
        <w:rPr>
          <w:color w:val="000000"/>
          <w:szCs w:val="20"/>
        </w:rPr>
        <w:t>not</w:t>
      </w:r>
      <w:r w:rsidR="00C64050">
        <w:rPr>
          <w:color w:val="000000"/>
          <w:szCs w:val="20"/>
        </w:rPr>
        <w:t xml:space="preserve"> </w:t>
      </w:r>
      <w:r w:rsidRPr="00454670">
        <w:rPr>
          <w:color w:val="000000"/>
          <w:szCs w:val="20"/>
        </w:rPr>
        <w:t>result</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distribution</w:t>
      </w:r>
      <w:r w:rsidR="00C64050">
        <w:rPr>
          <w:color w:val="000000"/>
          <w:szCs w:val="20"/>
        </w:rPr>
        <w:t xml:space="preserve"> </w:t>
      </w:r>
      <w:r w:rsidRPr="00454670">
        <w:rPr>
          <w:color w:val="000000"/>
          <w:szCs w:val="20"/>
        </w:rPr>
        <w:t>under</w:t>
      </w:r>
      <w:r w:rsidR="00C64050">
        <w:rPr>
          <w:color w:val="000000"/>
          <w:szCs w:val="20"/>
        </w:rPr>
        <w:t xml:space="preserve"> </w:t>
      </w:r>
      <w:r w:rsidRPr="00454670">
        <w:rPr>
          <w:color w:val="000000"/>
          <w:szCs w:val="20"/>
        </w:rPr>
        <w:t>paragraph</w:t>
      </w:r>
      <w:r w:rsidR="00C64050">
        <w:rPr>
          <w:color w:val="000000"/>
          <w:szCs w:val="20"/>
        </w:rPr>
        <w:t xml:space="preserve"> </w:t>
      </w:r>
      <w:r w:rsidRPr="00454670">
        <w:rPr>
          <w:color w:val="000000"/>
          <w:szCs w:val="20"/>
        </w:rPr>
        <w:t>(c)(1)(i)(I)</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this</w:t>
      </w:r>
      <w:r w:rsidR="00C64050">
        <w:rPr>
          <w:color w:val="000000"/>
          <w:szCs w:val="20"/>
        </w:rPr>
        <w:t xml:space="preserve"> </w:t>
      </w:r>
      <w:r w:rsidRPr="00454670">
        <w:rPr>
          <w:color w:val="000000"/>
          <w:szCs w:val="20"/>
        </w:rPr>
        <w:t>section.</w:t>
      </w:r>
      <w:r w:rsidR="00C64050">
        <w:rPr>
          <w:color w:val="000000"/>
          <w:szCs w:val="20"/>
        </w:rPr>
        <w:t xml:space="preserve"> </w:t>
      </w:r>
      <w:r w:rsidRPr="00454670">
        <w:rPr>
          <w:color w:val="000000"/>
          <w:szCs w:val="20"/>
        </w:rPr>
        <w:t>However,</w:t>
      </w:r>
      <w:r w:rsidR="00C64050">
        <w:rPr>
          <w:color w:val="000000"/>
          <w:szCs w:val="20"/>
        </w:rPr>
        <w:t xml:space="preserve"> </w:t>
      </w:r>
      <w:r w:rsidRPr="00454670">
        <w:rPr>
          <w:color w:val="000000"/>
          <w:szCs w:val="20"/>
        </w:rPr>
        <w:t>this</w:t>
      </w:r>
      <w:r w:rsidR="00C64050">
        <w:rPr>
          <w:color w:val="000000"/>
          <w:szCs w:val="20"/>
        </w:rPr>
        <w:t xml:space="preserve"> </w:t>
      </w:r>
      <w:r w:rsidRPr="00454670">
        <w:rPr>
          <w:color w:val="000000"/>
          <w:szCs w:val="20"/>
        </w:rPr>
        <w:t>rule</w:t>
      </w:r>
      <w:r w:rsidR="00C64050">
        <w:rPr>
          <w:color w:val="000000"/>
          <w:szCs w:val="20"/>
        </w:rPr>
        <w:t xml:space="preserve"> </w:t>
      </w:r>
      <w:r w:rsidRPr="00454670">
        <w:rPr>
          <w:color w:val="000000"/>
          <w:szCs w:val="20"/>
        </w:rPr>
        <w:t>applies</w:t>
      </w:r>
      <w:r w:rsidR="00C64050">
        <w:rPr>
          <w:color w:val="000000"/>
          <w:szCs w:val="20"/>
        </w:rPr>
        <w:t xml:space="preserve"> </w:t>
      </w:r>
      <w:r w:rsidRPr="00454670">
        <w:rPr>
          <w:color w:val="000000"/>
          <w:szCs w:val="20"/>
        </w:rPr>
        <w:t>only</w:t>
      </w:r>
      <w:r w:rsidR="00C64050">
        <w:rPr>
          <w:color w:val="000000"/>
          <w:szCs w:val="20"/>
        </w:rPr>
        <w:t xml:space="preserve"> </w:t>
      </w:r>
      <w:r w:rsidRPr="00454670">
        <w:rPr>
          <w:color w:val="000000"/>
          <w:szCs w:val="20"/>
        </w:rPr>
        <w:t>if,</w:t>
      </w:r>
      <w:r w:rsidR="00C64050">
        <w:rPr>
          <w:color w:val="000000"/>
          <w:szCs w:val="20"/>
        </w:rPr>
        <w:t xml:space="preserve"> </w:t>
      </w:r>
      <w:r w:rsidRPr="00454670">
        <w:rPr>
          <w:color w:val="000000"/>
          <w:szCs w:val="20"/>
        </w:rPr>
        <w:t>on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payment,</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decedent's</w:t>
      </w:r>
      <w:r w:rsidR="00C64050">
        <w:rPr>
          <w:color w:val="000000"/>
          <w:szCs w:val="20"/>
        </w:rPr>
        <w:t xml:space="preserve"> </w:t>
      </w:r>
      <w:r w:rsidRPr="00454670">
        <w:rPr>
          <w:color w:val="000000"/>
          <w:szCs w:val="20"/>
        </w:rPr>
        <w:t>interest</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entity</w:t>
      </w:r>
      <w:r w:rsidR="00C64050">
        <w:rPr>
          <w:color w:val="000000"/>
          <w:szCs w:val="20"/>
        </w:rPr>
        <w:t xml:space="preserve"> </w:t>
      </w:r>
      <w:r w:rsidRPr="00454670">
        <w:rPr>
          <w:color w:val="000000"/>
          <w:szCs w:val="20"/>
        </w:rPr>
        <w:t>before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payment</w:t>
      </w:r>
      <w:r w:rsidR="00C64050">
        <w:rPr>
          <w:color w:val="000000"/>
          <w:szCs w:val="20"/>
        </w:rPr>
        <w:t xml:space="preserve"> </w:t>
      </w:r>
      <w:r w:rsidRPr="00454670">
        <w:rPr>
          <w:color w:val="000000"/>
          <w:szCs w:val="20"/>
        </w:rPr>
        <w:t>equals</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sum</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payment</w:t>
      </w:r>
      <w:r w:rsidR="00C64050">
        <w:rPr>
          <w:color w:val="000000"/>
          <w:szCs w:val="20"/>
        </w:rPr>
        <w:t xml:space="preserve"> </w:t>
      </w:r>
      <w:r w:rsidRPr="00454670">
        <w:rPr>
          <w:color w:val="000000"/>
          <w:szCs w:val="20"/>
        </w:rPr>
        <w:t>made</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other</w:t>
      </w:r>
      <w:r w:rsidR="00C64050">
        <w:rPr>
          <w:color w:val="000000"/>
          <w:szCs w:val="20"/>
        </w:rPr>
        <w:t xml:space="preserve"> </w:t>
      </w:r>
      <w:r w:rsidRPr="00454670">
        <w:rPr>
          <w:color w:val="000000"/>
          <w:szCs w:val="20"/>
        </w:rPr>
        <w:t>holder</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decedent's</w:t>
      </w:r>
      <w:r w:rsidR="00C64050">
        <w:rPr>
          <w:color w:val="000000"/>
          <w:szCs w:val="20"/>
        </w:rPr>
        <w:t xml:space="preserve"> </w:t>
      </w:r>
      <w:r w:rsidRPr="00454670">
        <w:rPr>
          <w:color w:val="000000"/>
          <w:szCs w:val="20"/>
        </w:rPr>
        <w:t>interest</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entity)</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decedent's</w:t>
      </w:r>
      <w:r w:rsidR="00C64050">
        <w:rPr>
          <w:color w:val="000000"/>
          <w:szCs w:val="20"/>
        </w:rPr>
        <w:t xml:space="preserve"> </w:t>
      </w:r>
      <w:r w:rsidRPr="00454670">
        <w:rPr>
          <w:color w:val="000000"/>
          <w:szCs w:val="20"/>
        </w:rPr>
        <w:t>interest</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entity,</w:t>
      </w:r>
      <w:r w:rsidR="00C64050">
        <w:rPr>
          <w:color w:val="000000"/>
          <w:szCs w:val="20"/>
        </w:rPr>
        <w:t xml:space="preserve"> </w:t>
      </w:r>
      <w:r w:rsidRPr="00454670">
        <w:rPr>
          <w:color w:val="000000"/>
          <w:szCs w:val="20"/>
        </w:rPr>
        <w:t>not</w:t>
      </w:r>
      <w:r w:rsidR="00C64050">
        <w:rPr>
          <w:color w:val="000000"/>
          <w:szCs w:val="20"/>
        </w:rPr>
        <w:t xml:space="preserve"> </w:t>
      </w:r>
      <w:r w:rsidRPr="00454670">
        <w:rPr>
          <w:color w:val="000000"/>
          <w:szCs w:val="20"/>
        </w:rPr>
        <w:t>including</w:t>
      </w:r>
      <w:r w:rsidR="00C64050">
        <w:rPr>
          <w:color w:val="000000"/>
          <w:szCs w:val="20"/>
        </w:rPr>
        <w:t xml:space="preserve"> </w:t>
      </w:r>
      <w:r w:rsidRPr="00454670">
        <w:rPr>
          <w:color w:val="000000"/>
          <w:szCs w:val="20"/>
        </w:rPr>
        <w:t>any</w:t>
      </w:r>
      <w:r w:rsidR="00C64050">
        <w:rPr>
          <w:color w:val="000000"/>
          <w:szCs w:val="20"/>
        </w:rPr>
        <w:t xml:space="preserve"> </w:t>
      </w:r>
      <w:r w:rsidRPr="00454670">
        <w:rPr>
          <w:color w:val="000000"/>
          <w:szCs w:val="20"/>
        </w:rPr>
        <w:t>excluded</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after</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payment.</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this</w:t>
      </w:r>
      <w:r w:rsidR="00C64050">
        <w:rPr>
          <w:color w:val="000000"/>
          <w:szCs w:val="20"/>
        </w:rPr>
        <w:t xml:space="preserve"> </w:t>
      </w:r>
      <w:r w:rsidRPr="00454670">
        <w:rPr>
          <w:color w:val="000000"/>
          <w:szCs w:val="20"/>
        </w:rPr>
        <w:t>case,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alternate</w:t>
      </w:r>
      <w:r w:rsidR="00C64050">
        <w:rPr>
          <w:color w:val="000000"/>
          <w:szCs w:val="20"/>
        </w:rPr>
        <w:t xml:space="preserve"> </w:t>
      </w:r>
      <w:r w:rsidRPr="00454670">
        <w:rPr>
          <w:color w:val="000000"/>
          <w:szCs w:val="20"/>
        </w:rPr>
        <w:t>valuation</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payment</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payment,</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alternate</w:t>
      </w:r>
      <w:r w:rsidR="00C64050">
        <w:rPr>
          <w:color w:val="000000"/>
          <w:szCs w:val="20"/>
        </w:rPr>
        <w:t xml:space="preserve"> </w:t>
      </w:r>
      <w:r w:rsidRPr="00454670">
        <w:rPr>
          <w:color w:val="000000"/>
          <w:szCs w:val="20"/>
        </w:rPr>
        <w:t>valuation</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decedent's</w:t>
      </w:r>
      <w:r w:rsidR="00C64050">
        <w:rPr>
          <w:color w:val="000000"/>
          <w:szCs w:val="20"/>
        </w:rPr>
        <w:t xml:space="preserve"> </w:t>
      </w:r>
      <w:r w:rsidRPr="00454670">
        <w:rPr>
          <w:color w:val="000000"/>
          <w:szCs w:val="20"/>
        </w:rPr>
        <w:t>remaining</w:t>
      </w:r>
      <w:r w:rsidR="00C64050">
        <w:rPr>
          <w:color w:val="000000"/>
          <w:szCs w:val="20"/>
        </w:rPr>
        <w:t xml:space="preserve"> </w:t>
      </w:r>
      <w:r w:rsidRPr="00454670">
        <w:rPr>
          <w:color w:val="000000"/>
          <w:szCs w:val="20"/>
        </w:rPr>
        <w:t>interest</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entity,</w:t>
      </w:r>
      <w:r w:rsidR="00C64050">
        <w:rPr>
          <w:color w:val="000000"/>
          <w:szCs w:val="20"/>
        </w:rPr>
        <w:t xml:space="preserve"> </w:t>
      </w:r>
      <w:r w:rsidRPr="00454670">
        <w:rPr>
          <w:color w:val="000000"/>
          <w:szCs w:val="20"/>
        </w:rPr>
        <w:t>if</w:t>
      </w:r>
      <w:r w:rsidR="00C64050">
        <w:rPr>
          <w:color w:val="000000"/>
          <w:szCs w:val="20"/>
        </w:rPr>
        <w:t xml:space="preserve"> </w:t>
      </w:r>
      <w:r w:rsidRPr="00454670">
        <w:rPr>
          <w:color w:val="000000"/>
          <w:szCs w:val="20"/>
        </w:rPr>
        <w:t>any,</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6-month</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transaction</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if</w:t>
      </w:r>
      <w:r w:rsidR="00C64050">
        <w:rPr>
          <w:color w:val="000000"/>
          <w:szCs w:val="20"/>
        </w:rPr>
        <w:t xml:space="preserve"> </w:t>
      </w:r>
      <w:r w:rsidRPr="00454670">
        <w:rPr>
          <w:color w:val="000000"/>
          <w:szCs w:val="20"/>
        </w:rPr>
        <w:t>any,</w:t>
      </w:r>
      <w:r w:rsidR="00C64050">
        <w:rPr>
          <w:color w:val="000000"/>
          <w:szCs w:val="20"/>
        </w:rPr>
        <w:t xml:space="preserve"> </w:t>
      </w:r>
      <w:r w:rsidRPr="00454670">
        <w:rPr>
          <w:color w:val="000000"/>
          <w:szCs w:val="20"/>
        </w:rPr>
        <w:t>subsequent</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this</w:t>
      </w:r>
      <w:r w:rsidR="00C64050">
        <w:rPr>
          <w:color w:val="000000"/>
          <w:szCs w:val="20"/>
        </w:rPr>
        <w:t xml:space="preserve"> </w:t>
      </w:r>
      <w:r w:rsidRPr="00454670">
        <w:rPr>
          <w:color w:val="000000"/>
          <w:szCs w:val="20"/>
        </w:rPr>
        <w:t>payment).</w:t>
      </w:r>
      <w:r w:rsidR="00C64050">
        <w:rPr>
          <w:color w:val="000000"/>
          <w:szCs w:val="20"/>
        </w:rPr>
        <w:t xml:space="preserve"> </w:t>
      </w:r>
      <w:r w:rsidRPr="00454670">
        <w:rPr>
          <w:color w:val="000000"/>
          <w:szCs w:val="20"/>
        </w:rPr>
        <w:t>If</w:t>
      </w:r>
      <w:r w:rsidR="00C64050">
        <w:rPr>
          <w:color w:val="000000"/>
          <w:szCs w:val="20"/>
        </w:rPr>
        <w:t xml:space="preserve"> </w:t>
      </w:r>
      <w:r w:rsidRPr="00454670">
        <w:rPr>
          <w:color w:val="000000"/>
          <w:szCs w:val="20"/>
        </w:rPr>
        <w:t>this</w:t>
      </w:r>
      <w:r w:rsidR="00C64050">
        <w:rPr>
          <w:color w:val="000000"/>
          <w:szCs w:val="20"/>
        </w:rPr>
        <w:t xml:space="preserve"> </w:t>
      </w:r>
      <w:r w:rsidRPr="00454670">
        <w:rPr>
          <w:color w:val="000000"/>
          <w:szCs w:val="20"/>
        </w:rPr>
        <w:t>requirement</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not</w:t>
      </w:r>
      <w:r w:rsidR="00C64050">
        <w:rPr>
          <w:color w:val="000000"/>
          <w:szCs w:val="20"/>
        </w:rPr>
        <w:t xml:space="preserve"> </w:t>
      </w:r>
      <w:r w:rsidRPr="00454670">
        <w:rPr>
          <w:color w:val="000000"/>
          <w:szCs w:val="20"/>
        </w:rPr>
        <w:t>met,</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payment</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distribution</w:t>
      </w:r>
      <w:r w:rsidR="00C64050">
        <w:rPr>
          <w:color w:val="000000"/>
          <w:szCs w:val="20"/>
        </w:rPr>
        <w:t xml:space="preserve"> </w:t>
      </w:r>
      <w:r w:rsidRPr="00454670">
        <w:rPr>
          <w:color w:val="000000"/>
          <w:szCs w:val="20"/>
        </w:rPr>
        <w:t>under</w:t>
      </w:r>
      <w:r w:rsidR="00C64050">
        <w:rPr>
          <w:color w:val="000000"/>
          <w:szCs w:val="20"/>
        </w:rPr>
        <w:t xml:space="preserve"> </w:t>
      </w:r>
      <w:r w:rsidRPr="00454670">
        <w:rPr>
          <w:color w:val="000000"/>
          <w:szCs w:val="20"/>
        </w:rPr>
        <w:t>paragraph</w:t>
      </w:r>
      <w:r w:rsidR="00C64050">
        <w:rPr>
          <w:color w:val="000000"/>
          <w:szCs w:val="20"/>
        </w:rPr>
        <w:t xml:space="preserve"> </w:t>
      </w:r>
      <w:r w:rsidRPr="00454670">
        <w:rPr>
          <w:color w:val="000000"/>
          <w:szCs w:val="20"/>
        </w:rPr>
        <w:t>(c)(1)(i)</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this</w:t>
      </w:r>
      <w:r w:rsidR="00C64050">
        <w:rPr>
          <w:color w:val="000000"/>
          <w:szCs w:val="20"/>
        </w:rPr>
        <w:t xml:space="preserve"> </w:t>
      </w:r>
      <w:r w:rsidRPr="00454670">
        <w:rPr>
          <w:color w:val="000000"/>
          <w:szCs w:val="20"/>
        </w:rPr>
        <w:t>section,</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alternate</w:t>
      </w:r>
      <w:r w:rsidR="00C64050">
        <w:rPr>
          <w:color w:val="000000"/>
          <w:szCs w:val="20"/>
        </w:rPr>
        <w:t xml:space="preserve"> </w:t>
      </w:r>
      <w:r w:rsidRPr="00454670">
        <w:rPr>
          <w:color w:val="000000"/>
          <w:szCs w:val="20"/>
        </w:rPr>
        <w:t>valuation</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decedent's</w:t>
      </w:r>
      <w:r w:rsidR="00C64050">
        <w:rPr>
          <w:color w:val="000000"/>
          <w:szCs w:val="20"/>
        </w:rPr>
        <w:t xml:space="preserve"> </w:t>
      </w:r>
      <w:r w:rsidRPr="00454670">
        <w:rPr>
          <w:color w:val="000000"/>
          <w:szCs w:val="20"/>
        </w:rPr>
        <w:t>entire</w:t>
      </w:r>
      <w:r w:rsidR="00C64050">
        <w:rPr>
          <w:color w:val="000000"/>
          <w:szCs w:val="20"/>
        </w:rPr>
        <w:t xml:space="preserve"> </w:t>
      </w:r>
      <w:r w:rsidRPr="00454670">
        <w:rPr>
          <w:color w:val="000000"/>
          <w:szCs w:val="20"/>
        </w:rPr>
        <w:t>interest</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entity</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payment.</w:t>
      </w:r>
      <w:r w:rsidR="00C64050">
        <w:rPr>
          <w:color w:val="000000"/>
          <w:szCs w:val="20"/>
        </w:rPr>
        <w:t xml:space="preserve"> </w:t>
      </w:r>
      <w:r w:rsidRPr="00454670">
        <w:rPr>
          <w:color w:val="000000"/>
          <w:szCs w:val="20"/>
        </w:rPr>
        <w:t>For</w:t>
      </w:r>
      <w:r w:rsidR="00C64050">
        <w:rPr>
          <w:color w:val="000000"/>
          <w:szCs w:val="20"/>
        </w:rPr>
        <w:t xml:space="preserve"> </w:t>
      </w:r>
      <w:r w:rsidRPr="00454670">
        <w:rPr>
          <w:color w:val="000000"/>
          <w:szCs w:val="20"/>
        </w:rPr>
        <w:t>purposes</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this</w:t>
      </w:r>
      <w:r w:rsidR="00C64050">
        <w:rPr>
          <w:color w:val="000000"/>
          <w:szCs w:val="20"/>
        </w:rPr>
        <w:t xml:space="preserve"> </w:t>
      </w:r>
      <w:r w:rsidRPr="00454670">
        <w:rPr>
          <w:color w:val="000000"/>
          <w:szCs w:val="20"/>
        </w:rPr>
        <w:t>section,</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distribution</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disbursement</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deemed</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consist</w:t>
      </w:r>
      <w:r w:rsidR="00C64050">
        <w:rPr>
          <w:color w:val="000000"/>
          <w:szCs w:val="20"/>
        </w:rPr>
        <w:t xml:space="preserve"> </w:t>
      </w:r>
      <w:r w:rsidRPr="00454670">
        <w:rPr>
          <w:color w:val="000000"/>
          <w:szCs w:val="20"/>
        </w:rPr>
        <w:t>first</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excluded</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if</w:t>
      </w:r>
      <w:r w:rsidR="00C64050">
        <w:rPr>
          <w:color w:val="000000"/>
          <w:szCs w:val="20"/>
        </w:rPr>
        <w:t xml:space="preserve"> </w:t>
      </w:r>
      <w:r w:rsidRPr="00454670">
        <w:rPr>
          <w:color w:val="000000"/>
          <w:szCs w:val="20"/>
        </w:rPr>
        <w:t>any,</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then</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included</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as</w:t>
      </w:r>
      <w:r w:rsidR="00C64050">
        <w:rPr>
          <w:color w:val="000000"/>
          <w:szCs w:val="20"/>
        </w:rPr>
        <w:t xml:space="preserve"> </w:t>
      </w:r>
      <w:r w:rsidRPr="00454670">
        <w:rPr>
          <w:color w:val="000000"/>
          <w:szCs w:val="20"/>
        </w:rPr>
        <w:t>those</w:t>
      </w:r>
      <w:r w:rsidR="00C64050">
        <w:rPr>
          <w:color w:val="000000"/>
          <w:szCs w:val="20"/>
        </w:rPr>
        <w:t xml:space="preserve"> </w:t>
      </w:r>
      <w:r w:rsidRPr="00454670">
        <w:rPr>
          <w:color w:val="000000"/>
          <w:szCs w:val="20"/>
        </w:rPr>
        <w:t>terms</w:t>
      </w:r>
      <w:r w:rsidR="00C64050">
        <w:rPr>
          <w:color w:val="000000"/>
          <w:szCs w:val="20"/>
        </w:rPr>
        <w:t xml:space="preserve"> </w:t>
      </w:r>
      <w:r w:rsidRPr="00454670">
        <w:rPr>
          <w:color w:val="000000"/>
          <w:szCs w:val="20"/>
        </w:rPr>
        <w:t>are</w:t>
      </w:r>
      <w:r w:rsidR="00C64050">
        <w:rPr>
          <w:color w:val="000000"/>
          <w:szCs w:val="20"/>
        </w:rPr>
        <w:t xml:space="preserve"> </w:t>
      </w:r>
      <w:r w:rsidRPr="00454670">
        <w:rPr>
          <w:color w:val="000000"/>
          <w:szCs w:val="20"/>
        </w:rPr>
        <w:t>defined</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paragraph</w:t>
      </w:r>
      <w:r w:rsidR="00C64050">
        <w:rPr>
          <w:color w:val="000000"/>
          <w:szCs w:val="20"/>
        </w:rPr>
        <w:t xml:space="preserve"> </w:t>
      </w:r>
      <w:r w:rsidRPr="00454670">
        <w:rPr>
          <w:color w:val="000000"/>
          <w:szCs w:val="20"/>
        </w:rPr>
        <w:t>(d)</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this</w:t>
      </w:r>
      <w:r w:rsidR="00C64050">
        <w:rPr>
          <w:color w:val="000000"/>
          <w:szCs w:val="20"/>
        </w:rPr>
        <w:t xml:space="preserve"> </w:t>
      </w:r>
      <w:r w:rsidRPr="00454670">
        <w:rPr>
          <w:color w:val="000000"/>
          <w:szCs w:val="20"/>
        </w:rPr>
        <w:t>section.</w:t>
      </w:r>
      <w:r w:rsidR="00C64050">
        <w:rPr>
          <w:color w:val="000000"/>
          <w:szCs w:val="20"/>
        </w:rPr>
        <w:t xml:space="preserve"> </w:t>
      </w:r>
    </w:p>
    <w:p w:rsidR="00485DB9" w:rsidRPr="00454670" w:rsidRDefault="00856D6A">
      <w:pPr>
        <w:pStyle w:val="Body15"/>
        <w:rPr>
          <w:color w:val="000000"/>
          <w:szCs w:val="20"/>
        </w:rPr>
      </w:pPr>
      <w:r w:rsidRPr="00454670">
        <w:rPr>
          <w:color w:val="000000"/>
          <w:szCs w:val="20"/>
        </w:rPr>
        <w:t>With</w:t>
      </w:r>
      <w:r w:rsidR="00C64050">
        <w:rPr>
          <w:color w:val="000000"/>
          <w:szCs w:val="20"/>
        </w:rPr>
        <w:t xml:space="preserve"> </w:t>
      </w:r>
      <w:r w:rsidRPr="00454670">
        <w:rPr>
          <w:color w:val="000000"/>
          <w:szCs w:val="20"/>
        </w:rPr>
        <w:t>respect</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sale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an</w:t>
      </w:r>
      <w:r w:rsidR="00C64050">
        <w:rPr>
          <w:color w:val="000000"/>
          <w:szCs w:val="20"/>
        </w:rPr>
        <w:t xml:space="preserve"> </w:t>
      </w:r>
      <w:r w:rsidRPr="00454670">
        <w:rPr>
          <w:color w:val="000000"/>
          <w:szCs w:val="20"/>
        </w:rPr>
        <w:t>asset</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division</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an</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Examples</w:t>
      </w:r>
      <w:r w:rsidR="00C64050">
        <w:rPr>
          <w:color w:val="000000"/>
          <w:szCs w:val="20"/>
        </w:rPr>
        <w:t xml:space="preserve"> </w:t>
      </w:r>
      <w:r w:rsidRPr="00454670">
        <w:rPr>
          <w:color w:val="000000"/>
          <w:szCs w:val="20"/>
        </w:rPr>
        <w:t>9-12</w:t>
      </w:r>
      <w:r w:rsidR="00C64050">
        <w:rPr>
          <w:color w:val="000000"/>
          <w:szCs w:val="20"/>
        </w:rPr>
        <w:t xml:space="preserve"> </w:t>
      </w:r>
      <w:r w:rsidRPr="00454670">
        <w:rPr>
          <w:color w:val="000000"/>
          <w:szCs w:val="20"/>
        </w:rPr>
        <w:t>are</w:t>
      </w:r>
      <w:r w:rsidR="00C64050">
        <w:rPr>
          <w:color w:val="000000"/>
          <w:szCs w:val="20"/>
        </w:rPr>
        <w:t xml:space="preserve"> </w:t>
      </w:r>
      <w:r w:rsidRPr="00454670">
        <w:rPr>
          <w:color w:val="000000"/>
          <w:szCs w:val="20"/>
        </w:rPr>
        <w:t>as</w:t>
      </w:r>
      <w:r w:rsidR="00C64050">
        <w:rPr>
          <w:color w:val="000000"/>
          <w:szCs w:val="20"/>
        </w:rPr>
        <w:t xml:space="preserve"> </w:t>
      </w:r>
      <w:r w:rsidRPr="00454670">
        <w:rPr>
          <w:color w:val="000000"/>
          <w:szCs w:val="20"/>
        </w:rPr>
        <w:t>follows:</w:t>
      </w:r>
    </w:p>
    <w:p w:rsidR="00485DB9" w:rsidRPr="00454670" w:rsidRDefault="00856D6A" w:rsidP="00E54F20">
      <w:pPr>
        <w:pStyle w:val="QS10"/>
        <w:rPr>
          <w:color w:val="000000"/>
          <w:szCs w:val="20"/>
        </w:rPr>
      </w:pPr>
      <w:r w:rsidRPr="00454670">
        <w:rPr>
          <w:color w:val="000000"/>
          <w:szCs w:val="20"/>
          <w:u w:val="single"/>
        </w:rPr>
        <w:t>Example</w:t>
      </w:r>
      <w:r w:rsidR="00C64050">
        <w:rPr>
          <w:color w:val="000000"/>
          <w:szCs w:val="20"/>
          <w:u w:val="single"/>
        </w:rPr>
        <w:t xml:space="preserve"> </w:t>
      </w:r>
      <w:r w:rsidRPr="00454670">
        <w:rPr>
          <w:color w:val="000000"/>
          <w:szCs w:val="20"/>
          <w:u w:val="single"/>
        </w:rPr>
        <w:t>9</w:t>
      </w:r>
      <w:r w:rsidRPr="00454670">
        <w:rPr>
          <w:color w:val="000000"/>
          <w:szCs w:val="20"/>
        </w:rPr>
        <w:t>.</w:t>
      </w:r>
      <w:r w:rsidR="00C64050">
        <w:rPr>
          <w:color w:val="000000"/>
          <w:szCs w:val="20"/>
        </w:rPr>
        <w:t xml:space="preserve"> </w:t>
      </w:r>
      <w:r w:rsidRPr="00454670">
        <w:rPr>
          <w:color w:val="000000"/>
          <w:szCs w:val="20"/>
        </w:rPr>
        <w:t>Husband</w:t>
      </w:r>
      <w:r w:rsidR="00C64050">
        <w:rPr>
          <w:color w:val="000000"/>
          <w:szCs w:val="20"/>
        </w:rPr>
        <w:t xml:space="preserve"> </w:t>
      </w:r>
      <w:r w:rsidRPr="00454670">
        <w:rPr>
          <w:color w:val="000000"/>
          <w:szCs w:val="20"/>
        </w:rPr>
        <w:t>died</w:t>
      </w:r>
      <w:r w:rsidR="00C64050">
        <w:rPr>
          <w:color w:val="000000"/>
          <w:szCs w:val="20"/>
        </w:rPr>
        <w:t xml:space="preserve"> </w:t>
      </w:r>
      <w:r w:rsidRPr="00454670">
        <w:rPr>
          <w:color w:val="000000"/>
          <w:szCs w:val="20"/>
        </w:rPr>
        <w:t>owning</w:t>
      </w:r>
      <w:r w:rsidR="00C64050">
        <w:rPr>
          <w:color w:val="000000"/>
          <w:szCs w:val="20"/>
        </w:rPr>
        <w:t xml:space="preserve"> </w:t>
      </w:r>
      <w:r w:rsidRPr="00454670">
        <w:rPr>
          <w:color w:val="000000"/>
          <w:szCs w:val="20"/>
        </w:rPr>
        <w:t>an</w:t>
      </w:r>
      <w:r w:rsidR="00C64050">
        <w:rPr>
          <w:color w:val="000000"/>
          <w:szCs w:val="20"/>
        </w:rPr>
        <w:t xml:space="preserve"> </w:t>
      </w:r>
      <w:r w:rsidRPr="00454670">
        <w:rPr>
          <w:color w:val="000000"/>
          <w:szCs w:val="20"/>
        </w:rPr>
        <w:t>interest</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brokerage</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titled</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names</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Husband</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Wife</w:t>
      </w:r>
      <w:r w:rsidR="00C64050">
        <w:rPr>
          <w:color w:val="000000"/>
          <w:szCs w:val="20"/>
        </w:rPr>
        <w:t xml:space="preserve"> </w:t>
      </w:r>
      <w:r w:rsidRPr="00454670">
        <w:rPr>
          <w:color w:val="000000"/>
          <w:szCs w:val="20"/>
        </w:rPr>
        <w:t>with</w:t>
      </w:r>
      <w:r w:rsidR="00C64050">
        <w:rPr>
          <w:color w:val="000000"/>
          <w:szCs w:val="20"/>
        </w:rPr>
        <w:t xml:space="preserve"> </w:t>
      </w:r>
      <w:r w:rsidRPr="00454670">
        <w:rPr>
          <w:color w:val="000000"/>
          <w:szCs w:val="20"/>
        </w:rPr>
        <w:t>rights</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survivorship.</w:t>
      </w:r>
      <w:r w:rsidR="00C64050">
        <w:rPr>
          <w:color w:val="000000"/>
          <w:szCs w:val="20"/>
        </w:rPr>
        <w:t xml:space="preserve"> </w:t>
      </w:r>
      <w:r w:rsidRPr="00454670">
        <w:rPr>
          <w:color w:val="000000"/>
          <w:szCs w:val="20"/>
        </w:rPr>
        <w:t>On</w:t>
      </w:r>
      <w:r w:rsidR="00C64050">
        <w:rPr>
          <w:color w:val="000000"/>
          <w:szCs w:val="20"/>
        </w:rPr>
        <w:t xml:space="preserve"> </w:t>
      </w:r>
      <w:r w:rsidRPr="00454670">
        <w:rPr>
          <w:color w:val="000000"/>
          <w:szCs w:val="20"/>
        </w:rPr>
        <w:t>Husband's</w:t>
      </w:r>
      <w:r w:rsidR="00C64050">
        <w:rPr>
          <w:color w:val="000000"/>
          <w:szCs w:val="20"/>
        </w:rPr>
        <w:t xml:space="preserve"> </w:t>
      </w:r>
      <w:r w:rsidRPr="00454670">
        <w:rPr>
          <w:color w:val="000000"/>
          <w:szCs w:val="20"/>
        </w:rPr>
        <w:t>death,</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held</w:t>
      </w:r>
      <w:r w:rsidR="00C64050">
        <w:rPr>
          <w:color w:val="000000"/>
          <w:szCs w:val="20"/>
        </w:rPr>
        <w:t xml:space="preserve"> </w:t>
      </w:r>
      <w:r w:rsidRPr="00454670">
        <w:rPr>
          <w:color w:val="000000"/>
          <w:szCs w:val="20"/>
        </w:rPr>
        <w:t>marketable</w:t>
      </w:r>
      <w:r w:rsidR="00C64050">
        <w:rPr>
          <w:color w:val="000000"/>
          <w:szCs w:val="20"/>
        </w:rPr>
        <w:t xml:space="preserve"> </w:t>
      </w:r>
      <w:r w:rsidRPr="00454670">
        <w:rPr>
          <w:color w:val="000000"/>
          <w:szCs w:val="20"/>
        </w:rPr>
        <w:t>securities,</w:t>
      </w:r>
      <w:r w:rsidR="00C64050">
        <w:rPr>
          <w:color w:val="000000"/>
          <w:szCs w:val="20"/>
        </w:rPr>
        <w:t xml:space="preserve"> </w:t>
      </w:r>
      <w:r w:rsidRPr="00454670">
        <w:rPr>
          <w:color w:val="000000"/>
          <w:szCs w:val="20"/>
        </w:rPr>
        <w:t>corporate</w:t>
      </w:r>
      <w:r w:rsidR="00C64050">
        <w:rPr>
          <w:color w:val="000000"/>
          <w:szCs w:val="20"/>
        </w:rPr>
        <w:t xml:space="preserve"> </w:t>
      </w:r>
      <w:r w:rsidRPr="00454670">
        <w:rPr>
          <w:color w:val="000000"/>
          <w:szCs w:val="20"/>
        </w:rPr>
        <w:t>bonds,</w:t>
      </w:r>
      <w:r w:rsidR="00C64050">
        <w:rPr>
          <w:color w:val="000000"/>
          <w:szCs w:val="20"/>
        </w:rPr>
        <w:t xml:space="preserve"> </w:t>
      </w:r>
      <w:r w:rsidRPr="00454670">
        <w:rPr>
          <w:color w:val="000000"/>
          <w:szCs w:val="20"/>
        </w:rPr>
        <w:t>municipal</w:t>
      </w:r>
      <w:r w:rsidR="00C64050">
        <w:rPr>
          <w:color w:val="000000"/>
          <w:szCs w:val="20"/>
        </w:rPr>
        <w:t xml:space="preserve"> </w:t>
      </w:r>
      <w:r w:rsidRPr="00454670">
        <w:rPr>
          <w:color w:val="000000"/>
          <w:szCs w:val="20"/>
        </w:rPr>
        <w:t>bonds,</w:t>
      </w:r>
      <w:r w:rsidR="00C64050">
        <w:rPr>
          <w:color w:val="000000"/>
          <w:szCs w:val="20"/>
        </w:rPr>
        <w:t xml:space="preserve"> </w:t>
      </w:r>
      <w:r w:rsidRPr="00454670">
        <w:rPr>
          <w:color w:val="000000"/>
          <w:szCs w:val="20"/>
        </w:rPr>
        <w:t>certificates</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deposit,</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cash.</w:t>
      </w:r>
      <w:r w:rsidR="00C64050">
        <w:rPr>
          <w:color w:val="000000"/>
          <w:szCs w:val="20"/>
        </w:rPr>
        <w:t xml:space="preserve"> </w:t>
      </w:r>
      <w:r w:rsidRPr="00454670">
        <w:rPr>
          <w:color w:val="000000"/>
          <w:szCs w:val="20"/>
        </w:rPr>
        <w:t>During</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alternate</w:t>
      </w:r>
      <w:r w:rsidR="00C64050">
        <w:rPr>
          <w:color w:val="000000"/>
          <w:szCs w:val="20"/>
        </w:rPr>
        <w:t xml:space="preserve"> </w:t>
      </w:r>
      <w:r w:rsidRPr="00454670">
        <w:rPr>
          <w:color w:val="000000"/>
          <w:szCs w:val="20"/>
        </w:rPr>
        <w:t>valuation</w:t>
      </w:r>
      <w:r w:rsidR="00C64050">
        <w:rPr>
          <w:color w:val="000000"/>
          <w:szCs w:val="20"/>
        </w:rPr>
        <w:t xml:space="preserve"> </w:t>
      </w:r>
      <w:r w:rsidRPr="00454670">
        <w:rPr>
          <w:color w:val="000000"/>
          <w:szCs w:val="20"/>
        </w:rPr>
        <w:t>period,</w:t>
      </w:r>
      <w:r w:rsidR="00C64050">
        <w:rPr>
          <w:color w:val="000000"/>
          <w:szCs w:val="20"/>
        </w:rPr>
        <w:t xml:space="preserve"> </w:t>
      </w:r>
      <w:r w:rsidRPr="00454670">
        <w:rPr>
          <w:color w:val="000000"/>
          <w:szCs w:val="20"/>
        </w:rPr>
        <w:t>Wife's</w:t>
      </w:r>
      <w:r w:rsidR="00C64050">
        <w:rPr>
          <w:color w:val="000000"/>
          <w:szCs w:val="20"/>
        </w:rPr>
        <w:t xml:space="preserve"> </w:t>
      </w:r>
      <w:r w:rsidRPr="00454670">
        <w:rPr>
          <w:color w:val="000000"/>
          <w:szCs w:val="20"/>
        </w:rPr>
        <w:t>stockbroker</w:t>
      </w:r>
      <w:r w:rsidR="00C64050">
        <w:rPr>
          <w:color w:val="000000"/>
          <w:szCs w:val="20"/>
        </w:rPr>
        <w:t xml:space="preserve"> </w:t>
      </w:r>
      <w:r w:rsidRPr="00454670">
        <w:rPr>
          <w:color w:val="000000"/>
          <w:szCs w:val="20"/>
        </w:rPr>
        <w:t>advised</w:t>
      </w:r>
      <w:r w:rsidR="00C64050">
        <w:rPr>
          <w:color w:val="000000"/>
          <w:szCs w:val="20"/>
        </w:rPr>
        <w:t xml:space="preserve"> </w:t>
      </w:r>
      <w:r w:rsidRPr="00454670">
        <w:rPr>
          <w:color w:val="000000"/>
          <w:szCs w:val="20"/>
        </w:rPr>
        <w:t>her</w:t>
      </w:r>
      <w:r w:rsidR="00C64050">
        <w:rPr>
          <w:color w:val="000000"/>
          <w:szCs w:val="20"/>
        </w:rPr>
        <w:t xml:space="preserve"> </w:t>
      </w:r>
      <w:r w:rsidRPr="00454670">
        <w:rPr>
          <w:color w:val="000000"/>
          <w:szCs w:val="20"/>
        </w:rPr>
        <w:t>that</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could</w:t>
      </w:r>
      <w:r w:rsidR="00C64050">
        <w:rPr>
          <w:color w:val="000000"/>
          <w:szCs w:val="20"/>
        </w:rPr>
        <w:t xml:space="preserve"> </w:t>
      </w:r>
      <w:r w:rsidRPr="00454670">
        <w:rPr>
          <w:color w:val="000000"/>
          <w:szCs w:val="20"/>
        </w:rPr>
        <w:t>not</w:t>
      </w:r>
      <w:r w:rsidR="00C64050">
        <w:rPr>
          <w:color w:val="000000"/>
          <w:szCs w:val="20"/>
        </w:rPr>
        <w:t xml:space="preserve"> </w:t>
      </w:r>
      <w:r w:rsidRPr="00454670">
        <w:rPr>
          <w:color w:val="000000"/>
          <w:szCs w:val="20"/>
        </w:rPr>
        <w:t>be</w:t>
      </w:r>
      <w:r w:rsidR="00C64050">
        <w:rPr>
          <w:color w:val="000000"/>
          <w:szCs w:val="20"/>
        </w:rPr>
        <w:t xml:space="preserve"> </w:t>
      </w:r>
      <w:r w:rsidRPr="00454670">
        <w:rPr>
          <w:color w:val="000000"/>
          <w:szCs w:val="20"/>
        </w:rPr>
        <w:t>held</w:t>
      </w:r>
      <w:r w:rsidR="00C64050">
        <w:rPr>
          <w:color w:val="000000"/>
          <w:szCs w:val="20"/>
        </w:rPr>
        <w:t xml:space="preserve"> </w:t>
      </w:r>
      <w:r w:rsidRPr="00454670">
        <w:rPr>
          <w:color w:val="000000"/>
          <w:szCs w:val="20"/>
        </w:rPr>
        <w:t>under</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social</w:t>
      </w:r>
      <w:r w:rsidR="00C64050">
        <w:rPr>
          <w:color w:val="000000"/>
          <w:szCs w:val="20"/>
        </w:rPr>
        <w:t xml:space="preserve"> </w:t>
      </w:r>
      <w:r w:rsidRPr="00454670">
        <w:rPr>
          <w:color w:val="000000"/>
          <w:szCs w:val="20"/>
        </w:rPr>
        <w:t>security</w:t>
      </w:r>
      <w:r w:rsidR="00C64050">
        <w:rPr>
          <w:color w:val="000000"/>
          <w:szCs w:val="20"/>
        </w:rPr>
        <w:t xml:space="preserve"> </w:t>
      </w:r>
      <w:r w:rsidRPr="00454670">
        <w:rPr>
          <w:color w:val="000000"/>
          <w:szCs w:val="20"/>
        </w:rPr>
        <w:t>number</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deceased</w:t>
      </w:r>
      <w:r w:rsidR="00C64050">
        <w:rPr>
          <w:color w:val="000000"/>
          <w:szCs w:val="20"/>
        </w:rPr>
        <w:t xml:space="preserve"> </w:t>
      </w:r>
      <w:r w:rsidRPr="00454670">
        <w:rPr>
          <w:color w:val="000000"/>
          <w:szCs w:val="20"/>
        </w:rPr>
        <w:t>individual.</w:t>
      </w:r>
      <w:r w:rsidR="00C64050">
        <w:rPr>
          <w:color w:val="000000"/>
          <w:szCs w:val="20"/>
        </w:rPr>
        <w:t xml:space="preserve"> </w:t>
      </w:r>
      <w:r w:rsidRPr="00454670">
        <w:rPr>
          <w:color w:val="000000"/>
          <w:szCs w:val="20"/>
        </w:rPr>
        <w:t>Accordingly,</w:t>
      </w:r>
      <w:r w:rsidR="00C64050">
        <w:rPr>
          <w:color w:val="000000"/>
          <w:szCs w:val="20"/>
        </w:rPr>
        <w:t xml:space="preserve"> </w:t>
      </w:r>
      <w:r w:rsidRPr="00454670">
        <w:rPr>
          <w:color w:val="000000"/>
          <w:szCs w:val="20"/>
        </w:rPr>
        <w:t>approximately</w:t>
      </w:r>
      <w:r w:rsidR="00C64050">
        <w:rPr>
          <w:color w:val="000000"/>
          <w:szCs w:val="20"/>
        </w:rPr>
        <w:t xml:space="preserve"> </w:t>
      </w:r>
      <w:r w:rsidRPr="00454670">
        <w:rPr>
          <w:color w:val="000000"/>
          <w:szCs w:val="20"/>
        </w:rPr>
        <w:t>one</w:t>
      </w:r>
      <w:r w:rsidR="00C64050">
        <w:rPr>
          <w:color w:val="000000"/>
          <w:szCs w:val="20"/>
        </w:rPr>
        <w:t xml:space="preserve"> </w:t>
      </w:r>
      <w:r w:rsidRPr="00454670">
        <w:rPr>
          <w:color w:val="000000"/>
          <w:szCs w:val="20"/>
        </w:rPr>
        <w:t>month</w:t>
      </w:r>
      <w:r w:rsidR="00C64050">
        <w:rPr>
          <w:color w:val="000000"/>
          <w:szCs w:val="20"/>
        </w:rPr>
        <w:t xml:space="preserve"> </w:t>
      </w:r>
      <w:r w:rsidRPr="00454670">
        <w:rPr>
          <w:color w:val="000000"/>
          <w:szCs w:val="20"/>
        </w:rPr>
        <w:t>after</w:t>
      </w:r>
      <w:r w:rsidR="00C64050">
        <w:rPr>
          <w:color w:val="000000"/>
          <w:szCs w:val="20"/>
        </w:rPr>
        <w:t xml:space="preserve"> </w:t>
      </w:r>
      <w:r w:rsidRPr="00454670">
        <w:rPr>
          <w:color w:val="000000"/>
          <w:szCs w:val="20"/>
        </w:rPr>
        <w:t>Husband's</w:t>
      </w:r>
      <w:r w:rsidR="00C64050">
        <w:rPr>
          <w:color w:val="000000"/>
          <w:szCs w:val="20"/>
        </w:rPr>
        <w:t xml:space="preserve"> </w:t>
      </w:r>
      <w:r w:rsidRPr="00454670">
        <w:rPr>
          <w:color w:val="000000"/>
          <w:szCs w:val="20"/>
        </w:rPr>
        <w:t>death,</w:t>
      </w:r>
      <w:r w:rsidR="00C64050">
        <w:rPr>
          <w:color w:val="000000"/>
          <w:szCs w:val="20"/>
        </w:rPr>
        <w:t xml:space="preserve"> </w:t>
      </w:r>
      <w:r w:rsidRPr="00454670">
        <w:rPr>
          <w:color w:val="000000"/>
          <w:szCs w:val="20"/>
        </w:rPr>
        <w:t>Wife</w:t>
      </w:r>
      <w:r w:rsidR="00C64050">
        <w:rPr>
          <w:color w:val="000000"/>
          <w:szCs w:val="20"/>
        </w:rPr>
        <w:t xml:space="preserve"> </w:t>
      </w:r>
      <w:r w:rsidRPr="00454670">
        <w:rPr>
          <w:color w:val="000000"/>
          <w:szCs w:val="20"/>
        </w:rPr>
        <w:t>directed</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stockbroker</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transfer</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into</w:t>
      </w:r>
      <w:r w:rsidR="00C64050">
        <w:rPr>
          <w:color w:val="000000"/>
          <w:szCs w:val="20"/>
        </w:rPr>
        <w:t xml:space="preserve"> </w:t>
      </w:r>
      <w:r w:rsidRPr="00454670">
        <w:rPr>
          <w:color w:val="000000"/>
          <w:szCs w:val="20"/>
        </w:rPr>
        <w:t>an</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titled</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Wife's</w:t>
      </w:r>
      <w:r w:rsidR="00C64050">
        <w:rPr>
          <w:color w:val="000000"/>
          <w:szCs w:val="20"/>
        </w:rPr>
        <w:t xml:space="preserve"> </w:t>
      </w:r>
      <w:r w:rsidRPr="00454670">
        <w:rPr>
          <w:color w:val="000000"/>
          <w:szCs w:val="20"/>
        </w:rPr>
        <w:t>sole</w:t>
      </w:r>
      <w:r w:rsidR="00C64050">
        <w:rPr>
          <w:color w:val="000000"/>
          <w:szCs w:val="20"/>
        </w:rPr>
        <w:t xml:space="preserve"> </w:t>
      </w:r>
      <w:r w:rsidRPr="00454670">
        <w:rPr>
          <w:color w:val="000000"/>
          <w:szCs w:val="20"/>
        </w:rPr>
        <w:t>name.</w:t>
      </w:r>
      <w:r w:rsidR="00C64050">
        <w:rPr>
          <w:color w:val="000000"/>
          <w:szCs w:val="20"/>
        </w:rPr>
        <w:t xml:space="preserve"> </w:t>
      </w:r>
      <w:r w:rsidRPr="00454670">
        <w:rPr>
          <w:color w:val="000000"/>
          <w:szCs w:val="20"/>
        </w:rPr>
        <w:t>Because</w:t>
      </w:r>
      <w:r w:rsidR="00C64050">
        <w:rPr>
          <w:color w:val="000000"/>
          <w:szCs w:val="20"/>
        </w:rPr>
        <w:t xml:space="preserve"> </w:t>
      </w:r>
      <w:r w:rsidRPr="00454670">
        <w:rPr>
          <w:color w:val="000000"/>
          <w:szCs w:val="20"/>
        </w:rPr>
        <w:t>title</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joint</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passes</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Wife</w:t>
      </w:r>
      <w:r w:rsidR="00C64050">
        <w:rPr>
          <w:color w:val="000000"/>
          <w:szCs w:val="20"/>
        </w:rPr>
        <w:t xml:space="preserve"> </w:t>
      </w:r>
      <w:r w:rsidRPr="00454670">
        <w:rPr>
          <w:color w:val="000000"/>
          <w:szCs w:val="20"/>
        </w:rPr>
        <w:t>at</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moment</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Husband's</w:t>
      </w:r>
      <w:r w:rsidR="00C64050">
        <w:rPr>
          <w:color w:val="000000"/>
          <w:szCs w:val="20"/>
        </w:rPr>
        <w:t xml:space="preserve"> </w:t>
      </w:r>
      <w:r w:rsidRPr="00454670">
        <w:rPr>
          <w:color w:val="000000"/>
          <w:szCs w:val="20"/>
        </w:rPr>
        <w:t>death</w:t>
      </w:r>
      <w:r w:rsidR="00C64050">
        <w:rPr>
          <w:color w:val="000000"/>
          <w:szCs w:val="20"/>
        </w:rPr>
        <w:t xml:space="preserve"> </w:t>
      </w:r>
      <w:r w:rsidRPr="00454670">
        <w:rPr>
          <w:color w:val="000000"/>
          <w:szCs w:val="20"/>
        </w:rPr>
        <w:t>by</w:t>
      </w:r>
      <w:r w:rsidR="00C64050">
        <w:rPr>
          <w:color w:val="000000"/>
          <w:szCs w:val="20"/>
        </w:rPr>
        <w:t xml:space="preserve"> </w:t>
      </w:r>
      <w:r w:rsidRPr="00454670">
        <w:rPr>
          <w:color w:val="000000"/>
          <w:szCs w:val="20"/>
        </w:rPr>
        <w:t>operation</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law,</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transfer</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joint</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into</w:t>
      </w:r>
      <w:r w:rsidR="00C64050">
        <w:rPr>
          <w:color w:val="000000"/>
          <w:szCs w:val="20"/>
        </w:rPr>
        <w:t xml:space="preserve"> </w:t>
      </w:r>
      <w:r w:rsidRPr="00454670">
        <w:rPr>
          <w:color w:val="000000"/>
          <w:szCs w:val="20"/>
        </w:rPr>
        <w:t>an</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Wife's</w:t>
      </w:r>
      <w:r w:rsidR="00C64050">
        <w:rPr>
          <w:color w:val="000000"/>
          <w:szCs w:val="20"/>
        </w:rPr>
        <w:t xml:space="preserve"> </w:t>
      </w:r>
      <w:r w:rsidRPr="00454670">
        <w:rPr>
          <w:color w:val="000000"/>
          <w:szCs w:val="20"/>
        </w:rPr>
        <w:t>sole</w:t>
      </w:r>
      <w:r w:rsidR="00C64050">
        <w:rPr>
          <w:color w:val="000000"/>
          <w:szCs w:val="20"/>
        </w:rPr>
        <w:t xml:space="preserve"> </w:t>
      </w:r>
      <w:r w:rsidRPr="00454670">
        <w:rPr>
          <w:color w:val="000000"/>
          <w:szCs w:val="20"/>
        </w:rPr>
        <w:t>name</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not</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transaction</w:t>
      </w:r>
      <w:r w:rsidR="00C64050">
        <w:rPr>
          <w:color w:val="000000"/>
          <w:szCs w:val="20"/>
        </w:rPr>
        <w:t xml:space="preserve"> </w:t>
      </w:r>
      <w:r w:rsidRPr="00454670">
        <w:rPr>
          <w:color w:val="000000"/>
          <w:szCs w:val="20"/>
        </w:rPr>
        <w:t>described</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paragraph</w:t>
      </w:r>
      <w:r w:rsidR="00C64050">
        <w:rPr>
          <w:color w:val="000000"/>
          <w:szCs w:val="20"/>
        </w:rPr>
        <w:t xml:space="preserve"> </w:t>
      </w:r>
      <w:r w:rsidRPr="00454670">
        <w:rPr>
          <w:color w:val="000000"/>
          <w:szCs w:val="20"/>
        </w:rPr>
        <w:t>(c)(1)(i)</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this</w:t>
      </w:r>
      <w:r w:rsidR="00C64050">
        <w:rPr>
          <w:color w:val="000000"/>
          <w:szCs w:val="20"/>
        </w:rPr>
        <w:t xml:space="preserve"> </w:t>
      </w:r>
      <w:r w:rsidRPr="00454670">
        <w:rPr>
          <w:color w:val="000000"/>
          <w:szCs w:val="20"/>
        </w:rPr>
        <w:t>section.</w:t>
      </w:r>
      <w:r w:rsidR="00C64050">
        <w:rPr>
          <w:color w:val="000000"/>
          <w:szCs w:val="20"/>
        </w:rPr>
        <w:t xml:space="preserve"> </w:t>
      </w:r>
      <w:r w:rsidRPr="00454670">
        <w:rPr>
          <w:color w:val="000000"/>
          <w:szCs w:val="20"/>
        </w:rPr>
        <w:t>Accordingly,</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assets</w:t>
      </w:r>
      <w:r w:rsidR="00C64050">
        <w:rPr>
          <w:color w:val="000000"/>
          <w:szCs w:val="20"/>
        </w:rPr>
        <w:t xml:space="preserve"> </w:t>
      </w:r>
      <w:r w:rsidRPr="00454670">
        <w:rPr>
          <w:color w:val="000000"/>
          <w:szCs w:val="20"/>
        </w:rPr>
        <w:t>held</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Wife's</w:t>
      </w:r>
      <w:r w:rsidR="00C64050">
        <w:rPr>
          <w:color w:val="000000"/>
          <w:szCs w:val="20"/>
        </w:rPr>
        <w:t xml:space="preserve"> </w:t>
      </w:r>
      <w:r w:rsidRPr="00454670">
        <w:rPr>
          <w:color w:val="000000"/>
          <w:szCs w:val="20"/>
        </w:rPr>
        <w:t>solely</w:t>
      </w:r>
      <w:r w:rsidR="00C64050">
        <w:rPr>
          <w:color w:val="000000"/>
          <w:szCs w:val="20"/>
        </w:rPr>
        <w:t xml:space="preserve"> </w:t>
      </w:r>
      <w:r w:rsidRPr="00454670">
        <w:rPr>
          <w:color w:val="000000"/>
          <w:szCs w:val="20"/>
        </w:rPr>
        <w:t>owned</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will</w:t>
      </w:r>
      <w:r w:rsidR="00C64050">
        <w:rPr>
          <w:color w:val="000000"/>
          <w:szCs w:val="20"/>
        </w:rPr>
        <w:t xml:space="preserve"> </w:t>
      </w:r>
      <w:r w:rsidRPr="00454670">
        <w:rPr>
          <w:color w:val="000000"/>
          <w:szCs w:val="20"/>
        </w:rPr>
        <w:t>be</w:t>
      </w:r>
      <w:r w:rsidR="00C64050">
        <w:rPr>
          <w:color w:val="000000"/>
          <w:szCs w:val="20"/>
        </w:rPr>
        <w:t xml:space="preserve"> </w:t>
      </w:r>
      <w:r w:rsidRPr="00454670">
        <w:rPr>
          <w:color w:val="000000"/>
          <w:szCs w:val="20"/>
        </w:rPr>
        <w:t>includible</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Husband's</w:t>
      </w:r>
      <w:r w:rsidR="00C64050">
        <w:rPr>
          <w:color w:val="000000"/>
          <w:szCs w:val="20"/>
        </w:rPr>
        <w:t xml:space="preserve"> </w:t>
      </w:r>
      <w:r w:rsidRPr="00454670">
        <w:rPr>
          <w:color w:val="000000"/>
          <w:szCs w:val="20"/>
        </w:rPr>
        <w:t>gross</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at</w:t>
      </w:r>
      <w:r w:rsidR="00C64050">
        <w:rPr>
          <w:color w:val="000000"/>
          <w:szCs w:val="20"/>
        </w:rPr>
        <w:t xml:space="preserve"> </w:t>
      </w:r>
      <w:r w:rsidRPr="00454670">
        <w:rPr>
          <w:color w:val="000000"/>
          <w:szCs w:val="20"/>
        </w:rPr>
        <w:t>their</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on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6-month</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result</w:t>
      </w:r>
      <w:r w:rsidR="00C64050">
        <w:rPr>
          <w:color w:val="000000"/>
          <w:szCs w:val="20"/>
        </w:rPr>
        <w:t xml:space="preserve"> </w:t>
      </w:r>
      <w:r w:rsidRPr="00454670">
        <w:rPr>
          <w:color w:val="000000"/>
          <w:szCs w:val="20"/>
        </w:rPr>
        <w:t>would</w:t>
      </w:r>
      <w:r w:rsidR="00C64050">
        <w:rPr>
          <w:color w:val="000000"/>
          <w:szCs w:val="20"/>
        </w:rPr>
        <w:t xml:space="preserve"> </w:t>
      </w:r>
      <w:r w:rsidRPr="00454670">
        <w:rPr>
          <w:color w:val="000000"/>
          <w:szCs w:val="20"/>
        </w:rPr>
        <w:t>be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same</w:t>
      </w:r>
      <w:r w:rsidR="00C64050">
        <w:rPr>
          <w:color w:val="000000"/>
          <w:szCs w:val="20"/>
        </w:rPr>
        <w:t xml:space="preserve"> </w:t>
      </w:r>
      <w:r w:rsidRPr="00454670">
        <w:rPr>
          <w:color w:val="000000"/>
          <w:szCs w:val="20"/>
        </w:rPr>
        <w:t>if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brokerage</w:t>
      </w:r>
      <w:r w:rsidR="00C64050">
        <w:rPr>
          <w:color w:val="000000"/>
          <w:szCs w:val="20"/>
        </w:rPr>
        <w:t xml:space="preserve"> </w:t>
      </w:r>
      <w:r w:rsidRPr="00454670">
        <w:rPr>
          <w:color w:val="000000"/>
          <w:szCs w:val="20"/>
        </w:rPr>
        <w:t>firm</w:t>
      </w:r>
      <w:r w:rsidR="00C64050">
        <w:rPr>
          <w:color w:val="000000"/>
          <w:szCs w:val="20"/>
        </w:rPr>
        <w:t xml:space="preserve"> </w:t>
      </w:r>
      <w:r w:rsidRPr="00454670">
        <w:rPr>
          <w:color w:val="000000"/>
          <w:szCs w:val="20"/>
        </w:rPr>
        <w:t>automatically</w:t>
      </w:r>
      <w:r w:rsidR="00C64050">
        <w:rPr>
          <w:color w:val="000000"/>
          <w:szCs w:val="20"/>
        </w:rPr>
        <w:t xml:space="preserve"> </w:t>
      </w:r>
      <w:r w:rsidRPr="00454670">
        <w:rPr>
          <w:color w:val="000000"/>
          <w:szCs w:val="20"/>
        </w:rPr>
        <w:t>transferred</w:t>
      </w:r>
      <w:r w:rsidR="00C64050">
        <w:rPr>
          <w:color w:val="000000"/>
          <w:szCs w:val="20"/>
        </w:rPr>
        <w:t xml:space="preserve"> </w:t>
      </w:r>
      <w:r w:rsidRPr="00454670">
        <w:rPr>
          <w:color w:val="000000"/>
          <w:szCs w:val="20"/>
        </w:rPr>
        <w:t>title</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into</w:t>
      </w:r>
      <w:r w:rsidR="00C64050">
        <w:rPr>
          <w:color w:val="000000"/>
          <w:szCs w:val="20"/>
        </w:rPr>
        <w:t xml:space="preserve"> </w:t>
      </w:r>
      <w:r w:rsidRPr="00454670">
        <w:rPr>
          <w:color w:val="000000"/>
          <w:szCs w:val="20"/>
        </w:rPr>
        <w:t>Wife's</w:t>
      </w:r>
      <w:r w:rsidR="00C64050">
        <w:rPr>
          <w:color w:val="000000"/>
          <w:szCs w:val="20"/>
        </w:rPr>
        <w:t xml:space="preserve"> </w:t>
      </w:r>
      <w:r w:rsidRPr="00454670">
        <w:rPr>
          <w:color w:val="000000"/>
          <w:szCs w:val="20"/>
        </w:rPr>
        <w:t>name,</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if</w:t>
      </w:r>
      <w:r w:rsidR="00C64050">
        <w:rPr>
          <w:color w:val="000000"/>
          <w:szCs w:val="20"/>
        </w:rPr>
        <w:t xml:space="preserve"> </w:t>
      </w:r>
      <w:r w:rsidRPr="00454670">
        <w:rPr>
          <w:color w:val="000000"/>
          <w:szCs w:val="20"/>
        </w:rPr>
        <w:t>Wife</w:t>
      </w:r>
      <w:r w:rsidR="00C64050">
        <w:rPr>
          <w:color w:val="000000"/>
          <w:szCs w:val="20"/>
        </w:rPr>
        <w:t xml:space="preserve"> </w:t>
      </w:r>
      <w:r w:rsidRPr="00454670">
        <w:rPr>
          <w:color w:val="000000"/>
          <w:szCs w:val="20"/>
        </w:rPr>
        <w:t>changed</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beneficiary</w:t>
      </w:r>
      <w:r w:rsidR="00C64050">
        <w:rPr>
          <w:color w:val="000000"/>
          <w:szCs w:val="20"/>
        </w:rPr>
        <w:t xml:space="preserve"> </w:t>
      </w:r>
      <w:r w:rsidRPr="00454670">
        <w:rPr>
          <w:color w:val="000000"/>
          <w:szCs w:val="20"/>
        </w:rPr>
        <w:t>designation</w:t>
      </w:r>
      <w:r w:rsidR="00C64050">
        <w:rPr>
          <w:color w:val="000000"/>
          <w:szCs w:val="20"/>
        </w:rPr>
        <w:t xml:space="preserve"> </w:t>
      </w:r>
      <w:r w:rsidRPr="00454670">
        <w:rPr>
          <w:color w:val="000000"/>
          <w:szCs w:val="20"/>
        </w:rPr>
        <w:t>for</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Finally,</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result</w:t>
      </w:r>
      <w:r w:rsidR="00C64050">
        <w:rPr>
          <w:color w:val="000000"/>
          <w:szCs w:val="20"/>
        </w:rPr>
        <w:t xml:space="preserve"> </w:t>
      </w:r>
      <w:r w:rsidRPr="00454670">
        <w:rPr>
          <w:color w:val="000000"/>
          <w:szCs w:val="20"/>
        </w:rPr>
        <w:t>would</w:t>
      </w:r>
      <w:r w:rsidR="00C64050">
        <w:rPr>
          <w:color w:val="000000"/>
          <w:szCs w:val="20"/>
        </w:rPr>
        <w:t xml:space="preserve"> </w:t>
      </w:r>
      <w:r w:rsidRPr="00454670">
        <w:rPr>
          <w:color w:val="000000"/>
          <w:szCs w:val="20"/>
        </w:rPr>
        <w:t>be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same</w:t>
      </w:r>
      <w:r w:rsidR="00C64050">
        <w:rPr>
          <w:color w:val="000000"/>
          <w:szCs w:val="20"/>
        </w:rPr>
        <w:t xml:space="preserve"> </w:t>
      </w:r>
      <w:r w:rsidRPr="00454670">
        <w:rPr>
          <w:color w:val="000000"/>
          <w:szCs w:val="20"/>
        </w:rPr>
        <w:t>if,</w:t>
      </w:r>
      <w:r w:rsidR="00C64050">
        <w:rPr>
          <w:color w:val="000000"/>
          <w:szCs w:val="20"/>
        </w:rPr>
        <w:t xml:space="preserve"> </w:t>
      </w:r>
      <w:r w:rsidRPr="00454670">
        <w:rPr>
          <w:color w:val="000000"/>
          <w:szCs w:val="20"/>
        </w:rPr>
        <w:t>instead</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an</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with</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brokerage</w:t>
      </w:r>
      <w:r w:rsidR="00C64050">
        <w:rPr>
          <w:color w:val="000000"/>
          <w:szCs w:val="20"/>
        </w:rPr>
        <w:t xml:space="preserve"> </w:t>
      </w:r>
      <w:r w:rsidRPr="00454670">
        <w:rPr>
          <w:color w:val="000000"/>
          <w:szCs w:val="20"/>
        </w:rPr>
        <w:t>firm,</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assets</w:t>
      </w:r>
      <w:r w:rsidR="00C64050">
        <w:rPr>
          <w:color w:val="000000"/>
          <w:szCs w:val="20"/>
        </w:rPr>
        <w:t xml:space="preserve"> </w:t>
      </w:r>
      <w:r w:rsidRPr="00454670">
        <w:rPr>
          <w:color w:val="000000"/>
          <w:szCs w:val="20"/>
        </w:rPr>
        <w:t>were</w:t>
      </w:r>
      <w:r w:rsidR="00C64050">
        <w:rPr>
          <w:color w:val="000000"/>
          <w:szCs w:val="20"/>
        </w:rPr>
        <w:t xml:space="preserve"> </w:t>
      </w:r>
      <w:r w:rsidRPr="00454670">
        <w:rPr>
          <w:color w:val="000000"/>
          <w:szCs w:val="20"/>
        </w:rPr>
        <w:t>held</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Husband's</w:t>
      </w:r>
      <w:r w:rsidR="00C64050">
        <w:rPr>
          <w:color w:val="000000"/>
          <w:szCs w:val="20"/>
        </w:rPr>
        <w:t xml:space="preserve"> </w:t>
      </w:r>
      <w:r w:rsidRPr="00454670">
        <w:rPr>
          <w:color w:val="000000"/>
          <w:szCs w:val="20"/>
        </w:rPr>
        <w:t>retirement</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(IRA</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similar</w:t>
      </w:r>
      <w:r w:rsidR="00C64050">
        <w:rPr>
          <w:color w:val="000000"/>
          <w:szCs w:val="20"/>
        </w:rPr>
        <w:t xml:space="preserve"> </w:t>
      </w:r>
      <w:r w:rsidRPr="00454670">
        <w:rPr>
          <w:color w:val="000000"/>
          <w:szCs w:val="20"/>
        </w:rPr>
        <w:t>trust</w:t>
      </w:r>
      <w:r w:rsidR="00C64050">
        <w:rPr>
          <w:color w:val="000000"/>
          <w:szCs w:val="20"/>
        </w:rPr>
        <w:t xml:space="preserve"> </w:t>
      </w:r>
      <w:r w:rsidRPr="00454670">
        <w:rPr>
          <w:color w:val="000000"/>
          <w:szCs w:val="20"/>
        </w:rPr>
        <w:t>such</w:t>
      </w:r>
      <w:r w:rsidR="00C64050">
        <w:rPr>
          <w:color w:val="000000"/>
          <w:szCs w:val="20"/>
        </w:rPr>
        <w:t xml:space="preserve"> </w:t>
      </w:r>
      <w:r w:rsidRPr="00454670">
        <w:rPr>
          <w:color w:val="000000"/>
          <w:szCs w:val="20"/>
        </w:rPr>
        <w:t>as</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Roth</w:t>
      </w:r>
      <w:r w:rsidR="00C64050">
        <w:rPr>
          <w:color w:val="000000"/>
          <w:szCs w:val="20"/>
        </w:rPr>
        <w:t xml:space="preserve"> </w:t>
      </w:r>
      <w:r w:rsidRPr="00454670">
        <w:rPr>
          <w:color w:val="000000"/>
          <w:szCs w:val="20"/>
        </w:rPr>
        <w:t>IRA,</w:t>
      </w:r>
      <w:r w:rsidR="00C64050">
        <w:rPr>
          <w:color w:val="000000"/>
          <w:szCs w:val="20"/>
        </w:rPr>
        <w:t xml:space="preserve"> </w:t>
      </w:r>
      <w:r w:rsidRPr="00454670">
        <w:rPr>
          <w:color w:val="000000"/>
          <w:szCs w:val="20"/>
        </w:rPr>
        <w:t>403(b)</w:t>
      </w:r>
      <w:r w:rsidR="00C64050">
        <w:rPr>
          <w:color w:val="000000"/>
          <w:szCs w:val="20"/>
        </w:rPr>
        <w:t xml:space="preserve"> </w:t>
      </w:r>
      <w:r w:rsidRPr="00454670">
        <w:rPr>
          <w:color w:val="000000"/>
          <w:szCs w:val="20"/>
        </w:rPr>
        <w:t>plan,</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401(k)</w:t>
      </w:r>
      <w:r w:rsidR="00C64050">
        <w:rPr>
          <w:color w:val="000000"/>
          <w:szCs w:val="20"/>
        </w:rPr>
        <w:t xml:space="preserve"> </w:t>
      </w:r>
      <w:r w:rsidRPr="00454670">
        <w:rPr>
          <w:color w:val="000000"/>
          <w:szCs w:val="20"/>
        </w:rPr>
        <w:t>plan)</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Wife's</w:t>
      </w:r>
      <w:r w:rsidR="00C64050">
        <w:rPr>
          <w:color w:val="000000"/>
          <w:szCs w:val="20"/>
        </w:rPr>
        <w:t xml:space="preserve"> </w:t>
      </w:r>
      <w:r w:rsidRPr="00454670">
        <w:rPr>
          <w:color w:val="000000"/>
          <w:szCs w:val="20"/>
        </w:rPr>
        <w:t>ownership</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was</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result</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contract</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beneficiary</w:t>
      </w:r>
      <w:r w:rsidR="00C64050">
        <w:rPr>
          <w:color w:val="000000"/>
          <w:szCs w:val="20"/>
        </w:rPr>
        <w:t xml:space="preserve"> </w:t>
      </w:r>
      <w:r w:rsidRPr="00454670">
        <w:rPr>
          <w:color w:val="000000"/>
          <w:szCs w:val="20"/>
        </w:rPr>
        <w:t>designation</w:t>
      </w:r>
      <w:r w:rsidR="00C64050">
        <w:rPr>
          <w:color w:val="000000"/>
          <w:szCs w:val="20"/>
        </w:rPr>
        <w:t xml:space="preserve"> </w:t>
      </w:r>
      <w:r w:rsidRPr="00454670">
        <w:rPr>
          <w:color w:val="000000"/>
          <w:szCs w:val="20"/>
        </w:rPr>
        <w:t>form)</w:t>
      </w:r>
      <w:r w:rsidR="00C64050">
        <w:rPr>
          <w:color w:val="000000"/>
          <w:szCs w:val="20"/>
        </w:rPr>
        <w:t xml:space="preserve"> </w:t>
      </w:r>
      <w:r w:rsidRPr="00454670">
        <w:rPr>
          <w:color w:val="000000"/>
          <w:szCs w:val="20"/>
        </w:rPr>
        <w:t>rather</w:t>
      </w:r>
      <w:r w:rsidR="00C64050">
        <w:rPr>
          <w:color w:val="000000"/>
          <w:szCs w:val="20"/>
        </w:rPr>
        <w:t xml:space="preserve"> </w:t>
      </w:r>
      <w:r w:rsidRPr="00454670">
        <w:rPr>
          <w:color w:val="000000"/>
          <w:szCs w:val="20"/>
        </w:rPr>
        <w:t>than</w:t>
      </w:r>
      <w:r w:rsidR="00C64050">
        <w:rPr>
          <w:color w:val="000000"/>
          <w:szCs w:val="20"/>
        </w:rPr>
        <w:t xml:space="preserve"> </w:t>
      </w:r>
      <w:r w:rsidRPr="00454670">
        <w:rPr>
          <w:color w:val="000000"/>
          <w:szCs w:val="20"/>
        </w:rPr>
        <w:t>operation</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law.</w:t>
      </w:r>
      <w:r w:rsidR="00C64050">
        <w:rPr>
          <w:color w:val="000000"/>
          <w:szCs w:val="20"/>
        </w:rPr>
        <w:t xml:space="preserve"> </w:t>
      </w:r>
    </w:p>
    <w:p w:rsidR="00485DB9" w:rsidRPr="00454670" w:rsidRDefault="00856D6A" w:rsidP="00E54F20">
      <w:pPr>
        <w:pStyle w:val="QS10"/>
        <w:rPr>
          <w:color w:val="000000"/>
          <w:szCs w:val="20"/>
        </w:rPr>
      </w:pPr>
      <w:r w:rsidRPr="00454670">
        <w:rPr>
          <w:color w:val="000000"/>
          <w:szCs w:val="20"/>
          <w:u w:val="single"/>
        </w:rPr>
        <w:t>Example</w:t>
      </w:r>
      <w:r w:rsidR="00C64050">
        <w:rPr>
          <w:color w:val="000000"/>
          <w:szCs w:val="20"/>
          <w:u w:val="single"/>
        </w:rPr>
        <w:t xml:space="preserve"> </w:t>
      </w:r>
      <w:r w:rsidRPr="00454670">
        <w:rPr>
          <w:color w:val="000000"/>
          <w:szCs w:val="20"/>
          <w:u w:val="single"/>
        </w:rPr>
        <w:t>10</w:t>
      </w:r>
      <w:r w:rsidRPr="00454670">
        <w:rPr>
          <w:color w:val="000000"/>
          <w:szCs w:val="20"/>
        </w:rPr>
        <w:t>.</w:t>
      </w:r>
      <w:r w:rsidR="00C64050">
        <w:rPr>
          <w:color w:val="000000"/>
          <w:szCs w:val="20"/>
        </w:rPr>
        <w:t xml:space="preserve"> </w:t>
      </w:r>
      <w:r w:rsidRPr="00454670">
        <w:rPr>
          <w:color w:val="000000"/>
          <w:szCs w:val="20"/>
        </w:rPr>
        <w:t>Assume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same</w:t>
      </w:r>
      <w:r w:rsidR="00C64050">
        <w:rPr>
          <w:color w:val="000000"/>
          <w:szCs w:val="20"/>
        </w:rPr>
        <w:t xml:space="preserve"> </w:t>
      </w:r>
      <w:r w:rsidRPr="00454670">
        <w:rPr>
          <w:color w:val="000000"/>
          <w:szCs w:val="20"/>
        </w:rPr>
        <w:t>facts</w:t>
      </w:r>
      <w:r w:rsidR="00C64050">
        <w:rPr>
          <w:color w:val="000000"/>
          <w:szCs w:val="20"/>
        </w:rPr>
        <w:t xml:space="preserve"> </w:t>
      </w:r>
      <w:r w:rsidRPr="00454670">
        <w:rPr>
          <w:color w:val="000000"/>
          <w:szCs w:val="20"/>
        </w:rPr>
        <w:t>as</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u w:val="single"/>
        </w:rPr>
        <w:t>Example</w:t>
      </w:r>
      <w:r w:rsidR="00C64050">
        <w:rPr>
          <w:color w:val="000000"/>
          <w:szCs w:val="20"/>
          <w:u w:val="single"/>
        </w:rPr>
        <w:t xml:space="preserve"> </w:t>
      </w:r>
      <w:r w:rsidRPr="00454670">
        <w:rPr>
          <w:color w:val="000000"/>
          <w:szCs w:val="20"/>
          <w:u w:val="single"/>
        </w:rPr>
        <w:t>9</w:t>
      </w:r>
      <w:r w:rsidR="00C64050">
        <w:rPr>
          <w:color w:val="000000"/>
          <w:szCs w:val="20"/>
        </w:rPr>
        <w:t xml:space="preserve"> </w:t>
      </w:r>
      <w:r w:rsidRPr="00454670">
        <w:rPr>
          <w:color w:val="000000"/>
          <w:szCs w:val="20"/>
        </w:rPr>
        <w:t>except</w:t>
      </w:r>
      <w:r w:rsidR="00C64050">
        <w:rPr>
          <w:color w:val="000000"/>
          <w:szCs w:val="20"/>
        </w:rPr>
        <w:t xml:space="preserve"> </w:t>
      </w:r>
      <w:r w:rsidRPr="00454670">
        <w:rPr>
          <w:color w:val="000000"/>
          <w:szCs w:val="20"/>
        </w:rPr>
        <w:t>that,</w:t>
      </w:r>
      <w:r w:rsidR="00C64050">
        <w:rPr>
          <w:color w:val="000000"/>
          <w:szCs w:val="20"/>
        </w:rPr>
        <w:t xml:space="preserve"> </w:t>
      </w:r>
      <w:r w:rsidRPr="00454670">
        <w:rPr>
          <w:color w:val="000000"/>
          <w:szCs w:val="20"/>
        </w:rPr>
        <w:t>during</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alternate</w:t>
      </w:r>
      <w:r w:rsidR="00C64050">
        <w:rPr>
          <w:color w:val="000000"/>
          <w:szCs w:val="20"/>
        </w:rPr>
        <w:t xml:space="preserve"> </w:t>
      </w:r>
      <w:r w:rsidRPr="00454670">
        <w:rPr>
          <w:color w:val="000000"/>
          <w:szCs w:val="20"/>
        </w:rPr>
        <w:t>valuation</w:t>
      </w:r>
      <w:r w:rsidR="00C64050">
        <w:rPr>
          <w:color w:val="000000"/>
          <w:szCs w:val="20"/>
        </w:rPr>
        <w:t xml:space="preserve"> </w:t>
      </w:r>
      <w:r w:rsidRPr="00454670">
        <w:rPr>
          <w:color w:val="000000"/>
          <w:szCs w:val="20"/>
        </w:rPr>
        <w:t>period,</w:t>
      </w:r>
      <w:r w:rsidR="00C64050">
        <w:rPr>
          <w:color w:val="000000"/>
          <w:szCs w:val="20"/>
        </w:rPr>
        <w:t xml:space="preserve"> </w:t>
      </w:r>
      <w:r w:rsidRPr="00454670">
        <w:rPr>
          <w:color w:val="000000"/>
          <w:szCs w:val="20"/>
        </w:rPr>
        <w:t>Wife</w:t>
      </w:r>
      <w:r w:rsidR="00C64050">
        <w:rPr>
          <w:color w:val="000000"/>
          <w:szCs w:val="20"/>
        </w:rPr>
        <w:t xml:space="preserve"> </w:t>
      </w:r>
      <w:r w:rsidRPr="00454670">
        <w:rPr>
          <w:color w:val="000000"/>
          <w:szCs w:val="20"/>
        </w:rPr>
        <w:t>directed</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stockbroker</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sell</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bond</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sale</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transaction</w:t>
      </w:r>
      <w:r w:rsidR="00C64050">
        <w:rPr>
          <w:color w:val="000000"/>
          <w:szCs w:val="20"/>
        </w:rPr>
        <w:t xml:space="preserve"> </w:t>
      </w:r>
      <w:r w:rsidRPr="00454670">
        <w:rPr>
          <w:color w:val="000000"/>
          <w:szCs w:val="20"/>
        </w:rPr>
        <w:t>described</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paragraph</w:t>
      </w:r>
      <w:r w:rsidR="00C64050">
        <w:rPr>
          <w:color w:val="000000"/>
          <w:szCs w:val="20"/>
        </w:rPr>
        <w:t xml:space="preserve"> </w:t>
      </w:r>
      <w:r w:rsidRPr="00454670">
        <w:rPr>
          <w:color w:val="000000"/>
          <w:szCs w:val="20"/>
        </w:rPr>
        <w:t>(c)(1)(i)(I)(</w:t>
      </w:r>
      <w:r w:rsidRPr="00454670">
        <w:rPr>
          <w:color w:val="000000"/>
          <w:szCs w:val="20"/>
          <w:u w:val="single"/>
        </w:rPr>
        <w:t>4</w:t>
      </w:r>
      <w:r w:rsidRPr="00454670">
        <w:rPr>
          <w:color w:val="000000"/>
          <w:szCs w:val="20"/>
        </w:rPr>
        <w:t>)</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this</w:t>
      </w:r>
      <w:r w:rsidR="00C64050">
        <w:rPr>
          <w:color w:val="000000"/>
          <w:szCs w:val="20"/>
        </w:rPr>
        <w:t xml:space="preserve"> </w:t>
      </w:r>
      <w:r w:rsidRPr="00454670">
        <w:rPr>
          <w:color w:val="000000"/>
          <w:szCs w:val="20"/>
        </w:rPr>
        <w:t>section.</w:t>
      </w:r>
      <w:r w:rsidR="00C64050">
        <w:rPr>
          <w:color w:val="000000"/>
          <w:szCs w:val="20"/>
        </w:rPr>
        <w:t xml:space="preserve"> </w:t>
      </w:r>
      <w:r w:rsidRPr="00454670">
        <w:rPr>
          <w:color w:val="000000"/>
          <w:szCs w:val="20"/>
        </w:rPr>
        <w:t>Wife</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an</w:t>
      </w:r>
      <w:r w:rsidR="00C64050">
        <w:rPr>
          <w:color w:val="000000"/>
          <w:szCs w:val="20"/>
        </w:rPr>
        <w:t xml:space="preserve"> </w:t>
      </w:r>
      <w:r w:rsidRPr="00454670">
        <w:rPr>
          <w:color w:val="000000"/>
          <w:szCs w:val="20"/>
        </w:rPr>
        <w:t>individual</w:t>
      </w:r>
      <w:r w:rsidR="00C64050">
        <w:rPr>
          <w:color w:val="000000"/>
          <w:szCs w:val="20"/>
        </w:rPr>
        <w:t xml:space="preserve"> </w:t>
      </w:r>
      <w:r w:rsidRPr="00454670">
        <w:rPr>
          <w:color w:val="000000"/>
          <w:szCs w:val="20"/>
        </w:rPr>
        <w:t>described</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paragraph</w:t>
      </w:r>
      <w:r w:rsidR="00C64050">
        <w:rPr>
          <w:color w:val="000000"/>
          <w:szCs w:val="20"/>
        </w:rPr>
        <w:t xml:space="preserve"> </w:t>
      </w:r>
      <w:r w:rsidRPr="00454670">
        <w:rPr>
          <w:color w:val="000000"/>
          <w:szCs w:val="20"/>
        </w:rPr>
        <w:t>(c)(3)(i)(D)</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this</w:t>
      </w:r>
      <w:r w:rsidR="00C64050">
        <w:rPr>
          <w:color w:val="000000"/>
          <w:szCs w:val="20"/>
        </w:rPr>
        <w:t xml:space="preserve"> </w:t>
      </w:r>
      <w:r w:rsidRPr="00454670">
        <w:rPr>
          <w:color w:val="000000"/>
          <w:szCs w:val="20"/>
        </w:rPr>
        <w:t>section.</w:t>
      </w:r>
      <w:r w:rsidR="00C64050">
        <w:rPr>
          <w:color w:val="000000"/>
          <w:szCs w:val="20"/>
        </w:rPr>
        <w:t xml:space="preserve"> </w:t>
      </w:r>
      <w:r w:rsidRPr="00454670">
        <w:rPr>
          <w:color w:val="000000"/>
          <w:szCs w:val="20"/>
        </w:rPr>
        <w:t>Thus,</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alternate</w:t>
      </w:r>
      <w:r w:rsidR="00C64050">
        <w:rPr>
          <w:color w:val="000000"/>
          <w:szCs w:val="20"/>
        </w:rPr>
        <w:t xml:space="preserve"> </w:t>
      </w:r>
      <w:r w:rsidRPr="00454670">
        <w:rPr>
          <w:color w:val="000000"/>
          <w:szCs w:val="20"/>
        </w:rPr>
        <w:t>valuation</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bond</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its</w:t>
      </w:r>
      <w:r w:rsidR="00C64050">
        <w:rPr>
          <w:color w:val="000000"/>
          <w:szCs w:val="20"/>
        </w:rPr>
        <w:t xml:space="preserve"> </w:t>
      </w:r>
      <w:r w:rsidRPr="00454670">
        <w:rPr>
          <w:color w:val="000000"/>
          <w:szCs w:val="20"/>
        </w:rPr>
        <w:t>sale.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values</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be</w:t>
      </w:r>
      <w:r w:rsidR="00C64050">
        <w:rPr>
          <w:color w:val="000000"/>
          <w:szCs w:val="20"/>
        </w:rPr>
        <w:t xml:space="preserve"> </w:t>
      </w:r>
      <w:r w:rsidRPr="00454670">
        <w:rPr>
          <w:color w:val="000000"/>
          <w:szCs w:val="20"/>
        </w:rPr>
        <w:t>included</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D's</w:t>
      </w:r>
      <w:r w:rsidR="00C64050">
        <w:rPr>
          <w:color w:val="000000"/>
          <w:szCs w:val="20"/>
        </w:rPr>
        <w:t xml:space="preserve"> </w:t>
      </w:r>
      <w:r w:rsidRPr="00454670">
        <w:rPr>
          <w:color w:val="000000"/>
          <w:szCs w:val="20"/>
        </w:rPr>
        <w:t>gross</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are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bond</w:t>
      </w:r>
      <w:r w:rsidR="00C64050">
        <w:rPr>
          <w:color w:val="000000"/>
          <w:szCs w:val="20"/>
        </w:rPr>
        <w:t xml:space="preserve"> </w:t>
      </w:r>
      <w:r w:rsidRPr="00454670">
        <w:rPr>
          <w:color w:val="000000"/>
          <w:szCs w:val="20"/>
        </w:rPr>
        <w:t>on</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its</w:t>
      </w:r>
      <w:r w:rsidR="00C64050">
        <w:rPr>
          <w:color w:val="000000"/>
          <w:szCs w:val="20"/>
        </w:rPr>
        <w:t xml:space="preserve"> </w:t>
      </w:r>
      <w:r w:rsidRPr="00454670">
        <w:rPr>
          <w:color w:val="000000"/>
          <w:szCs w:val="20"/>
        </w:rPr>
        <w:t>sale,</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balance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on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6-month</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result</w:t>
      </w:r>
      <w:r w:rsidR="00C64050">
        <w:rPr>
          <w:color w:val="000000"/>
          <w:szCs w:val="20"/>
        </w:rPr>
        <w:t xml:space="preserve"> </w:t>
      </w:r>
      <w:r w:rsidRPr="00454670">
        <w:rPr>
          <w:color w:val="000000"/>
          <w:szCs w:val="20"/>
        </w:rPr>
        <w:t>would</w:t>
      </w:r>
      <w:r w:rsidR="00C64050">
        <w:rPr>
          <w:color w:val="000000"/>
          <w:szCs w:val="20"/>
        </w:rPr>
        <w:t xml:space="preserve"> </w:t>
      </w:r>
      <w:r w:rsidRPr="00454670">
        <w:rPr>
          <w:color w:val="000000"/>
          <w:szCs w:val="20"/>
        </w:rPr>
        <w:t>be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same</w:t>
      </w:r>
      <w:r w:rsidR="00C64050">
        <w:rPr>
          <w:color w:val="000000"/>
          <w:szCs w:val="20"/>
        </w:rPr>
        <w:t xml:space="preserve"> </w:t>
      </w:r>
      <w:r w:rsidRPr="00454670">
        <w:rPr>
          <w:color w:val="000000"/>
          <w:szCs w:val="20"/>
        </w:rPr>
        <w:t>if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bond</w:t>
      </w:r>
      <w:r w:rsidR="00C64050">
        <w:rPr>
          <w:color w:val="000000"/>
          <w:szCs w:val="20"/>
        </w:rPr>
        <w:t xml:space="preserve"> </w:t>
      </w:r>
      <w:r w:rsidRPr="00454670">
        <w:rPr>
          <w:color w:val="000000"/>
          <w:szCs w:val="20"/>
        </w:rPr>
        <w:t>had</w:t>
      </w:r>
      <w:r w:rsidR="00C64050">
        <w:rPr>
          <w:color w:val="000000"/>
          <w:szCs w:val="20"/>
        </w:rPr>
        <w:t xml:space="preserve"> </w:t>
      </w:r>
      <w:r w:rsidRPr="00454670">
        <w:rPr>
          <w:color w:val="000000"/>
          <w:szCs w:val="20"/>
        </w:rPr>
        <w:t>matured</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was</w:t>
      </w:r>
      <w:r w:rsidR="00C64050">
        <w:rPr>
          <w:color w:val="000000"/>
          <w:szCs w:val="20"/>
        </w:rPr>
        <w:t xml:space="preserve"> </w:t>
      </w:r>
      <w:r w:rsidRPr="00454670">
        <w:rPr>
          <w:color w:val="000000"/>
          <w:szCs w:val="20"/>
        </w:rPr>
        <w:t>retired</w:t>
      </w:r>
      <w:r w:rsidR="00C64050">
        <w:rPr>
          <w:color w:val="000000"/>
          <w:szCs w:val="20"/>
        </w:rPr>
        <w:t xml:space="preserve"> </w:t>
      </w:r>
      <w:r w:rsidRPr="00454670">
        <w:rPr>
          <w:color w:val="000000"/>
          <w:szCs w:val="20"/>
        </w:rPr>
        <w:t>during</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alternate</w:t>
      </w:r>
      <w:r w:rsidR="00C64050">
        <w:rPr>
          <w:color w:val="000000"/>
          <w:szCs w:val="20"/>
        </w:rPr>
        <w:t xml:space="preserve"> </w:t>
      </w:r>
      <w:r w:rsidRPr="00454670">
        <w:rPr>
          <w:color w:val="000000"/>
          <w:szCs w:val="20"/>
        </w:rPr>
        <w:t>valuation</w:t>
      </w:r>
      <w:r w:rsidR="00C64050">
        <w:rPr>
          <w:color w:val="000000"/>
          <w:szCs w:val="20"/>
        </w:rPr>
        <w:t xml:space="preserve"> </w:t>
      </w:r>
      <w:r w:rsidRPr="00454670">
        <w:rPr>
          <w:color w:val="000000"/>
          <w:szCs w:val="20"/>
        </w:rPr>
        <w:t>period.</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result</w:t>
      </w:r>
      <w:r w:rsidR="00C64050">
        <w:rPr>
          <w:color w:val="000000"/>
          <w:szCs w:val="20"/>
        </w:rPr>
        <w:t xml:space="preserve"> </w:t>
      </w:r>
      <w:r w:rsidRPr="00454670">
        <w:rPr>
          <w:color w:val="000000"/>
          <w:szCs w:val="20"/>
        </w:rPr>
        <w:t>also</w:t>
      </w:r>
      <w:r w:rsidR="00C64050">
        <w:rPr>
          <w:color w:val="000000"/>
          <w:szCs w:val="20"/>
        </w:rPr>
        <w:t xml:space="preserve"> </w:t>
      </w:r>
      <w:r w:rsidRPr="00454670">
        <w:rPr>
          <w:color w:val="000000"/>
          <w:szCs w:val="20"/>
        </w:rPr>
        <w:t>would</w:t>
      </w:r>
      <w:r w:rsidR="00C64050">
        <w:rPr>
          <w:color w:val="000000"/>
          <w:szCs w:val="20"/>
        </w:rPr>
        <w:t xml:space="preserve"> </w:t>
      </w:r>
      <w:r w:rsidRPr="00454670">
        <w:rPr>
          <w:color w:val="000000"/>
          <w:szCs w:val="20"/>
        </w:rPr>
        <w:t>be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same</w:t>
      </w:r>
      <w:r w:rsidR="00C64050">
        <w:rPr>
          <w:color w:val="000000"/>
          <w:szCs w:val="20"/>
        </w:rPr>
        <w:t xml:space="preserve"> </w:t>
      </w:r>
      <w:r w:rsidRPr="00454670">
        <w:rPr>
          <w:color w:val="000000"/>
          <w:szCs w:val="20"/>
        </w:rPr>
        <w:t>if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bond</w:t>
      </w:r>
      <w:r w:rsidR="00C64050">
        <w:rPr>
          <w:color w:val="000000"/>
          <w:szCs w:val="20"/>
        </w:rPr>
        <w:t xml:space="preserve"> </w:t>
      </w:r>
      <w:r w:rsidRPr="00454670">
        <w:rPr>
          <w:color w:val="000000"/>
          <w:szCs w:val="20"/>
        </w:rPr>
        <w:t>was</w:t>
      </w:r>
      <w:r w:rsidR="00C64050">
        <w:rPr>
          <w:color w:val="000000"/>
          <w:szCs w:val="20"/>
        </w:rPr>
        <w:t xml:space="preserve"> </w:t>
      </w:r>
      <w:r w:rsidRPr="00454670">
        <w:rPr>
          <w:color w:val="000000"/>
          <w:szCs w:val="20"/>
        </w:rPr>
        <w:t>held</w:t>
      </w:r>
      <w:r w:rsidR="00C64050">
        <w:rPr>
          <w:color w:val="000000"/>
          <w:szCs w:val="20"/>
        </w:rPr>
        <w:t xml:space="preserve"> </w:t>
      </w:r>
      <w:r w:rsidRPr="00454670">
        <w:rPr>
          <w:color w:val="000000"/>
          <w:szCs w:val="20"/>
        </w:rPr>
        <w:t>within</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retirement</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(IRA</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similar</w:t>
      </w:r>
      <w:r w:rsidR="00C64050">
        <w:rPr>
          <w:color w:val="000000"/>
          <w:szCs w:val="20"/>
        </w:rPr>
        <w:t xml:space="preserve"> </w:t>
      </w:r>
      <w:r w:rsidRPr="00454670">
        <w:rPr>
          <w:color w:val="000000"/>
          <w:szCs w:val="20"/>
        </w:rPr>
        <w:t>trust</w:t>
      </w:r>
      <w:r w:rsidR="00C64050">
        <w:rPr>
          <w:color w:val="000000"/>
          <w:szCs w:val="20"/>
        </w:rPr>
        <w:t xml:space="preserve"> </w:t>
      </w:r>
      <w:r w:rsidRPr="00454670">
        <w:rPr>
          <w:color w:val="000000"/>
          <w:szCs w:val="20"/>
        </w:rPr>
        <w:t>such</w:t>
      </w:r>
      <w:r w:rsidR="00C64050">
        <w:rPr>
          <w:color w:val="000000"/>
          <w:szCs w:val="20"/>
        </w:rPr>
        <w:t xml:space="preserve"> </w:t>
      </w:r>
      <w:r w:rsidRPr="00454670">
        <w:rPr>
          <w:color w:val="000000"/>
          <w:szCs w:val="20"/>
        </w:rPr>
        <w:t>as</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Roth</w:t>
      </w:r>
      <w:r w:rsidR="00C64050">
        <w:rPr>
          <w:color w:val="000000"/>
          <w:szCs w:val="20"/>
        </w:rPr>
        <w:t xml:space="preserve"> </w:t>
      </w:r>
      <w:r w:rsidRPr="00454670">
        <w:rPr>
          <w:color w:val="000000"/>
          <w:szCs w:val="20"/>
        </w:rPr>
        <w:t>IRA,</w:t>
      </w:r>
      <w:r w:rsidR="00C64050">
        <w:rPr>
          <w:color w:val="000000"/>
          <w:szCs w:val="20"/>
        </w:rPr>
        <w:t xml:space="preserve"> </w:t>
      </w:r>
      <w:r w:rsidRPr="00454670">
        <w:rPr>
          <w:color w:val="000000"/>
          <w:szCs w:val="20"/>
        </w:rPr>
        <w:t>403(b)</w:t>
      </w:r>
      <w:r w:rsidR="00C64050">
        <w:rPr>
          <w:color w:val="000000"/>
          <w:szCs w:val="20"/>
        </w:rPr>
        <w:t xml:space="preserve"> </w:t>
      </w:r>
      <w:r w:rsidRPr="00454670">
        <w:rPr>
          <w:color w:val="000000"/>
          <w:szCs w:val="20"/>
        </w:rPr>
        <w:t>plan,</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401(k)</w:t>
      </w:r>
      <w:r w:rsidR="00C64050">
        <w:rPr>
          <w:color w:val="000000"/>
          <w:szCs w:val="20"/>
        </w:rPr>
        <w:t xml:space="preserve"> </w:t>
      </w:r>
      <w:r w:rsidRPr="00454670">
        <w:rPr>
          <w:color w:val="000000"/>
          <w:szCs w:val="20"/>
        </w:rPr>
        <w:t>plan).</w:t>
      </w:r>
      <w:r w:rsidR="00C64050">
        <w:rPr>
          <w:color w:val="000000"/>
          <w:szCs w:val="20"/>
        </w:rPr>
        <w:t xml:space="preserve"> </w:t>
      </w:r>
    </w:p>
    <w:p w:rsidR="00485DB9" w:rsidRPr="00454670" w:rsidRDefault="00856D6A" w:rsidP="00E54F20">
      <w:pPr>
        <w:pStyle w:val="QS10"/>
        <w:rPr>
          <w:color w:val="000000"/>
          <w:szCs w:val="20"/>
        </w:rPr>
      </w:pPr>
      <w:r w:rsidRPr="00454670">
        <w:rPr>
          <w:color w:val="000000"/>
          <w:szCs w:val="20"/>
          <w:u w:val="single"/>
        </w:rPr>
        <w:t>Example</w:t>
      </w:r>
      <w:r w:rsidR="00C64050">
        <w:rPr>
          <w:color w:val="000000"/>
          <w:szCs w:val="20"/>
          <w:u w:val="single"/>
        </w:rPr>
        <w:t xml:space="preserve"> </w:t>
      </w:r>
      <w:r w:rsidRPr="00454670">
        <w:rPr>
          <w:color w:val="000000"/>
          <w:szCs w:val="20"/>
          <w:u w:val="single"/>
        </w:rPr>
        <w:t>11</w:t>
      </w:r>
      <w:r w:rsidRPr="00454670">
        <w:rPr>
          <w:color w:val="000000"/>
          <w:szCs w:val="20"/>
        </w:rPr>
        <w:t>.</w:t>
      </w:r>
      <w:r w:rsidR="00C64050">
        <w:rPr>
          <w:color w:val="000000"/>
          <w:szCs w:val="20"/>
        </w:rPr>
        <w:t xml:space="preserve"> </w:t>
      </w:r>
      <w:r w:rsidRPr="00454670">
        <w:rPr>
          <w:color w:val="000000"/>
          <w:szCs w:val="20"/>
        </w:rPr>
        <w:t>Assume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same</w:t>
      </w:r>
      <w:r w:rsidR="00C64050">
        <w:rPr>
          <w:color w:val="000000"/>
          <w:szCs w:val="20"/>
        </w:rPr>
        <w:t xml:space="preserve"> </w:t>
      </w:r>
      <w:r w:rsidRPr="00454670">
        <w:rPr>
          <w:color w:val="000000"/>
          <w:szCs w:val="20"/>
        </w:rPr>
        <w:t>facts</w:t>
      </w:r>
      <w:r w:rsidR="00C64050">
        <w:rPr>
          <w:color w:val="000000"/>
          <w:szCs w:val="20"/>
        </w:rPr>
        <w:t xml:space="preserve"> </w:t>
      </w:r>
      <w:r w:rsidRPr="00454670">
        <w:rPr>
          <w:color w:val="000000"/>
          <w:szCs w:val="20"/>
        </w:rPr>
        <w:t>as</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u w:val="single"/>
        </w:rPr>
        <w:t>Example</w:t>
      </w:r>
      <w:r w:rsidR="00C64050">
        <w:rPr>
          <w:color w:val="000000"/>
          <w:szCs w:val="20"/>
          <w:u w:val="single"/>
        </w:rPr>
        <w:t xml:space="preserve"> </w:t>
      </w:r>
      <w:r w:rsidRPr="00454670">
        <w:rPr>
          <w:color w:val="000000"/>
          <w:szCs w:val="20"/>
          <w:u w:val="single"/>
        </w:rPr>
        <w:t>9</w:t>
      </w:r>
      <w:r w:rsidR="00C64050">
        <w:rPr>
          <w:color w:val="000000"/>
          <w:szCs w:val="20"/>
        </w:rPr>
        <w:t xml:space="preserve"> </w:t>
      </w:r>
      <w:r w:rsidRPr="00454670">
        <w:rPr>
          <w:color w:val="000000"/>
          <w:szCs w:val="20"/>
        </w:rPr>
        <w:t>except</w:t>
      </w:r>
      <w:r w:rsidR="00C64050">
        <w:rPr>
          <w:color w:val="000000"/>
          <w:szCs w:val="20"/>
        </w:rPr>
        <w:t xml:space="preserve"> </w:t>
      </w:r>
      <w:r w:rsidRPr="00454670">
        <w:rPr>
          <w:color w:val="000000"/>
          <w:szCs w:val="20"/>
        </w:rPr>
        <w:t>that,</w:t>
      </w:r>
      <w:r w:rsidR="00C64050">
        <w:rPr>
          <w:color w:val="000000"/>
          <w:szCs w:val="20"/>
        </w:rPr>
        <w:t xml:space="preserve"> </w:t>
      </w:r>
      <w:r w:rsidRPr="00454670">
        <w:rPr>
          <w:color w:val="000000"/>
          <w:szCs w:val="20"/>
        </w:rPr>
        <w:t>during</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alternate</w:t>
      </w:r>
      <w:r w:rsidR="00C64050">
        <w:rPr>
          <w:color w:val="000000"/>
          <w:szCs w:val="20"/>
        </w:rPr>
        <w:t xml:space="preserve"> </w:t>
      </w:r>
      <w:r w:rsidRPr="00454670">
        <w:rPr>
          <w:color w:val="000000"/>
          <w:szCs w:val="20"/>
        </w:rPr>
        <w:t>valuation</w:t>
      </w:r>
      <w:r w:rsidR="00C64050">
        <w:rPr>
          <w:color w:val="000000"/>
          <w:szCs w:val="20"/>
        </w:rPr>
        <w:t xml:space="preserve"> </w:t>
      </w:r>
      <w:r w:rsidRPr="00454670">
        <w:rPr>
          <w:color w:val="000000"/>
          <w:szCs w:val="20"/>
        </w:rPr>
        <w:t>period,</w:t>
      </w:r>
      <w:r w:rsidR="00C64050">
        <w:rPr>
          <w:color w:val="000000"/>
          <w:szCs w:val="20"/>
        </w:rPr>
        <w:t xml:space="preserve"> </w:t>
      </w:r>
      <w:r w:rsidRPr="00454670">
        <w:rPr>
          <w:color w:val="000000"/>
          <w:szCs w:val="20"/>
        </w:rPr>
        <w:t>Wife</w:t>
      </w:r>
      <w:r w:rsidR="00C64050">
        <w:rPr>
          <w:color w:val="000000"/>
          <w:szCs w:val="20"/>
        </w:rPr>
        <w:t xml:space="preserve"> </w:t>
      </w:r>
      <w:r w:rsidRPr="00454670">
        <w:rPr>
          <w:color w:val="000000"/>
          <w:szCs w:val="20"/>
        </w:rPr>
        <w:t>withdrew</w:t>
      </w:r>
      <w:r w:rsidR="00C64050">
        <w:rPr>
          <w:color w:val="000000"/>
          <w:szCs w:val="20"/>
        </w:rPr>
        <w:t xml:space="preserve"> </w:t>
      </w:r>
      <w:r w:rsidRPr="00454670">
        <w:rPr>
          <w:color w:val="000000"/>
          <w:szCs w:val="20"/>
        </w:rPr>
        <w:t>cash</w:t>
      </w:r>
      <w:r w:rsidR="00C64050">
        <w:rPr>
          <w:color w:val="000000"/>
          <w:szCs w:val="20"/>
        </w:rPr>
        <w:t xml:space="preserve"> </w:t>
      </w:r>
      <w:r w:rsidRPr="00454670">
        <w:rPr>
          <w:color w:val="000000"/>
          <w:szCs w:val="20"/>
        </w:rPr>
        <w:t>from</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otherwise</w:t>
      </w:r>
      <w:r w:rsidR="00C64050">
        <w:rPr>
          <w:color w:val="000000"/>
          <w:szCs w:val="20"/>
        </w:rPr>
        <w:t xml:space="preserve"> </w:t>
      </w:r>
      <w:r w:rsidRPr="00454670">
        <w:rPr>
          <w:color w:val="000000"/>
          <w:szCs w:val="20"/>
        </w:rPr>
        <w:t>received</w:t>
      </w:r>
      <w:r w:rsidR="00C64050">
        <w:rPr>
          <w:color w:val="000000"/>
          <w:szCs w:val="20"/>
        </w:rPr>
        <w:t xml:space="preserve"> </w:t>
      </w:r>
      <w:r w:rsidRPr="00454670">
        <w:rPr>
          <w:color w:val="000000"/>
          <w:szCs w:val="20"/>
        </w:rPr>
        <w:t>income</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other</w:t>
      </w:r>
      <w:r w:rsidR="00C64050">
        <w:rPr>
          <w:color w:val="000000"/>
          <w:szCs w:val="20"/>
        </w:rPr>
        <w:t xml:space="preserve"> </w:t>
      </w:r>
      <w:r w:rsidRPr="00454670">
        <w:rPr>
          <w:color w:val="000000"/>
          <w:szCs w:val="20"/>
        </w:rPr>
        <w:t>disbursements</w:t>
      </w:r>
      <w:r w:rsidR="00C64050">
        <w:rPr>
          <w:color w:val="000000"/>
          <w:szCs w:val="20"/>
        </w:rPr>
        <w:t xml:space="preserve"> </w:t>
      </w:r>
      <w:r w:rsidRPr="00454670">
        <w:rPr>
          <w:color w:val="000000"/>
          <w:szCs w:val="20"/>
        </w:rPr>
        <w:t>from</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Each</w:t>
      </w:r>
      <w:r w:rsidR="00C64050">
        <w:rPr>
          <w:color w:val="000000"/>
          <w:szCs w:val="20"/>
        </w:rPr>
        <w:t xml:space="preserve"> </w:t>
      </w:r>
      <w:r w:rsidRPr="00454670">
        <w:rPr>
          <w:color w:val="000000"/>
          <w:szCs w:val="20"/>
        </w:rPr>
        <w:t>such</w:t>
      </w:r>
      <w:r w:rsidR="00C64050">
        <w:rPr>
          <w:color w:val="000000"/>
          <w:szCs w:val="20"/>
        </w:rPr>
        <w:t xml:space="preserve"> </w:t>
      </w:r>
      <w:r w:rsidRPr="00454670">
        <w:rPr>
          <w:color w:val="000000"/>
          <w:szCs w:val="20"/>
        </w:rPr>
        <w:t>withdrawal</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disbursement</w:t>
      </w:r>
      <w:r w:rsidR="00C64050">
        <w:rPr>
          <w:color w:val="000000"/>
          <w:szCs w:val="20"/>
        </w:rPr>
        <w:t xml:space="preserve"> </w:t>
      </w:r>
      <w:r w:rsidRPr="00454670">
        <w:rPr>
          <w:color w:val="000000"/>
          <w:szCs w:val="20"/>
        </w:rPr>
        <w:t>from</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extent</w:t>
      </w:r>
      <w:r w:rsidR="00C64050">
        <w:rPr>
          <w:color w:val="000000"/>
          <w:szCs w:val="20"/>
        </w:rPr>
        <w:t xml:space="preserve"> </w:t>
      </w:r>
      <w:r w:rsidRPr="00454670">
        <w:rPr>
          <w:color w:val="000000"/>
          <w:szCs w:val="20"/>
        </w:rPr>
        <w:t>it</w:t>
      </w:r>
      <w:r w:rsidR="00C64050">
        <w:rPr>
          <w:color w:val="000000"/>
          <w:szCs w:val="20"/>
        </w:rPr>
        <w:t xml:space="preserve"> </w:t>
      </w:r>
      <w:r w:rsidRPr="00454670">
        <w:rPr>
          <w:color w:val="000000"/>
          <w:szCs w:val="20"/>
        </w:rPr>
        <w:t>consists</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included</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as</w:t>
      </w:r>
      <w:r w:rsidR="00C64050">
        <w:rPr>
          <w:color w:val="000000"/>
          <w:szCs w:val="20"/>
        </w:rPr>
        <w:t xml:space="preserve"> </w:t>
      </w:r>
      <w:r w:rsidRPr="00454670">
        <w:rPr>
          <w:color w:val="000000"/>
          <w:szCs w:val="20"/>
        </w:rPr>
        <w:t>defined</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paragraph</w:t>
      </w:r>
      <w:r w:rsidR="00C64050">
        <w:rPr>
          <w:color w:val="000000"/>
          <w:szCs w:val="20"/>
        </w:rPr>
        <w:t xml:space="preserve"> </w:t>
      </w:r>
      <w:r w:rsidRPr="00454670">
        <w:rPr>
          <w:color w:val="000000"/>
          <w:szCs w:val="20"/>
        </w:rPr>
        <w:t>(d)</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this</w:t>
      </w:r>
      <w:r w:rsidR="00C64050">
        <w:rPr>
          <w:color w:val="000000"/>
          <w:szCs w:val="20"/>
        </w:rPr>
        <w:t xml:space="preserve"> </w:t>
      </w:r>
      <w:r w:rsidRPr="00454670">
        <w:rPr>
          <w:color w:val="000000"/>
          <w:szCs w:val="20"/>
        </w:rPr>
        <w:t>section)</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distribution</w:t>
      </w:r>
      <w:r w:rsidR="00C64050">
        <w:rPr>
          <w:color w:val="000000"/>
          <w:szCs w:val="20"/>
        </w:rPr>
        <w:t xml:space="preserve"> </w:t>
      </w:r>
      <w:r w:rsidRPr="00454670">
        <w:rPr>
          <w:color w:val="000000"/>
          <w:szCs w:val="20"/>
        </w:rPr>
        <w:t>described</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paragraph</w:t>
      </w:r>
      <w:r w:rsidR="00C64050">
        <w:rPr>
          <w:color w:val="000000"/>
          <w:szCs w:val="20"/>
        </w:rPr>
        <w:t xml:space="preserve"> </w:t>
      </w:r>
      <w:r w:rsidRPr="00454670">
        <w:rPr>
          <w:color w:val="000000"/>
          <w:szCs w:val="20"/>
        </w:rPr>
        <w:t>(c)(1)(i)(I)(</w:t>
      </w:r>
      <w:r w:rsidRPr="00454670">
        <w:rPr>
          <w:color w:val="000000"/>
          <w:szCs w:val="20"/>
          <w:u w:val="single"/>
        </w:rPr>
        <w:t>4</w:t>
      </w:r>
      <w:r w:rsidRPr="00454670">
        <w:rPr>
          <w:color w:val="000000"/>
          <w:szCs w:val="20"/>
        </w:rPr>
        <w:t>)</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this</w:t>
      </w:r>
      <w:r w:rsidR="00C64050">
        <w:rPr>
          <w:color w:val="000000"/>
          <w:szCs w:val="20"/>
        </w:rPr>
        <w:t xml:space="preserve"> </w:t>
      </w:r>
      <w:r w:rsidRPr="00454670">
        <w:rPr>
          <w:color w:val="000000"/>
          <w:szCs w:val="20"/>
        </w:rPr>
        <w:t>section.</w:t>
      </w:r>
      <w:r w:rsidR="00C64050">
        <w:rPr>
          <w:color w:val="000000"/>
          <w:szCs w:val="20"/>
        </w:rPr>
        <w:t xml:space="preserve"> </w:t>
      </w:r>
      <w:r w:rsidRPr="00454670">
        <w:rPr>
          <w:color w:val="000000"/>
          <w:szCs w:val="20"/>
        </w:rPr>
        <w:t>Provided</w:t>
      </w:r>
      <w:r w:rsidR="00C64050">
        <w:rPr>
          <w:color w:val="000000"/>
          <w:szCs w:val="20"/>
        </w:rPr>
        <w:t xml:space="preserve"> </w:t>
      </w:r>
      <w:r w:rsidRPr="00454670">
        <w:rPr>
          <w:color w:val="000000"/>
          <w:szCs w:val="20"/>
        </w:rPr>
        <w:t>that,</w:t>
      </w:r>
      <w:r w:rsidR="00C64050">
        <w:rPr>
          <w:color w:val="000000"/>
          <w:szCs w:val="20"/>
        </w:rPr>
        <w:t xml:space="preserve"> </w:t>
      </w:r>
      <w:r w:rsidRPr="00454670">
        <w:rPr>
          <w:color w:val="000000"/>
          <w:szCs w:val="20"/>
        </w:rPr>
        <w:t>on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each</w:t>
      </w:r>
      <w:r w:rsidR="00C64050">
        <w:rPr>
          <w:color w:val="000000"/>
          <w:szCs w:val="20"/>
        </w:rPr>
        <w:t xml:space="preserve"> </w:t>
      </w:r>
      <w:r w:rsidRPr="00454670">
        <w:rPr>
          <w:color w:val="000000"/>
          <w:szCs w:val="20"/>
        </w:rPr>
        <w:t>distribution,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before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distribution</w:t>
      </w:r>
      <w:r w:rsidR="00C64050">
        <w:rPr>
          <w:color w:val="000000"/>
          <w:szCs w:val="20"/>
        </w:rPr>
        <w:t xml:space="preserve"> </w:t>
      </w:r>
      <w:r w:rsidRPr="00454670">
        <w:rPr>
          <w:color w:val="000000"/>
          <w:szCs w:val="20"/>
        </w:rPr>
        <w:t>(not</w:t>
      </w:r>
      <w:r w:rsidR="00C64050">
        <w:rPr>
          <w:color w:val="000000"/>
          <w:szCs w:val="20"/>
        </w:rPr>
        <w:t xml:space="preserve"> </w:t>
      </w:r>
      <w:r w:rsidRPr="00454670">
        <w:rPr>
          <w:color w:val="000000"/>
          <w:szCs w:val="20"/>
        </w:rPr>
        <w:t>including</w:t>
      </w:r>
      <w:r w:rsidR="00C64050">
        <w:rPr>
          <w:color w:val="000000"/>
          <w:szCs w:val="20"/>
        </w:rPr>
        <w:t xml:space="preserve"> </w:t>
      </w:r>
      <w:r w:rsidRPr="00454670">
        <w:rPr>
          <w:color w:val="000000"/>
          <w:szCs w:val="20"/>
        </w:rPr>
        <w:t>excluded</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equals</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sum</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included</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distributed</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included</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immediately</w:t>
      </w:r>
      <w:r w:rsidR="00C64050">
        <w:rPr>
          <w:color w:val="000000"/>
          <w:szCs w:val="20"/>
        </w:rPr>
        <w:t xml:space="preserve"> </w:t>
      </w:r>
      <w:r w:rsidRPr="00454670">
        <w:rPr>
          <w:color w:val="000000"/>
          <w:szCs w:val="20"/>
        </w:rPr>
        <w:t>after</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distribution</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accordance</w:t>
      </w:r>
      <w:r w:rsidR="00C64050">
        <w:rPr>
          <w:color w:val="000000"/>
          <w:szCs w:val="20"/>
        </w:rPr>
        <w:t xml:space="preserve"> </w:t>
      </w:r>
      <w:r w:rsidRPr="00454670">
        <w:rPr>
          <w:color w:val="000000"/>
          <w:szCs w:val="20"/>
        </w:rPr>
        <w:t>with</w:t>
      </w:r>
      <w:r w:rsidR="00C64050">
        <w:rPr>
          <w:color w:val="000000"/>
          <w:szCs w:val="20"/>
        </w:rPr>
        <w:t xml:space="preserve"> </w:t>
      </w:r>
      <w:r w:rsidRPr="00454670">
        <w:rPr>
          <w:color w:val="000000"/>
          <w:szCs w:val="20"/>
        </w:rPr>
        <w:t>paragraph</w:t>
      </w:r>
      <w:r w:rsidR="00C64050">
        <w:rPr>
          <w:color w:val="000000"/>
          <w:szCs w:val="20"/>
        </w:rPr>
        <w:t xml:space="preserve"> </w:t>
      </w:r>
      <w:r w:rsidRPr="00454670">
        <w:rPr>
          <w:color w:val="000000"/>
          <w:szCs w:val="20"/>
        </w:rPr>
        <w:t>(c)(1)(iii)(A)</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this</w:t>
      </w:r>
      <w:r w:rsidR="00C64050">
        <w:rPr>
          <w:color w:val="000000"/>
          <w:szCs w:val="20"/>
        </w:rPr>
        <w:t xml:space="preserve"> </w:t>
      </w:r>
      <w:r w:rsidRPr="00454670">
        <w:rPr>
          <w:color w:val="000000"/>
          <w:szCs w:val="20"/>
        </w:rPr>
        <w:t>section,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alternate</w:t>
      </w:r>
      <w:r w:rsidR="00C64050">
        <w:rPr>
          <w:color w:val="000000"/>
          <w:szCs w:val="20"/>
        </w:rPr>
        <w:t xml:space="preserve"> </w:t>
      </w:r>
      <w:r w:rsidRPr="00454670">
        <w:rPr>
          <w:color w:val="000000"/>
          <w:szCs w:val="20"/>
        </w:rPr>
        <w:t>valuation</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for</w:t>
      </w:r>
      <w:r w:rsidR="00C64050">
        <w:rPr>
          <w:color w:val="000000"/>
          <w:szCs w:val="20"/>
        </w:rPr>
        <w:t xml:space="preserve"> </w:t>
      </w:r>
      <w:r w:rsidRPr="00454670">
        <w:rPr>
          <w:color w:val="000000"/>
          <w:szCs w:val="20"/>
        </w:rPr>
        <w:t>each</w:t>
      </w:r>
      <w:r w:rsidR="00C64050">
        <w:rPr>
          <w:color w:val="000000"/>
          <w:szCs w:val="20"/>
        </w:rPr>
        <w:t xml:space="preserve"> </w:t>
      </w:r>
      <w:r w:rsidRPr="00454670">
        <w:rPr>
          <w:color w:val="000000"/>
          <w:szCs w:val="20"/>
        </w:rPr>
        <w:t>distribution</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distribution</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alternate</w:t>
      </w:r>
      <w:r w:rsidR="00C64050">
        <w:rPr>
          <w:color w:val="000000"/>
          <w:szCs w:val="20"/>
        </w:rPr>
        <w:t xml:space="preserve"> </w:t>
      </w:r>
      <w:r w:rsidRPr="00454670">
        <w:rPr>
          <w:color w:val="000000"/>
          <w:szCs w:val="20"/>
        </w:rPr>
        <w:t>valuation</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for</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6-month</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to</w:t>
      </w:r>
      <w:r w:rsidR="00C64050">
        <w:rPr>
          <w:color w:val="000000"/>
          <w:szCs w:val="20"/>
        </w:rPr>
        <w:t xml:space="preserve"> </w:t>
      </w:r>
      <w:r w:rsidRPr="00454670">
        <w:rPr>
          <w:color w:val="000000"/>
          <w:szCs w:val="20"/>
        </w:rPr>
        <w:t>be</w:t>
      </w:r>
      <w:r w:rsidR="00C64050">
        <w:rPr>
          <w:color w:val="000000"/>
          <w:szCs w:val="20"/>
        </w:rPr>
        <w:t xml:space="preserve"> </w:t>
      </w:r>
      <w:r w:rsidRPr="00454670">
        <w:rPr>
          <w:color w:val="000000"/>
          <w:szCs w:val="20"/>
        </w:rPr>
        <w:t>included</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gross</w:t>
      </w:r>
      <w:r w:rsidR="00C64050">
        <w:rPr>
          <w:color w:val="000000"/>
          <w:szCs w:val="20"/>
        </w:rPr>
        <w:t xml:space="preserve"> </w:t>
      </w:r>
      <w:r w:rsidRPr="00454670">
        <w:rPr>
          <w:color w:val="000000"/>
          <w:szCs w:val="20"/>
        </w:rPr>
        <w:t>estate</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each</w:t>
      </w:r>
      <w:r w:rsidR="00C64050">
        <w:rPr>
          <w:color w:val="000000"/>
          <w:szCs w:val="20"/>
        </w:rPr>
        <w:t xml:space="preserve"> </w:t>
      </w:r>
      <w:r w:rsidRPr="00454670">
        <w:rPr>
          <w:color w:val="000000"/>
          <w:szCs w:val="20"/>
        </w:rPr>
        <w:t>distribution</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included</w:t>
      </w:r>
      <w:r w:rsidR="00C64050">
        <w:rPr>
          <w:color w:val="000000"/>
          <w:szCs w:val="20"/>
        </w:rPr>
        <w:t xml:space="preserve"> </w:t>
      </w:r>
      <w:r w:rsidRPr="00454670">
        <w:rPr>
          <w:color w:val="000000"/>
          <w:szCs w:val="20"/>
        </w:rPr>
        <w:t>property</w:t>
      </w:r>
      <w:r w:rsidR="00C64050">
        <w:rPr>
          <w:color w:val="000000"/>
          <w:szCs w:val="20"/>
        </w:rPr>
        <w:t xml:space="preserve"> </w:t>
      </w:r>
      <w:r w:rsidRPr="00454670">
        <w:rPr>
          <w:color w:val="000000"/>
          <w:szCs w:val="20"/>
        </w:rPr>
        <w:t>(determined</w:t>
      </w:r>
      <w:r w:rsidR="00C64050">
        <w:rPr>
          <w:color w:val="000000"/>
          <w:szCs w:val="20"/>
        </w:rPr>
        <w:t xml:space="preserve"> </w:t>
      </w:r>
      <w:r w:rsidRPr="00454670">
        <w:rPr>
          <w:color w:val="000000"/>
          <w:szCs w:val="20"/>
        </w:rPr>
        <w:t>as</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distribution)</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fair</w:t>
      </w:r>
      <w:r w:rsidR="00C64050">
        <w:rPr>
          <w:color w:val="000000"/>
          <w:szCs w:val="20"/>
        </w:rPr>
        <w:t xml:space="preserve"> </w:t>
      </w:r>
      <w:r w:rsidRPr="00454670">
        <w:rPr>
          <w:color w:val="000000"/>
          <w:szCs w:val="20"/>
        </w:rPr>
        <w:t>market</w:t>
      </w:r>
      <w:r w:rsidR="00C64050">
        <w:rPr>
          <w:color w:val="000000"/>
          <w:szCs w:val="20"/>
        </w:rPr>
        <w:t xml:space="preserve"> </w:t>
      </w:r>
      <w:r w:rsidRPr="00454670">
        <w:rPr>
          <w:color w:val="000000"/>
          <w:szCs w:val="20"/>
        </w:rPr>
        <w:t>value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on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6-month</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result</w:t>
      </w:r>
      <w:r w:rsidR="00C64050">
        <w:rPr>
          <w:color w:val="000000"/>
          <w:szCs w:val="20"/>
        </w:rPr>
        <w:t xml:space="preserve"> </w:t>
      </w:r>
      <w:r w:rsidRPr="00454670">
        <w:rPr>
          <w:color w:val="000000"/>
          <w:szCs w:val="20"/>
        </w:rPr>
        <w:t>would</w:t>
      </w:r>
      <w:r w:rsidR="00C64050">
        <w:rPr>
          <w:color w:val="000000"/>
          <w:szCs w:val="20"/>
        </w:rPr>
        <w:t xml:space="preserve"> </w:t>
      </w:r>
      <w:r w:rsidRPr="00454670">
        <w:rPr>
          <w:color w:val="000000"/>
          <w:szCs w:val="20"/>
        </w:rPr>
        <w:t>be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same</w:t>
      </w:r>
      <w:r w:rsidR="00C64050">
        <w:rPr>
          <w:color w:val="000000"/>
          <w:szCs w:val="20"/>
        </w:rPr>
        <w:t xml:space="preserve"> </w:t>
      </w:r>
      <w:r w:rsidRPr="00454670">
        <w:rPr>
          <w:color w:val="000000"/>
          <w:szCs w:val="20"/>
        </w:rPr>
        <w:t>if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assets</w:t>
      </w:r>
      <w:r w:rsidR="00C64050">
        <w:rPr>
          <w:color w:val="000000"/>
          <w:szCs w:val="20"/>
        </w:rPr>
        <w:t xml:space="preserve"> </w:t>
      </w:r>
      <w:r w:rsidRPr="00454670">
        <w:rPr>
          <w:color w:val="000000"/>
          <w:szCs w:val="20"/>
        </w:rPr>
        <w:t>were</w:t>
      </w:r>
      <w:r w:rsidR="00C64050">
        <w:rPr>
          <w:color w:val="000000"/>
          <w:szCs w:val="20"/>
        </w:rPr>
        <w:t xml:space="preserve"> </w:t>
      </w:r>
      <w:r w:rsidRPr="00454670">
        <w:rPr>
          <w:color w:val="000000"/>
          <w:szCs w:val="20"/>
        </w:rPr>
        <w:t>held</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an</w:t>
      </w:r>
      <w:r w:rsidR="00C64050">
        <w:rPr>
          <w:color w:val="000000"/>
          <w:szCs w:val="20"/>
        </w:rPr>
        <w:t xml:space="preserve"> </w:t>
      </w:r>
      <w:r w:rsidRPr="00454670">
        <w:rPr>
          <w:color w:val="000000"/>
          <w:szCs w:val="20"/>
        </w:rPr>
        <w:t>IRA</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similar</w:t>
      </w:r>
      <w:r w:rsidR="00C64050">
        <w:rPr>
          <w:color w:val="000000"/>
          <w:szCs w:val="20"/>
        </w:rPr>
        <w:t xml:space="preserve"> </w:t>
      </w:r>
      <w:r w:rsidRPr="00454670">
        <w:rPr>
          <w:color w:val="000000"/>
          <w:szCs w:val="20"/>
        </w:rPr>
        <w:t>trust,</w:t>
      </w:r>
      <w:r w:rsidR="00C64050">
        <w:rPr>
          <w:color w:val="000000"/>
          <w:szCs w:val="20"/>
        </w:rPr>
        <w:t xml:space="preserve"> </w:t>
      </w:r>
      <w:r w:rsidRPr="00454670">
        <w:rPr>
          <w:color w:val="000000"/>
          <w:szCs w:val="20"/>
        </w:rPr>
        <w:t>such</w:t>
      </w:r>
      <w:r w:rsidR="00C64050">
        <w:rPr>
          <w:color w:val="000000"/>
          <w:szCs w:val="20"/>
        </w:rPr>
        <w:t xml:space="preserve"> </w:t>
      </w:r>
      <w:r w:rsidRPr="00454670">
        <w:rPr>
          <w:color w:val="000000"/>
          <w:szCs w:val="20"/>
        </w:rPr>
        <w:t>as</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Roth</w:t>
      </w:r>
      <w:r w:rsidR="00C64050">
        <w:rPr>
          <w:color w:val="000000"/>
          <w:szCs w:val="20"/>
        </w:rPr>
        <w:t xml:space="preserve"> </w:t>
      </w:r>
      <w:r w:rsidRPr="00454670">
        <w:rPr>
          <w:color w:val="000000"/>
          <w:szCs w:val="20"/>
        </w:rPr>
        <w:t>IRA,</w:t>
      </w:r>
      <w:r w:rsidR="00C64050">
        <w:rPr>
          <w:color w:val="000000"/>
          <w:szCs w:val="20"/>
        </w:rPr>
        <w:t xml:space="preserve"> </w:t>
      </w:r>
      <w:r w:rsidRPr="00454670">
        <w:rPr>
          <w:color w:val="000000"/>
          <w:szCs w:val="20"/>
        </w:rPr>
        <w:t>403(b)</w:t>
      </w:r>
      <w:r w:rsidR="00C64050">
        <w:rPr>
          <w:color w:val="000000"/>
          <w:szCs w:val="20"/>
        </w:rPr>
        <w:t xml:space="preserve"> </w:t>
      </w:r>
      <w:r w:rsidRPr="00454670">
        <w:rPr>
          <w:color w:val="000000"/>
          <w:szCs w:val="20"/>
        </w:rPr>
        <w:t>plan,</w:t>
      </w:r>
      <w:r w:rsidR="00C64050">
        <w:rPr>
          <w:color w:val="000000"/>
          <w:szCs w:val="20"/>
        </w:rPr>
        <w:t xml:space="preserve"> </w:t>
      </w:r>
      <w:r w:rsidRPr="00454670">
        <w:rPr>
          <w:color w:val="000000"/>
          <w:szCs w:val="20"/>
        </w:rPr>
        <w:t>or</w:t>
      </w:r>
      <w:r w:rsidR="00C64050">
        <w:rPr>
          <w:color w:val="000000"/>
          <w:szCs w:val="20"/>
        </w:rPr>
        <w:t xml:space="preserve"> </w:t>
      </w:r>
      <w:r w:rsidRPr="00454670">
        <w:rPr>
          <w:color w:val="000000"/>
          <w:szCs w:val="20"/>
        </w:rPr>
        <w:t>401(k)</w:t>
      </w:r>
      <w:r w:rsidR="00C64050">
        <w:rPr>
          <w:color w:val="000000"/>
          <w:szCs w:val="20"/>
        </w:rPr>
        <w:t xml:space="preserve"> </w:t>
      </w:r>
      <w:r w:rsidRPr="00454670">
        <w:rPr>
          <w:color w:val="000000"/>
          <w:szCs w:val="20"/>
        </w:rPr>
        <w:t>plan.</w:t>
      </w:r>
      <w:r w:rsidR="00C64050">
        <w:rPr>
          <w:color w:val="000000"/>
          <w:szCs w:val="20"/>
        </w:rPr>
        <w:t xml:space="preserve"> </w:t>
      </w:r>
    </w:p>
    <w:p w:rsidR="00485DB9" w:rsidRDefault="00856D6A" w:rsidP="00E54F20">
      <w:pPr>
        <w:pStyle w:val="QS10"/>
        <w:rPr>
          <w:color w:val="000000"/>
          <w:szCs w:val="20"/>
        </w:rPr>
      </w:pPr>
      <w:r w:rsidRPr="00454670">
        <w:rPr>
          <w:color w:val="000000"/>
          <w:szCs w:val="20"/>
          <w:u w:val="single"/>
        </w:rPr>
        <w:t>Example</w:t>
      </w:r>
      <w:r w:rsidR="00C64050">
        <w:rPr>
          <w:color w:val="000000"/>
          <w:szCs w:val="20"/>
          <w:u w:val="single"/>
        </w:rPr>
        <w:t xml:space="preserve"> </w:t>
      </w:r>
      <w:r w:rsidRPr="00454670">
        <w:rPr>
          <w:color w:val="000000"/>
          <w:szCs w:val="20"/>
          <w:u w:val="single"/>
        </w:rPr>
        <w:t>12</w:t>
      </w:r>
      <w:r w:rsidRPr="00454670">
        <w:rPr>
          <w:color w:val="000000"/>
          <w:szCs w:val="20"/>
        </w:rPr>
        <w:t>.</w:t>
      </w:r>
      <w:r w:rsidR="00C64050">
        <w:rPr>
          <w:color w:val="000000"/>
          <w:szCs w:val="20"/>
        </w:rPr>
        <w:t xml:space="preserve"> </w:t>
      </w:r>
      <w:r w:rsidRPr="00454670">
        <w:rPr>
          <w:color w:val="000000"/>
          <w:szCs w:val="20"/>
        </w:rPr>
        <w:t>Husband</w:t>
      </w:r>
      <w:r w:rsidR="00C64050">
        <w:rPr>
          <w:color w:val="000000"/>
          <w:szCs w:val="20"/>
        </w:rPr>
        <w:t xml:space="preserve"> </w:t>
      </w:r>
      <w:r w:rsidRPr="00454670">
        <w:rPr>
          <w:color w:val="000000"/>
          <w:szCs w:val="20"/>
        </w:rPr>
        <w:t>died</w:t>
      </w:r>
      <w:r w:rsidR="00C64050">
        <w:rPr>
          <w:color w:val="000000"/>
          <w:szCs w:val="20"/>
        </w:rPr>
        <w:t xml:space="preserve"> </w:t>
      </w:r>
      <w:r w:rsidRPr="00454670">
        <w:rPr>
          <w:color w:val="000000"/>
          <w:szCs w:val="20"/>
        </w:rPr>
        <w:t>with</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retirement</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having</w:t>
      </w:r>
      <w:r w:rsidR="00C64050">
        <w:rPr>
          <w:color w:val="000000"/>
          <w:szCs w:val="20"/>
        </w:rPr>
        <w:t xml:space="preserve"> </w:t>
      </w:r>
      <w:r w:rsidRPr="00454670">
        <w:rPr>
          <w:color w:val="000000"/>
          <w:szCs w:val="20"/>
        </w:rPr>
        <w:t>named</w:t>
      </w:r>
      <w:r w:rsidR="00C64050">
        <w:rPr>
          <w:color w:val="000000"/>
          <w:szCs w:val="20"/>
        </w:rPr>
        <w:t xml:space="preserve"> </w:t>
      </w:r>
      <w:r w:rsidRPr="00454670">
        <w:rPr>
          <w:color w:val="000000"/>
          <w:szCs w:val="20"/>
        </w:rPr>
        <w:t>his</w:t>
      </w:r>
      <w:r w:rsidR="00C64050">
        <w:rPr>
          <w:color w:val="000000"/>
          <w:szCs w:val="20"/>
        </w:rPr>
        <w:t xml:space="preserve"> </w:t>
      </w:r>
      <w:r w:rsidRPr="00454670">
        <w:rPr>
          <w:color w:val="000000"/>
          <w:szCs w:val="20"/>
        </w:rPr>
        <w:t>three</w:t>
      </w:r>
      <w:r w:rsidR="00C64050">
        <w:rPr>
          <w:color w:val="000000"/>
          <w:szCs w:val="20"/>
        </w:rPr>
        <w:t xml:space="preserve"> </w:t>
      </w:r>
      <w:r w:rsidRPr="00454670">
        <w:rPr>
          <w:color w:val="000000"/>
          <w:szCs w:val="20"/>
        </w:rPr>
        <w:t>children,</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specified</w:t>
      </w:r>
      <w:r w:rsidR="00C64050">
        <w:rPr>
          <w:color w:val="000000"/>
          <w:szCs w:val="20"/>
        </w:rPr>
        <w:t xml:space="preserve"> </w:t>
      </w:r>
      <w:r w:rsidRPr="00454670">
        <w:rPr>
          <w:color w:val="000000"/>
          <w:szCs w:val="20"/>
        </w:rPr>
        <w:t>shares</w:t>
      </w:r>
      <w:r w:rsidR="00C64050">
        <w:rPr>
          <w:color w:val="000000"/>
          <w:szCs w:val="20"/>
        </w:rPr>
        <w:t xml:space="preserve"> </w:t>
      </w:r>
      <w:r w:rsidRPr="00454670">
        <w:rPr>
          <w:color w:val="000000"/>
          <w:szCs w:val="20"/>
        </w:rPr>
        <w:t>totaling</w:t>
      </w:r>
      <w:r w:rsidR="00C64050">
        <w:rPr>
          <w:color w:val="000000"/>
          <w:szCs w:val="20"/>
        </w:rPr>
        <w:t xml:space="preserve"> </w:t>
      </w:r>
      <w:r w:rsidRPr="00454670">
        <w:rPr>
          <w:color w:val="000000"/>
          <w:szCs w:val="20"/>
        </w:rPr>
        <w:t>100%,</w:t>
      </w:r>
      <w:r w:rsidR="00C64050">
        <w:rPr>
          <w:color w:val="000000"/>
          <w:szCs w:val="20"/>
        </w:rPr>
        <w:t xml:space="preserve"> </w:t>
      </w:r>
      <w:r w:rsidRPr="00454670">
        <w:rPr>
          <w:color w:val="000000"/>
          <w:szCs w:val="20"/>
        </w:rPr>
        <w:t>as</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designated</w:t>
      </w:r>
      <w:r w:rsidR="00C64050">
        <w:rPr>
          <w:color w:val="000000"/>
          <w:szCs w:val="20"/>
        </w:rPr>
        <w:t xml:space="preserve"> </w:t>
      </w:r>
      <w:r w:rsidRPr="00454670">
        <w:rPr>
          <w:color w:val="000000"/>
          <w:szCs w:val="20"/>
        </w:rPr>
        <w:t>beneficiaries</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that</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During</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alternate</w:t>
      </w:r>
      <w:r w:rsidR="00C64050">
        <w:rPr>
          <w:color w:val="000000"/>
          <w:szCs w:val="20"/>
        </w:rPr>
        <w:t xml:space="preserve"> </w:t>
      </w:r>
      <w:r w:rsidRPr="00454670">
        <w:rPr>
          <w:color w:val="000000"/>
          <w:szCs w:val="20"/>
        </w:rPr>
        <w:t>valuation</w:t>
      </w:r>
      <w:r w:rsidR="00C64050">
        <w:rPr>
          <w:color w:val="000000"/>
          <w:szCs w:val="20"/>
        </w:rPr>
        <w:t xml:space="preserve"> </w:t>
      </w:r>
      <w:r w:rsidRPr="00454670">
        <w:rPr>
          <w:color w:val="000000"/>
          <w:szCs w:val="20"/>
        </w:rPr>
        <w:t>period,</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was</w:t>
      </w:r>
      <w:r w:rsidR="00C64050">
        <w:rPr>
          <w:color w:val="000000"/>
          <w:szCs w:val="20"/>
        </w:rPr>
        <w:t xml:space="preserve"> </w:t>
      </w:r>
      <w:r w:rsidRPr="00454670">
        <w:rPr>
          <w:color w:val="000000"/>
          <w:szCs w:val="20"/>
        </w:rPr>
        <w:t>divided</w:t>
      </w:r>
      <w:r w:rsidR="00C64050">
        <w:rPr>
          <w:color w:val="000000"/>
          <w:szCs w:val="20"/>
        </w:rPr>
        <w:t xml:space="preserve"> </w:t>
      </w:r>
      <w:r w:rsidRPr="00454670">
        <w:rPr>
          <w:color w:val="000000"/>
          <w:szCs w:val="20"/>
        </w:rPr>
        <w:t>into</w:t>
      </w:r>
      <w:r w:rsidR="00C64050">
        <w:rPr>
          <w:color w:val="000000"/>
          <w:szCs w:val="20"/>
        </w:rPr>
        <w:t xml:space="preserve"> </w:t>
      </w:r>
      <w:r w:rsidRPr="00454670">
        <w:rPr>
          <w:color w:val="000000"/>
          <w:szCs w:val="20"/>
        </w:rPr>
        <w:t>three</w:t>
      </w:r>
      <w:r w:rsidR="00C64050">
        <w:rPr>
          <w:color w:val="000000"/>
          <w:szCs w:val="20"/>
        </w:rPr>
        <w:t xml:space="preserve"> </w:t>
      </w:r>
      <w:r w:rsidRPr="00454670">
        <w:rPr>
          <w:color w:val="000000"/>
          <w:szCs w:val="20"/>
        </w:rPr>
        <w:t>separate</w:t>
      </w:r>
      <w:r w:rsidR="00C64050">
        <w:rPr>
          <w:color w:val="000000"/>
          <w:szCs w:val="20"/>
        </w:rPr>
        <w:t xml:space="preserve"> </w:t>
      </w:r>
      <w:r w:rsidRPr="00454670">
        <w:rPr>
          <w:color w:val="000000"/>
          <w:szCs w:val="20"/>
        </w:rPr>
        <w:t>retirement</w:t>
      </w:r>
      <w:r w:rsidR="00C64050">
        <w:rPr>
          <w:color w:val="000000"/>
          <w:szCs w:val="20"/>
        </w:rPr>
        <w:t xml:space="preserve"> </w:t>
      </w:r>
      <w:r w:rsidRPr="00454670">
        <w:rPr>
          <w:color w:val="000000"/>
          <w:szCs w:val="20"/>
        </w:rPr>
        <w:t>accounts,</w:t>
      </w:r>
      <w:r w:rsidR="00C64050">
        <w:rPr>
          <w:color w:val="000000"/>
          <w:szCs w:val="20"/>
        </w:rPr>
        <w:t xml:space="preserve"> </w:t>
      </w:r>
      <w:r w:rsidRPr="00454670">
        <w:rPr>
          <w:color w:val="000000"/>
          <w:szCs w:val="20"/>
        </w:rPr>
        <w:t>each</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name</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different</w:t>
      </w:r>
      <w:r w:rsidR="00C64050">
        <w:rPr>
          <w:color w:val="000000"/>
          <w:szCs w:val="20"/>
        </w:rPr>
        <w:t xml:space="preserve"> </w:t>
      </w:r>
      <w:r w:rsidRPr="00454670">
        <w:rPr>
          <w:color w:val="000000"/>
          <w:szCs w:val="20"/>
        </w:rPr>
        <w:t>child</w:t>
      </w:r>
      <w:r w:rsidR="00C64050">
        <w:rPr>
          <w:color w:val="000000"/>
          <w:szCs w:val="20"/>
        </w:rPr>
        <w:t xml:space="preserve"> </w:t>
      </w:r>
      <w:r w:rsidRPr="00454670">
        <w:rPr>
          <w:color w:val="000000"/>
          <w:szCs w:val="20"/>
        </w:rPr>
        <w:t>and</w:t>
      </w:r>
      <w:r w:rsidR="00C64050">
        <w:rPr>
          <w:color w:val="000000"/>
          <w:szCs w:val="20"/>
        </w:rPr>
        <w:t xml:space="preserve"> </w:t>
      </w:r>
      <w:r w:rsidRPr="00454670">
        <w:rPr>
          <w:color w:val="000000"/>
          <w:szCs w:val="20"/>
        </w:rPr>
        <w:t>funded</w:t>
      </w:r>
      <w:r w:rsidR="00C64050">
        <w:rPr>
          <w:color w:val="000000"/>
          <w:szCs w:val="20"/>
        </w:rPr>
        <w:t xml:space="preserve"> </w:t>
      </w:r>
      <w:r w:rsidRPr="00454670">
        <w:rPr>
          <w:color w:val="000000"/>
          <w:szCs w:val="20"/>
        </w:rPr>
        <w:t>with</w:t>
      </w:r>
      <w:r w:rsidR="00C64050">
        <w:rPr>
          <w:color w:val="000000"/>
          <w:szCs w:val="20"/>
        </w:rPr>
        <w:t xml:space="preserve"> </w:t>
      </w:r>
      <w:r w:rsidRPr="00454670">
        <w:rPr>
          <w:color w:val="000000"/>
          <w:szCs w:val="20"/>
        </w:rPr>
        <w:t>that</w:t>
      </w:r>
      <w:r w:rsidR="00C64050">
        <w:rPr>
          <w:color w:val="000000"/>
          <w:szCs w:val="20"/>
        </w:rPr>
        <w:t xml:space="preserve"> </w:t>
      </w:r>
      <w:r w:rsidRPr="00454670">
        <w:rPr>
          <w:color w:val="000000"/>
          <w:szCs w:val="20"/>
        </w:rPr>
        <w:t>child's</w:t>
      </w:r>
      <w:r w:rsidR="00C64050">
        <w:rPr>
          <w:color w:val="000000"/>
          <w:szCs w:val="20"/>
        </w:rPr>
        <w:t xml:space="preserve"> </w:t>
      </w:r>
      <w:r w:rsidRPr="00454670">
        <w:rPr>
          <w:color w:val="000000"/>
          <w:szCs w:val="20"/>
        </w:rPr>
        <w:t>designated</w:t>
      </w:r>
      <w:r w:rsidR="00C64050">
        <w:rPr>
          <w:color w:val="000000"/>
          <w:szCs w:val="20"/>
        </w:rPr>
        <w:t xml:space="preserve"> </w:t>
      </w:r>
      <w:r w:rsidRPr="00454670">
        <w:rPr>
          <w:color w:val="000000"/>
          <w:szCs w:val="20"/>
        </w:rPr>
        <w:t>share.</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division</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retirement</w:t>
      </w:r>
      <w:r w:rsidR="00C64050">
        <w:rPr>
          <w:color w:val="000000"/>
          <w:szCs w:val="20"/>
        </w:rPr>
        <w:t xml:space="preserve"> </w:t>
      </w:r>
      <w:r w:rsidRPr="00454670">
        <w:rPr>
          <w:color w:val="000000"/>
          <w:szCs w:val="20"/>
        </w:rPr>
        <w:t>account</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not</w:t>
      </w:r>
      <w:r w:rsidR="00C64050">
        <w:rPr>
          <w:color w:val="000000"/>
          <w:szCs w:val="20"/>
        </w:rPr>
        <w:t xml:space="preserve"> </w:t>
      </w:r>
      <w:r w:rsidRPr="00454670">
        <w:rPr>
          <w:color w:val="000000"/>
          <w:szCs w:val="20"/>
        </w:rPr>
        <w:t>a</w:t>
      </w:r>
      <w:r w:rsidR="00C64050">
        <w:rPr>
          <w:color w:val="000000"/>
          <w:szCs w:val="20"/>
        </w:rPr>
        <w:t xml:space="preserve"> </w:t>
      </w:r>
      <w:r w:rsidRPr="00454670">
        <w:rPr>
          <w:color w:val="000000"/>
          <w:szCs w:val="20"/>
        </w:rPr>
        <w:t>transaction</w:t>
      </w:r>
      <w:r w:rsidR="00C64050">
        <w:rPr>
          <w:color w:val="000000"/>
          <w:szCs w:val="20"/>
        </w:rPr>
        <w:t xml:space="preserve"> </w:t>
      </w:r>
      <w:r w:rsidRPr="00454670">
        <w:rPr>
          <w:color w:val="000000"/>
          <w:szCs w:val="20"/>
        </w:rPr>
        <w:t>described</w:t>
      </w:r>
      <w:r w:rsidR="00C64050">
        <w:rPr>
          <w:color w:val="000000"/>
          <w:szCs w:val="20"/>
        </w:rPr>
        <w:t xml:space="preserve"> </w:t>
      </w:r>
      <w:r w:rsidRPr="00454670">
        <w:rPr>
          <w:color w:val="000000"/>
          <w:szCs w:val="20"/>
        </w:rPr>
        <w:t>in</w:t>
      </w:r>
      <w:r w:rsidR="00C64050">
        <w:rPr>
          <w:color w:val="000000"/>
          <w:szCs w:val="20"/>
        </w:rPr>
        <w:t xml:space="preserve"> </w:t>
      </w:r>
      <w:r w:rsidRPr="00454670">
        <w:rPr>
          <w:color w:val="000000"/>
          <w:szCs w:val="20"/>
        </w:rPr>
        <w:t>paragraph</w:t>
      </w:r>
      <w:r w:rsidR="00C64050">
        <w:rPr>
          <w:color w:val="000000"/>
          <w:szCs w:val="20"/>
        </w:rPr>
        <w:t xml:space="preserve"> </w:t>
      </w:r>
      <w:r w:rsidRPr="00454670">
        <w:rPr>
          <w:color w:val="000000"/>
          <w:szCs w:val="20"/>
        </w:rPr>
        <w:t>(c)(1)(i)</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this</w:t>
      </w:r>
      <w:r w:rsidR="00C64050">
        <w:rPr>
          <w:color w:val="000000"/>
          <w:szCs w:val="20"/>
        </w:rPr>
        <w:t xml:space="preserve"> </w:t>
      </w:r>
      <w:r w:rsidRPr="00454670">
        <w:rPr>
          <w:color w:val="000000"/>
          <w:szCs w:val="20"/>
        </w:rPr>
        <w:t>section</w:t>
      </w:r>
      <w:r w:rsidR="00C64050">
        <w:rPr>
          <w:color w:val="000000"/>
          <w:szCs w:val="20"/>
        </w:rPr>
        <w:t xml:space="preserve"> </w:t>
      </w:r>
      <w:r w:rsidRPr="00454670">
        <w:rPr>
          <w:color w:val="000000"/>
          <w:szCs w:val="20"/>
        </w:rPr>
        <w:t>by</w:t>
      </w:r>
      <w:r w:rsidR="00C64050">
        <w:rPr>
          <w:color w:val="000000"/>
          <w:szCs w:val="20"/>
        </w:rPr>
        <w:t xml:space="preserve"> </w:t>
      </w:r>
      <w:r w:rsidRPr="00454670">
        <w:rPr>
          <w:color w:val="000000"/>
          <w:szCs w:val="20"/>
        </w:rPr>
        <w:t>reason</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paragraph</w:t>
      </w:r>
      <w:r w:rsidR="00C64050">
        <w:rPr>
          <w:color w:val="000000"/>
          <w:szCs w:val="20"/>
        </w:rPr>
        <w:t xml:space="preserve"> </w:t>
      </w:r>
      <w:r w:rsidRPr="00454670">
        <w:rPr>
          <w:color w:val="000000"/>
          <w:szCs w:val="20"/>
        </w:rPr>
        <w:t>(c)(2)</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this</w:t>
      </w:r>
      <w:r w:rsidR="00C64050">
        <w:rPr>
          <w:color w:val="000000"/>
          <w:szCs w:val="20"/>
        </w:rPr>
        <w:t xml:space="preserve"> </w:t>
      </w:r>
      <w:r w:rsidRPr="00454670">
        <w:rPr>
          <w:color w:val="000000"/>
          <w:szCs w:val="20"/>
        </w:rPr>
        <w:t>section,</w:t>
      </w:r>
      <w:r w:rsidR="00C64050">
        <w:rPr>
          <w:color w:val="000000"/>
          <w:szCs w:val="20"/>
        </w:rPr>
        <w:t xml:space="preserve"> </w:t>
      </w:r>
      <w:r w:rsidRPr="00454670">
        <w:rPr>
          <w:color w:val="000000"/>
          <w:szCs w:val="20"/>
        </w:rPr>
        <w:t>so</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alternate</w:t>
      </w:r>
      <w:r w:rsidR="00C64050">
        <w:rPr>
          <w:color w:val="000000"/>
          <w:szCs w:val="20"/>
        </w:rPr>
        <w:t xml:space="preserve"> </w:t>
      </w:r>
      <w:r w:rsidRPr="00454670">
        <w:rPr>
          <w:color w:val="000000"/>
          <w:szCs w:val="20"/>
        </w:rPr>
        <w:t>valuation</w:t>
      </w:r>
      <w:r w:rsidR="00C64050">
        <w:rPr>
          <w:color w:val="000000"/>
          <w:szCs w:val="20"/>
        </w:rPr>
        <w:t xml:space="preserve"> </w:t>
      </w:r>
      <w:r w:rsidRPr="00454670">
        <w:rPr>
          <w:color w:val="000000"/>
          <w:szCs w:val="20"/>
        </w:rPr>
        <w:t>date</w:t>
      </w:r>
      <w:r w:rsidR="00C64050">
        <w:rPr>
          <w:color w:val="000000"/>
          <w:szCs w:val="20"/>
        </w:rPr>
        <w:t xml:space="preserve"> </w:t>
      </w:r>
      <w:r w:rsidRPr="00454670">
        <w:rPr>
          <w:color w:val="000000"/>
          <w:szCs w:val="20"/>
        </w:rPr>
        <w:t>for</w:t>
      </w:r>
      <w:r w:rsidR="00C64050">
        <w:rPr>
          <w:color w:val="000000"/>
          <w:szCs w:val="20"/>
        </w:rPr>
        <w:t xml:space="preserve"> </w:t>
      </w:r>
      <w:r w:rsidRPr="00454670">
        <w:rPr>
          <w:color w:val="000000"/>
          <w:szCs w:val="20"/>
        </w:rPr>
        <w:t>each</w:t>
      </w:r>
      <w:r w:rsidR="00C64050">
        <w:rPr>
          <w:color w:val="000000"/>
          <w:szCs w:val="20"/>
        </w:rPr>
        <w:t xml:space="preserve"> </w:t>
      </w:r>
      <w:r w:rsidRPr="00454670">
        <w:rPr>
          <w:color w:val="000000"/>
          <w:szCs w:val="20"/>
        </w:rPr>
        <w:t>of</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new</w:t>
      </w:r>
      <w:r w:rsidR="00C64050">
        <w:rPr>
          <w:color w:val="000000"/>
          <w:szCs w:val="20"/>
        </w:rPr>
        <w:t xml:space="preserve"> </w:t>
      </w:r>
      <w:r w:rsidRPr="00454670">
        <w:rPr>
          <w:color w:val="000000"/>
          <w:szCs w:val="20"/>
        </w:rPr>
        <w:t>accounts</w:t>
      </w:r>
      <w:r w:rsidR="00C64050">
        <w:rPr>
          <w:color w:val="000000"/>
          <w:szCs w:val="20"/>
        </w:rPr>
        <w:t xml:space="preserve"> </w:t>
      </w:r>
      <w:r w:rsidRPr="00454670">
        <w:rPr>
          <w:color w:val="000000"/>
          <w:szCs w:val="20"/>
        </w:rPr>
        <w:t>is</w:t>
      </w:r>
      <w:r w:rsidR="00C64050">
        <w:rPr>
          <w:color w:val="000000"/>
          <w:szCs w:val="20"/>
        </w:rPr>
        <w:t xml:space="preserve"> </w:t>
      </w:r>
      <w:r w:rsidRPr="00454670">
        <w:rPr>
          <w:color w:val="000000"/>
          <w:szCs w:val="20"/>
        </w:rPr>
        <w:t>the</w:t>
      </w:r>
      <w:r w:rsidR="00C64050">
        <w:rPr>
          <w:color w:val="000000"/>
          <w:szCs w:val="20"/>
        </w:rPr>
        <w:t xml:space="preserve"> </w:t>
      </w:r>
      <w:r w:rsidRPr="00454670">
        <w:rPr>
          <w:color w:val="000000"/>
          <w:szCs w:val="20"/>
        </w:rPr>
        <w:t>6-month</w:t>
      </w:r>
      <w:r w:rsidR="00C64050">
        <w:rPr>
          <w:color w:val="000000"/>
          <w:szCs w:val="20"/>
        </w:rPr>
        <w:t xml:space="preserve"> </w:t>
      </w:r>
      <w:r w:rsidRPr="00454670">
        <w:rPr>
          <w:color w:val="000000"/>
          <w:szCs w:val="20"/>
        </w:rPr>
        <w:t>date.</w:t>
      </w:r>
      <w:r w:rsidR="00C64050">
        <w:rPr>
          <w:color w:val="000000"/>
          <w:szCs w:val="20"/>
        </w:rPr>
        <w:t xml:space="preserve"> </w:t>
      </w:r>
    </w:p>
    <w:p w:rsidR="00485DB9" w:rsidRPr="00454670" w:rsidRDefault="00856D6A">
      <w:pPr>
        <w:pStyle w:val="Heading1"/>
        <w:rPr>
          <w:color w:val="000000"/>
        </w:rPr>
      </w:pPr>
      <w:bookmarkStart w:id="360" w:name="_Toc231154874"/>
      <w:bookmarkStart w:id="361" w:name="_Toc295129792"/>
      <w:bookmarkStart w:id="362" w:name="_Toc295132405"/>
      <w:bookmarkStart w:id="363" w:name="_Toc295133924"/>
      <w:bookmarkStart w:id="364" w:name="_Toc295133959"/>
      <w:bookmarkStart w:id="365" w:name="_Toc295136489"/>
      <w:bookmarkStart w:id="366" w:name="_Toc297645094"/>
      <w:bookmarkStart w:id="367" w:name="_Toc297647165"/>
      <w:bookmarkStart w:id="368" w:name="_Toc297728351"/>
      <w:bookmarkStart w:id="369" w:name="_Toc297732808"/>
      <w:bookmarkStart w:id="370" w:name="_Toc298255201"/>
      <w:bookmarkStart w:id="371" w:name="_Toc298316775"/>
      <w:bookmarkStart w:id="372" w:name="_Toc298334620"/>
      <w:bookmarkStart w:id="373" w:name="_Toc298338118"/>
      <w:bookmarkStart w:id="374" w:name="_Toc301364456"/>
      <w:bookmarkStart w:id="375" w:name="_Toc302465916"/>
      <w:bookmarkStart w:id="376" w:name="_Toc303094291"/>
      <w:bookmarkStart w:id="377" w:name="_Toc303172887"/>
      <w:bookmarkStart w:id="378" w:name="_Toc303181217"/>
      <w:bookmarkStart w:id="379" w:name="_Toc321753628"/>
      <w:bookmarkStart w:id="380" w:name="_Toc322015806"/>
      <w:bookmarkStart w:id="381" w:name="_Toc322015979"/>
      <w:bookmarkStart w:id="382" w:name="_Toc322016517"/>
      <w:bookmarkStart w:id="383" w:name="_Toc376946765"/>
      <w:bookmarkStart w:id="384" w:name="_Toc376947612"/>
      <w:bookmarkStart w:id="385" w:name="_Toc376948406"/>
      <w:bookmarkStart w:id="386" w:name="_Toc376949200"/>
      <w:bookmarkStart w:id="387" w:name="_Toc94704652"/>
      <w:bookmarkEnd w:id="349"/>
      <w:bookmarkEnd w:id="350"/>
      <w:r w:rsidRPr="00454670">
        <w:rPr>
          <w:color w:val="000000"/>
        </w:rPr>
        <w:t>SECTION</w:t>
      </w:r>
      <w:r w:rsidR="00C64050">
        <w:rPr>
          <w:color w:val="000000"/>
        </w:rPr>
        <w:t xml:space="preserve"> </w:t>
      </w:r>
      <w:r w:rsidRPr="00454670">
        <w:rPr>
          <w:color w:val="000000"/>
        </w:rPr>
        <w:t>2033</w:t>
      </w:r>
      <w:r w:rsidR="00C64050">
        <w:rPr>
          <w:color w:val="000000"/>
        </w:rPr>
        <w:t xml:space="preserve"> </w:t>
      </w:r>
      <w:r w:rsidRPr="00454670">
        <w:rPr>
          <w:color w:val="000000"/>
        </w:rPr>
        <w:t>–</w:t>
      </w:r>
      <w:r w:rsidR="00C64050">
        <w:rPr>
          <w:color w:val="000000"/>
        </w:rPr>
        <w:t xml:space="preserve"> </w:t>
      </w:r>
      <w:r w:rsidRPr="00454670">
        <w:rPr>
          <w:color w:val="000000"/>
        </w:rPr>
        <w:t>GROSS</w:t>
      </w:r>
      <w:r w:rsidR="00C64050">
        <w:rPr>
          <w:color w:val="000000"/>
        </w:rPr>
        <w:t xml:space="preserve"> </w:t>
      </w:r>
      <w:r w:rsidRPr="00454670">
        <w:rPr>
          <w:color w:val="000000"/>
        </w:rPr>
        <w:t>ESTATE</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485DB9" w:rsidRPr="00454670" w:rsidRDefault="00856D6A">
      <w:pPr>
        <w:pStyle w:val="Heading1"/>
        <w:rPr>
          <w:color w:val="000000"/>
        </w:rPr>
      </w:pPr>
      <w:bookmarkStart w:id="388" w:name="_Toc231154876"/>
      <w:bookmarkStart w:id="389" w:name="_Toc295129793"/>
      <w:bookmarkStart w:id="390" w:name="_Toc295132406"/>
      <w:bookmarkStart w:id="391" w:name="_Toc295133925"/>
      <w:bookmarkStart w:id="392" w:name="_Toc295133960"/>
      <w:bookmarkStart w:id="393" w:name="_Toc295136490"/>
      <w:bookmarkStart w:id="394" w:name="_Toc297645095"/>
      <w:bookmarkStart w:id="395" w:name="_Toc297647166"/>
      <w:bookmarkStart w:id="396" w:name="_Toc297728352"/>
      <w:bookmarkStart w:id="397" w:name="_Toc297732809"/>
      <w:bookmarkStart w:id="398" w:name="_Toc298255202"/>
      <w:bookmarkStart w:id="399" w:name="_Toc298316776"/>
      <w:bookmarkStart w:id="400" w:name="_Toc298334621"/>
      <w:bookmarkStart w:id="401" w:name="_Toc298338119"/>
      <w:bookmarkStart w:id="402" w:name="_Toc301364457"/>
      <w:bookmarkStart w:id="403" w:name="_Toc302465917"/>
      <w:bookmarkStart w:id="404" w:name="_Toc303094292"/>
      <w:bookmarkStart w:id="405" w:name="_Toc303172888"/>
      <w:bookmarkStart w:id="406" w:name="_Toc303181218"/>
      <w:bookmarkStart w:id="407" w:name="_Toc321753629"/>
      <w:bookmarkStart w:id="408" w:name="_Toc322015807"/>
      <w:bookmarkStart w:id="409" w:name="_Toc322015980"/>
      <w:bookmarkStart w:id="410" w:name="_Toc322016518"/>
      <w:bookmarkStart w:id="411" w:name="_Toc376946766"/>
      <w:bookmarkStart w:id="412" w:name="_Toc376947613"/>
      <w:bookmarkStart w:id="413" w:name="_Toc376948407"/>
      <w:bookmarkStart w:id="414" w:name="_Toc376949201"/>
      <w:bookmarkStart w:id="415" w:name="_Toc94704653"/>
      <w:bookmarkStart w:id="416" w:name="_Toc168206591"/>
      <w:bookmarkStart w:id="417" w:name="_Toc168218224"/>
      <w:r w:rsidRPr="00454670">
        <w:rPr>
          <w:color w:val="000000"/>
        </w:rPr>
        <w:t>SECTIONS</w:t>
      </w:r>
      <w:r w:rsidR="00C64050">
        <w:rPr>
          <w:color w:val="000000"/>
        </w:rPr>
        <w:t xml:space="preserve"> </w:t>
      </w:r>
      <w:r w:rsidRPr="00454670">
        <w:rPr>
          <w:color w:val="000000"/>
        </w:rPr>
        <w:t>2035-2038</w:t>
      </w:r>
      <w:r w:rsidR="00C64050">
        <w:rPr>
          <w:color w:val="000000"/>
        </w:rPr>
        <w:t xml:space="preserve"> </w:t>
      </w:r>
      <w:r w:rsidRPr="00454670">
        <w:rPr>
          <w:color w:val="000000"/>
        </w:rPr>
        <w:t>–</w:t>
      </w:r>
      <w:r w:rsidR="00C64050">
        <w:rPr>
          <w:color w:val="000000"/>
        </w:rPr>
        <w:t xml:space="preserve"> </w:t>
      </w:r>
      <w:r w:rsidRPr="00454670">
        <w:rPr>
          <w:color w:val="000000"/>
        </w:rPr>
        <w:t>RETAINED</w:t>
      </w:r>
      <w:r w:rsidR="00C64050">
        <w:rPr>
          <w:color w:val="000000"/>
        </w:rPr>
        <w:t xml:space="preserve"> </w:t>
      </w:r>
      <w:r w:rsidRPr="00454670">
        <w:rPr>
          <w:color w:val="000000"/>
        </w:rPr>
        <w:t>INTERESTS</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D44E8E" w:rsidRPr="00117405" w:rsidRDefault="00621527" w:rsidP="00B66CCE">
      <w:pPr>
        <w:pStyle w:val="Heading20"/>
        <w:numPr>
          <w:ilvl w:val="1"/>
          <w:numId w:val="29"/>
        </w:numPr>
        <w:tabs>
          <w:tab w:val="clear" w:pos="2700"/>
        </w:tabs>
        <w:ind w:left="0"/>
        <w:rPr>
          <w:vanish/>
          <w:specVanish/>
        </w:rPr>
      </w:pPr>
      <w:bookmarkStart w:id="418" w:name="_Toc94704654"/>
      <w:r w:rsidRPr="00117405">
        <w:rPr>
          <w:b/>
          <w:u w:val="single"/>
        </w:rPr>
        <w:t>Tax</w:t>
      </w:r>
      <w:r w:rsidR="00C64050">
        <w:rPr>
          <w:b/>
          <w:u w:val="single"/>
        </w:rPr>
        <w:t xml:space="preserve"> </w:t>
      </w:r>
      <w:r w:rsidRPr="00117405">
        <w:rPr>
          <w:b/>
          <w:u w:val="single"/>
        </w:rPr>
        <w:t>Court</w:t>
      </w:r>
      <w:r w:rsidR="00C64050">
        <w:rPr>
          <w:b/>
          <w:u w:val="single"/>
        </w:rPr>
        <w:t xml:space="preserve"> </w:t>
      </w:r>
      <w:r w:rsidRPr="00117405">
        <w:rPr>
          <w:b/>
          <w:u w:val="single"/>
        </w:rPr>
        <w:t>Strikes</w:t>
      </w:r>
      <w:r w:rsidR="00C64050">
        <w:rPr>
          <w:b/>
          <w:u w:val="single"/>
        </w:rPr>
        <w:t xml:space="preserve"> </w:t>
      </w:r>
      <w:r w:rsidRPr="00117405">
        <w:rPr>
          <w:b/>
          <w:u w:val="single"/>
        </w:rPr>
        <w:t>A</w:t>
      </w:r>
      <w:r w:rsidR="00C64050">
        <w:rPr>
          <w:b/>
          <w:u w:val="single"/>
        </w:rPr>
        <w:t xml:space="preserve"> </w:t>
      </w:r>
      <w:r w:rsidRPr="00117405">
        <w:rPr>
          <w:b/>
          <w:u w:val="single"/>
        </w:rPr>
        <w:t>Blow</w:t>
      </w:r>
      <w:r w:rsidR="00C64050">
        <w:rPr>
          <w:b/>
          <w:u w:val="single"/>
        </w:rPr>
        <w:t xml:space="preserve"> </w:t>
      </w:r>
      <w:r w:rsidRPr="00117405">
        <w:rPr>
          <w:b/>
          <w:u w:val="single"/>
        </w:rPr>
        <w:t>Against</w:t>
      </w:r>
      <w:r w:rsidR="00C64050">
        <w:rPr>
          <w:b/>
          <w:u w:val="single"/>
        </w:rPr>
        <w:t xml:space="preserve"> </w:t>
      </w:r>
      <w:r w:rsidRPr="00117405">
        <w:rPr>
          <w:b/>
          <w:u w:val="single"/>
        </w:rPr>
        <w:t>Discount</w:t>
      </w:r>
      <w:r w:rsidR="00C64050">
        <w:rPr>
          <w:b/>
          <w:u w:val="single"/>
        </w:rPr>
        <w:t xml:space="preserve"> </w:t>
      </w:r>
      <w:r w:rsidRPr="00117405">
        <w:rPr>
          <w:b/>
          <w:u w:val="single"/>
        </w:rPr>
        <w:t>Planning</w:t>
      </w:r>
      <w:bookmarkEnd w:id="418"/>
    </w:p>
    <w:p w:rsidR="00621527" w:rsidRDefault="00621527" w:rsidP="00D44E8E">
      <w:pPr>
        <w:pStyle w:val="Heading2Body"/>
      </w:pPr>
      <w:r>
        <w:t>.</w:t>
      </w:r>
      <w:r w:rsidR="00C64050">
        <w:t xml:space="preserve">  </w:t>
      </w:r>
      <w:r w:rsidR="006C583F">
        <w:rPr>
          <w:u w:val="single"/>
        </w:rPr>
        <w:t>Estate</w:t>
      </w:r>
      <w:r w:rsidR="00C64050">
        <w:rPr>
          <w:u w:val="single"/>
        </w:rPr>
        <w:t xml:space="preserve"> </w:t>
      </w:r>
      <w:r w:rsidR="006C583F">
        <w:rPr>
          <w:u w:val="single"/>
        </w:rPr>
        <w:t>of</w:t>
      </w:r>
      <w:r w:rsidR="00C64050">
        <w:rPr>
          <w:u w:val="single"/>
        </w:rPr>
        <w:t xml:space="preserve"> </w:t>
      </w:r>
      <w:r w:rsidR="00E87490">
        <w:rPr>
          <w:u w:val="single"/>
        </w:rPr>
        <w:t>Powell</w:t>
      </w:r>
      <w:r w:rsidR="00C64050">
        <w:rPr>
          <w:u w:val="single"/>
        </w:rPr>
        <w:t xml:space="preserve"> </w:t>
      </w:r>
      <w:r w:rsidR="00E87490">
        <w:rPr>
          <w:u w:val="single"/>
        </w:rPr>
        <w:t>v.</w:t>
      </w:r>
      <w:r w:rsidR="00C64050">
        <w:rPr>
          <w:u w:val="single"/>
        </w:rPr>
        <w:t xml:space="preserve"> </w:t>
      </w:r>
      <w:r w:rsidR="003C1004">
        <w:rPr>
          <w:u w:val="single"/>
        </w:rPr>
        <w:t>Commissioner</w:t>
      </w:r>
      <w:r w:rsidR="00C64050">
        <w:rPr>
          <w:u w:val="single"/>
        </w:rPr>
        <w:t xml:space="preserve"> </w:t>
      </w:r>
      <w:r w:rsidR="006C583F">
        <w:rPr>
          <w:u w:val="single"/>
        </w:rPr>
        <w:t>of</w:t>
      </w:r>
      <w:r w:rsidR="00C64050">
        <w:rPr>
          <w:u w:val="single"/>
        </w:rPr>
        <w:t xml:space="preserve"> </w:t>
      </w:r>
      <w:r w:rsidR="006C583F">
        <w:rPr>
          <w:u w:val="single"/>
        </w:rPr>
        <w:t>Internal</w:t>
      </w:r>
      <w:r w:rsidR="00C64050">
        <w:rPr>
          <w:u w:val="single"/>
        </w:rPr>
        <w:t xml:space="preserve"> </w:t>
      </w:r>
      <w:r w:rsidR="006C583F">
        <w:rPr>
          <w:u w:val="single"/>
        </w:rPr>
        <w:t>Revenue</w:t>
      </w:r>
      <w:r w:rsidR="00E87490">
        <w:t>,</w:t>
      </w:r>
      <w:r w:rsidR="00C64050">
        <w:t xml:space="preserve"> </w:t>
      </w:r>
      <w:r w:rsidR="00E87490">
        <w:t>148</w:t>
      </w:r>
      <w:r w:rsidR="00C64050">
        <w:t xml:space="preserve"> </w:t>
      </w:r>
      <w:r w:rsidR="00E87490">
        <w:t>T.C.</w:t>
      </w:r>
      <w:r w:rsidR="00C64050">
        <w:t xml:space="preserve"> </w:t>
      </w:r>
      <w:r w:rsidR="00E87490">
        <w:t>No.</w:t>
      </w:r>
      <w:r w:rsidR="00C64050">
        <w:t xml:space="preserve"> </w:t>
      </w:r>
      <w:r w:rsidR="00E87490">
        <w:t>18</w:t>
      </w:r>
      <w:r w:rsidR="00C64050">
        <w:t xml:space="preserve"> </w:t>
      </w:r>
      <w:r w:rsidR="00E87490">
        <w:t>(2017)</w:t>
      </w:r>
      <w:r w:rsidR="00C64050">
        <w:t xml:space="preserve"> </w:t>
      </w:r>
      <w:r w:rsidR="00E87490">
        <w:t>is</w:t>
      </w:r>
      <w:r w:rsidR="00C64050">
        <w:t xml:space="preserve"> </w:t>
      </w:r>
      <w:r w:rsidR="00E87490">
        <w:t>a</w:t>
      </w:r>
      <w:r w:rsidR="00C64050">
        <w:t xml:space="preserve"> </w:t>
      </w:r>
      <w:r w:rsidR="00E87490">
        <w:t>reviewed</w:t>
      </w:r>
      <w:r w:rsidR="00C64050">
        <w:t xml:space="preserve"> </w:t>
      </w:r>
      <w:r w:rsidR="00E87490">
        <w:t>opinion</w:t>
      </w:r>
      <w:r w:rsidR="00C64050">
        <w:t xml:space="preserve"> </w:t>
      </w:r>
      <w:r w:rsidR="00E87490">
        <w:t>with</w:t>
      </w:r>
      <w:r w:rsidR="00C64050">
        <w:t xml:space="preserve"> </w:t>
      </w:r>
      <w:r w:rsidR="00E87490">
        <w:t>eight</w:t>
      </w:r>
      <w:r w:rsidR="00C64050">
        <w:t xml:space="preserve"> </w:t>
      </w:r>
      <w:r w:rsidR="00E87490">
        <w:t>judges</w:t>
      </w:r>
      <w:r w:rsidR="00C64050">
        <w:t xml:space="preserve"> </w:t>
      </w:r>
      <w:r w:rsidR="00E87490">
        <w:t>on</w:t>
      </w:r>
      <w:r w:rsidR="00C64050">
        <w:t xml:space="preserve"> </w:t>
      </w:r>
      <w:r w:rsidR="00E87490">
        <w:t>the</w:t>
      </w:r>
      <w:r w:rsidR="00C64050">
        <w:t xml:space="preserve"> </w:t>
      </w:r>
      <w:r w:rsidR="00E87490">
        <w:t>majority</w:t>
      </w:r>
      <w:r w:rsidR="00C64050">
        <w:t xml:space="preserve"> </w:t>
      </w:r>
      <w:r w:rsidR="00E87490">
        <w:t>opinion,</w:t>
      </w:r>
      <w:r w:rsidR="00C64050">
        <w:t xml:space="preserve"> </w:t>
      </w:r>
      <w:r w:rsidR="00E87490">
        <w:t>two</w:t>
      </w:r>
      <w:r w:rsidR="00C64050">
        <w:t xml:space="preserve"> </w:t>
      </w:r>
      <w:r w:rsidR="00E87490">
        <w:t>concurring</w:t>
      </w:r>
      <w:r w:rsidR="00C64050">
        <w:t xml:space="preserve"> </w:t>
      </w:r>
      <w:r w:rsidR="00E87490">
        <w:t>in</w:t>
      </w:r>
      <w:r w:rsidR="00C64050">
        <w:t xml:space="preserve"> </w:t>
      </w:r>
      <w:r w:rsidR="00E87490">
        <w:t>result</w:t>
      </w:r>
      <w:r w:rsidR="00C64050">
        <w:t xml:space="preserve"> </w:t>
      </w:r>
      <w:r w:rsidR="00E87490">
        <w:t>only,</w:t>
      </w:r>
      <w:r w:rsidR="00C64050">
        <w:t xml:space="preserve"> </w:t>
      </w:r>
      <w:r w:rsidR="00E87490">
        <w:t>and</w:t>
      </w:r>
      <w:r w:rsidR="00C64050">
        <w:t xml:space="preserve"> </w:t>
      </w:r>
      <w:r w:rsidR="00E87490">
        <w:t>seven</w:t>
      </w:r>
      <w:r w:rsidR="00C64050">
        <w:t xml:space="preserve"> </w:t>
      </w:r>
      <w:r w:rsidR="00E87490">
        <w:t>joining</w:t>
      </w:r>
      <w:r w:rsidR="00C64050">
        <w:t xml:space="preserve"> </w:t>
      </w:r>
      <w:r w:rsidR="00E87490">
        <w:t>a</w:t>
      </w:r>
      <w:r w:rsidR="00C64050">
        <w:t xml:space="preserve"> </w:t>
      </w:r>
      <w:r w:rsidR="00E87490">
        <w:t>concurring</w:t>
      </w:r>
      <w:r w:rsidR="00C64050">
        <w:t xml:space="preserve"> </w:t>
      </w:r>
      <w:r w:rsidR="00E87490">
        <w:t>opinion.</w:t>
      </w:r>
      <w:r w:rsidR="00C64050">
        <w:t xml:space="preserve">  </w:t>
      </w:r>
      <w:r w:rsidR="00E87490">
        <w:t>What’s</w:t>
      </w:r>
      <w:r w:rsidR="00C64050">
        <w:t xml:space="preserve"> </w:t>
      </w:r>
      <w:r w:rsidR="00E87490">
        <w:t>going</w:t>
      </w:r>
      <w:r w:rsidR="00C64050">
        <w:t xml:space="preserve"> </w:t>
      </w:r>
      <w:r w:rsidR="00E87490">
        <w:t>on</w:t>
      </w:r>
      <w:r w:rsidR="00C64050">
        <w:t xml:space="preserve"> </w:t>
      </w:r>
      <w:r w:rsidR="00E87490">
        <w:t>here?</w:t>
      </w:r>
      <w:r w:rsidR="00C64050">
        <w:t xml:space="preserve">  </w:t>
      </w:r>
      <w:r w:rsidR="00E87490">
        <w:t>The</w:t>
      </w:r>
      <w:r w:rsidR="00C64050">
        <w:t xml:space="preserve"> </w:t>
      </w:r>
      <w:r w:rsidR="00E87490">
        <w:t>case</w:t>
      </w:r>
      <w:r w:rsidR="00C64050">
        <w:t xml:space="preserve"> </w:t>
      </w:r>
      <w:r w:rsidR="00E87490">
        <w:t>involved</w:t>
      </w:r>
      <w:r w:rsidR="00C64050">
        <w:t xml:space="preserve"> </w:t>
      </w:r>
      <w:r w:rsidR="00E87490">
        <w:t>three</w:t>
      </w:r>
      <w:r w:rsidR="00C64050">
        <w:t xml:space="preserve"> </w:t>
      </w:r>
      <w:r w:rsidR="00E87490">
        <w:t>elements</w:t>
      </w:r>
      <w:r w:rsidR="00C64050">
        <w:t xml:space="preserve"> </w:t>
      </w:r>
      <w:r w:rsidR="00E87490">
        <w:t>–</w:t>
      </w:r>
      <w:r w:rsidR="00C64050">
        <w:t xml:space="preserve"> </w:t>
      </w:r>
      <w:r w:rsidR="00E87490">
        <w:t>state</w:t>
      </w:r>
      <w:r w:rsidR="00C64050">
        <w:t xml:space="preserve"> </w:t>
      </w:r>
      <w:r w:rsidR="00E87490">
        <w:t>law</w:t>
      </w:r>
      <w:r w:rsidR="00C64050">
        <w:t xml:space="preserve"> </w:t>
      </w:r>
      <w:r w:rsidR="00E87490">
        <w:t>and</w:t>
      </w:r>
      <w:r w:rsidR="00C64050">
        <w:t xml:space="preserve"> </w:t>
      </w:r>
      <w:r w:rsidR="00E87490">
        <w:t>the</w:t>
      </w:r>
      <w:r w:rsidR="00C64050">
        <w:t xml:space="preserve"> </w:t>
      </w:r>
      <w:r w:rsidR="00E87490">
        <w:t>actions</w:t>
      </w:r>
      <w:r w:rsidR="00C64050">
        <w:t xml:space="preserve"> </w:t>
      </w:r>
      <w:r w:rsidR="00E87490">
        <w:t>of</w:t>
      </w:r>
      <w:r w:rsidR="00C64050">
        <w:t xml:space="preserve"> </w:t>
      </w:r>
      <w:r w:rsidR="00E87490">
        <w:t>an</w:t>
      </w:r>
      <w:r w:rsidR="00C64050">
        <w:t xml:space="preserve"> </w:t>
      </w:r>
      <w:r w:rsidR="00E87490">
        <w:t>attorney</w:t>
      </w:r>
      <w:r w:rsidR="00C64050">
        <w:t xml:space="preserve"> </w:t>
      </w:r>
      <w:r w:rsidR="00E87490">
        <w:t>in</w:t>
      </w:r>
      <w:r w:rsidR="00C64050">
        <w:t xml:space="preserve"> </w:t>
      </w:r>
      <w:r w:rsidR="00E87490">
        <w:t>fact;</w:t>
      </w:r>
      <w:r w:rsidR="00C64050">
        <w:t xml:space="preserve"> </w:t>
      </w:r>
      <w:r w:rsidR="00E87490">
        <w:t>section</w:t>
      </w:r>
      <w:r w:rsidR="00C64050">
        <w:t xml:space="preserve"> </w:t>
      </w:r>
      <w:r w:rsidR="00E87490">
        <w:t>2043;</w:t>
      </w:r>
      <w:r w:rsidR="00C64050">
        <w:t xml:space="preserve"> </w:t>
      </w:r>
      <w:r w:rsidR="00E87490">
        <w:t>and</w:t>
      </w:r>
      <w:r w:rsidR="00C64050">
        <w:t xml:space="preserve"> </w:t>
      </w:r>
      <w:r w:rsidR="00E87490">
        <w:t>section</w:t>
      </w:r>
      <w:r w:rsidR="00C64050">
        <w:t xml:space="preserve"> </w:t>
      </w:r>
      <w:r w:rsidR="00E87490">
        <w:t>2036(a)(2).</w:t>
      </w:r>
      <w:r w:rsidR="00C64050">
        <w:t xml:space="preserve">  </w:t>
      </w:r>
      <w:r w:rsidR="00E87490">
        <w:t>The</w:t>
      </w:r>
      <w:r w:rsidR="00C64050">
        <w:t xml:space="preserve"> </w:t>
      </w:r>
      <w:r w:rsidR="00E87490">
        <w:t>latter</w:t>
      </w:r>
      <w:r w:rsidR="00C64050">
        <w:t xml:space="preserve"> </w:t>
      </w:r>
      <w:r w:rsidR="00E87490">
        <w:t>is</w:t>
      </w:r>
      <w:r w:rsidR="00C64050">
        <w:t xml:space="preserve"> </w:t>
      </w:r>
      <w:r w:rsidR="00E87490">
        <w:t>the</w:t>
      </w:r>
      <w:r w:rsidR="00C64050">
        <w:t xml:space="preserve"> </w:t>
      </w:r>
      <w:r w:rsidR="00E87490">
        <w:t>most</w:t>
      </w:r>
      <w:r w:rsidR="00C64050">
        <w:t xml:space="preserve"> </w:t>
      </w:r>
      <w:r w:rsidR="00E87490">
        <w:t>significant</w:t>
      </w:r>
      <w:r w:rsidR="00C64050">
        <w:t xml:space="preserve"> </w:t>
      </w:r>
      <w:r w:rsidR="00E87490">
        <w:t>aspect</w:t>
      </w:r>
      <w:r w:rsidR="00C64050">
        <w:t xml:space="preserve"> </w:t>
      </w:r>
      <w:r w:rsidR="00E87490">
        <w:t>of</w:t>
      </w:r>
      <w:r w:rsidR="00C64050">
        <w:t xml:space="preserve"> </w:t>
      </w:r>
      <w:r w:rsidR="00E87490">
        <w:t>the</w:t>
      </w:r>
      <w:r w:rsidR="00C64050">
        <w:t xml:space="preserve"> </w:t>
      </w:r>
      <w:r w:rsidR="00E87490">
        <w:t>opinion.</w:t>
      </w:r>
      <w:r w:rsidR="00C64050">
        <w:t xml:space="preserve">  </w:t>
      </w:r>
      <w:r w:rsidR="00E87490">
        <w:t>The</w:t>
      </w:r>
      <w:r w:rsidR="00C64050">
        <w:t xml:space="preserve"> </w:t>
      </w:r>
      <w:r w:rsidR="00E87490">
        <w:t>opinion</w:t>
      </w:r>
      <w:r w:rsidR="00C64050">
        <w:t xml:space="preserve"> </w:t>
      </w:r>
      <w:r w:rsidR="00E87490">
        <w:t>reads</w:t>
      </w:r>
      <w:r w:rsidR="00C64050">
        <w:t xml:space="preserve"> </w:t>
      </w:r>
      <w:r w:rsidR="00E87490">
        <w:t>as</w:t>
      </w:r>
      <w:r w:rsidR="00C64050">
        <w:t xml:space="preserve"> </w:t>
      </w:r>
      <w:r w:rsidR="00E87490">
        <w:t>if</w:t>
      </w:r>
      <w:r w:rsidR="00C64050">
        <w:t xml:space="preserve"> </w:t>
      </w:r>
      <w:r w:rsidR="00E87490">
        <w:t>the</w:t>
      </w:r>
      <w:r w:rsidR="00C64050">
        <w:t xml:space="preserve"> </w:t>
      </w:r>
      <w:r w:rsidR="00E87490">
        <w:t>Tax</w:t>
      </w:r>
      <w:r w:rsidR="00C64050">
        <w:t xml:space="preserve"> </w:t>
      </w:r>
      <w:r w:rsidR="00E87490">
        <w:t>Court,</w:t>
      </w:r>
      <w:r w:rsidR="00C64050">
        <w:t xml:space="preserve"> </w:t>
      </w:r>
      <w:r w:rsidR="006C583F">
        <w:t>despairing</w:t>
      </w:r>
      <w:r w:rsidR="00C64050">
        <w:t xml:space="preserve"> </w:t>
      </w:r>
      <w:r w:rsidR="006C583F">
        <w:t>of</w:t>
      </w:r>
      <w:r w:rsidR="00C64050">
        <w:t xml:space="preserve"> </w:t>
      </w:r>
      <w:r w:rsidR="0065760B">
        <w:t>Congress</w:t>
      </w:r>
      <w:r w:rsidR="00C64050">
        <w:t xml:space="preserve"> </w:t>
      </w:r>
      <w:r w:rsidR="0065760B">
        <w:t>or</w:t>
      </w:r>
      <w:r w:rsidR="00C64050">
        <w:t xml:space="preserve"> </w:t>
      </w:r>
      <w:r w:rsidR="0065760B">
        <w:t>the</w:t>
      </w:r>
      <w:r w:rsidR="00C64050">
        <w:t xml:space="preserve"> </w:t>
      </w:r>
      <w:r w:rsidR="0065760B">
        <w:t>IRS</w:t>
      </w:r>
      <w:r w:rsidR="00C64050">
        <w:t xml:space="preserve"> </w:t>
      </w:r>
      <w:r w:rsidR="0065760B">
        <w:t>“doing</w:t>
      </w:r>
      <w:r w:rsidR="00C64050">
        <w:t xml:space="preserve"> </w:t>
      </w:r>
      <w:r w:rsidR="0065760B">
        <w:t>anything</w:t>
      </w:r>
      <w:r w:rsidR="00C64050">
        <w:t xml:space="preserve"> </w:t>
      </w:r>
      <w:r w:rsidR="0065760B">
        <w:t>about”</w:t>
      </w:r>
      <w:r w:rsidR="00C64050">
        <w:t xml:space="preserve"> </w:t>
      </w:r>
      <w:r w:rsidR="0065760B">
        <w:t>discount</w:t>
      </w:r>
      <w:r w:rsidR="00C64050">
        <w:t xml:space="preserve"> </w:t>
      </w:r>
      <w:r w:rsidR="0065760B">
        <w:t>planning,</w:t>
      </w:r>
      <w:r w:rsidR="00C64050">
        <w:t xml:space="preserve"> </w:t>
      </w:r>
      <w:r w:rsidR="0065760B">
        <w:t>decided</w:t>
      </w:r>
      <w:r w:rsidR="00C64050">
        <w:t xml:space="preserve"> </w:t>
      </w:r>
      <w:r w:rsidR="0065760B">
        <w:t>to</w:t>
      </w:r>
      <w:r w:rsidR="00C64050">
        <w:t xml:space="preserve"> </w:t>
      </w:r>
      <w:r w:rsidR="0065760B">
        <w:t>strike</w:t>
      </w:r>
      <w:r w:rsidR="00C64050">
        <w:t xml:space="preserve"> </w:t>
      </w:r>
      <w:r w:rsidR="0065760B">
        <w:t>a</w:t>
      </w:r>
      <w:r w:rsidR="00C64050">
        <w:t xml:space="preserve"> </w:t>
      </w:r>
      <w:r w:rsidR="0065760B">
        <w:t>blow</w:t>
      </w:r>
      <w:r w:rsidR="00C64050">
        <w:t xml:space="preserve"> </w:t>
      </w:r>
      <w:r w:rsidR="0065760B">
        <w:t>on</w:t>
      </w:r>
      <w:r w:rsidR="00C64050">
        <w:t xml:space="preserve"> </w:t>
      </w:r>
      <w:r w:rsidR="0065760B">
        <w:t>its</w:t>
      </w:r>
      <w:r w:rsidR="00C64050">
        <w:t xml:space="preserve"> </w:t>
      </w:r>
      <w:r w:rsidR="0065760B">
        <w:t>own.</w:t>
      </w:r>
    </w:p>
    <w:p w:rsidR="0065760B" w:rsidRDefault="00554DD3" w:rsidP="0065760B">
      <w:pPr>
        <w:pStyle w:val="Body15"/>
        <w:rPr>
          <w:lang w:eastAsia="en-GB"/>
        </w:rPr>
      </w:pPr>
      <w:r>
        <w:rPr>
          <w:lang w:eastAsia="en-GB"/>
        </w:rPr>
        <w:t>T</w:t>
      </w:r>
      <w:r w:rsidR="0065760B">
        <w:rPr>
          <w:lang w:eastAsia="en-GB"/>
        </w:rPr>
        <w:t>he</w:t>
      </w:r>
      <w:r w:rsidR="00C64050">
        <w:rPr>
          <w:lang w:eastAsia="en-GB"/>
        </w:rPr>
        <w:t xml:space="preserve"> </w:t>
      </w:r>
      <w:r w:rsidR="0065760B">
        <w:rPr>
          <w:lang w:eastAsia="en-GB"/>
        </w:rPr>
        <w:t>facts</w:t>
      </w:r>
      <w:r w:rsidR="00C64050">
        <w:rPr>
          <w:lang w:eastAsia="en-GB"/>
        </w:rPr>
        <w:t xml:space="preserve"> </w:t>
      </w:r>
      <w:r w:rsidR="0065760B">
        <w:rPr>
          <w:lang w:eastAsia="en-GB"/>
        </w:rPr>
        <w:t>were</w:t>
      </w:r>
      <w:r w:rsidR="00C64050">
        <w:rPr>
          <w:lang w:eastAsia="en-GB"/>
        </w:rPr>
        <w:t xml:space="preserve"> </w:t>
      </w:r>
      <w:r w:rsidR="0065760B">
        <w:rPr>
          <w:lang w:eastAsia="en-GB"/>
        </w:rPr>
        <w:t>simpl</w:t>
      </w:r>
      <w:r w:rsidR="00B57132">
        <w:rPr>
          <w:lang w:eastAsia="en-GB"/>
        </w:rPr>
        <w:t>e</w:t>
      </w:r>
      <w:r w:rsidR="0065760B">
        <w:rPr>
          <w:lang w:eastAsia="en-GB"/>
        </w:rPr>
        <w:t>.</w:t>
      </w:r>
      <w:r w:rsidR="00C64050">
        <w:rPr>
          <w:lang w:eastAsia="en-GB"/>
        </w:rPr>
        <w:t xml:space="preserve">  </w:t>
      </w:r>
      <w:r w:rsidR="0065760B">
        <w:rPr>
          <w:lang w:eastAsia="en-GB"/>
        </w:rPr>
        <w:t>On</w:t>
      </w:r>
      <w:r w:rsidR="00C64050">
        <w:rPr>
          <w:lang w:eastAsia="en-GB"/>
        </w:rPr>
        <w:t xml:space="preserve"> </w:t>
      </w:r>
      <w:r w:rsidR="0065760B">
        <w:rPr>
          <w:lang w:eastAsia="en-GB"/>
        </w:rPr>
        <w:t>August</w:t>
      </w:r>
      <w:r w:rsidR="00C64050">
        <w:rPr>
          <w:lang w:eastAsia="en-GB"/>
        </w:rPr>
        <w:t xml:space="preserve"> </w:t>
      </w:r>
      <w:r w:rsidR="0065760B">
        <w:rPr>
          <w:lang w:eastAsia="en-GB"/>
        </w:rPr>
        <w:t>6,</w:t>
      </w:r>
      <w:r w:rsidR="00C64050">
        <w:rPr>
          <w:lang w:eastAsia="en-GB"/>
        </w:rPr>
        <w:t xml:space="preserve"> </w:t>
      </w:r>
      <w:r w:rsidR="0065760B">
        <w:rPr>
          <w:lang w:eastAsia="en-GB"/>
        </w:rPr>
        <w:t>2008,</w:t>
      </w:r>
      <w:r w:rsidR="00C64050">
        <w:rPr>
          <w:lang w:eastAsia="en-GB"/>
        </w:rPr>
        <w:t xml:space="preserve"> </w:t>
      </w:r>
      <w:r w:rsidR="0065760B">
        <w:rPr>
          <w:lang w:eastAsia="en-GB"/>
        </w:rPr>
        <w:t>Mrs.</w:t>
      </w:r>
      <w:r w:rsidR="00C64050">
        <w:rPr>
          <w:lang w:eastAsia="en-GB"/>
        </w:rPr>
        <w:t xml:space="preserve"> </w:t>
      </w:r>
      <w:r w:rsidR="0065760B">
        <w:rPr>
          <w:lang w:eastAsia="en-GB"/>
        </w:rPr>
        <w:t>Powell’s</w:t>
      </w:r>
      <w:r w:rsidR="00C64050">
        <w:rPr>
          <w:lang w:eastAsia="en-GB"/>
        </w:rPr>
        <w:t xml:space="preserve"> </w:t>
      </w:r>
      <w:r w:rsidR="0065760B">
        <w:rPr>
          <w:lang w:eastAsia="en-GB"/>
        </w:rPr>
        <w:t>son,</w:t>
      </w:r>
      <w:r w:rsidR="00C64050">
        <w:rPr>
          <w:lang w:eastAsia="en-GB"/>
        </w:rPr>
        <w:t xml:space="preserve"> </w:t>
      </w:r>
      <w:r w:rsidR="0065760B">
        <w:rPr>
          <w:lang w:eastAsia="en-GB"/>
        </w:rPr>
        <w:t>as</w:t>
      </w:r>
      <w:r w:rsidR="00C64050">
        <w:rPr>
          <w:lang w:eastAsia="en-GB"/>
        </w:rPr>
        <w:t xml:space="preserve"> </w:t>
      </w:r>
      <w:r w:rsidR="0065760B">
        <w:rPr>
          <w:lang w:eastAsia="en-GB"/>
        </w:rPr>
        <w:t>attorney</w:t>
      </w:r>
      <w:r w:rsidR="00C64050">
        <w:rPr>
          <w:lang w:eastAsia="en-GB"/>
        </w:rPr>
        <w:t xml:space="preserve"> </w:t>
      </w:r>
      <w:r w:rsidR="0065760B">
        <w:rPr>
          <w:lang w:eastAsia="en-GB"/>
        </w:rPr>
        <w:t>in</w:t>
      </w:r>
      <w:r w:rsidR="00C64050">
        <w:rPr>
          <w:lang w:eastAsia="en-GB"/>
        </w:rPr>
        <w:t xml:space="preserve"> </w:t>
      </w:r>
      <w:r w:rsidR="0065760B">
        <w:rPr>
          <w:lang w:eastAsia="en-GB"/>
        </w:rPr>
        <w:t>fact,</w:t>
      </w:r>
      <w:r w:rsidR="00C64050">
        <w:rPr>
          <w:lang w:eastAsia="en-GB"/>
        </w:rPr>
        <w:t xml:space="preserve"> </w:t>
      </w:r>
      <w:r w:rsidR="0065760B">
        <w:rPr>
          <w:lang w:eastAsia="en-GB"/>
        </w:rPr>
        <w:t>created</w:t>
      </w:r>
      <w:r w:rsidR="00C64050">
        <w:rPr>
          <w:lang w:eastAsia="en-GB"/>
        </w:rPr>
        <w:t xml:space="preserve"> </w:t>
      </w:r>
      <w:r w:rsidR="0065760B">
        <w:rPr>
          <w:lang w:eastAsia="en-GB"/>
        </w:rPr>
        <w:t>a</w:t>
      </w:r>
      <w:r w:rsidR="00C64050">
        <w:rPr>
          <w:lang w:eastAsia="en-GB"/>
        </w:rPr>
        <w:t xml:space="preserve"> </w:t>
      </w:r>
      <w:r w:rsidR="0065760B">
        <w:rPr>
          <w:lang w:eastAsia="en-GB"/>
        </w:rPr>
        <w:t>Delaware</w:t>
      </w:r>
      <w:r w:rsidR="00C64050">
        <w:rPr>
          <w:lang w:eastAsia="en-GB"/>
        </w:rPr>
        <w:t xml:space="preserve"> </w:t>
      </w:r>
      <w:r w:rsidR="0065760B">
        <w:rPr>
          <w:lang w:eastAsia="en-GB"/>
        </w:rPr>
        <w:t>partnership,</w:t>
      </w:r>
      <w:r w:rsidR="00C64050">
        <w:rPr>
          <w:lang w:eastAsia="en-GB"/>
        </w:rPr>
        <w:t xml:space="preserve"> </w:t>
      </w:r>
      <w:r w:rsidR="0065760B">
        <w:rPr>
          <w:lang w:eastAsia="en-GB"/>
        </w:rPr>
        <w:t>NHP</w:t>
      </w:r>
      <w:r w:rsidR="00C64050">
        <w:rPr>
          <w:lang w:eastAsia="en-GB"/>
        </w:rPr>
        <w:t xml:space="preserve"> </w:t>
      </w:r>
      <w:r w:rsidR="0065760B">
        <w:rPr>
          <w:lang w:eastAsia="en-GB"/>
        </w:rPr>
        <w:t>Enterprises.</w:t>
      </w:r>
      <w:r w:rsidR="00C64050">
        <w:rPr>
          <w:lang w:eastAsia="en-GB"/>
        </w:rPr>
        <w:t xml:space="preserve">  </w:t>
      </w:r>
      <w:r w:rsidR="0065760B">
        <w:rPr>
          <w:lang w:eastAsia="en-GB"/>
        </w:rPr>
        <w:t>On</w:t>
      </w:r>
      <w:r w:rsidR="00C64050">
        <w:rPr>
          <w:lang w:eastAsia="en-GB"/>
        </w:rPr>
        <w:t xml:space="preserve"> </w:t>
      </w:r>
      <w:r w:rsidR="0065760B">
        <w:rPr>
          <w:lang w:eastAsia="en-GB"/>
        </w:rPr>
        <w:t>August</w:t>
      </w:r>
      <w:r w:rsidR="00C64050">
        <w:rPr>
          <w:lang w:eastAsia="en-GB"/>
        </w:rPr>
        <w:t xml:space="preserve"> </w:t>
      </w:r>
      <w:r w:rsidR="0065760B">
        <w:rPr>
          <w:lang w:eastAsia="en-GB"/>
        </w:rPr>
        <w:t>8,</w:t>
      </w:r>
      <w:r w:rsidR="00C64050">
        <w:rPr>
          <w:lang w:eastAsia="en-GB"/>
        </w:rPr>
        <w:t xml:space="preserve"> </w:t>
      </w:r>
      <w:r w:rsidR="0065760B">
        <w:rPr>
          <w:lang w:eastAsia="en-GB"/>
        </w:rPr>
        <w:t>2008,</w:t>
      </w:r>
      <w:r w:rsidR="00C64050">
        <w:rPr>
          <w:lang w:eastAsia="en-GB"/>
        </w:rPr>
        <w:t xml:space="preserve"> </w:t>
      </w:r>
      <w:r w:rsidR="0065760B">
        <w:rPr>
          <w:lang w:eastAsia="en-GB"/>
        </w:rPr>
        <w:t>again</w:t>
      </w:r>
      <w:r w:rsidR="00C64050">
        <w:rPr>
          <w:lang w:eastAsia="en-GB"/>
        </w:rPr>
        <w:t xml:space="preserve"> </w:t>
      </w:r>
      <w:r w:rsidR="0065760B">
        <w:rPr>
          <w:lang w:eastAsia="en-GB"/>
        </w:rPr>
        <w:t>as</w:t>
      </w:r>
      <w:r w:rsidR="00C64050">
        <w:rPr>
          <w:lang w:eastAsia="en-GB"/>
        </w:rPr>
        <w:t xml:space="preserve"> </w:t>
      </w:r>
      <w:r w:rsidR="0065760B">
        <w:rPr>
          <w:lang w:eastAsia="en-GB"/>
        </w:rPr>
        <w:t>attorney</w:t>
      </w:r>
      <w:r w:rsidR="00C64050">
        <w:rPr>
          <w:lang w:eastAsia="en-GB"/>
        </w:rPr>
        <w:t xml:space="preserve"> </w:t>
      </w:r>
      <w:r w:rsidR="0065760B">
        <w:rPr>
          <w:lang w:eastAsia="en-GB"/>
        </w:rPr>
        <w:t>in</w:t>
      </w:r>
      <w:r w:rsidR="00C64050">
        <w:rPr>
          <w:lang w:eastAsia="en-GB"/>
        </w:rPr>
        <w:t xml:space="preserve"> </w:t>
      </w:r>
      <w:r w:rsidR="0065760B">
        <w:rPr>
          <w:lang w:eastAsia="en-GB"/>
        </w:rPr>
        <w:t>fac</w:t>
      </w:r>
      <w:r w:rsidR="00B57132">
        <w:rPr>
          <w:lang w:eastAsia="en-GB"/>
        </w:rPr>
        <w:t>t,</w:t>
      </w:r>
      <w:r w:rsidR="00C64050">
        <w:rPr>
          <w:lang w:eastAsia="en-GB"/>
        </w:rPr>
        <w:t xml:space="preserve"> </w:t>
      </w:r>
      <w:r w:rsidR="00B57132">
        <w:rPr>
          <w:lang w:eastAsia="en-GB"/>
        </w:rPr>
        <w:t>the</w:t>
      </w:r>
      <w:r w:rsidR="00C64050">
        <w:rPr>
          <w:lang w:eastAsia="en-GB"/>
        </w:rPr>
        <w:t xml:space="preserve"> </w:t>
      </w:r>
      <w:r w:rsidR="00B57132">
        <w:rPr>
          <w:lang w:eastAsia="en-GB"/>
        </w:rPr>
        <w:t>son</w:t>
      </w:r>
      <w:r w:rsidR="00C64050">
        <w:rPr>
          <w:lang w:eastAsia="en-GB"/>
        </w:rPr>
        <w:t xml:space="preserve"> </w:t>
      </w:r>
      <w:r w:rsidR="00B57132">
        <w:rPr>
          <w:lang w:eastAsia="en-GB"/>
        </w:rPr>
        <w:t>contributed</w:t>
      </w:r>
      <w:r w:rsidR="00C64050">
        <w:rPr>
          <w:lang w:eastAsia="en-GB"/>
        </w:rPr>
        <w:t xml:space="preserve"> </w:t>
      </w:r>
      <w:r w:rsidR="00B57132">
        <w:rPr>
          <w:lang w:eastAsia="en-GB"/>
        </w:rPr>
        <w:t>$10,000,</w:t>
      </w:r>
      <w:r w:rsidR="0065760B">
        <w:rPr>
          <w:lang w:eastAsia="en-GB"/>
        </w:rPr>
        <w:t>752</w:t>
      </w:r>
      <w:r w:rsidR="00C64050">
        <w:rPr>
          <w:lang w:eastAsia="en-GB"/>
        </w:rPr>
        <w:t xml:space="preserve"> </w:t>
      </w:r>
      <w:r w:rsidR="0065760B">
        <w:rPr>
          <w:lang w:eastAsia="en-GB"/>
        </w:rPr>
        <w:t>to</w:t>
      </w:r>
      <w:r w:rsidR="00C64050">
        <w:rPr>
          <w:lang w:eastAsia="en-GB"/>
        </w:rPr>
        <w:t xml:space="preserve"> </w:t>
      </w:r>
      <w:r w:rsidR="0065760B">
        <w:rPr>
          <w:lang w:eastAsia="en-GB"/>
        </w:rPr>
        <w:t>NHP</w:t>
      </w:r>
      <w:r w:rsidR="00C64050">
        <w:rPr>
          <w:lang w:eastAsia="en-GB"/>
        </w:rPr>
        <w:t xml:space="preserve"> </w:t>
      </w:r>
      <w:r w:rsidR="0065760B">
        <w:rPr>
          <w:lang w:eastAsia="en-GB"/>
        </w:rPr>
        <w:t>in</w:t>
      </w:r>
      <w:r w:rsidR="00C64050">
        <w:rPr>
          <w:lang w:eastAsia="en-GB"/>
        </w:rPr>
        <w:t xml:space="preserve"> </w:t>
      </w:r>
      <w:r w:rsidR="0065760B">
        <w:rPr>
          <w:lang w:eastAsia="en-GB"/>
        </w:rPr>
        <w:t>exchange</w:t>
      </w:r>
      <w:r w:rsidR="00C64050">
        <w:rPr>
          <w:lang w:eastAsia="en-GB"/>
        </w:rPr>
        <w:t xml:space="preserve"> </w:t>
      </w:r>
      <w:r w:rsidR="0065760B">
        <w:rPr>
          <w:lang w:eastAsia="en-GB"/>
        </w:rPr>
        <w:t>for</w:t>
      </w:r>
      <w:r w:rsidR="00C64050">
        <w:rPr>
          <w:lang w:eastAsia="en-GB"/>
        </w:rPr>
        <w:t xml:space="preserve"> </w:t>
      </w:r>
      <w:r w:rsidR="0065760B">
        <w:rPr>
          <w:lang w:eastAsia="en-GB"/>
        </w:rPr>
        <w:t>a</w:t>
      </w:r>
      <w:r w:rsidR="00C64050">
        <w:rPr>
          <w:lang w:eastAsia="en-GB"/>
        </w:rPr>
        <w:t xml:space="preserve"> </w:t>
      </w:r>
      <w:r w:rsidR="0065760B">
        <w:rPr>
          <w:lang w:eastAsia="en-GB"/>
        </w:rPr>
        <w:t>99%</w:t>
      </w:r>
      <w:r w:rsidR="00C64050">
        <w:rPr>
          <w:lang w:eastAsia="en-GB"/>
        </w:rPr>
        <w:t xml:space="preserve"> </w:t>
      </w:r>
      <w:r w:rsidR="0065760B">
        <w:rPr>
          <w:lang w:eastAsia="en-GB"/>
        </w:rPr>
        <w:t>limited</w:t>
      </w:r>
      <w:r w:rsidR="00C64050">
        <w:rPr>
          <w:lang w:eastAsia="en-GB"/>
        </w:rPr>
        <w:t xml:space="preserve"> </w:t>
      </w:r>
      <w:r w:rsidR="0065760B">
        <w:rPr>
          <w:lang w:eastAsia="en-GB"/>
        </w:rPr>
        <w:t>partnership</w:t>
      </w:r>
      <w:r w:rsidR="00C64050">
        <w:rPr>
          <w:lang w:eastAsia="en-GB"/>
        </w:rPr>
        <w:t xml:space="preserve"> </w:t>
      </w:r>
      <w:r w:rsidR="0065760B">
        <w:rPr>
          <w:lang w:eastAsia="en-GB"/>
        </w:rPr>
        <w:t>interest.</w:t>
      </w:r>
      <w:r w:rsidR="00C64050">
        <w:rPr>
          <w:lang w:eastAsia="en-GB"/>
        </w:rPr>
        <w:t xml:space="preserve">  </w:t>
      </w:r>
      <w:r w:rsidR="0065760B">
        <w:rPr>
          <w:lang w:eastAsia="en-GB"/>
        </w:rPr>
        <w:t>Son,</w:t>
      </w:r>
      <w:r w:rsidR="00C64050">
        <w:rPr>
          <w:lang w:eastAsia="en-GB"/>
        </w:rPr>
        <w:t xml:space="preserve"> </w:t>
      </w:r>
      <w:r w:rsidR="0065760B">
        <w:rPr>
          <w:lang w:eastAsia="en-GB"/>
        </w:rPr>
        <w:t>as</w:t>
      </w:r>
      <w:r w:rsidR="00C64050">
        <w:rPr>
          <w:lang w:eastAsia="en-GB"/>
        </w:rPr>
        <w:t xml:space="preserve"> </w:t>
      </w:r>
      <w:r w:rsidR="0065760B">
        <w:rPr>
          <w:lang w:eastAsia="en-GB"/>
        </w:rPr>
        <w:t>general</w:t>
      </w:r>
      <w:r w:rsidR="00C64050">
        <w:rPr>
          <w:lang w:eastAsia="en-GB"/>
        </w:rPr>
        <w:t xml:space="preserve"> </w:t>
      </w:r>
      <w:r w:rsidR="0065760B">
        <w:rPr>
          <w:lang w:eastAsia="en-GB"/>
        </w:rPr>
        <w:t>partner</w:t>
      </w:r>
      <w:r w:rsidR="00C64050">
        <w:rPr>
          <w:lang w:eastAsia="en-GB"/>
        </w:rPr>
        <w:t xml:space="preserve"> </w:t>
      </w:r>
      <w:r w:rsidR="0065760B">
        <w:rPr>
          <w:lang w:eastAsia="en-GB"/>
        </w:rPr>
        <w:t>had</w:t>
      </w:r>
      <w:r w:rsidR="00C64050">
        <w:rPr>
          <w:lang w:eastAsia="en-GB"/>
        </w:rPr>
        <w:t xml:space="preserve"> </w:t>
      </w:r>
      <w:r w:rsidR="0065760B">
        <w:rPr>
          <w:lang w:eastAsia="en-GB"/>
        </w:rPr>
        <w:t>full</w:t>
      </w:r>
      <w:r w:rsidR="00C64050">
        <w:rPr>
          <w:lang w:eastAsia="en-GB"/>
        </w:rPr>
        <w:t xml:space="preserve"> </w:t>
      </w:r>
      <w:r w:rsidR="0065760B">
        <w:rPr>
          <w:lang w:eastAsia="en-GB"/>
        </w:rPr>
        <w:t>control</w:t>
      </w:r>
      <w:r w:rsidR="00C64050">
        <w:rPr>
          <w:lang w:eastAsia="en-GB"/>
        </w:rPr>
        <w:t xml:space="preserve"> </w:t>
      </w:r>
      <w:r w:rsidR="0065760B">
        <w:rPr>
          <w:lang w:eastAsia="en-GB"/>
        </w:rPr>
        <w:t>of</w:t>
      </w:r>
      <w:r w:rsidR="00C64050">
        <w:rPr>
          <w:lang w:eastAsia="en-GB"/>
        </w:rPr>
        <w:t xml:space="preserve"> </w:t>
      </w:r>
      <w:r w:rsidR="0065760B">
        <w:rPr>
          <w:lang w:eastAsia="en-GB"/>
        </w:rPr>
        <w:t>the</w:t>
      </w:r>
      <w:r w:rsidR="00C64050">
        <w:rPr>
          <w:lang w:eastAsia="en-GB"/>
        </w:rPr>
        <w:t xml:space="preserve"> </w:t>
      </w:r>
      <w:r w:rsidR="0065760B">
        <w:rPr>
          <w:lang w:eastAsia="en-GB"/>
        </w:rPr>
        <w:t>partnership</w:t>
      </w:r>
      <w:r w:rsidR="00C64050">
        <w:rPr>
          <w:lang w:eastAsia="en-GB"/>
        </w:rPr>
        <w:t xml:space="preserve"> </w:t>
      </w:r>
      <w:r w:rsidR="0065760B">
        <w:rPr>
          <w:lang w:eastAsia="en-GB"/>
        </w:rPr>
        <w:t>which</w:t>
      </w:r>
      <w:r w:rsidR="00C64050">
        <w:rPr>
          <w:lang w:eastAsia="en-GB"/>
        </w:rPr>
        <w:t xml:space="preserve"> </w:t>
      </w:r>
      <w:r w:rsidR="0065760B">
        <w:rPr>
          <w:lang w:eastAsia="en-GB"/>
        </w:rPr>
        <w:t>could</w:t>
      </w:r>
      <w:r w:rsidR="00C64050">
        <w:rPr>
          <w:lang w:eastAsia="en-GB"/>
        </w:rPr>
        <w:t xml:space="preserve"> </w:t>
      </w:r>
      <w:r w:rsidR="0065760B">
        <w:rPr>
          <w:lang w:eastAsia="en-GB"/>
        </w:rPr>
        <w:t>be</w:t>
      </w:r>
      <w:r w:rsidR="00C64050">
        <w:rPr>
          <w:lang w:eastAsia="en-GB"/>
        </w:rPr>
        <w:t xml:space="preserve"> </w:t>
      </w:r>
      <w:r w:rsidR="0065760B">
        <w:rPr>
          <w:lang w:eastAsia="en-GB"/>
        </w:rPr>
        <w:t>dissolved</w:t>
      </w:r>
      <w:r w:rsidR="00C64050">
        <w:rPr>
          <w:lang w:eastAsia="en-GB"/>
        </w:rPr>
        <w:t xml:space="preserve"> </w:t>
      </w:r>
      <w:r w:rsidR="0065760B">
        <w:rPr>
          <w:lang w:eastAsia="en-GB"/>
        </w:rPr>
        <w:t>with</w:t>
      </w:r>
      <w:r w:rsidR="00C64050">
        <w:rPr>
          <w:lang w:eastAsia="en-GB"/>
        </w:rPr>
        <w:t xml:space="preserve"> </w:t>
      </w:r>
      <w:r w:rsidR="0065760B">
        <w:rPr>
          <w:lang w:eastAsia="en-GB"/>
        </w:rPr>
        <w:t>written</w:t>
      </w:r>
      <w:r w:rsidR="00C64050">
        <w:rPr>
          <w:lang w:eastAsia="en-GB"/>
        </w:rPr>
        <w:t xml:space="preserve"> </w:t>
      </w:r>
      <w:r w:rsidR="0065760B">
        <w:rPr>
          <w:lang w:eastAsia="en-GB"/>
        </w:rPr>
        <w:t>consent</w:t>
      </w:r>
      <w:r w:rsidR="00C64050">
        <w:rPr>
          <w:lang w:eastAsia="en-GB"/>
        </w:rPr>
        <w:t xml:space="preserve"> </w:t>
      </w:r>
      <w:r w:rsidR="0065760B">
        <w:rPr>
          <w:lang w:eastAsia="en-GB"/>
        </w:rPr>
        <w:t>of</w:t>
      </w:r>
      <w:r w:rsidR="00C64050">
        <w:rPr>
          <w:lang w:eastAsia="en-GB"/>
        </w:rPr>
        <w:t xml:space="preserve"> </w:t>
      </w:r>
      <w:r w:rsidR="0065760B">
        <w:rPr>
          <w:lang w:eastAsia="en-GB"/>
        </w:rPr>
        <w:t>all</w:t>
      </w:r>
      <w:r w:rsidR="00C64050">
        <w:rPr>
          <w:lang w:eastAsia="en-GB"/>
        </w:rPr>
        <w:t xml:space="preserve"> </w:t>
      </w:r>
      <w:r w:rsidR="0065760B">
        <w:rPr>
          <w:lang w:eastAsia="en-GB"/>
        </w:rPr>
        <w:t>partners.</w:t>
      </w:r>
      <w:r w:rsidR="00C64050">
        <w:rPr>
          <w:lang w:eastAsia="en-GB"/>
        </w:rPr>
        <w:t xml:space="preserve">  </w:t>
      </w:r>
      <w:r w:rsidR="0065760B">
        <w:rPr>
          <w:lang w:eastAsia="en-GB"/>
        </w:rPr>
        <w:t>Immediately</w:t>
      </w:r>
      <w:r w:rsidR="00C64050">
        <w:rPr>
          <w:lang w:eastAsia="en-GB"/>
        </w:rPr>
        <w:t xml:space="preserve"> </w:t>
      </w:r>
      <w:r w:rsidR="0065760B">
        <w:rPr>
          <w:lang w:eastAsia="en-GB"/>
        </w:rPr>
        <w:t>thereafter,</w:t>
      </w:r>
      <w:r w:rsidR="00C64050">
        <w:rPr>
          <w:lang w:eastAsia="en-GB"/>
        </w:rPr>
        <w:t xml:space="preserve"> </w:t>
      </w:r>
      <w:r w:rsidR="0065760B">
        <w:rPr>
          <w:lang w:eastAsia="en-GB"/>
        </w:rPr>
        <w:t>the</w:t>
      </w:r>
      <w:r w:rsidR="00C64050">
        <w:rPr>
          <w:lang w:eastAsia="en-GB"/>
        </w:rPr>
        <w:t xml:space="preserve"> </w:t>
      </w:r>
      <w:r w:rsidR="0065760B">
        <w:rPr>
          <w:lang w:eastAsia="en-GB"/>
        </w:rPr>
        <w:t>son</w:t>
      </w:r>
      <w:r w:rsidR="00C64050">
        <w:rPr>
          <w:lang w:eastAsia="en-GB"/>
        </w:rPr>
        <w:t xml:space="preserve"> </w:t>
      </w:r>
      <w:r w:rsidR="0065760B">
        <w:rPr>
          <w:lang w:eastAsia="en-GB"/>
        </w:rPr>
        <w:t>assigned</w:t>
      </w:r>
      <w:r w:rsidR="00C64050">
        <w:rPr>
          <w:lang w:eastAsia="en-GB"/>
        </w:rPr>
        <w:t xml:space="preserve"> </w:t>
      </w:r>
      <w:r w:rsidR="0065760B">
        <w:rPr>
          <w:lang w:eastAsia="en-GB"/>
        </w:rPr>
        <w:t>the</w:t>
      </w:r>
      <w:r w:rsidR="00C64050">
        <w:rPr>
          <w:lang w:eastAsia="en-GB"/>
        </w:rPr>
        <w:t xml:space="preserve"> </w:t>
      </w:r>
      <w:r w:rsidR="0065760B">
        <w:rPr>
          <w:lang w:eastAsia="en-GB"/>
        </w:rPr>
        <w:t>99%</w:t>
      </w:r>
      <w:r w:rsidR="00C64050">
        <w:rPr>
          <w:lang w:eastAsia="en-GB"/>
        </w:rPr>
        <w:t xml:space="preserve"> </w:t>
      </w:r>
      <w:r w:rsidR="0065760B">
        <w:rPr>
          <w:lang w:eastAsia="en-GB"/>
        </w:rPr>
        <w:t>to</w:t>
      </w:r>
      <w:r w:rsidR="00C64050">
        <w:rPr>
          <w:lang w:eastAsia="en-GB"/>
        </w:rPr>
        <w:t xml:space="preserve"> </w:t>
      </w:r>
      <w:r w:rsidR="0065760B">
        <w:rPr>
          <w:lang w:eastAsia="en-GB"/>
        </w:rPr>
        <w:t>a</w:t>
      </w:r>
      <w:r w:rsidR="00C64050">
        <w:rPr>
          <w:lang w:eastAsia="en-GB"/>
        </w:rPr>
        <w:t xml:space="preserve"> </w:t>
      </w:r>
      <w:r w:rsidR="0065760B">
        <w:rPr>
          <w:lang w:eastAsia="en-GB"/>
        </w:rPr>
        <w:t>CLAT</w:t>
      </w:r>
      <w:r w:rsidR="00C64050">
        <w:rPr>
          <w:lang w:eastAsia="en-GB"/>
        </w:rPr>
        <w:t xml:space="preserve"> </w:t>
      </w:r>
      <w:r w:rsidR="0065760B">
        <w:rPr>
          <w:lang w:eastAsia="en-GB"/>
        </w:rPr>
        <w:t>using</w:t>
      </w:r>
      <w:r w:rsidR="00C64050">
        <w:rPr>
          <w:lang w:eastAsia="en-GB"/>
        </w:rPr>
        <w:t xml:space="preserve"> </w:t>
      </w:r>
      <w:r w:rsidR="0065760B">
        <w:rPr>
          <w:lang w:eastAsia="en-GB"/>
        </w:rPr>
        <w:t>his</w:t>
      </w:r>
      <w:r w:rsidR="00C64050">
        <w:rPr>
          <w:lang w:eastAsia="en-GB"/>
        </w:rPr>
        <w:t xml:space="preserve"> </w:t>
      </w:r>
      <w:r w:rsidR="0065760B">
        <w:rPr>
          <w:lang w:eastAsia="en-GB"/>
        </w:rPr>
        <w:t>power</w:t>
      </w:r>
      <w:r w:rsidR="00C64050">
        <w:rPr>
          <w:lang w:eastAsia="en-GB"/>
        </w:rPr>
        <w:t xml:space="preserve"> </w:t>
      </w:r>
      <w:r w:rsidR="0065760B">
        <w:rPr>
          <w:lang w:eastAsia="en-GB"/>
        </w:rPr>
        <w:t>of</w:t>
      </w:r>
      <w:r w:rsidR="00C64050">
        <w:rPr>
          <w:lang w:eastAsia="en-GB"/>
        </w:rPr>
        <w:t xml:space="preserve"> </w:t>
      </w:r>
      <w:r w:rsidR="0065760B">
        <w:rPr>
          <w:lang w:eastAsia="en-GB"/>
        </w:rPr>
        <w:t>attorney.</w:t>
      </w:r>
      <w:r w:rsidR="00C64050">
        <w:rPr>
          <w:lang w:eastAsia="en-GB"/>
        </w:rPr>
        <w:t xml:space="preserve">  </w:t>
      </w:r>
      <w:r w:rsidR="0065760B">
        <w:rPr>
          <w:lang w:eastAsia="en-GB"/>
        </w:rPr>
        <w:t>By</w:t>
      </w:r>
      <w:r w:rsidR="00C64050">
        <w:rPr>
          <w:lang w:eastAsia="en-GB"/>
        </w:rPr>
        <w:t xml:space="preserve"> </w:t>
      </w:r>
      <w:r w:rsidR="0065760B">
        <w:rPr>
          <w:lang w:eastAsia="en-GB"/>
        </w:rPr>
        <w:t>all</w:t>
      </w:r>
      <w:r w:rsidR="00C64050">
        <w:rPr>
          <w:lang w:eastAsia="en-GB"/>
        </w:rPr>
        <w:t xml:space="preserve"> </w:t>
      </w:r>
      <w:r w:rsidR="0065760B">
        <w:rPr>
          <w:lang w:eastAsia="en-GB"/>
        </w:rPr>
        <w:t>accounts,</w:t>
      </w:r>
      <w:r w:rsidR="00C64050">
        <w:rPr>
          <w:lang w:eastAsia="en-GB"/>
        </w:rPr>
        <w:t xml:space="preserve"> </w:t>
      </w:r>
      <w:r w:rsidR="0065760B">
        <w:rPr>
          <w:lang w:eastAsia="en-GB"/>
        </w:rPr>
        <w:t>Mrs.</w:t>
      </w:r>
      <w:r w:rsidR="00C64050">
        <w:rPr>
          <w:lang w:eastAsia="en-GB"/>
        </w:rPr>
        <w:t xml:space="preserve"> </w:t>
      </w:r>
      <w:r w:rsidR="0065760B">
        <w:rPr>
          <w:lang w:eastAsia="en-GB"/>
        </w:rPr>
        <w:t>Powell</w:t>
      </w:r>
      <w:r w:rsidR="00C64050">
        <w:rPr>
          <w:lang w:eastAsia="en-GB"/>
        </w:rPr>
        <w:t xml:space="preserve"> </w:t>
      </w:r>
      <w:r w:rsidR="0065760B">
        <w:rPr>
          <w:lang w:eastAsia="en-GB"/>
        </w:rPr>
        <w:t>was</w:t>
      </w:r>
      <w:r w:rsidR="00C64050">
        <w:rPr>
          <w:lang w:eastAsia="en-GB"/>
        </w:rPr>
        <w:t xml:space="preserve"> </w:t>
      </w:r>
      <w:r w:rsidR="0065760B">
        <w:rPr>
          <w:lang w:eastAsia="en-GB"/>
        </w:rPr>
        <w:t>incapacitated</w:t>
      </w:r>
      <w:r w:rsidR="00C64050">
        <w:rPr>
          <w:lang w:eastAsia="en-GB"/>
        </w:rPr>
        <w:t xml:space="preserve"> </w:t>
      </w:r>
      <w:r w:rsidR="0065760B">
        <w:rPr>
          <w:lang w:eastAsia="en-GB"/>
        </w:rPr>
        <w:t>all</w:t>
      </w:r>
      <w:r w:rsidR="00C64050">
        <w:rPr>
          <w:lang w:eastAsia="en-GB"/>
        </w:rPr>
        <w:t xml:space="preserve"> </w:t>
      </w:r>
      <w:r w:rsidR="0065760B">
        <w:rPr>
          <w:lang w:eastAsia="en-GB"/>
        </w:rPr>
        <w:t>this</w:t>
      </w:r>
      <w:r w:rsidR="00C64050">
        <w:rPr>
          <w:lang w:eastAsia="en-GB"/>
        </w:rPr>
        <w:t xml:space="preserve"> </w:t>
      </w:r>
      <w:r w:rsidR="0065760B">
        <w:rPr>
          <w:lang w:eastAsia="en-GB"/>
        </w:rPr>
        <w:t>time,</w:t>
      </w:r>
      <w:r w:rsidR="00C64050">
        <w:rPr>
          <w:lang w:eastAsia="en-GB"/>
        </w:rPr>
        <w:t xml:space="preserve"> </w:t>
      </w:r>
      <w:r w:rsidR="0065760B">
        <w:rPr>
          <w:lang w:eastAsia="en-GB"/>
        </w:rPr>
        <w:t>and</w:t>
      </w:r>
      <w:r w:rsidR="00C64050">
        <w:rPr>
          <w:lang w:eastAsia="en-GB"/>
        </w:rPr>
        <w:t xml:space="preserve"> </w:t>
      </w:r>
      <w:r w:rsidR="003C1004">
        <w:rPr>
          <w:lang w:eastAsia="en-GB"/>
        </w:rPr>
        <w:t>she</w:t>
      </w:r>
      <w:r w:rsidR="00C64050">
        <w:rPr>
          <w:lang w:eastAsia="en-GB"/>
        </w:rPr>
        <w:t xml:space="preserve"> </w:t>
      </w:r>
      <w:r w:rsidR="0065760B">
        <w:rPr>
          <w:lang w:eastAsia="en-GB"/>
        </w:rPr>
        <w:t>died</w:t>
      </w:r>
      <w:r w:rsidR="00C64050">
        <w:rPr>
          <w:lang w:eastAsia="en-GB"/>
        </w:rPr>
        <w:t xml:space="preserve"> </w:t>
      </w:r>
      <w:r w:rsidR="0065760B">
        <w:rPr>
          <w:lang w:eastAsia="en-GB"/>
        </w:rPr>
        <w:t>on</w:t>
      </w:r>
      <w:r w:rsidR="00C64050">
        <w:rPr>
          <w:lang w:eastAsia="en-GB"/>
        </w:rPr>
        <w:t xml:space="preserve"> </w:t>
      </w:r>
      <w:r w:rsidR="0065760B">
        <w:rPr>
          <w:lang w:eastAsia="en-GB"/>
        </w:rPr>
        <w:t>August</w:t>
      </w:r>
      <w:r w:rsidR="00C64050">
        <w:rPr>
          <w:lang w:eastAsia="en-GB"/>
        </w:rPr>
        <w:t xml:space="preserve"> </w:t>
      </w:r>
      <w:r w:rsidR="0065760B">
        <w:rPr>
          <w:lang w:eastAsia="en-GB"/>
        </w:rPr>
        <w:t>15,</w:t>
      </w:r>
      <w:r w:rsidR="00C64050">
        <w:rPr>
          <w:lang w:eastAsia="en-GB"/>
        </w:rPr>
        <w:t xml:space="preserve"> </w:t>
      </w:r>
      <w:r w:rsidR="0065760B">
        <w:rPr>
          <w:lang w:eastAsia="en-GB"/>
        </w:rPr>
        <w:t>2008.</w:t>
      </w:r>
    </w:p>
    <w:p w:rsidR="0065760B" w:rsidRDefault="0065760B" w:rsidP="0065760B">
      <w:pPr>
        <w:pStyle w:val="Body15"/>
        <w:rPr>
          <w:lang w:eastAsia="en-GB"/>
        </w:rPr>
      </w:pPr>
      <w:r>
        <w:rPr>
          <w:lang w:eastAsia="en-GB"/>
        </w:rPr>
        <w:t>The</w:t>
      </w:r>
      <w:r w:rsidR="00C64050">
        <w:rPr>
          <w:lang w:eastAsia="en-GB"/>
        </w:rPr>
        <w:t xml:space="preserve"> </w:t>
      </w:r>
      <w:r>
        <w:rPr>
          <w:lang w:eastAsia="en-GB"/>
        </w:rPr>
        <w:t>Court</w:t>
      </w:r>
      <w:r w:rsidR="00C64050">
        <w:rPr>
          <w:lang w:eastAsia="en-GB"/>
        </w:rPr>
        <w:t xml:space="preserve"> </w:t>
      </w:r>
      <w:r>
        <w:rPr>
          <w:lang w:eastAsia="en-GB"/>
        </w:rPr>
        <w:t>ignored</w:t>
      </w:r>
      <w:r w:rsidR="00C64050">
        <w:rPr>
          <w:lang w:eastAsia="en-GB"/>
        </w:rPr>
        <w:t xml:space="preserve"> </w:t>
      </w:r>
      <w:r>
        <w:rPr>
          <w:lang w:eastAsia="en-GB"/>
        </w:rPr>
        <w:t>the</w:t>
      </w:r>
      <w:r w:rsidR="00C64050">
        <w:rPr>
          <w:lang w:eastAsia="en-GB"/>
        </w:rPr>
        <w:t xml:space="preserve"> </w:t>
      </w:r>
      <w:r w:rsidR="003C1004">
        <w:rPr>
          <w:lang w:eastAsia="en-GB"/>
        </w:rPr>
        <w:t>application</w:t>
      </w:r>
      <w:r w:rsidR="00C64050">
        <w:rPr>
          <w:lang w:eastAsia="en-GB"/>
        </w:rPr>
        <w:t xml:space="preserve"> </w:t>
      </w:r>
      <w:r>
        <w:rPr>
          <w:lang w:eastAsia="en-GB"/>
        </w:rPr>
        <w:t>of</w:t>
      </w:r>
      <w:r w:rsidR="00C64050">
        <w:rPr>
          <w:lang w:eastAsia="en-GB"/>
        </w:rPr>
        <w:t xml:space="preserve"> </w:t>
      </w:r>
      <w:r>
        <w:rPr>
          <w:lang w:eastAsia="en-GB"/>
        </w:rPr>
        <w:t>section</w:t>
      </w:r>
      <w:r w:rsidR="00C64050">
        <w:rPr>
          <w:lang w:eastAsia="en-GB"/>
        </w:rPr>
        <w:t xml:space="preserve"> </w:t>
      </w:r>
      <w:r>
        <w:rPr>
          <w:lang w:eastAsia="en-GB"/>
        </w:rPr>
        <w:t>2036(a)(1)</w:t>
      </w:r>
      <w:r w:rsidR="00C64050">
        <w:rPr>
          <w:lang w:eastAsia="en-GB"/>
        </w:rPr>
        <w:t xml:space="preserve"> </w:t>
      </w:r>
      <w:r>
        <w:rPr>
          <w:lang w:eastAsia="en-GB"/>
        </w:rPr>
        <w:t>using</w:t>
      </w:r>
      <w:r w:rsidR="00C64050">
        <w:rPr>
          <w:lang w:eastAsia="en-GB"/>
        </w:rPr>
        <w:t xml:space="preserve"> </w:t>
      </w:r>
      <w:r>
        <w:rPr>
          <w:lang w:eastAsia="en-GB"/>
        </w:rPr>
        <w:t>the</w:t>
      </w:r>
      <w:r w:rsidR="00C64050">
        <w:rPr>
          <w:lang w:eastAsia="en-GB"/>
        </w:rPr>
        <w:t xml:space="preserve"> </w:t>
      </w:r>
      <w:r>
        <w:rPr>
          <w:lang w:eastAsia="en-GB"/>
        </w:rPr>
        <w:t>“implied</w:t>
      </w:r>
      <w:r w:rsidR="00C64050">
        <w:rPr>
          <w:lang w:eastAsia="en-GB"/>
        </w:rPr>
        <w:t xml:space="preserve"> </w:t>
      </w:r>
      <w:r>
        <w:rPr>
          <w:lang w:eastAsia="en-GB"/>
        </w:rPr>
        <w:t>agreement”</w:t>
      </w:r>
      <w:r w:rsidR="00C64050">
        <w:rPr>
          <w:lang w:eastAsia="en-GB"/>
        </w:rPr>
        <w:t xml:space="preserve"> </w:t>
      </w:r>
      <w:r>
        <w:rPr>
          <w:lang w:eastAsia="en-GB"/>
        </w:rPr>
        <w:t>argument</w:t>
      </w:r>
      <w:r w:rsidR="00C64050">
        <w:rPr>
          <w:lang w:eastAsia="en-GB"/>
        </w:rPr>
        <w:t xml:space="preserve"> </w:t>
      </w:r>
      <w:r>
        <w:rPr>
          <w:lang w:eastAsia="en-GB"/>
        </w:rPr>
        <w:t>advanced</w:t>
      </w:r>
      <w:r w:rsidR="00C64050">
        <w:rPr>
          <w:lang w:eastAsia="en-GB"/>
        </w:rPr>
        <w:t xml:space="preserve"> </w:t>
      </w:r>
      <w:r>
        <w:rPr>
          <w:lang w:eastAsia="en-GB"/>
        </w:rPr>
        <w:t>by</w:t>
      </w:r>
      <w:r w:rsidR="00C64050">
        <w:rPr>
          <w:lang w:eastAsia="en-GB"/>
        </w:rPr>
        <w:t xml:space="preserve"> </w:t>
      </w:r>
      <w:r>
        <w:rPr>
          <w:lang w:eastAsia="en-GB"/>
        </w:rPr>
        <w:t>the</w:t>
      </w:r>
      <w:r w:rsidR="00C64050">
        <w:rPr>
          <w:lang w:eastAsia="en-GB"/>
        </w:rPr>
        <w:t xml:space="preserve"> </w:t>
      </w:r>
      <w:r>
        <w:rPr>
          <w:lang w:eastAsia="en-GB"/>
        </w:rPr>
        <w:t>IRS.</w:t>
      </w:r>
      <w:r w:rsidR="00C64050">
        <w:rPr>
          <w:lang w:eastAsia="en-GB"/>
        </w:rPr>
        <w:t xml:space="preserve">  </w:t>
      </w:r>
      <w:r>
        <w:rPr>
          <w:lang w:eastAsia="en-GB"/>
        </w:rPr>
        <w:t>Instead</w:t>
      </w:r>
      <w:r w:rsidR="00C64050">
        <w:rPr>
          <w:lang w:eastAsia="en-GB"/>
        </w:rPr>
        <w:t xml:space="preserve"> </w:t>
      </w:r>
      <w:r>
        <w:rPr>
          <w:lang w:eastAsia="en-GB"/>
        </w:rPr>
        <w:t>t</w:t>
      </w:r>
      <w:r w:rsidR="00874E54">
        <w:rPr>
          <w:lang w:eastAsia="en-GB"/>
        </w:rPr>
        <w:t>h</w:t>
      </w:r>
      <w:r>
        <w:rPr>
          <w:lang w:eastAsia="en-GB"/>
        </w:rPr>
        <w:t>e</w:t>
      </w:r>
      <w:r w:rsidR="00C64050">
        <w:rPr>
          <w:lang w:eastAsia="en-GB"/>
        </w:rPr>
        <w:t xml:space="preserve"> </w:t>
      </w:r>
      <w:r>
        <w:rPr>
          <w:lang w:eastAsia="en-GB"/>
        </w:rPr>
        <w:t>Court</w:t>
      </w:r>
      <w:r w:rsidR="00C64050">
        <w:rPr>
          <w:lang w:eastAsia="en-GB"/>
        </w:rPr>
        <w:t xml:space="preserve"> </w:t>
      </w:r>
      <w:r w:rsidR="00874E54">
        <w:rPr>
          <w:lang w:eastAsia="en-GB"/>
        </w:rPr>
        <w:t>looked</w:t>
      </w:r>
      <w:r w:rsidR="00C64050">
        <w:rPr>
          <w:lang w:eastAsia="en-GB"/>
        </w:rPr>
        <w:t xml:space="preserve"> </w:t>
      </w:r>
      <w:r w:rsidR="00874E54">
        <w:rPr>
          <w:lang w:eastAsia="en-GB"/>
        </w:rPr>
        <w:t>to</w:t>
      </w:r>
      <w:r w:rsidR="00C64050">
        <w:rPr>
          <w:lang w:eastAsia="en-GB"/>
        </w:rPr>
        <w:t xml:space="preserve"> </w:t>
      </w:r>
      <w:r w:rsidR="00874E54">
        <w:rPr>
          <w:lang w:eastAsia="en-GB"/>
        </w:rPr>
        <w:t>apply</w:t>
      </w:r>
      <w:r w:rsidR="00C64050">
        <w:rPr>
          <w:lang w:eastAsia="en-GB"/>
        </w:rPr>
        <w:t xml:space="preserve"> </w:t>
      </w:r>
      <w:r w:rsidR="00874E54">
        <w:rPr>
          <w:lang w:eastAsia="en-GB"/>
        </w:rPr>
        <w:t>section</w:t>
      </w:r>
      <w:r w:rsidR="00C64050">
        <w:rPr>
          <w:lang w:eastAsia="en-GB"/>
        </w:rPr>
        <w:t xml:space="preserve"> </w:t>
      </w:r>
      <w:r w:rsidR="00874E54">
        <w:rPr>
          <w:lang w:eastAsia="en-GB"/>
        </w:rPr>
        <w:t>2036(a)(2).</w:t>
      </w:r>
    </w:p>
    <w:p w:rsidR="00874E54" w:rsidRDefault="00874E54" w:rsidP="0065760B">
      <w:pPr>
        <w:pStyle w:val="Body15"/>
        <w:rPr>
          <w:lang w:eastAsia="en-GB"/>
        </w:rPr>
      </w:pPr>
      <w:r>
        <w:rPr>
          <w:lang w:eastAsia="en-GB"/>
        </w:rPr>
        <w:t>The</w:t>
      </w:r>
      <w:r w:rsidR="00C64050">
        <w:rPr>
          <w:lang w:eastAsia="en-GB"/>
        </w:rPr>
        <w:t xml:space="preserve"> </w:t>
      </w:r>
      <w:r>
        <w:rPr>
          <w:lang w:eastAsia="en-GB"/>
        </w:rPr>
        <w:t>taxpayer</w:t>
      </w:r>
      <w:r w:rsidR="00C64050">
        <w:rPr>
          <w:lang w:eastAsia="en-GB"/>
        </w:rPr>
        <w:t xml:space="preserve"> </w:t>
      </w:r>
      <w:r>
        <w:rPr>
          <w:lang w:eastAsia="en-GB"/>
        </w:rPr>
        <w:t>conceded</w:t>
      </w:r>
      <w:r w:rsidR="00C64050">
        <w:rPr>
          <w:lang w:eastAsia="en-GB"/>
        </w:rPr>
        <w:t xml:space="preserve"> </w:t>
      </w:r>
      <w:r>
        <w:rPr>
          <w:lang w:eastAsia="en-GB"/>
        </w:rPr>
        <w:t>that</w:t>
      </w:r>
      <w:r w:rsidR="00C64050">
        <w:rPr>
          <w:lang w:eastAsia="en-GB"/>
        </w:rPr>
        <w:t xml:space="preserve"> </w:t>
      </w:r>
      <w:r>
        <w:rPr>
          <w:lang w:eastAsia="en-GB"/>
        </w:rPr>
        <w:t>funding</w:t>
      </w:r>
      <w:r w:rsidR="00C64050">
        <w:rPr>
          <w:lang w:eastAsia="en-GB"/>
        </w:rPr>
        <w:t xml:space="preserve"> </w:t>
      </w:r>
      <w:r>
        <w:rPr>
          <w:lang w:eastAsia="en-GB"/>
        </w:rPr>
        <w:t>NHP</w:t>
      </w:r>
      <w:r w:rsidR="00C64050">
        <w:rPr>
          <w:lang w:eastAsia="en-GB"/>
        </w:rPr>
        <w:t xml:space="preserve"> </w:t>
      </w:r>
      <w:r>
        <w:rPr>
          <w:lang w:eastAsia="en-GB"/>
        </w:rPr>
        <w:t>was</w:t>
      </w:r>
      <w:r w:rsidR="00C64050">
        <w:rPr>
          <w:lang w:eastAsia="en-GB"/>
        </w:rPr>
        <w:t xml:space="preserve"> </w:t>
      </w:r>
      <w:r>
        <w:rPr>
          <w:lang w:eastAsia="en-GB"/>
        </w:rPr>
        <w:t>not</w:t>
      </w:r>
      <w:r w:rsidR="00C64050">
        <w:rPr>
          <w:lang w:eastAsia="en-GB"/>
        </w:rPr>
        <w:t xml:space="preserve"> </w:t>
      </w:r>
      <w:r>
        <w:rPr>
          <w:lang w:eastAsia="en-GB"/>
        </w:rPr>
        <w:t>a</w:t>
      </w:r>
      <w:r w:rsidR="00C64050">
        <w:rPr>
          <w:lang w:eastAsia="en-GB"/>
        </w:rPr>
        <w:t xml:space="preserve"> </w:t>
      </w:r>
      <w:r>
        <w:rPr>
          <w:lang w:eastAsia="en-GB"/>
        </w:rPr>
        <w:t>“bona</w:t>
      </w:r>
      <w:r w:rsidR="00C64050">
        <w:rPr>
          <w:lang w:eastAsia="en-GB"/>
        </w:rPr>
        <w:t xml:space="preserve"> </w:t>
      </w:r>
      <w:r>
        <w:rPr>
          <w:lang w:eastAsia="en-GB"/>
        </w:rPr>
        <w:t>fide</w:t>
      </w:r>
      <w:r w:rsidR="00C64050">
        <w:rPr>
          <w:lang w:eastAsia="en-GB"/>
        </w:rPr>
        <w:t xml:space="preserve"> </w:t>
      </w:r>
      <w:r>
        <w:rPr>
          <w:lang w:eastAsia="en-GB"/>
        </w:rPr>
        <w:t>sale</w:t>
      </w:r>
      <w:r w:rsidR="00C64050">
        <w:rPr>
          <w:lang w:eastAsia="en-GB"/>
        </w:rPr>
        <w:t xml:space="preserve"> </w:t>
      </w:r>
      <w:r>
        <w:rPr>
          <w:lang w:eastAsia="en-GB"/>
        </w:rPr>
        <w:t>for</w:t>
      </w:r>
      <w:r w:rsidR="00C64050">
        <w:rPr>
          <w:lang w:eastAsia="en-GB"/>
        </w:rPr>
        <w:t xml:space="preserve"> </w:t>
      </w:r>
      <w:r>
        <w:rPr>
          <w:lang w:eastAsia="en-GB"/>
        </w:rPr>
        <w:t>adequate</w:t>
      </w:r>
      <w:r w:rsidR="00C64050">
        <w:rPr>
          <w:lang w:eastAsia="en-GB"/>
        </w:rPr>
        <w:t xml:space="preserve"> </w:t>
      </w:r>
      <w:r>
        <w:rPr>
          <w:lang w:eastAsia="en-GB"/>
        </w:rPr>
        <w:t>and</w:t>
      </w:r>
      <w:r w:rsidR="00C64050">
        <w:rPr>
          <w:lang w:eastAsia="en-GB"/>
        </w:rPr>
        <w:t xml:space="preserve"> </w:t>
      </w:r>
      <w:r>
        <w:rPr>
          <w:lang w:eastAsia="en-GB"/>
        </w:rPr>
        <w:t>full</w:t>
      </w:r>
      <w:r w:rsidR="00C64050">
        <w:rPr>
          <w:lang w:eastAsia="en-GB"/>
        </w:rPr>
        <w:t xml:space="preserve"> </w:t>
      </w:r>
      <w:r>
        <w:rPr>
          <w:lang w:eastAsia="en-GB"/>
        </w:rPr>
        <w:t>consideration.”</w:t>
      </w:r>
      <w:r w:rsidR="00C64050">
        <w:rPr>
          <w:lang w:eastAsia="en-GB"/>
        </w:rPr>
        <w:t xml:space="preserve">  </w:t>
      </w:r>
      <w:r>
        <w:rPr>
          <w:lang w:eastAsia="en-GB"/>
        </w:rPr>
        <w:t>Section</w:t>
      </w:r>
      <w:r w:rsidR="00C64050">
        <w:rPr>
          <w:lang w:eastAsia="en-GB"/>
        </w:rPr>
        <w:t xml:space="preserve"> </w:t>
      </w:r>
      <w:r>
        <w:rPr>
          <w:lang w:eastAsia="en-GB"/>
        </w:rPr>
        <w:t>2036(a)</w:t>
      </w:r>
      <w:r w:rsidR="00C64050">
        <w:rPr>
          <w:lang w:eastAsia="en-GB"/>
        </w:rPr>
        <w:t xml:space="preserve"> </w:t>
      </w:r>
      <w:r>
        <w:rPr>
          <w:lang w:eastAsia="en-GB"/>
        </w:rPr>
        <w:t>states:</w:t>
      </w:r>
    </w:p>
    <w:p w:rsidR="00D44E8E" w:rsidRDefault="00D44E8E" w:rsidP="00D44E8E">
      <w:pPr>
        <w:pStyle w:val="QS10"/>
        <w:rPr>
          <w:lang w:eastAsia="en-GB"/>
        </w:rPr>
      </w:pPr>
      <w:r>
        <w:rPr>
          <w:lang w:eastAsia="en-GB"/>
        </w:rPr>
        <w:t>(a)</w:t>
      </w:r>
      <w:r w:rsidR="00C64050">
        <w:rPr>
          <w:lang w:eastAsia="en-GB"/>
        </w:rPr>
        <w:t xml:space="preserve"> </w:t>
      </w:r>
      <w:r>
        <w:rPr>
          <w:lang w:eastAsia="en-GB"/>
        </w:rPr>
        <w:t>General</w:t>
      </w:r>
      <w:r w:rsidR="00C64050">
        <w:rPr>
          <w:lang w:eastAsia="en-GB"/>
        </w:rPr>
        <w:t xml:space="preserve"> </w:t>
      </w:r>
      <w:r>
        <w:rPr>
          <w:lang w:eastAsia="en-GB"/>
        </w:rPr>
        <w:t>Rule.—The</w:t>
      </w:r>
      <w:r w:rsidR="00C64050">
        <w:rPr>
          <w:lang w:eastAsia="en-GB"/>
        </w:rPr>
        <w:t xml:space="preserve"> </w:t>
      </w:r>
      <w:r>
        <w:rPr>
          <w:lang w:eastAsia="en-GB"/>
        </w:rPr>
        <w:t>value</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gross</w:t>
      </w:r>
      <w:r w:rsidR="00C64050">
        <w:rPr>
          <w:lang w:eastAsia="en-GB"/>
        </w:rPr>
        <w:t xml:space="preserve"> </w:t>
      </w:r>
      <w:r>
        <w:rPr>
          <w:lang w:eastAsia="en-GB"/>
        </w:rPr>
        <w:t>estate</w:t>
      </w:r>
      <w:r w:rsidR="00C64050">
        <w:rPr>
          <w:lang w:eastAsia="en-GB"/>
        </w:rPr>
        <w:t xml:space="preserve"> </w:t>
      </w:r>
      <w:r>
        <w:rPr>
          <w:lang w:eastAsia="en-GB"/>
        </w:rPr>
        <w:t>shall</w:t>
      </w:r>
      <w:r w:rsidR="00C64050">
        <w:rPr>
          <w:lang w:eastAsia="en-GB"/>
        </w:rPr>
        <w:t xml:space="preserve"> </w:t>
      </w:r>
      <w:r>
        <w:rPr>
          <w:lang w:eastAsia="en-GB"/>
        </w:rPr>
        <w:t>include</w:t>
      </w:r>
      <w:r w:rsidR="00C64050">
        <w:rPr>
          <w:lang w:eastAsia="en-GB"/>
        </w:rPr>
        <w:t xml:space="preserve"> </w:t>
      </w:r>
      <w:r>
        <w:rPr>
          <w:lang w:eastAsia="en-GB"/>
        </w:rPr>
        <w:t>the</w:t>
      </w:r>
      <w:r w:rsidR="00C64050">
        <w:rPr>
          <w:lang w:eastAsia="en-GB"/>
        </w:rPr>
        <w:t xml:space="preserve"> </w:t>
      </w:r>
      <w:r>
        <w:rPr>
          <w:lang w:eastAsia="en-GB"/>
        </w:rPr>
        <w:t>value</w:t>
      </w:r>
      <w:r w:rsidR="00C64050">
        <w:rPr>
          <w:lang w:eastAsia="en-GB"/>
        </w:rPr>
        <w:t xml:space="preserve"> </w:t>
      </w:r>
      <w:r>
        <w:rPr>
          <w:lang w:eastAsia="en-GB"/>
        </w:rPr>
        <w:t>of</w:t>
      </w:r>
      <w:r w:rsidR="00C64050">
        <w:rPr>
          <w:lang w:eastAsia="en-GB"/>
        </w:rPr>
        <w:t xml:space="preserve"> </w:t>
      </w:r>
      <w:r>
        <w:rPr>
          <w:lang w:eastAsia="en-GB"/>
        </w:rPr>
        <w:t>all</w:t>
      </w:r>
      <w:r w:rsidR="00C64050">
        <w:rPr>
          <w:lang w:eastAsia="en-GB"/>
        </w:rPr>
        <w:t xml:space="preserve"> </w:t>
      </w:r>
      <w:r>
        <w:rPr>
          <w:lang w:eastAsia="en-GB"/>
        </w:rPr>
        <w:t>property</w:t>
      </w:r>
      <w:r w:rsidR="00C64050">
        <w:rPr>
          <w:lang w:eastAsia="en-GB"/>
        </w:rPr>
        <w:t xml:space="preserve"> </w:t>
      </w:r>
      <w:r>
        <w:rPr>
          <w:lang w:eastAsia="en-GB"/>
        </w:rPr>
        <w:t>to</w:t>
      </w:r>
      <w:r w:rsidR="00C64050">
        <w:rPr>
          <w:lang w:eastAsia="en-GB"/>
        </w:rPr>
        <w:t xml:space="preserve"> </w:t>
      </w:r>
      <w:r>
        <w:rPr>
          <w:lang w:eastAsia="en-GB"/>
        </w:rPr>
        <w:t>the</w:t>
      </w:r>
      <w:r w:rsidR="00C64050">
        <w:rPr>
          <w:lang w:eastAsia="en-GB"/>
        </w:rPr>
        <w:t xml:space="preserve"> </w:t>
      </w:r>
      <w:r>
        <w:rPr>
          <w:lang w:eastAsia="en-GB"/>
        </w:rPr>
        <w:t>extent</w:t>
      </w:r>
      <w:r w:rsidR="00C64050">
        <w:rPr>
          <w:lang w:eastAsia="en-GB"/>
        </w:rPr>
        <w:t xml:space="preserve"> </w:t>
      </w:r>
      <w:r>
        <w:rPr>
          <w:lang w:eastAsia="en-GB"/>
        </w:rPr>
        <w:t>of</w:t>
      </w:r>
      <w:r w:rsidR="00C64050">
        <w:rPr>
          <w:lang w:eastAsia="en-GB"/>
        </w:rPr>
        <w:t xml:space="preserve"> </w:t>
      </w:r>
      <w:r>
        <w:rPr>
          <w:lang w:eastAsia="en-GB"/>
        </w:rPr>
        <w:t>any</w:t>
      </w:r>
      <w:r w:rsidR="00C64050">
        <w:rPr>
          <w:lang w:eastAsia="en-GB"/>
        </w:rPr>
        <w:t xml:space="preserve"> </w:t>
      </w:r>
      <w:r>
        <w:rPr>
          <w:lang w:eastAsia="en-GB"/>
        </w:rPr>
        <w:t>interest</w:t>
      </w:r>
      <w:r w:rsidR="00C64050">
        <w:rPr>
          <w:lang w:eastAsia="en-GB"/>
        </w:rPr>
        <w:t xml:space="preserve"> </w:t>
      </w:r>
      <w:r>
        <w:rPr>
          <w:lang w:eastAsia="en-GB"/>
        </w:rPr>
        <w:t>therein</w:t>
      </w:r>
      <w:r w:rsidR="00C64050">
        <w:rPr>
          <w:lang w:eastAsia="en-GB"/>
        </w:rPr>
        <w:t xml:space="preserve"> </w:t>
      </w:r>
      <w:r>
        <w:rPr>
          <w:lang w:eastAsia="en-GB"/>
        </w:rPr>
        <w:t>of</w:t>
      </w:r>
      <w:r w:rsidR="00C64050">
        <w:rPr>
          <w:lang w:eastAsia="en-GB"/>
        </w:rPr>
        <w:t xml:space="preserve"> </w:t>
      </w:r>
      <w:r>
        <w:rPr>
          <w:lang w:eastAsia="en-GB"/>
        </w:rPr>
        <w:t>which</w:t>
      </w:r>
      <w:r w:rsidR="00C64050">
        <w:rPr>
          <w:lang w:eastAsia="en-GB"/>
        </w:rPr>
        <w:t xml:space="preserve"> </w:t>
      </w:r>
      <w:r>
        <w:rPr>
          <w:lang w:eastAsia="en-GB"/>
        </w:rPr>
        <w:t>the</w:t>
      </w:r>
      <w:r w:rsidR="00C64050">
        <w:rPr>
          <w:lang w:eastAsia="en-GB"/>
        </w:rPr>
        <w:t xml:space="preserve"> </w:t>
      </w:r>
      <w:r>
        <w:rPr>
          <w:lang w:eastAsia="en-GB"/>
        </w:rPr>
        <w:t>decedent</w:t>
      </w:r>
      <w:r w:rsidR="00C64050">
        <w:rPr>
          <w:lang w:eastAsia="en-GB"/>
        </w:rPr>
        <w:t xml:space="preserve"> </w:t>
      </w:r>
      <w:r>
        <w:rPr>
          <w:lang w:eastAsia="en-GB"/>
        </w:rPr>
        <w:t>has</w:t>
      </w:r>
      <w:r w:rsidR="00C64050">
        <w:rPr>
          <w:lang w:eastAsia="en-GB"/>
        </w:rPr>
        <w:t xml:space="preserve"> </w:t>
      </w:r>
      <w:r>
        <w:rPr>
          <w:lang w:eastAsia="en-GB"/>
        </w:rPr>
        <w:t>at</w:t>
      </w:r>
      <w:r w:rsidR="00C64050">
        <w:rPr>
          <w:lang w:eastAsia="en-GB"/>
        </w:rPr>
        <w:t xml:space="preserve"> </w:t>
      </w:r>
      <w:r>
        <w:rPr>
          <w:lang w:eastAsia="en-GB"/>
        </w:rPr>
        <w:t>any</w:t>
      </w:r>
      <w:r w:rsidR="00C64050">
        <w:rPr>
          <w:lang w:eastAsia="en-GB"/>
        </w:rPr>
        <w:t xml:space="preserve"> </w:t>
      </w:r>
      <w:r>
        <w:rPr>
          <w:lang w:eastAsia="en-GB"/>
        </w:rPr>
        <w:t>time</w:t>
      </w:r>
      <w:r w:rsidR="00C64050">
        <w:rPr>
          <w:lang w:eastAsia="en-GB"/>
        </w:rPr>
        <w:t xml:space="preserve"> </w:t>
      </w:r>
      <w:r>
        <w:rPr>
          <w:lang w:eastAsia="en-GB"/>
        </w:rPr>
        <w:t>made</w:t>
      </w:r>
      <w:r w:rsidR="00C64050">
        <w:rPr>
          <w:lang w:eastAsia="en-GB"/>
        </w:rPr>
        <w:t xml:space="preserve"> </w:t>
      </w:r>
      <w:r>
        <w:rPr>
          <w:lang w:eastAsia="en-GB"/>
        </w:rPr>
        <w:t>a</w:t>
      </w:r>
      <w:r w:rsidR="00C64050">
        <w:rPr>
          <w:lang w:eastAsia="en-GB"/>
        </w:rPr>
        <w:t xml:space="preserve"> </w:t>
      </w:r>
      <w:r>
        <w:rPr>
          <w:lang w:eastAsia="en-GB"/>
        </w:rPr>
        <w:t>transfer</w:t>
      </w:r>
      <w:r w:rsidR="00C64050">
        <w:rPr>
          <w:lang w:eastAsia="en-GB"/>
        </w:rPr>
        <w:t xml:space="preserve"> </w:t>
      </w:r>
      <w:r>
        <w:rPr>
          <w:lang w:eastAsia="en-GB"/>
        </w:rPr>
        <w:t>(except</w:t>
      </w:r>
      <w:r w:rsidR="00C64050">
        <w:rPr>
          <w:lang w:eastAsia="en-GB"/>
        </w:rPr>
        <w:t xml:space="preserve"> </w:t>
      </w:r>
      <w:r>
        <w:rPr>
          <w:lang w:eastAsia="en-GB"/>
        </w:rPr>
        <w:t>in</w:t>
      </w:r>
      <w:r w:rsidR="00C64050">
        <w:rPr>
          <w:lang w:eastAsia="en-GB"/>
        </w:rPr>
        <w:t xml:space="preserve"> </w:t>
      </w:r>
      <w:r>
        <w:rPr>
          <w:lang w:eastAsia="en-GB"/>
        </w:rPr>
        <w:t>case</w:t>
      </w:r>
      <w:r w:rsidR="00C64050">
        <w:rPr>
          <w:lang w:eastAsia="en-GB"/>
        </w:rPr>
        <w:t xml:space="preserve"> </w:t>
      </w:r>
      <w:r>
        <w:rPr>
          <w:lang w:eastAsia="en-GB"/>
        </w:rPr>
        <w:t>of</w:t>
      </w:r>
      <w:r w:rsidR="00C64050">
        <w:rPr>
          <w:lang w:eastAsia="en-GB"/>
        </w:rPr>
        <w:t xml:space="preserve"> </w:t>
      </w:r>
      <w:r>
        <w:rPr>
          <w:lang w:eastAsia="en-GB"/>
        </w:rPr>
        <w:t>a</w:t>
      </w:r>
      <w:r w:rsidR="00C64050">
        <w:rPr>
          <w:lang w:eastAsia="en-GB"/>
        </w:rPr>
        <w:t xml:space="preserve"> </w:t>
      </w:r>
      <w:r>
        <w:rPr>
          <w:lang w:eastAsia="en-GB"/>
        </w:rPr>
        <w:t>bona</w:t>
      </w:r>
      <w:r w:rsidR="00C64050">
        <w:rPr>
          <w:lang w:eastAsia="en-GB"/>
        </w:rPr>
        <w:t xml:space="preserve"> </w:t>
      </w:r>
      <w:r>
        <w:rPr>
          <w:lang w:eastAsia="en-GB"/>
        </w:rPr>
        <w:t>fide</w:t>
      </w:r>
      <w:r w:rsidR="00C64050">
        <w:rPr>
          <w:lang w:eastAsia="en-GB"/>
        </w:rPr>
        <w:t xml:space="preserve"> </w:t>
      </w:r>
      <w:r>
        <w:rPr>
          <w:lang w:eastAsia="en-GB"/>
        </w:rPr>
        <w:t>sale</w:t>
      </w:r>
      <w:r w:rsidR="00C64050">
        <w:rPr>
          <w:lang w:eastAsia="en-GB"/>
        </w:rPr>
        <w:t xml:space="preserve"> </w:t>
      </w:r>
      <w:r>
        <w:rPr>
          <w:lang w:eastAsia="en-GB"/>
        </w:rPr>
        <w:t>for</w:t>
      </w:r>
      <w:r w:rsidR="00C64050">
        <w:rPr>
          <w:lang w:eastAsia="en-GB"/>
        </w:rPr>
        <w:t xml:space="preserve"> </w:t>
      </w:r>
      <w:r>
        <w:rPr>
          <w:lang w:eastAsia="en-GB"/>
        </w:rPr>
        <w:t>an</w:t>
      </w:r>
      <w:r w:rsidR="00C64050">
        <w:rPr>
          <w:lang w:eastAsia="en-GB"/>
        </w:rPr>
        <w:t xml:space="preserve"> </w:t>
      </w:r>
      <w:r>
        <w:rPr>
          <w:lang w:eastAsia="en-GB"/>
        </w:rPr>
        <w:t>adequate</w:t>
      </w:r>
      <w:r w:rsidR="00C64050">
        <w:rPr>
          <w:lang w:eastAsia="en-GB"/>
        </w:rPr>
        <w:t xml:space="preserve"> </w:t>
      </w:r>
      <w:r>
        <w:rPr>
          <w:lang w:eastAsia="en-GB"/>
        </w:rPr>
        <w:t>and</w:t>
      </w:r>
      <w:r w:rsidR="00C64050">
        <w:rPr>
          <w:lang w:eastAsia="en-GB"/>
        </w:rPr>
        <w:t xml:space="preserve"> </w:t>
      </w:r>
      <w:r>
        <w:rPr>
          <w:lang w:eastAsia="en-GB"/>
        </w:rPr>
        <w:t>full</w:t>
      </w:r>
      <w:r w:rsidR="00C64050">
        <w:rPr>
          <w:lang w:eastAsia="en-GB"/>
        </w:rPr>
        <w:t xml:space="preserve"> </w:t>
      </w:r>
      <w:r>
        <w:rPr>
          <w:lang w:eastAsia="en-GB"/>
        </w:rPr>
        <w:t>consideration</w:t>
      </w:r>
      <w:r w:rsidR="00C64050">
        <w:rPr>
          <w:lang w:eastAsia="en-GB"/>
        </w:rPr>
        <w:t xml:space="preserve"> </w:t>
      </w:r>
      <w:r>
        <w:rPr>
          <w:lang w:eastAsia="en-GB"/>
        </w:rPr>
        <w:t>in</w:t>
      </w:r>
      <w:r w:rsidR="00C64050">
        <w:rPr>
          <w:lang w:eastAsia="en-GB"/>
        </w:rPr>
        <w:t xml:space="preserve"> </w:t>
      </w:r>
      <w:r>
        <w:rPr>
          <w:lang w:eastAsia="en-GB"/>
        </w:rPr>
        <w:t>money</w:t>
      </w:r>
      <w:r w:rsidR="00C64050">
        <w:rPr>
          <w:lang w:eastAsia="en-GB"/>
        </w:rPr>
        <w:t xml:space="preserve"> </w:t>
      </w:r>
      <w:r>
        <w:rPr>
          <w:lang w:eastAsia="en-GB"/>
        </w:rPr>
        <w:t>or</w:t>
      </w:r>
      <w:r w:rsidR="00C64050">
        <w:rPr>
          <w:lang w:eastAsia="en-GB"/>
        </w:rPr>
        <w:t xml:space="preserve"> </w:t>
      </w:r>
      <w:r>
        <w:rPr>
          <w:lang w:eastAsia="en-GB"/>
        </w:rPr>
        <w:t>money's</w:t>
      </w:r>
      <w:r w:rsidR="00C64050">
        <w:rPr>
          <w:lang w:eastAsia="en-GB"/>
        </w:rPr>
        <w:t xml:space="preserve"> </w:t>
      </w:r>
      <w:r>
        <w:rPr>
          <w:lang w:eastAsia="en-GB"/>
        </w:rPr>
        <w:t>worth),</w:t>
      </w:r>
      <w:r w:rsidR="00C64050">
        <w:rPr>
          <w:lang w:eastAsia="en-GB"/>
        </w:rPr>
        <w:t xml:space="preserve"> </w:t>
      </w:r>
      <w:r>
        <w:rPr>
          <w:lang w:eastAsia="en-GB"/>
        </w:rPr>
        <w:t>*</w:t>
      </w:r>
      <w:r w:rsidR="00C64050">
        <w:rPr>
          <w:lang w:eastAsia="en-GB"/>
        </w:rPr>
        <w:t xml:space="preserve"> </w:t>
      </w:r>
      <w:r>
        <w:rPr>
          <w:lang w:eastAsia="en-GB"/>
        </w:rPr>
        <w:t>*</w:t>
      </w:r>
      <w:r w:rsidR="00C64050">
        <w:rPr>
          <w:lang w:eastAsia="en-GB"/>
        </w:rPr>
        <w:t xml:space="preserve"> </w:t>
      </w:r>
      <w:r>
        <w:rPr>
          <w:lang w:eastAsia="en-GB"/>
        </w:rPr>
        <w:t>*</w:t>
      </w:r>
      <w:r w:rsidR="00C64050">
        <w:rPr>
          <w:lang w:eastAsia="en-GB"/>
        </w:rPr>
        <w:t xml:space="preserve"> </w:t>
      </w:r>
      <w:r>
        <w:rPr>
          <w:lang w:eastAsia="en-GB"/>
        </w:rPr>
        <w:t>under</w:t>
      </w:r>
      <w:r w:rsidR="00C64050">
        <w:rPr>
          <w:lang w:eastAsia="en-GB"/>
        </w:rPr>
        <w:t xml:space="preserve"> </w:t>
      </w:r>
      <w:r>
        <w:rPr>
          <w:lang w:eastAsia="en-GB"/>
        </w:rPr>
        <w:t>which</w:t>
      </w:r>
      <w:r w:rsidR="00C64050">
        <w:rPr>
          <w:lang w:eastAsia="en-GB"/>
        </w:rPr>
        <w:t xml:space="preserve"> </w:t>
      </w:r>
      <w:r>
        <w:rPr>
          <w:lang w:eastAsia="en-GB"/>
        </w:rPr>
        <w:t>he</w:t>
      </w:r>
      <w:r w:rsidR="00C64050">
        <w:rPr>
          <w:lang w:eastAsia="en-GB"/>
        </w:rPr>
        <w:t xml:space="preserve"> </w:t>
      </w:r>
      <w:r>
        <w:rPr>
          <w:lang w:eastAsia="en-GB"/>
        </w:rPr>
        <w:t>has</w:t>
      </w:r>
      <w:r w:rsidR="00C64050">
        <w:rPr>
          <w:lang w:eastAsia="en-GB"/>
        </w:rPr>
        <w:t xml:space="preserve"> </w:t>
      </w:r>
      <w:r>
        <w:rPr>
          <w:lang w:eastAsia="en-GB"/>
        </w:rPr>
        <w:t>retained</w:t>
      </w:r>
      <w:r w:rsidR="00C64050">
        <w:rPr>
          <w:lang w:eastAsia="en-GB"/>
        </w:rPr>
        <w:t xml:space="preserve"> </w:t>
      </w:r>
      <w:r>
        <w:rPr>
          <w:lang w:eastAsia="en-GB"/>
        </w:rPr>
        <w:t>for</w:t>
      </w:r>
      <w:r w:rsidR="00C64050">
        <w:rPr>
          <w:lang w:eastAsia="en-GB"/>
        </w:rPr>
        <w:t xml:space="preserve"> </w:t>
      </w:r>
      <w:r>
        <w:rPr>
          <w:lang w:eastAsia="en-GB"/>
        </w:rPr>
        <w:t>his</w:t>
      </w:r>
      <w:r w:rsidR="00C64050">
        <w:rPr>
          <w:lang w:eastAsia="en-GB"/>
        </w:rPr>
        <w:t xml:space="preserve"> </w:t>
      </w:r>
      <w:r>
        <w:rPr>
          <w:lang w:eastAsia="en-GB"/>
        </w:rPr>
        <w:t>life</w:t>
      </w:r>
      <w:r w:rsidR="00C64050">
        <w:rPr>
          <w:lang w:eastAsia="en-GB"/>
        </w:rPr>
        <w:t xml:space="preserve"> </w:t>
      </w:r>
      <w:r>
        <w:rPr>
          <w:lang w:eastAsia="en-GB"/>
        </w:rPr>
        <w:t>or</w:t>
      </w:r>
      <w:r w:rsidR="00C64050">
        <w:rPr>
          <w:lang w:eastAsia="en-GB"/>
        </w:rPr>
        <w:t xml:space="preserve"> </w:t>
      </w:r>
      <w:r>
        <w:rPr>
          <w:lang w:eastAsia="en-GB"/>
        </w:rPr>
        <w:t>for</w:t>
      </w:r>
      <w:r w:rsidR="00C64050">
        <w:rPr>
          <w:lang w:eastAsia="en-GB"/>
        </w:rPr>
        <w:t xml:space="preserve"> </w:t>
      </w:r>
      <w:r>
        <w:rPr>
          <w:lang w:eastAsia="en-GB"/>
        </w:rPr>
        <w:t>any</w:t>
      </w:r>
      <w:r w:rsidR="00C64050">
        <w:rPr>
          <w:lang w:eastAsia="en-GB"/>
        </w:rPr>
        <w:t xml:space="preserve"> </w:t>
      </w:r>
      <w:r>
        <w:rPr>
          <w:lang w:eastAsia="en-GB"/>
        </w:rPr>
        <w:t>period</w:t>
      </w:r>
      <w:r w:rsidR="00C64050">
        <w:rPr>
          <w:lang w:eastAsia="en-GB"/>
        </w:rPr>
        <w:t xml:space="preserve"> </w:t>
      </w:r>
      <w:r>
        <w:rPr>
          <w:lang w:eastAsia="en-GB"/>
        </w:rPr>
        <w:t>not</w:t>
      </w:r>
      <w:r w:rsidR="00C64050">
        <w:rPr>
          <w:lang w:eastAsia="en-GB"/>
        </w:rPr>
        <w:t xml:space="preserve"> </w:t>
      </w:r>
      <w:r>
        <w:rPr>
          <w:lang w:eastAsia="en-GB"/>
        </w:rPr>
        <w:t>ascertainable</w:t>
      </w:r>
      <w:r w:rsidR="00C64050">
        <w:rPr>
          <w:lang w:eastAsia="en-GB"/>
        </w:rPr>
        <w:t xml:space="preserve"> </w:t>
      </w:r>
      <w:r>
        <w:rPr>
          <w:lang w:eastAsia="en-GB"/>
        </w:rPr>
        <w:t>without</w:t>
      </w:r>
      <w:r w:rsidR="00C64050">
        <w:rPr>
          <w:lang w:eastAsia="en-GB"/>
        </w:rPr>
        <w:t xml:space="preserve"> </w:t>
      </w:r>
      <w:r>
        <w:rPr>
          <w:lang w:eastAsia="en-GB"/>
        </w:rPr>
        <w:t>reference</w:t>
      </w:r>
      <w:r w:rsidR="00C64050">
        <w:rPr>
          <w:lang w:eastAsia="en-GB"/>
        </w:rPr>
        <w:t xml:space="preserve"> </w:t>
      </w:r>
      <w:r>
        <w:rPr>
          <w:lang w:eastAsia="en-GB"/>
        </w:rPr>
        <w:t>to</w:t>
      </w:r>
      <w:r w:rsidR="00C64050">
        <w:rPr>
          <w:lang w:eastAsia="en-GB"/>
        </w:rPr>
        <w:t xml:space="preserve"> </w:t>
      </w:r>
      <w:r>
        <w:rPr>
          <w:lang w:eastAsia="en-GB"/>
        </w:rPr>
        <w:t>his</w:t>
      </w:r>
      <w:r w:rsidR="00C64050">
        <w:rPr>
          <w:lang w:eastAsia="en-GB"/>
        </w:rPr>
        <w:t xml:space="preserve"> </w:t>
      </w:r>
      <w:r>
        <w:rPr>
          <w:lang w:eastAsia="en-GB"/>
        </w:rPr>
        <w:t>death</w:t>
      </w:r>
      <w:r w:rsidR="00C64050">
        <w:rPr>
          <w:lang w:eastAsia="en-GB"/>
        </w:rPr>
        <w:t xml:space="preserve"> </w:t>
      </w:r>
      <w:r>
        <w:rPr>
          <w:lang w:eastAsia="en-GB"/>
        </w:rPr>
        <w:t>or</w:t>
      </w:r>
      <w:r w:rsidR="00C64050">
        <w:rPr>
          <w:lang w:eastAsia="en-GB"/>
        </w:rPr>
        <w:t xml:space="preserve"> </w:t>
      </w:r>
      <w:r>
        <w:rPr>
          <w:lang w:eastAsia="en-GB"/>
        </w:rPr>
        <w:t>for</w:t>
      </w:r>
      <w:r w:rsidR="00C64050">
        <w:rPr>
          <w:lang w:eastAsia="en-GB"/>
        </w:rPr>
        <w:t xml:space="preserve"> </w:t>
      </w:r>
      <w:r>
        <w:rPr>
          <w:lang w:eastAsia="en-GB"/>
        </w:rPr>
        <w:t>any</w:t>
      </w:r>
      <w:r w:rsidR="00C64050">
        <w:rPr>
          <w:lang w:eastAsia="en-GB"/>
        </w:rPr>
        <w:t xml:space="preserve"> </w:t>
      </w:r>
      <w:r>
        <w:rPr>
          <w:lang w:eastAsia="en-GB"/>
        </w:rPr>
        <w:t>period</w:t>
      </w:r>
      <w:r w:rsidR="00C64050">
        <w:rPr>
          <w:lang w:eastAsia="en-GB"/>
        </w:rPr>
        <w:t xml:space="preserve"> </w:t>
      </w:r>
      <w:r>
        <w:rPr>
          <w:lang w:eastAsia="en-GB"/>
        </w:rPr>
        <w:t>which</w:t>
      </w:r>
      <w:r w:rsidR="00C64050">
        <w:rPr>
          <w:lang w:eastAsia="en-GB"/>
        </w:rPr>
        <w:t xml:space="preserve"> </w:t>
      </w:r>
      <w:r>
        <w:rPr>
          <w:lang w:eastAsia="en-GB"/>
        </w:rPr>
        <w:t>does</w:t>
      </w:r>
      <w:r w:rsidR="00C64050">
        <w:rPr>
          <w:lang w:eastAsia="en-GB"/>
        </w:rPr>
        <w:t xml:space="preserve"> </w:t>
      </w:r>
      <w:r>
        <w:rPr>
          <w:lang w:eastAsia="en-GB"/>
        </w:rPr>
        <w:t>not</w:t>
      </w:r>
      <w:r w:rsidR="00C64050">
        <w:rPr>
          <w:lang w:eastAsia="en-GB"/>
        </w:rPr>
        <w:t xml:space="preserve"> </w:t>
      </w:r>
      <w:r>
        <w:rPr>
          <w:lang w:eastAsia="en-GB"/>
        </w:rPr>
        <w:t>in</w:t>
      </w:r>
      <w:r w:rsidR="00C64050">
        <w:rPr>
          <w:lang w:eastAsia="en-GB"/>
        </w:rPr>
        <w:t xml:space="preserve"> </w:t>
      </w:r>
      <w:r>
        <w:rPr>
          <w:lang w:eastAsia="en-GB"/>
        </w:rPr>
        <w:t>fact</w:t>
      </w:r>
      <w:r w:rsidR="00C64050">
        <w:rPr>
          <w:lang w:eastAsia="en-GB"/>
        </w:rPr>
        <w:t xml:space="preserve"> </w:t>
      </w:r>
      <w:r>
        <w:rPr>
          <w:lang w:eastAsia="en-GB"/>
        </w:rPr>
        <w:t>end</w:t>
      </w:r>
      <w:r w:rsidR="00C64050">
        <w:rPr>
          <w:lang w:eastAsia="en-GB"/>
        </w:rPr>
        <w:t xml:space="preserve"> </w:t>
      </w:r>
      <w:r>
        <w:rPr>
          <w:lang w:eastAsia="en-GB"/>
        </w:rPr>
        <w:t>before</w:t>
      </w:r>
      <w:r w:rsidR="00C64050">
        <w:rPr>
          <w:lang w:eastAsia="en-GB"/>
        </w:rPr>
        <w:t xml:space="preserve"> </w:t>
      </w:r>
      <w:r>
        <w:rPr>
          <w:lang w:eastAsia="en-GB"/>
        </w:rPr>
        <w:t>his</w:t>
      </w:r>
      <w:r w:rsidR="00C64050">
        <w:rPr>
          <w:lang w:eastAsia="en-GB"/>
        </w:rPr>
        <w:t xml:space="preserve"> </w:t>
      </w:r>
      <w:r>
        <w:rPr>
          <w:lang w:eastAsia="en-GB"/>
        </w:rPr>
        <w:t>death—</w:t>
      </w:r>
    </w:p>
    <w:p w:rsidR="00D44E8E" w:rsidRDefault="00D44E8E" w:rsidP="00D44E8E">
      <w:pPr>
        <w:pStyle w:val="QS10"/>
        <w:rPr>
          <w:lang w:eastAsia="en-GB"/>
        </w:rPr>
      </w:pPr>
      <w:r>
        <w:rPr>
          <w:lang w:eastAsia="en-GB"/>
        </w:rPr>
        <w:t>(1)</w:t>
      </w:r>
      <w:r w:rsidR="00C64050">
        <w:rPr>
          <w:lang w:eastAsia="en-GB"/>
        </w:rPr>
        <w:t xml:space="preserve"> </w:t>
      </w:r>
      <w:r>
        <w:rPr>
          <w:lang w:eastAsia="en-GB"/>
        </w:rPr>
        <w:t>the</w:t>
      </w:r>
      <w:r w:rsidR="00C64050">
        <w:rPr>
          <w:lang w:eastAsia="en-GB"/>
        </w:rPr>
        <w:t xml:space="preserve"> </w:t>
      </w:r>
      <w:r>
        <w:rPr>
          <w:lang w:eastAsia="en-GB"/>
        </w:rPr>
        <w:t>possession</w:t>
      </w:r>
      <w:r w:rsidR="00C64050">
        <w:rPr>
          <w:lang w:eastAsia="en-GB"/>
        </w:rPr>
        <w:t xml:space="preserve"> </w:t>
      </w:r>
      <w:r>
        <w:rPr>
          <w:lang w:eastAsia="en-GB"/>
        </w:rPr>
        <w:t>or</w:t>
      </w:r>
      <w:r w:rsidR="00C64050">
        <w:rPr>
          <w:lang w:eastAsia="en-GB"/>
        </w:rPr>
        <w:t xml:space="preserve"> </w:t>
      </w:r>
      <w:r>
        <w:rPr>
          <w:lang w:eastAsia="en-GB"/>
        </w:rPr>
        <w:t>enjoyment</w:t>
      </w:r>
      <w:r w:rsidR="00C64050">
        <w:rPr>
          <w:lang w:eastAsia="en-GB"/>
        </w:rPr>
        <w:t xml:space="preserve"> </w:t>
      </w:r>
      <w:r>
        <w:rPr>
          <w:lang w:eastAsia="en-GB"/>
        </w:rPr>
        <w:t>of,</w:t>
      </w:r>
      <w:r w:rsidR="00C64050">
        <w:rPr>
          <w:lang w:eastAsia="en-GB"/>
        </w:rPr>
        <w:t xml:space="preserve"> </w:t>
      </w:r>
      <w:r>
        <w:rPr>
          <w:lang w:eastAsia="en-GB"/>
        </w:rPr>
        <w:t>or</w:t>
      </w:r>
      <w:r w:rsidR="00C64050">
        <w:rPr>
          <w:lang w:eastAsia="en-GB"/>
        </w:rPr>
        <w:t xml:space="preserve"> </w:t>
      </w:r>
      <w:r>
        <w:rPr>
          <w:lang w:eastAsia="en-GB"/>
        </w:rPr>
        <w:t>the</w:t>
      </w:r>
      <w:r w:rsidR="00C64050">
        <w:rPr>
          <w:lang w:eastAsia="en-GB"/>
        </w:rPr>
        <w:t xml:space="preserve"> </w:t>
      </w:r>
      <w:r>
        <w:rPr>
          <w:lang w:eastAsia="en-GB"/>
        </w:rPr>
        <w:t>right</w:t>
      </w:r>
      <w:r w:rsidR="00C64050">
        <w:rPr>
          <w:lang w:eastAsia="en-GB"/>
        </w:rPr>
        <w:t xml:space="preserve"> </w:t>
      </w:r>
      <w:r>
        <w:rPr>
          <w:lang w:eastAsia="en-GB"/>
        </w:rPr>
        <w:t>to</w:t>
      </w:r>
      <w:r w:rsidR="00C64050">
        <w:rPr>
          <w:lang w:eastAsia="en-GB"/>
        </w:rPr>
        <w:t xml:space="preserve"> </w:t>
      </w:r>
      <w:r>
        <w:rPr>
          <w:lang w:eastAsia="en-GB"/>
        </w:rPr>
        <w:t>the</w:t>
      </w:r>
      <w:r w:rsidR="00C64050">
        <w:rPr>
          <w:lang w:eastAsia="en-GB"/>
        </w:rPr>
        <w:t xml:space="preserve"> </w:t>
      </w:r>
      <w:r>
        <w:rPr>
          <w:lang w:eastAsia="en-GB"/>
        </w:rPr>
        <w:t>income</w:t>
      </w:r>
      <w:r w:rsidR="00C64050">
        <w:rPr>
          <w:lang w:eastAsia="en-GB"/>
        </w:rPr>
        <w:t xml:space="preserve"> </w:t>
      </w:r>
      <w:r>
        <w:rPr>
          <w:lang w:eastAsia="en-GB"/>
        </w:rPr>
        <w:t>from,</w:t>
      </w:r>
      <w:r w:rsidR="00C64050">
        <w:rPr>
          <w:lang w:eastAsia="en-GB"/>
        </w:rPr>
        <w:t xml:space="preserve"> </w:t>
      </w:r>
      <w:r>
        <w:rPr>
          <w:lang w:eastAsia="en-GB"/>
        </w:rPr>
        <w:t>the</w:t>
      </w:r>
      <w:r w:rsidR="00C64050">
        <w:rPr>
          <w:lang w:eastAsia="en-GB"/>
        </w:rPr>
        <w:t xml:space="preserve"> </w:t>
      </w:r>
      <w:r>
        <w:rPr>
          <w:lang w:eastAsia="en-GB"/>
        </w:rPr>
        <w:t>property,</w:t>
      </w:r>
      <w:r w:rsidR="00C64050">
        <w:rPr>
          <w:lang w:eastAsia="en-GB"/>
        </w:rPr>
        <w:t xml:space="preserve"> </w:t>
      </w:r>
      <w:r>
        <w:rPr>
          <w:lang w:eastAsia="en-GB"/>
        </w:rPr>
        <w:t>or</w:t>
      </w:r>
    </w:p>
    <w:p w:rsidR="00874E54" w:rsidRDefault="00D44E8E" w:rsidP="00D44E8E">
      <w:pPr>
        <w:pStyle w:val="QS10"/>
        <w:rPr>
          <w:lang w:eastAsia="en-GB"/>
        </w:rPr>
      </w:pPr>
      <w:r>
        <w:rPr>
          <w:lang w:eastAsia="en-GB"/>
        </w:rPr>
        <w:t>(2)</w:t>
      </w:r>
      <w:r w:rsidR="00C64050">
        <w:rPr>
          <w:lang w:eastAsia="en-GB"/>
        </w:rPr>
        <w:t xml:space="preserve"> </w:t>
      </w:r>
      <w:r>
        <w:rPr>
          <w:lang w:eastAsia="en-GB"/>
        </w:rPr>
        <w:t>the</w:t>
      </w:r>
      <w:r w:rsidR="00C64050">
        <w:rPr>
          <w:lang w:eastAsia="en-GB"/>
        </w:rPr>
        <w:t xml:space="preserve"> </w:t>
      </w:r>
      <w:r>
        <w:rPr>
          <w:lang w:eastAsia="en-GB"/>
        </w:rPr>
        <w:t>right,</w:t>
      </w:r>
      <w:r w:rsidR="00C64050">
        <w:rPr>
          <w:lang w:eastAsia="en-GB"/>
        </w:rPr>
        <w:t xml:space="preserve"> </w:t>
      </w:r>
      <w:r>
        <w:rPr>
          <w:lang w:eastAsia="en-GB"/>
        </w:rPr>
        <w:t>either</w:t>
      </w:r>
      <w:r w:rsidR="00C64050">
        <w:rPr>
          <w:lang w:eastAsia="en-GB"/>
        </w:rPr>
        <w:t xml:space="preserve"> </w:t>
      </w:r>
      <w:r>
        <w:rPr>
          <w:lang w:eastAsia="en-GB"/>
        </w:rPr>
        <w:t>alone</w:t>
      </w:r>
      <w:r w:rsidR="00C64050">
        <w:rPr>
          <w:lang w:eastAsia="en-GB"/>
        </w:rPr>
        <w:t xml:space="preserve"> </w:t>
      </w:r>
      <w:r>
        <w:rPr>
          <w:lang w:eastAsia="en-GB"/>
        </w:rPr>
        <w:t>or</w:t>
      </w:r>
      <w:r w:rsidR="00C64050">
        <w:rPr>
          <w:lang w:eastAsia="en-GB"/>
        </w:rPr>
        <w:t xml:space="preserve"> </w:t>
      </w:r>
      <w:r>
        <w:rPr>
          <w:lang w:eastAsia="en-GB"/>
        </w:rPr>
        <w:t>in</w:t>
      </w:r>
      <w:r w:rsidR="00C64050">
        <w:rPr>
          <w:lang w:eastAsia="en-GB"/>
        </w:rPr>
        <w:t xml:space="preserve"> </w:t>
      </w:r>
      <w:r>
        <w:rPr>
          <w:lang w:eastAsia="en-GB"/>
        </w:rPr>
        <w:t>conjunction</w:t>
      </w:r>
      <w:r w:rsidR="00C64050">
        <w:rPr>
          <w:lang w:eastAsia="en-GB"/>
        </w:rPr>
        <w:t xml:space="preserve"> </w:t>
      </w:r>
      <w:r>
        <w:rPr>
          <w:lang w:eastAsia="en-GB"/>
        </w:rPr>
        <w:t>with</w:t>
      </w:r>
      <w:r w:rsidR="00C64050">
        <w:rPr>
          <w:lang w:eastAsia="en-GB"/>
        </w:rPr>
        <w:t xml:space="preserve"> </w:t>
      </w:r>
      <w:r>
        <w:rPr>
          <w:lang w:eastAsia="en-GB"/>
        </w:rPr>
        <w:t>any</w:t>
      </w:r>
      <w:r w:rsidR="00C64050">
        <w:rPr>
          <w:lang w:eastAsia="en-GB"/>
        </w:rPr>
        <w:t xml:space="preserve"> </w:t>
      </w:r>
      <w:r>
        <w:rPr>
          <w:lang w:eastAsia="en-GB"/>
        </w:rPr>
        <w:t>person,</w:t>
      </w:r>
      <w:r w:rsidR="00C64050">
        <w:rPr>
          <w:lang w:eastAsia="en-GB"/>
        </w:rPr>
        <w:t xml:space="preserve"> </w:t>
      </w:r>
      <w:r>
        <w:rPr>
          <w:lang w:eastAsia="en-GB"/>
        </w:rPr>
        <w:t>to</w:t>
      </w:r>
      <w:r w:rsidR="00C64050">
        <w:rPr>
          <w:lang w:eastAsia="en-GB"/>
        </w:rPr>
        <w:t xml:space="preserve"> </w:t>
      </w:r>
      <w:r>
        <w:rPr>
          <w:lang w:eastAsia="en-GB"/>
        </w:rPr>
        <w:t>designate</w:t>
      </w:r>
      <w:r w:rsidR="00C64050">
        <w:rPr>
          <w:lang w:eastAsia="en-GB"/>
        </w:rPr>
        <w:t xml:space="preserve"> </w:t>
      </w:r>
      <w:r>
        <w:rPr>
          <w:lang w:eastAsia="en-GB"/>
        </w:rPr>
        <w:t>the</w:t>
      </w:r>
      <w:r w:rsidR="00C64050">
        <w:rPr>
          <w:lang w:eastAsia="en-GB"/>
        </w:rPr>
        <w:t xml:space="preserve"> </w:t>
      </w:r>
      <w:r>
        <w:rPr>
          <w:lang w:eastAsia="en-GB"/>
        </w:rPr>
        <w:t>persons</w:t>
      </w:r>
      <w:r w:rsidR="00C64050">
        <w:rPr>
          <w:lang w:eastAsia="en-GB"/>
        </w:rPr>
        <w:t xml:space="preserve"> </w:t>
      </w:r>
      <w:r>
        <w:rPr>
          <w:lang w:eastAsia="en-GB"/>
        </w:rPr>
        <w:t>who</w:t>
      </w:r>
      <w:r w:rsidR="00C64050">
        <w:rPr>
          <w:lang w:eastAsia="en-GB"/>
        </w:rPr>
        <w:t xml:space="preserve"> </w:t>
      </w:r>
      <w:r>
        <w:rPr>
          <w:lang w:eastAsia="en-GB"/>
        </w:rPr>
        <w:t>shall</w:t>
      </w:r>
      <w:r w:rsidR="00C64050">
        <w:rPr>
          <w:lang w:eastAsia="en-GB"/>
        </w:rPr>
        <w:t xml:space="preserve"> </w:t>
      </w:r>
      <w:r>
        <w:rPr>
          <w:lang w:eastAsia="en-GB"/>
        </w:rPr>
        <w:t>possess</w:t>
      </w:r>
      <w:r w:rsidR="00C64050">
        <w:rPr>
          <w:lang w:eastAsia="en-GB"/>
        </w:rPr>
        <w:t xml:space="preserve"> </w:t>
      </w:r>
      <w:r>
        <w:rPr>
          <w:lang w:eastAsia="en-GB"/>
        </w:rPr>
        <w:t>or</w:t>
      </w:r>
      <w:r w:rsidR="00C64050">
        <w:rPr>
          <w:lang w:eastAsia="en-GB"/>
        </w:rPr>
        <w:t xml:space="preserve"> </w:t>
      </w:r>
      <w:r>
        <w:rPr>
          <w:lang w:eastAsia="en-GB"/>
        </w:rPr>
        <w:t>enjoy</w:t>
      </w:r>
      <w:r w:rsidR="00C64050">
        <w:rPr>
          <w:lang w:eastAsia="en-GB"/>
        </w:rPr>
        <w:t xml:space="preserve"> </w:t>
      </w:r>
      <w:r>
        <w:rPr>
          <w:lang w:eastAsia="en-GB"/>
        </w:rPr>
        <w:t>the</w:t>
      </w:r>
      <w:r w:rsidR="00C64050">
        <w:rPr>
          <w:lang w:eastAsia="en-GB"/>
        </w:rPr>
        <w:t xml:space="preserve"> </w:t>
      </w:r>
      <w:r>
        <w:rPr>
          <w:lang w:eastAsia="en-GB"/>
        </w:rPr>
        <w:t>property</w:t>
      </w:r>
      <w:r w:rsidR="00C64050">
        <w:rPr>
          <w:lang w:eastAsia="en-GB"/>
        </w:rPr>
        <w:t xml:space="preserve"> </w:t>
      </w:r>
      <w:r>
        <w:rPr>
          <w:lang w:eastAsia="en-GB"/>
        </w:rPr>
        <w:t>or</w:t>
      </w:r>
      <w:r w:rsidR="00C64050">
        <w:rPr>
          <w:lang w:eastAsia="en-GB"/>
        </w:rPr>
        <w:t xml:space="preserve"> </w:t>
      </w:r>
      <w:r>
        <w:rPr>
          <w:lang w:eastAsia="en-GB"/>
        </w:rPr>
        <w:t>the</w:t>
      </w:r>
      <w:r w:rsidR="00C64050">
        <w:rPr>
          <w:lang w:eastAsia="en-GB"/>
        </w:rPr>
        <w:t xml:space="preserve"> </w:t>
      </w:r>
      <w:r>
        <w:rPr>
          <w:lang w:eastAsia="en-GB"/>
        </w:rPr>
        <w:t>income</w:t>
      </w:r>
      <w:r w:rsidR="00C64050">
        <w:rPr>
          <w:lang w:eastAsia="en-GB"/>
        </w:rPr>
        <w:t xml:space="preserve"> </w:t>
      </w:r>
      <w:r>
        <w:rPr>
          <w:lang w:eastAsia="en-GB"/>
        </w:rPr>
        <w:t>therefrom.</w:t>
      </w:r>
    </w:p>
    <w:p w:rsidR="00874E54" w:rsidRDefault="00836BA1" w:rsidP="00874E54">
      <w:pPr>
        <w:pStyle w:val="Body15"/>
        <w:rPr>
          <w:lang w:eastAsia="en-GB"/>
        </w:rPr>
      </w:pPr>
      <w:r>
        <w:rPr>
          <w:lang w:eastAsia="en-GB"/>
        </w:rPr>
        <w:t>May</w:t>
      </w:r>
      <w:r w:rsidR="00C64050">
        <w:rPr>
          <w:lang w:eastAsia="en-GB"/>
        </w:rPr>
        <w:t xml:space="preserve"> </w:t>
      </w:r>
      <w:r w:rsidR="00874E54">
        <w:rPr>
          <w:lang w:eastAsia="en-GB"/>
        </w:rPr>
        <w:t>the</w:t>
      </w:r>
      <w:r w:rsidR="00C64050">
        <w:rPr>
          <w:lang w:eastAsia="en-GB"/>
        </w:rPr>
        <w:t xml:space="preserve"> </w:t>
      </w:r>
      <w:r w:rsidR="00874E54">
        <w:rPr>
          <w:lang w:eastAsia="en-GB"/>
        </w:rPr>
        <w:t>decedent</w:t>
      </w:r>
      <w:r w:rsidR="00C64050">
        <w:rPr>
          <w:lang w:eastAsia="en-GB"/>
        </w:rPr>
        <w:t xml:space="preserve"> </w:t>
      </w:r>
      <w:r w:rsidR="00874E54">
        <w:rPr>
          <w:lang w:eastAsia="en-GB"/>
        </w:rPr>
        <w:t>ha</w:t>
      </w:r>
      <w:r>
        <w:rPr>
          <w:lang w:eastAsia="en-GB"/>
        </w:rPr>
        <w:t>ve</w:t>
      </w:r>
      <w:r w:rsidR="00C64050">
        <w:rPr>
          <w:lang w:eastAsia="en-GB"/>
        </w:rPr>
        <w:t xml:space="preserve"> </w:t>
      </w:r>
      <w:r w:rsidR="00874E54">
        <w:rPr>
          <w:lang w:eastAsia="en-GB"/>
        </w:rPr>
        <w:t>the</w:t>
      </w:r>
      <w:r w:rsidR="00C64050">
        <w:rPr>
          <w:lang w:eastAsia="en-GB"/>
        </w:rPr>
        <w:t xml:space="preserve"> </w:t>
      </w:r>
      <w:r w:rsidR="00874E54">
        <w:rPr>
          <w:lang w:eastAsia="en-GB"/>
        </w:rPr>
        <w:t>right</w:t>
      </w:r>
      <w:r w:rsidR="00C64050">
        <w:rPr>
          <w:lang w:eastAsia="en-GB"/>
        </w:rPr>
        <w:t xml:space="preserve"> </w:t>
      </w:r>
      <w:r w:rsidR="00874E54">
        <w:rPr>
          <w:lang w:eastAsia="en-GB"/>
        </w:rPr>
        <w:t>at</w:t>
      </w:r>
      <w:r w:rsidR="00C64050">
        <w:rPr>
          <w:lang w:eastAsia="en-GB"/>
        </w:rPr>
        <w:t xml:space="preserve"> </w:t>
      </w:r>
      <w:r w:rsidR="00874E54">
        <w:rPr>
          <w:lang w:eastAsia="en-GB"/>
        </w:rPr>
        <w:t>death</w:t>
      </w:r>
      <w:r w:rsidR="00C64050">
        <w:rPr>
          <w:lang w:eastAsia="en-GB"/>
        </w:rPr>
        <w:t xml:space="preserve"> </w:t>
      </w:r>
      <w:r w:rsidR="00CC1A9C">
        <w:rPr>
          <w:lang w:eastAsia="en-GB"/>
        </w:rPr>
        <w:t>for</w:t>
      </w:r>
      <w:r w:rsidR="00C64050">
        <w:rPr>
          <w:lang w:eastAsia="en-GB"/>
        </w:rPr>
        <w:t xml:space="preserve"> </w:t>
      </w:r>
      <w:r w:rsidR="00CC1A9C">
        <w:rPr>
          <w:lang w:eastAsia="en-GB"/>
        </w:rPr>
        <w:t>section</w:t>
      </w:r>
      <w:r w:rsidR="00C64050">
        <w:rPr>
          <w:lang w:eastAsia="en-GB"/>
        </w:rPr>
        <w:t xml:space="preserve"> </w:t>
      </w:r>
      <w:r w:rsidR="00CC1A9C">
        <w:rPr>
          <w:lang w:eastAsia="en-GB"/>
        </w:rPr>
        <w:t>2036</w:t>
      </w:r>
      <w:r w:rsidR="00C64050">
        <w:rPr>
          <w:lang w:eastAsia="en-GB"/>
        </w:rPr>
        <w:t xml:space="preserve"> </w:t>
      </w:r>
      <w:r w:rsidR="00CC1A9C">
        <w:rPr>
          <w:lang w:eastAsia="en-GB"/>
        </w:rPr>
        <w:t>to</w:t>
      </w:r>
      <w:r w:rsidR="00C64050">
        <w:rPr>
          <w:lang w:eastAsia="en-GB"/>
        </w:rPr>
        <w:t xml:space="preserve"> </w:t>
      </w:r>
      <w:r w:rsidR="00CC1A9C">
        <w:rPr>
          <w:lang w:eastAsia="en-GB"/>
        </w:rPr>
        <w:t>apply</w:t>
      </w:r>
      <w:r w:rsidR="00874E54">
        <w:rPr>
          <w:lang w:eastAsia="en-GB"/>
        </w:rPr>
        <w:t>?</w:t>
      </w:r>
      <w:r w:rsidR="00C64050">
        <w:rPr>
          <w:lang w:eastAsia="en-GB"/>
        </w:rPr>
        <w:t xml:space="preserve">  </w:t>
      </w:r>
      <w:r w:rsidR="00874E54">
        <w:rPr>
          <w:lang w:eastAsia="en-GB"/>
        </w:rPr>
        <w:t>The</w:t>
      </w:r>
      <w:r w:rsidR="00C64050">
        <w:rPr>
          <w:lang w:eastAsia="en-GB"/>
        </w:rPr>
        <w:t xml:space="preserve"> </w:t>
      </w:r>
      <w:r w:rsidR="00874E54">
        <w:rPr>
          <w:lang w:eastAsia="en-GB"/>
        </w:rPr>
        <w:t>Court</w:t>
      </w:r>
      <w:r w:rsidR="00C64050">
        <w:rPr>
          <w:lang w:eastAsia="en-GB"/>
        </w:rPr>
        <w:t xml:space="preserve"> </w:t>
      </w:r>
      <w:r w:rsidR="00874E54">
        <w:rPr>
          <w:lang w:eastAsia="en-GB"/>
        </w:rPr>
        <w:t>says</w:t>
      </w:r>
      <w:r w:rsidR="00C64050">
        <w:rPr>
          <w:lang w:eastAsia="en-GB"/>
        </w:rPr>
        <w:t xml:space="preserve"> </w:t>
      </w:r>
      <w:r w:rsidR="00874E54">
        <w:rPr>
          <w:lang w:eastAsia="en-GB"/>
        </w:rPr>
        <w:t>no.</w:t>
      </w:r>
      <w:r w:rsidR="00C64050">
        <w:rPr>
          <w:lang w:eastAsia="en-GB"/>
        </w:rPr>
        <w:t xml:space="preserve">  </w:t>
      </w:r>
      <w:r w:rsidR="00874E54">
        <w:rPr>
          <w:lang w:eastAsia="en-GB"/>
        </w:rPr>
        <w:t>That</w:t>
      </w:r>
      <w:r w:rsidR="00C64050">
        <w:rPr>
          <w:lang w:eastAsia="en-GB"/>
        </w:rPr>
        <w:t xml:space="preserve"> </w:t>
      </w:r>
      <w:r w:rsidR="00874E54">
        <w:rPr>
          <w:lang w:eastAsia="en-GB"/>
        </w:rPr>
        <w:t>the</w:t>
      </w:r>
      <w:r w:rsidR="00C64050">
        <w:rPr>
          <w:lang w:eastAsia="en-GB"/>
        </w:rPr>
        <w:t xml:space="preserve"> </w:t>
      </w:r>
      <w:r w:rsidR="00874E54">
        <w:rPr>
          <w:lang w:eastAsia="en-GB"/>
        </w:rPr>
        <w:t>decedent</w:t>
      </w:r>
      <w:r w:rsidR="00C64050">
        <w:rPr>
          <w:lang w:eastAsia="en-GB"/>
        </w:rPr>
        <w:t xml:space="preserve"> </w:t>
      </w:r>
      <w:r w:rsidR="00874E54">
        <w:rPr>
          <w:lang w:eastAsia="en-GB"/>
        </w:rPr>
        <w:t>had</w:t>
      </w:r>
      <w:r w:rsidR="00C64050">
        <w:rPr>
          <w:lang w:eastAsia="en-GB"/>
        </w:rPr>
        <w:t xml:space="preserve"> </w:t>
      </w:r>
      <w:r w:rsidR="00874E54">
        <w:rPr>
          <w:lang w:eastAsia="en-GB"/>
        </w:rPr>
        <w:t>the</w:t>
      </w:r>
      <w:r w:rsidR="00C64050">
        <w:rPr>
          <w:lang w:eastAsia="en-GB"/>
        </w:rPr>
        <w:t xml:space="preserve"> </w:t>
      </w:r>
      <w:r w:rsidR="00874E54">
        <w:rPr>
          <w:lang w:eastAsia="en-GB"/>
        </w:rPr>
        <w:t>power</w:t>
      </w:r>
      <w:r w:rsidR="00C64050">
        <w:rPr>
          <w:lang w:eastAsia="en-GB"/>
        </w:rPr>
        <w:t xml:space="preserve"> </w:t>
      </w:r>
      <w:r w:rsidR="00874E54">
        <w:rPr>
          <w:lang w:eastAsia="en-GB"/>
        </w:rPr>
        <w:t>as</w:t>
      </w:r>
      <w:r w:rsidR="00C64050">
        <w:rPr>
          <w:lang w:eastAsia="en-GB"/>
        </w:rPr>
        <w:t xml:space="preserve"> </w:t>
      </w:r>
      <w:r w:rsidR="00874E54">
        <w:rPr>
          <w:lang w:eastAsia="en-GB"/>
        </w:rPr>
        <w:t>a</w:t>
      </w:r>
      <w:r w:rsidR="00C64050">
        <w:rPr>
          <w:lang w:eastAsia="en-GB"/>
        </w:rPr>
        <w:t xml:space="preserve"> </w:t>
      </w:r>
      <w:r w:rsidR="00874E54">
        <w:rPr>
          <w:lang w:eastAsia="en-GB"/>
        </w:rPr>
        <w:t>limited</w:t>
      </w:r>
      <w:r w:rsidR="00C64050">
        <w:rPr>
          <w:lang w:eastAsia="en-GB"/>
        </w:rPr>
        <w:t xml:space="preserve"> </w:t>
      </w:r>
      <w:r w:rsidR="00874E54">
        <w:rPr>
          <w:lang w:eastAsia="en-GB"/>
        </w:rPr>
        <w:t>partner</w:t>
      </w:r>
      <w:r w:rsidR="00C64050">
        <w:rPr>
          <w:lang w:eastAsia="en-GB"/>
        </w:rPr>
        <w:t xml:space="preserve"> </w:t>
      </w:r>
      <w:r w:rsidR="00874E54">
        <w:rPr>
          <w:lang w:eastAsia="en-GB"/>
        </w:rPr>
        <w:t>to</w:t>
      </w:r>
      <w:r w:rsidR="00C64050">
        <w:rPr>
          <w:lang w:eastAsia="en-GB"/>
        </w:rPr>
        <w:t xml:space="preserve"> </w:t>
      </w:r>
      <w:r w:rsidR="00874E54">
        <w:rPr>
          <w:lang w:eastAsia="en-GB"/>
        </w:rPr>
        <w:t>dissolve</w:t>
      </w:r>
      <w:r w:rsidR="00C64050">
        <w:rPr>
          <w:lang w:eastAsia="en-GB"/>
        </w:rPr>
        <w:t xml:space="preserve"> </w:t>
      </w:r>
      <w:r w:rsidR="00874E54">
        <w:rPr>
          <w:lang w:eastAsia="en-GB"/>
        </w:rPr>
        <w:t>the</w:t>
      </w:r>
      <w:r w:rsidR="00C64050">
        <w:rPr>
          <w:lang w:eastAsia="en-GB"/>
        </w:rPr>
        <w:t xml:space="preserve"> </w:t>
      </w:r>
      <w:r w:rsidR="00874E54">
        <w:rPr>
          <w:lang w:eastAsia="en-GB"/>
        </w:rPr>
        <w:t>partnership</w:t>
      </w:r>
      <w:r w:rsidR="00C64050">
        <w:rPr>
          <w:lang w:eastAsia="en-GB"/>
        </w:rPr>
        <w:t xml:space="preserve"> </w:t>
      </w:r>
      <w:r w:rsidR="00874E54">
        <w:rPr>
          <w:lang w:eastAsia="en-GB"/>
        </w:rPr>
        <w:t>with</w:t>
      </w:r>
      <w:r w:rsidR="00C64050">
        <w:rPr>
          <w:lang w:eastAsia="en-GB"/>
        </w:rPr>
        <w:t xml:space="preserve"> </w:t>
      </w:r>
      <w:r w:rsidR="00874E54">
        <w:rPr>
          <w:lang w:eastAsia="en-GB"/>
        </w:rPr>
        <w:t>someone</w:t>
      </w:r>
      <w:r w:rsidR="00C64050">
        <w:rPr>
          <w:lang w:eastAsia="en-GB"/>
        </w:rPr>
        <w:t xml:space="preserve"> </w:t>
      </w:r>
      <w:r w:rsidR="00874E54">
        <w:rPr>
          <w:lang w:eastAsia="en-GB"/>
        </w:rPr>
        <w:t>else</w:t>
      </w:r>
      <w:r w:rsidR="00C64050">
        <w:rPr>
          <w:lang w:eastAsia="en-GB"/>
        </w:rPr>
        <w:t xml:space="preserve"> </w:t>
      </w:r>
      <w:r w:rsidR="00874E54">
        <w:rPr>
          <w:lang w:eastAsia="en-GB"/>
        </w:rPr>
        <w:t>–</w:t>
      </w:r>
      <w:r w:rsidR="00C64050">
        <w:rPr>
          <w:lang w:eastAsia="en-GB"/>
        </w:rPr>
        <w:t xml:space="preserve"> </w:t>
      </w:r>
      <w:r w:rsidR="00874E54">
        <w:rPr>
          <w:lang w:eastAsia="en-GB"/>
        </w:rPr>
        <w:t>the</w:t>
      </w:r>
      <w:r w:rsidR="00C64050">
        <w:rPr>
          <w:lang w:eastAsia="en-GB"/>
        </w:rPr>
        <w:t xml:space="preserve"> </w:t>
      </w:r>
      <w:r w:rsidR="00874E54">
        <w:rPr>
          <w:lang w:eastAsia="en-GB"/>
        </w:rPr>
        <w:t>general</w:t>
      </w:r>
      <w:r w:rsidR="00C64050">
        <w:rPr>
          <w:lang w:eastAsia="en-GB"/>
        </w:rPr>
        <w:t xml:space="preserve"> </w:t>
      </w:r>
      <w:r w:rsidR="00874E54">
        <w:rPr>
          <w:lang w:eastAsia="en-GB"/>
        </w:rPr>
        <w:t>partner</w:t>
      </w:r>
      <w:r w:rsidR="00C64050">
        <w:rPr>
          <w:lang w:eastAsia="en-GB"/>
        </w:rPr>
        <w:t xml:space="preserve"> </w:t>
      </w:r>
      <w:r w:rsidR="00874E54">
        <w:rPr>
          <w:lang w:eastAsia="en-GB"/>
        </w:rPr>
        <w:t>–</w:t>
      </w:r>
      <w:r w:rsidR="00C64050">
        <w:rPr>
          <w:lang w:eastAsia="en-GB"/>
        </w:rPr>
        <w:t xml:space="preserve"> </w:t>
      </w:r>
      <w:r w:rsidR="00874E54">
        <w:rPr>
          <w:lang w:eastAsia="en-GB"/>
        </w:rPr>
        <w:t>for</w:t>
      </w:r>
      <w:r w:rsidR="00C64050">
        <w:rPr>
          <w:lang w:eastAsia="en-GB"/>
        </w:rPr>
        <w:t xml:space="preserve"> </w:t>
      </w:r>
      <w:r w:rsidR="00874E54">
        <w:rPr>
          <w:lang w:eastAsia="en-GB"/>
        </w:rPr>
        <w:t>a</w:t>
      </w:r>
      <w:r w:rsidR="00C64050">
        <w:rPr>
          <w:lang w:eastAsia="en-GB"/>
        </w:rPr>
        <w:t xml:space="preserve"> </w:t>
      </w:r>
      <w:r w:rsidR="00874E54">
        <w:rPr>
          <w:lang w:eastAsia="en-GB"/>
        </w:rPr>
        <w:t>moment</w:t>
      </w:r>
      <w:r w:rsidR="00C64050">
        <w:rPr>
          <w:lang w:eastAsia="en-GB"/>
        </w:rPr>
        <w:t xml:space="preserve"> </w:t>
      </w:r>
      <w:r w:rsidR="00874E54">
        <w:rPr>
          <w:lang w:eastAsia="en-GB"/>
        </w:rPr>
        <w:t>prior</w:t>
      </w:r>
      <w:r w:rsidR="00C64050">
        <w:rPr>
          <w:lang w:eastAsia="en-GB"/>
        </w:rPr>
        <w:t xml:space="preserve"> </w:t>
      </w:r>
      <w:r w:rsidR="00874E54">
        <w:rPr>
          <w:lang w:eastAsia="en-GB"/>
        </w:rPr>
        <w:t>to</w:t>
      </w:r>
      <w:r w:rsidR="00C64050">
        <w:rPr>
          <w:lang w:eastAsia="en-GB"/>
        </w:rPr>
        <w:t xml:space="preserve"> </w:t>
      </w:r>
      <w:r w:rsidR="00874E54">
        <w:rPr>
          <w:lang w:eastAsia="en-GB"/>
        </w:rPr>
        <w:t>the</w:t>
      </w:r>
      <w:r w:rsidR="00C64050">
        <w:rPr>
          <w:lang w:eastAsia="en-GB"/>
        </w:rPr>
        <w:t xml:space="preserve"> </w:t>
      </w:r>
      <w:r w:rsidR="00874E54">
        <w:rPr>
          <w:lang w:eastAsia="en-GB"/>
        </w:rPr>
        <w:t>transfer</w:t>
      </w:r>
      <w:r w:rsidR="00C64050">
        <w:rPr>
          <w:lang w:eastAsia="en-GB"/>
        </w:rPr>
        <w:t xml:space="preserve"> </w:t>
      </w:r>
      <w:r w:rsidR="00874E54">
        <w:rPr>
          <w:lang w:eastAsia="en-GB"/>
        </w:rPr>
        <w:t>to</w:t>
      </w:r>
      <w:r w:rsidR="00C64050">
        <w:rPr>
          <w:lang w:eastAsia="en-GB"/>
        </w:rPr>
        <w:t xml:space="preserve"> </w:t>
      </w:r>
      <w:r w:rsidR="003C1004">
        <w:rPr>
          <w:lang w:eastAsia="en-GB"/>
        </w:rPr>
        <w:t>the</w:t>
      </w:r>
      <w:r w:rsidR="00C64050">
        <w:rPr>
          <w:lang w:eastAsia="en-GB"/>
        </w:rPr>
        <w:t xml:space="preserve"> </w:t>
      </w:r>
      <w:r w:rsidR="00874E54">
        <w:rPr>
          <w:lang w:eastAsia="en-GB"/>
        </w:rPr>
        <w:t>CLAT</w:t>
      </w:r>
      <w:r w:rsidR="00C64050">
        <w:rPr>
          <w:lang w:eastAsia="en-GB"/>
        </w:rPr>
        <w:t xml:space="preserve"> </w:t>
      </w:r>
      <w:r w:rsidR="00874E54">
        <w:rPr>
          <w:lang w:eastAsia="en-GB"/>
        </w:rPr>
        <w:t>was</w:t>
      </w:r>
      <w:r w:rsidR="00C64050">
        <w:rPr>
          <w:lang w:eastAsia="en-GB"/>
        </w:rPr>
        <w:t xml:space="preserve"> </w:t>
      </w:r>
      <w:r w:rsidR="00874E54">
        <w:rPr>
          <w:lang w:eastAsia="en-GB"/>
        </w:rPr>
        <w:t>sufficient</w:t>
      </w:r>
      <w:r w:rsidR="00C64050">
        <w:rPr>
          <w:lang w:eastAsia="en-GB"/>
        </w:rPr>
        <w:t xml:space="preserve"> </w:t>
      </w:r>
      <w:r w:rsidR="00874E54">
        <w:rPr>
          <w:lang w:eastAsia="en-GB"/>
        </w:rPr>
        <w:t>to</w:t>
      </w:r>
      <w:r w:rsidR="00C64050">
        <w:rPr>
          <w:lang w:eastAsia="en-GB"/>
        </w:rPr>
        <w:t xml:space="preserve"> </w:t>
      </w:r>
      <w:r w:rsidR="00874E54">
        <w:rPr>
          <w:lang w:eastAsia="en-GB"/>
        </w:rPr>
        <w:t>invoke</w:t>
      </w:r>
      <w:r w:rsidR="00C64050">
        <w:rPr>
          <w:lang w:eastAsia="en-GB"/>
        </w:rPr>
        <w:t xml:space="preserve"> </w:t>
      </w:r>
      <w:r w:rsidR="00874E54">
        <w:rPr>
          <w:lang w:eastAsia="en-GB"/>
        </w:rPr>
        <w:t>section</w:t>
      </w:r>
      <w:r w:rsidR="00C64050">
        <w:rPr>
          <w:lang w:eastAsia="en-GB"/>
        </w:rPr>
        <w:t xml:space="preserve"> </w:t>
      </w:r>
      <w:r w:rsidR="00874E54">
        <w:rPr>
          <w:lang w:eastAsia="en-GB"/>
        </w:rPr>
        <w:t>2036(a)(2).</w:t>
      </w:r>
      <w:r w:rsidR="00C64050">
        <w:rPr>
          <w:lang w:eastAsia="en-GB"/>
        </w:rPr>
        <w:t xml:space="preserve">  </w:t>
      </w:r>
      <w:r w:rsidR="00874E54">
        <w:rPr>
          <w:lang w:eastAsia="en-GB"/>
        </w:rPr>
        <w:t>The</w:t>
      </w:r>
      <w:r w:rsidR="00C64050">
        <w:rPr>
          <w:lang w:eastAsia="en-GB"/>
        </w:rPr>
        <w:t xml:space="preserve"> </w:t>
      </w:r>
      <w:r w:rsidR="00874E54">
        <w:rPr>
          <w:lang w:eastAsia="en-GB"/>
        </w:rPr>
        <w:t>transfer</w:t>
      </w:r>
      <w:r w:rsidR="00C64050">
        <w:rPr>
          <w:lang w:eastAsia="en-GB"/>
        </w:rPr>
        <w:t xml:space="preserve"> </w:t>
      </w:r>
      <w:r w:rsidR="00874E54">
        <w:rPr>
          <w:lang w:eastAsia="en-GB"/>
        </w:rPr>
        <w:t>would</w:t>
      </w:r>
      <w:r w:rsidR="00C64050">
        <w:rPr>
          <w:lang w:eastAsia="en-GB"/>
        </w:rPr>
        <w:t xml:space="preserve"> </w:t>
      </w:r>
      <w:r w:rsidR="00874E54">
        <w:rPr>
          <w:lang w:eastAsia="en-GB"/>
        </w:rPr>
        <w:t>have</w:t>
      </w:r>
      <w:r w:rsidR="00C64050">
        <w:rPr>
          <w:lang w:eastAsia="en-GB"/>
        </w:rPr>
        <w:t xml:space="preserve"> </w:t>
      </w:r>
      <w:r w:rsidR="00874E54">
        <w:rPr>
          <w:lang w:eastAsia="en-GB"/>
        </w:rPr>
        <w:t>needed</w:t>
      </w:r>
      <w:r w:rsidR="00C64050">
        <w:rPr>
          <w:lang w:eastAsia="en-GB"/>
        </w:rPr>
        <w:t xml:space="preserve"> </w:t>
      </w:r>
      <w:r w:rsidR="00874E54">
        <w:rPr>
          <w:lang w:eastAsia="en-GB"/>
        </w:rPr>
        <w:t>to</w:t>
      </w:r>
      <w:r w:rsidR="00C64050">
        <w:rPr>
          <w:lang w:eastAsia="en-GB"/>
        </w:rPr>
        <w:t xml:space="preserve"> </w:t>
      </w:r>
      <w:r w:rsidR="00874E54">
        <w:rPr>
          <w:lang w:eastAsia="en-GB"/>
        </w:rPr>
        <w:t>be</w:t>
      </w:r>
      <w:r w:rsidR="00C64050">
        <w:rPr>
          <w:lang w:eastAsia="en-GB"/>
        </w:rPr>
        <w:t xml:space="preserve"> </w:t>
      </w:r>
      <w:r w:rsidR="00874E54">
        <w:rPr>
          <w:lang w:eastAsia="en-GB"/>
        </w:rPr>
        <w:t>more</w:t>
      </w:r>
      <w:r w:rsidR="00C64050">
        <w:rPr>
          <w:lang w:eastAsia="en-GB"/>
        </w:rPr>
        <w:t xml:space="preserve"> </w:t>
      </w:r>
      <w:r w:rsidR="00874E54">
        <w:rPr>
          <w:lang w:eastAsia="en-GB"/>
        </w:rPr>
        <w:t>than</w:t>
      </w:r>
      <w:r w:rsidR="00C64050">
        <w:rPr>
          <w:lang w:eastAsia="en-GB"/>
        </w:rPr>
        <w:t xml:space="preserve"> </w:t>
      </w:r>
      <w:r w:rsidR="003C1004">
        <w:rPr>
          <w:lang w:eastAsia="en-GB"/>
        </w:rPr>
        <w:t>three</w:t>
      </w:r>
      <w:r w:rsidR="00C64050">
        <w:rPr>
          <w:lang w:eastAsia="en-GB"/>
        </w:rPr>
        <w:t xml:space="preserve"> </w:t>
      </w:r>
      <w:r w:rsidR="00874E54">
        <w:rPr>
          <w:lang w:eastAsia="en-GB"/>
        </w:rPr>
        <w:t>years</w:t>
      </w:r>
      <w:r w:rsidR="00C64050">
        <w:rPr>
          <w:lang w:eastAsia="en-GB"/>
        </w:rPr>
        <w:t xml:space="preserve"> </w:t>
      </w:r>
      <w:r w:rsidR="00874E54">
        <w:rPr>
          <w:lang w:eastAsia="en-GB"/>
        </w:rPr>
        <w:t>before</w:t>
      </w:r>
      <w:r w:rsidR="00C64050">
        <w:rPr>
          <w:lang w:eastAsia="en-GB"/>
        </w:rPr>
        <w:t xml:space="preserve"> </w:t>
      </w:r>
      <w:r w:rsidR="003C1004">
        <w:rPr>
          <w:lang w:eastAsia="en-GB"/>
        </w:rPr>
        <w:t>death</w:t>
      </w:r>
      <w:r w:rsidR="00C64050">
        <w:rPr>
          <w:lang w:eastAsia="en-GB"/>
        </w:rPr>
        <w:t xml:space="preserve"> </w:t>
      </w:r>
      <w:r w:rsidR="00874E54">
        <w:rPr>
          <w:lang w:eastAsia="en-GB"/>
        </w:rPr>
        <w:t>to</w:t>
      </w:r>
      <w:r w:rsidR="00C64050">
        <w:rPr>
          <w:lang w:eastAsia="en-GB"/>
        </w:rPr>
        <w:t xml:space="preserve"> </w:t>
      </w:r>
      <w:r w:rsidR="00874E54">
        <w:rPr>
          <w:lang w:eastAsia="en-GB"/>
        </w:rPr>
        <w:t>be</w:t>
      </w:r>
      <w:r w:rsidR="00C64050">
        <w:rPr>
          <w:lang w:eastAsia="en-GB"/>
        </w:rPr>
        <w:t xml:space="preserve"> </w:t>
      </w:r>
      <w:r w:rsidR="00874E54">
        <w:rPr>
          <w:lang w:eastAsia="en-GB"/>
        </w:rPr>
        <w:t>effective</w:t>
      </w:r>
      <w:r w:rsidR="00C64050">
        <w:rPr>
          <w:lang w:eastAsia="en-GB"/>
        </w:rPr>
        <w:t xml:space="preserve"> </w:t>
      </w:r>
      <w:r w:rsidR="00874E54">
        <w:rPr>
          <w:lang w:eastAsia="en-GB"/>
        </w:rPr>
        <w:t>given</w:t>
      </w:r>
      <w:r w:rsidR="00C64050">
        <w:rPr>
          <w:lang w:eastAsia="en-GB"/>
        </w:rPr>
        <w:t xml:space="preserve"> </w:t>
      </w:r>
      <w:r w:rsidR="00874E54">
        <w:rPr>
          <w:lang w:eastAsia="en-GB"/>
        </w:rPr>
        <w:t>section</w:t>
      </w:r>
      <w:r w:rsidR="00C64050">
        <w:rPr>
          <w:lang w:eastAsia="en-GB"/>
        </w:rPr>
        <w:t xml:space="preserve"> </w:t>
      </w:r>
      <w:r w:rsidR="00874E54">
        <w:rPr>
          <w:lang w:eastAsia="en-GB"/>
        </w:rPr>
        <w:t>2035.</w:t>
      </w:r>
      <w:r w:rsidR="00C64050">
        <w:rPr>
          <w:lang w:eastAsia="en-GB"/>
        </w:rPr>
        <w:t xml:space="preserve"> </w:t>
      </w:r>
    </w:p>
    <w:p w:rsidR="00874E54" w:rsidRDefault="00874E54" w:rsidP="00874E54">
      <w:pPr>
        <w:pStyle w:val="Body15"/>
        <w:rPr>
          <w:lang w:eastAsia="en-GB"/>
        </w:rPr>
      </w:pPr>
      <w:r>
        <w:rPr>
          <w:lang w:eastAsia="en-GB"/>
        </w:rPr>
        <w:t>The</w:t>
      </w:r>
      <w:r w:rsidR="00C64050">
        <w:rPr>
          <w:lang w:eastAsia="en-GB"/>
        </w:rPr>
        <w:t xml:space="preserve"> </w:t>
      </w:r>
      <w:r>
        <w:rPr>
          <w:lang w:eastAsia="en-GB"/>
        </w:rPr>
        <w:t>Court</w:t>
      </w:r>
      <w:r w:rsidR="00C64050">
        <w:rPr>
          <w:lang w:eastAsia="en-GB"/>
        </w:rPr>
        <w:t xml:space="preserve"> </w:t>
      </w:r>
      <w:r>
        <w:rPr>
          <w:lang w:eastAsia="en-GB"/>
        </w:rPr>
        <w:t>was</w:t>
      </w:r>
      <w:r w:rsidR="00C64050">
        <w:rPr>
          <w:lang w:eastAsia="en-GB"/>
        </w:rPr>
        <w:t xml:space="preserve"> </w:t>
      </w:r>
      <w:r>
        <w:rPr>
          <w:lang w:eastAsia="en-GB"/>
        </w:rPr>
        <w:t>worried</w:t>
      </w:r>
      <w:r w:rsidR="00C64050">
        <w:rPr>
          <w:lang w:eastAsia="en-GB"/>
        </w:rPr>
        <w:t xml:space="preserve"> </w:t>
      </w:r>
      <w:r>
        <w:rPr>
          <w:lang w:eastAsia="en-GB"/>
        </w:rPr>
        <w:t>about</w:t>
      </w:r>
      <w:r w:rsidR="00C64050">
        <w:rPr>
          <w:lang w:eastAsia="en-GB"/>
        </w:rPr>
        <w:t xml:space="preserve"> </w:t>
      </w:r>
      <w:r>
        <w:rPr>
          <w:lang w:eastAsia="en-GB"/>
        </w:rPr>
        <w:t>2036(a)(2)</w:t>
      </w:r>
      <w:r w:rsidR="00C64050">
        <w:rPr>
          <w:lang w:eastAsia="en-GB"/>
        </w:rPr>
        <w:t xml:space="preserve"> </w:t>
      </w:r>
      <w:r>
        <w:rPr>
          <w:lang w:eastAsia="en-GB"/>
        </w:rPr>
        <w:t>workarounds.</w:t>
      </w:r>
      <w:r w:rsidR="00C64050">
        <w:rPr>
          <w:lang w:eastAsia="en-GB"/>
        </w:rPr>
        <w:t xml:space="preserve">  </w:t>
      </w:r>
      <w:r>
        <w:rPr>
          <w:lang w:eastAsia="en-GB"/>
        </w:rPr>
        <w:t>Footnote</w:t>
      </w:r>
      <w:r w:rsidR="00C64050">
        <w:rPr>
          <w:lang w:eastAsia="en-GB"/>
        </w:rPr>
        <w:t xml:space="preserve"> </w:t>
      </w:r>
      <w:r>
        <w:rPr>
          <w:lang w:eastAsia="en-GB"/>
        </w:rPr>
        <w:t>4</w:t>
      </w:r>
      <w:r w:rsidR="00C64050">
        <w:rPr>
          <w:lang w:eastAsia="en-GB"/>
        </w:rPr>
        <w:t xml:space="preserve"> </w:t>
      </w:r>
      <w:r>
        <w:rPr>
          <w:lang w:eastAsia="en-GB"/>
        </w:rPr>
        <w:t>to</w:t>
      </w:r>
      <w:r w:rsidR="00C64050">
        <w:rPr>
          <w:lang w:eastAsia="en-GB"/>
        </w:rPr>
        <w:t xml:space="preserve"> </w:t>
      </w:r>
      <w:r>
        <w:rPr>
          <w:lang w:eastAsia="en-GB"/>
        </w:rPr>
        <w:t>the</w:t>
      </w:r>
      <w:r w:rsidR="00C64050">
        <w:rPr>
          <w:lang w:eastAsia="en-GB"/>
        </w:rPr>
        <w:t xml:space="preserve"> </w:t>
      </w:r>
      <w:r>
        <w:rPr>
          <w:lang w:eastAsia="en-GB"/>
        </w:rPr>
        <w:t>opinion</w:t>
      </w:r>
      <w:r w:rsidR="00C64050">
        <w:rPr>
          <w:lang w:eastAsia="en-GB"/>
        </w:rPr>
        <w:t xml:space="preserve"> </w:t>
      </w:r>
      <w:r>
        <w:rPr>
          <w:lang w:eastAsia="en-GB"/>
        </w:rPr>
        <w:t>states:</w:t>
      </w:r>
    </w:p>
    <w:p w:rsidR="00874E54" w:rsidRDefault="00D44E8E" w:rsidP="00D44E8E">
      <w:pPr>
        <w:pStyle w:val="QS10"/>
        <w:rPr>
          <w:lang w:eastAsia="en-GB"/>
        </w:rPr>
      </w:pPr>
      <w:r>
        <w:rPr>
          <w:lang w:eastAsia="en-GB"/>
        </w:rPr>
        <w:t>Because</w:t>
      </w:r>
      <w:r w:rsidR="00C64050">
        <w:rPr>
          <w:lang w:eastAsia="en-GB"/>
        </w:rPr>
        <w:t xml:space="preserve"> </w:t>
      </w:r>
      <w:r>
        <w:rPr>
          <w:lang w:eastAsia="en-GB"/>
        </w:rPr>
        <w:t>we</w:t>
      </w:r>
      <w:r w:rsidR="00C64050">
        <w:rPr>
          <w:lang w:eastAsia="en-GB"/>
        </w:rPr>
        <w:t xml:space="preserve"> </w:t>
      </w:r>
      <w:r>
        <w:rPr>
          <w:lang w:eastAsia="en-GB"/>
        </w:rPr>
        <w:t>express</w:t>
      </w:r>
      <w:r w:rsidR="00C64050">
        <w:rPr>
          <w:lang w:eastAsia="en-GB"/>
        </w:rPr>
        <w:t xml:space="preserve"> </w:t>
      </w:r>
      <w:r>
        <w:rPr>
          <w:lang w:eastAsia="en-GB"/>
        </w:rPr>
        <w:t>no</w:t>
      </w:r>
      <w:r w:rsidR="00C64050">
        <w:rPr>
          <w:lang w:eastAsia="en-GB"/>
        </w:rPr>
        <w:t xml:space="preserve"> </w:t>
      </w:r>
      <w:r>
        <w:rPr>
          <w:lang w:eastAsia="en-GB"/>
        </w:rPr>
        <w:t>view</w:t>
      </w:r>
      <w:r w:rsidR="00C64050">
        <w:rPr>
          <w:lang w:eastAsia="en-GB"/>
        </w:rPr>
        <w:t xml:space="preserve"> </w:t>
      </w:r>
      <w:r>
        <w:rPr>
          <w:lang w:eastAsia="en-GB"/>
        </w:rPr>
        <w:t>on</w:t>
      </w:r>
      <w:r w:rsidR="00C64050">
        <w:rPr>
          <w:lang w:eastAsia="en-GB"/>
        </w:rPr>
        <w:t xml:space="preserve"> </w:t>
      </w:r>
      <w:r>
        <w:rPr>
          <w:lang w:eastAsia="en-GB"/>
        </w:rPr>
        <w:t>whether</w:t>
      </w:r>
      <w:r w:rsidR="00C64050">
        <w:rPr>
          <w:lang w:eastAsia="en-GB"/>
        </w:rPr>
        <w:t xml:space="preserve"> </w:t>
      </w:r>
      <w:r>
        <w:rPr>
          <w:lang w:eastAsia="en-GB"/>
        </w:rPr>
        <w:t>the</w:t>
      </w:r>
      <w:r w:rsidR="00C64050">
        <w:rPr>
          <w:lang w:eastAsia="en-GB"/>
        </w:rPr>
        <w:t xml:space="preserve"> </w:t>
      </w:r>
      <w:r>
        <w:rPr>
          <w:lang w:eastAsia="en-GB"/>
        </w:rPr>
        <w:t>transfer</w:t>
      </w:r>
      <w:r w:rsidR="00C64050">
        <w:rPr>
          <w:lang w:eastAsia="en-GB"/>
        </w:rPr>
        <w:t xml:space="preserve"> </w:t>
      </w:r>
      <w:r>
        <w:rPr>
          <w:lang w:eastAsia="en-GB"/>
        </w:rPr>
        <w:t>of</w:t>
      </w:r>
      <w:r w:rsidR="00C64050">
        <w:rPr>
          <w:lang w:eastAsia="en-GB"/>
        </w:rPr>
        <w:t xml:space="preserve"> </w:t>
      </w:r>
      <w:r>
        <w:rPr>
          <w:lang w:eastAsia="en-GB"/>
        </w:rPr>
        <w:t>decedent's</w:t>
      </w:r>
      <w:r w:rsidR="00C64050">
        <w:rPr>
          <w:lang w:eastAsia="en-GB"/>
        </w:rPr>
        <w:t xml:space="preserve"> </w:t>
      </w:r>
      <w:r>
        <w:rPr>
          <w:lang w:eastAsia="en-GB"/>
        </w:rPr>
        <w:t>cash</w:t>
      </w:r>
      <w:r w:rsidR="00C64050">
        <w:rPr>
          <w:lang w:eastAsia="en-GB"/>
        </w:rPr>
        <w:t xml:space="preserve"> </w:t>
      </w:r>
      <w:r>
        <w:rPr>
          <w:lang w:eastAsia="en-GB"/>
        </w:rPr>
        <w:t>and</w:t>
      </w:r>
      <w:r w:rsidR="00C64050">
        <w:rPr>
          <w:lang w:eastAsia="en-GB"/>
        </w:rPr>
        <w:t xml:space="preserve"> </w:t>
      </w:r>
      <w:r>
        <w:rPr>
          <w:lang w:eastAsia="en-GB"/>
        </w:rPr>
        <w:t>securities</w:t>
      </w:r>
      <w:r w:rsidR="00C64050">
        <w:rPr>
          <w:lang w:eastAsia="en-GB"/>
        </w:rPr>
        <w:t xml:space="preserve"> </w:t>
      </w:r>
      <w:r>
        <w:rPr>
          <w:lang w:eastAsia="en-GB"/>
        </w:rPr>
        <w:t>to</w:t>
      </w:r>
      <w:r w:rsidR="00C64050">
        <w:rPr>
          <w:lang w:eastAsia="en-GB"/>
        </w:rPr>
        <w:t xml:space="preserve"> </w:t>
      </w:r>
      <w:r>
        <w:rPr>
          <w:lang w:eastAsia="en-GB"/>
        </w:rPr>
        <w:t>NHP</w:t>
      </w:r>
      <w:r w:rsidR="00C64050">
        <w:rPr>
          <w:lang w:eastAsia="en-GB"/>
        </w:rPr>
        <w:t xml:space="preserve"> </w:t>
      </w:r>
      <w:r>
        <w:rPr>
          <w:lang w:eastAsia="en-GB"/>
        </w:rPr>
        <w:t>was</w:t>
      </w:r>
      <w:r w:rsidR="00C64050">
        <w:rPr>
          <w:lang w:eastAsia="en-GB"/>
        </w:rPr>
        <w:t xml:space="preserve"> </w:t>
      </w:r>
      <w:r>
        <w:rPr>
          <w:lang w:eastAsia="en-GB"/>
        </w:rPr>
        <w:t>subject</w:t>
      </w:r>
      <w:r w:rsidR="00C64050">
        <w:rPr>
          <w:lang w:eastAsia="en-GB"/>
        </w:rPr>
        <w:t xml:space="preserve"> </w:t>
      </w:r>
      <w:r>
        <w:rPr>
          <w:lang w:eastAsia="en-GB"/>
        </w:rPr>
        <w:t>to</w:t>
      </w:r>
      <w:r w:rsidR="00C64050">
        <w:rPr>
          <w:lang w:eastAsia="en-GB"/>
        </w:rPr>
        <w:t xml:space="preserve"> </w:t>
      </w:r>
      <w:r>
        <w:rPr>
          <w:lang w:eastAsia="en-GB"/>
        </w:rPr>
        <w:t>a</w:t>
      </w:r>
      <w:r w:rsidR="00C64050">
        <w:rPr>
          <w:lang w:eastAsia="en-GB"/>
        </w:rPr>
        <w:t xml:space="preserve"> </w:t>
      </w:r>
      <w:r>
        <w:rPr>
          <w:lang w:eastAsia="en-GB"/>
        </w:rPr>
        <w:t>right</w:t>
      </w:r>
      <w:r w:rsidR="00C64050">
        <w:rPr>
          <w:lang w:eastAsia="en-GB"/>
        </w:rPr>
        <w:t xml:space="preserve"> </w:t>
      </w:r>
      <w:r>
        <w:rPr>
          <w:lang w:eastAsia="en-GB"/>
        </w:rPr>
        <w:t>described</w:t>
      </w:r>
      <w:r w:rsidR="00C64050">
        <w:rPr>
          <w:lang w:eastAsia="en-GB"/>
        </w:rPr>
        <w:t xml:space="preserve"> </w:t>
      </w:r>
      <w:r>
        <w:rPr>
          <w:lang w:eastAsia="en-GB"/>
        </w:rPr>
        <w:t>in</w:t>
      </w:r>
      <w:r w:rsidR="00C64050">
        <w:rPr>
          <w:lang w:eastAsia="en-GB"/>
        </w:rPr>
        <w:t xml:space="preserve"> </w:t>
      </w:r>
      <w:r>
        <w:rPr>
          <w:lang w:eastAsia="en-GB"/>
        </w:rPr>
        <w:t>sec.</w:t>
      </w:r>
      <w:r w:rsidR="00C64050">
        <w:rPr>
          <w:lang w:eastAsia="en-GB"/>
        </w:rPr>
        <w:t xml:space="preserve"> </w:t>
      </w:r>
      <w:r>
        <w:rPr>
          <w:lang w:eastAsia="en-GB"/>
        </w:rPr>
        <w:t>2036(a)(1)</w:t>
      </w:r>
      <w:r w:rsidR="00C64050">
        <w:rPr>
          <w:lang w:eastAsia="en-GB"/>
        </w:rPr>
        <w:t xml:space="preserve"> </w:t>
      </w:r>
      <w:r>
        <w:rPr>
          <w:lang w:eastAsia="en-GB"/>
        </w:rPr>
        <w:t>(or</w:t>
      </w:r>
      <w:r w:rsidR="00C64050">
        <w:rPr>
          <w:lang w:eastAsia="en-GB"/>
        </w:rPr>
        <w:t xml:space="preserve"> </w:t>
      </w:r>
      <w:r>
        <w:rPr>
          <w:lang w:eastAsia="en-GB"/>
        </w:rPr>
        <w:t>whether</w:t>
      </w:r>
      <w:r w:rsidR="00C64050">
        <w:rPr>
          <w:lang w:eastAsia="en-GB"/>
        </w:rPr>
        <w:t xml:space="preserve"> </w:t>
      </w:r>
      <w:r>
        <w:rPr>
          <w:lang w:eastAsia="en-GB"/>
        </w:rPr>
        <w:t>enjoyment</w:t>
      </w:r>
      <w:r w:rsidR="00C64050">
        <w:rPr>
          <w:lang w:eastAsia="en-GB"/>
        </w:rPr>
        <w:t xml:space="preserve"> </w:t>
      </w:r>
      <w:r>
        <w:rPr>
          <w:lang w:eastAsia="en-GB"/>
        </w:rPr>
        <w:t>of</w:t>
      </w:r>
      <w:r w:rsidR="00C64050">
        <w:rPr>
          <w:lang w:eastAsia="en-GB"/>
        </w:rPr>
        <w:t xml:space="preserve"> </w:t>
      </w:r>
      <w:r>
        <w:rPr>
          <w:lang w:eastAsia="en-GB"/>
        </w:rPr>
        <w:t>those</w:t>
      </w:r>
      <w:r w:rsidR="00C64050">
        <w:rPr>
          <w:lang w:eastAsia="en-GB"/>
        </w:rPr>
        <w:t xml:space="preserve"> </w:t>
      </w:r>
      <w:r>
        <w:rPr>
          <w:lang w:eastAsia="en-GB"/>
        </w:rPr>
        <w:t>assets</w:t>
      </w:r>
      <w:r w:rsidR="00C64050">
        <w:rPr>
          <w:lang w:eastAsia="en-GB"/>
        </w:rPr>
        <w:t xml:space="preserve"> </w:t>
      </w:r>
      <w:r>
        <w:rPr>
          <w:lang w:eastAsia="en-GB"/>
        </w:rPr>
        <w:t>was</w:t>
      </w:r>
      <w:r w:rsidR="00C64050">
        <w:rPr>
          <w:lang w:eastAsia="en-GB"/>
        </w:rPr>
        <w:t xml:space="preserve"> </w:t>
      </w:r>
      <w:r>
        <w:rPr>
          <w:lang w:eastAsia="en-GB"/>
        </w:rPr>
        <w:t>subject</w:t>
      </w:r>
      <w:r w:rsidR="00C64050">
        <w:rPr>
          <w:lang w:eastAsia="en-GB"/>
        </w:rPr>
        <w:t xml:space="preserve"> </w:t>
      </w:r>
      <w:r>
        <w:rPr>
          <w:lang w:eastAsia="en-GB"/>
        </w:rPr>
        <w:t>to</w:t>
      </w:r>
      <w:r w:rsidR="00C64050">
        <w:rPr>
          <w:lang w:eastAsia="en-GB"/>
        </w:rPr>
        <w:t xml:space="preserve"> </w:t>
      </w:r>
      <w:r>
        <w:rPr>
          <w:lang w:eastAsia="en-GB"/>
        </w:rPr>
        <w:t>change</w:t>
      </w:r>
      <w:r w:rsidR="00C64050">
        <w:rPr>
          <w:lang w:eastAsia="en-GB"/>
        </w:rPr>
        <w:t xml:space="preserve"> </w:t>
      </w:r>
      <w:r>
        <w:rPr>
          <w:lang w:eastAsia="en-GB"/>
        </w:rPr>
        <w:t>on</w:t>
      </w:r>
      <w:r w:rsidR="00C64050">
        <w:rPr>
          <w:lang w:eastAsia="en-GB"/>
        </w:rPr>
        <w:t xml:space="preserve"> </w:t>
      </w:r>
      <w:r>
        <w:rPr>
          <w:lang w:eastAsia="en-GB"/>
        </w:rPr>
        <w:t>the</w:t>
      </w:r>
      <w:r w:rsidR="00C64050">
        <w:rPr>
          <w:lang w:eastAsia="en-GB"/>
        </w:rPr>
        <w:t xml:space="preserve"> </w:t>
      </w:r>
      <w:r>
        <w:rPr>
          <w:lang w:eastAsia="en-GB"/>
        </w:rPr>
        <w:t>date</w:t>
      </w:r>
      <w:r w:rsidR="00C64050">
        <w:rPr>
          <w:lang w:eastAsia="en-GB"/>
        </w:rPr>
        <w:t xml:space="preserve"> </w:t>
      </w:r>
      <w:r>
        <w:rPr>
          <w:lang w:eastAsia="en-GB"/>
        </w:rPr>
        <w:t>of</w:t>
      </w:r>
      <w:r w:rsidR="00C64050">
        <w:rPr>
          <w:lang w:eastAsia="en-GB"/>
        </w:rPr>
        <w:t xml:space="preserve"> </w:t>
      </w:r>
      <w:r>
        <w:rPr>
          <w:lang w:eastAsia="en-GB"/>
        </w:rPr>
        <w:t>decedent's</w:t>
      </w:r>
      <w:r w:rsidR="00C64050">
        <w:rPr>
          <w:lang w:eastAsia="en-GB"/>
        </w:rPr>
        <w:t xml:space="preserve"> </w:t>
      </w:r>
      <w:r>
        <w:rPr>
          <w:lang w:eastAsia="en-GB"/>
        </w:rPr>
        <w:t>death</w:t>
      </w:r>
      <w:r w:rsidR="00C64050">
        <w:rPr>
          <w:lang w:eastAsia="en-GB"/>
        </w:rPr>
        <w:t xml:space="preserve"> </w:t>
      </w:r>
      <w:r>
        <w:rPr>
          <w:lang w:eastAsia="en-GB"/>
        </w:rPr>
        <w:t>through</w:t>
      </w:r>
      <w:r w:rsidR="00C64050">
        <w:rPr>
          <w:lang w:eastAsia="en-GB"/>
        </w:rPr>
        <w:t xml:space="preserve"> </w:t>
      </w:r>
      <w:r>
        <w:rPr>
          <w:lang w:eastAsia="en-GB"/>
        </w:rPr>
        <w:t>the</w:t>
      </w:r>
      <w:r w:rsidR="00C64050">
        <w:rPr>
          <w:lang w:eastAsia="en-GB"/>
        </w:rPr>
        <w:t xml:space="preserve"> </w:t>
      </w:r>
      <w:r>
        <w:rPr>
          <w:lang w:eastAsia="en-GB"/>
        </w:rPr>
        <w:t>exercise</w:t>
      </w:r>
      <w:r w:rsidR="00C64050">
        <w:rPr>
          <w:lang w:eastAsia="en-GB"/>
        </w:rPr>
        <w:t xml:space="preserve"> </w:t>
      </w:r>
      <w:r>
        <w:rPr>
          <w:lang w:eastAsia="en-GB"/>
        </w:rPr>
        <w:t>of</w:t>
      </w:r>
      <w:r w:rsidR="00C64050">
        <w:rPr>
          <w:lang w:eastAsia="en-GB"/>
        </w:rPr>
        <w:t xml:space="preserve"> </w:t>
      </w:r>
      <w:r>
        <w:rPr>
          <w:lang w:eastAsia="en-GB"/>
        </w:rPr>
        <w:t>a</w:t>
      </w:r>
      <w:r w:rsidR="00C64050">
        <w:rPr>
          <w:lang w:eastAsia="en-GB"/>
        </w:rPr>
        <w:t xml:space="preserve"> </w:t>
      </w:r>
      <w:r>
        <w:rPr>
          <w:lang w:eastAsia="en-GB"/>
        </w:rPr>
        <w:t>power</w:t>
      </w:r>
      <w:r w:rsidR="00C64050">
        <w:rPr>
          <w:lang w:eastAsia="en-GB"/>
        </w:rPr>
        <w:t xml:space="preserve"> </w:t>
      </w:r>
      <w:r>
        <w:rPr>
          <w:lang w:eastAsia="en-GB"/>
        </w:rPr>
        <w:t>described</w:t>
      </w:r>
      <w:r w:rsidR="00C64050">
        <w:rPr>
          <w:lang w:eastAsia="en-GB"/>
        </w:rPr>
        <w:t xml:space="preserve"> </w:t>
      </w:r>
      <w:r>
        <w:rPr>
          <w:lang w:eastAsia="en-GB"/>
        </w:rPr>
        <w:t>in</w:t>
      </w:r>
      <w:r w:rsidR="00C64050">
        <w:rPr>
          <w:lang w:eastAsia="en-GB"/>
        </w:rPr>
        <w:t xml:space="preserve"> </w:t>
      </w:r>
      <w:r>
        <w:rPr>
          <w:lang w:eastAsia="en-GB"/>
        </w:rPr>
        <w:t>sec.</w:t>
      </w:r>
      <w:r w:rsidR="00C64050">
        <w:rPr>
          <w:lang w:eastAsia="en-GB"/>
        </w:rPr>
        <w:t xml:space="preserve"> </w:t>
      </w:r>
      <w:r>
        <w:rPr>
          <w:lang w:eastAsia="en-GB"/>
        </w:rPr>
        <w:t>2038(a)),</w:t>
      </w:r>
      <w:r w:rsidR="00C64050">
        <w:rPr>
          <w:lang w:eastAsia="en-GB"/>
        </w:rPr>
        <w:t xml:space="preserve"> </w:t>
      </w:r>
      <w:r>
        <w:rPr>
          <w:lang w:eastAsia="en-GB"/>
        </w:rPr>
        <w:t>it</w:t>
      </w:r>
      <w:r w:rsidR="00C64050">
        <w:rPr>
          <w:lang w:eastAsia="en-GB"/>
        </w:rPr>
        <w:t xml:space="preserve"> </w:t>
      </w:r>
      <w:r>
        <w:rPr>
          <w:lang w:eastAsia="en-GB"/>
        </w:rPr>
        <w:t>does</w:t>
      </w:r>
      <w:r w:rsidR="00C64050">
        <w:rPr>
          <w:lang w:eastAsia="en-GB"/>
        </w:rPr>
        <w:t xml:space="preserve"> </w:t>
      </w:r>
      <w:r>
        <w:rPr>
          <w:lang w:eastAsia="en-GB"/>
        </w:rPr>
        <w:t>not</w:t>
      </w:r>
      <w:r w:rsidR="00C64050">
        <w:rPr>
          <w:lang w:eastAsia="en-GB"/>
        </w:rPr>
        <w:t xml:space="preserve"> </w:t>
      </w:r>
      <w:r>
        <w:rPr>
          <w:lang w:eastAsia="en-GB"/>
        </w:rPr>
        <w:t>follow</w:t>
      </w:r>
      <w:r w:rsidR="00C64050">
        <w:rPr>
          <w:lang w:eastAsia="en-GB"/>
        </w:rPr>
        <w:t xml:space="preserve"> </w:t>
      </w:r>
      <w:r>
        <w:rPr>
          <w:lang w:eastAsia="en-GB"/>
        </w:rPr>
        <w:t>that,</w:t>
      </w:r>
      <w:r w:rsidR="00C64050">
        <w:rPr>
          <w:lang w:eastAsia="en-GB"/>
        </w:rPr>
        <w:t xml:space="preserve"> </w:t>
      </w:r>
      <w:r>
        <w:rPr>
          <w:lang w:eastAsia="en-GB"/>
        </w:rPr>
        <w:t>had</w:t>
      </w:r>
      <w:r w:rsidR="00C64050">
        <w:rPr>
          <w:lang w:eastAsia="en-GB"/>
        </w:rPr>
        <w:t xml:space="preserve"> </w:t>
      </w:r>
      <w:r>
        <w:rPr>
          <w:lang w:eastAsia="en-GB"/>
        </w:rPr>
        <w:t>NHP's</w:t>
      </w:r>
      <w:r w:rsidR="00C64050">
        <w:rPr>
          <w:lang w:eastAsia="en-GB"/>
        </w:rPr>
        <w:t xml:space="preserve"> </w:t>
      </w:r>
      <w:r>
        <w:rPr>
          <w:lang w:eastAsia="en-GB"/>
        </w:rPr>
        <w:t>limited</w:t>
      </w:r>
      <w:r w:rsidR="00C64050">
        <w:rPr>
          <w:lang w:eastAsia="en-GB"/>
        </w:rPr>
        <w:t xml:space="preserve"> </w:t>
      </w:r>
      <w:r>
        <w:rPr>
          <w:lang w:eastAsia="en-GB"/>
        </w:rPr>
        <w:t>partnership</w:t>
      </w:r>
      <w:r w:rsidR="00C64050">
        <w:rPr>
          <w:lang w:eastAsia="en-GB"/>
        </w:rPr>
        <w:t xml:space="preserve"> </w:t>
      </w:r>
      <w:r>
        <w:rPr>
          <w:lang w:eastAsia="en-GB"/>
        </w:rPr>
        <w:t>agreement</w:t>
      </w:r>
      <w:r w:rsidR="00C64050">
        <w:rPr>
          <w:lang w:eastAsia="en-GB"/>
        </w:rPr>
        <w:t xml:space="preserve"> </w:t>
      </w:r>
      <w:r>
        <w:rPr>
          <w:lang w:eastAsia="en-GB"/>
        </w:rPr>
        <w:t>been</w:t>
      </w:r>
      <w:r w:rsidR="00C64050">
        <w:rPr>
          <w:lang w:eastAsia="en-GB"/>
        </w:rPr>
        <w:t xml:space="preserve"> </w:t>
      </w:r>
      <w:r>
        <w:rPr>
          <w:lang w:eastAsia="en-GB"/>
        </w:rPr>
        <w:t>drafted</w:t>
      </w:r>
      <w:r w:rsidR="00C64050">
        <w:rPr>
          <w:lang w:eastAsia="en-GB"/>
        </w:rPr>
        <w:t xml:space="preserve"> </w:t>
      </w:r>
      <w:r>
        <w:rPr>
          <w:lang w:eastAsia="en-GB"/>
        </w:rPr>
        <w:t>in</w:t>
      </w:r>
      <w:r w:rsidR="00C64050">
        <w:rPr>
          <w:lang w:eastAsia="en-GB"/>
        </w:rPr>
        <w:t xml:space="preserve"> </w:t>
      </w:r>
      <w:r>
        <w:rPr>
          <w:lang w:eastAsia="en-GB"/>
        </w:rPr>
        <w:t>a</w:t>
      </w:r>
      <w:r w:rsidR="00C64050">
        <w:rPr>
          <w:lang w:eastAsia="en-GB"/>
        </w:rPr>
        <w:t xml:space="preserve"> </w:t>
      </w:r>
      <w:r>
        <w:rPr>
          <w:lang w:eastAsia="en-GB"/>
        </w:rPr>
        <w:t>way</w:t>
      </w:r>
      <w:r w:rsidR="00C64050">
        <w:rPr>
          <w:lang w:eastAsia="en-GB"/>
        </w:rPr>
        <w:t xml:space="preserve"> </w:t>
      </w:r>
      <w:r>
        <w:rPr>
          <w:lang w:eastAsia="en-GB"/>
        </w:rPr>
        <w:t>that</w:t>
      </w:r>
      <w:r w:rsidR="00C64050">
        <w:rPr>
          <w:lang w:eastAsia="en-GB"/>
        </w:rPr>
        <w:t xml:space="preserve"> </w:t>
      </w:r>
      <w:r>
        <w:rPr>
          <w:lang w:eastAsia="en-GB"/>
        </w:rPr>
        <w:t>prevented</w:t>
      </w:r>
      <w:r w:rsidR="00C64050">
        <w:rPr>
          <w:lang w:eastAsia="en-GB"/>
        </w:rPr>
        <w:t xml:space="preserve"> </w:t>
      </w:r>
      <w:r>
        <w:rPr>
          <w:lang w:eastAsia="en-GB"/>
        </w:rPr>
        <w:t>the</w:t>
      </w:r>
      <w:r w:rsidR="00C64050">
        <w:rPr>
          <w:lang w:eastAsia="en-GB"/>
        </w:rPr>
        <w:t xml:space="preserve"> </w:t>
      </w:r>
      <w:r>
        <w:rPr>
          <w:lang w:eastAsia="en-GB"/>
        </w:rPr>
        <w:t>application</w:t>
      </w:r>
      <w:r w:rsidR="00C64050">
        <w:rPr>
          <w:lang w:eastAsia="en-GB"/>
        </w:rPr>
        <w:t xml:space="preserve"> </w:t>
      </w:r>
      <w:r>
        <w:rPr>
          <w:lang w:eastAsia="en-GB"/>
        </w:rPr>
        <w:t>of</w:t>
      </w:r>
      <w:r w:rsidR="00C64050">
        <w:rPr>
          <w:lang w:eastAsia="en-GB"/>
        </w:rPr>
        <w:t xml:space="preserve"> </w:t>
      </w:r>
      <w:r>
        <w:rPr>
          <w:lang w:eastAsia="en-GB"/>
        </w:rPr>
        <w:t>sec.</w:t>
      </w:r>
      <w:r w:rsidR="00C64050">
        <w:rPr>
          <w:lang w:eastAsia="en-GB"/>
        </w:rPr>
        <w:t xml:space="preserve"> </w:t>
      </w:r>
      <w:r>
        <w:rPr>
          <w:lang w:eastAsia="en-GB"/>
        </w:rPr>
        <w:t>2036(a)(2),</w:t>
      </w:r>
      <w:r w:rsidR="00C64050">
        <w:rPr>
          <w:lang w:eastAsia="en-GB"/>
        </w:rPr>
        <w:t xml:space="preserve"> </w:t>
      </w:r>
      <w:r>
        <w:rPr>
          <w:lang w:eastAsia="en-GB"/>
        </w:rPr>
        <w:t>decedent's</w:t>
      </w:r>
      <w:r w:rsidR="00C64050">
        <w:rPr>
          <w:lang w:eastAsia="en-GB"/>
        </w:rPr>
        <w:t xml:space="preserve"> </w:t>
      </w:r>
      <w:r>
        <w:rPr>
          <w:lang w:eastAsia="en-GB"/>
        </w:rPr>
        <w:t>gross</w:t>
      </w:r>
      <w:r w:rsidR="00C64050">
        <w:rPr>
          <w:lang w:eastAsia="en-GB"/>
        </w:rPr>
        <w:t xml:space="preserve"> </w:t>
      </w:r>
      <w:r>
        <w:rPr>
          <w:lang w:eastAsia="en-GB"/>
        </w:rPr>
        <w:t>estate</w:t>
      </w:r>
      <w:r w:rsidR="00C64050">
        <w:rPr>
          <w:lang w:eastAsia="en-GB"/>
        </w:rPr>
        <w:t xml:space="preserve"> </w:t>
      </w:r>
      <w:r>
        <w:rPr>
          <w:lang w:eastAsia="en-GB"/>
        </w:rPr>
        <w:t>would</w:t>
      </w:r>
      <w:r w:rsidR="00C64050">
        <w:rPr>
          <w:lang w:eastAsia="en-GB"/>
        </w:rPr>
        <w:t xml:space="preserve"> </w:t>
      </w:r>
      <w:r>
        <w:rPr>
          <w:lang w:eastAsia="en-GB"/>
        </w:rPr>
        <w:t>have</w:t>
      </w:r>
      <w:r w:rsidR="00C64050">
        <w:rPr>
          <w:lang w:eastAsia="en-GB"/>
        </w:rPr>
        <w:t xml:space="preserve"> </w:t>
      </w:r>
      <w:r>
        <w:rPr>
          <w:lang w:eastAsia="en-GB"/>
        </w:rPr>
        <w:t>been</w:t>
      </w:r>
      <w:r w:rsidR="00C64050">
        <w:rPr>
          <w:lang w:eastAsia="en-GB"/>
        </w:rPr>
        <w:t xml:space="preserve"> </w:t>
      </w:r>
      <w:r>
        <w:rPr>
          <w:lang w:eastAsia="en-GB"/>
        </w:rPr>
        <w:t>reduced</w:t>
      </w:r>
      <w:r w:rsidR="00C64050">
        <w:rPr>
          <w:lang w:eastAsia="en-GB"/>
        </w:rPr>
        <w:t xml:space="preserve"> </w:t>
      </w:r>
      <w:r>
        <w:rPr>
          <w:lang w:eastAsia="en-GB"/>
        </w:rPr>
        <w:t>by</w:t>
      </w:r>
      <w:r w:rsidR="00C64050">
        <w:rPr>
          <w:lang w:eastAsia="en-GB"/>
        </w:rPr>
        <w:t xml:space="preserve"> </w:t>
      </w:r>
      <w:r>
        <w:rPr>
          <w:lang w:eastAsia="en-GB"/>
        </w:rPr>
        <w:t>any</w:t>
      </w:r>
      <w:r w:rsidR="00C64050">
        <w:rPr>
          <w:lang w:eastAsia="en-GB"/>
        </w:rPr>
        <w:t xml:space="preserve"> </w:t>
      </w:r>
      <w:r>
        <w:rPr>
          <w:lang w:eastAsia="en-GB"/>
        </w:rPr>
        <w:t>discount</w:t>
      </w:r>
      <w:r w:rsidR="00C64050">
        <w:rPr>
          <w:lang w:eastAsia="en-GB"/>
        </w:rPr>
        <w:t xml:space="preserve"> </w:t>
      </w:r>
      <w:r>
        <w:rPr>
          <w:lang w:eastAsia="en-GB"/>
        </w:rPr>
        <w:t>applicable</w:t>
      </w:r>
      <w:r w:rsidR="00C64050">
        <w:rPr>
          <w:lang w:eastAsia="en-GB"/>
        </w:rPr>
        <w:t xml:space="preserve"> </w:t>
      </w:r>
      <w:r>
        <w:rPr>
          <w:lang w:eastAsia="en-GB"/>
        </w:rPr>
        <w:t>in</w:t>
      </w:r>
      <w:r w:rsidR="00C64050">
        <w:rPr>
          <w:lang w:eastAsia="en-GB"/>
        </w:rPr>
        <w:t xml:space="preserve"> </w:t>
      </w:r>
      <w:r>
        <w:rPr>
          <w:lang w:eastAsia="en-GB"/>
        </w:rPr>
        <w:t>valuing</w:t>
      </w:r>
      <w:r w:rsidR="00C64050">
        <w:rPr>
          <w:lang w:eastAsia="en-GB"/>
        </w:rPr>
        <w:t xml:space="preserve"> </w:t>
      </w:r>
      <w:r>
        <w:rPr>
          <w:lang w:eastAsia="en-GB"/>
        </w:rPr>
        <w:t>the</w:t>
      </w:r>
      <w:r w:rsidR="00C64050">
        <w:rPr>
          <w:lang w:eastAsia="en-GB"/>
        </w:rPr>
        <w:t xml:space="preserve"> </w:t>
      </w:r>
      <w:r>
        <w:rPr>
          <w:lang w:eastAsia="en-GB"/>
        </w:rPr>
        <w:t>limited</w:t>
      </w:r>
      <w:r w:rsidR="00C64050">
        <w:rPr>
          <w:lang w:eastAsia="en-GB"/>
        </w:rPr>
        <w:t xml:space="preserve"> </w:t>
      </w:r>
      <w:r>
        <w:rPr>
          <w:lang w:eastAsia="en-GB"/>
        </w:rPr>
        <w:t>partner</w:t>
      </w:r>
      <w:r w:rsidR="00C64050">
        <w:rPr>
          <w:lang w:eastAsia="en-GB"/>
        </w:rPr>
        <w:t xml:space="preserve"> </w:t>
      </w:r>
      <w:r>
        <w:rPr>
          <w:lang w:eastAsia="en-GB"/>
        </w:rPr>
        <w:t>interest</w:t>
      </w:r>
      <w:r w:rsidR="00C64050">
        <w:rPr>
          <w:lang w:eastAsia="en-GB"/>
        </w:rPr>
        <w:t xml:space="preserve"> </w:t>
      </w:r>
      <w:r>
        <w:rPr>
          <w:lang w:eastAsia="en-GB"/>
        </w:rPr>
        <w:t>issued</w:t>
      </w:r>
      <w:r w:rsidR="00C64050">
        <w:rPr>
          <w:lang w:eastAsia="en-GB"/>
        </w:rPr>
        <w:t xml:space="preserve"> </w:t>
      </w:r>
      <w:r>
        <w:rPr>
          <w:lang w:eastAsia="en-GB"/>
        </w:rPr>
        <w:t>in</w:t>
      </w:r>
      <w:r w:rsidR="00C64050">
        <w:rPr>
          <w:lang w:eastAsia="en-GB"/>
        </w:rPr>
        <w:t xml:space="preserve"> </w:t>
      </w:r>
      <w:r>
        <w:rPr>
          <w:lang w:eastAsia="en-GB"/>
        </w:rPr>
        <w:t>exchange</w:t>
      </w:r>
      <w:r w:rsidR="00C64050">
        <w:rPr>
          <w:lang w:eastAsia="en-GB"/>
        </w:rPr>
        <w:t xml:space="preserve"> </w:t>
      </w:r>
      <w:r>
        <w:rPr>
          <w:lang w:eastAsia="en-GB"/>
        </w:rPr>
        <w:t>for</w:t>
      </w:r>
      <w:r w:rsidR="00C64050">
        <w:rPr>
          <w:lang w:eastAsia="en-GB"/>
        </w:rPr>
        <w:t xml:space="preserve"> </w:t>
      </w:r>
      <w:r>
        <w:rPr>
          <w:lang w:eastAsia="en-GB"/>
        </w:rPr>
        <w:t>those</w:t>
      </w:r>
      <w:r w:rsidR="00C64050">
        <w:rPr>
          <w:lang w:eastAsia="en-GB"/>
        </w:rPr>
        <w:t xml:space="preserve"> </w:t>
      </w:r>
      <w:r>
        <w:rPr>
          <w:lang w:eastAsia="en-GB"/>
        </w:rPr>
        <w:t>assets.</w:t>
      </w:r>
    </w:p>
    <w:p w:rsidR="00874E54" w:rsidRDefault="00874E54" w:rsidP="00874E54">
      <w:pPr>
        <w:pStyle w:val="Body15"/>
        <w:rPr>
          <w:lang w:eastAsia="en-GB"/>
        </w:rPr>
      </w:pPr>
      <w:r>
        <w:rPr>
          <w:lang w:eastAsia="en-GB"/>
        </w:rPr>
        <w:t>The</w:t>
      </w:r>
      <w:r w:rsidR="00C64050">
        <w:rPr>
          <w:lang w:eastAsia="en-GB"/>
        </w:rPr>
        <w:t xml:space="preserve"> </w:t>
      </w:r>
      <w:r>
        <w:rPr>
          <w:lang w:eastAsia="en-GB"/>
        </w:rPr>
        <w:t>Court</w:t>
      </w:r>
      <w:r w:rsidR="00C64050">
        <w:rPr>
          <w:lang w:eastAsia="en-GB"/>
        </w:rPr>
        <w:t xml:space="preserve"> </w:t>
      </w:r>
      <w:r>
        <w:rPr>
          <w:lang w:eastAsia="en-GB"/>
        </w:rPr>
        <w:t>also</w:t>
      </w:r>
      <w:r w:rsidR="00C64050">
        <w:rPr>
          <w:lang w:eastAsia="en-GB"/>
        </w:rPr>
        <w:t xml:space="preserve"> </w:t>
      </w:r>
      <w:r>
        <w:rPr>
          <w:lang w:eastAsia="en-GB"/>
        </w:rPr>
        <w:t>determined</w:t>
      </w:r>
      <w:r w:rsidR="00C64050">
        <w:rPr>
          <w:lang w:eastAsia="en-GB"/>
        </w:rPr>
        <w:t xml:space="preserve"> </w:t>
      </w:r>
      <w:r w:rsidR="003C1004">
        <w:rPr>
          <w:lang w:eastAsia="en-GB"/>
        </w:rPr>
        <w:t>that</w:t>
      </w:r>
      <w:r w:rsidR="00C64050">
        <w:rPr>
          <w:lang w:eastAsia="en-GB"/>
        </w:rPr>
        <w:t xml:space="preserve"> </w:t>
      </w:r>
      <w:r>
        <w:rPr>
          <w:lang w:eastAsia="en-GB"/>
        </w:rPr>
        <w:t>the</w:t>
      </w:r>
      <w:r w:rsidR="00C64050">
        <w:rPr>
          <w:lang w:eastAsia="en-GB"/>
        </w:rPr>
        <w:t xml:space="preserve"> </w:t>
      </w:r>
      <w:r>
        <w:rPr>
          <w:lang w:eastAsia="en-GB"/>
        </w:rPr>
        <w:t>transfer</w:t>
      </w:r>
      <w:r w:rsidR="00C64050">
        <w:rPr>
          <w:lang w:eastAsia="en-GB"/>
        </w:rPr>
        <w:t xml:space="preserve"> </w:t>
      </w:r>
      <w:r>
        <w:rPr>
          <w:lang w:eastAsia="en-GB"/>
        </w:rPr>
        <w:t>to</w:t>
      </w:r>
      <w:r w:rsidR="00C64050">
        <w:rPr>
          <w:lang w:eastAsia="en-GB"/>
        </w:rPr>
        <w:t xml:space="preserve"> </w:t>
      </w:r>
      <w:r>
        <w:rPr>
          <w:lang w:eastAsia="en-GB"/>
        </w:rPr>
        <w:t>the</w:t>
      </w:r>
      <w:r w:rsidR="00C64050">
        <w:rPr>
          <w:lang w:eastAsia="en-GB"/>
        </w:rPr>
        <w:t xml:space="preserve"> </w:t>
      </w:r>
      <w:r>
        <w:rPr>
          <w:lang w:eastAsia="en-GB"/>
        </w:rPr>
        <w:t>CLAT</w:t>
      </w:r>
      <w:r w:rsidR="00C64050">
        <w:rPr>
          <w:lang w:eastAsia="en-GB"/>
        </w:rPr>
        <w:t xml:space="preserve"> </w:t>
      </w:r>
      <w:r>
        <w:rPr>
          <w:lang w:eastAsia="en-GB"/>
        </w:rPr>
        <w:t>was</w:t>
      </w:r>
      <w:r w:rsidR="00C64050">
        <w:rPr>
          <w:lang w:eastAsia="en-GB"/>
        </w:rPr>
        <w:t xml:space="preserve"> </w:t>
      </w:r>
      <w:r>
        <w:rPr>
          <w:lang w:eastAsia="en-GB"/>
        </w:rPr>
        <w:t>invalid</w:t>
      </w:r>
      <w:r w:rsidR="00C64050">
        <w:rPr>
          <w:lang w:eastAsia="en-GB"/>
        </w:rPr>
        <w:t xml:space="preserve"> </w:t>
      </w:r>
      <w:r>
        <w:rPr>
          <w:lang w:eastAsia="en-GB"/>
        </w:rPr>
        <w:t>under</w:t>
      </w:r>
      <w:r w:rsidR="00C64050">
        <w:rPr>
          <w:lang w:eastAsia="en-GB"/>
        </w:rPr>
        <w:t xml:space="preserve"> </w:t>
      </w:r>
      <w:r>
        <w:rPr>
          <w:lang w:eastAsia="en-GB"/>
        </w:rPr>
        <w:t>applicable</w:t>
      </w:r>
      <w:r w:rsidR="00C64050">
        <w:rPr>
          <w:lang w:eastAsia="en-GB"/>
        </w:rPr>
        <w:t xml:space="preserve"> </w:t>
      </w:r>
      <w:r>
        <w:rPr>
          <w:lang w:eastAsia="en-GB"/>
        </w:rPr>
        <w:t>state</w:t>
      </w:r>
      <w:r w:rsidR="00C64050">
        <w:rPr>
          <w:lang w:eastAsia="en-GB"/>
        </w:rPr>
        <w:t xml:space="preserve"> </w:t>
      </w:r>
      <w:r>
        <w:rPr>
          <w:lang w:eastAsia="en-GB"/>
        </w:rPr>
        <w:t>law</w:t>
      </w:r>
      <w:r w:rsidR="00C64050">
        <w:rPr>
          <w:lang w:eastAsia="en-GB"/>
        </w:rPr>
        <w:t xml:space="preserve"> </w:t>
      </w:r>
      <w:r>
        <w:rPr>
          <w:lang w:eastAsia="en-GB"/>
        </w:rPr>
        <w:t>–</w:t>
      </w:r>
      <w:r w:rsidR="00C64050">
        <w:rPr>
          <w:lang w:eastAsia="en-GB"/>
        </w:rPr>
        <w:t xml:space="preserve"> </w:t>
      </w:r>
      <w:r>
        <w:rPr>
          <w:lang w:eastAsia="en-GB"/>
        </w:rPr>
        <w:t>California</w:t>
      </w:r>
      <w:r w:rsidR="00C64050">
        <w:rPr>
          <w:lang w:eastAsia="en-GB"/>
        </w:rPr>
        <w:t xml:space="preserve"> </w:t>
      </w:r>
      <w:r>
        <w:rPr>
          <w:lang w:eastAsia="en-GB"/>
        </w:rPr>
        <w:t>–</w:t>
      </w:r>
      <w:r w:rsidR="00C64050">
        <w:rPr>
          <w:lang w:eastAsia="en-GB"/>
        </w:rPr>
        <w:t xml:space="preserve"> </w:t>
      </w:r>
      <w:r>
        <w:rPr>
          <w:lang w:eastAsia="en-GB"/>
        </w:rPr>
        <w:t>because</w:t>
      </w:r>
      <w:r w:rsidR="00C64050">
        <w:rPr>
          <w:lang w:eastAsia="en-GB"/>
        </w:rPr>
        <w:t xml:space="preserve"> </w:t>
      </w:r>
      <w:r>
        <w:rPr>
          <w:lang w:eastAsia="en-GB"/>
        </w:rPr>
        <w:t>the</w:t>
      </w:r>
      <w:r w:rsidR="00C64050">
        <w:rPr>
          <w:lang w:eastAsia="en-GB"/>
        </w:rPr>
        <w:t xml:space="preserve"> </w:t>
      </w:r>
      <w:r>
        <w:rPr>
          <w:lang w:eastAsia="en-GB"/>
        </w:rPr>
        <w:t>power</w:t>
      </w:r>
      <w:r w:rsidR="00C64050">
        <w:rPr>
          <w:lang w:eastAsia="en-GB"/>
        </w:rPr>
        <w:t xml:space="preserve"> </w:t>
      </w:r>
      <w:r>
        <w:rPr>
          <w:lang w:eastAsia="en-GB"/>
        </w:rPr>
        <w:t>of</w:t>
      </w:r>
      <w:r w:rsidR="00C64050">
        <w:rPr>
          <w:lang w:eastAsia="en-GB"/>
        </w:rPr>
        <w:t xml:space="preserve"> </w:t>
      </w:r>
      <w:r>
        <w:rPr>
          <w:lang w:eastAsia="en-GB"/>
        </w:rPr>
        <w:t>attorney</w:t>
      </w:r>
      <w:r w:rsidR="00C64050">
        <w:rPr>
          <w:lang w:eastAsia="en-GB"/>
        </w:rPr>
        <w:t xml:space="preserve"> </w:t>
      </w:r>
      <w:r>
        <w:rPr>
          <w:lang w:eastAsia="en-GB"/>
        </w:rPr>
        <w:t>did</w:t>
      </w:r>
      <w:r w:rsidR="00C64050">
        <w:rPr>
          <w:lang w:eastAsia="en-GB"/>
        </w:rPr>
        <w:t xml:space="preserve"> </w:t>
      </w:r>
      <w:r>
        <w:rPr>
          <w:lang w:eastAsia="en-GB"/>
        </w:rPr>
        <w:t>not</w:t>
      </w:r>
      <w:r w:rsidR="00C64050">
        <w:rPr>
          <w:lang w:eastAsia="en-GB"/>
        </w:rPr>
        <w:t xml:space="preserve"> </w:t>
      </w:r>
      <w:r>
        <w:rPr>
          <w:lang w:eastAsia="en-GB"/>
        </w:rPr>
        <w:t>specifically</w:t>
      </w:r>
      <w:r w:rsidR="00C64050">
        <w:rPr>
          <w:lang w:eastAsia="en-GB"/>
        </w:rPr>
        <w:t xml:space="preserve"> </w:t>
      </w:r>
      <w:r w:rsidR="00ED6CEE">
        <w:rPr>
          <w:lang w:eastAsia="en-GB"/>
        </w:rPr>
        <w:t>authorize</w:t>
      </w:r>
      <w:r w:rsidR="00C64050">
        <w:rPr>
          <w:lang w:eastAsia="en-GB"/>
        </w:rPr>
        <w:t xml:space="preserve"> </w:t>
      </w:r>
      <w:r w:rsidR="00ED6CEE">
        <w:rPr>
          <w:lang w:eastAsia="en-GB"/>
        </w:rPr>
        <w:t>gifts</w:t>
      </w:r>
      <w:r w:rsidR="00C64050">
        <w:rPr>
          <w:lang w:eastAsia="en-GB"/>
        </w:rPr>
        <w:t xml:space="preserve"> </w:t>
      </w:r>
      <w:r w:rsidR="00ED6CEE">
        <w:rPr>
          <w:lang w:eastAsia="en-GB"/>
        </w:rPr>
        <w:t>(beyond</w:t>
      </w:r>
      <w:r w:rsidR="00C64050">
        <w:rPr>
          <w:lang w:eastAsia="en-GB"/>
        </w:rPr>
        <w:t xml:space="preserve"> </w:t>
      </w:r>
      <w:r w:rsidR="00ED6CEE">
        <w:rPr>
          <w:lang w:eastAsia="en-GB"/>
        </w:rPr>
        <w:t>the</w:t>
      </w:r>
      <w:r w:rsidR="00C64050">
        <w:rPr>
          <w:lang w:eastAsia="en-GB"/>
        </w:rPr>
        <w:t xml:space="preserve"> </w:t>
      </w:r>
      <w:r w:rsidR="00ED6CEE">
        <w:rPr>
          <w:lang w:eastAsia="en-GB"/>
        </w:rPr>
        <w:t>annual</w:t>
      </w:r>
      <w:r w:rsidR="00C64050">
        <w:rPr>
          <w:lang w:eastAsia="en-GB"/>
        </w:rPr>
        <w:t xml:space="preserve"> </w:t>
      </w:r>
      <w:r w:rsidR="00ED6CEE">
        <w:rPr>
          <w:lang w:eastAsia="en-GB"/>
        </w:rPr>
        <w:t>exclusion)</w:t>
      </w:r>
      <w:r w:rsidR="00C64050">
        <w:rPr>
          <w:lang w:eastAsia="en-GB"/>
        </w:rPr>
        <w:t xml:space="preserve"> </w:t>
      </w:r>
      <w:r w:rsidR="00ED6CEE">
        <w:rPr>
          <w:lang w:eastAsia="en-GB"/>
        </w:rPr>
        <w:t>which</w:t>
      </w:r>
      <w:r w:rsidR="00C64050">
        <w:rPr>
          <w:lang w:eastAsia="en-GB"/>
        </w:rPr>
        <w:t xml:space="preserve"> </w:t>
      </w:r>
      <w:r w:rsidR="00ED6CEE">
        <w:rPr>
          <w:lang w:eastAsia="en-GB"/>
        </w:rPr>
        <w:t>is</w:t>
      </w:r>
      <w:r w:rsidR="00C64050">
        <w:rPr>
          <w:lang w:eastAsia="en-GB"/>
        </w:rPr>
        <w:t xml:space="preserve"> </w:t>
      </w:r>
      <w:r w:rsidR="00ED6CEE">
        <w:rPr>
          <w:lang w:eastAsia="en-GB"/>
        </w:rPr>
        <w:t>required</w:t>
      </w:r>
      <w:r w:rsidR="00C64050">
        <w:rPr>
          <w:lang w:eastAsia="en-GB"/>
        </w:rPr>
        <w:t xml:space="preserve"> </w:t>
      </w:r>
      <w:r w:rsidR="00ED6CEE">
        <w:rPr>
          <w:lang w:eastAsia="en-GB"/>
        </w:rPr>
        <w:t>in</w:t>
      </w:r>
      <w:r w:rsidR="00C64050">
        <w:rPr>
          <w:lang w:eastAsia="en-GB"/>
        </w:rPr>
        <w:t xml:space="preserve"> </w:t>
      </w:r>
      <w:r w:rsidR="00ED6CEE">
        <w:rPr>
          <w:lang w:eastAsia="en-GB"/>
        </w:rPr>
        <w:t>California</w:t>
      </w:r>
      <w:r w:rsidR="00C64050">
        <w:rPr>
          <w:lang w:eastAsia="en-GB"/>
        </w:rPr>
        <w:t xml:space="preserve"> </w:t>
      </w:r>
      <w:r w:rsidR="00ED6CEE">
        <w:rPr>
          <w:lang w:eastAsia="en-GB"/>
        </w:rPr>
        <w:t>to</w:t>
      </w:r>
      <w:r w:rsidR="00C64050">
        <w:rPr>
          <w:lang w:eastAsia="en-GB"/>
        </w:rPr>
        <w:t xml:space="preserve"> </w:t>
      </w:r>
      <w:r w:rsidR="00ED6CEE">
        <w:rPr>
          <w:lang w:eastAsia="en-GB"/>
        </w:rPr>
        <w:t>confer</w:t>
      </w:r>
      <w:r w:rsidR="00C64050">
        <w:rPr>
          <w:lang w:eastAsia="en-GB"/>
        </w:rPr>
        <w:t xml:space="preserve"> </w:t>
      </w:r>
      <w:r w:rsidR="00ED6CEE">
        <w:rPr>
          <w:lang w:eastAsia="en-GB"/>
        </w:rPr>
        <w:t>a</w:t>
      </w:r>
      <w:r w:rsidR="00C64050">
        <w:rPr>
          <w:lang w:eastAsia="en-GB"/>
        </w:rPr>
        <w:t xml:space="preserve"> </w:t>
      </w:r>
      <w:r w:rsidR="00ED6CEE">
        <w:rPr>
          <w:lang w:eastAsia="en-GB"/>
        </w:rPr>
        <w:t>broad</w:t>
      </w:r>
      <w:r w:rsidR="00C64050">
        <w:rPr>
          <w:lang w:eastAsia="en-GB"/>
        </w:rPr>
        <w:t xml:space="preserve"> </w:t>
      </w:r>
      <w:r w:rsidR="00ED6CEE">
        <w:rPr>
          <w:lang w:eastAsia="en-GB"/>
        </w:rPr>
        <w:t>gift</w:t>
      </w:r>
      <w:r w:rsidR="00C64050">
        <w:rPr>
          <w:lang w:eastAsia="en-GB"/>
        </w:rPr>
        <w:t xml:space="preserve"> </w:t>
      </w:r>
      <w:r w:rsidR="00ED6CEE">
        <w:rPr>
          <w:lang w:eastAsia="en-GB"/>
        </w:rPr>
        <w:t>power.</w:t>
      </w:r>
      <w:r w:rsidR="00C64050">
        <w:rPr>
          <w:lang w:eastAsia="en-GB"/>
        </w:rPr>
        <w:t xml:space="preserve">  </w:t>
      </w:r>
      <w:r w:rsidR="00ED6CEE">
        <w:rPr>
          <w:lang w:eastAsia="en-GB"/>
        </w:rPr>
        <w:t>Thus</w:t>
      </w:r>
      <w:r w:rsidR="00C64050">
        <w:rPr>
          <w:lang w:eastAsia="en-GB"/>
        </w:rPr>
        <w:t xml:space="preserve"> </w:t>
      </w:r>
      <w:r w:rsidR="00ED6CEE">
        <w:rPr>
          <w:lang w:eastAsia="en-GB"/>
        </w:rPr>
        <w:t>the</w:t>
      </w:r>
      <w:r w:rsidR="00C64050">
        <w:rPr>
          <w:lang w:eastAsia="en-GB"/>
        </w:rPr>
        <w:t xml:space="preserve"> </w:t>
      </w:r>
      <w:r w:rsidR="00ED6CEE">
        <w:rPr>
          <w:lang w:eastAsia="en-GB"/>
        </w:rPr>
        <w:t>NHP</w:t>
      </w:r>
      <w:r w:rsidR="00C64050">
        <w:rPr>
          <w:lang w:eastAsia="en-GB"/>
        </w:rPr>
        <w:t xml:space="preserve"> </w:t>
      </w:r>
      <w:r w:rsidR="00ED6CEE">
        <w:rPr>
          <w:lang w:eastAsia="en-GB"/>
        </w:rPr>
        <w:t>units</w:t>
      </w:r>
      <w:r w:rsidR="00C64050">
        <w:rPr>
          <w:lang w:eastAsia="en-GB"/>
        </w:rPr>
        <w:t xml:space="preserve"> </w:t>
      </w:r>
      <w:r w:rsidR="00ED6CEE">
        <w:rPr>
          <w:lang w:eastAsia="en-GB"/>
        </w:rPr>
        <w:t>were</w:t>
      </w:r>
      <w:r w:rsidR="00C64050">
        <w:rPr>
          <w:lang w:eastAsia="en-GB"/>
        </w:rPr>
        <w:t xml:space="preserve"> </w:t>
      </w:r>
      <w:r w:rsidR="00ED6CEE">
        <w:rPr>
          <w:lang w:eastAsia="en-GB"/>
        </w:rPr>
        <w:t>also</w:t>
      </w:r>
      <w:r w:rsidR="00C64050">
        <w:rPr>
          <w:lang w:eastAsia="en-GB"/>
        </w:rPr>
        <w:t xml:space="preserve"> </w:t>
      </w:r>
      <w:r w:rsidR="00ED6CEE">
        <w:rPr>
          <w:lang w:eastAsia="en-GB"/>
        </w:rPr>
        <w:t>included</w:t>
      </w:r>
      <w:r w:rsidR="00C64050">
        <w:rPr>
          <w:lang w:eastAsia="en-GB"/>
        </w:rPr>
        <w:t xml:space="preserve"> </w:t>
      </w:r>
      <w:r w:rsidR="00ED6CEE">
        <w:rPr>
          <w:lang w:eastAsia="en-GB"/>
        </w:rPr>
        <w:t>in</w:t>
      </w:r>
      <w:r w:rsidR="00C64050">
        <w:rPr>
          <w:lang w:eastAsia="en-GB"/>
        </w:rPr>
        <w:t xml:space="preserve"> </w:t>
      </w:r>
      <w:r w:rsidR="00ED6CEE">
        <w:rPr>
          <w:lang w:eastAsia="en-GB"/>
        </w:rPr>
        <w:t>the</w:t>
      </w:r>
      <w:r w:rsidR="00C64050">
        <w:rPr>
          <w:lang w:eastAsia="en-GB"/>
        </w:rPr>
        <w:t xml:space="preserve"> </w:t>
      </w:r>
      <w:r w:rsidR="00ED6CEE">
        <w:rPr>
          <w:lang w:eastAsia="en-GB"/>
        </w:rPr>
        <w:t>decedent’s</w:t>
      </w:r>
      <w:r w:rsidR="00C64050">
        <w:rPr>
          <w:lang w:eastAsia="en-GB"/>
        </w:rPr>
        <w:t xml:space="preserve"> </w:t>
      </w:r>
      <w:r w:rsidR="00ED6CEE">
        <w:rPr>
          <w:lang w:eastAsia="en-GB"/>
        </w:rPr>
        <w:t>estate.</w:t>
      </w:r>
    </w:p>
    <w:p w:rsidR="00ED6CEE" w:rsidRDefault="00BF3445" w:rsidP="00874E54">
      <w:pPr>
        <w:pStyle w:val="Body15"/>
        <w:rPr>
          <w:lang w:eastAsia="en-GB"/>
        </w:rPr>
      </w:pPr>
      <w:r>
        <w:rPr>
          <w:lang w:eastAsia="en-GB"/>
        </w:rPr>
        <w:t>Concurring</w:t>
      </w:r>
      <w:r w:rsidR="00C64050">
        <w:rPr>
          <w:lang w:eastAsia="en-GB"/>
        </w:rPr>
        <w:t xml:space="preserve"> </w:t>
      </w:r>
      <w:r w:rsidR="003C1004">
        <w:rPr>
          <w:lang w:eastAsia="en-GB"/>
        </w:rPr>
        <w:t>that</w:t>
      </w:r>
      <w:r w:rsidR="00C64050">
        <w:rPr>
          <w:lang w:eastAsia="en-GB"/>
        </w:rPr>
        <w:t xml:space="preserve"> </w:t>
      </w:r>
      <w:r w:rsidR="003C1004">
        <w:rPr>
          <w:lang w:eastAsia="en-GB"/>
        </w:rPr>
        <w:t>there</w:t>
      </w:r>
      <w:r w:rsidR="00C64050">
        <w:rPr>
          <w:lang w:eastAsia="en-GB"/>
        </w:rPr>
        <w:t xml:space="preserve"> </w:t>
      </w:r>
      <w:r>
        <w:rPr>
          <w:lang w:eastAsia="en-GB"/>
        </w:rPr>
        <w:t>was</w:t>
      </w:r>
      <w:r w:rsidR="00C64050">
        <w:rPr>
          <w:lang w:eastAsia="en-GB"/>
        </w:rPr>
        <w:t xml:space="preserve"> </w:t>
      </w:r>
      <w:r>
        <w:rPr>
          <w:lang w:eastAsia="en-GB"/>
        </w:rPr>
        <w:t>no</w:t>
      </w:r>
      <w:r w:rsidR="00C64050">
        <w:rPr>
          <w:lang w:eastAsia="en-GB"/>
        </w:rPr>
        <w:t xml:space="preserve"> </w:t>
      </w:r>
      <w:r>
        <w:rPr>
          <w:lang w:eastAsia="en-GB"/>
        </w:rPr>
        <w:t>double</w:t>
      </w:r>
      <w:r w:rsidR="00C64050">
        <w:rPr>
          <w:lang w:eastAsia="en-GB"/>
        </w:rPr>
        <w:t xml:space="preserve"> </w:t>
      </w:r>
      <w:r>
        <w:rPr>
          <w:lang w:eastAsia="en-GB"/>
        </w:rPr>
        <w:t>inclusion</w:t>
      </w:r>
      <w:r w:rsidR="00C64050">
        <w:rPr>
          <w:lang w:eastAsia="en-GB"/>
        </w:rPr>
        <w:t xml:space="preserve"> </w:t>
      </w:r>
      <w:r>
        <w:rPr>
          <w:lang w:eastAsia="en-GB"/>
        </w:rPr>
        <w:t>led</w:t>
      </w:r>
      <w:r w:rsidR="00C64050">
        <w:rPr>
          <w:lang w:eastAsia="en-GB"/>
        </w:rPr>
        <w:t xml:space="preserve"> </w:t>
      </w:r>
      <w:r>
        <w:rPr>
          <w:lang w:eastAsia="en-GB"/>
        </w:rPr>
        <w:t>the</w:t>
      </w:r>
      <w:r w:rsidR="00C64050">
        <w:rPr>
          <w:lang w:eastAsia="en-GB"/>
        </w:rPr>
        <w:t xml:space="preserve"> </w:t>
      </w:r>
      <w:r>
        <w:rPr>
          <w:lang w:eastAsia="en-GB"/>
        </w:rPr>
        <w:t>majority</w:t>
      </w:r>
      <w:r w:rsidR="00C64050">
        <w:rPr>
          <w:lang w:eastAsia="en-GB"/>
        </w:rPr>
        <w:t xml:space="preserve"> </w:t>
      </w:r>
      <w:r>
        <w:rPr>
          <w:lang w:eastAsia="en-GB"/>
        </w:rPr>
        <w:t>to</w:t>
      </w:r>
      <w:r w:rsidR="00C64050">
        <w:rPr>
          <w:lang w:eastAsia="en-GB"/>
        </w:rPr>
        <w:t xml:space="preserve"> </w:t>
      </w:r>
      <w:r>
        <w:rPr>
          <w:lang w:eastAsia="en-GB"/>
        </w:rPr>
        <w:t>expound</w:t>
      </w:r>
      <w:r w:rsidR="00C64050">
        <w:rPr>
          <w:lang w:eastAsia="en-GB"/>
        </w:rPr>
        <w:t xml:space="preserve"> </w:t>
      </w:r>
      <w:r>
        <w:rPr>
          <w:lang w:eastAsia="en-GB"/>
        </w:rPr>
        <w:t>upon</w:t>
      </w:r>
      <w:r w:rsidR="00C64050">
        <w:rPr>
          <w:lang w:eastAsia="en-GB"/>
        </w:rPr>
        <w:t xml:space="preserve"> </w:t>
      </w:r>
      <w:r>
        <w:rPr>
          <w:lang w:eastAsia="en-GB"/>
        </w:rPr>
        <w:t>section</w:t>
      </w:r>
      <w:r w:rsidR="00C64050">
        <w:rPr>
          <w:lang w:eastAsia="en-GB"/>
        </w:rPr>
        <w:t xml:space="preserve"> </w:t>
      </w:r>
      <w:r>
        <w:rPr>
          <w:lang w:eastAsia="en-GB"/>
        </w:rPr>
        <w:t>2043</w:t>
      </w:r>
      <w:r w:rsidR="00C64050">
        <w:rPr>
          <w:lang w:eastAsia="en-GB"/>
        </w:rPr>
        <w:t xml:space="preserve"> </w:t>
      </w:r>
      <w:r>
        <w:rPr>
          <w:lang w:eastAsia="en-GB"/>
        </w:rPr>
        <w:t>with</w:t>
      </w:r>
      <w:r w:rsidR="00C64050">
        <w:rPr>
          <w:lang w:eastAsia="en-GB"/>
        </w:rPr>
        <w:t xml:space="preserve"> </w:t>
      </w:r>
      <w:r>
        <w:rPr>
          <w:lang w:eastAsia="en-GB"/>
        </w:rPr>
        <w:t>the</w:t>
      </w:r>
      <w:r w:rsidR="00C64050">
        <w:rPr>
          <w:lang w:eastAsia="en-GB"/>
        </w:rPr>
        <w:t xml:space="preserve"> </w:t>
      </w:r>
      <w:r>
        <w:rPr>
          <w:lang w:eastAsia="en-GB"/>
        </w:rPr>
        <w:t>minority</w:t>
      </w:r>
      <w:r w:rsidR="00C64050">
        <w:rPr>
          <w:lang w:eastAsia="en-GB"/>
        </w:rPr>
        <w:t xml:space="preserve"> </w:t>
      </w:r>
      <w:r>
        <w:rPr>
          <w:lang w:eastAsia="en-GB"/>
        </w:rPr>
        <w:t>writing</w:t>
      </w:r>
      <w:r w:rsidR="00C64050">
        <w:rPr>
          <w:lang w:eastAsia="en-GB"/>
        </w:rPr>
        <w:t xml:space="preserve"> </w:t>
      </w:r>
      <w:r>
        <w:rPr>
          <w:lang w:eastAsia="en-GB"/>
        </w:rPr>
        <w:t>that</w:t>
      </w:r>
      <w:r w:rsidR="00C64050">
        <w:rPr>
          <w:lang w:eastAsia="en-GB"/>
        </w:rPr>
        <w:t xml:space="preserve"> </w:t>
      </w:r>
      <w:r>
        <w:rPr>
          <w:lang w:eastAsia="en-GB"/>
        </w:rPr>
        <w:t>the</w:t>
      </w:r>
      <w:r w:rsidR="00C64050">
        <w:rPr>
          <w:lang w:eastAsia="en-GB"/>
        </w:rPr>
        <w:t xml:space="preserve"> </w:t>
      </w:r>
      <w:r>
        <w:rPr>
          <w:lang w:eastAsia="en-GB"/>
        </w:rPr>
        <w:t>court</w:t>
      </w:r>
      <w:r w:rsidR="00C64050">
        <w:rPr>
          <w:lang w:eastAsia="en-GB"/>
        </w:rPr>
        <w:t xml:space="preserve"> </w:t>
      </w:r>
      <w:r>
        <w:rPr>
          <w:lang w:eastAsia="en-GB"/>
        </w:rPr>
        <w:t>should</w:t>
      </w:r>
      <w:r w:rsidR="00C64050">
        <w:rPr>
          <w:lang w:eastAsia="en-GB"/>
        </w:rPr>
        <w:t xml:space="preserve"> </w:t>
      </w:r>
      <w:r>
        <w:rPr>
          <w:lang w:eastAsia="en-GB"/>
        </w:rPr>
        <w:t>have</w:t>
      </w:r>
      <w:r w:rsidR="00C64050">
        <w:rPr>
          <w:lang w:eastAsia="en-GB"/>
        </w:rPr>
        <w:t xml:space="preserve"> </w:t>
      </w:r>
      <w:r>
        <w:rPr>
          <w:lang w:eastAsia="en-GB"/>
        </w:rPr>
        <w:t>applied</w:t>
      </w:r>
      <w:r w:rsidR="00C64050">
        <w:rPr>
          <w:lang w:eastAsia="en-GB"/>
        </w:rPr>
        <w:t xml:space="preserve"> </w:t>
      </w:r>
      <w:r>
        <w:rPr>
          <w:lang w:eastAsia="en-GB"/>
        </w:rPr>
        <w:t>a</w:t>
      </w:r>
      <w:r w:rsidR="00C64050">
        <w:rPr>
          <w:lang w:eastAsia="en-GB"/>
        </w:rPr>
        <w:t xml:space="preserve"> </w:t>
      </w:r>
      <w:r>
        <w:rPr>
          <w:lang w:eastAsia="en-GB"/>
        </w:rPr>
        <w:t>simple</w:t>
      </w:r>
      <w:r w:rsidR="00C64050">
        <w:rPr>
          <w:lang w:eastAsia="en-GB"/>
        </w:rPr>
        <w:t xml:space="preserve"> </w:t>
      </w:r>
      <w:r>
        <w:rPr>
          <w:lang w:eastAsia="en-GB"/>
        </w:rPr>
        <w:t>“recycling</w:t>
      </w:r>
      <w:r w:rsidR="00C64050">
        <w:rPr>
          <w:lang w:eastAsia="en-GB"/>
        </w:rPr>
        <w:t xml:space="preserve"> </w:t>
      </w:r>
      <w:r>
        <w:rPr>
          <w:lang w:eastAsia="en-GB"/>
        </w:rPr>
        <w:t>of</w:t>
      </w:r>
      <w:r w:rsidR="00C64050">
        <w:rPr>
          <w:lang w:eastAsia="en-GB"/>
        </w:rPr>
        <w:t xml:space="preserve"> </w:t>
      </w:r>
      <w:r>
        <w:rPr>
          <w:lang w:eastAsia="en-GB"/>
        </w:rPr>
        <w:t>value”</w:t>
      </w:r>
      <w:r w:rsidR="00C64050">
        <w:rPr>
          <w:lang w:eastAsia="en-GB"/>
        </w:rPr>
        <w:t xml:space="preserve"> </w:t>
      </w:r>
      <w:r>
        <w:rPr>
          <w:lang w:eastAsia="en-GB"/>
        </w:rPr>
        <w:t>theory.</w:t>
      </w:r>
      <w:r w:rsidR="00C64050">
        <w:rPr>
          <w:lang w:eastAsia="en-GB"/>
        </w:rPr>
        <w:t xml:space="preserve">  </w:t>
      </w:r>
      <w:r>
        <w:rPr>
          <w:lang w:eastAsia="en-GB"/>
        </w:rPr>
        <w:t>The</w:t>
      </w:r>
      <w:r w:rsidR="00C64050">
        <w:rPr>
          <w:lang w:eastAsia="en-GB"/>
        </w:rPr>
        <w:t xml:space="preserve"> </w:t>
      </w:r>
      <w:r>
        <w:rPr>
          <w:lang w:eastAsia="en-GB"/>
        </w:rPr>
        <w:t>concurring</w:t>
      </w:r>
      <w:r w:rsidR="00C64050">
        <w:rPr>
          <w:lang w:eastAsia="en-GB"/>
        </w:rPr>
        <w:t xml:space="preserve"> </w:t>
      </w:r>
      <w:r>
        <w:rPr>
          <w:lang w:eastAsia="en-GB"/>
        </w:rPr>
        <w:t>opinion</w:t>
      </w:r>
      <w:r w:rsidR="00C64050">
        <w:rPr>
          <w:lang w:eastAsia="en-GB"/>
        </w:rPr>
        <w:t xml:space="preserve"> </w:t>
      </w:r>
      <w:r>
        <w:rPr>
          <w:lang w:eastAsia="en-GB"/>
        </w:rPr>
        <w:t>states:</w:t>
      </w:r>
    </w:p>
    <w:p w:rsidR="003C1004" w:rsidRPr="003C1004" w:rsidRDefault="003C1004" w:rsidP="003C1004">
      <w:pPr>
        <w:pStyle w:val="QS10"/>
        <w:rPr>
          <w:color w:val="000000" w:themeColor="text1"/>
        </w:rPr>
      </w:pPr>
      <w:r w:rsidRPr="003C1004">
        <w:rPr>
          <w:color w:val="000000" w:themeColor="text1"/>
        </w:rPr>
        <w:t>The</w:t>
      </w:r>
      <w:r w:rsidR="00C64050">
        <w:rPr>
          <w:color w:val="000000" w:themeColor="text1"/>
        </w:rPr>
        <w:t xml:space="preserve"> </w:t>
      </w:r>
      <w:r w:rsidRPr="003C1004">
        <w:rPr>
          <w:color w:val="000000" w:themeColor="text1"/>
        </w:rPr>
        <w:t>Court</w:t>
      </w:r>
      <w:r w:rsidR="00C64050">
        <w:rPr>
          <w:color w:val="000000" w:themeColor="text1"/>
        </w:rPr>
        <w:t xml:space="preserve"> </w:t>
      </w:r>
      <w:r w:rsidRPr="003C1004">
        <w:rPr>
          <w:color w:val="000000" w:themeColor="text1"/>
        </w:rPr>
        <w:t>correctly</w:t>
      </w:r>
      <w:r w:rsidR="00C64050">
        <w:rPr>
          <w:color w:val="000000" w:themeColor="text1"/>
        </w:rPr>
        <w:t xml:space="preserve"> </w:t>
      </w:r>
      <w:r w:rsidRPr="003C1004">
        <w:rPr>
          <w:color w:val="000000" w:themeColor="text1"/>
        </w:rPr>
        <w:t>concludes</w:t>
      </w:r>
      <w:r w:rsidR="00C64050">
        <w:rPr>
          <w:color w:val="000000" w:themeColor="text1"/>
        </w:rPr>
        <w:t xml:space="preserve"> </w:t>
      </w:r>
      <w:r w:rsidRPr="003C1004">
        <w:rPr>
          <w:color w:val="000000" w:themeColor="text1"/>
        </w:rPr>
        <w:t>that</w:t>
      </w:r>
      <w:r w:rsidR="00C64050">
        <w:rPr>
          <w:color w:val="000000" w:themeColor="text1"/>
        </w:rPr>
        <w:t xml:space="preserve"> </w:t>
      </w:r>
      <w:r w:rsidRPr="003C1004">
        <w:rPr>
          <w:color w:val="000000" w:themeColor="text1"/>
        </w:rPr>
        <w:t>section</w:t>
      </w:r>
      <w:r w:rsidR="00C64050">
        <w:rPr>
          <w:color w:val="000000" w:themeColor="text1"/>
        </w:rPr>
        <w:t xml:space="preserve"> </w:t>
      </w:r>
      <w:r w:rsidRPr="003C1004">
        <w:rPr>
          <w:color w:val="000000" w:themeColor="text1"/>
        </w:rPr>
        <w:t>2036(a)(2)</w:t>
      </w:r>
      <w:r w:rsidR="00C64050">
        <w:rPr>
          <w:color w:val="000000" w:themeColor="text1"/>
        </w:rPr>
        <w:t xml:space="preserve"> </w:t>
      </w:r>
      <w:r w:rsidRPr="003C1004">
        <w:rPr>
          <w:color w:val="000000" w:themeColor="text1"/>
        </w:rPr>
        <w:t>applies</w:t>
      </w:r>
      <w:r w:rsidR="00C64050">
        <w:rPr>
          <w:color w:val="000000" w:themeColor="text1"/>
        </w:rPr>
        <w:t xml:space="preserve"> </w:t>
      </w:r>
      <w:r w:rsidRPr="003C1004">
        <w:rPr>
          <w:color w:val="000000" w:themeColor="text1"/>
        </w:rPr>
        <w:t>here.</w:t>
      </w:r>
      <w:r w:rsidR="00C64050">
        <w:rPr>
          <w:color w:val="000000" w:themeColor="text1"/>
        </w:rPr>
        <w:t xml:space="preserve"> </w:t>
      </w:r>
      <w:r w:rsidRPr="003C1004">
        <w:rPr>
          <w:color w:val="000000" w:themeColor="text1"/>
          <w:u w:val="single"/>
        </w:rPr>
        <w:t>See</w:t>
      </w:r>
      <w:r w:rsidR="00C64050">
        <w:rPr>
          <w:color w:val="000000" w:themeColor="text1"/>
        </w:rPr>
        <w:t xml:space="preserve"> </w:t>
      </w:r>
      <w:r w:rsidRPr="003C1004">
        <w:rPr>
          <w:color w:val="000000" w:themeColor="text1"/>
        </w:rPr>
        <w:t>op.</w:t>
      </w:r>
      <w:r w:rsidR="00C64050">
        <w:rPr>
          <w:color w:val="000000" w:themeColor="text1"/>
        </w:rPr>
        <w:t xml:space="preserve"> </w:t>
      </w:r>
      <w:r w:rsidRPr="003C1004">
        <w:rPr>
          <w:color w:val="000000" w:themeColor="text1"/>
        </w:rPr>
        <w:t>Ct.</w:t>
      </w:r>
      <w:r w:rsidR="00C64050">
        <w:rPr>
          <w:color w:val="000000" w:themeColor="text1"/>
        </w:rPr>
        <w:t xml:space="preserve"> </w:t>
      </w:r>
      <w:r w:rsidRPr="003C1004">
        <w:rPr>
          <w:color w:val="000000" w:themeColor="text1"/>
        </w:rPr>
        <w:t>pp.</w:t>
      </w:r>
      <w:r w:rsidR="00C64050">
        <w:rPr>
          <w:color w:val="000000" w:themeColor="text1"/>
        </w:rPr>
        <w:t xml:space="preserve"> </w:t>
      </w:r>
      <w:r w:rsidRPr="003C1004">
        <w:rPr>
          <w:color w:val="000000" w:themeColor="text1"/>
        </w:rPr>
        <w:t>14–21</w:t>
      </w:r>
      <w:r w:rsidR="00C64050">
        <w:rPr>
          <w:color w:val="000000" w:themeColor="text1"/>
        </w:rPr>
        <w:t xml:space="preserve"> </w:t>
      </w:r>
      <w:r w:rsidRPr="003C1004">
        <w:rPr>
          <w:color w:val="000000" w:themeColor="text1"/>
        </w:rPr>
        <w:t>(relying</w:t>
      </w:r>
      <w:r w:rsidR="00C64050">
        <w:rPr>
          <w:color w:val="000000" w:themeColor="text1"/>
        </w:rPr>
        <w:t xml:space="preserve"> </w:t>
      </w:r>
      <w:r w:rsidRPr="003C1004">
        <w:rPr>
          <w:color w:val="000000" w:themeColor="text1"/>
        </w:rPr>
        <w:t>on</w:t>
      </w:r>
      <w:r w:rsidR="00C64050">
        <w:rPr>
          <w:color w:val="000000" w:themeColor="text1"/>
        </w:rPr>
        <w:t xml:space="preserve"> </w:t>
      </w:r>
      <w:r w:rsidRPr="003C1004">
        <w:rPr>
          <w:color w:val="000000" w:themeColor="text1"/>
          <w:u w:val="single"/>
        </w:rPr>
        <w:t>Estate</w:t>
      </w:r>
      <w:r w:rsidR="00C64050">
        <w:rPr>
          <w:color w:val="000000" w:themeColor="text1"/>
          <w:u w:val="single"/>
        </w:rPr>
        <w:t xml:space="preserve"> </w:t>
      </w:r>
      <w:r w:rsidRPr="003C1004">
        <w:rPr>
          <w:color w:val="000000" w:themeColor="text1"/>
          <w:u w:val="single"/>
        </w:rPr>
        <w:t>of</w:t>
      </w:r>
      <w:r w:rsidR="00C64050">
        <w:rPr>
          <w:color w:val="000000" w:themeColor="text1"/>
          <w:u w:val="single"/>
        </w:rPr>
        <w:t xml:space="preserve"> </w:t>
      </w:r>
      <w:r w:rsidRPr="003C1004">
        <w:rPr>
          <w:color w:val="000000" w:themeColor="text1"/>
          <w:u w:val="single"/>
        </w:rPr>
        <w:t>Strangi</w:t>
      </w:r>
      <w:r w:rsidR="00C64050">
        <w:rPr>
          <w:color w:val="000000" w:themeColor="text1"/>
          <w:u w:val="single"/>
        </w:rPr>
        <w:t xml:space="preserve"> </w:t>
      </w:r>
      <w:r w:rsidRPr="003C1004">
        <w:rPr>
          <w:color w:val="000000" w:themeColor="text1"/>
          <w:u w:val="single"/>
        </w:rPr>
        <w:t>v.</w:t>
      </w:r>
      <w:r w:rsidR="00C64050">
        <w:rPr>
          <w:color w:val="000000" w:themeColor="text1"/>
          <w:u w:val="single"/>
        </w:rPr>
        <w:t xml:space="preserve"> </w:t>
      </w:r>
      <w:r w:rsidRPr="003C1004">
        <w:rPr>
          <w:color w:val="000000" w:themeColor="text1"/>
          <w:u w:val="single"/>
        </w:rPr>
        <w:t>Commissioner</w:t>
      </w:r>
      <w:r w:rsidRPr="003C1004">
        <w:rPr>
          <w:color w:val="000000" w:themeColor="text1"/>
        </w:rPr>
        <w:t>,</w:t>
      </w:r>
      <w:r w:rsidR="00C64050">
        <w:rPr>
          <w:color w:val="000000" w:themeColor="text1"/>
        </w:rPr>
        <w:t xml:space="preserve"> </w:t>
      </w:r>
      <w:r w:rsidRPr="003C1004">
        <w:rPr>
          <w:color w:val="000000" w:themeColor="text1"/>
        </w:rPr>
        <w:t>T.C.</w:t>
      </w:r>
      <w:r w:rsidR="00C64050">
        <w:rPr>
          <w:color w:val="000000" w:themeColor="text1"/>
        </w:rPr>
        <w:t xml:space="preserve"> </w:t>
      </w:r>
      <w:r w:rsidRPr="003C1004">
        <w:rPr>
          <w:color w:val="000000" w:themeColor="text1"/>
        </w:rPr>
        <w:t>Memo.</w:t>
      </w:r>
      <w:r w:rsidR="00C64050">
        <w:rPr>
          <w:color w:val="000000" w:themeColor="text1"/>
        </w:rPr>
        <w:t xml:space="preserve"> </w:t>
      </w:r>
      <w:r w:rsidRPr="003C1004">
        <w:rPr>
          <w:color w:val="000000" w:themeColor="text1"/>
        </w:rPr>
        <w:t>2003–145,</w:t>
      </w:r>
      <w:r w:rsidR="00C64050">
        <w:rPr>
          <w:color w:val="000000" w:themeColor="text1"/>
        </w:rPr>
        <w:t xml:space="preserve"> </w:t>
      </w:r>
      <w:r w:rsidRPr="003C1004">
        <w:rPr>
          <w:color w:val="000000" w:themeColor="text1"/>
        </w:rPr>
        <w:t>85</w:t>
      </w:r>
      <w:r w:rsidR="00C64050">
        <w:rPr>
          <w:color w:val="000000" w:themeColor="text1"/>
        </w:rPr>
        <w:t xml:space="preserve"> </w:t>
      </w:r>
      <w:r w:rsidRPr="003C1004">
        <w:rPr>
          <w:color w:val="000000" w:themeColor="text1"/>
        </w:rPr>
        <w:t>T.C.M.</w:t>
      </w:r>
      <w:r w:rsidR="00C64050">
        <w:rPr>
          <w:color w:val="000000" w:themeColor="text1"/>
        </w:rPr>
        <w:t xml:space="preserve"> </w:t>
      </w:r>
      <w:r w:rsidRPr="003C1004">
        <w:rPr>
          <w:color w:val="000000" w:themeColor="text1"/>
        </w:rPr>
        <w:t>(CCH)</w:t>
      </w:r>
      <w:r w:rsidR="00C64050">
        <w:rPr>
          <w:color w:val="000000" w:themeColor="text1"/>
        </w:rPr>
        <w:t xml:space="preserve"> </w:t>
      </w:r>
      <w:r w:rsidRPr="003C1004">
        <w:rPr>
          <w:color w:val="000000" w:themeColor="text1"/>
        </w:rPr>
        <w:t>1331,</w:t>
      </w:r>
      <w:r w:rsidR="00C64050">
        <w:rPr>
          <w:color w:val="000000" w:themeColor="text1"/>
        </w:rPr>
        <w:t xml:space="preserve"> </w:t>
      </w:r>
      <w:r w:rsidRPr="003C1004">
        <w:rPr>
          <w:color w:val="000000" w:themeColor="text1"/>
          <w:u w:val="single"/>
        </w:rPr>
        <w:t>aff'd</w:t>
      </w:r>
      <w:r w:rsidR="00C64050">
        <w:rPr>
          <w:color w:val="000000" w:themeColor="text1"/>
          <w:u w:val="single"/>
        </w:rPr>
        <w:t xml:space="preserve"> </w:t>
      </w:r>
      <w:r w:rsidRPr="003C1004">
        <w:rPr>
          <w:color w:val="000000" w:themeColor="text1"/>
          <w:u w:val="single"/>
        </w:rPr>
        <w:t>on</w:t>
      </w:r>
      <w:r w:rsidR="00C64050">
        <w:rPr>
          <w:color w:val="000000" w:themeColor="text1"/>
          <w:u w:val="single"/>
        </w:rPr>
        <w:t xml:space="preserve"> </w:t>
      </w:r>
      <w:r w:rsidRPr="003C1004">
        <w:rPr>
          <w:color w:val="000000" w:themeColor="text1"/>
          <w:u w:val="single"/>
        </w:rPr>
        <w:t>other</w:t>
      </w:r>
      <w:r w:rsidR="00C64050">
        <w:rPr>
          <w:color w:val="000000" w:themeColor="text1"/>
          <w:u w:val="single"/>
        </w:rPr>
        <w:t xml:space="preserve"> </w:t>
      </w:r>
      <w:r w:rsidRPr="003C1004">
        <w:rPr>
          <w:color w:val="000000" w:themeColor="text1"/>
          <w:u w:val="single"/>
        </w:rPr>
        <w:t>grounds</w:t>
      </w:r>
      <w:r w:rsidRPr="003C1004">
        <w:rPr>
          <w:color w:val="000000" w:themeColor="text1"/>
        </w:rPr>
        <w:t>,</w:t>
      </w:r>
      <w:r w:rsidR="00C64050">
        <w:rPr>
          <w:color w:val="000000" w:themeColor="text1"/>
        </w:rPr>
        <w:t xml:space="preserve"> </w:t>
      </w:r>
      <w:r w:rsidRPr="003C1004">
        <w:rPr>
          <w:color w:val="000000" w:themeColor="text1"/>
        </w:rPr>
        <w:t>417</w:t>
      </w:r>
      <w:r w:rsidR="00C64050">
        <w:rPr>
          <w:color w:val="000000" w:themeColor="text1"/>
        </w:rPr>
        <w:t xml:space="preserve"> </w:t>
      </w:r>
      <w:r w:rsidRPr="003C1004">
        <w:rPr>
          <w:color w:val="000000" w:themeColor="text1"/>
        </w:rPr>
        <w:t>F.3d</w:t>
      </w:r>
      <w:r w:rsidR="00C64050">
        <w:rPr>
          <w:color w:val="000000" w:themeColor="text1"/>
        </w:rPr>
        <w:t xml:space="preserve"> </w:t>
      </w:r>
      <w:r w:rsidRPr="003C1004">
        <w:rPr>
          <w:color w:val="000000" w:themeColor="text1"/>
        </w:rPr>
        <w:t>468</w:t>
      </w:r>
      <w:r w:rsidR="00C64050">
        <w:rPr>
          <w:color w:val="000000" w:themeColor="text1"/>
        </w:rPr>
        <w:t xml:space="preserve"> </w:t>
      </w:r>
      <w:r w:rsidRPr="003C1004">
        <w:rPr>
          <w:color w:val="000000" w:themeColor="text1"/>
        </w:rPr>
        <w:t>(5th</w:t>
      </w:r>
      <w:r w:rsidR="00C64050">
        <w:rPr>
          <w:color w:val="000000" w:themeColor="text1"/>
        </w:rPr>
        <w:t xml:space="preserve"> </w:t>
      </w:r>
      <w:r w:rsidRPr="003C1004">
        <w:rPr>
          <w:color w:val="000000" w:themeColor="text1"/>
        </w:rPr>
        <w:t>Cir.</w:t>
      </w:r>
      <w:r w:rsidR="00C64050">
        <w:rPr>
          <w:color w:val="000000" w:themeColor="text1"/>
        </w:rPr>
        <w:t xml:space="preserve"> </w:t>
      </w:r>
      <w:r w:rsidRPr="003C1004">
        <w:rPr>
          <w:color w:val="000000" w:themeColor="text1"/>
        </w:rPr>
        <w:t>2005)).</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decedent</w:t>
      </w:r>
      <w:r w:rsidR="00C64050">
        <w:rPr>
          <w:color w:val="000000" w:themeColor="text1"/>
        </w:rPr>
        <w:t xml:space="preserve"> </w:t>
      </w:r>
      <w:r w:rsidRPr="003C1004">
        <w:rPr>
          <w:color w:val="000000" w:themeColor="text1"/>
        </w:rPr>
        <w:t>clearly</w:t>
      </w:r>
      <w:r w:rsidR="00C64050">
        <w:rPr>
          <w:color w:val="000000" w:themeColor="text1"/>
        </w:rPr>
        <w:t xml:space="preserve"> </w:t>
      </w:r>
      <w:r w:rsidRPr="003C1004">
        <w:rPr>
          <w:color w:val="000000" w:themeColor="text1"/>
        </w:rPr>
        <w:t>“made</w:t>
      </w:r>
      <w:r w:rsidR="00C64050">
        <w:rPr>
          <w:color w:val="000000" w:themeColor="text1"/>
        </w:rPr>
        <w:t xml:space="preserve"> </w:t>
      </w:r>
      <w:r w:rsidRPr="003C1004">
        <w:rPr>
          <w:color w:val="000000" w:themeColor="text1"/>
        </w:rPr>
        <w:t>a</w:t>
      </w:r>
      <w:r w:rsidR="00C64050">
        <w:rPr>
          <w:color w:val="000000" w:themeColor="text1"/>
        </w:rPr>
        <w:t xml:space="preserve"> </w:t>
      </w:r>
      <w:r w:rsidRPr="003C1004">
        <w:rPr>
          <w:color w:val="000000" w:themeColor="text1"/>
        </w:rPr>
        <w:t>transfer”</w:t>
      </w:r>
      <w:r w:rsidR="00C64050">
        <w:rPr>
          <w:color w:val="000000" w:themeColor="text1"/>
        </w:rPr>
        <w:t xml:space="preserve"> </w:t>
      </w:r>
      <w:r w:rsidRPr="003C1004">
        <w:rPr>
          <w:color w:val="000000" w:themeColor="text1"/>
        </w:rPr>
        <w:t>of</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$10</w:t>
      </w:r>
      <w:r w:rsidR="00C64050">
        <w:rPr>
          <w:color w:val="000000" w:themeColor="text1"/>
        </w:rPr>
        <w:t xml:space="preserve"> </w:t>
      </w:r>
      <w:r w:rsidRPr="003C1004">
        <w:rPr>
          <w:color w:val="000000" w:themeColor="text1"/>
        </w:rPr>
        <w:t>million</w:t>
      </w:r>
      <w:r w:rsidR="00C64050">
        <w:rPr>
          <w:color w:val="000000" w:themeColor="text1"/>
        </w:rPr>
        <w:t xml:space="preserve"> </w:t>
      </w:r>
      <w:r w:rsidRPr="003C1004">
        <w:rPr>
          <w:color w:val="000000" w:themeColor="text1"/>
        </w:rPr>
        <w:t>in</w:t>
      </w:r>
      <w:r w:rsidR="00C64050">
        <w:rPr>
          <w:color w:val="000000" w:themeColor="text1"/>
        </w:rPr>
        <w:t xml:space="preserve"> </w:t>
      </w:r>
      <w:r w:rsidRPr="003C1004">
        <w:rPr>
          <w:color w:val="000000" w:themeColor="text1"/>
        </w:rPr>
        <w:t>cash</w:t>
      </w:r>
      <w:r w:rsidR="00C64050">
        <w:rPr>
          <w:color w:val="000000" w:themeColor="text1"/>
        </w:rPr>
        <w:t xml:space="preserve"> </w:t>
      </w:r>
      <w:r w:rsidRPr="003C1004">
        <w:rPr>
          <w:color w:val="000000" w:themeColor="text1"/>
        </w:rPr>
        <w:t>and</w:t>
      </w:r>
      <w:r w:rsidR="00C64050">
        <w:rPr>
          <w:color w:val="000000" w:themeColor="text1"/>
        </w:rPr>
        <w:t xml:space="preserve"> </w:t>
      </w:r>
      <w:r w:rsidRPr="003C1004">
        <w:rPr>
          <w:color w:val="000000" w:themeColor="text1"/>
        </w:rPr>
        <w:t>securities.</w:t>
      </w:r>
      <w:r w:rsidR="00C64050">
        <w:rPr>
          <w:color w:val="000000" w:themeColor="text1"/>
        </w:rPr>
        <w:t xml:space="preserve"> </w:t>
      </w:r>
      <w:r w:rsidRPr="003C1004">
        <w:rPr>
          <w:color w:val="000000" w:themeColor="text1"/>
        </w:rPr>
        <w:t>And</w:t>
      </w:r>
      <w:r w:rsidR="00C64050">
        <w:rPr>
          <w:color w:val="000000" w:themeColor="text1"/>
        </w:rPr>
        <w:t xml:space="preserve"> </w:t>
      </w:r>
      <w:r w:rsidRPr="003C1004">
        <w:rPr>
          <w:color w:val="000000" w:themeColor="text1"/>
        </w:rPr>
        <w:t>she</w:t>
      </w:r>
      <w:r w:rsidR="00C64050">
        <w:rPr>
          <w:color w:val="000000" w:themeColor="text1"/>
        </w:rPr>
        <w:t xml:space="preserve"> </w:t>
      </w:r>
      <w:r w:rsidRPr="003C1004">
        <w:rPr>
          <w:color w:val="000000" w:themeColor="text1"/>
        </w:rPr>
        <w:t>clearly</w:t>
      </w:r>
      <w:r w:rsidR="00C64050">
        <w:rPr>
          <w:color w:val="000000" w:themeColor="text1"/>
        </w:rPr>
        <w:t xml:space="preserve"> </w:t>
      </w:r>
      <w:r w:rsidRPr="003C1004">
        <w:rPr>
          <w:color w:val="000000" w:themeColor="text1"/>
        </w:rPr>
        <w:t>retained</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proverbial</w:t>
      </w:r>
      <w:r w:rsidR="00C64050">
        <w:rPr>
          <w:color w:val="000000" w:themeColor="text1"/>
        </w:rPr>
        <w:t xml:space="preserve"> </w:t>
      </w:r>
      <w:r w:rsidRPr="003C1004">
        <w:rPr>
          <w:color w:val="000000" w:themeColor="text1"/>
        </w:rPr>
        <w:t>“string”</w:t>
      </w:r>
      <w:r w:rsidR="00C64050">
        <w:rPr>
          <w:color w:val="000000" w:themeColor="text1"/>
        </w:rPr>
        <w:t xml:space="preserve"> </w:t>
      </w:r>
      <w:r w:rsidRPr="003C1004">
        <w:rPr>
          <w:color w:val="000000" w:themeColor="text1"/>
        </w:rPr>
        <w:t>that</w:t>
      </w:r>
      <w:r w:rsidR="00C64050">
        <w:rPr>
          <w:color w:val="000000" w:themeColor="text1"/>
        </w:rPr>
        <w:t xml:space="preserve"> </w:t>
      </w:r>
      <w:r w:rsidRPr="003C1004">
        <w:rPr>
          <w:color w:val="000000" w:themeColor="text1"/>
        </w:rPr>
        <w:t>pulls</w:t>
      </w:r>
      <w:r w:rsidR="00C64050">
        <w:rPr>
          <w:color w:val="000000" w:themeColor="text1"/>
        </w:rPr>
        <w:t xml:space="preserve"> </w:t>
      </w:r>
      <w:r w:rsidRPr="003C1004">
        <w:rPr>
          <w:color w:val="000000" w:themeColor="text1"/>
        </w:rPr>
        <w:t>these</w:t>
      </w:r>
      <w:r w:rsidR="00C64050">
        <w:rPr>
          <w:color w:val="000000" w:themeColor="text1"/>
        </w:rPr>
        <w:t xml:space="preserve"> </w:t>
      </w:r>
      <w:r w:rsidRPr="003C1004">
        <w:rPr>
          <w:color w:val="000000" w:themeColor="text1"/>
        </w:rPr>
        <w:t>assets</w:t>
      </w:r>
      <w:r w:rsidR="00C64050">
        <w:rPr>
          <w:color w:val="000000" w:themeColor="text1"/>
        </w:rPr>
        <w:t xml:space="preserve"> </w:t>
      </w:r>
      <w:r w:rsidRPr="003C1004">
        <w:rPr>
          <w:color w:val="000000" w:themeColor="text1"/>
        </w:rPr>
        <w:t>back</w:t>
      </w:r>
      <w:r w:rsidR="00C64050">
        <w:rPr>
          <w:color w:val="000000" w:themeColor="text1"/>
        </w:rPr>
        <w:t xml:space="preserve"> </w:t>
      </w:r>
      <w:r w:rsidRPr="003C1004">
        <w:rPr>
          <w:color w:val="000000" w:themeColor="text1"/>
        </w:rPr>
        <w:t>into</w:t>
      </w:r>
      <w:r w:rsidR="00C64050">
        <w:rPr>
          <w:color w:val="000000" w:themeColor="text1"/>
        </w:rPr>
        <w:t xml:space="preserve"> </w:t>
      </w:r>
      <w:r w:rsidRPr="003C1004">
        <w:rPr>
          <w:color w:val="000000" w:themeColor="text1"/>
        </w:rPr>
        <w:t>her</w:t>
      </w:r>
      <w:r w:rsidR="00C64050">
        <w:rPr>
          <w:color w:val="000000" w:themeColor="text1"/>
        </w:rPr>
        <w:t xml:space="preserve"> </w:t>
      </w:r>
      <w:r w:rsidRPr="003C1004">
        <w:rPr>
          <w:color w:val="000000" w:themeColor="text1"/>
        </w:rPr>
        <w:t>estate.</w:t>
      </w:r>
    </w:p>
    <w:p w:rsidR="003C1004" w:rsidRPr="003C1004" w:rsidRDefault="003C1004" w:rsidP="003C1004">
      <w:pPr>
        <w:pStyle w:val="QS10"/>
        <w:rPr>
          <w:color w:val="000000" w:themeColor="text1"/>
        </w:rPr>
      </w:pPr>
      <w:r w:rsidRPr="003C1004">
        <w:rPr>
          <w:color w:val="000000" w:themeColor="text1"/>
        </w:rPr>
        <w:t>But</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Court</w:t>
      </w:r>
      <w:r w:rsidR="00C64050">
        <w:rPr>
          <w:color w:val="000000" w:themeColor="text1"/>
        </w:rPr>
        <w:t xml:space="preserve"> </w:t>
      </w:r>
      <w:r w:rsidRPr="003C1004">
        <w:rPr>
          <w:color w:val="000000" w:themeColor="text1"/>
        </w:rPr>
        <w:t>concludes,</w:t>
      </w:r>
      <w:r w:rsidR="00C64050">
        <w:rPr>
          <w:color w:val="000000" w:themeColor="text1"/>
        </w:rPr>
        <w:t xml:space="preserve"> </w:t>
      </w:r>
      <w:r w:rsidRPr="003C1004">
        <w:rPr>
          <w:color w:val="000000" w:themeColor="text1"/>
          <w:u w:val="single"/>
        </w:rPr>
        <w:t>see</w:t>
      </w:r>
      <w:r w:rsidR="00C64050">
        <w:rPr>
          <w:color w:val="000000" w:themeColor="text1"/>
        </w:rPr>
        <w:t xml:space="preserve"> </w:t>
      </w:r>
      <w:r w:rsidRPr="003C1004">
        <w:rPr>
          <w:color w:val="000000" w:themeColor="text1"/>
        </w:rPr>
        <w:t>op.</w:t>
      </w:r>
      <w:r w:rsidR="00C64050">
        <w:rPr>
          <w:color w:val="000000" w:themeColor="text1"/>
        </w:rPr>
        <w:t xml:space="preserve"> </w:t>
      </w:r>
      <w:r w:rsidRPr="003C1004">
        <w:rPr>
          <w:color w:val="000000" w:themeColor="text1"/>
        </w:rPr>
        <w:t>Ct.</w:t>
      </w:r>
      <w:r w:rsidR="00C64050">
        <w:rPr>
          <w:color w:val="000000" w:themeColor="text1"/>
        </w:rPr>
        <w:t xml:space="preserve"> </w:t>
      </w:r>
      <w:r w:rsidRPr="003C1004">
        <w:rPr>
          <w:color w:val="000000" w:themeColor="text1"/>
        </w:rPr>
        <w:t>p.</w:t>
      </w:r>
      <w:r w:rsidR="00C64050">
        <w:rPr>
          <w:color w:val="000000" w:themeColor="text1"/>
        </w:rPr>
        <w:t xml:space="preserve"> </w:t>
      </w:r>
      <w:r w:rsidRPr="003C1004">
        <w:rPr>
          <w:color w:val="000000" w:themeColor="text1"/>
        </w:rPr>
        <w:t>22,</w:t>
      </w:r>
      <w:r w:rsidR="00C64050">
        <w:rPr>
          <w:color w:val="000000" w:themeColor="text1"/>
        </w:rPr>
        <w:t xml:space="preserve"> </w:t>
      </w:r>
      <w:r w:rsidRPr="003C1004">
        <w:rPr>
          <w:color w:val="000000" w:themeColor="text1"/>
        </w:rPr>
        <w:t>that</w:t>
      </w:r>
      <w:r w:rsidR="00C64050">
        <w:rPr>
          <w:color w:val="000000" w:themeColor="text1"/>
        </w:rPr>
        <w:t xml:space="preserve"> </w:t>
      </w:r>
      <w:r w:rsidRPr="003C1004">
        <w:rPr>
          <w:color w:val="000000" w:themeColor="text1"/>
        </w:rPr>
        <w:t>section</w:t>
      </w:r>
      <w:r w:rsidR="00C64050">
        <w:rPr>
          <w:color w:val="000000" w:themeColor="text1"/>
        </w:rPr>
        <w:t xml:space="preserve"> </w:t>
      </w:r>
      <w:r w:rsidRPr="003C1004">
        <w:rPr>
          <w:color w:val="000000" w:themeColor="text1"/>
        </w:rPr>
        <w:t>2036(a)</w:t>
      </w:r>
      <w:r w:rsidR="00C64050">
        <w:rPr>
          <w:color w:val="000000" w:themeColor="text1"/>
        </w:rPr>
        <w:t xml:space="preserve"> </w:t>
      </w:r>
      <w:r w:rsidRPr="003C1004">
        <w:rPr>
          <w:color w:val="000000" w:themeColor="text1"/>
        </w:rPr>
        <w:t>does</w:t>
      </w:r>
      <w:r w:rsidR="00C64050">
        <w:rPr>
          <w:color w:val="000000" w:themeColor="text1"/>
        </w:rPr>
        <w:t xml:space="preserve"> </w:t>
      </w:r>
      <w:r w:rsidRPr="003C1004">
        <w:rPr>
          <w:color w:val="000000" w:themeColor="text1"/>
        </w:rPr>
        <w:t>not</w:t>
      </w:r>
      <w:r w:rsidR="00C64050">
        <w:rPr>
          <w:color w:val="000000" w:themeColor="text1"/>
        </w:rPr>
        <w:t xml:space="preserve"> </w:t>
      </w:r>
      <w:r w:rsidRPr="003C1004">
        <w:rPr>
          <w:color w:val="000000" w:themeColor="text1"/>
        </w:rPr>
        <w:t>require</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inclusion</w:t>
      </w:r>
      <w:r w:rsidR="00C64050">
        <w:rPr>
          <w:color w:val="000000" w:themeColor="text1"/>
        </w:rPr>
        <w:t xml:space="preserve"> </w:t>
      </w:r>
      <w:r w:rsidRPr="003C1004">
        <w:rPr>
          <w:color w:val="000000" w:themeColor="text1"/>
        </w:rPr>
        <w:t>in</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value</w:t>
      </w:r>
      <w:r w:rsidR="00C64050">
        <w:rPr>
          <w:color w:val="000000" w:themeColor="text1"/>
        </w:rPr>
        <w:t xml:space="preserve"> </w:t>
      </w:r>
      <w:r w:rsidRPr="003C1004">
        <w:rPr>
          <w:color w:val="000000" w:themeColor="text1"/>
        </w:rPr>
        <w:t>of</w:t>
      </w:r>
      <w:r w:rsidR="00C64050">
        <w:rPr>
          <w:color w:val="000000" w:themeColor="text1"/>
        </w:rPr>
        <w:t xml:space="preserve"> </w:t>
      </w:r>
      <w:r w:rsidRPr="003C1004">
        <w:rPr>
          <w:color w:val="000000" w:themeColor="text1"/>
        </w:rPr>
        <w:t>decedent's</w:t>
      </w:r>
      <w:r w:rsidR="00C64050">
        <w:rPr>
          <w:color w:val="000000" w:themeColor="text1"/>
        </w:rPr>
        <w:t xml:space="preserve"> </w:t>
      </w:r>
      <w:r w:rsidRPr="003C1004">
        <w:rPr>
          <w:color w:val="000000" w:themeColor="text1"/>
        </w:rPr>
        <w:t>gross</w:t>
      </w:r>
      <w:r w:rsidR="00C64050">
        <w:rPr>
          <w:color w:val="000000" w:themeColor="text1"/>
        </w:rPr>
        <w:t xml:space="preserve"> </w:t>
      </w:r>
      <w:r w:rsidRPr="003C1004">
        <w:rPr>
          <w:color w:val="000000" w:themeColor="text1"/>
        </w:rPr>
        <w:t>estate</w:t>
      </w:r>
      <w:r w:rsidR="00C64050">
        <w:rPr>
          <w:color w:val="000000" w:themeColor="text1"/>
        </w:rPr>
        <w:t xml:space="preserve"> </w:t>
      </w:r>
      <w:r w:rsidRPr="003C1004">
        <w:rPr>
          <w:color w:val="000000" w:themeColor="text1"/>
        </w:rPr>
        <w:t>of</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full</w:t>
      </w:r>
      <w:r w:rsidR="00C64050">
        <w:rPr>
          <w:color w:val="000000" w:themeColor="text1"/>
        </w:rPr>
        <w:t xml:space="preserve"> </w:t>
      </w:r>
      <w:r w:rsidRPr="003C1004">
        <w:rPr>
          <w:color w:val="000000" w:themeColor="text1"/>
        </w:rPr>
        <w:t>date-of-death</w:t>
      </w:r>
      <w:r w:rsidR="00C64050">
        <w:rPr>
          <w:color w:val="000000" w:themeColor="text1"/>
        </w:rPr>
        <w:t xml:space="preserve"> </w:t>
      </w:r>
      <w:r w:rsidRPr="003C1004">
        <w:rPr>
          <w:color w:val="000000" w:themeColor="text1"/>
        </w:rPr>
        <w:t>value</w:t>
      </w:r>
      <w:r w:rsidR="00C64050">
        <w:rPr>
          <w:color w:val="000000" w:themeColor="text1"/>
        </w:rPr>
        <w:t xml:space="preserve"> </w:t>
      </w:r>
      <w:r w:rsidRPr="003C1004">
        <w:rPr>
          <w:color w:val="000000" w:themeColor="text1"/>
        </w:rPr>
        <w:t>of</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cash</w:t>
      </w:r>
      <w:r w:rsidR="00C64050">
        <w:rPr>
          <w:color w:val="000000" w:themeColor="text1"/>
        </w:rPr>
        <w:t xml:space="preserve"> </w:t>
      </w:r>
      <w:r w:rsidRPr="003C1004">
        <w:rPr>
          <w:color w:val="000000" w:themeColor="text1"/>
        </w:rPr>
        <w:t>and</w:t>
      </w:r>
      <w:r w:rsidR="00C64050">
        <w:rPr>
          <w:color w:val="000000" w:themeColor="text1"/>
        </w:rPr>
        <w:t xml:space="preserve"> </w:t>
      </w:r>
      <w:r w:rsidRPr="003C1004">
        <w:rPr>
          <w:color w:val="000000" w:themeColor="text1"/>
        </w:rPr>
        <w:t>securities,”</w:t>
      </w:r>
      <w:r w:rsidR="00C64050">
        <w:rPr>
          <w:color w:val="000000" w:themeColor="text1"/>
        </w:rPr>
        <w:t xml:space="preserve"> </w:t>
      </w:r>
      <w:r w:rsidRPr="003C1004">
        <w:rPr>
          <w:color w:val="000000" w:themeColor="text1"/>
        </w:rPr>
        <w:t>while</w:t>
      </w:r>
      <w:r w:rsidR="00C64050">
        <w:rPr>
          <w:color w:val="000000" w:themeColor="text1"/>
        </w:rPr>
        <w:t xml:space="preserve"> </w:t>
      </w:r>
      <w:r w:rsidRPr="003C1004">
        <w:rPr>
          <w:color w:val="000000" w:themeColor="text1"/>
        </w:rPr>
        <w:t>admitting</w:t>
      </w:r>
      <w:r w:rsidR="00C64050">
        <w:rPr>
          <w:color w:val="000000" w:themeColor="text1"/>
        </w:rPr>
        <w:t xml:space="preserve"> </w:t>
      </w:r>
      <w:r w:rsidRPr="003C1004">
        <w:rPr>
          <w:color w:val="000000" w:themeColor="text1"/>
        </w:rPr>
        <w:t>that</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statute,</w:t>
      </w:r>
      <w:r w:rsidR="00C64050">
        <w:rPr>
          <w:color w:val="000000" w:themeColor="text1"/>
        </w:rPr>
        <w:t xml:space="preserve"> </w:t>
      </w:r>
      <w:r w:rsidRPr="003C1004">
        <w:rPr>
          <w:color w:val="000000" w:themeColor="text1"/>
        </w:rPr>
        <w:t>“read</w:t>
      </w:r>
      <w:r w:rsidR="00C64050">
        <w:rPr>
          <w:color w:val="000000" w:themeColor="text1"/>
        </w:rPr>
        <w:t xml:space="preserve"> </w:t>
      </w:r>
      <w:r w:rsidRPr="003C1004">
        <w:rPr>
          <w:color w:val="000000" w:themeColor="text1"/>
        </w:rPr>
        <w:t>in</w:t>
      </w:r>
      <w:r w:rsidR="00C64050">
        <w:rPr>
          <w:color w:val="000000" w:themeColor="text1"/>
        </w:rPr>
        <w:t xml:space="preserve"> </w:t>
      </w:r>
      <w:r w:rsidRPr="003C1004">
        <w:rPr>
          <w:color w:val="000000" w:themeColor="text1"/>
        </w:rPr>
        <w:t>isolation,</w:t>
      </w:r>
      <w:r w:rsidR="00C64050">
        <w:rPr>
          <w:color w:val="000000" w:themeColor="text1"/>
        </w:rPr>
        <w:t xml:space="preserve"> </w:t>
      </w:r>
      <w:r w:rsidRPr="003C1004">
        <w:rPr>
          <w:color w:val="000000" w:themeColor="text1"/>
        </w:rPr>
        <w:t>would</w:t>
      </w:r>
      <w:r w:rsidR="00C64050">
        <w:rPr>
          <w:color w:val="000000" w:themeColor="text1"/>
        </w:rPr>
        <w:t xml:space="preserve"> </w:t>
      </w:r>
      <w:r w:rsidRPr="003C1004">
        <w:rPr>
          <w:color w:val="000000" w:themeColor="text1"/>
        </w:rPr>
        <w:t>require</w:t>
      </w:r>
      <w:r w:rsidR="00C64050">
        <w:rPr>
          <w:color w:val="000000" w:themeColor="text1"/>
        </w:rPr>
        <w:t xml:space="preserve"> </w:t>
      </w:r>
      <w:r w:rsidRPr="003C1004">
        <w:rPr>
          <w:color w:val="000000" w:themeColor="text1"/>
        </w:rPr>
        <w:t>that</w:t>
      </w:r>
      <w:r w:rsidR="00C64050">
        <w:rPr>
          <w:color w:val="000000" w:themeColor="text1"/>
        </w:rPr>
        <w:t xml:space="preserve"> </w:t>
      </w:r>
      <w:r w:rsidRPr="003C1004">
        <w:rPr>
          <w:color w:val="000000" w:themeColor="text1"/>
        </w:rPr>
        <w:t>result.”</w:t>
      </w:r>
      <w:r w:rsidR="00C64050">
        <w:rPr>
          <w:color w:val="000000" w:themeColor="text1"/>
        </w:rPr>
        <w:t xml:space="preserve"> </w:t>
      </w:r>
      <w:r w:rsidRPr="003C1004">
        <w:rPr>
          <w:color w:val="000000" w:themeColor="text1"/>
          <w:u w:val="single"/>
        </w:rPr>
        <w:t>See</w:t>
      </w:r>
      <w:r w:rsidR="00C64050">
        <w:rPr>
          <w:color w:val="000000" w:themeColor="text1"/>
        </w:rPr>
        <w:t xml:space="preserve"> </w:t>
      </w:r>
      <w:r w:rsidRPr="003C1004">
        <w:rPr>
          <w:color w:val="000000" w:themeColor="text1"/>
          <w:u w:val="single"/>
        </w:rPr>
        <w:t>Estate</w:t>
      </w:r>
      <w:r w:rsidR="00C64050">
        <w:rPr>
          <w:color w:val="000000" w:themeColor="text1"/>
          <w:u w:val="single"/>
        </w:rPr>
        <w:t xml:space="preserve"> </w:t>
      </w:r>
      <w:r w:rsidRPr="003C1004">
        <w:rPr>
          <w:color w:val="000000" w:themeColor="text1"/>
          <w:u w:val="single"/>
        </w:rPr>
        <w:t>of</w:t>
      </w:r>
      <w:r w:rsidR="00C64050">
        <w:rPr>
          <w:color w:val="000000" w:themeColor="text1"/>
          <w:u w:val="single"/>
        </w:rPr>
        <w:t xml:space="preserve"> </w:t>
      </w:r>
      <w:r w:rsidRPr="003C1004">
        <w:rPr>
          <w:color w:val="000000" w:themeColor="text1"/>
          <w:u w:val="single"/>
        </w:rPr>
        <w:t>Thompson</w:t>
      </w:r>
      <w:r w:rsidR="00C64050">
        <w:rPr>
          <w:color w:val="000000" w:themeColor="text1"/>
          <w:u w:val="single"/>
        </w:rPr>
        <w:t xml:space="preserve"> </w:t>
      </w:r>
      <w:r w:rsidRPr="003C1004">
        <w:rPr>
          <w:color w:val="000000" w:themeColor="text1"/>
          <w:u w:val="single"/>
        </w:rPr>
        <w:t>v.</w:t>
      </w:r>
      <w:r w:rsidR="00C64050">
        <w:rPr>
          <w:color w:val="000000" w:themeColor="text1"/>
          <w:u w:val="single"/>
        </w:rPr>
        <w:t xml:space="preserve"> </w:t>
      </w:r>
      <w:r w:rsidRPr="003C1004">
        <w:rPr>
          <w:color w:val="000000" w:themeColor="text1"/>
          <w:u w:val="single"/>
        </w:rPr>
        <w:t>Commissioner</w:t>
      </w:r>
      <w:r w:rsidRPr="003C1004">
        <w:rPr>
          <w:color w:val="000000" w:themeColor="text1"/>
        </w:rPr>
        <w:t>,</w:t>
      </w:r>
      <w:r w:rsidR="00C64050">
        <w:rPr>
          <w:color w:val="000000" w:themeColor="text1"/>
        </w:rPr>
        <w:t xml:space="preserve"> </w:t>
      </w:r>
      <w:r w:rsidRPr="003C1004">
        <w:rPr>
          <w:color w:val="000000" w:themeColor="text1"/>
        </w:rPr>
        <w:t>T.C.</w:t>
      </w:r>
      <w:r w:rsidR="00C64050">
        <w:rPr>
          <w:color w:val="000000" w:themeColor="text1"/>
        </w:rPr>
        <w:t xml:space="preserve"> </w:t>
      </w:r>
      <w:r w:rsidRPr="003C1004">
        <w:rPr>
          <w:color w:val="000000" w:themeColor="text1"/>
        </w:rPr>
        <w:t>Memo.</w:t>
      </w:r>
      <w:r w:rsidR="00C64050">
        <w:rPr>
          <w:color w:val="000000" w:themeColor="text1"/>
        </w:rPr>
        <w:t xml:space="preserve"> </w:t>
      </w:r>
      <w:r w:rsidRPr="003C1004">
        <w:rPr>
          <w:color w:val="000000" w:themeColor="text1"/>
        </w:rPr>
        <w:t>2002–246,</w:t>
      </w:r>
      <w:r w:rsidR="00C64050">
        <w:rPr>
          <w:color w:val="000000" w:themeColor="text1"/>
        </w:rPr>
        <w:t xml:space="preserve"> </w:t>
      </w:r>
      <w:r w:rsidRPr="003C1004">
        <w:rPr>
          <w:color w:val="000000" w:themeColor="text1"/>
        </w:rPr>
        <w:t>84</w:t>
      </w:r>
      <w:r w:rsidR="00C64050">
        <w:rPr>
          <w:color w:val="000000" w:themeColor="text1"/>
        </w:rPr>
        <w:t xml:space="preserve"> </w:t>
      </w:r>
      <w:r w:rsidRPr="003C1004">
        <w:rPr>
          <w:color w:val="000000" w:themeColor="text1"/>
        </w:rPr>
        <w:t>T.C.M.</w:t>
      </w:r>
      <w:r w:rsidR="00C64050">
        <w:rPr>
          <w:color w:val="000000" w:themeColor="text1"/>
        </w:rPr>
        <w:t xml:space="preserve"> </w:t>
      </w:r>
      <w:r w:rsidRPr="003C1004">
        <w:rPr>
          <w:color w:val="000000" w:themeColor="text1"/>
        </w:rPr>
        <w:t>(CCH)</w:t>
      </w:r>
      <w:r w:rsidR="00C64050">
        <w:rPr>
          <w:color w:val="000000" w:themeColor="text1"/>
        </w:rPr>
        <w:t xml:space="preserve"> </w:t>
      </w:r>
      <w:r w:rsidRPr="003C1004">
        <w:rPr>
          <w:color w:val="000000" w:themeColor="text1"/>
        </w:rPr>
        <w:t>374,</w:t>
      </w:r>
      <w:r w:rsidR="00C64050">
        <w:rPr>
          <w:color w:val="000000" w:themeColor="text1"/>
        </w:rPr>
        <w:t xml:space="preserve"> </w:t>
      </w:r>
      <w:r w:rsidRPr="003C1004">
        <w:rPr>
          <w:color w:val="000000" w:themeColor="text1"/>
        </w:rPr>
        <w:t>386</w:t>
      </w:r>
      <w:r w:rsidR="00C64050">
        <w:rPr>
          <w:color w:val="000000" w:themeColor="text1"/>
        </w:rPr>
        <w:t xml:space="preserve"> </w:t>
      </w:r>
      <w:r w:rsidRPr="003C1004">
        <w:rPr>
          <w:color w:val="000000" w:themeColor="text1"/>
        </w:rPr>
        <w:t>(“Section</w:t>
      </w:r>
      <w:r w:rsidR="00C64050">
        <w:rPr>
          <w:color w:val="000000" w:themeColor="text1"/>
        </w:rPr>
        <w:t xml:space="preserve"> </w:t>
      </w:r>
      <w:r w:rsidRPr="003C1004">
        <w:rPr>
          <w:color w:val="000000" w:themeColor="text1"/>
        </w:rPr>
        <w:t>2036(a)</w:t>
      </w:r>
      <w:r w:rsidR="00C64050">
        <w:rPr>
          <w:color w:val="000000" w:themeColor="text1"/>
        </w:rPr>
        <w:t xml:space="preserve"> </w:t>
      </w:r>
      <w:r w:rsidRPr="003C1004">
        <w:rPr>
          <w:color w:val="000000" w:themeColor="text1"/>
        </w:rPr>
        <w:t>effectively</w:t>
      </w:r>
      <w:r w:rsidR="00C64050">
        <w:rPr>
          <w:color w:val="000000" w:themeColor="text1"/>
        </w:rPr>
        <w:t xml:space="preserve"> </w:t>
      </w:r>
      <w:r w:rsidRPr="003C1004">
        <w:rPr>
          <w:color w:val="000000" w:themeColor="text1"/>
        </w:rPr>
        <w:t>includes</w:t>
      </w:r>
      <w:r w:rsidR="00C64050">
        <w:rPr>
          <w:color w:val="000000" w:themeColor="text1"/>
        </w:rPr>
        <w:t xml:space="preserve"> </w:t>
      </w:r>
      <w:r w:rsidRPr="003C1004">
        <w:rPr>
          <w:color w:val="000000" w:themeColor="text1"/>
        </w:rPr>
        <w:t>in</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gross</w:t>
      </w:r>
      <w:r w:rsidR="00C64050">
        <w:rPr>
          <w:color w:val="000000" w:themeColor="text1"/>
        </w:rPr>
        <w:t xml:space="preserve"> </w:t>
      </w:r>
      <w:r w:rsidRPr="003C1004">
        <w:rPr>
          <w:color w:val="000000" w:themeColor="text1"/>
        </w:rPr>
        <w:t>estate</w:t>
      </w:r>
      <w:r w:rsidR="00C64050">
        <w:rPr>
          <w:color w:val="000000" w:themeColor="text1"/>
        </w:rPr>
        <w:t xml:space="preserve"> </w:t>
      </w:r>
      <w:r w:rsidRPr="003C1004">
        <w:rPr>
          <w:color w:val="000000" w:themeColor="text1"/>
          <w:u w:val="single"/>
        </w:rPr>
        <w:t>the</w:t>
      </w:r>
      <w:r w:rsidR="00C64050">
        <w:rPr>
          <w:color w:val="000000" w:themeColor="text1"/>
          <w:u w:val="single"/>
        </w:rPr>
        <w:t xml:space="preserve"> </w:t>
      </w:r>
      <w:r w:rsidRPr="003C1004">
        <w:rPr>
          <w:color w:val="000000" w:themeColor="text1"/>
          <w:u w:val="single"/>
        </w:rPr>
        <w:t>full</w:t>
      </w:r>
      <w:r w:rsidR="00C64050">
        <w:rPr>
          <w:color w:val="000000" w:themeColor="text1"/>
          <w:u w:val="single"/>
        </w:rPr>
        <w:t xml:space="preserve"> </w:t>
      </w:r>
      <w:r w:rsidRPr="003C1004">
        <w:rPr>
          <w:color w:val="000000" w:themeColor="text1"/>
          <w:u w:val="single"/>
        </w:rPr>
        <w:t>fair</w:t>
      </w:r>
      <w:r w:rsidR="00C64050">
        <w:rPr>
          <w:color w:val="000000" w:themeColor="text1"/>
          <w:u w:val="single"/>
        </w:rPr>
        <w:t xml:space="preserve"> </w:t>
      </w:r>
      <w:r w:rsidRPr="003C1004">
        <w:rPr>
          <w:color w:val="000000" w:themeColor="text1"/>
          <w:u w:val="single"/>
        </w:rPr>
        <w:t>market</w:t>
      </w:r>
      <w:r w:rsidR="00C64050">
        <w:rPr>
          <w:color w:val="000000" w:themeColor="text1"/>
          <w:u w:val="single"/>
        </w:rPr>
        <w:t xml:space="preserve"> </w:t>
      </w:r>
      <w:r w:rsidRPr="003C1004">
        <w:rPr>
          <w:color w:val="000000" w:themeColor="text1"/>
          <w:u w:val="single"/>
        </w:rPr>
        <w:t>value</w:t>
      </w:r>
      <w:r w:rsidR="00C64050">
        <w:rPr>
          <w:color w:val="000000" w:themeColor="text1"/>
        </w:rPr>
        <w:t xml:space="preserve"> </w:t>
      </w:r>
      <w:r w:rsidRPr="003C1004">
        <w:rPr>
          <w:color w:val="000000" w:themeColor="text1"/>
        </w:rPr>
        <w:t>*</w:t>
      </w:r>
      <w:r w:rsidR="00C64050">
        <w:rPr>
          <w:color w:val="000000" w:themeColor="text1"/>
        </w:rPr>
        <w:t xml:space="preserve"> </w:t>
      </w:r>
      <w:r w:rsidRPr="003C1004">
        <w:rPr>
          <w:color w:val="000000" w:themeColor="text1"/>
        </w:rPr>
        <w:t>*</w:t>
      </w:r>
      <w:r w:rsidR="00C64050">
        <w:rPr>
          <w:color w:val="000000" w:themeColor="text1"/>
        </w:rPr>
        <w:t xml:space="preserve"> </w:t>
      </w:r>
      <w:r w:rsidRPr="003C1004">
        <w:rPr>
          <w:color w:val="000000" w:themeColor="text1"/>
        </w:rPr>
        <w:t>*</w:t>
      </w:r>
      <w:r w:rsidR="00C64050">
        <w:rPr>
          <w:color w:val="000000" w:themeColor="text1"/>
        </w:rPr>
        <w:t xml:space="preserve"> </w:t>
      </w:r>
      <w:r w:rsidRPr="003C1004">
        <w:rPr>
          <w:color w:val="000000" w:themeColor="text1"/>
        </w:rPr>
        <w:t>of</w:t>
      </w:r>
      <w:r w:rsidR="00C64050">
        <w:rPr>
          <w:color w:val="000000" w:themeColor="text1"/>
        </w:rPr>
        <w:t xml:space="preserve"> </w:t>
      </w:r>
      <w:r w:rsidRPr="003C1004">
        <w:rPr>
          <w:color w:val="000000" w:themeColor="text1"/>
        </w:rPr>
        <w:t>all</w:t>
      </w:r>
      <w:r w:rsidR="00C64050">
        <w:rPr>
          <w:color w:val="000000" w:themeColor="text1"/>
        </w:rPr>
        <w:t xml:space="preserve"> </w:t>
      </w:r>
      <w:r w:rsidRPr="003C1004">
        <w:rPr>
          <w:color w:val="000000" w:themeColor="text1"/>
        </w:rPr>
        <w:t>property</w:t>
      </w:r>
      <w:r w:rsidR="00C64050">
        <w:rPr>
          <w:color w:val="000000" w:themeColor="text1"/>
        </w:rPr>
        <w:t xml:space="preserve"> </w:t>
      </w:r>
      <w:r w:rsidRPr="003C1004">
        <w:rPr>
          <w:color w:val="000000" w:themeColor="text1"/>
        </w:rPr>
        <w:t>transferred</w:t>
      </w:r>
      <w:r w:rsidR="00C64050">
        <w:rPr>
          <w:color w:val="000000" w:themeColor="text1"/>
        </w:rPr>
        <w:t xml:space="preserve"> </w:t>
      </w:r>
      <w:r w:rsidRPr="003C1004">
        <w:rPr>
          <w:color w:val="000000" w:themeColor="text1"/>
        </w:rPr>
        <w:t>in</w:t>
      </w:r>
      <w:r w:rsidR="00C64050">
        <w:rPr>
          <w:color w:val="000000" w:themeColor="text1"/>
        </w:rPr>
        <w:t xml:space="preserve"> </w:t>
      </w:r>
      <w:r w:rsidRPr="003C1004">
        <w:rPr>
          <w:color w:val="000000" w:themeColor="text1"/>
        </w:rPr>
        <w:t>which</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decedent</w:t>
      </w:r>
      <w:r w:rsidR="00C64050">
        <w:rPr>
          <w:color w:val="000000" w:themeColor="text1"/>
        </w:rPr>
        <w:t xml:space="preserve"> </w:t>
      </w:r>
      <w:r w:rsidRPr="003C1004">
        <w:rPr>
          <w:color w:val="000000" w:themeColor="text1"/>
        </w:rPr>
        <w:t>had</w:t>
      </w:r>
      <w:r w:rsidR="00C64050">
        <w:rPr>
          <w:color w:val="000000" w:themeColor="text1"/>
        </w:rPr>
        <w:t xml:space="preserve"> </w:t>
      </w:r>
      <w:r w:rsidRPr="003C1004">
        <w:rPr>
          <w:color w:val="000000" w:themeColor="text1"/>
        </w:rPr>
        <w:t>retained</w:t>
      </w:r>
      <w:r w:rsidR="00C64050">
        <w:rPr>
          <w:color w:val="000000" w:themeColor="text1"/>
        </w:rPr>
        <w:t xml:space="preserve"> </w:t>
      </w:r>
      <w:r w:rsidRPr="003C1004">
        <w:rPr>
          <w:color w:val="000000" w:themeColor="text1"/>
        </w:rPr>
        <w:t>an</w:t>
      </w:r>
      <w:r w:rsidR="00C64050">
        <w:rPr>
          <w:color w:val="000000" w:themeColor="text1"/>
        </w:rPr>
        <w:t xml:space="preserve"> </w:t>
      </w:r>
      <w:r w:rsidRPr="003C1004">
        <w:rPr>
          <w:color w:val="000000" w:themeColor="text1"/>
        </w:rPr>
        <w:t>interest.”</w:t>
      </w:r>
      <w:r w:rsidR="00C64050">
        <w:rPr>
          <w:color w:val="000000" w:themeColor="text1"/>
        </w:rPr>
        <w:t xml:space="preserve"> </w:t>
      </w:r>
      <w:r w:rsidRPr="003C1004">
        <w:rPr>
          <w:color w:val="000000" w:themeColor="text1"/>
        </w:rPr>
        <w:t>(Emphasis</w:t>
      </w:r>
      <w:r w:rsidR="00C64050">
        <w:rPr>
          <w:color w:val="000000" w:themeColor="text1"/>
        </w:rPr>
        <w:t xml:space="preserve"> </w:t>
      </w:r>
      <w:r w:rsidRPr="003C1004">
        <w:rPr>
          <w:color w:val="000000" w:themeColor="text1"/>
        </w:rPr>
        <w:t>added.)).</w:t>
      </w:r>
      <w:r w:rsidR="00C64050">
        <w:rPr>
          <w:color w:val="000000" w:themeColor="text1"/>
        </w:rPr>
        <w:t xml:space="preserve"> </w:t>
      </w:r>
      <w:r w:rsidRPr="003C1004">
        <w:rPr>
          <w:color w:val="000000" w:themeColor="text1"/>
        </w:rPr>
        <w:t>Instead,</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Court</w:t>
      </w:r>
      <w:r w:rsidR="00C64050">
        <w:rPr>
          <w:color w:val="000000" w:themeColor="text1"/>
        </w:rPr>
        <w:t xml:space="preserve"> </w:t>
      </w:r>
      <w:r w:rsidRPr="003C1004">
        <w:rPr>
          <w:color w:val="000000" w:themeColor="text1"/>
        </w:rPr>
        <w:t>holds</w:t>
      </w:r>
      <w:r w:rsidR="00C64050">
        <w:rPr>
          <w:color w:val="000000" w:themeColor="text1"/>
        </w:rPr>
        <w:t xml:space="preserve"> </w:t>
      </w:r>
      <w:r w:rsidRPr="003C1004">
        <w:rPr>
          <w:color w:val="000000" w:themeColor="text1"/>
        </w:rPr>
        <w:t>that</w:t>
      </w:r>
      <w:r w:rsidR="00C64050">
        <w:rPr>
          <w:color w:val="000000" w:themeColor="text1"/>
        </w:rPr>
        <w:t xml:space="preserve"> </w:t>
      </w:r>
      <w:hyperlink r:id="rId328" w:anchor="co_pp_d86d0000be040" w:history="1">
        <w:r w:rsidRPr="003C1004">
          <w:rPr>
            <w:color w:val="000000" w:themeColor="text1"/>
          </w:rPr>
          <w:t>section</w:t>
        </w:r>
        <w:r w:rsidR="00C64050">
          <w:rPr>
            <w:color w:val="000000" w:themeColor="text1"/>
          </w:rPr>
          <w:t xml:space="preserve"> </w:t>
        </w:r>
        <w:r w:rsidRPr="003C1004">
          <w:rPr>
            <w:color w:val="000000" w:themeColor="text1"/>
          </w:rPr>
          <w:t>2036(a)(2)</w:t>
        </w:r>
      </w:hyperlink>
      <w:r w:rsidR="00C64050">
        <w:rPr>
          <w:color w:val="000000" w:themeColor="text1"/>
        </w:rPr>
        <w:t xml:space="preserve"> </w:t>
      </w:r>
      <w:r w:rsidRPr="003C1004">
        <w:rPr>
          <w:color w:val="000000" w:themeColor="text1"/>
        </w:rPr>
        <w:t>brings</w:t>
      </w:r>
      <w:r w:rsidR="00C64050">
        <w:rPr>
          <w:color w:val="000000" w:themeColor="text1"/>
        </w:rPr>
        <w:t xml:space="preserve"> </w:t>
      </w:r>
      <w:r w:rsidRPr="003C1004">
        <w:rPr>
          <w:color w:val="000000" w:themeColor="text1"/>
        </w:rPr>
        <w:t>into</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gross</w:t>
      </w:r>
      <w:r w:rsidR="00C64050">
        <w:rPr>
          <w:color w:val="000000" w:themeColor="text1"/>
        </w:rPr>
        <w:t xml:space="preserve"> </w:t>
      </w:r>
      <w:r w:rsidRPr="003C1004">
        <w:rPr>
          <w:color w:val="000000" w:themeColor="text1"/>
        </w:rPr>
        <w:t>estate</w:t>
      </w:r>
      <w:r w:rsidR="00C64050">
        <w:rPr>
          <w:color w:val="000000" w:themeColor="text1"/>
        </w:rPr>
        <w:t xml:space="preserve"> </w:t>
      </w:r>
      <w:r w:rsidRPr="003C1004">
        <w:rPr>
          <w:color w:val="000000" w:themeColor="text1"/>
        </w:rPr>
        <w:t>a</w:t>
      </w:r>
      <w:r w:rsidR="00C64050">
        <w:rPr>
          <w:color w:val="000000" w:themeColor="text1"/>
        </w:rPr>
        <w:t xml:space="preserve"> </w:t>
      </w:r>
      <w:r w:rsidRPr="003C1004">
        <w:rPr>
          <w:color w:val="000000" w:themeColor="text1"/>
        </w:rPr>
        <w:t>much</w:t>
      </w:r>
      <w:r w:rsidR="00C64050">
        <w:rPr>
          <w:color w:val="000000" w:themeColor="text1"/>
        </w:rPr>
        <w:t xml:space="preserve"> </w:t>
      </w:r>
      <w:r w:rsidRPr="003C1004">
        <w:rPr>
          <w:color w:val="000000" w:themeColor="text1"/>
        </w:rPr>
        <w:t>smaller</w:t>
      </w:r>
      <w:r w:rsidR="00C64050">
        <w:rPr>
          <w:color w:val="000000" w:themeColor="text1"/>
        </w:rPr>
        <w:t xml:space="preserve"> </w:t>
      </w:r>
      <w:r w:rsidRPr="003C1004">
        <w:rPr>
          <w:color w:val="000000" w:themeColor="text1"/>
        </w:rPr>
        <w:t>sum:</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value</w:t>
      </w:r>
      <w:r w:rsidR="00C64050">
        <w:rPr>
          <w:color w:val="000000" w:themeColor="text1"/>
        </w:rPr>
        <w:t xml:space="preserve"> </w:t>
      </w:r>
      <w:r w:rsidRPr="003C1004">
        <w:rPr>
          <w:color w:val="000000" w:themeColor="text1"/>
        </w:rPr>
        <w:t>of</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cash</w:t>
      </w:r>
      <w:r w:rsidR="00C64050">
        <w:rPr>
          <w:color w:val="000000" w:themeColor="text1"/>
        </w:rPr>
        <w:t xml:space="preserve"> </w:t>
      </w:r>
      <w:r w:rsidRPr="003C1004">
        <w:rPr>
          <w:color w:val="000000" w:themeColor="text1"/>
        </w:rPr>
        <w:t>and</w:t>
      </w:r>
      <w:r w:rsidR="00C64050">
        <w:rPr>
          <w:color w:val="000000" w:themeColor="text1"/>
        </w:rPr>
        <w:t xml:space="preserve"> </w:t>
      </w:r>
      <w:r w:rsidRPr="003C1004">
        <w:rPr>
          <w:color w:val="000000" w:themeColor="text1"/>
        </w:rPr>
        <w:t>securities</w:t>
      </w:r>
      <w:r w:rsidR="00C64050">
        <w:rPr>
          <w:color w:val="000000" w:themeColor="text1"/>
        </w:rPr>
        <w:t xml:space="preserve"> </w:t>
      </w:r>
      <w:r w:rsidRPr="003C1004">
        <w:rPr>
          <w:color w:val="000000" w:themeColor="text1"/>
        </w:rPr>
        <w:t>($10</w:t>
      </w:r>
      <w:r w:rsidR="00C64050">
        <w:rPr>
          <w:color w:val="000000" w:themeColor="text1"/>
        </w:rPr>
        <w:t xml:space="preserve"> </w:t>
      </w:r>
      <w:r w:rsidRPr="003C1004">
        <w:rPr>
          <w:color w:val="000000" w:themeColor="text1"/>
        </w:rPr>
        <w:t>million)</w:t>
      </w:r>
      <w:r w:rsidR="00C64050">
        <w:rPr>
          <w:color w:val="000000" w:themeColor="text1"/>
        </w:rPr>
        <w:t xml:space="preserve"> </w:t>
      </w:r>
      <w:r w:rsidRPr="003C1004">
        <w:rPr>
          <w:color w:val="000000" w:themeColor="text1"/>
          <w:u w:val="single"/>
        </w:rPr>
        <w:t>minus</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value</w:t>
      </w:r>
      <w:r w:rsidR="00C64050">
        <w:rPr>
          <w:color w:val="000000" w:themeColor="text1"/>
        </w:rPr>
        <w:t xml:space="preserve"> </w:t>
      </w:r>
      <w:r w:rsidRPr="003C1004">
        <w:rPr>
          <w:color w:val="000000" w:themeColor="text1"/>
        </w:rPr>
        <w:t>of</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limited</w:t>
      </w:r>
      <w:r w:rsidR="00C64050">
        <w:rPr>
          <w:color w:val="000000" w:themeColor="text1"/>
        </w:rPr>
        <w:t xml:space="preserve"> </w:t>
      </w:r>
      <w:r w:rsidRPr="003C1004">
        <w:rPr>
          <w:color w:val="000000" w:themeColor="text1"/>
        </w:rPr>
        <w:t>partnership</w:t>
      </w:r>
      <w:r w:rsidR="00C64050">
        <w:rPr>
          <w:color w:val="000000" w:themeColor="text1"/>
        </w:rPr>
        <w:t xml:space="preserve"> </w:t>
      </w:r>
      <w:r w:rsidRPr="003C1004">
        <w:rPr>
          <w:color w:val="000000" w:themeColor="text1"/>
        </w:rPr>
        <w:t>interest</w:t>
      </w:r>
      <w:r w:rsidR="00C64050">
        <w:rPr>
          <w:color w:val="000000" w:themeColor="text1"/>
        </w:rPr>
        <w:t xml:space="preserve"> </w:t>
      </w:r>
      <w:r w:rsidRPr="003C1004">
        <w:rPr>
          <w:color w:val="000000" w:themeColor="text1"/>
        </w:rPr>
        <w:t>that</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decedent</w:t>
      </w:r>
      <w:r w:rsidR="00C64050">
        <w:rPr>
          <w:color w:val="000000" w:themeColor="text1"/>
        </w:rPr>
        <w:t xml:space="preserve"> </w:t>
      </w:r>
      <w:r w:rsidRPr="003C1004">
        <w:rPr>
          <w:color w:val="000000" w:themeColor="text1"/>
        </w:rPr>
        <w:t>got</w:t>
      </w:r>
      <w:r w:rsidR="00C64050">
        <w:rPr>
          <w:color w:val="000000" w:themeColor="text1"/>
        </w:rPr>
        <w:t xml:space="preserve"> </w:t>
      </w:r>
      <w:r w:rsidRPr="003C1004">
        <w:rPr>
          <w:color w:val="000000" w:themeColor="text1"/>
        </w:rPr>
        <w:t>in</w:t>
      </w:r>
      <w:r w:rsidR="00C64050">
        <w:rPr>
          <w:color w:val="000000" w:themeColor="text1"/>
        </w:rPr>
        <w:t xml:space="preserve"> </w:t>
      </w:r>
      <w:r w:rsidRPr="003C1004">
        <w:rPr>
          <w:color w:val="000000" w:themeColor="text1"/>
        </w:rPr>
        <w:t>exchange.</w:t>
      </w:r>
      <w:r w:rsidR="00C64050">
        <w:rPr>
          <w:color w:val="000000" w:themeColor="text1"/>
        </w:rPr>
        <w:t xml:space="preserve"> </w:t>
      </w:r>
      <w:r w:rsidRPr="003C1004">
        <w:rPr>
          <w:color w:val="000000" w:themeColor="text1"/>
        </w:rPr>
        <w:t>Otherwise,</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Court</w:t>
      </w:r>
      <w:r w:rsidR="00C64050">
        <w:rPr>
          <w:color w:val="000000" w:themeColor="text1"/>
        </w:rPr>
        <w:t xml:space="preserve"> </w:t>
      </w:r>
      <w:r w:rsidRPr="003C1004">
        <w:rPr>
          <w:color w:val="000000" w:themeColor="text1"/>
        </w:rPr>
        <w:t>says,</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$10</w:t>
      </w:r>
      <w:r w:rsidR="00C64050">
        <w:rPr>
          <w:color w:val="000000" w:themeColor="text1"/>
        </w:rPr>
        <w:t xml:space="preserve"> </w:t>
      </w:r>
      <w:r w:rsidRPr="003C1004">
        <w:rPr>
          <w:color w:val="000000" w:themeColor="text1"/>
        </w:rPr>
        <w:t>million</w:t>
      </w:r>
      <w:r w:rsidR="00C64050">
        <w:rPr>
          <w:color w:val="000000" w:themeColor="text1"/>
        </w:rPr>
        <w:t xml:space="preserve"> </w:t>
      </w:r>
      <w:r w:rsidRPr="003C1004">
        <w:rPr>
          <w:color w:val="000000" w:themeColor="text1"/>
        </w:rPr>
        <w:t>would</w:t>
      </w:r>
      <w:r w:rsidR="00C64050">
        <w:rPr>
          <w:color w:val="000000" w:themeColor="text1"/>
        </w:rPr>
        <w:t xml:space="preserve"> </w:t>
      </w:r>
      <w:r w:rsidRPr="003C1004">
        <w:rPr>
          <w:color w:val="000000" w:themeColor="text1"/>
        </w:rPr>
        <w:t>be</w:t>
      </w:r>
      <w:r w:rsidR="00C64050">
        <w:rPr>
          <w:color w:val="000000" w:themeColor="text1"/>
        </w:rPr>
        <w:t xml:space="preserve"> </w:t>
      </w:r>
      <w:r w:rsidRPr="003C1004">
        <w:rPr>
          <w:color w:val="000000" w:themeColor="text1"/>
        </w:rPr>
        <w:t>included</w:t>
      </w:r>
      <w:r w:rsidR="00C64050">
        <w:rPr>
          <w:color w:val="000000" w:themeColor="text1"/>
        </w:rPr>
        <w:t xml:space="preserve"> </w:t>
      </w:r>
      <w:r w:rsidRPr="003C1004">
        <w:rPr>
          <w:color w:val="000000" w:themeColor="text1"/>
        </w:rPr>
        <w:t>in</w:t>
      </w:r>
      <w:r w:rsidR="00C64050">
        <w:rPr>
          <w:color w:val="000000" w:themeColor="text1"/>
        </w:rPr>
        <w:t xml:space="preserve"> </w:t>
      </w:r>
      <w:r w:rsidRPr="003C1004">
        <w:rPr>
          <w:color w:val="000000" w:themeColor="text1"/>
        </w:rPr>
        <w:t>her</w:t>
      </w:r>
      <w:r w:rsidR="00C64050">
        <w:rPr>
          <w:color w:val="000000" w:themeColor="text1"/>
        </w:rPr>
        <w:t xml:space="preserve"> </w:t>
      </w:r>
      <w:r w:rsidRPr="003C1004">
        <w:rPr>
          <w:color w:val="000000" w:themeColor="text1"/>
        </w:rPr>
        <w:t>estate</w:t>
      </w:r>
      <w:r w:rsidR="00C64050">
        <w:rPr>
          <w:color w:val="000000" w:themeColor="text1"/>
        </w:rPr>
        <w:t xml:space="preserve"> </w:t>
      </w:r>
      <w:r w:rsidRPr="003C1004">
        <w:rPr>
          <w:color w:val="000000" w:themeColor="text1"/>
        </w:rPr>
        <w:t>twice:</w:t>
      </w:r>
      <w:r w:rsidR="00C64050">
        <w:rPr>
          <w:color w:val="000000" w:themeColor="text1"/>
        </w:rPr>
        <w:t xml:space="preserve"> </w:t>
      </w:r>
      <w:r w:rsidRPr="003C1004">
        <w:rPr>
          <w:color w:val="000000" w:themeColor="text1"/>
        </w:rPr>
        <w:t>first</w:t>
      </w:r>
      <w:r w:rsidR="00C64050">
        <w:rPr>
          <w:color w:val="000000" w:themeColor="text1"/>
        </w:rPr>
        <w:t xml:space="preserve"> </w:t>
      </w:r>
      <w:r w:rsidRPr="003C1004">
        <w:rPr>
          <w:color w:val="000000" w:themeColor="text1"/>
        </w:rPr>
        <w:t>via</w:t>
      </w:r>
      <w:r w:rsidR="00C64050">
        <w:rPr>
          <w:color w:val="000000" w:themeColor="text1"/>
        </w:rPr>
        <w:t xml:space="preserve"> </w:t>
      </w:r>
      <w:r w:rsidRPr="003C1004">
        <w:rPr>
          <w:color w:val="000000" w:themeColor="text1"/>
        </w:rPr>
        <w:t>section</w:t>
      </w:r>
      <w:r w:rsidR="00C64050">
        <w:rPr>
          <w:color w:val="000000" w:themeColor="text1"/>
        </w:rPr>
        <w:t xml:space="preserve"> </w:t>
      </w:r>
      <w:r w:rsidRPr="003C1004">
        <w:rPr>
          <w:color w:val="000000" w:themeColor="text1"/>
        </w:rPr>
        <w:t>2036(a)(2)</w:t>
      </w:r>
      <w:r w:rsidR="00C64050">
        <w:rPr>
          <w:color w:val="000000" w:themeColor="text1"/>
        </w:rPr>
        <w:t xml:space="preserve"> </w:t>
      </w:r>
      <w:r w:rsidRPr="003C1004">
        <w:rPr>
          <w:color w:val="000000" w:themeColor="text1"/>
        </w:rPr>
        <w:t>and</w:t>
      </w:r>
      <w:r w:rsidR="00C64050">
        <w:rPr>
          <w:color w:val="000000" w:themeColor="text1"/>
        </w:rPr>
        <w:t xml:space="preserve"> </w:t>
      </w:r>
      <w:r w:rsidRPr="003C1004">
        <w:rPr>
          <w:color w:val="000000" w:themeColor="text1"/>
        </w:rPr>
        <w:t>again</w:t>
      </w:r>
      <w:r w:rsidR="00C64050">
        <w:rPr>
          <w:color w:val="000000" w:themeColor="text1"/>
        </w:rPr>
        <w:t xml:space="preserve"> </w:t>
      </w:r>
      <w:r w:rsidRPr="003C1004">
        <w:rPr>
          <w:color w:val="000000" w:themeColor="text1"/>
        </w:rPr>
        <w:t>via</w:t>
      </w:r>
      <w:r w:rsidR="00C64050">
        <w:rPr>
          <w:color w:val="000000" w:themeColor="text1"/>
        </w:rPr>
        <w:t xml:space="preserve"> </w:t>
      </w:r>
      <w:r w:rsidRPr="003C1004">
        <w:rPr>
          <w:color w:val="000000" w:themeColor="text1"/>
        </w:rPr>
        <w:t>her</w:t>
      </w:r>
      <w:r w:rsidR="00C64050">
        <w:rPr>
          <w:color w:val="000000" w:themeColor="text1"/>
        </w:rPr>
        <w:t xml:space="preserve"> </w:t>
      </w:r>
      <w:r w:rsidRPr="003C1004">
        <w:rPr>
          <w:color w:val="000000" w:themeColor="text1"/>
        </w:rPr>
        <w:t>partnership</w:t>
      </w:r>
      <w:r w:rsidR="00C64050">
        <w:rPr>
          <w:color w:val="000000" w:themeColor="text1"/>
        </w:rPr>
        <w:t xml:space="preserve"> </w:t>
      </w:r>
      <w:r w:rsidRPr="003C1004">
        <w:rPr>
          <w:color w:val="000000" w:themeColor="text1"/>
        </w:rPr>
        <w:t>interest,</w:t>
      </w:r>
      <w:r w:rsidR="00C64050">
        <w:rPr>
          <w:color w:val="000000" w:themeColor="text1"/>
        </w:rPr>
        <w:t xml:space="preserve"> </w:t>
      </w:r>
      <w:r w:rsidRPr="003C1004">
        <w:rPr>
          <w:color w:val="000000" w:themeColor="text1"/>
        </w:rPr>
        <w:t>which</w:t>
      </w:r>
      <w:r w:rsidR="00C64050">
        <w:rPr>
          <w:color w:val="000000" w:themeColor="text1"/>
        </w:rPr>
        <w:t xml:space="preserve"> </w:t>
      </w:r>
      <w:r w:rsidRPr="003C1004">
        <w:rPr>
          <w:color w:val="000000" w:themeColor="text1"/>
        </w:rPr>
        <w:t>would</w:t>
      </w:r>
      <w:r w:rsidR="00C64050">
        <w:rPr>
          <w:color w:val="000000" w:themeColor="text1"/>
        </w:rPr>
        <w:t xml:space="preserve"> </w:t>
      </w:r>
      <w:r w:rsidRPr="003C1004">
        <w:rPr>
          <w:color w:val="000000" w:themeColor="text1"/>
        </w:rPr>
        <w:t>be</w:t>
      </w:r>
      <w:r w:rsidR="00C64050">
        <w:rPr>
          <w:color w:val="000000" w:themeColor="text1"/>
        </w:rPr>
        <w:t xml:space="preserve"> </w:t>
      </w:r>
      <w:r w:rsidRPr="003C1004">
        <w:rPr>
          <w:color w:val="000000" w:themeColor="text1"/>
        </w:rPr>
        <w:t>separately</w:t>
      </w:r>
      <w:r w:rsidR="00C64050">
        <w:rPr>
          <w:color w:val="000000" w:themeColor="text1"/>
        </w:rPr>
        <w:t xml:space="preserve"> </w:t>
      </w:r>
      <w:r w:rsidRPr="003C1004">
        <w:rPr>
          <w:color w:val="000000" w:themeColor="text1"/>
        </w:rPr>
        <w:t>includible</w:t>
      </w:r>
      <w:r w:rsidR="00C64050">
        <w:rPr>
          <w:color w:val="000000" w:themeColor="text1"/>
        </w:rPr>
        <w:t xml:space="preserve"> </w:t>
      </w:r>
      <w:r w:rsidRPr="003C1004">
        <w:rPr>
          <w:color w:val="000000" w:themeColor="text1"/>
        </w:rPr>
        <w:t>as</w:t>
      </w:r>
      <w:r w:rsidR="00C64050">
        <w:rPr>
          <w:color w:val="000000" w:themeColor="text1"/>
        </w:rPr>
        <w:t xml:space="preserve"> </w:t>
      </w:r>
      <w:r w:rsidRPr="003C1004">
        <w:rPr>
          <w:color w:val="000000" w:themeColor="text1"/>
        </w:rPr>
        <w:t>property</w:t>
      </w:r>
      <w:r w:rsidR="00C64050">
        <w:rPr>
          <w:color w:val="000000" w:themeColor="text1"/>
        </w:rPr>
        <w:t xml:space="preserve"> </w:t>
      </w:r>
      <w:r w:rsidRPr="003C1004">
        <w:rPr>
          <w:color w:val="000000" w:themeColor="text1"/>
        </w:rPr>
        <w:t>of</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estate</w:t>
      </w:r>
      <w:r w:rsidR="00C64050">
        <w:rPr>
          <w:color w:val="000000" w:themeColor="text1"/>
        </w:rPr>
        <w:t xml:space="preserve"> </w:t>
      </w:r>
      <w:r w:rsidRPr="003C1004">
        <w:rPr>
          <w:color w:val="000000" w:themeColor="text1"/>
        </w:rPr>
        <w:t>under</w:t>
      </w:r>
      <w:r w:rsidR="00C64050">
        <w:rPr>
          <w:color w:val="000000" w:themeColor="text1"/>
        </w:rPr>
        <w:t xml:space="preserve"> </w:t>
      </w:r>
      <w:r w:rsidRPr="003C1004">
        <w:rPr>
          <w:color w:val="000000" w:themeColor="text1"/>
        </w:rPr>
        <w:t>section</w:t>
      </w:r>
      <w:r w:rsidR="00C64050">
        <w:rPr>
          <w:color w:val="000000" w:themeColor="text1"/>
        </w:rPr>
        <w:t xml:space="preserve"> </w:t>
      </w:r>
      <w:r w:rsidRPr="003C1004">
        <w:rPr>
          <w:color w:val="000000" w:themeColor="text1"/>
        </w:rPr>
        <w:t>2033.</w:t>
      </w:r>
    </w:p>
    <w:p w:rsidR="003C1004" w:rsidRPr="003C1004" w:rsidRDefault="003C1004" w:rsidP="003C1004">
      <w:pPr>
        <w:pStyle w:val="QS10"/>
        <w:rPr>
          <w:color w:val="000000" w:themeColor="text1"/>
        </w:rPr>
      </w:pPr>
      <w:r w:rsidRPr="003C1004">
        <w:rPr>
          <w:color w:val="000000" w:themeColor="text1"/>
        </w:rPr>
        <w:t>This</w:t>
      </w:r>
      <w:r w:rsidR="00C64050">
        <w:rPr>
          <w:color w:val="000000" w:themeColor="text1"/>
        </w:rPr>
        <w:t xml:space="preserve"> </w:t>
      </w:r>
      <w:r w:rsidRPr="003C1004">
        <w:rPr>
          <w:color w:val="000000" w:themeColor="text1"/>
        </w:rPr>
        <w:t>is</w:t>
      </w:r>
      <w:r w:rsidR="00C64050">
        <w:rPr>
          <w:color w:val="000000" w:themeColor="text1"/>
        </w:rPr>
        <w:t xml:space="preserve"> </w:t>
      </w:r>
      <w:r w:rsidRPr="003C1004">
        <w:rPr>
          <w:color w:val="000000" w:themeColor="text1"/>
        </w:rPr>
        <w:t>where</w:t>
      </w:r>
      <w:r w:rsidR="00C64050">
        <w:rPr>
          <w:color w:val="000000" w:themeColor="text1"/>
        </w:rPr>
        <w:t xml:space="preserve"> </w:t>
      </w:r>
      <w:r w:rsidRPr="003C1004">
        <w:rPr>
          <w:color w:val="000000" w:themeColor="text1"/>
        </w:rPr>
        <w:t>I</w:t>
      </w:r>
      <w:r w:rsidR="00C64050">
        <w:rPr>
          <w:color w:val="000000" w:themeColor="text1"/>
        </w:rPr>
        <w:t xml:space="preserve"> </w:t>
      </w:r>
      <w:r w:rsidRPr="003C1004">
        <w:rPr>
          <w:color w:val="000000" w:themeColor="text1"/>
        </w:rPr>
        <w:t>part</w:t>
      </w:r>
      <w:r w:rsidR="00C64050">
        <w:rPr>
          <w:color w:val="000000" w:themeColor="text1"/>
        </w:rPr>
        <w:t xml:space="preserve"> </w:t>
      </w:r>
      <w:r w:rsidRPr="003C1004">
        <w:rPr>
          <w:color w:val="000000" w:themeColor="text1"/>
        </w:rPr>
        <w:t>company</w:t>
      </w:r>
      <w:r w:rsidR="00C64050">
        <w:rPr>
          <w:color w:val="000000" w:themeColor="text1"/>
        </w:rPr>
        <w:t xml:space="preserve"> </w:t>
      </w:r>
      <w:r w:rsidRPr="003C1004">
        <w:rPr>
          <w:color w:val="000000" w:themeColor="text1"/>
        </w:rPr>
        <w:t>with</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Court,</w:t>
      </w:r>
      <w:r w:rsidR="00C64050">
        <w:rPr>
          <w:color w:val="000000" w:themeColor="text1"/>
        </w:rPr>
        <w:t xml:space="preserve"> </w:t>
      </w:r>
      <w:r w:rsidRPr="003C1004">
        <w:rPr>
          <w:color w:val="000000" w:themeColor="text1"/>
        </w:rPr>
        <w:t>because</w:t>
      </w:r>
      <w:r w:rsidR="00C64050">
        <w:rPr>
          <w:color w:val="000000" w:themeColor="text1"/>
        </w:rPr>
        <w:t xml:space="preserve"> </w:t>
      </w:r>
      <w:r w:rsidRPr="003C1004">
        <w:rPr>
          <w:color w:val="000000" w:themeColor="text1"/>
        </w:rPr>
        <w:t>I</w:t>
      </w:r>
      <w:r w:rsidR="00C64050">
        <w:rPr>
          <w:color w:val="000000" w:themeColor="text1"/>
        </w:rPr>
        <w:t xml:space="preserve"> </w:t>
      </w:r>
      <w:r w:rsidRPr="003C1004">
        <w:rPr>
          <w:color w:val="000000" w:themeColor="text1"/>
        </w:rPr>
        <w:t>do</w:t>
      </w:r>
      <w:r w:rsidR="00C64050">
        <w:rPr>
          <w:color w:val="000000" w:themeColor="text1"/>
        </w:rPr>
        <w:t xml:space="preserve"> </w:t>
      </w:r>
      <w:r w:rsidRPr="003C1004">
        <w:rPr>
          <w:color w:val="000000" w:themeColor="text1"/>
        </w:rPr>
        <w:t>not</w:t>
      </w:r>
      <w:r w:rsidR="00C64050">
        <w:rPr>
          <w:color w:val="000000" w:themeColor="text1"/>
        </w:rPr>
        <w:t xml:space="preserve"> </w:t>
      </w:r>
      <w:r w:rsidRPr="003C1004">
        <w:rPr>
          <w:color w:val="000000" w:themeColor="text1"/>
        </w:rPr>
        <w:t>see</w:t>
      </w:r>
      <w:r w:rsidR="00C64050">
        <w:rPr>
          <w:color w:val="000000" w:themeColor="text1"/>
        </w:rPr>
        <w:t xml:space="preserve"> </w:t>
      </w:r>
      <w:r w:rsidRPr="003C1004">
        <w:rPr>
          <w:color w:val="000000" w:themeColor="text1"/>
        </w:rPr>
        <w:t>any</w:t>
      </w:r>
      <w:r w:rsidR="00C64050">
        <w:rPr>
          <w:color w:val="000000" w:themeColor="text1"/>
        </w:rPr>
        <w:t xml:space="preserve"> </w:t>
      </w:r>
      <w:r w:rsidRPr="003C1004">
        <w:rPr>
          <w:color w:val="000000" w:themeColor="text1"/>
        </w:rPr>
        <w:t>“double</w:t>
      </w:r>
      <w:r w:rsidR="00C64050">
        <w:rPr>
          <w:color w:val="000000" w:themeColor="text1"/>
        </w:rPr>
        <w:t xml:space="preserve"> </w:t>
      </w:r>
      <w:r w:rsidRPr="003C1004">
        <w:rPr>
          <w:color w:val="000000" w:themeColor="text1"/>
        </w:rPr>
        <w:t>inclusion”</w:t>
      </w:r>
      <w:r w:rsidR="00C64050">
        <w:rPr>
          <w:color w:val="000000" w:themeColor="text1"/>
        </w:rPr>
        <w:t xml:space="preserve"> </w:t>
      </w:r>
      <w:r w:rsidRPr="003C1004">
        <w:rPr>
          <w:color w:val="000000" w:themeColor="text1"/>
        </w:rPr>
        <w:t>problem.</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decedent's</w:t>
      </w:r>
      <w:r w:rsidR="00C64050">
        <w:rPr>
          <w:color w:val="000000" w:themeColor="text1"/>
        </w:rPr>
        <w:t xml:space="preserve"> </w:t>
      </w:r>
      <w:r w:rsidRPr="003C1004">
        <w:rPr>
          <w:color w:val="000000" w:themeColor="text1"/>
        </w:rPr>
        <w:t>supposed</w:t>
      </w:r>
      <w:r w:rsidR="00C64050">
        <w:rPr>
          <w:color w:val="000000" w:themeColor="text1"/>
        </w:rPr>
        <w:t xml:space="preserve"> </w:t>
      </w:r>
      <w:r w:rsidRPr="003C1004">
        <w:rPr>
          <w:color w:val="000000" w:themeColor="text1"/>
        </w:rPr>
        <w:t>partnership</w:t>
      </w:r>
      <w:r w:rsidR="00C64050">
        <w:rPr>
          <w:color w:val="000000" w:themeColor="text1"/>
        </w:rPr>
        <w:t xml:space="preserve"> </w:t>
      </w:r>
      <w:r w:rsidRPr="003C1004">
        <w:rPr>
          <w:color w:val="000000" w:themeColor="text1"/>
        </w:rPr>
        <w:t>interest</w:t>
      </w:r>
      <w:r w:rsidR="00C64050">
        <w:rPr>
          <w:color w:val="000000" w:themeColor="text1"/>
        </w:rPr>
        <w:t xml:space="preserve"> </w:t>
      </w:r>
      <w:r w:rsidRPr="003C1004">
        <w:rPr>
          <w:color w:val="000000" w:themeColor="text1"/>
        </w:rPr>
        <w:t>obviously</w:t>
      </w:r>
      <w:r w:rsidR="00C64050">
        <w:rPr>
          <w:color w:val="000000" w:themeColor="text1"/>
        </w:rPr>
        <w:t xml:space="preserve"> </w:t>
      </w:r>
      <w:r w:rsidRPr="003C1004">
        <w:rPr>
          <w:color w:val="000000" w:themeColor="text1"/>
        </w:rPr>
        <w:t>had</w:t>
      </w:r>
      <w:r w:rsidR="00C64050">
        <w:rPr>
          <w:color w:val="000000" w:themeColor="text1"/>
        </w:rPr>
        <w:t xml:space="preserve"> </w:t>
      </w:r>
      <w:r w:rsidRPr="003C1004">
        <w:rPr>
          <w:color w:val="000000" w:themeColor="text1"/>
        </w:rPr>
        <w:t>no</w:t>
      </w:r>
      <w:r w:rsidR="00C64050">
        <w:rPr>
          <w:color w:val="000000" w:themeColor="text1"/>
        </w:rPr>
        <w:t xml:space="preserve"> </w:t>
      </w:r>
      <w:r w:rsidRPr="003C1004">
        <w:rPr>
          <w:color w:val="000000" w:themeColor="text1"/>
        </w:rPr>
        <w:t>value</w:t>
      </w:r>
      <w:r w:rsidR="00C64050">
        <w:rPr>
          <w:color w:val="000000" w:themeColor="text1"/>
        </w:rPr>
        <w:t xml:space="preserve"> </w:t>
      </w:r>
      <w:r w:rsidRPr="003C1004">
        <w:rPr>
          <w:color w:val="000000" w:themeColor="text1"/>
        </w:rPr>
        <w:t>apart</w:t>
      </w:r>
      <w:r w:rsidR="00C64050">
        <w:rPr>
          <w:color w:val="000000" w:themeColor="text1"/>
        </w:rPr>
        <w:t xml:space="preserve"> </w:t>
      </w:r>
      <w:r w:rsidRPr="003C1004">
        <w:rPr>
          <w:color w:val="000000" w:themeColor="text1"/>
        </w:rPr>
        <w:t>from</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cash</w:t>
      </w:r>
      <w:r w:rsidR="00C64050">
        <w:rPr>
          <w:color w:val="000000" w:themeColor="text1"/>
        </w:rPr>
        <w:t xml:space="preserve"> </w:t>
      </w:r>
      <w:r w:rsidRPr="003C1004">
        <w:rPr>
          <w:color w:val="000000" w:themeColor="text1"/>
        </w:rPr>
        <w:t>and</w:t>
      </w:r>
      <w:r w:rsidR="00C64050">
        <w:rPr>
          <w:color w:val="000000" w:themeColor="text1"/>
        </w:rPr>
        <w:t xml:space="preserve"> </w:t>
      </w:r>
      <w:r w:rsidRPr="003C1004">
        <w:rPr>
          <w:color w:val="000000" w:themeColor="text1"/>
        </w:rPr>
        <w:t>securities</w:t>
      </w:r>
      <w:r w:rsidR="00C64050">
        <w:rPr>
          <w:color w:val="000000" w:themeColor="text1"/>
        </w:rPr>
        <w:t xml:space="preserve"> </w:t>
      </w:r>
      <w:r w:rsidRPr="003C1004">
        <w:rPr>
          <w:color w:val="000000" w:themeColor="text1"/>
        </w:rPr>
        <w:t>that</w:t>
      </w:r>
      <w:r w:rsidR="00C64050">
        <w:rPr>
          <w:color w:val="000000" w:themeColor="text1"/>
        </w:rPr>
        <w:t xml:space="preserve"> </w:t>
      </w:r>
      <w:r w:rsidRPr="003C1004">
        <w:rPr>
          <w:color w:val="000000" w:themeColor="text1"/>
        </w:rPr>
        <w:t>she</w:t>
      </w:r>
      <w:r w:rsidR="00C64050">
        <w:rPr>
          <w:color w:val="000000" w:themeColor="text1"/>
        </w:rPr>
        <w:t xml:space="preserve"> </w:t>
      </w:r>
      <w:r w:rsidRPr="003C1004">
        <w:rPr>
          <w:color w:val="000000" w:themeColor="text1"/>
        </w:rPr>
        <w:t>allegedly</w:t>
      </w:r>
      <w:r w:rsidR="00C64050">
        <w:rPr>
          <w:color w:val="000000" w:themeColor="text1"/>
        </w:rPr>
        <w:t xml:space="preserve"> </w:t>
      </w:r>
      <w:r w:rsidRPr="003C1004">
        <w:rPr>
          <w:color w:val="000000" w:themeColor="text1"/>
        </w:rPr>
        <w:t>contributed</w:t>
      </w:r>
      <w:r w:rsidR="00C64050">
        <w:rPr>
          <w:color w:val="000000" w:themeColor="text1"/>
        </w:rPr>
        <w:t xml:space="preserve"> </w:t>
      </w:r>
      <w:r w:rsidRPr="003C1004">
        <w:rPr>
          <w:color w:val="000000" w:themeColor="text1"/>
        </w:rPr>
        <w:t>to</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partnership.</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partnership</w:t>
      </w:r>
      <w:r w:rsidR="00C64050">
        <w:rPr>
          <w:color w:val="000000" w:themeColor="text1"/>
        </w:rPr>
        <w:t xml:space="preserve"> </w:t>
      </w:r>
      <w:r w:rsidRPr="003C1004">
        <w:rPr>
          <w:color w:val="000000" w:themeColor="text1"/>
        </w:rPr>
        <w:t>was</w:t>
      </w:r>
      <w:r w:rsidR="00C64050">
        <w:rPr>
          <w:color w:val="000000" w:themeColor="text1"/>
        </w:rPr>
        <w:t xml:space="preserve"> </w:t>
      </w:r>
      <w:r w:rsidRPr="003C1004">
        <w:rPr>
          <w:color w:val="000000" w:themeColor="text1"/>
        </w:rPr>
        <w:t>an</w:t>
      </w:r>
      <w:r w:rsidR="00C64050">
        <w:rPr>
          <w:color w:val="000000" w:themeColor="text1"/>
        </w:rPr>
        <w:t xml:space="preserve"> </w:t>
      </w:r>
      <w:r w:rsidRPr="003C1004">
        <w:rPr>
          <w:color w:val="000000" w:themeColor="text1"/>
        </w:rPr>
        <w:t>empty</w:t>
      </w:r>
      <w:r w:rsidR="00C64050">
        <w:rPr>
          <w:color w:val="000000" w:themeColor="text1"/>
        </w:rPr>
        <w:t xml:space="preserve"> </w:t>
      </w:r>
      <w:r w:rsidRPr="003C1004">
        <w:rPr>
          <w:color w:val="000000" w:themeColor="text1"/>
        </w:rPr>
        <w:t>box</w:t>
      </w:r>
      <w:r w:rsidR="00C64050">
        <w:rPr>
          <w:color w:val="000000" w:themeColor="text1"/>
        </w:rPr>
        <w:t xml:space="preserve"> </w:t>
      </w:r>
      <w:r w:rsidRPr="003C1004">
        <w:rPr>
          <w:color w:val="000000" w:themeColor="text1"/>
        </w:rPr>
        <w:t>into</w:t>
      </w:r>
      <w:r w:rsidR="00C64050">
        <w:rPr>
          <w:color w:val="000000" w:themeColor="text1"/>
        </w:rPr>
        <w:t xml:space="preserve"> </w:t>
      </w:r>
      <w:r w:rsidRPr="003C1004">
        <w:rPr>
          <w:color w:val="000000" w:themeColor="text1"/>
        </w:rPr>
        <w:t>which</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$10</w:t>
      </w:r>
      <w:r w:rsidR="00C64050">
        <w:rPr>
          <w:color w:val="000000" w:themeColor="text1"/>
        </w:rPr>
        <w:t xml:space="preserve"> </w:t>
      </w:r>
      <w:r w:rsidRPr="003C1004">
        <w:rPr>
          <w:color w:val="000000" w:themeColor="text1"/>
        </w:rPr>
        <w:t>million</w:t>
      </w:r>
      <w:r w:rsidR="00C64050">
        <w:rPr>
          <w:color w:val="000000" w:themeColor="text1"/>
        </w:rPr>
        <w:t xml:space="preserve"> </w:t>
      </w:r>
      <w:r w:rsidRPr="003C1004">
        <w:rPr>
          <w:color w:val="000000" w:themeColor="text1"/>
        </w:rPr>
        <w:t>was</w:t>
      </w:r>
      <w:r w:rsidR="00C64050">
        <w:rPr>
          <w:color w:val="000000" w:themeColor="text1"/>
        </w:rPr>
        <w:t xml:space="preserve"> </w:t>
      </w:r>
      <w:r w:rsidRPr="003C1004">
        <w:rPr>
          <w:color w:val="000000" w:themeColor="text1"/>
        </w:rPr>
        <w:t>notionally</w:t>
      </w:r>
      <w:r w:rsidR="00C64050">
        <w:rPr>
          <w:color w:val="000000" w:themeColor="text1"/>
        </w:rPr>
        <w:t xml:space="preserve"> </w:t>
      </w:r>
      <w:r w:rsidRPr="003C1004">
        <w:rPr>
          <w:color w:val="000000" w:themeColor="text1"/>
        </w:rPr>
        <w:t>placed.</w:t>
      </w:r>
      <w:r w:rsidR="00C64050">
        <w:rPr>
          <w:color w:val="000000" w:themeColor="text1"/>
        </w:rPr>
        <w:t xml:space="preserve"> </w:t>
      </w:r>
      <w:r w:rsidRPr="003C1004">
        <w:rPr>
          <w:color w:val="000000" w:themeColor="text1"/>
        </w:rPr>
        <w:t>Once</w:t>
      </w:r>
      <w:r w:rsidR="00C64050">
        <w:rPr>
          <w:color w:val="000000" w:themeColor="text1"/>
        </w:rPr>
        <w:t xml:space="preserve"> </w:t>
      </w:r>
      <w:r w:rsidRPr="003C1004">
        <w:rPr>
          <w:color w:val="000000" w:themeColor="text1"/>
        </w:rPr>
        <w:t>that</w:t>
      </w:r>
      <w:r w:rsidR="00C64050">
        <w:rPr>
          <w:color w:val="000000" w:themeColor="text1"/>
        </w:rPr>
        <w:t xml:space="preserve"> </w:t>
      </w:r>
      <w:r w:rsidRPr="003C1004">
        <w:rPr>
          <w:color w:val="000000" w:themeColor="text1"/>
        </w:rPr>
        <w:t>$10</w:t>
      </w:r>
      <w:r w:rsidR="00C64050">
        <w:rPr>
          <w:color w:val="000000" w:themeColor="text1"/>
        </w:rPr>
        <w:t xml:space="preserve"> </w:t>
      </w:r>
      <w:r w:rsidRPr="003C1004">
        <w:rPr>
          <w:color w:val="000000" w:themeColor="text1"/>
        </w:rPr>
        <w:t>million</w:t>
      </w:r>
      <w:r w:rsidR="00C64050">
        <w:rPr>
          <w:color w:val="000000" w:themeColor="text1"/>
        </w:rPr>
        <w:t xml:space="preserve"> </w:t>
      </w:r>
      <w:r w:rsidRPr="003C1004">
        <w:rPr>
          <w:color w:val="000000" w:themeColor="text1"/>
        </w:rPr>
        <w:t>is</w:t>
      </w:r>
      <w:r w:rsidR="00C64050">
        <w:rPr>
          <w:color w:val="000000" w:themeColor="text1"/>
        </w:rPr>
        <w:t xml:space="preserve"> </w:t>
      </w:r>
      <w:r w:rsidRPr="003C1004">
        <w:rPr>
          <w:color w:val="000000" w:themeColor="text1"/>
        </w:rPr>
        <w:t>included</w:t>
      </w:r>
      <w:r w:rsidR="00C64050">
        <w:rPr>
          <w:color w:val="000000" w:themeColor="text1"/>
        </w:rPr>
        <w:t xml:space="preserve"> </w:t>
      </w:r>
      <w:r w:rsidRPr="003C1004">
        <w:rPr>
          <w:color w:val="000000" w:themeColor="text1"/>
        </w:rPr>
        <w:t>in</w:t>
      </w:r>
      <w:r w:rsidR="00C64050">
        <w:rPr>
          <w:color w:val="000000" w:themeColor="text1"/>
        </w:rPr>
        <w:t xml:space="preserve"> </w:t>
      </w:r>
      <w:r w:rsidRPr="003C1004">
        <w:rPr>
          <w:color w:val="000000" w:themeColor="text1"/>
        </w:rPr>
        <w:t>her</w:t>
      </w:r>
      <w:r w:rsidR="00C64050">
        <w:rPr>
          <w:color w:val="000000" w:themeColor="text1"/>
        </w:rPr>
        <w:t xml:space="preserve"> </w:t>
      </w:r>
      <w:r w:rsidRPr="003C1004">
        <w:rPr>
          <w:color w:val="000000" w:themeColor="text1"/>
        </w:rPr>
        <w:t>gross</w:t>
      </w:r>
      <w:r w:rsidR="00C64050">
        <w:rPr>
          <w:color w:val="000000" w:themeColor="text1"/>
        </w:rPr>
        <w:t xml:space="preserve"> </w:t>
      </w:r>
      <w:r w:rsidRPr="003C1004">
        <w:rPr>
          <w:color w:val="000000" w:themeColor="text1"/>
        </w:rPr>
        <w:t>estate</w:t>
      </w:r>
      <w:r w:rsidR="00C64050">
        <w:rPr>
          <w:color w:val="000000" w:themeColor="text1"/>
        </w:rPr>
        <w:t xml:space="preserve"> </w:t>
      </w:r>
      <w:r w:rsidRPr="003C1004">
        <w:rPr>
          <w:color w:val="000000" w:themeColor="text1"/>
        </w:rPr>
        <w:t>under</w:t>
      </w:r>
      <w:r w:rsidR="00C64050">
        <w:rPr>
          <w:color w:val="000000" w:themeColor="text1"/>
        </w:rPr>
        <w:t xml:space="preserve"> </w:t>
      </w:r>
      <w:r w:rsidRPr="003C1004">
        <w:rPr>
          <w:color w:val="000000" w:themeColor="text1"/>
        </w:rPr>
        <w:t>section</w:t>
      </w:r>
      <w:r w:rsidR="00C64050">
        <w:rPr>
          <w:color w:val="000000" w:themeColor="text1"/>
        </w:rPr>
        <w:t xml:space="preserve"> </w:t>
      </w:r>
      <w:r w:rsidRPr="003C1004">
        <w:rPr>
          <w:color w:val="000000" w:themeColor="text1"/>
        </w:rPr>
        <w:t>2036(a)(2),</w:t>
      </w:r>
      <w:r w:rsidR="00C64050">
        <w:rPr>
          <w:color w:val="000000" w:themeColor="text1"/>
        </w:rPr>
        <w:t xml:space="preserve"> </w:t>
      </w:r>
      <w:r w:rsidRPr="003C1004">
        <w:rPr>
          <w:color w:val="000000" w:themeColor="text1"/>
        </w:rPr>
        <w:t>it</w:t>
      </w:r>
      <w:r w:rsidR="00C64050">
        <w:rPr>
          <w:color w:val="000000" w:themeColor="text1"/>
        </w:rPr>
        <w:t xml:space="preserve"> </w:t>
      </w:r>
      <w:r w:rsidRPr="003C1004">
        <w:rPr>
          <w:color w:val="000000" w:themeColor="text1"/>
        </w:rPr>
        <w:t>seems</w:t>
      </w:r>
      <w:r w:rsidR="00C64050">
        <w:rPr>
          <w:color w:val="000000" w:themeColor="text1"/>
        </w:rPr>
        <w:t xml:space="preserve"> </w:t>
      </w:r>
      <w:r w:rsidRPr="003C1004">
        <w:rPr>
          <w:color w:val="000000" w:themeColor="text1"/>
        </w:rPr>
        <w:t>perfectly</w:t>
      </w:r>
      <w:r w:rsidR="00C64050">
        <w:rPr>
          <w:color w:val="000000" w:themeColor="text1"/>
        </w:rPr>
        <w:t xml:space="preserve"> </w:t>
      </w:r>
      <w:r w:rsidRPr="003C1004">
        <w:rPr>
          <w:color w:val="000000" w:themeColor="text1"/>
        </w:rPr>
        <w:t>reasonable</w:t>
      </w:r>
      <w:r w:rsidR="00C64050">
        <w:rPr>
          <w:color w:val="000000" w:themeColor="text1"/>
        </w:rPr>
        <w:t xml:space="preserve"> </w:t>
      </w:r>
      <w:r w:rsidRPr="003C1004">
        <w:rPr>
          <w:color w:val="000000" w:themeColor="text1"/>
        </w:rPr>
        <w:t>to</w:t>
      </w:r>
      <w:r w:rsidR="00C64050">
        <w:rPr>
          <w:color w:val="000000" w:themeColor="text1"/>
        </w:rPr>
        <w:t xml:space="preserve"> </w:t>
      </w:r>
      <w:r w:rsidRPr="003C1004">
        <w:rPr>
          <w:color w:val="000000" w:themeColor="text1"/>
        </w:rPr>
        <w:t>regard</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partnership</w:t>
      </w:r>
      <w:r w:rsidR="00C64050">
        <w:rPr>
          <w:color w:val="000000" w:themeColor="text1"/>
        </w:rPr>
        <w:t xml:space="preserve"> </w:t>
      </w:r>
      <w:r w:rsidRPr="003C1004">
        <w:rPr>
          <w:color w:val="000000" w:themeColor="text1"/>
        </w:rPr>
        <w:t>interest</w:t>
      </w:r>
      <w:r w:rsidR="00C64050">
        <w:rPr>
          <w:color w:val="000000" w:themeColor="text1"/>
        </w:rPr>
        <w:t xml:space="preserve"> </w:t>
      </w:r>
      <w:r w:rsidRPr="003C1004">
        <w:rPr>
          <w:color w:val="000000" w:themeColor="text1"/>
        </w:rPr>
        <w:t>as</w:t>
      </w:r>
      <w:r w:rsidR="00C64050">
        <w:rPr>
          <w:color w:val="000000" w:themeColor="text1"/>
        </w:rPr>
        <w:t xml:space="preserve"> </w:t>
      </w:r>
      <w:r w:rsidRPr="003C1004">
        <w:rPr>
          <w:color w:val="000000" w:themeColor="text1"/>
        </w:rPr>
        <w:t>having</w:t>
      </w:r>
      <w:r w:rsidR="00C64050">
        <w:rPr>
          <w:color w:val="000000" w:themeColor="text1"/>
        </w:rPr>
        <w:t xml:space="preserve"> </w:t>
      </w:r>
      <w:r w:rsidRPr="003C1004">
        <w:rPr>
          <w:color w:val="000000" w:themeColor="text1"/>
        </w:rPr>
        <w:t>no</w:t>
      </w:r>
      <w:r w:rsidR="00C64050">
        <w:rPr>
          <w:color w:val="000000" w:themeColor="text1"/>
        </w:rPr>
        <w:t xml:space="preserve"> </w:t>
      </w:r>
      <w:r w:rsidRPr="003C1004">
        <w:rPr>
          <w:color w:val="000000" w:themeColor="text1"/>
        </w:rPr>
        <w:t>distinct</w:t>
      </w:r>
      <w:r w:rsidR="00C64050">
        <w:rPr>
          <w:color w:val="000000" w:themeColor="text1"/>
        </w:rPr>
        <w:t xml:space="preserve"> </w:t>
      </w:r>
      <w:r w:rsidRPr="003C1004">
        <w:rPr>
          <w:color w:val="000000" w:themeColor="text1"/>
        </w:rPr>
        <w:t>value</w:t>
      </w:r>
      <w:r w:rsidR="00C64050">
        <w:rPr>
          <w:color w:val="000000" w:themeColor="text1"/>
        </w:rPr>
        <w:t xml:space="preserve"> </w:t>
      </w:r>
      <w:r w:rsidRPr="003C1004">
        <w:rPr>
          <w:color w:val="000000" w:themeColor="text1"/>
        </w:rPr>
        <w:t>because</w:t>
      </w:r>
      <w:r w:rsidR="00C64050">
        <w:rPr>
          <w:color w:val="000000" w:themeColor="text1"/>
        </w:rPr>
        <w:t xml:space="preserve"> </w:t>
      </w:r>
      <w:r w:rsidRPr="003C1004">
        <w:rPr>
          <w:color w:val="000000" w:themeColor="text1"/>
        </w:rPr>
        <w:t>it</w:t>
      </w:r>
      <w:r w:rsidR="00C64050">
        <w:rPr>
          <w:color w:val="000000" w:themeColor="text1"/>
        </w:rPr>
        <w:t xml:space="preserve"> </w:t>
      </w:r>
      <w:r w:rsidRPr="003C1004">
        <w:rPr>
          <w:color w:val="000000" w:themeColor="text1"/>
        </w:rPr>
        <w:t>was</w:t>
      </w:r>
      <w:r w:rsidR="00C64050">
        <w:rPr>
          <w:color w:val="000000" w:themeColor="text1"/>
        </w:rPr>
        <w:t xml:space="preserve"> </w:t>
      </w:r>
      <w:r w:rsidRPr="003C1004">
        <w:rPr>
          <w:color w:val="000000" w:themeColor="text1"/>
        </w:rPr>
        <w:t>an</w:t>
      </w:r>
      <w:r w:rsidR="00C64050">
        <w:rPr>
          <w:color w:val="000000" w:themeColor="text1"/>
        </w:rPr>
        <w:t xml:space="preserve"> </w:t>
      </w:r>
      <w:r w:rsidRPr="003C1004">
        <w:rPr>
          <w:color w:val="000000" w:themeColor="text1"/>
        </w:rPr>
        <w:t>alter</w:t>
      </w:r>
      <w:r w:rsidR="00C64050">
        <w:rPr>
          <w:color w:val="000000" w:themeColor="text1"/>
        </w:rPr>
        <w:t xml:space="preserve"> </w:t>
      </w:r>
      <w:r w:rsidRPr="003C1004">
        <w:rPr>
          <w:color w:val="000000" w:themeColor="text1"/>
        </w:rPr>
        <w:t>ego</w:t>
      </w:r>
      <w:r w:rsidR="00C64050">
        <w:rPr>
          <w:color w:val="000000" w:themeColor="text1"/>
        </w:rPr>
        <w:t xml:space="preserve"> </w:t>
      </w:r>
      <w:r w:rsidRPr="003C1004">
        <w:rPr>
          <w:color w:val="000000" w:themeColor="text1"/>
        </w:rPr>
        <w:t>for</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$10</w:t>
      </w:r>
      <w:r w:rsidR="00C64050">
        <w:rPr>
          <w:color w:val="000000" w:themeColor="text1"/>
        </w:rPr>
        <w:t xml:space="preserve"> </w:t>
      </w:r>
      <w:r w:rsidRPr="003C1004">
        <w:rPr>
          <w:color w:val="000000" w:themeColor="text1"/>
        </w:rPr>
        <w:t>million</w:t>
      </w:r>
      <w:r w:rsidR="00C64050">
        <w:rPr>
          <w:color w:val="000000" w:themeColor="text1"/>
        </w:rPr>
        <w:t xml:space="preserve"> </w:t>
      </w:r>
      <w:r w:rsidRPr="003C1004">
        <w:rPr>
          <w:color w:val="000000" w:themeColor="text1"/>
        </w:rPr>
        <w:t>of</w:t>
      </w:r>
      <w:r w:rsidR="00C64050">
        <w:rPr>
          <w:color w:val="000000" w:themeColor="text1"/>
        </w:rPr>
        <w:t xml:space="preserve"> </w:t>
      </w:r>
      <w:r w:rsidRPr="003C1004">
        <w:rPr>
          <w:color w:val="000000" w:themeColor="text1"/>
        </w:rPr>
        <w:t>cash</w:t>
      </w:r>
      <w:r w:rsidR="00C64050">
        <w:rPr>
          <w:color w:val="000000" w:themeColor="text1"/>
        </w:rPr>
        <w:t xml:space="preserve"> </w:t>
      </w:r>
      <w:r w:rsidRPr="003C1004">
        <w:rPr>
          <w:color w:val="000000" w:themeColor="text1"/>
        </w:rPr>
        <w:t>and</w:t>
      </w:r>
      <w:r w:rsidR="00C64050">
        <w:rPr>
          <w:color w:val="000000" w:themeColor="text1"/>
        </w:rPr>
        <w:t xml:space="preserve"> </w:t>
      </w:r>
      <w:r w:rsidRPr="003C1004">
        <w:rPr>
          <w:color w:val="000000" w:themeColor="text1"/>
        </w:rPr>
        <w:t>securities.</w:t>
      </w:r>
    </w:p>
    <w:p w:rsidR="003C1004" w:rsidRPr="003C1004" w:rsidRDefault="003C1004" w:rsidP="003C1004">
      <w:pPr>
        <w:pStyle w:val="QS10"/>
        <w:rPr>
          <w:color w:val="000000" w:themeColor="text1"/>
        </w:rPr>
      </w:pPr>
      <w:r w:rsidRPr="003C1004">
        <w:rPr>
          <w:color w:val="000000" w:themeColor="text1"/>
        </w:rPr>
        <w:t>This</w:t>
      </w:r>
      <w:r w:rsidR="00C64050">
        <w:rPr>
          <w:color w:val="000000" w:themeColor="text1"/>
        </w:rPr>
        <w:t xml:space="preserve"> </w:t>
      </w:r>
      <w:r w:rsidRPr="003C1004">
        <w:rPr>
          <w:color w:val="000000" w:themeColor="text1"/>
        </w:rPr>
        <w:t>is</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approach</w:t>
      </w:r>
      <w:r w:rsidR="00C64050">
        <w:rPr>
          <w:color w:val="000000" w:themeColor="text1"/>
        </w:rPr>
        <w:t xml:space="preserve"> </w:t>
      </w:r>
      <w:r w:rsidRPr="003C1004">
        <w:rPr>
          <w:color w:val="000000" w:themeColor="text1"/>
        </w:rPr>
        <w:t>that</w:t>
      </w:r>
      <w:r w:rsidR="00C64050">
        <w:rPr>
          <w:color w:val="000000" w:themeColor="text1"/>
        </w:rPr>
        <w:t xml:space="preserve"> </w:t>
      </w:r>
      <w:r w:rsidRPr="003C1004">
        <w:rPr>
          <w:color w:val="000000" w:themeColor="text1"/>
        </w:rPr>
        <w:t>we</w:t>
      </w:r>
      <w:r w:rsidR="00C64050">
        <w:rPr>
          <w:color w:val="000000" w:themeColor="text1"/>
        </w:rPr>
        <w:t xml:space="preserve"> </w:t>
      </w:r>
      <w:r w:rsidRPr="003C1004">
        <w:rPr>
          <w:color w:val="000000" w:themeColor="text1"/>
        </w:rPr>
        <w:t>have</w:t>
      </w:r>
      <w:r w:rsidR="00C64050">
        <w:rPr>
          <w:color w:val="000000" w:themeColor="text1"/>
        </w:rPr>
        <w:t xml:space="preserve"> </w:t>
      </w:r>
      <w:r w:rsidRPr="003C1004">
        <w:rPr>
          <w:color w:val="000000" w:themeColor="text1"/>
        </w:rPr>
        <w:t>previously</w:t>
      </w:r>
      <w:r w:rsidR="00C64050">
        <w:rPr>
          <w:color w:val="000000" w:themeColor="text1"/>
        </w:rPr>
        <w:t xml:space="preserve"> </w:t>
      </w:r>
      <w:r w:rsidRPr="003C1004">
        <w:rPr>
          <w:color w:val="000000" w:themeColor="text1"/>
        </w:rPr>
        <w:t>taken</w:t>
      </w:r>
      <w:r w:rsidR="00C64050">
        <w:rPr>
          <w:color w:val="000000" w:themeColor="text1"/>
        </w:rPr>
        <w:t xml:space="preserve"> </w:t>
      </w:r>
      <w:r w:rsidRPr="003C1004">
        <w:rPr>
          <w:color w:val="000000" w:themeColor="text1"/>
        </w:rPr>
        <w:t>to</w:t>
      </w:r>
      <w:r w:rsidR="00C64050">
        <w:rPr>
          <w:color w:val="000000" w:themeColor="text1"/>
        </w:rPr>
        <w:t xml:space="preserve"> </w:t>
      </w:r>
      <w:r w:rsidRPr="003C1004">
        <w:rPr>
          <w:color w:val="000000" w:themeColor="text1"/>
        </w:rPr>
        <w:t>this</w:t>
      </w:r>
      <w:r w:rsidR="00C64050">
        <w:rPr>
          <w:color w:val="000000" w:themeColor="text1"/>
        </w:rPr>
        <w:t xml:space="preserve"> </w:t>
      </w:r>
      <w:r w:rsidRPr="003C1004">
        <w:rPr>
          <w:color w:val="000000" w:themeColor="text1"/>
        </w:rPr>
        <w:t>problem.</w:t>
      </w:r>
      <w:r w:rsidR="00C64050">
        <w:rPr>
          <w:color w:val="000000" w:themeColor="text1"/>
        </w:rPr>
        <w:t xml:space="preserve"> </w:t>
      </w:r>
      <w:r w:rsidRPr="003C1004">
        <w:rPr>
          <w:color w:val="000000" w:themeColor="text1"/>
          <w:u w:val="single"/>
        </w:rPr>
        <w:t>See</w:t>
      </w:r>
      <w:r w:rsidR="00C64050">
        <w:rPr>
          <w:color w:val="000000" w:themeColor="text1"/>
        </w:rPr>
        <w:t xml:space="preserve"> </w:t>
      </w:r>
      <w:r w:rsidRPr="003C1004">
        <w:rPr>
          <w:color w:val="000000" w:themeColor="text1"/>
          <w:u w:val="single"/>
        </w:rPr>
        <w:t>Estate</w:t>
      </w:r>
      <w:r w:rsidR="00C64050">
        <w:rPr>
          <w:color w:val="000000" w:themeColor="text1"/>
          <w:u w:val="single"/>
        </w:rPr>
        <w:t xml:space="preserve"> </w:t>
      </w:r>
      <w:r w:rsidRPr="003C1004">
        <w:rPr>
          <w:color w:val="000000" w:themeColor="text1"/>
          <w:u w:val="single"/>
        </w:rPr>
        <w:t>of</w:t>
      </w:r>
      <w:r w:rsidR="00C64050">
        <w:rPr>
          <w:color w:val="000000" w:themeColor="text1"/>
          <w:u w:val="single"/>
        </w:rPr>
        <w:t xml:space="preserve"> </w:t>
      </w:r>
      <w:r w:rsidRPr="003C1004">
        <w:rPr>
          <w:color w:val="000000" w:themeColor="text1"/>
          <w:u w:val="single"/>
        </w:rPr>
        <w:t>Thompson</w:t>
      </w:r>
      <w:r w:rsidRPr="003C1004">
        <w:rPr>
          <w:color w:val="000000" w:themeColor="text1"/>
        </w:rPr>
        <w:t>,</w:t>
      </w:r>
      <w:r w:rsidR="00C64050">
        <w:rPr>
          <w:color w:val="000000" w:themeColor="text1"/>
        </w:rPr>
        <w:t xml:space="preserve"> </w:t>
      </w:r>
      <w:r w:rsidRPr="003C1004">
        <w:rPr>
          <w:color w:val="000000" w:themeColor="text1"/>
        </w:rPr>
        <w:t>84</w:t>
      </w:r>
      <w:r w:rsidR="00C64050">
        <w:rPr>
          <w:color w:val="000000" w:themeColor="text1"/>
        </w:rPr>
        <w:t xml:space="preserve"> </w:t>
      </w:r>
      <w:r w:rsidRPr="003C1004">
        <w:rPr>
          <w:color w:val="000000" w:themeColor="text1"/>
        </w:rPr>
        <w:t>T.C.M.</w:t>
      </w:r>
      <w:r w:rsidR="00C64050">
        <w:rPr>
          <w:color w:val="000000" w:themeColor="text1"/>
        </w:rPr>
        <w:t xml:space="preserve"> </w:t>
      </w:r>
      <w:r w:rsidRPr="003C1004">
        <w:rPr>
          <w:color w:val="000000" w:themeColor="text1"/>
        </w:rPr>
        <w:t>(CCH)</w:t>
      </w:r>
      <w:r w:rsidR="00C64050">
        <w:rPr>
          <w:color w:val="000000" w:themeColor="text1"/>
        </w:rPr>
        <w:t xml:space="preserve"> </w:t>
      </w:r>
      <w:r w:rsidRPr="003C1004">
        <w:rPr>
          <w:color w:val="000000" w:themeColor="text1"/>
        </w:rPr>
        <w:t>at</w:t>
      </w:r>
      <w:r w:rsidR="00C64050">
        <w:rPr>
          <w:color w:val="000000" w:themeColor="text1"/>
        </w:rPr>
        <w:t xml:space="preserve"> </w:t>
      </w:r>
      <w:r w:rsidRPr="003C1004">
        <w:rPr>
          <w:color w:val="000000" w:themeColor="text1"/>
        </w:rPr>
        <w:t>391</w:t>
      </w:r>
      <w:r w:rsidR="00C64050">
        <w:rPr>
          <w:color w:val="000000" w:themeColor="text1"/>
        </w:rPr>
        <w:t xml:space="preserve"> </w:t>
      </w:r>
      <w:r w:rsidRPr="003C1004">
        <w:rPr>
          <w:color w:val="000000" w:themeColor="text1"/>
        </w:rPr>
        <w:t>(concluding</w:t>
      </w:r>
      <w:r w:rsidR="00C64050">
        <w:rPr>
          <w:color w:val="000000" w:themeColor="text1"/>
        </w:rPr>
        <w:t xml:space="preserve"> </w:t>
      </w:r>
      <w:r w:rsidRPr="003C1004">
        <w:rPr>
          <w:color w:val="000000" w:themeColor="text1"/>
        </w:rPr>
        <w:t>that</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decedent's</w:t>
      </w:r>
      <w:r w:rsidR="00C64050">
        <w:rPr>
          <w:color w:val="000000" w:themeColor="text1"/>
        </w:rPr>
        <w:t xml:space="preserve"> </w:t>
      </w:r>
      <w:r w:rsidRPr="003C1004">
        <w:rPr>
          <w:color w:val="000000" w:themeColor="text1"/>
        </w:rPr>
        <w:t>interest</w:t>
      </w:r>
      <w:r w:rsidR="00C64050">
        <w:rPr>
          <w:color w:val="000000" w:themeColor="text1"/>
        </w:rPr>
        <w:t xml:space="preserve"> </w:t>
      </w:r>
      <w:r w:rsidRPr="003C1004">
        <w:rPr>
          <w:color w:val="000000" w:themeColor="text1"/>
        </w:rPr>
        <w:t>in</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partnership</w:t>
      </w:r>
      <w:r w:rsidR="00C64050">
        <w:rPr>
          <w:color w:val="000000" w:themeColor="text1"/>
        </w:rPr>
        <w:t xml:space="preserve"> </w:t>
      </w:r>
      <w:r w:rsidRPr="003C1004">
        <w:rPr>
          <w:color w:val="000000" w:themeColor="text1"/>
        </w:rPr>
        <w:t>had</w:t>
      </w:r>
      <w:r w:rsidR="00C64050">
        <w:rPr>
          <w:color w:val="000000" w:themeColor="text1"/>
        </w:rPr>
        <w:t xml:space="preserve"> </w:t>
      </w:r>
      <w:r w:rsidRPr="003C1004">
        <w:rPr>
          <w:color w:val="000000" w:themeColor="text1"/>
        </w:rPr>
        <w:t>no</w:t>
      </w:r>
      <w:r w:rsidR="00C64050">
        <w:rPr>
          <w:color w:val="000000" w:themeColor="text1"/>
        </w:rPr>
        <w:t xml:space="preserve"> </w:t>
      </w:r>
      <w:r w:rsidRPr="003C1004">
        <w:rPr>
          <w:color w:val="000000" w:themeColor="text1"/>
        </w:rPr>
        <w:t>value</w:t>
      </w:r>
      <w:r w:rsidR="00C64050">
        <w:rPr>
          <w:color w:val="000000" w:themeColor="text1"/>
        </w:rPr>
        <w:t xml:space="preserve"> </w:t>
      </w:r>
      <w:r w:rsidRPr="003C1004">
        <w:rPr>
          <w:color w:val="000000" w:themeColor="text1"/>
        </w:rPr>
        <w:t>apart</w:t>
      </w:r>
      <w:r w:rsidR="00C64050">
        <w:rPr>
          <w:color w:val="000000" w:themeColor="text1"/>
        </w:rPr>
        <w:t xml:space="preserve"> </w:t>
      </w:r>
      <w:r w:rsidRPr="003C1004">
        <w:rPr>
          <w:color w:val="000000" w:themeColor="text1"/>
        </w:rPr>
        <w:t>from</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assets</w:t>
      </w:r>
      <w:r w:rsidR="00C64050">
        <w:rPr>
          <w:color w:val="000000" w:themeColor="text1"/>
        </w:rPr>
        <w:t xml:space="preserve"> </w:t>
      </w:r>
      <w:r w:rsidRPr="003C1004">
        <w:rPr>
          <w:color w:val="000000" w:themeColor="text1"/>
        </w:rPr>
        <w:t>he</w:t>
      </w:r>
      <w:r w:rsidR="00C64050">
        <w:rPr>
          <w:color w:val="000000" w:themeColor="text1"/>
        </w:rPr>
        <w:t xml:space="preserve"> </w:t>
      </w:r>
      <w:r w:rsidRPr="003C1004">
        <w:rPr>
          <w:color w:val="000000" w:themeColor="text1"/>
        </w:rPr>
        <w:t>contributed</w:t>
      </w:r>
      <w:r w:rsidR="00C64050">
        <w:rPr>
          <w:color w:val="000000" w:themeColor="text1"/>
        </w:rPr>
        <w:t xml:space="preserve"> </w:t>
      </w:r>
      <w:r w:rsidRPr="003C1004">
        <w:rPr>
          <w:color w:val="000000" w:themeColor="text1"/>
        </w:rPr>
        <w:t>to</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partnership);</w:t>
      </w:r>
      <w:r w:rsidR="00C64050">
        <w:rPr>
          <w:color w:val="000000" w:themeColor="text1"/>
        </w:rPr>
        <w:t xml:space="preserve"> </w:t>
      </w:r>
      <w:r w:rsidRPr="003C1004">
        <w:rPr>
          <w:color w:val="000000" w:themeColor="text1"/>
          <w:u w:val="single"/>
        </w:rPr>
        <w:t>Estate</w:t>
      </w:r>
      <w:r w:rsidR="00C64050">
        <w:rPr>
          <w:color w:val="000000" w:themeColor="text1"/>
          <w:u w:val="single"/>
        </w:rPr>
        <w:t xml:space="preserve"> </w:t>
      </w:r>
      <w:r w:rsidRPr="003C1004">
        <w:rPr>
          <w:color w:val="000000" w:themeColor="text1"/>
          <w:u w:val="single"/>
        </w:rPr>
        <w:t>of</w:t>
      </w:r>
      <w:r w:rsidR="00C64050">
        <w:rPr>
          <w:color w:val="000000" w:themeColor="text1"/>
          <w:u w:val="single"/>
        </w:rPr>
        <w:t xml:space="preserve"> </w:t>
      </w:r>
      <w:r w:rsidRPr="003C1004">
        <w:rPr>
          <w:color w:val="000000" w:themeColor="text1"/>
          <w:u w:val="single"/>
        </w:rPr>
        <w:t>Harper</w:t>
      </w:r>
      <w:r w:rsidR="00C64050">
        <w:rPr>
          <w:color w:val="000000" w:themeColor="text1"/>
          <w:u w:val="single"/>
        </w:rPr>
        <w:t xml:space="preserve"> </w:t>
      </w:r>
      <w:r w:rsidRPr="003C1004">
        <w:rPr>
          <w:color w:val="000000" w:themeColor="text1"/>
          <w:u w:val="single"/>
        </w:rPr>
        <w:t>v.</w:t>
      </w:r>
      <w:r w:rsidR="00C64050">
        <w:rPr>
          <w:color w:val="000000" w:themeColor="text1"/>
          <w:u w:val="single"/>
        </w:rPr>
        <w:t xml:space="preserve"> </w:t>
      </w:r>
      <w:r w:rsidRPr="003C1004">
        <w:rPr>
          <w:color w:val="000000" w:themeColor="text1"/>
          <w:u w:val="single"/>
        </w:rPr>
        <w:t>Commissioner</w:t>
      </w:r>
      <w:r w:rsidRPr="003C1004">
        <w:rPr>
          <w:color w:val="000000" w:themeColor="text1"/>
        </w:rPr>
        <w:t>,</w:t>
      </w:r>
      <w:r w:rsidR="00C64050">
        <w:rPr>
          <w:color w:val="000000" w:themeColor="text1"/>
        </w:rPr>
        <w:t xml:space="preserve"> </w:t>
      </w:r>
      <w:r w:rsidRPr="003C1004">
        <w:rPr>
          <w:color w:val="000000" w:themeColor="text1"/>
        </w:rPr>
        <w:t>T.C.</w:t>
      </w:r>
      <w:r w:rsidR="00C64050">
        <w:rPr>
          <w:color w:val="000000" w:themeColor="text1"/>
        </w:rPr>
        <w:t xml:space="preserve"> </w:t>
      </w:r>
      <w:r w:rsidRPr="003C1004">
        <w:rPr>
          <w:color w:val="000000" w:themeColor="text1"/>
        </w:rPr>
        <w:t>Memo.</w:t>
      </w:r>
      <w:r w:rsidR="00C64050">
        <w:rPr>
          <w:color w:val="000000" w:themeColor="text1"/>
        </w:rPr>
        <w:t xml:space="preserve"> </w:t>
      </w:r>
      <w:r w:rsidRPr="003C1004">
        <w:rPr>
          <w:color w:val="000000" w:themeColor="text1"/>
        </w:rPr>
        <w:t>2002–121,</w:t>
      </w:r>
      <w:r w:rsidR="00C64050">
        <w:rPr>
          <w:color w:val="000000" w:themeColor="text1"/>
        </w:rPr>
        <w:t xml:space="preserve"> </w:t>
      </w:r>
      <w:r w:rsidRPr="003C1004">
        <w:rPr>
          <w:color w:val="000000" w:themeColor="text1"/>
        </w:rPr>
        <w:t>83</w:t>
      </w:r>
      <w:r w:rsidR="00C64050">
        <w:rPr>
          <w:color w:val="000000" w:themeColor="text1"/>
        </w:rPr>
        <w:t xml:space="preserve"> </w:t>
      </w:r>
      <w:r w:rsidRPr="003C1004">
        <w:rPr>
          <w:color w:val="000000" w:themeColor="text1"/>
        </w:rPr>
        <w:t>T.C.M.</w:t>
      </w:r>
      <w:r w:rsidR="00C64050">
        <w:rPr>
          <w:color w:val="000000" w:themeColor="text1"/>
        </w:rPr>
        <w:t xml:space="preserve"> </w:t>
      </w:r>
      <w:r w:rsidRPr="003C1004">
        <w:rPr>
          <w:color w:val="000000" w:themeColor="text1"/>
        </w:rPr>
        <w:t>(CCH)</w:t>
      </w:r>
      <w:r w:rsidR="00C64050">
        <w:rPr>
          <w:color w:val="000000" w:themeColor="text1"/>
        </w:rPr>
        <w:t xml:space="preserve"> </w:t>
      </w:r>
      <w:r w:rsidRPr="003C1004">
        <w:rPr>
          <w:color w:val="000000" w:themeColor="text1"/>
        </w:rPr>
        <w:t>1641,</w:t>
      </w:r>
      <w:r w:rsidR="00C64050">
        <w:rPr>
          <w:color w:val="000000" w:themeColor="text1"/>
        </w:rPr>
        <w:t xml:space="preserve"> </w:t>
      </w:r>
      <w:r w:rsidRPr="003C1004">
        <w:rPr>
          <w:color w:val="000000" w:themeColor="text1"/>
        </w:rPr>
        <w:t>1654;</w:t>
      </w:r>
      <w:r w:rsidR="00C64050">
        <w:rPr>
          <w:color w:val="000000" w:themeColor="text1"/>
        </w:rPr>
        <w:t xml:space="preserve"> </w:t>
      </w:r>
      <w:r w:rsidRPr="003C1004">
        <w:rPr>
          <w:color w:val="000000" w:themeColor="text1"/>
          <w:u w:val="single"/>
        </w:rPr>
        <w:t>cf.</w:t>
      </w:r>
      <w:r w:rsidR="00C64050">
        <w:rPr>
          <w:color w:val="000000" w:themeColor="text1"/>
        </w:rPr>
        <w:t xml:space="preserve"> </w:t>
      </w:r>
      <w:r w:rsidRPr="003C1004">
        <w:rPr>
          <w:color w:val="000000" w:themeColor="text1"/>
          <w:u w:val="single"/>
        </w:rPr>
        <w:t>Estate</w:t>
      </w:r>
      <w:r w:rsidR="00C64050">
        <w:rPr>
          <w:color w:val="000000" w:themeColor="text1"/>
          <w:u w:val="single"/>
        </w:rPr>
        <w:t xml:space="preserve"> </w:t>
      </w:r>
      <w:r w:rsidRPr="003C1004">
        <w:rPr>
          <w:color w:val="000000" w:themeColor="text1"/>
          <w:u w:val="single"/>
        </w:rPr>
        <w:t>of</w:t>
      </w:r>
      <w:r w:rsidR="00C64050">
        <w:rPr>
          <w:color w:val="000000" w:themeColor="text1"/>
          <w:u w:val="single"/>
        </w:rPr>
        <w:t xml:space="preserve"> </w:t>
      </w:r>
      <w:r w:rsidRPr="003C1004">
        <w:rPr>
          <w:color w:val="000000" w:themeColor="text1"/>
          <w:u w:val="single"/>
        </w:rPr>
        <w:t>Gregory</w:t>
      </w:r>
      <w:r w:rsidR="00C64050">
        <w:rPr>
          <w:color w:val="000000" w:themeColor="text1"/>
          <w:u w:val="single"/>
        </w:rPr>
        <w:t xml:space="preserve"> </w:t>
      </w:r>
      <w:r w:rsidRPr="003C1004">
        <w:rPr>
          <w:color w:val="000000" w:themeColor="text1"/>
          <w:u w:val="single"/>
        </w:rPr>
        <w:t>v.</w:t>
      </w:r>
      <w:r w:rsidR="00C64050">
        <w:rPr>
          <w:color w:val="000000" w:themeColor="text1"/>
          <w:u w:val="single"/>
        </w:rPr>
        <w:t xml:space="preserve"> </w:t>
      </w:r>
      <w:r w:rsidRPr="003C1004">
        <w:rPr>
          <w:color w:val="000000" w:themeColor="text1"/>
          <w:u w:val="single"/>
        </w:rPr>
        <w:t>Commissioner</w:t>
      </w:r>
      <w:r w:rsidRPr="003C1004">
        <w:rPr>
          <w:color w:val="000000" w:themeColor="text1"/>
        </w:rPr>
        <w:t>,</w:t>
      </w:r>
      <w:r w:rsidR="00C64050">
        <w:rPr>
          <w:color w:val="000000" w:themeColor="text1"/>
        </w:rPr>
        <w:t xml:space="preserve"> </w:t>
      </w:r>
      <w:r w:rsidRPr="003C1004">
        <w:rPr>
          <w:color w:val="000000" w:themeColor="text1"/>
        </w:rPr>
        <w:t>39</w:t>
      </w:r>
      <w:r w:rsidR="00C64050">
        <w:rPr>
          <w:color w:val="000000" w:themeColor="text1"/>
        </w:rPr>
        <w:t xml:space="preserve"> </w:t>
      </w:r>
      <w:r w:rsidRPr="003C1004">
        <w:rPr>
          <w:color w:val="000000" w:themeColor="text1"/>
        </w:rPr>
        <w:t>T.C.</w:t>
      </w:r>
      <w:r w:rsidR="00C64050">
        <w:rPr>
          <w:color w:val="000000" w:themeColor="text1"/>
        </w:rPr>
        <w:t xml:space="preserve"> </w:t>
      </w:r>
      <w:r w:rsidRPr="003C1004">
        <w:rPr>
          <w:color w:val="000000" w:themeColor="text1"/>
        </w:rPr>
        <w:t>1012,</w:t>
      </w:r>
      <w:r w:rsidR="00C64050">
        <w:rPr>
          <w:color w:val="000000" w:themeColor="text1"/>
        </w:rPr>
        <w:t xml:space="preserve"> </w:t>
      </w:r>
      <w:r w:rsidRPr="003C1004">
        <w:rPr>
          <w:color w:val="000000" w:themeColor="text1"/>
        </w:rPr>
        <w:t>1020</w:t>
      </w:r>
      <w:r w:rsidR="00C64050">
        <w:rPr>
          <w:color w:val="000000" w:themeColor="text1"/>
        </w:rPr>
        <w:t xml:space="preserve"> </w:t>
      </w:r>
      <w:r w:rsidRPr="003C1004">
        <w:rPr>
          <w:color w:val="000000" w:themeColor="text1"/>
        </w:rPr>
        <w:t>(1963)</w:t>
      </w:r>
      <w:r w:rsidR="00C64050">
        <w:rPr>
          <w:color w:val="000000" w:themeColor="text1"/>
        </w:rPr>
        <w:t xml:space="preserve"> </w:t>
      </w:r>
      <w:r w:rsidRPr="003C1004">
        <w:rPr>
          <w:color w:val="000000" w:themeColor="text1"/>
        </w:rPr>
        <w:t>(holding</w:t>
      </w:r>
      <w:r w:rsidR="00C64050">
        <w:rPr>
          <w:color w:val="000000" w:themeColor="text1"/>
        </w:rPr>
        <w:t xml:space="preserve"> </w:t>
      </w:r>
      <w:r w:rsidRPr="003C1004">
        <w:rPr>
          <w:color w:val="000000" w:themeColor="text1"/>
        </w:rPr>
        <w:t>that</w:t>
      </w:r>
      <w:r w:rsidR="00C64050">
        <w:rPr>
          <w:color w:val="000000" w:themeColor="text1"/>
        </w:rPr>
        <w:t xml:space="preserve"> </w:t>
      </w:r>
      <w:r w:rsidRPr="003C1004">
        <w:rPr>
          <w:color w:val="000000" w:themeColor="text1"/>
        </w:rPr>
        <w:t>a</w:t>
      </w:r>
      <w:r w:rsidR="00C64050">
        <w:rPr>
          <w:color w:val="000000" w:themeColor="text1"/>
        </w:rPr>
        <w:t xml:space="preserve"> </w:t>
      </w:r>
      <w:r w:rsidRPr="003C1004">
        <w:rPr>
          <w:color w:val="000000" w:themeColor="text1"/>
        </w:rPr>
        <w:t>decedent's</w:t>
      </w:r>
      <w:r w:rsidR="00C64050">
        <w:rPr>
          <w:color w:val="000000" w:themeColor="text1"/>
        </w:rPr>
        <w:t xml:space="preserve"> </w:t>
      </w:r>
      <w:r w:rsidRPr="003C1004">
        <w:rPr>
          <w:color w:val="000000" w:themeColor="text1"/>
        </w:rPr>
        <w:t>retained</w:t>
      </w:r>
      <w:r w:rsidR="00C64050">
        <w:rPr>
          <w:color w:val="000000" w:themeColor="text1"/>
        </w:rPr>
        <w:t xml:space="preserve"> </w:t>
      </w:r>
      <w:r w:rsidRPr="003C1004">
        <w:rPr>
          <w:color w:val="000000" w:themeColor="text1"/>
        </w:rPr>
        <w:t>interest</w:t>
      </w:r>
      <w:r w:rsidR="00C64050">
        <w:rPr>
          <w:color w:val="000000" w:themeColor="text1"/>
        </w:rPr>
        <w:t xml:space="preserve"> </w:t>
      </w:r>
      <w:r w:rsidRPr="003C1004">
        <w:rPr>
          <w:color w:val="000000" w:themeColor="text1"/>
        </w:rPr>
        <w:t>in</w:t>
      </w:r>
      <w:r w:rsidR="00C64050">
        <w:rPr>
          <w:color w:val="000000" w:themeColor="text1"/>
        </w:rPr>
        <w:t xml:space="preserve"> </w:t>
      </w:r>
      <w:r w:rsidRPr="003C1004">
        <w:rPr>
          <w:color w:val="000000" w:themeColor="text1"/>
        </w:rPr>
        <w:t>her</w:t>
      </w:r>
      <w:r w:rsidR="00C64050">
        <w:rPr>
          <w:color w:val="000000" w:themeColor="text1"/>
        </w:rPr>
        <w:t xml:space="preserve"> </w:t>
      </w:r>
      <w:r w:rsidRPr="003C1004">
        <w:rPr>
          <w:color w:val="000000" w:themeColor="text1"/>
        </w:rPr>
        <w:t>own</w:t>
      </w:r>
      <w:r w:rsidR="00C64050">
        <w:rPr>
          <w:color w:val="000000" w:themeColor="text1"/>
        </w:rPr>
        <w:t xml:space="preserve"> </w:t>
      </w:r>
      <w:r w:rsidRPr="003C1004">
        <w:rPr>
          <w:color w:val="000000" w:themeColor="text1"/>
        </w:rPr>
        <w:t>property</w:t>
      </w:r>
      <w:r w:rsidR="00C64050">
        <w:rPr>
          <w:color w:val="000000" w:themeColor="text1"/>
        </w:rPr>
        <w:t xml:space="preserve"> </w:t>
      </w:r>
      <w:r w:rsidRPr="003C1004">
        <w:rPr>
          <w:color w:val="000000" w:themeColor="text1"/>
        </w:rPr>
        <w:t>cannot</w:t>
      </w:r>
      <w:r w:rsidR="00C64050">
        <w:rPr>
          <w:color w:val="000000" w:themeColor="text1"/>
        </w:rPr>
        <w:t xml:space="preserve"> </w:t>
      </w:r>
      <w:r w:rsidRPr="003C1004">
        <w:rPr>
          <w:color w:val="000000" w:themeColor="text1"/>
        </w:rPr>
        <w:t>constitute</w:t>
      </w:r>
      <w:r w:rsidR="00C64050">
        <w:rPr>
          <w:color w:val="000000" w:themeColor="text1"/>
        </w:rPr>
        <w:t xml:space="preserve"> </w:t>
      </w:r>
      <w:r w:rsidRPr="003C1004">
        <w:rPr>
          <w:color w:val="000000" w:themeColor="text1"/>
        </w:rPr>
        <w:t>consideration</w:t>
      </w:r>
      <w:r w:rsidR="00C64050">
        <w:rPr>
          <w:color w:val="000000" w:themeColor="text1"/>
        </w:rPr>
        <w:t xml:space="preserve"> </w:t>
      </w:r>
      <w:r w:rsidRPr="003C1004">
        <w:rPr>
          <w:color w:val="000000" w:themeColor="text1"/>
        </w:rPr>
        <w:t>under</w:t>
      </w:r>
      <w:r w:rsidR="00C64050">
        <w:rPr>
          <w:color w:val="000000" w:themeColor="text1"/>
        </w:rPr>
        <w:t xml:space="preserve"> </w:t>
      </w:r>
      <w:r w:rsidRPr="003C1004">
        <w:rPr>
          <w:color w:val="000000" w:themeColor="text1"/>
        </w:rPr>
        <w:t>section</w:t>
      </w:r>
      <w:r w:rsidR="00C64050">
        <w:rPr>
          <w:color w:val="000000" w:themeColor="text1"/>
        </w:rPr>
        <w:t xml:space="preserve"> </w:t>
      </w:r>
      <w:r w:rsidRPr="003C1004">
        <w:rPr>
          <w:color w:val="000000" w:themeColor="text1"/>
        </w:rPr>
        <w:t>2043(a)).</w:t>
      </w:r>
      <w:r w:rsidR="00C64050">
        <w:rPr>
          <w:color w:val="000000" w:themeColor="text1"/>
        </w:rPr>
        <w:t xml:space="preserve"> </w:t>
      </w:r>
      <w:r w:rsidRPr="003C1004">
        <w:rPr>
          <w:color w:val="000000" w:themeColor="text1"/>
        </w:rPr>
        <w:t>And</w:t>
      </w:r>
      <w:r w:rsidR="00C64050">
        <w:rPr>
          <w:color w:val="000000" w:themeColor="text1"/>
        </w:rPr>
        <w:t xml:space="preserve"> </w:t>
      </w:r>
      <w:r w:rsidRPr="003C1004">
        <w:rPr>
          <w:color w:val="000000" w:themeColor="text1"/>
        </w:rPr>
        <w:t>this</w:t>
      </w:r>
      <w:r w:rsidR="00C64050">
        <w:rPr>
          <w:color w:val="000000" w:themeColor="text1"/>
        </w:rPr>
        <w:t xml:space="preserve"> </w:t>
      </w:r>
      <w:r w:rsidRPr="003C1004">
        <w:rPr>
          <w:color w:val="000000" w:themeColor="text1"/>
        </w:rPr>
        <w:t>is</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approach</w:t>
      </w:r>
      <w:r w:rsidR="00C64050">
        <w:rPr>
          <w:color w:val="000000" w:themeColor="text1"/>
        </w:rPr>
        <w:t xml:space="preserve"> </w:t>
      </w:r>
      <w:r w:rsidRPr="003C1004">
        <w:rPr>
          <w:color w:val="000000" w:themeColor="text1"/>
        </w:rPr>
        <w:t>that</w:t>
      </w:r>
      <w:r w:rsidR="00C64050">
        <w:rPr>
          <w:color w:val="000000" w:themeColor="text1"/>
        </w:rPr>
        <w:t xml:space="preserve"> </w:t>
      </w:r>
      <w:r w:rsidRPr="003C1004">
        <w:rPr>
          <w:color w:val="000000" w:themeColor="text1"/>
        </w:rPr>
        <w:t>I</w:t>
      </w:r>
      <w:r w:rsidR="00C64050">
        <w:rPr>
          <w:color w:val="000000" w:themeColor="text1"/>
        </w:rPr>
        <w:t xml:space="preserve"> </w:t>
      </w:r>
      <w:r w:rsidRPr="003C1004">
        <w:rPr>
          <w:color w:val="000000" w:themeColor="text1"/>
        </w:rPr>
        <w:t>would</w:t>
      </w:r>
      <w:r w:rsidR="00C64050">
        <w:rPr>
          <w:color w:val="000000" w:themeColor="text1"/>
        </w:rPr>
        <w:t xml:space="preserve"> </w:t>
      </w:r>
      <w:r w:rsidRPr="003C1004">
        <w:rPr>
          <w:color w:val="000000" w:themeColor="text1"/>
        </w:rPr>
        <w:t>take</w:t>
      </w:r>
      <w:r w:rsidR="00C64050">
        <w:rPr>
          <w:color w:val="000000" w:themeColor="text1"/>
        </w:rPr>
        <w:t xml:space="preserve"> </w:t>
      </w:r>
      <w:r w:rsidRPr="003C1004">
        <w:rPr>
          <w:color w:val="000000" w:themeColor="text1"/>
        </w:rPr>
        <w:t>here.</w:t>
      </w:r>
      <w:r w:rsidR="00C64050">
        <w:rPr>
          <w:color w:val="000000" w:themeColor="text1"/>
        </w:rPr>
        <w:t xml:space="preserve"> </w:t>
      </w:r>
      <w:r w:rsidRPr="003C1004">
        <w:rPr>
          <w:color w:val="000000" w:themeColor="text1"/>
        </w:rPr>
        <w:t>There</w:t>
      </w:r>
      <w:r w:rsidR="00C64050">
        <w:rPr>
          <w:color w:val="000000" w:themeColor="text1"/>
        </w:rPr>
        <w:t xml:space="preserve"> </w:t>
      </w:r>
      <w:r w:rsidRPr="003C1004">
        <w:rPr>
          <w:color w:val="000000" w:themeColor="text1"/>
        </w:rPr>
        <w:t>is</w:t>
      </w:r>
      <w:r w:rsidR="00C64050">
        <w:rPr>
          <w:color w:val="000000" w:themeColor="text1"/>
        </w:rPr>
        <w:t xml:space="preserve"> </w:t>
      </w:r>
      <w:r w:rsidRPr="003C1004">
        <w:rPr>
          <w:color w:val="000000" w:themeColor="text1"/>
        </w:rPr>
        <w:t>no</w:t>
      </w:r>
      <w:r w:rsidR="00C64050">
        <w:rPr>
          <w:color w:val="000000" w:themeColor="text1"/>
        </w:rPr>
        <w:t xml:space="preserve"> </w:t>
      </w:r>
      <w:r w:rsidRPr="003C1004">
        <w:rPr>
          <w:color w:val="000000" w:themeColor="text1"/>
        </w:rPr>
        <w:t>double-counting</w:t>
      </w:r>
      <w:r w:rsidR="00C64050">
        <w:rPr>
          <w:color w:val="000000" w:themeColor="text1"/>
        </w:rPr>
        <w:t xml:space="preserve"> </w:t>
      </w:r>
      <w:r w:rsidRPr="003C1004">
        <w:rPr>
          <w:color w:val="000000" w:themeColor="text1"/>
        </w:rPr>
        <w:t>problem</w:t>
      </w:r>
      <w:r w:rsidR="00C64050">
        <w:rPr>
          <w:color w:val="000000" w:themeColor="text1"/>
        </w:rPr>
        <w:t xml:space="preserve"> </w:t>
      </w:r>
      <w:r w:rsidRPr="003C1004">
        <w:rPr>
          <w:color w:val="000000" w:themeColor="text1"/>
        </w:rPr>
        <w:t>if</w:t>
      </w:r>
      <w:r w:rsidR="00C64050">
        <w:rPr>
          <w:color w:val="000000" w:themeColor="text1"/>
        </w:rPr>
        <w:t xml:space="preserve"> </w:t>
      </w:r>
      <w:r w:rsidRPr="003C1004">
        <w:rPr>
          <w:color w:val="000000" w:themeColor="text1"/>
        </w:rPr>
        <w:t>we</w:t>
      </w:r>
      <w:r w:rsidR="00C64050">
        <w:rPr>
          <w:color w:val="000000" w:themeColor="text1"/>
        </w:rPr>
        <w:t xml:space="preserve"> </w:t>
      </w:r>
      <w:r w:rsidRPr="003C1004">
        <w:rPr>
          <w:color w:val="000000" w:themeColor="text1"/>
        </w:rPr>
        <w:t>read</w:t>
      </w:r>
      <w:r w:rsidR="00C64050">
        <w:rPr>
          <w:color w:val="000000" w:themeColor="text1"/>
        </w:rPr>
        <w:t xml:space="preserve"> </w:t>
      </w:r>
      <w:r w:rsidRPr="003C1004">
        <w:rPr>
          <w:color w:val="000000" w:themeColor="text1"/>
        </w:rPr>
        <w:t>section</w:t>
      </w:r>
      <w:r w:rsidR="00C64050">
        <w:rPr>
          <w:color w:val="000000" w:themeColor="text1"/>
        </w:rPr>
        <w:t xml:space="preserve"> </w:t>
      </w:r>
      <w:r w:rsidRPr="003C1004">
        <w:rPr>
          <w:color w:val="000000" w:themeColor="text1"/>
        </w:rPr>
        <w:t>2036(a)(2),</w:t>
      </w:r>
      <w:r w:rsidR="00C64050">
        <w:rPr>
          <w:color w:val="000000" w:themeColor="text1"/>
        </w:rPr>
        <w:t xml:space="preserve"> </w:t>
      </w:r>
      <w:r w:rsidRPr="003C1004">
        <w:rPr>
          <w:color w:val="000000" w:themeColor="text1"/>
        </w:rPr>
        <w:t>as</w:t>
      </w:r>
      <w:r w:rsidR="00C64050">
        <w:rPr>
          <w:color w:val="000000" w:themeColor="text1"/>
        </w:rPr>
        <w:t xml:space="preserve"> </w:t>
      </w:r>
      <w:r w:rsidRPr="003C1004">
        <w:rPr>
          <w:color w:val="000000" w:themeColor="text1"/>
        </w:rPr>
        <w:t>it</w:t>
      </w:r>
      <w:r w:rsidR="00C64050">
        <w:rPr>
          <w:color w:val="000000" w:themeColor="text1"/>
        </w:rPr>
        <w:t xml:space="preserve"> </w:t>
      </w:r>
      <w:r w:rsidRPr="003C1004">
        <w:rPr>
          <w:color w:val="000000" w:themeColor="text1"/>
        </w:rPr>
        <w:t>always</w:t>
      </w:r>
      <w:r w:rsidR="00C64050">
        <w:rPr>
          <w:color w:val="000000" w:themeColor="text1"/>
        </w:rPr>
        <w:t xml:space="preserve"> </w:t>
      </w:r>
      <w:r w:rsidRPr="003C1004">
        <w:rPr>
          <w:color w:val="000000" w:themeColor="text1"/>
        </w:rPr>
        <w:t>has</w:t>
      </w:r>
      <w:r w:rsidR="00C64050">
        <w:rPr>
          <w:color w:val="000000" w:themeColor="text1"/>
        </w:rPr>
        <w:t xml:space="preserve"> </w:t>
      </w:r>
      <w:r w:rsidRPr="003C1004">
        <w:rPr>
          <w:color w:val="000000" w:themeColor="text1"/>
        </w:rPr>
        <w:t>been</w:t>
      </w:r>
      <w:r w:rsidR="00C64050">
        <w:rPr>
          <w:color w:val="000000" w:themeColor="text1"/>
        </w:rPr>
        <w:t xml:space="preserve"> </w:t>
      </w:r>
      <w:r w:rsidRPr="003C1004">
        <w:rPr>
          <w:color w:val="000000" w:themeColor="text1"/>
        </w:rPr>
        <w:t>read,</w:t>
      </w:r>
      <w:r w:rsidR="00C64050">
        <w:rPr>
          <w:color w:val="000000" w:themeColor="text1"/>
        </w:rPr>
        <w:t xml:space="preserve"> </w:t>
      </w:r>
      <w:r w:rsidRPr="003C1004">
        <w:rPr>
          <w:color w:val="000000" w:themeColor="text1"/>
        </w:rPr>
        <w:t>to</w:t>
      </w:r>
      <w:r w:rsidR="00C64050">
        <w:rPr>
          <w:color w:val="000000" w:themeColor="text1"/>
        </w:rPr>
        <w:t xml:space="preserve"> </w:t>
      </w:r>
      <w:r w:rsidRPr="003C1004">
        <w:rPr>
          <w:color w:val="000000" w:themeColor="text1"/>
        </w:rPr>
        <w:t>disregard</w:t>
      </w:r>
      <w:r w:rsidR="00C64050">
        <w:rPr>
          <w:color w:val="000000" w:themeColor="text1"/>
        </w:rPr>
        <w:t xml:space="preserve"> </w:t>
      </w:r>
      <w:r w:rsidRPr="003C1004">
        <w:rPr>
          <w:color w:val="000000" w:themeColor="text1"/>
        </w:rPr>
        <w:t>a</w:t>
      </w:r>
      <w:r w:rsidR="00C64050">
        <w:rPr>
          <w:color w:val="000000" w:themeColor="text1"/>
        </w:rPr>
        <w:t xml:space="preserve"> </w:t>
      </w:r>
      <w:r w:rsidRPr="003C1004">
        <w:rPr>
          <w:color w:val="000000" w:themeColor="text1"/>
        </w:rPr>
        <w:t>“transfer</w:t>
      </w:r>
      <w:r w:rsidR="00C64050">
        <w:rPr>
          <w:color w:val="000000" w:themeColor="text1"/>
        </w:rPr>
        <w:t xml:space="preserve"> </w:t>
      </w:r>
      <w:r w:rsidRPr="003C1004">
        <w:rPr>
          <w:color w:val="000000" w:themeColor="text1"/>
        </w:rPr>
        <w:t>with</w:t>
      </w:r>
      <w:r w:rsidR="00C64050">
        <w:rPr>
          <w:color w:val="000000" w:themeColor="text1"/>
        </w:rPr>
        <w:t xml:space="preserve"> </w:t>
      </w:r>
      <w:r w:rsidRPr="003C1004">
        <w:rPr>
          <w:color w:val="000000" w:themeColor="text1"/>
        </w:rPr>
        <w:t>a</w:t>
      </w:r>
      <w:r w:rsidR="00C64050">
        <w:rPr>
          <w:color w:val="000000" w:themeColor="text1"/>
        </w:rPr>
        <w:t xml:space="preserve"> </w:t>
      </w:r>
      <w:r w:rsidRPr="003C1004">
        <w:rPr>
          <w:color w:val="000000" w:themeColor="text1"/>
        </w:rPr>
        <w:t>string”</w:t>
      </w:r>
      <w:r w:rsidR="00C64050">
        <w:rPr>
          <w:color w:val="000000" w:themeColor="text1"/>
        </w:rPr>
        <w:t xml:space="preserve"> </w:t>
      </w:r>
      <w:r w:rsidRPr="003C1004">
        <w:rPr>
          <w:color w:val="000000" w:themeColor="text1"/>
        </w:rPr>
        <w:t>and</w:t>
      </w:r>
      <w:r w:rsidR="00C64050">
        <w:rPr>
          <w:color w:val="000000" w:themeColor="text1"/>
        </w:rPr>
        <w:t xml:space="preserve"> </w:t>
      </w:r>
      <w:r w:rsidRPr="003C1004">
        <w:rPr>
          <w:color w:val="000000" w:themeColor="text1"/>
        </w:rPr>
        <w:t>include</w:t>
      </w:r>
      <w:r w:rsidR="00C64050">
        <w:rPr>
          <w:color w:val="000000" w:themeColor="text1"/>
        </w:rPr>
        <w:t xml:space="preserve"> </w:t>
      </w:r>
      <w:r w:rsidRPr="003C1004">
        <w:rPr>
          <w:color w:val="000000" w:themeColor="text1"/>
        </w:rPr>
        <w:t>in</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decedent's</w:t>
      </w:r>
      <w:r w:rsidR="00C64050">
        <w:rPr>
          <w:color w:val="000000" w:themeColor="text1"/>
        </w:rPr>
        <w:t xml:space="preserve"> </w:t>
      </w:r>
      <w:r w:rsidRPr="003C1004">
        <w:rPr>
          <w:color w:val="000000" w:themeColor="text1"/>
        </w:rPr>
        <w:t>estate</w:t>
      </w:r>
      <w:r w:rsidR="00C64050">
        <w:rPr>
          <w:color w:val="000000" w:themeColor="text1"/>
        </w:rPr>
        <w:t xml:space="preserve"> </w:t>
      </w:r>
      <w:r w:rsidRPr="003C1004">
        <w:rPr>
          <w:color w:val="000000" w:themeColor="text1"/>
        </w:rPr>
        <w:t>what</w:t>
      </w:r>
      <w:r w:rsidR="00C64050">
        <w:rPr>
          <w:color w:val="000000" w:themeColor="text1"/>
        </w:rPr>
        <w:t xml:space="preserve"> </w:t>
      </w:r>
      <w:r w:rsidRPr="003C1004">
        <w:rPr>
          <w:color w:val="000000" w:themeColor="text1"/>
        </w:rPr>
        <w:t>she</w:t>
      </w:r>
      <w:r w:rsidR="00C64050">
        <w:rPr>
          <w:color w:val="000000" w:themeColor="text1"/>
        </w:rPr>
        <w:t xml:space="preserve"> </w:t>
      </w:r>
      <w:r w:rsidRPr="003C1004">
        <w:rPr>
          <w:color w:val="000000" w:themeColor="text1"/>
        </w:rPr>
        <w:t>held</w:t>
      </w:r>
      <w:r w:rsidR="00C64050">
        <w:rPr>
          <w:color w:val="000000" w:themeColor="text1"/>
        </w:rPr>
        <w:t xml:space="preserve"> </w:t>
      </w:r>
      <w:r w:rsidRPr="003C1004">
        <w:rPr>
          <w:color w:val="000000" w:themeColor="text1"/>
        </w:rPr>
        <w:t>before</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purported</w:t>
      </w:r>
      <w:r w:rsidR="00C64050">
        <w:rPr>
          <w:color w:val="000000" w:themeColor="text1"/>
        </w:rPr>
        <w:t xml:space="preserve"> </w:t>
      </w:r>
      <w:r w:rsidRPr="003C1004">
        <w:rPr>
          <w:color w:val="000000" w:themeColor="text1"/>
        </w:rPr>
        <w:t>transfer—the</w:t>
      </w:r>
      <w:r w:rsidR="00C64050">
        <w:rPr>
          <w:color w:val="000000" w:themeColor="text1"/>
        </w:rPr>
        <w:t xml:space="preserve"> </w:t>
      </w:r>
      <w:r w:rsidRPr="003C1004">
        <w:rPr>
          <w:color w:val="000000" w:themeColor="text1"/>
        </w:rPr>
        <w:t>$10</w:t>
      </w:r>
      <w:r w:rsidR="00C64050">
        <w:rPr>
          <w:color w:val="000000" w:themeColor="text1"/>
        </w:rPr>
        <w:t xml:space="preserve"> </w:t>
      </w:r>
      <w:r w:rsidRPr="003C1004">
        <w:rPr>
          <w:color w:val="000000" w:themeColor="text1"/>
        </w:rPr>
        <w:t>million</w:t>
      </w:r>
      <w:r w:rsidR="00C64050">
        <w:rPr>
          <w:color w:val="000000" w:themeColor="text1"/>
        </w:rPr>
        <w:t xml:space="preserve"> </w:t>
      </w:r>
      <w:r w:rsidRPr="003C1004">
        <w:rPr>
          <w:color w:val="000000" w:themeColor="text1"/>
        </w:rPr>
        <w:t>in</w:t>
      </w:r>
      <w:r w:rsidR="00C64050">
        <w:rPr>
          <w:color w:val="000000" w:themeColor="text1"/>
        </w:rPr>
        <w:t xml:space="preserve"> </w:t>
      </w:r>
      <w:r w:rsidRPr="003C1004">
        <w:rPr>
          <w:color w:val="000000" w:themeColor="text1"/>
        </w:rPr>
        <w:t>cash</w:t>
      </w:r>
      <w:r w:rsidR="00C64050">
        <w:rPr>
          <w:color w:val="000000" w:themeColor="text1"/>
        </w:rPr>
        <w:t xml:space="preserve"> </w:t>
      </w:r>
      <w:r w:rsidRPr="003C1004">
        <w:rPr>
          <w:color w:val="000000" w:themeColor="text1"/>
        </w:rPr>
        <w:t>and</w:t>
      </w:r>
      <w:r w:rsidR="00C64050">
        <w:rPr>
          <w:color w:val="000000" w:themeColor="text1"/>
        </w:rPr>
        <w:t xml:space="preserve"> </w:t>
      </w:r>
      <w:r w:rsidRPr="003C1004">
        <w:rPr>
          <w:color w:val="000000" w:themeColor="text1"/>
        </w:rPr>
        <w:t>securities.</w:t>
      </w:r>
    </w:p>
    <w:p w:rsidR="003C1004" w:rsidRPr="003C1004" w:rsidRDefault="003C1004" w:rsidP="003C1004">
      <w:pPr>
        <w:pStyle w:val="QS10"/>
        <w:rPr>
          <w:color w:val="000000" w:themeColor="text1"/>
        </w:rPr>
      </w:pPr>
      <w:r w:rsidRPr="003C1004">
        <w:rPr>
          <w:color w:val="000000" w:themeColor="text1"/>
        </w:rPr>
        <w:t>Rather</w:t>
      </w:r>
      <w:r w:rsidR="00C64050">
        <w:rPr>
          <w:color w:val="000000" w:themeColor="text1"/>
        </w:rPr>
        <w:t xml:space="preserve"> </w:t>
      </w:r>
      <w:r w:rsidRPr="003C1004">
        <w:rPr>
          <w:color w:val="000000" w:themeColor="text1"/>
        </w:rPr>
        <w:t>than</w:t>
      </w:r>
      <w:r w:rsidR="00C64050">
        <w:rPr>
          <w:color w:val="000000" w:themeColor="text1"/>
        </w:rPr>
        <w:t xml:space="preserve"> </w:t>
      </w:r>
      <w:r w:rsidRPr="003C1004">
        <w:rPr>
          <w:color w:val="000000" w:themeColor="text1"/>
        </w:rPr>
        <w:t>take</w:t>
      </w:r>
      <w:r w:rsidR="00C64050">
        <w:rPr>
          <w:color w:val="000000" w:themeColor="text1"/>
        </w:rPr>
        <w:t xml:space="preserve"> </w:t>
      </w:r>
      <w:r w:rsidRPr="003C1004">
        <w:rPr>
          <w:color w:val="000000" w:themeColor="text1"/>
        </w:rPr>
        <w:t>this</w:t>
      </w:r>
      <w:r w:rsidR="00C64050">
        <w:rPr>
          <w:color w:val="000000" w:themeColor="text1"/>
        </w:rPr>
        <w:t xml:space="preserve"> </w:t>
      </w:r>
      <w:r w:rsidRPr="003C1004">
        <w:rPr>
          <w:color w:val="000000" w:themeColor="text1"/>
        </w:rPr>
        <w:t>straightforward</w:t>
      </w:r>
      <w:r w:rsidR="00C64050">
        <w:rPr>
          <w:color w:val="000000" w:themeColor="text1"/>
        </w:rPr>
        <w:t xml:space="preserve"> </w:t>
      </w:r>
      <w:r w:rsidRPr="003C1004">
        <w:rPr>
          <w:color w:val="000000" w:themeColor="text1"/>
        </w:rPr>
        <w:t>path</w:t>
      </w:r>
      <w:r w:rsidR="00C64050">
        <w:rPr>
          <w:color w:val="000000" w:themeColor="text1"/>
        </w:rPr>
        <w:t xml:space="preserve"> </w:t>
      </w:r>
      <w:r w:rsidRPr="003C1004">
        <w:rPr>
          <w:color w:val="000000" w:themeColor="text1"/>
        </w:rPr>
        <w:t>to</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correct</w:t>
      </w:r>
      <w:r w:rsidR="00C64050">
        <w:rPr>
          <w:color w:val="000000" w:themeColor="text1"/>
        </w:rPr>
        <w:t xml:space="preserve"> </w:t>
      </w:r>
      <w:r w:rsidRPr="003C1004">
        <w:rPr>
          <w:color w:val="000000" w:themeColor="text1"/>
        </w:rPr>
        <w:t>result,</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Court</w:t>
      </w:r>
      <w:r w:rsidR="00C64050">
        <w:rPr>
          <w:color w:val="000000" w:themeColor="text1"/>
        </w:rPr>
        <w:t xml:space="preserve"> </w:t>
      </w:r>
      <w:r w:rsidRPr="003C1004">
        <w:rPr>
          <w:color w:val="000000" w:themeColor="text1"/>
        </w:rPr>
        <w:t>ad-opts</w:t>
      </w:r>
      <w:r w:rsidR="00C64050">
        <w:rPr>
          <w:color w:val="000000" w:themeColor="text1"/>
        </w:rPr>
        <w:t xml:space="preserve"> </w:t>
      </w:r>
      <w:r w:rsidRPr="003C1004">
        <w:rPr>
          <w:color w:val="000000" w:themeColor="text1"/>
        </w:rPr>
        <w:t>as</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linchpin</w:t>
      </w:r>
      <w:r w:rsidR="00C64050">
        <w:rPr>
          <w:color w:val="000000" w:themeColor="text1"/>
        </w:rPr>
        <w:t xml:space="preserve"> </w:t>
      </w:r>
      <w:r w:rsidRPr="003C1004">
        <w:rPr>
          <w:color w:val="000000" w:themeColor="text1"/>
        </w:rPr>
        <w:t>of</w:t>
      </w:r>
      <w:r w:rsidR="00C64050">
        <w:rPr>
          <w:color w:val="000000" w:themeColor="text1"/>
        </w:rPr>
        <w:t xml:space="preserve"> </w:t>
      </w:r>
      <w:r w:rsidRPr="003C1004">
        <w:rPr>
          <w:color w:val="000000" w:themeColor="text1"/>
        </w:rPr>
        <w:t>its</w:t>
      </w:r>
      <w:r w:rsidR="00C64050">
        <w:rPr>
          <w:color w:val="000000" w:themeColor="text1"/>
        </w:rPr>
        <w:t xml:space="preserve"> </w:t>
      </w:r>
      <w:r w:rsidRPr="003C1004">
        <w:rPr>
          <w:color w:val="000000" w:themeColor="text1"/>
        </w:rPr>
        <w:t>analysis</w:t>
      </w:r>
      <w:r w:rsidR="00C64050">
        <w:rPr>
          <w:color w:val="000000" w:themeColor="text1"/>
        </w:rPr>
        <w:t xml:space="preserve"> </w:t>
      </w:r>
      <w:r w:rsidRPr="003C1004">
        <w:rPr>
          <w:color w:val="000000" w:themeColor="text1"/>
        </w:rPr>
        <w:t>section</w:t>
      </w:r>
      <w:r w:rsidR="00C64050">
        <w:rPr>
          <w:color w:val="000000" w:themeColor="text1"/>
        </w:rPr>
        <w:t xml:space="preserve"> </w:t>
      </w:r>
      <w:r w:rsidRPr="003C1004">
        <w:rPr>
          <w:color w:val="000000" w:themeColor="text1"/>
        </w:rPr>
        <w:t>2043(a).</w:t>
      </w:r>
      <w:r w:rsidR="00C64050">
        <w:rPr>
          <w:color w:val="000000" w:themeColor="text1"/>
        </w:rPr>
        <w:t xml:space="preserve"> </w:t>
      </w:r>
      <w:r w:rsidRPr="003C1004">
        <w:rPr>
          <w:color w:val="000000" w:themeColor="text1"/>
        </w:rPr>
        <w:t>Neither</w:t>
      </w:r>
      <w:r w:rsidR="00C64050">
        <w:rPr>
          <w:color w:val="000000" w:themeColor="text1"/>
        </w:rPr>
        <w:t xml:space="preserve"> </w:t>
      </w:r>
      <w:r w:rsidRPr="003C1004">
        <w:rPr>
          <w:color w:val="000000" w:themeColor="text1"/>
        </w:rPr>
        <w:t>party</w:t>
      </w:r>
      <w:r w:rsidR="00C64050">
        <w:rPr>
          <w:color w:val="000000" w:themeColor="text1"/>
        </w:rPr>
        <w:t xml:space="preserve"> </w:t>
      </w:r>
      <w:r w:rsidRPr="003C1004">
        <w:rPr>
          <w:color w:val="000000" w:themeColor="text1"/>
        </w:rPr>
        <w:t>in</w:t>
      </w:r>
      <w:r w:rsidR="00C64050">
        <w:rPr>
          <w:color w:val="000000" w:themeColor="text1"/>
        </w:rPr>
        <w:t xml:space="preserve"> </w:t>
      </w:r>
      <w:r w:rsidRPr="003C1004">
        <w:rPr>
          <w:color w:val="000000" w:themeColor="text1"/>
        </w:rPr>
        <w:t>this</w:t>
      </w:r>
      <w:r w:rsidR="00C64050">
        <w:rPr>
          <w:color w:val="000000" w:themeColor="text1"/>
        </w:rPr>
        <w:t xml:space="preserve"> </w:t>
      </w:r>
      <w:r w:rsidRPr="003C1004">
        <w:rPr>
          <w:color w:val="000000" w:themeColor="text1"/>
        </w:rPr>
        <w:t>case</w:t>
      </w:r>
      <w:r w:rsidR="00C64050">
        <w:rPr>
          <w:color w:val="000000" w:themeColor="text1"/>
        </w:rPr>
        <w:t xml:space="preserve"> </w:t>
      </w:r>
      <w:r w:rsidRPr="003C1004">
        <w:rPr>
          <w:color w:val="000000" w:themeColor="text1"/>
        </w:rPr>
        <w:t>advanced</w:t>
      </w:r>
      <w:r w:rsidR="00C64050">
        <w:rPr>
          <w:color w:val="000000" w:themeColor="text1"/>
        </w:rPr>
        <w:t xml:space="preserve"> </w:t>
      </w:r>
      <w:r w:rsidRPr="003C1004">
        <w:rPr>
          <w:color w:val="000000" w:themeColor="text1"/>
        </w:rPr>
        <w:t>any</w:t>
      </w:r>
      <w:r w:rsidR="00C64050">
        <w:rPr>
          <w:color w:val="000000" w:themeColor="text1"/>
        </w:rPr>
        <w:t xml:space="preserve"> </w:t>
      </w:r>
      <w:r w:rsidRPr="003C1004">
        <w:rPr>
          <w:color w:val="000000" w:themeColor="text1"/>
        </w:rPr>
        <w:t>argument</w:t>
      </w:r>
      <w:r w:rsidR="00C64050">
        <w:rPr>
          <w:color w:val="000000" w:themeColor="text1"/>
        </w:rPr>
        <w:t xml:space="preserve"> </w:t>
      </w:r>
      <w:r w:rsidRPr="003C1004">
        <w:rPr>
          <w:color w:val="000000" w:themeColor="text1"/>
        </w:rPr>
        <w:t>based</w:t>
      </w:r>
      <w:r w:rsidR="00C64050">
        <w:rPr>
          <w:color w:val="000000" w:themeColor="text1"/>
        </w:rPr>
        <w:t xml:space="preserve"> </w:t>
      </w:r>
      <w:r w:rsidRPr="003C1004">
        <w:rPr>
          <w:color w:val="000000" w:themeColor="text1"/>
        </w:rPr>
        <w:t>on</w:t>
      </w:r>
      <w:r w:rsidR="00C64050">
        <w:rPr>
          <w:color w:val="000000" w:themeColor="text1"/>
        </w:rPr>
        <w:t xml:space="preserve"> </w:t>
      </w:r>
      <w:r w:rsidRPr="003C1004">
        <w:rPr>
          <w:color w:val="000000" w:themeColor="text1"/>
        </w:rPr>
        <w:t>section</w:t>
      </w:r>
      <w:r w:rsidR="00C64050">
        <w:rPr>
          <w:color w:val="000000" w:themeColor="text1"/>
        </w:rPr>
        <w:t xml:space="preserve"> </w:t>
      </w:r>
      <w:r w:rsidRPr="003C1004">
        <w:rPr>
          <w:color w:val="000000" w:themeColor="text1"/>
        </w:rPr>
        <w:t>2043(a);</w:t>
      </w:r>
      <w:r w:rsidR="00C64050">
        <w:rPr>
          <w:color w:val="000000" w:themeColor="text1"/>
        </w:rPr>
        <w:t xml:space="preserve"> </w:t>
      </w:r>
      <w:r w:rsidRPr="003C1004">
        <w:rPr>
          <w:color w:val="000000" w:themeColor="text1"/>
        </w:rPr>
        <w:t>indeed,</w:t>
      </w:r>
      <w:r w:rsidR="00C64050">
        <w:rPr>
          <w:color w:val="000000" w:themeColor="text1"/>
        </w:rPr>
        <w:t xml:space="preserve"> </w:t>
      </w:r>
      <w:r w:rsidRPr="003C1004">
        <w:rPr>
          <w:color w:val="000000" w:themeColor="text1"/>
        </w:rPr>
        <w:t>that</w:t>
      </w:r>
      <w:r w:rsidR="00C64050">
        <w:rPr>
          <w:color w:val="000000" w:themeColor="text1"/>
        </w:rPr>
        <w:t xml:space="preserve"> </w:t>
      </w:r>
      <w:r w:rsidRPr="003C1004">
        <w:rPr>
          <w:color w:val="000000" w:themeColor="text1"/>
        </w:rPr>
        <w:t>section</w:t>
      </w:r>
      <w:r w:rsidR="00C64050">
        <w:rPr>
          <w:color w:val="000000" w:themeColor="text1"/>
        </w:rPr>
        <w:t xml:space="preserve"> </w:t>
      </w:r>
      <w:r w:rsidRPr="003C1004">
        <w:rPr>
          <w:color w:val="000000" w:themeColor="text1"/>
        </w:rPr>
        <w:t>is</w:t>
      </w:r>
      <w:r w:rsidR="00C64050">
        <w:rPr>
          <w:color w:val="000000" w:themeColor="text1"/>
        </w:rPr>
        <w:t xml:space="preserve"> </w:t>
      </w:r>
      <w:r w:rsidRPr="003C1004">
        <w:rPr>
          <w:color w:val="000000" w:themeColor="text1"/>
        </w:rPr>
        <w:t>not</w:t>
      </w:r>
      <w:r w:rsidR="00C64050">
        <w:rPr>
          <w:color w:val="000000" w:themeColor="text1"/>
        </w:rPr>
        <w:t xml:space="preserve"> </w:t>
      </w:r>
      <w:r w:rsidRPr="003C1004">
        <w:rPr>
          <w:color w:val="000000" w:themeColor="text1"/>
        </w:rPr>
        <w:t>cited</w:t>
      </w:r>
      <w:r w:rsidR="00C64050">
        <w:rPr>
          <w:color w:val="000000" w:themeColor="text1"/>
        </w:rPr>
        <w:t xml:space="preserve"> </w:t>
      </w:r>
      <w:r w:rsidRPr="003C1004">
        <w:rPr>
          <w:color w:val="000000" w:themeColor="text1"/>
        </w:rPr>
        <w:t>in</w:t>
      </w:r>
      <w:r w:rsidR="00C64050">
        <w:rPr>
          <w:color w:val="000000" w:themeColor="text1"/>
        </w:rPr>
        <w:t xml:space="preserve"> </w:t>
      </w:r>
      <w:r w:rsidRPr="003C1004">
        <w:rPr>
          <w:color w:val="000000" w:themeColor="text1"/>
        </w:rPr>
        <w:t>either</w:t>
      </w:r>
      <w:r w:rsidR="00C64050">
        <w:rPr>
          <w:color w:val="000000" w:themeColor="text1"/>
        </w:rPr>
        <w:t xml:space="preserve"> </w:t>
      </w:r>
      <w:r w:rsidRPr="003C1004">
        <w:rPr>
          <w:color w:val="000000" w:themeColor="text1"/>
        </w:rPr>
        <w:t>party's</w:t>
      </w:r>
      <w:r w:rsidR="00C64050">
        <w:rPr>
          <w:color w:val="000000" w:themeColor="text1"/>
        </w:rPr>
        <w:t xml:space="preserve"> </w:t>
      </w:r>
      <w:r w:rsidRPr="003C1004">
        <w:rPr>
          <w:color w:val="000000" w:themeColor="text1"/>
        </w:rPr>
        <w:t>briefs.</w:t>
      </w:r>
      <w:r w:rsidR="00C64050">
        <w:rPr>
          <w:color w:val="000000" w:themeColor="text1"/>
        </w:rPr>
        <w:t xml:space="preserve"> </w:t>
      </w:r>
      <w:r w:rsidRPr="003C1004">
        <w:rPr>
          <w:color w:val="000000" w:themeColor="text1"/>
        </w:rPr>
        <w:t>And</w:t>
      </w:r>
      <w:r w:rsidR="00C64050">
        <w:rPr>
          <w:color w:val="000000" w:themeColor="text1"/>
        </w:rPr>
        <w:t xml:space="preserve"> </w:t>
      </w:r>
      <w:r w:rsidRPr="003C1004">
        <w:rPr>
          <w:color w:val="000000" w:themeColor="text1"/>
        </w:rPr>
        <w:t>as</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Court</w:t>
      </w:r>
      <w:r w:rsidR="00C64050">
        <w:rPr>
          <w:color w:val="000000" w:themeColor="text1"/>
        </w:rPr>
        <w:t xml:space="preserve"> </w:t>
      </w:r>
      <w:r w:rsidRPr="003C1004">
        <w:rPr>
          <w:color w:val="000000" w:themeColor="text1"/>
        </w:rPr>
        <w:t>recognizes,</w:t>
      </w:r>
      <w:r w:rsidR="00C64050">
        <w:rPr>
          <w:color w:val="000000" w:themeColor="text1"/>
        </w:rPr>
        <w:t xml:space="preserve"> </w:t>
      </w:r>
      <w:r w:rsidRPr="003C1004">
        <w:rPr>
          <w:color w:val="000000" w:themeColor="text1"/>
          <w:u w:val="single"/>
        </w:rPr>
        <w:t>see</w:t>
      </w:r>
      <w:r w:rsidR="00C64050">
        <w:rPr>
          <w:color w:val="000000" w:themeColor="text1"/>
        </w:rPr>
        <w:t xml:space="preserve"> </w:t>
      </w:r>
      <w:r w:rsidRPr="003C1004">
        <w:rPr>
          <w:color w:val="000000" w:themeColor="text1"/>
        </w:rPr>
        <w:t>op.</w:t>
      </w:r>
      <w:r w:rsidR="00C64050">
        <w:rPr>
          <w:color w:val="000000" w:themeColor="text1"/>
        </w:rPr>
        <w:t xml:space="preserve"> </w:t>
      </w:r>
      <w:r w:rsidRPr="003C1004">
        <w:rPr>
          <w:color w:val="000000" w:themeColor="text1"/>
        </w:rPr>
        <w:t>Ct.</w:t>
      </w:r>
      <w:r w:rsidR="00C64050">
        <w:rPr>
          <w:color w:val="000000" w:themeColor="text1"/>
        </w:rPr>
        <w:t xml:space="preserve"> </w:t>
      </w:r>
      <w:r w:rsidRPr="003C1004">
        <w:rPr>
          <w:color w:val="000000" w:themeColor="text1"/>
        </w:rPr>
        <w:t>p.</w:t>
      </w:r>
      <w:r w:rsidR="00C64050">
        <w:rPr>
          <w:color w:val="000000" w:themeColor="text1"/>
        </w:rPr>
        <w:t xml:space="preserve"> </w:t>
      </w:r>
      <w:r w:rsidRPr="003C1004">
        <w:rPr>
          <w:color w:val="000000" w:themeColor="text1"/>
        </w:rPr>
        <w:t>28,</w:t>
      </w:r>
      <w:r w:rsidR="00C64050">
        <w:rPr>
          <w:color w:val="000000" w:themeColor="text1"/>
        </w:rPr>
        <w:t xml:space="preserve"> </w:t>
      </w:r>
      <w:r w:rsidRPr="003C1004">
        <w:rPr>
          <w:color w:val="000000" w:themeColor="text1"/>
        </w:rPr>
        <w:t>we</w:t>
      </w:r>
      <w:r w:rsidR="00C64050">
        <w:rPr>
          <w:color w:val="000000" w:themeColor="text1"/>
        </w:rPr>
        <w:t xml:space="preserve"> </w:t>
      </w:r>
      <w:r w:rsidRPr="003C1004">
        <w:rPr>
          <w:color w:val="000000" w:themeColor="text1"/>
        </w:rPr>
        <w:t>have</w:t>
      </w:r>
      <w:r w:rsidR="00C64050">
        <w:rPr>
          <w:color w:val="000000" w:themeColor="text1"/>
        </w:rPr>
        <w:t xml:space="preserve"> </w:t>
      </w:r>
      <w:r w:rsidRPr="003C1004">
        <w:rPr>
          <w:color w:val="000000" w:themeColor="text1"/>
        </w:rPr>
        <w:t>not</w:t>
      </w:r>
      <w:r w:rsidR="00C64050">
        <w:rPr>
          <w:color w:val="000000" w:themeColor="text1"/>
        </w:rPr>
        <w:t xml:space="preserve"> </w:t>
      </w:r>
      <w:r w:rsidRPr="003C1004">
        <w:rPr>
          <w:color w:val="000000" w:themeColor="text1"/>
        </w:rPr>
        <w:t>previously</w:t>
      </w:r>
      <w:r w:rsidR="00C64050">
        <w:rPr>
          <w:color w:val="000000" w:themeColor="text1"/>
        </w:rPr>
        <w:t xml:space="preserve"> </w:t>
      </w:r>
      <w:r w:rsidRPr="003C1004">
        <w:rPr>
          <w:color w:val="000000" w:themeColor="text1"/>
        </w:rPr>
        <w:t>applied</w:t>
      </w:r>
      <w:r w:rsidR="00C64050">
        <w:rPr>
          <w:color w:val="000000" w:themeColor="text1"/>
        </w:rPr>
        <w:t xml:space="preserve"> </w:t>
      </w:r>
      <w:r w:rsidRPr="003C1004">
        <w:rPr>
          <w:color w:val="000000" w:themeColor="text1"/>
        </w:rPr>
        <w:t>section</w:t>
      </w:r>
      <w:r w:rsidR="00C64050">
        <w:rPr>
          <w:color w:val="000000" w:themeColor="text1"/>
        </w:rPr>
        <w:t xml:space="preserve"> </w:t>
      </w:r>
      <w:r w:rsidRPr="003C1004">
        <w:rPr>
          <w:color w:val="000000" w:themeColor="text1"/>
        </w:rPr>
        <w:t>2043(a),</w:t>
      </w:r>
      <w:r w:rsidR="00C64050">
        <w:rPr>
          <w:color w:val="000000" w:themeColor="text1"/>
        </w:rPr>
        <w:t xml:space="preserve"> </w:t>
      </w:r>
      <w:r w:rsidRPr="003C1004">
        <w:rPr>
          <w:color w:val="000000" w:themeColor="text1"/>
        </w:rPr>
        <w:t>as</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Court</w:t>
      </w:r>
      <w:r w:rsidR="00C64050">
        <w:rPr>
          <w:color w:val="000000" w:themeColor="text1"/>
        </w:rPr>
        <w:t xml:space="preserve"> </w:t>
      </w:r>
      <w:r w:rsidRPr="003C1004">
        <w:rPr>
          <w:color w:val="000000" w:themeColor="text1"/>
        </w:rPr>
        <w:t>does</w:t>
      </w:r>
      <w:r w:rsidR="00C64050">
        <w:rPr>
          <w:color w:val="000000" w:themeColor="text1"/>
        </w:rPr>
        <w:t xml:space="preserve"> </w:t>
      </w:r>
      <w:r w:rsidRPr="003C1004">
        <w:rPr>
          <w:color w:val="000000" w:themeColor="text1"/>
        </w:rPr>
        <w:t>here,</w:t>
      </w:r>
      <w:r w:rsidR="00C64050">
        <w:rPr>
          <w:color w:val="000000" w:themeColor="text1"/>
        </w:rPr>
        <w:t xml:space="preserve"> </w:t>
      </w:r>
      <w:r w:rsidRPr="003C1004">
        <w:rPr>
          <w:color w:val="000000" w:themeColor="text1"/>
        </w:rPr>
        <w:t>to</w:t>
      </w:r>
      <w:r w:rsidR="00C64050">
        <w:rPr>
          <w:color w:val="000000" w:themeColor="text1"/>
        </w:rPr>
        <w:t xml:space="preserve"> </w:t>
      </w:r>
      <w:r w:rsidRPr="003C1004">
        <w:rPr>
          <w:color w:val="000000" w:themeColor="text1"/>
        </w:rPr>
        <w:t>limit</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amount</w:t>
      </w:r>
      <w:r w:rsidR="00C64050">
        <w:rPr>
          <w:color w:val="000000" w:themeColor="text1"/>
        </w:rPr>
        <w:t xml:space="preserve"> </w:t>
      </w:r>
      <w:r w:rsidRPr="003C1004">
        <w:rPr>
          <w:color w:val="000000" w:themeColor="text1"/>
        </w:rPr>
        <w:t>includible</w:t>
      </w:r>
      <w:r w:rsidR="00C64050">
        <w:rPr>
          <w:color w:val="000000" w:themeColor="text1"/>
        </w:rPr>
        <w:t xml:space="preserve"> </w:t>
      </w:r>
      <w:r w:rsidRPr="003C1004">
        <w:rPr>
          <w:color w:val="000000" w:themeColor="text1"/>
        </w:rPr>
        <w:t>in</w:t>
      </w:r>
      <w:r w:rsidR="00C64050">
        <w:rPr>
          <w:color w:val="000000" w:themeColor="text1"/>
        </w:rPr>
        <w:t xml:space="preserve"> </w:t>
      </w:r>
      <w:r w:rsidRPr="003C1004">
        <w:rPr>
          <w:color w:val="000000" w:themeColor="text1"/>
        </w:rPr>
        <w:t>a</w:t>
      </w:r>
      <w:r w:rsidR="00C64050">
        <w:rPr>
          <w:color w:val="000000" w:themeColor="text1"/>
        </w:rPr>
        <w:t xml:space="preserve"> </w:t>
      </w:r>
      <w:r w:rsidRPr="003C1004">
        <w:rPr>
          <w:color w:val="000000" w:themeColor="text1"/>
        </w:rPr>
        <w:t>decedent's</w:t>
      </w:r>
      <w:r w:rsidR="00C64050">
        <w:rPr>
          <w:color w:val="000000" w:themeColor="text1"/>
        </w:rPr>
        <w:t xml:space="preserve"> </w:t>
      </w:r>
      <w:r w:rsidRPr="003C1004">
        <w:rPr>
          <w:color w:val="000000" w:themeColor="text1"/>
        </w:rPr>
        <w:t>gross</w:t>
      </w:r>
      <w:r w:rsidR="00C64050">
        <w:rPr>
          <w:color w:val="000000" w:themeColor="text1"/>
        </w:rPr>
        <w:t xml:space="preserve"> </w:t>
      </w:r>
      <w:r w:rsidRPr="003C1004">
        <w:rPr>
          <w:color w:val="000000" w:themeColor="text1"/>
        </w:rPr>
        <w:t>estate</w:t>
      </w:r>
      <w:r w:rsidR="00C64050">
        <w:rPr>
          <w:color w:val="000000" w:themeColor="text1"/>
        </w:rPr>
        <w:t xml:space="preserve"> </w:t>
      </w:r>
      <w:r w:rsidRPr="003C1004">
        <w:rPr>
          <w:color w:val="000000" w:themeColor="text1"/>
        </w:rPr>
        <w:t>under</w:t>
      </w:r>
      <w:r w:rsidR="00C64050">
        <w:rPr>
          <w:color w:val="000000" w:themeColor="text1"/>
        </w:rPr>
        <w:t xml:space="preserve"> </w:t>
      </w:r>
      <w:r w:rsidRPr="003C1004">
        <w:rPr>
          <w:color w:val="000000" w:themeColor="text1"/>
        </w:rPr>
        <w:t>section</w:t>
      </w:r>
      <w:r w:rsidR="00C64050">
        <w:rPr>
          <w:color w:val="000000" w:themeColor="text1"/>
        </w:rPr>
        <w:t xml:space="preserve"> </w:t>
      </w:r>
      <w:r w:rsidRPr="003C1004">
        <w:rPr>
          <w:color w:val="000000" w:themeColor="text1"/>
        </w:rPr>
        <w:t>2036(a).</w:t>
      </w:r>
      <w:r w:rsidR="00C64050">
        <w:rPr>
          <w:color w:val="000000" w:themeColor="text1"/>
        </w:rPr>
        <w:t xml:space="preserve"> </w:t>
      </w:r>
      <w:r w:rsidRPr="003C1004">
        <w:rPr>
          <w:color w:val="000000" w:themeColor="text1"/>
          <w:u w:val="single"/>
        </w:rPr>
        <w:t>See,</w:t>
      </w:r>
      <w:r w:rsidR="00C64050">
        <w:rPr>
          <w:color w:val="000000" w:themeColor="text1"/>
          <w:u w:val="single"/>
        </w:rPr>
        <w:t xml:space="preserve"> </w:t>
      </w:r>
      <w:r w:rsidRPr="003C1004">
        <w:rPr>
          <w:color w:val="000000" w:themeColor="text1"/>
          <w:u w:val="single"/>
        </w:rPr>
        <w:t>e.g.</w:t>
      </w:r>
      <w:r w:rsidRPr="003C1004">
        <w:rPr>
          <w:color w:val="000000" w:themeColor="text1"/>
        </w:rPr>
        <w:t>,</w:t>
      </w:r>
      <w:r w:rsidR="00C64050">
        <w:rPr>
          <w:color w:val="000000" w:themeColor="text1"/>
        </w:rPr>
        <w:t xml:space="preserve"> </w:t>
      </w:r>
      <w:r w:rsidRPr="003C1004">
        <w:rPr>
          <w:color w:val="000000" w:themeColor="text1"/>
          <w:u w:val="single"/>
        </w:rPr>
        <w:t>Estate</w:t>
      </w:r>
      <w:r w:rsidR="00C64050">
        <w:rPr>
          <w:color w:val="000000" w:themeColor="text1"/>
          <w:u w:val="single"/>
        </w:rPr>
        <w:t xml:space="preserve"> </w:t>
      </w:r>
      <w:r w:rsidRPr="003C1004">
        <w:rPr>
          <w:color w:val="000000" w:themeColor="text1"/>
          <w:u w:val="single"/>
        </w:rPr>
        <w:t>of</w:t>
      </w:r>
      <w:r w:rsidR="00C64050">
        <w:rPr>
          <w:color w:val="000000" w:themeColor="text1"/>
          <w:u w:val="single"/>
        </w:rPr>
        <w:t xml:space="preserve"> </w:t>
      </w:r>
      <w:r w:rsidRPr="003C1004">
        <w:rPr>
          <w:color w:val="000000" w:themeColor="text1"/>
          <w:u w:val="single"/>
        </w:rPr>
        <w:t>Harper</w:t>
      </w:r>
      <w:r w:rsidRPr="003C1004">
        <w:rPr>
          <w:color w:val="000000" w:themeColor="text1"/>
        </w:rPr>
        <w:t>,</w:t>
      </w:r>
      <w:r w:rsidR="00C64050">
        <w:rPr>
          <w:color w:val="000000" w:themeColor="text1"/>
        </w:rPr>
        <w:t xml:space="preserve"> </w:t>
      </w:r>
      <w:r w:rsidRPr="003C1004">
        <w:rPr>
          <w:color w:val="000000" w:themeColor="text1"/>
        </w:rPr>
        <w:t>83</w:t>
      </w:r>
      <w:r w:rsidR="00C64050">
        <w:rPr>
          <w:color w:val="000000" w:themeColor="text1"/>
        </w:rPr>
        <w:t xml:space="preserve"> </w:t>
      </w:r>
      <w:r w:rsidRPr="003C1004">
        <w:rPr>
          <w:color w:val="000000" w:themeColor="text1"/>
        </w:rPr>
        <w:t>T.C.M.</w:t>
      </w:r>
      <w:r w:rsidR="00C64050">
        <w:rPr>
          <w:color w:val="000000" w:themeColor="text1"/>
        </w:rPr>
        <w:t xml:space="preserve"> </w:t>
      </w:r>
      <w:r w:rsidRPr="003C1004">
        <w:rPr>
          <w:color w:val="000000" w:themeColor="text1"/>
        </w:rPr>
        <w:t>(CCH)</w:t>
      </w:r>
      <w:r w:rsidR="00C64050">
        <w:rPr>
          <w:color w:val="000000" w:themeColor="text1"/>
        </w:rPr>
        <w:t xml:space="preserve"> </w:t>
      </w:r>
      <w:r w:rsidRPr="003C1004">
        <w:rPr>
          <w:color w:val="000000" w:themeColor="text1"/>
        </w:rPr>
        <w:t>at</w:t>
      </w:r>
      <w:r w:rsidR="00C64050">
        <w:rPr>
          <w:color w:val="000000" w:themeColor="text1"/>
        </w:rPr>
        <w:t xml:space="preserve"> </w:t>
      </w:r>
      <w:r w:rsidRPr="003C1004">
        <w:rPr>
          <w:color w:val="000000" w:themeColor="text1"/>
        </w:rPr>
        <w:t>1654</w:t>
      </w:r>
      <w:r w:rsidR="00C64050">
        <w:rPr>
          <w:color w:val="000000" w:themeColor="text1"/>
        </w:rPr>
        <w:t xml:space="preserve"> </w:t>
      </w:r>
      <w:r w:rsidRPr="003C1004">
        <w:rPr>
          <w:color w:val="000000" w:themeColor="text1"/>
        </w:rPr>
        <w:t>(ruling</w:t>
      </w:r>
      <w:r w:rsidR="00C64050">
        <w:rPr>
          <w:color w:val="000000" w:themeColor="text1"/>
        </w:rPr>
        <w:t xml:space="preserve"> </w:t>
      </w:r>
      <w:r w:rsidRPr="003C1004">
        <w:rPr>
          <w:color w:val="000000" w:themeColor="text1"/>
        </w:rPr>
        <w:t>that</w:t>
      </w:r>
      <w:r w:rsidR="00C64050">
        <w:rPr>
          <w:color w:val="000000" w:themeColor="text1"/>
        </w:rPr>
        <w:t xml:space="preserve"> </w:t>
      </w:r>
      <w:r w:rsidRPr="003C1004">
        <w:rPr>
          <w:color w:val="000000" w:themeColor="text1"/>
        </w:rPr>
        <w:t>section</w:t>
      </w:r>
      <w:r w:rsidR="00C64050">
        <w:rPr>
          <w:color w:val="000000" w:themeColor="text1"/>
        </w:rPr>
        <w:t xml:space="preserve"> </w:t>
      </w:r>
      <w:r w:rsidRPr="003C1004">
        <w:rPr>
          <w:color w:val="000000" w:themeColor="text1"/>
        </w:rPr>
        <w:t>2043(a)</w:t>
      </w:r>
      <w:r w:rsidR="00C64050">
        <w:rPr>
          <w:color w:val="000000" w:themeColor="text1"/>
        </w:rPr>
        <w:t xml:space="preserve"> </w:t>
      </w:r>
      <w:r w:rsidRPr="003C1004">
        <w:rPr>
          <w:color w:val="000000" w:themeColor="text1"/>
        </w:rPr>
        <w:t>“is</w:t>
      </w:r>
      <w:r w:rsidR="00C64050">
        <w:rPr>
          <w:color w:val="000000" w:themeColor="text1"/>
        </w:rPr>
        <w:t xml:space="preserve"> </w:t>
      </w:r>
      <w:r w:rsidRPr="003C1004">
        <w:rPr>
          <w:color w:val="000000" w:themeColor="text1"/>
        </w:rPr>
        <w:t>inapplicable</w:t>
      </w:r>
      <w:r w:rsidR="00C64050">
        <w:rPr>
          <w:color w:val="000000" w:themeColor="text1"/>
        </w:rPr>
        <w:t xml:space="preserve"> </w:t>
      </w:r>
      <w:r w:rsidRPr="003C1004">
        <w:rPr>
          <w:color w:val="000000" w:themeColor="text1"/>
        </w:rPr>
        <w:t>where,</w:t>
      </w:r>
      <w:r w:rsidR="00C64050">
        <w:rPr>
          <w:color w:val="000000" w:themeColor="text1"/>
        </w:rPr>
        <w:t xml:space="preserve"> </w:t>
      </w:r>
      <w:r w:rsidRPr="003C1004">
        <w:rPr>
          <w:color w:val="000000" w:themeColor="text1"/>
        </w:rPr>
        <w:t>as</w:t>
      </w:r>
      <w:r w:rsidR="00C64050">
        <w:rPr>
          <w:color w:val="000000" w:themeColor="text1"/>
        </w:rPr>
        <w:t xml:space="preserve"> </w:t>
      </w:r>
      <w:r w:rsidRPr="003C1004">
        <w:rPr>
          <w:color w:val="000000" w:themeColor="text1"/>
        </w:rPr>
        <w:t>here,</w:t>
      </w:r>
      <w:r w:rsidR="00C64050">
        <w:rPr>
          <w:color w:val="000000" w:themeColor="text1"/>
        </w:rPr>
        <w:t xml:space="preserve"> </w:t>
      </w:r>
      <w:r w:rsidRPr="003C1004">
        <w:rPr>
          <w:color w:val="000000" w:themeColor="text1"/>
        </w:rPr>
        <w:t>there</w:t>
      </w:r>
      <w:r w:rsidR="00C64050">
        <w:rPr>
          <w:color w:val="000000" w:themeColor="text1"/>
        </w:rPr>
        <w:t xml:space="preserve"> </w:t>
      </w:r>
      <w:r w:rsidRPr="003C1004">
        <w:rPr>
          <w:color w:val="000000" w:themeColor="text1"/>
        </w:rPr>
        <w:t>has</w:t>
      </w:r>
      <w:r w:rsidR="00C64050">
        <w:rPr>
          <w:color w:val="000000" w:themeColor="text1"/>
        </w:rPr>
        <w:t xml:space="preserve"> </w:t>
      </w:r>
      <w:r w:rsidRPr="003C1004">
        <w:rPr>
          <w:color w:val="000000" w:themeColor="text1"/>
        </w:rPr>
        <w:t>been</w:t>
      </w:r>
      <w:r w:rsidR="00C64050">
        <w:rPr>
          <w:color w:val="000000" w:themeColor="text1"/>
        </w:rPr>
        <w:t xml:space="preserve"> </w:t>
      </w:r>
      <w:r w:rsidRPr="003C1004">
        <w:rPr>
          <w:color w:val="000000" w:themeColor="text1"/>
        </w:rPr>
        <w:t>only</w:t>
      </w:r>
      <w:r w:rsidR="00C64050">
        <w:rPr>
          <w:color w:val="000000" w:themeColor="text1"/>
        </w:rPr>
        <w:t xml:space="preserve"> </w:t>
      </w:r>
      <w:r w:rsidRPr="003C1004">
        <w:rPr>
          <w:color w:val="000000" w:themeColor="text1"/>
        </w:rPr>
        <w:t>a</w:t>
      </w:r>
      <w:r w:rsidR="00C64050">
        <w:rPr>
          <w:color w:val="000000" w:themeColor="text1"/>
        </w:rPr>
        <w:t xml:space="preserve"> </w:t>
      </w:r>
      <w:r w:rsidRPr="003C1004">
        <w:rPr>
          <w:color w:val="000000" w:themeColor="text1"/>
        </w:rPr>
        <w:t>recycling</w:t>
      </w:r>
      <w:r w:rsidR="00C64050">
        <w:rPr>
          <w:color w:val="000000" w:themeColor="text1"/>
        </w:rPr>
        <w:t xml:space="preserve"> </w:t>
      </w:r>
      <w:r w:rsidRPr="003C1004">
        <w:rPr>
          <w:color w:val="000000" w:themeColor="text1"/>
        </w:rPr>
        <w:t>of</w:t>
      </w:r>
      <w:r w:rsidR="00C64050">
        <w:rPr>
          <w:color w:val="000000" w:themeColor="text1"/>
        </w:rPr>
        <w:t xml:space="preserve"> </w:t>
      </w:r>
      <w:r w:rsidRPr="003C1004">
        <w:rPr>
          <w:color w:val="000000" w:themeColor="text1"/>
        </w:rPr>
        <w:t>value</w:t>
      </w:r>
      <w:r w:rsidR="00C64050">
        <w:rPr>
          <w:color w:val="000000" w:themeColor="text1"/>
        </w:rPr>
        <w:t xml:space="preserve"> </w:t>
      </w:r>
      <w:r w:rsidRPr="003C1004">
        <w:rPr>
          <w:color w:val="000000" w:themeColor="text1"/>
        </w:rPr>
        <w:t>and</w:t>
      </w:r>
      <w:r w:rsidR="00C64050">
        <w:rPr>
          <w:color w:val="000000" w:themeColor="text1"/>
        </w:rPr>
        <w:t xml:space="preserve"> </w:t>
      </w:r>
      <w:r w:rsidRPr="003C1004">
        <w:rPr>
          <w:color w:val="000000" w:themeColor="text1"/>
        </w:rPr>
        <w:t>not</w:t>
      </w:r>
      <w:r w:rsidR="00C64050">
        <w:rPr>
          <w:color w:val="000000" w:themeColor="text1"/>
        </w:rPr>
        <w:t xml:space="preserve"> </w:t>
      </w:r>
      <w:r w:rsidRPr="003C1004">
        <w:rPr>
          <w:color w:val="000000" w:themeColor="text1"/>
        </w:rPr>
        <w:t>a</w:t>
      </w:r>
      <w:r w:rsidR="00C64050">
        <w:rPr>
          <w:color w:val="000000" w:themeColor="text1"/>
        </w:rPr>
        <w:t xml:space="preserve"> </w:t>
      </w:r>
      <w:r w:rsidRPr="003C1004">
        <w:rPr>
          <w:color w:val="000000" w:themeColor="text1"/>
        </w:rPr>
        <w:t>transfer</w:t>
      </w:r>
      <w:r w:rsidR="00C64050">
        <w:rPr>
          <w:color w:val="000000" w:themeColor="text1"/>
        </w:rPr>
        <w:t xml:space="preserve"> </w:t>
      </w:r>
      <w:r w:rsidRPr="003C1004">
        <w:rPr>
          <w:color w:val="000000" w:themeColor="text1"/>
        </w:rPr>
        <w:t>for</w:t>
      </w:r>
      <w:r w:rsidR="00C64050">
        <w:rPr>
          <w:color w:val="000000" w:themeColor="text1"/>
        </w:rPr>
        <w:t xml:space="preserve"> </w:t>
      </w:r>
      <w:r w:rsidRPr="003C1004">
        <w:rPr>
          <w:color w:val="000000" w:themeColor="text1"/>
        </w:rPr>
        <w:t>consideration”).</w:t>
      </w:r>
    </w:p>
    <w:p w:rsidR="003C1004" w:rsidRPr="003C1004" w:rsidRDefault="003C1004" w:rsidP="003C1004">
      <w:pPr>
        <w:pStyle w:val="QS10"/>
        <w:rPr>
          <w:color w:val="000000" w:themeColor="text1"/>
        </w:rPr>
      </w:pPr>
      <w:r w:rsidRPr="003C1004">
        <w:rPr>
          <w:color w:val="000000" w:themeColor="text1"/>
        </w:rPr>
        <w:t>Invoking</w:t>
      </w:r>
      <w:r w:rsidR="00C64050">
        <w:rPr>
          <w:color w:val="000000" w:themeColor="text1"/>
        </w:rPr>
        <w:t xml:space="preserve"> </w:t>
      </w:r>
      <w:r w:rsidRPr="003C1004">
        <w:rPr>
          <w:color w:val="000000" w:themeColor="text1"/>
        </w:rPr>
        <w:t>section</w:t>
      </w:r>
      <w:r w:rsidR="00C64050">
        <w:rPr>
          <w:color w:val="000000" w:themeColor="text1"/>
        </w:rPr>
        <w:t xml:space="preserve"> </w:t>
      </w:r>
      <w:r w:rsidRPr="003C1004">
        <w:rPr>
          <w:color w:val="000000" w:themeColor="text1"/>
        </w:rPr>
        <w:t>2043(a),</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Court</w:t>
      </w:r>
      <w:r w:rsidR="00C64050">
        <w:rPr>
          <w:color w:val="000000" w:themeColor="text1"/>
        </w:rPr>
        <w:t xml:space="preserve"> </w:t>
      </w:r>
      <w:r w:rsidRPr="003C1004">
        <w:rPr>
          <w:color w:val="000000" w:themeColor="text1"/>
        </w:rPr>
        <w:t>divides</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$10</w:t>
      </w:r>
      <w:r w:rsidR="00C64050">
        <w:rPr>
          <w:color w:val="000000" w:themeColor="text1"/>
        </w:rPr>
        <w:t xml:space="preserve"> </w:t>
      </w:r>
      <w:r w:rsidRPr="003C1004">
        <w:rPr>
          <w:color w:val="000000" w:themeColor="text1"/>
        </w:rPr>
        <w:t>million</w:t>
      </w:r>
      <w:r w:rsidR="00C64050">
        <w:rPr>
          <w:color w:val="000000" w:themeColor="text1"/>
        </w:rPr>
        <w:t xml:space="preserve"> </w:t>
      </w:r>
      <w:r w:rsidRPr="003C1004">
        <w:rPr>
          <w:color w:val="000000" w:themeColor="text1"/>
        </w:rPr>
        <w:t>into</w:t>
      </w:r>
      <w:r w:rsidR="00C64050">
        <w:rPr>
          <w:color w:val="000000" w:themeColor="text1"/>
        </w:rPr>
        <w:t xml:space="preserve"> </w:t>
      </w:r>
      <w:r w:rsidRPr="003C1004">
        <w:rPr>
          <w:color w:val="000000" w:themeColor="text1"/>
        </w:rPr>
        <w:t>a</w:t>
      </w:r>
      <w:r w:rsidR="00C64050">
        <w:rPr>
          <w:color w:val="000000" w:themeColor="text1"/>
        </w:rPr>
        <w:t xml:space="preserve"> </w:t>
      </w:r>
      <w:r w:rsidRPr="003C1004">
        <w:rPr>
          <w:color w:val="000000" w:themeColor="text1"/>
        </w:rPr>
        <w:t>“doughnut”</w:t>
      </w:r>
      <w:r w:rsidR="00C64050">
        <w:rPr>
          <w:color w:val="000000" w:themeColor="text1"/>
        </w:rPr>
        <w:t xml:space="preserve"> </w:t>
      </w:r>
      <w:r w:rsidRPr="003C1004">
        <w:rPr>
          <w:color w:val="000000" w:themeColor="text1"/>
        </w:rPr>
        <w:t>and</w:t>
      </w:r>
      <w:r w:rsidR="00C64050">
        <w:rPr>
          <w:color w:val="000000" w:themeColor="text1"/>
        </w:rPr>
        <w:t xml:space="preserve"> </w:t>
      </w:r>
      <w:r w:rsidRPr="003C1004">
        <w:rPr>
          <w:color w:val="000000" w:themeColor="text1"/>
        </w:rPr>
        <w:t>a</w:t>
      </w:r>
      <w:r w:rsidR="00C64050">
        <w:rPr>
          <w:color w:val="000000" w:themeColor="text1"/>
        </w:rPr>
        <w:t xml:space="preserve"> </w:t>
      </w:r>
      <w:r w:rsidRPr="003C1004">
        <w:rPr>
          <w:color w:val="000000" w:themeColor="text1"/>
        </w:rPr>
        <w:t>“doughnut</w:t>
      </w:r>
      <w:r w:rsidR="00C64050">
        <w:rPr>
          <w:color w:val="000000" w:themeColor="text1"/>
        </w:rPr>
        <w:t xml:space="preserve"> </w:t>
      </w:r>
      <w:r w:rsidRPr="003C1004">
        <w:rPr>
          <w:color w:val="000000" w:themeColor="text1"/>
        </w:rPr>
        <w:t>hole.”</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“doughnut”</w:t>
      </w:r>
      <w:r w:rsidR="00C64050">
        <w:rPr>
          <w:color w:val="000000" w:themeColor="text1"/>
        </w:rPr>
        <w:t xml:space="preserve"> </w:t>
      </w:r>
      <w:r w:rsidRPr="003C1004">
        <w:rPr>
          <w:color w:val="000000" w:themeColor="text1"/>
        </w:rPr>
        <w:t>consists</w:t>
      </w:r>
      <w:r w:rsidR="00C64050">
        <w:rPr>
          <w:color w:val="000000" w:themeColor="text1"/>
        </w:rPr>
        <w:t xml:space="preserve"> </w:t>
      </w:r>
      <w:r w:rsidRPr="003C1004">
        <w:rPr>
          <w:color w:val="000000" w:themeColor="text1"/>
        </w:rPr>
        <w:t>of</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limited</w:t>
      </w:r>
      <w:r w:rsidR="00C64050">
        <w:rPr>
          <w:color w:val="000000" w:themeColor="text1"/>
        </w:rPr>
        <w:t xml:space="preserve"> </w:t>
      </w:r>
      <w:r w:rsidRPr="003C1004">
        <w:rPr>
          <w:color w:val="000000" w:themeColor="text1"/>
        </w:rPr>
        <w:t>partnership</w:t>
      </w:r>
      <w:r w:rsidR="00C64050">
        <w:rPr>
          <w:color w:val="000000" w:themeColor="text1"/>
        </w:rPr>
        <w:t xml:space="preserve"> </w:t>
      </w:r>
      <w:r w:rsidRPr="003C1004">
        <w:rPr>
          <w:color w:val="000000" w:themeColor="text1"/>
        </w:rPr>
        <w:t>interest</w:t>
      </w:r>
      <w:r w:rsidR="00C64050">
        <w:rPr>
          <w:color w:val="000000" w:themeColor="text1"/>
        </w:rPr>
        <w:t xml:space="preserve"> </w:t>
      </w:r>
      <w:r w:rsidRPr="003C1004">
        <w:rPr>
          <w:color w:val="000000" w:themeColor="text1"/>
        </w:rPr>
        <w:t>allegedly</w:t>
      </w:r>
      <w:r w:rsidR="00C64050">
        <w:rPr>
          <w:color w:val="000000" w:themeColor="text1"/>
        </w:rPr>
        <w:t xml:space="preserve"> </w:t>
      </w:r>
      <w:r w:rsidRPr="003C1004">
        <w:rPr>
          <w:color w:val="000000" w:themeColor="text1"/>
        </w:rPr>
        <w:t>received</w:t>
      </w:r>
      <w:r w:rsidR="00C64050">
        <w:rPr>
          <w:color w:val="000000" w:themeColor="text1"/>
        </w:rPr>
        <w:t xml:space="preserve"> </w:t>
      </w:r>
      <w:r w:rsidRPr="003C1004">
        <w:rPr>
          <w:color w:val="000000" w:themeColor="text1"/>
        </w:rPr>
        <w:t>by</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decedent;</w:t>
      </w:r>
      <w:r w:rsidR="00C64050">
        <w:rPr>
          <w:color w:val="000000" w:themeColor="text1"/>
        </w:rPr>
        <w:t xml:space="preserve"> </w:t>
      </w:r>
      <w:r w:rsidRPr="003C1004">
        <w:rPr>
          <w:color w:val="000000" w:themeColor="text1"/>
        </w:rPr>
        <w:t>on</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Court's</w:t>
      </w:r>
      <w:r w:rsidR="00C64050">
        <w:rPr>
          <w:color w:val="000000" w:themeColor="text1"/>
        </w:rPr>
        <w:t xml:space="preserve"> </w:t>
      </w:r>
      <w:r w:rsidRPr="003C1004">
        <w:rPr>
          <w:color w:val="000000" w:themeColor="text1"/>
        </w:rPr>
        <w:t>theory,</w:t>
      </w:r>
      <w:r w:rsidR="00C64050">
        <w:rPr>
          <w:color w:val="000000" w:themeColor="text1"/>
        </w:rPr>
        <w:t xml:space="preserve"> </w:t>
      </w:r>
      <w:r w:rsidRPr="003C1004">
        <w:rPr>
          <w:color w:val="000000" w:themeColor="text1"/>
        </w:rPr>
        <w:t>this</w:t>
      </w:r>
      <w:r w:rsidR="00C64050">
        <w:rPr>
          <w:color w:val="000000" w:themeColor="text1"/>
        </w:rPr>
        <w:t xml:space="preserve"> </w:t>
      </w:r>
      <w:r w:rsidRPr="003C1004">
        <w:rPr>
          <w:color w:val="000000" w:themeColor="text1"/>
        </w:rPr>
        <w:t>is</w:t>
      </w:r>
      <w:r w:rsidR="00C64050">
        <w:rPr>
          <w:color w:val="000000" w:themeColor="text1"/>
        </w:rPr>
        <w:t xml:space="preserve"> </w:t>
      </w:r>
      <w:r w:rsidRPr="003C1004">
        <w:rPr>
          <w:color w:val="000000" w:themeColor="text1"/>
        </w:rPr>
        <w:t>pulled</w:t>
      </w:r>
      <w:r w:rsidR="00C64050">
        <w:rPr>
          <w:color w:val="000000" w:themeColor="text1"/>
        </w:rPr>
        <w:t xml:space="preserve"> </w:t>
      </w:r>
      <w:r w:rsidRPr="003C1004">
        <w:rPr>
          <w:color w:val="000000" w:themeColor="text1"/>
        </w:rPr>
        <w:t>back</w:t>
      </w:r>
      <w:r w:rsidR="00C64050">
        <w:rPr>
          <w:color w:val="000000" w:themeColor="text1"/>
        </w:rPr>
        <w:t xml:space="preserve"> </w:t>
      </w:r>
      <w:r w:rsidRPr="003C1004">
        <w:rPr>
          <w:color w:val="000000" w:themeColor="text1"/>
        </w:rPr>
        <w:t>into</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gross</w:t>
      </w:r>
      <w:r w:rsidR="00C64050">
        <w:rPr>
          <w:color w:val="000000" w:themeColor="text1"/>
        </w:rPr>
        <w:t xml:space="preserve"> </w:t>
      </w:r>
      <w:r w:rsidRPr="003C1004">
        <w:rPr>
          <w:color w:val="000000" w:themeColor="text1"/>
        </w:rPr>
        <w:t>estate</w:t>
      </w:r>
      <w:r w:rsidR="00C64050">
        <w:rPr>
          <w:color w:val="000000" w:themeColor="text1"/>
        </w:rPr>
        <w:t xml:space="preserve"> </w:t>
      </w:r>
      <w:r w:rsidRPr="003C1004">
        <w:rPr>
          <w:color w:val="000000" w:themeColor="text1"/>
        </w:rPr>
        <w:t>via</w:t>
      </w:r>
      <w:r w:rsidR="00C64050">
        <w:rPr>
          <w:color w:val="000000" w:themeColor="text1"/>
        </w:rPr>
        <w:t xml:space="preserve"> </w:t>
      </w:r>
      <w:r w:rsidRPr="003C1004">
        <w:rPr>
          <w:color w:val="000000" w:themeColor="text1"/>
        </w:rPr>
        <w:t>section</w:t>
      </w:r>
      <w:r w:rsidR="00C64050">
        <w:rPr>
          <w:color w:val="000000" w:themeColor="text1"/>
        </w:rPr>
        <w:t xml:space="preserve"> </w:t>
      </w:r>
      <w:r w:rsidRPr="003C1004">
        <w:rPr>
          <w:color w:val="000000" w:themeColor="text1"/>
        </w:rPr>
        <w:t>2035</w:t>
      </w:r>
      <w:r w:rsidR="00C64050">
        <w:rPr>
          <w:color w:val="000000" w:themeColor="text1"/>
        </w:rPr>
        <w:t xml:space="preserve"> </w:t>
      </w:r>
      <w:r w:rsidRPr="003C1004">
        <w:rPr>
          <w:color w:val="000000" w:themeColor="text1"/>
        </w:rPr>
        <w:t>or</w:t>
      </w:r>
      <w:r w:rsidR="00C64050">
        <w:rPr>
          <w:color w:val="000000" w:themeColor="text1"/>
        </w:rPr>
        <w:t xml:space="preserve"> </w:t>
      </w:r>
      <w:r w:rsidRPr="003C1004">
        <w:rPr>
          <w:color w:val="000000" w:themeColor="text1"/>
        </w:rPr>
        <w:t>2038,</w:t>
      </w:r>
      <w:r w:rsidR="00C64050">
        <w:rPr>
          <w:color w:val="000000" w:themeColor="text1"/>
        </w:rPr>
        <w:t xml:space="preserve"> </w:t>
      </w:r>
      <w:r w:rsidRPr="003C1004">
        <w:rPr>
          <w:color w:val="000000" w:themeColor="text1"/>
        </w:rPr>
        <w:t>and</w:t>
      </w:r>
      <w:r w:rsidR="00C64050">
        <w:rPr>
          <w:color w:val="000000" w:themeColor="text1"/>
        </w:rPr>
        <w:t xml:space="preserve"> </w:t>
      </w:r>
      <w:r w:rsidRPr="003C1004">
        <w:rPr>
          <w:color w:val="000000" w:themeColor="text1"/>
        </w:rPr>
        <w:t>its</w:t>
      </w:r>
      <w:r w:rsidR="00C64050">
        <w:rPr>
          <w:color w:val="000000" w:themeColor="text1"/>
        </w:rPr>
        <w:t xml:space="preserve"> </w:t>
      </w:r>
      <w:r w:rsidRPr="003C1004">
        <w:rPr>
          <w:color w:val="000000" w:themeColor="text1"/>
        </w:rPr>
        <w:t>value</w:t>
      </w:r>
      <w:r w:rsidR="00C64050">
        <w:rPr>
          <w:color w:val="000000" w:themeColor="text1"/>
        </w:rPr>
        <w:t xml:space="preserve"> </w:t>
      </w:r>
      <w:r w:rsidRPr="003C1004">
        <w:rPr>
          <w:color w:val="000000" w:themeColor="text1"/>
        </w:rPr>
        <w:t>then</w:t>
      </w:r>
      <w:r w:rsidR="00C64050">
        <w:rPr>
          <w:color w:val="000000" w:themeColor="text1"/>
        </w:rPr>
        <w:t xml:space="preserve"> </w:t>
      </w:r>
      <w:r w:rsidRPr="003C1004">
        <w:rPr>
          <w:color w:val="000000" w:themeColor="text1"/>
        </w:rPr>
        <w:t>included</w:t>
      </w:r>
      <w:r w:rsidR="00C64050">
        <w:rPr>
          <w:color w:val="000000" w:themeColor="text1"/>
        </w:rPr>
        <w:t xml:space="preserve"> </w:t>
      </w:r>
      <w:r w:rsidRPr="003C1004">
        <w:rPr>
          <w:color w:val="000000" w:themeColor="text1"/>
        </w:rPr>
        <w:t>under</w:t>
      </w:r>
      <w:r w:rsidR="00C64050">
        <w:rPr>
          <w:color w:val="000000" w:themeColor="text1"/>
        </w:rPr>
        <w:t xml:space="preserve"> </w:t>
      </w:r>
      <w:r w:rsidRPr="003C1004">
        <w:rPr>
          <w:color w:val="000000" w:themeColor="text1"/>
        </w:rPr>
        <w:t>section</w:t>
      </w:r>
      <w:r w:rsidR="00C64050">
        <w:rPr>
          <w:color w:val="000000" w:themeColor="text1"/>
        </w:rPr>
        <w:t xml:space="preserve"> </w:t>
      </w:r>
      <w:r w:rsidRPr="003C1004">
        <w:rPr>
          <w:color w:val="000000" w:themeColor="text1"/>
        </w:rPr>
        <w:t>2033.</w:t>
      </w:r>
      <w:r w:rsidR="00C64050">
        <w:rPr>
          <w:color w:val="000000" w:themeColor="text1"/>
        </w:rPr>
        <w:t xml:space="preserve"> </w:t>
      </w:r>
      <w:r w:rsidRPr="003C1004">
        <w:rPr>
          <w:color w:val="000000" w:themeColor="text1"/>
        </w:rPr>
        <w:t>As</w:t>
      </w:r>
      <w:r w:rsidR="00C64050">
        <w:rPr>
          <w:color w:val="000000" w:themeColor="text1"/>
        </w:rPr>
        <w:t xml:space="preserve"> </w:t>
      </w:r>
      <w:r w:rsidRPr="003C1004">
        <w:rPr>
          <w:color w:val="000000" w:themeColor="text1"/>
        </w:rPr>
        <w:t>a</w:t>
      </w:r>
      <w:r w:rsidR="00C64050">
        <w:rPr>
          <w:color w:val="000000" w:themeColor="text1"/>
        </w:rPr>
        <w:t xml:space="preserve"> </w:t>
      </w:r>
      <w:r w:rsidRPr="003C1004">
        <w:rPr>
          <w:color w:val="000000" w:themeColor="text1"/>
        </w:rPr>
        <w:t>result,</w:t>
      </w:r>
      <w:r w:rsidR="00C64050">
        <w:rPr>
          <w:color w:val="000000" w:themeColor="text1"/>
        </w:rPr>
        <w:t xml:space="preserve"> </w:t>
      </w:r>
      <w:r w:rsidRPr="003C1004">
        <w:rPr>
          <w:color w:val="000000" w:themeColor="text1"/>
        </w:rPr>
        <w:t>section</w:t>
      </w:r>
      <w:r w:rsidR="00C64050">
        <w:rPr>
          <w:color w:val="000000" w:themeColor="text1"/>
        </w:rPr>
        <w:t xml:space="preserve"> </w:t>
      </w:r>
      <w:r w:rsidRPr="003C1004">
        <w:rPr>
          <w:color w:val="000000" w:themeColor="text1"/>
        </w:rPr>
        <w:t>2036(a),</w:t>
      </w:r>
      <w:r w:rsidR="00C64050">
        <w:rPr>
          <w:color w:val="000000" w:themeColor="text1"/>
        </w:rPr>
        <w:t xml:space="preserve"> </w:t>
      </w:r>
      <w:r w:rsidRPr="003C1004">
        <w:rPr>
          <w:color w:val="000000" w:themeColor="text1"/>
        </w:rPr>
        <w:t>paired</w:t>
      </w:r>
      <w:r w:rsidR="00C64050">
        <w:rPr>
          <w:color w:val="000000" w:themeColor="text1"/>
        </w:rPr>
        <w:t xml:space="preserve"> </w:t>
      </w:r>
      <w:r w:rsidRPr="003C1004">
        <w:rPr>
          <w:color w:val="000000" w:themeColor="text1"/>
        </w:rPr>
        <w:t>with</w:t>
      </w:r>
      <w:r w:rsidR="00C64050">
        <w:rPr>
          <w:color w:val="000000" w:themeColor="text1"/>
        </w:rPr>
        <w:t xml:space="preserve"> </w:t>
      </w:r>
      <w:r w:rsidRPr="003C1004">
        <w:rPr>
          <w:color w:val="000000" w:themeColor="text1"/>
        </w:rPr>
        <w:t>section</w:t>
      </w:r>
      <w:r w:rsidR="00C64050">
        <w:rPr>
          <w:color w:val="000000" w:themeColor="text1"/>
        </w:rPr>
        <w:t xml:space="preserve"> </w:t>
      </w:r>
      <w:r w:rsidRPr="003C1004">
        <w:rPr>
          <w:color w:val="000000" w:themeColor="text1"/>
        </w:rPr>
        <w:t>2043(a),</w:t>
      </w:r>
      <w:r w:rsidR="00C64050">
        <w:rPr>
          <w:color w:val="000000" w:themeColor="text1"/>
        </w:rPr>
        <w:t xml:space="preserve"> </w:t>
      </w:r>
      <w:r w:rsidRPr="003C1004">
        <w:rPr>
          <w:color w:val="000000" w:themeColor="text1"/>
        </w:rPr>
        <w:t>has</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much-reduced</w:t>
      </w:r>
      <w:r w:rsidR="00C64050">
        <w:rPr>
          <w:color w:val="000000" w:themeColor="text1"/>
        </w:rPr>
        <w:t xml:space="preserve"> </w:t>
      </w:r>
      <w:r w:rsidRPr="003C1004">
        <w:rPr>
          <w:color w:val="000000" w:themeColor="text1"/>
        </w:rPr>
        <w:t>function</w:t>
      </w:r>
      <w:r w:rsidR="00C64050">
        <w:rPr>
          <w:color w:val="000000" w:themeColor="text1"/>
        </w:rPr>
        <w:t xml:space="preserve"> </w:t>
      </w:r>
      <w:r w:rsidRPr="003C1004">
        <w:rPr>
          <w:color w:val="000000" w:themeColor="text1"/>
        </w:rPr>
        <w:t>of</w:t>
      </w:r>
      <w:r w:rsidR="00C64050">
        <w:rPr>
          <w:color w:val="000000" w:themeColor="text1"/>
        </w:rPr>
        <w:t xml:space="preserve"> </w:t>
      </w:r>
      <w:r w:rsidRPr="003C1004">
        <w:rPr>
          <w:color w:val="000000" w:themeColor="text1"/>
        </w:rPr>
        <w:t>bringing</w:t>
      </w:r>
      <w:r w:rsidR="00C64050">
        <w:rPr>
          <w:color w:val="000000" w:themeColor="text1"/>
        </w:rPr>
        <w:t xml:space="preserve"> </w:t>
      </w:r>
      <w:r w:rsidRPr="003C1004">
        <w:rPr>
          <w:color w:val="000000" w:themeColor="text1"/>
        </w:rPr>
        <w:t>back</w:t>
      </w:r>
      <w:r w:rsidR="00C64050">
        <w:rPr>
          <w:color w:val="000000" w:themeColor="text1"/>
        </w:rPr>
        <w:t xml:space="preserve"> </w:t>
      </w:r>
      <w:r w:rsidRPr="003C1004">
        <w:rPr>
          <w:color w:val="000000" w:themeColor="text1"/>
        </w:rPr>
        <w:t>into</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gross</w:t>
      </w:r>
      <w:r w:rsidR="00C64050">
        <w:rPr>
          <w:color w:val="000000" w:themeColor="text1"/>
        </w:rPr>
        <w:t xml:space="preserve"> </w:t>
      </w:r>
      <w:r w:rsidRPr="003C1004">
        <w:rPr>
          <w:color w:val="000000" w:themeColor="text1"/>
        </w:rPr>
        <w:t>estate,</w:t>
      </w:r>
      <w:r w:rsidR="00C64050">
        <w:rPr>
          <w:color w:val="000000" w:themeColor="text1"/>
        </w:rPr>
        <w:t xml:space="preserve"> </w:t>
      </w:r>
      <w:r w:rsidRPr="003C1004">
        <w:rPr>
          <w:color w:val="000000" w:themeColor="text1"/>
        </w:rPr>
        <w:t>not</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full</w:t>
      </w:r>
      <w:r w:rsidR="00C64050">
        <w:rPr>
          <w:color w:val="000000" w:themeColor="text1"/>
        </w:rPr>
        <w:t xml:space="preserve"> </w:t>
      </w:r>
      <w:r w:rsidRPr="003C1004">
        <w:rPr>
          <w:color w:val="000000" w:themeColor="text1"/>
        </w:rPr>
        <w:t>value</w:t>
      </w:r>
      <w:r w:rsidR="00C64050">
        <w:rPr>
          <w:color w:val="000000" w:themeColor="text1"/>
        </w:rPr>
        <w:t xml:space="preserve"> </w:t>
      </w:r>
      <w:r w:rsidRPr="003C1004">
        <w:rPr>
          <w:color w:val="000000" w:themeColor="text1"/>
        </w:rPr>
        <w:t>of</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$10</w:t>
      </w:r>
      <w:r w:rsidR="00C64050">
        <w:rPr>
          <w:color w:val="000000" w:themeColor="text1"/>
        </w:rPr>
        <w:t xml:space="preserve"> </w:t>
      </w:r>
      <w:r w:rsidRPr="003C1004">
        <w:rPr>
          <w:color w:val="000000" w:themeColor="text1"/>
        </w:rPr>
        <w:t>million</w:t>
      </w:r>
      <w:r w:rsidR="00C64050">
        <w:rPr>
          <w:color w:val="000000" w:themeColor="text1"/>
        </w:rPr>
        <w:t xml:space="preserve"> </w:t>
      </w:r>
      <w:r w:rsidRPr="003C1004">
        <w:rPr>
          <w:color w:val="000000" w:themeColor="text1"/>
        </w:rPr>
        <w:t>as</w:t>
      </w:r>
      <w:r w:rsidR="00C64050">
        <w:rPr>
          <w:color w:val="000000" w:themeColor="text1"/>
        </w:rPr>
        <w:t xml:space="preserve"> </w:t>
      </w:r>
      <w:r w:rsidRPr="003C1004">
        <w:rPr>
          <w:color w:val="000000" w:themeColor="text1"/>
        </w:rPr>
        <w:t>that</w:t>
      </w:r>
      <w:r w:rsidR="00C64050">
        <w:rPr>
          <w:color w:val="000000" w:themeColor="text1"/>
        </w:rPr>
        <w:t xml:space="preserve"> </w:t>
      </w:r>
      <w:r w:rsidRPr="003C1004">
        <w:rPr>
          <w:color w:val="000000" w:themeColor="text1"/>
        </w:rPr>
        <w:t>section</w:t>
      </w:r>
      <w:r w:rsidR="00C64050">
        <w:rPr>
          <w:color w:val="000000" w:themeColor="text1"/>
        </w:rPr>
        <w:t xml:space="preserve"> </w:t>
      </w:r>
      <w:r w:rsidRPr="003C1004">
        <w:rPr>
          <w:color w:val="000000" w:themeColor="text1"/>
        </w:rPr>
        <w:t>by</w:t>
      </w:r>
      <w:r w:rsidR="00C64050">
        <w:rPr>
          <w:color w:val="000000" w:themeColor="text1"/>
        </w:rPr>
        <w:t xml:space="preserve"> </w:t>
      </w:r>
      <w:r w:rsidRPr="003C1004">
        <w:rPr>
          <w:color w:val="000000" w:themeColor="text1"/>
        </w:rPr>
        <w:t>its</w:t>
      </w:r>
      <w:r w:rsidR="00C64050">
        <w:rPr>
          <w:color w:val="000000" w:themeColor="text1"/>
        </w:rPr>
        <w:t xml:space="preserve"> </w:t>
      </w:r>
      <w:r w:rsidRPr="003C1004">
        <w:rPr>
          <w:color w:val="000000" w:themeColor="text1"/>
        </w:rPr>
        <w:t>terms</w:t>
      </w:r>
      <w:r w:rsidR="00C64050">
        <w:rPr>
          <w:color w:val="000000" w:themeColor="text1"/>
        </w:rPr>
        <w:t xml:space="preserve"> </w:t>
      </w:r>
      <w:r w:rsidRPr="003C1004">
        <w:rPr>
          <w:color w:val="000000" w:themeColor="text1"/>
        </w:rPr>
        <w:t>requires,</w:t>
      </w:r>
      <w:r w:rsidR="00C64050">
        <w:rPr>
          <w:color w:val="000000" w:themeColor="text1"/>
        </w:rPr>
        <w:t xml:space="preserve"> </w:t>
      </w:r>
      <w:r w:rsidRPr="003C1004">
        <w:rPr>
          <w:color w:val="000000" w:themeColor="text1"/>
        </w:rPr>
        <w:t>but</w:t>
      </w:r>
      <w:r w:rsidR="00C64050">
        <w:rPr>
          <w:color w:val="000000" w:themeColor="text1"/>
        </w:rPr>
        <w:t xml:space="preserve"> </w:t>
      </w:r>
      <w:r w:rsidRPr="003C1004">
        <w:rPr>
          <w:color w:val="000000" w:themeColor="text1"/>
        </w:rPr>
        <w:t>only</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amount</w:t>
      </w:r>
      <w:r w:rsidR="00C64050">
        <w:rPr>
          <w:color w:val="000000" w:themeColor="text1"/>
        </w:rPr>
        <w:t xml:space="preserve"> </w:t>
      </w:r>
      <w:r w:rsidRPr="003C1004">
        <w:rPr>
          <w:color w:val="000000" w:themeColor="text1"/>
        </w:rPr>
        <w:t>of</w:t>
      </w:r>
      <w:r w:rsidR="00C64050">
        <w:rPr>
          <w:color w:val="000000" w:themeColor="text1"/>
        </w:rPr>
        <w:t xml:space="preserve"> </w:t>
      </w:r>
      <w:r w:rsidRPr="003C1004">
        <w:rPr>
          <w:color w:val="000000" w:themeColor="text1"/>
        </w:rPr>
        <w:t>any</w:t>
      </w:r>
      <w:r w:rsidR="00C64050">
        <w:rPr>
          <w:color w:val="000000" w:themeColor="text1"/>
        </w:rPr>
        <w:t xml:space="preserve"> </w:t>
      </w:r>
      <w:r w:rsidRPr="003C1004">
        <w:rPr>
          <w:color w:val="000000" w:themeColor="text1"/>
        </w:rPr>
        <w:t>discounts</w:t>
      </w:r>
      <w:r w:rsidR="00C64050">
        <w:rPr>
          <w:color w:val="000000" w:themeColor="text1"/>
        </w:rPr>
        <w:t xml:space="preserve"> </w:t>
      </w:r>
      <w:r w:rsidRPr="003C1004">
        <w:rPr>
          <w:color w:val="000000" w:themeColor="text1"/>
        </w:rPr>
        <w:t>(that</w:t>
      </w:r>
      <w:r w:rsidR="00C64050">
        <w:rPr>
          <w:color w:val="000000" w:themeColor="text1"/>
        </w:rPr>
        <w:t xml:space="preserve"> </w:t>
      </w:r>
      <w:r w:rsidRPr="003C1004">
        <w:rPr>
          <w:color w:val="000000" w:themeColor="text1"/>
        </w:rPr>
        <w:t>is,</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doughnut</w:t>
      </w:r>
      <w:r w:rsidR="00C64050">
        <w:rPr>
          <w:color w:val="000000" w:themeColor="text1"/>
        </w:rPr>
        <w:t xml:space="preserve"> </w:t>
      </w:r>
      <w:r w:rsidRPr="003C1004">
        <w:rPr>
          <w:color w:val="000000" w:themeColor="text1"/>
        </w:rPr>
        <w:t>holes)</w:t>
      </w:r>
      <w:r w:rsidR="00C64050">
        <w:rPr>
          <w:color w:val="000000" w:themeColor="text1"/>
        </w:rPr>
        <w:t xml:space="preserve"> </w:t>
      </w:r>
      <w:r w:rsidRPr="003C1004">
        <w:rPr>
          <w:color w:val="000000" w:themeColor="text1"/>
        </w:rPr>
        <w:t>allowed</w:t>
      </w:r>
      <w:r w:rsidR="00C64050">
        <w:rPr>
          <w:color w:val="000000" w:themeColor="text1"/>
        </w:rPr>
        <w:t xml:space="preserve"> </w:t>
      </w:r>
      <w:r w:rsidRPr="003C1004">
        <w:rPr>
          <w:color w:val="000000" w:themeColor="text1"/>
        </w:rPr>
        <w:t>in</w:t>
      </w:r>
      <w:r w:rsidR="00C64050">
        <w:rPr>
          <w:color w:val="000000" w:themeColor="text1"/>
        </w:rPr>
        <w:t xml:space="preserve"> </w:t>
      </w:r>
      <w:r w:rsidRPr="003C1004">
        <w:rPr>
          <w:color w:val="000000" w:themeColor="text1"/>
        </w:rPr>
        <w:t>valuing</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partnership</w:t>
      </w:r>
      <w:r w:rsidR="00C64050">
        <w:rPr>
          <w:color w:val="000000" w:themeColor="text1"/>
        </w:rPr>
        <w:t xml:space="preserve"> </w:t>
      </w:r>
      <w:r w:rsidRPr="003C1004">
        <w:rPr>
          <w:color w:val="000000" w:themeColor="text1"/>
        </w:rPr>
        <w:t>interest.”</w:t>
      </w:r>
      <w:r w:rsidR="00C64050">
        <w:rPr>
          <w:color w:val="000000" w:themeColor="text1"/>
        </w:rPr>
        <w:t xml:space="preserve"> </w:t>
      </w:r>
      <w:r w:rsidRPr="003C1004">
        <w:rPr>
          <w:color w:val="000000" w:themeColor="text1"/>
          <w:u w:val="single"/>
        </w:rPr>
        <w:t>See</w:t>
      </w:r>
      <w:r w:rsidR="00C64050">
        <w:rPr>
          <w:color w:val="000000" w:themeColor="text1"/>
        </w:rPr>
        <w:t xml:space="preserve"> </w:t>
      </w:r>
      <w:r w:rsidRPr="003C1004">
        <w:rPr>
          <w:color w:val="000000" w:themeColor="text1"/>
        </w:rPr>
        <w:t>op.</w:t>
      </w:r>
      <w:r w:rsidR="00C64050">
        <w:rPr>
          <w:color w:val="000000" w:themeColor="text1"/>
        </w:rPr>
        <w:t xml:space="preserve"> </w:t>
      </w:r>
      <w:r w:rsidRPr="003C1004">
        <w:rPr>
          <w:color w:val="000000" w:themeColor="text1"/>
        </w:rPr>
        <w:t>Ct.</w:t>
      </w:r>
      <w:r w:rsidR="00C64050">
        <w:rPr>
          <w:color w:val="000000" w:themeColor="text1"/>
        </w:rPr>
        <w:t xml:space="preserve"> </w:t>
      </w:r>
      <w:r w:rsidRPr="003C1004">
        <w:rPr>
          <w:color w:val="000000" w:themeColor="text1"/>
        </w:rPr>
        <w:t>pp.</w:t>
      </w:r>
      <w:r w:rsidR="00C64050">
        <w:rPr>
          <w:color w:val="000000" w:themeColor="text1"/>
        </w:rPr>
        <w:t xml:space="preserve"> </w:t>
      </w:r>
      <w:r w:rsidRPr="003C1004">
        <w:rPr>
          <w:color w:val="000000" w:themeColor="text1"/>
        </w:rPr>
        <w:t>26–27.</w:t>
      </w:r>
      <w:r w:rsidR="00C64050">
        <w:rPr>
          <w:color w:val="000000" w:themeColor="text1"/>
        </w:rPr>
        <w:t xml:space="preserve"> </w:t>
      </w:r>
      <w:r w:rsidRPr="003C1004">
        <w:rPr>
          <w:color w:val="000000" w:themeColor="text1"/>
        </w:rPr>
        <w:t>This</w:t>
      </w:r>
      <w:r w:rsidR="00C64050">
        <w:rPr>
          <w:color w:val="000000" w:themeColor="text1"/>
        </w:rPr>
        <w:t xml:space="preserve"> </w:t>
      </w:r>
      <w:r w:rsidRPr="003C1004">
        <w:rPr>
          <w:color w:val="000000" w:themeColor="text1"/>
        </w:rPr>
        <w:t>theory</w:t>
      </w:r>
      <w:r w:rsidR="00C64050">
        <w:rPr>
          <w:color w:val="000000" w:themeColor="text1"/>
        </w:rPr>
        <w:t xml:space="preserve"> </w:t>
      </w:r>
      <w:r w:rsidRPr="003C1004">
        <w:rPr>
          <w:color w:val="000000" w:themeColor="text1"/>
        </w:rPr>
        <w:t>seemingly</w:t>
      </w:r>
      <w:r w:rsidR="00C64050">
        <w:rPr>
          <w:color w:val="000000" w:themeColor="text1"/>
        </w:rPr>
        <w:t xml:space="preserve"> </w:t>
      </w:r>
      <w:r w:rsidRPr="003C1004">
        <w:rPr>
          <w:color w:val="000000" w:themeColor="text1"/>
        </w:rPr>
        <w:t>validates</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estate's</w:t>
      </w:r>
      <w:r w:rsidR="00C64050">
        <w:rPr>
          <w:color w:val="000000" w:themeColor="text1"/>
        </w:rPr>
        <w:t xml:space="preserve"> </w:t>
      </w:r>
      <w:r w:rsidRPr="003C1004">
        <w:rPr>
          <w:color w:val="000000" w:themeColor="text1"/>
        </w:rPr>
        <w:t>claimed</w:t>
      </w:r>
      <w:r w:rsidR="00C64050">
        <w:rPr>
          <w:color w:val="000000" w:themeColor="text1"/>
        </w:rPr>
        <w:t xml:space="preserve"> </w:t>
      </w:r>
      <w:r w:rsidRPr="003C1004">
        <w:rPr>
          <w:color w:val="000000" w:themeColor="text1"/>
        </w:rPr>
        <w:t>discount</w:t>
      </w:r>
      <w:r w:rsidR="00C64050">
        <w:rPr>
          <w:color w:val="000000" w:themeColor="text1"/>
        </w:rPr>
        <w:t xml:space="preserve"> </w:t>
      </w:r>
      <w:r w:rsidRPr="003C1004">
        <w:rPr>
          <w:color w:val="000000" w:themeColor="text1"/>
        </w:rPr>
        <w:t>for</w:t>
      </w:r>
      <w:r w:rsidR="00C64050">
        <w:rPr>
          <w:color w:val="000000" w:themeColor="text1"/>
        </w:rPr>
        <w:t xml:space="preserve"> </w:t>
      </w:r>
      <w:r w:rsidRPr="003C1004">
        <w:rPr>
          <w:color w:val="000000" w:themeColor="text1"/>
        </w:rPr>
        <w:t>lack</w:t>
      </w:r>
      <w:r w:rsidR="00C64050">
        <w:rPr>
          <w:color w:val="000000" w:themeColor="text1"/>
        </w:rPr>
        <w:t xml:space="preserve"> </w:t>
      </w:r>
      <w:r w:rsidRPr="003C1004">
        <w:rPr>
          <w:color w:val="000000" w:themeColor="text1"/>
        </w:rPr>
        <w:t>of</w:t>
      </w:r>
      <w:r w:rsidR="00C64050">
        <w:rPr>
          <w:color w:val="000000" w:themeColor="text1"/>
        </w:rPr>
        <w:t xml:space="preserve"> </w:t>
      </w:r>
      <w:r w:rsidRPr="003C1004">
        <w:rPr>
          <w:color w:val="000000" w:themeColor="text1"/>
        </w:rPr>
        <w:t>marketability,</w:t>
      </w:r>
      <w:r w:rsidR="00C64050">
        <w:rPr>
          <w:color w:val="000000" w:themeColor="text1"/>
        </w:rPr>
        <w:t xml:space="preserve"> </w:t>
      </w:r>
      <w:r w:rsidRPr="003C1004">
        <w:rPr>
          <w:color w:val="000000" w:themeColor="text1"/>
        </w:rPr>
        <w:t>which</w:t>
      </w:r>
      <w:r w:rsidR="00C64050">
        <w:rPr>
          <w:color w:val="000000" w:themeColor="text1"/>
        </w:rPr>
        <w:t xml:space="preserve"> </w:t>
      </w:r>
      <w:r w:rsidRPr="003C1004">
        <w:rPr>
          <w:color w:val="000000" w:themeColor="text1"/>
        </w:rPr>
        <w:t>seems</w:t>
      </w:r>
      <w:r w:rsidR="00C64050">
        <w:rPr>
          <w:color w:val="000000" w:themeColor="text1"/>
        </w:rPr>
        <w:t xml:space="preserve"> </w:t>
      </w:r>
      <w:r w:rsidRPr="003C1004">
        <w:rPr>
          <w:color w:val="000000" w:themeColor="text1"/>
        </w:rPr>
        <w:t>highly</w:t>
      </w:r>
      <w:r w:rsidR="00C64050">
        <w:rPr>
          <w:color w:val="000000" w:themeColor="text1"/>
        </w:rPr>
        <w:t xml:space="preserve"> </w:t>
      </w:r>
      <w:r w:rsidRPr="003C1004">
        <w:rPr>
          <w:color w:val="000000" w:themeColor="text1"/>
        </w:rPr>
        <w:t>suspect</w:t>
      </w:r>
      <w:r w:rsidR="00C64050">
        <w:rPr>
          <w:color w:val="000000" w:themeColor="text1"/>
        </w:rPr>
        <w:t xml:space="preserve"> </w:t>
      </w:r>
      <w:r w:rsidRPr="003C1004">
        <w:rPr>
          <w:color w:val="000000" w:themeColor="text1"/>
        </w:rPr>
        <w:t>on</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facts</w:t>
      </w:r>
      <w:r w:rsidR="00C64050">
        <w:rPr>
          <w:color w:val="000000" w:themeColor="text1"/>
        </w:rPr>
        <w:t xml:space="preserve"> </w:t>
      </w:r>
      <w:r w:rsidRPr="003C1004">
        <w:rPr>
          <w:color w:val="000000" w:themeColor="text1"/>
        </w:rPr>
        <w:t>presented.</w:t>
      </w:r>
      <w:r w:rsidR="00C64050">
        <w:rPr>
          <w:color w:val="000000" w:themeColor="text1"/>
        </w:rPr>
        <w:t xml:space="preserve"> </w:t>
      </w:r>
    </w:p>
    <w:p w:rsidR="003C1004" w:rsidRPr="003C1004" w:rsidRDefault="003C1004" w:rsidP="003C1004">
      <w:pPr>
        <w:pStyle w:val="QS10"/>
        <w:rPr>
          <w:color w:val="000000" w:themeColor="text1"/>
        </w:rPr>
      </w:pPr>
      <w:r w:rsidRPr="003C1004">
        <w:rPr>
          <w:color w:val="000000" w:themeColor="text1"/>
        </w:rPr>
        <w:t>The</w:t>
      </w:r>
      <w:r w:rsidR="00C64050">
        <w:rPr>
          <w:color w:val="000000" w:themeColor="text1"/>
        </w:rPr>
        <w:t xml:space="preserve"> </w:t>
      </w:r>
      <w:r w:rsidRPr="003C1004">
        <w:rPr>
          <w:color w:val="000000" w:themeColor="text1"/>
        </w:rPr>
        <w:t>Court's</w:t>
      </w:r>
      <w:r w:rsidR="00C64050">
        <w:rPr>
          <w:color w:val="000000" w:themeColor="text1"/>
        </w:rPr>
        <w:t xml:space="preserve"> </w:t>
      </w:r>
      <w:r w:rsidRPr="003C1004">
        <w:rPr>
          <w:color w:val="000000" w:themeColor="text1"/>
        </w:rPr>
        <w:t>exploration</w:t>
      </w:r>
      <w:r w:rsidR="00C64050">
        <w:rPr>
          <w:color w:val="000000" w:themeColor="text1"/>
        </w:rPr>
        <w:t xml:space="preserve"> </w:t>
      </w:r>
      <w:r w:rsidRPr="003C1004">
        <w:rPr>
          <w:color w:val="000000" w:themeColor="text1"/>
        </w:rPr>
        <w:t>of</w:t>
      </w:r>
      <w:r w:rsidR="00C64050">
        <w:rPr>
          <w:color w:val="000000" w:themeColor="text1"/>
        </w:rPr>
        <w:t xml:space="preserve"> </w:t>
      </w:r>
      <w:r w:rsidRPr="003C1004">
        <w:rPr>
          <w:color w:val="000000" w:themeColor="text1"/>
        </w:rPr>
        <w:t>section</w:t>
      </w:r>
      <w:r w:rsidR="00C64050">
        <w:rPr>
          <w:color w:val="000000" w:themeColor="text1"/>
        </w:rPr>
        <w:t xml:space="preserve"> </w:t>
      </w:r>
      <w:r w:rsidRPr="003C1004">
        <w:rPr>
          <w:color w:val="000000" w:themeColor="text1"/>
        </w:rPr>
        <w:t>2043(a)</w:t>
      </w:r>
      <w:r w:rsidR="00C64050">
        <w:rPr>
          <w:color w:val="000000" w:themeColor="text1"/>
        </w:rPr>
        <w:t xml:space="preserve"> </w:t>
      </w:r>
      <w:r w:rsidRPr="003C1004">
        <w:rPr>
          <w:color w:val="000000" w:themeColor="text1"/>
        </w:rPr>
        <w:t>seems</w:t>
      </w:r>
      <w:r w:rsidR="00C64050">
        <w:rPr>
          <w:color w:val="000000" w:themeColor="text1"/>
        </w:rPr>
        <w:t xml:space="preserve"> </w:t>
      </w:r>
      <w:r w:rsidRPr="003C1004">
        <w:rPr>
          <w:color w:val="000000" w:themeColor="text1"/>
        </w:rPr>
        <w:t>to</w:t>
      </w:r>
      <w:r w:rsidR="00C64050">
        <w:rPr>
          <w:color w:val="000000" w:themeColor="text1"/>
        </w:rPr>
        <w:t xml:space="preserve"> </w:t>
      </w:r>
      <w:r w:rsidRPr="003C1004">
        <w:rPr>
          <w:color w:val="000000" w:themeColor="text1"/>
        </w:rPr>
        <w:t>me</w:t>
      </w:r>
      <w:r w:rsidR="00C64050">
        <w:rPr>
          <w:color w:val="000000" w:themeColor="text1"/>
        </w:rPr>
        <w:t xml:space="preserve"> </w:t>
      </w:r>
      <w:r w:rsidRPr="003C1004">
        <w:rPr>
          <w:color w:val="000000" w:themeColor="text1"/>
        </w:rPr>
        <w:t>a</w:t>
      </w:r>
      <w:r w:rsidR="00C64050">
        <w:rPr>
          <w:color w:val="000000" w:themeColor="text1"/>
        </w:rPr>
        <w:t xml:space="preserve"> </w:t>
      </w:r>
      <w:r w:rsidRPr="003C1004">
        <w:rPr>
          <w:color w:val="000000" w:themeColor="text1"/>
        </w:rPr>
        <w:t>solution</w:t>
      </w:r>
      <w:r w:rsidR="00C64050">
        <w:rPr>
          <w:color w:val="000000" w:themeColor="text1"/>
        </w:rPr>
        <w:t xml:space="preserve"> </w:t>
      </w:r>
      <w:r w:rsidRPr="003C1004">
        <w:rPr>
          <w:color w:val="000000" w:themeColor="text1"/>
        </w:rPr>
        <w:t>in</w:t>
      </w:r>
      <w:r w:rsidR="00C64050">
        <w:rPr>
          <w:color w:val="000000" w:themeColor="text1"/>
        </w:rPr>
        <w:t xml:space="preserve"> </w:t>
      </w:r>
      <w:r w:rsidRPr="003C1004">
        <w:rPr>
          <w:color w:val="000000" w:themeColor="text1"/>
        </w:rPr>
        <w:t>search</w:t>
      </w:r>
      <w:r w:rsidR="00C64050">
        <w:rPr>
          <w:color w:val="000000" w:themeColor="text1"/>
        </w:rPr>
        <w:t xml:space="preserve"> </w:t>
      </w:r>
      <w:r w:rsidRPr="003C1004">
        <w:rPr>
          <w:color w:val="000000" w:themeColor="text1"/>
        </w:rPr>
        <w:t>of</w:t>
      </w:r>
      <w:r w:rsidR="00C64050">
        <w:rPr>
          <w:color w:val="000000" w:themeColor="text1"/>
        </w:rPr>
        <w:t xml:space="preserve"> </w:t>
      </w:r>
      <w:r w:rsidRPr="003C1004">
        <w:rPr>
          <w:color w:val="000000" w:themeColor="text1"/>
        </w:rPr>
        <w:t>a</w:t>
      </w:r>
      <w:r w:rsidR="00C64050">
        <w:rPr>
          <w:color w:val="000000" w:themeColor="text1"/>
        </w:rPr>
        <w:t xml:space="preserve"> </w:t>
      </w:r>
      <w:r w:rsidRPr="003C1004">
        <w:rPr>
          <w:color w:val="000000" w:themeColor="text1"/>
        </w:rPr>
        <w:t>problem.</w:t>
      </w:r>
      <w:r w:rsidR="00C64050">
        <w:rPr>
          <w:color w:val="000000" w:themeColor="text1"/>
        </w:rPr>
        <w:t xml:space="preserve"> </w:t>
      </w:r>
      <w:r w:rsidRPr="003C1004">
        <w:rPr>
          <w:color w:val="000000" w:themeColor="text1"/>
        </w:rPr>
        <w:t>It</w:t>
      </w:r>
      <w:r w:rsidR="00C64050">
        <w:rPr>
          <w:color w:val="000000" w:themeColor="text1"/>
        </w:rPr>
        <w:t xml:space="preserve"> </w:t>
      </w:r>
      <w:r w:rsidRPr="003C1004">
        <w:rPr>
          <w:color w:val="000000" w:themeColor="text1"/>
        </w:rPr>
        <w:t>is</w:t>
      </w:r>
      <w:r w:rsidR="00C64050">
        <w:rPr>
          <w:color w:val="000000" w:themeColor="text1"/>
        </w:rPr>
        <w:t xml:space="preserve"> </w:t>
      </w:r>
      <w:r w:rsidRPr="003C1004">
        <w:rPr>
          <w:color w:val="000000" w:themeColor="text1"/>
        </w:rPr>
        <w:t>not</w:t>
      </w:r>
      <w:r w:rsidR="00C64050">
        <w:rPr>
          <w:color w:val="000000" w:themeColor="text1"/>
        </w:rPr>
        <w:t xml:space="preserve"> </w:t>
      </w:r>
      <w:r w:rsidRPr="003C1004">
        <w:rPr>
          <w:color w:val="000000" w:themeColor="text1"/>
        </w:rPr>
        <w:t>necessary;</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parties</w:t>
      </w:r>
      <w:r w:rsidR="00C64050">
        <w:rPr>
          <w:color w:val="000000" w:themeColor="text1"/>
        </w:rPr>
        <w:t xml:space="preserve"> </w:t>
      </w:r>
      <w:r w:rsidRPr="003C1004">
        <w:rPr>
          <w:color w:val="000000" w:themeColor="text1"/>
        </w:rPr>
        <w:t>did</w:t>
      </w:r>
      <w:r w:rsidR="00C64050">
        <w:rPr>
          <w:color w:val="000000" w:themeColor="text1"/>
        </w:rPr>
        <w:t xml:space="preserve"> </w:t>
      </w:r>
      <w:r w:rsidRPr="003C1004">
        <w:rPr>
          <w:color w:val="000000" w:themeColor="text1"/>
        </w:rPr>
        <w:t>not</w:t>
      </w:r>
      <w:r w:rsidR="00C64050">
        <w:rPr>
          <w:color w:val="000000" w:themeColor="text1"/>
        </w:rPr>
        <w:t xml:space="preserve"> </w:t>
      </w:r>
      <w:r w:rsidRPr="003C1004">
        <w:rPr>
          <w:color w:val="000000" w:themeColor="text1"/>
        </w:rPr>
        <w:t>think</w:t>
      </w:r>
      <w:r w:rsidR="00C64050">
        <w:rPr>
          <w:color w:val="000000" w:themeColor="text1"/>
        </w:rPr>
        <w:t xml:space="preserve"> </w:t>
      </w:r>
      <w:r w:rsidRPr="003C1004">
        <w:rPr>
          <w:color w:val="000000" w:themeColor="text1"/>
        </w:rPr>
        <w:t>it</w:t>
      </w:r>
      <w:r w:rsidR="00C64050">
        <w:rPr>
          <w:color w:val="000000" w:themeColor="text1"/>
        </w:rPr>
        <w:t xml:space="preserve"> </w:t>
      </w:r>
      <w:r w:rsidRPr="003C1004">
        <w:rPr>
          <w:color w:val="000000" w:themeColor="text1"/>
        </w:rPr>
        <w:t>was</w:t>
      </w:r>
      <w:r w:rsidR="00C64050">
        <w:rPr>
          <w:color w:val="000000" w:themeColor="text1"/>
        </w:rPr>
        <w:t xml:space="preserve"> </w:t>
      </w:r>
      <w:r w:rsidRPr="003C1004">
        <w:rPr>
          <w:color w:val="000000" w:themeColor="text1"/>
        </w:rPr>
        <w:t>necessary;</w:t>
      </w:r>
      <w:r w:rsidR="00C64050">
        <w:rPr>
          <w:color w:val="000000" w:themeColor="text1"/>
        </w:rPr>
        <w:t xml:space="preserve"> </w:t>
      </w:r>
      <w:r w:rsidRPr="003C1004">
        <w:rPr>
          <w:color w:val="000000" w:themeColor="text1"/>
        </w:rPr>
        <w:t>and</w:t>
      </w:r>
      <w:r w:rsidR="00C64050">
        <w:rPr>
          <w:color w:val="000000" w:themeColor="text1"/>
        </w:rPr>
        <w:t xml:space="preserve"> </w:t>
      </w:r>
      <w:r w:rsidRPr="003C1004">
        <w:rPr>
          <w:color w:val="000000" w:themeColor="text1"/>
        </w:rPr>
        <w:t>our</w:t>
      </w:r>
      <w:r w:rsidR="00C64050">
        <w:rPr>
          <w:color w:val="000000" w:themeColor="text1"/>
        </w:rPr>
        <w:t xml:space="preserve"> </w:t>
      </w:r>
      <w:r w:rsidRPr="003C1004">
        <w:rPr>
          <w:color w:val="000000" w:themeColor="text1"/>
        </w:rPr>
        <w:t>prior</w:t>
      </w:r>
      <w:r w:rsidR="00C64050">
        <w:rPr>
          <w:color w:val="000000" w:themeColor="text1"/>
        </w:rPr>
        <w:t xml:space="preserve"> </w:t>
      </w:r>
      <w:r w:rsidRPr="003C1004">
        <w:rPr>
          <w:color w:val="000000" w:themeColor="text1"/>
        </w:rPr>
        <w:t>cases</w:t>
      </w:r>
      <w:r w:rsidR="00C64050">
        <w:rPr>
          <w:color w:val="000000" w:themeColor="text1"/>
        </w:rPr>
        <w:t xml:space="preserve"> </w:t>
      </w:r>
      <w:r w:rsidRPr="003C1004">
        <w:rPr>
          <w:color w:val="000000" w:themeColor="text1"/>
        </w:rPr>
        <w:t>show</w:t>
      </w:r>
      <w:r w:rsidR="00C64050">
        <w:rPr>
          <w:color w:val="000000" w:themeColor="text1"/>
        </w:rPr>
        <w:t xml:space="preserve"> </w:t>
      </w:r>
      <w:r w:rsidRPr="003C1004">
        <w:rPr>
          <w:color w:val="000000" w:themeColor="text1"/>
        </w:rPr>
        <w:t>that</w:t>
      </w:r>
      <w:r w:rsidR="00C64050">
        <w:rPr>
          <w:color w:val="000000" w:themeColor="text1"/>
        </w:rPr>
        <w:t xml:space="preserve"> </w:t>
      </w:r>
      <w:r w:rsidRPr="003C1004">
        <w:rPr>
          <w:color w:val="000000" w:themeColor="text1"/>
        </w:rPr>
        <w:t>it</w:t>
      </w:r>
      <w:r w:rsidR="00C64050">
        <w:rPr>
          <w:color w:val="000000" w:themeColor="text1"/>
        </w:rPr>
        <w:t xml:space="preserve"> </w:t>
      </w:r>
      <w:r w:rsidRPr="003C1004">
        <w:rPr>
          <w:color w:val="000000" w:themeColor="text1"/>
        </w:rPr>
        <w:t>is</w:t>
      </w:r>
      <w:r w:rsidR="00C64050">
        <w:rPr>
          <w:color w:val="000000" w:themeColor="text1"/>
        </w:rPr>
        <w:t xml:space="preserve"> </w:t>
      </w:r>
      <w:r w:rsidRPr="003C1004">
        <w:rPr>
          <w:color w:val="000000" w:themeColor="text1"/>
        </w:rPr>
        <w:t>unnecessary.</w:t>
      </w:r>
      <w:r w:rsidR="00C64050">
        <w:rPr>
          <w:color w:val="000000" w:themeColor="text1"/>
        </w:rPr>
        <w:t xml:space="preserve"> </w:t>
      </w:r>
      <w:r w:rsidRPr="003C1004">
        <w:rPr>
          <w:color w:val="000000" w:themeColor="text1"/>
        </w:rPr>
        <w:t>And</w:t>
      </w:r>
      <w:r w:rsidR="00C64050">
        <w:rPr>
          <w:color w:val="000000" w:themeColor="text1"/>
        </w:rPr>
        <w:t xml:space="preserve"> </w:t>
      </w:r>
      <w:r w:rsidRPr="003C1004">
        <w:rPr>
          <w:color w:val="000000" w:themeColor="text1"/>
        </w:rPr>
        <w:t>even</w:t>
      </w:r>
      <w:r w:rsidR="00C64050">
        <w:rPr>
          <w:color w:val="000000" w:themeColor="text1"/>
        </w:rPr>
        <w:t xml:space="preserve"> </w:t>
      </w:r>
      <w:r w:rsidRPr="003C1004">
        <w:rPr>
          <w:color w:val="000000" w:themeColor="text1"/>
        </w:rPr>
        <w:t>if</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section</w:t>
      </w:r>
      <w:r w:rsidR="00C64050">
        <w:rPr>
          <w:color w:val="000000" w:themeColor="text1"/>
        </w:rPr>
        <w:t xml:space="preserve"> </w:t>
      </w:r>
      <w:r w:rsidRPr="003C1004">
        <w:rPr>
          <w:color w:val="000000" w:themeColor="text1"/>
        </w:rPr>
        <w:t>2043(a)</w:t>
      </w:r>
      <w:r w:rsidR="00C64050">
        <w:rPr>
          <w:color w:val="000000" w:themeColor="text1"/>
        </w:rPr>
        <w:t xml:space="preserve"> </w:t>
      </w:r>
      <w:r w:rsidRPr="003C1004">
        <w:rPr>
          <w:color w:val="000000" w:themeColor="text1"/>
        </w:rPr>
        <w:t>issue</w:t>
      </w:r>
      <w:r w:rsidR="00C64050">
        <w:rPr>
          <w:color w:val="000000" w:themeColor="text1"/>
        </w:rPr>
        <w:t xml:space="preserve"> </w:t>
      </w:r>
      <w:r w:rsidRPr="003C1004">
        <w:rPr>
          <w:color w:val="000000" w:themeColor="text1"/>
        </w:rPr>
        <w:t>were</w:t>
      </w:r>
      <w:r w:rsidR="00C64050">
        <w:rPr>
          <w:color w:val="000000" w:themeColor="text1"/>
        </w:rPr>
        <w:t xml:space="preserve"> </w:t>
      </w:r>
      <w:r w:rsidRPr="003C1004">
        <w:rPr>
          <w:color w:val="000000" w:themeColor="text1"/>
        </w:rPr>
        <w:t>properly</w:t>
      </w:r>
      <w:r w:rsidR="00C64050">
        <w:rPr>
          <w:color w:val="000000" w:themeColor="text1"/>
        </w:rPr>
        <w:t xml:space="preserve"> </w:t>
      </w:r>
      <w:r w:rsidRPr="003C1004">
        <w:rPr>
          <w:color w:val="000000" w:themeColor="text1"/>
        </w:rPr>
        <w:t>presented,</w:t>
      </w:r>
      <w:r w:rsidR="00C64050">
        <w:rPr>
          <w:color w:val="000000" w:themeColor="text1"/>
        </w:rPr>
        <w:t xml:space="preserve"> </w:t>
      </w:r>
      <w:r w:rsidRPr="003C1004">
        <w:rPr>
          <w:color w:val="000000" w:themeColor="text1"/>
        </w:rPr>
        <w:t>I</w:t>
      </w:r>
      <w:r w:rsidR="00C64050">
        <w:rPr>
          <w:color w:val="000000" w:themeColor="text1"/>
        </w:rPr>
        <w:t xml:space="preserve"> </w:t>
      </w:r>
      <w:r w:rsidRPr="003C1004">
        <w:rPr>
          <w:color w:val="000000" w:themeColor="text1"/>
        </w:rPr>
        <w:t>am</w:t>
      </w:r>
      <w:r w:rsidR="00C64050">
        <w:rPr>
          <w:color w:val="000000" w:themeColor="text1"/>
        </w:rPr>
        <w:t xml:space="preserve"> </w:t>
      </w:r>
      <w:r w:rsidRPr="003C1004">
        <w:rPr>
          <w:color w:val="000000" w:themeColor="text1"/>
        </w:rPr>
        <w:t>not</w:t>
      </w:r>
      <w:r w:rsidR="00C64050">
        <w:rPr>
          <w:color w:val="000000" w:themeColor="text1"/>
        </w:rPr>
        <w:t xml:space="preserve"> </w:t>
      </w:r>
      <w:r w:rsidRPr="003C1004">
        <w:rPr>
          <w:color w:val="000000" w:themeColor="text1"/>
        </w:rPr>
        <w:t>sure</w:t>
      </w:r>
      <w:r w:rsidR="00C64050">
        <w:rPr>
          <w:color w:val="000000" w:themeColor="text1"/>
        </w:rPr>
        <w:t xml:space="preserve"> </w:t>
      </w:r>
      <w:r w:rsidRPr="003C1004">
        <w:rPr>
          <w:color w:val="000000" w:themeColor="text1"/>
        </w:rPr>
        <w:t>that</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Court's</w:t>
      </w:r>
      <w:r w:rsidR="00C64050">
        <w:rPr>
          <w:color w:val="000000" w:themeColor="text1"/>
        </w:rPr>
        <w:t xml:space="preserve"> </w:t>
      </w:r>
      <w:r w:rsidRPr="003C1004">
        <w:rPr>
          <w:color w:val="000000" w:themeColor="text1"/>
        </w:rPr>
        <w:t>application</w:t>
      </w:r>
      <w:r w:rsidR="00C64050">
        <w:rPr>
          <w:color w:val="000000" w:themeColor="text1"/>
        </w:rPr>
        <w:t xml:space="preserve"> </w:t>
      </w:r>
      <w:r w:rsidRPr="003C1004">
        <w:rPr>
          <w:color w:val="000000" w:themeColor="text1"/>
        </w:rPr>
        <w:t>of</w:t>
      </w:r>
      <w:r w:rsidR="00C64050">
        <w:rPr>
          <w:color w:val="000000" w:themeColor="text1"/>
        </w:rPr>
        <w:t xml:space="preserve"> </w:t>
      </w:r>
      <w:r w:rsidRPr="003C1004">
        <w:rPr>
          <w:color w:val="000000" w:themeColor="text1"/>
        </w:rPr>
        <w:t>that</w:t>
      </w:r>
      <w:r w:rsidR="00C64050">
        <w:rPr>
          <w:color w:val="000000" w:themeColor="text1"/>
        </w:rPr>
        <w:t xml:space="preserve"> </w:t>
      </w:r>
      <w:r w:rsidRPr="003C1004">
        <w:rPr>
          <w:color w:val="000000" w:themeColor="text1"/>
        </w:rPr>
        <w:t>provision</w:t>
      </w:r>
      <w:r w:rsidR="00C64050">
        <w:rPr>
          <w:color w:val="000000" w:themeColor="text1"/>
        </w:rPr>
        <w:t xml:space="preserve"> </w:t>
      </w:r>
      <w:r w:rsidRPr="003C1004">
        <w:rPr>
          <w:color w:val="000000" w:themeColor="text1"/>
        </w:rPr>
        <w:t>is</w:t>
      </w:r>
      <w:r w:rsidR="00C64050">
        <w:rPr>
          <w:color w:val="000000" w:themeColor="text1"/>
        </w:rPr>
        <w:t xml:space="preserve"> </w:t>
      </w:r>
      <w:r w:rsidRPr="003C1004">
        <w:rPr>
          <w:color w:val="000000" w:themeColor="text1"/>
        </w:rPr>
        <w:t>correct.</w:t>
      </w:r>
      <w:r w:rsidR="00C64050">
        <w:rPr>
          <w:color w:val="000000" w:themeColor="text1"/>
        </w:rPr>
        <w:t xml:space="preserve"> </w:t>
      </w:r>
      <w:r w:rsidRPr="003C1004">
        <w:rPr>
          <w:color w:val="000000" w:themeColor="text1"/>
        </w:rPr>
        <w:t>It</w:t>
      </w:r>
      <w:r w:rsidR="00C64050">
        <w:rPr>
          <w:color w:val="000000" w:themeColor="text1"/>
        </w:rPr>
        <w:t xml:space="preserve"> </w:t>
      </w:r>
      <w:r w:rsidRPr="003C1004">
        <w:rPr>
          <w:color w:val="000000" w:themeColor="text1"/>
        </w:rPr>
        <w:t>is</w:t>
      </w:r>
      <w:r w:rsidR="00C64050">
        <w:rPr>
          <w:color w:val="000000" w:themeColor="text1"/>
        </w:rPr>
        <w:t xml:space="preserve"> </w:t>
      </w:r>
      <w:r w:rsidRPr="003C1004">
        <w:rPr>
          <w:color w:val="000000" w:themeColor="text1"/>
        </w:rPr>
        <w:t>far</w:t>
      </w:r>
      <w:r w:rsidR="00C64050">
        <w:rPr>
          <w:color w:val="000000" w:themeColor="text1"/>
        </w:rPr>
        <w:t xml:space="preserve"> </w:t>
      </w:r>
      <w:r w:rsidRPr="003C1004">
        <w:rPr>
          <w:color w:val="000000" w:themeColor="text1"/>
        </w:rPr>
        <w:t>from</w:t>
      </w:r>
      <w:r w:rsidR="00C64050">
        <w:rPr>
          <w:color w:val="000000" w:themeColor="text1"/>
        </w:rPr>
        <w:t xml:space="preserve"> </w:t>
      </w:r>
      <w:r w:rsidRPr="003C1004">
        <w:rPr>
          <w:color w:val="000000" w:themeColor="text1"/>
        </w:rPr>
        <w:t>clear</w:t>
      </w:r>
      <w:r w:rsidR="00C64050">
        <w:rPr>
          <w:color w:val="000000" w:themeColor="text1"/>
        </w:rPr>
        <w:t xml:space="preserve"> </w:t>
      </w:r>
      <w:r w:rsidRPr="003C1004">
        <w:rPr>
          <w:color w:val="000000" w:themeColor="text1"/>
        </w:rPr>
        <w:t>to</w:t>
      </w:r>
      <w:r w:rsidR="00C64050">
        <w:rPr>
          <w:color w:val="000000" w:themeColor="text1"/>
        </w:rPr>
        <w:t xml:space="preserve"> </w:t>
      </w:r>
      <w:r w:rsidRPr="003C1004">
        <w:rPr>
          <w:color w:val="000000" w:themeColor="text1"/>
        </w:rPr>
        <w:t>me</w:t>
      </w:r>
      <w:r w:rsidR="00C64050">
        <w:rPr>
          <w:color w:val="000000" w:themeColor="text1"/>
        </w:rPr>
        <w:t xml:space="preserve"> </w:t>
      </w:r>
      <w:r w:rsidRPr="003C1004">
        <w:rPr>
          <w:color w:val="000000" w:themeColor="text1"/>
        </w:rPr>
        <w:t>that</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decedent's</w:t>
      </w:r>
      <w:r w:rsidR="00C64050">
        <w:rPr>
          <w:color w:val="000000" w:themeColor="text1"/>
        </w:rPr>
        <w:t xml:space="preserve"> </w:t>
      </w:r>
      <w:r w:rsidRPr="003C1004">
        <w:rPr>
          <w:color w:val="000000" w:themeColor="text1"/>
        </w:rPr>
        <w:t>partnership</w:t>
      </w:r>
      <w:r w:rsidR="00C64050">
        <w:rPr>
          <w:color w:val="000000" w:themeColor="text1"/>
        </w:rPr>
        <w:t xml:space="preserve"> </w:t>
      </w:r>
      <w:r w:rsidRPr="003C1004">
        <w:rPr>
          <w:color w:val="000000" w:themeColor="text1"/>
        </w:rPr>
        <w:t>interest—a</w:t>
      </w:r>
      <w:r w:rsidR="00C64050">
        <w:rPr>
          <w:color w:val="000000" w:themeColor="text1"/>
        </w:rPr>
        <w:t xml:space="preserve"> </w:t>
      </w:r>
      <w:r w:rsidRPr="003C1004">
        <w:rPr>
          <w:color w:val="000000" w:themeColor="text1"/>
        </w:rPr>
        <w:t>consequence</w:t>
      </w:r>
      <w:r w:rsidR="00C64050">
        <w:rPr>
          <w:color w:val="000000" w:themeColor="text1"/>
        </w:rPr>
        <w:t xml:space="preserve"> </w:t>
      </w:r>
      <w:r w:rsidRPr="003C1004">
        <w:rPr>
          <w:color w:val="000000" w:themeColor="text1"/>
        </w:rPr>
        <w:t>of</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now-disregarded</w:t>
      </w:r>
      <w:r w:rsidR="00C64050">
        <w:rPr>
          <w:color w:val="000000" w:themeColor="text1"/>
        </w:rPr>
        <w:t xml:space="preserve"> </w:t>
      </w:r>
      <w:r w:rsidRPr="003C1004">
        <w:rPr>
          <w:color w:val="000000" w:themeColor="text1"/>
        </w:rPr>
        <w:t>transfer—can</w:t>
      </w:r>
      <w:r w:rsidR="00C64050">
        <w:rPr>
          <w:color w:val="000000" w:themeColor="text1"/>
        </w:rPr>
        <w:t xml:space="preserve"> </w:t>
      </w:r>
      <w:r w:rsidRPr="003C1004">
        <w:rPr>
          <w:color w:val="000000" w:themeColor="text1"/>
        </w:rPr>
        <w:t>constitute</w:t>
      </w:r>
      <w:r w:rsidR="00C64050">
        <w:rPr>
          <w:color w:val="000000" w:themeColor="text1"/>
        </w:rPr>
        <w:t xml:space="preserve"> </w:t>
      </w:r>
      <w:r w:rsidRPr="003C1004">
        <w:rPr>
          <w:color w:val="000000" w:themeColor="text1"/>
        </w:rPr>
        <w:t>“consideration</w:t>
      </w:r>
      <w:r w:rsidR="00C64050">
        <w:rPr>
          <w:color w:val="000000" w:themeColor="text1"/>
        </w:rPr>
        <w:t xml:space="preserve"> </w:t>
      </w:r>
      <w:r w:rsidRPr="003C1004">
        <w:rPr>
          <w:color w:val="000000" w:themeColor="text1"/>
        </w:rPr>
        <w:t>in</w:t>
      </w:r>
      <w:r w:rsidR="00C64050">
        <w:rPr>
          <w:color w:val="000000" w:themeColor="text1"/>
        </w:rPr>
        <w:t xml:space="preserve"> </w:t>
      </w:r>
      <w:r w:rsidRPr="003C1004">
        <w:rPr>
          <w:color w:val="000000" w:themeColor="text1"/>
        </w:rPr>
        <w:t>money</w:t>
      </w:r>
      <w:r w:rsidR="00C64050">
        <w:rPr>
          <w:color w:val="000000" w:themeColor="text1"/>
        </w:rPr>
        <w:t xml:space="preserve"> </w:t>
      </w:r>
      <w:r w:rsidRPr="003C1004">
        <w:rPr>
          <w:color w:val="000000" w:themeColor="text1"/>
        </w:rPr>
        <w:t>or</w:t>
      </w:r>
      <w:r w:rsidR="00C64050">
        <w:rPr>
          <w:color w:val="000000" w:themeColor="text1"/>
        </w:rPr>
        <w:t xml:space="preserve"> </w:t>
      </w:r>
      <w:r w:rsidRPr="003C1004">
        <w:rPr>
          <w:color w:val="000000" w:themeColor="text1"/>
        </w:rPr>
        <w:t>money's</w:t>
      </w:r>
      <w:r w:rsidR="00C64050">
        <w:rPr>
          <w:color w:val="000000" w:themeColor="text1"/>
        </w:rPr>
        <w:t xml:space="preserve"> </w:t>
      </w:r>
      <w:r w:rsidRPr="003C1004">
        <w:rPr>
          <w:color w:val="000000" w:themeColor="text1"/>
        </w:rPr>
        <w:t>worth”</w:t>
      </w:r>
      <w:r w:rsidR="00C64050">
        <w:rPr>
          <w:color w:val="000000" w:themeColor="text1"/>
        </w:rPr>
        <w:t xml:space="preserve"> </w:t>
      </w:r>
      <w:r w:rsidRPr="003C1004">
        <w:rPr>
          <w:color w:val="000000" w:themeColor="text1"/>
        </w:rPr>
        <w:t>within</w:t>
      </w:r>
      <w:r w:rsidR="00C64050">
        <w:rPr>
          <w:color w:val="000000" w:themeColor="text1"/>
        </w:rPr>
        <w:t xml:space="preserve"> </w:t>
      </w:r>
      <w:r w:rsidRPr="003C1004">
        <w:rPr>
          <w:color w:val="000000" w:themeColor="text1"/>
        </w:rPr>
        <w:t>the</w:t>
      </w:r>
      <w:r w:rsidR="00C64050">
        <w:rPr>
          <w:color w:val="000000" w:themeColor="text1"/>
        </w:rPr>
        <w:t xml:space="preserve"> </w:t>
      </w:r>
      <w:r w:rsidRPr="003C1004">
        <w:rPr>
          <w:color w:val="000000" w:themeColor="text1"/>
        </w:rPr>
        <w:t>meaning</w:t>
      </w:r>
      <w:r w:rsidR="00C64050">
        <w:rPr>
          <w:color w:val="000000" w:themeColor="text1"/>
        </w:rPr>
        <w:t xml:space="preserve"> </w:t>
      </w:r>
      <w:r w:rsidRPr="003C1004">
        <w:rPr>
          <w:color w:val="000000" w:themeColor="text1"/>
        </w:rPr>
        <w:t>of</w:t>
      </w:r>
      <w:r w:rsidR="00C64050">
        <w:rPr>
          <w:color w:val="000000" w:themeColor="text1"/>
        </w:rPr>
        <w:t xml:space="preserve"> </w:t>
      </w:r>
      <w:r w:rsidRPr="003C1004">
        <w:rPr>
          <w:color w:val="000000" w:themeColor="text1"/>
        </w:rPr>
        <w:t>section</w:t>
      </w:r>
      <w:r w:rsidR="00C64050">
        <w:rPr>
          <w:color w:val="000000" w:themeColor="text1"/>
        </w:rPr>
        <w:t xml:space="preserve"> </w:t>
      </w:r>
      <w:r w:rsidRPr="003C1004">
        <w:rPr>
          <w:color w:val="000000" w:themeColor="text1"/>
        </w:rPr>
        <w:t>2043(a).</w:t>
      </w:r>
    </w:p>
    <w:p w:rsidR="00117405" w:rsidRDefault="000133C2" w:rsidP="00874E54">
      <w:pPr>
        <w:pStyle w:val="Body15"/>
        <w:rPr>
          <w:lang w:eastAsia="en-GB"/>
        </w:rPr>
      </w:pPr>
      <w:r>
        <w:rPr>
          <w:lang w:eastAsia="en-GB"/>
        </w:rPr>
        <w:t>I</w:t>
      </w:r>
      <w:r w:rsidR="00BF3445">
        <w:rPr>
          <w:lang w:eastAsia="en-GB"/>
        </w:rPr>
        <w:t>f</w:t>
      </w:r>
      <w:r w:rsidR="00C64050">
        <w:rPr>
          <w:lang w:eastAsia="en-GB"/>
        </w:rPr>
        <w:t xml:space="preserve"> </w:t>
      </w:r>
      <w:r w:rsidR="00BF3445">
        <w:rPr>
          <w:lang w:eastAsia="en-GB"/>
        </w:rPr>
        <w:t>there</w:t>
      </w:r>
      <w:r w:rsidR="00C64050">
        <w:rPr>
          <w:lang w:eastAsia="en-GB"/>
        </w:rPr>
        <w:t xml:space="preserve"> </w:t>
      </w:r>
      <w:r w:rsidR="00BF3445">
        <w:rPr>
          <w:lang w:eastAsia="en-GB"/>
        </w:rPr>
        <w:t>is</w:t>
      </w:r>
      <w:r w:rsidR="00C64050">
        <w:rPr>
          <w:lang w:eastAsia="en-GB"/>
        </w:rPr>
        <w:t xml:space="preserve"> </w:t>
      </w:r>
      <w:r w:rsidR="00BF3445">
        <w:rPr>
          <w:lang w:eastAsia="en-GB"/>
        </w:rPr>
        <w:t>no</w:t>
      </w:r>
      <w:r w:rsidR="00C64050">
        <w:rPr>
          <w:lang w:eastAsia="en-GB"/>
        </w:rPr>
        <w:t xml:space="preserve"> </w:t>
      </w:r>
      <w:r w:rsidR="005254C7">
        <w:rPr>
          <w:lang w:eastAsia="en-GB"/>
        </w:rPr>
        <w:t>persuasive</w:t>
      </w:r>
      <w:r w:rsidR="00C64050">
        <w:rPr>
          <w:lang w:eastAsia="en-GB"/>
        </w:rPr>
        <w:t xml:space="preserve"> </w:t>
      </w:r>
      <w:r w:rsidR="00BF3445">
        <w:rPr>
          <w:lang w:eastAsia="en-GB"/>
        </w:rPr>
        <w:t>non-tax</w:t>
      </w:r>
      <w:r w:rsidR="00C64050">
        <w:rPr>
          <w:lang w:eastAsia="en-GB"/>
        </w:rPr>
        <w:t xml:space="preserve"> </w:t>
      </w:r>
      <w:r w:rsidR="00BF3445">
        <w:rPr>
          <w:lang w:eastAsia="en-GB"/>
        </w:rPr>
        <w:t>reason</w:t>
      </w:r>
      <w:r w:rsidR="00C64050">
        <w:rPr>
          <w:lang w:eastAsia="en-GB"/>
        </w:rPr>
        <w:t xml:space="preserve"> </w:t>
      </w:r>
      <w:r w:rsidR="00BF3445">
        <w:rPr>
          <w:lang w:eastAsia="en-GB"/>
        </w:rPr>
        <w:t>for</w:t>
      </w:r>
      <w:r w:rsidR="00C64050">
        <w:rPr>
          <w:lang w:eastAsia="en-GB"/>
        </w:rPr>
        <w:t xml:space="preserve"> </w:t>
      </w:r>
      <w:r w:rsidR="00BF3445">
        <w:rPr>
          <w:lang w:eastAsia="en-GB"/>
        </w:rPr>
        <w:t>the</w:t>
      </w:r>
      <w:r w:rsidR="00C64050">
        <w:rPr>
          <w:lang w:eastAsia="en-GB"/>
        </w:rPr>
        <w:t xml:space="preserve"> </w:t>
      </w:r>
      <w:r w:rsidR="00BF3445">
        <w:rPr>
          <w:lang w:eastAsia="en-GB"/>
        </w:rPr>
        <w:t>entity</w:t>
      </w:r>
      <w:r w:rsidR="00CF0FF9">
        <w:rPr>
          <w:lang w:eastAsia="en-GB"/>
        </w:rPr>
        <w:t>,</w:t>
      </w:r>
      <w:r w:rsidR="00C64050">
        <w:rPr>
          <w:lang w:eastAsia="en-GB"/>
        </w:rPr>
        <w:t xml:space="preserve"> </w:t>
      </w:r>
      <w:r w:rsidR="00BF3445">
        <w:rPr>
          <w:lang w:eastAsia="en-GB"/>
        </w:rPr>
        <w:t>and</w:t>
      </w:r>
      <w:r w:rsidR="00C64050">
        <w:rPr>
          <w:lang w:eastAsia="en-GB"/>
        </w:rPr>
        <w:t xml:space="preserve"> </w:t>
      </w:r>
      <w:r w:rsidR="005254C7">
        <w:rPr>
          <w:lang w:eastAsia="en-GB"/>
        </w:rPr>
        <w:t>ownership</w:t>
      </w:r>
      <w:r w:rsidR="00C64050">
        <w:rPr>
          <w:lang w:eastAsia="en-GB"/>
        </w:rPr>
        <w:t xml:space="preserve"> </w:t>
      </w:r>
      <w:r w:rsidR="005254C7">
        <w:rPr>
          <w:lang w:eastAsia="en-GB"/>
        </w:rPr>
        <w:t>is</w:t>
      </w:r>
      <w:r w:rsidR="00C64050">
        <w:rPr>
          <w:lang w:eastAsia="en-GB"/>
        </w:rPr>
        <w:t xml:space="preserve"> </w:t>
      </w:r>
      <w:r w:rsidR="00BF3445">
        <w:rPr>
          <w:lang w:eastAsia="en-GB"/>
        </w:rPr>
        <w:t>surrendered</w:t>
      </w:r>
      <w:r w:rsidR="00C64050">
        <w:rPr>
          <w:lang w:eastAsia="en-GB"/>
        </w:rPr>
        <w:t xml:space="preserve"> </w:t>
      </w:r>
      <w:r w:rsidR="00BF3445">
        <w:rPr>
          <w:lang w:eastAsia="en-GB"/>
        </w:rPr>
        <w:t>within</w:t>
      </w:r>
      <w:r w:rsidR="00C64050">
        <w:rPr>
          <w:lang w:eastAsia="en-GB"/>
        </w:rPr>
        <w:t xml:space="preserve"> </w:t>
      </w:r>
      <w:r w:rsidR="00BF3445">
        <w:rPr>
          <w:lang w:eastAsia="en-GB"/>
        </w:rPr>
        <w:t>three</w:t>
      </w:r>
      <w:r w:rsidR="00C64050">
        <w:rPr>
          <w:lang w:eastAsia="en-GB"/>
        </w:rPr>
        <w:t xml:space="preserve"> </w:t>
      </w:r>
      <w:r w:rsidR="00BF3445">
        <w:rPr>
          <w:lang w:eastAsia="en-GB"/>
        </w:rPr>
        <w:t>years</w:t>
      </w:r>
      <w:r w:rsidR="00C64050">
        <w:rPr>
          <w:lang w:eastAsia="en-GB"/>
        </w:rPr>
        <w:t xml:space="preserve"> </w:t>
      </w:r>
      <w:r w:rsidR="00BF3445">
        <w:rPr>
          <w:lang w:eastAsia="en-GB"/>
        </w:rPr>
        <w:t>of</w:t>
      </w:r>
      <w:r w:rsidR="00C64050">
        <w:rPr>
          <w:lang w:eastAsia="en-GB"/>
        </w:rPr>
        <w:t xml:space="preserve"> </w:t>
      </w:r>
      <w:r w:rsidR="00BF3445">
        <w:rPr>
          <w:lang w:eastAsia="en-GB"/>
        </w:rPr>
        <w:t>death</w:t>
      </w:r>
      <w:r w:rsidR="00CF0FF9">
        <w:rPr>
          <w:lang w:eastAsia="en-GB"/>
        </w:rPr>
        <w:t>,</w:t>
      </w:r>
      <w:r w:rsidR="00C64050">
        <w:rPr>
          <w:lang w:eastAsia="en-GB"/>
        </w:rPr>
        <w:t xml:space="preserve"> </w:t>
      </w:r>
      <w:r w:rsidR="005254C7">
        <w:rPr>
          <w:lang w:eastAsia="en-GB"/>
        </w:rPr>
        <w:t>then</w:t>
      </w:r>
      <w:r w:rsidR="00C64050">
        <w:rPr>
          <w:lang w:eastAsia="en-GB"/>
        </w:rPr>
        <w:t xml:space="preserve"> </w:t>
      </w:r>
      <w:r>
        <w:rPr>
          <w:lang w:eastAsia="en-GB"/>
        </w:rPr>
        <w:t>avoiding</w:t>
      </w:r>
      <w:r w:rsidR="00C64050">
        <w:rPr>
          <w:lang w:eastAsia="en-GB"/>
        </w:rPr>
        <w:t xml:space="preserve"> </w:t>
      </w:r>
      <w:r>
        <w:rPr>
          <w:lang w:eastAsia="en-GB"/>
        </w:rPr>
        <w:t>section</w:t>
      </w:r>
      <w:r w:rsidR="00C64050">
        <w:rPr>
          <w:lang w:eastAsia="en-GB"/>
        </w:rPr>
        <w:t xml:space="preserve"> </w:t>
      </w:r>
      <w:r>
        <w:rPr>
          <w:lang w:eastAsia="en-GB"/>
        </w:rPr>
        <w:t>2036(a)(2)</w:t>
      </w:r>
      <w:r w:rsidR="00C64050">
        <w:rPr>
          <w:lang w:eastAsia="en-GB"/>
        </w:rPr>
        <w:t xml:space="preserve"> </w:t>
      </w:r>
      <w:r w:rsidR="00BF3445">
        <w:rPr>
          <w:lang w:eastAsia="en-GB"/>
        </w:rPr>
        <w:t>is</w:t>
      </w:r>
      <w:r w:rsidR="00C64050">
        <w:rPr>
          <w:lang w:eastAsia="en-GB"/>
        </w:rPr>
        <w:t xml:space="preserve"> </w:t>
      </w:r>
      <w:r w:rsidR="00BF3445">
        <w:rPr>
          <w:lang w:eastAsia="en-GB"/>
        </w:rPr>
        <w:t>difficult.</w:t>
      </w:r>
      <w:r w:rsidR="00C64050">
        <w:rPr>
          <w:lang w:eastAsia="en-GB"/>
        </w:rPr>
        <w:t xml:space="preserve">  </w:t>
      </w:r>
      <w:r w:rsidR="00BF3445">
        <w:rPr>
          <w:lang w:eastAsia="en-GB"/>
        </w:rPr>
        <w:t>One</w:t>
      </w:r>
      <w:r w:rsidR="00C64050">
        <w:rPr>
          <w:lang w:eastAsia="en-GB"/>
        </w:rPr>
        <w:t xml:space="preserve"> </w:t>
      </w:r>
      <w:r w:rsidR="00BF3445">
        <w:rPr>
          <w:lang w:eastAsia="en-GB"/>
        </w:rPr>
        <w:t>approach</w:t>
      </w:r>
      <w:r w:rsidR="00C64050">
        <w:rPr>
          <w:lang w:eastAsia="en-GB"/>
        </w:rPr>
        <w:t xml:space="preserve"> </w:t>
      </w:r>
      <w:r w:rsidR="00BF3445">
        <w:rPr>
          <w:lang w:eastAsia="en-GB"/>
        </w:rPr>
        <w:t>is</w:t>
      </w:r>
      <w:r w:rsidR="00C64050">
        <w:rPr>
          <w:lang w:eastAsia="en-GB"/>
        </w:rPr>
        <w:t xml:space="preserve"> </w:t>
      </w:r>
      <w:r w:rsidR="00BF3445">
        <w:rPr>
          <w:lang w:eastAsia="en-GB"/>
        </w:rPr>
        <w:t>to</w:t>
      </w:r>
      <w:r w:rsidR="00C64050">
        <w:rPr>
          <w:lang w:eastAsia="en-GB"/>
        </w:rPr>
        <w:t xml:space="preserve"> </w:t>
      </w:r>
      <w:r w:rsidR="00BF3445">
        <w:rPr>
          <w:lang w:eastAsia="en-GB"/>
        </w:rPr>
        <w:t>limit</w:t>
      </w:r>
      <w:r w:rsidR="00C64050">
        <w:rPr>
          <w:lang w:eastAsia="en-GB"/>
        </w:rPr>
        <w:t xml:space="preserve"> </w:t>
      </w:r>
      <w:r w:rsidR="00BF3445">
        <w:rPr>
          <w:lang w:eastAsia="en-GB"/>
        </w:rPr>
        <w:t>the</w:t>
      </w:r>
      <w:r w:rsidR="00C64050">
        <w:rPr>
          <w:lang w:eastAsia="en-GB"/>
        </w:rPr>
        <w:t xml:space="preserve"> </w:t>
      </w:r>
      <w:r w:rsidR="00BF3445">
        <w:rPr>
          <w:lang w:eastAsia="en-GB"/>
        </w:rPr>
        <w:t>decedent’s</w:t>
      </w:r>
      <w:r w:rsidR="00C64050">
        <w:rPr>
          <w:lang w:eastAsia="en-GB"/>
        </w:rPr>
        <w:t xml:space="preserve"> </w:t>
      </w:r>
      <w:r w:rsidR="00BF3445">
        <w:rPr>
          <w:lang w:eastAsia="en-GB"/>
        </w:rPr>
        <w:t>rights</w:t>
      </w:r>
      <w:r w:rsidR="00C64050">
        <w:rPr>
          <w:lang w:eastAsia="en-GB"/>
        </w:rPr>
        <w:t xml:space="preserve"> </w:t>
      </w:r>
      <w:r w:rsidR="00BF3445">
        <w:rPr>
          <w:lang w:eastAsia="en-GB"/>
        </w:rPr>
        <w:t>over</w:t>
      </w:r>
      <w:r w:rsidR="00C64050">
        <w:rPr>
          <w:lang w:eastAsia="en-GB"/>
        </w:rPr>
        <w:t xml:space="preserve"> </w:t>
      </w:r>
      <w:r w:rsidR="00BF3445">
        <w:rPr>
          <w:lang w:eastAsia="en-GB"/>
        </w:rPr>
        <w:t>the</w:t>
      </w:r>
      <w:r w:rsidR="00C64050">
        <w:rPr>
          <w:lang w:eastAsia="en-GB"/>
        </w:rPr>
        <w:t xml:space="preserve"> </w:t>
      </w:r>
      <w:r w:rsidR="00BF3445">
        <w:rPr>
          <w:lang w:eastAsia="en-GB"/>
        </w:rPr>
        <w:t>entity</w:t>
      </w:r>
      <w:r w:rsidR="00C64050">
        <w:rPr>
          <w:lang w:eastAsia="en-GB"/>
        </w:rPr>
        <w:t xml:space="preserve"> </w:t>
      </w:r>
      <w:r w:rsidR="00BF3445">
        <w:rPr>
          <w:lang w:eastAsia="en-GB"/>
        </w:rPr>
        <w:t>in</w:t>
      </w:r>
      <w:r w:rsidR="00C64050">
        <w:rPr>
          <w:lang w:eastAsia="en-GB"/>
        </w:rPr>
        <w:t xml:space="preserve"> </w:t>
      </w:r>
      <w:r w:rsidR="00BF3445">
        <w:rPr>
          <w:lang w:eastAsia="en-GB"/>
        </w:rPr>
        <w:t>the</w:t>
      </w:r>
      <w:r w:rsidR="00C64050">
        <w:rPr>
          <w:lang w:eastAsia="en-GB"/>
        </w:rPr>
        <w:t xml:space="preserve"> </w:t>
      </w:r>
      <w:r w:rsidR="00BF3445">
        <w:rPr>
          <w:lang w:eastAsia="en-GB"/>
        </w:rPr>
        <w:t>first</w:t>
      </w:r>
      <w:r w:rsidR="00C64050">
        <w:rPr>
          <w:lang w:eastAsia="en-GB"/>
        </w:rPr>
        <w:t xml:space="preserve"> </w:t>
      </w:r>
      <w:r w:rsidR="00BF3445">
        <w:rPr>
          <w:lang w:eastAsia="en-GB"/>
        </w:rPr>
        <w:t>place.</w:t>
      </w:r>
      <w:r w:rsidR="00C64050">
        <w:rPr>
          <w:lang w:eastAsia="en-GB"/>
        </w:rPr>
        <w:t xml:space="preserve">  </w:t>
      </w:r>
      <w:r w:rsidR="00117405">
        <w:rPr>
          <w:lang w:eastAsia="en-GB"/>
        </w:rPr>
        <w:t>For</w:t>
      </w:r>
      <w:r w:rsidR="00C64050">
        <w:rPr>
          <w:lang w:eastAsia="en-GB"/>
        </w:rPr>
        <w:t xml:space="preserve"> </w:t>
      </w:r>
      <w:r w:rsidR="00117405">
        <w:rPr>
          <w:lang w:eastAsia="en-GB"/>
        </w:rPr>
        <w:t>example,</w:t>
      </w:r>
      <w:r w:rsidR="00C64050">
        <w:rPr>
          <w:lang w:eastAsia="en-GB"/>
        </w:rPr>
        <w:t xml:space="preserve"> </w:t>
      </w:r>
      <w:r w:rsidR="00117405">
        <w:rPr>
          <w:lang w:eastAsia="en-GB"/>
        </w:rPr>
        <w:t>the</w:t>
      </w:r>
      <w:r w:rsidR="00C64050">
        <w:rPr>
          <w:lang w:eastAsia="en-GB"/>
        </w:rPr>
        <w:t xml:space="preserve"> </w:t>
      </w:r>
      <w:r w:rsidR="00117405">
        <w:rPr>
          <w:lang w:eastAsia="en-GB"/>
        </w:rPr>
        <w:t>client</w:t>
      </w:r>
      <w:r w:rsidR="00C64050">
        <w:rPr>
          <w:lang w:eastAsia="en-GB"/>
        </w:rPr>
        <w:t xml:space="preserve"> </w:t>
      </w:r>
      <w:r w:rsidR="00117405">
        <w:rPr>
          <w:lang w:eastAsia="en-GB"/>
        </w:rPr>
        <w:t>could</w:t>
      </w:r>
      <w:r w:rsidR="00C64050">
        <w:rPr>
          <w:lang w:eastAsia="en-GB"/>
        </w:rPr>
        <w:t xml:space="preserve"> </w:t>
      </w:r>
      <w:r w:rsidR="00117405">
        <w:rPr>
          <w:lang w:eastAsia="en-GB"/>
        </w:rPr>
        <w:t>add</w:t>
      </w:r>
      <w:r w:rsidR="00C64050">
        <w:rPr>
          <w:lang w:eastAsia="en-GB"/>
        </w:rPr>
        <w:t xml:space="preserve"> </w:t>
      </w:r>
      <w:r w:rsidR="00117405">
        <w:rPr>
          <w:lang w:eastAsia="en-GB"/>
        </w:rPr>
        <w:t>assets</w:t>
      </w:r>
      <w:r w:rsidR="00C64050">
        <w:rPr>
          <w:lang w:eastAsia="en-GB"/>
        </w:rPr>
        <w:t xml:space="preserve"> </w:t>
      </w:r>
      <w:r w:rsidR="00117405">
        <w:rPr>
          <w:lang w:eastAsia="en-GB"/>
        </w:rPr>
        <w:t>to</w:t>
      </w:r>
      <w:r w:rsidR="00C64050">
        <w:rPr>
          <w:lang w:eastAsia="en-GB"/>
        </w:rPr>
        <w:t xml:space="preserve"> </w:t>
      </w:r>
      <w:r w:rsidR="00117405">
        <w:rPr>
          <w:lang w:eastAsia="en-GB"/>
        </w:rPr>
        <w:t>a</w:t>
      </w:r>
      <w:r w:rsidR="00C64050">
        <w:rPr>
          <w:lang w:eastAsia="en-GB"/>
        </w:rPr>
        <w:t xml:space="preserve"> </w:t>
      </w:r>
      <w:r w:rsidR="00117405">
        <w:rPr>
          <w:lang w:eastAsia="en-GB"/>
        </w:rPr>
        <w:t>trust</w:t>
      </w:r>
      <w:r w:rsidR="00C64050">
        <w:rPr>
          <w:lang w:eastAsia="en-GB"/>
        </w:rPr>
        <w:t xml:space="preserve"> </w:t>
      </w:r>
      <w:r>
        <w:rPr>
          <w:lang w:eastAsia="en-GB"/>
        </w:rPr>
        <w:t>that</w:t>
      </w:r>
      <w:r w:rsidR="00C64050">
        <w:rPr>
          <w:lang w:eastAsia="en-GB"/>
        </w:rPr>
        <w:t xml:space="preserve"> </w:t>
      </w:r>
      <w:r>
        <w:rPr>
          <w:lang w:eastAsia="en-GB"/>
        </w:rPr>
        <w:t>lacks</w:t>
      </w:r>
      <w:r w:rsidR="00C64050">
        <w:rPr>
          <w:lang w:eastAsia="en-GB"/>
        </w:rPr>
        <w:t xml:space="preserve"> </w:t>
      </w:r>
      <w:r w:rsidR="00117405">
        <w:rPr>
          <w:lang w:eastAsia="en-GB"/>
        </w:rPr>
        <w:t>any</w:t>
      </w:r>
      <w:r w:rsidR="00C64050">
        <w:rPr>
          <w:lang w:eastAsia="en-GB"/>
        </w:rPr>
        <w:t xml:space="preserve"> </w:t>
      </w:r>
      <w:r w:rsidR="00117405">
        <w:rPr>
          <w:lang w:eastAsia="en-GB"/>
        </w:rPr>
        <w:t>current</w:t>
      </w:r>
      <w:r w:rsidR="00C64050">
        <w:rPr>
          <w:lang w:eastAsia="en-GB"/>
        </w:rPr>
        <w:t xml:space="preserve"> </w:t>
      </w:r>
      <w:r w:rsidR="00117405">
        <w:rPr>
          <w:lang w:eastAsia="en-GB"/>
        </w:rPr>
        <w:t>beneficiaries.</w:t>
      </w:r>
      <w:r w:rsidR="00C64050">
        <w:rPr>
          <w:lang w:eastAsia="en-GB"/>
        </w:rPr>
        <w:t xml:space="preserve">  </w:t>
      </w:r>
      <w:r w:rsidR="00117405">
        <w:rPr>
          <w:lang w:eastAsia="en-GB"/>
        </w:rPr>
        <w:t>The</w:t>
      </w:r>
      <w:r w:rsidR="00C64050">
        <w:rPr>
          <w:lang w:eastAsia="en-GB"/>
        </w:rPr>
        <w:t xml:space="preserve"> </w:t>
      </w:r>
      <w:r w:rsidR="00117405">
        <w:rPr>
          <w:lang w:eastAsia="en-GB"/>
        </w:rPr>
        <w:t>client</w:t>
      </w:r>
      <w:r w:rsidR="00C64050">
        <w:rPr>
          <w:lang w:eastAsia="en-GB"/>
        </w:rPr>
        <w:t xml:space="preserve"> </w:t>
      </w:r>
      <w:r w:rsidR="00117405">
        <w:rPr>
          <w:lang w:eastAsia="en-GB"/>
        </w:rPr>
        <w:t>would</w:t>
      </w:r>
      <w:r w:rsidR="00C64050">
        <w:rPr>
          <w:lang w:eastAsia="en-GB"/>
        </w:rPr>
        <w:t xml:space="preserve"> </w:t>
      </w:r>
      <w:r w:rsidR="00117405">
        <w:rPr>
          <w:lang w:eastAsia="en-GB"/>
        </w:rPr>
        <w:t>retain</w:t>
      </w:r>
      <w:r w:rsidR="00C64050">
        <w:rPr>
          <w:lang w:eastAsia="en-GB"/>
        </w:rPr>
        <w:t xml:space="preserve"> </w:t>
      </w:r>
      <w:r w:rsidR="00117405">
        <w:rPr>
          <w:lang w:eastAsia="en-GB"/>
        </w:rPr>
        <w:t>a</w:t>
      </w:r>
      <w:r w:rsidR="00C64050">
        <w:rPr>
          <w:lang w:eastAsia="en-GB"/>
        </w:rPr>
        <w:t xml:space="preserve"> </w:t>
      </w:r>
      <w:r w:rsidR="00117405">
        <w:rPr>
          <w:lang w:eastAsia="en-GB"/>
        </w:rPr>
        <w:t>testamentary</w:t>
      </w:r>
      <w:r w:rsidR="00C64050">
        <w:rPr>
          <w:lang w:eastAsia="en-GB"/>
        </w:rPr>
        <w:t xml:space="preserve"> </w:t>
      </w:r>
      <w:r w:rsidR="00117405">
        <w:rPr>
          <w:lang w:eastAsia="en-GB"/>
        </w:rPr>
        <w:t>power</w:t>
      </w:r>
      <w:r w:rsidR="00C64050">
        <w:rPr>
          <w:lang w:eastAsia="en-GB"/>
        </w:rPr>
        <w:t xml:space="preserve"> </w:t>
      </w:r>
      <w:r w:rsidR="00117405">
        <w:rPr>
          <w:lang w:eastAsia="en-GB"/>
        </w:rPr>
        <w:t>of</w:t>
      </w:r>
      <w:r w:rsidR="00C64050">
        <w:rPr>
          <w:lang w:eastAsia="en-GB"/>
        </w:rPr>
        <w:t xml:space="preserve"> </w:t>
      </w:r>
      <w:r w:rsidR="00117405">
        <w:rPr>
          <w:lang w:eastAsia="en-GB"/>
        </w:rPr>
        <w:t>appointment</w:t>
      </w:r>
      <w:r w:rsidR="00C64050">
        <w:rPr>
          <w:lang w:eastAsia="en-GB"/>
        </w:rPr>
        <w:t xml:space="preserve"> </w:t>
      </w:r>
      <w:r w:rsidR="00117405">
        <w:rPr>
          <w:lang w:eastAsia="en-GB"/>
        </w:rPr>
        <w:t>thus</w:t>
      </w:r>
      <w:r w:rsidR="00C64050">
        <w:rPr>
          <w:lang w:eastAsia="en-GB"/>
        </w:rPr>
        <w:t xml:space="preserve"> </w:t>
      </w:r>
      <w:r w:rsidR="00117405">
        <w:rPr>
          <w:lang w:eastAsia="en-GB"/>
        </w:rPr>
        <w:t>making</w:t>
      </w:r>
      <w:r w:rsidR="00C64050">
        <w:rPr>
          <w:lang w:eastAsia="en-GB"/>
        </w:rPr>
        <w:t xml:space="preserve"> </w:t>
      </w:r>
      <w:r w:rsidR="00117405">
        <w:rPr>
          <w:lang w:eastAsia="en-GB"/>
        </w:rPr>
        <w:t>the</w:t>
      </w:r>
      <w:r w:rsidR="00C64050">
        <w:rPr>
          <w:lang w:eastAsia="en-GB"/>
        </w:rPr>
        <w:t xml:space="preserve"> </w:t>
      </w:r>
      <w:r w:rsidR="00117405">
        <w:rPr>
          <w:lang w:eastAsia="en-GB"/>
        </w:rPr>
        <w:t>gift</w:t>
      </w:r>
      <w:r w:rsidR="00C64050">
        <w:rPr>
          <w:lang w:eastAsia="en-GB"/>
        </w:rPr>
        <w:t xml:space="preserve"> </w:t>
      </w:r>
      <w:r w:rsidR="00117405">
        <w:rPr>
          <w:lang w:eastAsia="en-GB"/>
        </w:rPr>
        <w:t>incomplete</w:t>
      </w:r>
      <w:r w:rsidR="00C64050">
        <w:rPr>
          <w:lang w:eastAsia="en-GB"/>
        </w:rPr>
        <w:t xml:space="preserve"> </w:t>
      </w:r>
      <w:r w:rsidR="00117405">
        <w:rPr>
          <w:lang w:eastAsia="en-GB"/>
        </w:rPr>
        <w:t>but</w:t>
      </w:r>
      <w:r w:rsidR="00C64050">
        <w:rPr>
          <w:lang w:eastAsia="en-GB"/>
        </w:rPr>
        <w:t xml:space="preserve"> </w:t>
      </w:r>
      <w:r w:rsidR="00117405">
        <w:rPr>
          <w:lang w:eastAsia="en-GB"/>
        </w:rPr>
        <w:t>the</w:t>
      </w:r>
      <w:r w:rsidR="00C64050">
        <w:rPr>
          <w:lang w:eastAsia="en-GB"/>
        </w:rPr>
        <w:t xml:space="preserve"> </w:t>
      </w:r>
      <w:r w:rsidR="00117405">
        <w:rPr>
          <w:lang w:eastAsia="en-GB"/>
        </w:rPr>
        <w:t>assets</w:t>
      </w:r>
      <w:r w:rsidR="00C64050">
        <w:rPr>
          <w:lang w:eastAsia="en-GB"/>
        </w:rPr>
        <w:t xml:space="preserve"> </w:t>
      </w:r>
      <w:r>
        <w:rPr>
          <w:lang w:eastAsia="en-GB"/>
        </w:rPr>
        <w:t>would</w:t>
      </w:r>
      <w:r w:rsidR="00C64050">
        <w:rPr>
          <w:lang w:eastAsia="en-GB"/>
        </w:rPr>
        <w:t xml:space="preserve"> </w:t>
      </w:r>
      <w:r>
        <w:rPr>
          <w:lang w:eastAsia="en-GB"/>
        </w:rPr>
        <w:t>be</w:t>
      </w:r>
      <w:r w:rsidR="00C64050">
        <w:rPr>
          <w:lang w:eastAsia="en-GB"/>
        </w:rPr>
        <w:t xml:space="preserve"> </w:t>
      </w:r>
      <w:r w:rsidR="00117405">
        <w:rPr>
          <w:lang w:eastAsia="en-GB"/>
        </w:rPr>
        <w:t>includable</w:t>
      </w:r>
      <w:r w:rsidR="00C64050">
        <w:rPr>
          <w:lang w:eastAsia="en-GB"/>
        </w:rPr>
        <w:t xml:space="preserve"> </w:t>
      </w:r>
      <w:r w:rsidR="00117405">
        <w:rPr>
          <w:lang w:eastAsia="en-GB"/>
        </w:rPr>
        <w:t>in</w:t>
      </w:r>
      <w:r w:rsidR="00C64050">
        <w:rPr>
          <w:lang w:eastAsia="en-GB"/>
        </w:rPr>
        <w:t xml:space="preserve"> </w:t>
      </w:r>
      <w:r w:rsidR="00117405">
        <w:rPr>
          <w:lang w:eastAsia="en-GB"/>
        </w:rPr>
        <w:t>the</w:t>
      </w:r>
      <w:r w:rsidR="00C64050">
        <w:rPr>
          <w:lang w:eastAsia="en-GB"/>
        </w:rPr>
        <w:t xml:space="preserve"> </w:t>
      </w:r>
      <w:r w:rsidR="00117405">
        <w:rPr>
          <w:lang w:eastAsia="en-GB"/>
        </w:rPr>
        <w:t>client’s</w:t>
      </w:r>
      <w:r w:rsidR="00C64050">
        <w:rPr>
          <w:lang w:eastAsia="en-GB"/>
        </w:rPr>
        <w:t xml:space="preserve"> </w:t>
      </w:r>
      <w:r w:rsidR="00117405">
        <w:rPr>
          <w:lang w:eastAsia="en-GB"/>
        </w:rPr>
        <w:t>estate.</w:t>
      </w:r>
      <w:r w:rsidR="00C64050">
        <w:rPr>
          <w:lang w:eastAsia="en-GB"/>
        </w:rPr>
        <w:t xml:space="preserve">  </w:t>
      </w:r>
      <w:r w:rsidR="00117405">
        <w:rPr>
          <w:lang w:eastAsia="en-GB"/>
        </w:rPr>
        <w:t>The</w:t>
      </w:r>
      <w:r w:rsidR="00C64050">
        <w:rPr>
          <w:lang w:eastAsia="en-GB"/>
        </w:rPr>
        <w:t xml:space="preserve"> </w:t>
      </w:r>
      <w:r w:rsidR="00117405">
        <w:rPr>
          <w:lang w:eastAsia="en-GB"/>
        </w:rPr>
        <w:t>trustee</w:t>
      </w:r>
      <w:r w:rsidR="00C64050">
        <w:rPr>
          <w:lang w:eastAsia="en-GB"/>
        </w:rPr>
        <w:t xml:space="preserve"> </w:t>
      </w:r>
      <w:r w:rsidR="00117405">
        <w:rPr>
          <w:lang w:eastAsia="en-GB"/>
        </w:rPr>
        <w:t>would</w:t>
      </w:r>
      <w:r w:rsidR="00C64050">
        <w:rPr>
          <w:lang w:eastAsia="en-GB"/>
        </w:rPr>
        <w:t xml:space="preserve"> </w:t>
      </w:r>
      <w:r w:rsidR="00117405">
        <w:rPr>
          <w:lang w:eastAsia="en-GB"/>
        </w:rPr>
        <w:t>engage</w:t>
      </w:r>
      <w:r w:rsidR="00C64050">
        <w:rPr>
          <w:lang w:eastAsia="en-GB"/>
        </w:rPr>
        <w:t xml:space="preserve"> </w:t>
      </w:r>
      <w:r w:rsidR="00117405">
        <w:rPr>
          <w:lang w:eastAsia="en-GB"/>
        </w:rPr>
        <w:t>in</w:t>
      </w:r>
      <w:r w:rsidR="00C64050">
        <w:rPr>
          <w:lang w:eastAsia="en-GB"/>
        </w:rPr>
        <w:t xml:space="preserve"> </w:t>
      </w:r>
      <w:r w:rsidR="00117405">
        <w:rPr>
          <w:lang w:eastAsia="en-GB"/>
        </w:rPr>
        <w:t>the</w:t>
      </w:r>
      <w:r w:rsidR="00C64050">
        <w:rPr>
          <w:lang w:eastAsia="en-GB"/>
        </w:rPr>
        <w:t xml:space="preserve"> </w:t>
      </w:r>
      <w:r w:rsidR="00117405">
        <w:rPr>
          <w:lang w:eastAsia="en-GB"/>
        </w:rPr>
        <w:t>discount</w:t>
      </w:r>
      <w:r w:rsidR="00C64050">
        <w:rPr>
          <w:lang w:eastAsia="en-GB"/>
        </w:rPr>
        <w:t xml:space="preserve"> </w:t>
      </w:r>
      <w:r w:rsidR="00117405">
        <w:rPr>
          <w:lang w:eastAsia="en-GB"/>
        </w:rPr>
        <w:t>planning,</w:t>
      </w:r>
      <w:r w:rsidR="00C64050">
        <w:rPr>
          <w:lang w:eastAsia="en-GB"/>
        </w:rPr>
        <w:t xml:space="preserve"> </w:t>
      </w:r>
      <w:r w:rsidR="00117405">
        <w:rPr>
          <w:lang w:eastAsia="en-GB"/>
        </w:rPr>
        <w:t>presumably</w:t>
      </w:r>
      <w:r w:rsidR="00C64050">
        <w:rPr>
          <w:lang w:eastAsia="en-GB"/>
        </w:rPr>
        <w:t xml:space="preserve"> </w:t>
      </w:r>
      <w:r w:rsidR="00117405">
        <w:rPr>
          <w:lang w:eastAsia="en-GB"/>
        </w:rPr>
        <w:t>under</w:t>
      </w:r>
      <w:r w:rsidR="00C64050">
        <w:rPr>
          <w:lang w:eastAsia="en-GB"/>
        </w:rPr>
        <w:t xml:space="preserve"> </w:t>
      </w:r>
      <w:r w:rsidR="00117405">
        <w:rPr>
          <w:lang w:eastAsia="en-GB"/>
        </w:rPr>
        <w:t>specific</w:t>
      </w:r>
      <w:r w:rsidR="00C64050">
        <w:rPr>
          <w:lang w:eastAsia="en-GB"/>
        </w:rPr>
        <w:t xml:space="preserve"> </w:t>
      </w:r>
      <w:r w:rsidR="00117405">
        <w:rPr>
          <w:lang w:eastAsia="en-GB"/>
        </w:rPr>
        <w:t>authority</w:t>
      </w:r>
      <w:r w:rsidR="00C64050">
        <w:rPr>
          <w:lang w:eastAsia="en-GB"/>
        </w:rPr>
        <w:t xml:space="preserve"> </w:t>
      </w:r>
      <w:r>
        <w:rPr>
          <w:lang w:eastAsia="en-GB"/>
        </w:rPr>
        <w:t>in</w:t>
      </w:r>
      <w:r w:rsidR="00C64050">
        <w:rPr>
          <w:lang w:eastAsia="en-GB"/>
        </w:rPr>
        <w:t xml:space="preserve"> </w:t>
      </w:r>
      <w:r>
        <w:rPr>
          <w:lang w:eastAsia="en-GB"/>
        </w:rPr>
        <w:t>the</w:t>
      </w:r>
      <w:r w:rsidR="00C64050">
        <w:rPr>
          <w:lang w:eastAsia="en-GB"/>
        </w:rPr>
        <w:t xml:space="preserve"> </w:t>
      </w:r>
      <w:r>
        <w:rPr>
          <w:lang w:eastAsia="en-GB"/>
        </w:rPr>
        <w:t>trust</w:t>
      </w:r>
      <w:r w:rsidR="00117405">
        <w:rPr>
          <w:lang w:eastAsia="en-GB"/>
        </w:rPr>
        <w:t>.</w:t>
      </w:r>
      <w:r w:rsidR="00C64050">
        <w:rPr>
          <w:lang w:eastAsia="en-GB"/>
        </w:rPr>
        <w:t xml:space="preserve">  </w:t>
      </w:r>
      <w:r>
        <w:rPr>
          <w:lang w:eastAsia="en-GB"/>
        </w:rPr>
        <w:t>The</w:t>
      </w:r>
      <w:r w:rsidR="00C64050">
        <w:rPr>
          <w:lang w:eastAsia="en-GB"/>
        </w:rPr>
        <w:t xml:space="preserve"> </w:t>
      </w:r>
      <w:r>
        <w:rPr>
          <w:lang w:eastAsia="en-GB"/>
        </w:rPr>
        <w:t>decedent</w:t>
      </w:r>
      <w:r w:rsidR="00C64050">
        <w:rPr>
          <w:lang w:eastAsia="en-GB"/>
        </w:rPr>
        <w:t xml:space="preserve"> </w:t>
      </w:r>
      <w:r>
        <w:rPr>
          <w:lang w:eastAsia="en-GB"/>
        </w:rPr>
        <w:t>would</w:t>
      </w:r>
      <w:r w:rsidR="00C64050">
        <w:rPr>
          <w:lang w:eastAsia="en-GB"/>
        </w:rPr>
        <w:t xml:space="preserve"> </w:t>
      </w:r>
      <w:r>
        <w:rPr>
          <w:lang w:eastAsia="en-GB"/>
        </w:rPr>
        <w:t>never</w:t>
      </w:r>
      <w:r w:rsidR="00C64050">
        <w:rPr>
          <w:lang w:eastAsia="en-GB"/>
        </w:rPr>
        <w:t xml:space="preserve"> </w:t>
      </w:r>
      <w:r>
        <w:rPr>
          <w:lang w:eastAsia="en-GB"/>
        </w:rPr>
        <w:t>have</w:t>
      </w:r>
      <w:r w:rsidR="00C64050">
        <w:rPr>
          <w:lang w:eastAsia="en-GB"/>
        </w:rPr>
        <w:t xml:space="preserve"> </w:t>
      </w:r>
      <w:r>
        <w:rPr>
          <w:lang w:eastAsia="en-GB"/>
        </w:rPr>
        <w:t>had</w:t>
      </w:r>
      <w:r w:rsidR="00C64050">
        <w:rPr>
          <w:lang w:eastAsia="en-GB"/>
        </w:rPr>
        <w:t xml:space="preserve"> </w:t>
      </w:r>
      <w:r>
        <w:rPr>
          <w:lang w:eastAsia="en-GB"/>
        </w:rPr>
        <w:t>any</w:t>
      </w:r>
      <w:r w:rsidR="00C64050">
        <w:rPr>
          <w:lang w:eastAsia="en-GB"/>
        </w:rPr>
        <w:t xml:space="preserve"> </w:t>
      </w:r>
      <w:r>
        <w:rPr>
          <w:lang w:eastAsia="en-GB"/>
        </w:rPr>
        <w:t>liquidation</w:t>
      </w:r>
      <w:r w:rsidR="00C64050">
        <w:rPr>
          <w:lang w:eastAsia="en-GB"/>
        </w:rPr>
        <w:t xml:space="preserve"> </w:t>
      </w:r>
      <w:r>
        <w:rPr>
          <w:lang w:eastAsia="en-GB"/>
        </w:rPr>
        <w:t>right</w:t>
      </w:r>
      <w:r w:rsidR="00C64050">
        <w:rPr>
          <w:lang w:eastAsia="en-GB"/>
        </w:rPr>
        <w:t xml:space="preserve"> </w:t>
      </w:r>
      <w:r>
        <w:rPr>
          <w:lang w:eastAsia="en-GB"/>
        </w:rPr>
        <w:t>or</w:t>
      </w:r>
      <w:r w:rsidR="00C64050">
        <w:rPr>
          <w:lang w:eastAsia="en-GB"/>
        </w:rPr>
        <w:t xml:space="preserve"> </w:t>
      </w:r>
      <w:r>
        <w:rPr>
          <w:lang w:eastAsia="en-GB"/>
        </w:rPr>
        <w:t>other</w:t>
      </w:r>
      <w:r w:rsidR="00C64050">
        <w:rPr>
          <w:lang w:eastAsia="en-GB"/>
        </w:rPr>
        <w:t xml:space="preserve"> </w:t>
      </w:r>
      <w:r>
        <w:rPr>
          <w:lang w:eastAsia="en-GB"/>
        </w:rPr>
        <w:t>section</w:t>
      </w:r>
      <w:r w:rsidR="00C64050">
        <w:rPr>
          <w:lang w:eastAsia="en-GB"/>
        </w:rPr>
        <w:t xml:space="preserve"> </w:t>
      </w:r>
      <w:r>
        <w:rPr>
          <w:lang w:eastAsia="en-GB"/>
        </w:rPr>
        <w:t>2036(a)(2)</w:t>
      </w:r>
      <w:r w:rsidR="00C64050">
        <w:rPr>
          <w:lang w:eastAsia="en-GB"/>
        </w:rPr>
        <w:t xml:space="preserve"> </w:t>
      </w:r>
      <w:r>
        <w:rPr>
          <w:lang w:eastAsia="en-GB"/>
        </w:rPr>
        <w:t>right</w:t>
      </w:r>
      <w:r w:rsidR="00C64050">
        <w:rPr>
          <w:lang w:eastAsia="en-GB"/>
        </w:rPr>
        <w:t xml:space="preserve"> </w:t>
      </w:r>
      <w:r w:rsidR="000C1E77">
        <w:rPr>
          <w:lang w:eastAsia="en-GB"/>
        </w:rPr>
        <w:t>unless</w:t>
      </w:r>
      <w:r w:rsidR="00C64050">
        <w:rPr>
          <w:lang w:eastAsia="en-GB"/>
        </w:rPr>
        <w:t xml:space="preserve"> </w:t>
      </w:r>
      <w:r w:rsidR="000C1E77">
        <w:rPr>
          <w:lang w:eastAsia="en-GB"/>
        </w:rPr>
        <w:t>such</w:t>
      </w:r>
      <w:r w:rsidR="00C64050">
        <w:rPr>
          <w:lang w:eastAsia="en-GB"/>
        </w:rPr>
        <w:t xml:space="preserve"> </w:t>
      </w:r>
      <w:r w:rsidR="000C1E77">
        <w:rPr>
          <w:lang w:eastAsia="en-GB"/>
        </w:rPr>
        <w:t>were</w:t>
      </w:r>
      <w:r w:rsidR="00C64050">
        <w:rPr>
          <w:lang w:eastAsia="en-GB"/>
        </w:rPr>
        <w:t xml:space="preserve"> </w:t>
      </w:r>
      <w:r w:rsidR="000C1E77">
        <w:rPr>
          <w:lang w:eastAsia="en-GB"/>
        </w:rPr>
        <w:t>somehow</w:t>
      </w:r>
      <w:r w:rsidR="00C64050">
        <w:rPr>
          <w:lang w:eastAsia="en-GB"/>
        </w:rPr>
        <w:t xml:space="preserve"> </w:t>
      </w:r>
      <w:r w:rsidR="000C1E77">
        <w:rPr>
          <w:lang w:eastAsia="en-GB"/>
        </w:rPr>
        <w:t>imputed</w:t>
      </w:r>
      <w:r w:rsidR="00C64050">
        <w:rPr>
          <w:lang w:eastAsia="en-GB"/>
        </w:rPr>
        <w:t xml:space="preserve"> </w:t>
      </w:r>
      <w:r w:rsidR="000C1E77">
        <w:rPr>
          <w:lang w:eastAsia="en-GB"/>
        </w:rPr>
        <w:t>through</w:t>
      </w:r>
      <w:r w:rsidR="00C64050">
        <w:rPr>
          <w:lang w:eastAsia="en-GB"/>
        </w:rPr>
        <w:t xml:space="preserve"> </w:t>
      </w:r>
      <w:r w:rsidR="000C1E77">
        <w:rPr>
          <w:lang w:eastAsia="en-GB"/>
        </w:rPr>
        <w:t>the</w:t>
      </w:r>
      <w:r w:rsidR="00C64050">
        <w:rPr>
          <w:lang w:eastAsia="en-GB"/>
        </w:rPr>
        <w:t xml:space="preserve"> </w:t>
      </w:r>
      <w:r w:rsidR="000C1E77">
        <w:rPr>
          <w:lang w:eastAsia="en-GB"/>
        </w:rPr>
        <w:t>trust</w:t>
      </w:r>
      <w:r w:rsidR="00C64050">
        <w:rPr>
          <w:lang w:eastAsia="en-GB"/>
        </w:rPr>
        <w:t xml:space="preserve"> </w:t>
      </w:r>
      <w:r w:rsidR="000C1E77">
        <w:rPr>
          <w:lang w:eastAsia="en-GB"/>
        </w:rPr>
        <w:t>to</w:t>
      </w:r>
      <w:r w:rsidR="00C64050">
        <w:rPr>
          <w:lang w:eastAsia="en-GB"/>
        </w:rPr>
        <w:t xml:space="preserve"> </w:t>
      </w:r>
      <w:r w:rsidR="000C1E77">
        <w:rPr>
          <w:lang w:eastAsia="en-GB"/>
        </w:rPr>
        <w:t>the</w:t>
      </w:r>
      <w:r w:rsidR="00C64050">
        <w:rPr>
          <w:lang w:eastAsia="en-GB"/>
        </w:rPr>
        <w:t xml:space="preserve"> </w:t>
      </w:r>
      <w:r w:rsidR="000C1E77">
        <w:rPr>
          <w:lang w:eastAsia="en-GB"/>
        </w:rPr>
        <w:t>grantor.</w:t>
      </w:r>
    </w:p>
    <w:p w:rsidR="00BF3445" w:rsidRDefault="00BF3445" w:rsidP="00874E54">
      <w:pPr>
        <w:pStyle w:val="Body15"/>
        <w:rPr>
          <w:lang w:eastAsia="en-GB"/>
        </w:rPr>
      </w:pPr>
      <w:r>
        <w:rPr>
          <w:lang w:eastAsia="en-GB"/>
        </w:rPr>
        <w:t>Another</w:t>
      </w:r>
      <w:r w:rsidR="00C64050">
        <w:rPr>
          <w:lang w:eastAsia="en-GB"/>
        </w:rPr>
        <w:t xml:space="preserve"> </w:t>
      </w:r>
      <w:r>
        <w:rPr>
          <w:lang w:eastAsia="en-GB"/>
        </w:rPr>
        <w:t>approach</w:t>
      </w:r>
      <w:r w:rsidR="00C64050">
        <w:rPr>
          <w:lang w:eastAsia="en-GB"/>
        </w:rPr>
        <w:t xml:space="preserve"> </w:t>
      </w:r>
      <w:r>
        <w:rPr>
          <w:lang w:eastAsia="en-GB"/>
        </w:rPr>
        <w:t>is</w:t>
      </w:r>
      <w:r w:rsidR="00C64050">
        <w:rPr>
          <w:lang w:eastAsia="en-GB"/>
        </w:rPr>
        <w:t xml:space="preserve"> </w:t>
      </w:r>
      <w:r>
        <w:rPr>
          <w:lang w:eastAsia="en-GB"/>
        </w:rPr>
        <w:t>to</w:t>
      </w:r>
      <w:r w:rsidR="00C64050">
        <w:rPr>
          <w:lang w:eastAsia="en-GB"/>
        </w:rPr>
        <w:t xml:space="preserve"> </w:t>
      </w:r>
      <w:r>
        <w:rPr>
          <w:lang w:eastAsia="en-GB"/>
        </w:rPr>
        <w:t>sell</w:t>
      </w:r>
      <w:r w:rsidR="00C64050">
        <w:rPr>
          <w:lang w:eastAsia="en-GB"/>
        </w:rPr>
        <w:t xml:space="preserve"> </w:t>
      </w:r>
      <w:r>
        <w:rPr>
          <w:lang w:eastAsia="en-GB"/>
        </w:rPr>
        <w:t>the</w:t>
      </w:r>
      <w:r w:rsidR="00C64050">
        <w:rPr>
          <w:lang w:eastAsia="en-GB"/>
        </w:rPr>
        <w:t xml:space="preserve"> </w:t>
      </w:r>
      <w:r>
        <w:rPr>
          <w:lang w:eastAsia="en-GB"/>
        </w:rPr>
        <w:t>decedent’s</w:t>
      </w:r>
      <w:r w:rsidR="00C64050">
        <w:rPr>
          <w:lang w:eastAsia="en-GB"/>
        </w:rPr>
        <w:t xml:space="preserve"> </w:t>
      </w:r>
      <w:r>
        <w:rPr>
          <w:lang w:eastAsia="en-GB"/>
        </w:rPr>
        <w:t>interest</w:t>
      </w:r>
      <w:r w:rsidR="00C64050">
        <w:rPr>
          <w:lang w:eastAsia="en-GB"/>
        </w:rPr>
        <w:t xml:space="preserve"> </w:t>
      </w:r>
      <w:r>
        <w:rPr>
          <w:lang w:eastAsia="en-GB"/>
        </w:rPr>
        <w:t>in</w:t>
      </w:r>
      <w:r w:rsidR="00C64050">
        <w:rPr>
          <w:lang w:eastAsia="en-GB"/>
        </w:rPr>
        <w:t xml:space="preserve"> </w:t>
      </w:r>
      <w:r>
        <w:rPr>
          <w:lang w:eastAsia="en-GB"/>
        </w:rPr>
        <w:t>the</w:t>
      </w:r>
      <w:r w:rsidR="00C64050">
        <w:rPr>
          <w:lang w:eastAsia="en-GB"/>
        </w:rPr>
        <w:t xml:space="preserve"> </w:t>
      </w:r>
      <w:r>
        <w:rPr>
          <w:lang w:eastAsia="en-GB"/>
        </w:rPr>
        <w:t>entity.</w:t>
      </w:r>
      <w:r w:rsidR="00C64050">
        <w:rPr>
          <w:lang w:eastAsia="en-GB"/>
        </w:rPr>
        <w:t xml:space="preserve">  </w:t>
      </w:r>
      <w:r>
        <w:rPr>
          <w:lang w:eastAsia="en-GB"/>
        </w:rPr>
        <w:t>The</w:t>
      </w:r>
      <w:r w:rsidR="00C64050">
        <w:rPr>
          <w:lang w:eastAsia="en-GB"/>
        </w:rPr>
        <w:t xml:space="preserve"> </w:t>
      </w:r>
      <w:r>
        <w:rPr>
          <w:lang w:eastAsia="en-GB"/>
        </w:rPr>
        <w:t>issue</w:t>
      </w:r>
      <w:r w:rsidR="00C64050">
        <w:rPr>
          <w:lang w:eastAsia="en-GB"/>
        </w:rPr>
        <w:t xml:space="preserve"> </w:t>
      </w:r>
      <w:r>
        <w:rPr>
          <w:lang w:eastAsia="en-GB"/>
        </w:rPr>
        <w:t>there</w:t>
      </w:r>
      <w:r w:rsidR="00C64050">
        <w:rPr>
          <w:lang w:eastAsia="en-GB"/>
        </w:rPr>
        <w:t xml:space="preserve"> </w:t>
      </w:r>
      <w:r>
        <w:rPr>
          <w:lang w:eastAsia="en-GB"/>
        </w:rPr>
        <w:t>is</w:t>
      </w:r>
      <w:r w:rsidR="00C64050">
        <w:rPr>
          <w:lang w:eastAsia="en-GB"/>
        </w:rPr>
        <w:t xml:space="preserve"> </w:t>
      </w:r>
      <w:r>
        <w:rPr>
          <w:lang w:eastAsia="en-GB"/>
        </w:rPr>
        <w:t>whether</w:t>
      </w:r>
      <w:r w:rsidR="00C64050">
        <w:rPr>
          <w:lang w:eastAsia="en-GB"/>
        </w:rPr>
        <w:t xml:space="preserve"> </w:t>
      </w:r>
      <w:r>
        <w:rPr>
          <w:lang w:eastAsia="en-GB"/>
        </w:rPr>
        <w:t>if</w:t>
      </w:r>
      <w:r w:rsidR="00C64050">
        <w:rPr>
          <w:lang w:eastAsia="en-GB"/>
        </w:rPr>
        <w:t xml:space="preserve"> </w:t>
      </w:r>
      <w:r>
        <w:rPr>
          <w:lang w:eastAsia="en-GB"/>
        </w:rPr>
        <w:t>the</w:t>
      </w:r>
      <w:r w:rsidR="00C64050">
        <w:rPr>
          <w:lang w:eastAsia="en-GB"/>
        </w:rPr>
        <w:t xml:space="preserve"> </w:t>
      </w:r>
      <w:r>
        <w:rPr>
          <w:lang w:eastAsia="en-GB"/>
        </w:rPr>
        <w:t>sale</w:t>
      </w:r>
      <w:r w:rsidR="00C64050">
        <w:rPr>
          <w:lang w:eastAsia="en-GB"/>
        </w:rPr>
        <w:t xml:space="preserve"> </w:t>
      </w:r>
      <w:r>
        <w:rPr>
          <w:lang w:eastAsia="en-GB"/>
        </w:rPr>
        <w:t>is</w:t>
      </w:r>
      <w:r w:rsidR="00C64050">
        <w:rPr>
          <w:lang w:eastAsia="en-GB"/>
        </w:rPr>
        <w:t xml:space="preserve"> </w:t>
      </w:r>
      <w:r>
        <w:rPr>
          <w:lang w:eastAsia="en-GB"/>
        </w:rPr>
        <w:t>for</w:t>
      </w:r>
      <w:r w:rsidR="00C64050">
        <w:rPr>
          <w:lang w:eastAsia="en-GB"/>
        </w:rPr>
        <w:t xml:space="preserve"> </w:t>
      </w:r>
      <w:r>
        <w:rPr>
          <w:lang w:eastAsia="en-GB"/>
        </w:rPr>
        <w:t>less</w:t>
      </w:r>
      <w:r w:rsidR="00C64050">
        <w:rPr>
          <w:lang w:eastAsia="en-GB"/>
        </w:rPr>
        <w:t xml:space="preserve"> </w:t>
      </w:r>
      <w:r>
        <w:rPr>
          <w:lang w:eastAsia="en-GB"/>
        </w:rPr>
        <w:t>than</w:t>
      </w:r>
      <w:r w:rsidR="00C64050">
        <w:rPr>
          <w:lang w:eastAsia="en-GB"/>
        </w:rPr>
        <w:t xml:space="preserve"> </w:t>
      </w:r>
      <w:r>
        <w:rPr>
          <w:lang w:eastAsia="en-GB"/>
        </w:rPr>
        <w:t>would</w:t>
      </w:r>
      <w:r w:rsidR="00C64050">
        <w:rPr>
          <w:lang w:eastAsia="en-GB"/>
        </w:rPr>
        <w:t xml:space="preserve"> </w:t>
      </w:r>
      <w:r>
        <w:rPr>
          <w:lang w:eastAsia="en-GB"/>
        </w:rPr>
        <w:t>be</w:t>
      </w:r>
      <w:r w:rsidR="00C64050">
        <w:rPr>
          <w:lang w:eastAsia="en-GB"/>
        </w:rPr>
        <w:t xml:space="preserve"> </w:t>
      </w:r>
      <w:r>
        <w:rPr>
          <w:lang w:eastAsia="en-GB"/>
        </w:rPr>
        <w:t>included</w:t>
      </w:r>
      <w:r w:rsidR="00C64050">
        <w:rPr>
          <w:lang w:eastAsia="en-GB"/>
        </w:rPr>
        <w:t xml:space="preserve"> </w:t>
      </w:r>
      <w:r>
        <w:rPr>
          <w:lang w:eastAsia="en-GB"/>
        </w:rPr>
        <w:t>in</w:t>
      </w:r>
      <w:r w:rsidR="00C64050">
        <w:rPr>
          <w:lang w:eastAsia="en-GB"/>
        </w:rPr>
        <w:t xml:space="preserve"> </w:t>
      </w:r>
      <w:r>
        <w:rPr>
          <w:lang w:eastAsia="en-GB"/>
        </w:rPr>
        <w:t>the</w:t>
      </w:r>
      <w:r w:rsidR="00C64050">
        <w:rPr>
          <w:lang w:eastAsia="en-GB"/>
        </w:rPr>
        <w:t xml:space="preserve"> </w:t>
      </w:r>
      <w:r>
        <w:rPr>
          <w:lang w:eastAsia="en-GB"/>
        </w:rPr>
        <w:t>decedent/seller’s</w:t>
      </w:r>
      <w:r w:rsidR="00C64050">
        <w:rPr>
          <w:lang w:eastAsia="en-GB"/>
        </w:rPr>
        <w:t xml:space="preserve"> </w:t>
      </w:r>
      <w:r>
        <w:rPr>
          <w:lang w:eastAsia="en-GB"/>
        </w:rPr>
        <w:t>estate</w:t>
      </w:r>
      <w:r w:rsidR="00C64050">
        <w:rPr>
          <w:lang w:eastAsia="en-GB"/>
        </w:rPr>
        <w:t xml:space="preserve"> </w:t>
      </w:r>
      <w:r>
        <w:rPr>
          <w:lang w:eastAsia="en-GB"/>
        </w:rPr>
        <w:t>did</w:t>
      </w:r>
      <w:r w:rsidR="00C64050">
        <w:rPr>
          <w:lang w:eastAsia="en-GB"/>
        </w:rPr>
        <w:t xml:space="preserve"> </w:t>
      </w:r>
      <w:r>
        <w:rPr>
          <w:lang w:eastAsia="en-GB"/>
        </w:rPr>
        <w:t>the</w:t>
      </w:r>
      <w:r w:rsidR="00C64050">
        <w:rPr>
          <w:lang w:eastAsia="en-GB"/>
        </w:rPr>
        <w:t xml:space="preserve"> </w:t>
      </w:r>
      <w:r>
        <w:rPr>
          <w:lang w:eastAsia="en-GB"/>
        </w:rPr>
        <w:t>decedent/seller</w:t>
      </w:r>
      <w:r w:rsidR="00C64050">
        <w:rPr>
          <w:lang w:eastAsia="en-GB"/>
        </w:rPr>
        <w:t xml:space="preserve"> </w:t>
      </w:r>
      <w:r>
        <w:rPr>
          <w:lang w:eastAsia="en-GB"/>
        </w:rPr>
        <w:t>receive</w:t>
      </w:r>
      <w:r w:rsidR="00C64050">
        <w:rPr>
          <w:lang w:eastAsia="en-GB"/>
        </w:rPr>
        <w:t xml:space="preserve"> </w:t>
      </w:r>
      <w:r>
        <w:rPr>
          <w:lang w:eastAsia="en-GB"/>
        </w:rPr>
        <w:t>full</w:t>
      </w:r>
      <w:r w:rsidR="00C64050">
        <w:rPr>
          <w:lang w:eastAsia="en-GB"/>
        </w:rPr>
        <w:t xml:space="preserve"> </w:t>
      </w:r>
      <w:r>
        <w:rPr>
          <w:lang w:eastAsia="en-GB"/>
        </w:rPr>
        <w:t>consideration.</w:t>
      </w:r>
      <w:r w:rsidR="00C64050">
        <w:rPr>
          <w:lang w:eastAsia="en-GB"/>
        </w:rPr>
        <w:t xml:space="preserve">  </w:t>
      </w:r>
      <w:r>
        <w:rPr>
          <w:lang w:eastAsia="en-GB"/>
        </w:rPr>
        <w:t>In</w:t>
      </w:r>
      <w:r w:rsidR="00C64050">
        <w:rPr>
          <w:lang w:eastAsia="en-GB"/>
        </w:rPr>
        <w:t xml:space="preserve"> </w:t>
      </w:r>
      <w:r>
        <w:rPr>
          <w:u w:val="single"/>
          <w:lang w:eastAsia="en-GB"/>
        </w:rPr>
        <w:t>United</w:t>
      </w:r>
      <w:r w:rsidR="00C64050">
        <w:rPr>
          <w:u w:val="single"/>
          <w:lang w:eastAsia="en-GB"/>
        </w:rPr>
        <w:t xml:space="preserve"> </w:t>
      </w:r>
      <w:r>
        <w:rPr>
          <w:u w:val="single"/>
          <w:lang w:eastAsia="en-GB"/>
        </w:rPr>
        <w:t>States</w:t>
      </w:r>
      <w:r w:rsidR="00C64050">
        <w:rPr>
          <w:u w:val="single"/>
          <w:lang w:eastAsia="en-GB"/>
        </w:rPr>
        <w:t xml:space="preserve"> </w:t>
      </w:r>
      <w:r>
        <w:rPr>
          <w:u w:val="single"/>
          <w:lang w:eastAsia="en-GB"/>
        </w:rPr>
        <w:t>v.</w:t>
      </w:r>
      <w:r w:rsidR="00C64050">
        <w:rPr>
          <w:u w:val="single"/>
          <w:lang w:eastAsia="en-GB"/>
        </w:rPr>
        <w:t xml:space="preserve"> </w:t>
      </w:r>
      <w:r>
        <w:rPr>
          <w:u w:val="single"/>
          <w:lang w:eastAsia="en-GB"/>
        </w:rPr>
        <w:t>Allen</w:t>
      </w:r>
      <w:r w:rsidR="00D44E8E">
        <w:rPr>
          <w:lang w:eastAsia="en-GB"/>
        </w:rPr>
        <w:t>,</w:t>
      </w:r>
      <w:r w:rsidR="00C64050">
        <w:rPr>
          <w:lang w:eastAsia="en-GB"/>
        </w:rPr>
        <w:t xml:space="preserve"> </w:t>
      </w:r>
      <w:r w:rsidR="00D44E8E">
        <w:rPr>
          <w:lang w:eastAsia="en-GB"/>
        </w:rPr>
        <w:t>293</w:t>
      </w:r>
      <w:r w:rsidR="00C64050">
        <w:rPr>
          <w:lang w:eastAsia="en-GB"/>
        </w:rPr>
        <w:t xml:space="preserve"> </w:t>
      </w:r>
      <w:r w:rsidR="00D44E8E">
        <w:rPr>
          <w:lang w:eastAsia="en-GB"/>
        </w:rPr>
        <w:t>F.2d</w:t>
      </w:r>
      <w:r w:rsidR="00C64050">
        <w:rPr>
          <w:lang w:eastAsia="en-GB"/>
        </w:rPr>
        <w:t xml:space="preserve"> </w:t>
      </w:r>
      <w:r w:rsidR="00D44E8E">
        <w:rPr>
          <w:lang w:eastAsia="en-GB"/>
        </w:rPr>
        <w:t>916</w:t>
      </w:r>
      <w:r w:rsidR="00C64050">
        <w:rPr>
          <w:lang w:eastAsia="en-GB"/>
        </w:rPr>
        <w:t xml:space="preserve"> </w:t>
      </w:r>
      <w:r w:rsidR="00D44E8E">
        <w:rPr>
          <w:lang w:eastAsia="en-GB"/>
        </w:rPr>
        <w:t>(10</w:t>
      </w:r>
      <w:r w:rsidR="00D44E8E" w:rsidRPr="00D44E8E">
        <w:rPr>
          <w:vertAlign w:val="superscript"/>
          <w:lang w:eastAsia="en-GB"/>
        </w:rPr>
        <w:t>th</w:t>
      </w:r>
      <w:r w:rsidR="00C64050">
        <w:rPr>
          <w:lang w:eastAsia="en-GB"/>
        </w:rPr>
        <w:t xml:space="preserve"> </w:t>
      </w:r>
      <w:r w:rsidR="00D44E8E">
        <w:rPr>
          <w:lang w:eastAsia="en-GB"/>
        </w:rPr>
        <w:t>Cir.</w:t>
      </w:r>
      <w:r w:rsidR="00C64050">
        <w:rPr>
          <w:lang w:eastAsia="en-GB"/>
        </w:rPr>
        <w:t xml:space="preserve"> </w:t>
      </w:r>
      <w:r w:rsidR="00D44E8E">
        <w:rPr>
          <w:lang w:eastAsia="en-GB"/>
        </w:rPr>
        <w:t>1961)</w:t>
      </w:r>
      <w:r w:rsidR="00C64050">
        <w:rPr>
          <w:lang w:eastAsia="en-GB"/>
        </w:rPr>
        <w:t xml:space="preserve"> </w:t>
      </w:r>
      <w:r w:rsidR="00D44E8E">
        <w:rPr>
          <w:lang w:eastAsia="en-GB"/>
        </w:rPr>
        <w:t>the</w:t>
      </w:r>
      <w:r w:rsidR="00C64050">
        <w:rPr>
          <w:lang w:eastAsia="en-GB"/>
        </w:rPr>
        <w:t xml:space="preserve"> </w:t>
      </w:r>
      <w:r w:rsidR="00D44E8E">
        <w:rPr>
          <w:lang w:eastAsia="en-GB"/>
        </w:rPr>
        <w:t>decedent</w:t>
      </w:r>
      <w:r w:rsidR="00C64050">
        <w:rPr>
          <w:lang w:eastAsia="en-GB"/>
        </w:rPr>
        <w:t xml:space="preserve"> </w:t>
      </w:r>
      <w:r w:rsidR="00D44E8E">
        <w:rPr>
          <w:lang w:eastAsia="en-GB"/>
        </w:rPr>
        <w:t>created</w:t>
      </w:r>
      <w:r w:rsidR="00C64050">
        <w:rPr>
          <w:lang w:eastAsia="en-GB"/>
        </w:rPr>
        <w:t xml:space="preserve"> </w:t>
      </w:r>
      <w:r w:rsidR="00D44E8E">
        <w:rPr>
          <w:lang w:eastAsia="en-GB"/>
        </w:rPr>
        <w:t>a</w:t>
      </w:r>
      <w:r w:rsidR="00C64050">
        <w:rPr>
          <w:lang w:eastAsia="en-GB"/>
        </w:rPr>
        <w:t xml:space="preserve"> </w:t>
      </w:r>
      <w:r w:rsidR="00D44E8E">
        <w:rPr>
          <w:lang w:eastAsia="en-GB"/>
        </w:rPr>
        <w:t>trust</w:t>
      </w:r>
      <w:r w:rsidR="00C64050">
        <w:rPr>
          <w:lang w:eastAsia="en-GB"/>
        </w:rPr>
        <w:t xml:space="preserve"> </w:t>
      </w:r>
      <w:r w:rsidR="00D44E8E">
        <w:rPr>
          <w:lang w:eastAsia="en-GB"/>
        </w:rPr>
        <w:t>reserving</w:t>
      </w:r>
      <w:r w:rsidR="00C64050">
        <w:rPr>
          <w:lang w:eastAsia="en-GB"/>
        </w:rPr>
        <w:t xml:space="preserve"> </w:t>
      </w:r>
      <w:r w:rsidR="00D44E8E">
        <w:rPr>
          <w:lang w:eastAsia="en-GB"/>
        </w:rPr>
        <w:t>3/5ths</w:t>
      </w:r>
      <w:r w:rsidR="00C64050">
        <w:rPr>
          <w:lang w:eastAsia="en-GB"/>
        </w:rPr>
        <w:t xml:space="preserve"> </w:t>
      </w:r>
      <w:r w:rsidR="00D44E8E">
        <w:rPr>
          <w:lang w:eastAsia="en-GB"/>
        </w:rPr>
        <w:t>of</w:t>
      </w:r>
      <w:r w:rsidR="00C64050">
        <w:rPr>
          <w:lang w:eastAsia="en-GB"/>
        </w:rPr>
        <w:t xml:space="preserve"> </w:t>
      </w:r>
      <w:r w:rsidR="00D44E8E">
        <w:rPr>
          <w:lang w:eastAsia="en-GB"/>
        </w:rPr>
        <w:t>the</w:t>
      </w:r>
      <w:r w:rsidR="00C64050">
        <w:rPr>
          <w:lang w:eastAsia="en-GB"/>
        </w:rPr>
        <w:t xml:space="preserve"> </w:t>
      </w:r>
      <w:r w:rsidR="00D44E8E">
        <w:rPr>
          <w:lang w:eastAsia="en-GB"/>
        </w:rPr>
        <w:t>income</w:t>
      </w:r>
      <w:r w:rsidR="00C64050">
        <w:rPr>
          <w:lang w:eastAsia="en-GB"/>
        </w:rPr>
        <w:t xml:space="preserve"> </w:t>
      </w:r>
      <w:r w:rsidR="00D44E8E">
        <w:rPr>
          <w:lang w:eastAsia="en-GB"/>
        </w:rPr>
        <w:t>for</w:t>
      </w:r>
      <w:r w:rsidR="00C64050">
        <w:rPr>
          <w:lang w:eastAsia="en-GB"/>
        </w:rPr>
        <w:t xml:space="preserve"> </w:t>
      </w:r>
      <w:r w:rsidR="00D44E8E">
        <w:rPr>
          <w:lang w:eastAsia="en-GB"/>
        </w:rPr>
        <w:t>life;</w:t>
      </w:r>
      <w:r w:rsidR="00C64050">
        <w:rPr>
          <w:lang w:eastAsia="en-GB"/>
        </w:rPr>
        <w:t xml:space="preserve"> </w:t>
      </w:r>
      <w:r w:rsidR="00D44E8E">
        <w:rPr>
          <w:lang w:eastAsia="en-GB"/>
        </w:rPr>
        <w:t>many</w:t>
      </w:r>
      <w:r w:rsidR="00C64050">
        <w:rPr>
          <w:lang w:eastAsia="en-GB"/>
        </w:rPr>
        <w:t xml:space="preserve"> </w:t>
      </w:r>
      <w:r w:rsidR="00D44E8E">
        <w:rPr>
          <w:lang w:eastAsia="en-GB"/>
        </w:rPr>
        <w:t>years</w:t>
      </w:r>
      <w:r w:rsidR="00C64050">
        <w:rPr>
          <w:lang w:eastAsia="en-GB"/>
        </w:rPr>
        <w:t xml:space="preserve"> </w:t>
      </w:r>
      <w:r w:rsidR="00D44E8E">
        <w:rPr>
          <w:lang w:eastAsia="en-GB"/>
        </w:rPr>
        <w:t>later</w:t>
      </w:r>
      <w:r w:rsidR="00C64050">
        <w:rPr>
          <w:lang w:eastAsia="en-GB"/>
        </w:rPr>
        <w:t xml:space="preserve"> </w:t>
      </w:r>
      <w:r w:rsidR="00D44E8E">
        <w:rPr>
          <w:lang w:eastAsia="en-GB"/>
        </w:rPr>
        <w:t>she</w:t>
      </w:r>
      <w:r w:rsidR="00C64050">
        <w:rPr>
          <w:lang w:eastAsia="en-GB"/>
        </w:rPr>
        <w:t xml:space="preserve"> </w:t>
      </w:r>
      <w:r w:rsidR="00D44E8E">
        <w:rPr>
          <w:lang w:eastAsia="en-GB"/>
        </w:rPr>
        <w:t>sold</w:t>
      </w:r>
      <w:r w:rsidR="00C64050">
        <w:rPr>
          <w:lang w:eastAsia="en-GB"/>
        </w:rPr>
        <w:t xml:space="preserve"> </w:t>
      </w:r>
      <w:r w:rsidR="003C1004">
        <w:rPr>
          <w:lang w:eastAsia="en-GB"/>
        </w:rPr>
        <w:t>the</w:t>
      </w:r>
      <w:r w:rsidR="00C64050">
        <w:rPr>
          <w:lang w:eastAsia="en-GB"/>
        </w:rPr>
        <w:t xml:space="preserve"> </w:t>
      </w:r>
      <w:r w:rsidR="00D44E8E">
        <w:rPr>
          <w:lang w:eastAsia="en-GB"/>
        </w:rPr>
        <w:t>income</w:t>
      </w:r>
      <w:r w:rsidR="00C64050">
        <w:rPr>
          <w:lang w:eastAsia="en-GB"/>
        </w:rPr>
        <w:t xml:space="preserve"> </w:t>
      </w:r>
      <w:r w:rsidR="00D44E8E">
        <w:rPr>
          <w:lang w:eastAsia="en-GB"/>
        </w:rPr>
        <w:t>interest</w:t>
      </w:r>
      <w:r w:rsidR="00C64050">
        <w:rPr>
          <w:lang w:eastAsia="en-GB"/>
        </w:rPr>
        <w:t xml:space="preserve"> </w:t>
      </w:r>
      <w:r w:rsidR="00D44E8E">
        <w:rPr>
          <w:lang w:eastAsia="en-GB"/>
        </w:rPr>
        <w:t>for</w:t>
      </w:r>
      <w:r w:rsidR="00C64050">
        <w:rPr>
          <w:lang w:eastAsia="en-GB"/>
        </w:rPr>
        <w:t xml:space="preserve"> </w:t>
      </w:r>
      <w:r w:rsidR="00D44E8E">
        <w:rPr>
          <w:lang w:eastAsia="en-GB"/>
        </w:rPr>
        <w:t>far</w:t>
      </w:r>
      <w:r w:rsidR="00C64050">
        <w:rPr>
          <w:lang w:eastAsia="en-GB"/>
        </w:rPr>
        <w:t xml:space="preserve"> </w:t>
      </w:r>
      <w:r w:rsidR="00D44E8E">
        <w:rPr>
          <w:lang w:eastAsia="en-GB"/>
        </w:rPr>
        <w:t>less</w:t>
      </w:r>
      <w:r w:rsidR="00C64050">
        <w:rPr>
          <w:lang w:eastAsia="en-GB"/>
        </w:rPr>
        <w:t xml:space="preserve"> </w:t>
      </w:r>
      <w:r w:rsidR="00D44E8E">
        <w:rPr>
          <w:lang w:eastAsia="en-GB"/>
        </w:rPr>
        <w:t>than</w:t>
      </w:r>
      <w:r w:rsidR="00C64050">
        <w:rPr>
          <w:lang w:eastAsia="en-GB"/>
        </w:rPr>
        <w:t xml:space="preserve"> </w:t>
      </w:r>
      <w:r w:rsidR="00D44E8E">
        <w:rPr>
          <w:lang w:eastAsia="en-GB"/>
        </w:rPr>
        <w:t>the</w:t>
      </w:r>
      <w:r w:rsidR="00C64050">
        <w:rPr>
          <w:lang w:eastAsia="en-GB"/>
        </w:rPr>
        <w:t xml:space="preserve"> </w:t>
      </w:r>
      <w:r w:rsidR="00D44E8E">
        <w:rPr>
          <w:lang w:eastAsia="en-GB"/>
        </w:rPr>
        <w:t>value</w:t>
      </w:r>
      <w:r w:rsidR="00C64050">
        <w:rPr>
          <w:lang w:eastAsia="en-GB"/>
        </w:rPr>
        <w:t xml:space="preserve"> </w:t>
      </w:r>
      <w:r w:rsidR="00D44E8E">
        <w:rPr>
          <w:lang w:eastAsia="en-GB"/>
        </w:rPr>
        <w:t>of</w:t>
      </w:r>
      <w:r w:rsidR="00C64050">
        <w:rPr>
          <w:lang w:eastAsia="en-GB"/>
        </w:rPr>
        <w:t xml:space="preserve"> </w:t>
      </w:r>
      <w:r w:rsidR="00D44E8E">
        <w:rPr>
          <w:lang w:eastAsia="en-GB"/>
        </w:rPr>
        <w:t>3/5ths</w:t>
      </w:r>
      <w:r w:rsidR="00C64050">
        <w:rPr>
          <w:lang w:eastAsia="en-GB"/>
        </w:rPr>
        <w:t xml:space="preserve"> </w:t>
      </w:r>
      <w:r w:rsidR="00D44E8E">
        <w:rPr>
          <w:lang w:eastAsia="en-GB"/>
        </w:rPr>
        <w:t>of</w:t>
      </w:r>
      <w:r w:rsidR="00C64050">
        <w:rPr>
          <w:lang w:eastAsia="en-GB"/>
        </w:rPr>
        <w:t xml:space="preserve"> </w:t>
      </w:r>
      <w:r w:rsidR="00D44E8E">
        <w:rPr>
          <w:lang w:eastAsia="en-GB"/>
        </w:rPr>
        <w:t>the</w:t>
      </w:r>
      <w:r w:rsidR="00C64050">
        <w:rPr>
          <w:lang w:eastAsia="en-GB"/>
        </w:rPr>
        <w:t xml:space="preserve"> </w:t>
      </w:r>
      <w:r w:rsidR="00D44E8E">
        <w:rPr>
          <w:lang w:eastAsia="en-GB"/>
        </w:rPr>
        <w:t>trust.</w:t>
      </w:r>
      <w:r w:rsidR="00C64050">
        <w:rPr>
          <w:lang w:eastAsia="en-GB"/>
        </w:rPr>
        <w:t xml:space="preserve">  </w:t>
      </w:r>
      <w:r w:rsidR="003C1004">
        <w:rPr>
          <w:lang w:eastAsia="en-GB"/>
        </w:rPr>
        <w:t>The</w:t>
      </w:r>
      <w:r w:rsidR="00C64050">
        <w:rPr>
          <w:lang w:eastAsia="en-GB"/>
        </w:rPr>
        <w:t xml:space="preserve"> </w:t>
      </w:r>
      <w:r w:rsidR="003C1004">
        <w:rPr>
          <w:lang w:eastAsia="en-GB"/>
        </w:rPr>
        <w:t>court</w:t>
      </w:r>
      <w:r w:rsidR="00C64050">
        <w:rPr>
          <w:lang w:eastAsia="en-GB"/>
        </w:rPr>
        <w:t xml:space="preserve"> </w:t>
      </w:r>
      <w:r w:rsidR="003C1004">
        <w:rPr>
          <w:lang w:eastAsia="en-GB"/>
        </w:rPr>
        <w:t>held</w:t>
      </w:r>
      <w:r w:rsidR="00C64050">
        <w:rPr>
          <w:lang w:eastAsia="en-GB"/>
        </w:rPr>
        <w:t xml:space="preserve"> </w:t>
      </w:r>
      <w:r w:rsidR="003C1004">
        <w:rPr>
          <w:lang w:eastAsia="en-GB"/>
        </w:rPr>
        <w:t>that</w:t>
      </w:r>
      <w:r w:rsidR="00C64050">
        <w:rPr>
          <w:lang w:eastAsia="en-GB"/>
        </w:rPr>
        <w:t xml:space="preserve"> </w:t>
      </w:r>
      <w:r w:rsidR="003C1004">
        <w:rPr>
          <w:lang w:eastAsia="en-GB"/>
        </w:rPr>
        <w:t>was</w:t>
      </w:r>
      <w:r w:rsidR="00C64050">
        <w:rPr>
          <w:lang w:eastAsia="en-GB"/>
        </w:rPr>
        <w:t xml:space="preserve"> </w:t>
      </w:r>
      <w:r w:rsidR="003C1004">
        <w:rPr>
          <w:lang w:eastAsia="en-GB"/>
        </w:rPr>
        <w:t>an</w:t>
      </w:r>
      <w:r w:rsidR="00C64050">
        <w:rPr>
          <w:lang w:eastAsia="en-GB"/>
        </w:rPr>
        <w:t xml:space="preserve"> </w:t>
      </w:r>
      <w:r w:rsidR="003C1004">
        <w:rPr>
          <w:lang w:eastAsia="en-GB"/>
        </w:rPr>
        <w:t>inappropriate</w:t>
      </w:r>
      <w:r w:rsidR="00C64050">
        <w:rPr>
          <w:lang w:eastAsia="en-GB"/>
        </w:rPr>
        <w:t xml:space="preserve"> </w:t>
      </w:r>
      <w:r w:rsidR="003C1004">
        <w:rPr>
          <w:lang w:eastAsia="en-GB"/>
        </w:rPr>
        <w:t>loophole</w:t>
      </w:r>
      <w:r w:rsidR="00C64050">
        <w:rPr>
          <w:lang w:eastAsia="en-GB"/>
        </w:rPr>
        <w:t xml:space="preserve"> </w:t>
      </w:r>
      <w:r w:rsidR="003C1004">
        <w:rPr>
          <w:lang w:eastAsia="en-GB"/>
        </w:rPr>
        <w:t>because</w:t>
      </w:r>
      <w:r w:rsidR="00C64050">
        <w:rPr>
          <w:lang w:eastAsia="en-GB"/>
        </w:rPr>
        <w:t xml:space="preserve"> </w:t>
      </w:r>
      <w:r w:rsidR="003C1004">
        <w:rPr>
          <w:lang w:eastAsia="en-GB"/>
        </w:rPr>
        <w:t>–</w:t>
      </w:r>
      <w:r w:rsidR="00C64050">
        <w:rPr>
          <w:lang w:eastAsia="en-GB"/>
        </w:rPr>
        <w:t xml:space="preserve"> </w:t>
      </w:r>
      <w:r w:rsidR="003C1004">
        <w:rPr>
          <w:lang w:eastAsia="en-GB"/>
        </w:rPr>
        <w:t>under</w:t>
      </w:r>
      <w:r w:rsidR="00C64050">
        <w:rPr>
          <w:lang w:eastAsia="en-GB"/>
        </w:rPr>
        <w:t xml:space="preserve"> </w:t>
      </w:r>
      <w:r w:rsidR="003C1004">
        <w:rPr>
          <w:lang w:eastAsia="en-GB"/>
        </w:rPr>
        <w:t>the</w:t>
      </w:r>
      <w:r w:rsidR="00C64050">
        <w:rPr>
          <w:lang w:eastAsia="en-GB"/>
        </w:rPr>
        <w:t xml:space="preserve"> </w:t>
      </w:r>
      <w:r w:rsidR="003C1004">
        <w:rPr>
          <w:lang w:eastAsia="en-GB"/>
        </w:rPr>
        <w:t>1939</w:t>
      </w:r>
      <w:r w:rsidR="00C64050">
        <w:rPr>
          <w:lang w:eastAsia="en-GB"/>
        </w:rPr>
        <w:t xml:space="preserve"> </w:t>
      </w:r>
      <w:r w:rsidR="003C1004">
        <w:rPr>
          <w:lang w:eastAsia="en-GB"/>
        </w:rPr>
        <w:t>Code</w:t>
      </w:r>
      <w:r w:rsidR="00C64050">
        <w:rPr>
          <w:lang w:eastAsia="en-GB"/>
        </w:rPr>
        <w:t xml:space="preserve"> </w:t>
      </w:r>
      <w:r w:rsidR="003C1004">
        <w:rPr>
          <w:lang w:eastAsia="en-GB"/>
        </w:rPr>
        <w:t>–</w:t>
      </w:r>
      <w:r w:rsidR="00C64050">
        <w:rPr>
          <w:lang w:eastAsia="en-GB"/>
        </w:rPr>
        <w:t xml:space="preserve"> </w:t>
      </w:r>
      <w:r w:rsidR="003C1004">
        <w:rPr>
          <w:lang w:eastAsia="en-GB"/>
        </w:rPr>
        <w:t>a</w:t>
      </w:r>
      <w:r w:rsidR="00C64050">
        <w:rPr>
          <w:lang w:eastAsia="en-GB"/>
        </w:rPr>
        <w:t xml:space="preserve"> </w:t>
      </w:r>
      <w:r w:rsidR="003C1004">
        <w:rPr>
          <w:lang w:eastAsia="en-GB"/>
        </w:rPr>
        <w:t>taxpayer</w:t>
      </w:r>
      <w:r w:rsidR="00C64050">
        <w:rPr>
          <w:lang w:eastAsia="en-GB"/>
        </w:rPr>
        <w:t xml:space="preserve"> </w:t>
      </w:r>
      <w:r w:rsidR="003C1004">
        <w:rPr>
          <w:lang w:eastAsia="en-GB"/>
        </w:rPr>
        <w:t>could</w:t>
      </w:r>
      <w:r w:rsidR="00C64050">
        <w:rPr>
          <w:lang w:eastAsia="en-GB"/>
        </w:rPr>
        <w:t xml:space="preserve"> </w:t>
      </w:r>
      <w:r w:rsidR="003C1004">
        <w:rPr>
          <w:lang w:eastAsia="en-GB"/>
        </w:rPr>
        <w:t>keep</w:t>
      </w:r>
      <w:r w:rsidR="00C64050">
        <w:rPr>
          <w:lang w:eastAsia="en-GB"/>
        </w:rPr>
        <w:t xml:space="preserve"> </w:t>
      </w:r>
      <w:r w:rsidR="003C1004">
        <w:rPr>
          <w:lang w:eastAsia="en-GB"/>
        </w:rPr>
        <w:t>income</w:t>
      </w:r>
      <w:r w:rsidR="00C64050">
        <w:rPr>
          <w:lang w:eastAsia="en-GB"/>
        </w:rPr>
        <w:t xml:space="preserve"> </w:t>
      </w:r>
      <w:r w:rsidR="003C1004">
        <w:rPr>
          <w:lang w:eastAsia="en-GB"/>
        </w:rPr>
        <w:t>for</w:t>
      </w:r>
      <w:r w:rsidR="00C64050">
        <w:rPr>
          <w:lang w:eastAsia="en-GB"/>
        </w:rPr>
        <w:t xml:space="preserve"> </w:t>
      </w:r>
      <w:r w:rsidR="003C1004">
        <w:rPr>
          <w:lang w:eastAsia="en-GB"/>
        </w:rPr>
        <w:t>most</w:t>
      </w:r>
      <w:r w:rsidR="00C64050">
        <w:rPr>
          <w:lang w:eastAsia="en-GB"/>
        </w:rPr>
        <w:t xml:space="preserve"> </w:t>
      </w:r>
      <w:r w:rsidR="003C1004">
        <w:rPr>
          <w:lang w:eastAsia="en-GB"/>
        </w:rPr>
        <w:t>of</w:t>
      </w:r>
      <w:r w:rsidR="00C64050">
        <w:rPr>
          <w:lang w:eastAsia="en-GB"/>
        </w:rPr>
        <w:t xml:space="preserve"> </w:t>
      </w:r>
      <w:r w:rsidR="003C1004">
        <w:rPr>
          <w:lang w:eastAsia="en-GB"/>
        </w:rPr>
        <w:t>the</w:t>
      </w:r>
      <w:r w:rsidR="00C64050">
        <w:rPr>
          <w:lang w:eastAsia="en-GB"/>
        </w:rPr>
        <w:t xml:space="preserve"> </w:t>
      </w:r>
      <w:r w:rsidR="003C1004">
        <w:rPr>
          <w:lang w:eastAsia="en-GB"/>
        </w:rPr>
        <w:t>taxpayer’s</w:t>
      </w:r>
      <w:r w:rsidR="00C64050">
        <w:rPr>
          <w:lang w:eastAsia="en-GB"/>
        </w:rPr>
        <w:t xml:space="preserve"> </w:t>
      </w:r>
      <w:r w:rsidR="003C1004">
        <w:rPr>
          <w:lang w:eastAsia="en-GB"/>
        </w:rPr>
        <w:t>life</w:t>
      </w:r>
      <w:r w:rsidR="00C64050">
        <w:rPr>
          <w:lang w:eastAsia="en-GB"/>
        </w:rPr>
        <w:t xml:space="preserve"> </w:t>
      </w:r>
      <w:r w:rsidR="003C1004">
        <w:rPr>
          <w:lang w:eastAsia="en-GB"/>
        </w:rPr>
        <w:t>and</w:t>
      </w:r>
      <w:r w:rsidR="00C64050">
        <w:rPr>
          <w:lang w:eastAsia="en-GB"/>
        </w:rPr>
        <w:t xml:space="preserve"> </w:t>
      </w:r>
      <w:r w:rsidR="003C1004">
        <w:rPr>
          <w:lang w:eastAsia="en-GB"/>
        </w:rPr>
        <w:t>then</w:t>
      </w:r>
      <w:r w:rsidR="00C64050">
        <w:rPr>
          <w:lang w:eastAsia="en-GB"/>
        </w:rPr>
        <w:t xml:space="preserve"> </w:t>
      </w:r>
      <w:r w:rsidR="003C1004">
        <w:rPr>
          <w:lang w:eastAsia="en-GB"/>
        </w:rPr>
        <w:t>sell</w:t>
      </w:r>
      <w:r w:rsidR="00C64050">
        <w:rPr>
          <w:lang w:eastAsia="en-GB"/>
        </w:rPr>
        <w:t xml:space="preserve"> </w:t>
      </w:r>
      <w:r w:rsidR="003C1004">
        <w:rPr>
          <w:lang w:eastAsia="en-GB"/>
        </w:rPr>
        <w:t>close</w:t>
      </w:r>
      <w:r w:rsidR="00C64050">
        <w:rPr>
          <w:lang w:eastAsia="en-GB"/>
        </w:rPr>
        <w:t xml:space="preserve"> </w:t>
      </w:r>
      <w:r w:rsidR="003C1004">
        <w:rPr>
          <w:lang w:eastAsia="en-GB"/>
        </w:rPr>
        <w:t>to</w:t>
      </w:r>
      <w:r w:rsidR="00C64050">
        <w:rPr>
          <w:lang w:eastAsia="en-GB"/>
        </w:rPr>
        <w:t xml:space="preserve"> </w:t>
      </w:r>
      <w:r w:rsidR="003C1004">
        <w:rPr>
          <w:lang w:eastAsia="en-GB"/>
        </w:rPr>
        <w:t>death</w:t>
      </w:r>
      <w:r w:rsidR="00C64050">
        <w:rPr>
          <w:lang w:eastAsia="en-GB"/>
        </w:rPr>
        <w:t xml:space="preserve"> </w:t>
      </w:r>
      <w:r w:rsidR="003C1004">
        <w:rPr>
          <w:lang w:eastAsia="en-GB"/>
        </w:rPr>
        <w:t>for</w:t>
      </w:r>
      <w:r w:rsidR="00C64050">
        <w:rPr>
          <w:lang w:eastAsia="en-GB"/>
        </w:rPr>
        <w:t xml:space="preserve"> </w:t>
      </w:r>
      <w:r w:rsidR="003C1004">
        <w:rPr>
          <w:lang w:eastAsia="en-GB"/>
        </w:rPr>
        <w:t>a</w:t>
      </w:r>
      <w:r w:rsidR="00C64050">
        <w:rPr>
          <w:lang w:eastAsia="en-GB"/>
        </w:rPr>
        <w:t xml:space="preserve"> </w:t>
      </w:r>
      <w:r w:rsidR="003C1004">
        <w:rPr>
          <w:lang w:eastAsia="en-GB"/>
        </w:rPr>
        <w:t>fraction</w:t>
      </w:r>
      <w:r w:rsidR="00C64050">
        <w:rPr>
          <w:lang w:eastAsia="en-GB"/>
        </w:rPr>
        <w:t xml:space="preserve"> </w:t>
      </w:r>
      <w:r w:rsidR="003C1004">
        <w:rPr>
          <w:lang w:eastAsia="en-GB"/>
        </w:rPr>
        <w:t>of</w:t>
      </w:r>
      <w:r w:rsidR="00C64050">
        <w:rPr>
          <w:lang w:eastAsia="en-GB"/>
        </w:rPr>
        <w:t xml:space="preserve"> </w:t>
      </w:r>
      <w:r w:rsidR="003C1004">
        <w:rPr>
          <w:lang w:eastAsia="en-GB"/>
        </w:rPr>
        <w:t>what</w:t>
      </w:r>
      <w:r w:rsidR="00C64050">
        <w:rPr>
          <w:lang w:eastAsia="en-GB"/>
        </w:rPr>
        <w:t xml:space="preserve"> </w:t>
      </w:r>
      <w:r w:rsidR="003C1004">
        <w:rPr>
          <w:lang w:eastAsia="en-GB"/>
        </w:rPr>
        <w:t>otherwise</w:t>
      </w:r>
      <w:r w:rsidR="00C64050">
        <w:rPr>
          <w:lang w:eastAsia="en-GB"/>
        </w:rPr>
        <w:t xml:space="preserve"> </w:t>
      </w:r>
      <w:r w:rsidR="003C1004">
        <w:rPr>
          <w:lang w:eastAsia="en-GB"/>
        </w:rPr>
        <w:t>would</w:t>
      </w:r>
      <w:r w:rsidR="00C64050">
        <w:rPr>
          <w:lang w:eastAsia="en-GB"/>
        </w:rPr>
        <w:t xml:space="preserve"> </w:t>
      </w:r>
      <w:r w:rsidR="003C1004">
        <w:rPr>
          <w:lang w:eastAsia="en-GB"/>
        </w:rPr>
        <w:t>be</w:t>
      </w:r>
      <w:r w:rsidR="00C64050">
        <w:rPr>
          <w:lang w:eastAsia="en-GB"/>
        </w:rPr>
        <w:t xml:space="preserve"> </w:t>
      </w:r>
      <w:r w:rsidR="003C1004">
        <w:rPr>
          <w:lang w:eastAsia="en-GB"/>
        </w:rPr>
        <w:t>included.</w:t>
      </w:r>
    </w:p>
    <w:p w:rsidR="00914130" w:rsidRDefault="00914130" w:rsidP="00914130">
      <w:pPr>
        <w:pStyle w:val="Body15"/>
      </w:pPr>
      <w:r>
        <w:t>In</w:t>
      </w:r>
      <w:r w:rsidR="00C64050">
        <w:t xml:space="preserve"> </w:t>
      </w:r>
      <w:r>
        <w:t>trying</w:t>
      </w:r>
      <w:r w:rsidR="00C64050">
        <w:t xml:space="preserve"> </w:t>
      </w:r>
      <w:r>
        <w:t>to</w:t>
      </w:r>
      <w:r w:rsidR="00C64050">
        <w:t xml:space="preserve"> </w:t>
      </w:r>
      <w:r>
        <w:t>understand</w:t>
      </w:r>
      <w:r w:rsidR="00C64050">
        <w:t xml:space="preserve"> </w:t>
      </w:r>
      <w:r>
        <w:t>the</w:t>
      </w:r>
      <w:r w:rsidR="00C64050">
        <w:t xml:space="preserve"> </w:t>
      </w:r>
      <w:r>
        <w:t>implications</w:t>
      </w:r>
      <w:r w:rsidR="00C64050">
        <w:t xml:space="preserve"> </w:t>
      </w:r>
      <w:r>
        <w:t>of</w:t>
      </w:r>
      <w:r w:rsidR="00C64050">
        <w:t xml:space="preserve"> </w:t>
      </w:r>
      <w:r w:rsidRPr="008A3AD2">
        <w:rPr>
          <w:u w:val="single"/>
        </w:rPr>
        <w:t>Powell</w:t>
      </w:r>
      <w:r>
        <w:t>,</w:t>
      </w:r>
      <w:r w:rsidR="00C64050">
        <w:t xml:space="preserve"> </w:t>
      </w:r>
      <w:r>
        <w:t>the</w:t>
      </w:r>
      <w:r w:rsidR="00C64050">
        <w:t xml:space="preserve"> </w:t>
      </w:r>
      <w:r>
        <w:t>case</w:t>
      </w:r>
      <w:r w:rsidR="00C64050">
        <w:t xml:space="preserve"> </w:t>
      </w:r>
      <w:r>
        <w:t>of</w:t>
      </w:r>
      <w:r w:rsidR="00C64050">
        <w:t xml:space="preserve"> </w:t>
      </w:r>
      <w:r w:rsidRPr="002663EC">
        <w:rPr>
          <w:rFonts w:ascii="TimesNewRomanPSMT" w:hAnsi="TimesNewRomanPSMT" w:cs="TimesNewRomanPSMT"/>
          <w:szCs w:val="20"/>
          <w:u w:val="single"/>
        </w:rPr>
        <w:t>Estate</w:t>
      </w:r>
      <w:r w:rsidR="00C64050">
        <w:rPr>
          <w:rFonts w:ascii="TimesNewRomanPSMT" w:hAnsi="TimesNewRomanPSMT" w:cs="TimesNewRomanPSMT"/>
          <w:szCs w:val="20"/>
          <w:u w:val="single"/>
        </w:rPr>
        <w:t xml:space="preserve"> </w:t>
      </w:r>
      <w:r w:rsidRPr="002663EC">
        <w:rPr>
          <w:rFonts w:ascii="TimesNewRomanPSMT" w:hAnsi="TimesNewRomanPSMT" w:cs="TimesNewRomanPSMT"/>
          <w:szCs w:val="20"/>
          <w:u w:val="single"/>
        </w:rPr>
        <w:t>of</w:t>
      </w:r>
      <w:r w:rsidR="00C64050">
        <w:rPr>
          <w:rFonts w:ascii="TimesNewRomanPSMT" w:hAnsi="TimesNewRomanPSMT" w:cs="TimesNewRomanPSMT"/>
          <w:szCs w:val="20"/>
          <w:u w:val="single"/>
        </w:rPr>
        <w:t xml:space="preserve"> </w:t>
      </w:r>
      <w:r w:rsidRPr="002663EC">
        <w:rPr>
          <w:rFonts w:ascii="TimesNewRomanPSMT" w:hAnsi="TimesNewRomanPSMT" w:cs="TimesNewRomanPSMT"/>
          <w:szCs w:val="20"/>
          <w:u w:val="single"/>
        </w:rPr>
        <w:t>Frank</w:t>
      </w:r>
      <w:r w:rsidR="00C64050">
        <w:rPr>
          <w:rFonts w:ascii="TimesNewRomanPSMT" w:hAnsi="TimesNewRomanPSMT" w:cs="TimesNewRomanPSMT"/>
          <w:szCs w:val="20"/>
          <w:u w:val="single"/>
        </w:rPr>
        <w:t xml:space="preserve"> </w:t>
      </w:r>
      <w:r w:rsidRPr="002663EC">
        <w:rPr>
          <w:rFonts w:ascii="TimesNewRomanPSMT" w:hAnsi="TimesNewRomanPSMT" w:cs="TimesNewRomanPSMT"/>
          <w:szCs w:val="20"/>
          <w:u w:val="single"/>
        </w:rPr>
        <w:t>D.</w:t>
      </w:r>
      <w:r w:rsidR="00C64050">
        <w:rPr>
          <w:rFonts w:ascii="TimesNewRomanPSMT" w:hAnsi="TimesNewRomanPSMT" w:cs="TimesNewRomanPSMT"/>
          <w:szCs w:val="20"/>
          <w:u w:val="single"/>
        </w:rPr>
        <w:t xml:space="preserve"> </w:t>
      </w:r>
      <w:r w:rsidRPr="002663EC">
        <w:rPr>
          <w:rFonts w:ascii="TimesNewRomanPSMT" w:hAnsi="TimesNewRomanPSMT" w:cs="TimesNewRomanPSMT"/>
          <w:szCs w:val="20"/>
          <w:u w:val="single"/>
        </w:rPr>
        <w:t>Streightoff</w:t>
      </w:r>
      <w:r>
        <w:rPr>
          <w:rFonts w:ascii="TimesNewRomanPSMT" w:hAnsi="TimesNewRomanPSMT" w:cs="TimesNewRomanPSMT"/>
          <w:szCs w:val="20"/>
        </w:rPr>
        <w:t>,</w:t>
      </w:r>
      <w:r w:rsidR="00C64050">
        <w:rPr>
          <w:rFonts w:ascii="TimesNewRomanPSMT" w:hAnsi="TimesNewRomanPSMT" w:cs="TimesNewRomanPSMT"/>
          <w:szCs w:val="20"/>
        </w:rPr>
        <w:t xml:space="preserve"> </w:t>
      </w:r>
      <w:r w:rsidRPr="00A30AD3">
        <w:rPr>
          <w:rFonts w:ascii="TimesNewRomanPSMT" w:hAnsi="TimesNewRomanPSMT" w:cs="TimesNewRomanPSMT"/>
          <w:szCs w:val="20"/>
        </w:rPr>
        <w:t>T.C.</w:t>
      </w:r>
      <w:r w:rsidR="00C64050">
        <w:rPr>
          <w:rFonts w:ascii="TimesNewRomanPSMT" w:hAnsi="TimesNewRomanPSMT" w:cs="TimesNewRomanPSMT"/>
          <w:szCs w:val="20"/>
        </w:rPr>
        <w:t xml:space="preserve"> </w:t>
      </w:r>
      <w:r w:rsidRPr="00A30AD3">
        <w:rPr>
          <w:rFonts w:ascii="TimesNewRomanPSMT" w:hAnsi="TimesNewRomanPSMT" w:cs="TimesNewRomanPSMT"/>
          <w:szCs w:val="20"/>
        </w:rPr>
        <w:t>Memo.</w:t>
      </w:r>
      <w:r w:rsidR="00C64050">
        <w:rPr>
          <w:rFonts w:ascii="TimesNewRomanPSMT" w:hAnsi="TimesNewRomanPSMT" w:cs="TimesNewRomanPSMT"/>
          <w:szCs w:val="20"/>
        </w:rPr>
        <w:t xml:space="preserve"> </w:t>
      </w:r>
      <w:r w:rsidRPr="00A30AD3">
        <w:rPr>
          <w:rFonts w:ascii="TimesNewRomanPSMT" w:hAnsi="TimesNewRomanPSMT" w:cs="TimesNewRomanPSMT"/>
          <w:szCs w:val="20"/>
        </w:rPr>
        <w:t>2018-178</w:t>
      </w:r>
      <w:r>
        <w:rPr>
          <w:rFonts w:ascii="TimesNewRomanPSMT" w:hAnsi="TimesNewRomanPSMT" w:cs="TimesNewRomanPSMT"/>
          <w:szCs w:val="20"/>
        </w:rPr>
        <w:t>,</w:t>
      </w:r>
      <w:r w:rsidR="00C64050">
        <w:rPr>
          <w:rFonts w:ascii="TimesNewRomanPSMT" w:hAnsi="TimesNewRomanPSMT" w:cs="TimesNewRomanPSMT"/>
          <w:sz w:val="28"/>
          <w:szCs w:val="28"/>
        </w:rPr>
        <w:t xml:space="preserve"> </w:t>
      </w:r>
      <w:r>
        <w:t>should</w:t>
      </w:r>
      <w:r w:rsidR="00C64050">
        <w:t xml:space="preserve"> </w:t>
      </w:r>
      <w:r>
        <w:t>be</w:t>
      </w:r>
      <w:r w:rsidR="00C64050">
        <w:t xml:space="preserve"> </w:t>
      </w:r>
      <w:r>
        <w:t>considered.</w:t>
      </w:r>
      <w:r w:rsidR="00C64050">
        <w:t xml:space="preserve">  </w:t>
      </w:r>
      <w:r>
        <w:t>Ultimately</w:t>
      </w:r>
      <w:r w:rsidR="00C64050">
        <w:t xml:space="preserve"> </w:t>
      </w:r>
      <w:r>
        <w:t>an</w:t>
      </w:r>
      <w:r w:rsidR="00C64050">
        <w:t xml:space="preserve"> </w:t>
      </w:r>
      <w:r>
        <w:t>18%</w:t>
      </w:r>
      <w:r w:rsidR="00C64050">
        <w:t xml:space="preserve"> </w:t>
      </w:r>
      <w:r>
        <w:t>lack</w:t>
      </w:r>
      <w:r w:rsidR="00C64050">
        <w:t xml:space="preserve"> </w:t>
      </w:r>
      <w:r>
        <w:t>of</w:t>
      </w:r>
      <w:r w:rsidR="00C64050">
        <w:t xml:space="preserve"> </w:t>
      </w:r>
      <w:r>
        <w:t>marketability</w:t>
      </w:r>
      <w:r w:rsidR="00C64050">
        <w:t xml:space="preserve"> </w:t>
      </w:r>
      <w:r>
        <w:t>discount</w:t>
      </w:r>
      <w:r w:rsidR="00C64050">
        <w:t xml:space="preserve"> </w:t>
      </w:r>
      <w:r>
        <w:t>was</w:t>
      </w:r>
      <w:r w:rsidR="00C64050">
        <w:t xml:space="preserve"> </w:t>
      </w:r>
      <w:r>
        <w:t>allowed,</w:t>
      </w:r>
      <w:r w:rsidR="00C64050">
        <w:t xml:space="preserve"> </w:t>
      </w:r>
      <w:r>
        <w:t>and</w:t>
      </w:r>
      <w:r w:rsidR="00C64050">
        <w:t xml:space="preserve"> </w:t>
      </w:r>
      <w:r>
        <w:t>the</w:t>
      </w:r>
      <w:r w:rsidR="00C64050">
        <w:t xml:space="preserve"> </w:t>
      </w:r>
      <w:r>
        <w:t>section</w:t>
      </w:r>
      <w:r w:rsidR="00C64050">
        <w:t xml:space="preserve"> </w:t>
      </w:r>
      <w:r>
        <w:t>2036</w:t>
      </w:r>
      <w:r w:rsidR="00C64050">
        <w:t xml:space="preserve"> </w:t>
      </w:r>
      <w:r>
        <w:t>issue</w:t>
      </w:r>
      <w:r w:rsidR="00C64050">
        <w:t xml:space="preserve"> </w:t>
      </w:r>
      <w:r>
        <w:t>which</w:t>
      </w:r>
      <w:r w:rsidR="00C64050">
        <w:t xml:space="preserve"> </w:t>
      </w:r>
      <w:r>
        <w:t>might</w:t>
      </w:r>
      <w:r w:rsidR="00C64050">
        <w:t xml:space="preserve"> </w:t>
      </w:r>
      <w:r>
        <w:t>have</w:t>
      </w:r>
      <w:r w:rsidR="00C64050">
        <w:t xml:space="preserve"> </w:t>
      </w:r>
      <w:r>
        <w:t>been</w:t>
      </w:r>
      <w:r w:rsidR="00C64050">
        <w:t xml:space="preserve"> </w:t>
      </w:r>
      <w:r>
        <w:t>dispositive</w:t>
      </w:r>
      <w:r w:rsidR="00C64050">
        <w:t xml:space="preserve"> </w:t>
      </w:r>
      <w:r>
        <w:t>was</w:t>
      </w:r>
      <w:r w:rsidR="00C64050">
        <w:t xml:space="preserve"> </w:t>
      </w:r>
      <w:r>
        <w:t>not.</w:t>
      </w:r>
      <w:r w:rsidR="00C64050">
        <w:t xml:space="preserve">  </w:t>
      </w:r>
      <w:r w:rsidR="00FD44AC">
        <w:t>The</w:t>
      </w:r>
      <w:r w:rsidR="00C64050">
        <w:t xml:space="preserve"> </w:t>
      </w:r>
      <w:r w:rsidR="00FD44AC">
        <w:t>argument</w:t>
      </w:r>
      <w:r w:rsidR="00C64050">
        <w:t xml:space="preserve"> </w:t>
      </w:r>
      <w:r w:rsidR="00FD44AC">
        <w:t>by</w:t>
      </w:r>
      <w:r w:rsidR="00C64050">
        <w:t xml:space="preserve"> </w:t>
      </w:r>
      <w:r w:rsidR="00FD44AC">
        <w:t>the</w:t>
      </w:r>
      <w:r w:rsidR="00C64050">
        <w:t xml:space="preserve"> </w:t>
      </w:r>
      <w:r w:rsidR="00FD44AC">
        <w:t>estate</w:t>
      </w:r>
      <w:r w:rsidR="00C64050">
        <w:t xml:space="preserve"> </w:t>
      </w:r>
      <w:r w:rsidR="00FD44AC">
        <w:t>was</w:t>
      </w:r>
      <w:r w:rsidR="00C64050">
        <w:t xml:space="preserve"> </w:t>
      </w:r>
      <w:r w:rsidR="00FD44AC">
        <w:t>that</w:t>
      </w:r>
      <w:r w:rsidR="00C64050">
        <w:t xml:space="preserve"> </w:t>
      </w:r>
      <w:r w:rsidR="00FD44AC">
        <w:t>the</w:t>
      </w:r>
      <w:r w:rsidR="00C64050">
        <w:t xml:space="preserve"> </w:t>
      </w:r>
      <w:r w:rsidR="00FD44AC">
        <w:t>transfer</w:t>
      </w:r>
      <w:r w:rsidR="00C64050">
        <w:t xml:space="preserve"> </w:t>
      </w:r>
      <w:r w:rsidR="00FD44AC">
        <w:t>was</w:t>
      </w:r>
      <w:r w:rsidR="00C64050">
        <w:t xml:space="preserve"> </w:t>
      </w:r>
      <w:r w:rsidR="00FD44AC">
        <w:t>an</w:t>
      </w:r>
      <w:r w:rsidR="00C64050">
        <w:t xml:space="preserve"> </w:t>
      </w:r>
      <w:r w:rsidR="00FD44AC">
        <w:rPr>
          <w:u w:val="single"/>
        </w:rPr>
        <w:t>assignee</w:t>
      </w:r>
      <w:r w:rsidR="00C64050">
        <w:t xml:space="preserve"> </w:t>
      </w:r>
      <w:r w:rsidR="00FD44AC">
        <w:t>interest,</w:t>
      </w:r>
      <w:r w:rsidR="00C64050">
        <w:t xml:space="preserve"> </w:t>
      </w:r>
      <w:r w:rsidR="00FD44AC">
        <w:t>which</w:t>
      </w:r>
      <w:r w:rsidR="00C64050">
        <w:t xml:space="preserve"> </w:t>
      </w:r>
      <w:r w:rsidR="00FD44AC">
        <w:t>was</w:t>
      </w:r>
      <w:r w:rsidR="00C64050">
        <w:t xml:space="preserve"> </w:t>
      </w:r>
      <w:r w:rsidR="00FD44AC">
        <w:t>rejected.</w:t>
      </w:r>
      <w:r w:rsidR="00C64050">
        <w:t xml:space="preserve">  </w:t>
      </w:r>
      <w:r>
        <w:t>The</w:t>
      </w:r>
      <w:r w:rsidR="00C64050">
        <w:t xml:space="preserve"> </w:t>
      </w:r>
      <w:r>
        <w:t>opinion</w:t>
      </w:r>
      <w:r w:rsidR="00C64050">
        <w:t xml:space="preserve"> </w:t>
      </w:r>
      <w:r>
        <w:t>states:</w:t>
      </w:r>
    </w:p>
    <w:p w:rsidR="00914130" w:rsidRPr="008A3AD2" w:rsidRDefault="00914130" w:rsidP="00914130">
      <w:pPr>
        <w:pStyle w:val="QS10"/>
      </w:pPr>
      <w:r w:rsidRPr="008A3AD2">
        <w:t>The</w:t>
      </w:r>
      <w:r w:rsidR="00C64050">
        <w:t xml:space="preserve"> </w:t>
      </w:r>
      <w:r w:rsidRPr="008A3AD2">
        <w:t>parties</w:t>
      </w:r>
      <w:r w:rsidR="00C64050">
        <w:t xml:space="preserve"> </w:t>
      </w:r>
      <w:r w:rsidRPr="008A3AD2">
        <w:t>disagree</w:t>
      </w:r>
      <w:r w:rsidR="00C64050">
        <w:t xml:space="preserve"> </w:t>
      </w:r>
      <w:r w:rsidRPr="008A3AD2">
        <w:t>as</w:t>
      </w:r>
      <w:r w:rsidR="00C64050">
        <w:t xml:space="preserve"> </w:t>
      </w:r>
      <w:r w:rsidRPr="008A3AD2">
        <w:t>to</w:t>
      </w:r>
      <w:r w:rsidR="00C64050">
        <w:t xml:space="preserve"> </w:t>
      </w:r>
      <w:r w:rsidRPr="008A3AD2">
        <w:t>the</w:t>
      </w:r>
      <w:r w:rsidR="00C64050">
        <w:t xml:space="preserve"> </w:t>
      </w:r>
      <w:r w:rsidRPr="008A3AD2">
        <w:t>type</w:t>
      </w:r>
      <w:r w:rsidR="00C64050">
        <w:t xml:space="preserve"> </w:t>
      </w:r>
      <w:r w:rsidRPr="008A3AD2">
        <w:t>of</w:t>
      </w:r>
      <w:r w:rsidR="00C64050">
        <w:t xml:space="preserve"> </w:t>
      </w:r>
      <w:r w:rsidRPr="008A3AD2">
        <w:t>interest</w:t>
      </w:r>
      <w:r w:rsidR="00C64050">
        <w:t xml:space="preserve"> </w:t>
      </w:r>
      <w:r w:rsidRPr="008A3AD2">
        <w:t>that</w:t>
      </w:r>
      <w:r w:rsidR="00C64050">
        <w:t xml:space="preserve"> </w:t>
      </w:r>
      <w:r w:rsidRPr="008A3AD2">
        <w:t>must</w:t>
      </w:r>
      <w:r w:rsidR="00C64050">
        <w:t xml:space="preserve"> </w:t>
      </w:r>
      <w:r w:rsidRPr="008A3AD2">
        <w:t>be</w:t>
      </w:r>
      <w:r w:rsidR="00C64050">
        <w:t xml:space="preserve"> </w:t>
      </w:r>
      <w:r w:rsidRPr="008A3AD2">
        <w:t>valued</w:t>
      </w:r>
      <w:r w:rsidR="00C64050">
        <w:t xml:space="preserve"> </w:t>
      </w:r>
      <w:r w:rsidRPr="008A3AD2">
        <w:t>and</w:t>
      </w:r>
      <w:r w:rsidR="00C64050">
        <w:t xml:space="preserve"> </w:t>
      </w:r>
      <w:r w:rsidRPr="008A3AD2">
        <w:t>included</w:t>
      </w:r>
      <w:r w:rsidR="00C64050">
        <w:t xml:space="preserve"> </w:t>
      </w:r>
      <w:r w:rsidRPr="008A3AD2">
        <w:t>in</w:t>
      </w:r>
      <w:r w:rsidR="00C64050">
        <w:t xml:space="preserve"> </w:t>
      </w:r>
      <w:r w:rsidRPr="008A3AD2">
        <w:t>the</w:t>
      </w:r>
      <w:r w:rsidR="00C64050">
        <w:t xml:space="preserve"> </w:t>
      </w:r>
      <w:r w:rsidRPr="008A3AD2">
        <w:t>value</w:t>
      </w:r>
      <w:r w:rsidR="00C64050">
        <w:t xml:space="preserve"> </w:t>
      </w:r>
      <w:r w:rsidRPr="008A3AD2">
        <w:t>of</w:t>
      </w:r>
      <w:r w:rsidR="00C64050">
        <w:t xml:space="preserve"> </w:t>
      </w:r>
      <w:r w:rsidRPr="008A3AD2">
        <w:t>decedent’s</w:t>
      </w:r>
      <w:r w:rsidR="00C64050">
        <w:t xml:space="preserve"> </w:t>
      </w:r>
      <w:r w:rsidRPr="008A3AD2">
        <w:t>gross</w:t>
      </w:r>
      <w:r w:rsidR="00C64050">
        <w:t xml:space="preserve"> </w:t>
      </w:r>
      <w:r w:rsidRPr="008A3AD2">
        <w:t>estate.</w:t>
      </w:r>
      <w:r w:rsidR="00C64050">
        <w:t xml:space="preserve"> </w:t>
      </w:r>
      <w:r w:rsidRPr="008A3AD2">
        <w:t>[footnote</w:t>
      </w:r>
      <w:r w:rsidR="00C64050">
        <w:t xml:space="preserve"> </w:t>
      </w:r>
      <w:r w:rsidRPr="008A3AD2">
        <w:t>omitted]</w:t>
      </w:r>
    </w:p>
    <w:p w:rsidR="00914130" w:rsidRPr="008A3AD2" w:rsidRDefault="00914130" w:rsidP="00914130">
      <w:pPr>
        <w:pStyle w:val="QS10"/>
      </w:pPr>
      <w:r w:rsidRPr="008A3AD2">
        <w:t>The</w:t>
      </w:r>
      <w:r w:rsidR="00C64050">
        <w:t xml:space="preserve"> </w:t>
      </w:r>
      <w:r w:rsidRPr="008A3AD2">
        <w:t>estate</w:t>
      </w:r>
      <w:r w:rsidR="00C64050">
        <w:t xml:space="preserve"> </w:t>
      </w:r>
      <w:r w:rsidRPr="008A3AD2">
        <w:t>contends</w:t>
      </w:r>
      <w:r w:rsidR="00C64050">
        <w:t xml:space="preserve"> </w:t>
      </w:r>
      <w:r w:rsidRPr="008A3AD2">
        <w:t>that</w:t>
      </w:r>
      <w:r w:rsidR="00C64050">
        <w:t xml:space="preserve"> </w:t>
      </w:r>
      <w:r w:rsidRPr="008A3AD2">
        <w:t>the</w:t>
      </w:r>
      <w:r w:rsidR="00C64050">
        <w:t xml:space="preserve"> </w:t>
      </w:r>
      <w:r w:rsidRPr="008A3AD2">
        <w:t>agreement</w:t>
      </w:r>
      <w:r w:rsidR="00C64050">
        <w:t xml:space="preserve"> </w:t>
      </w:r>
      <w:r w:rsidRPr="008A3AD2">
        <w:t>created</w:t>
      </w:r>
      <w:r w:rsidR="00C64050">
        <w:t xml:space="preserve"> </w:t>
      </w:r>
      <w:r w:rsidRPr="008A3AD2">
        <w:t>an</w:t>
      </w:r>
      <w:r w:rsidR="00C64050">
        <w:t xml:space="preserve"> </w:t>
      </w:r>
      <w:r w:rsidRPr="008A3AD2">
        <w:t>assignee</w:t>
      </w:r>
      <w:r w:rsidR="00C64050">
        <w:t xml:space="preserve"> </w:t>
      </w:r>
      <w:r w:rsidRPr="008A3AD2">
        <w:t>interest</w:t>
      </w:r>
      <w:r w:rsidR="00C64050">
        <w:t xml:space="preserve"> </w:t>
      </w:r>
      <w:r w:rsidRPr="008A3AD2">
        <w:t>in</w:t>
      </w:r>
      <w:r w:rsidR="00C64050">
        <w:t xml:space="preserve"> </w:t>
      </w:r>
      <w:r w:rsidRPr="008A3AD2">
        <w:t>decedent’s</w:t>
      </w:r>
      <w:r w:rsidR="00C64050">
        <w:t xml:space="preserve"> </w:t>
      </w:r>
      <w:r w:rsidRPr="008A3AD2">
        <w:t>limited</w:t>
      </w:r>
      <w:r w:rsidR="00C64050">
        <w:t xml:space="preserve"> </w:t>
      </w:r>
      <w:r w:rsidRPr="008A3AD2">
        <w:t>partnership</w:t>
      </w:r>
      <w:r w:rsidR="00C64050">
        <w:t xml:space="preserve"> </w:t>
      </w:r>
      <w:r w:rsidRPr="008A3AD2">
        <w:t>interest</w:t>
      </w:r>
      <w:r w:rsidR="00C64050">
        <w:t xml:space="preserve"> </w:t>
      </w:r>
      <w:r w:rsidRPr="008A3AD2">
        <w:t>under</w:t>
      </w:r>
      <w:r w:rsidR="00C64050">
        <w:t xml:space="preserve"> </w:t>
      </w:r>
      <w:r w:rsidRPr="008A3AD2">
        <w:t>Texas</w:t>
      </w:r>
      <w:r w:rsidR="00C64050">
        <w:t xml:space="preserve"> </w:t>
      </w:r>
      <w:r w:rsidRPr="008A3AD2">
        <w:t>State</w:t>
      </w:r>
      <w:r w:rsidR="00C64050">
        <w:t xml:space="preserve"> </w:t>
      </w:r>
      <w:r w:rsidRPr="008A3AD2">
        <w:t>law</w:t>
      </w:r>
      <w:r w:rsidR="00C64050">
        <w:t xml:space="preserve"> </w:t>
      </w:r>
      <w:r w:rsidRPr="008A3AD2">
        <w:t>and</w:t>
      </w:r>
      <w:r w:rsidR="00C64050">
        <w:t xml:space="preserve"> </w:t>
      </w:r>
      <w:r w:rsidRPr="008A3AD2">
        <w:t>the</w:t>
      </w:r>
      <w:r w:rsidR="00C64050">
        <w:t xml:space="preserve"> </w:t>
      </w:r>
      <w:r w:rsidRPr="008A3AD2">
        <w:t>partnership</w:t>
      </w:r>
      <w:r w:rsidR="00C64050">
        <w:t xml:space="preserve"> </w:t>
      </w:r>
      <w:r w:rsidRPr="008A3AD2">
        <w:t>agreement.</w:t>
      </w:r>
      <w:r w:rsidR="00C64050">
        <w:t xml:space="preserve"> </w:t>
      </w:r>
      <w:r w:rsidRPr="008A3AD2">
        <w:t>It</w:t>
      </w:r>
      <w:r w:rsidR="00C64050">
        <w:t xml:space="preserve"> </w:t>
      </w:r>
      <w:r w:rsidRPr="008A3AD2">
        <w:t>contends</w:t>
      </w:r>
      <w:r w:rsidR="00C64050">
        <w:t xml:space="preserve"> </w:t>
      </w:r>
      <w:r w:rsidRPr="008A3AD2">
        <w:t>that</w:t>
      </w:r>
      <w:r w:rsidR="00C64050">
        <w:t xml:space="preserve"> </w:t>
      </w:r>
      <w:r w:rsidRPr="008A3AD2">
        <w:t>it</w:t>
      </w:r>
      <w:r w:rsidR="00C64050">
        <w:t xml:space="preserve"> </w:t>
      </w:r>
      <w:r w:rsidRPr="008A3AD2">
        <w:t>valued</w:t>
      </w:r>
      <w:r w:rsidR="00C64050">
        <w:t xml:space="preserve"> </w:t>
      </w:r>
      <w:r w:rsidRPr="008A3AD2">
        <w:t>and</w:t>
      </w:r>
      <w:r w:rsidR="00C64050">
        <w:t xml:space="preserve"> </w:t>
      </w:r>
      <w:r w:rsidRPr="008A3AD2">
        <w:t>reported</w:t>
      </w:r>
      <w:r w:rsidR="00C64050">
        <w:t xml:space="preserve"> </w:t>
      </w:r>
      <w:r w:rsidRPr="008A3AD2">
        <w:t>decedent’s</w:t>
      </w:r>
      <w:r w:rsidR="00C64050">
        <w:t xml:space="preserve"> </w:t>
      </w:r>
      <w:r w:rsidRPr="008A3AD2">
        <w:t>interest</w:t>
      </w:r>
      <w:r w:rsidR="00C64050">
        <w:t xml:space="preserve"> </w:t>
      </w:r>
      <w:r w:rsidRPr="008A3AD2">
        <w:t>in</w:t>
      </w:r>
      <w:r w:rsidR="00C64050">
        <w:t xml:space="preserve"> </w:t>
      </w:r>
      <w:r w:rsidRPr="008A3AD2">
        <w:t>the</w:t>
      </w:r>
      <w:r w:rsidR="00C64050">
        <w:t xml:space="preserve"> </w:t>
      </w:r>
      <w:r w:rsidRPr="008A3AD2">
        <w:t>revocable</w:t>
      </w:r>
      <w:r w:rsidR="00C64050">
        <w:t xml:space="preserve"> </w:t>
      </w:r>
      <w:r w:rsidRPr="008A3AD2">
        <w:t>trust</w:t>
      </w:r>
      <w:r w:rsidR="00C64050">
        <w:t xml:space="preserve"> </w:t>
      </w:r>
      <w:r w:rsidRPr="008A3AD2">
        <w:t>correctly</w:t>
      </w:r>
      <w:r w:rsidR="00C64050">
        <w:t xml:space="preserve"> </w:t>
      </w:r>
      <w:r w:rsidRPr="008A3AD2">
        <w:t>as</w:t>
      </w:r>
      <w:r w:rsidR="00C64050">
        <w:t xml:space="preserve"> </w:t>
      </w:r>
      <w:r w:rsidRPr="008A3AD2">
        <w:t>an</w:t>
      </w:r>
      <w:r w:rsidR="00C64050">
        <w:t xml:space="preserve"> </w:t>
      </w:r>
      <w:r w:rsidRPr="008A3AD2">
        <w:t>assignee</w:t>
      </w:r>
      <w:r w:rsidR="00C64050">
        <w:t xml:space="preserve"> </w:t>
      </w:r>
      <w:r w:rsidRPr="008A3AD2">
        <w:t>interest</w:t>
      </w:r>
      <w:r w:rsidR="00C64050">
        <w:t xml:space="preserve"> </w:t>
      </w:r>
      <w:r w:rsidRPr="008A3AD2">
        <w:t>on</w:t>
      </w:r>
      <w:r w:rsidR="00C64050">
        <w:t xml:space="preserve"> </w:t>
      </w:r>
      <w:r w:rsidRPr="008A3AD2">
        <w:t>Schedule</w:t>
      </w:r>
      <w:r w:rsidR="00C64050">
        <w:t xml:space="preserve"> </w:t>
      </w:r>
      <w:r w:rsidRPr="008A3AD2">
        <w:t>G</w:t>
      </w:r>
      <w:r w:rsidR="00C64050">
        <w:t xml:space="preserve"> </w:t>
      </w:r>
      <w:r w:rsidRPr="008A3AD2">
        <w:t>of</w:t>
      </w:r>
      <w:r w:rsidR="00C64050">
        <w:t xml:space="preserve"> </w:t>
      </w:r>
      <w:r w:rsidRPr="008A3AD2">
        <w:t>its</w:t>
      </w:r>
      <w:r w:rsidR="00C64050">
        <w:t xml:space="preserve"> </w:t>
      </w:r>
      <w:r w:rsidRPr="008A3AD2">
        <w:t>tax</w:t>
      </w:r>
      <w:r w:rsidR="00C64050">
        <w:t xml:space="preserve"> </w:t>
      </w:r>
      <w:r w:rsidRPr="008A3AD2">
        <w:t>return.</w:t>
      </w:r>
      <w:r w:rsidR="00C64050">
        <w:t xml:space="preserve">  </w:t>
      </w:r>
      <w:r w:rsidRPr="008A3AD2">
        <w:t>Respondent</w:t>
      </w:r>
      <w:r w:rsidR="00C64050">
        <w:t xml:space="preserve"> </w:t>
      </w:r>
      <w:r w:rsidRPr="008A3AD2">
        <w:t>contends</w:t>
      </w:r>
      <w:r w:rsidR="00C64050">
        <w:t xml:space="preserve"> </w:t>
      </w:r>
      <w:r w:rsidRPr="008A3AD2">
        <w:t>that</w:t>
      </w:r>
      <w:r w:rsidR="00C64050">
        <w:t xml:space="preserve"> </w:t>
      </w:r>
      <w:r w:rsidRPr="008A3AD2">
        <w:t>the</w:t>
      </w:r>
      <w:r w:rsidR="00C64050">
        <w:t xml:space="preserve"> </w:t>
      </w:r>
      <w:r w:rsidRPr="008A3AD2">
        <w:t>agreement</w:t>
      </w:r>
      <w:r w:rsidR="00C64050">
        <w:t xml:space="preserve"> </w:t>
      </w:r>
      <w:r w:rsidRPr="008A3AD2">
        <w:t>did</w:t>
      </w:r>
      <w:r w:rsidR="00C64050">
        <w:t xml:space="preserve"> </w:t>
      </w:r>
      <w:r w:rsidRPr="008A3AD2">
        <w:t>not</w:t>
      </w:r>
      <w:r w:rsidR="00C64050">
        <w:t xml:space="preserve"> </w:t>
      </w:r>
      <w:r w:rsidRPr="008A3AD2">
        <w:t>create</w:t>
      </w:r>
      <w:r w:rsidR="00C64050">
        <w:t xml:space="preserve"> </w:t>
      </w:r>
      <w:r w:rsidRPr="008A3AD2">
        <w:t>an</w:t>
      </w:r>
      <w:r w:rsidR="00C64050">
        <w:t xml:space="preserve"> </w:t>
      </w:r>
      <w:r w:rsidRPr="008A3AD2">
        <w:t>assignee</w:t>
      </w:r>
      <w:r w:rsidR="00C64050">
        <w:t xml:space="preserve"> </w:t>
      </w:r>
      <w:r w:rsidRPr="008A3AD2">
        <w:t>interest</w:t>
      </w:r>
      <w:r w:rsidR="00C64050">
        <w:t xml:space="preserve"> </w:t>
      </w:r>
      <w:r w:rsidRPr="008A3AD2">
        <w:t>held</w:t>
      </w:r>
      <w:r w:rsidR="00C64050">
        <w:t xml:space="preserve"> </w:t>
      </w:r>
      <w:r w:rsidRPr="008A3AD2">
        <w:t>by</w:t>
      </w:r>
      <w:r w:rsidR="00C64050">
        <w:t xml:space="preserve"> </w:t>
      </w:r>
      <w:r w:rsidRPr="008A3AD2">
        <w:t>the</w:t>
      </w:r>
      <w:r w:rsidR="00C64050">
        <w:t xml:space="preserve"> </w:t>
      </w:r>
      <w:r w:rsidRPr="008A3AD2">
        <w:t>revocable</w:t>
      </w:r>
      <w:r w:rsidR="00C64050">
        <w:t xml:space="preserve"> </w:t>
      </w:r>
      <w:r w:rsidRPr="008A3AD2">
        <w:t>trust.</w:t>
      </w:r>
      <w:r w:rsidR="00C64050">
        <w:t xml:space="preserve">  </w:t>
      </w:r>
      <w:r w:rsidRPr="008A3AD2">
        <w:t>Respondent</w:t>
      </w:r>
      <w:r w:rsidR="00C64050">
        <w:t xml:space="preserve"> </w:t>
      </w:r>
      <w:r w:rsidRPr="008A3AD2">
        <w:t>argues</w:t>
      </w:r>
      <w:r w:rsidR="00C64050">
        <w:t xml:space="preserve"> </w:t>
      </w:r>
      <w:r w:rsidRPr="008A3AD2">
        <w:t>that</w:t>
      </w:r>
      <w:r w:rsidR="00C64050">
        <w:t xml:space="preserve"> </w:t>
      </w:r>
      <w:r w:rsidRPr="008A3AD2">
        <w:t>decedent</w:t>
      </w:r>
      <w:r w:rsidR="00C64050">
        <w:t xml:space="preserve"> </w:t>
      </w:r>
      <w:r w:rsidRPr="008A3AD2">
        <w:t>transferred</w:t>
      </w:r>
      <w:r w:rsidR="00C64050">
        <w:t xml:space="preserve"> </w:t>
      </w:r>
      <w:r w:rsidRPr="008A3AD2">
        <w:t>his</w:t>
      </w:r>
      <w:r w:rsidR="00C64050">
        <w:t xml:space="preserve"> </w:t>
      </w:r>
      <w:r w:rsidRPr="008A3AD2">
        <w:t>88.99%</w:t>
      </w:r>
      <w:r w:rsidR="00C64050">
        <w:t xml:space="preserve"> </w:t>
      </w:r>
      <w:r w:rsidRPr="008A3AD2">
        <w:t>limited</w:t>
      </w:r>
      <w:r w:rsidR="00C64050">
        <w:t xml:space="preserve"> </w:t>
      </w:r>
      <w:r w:rsidRPr="008A3AD2">
        <w:t>partnership</w:t>
      </w:r>
      <w:r w:rsidR="00C64050">
        <w:t xml:space="preserve"> </w:t>
      </w:r>
      <w:r w:rsidRPr="008A3AD2">
        <w:t>interest</w:t>
      </w:r>
      <w:r w:rsidR="00C64050">
        <w:t xml:space="preserve"> </w:t>
      </w:r>
      <w:r w:rsidRPr="008A3AD2">
        <w:t>to</w:t>
      </w:r>
      <w:r w:rsidR="00C64050">
        <w:t xml:space="preserve"> </w:t>
      </w:r>
      <w:r w:rsidRPr="008A3AD2">
        <w:t>the</w:t>
      </w:r>
      <w:r w:rsidR="00C64050">
        <w:t xml:space="preserve"> </w:t>
      </w:r>
      <w:r w:rsidRPr="008A3AD2">
        <w:t>revocable</w:t>
      </w:r>
      <w:r w:rsidR="00C64050">
        <w:t xml:space="preserve"> </w:t>
      </w:r>
      <w:r w:rsidRPr="008A3AD2">
        <w:t>trust</w:t>
      </w:r>
      <w:r w:rsidR="00C64050">
        <w:t xml:space="preserve"> </w:t>
      </w:r>
      <w:r w:rsidRPr="008A3AD2">
        <w:t>and</w:t>
      </w:r>
      <w:r w:rsidR="00C64050">
        <w:t xml:space="preserve"> </w:t>
      </w:r>
      <w:r w:rsidRPr="008A3AD2">
        <w:t>the</w:t>
      </w:r>
      <w:r w:rsidR="00C64050">
        <w:t xml:space="preserve"> </w:t>
      </w:r>
      <w:r w:rsidRPr="008A3AD2">
        <w:t>value</w:t>
      </w:r>
      <w:r w:rsidR="00C64050">
        <w:t xml:space="preserve"> </w:t>
      </w:r>
      <w:r w:rsidRPr="008A3AD2">
        <w:t>to</w:t>
      </w:r>
      <w:r w:rsidR="00C64050">
        <w:t xml:space="preserve"> </w:t>
      </w:r>
      <w:r w:rsidRPr="008A3AD2">
        <w:t>be</w:t>
      </w:r>
      <w:r w:rsidR="00C64050">
        <w:t xml:space="preserve"> </w:t>
      </w:r>
      <w:r w:rsidRPr="008A3AD2">
        <w:t>included</w:t>
      </w:r>
      <w:r w:rsidR="00C64050">
        <w:t xml:space="preserve"> </w:t>
      </w:r>
      <w:r w:rsidRPr="008A3AD2">
        <w:t>in</w:t>
      </w:r>
      <w:r w:rsidR="00C64050">
        <w:t xml:space="preserve"> </w:t>
      </w:r>
      <w:r w:rsidRPr="008A3AD2">
        <w:t>the</w:t>
      </w:r>
      <w:r w:rsidR="00C64050">
        <w:t xml:space="preserve"> </w:t>
      </w:r>
      <w:r w:rsidRPr="008A3AD2">
        <w:t>value</w:t>
      </w:r>
      <w:r w:rsidR="00C64050">
        <w:t xml:space="preserve"> </w:t>
      </w:r>
      <w:r w:rsidRPr="008A3AD2">
        <w:t>of</w:t>
      </w:r>
      <w:r w:rsidR="00C64050">
        <w:t xml:space="preserve"> </w:t>
      </w:r>
      <w:r w:rsidRPr="008A3AD2">
        <w:t>the</w:t>
      </w:r>
      <w:r w:rsidR="00C64050">
        <w:t xml:space="preserve"> </w:t>
      </w:r>
      <w:r w:rsidRPr="008A3AD2">
        <w:t>gross</w:t>
      </w:r>
      <w:r w:rsidR="00C64050">
        <w:t xml:space="preserve"> </w:t>
      </w:r>
      <w:r w:rsidRPr="008A3AD2">
        <w:t>estate</w:t>
      </w:r>
      <w:r w:rsidR="00C64050">
        <w:t xml:space="preserve"> </w:t>
      </w:r>
      <w:r w:rsidRPr="008A3AD2">
        <w:t>should</w:t>
      </w:r>
      <w:r w:rsidR="00C64050">
        <w:t xml:space="preserve"> </w:t>
      </w:r>
      <w:r w:rsidRPr="008A3AD2">
        <w:t>be</w:t>
      </w:r>
      <w:r w:rsidR="00C64050">
        <w:t xml:space="preserve"> </w:t>
      </w:r>
      <w:r w:rsidRPr="008A3AD2">
        <w:t>that</w:t>
      </w:r>
      <w:r w:rsidR="00C64050">
        <w:t xml:space="preserve"> </w:t>
      </w:r>
      <w:r w:rsidRPr="008A3AD2">
        <w:t>of</w:t>
      </w:r>
      <w:r w:rsidR="00C64050">
        <w:t xml:space="preserve"> </w:t>
      </w:r>
      <w:r w:rsidRPr="008A3AD2">
        <w:t>a</w:t>
      </w:r>
      <w:r w:rsidR="00C64050">
        <w:t xml:space="preserve"> </w:t>
      </w:r>
      <w:r w:rsidRPr="008A3AD2">
        <w:t>limited</w:t>
      </w:r>
      <w:r w:rsidR="00C64050">
        <w:t xml:space="preserve"> </w:t>
      </w:r>
      <w:r w:rsidRPr="008A3AD2">
        <w:t>partnership</w:t>
      </w:r>
      <w:r w:rsidR="00C64050">
        <w:t xml:space="preserve"> </w:t>
      </w:r>
      <w:r w:rsidRPr="008A3AD2">
        <w:t>interest.</w:t>
      </w:r>
    </w:p>
    <w:p w:rsidR="00914130" w:rsidRPr="008A3AD2" w:rsidRDefault="00914130" w:rsidP="00914130">
      <w:pPr>
        <w:pStyle w:val="QS10"/>
      </w:pPr>
      <w:r w:rsidRPr="008A3AD2">
        <w:t>We</w:t>
      </w:r>
      <w:r w:rsidR="00C64050">
        <w:t xml:space="preserve"> </w:t>
      </w:r>
      <w:r w:rsidRPr="008A3AD2">
        <w:t>need</w:t>
      </w:r>
      <w:r w:rsidR="00C64050">
        <w:t xml:space="preserve"> </w:t>
      </w:r>
      <w:r w:rsidRPr="008A3AD2">
        <w:t>to</w:t>
      </w:r>
      <w:r w:rsidR="00C64050">
        <w:t xml:space="preserve"> </w:t>
      </w:r>
      <w:r w:rsidRPr="008A3AD2">
        <w:t>determine</w:t>
      </w:r>
      <w:r w:rsidR="00C64050">
        <w:t xml:space="preserve"> </w:t>
      </w:r>
      <w:r w:rsidRPr="008A3AD2">
        <w:t>whether</w:t>
      </w:r>
      <w:r w:rsidR="00C64050">
        <w:t xml:space="preserve"> </w:t>
      </w:r>
      <w:r w:rsidRPr="008A3AD2">
        <w:t>the</w:t>
      </w:r>
      <w:r w:rsidR="00C64050">
        <w:t xml:space="preserve"> </w:t>
      </w:r>
      <w:r w:rsidRPr="008A3AD2">
        <w:t>interest</w:t>
      </w:r>
      <w:r w:rsidR="00C64050">
        <w:t xml:space="preserve"> </w:t>
      </w:r>
      <w:r w:rsidRPr="008A3AD2">
        <w:t>decedent</w:t>
      </w:r>
      <w:r w:rsidR="00C64050">
        <w:t xml:space="preserve"> </w:t>
      </w:r>
      <w:r w:rsidRPr="008A3AD2">
        <w:t>transferred</w:t>
      </w:r>
      <w:r w:rsidR="00C64050">
        <w:t xml:space="preserve"> </w:t>
      </w:r>
      <w:r w:rsidRPr="008A3AD2">
        <w:t>to</w:t>
      </w:r>
      <w:r w:rsidR="00C64050">
        <w:t xml:space="preserve"> </w:t>
      </w:r>
      <w:r w:rsidRPr="008A3AD2">
        <w:t>the</w:t>
      </w:r>
      <w:r w:rsidR="00C64050">
        <w:t xml:space="preserve"> </w:t>
      </w:r>
      <w:r w:rsidRPr="008A3AD2">
        <w:t>revocable</w:t>
      </w:r>
      <w:r w:rsidR="00C64050">
        <w:t xml:space="preserve"> </w:t>
      </w:r>
      <w:r w:rsidRPr="008A3AD2">
        <w:t>trust</w:t>
      </w:r>
      <w:r w:rsidR="00C64050">
        <w:t xml:space="preserve"> </w:t>
      </w:r>
      <w:r w:rsidRPr="008A3AD2">
        <w:t>was</w:t>
      </w:r>
      <w:r w:rsidR="00C64050">
        <w:t xml:space="preserve"> </w:t>
      </w:r>
      <w:r w:rsidRPr="008A3AD2">
        <w:t>a</w:t>
      </w:r>
      <w:r w:rsidR="00C64050">
        <w:t xml:space="preserve"> </w:t>
      </w:r>
      <w:r w:rsidRPr="008A3AD2">
        <w:t>limited</w:t>
      </w:r>
      <w:r w:rsidR="00C64050">
        <w:t xml:space="preserve"> </w:t>
      </w:r>
      <w:r w:rsidRPr="008A3AD2">
        <w:t>partnership</w:t>
      </w:r>
      <w:r w:rsidR="00C64050">
        <w:t xml:space="preserve"> </w:t>
      </w:r>
      <w:r w:rsidRPr="008A3AD2">
        <w:t>interest</w:t>
      </w:r>
      <w:r w:rsidR="00C64050">
        <w:t xml:space="preserve"> </w:t>
      </w:r>
      <w:r w:rsidRPr="008A3AD2">
        <w:t>or</w:t>
      </w:r>
      <w:r w:rsidR="00C64050">
        <w:t xml:space="preserve"> </w:t>
      </w:r>
      <w:r w:rsidRPr="008A3AD2">
        <w:t>an</w:t>
      </w:r>
      <w:r w:rsidR="00C64050">
        <w:t xml:space="preserve"> </w:t>
      </w:r>
      <w:r w:rsidRPr="008A3AD2">
        <w:t>assignee</w:t>
      </w:r>
      <w:r w:rsidR="00C64050">
        <w:t xml:space="preserve"> </w:t>
      </w:r>
      <w:r w:rsidRPr="008A3AD2">
        <w:t>interest.</w:t>
      </w:r>
      <w:r w:rsidR="00C64050">
        <w:t xml:space="preserve">  </w:t>
      </w:r>
      <w:r w:rsidRPr="008A3AD2">
        <w:t>Generally,</w:t>
      </w:r>
      <w:r w:rsidR="00C64050">
        <w:t xml:space="preserve"> </w:t>
      </w:r>
      <w:r w:rsidRPr="008A3AD2">
        <w:t>State</w:t>
      </w:r>
      <w:r w:rsidR="00C64050">
        <w:t xml:space="preserve"> </w:t>
      </w:r>
      <w:r w:rsidRPr="008A3AD2">
        <w:t>law</w:t>
      </w:r>
      <w:r w:rsidR="00C64050">
        <w:t xml:space="preserve"> </w:t>
      </w:r>
      <w:r w:rsidRPr="008A3AD2">
        <w:t>determines</w:t>
      </w:r>
      <w:r w:rsidR="00C64050">
        <w:t xml:space="preserve"> </w:t>
      </w:r>
      <w:r w:rsidRPr="008A3AD2">
        <w:t>the</w:t>
      </w:r>
      <w:r w:rsidR="00C64050">
        <w:t xml:space="preserve"> </w:t>
      </w:r>
      <w:r w:rsidRPr="008A3AD2">
        <w:t>property</w:t>
      </w:r>
      <w:r w:rsidR="00C64050">
        <w:t xml:space="preserve"> </w:t>
      </w:r>
      <w:r w:rsidRPr="008A3AD2">
        <w:t>interest</w:t>
      </w:r>
      <w:r w:rsidR="00C64050">
        <w:t xml:space="preserve"> </w:t>
      </w:r>
      <w:r w:rsidRPr="008A3AD2">
        <w:t>that</w:t>
      </w:r>
      <w:r w:rsidR="00C64050">
        <w:t xml:space="preserve"> </w:t>
      </w:r>
      <w:r w:rsidRPr="008A3AD2">
        <w:t>has</w:t>
      </w:r>
      <w:r w:rsidR="00C64050">
        <w:t xml:space="preserve"> </w:t>
      </w:r>
      <w:r w:rsidRPr="008A3AD2">
        <w:t>been</w:t>
      </w:r>
      <w:r w:rsidR="00C64050">
        <w:t xml:space="preserve"> </w:t>
      </w:r>
      <w:r w:rsidRPr="008A3AD2">
        <w:t>transferred</w:t>
      </w:r>
      <w:r w:rsidR="00C64050">
        <w:t xml:space="preserve"> </w:t>
      </w:r>
      <w:r w:rsidRPr="008A3AD2">
        <w:t>for</w:t>
      </w:r>
      <w:r w:rsidR="00C64050">
        <w:t xml:space="preserve"> </w:t>
      </w:r>
      <w:r w:rsidRPr="008A3AD2">
        <w:t>Federal</w:t>
      </w:r>
      <w:r w:rsidR="00C64050">
        <w:t xml:space="preserve"> </w:t>
      </w:r>
      <w:r w:rsidRPr="008A3AD2">
        <w:t>estate</w:t>
      </w:r>
      <w:r w:rsidR="00C64050">
        <w:t xml:space="preserve"> </w:t>
      </w:r>
      <w:r w:rsidRPr="008A3AD2">
        <w:t>tax</w:t>
      </w:r>
      <w:r w:rsidR="00C64050">
        <w:t xml:space="preserve"> </w:t>
      </w:r>
      <w:r w:rsidRPr="008A3AD2">
        <w:t>purposes.</w:t>
      </w:r>
      <w:r w:rsidR="00C64050">
        <w:t xml:space="preserve"> </w:t>
      </w:r>
      <w:r w:rsidRPr="008A3AD2">
        <w:t>See</w:t>
      </w:r>
      <w:r w:rsidR="00C64050">
        <w:t xml:space="preserve"> </w:t>
      </w:r>
      <w:r w:rsidRPr="0036314D">
        <w:rPr>
          <w:u w:val="single"/>
        </w:rPr>
        <w:t>McCord</w:t>
      </w:r>
      <w:r w:rsidR="00C64050">
        <w:rPr>
          <w:u w:val="single"/>
        </w:rPr>
        <w:t xml:space="preserve"> </w:t>
      </w:r>
      <w:r w:rsidRPr="0036314D">
        <w:rPr>
          <w:u w:val="single"/>
        </w:rPr>
        <w:t>v.</w:t>
      </w:r>
      <w:r w:rsidR="00C64050">
        <w:rPr>
          <w:u w:val="single"/>
        </w:rPr>
        <w:t xml:space="preserve"> </w:t>
      </w:r>
      <w:r w:rsidRPr="0036314D">
        <w:rPr>
          <w:u w:val="single"/>
        </w:rPr>
        <w:t>Commissioner</w:t>
      </w:r>
      <w:r w:rsidRPr="008A3AD2">
        <w:t>,</w:t>
      </w:r>
      <w:r w:rsidR="00C64050">
        <w:t xml:space="preserve"> </w:t>
      </w:r>
      <w:r w:rsidRPr="008A3AD2">
        <w:t>120</w:t>
      </w:r>
      <w:r w:rsidR="00C64050">
        <w:t xml:space="preserve"> </w:t>
      </w:r>
      <w:r w:rsidRPr="008A3AD2">
        <w:t>T.C.</w:t>
      </w:r>
      <w:r w:rsidR="00C64050">
        <w:t xml:space="preserve"> </w:t>
      </w:r>
      <w:r w:rsidRPr="008A3AD2">
        <w:t>358,</w:t>
      </w:r>
      <w:r w:rsidR="00C64050">
        <w:t xml:space="preserve"> </w:t>
      </w:r>
      <w:r w:rsidRPr="008A3AD2">
        <w:t>370</w:t>
      </w:r>
      <w:r w:rsidR="00C64050">
        <w:t xml:space="preserve"> </w:t>
      </w:r>
      <w:r w:rsidRPr="008A3AD2">
        <w:t>(2003),</w:t>
      </w:r>
      <w:r w:rsidR="00C64050">
        <w:t xml:space="preserve"> </w:t>
      </w:r>
      <w:r w:rsidRPr="008A3AD2">
        <w:t>rev’d</w:t>
      </w:r>
      <w:r w:rsidR="00C64050">
        <w:t xml:space="preserve"> </w:t>
      </w:r>
      <w:r w:rsidRPr="008A3AD2">
        <w:t>and</w:t>
      </w:r>
      <w:r w:rsidR="00C64050">
        <w:t xml:space="preserve"> </w:t>
      </w:r>
      <w:r w:rsidRPr="008A3AD2">
        <w:t>remanded</w:t>
      </w:r>
      <w:r w:rsidR="00C64050">
        <w:t xml:space="preserve"> </w:t>
      </w:r>
      <w:r w:rsidRPr="008A3AD2">
        <w:t>on</w:t>
      </w:r>
      <w:r w:rsidR="00C64050">
        <w:t xml:space="preserve"> </w:t>
      </w:r>
      <w:r w:rsidRPr="008A3AD2">
        <w:t>other</w:t>
      </w:r>
      <w:r w:rsidR="00C64050">
        <w:t xml:space="preserve"> </w:t>
      </w:r>
      <w:r w:rsidRPr="008A3AD2">
        <w:t>grounds,</w:t>
      </w:r>
      <w:r w:rsidR="00C64050">
        <w:t xml:space="preserve"> </w:t>
      </w:r>
      <w:r w:rsidRPr="008A3AD2">
        <w:t>461</w:t>
      </w:r>
      <w:r w:rsidR="00C64050">
        <w:t xml:space="preserve"> </w:t>
      </w:r>
      <w:r w:rsidRPr="008A3AD2">
        <w:t>F.3d</w:t>
      </w:r>
      <w:r w:rsidR="00C64050">
        <w:t xml:space="preserve"> </w:t>
      </w:r>
      <w:r w:rsidRPr="008A3AD2">
        <w:t>614</w:t>
      </w:r>
      <w:r w:rsidR="00C64050">
        <w:t xml:space="preserve"> </w:t>
      </w:r>
      <w:r w:rsidRPr="008A3AD2">
        <w:t>(5th</w:t>
      </w:r>
      <w:r w:rsidR="00C64050">
        <w:t xml:space="preserve"> </w:t>
      </w:r>
      <w:r w:rsidRPr="008A3AD2">
        <w:t>Cir.</w:t>
      </w:r>
      <w:r w:rsidR="00C64050">
        <w:t xml:space="preserve"> </w:t>
      </w:r>
      <w:r w:rsidRPr="008A3AD2">
        <w:t>2006).</w:t>
      </w:r>
      <w:r w:rsidR="00C64050">
        <w:t xml:space="preserve">  </w:t>
      </w:r>
      <w:r w:rsidRPr="008A3AD2">
        <w:t>TRLPA</w:t>
      </w:r>
      <w:r w:rsidR="00C64050">
        <w:t xml:space="preserve"> </w:t>
      </w:r>
      <w:r w:rsidRPr="008A3AD2">
        <w:t>(as</w:t>
      </w:r>
      <w:r w:rsidR="00C64050">
        <w:t xml:space="preserve"> </w:t>
      </w:r>
      <w:r w:rsidRPr="008A3AD2">
        <w:t>in</w:t>
      </w:r>
      <w:r w:rsidR="00C64050">
        <w:t xml:space="preserve"> </w:t>
      </w:r>
      <w:r w:rsidRPr="008A3AD2">
        <w:t>effect</w:t>
      </w:r>
      <w:r w:rsidR="00C64050">
        <w:t xml:space="preserve"> </w:t>
      </w:r>
      <w:r w:rsidRPr="008A3AD2">
        <w:t>for</w:t>
      </w:r>
      <w:r w:rsidR="00C64050">
        <w:t xml:space="preserve"> </w:t>
      </w:r>
      <w:r w:rsidRPr="008A3AD2">
        <w:t>the</w:t>
      </w:r>
      <w:r w:rsidR="00C64050">
        <w:t xml:space="preserve"> </w:t>
      </w:r>
      <w:r w:rsidRPr="008A3AD2">
        <w:t>relevant</w:t>
      </w:r>
      <w:r w:rsidR="00C64050">
        <w:t xml:space="preserve"> </w:t>
      </w:r>
      <w:r w:rsidRPr="008A3AD2">
        <w:t>period)</w:t>
      </w:r>
      <w:r w:rsidR="00C64050">
        <w:t xml:space="preserve"> </w:t>
      </w:r>
      <w:r w:rsidRPr="008A3AD2">
        <w:t>provides</w:t>
      </w:r>
      <w:r w:rsidR="00C64050">
        <w:t xml:space="preserve"> </w:t>
      </w:r>
      <w:r w:rsidRPr="008A3AD2">
        <w:t>that</w:t>
      </w:r>
      <w:r w:rsidR="00C64050">
        <w:t xml:space="preserve"> </w:t>
      </w:r>
      <w:r w:rsidRPr="008A3AD2">
        <w:t>a</w:t>
      </w:r>
      <w:r w:rsidR="00C64050">
        <w:t xml:space="preserve"> </w:t>
      </w:r>
      <w:r w:rsidRPr="008A3AD2">
        <w:t>partnership</w:t>
      </w:r>
      <w:r w:rsidR="00C64050">
        <w:t xml:space="preserve"> </w:t>
      </w:r>
      <w:r w:rsidRPr="008A3AD2">
        <w:t>interest</w:t>
      </w:r>
      <w:r w:rsidR="00C64050">
        <w:t xml:space="preserve"> </w:t>
      </w:r>
      <w:r w:rsidRPr="008A3AD2">
        <w:t>is</w:t>
      </w:r>
      <w:r w:rsidR="00C64050">
        <w:t xml:space="preserve"> </w:t>
      </w:r>
      <w:r w:rsidRPr="008A3AD2">
        <w:t>personal</w:t>
      </w:r>
      <w:r w:rsidR="00C64050">
        <w:t xml:space="preserve"> </w:t>
      </w:r>
      <w:r w:rsidRPr="008A3AD2">
        <w:t>property</w:t>
      </w:r>
      <w:r w:rsidR="00C64050">
        <w:t xml:space="preserve"> </w:t>
      </w:r>
      <w:r w:rsidRPr="008A3AD2">
        <w:t>and</w:t>
      </w:r>
      <w:r w:rsidR="00C64050">
        <w:t xml:space="preserve"> </w:t>
      </w:r>
      <w:r w:rsidRPr="008A3AD2">
        <w:t>is</w:t>
      </w:r>
      <w:r w:rsidR="00C64050">
        <w:t xml:space="preserve"> </w:t>
      </w:r>
      <w:r w:rsidRPr="008A3AD2">
        <w:t>assignable,</w:t>
      </w:r>
      <w:r w:rsidR="00C64050">
        <w:t xml:space="preserve"> </w:t>
      </w:r>
      <w:r w:rsidRPr="008A3AD2">
        <w:t>in</w:t>
      </w:r>
      <w:r w:rsidR="00C64050">
        <w:t xml:space="preserve"> </w:t>
      </w:r>
      <w:r w:rsidRPr="008A3AD2">
        <w:t>whole</w:t>
      </w:r>
      <w:r w:rsidR="00C64050">
        <w:t xml:space="preserve"> </w:t>
      </w:r>
      <w:r w:rsidRPr="008A3AD2">
        <w:t>or</w:t>
      </w:r>
      <w:r w:rsidR="00C64050">
        <w:t xml:space="preserve"> </w:t>
      </w:r>
      <w:r w:rsidRPr="008A3AD2">
        <w:t>in</w:t>
      </w:r>
      <w:r w:rsidR="00C64050">
        <w:t xml:space="preserve"> </w:t>
      </w:r>
      <w:r w:rsidRPr="008A3AD2">
        <w:t>part,</w:t>
      </w:r>
      <w:r w:rsidR="00C64050">
        <w:t xml:space="preserve"> </w:t>
      </w:r>
      <w:r w:rsidRPr="008A3AD2">
        <w:t>unless</w:t>
      </w:r>
      <w:r w:rsidR="00C64050">
        <w:t xml:space="preserve"> </w:t>
      </w:r>
      <w:r w:rsidRPr="008A3AD2">
        <w:t>the</w:t>
      </w:r>
      <w:r w:rsidR="00C64050">
        <w:t xml:space="preserve"> </w:t>
      </w:r>
      <w:r w:rsidRPr="008A3AD2">
        <w:t>partnership</w:t>
      </w:r>
      <w:r w:rsidR="00C64050">
        <w:t xml:space="preserve"> </w:t>
      </w:r>
      <w:r w:rsidRPr="008A3AD2">
        <w:t>agreement</w:t>
      </w:r>
      <w:r w:rsidR="00C64050">
        <w:t xml:space="preserve"> </w:t>
      </w:r>
      <w:r w:rsidRPr="008A3AD2">
        <w:t>provides</w:t>
      </w:r>
      <w:r w:rsidR="00C64050">
        <w:t xml:space="preserve"> </w:t>
      </w:r>
      <w:r w:rsidRPr="008A3AD2">
        <w:t>otherwise.</w:t>
      </w:r>
      <w:r w:rsidR="00C64050">
        <w:t xml:space="preserve"> </w:t>
      </w:r>
      <w:r w:rsidRPr="008A3AD2">
        <w:t>Tex.</w:t>
      </w:r>
      <w:r w:rsidR="00C64050">
        <w:t xml:space="preserve"> </w:t>
      </w:r>
      <w:r w:rsidRPr="008A3AD2">
        <w:t>Rev.</w:t>
      </w:r>
      <w:r w:rsidR="00C64050">
        <w:t xml:space="preserve"> </w:t>
      </w:r>
      <w:r w:rsidRPr="008A3AD2">
        <w:t>Civ.</w:t>
      </w:r>
      <w:r w:rsidR="00C64050">
        <w:t xml:space="preserve"> </w:t>
      </w:r>
      <w:r w:rsidRPr="008A3AD2">
        <w:t>Stat.</w:t>
      </w:r>
      <w:r w:rsidR="00C64050">
        <w:t xml:space="preserve"> </w:t>
      </w:r>
      <w:r w:rsidRPr="008A3AD2">
        <w:t>Ann.</w:t>
      </w:r>
      <w:r w:rsidR="00C64050">
        <w:t xml:space="preserve"> </w:t>
      </w:r>
      <w:r w:rsidRPr="008A3AD2">
        <w:t>art.</w:t>
      </w:r>
      <w:r w:rsidR="00C64050">
        <w:t xml:space="preserve"> </w:t>
      </w:r>
      <w:r w:rsidRPr="008A3AD2">
        <w:t>6132a-1,</w:t>
      </w:r>
      <w:r w:rsidR="00C64050">
        <w:t xml:space="preserve"> </w:t>
      </w:r>
      <w:r w:rsidRPr="008A3AD2">
        <w:t>secs.</w:t>
      </w:r>
      <w:r w:rsidR="00C64050">
        <w:t xml:space="preserve"> </w:t>
      </w:r>
      <w:r w:rsidRPr="008A3AD2">
        <w:t>7.01</w:t>
      </w:r>
      <w:r w:rsidR="00C64050">
        <w:t xml:space="preserve"> </w:t>
      </w:r>
      <w:r w:rsidRPr="008A3AD2">
        <w:t>and</w:t>
      </w:r>
      <w:r w:rsidR="00C64050">
        <w:t xml:space="preserve"> </w:t>
      </w:r>
      <w:r w:rsidRPr="008A3AD2">
        <w:t>7.02(a)(1)</w:t>
      </w:r>
      <w:r w:rsidR="00C64050">
        <w:t xml:space="preserve"> </w:t>
      </w:r>
      <w:r w:rsidRPr="008A3AD2">
        <w:t>(West).</w:t>
      </w:r>
      <w:r w:rsidR="00C64050">
        <w:t xml:space="preserve"> </w:t>
      </w:r>
      <w:r w:rsidRPr="008A3AD2">
        <w:t>An</w:t>
      </w:r>
      <w:r w:rsidR="00C64050">
        <w:t xml:space="preserve"> </w:t>
      </w:r>
      <w:r w:rsidRPr="008A3AD2">
        <w:t>assignee</w:t>
      </w:r>
      <w:r w:rsidR="00C64050">
        <w:t xml:space="preserve"> </w:t>
      </w:r>
      <w:r w:rsidRPr="008A3AD2">
        <w:t>of</w:t>
      </w:r>
      <w:r w:rsidR="00C64050">
        <w:t xml:space="preserve"> </w:t>
      </w:r>
      <w:r w:rsidRPr="008A3AD2">
        <w:t>a</w:t>
      </w:r>
      <w:r w:rsidR="00C64050">
        <w:t xml:space="preserve"> </w:t>
      </w:r>
      <w:r w:rsidRPr="008A3AD2">
        <w:t>partnership</w:t>
      </w:r>
      <w:r w:rsidR="00C64050">
        <w:t xml:space="preserve"> </w:t>
      </w:r>
      <w:r w:rsidRPr="008A3AD2">
        <w:t>interest</w:t>
      </w:r>
      <w:r w:rsidR="00C64050">
        <w:t xml:space="preserve"> </w:t>
      </w:r>
      <w:r w:rsidRPr="008A3AD2">
        <w:t>is</w:t>
      </w:r>
      <w:r w:rsidR="00C64050">
        <w:t xml:space="preserve"> </w:t>
      </w:r>
      <w:r w:rsidRPr="008A3AD2">
        <w:t>entitled</w:t>
      </w:r>
      <w:r w:rsidR="00C64050">
        <w:t xml:space="preserve"> </w:t>
      </w:r>
      <w:r w:rsidRPr="008A3AD2">
        <w:t>to</w:t>
      </w:r>
      <w:r w:rsidR="00C64050">
        <w:t xml:space="preserve"> </w:t>
      </w:r>
      <w:r w:rsidRPr="008A3AD2">
        <w:t>receive,</w:t>
      </w:r>
      <w:r w:rsidR="00C64050">
        <w:t xml:space="preserve"> </w:t>
      </w:r>
      <w:r w:rsidRPr="008A3AD2">
        <w:t>to</w:t>
      </w:r>
      <w:r w:rsidR="00C64050">
        <w:t xml:space="preserve"> </w:t>
      </w:r>
      <w:r w:rsidRPr="008A3AD2">
        <w:t>the</w:t>
      </w:r>
      <w:r w:rsidR="00C64050">
        <w:t xml:space="preserve"> </w:t>
      </w:r>
      <w:r w:rsidRPr="008A3AD2">
        <w:t>extent</w:t>
      </w:r>
      <w:r w:rsidR="00C64050">
        <w:t xml:space="preserve"> </w:t>
      </w:r>
      <w:r w:rsidRPr="008A3AD2">
        <w:t>assigned,</w:t>
      </w:r>
      <w:r w:rsidR="00C64050">
        <w:t xml:space="preserve"> </w:t>
      </w:r>
      <w:r w:rsidRPr="008A3AD2">
        <w:t>allocations</w:t>
      </w:r>
      <w:r w:rsidR="00C64050">
        <w:t xml:space="preserve"> </w:t>
      </w:r>
      <w:r w:rsidRPr="008A3AD2">
        <w:t>of</w:t>
      </w:r>
      <w:r w:rsidR="00C64050">
        <w:t xml:space="preserve"> </w:t>
      </w:r>
      <w:r w:rsidRPr="008A3AD2">
        <w:t>income,</w:t>
      </w:r>
      <w:r w:rsidR="00C64050">
        <w:t xml:space="preserve"> </w:t>
      </w:r>
      <w:r w:rsidRPr="008A3AD2">
        <w:t>gain,</w:t>
      </w:r>
      <w:r w:rsidR="00C64050">
        <w:t xml:space="preserve"> </w:t>
      </w:r>
      <w:r w:rsidRPr="008A3AD2">
        <w:t>loss,</w:t>
      </w:r>
      <w:r w:rsidR="00C64050">
        <w:t xml:space="preserve"> </w:t>
      </w:r>
      <w:r w:rsidRPr="008A3AD2">
        <w:t>deduction,</w:t>
      </w:r>
      <w:r w:rsidR="00C64050">
        <w:t xml:space="preserve"> </w:t>
      </w:r>
      <w:r w:rsidRPr="008A3AD2">
        <w:t>credit,</w:t>
      </w:r>
      <w:r w:rsidR="00C64050">
        <w:t xml:space="preserve"> </w:t>
      </w:r>
      <w:r w:rsidRPr="008A3AD2">
        <w:t>or</w:t>
      </w:r>
      <w:r w:rsidR="00C64050">
        <w:t xml:space="preserve"> </w:t>
      </w:r>
      <w:r w:rsidRPr="008A3AD2">
        <w:t>similar</w:t>
      </w:r>
      <w:r w:rsidR="00C64050">
        <w:t xml:space="preserve"> </w:t>
      </w:r>
      <w:r w:rsidRPr="008A3AD2">
        <w:t>items,</w:t>
      </w:r>
      <w:r w:rsidR="00C64050">
        <w:t xml:space="preserve"> </w:t>
      </w:r>
      <w:r w:rsidRPr="008A3AD2">
        <w:t>and</w:t>
      </w:r>
      <w:r w:rsidR="00C64050">
        <w:t xml:space="preserve"> </w:t>
      </w:r>
      <w:r w:rsidRPr="008A3AD2">
        <w:t>to</w:t>
      </w:r>
      <w:r w:rsidR="00C64050">
        <w:t xml:space="preserve"> </w:t>
      </w:r>
      <w:r w:rsidRPr="008A3AD2">
        <w:t>receive</w:t>
      </w:r>
      <w:r w:rsidR="00C64050">
        <w:t xml:space="preserve"> </w:t>
      </w:r>
      <w:r w:rsidRPr="008A3AD2">
        <w:t>distributions</w:t>
      </w:r>
      <w:r w:rsidR="00C64050">
        <w:t xml:space="preserve"> </w:t>
      </w:r>
      <w:r w:rsidRPr="008A3AD2">
        <w:t>to</w:t>
      </w:r>
      <w:r w:rsidR="00C64050">
        <w:t xml:space="preserve"> </w:t>
      </w:r>
      <w:r w:rsidRPr="008A3AD2">
        <w:t>which</w:t>
      </w:r>
      <w:r w:rsidR="00C64050">
        <w:t xml:space="preserve"> </w:t>
      </w:r>
      <w:r w:rsidRPr="008A3AD2">
        <w:t>the</w:t>
      </w:r>
      <w:r w:rsidR="00C64050">
        <w:t xml:space="preserve"> </w:t>
      </w:r>
      <w:r w:rsidRPr="008A3AD2">
        <w:t>assignor</w:t>
      </w:r>
      <w:r w:rsidR="00C64050">
        <w:t xml:space="preserve"> </w:t>
      </w:r>
      <w:r w:rsidRPr="008A3AD2">
        <w:t>is</w:t>
      </w:r>
      <w:r w:rsidR="00C64050">
        <w:t xml:space="preserve"> </w:t>
      </w:r>
      <w:r w:rsidRPr="008A3AD2">
        <w:t>entitled,</w:t>
      </w:r>
      <w:r w:rsidR="00C64050">
        <w:t xml:space="preserve"> </w:t>
      </w:r>
      <w:r w:rsidRPr="008A3AD2">
        <w:t>but</w:t>
      </w:r>
      <w:r w:rsidR="00C64050">
        <w:t xml:space="preserve"> </w:t>
      </w:r>
      <w:r w:rsidRPr="008A3AD2">
        <w:t>an</w:t>
      </w:r>
      <w:r w:rsidR="00C64050">
        <w:t xml:space="preserve"> </w:t>
      </w:r>
      <w:r w:rsidRPr="008A3AD2">
        <w:t>assignment</w:t>
      </w:r>
      <w:r w:rsidR="00C64050">
        <w:t xml:space="preserve"> </w:t>
      </w:r>
      <w:r w:rsidRPr="008A3AD2">
        <w:t>does</w:t>
      </w:r>
      <w:r w:rsidR="00C64050">
        <w:t xml:space="preserve"> </w:t>
      </w:r>
      <w:r w:rsidRPr="008A3AD2">
        <w:t>not</w:t>
      </w:r>
      <w:r w:rsidR="00C64050">
        <w:t xml:space="preserve"> </w:t>
      </w:r>
      <w:r w:rsidRPr="008A3AD2">
        <w:t>entitle</w:t>
      </w:r>
      <w:r w:rsidR="00C64050">
        <w:t xml:space="preserve"> </w:t>
      </w:r>
      <w:r w:rsidRPr="008A3AD2">
        <w:t>the</w:t>
      </w:r>
      <w:r w:rsidR="00C64050">
        <w:t xml:space="preserve"> </w:t>
      </w:r>
      <w:r w:rsidRPr="008A3AD2">
        <w:t>assignee</w:t>
      </w:r>
      <w:r w:rsidR="00C64050">
        <w:t xml:space="preserve"> </w:t>
      </w:r>
      <w:r w:rsidRPr="008A3AD2">
        <w:t>“to</w:t>
      </w:r>
      <w:r w:rsidR="00C64050">
        <w:t xml:space="preserve"> </w:t>
      </w:r>
      <w:r w:rsidRPr="008A3AD2">
        <w:t>become,</w:t>
      </w:r>
      <w:r w:rsidR="00C64050">
        <w:t xml:space="preserve"> </w:t>
      </w:r>
      <w:r w:rsidRPr="008A3AD2">
        <w:t>or</w:t>
      </w:r>
      <w:r w:rsidR="00C64050">
        <w:t xml:space="preserve"> </w:t>
      </w:r>
      <w:r w:rsidRPr="008A3AD2">
        <w:t>to</w:t>
      </w:r>
      <w:r w:rsidR="00C64050">
        <w:t xml:space="preserve"> </w:t>
      </w:r>
      <w:r w:rsidRPr="008A3AD2">
        <w:t>exercise</w:t>
      </w:r>
      <w:r w:rsidR="00C64050">
        <w:t xml:space="preserve"> </w:t>
      </w:r>
      <w:r w:rsidRPr="008A3AD2">
        <w:t>rights</w:t>
      </w:r>
      <w:r w:rsidR="00C64050">
        <w:t xml:space="preserve"> </w:t>
      </w:r>
      <w:r w:rsidRPr="008A3AD2">
        <w:t>or</w:t>
      </w:r>
      <w:r w:rsidR="00C64050">
        <w:t xml:space="preserve"> </w:t>
      </w:r>
      <w:r w:rsidRPr="008A3AD2">
        <w:t>powers</w:t>
      </w:r>
      <w:r w:rsidR="00C64050">
        <w:t xml:space="preserve"> </w:t>
      </w:r>
      <w:r w:rsidRPr="008A3AD2">
        <w:t>of,</w:t>
      </w:r>
      <w:r w:rsidR="00C64050">
        <w:t xml:space="preserve"> </w:t>
      </w:r>
      <w:r w:rsidRPr="008A3AD2">
        <w:t>a</w:t>
      </w:r>
      <w:r w:rsidR="00C64050">
        <w:t xml:space="preserve"> </w:t>
      </w:r>
      <w:r w:rsidRPr="008A3AD2">
        <w:t>partner”.</w:t>
      </w:r>
      <w:r w:rsidR="00C64050">
        <w:t xml:space="preserve"> </w:t>
      </w:r>
      <w:r w:rsidRPr="008A3AD2">
        <w:t>Id.</w:t>
      </w:r>
      <w:r w:rsidR="00C64050">
        <w:t xml:space="preserve"> </w:t>
      </w:r>
      <w:r w:rsidRPr="008A3AD2">
        <w:t>sec.</w:t>
      </w:r>
      <w:r w:rsidR="00C64050">
        <w:t xml:space="preserve"> </w:t>
      </w:r>
      <w:r w:rsidRPr="008A3AD2">
        <w:t>7.02(a)(2)</w:t>
      </w:r>
      <w:r w:rsidR="00C64050">
        <w:t xml:space="preserve"> </w:t>
      </w:r>
      <w:r w:rsidRPr="008A3AD2">
        <w:t>and</w:t>
      </w:r>
      <w:r w:rsidR="00C64050">
        <w:t xml:space="preserve"> </w:t>
      </w:r>
      <w:r w:rsidRPr="008A3AD2">
        <w:t>(3).</w:t>
      </w:r>
      <w:r w:rsidR="00C64050">
        <w:t xml:space="preserve"> </w:t>
      </w:r>
      <w:r w:rsidRPr="008A3AD2">
        <w:t>The</w:t>
      </w:r>
      <w:r w:rsidR="00C64050">
        <w:t xml:space="preserve"> </w:t>
      </w:r>
      <w:r w:rsidRPr="008A3AD2">
        <w:t>assignee</w:t>
      </w:r>
      <w:r w:rsidR="00C64050">
        <w:t xml:space="preserve"> </w:t>
      </w:r>
      <w:r w:rsidRPr="008A3AD2">
        <w:t>may</w:t>
      </w:r>
      <w:r w:rsidR="00C64050">
        <w:t xml:space="preserve"> </w:t>
      </w:r>
      <w:r w:rsidRPr="008A3AD2">
        <w:t>become</w:t>
      </w:r>
      <w:r w:rsidR="00C64050">
        <w:t xml:space="preserve"> </w:t>
      </w:r>
      <w:r w:rsidRPr="008A3AD2">
        <w:t>a</w:t>
      </w:r>
      <w:r w:rsidR="00C64050">
        <w:t xml:space="preserve"> </w:t>
      </w:r>
      <w:r w:rsidRPr="008A3AD2">
        <w:t>limited</w:t>
      </w:r>
      <w:r w:rsidR="00C64050">
        <w:t xml:space="preserve"> </w:t>
      </w:r>
      <w:r w:rsidRPr="008A3AD2">
        <w:t>partner,</w:t>
      </w:r>
      <w:r w:rsidR="00C64050">
        <w:t xml:space="preserve"> </w:t>
      </w:r>
      <w:r w:rsidRPr="008A3AD2">
        <w:t>with</w:t>
      </w:r>
      <w:r w:rsidR="00C64050">
        <w:t xml:space="preserve"> </w:t>
      </w:r>
      <w:r w:rsidRPr="008A3AD2">
        <w:t>all</w:t>
      </w:r>
      <w:r w:rsidR="00C64050">
        <w:t xml:space="preserve"> </w:t>
      </w:r>
      <w:r w:rsidRPr="008A3AD2">
        <w:t>rights</w:t>
      </w:r>
      <w:r w:rsidR="00C64050">
        <w:t xml:space="preserve"> </w:t>
      </w:r>
      <w:r w:rsidRPr="008A3AD2">
        <w:t>and</w:t>
      </w:r>
      <w:r w:rsidR="00C64050">
        <w:t xml:space="preserve"> </w:t>
      </w:r>
      <w:r w:rsidRPr="008A3AD2">
        <w:t>powers</w:t>
      </w:r>
      <w:r w:rsidR="00C64050">
        <w:t xml:space="preserve"> </w:t>
      </w:r>
      <w:r w:rsidRPr="008A3AD2">
        <w:t>of</w:t>
      </w:r>
      <w:r w:rsidR="00C64050">
        <w:t xml:space="preserve"> </w:t>
      </w:r>
      <w:r w:rsidRPr="008A3AD2">
        <w:t>a</w:t>
      </w:r>
      <w:r w:rsidR="00C64050">
        <w:t xml:space="preserve"> </w:t>
      </w:r>
      <w:r w:rsidRPr="008A3AD2">
        <w:t>limited</w:t>
      </w:r>
      <w:r w:rsidR="00C64050">
        <w:t xml:space="preserve"> </w:t>
      </w:r>
      <w:r w:rsidRPr="008A3AD2">
        <w:t>partner</w:t>
      </w:r>
      <w:r w:rsidR="00C64050">
        <w:t xml:space="preserve"> </w:t>
      </w:r>
      <w:r w:rsidRPr="008A3AD2">
        <w:t>under</w:t>
      </w:r>
      <w:r w:rsidR="00C64050">
        <w:t xml:space="preserve"> </w:t>
      </w:r>
      <w:r w:rsidRPr="008A3AD2">
        <w:t>a</w:t>
      </w:r>
      <w:r w:rsidR="00C64050">
        <w:t xml:space="preserve"> </w:t>
      </w:r>
      <w:r w:rsidRPr="008A3AD2">
        <w:t>partnership</w:t>
      </w:r>
      <w:r w:rsidR="00C64050">
        <w:t xml:space="preserve"> </w:t>
      </w:r>
      <w:r w:rsidRPr="008A3AD2">
        <w:t>agreement,</w:t>
      </w:r>
      <w:r w:rsidR="00C64050">
        <w:t xml:space="preserve"> </w:t>
      </w:r>
      <w:r w:rsidRPr="008A3AD2">
        <w:t>in</w:t>
      </w:r>
      <w:r w:rsidR="00C64050">
        <w:t xml:space="preserve"> </w:t>
      </w:r>
      <w:r w:rsidRPr="008A3AD2">
        <w:t>the</w:t>
      </w:r>
      <w:r w:rsidR="00C64050">
        <w:t xml:space="preserve"> </w:t>
      </w:r>
      <w:r w:rsidRPr="008A3AD2">
        <w:t>manner</w:t>
      </w:r>
      <w:r w:rsidR="00C64050">
        <w:t xml:space="preserve"> </w:t>
      </w:r>
      <w:r w:rsidRPr="008A3AD2">
        <w:t>that</w:t>
      </w:r>
      <w:r w:rsidR="00C64050">
        <w:t xml:space="preserve"> </w:t>
      </w:r>
      <w:r w:rsidRPr="008A3AD2">
        <w:t>the</w:t>
      </w:r>
      <w:r w:rsidR="00C64050">
        <w:t xml:space="preserve"> </w:t>
      </w:r>
      <w:r w:rsidRPr="008A3AD2">
        <w:t>partnership</w:t>
      </w:r>
      <w:r w:rsidR="00C64050">
        <w:t xml:space="preserve"> </w:t>
      </w:r>
      <w:r w:rsidRPr="008A3AD2">
        <w:t>agreement</w:t>
      </w:r>
      <w:r w:rsidR="00C64050">
        <w:t xml:space="preserve"> </w:t>
      </w:r>
      <w:r w:rsidRPr="008A3AD2">
        <w:t>provides</w:t>
      </w:r>
      <w:r w:rsidR="00C64050">
        <w:t xml:space="preserve"> </w:t>
      </w:r>
      <w:r w:rsidRPr="008A3AD2">
        <w:t>or</w:t>
      </w:r>
      <w:r w:rsidR="00C64050">
        <w:t xml:space="preserve"> </w:t>
      </w:r>
      <w:r w:rsidRPr="008A3AD2">
        <w:t>if</w:t>
      </w:r>
      <w:r w:rsidR="00C64050">
        <w:t xml:space="preserve"> </w:t>
      </w:r>
      <w:r w:rsidRPr="008A3AD2">
        <w:t>all</w:t>
      </w:r>
      <w:r w:rsidR="00C64050">
        <w:t xml:space="preserve"> </w:t>
      </w:r>
      <w:r w:rsidRPr="008A3AD2">
        <w:t>partners</w:t>
      </w:r>
      <w:r w:rsidR="00C64050">
        <w:t xml:space="preserve"> </w:t>
      </w:r>
      <w:r w:rsidRPr="008A3AD2">
        <w:t>consent.</w:t>
      </w:r>
      <w:r w:rsidR="00C64050">
        <w:t xml:space="preserve"> </w:t>
      </w:r>
      <w:r w:rsidRPr="008A3AD2">
        <w:t>Id.</w:t>
      </w:r>
      <w:r w:rsidR="00C64050">
        <w:t xml:space="preserve"> </w:t>
      </w:r>
      <w:r w:rsidRPr="008A3AD2">
        <w:t>sec.</w:t>
      </w:r>
      <w:r w:rsidR="00C64050">
        <w:t xml:space="preserve"> </w:t>
      </w:r>
      <w:r w:rsidRPr="008A3AD2">
        <w:t>7.04(a)</w:t>
      </w:r>
      <w:r w:rsidR="00C64050">
        <w:t xml:space="preserve"> </w:t>
      </w:r>
      <w:r w:rsidRPr="008A3AD2">
        <w:t>and</w:t>
      </w:r>
      <w:r w:rsidR="00C64050">
        <w:t xml:space="preserve"> </w:t>
      </w:r>
      <w:r w:rsidRPr="008A3AD2">
        <w:t>(b).</w:t>
      </w:r>
    </w:p>
    <w:p w:rsidR="00914130" w:rsidRPr="008A3AD2" w:rsidRDefault="00914130" w:rsidP="00914130">
      <w:pPr>
        <w:pStyle w:val="QS10"/>
      </w:pPr>
      <w:r w:rsidRPr="008A3AD2">
        <w:t>Although</w:t>
      </w:r>
      <w:r w:rsidR="00C64050">
        <w:t xml:space="preserve"> </w:t>
      </w:r>
      <w:r w:rsidRPr="008A3AD2">
        <w:t>we</w:t>
      </w:r>
      <w:r w:rsidR="00C64050">
        <w:t xml:space="preserve"> </w:t>
      </w:r>
      <w:r w:rsidRPr="008A3AD2">
        <w:t>consult</w:t>
      </w:r>
      <w:r w:rsidR="00C64050">
        <w:t xml:space="preserve"> </w:t>
      </w:r>
      <w:r w:rsidRPr="008A3AD2">
        <w:t>State</w:t>
      </w:r>
      <w:r w:rsidR="00C64050">
        <w:t xml:space="preserve"> </w:t>
      </w:r>
      <w:r w:rsidRPr="008A3AD2">
        <w:t>law</w:t>
      </w:r>
      <w:r w:rsidR="00C64050">
        <w:t xml:space="preserve"> </w:t>
      </w:r>
      <w:r w:rsidRPr="008A3AD2">
        <w:t>to</w:t>
      </w:r>
      <w:r w:rsidR="00C64050">
        <w:t xml:space="preserve"> </w:t>
      </w:r>
      <w:r w:rsidRPr="008A3AD2">
        <w:t>determine</w:t>
      </w:r>
      <w:r w:rsidR="00C64050">
        <w:t xml:space="preserve"> </w:t>
      </w:r>
      <w:r w:rsidRPr="008A3AD2">
        <w:t>what</w:t>
      </w:r>
      <w:r w:rsidR="00C64050">
        <w:t xml:space="preserve"> </w:t>
      </w:r>
      <w:r w:rsidRPr="008A3AD2">
        <w:t>property</w:t>
      </w:r>
      <w:r w:rsidR="00C64050">
        <w:t xml:space="preserve"> </w:t>
      </w:r>
      <w:r w:rsidRPr="008A3AD2">
        <w:t>interests</w:t>
      </w:r>
      <w:r w:rsidR="00C64050">
        <w:t xml:space="preserve"> </w:t>
      </w:r>
      <w:r w:rsidRPr="008A3AD2">
        <w:t>were</w:t>
      </w:r>
      <w:r w:rsidR="00C64050">
        <w:t xml:space="preserve"> </w:t>
      </w:r>
      <w:r w:rsidRPr="008A3AD2">
        <w:t>transferred,</w:t>
      </w:r>
      <w:r w:rsidR="00C64050">
        <w:t xml:space="preserve"> </w:t>
      </w:r>
      <w:r w:rsidRPr="008A3AD2">
        <w:t>our</w:t>
      </w:r>
      <w:r w:rsidR="00C64050">
        <w:t xml:space="preserve"> </w:t>
      </w:r>
      <w:r w:rsidRPr="008A3AD2">
        <w:t>inquiry</w:t>
      </w:r>
      <w:r w:rsidR="00C64050">
        <w:t xml:space="preserve"> </w:t>
      </w:r>
      <w:r w:rsidRPr="008A3AD2">
        <w:t>may</w:t>
      </w:r>
      <w:r w:rsidR="00C64050">
        <w:t xml:space="preserve"> </w:t>
      </w:r>
      <w:r w:rsidRPr="008A3AD2">
        <w:t>not</w:t>
      </w:r>
      <w:r w:rsidR="00C64050">
        <w:t xml:space="preserve"> </w:t>
      </w:r>
      <w:r w:rsidRPr="008A3AD2">
        <w:t>end</w:t>
      </w:r>
      <w:r w:rsidR="00C64050">
        <w:t xml:space="preserve"> </w:t>
      </w:r>
      <w:r w:rsidRPr="008A3AD2">
        <w:t>there.</w:t>
      </w:r>
      <w:r w:rsidR="00C64050">
        <w:t xml:space="preserve"> </w:t>
      </w:r>
      <w:r w:rsidRPr="008A3AD2">
        <w:t>See</w:t>
      </w:r>
      <w:r w:rsidR="00C64050">
        <w:t xml:space="preserve"> </w:t>
      </w:r>
      <w:r w:rsidRPr="00914130">
        <w:rPr>
          <w:u w:val="single"/>
        </w:rPr>
        <w:t>McCord</w:t>
      </w:r>
      <w:r w:rsidR="00C64050">
        <w:rPr>
          <w:u w:val="single"/>
        </w:rPr>
        <w:t xml:space="preserve"> </w:t>
      </w:r>
      <w:r w:rsidRPr="00914130">
        <w:rPr>
          <w:u w:val="single"/>
        </w:rPr>
        <w:t>v.</w:t>
      </w:r>
      <w:r w:rsidR="00C64050">
        <w:rPr>
          <w:u w:val="single"/>
        </w:rPr>
        <w:t xml:space="preserve"> </w:t>
      </w:r>
      <w:r w:rsidRPr="00914130">
        <w:rPr>
          <w:u w:val="single"/>
        </w:rPr>
        <w:t>Commissioner</w:t>
      </w:r>
      <w:r w:rsidRPr="008A3AD2">
        <w:t>,</w:t>
      </w:r>
      <w:r w:rsidR="00C64050">
        <w:t xml:space="preserve"> </w:t>
      </w:r>
      <w:r w:rsidRPr="008A3AD2">
        <w:t>120</w:t>
      </w:r>
      <w:r w:rsidR="00C64050">
        <w:t xml:space="preserve"> </w:t>
      </w:r>
      <w:r w:rsidRPr="008A3AD2">
        <w:t>T.C.</w:t>
      </w:r>
      <w:r w:rsidR="00C64050">
        <w:t xml:space="preserve"> </w:t>
      </w:r>
      <w:r w:rsidRPr="008A3AD2">
        <w:t>at</w:t>
      </w:r>
      <w:r w:rsidR="00C64050">
        <w:t xml:space="preserve"> </w:t>
      </w:r>
      <w:r w:rsidRPr="008A3AD2">
        <w:t>371.</w:t>
      </w:r>
      <w:r w:rsidR="00C64050">
        <w:t xml:space="preserve"> </w:t>
      </w:r>
      <w:r w:rsidRPr="008A3AD2">
        <w:t>The</w:t>
      </w:r>
      <w:r w:rsidR="00C64050">
        <w:t xml:space="preserve"> </w:t>
      </w:r>
      <w:r w:rsidRPr="008A3AD2">
        <w:t>Federal</w:t>
      </w:r>
      <w:r w:rsidR="00C64050">
        <w:t xml:space="preserve"> </w:t>
      </w:r>
      <w:r w:rsidRPr="008A3AD2">
        <w:t>tax</w:t>
      </w:r>
      <w:r w:rsidR="00C64050">
        <w:t xml:space="preserve"> </w:t>
      </w:r>
      <w:r w:rsidRPr="008A3AD2">
        <w:t>effect</w:t>
      </w:r>
      <w:r w:rsidR="00C64050">
        <w:t xml:space="preserve"> </w:t>
      </w:r>
      <w:r w:rsidRPr="008A3AD2">
        <w:t>of</w:t>
      </w:r>
      <w:r w:rsidR="00C64050">
        <w:t xml:space="preserve"> </w:t>
      </w:r>
      <w:r w:rsidRPr="008A3AD2">
        <w:t>a</w:t>
      </w:r>
      <w:r w:rsidR="00C64050">
        <w:t xml:space="preserve"> </w:t>
      </w:r>
      <w:r w:rsidRPr="008A3AD2">
        <w:t>particular</w:t>
      </w:r>
      <w:r w:rsidR="00C64050">
        <w:t xml:space="preserve"> </w:t>
      </w:r>
      <w:r w:rsidRPr="008A3AD2">
        <w:t>transaction</w:t>
      </w:r>
      <w:r w:rsidR="00C64050">
        <w:t xml:space="preserve"> </w:t>
      </w:r>
      <w:r w:rsidRPr="008A3AD2">
        <w:t>is</w:t>
      </w:r>
      <w:r w:rsidR="00C64050">
        <w:t xml:space="preserve"> </w:t>
      </w:r>
      <w:r w:rsidRPr="008A3AD2">
        <w:t>governed</w:t>
      </w:r>
      <w:r w:rsidR="00C64050">
        <w:t xml:space="preserve"> </w:t>
      </w:r>
      <w:r w:rsidRPr="008A3AD2">
        <w:t>by</w:t>
      </w:r>
      <w:r w:rsidR="00C64050">
        <w:t xml:space="preserve"> </w:t>
      </w:r>
      <w:r w:rsidRPr="008A3AD2">
        <w:t>the</w:t>
      </w:r>
      <w:r w:rsidR="00C64050">
        <w:t xml:space="preserve"> </w:t>
      </w:r>
      <w:r w:rsidRPr="008A3AD2">
        <w:t>substance</w:t>
      </w:r>
      <w:r w:rsidR="00C64050">
        <w:t xml:space="preserve"> </w:t>
      </w:r>
      <w:r w:rsidRPr="008A3AD2">
        <w:t>of</w:t>
      </w:r>
      <w:r w:rsidR="00C64050">
        <w:t xml:space="preserve"> </w:t>
      </w:r>
      <w:r w:rsidRPr="008A3AD2">
        <w:t>the</w:t>
      </w:r>
      <w:r w:rsidR="00C64050">
        <w:t xml:space="preserve"> </w:t>
      </w:r>
      <w:r w:rsidRPr="008A3AD2">
        <w:t>transaction</w:t>
      </w:r>
      <w:r w:rsidR="00C64050">
        <w:t xml:space="preserve"> </w:t>
      </w:r>
      <w:r w:rsidRPr="008A3AD2">
        <w:t>rather</w:t>
      </w:r>
      <w:r w:rsidR="00C64050">
        <w:t xml:space="preserve"> </w:t>
      </w:r>
      <w:r w:rsidRPr="008A3AD2">
        <w:t>than</w:t>
      </w:r>
      <w:r w:rsidR="00C64050">
        <w:t xml:space="preserve"> </w:t>
      </w:r>
      <w:r w:rsidRPr="008A3AD2">
        <w:t>its</w:t>
      </w:r>
      <w:r w:rsidR="00C64050">
        <w:t xml:space="preserve"> </w:t>
      </w:r>
      <w:r w:rsidRPr="008A3AD2">
        <w:t>form.</w:t>
      </w:r>
      <w:r w:rsidR="00C64050">
        <w:t xml:space="preserve"> </w:t>
      </w:r>
      <w:r w:rsidRPr="0036314D">
        <w:rPr>
          <w:u w:val="single"/>
        </w:rPr>
        <w:t>Frank</w:t>
      </w:r>
      <w:r w:rsidR="00C64050">
        <w:rPr>
          <w:u w:val="single"/>
        </w:rPr>
        <w:t xml:space="preserve"> </w:t>
      </w:r>
      <w:r w:rsidRPr="0036314D">
        <w:rPr>
          <w:u w:val="single"/>
        </w:rPr>
        <w:t>Lyon</w:t>
      </w:r>
      <w:r w:rsidR="00C64050">
        <w:rPr>
          <w:u w:val="single"/>
        </w:rPr>
        <w:t xml:space="preserve"> </w:t>
      </w:r>
      <w:r w:rsidRPr="0036314D">
        <w:rPr>
          <w:u w:val="single"/>
        </w:rPr>
        <w:t>Co.</w:t>
      </w:r>
      <w:r w:rsidR="00C64050">
        <w:rPr>
          <w:u w:val="single"/>
        </w:rPr>
        <w:t xml:space="preserve"> </w:t>
      </w:r>
      <w:r w:rsidRPr="0036314D">
        <w:rPr>
          <w:u w:val="single"/>
        </w:rPr>
        <w:t>v.</w:t>
      </w:r>
      <w:r w:rsidR="00C64050">
        <w:rPr>
          <w:u w:val="single"/>
        </w:rPr>
        <w:t xml:space="preserve"> </w:t>
      </w:r>
      <w:r w:rsidRPr="0036314D">
        <w:rPr>
          <w:u w:val="single"/>
        </w:rPr>
        <w:t>United</w:t>
      </w:r>
      <w:r w:rsidR="00C64050">
        <w:rPr>
          <w:u w:val="single"/>
        </w:rPr>
        <w:t xml:space="preserve"> </w:t>
      </w:r>
      <w:r w:rsidRPr="0036314D">
        <w:rPr>
          <w:u w:val="single"/>
        </w:rPr>
        <w:t>States,</w:t>
      </w:r>
      <w:r w:rsidR="00C64050">
        <w:t xml:space="preserve"> </w:t>
      </w:r>
      <w:r w:rsidRPr="008A3AD2">
        <w:t>435</w:t>
      </w:r>
      <w:r w:rsidR="00C64050">
        <w:t xml:space="preserve"> </w:t>
      </w:r>
      <w:r w:rsidRPr="008A3AD2">
        <w:t>U.S.</w:t>
      </w:r>
      <w:r w:rsidR="00C64050">
        <w:t xml:space="preserve"> </w:t>
      </w:r>
      <w:r w:rsidRPr="008A3AD2">
        <w:t>561,</w:t>
      </w:r>
      <w:r w:rsidR="00C64050">
        <w:t xml:space="preserve"> </w:t>
      </w:r>
      <w:r w:rsidRPr="008A3AD2">
        <w:t>573</w:t>
      </w:r>
      <w:r w:rsidR="00C64050">
        <w:t xml:space="preserve"> </w:t>
      </w:r>
      <w:r w:rsidRPr="008A3AD2">
        <w:t>(1978).</w:t>
      </w:r>
      <w:r w:rsidR="00C64050">
        <w:t xml:space="preserve"> </w:t>
      </w:r>
      <w:r w:rsidRPr="008A3AD2">
        <w:t>The</w:t>
      </w:r>
      <w:r w:rsidR="00C64050">
        <w:t xml:space="preserve"> </w:t>
      </w:r>
      <w:r w:rsidRPr="008A3AD2">
        <w:t>doctrine</w:t>
      </w:r>
      <w:r w:rsidR="00C64050">
        <w:t xml:space="preserve"> </w:t>
      </w:r>
      <w:r w:rsidRPr="008A3AD2">
        <w:t>that</w:t>
      </w:r>
      <w:r w:rsidR="00C64050">
        <w:t xml:space="preserve"> </w:t>
      </w:r>
      <w:r w:rsidRPr="008A3AD2">
        <w:t>the</w:t>
      </w:r>
      <w:r w:rsidR="00C64050">
        <w:t xml:space="preserve"> </w:t>
      </w:r>
      <w:r w:rsidRPr="008A3AD2">
        <w:t>substance</w:t>
      </w:r>
      <w:r w:rsidR="00C64050">
        <w:t xml:space="preserve"> </w:t>
      </w:r>
      <w:r w:rsidRPr="008A3AD2">
        <w:t>of</w:t>
      </w:r>
      <w:r w:rsidR="00C64050">
        <w:t xml:space="preserve"> </w:t>
      </w:r>
      <w:r w:rsidRPr="008A3AD2">
        <w:t>a</w:t>
      </w:r>
      <w:r w:rsidR="00C64050">
        <w:t xml:space="preserve"> </w:t>
      </w:r>
      <w:r w:rsidRPr="008A3AD2">
        <w:t>transaction</w:t>
      </w:r>
      <w:r w:rsidR="00C64050">
        <w:t xml:space="preserve"> </w:t>
      </w:r>
      <w:r w:rsidRPr="008A3AD2">
        <w:t>will</w:t>
      </w:r>
      <w:r w:rsidR="00C64050">
        <w:t xml:space="preserve"> </w:t>
      </w:r>
      <w:r w:rsidRPr="008A3AD2">
        <w:t>prevail</w:t>
      </w:r>
      <w:r w:rsidR="00C64050">
        <w:t xml:space="preserve"> </w:t>
      </w:r>
      <w:r w:rsidRPr="008A3AD2">
        <w:t>over</w:t>
      </w:r>
      <w:r w:rsidR="00C64050">
        <w:t xml:space="preserve"> </w:t>
      </w:r>
      <w:r w:rsidRPr="008A3AD2">
        <w:t>its</w:t>
      </w:r>
      <w:r w:rsidR="00C64050">
        <w:t xml:space="preserve"> </w:t>
      </w:r>
      <w:r w:rsidRPr="008A3AD2">
        <w:t>form</w:t>
      </w:r>
      <w:r w:rsidR="00C64050">
        <w:t xml:space="preserve"> </w:t>
      </w:r>
      <w:r w:rsidRPr="008A3AD2">
        <w:t>has</w:t>
      </w:r>
      <w:r w:rsidR="00C64050">
        <w:t xml:space="preserve"> </w:t>
      </w:r>
      <w:r w:rsidRPr="008A3AD2">
        <w:t>been</w:t>
      </w:r>
      <w:r w:rsidR="00C64050">
        <w:t xml:space="preserve"> </w:t>
      </w:r>
      <w:r w:rsidRPr="008A3AD2">
        <w:t>applied</w:t>
      </w:r>
      <w:r w:rsidR="00C64050">
        <w:t xml:space="preserve"> </w:t>
      </w:r>
      <w:r w:rsidRPr="008A3AD2">
        <w:t>in</w:t>
      </w:r>
      <w:r w:rsidR="00C64050">
        <w:t xml:space="preserve"> </w:t>
      </w:r>
      <w:r w:rsidRPr="008A3AD2">
        <w:t>Federal</w:t>
      </w:r>
      <w:r w:rsidR="00C64050">
        <w:t xml:space="preserve"> </w:t>
      </w:r>
      <w:r w:rsidRPr="008A3AD2">
        <w:t>estate</w:t>
      </w:r>
      <w:r w:rsidR="00C64050">
        <w:t xml:space="preserve"> </w:t>
      </w:r>
      <w:r w:rsidRPr="008A3AD2">
        <w:t>and</w:t>
      </w:r>
      <w:r w:rsidR="00C64050">
        <w:t xml:space="preserve"> </w:t>
      </w:r>
      <w:r w:rsidRPr="008A3AD2">
        <w:t>gift</w:t>
      </w:r>
      <w:r w:rsidR="00C64050">
        <w:t xml:space="preserve"> </w:t>
      </w:r>
      <w:r w:rsidRPr="008A3AD2">
        <w:t>tax</w:t>
      </w:r>
      <w:r w:rsidR="00C64050">
        <w:t xml:space="preserve"> </w:t>
      </w:r>
      <w:r w:rsidRPr="008A3AD2">
        <w:t>cases.</w:t>
      </w:r>
      <w:r w:rsidR="00C64050">
        <w:t xml:space="preserve"> </w:t>
      </w:r>
      <w:r w:rsidRPr="008A3AD2">
        <w:t>See</w:t>
      </w:r>
      <w:r w:rsidR="00C64050">
        <w:t xml:space="preserve"> </w:t>
      </w:r>
      <w:r w:rsidRPr="0036314D">
        <w:rPr>
          <w:u w:val="single"/>
        </w:rPr>
        <w:t>Heyen</w:t>
      </w:r>
      <w:r w:rsidR="00C64050">
        <w:rPr>
          <w:u w:val="single"/>
        </w:rPr>
        <w:t xml:space="preserve"> </w:t>
      </w:r>
      <w:r w:rsidRPr="0036314D">
        <w:rPr>
          <w:u w:val="single"/>
        </w:rPr>
        <w:t>v.</w:t>
      </w:r>
      <w:r w:rsidR="00C64050">
        <w:rPr>
          <w:u w:val="single"/>
        </w:rPr>
        <w:t xml:space="preserve"> </w:t>
      </w:r>
      <w:r w:rsidRPr="0036314D">
        <w:rPr>
          <w:u w:val="single"/>
        </w:rPr>
        <w:t>United</w:t>
      </w:r>
      <w:r w:rsidR="00C64050">
        <w:rPr>
          <w:u w:val="single"/>
        </w:rPr>
        <w:t xml:space="preserve"> </w:t>
      </w:r>
      <w:r w:rsidRPr="0036314D">
        <w:rPr>
          <w:u w:val="single"/>
        </w:rPr>
        <w:t>States</w:t>
      </w:r>
      <w:r w:rsidRPr="008A3AD2">
        <w:t>,</w:t>
      </w:r>
      <w:r w:rsidR="00C64050">
        <w:t xml:space="preserve"> </w:t>
      </w:r>
      <w:r w:rsidRPr="008A3AD2">
        <w:t>945</w:t>
      </w:r>
      <w:r w:rsidR="00C64050">
        <w:t xml:space="preserve"> </w:t>
      </w:r>
      <w:r w:rsidRPr="008A3AD2">
        <w:t>F.2d</w:t>
      </w:r>
      <w:r w:rsidR="00C64050">
        <w:t xml:space="preserve"> </w:t>
      </w:r>
      <w:r w:rsidRPr="008A3AD2">
        <w:t>359,</w:t>
      </w:r>
      <w:r w:rsidR="00C64050">
        <w:t xml:space="preserve"> </w:t>
      </w:r>
      <w:r w:rsidRPr="008A3AD2">
        <w:t>363</w:t>
      </w:r>
      <w:r w:rsidR="00C64050">
        <w:t xml:space="preserve"> </w:t>
      </w:r>
      <w:r w:rsidRPr="008A3AD2">
        <w:t>(10th</w:t>
      </w:r>
      <w:r w:rsidR="00C64050">
        <w:t xml:space="preserve"> </w:t>
      </w:r>
      <w:r w:rsidRPr="008A3AD2">
        <w:t>Cir.</w:t>
      </w:r>
      <w:r w:rsidR="00C64050">
        <w:t xml:space="preserve"> </w:t>
      </w:r>
      <w:r w:rsidRPr="008A3AD2">
        <w:t>1991);</w:t>
      </w:r>
      <w:r w:rsidR="00C64050">
        <w:t xml:space="preserve"> </w:t>
      </w:r>
      <w:r w:rsidRPr="0036314D">
        <w:rPr>
          <w:u w:val="single"/>
        </w:rPr>
        <w:t>Estate</w:t>
      </w:r>
      <w:r w:rsidR="00C64050">
        <w:rPr>
          <w:u w:val="single"/>
        </w:rPr>
        <w:t xml:space="preserve"> </w:t>
      </w:r>
      <w:r w:rsidRPr="0036314D">
        <w:rPr>
          <w:u w:val="single"/>
        </w:rPr>
        <w:t>of</w:t>
      </w:r>
      <w:r w:rsidR="00C64050">
        <w:rPr>
          <w:u w:val="single"/>
        </w:rPr>
        <w:t xml:space="preserve"> </w:t>
      </w:r>
      <w:r w:rsidRPr="0036314D">
        <w:rPr>
          <w:u w:val="single"/>
        </w:rPr>
        <w:t>Murphy</w:t>
      </w:r>
      <w:r w:rsidR="00C64050">
        <w:rPr>
          <w:u w:val="single"/>
        </w:rPr>
        <w:t xml:space="preserve"> </w:t>
      </w:r>
      <w:r w:rsidRPr="0036314D">
        <w:rPr>
          <w:u w:val="single"/>
        </w:rPr>
        <w:t>v.</w:t>
      </w:r>
      <w:r w:rsidR="00C64050">
        <w:rPr>
          <w:u w:val="single"/>
        </w:rPr>
        <w:t xml:space="preserve"> </w:t>
      </w:r>
      <w:r w:rsidRPr="0036314D">
        <w:rPr>
          <w:u w:val="single"/>
        </w:rPr>
        <w:t>Commissioner</w:t>
      </w:r>
      <w:r w:rsidRPr="008A3AD2">
        <w:t>,</w:t>
      </w:r>
      <w:r w:rsidR="00C64050">
        <w:t xml:space="preserve"> </w:t>
      </w:r>
      <w:r w:rsidRPr="008A3AD2">
        <w:t>T.C.</w:t>
      </w:r>
      <w:r w:rsidR="00C64050">
        <w:t xml:space="preserve"> </w:t>
      </w:r>
      <w:r w:rsidRPr="008A3AD2">
        <w:t>Memo.</w:t>
      </w:r>
      <w:r w:rsidR="00C64050">
        <w:t xml:space="preserve"> </w:t>
      </w:r>
      <w:r w:rsidRPr="008A3AD2">
        <w:t>1990-472.</w:t>
      </w:r>
      <w:r w:rsidR="00C64050">
        <w:t xml:space="preserve"> </w:t>
      </w:r>
      <w:r w:rsidRPr="008A3AD2">
        <w:t>In</w:t>
      </w:r>
      <w:r w:rsidR="00C64050">
        <w:t xml:space="preserve"> </w:t>
      </w:r>
      <w:r w:rsidRPr="008A3AD2">
        <w:t>particular,</w:t>
      </w:r>
      <w:r w:rsidR="00C64050">
        <w:t xml:space="preserve"> </w:t>
      </w:r>
      <w:r w:rsidRPr="008A3AD2">
        <w:t>we</w:t>
      </w:r>
      <w:r w:rsidR="00C64050">
        <w:t xml:space="preserve"> </w:t>
      </w:r>
      <w:r w:rsidRPr="008A3AD2">
        <w:t>have</w:t>
      </w:r>
      <w:r w:rsidR="00C64050">
        <w:t xml:space="preserve"> </w:t>
      </w:r>
      <w:r w:rsidRPr="008A3AD2">
        <w:t>indicated</w:t>
      </w:r>
      <w:r w:rsidR="00C64050">
        <w:t xml:space="preserve"> </w:t>
      </w:r>
      <w:r w:rsidRPr="008A3AD2">
        <w:t>a</w:t>
      </w:r>
      <w:r w:rsidR="00C64050">
        <w:t xml:space="preserve"> </w:t>
      </w:r>
      <w:r w:rsidRPr="008A3AD2">
        <w:t>willingness</w:t>
      </w:r>
      <w:r w:rsidR="00C64050">
        <w:t xml:space="preserve"> </w:t>
      </w:r>
      <w:r w:rsidRPr="008A3AD2">
        <w:t>to</w:t>
      </w:r>
      <w:r w:rsidR="00C64050">
        <w:t xml:space="preserve"> </w:t>
      </w:r>
      <w:r w:rsidRPr="008A3AD2">
        <w:t>look</w:t>
      </w:r>
      <w:r w:rsidR="00C64050">
        <w:t xml:space="preserve"> </w:t>
      </w:r>
      <w:r w:rsidRPr="008A3AD2">
        <w:t>beyond</w:t>
      </w:r>
      <w:r w:rsidR="00C64050">
        <w:t xml:space="preserve"> </w:t>
      </w:r>
      <w:r w:rsidRPr="008A3AD2">
        <w:t>the</w:t>
      </w:r>
      <w:r w:rsidR="00C64050">
        <w:t xml:space="preserve"> </w:t>
      </w:r>
      <w:r w:rsidRPr="008A3AD2">
        <w:t>formalities</w:t>
      </w:r>
      <w:r w:rsidR="00C64050">
        <w:t xml:space="preserve"> </w:t>
      </w:r>
      <w:r w:rsidRPr="008A3AD2">
        <w:t>of</w:t>
      </w:r>
      <w:r w:rsidR="00C64050">
        <w:t xml:space="preserve"> </w:t>
      </w:r>
      <w:r w:rsidRPr="008A3AD2">
        <w:t>intrafamily</w:t>
      </w:r>
      <w:r w:rsidR="00C64050">
        <w:t xml:space="preserve"> </w:t>
      </w:r>
      <w:r w:rsidRPr="008A3AD2">
        <w:t>partnership</w:t>
      </w:r>
      <w:r w:rsidR="00C64050">
        <w:t xml:space="preserve"> </w:t>
      </w:r>
      <w:r w:rsidRPr="008A3AD2">
        <w:t>transfers</w:t>
      </w:r>
      <w:r w:rsidR="00C64050">
        <w:t xml:space="preserve"> </w:t>
      </w:r>
      <w:r w:rsidRPr="008A3AD2">
        <w:t>to</w:t>
      </w:r>
      <w:r w:rsidR="00C64050">
        <w:t xml:space="preserve"> </w:t>
      </w:r>
      <w:r w:rsidRPr="008A3AD2">
        <w:t>determine</w:t>
      </w:r>
      <w:r w:rsidR="00C64050">
        <w:t xml:space="preserve"> </w:t>
      </w:r>
      <w:r w:rsidRPr="008A3AD2">
        <w:t>what,</w:t>
      </w:r>
      <w:r w:rsidR="00C64050">
        <w:t xml:space="preserve"> </w:t>
      </w:r>
      <w:r w:rsidRPr="008A3AD2">
        <w:t>in</w:t>
      </w:r>
      <w:r w:rsidR="00C64050">
        <w:t xml:space="preserve"> </w:t>
      </w:r>
      <w:r w:rsidRPr="008A3AD2">
        <w:t>substance,</w:t>
      </w:r>
      <w:r w:rsidR="00C64050">
        <w:t xml:space="preserve"> </w:t>
      </w:r>
      <w:r w:rsidRPr="008A3AD2">
        <w:t>was</w:t>
      </w:r>
      <w:r w:rsidR="00C64050">
        <w:t xml:space="preserve"> </w:t>
      </w:r>
      <w:r w:rsidRPr="008A3AD2">
        <w:t>transferred.</w:t>
      </w:r>
      <w:r w:rsidR="00C64050">
        <w:t xml:space="preserve"> </w:t>
      </w:r>
      <w:r w:rsidRPr="008A3AD2">
        <w:t>See</w:t>
      </w:r>
      <w:r w:rsidR="00C64050">
        <w:t xml:space="preserve"> </w:t>
      </w:r>
      <w:r w:rsidRPr="0036314D">
        <w:rPr>
          <w:u w:val="single"/>
        </w:rPr>
        <w:t>Kerr</w:t>
      </w:r>
      <w:r w:rsidR="00C64050">
        <w:rPr>
          <w:u w:val="single"/>
        </w:rPr>
        <w:t xml:space="preserve"> </w:t>
      </w:r>
      <w:r w:rsidRPr="0036314D">
        <w:rPr>
          <w:u w:val="single"/>
        </w:rPr>
        <w:t>v.</w:t>
      </w:r>
      <w:r w:rsidR="00C64050">
        <w:rPr>
          <w:u w:val="single"/>
        </w:rPr>
        <w:t xml:space="preserve"> </w:t>
      </w:r>
      <w:r w:rsidRPr="0036314D">
        <w:rPr>
          <w:u w:val="single"/>
        </w:rPr>
        <w:t>Commissioner</w:t>
      </w:r>
      <w:r w:rsidRPr="008A3AD2">
        <w:t>,</w:t>
      </w:r>
      <w:r w:rsidR="00C64050">
        <w:t xml:space="preserve"> </w:t>
      </w:r>
      <w:r w:rsidRPr="008A3AD2">
        <w:t>113</w:t>
      </w:r>
      <w:r w:rsidR="00C64050">
        <w:t xml:space="preserve"> </w:t>
      </w:r>
      <w:r w:rsidRPr="008A3AD2">
        <w:t>T.C.</w:t>
      </w:r>
      <w:r w:rsidR="00C64050">
        <w:t xml:space="preserve"> </w:t>
      </w:r>
      <w:r w:rsidRPr="008A3AD2">
        <w:t>449,</w:t>
      </w:r>
      <w:r w:rsidR="00C64050">
        <w:t xml:space="preserve"> </w:t>
      </w:r>
      <w:r w:rsidRPr="008A3AD2">
        <w:t>464-468</w:t>
      </w:r>
      <w:r w:rsidR="00C64050">
        <w:t xml:space="preserve"> </w:t>
      </w:r>
      <w:r w:rsidRPr="008A3AD2">
        <w:t>(1999),</w:t>
      </w:r>
      <w:r w:rsidR="00C64050">
        <w:t xml:space="preserve"> </w:t>
      </w:r>
      <w:r w:rsidRPr="008A3AD2">
        <w:t>aff’d,</w:t>
      </w:r>
      <w:r w:rsidR="00C64050">
        <w:t xml:space="preserve"> </w:t>
      </w:r>
      <w:r w:rsidRPr="008A3AD2">
        <w:t>292</w:t>
      </w:r>
      <w:r w:rsidR="00C64050">
        <w:t xml:space="preserve"> </w:t>
      </w:r>
      <w:r w:rsidRPr="008A3AD2">
        <w:t>F.3d</w:t>
      </w:r>
      <w:r w:rsidR="00C64050">
        <w:t xml:space="preserve"> </w:t>
      </w:r>
      <w:r w:rsidRPr="008A3AD2">
        <w:t>490</w:t>
      </w:r>
      <w:r w:rsidR="00C64050">
        <w:t xml:space="preserve"> </w:t>
      </w:r>
      <w:r w:rsidRPr="008A3AD2">
        <w:t>(5th</w:t>
      </w:r>
      <w:r w:rsidR="00C64050">
        <w:t xml:space="preserve"> </w:t>
      </w:r>
      <w:r w:rsidRPr="008A3AD2">
        <w:t>Cir.</w:t>
      </w:r>
      <w:r w:rsidR="00C64050">
        <w:t xml:space="preserve"> </w:t>
      </w:r>
      <w:r w:rsidRPr="008A3AD2">
        <w:t>2002).</w:t>
      </w:r>
      <w:r w:rsidR="00C64050">
        <w:t xml:space="preserve"> </w:t>
      </w:r>
      <w:r w:rsidRPr="008A3AD2">
        <w:t>We</w:t>
      </w:r>
      <w:r w:rsidR="00C64050">
        <w:t xml:space="preserve"> </w:t>
      </w:r>
      <w:r w:rsidRPr="008A3AD2">
        <w:t>will</w:t>
      </w:r>
      <w:r w:rsidR="00C64050">
        <w:t xml:space="preserve"> </w:t>
      </w:r>
      <w:r w:rsidR="00987139" w:rsidRPr="008A3AD2">
        <w:t>consider</w:t>
      </w:r>
      <w:r w:rsidR="00C64050">
        <w:t xml:space="preserve"> </w:t>
      </w:r>
      <w:r w:rsidR="00987139" w:rsidRPr="008A3AD2">
        <w:t>both</w:t>
      </w:r>
      <w:r w:rsidR="00C64050">
        <w:t xml:space="preserve"> </w:t>
      </w:r>
      <w:r w:rsidRPr="008A3AD2">
        <w:t>the</w:t>
      </w:r>
      <w:r w:rsidR="00C64050">
        <w:t xml:space="preserve"> </w:t>
      </w:r>
      <w:r w:rsidRPr="008A3AD2">
        <w:t>form</w:t>
      </w:r>
      <w:r w:rsidR="00C64050">
        <w:t xml:space="preserve"> </w:t>
      </w:r>
      <w:r w:rsidRPr="008A3AD2">
        <w:t>and</w:t>
      </w:r>
      <w:r w:rsidR="00C64050">
        <w:t xml:space="preserve"> </w:t>
      </w:r>
      <w:r w:rsidRPr="008A3AD2">
        <w:t>the</w:t>
      </w:r>
      <w:r w:rsidR="00C64050">
        <w:t xml:space="preserve"> </w:t>
      </w:r>
      <w:r w:rsidRPr="008A3AD2">
        <w:t>substance</w:t>
      </w:r>
      <w:r w:rsidR="00C64050">
        <w:t xml:space="preserve"> </w:t>
      </w:r>
      <w:r w:rsidRPr="008A3AD2">
        <w:t>of</w:t>
      </w:r>
      <w:r w:rsidR="00C64050">
        <w:t xml:space="preserve"> </w:t>
      </w:r>
      <w:r w:rsidRPr="008A3AD2">
        <w:t>decedent’s</w:t>
      </w:r>
      <w:r w:rsidR="00C64050">
        <w:t xml:space="preserve"> </w:t>
      </w:r>
      <w:r w:rsidRPr="008A3AD2">
        <w:t>transfer</w:t>
      </w:r>
      <w:r w:rsidR="00C64050">
        <w:t xml:space="preserve"> </w:t>
      </w:r>
      <w:r w:rsidRPr="008A3AD2">
        <w:t>to</w:t>
      </w:r>
      <w:r w:rsidR="00C64050">
        <w:t xml:space="preserve"> </w:t>
      </w:r>
      <w:r w:rsidRPr="008A3AD2">
        <w:t>the</w:t>
      </w:r>
      <w:r w:rsidR="00C64050">
        <w:t xml:space="preserve"> </w:t>
      </w:r>
      <w:r w:rsidRPr="008A3AD2">
        <w:t>revocable</w:t>
      </w:r>
      <w:r w:rsidR="00C64050">
        <w:t xml:space="preserve"> </w:t>
      </w:r>
      <w:r w:rsidRPr="008A3AD2">
        <w:t>trust</w:t>
      </w:r>
      <w:r w:rsidR="00C64050">
        <w:t xml:space="preserve"> </w:t>
      </w:r>
      <w:r w:rsidRPr="008A3AD2">
        <w:t>to</w:t>
      </w:r>
      <w:r w:rsidR="00C64050">
        <w:t xml:space="preserve"> </w:t>
      </w:r>
      <w:r w:rsidRPr="008A3AD2">
        <w:t>determine</w:t>
      </w:r>
      <w:r w:rsidR="00C64050">
        <w:t xml:space="preserve"> </w:t>
      </w:r>
      <w:r w:rsidRPr="008A3AD2">
        <w:t>whether</w:t>
      </w:r>
      <w:r w:rsidR="00C64050">
        <w:t xml:space="preserve"> </w:t>
      </w:r>
      <w:r w:rsidRPr="008A3AD2">
        <w:t>the</w:t>
      </w:r>
      <w:r w:rsidR="00C64050">
        <w:t xml:space="preserve"> </w:t>
      </w:r>
      <w:r w:rsidRPr="008A3AD2">
        <w:t>property</w:t>
      </w:r>
      <w:r w:rsidR="00C64050">
        <w:t xml:space="preserve"> </w:t>
      </w:r>
      <w:r w:rsidRPr="008A3AD2">
        <w:t>interest</w:t>
      </w:r>
      <w:r w:rsidR="00C64050">
        <w:t xml:space="preserve"> </w:t>
      </w:r>
      <w:r w:rsidRPr="008A3AD2">
        <w:t>transferred</w:t>
      </w:r>
      <w:r w:rsidR="00C64050">
        <w:t xml:space="preserve"> </w:t>
      </w:r>
      <w:r w:rsidRPr="008A3AD2">
        <w:t>was</w:t>
      </w:r>
      <w:r w:rsidR="00C64050">
        <w:t xml:space="preserve"> </w:t>
      </w:r>
      <w:r w:rsidRPr="008A3AD2">
        <w:t>an</w:t>
      </w:r>
      <w:r w:rsidR="00C64050">
        <w:t xml:space="preserve"> </w:t>
      </w:r>
      <w:r w:rsidRPr="008A3AD2">
        <w:t>assignee</w:t>
      </w:r>
      <w:r w:rsidR="00C64050">
        <w:t xml:space="preserve"> </w:t>
      </w:r>
      <w:r w:rsidRPr="008A3AD2">
        <w:t>interest</w:t>
      </w:r>
      <w:r w:rsidR="00C64050">
        <w:t xml:space="preserve"> </w:t>
      </w:r>
      <w:r w:rsidRPr="008A3AD2">
        <w:t>or</w:t>
      </w:r>
      <w:r w:rsidR="00C64050">
        <w:t xml:space="preserve"> </w:t>
      </w:r>
      <w:r w:rsidRPr="008A3AD2">
        <w:t>a</w:t>
      </w:r>
      <w:r w:rsidR="00C64050">
        <w:t xml:space="preserve"> </w:t>
      </w:r>
      <w:r w:rsidRPr="008A3AD2">
        <w:t>limited</w:t>
      </w:r>
      <w:r w:rsidR="00C64050">
        <w:t xml:space="preserve"> </w:t>
      </w:r>
      <w:r w:rsidRPr="008A3AD2">
        <w:t>partnership</w:t>
      </w:r>
      <w:r w:rsidR="00C64050">
        <w:t xml:space="preserve"> </w:t>
      </w:r>
      <w:r w:rsidRPr="008A3AD2">
        <w:t>interest.</w:t>
      </w:r>
    </w:p>
    <w:p w:rsidR="00914130" w:rsidRPr="008A3AD2" w:rsidRDefault="00914130" w:rsidP="00914130">
      <w:pPr>
        <w:pStyle w:val="QS10"/>
        <w:jc w:val="center"/>
      </w:pPr>
      <w:r w:rsidRPr="008A3AD2">
        <w:t>***</w:t>
      </w:r>
    </w:p>
    <w:p w:rsidR="00914130" w:rsidRPr="008A3AD2" w:rsidRDefault="00914130" w:rsidP="00914130">
      <w:pPr>
        <w:pStyle w:val="QS10"/>
      </w:pPr>
      <w:r w:rsidRPr="008A3AD2">
        <w:t>We</w:t>
      </w:r>
      <w:r w:rsidR="00C64050">
        <w:t xml:space="preserve"> </w:t>
      </w:r>
      <w:r w:rsidRPr="008A3AD2">
        <w:t>conclude</w:t>
      </w:r>
      <w:r w:rsidR="00C64050">
        <w:t xml:space="preserve"> </w:t>
      </w:r>
      <w:r w:rsidRPr="008A3AD2">
        <w:t>that</w:t>
      </w:r>
      <w:r w:rsidR="00C64050">
        <w:t xml:space="preserve"> </w:t>
      </w:r>
      <w:r w:rsidRPr="008A3AD2">
        <w:t>the</w:t>
      </w:r>
      <w:r w:rsidR="00C64050">
        <w:t xml:space="preserve"> </w:t>
      </w:r>
      <w:r w:rsidRPr="008A3AD2">
        <w:t>form</w:t>
      </w:r>
      <w:r w:rsidR="00C64050">
        <w:t xml:space="preserve"> </w:t>
      </w:r>
      <w:r w:rsidRPr="008A3AD2">
        <w:t>of</w:t>
      </w:r>
      <w:r w:rsidR="00C64050">
        <w:t xml:space="preserve"> </w:t>
      </w:r>
      <w:r w:rsidRPr="008A3AD2">
        <w:t>the</w:t>
      </w:r>
      <w:r w:rsidR="00C64050">
        <w:t xml:space="preserve"> </w:t>
      </w:r>
      <w:r w:rsidRPr="008A3AD2">
        <w:t>agreement</w:t>
      </w:r>
      <w:r w:rsidR="00C64050">
        <w:t xml:space="preserve"> </w:t>
      </w:r>
      <w:r w:rsidRPr="008A3AD2">
        <w:t>establishes</w:t>
      </w:r>
      <w:r w:rsidR="00C64050">
        <w:t xml:space="preserve"> </w:t>
      </w:r>
      <w:r w:rsidRPr="008A3AD2">
        <w:t>that</w:t>
      </w:r>
      <w:r w:rsidR="00C64050">
        <w:t xml:space="preserve"> </w:t>
      </w:r>
      <w:r w:rsidRPr="008A3AD2">
        <w:t>decedent</w:t>
      </w:r>
      <w:r w:rsidR="00C64050">
        <w:t xml:space="preserve"> </w:t>
      </w:r>
      <w:r w:rsidRPr="008A3AD2">
        <w:t>transferred</w:t>
      </w:r>
      <w:r w:rsidR="00C64050">
        <w:t xml:space="preserve"> </w:t>
      </w:r>
      <w:r w:rsidRPr="008A3AD2">
        <w:t>to</w:t>
      </w:r>
      <w:r w:rsidR="00C64050">
        <w:t xml:space="preserve"> </w:t>
      </w:r>
      <w:r w:rsidRPr="008A3AD2">
        <w:t>the</w:t>
      </w:r>
      <w:r w:rsidR="00C64050">
        <w:t xml:space="preserve"> </w:t>
      </w:r>
      <w:r w:rsidRPr="008A3AD2">
        <w:t>revocable</w:t>
      </w:r>
      <w:r w:rsidR="00C64050">
        <w:t xml:space="preserve"> </w:t>
      </w:r>
      <w:r w:rsidRPr="008A3AD2">
        <w:t>trust</w:t>
      </w:r>
      <w:r w:rsidR="00C64050">
        <w:t xml:space="preserve"> </w:t>
      </w:r>
      <w:r w:rsidRPr="008A3AD2">
        <w:t>a</w:t>
      </w:r>
      <w:r w:rsidR="00C64050">
        <w:t xml:space="preserve"> </w:t>
      </w:r>
      <w:r w:rsidRPr="008A3AD2">
        <w:t>limited</w:t>
      </w:r>
      <w:r w:rsidR="00C64050">
        <w:t xml:space="preserve"> </w:t>
      </w:r>
      <w:r w:rsidRPr="008A3AD2">
        <w:t>partnership</w:t>
      </w:r>
      <w:r w:rsidR="00C64050">
        <w:t xml:space="preserve"> </w:t>
      </w:r>
      <w:r w:rsidRPr="008A3AD2">
        <w:t>interest</w:t>
      </w:r>
      <w:r w:rsidR="00C64050">
        <w:t xml:space="preserve"> </w:t>
      </w:r>
      <w:r w:rsidRPr="008A3AD2">
        <w:t>and</w:t>
      </w:r>
      <w:r w:rsidR="00C64050">
        <w:t xml:space="preserve"> </w:t>
      </w:r>
      <w:r w:rsidRPr="008A3AD2">
        <w:t>not</w:t>
      </w:r>
      <w:r w:rsidR="00C64050">
        <w:t xml:space="preserve"> </w:t>
      </w:r>
      <w:r w:rsidRPr="008A3AD2">
        <w:t>an</w:t>
      </w:r>
      <w:r w:rsidR="00C64050">
        <w:t xml:space="preserve"> </w:t>
      </w:r>
      <w:r w:rsidRPr="008A3AD2">
        <w:t>assignee</w:t>
      </w:r>
      <w:r w:rsidR="00C64050">
        <w:t xml:space="preserve"> </w:t>
      </w:r>
      <w:r w:rsidRPr="008A3AD2">
        <w:t>interest.</w:t>
      </w:r>
      <w:r w:rsidR="00C64050">
        <w:t xml:space="preserve"> </w:t>
      </w:r>
      <w:r w:rsidRPr="008A3AD2">
        <w:t>The</w:t>
      </w:r>
      <w:r w:rsidR="00C64050">
        <w:t xml:space="preserve"> </w:t>
      </w:r>
      <w:r w:rsidRPr="008A3AD2">
        <w:t>economic</w:t>
      </w:r>
      <w:r w:rsidR="00C64050">
        <w:t xml:space="preserve"> </w:t>
      </w:r>
      <w:r w:rsidRPr="008A3AD2">
        <w:t>realities</w:t>
      </w:r>
      <w:r w:rsidR="00C64050">
        <w:t xml:space="preserve"> </w:t>
      </w:r>
      <w:r w:rsidRPr="008A3AD2">
        <w:t>underlying</w:t>
      </w:r>
      <w:r w:rsidR="00C64050">
        <w:t xml:space="preserve"> </w:t>
      </w:r>
      <w:r w:rsidRPr="008A3AD2">
        <w:t>the</w:t>
      </w:r>
      <w:r w:rsidR="00C64050">
        <w:t xml:space="preserve"> </w:t>
      </w:r>
      <w:r w:rsidRPr="008A3AD2">
        <w:t>transfer</w:t>
      </w:r>
      <w:r w:rsidR="00C64050">
        <w:t xml:space="preserve"> </w:t>
      </w:r>
      <w:r w:rsidRPr="008A3AD2">
        <w:t>of</w:t>
      </w:r>
      <w:r w:rsidR="00C64050">
        <w:t xml:space="preserve"> </w:t>
      </w:r>
      <w:r w:rsidRPr="008A3AD2">
        <w:t>decedent’s</w:t>
      </w:r>
      <w:r w:rsidR="00C64050">
        <w:t xml:space="preserve"> </w:t>
      </w:r>
      <w:r w:rsidRPr="008A3AD2">
        <w:t>interest</w:t>
      </w:r>
      <w:r w:rsidR="00C64050">
        <w:t xml:space="preserve"> </w:t>
      </w:r>
      <w:r w:rsidRPr="008A3AD2">
        <w:t>also</w:t>
      </w:r>
      <w:r w:rsidR="00C64050">
        <w:t xml:space="preserve"> </w:t>
      </w:r>
      <w:r w:rsidRPr="008A3AD2">
        <w:t>support</w:t>
      </w:r>
      <w:r w:rsidR="00C64050">
        <w:t xml:space="preserve"> </w:t>
      </w:r>
      <w:r w:rsidRPr="008A3AD2">
        <w:t>our</w:t>
      </w:r>
      <w:r w:rsidR="00C64050">
        <w:t xml:space="preserve"> </w:t>
      </w:r>
      <w:r w:rsidRPr="008A3AD2">
        <w:t>conclusion</w:t>
      </w:r>
      <w:r w:rsidR="00C64050">
        <w:t xml:space="preserve"> </w:t>
      </w:r>
      <w:r w:rsidRPr="008A3AD2">
        <w:t>that</w:t>
      </w:r>
      <w:r w:rsidR="00C64050">
        <w:t xml:space="preserve"> </w:t>
      </w:r>
      <w:r w:rsidRPr="008A3AD2">
        <w:t>the</w:t>
      </w:r>
      <w:r w:rsidR="00C64050">
        <w:t xml:space="preserve"> </w:t>
      </w:r>
      <w:r w:rsidRPr="008A3AD2">
        <w:t>transferred</w:t>
      </w:r>
      <w:r w:rsidR="00C64050">
        <w:t xml:space="preserve"> </w:t>
      </w:r>
      <w:r w:rsidRPr="008A3AD2">
        <w:t>interest</w:t>
      </w:r>
      <w:r w:rsidR="00C64050">
        <w:t xml:space="preserve"> </w:t>
      </w:r>
      <w:r w:rsidRPr="008A3AD2">
        <w:t>should</w:t>
      </w:r>
      <w:r w:rsidR="00C64050">
        <w:t xml:space="preserve"> </w:t>
      </w:r>
      <w:r w:rsidRPr="008A3AD2">
        <w:t>be</w:t>
      </w:r>
      <w:r w:rsidR="00C64050">
        <w:t xml:space="preserve"> </w:t>
      </w:r>
      <w:r w:rsidRPr="008A3AD2">
        <w:t>treated</w:t>
      </w:r>
      <w:r w:rsidR="00C64050">
        <w:t xml:space="preserve"> </w:t>
      </w:r>
      <w:r w:rsidRPr="008A3AD2">
        <w:t>as</w:t>
      </w:r>
      <w:r w:rsidR="00C64050">
        <w:t xml:space="preserve"> </w:t>
      </w:r>
      <w:r w:rsidRPr="008A3AD2">
        <w:t>a</w:t>
      </w:r>
      <w:r w:rsidR="00C64050">
        <w:t xml:space="preserve"> </w:t>
      </w:r>
      <w:r w:rsidRPr="008A3AD2">
        <w:t>limited</w:t>
      </w:r>
      <w:r w:rsidR="00C64050">
        <w:t xml:space="preserve"> </w:t>
      </w:r>
      <w:r w:rsidRPr="008A3AD2">
        <w:t>partnership</w:t>
      </w:r>
      <w:r w:rsidR="00C64050">
        <w:t xml:space="preserve"> </w:t>
      </w:r>
      <w:r w:rsidRPr="008A3AD2">
        <w:t>interest</w:t>
      </w:r>
      <w:r w:rsidR="00C64050">
        <w:t xml:space="preserve"> </w:t>
      </w:r>
      <w:r w:rsidRPr="008A3AD2">
        <w:t>for</w:t>
      </w:r>
      <w:r w:rsidR="00C64050">
        <w:t xml:space="preserve"> </w:t>
      </w:r>
      <w:r w:rsidRPr="008A3AD2">
        <w:t>Federal</w:t>
      </w:r>
      <w:r w:rsidR="00C64050">
        <w:t xml:space="preserve"> </w:t>
      </w:r>
      <w:r w:rsidRPr="008A3AD2">
        <w:t>estate</w:t>
      </w:r>
      <w:r w:rsidR="00C64050">
        <w:t xml:space="preserve"> </w:t>
      </w:r>
      <w:r w:rsidRPr="008A3AD2">
        <w:t>tax</w:t>
      </w:r>
      <w:r w:rsidR="00C64050">
        <w:t xml:space="preserve"> </w:t>
      </w:r>
      <w:r w:rsidRPr="008A3AD2">
        <w:t>purposes.</w:t>
      </w:r>
      <w:r w:rsidR="00C64050">
        <w:t xml:space="preserve"> </w:t>
      </w:r>
      <w:r w:rsidRPr="008A3AD2">
        <w:t>This</w:t>
      </w:r>
      <w:r w:rsidR="00C64050">
        <w:t xml:space="preserve"> </w:t>
      </w:r>
      <w:r w:rsidRPr="008A3AD2">
        <w:t>is</w:t>
      </w:r>
      <w:r w:rsidR="00C64050">
        <w:t xml:space="preserve"> </w:t>
      </w:r>
      <w:r w:rsidRPr="008A3AD2">
        <w:t>because</w:t>
      </w:r>
      <w:r w:rsidR="00C64050">
        <w:t xml:space="preserve"> </w:t>
      </w:r>
      <w:r w:rsidRPr="008A3AD2">
        <w:t>we</w:t>
      </w:r>
      <w:r w:rsidR="00C64050">
        <w:t xml:space="preserve"> </w:t>
      </w:r>
      <w:r w:rsidRPr="008A3AD2">
        <w:t>conclude</w:t>
      </w:r>
      <w:r w:rsidR="00C64050">
        <w:t xml:space="preserve"> </w:t>
      </w:r>
      <w:r w:rsidRPr="008A3AD2">
        <w:t>that</w:t>
      </w:r>
      <w:r w:rsidR="00C64050">
        <w:t xml:space="preserve"> </w:t>
      </w:r>
      <w:r w:rsidRPr="008A3AD2">
        <w:t>regardless</w:t>
      </w:r>
      <w:r w:rsidR="00C64050">
        <w:t xml:space="preserve"> </w:t>
      </w:r>
      <w:r w:rsidRPr="008A3AD2">
        <w:t>of</w:t>
      </w:r>
      <w:r w:rsidR="00C64050">
        <w:t xml:space="preserve"> </w:t>
      </w:r>
      <w:r w:rsidRPr="008A3AD2">
        <w:t>whether</w:t>
      </w:r>
      <w:r w:rsidR="00C64050">
        <w:t xml:space="preserve"> </w:t>
      </w:r>
      <w:r w:rsidRPr="008A3AD2">
        <w:t>an</w:t>
      </w:r>
      <w:r w:rsidR="00C64050">
        <w:t xml:space="preserve"> </w:t>
      </w:r>
      <w:r w:rsidRPr="008A3AD2">
        <w:t>assignee</w:t>
      </w:r>
      <w:r w:rsidR="00C64050">
        <w:t xml:space="preserve"> </w:t>
      </w:r>
      <w:r w:rsidRPr="008A3AD2">
        <w:t>or</w:t>
      </w:r>
      <w:r w:rsidR="00C64050">
        <w:t xml:space="preserve"> </w:t>
      </w:r>
      <w:r w:rsidRPr="008A3AD2">
        <w:t>a</w:t>
      </w:r>
      <w:r w:rsidR="00C64050">
        <w:t xml:space="preserve"> </w:t>
      </w:r>
      <w:r w:rsidRPr="008A3AD2">
        <w:t>limited</w:t>
      </w:r>
      <w:r w:rsidR="00C64050">
        <w:t xml:space="preserve"> </w:t>
      </w:r>
      <w:r w:rsidRPr="008A3AD2">
        <w:t>partnership</w:t>
      </w:r>
      <w:r w:rsidR="00C64050">
        <w:t xml:space="preserve"> </w:t>
      </w:r>
      <w:r w:rsidRPr="008A3AD2">
        <w:t>interest</w:t>
      </w:r>
      <w:r w:rsidR="00C64050">
        <w:t xml:space="preserve"> </w:t>
      </w:r>
      <w:r w:rsidRPr="008A3AD2">
        <w:t>had</w:t>
      </w:r>
      <w:r w:rsidR="00C64050">
        <w:t xml:space="preserve"> </w:t>
      </w:r>
      <w:r w:rsidRPr="008A3AD2">
        <w:t>been</w:t>
      </w:r>
      <w:r w:rsidR="00C64050">
        <w:t xml:space="preserve"> </w:t>
      </w:r>
      <w:r w:rsidRPr="008A3AD2">
        <w:t>transferred,</w:t>
      </w:r>
      <w:r w:rsidR="00C64050">
        <w:t xml:space="preserve"> </w:t>
      </w:r>
      <w:r w:rsidRPr="008A3AD2">
        <w:t>there</w:t>
      </w:r>
      <w:r w:rsidR="00C64050">
        <w:t xml:space="preserve"> </w:t>
      </w:r>
      <w:r w:rsidRPr="008A3AD2">
        <w:t>would</w:t>
      </w:r>
      <w:r w:rsidR="00C64050">
        <w:t xml:space="preserve"> </w:t>
      </w:r>
      <w:r w:rsidRPr="008A3AD2">
        <w:t>have</w:t>
      </w:r>
      <w:r w:rsidR="00C64050">
        <w:t xml:space="preserve"> </w:t>
      </w:r>
      <w:r w:rsidRPr="008A3AD2">
        <w:t>been</w:t>
      </w:r>
      <w:r w:rsidR="00C64050">
        <w:t xml:space="preserve"> </w:t>
      </w:r>
      <w:r w:rsidRPr="008A3AD2">
        <w:t>no</w:t>
      </w:r>
      <w:r w:rsidR="00C64050">
        <w:t xml:space="preserve"> </w:t>
      </w:r>
      <w:r w:rsidRPr="008A3AD2">
        <w:t>substantial</w:t>
      </w:r>
      <w:r w:rsidR="00C64050">
        <w:t xml:space="preserve"> </w:t>
      </w:r>
      <w:r w:rsidRPr="008A3AD2">
        <w:t>difference</w:t>
      </w:r>
      <w:r w:rsidR="00C64050">
        <w:t xml:space="preserve"> </w:t>
      </w:r>
      <w:r w:rsidRPr="008A3AD2">
        <w:t>before</w:t>
      </w:r>
      <w:r w:rsidR="00C64050">
        <w:t xml:space="preserve"> </w:t>
      </w:r>
      <w:r w:rsidRPr="008A3AD2">
        <w:t>and</w:t>
      </w:r>
      <w:r w:rsidR="00C64050">
        <w:t xml:space="preserve"> </w:t>
      </w:r>
      <w:r w:rsidRPr="008A3AD2">
        <w:t>after</w:t>
      </w:r>
      <w:r w:rsidR="00C64050">
        <w:t xml:space="preserve"> </w:t>
      </w:r>
      <w:r w:rsidRPr="008A3AD2">
        <w:t>the</w:t>
      </w:r>
      <w:r w:rsidR="00C64050">
        <w:t xml:space="preserve"> </w:t>
      </w:r>
      <w:r w:rsidRPr="008A3AD2">
        <w:t>transfer</w:t>
      </w:r>
      <w:r w:rsidR="00C64050">
        <w:t xml:space="preserve"> </w:t>
      </w:r>
      <w:r w:rsidRPr="008A3AD2">
        <w:t>to</w:t>
      </w:r>
      <w:r w:rsidR="00C64050">
        <w:t xml:space="preserve"> </w:t>
      </w:r>
      <w:r w:rsidRPr="008A3AD2">
        <w:t>the</w:t>
      </w:r>
      <w:r w:rsidR="00C64050">
        <w:t xml:space="preserve"> </w:t>
      </w:r>
      <w:r w:rsidRPr="008A3AD2">
        <w:t>revocable</w:t>
      </w:r>
      <w:r w:rsidR="00C64050">
        <w:t xml:space="preserve"> </w:t>
      </w:r>
      <w:r w:rsidRPr="008A3AD2">
        <w:t>trust.</w:t>
      </w:r>
      <w:r w:rsidR="00C64050">
        <w:t xml:space="preserve"> </w:t>
      </w:r>
      <w:r w:rsidRPr="008A3AD2">
        <w:t>See</w:t>
      </w:r>
      <w:r w:rsidR="00C64050">
        <w:t xml:space="preserve"> </w:t>
      </w:r>
      <w:r w:rsidRPr="00914130">
        <w:rPr>
          <w:u w:val="single"/>
        </w:rPr>
        <w:t>Kerr</w:t>
      </w:r>
      <w:r w:rsidR="00C64050">
        <w:rPr>
          <w:u w:val="single"/>
        </w:rPr>
        <w:t xml:space="preserve"> </w:t>
      </w:r>
      <w:r w:rsidRPr="00914130">
        <w:rPr>
          <w:u w:val="single"/>
        </w:rPr>
        <w:t>v.</w:t>
      </w:r>
      <w:r w:rsidR="00C64050">
        <w:rPr>
          <w:u w:val="single"/>
        </w:rPr>
        <w:t xml:space="preserve"> </w:t>
      </w:r>
      <w:r w:rsidRPr="00914130">
        <w:rPr>
          <w:u w:val="single"/>
        </w:rPr>
        <w:t>Commissioner</w:t>
      </w:r>
      <w:r w:rsidRPr="008A3AD2">
        <w:t>,</w:t>
      </w:r>
      <w:r w:rsidR="00C64050">
        <w:t xml:space="preserve"> </w:t>
      </w:r>
      <w:r w:rsidRPr="008A3AD2">
        <w:t>113</w:t>
      </w:r>
      <w:r w:rsidR="00C64050">
        <w:t xml:space="preserve"> </w:t>
      </w:r>
      <w:r w:rsidRPr="008A3AD2">
        <w:t>T.C.</w:t>
      </w:r>
      <w:r w:rsidR="00C64050">
        <w:t xml:space="preserve"> </w:t>
      </w:r>
      <w:r w:rsidRPr="008A3AD2">
        <w:t>at</w:t>
      </w:r>
      <w:r w:rsidR="00C64050">
        <w:t xml:space="preserve"> </w:t>
      </w:r>
      <w:r w:rsidRPr="008A3AD2">
        <w:t>467-468.</w:t>
      </w:r>
      <w:r w:rsidR="00C64050">
        <w:t xml:space="preserve"> </w:t>
      </w:r>
      <w:r w:rsidRPr="008A3AD2">
        <w:t>Pursuant</w:t>
      </w:r>
      <w:r w:rsidR="00C64050">
        <w:t xml:space="preserve"> </w:t>
      </w:r>
      <w:r w:rsidRPr="008A3AD2">
        <w:t>to</w:t>
      </w:r>
      <w:r w:rsidR="00C64050">
        <w:t xml:space="preserve"> </w:t>
      </w:r>
      <w:r w:rsidRPr="008A3AD2">
        <w:t>Streightoff</w:t>
      </w:r>
      <w:r w:rsidR="00C64050">
        <w:t xml:space="preserve"> </w:t>
      </w:r>
      <w:r w:rsidRPr="008A3AD2">
        <w:t>Investments’</w:t>
      </w:r>
      <w:r w:rsidR="00C64050">
        <w:t xml:space="preserve"> </w:t>
      </w:r>
      <w:r w:rsidRPr="008A3AD2">
        <w:t>partnership</w:t>
      </w:r>
      <w:r w:rsidR="00C64050">
        <w:t xml:space="preserve"> </w:t>
      </w:r>
      <w:r w:rsidRPr="008A3AD2">
        <w:t>agreement</w:t>
      </w:r>
      <w:r w:rsidR="00C64050">
        <w:t xml:space="preserve"> </w:t>
      </w:r>
      <w:r w:rsidRPr="008A3AD2">
        <w:t>only</w:t>
      </w:r>
      <w:r w:rsidR="00C64050">
        <w:t xml:space="preserve"> </w:t>
      </w:r>
      <w:r w:rsidRPr="008A3AD2">
        <w:t>the</w:t>
      </w:r>
      <w:r w:rsidR="00C64050">
        <w:t xml:space="preserve"> </w:t>
      </w:r>
      <w:r w:rsidRPr="008A3AD2">
        <w:t>general</w:t>
      </w:r>
      <w:r w:rsidR="00C64050">
        <w:t xml:space="preserve"> </w:t>
      </w:r>
      <w:r w:rsidRPr="008A3AD2">
        <w:t>partner</w:t>
      </w:r>
      <w:r w:rsidR="00C64050">
        <w:t xml:space="preserve"> </w:t>
      </w:r>
      <w:r w:rsidRPr="008A3AD2">
        <w:t>had</w:t>
      </w:r>
      <w:r w:rsidR="00C64050">
        <w:t xml:space="preserve"> </w:t>
      </w:r>
      <w:r w:rsidRPr="008A3AD2">
        <w:t>the</w:t>
      </w:r>
      <w:r w:rsidR="00C64050">
        <w:t xml:space="preserve"> </w:t>
      </w:r>
      <w:r w:rsidRPr="008A3AD2">
        <w:t>right</w:t>
      </w:r>
      <w:r w:rsidR="00C64050">
        <w:t xml:space="preserve"> </w:t>
      </w:r>
      <w:r w:rsidRPr="008A3AD2">
        <w:t>to</w:t>
      </w:r>
      <w:r w:rsidR="00C64050">
        <w:t xml:space="preserve"> </w:t>
      </w:r>
      <w:r w:rsidRPr="008A3AD2">
        <w:t>direct</w:t>
      </w:r>
      <w:r w:rsidR="00C64050">
        <w:t xml:space="preserve"> </w:t>
      </w:r>
      <w:r w:rsidRPr="008A3AD2">
        <w:t>the</w:t>
      </w:r>
      <w:r w:rsidR="00C64050">
        <w:t xml:space="preserve"> </w:t>
      </w:r>
      <w:r w:rsidRPr="008A3AD2">
        <w:t>partnership’s</w:t>
      </w:r>
      <w:r w:rsidR="00C64050">
        <w:t xml:space="preserve"> </w:t>
      </w:r>
      <w:r w:rsidRPr="008A3AD2">
        <w:t>business;</w:t>
      </w:r>
      <w:r w:rsidR="00C64050">
        <w:t xml:space="preserve"> </w:t>
      </w:r>
      <w:r w:rsidRPr="008A3AD2">
        <w:t>neither</w:t>
      </w:r>
      <w:r w:rsidR="00C64050">
        <w:t xml:space="preserve"> </w:t>
      </w:r>
      <w:r w:rsidRPr="008A3AD2">
        <w:t>limited</w:t>
      </w:r>
      <w:r w:rsidR="00C64050">
        <w:t xml:space="preserve"> </w:t>
      </w:r>
      <w:r w:rsidRPr="008A3AD2">
        <w:t>partners</w:t>
      </w:r>
    </w:p>
    <w:p w:rsidR="00914130" w:rsidRPr="008A3AD2" w:rsidRDefault="00914130" w:rsidP="00914130">
      <w:pPr>
        <w:pStyle w:val="QS10"/>
      </w:pPr>
      <w:r w:rsidRPr="008A3AD2">
        <w:t>nor</w:t>
      </w:r>
      <w:r w:rsidR="00C64050">
        <w:t xml:space="preserve"> </w:t>
      </w:r>
      <w:r w:rsidRPr="008A3AD2">
        <w:t>assignees</w:t>
      </w:r>
      <w:r w:rsidR="00C64050">
        <w:t xml:space="preserve"> </w:t>
      </w:r>
      <w:r w:rsidRPr="008A3AD2">
        <w:t>had</w:t>
      </w:r>
      <w:r w:rsidR="00C64050">
        <w:t xml:space="preserve"> </w:t>
      </w:r>
      <w:r w:rsidRPr="008A3AD2">
        <w:t>managerial</w:t>
      </w:r>
      <w:r w:rsidR="00C64050">
        <w:t xml:space="preserve"> </w:t>
      </w:r>
      <w:r w:rsidRPr="008A3AD2">
        <w:t>rights.</w:t>
      </w:r>
      <w:r w:rsidR="00C64050">
        <w:t xml:space="preserve"> </w:t>
      </w:r>
      <w:r w:rsidRPr="008A3AD2">
        <w:t>The</w:t>
      </w:r>
      <w:r w:rsidR="00C64050">
        <w:t xml:space="preserve"> </w:t>
      </w:r>
      <w:r w:rsidRPr="008A3AD2">
        <w:t>partnership</w:t>
      </w:r>
      <w:r w:rsidR="00C64050">
        <w:t xml:space="preserve"> </w:t>
      </w:r>
      <w:r w:rsidRPr="008A3AD2">
        <w:t>agreement</w:t>
      </w:r>
      <w:r w:rsidR="00C64050">
        <w:t xml:space="preserve"> </w:t>
      </w:r>
      <w:r w:rsidRPr="008A3AD2">
        <w:t>provided</w:t>
      </w:r>
      <w:r w:rsidR="00C64050">
        <w:t xml:space="preserve"> </w:t>
      </w:r>
      <w:r w:rsidRPr="008A3AD2">
        <w:t>that</w:t>
      </w:r>
      <w:r w:rsidR="00C64050">
        <w:t xml:space="preserve"> </w:t>
      </w:r>
      <w:r w:rsidRPr="008A3AD2">
        <w:t>assignees</w:t>
      </w:r>
      <w:r w:rsidR="00C64050">
        <w:t xml:space="preserve"> </w:t>
      </w:r>
      <w:r w:rsidRPr="008A3AD2">
        <w:t>had</w:t>
      </w:r>
      <w:r w:rsidR="00C64050">
        <w:t xml:space="preserve"> </w:t>
      </w:r>
      <w:r w:rsidRPr="008A3AD2">
        <w:t>no</w:t>
      </w:r>
      <w:r w:rsidR="00C64050">
        <w:t xml:space="preserve"> </w:t>
      </w:r>
      <w:r w:rsidRPr="008A3AD2">
        <w:t>rights</w:t>
      </w:r>
      <w:r w:rsidR="00C64050">
        <w:t xml:space="preserve"> </w:t>
      </w:r>
      <w:r w:rsidRPr="008A3AD2">
        <w:t>to</w:t>
      </w:r>
      <w:r w:rsidR="00C64050">
        <w:t xml:space="preserve"> </w:t>
      </w:r>
      <w:r w:rsidRPr="008A3AD2">
        <w:t>any</w:t>
      </w:r>
      <w:r w:rsidR="00C64050">
        <w:t xml:space="preserve"> </w:t>
      </w:r>
      <w:r w:rsidRPr="008A3AD2">
        <w:t>information</w:t>
      </w:r>
      <w:r w:rsidR="00C64050">
        <w:t xml:space="preserve"> </w:t>
      </w:r>
      <w:r w:rsidRPr="008A3AD2">
        <w:t>regarding</w:t>
      </w:r>
      <w:r w:rsidR="00C64050">
        <w:t xml:space="preserve"> </w:t>
      </w:r>
      <w:r w:rsidRPr="008A3AD2">
        <w:t>the</w:t>
      </w:r>
      <w:r w:rsidR="00C64050">
        <w:t xml:space="preserve"> </w:t>
      </w:r>
      <w:r w:rsidRPr="008A3AD2">
        <w:t>business</w:t>
      </w:r>
      <w:r w:rsidR="00C64050">
        <w:t xml:space="preserve"> </w:t>
      </w:r>
      <w:r w:rsidRPr="008A3AD2">
        <w:t>of</w:t>
      </w:r>
      <w:r w:rsidR="00C64050">
        <w:t xml:space="preserve"> </w:t>
      </w:r>
      <w:r w:rsidRPr="008A3AD2">
        <w:t>the</w:t>
      </w:r>
      <w:r w:rsidR="00C64050">
        <w:t xml:space="preserve"> </w:t>
      </w:r>
      <w:r w:rsidRPr="008A3AD2">
        <w:t>partnership</w:t>
      </w:r>
      <w:r w:rsidR="00C64050">
        <w:t xml:space="preserve"> </w:t>
      </w:r>
      <w:r w:rsidRPr="008A3AD2">
        <w:t>or</w:t>
      </w:r>
      <w:r w:rsidR="00C64050">
        <w:t xml:space="preserve"> </w:t>
      </w:r>
      <w:r w:rsidRPr="008A3AD2">
        <w:t>to</w:t>
      </w:r>
      <w:r w:rsidR="00C64050">
        <w:t xml:space="preserve"> </w:t>
      </w:r>
      <w:r w:rsidRPr="008A3AD2">
        <w:t>inspection</w:t>
      </w:r>
      <w:r w:rsidR="00C64050">
        <w:t xml:space="preserve"> </w:t>
      </w:r>
      <w:r w:rsidRPr="008A3AD2">
        <w:t>of</w:t>
      </w:r>
      <w:r w:rsidR="00C64050">
        <w:t xml:space="preserve"> </w:t>
      </w:r>
      <w:r w:rsidRPr="008A3AD2">
        <w:t>the</w:t>
      </w:r>
      <w:r w:rsidR="00C64050">
        <w:t xml:space="preserve"> </w:t>
      </w:r>
      <w:r w:rsidRPr="008A3AD2">
        <w:t>books</w:t>
      </w:r>
      <w:r w:rsidR="00C64050">
        <w:t xml:space="preserve"> </w:t>
      </w:r>
      <w:r w:rsidRPr="008A3AD2">
        <w:t>or</w:t>
      </w:r>
      <w:r w:rsidR="00C64050">
        <w:t xml:space="preserve"> </w:t>
      </w:r>
      <w:r w:rsidRPr="008A3AD2">
        <w:t>records</w:t>
      </w:r>
      <w:r w:rsidR="00C64050">
        <w:t xml:space="preserve"> </w:t>
      </w:r>
      <w:r w:rsidRPr="008A3AD2">
        <w:t>of</w:t>
      </w:r>
      <w:r w:rsidR="00C64050">
        <w:t xml:space="preserve"> </w:t>
      </w:r>
      <w:r w:rsidRPr="008A3AD2">
        <w:t>the</w:t>
      </w:r>
      <w:r w:rsidR="00C64050">
        <w:t xml:space="preserve"> </w:t>
      </w:r>
      <w:r w:rsidRPr="008A3AD2">
        <w:t>partnership.</w:t>
      </w:r>
      <w:r w:rsidR="00C64050">
        <w:t xml:space="preserve">  </w:t>
      </w:r>
      <w:r w:rsidRPr="008A3AD2">
        <w:t>However,</w:t>
      </w:r>
      <w:r w:rsidR="00C64050">
        <w:t xml:space="preserve"> </w:t>
      </w:r>
      <w:r w:rsidRPr="008A3AD2">
        <w:t>this</w:t>
      </w:r>
      <w:r w:rsidR="00C64050">
        <w:t xml:space="preserve"> </w:t>
      </w:r>
      <w:r w:rsidRPr="008A3AD2">
        <w:t>distinction</w:t>
      </w:r>
      <w:r w:rsidR="00C64050">
        <w:t xml:space="preserve"> </w:t>
      </w:r>
      <w:r w:rsidRPr="008A3AD2">
        <w:t>made</w:t>
      </w:r>
      <w:r w:rsidR="00C64050">
        <w:t xml:space="preserve"> </w:t>
      </w:r>
      <w:r w:rsidRPr="008A3AD2">
        <w:t>no</w:t>
      </w:r>
      <w:r w:rsidR="00C64050">
        <w:t xml:space="preserve"> </w:t>
      </w:r>
      <w:r w:rsidRPr="008A3AD2">
        <w:t>difference</w:t>
      </w:r>
      <w:r w:rsidR="00C64050">
        <w:t xml:space="preserve"> </w:t>
      </w:r>
      <w:r w:rsidRPr="008A3AD2">
        <w:t>in</w:t>
      </w:r>
      <w:r w:rsidR="00C64050">
        <w:t xml:space="preserve"> </w:t>
      </w:r>
      <w:r w:rsidRPr="008A3AD2">
        <w:t>this</w:t>
      </w:r>
      <w:r w:rsidR="00C64050">
        <w:t xml:space="preserve"> </w:t>
      </w:r>
      <w:r w:rsidRPr="008A3AD2">
        <w:t>case</w:t>
      </w:r>
      <w:r w:rsidR="00C64050">
        <w:t xml:space="preserve"> </w:t>
      </w:r>
      <w:r w:rsidRPr="008A3AD2">
        <w:t>because</w:t>
      </w:r>
      <w:r w:rsidR="00C64050">
        <w:t xml:space="preserve"> </w:t>
      </w:r>
      <w:r w:rsidRPr="008A3AD2">
        <w:t>Ms.</w:t>
      </w:r>
      <w:r w:rsidR="00C64050">
        <w:t xml:space="preserve"> </w:t>
      </w:r>
      <w:r w:rsidRPr="008A3AD2">
        <w:t>Streightoff</w:t>
      </w:r>
      <w:r w:rsidR="00C64050">
        <w:t xml:space="preserve"> </w:t>
      </w:r>
      <w:r w:rsidRPr="008A3AD2">
        <w:t>was</w:t>
      </w:r>
      <w:r w:rsidR="00C64050">
        <w:t xml:space="preserve"> </w:t>
      </w:r>
      <w:r w:rsidRPr="008A3AD2">
        <w:t>both</w:t>
      </w:r>
      <w:r w:rsidR="00C64050">
        <w:t xml:space="preserve"> </w:t>
      </w:r>
      <w:r w:rsidRPr="008A3AD2">
        <w:t>a</w:t>
      </w:r>
      <w:r w:rsidR="00C64050">
        <w:t xml:space="preserve"> </w:t>
      </w:r>
      <w:r w:rsidRPr="008A3AD2">
        <w:t>partner</w:t>
      </w:r>
      <w:r w:rsidR="00C64050">
        <w:t xml:space="preserve"> </w:t>
      </w:r>
      <w:r w:rsidRPr="008A3AD2">
        <w:t>entitled</w:t>
      </w:r>
      <w:r w:rsidR="00C64050">
        <w:t xml:space="preserve"> </w:t>
      </w:r>
      <w:r w:rsidRPr="008A3AD2">
        <w:t>to</w:t>
      </w:r>
      <w:r w:rsidR="00C64050">
        <w:t xml:space="preserve"> </w:t>
      </w:r>
      <w:r w:rsidRPr="008A3AD2">
        <w:t>information</w:t>
      </w:r>
      <w:r w:rsidR="00C64050">
        <w:t xml:space="preserve"> </w:t>
      </w:r>
      <w:r w:rsidRPr="008A3AD2">
        <w:t>regarding</w:t>
      </w:r>
      <w:r w:rsidR="00C64050">
        <w:t xml:space="preserve"> </w:t>
      </w:r>
      <w:r w:rsidRPr="008A3AD2">
        <w:t>Streightoff</w:t>
      </w:r>
      <w:r w:rsidR="00C64050">
        <w:t xml:space="preserve"> </w:t>
      </w:r>
      <w:r w:rsidRPr="008A3AD2">
        <w:t>Investments</w:t>
      </w:r>
      <w:r w:rsidR="00C64050">
        <w:t xml:space="preserve"> </w:t>
      </w:r>
      <w:r w:rsidRPr="008A3AD2">
        <w:t>and</w:t>
      </w:r>
      <w:r w:rsidR="00C64050">
        <w:t xml:space="preserve"> </w:t>
      </w:r>
      <w:r w:rsidRPr="008A3AD2">
        <w:t>the</w:t>
      </w:r>
      <w:r w:rsidR="00C64050">
        <w:t xml:space="preserve"> </w:t>
      </w:r>
      <w:r w:rsidRPr="008A3AD2">
        <w:t>trustee</w:t>
      </w:r>
      <w:r w:rsidR="00C64050">
        <w:t xml:space="preserve"> </w:t>
      </w:r>
      <w:r w:rsidRPr="008A3AD2">
        <w:t>of</w:t>
      </w:r>
      <w:r w:rsidR="00C64050">
        <w:t xml:space="preserve"> </w:t>
      </w:r>
      <w:r w:rsidRPr="008A3AD2">
        <w:t>the</w:t>
      </w:r>
      <w:r w:rsidR="00C64050">
        <w:t xml:space="preserve"> </w:t>
      </w:r>
      <w:r w:rsidRPr="008A3AD2">
        <w:t>revocable</w:t>
      </w:r>
      <w:r w:rsidR="00C64050">
        <w:t xml:space="preserve"> </w:t>
      </w:r>
      <w:r w:rsidRPr="008A3AD2">
        <w:t>trust.</w:t>
      </w:r>
    </w:p>
    <w:p w:rsidR="00914130" w:rsidRDefault="00914130" w:rsidP="00914130">
      <w:pPr>
        <w:pStyle w:val="QS10"/>
      </w:pPr>
      <w:r w:rsidRPr="008A3AD2">
        <w:t>The</w:t>
      </w:r>
      <w:r w:rsidR="00C64050">
        <w:t xml:space="preserve"> </w:t>
      </w:r>
      <w:r w:rsidRPr="008A3AD2">
        <w:t>partnership</w:t>
      </w:r>
      <w:r w:rsidR="00C64050">
        <w:t xml:space="preserve"> </w:t>
      </w:r>
      <w:r w:rsidRPr="008A3AD2">
        <w:t>agreement</w:t>
      </w:r>
      <w:r w:rsidR="00C64050">
        <w:t xml:space="preserve"> </w:t>
      </w:r>
      <w:r w:rsidRPr="008A3AD2">
        <w:t>provided</w:t>
      </w:r>
      <w:r w:rsidR="00C64050">
        <w:t xml:space="preserve"> </w:t>
      </w:r>
      <w:r w:rsidRPr="008A3AD2">
        <w:t>that</w:t>
      </w:r>
      <w:r w:rsidR="00C64050">
        <w:t xml:space="preserve"> </w:t>
      </w:r>
      <w:r w:rsidRPr="008A3AD2">
        <w:t>an</w:t>
      </w:r>
      <w:r w:rsidR="00C64050">
        <w:t xml:space="preserve"> </w:t>
      </w:r>
      <w:r w:rsidRPr="008A3AD2">
        <w:t>“unadmitted</w:t>
      </w:r>
      <w:r w:rsidR="00C64050">
        <w:t xml:space="preserve"> </w:t>
      </w:r>
      <w:r w:rsidRPr="008A3AD2">
        <w:t>assignee”</w:t>
      </w:r>
      <w:r w:rsidR="00C64050">
        <w:t xml:space="preserve"> </w:t>
      </w:r>
      <w:r w:rsidRPr="008A3AD2">
        <w:t>did</w:t>
      </w:r>
      <w:r w:rsidR="00C64050">
        <w:t xml:space="preserve"> </w:t>
      </w:r>
      <w:r w:rsidRPr="008A3AD2">
        <w:t>not</w:t>
      </w:r>
      <w:r w:rsidR="00C64050">
        <w:t xml:space="preserve"> </w:t>
      </w:r>
      <w:r w:rsidRPr="008A3AD2">
        <w:t>have</w:t>
      </w:r>
      <w:r w:rsidR="00C64050">
        <w:t xml:space="preserve"> </w:t>
      </w:r>
      <w:r w:rsidRPr="008A3AD2">
        <w:t>the</w:t>
      </w:r>
      <w:r w:rsidR="00C64050">
        <w:t xml:space="preserve"> </w:t>
      </w:r>
      <w:r w:rsidRPr="008A3AD2">
        <w:t>right</w:t>
      </w:r>
      <w:r w:rsidR="00C64050">
        <w:t xml:space="preserve"> </w:t>
      </w:r>
      <w:r w:rsidRPr="008A3AD2">
        <w:t>to</w:t>
      </w:r>
      <w:r w:rsidR="00C64050">
        <w:t xml:space="preserve"> </w:t>
      </w:r>
      <w:r w:rsidRPr="008A3AD2">
        <w:t>vote</w:t>
      </w:r>
      <w:r w:rsidR="00C64050">
        <w:t xml:space="preserve"> </w:t>
      </w:r>
      <w:r w:rsidRPr="008A3AD2">
        <w:t>as</w:t>
      </w:r>
      <w:r w:rsidR="00C64050">
        <w:t xml:space="preserve"> </w:t>
      </w:r>
      <w:r w:rsidRPr="008A3AD2">
        <w:t>a</w:t>
      </w:r>
      <w:r w:rsidR="00C64050">
        <w:t xml:space="preserve"> </w:t>
      </w:r>
      <w:r w:rsidRPr="008A3AD2">
        <w:t>limited</w:t>
      </w:r>
      <w:r w:rsidR="00C64050">
        <w:t xml:space="preserve"> </w:t>
      </w:r>
      <w:r w:rsidRPr="008A3AD2">
        <w:t>partner.</w:t>
      </w:r>
      <w:r w:rsidR="00C64050">
        <w:t xml:space="preserve"> </w:t>
      </w:r>
      <w:r w:rsidRPr="008A3AD2">
        <w:t>In</w:t>
      </w:r>
      <w:r w:rsidR="00C64050">
        <w:t xml:space="preserve"> </w:t>
      </w:r>
      <w:r w:rsidRPr="0036314D">
        <w:rPr>
          <w:u w:val="single"/>
        </w:rPr>
        <w:t>Kerr</w:t>
      </w:r>
      <w:r w:rsidR="00C64050">
        <w:rPr>
          <w:u w:val="single"/>
        </w:rPr>
        <w:t xml:space="preserve"> </w:t>
      </w:r>
      <w:r w:rsidRPr="0036314D">
        <w:rPr>
          <w:u w:val="single"/>
        </w:rPr>
        <w:t>v.</w:t>
      </w:r>
      <w:r w:rsidR="00C64050">
        <w:rPr>
          <w:u w:val="single"/>
        </w:rPr>
        <w:t xml:space="preserve"> </w:t>
      </w:r>
      <w:r w:rsidRPr="0036314D">
        <w:rPr>
          <w:u w:val="single"/>
        </w:rPr>
        <w:t>Commissioner</w:t>
      </w:r>
      <w:r w:rsidRPr="008A3AD2">
        <w:t>,</w:t>
      </w:r>
      <w:r w:rsidR="00C64050">
        <w:t xml:space="preserve"> </w:t>
      </w:r>
      <w:r w:rsidRPr="008A3AD2">
        <w:t>113</w:t>
      </w:r>
      <w:r w:rsidR="00C64050">
        <w:t xml:space="preserve"> </w:t>
      </w:r>
      <w:r w:rsidRPr="008A3AD2">
        <w:t>T.C.</w:t>
      </w:r>
      <w:r w:rsidR="00C64050">
        <w:t xml:space="preserve"> </w:t>
      </w:r>
      <w:r w:rsidRPr="008A3AD2">
        <w:t>at</w:t>
      </w:r>
      <w:r w:rsidR="00C64050">
        <w:t xml:space="preserve"> </w:t>
      </w:r>
      <w:r w:rsidRPr="008A3AD2">
        <w:t>467,</w:t>
      </w:r>
      <w:r w:rsidR="00C64050">
        <w:t xml:space="preserve"> </w:t>
      </w:r>
      <w:r w:rsidRPr="008A3AD2">
        <w:t>we</w:t>
      </w:r>
      <w:r w:rsidR="00C64050">
        <w:t xml:space="preserve"> </w:t>
      </w:r>
      <w:r w:rsidRPr="008A3AD2">
        <w:t>determined</w:t>
      </w:r>
      <w:r w:rsidR="00C64050">
        <w:t xml:space="preserve"> </w:t>
      </w:r>
      <w:r w:rsidRPr="008A3AD2">
        <w:t>that</w:t>
      </w:r>
      <w:r w:rsidR="00C64050">
        <w:t xml:space="preserve"> </w:t>
      </w:r>
      <w:r w:rsidRPr="008A3AD2">
        <w:t>the</w:t>
      </w:r>
      <w:r w:rsidR="00C64050">
        <w:t xml:space="preserve"> </w:t>
      </w:r>
      <w:r w:rsidRPr="008A3AD2">
        <w:t>only</w:t>
      </w:r>
      <w:r w:rsidR="00C64050">
        <w:t xml:space="preserve"> </w:t>
      </w:r>
      <w:r w:rsidRPr="008A3AD2">
        <w:t>real</w:t>
      </w:r>
      <w:r w:rsidR="00C64050">
        <w:t xml:space="preserve"> </w:t>
      </w:r>
      <w:r w:rsidRPr="008A3AD2">
        <w:t>difference</w:t>
      </w:r>
      <w:r w:rsidR="00C64050">
        <w:t xml:space="preserve"> </w:t>
      </w:r>
      <w:r w:rsidRPr="008A3AD2">
        <w:t>between</w:t>
      </w:r>
      <w:r w:rsidR="00C64050">
        <w:t xml:space="preserve"> </w:t>
      </w:r>
      <w:r w:rsidRPr="008A3AD2">
        <w:t>the</w:t>
      </w:r>
      <w:r w:rsidR="00C64050">
        <w:t xml:space="preserve"> </w:t>
      </w:r>
      <w:r w:rsidRPr="008A3AD2">
        <w:t>rights</w:t>
      </w:r>
      <w:r w:rsidR="00C64050">
        <w:t xml:space="preserve"> </w:t>
      </w:r>
      <w:r w:rsidRPr="008A3AD2">
        <w:t>of</w:t>
      </w:r>
      <w:r w:rsidR="00C64050">
        <w:t xml:space="preserve"> </w:t>
      </w:r>
      <w:r w:rsidRPr="008A3AD2">
        <w:t>a</w:t>
      </w:r>
      <w:r w:rsidR="00C64050">
        <w:t xml:space="preserve"> </w:t>
      </w:r>
      <w:r w:rsidRPr="008A3AD2">
        <w:t>limited</w:t>
      </w:r>
      <w:r w:rsidR="00C64050">
        <w:t xml:space="preserve"> </w:t>
      </w:r>
      <w:r w:rsidRPr="008A3AD2">
        <w:t>partner</w:t>
      </w:r>
      <w:r w:rsidR="00C64050">
        <w:t xml:space="preserve"> </w:t>
      </w:r>
      <w:r w:rsidRPr="008A3AD2">
        <w:t>and</w:t>
      </w:r>
      <w:r w:rsidR="00C64050">
        <w:t xml:space="preserve"> </w:t>
      </w:r>
      <w:r w:rsidRPr="008A3AD2">
        <w:t>those</w:t>
      </w:r>
      <w:r w:rsidR="00C64050">
        <w:t xml:space="preserve"> </w:t>
      </w:r>
      <w:r w:rsidRPr="008A3AD2">
        <w:t>of</w:t>
      </w:r>
      <w:r w:rsidR="00C64050">
        <w:t xml:space="preserve"> </w:t>
      </w:r>
      <w:r w:rsidRPr="008A3AD2">
        <w:t>an</w:t>
      </w:r>
      <w:r w:rsidR="00C64050">
        <w:t xml:space="preserve"> </w:t>
      </w:r>
      <w:r w:rsidRPr="008A3AD2">
        <w:t>assignee</w:t>
      </w:r>
      <w:r w:rsidR="00C64050">
        <w:t xml:space="preserve"> </w:t>
      </w:r>
      <w:r w:rsidRPr="008A3AD2">
        <w:t>was</w:t>
      </w:r>
      <w:r w:rsidR="00C64050">
        <w:t xml:space="preserve"> </w:t>
      </w:r>
      <w:r w:rsidRPr="008A3AD2">
        <w:t>the</w:t>
      </w:r>
      <w:r w:rsidR="00C64050">
        <w:t xml:space="preserve"> </w:t>
      </w:r>
      <w:r w:rsidRPr="008A3AD2">
        <w:t>right</w:t>
      </w:r>
      <w:r w:rsidR="00C64050">
        <w:t xml:space="preserve"> </w:t>
      </w:r>
      <w:r w:rsidRPr="008A3AD2">
        <w:t>to</w:t>
      </w:r>
      <w:r w:rsidR="00C64050">
        <w:t xml:space="preserve"> </w:t>
      </w:r>
      <w:r w:rsidRPr="008A3AD2">
        <w:t>vote</w:t>
      </w:r>
      <w:r w:rsidR="00C64050">
        <w:t xml:space="preserve"> </w:t>
      </w:r>
      <w:r w:rsidRPr="008A3AD2">
        <w:t>on</w:t>
      </w:r>
      <w:r w:rsidR="00C64050">
        <w:t xml:space="preserve"> </w:t>
      </w:r>
      <w:r w:rsidRPr="008A3AD2">
        <w:t>partnership</w:t>
      </w:r>
      <w:r w:rsidR="00C64050">
        <w:t xml:space="preserve"> </w:t>
      </w:r>
      <w:r w:rsidRPr="008A3AD2">
        <w:t>matters,</w:t>
      </w:r>
      <w:r w:rsidR="00C64050">
        <w:t xml:space="preserve"> </w:t>
      </w:r>
      <w:r w:rsidRPr="008A3AD2">
        <w:t>and</w:t>
      </w:r>
      <w:r w:rsidR="00C64050">
        <w:t xml:space="preserve"> </w:t>
      </w:r>
      <w:r w:rsidRPr="008A3AD2">
        <w:t>we</w:t>
      </w:r>
      <w:r w:rsidR="00C64050">
        <w:t xml:space="preserve"> </w:t>
      </w:r>
      <w:r w:rsidRPr="008A3AD2">
        <w:t>concluded</w:t>
      </w:r>
      <w:r w:rsidR="00C64050">
        <w:t xml:space="preserve"> </w:t>
      </w:r>
      <w:r w:rsidRPr="008A3AD2">
        <w:t>that</w:t>
      </w:r>
      <w:r w:rsidR="00C64050">
        <w:t xml:space="preserve"> </w:t>
      </w:r>
      <w:r w:rsidRPr="008A3AD2">
        <w:t>this</w:t>
      </w:r>
      <w:r w:rsidR="00C64050">
        <w:t xml:space="preserve"> </w:t>
      </w:r>
      <w:r w:rsidRPr="008A3AD2">
        <w:t>difference</w:t>
      </w:r>
      <w:r w:rsidR="00C64050">
        <w:t xml:space="preserve"> </w:t>
      </w:r>
      <w:r w:rsidRPr="008A3AD2">
        <w:t>was</w:t>
      </w:r>
      <w:r w:rsidR="00C64050">
        <w:t xml:space="preserve"> </w:t>
      </w:r>
      <w:r w:rsidRPr="008A3AD2">
        <w:t>not</w:t>
      </w:r>
      <w:r w:rsidR="00C64050">
        <w:t xml:space="preserve"> </w:t>
      </w:r>
      <w:r w:rsidRPr="008A3AD2">
        <w:t>significant.</w:t>
      </w:r>
      <w:r w:rsidR="00C64050">
        <w:t xml:space="preserve"> </w:t>
      </w:r>
      <w:r w:rsidRPr="008A3AD2">
        <w:t>We</w:t>
      </w:r>
      <w:r w:rsidR="00C64050">
        <w:t xml:space="preserve"> </w:t>
      </w:r>
      <w:r w:rsidRPr="008A3AD2">
        <w:t>held</w:t>
      </w:r>
      <w:r w:rsidR="00C64050">
        <w:t xml:space="preserve"> </w:t>
      </w:r>
      <w:r w:rsidRPr="008A3AD2">
        <w:t>that</w:t>
      </w:r>
      <w:r w:rsidR="00C64050">
        <w:t xml:space="preserve"> </w:t>
      </w:r>
      <w:r w:rsidRPr="008A3AD2">
        <w:t>under</w:t>
      </w:r>
      <w:r w:rsidR="00C64050">
        <w:t xml:space="preserve"> </w:t>
      </w:r>
      <w:r w:rsidRPr="008A3AD2">
        <w:t>such</w:t>
      </w:r>
      <w:r w:rsidR="00C64050">
        <w:t xml:space="preserve"> </w:t>
      </w:r>
      <w:r w:rsidRPr="008A3AD2">
        <w:t>circumstances</w:t>
      </w:r>
      <w:r w:rsidR="00C64050">
        <w:t xml:space="preserve"> </w:t>
      </w:r>
      <w:r w:rsidRPr="008A3AD2">
        <w:t>the</w:t>
      </w:r>
      <w:r w:rsidR="00C64050">
        <w:t xml:space="preserve"> </w:t>
      </w:r>
      <w:r w:rsidRPr="008A3AD2">
        <w:t>transferred</w:t>
      </w:r>
      <w:r w:rsidR="00C64050">
        <w:t xml:space="preserve"> </w:t>
      </w:r>
      <w:r w:rsidRPr="008A3AD2">
        <w:t>interest</w:t>
      </w:r>
      <w:r w:rsidR="00C64050">
        <w:t xml:space="preserve"> </w:t>
      </w:r>
      <w:r w:rsidRPr="008A3AD2">
        <w:t>should</w:t>
      </w:r>
      <w:r w:rsidR="00C64050">
        <w:t xml:space="preserve"> </w:t>
      </w:r>
      <w:r w:rsidRPr="008A3AD2">
        <w:t>be</w:t>
      </w:r>
      <w:r w:rsidR="00C64050">
        <w:t xml:space="preserve"> </w:t>
      </w:r>
      <w:r w:rsidRPr="008A3AD2">
        <w:t>valued</w:t>
      </w:r>
      <w:r w:rsidR="00C64050">
        <w:t xml:space="preserve"> </w:t>
      </w:r>
      <w:r w:rsidRPr="008A3AD2">
        <w:t>as</w:t>
      </w:r>
      <w:r w:rsidR="00C64050">
        <w:t xml:space="preserve"> </w:t>
      </w:r>
      <w:r w:rsidRPr="008A3AD2">
        <w:t>a</w:t>
      </w:r>
      <w:r w:rsidR="00C64050">
        <w:t xml:space="preserve"> </w:t>
      </w:r>
      <w:r w:rsidRPr="008A3AD2">
        <w:t>limited</w:t>
      </w:r>
      <w:r w:rsidR="00C64050">
        <w:t xml:space="preserve"> </w:t>
      </w:r>
      <w:r w:rsidRPr="008A3AD2">
        <w:t>partnership</w:t>
      </w:r>
      <w:r w:rsidR="00C64050">
        <w:t xml:space="preserve"> </w:t>
      </w:r>
      <w:r w:rsidRPr="008A3AD2">
        <w:t>interest</w:t>
      </w:r>
      <w:r w:rsidR="00C64050">
        <w:t xml:space="preserve"> </w:t>
      </w:r>
      <w:r w:rsidRPr="008A3AD2">
        <w:t>rather</w:t>
      </w:r>
      <w:r w:rsidR="00C64050">
        <w:t xml:space="preserve"> </w:t>
      </w:r>
      <w:r w:rsidRPr="008A3AD2">
        <w:t>than</w:t>
      </w:r>
      <w:r w:rsidR="00C64050">
        <w:t xml:space="preserve"> </w:t>
      </w:r>
      <w:r w:rsidRPr="008A3AD2">
        <w:t>as</w:t>
      </w:r>
      <w:r w:rsidR="00C64050">
        <w:t xml:space="preserve"> </w:t>
      </w:r>
      <w:r w:rsidRPr="008A3AD2">
        <w:t>an</w:t>
      </w:r>
      <w:r w:rsidR="00C64050">
        <w:t xml:space="preserve"> </w:t>
      </w:r>
      <w:r w:rsidRPr="008A3AD2">
        <w:t>assignee</w:t>
      </w:r>
      <w:r w:rsidR="00C64050">
        <w:t xml:space="preserve"> </w:t>
      </w:r>
      <w:r w:rsidRPr="008A3AD2">
        <w:t>interest.</w:t>
      </w:r>
      <w:r w:rsidR="00C64050">
        <w:t xml:space="preserve"> </w:t>
      </w:r>
      <w:r w:rsidRPr="008A3AD2">
        <w:t>Id.</w:t>
      </w:r>
      <w:r w:rsidR="00C64050">
        <w:t xml:space="preserve"> </w:t>
      </w:r>
      <w:r w:rsidRPr="008A3AD2">
        <w:t>Here,</w:t>
      </w:r>
      <w:r w:rsidR="00C64050">
        <w:t xml:space="preserve"> </w:t>
      </w:r>
      <w:r w:rsidRPr="008A3AD2">
        <w:t>we</w:t>
      </w:r>
      <w:r w:rsidR="00C64050">
        <w:t xml:space="preserve"> </w:t>
      </w:r>
      <w:r w:rsidRPr="008A3AD2">
        <w:t>conclude</w:t>
      </w:r>
      <w:r w:rsidR="00C64050">
        <w:t xml:space="preserve"> </w:t>
      </w:r>
      <w:r w:rsidRPr="008A3AD2">
        <w:t>similarly</w:t>
      </w:r>
      <w:r w:rsidR="00C64050">
        <w:t xml:space="preserve"> </w:t>
      </w:r>
      <w:r w:rsidRPr="008A3AD2">
        <w:t>that</w:t>
      </w:r>
      <w:r w:rsidR="00C64050">
        <w:t xml:space="preserve"> </w:t>
      </w:r>
      <w:r w:rsidRPr="008A3AD2">
        <w:t>whether</w:t>
      </w:r>
      <w:r w:rsidR="00C64050">
        <w:t xml:space="preserve"> </w:t>
      </w:r>
      <w:r w:rsidRPr="008A3AD2">
        <w:t>the</w:t>
      </w:r>
      <w:r w:rsidR="00C64050">
        <w:t xml:space="preserve"> </w:t>
      </w:r>
      <w:r w:rsidRPr="008A3AD2">
        <w:t>revocable</w:t>
      </w:r>
      <w:r w:rsidR="00C64050">
        <w:t xml:space="preserve"> </w:t>
      </w:r>
      <w:r w:rsidRPr="008A3AD2">
        <w:t>trust</w:t>
      </w:r>
      <w:r w:rsidR="00C64050">
        <w:t xml:space="preserve"> </w:t>
      </w:r>
      <w:r w:rsidRPr="008A3AD2">
        <w:t>held</w:t>
      </w:r>
      <w:r w:rsidR="00C64050">
        <w:t xml:space="preserve"> </w:t>
      </w:r>
      <w:r w:rsidRPr="008A3AD2">
        <w:t>the</w:t>
      </w:r>
      <w:r w:rsidR="00C64050">
        <w:t xml:space="preserve"> </w:t>
      </w:r>
      <w:r w:rsidRPr="008A3AD2">
        <w:t>voting</w:t>
      </w:r>
      <w:r w:rsidR="00C64050">
        <w:t xml:space="preserve"> </w:t>
      </w:r>
      <w:r w:rsidRPr="008A3AD2">
        <w:t>rights</w:t>
      </w:r>
      <w:r w:rsidR="00C64050">
        <w:t xml:space="preserve"> </w:t>
      </w:r>
      <w:r w:rsidRPr="008A3AD2">
        <w:t>associated</w:t>
      </w:r>
      <w:r w:rsidR="00C64050">
        <w:t xml:space="preserve"> </w:t>
      </w:r>
      <w:r w:rsidRPr="008A3AD2">
        <w:t>with</w:t>
      </w:r>
      <w:r w:rsidR="00C64050">
        <w:t xml:space="preserve"> </w:t>
      </w:r>
      <w:r w:rsidRPr="008A3AD2">
        <w:t>a</w:t>
      </w:r>
      <w:r w:rsidR="00C64050">
        <w:t xml:space="preserve"> </w:t>
      </w:r>
      <w:r w:rsidRPr="008A3AD2">
        <w:t>limited</w:t>
      </w:r>
      <w:r w:rsidR="00C64050">
        <w:t xml:space="preserve"> </w:t>
      </w:r>
      <w:r w:rsidRPr="008A3AD2">
        <w:t>partnership</w:t>
      </w:r>
      <w:r w:rsidR="00C64050">
        <w:t xml:space="preserve"> </w:t>
      </w:r>
      <w:r w:rsidRPr="008A3AD2">
        <w:t>interest</w:t>
      </w:r>
      <w:r w:rsidR="00C64050">
        <w:t xml:space="preserve"> </w:t>
      </w:r>
      <w:r w:rsidRPr="008A3AD2">
        <w:t>would</w:t>
      </w:r>
      <w:r w:rsidR="00C64050">
        <w:t xml:space="preserve"> </w:t>
      </w:r>
      <w:r w:rsidRPr="008A3AD2">
        <w:t>have</w:t>
      </w:r>
      <w:r w:rsidR="00C64050">
        <w:t xml:space="preserve"> </w:t>
      </w:r>
      <w:r w:rsidRPr="008A3AD2">
        <w:t>been</w:t>
      </w:r>
      <w:r w:rsidR="00C64050">
        <w:t xml:space="preserve"> </w:t>
      </w:r>
      <w:r w:rsidRPr="008A3AD2">
        <w:t>of</w:t>
      </w:r>
      <w:r w:rsidR="00C64050">
        <w:t xml:space="preserve"> </w:t>
      </w:r>
      <w:r w:rsidRPr="008A3AD2">
        <w:t>no</w:t>
      </w:r>
      <w:r w:rsidR="00C64050">
        <w:t xml:space="preserve"> </w:t>
      </w:r>
      <w:r w:rsidRPr="008A3AD2">
        <w:t>practical</w:t>
      </w:r>
      <w:r w:rsidR="00C64050">
        <w:t xml:space="preserve"> </w:t>
      </w:r>
      <w:r w:rsidRPr="008A3AD2">
        <w:t>significance.</w:t>
      </w:r>
      <w:r w:rsidR="00C64050">
        <w:t xml:space="preserve">  </w:t>
      </w:r>
      <w:r w:rsidRPr="008A3AD2">
        <w:t>There</w:t>
      </w:r>
      <w:r w:rsidR="00C64050">
        <w:t xml:space="preserve"> </w:t>
      </w:r>
      <w:r w:rsidRPr="008A3AD2">
        <w:t>were</w:t>
      </w:r>
      <w:r w:rsidR="00C64050">
        <w:t xml:space="preserve"> </w:t>
      </w:r>
      <w:r w:rsidRPr="008A3AD2">
        <w:t>no</w:t>
      </w:r>
      <w:r w:rsidR="00C64050">
        <w:t xml:space="preserve"> </w:t>
      </w:r>
      <w:r w:rsidRPr="008A3AD2">
        <w:t>votes</w:t>
      </w:r>
      <w:r w:rsidR="00C64050">
        <w:t xml:space="preserve"> </w:t>
      </w:r>
      <w:r w:rsidRPr="008A3AD2">
        <w:t>by</w:t>
      </w:r>
      <w:r w:rsidR="00C64050">
        <w:t xml:space="preserve"> </w:t>
      </w:r>
      <w:r w:rsidRPr="008A3AD2">
        <w:t>limited</w:t>
      </w:r>
      <w:r w:rsidR="00C64050">
        <w:t xml:space="preserve"> </w:t>
      </w:r>
      <w:r w:rsidRPr="008A3AD2">
        <w:t>partners</w:t>
      </w:r>
      <w:r w:rsidR="00C64050">
        <w:t xml:space="preserve"> </w:t>
      </w:r>
      <w:r w:rsidRPr="008A3AD2">
        <w:t>following</w:t>
      </w:r>
      <w:r w:rsidR="00C64050">
        <w:t xml:space="preserve"> </w:t>
      </w:r>
      <w:r w:rsidRPr="008A3AD2">
        <w:t>the</w:t>
      </w:r>
      <w:r w:rsidR="00C64050">
        <w:t xml:space="preserve"> </w:t>
      </w:r>
      <w:r w:rsidRPr="008A3AD2">
        <w:t>execution</w:t>
      </w:r>
      <w:r w:rsidR="00C64050">
        <w:t xml:space="preserve"> </w:t>
      </w:r>
      <w:r w:rsidRPr="008A3AD2">
        <w:t>of</w:t>
      </w:r>
      <w:r w:rsidR="00C64050">
        <w:t xml:space="preserve"> </w:t>
      </w:r>
      <w:r w:rsidRPr="008A3AD2">
        <w:t>the</w:t>
      </w:r>
      <w:r w:rsidR="00C64050">
        <w:t xml:space="preserve"> </w:t>
      </w:r>
      <w:r w:rsidRPr="008A3AD2">
        <w:t>agreement.</w:t>
      </w:r>
      <w:r w:rsidR="00C64050">
        <w:t xml:space="preserve"> </w:t>
      </w:r>
      <w:r w:rsidRPr="008A3AD2">
        <w:t>Additionally,</w:t>
      </w:r>
      <w:r w:rsidR="00C64050">
        <w:t xml:space="preserve"> </w:t>
      </w:r>
      <w:r w:rsidRPr="008A3AD2">
        <w:t>during</w:t>
      </w:r>
      <w:r w:rsidR="00C64050">
        <w:t xml:space="preserve"> </w:t>
      </w:r>
      <w:r w:rsidRPr="008A3AD2">
        <w:t>his</w:t>
      </w:r>
      <w:r w:rsidR="00C64050">
        <w:t xml:space="preserve"> </w:t>
      </w:r>
      <w:r w:rsidRPr="008A3AD2">
        <w:t>life</w:t>
      </w:r>
      <w:r w:rsidR="00C64050">
        <w:t xml:space="preserve"> </w:t>
      </w:r>
      <w:r w:rsidRPr="008A3AD2">
        <w:t>decedent</w:t>
      </w:r>
      <w:r w:rsidR="00C64050">
        <w:t xml:space="preserve"> </w:t>
      </w:r>
      <w:r w:rsidRPr="008A3AD2">
        <w:t>held</w:t>
      </w:r>
      <w:r w:rsidR="00C64050">
        <w:t xml:space="preserve"> </w:t>
      </w:r>
      <w:r w:rsidRPr="008A3AD2">
        <w:t>the</w:t>
      </w:r>
      <w:r w:rsidR="00C64050">
        <w:t xml:space="preserve"> </w:t>
      </w:r>
      <w:r w:rsidRPr="008A3AD2">
        <w:t>power</w:t>
      </w:r>
      <w:r w:rsidR="00C64050">
        <w:t xml:space="preserve"> </w:t>
      </w:r>
      <w:r w:rsidRPr="008A3AD2">
        <w:t>to</w:t>
      </w:r>
      <w:r w:rsidR="00C64050">
        <w:t xml:space="preserve"> </w:t>
      </w:r>
      <w:r w:rsidRPr="008A3AD2">
        <w:t>revoke</w:t>
      </w:r>
      <w:r w:rsidR="00C64050">
        <w:t xml:space="preserve"> </w:t>
      </w:r>
      <w:r w:rsidRPr="008A3AD2">
        <w:t>the</w:t>
      </w:r>
      <w:r w:rsidR="00C64050">
        <w:t xml:space="preserve"> </w:t>
      </w:r>
      <w:r w:rsidRPr="008A3AD2">
        <w:t>transfer</w:t>
      </w:r>
      <w:r w:rsidR="00C64050">
        <w:t xml:space="preserve"> </w:t>
      </w:r>
      <w:r w:rsidRPr="008A3AD2">
        <w:t>to</w:t>
      </w:r>
      <w:r w:rsidR="00C64050">
        <w:t xml:space="preserve"> </w:t>
      </w:r>
      <w:r w:rsidRPr="008A3AD2">
        <w:t>the</w:t>
      </w:r>
      <w:r w:rsidR="00C64050">
        <w:t xml:space="preserve"> </w:t>
      </w:r>
      <w:r w:rsidRPr="008A3AD2">
        <w:t>revocable</w:t>
      </w:r>
      <w:r w:rsidR="00C64050">
        <w:t xml:space="preserve"> </w:t>
      </w:r>
      <w:r w:rsidRPr="008A3AD2">
        <w:t>trust.</w:t>
      </w:r>
      <w:r w:rsidR="00C64050">
        <w:t xml:space="preserve"> </w:t>
      </w:r>
      <w:r w:rsidRPr="008A3AD2">
        <w:t>If</w:t>
      </w:r>
      <w:r w:rsidR="00C64050">
        <w:t xml:space="preserve"> </w:t>
      </w:r>
      <w:r w:rsidRPr="008A3AD2">
        <w:t>he</w:t>
      </w:r>
      <w:r w:rsidR="00C64050">
        <w:t xml:space="preserve"> </w:t>
      </w:r>
      <w:r w:rsidRPr="008A3AD2">
        <w:t>had</w:t>
      </w:r>
      <w:r w:rsidR="00C64050">
        <w:t xml:space="preserve"> </w:t>
      </w:r>
      <w:r w:rsidRPr="008A3AD2">
        <w:t>revoked</w:t>
      </w:r>
      <w:r w:rsidR="00C64050">
        <w:t xml:space="preserve"> </w:t>
      </w:r>
      <w:r w:rsidRPr="008A3AD2">
        <w:t>the</w:t>
      </w:r>
      <w:r w:rsidR="00C64050">
        <w:t xml:space="preserve"> </w:t>
      </w:r>
      <w:r w:rsidRPr="008A3AD2">
        <w:t>transfer,</w:t>
      </w:r>
      <w:r w:rsidR="00C64050">
        <w:t xml:space="preserve"> </w:t>
      </w:r>
      <w:r w:rsidRPr="008A3AD2">
        <w:t>he</w:t>
      </w:r>
      <w:r w:rsidR="00C64050">
        <w:t xml:space="preserve"> </w:t>
      </w:r>
      <w:r w:rsidRPr="008A3AD2">
        <w:t>would</w:t>
      </w:r>
      <w:r w:rsidR="00C64050">
        <w:t xml:space="preserve"> </w:t>
      </w:r>
      <w:r w:rsidRPr="008A3AD2">
        <w:t>have</w:t>
      </w:r>
      <w:r w:rsidR="00C64050">
        <w:t xml:space="preserve"> </w:t>
      </w:r>
      <w:r w:rsidRPr="008A3AD2">
        <w:t>held</w:t>
      </w:r>
      <w:r w:rsidR="00C64050">
        <w:t xml:space="preserve"> </w:t>
      </w:r>
      <w:r w:rsidRPr="008A3AD2">
        <w:t>all</w:t>
      </w:r>
      <w:r w:rsidR="00C64050">
        <w:t xml:space="preserve"> </w:t>
      </w:r>
      <w:r w:rsidRPr="008A3AD2">
        <w:t>the</w:t>
      </w:r>
      <w:r w:rsidR="00C64050">
        <w:t xml:space="preserve"> </w:t>
      </w:r>
      <w:r w:rsidRPr="008A3AD2">
        <w:t>rights</w:t>
      </w:r>
      <w:r w:rsidR="00C64050">
        <w:t xml:space="preserve"> </w:t>
      </w:r>
      <w:r w:rsidRPr="008A3AD2">
        <w:t>of</w:t>
      </w:r>
      <w:r w:rsidR="00C64050">
        <w:t xml:space="preserve"> </w:t>
      </w:r>
      <w:r w:rsidRPr="008A3AD2">
        <w:t>a</w:t>
      </w:r>
      <w:r w:rsidR="00C64050">
        <w:t xml:space="preserve"> </w:t>
      </w:r>
      <w:r w:rsidRPr="008A3AD2">
        <w:t>limited</w:t>
      </w:r>
      <w:r w:rsidR="00C64050">
        <w:t xml:space="preserve"> </w:t>
      </w:r>
      <w:r w:rsidRPr="008A3AD2">
        <w:t>partner</w:t>
      </w:r>
      <w:r w:rsidR="00C64050">
        <w:t xml:space="preserve"> </w:t>
      </w:r>
      <w:r w:rsidRPr="008A3AD2">
        <w:t>in</w:t>
      </w:r>
      <w:r w:rsidR="00C64050">
        <w:t xml:space="preserve"> </w:t>
      </w:r>
      <w:r w:rsidRPr="008A3AD2">
        <w:t>Streightoff</w:t>
      </w:r>
      <w:r w:rsidR="00C64050">
        <w:t xml:space="preserve"> </w:t>
      </w:r>
      <w:r w:rsidRPr="008A3AD2">
        <w:t>Investments,</w:t>
      </w:r>
      <w:r w:rsidR="00C64050">
        <w:t xml:space="preserve"> </w:t>
      </w:r>
      <w:r w:rsidRPr="008A3AD2">
        <w:t>including</w:t>
      </w:r>
      <w:r w:rsidR="00C64050">
        <w:t xml:space="preserve"> </w:t>
      </w:r>
      <w:r w:rsidRPr="008A3AD2">
        <w:t>the</w:t>
      </w:r>
      <w:r w:rsidR="00C64050">
        <w:t xml:space="preserve"> </w:t>
      </w:r>
      <w:r w:rsidRPr="008A3AD2">
        <w:t>right</w:t>
      </w:r>
      <w:r w:rsidR="00C64050">
        <w:t xml:space="preserve"> </w:t>
      </w:r>
      <w:r w:rsidRPr="008A3AD2">
        <w:t>to</w:t>
      </w:r>
      <w:r w:rsidR="00C64050">
        <w:t xml:space="preserve"> </w:t>
      </w:r>
      <w:r w:rsidRPr="008A3AD2">
        <w:t>vote</w:t>
      </w:r>
      <w:r w:rsidR="00C64050">
        <w:t xml:space="preserve"> </w:t>
      </w:r>
      <w:r w:rsidRPr="008A3AD2">
        <w:t>on</w:t>
      </w:r>
      <w:r w:rsidR="00C64050">
        <w:t xml:space="preserve"> </w:t>
      </w:r>
      <w:r w:rsidRPr="008A3AD2">
        <w:t>partnership</w:t>
      </w:r>
      <w:r w:rsidR="00C64050">
        <w:t xml:space="preserve"> </w:t>
      </w:r>
      <w:r w:rsidRPr="008A3AD2">
        <w:t>matters.</w:t>
      </w:r>
      <w:r w:rsidR="00C64050">
        <w:t xml:space="preserve"> </w:t>
      </w:r>
      <w:r w:rsidRPr="008A3AD2">
        <w:t>Also,</w:t>
      </w:r>
      <w:r w:rsidR="00C64050">
        <w:t xml:space="preserve"> </w:t>
      </w:r>
      <w:r w:rsidRPr="008A3AD2">
        <w:t>Streightoff</w:t>
      </w:r>
      <w:r w:rsidR="00C64050">
        <w:t xml:space="preserve"> </w:t>
      </w:r>
      <w:r w:rsidRPr="008A3AD2">
        <w:t>Management</w:t>
      </w:r>
      <w:r w:rsidR="00C64050">
        <w:t xml:space="preserve"> </w:t>
      </w:r>
      <w:r w:rsidRPr="008A3AD2">
        <w:t>as</w:t>
      </w:r>
      <w:r w:rsidR="00C64050">
        <w:t xml:space="preserve"> </w:t>
      </w:r>
      <w:r w:rsidRPr="008A3AD2">
        <w:t>the</w:t>
      </w:r>
      <w:r w:rsidR="00C64050">
        <w:t xml:space="preserve"> </w:t>
      </w:r>
      <w:r w:rsidRPr="008A3AD2">
        <w:t>general</w:t>
      </w:r>
      <w:r w:rsidR="00C64050">
        <w:t xml:space="preserve"> </w:t>
      </w:r>
      <w:r w:rsidRPr="008A3AD2">
        <w:t>partner</w:t>
      </w:r>
      <w:r w:rsidR="00C64050">
        <w:t xml:space="preserve"> </w:t>
      </w:r>
      <w:r w:rsidRPr="008A3AD2">
        <w:t>could</w:t>
      </w:r>
      <w:r w:rsidR="00C64050">
        <w:t xml:space="preserve"> </w:t>
      </w:r>
      <w:r w:rsidRPr="008A3AD2">
        <w:t>have</w:t>
      </w:r>
      <w:r w:rsidR="00C64050">
        <w:t xml:space="preserve"> </w:t>
      </w:r>
      <w:r w:rsidRPr="008A3AD2">
        <w:t>treated</w:t>
      </w:r>
      <w:r w:rsidR="00C64050">
        <w:t xml:space="preserve"> </w:t>
      </w:r>
      <w:r w:rsidRPr="008A3AD2">
        <w:t>the</w:t>
      </w:r>
      <w:r w:rsidR="00C64050">
        <w:t xml:space="preserve"> </w:t>
      </w:r>
      <w:r w:rsidRPr="008A3AD2">
        <w:t>holder</w:t>
      </w:r>
      <w:r w:rsidR="00C64050">
        <w:t xml:space="preserve"> </w:t>
      </w:r>
      <w:r w:rsidRPr="008A3AD2">
        <w:t>of</w:t>
      </w:r>
      <w:r w:rsidR="00C64050">
        <w:t xml:space="preserve"> </w:t>
      </w:r>
      <w:r w:rsidRPr="008A3AD2">
        <w:t>an</w:t>
      </w:r>
      <w:r w:rsidR="00C64050">
        <w:t xml:space="preserve"> </w:t>
      </w:r>
      <w:r w:rsidRPr="008A3AD2">
        <w:t>assignee</w:t>
      </w:r>
      <w:r w:rsidR="00C64050">
        <w:t xml:space="preserve"> </w:t>
      </w:r>
      <w:r w:rsidRPr="008A3AD2">
        <w:t>interest</w:t>
      </w:r>
      <w:r w:rsidR="00C64050">
        <w:t xml:space="preserve"> </w:t>
      </w:r>
      <w:r w:rsidRPr="008A3AD2">
        <w:t>as</w:t>
      </w:r>
      <w:r w:rsidR="00C64050">
        <w:t xml:space="preserve"> </w:t>
      </w:r>
      <w:r w:rsidRPr="008A3AD2">
        <w:t>a</w:t>
      </w:r>
      <w:r w:rsidR="00C64050">
        <w:t xml:space="preserve"> </w:t>
      </w:r>
      <w:r w:rsidRPr="008A3AD2">
        <w:t>substitute</w:t>
      </w:r>
      <w:r w:rsidR="00C64050">
        <w:t xml:space="preserve"> </w:t>
      </w:r>
      <w:r w:rsidRPr="008A3AD2">
        <w:t>limited</w:t>
      </w:r>
      <w:r w:rsidR="00C64050">
        <w:t xml:space="preserve"> </w:t>
      </w:r>
      <w:r w:rsidRPr="008A3AD2">
        <w:t>partner.</w:t>
      </w:r>
      <w:r w:rsidR="00C64050">
        <w:t xml:space="preserve">  </w:t>
      </w:r>
      <w:r w:rsidRPr="008A3AD2">
        <w:t>Under</w:t>
      </w:r>
      <w:r w:rsidR="00C64050">
        <w:t xml:space="preserve"> </w:t>
      </w:r>
      <w:r w:rsidRPr="008A3AD2">
        <w:t>the</w:t>
      </w:r>
      <w:r w:rsidR="00C64050">
        <w:t xml:space="preserve"> </w:t>
      </w:r>
      <w:r w:rsidRPr="008A3AD2">
        <w:t>facts</w:t>
      </w:r>
      <w:r w:rsidR="00C64050">
        <w:t xml:space="preserve"> </w:t>
      </w:r>
      <w:r w:rsidRPr="008A3AD2">
        <w:t>and</w:t>
      </w:r>
      <w:r w:rsidR="00C64050">
        <w:t xml:space="preserve"> </w:t>
      </w:r>
      <w:r w:rsidRPr="008A3AD2">
        <w:t>circumstances</w:t>
      </w:r>
      <w:r w:rsidR="00C64050">
        <w:t xml:space="preserve"> </w:t>
      </w:r>
      <w:r w:rsidRPr="008A3AD2">
        <w:t>of</w:t>
      </w:r>
      <w:r w:rsidR="00C64050">
        <w:t xml:space="preserve"> </w:t>
      </w:r>
      <w:r w:rsidRPr="008A3AD2">
        <w:t>this</w:t>
      </w:r>
      <w:r w:rsidR="00C64050">
        <w:t xml:space="preserve"> </w:t>
      </w:r>
      <w:r w:rsidRPr="008A3AD2">
        <w:t>case,</w:t>
      </w:r>
      <w:r w:rsidR="00C64050">
        <w:t xml:space="preserve"> </w:t>
      </w:r>
      <w:r w:rsidRPr="008A3AD2">
        <w:t>there</w:t>
      </w:r>
      <w:r w:rsidR="00C64050">
        <w:t xml:space="preserve"> </w:t>
      </w:r>
      <w:r w:rsidRPr="008A3AD2">
        <w:t>was</w:t>
      </w:r>
      <w:r w:rsidR="00C64050">
        <w:t xml:space="preserve"> </w:t>
      </w:r>
      <w:r w:rsidRPr="008A3AD2">
        <w:t>no</w:t>
      </w:r>
      <w:r w:rsidR="00C64050">
        <w:t xml:space="preserve"> </w:t>
      </w:r>
      <w:r w:rsidRPr="008A3AD2">
        <w:t>difference</w:t>
      </w:r>
      <w:r w:rsidR="00C64050">
        <w:t xml:space="preserve"> </w:t>
      </w:r>
      <w:r w:rsidRPr="008A3AD2">
        <w:t>in</w:t>
      </w:r>
      <w:r w:rsidR="00C64050">
        <w:t xml:space="preserve"> </w:t>
      </w:r>
      <w:r w:rsidRPr="008A3AD2">
        <w:t>substance</w:t>
      </w:r>
      <w:r w:rsidR="00C64050">
        <w:t xml:space="preserve"> </w:t>
      </w:r>
      <w:r w:rsidRPr="008A3AD2">
        <w:t>between</w:t>
      </w:r>
      <w:r w:rsidR="00C64050">
        <w:t xml:space="preserve"> </w:t>
      </w:r>
      <w:r w:rsidRPr="008A3AD2">
        <w:t>the</w:t>
      </w:r>
      <w:r w:rsidR="00C64050">
        <w:t xml:space="preserve"> </w:t>
      </w:r>
      <w:r w:rsidRPr="008A3AD2">
        <w:t>transfer</w:t>
      </w:r>
      <w:r w:rsidR="00C64050">
        <w:t xml:space="preserve"> </w:t>
      </w:r>
      <w:r w:rsidRPr="008A3AD2">
        <w:t>of</w:t>
      </w:r>
      <w:r w:rsidR="00C64050">
        <w:t xml:space="preserve"> </w:t>
      </w:r>
      <w:r w:rsidRPr="008A3AD2">
        <w:t>a</w:t>
      </w:r>
      <w:r w:rsidR="00C64050">
        <w:t xml:space="preserve"> </w:t>
      </w:r>
      <w:r w:rsidRPr="008A3AD2">
        <w:t>limited</w:t>
      </w:r>
      <w:r w:rsidR="00C64050">
        <w:t xml:space="preserve"> </w:t>
      </w:r>
      <w:r w:rsidRPr="008A3AD2">
        <w:t>partnership</w:t>
      </w:r>
      <w:r w:rsidR="00C64050">
        <w:t xml:space="preserve"> </w:t>
      </w:r>
      <w:r w:rsidRPr="008A3AD2">
        <w:t>interest</w:t>
      </w:r>
      <w:r w:rsidR="00C64050">
        <w:t xml:space="preserve"> </w:t>
      </w:r>
      <w:r w:rsidRPr="008A3AD2">
        <w:t>in</w:t>
      </w:r>
      <w:r w:rsidR="00C64050">
        <w:t xml:space="preserve"> </w:t>
      </w:r>
      <w:r w:rsidRPr="008A3AD2">
        <w:t>Streightoff</w:t>
      </w:r>
      <w:r w:rsidR="00C64050">
        <w:t xml:space="preserve"> </w:t>
      </w:r>
      <w:r w:rsidRPr="008A3AD2">
        <w:t>Investments</w:t>
      </w:r>
      <w:r w:rsidR="00C64050">
        <w:t xml:space="preserve"> </w:t>
      </w:r>
      <w:r w:rsidRPr="008A3AD2">
        <w:t>and</w:t>
      </w:r>
      <w:r w:rsidR="00C64050">
        <w:t xml:space="preserve"> </w:t>
      </w:r>
      <w:r w:rsidRPr="008A3AD2">
        <w:t>the</w:t>
      </w:r>
      <w:r w:rsidR="00C64050">
        <w:t xml:space="preserve"> </w:t>
      </w:r>
      <w:r w:rsidRPr="008A3AD2">
        <w:t>transfer</w:t>
      </w:r>
      <w:r w:rsidR="00C64050">
        <w:t xml:space="preserve"> </w:t>
      </w:r>
      <w:r w:rsidRPr="008A3AD2">
        <w:t>of</w:t>
      </w:r>
      <w:r w:rsidR="00C64050">
        <w:t xml:space="preserve"> </w:t>
      </w:r>
      <w:r w:rsidRPr="008A3AD2">
        <w:t>an</w:t>
      </w:r>
      <w:r w:rsidR="00C64050">
        <w:t xml:space="preserve"> </w:t>
      </w:r>
      <w:r w:rsidRPr="008A3AD2">
        <w:t>assignee</w:t>
      </w:r>
      <w:r w:rsidR="00C64050">
        <w:t xml:space="preserve"> </w:t>
      </w:r>
      <w:r w:rsidRPr="008A3AD2">
        <w:t>interest</w:t>
      </w:r>
      <w:r w:rsidR="00C64050">
        <w:t xml:space="preserve"> </w:t>
      </w:r>
      <w:r w:rsidRPr="008A3AD2">
        <w:t>in</w:t>
      </w:r>
      <w:r w:rsidR="00C64050">
        <w:t xml:space="preserve"> </w:t>
      </w:r>
      <w:r w:rsidRPr="008A3AD2">
        <w:t>that</w:t>
      </w:r>
      <w:r w:rsidR="00C64050">
        <w:t xml:space="preserve"> </w:t>
      </w:r>
      <w:r w:rsidRPr="008A3AD2">
        <w:t>limited</w:t>
      </w:r>
      <w:r w:rsidR="00C64050">
        <w:t xml:space="preserve"> </w:t>
      </w:r>
      <w:r w:rsidRPr="008A3AD2">
        <w:t>partnership</w:t>
      </w:r>
      <w:r w:rsidR="00C64050">
        <w:t xml:space="preserve"> </w:t>
      </w:r>
      <w:r w:rsidRPr="008A3AD2">
        <w:t>interest.</w:t>
      </w:r>
      <w:r w:rsidR="00C64050">
        <w:t xml:space="preserve"> </w:t>
      </w:r>
      <w:r w:rsidRPr="008A3AD2">
        <w:t>See</w:t>
      </w:r>
      <w:r w:rsidR="00C64050">
        <w:t xml:space="preserve"> </w:t>
      </w:r>
      <w:r w:rsidRPr="008A3AD2">
        <w:t>id.;</w:t>
      </w:r>
      <w:r w:rsidR="00C64050">
        <w:t xml:space="preserve"> </w:t>
      </w:r>
      <w:r w:rsidRPr="0036314D">
        <w:rPr>
          <w:u w:val="single"/>
        </w:rPr>
        <w:t>Astleford</w:t>
      </w:r>
      <w:r w:rsidR="00C64050">
        <w:rPr>
          <w:u w:val="single"/>
        </w:rPr>
        <w:t xml:space="preserve"> </w:t>
      </w:r>
      <w:r w:rsidRPr="0036314D">
        <w:rPr>
          <w:u w:val="single"/>
        </w:rPr>
        <w:t>v.</w:t>
      </w:r>
      <w:r w:rsidR="00C64050">
        <w:rPr>
          <w:u w:val="single"/>
        </w:rPr>
        <w:t xml:space="preserve"> </w:t>
      </w:r>
      <w:r w:rsidRPr="0036314D">
        <w:rPr>
          <w:u w:val="single"/>
        </w:rPr>
        <w:t>Commissioner</w:t>
      </w:r>
      <w:r w:rsidRPr="008A3AD2">
        <w:t>,</w:t>
      </w:r>
      <w:r w:rsidR="00C64050">
        <w:t xml:space="preserve"> </w:t>
      </w:r>
      <w:r w:rsidRPr="008A3AD2">
        <w:t>T.C.</w:t>
      </w:r>
      <w:r w:rsidR="00C64050">
        <w:t xml:space="preserve"> </w:t>
      </w:r>
      <w:r w:rsidRPr="008A3AD2">
        <w:t>Memo.</w:t>
      </w:r>
      <w:r w:rsidR="00C64050">
        <w:t xml:space="preserve"> </w:t>
      </w:r>
      <w:r w:rsidRPr="008A3AD2">
        <w:t>2008-128,</w:t>
      </w:r>
      <w:r w:rsidR="00C64050">
        <w:t xml:space="preserve"> </w:t>
      </w:r>
      <w:r w:rsidRPr="008A3AD2">
        <w:t>slip</w:t>
      </w:r>
      <w:r w:rsidR="00C64050">
        <w:t xml:space="preserve"> </w:t>
      </w:r>
      <w:r w:rsidRPr="008A3AD2">
        <w:t>op.</w:t>
      </w:r>
      <w:r w:rsidR="00C64050">
        <w:t xml:space="preserve"> </w:t>
      </w:r>
      <w:r w:rsidRPr="008A3AD2">
        <w:t>at</w:t>
      </w:r>
      <w:r w:rsidR="00C64050">
        <w:t xml:space="preserve"> </w:t>
      </w:r>
      <w:r w:rsidRPr="008A3AD2">
        <w:t>16.</w:t>
      </w:r>
      <w:r w:rsidR="00C64050">
        <w:t xml:space="preserve"> </w:t>
      </w:r>
      <w:r w:rsidRPr="008A3AD2">
        <w:t>Accordingly,</w:t>
      </w:r>
      <w:r w:rsidR="00C64050">
        <w:t xml:space="preserve"> </w:t>
      </w:r>
      <w:r w:rsidRPr="008A3AD2">
        <w:t>as</w:t>
      </w:r>
      <w:r w:rsidR="00C64050">
        <w:t xml:space="preserve"> </w:t>
      </w:r>
      <w:r w:rsidRPr="008A3AD2">
        <w:t>a</w:t>
      </w:r>
      <w:r w:rsidR="00C64050">
        <w:t xml:space="preserve"> </w:t>
      </w:r>
      <w:r w:rsidRPr="008A3AD2">
        <w:t>matter</w:t>
      </w:r>
      <w:r w:rsidR="00C64050">
        <w:t xml:space="preserve"> </w:t>
      </w:r>
      <w:r w:rsidRPr="008A3AD2">
        <w:t>of</w:t>
      </w:r>
      <w:r w:rsidR="00C64050">
        <w:t xml:space="preserve"> </w:t>
      </w:r>
      <w:r w:rsidRPr="008A3AD2">
        <w:t>both</w:t>
      </w:r>
      <w:r w:rsidR="00C64050">
        <w:t xml:space="preserve"> </w:t>
      </w:r>
      <w:r w:rsidRPr="008A3AD2">
        <w:t>form</w:t>
      </w:r>
      <w:r w:rsidR="00C64050">
        <w:t xml:space="preserve"> </w:t>
      </w:r>
      <w:r w:rsidRPr="008A3AD2">
        <w:t>and</w:t>
      </w:r>
      <w:r w:rsidR="00C64050">
        <w:t xml:space="preserve"> </w:t>
      </w:r>
      <w:r w:rsidRPr="008A3AD2">
        <w:t>substance,</w:t>
      </w:r>
      <w:r w:rsidR="00C64050">
        <w:t xml:space="preserve"> </w:t>
      </w:r>
      <w:r w:rsidRPr="008A3AD2">
        <w:t>the</w:t>
      </w:r>
      <w:r w:rsidR="00C64050">
        <w:t xml:space="preserve"> </w:t>
      </w:r>
      <w:r w:rsidRPr="008A3AD2">
        <w:t>interest</w:t>
      </w:r>
      <w:r w:rsidR="00C64050">
        <w:t xml:space="preserve"> </w:t>
      </w:r>
      <w:r w:rsidRPr="008A3AD2">
        <w:t>to</w:t>
      </w:r>
      <w:r w:rsidR="00C64050">
        <w:t xml:space="preserve"> </w:t>
      </w:r>
      <w:r w:rsidRPr="008A3AD2">
        <w:t>be</w:t>
      </w:r>
      <w:r w:rsidR="00C64050">
        <w:t xml:space="preserve"> </w:t>
      </w:r>
      <w:r w:rsidRPr="008A3AD2">
        <w:t>valued</w:t>
      </w:r>
      <w:r w:rsidR="00C64050">
        <w:t xml:space="preserve"> </w:t>
      </w:r>
      <w:r w:rsidRPr="008A3AD2">
        <w:t>for</w:t>
      </w:r>
      <w:r w:rsidR="00C64050">
        <w:t xml:space="preserve"> </w:t>
      </w:r>
      <w:r w:rsidRPr="008A3AD2">
        <w:t>estate</w:t>
      </w:r>
      <w:r w:rsidR="00C64050">
        <w:t xml:space="preserve"> </w:t>
      </w:r>
      <w:r w:rsidRPr="008A3AD2">
        <w:t>tax</w:t>
      </w:r>
      <w:r w:rsidR="00C64050">
        <w:t xml:space="preserve"> </w:t>
      </w:r>
      <w:r w:rsidRPr="008A3AD2">
        <w:t>purposes</w:t>
      </w:r>
      <w:r w:rsidR="00C64050">
        <w:t xml:space="preserve"> </w:t>
      </w:r>
      <w:r w:rsidRPr="008A3AD2">
        <w:t>is</w:t>
      </w:r>
      <w:r w:rsidR="00C64050">
        <w:t xml:space="preserve"> </w:t>
      </w:r>
      <w:r w:rsidRPr="008A3AD2">
        <w:t>an</w:t>
      </w:r>
      <w:r w:rsidR="00C64050">
        <w:t xml:space="preserve"> </w:t>
      </w:r>
      <w:r w:rsidRPr="008A3AD2">
        <w:t>88.99%</w:t>
      </w:r>
      <w:r w:rsidR="00C64050">
        <w:t xml:space="preserve"> </w:t>
      </w:r>
      <w:r w:rsidRPr="008A3AD2">
        <w:t>limited</w:t>
      </w:r>
      <w:r w:rsidR="00C64050">
        <w:t xml:space="preserve"> </w:t>
      </w:r>
      <w:r w:rsidRPr="008A3AD2">
        <w:t>partnership</w:t>
      </w:r>
      <w:r w:rsidR="00C64050">
        <w:t xml:space="preserve"> </w:t>
      </w:r>
      <w:r w:rsidRPr="008A3AD2">
        <w:t>interest</w:t>
      </w:r>
      <w:r w:rsidR="00C64050">
        <w:t xml:space="preserve"> </w:t>
      </w:r>
      <w:r w:rsidRPr="008A3AD2">
        <w:t>in</w:t>
      </w:r>
      <w:r w:rsidR="00C64050">
        <w:t xml:space="preserve"> </w:t>
      </w:r>
      <w:r w:rsidRPr="008A3AD2">
        <w:t>Streightoff</w:t>
      </w:r>
      <w:r w:rsidR="00C64050">
        <w:t xml:space="preserve"> </w:t>
      </w:r>
      <w:r w:rsidRPr="008A3AD2">
        <w:t>Investments.</w:t>
      </w:r>
    </w:p>
    <w:p w:rsidR="005E5C35" w:rsidRPr="008929C5" w:rsidRDefault="005E5C35" w:rsidP="005E5C35">
      <w:pPr>
        <w:pStyle w:val="Body15"/>
      </w:pPr>
      <w:r w:rsidRPr="008929C5">
        <w:t>The</w:t>
      </w:r>
      <w:r w:rsidR="00C64050">
        <w:t xml:space="preserve"> </w:t>
      </w:r>
      <w:r w:rsidRPr="008929C5">
        <w:t>Fifth</w:t>
      </w:r>
      <w:r w:rsidR="00C64050">
        <w:t xml:space="preserve"> </w:t>
      </w:r>
      <w:r w:rsidRPr="008929C5">
        <w:t>Circuit</w:t>
      </w:r>
      <w:r w:rsidR="00C64050">
        <w:t xml:space="preserve"> </w:t>
      </w:r>
      <w:r w:rsidRPr="008929C5">
        <w:t>affirmed,</w:t>
      </w:r>
      <w:r w:rsidR="00C64050">
        <w:t xml:space="preserve"> </w:t>
      </w:r>
      <w:r w:rsidRPr="008929C5">
        <w:t>noting</w:t>
      </w:r>
      <w:r w:rsidR="00C64050">
        <w:t xml:space="preserve"> </w:t>
      </w:r>
      <w:r w:rsidRPr="008929C5">
        <w:t>that</w:t>
      </w:r>
      <w:r w:rsidR="00C64050">
        <w:t xml:space="preserve"> </w:t>
      </w:r>
      <w:r w:rsidRPr="008929C5">
        <w:rPr>
          <w:u w:val="single"/>
        </w:rPr>
        <w:t>even</w:t>
      </w:r>
      <w:r w:rsidR="00C64050">
        <w:rPr>
          <w:u w:val="single"/>
        </w:rPr>
        <w:t xml:space="preserve"> </w:t>
      </w:r>
      <w:r w:rsidRPr="008929C5">
        <w:rPr>
          <w:u w:val="single"/>
        </w:rPr>
        <w:t>if</w:t>
      </w:r>
      <w:r w:rsidR="00C64050">
        <w:t xml:space="preserve"> </w:t>
      </w:r>
      <w:r w:rsidRPr="008929C5">
        <w:t>an</w:t>
      </w:r>
      <w:r w:rsidR="00C64050">
        <w:t xml:space="preserve"> </w:t>
      </w:r>
      <w:r w:rsidRPr="008929C5">
        <w:t>assignee</w:t>
      </w:r>
      <w:r w:rsidR="00C64050">
        <w:t xml:space="preserve"> </w:t>
      </w:r>
      <w:r w:rsidRPr="008929C5">
        <w:t>interest</w:t>
      </w:r>
      <w:r w:rsidR="00C64050">
        <w:t xml:space="preserve"> </w:t>
      </w:r>
      <w:r w:rsidRPr="008929C5">
        <w:t>had</w:t>
      </w:r>
      <w:r w:rsidR="00C64050">
        <w:t xml:space="preserve"> </w:t>
      </w:r>
      <w:r w:rsidRPr="008929C5">
        <w:t>been</w:t>
      </w:r>
      <w:r w:rsidR="00C64050">
        <w:t xml:space="preserve"> </w:t>
      </w:r>
      <w:r w:rsidRPr="008929C5">
        <w:t>transferred</w:t>
      </w:r>
      <w:r w:rsidR="00C64050">
        <w:t xml:space="preserve"> </w:t>
      </w:r>
      <w:r w:rsidRPr="008929C5">
        <w:t>the</w:t>
      </w:r>
      <w:r w:rsidR="00C64050">
        <w:t xml:space="preserve"> </w:t>
      </w:r>
      <w:r w:rsidRPr="008929C5">
        <w:t>valuation</w:t>
      </w:r>
      <w:r w:rsidR="00C64050">
        <w:t xml:space="preserve"> </w:t>
      </w:r>
      <w:r w:rsidRPr="008929C5">
        <w:t>would</w:t>
      </w:r>
      <w:r w:rsidR="00C64050">
        <w:t xml:space="preserve"> </w:t>
      </w:r>
      <w:r w:rsidRPr="008929C5">
        <w:t>have</w:t>
      </w:r>
      <w:r w:rsidR="00C64050">
        <w:t xml:space="preserve"> </w:t>
      </w:r>
      <w:r w:rsidRPr="008929C5">
        <w:t>been</w:t>
      </w:r>
      <w:r w:rsidR="00C64050">
        <w:t xml:space="preserve"> </w:t>
      </w:r>
      <w:r w:rsidRPr="008929C5">
        <w:t>the</w:t>
      </w:r>
      <w:r w:rsidR="00C64050">
        <w:t xml:space="preserve"> </w:t>
      </w:r>
      <w:r w:rsidRPr="008929C5">
        <w:t>same.</w:t>
      </w:r>
      <w:r w:rsidR="00C64050">
        <w:t xml:space="preserve">  </w:t>
      </w:r>
      <w:r w:rsidRPr="008929C5">
        <w:rPr>
          <w:u w:val="single"/>
        </w:rPr>
        <w:t>Streightoff</w:t>
      </w:r>
      <w:r w:rsidR="00C64050">
        <w:rPr>
          <w:u w:val="single"/>
        </w:rPr>
        <w:t xml:space="preserve"> </w:t>
      </w:r>
      <w:r w:rsidRPr="008929C5">
        <w:rPr>
          <w:u w:val="single"/>
        </w:rPr>
        <w:t>v.</w:t>
      </w:r>
      <w:r w:rsidR="00C64050">
        <w:rPr>
          <w:u w:val="single"/>
        </w:rPr>
        <w:t xml:space="preserve"> </w:t>
      </w:r>
      <w:r w:rsidRPr="008929C5">
        <w:rPr>
          <w:u w:val="single"/>
        </w:rPr>
        <w:t>Commissioner</w:t>
      </w:r>
      <w:r w:rsidRPr="008929C5">
        <w:t>,</w:t>
      </w:r>
      <w:r w:rsidR="00C64050">
        <w:t xml:space="preserve"> </w:t>
      </w:r>
      <w:r w:rsidR="00740846" w:rsidRPr="008929C5">
        <w:t>954</w:t>
      </w:r>
      <w:r w:rsidR="00C64050">
        <w:t xml:space="preserve"> </w:t>
      </w:r>
      <w:r w:rsidR="00740846" w:rsidRPr="008929C5">
        <w:t>F.3d</w:t>
      </w:r>
      <w:r w:rsidR="00C64050">
        <w:t xml:space="preserve"> </w:t>
      </w:r>
      <w:r w:rsidR="00740846" w:rsidRPr="008929C5">
        <w:t>713</w:t>
      </w:r>
      <w:r w:rsidR="00C64050">
        <w:t xml:space="preserve"> </w:t>
      </w:r>
      <w:r w:rsidRPr="008929C5">
        <w:t>(5</w:t>
      </w:r>
      <w:r w:rsidRPr="008929C5">
        <w:rPr>
          <w:vertAlign w:val="superscript"/>
        </w:rPr>
        <w:t>th</w:t>
      </w:r>
      <w:r w:rsidR="00C64050">
        <w:t xml:space="preserve"> </w:t>
      </w:r>
      <w:r w:rsidRPr="008929C5">
        <w:t>Cir.</w:t>
      </w:r>
      <w:r w:rsidR="00C64050">
        <w:t xml:space="preserve"> </w:t>
      </w:r>
      <w:r w:rsidRPr="008929C5">
        <w:t>2020).</w:t>
      </w:r>
      <w:r w:rsidR="00C64050">
        <w:t xml:space="preserve">  </w:t>
      </w:r>
      <w:r w:rsidRPr="008929C5">
        <w:t>The</w:t>
      </w:r>
      <w:r w:rsidR="00C64050">
        <w:t xml:space="preserve"> </w:t>
      </w:r>
      <w:r w:rsidRPr="008929C5">
        <w:t>Fifth</w:t>
      </w:r>
      <w:r w:rsidR="00C64050">
        <w:t xml:space="preserve"> </w:t>
      </w:r>
      <w:r w:rsidRPr="008929C5">
        <w:t>Circuit</w:t>
      </w:r>
      <w:r w:rsidR="00C64050">
        <w:t xml:space="preserve"> </w:t>
      </w:r>
      <w:r w:rsidRPr="008929C5">
        <w:t>held:</w:t>
      </w:r>
    </w:p>
    <w:p w:rsidR="005E5C35" w:rsidRDefault="005E5C35" w:rsidP="005E5C35">
      <w:pPr>
        <w:pStyle w:val="QS10"/>
      </w:pPr>
      <w:r w:rsidRPr="005E5C35">
        <w:rPr>
          <w:i/>
          <w:u w:val="single"/>
        </w:rPr>
        <w:t>Economic</w:t>
      </w:r>
      <w:r w:rsidR="00C64050">
        <w:rPr>
          <w:i/>
          <w:u w:val="single"/>
        </w:rPr>
        <w:t xml:space="preserve"> </w:t>
      </w:r>
      <w:r w:rsidRPr="005E5C35">
        <w:rPr>
          <w:i/>
          <w:u w:val="single"/>
        </w:rPr>
        <w:t>Substance</w:t>
      </w:r>
      <w:r>
        <w:t>.</w:t>
      </w:r>
      <w:r w:rsidR="00C64050">
        <w:t xml:space="preserve"> </w:t>
      </w:r>
      <w:r>
        <w:t>From</w:t>
      </w:r>
      <w:r w:rsidR="00C64050">
        <w:t xml:space="preserve"> </w:t>
      </w:r>
      <w:r>
        <w:t>an</w:t>
      </w:r>
      <w:r w:rsidR="00C64050">
        <w:t xml:space="preserve"> </w:t>
      </w:r>
      <w:r>
        <w:t>economic</w:t>
      </w:r>
      <w:r w:rsidR="00C64050">
        <w:t xml:space="preserve"> </w:t>
      </w:r>
      <w:r>
        <w:t>reality</w:t>
      </w:r>
      <w:r w:rsidR="00C64050">
        <w:t xml:space="preserve"> </w:t>
      </w:r>
      <w:r>
        <w:t>standpoint,</w:t>
      </w:r>
      <w:r w:rsidR="00C64050">
        <w:t xml:space="preserve"> </w:t>
      </w:r>
      <w:r>
        <w:t>we</w:t>
      </w:r>
      <w:r w:rsidR="00C64050">
        <w:t xml:space="preserve"> </w:t>
      </w:r>
      <w:r>
        <w:t>also</w:t>
      </w:r>
      <w:r w:rsidR="00C64050">
        <w:t xml:space="preserve"> </w:t>
      </w:r>
      <w:r>
        <w:t>agree</w:t>
      </w:r>
      <w:r w:rsidR="00C64050">
        <w:t xml:space="preserve"> </w:t>
      </w:r>
      <w:r>
        <w:t>with</w:t>
      </w:r>
      <w:r w:rsidR="00C64050">
        <w:t xml:space="preserve"> </w:t>
      </w:r>
      <w:r>
        <w:t>the</w:t>
      </w:r>
      <w:r w:rsidR="00C64050">
        <w:t xml:space="preserve"> </w:t>
      </w:r>
      <w:r>
        <w:t>tax</w:t>
      </w:r>
      <w:r w:rsidR="00C64050">
        <w:t xml:space="preserve"> </w:t>
      </w:r>
      <w:r>
        <w:t>court’s</w:t>
      </w:r>
      <w:r w:rsidR="00C64050">
        <w:t xml:space="preserve"> </w:t>
      </w:r>
      <w:r>
        <w:t>alternative</w:t>
      </w:r>
      <w:r w:rsidR="00C64050">
        <w:t xml:space="preserve"> </w:t>
      </w:r>
      <w:r>
        <w:t>substance</w:t>
      </w:r>
      <w:r w:rsidR="00C64050">
        <w:t xml:space="preserve"> </w:t>
      </w:r>
      <w:r>
        <w:t>over</w:t>
      </w:r>
      <w:r w:rsidR="00C64050">
        <w:t xml:space="preserve"> </w:t>
      </w:r>
      <w:r>
        <w:t>form</w:t>
      </w:r>
      <w:r w:rsidR="00C64050">
        <w:t xml:space="preserve"> </w:t>
      </w:r>
      <w:r>
        <w:t>rationale.</w:t>
      </w:r>
      <w:r w:rsidR="00C64050">
        <w:t xml:space="preserve"> </w:t>
      </w:r>
      <w:r>
        <w:t>Estate</w:t>
      </w:r>
      <w:r w:rsidR="00C64050">
        <w:t xml:space="preserve"> </w:t>
      </w:r>
      <w:r>
        <w:t>of</w:t>
      </w:r>
      <w:r w:rsidR="00C64050">
        <w:t xml:space="preserve"> </w:t>
      </w:r>
      <w:r>
        <w:t>Streightoff,</w:t>
      </w:r>
      <w:r w:rsidR="00C64050">
        <w:t xml:space="preserve"> </w:t>
      </w:r>
      <w:r>
        <w:t>2018</w:t>
      </w:r>
      <w:r w:rsidR="00C64050">
        <w:t xml:space="preserve"> </w:t>
      </w:r>
      <w:r>
        <w:t>WL</w:t>
      </w:r>
      <w:r w:rsidR="00C64050">
        <w:t xml:space="preserve"> </w:t>
      </w:r>
      <w:r>
        <w:t>5305054,</w:t>
      </w:r>
      <w:r w:rsidR="00C64050">
        <w:t xml:space="preserve"> </w:t>
      </w:r>
      <w:r>
        <w:t>at</w:t>
      </w:r>
      <w:r w:rsidR="00C64050">
        <w:t xml:space="preserve"> </w:t>
      </w:r>
      <w:r>
        <w:t>*7</w:t>
      </w:r>
      <w:r w:rsidR="00C64050">
        <w:t xml:space="preserve"> </w:t>
      </w:r>
      <w:r>
        <w:t>(“[R]egardless</w:t>
      </w:r>
      <w:r w:rsidR="00C64050">
        <w:t xml:space="preserve"> </w:t>
      </w:r>
      <w:r>
        <w:t>of</w:t>
      </w:r>
      <w:r w:rsidR="00C64050">
        <w:t xml:space="preserve"> </w:t>
      </w:r>
      <w:r>
        <w:t>whether</w:t>
      </w:r>
      <w:r w:rsidR="00C64050">
        <w:t xml:space="preserve"> </w:t>
      </w:r>
      <w:r>
        <w:t>an</w:t>
      </w:r>
      <w:r w:rsidR="00C64050">
        <w:t xml:space="preserve"> </w:t>
      </w:r>
      <w:r>
        <w:t>assignee</w:t>
      </w:r>
      <w:r w:rsidR="00C64050">
        <w:t xml:space="preserve"> </w:t>
      </w:r>
      <w:r>
        <w:t>or</w:t>
      </w:r>
      <w:r w:rsidR="00C64050">
        <w:t xml:space="preserve"> </w:t>
      </w:r>
      <w:r>
        <w:t>a</w:t>
      </w:r>
      <w:r w:rsidR="00C64050">
        <w:t xml:space="preserve"> </w:t>
      </w:r>
      <w:r>
        <w:t>limited</w:t>
      </w:r>
      <w:r w:rsidR="00C64050">
        <w:t xml:space="preserve"> </w:t>
      </w:r>
      <w:r>
        <w:t>partnership</w:t>
      </w:r>
      <w:r w:rsidR="00C64050">
        <w:t xml:space="preserve"> </w:t>
      </w:r>
      <w:r>
        <w:t>interest</w:t>
      </w:r>
      <w:r w:rsidR="00C64050">
        <w:t xml:space="preserve"> </w:t>
      </w:r>
      <w:r>
        <w:t>had</w:t>
      </w:r>
      <w:r w:rsidR="00C64050">
        <w:t xml:space="preserve"> </w:t>
      </w:r>
      <w:r>
        <w:t>been</w:t>
      </w:r>
      <w:r w:rsidR="00C64050">
        <w:t xml:space="preserve"> </w:t>
      </w:r>
      <w:r>
        <w:t>transferred,</w:t>
      </w:r>
      <w:r w:rsidR="00C64050">
        <w:t xml:space="preserve"> </w:t>
      </w:r>
      <w:r>
        <w:t>there</w:t>
      </w:r>
      <w:r w:rsidR="00C64050">
        <w:t xml:space="preserve"> </w:t>
      </w:r>
      <w:r>
        <w:t>would</w:t>
      </w:r>
      <w:r w:rsidR="00C64050">
        <w:t xml:space="preserve"> </w:t>
      </w:r>
      <w:r>
        <w:t>have</w:t>
      </w:r>
      <w:r w:rsidR="00C64050">
        <w:t xml:space="preserve"> </w:t>
      </w:r>
      <w:r>
        <w:t>been</w:t>
      </w:r>
      <w:r w:rsidR="00C64050">
        <w:t xml:space="preserve"> </w:t>
      </w:r>
      <w:r>
        <w:t>no</w:t>
      </w:r>
      <w:r w:rsidR="00C64050">
        <w:t xml:space="preserve"> </w:t>
      </w:r>
      <w:r>
        <w:t>substantial</w:t>
      </w:r>
      <w:r w:rsidR="00C64050">
        <w:t xml:space="preserve"> </w:t>
      </w:r>
      <w:r>
        <w:t>difference</w:t>
      </w:r>
      <w:r w:rsidR="00C64050">
        <w:t xml:space="preserve"> </w:t>
      </w:r>
      <w:r>
        <w:t>before</w:t>
      </w:r>
      <w:r w:rsidR="00C64050">
        <w:t xml:space="preserve"> </w:t>
      </w:r>
      <w:r>
        <w:t>and</w:t>
      </w:r>
      <w:r w:rsidR="00C64050">
        <w:t xml:space="preserve"> </w:t>
      </w:r>
      <w:r>
        <w:t>after</w:t>
      </w:r>
      <w:r w:rsidR="00C64050">
        <w:t xml:space="preserve"> </w:t>
      </w:r>
      <w:r>
        <w:t>the</w:t>
      </w:r>
      <w:r w:rsidR="00C64050">
        <w:t xml:space="preserve"> </w:t>
      </w:r>
      <w:r>
        <w:t>transfer</w:t>
      </w:r>
      <w:r w:rsidR="00C64050">
        <w:t xml:space="preserve"> </w:t>
      </w:r>
      <w:r>
        <w:t>to</w:t>
      </w:r>
      <w:r w:rsidR="00C64050">
        <w:t xml:space="preserve"> </w:t>
      </w:r>
      <w:r>
        <w:t>the</w:t>
      </w:r>
      <w:r w:rsidR="00C64050">
        <w:t xml:space="preserve"> </w:t>
      </w:r>
      <w:r>
        <w:t>revocable</w:t>
      </w:r>
      <w:r w:rsidR="00C64050">
        <w:t xml:space="preserve"> </w:t>
      </w:r>
      <w:r>
        <w:t>trust.”).</w:t>
      </w:r>
      <w:r w:rsidR="00C64050">
        <w:t xml:space="preserve"> </w:t>
      </w:r>
      <w:r>
        <w:t>Assuming</w:t>
      </w:r>
      <w:r w:rsidR="00C64050">
        <w:t xml:space="preserve"> </w:t>
      </w:r>
      <w:r>
        <w:t>we</w:t>
      </w:r>
      <w:r w:rsidR="00C64050">
        <w:t xml:space="preserve"> </w:t>
      </w:r>
      <w:r>
        <w:t>were</w:t>
      </w:r>
      <w:r w:rsidR="00C64050">
        <w:t xml:space="preserve"> </w:t>
      </w:r>
      <w:r>
        <w:t>to</w:t>
      </w:r>
      <w:r w:rsidR="00C64050">
        <w:t xml:space="preserve"> </w:t>
      </w:r>
      <w:r>
        <w:t>accept</w:t>
      </w:r>
      <w:r w:rsidR="00C64050">
        <w:t xml:space="preserve"> </w:t>
      </w:r>
      <w:r>
        <w:t>the</w:t>
      </w:r>
      <w:r w:rsidR="00C64050">
        <w:t xml:space="preserve"> </w:t>
      </w:r>
      <w:r>
        <w:t>Estate’s</w:t>
      </w:r>
      <w:r w:rsidR="00C64050">
        <w:t xml:space="preserve"> </w:t>
      </w:r>
      <w:r>
        <w:t>argument</w:t>
      </w:r>
      <w:r w:rsidR="00C64050">
        <w:t xml:space="preserve"> </w:t>
      </w:r>
      <w:r>
        <w:t>that</w:t>
      </w:r>
      <w:r w:rsidR="00C64050">
        <w:t xml:space="preserve"> </w:t>
      </w:r>
      <w:r>
        <w:t>the</w:t>
      </w:r>
      <w:r w:rsidR="00C64050">
        <w:t xml:space="preserve"> </w:t>
      </w:r>
      <w:r>
        <w:t>Assignment</w:t>
      </w:r>
      <w:r w:rsidR="00C64050">
        <w:t xml:space="preserve"> </w:t>
      </w:r>
      <w:r>
        <w:t>conveyed</w:t>
      </w:r>
      <w:r w:rsidR="00C64050">
        <w:t xml:space="preserve"> </w:t>
      </w:r>
      <w:r>
        <w:t>an</w:t>
      </w:r>
      <w:r w:rsidR="00C64050">
        <w:t xml:space="preserve"> </w:t>
      </w:r>
      <w:r>
        <w:t>unadmitted</w:t>
      </w:r>
      <w:r w:rsidR="00C64050">
        <w:t xml:space="preserve"> </w:t>
      </w:r>
      <w:r>
        <w:t>assignee</w:t>
      </w:r>
      <w:r w:rsidR="00C64050">
        <w:t xml:space="preserve"> </w:t>
      </w:r>
      <w:r>
        <w:t>interest</w:t>
      </w:r>
      <w:r w:rsidR="00C64050">
        <w:t xml:space="preserve"> </w:t>
      </w:r>
      <w:r>
        <w:t>as</w:t>
      </w:r>
      <w:r w:rsidR="00C64050">
        <w:t xml:space="preserve"> </w:t>
      </w:r>
      <w:r>
        <w:t>a</w:t>
      </w:r>
      <w:r w:rsidR="00C64050">
        <w:t xml:space="preserve"> </w:t>
      </w:r>
      <w:r>
        <w:t>matter</w:t>
      </w:r>
      <w:r w:rsidR="00C64050">
        <w:t xml:space="preserve"> </w:t>
      </w:r>
      <w:r>
        <w:t>of</w:t>
      </w:r>
      <w:r w:rsidR="00C64050">
        <w:t xml:space="preserve"> </w:t>
      </w:r>
      <w:r>
        <w:t>form,</w:t>
      </w:r>
      <w:r w:rsidR="00C64050">
        <w:t xml:space="preserve"> </w:t>
      </w:r>
      <w:r>
        <w:t>the</w:t>
      </w:r>
      <w:r w:rsidR="00C64050">
        <w:t xml:space="preserve"> </w:t>
      </w:r>
      <w:r>
        <w:t>substance</w:t>
      </w:r>
      <w:r w:rsidR="00C64050">
        <w:t xml:space="preserve"> </w:t>
      </w:r>
      <w:r>
        <w:t>of</w:t>
      </w:r>
      <w:r w:rsidR="00C64050">
        <w:t xml:space="preserve"> </w:t>
      </w:r>
      <w:r>
        <w:t>the</w:t>
      </w:r>
      <w:r w:rsidR="00C64050">
        <w:t xml:space="preserve"> </w:t>
      </w:r>
      <w:r>
        <w:t>transaction</w:t>
      </w:r>
      <w:r w:rsidR="00C64050">
        <w:t xml:space="preserve"> </w:t>
      </w:r>
      <w:r>
        <w:t>will</w:t>
      </w:r>
      <w:r w:rsidR="00C64050">
        <w:t xml:space="preserve"> </w:t>
      </w:r>
      <w:r>
        <w:t>nonetheless</w:t>
      </w:r>
      <w:r w:rsidR="00C64050">
        <w:t xml:space="preserve"> </w:t>
      </w:r>
      <w:r>
        <w:t>prevail.</w:t>
      </w:r>
      <w:r w:rsidR="00C64050">
        <w:t xml:space="preserve"> </w:t>
      </w:r>
      <w:r>
        <w:t>The</w:t>
      </w:r>
      <w:r w:rsidR="00C64050">
        <w:t xml:space="preserve"> </w:t>
      </w:r>
      <w:r>
        <w:t>substance</w:t>
      </w:r>
      <w:r w:rsidR="00C64050">
        <w:t xml:space="preserve"> </w:t>
      </w:r>
      <w:r>
        <w:t>over</w:t>
      </w:r>
      <w:r w:rsidR="00C64050">
        <w:t xml:space="preserve"> </w:t>
      </w:r>
      <w:r>
        <w:t>form</w:t>
      </w:r>
      <w:r w:rsidR="00C64050">
        <w:t xml:space="preserve"> </w:t>
      </w:r>
      <w:r>
        <w:t>doctrine</w:t>
      </w:r>
      <w:r w:rsidR="00C64050">
        <w:t xml:space="preserve"> </w:t>
      </w:r>
      <w:r>
        <w:t>permits</w:t>
      </w:r>
      <w:r w:rsidR="00C64050">
        <w:t xml:space="preserve"> </w:t>
      </w:r>
      <w:r>
        <w:t>a</w:t>
      </w:r>
      <w:r w:rsidR="00C64050">
        <w:t xml:space="preserve"> </w:t>
      </w:r>
      <w:r>
        <w:t>court</w:t>
      </w:r>
      <w:r w:rsidR="00C64050">
        <w:t xml:space="preserve"> </w:t>
      </w:r>
      <w:r>
        <w:t>to</w:t>
      </w:r>
      <w:r w:rsidR="00C64050">
        <w:t xml:space="preserve"> </w:t>
      </w:r>
      <w:r>
        <w:t>determine</w:t>
      </w:r>
      <w:r w:rsidR="00C64050">
        <w:t xml:space="preserve"> </w:t>
      </w:r>
      <w:r>
        <w:t>a</w:t>
      </w:r>
      <w:r w:rsidR="00C64050">
        <w:t xml:space="preserve"> </w:t>
      </w:r>
      <w:r>
        <w:t>transaction’s</w:t>
      </w:r>
      <w:r w:rsidR="00C64050">
        <w:t xml:space="preserve"> </w:t>
      </w:r>
      <w:r>
        <w:t>characterization</w:t>
      </w:r>
      <w:r w:rsidR="00C64050">
        <w:t xml:space="preserve"> </w:t>
      </w:r>
      <w:r>
        <w:t>according</w:t>
      </w:r>
      <w:r w:rsidR="00C64050">
        <w:t xml:space="preserve"> </w:t>
      </w:r>
      <w:r>
        <w:t>to</w:t>
      </w:r>
      <w:r w:rsidR="00C64050">
        <w:t xml:space="preserve"> </w:t>
      </w:r>
      <w:r>
        <w:t>its</w:t>
      </w:r>
      <w:r w:rsidR="00C64050">
        <w:t xml:space="preserve"> </w:t>
      </w:r>
      <w:r>
        <w:t>“underlying</w:t>
      </w:r>
      <w:r w:rsidR="00C64050">
        <w:t xml:space="preserve"> </w:t>
      </w:r>
      <w:r>
        <w:t>substance</w:t>
      </w:r>
      <w:r w:rsidR="00C64050">
        <w:t xml:space="preserve"> </w:t>
      </w:r>
      <w:r>
        <w:t>of</w:t>
      </w:r>
      <w:r w:rsidR="00C64050">
        <w:t xml:space="preserve"> </w:t>
      </w:r>
      <w:r>
        <w:t>the</w:t>
      </w:r>
      <w:r w:rsidR="00C64050">
        <w:t xml:space="preserve"> </w:t>
      </w:r>
      <w:r>
        <w:t>transaction</w:t>
      </w:r>
      <w:r w:rsidR="00C64050">
        <w:t xml:space="preserve"> </w:t>
      </w:r>
      <w:r>
        <w:t>rather</w:t>
      </w:r>
      <w:r w:rsidR="00C64050">
        <w:t xml:space="preserve"> </w:t>
      </w:r>
      <w:r>
        <w:t>than</w:t>
      </w:r>
      <w:r w:rsidR="00C64050">
        <w:t xml:space="preserve"> </w:t>
      </w:r>
      <w:r>
        <w:t>its</w:t>
      </w:r>
      <w:r w:rsidR="00C64050">
        <w:t xml:space="preserve"> </w:t>
      </w:r>
      <w:r>
        <w:t>legal</w:t>
      </w:r>
      <w:r w:rsidR="00C64050">
        <w:t xml:space="preserve"> </w:t>
      </w:r>
      <w:r>
        <w:t>form.”</w:t>
      </w:r>
      <w:r w:rsidR="00C64050">
        <w:t xml:space="preserve"> </w:t>
      </w:r>
      <w:r>
        <w:t>Southgate</w:t>
      </w:r>
      <w:r w:rsidR="00C64050">
        <w:t xml:space="preserve"> </w:t>
      </w:r>
      <w:r>
        <w:t>Master</w:t>
      </w:r>
      <w:r w:rsidR="00C64050">
        <w:t xml:space="preserve"> </w:t>
      </w:r>
      <w:r>
        <w:t>Fund,</w:t>
      </w:r>
      <w:r w:rsidR="00C64050">
        <w:t xml:space="preserve"> </w:t>
      </w:r>
      <w:r>
        <w:t>659</w:t>
      </w:r>
      <w:r w:rsidR="00C64050">
        <w:t xml:space="preserve"> </w:t>
      </w:r>
      <w:r>
        <w:t>F.3d</w:t>
      </w:r>
      <w:r w:rsidR="00C64050">
        <w:t xml:space="preserve"> </w:t>
      </w:r>
      <w:r>
        <w:t>at</w:t>
      </w:r>
      <w:r w:rsidR="00C64050">
        <w:t xml:space="preserve"> </w:t>
      </w:r>
      <w:r>
        <w:t>480.</w:t>
      </w:r>
      <w:r w:rsidR="00C64050">
        <w:t xml:space="preserve"> </w:t>
      </w:r>
      <w:r>
        <w:t>Here,</w:t>
      </w:r>
      <w:r w:rsidR="00C64050">
        <w:t xml:space="preserve"> </w:t>
      </w:r>
      <w:r>
        <w:t>looking</w:t>
      </w:r>
      <w:r w:rsidR="00C64050">
        <w:t xml:space="preserve"> </w:t>
      </w:r>
      <w:r>
        <w:t>beyond</w:t>
      </w:r>
      <w:r w:rsidR="00C64050">
        <w:t xml:space="preserve"> </w:t>
      </w:r>
      <w:r>
        <w:t>the</w:t>
      </w:r>
      <w:r w:rsidR="00C64050">
        <w:t xml:space="preserve"> </w:t>
      </w:r>
      <w:r>
        <w:t>formalities</w:t>
      </w:r>
      <w:r w:rsidR="00C64050">
        <w:t xml:space="preserve"> </w:t>
      </w:r>
      <w:r>
        <w:t>of</w:t>
      </w:r>
      <w:r w:rsidR="00C64050">
        <w:t xml:space="preserve"> </w:t>
      </w:r>
      <w:r>
        <w:t>this</w:t>
      </w:r>
      <w:r w:rsidR="00C64050">
        <w:t xml:space="preserve"> </w:t>
      </w:r>
      <w:r>
        <w:t>intrafamily</w:t>
      </w:r>
      <w:r w:rsidR="00C64050">
        <w:t xml:space="preserve"> </w:t>
      </w:r>
      <w:r>
        <w:t>transfer,</w:t>
      </w:r>
      <w:r w:rsidR="00C64050">
        <w:t xml:space="preserve"> </w:t>
      </w:r>
      <w:r>
        <w:t>the</w:t>
      </w:r>
      <w:r w:rsidR="00C64050">
        <w:t xml:space="preserve"> </w:t>
      </w:r>
      <w:r>
        <w:t>Assignment</w:t>
      </w:r>
      <w:r w:rsidR="00C64050">
        <w:t xml:space="preserve"> </w:t>
      </w:r>
      <w:r>
        <w:t>lacks</w:t>
      </w:r>
      <w:r w:rsidR="00C64050">
        <w:t xml:space="preserve"> </w:t>
      </w:r>
      <w:r>
        <w:t>economic</w:t>
      </w:r>
      <w:r w:rsidR="00C64050">
        <w:t xml:space="preserve"> </w:t>
      </w:r>
      <w:r>
        <w:t>substance</w:t>
      </w:r>
      <w:r w:rsidR="00C64050">
        <w:t xml:space="preserve"> </w:t>
      </w:r>
      <w:r>
        <w:t>outside</w:t>
      </w:r>
      <w:r w:rsidR="00C64050">
        <w:t xml:space="preserve"> </w:t>
      </w:r>
      <w:r>
        <w:t>of</w:t>
      </w:r>
      <w:r w:rsidR="00C64050">
        <w:t xml:space="preserve"> </w:t>
      </w:r>
      <w:r>
        <w:t>tax</w:t>
      </w:r>
      <w:r w:rsidR="00C64050">
        <w:t xml:space="preserve"> </w:t>
      </w:r>
      <w:r>
        <w:t>avoidance.</w:t>
      </w:r>
      <w:r w:rsidR="00C64050">
        <w:t xml:space="preserve"> </w:t>
      </w:r>
      <w:r>
        <w:t>Griffin</w:t>
      </w:r>
      <w:r w:rsidR="00C64050">
        <w:t xml:space="preserve"> </w:t>
      </w:r>
      <w:r>
        <w:t>v.</w:t>
      </w:r>
      <w:r w:rsidR="00C64050">
        <w:t xml:space="preserve"> </w:t>
      </w:r>
      <w:r>
        <w:t>United</w:t>
      </w:r>
      <w:r w:rsidR="00C64050">
        <w:t xml:space="preserve"> </w:t>
      </w:r>
      <w:r>
        <w:t>States,</w:t>
      </w:r>
      <w:r w:rsidR="00C64050">
        <w:t xml:space="preserve"> </w:t>
      </w:r>
      <w:r>
        <w:t>42</w:t>
      </w:r>
      <w:r w:rsidR="00C64050">
        <w:t xml:space="preserve"> </w:t>
      </w:r>
      <w:r>
        <w:t>F.</w:t>
      </w:r>
      <w:r w:rsidR="00C64050">
        <w:t xml:space="preserve"> </w:t>
      </w:r>
      <w:r>
        <w:t>Supp.</w:t>
      </w:r>
      <w:r w:rsidR="00C64050">
        <w:t xml:space="preserve"> </w:t>
      </w:r>
      <w:r>
        <w:t>2d</w:t>
      </w:r>
      <w:r w:rsidR="00C64050">
        <w:t xml:space="preserve"> </w:t>
      </w:r>
      <w:r>
        <w:t>700,</w:t>
      </w:r>
      <w:r w:rsidR="00C64050">
        <w:t xml:space="preserve"> </w:t>
      </w:r>
      <w:r>
        <w:t>703</w:t>
      </w:r>
      <w:r w:rsidR="00C64050">
        <w:t xml:space="preserve"> </w:t>
      </w:r>
      <w:r>
        <w:t>(W.D.</w:t>
      </w:r>
      <w:r w:rsidR="00C64050">
        <w:t xml:space="preserve"> </w:t>
      </w:r>
      <w:r>
        <w:t>Tex.</w:t>
      </w:r>
      <w:r w:rsidR="00C64050">
        <w:t xml:space="preserve"> </w:t>
      </w:r>
      <w:r>
        <w:t>1998)</w:t>
      </w:r>
      <w:r w:rsidR="00C64050">
        <w:t xml:space="preserve"> </w:t>
      </w:r>
      <w:r>
        <w:t>(“[E]ven</w:t>
      </w:r>
      <w:r w:rsidR="00C64050">
        <w:t xml:space="preserve"> </w:t>
      </w:r>
      <w:r>
        <w:t>if</w:t>
      </w:r>
      <w:r w:rsidR="00C64050">
        <w:t xml:space="preserve"> </w:t>
      </w:r>
      <w:r>
        <w:t>a</w:t>
      </w:r>
      <w:r w:rsidR="00C64050">
        <w:t xml:space="preserve"> </w:t>
      </w:r>
      <w:r>
        <w:t>transaction</w:t>
      </w:r>
      <w:r w:rsidR="00C64050">
        <w:t xml:space="preserve"> </w:t>
      </w:r>
      <w:r>
        <w:t>falls</w:t>
      </w:r>
      <w:r w:rsidR="00C64050">
        <w:t xml:space="preserve"> </w:t>
      </w:r>
      <w:r>
        <w:t>within</w:t>
      </w:r>
      <w:r w:rsidR="00C64050">
        <w:t xml:space="preserve"> </w:t>
      </w:r>
      <w:r>
        <w:t>the</w:t>
      </w:r>
      <w:r w:rsidR="00C64050">
        <w:t xml:space="preserve"> </w:t>
      </w:r>
      <w:r>
        <w:t>literal</w:t>
      </w:r>
      <w:r w:rsidR="00C64050">
        <w:t xml:space="preserve"> </w:t>
      </w:r>
      <w:r>
        <w:t>requirements</w:t>
      </w:r>
      <w:r w:rsidR="00C64050">
        <w:t xml:space="preserve"> </w:t>
      </w:r>
      <w:r>
        <w:t>of</w:t>
      </w:r>
      <w:r w:rsidR="00C64050">
        <w:t xml:space="preserve"> </w:t>
      </w:r>
      <w:r>
        <w:t>the</w:t>
      </w:r>
      <w:r w:rsidR="00C64050">
        <w:t xml:space="preserve"> </w:t>
      </w:r>
      <w:r>
        <w:t>tax</w:t>
      </w:r>
      <w:r w:rsidR="00C64050">
        <w:t xml:space="preserve"> </w:t>
      </w:r>
      <w:r>
        <w:t>statute,</w:t>
      </w:r>
      <w:r w:rsidR="00C64050">
        <w:t xml:space="preserve"> </w:t>
      </w:r>
      <w:r>
        <w:t>the</w:t>
      </w:r>
      <w:r w:rsidR="00C64050">
        <w:t xml:space="preserve"> </w:t>
      </w:r>
      <w:r>
        <w:t>transaction</w:t>
      </w:r>
      <w:r w:rsidR="00C64050">
        <w:t xml:space="preserve"> </w:t>
      </w:r>
      <w:r>
        <w:t>will</w:t>
      </w:r>
      <w:r w:rsidR="00C64050">
        <w:t xml:space="preserve"> </w:t>
      </w:r>
      <w:r>
        <w:t>be</w:t>
      </w:r>
      <w:r w:rsidR="00C64050">
        <w:t xml:space="preserve"> </w:t>
      </w:r>
      <w:r>
        <w:t>disregarded</w:t>
      </w:r>
      <w:r w:rsidR="00C64050">
        <w:t xml:space="preserve"> </w:t>
      </w:r>
      <w:r>
        <w:t>.</w:t>
      </w:r>
      <w:r w:rsidR="00C64050">
        <w:t xml:space="preserve"> </w:t>
      </w:r>
      <w:r>
        <w:t>.</w:t>
      </w:r>
      <w:r w:rsidR="00C64050">
        <w:t xml:space="preserve"> </w:t>
      </w:r>
      <w:r>
        <w:t>.</w:t>
      </w:r>
      <w:r w:rsidR="00C64050">
        <w:t xml:space="preserve"> </w:t>
      </w:r>
      <w:r>
        <w:t>if</w:t>
      </w:r>
      <w:r w:rsidR="00C64050">
        <w:t xml:space="preserve"> </w:t>
      </w:r>
      <w:r>
        <w:t>it</w:t>
      </w:r>
      <w:r w:rsidR="00C64050">
        <w:t xml:space="preserve"> </w:t>
      </w:r>
      <w:r>
        <w:t>has</w:t>
      </w:r>
      <w:r w:rsidR="00C64050">
        <w:t xml:space="preserve"> </w:t>
      </w:r>
      <w:r>
        <w:t>no</w:t>
      </w:r>
      <w:r w:rsidR="00C64050">
        <w:t xml:space="preserve"> </w:t>
      </w:r>
      <w:r>
        <w:t>business</w:t>
      </w:r>
      <w:r w:rsidR="00C64050">
        <w:t xml:space="preserve"> </w:t>
      </w:r>
      <w:r>
        <w:t>purpose</w:t>
      </w:r>
      <w:r w:rsidR="00C64050">
        <w:t xml:space="preserve"> </w:t>
      </w:r>
      <w:r>
        <w:t>or</w:t>
      </w:r>
      <w:r w:rsidR="00C64050">
        <w:t xml:space="preserve"> </w:t>
      </w:r>
      <w:r>
        <w:t>economic</w:t>
      </w:r>
      <w:r w:rsidR="00C64050">
        <w:t xml:space="preserve"> </w:t>
      </w:r>
      <w:r>
        <w:t>effect</w:t>
      </w:r>
      <w:r w:rsidR="00C64050">
        <w:t xml:space="preserve"> </w:t>
      </w:r>
      <w:r>
        <w:t>other</w:t>
      </w:r>
      <w:r w:rsidR="00C64050">
        <w:t xml:space="preserve"> </w:t>
      </w:r>
      <w:r>
        <w:t>than</w:t>
      </w:r>
      <w:r w:rsidR="00C64050">
        <w:t xml:space="preserve"> </w:t>
      </w:r>
      <w:r>
        <w:t>the</w:t>
      </w:r>
      <w:r w:rsidR="00C64050">
        <w:t xml:space="preserve"> </w:t>
      </w:r>
      <w:r>
        <w:t>creation</w:t>
      </w:r>
      <w:r w:rsidR="00C64050">
        <w:t xml:space="preserve"> </w:t>
      </w:r>
      <w:r>
        <w:t>of</w:t>
      </w:r>
      <w:r w:rsidR="00C64050">
        <w:t xml:space="preserve"> </w:t>
      </w:r>
      <w:r>
        <w:t>tax</w:t>
      </w:r>
      <w:r w:rsidR="00C64050">
        <w:t xml:space="preserve"> </w:t>
      </w:r>
      <w:r>
        <w:t>deductions,</w:t>
      </w:r>
      <w:r w:rsidR="00C64050">
        <w:t xml:space="preserve"> </w:t>
      </w:r>
      <w:r>
        <w:t>or</w:t>
      </w:r>
      <w:r w:rsidR="00C64050">
        <w:t xml:space="preserve"> </w:t>
      </w:r>
      <w:r>
        <w:t>if</w:t>
      </w:r>
      <w:r w:rsidR="00C64050">
        <w:t xml:space="preserve"> </w:t>
      </w:r>
      <w:r>
        <w:t>its</w:t>
      </w:r>
      <w:r w:rsidR="00C64050">
        <w:t xml:space="preserve"> </w:t>
      </w:r>
      <w:r>
        <w:t>only</w:t>
      </w:r>
      <w:r w:rsidR="00C64050">
        <w:t xml:space="preserve"> </w:t>
      </w:r>
      <w:r>
        <w:t>purpose</w:t>
      </w:r>
      <w:r w:rsidR="00C64050">
        <w:t xml:space="preserve"> </w:t>
      </w:r>
      <w:r>
        <w:t>is</w:t>
      </w:r>
      <w:r w:rsidR="00C64050">
        <w:t xml:space="preserve"> </w:t>
      </w:r>
      <w:r>
        <w:t>tax</w:t>
      </w:r>
      <w:r w:rsidR="00C64050">
        <w:t xml:space="preserve"> </w:t>
      </w:r>
      <w:r>
        <w:t>avoidance.”).</w:t>
      </w:r>
      <w:r w:rsidR="00C64050">
        <w:t xml:space="preserve"> </w:t>
      </w:r>
      <w:r>
        <w:t>While</w:t>
      </w:r>
      <w:r w:rsidR="00C64050">
        <w:t xml:space="preserve"> </w:t>
      </w:r>
      <w:r>
        <w:t>SILP</w:t>
      </w:r>
      <w:r w:rsidR="00C64050">
        <w:t xml:space="preserve"> </w:t>
      </w:r>
      <w:r>
        <w:t>limited</w:t>
      </w:r>
      <w:r w:rsidR="00C64050">
        <w:t xml:space="preserve"> </w:t>
      </w:r>
      <w:r>
        <w:t>partners</w:t>
      </w:r>
      <w:r w:rsidR="00C64050">
        <w:t xml:space="preserve"> </w:t>
      </w:r>
      <w:r>
        <w:t>appear</w:t>
      </w:r>
      <w:r w:rsidR="00C64050">
        <w:t xml:space="preserve"> </w:t>
      </w:r>
      <w:r>
        <w:t>to</w:t>
      </w:r>
      <w:r w:rsidR="00C64050">
        <w:t xml:space="preserve"> </w:t>
      </w:r>
      <w:r>
        <w:t>enjoy</w:t>
      </w:r>
      <w:r w:rsidR="00C64050">
        <w:t xml:space="preserve"> </w:t>
      </w:r>
      <w:r>
        <w:t>several</w:t>
      </w:r>
      <w:r w:rsidR="00C64050">
        <w:t xml:space="preserve"> </w:t>
      </w:r>
      <w:r>
        <w:t>managerial</w:t>
      </w:r>
      <w:r w:rsidR="00C64050">
        <w:t xml:space="preserve"> </w:t>
      </w:r>
      <w:r>
        <w:t>and</w:t>
      </w:r>
      <w:r w:rsidR="00C64050">
        <w:t xml:space="preserve"> </w:t>
      </w:r>
      <w:r>
        <w:t>oversight</w:t>
      </w:r>
      <w:r w:rsidR="00C64050">
        <w:t xml:space="preserve"> </w:t>
      </w:r>
      <w:r>
        <w:t>powers</w:t>
      </w:r>
      <w:r w:rsidR="00C64050">
        <w:t xml:space="preserve"> </w:t>
      </w:r>
      <w:r>
        <w:t>that</w:t>
      </w:r>
      <w:r w:rsidR="00C64050">
        <w:t xml:space="preserve"> </w:t>
      </w:r>
      <w:r>
        <w:t>unadmitted</w:t>
      </w:r>
      <w:r w:rsidR="00C64050">
        <w:t xml:space="preserve"> </w:t>
      </w:r>
      <w:r>
        <w:t>assignees</w:t>
      </w:r>
      <w:r w:rsidR="00C64050">
        <w:t xml:space="preserve"> </w:t>
      </w:r>
      <w:r>
        <w:t>do</w:t>
      </w:r>
      <w:r w:rsidR="00C64050">
        <w:t xml:space="preserve"> </w:t>
      </w:r>
      <w:r>
        <w:t>not6,</w:t>
      </w:r>
      <w:r w:rsidR="00C64050">
        <w:t xml:space="preserve"> </w:t>
      </w:r>
      <w:r>
        <w:t>there</w:t>
      </w:r>
      <w:r w:rsidR="00C64050">
        <w:t xml:space="preserve"> </w:t>
      </w:r>
      <w:r>
        <w:t>were</w:t>
      </w:r>
      <w:r w:rsidR="00C64050">
        <w:t xml:space="preserve"> </w:t>
      </w:r>
      <w:r>
        <w:t>no</w:t>
      </w:r>
      <w:r w:rsidR="00C64050">
        <w:t xml:space="preserve"> </w:t>
      </w:r>
      <w:r>
        <w:t>practical</w:t>
      </w:r>
      <w:r w:rsidR="00C64050">
        <w:t xml:space="preserve"> </w:t>
      </w:r>
      <w:r>
        <w:t>differences</w:t>
      </w:r>
      <w:r w:rsidR="00C64050">
        <w:t xml:space="preserve"> </w:t>
      </w:r>
      <w:r>
        <w:t>after</w:t>
      </w:r>
      <w:r w:rsidR="00C64050">
        <w:t xml:space="preserve"> </w:t>
      </w:r>
      <w:r>
        <w:t>the</w:t>
      </w:r>
      <w:r w:rsidR="00C64050">
        <w:t xml:space="preserve"> </w:t>
      </w:r>
      <w:r>
        <w:t>Assignment</w:t>
      </w:r>
      <w:r w:rsidR="00C64050">
        <w:t xml:space="preserve"> </w:t>
      </w:r>
      <w:r>
        <w:t>was</w:t>
      </w:r>
      <w:r w:rsidR="00C64050">
        <w:t xml:space="preserve"> </w:t>
      </w:r>
      <w:r>
        <w:t>executed.</w:t>
      </w:r>
      <w:r w:rsidR="00C64050">
        <w:t xml:space="preserve"> </w:t>
      </w:r>
      <w:r>
        <w:t>Other</w:t>
      </w:r>
      <w:r w:rsidR="00C64050">
        <w:t xml:space="preserve"> </w:t>
      </w:r>
      <w:r>
        <w:t>than</w:t>
      </w:r>
      <w:r w:rsidR="00C64050">
        <w:t xml:space="preserve"> </w:t>
      </w:r>
      <w:r>
        <w:t>Elizabeth,</w:t>
      </w:r>
      <w:r w:rsidR="00C64050">
        <w:t xml:space="preserve"> </w:t>
      </w:r>
      <w:r>
        <w:t>there</w:t>
      </w:r>
      <w:r w:rsidR="00C64050">
        <w:t xml:space="preserve"> </w:t>
      </w:r>
      <w:r>
        <w:t>is</w:t>
      </w:r>
      <w:r w:rsidR="00C64050">
        <w:t xml:space="preserve"> </w:t>
      </w:r>
      <w:r>
        <w:t>no</w:t>
      </w:r>
      <w:r w:rsidR="00C64050">
        <w:t xml:space="preserve"> </w:t>
      </w:r>
      <w:r>
        <w:t>record</w:t>
      </w:r>
      <w:r w:rsidR="00C64050">
        <w:t xml:space="preserve"> </w:t>
      </w:r>
      <w:r>
        <w:t>of</w:t>
      </w:r>
      <w:r w:rsidR="00C64050">
        <w:t xml:space="preserve"> </w:t>
      </w:r>
      <w:r>
        <w:t>SILP’s</w:t>
      </w:r>
      <w:r w:rsidR="00C64050">
        <w:t xml:space="preserve"> </w:t>
      </w:r>
      <w:r>
        <w:t>limited</w:t>
      </w:r>
      <w:r w:rsidR="00C64050">
        <w:t xml:space="preserve"> </w:t>
      </w:r>
      <w:r>
        <w:t>partners,</w:t>
      </w:r>
      <w:r w:rsidR="00C64050">
        <w:t xml:space="preserve"> </w:t>
      </w:r>
      <w:r>
        <w:t>the</w:t>
      </w:r>
      <w:r w:rsidR="00C64050">
        <w:t xml:space="preserve"> </w:t>
      </w:r>
      <w:r>
        <w:t>decedent’s</w:t>
      </w:r>
      <w:r w:rsidR="00C64050">
        <w:t xml:space="preserve"> </w:t>
      </w:r>
      <w:r>
        <w:t>children,</w:t>
      </w:r>
      <w:r w:rsidR="00C64050">
        <w:t xml:space="preserve"> </w:t>
      </w:r>
      <w:r>
        <w:t>exercising</w:t>
      </w:r>
      <w:r w:rsidR="00C64050">
        <w:t xml:space="preserve"> </w:t>
      </w:r>
      <w:r>
        <w:t>their</w:t>
      </w:r>
      <w:r w:rsidR="00C64050">
        <w:t xml:space="preserve"> </w:t>
      </w:r>
      <w:r>
        <w:t>partnership</w:t>
      </w:r>
      <w:r w:rsidR="00C64050">
        <w:t xml:space="preserve"> </w:t>
      </w:r>
      <w:r>
        <w:t>rights</w:t>
      </w:r>
      <w:r w:rsidR="00C64050">
        <w:t xml:space="preserve"> </w:t>
      </w:r>
      <w:r>
        <w:t>or</w:t>
      </w:r>
      <w:r w:rsidR="00C64050">
        <w:t xml:space="preserve"> </w:t>
      </w:r>
      <w:r>
        <w:t>responsibilities.</w:t>
      </w:r>
      <w:r w:rsidR="00C64050">
        <w:t xml:space="preserve"> </w:t>
      </w:r>
      <w:r>
        <w:t>For</w:t>
      </w:r>
      <w:r w:rsidR="00C64050">
        <w:t xml:space="preserve"> </w:t>
      </w:r>
      <w:r>
        <w:t>example,</w:t>
      </w:r>
      <w:r w:rsidR="00C64050">
        <w:t xml:space="preserve"> </w:t>
      </w:r>
      <w:r>
        <w:t>this</w:t>
      </w:r>
      <w:r w:rsidR="00C64050">
        <w:t xml:space="preserve"> </w:t>
      </w:r>
      <w:r>
        <w:t>partnership</w:t>
      </w:r>
      <w:r w:rsidR="00C64050">
        <w:t xml:space="preserve"> </w:t>
      </w:r>
      <w:r>
        <w:t>held</w:t>
      </w:r>
      <w:r w:rsidR="00C64050">
        <w:t xml:space="preserve"> </w:t>
      </w:r>
      <w:r>
        <w:t>no</w:t>
      </w:r>
      <w:r w:rsidR="00C64050">
        <w:t xml:space="preserve"> </w:t>
      </w:r>
      <w:r>
        <w:t>meetings</w:t>
      </w:r>
      <w:r w:rsidR="00C64050">
        <w:t xml:space="preserve"> </w:t>
      </w:r>
      <w:r>
        <w:t>or</w:t>
      </w:r>
      <w:r w:rsidR="00C64050">
        <w:t xml:space="preserve"> </w:t>
      </w:r>
      <w:r>
        <w:t>votes,</w:t>
      </w:r>
      <w:r w:rsidR="00C64050">
        <w:t xml:space="preserve"> </w:t>
      </w:r>
      <w:r>
        <w:t>nor</w:t>
      </w:r>
      <w:r w:rsidR="00C64050">
        <w:t xml:space="preserve"> </w:t>
      </w:r>
      <w:r>
        <w:t>was</w:t>
      </w:r>
      <w:r w:rsidR="00C64050">
        <w:t xml:space="preserve"> </w:t>
      </w:r>
      <w:r>
        <w:t>there</w:t>
      </w:r>
      <w:r w:rsidR="00C64050">
        <w:t xml:space="preserve"> </w:t>
      </w:r>
      <w:r>
        <w:t>any</w:t>
      </w:r>
      <w:r w:rsidR="00C64050">
        <w:t xml:space="preserve"> </w:t>
      </w:r>
      <w:r>
        <w:t>attempt</w:t>
      </w:r>
      <w:r w:rsidR="00C64050">
        <w:t xml:space="preserve"> </w:t>
      </w:r>
      <w:r>
        <w:t>to</w:t>
      </w:r>
      <w:r w:rsidR="00C64050">
        <w:t xml:space="preserve"> </w:t>
      </w:r>
      <w:r>
        <w:t>remove</w:t>
      </w:r>
      <w:r w:rsidR="00C64050">
        <w:t xml:space="preserve"> </w:t>
      </w:r>
      <w:r>
        <w:t>Streightoff</w:t>
      </w:r>
      <w:r w:rsidR="00C64050">
        <w:t xml:space="preserve"> </w:t>
      </w:r>
      <w:r>
        <w:t>Management</w:t>
      </w:r>
      <w:r w:rsidR="00C64050">
        <w:t xml:space="preserve"> </w:t>
      </w:r>
      <w:r>
        <w:t>as</w:t>
      </w:r>
      <w:r w:rsidR="00C64050">
        <w:t xml:space="preserve"> </w:t>
      </w:r>
      <w:r>
        <w:t>SILP’s</w:t>
      </w:r>
      <w:r w:rsidR="00C64050">
        <w:t xml:space="preserve"> </w:t>
      </w:r>
      <w:r>
        <w:t>general</w:t>
      </w:r>
      <w:r w:rsidR="00C64050">
        <w:t xml:space="preserve"> </w:t>
      </w:r>
      <w:r>
        <w:t>partner.</w:t>
      </w:r>
      <w:r w:rsidR="00C64050">
        <w:t xml:space="preserve"> </w:t>
      </w:r>
      <w:r>
        <w:t>Without</w:t>
      </w:r>
      <w:r w:rsidR="00C64050">
        <w:t xml:space="preserve"> </w:t>
      </w:r>
      <w:r>
        <w:t>genuine</w:t>
      </w:r>
      <w:r w:rsidR="00C64050">
        <w:t xml:space="preserve"> </w:t>
      </w:r>
      <w:r>
        <w:t>nontax</w:t>
      </w:r>
      <w:r w:rsidR="00C64050">
        <w:t xml:space="preserve"> </w:t>
      </w:r>
      <w:r>
        <w:t>circumstances</w:t>
      </w:r>
      <w:r w:rsidR="00C64050">
        <w:t xml:space="preserve"> </w:t>
      </w:r>
      <w:r>
        <w:t>present,</w:t>
      </w:r>
      <w:r w:rsidR="00C64050">
        <w:t xml:space="preserve"> </w:t>
      </w:r>
      <w:r>
        <w:t>the</w:t>
      </w:r>
      <w:r w:rsidR="00C64050">
        <w:t xml:space="preserve"> </w:t>
      </w:r>
      <w:r>
        <w:t>Assignment</w:t>
      </w:r>
      <w:r w:rsidR="00C64050">
        <w:t xml:space="preserve"> </w:t>
      </w:r>
      <w:r>
        <w:t>is</w:t>
      </w:r>
      <w:r w:rsidR="00C64050">
        <w:t xml:space="preserve"> </w:t>
      </w:r>
      <w:r>
        <w:t>the</w:t>
      </w:r>
      <w:r w:rsidR="00C64050">
        <w:t xml:space="preserve"> </w:t>
      </w:r>
      <w:r>
        <w:t>functional</w:t>
      </w:r>
      <w:r w:rsidR="00C64050">
        <w:t xml:space="preserve"> </w:t>
      </w:r>
      <w:r>
        <w:t>equivalent</w:t>
      </w:r>
      <w:r w:rsidR="00C64050">
        <w:t xml:space="preserve"> </w:t>
      </w:r>
      <w:r>
        <w:t>of</w:t>
      </w:r>
      <w:r w:rsidR="00C64050">
        <w:t xml:space="preserve"> </w:t>
      </w:r>
      <w:r>
        <w:t>a</w:t>
      </w:r>
      <w:r w:rsidR="00C64050">
        <w:t xml:space="preserve"> </w:t>
      </w:r>
      <w:r>
        <w:t>transfer</w:t>
      </w:r>
      <w:r w:rsidR="00C64050">
        <w:t xml:space="preserve"> </w:t>
      </w:r>
      <w:r>
        <w:t>of</w:t>
      </w:r>
      <w:r w:rsidR="00C64050">
        <w:t xml:space="preserve"> </w:t>
      </w:r>
      <w:r>
        <w:t>limited</w:t>
      </w:r>
      <w:r w:rsidR="00C64050">
        <w:t xml:space="preserve"> </w:t>
      </w:r>
      <w:r>
        <w:t>partnership</w:t>
      </w:r>
      <w:r w:rsidR="00C64050">
        <w:t xml:space="preserve"> </w:t>
      </w:r>
      <w:r>
        <w:t>interest.</w:t>
      </w:r>
      <w:r w:rsidR="00C64050">
        <w:t xml:space="preserve"> </w:t>
      </w:r>
      <w:r>
        <w:t>See</w:t>
      </w:r>
      <w:r w:rsidR="00C64050">
        <w:t xml:space="preserve"> </w:t>
      </w:r>
      <w:r>
        <w:t>Kerr,</w:t>
      </w:r>
      <w:r w:rsidR="00C64050">
        <w:t xml:space="preserve"> </w:t>
      </w:r>
      <w:r>
        <w:t>113</w:t>
      </w:r>
      <w:r w:rsidR="00C64050">
        <w:t xml:space="preserve"> </w:t>
      </w:r>
      <w:r>
        <w:t>T.C.</w:t>
      </w:r>
      <w:r w:rsidR="00C64050">
        <w:t xml:space="preserve"> </w:t>
      </w:r>
      <w:r>
        <w:t>at</w:t>
      </w:r>
      <w:r w:rsidR="00C64050">
        <w:t xml:space="preserve"> </w:t>
      </w:r>
      <w:r>
        <w:t>467</w:t>
      </w:r>
      <w:r w:rsidR="00C64050">
        <w:t xml:space="preserve"> </w:t>
      </w:r>
      <w:r>
        <w:t>(Under</w:t>
      </w:r>
      <w:r w:rsidR="00C64050">
        <w:t xml:space="preserve"> </w:t>
      </w:r>
      <w:r>
        <w:t>similar</w:t>
      </w:r>
      <w:r w:rsidR="00C64050">
        <w:t xml:space="preserve"> </w:t>
      </w:r>
      <w:r>
        <w:t>facts,</w:t>
      </w:r>
      <w:r w:rsidR="00C64050">
        <w:t xml:space="preserve"> </w:t>
      </w:r>
      <w:r>
        <w:t>the</w:t>
      </w:r>
      <w:r w:rsidR="00C64050">
        <w:t xml:space="preserve"> </w:t>
      </w:r>
      <w:r>
        <w:t>court</w:t>
      </w:r>
      <w:r w:rsidR="00C64050">
        <w:t xml:space="preserve"> </w:t>
      </w:r>
      <w:r>
        <w:t>held</w:t>
      </w:r>
      <w:r w:rsidR="00C64050">
        <w:t xml:space="preserve"> </w:t>
      </w:r>
      <w:r>
        <w:t>that</w:t>
      </w:r>
      <w:r w:rsidR="00C64050">
        <w:t xml:space="preserve"> </w:t>
      </w:r>
      <w:r>
        <w:t>“[t]he</w:t>
      </w:r>
      <w:r w:rsidR="00C64050">
        <w:t xml:space="preserve"> </w:t>
      </w:r>
      <w:r>
        <w:t>objective</w:t>
      </w:r>
      <w:r w:rsidR="00C64050">
        <w:t xml:space="preserve"> </w:t>
      </w:r>
      <w:r>
        <w:t>economic</w:t>
      </w:r>
      <w:r w:rsidR="00C64050">
        <w:t xml:space="preserve"> </w:t>
      </w:r>
      <w:r>
        <w:t>realities</w:t>
      </w:r>
      <w:r w:rsidR="00C64050">
        <w:t xml:space="preserve"> </w:t>
      </w:r>
      <w:r>
        <w:t>underlying</w:t>
      </w:r>
      <w:r w:rsidR="00C64050">
        <w:t xml:space="preserve"> </w:t>
      </w:r>
      <w:r>
        <w:t>the</w:t>
      </w:r>
      <w:r w:rsidR="00C64050">
        <w:t xml:space="preserve"> </w:t>
      </w:r>
      <w:r>
        <w:t>transfers”</w:t>
      </w:r>
      <w:r w:rsidR="00C64050">
        <w:t xml:space="preserve"> </w:t>
      </w:r>
      <w:r>
        <w:t>support</w:t>
      </w:r>
      <w:r w:rsidR="00C64050">
        <w:t xml:space="preserve"> </w:t>
      </w:r>
      <w:r>
        <w:t>that</w:t>
      </w:r>
      <w:r w:rsidR="00C64050">
        <w:t xml:space="preserve"> </w:t>
      </w:r>
      <w:r>
        <w:t>“there</w:t>
      </w:r>
      <w:r w:rsidR="00C64050">
        <w:t xml:space="preserve"> </w:t>
      </w:r>
      <w:r>
        <w:t>were</w:t>
      </w:r>
      <w:r w:rsidR="00C64050">
        <w:t xml:space="preserve"> </w:t>
      </w:r>
      <w:r>
        <w:t>no</w:t>
      </w:r>
      <w:r w:rsidR="00C64050">
        <w:t xml:space="preserve"> </w:t>
      </w:r>
      <w:r>
        <w:t>significant</w:t>
      </w:r>
      <w:r w:rsidR="00C64050">
        <w:t xml:space="preserve"> </w:t>
      </w:r>
      <w:r>
        <w:t>differences</w:t>
      </w:r>
      <w:r w:rsidR="00C64050">
        <w:t xml:space="preserve"> </w:t>
      </w:r>
      <w:r>
        <w:t>.</w:t>
      </w:r>
      <w:r w:rsidR="00C64050">
        <w:t xml:space="preserve"> </w:t>
      </w:r>
      <w:r>
        <w:t>.</w:t>
      </w:r>
      <w:r w:rsidR="00C64050">
        <w:t xml:space="preserve"> </w:t>
      </w:r>
      <w:r>
        <w:t>.</w:t>
      </w:r>
      <w:r w:rsidR="00C64050">
        <w:t xml:space="preserve"> </w:t>
      </w:r>
      <w:r>
        <w:t>between</w:t>
      </w:r>
      <w:r w:rsidR="00C64050">
        <w:t xml:space="preserve"> </w:t>
      </w:r>
      <w:r>
        <w:t>the</w:t>
      </w:r>
      <w:r w:rsidR="00C64050">
        <w:t xml:space="preserve"> </w:t>
      </w:r>
      <w:r>
        <w:t>rights</w:t>
      </w:r>
      <w:r w:rsidR="00C64050">
        <w:t xml:space="preserve"> </w:t>
      </w:r>
      <w:r>
        <w:t>of</w:t>
      </w:r>
      <w:r w:rsidR="00C64050">
        <w:t xml:space="preserve"> </w:t>
      </w:r>
      <w:r>
        <w:t>limited</w:t>
      </w:r>
      <w:r w:rsidR="00C64050">
        <w:t xml:space="preserve"> </w:t>
      </w:r>
      <w:r>
        <w:t>partners</w:t>
      </w:r>
      <w:r w:rsidR="00C64050">
        <w:t xml:space="preserve"> </w:t>
      </w:r>
      <w:r>
        <w:t>and</w:t>
      </w:r>
      <w:r w:rsidR="00C64050">
        <w:t xml:space="preserve"> </w:t>
      </w:r>
      <w:r>
        <w:t>assignees.”);</w:t>
      </w:r>
      <w:r w:rsidR="00C64050">
        <w:t xml:space="preserve"> </w:t>
      </w:r>
      <w:r>
        <w:t>see</w:t>
      </w:r>
      <w:r w:rsidR="00C64050">
        <w:t xml:space="preserve"> </w:t>
      </w:r>
      <w:r>
        <w:t>also</w:t>
      </w:r>
      <w:r w:rsidR="00C64050">
        <w:t xml:space="preserve"> </w:t>
      </w:r>
      <w:r>
        <w:t>Streightoff,</w:t>
      </w:r>
      <w:r w:rsidR="00C64050">
        <w:t xml:space="preserve"> </w:t>
      </w:r>
      <w:r>
        <w:t>2018</w:t>
      </w:r>
      <w:r w:rsidR="00C64050">
        <w:t xml:space="preserve"> </w:t>
      </w:r>
      <w:r>
        <w:t>WL</w:t>
      </w:r>
      <w:r w:rsidR="00C64050">
        <w:t xml:space="preserve"> </w:t>
      </w:r>
      <w:r>
        <w:t>5305054,</w:t>
      </w:r>
      <w:r w:rsidR="00C64050">
        <w:t xml:space="preserve"> </w:t>
      </w:r>
      <w:r>
        <w:t>at</w:t>
      </w:r>
      <w:r w:rsidR="00C64050">
        <w:t xml:space="preserve"> </w:t>
      </w:r>
      <w:r>
        <w:t>*7.</w:t>
      </w:r>
    </w:p>
    <w:p w:rsidR="00852D4A" w:rsidRPr="00852D4A" w:rsidRDefault="004E4B24" w:rsidP="004E4B24">
      <w:pPr>
        <w:pStyle w:val="Heading20"/>
        <w:tabs>
          <w:tab w:val="clear" w:pos="2700"/>
        </w:tabs>
        <w:ind w:left="0"/>
        <w:rPr>
          <w:vanish/>
          <w:specVanish/>
        </w:rPr>
      </w:pPr>
      <w:bookmarkStart w:id="419" w:name="_Toc94704655"/>
      <w:r>
        <w:rPr>
          <w:b/>
          <w:u w:val="single"/>
        </w:rPr>
        <w:t>Application</w:t>
      </w:r>
      <w:r w:rsidR="00C64050">
        <w:rPr>
          <w:b/>
          <w:u w:val="single"/>
        </w:rPr>
        <w:t xml:space="preserve"> </w:t>
      </w:r>
      <w:r>
        <w:rPr>
          <w:b/>
          <w:u w:val="single"/>
        </w:rPr>
        <w:t>of</w:t>
      </w:r>
      <w:r w:rsidR="00C64050">
        <w:rPr>
          <w:b/>
          <w:u w:val="single"/>
        </w:rPr>
        <w:t xml:space="preserve"> </w:t>
      </w:r>
      <w:r>
        <w:rPr>
          <w:b/>
          <w:u w:val="single"/>
        </w:rPr>
        <w:t>Section</w:t>
      </w:r>
      <w:r w:rsidR="00C64050">
        <w:rPr>
          <w:b/>
          <w:u w:val="single"/>
        </w:rPr>
        <w:t xml:space="preserve"> </w:t>
      </w:r>
      <w:r>
        <w:rPr>
          <w:b/>
          <w:u w:val="single"/>
        </w:rPr>
        <w:t>2043</w:t>
      </w:r>
      <w:r w:rsidR="00C64050">
        <w:rPr>
          <w:b/>
          <w:u w:val="single"/>
        </w:rPr>
        <w:t xml:space="preserve"> </w:t>
      </w:r>
      <w:r>
        <w:rPr>
          <w:b/>
          <w:u w:val="single"/>
        </w:rPr>
        <w:t>to</w:t>
      </w:r>
      <w:r w:rsidR="00C64050">
        <w:rPr>
          <w:b/>
          <w:u w:val="single"/>
        </w:rPr>
        <w:t xml:space="preserve"> </w:t>
      </w:r>
      <w:r>
        <w:rPr>
          <w:b/>
          <w:u w:val="single"/>
        </w:rPr>
        <w:t>Defective</w:t>
      </w:r>
      <w:r w:rsidR="00C64050">
        <w:rPr>
          <w:b/>
          <w:u w:val="single"/>
        </w:rPr>
        <w:t xml:space="preserve"> </w:t>
      </w:r>
      <w:r>
        <w:rPr>
          <w:b/>
          <w:u w:val="single"/>
        </w:rPr>
        <w:t>FLP</w:t>
      </w:r>
      <w:r w:rsidR="00C64050">
        <w:rPr>
          <w:b/>
          <w:u w:val="single"/>
        </w:rPr>
        <w:t xml:space="preserve"> </w:t>
      </w:r>
      <w:r>
        <w:rPr>
          <w:b/>
          <w:u w:val="single"/>
        </w:rPr>
        <w:t>Transfer</w:t>
      </w:r>
      <w:bookmarkEnd w:id="419"/>
    </w:p>
    <w:p w:rsidR="004E4B24" w:rsidRDefault="004E4B24" w:rsidP="00852D4A">
      <w:pPr>
        <w:pStyle w:val="Heading2Body"/>
      </w:pPr>
      <w:r>
        <w:t>.</w:t>
      </w:r>
      <w:r w:rsidR="00C64050">
        <w:t xml:space="preserve">  </w:t>
      </w:r>
      <w:r>
        <w:t>The</w:t>
      </w:r>
      <w:r w:rsidR="00C64050">
        <w:t xml:space="preserve"> </w:t>
      </w:r>
      <w:r>
        <w:t>30,000</w:t>
      </w:r>
      <w:r w:rsidR="00C64050">
        <w:t xml:space="preserve"> </w:t>
      </w:r>
      <w:r>
        <w:t>foot</w:t>
      </w:r>
      <w:r w:rsidR="00C64050">
        <w:t xml:space="preserve"> </w:t>
      </w:r>
      <w:r>
        <w:t>view</w:t>
      </w:r>
      <w:r w:rsidR="00C64050">
        <w:t xml:space="preserve"> </w:t>
      </w:r>
      <w:r>
        <w:t>of</w:t>
      </w:r>
      <w:r w:rsidR="00C64050">
        <w:t xml:space="preserve"> </w:t>
      </w:r>
      <w:r>
        <w:rPr>
          <w:u w:val="single"/>
        </w:rPr>
        <w:t>Moore</w:t>
      </w:r>
      <w:r w:rsidR="00C64050">
        <w:rPr>
          <w:u w:val="single"/>
        </w:rPr>
        <w:t xml:space="preserve"> </w:t>
      </w:r>
      <w:r>
        <w:rPr>
          <w:u w:val="single"/>
        </w:rPr>
        <w:t>v.</w:t>
      </w:r>
      <w:r w:rsidR="00C64050">
        <w:rPr>
          <w:u w:val="single"/>
        </w:rPr>
        <w:t xml:space="preserve"> </w:t>
      </w:r>
      <w:r>
        <w:rPr>
          <w:u w:val="single"/>
        </w:rPr>
        <w:t>Commissioner</w:t>
      </w:r>
      <w:r>
        <w:t>,</w:t>
      </w:r>
      <w:r w:rsidR="00C64050">
        <w:t xml:space="preserve"> </w:t>
      </w:r>
      <w:r>
        <w:t>T.C.</w:t>
      </w:r>
      <w:r w:rsidR="00C64050">
        <w:t xml:space="preserve"> </w:t>
      </w:r>
      <w:r>
        <w:t>Memo.</w:t>
      </w:r>
      <w:r w:rsidR="00C64050">
        <w:t xml:space="preserve"> </w:t>
      </w:r>
      <w:r>
        <w:t>2020-40,</w:t>
      </w:r>
      <w:r w:rsidR="00C64050">
        <w:t xml:space="preserve"> </w:t>
      </w:r>
      <w:r>
        <w:t>is</w:t>
      </w:r>
      <w:r w:rsidR="00C64050">
        <w:t xml:space="preserve"> </w:t>
      </w:r>
      <w:r>
        <w:t>set</w:t>
      </w:r>
      <w:r w:rsidR="00C64050">
        <w:t xml:space="preserve"> </w:t>
      </w:r>
      <w:r>
        <w:t>out</w:t>
      </w:r>
      <w:r w:rsidR="00C64050">
        <w:t xml:space="preserve"> </w:t>
      </w:r>
      <w:r>
        <w:t>by</w:t>
      </w:r>
      <w:r w:rsidR="00C64050">
        <w:t xml:space="preserve"> </w:t>
      </w:r>
      <w:r w:rsidR="008929C5">
        <w:t>Judge</w:t>
      </w:r>
      <w:r w:rsidR="00C64050">
        <w:t xml:space="preserve"> </w:t>
      </w:r>
      <w:r w:rsidR="008929C5">
        <w:t>Holmes</w:t>
      </w:r>
      <w:r w:rsidR="00C64050">
        <w:t xml:space="preserve"> </w:t>
      </w:r>
      <w:r w:rsidR="008929C5">
        <w:t>of</w:t>
      </w:r>
      <w:r w:rsidR="00C64050">
        <w:t xml:space="preserve"> </w:t>
      </w:r>
      <w:r w:rsidR="008929C5">
        <w:t>the</w:t>
      </w:r>
      <w:r w:rsidR="00C64050">
        <w:t xml:space="preserve"> </w:t>
      </w:r>
      <w:r w:rsidR="008929C5">
        <w:t>Tax</w:t>
      </w:r>
      <w:r w:rsidR="00C64050">
        <w:t xml:space="preserve"> </w:t>
      </w:r>
      <w:r w:rsidR="008929C5">
        <w:t>Court</w:t>
      </w:r>
      <w:r w:rsidR="00C64050">
        <w:t xml:space="preserve"> </w:t>
      </w:r>
      <w:r>
        <w:t>as</w:t>
      </w:r>
      <w:r w:rsidR="00C64050">
        <w:t xml:space="preserve"> </w:t>
      </w:r>
      <w:r>
        <w:t>follows:</w:t>
      </w:r>
    </w:p>
    <w:p w:rsidR="00E87AD2" w:rsidRPr="00E87AD2" w:rsidRDefault="00E87AD2" w:rsidP="00E87AD2">
      <w:pPr>
        <w:pStyle w:val="QS10"/>
      </w:pPr>
      <w:r w:rsidRPr="00E87AD2">
        <w:t>Howard</w:t>
      </w:r>
      <w:r w:rsidR="00C64050">
        <w:t xml:space="preserve"> </w:t>
      </w:r>
      <w:r w:rsidRPr="00E87AD2">
        <w:t>Moore</w:t>
      </w:r>
      <w:r w:rsidR="00C64050">
        <w:t xml:space="preserve"> </w:t>
      </w:r>
      <w:r w:rsidRPr="00E87AD2">
        <w:t>was</w:t>
      </w:r>
      <w:r w:rsidR="00C64050">
        <w:t xml:space="preserve"> </w:t>
      </w:r>
      <w:r w:rsidRPr="00E87AD2">
        <w:t>born</w:t>
      </w:r>
      <w:r w:rsidR="00C64050">
        <w:t xml:space="preserve"> </w:t>
      </w:r>
      <w:r w:rsidRPr="00E87AD2">
        <w:t>into</w:t>
      </w:r>
      <w:r w:rsidR="00C64050">
        <w:t xml:space="preserve"> </w:t>
      </w:r>
      <w:r w:rsidRPr="00E87AD2">
        <w:t>rural</w:t>
      </w:r>
      <w:r w:rsidR="00C64050">
        <w:t xml:space="preserve"> </w:t>
      </w:r>
      <w:r w:rsidRPr="00E87AD2">
        <w:t>poverty</w:t>
      </w:r>
      <w:r w:rsidR="00C64050">
        <w:t xml:space="preserve"> </w:t>
      </w:r>
      <w:r w:rsidRPr="00E87AD2">
        <w:t>but</w:t>
      </w:r>
      <w:r w:rsidR="00C64050">
        <w:t xml:space="preserve"> </w:t>
      </w:r>
      <w:r w:rsidRPr="00E87AD2">
        <w:t>over</w:t>
      </w:r>
      <w:r w:rsidR="00C64050">
        <w:t xml:space="preserve"> </w:t>
      </w:r>
      <w:r w:rsidRPr="00E87AD2">
        <w:t>a</w:t>
      </w:r>
      <w:r w:rsidR="00C64050">
        <w:t xml:space="preserve"> </w:t>
      </w:r>
      <w:r w:rsidRPr="00E87AD2">
        <w:t>long</w:t>
      </w:r>
      <w:r w:rsidR="00C64050">
        <w:t xml:space="preserve"> </w:t>
      </w:r>
      <w:r w:rsidRPr="00E87AD2">
        <w:t>life</w:t>
      </w:r>
      <w:r w:rsidR="00C64050">
        <w:t xml:space="preserve"> </w:t>
      </w:r>
      <w:r w:rsidRPr="00E87AD2">
        <w:t>built</w:t>
      </w:r>
      <w:r w:rsidR="00C64050">
        <w:t xml:space="preserve"> </w:t>
      </w:r>
      <w:r w:rsidRPr="00E87AD2">
        <w:t>a</w:t>
      </w:r>
      <w:r w:rsidR="00C64050">
        <w:t xml:space="preserve"> </w:t>
      </w:r>
      <w:r w:rsidRPr="00E87AD2">
        <w:t>thriving</w:t>
      </w:r>
      <w:r w:rsidR="00C64050">
        <w:t xml:space="preserve"> </w:t>
      </w:r>
      <w:r w:rsidRPr="00E87AD2">
        <w:t>and</w:t>
      </w:r>
      <w:r w:rsidR="00C64050">
        <w:t xml:space="preserve"> </w:t>
      </w:r>
      <w:r w:rsidRPr="00E87AD2">
        <w:t>very</w:t>
      </w:r>
      <w:r w:rsidR="00C64050">
        <w:t xml:space="preserve"> </w:t>
      </w:r>
      <w:r w:rsidRPr="00E87AD2">
        <w:t>lucrative</w:t>
      </w:r>
      <w:r w:rsidR="00C64050">
        <w:t xml:space="preserve"> </w:t>
      </w:r>
      <w:r w:rsidRPr="00E87AD2">
        <w:t>farm</w:t>
      </w:r>
      <w:r w:rsidR="00C64050">
        <w:t xml:space="preserve"> </w:t>
      </w:r>
      <w:r w:rsidRPr="00E87AD2">
        <w:t>in</w:t>
      </w:r>
      <w:r w:rsidR="00C64050">
        <w:t xml:space="preserve"> </w:t>
      </w:r>
      <w:r w:rsidRPr="00E87AD2">
        <w:t>Arizona.</w:t>
      </w:r>
      <w:r w:rsidR="00C64050">
        <w:t xml:space="preserve"> </w:t>
      </w:r>
      <w:r w:rsidRPr="00E87AD2">
        <w:t>In</w:t>
      </w:r>
      <w:r w:rsidR="00C64050">
        <w:t xml:space="preserve"> </w:t>
      </w:r>
      <w:r w:rsidRPr="00E87AD2">
        <w:t>September</w:t>
      </w:r>
      <w:r w:rsidR="00C64050">
        <w:t xml:space="preserve"> </w:t>
      </w:r>
      <w:r w:rsidRPr="00E87AD2">
        <w:t>2004</w:t>
      </w:r>
      <w:r w:rsidR="00C64050">
        <w:t xml:space="preserve"> </w:t>
      </w:r>
      <w:r w:rsidRPr="00E87AD2">
        <w:t>he</w:t>
      </w:r>
      <w:r w:rsidR="00C64050">
        <w:t xml:space="preserve"> </w:t>
      </w:r>
      <w:r w:rsidRPr="00E87AD2">
        <w:t>began</w:t>
      </w:r>
      <w:r w:rsidR="00C64050">
        <w:t xml:space="preserve"> </w:t>
      </w:r>
      <w:r w:rsidRPr="00E87AD2">
        <w:t>negotiating</w:t>
      </w:r>
      <w:r w:rsidR="00C64050">
        <w:t xml:space="preserve"> </w:t>
      </w:r>
      <w:r w:rsidRPr="00E87AD2">
        <w:t>its</w:t>
      </w:r>
      <w:r w:rsidR="00C64050">
        <w:t xml:space="preserve"> </w:t>
      </w:r>
      <w:r w:rsidRPr="00E87AD2">
        <w:t>sale,</w:t>
      </w:r>
      <w:r w:rsidR="00C64050">
        <w:t xml:space="preserve"> </w:t>
      </w:r>
      <w:r w:rsidRPr="00E87AD2">
        <w:t>but</w:t>
      </w:r>
      <w:r w:rsidR="00C64050">
        <w:t xml:space="preserve"> </w:t>
      </w:r>
      <w:r w:rsidRPr="00E87AD2">
        <w:t>his</w:t>
      </w:r>
      <w:r w:rsidR="00C64050">
        <w:t xml:space="preserve"> </w:t>
      </w:r>
      <w:r w:rsidRPr="00E87AD2">
        <w:t>health</w:t>
      </w:r>
      <w:r w:rsidR="00C64050">
        <w:t xml:space="preserve"> </w:t>
      </w:r>
      <w:r w:rsidRPr="00E87AD2">
        <w:t>went</w:t>
      </w:r>
      <w:r w:rsidR="00C64050">
        <w:t xml:space="preserve"> </w:t>
      </w:r>
      <w:r w:rsidRPr="00E87AD2">
        <w:t>bad.</w:t>
      </w:r>
      <w:r w:rsidR="00C64050">
        <w:t xml:space="preserve"> </w:t>
      </w:r>
      <w:r w:rsidRPr="00E87AD2">
        <w:t>He</w:t>
      </w:r>
      <w:r w:rsidR="00C64050">
        <w:t xml:space="preserve"> </w:t>
      </w:r>
      <w:r w:rsidRPr="00E87AD2">
        <w:t>was</w:t>
      </w:r>
      <w:r w:rsidR="00C64050">
        <w:t xml:space="preserve"> </w:t>
      </w:r>
      <w:r w:rsidRPr="00E87AD2">
        <w:t>released</w:t>
      </w:r>
      <w:r w:rsidR="00C64050">
        <w:t xml:space="preserve"> </w:t>
      </w:r>
      <w:r w:rsidRPr="00E87AD2">
        <w:t>from</w:t>
      </w:r>
      <w:r w:rsidR="00C64050">
        <w:t xml:space="preserve"> </w:t>
      </w:r>
      <w:r w:rsidRPr="00E87AD2">
        <w:t>the</w:t>
      </w:r>
      <w:r w:rsidR="00C64050">
        <w:t xml:space="preserve"> </w:t>
      </w:r>
      <w:r w:rsidRPr="00E87AD2">
        <w:t>hospital</w:t>
      </w:r>
      <w:r w:rsidR="00C64050">
        <w:t xml:space="preserve"> </w:t>
      </w:r>
      <w:r w:rsidRPr="00E87AD2">
        <w:t>and</w:t>
      </w:r>
      <w:r w:rsidR="00C64050">
        <w:t xml:space="preserve"> </w:t>
      </w:r>
      <w:r w:rsidRPr="00E87AD2">
        <w:t>entered</w:t>
      </w:r>
      <w:r w:rsidR="00C64050">
        <w:t xml:space="preserve"> </w:t>
      </w:r>
      <w:r w:rsidRPr="00E87AD2">
        <w:t>hospice</w:t>
      </w:r>
      <w:r w:rsidR="00C64050">
        <w:t xml:space="preserve"> </w:t>
      </w:r>
      <w:r w:rsidRPr="00E87AD2">
        <w:t>care</w:t>
      </w:r>
      <w:r w:rsidR="00C64050">
        <w:t xml:space="preserve"> </w:t>
      </w:r>
      <w:r w:rsidRPr="00E87AD2">
        <w:t>by</w:t>
      </w:r>
      <w:r w:rsidR="00C64050">
        <w:t xml:space="preserve"> </w:t>
      </w:r>
      <w:r w:rsidRPr="00E87AD2">
        <w:t>the</w:t>
      </w:r>
      <w:r w:rsidR="00C64050">
        <w:t xml:space="preserve"> </w:t>
      </w:r>
      <w:r w:rsidRPr="00E87AD2">
        <w:t>end</w:t>
      </w:r>
      <w:r w:rsidR="00C64050">
        <w:t xml:space="preserve"> </w:t>
      </w:r>
      <w:r w:rsidRPr="00E87AD2">
        <w:t>of</w:t>
      </w:r>
      <w:r w:rsidR="00C64050">
        <w:t xml:space="preserve"> </w:t>
      </w:r>
      <w:r w:rsidRPr="00E87AD2">
        <w:t>that</w:t>
      </w:r>
      <w:r w:rsidR="00C64050">
        <w:t xml:space="preserve"> </w:t>
      </w:r>
      <w:r w:rsidRPr="00E87AD2">
        <w:t>year.</w:t>
      </w:r>
    </w:p>
    <w:p w:rsidR="00E87AD2" w:rsidRPr="00E87AD2" w:rsidRDefault="00E87AD2" w:rsidP="00E87AD2">
      <w:pPr>
        <w:pStyle w:val="QS10"/>
      </w:pPr>
      <w:r w:rsidRPr="00E87AD2">
        <w:t>Then</w:t>
      </w:r>
      <w:r w:rsidR="00C64050">
        <w:t xml:space="preserve"> </w:t>
      </w:r>
      <w:r w:rsidRPr="00E87AD2">
        <w:t>he</w:t>
      </w:r>
      <w:r w:rsidR="00C64050">
        <w:t xml:space="preserve"> </w:t>
      </w:r>
      <w:r w:rsidRPr="00E87AD2">
        <w:t>began</w:t>
      </w:r>
      <w:r w:rsidR="00C64050">
        <w:t xml:space="preserve"> </w:t>
      </w:r>
      <w:r w:rsidRPr="00E87AD2">
        <w:t>to</w:t>
      </w:r>
      <w:r w:rsidR="00C64050">
        <w:t xml:space="preserve"> </w:t>
      </w:r>
      <w:r w:rsidRPr="00E87AD2">
        <w:t>plan</w:t>
      </w:r>
      <w:r w:rsidR="00C64050">
        <w:t xml:space="preserve"> </w:t>
      </w:r>
      <w:r w:rsidRPr="00E87AD2">
        <w:t>his</w:t>
      </w:r>
      <w:r w:rsidR="00C64050">
        <w:t xml:space="preserve"> </w:t>
      </w:r>
      <w:r w:rsidRPr="00E87AD2">
        <w:t>estate.</w:t>
      </w:r>
    </w:p>
    <w:p w:rsidR="00E87AD2" w:rsidRPr="00E87AD2" w:rsidRDefault="00E87AD2" w:rsidP="00E87AD2">
      <w:pPr>
        <w:pStyle w:val="QS10"/>
      </w:pPr>
      <w:r w:rsidRPr="00E87AD2">
        <w:t>What</w:t>
      </w:r>
      <w:r w:rsidR="00C64050">
        <w:t xml:space="preserve"> </w:t>
      </w:r>
      <w:r w:rsidRPr="00E87AD2">
        <w:t>his</w:t>
      </w:r>
      <w:r w:rsidR="00C64050">
        <w:t xml:space="preserve"> </w:t>
      </w:r>
      <w:r w:rsidRPr="00E87AD2">
        <w:t>lawyer</w:t>
      </w:r>
      <w:r w:rsidR="00C64050">
        <w:t xml:space="preserve"> </w:t>
      </w:r>
      <w:r w:rsidRPr="00E87AD2">
        <w:t>came</w:t>
      </w:r>
      <w:r w:rsidR="00C64050">
        <w:t xml:space="preserve"> </w:t>
      </w:r>
      <w:r w:rsidRPr="00E87AD2">
        <w:t>up</w:t>
      </w:r>
      <w:r w:rsidR="00C64050">
        <w:t xml:space="preserve"> </w:t>
      </w:r>
      <w:r w:rsidRPr="00E87AD2">
        <w:t>with</w:t>
      </w:r>
      <w:r w:rsidR="00C64050">
        <w:t xml:space="preserve"> </w:t>
      </w:r>
      <w:r w:rsidRPr="00E87AD2">
        <w:t>was</w:t>
      </w:r>
      <w:r w:rsidR="00C64050">
        <w:t xml:space="preserve"> </w:t>
      </w:r>
      <w:r w:rsidRPr="00E87AD2">
        <w:t>quite</w:t>
      </w:r>
      <w:r w:rsidR="00C64050">
        <w:t xml:space="preserve"> </w:t>
      </w:r>
      <w:r w:rsidRPr="00E87AD2">
        <w:t>complex--a</w:t>
      </w:r>
      <w:r w:rsidR="00C64050">
        <w:t xml:space="preserve"> </w:t>
      </w:r>
      <w:r w:rsidRPr="00E87AD2">
        <w:t>combination</w:t>
      </w:r>
      <w:r w:rsidR="00C64050">
        <w:t xml:space="preserve"> </w:t>
      </w:r>
      <w:r w:rsidRPr="00E87AD2">
        <w:t>of</w:t>
      </w:r>
      <w:r w:rsidR="00C64050">
        <w:t xml:space="preserve"> </w:t>
      </w:r>
      <w:r w:rsidRPr="00E87AD2">
        <w:t>five</w:t>
      </w:r>
      <w:r w:rsidR="00C64050">
        <w:t xml:space="preserve"> </w:t>
      </w:r>
      <w:r w:rsidRPr="00E87AD2">
        <w:t>trusts</w:t>
      </w:r>
      <w:r w:rsidR="00C64050">
        <w:t xml:space="preserve"> </w:t>
      </w:r>
      <w:r w:rsidRPr="00E87AD2">
        <w:t>and</w:t>
      </w:r>
      <w:r w:rsidR="00C64050">
        <w:t xml:space="preserve"> </w:t>
      </w:r>
      <w:r w:rsidRPr="00E87AD2">
        <w:t>a</w:t>
      </w:r>
      <w:r w:rsidR="00C64050">
        <w:t xml:space="preserve"> </w:t>
      </w:r>
      <w:r w:rsidRPr="00E87AD2">
        <w:t>partnership--and</w:t>
      </w:r>
      <w:r w:rsidR="00C64050">
        <w:t xml:space="preserve"> </w:t>
      </w:r>
      <w:r w:rsidRPr="00E87AD2">
        <w:t>it</w:t>
      </w:r>
      <w:r w:rsidR="00C64050">
        <w:t xml:space="preserve"> </w:t>
      </w:r>
      <w:r w:rsidRPr="00E87AD2">
        <w:t>required</w:t>
      </w:r>
      <w:r w:rsidR="00C64050">
        <w:t xml:space="preserve"> </w:t>
      </w:r>
      <w:r w:rsidRPr="00E87AD2">
        <w:t>him</w:t>
      </w:r>
      <w:r w:rsidR="00C64050">
        <w:t xml:space="preserve"> </w:t>
      </w:r>
      <w:r w:rsidRPr="00E87AD2">
        <w:t>to</w:t>
      </w:r>
      <w:r w:rsidR="00C64050">
        <w:t xml:space="preserve"> </w:t>
      </w:r>
      <w:r w:rsidRPr="00E87AD2">
        <w:t>contribute</w:t>
      </w:r>
      <w:r w:rsidR="00C64050">
        <w:t xml:space="preserve"> </w:t>
      </w:r>
      <w:r w:rsidRPr="00E87AD2">
        <w:t>most</w:t>
      </w:r>
      <w:r w:rsidR="00C64050">
        <w:t xml:space="preserve"> </w:t>
      </w:r>
      <w:r w:rsidRPr="00E87AD2">
        <w:t>of</w:t>
      </w:r>
      <w:r w:rsidR="00C64050">
        <w:t xml:space="preserve"> </w:t>
      </w:r>
      <w:r w:rsidRPr="00E87AD2">
        <w:t>his</w:t>
      </w:r>
      <w:r w:rsidR="00C64050">
        <w:t xml:space="preserve"> </w:t>
      </w:r>
      <w:r w:rsidRPr="00E87AD2">
        <w:t>farm</w:t>
      </w:r>
      <w:r w:rsidR="00C64050">
        <w:t xml:space="preserve"> </w:t>
      </w:r>
      <w:r w:rsidRPr="00E87AD2">
        <w:t>to</w:t>
      </w:r>
      <w:r w:rsidR="00C64050">
        <w:t xml:space="preserve"> </w:t>
      </w:r>
      <w:r w:rsidRPr="00E87AD2">
        <w:t>the</w:t>
      </w:r>
      <w:r w:rsidR="00C64050">
        <w:t xml:space="preserve"> </w:t>
      </w:r>
      <w:r w:rsidRPr="00E87AD2">
        <w:t>partnership.</w:t>
      </w:r>
      <w:r w:rsidR="00C64050">
        <w:t xml:space="preserve"> </w:t>
      </w:r>
      <w:r w:rsidRPr="00E87AD2">
        <w:t>His</w:t>
      </w:r>
      <w:r w:rsidR="00C64050">
        <w:t xml:space="preserve"> </w:t>
      </w:r>
      <w:r w:rsidRPr="00E87AD2">
        <w:t>stated</w:t>
      </w:r>
      <w:r w:rsidR="00C64050">
        <w:t xml:space="preserve"> </w:t>
      </w:r>
      <w:r w:rsidRPr="00E87AD2">
        <w:t>reason</w:t>
      </w:r>
      <w:r w:rsidR="00C64050">
        <w:t xml:space="preserve"> </w:t>
      </w:r>
      <w:r w:rsidRPr="00E87AD2">
        <w:t>was</w:t>
      </w:r>
      <w:r w:rsidR="00C64050">
        <w:t xml:space="preserve"> </w:t>
      </w:r>
      <w:r w:rsidRPr="00E87AD2">
        <w:t>to</w:t>
      </w:r>
      <w:r w:rsidR="00C64050">
        <w:t xml:space="preserve"> </w:t>
      </w:r>
      <w:r w:rsidRPr="00E87AD2">
        <w:t>protect</w:t>
      </w:r>
      <w:r w:rsidR="00C64050">
        <w:t xml:space="preserve"> </w:t>
      </w:r>
      <w:r w:rsidRPr="00E87AD2">
        <w:t>the</w:t>
      </w:r>
      <w:r w:rsidR="00C64050">
        <w:t xml:space="preserve"> </w:t>
      </w:r>
      <w:r w:rsidRPr="00E87AD2">
        <w:t>farm</w:t>
      </w:r>
      <w:r w:rsidR="00C64050">
        <w:t xml:space="preserve"> </w:t>
      </w:r>
      <w:r w:rsidRPr="00E87AD2">
        <w:t>from</w:t>
      </w:r>
      <w:r w:rsidR="00C64050">
        <w:t xml:space="preserve"> </w:t>
      </w:r>
      <w:r w:rsidRPr="00E87AD2">
        <w:t>various</w:t>
      </w:r>
      <w:r w:rsidR="00C64050">
        <w:t xml:space="preserve"> </w:t>
      </w:r>
      <w:r w:rsidRPr="00E87AD2">
        <w:t>business</w:t>
      </w:r>
      <w:r w:rsidR="00C64050">
        <w:t xml:space="preserve"> </w:t>
      </w:r>
      <w:r w:rsidRPr="00E87AD2">
        <w:t>risks</w:t>
      </w:r>
      <w:r w:rsidR="00C64050">
        <w:t xml:space="preserve"> </w:t>
      </w:r>
      <w:r w:rsidRPr="00E87AD2">
        <w:t>and</w:t>
      </w:r>
      <w:r w:rsidR="00C64050">
        <w:t xml:space="preserve"> </w:t>
      </w:r>
      <w:r w:rsidRPr="00E87AD2">
        <w:t>bring</w:t>
      </w:r>
      <w:r w:rsidR="00C64050">
        <w:t xml:space="preserve"> </w:t>
      </w:r>
      <w:r w:rsidRPr="00E87AD2">
        <w:t>his</w:t>
      </w:r>
      <w:r w:rsidR="00C64050">
        <w:t xml:space="preserve"> </w:t>
      </w:r>
      <w:r w:rsidRPr="00E87AD2">
        <w:t>sometimes</w:t>
      </w:r>
      <w:r w:rsidR="00C64050">
        <w:t xml:space="preserve"> </w:t>
      </w:r>
      <w:r w:rsidRPr="00E87AD2">
        <w:t>fractious</w:t>
      </w:r>
      <w:r w:rsidR="00C64050">
        <w:t xml:space="preserve"> </w:t>
      </w:r>
      <w:r w:rsidRPr="00E87AD2">
        <w:t>family</w:t>
      </w:r>
      <w:r w:rsidR="00C64050">
        <w:t xml:space="preserve"> </w:t>
      </w:r>
      <w:r w:rsidRPr="00E87AD2">
        <w:t>together</w:t>
      </w:r>
      <w:r w:rsidR="00C64050">
        <w:t xml:space="preserve"> </w:t>
      </w:r>
      <w:r w:rsidRPr="00E87AD2">
        <w:t>to</w:t>
      </w:r>
      <w:r w:rsidR="00C64050">
        <w:t xml:space="preserve"> </w:t>
      </w:r>
      <w:r w:rsidRPr="00E87AD2">
        <w:t>learn</w:t>
      </w:r>
      <w:r w:rsidR="00C64050">
        <w:t xml:space="preserve"> </w:t>
      </w:r>
      <w:r w:rsidRPr="00E87AD2">
        <w:t>to</w:t>
      </w:r>
      <w:r w:rsidR="00C64050">
        <w:t xml:space="preserve"> </w:t>
      </w:r>
      <w:r w:rsidRPr="00E87AD2">
        <w:t>manage</w:t>
      </w:r>
      <w:r w:rsidR="00C64050">
        <w:t xml:space="preserve"> </w:t>
      </w:r>
      <w:r w:rsidRPr="00E87AD2">
        <w:t>the</w:t>
      </w:r>
      <w:r w:rsidR="00C64050">
        <w:t xml:space="preserve"> </w:t>
      </w:r>
      <w:r w:rsidRPr="00E87AD2">
        <w:t>business</w:t>
      </w:r>
      <w:r w:rsidR="00C64050">
        <w:t xml:space="preserve"> </w:t>
      </w:r>
      <w:r w:rsidRPr="00E87AD2">
        <w:t>without</w:t>
      </w:r>
      <w:r w:rsidR="00C64050">
        <w:t xml:space="preserve"> </w:t>
      </w:r>
      <w:r w:rsidRPr="00E87AD2">
        <w:t>him.</w:t>
      </w:r>
      <w:r w:rsidR="00C64050">
        <w:t xml:space="preserve"> </w:t>
      </w:r>
      <w:r w:rsidRPr="00E87AD2">
        <w:t>But</w:t>
      </w:r>
      <w:r w:rsidR="00C64050">
        <w:t xml:space="preserve"> </w:t>
      </w:r>
      <w:r w:rsidRPr="00E87AD2">
        <w:t>five</w:t>
      </w:r>
      <w:r w:rsidR="00C64050">
        <w:t xml:space="preserve"> </w:t>
      </w:r>
      <w:r w:rsidRPr="00E87AD2">
        <w:t>days</w:t>
      </w:r>
      <w:r w:rsidR="00C64050">
        <w:t xml:space="preserve"> </w:t>
      </w:r>
      <w:r w:rsidRPr="00E87AD2">
        <w:t>after</w:t>
      </w:r>
      <w:r w:rsidR="00C64050">
        <w:t xml:space="preserve"> </w:t>
      </w:r>
      <w:r w:rsidRPr="00E87AD2">
        <w:t>the</w:t>
      </w:r>
      <w:r w:rsidR="00C64050">
        <w:t xml:space="preserve"> </w:t>
      </w:r>
      <w:r w:rsidRPr="00E87AD2">
        <w:t>partnership</w:t>
      </w:r>
      <w:r w:rsidR="00C64050">
        <w:t xml:space="preserve"> </w:t>
      </w:r>
      <w:r w:rsidRPr="00E87AD2">
        <w:t>received</w:t>
      </w:r>
      <w:r w:rsidR="00C64050">
        <w:t xml:space="preserve"> </w:t>
      </w:r>
      <w:r w:rsidRPr="00E87AD2">
        <w:t>part</w:t>
      </w:r>
      <w:r w:rsidR="00C64050">
        <w:t xml:space="preserve"> </w:t>
      </w:r>
      <w:r w:rsidRPr="00E87AD2">
        <w:t>ownership</w:t>
      </w:r>
      <w:r w:rsidR="00C64050">
        <w:t xml:space="preserve"> </w:t>
      </w:r>
      <w:r w:rsidRPr="00E87AD2">
        <w:t>of</w:t>
      </w:r>
      <w:r w:rsidR="00C64050">
        <w:t xml:space="preserve"> </w:t>
      </w:r>
      <w:r w:rsidRPr="00E87AD2">
        <w:t>the</w:t>
      </w:r>
      <w:r w:rsidR="00C64050">
        <w:t xml:space="preserve"> </w:t>
      </w:r>
      <w:r w:rsidRPr="00E87AD2">
        <w:t>farm,</w:t>
      </w:r>
      <w:r w:rsidR="00C64050">
        <w:t xml:space="preserve"> </w:t>
      </w:r>
      <w:r w:rsidRPr="00E87AD2">
        <w:t>Moore</w:t>
      </w:r>
      <w:r w:rsidR="00C64050">
        <w:t xml:space="preserve"> </w:t>
      </w:r>
      <w:r w:rsidRPr="00E87AD2">
        <w:t>sold</w:t>
      </w:r>
      <w:r w:rsidR="00C64050">
        <w:t xml:space="preserve"> </w:t>
      </w:r>
      <w:r w:rsidRPr="00E87AD2">
        <w:t>it.</w:t>
      </w:r>
      <w:r w:rsidR="00C64050">
        <w:t xml:space="preserve"> </w:t>
      </w:r>
      <w:r w:rsidRPr="00E87AD2">
        <w:t>And</w:t>
      </w:r>
      <w:r w:rsidR="00C64050">
        <w:t xml:space="preserve"> </w:t>
      </w:r>
      <w:r w:rsidRPr="00E87AD2">
        <w:t>even</w:t>
      </w:r>
      <w:r w:rsidR="00C64050">
        <w:t xml:space="preserve"> </w:t>
      </w:r>
      <w:r w:rsidRPr="00E87AD2">
        <w:t>after</w:t>
      </w:r>
      <w:r w:rsidR="00C64050">
        <w:t xml:space="preserve"> </w:t>
      </w:r>
      <w:r w:rsidRPr="00E87AD2">
        <w:t>the</w:t>
      </w:r>
      <w:r w:rsidR="00C64050">
        <w:t xml:space="preserve"> </w:t>
      </w:r>
      <w:r w:rsidRPr="00E87AD2">
        <w:t>sale,</w:t>
      </w:r>
      <w:r w:rsidR="00C64050">
        <w:t xml:space="preserve"> </w:t>
      </w:r>
      <w:r w:rsidRPr="00E87AD2">
        <w:t>Moore</w:t>
      </w:r>
      <w:r w:rsidR="00C64050">
        <w:t xml:space="preserve"> </w:t>
      </w:r>
      <w:r w:rsidRPr="00E87AD2">
        <w:t>stayed</w:t>
      </w:r>
      <w:r w:rsidR="00C64050">
        <w:t xml:space="preserve"> </w:t>
      </w:r>
      <w:r w:rsidRPr="00E87AD2">
        <w:t>on</w:t>
      </w:r>
      <w:r w:rsidR="00C64050">
        <w:t xml:space="preserve"> </w:t>
      </w:r>
      <w:r w:rsidRPr="00E87AD2">
        <w:t>the</w:t>
      </w:r>
      <w:r w:rsidR="00C64050">
        <w:t xml:space="preserve"> </w:t>
      </w:r>
      <w:r w:rsidRPr="00E87AD2">
        <w:t>farm</w:t>
      </w:r>
      <w:r w:rsidR="00C64050">
        <w:t xml:space="preserve"> </w:t>
      </w:r>
      <w:r w:rsidRPr="00E87AD2">
        <w:t>and</w:t>
      </w:r>
      <w:r w:rsidR="00C64050">
        <w:t xml:space="preserve"> </w:t>
      </w:r>
      <w:r w:rsidRPr="00E87AD2">
        <w:t>directed</w:t>
      </w:r>
      <w:r w:rsidR="00C64050">
        <w:t xml:space="preserve"> </w:t>
      </w:r>
      <w:r w:rsidRPr="00E87AD2">
        <w:t>its</w:t>
      </w:r>
      <w:r w:rsidR="00C64050">
        <w:t xml:space="preserve"> </w:t>
      </w:r>
      <w:r w:rsidRPr="00E87AD2">
        <w:t>operations</w:t>
      </w:r>
      <w:r w:rsidR="00C64050">
        <w:t xml:space="preserve"> </w:t>
      </w:r>
      <w:r w:rsidRPr="00E87AD2">
        <w:t>until</w:t>
      </w:r>
      <w:r w:rsidR="00C64050">
        <w:t xml:space="preserve"> </w:t>
      </w:r>
      <w:r w:rsidRPr="00E87AD2">
        <w:t>he</w:t>
      </w:r>
      <w:r w:rsidR="00C64050">
        <w:t xml:space="preserve"> </w:t>
      </w:r>
      <w:r w:rsidRPr="00E87AD2">
        <w:t>died.</w:t>
      </w:r>
    </w:p>
    <w:p w:rsidR="00E87AD2" w:rsidRPr="00E87AD2" w:rsidRDefault="00E87AD2" w:rsidP="00E87AD2">
      <w:pPr>
        <w:pStyle w:val="QS10"/>
      </w:pPr>
      <w:r w:rsidRPr="00E87AD2">
        <w:t>The</w:t>
      </w:r>
      <w:r w:rsidR="00C64050">
        <w:t xml:space="preserve"> </w:t>
      </w:r>
      <w:r w:rsidRPr="00E87AD2">
        <w:t>key</w:t>
      </w:r>
      <w:r w:rsidR="00C64050">
        <w:t xml:space="preserve"> </w:t>
      </w:r>
      <w:r w:rsidRPr="00E87AD2">
        <w:t>question</w:t>
      </w:r>
      <w:r w:rsidR="00C64050">
        <w:t xml:space="preserve"> </w:t>
      </w:r>
      <w:r w:rsidRPr="00E87AD2">
        <w:t>we</w:t>
      </w:r>
      <w:r w:rsidR="00C64050">
        <w:t xml:space="preserve"> </w:t>
      </w:r>
      <w:r w:rsidRPr="00E87AD2">
        <w:t>have</w:t>
      </w:r>
      <w:r w:rsidR="00C64050">
        <w:t xml:space="preserve"> </w:t>
      </w:r>
      <w:r w:rsidRPr="00E87AD2">
        <w:t>to</w:t>
      </w:r>
      <w:r w:rsidR="00C64050">
        <w:t xml:space="preserve"> </w:t>
      </w:r>
      <w:r w:rsidRPr="00E87AD2">
        <w:t>answer</w:t>
      </w:r>
      <w:r w:rsidR="00C64050">
        <w:t xml:space="preserve"> </w:t>
      </w:r>
      <w:r w:rsidRPr="00E87AD2">
        <w:t>is</w:t>
      </w:r>
      <w:r w:rsidR="00C64050">
        <w:t xml:space="preserve"> </w:t>
      </w:r>
      <w:r w:rsidRPr="00E87AD2">
        <w:t>whether</w:t>
      </w:r>
      <w:r w:rsidR="00C64050">
        <w:t xml:space="preserve"> </w:t>
      </w:r>
      <w:r w:rsidRPr="00E87AD2">
        <w:t>Moore’s</w:t>
      </w:r>
      <w:r w:rsidR="00C64050">
        <w:t xml:space="preserve"> </w:t>
      </w:r>
      <w:r w:rsidRPr="00E87AD2">
        <w:t>plan</w:t>
      </w:r>
      <w:r w:rsidR="00C64050">
        <w:t xml:space="preserve"> </w:t>
      </w:r>
      <w:r w:rsidRPr="00E87AD2">
        <w:t>works</w:t>
      </w:r>
      <w:r w:rsidR="00C64050">
        <w:t xml:space="preserve"> </w:t>
      </w:r>
      <w:r w:rsidRPr="00E87AD2">
        <w:t>to</w:t>
      </w:r>
      <w:r w:rsidR="00C64050">
        <w:t xml:space="preserve"> </w:t>
      </w:r>
      <w:r w:rsidRPr="00E87AD2">
        <w:t>reduce</w:t>
      </w:r>
      <w:r w:rsidR="00C64050">
        <w:t xml:space="preserve"> </w:t>
      </w:r>
      <w:r w:rsidRPr="00E87AD2">
        <w:t>the</w:t>
      </w:r>
      <w:r w:rsidR="00C64050">
        <w:t xml:space="preserve"> </w:t>
      </w:r>
      <w:r w:rsidRPr="00E87AD2">
        <w:t>size</w:t>
      </w:r>
      <w:r w:rsidR="00C64050">
        <w:t xml:space="preserve"> </w:t>
      </w:r>
      <w:r w:rsidRPr="00E87AD2">
        <w:t>of</w:t>
      </w:r>
      <w:r w:rsidR="00C64050">
        <w:t xml:space="preserve"> </w:t>
      </w:r>
      <w:r w:rsidRPr="00E87AD2">
        <w:t>his</w:t>
      </w:r>
      <w:r w:rsidR="00C64050">
        <w:t xml:space="preserve"> </w:t>
      </w:r>
      <w:r w:rsidRPr="00E87AD2">
        <w:t>taxable</w:t>
      </w:r>
      <w:r w:rsidR="00C64050">
        <w:t xml:space="preserve"> </w:t>
      </w:r>
      <w:r w:rsidRPr="00E87AD2">
        <w:t>estate.</w:t>
      </w:r>
      <w:r w:rsidR="00C64050">
        <w:t xml:space="preserve"> </w:t>
      </w:r>
      <w:r w:rsidRPr="00E87AD2">
        <w:t>We</w:t>
      </w:r>
      <w:r w:rsidR="00C64050">
        <w:t xml:space="preserve"> </w:t>
      </w:r>
      <w:r w:rsidRPr="00E87AD2">
        <w:t>also</w:t>
      </w:r>
      <w:r w:rsidR="00C64050">
        <w:t xml:space="preserve"> </w:t>
      </w:r>
      <w:r w:rsidRPr="00E87AD2">
        <w:t>have</w:t>
      </w:r>
      <w:r w:rsidR="00C64050">
        <w:t xml:space="preserve"> </w:t>
      </w:r>
      <w:r w:rsidRPr="00E87AD2">
        <w:t>to</w:t>
      </w:r>
      <w:r w:rsidR="00C64050">
        <w:t xml:space="preserve"> </w:t>
      </w:r>
      <w:r w:rsidRPr="00E87AD2">
        <w:t>figure</w:t>
      </w:r>
      <w:r w:rsidR="00C64050">
        <w:t xml:space="preserve"> </w:t>
      </w:r>
      <w:r w:rsidRPr="00E87AD2">
        <w:t>out</w:t>
      </w:r>
      <w:r w:rsidR="00C64050">
        <w:t xml:space="preserve"> </w:t>
      </w:r>
      <w:r w:rsidRPr="00E87AD2">
        <w:t>whether</w:t>
      </w:r>
      <w:r w:rsidR="00C64050">
        <w:t xml:space="preserve"> </w:t>
      </w:r>
      <w:r w:rsidRPr="00E87AD2">
        <w:t>Moore’s</w:t>
      </w:r>
      <w:r w:rsidR="00C64050">
        <w:t xml:space="preserve"> </w:t>
      </w:r>
      <w:r w:rsidRPr="00E87AD2">
        <w:t>efforts</w:t>
      </w:r>
      <w:r w:rsidR="00C64050">
        <w:t xml:space="preserve"> </w:t>
      </w:r>
      <w:r w:rsidRPr="00E87AD2">
        <w:t>to</w:t>
      </w:r>
      <w:r w:rsidR="00C64050">
        <w:t xml:space="preserve"> </w:t>
      </w:r>
      <w:r w:rsidRPr="00E87AD2">
        <w:t>reduce</w:t>
      </w:r>
      <w:r w:rsidR="00C64050">
        <w:t xml:space="preserve"> </w:t>
      </w:r>
      <w:r w:rsidRPr="00E87AD2">
        <w:t>the</w:t>
      </w:r>
      <w:r w:rsidR="00C64050">
        <w:t xml:space="preserve"> </w:t>
      </w:r>
      <w:r w:rsidRPr="00E87AD2">
        <w:t>size</w:t>
      </w:r>
      <w:r w:rsidR="00C64050">
        <w:t xml:space="preserve"> </w:t>
      </w:r>
      <w:r w:rsidRPr="00E87AD2">
        <w:t>of</w:t>
      </w:r>
      <w:r w:rsidR="00C64050">
        <w:t xml:space="preserve"> </w:t>
      </w:r>
      <w:r w:rsidRPr="00E87AD2">
        <w:t>his</w:t>
      </w:r>
      <w:r w:rsidR="00C64050">
        <w:t xml:space="preserve"> </w:t>
      </w:r>
      <w:r w:rsidRPr="00E87AD2">
        <w:t>taxable</w:t>
      </w:r>
      <w:r w:rsidR="00C64050">
        <w:t xml:space="preserve"> </w:t>
      </w:r>
      <w:r w:rsidRPr="00E87AD2">
        <w:t>estate</w:t>
      </w:r>
      <w:r w:rsidR="00C64050">
        <w:t xml:space="preserve"> </w:t>
      </w:r>
      <w:r w:rsidRPr="00E87AD2">
        <w:t>resulted</w:t>
      </w:r>
      <w:r w:rsidR="00C64050">
        <w:t xml:space="preserve"> </w:t>
      </w:r>
      <w:r w:rsidRPr="00E87AD2">
        <w:t>in</w:t>
      </w:r>
      <w:r w:rsidR="00C64050">
        <w:t xml:space="preserve"> </w:t>
      </w:r>
      <w:r w:rsidRPr="00E87AD2">
        <w:t>taxable</w:t>
      </w:r>
      <w:r w:rsidR="00C64050">
        <w:t xml:space="preserve"> </w:t>
      </w:r>
      <w:r w:rsidRPr="00E87AD2">
        <w:t>gifts.</w:t>
      </w:r>
    </w:p>
    <w:p w:rsidR="004E4B24" w:rsidRDefault="004E4B24" w:rsidP="004E4B24">
      <w:pPr>
        <w:pStyle w:val="Body15"/>
      </w:pPr>
      <w:r>
        <w:t>In</w:t>
      </w:r>
      <w:r w:rsidR="00C64050">
        <w:t xml:space="preserve"> </w:t>
      </w:r>
      <w:r>
        <w:t>a</w:t>
      </w:r>
      <w:r w:rsidR="00C64050">
        <w:t xml:space="preserve"> </w:t>
      </w:r>
      <w:r>
        <w:t>nutshell,</w:t>
      </w:r>
      <w:r w:rsidR="00C64050">
        <w:t xml:space="preserve"> </w:t>
      </w:r>
      <w:r>
        <w:t>the</w:t>
      </w:r>
      <w:r w:rsidR="00C64050">
        <w:t xml:space="preserve"> </w:t>
      </w:r>
      <w:r>
        <w:t>court</w:t>
      </w:r>
      <w:r w:rsidR="00C64050">
        <w:t xml:space="preserve"> </w:t>
      </w:r>
      <w:r>
        <w:t>concluded</w:t>
      </w:r>
      <w:r w:rsidR="00C64050">
        <w:t xml:space="preserve"> </w:t>
      </w:r>
      <w:r>
        <w:t>that</w:t>
      </w:r>
      <w:r w:rsidR="00C64050">
        <w:t xml:space="preserve"> </w:t>
      </w:r>
      <w:r>
        <w:t>the</w:t>
      </w:r>
      <w:r w:rsidR="00C64050">
        <w:t xml:space="preserve"> </w:t>
      </w:r>
      <w:r>
        <w:t>taxpayer</w:t>
      </w:r>
      <w:r w:rsidR="00C64050">
        <w:t xml:space="preserve"> </w:t>
      </w:r>
      <w:r>
        <w:t>retained</w:t>
      </w:r>
      <w:r w:rsidR="00C64050">
        <w:t xml:space="preserve"> </w:t>
      </w:r>
      <w:r>
        <w:t>control</w:t>
      </w:r>
      <w:r w:rsidR="00C64050">
        <w:t xml:space="preserve"> </w:t>
      </w:r>
      <w:r>
        <w:t>of</w:t>
      </w:r>
      <w:r w:rsidR="00C64050">
        <w:t xml:space="preserve"> </w:t>
      </w:r>
      <w:r>
        <w:t>the</w:t>
      </w:r>
      <w:r w:rsidR="00C64050">
        <w:t xml:space="preserve"> </w:t>
      </w:r>
      <w:r>
        <w:t>farm,</w:t>
      </w:r>
      <w:r w:rsidR="00C64050">
        <w:t xml:space="preserve"> </w:t>
      </w:r>
      <w:r>
        <w:t>and</w:t>
      </w:r>
      <w:r w:rsidR="00C64050">
        <w:t xml:space="preserve"> </w:t>
      </w:r>
      <w:r>
        <w:t>had</w:t>
      </w:r>
      <w:r w:rsidR="00C64050">
        <w:t xml:space="preserve"> </w:t>
      </w:r>
      <w:r>
        <w:t>no</w:t>
      </w:r>
      <w:r w:rsidR="00C64050">
        <w:t xml:space="preserve"> </w:t>
      </w:r>
      <w:r>
        <w:t>bona</w:t>
      </w:r>
      <w:r w:rsidR="00C64050">
        <w:t xml:space="preserve"> </w:t>
      </w:r>
      <w:r>
        <w:t>fide,</w:t>
      </w:r>
      <w:r w:rsidR="00C64050">
        <w:t xml:space="preserve"> </w:t>
      </w:r>
      <w:r>
        <w:t>non-tax</w:t>
      </w:r>
      <w:r w:rsidR="00C64050">
        <w:t xml:space="preserve"> </w:t>
      </w:r>
      <w:r>
        <w:t>reasons</w:t>
      </w:r>
      <w:r w:rsidR="00C64050">
        <w:t xml:space="preserve"> </w:t>
      </w:r>
      <w:r>
        <w:t>for</w:t>
      </w:r>
      <w:r w:rsidR="00C64050">
        <w:t xml:space="preserve"> </w:t>
      </w:r>
      <w:r>
        <w:t>the</w:t>
      </w:r>
      <w:r w:rsidR="00C64050">
        <w:t xml:space="preserve"> </w:t>
      </w:r>
      <w:r>
        <w:t>FLP</w:t>
      </w:r>
      <w:r w:rsidR="00C64050">
        <w:t xml:space="preserve"> </w:t>
      </w:r>
      <w:r>
        <w:t>or</w:t>
      </w:r>
      <w:r w:rsidR="00C64050">
        <w:t xml:space="preserve"> </w:t>
      </w:r>
      <w:r>
        <w:t>transfer,</w:t>
      </w:r>
      <w:r w:rsidR="00C64050">
        <w:t xml:space="preserve"> </w:t>
      </w:r>
      <w:r>
        <w:t>and</w:t>
      </w:r>
      <w:r w:rsidR="00C64050">
        <w:t xml:space="preserve"> </w:t>
      </w:r>
      <w:r>
        <w:t>included</w:t>
      </w:r>
      <w:r w:rsidR="00C64050">
        <w:t xml:space="preserve"> </w:t>
      </w:r>
      <w:r>
        <w:t>it</w:t>
      </w:r>
      <w:r w:rsidR="00C64050">
        <w:t xml:space="preserve"> </w:t>
      </w:r>
      <w:r>
        <w:t>in</w:t>
      </w:r>
      <w:r w:rsidR="00C64050">
        <w:t xml:space="preserve"> </w:t>
      </w:r>
      <w:r>
        <w:t>his</w:t>
      </w:r>
      <w:r w:rsidR="00C64050">
        <w:t xml:space="preserve"> </w:t>
      </w:r>
      <w:r>
        <w:t>estate.</w:t>
      </w:r>
      <w:r w:rsidR="00C64050">
        <w:t xml:space="preserve">  </w:t>
      </w:r>
      <w:r>
        <w:t>But</w:t>
      </w:r>
      <w:r w:rsidR="00C64050">
        <w:t xml:space="preserve"> </w:t>
      </w:r>
      <w:r>
        <w:t>then</w:t>
      </w:r>
      <w:r w:rsidR="00C64050">
        <w:t xml:space="preserve"> </w:t>
      </w:r>
      <w:r>
        <w:t>the</w:t>
      </w:r>
      <w:r w:rsidR="00C64050">
        <w:t xml:space="preserve"> </w:t>
      </w:r>
      <w:r>
        <w:t>c</w:t>
      </w:r>
      <w:r w:rsidR="00D66AAD">
        <w:t>ourt</w:t>
      </w:r>
      <w:r w:rsidR="00C64050">
        <w:t xml:space="preserve"> </w:t>
      </w:r>
      <w:r w:rsidR="00D66AAD">
        <w:t>went</w:t>
      </w:r>
      <w:r w:rsidR="00C64050">
        <w:t xml:space="preserve"> </w:t>
      </w:r>
      <w:r w:rsidR="00D66AAD">
        <w:t>on</w:t>
      </w:r>
      <w:r w:rsidR="00C64050">
        <w:t xml:space="preserve"> </w:t>
      </w:r>
      <w:r w:rsidR="00D66AAD">
        <w:t>to</w:t>
      </w:r>
      <w:r w:rsidR="00C64050">
        <w:t xml:space="preserve"> </w:t>
      </w:r>
      <w:r w:rsidR="00D66AAD">
        <w:t>discuss</w:t>
      </w:r>
      <w:r w:rsidR="00C64050">
        <w:t xml:space="preserve"> </w:t>
      </w:r>
      <w:r w:rsidR="00D66AAD">
        <w:t>section</w:t>
      </w:r>
      <w:r w:rsidR="00C64050">
        <w:t xml:space="preserve"> </w:t>
      </w:r>
      <w:r>
        <w:t>2043</w:t>
      </w:r>
      <w:r w:rsidR="00C64050">
        <w:t xml:space="preserve"> </w:t>
      </w:r>
      <w:r>
        <w:t>in</w:t>
      </w:r>
      <w:r w:rsidR="00C64050">
        <w:t xml:space="preserve"> </w:t>
      </w:r>
      <w:r>
        <w:t>the</w:t>
      </w:r>
      <w:r w:rsidR="00C64050">
        <w:t xml:space="preserve"> </w:t>
      </w:r>
      <w:r>
        <w:t>most</w:t>
      </w:r>
      <w:r w:rsidR="00C64050">
        <w:t xml:space="preserve"> </w:t>
      </w:r>
      <w:r>
        <w:t>detailed</w:t>
      </w:r>
      <w:r w:rsidR="00C64050">
        <w:t xml:space="preserve"> </w:t>
      </w:r>
      <w:r>
        <w:t>way</w:t>
      </w:r>
      <w:r w:rsidR="00C64050">
        <w:t xml:space="preserve"> </w:t>
      </w:r>
      <w:r>
        <w:t>yet</w:t>
      </w:r>
      <w:r w:rsidR="00C64050">
        <w:t xml:space="preserve"> </w:t>
      </w:r>
      <w:r>
        <w:t>by</w:t>
      </w:r>
      <w:r w:rsidR="00C64050">
        <w:t xml:space="preserve"> </w:t>
      </w:r>
      <w:r>
        <w:t>t</w:t>
      </w:r>
      <w:r w:rsidR="00D66AAD">
        <w:t>h</w:t>
      </w:r>
      <w:r>
        <w:t>e</w:t>
      </w:r>
      <w:r w:rsidR="00C64050">
        <w:t xml:space="preserve"> </w:t>
      </w:r>
      <w:r>
        <w:t>Tax</w:t>
      </w:r>
      <w:r w:rsidR="00C64050">
        <w:t xml:space="preserve"> </w:t>
      </w:r>
      <w:r>
        <w:t>Court.</w:t>
      </w:r>
      <w:r w:rsidR="00C64050">
        <w:t xml:space="preserve">  </w:t>
      </w:r>
      <w:r>
        <w:t>That</w:t>
      </w:r>
      <w:r w:rsidR="00C64050">
        <w:t xml:space="preserve"> </w:t>
      </w:r>
      <w:r>
        <w:t>discussion</w:t>
      </w:r>
      <w:r w:rsidR="00C64050">
        <w:t xml:space="preserve"> </w:t>
      </w:r>
      <w:r>
        <w:t>is</w:t>
      </w:r>
      <w:r w:rsidR="00C64050">
        <w:t xml:space="preserve"> </w:t>
      </w:r>
      <w:r>
        <w:t>worth</w:t>
      </w:r>
      <w:r w:rsidR="00C64050">
        <w:t xml:space="preserve"> </w:t>
      </w:r>
      <w:r>
        <w:t>consideration</w:t>
      </w:r>
      <w:r w:rsidR="00C64050">
        <w:t xml:space="preserve"> </w:t>
      </w:r>
      <w:r w:rsidR="008929C5">
        <w:t>for</w:t>
      </w:r>
      <w:r w:rsidR="00C64050">
        <w:t xml:space="preserve"> </w:t>
      </w:r>
      <w:r w:rsidR="008929C5">
        <w:t>planning</w:t>
      </w:r>
      <w:r w:rsidR="00C64050">
        <w:t xml:space="preserve"> </w:t>
      </w:r>
      <w:r w:rsidR="008929C5">
        <w:t>purposes</w:t>
      </w:r>
      <w:r>
        <w:t>:</w:t>
      </w:r>
    </w:p>
    <w:p w:rsidR="00D66AAD" w:rsidRPr="00D66AAD" w:rsidRDefault="00D66AAD" w:rsidP="00D66AAD">
      <w:pPr>
        <w:pStyle w:val="QS10"/>
        <w:rPr>
          <w:szCs w:val="20"/>
        </w:rPr>
      </w:pPr>
      <w:r w:rsidRPr="00D66AAD">
        <w:rPr>
          <w:szCs w:val="20"/>
        </w:rPr>
        <w:t>a.</w:t>
      </w:r>
      <w:r w:rsidR="00C64050">
        <w:rPr>
          <w:szCs w:val="20"/>
        </w:rPr>
        <w:t xml:space="preserve"> </w:t>
      </w:r>
      <w:r w:rsidRPr="00DC41B3">
        <w:rPr>
          <w:szCs w:val="20"/>
          <w:u w:val="single"/>
        </w:rPr>
        <w:t>The</w:t>
      </w:r>
      <w:r w:rsidR="00C64050">
        <w:rPr>
          <w:szCs w:val="20"/>
          <w:u w:val="single"/>
        </w:rPr>
        <w:t xml:space="preserve"> </w:t>
      </w:r>
      <w:r w:rsidRPr="00DC41B3">
        <w:rPr>
          <w:szCs w:val="20"/>
          <w:u w:val="single"/>
        </w:rPr>
        <w:t>Problem</w:t>
      </w:r>
      <w:r w:rsidR="00C64050">
        <w:rPr>
          <w:szCs w:val="20"/>
          <w:u w:val="single"/>
        </w:rPr>
        <w:t xml:space="preserve"> </w:t>
      </w:r>
      <w:r w:rsidRPr="00DC41B3">
        <w:rPr>
          <w:szCs w:val="20"/>
          <w:u w:val="single"/>
        </w:rPr>
        <w:t>of</w:t>
      </w:r>
      <w:r w:rsidR="00C64050">
        <w:rPr>
          <w:szCs w:val="20"/>
          <w:u w:val="single"/>
        </w:rPr>
        <w:t xml:space="preserve"> </w:t>
      </w:r>
      <w:r w:rsidRPr="00DC41B3">
        <w:rPr>
          <w:szCs w:val="20"/>
          <w:u w:val="single"/>
        </w:rPr>
        <w:t>Section</w:t>
      </w:r>
      <w:r w:rsidR="00C64050">
        <w:rPr>
          <w:szCs w:val="20"/>
          <w:u w:val="single"/>
        </w:rPr>
        <w:t xml:space="preserve"> </w:t>
      </w:r>
      <w:r w:rsidRPr="00DC41B3">
        <w:rPr>
          <w:szCs w:val="20"/>
          <w:u w:val="single"/>
        </w:rPr>
        <w:t>2043(a)</w:t>
      </w:r>
    </w:p>
    <w:p w:rsidR="00D66AAD" w:rsidRPr="00D66AAD" w:rsidRDefault="00D66AAD" w:rsidP="00D66AAD">
      <w:pPr>
        <w:pStyle w:val="QS10"/>
        <w:rPr>
          <w:szCs w:val="20"/>
        </w:rPr>
      </w:pPr>
      <w:r w:rsidRPr="00D66AAD">
        <w:rPr>
          <w:szCs w:val="20"/>
        </w:rPr>
        <w:t>The</w:t>
      </w:r>
      <w:r w:rsidR="00C64050">
        <w:rPr>
          <w:szCs w:val="20"/>
        </w:rPr>
        <w:t xml:space="preserve"> </w:t>
      </w:r>
      <w:r w:rsidRPr="00D66AAD">
        <w:rPr>
          <w:szCs w:val="20"/>
        </w:rPr>
        <w:t>root</w:t>
      </w:r>
      <w:r w:rsidR="00C64050">
        <w:rPr>
          <w:szCs w:val="20"/>
        </w:rPr>
        <w:t xml:space="preserve"> </w:t>
      </w:r>
      <w:r w:rsidRPr="00D66AAD">
        <w:rPr>
          <w:szCs w:val="20"/>
        </w:rPr>
        <w:t>of</w:t>
      </w:r>
      <w:r w:rsidR="00C64050">
        <w:rPr>
          <w:szCs w:val="20"/>
        </w:rPr>
        <w:t xml:space="preserve"> </w:t>
      </w:r>
      <w:r w:rsidRPr="00D66AAD">
        <w:rPr>
          <w:szCs w:val="20"/>
        </w:rPr>
        <w:t>this</w:t>
      </w:r>
      <w:r w:rsidR="00C64050">
        <w:rPr>
          <w:szCs w:val="20"/>
        </w:rPr>
        <w:t xml:space="preserve"> </w:t>
      </w:r>
      <w:r w:rsidRPr="00D66AAD">
        <w:rPr>
          <w:szCs w:val="20"/>
        </w:rPr>
        <w:t>problem</w:t>
      </w:r>
      <w:r w:rsidR="00C64050">
        <w:rPr>
          <w:szCs w:val="20"/>
        </w:rPr>
        <w:t xml:space="preserve"> </w:t>
      </w:r>
      <w:r w:rsidRPr="00D66AAD">
        <w:rPr>
          <w:szCs w:val="20"/>
        </w:rPr>
        <w:t>is</w:t>
      </w:r>
      <w:r w:rsidR="00C64050">
        <w:rPr>
          <w:szCs w:val="20"/>
        </w:rPr>
        <w:t xml:space="preserve"> </w:t>
      </w:r>
      <w:r w:rsidRPr="00D66AAD">
        <w:rPr>
          <w:szCs w:val="20"/>
        </w:rPr>
        <w:t>that</w:t>
      </w:r>
      <w:r w:rsidR="00C64050">
        <w:rPr>
          <w:szCs w:val="20"/>
        </w:rPr>
        <w:t xml:space="preserve"> </w:t>
      </w:r>
      <w:r w:rsidRPr="009970B5">
        <w:rPr>
          <w:szCs w:val="20"/>
        </w:rPr>
        <w:t>section</w:t>
      </w:r>
      <w:r w:rsidR="00C64050">
        <w:rPr>
          <w:szCs w:val="20"/>
        </w:rPr>
        <w:t xml:space="preserve"> </w:t>
      </w:r>
      <w:r w:rsidRPr="009970B5">
        <w:rPr>
          <w:szCs w:val="20"/>
        </w:rPr>
        <w:t>2043</w:t>
      </w:r>
      <w:r w:rsidR="00C64050">
        <w:rPr>
          <w:szCs w:val="20"/>
        </w:rPr>
        <w:t xml:space="preserve"> </w:t>
      </w:r>
      <w:r w:rsidRPr="00D66AAD">
        <w:rPr>
          <w:szCs w:val="20"/>
        </w:rPr>
        <w:t>prohibits</w:t>
      </w:r>
      <w:r w:rsidR="00C64050">
        <w:rPr>
          <w:szCs w:val="20"/>
        </w:rPr>
        <w:t xml:space="preserve"> </w:t>
      </w:r>
      <w:r w:rsidRPr="00D66AAD">
        <w:rPr>
          <w:szCs w:val="20"/>
        </w:rPr>
        <w:t>the</w:t>
      </w:r>
      <w:r w:rsidR="00C64050">
        <w:rPr>
          <w:szCs w:val="20"/>
        </w:rPr>
        <w:t xml:space="preserve"> </w:t>
      </w:r>
      <w:r w:rsidRPr="00D66AAD">
        <w:rPr>
          <w:szCs w:val="20"/>
        </w:rPr>
        <w:t>Commissioner</w:t>
      </w:r>
      <w:r w:rsidR="00C64050">
        <w:rPr>
          <w:szCs w:val="20"/>
        </w:rPr>
        <w:t xml:space="preserve"> </w:t>
      </w:r>
      <w:r w:rsidRPr="00D66AAD">
        <w:rPr>
          <w:szCs w:val="20"/>
        </w:rPr>
        <w:t>from</w:t>
      </w:r>
      <w:r w:rsidR="00C64050">
        <w:rPr>
          <w:szCs w:val="20"/>
        </w:rPr>
        <w:t xml:space="preserve"> </w:t>
      </w:r>
      <w:r w:rsidRPr="00D66AAD">
        <w:rPr>
          <w:szCs w:val="20"/>
        </w:rPr>
        <w:t>just</w:t>
      </w:r>
      <w:r w:rsidR="00C64050">
        <w:rPr>
          <w:szCs w:val="20"/>
        </w:rPr>
        <w:t xml:space="preserve"> </w:t>
      </w:r>
      <w:r w:rsidRPr="00D66AAD">
        <w:rPr>
          <w:szCs w:val="20"/>
        </w:rPr>
        <w:t>adding</w:t>
      </w:r>
      <w:r w:rsidR="00C64050">
        <w:rPr>
          <w:szCs w:val="20"/>
        </w:rPr>
        <w:t xml:space="preserve"> </w:t>
      </w:r>
      <w:r w:rsidRPr="00D66AAD">
        <w:rPr>
          <w:szCs w:val="20"/>
        </w:rPr>
        <w:t>the</w:t>
      </w:r>
      <w:r w:rsidR="00C64050">
        <w:rPr>
          <w:szCs w:val="20"/>
        </w:rPr>
        <w:t xml:space="preserve"> </w:t>
      </w:r>
      <w:r w:rsidRPr="00D66AAD">
        <w:rPr>
          <w:szCs w:val="20"/>
        </w:rPr>
        <w:t>proceeds</w:t>
      </w:r>
      <w:r w:rsidR="00C64050">
        <w:rPr>
          <w:szCs w:val="20"/>
        </w:rPr>
        <w:t xml:space="preserve"> </w:t>
      </w:r>
      <w:r w:rsidRPr="00D66AAD">
        <w:rPr>
          <w:szCs w:val="20"/>
        </w:rPr>
        <w:t>from</w:t>
      </w:r>
      <w:r w:rsidR="00C64050">
        <w:rPr>
          <w:szCs w:val="20"/>
        </w:rPr>
        <w:t xml:space="preserve"> </w:t>
      </w:r>
      <w:r w:rsidRPr="00D66AAD">
        <w:rPr>
          <w:szCs w:val="20"/>
        </w:rPr>
        <w:t>the</w:t>
      </w:r>
      <w:r w:rsidR="00C64050">
        <w:rPr>
          <w:szCs w:val="20"/>
        </w:rPr>
        <w:t xml:space="preserve"> </w:t>
      </w:r>
      <w:r w:rsidRPr="00D66AAD">
        <w:rPr>
          <w:szCs w:val="20"/>
        </w:rPr>
        <w:t>sale</w:t>
      </w:r>
      <w:r w:rsidR="00C64050">
        <w:rPr>
          <w:szCs w:val="20"/>
        </w:rPr>
        <w:t xml:space="preserve"> </w:t>
      </w:r>
      <w:r w:rsidRPr="00D66AAD">
        <w:rPr>
          <w:szCs w:val="20"/>
        </w:rPr>
        <w:t>of</w:t>
      </w:r>
      <w:r w:rsidR="00C64050">
        <w:rPr>
          <w:szCs w:val="20"/>
        </w:rPr>
        <w:t xml:space="preserve"> </w:t>
      </w:r>
      <w:r w:rsidRPr="00D66AAD">
        <w:rPr>
          <w:szCs w:val="20"/>
        </w:rPr>
        <w:t>Moore’s</w:t>
      </w:r>
      <w:r w:rsidR="00C64050">
        <w:rPr>
          <w:szCs w:val="20"/>
        </w:rPr>
        <w:t xml:space="preserve"> </w:t>
      </w:r>
      <w:r w:rsidRPr="00D66AAD">
        <w:rPr>
          <w:szCs w:val="20"/>
        </w:rPr>
        <w:t>farm</w:t>
      </w:r>
      <w:r w:rsidR="00C64050">
        <w:rPr>
          <w:szCs w:val="20"/>
        </w:rPr>
        <w:t xml:space="preserve"> </w:t>
      </w:r>
      <w:r w:rsidRPr="00D66AAD">
        <w:rPr>
          <w:szCs w:val="20"/>
        </w:rPr>
        <w:t>to</w:t>
      </w:r>
      <w:r w:rsidR="00C64050">
        <w:rPr>
          <w:szCs w:val="20"/>
        </w:rPr>
        <w:t xml:space="preserve"> </w:t>
      </w:r>
      <w:r w:rsidRPr="00D66AAD">
        <w:rPr>
          <w:szCs w:val="20"/>
        </w:rPr>
        <w:t>his</w:t>
      </w:r>
      <w:r w:rsidR="00C64050">
        <w:rPr>
          <w:szCs w:val="20"/>
        </w:rPr>
        <w:t xml:space="preserve"> </w:t>
      </w:r>
      <w:r w:rsidRPr="00D66AAD">
        <w:rPr>
          <w:szCs w:val="20"/>
        </w:rPr>
        <w:t>gross</w:t>
      </w:r>
      <w:r w:rsidR="00C64050">
        <w:rPr>
          <w:szCs w:val="20"/>
        </w:rPr>
        <w:t xml:space="preserve"> </w:t>
      </w:r>
      <w:r w:rsidRPr="00D66AAD">
        <w:rPr>
          <w:szCs w:val="20"/>
        </w:rPr>
        <w:t>estate.</w:t>
      </w:r>
      <w:r w:rsidR="00C64050">
        <w:rPr>
          <w:szCs w:val="20"/>
        </w:rPr>
        <w:t xml:space="preserve"> </w:t>
      </w:r>
      <w:r w:rsidRPr="00D66AAD">
        <w:rPr>
          <w:szCs w:val="20"/>
        </w:rPr>
        <w:t>It</w:t>
      </w:r>
      <w:r w:rsidR="00C64050">
        <w:rPr>
          <w:szCs w:val="20"/>
        </w:rPr>
        <w:t xml:space="preserve"> </w:t>
      </w:r>
      <w:r w:rsidRPr="00D66AAD">
        <w:rPr>
          <w:szCs w:val="20"/>
        </w:rPr>
        <w:t>requires</w:t>
      </w:r>
      <w:r w:rsidR="00C64050">
        <w:rPr>
          <w:szCs w:val="20"/>
        </w:rPr>
        <w:t xml:space="preserve"> </w:t>
      </w:r>
      <w:r w:rsidRPr="00D66AAD">
        <w:rPr>
          <w:szCs w:val="20"/>
        </w:rPr>
        <w:t>instead</w:t>
      </w:r>
      <w:r w:rsidR="00C64050">
        <w:rPr>
          <w:szCs w:val="20"/>
        </w:rPr>
        <w:t xml:space="preserve"> </w:t>
      </w:r>
      <w:r w:rsidRPr="00D66AAD">
        <w:rPr>
          <w:szCs w:val="20"/>
        </w:rPr>
        <w:t>a</w:t>
      </w:r>
      <w:r w:rsidR="00C64050">
        <w:rPr>
          <w:szCs w:val="20"/>
        </w:rPr>
        <w:t xml:space="preserve"> </w:t>
      </w:r>
      <w:r w:rsidRPr="00D66AAD">
        <w:rPr>
          <w:szCs w:val="20"/>
        </w:rPr>
        <w:t>more</w:t>
      </w:r>
      <w:r w:rsidR="00C64050">
        <w:rPr>
          <w:szCs w:val="20"/>
        </w:rPr>
        <w:t xml:space="preserve"> </w:t>
      </w:r>
      <w:r w:rsidRPr="00D66AAD">
        <w:rPr>
          <w:szCs w:val="20"/>
        </w:rPr>
        <w:t>complicated</w:t>
      </w:r>
      <w:r w:rsidR="00C64050">
        <w:rPr>
          <w:szCs w:val="20"/>
        </w:rPr>
        <w:t xml:space="preserve"> </w:t>
      </w:r>
      <w:r w:rsidRPr="00D66AAD">
        <w:rPr>
          <w:szCs w:val="20"/>
        </w:rPr>
        <w:t>set</w:t>
      </w:r>
      <w:r w:rsidR="00C64050">
        <w:rPr>
          <w:szCs w:val="20"/>
        </w:rPr>
        <w:t xml:space="preserve"> </w:t>
      </w:r>
      <w:r w:rsidRPr="00D66AAD">
        <w:rPr>
          <w:szCs w:val="20"/>
        </w:rPr>
        <w:t>of</w:t>
      </w:r>
      <w:r w:rsidR="00C64050">
        <w:rPr>
          <w:szCs w:val="20"/>
        </w:rPr>
        <w:t xml:space="preserve"> </w:t>
      </w:r>
      <w:r w:rsidRPr="00D66AAD">
        <w:rPr>
          <w:szCs w:val="20"/>
        </w:rPr>
        <w:t>calculations</w:t>
      </w:r>
      <w:r w:rsidR="00C64050">
        <w:rPr>
          <w:szCs w:val="20"/>
        </w:rPr>
        <w:t xml:space="preserve"> </w:t>
      </w:r>
      <w:r w:rsidRPr="00D66AAD">
        <w:rPr>
          <w:szCs w:val="20"/>
        </w:rPr>
        <w:t>when</w:t>
      </w:r>
      <w:r w:rsidR="00C64050">
        <w:rPr>
          <w:szCs w:val="20"/>
        </w:rPr>
        <w:t xml:space="preserve"> </w:t>
      </w:r>
      <w:r w:rsidRPr="00D66AAD">
        <w:rPr>
          <w:szCs w:val="20"/>
        </w:rPr>
        <w:t>there</w:t>
      </w:r>
      <w:r w:rsidR="00C64050">
        <w:rPr>
          <w:szCs w:val="20"/>
        </w:rPr>
        <w:t xml:space="preserve"> </w:t>
      </w:r>
      <w:r w:rsidRPr="00D66AAD">
        <w:rPr>
          <w:szCs w:val="20"/>
        </w:rPr>
        <w:t>are</w:t>
      </w:r>
      <w:r w:rsidR="00C64050">
        <w:rPr>
          <w:szCs w:val="20"/>
        </w:rPr>
        <w:t xml:space="preserve"> </w:t>
      </w:r>
      <w:r w:rsidRPr="00D66AAD">
        <w:rPr>
          <w:szCs w:val="20"/>
        </w:rPr>
        <w:t>transactions--like</w:t>
      </w:r>
      <w:r w:rsidR="00C64050">
        <w:rPr>
          <w:szCs w:val="20"/>
        </w:rPr>
        <w:t xml:space="preserve"> </w:t>
      </w:r>
      <w:r w:rsidRPr="00D66AAD">
        <w:rPr>
          <w:szCs w:val="20"/>
        </w:rPr>
        <w:t>the</w:t>
      </w:r>
      <w:r w:rsidR="00C64050">
        <w:rPr>
          <w:szCs w:val="20"/>
        </w:rPr>
        <w:t xml:space="preserve"> </w:t>
      </w:r>
      <w:r w:rsidRPr="00D66AAD">
        <w:rPr>
          <w:szCs w:val="20"/>
        </w:rPr>
        <w:t>transfer</w:t>
      </w:r>
      <w:r w:rsidR="00C64050">
        <w:rPr>
          <w:szCs w:val="20"/>
        </w:rPr>
        <w:t xml:space="preserve"> </w:t>
      </w:r>
      <w:r w:rsidRPr="00D66AAD">
        <w:rPr>
          <w:szCs w:val="20"/>
        </w:rPr>
        <w:t>of</w:t>
      </w:r>
      <w:r w:rsidR="00C64050">
        <w:rPr>
          <w:szCs w:val="20"/>
        </w:rPr>
        <w:t xml:space="preserve"> </w:t>
      </w:r>
      <w:r w:rsidRPr="00D66AAD">
        <w:rPr>
          <w:szCs w:val="20"/>
        </w:rPr>
        <w:t>four-fifths</w:t>
      </w:r>
      <w:r w:rsidR="00C64050">
        <w:rPr>
          <w:szCs w:val="20"/>
        </w:rPr>
        <w:t xml:space="preserve"> </w:t>
      </w:r>
      <w:r w:rsidRPr="00D66AAD">
        <w:rPr>
          <w:szCs w:val="20"/>
        </w:rPr>
        <w:t>of</w:t>
      </w:r>
      <w:r w:rsidR="00C64050">
        <w:rPr>
          <w:szCs w:val="20"/>
        </w:rPr>
        <w:t xml:space="preserve"> </w:t>
      </w:r>
      <w:r w:rsidRPr="00D66AAD">
        <w:rPr>
          <w:szCs w:val="20"/>
        </w:rPr>
        <w:t>the</w:t>
      </w:r>
      <w:r w:rsidR="00C64050">
        <w:rPr>
          <w:szCs w:val="20"/>
        </w:rPr>
        <w:t xml:space="preserve"> </w:t>
      </w:r>
      <w:r w:rsidRPr="00D66AAD">
        <w:rPr>
          <w:szCs w:val="20"/>
        </w:rPr>
        <w:t>farm</w:t>
      </w:r>
      <w:r w:rsidR="00C64050">
        <w:rPr>
          <w:szCs w:val="20"/>
        </w:rPr>
        <w:t xml:space="preserve"> </w:t>
      </w:r>
      <w:r w:rsidRPr="00D66AAD">
        <w:rPr>
          <w:szCs w:val="20"/>
        </w:rPr>
        <w:t>from</w:t>
      </w:r>
      <w:r w:rsidR="00C64050">
        <w:rPr>
          <w:szCs w:val="20"/>
        </w:rPr>
        <w:t xml:space="preserve"> </w:t>
      </w:r>
      <w:r w:rsidRPr="00D66AAD">
        <w:rPr>
          <w:szCs w:val="20"/>
        </w:rPr>
        <w:t>the</w:t>
      </w:r>
      <w:r w:rsidR="00C64050">
        <w:rPr>
          <w:szCs w:val="20"/>
        </w:rPr>
        <w:t xml:space="preserve"> </w:t>
      </w:r>
      <w:r w:rsidRPr="00D66AAD">
        <w:rPr>
          <w:szCs w:val="20"/>
        </w:rPr>
        <w:t>Living</w:t>
      </w:r>
      <w:r w:rsidR="00C64050">
        <w:rPr>
          <w:szCs w:val="20"/>
        </w:rPr>
        <w:t xml:space="preserve"> </w:t>
      </w:r>
      <w:r w:rsidRPr="00D66AAD">
        <w:rPr>
          <w:szCs w:val="20"/>
        </w:rPr>
        <w:t>Trust</w:t>
      </w:r>
      <w:r w:rsidR="00C64050">
        <w:rPr>
          <w:szCs w:val="20"/>
        </w:rPr>
        <w:t xml:space="preserve"> </w:t>
      </w:r>
      <w:r w:rsidRPr="00D66AAD">
        <w:rPr>
          <w:szCs w:val="20"/>
        </w:rPr>
        <w:t>to</w:t>
      </w:r>
      <w:r w:rsidR="00C64050">
        <w:rPr>
          <w:szCs w:val="20"/>
        </w:rPr>
        <w:t xml:space="preserve"> </w:t>
      </w:r>
      <w:r w:rsidRPr="00D66AAD">
        <w:rPr>
          <w:szCs w:val="20"/>
        </w:rPr>
        <w:t>the</w:t>
      </w:r>
      <w:r w:rsidR="00C64050">
        <w:rPr>
          <w:szCs w:val="20"/>
        </w:rPr>
        <w:t xml:space="preserve"> </w:t>
      </w:r>
      <w:r w:rsidRPr="00D66AAD">
        <w:rPr>
          <w:szCs w:val="20"/>
        </w:rPr>
        <w:t>FLP--that</w:t>
      </w:r>
      <w:r w:rsidR="00C64050">
        <w:rPr>
          <w:szCs w:val="20"/>
        </w:rPr>
        <w:t xml:space="preserve"> </w:t>
      </w:r>
      <w:r w:rsidRPr="00D66AAD">
        <w:rPr>
          <w:szCs w:val="20"/>
        </w:rPr>
        <w:t>fall</w:t>
      </w:r>
      <w:r w:rsidR="00C64050">
        <w:rPr>
          <w:szCs w:val="20"/>
        </w:rPr>
        <w:t xml:space="preserve"> </w:t>
      </w:r>
      <w:r w:rsidRPr="00D66AAD">
        <w:rPr>
          <w:szCs w:val="20"/>
        </w:rPr>
        <w:t>within</w:t>
      </w:r>
      <w:r w:rsidR="00C64050">
        <w:rPr>
          <w:szCs w:val="20"/>
        </w:rPr>
        <w:t xml:space="preserve"> </w:t>
      </w:r>
      <w:r w:rsidRPr="009970B5">
        <w:rPr>
          <w:szCs w:val="20"/>
        </w:rPr>
        <w:t>section</w:t>
      </w:r>
      <w:r w:rsidR="00C64050">
        <w:rPr>
          <w:szCs w:val="20"/>
        </w:rPr>
        <w:t xml:space="preserve"> </w:t>
      </w:r>
      <w:r w:rsidRPr="009970B5">
        <w:rPr>
          <w:szCs w:val="20"/>
        </w:rPr>
        <w:t>2036</w:t>
      </w:r>
      <w:r w:rsidRPr="00D66AAD">
        <w:rPr>
          <w:szCs w:val="20"/>
        </w:rPr>
        <w:t>.</w:t>
      </w:r>
      <w:r w:rsidR="00C64050">
        <w:rPr>
          <w:szCs w:val="20"/>
        </w:rPr>
        <w:t xml:space="preserve"> </w:t>
      </w:r>
      <w:r w:rsidRPr="009970B5">
        <w:rPr>
          <w:szCs w:val="20"/>
        </w:rPr>
        <w:t>Section</w:t>
      </w:r>
      <w:r w:rsidR="00C64050">
        <w:rPr>
          <w:szCs w:val="20"/>
        </w:rPr>
        <w:t xml:space="preserve"> </w:t>
      </w:r>
      <w:r w:rsidRPr="009970B5">
        <w:rPr>
          <w:szCs w:val="20"/>
        </w:rPr>
        <w:t>2043(a)</w:t>
      </w:r>
      <w:r w:rsidR="00C64050">
        <w:rPr>
          <w:szCs w:val="20"/>
        </w:rPr>
        <w:t xml:space="preserve"> </w:t>
      </w:r>
      <w:r w:rsidRPr="00D66AAD">
        <w:rPr>
          <w:szCs w:val="20"/>
        </w:rPr>
        <w:t>says</w:t>
      </w:r>
      <w:r w:rsidR="00C64050">
        <w:rPr>
          <w:szCs w:val="20"/>
        </w:rPr>
        <w:t xml:space="preserve"> </w:t>
      </w:r>
      <w:r w:rsidRPr="00D66AAD">
        <w:rPr>
          <w:szCs w:val="20"/>
        </w:rPr>
        <w:t>(with</w:t>
      </w:r>
      <w:r w:rsidR="00C64050">
        <w:rPr>
          <w:szCs w:val="20"/>
        </w:rPr>
        <w:t xml:space="preserve"> </w:t>
      </w:r>
      <w:r w:rsidRPr="00D66AAD">
        <w:rPr>
          <w:szCs w:val="20"/>
        </w:rPr>
        <w:t>the</w:t>
      </w:r>
      <w:r w:rsidR="00C64050">
        <w:rPr>
          <w:szCs w:val="20"/>
        </w:rPr>
        <w:t xml:space="preserve"> </w:t>
      </w:r>
      <w:r w:rsidRPr="00D66AAD">
        <w:rPr>
          <w:szCs w:val="20"/>
        </w:rPr>
        <w:t>key</w:t>
      </w:r>
      <w:r w:rsidR="00C64050">
        <w:rPr>
          <w:szCs w:val="20"/>
        </w:rPr>
        <w:t xml:space="preserve"> </w:t>
      </w:r>
      <w:r w:rsidRPr="00D66AAD">
        <w:rPr>
          <w:szCs w:val="20"/>
        </w:rPr>
        <w:t>word</w:t>
      </w:r>
      <w:r w:rsidR="00C64050">
        <w:rPr>
          <w:szCs w:val="20"/>
        </w:rPr>
        <w:t xml:space="preserve"> </w:t>
      </w:r>
      <w:r w:rsidRPr="00D66AAD">
        <w:rPr>
          <w:szCs w:val="20"/>
        </w:rPr>
        <w:t>italicized)</w:t>
      </w:r>
    </w:p>
    <w:p w:rsidR="00D66AAD" w:rsidRPr="00D66AAD" w:rsidRDefault="00D66AAD" w:rsidP="009970B5">
      <w:pPr>
        <w:pStyle w:val="QS10"/>
        <w:ind w:left="2160"/>
        <w:rPr>
          <w:szCs w:val="20"/>
        </w:rPr>
      </w:pPr>
      <w:r w:rsidRPr="00D66AAD">
        <w:rPr>
          <w:szCs w:val="20"/>
        </w:rPr>
        <w:t>If</w:t>
      </w:r>
      <w:r w:rsidR="00C64050">
        <w:rPr>
          <w:szCs w:val="20"/>
        </w:rPr>
        <w:t xml:space="preserve"> </w:t>
      </w:r>
      <w:r w:rsidRPr="00D66AAD">
        <w:rPr>
          <w:szCs w:val="20"/>
        </w:rPr>
        <w:t>any</w:t>
      </w:r>
      <w:r w:rsidR="00C64050">
        <w:rPr>
          <w:szCs w:val="20"/>
        </w:rPr>
        <w:t xml:space="preserve"> </w:t>
      </w:r>
      <w:r w:rsidRPr="00D66AAD">
        <w:rPr>
          <w:szCs w:val="20"/>
        </w:rPr>
        <w:t>one</w:t>
      </w:r>
      <w:r w:rsidR="00C64050">
        <w:rPr>
          <w:szCs w:val="20"/>
        </w:rPr>
        <w:t xml:space="preserve"> </w:t>
      </w:r>
      <w:r w:rsidRPr="00D66AAD">
        <w:rPr>
          <w:szCs w:val="20"/>
        </w:rPr>
        <w:t>of</w:t>
      </w:r>
      <w:r w:rsidR="00C64050">
        <w:rPr>
          <w:szCs w:val="20"/>
        </w:rPr>
        <w:t xml:space="preserve"> </w:t>
      </w:r>
      <w:r w:rsidRPr="00D66AAD">
        <w:rPr>
          <w:szCs w:val="20"/>
        </w:rPr>
        <w:t>the</w:t>
      </w:r>
      <w:r w:rsidR="00C64050">
        <w:rPr>
          <w:szCs w:val="20"/>
        </w:rPr>
        <w:t xml:space="preserve"> </w:t>
      </w:r>
      <w:r w:rsidRPr="00D66AAD">
        <w:rPr>
          <w:szCs w:val="20"/>
        </w:rPr>
        <w:t>transfers</w:t>
      </w:r>
      <w:r w:rsidR="00C64050">
        <w:rPr>
          <w:szCs w:val="20"/>
        </w:rPr>
        <w:t xml:space="preserve"> </w:t>
      </w:r>
      <w:r w:rsidRPr="00D66AAD">
        <w:rPr>
          <w:szCs w:val="20"/>
        </w:rPr>
        <w:t>*</w:t>
      </w:r>
      <w:r w:rsidR="00C64050">
        <w:rPr>
          <w:szCs w:val="20"/>
        </w:rPr>
        <w:t xml:space="preserve"> </w:t>
      </w:r>
      <w:r w:rsidRPr="00D66AAD">
        <w:rPr>
          <w:szCs w:val="20"/>
        </w:rPr>
        <w:t>*</w:t>
      </w:r>
      <w:r w:rsidR="00C64050">
        <w:rPr>
          <w:szCs w:val="20"/>
        </w:rPr>
        <w:t xml:space="preserve"> </w:t>
      </w:r>
      <w:r w:rsidRPr="00D66AAD">
        <w:rPr>
          <w:szCs w:val="20"/>
        </w:rPr>
        <w:t>*</w:t>
      </w:r>
      <w:r w:rsidR="00C64050">
        <w:rPr>
          <w:szCs w:val="20"/>
        </w:rPr>
        <w:t xml:space="preserve"> </w:t>
      </w:r>
      <w:r w:rsidRPr="00D66AAD">
        <w:rPr>
          <w:szCs w:val="20"/>
        </w:rPr>
        <w:t>described</w:t>
      </w:r>
      <w:r w:rsidR="00C64050">
        <w:rPr>
          <w:szCs w:val="20"/>
        </w:rPr>
        <w:t xml:space="preserve"> </w:t>
      </w:r>
      <w:r w:rsidRPr="00D66AAD">
        <w:rPr>
          <w:szCs w:val="20"/>
        </w:rPr>
        <w:t>in</w:t>
      </w:r>
      <w:r w:rsidR="00C64050">
        <w:rPr>
          <w:szCs w:val="20"/>
        </w:rPr>
        <w:t xml:space="preserve"> </w:t>
      </w:r>
      <w:r w:rsidRPr="009970B5">
        <w:rPr>
          <w:szCs w:val="20"/>
        </w:rPr>
        <w:t>sections</w:t>
      </w:r>
      <w:r w:rsidR="00C64050">
        <w:rPr>
          <w:szCs w:val="20"/>
        </w:rPr>
        <w:t xml:space="preserve"> </w:t>
      </w:r>
      <w:r w:rsidRPr="009970B5">
        <w:rPr>
          <w:szCs w:val="20"/>
        </w:rPr>
        <w:t>2035</w:t>
      </w:r>
      <w:r w:rsidR="00C64050">
        <w:rPr>
          <w:szCs w:val="20"/>
        </w:rPr>
        <w:t xml:space="preserve"> </w:t>
      </w:r>
      <w:r w:rsidRPr="00D66AAD">
        <w:rPr>
          <w:szCs w:val="20"/>
        </w:rPr>
        <w:t>to</w:t>
      </w:r>
      <w:r w:rsidR="00C64050">
        <w:rPr>
          <w:szCs w:val="20"/>
        </w:rPr>
        <w:t xml:space="preserve"> </w:t>
      </w:r>
      <w:r w:rsidRPr="009970B5">
        <w:rPr>
          <w:szCs w:val="20"/>
        </w:rPr>
        <w:t>2038</w:t>
      </w:r>
      <w:r w:rsidRPr="00D66AAD">
        <w:rPr>
          <w:szCs w:val="20"/>
        </w:rPr>
        <w:t>,</w:t>
      </w:r>
      <w:r w:rsidR="00C64050">
        <w:rPr>
          <w:szCs w:val="20"/>
        </w:rPr>
        <w:t xml:space="preserve"> </w:t>
      </w:r>
      <w:r w:rsidRPr="00D66AAD">
        <w:rPr>
          <w:szCs w:val="20"/>
        </w:rPr>
        <w:t>inclusive,</w:t>
      </w:r>
      <w:r w:rsidR="00C64050">
        <w:rPr>
          <w:szCs w:val="20"/>
        </w:rPr>
        <w:t xml:space="preserve"> </w:t>
      </w:r>
      <w:r w:rsidRPr="00D66AAD">
        <w:rPr>
          <w:szCs w:val="20"/>
        </w:rPr>
        <w:t>and</w:t>
      </w:r>
      <w:r w:rsidR="00C64050">
        <w:rPr>
          <w:szCs w:val="20"/>
        </w:rPr>
        <w:t xml:space="preserve"> </w:t>
      </w:r>
      <w:r w:rsidRPr="009970B5">
        <w:rPr>
          <w:szCs w:val="20"/>
        </w:rPr>
        <w:t>section</w:t>
      </w:r>
      <w:r w:rsidR="00C64050">
        <w:rPr>
          <w:szCs w:val="20"/>
        </w:rPr>
        <w:t xml:space="preserve"> </w:t>
      </w:r>
      <w:r w:rsidRPr="009970B5">
        <w:rPr>
          <w:szCs w:val="20"/>
        </w:rPr>
        <w:t>2041</w:t>
      </w:r>
      <w:r w:rsidR="00C64050">
        <w:rPr>
          <w:szCs w:val="20"/>
        </w:rPr>
        <w:t xml:space="preserve"> </w:t>
      </w:r>
      <w:r w:rsidRPr="00D66AAD">
        <w:rPr>
          <w:szCs w:val="20"/>
        </w:rPr>
        <w:t>is</w:t>
      </w:r>
      <w:r w:rsidR="00C64050">
        <w:rPr>
          <w:szCs w:val="20"/>
        </w:rPr>
        <w:t xml:space="preserve"> </w:t>
      </w:r>
      <w:r w:rsidRPr="00D66AAD">
        <w:rPr>
          <w:szCs w:val="20"/>
        </w:rPr>
        <w:t>made,</w:t>
      </w:r>
      <w:r w:rsidR="00C64050">
        <w:rPr>
          <w:szCs w:val="20"/>
        </w:rPr>
        <w:t xml:space="preserve"> </w:t>
      </w:r>
      <w:r w:rsidRPr="00D66AAD">
        <w:rPr>
          <w:szCs w:val="20"/>
        </w:rPr>
        <w:t>created,</w:t>
      </w:r>
      <w:r w:rsidR="00C64050">
        <w:rPr>
          <w:szCs w:val="20"/>
        </w:rPr>
        <w:t xml:space="preserve"> </w:t>
      </w:r>
      <w:r w:rsidRPr="00D66AAD">
        <w:rPr>
          <w:szCs w:val="20"/>
        </w:rPr>
        <w:t>exercised,</w:t>
      </w:r>
      <w:r w:rsidR="00C64050">
        <w:rPr>
          <w:szCs w:val="20"/>
        </w:rPr>
        <w:t xml:space="preserve"> </w:t>
      </w:r>
      <w:r w:rsidRPr="00D66AAD">
        <w:rPr>
          <w:szCs w:val="20"/>
        </w:rPr>
        <w:t>or</w:t>
      </w:r>
      <w:r w:rsidR="00C64050">
        <w:rPr>
          <w:szCs w:val="20"/>
        </w:rPr>
        <w:t xml:space="preserve"> </w:t>
      </w:r>
      <w:r w:rsidRPr="00D66AAD">
        <w:rPr>
          <w:szCs w:val="20"/>
        </w:rPr>
        <w:t>relinquished</w:t>
      </w:r>
      <w:r w:rsidR="00C64050">
        <w:rPr>
          <w:szCs w:val="20"/>
        </w:rPr>
        <w:t xml:space="preserve"> </w:t>
      </w:r>
      <w:r w:rsidRPr="00D66AAD">
        <w:rPr>
          <w:szCs w:val="20"/>
        </w:rPr>
        <w:t>for</w:t>
      </w:r>
      <w:r w:rsidR="00C64050">
        <w:rPr>
          <w:szCs w:val="20"/>
        </w:rPr>
        <w:t xml:space="preserve"> </w:t>
      </w:r>
      <w:r w:rsidRPr="00D66AAD">
        <w:rPr>
          <w:szCs w:val="20"/>
        </w:rPr>
        <w:t>a</w:t>
      </w:r>
      <w:r w:rsidR="00C64050">
        <w:rPr>
          <w:szCs w:val="20"/>
        </w:rPr>
        <w:t xml:space="preserve"> </w:t>
      </w:r>
      <w:r w:rsidRPr="00D66AAD">
        <w:rPr>
          <w:szCs w:val="20"/>
        </w:rPr>
        <w:t>consideration</w:t>
      </w:r>
      <w:r w:rsidR="00C64050">
        <w:rPr>
          <w:szCs w:val="20"/>
        </w:rPr>
        <w:t xml:space="preserve"> </w:t>
      </w:r>
      <w:r w:rsidRPr="00D66AAD">
        <w:rPr>
          <w:szCs w:val="20"/>
        </w:rPr>
        <w:t>in</w:t>
      </w:r>
      <w:r w:rsidR="00C64050">
        <w:rPr>
          <w:szCs w:val="20"/>
        </w:rPr>
        <w:t xml:space="preserve"> </w:t>
      </w:r>
      <w:r w:rsidRPr="00D66AAD">
        <w:rPr>
          <w:szCs w:val="20"/>
        </w:rPr>
        <w:t>money</w:t>
      </w:r>
      <w:r w:rsidR="00C64050">
        <w:rPr>
          <w:szCs w:val="20"/>
        </w:rPr>
        <w:t xml:space="preserve"> </w:t>
      </w:r>
      <w:r w:rsidRPr="00D66AAD">
        <w:rPr>
          <w:szCs w:val="20"/>
        </w:rPr>
        <w:t>or</w:t>
      </w:r>
      <w:r w:rsidR="00C64050">
        <w:rPr>
          <w:szCs w:val="20"/>
        </w:rPr>
        <w:t xml:space="preserve"> </w:t>
      </w:r>
      <w:r w:rsidRPr="00D66AAD">
        <w:rPr>
          <w:szCs w:val="20"/>
        </w:rPr>
        <w:t>money’s</w:t>
      </w:r>
      <w:r w:rsidR="00C64050">
        <w:rPr>
          <w:szCs w:val="20"/>
        </w:rPr>
        <w:t xml:space="preserve"> </w:t>
      </w:r>
      <w:r w:rsidRPr="00D66AAD">
        <w:rPr>
          <w:szCs w:val="20"/>
        </w:rPr>
        <w:t>worth,</w:t>
      </w:r>
      <w:r w:rsidR="00C64050">
        <w:rPr>
          <w:szCs w:val="20"/>
        </w:rPr>
        <w:t xml:space="preserve"> </w:t>
      </w:r>
      <w:r w:rsidRPr="00D66AAD">
        <w:rPr>
          <w:szCs w:val="20"/>
        </w:rPr>
        <w:t>but</w:t>
      </w:r>
      <w:r w:rsidR="00C64050">
        <w:rPr>
          <w:szCs w:val="20"/>
        </w:rPr>
        <w:t xml:space="preserve"> </w:t>
      </w:r>
      <w:r w:rsidRPr="00D66AAD">
        <w:rPr>
          <w:szCs w:val="20"/>
        </w:rPr>
        <w:t>is</w:t>
      </w:r>
      <w:r w:rsidR="00C64050">
        <w:rPr>
          <w:szCs w:val="20"/>
        </w:rPr>
        <w:t xml:space="preserve"> </w:t>
      </w:r>
      <w:r w:rsidRPr="00D66AAD">
        <w:rPr>
          <w:szCs w:val="20"/>
        </w:rPr>
        <w:t>not</w:t>
      </w:r>
      <w:r w:rsidR="00C64050">
        <w:rPr>
          <w:szCs w:val="20"/>
        </w:rPr>
        <w:t xml:space="preserve"> </w:t>
      </w:r>
      <w:r w:rsidRPr="00D66AAD">
        <w:rPr>
          <w:szCs w:val="20"/>
        </w:rPr>
        <w:t>a</w:t>
      </w:r>
      <w:r w:rsidR="00C64050">
        <w:rPr>
          <w:szCs w:val="20"/>
        </w:rPr>
        <w:t xml:space="preserve"> </w:t>
      </w:r>
      <w:r w:rsidRPr="00D66AAD">
        <w:rPr>
          <w:szCs w:val="20"/>
        </w:rPr>
        <w:t>bona</w:t>
      </w:r>
      <w:r w:rsidR="00C64050">
        <w:rPr>
          <w:szCs w:val="20"/>
        </w:rPr>
        <w:t xml:space="preserve"> </w:t>
      </w:r>
      <w:r w:rsidRPr="00D66AAD">
        <w:rPr>
          <w:szCs w:val="20"/>
        </w:rPr>
        <w:t>fide</w:t>
      </w:r>
      <w:r w:rsidR="00C64050">
        <w:rPr>
          <w:szCs w:val="20"/>
        </w:rPr>
        <w:t xml:space="preserve"> </w:t>
      </w:r>
      <w:r w:rsidRPr="00D66AAD">
        <w:rPr>
          <w:szCs w:val="20"/>
        </w:rPr>
        <w:t>sale</w:t>
      </w:r>
      <w:r w:rsidR="00C64050">
        <w:rPr>
          <w:szCs w:val="20"/>
        </w:rPr>
        <w:t xml:space="preserve"> </w:t>
      </w:r>
      <w:r w:rsidRPr="00D66AAD">
        <w:rPr>
          <w:szCs w:val="20"/>
        </w:rPr>
        <w:t>for</w:t>
      </w:r>
      <w:r w:rsidR="00C64050">
        <w:rPr>
          <w:szCs w:val="20"/>
        </w:rPr>
        <w:t xml:space="preserve"> </w:t>
      </w:r>
      <w:r w:rsidRPr="00D66AAD">
        <w:rPr>
          <w:szCs w:val="20"/>
        </w:rPr>
        <w:t>an</w:t>
      </w:r>
      <w:r w:rsidR="00C64050">
        <w:rPr>
          <w:szCs w:val="20"/>
        </w:rPr>
        <w:t xml:space="preserve"> </w:t>
      </w:r>
      <w:r w:rsidRPr="00D66AAD">
        <w:rPr>
          <w:szCs w:val="20"/>
        </w:rPr>
        <w:t>adequate</w:t>
      </w:r>
      <w:r w:rsidR="00C64050">
        <w:rPr>
          <w:szCs w:val="20"/>
        </w:rPr>
        <w:t xml:space="preserve"> </w:t>
      </w:r>
      <w:r w:rsidRPr="00D66AAD">
        <w:rPr>
          <w:szCs w:val="20"/>
        </w:rPr>
        <w:t>and</w:t>
      </w:r>
      <w:r w:rsidR="00C64050">
        <w:rPr>
          <w:szCs w:val="20"/>
        </w:rPr>
        <w:t xml:space="preserve"> </w:t>
      </w:r>
      <w:r w:rsidRPr="00D66AAD">
        <w:rPr>
          <w:szCs w:val="20"/>
        </w:rPr>
        <w:t>full</w:t>
      </w:r>
      <w:r w:rsidR="00C64050">
        <w:rPr>
          <w:szCs w:val="20"/>
        </w:rPr>
        <w:t xml:space="preserve"> </w:t>
      </w:r>
      <w:r w:rsidRPr="00D66AAD">
        <w:rPr>
          <w:szCs w:val="20"/>
        </w:rPr>
        <w:t>consideration</w:t>
      </w:r>
      <w:r w:rsidR="00C64050">
        <w:rPr>
          <w:szCs w:val="20"/>
        </w:rPr>
        <w:t xml:space="preserve"> </w:t>
      </w:r>
      <w:r w:rsidRPr="00D66AAD">
        <w:rPr>
          <w:szCs w:val="20"/>
        </w:rPr>
        <w:t>in</w:t>
      </w:r>
      <w:r w:rsidR="00C64050">
        <w:rPr>
          <w:szCs w:val="20"/>
        </w:rPr>
        <w:t xml:space="preserve"> </w:t>
      </w:r>
      <w:r w:rsidRPr="00D66AAD">
        <w:rPr>
          <w:szCs w:val="20"/>
        </w:rPr>
        <w:t>money</w:t>
      </w:r>
      <w:r w:rsidR="00C64050">
        <w:rPr>
          <w:szCs w:val="20"/>
        </w:rPr>
        <w:t xml:space="preserve"> </w:t>
      </w:r>
      <w:r w:rsidRPr="00D66AAD">
        <w:rPr>
          <w:szCs w:val="20"/>
        </w:rPr>
        <w:t>or</w:t>
      </w:r>
      <w:r w:rsidR="00C64050">
        <w:rPr>
          <w:szCs w:val="20"/>
        </w:rPr>
        <w:t xml:space="preserve"> </w:t>
      </w:r>
      <w:r w:rsidRPr="00D66AAD">
        <w:rPr>
          <w:szCs w:val="20"/>
        </w:rPr>
        <w:t>money’s</w:t>
      </w:r>
      <w:r w:rsidR="00C64050">
        <w:rPr>
          <w:szCs w:val="20"/>
        </w:rPr>
        <w:t xml:space="preserve"> </w:t>
      </w:r>
      <w:r w:rsidRPr="00D66AAD">
        <w:rPr>
          <w:szCs w:val="20"/>
        </w:rPr>
        <w:t>worth,</w:t>
      </w:r>
      <w:r w:rsidR="00C64050">
        <w:rPr>
          <w:szCs w:val="20"/>
        </w:rPr>
        <w:t xml:space="preserve"> </w:t>
      </w:r>
      <w:r w:rsidRPr="00D66AAD">
        <w:rPr>
          <w:szCs w:val="20"/>
        </w:rPr>
        <w:t>there</w:t>
      </w:r>
      <w:r w:rsidR="00C64050">
        <w:rPr>
          <w:szCs w:val="20"/>
        </w:rPr>
        <w:t xml:space="preserve"> </w:t>
      </w:r>
      <w:r w:rsidRPr="00D66AAD">
        <w:rPr>
          <w:szCs w:val="20"/>
        </w:rPr>
        <w:t>shall</w:t>
      </w:r>
      <w:r w:rsidR="00C64050">
        <w:rPr>
          <w:szCs w:val="20"/>
        </w:rPr>
        <w:t xml:space="preserve"> </w:t>
      </w:r>
      <w:r w:rsidRPr="00D66AAD">
        <w:rPr>
          <w:szCs w:val="20"/>
        </w:rPr>
        <w:t>be</w:t>
      </w:r>
      <w:r w:rsidR="00C64050">
        <w:rPr>
          <w:szCs w:val="20"/>
        </w:rPr>
        <w:t xml:space="preserve"> </w:t>
      </w:r>
      <w:r w:rsidRPr="00D66AAD">
        <w:rPr>
          <w:szCs w:val="20"/>
        </w:rPr>
        <w:t>included</w:t>
      </w:r>
      <w:r w:rsidR="00C64050">
        <w:rPr>
          <w:szCs w:val="20"/>
        </w:rPr>
        <w:t xml:space="preserve"> </w:t>
      </w:r>
      <w:r w:rsidRPr="00D66AAD">
        <w:rPr>
          <w:szCs w:val="20"/>
        </w:rPr>
        <w:t>in</w:t>
      </w:r>
      <w:r w:rsidR="00C64050">
        <w:rPr>
          <w:szCs w:val="20"/>
        </w:rPr>
        <w:t xml:space="preserve"> </w:t>
      </w:r>
      <w:r w:rsidRPr="00D66AAD">
        <w:rPr>
          <w:szCs w:val="20"/>
        </w:rPr>
        <w:t>the</w:t>
      </w:r>
      <w:r w:rsidR="00C64050">
        <w:rPr>
          <w:szCs w:val="20"/>
        </w:rPr>
        <w:t xml:space="preserve"> </w:t>
      </w:r>
      <w:r w:rsidRPr="00D66AAD">
        <w:rPr>
          <w:szCs w:val="20"/>
        </w:rPr>
        <w:t>gross</w:t>
      </w:r>
      <w:r w:rsidR="00C64050">
        <w:rPr>
          <w:szCs w:val="20"/>
        </w:rPr>
        <w:t xml:space="preserve"> </w:t>
      </w:r>
      <w:r w:rsidRPr="00D66AAD">
        <w:rPr>
          <w:szCs w:val="20"/>
        </w:rPr>
        <w:t>estate</w:t>
      </w:r>
      <w:r w:rsidR="00C64050">
        <w:rPr>
          <w:szCs w:val="20"/>
        </w:rPr>
        <w:t xml:space="preserve"> </w:t>
      </w:r>
      <w:r w:rsidRPr="00D66AAD">
        <w:rPr>
          <w:rStyle w:val="Emphasis"/>
          <w:color w:val="212121"/>
          <w:szCs w:val="20"/>
        </w:rPr>
        <w:t>only</w:t>
      </w:r>
      <w:r w:rsidR="00C64050">
        <w:rPr>
          <w:szCs w:val="20"/>
        </w:rPr>
        <w:t xml:space="preserve"> </w:t>
      </w:r>
      <w:r w:rsidRPr="00D66AAD">
        <w:rPr>
          <w:szCs w:val="20"/>
        </w:rPr>
        <w:t>the</w:t>
      </w:r>
      <w:r w:rsidR="00C64050">
        <w:rPr>
          <w:szCs w:val="20"/>
        </w:rPr>
        <w:t xml:space="preserve"> </w:t>
      </w:r>
      <w:r w:rsidRPr="00D66AAD">
        <w:rPr>
          <w:szCs w:val="20"/>
        </w:rPr>
        <w:t>excess</w:t>
      </w:r>
      <w:r w:rsidR="00C64050">
        <w:rPr>
          <w:szCs w:val="20"/>
        </w:rPr>
        <w:t xml:space="preserve"> </w:t>
      </w:r>
      <w:r w:rsidRPr="00D66AAD">
        <w:rPr>
          <w:szCs w:val="20"/>
        </w:rPr>
        <w:t>of</w:t>
      </w:r>
      <w:r w:rsidR="00C64050">
        <w:rPr>
          <w:szCs w:val="20"/>
        </w:rPr>
        <w:t xml:space="preserve"> </w:t>
      </w:r>
      <w:r w:rsidRPr="00D66AAD">
        <w:rPr>
          <w:szCs w:val="20"/>
        </w:rPr>
        <w:t>the</w:t>
      </w:r>
      <w:r w:rsidR="00C64050">
        <w:rPr>
          <w:szCs w:val="20"/>
        </w:rPr>
        <w:t xml:space="preserve"> </w:t>
      </w:r>
      <w:r w:rsidRPr="00D66AAD">
        <w:rPr>
          <w:szCs w:val="20"/>
        </w:rPr>
        <w:t>fair</w:t>
      </w:r>
      <w:r w:rsidR="00C64050">
        <w:rPr>
          <w:szCs w:val="20"/>
        </w:rPr>
        <w:t xml:space="preserve"> </w:t>
      </w:r>
      <w:r w:rsidRPr="00D66AAD">
        <w:rPr>
          <w:szCs w:val="20"/>
        </w:rPr>
        <w:t>market</w:t>
      </w:r>
      <w:r w:rsidR="00C64050">
        <w:rPr>
          <w:szCs w:val="20"/>
        </w:rPr>
        <w:t xml:space="preserve"> </w:t>
      </w:r>
      <w:r w:rsidRPr="00D66AAD">
        <w:rPr>
          <w:szCs w:val="20"/>
        </w:rPr>
        <w:t>value</w:t>
      </w:r>
      <w:r w:rsidR="00C64050">
        <w:rPr>
          <w:szCs w:val="20"/>
        </w:rPr>
        <w:t xml:space="preserve"> </w:t>
      </w:r>
      <w:r w:rsidRPr="00D66AAD">
        <w:rPr>
          <w:szCs w:val="20"/>
        </w:rPr>
        <w:t>at</w:t>
      </w:r>
      <w:r w:rsidR="00C64050">
        <w:rPr>
          <w:szCs w:val="20"/>
        </w:rPr>
        <w:t xml:space="preserve"> </w:t>
      </w:r>
      <w:r w:rsidRPr="00D66AAD">
        <w:rPr>
          <w:szCs w:val="20"/>
        </w:rPr>
        <w:t>the</w:t>
      </w:r>
      <w:r w:rsidR="00C64050">
        <w:rPr>
          <w:szCs w:val="20"/>
        </w:rPr>
        <w:t xml:space="preserve"> </w:t>
      </w:r>
      <w:r w:rsidRPr="00D66AAD">
        <w:rPr>
          <w:szCs w:val="20"/>
        </w:rPr>
        <w:t>time</w:t>
      </w:r>
      <w:r w:rsidR="00C64050">
        <w:rPr>
          <w:szCs w:val="20"/>
        </w:rPr>
        <w:t xml:space="preserve"> </w:t>
      </w:r>
      <w:r w:rsidRPr="00D66AAD">
        <w:rPr>
          <w:szCs w:val="20"/>
        </w:rPr>
        <w:t>of</w:t>
      </w:r>
      <w:r w:rsidR="00C64050">
        <w:rPr>
          <w:szCs w:val="20"/>
        </w:rPr>
        <w:t xml:space="preserve"> </w:t>
      </w:r>
      <w:r w:rsidRPr="00D66AAD">
        <w:rPr>
          <w:szCs w:val="20"/>
        </w:rPr>
        <w:t>death</w:t>
      </w:r>
      <w:r w:rsidR="00C64050">
        <w:rPr>
          <w:szCs w:val="20"/>
        </w:rPr>
        <w:t xml:space="preserve"> </w:t>
      </w:r>
      <w:r w:rsidRPr="00D66AAD">
        <w:rPr>
          <w:szCs w:val="20"/>
        </w:rPr>
        <w:t>of</w:t>
      </w:r>
      <w:r w:rsidR="00C64050">
        <w:rPr>
          <w:szCs w:val="20"/>
        </w:rPr>
        <w:t xml:space="preserve"> </w:t>
      </w:r>
      <w:r w:rsidRPr="00D66AAD">
        <w:rPr>
          <w:szCs w:val="20"/>
        </w:rPr>
        <w:t>the</w:t>
      </w:r>
      <w:r w:rsidR="00C64050">
        <w:rPr>
          <w:szCs w:val="20"/>
        </w:rPr>
        <w:t xml:space="preserve"> </w:t>
      </w:r>
      <w:r w:rsidRPr="00D66AAD">
        <w:rPr>
          <w:szCs w:val="20"/>
        </w:rPr>
        <w:t>property</w:t>
      </w:r>
      <w:r w:rsidR="00C64050">
        <w:rPr>
          <w:szCs w:val="20"/>
        </w:rPr>
        <w:t xml:space="preserve"> </w:t>
      </w:r>
      <w:r w:rsidRPr="00D66AAD">
        <w:rPr>
          <w:szCs w:val="20"/>
        </w:rPr>
        <w:t>otherwise</w:t>
      </w:r>
      <w:r w:rsidR="00C64050">
        <w:rPr>
          <w:szCs w:val="20"/>
        </w:rPr>
        <w:t xml:space="preserve"> </w:t>
      </w:r>
      <w:r w:rsidRPr="00D66AAD">
        <w:rPr>
          <w:szCs w:val="20"/>
        </w:rPr>
        <w:t>to</w:t>
      </w:r>
      <w:r w:rsidR="00C64050">
        <w:rPr>
          <w:szCs w:val="20"/>
        </w:rPr>
        <w:t xml:space="preserve"> </w:t>
      </w:r>
      <w:r w:rsidRPr="00D66AAD">
        <w:rPr>
          <w:szCs w:val="20"/>
        </w:rPr>
        <w:t>be</w:t>
      </w:r>
      <w:r w:rsidR="00C64050">
        <w:rPr>
          <w:szCs w:val="20"/>
        </w:rPr>
        <w:t xml:space="preserve"> </w:t>
      </w:r>
      <w:r w:rsidRPr="00D66AAD">
        <w:rPr>
          <w:szCs w:val="20"/>
        </w:rPr>
        <w:t>included</w:t>
      </w:r>
      <w:r w:rsidR="00C64050">
        <w:rPr>
          <w:szCs w:val="20"/>
        </w:rPr>
        <w:t xml:space="preserve"> </w:t>
      </w:r>
      <w:r w:rsidRPr="00D66AAD">
        <w:rPr>
          <w:szCs w:val="20"/>
        </w:rPr>
        <w:t>on</w:t>
      </w:r>
      <w:r w:rsidR="00C64050">
        <w:rPr>
          <w:szCs w:val="20"/>
        </w:rPr>
        <w:t xml:space="preserve"> </w:t>
      </w:r>
      <w:r w:rsidRPr="00D66AAD">
        <w:rPr>
          <w:szCs w:val="20"/>
        </w:rPr>
        <w:t>account</w:t>
      </w:r>
      <w:r w:rsidR="00C64050">
        <w:rPr>
          <w:szCs w:val="20"/>
        </w:rPr>
        <w:t xml:space="preserve"> </w:t>
      </w:r>
      <w:r w:rsidRPr="00D66AAD">
        <w:rPr>
          <w:szCs w:val="20"/>
        </w:rPr>
        <w:t>of</w:t>
      </w:r>
      <w:r w:rsidR="00C64050">
        <w:rPr>
          <w:szCs w:val="20"/>
        </w:rPr>
        <w:t xml:space="preserve"> </w:t>
      </w:r>
      <w:r w:rsidRPr="00D66AAD">
        <w:rPr>
          <w:szCs w:val="20"/>
        </w:rPr>
        <w:t>such</w:t>
      </w:r>
      <w:r w:rsidR="00C64050">
        <w:rPr>
          <w:szCs w:val="20"/>
        </w:rPr>
        <w:t xml:space="preserve"> </w:t>
      </w:r>
      <w:r w:rsidRPr="00D66AAD">
        <w:rPr>
          <w:szCs w:val="20"/>
        </w:rPr>
        <w:t>transaction,</w:t>
      </w:r>
      <w:r w:rsidR="00C64050">
        <w:rPr>
          <w:szCs w:val="20"/>
        </w:rPr>
        <w:t xml:space="preserve"> </w:t>
      </w:r>
      <w:r w:rsidRPr="00D66AAD">
        <w:rPr>
          <w:szCs w:val="20"/>
        </w:rPr>
        <w:t>over</w:t>
      </w:r>
      <w:r w:rsidR="00C64050">
        <w:rPr>
          <w:szCs w:val="20"/>
        </w:rPr>
        <w:t xml:space="preserve"> </w:t>
      </w:r>
      <w:r w:rsidRPr="00D66AAD">
        <w:rPr>
          <w:szCs w:val="20"/>
        </w:rPr>
        <w:t>the</w:t>
      </w:r>
      <w:r w:rsidR="00C64050">
        <w:rPr>
          <w:szCs w:val="20"/>
        </w:rPr>
        <w:t xml:space="preserve"> </w:t>
      </w:r>
      <w:r w:rsidRPr="00D66AAD">
        <w:rPr>
          <w:szCs w:val="20"/>
        </w:rPr>
        <w:t>value</w:t>
      </w:r>
      <w:r w:rsidR="00C64050">
        <w:rPr>
          <w:szCs w:val="20"/>
        </w:rPr>
        <w:t xml:space="preserve"> </w:t>
      </w:r>
      <w:r w:rsidRPr="00D66AAD">
        <w:rPr>
          <w:szCs w:val="20"/>
        </w:rPr>
        <w:t>of</w:t>
      </w:r>
      <w:r w:rsidR="00C64050">
        <w:rPr>
          <w:szCs w:val="20"/>
        </w:rPr>
        <w:t xml:space="preserve"> </w:t>
      </w:r>
      <w:r w:rsidRPr="00D66AAD">
        <w:rPr>
          <w:szCs w:val="20"/>
        </w:rPr>
        <w:t>the</w:t>
      </w:r>
      <w:r w:rsidR="00C64050">
        <w:rPr>
          <w:szCs w:val="20"/>
        </w:rPr>
        <w:t xml:space="preserve"> </w:t>
      </w:r>
      <w:r w:rsidRPr="00D66AAD">
        <w:rPr>
          <w:szCs w:val="20"/>
        </w:rPr>
        <w:t>consideration</w:t>
      </w:r>
      <w:r w:rsidR="00C64050">
        <w:rPr>
          <w:szCs w:val="20"/>
        </w:rPr>
        <w:t xml:space="preserve"> </w:t>
      </w:r>
      <w:r w:rsidRPr="00D66AAD">
        <w:rPr>
          <w:szCs w:val="20"/>
        </w:rPr>
        <w:t>received</w:t>
      </w:r>
      <w:r w:rsidR="00C64050">
        <w:rPr>
          <w:szCs w:val="20"/>
        </w:rPr>
        <w:t xml:space="preserve"> </w:t>
      </w:r>
      <w:r w:rsidRPr="00D66AAD">
        <w:rPr>
          <w:szCs w:val="20"/>
        </w:rPr>
        <w:t>therefor</w:t>
      </w:r>
      <w:r w:rsidR="00C64050">
        <w:rPr>
          <w:szCs w:val="20"/>
        </w:rPr>
        <w:t xml:space="preserve"> </w:t>
      </w:r>
      <w:r w:rsidRPr="00D66AAD">
        <w:rPr>
          <w:szCs w:val="20"/>
        </w:rPr>
        <w:t>by</w:t>
      </w:r>
      <w:r w:rsidR="00C64050">
        <w:rPr>
          <w:szCs w:val="20"/>
        </w:rPr>
        <w:t xml:space="preserve"> </w:t>
      </w:r>
      <w:r w:rsidRPr="00D66AAD">
        <w:rPr>
          <w:szCs w:val="20"/>
        </w:rPr>
        <w:t>the</w:t>
      </w:r>
      <w:r w:rsidR="00C64050">
        <w:rPr>
          <w:szCs w:val="20"/>
        </w:rPr>
        <w:t xml:space="preserve"> </w:t>
      </w:r>
      <w:r w:rsidRPr="00D66AAD">
        <w:rPr>
          <w:szCs w:val="20"/>
        </w:rPr>
        <w:t>decedent.</w:t>
      </w:r>
    </w:p>
    <w:p w:rsidR="00D66AAD" w:rsidRPr="00B32CE4" w:rsidRDefault="00D66AAD" w:rsidP="00D66AAD">
      <w:pPr>
        <w:pStyle w:val="QS10"/>
        <w:rPr>
          <w:color w:val="000000" w:themeColor="text1"/>
          <w:szCs w:val="20"/>
        </w:rPr>
      </w:pP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number</w:t>
      </w:r>
      <w:r w:rsidR="00C64050" w:rsidRPr="00B32CE4">
        <w:rPr>
          <w:color w:val="000000" w:themeColor="text1"/>
          <w:szCs w:val="20"/>
        </w:rPr>
        <w:t xml:space="preserve"> </w:t>
      </w:r>
      <w:r w:rsidRPr="00B32CE4">
        <w:rPr>
          <w:color w:val="000000" w:themeColor="text1"/>
          <w:szCs w:val="20"/>
        </w:rPr>
        <w:t>that</w:t>
      </w:r>
      <w:r w:rsidR="00C64050" w:rsidRPr="00B32CE4">
        <w:rPr>
          <w:color w:val="000000" w:themeColor="text1"/>
          <w:szCs w:val="20"/>
        </w:rPr>
        <w:t xml:space="preserve"> </w:t>
      </w:r>
      <w:r w:rsidRPr="00B32CE4">
        <w:rPr>
          <w:color w:val="000000" w:themeColor="text1"/>
          <w:szCs w:val="20"/>
        </w:rPr>
        <w:t>needs</w:t>
      </w:r>
      <w:r w:rsidR="00C64050" w:rsidRPr="00B32CE4">
        <w:rPr>
          <w:color w:val="000000" w:themeColor="text1"/>
          <w:szCs w:val="20"/>
        </w:rPr>
        <w:t xml:space="preserve"> </w:t>
      </w:r>
      <w:r w:rsidRPr="00B32CE4">
        <w:rPr>
          <w:color w:val="000000" w:themeColor="text1"/>
          <w:szCs w:val="20"/>
        </w:rPr>
        <w:t>to</w:t>
      </w:r>
      <w:r w:rsidR="00C64050" w:rsidRPr="00B32CE4">
        <w:rPr>
          <w:color w:val="000000" w:themeColor="text1"/>
          <w:szCs w:val="20"/>
        </w:rPr>
        <w:t xml:space="preserve"> </w:t>
      </w:r>
      <w:r w:rsidRPr="00B32CE4">
        <w:rPr>
          <w:color w:val="000000" w:themeColor="text1"/>
          <w:szCs w:val="20"/>
        </w:rPr>
        <w:t>be</w:t>
      </w:r>
      <w:r w:rsidR="00C64050" w:rsidRPr="00B32CE4">
        <w:rPr>
          <w:color w:val="000000" w:themeColor="text1"/>
          <w:szCs w:val="20"/>
        </w:rPr>
        <w:t xml:space="preserve"> </w:t>
      </w:r>
      <w:r w:rsidRPr="00B32CE4">
        <w:rPr>
          <w:color w:val="000000" w:themeColor="text1"/>
          <w:szCs w:val="20"/>
        </w:rPr>
        <w:t>included</w:t>
      </w:r>
      <w:r w:rsidR="00C64050" w:rsidRPr="00B32CE4">
        <w:rPr>
          <w:color w:val="000000" w:themeColor="text1"/>
          <w:szCs w:val="20"/>
        </w:rPr>
        <w:t xml:space="preserve"> </w:t>
      </w:r>
      <w:r w:rsidRPr="00B32CE4">
        <w:rPr>
          <w:color w:val="000000" w:themeColor="text1"/>
          <w:szCs w:val="20"/>
        </w:rPr>
        <w:t>in</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gross</w:t>
      </w:r>
      <w:r w:rsidR="00C64050" w:rsidRPr="00B32CE4">
        <w:rPr>
          <w:color w:val="000000" w:themeColor="text1"/>
          <w:szCs w:val="20"/>
        </w:rPr>
        <w:t xml:space="preserve"> </w:t>
      </w:r>
      <w:r w:rsidRPr="00B32CE4">
        <w:rPr>
          <w:color w:val="000000" w:themeColor="text1"/>
          <w:szCs w:val="20"/>
        </w:rPr>
        <w:t>estate</w:t>
      </w:r>
      <w:r w:rsidR="00C64050" w:rsidRPr="00B32CE4">
        <w:rPr>
          <w:color w:val="000000" w:themeColor="text1"/>
          <w:szCs w:val="20"/>
        </w:rPr>
        <w:t xml:space="preserve"> </w:t>
      </w:r>
      <w:r w:rsidRPr="00B32CE4">
        <w:rPr>
          <w:color w:val="000000" w:themeColor="text1"/>
          <w:szCs w:val="20"/>
        </w:rPr>
        <w:t>can</w:t>
      </w:r>
      <w:r w:rsidR="00C64050" w:rsidRPr="00B32CE4">
        <w:rPr>
          <w:color w:val="000000" w:themeColor="text1"/>
          <w:szCs w:val="20"/>
        </w:rPr>
        <w:t xml:space="preserve"> </w:t>
      </w:r>
      <w:r w:rsidRPr="00B32CE4">
        <w:rPr>
          <w:color w:val="000000" w:themeColor="text1"/>
          <w:szCs w:val="20"/>
        </w:rPr>
        <w:t>be</w:t>
      </w:r>
      <w:r w:rsidR="00C64050" w:rsidRPr="00B32CE4">
        <w:rPr>
          <w:color w:val="000000" w:themeColor="text1"/>
          <w:szCs w:val="20"/>
        </w:rPr>
        <w:t xml:space="preserve"> </w:t>
      </w:r>
      <w:r w:rsidRPr="00B32CE4">
        <w:rPr>
          <w:color w:val="000000" w:themeColor="text1"/>
          <w:szCs w:val="20"/>
        </w:rPr>
        <w:t>expressed</w:t>
      </w:r>
      <w:r w:rsidR="00C64050" w:rsidRPr="00B32CE4">
        <w:rPr>
          <w:color w:val="000000" w:themeColor="text1"/>
          <w:szCs w:val="20"/>
        </w:rPr>
        <w:t xml:space="preserve"> </w:t>
      </w:r>
      <w:r w:rsidRPr="00B32CE4">
        <w:rPr>
          <w:color w:val="000000" w:themeColor="text1"/>
          <w:szCs w:val="20"/>
        </w:rPr>
        <w:t>in</w:t>
      </w:r>
      <w:r w:rsidR="00C64050" w:rsidRPr="00B32CE4">
        <w:rPr>
          <w:color w:val="000000" w:themeColor="text1"/>
          <w:szCs w:val="20"/>
        </w:rPr>
        <w:t xml:space="preserve"> </w:t>
      </w:r>
      <w:r w:rsidRPr="00B32CE4">
        <w:rPr>
          <w:color w:val="000000" w:themeColor="text1"/>
          <w:szCs w:val="20"/>
        </w:rPr>
        <w:t>an</w:t>
      </w:r>
      <w:r w:rsidR="00C64050" w:rsidRPr="00B32CE4">
        <w:rPr>
          <w:color w:val="000000" w:themeColor="text1"/>
          <w:szCs w:val="20"/>
        </w:rPr>
        <w:t xml:space="preserve"> </w:t>
      </w:r>
      <w:r w:rsidRPr="00B32CE4">
        <w:rPr>
          <w:color w:val="000000" w:themeColor="text1"/>
          <w:szCs w:val="20"/>
        </w:rPr>
        <w:t>equation:</w:t>
      </w:r>
      <w:r w:rsidR="00C64050" w:rsidRPr="00B32CE4">
        <w:rPr>
          <w:color w:val="000000" w:themeColor="text1"/>
          <w:szCs w:val="20"/>
        </w:rPr>
        <w:t xml:space="preserve"> </w:t>
      </w:r>
      <w:r w:rsidRPr="00B32CE4">
        <w:rPr>
          <w:color w:val="000000" w:themeColor="text1"/>
          <w:szCs w:val="20"/>
        </w:rPr>
        <w:t>V</w:t>
      </w:r>
      <w:r w:rsidRPr="00B32CE4">
        <w:rPr>
          <w:color w:val="000000" w:themeColor="text1"/>
          <w:szCs w:val="20"/>
          <w:vertAlign w:val="subscript"/>
        </w:rPr>
        <w:t>included</w:t>
      </w:r>
      <w:r w:rsidR="00C64050" w:rsidRPr="00B32CE4">
        <w:rPr>
          <w:color w:val="000000" w:themeColor="text1"/>
          <w:szCs w:val="20"/>
        </w:rPr>
        <w:t xml:space="preserve"> </w:t>
      </w:r>
      <w:r w:rsidRPr="00B32CE4">
        <w:rPr>
          <w:color w:val="000000" w:themeColor="text1"/>
          <w:szCs w:val="20"/>
        </w:rPr>
        <w:t>=</w:t>
      </w:r>
      <w:r w:rsidR="00C64050" w:rsidRPr="00B32CE4">
        <w:rPr>
          <w:color w:val="000000" w:themeColor="text1"/>
          <w:szCs w:val="20"/>
        </w:rPr>
        <w:t xml:space="preserve"> </w:t>
      </w:r>
      <w:r w:rsidRPr="00B32CE4">
        <w:rPr>
          <w:color w:val="000000" w:themeColor="text1"/>
          <w:szCs w:val="20"/>
        </w:rPr>
        <w:t>C</w:t>
      </w:r>
      <w:r w:rsidRPr="00B32CE4">
        <w:rPr>
          <w:color w:val="000000" w:themeColor="text1"/>
          <w:szCs w:val="20"/>
          <w:vertAlign w:val="subscript"/>
        </w:rPr>
        <w:t>d</w:t>
      </w:r>
      <w:r w:rsidR="00C64050" w:rsidRPr="00B32CE4">
        <w:rPr>
          <w:color w:val="000000" w:themeColor="text1"/>
          <w:szCs w:val="20"/>
        </w:rPr>
        <w:t xml:space="preserve"> </w:t>
      </w:r>
      <w:r w:rsidRPr="00B32CE4">
        <w:rPr>
          <w:color w:val="000000" w:themeColor="text1"/>
          <w:szCs w:val="20"/>
        </w:rPr>
        <w:t>+</w:t>
      </w:r>
      <w:r w:rsidR="00C64050" w:rsidRPr="00B32CE4">
        <w:rPr>
          <w:color w:val="000000" w:themeColor="text1"/>
          <w:szCs w:val="20"/>
        </w:rPr>
        <w:t xml:space="preserve"> </w:t>
      </w:r>
      <w:r w:rsidRPr="00B32CE4">
        <w:rPr>
          <w:color w:val="000000" w:themeColor="text1"/>
          <w:szCs w:val="20"/>
        </w:rPr>
        <w:t>FMV</w:t>
      </w:r>
      <w:r w:rsidRPr="00B32CE4">
        <w:rPr>
          <w:color w:val="000000" w:themeColor="text1"/>
          <w:szCs w:val="20"/>
          <w:vertAlign w:val="subscript"/>
        </w:rPr>
        <w:t>d</w:t>
      </w:r>
      <w:r w:rsidR="00C64050" w:rsidRPr="00B32CE4">
        <w:rPr>
          <w:color w:val="000000" w:themeColor="text1"/>
          <w:szCs w:val="20"/>
        </w:rPr>
        <w:t xml:space="preserve"> </w:t>
      </w:r>
      <w:r w:rsidRPr="00B32CE4">
        <w:rPr>
          <w:color w:val="000000" w:themeColor="text1"/>
          <w:szCs w:val="20"/>
        </w:rPr>
        <w:t>-</w:t>
      </w:r>
      <w:r w:rsidR="00C64050" w:rsidRPr="00B32CE4">
        <w:rPr>
          <w:color w:val="000000" w:themeColor="text1"/>
          <w:szCs w:val="20"/>
        </w:rPr>
        <w:t xml:space="preserve"> </w:t>
      </w:r>
      <w:r w:rsidRPr="00B32CE4">
        <w:rPr>
          <w:color w:val="000000" w:themeColor="text1"/>
          <w:szCs w:val="20"/>
        </w:rPr>
        <w:t>C</w:t>
      </w:r>
      <w:r w:rsidRPr="00B32CE4">
        <w:rPr>
          <w:color w:val="000000" w:themeColor="text1"/>
          <w:szCs w:val="20"/>
          <w:vertAlign w:val="subscript"/>
        </w:rPr>
        <w:t>t</w:t>
      </w:r>
      <w:r w:rsidRPr="00B32CE4">
        <w:rPr>
          <w:color w:val="000000" w:themeColor="text1"/>
          <w:szCs w:val="20"/>
        </w:rPr>
        <w:t>,</w:t>
      </w:r>
      <w:r w:rsidR="00C64050" w:rsidRPr="00B32CE4">
        <w:rPr>
          <w:color w:val="000000" w:themeColor="text1"/>
          <w:szCs w:val="20"/>
        </w:rPr>
        <w:t xml:space="preserve"> </w:t>
      </w:r>
      <w:r w:rsidRPr="00B32CE4">
        <w:rPr>
          <w:color w:val="000000" w:themeColor="text1"/>
          <w:szCs w:val="20"/>
        </w:rPr>
        <w:t>where</w:t>
      </w:r>
    </w:p>
    <w:p w:rsidR="00D66AAD" w:rsidRPr="00B32CE4" w:rsidRDefault="00D66AAD" w:rsidP="00D66AAD">
      <w:pPr>
        <w:pStyle w:val="QS10"/>
        <w:rPr>
          <w:color w:val="000000" w:themeColor="text1"/>
          <w:szCs w:val="20"/>
        </w:rPr>
      </w:pPr>
      <w:r w:rsidRPr="00B32CE4">
        <w:rPr>
          <w:color w:val="000000" w:themeColor="text1"/>
          <w:szCs w:val="20"/>
        </w:rPr>
        <w:t>V</w:t>
      </w:r>
      <w:r w:rsidRPr="00B32CE4">
        <w:rPr>
          <w:color w:val="000000" w:themeColor="text1"/>
          <w:szCs w:val="20"/>
          <w:vertAlign w:val="subscript"/>
        </w:rPr>
        <w:t>included</w:t>
      </w:r>
      <w:r w:rsidR="00C64050" w:rsidRPr="00B32CE4">
        <w:rPr>
          <w:color w:val="000000" w:themeColor="text1"/>
          <w:szCs w:val="20"/>
        </w:rPr>
        <w:t xml:space="preserve"> </w:t>
      </w:r>
      <w:r w:rsidRPr="00B32CE4">
        <w:rPr>
          <w:color w:val="000000" w:themeColor="text1"/>
          <w:szCs w:val="20"/>
        </w:rPr>
        <w:t>=</w:t>
      </w:r>
      <w:r w:rsidR="00C64050" w:rsidRPr="00B32CE4">
        <w:rPr>
          <w:color w:val="000000" w:themeColor="text1"/>
          <w:szCs w:val="20"/>
        </w:rPr>
        <w:t xml:space="preserve"> </w:t>
      </w:r>
      <w:r w:rsidRPr="00B32CE4">
        <w:rPr>
          <w:color w:val="000000" w:themeColor="text1"/>
          <w:szCs w:val="20"/>
        </w:rPr>
        <w:t>value</w:t>
      </w:r>
      <w:r w:rsidR="00C64050" w:rsidRPr="00B32CE4">
        <w:rPr>
          <w:color w:val="000000" w:themeColor="text1"/>
          <w:szCs w:val="20"/>
        </w:rPr>
        <w:t xml:space="preserve"> </w:t>
      </w:r>
      <w:r w:rsidRPr="00B32CE4">
        <w:rPr>
          <w:color w:val="000000" w:themeColor="text1"/>
          <w:szCs w:val="20"/>
        </w:rPr>
        <w:t>that</w:t>
      </w:r>
      <w:r w:rsidR="00C64050" w:rsidRPr="00B32CE4">
        <w:rPr>
          <w:color w:val="000000" w:themeColor="text1"/>
          <w:szCs w:val="20"/>
        </w:rPr>
        <w:t xml:space="preserve"> </w:t>
      </w:r>
      <w:r w:rsidRPr="00B32CE4">
        <w:rPr>
          <w:color w:val="000000" w:themeColor="text1"/>
          <w:szCs w:val="20"/>
        </w:rPr>
        <w:t>must</w:t>
      </w:r>
      <w:r w:rsidR="00C64050" w:rsidRPr="00B32CE4">
        <w:rPr>
          <w:color w:val="000000" w:themeColor="text1"/>
          <w:szCs w:val="20"/>
        </w:rPr>
        <w:t xml:space="preserve"> </w:t>
      </w:r>
      <w:r w:rsidRPr="00B32CE4">
        <w:rPr>
          <w:color w:val="000000" w:themeColor="text1"/>
          <w:szCs w:val="20"/>
        </w:rPr>
        <w:t>be</w:t>
      </w:r>
      <w:r w:rsidR="00C64050" w:rsidRPr="00B32CE4">
        <w:rPr>
          <w:color w:val="000000" w:themeColor="text1"/>
          <w:szCs w:val="20"/>
        </w:rPr>
        <w:t xml:space="preserve"> </w:t>
      </w:r>
      <w:r w:rsidRPr="00B32CE4">
        <w:rPr>
          <w:color w:val="000000" w:themeColor="text1"/>
          <w:szCs w:val="20"/>
        </w:rPr>
        <w:t>added</w:t>
      </w:r>
      <w:r w:rsidR="00C64050" w:rsidRPr="00B32CE4">
        <w:rPr>
          <w:color w:val="000000" w:themeColor="text1"/>
          <w:szCs w:val="20"/>
        </w:rPr>
        <w:t xml:space="preserve"> </w:t>
      </w:r>
      <w:r w:rsidRPr="00B32CE4">
        <w:rPr>
          <w:color w:val="000000" w:themeColor="text1"/>
          <w:szCs w:val="20"/>
        </w:rPr>
        <w:t>to</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gross</w:t>
      </w:r>
      <w:r w:rsidR="00C64050" w:rsidRPr="00B32CE4">
        <w:rPr>
          <w:color w:val="000000" w:themeColor="text1"/>
          <w:szCs w:val="20"/>
        </w:rPr>
        <w:t xml:space="preserve"> </w:t>
      </w:r>
      <w:r w:rsidRPr="00B32CE4">
        <w:rPr>
          <w:color w:val="000000" w:themeColor="text1"/>
          <w:szCs w:val="20"/>
        </w:rPr>
        <w:t>estate;</w:t>
      </w:r>
    </w:p>
    <w:p w:rsidR="00D66AAD" w:rsidRPr="00B32CE4" w:rsidRDefault="00D66AAD" w:rsidP="00D66AAD">
      <w:pPr>
        <w:pStyle w:val="QS10"/>
        <w:rPr>
          <w:color w:val="000000" w:themeColor="text1"/>
          <w:szCs w:val="20"/>
        </w:rPr>
      </w:pPr>
      <w:r w:rsidRPr="00B32CE4">
        <w:rPr>
          <w:color w:val="000000" w:themeColor="text1"/>
          <w:szCs w:val="20"/>
        </w:rPr>
        <w:t>C</w:t>
      </w:r>
      <w:r w:rsidRPr="00B32CE4">
        <w:rPr>
          <w:color w:val="000000" w:themeColor="text1"/>
          <w:szCs w:val="20"/>
          <w:vertAlign w:val="subscript"/>
        </w:rPr>
        <w:t>d</w:t>
      </w:r>
      <w:r w:rsidR="00C64050" w:rsidRPr="00B32CE4">
        <w:rPr>
          <w:color w:val="000000" w:themeColor="text1"/>
          <w:szCs w:val="20"/>
        </w:rPr>
        <w:t xml:space="preserve"> </w:t>
      </w:r>
      <w:r w:rsidRPr="00B32CE4">
        <w:rPr>
          <w:color w:val="000000" w:themeColor="text1"/>
          <w:szCs w:val="20"/>
        </w:rPr>
        <w:t>=</w:t>
      </w:r>
      <w:r w:rsidR="00C64050" w:rsidRPr="00B32CE4">
        <w:rPr>
          <w:color w:val="000000" w:themeColor="text1"/>
          <w:szCs w:val="20"/>
        </w:rPr>
        <w:t xml:space="preserve"> </w:t>
      </w:r>
      <w:r w:rsidRPr="00B32CE4">
        <w:rPr>
          <w:color w:val="000000" w:themeColor="text1"/>
          <w:szCs w:val="20"/>
        </w:rPr>
        <w:t>date-of-death</w:t>
      </w:r>
      <w:r w:rsidR="00C64050" w:rsidRPr="00B32CE4">
        <w:rPr>
          <w:color w:val="000000" w:themeColor="text1"/>
          <w:szCs w:val="20"/>
        </w:rPr>
        <w:t xml:space="preserve"> </w:t>
      </w:r>
      <w:r w:rsidRPr="00B32CE4">
        <w:rPr>
          <w:color w:val="000000" w:themeColor="text1"/>
          <w:szCs w:val="20"/>
        </w:rPr>
        <w:t>value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consideration</w:t>
      </w:r>
      <w:r w:rsidR="00C64050" w:rsidRPr="00B32CE4">
        <w:rPr>
          <w:color w:val="000000" w:themeColor="text1"/>
          <w:szCs w:val="20"/>
        </w:rPr>
        <w:t xml:space="preserve"> </w:t>
      </w:r>
      <w:r w:rsidRPr="00B32CE4">
        <w:rPr>
          <w:color w:val="000000" w:themeColor="text1"/>
          <w:szCs w:val="20"/>
        </w:rPr>
        <w:t>received</w:t>
      </w:r>
      <w:r w:rsidR="00C64050" w:rsidRPr="00B32CE4">
        <w:rPr>
          <w:color w:val="000000" w:themeColor="text1"/>
          <w:szCs w:val="20"/>
        </w:rPr>
        <w:t xml:space="preserve"> </w:t>
      </w:r>
      <w:r w:rsidRPr="00B32CE4">
        <w:rPr>
          <w:color w:val="000000" w:themeColor="text1"/>
          <w:szCs w:val="20"/>
        </w:rPr>
        <w:t>by</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decedent</w:t>
      </w:r>
      <w:r w:rsidR="00C64050" w:rsidRPr="00B32CE4">
        <w:rPr>
          <w:color w:val="000000" w:themeColor="text1"/>
          <w:szCs w:val="20"/>
        </w:rPr>
        <w:t xml:space="preserve"> </w:t>
      </w:r>
      <w:r w:rsidRPr="00B32CE4">
        <w:rPr>
          <w:color w:val="000000" w:themeColor="text1"/>
          <w:szCs w:val="20"/>
        </w:rPr>
        <w:t>from</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transaction</w:t>
      </w:r>
      <w:r w:rsidR="00C64050" w:rsidRPr="00B32CE4">
        <w:rPr>
          <w:color w:val="000000" w:themeColor="text1"/>
          <w:szCs w:val="20"/>
        </w:rPr>
        <w:t xml:space="preserve"> </w:t>
      </w:r>
      <w:r w:rsidRPr="00B32CE4">
        <w:rPr>
          <w:color w:val="000000" w:themeColor="text1"/>
          <w:szCs w:val="20"/>
        </w:rPr>
        <w:t>that</w:t>
      </w:r>
      <w:r w:rsidR="00C64050" w:rsidRPr="00B32CE4">
        <w:rPr>
          <w:color w:val="000000" w:themeColor="text1"/>
          <w:szCs w:val="20"/>
        </w:rPr>
        <w:t xml:space="preserve"> </w:t>
      </w:r>
      <w:r w:rsidRPr="00B32CE4">
        <w:rPr>
          <w:color w:val="000000" w:themeColor="text1"/>
          <w:szCs w:val="20"/>
        </w:rPr>
        <w:t>remains</w:t>
      </w:r>
      <w:r w:rsidR="00C64050" w:rsidRPr="00B32CE4">
        <w:rPr>
          <w:color w:val="000000" w:themeColor="text1"/>
          <w:szCs w:val="20"/>
        </w:rPr>
        <w:t xml:space="preserve"> </w:t>
      </w:r>
      <w:r w:rsidRPr="00B32CE4">
        <w:rPr>
          <w:color w:val="000000" w:themeColor="text1"/>
          <w:szCs w:val="20"/>
        </w:rPr>
        <w:t>in</w:t>
      </w:r>
      <w:r w:rsidR="00C64050" w:rsidRPr="00B32CE4">
        <w:rPr>
          <w:color w:val="000000" w:themeColor="text1"/>
          <w:szCs w:val="20"/>
        </w:rPr>
        <w:t xml:space="preserve"> </w:t>
      </w:r>
      <w:r w:rsidRPr="00B32CE4">
        <w:rPr>
          <w:color w:val="000000" w:themeColor="text1"/>
          <w:szCs w:val="20"/>
        </w:rPr>
        <w:t>his</w:t>
      </w:r>
      <w:r w:rsidR="00C64050" w:rsidRPr="00B32CE4">
        <w:rPr>
          <w:color w:val="000000" w:themeColor="text1"/>
          <w:szCs w:val="20"/>
        </w:rPr>
        <w:t xml:space="preserve"> </w:t>
      </w:r>
      <w:r w:rsidRPr="00B32CE4">
        <w:rPr>
          <w:color w:val="000000" w:themeColor="text1"/>
          <w:szCs w:val="20"/>
        </w:rPr>
        <w:t>estate,</w:t>
      </w:r>
      <w:r w:rsidR="00C64050" w:rsidRPr="00B32CE4">
        <w:rPr>
          <w:color w:val="000000" w:themeColor="text1"/>
          <w:szCs w:val="20"/>
        </w:rPr>
        <w:t xml:space="preserve"> </w:t>
      </w:r>
      <w:r w:rsidRPr="00B32CE4">
        <w:rPr>
          <w:color w:val="000000" w:themeColor="text1"/>
          <w:szCs w:val="20"/>
          <w:u w:val="single"/>
        </w:rPr>
        <w:t>see</w:t>
      </w:r>
      <w:r w:rsidR="00C64050" w:rsidRPr="00B32CE4">
        <w:rPr>
          <w:color w:val="000000" w:themeColor="text1"/>
          <w:szCs w:val="20"/>
        </w:rPr>
        <w:t xml:space="preserve"> </w:t>
      </w:r>
      <w:r w:rsidRPr="00B32CE4">
        <w:rPr>
          <w:color w:val="000000" w:themeColor="text1"/>
          <w:szCs w:val="20"/>
        </w:rPr>
        <w:t>sec.</w:t>
      </w:r>
      <w:r w:rsidR="00C64050" w:rsidRPr="00B32CE4">
        <w:rPr>
          <w:color w:val="000000" w:themeColor="text1"/>
          <w:szCs w:val="20"/>
        </w:rPr>
        <w:t xml:space="preserve"> </w:t>
      </w:r>
      <w:r w:rsidRPr="00B32CE4">
        <w:rPr>
          <w:color w:val="000000" w:themeColor="text1"/>
          <w:szCs w:val="20"/>
        </w:rPr>
        <w:t>2033;</w:t>
      </w:r>
      <w:r w:rsidR="00C64050" w:rsidRPr="00B32CE4">
        <w:rPr>
          <w:color w:val="000000" w:themeColor="text1"/>
          <w:szCs w:val="20"/>
        </w:rPr>
        <w:t xml:space="preserve"> </w:t>
      </w:r>
    </w:p>
    <w:p w:rsidR="00D66AAD" w:rsidRPr="00B32CE4" w:rsidRDefault="00D66AAD" w:rsidP="00D66AAD">
      <w:pPr>
        <w:pStyle w:val="QS10"/>
        <w:rPr>
          <w:color w:val="000000" w:themeColor="text1"/>
          <w:szCs w:val="20"/>
        </w:rPr>
      </w:pPr>
      <w:r w:rsidRPr="00B32CE4">
        <w:rPr>
          <w:color w:val="000000" w:themeColor="text1"/>
          <w:szCs w:val="20"/>
        </w:rPr>
        <w:t>FMV</w:t>
      </w:r>
      <w:r w:rsidRPr="00B32CE4">
        <w:rPr>
          <w:color w:val="000000" w:themeColor="text1"/>
          <w:szCs w:val="20"/>
          <w:vertAlign w:val="subscript"/>
        </w:rPr>
        <w:t>d</w:t>
      </w:r>
      <w:r w:rsidR="00C64050" w:rsidRPr="00B32CE4">
        <w:rPr>
          <w:color w:val="000000" w:themeColor="text1"/>
          <w:szCs w:val="20"/>
        </w:rPr>
        <w:t xml:space="preserve"> </w:t>
      </w:r>
      <w:r w:rsidRPr="00B32CE4">
        <w:rPr>
          <w:color w:val="000000" w:themeColor="text1"/>
          <w:szCs w:val="20"/>
        </w:rPr>
        <w:t>=</w:t>
      </w:r>
      <w:r w:rsidR="00C64050" w:rsidRPr="00B32CE4">
        <w:rPr>
          <w:color w:val="000000" w:themeColor="text1"/>
          <w:szCs w:val="20"/>
        </w:rPr>
        <w:t xml:space="preserve"> </w:t>
      </w:r>
      <w:r w:rsidRPr="00B32CE4">
        <w:rPr>
          <w:color w:val="000000" w:themeColor="text1"/>
          <w:szCs w:val="20"/>
        </w:rPr>
        <w:t>fair</w:t>
      </w:r>
      <w:r w:rsidR="00C64050" w:rsidRPr="00B32CE4">
        <w:rPr>
          <w:color w:val="000000" w:themeColor="text1"/>
          <w:szCs w:val="20"/>
        </w:rPr>
        <w:t xml:space="preserve"> </w:t>
      </w:r>
      <w:r w:rsidRPr="00B32CE4">
        <w:rPr>
          <w:color w:val="000000" w:themeColor="text1"/>
          <w:szCs w:val="20"/>
        </w:rPr>
        <w:t>market</w:t>
      </w:r>
      <w:r w:rsidR="00C64050" w:rsidRPr="00B32CE4">
        <w:rPr>
          <w:color w:val="000000" w:themeColor="text1"/>
          <w:szCs w:val="20"/>
        </w:rPr>
        <w:t xml:space="preserve"> </w:t>
      </w:r>
      <w:r w:rsidRPr="00B32CE4">
        <w:rPr>
          <w:color w:val="000000" w:themeColor="text1"/>
          <w:szCs w:val="20"/>
        </w:rPr>
        <w:t>value</w:t>
      </w:r>
      <w:r w:rsidR="00C64050" w:rsidRPr="00B32CE4">
        <w:rPr>
          <w:color w:val="000000" w:themeColor="text1"/>
          <w:szCs w:val="20"/>
        </w:rPr>
        <w:t xml:space="preserve"> </w:t>
      </w:r>
      <w:r w:rsidRPr="00B32CE4">
        <w:rPr>
          <w:color w:val="000000" w:themeColor="text1"/>
          <w:szCs w:val="20"/>
        </w:rPr>
        <w:t>at</w:t>
      </w:r>
      <w:r w:rsidR="00C64050" w:rsidRPr="00B32CE4">
        <w:rPr>
          <w:color w:val="000000" w:themeColor="text1"/>
          <w:szCs w:val="20"/>
        </w:rPr>
        <w:t xml:space="preserve"> </w:t>
      </w:r>
      <w:r w:rsidRPr="00B32CE4">
        <w:rPr>
          <w:color w:val="000000" w:themeColor="text1"/>
          <w:szCs w:val="20"/>
        </w:rPr>
        <w:t>date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death</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property</w:t>
      </w:r>
      <w:r w:rsidR="00C64050" w:rsidRPr="00B32CE4">
        <w:rPr>
          <w:color w:val="000000" w:themeColor="text1"/>
          <w:szCs w:val="20"/>
        </w:rPr>
        <w:t xml:space="preserve"> </w:t>
      </w:r>
      <w:r w:rsidRPr="00B32CE4">
        <w:rPr>
          <w:color w:val="000000" w:themeColor="text1"/>
          <w:szCs w:val="20"/>
        </w:rPr>
        <w:t>transferred</w:t>
      </w:r>
      <w:r w:rsidR="00C64050" w:rsidRPr="00B32CE4">
        <w:rPr>
          <w:color w:val="000000" w:themeColor="text1"/>
          <w:szCs w:val="20"/>
        </w:rPr>
        <w:t xml:space="preserve"> </w:t>
      </w:r>
      <w:r w:rsidRPr="00B32CE4">
        <w:rPr>
          <w:color w:val="000000" w:themeColor="text1"/>
          <w:szCs w:val="20"/>
        </w:rPr>
        <w:t>by</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decedent</w:t>
      </w:r>
      <w:r w:rsidR="00C64050" w:rsidRPr="00B32CE4">
        <w:rPr>
          <w:color w:val="000000" w:themeColor="text1"/>
          <w:szCs w:val="20"/>
        </w:rPr>
        <w:t xml:space="preserve"> </w:t>
      </w:r>
      <w:r w:rsidRPr="00B32CE4">
        <w:rPr>
          <w:color w:val="000000" w:themeColor="text1"/>
          <w:szCs w:val="20"/>
        </w:rPr>
        <w:t>whose</w:t>
      </w:r>
      <w:r w:rsidR="00C64050" w:rsidRPr="00B32CE4">
        <w:rPr>
          <w:color w:val="000000" w:themeColor="text1"/>
          <w:szCs w:val="20"/>
        </w:rPr>
        <w:t xml:space="preserve"> </w:t>
      </w:r>
      <w:r w:rsidRPr="00B32CE4">
        <w:rPr>
          <w:color w:val="000000" w:themeColor="text1"/>
          <w:szCs w:val="20"/>
        </w:rPr>
        <w:t>value</w:t>
      </w:r>
      <w:r w:rsidR="00C64050" w:rsidRPr="00B32CE4">
        <w:rPr>
          <w:color w:val="000000" w:themeColor="text1"/>
          <w:szCs w:val="20"/>
        </w:rPr>
        <w:t xml:space="preserve"> </w:t>
      </w:r>
      <w:r w:rsidRPr="00B32CE4">
        <w:rPr>
          <w:color w:val="000000" w:themeColor="text1"/>
          <w:szCs w:val="20"/>
        </w:rPr>
        <w:t>is</w:t>
      </w:r>
      <w:r w:rsidR="00C64050" w:rsidRPr="00B32CE4">
        <w:rPr>
          <w:color w:val="000000" w:themeColor="text1"/>
          <w:szCs w:val="20"/>
        </w:rPr>
        <w:t xml:space="preserve"> </w:t>
      </w:r>
      <w:r w:rsidRPr="00B32CE4">
        <w:rPr>
          <w:color w:val="000000" w:themeColor="text1"/>
          <w:szCs w:val="20"/>
        </w:rPr>
        <w:t>included</w:t>
      </w:r>
      <w:r w:rsidR="00C64050" w:rsidRPr="00B32CE4">
        <w:rPr>
          <w:color w:val="000000" w:themeColor="text1"/>
          <w:szCs w:val="20"/>
        </w:rPr>
        <w:t xml:space="preserve"> </w:t>
      </w:r>
      <w:r w:rsidRPr="00B32CE4">
        <w:rPr>
          <w:color w:val="000000" w:themeColor="text1"/>
          <w:szCs w:val="20"/>
        </w:rPr>
        <w:t>in</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gross</w:t>
      </w:r>
      <w:r w:rsidR="00C64050" w:rsidRPr="00B32CE4">
        <w:rPr>
          <w:color w:val="000000" w:themeColor="text1"/>
          <w:szCs w:val="20"/>
        </w:rPr>
        <w:t xml:space="preserve"> </w:t>
      </w:r>
      <w:r w:rsidRPr="00B32CE4">
        <w:rPr>
          <w:color w:val="000000" w:themeColor="text1"/>
          <w:szCs w:val="20"/>
        </w:rPr>
        <w:t>estate</w:t>
      </w:r>
      <w:r w:rsidR="00C64050" w:rsidRPr="00B32CE4">
        <w:rPr>
          <w:color w:val="000000" w:themeColor="text1"/>
          <w:szCs w:val="20"/>
        </w:rPr>
        <w:t xml:space="preserve"> </w:t>
      </w:r>
      <w:r w:rsidRPr="00B32CE4">
        <w:rPr>
          <w:color w:val="000000" w:themeColor="text1"/>
          <w:szCs w:val="20"/>
        </w:rPr>
        <w:t>under</w:t>
      </w:r>
      <w:r w:rsidR="00C64050" w:rsidRPr="00B32CE4">
        <w:rPr>
          <w:color w:val="000000" w:themeColor="text1"/>
          <w:szCs w:val="20"/>
        </w:rPr>
        <w:t xml:space="preserve"> </w:t>
      </w:r>
      <w:r w:rsidRPr="00B32CE4">
        <w:rPr>
          <w:color w:val="000000" w:themeColor="text1"/>
          <w:szCs w:val="20"/>
        </w:rPr>
        <w:t>section</w:t>
      </w:r>
      <w:r w:rsidR="00C64050" w:rsidRPr="00B32CE4">
        <w:rPr>
          <w:color w:val="000000" w:themeColor="text1"/>
          <w:szCs w:val="20"/>
        </w:rPr>
        <w:t xml:space="preserve"> </w:t>
      </w:r>
      <w:r w:rsidRPr="00B32CE4">
        <w:rPr>
          <w:color w:val="000000" w:themeColor="text1"/>
          <w:szCs w:val="20"/>
        </w:rPr>
        <w:t>2036;</w:t>
      </w:r>
      <w:r w:rsidR="00C64050" w:rsidRPr="00B32CE4">
        <w:rPr>
          <w:color w:val="000000" w:themeColor="text1"/>
          <w:szCs w:val="20"/>
        </w:rPr>
        <w:t xml:space="preserve"> </w:t>
      </w:r>
      <w:r w:rsidRPr="00B32CE4">
        <w:rPr>
          <w:color w:val="000000" w:themeColor="text1"/>
          <w:szCs w:val="20"/>
        </w:rPr>
        <w:t>and</w:t>
      </w:r>
    </w:p>
    <w:p w:rsidR="00D66AAD" w:rsidRPr="00B32CE4" w:rsidRDefault="00D66AAD" w:rsidP="00D66AAD">
      <w:pPr>
        <w:pStyle w:val="QS10"/>
        <w:rPr>
          <w:color w:val="000000" w:themeColor="text1"/>
          <w:szCs w:val="20"/>
        </w:rPr>
      </w:pPr>
      <w:r w:rsidRPr="00B32CE4">
        <w:rPr>
          <w:color w:val="000000" w:themeColor="text1"/>
          <w:szCs w:val="20"/>
        </w:rPr>
        <w:t>C</w:t>
      </w:r>
      <w:r w:rsidRPr="00B32CE4">
        <w:rPr>
          <w:color w:val="000000" w:themeColor="text1"/>
          <w:szCs w:val="20"/>
          <w:vertAlign w:val="subscript"/>
        </w:rPr>
        <w:t>t</w:t>
      </w:r>
      <w:r w:rsidR="00C64050" w:rsidRPr="00B32CE4">
        <w:rPr>
          <w:color w:val="000000" w:themeColor="text1"/>
          <w:szCs w:val="20"/>
        </w:rPr>
        <w:t xml:space="preserve"> </w:t>
      </w:r>
      <w:r w:rsidRPr="00B32CE4">
        <w:rPr>
          <w:color w:val="000000" w:themeColor="text1"/>
          <w:szCs w:val="20"/>
        </w:rPr>
        <w:t>=</w:t>
      </w:r>
      <w:r w:rsidR="00C64050" w:rsidRPr="00B32CE4">
        <w:rPr>
          <w:color w:val="000000" w:themeColor="text1"/>
          <w:szCs w:val="20"/>
        </w:rPr>
        <w:t xml:space="preserve"> </w:t>
      </w:r>
      <w:r w:rsidRPr="00B32CE4">
        <w:rPr>
          <w:color w:val="000000" w:themeColor="text1"/>
          <w:szCs w:val="20"/>
        </w:rPr>
        <w:t>consideration</w:t>
      </w:r>
      <w:r w:rsidR="00C64050" w:rsidRPr="00B32CE4">
        <w:rPr>
          <w:color w:val="000000" w:themeColor="text1"/>
          <w:szCs w:val="20"/>
        </w:rPr>
        <w:t xml:space="preserve"> </w:t>
      </w:r>
      <w:r w:rsidRPr="00B32CE4">
        <w:rPr>
          <w:color w:val="000000" w:themeColor="text1"/>
          <w:szCs w:val="20"/>
        </w:rPr>
        <w:t>received</w:t>
      </w:r>
      <w:r w:rsidR="00C64050" w:rsidRPr="00B32CE4">
        <w:rPr>
          <w:color w:val="000000" w:themeColor="text1"/>
          <w:szCs w:val="20"/>
        </w:rPr>
        <w:t xml:space="preserve"> </w:t>
      </w:r>
      <w:r w:rsidRPr="00B32CE4">
        <w:rPr>
          <w:color w:val="000000" w:themeColor="text1"/>
          <w:szCs w:val="20"/>
        </w:rPr>
        <w:t>by</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decedent</w:t>
      </w:r>
      <w:r w:rsidR="00C64050" w:rsidRPr="00B32CE4">
        <w:rPr>
          <w:color w:val="000000" w:themeColor="text1"/>
          <w:szCs w:val="20"/>
        </w:rPr>
        <w:t xml:space="preserve"> </w:t>
      </w:r>
      <w:r w:rsidRPr="00B32CE4">
        <w:rPr>
          <w:color w:val="000000" w:themeColor="text1"/>
          <w:szCs w:val="20"/>
        </w:rPr>
        <w:t>at</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time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transfer,</w:t>
      </w:r>
      <w:r w:rsidR="00C64050" w:rsidRPr="00B32CE4">
        <w:rPr>
          <w:color w:val="000000" w:themeColor="text1"/>
          <w:szCs w:val="20"/>
        </w:rPr>
        <w:t xml:space="preserve"> </w:t>
      </w:r>
      <w:r w:rsidRPr="00B32CE4">
        <w:rPr>
          <w:color w:val="000000" w:themeColor="text1"/>
          <w:szCs w:val="20"/>
        </w:rPr>
        <w:t>which</w:t>
      </w:r>
      <w:r w:rsidR="00C64050" w:rsidRPr="00B32CE4">
        <w:rPr>
          <w:color w:val="000000" w:themeColor="text1"/>
          <w:szCs w:val="20"/>
        </w:rPr>
        <w:t xml:space="preserve"> </w:t>
      </w:r>
      <w:r w:rsidRPr="00B32CE4">
        <w:rPr>
          <w:color w:val="000000" w:themeColor="text1"/>
          <w:szCs w:val="20"/>
        </w:rPr>
        <w:t>has</w:t>
      </w:r>
      <w:r w:rsidR="00C64050" w:rsidRPr="00B32CE4">
        <w:rPr>
          <w:color w:val="000000" w:themeColor="text1"/>
          <w:szCs w:val="20"/>
        </w:rPr>
        <w:t xml:space="preserve"> </w:t>
      </w:r>
      <w:r w:rsidRPr="00B32CE4">
        <w:rPr>
          <w:color w:val="000000" w:themeColor="text1"/>
          <w:szCs w:val="20"/>
        </w:rPr>
        <w:t>to</w:t>
      </w:r>
      <w:r w:rsidR="00C64050" w:rsidRPr="00B32CE4">
        <w:rPr>
          <w:color w:val="000000" w:themeColor="text1"/>
          <w:szCs w:val="20"/>
        </w:rPr>
        <w:t xml:space="preserve"> </w:t>
      </w:r>
      <w:r w:rsidRPr="00B32CE4">
        <w:rPr>
          <w:color w:val="000000" w:themeColor="text1"/>
          <w:szCs w:val="20"/>
        </w:rPr>
        <w:t>be</w:t>
      </w:r>
      <w:r w:rsidR="00C64050" w:rsidRPr="00B32CE4">
        <w:rPr>
          <w:color w:val="000000" w:themeColor="text1"/>
          <w:szCs w:val="20"/>
        </w:rPr>
        <w:t xml:space="preserve"> </w:t>
      </w:r>
      <w:r w:rsidRPr="00B32CE4">
        <w:rPr>
          <w:color w:val="000000" w:themeColor="text1"/>
          <w:szCs w:val="20"/>
        </w:rPr>
        <w:t>subtracted</w:t>
      </w:r>
      <w:r w:rsidR="00C64050" w:rsidRPr="00B32CE4">
        <w:rPr>
          <w:color w:val="000000" w:themeColor="text1"/>
          <w:szCs w:val="20"/>
        </w:rPr>
        <w:t xml:space="preserve"> </w:t>
      </w:r>
      <w:r w:rsidRPr="00B32CE4">
        <w:rPr>
          <w:color w:val="000000" w:themeColor="text1"/>
          <w:szCs w:val="20"/>
        </w:rPr>
        <w:t>under</w:t>
      </w:r>
      <w:r w:rsidR="00C64050" w:rsidRPr="00B32CE4">
        <w:rPr>
          <w:color w:val="000000" w:themeColor="text1"/>
          <w:szCs w:val="20"/>
        </w:rPr>
        <w:t xml:space="preserve"> </w:t>
      </w:r>
      <w:r w:rsidRPr="00B32CE4">
        <w:rPr>
          <w:color w:val="000000" w:themeColor="text1"/>
          <w:szCs w:val="20"/>
        </w:rPr>
        <w:t>section</w:t>
      </w:r>
      <w:r w:rsidR="00C64050" w:rsidRPr="00B32CE4">
        <w:rPr>
          <w:color w:val="000000" w:themeColor="text1"/>
          <w:szCs w:val="20"/>
        </w:rPr>
        <w:t xml:space="preserve"> </w:t>
      </w:r>
      <w:r w:rsidRPr="00B32CE4">
        <w:rPr>
          <w:color w:val="000000" w:themeColor="text1"/>
          <w:szCs w:val="20"/>
        </w:rPr>
        <w:t>2043(a).</w:t>
      </w:r>
    </w:p>
    <w:p w:rsidR="00D66AAD" w:rsidRPr="00B32CE4" w:rsidRDefault="00D66AAD" w:rsidP="00D66AAD">
      <w:pPr>
        <w:pStyle w:val="QS10"/>
        <w:rPr>
          <w:color w:val="000000" w:themeColor="text1"/>
          <w:szCs w:val="20"/>
        </w:rPr>
      </w:pPr>
      <w:r w:rsidRPr="00B32CE4">
        <w:rPr>
          <w:color w:val="000000" w:themeColor="text1"/>
          <w:szCs w:val="20"/>
        </w:rPr>
        <w:t>To</w:t>
      </w:r>
      <w:r w:rsidR="00C64050" w:rsidRPr="00B32CE4">
        <w:rPr>
          <w:color w:val="000000" w:themeColor="text1"/>
          <w:szCs w:val="20"/>
        </w:rPr>
        <w:t xml:space="preserve"> </w:t>
      </w:r>
      <w:r w:rsidRPr="00B32CE4">
        <w:rPr>
          <w:color w:val="000000" w:themeColor="text1"/>
          <w:szCs w:val="20"/>
        </w:rPr>
        <w:t>see</w:t>
      </w:r>
      <w:r w:rsidR="00C64050" w:rsidRPr="00B32CE4">
        <w:rPr>
          <w:color w:val="000000" w:themeColor="text1"/>
          <w:szCs w:val="20"/>
        </w:rPr>
        <w:t xml:space="preserve"> </w:t>
      </w:r>
      <w:r w:rsidRPr="00B32CE4">
        <w:rPr>
          <w:color w:val="000000" w:themeColor="text1"/>
          <w:szCs w:val="20"/>
        </w:rPr>
        <w:t>how</w:t>
      </w:r>
      <w:r w:rsidR="00C64050" w:rsidRPr="00B32CE4">
        <w:rPr>
          <w:color w:val="000000" w:themeColor="text1"/>
          <w:szCs w:val="20"/>
        </w:rPr>
        <w:t xml:space="preserve"> </w:t>
      </w:r>
      <w:r w:rsidRPr="00B32CE4">
        <w:rPr>
          <w:color w:val="000000" w:themeColor="text1"/>
          <w:szCs w:val="20"/>
        </w:rPr>
        <w:t>this</w:t>
      </w:r>
      <w:r w:rsidR="00C64050" w:rsidRPr="00B32CE4">
        <w:rPr>
          <w:color w:val="000000" w:themeColor="text1"/>
          <w:szCs w:val="20"/>
        </w:rPr>
        <w:t xml:space="preserve"> </w:t>
      </w:r>
      <w:r w:rsidRPr="00B32CE4">
        <w:rPr>
          <w:color w:val="000000" w:themeColor="text1"/>
          <w:szCs w:val="20"/>
        </w:rPr>
        <w:t>works,</w:t>
      </w:r>
      <w:r w:rsidR="00C64050" w:rsidRPr="00B32CE4">
        <w:rPr>
          <w:color w:val="000000" w:themeColor="text1"/>
          <w:szCs w:val="20"/>
        </w:rPr>
        <w:t xml:space="preserve"> </w:t>
      </w:r>
      <w:r w:rsidRPr="00B32CE4">
        <w:rPr>
          <w:color w:val="000000" w:themeColor="text1"/>
          <w:szCs w:val="20"/>
        </w:rPr>
        <w:t>let’s</w:t>
      </w:r>
      <w:r w:rsidR="00C64050" w:rsidRPr="00B32CE4">
        <w:rPr>
          <w:color w:val="000000" w:themeColor="text1"/>
          <w:szCs w:val="20"/>
        </w:rPr>
        <w:t xml:space="preserve"> </w:t>
      </w:r>
      <w:r w:rsidRPr="00B32CE4">
        <w:rPr>
          <w:color w:val="000000" w:themeColor="text1"/>
          <w:szCs w:val="20"/>
        </w:rPr>
        <w:t>look</w:t>
      </w:r>
      <w:r w:rsidR="00C64050" w:rsidRPr="00B32CE4">
        <w:rPr>
          <w:color w:val="000000" w:themeColor="text1"/>
          <w:szCs w:val="20"/>
        </w:rPr>
        <w:t xml:space="preserve"> </w:t>
      </w:r>
      <w:r w:rsidRPr="00B32CE4">
        <w:rPr>
          <w:color w:val="000000" w:themeColor="text1"/>
          <w:szCs w:val="20"/>
        </w:rPr>
        <w:t>at</w:t>
      </w:r>
      <w:r w:rsidR="00C64050" w:rsidRPr="00B32CE4">
        <w:rPr>
          <w:color w:val="000000" w:themeColor="text1"/>
          <w:szCs w:val="20"/>
        </w:rPr>
        <w:t xml:space="preserve"> </w:t>
      </w:r>
      <w:r w:rsidRPr="00B32CE4">
        <w:rPr>
          <w:color w:val="000000" w:themeColor="text1"/>
          <w:szCs w:val="20"/>
        </w:rPr>
        <w:t>a</w:t>
      </w:r>
      <w:r w:rsidR="00C64050" w:rsidRPr="00B32CE4">
        <w:rPr>
          <w:color w:val="000000" w:themeColor="text1"/>
          <w:szCs w:val="20"/>
        </w:rPr>
        <w:t xml:space="preserve"> </w:t>
      </w:r>
      <w:r w:rsidRPr="00B32CE4">
        <w:rPr>
          <w:color w:val="000000" w:themeColor="text1"/>
          <w:szCs w:val="20"/>
        </w:rPr>
        <w:t>few</w:t>
      </w:r>
      <w:r w:rsidR="00C64050" w:rsidRPr="00B32CE4">
        <w:rPr>
          <w:color w:val="000000" w:themeColor="text1"/>
          <w:szCs w:val="20"/>
        </w:rPr>
        <w:t xml:space="preserve"> </w:t>
      </w:r>
      <w:r w:rsidRPr="00B32CE4">
        <w:rPr>
          <w:color w:val="000000" w:themeColor="text1"/>
          <w:szCs w:val="20"/>
        </w:rPr>
        <w:t>examples.</w:t>
      </w:r>
      <w:r w:rsidR="00C64050" w:rsidRPr="00B32CE4">
        <w:rPr>
          <w:color w:val="000000" w:themeColor="text1"/>
          <w:szCs w:val="20"/>
        </w:rPr>
        <w:t xml:space="preserve"> </w:t>
      </w:r>
      <w:r w:rsidRPr="00B32CE4">
        <w:rPr>
          <w:color w:val="000000" w:themeColor="text1"/>
          <w:szCs w:val="20"/>
        </w:rPr>
        <w:t>We’ll</w:t>
      </w:r>
      <w:r w:rsidR="00C64050" w:rsidRPr="00B32CE4">
        <w:rPr>
          <w:color w:val="000000" w:themeColor="text1"/>
          <w:szCs w:val="20"/>
        </w:rPr>
        <w:t xml:space="preserve"> </w:t>
      </w:r>
      <w:r w:rsidRPr="00B32CE4">
        <w:rPr>
          <w:color w:val="000000" w:themeColor="text1"/>
          <w:szCs w:val="20"/>
        </w:rPr>
        <w:t>start</w:t>
      </w:r>
      <w:r w:rsidR="00C64050" w:rsidRPr="00B32CE4">
        <w:rPr>
          <w:color w:val="000000" w:themeColor="text1"/>
          <w:szCs w:val="20"/>
        </w:rPr>
        <w:t xml:space="preserve"> </w:t>
      </w:r>
      <w:r w:rsidRPr="00B32CE4">
        <w:rPr>
          <w:color w:val="000000" w:themeColor="text1"/>
          <w:szCs w:val="20"/>
        </w:rPr>
        <w:t>with</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simplest</w:t>
      </w:r>
      <w:r w:rsidR="00C64050" w:rsidRPr="00B32CE4">
        <w:rPr>
          <w:color w:val="000000" w:themeColor="text1"/>
          <w:szCs w:val="20"/>
        </w:rPr>
        <w:t xml:space="preserve"> </w:t>
      </w:r>
      <w:r w:rsidRPr="00B32CE4">
        <w:rPr>
          <w:color w:val="000000" w:themeColor="text1"/>
          <w:szCs w:val="20"/>
        </w:rPr>
        <w:t>and</w:t>
      </w:r>
      <w:r w:rsidR="00C64050" w:rsidRPr="00B32CE4">
        <w:rPr>
          <w:color w:val="000000" w:themeColor="text1"/>
          <w:szCs w:val="20"/>
        </w:rPr>
        <w:t xml:space="preserve"> </w:t>
      </w:r>
      <w:r w:rsidRPr="00B32CE4">
        <w:rPr>
          <w:color w:val="000000" w:themeColor="text1"/>
          <w:szCs w:val="20"/>
        </w:rPr>
        <w:t>work</w:t>
      </w:r>
      <w:r w:rsidR="00C64050" w:rsidRPr="00B32CE4">
        <w:rPr>
          <w:color w:val="000000" w:themeColor="text1"/>
          <w:szCs w:val="20"/>
        </w:rPr>
        <w:t xml:space="preserve"> </w:t>
      </w:r>
      <w:r w:rsidRPr="00B32CE4">
        <w:rPr>
          <w:color w:val="000000" w:themeColor="text1"/>
          <w:szCs w:val="20"/>
        </w:rPr>
        <w:t>toward</w:t>
      </w:r>
      <w:r w:rsidR="00C64050" w:rsidRPr="00B32CE4">
        <w:rPr>
          <w:color w:val="000000" w:themeColor="text1"/>
          <w:szCs w:val="20"/>
        </w:rPr>
        <w:t xml:space="preserve"> </w:t>
      </w:r>
      <w:r w:rsidRPr="00B32CE4">
        <w:rPr>
          <w:color w:val="000000" w:themeColor="text1"/>
          <w:szCs w:val="20"/>
        </w:rPr>
        <w:t>one</w:t>
      </w:r>
      <w:r w:rsidR="00C64050" w:rsidRPr="00B32CE4">
        <w:rPr>
          <w:color w:val="000000" w:themeColor="text1"/>
          <w:szCs w:val="20"/>
        </w:rPr>
        <w:t xml:space="preserve"> </w:t>
      </w:r>
      <w:r w:rsidRPr="00B32CE4">
        <w:rPr>
          <w:color w:val="000000" w:themeColor="text1"/>
          <w:szCs w:val="20"/>
        </w:rPr>
        <w:t>that</w:t>
      </w:r>
      <w:r w:rsidR="00C64050" w:rsidRPr="00B32CE4">
        <w:rPr>
          <w:color w:val="000000" w:themeColor="text1"/>
          <w:szCs w:val="20"/>
        </w:rPr>
        <w:t xml:space="preserve"> </w:t>
      </w:r>
      <w:r w:rsidRPr="00B32CE4">
        <w:rPr>
          <w:color w:val="000000" w:themeColor="text1"/>
          <w:szCs w:val="20"/>
        </w:rPr>
        <w:t>echoes</w:t>
      </w:r>
      <w:r w:rsidR="00C64050" w:rsidRPr="00B32CE4">
        <w:rPr>
          <w:color w:val="000000" w:themeColor="text1"/>
          <w:szCs w:val="20"/>
        </w:rPr>
        <w:t xml:space="preserve"> </w:t>
      </w:r>
      <w:r w:rsidRPr="00B32CE4">
        <w:rPr>
          <w:color w:val="000000" w:themeColor="text1"/>
          <w:szCs w:val="20"/>
        </w:rPr>
        <w:t>what</w:t>
      </w:r>
      <w:r w:rsidR="00C64050" w:rsidRPr="00B32CE4">
        <w:rPr>
          <w:color w:val="000000" w:themeColor="text1"/>
          <w:szCs w:val="20"/>
        </w:rPr>
        <w:t xml:space="preserve"> </w:t>
      </w:r>
      <w:r w:rsidRPr="00B32CE4">
        <w:rPr>
          <w:color w:val="000000" w:themeColor="text1"/>
          <w:szCs w:val="20"/>
        </w:rPr>
        <w:t>we</w:t>
      </w:r>
      <w:r w:rsidR="00C64050" w:rsidRPr="00B32CE4">
        <w:rPr>
          <w:color w:val="000000" w:themeColor="text1"/>
          <w:szCs w:val="20"/>
        </w:rPr>
        <w:t xml:space="preserve"> </w:t>
      </w:r>
      <w:r w:rsidRPr="00B32CE4">
        <w:rPr>
          <w:color w:val="000000" w:themeColor="text1"/>
          <w:szCs w:val="20"/>
        </w:rPr>
        <w:t>have</w:t>
      </w:r>
      <w:r w:rsidR="00C64050" w:rsidRPr="00B32CE4">
        <w:rPr>
          <w:color w:val="000000" w:themeColor="text1"/>
          <w:szCs w:val="20"/>
        </w:rPr>
        <w:t xml:space="preserve"> </w:t>
      </w:r>
      <w:r w:rsidRPr="00B32CE4">
        <w:rPr>
          <w:color w:val="000000" w:themeColor="text1"/>
          <w:szCs w:val="20"/>
        </w:rPr>
        <w:t>here.</w:t>
      </w:r>
    </w:p>
    <w:p w:rsidR="00D66AAD" w:rsidRPr="00B32CE4" w:rsidRDefault="00D66AAD" w:rsidP="00D66AAD">
      <w:pPr>
        <w:pStyle w:val="QS10"/>
        <w:rPr>
          <w:color w:val="000000" w:themeColor="text1"/>
          <w:szCs w:val="20"/>
        </w:rPr>
      </w:pPr>
      <w:r w:rsidRPr="00B32CE4">
        <w:rPr>
          <w:rStyle w:val="Emphasis"/>
          <w:color w:val="000000" w:themeColor="text1"/>
          <w:szCs w:val="20"/>
        </w:rPr>
        <w:t>Example</w:t>
      </w:r>
      <w:r w:rsidR="00C64050" w:rsidRPr="00B32CE4">
        <w:rPr>
          <w:rStyle w:val="Emphasis"/>
          <w:color w:val="000000" w:themeColor="text1"/>
          <w:szCs w:val="20"/>
        </w:rPr>
        <w:t xml:space="preserve"> </w:t>
      </w:r>
      <w:r w:rsidRPr="00B32CE4">
        <w:rPr>
          <w:rStyle w:val="Emphasis"/>
          <w:color w:val="000000" w:themeColor="text1"/>
          <w:szCs w:val="20"/>
        </w:rPr>
        <w:t>1:</w:t>
      </w:r>
      <w:r w:rsidR="00C64050" w:rsidRPr="00B32CE4">
        <w:rPr>
          <w:rStyle w:val="Emphasis"/>
          <w:color w:val="000000" w:themeColor="text1"/>
          <w:szCs w:val="20"/>
        </w:rPr>
        <w:t xml:space="preserve"> </w:t>
      </w:r>
      <w:r w:rsidRPr="00B32CE4">
        <w:rPr>
          <w:rStyle w:val="Emphasis"/>
          <w:color w:val="000000" w:themeColor="text1"/>
          <w:szCs w:val="20"/>
        </w:rPr>
        <w:t>Constant</w:t>
      </w:r>
      <w:r w:rsidR="00C64050" w:rsidRPr="00B32CE4">
        <w:rPr>
          <w:rStyle w:val="Emphasis"/>
          <w:color w:val="000000" w:themeColor="text1"/>
          <w:szCs w:val="20"/>
        </w:rPr>
        <w:t xml:space="preserve"> </w:t>
      </w:r>
      <w:r w:rsidRPr="00B32CE4">
        <w:rPr>
          <w:rStyle w:val="Emphasis"/>
          <w:color w:val="000000" w:themeColor="text1"/>
          <w:szCs w:val="20"/>
        </w:rPr>
        <w:t>Values.</w:t>
      </w:r>
      <w:r w:rsidR="00C64050" w:rsidRPr="00B32CE4">
        <w:rPr>
          <w:color w:val="000000" w:themeColor="text1"/>
          <w:szCs w:val="20"/>
        </w:rPr>
        <w:t xml:space="preserve"> </w:t>
      </w:r>
      <w:r w:rsidRPr="00B32CE4">
        <w:rPr>
          <w:color w:val="000000" w:themeColor="text1"/>
          <w:szCs w:val="20"/>
        </w:rPr>
        <w:t>Imagine</w:t>
      </w:r>
      <w:r w:rsidR="00C64050" w:rsidRPr="00B32CE4">
        <w:rPr>
          <w:color w:val="000000" w:themeColor="text1"/>
          <w:szCs w:val="20"/>
        </w:rPr>
        <w:t xml:space="preserve"> </w:t>
      </w:r>
      <w:r w:rsidRPr="00B32CE4">
        <w:rPr>
          <w:color w:val="000000" w:themeColor="text1"/>
          <w:szCs w:val="20"/>
        </w:rPr>
        <w:t>a</w:t>
      </w:r>
      <w:r w:rsidR="00C64050" w:rsidRPr="00B32CE4">
        <w:rPr>
          <w:color w:val="000000" w:themeColor="text1"/>
          <w:szCs w:val="20"/>
        </w:rPr>
        <w:t xml:space="preserve"> </w:t>
      </w:r>
      <w:r w:rsidRPr="00B32CE4">
        <w:rPr>
          <w:color w:val="000000" w:themeColor="text1"/>
          <w:szCs w:val="20"/>
        </w:rPr>
        <w:t>parcel</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land</w:t>
      </w:r>
      <w:r w:rsidR="00C64050" w:rsidRPr="00B32CE4">
        <w:rPr>
          <w:color w:val="000000" w:themeColor="text1"/>
          <w:szCs w:val="20"/>
        </w:rPr>
        <w:t xml:space="preserve"> </w:t>
      </w:r>
      <w:r w:rsidRPr="00B32CE4">
        <w:rPr>
          <w:color w:val="000000" w:themeColor="text1"/>
          <w:szCs w:val="20"/>
        </w:rPr>
        <w:t>worth</w:t>
      </w:r>
      <w:r w:rsidR="00C64050" w:rsidRPr="00B32CE4">
        <w:rPr>
          <w:color w:val="000000" w:themeColor="text1"/>
          <w:szCs w:val="20"/>
        </w:rPr>
        <w:t xml:space="preserve"> </w:t>
      </w:r>
      <w:r w:rsidRPr="00B32CE4">
        <w:rPr>
          <w:color w:val="000000" w:themeColor="text1"/>
          <w:szCs w:val="20"/>
        </w:rPr>
        <w:t>$1000.</w:t>
      </w:r>
      <w:r w:rsidR="00C64050" w:rsidRPr="00B32CE4">
        <w:rPr>
          <w:color w:val="000000" w:themeColor="text1"/>
          <w:szCs w:val="20"/>
        </w:rPr>
        <w:t xml:space="preserve"> </w:t>
      </w:r>
      <w:r w:rsidRPr="00B32CE4">
        <w:rPr>
          <w:color w:val="000000" w:themeColor="text1"/>
          <w:szCs w:val="20"/>
        </w:rPr>
        <w:t>Its</w:t>
      </w:r>
      <w:r w:rsidR="00C64050" w:rsidRPr="00B32CE4">
        <w:rPr>
          <w:color w:val="000000" w:themeColor="text1"/>
          <w:szCs w:val="20"/>
        </w:rPr>
        <w:t xml:space="preserve"> </w:t>
      </w:r>
      <w:r w:rsidRPr="00B32CE4">
        <w:rPr>
          <w:color w:val="000000" w:themeColor="text1"/>
          <w:szCs w:val="20"/>
        </w:rPr>
        <w:t>aging</w:t>
      </w:r>
      <w:r w:rsidR="00C64050" w:rsidRPr="00B32CE4">
        <w:rPr>
          <w:color w:val="000000" w:themeColor="text1"/>
          <w:szCs w:val="20"/>
        </w:rPr>
        <w:t xml:space="preserve"> </w:t>
      </w:r>
      <w:r w:rsidRPr="00B32CE4">
        <w:rPr>
          <w:color w:val="000000" w:themeColor="text1"/>
          <w:szCs w:val="20"/>
        </w:rPr>
        <w:t>owner</w:t>
      </w:r>
      <w:r w:rsidR="00C64050" w:rsidRPr="00B32CE4">
        <w:rPr>
          <w:color w:val="000000" w:themeColor="text1"/>
          <w:szCs w:val="20"/>
        </w:rPr>
        <w:t xml:space="preserve"> </w:t>
      </w:r>
      <w:r w:rsidRPr="00B32CE4">
        <w:rPr>
          <w:color w:val="000000" w:themeColor="text1"/>
          <w:szCs w:val="20"/>
        </w:rPr>
        <w:t>transfers</w:t>
      </w:r>
      <w:r w:rsidR="00C64050" w:rsidRPr="00B32CE4">
        <w:rPr>
          <w:color w:val="000000" w:themeColor="text1"/>
          <w:szCs w:val="20"/>
        </w:rPr>
        <w:t xml:space="preserve"> </w:t>
      </w:r>
      <w:r w:rsidRPr="00B32CE4">
        <w:rPr>
          <w:color w:val="000000" w:themeColor="text1"/>
          <w:szCs w:val="20"/>
        </w:rPr>
        <w:t>its</w:t>
      </w:r>
      <w:r w:rsidR="00C64050" w:rsidRPr="00B32CE4">
        <w:rPr>
          <w:color w:val="000000" w:themeColor="text1"/>
          <w:szCs w:val="20"/>
        </w:rPr>
        <w:t xml:space="preserve"> </w:t>
      </w:r>
      <w:r w:rsidRPr="00B32CE4">
        <w:rPr>
          <w:color w:val="000000" w:themeColor="text1"/>
          <w:szCs w:val="20"/>
        </w:rPr>
        <w:t>ownership</w:t>
      </w:r>
      <w:r w:rsidR="00C64050" w:rsidRPr="00B32CE4">
        <w:rPr>
          <w:color w:val="000000" w:themeColor="text1"/>
          <w:szCs w:val="20"/>
        </w:rPr>
        <w:t xml:space="preserve"> </w:t>
      </w:r>
      <w:r w:rsidRPr="00B32CE4">
        <w:rPr>
          <w:color w:val="000000" w:themeColor="text1"/>
          <w:szCs w:val="20"/>
        </w:rPr>
        <w:t>to</w:t>
      </w:r>
      <w:r w:rsidR="00C64050" w:rsidRPr="00B32CE4">
        <w:rPr>
          <w:color w:val="000000" w:themeColor="text1"/>
          <w:szCs w:val="20"/>
        </w:rPr>
        <w:t xml:space="preserve"> </w:t>
      </w:r>
      <w:r w:rsidRPr="00B32CE4">
        <w:rPr>
          <w:color w:val="000000" w:themeColor="text1"/>
          <w:szCs w:val="20"/>
        </w:rPr>
        <w:t>a</w:t>
      </w:r>
      <w:r w:rsidR="00C64050" w:rsidRPr="00B32CE4">
        <w:rPr>
          <w:color w:val="000000" w:themeColor="text1"/>
          <w:szCs w:val="20"/>
        </w:rPr>
        <w:t xml:space="preserve"> </w:t>
      </w:r>
      <w:r w:rsidRPr="00B32CE4">
        <w:rPr>
          <w:color w:val="000000" w:themeColor="text1"/>
          <w:szCs w:val="20"/>
        </w:rPr>
        <w:t>FLP</w:t>
      </w:r>
      <w:r w:rsidR="00C64050" w:rsidRPr="00B32CE4">
        <w:rPr>
          <w:color w:val="000000" w:themeColor="text1"/>
          <w:szCs w:val="20"/>
        </w:rPr>
        <w:t xml:space="preserve"> </w:t>
      </w:r>
      <w:r w:rsidRPr="00B32CE4">
        <w:rPr>
          <w:color w:val="000000" w:themeColor="text1"/>
          <w:szCs w:val="20"/>
        </w:rPr>
        <w:t>in</w:t>
      </w:r>
      <w:r w:rsidR="00C64050" w:rsidRPr="00B32CE4">
        <w:rPr>
          <w:color w:val="000000" w:themeColor="text1"/>
          <w:szCs w:val="20"/>
        </w:rPr>
        <w:t xml:space="preserve"> </w:t>
      </w:r>
      <w:r w:rsidRPr="00B32CE4">
        <w:rPr>
          <w:color w:val="000000" w:themeColor="text1"/>
          <w:szCs w:val="20"/>
        </w:rPr>
        <w:t>which</w:t>
      </w:r>
      <w:r w:rsidR="00C64050" w:rsidRPr="00B32CE4">
        <w:rPr>
          <w:color w:val="000000" w:themeColor="text1"/>
          <w:szCs w:val="20"/>
        </w:rPr>
        <w:t xml:space="preserve"> </w:t>
      </w:r>
      <w:r w:rsidRPr="00B32CE4">
        <w:rPr>
          <w:color w:val="000000" w:themeColor="text1"/>
          <w:szCs w:val="20"/>
        </w:rPr>
        <w:t>his</w:t>
      </w:r>
      <w:r w:rsidR="00C64050" w:rsidRPr="00B32CE4">
        <w:rPr>
          <w:color w:val="000000" w:themeColor="text1"/>
          <w:szCs w:val="20"/>
        </w:rPr>
        <w:t xml:space="preserve"> </w:t>
      </w:r>
      <w:r w:rsidRPr="00B32CE4">
        <w:rPr>
          <w:color w:val="000000" w:themeColor="text1"/>
          <w:szCs w:val="20"/>
        </w:rPr>
        <w:t>partnership</w:t>
      </w:r>
      <w:r w:rsidR="00C64050" w:rsidRPr="00B32CE4">
        <w:rPr>
          <w:color w:val="000000" w:themeColor="text1"/>
          <w:szCs w:val="20"/>
        </w:rPr>
        <w:t xml:space="preserve"> </w:t>
      </w:r>
      <w:r w:rsidRPr="00B32CE4">
        <w:rPr>
          <w:color w:val="000000" w:themeColor="text1"/>
          <w:szCs w:val="20"/>
        </w:rPr>
        <w:t>interest</w:t>
      </w:r>
      <w:r w:rsidR="00C64050" w:rsidRPr="00B32CE4">
        <w:rPr>
          <w:color w:val="000000" w:themeColor="text1"/>
          <w:szCs w:val="20"/>
        </w:rPr>
        <w:t xml:space="preserve"> </w:t>
      </w:r>
      <w:r w:rsidRPr="00B32CE4">
        <w:rPr>
          <w:color w:val="000000" w:themeColor="text1"/>
          <w:szCs w:val="20"/>
        </w:rPr>
        <w:t>is</w:t>
      </w:r>
      <w:r w:rsidR="00C64050" w:rsidRPr="00B32CE4">
        <w:rPr>
          <w:color w:val="000000" w:themeColor="text1"/>
          <w:szCs w:val="20"/>
        </w:rPr>
        <w:t xml:space="preserve"> </w:t>
      </w:r>
      <w:r w:rsidRPr="00B32CE4">
        <w:rPr>
          <w:color w:val="000000" w:themeColor="text1"/>
          <w:szCs w:val="20"/>
        </w:rPr>
        <w:t>worth</w:t>
      </w:r>
      <w:r w:rsidR="00C64050" w:rsidRPr="00B32CE4">
        <w:rPr>
          <w:color w:val="000000" w:themeColor="text1"/>
          <w:szCs w:val="20"/>
        </w:rPr>
        <w:t xml:space="preserve"> </w:t>
      </w:r>
      <w:r w:rsidRPr="00B32CE4">
        <w:rPr>
          <w:color w:val="000000" w:themeColor="text1"/>
          <w:szCs w:val="20"/>
        </w:rPr>
        <w:t>$500,</w:t>
      </w:r>
      <w:r w:rsidR="00C64050" w:rsidRPr="00B32CE4">
        <w:rPr>
          <w:color w:val="000000" w:themeColor="text1"/>
          <w:szCs w:val="20"/>
        </w:rPr>
        <w:t xml:space="preserve"> </w:t>
      </w:r>
      <w:r w:rsidRPr="00B32CE4">
        <w:rPr>
          <w:color w:val="000000" w:themeColor="text1"/>
          <w:szCs w:val="20"/>
        </w:rPr>
        <w:t>but</w:t>
      </w:r>
      <w:r w:rsidR="00C64050" w:rsidRPr="00B32CE4">
        <w:rPr>
          <w:color w:val="000000" w:themeColor="text1"/>
          <w:szCs w:val="20"/>
        </w:rPr>
        <w:t xml:space="preserve"> </w:t>
      </w:r>
      <w:r w:rsidRPr="00B32CE4">
        <w:rPr>
          <w:color w:val="000000" w:themeColor="text1"/>
          <w:szCs w:val="20"/>
        </w:rPr>
        <w:t>he</w:t>
      </w:r>
      <w:r w:rsidR="00C64050" w:rsidRPr="00B32CE4">
        <w:rPr>
          <w:color w:val="000000" w:themeColor="text1"/>
          <w:szCs w:val="20"/>
        </w:rPr>
        <w:t xml:space="preserve"> </w:t>
      </w:r>
      <w:r w:rsidRPr="00B32CE4">
        <w:rPr>
          <w:color w:val="000000" w:themeColor="text1"/>
          <w:szCs w:val="20"/>
        </w:rPr>
        <w:t>keeps</w:t>
      </w:r>
      <w:r w:rsidR="00C64050" w:rsidRPr="00B32CE4">
        <w:rPr>
          <w:color w:val="000000" w:themeColor="text1"/>
          <w:szCs w:val="20"/>
        </w:rPr>
        <w:t xml:space="preserve"> </w:t>
      </w:r>
      <w:r w:rsidRPr="00B32CE4">
        <w:rPr>
          <w:color w:val="000000" w:themeColor="text1"/>
          <w:szCs w:val="20"/>
        </w:rPr>
        <w:t>a</w:t>
      </w:r>
      <w:r w:rsidR="00C64050" w:rsidRPr="00B32CE4">
        <w:rPr>
          <w:color w:val="000000" w:themeColor="text1"/>
          <w:szCs w:val="20"/>
        </w:rPr>
        <w:t xml:space="preserve"> </w:t>
      </w:r>
      <w:r w:rsidRPr="00B32CE4">
        <w:rPr>
          <w:color w:val="000000" w:themeColor="text1"/>
          <w:szCs w:val="20"/>
        </w:rPr>
        <w:t>life</w:t>
      </w:r>
      <w:r w:rsidR="00C64050" w:rsidRPr="00B32CE4">
        <w:rPr>
          <w:color w:val="000000" w:themeColor="text1"/>
          <w:szCs w:val="20"/>
        </w:rPr>
        <w:t xml:space="preserve"> </w:t>
      </w:r>
      <w:r w:rsidRPr="00B32CE4">
        <w:rPr>
          <w:color w:val="000000" w:themeColor="text1"/>
          <w:szCs w:val="20"/>
        </w:rPr>
        <w:t>estate.</w:t>
      </w:r>
      <w:r w:rsidR="00C64050" w:rsidRPr="00B32CE4">
        <w:rPr>
          <w:color w:val="000000" w:themeColor="text1"/>
          <w:szCs w:val="20"/>
        </w:rPr>
        <w:t xml:space="preserve"> </w:t>
      </w:r>
      <w:r w:rsidRPr="00B32CE4">
        <w:rPr>
          <w:color w:val="000000" w:themeColor="text1"/>
          <w:szCs w:val="20"/>
        </w:rPr>
        <w:t>What’s</w:t>
      </w:r>
      <w:r w:rsidR="00C64050" w:rsidRPr="00B32CE4">
        <w:rPr>
          <w:color w:val="000000" w:themeColor="text1"/>
          <w:szCs w:val="20"/>
        </w:rPr>
        <w:t xml:space="preserve"> </w:t>
      </w:r>
      <w:r w:rsidRPr="00B32CE4">
        <w:rPr>
          <w:color w:val="000000" w:themeColor="text1"/>
          <w:szCs w:val="20"/>
        </w:rPr>
        <w:t>included</w:t>
      </w:r>
      <w:r w:rsidR="00C64050" w:rsidRPr="00B32CE4">
        <w:rPr>
          <w:color w:val="000000" w:themeColor="text1"/>
          <w:szCs w:val="20"/>
        </w:rPr>
        <w:t xml:space="preserve"> </w:t>
      </w:r>
      <w:r w:rsidRPr="00B32CE4">
        <w:rPr>
          <w:color w:val="000000" w:themeColor="text1"/>
          <w:szCs w:val="20"/>
        </w:rPr>
        <w:t>in</w:t>
      </w:r>
      <w:r w:rsidR="00C64050" w:rsidRPr="00B32CE4">
        <w:rPr>
          <w:color w:val="000000" w:themeColor="text1"/>
          <w:szCs w:val="20"/>
        </w:rPr>
        <w:t xml:space="preserve"> </w:t>
      </w:r>
      <w:r w:rsidRPr="00B32CE4">
        <w:rPr>
          <w:color w:val="000000" w:themeColor="text1"/>
          <w:szCs w:val="20"/>
        </w:rPr>
        <w:t>his</w:t>
      </w:r>
      <w:r w:rsidR="00C64050" w:rsidRPr="00B32CE4">
        <w:rPr>
          <w:color w:val="000000" w:themeColor="text1"/>
          <w:szCs w:val="20"/>
        </w:rPr>
        <w:t xml:space="preserve"> </w:t>
      </w:r>
      <w:r w:rsidRPr="00B32CE4">
        <w:rPr>
          <w:color w:val="000000" w:themeColor="text1"/>
          <w:szCs w:val="20"/>
        </w:rPr>
        <w:t>gross</w:t>
      </w:r>
      <w:r w:rsidR="00C64050" w:rsidRPr="00B32CE4">
        <w:rPr>
          <w:color w:val="000000" w:themeColor="text1"/>
          <w:szCs w:val="20"/>
        </w:rPr>
        <w:t xml:space="preserve"> </w:t>
      </w:r>
      <w:r w:rsidRPr="00B32CE4">
        <w:rPr>
          <w:color w:val="000000" w:themeColor="text1"/>
          <w:szCs w:val="20"/>
        </w:rPr>
        <w:t>estate</w:t>
      </w:r>
      <w:r w:rsidR="00C64050" w:rsidRPr="00B32CE4">
        <w:rPr>
          <w:color w:val="000000" w:themeColor="text1"/>
          <w:szCs w:val="20"/>
        </w:rPr>
        <w:t xml:space="preserve"> </w:t>
      </w:r>
      <w:r w:rsidRPr="00B32CE4">
        <w:rPr>
          <w:color w:val="000000" w:themeColor="text1"/>
          <w:szCs w:val="20"/>
        </w:rPr>
        <w:t>is</w:t>
      </w:r>
      <w:r w:rsidR="00C64050" w:rsidRPr="00B32CE4">
        <w:rPr>
          <w:color w:val="000000" w:themeColor="text1"/>
          <w:szCs w:val="20"/>
        </w:rPr>
        <w:t xml:space="preserve"> </w:t>
      </w:r>
      <w:r w:rsidRPr="00B32CE4">
        <w:rPr>
          <w:color w:val="000000" w:themeColor="text1"/>
          <w:szCs w:val="20"/>
        </w:rPr>
        <w:t>$1000,</w:t>
      </w:r>
      <w:r w:rsidR="00C64050" w:rsidRPr="00B32CE4">
        <w:rPr>
          <w:color w:val="000000" w:themeColor="text1"/>
          <w:szCs w:val="20"/>
        </w:rPr>
        <w:t xml:space="preserve"> </w:t>
      </w:r>
      <w:r w:rsidRPr="00B32CE4">
        <w:rPr>
          <w:color w:val="000000" w:themeColor="text1"/>
          <w:szCs w:val="20"/>
        </w:rPr>
        <w:t>computed</w:t>
      </w:r>
      <w:r w:rsidR="00C64050" w:rsidRPr="00B32CE4">
        <w:rPr>
          <w:color w:val="000000" w:themeColor="text1"/>
          <w:szCs w:val="20"/>
        </w:rPr>
        <w:t xml:space="preserve"> </w:t>
      </w:r>
      <w:r w:rsidRPr="00B32CE4">
        <w:rPr>
          <w:color w:val="000000" w:themeColor="text1"/>
          <w:szCs w:val="20"/>
        </w:rPr>
        <w:t>as</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partnership</w:t>
      </w:r>
      <w:r w:rsidR="00C64050" w:rsidRPr="00B32CE4">
        <w:rPr>
          <w:color w:val="000000" w:themeColor="text1"/>
          <w:szCs w:val="20"/>
        </w:rPr>
        <w:t xml:space="preserve"> </w:t>
      </w:r>
      <w:r w:rsidRPr="00B32CE4">
        <w:rPr>
          <w:color w:val="000000" w:themeColor="text1"/>
          <w:szCs w:val="20"/>
        </w:rPr>
        <w:t>interest</w:t>
      </w:r>
      <w:r w:rsidR="00C64050" w:rsidRPr="00B32CE4">
        <w:rPr>
          <w:color w:val="000000" w:themeColor="text1"/>
          <w:szCs w:val="20"/>
        </w:rPr>
        <w:t xml:space="preserve"> </w:t>
      </w:r>
      <w:r w:rsidRPr="00B32CE4">
        <w:rPr>
          <w:color w:val="000000" w:themeColor="text1"/>
          <w:szCs w:val="20"/>
        </w:rPr>
        <w:t>valued</w:t>
      </w:r>
      <w:r w:rsidR="00C64050" w:rsidRPr="00B32CE4">
        <w:rPr>
          <w:color w:val="000000" w:themeColor="text1"/>
          <w:szCs w:val="20"/>
        </w:rPr>
        <w:t xml:space="preserve"> </w:t>
      </w:r>
      <w:r w:rsidRPr="00B32CE4">
        <w:rPr>
          <w:color w:val="000000" w:themeColor="text1"/>
          <w:szCs w:val="20"/>
        </w:rPr>
        <w:t>at</w:t>
      </w:r>
      <w:r w:rsidR="00C64050" w:rsidRPr="00B32CE4">
        <w:rPr>
          <w:color w:val="000000" w:themeColor="text1"/>
          <w:szCs w:val="20"/>
        </w:rPr>
        <w:t xml:space="preserve"> </w:t>
      </w:r>
      <w:r w:rsidRPr="00B32CE4">
        <w:rPr>
          <w:color w:val="000000" w:themeColor="text1"/>
          <w:szCs w:val="20"/>
        </w:rPr>
        <w:t>$500</w:t>
      </w:r>
      <w:r w:rsidR="00C64050" w:rsidRPr="00B32CE4">
        <w:rPr>
          <w:color w:val="000000" w:themeColor="text1"/>
          <w:szCs w:val="20"/>
        </w:rPr>
        <w:t xml:space="preserve"> </w:t>
      </w:r>
      <w:r w:rsidRPr="00B32CE4">
        <w:rPr>
          <w:color w:val="000000" w:themeColor="text1"/>
          <w:szCs w:val="20"/>
        </w:rPr>
        <w:t>when</w:t>
      </w:r>
      <w:r w:rsidR="00C64050" w:rsidRPr="00B32CE4">
        <w:rPr>
          <w:color w:val="000000" w:themeColor="text1"/>
          <w:szCs w:val="20"/>
        </w:rPr>
        <w:t xml:space="preserve"> </w:t>
      </w:r>
      <w:r w:rsidRPr="00B32CE4">
        <w:rPr>
          <w:color w:val="000000" w:themeColor="text1"/>
          <w:szCs w:val="20"/>
        </w:rPr>
        <w:t>he</w:t>
      </w:r>
      <w:r w:rsidR="00C64050" w:rsidRPr="00B32CE4">
        <w:rPr>
          <w:color w:val="000000" w:themeColor="text1"/>
          <w:szCs w:val="20"/>
        </w:rPr>
        <w:t xml:space="preserve"> </w:t>
      </w:r>
      <w:r w:rsidRPr="00B32CE4">
        <w:rPr>
          <w:color w:val="000000" w:themeColor="text1"/>
          <w:szCs w:val="20"/>
        </w:rPr>
        <w:t>died</w:t>
      </w:r>
      <w:r w:rsidR="00C64050" w:rsidRPr="00B32CE4">
        <w:rPr>
          <w:color w:val="000000" w:themeColor="text1"/>
          <w:szCs w:val="20"/>
        </w:rPr>
        <w:t xml:space="preserve"> </w:t>
      </w:r>
      <w:r w:rsidRPr="00B32CE4">
        <w:rPr>
          <w:color w:val="000000" w:themeColor="text1"/>
          <w:szCs w:val="20"/>
        </w:rPr>
        <w:t>(and</w:t>
      </w:r>
      <w:r w:rsidR="00C64050" w:rsidRPr="00B32CE4">
        <w:rPr>
          <w:color w:val="000000" w:themeColor="text1"/>
          <w:szCs w:val="20"/>
        </w:rPr>
        <w:t xml:space="preserve"> </w:t>
      </w:r>
      <w:r w:rsidRPr="00B32CE4">
        <w:rPr>
          <w:color w:val="000000" w:themeColor="text1"/>
          <w:szCs w:val="20"/>
        </w:rPr>
        <w:t>thus</w:t>
      </w:r>
      <w:r w:rsidR="00C64050" w:rsidRPr="00B32CE4">
        <w:rPr>
          <w:color w:val="000000" w:themeColor="text1"/>
          <w:szCs w:val="20"/>
        </w:rPr>
        <w:t xml:space="preserve"> </w:t>
      </w:r>
      <w:r w:rsidRPr="00B32CE4">
        <w:rPr>
          <w:color w:val="000000" w:themeColor="text1"/>
          <w:szCs w:val="20"/>
        </w:rPr>
        <w:t>included</w:t>
      </w:r>
      <w:r w:rsidR="00C64050" w:rsidRPr="00B32CE4">
        <w:rPr>
          <w:color w:val="000000" w:themeColor="text1"/>
          <w:szCs w:val="20"/>
        </w:rPr>
        <w:t xml:space="preserve"> </w:t>
      </w:r>
      <w:r w:rsidRPr="00B32CE4">
        <w:rPr>
          <w:color w:val="000000" w:themeColor="text1"/>
          <w:szCs w:val="20"/>
        </w:rPr>
        <w:t>in</w:t>
      </w:r>
      <w:r w:rsidR="00C64050" w:rsidRPr="00B32CE4">
        <w:rPr>
          <w:color w:val="000000" w:themeColor="text1"/>
          <w:szCs w:val="20"/>
        </w:rPr>
        <w:t xml:space="preserve"> </w:t>
      </w:r>
      <w:r w:rsidRPr="00B32CE4">
        <w:rPr>
          <w:color w:val="000000" w:themeColor="text1"/>
          <w:szCs w:val="20"/>
        </w:rPr>
        <w:t>his</w:t>
      </w:r>
      <w:r w:rsidR="00C64050" w:rsidRPr="00B32CE4">
        <w:rPr>
          <w:color w:val="000000" w:themeColor="text1"/>
          <w:szCs w:val="20"/>
        </w:rPr>
        <w:t xml:space="preserve"> </w:t>
      </w:r>
      <w:r w:rsidRPr="00B32CE4">
        <w:rPr>
          <w:color w:val="000000" w:themeColor="text1"/>
          <w:szCs w:val="20"/>
        </w:rPr>
        <w:t>estate</w:t>
      </w:r>
      <w:r w:rsidR="00C64050" w:rsidRPr="00B32CE4">
        <w:rPr>
          <w:color w:val="000000" w:themeColor="text1"/>
          <w:szCs w:val="20"/>
        </w:rPr>
        <w:t xml:space="preserve"> </w:t>
      </w:r>
      <w:r w:rsidRPr="00B32CE4">
        <w:rPr>
          <w:color w:val="000000" w:themeColor="text1"/>
          <w:szCs w:val="20"/>
        </w:rPr>
        <w:t>under</w:t>
      </w:r>
      <w:r w:rsidR="00C64050" w:rsidRPr="00B32CE4">
        <w:rPr>
          <w:color w:val="000000" w:themeColor="text1"/>
          <w:szCs w:val="20"/>
        </w:rPr>
        <w:t xml:space="preserve"> </w:t>
      </w:r>
      <w:r w:rsidRPr="00B32CE4">
        <w:rPr>
          <w:color w:val="000000" w:themeColor="text1"/>
          <w:szCs w:val="20"/>
        </w:rPr>
        <w:t>section</w:t>
      </w:r>
      <w:r w:rsidR="00C64050" w:rsidRPr="00B32CE4">
        <w:rPr>
          <w:color w:val="000000" w:themeColor="text1"/>
          <w:szCs w:val="20"/>
        </w:rPr>
        <w:t xml:space="preserve"> </w:t>
      </w:r>
      <w:r w:rsidRPr="00B32CE4">
        <w:rPr>
          <w:color w:val="000000" w:themeColor="text1"/>
          <w:szCs w:val="20"/>
        </w:rPr>
        <w:t>2033),</w:t>
      </w:r>
      <w:r w:rsidR="00C64050" w:rsidRPr="00B32CE4">
        <w:rPr>
          <w:color w:val="000000" w:themeColor="text1"/>
          <w:szCs w:val="20"/>
        </w:rPr>
        <w:t xml:space="preserve"> </w:t>
      </w:r>
      <w:r w:rsidRPr="00B32CE4">
        <w:rPr>
          <w:color w:val="000000" w:themeColor="text1"/>
          <w:szCs w:val="20"/>
        </w:rPr>
        <w:t>plus</w:t>
      </w:r>
      <w:r w:rsidR="00C64050" w:rsidRPr="00B32CE4">
        <w:rPr>
          <w:color w:val="000000" w:themeColor="text1"/>
          <w:szCs w:val="20"/>
        </w:rPr>
        <w:t xml:space="preserve"> </w:t>
      </w:r>
      <w:r w:rsidRPr="00B32CE4">
        <w:rPr>
          <w:color w:val="000000" w:themeColor="text1"/>
          <w:szCs w:val="20"/>
        </w:rPr>
        <w:t>$1000</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value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land</w:t>
      </w:r>
      <w:r w:rsidR="00C64050" w:rsidRPr="00B32CE4">
        <w:rPr>
          <w:color w:val="000000" w:themeColor="text1"/>
          <w:szCs w:val="20"/>
        </w:rPr>
        <w:t xml:space="preserve"> </w:t>
      </w:r>
      <w:r w:rsidRPr="00B32CE4">
        <w:rPr>
          <w:color w:val="000000" w:themeColor="text1"/>
          <w:szCs w:val="20"/>
        </w:rPr>
        <w:t>as</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date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death),</w:t>
      </w:r>
      <w:r w:rsidR="00C64050" w:rsidRPr="00B32CE4">
        <w:rPr>
          <w:color w:val="000000" w:themeColor="text1"/>
          <w:szCs w:val="20"/>
        </w:rPr>
        <w:t xml:space="preserve"> </w:t>
      </w:r>
      <w:r w:rsidRPr="00B32CE4">
        <w:rPr>
          <w:color w:val="000000" w:themeColor="text1"/>
          <w:szCs w:val="20"/>
        </w:rPr>
        <w:t>minus</w:t>
      </w:r>
      <w:r w:rsidR="00C64050" w:rsidRPr="00B32CE4">
        <w:rPr>
          <w:color w:val="000000" w:themeColor="text1"/>
          <w:szCs w:val="20"/>
        </w:rPr>
        <w:t xml:space="preserve"> </w:t>
      </w:r>
      <w:r w:rsidRPr="00B32CE4">
        <w:rPr>
          <w:color w:val="000000" w:themeColor="text1"/>
          <w:szCs w:val="20"/>
        </w:rPr>
        <w:t>$500</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value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partnership</w:t>
      </w:r>
      <w:r w:rsidR="00C64050" w:rsidRPr="00B32CE4">
        <w:rPr>
          <w:color w:val="000000" w:themeColor="text1"/>
          <w:szCs w:val="20"/>
        </w:rPr>
        <w:t xml:space="preserve"> </w:t>
      </w:r>
      <w:r w:rsidRPr="00B32CE4">
        <w:rPr>
          <w:color w:val="000000" w:themeColor="text1"/>
          <w:szCs w:val="20"/>
        </w:rPr>
        <w:t>interest</w:t>
      </w:r>
      <w:r w:rsidR="00C64050" w:rsidRPr="00B32CE4">
        <w:rPr>
          <w:color w:val="000000" w:themeColor="text1"/>
          <w:szCs w:val="20"/>
        </w:rPr>
        <w:t xml:space="preserve"> </w:t>
      </w:r>
      <w:r w:rsidRPr="00B32CE4">
        <w:rPr>
          <w:color w:val="000000" w:themeColor="text1"/>
          <w:szCs w:val="20"/>
        </w:rPr>
        <w:t>when</w:t>
      </w:r>
      <w:r w:rsidR="00C64050" w:rsidRPr="00B32CE4">
        <w:rPr>
          <w:color w:val="000000" w:themeColor="text1"/>
          <w:szCs w:val="20"/>
        </w:rPr>
        <w:t xml:space="preserve"> </w:t>
      </w:r>
      <w:r w:rsidRPr="00B32CE4">
        <w:rPr>
          <w:color w:val="000000" w:themeColor="text1"/>
          <w:szCs w:val="20"/>
        </w:rPr>
        <w:t>he</w:t>
      </w:r>
      <w:r w:rsidR="00C64050" w:rsidRPr="00B32CE4">
        <w:rPr>
          <w:color w:val="000000" w:themeColor="text1"/>
          <w:szCs w:val="20"/>
        </w:rPr>
        <w:t xml:space="preserve"> </w:t>
      </w:r>
      <w:r w:rsidRPr="00B32CE4">
        <w:rPr>
          <w:color w:val="000000" w:themeColor="text1"/>
          <w:szCs w:val="20"/>
        </w:rPr>
        <w:t>received</w:t>
      </w:r>
      <w:r w:rsidR="00C64050" w:rsidRPr="00B32CE4">
        <w:rPr>
          <w:color w:val="000000" w:themeColor="text1"/>
          <w:szCs w:val="20"/>
        </w:rPr>
        <w:t xml:space="preserve"> </w:t>
      </w:r>
      <w:r w:rsidRPr="00B32CE4">
        <w:rPr>
          <w:color w:val="000000" w:themeColor="text1"/>
          <w:szCs w:val="20"/>
        </w:rPr>
        <w:t>it).</w:t>
      </w:r>
      <w:r w:rsidR="00C64050" w:rsidRPr="00B32CE4">
        <w:rPr>
          <w:color w:val="000000" w:themeColor="text1"/>
          <w:szCs w:val="20"/>
        </w:rPr>
        <w:t xml:space="preserve"> </w:t>
      </w:r>
      <w:r w:rsidRPr="00B32CE4">
        <w:rPr>
          <w:color w:val="000000" w:themeColor="text1"/>
          <w:szCs w:val="20"/>
        </w:rPr>
        <w:t>If</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decedent</w:t>
      </w:r>
      <w:r w:rsidR="00C64050" w:rsidRPr="00B32CE4">
        <w:rPr>
          <w:color w:val="000000" w:themeColor="text1"/>
          <w:szCs w:val="20"/>
        </w:rPr>
        <w:t xml:space="preserve"> </w:t>
      </w:r>
      <w:r w:rsidRPr="00B32CE4">
        <w:rPr>
          <w:color w:val="000000" w:themeColor="text1"/>
          <w:szCs w:val="20"/>
        </w:rPr>
        <w:t>hadn’t</w:t>
      </w:r>
      <w:r w:rsidR="00C64050" w:rsidRPr="00B32CE4">
        <w:rPr>
          <w:color w:val="000000" w:themeColor="text1"/>
          <w:szCs w:val="20"/>
        </w:rPr>
        <w:t xml:space="preserve"> </w:t>
      </w:r>
      <w:r w:rsidRPr="00B32CE4">
        <w:rPr>
          <w:color w:val="000000" w:themeColor="text1"/>
          <w:szCs w:val="20"/>
        </w:rPr>
        <w:t>done</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transaction</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$1000</w:t>
      </w:r>
      <w:r w:rsidR="00C64050" w:rsidRPr="00B32CE4">
        <w:rPr>
          <w:color w:val="000000" w:themeColor="text1"/>
          <w:szCs w:val="20"/>
        </w:rPr>
        <w:t xml:space="preserve"> </w:t>
      </w:r>
      <w:r w:rsidRPr="00B32CE4">
        <w:rPr>
          <w:color w:val="000000" w:themeColor="text1"/>
          <w:szCs w:val="20"/>
        </w:rPr>
        <w:t>parcel</w:t>
      </w:r>
      <w:r w:rsidR="00C64050" w:rsidRPr="00B32CE4">
        <w:rPr>
          <w:color w:val="000000" w:themeColor="text1"/>
          <w:szCs w:val="20"/>
        </w:rPr>
        <w:t xml:space="preserve"> </w:t>
      </w:r>
      <w:r w:rsidRPr="00B32CE4">
        <w:rPr>
          <w:color w:val="000000" w:themeColor="text1"/>
          <w:szCs w:val="20"/>
        </w:rPr>
        <w:t>would</w:t>
      </w:r>
      <w:r w:rsidR="00C64050" w:rsidRPr="00B32CE4">
        <w:rPr>
          <w:color w:val="000000" w:themeColor="text1"/>
          <w:szCs w:val="20"/>
        </w:rPr>
        <w:t xml:space="preserve"> </w:t>
      </w:r>
      <w:r w:rsidRPr="00B32CE4">
        <w:rPr>
          <w:color w:val="000000" w:themeColor="text1"/>
          <w:szCs w:val="20"/>
        </w:rPr>
        <w:t>be</w:t>
      </w:r>
      <w:r w:rsidR="00C64050" w:rsidRPr="00B32CE4">
        <w:rPr>
          <w:color w:val="000000" w:themeColor="text1"/>
          <w:szCs w:val="20"/>
        </w:rPr>
        <w:t xml:space="preserve"> </w:t>
      </w:r>
      <w:r w:rsidRPr="00B32CE4">
        <w:rPr>
          <w:color w:val="000000" w:themeColor="text1"/>
          <w:szCs w:val="20"/>
        </w:rPr>
        <w:t>in</w:t>
      </w:r>
      <w:r w:rsidR="00C64050" w:rsidRPr="00B32CE4">
        <w:rPr>
          <w:color w:val="000000" w:themeColor="text1"/>
          <w:szCs w:val="20"/>
        </w:rPr>
        <w:t xml:space="preserve"> </w:t>
      </w:r>
      <w:r w:rsidRPr="00B32CE4">
        <w:rPr>
          <w:color w:val="000000" w:themeColor="text1"/>
          <w:szCs w:val="20"/>
        </w:rPr>
        <w:t>his</w:t>
      </w:r>
      <w:r w:rsidR="00C64050" w:rsidRPr="00B32CE4">
        <w:rPr>
          <w:color w:val="000000" w:themeColor="text1"/>
          <w:szCs w:val="20"/>
        </w:rPr>
        <w:t xml:space="preserve"> </w:t>
      </w:r>
      <w:r w:rsidRPr="00B32CE4">
        <w:rPr>
          <w:color w:val="000000" w:themeColor="text1"/>
          <w:szCs w:val="20"/>
        </w:rPr>
        <w:t>estate;</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Code</w:t>
      </w:r>
      <w:r w:rsidR="00C64050" w:rsidRPr="00B32CE4">
        <w:rPr>
          <w:color w:val="000000" w:themeColor="text1"/>
          <w:szCs w:val="20"/>
        </w:rPr>
        <w:t xml:space="preserve"> </w:t>
      </w:r>
      <w:r w:rsidRPr="00B32CE4">
        <w:rPr>
          <w:color w:val="000000" w:themeColor="text1"/>
          <w:szCs w:val="20"/>
        </w:rPr>
        <w:t>essentially</w:t>
      </w:r>
      <w:r w:rsidR="00C64050" w:rsidRPr="00B32CE4">
        <w:rPr>
          <w:color w:val="000000" w:themeColor="text1"/>
          <w:szCs w:val="20"/>
        </w:rPr>
        <w:t xml:space="preserve"> </w:t>
      </w:r>
      <w:r w:rsidRPr="00B32CE4">
        <w:rPr>
          <w:color w:val="000000" w:themeColor="text1"/>
          <w:szCs w:val="20"/>
        </w:rPr>
        <w:t>nullifies</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bargain</w:t>
      </w:r>
      <w:r w:rsidR="00C64050" w:rsidRPr="00B32CE4">
        <w:rPr>
          <w:color w:val="000000" w:themeColor="text1"/>
          <w:szCs w:val="20"/>
        </w:rPr>
        <w:t xml:space="preserve"> </w:t>
      </w:r>
      <w:r w:rsidRPr="00B32CE4">
        <w:rPr>
          <w:color w:val="000000" w:themeColor="text1"/>
          <w:szCs w:val="20"/>
        </w:rPr>
        <w:t>sale’s</w:t>
      </w:r>
      <w:r w:rsidR="00C64050" w:rsidRPr="00B32CE4">
        <w:rPr>
          <w:color w:val="000000" w:themeColor="text1"/>
          <w:szCs w:val="20"/>
        </w:rPr>
        <w:t xml:space="preserve"> </w:t>
      </w:r>
      <w:r w:rsidRPr="00B32CE4">
        <w:rPr>
          <w:color w:val="000000" w:themeColor="text1"/>
          <w:szCs w:val="20"/>
        </w:rPr>
        <w:t>effect</w:t>
      </w:r>
      <w:r w:rsidR="00C64050" w:rsidRPr="00B32CE4">
        <w:rPr>
          <w:color w:val="000000" w:themeColor="text1"/>
          <w:szCs w:val="20"/>
        </w:rPr>
        <w:t xml:space="preserve"> </w:t>
      </w:r>
      <w:r w:rsidRPr="00B32CE4">
        <w:rPr>
          <w:color w:val="000000" w:themeColor="text1"/>
          <w:szCs w:val="20"/>
        </w:rPr>
        <w:t>on</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value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gross</w:t>
      </w:r>
      <w:r w:rsidR="00C64050" w:rsidRPr="00B32CE4">
        <w:rPr>
          <w:color w:val="000000" w:themeColor="text1"/>
          <w:szCs w:val="20"/>
        </w:rPr>
        <w:t xml:space="preserve"> </w:t>
      </w:r>
      <w:r w:rsidRPr="00B32CE4">
        <w:rPr>
          <w:color w:val="000000" w:themeColor="text1"/>
          <w:szCs w:val="20"/>
        </w:rPr>
        <w:t>estate.</w:t>
      </w:r>
    </w:p>
    <w:p w:rsidR="00D66AAD" w:rsidRPr="00B32CE4" w:rsidRDefault="00D66AAD" w:rsidP="00D66AAD">
      <w:pPr>
        <w:pStyle w:val="QS10"/>
        <w:rPr>
          <w:color w:val="000000" w:themeColor="text1"/>
          <w:szCs w:val="20"/>
        </w:rPr>
      </w:pPr>
      <w:r w:rsidRPr="00B32CE4">
        <w:rPr>
          <w:color w:val="000000" w:themeColor="text1"/>
          <w:szCs w:val="20"/>
        </w:rPr>
        <w:t>This</w:t>
      </w:r>
      <w:r w:rsidR="00C64050" w:rsidRPr="00B32CE4">
        <w:rPr>
          <w:color w:val="000000" w:themeColor="text1"/>
          <w:szCs w:val="20"/>
        </w:rPr>
        <w:t xml:space="preserve"> </w:t>
      </w:r>
      <w:r w:rsidRPr="00B32CE4">
        <w:rPr>
          <w:color w:val="000000" w:themeColor="text1"/>
          <w:szCs w:val="20"/>
        </w:rPr>
        <w:t>was</w:t>
      </w:r>
      <w:r w:rsidR="00C64050" w:rsidRPr="00B32CE4">
        <w:rPr>
          <w:color w:val="000000" w:themeColor="text1"/>
          <w:szCs w:val="20"/>
        </w:rPr>
        <w:t xml:space="preserve"> </w:t>
      </w:r>
      <w:r w:rsidRPr="00B32CE4">
        <w:rPr>
          <w:color w:val="000000" w:themeColor="text1"/>
          <w:szCs w:val="20"/>
        </w:rPr>
        <w:t>more</w:t>
      </w:r>
      <w:r w:rsidR="00C64050" w:rsidRPr="00B32CE4">
        <w:rPr>
          <w:color w:val="000000" w:themeColor="text1"/>
          <w:szCs w:val="20"/>
        </w:rPr>
        <w:t xml:space="preserve"> </w:t>
      </w:r>
      <w:r w:rsidRPr="00B32CE4">
        <w:rPr>
          <w:color w:val="000000" w:themeColor="text1"/>
          <w:szCs w:val="20"/>
        </w:rPr>
        <w:t>or</w:t>
      </w:r>
      <w:r w:rsidR="00C64050" w:rsidRPr="00B32CE4">
        <w:rPr>
          <w:color w:val="000000" w:themeColor="text1"/>
          <w:szCs w:val="20"/>
        </w:rPr>
        <w:t xml:space="preserve"> </w:t>
      </w:r>
      <w:r w:rsidRPr="00B32CE4">
        <w:rPr>
          <w:color w:val="000000" w:themeColor="text1"/>
          <w:szCs w:val="20"/>
        </w:rPr>
        <w:t>less</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situation</w:t>
      </w:r>
      <w:r w:rsidR="00C64050" w:rsidRPr="00B32CE4">
        <w:rPr>
          <w:color w:val="000000" w:themeColor="text1"/>
          <w:szCs w:val="20"/>
        </w:rPr>
        <w:t xml:space="preserve"> </w:t>
      </w:r>
      <w:r w:rsidRPr="00B32CE4">
        <w:rPr>
          <w:color w:val="000000" w:themeColor="text1"/>
          <w:szCs w:val="20"/>
        </w:rPr>
        <w:t>in</w:t>
      </w:r>
      <w:r w:rsidR="00C64050" w:rsidRPr="00B32CE4">
        <w:rPr>
          <w:color w:val="000000" w:themeColor="text1"/>
          <w:szCs w:val="20"/>
        </w:rPr>
        <w:t xml:space="preserve"> </w:t>
      </w:r>
      <w:r w:rsidRPr="00B32CE4">
        <w:rPr>
          <w:color w:val="000000" w:themeColor="text1"/>
          <w:szCs w:val="20"/>
        </w:rPr>
        <w:t>Estate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Powell.</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result</w:t>
      </w:r>
      <w:r w:rsidR="00C64050" w:rsidRPr="00B32CE4">
        <w:rPr>
          <w:color w:val="000000" w:themeColor="text1"/>
          <w:szCs w:val="20"/>
        </w:rPr>
        <w:t xml:space="preserve"> </w:t>
      </w:r>
      <w:r w:rsidRPr="00B32CE4">
        <w:rPr>
          <w:color w:val="000000" w:themeColor="text1"/>
          <w:szCs w:val="20"/>
        </w:rPr>
        <w:t>seems</w:t>
      </w:r>
      <w:r w:rsidR="00C64050" w:rsidRPr="00B32CE4">
        <w:rPr>
          <w:color w:val="000000" w:themeColor="text1"/>
          <w:szCs w:val="20"/>
        </w:rPr>
        <w:t xml:space="preserve"> </w:t>
      </w:r>
      <w:r w:rsidRPr="00B32CE4">
        <w:rPr>
          <w:color w:val="000000" w:themeColor="text1"/>
          <w:szCs w:val="20"/>
        </w:rPr>
        <w:t>sensible.</w:t>
      </w:r>
      <w:r w:rsidR="00C64050" w:rsidRPr="00B32CE4">
        <w:rPr>
          <w:color w:val="000000" w:themeColor="text1"/>
          <w:szCs w:val="20"/>
        </w:rPr>
        <w:t xml:space="preserve"> </w:t>
      </w:r>
      <w:r w:rsidRPr="00B32CE4">
        <w:rPr>
          <w:color w:val="000000" w:themeColor="text1"/>
          <w:szCs w:val="20"/>
        </w:rPr>
        <w:t>As</w:t>
      </w:r>
      <w:r w:rsidR="00C64050" w:rsidRPr="00B32CE4">
        <w:rPr>
          <w:color w:val="000000" w:themeColor="text1"/>
          <w:szCs w:val="20"/>
        </w:rPr>
        <w:t xml:space="preserve"> </w:t>
      </w:r>
      <w:r w:rsidRPr="00B32CE4">
        <w:rPr>
          <w:color w:val="000000" w:themeColor="text1"/>
          <w:szCs w:val="20"/>
        </w:rPr>
        <w:t>we</w:t>
      </w:r>
      <w:r w:rsidR="00C64050" w:rsidRPr="00B32CE4">
        <w:rPr>
          <w:color w:val="000000" w:themeColor="text1"/>
          <w:szCs w:val="20"/>
        </w:rPr>
        <w:t xml:space="preserve"> </w:t>
      </w:r>
      <w:r w:rsidRPr="00B32CE4">
        <w:rPr>
          <w:color w:val="000000" w:themeColor="text1"/>
          <w:szCs w:val="20"/>
        </w:rPr>
        <w:t>pointed</w:t>
      </w:r>
      <w:r w:rsidR="00C64050" w:rsidRPr="00B32CE4">
        <w:rPr>
          <w:color w:val="000000" w:themeColor="text1"/>
          <w:szCs w:val="20"/>
        </w:rPr>
        <w:t xml:space="preserve"> </w:t>
      </w:r>
      <w:r w:rsidRPr="00B32CE4">
        <w:rPr>
          <w:color w:val="000000" w:themeColor="text1"/>
          <w:szCs w:val="20"/>
        </w:rPr>
        <w:t>out</w:t>
      </w:r>
      <w:r w:rsidR="00C64050" w:rsidRPr="00B32CE4">
        <w:rPr>
          <w:color w:val="000000" w:themeColor="text1"/>
          <w:szCs w:val="20"/>
        </w:rPr>
        <w:t xml:space="preserve"> </w:t>
      </w:r>
      <w:r w:rsidRPr="00B32CE4">
        <w:rPr>
          <w:color w:val="000000" w:themeColor="text1"/>
          <w:szCs w:val="20"/>
        </w:rPr>
        <w:t>in</w:t>
      </w:r>
      <w:r w:rsidR="00C64050" w:rsidRPr="00B32CE4">
        <w:rPr>
          <w:color w:val="000000" w:themeColor="text1"/>
          <w:szCs w:val="20"/>
        </w:rPr>
        <w:t xml:space="preserve"> </w:t>
      </w:r>
      <w:r w:rsidRPr="00B32CE4">
        <w:rPr>
          <w:color w:val="000000" w:themeColor="text1"/>
          <w:szCs w:val="20"/>
        </w:rPr>
        <w:t>that</w:t>
      </w:r>
      <w:r w:rsidR="00C64050" w:rsidRPr="00B32CE4">
        <w:rPr>
          <w:color w:val="000000" w:themeColor="text1"/>
          <w:szCs w:val="20"/>
        </w:rPr>
        <w:t xml:space="preserve"> </w:t>
      </w:r>
      <w:r w:rsidRPr="00B32CE4">
        <w:rPr>
          <w:color w:val="000000" w:themeColor="text1"/>
          <w:szCs w:val="20"/>
        </w:rPr>
        <w:t>case,</w:t>
      </w:r>
      <w:r w:rsidR="00C64050" w:rsidRPr="00B32CE4">
        <w:rPr>
          <w:color w:val="000000" w:themeColor="text1"/>
          <w:szCs w:val="20"/>
        </w:rPr>
        <w:t xml:space="preserve"> </w:t>
      </w:r>
      <w:r w:rsidRPr="00B32CE4">
        <w:rPr>
          <w:color w:val="000000" w:themeColor="text1"/>
          <w:szCs w:val="20"/>
        </w:rPr>
        <w:t>however,</w:t>
      </w:r>
      <w:r w:rsidR="00C64050" w:rsidRPr="00B32CE4">
        <w:rPr>
          <w:color w:val="000000" w:themeColor="text1"/>
          <w:szCs w:val="20"/>
        </w:rPr>
        <w:t xml:space="preserve"> </w:t>
      </w:r>
      <w:r w:rsidRPr="00B32CE4">
        <w:rPr>
          <w:color w:val="000000" w:themeColor="text1"/>
          <w:szCs w:val="20"/>
        </w:rPr>
        <w:t>problems</w:t>
      </w:r>
      <w:r w:rsidR="00C64050" w:rsidRPr="00B32CE4">
        <w:rPr>
          <w:color w:val="000000" w:themeColor="text1"/>
          <w:szCs w:val="20"/>
        </w:rPr>
        <w:t xml:space="preserve"> </w:t>
      </w:r>
      <w:r w:rsidRPr="00B32CE4">
        <w:rPr>
          <w:color w:val="000000" w:themeColor="text1"/>
          <w:szCs w:val="20"/>
        </w:rPr>
        <w:t>can</w:t>
      </w:r>
      <w:r w:rsidR="00C64050" w:rsidRPr="00B32CE4">
        <w:rPr>
          <w:color w:val="000000" w:themeColor="text1"/>
          <w:szCs w:val="20"/>
        </w:rPr>
        <w:t xml:space="preserve"> </w:t>
      </w:r>
      <w:r w:rsidRPr="00B32CE4">
        <w:rPr>
          <w:color w:val="000000" w:themeColor="text1"/>
          <w:szCs w:val="20"/>
        </w:rPr>
        <w:t>arise</w:t>
      </w:r>
      <w:r w:rsidR="00C64050" w:rsidRPr="00B32CE4">
        <w:rPr>
          <w:color w:val="000000" w:themeColor="text1"/>
          <w:szCs w:val="20"/>
        </w:rPr>
        <w:t xml:space="preserve"> </w:t>
      </w:r>
      <w:r w:rsidRPr="00B32CE4">
        <w:rPr>
          <w:color w:val="000000" w:themeColor="text1"/>
          <w:szCs w:val="20"/>
        </w:rPr>
        <w:t>when</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value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transferred</w:t>
      </w:r>
      <w:r w:rsidR="00C64050" w:rsidRPr="00B32CE4">
        <w:rPr>
          <w:color w:val="000000" w:themeColor="text1"/>
          <w:szCs w:val="20"/>
        </w:rPr>
        <w:t xml:space="preserve"> </w:t>
      </w:r>
      <w:r w:rsidRPr="00B32CE4">
        <w:rPr>
          <w:color w:val="000000" w:themeColor="text1"/>
          <w:szCs w:val="20"/>
        </w:rPr>
        <w:t>asset</w:t>
      </w:r>
      <w:r w:rsidR="00C64050" w:rsidRPr="00B32CE4">
        <w:rPr>
          <w:color w:val="000000" w:themeColor="text1"/>
          <w:szCs w:val="20"/>
        </w:rPr>
        <w:t xml:space="preserve"> </w:t>
      </w:r>
      <w:r w:rsidRPr="00B32CE4">
        <w:rPr>
          <w:color w:val="000000" w:themeColor="text1"/>
          <w:szCs w:val="20"/>
        </w:rPr>
        <w:t>fluctuates</w:t>
      </w:r>
      <w:r w:rsidR="00C64050" w:rsidRPr="00B32CE4">
        <w:rPr>
          <w:color w:val="000000" w:themeColor="text1"/>
          <w:szCs w:val="20"/>
        </w:rPr>
        <w:t xml:space="preserve"> </w:t>
      </w:r>
      <w:r w:rsidRPr="00B32CE4">
        <w:rPr>
          <w:color w:val="000000" w:themeColor="text1"/>
          <w:szCs w:val="20"/>
        </w:rPr>
        <w:t>between</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time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transfer</w:t>
      </w:r>
      <w:r w:rsidR="00C64050" w:rsidRPr="00B32CE4">
        <w:rPr>
          <w:color w:val="000000" w:themeColor="text1"/>
          <w:szCs w:val="20"/>
        </w:rPr>
        <w:t xml:space="preserve"> </w:t>
      </w:r>
      <w:r w:rsidRPr="00B32CE4">
        <w:rPr>
          <w:color w:val="000000" w:themeColor="text1"/>
          <w:szCs w:val="20"/>
        </w:rPr>
        <w:t>and</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time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death.</w:t>
      </w:r>
      <w:r w:rsidR="00C64050" w:rsidRPr="00B32CE4">
        <w:rPr>
          <w:color w:val="000000" w:themeColor="text1"/>
          <w:szCs w:val="20"/>
        </w:rPr>
        <w:t xml:space="preserve"> </w:t>
      </w:r>
      <w:r w:rsidRPr="00B32CE4">
        <w:rPr>
          <w:color w:val="000000" w:themeColor="text1"/>
          <w:szCs w:val="20"/>
          <w:u w:val="single"/>
        </w:rPr>
        <w:t>Estate</w:t>
      </w:r>
      <w:r w:rsidR="00C64050" w:rsidRPr="00B32CE4">
        <w:rPr>
          <w:color w:val="000000" w:themeColor="text1"/>
          <w:szCs w:val="20"/>
          <w:u w:val="single"/>
        </w:rPr>
        <w:t xml:space="preserve"> </w:t>
      </w:r>
      <w:r w:rsidRPr="00B32CE4">
        <w:rPr>
          <w:color w:val="000000" w:themeColor="text1"/>
          <w:szCs w:val="20"/>
          <w:u w:val="single"/>
        </w:rPr>
        <w:t>of</w:t>
      </w:r>
      <w:r w:rsidR="00C64050" w:rsidRPr="00B32CE4">
        <w:rPr>
          <w:color w:val="000000" w:themeColor="text1"/>
          <w:szCs w:val="20"/>
          <w:u w:val="single"/>
        </w:rPr>
        <w:t xml:space="preserve"> </w:t>
      </w:r>
      <w:r w:rsidRPr="00B32CE4">
        <w:rPr>
          <w:color w:val="000000" w:themeColor="text1"/>
          <w:szCs w:val="20"/>
          <w:u w:val="single"/>
        </w:rPr>
        <w:t>Powell</w:t>
      </w:r>
      <w:r w:rsidR="00C64050" w:rsidRPr="00B32CE4">
        <w:rPr>
          <w:color w:val="000000" w:themeColor="text1"/>
          <w:szCs w:val="20"/>
          <w:u w:val="single"/>
        </w:rPr>
        <w:t xml:space="preserve"> </w:t>
      </w:r>
      <w:r w:rsidRPr="00B32CE4">
        <w:rPr>
          <w:color w:val="000000" w:themeColor="text1"/>
          <w:szCs w:val="20"/>
          <w:u w:val="single"/>
        </w:rPr>
        <w:t>v.</w:t>
      </w:r>
      <w:r w:rsidR="00C64050" w:rsidRPr="00B32CE4">
        <w:rPr>
          <w:color w:val="000000" w:themeColor="text1"/>
          <w:szCs w:val="20"/>
          <w:u w:val="single"/>
        </w:rPr>
        <w:t xml:space="preserve"> </w:t>
      </w:r>
      <w:r w:rsidRPr="00B32CE4">
        <w:rPr>
          <w:color w:val="000000" w:themeColor="text1"/>
          <w:szCs w:val="20"/>
          <w:u w:val="single"/>
        </w:rPr>
        <w:t>Commissioner</w:t>
      </w:r>
      <w:r w:rsidRPr="00B32CE4">
        <w:rPr>
          <w:color w:val="000000" w:themeColor="text1"/>
          <w:szCs w:val="20"/>
        </w:rPr>
        <w:t>,</w:t>
      </w:r>
      <w:r w:rsidR="00C64050" w:rsidRPr="00B32CE4">
        <w:rPr>
          <w:color w:val="000000" w:themeColor="text1"/>
          <w:szCs w:val="20"/>
        </w:rPr>
        <w:t xml:space="preserve"> </w:t>
      </w:r>
      <w:r w:rsidRPr="00B32CE4">
        <w:rPr>
          <w:color w:val="000000" w:themeColor="text1"/>
          <w:szCs w:val="20"/>
        </w:rPr>
        <w:t>148</w:t>
      </w:r>
      <w:r w:rsidR="00C64050" w:rsidRPr="00B32CE4">
        <w:rPr>
          <w:color w:val="000000" w:themeColor="text1"/>
          <w:szCs w:val="20"/>
        </w:rPr>
        <w:t xml:space="preserve"> </w:t>
      </w:r>
      <w:r w:rsidRPr="00B32CE4">
        <w:rPr>
          <w:color w:val="000000" w:themeColor="text1"/>
          <w:szCs w:val="20"/>
        </w:rPr>
        <w:t>T.C.</w:t>
      </w:r>
      <w:r w:rsidR="00C64050" w:rsidRPr="00B32CE4">
        <w:rPr>
          <w:color w:val="000000" w:themeColor="text1"/>
          <w:szCs w:val="20"/>
        </w:rPr>
        <w:t xml:space="preserve"> </w:t>
      </w:r>
      <w:r w:rsidRPr="00B32CE4">
        <w:rPr>
          <w:color w:val="000000" w:themeColor="text1"/>
          <w:szCs w:val="20"/>
        </w:rPr>
        <w:t>at</w:t>
      </w:r>
      <w:r w:rsidR="00C64050" w:rsidRPr="00B32CE4">
        <w:rPr>
          <w:color w:val="000000" w:themeColor="text1"/>
          <w:szCs w:val="20"/>
        </w:rPr>
        <w:t xml:space="preserve"> </w:t>
      </w:r>
      <w:r w:rsidRPr="00B32CE4">
        <w:rPr>
          <w:color w:val="000000" w:themeColor="text1"/>
          <w:szCs w:val="20"/>
        </w:rPr>
        <w:t>408</w:t>
      </w:r>
      <w:r w:rsidR="00C64050" w:rsidRPr="00B32CE4">
        <w:rPr>
          <w:color w:val="000000" w:themeColor="text1"/>
          <w:szCs w:val="20"/>
        </w:rPr>
        <w:t xml:space="preserve"> </w:t>
      </w:r>
      <w:r w:rsidRPr="00B32CE4">
        <w:rPr>
          <w:color w:val="000000" w:themeColor="text1"/>
          <w:szCs w:val="20"/>
        </w:rPr>
        <w:t>n.7.</w:t>
      </w:r>
    </w:p>
    <w:p w:rsidR="00D66AAD" w:rsidRPr="00B32CE4" w:rsidRDefault="00D66AAD" w:rsidP="00D66AAD">
      <w:pPr>
        <w:pStyle w:val="QS10"/>
        <w:rPr>
          <w:color w:val="000000" w:themeColor="text1"/>
          <w:szCs w:val="20"/>
        </w:rPr>
      </w:pPr>
      <w:r w:rsidRPr="00B32CE4">
        <w:rPr>
          <w:color w:val="000000" w:themeColor="text1"/>
          <w:szCs w:val="20"/>
        </w:rPr>
        <w:t>Let’s</w:t>
      </w:r>
      <w:r w:rsidR="00C64050" w:rsidRPr="00B32CE4">
        <w:rPr>
          <w:color w:val="000000" w:themeColor="text1"/>
          <w:szCs w:val="20"/>
        </w:rPr>
        <w:t xml:space="preserve"> </w:t>
      </w:r>
      <w:r w:rsidRPr="00B32CE4">
        <w:rPr>
          <w:color w:val="000000" w:themeColor="text1"/>
          <w:szCs w:val="20"/>
        </w:rPr>
        <w:t>turn</w:t>
      </w:r>
      <w:r w:rsidR="00C64050" w:rsidRPr="00B32CE4">
        <w:rPr>
          <w:color w:val="000000" w:themeColor="text1"/>
          <w:szCs w:val="20"/>
        </w:rPr>
        <w:t xml:space="preserve"> </w:t>
      </w:r>
      <w:r w:rsidRPr="00B32CE4">
        <w:rPr>
          <w:color w:val="000000" w:themeColor="text1"/>
          <w:szCs w:val="20"/>
        </w:rPr>
        <w:t>to</w:t>
      </w:r>
      <w:r w:rsidR="00C64050" w:rsidRPr="00B32CE4">
        <w:rPr>
          <w:color w:val="000000" w:themeColor="text1"/>
          <w:szCs w:val="20"/>
        </w:rPr>
        <w:t xml:space="preserve"> </w:t>
      </w:r>
      <w:r w:rsidRPr="00B32CE4">
        <w:rPr>
          <w:color w:val="000000" w:themeColor="text1"/>
          <w:szCs w:val="20"/>
        </w:rPr>
        <w:t>those.</w:t>
      </w:r>
    </w:p>
    <w:p w:rsidR="00D66AAD" w:rsidRPr="00B32CE4" w:rsidRDefault="00D66AAD" w:rsidP="00D66AAD">
      <w:pPr>
        <w:pStyle w:val="QS10"/>
        <w:rPr>
          <w:color w:val="000000" w:themeColor="text1"/>
          <w:szCs w:val="20"/>
        </w:rPr>
      </w:pPr>
      <w:r w:rsidRPr="00B32CE4">
        <w:rPr>
          <w:rStyle w:val="Emphasis"/>
          <w:color w:val="000000" w:themeColor="text1"/>
          <w:szCs w:val="20"/>
        </w:rPr>
        <w:t>Example</w:t>
      </w:r>
      <w:r w:rsidR="00C64050" w:rsidRPr="00B32CE4">
        <w:rPr>
          <w:rStyle w:val="Emphasis"/>
          <w:color w:val="000000" w:themeColor="text1"/>
          <w:szCs w:val="20"/>
        </w:rPr>
        <w:t xml:space="preserve"> </w:t>
      </w:r>
      <w:r w:rsidRPr="00B32CE4">
        <w:rPr>
          <w:rStyle w:val="Emphasis"/>
          <w:color w:val="000000" w:themeColor="text1"/>
          <w:szCs w:val="20"/>
        </w:rPr>
        <w:t>2:</w:t>
      </w:r>
      <w:r w:rsidR="00C64050" w:rsidRPr="00B32CE4">
        <w:rPr>
          <w:rStyle w:val="Emphasis"/>
          <w:color w:val="000000" w:themeColor="text1"/>
          <w:szCs w:val="20"/>
        </w:rPr>
        <w:t xml:space="preserve"> </w:t>
      </w:r>
      <w:r w:rsidRPr="00B32CE4">
        <w:rPr>
          <w:rStyle w:val="Emphasis"/>
          <w:color w:val="000000" w:themeColor="text1"/>
          <w:szCs w:val="20"/>
        </w:rPr>
        <w:t>Inflating</w:t>
      </w:r>
      <w:r w:rsidR="00C64050" w:rsidRPr="00B32CE4">
        <w:rPr>
          <w:rStyle w:val="Emphasis"/>
          <w:color w:val="000000" w:themeColor="text1"/>
          <w:szCs w:val="20"/>
        </w:rPr>
        <w:t xml:space="preserve"> </w:t>
      </w:r>
      <w:r w:rsidRPr="00B32CE4">
        <w:rPr>
          <w:rStyle w:val="Emphasis"/>
          <w:color w:val="000000" w:themeColor="text1"/>
          <w:szCs w:val="20"/>
        </w:rPr>
        <w:t>Values</w:t>
      </w:r>
      <w:r w:rsidRPr="00B32CE4">
        <w:rPr>
          <w:color w:val="000000" w:themeColor="text1"/>
          <w:szCs w:val="20"/>
        </w:rPr>
        <w:t>.</w:t>
      </w:r>
      <w:r w:rsidR="00C64050" w:rsidRPr="00B32CE4">
        <w:rPr>
          <w:color w:val="000000" w:themeColor="text1"/>
          <w:szCs w:val="20"/>
        </w:rPr>
        <w:t xml:space="preserve"> </w:t>
      </w:r>
      <w:r w:rsidRPr="00B32CE4">
        <w:rPr>
          <w:color w:val="000000" w:themeColor="text1"/>
          <w:szCs w:val="20"/>
        </w:rPr>
        <w:t>Now</w:t>
      </w:r>
      <w:r w:rsidR="00C64050" w:rsidRPr="00B32CE4">
        <w:rPr>
          <w:color w:val="000000" w:themeColor="text1"/>
          <w:szCs w:val="20"/>
        </w:rPr>
        <w:t xml:space="preserve"> </w:t>
      </w:r>
      <w:r w:rsidRPr="00B32CE4">
        <w:rPr>
          <w:color w:val="000000" w:themeColor="text1"/>
          <w:szCs w:val="20"/>
        </w:rPr>
        <w:t>consider</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same</w:t>
      </w:r>
      <w:r w:rsidR="00C64050" w:rsidRPr="00B32CE4">
        <w:rPr>
          <w:color w:val="000000" w:themeColor="text1"/>
          <w:szCs w:val="20"/>
        </w:rPr>
        <w:t xml:space="preserve"> </w:t>
      </w:r>
      <w:r w:rsidRPr="00B32CE4">
        <w:rPr>
          <w:color w:val="000000" w:themeColor="text1"/>
          <w:szCs w:val="20"/>
        </w:rPr>
        <w:t>facts</w:t>
      </w:r>
      <w:r w:rsidR="00C64050" w:rsidRPr="00B32CE4">
        <w:rPr>
          <w:color w:val="000000" w:themeColor="text1"/>
          <w:szCs w:val="20"/>
        </w:rPr>
        <w:t xml:space="preserve"> </w:t>
      </w:r>
      <w:r w:rsidRPr="00B32CE4">
        <w:rPr>
          <w:color w:val="000000" w:themeColor="text1"/>
          <w:szCs w:val="20"/>
        </w:rPr>
        <w:t>as</w:t>
      </w:r>
      <w:r w:rsidR="00C64050" w:rsidRPr="00B32CE4">
        <w:rPr>
          <w:color w:val="000000" w:themeColor="text1"/>
          <w:szCs w:val="20"/>
        </w:rPr>
        <w:t xml:space="preserve"> </w:t>
      </w:r>
      <w:r w:rsidRPr="00B32CE4">
        <w:rPr>
          <w:color w:val="000000" w:themeColor="text1"/>
          <w:szCs w:val="20"/>
        </w:rPr>
        <w:t>in</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first</w:t>
      </w:r>
      <w:r w:rsidR="00C64050" w:rsidRPr="00B32CE4">
        <w:rPr>
          <w:color w:val="000000" w:themeColor="text1"/>
          <w:szCs w:val="20"/>
        </w:rPr>
        <w:t xml:space="preserve"> </w:t>
      </w:r>
      <w:r w:rsidRPr="00B32CE4">
        <w:rPr>
          <w:color w:val="000000" w:themeColor="text1"/>
          <w:szCs w:val="20"/>
        </w:rPr>
        <w:t>example,</w:t>
      </w:r>
      <w:r w:rsidR="00C64050" w:rsidRPr="00B32CE4">
        <w:rPr>
          <w:color w:val="000000" w:themeColor="text1"/>
          <w:szCs w:val="20"/>
        </w:rPr>
        <w:t xml:space="preserve"> </w:t>
      </w:r>
      <w:r w:rsidRPr="00B32CE4">
        <w:rPr>
          <w:color w:val="000000" w:themeColor="text1"/>
          <w:szCs w:val="20"/>
        </w:rPr>
        <w:t>but</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value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land</w:t>
      </w:r>
      <w:r w:rsidR="00C64050" w:rsidRPr="00B32CE4">
        <w:rPr>
          <w:color w:val="000000" w:themeColor="text1"/>
          <w:szCs w:val="20"/>
        </w:rPr>
        <w:t xml:space="preserve"> </w:t>
      </w:r>
      <w:r w:rsidRPr="00B32CE4">
        <w:rPr>
          <w:color w:val="000000" w:themeColor="text1"/>
          <w:szCs w:val="20"/>
        </w:rPr>
        <w:t>and</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FLP</w:t>
      </w:r>
      <w:r w:rsidR="00C64050" w:rsidRPr="00B32CE4">
        <w:rPr>
          <w:color w:val="000000" w:themeColor="text1"/>
          <w:szCs w:val="20"/>
        </w:rPr>
        <w:t xml:space="preserve"> </w:t>
      </w:r>
      <w:r w:rsidRPr="00B32CE4">
        <w:rPr>
          <w:color w:val="000000" w:themeColor="text1"/>
          <w:szCs w:val="20"/>
        </w:rPr>
        <w:t>share</w:t>
      </w:r>
      <w:r w:rsidR="00C64050" w:rsidRPr="00B32CE4">
        <w:rPr>
          <w:color w:val="000000" w:themeColor="text1"/>
          <w:szCs w:val="20"/>
        </w:rPr>
        <w:t xml:space="preserve"> </w:t>
      </w:r>
      <w:r w:rsidRPr="00B32CE4">
        <w:rPr>
          <w:color w:val="000000" w:themeColor="text1"/>
          <w:szCs w:val="20"/>
        </w:rPr>
        <w:t>doubles</w:t>
      </w:r>
      <w:r w:rsidR="00C64050" w:rsidRPr="00B32CE4">
        <w:rPr>
          <w:color w:val="000000" w:themeColor="text1"/>
          <w:szCs w:val="20"/>
        </w:rPr>
        <w:t xml:space="preserve"> </w:t>
      </w:r>
      <w:r w:rsidRPr="00B32CE4">
        <w:rPr>
          <w:color w:val="000000" w:themeColor="text1"/>
          <w:szCs w:val="20"/>
        </w:rPr>
        <w:t>between</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time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transfer</w:t>
      </w:r>
      <w:r w:rsidR="00C64050" w:rsidRPr="00B32CE4">
        <w:rPr>
          <w:color w:val="000000" w:themeColor="text1"/>
          <w:szCs w:val="20"/>
        </w:rPr>
        <w:t xml:space="preserve"> </w:t>
      </w:r>
      <w:r w:rsidRPr="00B32CE4">
        <w:rPr>
          <w:color w:val="000000" w:themeColor="text1"/>
          <w:szCs w:val="20"/>
        </w:rPr>
        <w:t>and</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date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death.</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now</w:t>
      </w:r>
      <w:r w:rsidR="00C64050" w:rsidRPr="00B32CE4">
        <w:rPr>
          <w:color w:val="000000" w:themeColor="text1"/>
          <w:szCs w:val="20"/>
        </w:rPr>
        <w:t xml:space="preserve"> </w:t>
      </w:r>
      <w:r w:rsidRPr="00B32CE4">
        <w:rPr>
          <w:color w:val="000000" w:themeColor="text1"/>
          <w:szCs w:val="20"/>
        </w:rPr>
        <w:t>$1000</w:t>
      </w:r>
      <w:r w:rsidR="00C64050" w:rsidRPr="00B32CE4">
        <w:rPr>
          <w:color w:val="000000" w:themeColor="text1"/>
          <w:szCs w:val="20"/>
        </w:rPr>
        <w:t xml:space="preserve"> </w:t>
      </w:r>
      <w:r w:rsidRPr="00B32CE4">
        <w:rPr>
          <w:color w:val="000000" w:themeColor="text1"/>
          <w:szCs w:val="20"/>
        </w:rPr>
        <w:t>FLP</w:t>
      </w:r>
      <w:r w:rsidR="00C64050" w:rsidRPr="00B32CE4">
        <w:rPr>
          <w:color w:val="000000" w:themeColor="text1"/>
          <w:szCs w:val="20"/>
        </w:rPr>
        <w:t xml:space="preserve"> </w:t>
      </w:r>
      <w:r w:rsidRPr="00B32CE4">
        <w:rPr>
          <w:color w:val="000000" w:themeColor="text1"/>
          <w:szCs w:val="20"/>
        </w:rPr>
        <w:t>interest</w:t>
      </w:r>
      <w:r w:rsidR="00C64050" w:rsidRPr="00B32CE4">
        <w:rPr>
          <w:color w:val="000000" w:themeColor="text1"/>
          <w:szCs w:val="20"/>
        </w:rPr>
        <w:t xml:space="preserve"> </w:t>
      </w:r>
      <w:r w:rsidRPr="00B32CE4">
        <w:rPr>
          <w:color w:val="000000" w:themeColor="text1"/>
          <w:szCs w:val="20"/>
        </w:rPr>
        <w:t>stays</w:t>
      </w:r>
      <w:r w:rsidR="00C64050" w:rsidRPr="00B32CE4">
        <w:rPr>
          <w:color w:val="000000" w:themeColor="text1"/>
          <w:szCs w:val="20"/>
        </w:rPr>
        <w:t xml:space="preserve"> </w:t>
      </w:r>
      <w:r w:rsidRPr="00B32CE4">
        <w:rPr>
          <w:color w:val="000000" w:themeColor="text1"/>
          <w:szCs w:val="20"/>
        </w:rPr>
        <w:t>in</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estate</w:t>
      </w:r>
      <w:r w:rsidR="00C64050" w:rsidRPr="00B32CE4">
        <w:rPr>
          <w:color w:val="000000" w:themeColor="text1"/>
          <w:szCs w:val="20"/>
        </w:rPr>
        <w:t xml:space="preserve"> </w:t>
      </w:r>
      <w:r w:rsidRPr="00B32CE4">
        <w:rPr>
          <w:color w:val="000000" w:themeColor="text1"/>
          <w:szCs w:val="20"/>
        </w:rPr>
        <w:t>under</w:t>
      </w:r>
      <w:r w:rsidR="00C64050" w:rsidRPr="00B32CE4">
        <w:rPr>
          <w:color w:val="000000" w:themeColor="text1"/>
          <w:szCs w:val="20"/>
        </w:rPr>
        <w:t xml:space="preserve"> </w:t>
      </w:r>
      <w:r w:rsidRPr="00B32CE4">
        <w:rPr>
          <w:color w:val="000000" w:themeColor="text1"/>
          <w:szCs w:val="20"/>
        </w:rPr>
        <w:t>section</w:t>
      </w:r>
      <w:r w:rsidR="00C64050" w:rsidRPr="00B32CE4">
        <w:rPr>
          <w:color w:val="000000" w:themeColor="text1"/>
          <w:szCs w:val="20"/>
        </w:rPr>
        <w:t xml:space="preserve"> </w:t>
      </w:r>
      <w:r w:rsidRPr="00B32CE4">
        <w:rPr>
          <w:color w:val="000000" w:themeColor="text1"/>
          <w:szCs w:val="20"/>
        </w:rPr>
        <w:t>2033;</w:t>
      </w:r>
      <w:r w:rsidR="00C64050" w:rsidRPr="00B32CE4">
        <w:rPr>
          <w:color w:val="000000" w:themeColor="text1"/>
          <w:szCs w:val="20"/>
        </w:rPr>
        <w:t xml:space="preserve"> </w:t>
      </w:r>
      <w:r w:rsidRPr="00B32CE4">
        <w:rPr>
          <w:color w:val="000000" w:themeColor="text1"/>
          <w:szCs w:val="20"/>
        </w:rPr>
        <w:t>but</w:t>
      </w:r>
      <w:r w:rsidR="00C64050" w:rsidRPr="00B32CE4">
        <w:rPr>
          <w:color w:val="000000" w:themeColor="text1"/>
          <w:szCs w:val="20"/>
        </w:rPr>
        <w:t xml:space="preserve"> </w:t>
      </w:r>
      <w:r w:rsidRPr="00B32CE4">
        <w:rPr>
          <w:color w:val="000000" w:themeColor="text1"/>
          <w:szCs w:val="20"/>
        </w:rPr>
        <w:t>one</w:t>
      </w:r>
      <w:r w:rsidR="00C64050" w:rsidRPr="00B32CE4">
        <w:rPr>
          <w:color w:val="000000" w:themeColor="text1"/>
          <w:szCs w:val="20"/>
        </w:rPr>
        <w:t xml:space="preserve"> </w:t>
      </w:r>
      <w:r w:rsidRPr="00B32CE4">
        <w:rPr>
          <w:color w:val="000000" w:themeColor="text1"/>
          <w:szCs w:val="20"/>
        </w:rPr>
        <w:t>must</w:t>
      </w:r>
      <w:r w:rsidR="00C64050" w:rsidRPr="00B32CE4">
        <w:rPr>
          <w:color w:val="000000" w:themeColor="text1"/>
          <w:szCs w:val="20"/>
        </w:rPr>
        <w:t xml:space="preserve"> </w:t>
      </w:r>
      <w:r w:rsidRPr="00B32CE4">
        <w:rPr>
          <w:color w:val="000000" w:themeColor="text1"/>
          <w:szCs w:val="20"/>
        </w:rPr>
        <w:t>add</w:t>
      </w:r>
      <w:r w:rsidR="00C64050" w:rsidRPr="00B32CE4">
        <w:rPr>
          <w:color w:val="000000" w:themeColor="text1"/>
          <w:szCs w:val="20"/>
        </w:rPr>
        <w:t xml:space="preserve"> </w:t>
      </w:r>
      <w:r w:rsidRPr="00B32CE4">
        <w:rPr>
          <w:color w:val="000000" w:themeColor="text1"/>
          <w:szCs w:val="20"/>
        </w:rPr>
        <w:t>another</w:t>
      </w:r>
      <w:r w:rsidR="00C64050" w:rsidRPr="00B32CE4">
        <w:rPr>
          <w:color w:val="000000" w:themeColor="text1"/>
          <w:szCs w:val="20"/>
        </w:rPr>
        <w:t xml:space="preserve"> </w:t>
      </w:r>
      <w:r w:rsidRPr="00B32CE4">
        <w:rPr>
          <w:color w:val="000000" w:themeColor="text1"/>
          <w:szCs w:val="20"/>
        </w:rPr>
        <w:t>$2000</w:t>
      </w:r>
      <w:r w:rsidR="00C64050" w:rsidRPr="00B32CE4">
        <w:rPr>
          <w:color w:val="000000" w:themeColor="text1"/>
          <w:szCs w:val="20"/>
        </w:rPr>
        <w:t xml:space="preserve"> </w:t>
      </w:r>
      <w:r w:rsidRPr="00B32CE4">
        <w:rPr>
          <w:color w:val="000000" w:themeColor="text1"/>
          <w:szCs w:val="20"/>
        </w:rPr>
        <w:t>to</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estate</w:t>
      </w:r>
      <w:r w:rsidR="00C64050" w:rsidRPr="00B32CE4">
        <w:rPr>
          <w:color w:val="000000" w:themeColor="text1"/>
          <w:szCs w:val="20"/>
        </w:rPr>
        <w:t xml:space="preserve"> </w:t>
      </w:r>
      <w:r w:rsidRPr="00B32CE4">
        <w:rPr>
          <w:color w:val="000000" w:themeColor="text1"/>
          <w:szCs w:val="20"/>
        </w:rPr>
        <w:t>because</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fair</w:t>
      </w:r>
      <w:r w:rsidR="00C64050" w:rsidRPr="00B32CE4">
        <w:rPr>
          <w:color w:val="000000" w:themeColor="text1"/>
          <w:szCs w:val="20"/>
        </w:rPr>
        <w:t xml:space="preserve"> </w:t>
      </w:r>
      <w:r w:rsidRPr="00B32CE4">
        <w:rPr>
          <w:color w:val="000000" w:themeColor="text1"/>
          <w:szCs w:val="20"/>
        </w:rPr>
        <w:t>market</w:t>
      </w:r>
      <w:r w:rsidR="00C64050" w:rsidRPr="00B32CE4">
        <w:rPr>
          <w:color w:val="000000" w:themeColor="text1"/>
          <w:szCs w:val="20"/>
        </w:rPr>
        <w:t xml:space="preserve"> </w:t>
      </w:r>
      <w:r w:rsidRPr="00B32CE4">
        <w:rPr>
          <w:color w:val="000000" w:themeColor="text1"/>
          <w:szCs w:val="20"/>
        </w:rPr>
        <w:t>value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land</w:t>
      </w:r>
      <w:r w:rsidR="00C64050" w:rsidRPr="00B32CE4">
        <w:rPr>
          <w:color w:val="000000" w:themeColor="text1"/>
          <w:szCs w:val="20"/>
        </w:rPr>
        <w:t xml:space="preserve"> </w:t>
      </w:r>
      <w:r w:rsidRPr="00B32CE4">
        <w:rPr>
          <w:color w:val="000000" w:themeColor="text1"/>
          <w:szCs w:val="20"/>
        </w:rPr>
        <w:t>is</w:t>
      </w:r>
      <w:r w:rsidR="00C64050" w:rsidRPr="00B32CE4">
        <w:rPr>
          <w:color w:val="000000" w:themeColor="text1"/>
          <w:szCs w:val="20"/>
        </w:rPr>
        <w:t xml:space="preserve"> </w:t>
      </w:r>
      <w:r w:rsidRPr="00B32CE4">
        <w:rPr>
          <w:color w:val="000000" w:themeColor="text1"/>
          <w:szCs w:val="20"/>
        </w:rPr>
        <w:t>also</w:t>
      </w:r>
      <w:r w:rsidR="00C64050" w:rsidRPr="00B32CE4">
        <w:rPr>
          <w:color w:val="000000" w:themeColor="text1"/>
          <w:szCs w:val="20"/>
        </w:rPr>
        <w:t xml:space="preserve"> </w:t>
      </w:r>
      <w:r w:rsidRPr="00B32CE4">
        <w:rPr>
          <w:color w:val="000000" w:themeColor="text1"/>
          <w:szCs w:val="20"/>
        </w:rPr>
        <w:t>measured</w:t>
      </w:r>
      <w:r w:rsidR="00C64050" w:rsidRPr="00B32CE4">
        <w:rPr>
          <w:color w:val="000000" w:themeColor="text1"/>
          <w:szCs w:val="20"/>
        </w:rPr>
        <w:t xml:space="preserve"> </w:t>
      </w:r>
      <w:r w:rsidRPr="00B32CE4">
        <w:rPr>
          <w:color w:val="000000" w:themeColor="text1"/>
          <w:szCs w:val="20"/>
        </w:rPr>
        <w:t>as</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date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death.</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result</w:t>
      </w:r>
      <w:r w:rsidR="00C64050" w:rsidRPr="00B32CE4">
        <w:rPr>
          <w:color w:val="000000" w:themeColor="text1"/>
          <w:szCs w:val="20"/>
        </w:rPr>
        <w:t xml:space="preserve"> </w:t>
      </w:r>
      <w:r w:rsidRPr="00B32CE4">
        <w:rPr>
          <w:color w:val="000000" w:themeColor="text1"/>
          <w:szCs w:val="20"/>
        </w:rPr>
        <w:t>is</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inclusion</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$2500</w:t>
      </w:r>
      <w:r w:rsidR="00C64050" w:rsidRPr="00B32CE4">
        <w:rPr>
          <w:color w:val="000000" w:themeColor="text1"/>
          <w:szCs w:val="20"/>
        </w:rPr>
        <w:t xml:space="preserve"> </w:t>
      </w:r>
      <w:r w:rsidRPr="00B32CE4">
        <w:rPr>
          <w:color w:val="000000" w:themeColor="text1"/>
          <w:szCs w:val="20"/>
        </w:rPr>
        <w:t>in</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estate:</w:t>
      </w:r>
      <w:r w:rsidR="00C64050" w:rsidRPr="00B32CE4">
        <w:rPr>
          <w:color w:val="000000" w:themeColor="text1"/>
          <w:szCs w:val="20"/>
        </w:rPr>
        <w:t xml:space="preserve"> </w:t>
      </w:r>
      <w:r w:rsidRPr="00B32CE4">
        <w:rPr>
          <w:color w:val="000000" w:themeColor="text1"/>
          <w:szCs w:val="20"/>
        </w:rPr>
        <w:t>$1000</w:t>
      </w:r>
      <w:r w:rsidR="00C64050" w:rsidRPr="00B32CE4">
        <w:rPr>
          <w:color w:val="000000" w:themeColor="text1"/>
          <w:szCs w:val="20"/>
        </w:rPr>
        <w:t xml:space="preserve"> </w:t>
      </w:r>
      <w:r w:rsidRPr="00B32CE4">
        <w:rPr>
          <w:color w:val="000000" w:themeColor="text1"/>
          <w:szCs w:val="20"/>
        </w:rPr>
        <w:t>+</w:t>
      </w:r>
      <w:r w:rsidR="00C64050" w:rsidRPr="00B32CE4">
        <w:rPr>
          <w:color w:val="000000" w:themeColor="text1"/>
          <w:szCs w:val="20"/>
        </w:rPr>
        <w:t xml:space="preserve"> </w:t>
      </w:r>
      <w:r w:rsidRPr="00B32CE4">
        <w:rPr>
          <w:color w:val="000000" w:themeColor="text1"/>
          <w:szCs w:val="20"/>
        </w:rPr>
        <w:t>$2000</w:t>
      </w:r>
      <w:r w:rsidR="00C64050" w:rsidRPr="00B32CE4">
        <w:rPr>
          <w:color w:val="000000" w:themeColor="text1"/>
          <w:szCs w:val="20"/>
        </w:rPr>
        <w:t xml:space="preserve"> </w:t>
      </w:r>
      <w:r w:rsidRPr="00B32CE4">
        <w:rPr>
          <w:color w:val="000000" w:themeColor="text1"/>
          <w:szCs w:val="20"/>
        </w:rPr>
        <w:t>-</w:t>
      </w:r>
      <w:r w:rsidR="00C64050" w:rsidRPr="00B32CE4">
        <w:rPr>
          <w:color w:val="000000" w:themeColor="text1"/>
          <w:szCs w:val="20"/>
        </w:rPr>
        <w:t xml:space="preserve"> </w:t>
      </w:r>
      <w:r w:rsidRPr="00B32CE4">
        <w:rPr>
          <w:color w:val="000000" w:themeColor="text1"/>
          <w:szCs w:val="20"/>
        </w:rPr>
        <w:t>$500.</w:t>
      </w:r>
      <w:r w:rsidR="00C64050" w:rsidRPr="00B32CE4">
        <w:rPr>
          <w:color w:val="000000" w:themeColor="text1"/>
          <w:szCs w:val="20"/>
        </w:rPr>
        <w:t xml:space="preserve"> </w:t>
      </w:r>
      <w:r w:rsidRPr="00B32CE4">
        <w:rPr>
          <w:color w:val="000000" w:themeColor="text1"/>
          <w:szCs w:val="20"/>
        </w:rPr>
        <w:t>This</w:t>
      </w:r>
      <w:r w:rsidR="00C64050" w:rsidRPr="00B32CE4">
        <w:rPr>
          <w:color w:val="000000" w:themeColor="text1"/>
          <w:szCs w:val="20"/>
        </w:rPr>
        <w:t xml:space="preserve"> </w:t>
      </w:r>
      <w:r w:rsidRPr="00B32CE4">
        <w:rPr>
          <w:color w:val="000000" w:themeColor="text1"/>
          <w:szCs w:val="20"/>
        </w:rPr>
        <w:t>might</w:t>
      </w:r>
      <w:r w:rsidR="00C64050" w:rsidRPr="00B32CE4">
        <w:rPr>
          <w:color w:val="000000" w:themeColor="text1"/>
          <w:szCs w:val="20"/>
        </w:rPr>
        <w:t xml:space="preserve"> </w:t>
      </w:r>
      <w:r w:rsidRPr="00B32CE4">
        <w:rPr>
          <w:color w:val="000000" w:themeColor="text1"/>
          <w:szCs w:val="20"/>
        </w:rPr>
        <w:t>be</w:t>
      </w:r>
      <w:r w:rsidR="00C64050" w:rsidRPr="00B32CE4">
        <w:rPr>
          <w:color w:val="000000" w:themeColor="text1"/>
          <w:szCs w:val="20"/>
        </w:rPr>
        <w:t xml:space="preserve"> </w:t>
      </w:r>
      <w:r w:rsidRPr="00B32CE4">
        <w:rPr>
          <w:color w:val="000000" w:themeColor="text1"/>
          <w:szCs w:val="20"/>
        </w:rPr>
        <w:t>thought</w:t>
      </w:r>
      <w:r w:rsidR="00C64050" w:rsidRPr="00B32CE4">
        <w:rPr>
          <w:color w:val="000000" w:themeColor="text1"/>
          <w:szCs w:val="20"/>
        </w:rPr>
        <w:t xml:space="preserve"> </w:t>
      </w:r>
      <w:r w:rsidRPr="00B32CE4">
        <w:rPr>
          <w:color w:val="000000" w:themeColor="text1"/>
          <w:szCs w:val="20"/>
        </w:rPr>
        <w:t>to</w:t>
      </w:r>
      <w:r w:rsidR="00C64050" w:rsidRPr="00B32CE4">
        <w:rPr>
          <w:color w:val="000000" w:themeColor="text1"/>
          <w:szCs w:val="20"/>
        </w:rPr>
        <w:t xml:space="preserve"> </w:t>
      </w:r>
      <w:r w:rsidRPr="00B32CE4">
        <w:rPr>
          <w:color w:val="000000" w:themeColor="text1"/>
          <w:szCs w:val="20"/>
        </w:rPr>
        <w:t>be</w:t>
      </w:r>
      <w:r w:rsidR="00C64050" w:rsidRPr="00B32CE4">
        <w:rPr>
          <w:color w:val="000000" w:themeColor="text1"/>
          <w:szCs w:val="20"/>
        </w:rPr>
        <w:t xml:space="preserve"> </w:t>
      </w:r>
      <w:r w:rsidRPr="00B32CE4">
        <w:rPr>
          <w:color w:val="000000" w:themeColor="text1"/>
          <w:szCs w:val="20"/>
        </w:rPr>
        <w:t>less</w:t>
      </w:r>
      <w:r w:rsidR="00C64050" w:rsidRPr="00B32CE4">
        <w:rPr>
          <w:color w:val="000000" w:themeColor="text1"/>
          <w:szCs w:val="20"/>
        </w:rPr>
        <w:t xml:space="preserve"> </w:t>
      </w:r>
      <w:r w:rsidRPr="00B32CE4">
        <w:rPr>
          <w:color w:val="000000" w:themeColor="text1"/>
          <w:szCs w:val="20"/>
        </w:rPr>
        <w:t>sensible:</w:t>
      </w:r>
      <w:r w:rsidR="00C64050" w:rsidRPr="00B32CE4">
        <w:rPr>
          <w:color w:val="000000" w:themeColor="text1"/>
          <w:szCs w:val="20"/>
        </w:rPr>
        <w:t xml:space="preserve"> </w:t>
      </w:r>
      <w:r w:rsidRPr="00B32CE4">
        <w:rPr>
          <w:color w:val="000000" w:themeColor="text1"/>
          <w:szCs w:val="20"/>
        </w:rPr>
        <w:t>If</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decedent</w:t>
      </w:r>
      <w:r w:rsidR="00C64050" w:rsidRPr="00B32CE4">
        <w:rPr>
          <w:color w:val="000000" w:themeColor="text1"/>
          <w:szCs w:val="20"/>
        </w:rPr>
        <w:t xml:space="preserve"> </w:t>
      </w:r>
      <w:r w:rsidRPr="00B32CE4">
        <w:rPr>
          <w:color w:val="000000" w:themeColor="text1"/>
          <w:szCs w:val="20"/>
        </w:rPr>
        <w:t>had</w:t>
      </w:r>
      <w:r w:rsidR="00C64050" w:rsidRPr="00B32CE4">
        <w:rPr>
          <w:color w:val="000000" w:themeColor="text1"/>
          <w:szCs w:val="20"/>
        </w:rPr>
        <w:t xml:space="preserve"> </w:t>
      </w:r>
      <w:r w:rsidRPr="00B32CE4">
        <w:rPr>
          <w:color w:val="000000" w:themeColor="text1"/>
          <w:szCs w:val="20"/>
        </w:rPr>
        <w:t>kept</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land,</w:t>
      </w:r>
      <w:r w:rsidR="00C64050" w:rsidRPr="00B32CE4">
        <w:rPr>
          <w:color w:val="000000" w:themeColor="text1"/>
          <w:szCs w:val="20"/>
        </w:rPr>
        <w:t xml:space="preserve"> </w:t>
      </w:r>
      <w:r w:rsidRPr="00B32CE4">
        <w:rPr>
          <w:color w:val="000000" w:themeColor="text1"/>
          <w:szCs w:val="20"/>
        </w:rPr>
        <w:t>only</w:t>
      </w:r>
      <w:r w:rsidR="00C64050" w:rsidRPr="00B32CE4">
        <w:rPr>
          <w:color w:val="000000" w:themeColor="text1"/>
          <w:szCs w:val="20"/>
        </w:rPr>
        <w:t xml:space="preserve"> </w:t>
      </w:r>
      <w:r w:rsidRPr="00B32CE4">
        <w:rPr>
          <w:color w:val="000000" w:themeColor="text1"/>
          <w:szCs w:val="20"/>
        </w:rPr>
        <w:t>$2000</w:t>
      </w:r>
      <w:r w:rsidR="00C64050" w:rsidRPr="00B32CE4">
        <w:rPr>
          <w:color w:val="000000" w:themeColor="text1"/>
          <w:szCs w:val="20"/>
        </w:rPr>
        <w:t xml:space="preserve"> </w:t>
      </w:r>
      <w:r w:rsidRPr="00B32CE4">
        <w:rPr>
          <w:color w:val="000000" w:themeColor="text1"/>
          <w:szCs w:val="20"/>
        </w:rPr>
        <w:t>would</w:t>
      </w:r>
      <w:r w:rsidR="00C64050" w:rsidRPr="00B32CE4">
        <w:rPr>
          <w:color w:val="000000" w:themeColor="text1"/>
          <w:szCs w:val="20"/>
        </w:rPr>
        <w:t xml:space="preserve"> </w:t>
      </w:r>
      <w:r w:rsidRPr="00B32CE4">
        <w:rPr>
          <w:color w:val="000000" w:themeColor="text1"/>
          <w:szCs w:val="20"/>
        </w:rPr>
        <w:t>be</w:t>
      </w:r>
      <w:r w:rsidR="00C64050" w:rsidRPr="00B32CE4">
        <w:rPr>
          <w:color w:val="000000" w:themeColor="text1"/>
          <w:szCs w:val="20"/>
        </w:rPr>
        <w:t xml:space="preserve"> </w:t>
      </w:r>
      <w:r w:rsidRPr="00B32CE4">
        <w:rPr>
          <w:color w:val="000000" w:themeColor="text1"/>
          <w:szCs w:val="20"/>
        </w:rPr>
        <w:t>in</w:t>
      </w:r>
      <w:r w:rsidR="00C64050" w:rsidRPr="00B32CE4">
        <w:rPr>
          <w:color w:val="000000" w:themeColor="text1"/>
          <w:szCs w:val="20"/>
        </w:rPr>
        <w:t xml:space="preserve"> </w:t>
      </w:r>
      <w:r w:rsidRPr="00B32CE4">
        <w:rPr>
          <w:color w:val="000000" w:themeColor="text1"/>
          <w:szCs w:val="20"/>
        </w:rPr>
        <w:t>his</w:t>
      </w:r>
      <w:r w:rsidR="00C64050" w:rsidRPr="00B32CE4">
        <w:rPr>
          <w:color w:val="000000" w:themeColor="text1"/>
          <w:szCs w:val="20"/>
        </w:rPr>
        <w:t xml:space="preserve"> </w:t>
      </w:r>
      <w:r w:rsidRPr="00B32CE4">
        <w:rPr>
          <w:color w:val="000000" w:themeColor="text1"/>
          <w:szCs w:val="20"/>
        </w:rPr>
        <w:t>gross</w:t>
      </w:r>
      <w:r w:rsidR="00C64050" w:rsidRPr="00B32CE4">
        <w:rPr>
          <w:color w:val="000000" w:themeColor="text1"/>
          <w:szCs w:val="20"/>
        </w:rPr>
        <w:t xml:space="preserve"> </w:t>
      </w:r>
      <w:r w:rsidRPr="00B32CE4">
        <w:rPr>
          <w:color w:val="000000" w:themeColor="text1"/>
          <w:szCs w:val="20"/>
        </w:rPr>
        <w:t>estate.</w:t>
      </w:r>
    </w:p>
    <w:p w:rsidR="00D66AAD" w:rsidRPr="00B32CE4" w:rsidRDefault="00D66AAD" w:rsidP="00D66AAD">
      <w:pPr>
        <w:pStyle w:val="QS10"/>
        <w:rPr>
          <w:color w:val="000000" w:themeColor="text1"/>
          <w:szCs w:val="20"/>
        </w:rPr>
      </w:pPr>
      <w:r w:rsidRPr="00B32CE4">
        <w:rPr>
          <w:rStyle w:val="Emphasis"/>
          <w:color w:val="000000" w:themeColor="text1"/>
          <w:szCs w:val="20"/>
        </w:rPr>
        <w:t>Example</w:t>
      </w:r>
      <w:r w:rsidR="00C64050" w:rsidRPr="00B32CE4">
        <w:rPr>
          <w:rStyle w:val="Emphasis"/>
          <w:color w:val="000000" w:themeColor="text1"/>
          <w:szCs w:val="20"/>
        </w:rPr>
        <w:t xml:space="preserve"> </w:t>
      </w:r>
      <w:r w:rsidRPr="00B32CE4">
        <w:rPr>
          <w:rStyle w:val="Emphasis"/>
          <w:color w:val="000000" w:themeColor="text1"/>
          <w:szCs w:val="20"/>
        </w:rPr>
        <w:t>3:</w:t>
      </w:r>
      <w:r w:rsidR="00C64050" w:rsidRPr="00B32CE4">
        <w:rPr>
          <w:rStyle w:val="Emphasis"/>
          <w:color w:val="000000" w:themeColor="text1"/>
          <w:szCs w:val="20"/>
        </w:rPr>
        <w:t xml:space="preserve"> </w:t>
      </w:r>
      <w:r w:rsidRPr="00B32CE4">
        <w:rPr>
          <w:rStyle w:val="Emphasis"/>
          <w:color w:val="000000" w:themeColor="text1"/>
          <w:szCs w:val="20"/>
        </w:rPr>
        <w:t>Declining</w:t>
      </w:r>
      <w:r w:rsidR="00C64050" w:rsidRPr="00B32CE4">
        <w:rPr>
          <w:rStyle w:val="Emphasis"/>
          <w:color w:val="000000" w:themeColor="text1"/>
          <w:szCs w:val="20"/>
        </w:rPr>
        <w:t xml:space="preserve"> </w:t>
      </w:r>
      <w:r w:rsidRPr="00B32CE4">
        <w:rPr>
          <w:rStyle w:val="Emphasis"/>
          <w:color w:val="000000" w:themeColor="text1"/>
          <w:szCs w:val="20"/>
        </w:rPr>
        <w:t>Values.</w:t>
      </w:r>
      <w:r w:rsidR="00C64050" w:rsidRPr="00B32CE4">
        <w:rPr>
          <w:color w:val="000000" w:themeColor="text1"/>
          <w:szCs w:val="20"/>
        </w:rPr>
        <w:t xml:space="preserve"> </w:t>
      </w:r>
      <w:r w:rsidRPr="00B32CE4">
        <w:rPr>
          <w:color w:val="000000" w:themeColor="text1"/>
          <w:szCs w:val="20"/>
        </w:rPr>
        <w:t>Again,</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same</w:t>
      </w:r>
      <w:r w:rsidR="00C64050" w:rsidRPr="00B32CE4">
        <w:rPr>
          <w:color w:val="000000" w:themeColor="text1"/>
          <w:szCs w:val="20"/>
        </w:rPr>
        <w:t xml:space="preserve"> </w:t>
      </w:r>
      <w:r w:rsidRPr="00B32CE4">
        <w:rPr>
          <w:color w:val="000000" w:themeColor="text1"/>
          <w:szCs w:val="20"/>
        </w:rPr>
        <w:t>facts</w:t>
      </w:r>
      <w:r w:rsidR="00C64050" w:rsidRPr="00B32CE4">
        <w:rPr>
          <w:color w:val="000000" w:themeColor="text1"/>
          <w:szCs w:val="20"/>
        </w:rPr>
        <w:t xml:space="preserve"> </w:t>
      </w:r>
      <w:r w:rsidRPr="00B32CE4">
        <w:rPr>
          <w:color w:val="000000" w:themeColor="text1"/>
          <w:szCs w:val="20"/>
        </w:rPr>
        <w:t>but</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land</w:t>
      </w:r>
      <w:r w:rsidR="00C64050" w:rsidRPr="00B32CE4">
        <w:rPr>
          <w:color w:val="000000" w:themeColor="text1"/>
          <w:szCs w:val="20"/>
        </w:rPr>
        <w:t xml:space="preserve"> </w:t>
      </w:r>
      <w:r w:rsidRPr="00B32CE4">
        <w:rPr>
          <w:color w:val="000000" w:themeColor="text1"/>
          <w:szCs w:val="20"/>
        </w:rPr>
        <w:t>and</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FLP</w:t>
      </w:r>
      <w:r w:rsidR="00C64050" w:rsidRPr="00B32CE4">
        <w:rPr>
          <w:color w:val="000000" w:themeColor="text1"/>
          <w:szCs w:val="20"/>
        </w:rPr>
        <w:t xml:space="preserve"> </w:t>
      </w:r>
      <w:r w:rsidRPr="00B32CE4">
        <w:rPr>
          <w:color w:val="000000" w:themeColor="text1"/>
          <w:szCs w:val="20"/>
        </w:rPr>
        <w:t>share</w:t>
      </w:r>
      <w:r w:rsidR="00C64050" w:rsidRPr="00B32CE4">
        <w:rPr>
          <w:color w:val="000000" w:themeColor="text1"/>
          <w:szCs w:val="20"/>
        </w:rPr>
        <w:t xml:space="preserve"> </w:t>
      </w:r>
      <w:r w:rsidRPr="00B32CE4">
        <w:rPr>
          <w:color w:val="000000" w:themeColor="text1"/>
          <w:szCs w:val="20"/>
        </w:rPr>
        <w:t>halve</w:t>
      </w:r>
      <w:r w:rsidR="00C64050" w:rsidRPr="00B32CE4">
        <w:rPr>
          <w:color w:val="000000" w:themeColor="text1"/>
          <w:szCs w:val="20"/>
        </w:rPr>
        <w:t xml:space="preserve"> </w:t>
      </w:r>
      <w:r w:rsidRPr="00B32CE4">
        <w:rPr>
          <w:color w:val="000000" w:themeColor="text1"/>
          <w:szCs w:val="20"/>
        </w:rPr>
        <w:t>in</w:t>
      </w:r>
      <w:r w:rsidR="00C64050" w:rsidRPr="00B32CE4">
        <w:rPr>
          <w:color w:val="000000" w:themeColor="text1"/>
          <w:szCs w:val="20"/>
        </w:rPr>
        <w:t xml:space="preserve"> </w:t>
      </w:r>
      <w:r w:rsidRPr="00B32CE4">
        <w:rPr>
          <w:color w:val="000000" w:themeColor="text1"/>
          <w:szCs w:val="20"/>
        </w:rPr>
        <w:t>value.</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FLP</w:t>
      </w:r>
      <w:r w:rsidR="00C64050" w:rsidRPr="00B32CE4">
        <w:rPr>
          <w:color w:val="000000" w:themeColor="text1"/>
          <w:szCs w:val="20"/>
        </w:rPr>
        <w:t xml:space="preserve"> </w:t>
      </w:r>
      <w:r w:rsidRPr="00B32CE4">
        <w:rPr>
          <w:color w:val="000000" w:themeColor="text1"/>
          <w:szCs w:val="20"/>
        </w:rPr>
        <w:t>interest</w:t>
      </w:r>
      <w:r w:rsidR="00C64050" w:rsidRPr="00B32CE4">
        <w:rPr>
          <w:color w:val="000000" w:themeColor="text1"/>
          <w:szCs w:val="20"/>
        </w:rPr>
        <w:t xml:space="preserve"> </w:t>
      </w:r>
      <w:r w:rsidRPr="00B32CE4">
        <w:rPr>
          <w:color w:val="000000" w:themeColor="text1"/>
          <w:szCs w:val="20"/>
        </w:rPr>
        <w:t>is</w:t>
      </w:r>
      <w:r w:rsidR="00C64050" w:rsidRPr="00B32CE4">
        <w:rPr>
          <w:color w:val="000000" w:themeColor="text1"/>
          <w:szCs w:val="20"/>
        </w:rPr>
        <w:t xml:space="preserve"> </w:t>
      </w:r>
      <w:r w:rsidRPr="00B32CE4">
        <w:rPr>
          <w:color w:val="000000" w:themeColor="text1"/>
          <w:szCs w:val="20"/>
        </w:rPr>
        <w:t>worth</w:t>
      </w:r>
      <w:r w:rsidR="00C64050" w:rsidRPr="00B32CE4">
        <w:rPr>
          <w:color w:val="000000" w:themeColor="text1"/>
          <w:szCs w:val="20"/>
        </w:rPr>
        <w:t xml:space="preserve"> </w:t>
      </w:r>
      <w:r w:rsidRPr="00B32CE4">
        <w:rPr>
          <w:color w:val="000000" w:themeColor="text1"/>
          <w:szCs w:val="20"/>
        </w:rPr>
        <w:t>only</w:t>
      </w:r>
      <w:r w:rsidR="00C64050" w:rsidRPr="00B32CE4">
        <w:rPr>
          <w:color w:val="000000" w:themeColor="text1"/>
          <w:szCs w:val="20"/>
        </w:rPr>
        <w:t xml:space="preserve"> </w:t>
      </w:r>
      <w:r w:rsidRPr="00B32CE4">
        <w:rPr>
          <w:color w:val="000000" w:themeColor="text1"/>
          <w:szCs w:val="20"/>
        </w:rPr>
        <w:t>$250</w:t>
      </w:r>
      <w:r w:rsidR="00C64050" w:rsidRPr="00B32CE4">
        <w:rPr>
          <w:color w:val="000000" w:themeColor="text1"/>
          <w:szCs w:val="20"/>
        </w:rPr>
        <w:t xml:space="preserve"> </w:t>
      </w:r>
      <w:r w:rsidRPr="00B32CE4">
        <w:rPr>
          <w:color w:val="000000" w:themeColor="text1"/>
          <w:szCs w:val="20"/>
        </w:rPr>
        <w:t>at</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date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death</w:t>
      </w:r>
      <w:r w:rsidR="00C64050" w:rsidRPr="00B32CE4">
        <w:rPr>
          <w:color w:val="000000" w:themeColor="text1"/>
          <w:szCs w:val="20"/>
        </w:rPr>
        <w:t xml:space="preserve"> </w:t>
      </w:r>
      <w:r w:rsidRPr="00B32CE4">
        <w:rPr>
          <w:color w:val="000000" w:themeColor="text1"/>
          <w:szCs w:val="20"/>
        </w:rPr>
        <w:t>and</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land</w:t>
      </w:r>
      <w:r w:rsidR="00C64050" w:rsidRPr="00B32CE4">
        <w:rPr>
          <w:color w:val="000000" w:themeColor="text1"/>
          <w:szCs w:val="20"/>
        </w:rPr>
        <w:t xml:space="preserve"> </w:t>
      </w:r>
      <w:r w:rsidRPr="00B32CE4">
        <w:rPr>
          <w:color w:val="000000" w:themeColor="text1"/>
          <w:szCs w:val="20"/>
        </w:rPr>
        <w:t>is</w:t>
      </w:r>
      <w:r w:rsidR="00C64050" w:rsidRPr="00B32CE4">
        <w:rPr>
          <w:color w:val="000000" w:themeColor="text1"/>
          <w:szCs w:val="20"/>
        </w:rPr>
        <w:t xml:space="preserve"> </w:t>
      </w:r>
      <w:r w:rsidRPr="00B32CE4">
        <w:rPr>
          <w:color w:val="000000" w:themeColor="text1"/>
          <w:szCs w:val="20"/>
        </w:rPr>
        <w:t>worth</w:t>
      </w:r>
      <w:r w:rsidR="00C64050" w:rsidRPr="00B32CE4">
        <w:rPr>
          <w:color w:val="000000" w:themeColor="text1"/>
          <w:szCs w:val="20"/>
        </w:rPr>
        <w:t xml:space="preserve"> </w:t>
      </w:r>
      <w:r w:rsidRPr="00B32CE4">
        <w:rPr>
          <w:color w:val="000000" w:themeColor="text1"/>
          <w:szCs w:val="20"/>
        </w:rPr>
        <w:t>only</w:t>
      </w:r>
      <w:r w:rsidR="00C64050" w:rsidRPr="00B32CE4">
        <w:rPr>
          <w:color w:val="000000" w:themeColor="text1"/>
          <w:szCs w:val="20"/>
        </w:rPr>
        <w:t xml:space="preserve"> </w:t>
      </w:r>
      <w:r w:rsidRPr="00B32CE4">
        <w:rPr>
          <w:color w:val="000000" w:themeColor="text1"/>
          <w:szCs w:val="20"/>
        </w:rPr>
        <w:t>$500.</w:t>
      </w:r>
      <w:r w:rsidR="00C64050" w:rsidRPr="00B32CE4">
        <w:rPr>
          <w:color w:val="000000" w:themeColor="text1"/>
          <w:szCs w:val="20"/>
        </w:rPr>
        <w:t xml:space="preserve"> </w:t>
      </w:r>
      <w:r w:rsidRPr="00B32CE4">
        <w:rPr>
          <w:color w:val="000000" w:themeColor="text1"/>
          <w:szCs w:val="20"/>
        </w:rPr>
        <w:t>What’s</w:t>
      </w:r>
      <w:r w:rsidR="00C64050" w:rsidRPr="00B32CE4">
        <w:rPr>
          <w:color w:val="000000" w:themeColor="text1"/>
          <w:szCs w:val="20"/>
        </w:rPr>
        <w:t xml:space="preserve"> </w:t>
      </w:r>
      <w:r w:rsidRPr="00B32CE4">
        <w:rPr>
          <w:color w:val="000000" w:themeColor="text1"/>
          <w:szCs w:val="20"/>
        </w:rPr>
        <w:t>included</w:t>
      </w:r>
      <w:r w:rsidR="00C64050" w:rsidRPr="00B32CE4">
        <w:rPr>
          <w:color w:val="000000" w:themeColor="text1"/>
          <w:szCs w:val="20"/>
        </w:rPr>
        <w:t xml:space="preserve"> </w:t>
      </w:r>
      <w:r w:rsidRPr="00B32CE4">
        <w:rPr>
          <w:color w:val="000000" w:themeColor="text1"/>
          <w:szCs w:val="20"/>
        </w:rPr>
        <w:t>in</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gross</w:t>
      </w:r>
      <w:r w:rsidR="00C64050" w:rsidRPr="00B32CE4">
        <w:rPr>
          <w:color w:val="000000" w:themeColor="text1"/>
          <w:szCs w:val="20"/>
        </w:rPr>
        <w:t xml:space="preserve"> </w:t>
      </w:r>
      <w:r w:rsidRPr="00B32CE4">
        <w:rPr>
          <w:color w:val="000000" w:themeColor="text1"/>
          <w:szCs w:val="20"/>
        </w:rPr>
        <w:t>estate?</w:t>
      </w:r>
      <w:r w:rsidR="00C64050" w:rsidRPr="00B32CE4">
        <w:rPr>
          <w:color w:val="000000" w:themeColor="text1"/>
          <w:szCs w:val="20"/>
        </w:rPr>
        <w:t xml:space="preserve"> </w:t>
      </w:r>
      <w:r w:rsidRPr="00B32CE4">
        <w:rPr>
          <w:color w:val="000000" w:themeColor="text1"/>
          <w:szCs w:val="20"/>
        </w:rPr>
        <w:t>$250</w:t>
      </w:r>
      <w:r w:rsidR="00C64050" w:rsidRPr="00B32CE4">
        <w:rPr>
          <w:color w:val="000000" w:themeColor="text1"/>
          <w:szCs w:val="20"/>
        </w:rPr>
        <w:t xml:space="preserve"> </w:t>
      </w:r>
      <w:r w:rsidRPr="00B32CE4">
        <w:rPr>
          <w:color w:val="000000" w:themeColor="text1"/>
          <w:szCs w:val="20"/>
        </w:rPr>
        <w:t>+</w:t>
      </w:r>
      <w:r w:rsidR="00C64050" w:rsidRPr="00B32CE4">
        <w:rPr>
          <w:color w:val="000000" w:themeColor="text1"/>
          <w:szCs w:val="20"/>
        </w:rPr>
        <w:t xml:space="preserve"> </w:t>
      </w:r>
      <w:r w:rsidRPr="00B32CE4">
        <w:rPr>
          <w:color w:val="000000" w:themeColor="text1"/>
          <w:szCs w:val="20"/>
        </w:rPr>
        <w:t>$500</w:t>
      </w:r>
      <w:r w:rsidR="00C64050" w:rsidRPr="00B32CE4">
        <w:rPr>
          <w:color w:val="000000" w:themeColor="text1"/>
          <w:szCs w:val="20"/>
        </w:rPr>
        <w:t xml:space="preserve"> </w:t>
      </w:r>
      <w:r w:rsidRPr="00B32CE4">
        <w:rPr>
          <w:color w:val="000000" w:themeColor="text1"/>
          <w:szCs w:val="20"/>
        </w:rPr>
        <w:t>-</w:t>
      </w:r>
      <w:r w:rsidR="00C64050" w:rsidRPr="00B32CE4">
        <w:rPr>
          <w:color w:val="000000" w:themeColor="text1"/>
          <w:szCs w:val="20"/>
        </w:rPr>
        <w:t xml:space="preserve"> </w:t>
      </w:r>
      <w:r w:rsidRPr="00B32CE4">
        <w:rPr>
          <w:color w:val="000000" w:themeColor="text1"/>
          <w:szCs w:val="20"/>
        </w:rPr>
        <w:t>$500</w:t>
      </w:r>
      <w:r w:rsidR="00C64050" w:rsidRPr="00B32CE4">
        <w:rPr>
          <w:color w:val="000000" w:themeColor="text1"/>
          <w:szCs w:val="20"/>
        </w:rPr>
        <w:t xml:space="preserve"> </w:t>
      </w:r>
      <w:r w:rsidRPr="00B32CE4">
        <w:rPr>
          <w:color w:val="000000" w:themeColor="text1"/>
          <w:szCs w:val="20"/>
        </w:rPr>
        <w:t>=</w:t>
      </w:r>
      <w:r w:rsidR="00C64050" w:rsidRPr="00B32CE4">
        <w:rPr>
          <w:color w:val="000000" w:themeColor="text1"/>
          <w:szCs w:val="20"/>
        </w:rPr>
        <w:t xml:space="preserve"> </w:t>
      </w:r>
      <w:r w:rsidRPr="00B32CE4">
        <w:rPr>
          <w:color w:val="000000" w:themeColor="text1"/>
          <w:szCs w:val="20"/>
        </w:rPr>
        <w:t>$250,</w:t>
      </w:r>
      <w:r w:rsidR="00C64050" w:rsidRPr="00B32CE4">
        <w:rPr>
          <w:color w:val="000000" w:themeColor="text1"/>
          <w:szCs w:val="20"/>
        </w:rPr>
        <w:t xml:space="preserve"> </w:t>
      </w:r>
      <w:r w:rsidRPr="00B32CE4">
        <w:rPr>
          <w:color w:val="000000" w:themeColor="text1"/>
          <w:szCs w:val="20"/>
        </w:rPr>
        <w:t>instead</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$500.</w:t>
      </w:r>
      <w:r w:rsidR="00C64050" w:rsidRPr="00B32CE4">
        <w:rPr>
          <w:color w:val="000000" w:themeColor="text1"/>
          <w:szCs w:val="20"/>
        </w:rPr>
        <w:t xml:space="preserve"> </w:t>
      </w:r>
      <w:r w:rsidRPr="00B32CE4">
        <w:rPr>
          <w:color w:val="000000" w:themeColor="text1"/>
          <w:szCs w:val="20"/>
        </w:rPr>
        <w:t>This</w:t>
      </w:r>
      <w:r w:rsidR="00C64050" w:rsidRPr="00B32CE4">
        <w:rPr>
          <w:color w:val="000000" w:themeColor="text1"/>
          <w:szCs w:val="20"/>
        </w:rPr>
        <w:t xml:space="preserve"> </w:t>
      </w:r>
      <w:r w:rsidRPr="00B32CE4">
        <w:rPr>
          <w:color w:val="000000" w:themeColor="text1"/>
          <w:szCs w:val="20"/>
        </w:rPr>
        <w:t>makes</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decedent</w:t>
      </w:r>
      <w:r w:rsidR="00C64050" w:rsidRPr="00B32CE4">
        <w:rPr>
          <w:color w:val="000000" w:themeColor="text1"/>
          <w:szCs w:val="20"/>
        </w:rPr>
        <w:t xml:space="preserve"> </w:t>
      </w:r>
      <w:r w:rsidRPr="00B32CE4">
        <w:rPr>
          <w:color w:val="000000" w:themeColor="text1"/>
          <w:szCs w:val="20"/>
        </w:rPr>
        <w:t>who</w:t>
      </w:r>
      <w:r w:rsidR="00C64050" w:rsidRPr="00B32CE4">
        <w:rPr>
          <w:color w:val="000000" w:themeColor="text1"/>
          <w:szCs w:val="20"/>
        </w:rPr>
        <w:t xml:space="preserve"> </w:t>
      </w:r>
      <w:r w:rsidRPr="00B32CE4">
        <w:rPr>
          <w:color w:val="000000" w:themeColor="text1"/>
          <w:szCs w:val="20"/>
        </w:rPr>
        <w:t>does</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transaction</w:t>
      </w:r>
      <w:r w:rsidR="00C64050" w:rsidRPr="00B32CE4">
        <w:rPr>
          <w:color w:val="000000" w:themeColor="text1"/>
          <w:szCs w:val="20"/>
        </w:rPr>
        <w:t xml:space="preserve"> </w:t>
      </w:r>
      <w:r w:rsidRPr="00B32CE4">
        <w:rPr>
          <w:color w:val="000000" w:themeColor="text1"/>
          <w:szCs w:val="20"/>
        </w:rPr>
        <w:t>better</w:t>
      </w:r>
      <w:r w:rsidR="00C64050" w:rsidRPr="00B32CE4">
        <w:rPr>
          <w:color w:val="000000" w:themeColor="text1"/>
          <w:szCs w:val="20"/>
        </w:rPr>
        <w:t xml:space="preserve"> </w:t>
      </w:r>
      <w:r w:rsidRPr="00B32CE4">
        <w:rPr>
          <w:color w:val="000000" w:themeColor="text1"/>
          <w:szCs w:val="20"/>
        </w:rPr>
        <w:t>off</w:t>
      </w:r>
      <w:r w:rsidR="00C64050" w:rsidRPr="00B32CE4">
        <w:rPr>
          <w:color w:val="000000" w:themeColor="text1"/>
          <w:szCs w:val="20"/>
        </w:rPr>
        <w:t xml:space="preserve"> </w:t>
      </w:r>
      <w:r w:rsidRPr="00B32CE4">
        <w:rPr>
          <w:color w:val="000000" w:themeColor="text1"/>
          <w:szCs w:val="20"/>
        </w:rPr>
        <w:t>than</w:t>
      </w:r>
      <w:r w:rsidR="00C64050" w:rsidRPr="00B32CE4">
        <w:rPr>
          <w:color w:val="000000" w:themeColor="text1"/>
          <w:szCs w:val="20"/>
        </w:rPr>
        <w:t xml:space="preserve"> </w:t>
      </w:r>
      <w:r w:rsidRPr="00B32CE4">
        <w:rPr>
          <w:color w:val="000000" w:themeColor="text1"/>
          <w:szCs w:val="20"/>
        </w:rPr>
        <w:t>one</w:t>
      </w:r>
      <w:r w:rsidR="00C64050" w:rsidRPr="00B32CE4">
        <w:rPr>
          <w:color w:val="000000" w:themeColor="text1"/>
          <w:szCs w:val="20"/>
        </w:rPr>
        <w:t xml:space="preserve"> </w:t>
      </w:r>
      <w:r w:rsidRPr="00B32CE4">
        <w:rPr>
          <w:color w:val="000000" w:themeColor="text1"/>
          <w:szCs w:val="20"/>
        </w:rPr>
        <w:t>who</w:t>
      </w:r>
      <w:r w:rsidR="00C64050" w:rsidRPr="00B32CE4">
        <w:rPr>
          <w:color w:val="000000" w:themeColor="text1"/>
          <w:szCs w:val="20"/>
        </w:rPr>
        <w:t xml:space="preserve"> </w:t>
      </w:r>
      <w:r w:rsidRPr="00B32CE4">
        <w:rPr>
          <w:color w:val="000000" w:themeColor="text1"/>
          <w:szCs w:val="20"/>
        </w:rPr>
        <w:t>doesn’t.</w:t>
      </w:r>
    </w:p>
    <w:p w:rsidR="00D66AAD" w:rsidRPr="00B32CE4" w:rsidRDefault="00D66AAD" w:rsidP="00D66AAD">
      <w:pPr>
        <w:pStyle w:val="QS10"/>
        <w:rPr>
          <w:color w:val="000000" w:themeColor="text1"/>
          <w:szCs w:val="20"/>
        </w:rPr>
      </w:pPr>
      <w:r w:rsidRPr="00B32CE4">
        <w:rPr>
          <w:color w:val="000000" w:themeColor="text1"/>
          <w:szCs w:val="20"/>
        </w:rPr>
        <w:t>And</w:t>
      </w:r>
      <w:r w:rsidR="00C64050" w:rsidRPr="00B32CE4">
        <w:rPr>
          <w:color w:val="000000" w:themeColor="text1"/>
          <w:szCs w:val="20"/>
        </w:rPr>
        <w:t xml:space="preserve"> </w:t>
      </w:r>
      <w:r w:rsidRPr="00B32CE4">
        <w:rPr>
          <w:color w:val="000000" w:themeColor="text1"/>
          <w:szCs w:val="20"/>
        </w:rPr>
        <w:t>now</w:t>
      </w:r>
      <w:r w:rsidR="00C64050" w:rsidRPr="00B32CE4">
        <w:rPr>
          <w:color w:val="000000" w:themeColor="text1"/>
          <w:szCs w:val="20"/>
        </w:rPr>
        <w:t xml:space="preserve"> </w:t>
      </w:r>
      <w:r w:rsidRPr="00B32CE4">
        <w:rPr>
          <w:color w:val="000000" w:themeColor="text1"/>
          <w:szCs w:val="20"/>
        </w:rPr>
        <w:t>we</w:t>
      </w:r>
      <w:r w:rsidR="00C64050" w:rsidRPr="00B32CE4">
        <w:rPr>
          <w:color w:val="000000" w:themeColor="text1"/>
          <w:szCs w:val="20"/>
        </w:rPr>
        <w:t xml:space="preserve"> </w:t>
      </w:r>
      <w:r w:rsidRPr="00B32CE4">
        <w:rPr>
          <w:color w:val="000000" w:themeColor="text1"/>
          <w:szCs w:val="20"/>
        </w:rPr>
        <w:t>can</w:t>
      </w:r>
      <w:r w:rsidR="00C64050" w:rsidRPr="00B32CE4">
        <w:rPr>
          <w:color w:val="000000" w:themeColor="text1"/>
          <w:szCs w:val="20"/>
        </w:rPr>
        <w:t xml:space="preserve"> </w:t>
      </w:r>
      <w:r w:rsidRPr="00B32CE4">
        <w:rPr>
          <w:color w:val="000000" w:themeColor="text1"/>
          <w:szCs w:val="20"/>
        </w:rPr>
        <w:t>introduce</w:t>
      </w:r>
      <w:r w:rsidR="00C64050" w:rsidRPr="00B32CE4">
        <w:rPr>
          <w:color w:val="000000" w:themeColor="text1"/>
          <w:szCs w:val="20"/>
        </w:rPr>
        <w:t xml:space="preserve"> </w:t>
      </w:r>
      <w:r w:rsidRPr="00B32CE4">
        <w:rPr>
          <w:color w:val="000000" w:themeColor="text1"/>
          <w:szCs w:val="20"/>
        </w:rPr>
        <w:t>discounted</w:t>
      </w:r>
      <w:r w:rsidR="00C64050" w:rsidRPr="00B32CE4">
        <w:rPr>
          <w:color w:val="000000" w:themeColor="text1"/>
          <w:szCs w:val="20"/>
        </w:rPr>
        <w:t xml:space="preserve"> </w:t>
      </w:r>
      <w:r w:rsidRPr="00B32CE4">
        <w:rPr>
          <w:color w:val="000000" w:themeColor="text1"/>
          <w:szCs w:val="20"/>
        </w:rPr>
        <w:t>FLP</w:t>
      </w:r>
      <w:r w:rsidR="00C64050" w:rsidRPr="00B32CE4">
        <w:rPr>
          <w:color w:val="000000" w:themeColor="text1"/>
          <w:szCs w:val="20"/>
        </w:rPr>
        <w:t xml:space="preserve"> </w:t>
      </w:r>
      <w:r w:rsidRPr="00B32CE4">
        <w:rPr>
          <w:color w:val="000000" w:themeColor="text1"/>
          <w:szCs w:val="20"/>
        </w:rPr>
        <w:t>interests.</w:t>
      </w:r>
    </w:p>
    <w:p w:rsidR="00D66AAD" w:rsidRPr="00B32CE4" w:rsidRDefault="00D66AAD" w:rsidP="00D66AAD">
      <w:pPr>
        <w:pStyle w:val="QS10"/>
        <w:rPr>
          <w:color w:val="000000" w:themeColor="text1"/>
          <w:szCs w:val="20"/>
        </w:rPr>
      </w:pPr>
      <w:r w:rsidRPr="00B32CE4">
        <w:rPr>
          <w:rStyle w:val="Emphasis"/>
          <w:color w:val="000000" w:themeColor="text1"/>
          <w:szCs w:val="20"/>
        </w:rPr>
        <w:t>Example</w:t>
      </w:r>
      <w:r w:rsidR="00C64050" w:rsidRPr="00B32CE4">
        <w:rPr>
          <w:rStyle w:val="Emphasis"/>
          <w:color w:val="000000" w:themeColor="text1"/>
          <w:szCs w:val="20"/>
        </w:rPr>
        <w:t xml:space="preserve"> </w:t>
      </w:r>
      <w:r w:rsidRPr="00B32CE4">
        <w:rPr>
          <w:rStyle w:val="Emphasis"/>
          <w:color w:val="000000" w:themeColor="text1"/>
          <w:szCs w:val="20"/>
        </w:rPr>
        <w:t>4:</w:t>
      </w:r>
      <w:r w:rsidR="00C64050" w:rsidRPr="00B32CE4">
        <w:rPr>
          <w:rStyle w:val="Emphasis"/>
          <w:color w:val="000000" w:themeColor="text1"/>
          <w:szCs w:val="20"/>
        </w:rPr>
        <w:t xml:space="preserve"> </w:t>
      </w:r>
      <w:r w:rsidRPr="00B32CE4">
        <w:rPr>
          <w:rStyle w:val="Emphasis"/>
          <w:color w:val="000000" w:themeColor="text1"/>
          <w:szCs w:val="20"/>
        </w:rPr>
        <w:t>Discounted</w:t>
      </w:r>
      <w:r w:rsidR="00C64050" w:rsidRPr="00B32CE4">
        <w:rPr>
          <w:rStyle w:val="Emphasis"/>
          <w:color w:val="000000" w:themeColor="text1"/>
          <w:szCs w:val="20"/>
        </w:rPr>
        <w:t xml:space="preserve"> </w:t>
      </w:r>
      <w:r w:rsidRPr="00B32CE4">
        <w:rPr>
          <w:rStyle w:val="Emphasis"/>
          <w:color w:val="000000" w:themeColor="text1"/>
          <w:szCs w:val="20"/>
        </w:rPr>
        <w:t>Interest,</w:t>
      </w:r>
      <w:r w:rsidR="00C64050" w:rsidRPr="00B32CE4">
        <w:rPr>
          <w:rStyle w:val="Emphasis"/>
          <w:color w:val="000000" w:themeColor="text1"/>
          <w:szCs w:val="20"/>
        </w:rPr>
        <w:t xml:space="preserve"> </w:t>
      </w:r>
      <w:r w:rsidRPr="00B32CE4">
        <w:rPr>
          <w:rStyle w:val="Emphasis"/>
          <w:color w:val="000000" w:themeColor="text1"/>
          <w:szCs w:val="20"/>
        </w:rPr>
        <w:t>But</w:t>
      </w:r>
      <w:r w:rsidR="00C64050" w:rsidRPr="00B32CE4">
        <w:rPr>
          <w:rStyle w:val="Emphasis"/>
          <w:color w:val="000000" w:themeColor="text1"/>
          <w:szCs w:val="20"/>
        </w:rPr>
        <w:t xml:space="preserve"> </w:t>
      </w:r>
      <w:r w:rsidRPr="00B32CE4">
        <w:rPr>
          <w:rStyle w:val="Emphasis"/>
          <w:color w:val="000000" w:themeColor="text1"/>
          <w:szCs w:val="20"/>
        </w:rPr>
        <w:t>Simple.</w:t>
      </w:r>
      <w:r w:rsidR="00C64050" w:rsidRPr="00B32CE4">
        <w:rPr>
          <w:color w:val="000000" w:themeColor="text1"/>
          <w:szCs w:val="20"/>
        </w:rPr>
        <w:t xml:space="preserve"> </w:t>
      </w:r>
      <w:r w:rsidRPr="00B32CE4">
        <w:rPr>
          <w:color w:val="000000" w:themeColor="text1"/>
          <w:szCs w:val="20"/>
        </w:rPr>
        <w:t>This</w:t>
      </w:r>
      <w:r w:rsidR="00C64050" w:rsidRPr="00B32CE4">
        <w:rPr>
          <w:color w:val="000000" w:themeColor="text1"/>
          <w:szCs w:val="20"/>
        </w:rPr>
        <w:t xml:space="preserve"> </w:t>
      </w:r>
      <w:r w:rsidRPr="00B32CE4">
        <w:rPr>
          <w:color w:val="000000" w:themeColor="text1"/>
          <w:szCs w:val="20"/>
        </w:rPr>
        <w:t>example</w:t>
      </w:r>
      <w:r w:rsidR="00C64050" w:rsidRPr="00B32CE4">
        <w:rPr>
          <w:color w:val="000000" w:themeColor="text1"/>
          <w:szCs w:val="20"/>
        </w:rPr>
        <w:t xml:space="preserve"> </w:t>
      </w:r>
      <w:r w:rsidRPr="00B32CE4">
        <w:rPr>
          <w:color w:val="000000" w:themeColor="text1"/>
          <w:szCs w:val="20"/>
        </w:rPr>
        <w:t>will</w:t>
      </w:r>
      <w:r w:rsidR="00C64050" w:rsidRPr="00B32CE4">
        <w:rPr>
          <w:color w:val="000000" w:themeColor="text1"/>
          <w:szCs w:val="20"/>
        </w:rPr>
        <w:t xml:space="preserve"> </w:t>
      </w:r>
      <w:r w:rsidRPr="00B32CE4">
        <w:rPr>
          <w:color w:val="000000" w:themeColor="text1"/>
          <w:szCs w:val="20"/>
        </w:rPr>
        <w:t>have</w:t>
      </w:r>
      <w:r w:rsidR="00C64050" w:rsidRPr="00B32CE4">
        <w:rPr>
          <w:color w:val="000000" w:themeColor="text1"/>
          <w:szCs w:val="20"/>
        </w:rPr>
        <w:t xml:space="preserve"> </w:t>
      </w:r>
      <w:r w:rsidRPr="00B32CE4">
        <w:rPr>
          <w:color w:val="000000" w:themeColor="text1"/>
          <w:szCs w:val="20"/>
        </w:rPr>
        <w:t>slightly</w:t>
      </w:r>
      <w:r w:rsidR="00C64050" w:rsidRPr="00B32CE4">
        <w:rPr>
          <w:color w:val="000000" w:themeColor="text1"/>
          <w:szCs w:val="20"/>
        </w:rPr>
        <w:t xml:space="preserve"> </w:t>
      </w:r>
      <w:r w:rsidRPr="00B32CE4">
        <w:rPr>
          <w:color w:val="000000" w:themeColor="text1"/>
          <w:szCs w:val="20"/>
        </w:rPr>
        <w:t>different</w:t>
      </w:r>
      <w:r w:rsidR="00C64050" w:rsidRPr="00B32CE4">
        <w:rPr>
          <w:color w:val="000000" w:themeColor="text1"/>
          <w:szCs w:val="20"/>
        </w:rPr>
        <w:t xml:space="preserve"> </w:t>
      </w:r>
      <w:r w:rsidRPr="00B32CE4">
        <w:rPr>
          <w:color w:val="000000" w:themeColor="text1"/>
          <w:szCs w:val="20"/>
        </w:rPr>
        <w:t>facts.</w:t>
      </w:r>
      <w:r w:rsidR="00C64050" w:rsidRPr="00B32CE4">
        <w:rPr>
          <w:color w:val="000000" w:themeColor="text1"/>
          <w:szCs w:val="20"/>
        </w:rPr>
        <w:t xml:space="preserve"> </w:t>
      </w:r>
      <w:r w:rsidRPr="00B32CE4">
        <w:rPr>
          <w:color w:val="000000" w:themeColor="text1"/>
          <w:szCs w:val="20"/>
        </w:rPr>
        <w:t>There</w:t>
      </w:r>
      <w:r w:rsidR="00C64050" w:rsidRPr="00B32CE4">
        <w:rPr>
          <w:color w:val="000000" w:themeColor="text1"/>
          <w:szCs w:val="20"/>
        </w:rPr>
        <w:t xml:space="preserve"> </w:t>
      </w:r>
      <w:r w:rsidRPr="00B32CE4">
        <w:rPr>
          <w:color w:val="000000" w:themeColor="text1"/>
          <w:szCs w:val="20"/>
        </w:rPr>
        <w:t>is</w:t>
      </w:r>
      <w:r w:rsidR="00C64050" w:rsidRPr="00B32CE4">
        <w:rPr>
          <w:color w:val="000000" w:themeColor="text1"/>
          <w:szCs w:val="20"/>
        </w:rPr>
        <w:t xml:space="preserve"> </w:t>
      </w:r>
      <w:r w:rsidRPr="00B32CE4">
        <w:rPr>
          <w:color w:val="000000" w:themeColor="text1"/>
          <w:szCs w:val="20"/>
        </w:rPr>
        <w:t>still</w:t>
      </w:r>
      <w:r w:rsidR="00C64050" w:rsidRPr="00B32CE4">
        <w:rPr>
          <w:color w:val="000000" w:themeColor="text1"/>
          <w:szCs w:val="20"/>
        </w:rPr>
        <w:t xml:space="preserve"> </w:t>
      </w:r>
      <w:r w:rsidRPr="00B32CE4">
        <w:rPr>
          <w:color w:val="000000" w:themeColor="text1"/>
          <w:szCs w:val="20"/>
        </w:rPr>
        <w:t>a</w:t>
      </w:r>
      <w:r w:rsidR="00C64050" w:rsidRPr="00B32CE4">
        <w:rPr>
          <w:color w:val="000000" w:themeColor="text1"/>
          <w:szCs w:val="20"/>
        </w:rPr>
        <w:t xml:space="preserve"> </w:t>
      </w:r>
      <w:r w:rsidRPr="00B32CE4">
        <w:rPr>
          <w:color w:val="000000" w:themeColor="text1"/>
          <w:szCs w:val="20"/>
        </w:rPr>
        <w:t>piece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land</w:t>
      </w:r>
      <w:r w:rsidR="00C64050" w:rsidRPr="00B32CE4">
        <w:rPr>
          <w:color w:val="000000" w:themeColor="text1"/>
          <w:szCs w:val="20"/>
        </w:rPr>
        <w:t xml:space="preserve"> </w:t>
      </w:r>
      <w:r w:rsidRPr="00B32CE4">
        <w:rPr>
          <w:color w:val="000000" w:themeColor="text1"/>
          <w:szCs w:val="20"/>
        </w:rPr>
        <w:t>worth</w:t>
      </w:r>
      <w:r w:rsidR="00C64050" w:rsidRPr="00B32CE4">
        <w:rPr>
          <w:color w:val="000000" w:themeColor="text1"/>
          <w:szCs w:val="20"/>
        </w:rPr>
        <w:t xml:space="preserve"> </w:t>
      </w:r>
      <w:r w:rsidRPr="00B32CE4">
        <w:rPr>
          <w:color w:val="000000" w:themeColor="text1"/>
          <w:szCs w:val="20"/>
        </w:rPr>
        <w:t>$1,000</w:t>
      </w:r>
      <w:r w:rsidR="00C64050" w:rsidRPr="00B32CE4">
        <w:rPr>
          <w:color w:val="000000" w:themeColor="text1"/>
          <w:szCs w:val="20"/>
        </w:rPr>
        <w:t xml:space="preserve"> </w:t>
      </w:r>
      <w:r w:rsidRPr="00B32CE4">
        <w:rPr>
          <w:color w:val="000000" w:themeColor="text1"/>
          <w:szCs w:val="20"/>
        </w:rPr>
        <w:t>and</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aging</w:t>
      </w:r>
      <w:r w:rsidR="00C64050" w:rsidRPr="00B32CE4">
        <w:rPr>
          <w:color w:val="000000" w:themeColor="text1"/>
          <w:szCs w:val="20"/>
        </w:rPr>
        <w:t xml:space="preserve"> </w:t>
      </w:r>
      <w:r w:rsidRPr="00B32CE4">
        <w:rPr>
          <w:color w:val="000000" w:themeColor="text1"/>
          <w:szCs w:val="20"/>
        </w:rPr>
        <w:t>owner</w:t>
      </w:r>
      <w:r w:rsidR="00C64050" w:rsidRPr="00B32CE4">
        <w:rPr>
          <w:color w:val="000000" w:themeColor="text1"/>
          <w:szCs w:val="20"/>
        </w:rPr>
        <w:t xml:space="preserve"> </w:t>
      </w:r>
      <w:r w:rsidRPr="00B32CE4">
        <w:rPr>
          <w:color w:val="000000" w:themeColor="text1"/>
          <w:szCs w:val="20"/>
        </w:rPr>
        <w:t>transfers</w:t>
      </w:r>
      <w:r w:rsidR="00C64050" w:rsidRPr="00B32CE4">
        <w:rPr>
          <w:color w:val="000000" w:themeColor="text1"/>
          <w:szCs w:val="20"/>
        </w:rPr>
        <w:t xml:space="preserve"> </w:t>
      </w:r>
      <w:r w:rsidRPr="00B32CE4">
        <w:rPr>
          <w:color w:val="000000" w:themeColor="text1"/>
          <w:szCs w:val="20"/>
        </w:rPr>
        <w:t>it</w:t>
      </w:r>
      <w:r w:rsidR="00C64050" w:rsidRPr="00B32CE4">
        <w:rPr>
          <w:color w:val="000000" w:themeColor="text1"/>
          <w:szCs w:val="20"/>
        </w:rPr>
        <w:t xml:space="preserve"> </w:t>
      </w:r>
      <w:r w:rsidRPr="00B32CE4">
        <w:rPr>
          <w:color w:val="000000" w:themeColor="text1"/>
          <w:szCs w:val="20"/>
        </w:rPr>
        <w:t>to</w:t>
      </w:r>
      <w:r w:rsidR="00C64050" w:rsidRPr="00B32CE4">
        <w:rPr>
          <w:color w:val="000000" w:themeColor="text1"/>
          <w:szCs w:val="20"/>
        </w:rPr>
        <w:t xml:space="preserve"> </w:t>
      </w:r>
      <w:r w:rsidRPr="00B32CE4">
        <w:rPr>
          <w:color w:val="000000" w:themeColor="text1"/>
          <w:szCs w:val="20"/>
        </w:rPr>
        <w:t>a</w:t>
      </w:r>
      <w:r w:rsidR="00C64050" w:rsidRPr="00B32CE4">
        <w:rPr>
          <w:color w:val="000000" w:themeColor="text1"/>
          <w:szCs w:val="20"/>
        </w:rPr>
        <w:t xml:space="preserve"> </w:t>
      </w:r>
      <w:r w:rsidRPr="00B32CE4">
        <w:rPr>
          <w:color w:val="000000" w:themeColor="text1"/>
          <w:szCs w:val="20"/>
        </w:rPr>
        <w:t>FLP.</w:t>
      </w:r>
      <w:r w:rsidR="00C64050" w:rsidRPr="00B32CE4">
        <w:rPr>
          <w:color w:val="000000" w:themeColor="text1"/>
          <w:szCs w:val="20"/>
        </w:rPr>
        <w:t xml:space="preserve"> </w:t>
      </w:r>
      <w:r w:rsidRPr="00B32CE4">
        <w:rPr>
          <w:color w:val="000000" w:themeColor="text1"/>
          <w:szCs w:val="20"/>
        </w:rPr>
        <w:t>However,</w:t>
      </w:r>
      <w:r w:rsidR="00C64050" w:rsidRPr="00B32CE4">
        <w:rPr>
          <w:color w:val="000000" w:themeColor="text1"/>
          <w:szCs w:val="20"/>
        </w:rPr>
        <w:t xml:space="preserve"> </w:t>
      </w:r>
      <w:r w:rsidRPr="00B32CE4">
        <w:rPr>
          <w:color w:val="000000" w:themeColor="text1"/>
          <w:szCs w:val="20"/>
        </w:rPr>
        <w:t>this</w:t>
      </w:r>
      <w:r w:rsidR="00C64050" w:rsidRPr="00B32CE4">
        <w:rPr>
          <w:color w:val="000000" w:themeColor="text1"/>
          <w:szCs w:val="20"/>
        </w:rPr>
        <w:t xml:space="preserve"> </w:t>
      </w:r>
      <w:r w:rsidRPr="00B32CE4">
        <w:rPr>
          <w:color w:val="000000" w:themeColor="text1"/>
          <w:szCs w:val="20"/>
        </w:rPr>
        <w:t>time,</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aging</w:t>
      </w:r>
      <w:r w:rsidR="00C64050" w:rsidRPr="00B32CE4">
        <w:rPr>
          <w:color w:val="000000" w:themeColor="text1"/>
          <w:szCs w:val="20"/>
        </w:rPr>
        <w:t xml:space="preserve"> </w:t>
      </w:r>
      <w:r w:rsidRPr="00B32CE4">
        <w:rPr>
          <w:color w:val="000000" w:themeColor="text1"/>
          <w:szCs w:val="20"/>
        </w:rPr>
        <w:t>owner’s</w:t>
      </w:r>
      <w:r w:rsidR="00C64050" w:rsidRPr="00B32CE4">
        <w:rPr>
          <w:color w:val="000000" w:themeColor="text1"/>
          <w:szCs w:val="20"/>
        </w:rPr>
        <w:t xml:space="preserve"> </w:t>
      </w:r>
      <w:r w:rsidRPr="00B32CE4">
        <w:rPr>
          <w:color w:val="000000" w:themeColor="text1"/>
          <w:szCs w:val="20"/>
        </w:rPr>
        <w:t>son</w:t>
      </w:r>
      <w:r w:rsidR="00C64050" w:rsidRPr="00B32CE4">
        <w:rPr>
          <w:color w:val="000000" w:themeColor="text1"/>
          <w:szCs w:val="20"/>
        </w:rPr>
        <w:t xml:space="preserve"> </w:t>
      </w:r>
      <w:r w:rsidRPr="00B32CE4">
        <w:rPr>
          <w:color w:val="000000" w:themeColor="text1"/>
          <w:szCs w:val="20"/>
        </w:rPr>
        <w:t>contributes</w:t>
      </w:r>
      <w:r w:rsidR="00C64050" w:rsidRPr="00B32CE4">
        <w:rPr>
          <w:color w:val="000000" w:themeColor="text1"/>
          <w:szCs w:val="20"/>
        </w:rPr>
        <w:t xml:space="preserve"> </w:t>
      </w:r>
      <w:r w:rsidRPr="00B32CE4">
        <w:rPr>
          <w:color w:val="000000" w:themeColor="text1"/>
          <w:szCs w:val="20"/>
        </w:rPr>
        <w:t>a</w:t>
      </w:r>
      <w:r w:rsidR="00C64050" w:rsidRPr="00B32CE4">
        <w:rPr>
          <w:color w:val="000000" w:themeColor="text1"/>
          <w:szCs w:val="20"/>
        </w:rPr>
        <w:t xml:space="preserve"> </w:t>
      </w:r>
      <w:r w:rsidRPr="00B32CE4">
        <w:rPr>
          <w:color w:val="000000" w:themeColor="text1"/>
          <w:szCs w:val="20"/>
        </w:rPr>
        <w:t>peppercorn</w:t>
      </w:r>
      <w:r w:rsidR="00C64050" w:rsidRPr="00B32CE4">
        <w:rPr>
          <w:color w:val="000000" w:themeColor="text1"/>
          <w:szCs w:val="20"/>
        </w:rPr>
        <w:t xml:space="preserve"> </w:t>
      </w:r>
      <w:r w:rsidRPr="00B32CE4">
        <w:rPr>
          <w:color w:val="000000" w:themeColor="text1"/>
          <w:szCs w:val="20"/>
        </w:rPr>
        <w:t>to</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FLP</w:t>
      </w:r>
      <w:r w:rsidR="00C64050" w:rsidRPr="00B32CE4">
        <w:rPr>
          <w:color w:val="000000" w:themeColor="text1"/>
          <w:szCs w:val="20"/>
        </w:rPr>
        <w:t xml:space="preserve"> </w:t>
      </w:r>
      <w:r w:rsidRPr="00B32CE4">
        <w:rPr>
          <w:color w:val="000000" w:themeColor="text1"/>
          <w:szCs w:val="20"/>
        </w:rPr>
        <w:t>as</w:t>
      </w:r>
      <w:r w:rsidR="00C64050" w:rsidRPr="00B32CE4">
        <w:rPr>
          <w:color w:val="000000" w:themeColor="text1"/>
          <w:szCs w:val="20"/>
        </w:rPr>
        <w:t xml:space="preserve"> </w:t>
      </w:r>
      <w:r w:rsidRPr="00B32CE4">
        <w:rPr>
          <w:color w:val="000000" w:themeColor="text1"/>
          <w:szCs w:val="20"/>
        </w:rPr>
        <w:t>well.</w:t>
      </w:r>
      <w:r w:rsidR="00C64050" w:rsidRPr="00B32CE4">
        <w:rPr>
          <w:color w:val="000000" w:themeColor="text1"/>
          <w:szCs w:val="20"/>
        </w:rPr>
        <w:t xml:space="preserve"> </w:t>
      </w:r>
      <w:r w:rsidRPr="00B32CE4">
        <w:rPr>
          <w:color w:val="000000" w:themeColor="text1"/>
          <w:szCs w:val="20"/>
        </w:rPr>
        <w:t>Under</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partnership</w:t>
      </w:r>
      <w:r w:rsidR="00C64050" w:rsidRPr="00B32CE4">
        <w:rPr>
          <w:color w:val="000000" w:themeColor="text1"/>
          <w:szCs w:val="20"/>
        </w:rPr>
        <w:t xml:space="preserve"> </w:t>
      </w:r>
      <w:r w:rsidRPr="00B32CE4">
        <w:rPr>
          <w:color w:val="000000" w:themeColor="text1"/>
          <w:szCs w:val="20"/>
        </w:rPr>
        <w:t>agreement</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son</w:t>
      </w:r>
      <w:r w:rsidR="00C64050" w:rsidRPr="00B32CE4">
        <w:rPr>
          <w:color w:val="000000" w:themeColor="text1"/>
          <w:szCs w:val="20"/>
        </w:rPr>
        <w:t xml:space="preserve"> </w:t>
      </w:r>
      <w:r w:rsidRPr="00B32CE4">
        <w:rPr>
          <w:color w:val="000000" w:themeColor="text1"/>
          <w:szCs w:val="20"/>
        </w:rPr>
        <w:t>is</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general</w:t>
      </w:r>
      <w:r w:rsidR="00C64050" w:rsidRPr="00B32CE4">
        <w:rPr>
          <w:color w:val="000000" w:themeColor="text1"/>
          <w:szCs w:val="20"/>
        </w:rPr>
        <w:t xml:space="preserve"> </w:t>
      </w:r>
      <w:r w:rsidRPr="00B32CE4">
        <w:rPr>
          <w:color w:val="000000" w:themeColor="text1"/>
          <w:szCs w:val="20"/>
        </w:rPr>
        <w:t>partner</w:t>
      </w:r>
      <w:r w:rsidR="00C64050" w:rsidRPr="00B32CE4">
        <w:rPr>
          <w:color w:val="000000" w:themeColor="text1"/>
          <w:szCs w:val="20"/>
        </w:rPr>
        <w:t xml:space="preserve"> </w:t>
      </w:r>
      <w:r w:rsidRPr="00B32CE4">
        <w:rPr>
          <w:color w:val="000000" w:themeColor="text1"/>
          <w:szCs w:val="20"/>
        </w:rPr>
        <w:t>and</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aging</w:t>
      </w:r>
      <w:r w:rsidR="00C64050" w:rsidRPr="00B32CE4">
        <w:rPr>
          <w:color w:val="000000" w:themeColor="text1"/>
          <w:szCs w:val="20"/>
        </w:rPr>
        <w:t xml:space="preserve"> </w:t>
      </w:r>
      <w:r w:rsidRPr="00B32CE4">
        <w:rPr>
          <w:color w:val="000000" w:themeColor="text1"/>
          <w:szCs w:val="20"/>
        </w:rPr>
        <w:t>land</w:t>
      </w:r>
      <w:r w:rsidR="00C64050" w:rsidRPr="00B32CE4">
        <w:rPr>
          <w:color w:val="000000" w:themeColor="text1"/>
          <w:szCs w:val="20"/>
        </w:rPr>
        <w:t xml:space="preserve"> </w:t>
      </w:r>
      <w:r w:rsidRPr="00B32CE4">
        <w:rPr>
          <w:color w:val="000000" w:themeColor="text1"/>
          <w:szCs w:val="20"/>
        </w:rPr>
        <w:t>owner</w:t>
      </w:r>
      <w:r w:rsidR="00C64050" w:rsidRPr="00B32CE4">
        <w:rPr>
          <w:color w:val="000000" w:themeColor="text1"/>
          <w:szCs w:val="20"/>
        </w:rPr>
        <w:t xml:space="preserve"> </w:t>
      </w:r>
      <w:r w:rsidRPr="00B32CE4">
        <w:rPr>
          <w:color w:val="000000" w:themeColor="text1"/>
          <w:szCs w:val="20"/>
        </w:rPr>
        <w:t>is</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limited</w:t>
      </w:r>
      <w:r w:rsidR="00C64050" w:rsidRPr="00B32CE4">
        <w:rPr>
          <w:color w:val="000000" w:themeColor="text1"/>
          <w:szCs w:val="20"/>
        </w:rPr>
        <w:t xml:space="preserve"> </w:t>
      </w:r>
      <w:r w:rsidRPr="00B32CE4">
        <w:rPr>
          <w:color w:val="000000" w:themeColor="text1"/>
          <w:szCs w:val="20"/>
        </w:rPr>
        <w:t>partner.</w:t>
      </w:r>
      <w:r w:rsidR="00C64050" w:rsidRPr="00B32CE4">
        <w:rPr>
          <w:color w:val="000000" w:themeColor="text1"/>
          <w:szCs w:val="20"/>
        </w:rPr>
        <w:t xml:space="preserve"> </w:t>
      </w:r>
      <w:r w:rsidRPr="00B32CE4">
        <w:rPr>
          <w:color w:val="000000" w:themeColor="text1"/>
          <w:szCs w:val="20"/>
        </w:rPr>
        <w:t>Father</w:t>
      </w:r>
      <w:r w:rsidR="00C64050" w:rsidRPr="00B32CE4">
        <w:rPr>
          <w:color w:val="000000" w:themeColor="text1"/>
          <w:szCs w:val="20"/>
        </w:rPr>
        <w:t xml:space="preserve"> </w:t>
      </w:r>
      <w:r w:rsidRPr="00B32CE4">
        <w:rPr>
          <w:color w:val="000000" w:themeColor="text1"/>
          <w:szCs w:val="20"/>
        </w:rPr>
        <w:t>and</w:t>
      </w:r>
      <w:r w:rsidR="00C64050" w:rsidRPr="00B32CE4">
        <w:rPr>
          <w:color w:val="000000" w:themeColor="text1"/>
          <w:szCs w:val="20"/>
        </w:rPr>
        <w:t xml:space="preserve"> </w:t>
      </w:r>
      <w:r w:rsidRPr="00B32CE4">
        <w:rPr>
          <w:color w:val="000000" w:themeColor="text1"/>
          <w:szCs w:val="20"/>
        </w:rPr>
        <w:t>son</w:t>
      </w:r>
      <w:r w:rsidR="00C64050" w:rsidRPr="00B32CE4">
        <w:rPr>
          <w:color w:val="000000" w:themeColor="text1"/>
          <w:szCs w:val="20"/>
        </w:rPr>
        <w:t xml:space="preserve"> </w:t>
      </w:r>
      <w:r w:rsidRPr="00B32CE4">
        <w:rPr>
          <w:color w:val="000000" w:themeColor="text1"/>
          <w:szCs w:val="20"/>
        </w:rPr>
        <w:t>agree</w:t>
      </w:r>
      <w:r w:rsidR="00C64050" w:rsidRPr="00B32CE4">
        <w:rPr>
          <w:color w:val="000000" w:themeColor="text1"/>
          <w:szCs w:val="20"/>
        </w:rPr>
        <w:t xml:space="preserve"> </w:t>
      </w:r>
      <w:r w:rsidRPr="00B32CE4">
        <w:rPr>
          <w:color w:val="000000" w:themeColor="text1"/>
          <w:szCs w:val="20"/>
        </w:rPr>
        <w:t>that</w:t>
      </w:r>
      <w:r w:rsidR="00C64050" w:rsidRPr="00B32CE4">
        <w:rPr>
          <w:color w:val="000000" w:themeColor="text1"/>
          <w:szCs w:val="20"/>
        </w:rPr>
        <w:t xml:space="preserve"> </w:t>
      </w:r>
      <w:r w:rsidRPr="00B32CE4">
        <w:rPr>
          <w:color w:val="000000" w:themeColor="text1"/>
          <w:szCs w:val="20"/>
        </w:rPr>
        <w:t>this</w:t>
      </w:r>
      <w:r w:rsidR="00C64050" w:rsidRPr="00B32CE4">
        <w:rPr>
          <w:color w:val="000000" w:themeColor="text1"/>
          <w:szCs w:val="20"/>
        </w:rPr>
        <w:t xml:space="preserve"> </w:t>
      </w:r>
      <w:r w:rsidRPr="00B32CE4">
        <w:rPr>
          <w:color w:val="000000" w:themeColor="text1"/>
          <w:szCs w:val="20"/>
        </w:rPr>
        <w:t>triggers</w:t>
      </w:r>
      <w:r w:rsidR="00C64050" w:rsidRPr="00B32CE4">
        <w:rPr>
          <w:color w:val="000000" w:themeColor="text1"/>
          <w:szCs w:val="20"/>
        </w:rPr>
        <w:t xml:space="preserve"> </w:t>
      </w:r>
      <w:r w:rsidRPr="00B32CE4">
        <w:rPr>
          <w:color w:val="000000" w:themeColor="text1"/>
          <w:szCs w:val="20"/>
        </w:rPr>
        <w:t>a</w:t>
      </w:r>
      <w:r w:rsidR="00C64050" w:rsidRPr="00B32CE4">
        <w:rPr>
          <w:color w:val="000000" w:themeColor="text1"/>
          <w:szCs w:val="20"/>
        </w:rPr>
        <w:t xml:space="preserve"> </w:t>
      </w:r>
      <w:r w:rsidRPr="00B32CE4">
        <w:rPr>
          <w:color w:val="000000" w:themeColor="text1"/>
          <w:szCs w:val="20"/>
        </w:rPr>
        <w:t>25%</w:t>
      </w:r>
      <w:r w:rsidR="00C64050" w:rsidRPr="00B32CE4">
        <w:rPr>
          <w:color w:val="000000" w:themeColor="text1"/>
          <w:szCs w:val="20"/>
        </w:rPr>
        <w:t xml:space="preserve"> </w:t>
      </w:r>
      <w:r w:rsidRPr="00B32CE4">
        <w:rPr>
          <w:color w:val="000000" w:themeColor="text1"/>
          <w:szCs w:val="20"/>
        </w:rPr>
        <w:t>discount</w:t>
      </w:r>
      <w:r w:rsidR="00C64050" w:rsidRPr="00B32CE4">
        <w:rPr>
          <w:color w:val="000000" w:themeColor="text1"/>
          <w:szCs w:val="20"/>
        </w:rPr>
        <w:t xml:space="preserve"> </w:t>
      </w:r>
      <w:r w:rsidRPr="00B32CE4">
        <w:rPr>
          <w:color w:val="000000" w:themeColor="text1"/>
          <w:szCs w:val="20"/>
        </w:rPr>
        <w:t>for</w:t>
      </w:r>
      <w:r w:rsidR="00C64050" w:rsidRPr="00B32CE4">
        <w:rPr>
          <w:color w:val="000000" w:themeColor="text1"/>
          <w:szCs w:val="20"/>
        </w:rPr>
        <w:t xml:space="preserve"> </w:t>
      </w:r>
      <w:r w:rsidRPr="00B32CE4">
        <w:rPr>
          <w:color w:val="000000" w:themeColor="text1"/>
          <w:szCs w:val="20"/>
        </w:rPr>
        <w:t>lack</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control,</w:t>
      </w:r>
      <w:r w:rsidR="00C64050" w:rsidRPr="00B32CE4">
        <w:rPr>
          <w:color w:val="000000" w:themeColor="text1"/>
          <w:szCs w:val="20"/>
        </w:rPr>
        <w:t xml:space="preserve"> </w:t>
      </w:r>
      <w:r w:rsidRPr="00B32CE4">
        <w:rPr>
          <w:color w:val="000000" w:themeColor="text1"/>
          <w:szCs w:val="20"/>
        </w:rPr>
        <w:t>and</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value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father’s</w:t>
      </w:r>
      <w:r w:rsidR="00C64050" w:rsidRPr="00B32CE4">
        <w:rPr>
          <w:color w:val="000000" w:themeColor="text1"/>
          <w:szCs w:val="20"/>
        </w:rPr>
        <w:t xml:space="preserve"> </w:t>
      </w:r>
      <w:r w:rsidRPr="00B32CE4">
        <w:rPr>
          <w:color w:val="000000" w:themeColor="text1"/>
          <w:szCs w:val="20"/>
        </w:rPr>
        <w:t>partnership</w:t>
      </w:r>
      <w:r w:rsidR="00C64050" w:rsidRPr="00B32CE4">
        <w:rPr>
          <w:color w:val="000000" w:themeColor="text1"/>
          <w:szCs w:val="20"/>
        </w:rPr>
        <w:t xml:space="preserve"> </w:t>
      </w:r>
      <w:r w:rsidRPr="00B32CE4">
        <w:rPr>
          <w:color w:val="000000" w:themeColor="text1"/>
          <w:szCs w:val="20"/>
        </w:rPr>
        <w:t>interest</w:t>
      </w:r>
      <w:r w:rsidR="00C64050" w:rsidRPr="00B32CE4">
        <w:rPr>
          <w:color w:val="000000" w:themeColor="text1"/>
          <w:szCs w:val="20"/>
        </w:rPr>
        <w:t xml:space="preserve"> </w:t>
      </w:r>
      <w:r w:rsidRPr="00B32CE4">
        <w:rPr>
          <w:color w:val="000000" w:themeColor="text1"/>
          <w:szCs w:val="20"/>
        </w:rPr>
        <w:t>sinks</w:t>
      </w:r>
      <w:r w:rsidR="00C64050" w:rsidRPr="00B32CE4">
        <w:rPr>
          <w:color w:val="000000" w:themeColor="text1"/>
          <w:szCs w:val="20"/>
        </w:rPr>
        <w:t xml:space="preserve"> </w:t>
      </w:r>
      <w:r w:rsidRPr="00B32CE4">
        <w:rPr>
          <w:color w:val="000000" w:themeColor="text1"/>
          <w:szCs w:val="20"/>
        </w:rPr>
        <w:t>to</w:t>
      </w:r>
      <w:r w:rsidR="00C64050" w:rsidRPr="00B32CE4">
        <w:rPr>
          <w:color w:val="000000" w:themeColor="text1"/>
          <w:szCs w:val="20"/>
        </w:rPr>
        <w:t xml:space="preserve"> </w:t>
      </w:r>
      <w:r w:rsidRPr="00B32CE4">
        <w:rPr>
          <w:color w:val="000000" w:themeColor="text1"/>
          <w:szCs w:val="20"/>
        </w:rPr>
        <w:t>$750.</w:t>
      </w:r>
      <w:r w:rsidR="00C64050" w:rsidRPr="00B32CE4">
        <w:rPr>
          <w:color w:val="000000" w:themeColor="text1"/>
          <w:szCs w:val="20"/>
        </w:rPr>
        <w:t xml:space="preserve"> </w:t>
      </w:r>
      <w:r w:rsidRPr="00B32CE4">
        <w:rPr>
          <w:color w:val="000000" w:themeColor="text1"/>
          <w:szCs w:val="20"/>
        </w:rPr>
        <w:t>Under</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formula,</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estate</w:t>
      </w:r>
      <w:r w:rsidR="00C64050" w:rsidRPr="00B32CE4">
        <w:rPr>
          <w:color w:val="000000" w:themeColor="text1"/>
          <w:szCs w:val="20"/>
        </w:rPr>
        <w:t xml:space="preserve"> </w:t>
      </w:r>
      <w:r w:rsidRPr="00B32CE4">
        <w:rPr>
          <w:color w:val="000000" w:themeColor="text1"/>
          <w:szCs w:val="20"/>
        </w:rPr>
        <w:t>would</w:t>
      </w:r>
      <w:r w:rsidR="00C64050" w:rsidRPr="00B32CE4">
        <w:rPr>
          <w:color w:val="000000" w:themeColor="text1"/>
          <w:szCs w:val="20"/>
        </w:rPr>
        <w:t xml:space="preserve"> </w:t>
      </w:r>
      <w:r w:rsidRPr="00B32CE4">
        <w:rPr>
          <w:color w:val="000000" w:themeColor="text1"/>
          <w:szCs w:val="20"/>
        </w:rPr>
        <w:t>include</w:t>
      </w:r>
      <w:r w:rsidR="00C64050" w:rsidRPr="00B32CE4">
        <w:rPr>
          <w:color w:val="000000" w:themeColor="text1"/>
          <w:szCs w:val="20"/>
        </w:rPr>
        <w:t xml:space="preserve"> </w:t>
      </w:r>
      <w:r w:rsidRPr="00B32CE4">
        <w:rPr>
          <w:color w:val="000000" w:themeColor="text1"/>
          <w:szCs w:val="20"/>
        </w:rPr>
        <w:t>$750</w:t>
      </w:r>
      <w:r w:rsidR="00C64050" w:rsidRPr="00B32CE4">
        <w:rPr>
          <w:color w:val="000000" w:themeColor="text1"/>
          <w:szCs w:val="20"/>
        </w:rPr>
        <w:t xml:space="preserve"> </w:t>
      </w:r>
      <w:r w:rsidRPr="00B32CE4">
        <w:rPr>
          <w:color w:val="000000" w:themeColor="text1"/>
          <w:szCs w:val="20"/>
        </w:rPr>
        <w:t>for</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FLP</w:t>
      </w:r>
      <w:r w:rsidR="00C64050" w:rsidRPr="00B32CE4">
        <w:rPr>
          <w:color w:val="000000" w:themeColor="text1"/>
          <w:szCs w:val="20"/>
        </w:rPr>
        <w:t xml:space="preserve"> </w:t>
      </w:r>
      <w:r w:rsidRPr="00B32CE4">
        <w:rPr>
          <w:color w:val="000000" w:themeColor="text1"/>
          <w:szCs w:val="20"/>
        </w:rPr>
        <w:t>interest</w:t>
      </w:r>
      <w:r w:rsidR="00C64050" w:rsidRPr="00B32CE4">
        <w:rPr>
          <w:color w:val="000000" w:themeColor="text1"/>
          <w:szCs w:val="20"/>
        </w:rPr>
        <w:t xml:space="preserve"> </w:t>
      </w:r>
      <w:r w:rsidRPr="00B32CE4">
        <w:rPr>
          <w:color w:val="000000" w:themeColor="text1"/>
          <w:szCs w:val="20"/>
        </w:rPr>
        <w:t>(under</w:t>
      </w:r>
      <w:r w:rsidR="00C64050" w:rsidRPr="00B32CE4">
        <w:rPr>
          <w:color w:val="000000" w:themeColor="text1"/>
          <w:szCs w:val="20"/>
        </w:rPr>
        <w:t xml:space="preserve"> </w:t>
      </w:r>
      <w:r w:rsidRPr="00B32CE4">
        <w:rPr>
          <w:color w:val="000000" w:themeColor="text1"/>
          <w:szCs w:val="20"/>
        </w:rPr>
        <w:t>section</w:t>
      </w:r>
      <w:r w:rsidR="00C64050" w:rsidRPr="00B32CE4">
        <w:rPr>
          <w:color w:val="000000" w:themeColor="text1"/>
          <w:szCs w:val="20"/>
        </w:rPr>
        <w:t xml:space="preserve"> </w:t>
      </w:r>
      <w:r w:rsidRPr="00B32CE4">
        <w:rPr>
          <w:color w:val="000000" w:themeColor="text1"/>
          <w:szCs w:val="20"/>
        </w:rPr>
        <w:t>2033),</w:t>
      </w:r>
      <w:r w:rsidR="00C64050" w:rsidRPr="00B32CE4">
        <w:rPr>
          <w:color w:val="000000" w:themeColor="text1"/>
          <w:szCs w:val="20"/>
        </w:rPr>
        <w:t xml:space="preserve"> </w:t>
      </w:r>
      <w:r w:rsidRPr="00B32CE4">
        <w:rPr>
          <w:color w:val="000000" w:themeColor="text1"/>
          <w:szCs w:val="20"/>
        </w:rPr>
        <w:t>$1000</w:t>
      </w:r>
      <w:r w:rsidR="00C64050" w:rsidRPr="00B32CE4">
        <w:rPr>
          <w:color w:val="000000" w:themeColor="text1"/>
          <w:szCs w:val="20"/>
        </w:rPr>
        <w:t xml:space="preserve"> </w:t>
      </w:r>
      <w:r w:rsidRPr="00B32CE4">
        <w:rPr>
          <w:color w:val="000000" w:themeColor="text1"/>
          <w:szCs w:val="20"/>
        </w:rPr>
        <w:t>for</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transferred</w:t>
      </w:r>
      <w:r w:rsidR="00C64050" w:rsidRPr="00B32CE4">
        <w:rPr>
          <w:color w:val="000000" w:themeColor="text1"/>
          <w:szCs w:val="20"/>
        </w:rPr>
        <w:t xml:space="preserve"> </w:t>
      </w:r>
      <w:r w:rsidRPr="00B32CE4">
        <w:rPr>
          <w:color w:val="000000" w:themeColor="text1"/>
          <w:szCs w:val="20"/>
        </w:rPr>
        <w:t>land</w:t>
      </w:r>
      <w:r w:rsidR="00C64050" w:rsidRPr="00B32CE4">
        <w:rPr>
          <w:color w:val="000000" w:themeColor="text1"/>
          <w:szCs w:val="20"/>
        </w:rPr>
        <w:t xml:space="preserve"> </w:t>
      </w:r>
      <w:r w:rsidRPr="00B32CE4">
        <w:rPr>
          <w:color w:val="000000" w:themeColor="text1"/>
          <w:szCs w:val="20"/>
        </w:rPr>
        <w:t>(under</w:t>
      </w:r>
      <w:r w:rsidR="00C64050" w:rsidRPr="00B32CE4">
        <w:rPr>
          <w:color w:val="000000" w:themeColor="text1"/>
          <w:szCs w:val="20"/>
        </w:rPr>
        <w:t xml:space="preserve"> </w:t>
      </w:r>
      <w:r w:rsidRPr="00B32CE4">
        <w:rPr>
          <w:color w:val="000000" w:themeColor="text1"/>
          <w:szCs w:val="20"/>
        </w:rPr>
        <w:t>section</w:t>
      </w:r>
      <w:r w:rsidR="00C64050" w:rsidRPr="00B32CE4">
        <w:rPr>
          <w:color w:val="000000" w:themeColor="text1"/>
          <w:szCs w:val="20"/>
        </w:rPr>
        <w:t xml:space="preserve"> </w:t>
      </w:r>
      <w:r w:rsidRPr="00B32CE4">
        <w:rPr>
          <w:color w:val="000000" w:themeColor="text1"/>
          <w:szCs w:val="20"/>
        </w:rPr>
        <w:t>2036),</w:t>
      </w:r>
      <w:r w:rsidR="00C64050" w:rsidRPr="00B32CE4">
        <w:rPr>
          <w:color w:val="000000" w:themeColor="text1"/>
          <w:szCs w:val="20"/>
        </w:rPr>
        <w:t xml:space="preserve"> </w:t>
      </w:r>
      <w:r w:rsidRPr="00B32CE4">
        <w:rPr>
          <w:color w:val="000000" w:themeColor="text1"/>
          <w:szCs w:val="20"/>
        </w:rPr>
        <w:t>but</w:t>
      </w:r>
      <w:r w:rsidR="00C64050" w:rsidRPr="00B32CE4">
        <w:rPr>
          <w:color w:val="000000" w:themeColor="text1"/>
          <w:szCs w:val="20"/>
        </w:rPr>
        <w:t xml:space="preserve"> </w:t>
      </w:r>
      <w:r w:rsidRPr="00B32CE4">
        <w:rPr>
          <w:color w:val="000000" w:themeColor="text1"/>
          <w:szCs w:val="20"/>
        </w:rPr>
        <w:t>with</w:t>
      </w:r>
      <w:r w:rsidR="00C64050" w:rsidRPr="00B32CE4">
        <w:rPr>
          <w:color w:val="000000" w:themeColor="text1"/>
          <w:szCs w:val="20"/>
        </w:rPr>
        <w:t xml:space="preserve"> </w:t>
      </w:r>
      <w:r w:rsidRPr="00B32CE4">
        <w:rPr>
          <w:color w:val="000000" w:themeColor="text1"/>
          <w:szCs w:val="20"/>
        </w:rPr>
        <w:t>$750</w:t>
      </w:r>
      <w:r w:rsidR="00C64050" w:rsidRPr="00B32CE4">
        <w:rPr>
          <w:color w:val="000000" w:themeColor="text1"/>
          <w:szCs w:val="20"/>
        </w:rPr>
        <w:t xml:space="preserve"> </w:t>
      </w:r>
      <w:r w:rsidRPr="00B32CE4">
        <w:rPr>
          <w:color w:val="000000" w:themeColor="text1"/>
          <w:szCs w:val="20"/>
        </w:rPr>
        <w:t>subtracted</w:t>
      </w:r>
      <w:r w:rsidR="00C64050" w:rsidRPr="00B32CE4">
        <w:rPr>
          <w:color w:val="000000" w:themeColor="text1"/>
          <w:szCs w:val="20"/>
        </w:rPr>
        <w:t xml:space="preserve"> </w:t>
      </w:r>
      <w:r w:rsidRPr="00B32CE4">
        <w:rPr>
          <w:color w:val="000000" w:themeColor="text1"/>
          <w:szCs w:val="20"/>
        </w:rPr>
        <w:t>(under</w:t>
      </w:r>
      <w:r w:rsidR="00C64050" w:rsidRPr="00B32CE4">
        <w:rPr>
          <w:color w:val="000000" w:themeColor="text1"/>
          <w:szCs w:val="20"/>
        </w:rPr>
        <w:t xml:space="preserve"> </w:t>
      </w:r>
      <w:r w:rsidRPr="00B32CE4">
        <w:rPr>
          <w:color w:val="000000" w:themeColor="text1"/>
          <w:szCs w:val="20"/>
        </w:rPr>
        <w:t>section</w:t>
      </w:r>
      <w:r w:rsidR="00C64050" w:rsidRPr="00B32CE4">
        <w:rPr>
          <w:color w:val="000000" w:themeColor="text1"/>
          <w:szCs w:val="20"/>
        </w:rPr>
        <w:t xml:space="preserve"> </w:t>
      </w:r>
      <w:r w:rsidRPr="00B32CE4">
        <w:rPr>
          <w:color w:val="000000" w:themeColor="text1"/>
          <w:szCs w:val="20"/>
        </w:rPr>
        <w:t>2043).</w:t>
      </w:r>
    </w:p>
    <w:p w:rsidR="00D66AAD" w:rsidRPr="00B32CE4" w:rsidRDefault="00D66AAD" w:rsidP="00D66AAD">
      <w:pPr>
        <w:pStyle w:val="QS10"/>
        <w:rPr>
          <w:color w:val="000000" w:themeColor="text1"/>
          <w:szCs w:val="20"/>
        </w:rPr>
      </w:pPr>
      <w:r w:rsidRPr="00B32CE4">
        <w:rPr>
          <w:rStyle w:val="Emphasis"/>
          <w:color w:val="000000" w:themeColor="text1"/>
          <w:szCs w:val="20"/>
        </w:rPr>
        <w:t>Example</w:t>
      </w:r>
      <w:r w:rsidR="00C64050" w:rsidRPr="00B32CE4">
        <w:rPr>
          <w:rStyle w:val="Emphasis"/>
          <w:color w:val="000000" w:themeColor="text1"/>
          <w:szCs w:val="20"/>
        </w:rPr>
        <w:t xml:space="preserve"> </w:t>
      </w:r>
      <w:r w:rsidRPr="00B32CE4">
        <w:rPr>
          <w:rStyle w:val="Emphasis"/>
          <w:color w:val="000000" w:themeColor="text1"/>
          <w:szCs w:val="20"/>
        </w:rPr>
        <w:t>5:</w:t>
      </w:r>
      <w:r w:rsidR="00C64050" w:rsidRPr="00B32CE4">
        <w:rPr>
          <w:rStyle w:val="Emphasis"/>
          <w:color w:val="000000" w:themeColor="text1"/>
          <w:szCs w:val="20"/>
        </w:rPr>
        <w:t xml:space="preserve"> </w:t>
      </w:r>
      <w:r w:rsidRPr="00B32CE4">
        <w:rPr>
          <w:rStyle w:val="Emphasis"/>
          <w:color w:val="000000" w:themeColor="text1"/>
          <w:szCs w:val="20"/>
        </w:rPr>
        <w:t>Discounted</w:t>
      </w:r>
      <w:r w:rsidR="00C64050" w:rsidRPr="00B32CE4">
        <w:rPr>
          <w:rStyle w:val="Emphasis"/>
          <w:color w:val="000000" w:themeColor="text1"/>
          <w:szCs w:val="20"/>
        </w:rPr>
        <w:t xml:space="preserve"> </w:t>
      </w:r>
      <w:r w:rsidRPr="00B32CE4">
        <w:rPr>
          <w:rStyle w:val="Emphasis"/>
          <w:color w:val="000000" w:themeColor="text1"/>
          <w:szCs w:val="20"/>
        </w:rPr>
        <w:t>Interest,</w:t>
      </w:r>
      <w:r w:rsidR="00C64050" w:rsidRPr="00B32CE4">
        <w:rPr>
          <w:rStyle w:val="Emphasis"/>
          <w:color w:val="000000" w:themeColor="text1"/>
          <w:szCs w:val="20"/>
        </w:rPr>
        <w:t xml:space="preserve"> </w:t>
      </w:r>
      <w:r w:rsidRPr="00B32CE4">
        <w:rPr>
          <w:rStyle w:val="Emphasis"/>
          <w:color w:val="000000" w:themeColor="text1"/>
          <w:szCs w:val="20"/>
        </w:rPr>
        <w:t>But</w:t>
      </w:r>
      <w:r w:rsidR="00C64050" w:rsidRPr="00B32CE4">
        <w:rPr>
          <w:rStyle w:val="Emphasis"/>
          <w:color w:val="000000" w:themeColor="text1"/>
          <w:szCs w:val="20"/>
        </w:rPr>
        <w:t xml:space="preserve"> </w:t>
      </w:r>
      <w:r w:rsidRPr="00B32CE4">
        <w:rPr>
          <w:rStyle w:val="Emphasis"/>
          <w:color w:val="000000" w:themeColor="text1"/>
          <w:szCs w:val="20"/>
        </w:rPr>
        <w:t>Not</w:t>
      </w:r>
      <w:r w:rsidR="00C64050" w:rsidRPr="00B32CE4">
        <w:rPr>
          <w:rStyle w:val="Emphasis"/>
          <w:color w:val="000000" w:themeColor="text1"/>
          <w:szCs w:val="20"/>
        </w:rPr>
        <w:t xml:space="preserve"> </w:t>
      </w:r>
      <w:r w:rsidRPr="00B32CE4">
        <w:rPr>
          <w:rStyle w:val="Emphasis"/>
          <w:color w:val="000000" w:themeColor="text1"/>
          <w:szCs w:val="20"/>
        </w:rPr>
        <w:t>Simple.</w:t>
      </w:r>
      <w:r w:rsidR="00C64050" w:rsidRPr="00B32CE4">
        <w:rPr>
          <w:color w:val="000000" w:themeColor="text1"/>
          <w:szCs w:val="20"/>
        </w:rPr>
        <w:t xml:space="preserve"> </w:t>
      </w:r>
      <w:r w:rsidRPr="00B32CE4">
        <w:rPr>
          <w:color w:val="000000" w:themeColor="text1"/>
          <w:szCs w:val="20"/>
        </w:rPr>
        <w:t>Now</w:t>
      </w:r>
      <w:r w:rsidR="00C64050" w:rsidRPr="00B32CE4">
        <w:rPr>
          <w:color w:val="000000" w:themeColor="text1"/>
          <w:szCs w:val="20"/>
        </w:rPr>
        <w:t xml:space="preserve"> </w:t>
      </w:r>
      <w:r w:rsidRPr="00B32CE4">
        <w:rPr>
          <w:color w:val="000000" w:themeColor="text1"/>
          <w:szCs w:val="20"/>
        </w:rPr>
        <w:t>assume</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same</w:t>
      </w:r>
      <w:r w:rsidR="00C64050" w:rsidRPr="00B32CE4">
        <w:rPr>
          <w:color w:val="000000" w:themeColor="text1"/>
          <w:szCs w:val="20"/>
        </w:rPr>
        <w:t xml:space="preserve"> </w:t>
      </w:r>
      <w:r w:rsidRPr="00B32CE4">
        <w:rPr>
          <w:color w:val="000000" w:themeColor="text1"/>
          <w:szCs w:val="20"/>
        </w:rPr>
        <w:t>facts</w:t>
      </w:r>
      <w:r w:rsidR="00C64050" w:rsidRPr="00B32CE4">
        <w:rPr>
          <w:color w:val="000000" w:themeColor="text1"/>
          <w:szCs w:val="20"/>
        </w:rPr>
        <w:t xml:space="preserve"> </w:t>
      </w:r>
      <w:r w:rsidRPr="00B32CE4">
        <w:rPr>
          <w:color w:val="000000" w:themeColor="text1"/>
          <w:szCs w:val="20"/>
        </w:rPr>
        <w:t>as</w:t>
      </w:r>
      <w:r w:rsidR="00C64050" w:rsidRPr="00B32CE4">
        <w:rPr>
          <w:color w:val="000000" w:themeColor="text1"/>
          <w:szCs w:val="20"/>
        </w:rPr>
        <w:t xml:space="preserve"> </w:t>
      </w:r>
      <w:r w:rsidRPr="00B32CE4">
        <w:rPr>
          <w:color w:val="000000" w:themeColor="text1"/>
          <w:szCs w:val="20"/>
        </w:rPr>
        <w:t>example</w:t>
      </w:r>
      <w:r w:rsidR="00C64050" w:rsidRPr="00B32CE4">
        <w:rPr>
          <w:color w:val="000000" w:themeColor="text1"/>
          <w:szCs w:val="20"/>
        </w:rPr>
        <w:t xml:space="preserve"> </w:t>
      </w:r>
      <w:r w:rsidRPr="00B32CE4">
        <w:rPr>
          <w:color w:val="000000" w:themeColor="text1"/>
          <w:szCs w:val="20"/>
        </w:rPr>
        <w:t>4</w:t>
      </w:r>
      <w:r w:rsidR="00C64050" w:rsidRPr="00B32CE4">
        <w:rPr>
          <w:color w:val="000000" w:themeColor="text1"/>
          <w:szCs w:val="20"/>
        </w:rPr>
        <w:t xml:space="preserve"> </w:t>
      </w:r>
      <w:r w:rsidRPr="00B32CE4">
        <w:rPr>
          <w:color w:val="000000" w:themeColor="text1"/>
          <w:szCs w:val="20"/>
        </w:rPr>
        <w:t>except</w:t>
      </w:r>
      <w:r w:rsidR="00C64050" w:rsidRPr="00B32CE4">
        <w:rPr>
          <w:color w:val="000000" w:themeColor="text1"/>
          <w:szCs w:val="20"/>
        </w:rPr>
        <w:t xml:space="preserve"> </w:t>
      </w:r>
      <w:r w:rsidRPr="00B32CE4">
        <w:rPr>
          <w:color w:val="000000" w:themeColor="text1"/>
          <w:szCs w:val="20"/>
        </w:rPr>
        <w:t>this</w:t>
      </w:r>
      <w:r w:rsidR="00C64050" w:rsidRPr="00B32CE4">
        <w:rPr>
          <w:color w:val="000000" w:themeColor="text1"/>
          <w:szCs w:val="20"/>
        </w:rPr>
        <w:t xml:space="preserve"> </w:t>
      </w:r>
      <w:r w:rsidRPr="00B32CE4">
        <w:rPr>
          <w:color w:val="000000" w:themeColor="text1"/>
          <w:szCs w:val="20"/>
        </w:rPr>
        <w:t>time</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FLP</w:t>
      </w:r>
      <w:r w:rsidR="00C64050" w:rsidRPr="00B32CE4">
        <w:rPr>
          <w:color w:val="000000" w:themeColor="text1"/>
          <w:szCs w:val="20"/>
        </w:rPr>
        <w:t xml:space="preserve"> </w:t>
      </w:r>
      <w:r w:rsidRPr="00B32CE4">
        <w:rPr>
          <w:color w:val="000000" w:themeColor="text1"/>
          <w:szCs w:val="20"/>
        </w:rPr>
        <w:t>sells</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land</w:t>
      </w:r>
      <w:r w:rsidR="00C64050" w:rsidRPr="00B32CE4">
        <w:rPr>
          <w:color w:val="000000" w:themeColor="text1"/>
          <w:szCs w:val="20"/>
        </w:rPr>
        <w:t xml:space="preserve"> </w:t>
      </w:r>
      <w:r w:rsidRPr="00B32CE4">
        <w:rPr>
          <w:color w:val="000000" w:themeColor="text1"/>
          <w:szCs w:val="20"/>
        </w:rPr>
        <w:t>for</w:t>
      </w:r>
      <w:r w:rsidR="00C64050" w:rsidRPr="00B32CE4">
        <w:rPr>
          <w:color w:val="000000" w:themeColor="text1"/>
          <w:szCs w:val="20"/>
        </w:rPr>
        <w:t xml:space="preserve"> </w:t>
      </w:r>
      <w:r w:rsidRPr="00B32CE4">
        <w:rPr>
          <w:color w:val="000000" w:themeColor="text1"/>
          <w:szCs w:val="20"/>
        </w:rPr>
        <w:t>$1000.</w:t>
      </w:r>
      <w:r w:rsidR="00C64050" w:rsidRPr="00B32CE4">
        <w:rPr>
          <w:color w:val="000000" w:themeColor="text1"/>
          <w:szCs w:val="20"/>
        </w:rPr>
        <w:t xml:space="preserve"> </w:t>
      </w:r>
      <w:r w:rsidRPr="00B32CE4">
        <w:rPr>
          <w:color w:val="000000" w:themeColor="text1"/>
          <w:szCs w:val="20"/>
        </w:rPr>
        <w:t>Then,</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FLP</w:t>
      </w:r>
      <w:r w:rsidR="00C64050" w:rsidRPr="00B32CE4">
        <w:rPr>
          <w:color w:val="000000" w:themeColor="text1"/>
          <w:szCs w:val="20"/>
        </w:rPr>
        <w:t xml:space="preserve"> </w:t>
      </w:r>
      <w:r w:rsidRPr="00B32CE4">
        <w:rPr>
          <w:color w:val="000000" w:themeColor="text1"/>
          <w:szCs w:val="20"/>
        </w:rPr>
        <w:t>makes</w:t>
      </w:r>
      <w:r w:rsidR="00C64050" w:rsidRPr="00B32CE4">
        <w:rPr>
          <w:color w:val="000000" w:themeColor="text1"/>
          <w:szCs w:val="20"/>
        </w:rPr>
        <w:t xml:space="preserve"> </w:t>
      </w:r>
      <w:r w:rsidRPr="00B32CE4">
        <w:rPr>
          <w:color w:val="000000" w:themeColor="text1"/>
          <w:szCs w:val="20"/>
        </w:rPr>
        <w:t>a</w:t>
      </w:r>
      <w:r w:rsidR="00C64050" w:rsidRPr="00B32CE4">
        <w:rPr>
          <w:color w:val="000000" w:themeColor="text1"/>
          <w:szCs w:val="20"/>
        </w:rPr>
        <w:t xml:space="preserve"> </w:t>
      </w:r>
      <w:r w:rsidRPr="00B32CE4">
        <w:rPr>
          <w:color w:val="000000" w:themeColor="text1"/>
          <w:szCs w:val="20"/>
        </w:rPr>
        <w:t>distribution</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$400</w:t>
      </w:r>
      <w:r w:rsidR="00C64050" w:rsidRPr="00B32CE4">
        <w:rPr>
          <w:color w:val="000000" w:themeColor="text1"/>
          <w:szCs w:val="20"/>
        </w:rPr>
        <w:t xml:space="preserve"> </w:t>
      </w:r>
      <w:r w:rsidRPr="00B32CE4">
        <w:rPr>
          <w:color w:val="000000" w:themeColor="text1"/>
          <w:szCs w:val="20"/>
        </w:rPr>
        <w:t>back</w:t>
      </w:r>
      <w:r w:rsidR="00C64050" w:rsidRPr="00B32CE4">
        <w:rPr>
          <w:color w:val="000000" w:themeColor="text1"/>
          <w:szCs w:val="20"/>
        </w:rPr>
        <w:t xml:space="preserve"> </w:t>
      </w:r>
      <w:r w:rsidRPr="00B32CE4">
        <w:rPr>
          <w:color w:val="000000" w:themeColor="text1"/>
          <w:szCs w:val="20"/>
        </w:rPr>
        <w:t>to</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aging</w:t>
      </w:r>
      <w:r w:rsidR="00C64050" w:rsidRPr="00B32CE4">
        <w:rPr>
          <w:color w:val="000000" w:themeColor="text1"/>
          <w:szCs w:val="20"/>
        </w:rPr>
        <w:t xml:space="preserve"> </w:t>
      </w:r>
      <w:r w:rsidRPr="00B32CE4">
        <w:rPr>
          <w:color w:val="000000" w:themeColor="text1"/>
          <w:szCs w:val="20"/>
        </w:rPr>
        <w:t>father.</w:t>
      </w:r>
      <w:r w:rsidR="00C64050" w:rsidRPr="00B32CE4">
        <w:rPr>
          <w:color w:val="000000" w:themeColor="text1"/>
          <w:szCs w:val="20"/>
        </w:rPr>
        <w:t xml:space="preserve"> </w:t>
      </w:r>
      <w:r w:rsidRPr="00B32CE4">
        <w:rPr>
          <w:color w:val="000000" w:themeColor="text1"/>
          <w:szCs w:val="20"/>
        </w:rPr>
        <w:t>Under</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formula</w:t>
      </w:r>
      <w:r w:rsidR="00C64050" w:rsidRPr="00B32CE4">
        <w:rPr>
          <w:color w:val="000000" w:themeColor="text1"/>
          <w:szCs w:val="20"/>
        </w:rPr>
        <w:t xml:space="preserve"> </w:t>
      </w:r>
      <w:r w:rsidRPr="00B32CE4">
        <w:rPr>
          <w:color w:val="000000" w:themeColor="text1"/>
          <w:szCs w:val="20"/>
        </w:rPr>
        <w:t>this</w:t>
      </w:r>
      <w:r w:rsidR="00C64050" w:rsidRPr="00B32CE4">
        <w:rPr>
          <w:color w:val="000000" w:themeColor="text1"/>
          <w:szCs w:val="20"/>
        </w:rPr>
        <w:t xml:space="preserve"> </w:t>
      </w:r>
      <w:r w:rsidRPr="00B32CE4">
        <w:rPr>
          <w:color w:val="000000" w:themeColor="text1"/>
          <w:szCs w:val="20"/>
        </w:rPr>
        <w:t>produces</w:t>
      </w:r>
      <w:r w:rsidR="00C64050" w:rsidRPr="00B32CE4">
        <w:rPr>
          <w:color w:val="000000" w:themeColor="text1"/>
          <w:szCs w:val="20"/>
        </w:rPr>
        <w:t xml:space="preserve"> </w:t>
      </w:r>
      <w:r w:rsidRPr="00B32CE4">
        <w:rPr>
          <w:color w:val="000000" w:themeColor="text1"/>
          <w:szCs w:val="20"/>
        </w:rPr>
        <w:t>a</w:t>
      </w:r>
      <w:r w:rsidR="00C64050" w:rsidRPr="00B32CE4">
        <w:rPr>
          <w:color w:val="000000" w:themeColor="text1"/>
          <w:szCs w:val="20"/>
        </w:rPr>
        <w:t xml:space="preserve"> </w:t>
      </w:r>
      <w:r w:rsidRPr="00B32CE4">
        <w:rPr>
          <w:color w:val="000000" w:themeColor="text1"/>
          <w:szCs w:val="20"/>
        </w:rPr>
        <w:t>strange</w:t>
      </w:r>
      <w:r w:rsidR="00C64050" w:rsidRPr="00B32CE4">
        <w:rPr>
          <w:color w:val="000000" w:themeColor="text1"/>
          <w:szCs w:val="20"/>
        </w:rPr>
        <w:t xml:space="preserve"> </w:t>
      </w:r>
      <w:r w:rsidRPr="00B32CE4">
        <w:rPr>
          <w:color w:val="000000" w:themeColor="text1"/>
          <w:szCs w:val="20"/>
        </w:rPr>
        <w:t>result.</w:t>
      </w:r>
      <w:r w:rsidR="00C64050" w:rsidRPr="00B32CE4">
        <w:rPr>
          <w:color w:val="000000" w:themeColor="text1"/>
          <w:szCs w:val="20"/>
        </w:rPr>
        <w:t xml:space="preserve"> </w:t>
      </w:r>
      <w:r w:rsidRPr="00B32CE4">
        <w:rPr>
          <w:color w:val="000000" w:themeColor="text1"/>
          <w:szCs w:val="20"/>
        </w:rPr>
        <w:t>Included</w:t>
      </w:r>
      <w:r w:rsidR="00C64050" w:rsidRPr="00B32CE4">
        <w:rPr>
          <w:color w:val="000000" w:themeColor="text1"/>
          <w:szCs w:val="20"/>
        </w:rPr>
        <w:t xml:space="preserve"> </w:t>
      </w:r>
      <w:r w:rsidRPr="00B32CE4">
        <w:rPr>
          <w:color w:val="000000" w:themeColor="text1"/>
          <w:szCs w:val="20"/>
        </w:rPr>
        <w:t>in</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estate</w:t>
      </w:r>
      <w:r w:rsidR="00C64050" w:rsidRPr="00B32CE4">
        <w:rPr>
          <w:color w:val="000000" w:themeColor="text1"/>
          <w:szCs w:val="20"/>
        </w:rPr>
        <w:t xml:space="preserve"> </w:t>
      </w:r>
      <w:r w:rsidRPr="00B32CE4">
        <w:rPr>
          <w:color w:val="000000" w:themeColor="text1"/>
          <w:szCs w:val="20"/>
        </w:rPr>
        <w:t>is</w:t>
      </w:r>
      <w:r w:rsidR="00C64050" w:rsidRPr="00B32CE4">
        <w:rPr>
          <w:color w:val="000000" w:themeColor="text1"/>
          <w:szCs w:val="20"/>
        </w:rPr>
        <w:t xml:space="preserve"> </w:t>
      </w:r>
      <w:r w:rsidRPr="00B32CE4">
        <w:rPr>
          <w:color w:val="000000" w:themeColor="text1"/>
          <w:szCs w:val="20"/>
        </w:rPr>
        <w:t>$400</w:t>
      </w:r>
      <w:r w:rsidR="00C64050" w:rsidRPr="00B32CE4">
        <w:rPr>
          <w:color w:val="000000" w:themeColor="text1"/>
          <w:szCs w:val="20"/>
        </w:rPr>
        <w:t xml:space="preserve"> </w:t>
      </w:r>
      <w:r w:rsidRPr="00B32CE4">
        <w:rPr>
          <w:color w:val="000000" w:themeColor="text1"/>
          <w:szCs w:val="20"/>
        </w:rPr>
        <w:t>cash</w:t>
      </w:r>
      <w:r w:rsidR="00C64050" w:rsidRPr="00B32CE4">
        <w:rPr>
          <w:color w:val="000000" w:themeColor="text1"/>
          <w:szCs w:val="20"/>
        </w:rPr>
        <w:t xml:space="preserve"> </w:t>
      </w:r>
      <w:r w:rsidRPr="00B32CE4">
        <w:rPr>
          <w:color w:val="000000" w:themeColor="text1"/>
          <w:szCs w:val="20"/>
        </w:rPr>
        <w:t>(section</w:t>
      </w:r>
      <w:r w:rsidR="00C64050" w:rsidRPr="00B32CE4">
        <w:rPr>
          <w:color w:val="000000" w:themeColor="text1"/>
          <w:szCs w:val="20"/>
        </w:rPr>
        <w:t xml:space="preserve"> </w:t>
      </w:r>
      <w:r w:rsidRPr="00B32CE4">
        <w:rPr>
          <w:color w:val="000000" w:themeColor="text1"/>
          <w:szCs w:val="20"/>
        </w:rPr>
        <w:t>2033),</w:t>
      </w:r>
      <w:r w:rsidR="00C64050" w:rsidRPr="00B32CE4">
        <w:rPr>
          <w:color w:val="000000" w:themeColor="text1"/>
          <w:szCs w:val="20"/>
        </w:rPr>
        <w:t xml:space="preserve"> </w:t>
      </w:r>
      <w:r w:rsidRPr="00B32CE4">
        <w:rPr>
          <w:color w:val="000000" w:themeColor="text1"/>
          <w:szCs w:val="20"/>
        </w:rPr>
        <w:t>$450</w:t>
      </w:r>
      <w:r w:rsidR="00C64050" w:rsidRPr="00B32CE4">
        <w:rPr>
          <w:color w:val="000000" w:themeColor="text1"/>
          <w:szCs w:val="20"/>
        </w:rPr>
        <w:t xml:space="preserve"> </w:t>
      </w:r>
      <w:r w:rsidRPr="00B32CE4">
        <w:rPr>
          <w:color w:val="000000" w:themeColor="text1"/>
          <w:szCs w:val="20"/>
        </w:rPr>
        <w:t>for</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FLP</w:t>
      </w:r>
      <w:r w:rsidR="00C64050" w:rsidRPr="00B32CE4">
        <w:rPr>
          <w:color w:val="000000" w:themeColor="text1"/>
          <w:szCs w:val="20"/>
        </w:rPr>
        <w:t xml:space="preserve"> </w:t>
      </w:r>
      <w:r w:rsidRPr="00B32CE4">
        <w:rPr>
          <w:color w:val="000000" w:themeColor="text1"/>
          <w:szCs w:val="20"/>
        </w:rPr>
        <w:t>interest</w:t>
      </w:r>
      <w:r w:rsidR="00C64050" w:rsidRPr="00B32CE4">
        <w:rPr>
          <w:color w:val="000000" w:themeColor="text1"/>
          <w:szCs w:val="20"/>
        </w:rPr>
        <w:t xml:space="preserve"> </w:t>
      </w:r>
      <w:r w:rsidRPr="00B32CE4">
        <w:rPr>
          <w:color w:val="000000" w:themeColor="text1"/>
          <w:szCs w:val="20"/>
        </w:rPr>
        <w:t>(section</w:t>
      </w:r>
      <w:r w:rsidR="00C64050" w:rsidRPr="00B32CE4">
        <w:rPr>
          <w:color w:val="000000" w:themeColor="text1"/>
          <w:szCs w:val="20"/>
        </w:rPr>
        <w:t xml:space="preserve"> </w:t>
      </w:r>
      <w:r w:rsidRPr="00B32CE4">
        <w:rPr>
          <w:color w:val="000000" w:themeColor="text1"/>
          <w:szCs w:val="20"/>
        </w:rPr>
        <w:t>2033),</w:t>
      </w:r>
      <w:r w:rsidR="00C64050" w:rsidRPr="00B32CE4">
        <w:rPr>
          <w:color w:val="000000" w:themeColor="text1"/>
          <w:szCs w:val="20"/>
        </w:rPr>
        <w:t xml:space="preserve"> </w:t>
      </w:r>
      <w:r w:rsidRPr="00B32CE4">
        <w:rPr>
          <w:color w:val="000000" w:themeColor="text1"/>
          <w:szCs w:val="20"/>
        </w:rPr>
        <w:t>$1000</w:t>
      </w:r>
      <w:r w:rsidR="00C64050" w:rsidRPr="00B32CE4">
        <w:rPr>
          <w:color w:val="000000" w:themeColor="text1"/>
          <w:szCs w:val="20"/>
        </w:rPr>
        <w:t xml:space="preserve"> </w:t>
      </w:r>
      <w:r w:rsidRPr="00B32CE4">
        <w:rPr>
          <w:color w:val="000000" w:themeColor="text1"/>
          <w:szCs w:val="20"/>
        </w:rPr>
        <w:t>for</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transferred</w:t>
      </w:r>
      <w:r w:rsidR="00C64050" w:rsidRPr="00B32CE4">
        <w:rPr>
          <w:color w:val="000000" w:themeColor="text1"/>
          <w:szCs w:val="20"/>
        </w:rPr>
        <w:t xml:space="preserve"> </w:t>
      </w:r>
      <w:r w:rsidRPr="00B32CE4">
        <w:rPr>
          <w:color w:val="000000" w:themeColor="text1"/>
          <w:szCs w:val="20"/>
        </w:rPr>
        <w:t>land</w:t>
      </w:r>
      <w:r w:rsidR="00C64050" w:rsidRPr="00B32CE4">
        <w:rPr>
          <w:color w:val="000000" w:themeColor="text1"/>
          <w:szCs w:val="20"/>
        </w:rPr>
        <w:t xml:space="preserve"> </w:t>
      </w:r>
      <w:r w:rsidRPr="00B32CE4">
        <w:rPr>
          <w:color w:val="000000" w:themeColor="text1"/>
          <w:szCs w:val="20"/>
        </w:rPr>
        <w:t>(section</w:t>
      </w:r>
      <w:r w:rsidR="00C64050" w:rsidRPr="00B32CE4">
        <w:rPr>
          <w:color w:val="000000" w:themeColor="text1"/>
          <w:szCs w:val="20"/>
        </w:rPr>
        <w:t xml:space="preserve"> </w:t>
      </w:r>
      <w:r w:rsidRPr="00B32CE4">
        <w:rPr>
          <w:color w:val="000000" w:themeColor="text1"/>
          <w:szCs w:val="20"/>
        </w:rPr>
        <w:t>2036),</w:t>
      </w:r>
      <w:r w:rsidR="00C64050" w:rsidRPr="00B32CE4">
        <w:rPr>
          <w:color w:val="000000" w:themeColor="text1"/>
          <w:szCs w:val="20"/>
        </w:rPr>
        <w:t xml:space="preserve"> </w:t>
      </w:r>
      <w:r w:rsidRPr="00B32CE4">
        <w:rPr>
          <w:color w:val="000000" w:themeColor="text1"/>
          <w:szCs w:val="20"/>
        </w:rPr>
        <w:t>less</w:t>
      </w:r>
      <w:r w:rsidR="00C64050" w:rsidRPr="00B32CE4">
        <w:rPr>
          <w:color w:val="000000" w:themeColor="text1"/>
          <w:szCs w:val="20"/>
        </w:rPr>
        <w:t xml:space="preserve"> </w:t>
      </w:r>
      <w:r w:rsidRPr="00B32CE4">
        <w:rPr>
          <w:color w:val="000000" w:themeColor="text1"/>
          <w:szCs w:val="20"/>
        </w:rPr>
        <w:t>$750</w:t>
      </w:r>
      <w:r w:rsidR="00C64050" w:rsidRPr="00B32CE4">
        <w:rPr>
          <w:color w:val="000000" w:themeColor="text1"/>
          <w:szCs w:val="20"/>
        </w:rPr>
        <w:t xml:space="preserve"> </w:t>
      </w:r>
      <w:r w:rsidRPr="00B32CE4">
        <w:rPr>
          <w:color w:val="000000" w:themeColor="text1"/>
          <w:szCs w:val="20"/>
        </w:rPr>
        <w:t>(section</w:t>
      </w:r>
      <w:r w:rsidR="00C64050" w:rsidRPr="00B32CE4">
        <w:rPr>
          <w:color w:val="000000" w:themeColor="text1"/>
          <w:szCs w:val="20"/>
        </w:rPr>
        <w:t xml:space="preserve"> </w:t>
      </w:r>
      <w:r w:rsidRPr="00B32CE4">
        <w:rPr>
          <w:color w:val="000000" w:themeColor="text1"/>
          <w:szCs w:val="20"/>
        </w:rPr>
        <w:t>2043)--in</w:t>
      </w:r>
      <w:r w:rsidR="00C64050" w:rsidRPr="00B32CE4">
        <w:rPr>
          <w:color w:val="000000" w:themeColor="text1"/>
          <w:szCs w:val="20"/>
        </w:rPr>
        <w:t xml:space="preserve"> </w:t>
      </w:r>
      <w:r w:rsidRPr="00B32CE4">
        <w:rPr>
          <w:color w:val="000000" w:themeColor="text1"/>
          <w:szCs w:val="20"/>
        </w:rPr>
        <w:t>all</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estate</w:t>
      </w:r>
      <w:r w:rsidR="00C64050" w:rsidRPr="00B32CE4">
        <w:rPr>
          <w:color w:val="000000" w:themeColor="text1"/>
          <w:szCs w:val="20"/>
        </w:rPr>
        <w:t xml:space="preserve"> </w:t>
      </w:r>
      <w:r w:rsidRPr="00B32CE4">
        <w:rPr>
          <w:color w:val="000000" w:themeColor="text1"/>
          <w:szCs w:val="20"/>
        </w:rPr>
        <w:t>now</w:t>
      </w:r>
      <w:r w:rsidR="00C64050" w:rsidRPr="00B32CE4">
        <w:rPr>
          <w:color w:val="000000" w:themeColor="text1"/>
          <w:szCs w:val="20"/>
        </w:rPr>
        <w:t xml:space="preserve"> </w:t>
      </w:r>
      <w:r w:rsidRPr="00B32CE4">
        <w:rPr>
          <w:color w:val="000000" w:themeColor="text1"/>
          <w:szCs w:val="20"/>
        </w:rPr>
        <w:t>has</w:t>
      </w:r>
      <w:r w:rsidR="00C64050" w:rsidRPr="00B32CE4">
        <w:rPr>
          <w:color w:val="000000" w:themeColor="text1"/>
          <w:szCs w:val="20"/>
        </w:rPr>
        <w:t xml:space="preserve"> </w:t>
      </w:r>
      <w:r w:rsidRPr="00B32CE4">
        <w:rPr>
          <w:color w:val="000000" w:themeColor="text1"/>
          <w:szCs w:val="20"/>
        </w:rPr>
        <w:t>a</w:t>
      </w:r>
      <w:r w:rsidR="00C64050" w:rsidRPr="00B32CE4">
        <w:rPr>
          <w:color w:val="000000" w:themeColor="text1"/>
          <w:szCs w:val="20"/>
        </w:rPr>
        <w:t xml:space="preserve"> </w:t>
      </w:r>
      <w:r w:rsidRPr="00B32CE4">
        <w:rPr>
          <w:color w:val="000000" w:themeColor="text1"/>
          <w:szCs w:val="20"/>
        </w:rPr>
        <w:t>value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$1100.</w:t>
      </w:r>
      <w:r w:rsidR="00C64050" w:rsidRPr="00B32CE4">
        <w:rPr>
          <w:color w:val="000000" w:themeColor="text1"/>
          <w:szCs w:val="20"/>
        </w:rPr>
        <w:t xml:space="preserve"> </w:t>
      </w:r>
      <w:r w:rsidRPr="00B32CE4">
        <w:rPr>
          <w:color w:val="000000" w:themeColor="text1"/>
          <w:szCs w:val="20"/>
        </w:rPr>
        <w:t>Had</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aging</w:t>
      </w:r>
      <w:r w:rsidR="00C64050" w:rsidRPr="00B32CE4">
        <w:rPr>
          <w:color w:val="000000" w:themeColor="text1"/>
          <w:szCs w:val="20"/>
        </w:rPr>
        <w:t xml:space="preserve"> </w:t>
      </w:r>
      <w:r w:rsidRPr="00B32CE4">
        <w:rPr>
          <w:color w:val="000000" w:themeColor="text1"/>
          <w:szCs w:val="20"/>
        </w:rPr>
        <w:t>man</w:t>
      </w:r>
      <w:r w:rsidR="00C64050" w:rsidRPr="00B32CE4">
        <w:rPr>
          <w:color w:val="000000" w:themeColor="text1"/>
          <w:szCs w:val="20"/>
        </w:rPr>
        <w:t xml:space="preserve"> </w:t>
      </w:r>
      <w:r w:rsidRPr="00B32CE4">
        <w:rPr>
          <w:color w:val="000000" w:themeColor="text1"/>
          <w:szCs w:val="20"/>
        </w:rPr>
        <w:t>just</w:t>
      </w:r>
      <w:r w:rsidR="00C64050" w:rsidRPr="00B32CE4">
        <w:rPr>
          <w:color w:val="000000" w:themeColor="text1"/>
          <w:szCs w:val="20"/>
        </w:rPr>
        <w:t xml:space="preserve"> </w:t>
      </w:r>
      <w:r w:rsidRPr="00B32CE4">
        <w:rPr>
          <w:color w:val="000000" w:themeColor="text1"/>
          <w:szCs w:val="20"/>
        </w:rPr>
        <w:t>sold</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land</w:t>
      </w:r>
      <w:r w:rsidR="00C64050" w:rsidRPr="00B32CE4">
        <w:rPr>
          <w:color w:val="000000" w:themeColor="text1"/>
          <w:szCs w:val="20"/>
        </w:rPr>
        <w:t xml:space="preserve"> </w:t>
      </w:r>
      <w:r w:rsidRPr="00B32CE4">
        <w:rPr>
          <w:color w:val="000000" w:themeColor="text1"/>
          <w:szCs w:val="20"/>
        </w:rPr>
        <w:t>he</w:t>
      </w:r>
      <w:r w:rsidR="00C64050" w:rsidRPr="00B32CE4">
        <w:rPr>
          <w:color w:val="000000" w:themeColor="text1"/>
          <w:szCs w:val="20"/>
        </w:rPr>
        <w:t xml:space="preserve"> </w:t>
      </w:r>
      <w:r w:rsidRPr="00B32CE4">
        <w:rPr>
          <w:color w:val="000000" w:themeColor="text1"/>
          <w:szCs w:val="20"/>
        </w:rPr>
        <w:t>would</w:t>
      </w:r>
      <w:r w:rsidR="00C64050" w:rsidRPr="00B32CE4">
        <w:rPr>
          <w:color w:val="000000" w:themeColor="text1"/>
          <w:szCs w:val="20"/>
        </w:rPr>
        <w:t xml:space="preserve"> </w:t>
      </w:r>
      <w:r w:rsidRPr="00B32CE4">
        <w:rPr>
          <w:color w:val="000000" w:themeColor="text1"/>
          <w:szCs w:val="20"/>
        </w:rPr>
        <w:t>have</w:t>
      </w:r>
      <w:r w:rsidR="00C64050" w:rsidRPr="00B32CE4">
        <w:rPr>
          <w:color w:val="000000" w:themeColor="text1"/>
          <w:szCs w:val="20"/>
        </w:rPr>
        <w:t xml:space="preserve"> </w:t>
      </w:r>
      <w:r w:rsidRPr="00B32CE4">
        <w:rPr>
          <w:color w:val="000000" w:themeColor="text1"/>
          <w:szCs w:val="20"/>
        </w:rPr>
        <w:t>only</w:t>
      </w:r>
      <w:r w:rsidR="00C64050" w:rsidRPr="00B32CE4">
        <w:rPr>
          <w:color w:val="000000" w:themeColor="text1"/>
          <w:szCs w:val="20"/>
        </w:rPr>
        <w:t xml:space="preserve"> </w:t>
      </w:r>
      <w:r w:rsidRPr="00B32CE4">
        <w:rPr>
          <w:color w:val="000000" w:themeColor="text1"/>
          <w:szCs w:val="20"/>
        </w:rPr>
        <w:t>$1000</w:t>
      </w:r>
      <w:r w:rsidR="00C64050" w:rsidRPr="00B32CE4">
        <w:rPr>
          <w:color w:val="000000" w:themeColor="text1"/>
          <w:szCs w:val="20"/>
        </w:rPr>
        <w:t xml:space="preserve"> </w:t>
      </w:r>
      <w:r w:rsidRPr="00B32CE4">
        <w:rPr>
          <w:color w:val="000000" w:themeColor="text1"/>
          <w:szCs w:val="20"/>
        </w:rPr>
        <w:t>in</w:t>
      </w:r>
      <w:r w:rsidR="00C64050" w:rsidRPr="00B32CE4">
        <w:rPr>
          <w:color w:val="000000" w:themeColor="text1"/>
          <w:szCs w:val="20"/>
        </w:rPr>
        <w:t xml:space="preserve"> </w:t>
      </w:r>
      <w:r w:rsidRPr="00B32CE4">
        <w:rPr>
          <w:color w:val="000000" w:themeColor="text1"/>
          <w:szCs w:val="20"/>
        </w:rPr>
        <w:t>his</w:t>
      </w:r>
      <w:r w:rsidR="00C64050" w:rsidRPr="00B32CE4">
        <w:rPr>
          <w:color w:val="000000" w:themeColor="text1"/>
          <w:szCs w:val="20"/>
        </w:rPr>
        <w:t xml:space="preserve"> </w:t>
      </w:r>
      <w:r w:rsidRPr="00B32CE4">
        <w:rPr>
          <w:color w:val="000000" w:themeColor="text1"/>
          <w:szCs w:val="20"/>
        </w:rPr>
        <w:t>estate.</w:t>
      </w:r>
    </w:p>
    <w:p w:rsidR="00D66AAD" w:rsidRPr="00B32CE4" w:rsidRDefault="00D66AAD" w:rsidP="00D66AAD">
      <w:pPr>
        <w:pStyle w:val="QS10"/>
        <w:rPr>
          <w:color w:val="000000" w:themeColor="text1"/>
          <w:szCs w:val="20"/>
        </w:rPr>
      </w:pPr>
      <w:r w:rsidRPr="00B32CE4">
        <w:rPr>
          <w:color w:val="000000" w:themeColor="text1"/>
          <w:szCs w:val="20"/>
        </w:rPr>
        <w:t>Some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these</w:t>
      </w:r>
      <w:r w:rsidR="00C64050" w:rsidRPr="00B32CE4">
        <w:rPr>
          <w:color w:val="000000" w:themeColor="text1"/>
          <w:szCs w:val="20"/>
        </w:rPr>
        <w:t xml:space="preserve"> </w:t>
      </w:r>
      <w:r w:rsidRPr="00B32CE4">
        <w:rPr>
          <w:color w:val="000000" w:themeColor="text1"/>
          <w:szCs w:val="20"/>
        </w:rPr>
        <w:t>examples</w:t>
      </w:r>
      <w:r w:rsidR="00C64050" w:rsidRPr="00B32CE4">
        <w:rPr>
          <w:color w:val="000000" w:themeColor="text1"/>
          <w:szCs w:val="20"/>
        </w:rPr>
        <w:t xml:space="preserve"> </w:t>
      </w:r>
      <w:r w:rsidRPr="00B32CE4">
        <w:rPr>
          <w:color w:val="000000" w:themeColor="text1"/>
          <w:szCs w:val="20"/>
        </w:rPr>
        <w:t>thus</w:t>
      </w:r>
      <w:r w:rsidR="00C64050" w:rsidRPr="00B32CE4">
        <w:rPr>
          <w:color w:val="000000" w:themeColor="text1"/>
          <w:szCs w:val="20"/>
        </w:rPr>
        <w:t xml:space="preserve"> </w:t>
      </w:r>
      <w:r w:rsidRPr="00B32CE4">
        <w:rPr>
          <w:color w:val="000000" w:themeColor="text1"/>
          <w:szCs w:val="20"/>
        </w:rPr>
        <w:t>lead</w:t>
      </w:r>
      <w:r w:rsidR="00C64050" w:rsidRPr="00B32CE4">
        <w:rPr>
          <w:color w:val="000000" w:themeColor="text1"/>
          <w:szCs w:val="20"/>
        </w:rPr>
        <w:t xml:space="preserve"> </w:t>
      </w:r>
      <w:r w:rsidRPr="00B32CE4">
        <w:rPr>
          <w:color w:val="000000" w:themeColor="text1"/>
          <w:szCs w:val="20"/>
        </w:rPr>
        <w:t>to</w:t>
      </w:r>
      <w:r w:rsidR="00C64050" w:rsidRPr="00B32CE4">
        <w:rPr>
          <w:color w:val="000000" w:themeColor="text1"/>
          <w:szCs w:val="20"/>
        </w:rPr>
        <w:t xml:space="preserve"> </w:t>
      </w:r>
      <w:r w:rsidRPr="00B32CE4">
        <w:rPr>
          <w:color w:val="000000" w:themeColor="text1"/>
          <w:szCs w:val="20"/>
        </w:rPr>
        <w:t>what</w:t>
      </w:r>
      <w:r w:rsidR="00C64050" w:rsidRPr="00B32CE4">
        <w:rPr>
          <w:color w:val="000000" w:themeColor="text1"/>
          <w:szCs w:val="20"/>
        </w:rPr>
        <w:t xml:space="preserve"> </w:t>
      </w:r>
      <w:r w:rsidRPr="00B32CE4">
        <w:rPr>
          <w:color w:val="000000" w:themeColor="text1"/>
          <w:szCs w:val="20"/>
        </w:rPr>
        <w:t>may</w:t>
      </w:r>
      <w:r w:rsidR="00C64050" w:rsidRPr="00B32CE4">
        <w:rPr>
          <w:color w:val="000000" w:themeColor="text1"/>
          <w:szCs w:val="20"/>
        </w:rPr>
        <w:t xml:space="preserve"> </w:t>
      </w:r>
      <w:r w:rsidRPr="00B32CE4">
        <w:rPr>
          <w:color w:val="000000" w:themeColor="text1"/>
          <w:szCs w:val="20"/>
        </w:rPr>
        <w:t>seem</w:t>
      </w:r>
      <w:r w:rsidR="00C64050" w:rsidRPr="00B32CE4">
        <w:rPr>
          <w:color w:val="000000" w:themeColor="text1"/>
          <w:szCs w:val="20"/>
        </w:rPr>
        <w:t xml:space="preserve"> </w:t>
      </w:r>
      <w:r w:rsidRPr="00B32CE4">
        <w:rPr>
          <w:color w:val="000000" w:themeColor="text1"/>
          <w:szCs w:val="20"/>
        </w:rPr>
        <w:t>odd</w:t>
      </w:r>
      <w:r w:rsidR="00C64050" w:rsidRPr="00B32CE4">
        <w:rPr>
          <w:color w:val="000000" w:themeColor="text1"/>
          <w:szCs w:val="20"/>
        </w:rPr>
        <w:t xml:space="preserve"> </w:t>
      </w:r>
      <w:r w:rsidRPr="00B32CE4">
        <w:rPr>
          <w:color w:val="000000" w:themeColor="text1"/>
          <w:szCs w:val="20"/>
        </w:rPr>
        <w:t>results,</w:t>
      </w:r>
      <w:r w:rsidR="00C64050" w:rsidRPr="00B32CE4">
        <w:rPr>
          <w:color w:val="000000" w:themeColor="text1"/>
          <w:szCs w:val="20"/>
        </w:rPr>
        <w:t xml:space="preserve"> </w:t>
      </w:r>
      <w:r w:rsidRPr="00B32CE4">
        <w:rPr>
          <w:color w:val="000000" w:themeColor="text1"/>
          <w:szCs w:val="20"/>
        </w:rPr>
        <w:t>but</w:t>
      </w:r>
      <w:r w:rsidR="00C64050" w:rsidRPr="00B32CE4">
        <w:rPr>
          <w:color w:val="000000" w:themeColor="text1"/>
          <w:szCs w:val="20"/>
        </w:rPr>
        <w:t xml:space="preserve"> </w:t>
      </w:r>
      <w:r w:rsidRPr="00B32CE4">
        <w:rPr>
          <w:color w:val="000000" w:themeColor="text1"/>
          <w:szCs w:val="20"/>
        </w:rPr>
        <w:t>we</w:t>
      </w:r>
      <w:r w:rsidR="00C64050" w:rsidRPr="00B32CE4">
        <w:rPr>
          <w:color w:val="000000" w:themeColor="text1"/>
          <w:szCs w:val="20"/>
        </w:rPr>
        <w:t xml:space="preserve"> </w:t>
      </w:r>
      <w:r w:rsidRPr="00B32CE4">
        <w:rPr>
          <w:color w:val="000000" w:themeColor="text1"/>
          <w:szCs w:val="20"/>
        </w:rPr>
        <w:t>must</w:t>
      </w:r>
      <w:r w:rsidR="00C64050" w:rsidRPr="00B32CE4">
        <w:rPr>
          <w:color w:val="000000" w:themeColor="text1"/>
          <w:szCs w:val="20"/>
        </w:rPr>
        <w:t xml:space="preserve"> </w:t>
      </w:r>
      <w:r w:rsidRPr="00B32CE4">
        <w:rPr>
          <w:color w:val="000000" w:themeColor="text1"/>
          <w:szCs w:val="20"/>
        </w:rPr>
        <w:t>nevertheless</w:t>
      </w:r>
      <w:r w:rsidR="00C64050" w:rsidRPr="00B32CE4">
        <w:rPr>
          <w:color w:val="000000" w:themeColor="text1"/>
          <w:szCs w:val="20"/>
        </w:rPr>
        <w:t xml:space="preserve"> </w:t>
      </w:r>
      <w:r w:rsidRPr="00B32CE4">
        <w:rPr>
          <w:color w:val="000000" w:themeColor="text1"/>
          <w:szCs w:val="20"/>
        </w:rPr>
        <w:t>apply</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Code</w:t>
      </w:r>
      <w:r w:rsidR="00C64050" w:rsidRPr="00B32CE4">
        <w:rPr>
          <w:color w:val="000000" w:themeColor="text1"/>
          <w:szCs w:val="20"/>
        </w:rPr>
        <w:t xml:space="preserve"> </w:t>
      </w:r>
      <w:r w:rsidRPr="00B32CE4">
        <w:rPr>
          <w:color w:val="000000" w:themeColor="text1"/>
          <w:szCs w:val="20"/>
        </w:rPr>
        <w:t>as</w:t>
      </w:r>
      <w:r w:rsidR="00C64050" w:rsidRPr="00B32CE4">
        <w:rPr>
          <w:color w:val="000000" w:themeColor="text1"/>
          <w:szCs w:val="20"/>
        </w:rPr>
        <w:t xml:space="preserve"> </w:t>
      </w:r>
      <w:r w:rsidRPr="00B32CE4">
        <w:rPr>
          <w:color w:val="000000" w:themeColor="text1"/>
          <w:szCs w:val="20"/>
        </w:rPr>
        <w:t>it</w:t>
      </w:r>
      <w:r w:rsidR="00C64050" w:rsidRPr="00B32CE4">
        <w:rPr>
          <w:color w:val="000000" w:themeColor="text1"/>
          <w:szCs w:val="20"/>
        </w:rPr>
        <w:t xml:space="preserve"> </w:t>
      </w:r>
      <w:r w:rsidRPr="00B32CE4">
        <w:rPr>
          <w:color w:val="000000" w:themeColor="text1"/>
          <w:szCs w:val="20"/>
        </w:rPr>
        <w:t>is</w:t>
      </w:r>
      <w:r w:rsidR="00C64050" w:rsidRPr="00B32CE4">
        <w:rPr>
          <w:color w:val="000000" w:themeColor="text1"/>
          <w:szCs w:val="20"/>
        </w:rPr>
        <w:t xml:space="preserve"> </w:t>
      </w:r>
      <w:r w:rsidRPr="00B32CE4">
        <w:rPr>
          <w:color w:val="000000" w:themeColor="text1"/>
          <w:szCs w:val="20"/>
        </w:rPr>
        <w:t>written</w:t>
      </w:r>
      <w:r w:rsidR="00C64050" w:rsidRPr="00B32CE4">
        <w:rPr>
          <w:color w:val="000000" w:themeColor="text1"/>
          <w:szCs w:val="20"/>
        </w:rPr>
        <w:t xml:space="preserve"> </w:t>
      </w:r>
      <w:r w:rsidRPr="00B32CE4">
        <w:rPr>
          <w:color w:val="000000" w:themeColor="text1"/>
          <w:szCs w:val="20"/>
        </w:rPr>
        <w:t>and</w:t>
      </w:r>
      <w:r w:rsidR="00C64050" w:rsidRPr="00B32CE4">
        <w:rPr>
          <w:color w:val="000000" w:themeColor="text1"/>
          <w:szCs w:val="20"/>
        </w:rPr>
        <w:t xml:space="preserve"> </w:t>
      </w:r>
      <w:r w:rsidRPr="00B32CE4">
        <w:rPr>
          <w:color w:val="000000" w:themeColor="text1"/>
          <w:szCs w:val="20"/>
        </w:rPr>
        <w:t>interpreted</w:t>
      </w:r>
      <w:r w:rsidR="00C64050" w:rsidRPr="00B32CE4">
        <w:rPr>
          <w:color w:val="000000" w:themeColor="text1"/>
          <w:szCs w:val="20"/>
        </w:rPr>
        <w:t xml:space="preserve"> </w:t>
      </w:r>
      <w:r w:rsidRPr="00B32CE4">
        <w:rPr>
          <w:color w:val="000000" w:themeColor="text1"/>
          <w:szCs w:val="20"/>
        </w:rPr>
        <w:t>in</w:t>
      </w:r>
      <w:r w:rsidR="00C64050" w:rsidRPr="00B32CE4">
        <w:rPr>
          <w:color w:val="000000" w:themeColor="text1"/>
          <w:szCs w:val="20"/>
        </w:rPr>
        <w:t xml:space="preserve"> </w:t>
      </w:r>
      <w:r w:rsidRPr="00B32CE4">
        <w:rPr>
          <w:color w:val="000000" w:themeColor="text1"/>
          <w:szCs w:val="20"/>
        </w:rPr>
        <w:t>a</w:t>
      </w:r>
      <w:r w:rsidR="00C64050" w:rsidRPr="00B32CE4">
        <w:rPr>
          <w:color w:val="000000" w:themeColor="text1"/>
          <w:szCs w:val="20"/>
        </w:rPr>
        <w:t xml:space="preserve"> </w:t>
      </w:r>
      <w:r w:rsidRPr="00B32CE4">
        <w:rPr>
          <w:color w:val="000000" w:themeColor="text1"/>
          <w:szCs w:val="20"/>
        </w:rPr>
        <w:t>Division</w:t>
      </w:r>
      <w:r w:rsidR="00C64050" w:rsidRPr="00B32CE4">
        <w:rPr>
          <w:color w:val="000000" w:themeColor="text1"/>
          <w:szCs w:val="20"/>
        </w:rPr>
        <w:t xml:space="preserve"> </w:t>
      </w:r>
      <w:r w:rsidRPr="00B32CE4">
        <w:rPr>
          <w:color w:val="000000" w:themeColor="text1"/>
          <w:szCs w:val="20"/>
        </w:rPr>
        <w:t>Opinion.</w:t>
      </w:r>
      <w:r w:rsidR="00C64050" w:rsidRPr="00B32CE4">
        <w:rPr>
          <w:color w:val="000000" w:themeColor="text1"/>
          <w:szCs w:val="20"/>
        </w:rPr>
        <w:t xml:space="preserve"> </w:t>
      </w:r>
      <w:r w:rsidRPr="00B32CE4">
        <w:rPr>
          <w:color w:val="000000" w:themeColor="text1"/>
          <w:szCs w:val="20"/>
          <w:u w:val="single"/>
        </w:rPr>
        <w:t>See</w:t>
      </w:r>
      <w:r w:rsidR="00C64050" w:rsidRPr="00B32CE4">
        <w:rPr>
          <w:color w:val="000000" w:themeColor="text1"/>
          <w:szCs w:val="20"/>
        </w:rPr>
        <w:t xml:space="preserve"> </w:t>
      </w:r>
      <w:r w:rsidRPr="00B32CE4">
        <w:rPr>
          <w:color w:val="000000" w:themeColor="text1"/>
          <w:szCs w:val="20"/>
          <w:u w:val="single"/>
        </w:rPr>
        <w:t>Sec.</w:t>
      </w:r>
      <w:r w:rsidR="00C64050" w:rsidRPr="00B32CE4">
        <w:rPr>
          <w:color w:val="000000" w:themeColor="text1"/>
          <w:szCs w:val="20"/>
          <w:u w:val="single"/>
        </w:rPr>
        <w:t xml:space="preserve"> </w:t>
      </w:r>
      <w:r w:rsidRPr="00B32CE4">
        <w:rPr>
          <w:color w:val="000000" w:themeColor="text1"/>
          <w:szCs w:val="20"/>
          <w:u w:val="single"/>
        </w:rPr>
        <w:t>State</w:t>
      </w:r>
      <w:r w:rsidR="00C64050" w:rsidRPr="00B32CE4">
        <w:rPr>
          <w:color w:val="000000" w:themeColor="text1"/>
          <w:szCs w:val="20"/>
          <w:u w:val="single"/>
        </w:rPr>
        <w:t xml:space="preserve"> </w:t>
      </w:r>
      <w:r w:rsidRPr="00B32CE4">
        <w:rPr>
          <w:color w:val="000000" w:themeColor="text1"/>
          <w:szCs w:val="20"/>
          <w:u w:val="single"/>
        </w:rPr>
        <w:t>Bank</w:t>
      </w:r>
      <w:r w:rsidR="00C64050" w:rsidRPr="00B32CE4">
        <w:rPr>
          <w:color w:val="000000" w:themeColor="text1"/>
          <w:szCs w:val="20"/>
          <w:u w:val="single"/>
        </w:rPr>
        <w:t xml:space="preserve"> </w:t>
      </w:r>
      <w:r w:rsidRPr="00B32CE4">
        <w:rPr>
          <w:color w:val="000000" w:themeColor="text1"/>
          <w:szCs w:val="20"/>
          <w:u w:val="single"/>
        </w:rPr>
        <w:t>v.</w:t>
      </w:r>
      <w:r w:rsidR="00C64050" w:rsidRPr="00B32CE4">
        <w:rPr>
          <w:color w:val="000000" w:themeColor="text1"/>
          <w:szCs w:val="20"/>
          <w:u w:val="single"/>
        </w:rPr>
        <w:t xml:space="preserve"> </w:t>
      </w:r>
      <w:r w:rsidRPr="00B32CE4">
        <w:rPr>
          <w:color w:val="000000" w:themeColor="text1"/>
          <w:szCs w:val="20"/>
          <w:u w:val="single"/>
        </w:rPr>
        <w:t>Commissioner</w:t>
      </w:r>
      <w:r w:rsidRPr="00B32CE4">
        <w:rPr>
          <w:color w:val="000000" w:themeColor="text1"/>
          <w:szCs w:val="20"/>
        </w:rPr>
        <w:t>,</w:t>
      </w:r>
      <w:r w:rsidR="00C64050" w:rsidRPr="00B32CE4">
        <w:rPr>
          <w:color w:val="000000" w:themeColor="text1"/>
          <w:szCs w:val="20"/>
        </w:rPr>
        <w:t xml:space="preserve"> </w:t>
      </w:r>
      <w:r w:rsidRPr="00B32CE4">
        <w:rPr>
          <w:color w:val="000000" w:themeColor="text1"/>
          <w:szCs w:val="20"/>
        </w:rPr>
        <w:t>111</w:t>
      </w:r>
      <w:r w:rsidR="00C64050" w:rsidRPr="00B32CE4">
        <w:rPr>
          <w:color w:val="000000" w:themeColor="text1"/>
          <w:szCs w:val="20"/>
        </w:rPr>
        <w:t xml:space="preserve"> </w:t>
      </w:r>
      <w:r w:rsidRPr="00B32CE4">
        <w:rPr>
          <w:color w:val="000000" w:themeColor="text1"/>
          <w:szCs w:val="20"/>
        </w:rPr>
        <w:t>T.C.</w:t>
      </w:r>
      <w:r w:rsidR="00C64050" w:rsidRPr="00B32CE4">
        <w:rPr>
          <w:color w:val="000000" w:themeColor="text1"/>
          <w:szCs w:val="20"/>
        </w:rPr>
        <w:t xml:space="preserve"> </w:t>
      </w:r>
      <w:r w:rsidRPr="00B32CE4">
        <w:rPr>
          <w:color w:val="000000" w:themeColor="text1"/>
          <w:szCs w:val="20"/>
        </w:rPr>
        <w:t>210,</w:t>
      </w:r>
      <w:r w:rsidR="00C64050" w:rsidRPr="00B32CE4">
        <w:rPr>
          <w:color w:val="000000" w:themeColor="text1"/>
          <w:szCs w:val="20"/>
        </w:rPr>
        <w:t xml:space="preserve"> </w:t>
      </w:r>
      <w:r w:rsidRPr="00B32CE4">
        <w:rPr>
          <w:color w:val="000000" w:themeColor="text1"/>
          <w:szCs w:val="20"/>
        </w:rPr>
        <w:t>213</w:t>
      </w:r>
      <w:r w:rsidR="00C64050" w:rsidRPr="00B32CE4">
        <w:rPr>
          <w:color w:val="000000" w:themeColor="text1"/>
          <w:szCs w:val="20"/>
        </w:rPr>
        <w:t xml:space="preserve"> </w:t>
      </w:r>
      <w:r w:rsidRPr="00B32CE4">
        <w:rPr>
          <w:color w:val="000000" w:themeColor="text1"/>
          <w:szCs w:val="20"/>
        </w:rPr>
        <w:t>(1998),</w:t>
      </w:r>
      <w:r w:rsidR="00C64050" w:rsidRPr="00B32CE4">
        <w:rPr>
          <w:color w:val="000000" w:themeColor="text1"/>
          <w:szCs w:val="20"/>
        </w:rPr>
        <w:t xml:space="preserve"> </w:t>
      </w:r>
      <w:r w:rsidRPr="00B32CE4">
        <w:rPr>
          <w:color w:val="000000" w:themeColor="text1"/>
          <w:szCs w:val="20"/>
          <w:u w:val="single"/>
        </w:rPr>
        <w:t>aff’d</w:t>
      </w:r>
      <w:r w:rsidRPr="00B32CE4">
        <w:rPr>
          <w:color w:val="000000" w:themeColor="text1"/>
          <w:szCs w:val="20"/>
        </w:rPr>
        <w:t>,</w:t>
      </w:r>
      <w:r w:rsidR="00C64050" w:rsidRPr="00B32CE4">
        <w:rPr>
          <w:color w:val="000000" w:themeColor="text1"/>
          <w:szCs w:val="20"/>
        </w:rPr>
        <w:t xml:space="preserve"> </w:t>
      </w:r>
      <w:r w:rsidRPr="00B32CE4">
        <w:rPr>
          <w:color w:val="000000" w:themeColor="text1"/>
          <w:szCs w:val="20"/>
        </w:rPr>
        <w:t>214</w:t>
      </w:r>
      <w:r w:rsidR="00C64050" w:rsidRPr="00B32CE4">
        <w:rPr>
          <w:color w:val="000000" w:themeColor="text1"/>
          <w:szCs w:val="20"/>
        </w:rPr>
        <w:t xml:space="preserve"> </w:t>
      </w:r>
      <w:r w:rsidRPr="00B32CE4">
        <w:rPr>
          <w:color w:val="000000" w:themeColor="text1"/>
          <w:szCs w:val="20"/>
        </w:rPr>
        <w:t>F.3d</w:t>
      </w:r>
      <w:r w:rsidR="00C64050" w:rsidRPr="00B32CE4">
        <w:rPr>
          <w:color w:val="000000" w:themeColor="text1"/>
          <w:szCs w:val="20"/>
        </w:rPr>
        <w:t xml:space="preserve"> </w:t>
      </w:r>
      <w:r w:rsidRPr="00B32CE4">
        <w:rPr>
          <w:color w:val="000000" w:themeColor="text1"/>
          <w:szCs w:val="20"/>
        </w:rPr>
        <w:t>1254</w:t>
      </w:r>
      <w:r w:rsidR="00C64050" w:rsidRPr="00B32CE4">
        <w:rPr>
          <w:color w:val="000000" w:themeColor="text1"/>
          <w:szCs w:val="20"/>
        </w:rPr>
        <w:t xml:space="preserve"> </w:t>
      </w:r>
      <w:r w:rsidRPr="00B32CE4">
        <w:rPr>
          <w:color w:val="000000" w:themeColor="text1"/>
          <w:szCs w:val="20"/>
        </w:rPr>
        <w:t>(10th</w:t>
      </w:r>
      <w:r w:rsidR="00C64050" w:rsidRPr="00B32CE4">
        <w:rPr>
          <w:color w:val="000000" w:themeColor="text1"/>
          <w:szCs w:val="20"/>
        </w:rPr>
        <w:t xml:space="preserve"> </w:t>
      </w:r>
      <w:r w:rsidRPr="00B32CE4">
        <w:rPr>
          <w:color w:val="000000" w:themeColor="text1"/>
          <w:szCs w:val="20"/>
        </w:rPr>
        <w:t>Cir.</w:t>
      </w:r>
      <w:r w:rsidR="00C64050" w:rsidRPr="00B32CE4">
        <w:rPr>
          <w:color w:val="000000" w:themeColor="text1"/>
          <w:szCs w:val="20"/>
        </w:rPr>
        <w:t xml:space="preserve"> </w:t>
      </w:r>
      <w:r w:rsidRPr="00B32CE4">
        <w:rPr>
          <w:color w:val="000000" w:themeColor="text1"/>
          <w:szCs w:val="20"/>
        </w:rPr>
        <w:t>2000);</w:t>
      </w:r>
      <w:r w:rsidR="00C64050" w:rsidRPr="00B32CE4">
        <w:rPr>
          <w:color w:val="000000" w:themeColor="text1"/>
          <w:szCs w:val="20"/>
        </w:rPr>
        <w:t xml:space="preserve"> </w:t>
      </w:r>
      <w:r w:rsidRPr="00B32CE4">
        <w:rPr>
          <w:color w:val="000000" w:themeColor="text1"/>
          <w:szCs w:val="20"/>
          <w:u w:val="single"/>
        </w:rPr>
        <w:t>Hesselink</w:t>
      </w:r>
      <w:r w:rsidR="00C64050" w:rsidRPr="00B32CE4">
        <w:rPr>
          <w:color w:val="000000" w:themeColor="text1"/>
          <w:szCs w:val="20"/>
          <w:u w:val="single"/>
        </w:rPr>
        <w:t xml:space="preserve"> </w:t>
      </w:r>
      <w:r w:rsidRPr="00B32CE4">
        <w:rPr>
          <w:color w:val="000000" w:themeColor="text1"/>
          <w:szCs w:val="20"/>
          <w:u w:val="single"/>
        </w:rPr>
        <w:t>v.</w:t>
      </w:r>
      <w:r w:rsidR="00C64050" w:rsidRPr="00B32CE4">
        <w:rPr>
          <w:color w:val="000000" w:themeColor="text1"/>
          <w:szCs w:val="20"/>
          <w:u w:val="single"/>
        </w:rPr>
        <w:t xml:space="preserve"> </w:t>
      </w:r>
      <w:r w:rsidRPr="00B32CE4">
        <w:rPr>
          <w:color w:val="000000" w:themeColor="text1"/>
          <w:szCs w:val="20"/>
          <w:u w:val="single"/>
        </w:rPr>
        <w:t>Commissioner</w:t>
      </w:r>
      <w:r w:rsidRPr="00B32CE4">
        <w:rPr>
          <w:color w:val="000000" w:themeColor="text1"/>
          <w:szCs w:val="20"/>
        </w:rPr>
        <w:t>,</w:t>
      </w:r>
      <w:r w:rsidR="00C64050" w:rsidRPr="00B32CE4">
        <w:rPr>
          <w:color w:val="000000" w:themeColor="text1"/>
          <w:szCs w:val="20"/>
        </w:rPr>
        <w:t xml:space="preserve"> </w:t>
      </w:r>
      <w:r w:rsidRPr="00B32CE4">
        <w:rPr>
          <w:color w:val="000000" w:themeColor="text1"/>
          <w:szCs w:val="20"/>
        </w:rPr>
        <w:t>97</w:t>
      </w:r>
      <w:r w:rsidR="00C64050" w:rsidRPr="00B32CE4">
        <w:rPr>
          <w:color w:val="000000" w:themeColor="text1"/>
          <w:szCs w:val="20"/>
        </w:rPr>
        <w:t xml:space="preserve"> </w:t>
      </w:r>
      <w:r w:rsidRPr="00B32CE4">
        <w:rPr>
          <w:color w:val="000000" w:themeColor="text1"/>
          <w:szCs w:val="20"/>
        </w:rPr>
        <w:t>T.C.</w:t>
      </w:r>
      <w:r w:rsidR="00C64050" w:rsidRPr="00B32CE4">
        <w:rPr>
          <w:color w:val="000000" w:themeColor="text1"/>
          <w:szCs w:val="20"/>
        </w:rPr>
        <w:t xml:space="preserve"> </w:t>
      </w:r>
      <w:r w:rsidRPr="00B32CE4">
        <w:rPr>
          <w:color w:val="000000" w:themeColor="text1"/>
          <w:szCs w:val="20"/>
        </w:rPr>
        <w:t>94,</w:t>
      </w:r>
      <w:r w:rsidR="00C64050" w:rsidRPr="00B32CE4">
        <w:rPr>
          <w:color w:val="000000" w:themeColor="text1"/>
          <w:szCs w:val="20"/>
        </w:rPr>
        <w:t xml:space="preserve"> </w:t>
      </w:r>
      <w:r w:rsidRPr="00B32CE4">
        <w:rPr>
          <w:color w:val="000000" w:themeColor="text1"/>
          <w:szCs w:val="20"/>
        </w:rPr>
        <w:t>99-100</w:t>
      </w:r>
      <w:r w:rsidR="00C64050" w:rsidRPr="00B32CE4">
        <w:rPr>
          <w:color w:val="000000" w:themeColor="text1"/>
          <w:szCs w:val="20"/>
        </w:rPr>
        <w:t xml:space="preserve"> </w:t>
      </w:r>
      <w:r w:rsidRPr="00B32CE4">
        <w:rPr>
          <w:color w:val="000000" w:themeColor="text1"/>
          <w:szCs w:val="20"/>
        </w:rPr>
        <w:t>(1991);</w:t>
      </w:r>
      <w:r w:rsidR="00C64050" w:rsidRPr="00B32CE4">
        <w:rPr>
          <w:color w:val="000000" w:themeColor="text1"/>
          <w:szCs w:val="20"/>
        </w:rPr>
        <w:t xml:space="preserve"> </w:t>
      </w:r>
      <w:r w:rsidRPr="00B32CE4">
        <w:rPr>
          <w:color w:val="000000" w:themeColor="text1"/>
          <w:szCs w:val="20"/>
          <w:u w:val="single"/>
        </w:rPr>
        <w:t>Nihiser</w:t>
      </w:r>
      <w:r w:rsidR="00C64050" w:rsidRPr="00B32CE4">
        <w:rPr>
          <w:color w:val="000000" w:themeColor="text1"/>
          <w:szCs w:val="20"/>
          <w:u w:val="single"/>
        </w:rPr>
        <w:t xml:space="preserve"> </w:t>
      </w:r>
      <w:r w:rsidRPr="00B32CE4">
        <w:rPr>
          <w:color w:val="000000" w:themeColor="text1"/>
          <w:szCs w:val="20"/>
          <w:u w:val="single"/>
        </w:rPr>
        <w:t>v.</w:t>
      </w:r>
      <w:r w:rsidR="00C64050" w:rsidRPr="00B32CE4">
        <w:rPr>
          <w:color w:val="000000" w:themeColor="text1"/>
          <w:szCs w:val="20"/>
          <w:u w:val="single"/>
        </w:rPr>
        <w:t xml:space="preserve"> </w:t>
      </w:r>
      <w:r w:rsidRPr="00B32CE4">
        <w:rPr>
          <w:color w:val="000000" w:themeColor="text1"/>
          <w:szCs w:val="20"/>
          <w:u w:val="single"/>
        </w:rPr>
        <w:t>Commissioner</w:t>
      </w:r>
      <w:r w:rsidRPr="00B32CE4">
        <w:rPr>
          <w:color w:val="000000" w:themeColor="text1"/>
          <w:szCs w:val="20"/>
        </w:rPr>
        <w:t>,</w:t>
      </w:r>
      <w:r w:rsidR="00C64050" w:rsidRPr="00B32CE4">
        <w:rPr>
          <w:color w:val="000000" w:themeColor="text1"/>
          <w:szCs w:val="20"/>
        </w:rPr>
        <w:t xml:space="preserve"> </w:t>
      </w:r>
      <w:r w:rsidRPr="00B32CE4">
        <w:rPr>
          <w:color w:val="000000" w:themeColor="text1"/>
          <w:szCs w:val="20"/>
        </w:rPr>
        <w:t>T.C.</w:t>
      </w:r>
      <w:r w:rsidR="00C64050" w:rsidRPr="00B32CE4">
        <w:rPr>
          <w:color w:val="000000" w:themeColor="text1"/>
          <w:szCs w:val="20"/>
        </w:rPr>
        <w:t xml:space="preserve"> </w:t>
      </w:r>
      <w:r w:rsidRPr="00B32CE4">
        <w:rPr>
          <w:color w:val="000000" w:themeColor="text1"/>
          <w:szCs w:val="20"/>
        </w:rPr>
        <w:t>Memo</w:t>
      </w:r>
      <w:r w:rsidR="00C64050" w:rsidRPr="00B32CE4">
        <w:rPr>
          <w:color w:val="000000" w:themeColor="text1"/>
          <w:szCs w:val="20"/>
        </w:rPr>
        <w:t xml:space="preserve"> </w:t>
      </w:r>
      <w:r w:rsidRPr="00B32CE4">
        <w:rPr>
          <w:color w:val="000000" w:themeColor="text1"/>
          <w:szCs w:val="20"/>
        </w:rPr>
        <w:t>2008-135,</w:t>
      </w:r>
      <w:r w:rsidR="00C64050" w:rsidRPr="00B32CE4">
        <w:rPr>
          <w:color w:val="000000" w:themeColor="text1"/>
          <w:szCs w:val="20"/>
        </w:rPr>
        <w:t xml:space="preserve"> </w:t>
      </w:r>
      <w:r w:rsidRPr="00B32CE4">
        <w:rPr>
          <w:color w:val="000000" w:themeColor="text1"/>
          <w:szCs w:val="20"/>
        </w:rPr>
        <w:t>95</w:t>
      </w:r>
      <w:r w:rsidR="00C64050" w:rsidRPr="00B32CE4">
        <w:rPr>
          <w:color w:val="000000" w:themeColor="text1"/>
          <w:szCs w:val="20"/>
        </w:rPr>
        <w:t xml:space="preserve"> </w:t>
      </w:r>
      <w:r w:rsidRPr="00B32CE4">
        <w:rPr>
          <w:color w:val="000000" w:themeColor="text1"/>
          <w:szCs w:val="20"/>
        </w:rPr>
        <w:t>T.C.M.</w:t>
      </w:r>
      <w:r w:rsidR="00C64050" w:rsidRPr="00B32CE4">
        <w:rPr>
          <w:color w:val="000000" w:themeColor="text1"/>
          <w:szCs w:val="20"/>
        </w:rPr>
        <w:t xml:space="preserve"> </w:t>
      </w:r>
      <w:r w:rsidRPr="00B32CE4">
        <w:rPr>
          <w:color w:val="000000" w:themeColor="text1"/>
          <w:szCs w:val="20"/>
        </w:rPr>
        <w:t>(CCH)</w:t>
      </w:r>
      <w:r w:rsidR="00C64050" w:rsidRPr="00B32CE4">
        <w:rPr>
          <w:color w:val="000000" w:themeColor="text1"/>
          <w:szCs w:val="20"/>
        </w:rPr>
        <w:t xml:space="preserve"> </w:t>
      </w:r>
      <w:r w:rsidRPr="00B32CE4">
        <w:rPr>
          <w:color w:val="000000" w:themeColor="text1"/>
          <w:szCs w:val="20"/>
        </w:rPr>
        <w:t>1531,</w:t>
      </w:r>
      <w:r w:rsidR="00C64050" w:rsidRPr="00B32CE4">
        <w:rPr>
          <w:color w:val="000000" w:themeColor="text1"/>
          <w:szCs w:val="20"/>
        </w:rPr>
        <w:t xml:space="preserve"> </w:t>
      </w:r>
      <w:r w:rsidRPr="00B32CE4">
        <w:rPr>
          <w:color w:val="000000" w:themeColor="text1"/>
          <w:szCs w:val="20"/>
        </w:rPr>
        <w:t>1534</w:t>
      </w:r>
      <w:r w:rsidR="00C64050" w:rsidRPr="00B32CE4">
        <w:rPr>
          <w:color w:val="000000" w:themeColor="text1"/>
          <w:szCs w:val="20"/>
        </w:rPr>
        <w:t xml:space="preserve"> </w:t>
      </w:r>
      <w:r w:rsidRPr="00B32CE4">
        <w:rPr>
          <w:color w:val="000000" w:themeColor="text1"/>
          <w:szCs w:val="20"/>
        </w:rPr>
        <w:t>(2008).</w:t>
      </w:r>
    </w:p>
    <w:p w:rsidR="00D66AAD" w:rsidRPr="00B32CE4" w:rsidRDefault="00D66AAD" w:rsidP="00D66AAD">
      <w:pPr>
        <w:pStyle w:val="QS10"/>
        <w:rPr>
          <w:color w:val="000000" w:themeColor="text1"/>
          <w:szCs w:val="20"/>
        </w:rPr>
      </w:pPr>
      <w:r w:rsidRPr="00B32CE4">
        <w:rPr>
          <w:color w:val="000000" w:themeColor="text1"/>
          <w:szCs w:val="20"/>
        </w:rPr>
        <w:t>And</w:t>
      </w:r>
      <w:r w:rsidR="00C64050" w:rsidRPr="00B32CE4">
        <w:rPr>
          <w:color w:val="000000" w:themeColor="text1"/>
          <w:szCs w:val="20"/>
        </w:rPr>
        <w:t xml:space="preserve"> </w:t>
      </w:r>
      <w:r w:rsidRPr="00B32CE4">
        <w:rPr>
          <w:color w:val="000000" w:themeColor="text1"/>
          <w:szCs w:val="20"/>
        </w:rPr>
        <w:t>there’s</w:t>
      </w:r>
      <w:r w:rsidR="00C64050" w:rsidRPr="00B32CE4">
        <w:rPr>
          <w:color w:val="000000" w:themeColor="text1"/>
          <w:szCs w:val="20"/>
        </w:rPr>
        <w:t xml:space="preserve"> </w:t>
      </w:r>
      <w:r w:rsidRPr="00B32CE4">
        <w:rPr>
          <w:color w:val="000000" w:themeColor="text1"/>
          <w:szCs w:val="20"/>
        </w:rPr>
        <w:t>one</w:t>
      </w:r>
      <w:r w:rsidR="00C64050" w:rsidRPr="00B32CE4">
        <w:rPr>
          <w:color w:val="000000" w:themeColor="text1"/>
          <w:szCs w:val="20"/>
        </w:rPr>
        <w:t xml:space="preserve"> </w:t>
      </w:r>
      <w:r w:rsidRPr="00B32CE4">
        <w:rPr>
          <w:color w:val="000000" w:themeColor="text1"/>
          <w:szCs w:val="20"/>
        </w:rPr>
        <w:t>last</w:t>
      </w:r>
      <w:r w:rsidR="00C64050" w:rsidRPr="00B32CE4">
        <w:rPr>
          <w:color w:val="000000" w:themeColor="text1"/>
          <w:szCs w:val="20"/>
        </w:rPr>
        <w:t xml:space="preserve"> </w:t>
      </w:r>
      <w:r w:rsidRPr="00B32CE4">
        <w:rPr>
          <w:color w:val="000000" w:themeColor="text1"/>
          <w:szCs w:val="20"/>
        </w:rPr>
        <w:t>thing</w:t>
      </w:r>
      <w:r w:rsidR="00C64050" w:rsidRPr="00B32CE4">
        <w:rPr>
          <w:color w:val="000000" w:themeColor="text1"/>
          <w:szCs w:val="20"/>
        </w:rPr>
        <w:t xml:space="preserve"> </w:t>
      </w:r>
      <w:r w:rsidRPr="00B32CE4">
        <w:rPr>
          <w:color w:val="000000" w:themeColor="text1"/>
          <w:szCs w:val="20"/>
        </w:rPr>
        <w:t>to</w:t>
      </w:r>
      <w:r w:rsidR="00C64050" w:rsidRPr="00B32CE4">
        <w:rPr>
          <w:color w:val="000000" w:themeColor="text1"/>
          <w:szCs w:val="20"/>
        </w:rPr>
        <w:t xml:space="preserve"> </w:t>
      </w:r>
      <w:r w:rsidRPr="00B32CE4">
        <w:rPr>
          <w:color w:val="000000" w:themeColor="text1"/>
          <w:szCs w:val="20"/>
        </w:rPr>
        <w:t>note--the</w:t>
      </w:r>
      <w:r w:rsidR="00C64050" w:rsidRPr="00B32CE4">
        <w:rPr>
          <w:color w:val="000000" w:themeColor="text1"/>
          <w:szCs w:val="20"/>
        </w:rPr>
        <w:t xml:space="preserve"> </w:t>
      </w:r>
      <w:r w:rsidRPr="00B32CE4">
        <w:rPr>
          <w:color w:val="000000" w:themeColor="text1"/>
          <w:szCs w:val="20"/>
        </w:rPr>
        <w:t>variable</w:t>
      </w:r>
      <w:r w:rsidR="00C64050" w:rsidRPr="00B32CE4">
        <w:rPr>
          <w:color w:val="000000" w:themeColor="text1"/>
          <w:szCs w:val="20"/>
        </w:rPr>
        <w:t xml:space="preserve"> </w:t>
      </w:r>
      <w:r w:rsidRPr="00B32CE4">
        <w:rPr>
          <w:color w:val="000000" w:themeColor="text1"/>
          <w:szCs w:val="20"/>
        </w:rPr>
        <w:t>C</w:t>
      </w:r>
      <w:r w:rsidRPr="00B32CE4">
        <w:rPr>
          <w:color w:val="000000" w:themeColor="text1"/>
          <w:szCs w:val="20"/>
          <w:vertAlign w:val="subscript"/>
        </w:rPr>
        <w:t>d</w:t>
      </w:r>
      <w:r w:rsidR="00C64050" w:rsidRPr="00B32CE4">
        <w:rPr>
          <w:color w:val="000000" w:themeColor="text1"/>
          <w:szCs w:val="20"/>
        </w:rPr>
        <w:t xml:space="preserve"> </w:t>
      </w:r>
      <w:r w:rsidRPr="00B32CE4">
        <w:rPr>
          <w:color w:val="000000" w:themeColor="text1"/>
          <w:szCs w:val="20"/>
        </w:rPr>
        <w:t>is</w:t>
      </w:r>
      <w:r w:rsidR="00C64050" w:rsidRPr="00B32CE4">
        <w:rPr>
          <w:color w:val="000000" w:themeColor="text1"/>
          <w:szCs w:val="20"/>
        </w:rPr>
        <w:t xml:space="preserve"> </w:t>
      </w:r>
      <w:r w:rsidRPr="00B32CE4">
        <w:rPr>
          <w:color w:val="000000" w:themeColor="text1"/>
          <w:szCs w:val="20"/>
        </w:rPr>
        <w:t>not</w:t>
      </w:r>
      <w:r w:rsidR="00C64050" w:rsidRPr="00B32CE4">
        <w:rPr>
          <w:color w:val="000000" w:themeColor="text1"/>
          <w:szCs w:val="20"/>
        </w:rPr>
        <w:t xml:space="preserve"> </w:t>
      </w:r>
      <w:r w:rsidRPr="00B32CE4">
        <w:rPr>
          <w:color w:val="000000" w:themeColor="text1"/>
          <w:szCs w:val="20"/>
        </w:rPr>
        <w:t>limited</w:t>
      </w:r>
      <w:r w:rsidR="00C64050" w:rsidRPr="00B32CE4">
        <w:rPr>
          <w:color w:val="000000" w:themeColor="text1"/>
          <w:szCs w:val="20"/>
        </w:rPr>
        <w:t xml:space="preserve"> </w:t>
      </w:r>
      <w:r w:rsidRPr="00B32CE4">
        <w:rPr>
          <w:color w:val="000000" w:themeColor="text1"/>
          <w:szCs w:val="20"/>
        </w:rPr>
        <w:t>by</w:t>
      </w:r>
      <w:r w:rsidR="00C64050" w:rsidRPr="00B32CE4">
        <w:rPr>
          <w:color w:val="000000" w:themeColor="text1"/>
          <w:szCs w:val="20"/>
        </w:rPr>
        <w:t xml:space="preserve"> </w:t>
      </w:r>
      <w:r w:rsidRPr="00B32CE4">
        <w:rPr>
          <w:color w:val="000000" w:themeColor="text1"/>
          <w:szCs w:val="20"/>
        </w:rPr>
        <w:t>tracing</w:t>
      </w:r>
      <w:r w:rsidR="00C64050" w:rsidRPr="00B32CE4">
        <w:rPr>
          <w:color w:val="000000" w:themeColor="text1"/>
          <w:szCs w:val="20"/>
        </w:rPr>
        <w:t xml:space="preserve"> </w:t>
      </w:r>
      <w:r w:rsidRPr="00B32CE4">
        <w:rPr>
          <w:color w:val="000000" w:themeColor="text1"/>
          <w:szCs w:val="20"/>
        </w:rPr>
        <w:t>rules.</w:t>
      </w:r>
      <w:r w:rsidR="00C64050" w:rsidRPr="00B32CE4">
        <w:rPr>
          <w:color w:val="000000" w:themeColor="text1"/>
          <w:szCs w:val="20"/>
        </w:rPr>
        <w:t xml:space="preserve"> </w:t>
      </w:r>
      <w:r w:rsidRPr="00B32CE4">
        <w:rPr>
          <w:color w:val="000000" w:themeColor="text1"/>
          <w:szCs w:val="20"/>
        </w:rPr>
        <w:t>This</w:t>
      </w:r>
      <w:r w:rsidR="00C64050" w:rsidRPr="00B32CE4">
        <w:rPr>
          <w:color w:val="000000" w:themeColor="text1"/>
          <w:szCs w:val="20"/>
        </w:rPr>
        <w:t xml:space="preserve"> </w:t>
      </w:r>
      <w:r w:rsidRPr="00B32CE4">
        <w:rPr>
          <w:color w:val="000000" w:themeColor="text1"/>
          <w:szCs w:val="20"/>
        </w:rPr>
        <w:t>means</w:t>
      </w:r>
      <w:r w:rsidR="00C64050" w:rsidRPr="00B32CE4">
        <w:rPr>
          <w:color w:val="000000" w:themeColor="text1"/>
          <w:szCs w:val="20"/>
        </w:rPr>
        <w:t xml:space="preserve"> </w:t>
      </w:r>
      <w:r w:rsidRPr="00B32CE4">
        <w:rPr>
          <w:color w:val="000000" w:themeColor="text1"/>
          <w:szCs w:val="20"/>
        </w:rPr>
        <w:t>that</w:t>
      </w:r>
      <w:r w:rsidR="00C64050" w:rsidRPr="00B32CE4">
        <w:rPr>
          <w:color w:val="000000" w:themeColor="text1"/>
          <w:szCs w:val="20"/>
        </w:rPr>
        <w:t xml:space="preserve"> </w:t>
      </w:r>
      <w:r w:rsidRPr="00B32CE4">
        <w:rPr>
          <w:color w:val="000000" w:themeColor="text1"/>
          <w:szCs w:val="20"/>
        </w:rPr>
        <w:t>whatever</w:t>
      </w:r>
      <w:r w:rsidR="00C64050" w:rsidRPr="00B32CE4">
        <w:rPr>
          <w:color w:val="000000" w:themeColor="text1"/>
          <w:szCs w:val="20"/>
        </w:rPr>
        <w:t xml:space="preserve"> </w:t>
      </w:r>
      <w:r w:rsidRPr="00B32CE4">
        <w:rPr>
          <w:color w:val="000000" w:themeColor="text1"/>
          <w:szCs w:val="20"/>
        </w:rPr>
        <w:t>is</w:t>
      </w:r>
      <w:r w:rsidR="00C64050" w:rsidRPr="00B32CE4">
        <w:rPr>
          <w:color w:val="000000" w:themeColor="text1"/>
          <w:szCs w:val="20"/>
        </w:rPr>
        <w:t xml:space="preserve"> </w:t>
      </w:r>
      <w:r w:rsidRPr="00B32CE4">
        <w:rPr>
          <w:color w:val="000000" w:themeColor="text1"/>
          <w:szCs w:val="20"/>
        </w:rPr>
        <w:t>left</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original</w:t>
      </w:r>
      <w:r w:rsidR="00C64050" w:rsidRPr="00B32CE4">
        <w:rPr>
          <w:color w:val="000000" w:themeColor="text1"/>
          <w:szCs w:val="20"/>
        </w:rPr>
        <w:t xml:space="preserve"> </w:t>
      </w:r>
      <w:r w:rsidRPr="00B32CE4">
        <w:rPr>
          <w:color w:val="000000" w:themeColor="text1"/>
          <w:szCs w:val="20"/>
        </w:rPr>
        <w:t>consideration</w:t>
      </w:r>
      <w:r w:rsidR="00C64050" w:rsidRPr="00B32CE4">
        <w:rPr>
          <w:color w:val="000000" w:themeColor="text1"/>
          <w:szCs w:val="20"/>
        </w:rPr>
        <w:t xml:space="preserve"> </w:t>
      </w:r>
      <w:r w:rsidRPr="00B32CE4">
        <w:rPr>
          <w:color w:val="000000" w:themeColor="text1"/>
          <w:szCs w:val="20"/>
        </w:rPr>
        <w:t>in</w:t>
      </w:r>
      <w:r w:rsidR="00C64050" w:rsidRPr="00B32CE4">
        <w:rPr>
          <w:color w:val="000000" w:themeColor="text1"/>
          <w:szCs w:val="20"/>
        </w:rPr>
        <w:t xml:space="preserve"> </w:t>
      </w:r>
      <w:r w:rsidRPr="00B32CE4">
        <w:rPr>
          <w:color w:val="000000" w:themeColor="text1"/>
          <w:szCs w:val="20"/>
        </w:rPr>
        <w:t>an</w:t>
      </w:r>
      <w:r w:rsidR="00C64050" w:rsidRPr="00B32CE4">
        <w:rPr>
          <w:color w:val="000000" w:themeColor="text1"/>
          <w:szCs w:val="20"/>
        </w:rPr>
        <w:t xml:space="preserve"> </w:t>
      </w:r>
      <w:r w:rsidRPr="00B32CE4">
        <w:rPr>
          <w:color w:val="000000" w:themeColor="text1"/>
          <w:szCs w:val="20"/>
        </w:rPr>
        <w:t>estate</w:t>
      </w:r>
      <w:r w:rsidR="00C64050" w:rsidRPr="00B32CE4">
        <w:rPr>
          <w:color w:val="000000" w:themeColor="text1"/>
          <w:szCs w:val="20"/>
        </w:rPr>
        <w:t xml:space="preserve"> </w:t>
      </w:r>
      <w:r w:rsidRPr="00B32CE4">
        <w:rPr>
          <w:color w:val="000000" w:themeColor="text1"/>
          <w:szCs w:val="20"/>
        </w:rPr>
        <w:t>is</w:t>
      </w:r>
      <w:r w:rsidR="00C64050" w:rsidRPr="00B32CE4">
        <w:rPr>
          <w:color w:val="000000" w:themeColor="text1"/>
          <w:szCs w:val="20"/>
        </w:rPr>
        <w:t xml:space="preserve"> </w:t>
      </w:r>
      <w:r w:rsidRPr="00B32CE4">
        <w:rPr>
          <w:color w:val="000000" w:themeColor="text1"/>
          <w:szCs w:val="20"/>
        </w:rPr>
        <w:t>included,</w:t>
      </w:r>
      <w:r w:rsidR="00C64050" w:rsidRPr="00B32CE4">
        <w:rPr>
          <w:color w:val="000000" w:themeColor="text1"/>
          <w:szCs w:val="20"/>
        </w:rPr>
        <w:t xml:space="preserve"> </w:t>
      </w:r>
      <w:r w:rsidRPr="00B32CE4">
        <w:rPr>
          <w:color w:val="000000" w:themeColor="text1"/>
          <w:szCs w:val="20"/>
        </w:rPr>
        <w:t>but</w:t>
      </w:r>
      <w:r w:rsidR="00C64050" w:rsidRPr="00B32CE4">
        <w:rPr>
          <w:color w:val="000000" w:themeColor="text1"/>
          <w:szCs w:val="20"/>
        </w:rPr>
        <w:t xml:space="preserve"> </w:t>
      </w:r>
      <w:r w:rsidRPr="00B32CE4">
        <w:rPr>
          <w:color w:val="000000" w:themeColor="text1"/>
          <w:szCs w:val="20"/>
        </w:rPr>
        <w:t>so</w:t>
      </w:r>
      <w:r w:rsidR="00C64050" w:rsidRPr="00B32CE4">
        <w:rPr>
          <w:color w:val="000000" w:themeColor="text1"/>
          <w:szCs w:val="20"/>
        </w:rPr>
        <w:t xml:space="preserve"> </w:t>
      </w:r>
      <w:r w:rsidRPr="00B32CE4">
        <w:rPr>
          <w:color w:val="000000" w:themeColor="text1"/>
          <w:szCs w:val="20"/>
        </w:rPr>
        <w:t>are</w:t>
      </w:r>
      <w:r w:rsidR="00C64050" w:rsidRPr="00B32CE4">
        <w:rPr>
          <w:color w:val="000000" w:themeColor="text1"/>
          <w:szCs w:val="20"/>
        </w:rPr>
        <w:t xml:space="preserve"> </w:t>
      </w:r>
      <w:r w:rsidRPr="00B32CE4">
        <w:rPr>
          <w:color w:val="000000" w:themeColor="text1"/>
          <w:szCs w:val="20"/>
        </w:rPr>
        <w:t>any</w:t>
      </w:r>
      <w:r w:rsidR="00C64050" w:rsidRPr="00B32CE4">
        <w:rPr>
          <w:color w:val="000000" w:themeColor="text1"/>
          <w:szCs w:val="20"/>
        </w:rPr>
        <w:t xml:space="preserve"> </w:t>
      </w:r>
      <w:r w:rsidRPr="00B32CE4">
        <w:rPr>
          <w:color w:val="000000" w:themeColor="text1"/>
          <w:szCs w:val="20"/>
        </w:rPr>
        <w:t>proceeds</w:t>
      </w:r>
      <w:r w:rsidR="00C64050" w:rsidRPr="00B32CE4">
        <w:rPr>
          <w:color w:val="000000" w:themeColor="text1"/>
          <w:szCs w:val="20"/>
        </w:rPr>
        <w:t xml:space="preserve"> </w:t>
      </w:r>
      <w:r w:rsidRPr="00B32CE4">
        <w:rPr>
          <w:color w:val="000000" w:themeColor="text1"/>
          <w:szCs w:val="20"/>
        </w:rPr>
        <w:t>from</w:t>
      </w:r>
      <w:r w:rsidR="00C64050" w:rsidRPr="00B32CE4">
        <w:rPr>
          <w:color w:val="000000" w:themeColor="text1"/>
          <w:szCs w:val="20"/>
        </w:rPr>
        <w:t xml:space="preserve"> </w:t>
      </w:r>
      <w:r w:rsidRPr="00B32CE4">
        <w:rPr>
          <w:color w:val="000000" w:themeColor="text1"/>
          <w:szCs w:val="20"/>
        </w:rPr>
        <w:t>its</w:t>
      </w:r>
      <w:r w:rsidR="00C64050" w:rsidRPr="00B32CE4">
        <w:rPr>
          <w:color w:val="000000" w:themeColor="text1"/>
          <w:szCs w:val="20"/>
        </w:rPr>
        <w:t xml:space="preserve"> </w:t>
      </w:r>
      <w:r w:rsidRPr="00B32CE4">
        <w:rPr>
          <w:color w:val="000000" w:themeColor="text1"/>
          <w:szCs w:val="20"/>
        </w:rPr>
        <w:t>later</w:t>
      </w:r>
      <w:r w:rsidR="00C64050" w:rsidRPr="00B32CE4">
        <w:rPr>
          <w:color w:val="000000" w:themeColor="text1"/>
          <w:szCs w:val="20"/>
        </w:rPr>
        <w:t xml:space="preserve"> </w:t>
      </w:r>
      <w:r w:rsidRPr="00B32CE4">
        <w:rPr>
          <w:color w:val="000000" w:themeColor="text1"/>
          <w:szCs w:val="20"/>
        </w:rPr>
        <w:t>sale</w:t>
      </w:r>
      <w:r w:rsidR="00C64050" w:rsidRPr="00B32CE4">
        <w:rPr>
          <w:color w:val="000000" w:themeColor="text1"/>
          <w:szCs w:val="20"/>
        </w:rPr>
        <w:t xml:space="preserve"> </w:t>
      </w:r>
      <w:r w:rsidRPr="00B32CE4">
        <w:rPr>
          <w:color w:val="000000" w:themeColor="text1"/>
          <w:szCs w:val="20"/>
        </w:rPr>
        <w:t>because</w:t>
      </w:r>
      <w:r w:rsidR="00C64050" w:rsidRPr="00B32CE4">
        <w:rPr>
          <w:color w:val="000000" w:themeColor="text1"/>
          <w:szCs w:val="20"/>
        </w:rPr>
        <w:t xml:space="preserve"> </w:t>
      </w:r>
      <w:r w:rsidRPr="00B32CE4">
        <w:rPr>
          <w:color w:val="000000" w:themeColor="text1"/>
          <w:szCs w:val="20"/>
        </w:rPr>
        <w:t>section</w:t>
      </w:r>
      <w:r w:rsidR="00C64050" w:rsidRPr="00B32CE4">
        <w:rPr>
          <w:color w:val="000000" w:themeColor="text1"/>
          <w:szCs w:val="20"/>
        </w:rPr>
        <w:t xml:space="preserve"> </w:t>
      </w:r>
      <w:r w:rsidRPr="00B32CE4">
        <w:rPr>
          <w:color w:val="000000" w:themeColor="text1"/>
          <w:szCs w:val="20"/>
        </w:rPr>
        <w:t>2033</w:t>
      </w:r>
      <w:r w:rsidR="00C64050" w:rsidRPr="00B32CE4">
        <w:rPr>
          <w:color w:val="000000" w:themeColor="text1"/>
          <w:szCs w:val="20"/>
        </w:rPr>
        <w:t xml:space="preserve"> </w:t>
      </w:r>
      <w:r w:rsidRPr="00B32CE4">
        <w:rPr>
          <w:color w:val="000000" w:themeColor="text1"/>
          <w:szCs w:val="20"/>
        </w:rPr>
        <w:t>includes</w:t>
      </w:r>
      <w:r w:rsidR="00C64050" w:rsidRPr="00B32CE4">
        <w:rPr>
          <w:color w:val="000000" w:themeColor="text1"/>
          <w:szCs w:val="20"/>
        </w:rPr>
        <w:t xml:space="preserve"> </w:t>
      </w:r>
      <w:r w:rsidRPr="00B32CE4">
        <w:rPr>
          <w:color w:val="000000" w:themeColor="text1"/>
          <w:szCs w:val="20"/>
        </w:rPr>
        <w:t>all</w:t>
      </w:r>
      <w:r w:rsidR="00C64050" w:rsidRPr="00B32CE4">
        <w:rPr>
          <w:color w:val="000000" w:themeColor="text1"/>
          <w:szCs w:val="20"/>
        </w:rPr>
        <w:t xml:space="preserve"> </w:t>
      </w:r>
      <w:r w:rsidRPr="00B32CE4">
        <w:rPr>
          <w:color w:val="000000" w:themeColor="text1"/>
          <w:szCs w:val="20"/>
        </w:rPr>
        <w:t>property</w:t>
      </w:r>
      <w:r w:rsidR="00C64050" w:rsidRPr="00B32CE4">
        <w:rPr>
          <w:color w:val="000000" w:themeColor="text1"/>
          <w:szCs w:val="20"/>
        </w:rPr>
        <w:t xml:space="preserve"> </w:t>
      </w:r>
      <w:r w:rsidRPr="00B32CE4">
        <w:rPr>
          <w:color w:val="000000" w:themeColor="text1"/>
          <w:szCs w:val="20"/>
        </w:rPr>
        <w:t>that</w:t>
      </w:r>
      <w:r w:rsidR="00C64050" w:rsidRPr="00B32CE4">
        <w:rPr>
          <w:color w:val="000000" w:themeColor="text1"/>
          <w:szCs w:val="20"/>
        </w:rPr>
        <w:t xml:space="preserve"> </w:t>
      </w:r>
      <w:r w:rsidRPr="00B32CE4">
        <w:rPr>
          <w:color w:val="000000" w:themeColor="text1"/>
          <w:szCs w:val="20"/>
        </w:rPr>
        <w:t>a</w:t>
      </w:r>
      <w:r w:rsidR="00C64050" w:rsidRPr="00B32CE4">
        <w:rPr>
          <w:color w:val="000000" w:themeColor="text1"/>
          <w:szCs w:val="20"/>
        </w:rPr>
        <w:t xml:space="preserve"> </w:t>
      </w:r>
      <w:r w:rsidRPr="00B32CE4">
        <w:rPr>
          <w:color w:val="000000" w:themeColor="text1"/>
          <w:szCs w:val="20"/>
        </w:rPr>
        <w:t>decedent</w:t>
      </w:r>
      <w:r w:rsidR="00C64050" w:rsidRPr="00B32CE4">
        <w:rPr>
          <w:color w:val="000000" w:themeColor="text1"/>
          <w:szCs w:val="20"/>
        </w:rPr>
        <w:t xml:space="preserve"> </w:t>
      </w:r>
      <w:r w:rsidRPr="00B32CE4">
        <w:rPr>
          <w:color w:val="000000" w:themeColor="text1"/>
          <w:szCs w:val="20"/>
        </w:rPr>
        <w:t>owns</w:t>
      </w:r>
      <w:r w:rsidR="00C64050" w:rsidRPr="00B32CE4">
        <w:rPr>
          <w:color w:val="000000" w:themeColor="text1"/>
          <w:szCs w:val="20"/>
        </w:rPr>
        <w:t xml:space="preserve"> </w:t>
      </w:r>
      <w:r w:rsidRPr="00B32CE4">
        <w:rPr>
          <w:color w:val="000000" w:themeColor="text1"/>
          <w:szCs w:val="20"/>
        </w:rPr>
        <w:t>in</w:t>
      </w:r>
      <w:r w:rsidR="00C64050" w:rsidRPr="00B32CE4">
        <w:rPr>
          <w:color w:val="000000" w:themeColor="text1"/>
          <w:szCs w:val="20"/>
        </w:rPr>
        <w:t xml:space="preserve"> </w:t>
      </w:r>
      <w:r w:rsidRPr="00B32CE4">
        <w:rPr>
          <w:color w:val="000000" w:themeColor="text1"/>
          <w:szCs w:val="20"/>
        </w:rPr>
        <w:t>his</w:t>
      </w:r>
      <w:r w:rsidR="00C64050" w:rsidRPr="00B32CE4">
        <w:rPr>
          <w:color w:val="000000" w:themeColor="text1"/>
          <w:szCs w:val="20"/>
        </w:rPr>
        <w:t xml:space="preserve"> </w:t>
      </w:r>
      <w:r w:rsidRPr="00B32CE4">
        <w:rPr>
          <w:color w:val="000000" w:themeColor="text1"/>
          <w:szCs w:val="20"/>
        </w:rPr>
        <w:t>gross</w:t>
      </w:r>
      <w:r w:rsidR="00C64050" w:rsidRPr="00B32CE4">
        <w:rPr>
          <w:color w:val="000000" w:themeColor="text1"/>
          <w:szCs w:val="20"/>
        </w:rPr>
        <w:t xml:space="preserve"> </w:t>
      </w:r>
      <w:r w:rsidRPr="00B32CE4">
        <w:rPr>
          <w:color w:val="000000" w:themeColor="text1"/>
          <w:szCs w:val="20"/>
        </w:rPr>
        <w:t>estate.</w:t>
      </w:r>
      <w:r w:rsidR="00C64050" w:rsidRPr="00B32CE4">
        <w:rPr>
          <w:color w:val="000000" w:themeColor="text1"/>
          <w:szCs w:val="20"/>
        </w:rPr>
        <w:t xml:space="preserve"> </w:t>
      </w:r>
      <w:r w:rsidRPr="00B32CE4">
        <w:rPr>
          <w:color w:val="000000" w:themeColor="text1"/>
          <w:szCs w:val="20"/>
        </w:rPr>
        <w:t>This</w:t>
      </w:r>
      <w:r w:rsidR="00C64050" w:rsidRPr="00B32CE4">
        <w:rPr>
          <w:color w:val="000000" w:themeColor="text1"/>
          <w:szCs w:val="20"/>
        </w:rPr>
        <w:t xml:space="preserve"> </w:t>
      </w:r>
      <w:r w:rsidRPr="00B32CE4">
        <w:rPr>
          <w:color w:val="000000" w:themeColor="text1"/>
          <w:szCs w:val="20"/>
        </w:rPr>
        <w:t>also</w:t>
      </w:r>
      <w:r w:rsidR="00C64050" w:rsidRPr="00B32CE4">
        <w:rPr>
          <w:color w:val="000000" w:themeColor="text1"/>
          <w:szCs w:val="20"/>
        </w:rPr>
        <w:t xml:space="preserve"> </w:t>
      </w:r>
      <w:r w:rsidRPr="00B32CE4">
        <w:rPr>
          <w:color w:val="000000" w:themeColor="text1"/>
          <w:szCs w:val="20"/>
        </w:rPr>
        <w:t>means</w:t>
      </w:r>
      <w:r w:rsidR="00C64050" w:rsidRPr="00B32CE4">
        <w:rPr>
          <w:color w:val="000000" w:themeColor="text1"/>
          <w:szCs w:val="20"/>
        </w:rPr>
        <w:t xml:space="preserve"> </w:t>
      </w:r>
      <w:r w:rsidRPr="00B32CE4">
        <w:rPr>
          <w:color w:val="000000" w:themeColor="text1"/>
          <w:szCs w:val="20"/>
        </w:rPr>
        <w:t>that</w:t>
      </w:r>
      <w:r w:rsidR="00C64050" w:rsidRPr="00B32CE4">
        <w:rPr>
          <w:color w:val="000000" w:themeColor="text1"/>
          <w:szCs w:val="20"/>
        </w:rPr>
        <w:t xml:space="preserve"> </w:t>
      </w:r>
      <w:r w:rsidRPr="00B32CE4">
        <w:rPr>
          <w:color w:val="000000" w:themeColor="text1"/>
          <w:szCs w:val="20"/>
        </w:rPr>
        <w:t>any</w:t>
      </w:r>
      <w:r w:rsidR="00C64050" w:rsidRPr="00B32CE4">
        <w:rPr>
          <w:color w:val="000000" w:themeColor="text1"/>
          <w:szCs w:val="20"/>
        </w:rPr>
        <w:t xml:space="preserve"> </w:t>
      </w:r>
      <w:r w:rsidRPr="00B32CE4">
        <w:rPr>
          <w:color w:val="000000" w:themeColor="text1"/>
          <w:szCs w:val="20"/>
        </w:rPr>
        <w:t>property</w:t>
      </w:r>
      <w:r w:rsidR="00C64050" w:rsidRPr="00B32CE4">
        <w:rPr>
          <w:color w:val="000000" w:themeColor="text1"/>
          <w:szCs w:val="20"/>
        </w:rPr>
        <w:t xml:space="preserve"> </w:t>
      </w:r>
      <w:r w:rsidRPr="00B32CE4">
        <w:rPr>
          <w:color w:val="000000" w:themeColor="text1"/>
          <w:szCs w:val="20"/>
        </w:rPr>
        <w:t>that</w:t>
      </w:r>
      <w:r w:rsidR="00C64050" w:rsidRPr="00B32CE4">
        <w:rPr>
          <w:color w:val="000000" w:themeColor="text1"/>
          <w:szCs w:val="20"/>
        </w:rPr>
        <w:t xml:space="preserve"> </w:t>
      </w:r>
      <w:r w:rsidRPr="00B32CE4">
        <w:rPr>
          <w:color w:val="000000" w:themeColor="text1"/>
          <w:szCs w:val="20"/>
        </w:rPr>
        <w:t>leaves</w:t>
      </w:r>
      <w:r w:rsidR="00C64050" w:rsidRPr="00B32CE4">
        <w:rPr>
          <w:color w:val="000000" w:themeColor="text1"/>
          <w:szCs w:val="20"/>
        </w:rPr>
        <w:t xml:space="preserve"> </w:t>
      </w:r>
      <w:r w:rsidRPr="00B32CE4">
        <w:rPr>
          <w:color w:val="000000" w:themeColor="text1"/>
          <w:szCs w:val="20"/>
        </w:rPr>
        <w:t>an</w:t>
      </w:r>
      <w:r w:rsidR="00C64050" w:rsidRPr="00B32CE4">
        <w:rPr>
          <w:color w:val="000000" w:themeColor="text1"/>
          <w:szCs w:val="20"/>
        </w:rPr>
        <w:t xml:space="preserve"> </w:t>
      </w:r>
      <w:r w:rsidRPr="00B32CE4">
        <w:rPr>
          <w:color w:val="000000" w:themeColor="text1"/>
          <w:szCs w:val="20"/>
        </w:rPr>
        <w:t>estate</w:t>
      </w:r>
      <w:r w:rsidR="00C64050" w:rsidRPr="00B32CE4">
        <w:rPr>
          <w:color w:val="000000" w:themeColor="text1"/>
          <w:szCs w:val="20"/>
        </w:rPr>
        <w:t xml:space="preserve"> </w:t>
      </w:r>
      <w:r w:rsidRPr="00B32CE4">
        <w:rPr>
          <w:color w:val="000000" w:themeColor="text1"/>
          <w:szCs w:val="20"/>
        </w:rPr>
        <w:t>after</w:t>
      </w:r>
      <w:r w:rsidR="00C64050" w:rsidRPr="00B32CE4">
        <w:rPr>
          <w:color w:val="000000" w:themeColor="text1"/>
          <w:szCs w:val="20"/>
        </w:rPr>
        <w:t xml:space="preserve"> </w:t>
      </w:r>
      <w:r w:rsidRPr="00B32CE4">
        <w:rPr>
          <w:color w:val="000000" w:themeColor="text1"/>
          <w:szCs w:val="20"/>
        </w:rPr>
        <w:t>a</w:t>
      </w:r>
      <w:r w:rsidR="00C64050" w:rsidRPr="00B32CE4">
        <w:rPr>
          <w:color w:val="000000" w:themeColor="text1"/>
          <w:szCs w:val="20"/>
        </w:rPr>
        <w:t xml:space="preserve"> </w:t>
      </w:r>
      <w:r w:rsidRPr="00B32CE4">
        <w:rPr>
          <w:color w:val="000000" w:themeColor="text1"/>
          <w:szCs w:val="20"/>
        </w:rPr>
        <w:t>transfer</w:t>
      </w:r>
      <w:r w:rsidR="00C64050" w:rsidRPr="00B32CE4">
        <w:rPr>
          <w:color w:val="000000" w:themeColor="text1"/>
          <w:szCs w:val="20"/>
        </w:rPr>
        <w:t xml:space="preserve"> </w:t>
      </w:r>
      <w:r w:rsidRPr="00B32CE4">
        <w:rPr>
          <w:color w:val="000000" w:themeColor="text1"/>
          <w:szCs w:val="20"/>
        </w:rPr>
        <w:t>governed</w:t>
      </w:r>
      <w:r w:rsidR="00C64050" w:rsidRPr="00B32CE4">
        <w:rPr>
          <w:color w:val="000000" w:themeColor="text1"/>
          <w:szCs w:val="20"/>
        </w:rPr>
        <w:t xml:space="preserve"> </w:t>
      </w:r>
      <w:r w:rsidRPr="00B32CE4">
        <w:rPr>
          <w:color w:val="000000" w:themeColor="text1"/>
          <w:szCs w:val="20"/>
        </w:rPr>
        <w:t>by</w:t>
      </w:r>
      <w:r w:rsidR="00C64050" w:rsidRPr="00B32CE4">
        <w:rPr>
          <w:color w:val="000000" w:themeColor="text1"/>
          <w:szCs w:val="20"/>
        </w:rPr>
        <w:t xml:space="preserve"> </w:t>
      </w:r>
      <w:r w:rsidRPr="00B32CE4">
        <w:rPr>
          <w:color w:val="000000" w:themeColor="text1"/>
          <w:szCs w:val="20"/>
        </w:rPr>
        <w:t>section</w:t>
      </w:r>
      <w:r w:rsidR="00C64050" w:rsidRPr="00B32CE4">
        <w:rPr>
          <w:color w:val="000000" w:themeColor="text1"/>
          <w:szCs w:val="20"/>
        </w:rPr>
        <w:t xml:space="preserve"> </w:t>
      </w:r>
      <w:r w:rsidRPr="00B32CE4">
        <w:rPr>
          <w:color w:val="000000" w:themeColor="text1"/>
          <w:szCs w:val="20"/>
        </w:rPr>
        <w:t>2036</w:t>
      </w:r>
      <w:r w:rsidR="00C64050" w:rsidRPr="00B32CE4">
        <w:rPr>
          <w:color w:val="000000" w:themeColor="text1"/>
          <w:szCs w:val="20"/>
        </w:rPr>
        <w:t xml:space="preserve"> </w:t>
      </w:r>
      <w:r w:rsidRPr="00B32CE4">
        <w:rPr>
          <w:color w:val="000000" w:themeColor="text1"/>
          <w:szCs w:val="20"/>
        </w:rPr>
        <w:t>but</w:t>
      </w:r>
      <w:r w:rsidR="00C64050" w:rsidRPr="00B32CE4">
        <w:rPr>
          <w:color w:val="000000" w:themeColor="text1"/>
          <w:szCs w:val="20"/>
        </w:rPr>
        <w:t xml:space="preserve"> </w:t>
      </w:r>
      <w:r w:rsidRPr="00B32CE4">
        <w:rPr>
          <w:color w:val="000000" w:themeColor="text1"/>
          <w:szCs w:val="20"/>
        </w:rPr>
        <w:t>before</w:t>
      </w:r>
      <w:r w:rsidR="00C64050" w:rsidRPr="00B32CE4">
        <w:rPr>
          <w:color w:val="000000" w:themeColor="text1"/>
          <w:szCs w:val="20"/>
        </w:rPr>
        <w:t xml:space="preserve"> </w:t>
      </w:r>
      <w:r w:rsidRPr="00B32CE4">
        <w:rPr>
          <w:color w:val="000000" w:themeColor="text1"/>
          <w:szCs w:val="20"/>
        </w:rPr>
        <w:t>a</w:t>
      </w:r>
      <w:r w:rsidR="00C64050" w:rsidRPr="00B32CE4">
        <w:rPr>
          <w:color w:val="000000" w:themeColor="text1"/>
          <w:szCs w:val="20"/>
        </w:rPr>
        <w:t xml:space="preserve"> </w:t>
      </w:r>
      <w:r w:rsidRPr="00B32CE4">
        <w:rPr>
          <w:color w:val="000000" w:themeColor="text1"/>
          <w:szCs w:val="20"/>
        </w:rPr>
        <w:t>decedent’s</w:t>
      </w:r>
      <w:r w:rsidR="00C64050" w:rsidRPr="00B32CE4">
        <w:rPr>
          <w:color w:val="000000" w:themeColor="text1"/>
          <w:szCs w:val="20"/>
        </w:rPr>
        <w:t xml:space="preserve"> </w:t>
      </w:r>
      <w:r w:rsidRPr="00B32CE4">
        <w:rPr>
          <w:color w:val="000000" w:themeColor="text1"/>
          <w:szCs w:val="20"/>
        </w:rPr>
        <w:t>death</w:t>
      </w:r>
      <w:r w:rsidR="00C64050" w:rsidRPr="00B32CE4">
        <w:rPr>
          <w:color w:val="000000" w:themeColor="text1"/>
          <w:szCs w:val="20"/>
        </w:rPr>
        <w:t xml:space="preserve"> </w:t>
      </w:r>
      <w:r w:rsidRPr="00B32CE4">
        <w:rPr>
          <w:color w:val="000000" w:themeColor="text1"/>
          <w:szCs w:val="20"/>
        </w:rPr>
        <w:t>is</w:t>
      </w:r>
      <w:r w:rsidR="00C64050" w:rsidRPr="00B32CE4">
        <w:rPr>
          <w:color w:val="000000" w:themeColor="text1"/>
          <w:szCs w:val="20"/>
        </w:rPr>
        <w:t xml:space="preserve"> </w:t>
      </w:r>
      <w:r w:rsidRPr="00B32CE4">
        <w:rPr>
          <w:rStyle w:val="Emphasis"/>
          <w:color w:val="000000" w:themeColor="text1"/>
          <w:szCs w:val="20"/>
        </w:rPr>
        <w:t>not</w:t>
      </w:r>
      <w:r w:rsidR="00C64050" w:rsidRPr="00B32CE4">
        <w:rPr>
          <w:color w:val="000000" w:themeColor="text1"/>
          <w:szCs w:val="20"/>
        </w:rPr>
        <w:t xml:space="preserve"> </w:t>
      </w:r>
      <w:r w:rsidRPr="00B32CE4">
        <w:rPr>
          <w:color w:val="000000" w:themeColor="text1"/>
          <w:szCs w:val="20"/>
        </w:rPr>
        <w:t>generally</w:t>
      </w:r>
      <w:r w:rsidR="00C64050" w:rsidRPr="00B32CE4">
        <w:rPr>
          <w:color w:val="000000" w:themeColor="text1"/>
          <w:szCs w:val="20"/>
        </w:rPr>
        <w:t xml:space="preserve"> </w:t>
      </w:r>
      <w:r w:rsidRPr="00B32CE4">
        <w:rPr>
          <w:color w:val="000000" w:themeColor="text1"/>
          <w:szCs w:val="20"/>
        </w:rPr>
        <w:t>included</w:t>
      </w:r>
      <w:r w:rsidR="00C64050" w:rsidRPr="00B32CE4">
        <w:rPr>
          <w:color w:val="000000" w:themeColor="text1"/>
          <w:szCs w:val="20"/>
        </w:rPr>
        <w:t xml:space="preserve"> </w:t>
      </w:r>
      <w:r w:rsidRPr="00B32CE4">
        <w:rPr>
          <w:color w:val="000000" w:themeColor="text1"/>
          <w:szCs w:val="20"/>
        </w:rPr>
        <w:t>in</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gross</w:t>
      </w:r>
      <w:r w:rsidR="00C64050" w:rsidRPr="00B32CE4">
        <w:rPr>
          <w:color w:val="000000" w:themeColor="text1"/>
          <w:szCs w:val="20"/>
        </w:rPr>
        <w:t xml:space="preserve"> </w:t>
      </w:r>
      <w:r w:rsidRPr="00B32CE4">
        <w:rPr>
          <w:color w:val="000000" w:themeColor="text1"/>
          <w:szCs w:val="20"/>
        </w:rPr>
        <w:t>estate.</w:t>
      </w:r>
    </w:p>
    <w:p w:rsidR="00D66AAD" w:rsidRPr="00B32CE4" w:rsidRDefault="00D66AAD" w:rsidP="00D66AAD">
      <w:pPr>
        <w:pStyle w:val="QS10"/>
        <w:rPr>
          <w:color w:val="000000" w:themeColor="text1"/>
          <w:szCs w:val="20"/>
        </w:rPr>
      </w:pPr>
      <w:r w:rsidRPr="00B32CE4">
        <w:rPr>
          <w:color w:val="000000" w:themeColor="text1"/>
          <w:szCs w:val="20"/>
        </w:rPr>
        <w:t>ii.</w:t>
      </w:r>
      <w:r w:rsidR="00C64050" w:rsidRPr="00B32CE4">
        <w:rPr>
          <w:color w:val="000000" w:themeColor="text1"/>
          <w:szCs w:val="20"/>
        </w:rPr>
        <w:t xml:space="preserve"> </w:t>
      </w:r>
      <w:r w:rsidRPr="00B32CE4">
        <w:rPr>
          <w:color w:val="000000" w:themeColor="text1"/>
          <w:szCs w:val="20"/>
          <w:u w:val="single"/>
        </w:rPr>
        <w:t>Application</w:t>
      </w:r>
      <w:r w:rsidR="00C64050" w:rsidRPr="00B32CE4">
        <w:rPr>
          <w:color w:val="000000" w:themeColor="text1"/>
          <w:szCs w:val="20"/>
          <w:u w:val="single"/>
        </w:rPr>
        <w:t xml:space="preserve"> </w:t>
      </w:r>
      <w:r w:rsidRPr="00B32CE4">
        <w:rPr>
          <w:color w:val="000000" w:themeColor="text1"/>
          <w:szCs w:val="20"/>
          <w:u w:val="single"/>
        </w:rPr>
        <w:t>of</w:t>
      </w:r>
      <w:r w:rsidR="00C64050" w:rsidRPr="00B32CE4">
        <w:rPr>
          <w:color w:val="000000" w:themeColor="text1"/>
          <w:szCs w:val="20"/>
          <w:u w:val="single"/>
        </w:rPr>
        <w:t xml:space="preserve"> </w:t>
      </w:r>
      <w:r w:rsidRPr="00B32CE4">
        <w:rPr>
          <w:color w:val="000000" w:themeColor="text1"/>
          <w:szCs w:val="20"/>
          <w:u w:val="single"/>
        </w:rPr>
        <w:t>Section</w:t>
      </w:r>
      <w:r w:rsidR="00C64050" w:rsidRPr="00B32CE4">
        <w:rPr>
          <w:color w:val="000000" w:themeColor="text1"/>
          <w:szCs w:val="20"/>
          <w:u w:val="single"/>
        </w:rPr>
        <w:t xml:space="preserve"> </w:t>
      </w:r>
      <w:r w:rsidRPr="00B32CE4">
        <w:rPr>
          <w:color w:val="000000" w:themeColor="text1"/>
          <w:szCs w:val="20"/>
          <w:u w:val="single"/>
        </w:rPr>
        <w:t>2043(a)</w:t>
      </w:r>
    </w:p>
    <w:p w:rsidR="00D66AAD" w:rsidRPr="00B32CE4" w:rsidRDefault="00D66AAD" w:rsidP="00D66AAD">
      <w:pPr>
        <w:pStyle w:val="QS10"/>
        <w:rPr>
          <w:color w:val="000000" w:themeColor="text1"/>
          <w:szCs w:val="20"/>
        </w:rPr>
      </w:pPr>
      <w:r w:rsidRPr="00B32CE4">
        <w:rPr>
          <w:color w:val="000000" w:themeColor="text1"/>
          <w:szCs w:val="20"/>
        </w:rPr>
        <w:t>We</w:t>
      </w:r>
      <w:r w:rsidR="00C64050" w:rsidRPr="00B32CE4">
        <w:rPr>
          <w:color w:val="000000" w:themeColor="text1"/>
          <w:szCs w:val="20"/>
        </w:rPr>
        <w:t xml:space="preserve"> </w:t>
      </w:r>
      <w:r w:rsidRPr="00B32CE4">
        <w:rPr>
          <w:color w:val="000000" w:themeColor="text1"/>
          <w:szCs w:val="20"/>
        </w:rPr>
        <w:t>can</w:t>
      </w:r>
      <w:r w:rsidR="00C64050" w:rsidRPr="00B32CE4">
        <w:rPr>
          <w:color w:val="000000" w:themeColor="text1"/>
          <w:szCs w:val="20"/>
        </w:rPr>
        <w:t xml:space="preserve"> </w:t>
      </w:r>
      <w:r w:rsidRPr="00B32CE4">
        <w:rPr>
          <w:color w:val="000000" w:themeColor="text1"/>
          <w:szCs w:val="20"/>
        </w:rPr>
        <w:t>now</w:t>
      </w:r>
      <w:r w:rsidR="00C64050" w:rsidRPr="00B32CE4">
        <w:rPr>
          <w:color w:val="000000" w:themeColor="text1"/>
          <w:szCs w:val="20"/>
        </w:rPr>
        <w:t xml:space="preserve"> </w:t>
      </w:r>
      <w:r w:rsidRPr="00B32CE4">
        <w:rPr>
          <w:color w:val="000000" w:themeColor="text1"/>
          <w:szCs w:val="20"/>
        </w:rPr>
        <w:t>begin</w:t>
      </w:r>
      <w:r w:rsidR="00C64050" w:rsidRPr="00B32CE4">
        <w:rPr>
          <w:color w:val="000000" w:themeColor="text1"/>
          <w:szCs w:val="20"/>
        </w:rPr>
        <w:t xml:space="preserve"> </w:t>
      </w:r>
      <w:r w:rsidRPr="00B32CE4">
        <w:rPr>
          <w:color w:val="000000" w:themeColor="text1"/>
          <w:szCs w:val="20"/>
        </w:rPr>
        <w:t>to</w:t>
      </w:r>
      <w:r w:rsidR="00C64050" w:rsidRPr="00B32CE4">
        <w:rPr>
          <w:color w:val="000000" w:themeColor="text1"/>
          <w:szCs w:val="20"/>
        </w:rPr>
        <w:t xml:space="preserve"> </w:t>
      </w:r>
      <w:r w:rsidRPr="00B32CE4">
        <w:rPr>
          <w:color w:val="000000" w:themeColor="text1"/>
          <w:szCs w:val="20"/>
        </w:rPr>
        <w:t>customize</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equation</w:t>
      </w:r>
      <w:r w:rsidR="00C64050" w:rsidRPr="00B32CE4">
        <w:rPr>
          <w:color w:val="000000" w:themeColor="text1"/>
          <w:szCs w:val="20"/>
        </w:rPr>
        <w:t xml:space="preserve"> </w:t>
      </w:r>
      <w:r w:rsidRPr="00B32CE4">
        <w:rPr>
          <w:color w:val="000000" w:themeColor="text1"/>
          <w:szCs w:val="20"/>
        </w:rPr>
        <w:t>to</w:t>
      </w:r>
      <w:r w:rsidR="00C64050" w:rsidRPr="00B32CE4">
        <w:rPr>
          <w:color w:val="000000" w:themeColor="text1"/>
          <w:szCs w:val="20"/>
        </w:rPr>
        <w:t xml:space="preserve"> </w:t>
      </w:r>
      <w:r w:rsidRPr="00B32CE4">
        <w:rPr>
          <w:color w:val="000000" w:themeColor="text1"/>
          <w:szCs w:val="20"/>
        </w:rPr>
        <w:t>fit</w:t>
      </w:r>
      <w:r w:rsidR="00C64050" w:rsidRPr="00B32CE4">
        <w:rPr>
          <w:color w:val="000000" w:themeColor="text1"/>
          <w:szCs w:val="20"/>
        </w:rPr>
        <w:t xml:space="preserve"> </w:t>
      </w:r>
      <w:r w:rsidRPr="00B32CE4">
        <w:rPr>
          <w:color w:val="000000" w:themeColor="text1"/>
          <w:szCs w:val="20"/>
        </w:rPr>
        <w:t>these</w:t>
      </w:r>
      <w:r w:rsidR="00C64050" w:rsidRPr="00B32CE4">
        <w:rPr>
          <w:color w:val="000000" w:themeColor="text1"/>
          <w:szCs w:val="20"/>
        </w:rPr>
        <w:t xml:space="preserve"> </w:t>
      </w:r>
      <w:r w:rsidRPr="00B32CE4">
        <w:rPr>
          <w:color w:val="000000" w:themeColor="text1"/>
          <w:szCs w:val="20"/>
        </w:rPr>
        <w:t>cases.</w:t>
      </w:r>
      <w:r w:rsidR="00C64050" w:rsidRPr="00B32CE4">
        <w:rPr>
          <w:color w:val="000000" w:themeColor="text1"/>
          <w:szCs w:val="20"/>
        </w:rPr>
        <w:t xml:space="preserve"> </w:t>
      </w:r>
      <w:r w:rsidRPr="00B32CE4">
        <w:rPr>
          <w:color w:val="000000" w:themeColor="text1"/>
          <w:szCs w:val="20"/>
        </w:rPr>
        <w:t>(We’ll</w:t>
      </w:r>
      <w:r w:rsidR="00C64050" w:rsidRPr="00B32CE4">
        <w:rPr>
          <w:color w:val="000000" w:themeColor="text1"/>
          <w:szCs w:val="20"/>
        </w:rPr>
        <w:t xml:space="preserve"> </w:t>
      </w:r>
      <w:r w:rsidRPr="00B32CE4">
        <w:rPr>
          <w:color w:val="000000" w:themeColor="text1"/>
          <w:szCs w:val="20"/>
        </w:rPr>
        <w:t>do</w:t>
      </w:r>
      <w:r w:rsidR="00C64050" w:rsidRPr="00B32CE4">
        <w:rPr>
          <w:color w:val="000000" w:themeColor="text1"/>
          <w:szCs w:val="20"/>
        </w:rPr>
        <w:t xml:space="preserve"> </w:t>
      </w:r>
      <w:r w:rsidRPr="00B32CE4">
        <w:rPr>
          <w:color w:val="000000" w:themeColor="text1"/>
          <w:szCs w:val="20"/>
        </w:rPr>
        <w:t>this</w:t>
      </w:r>
      <w:r w:rsidR="00C64050" w:rsidRPr="00B32CE4">
        <w:rPr>
          <w:color w:val="000000" w:themeColor="text1"/>
          <w:szCs w:val="20"/>
        </w:rPr>
        <w:t xml:space="preserve"> </w:t>
      </w:r>
      <w:r w:rsidRPr="00B32CE4">
        <w:rPr>
          <w:color w:val="000000" w:themeColor="text1"/>
          <w:szCs w:val="20"/>
        </w:rPr>
        <w:t>with</w:t>
      </w:r>
      <w:r w:rsidR="00C64050" w:rsidRPr="00B32CE4">
        <w:rPr>
          <w:color w:val="000000" w:themeColor="text1"/>
          <w:szCs w:val="20"/>
        </w:rPr>
        <w:t xml:space="preserve"> </w:t>
      </w:r>
      <w:r w:rsidRPr="00B32CE4">
        <w:rPr>
          <w:color w:val="000000" w:themeColor="text1"/>
          <w:szCs w:val="20"/>
        </w:rPr>
        <w:t>verbal</w:t>
      </w:r>
      <w:r w:rsidR="00C64050" w:rsidRPr="00B32CE4">
        <w:rPr>
          <w:color w:val="000000" w:themeColor="text1"/>
          <w:szCs w:val="20"/>
        </w:rPr>
        <w:t xml:space="preserve"> </w:t>
      </w:r>
      <w:r w:rsidRPr="00B32CE4">
        <w:rPr>
          <w:color w:val="000000" w:themeColor="text1"/>
          <w:szCs w:val="20"/>
        </w:rPr>
        <w:t>descriptions</w:t>
      </w:r>
      <w:r w:rsidR="00C64050" w:rsidRPr="00B32CE4">
        <w:rPr>
          <w:color w:val="000000" w:themeColor="text1"/>
          <w:szCs w:val="20"/>
        </w:rPr>
        <w:t xml:space="preserve"> </w:t>
      </w:r>
      <w:r w:rsidRPr="00B32CE4">
        <w:rPr>
          <w:color w:val="000000" w:themeColor="text1"/>
          <w:szCs w:val="20"/>
        </w:rPr>
        <w:t>and</w:t>
      </w:r>
      <w:r w:rsidR="00C64050" w:rsidRPr="00B32CE4">
        <w:rPr>
          <w:color w:val="000000" w:themeColor="text1"/>
          <w:szCs w:val="20"/>
        </w:rPr>
        <w:t xml:space="preserve"> </w:t>
      </w:r>
      <w:r w:rsidRPr="00B32CE4">
        <w:rPr>
          <w:color w:val="000000" w:themeColor="text1"/>
          <w:szCs w:val="20"/>
        </w:rPr>
        <w:t>leave</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actual</w:t>
      </w:r>
      <w:r w:rsidR="00C64050" w:rsidRPr="00B32CE4">
        <w:rPr>
          <w:color w:val="000000" w:themeColor="text1"/>
          <w:szCs w:val="20"/>
        </w:rPr>
        <w:t xml:space="preserve"> </w:t>
      </w:r>
      <w:r w:rsidRPr="00B32CE4">
        <w:rPr>
          <w:color w:val="000000" w:themeColor="text1"/>
          <w:szCs w:val="20"/>
        </w:rPr>
        <w:t>math</w:t>
      </w:r>
      <w:r w:rsidR="00C64050" w:rsidRPr="00B32CE4">
        <w:rPr>
          <w:color w:val="000000" w:themeColor="text1"/>
          <w:szCs w:val="20"/>
        </w:rPr>
        <w:t xml:space="preserve"> </w:t>
      </w:r>
      <w:r w:rsidRPr="00B32CE4">
        <w:rPr>
          <w:color w:val="000000" w:themeColor="text1"/>
          <w:szCs w:val="20"/>
        </w:rPr>
        <w:t>to</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parties</w:t>
      </w:r>
      <w:r w:rsidR="00C64050" w:rsidRPr="00B32CE4">
        <w:rPr>
          <w:color w:val="000000" w:themeColor="text1"/>
          <w:szCs w:val="20"/>
        </w:rPr>
        <w:t xml:space="preserve"> </w:t>
      </w:r>
      <w:r w:rsidRPr="00B32CE4">
        <w:rPr>
          <w:color w:val="000000" w:themeColor="text1"/>
          <w:szCs w:val="20"/>
        </w:rPr>
        <w:t>under</w:t>
      </w:r>
      <w:r w:rsidR="00C64050" w:rsidRPr="00B32CE4">
        <w:rPr>
          <w:color w:val="000000" w:themeColor="text1"/>
          <w:szCs w:val="20"/>
        </w:rPr>
        <w:t xml:space="preserve"> </w:t>
      </w:r>
      <w:r w:rsidRPr="00B32CE4">
        <w:rPr>
          <w:color w:val="000000" w:themeColor="text1"/>
          <w:szCs w:val="20"/>
        </w:rPr>
        <w:t>Rule</w:t>
      </w:r>
      <w:r w:rsidR="00C64050" w:rsidRPr="00B32CE4">
        <w:rPr>
          <w:color w:val="000000" w:themeColor="text1"/>
          <w:szCs w:val="20"/>
        </w:rPr>
        <w:t xml:space="preserve"> </w:t>
      </w:r>
      <w:r w:rsidRPr="00B32CE4">
        <w:rPr>
          <w:color w:val="000000" w:themeColor="text1"/>
          <w:szCs w:val="20"/>
        </w:rPr>
        <w:t>155.)</w:t>
      </w:r>
    </w:p>
    <w:p w:rsidR="00D66AAD" w:rsidRPr="00B32CE4" w:rsidRDefault="00D66AAD" w:rsidP="00D66AAD">
      <w:pPr>
        <w:pStyle w:val="QS10"/>
        <w:rPr>
          <w:color w:val="000000" w:themeColor="text1"/>
          <w:szCs w:val="20"/>
        </w:rPr>
      </w:pPr>
      <w:r w:rsidRPr="00B32CE4">
        <w:rPr>
          <w:rStyle w:val="Emphasis"/>
          <w:color w:val="000000" w:themeColor="text1"/>
          <w:szCs w:val="20"/>
        </w:rPr>
        <w:t>FMV</w:t>
      </w:r>
      <w:r w:rsidRPr="00B32CE4">
        <w:rPr>
          <w:rStyle w:val="Emphasis"/>
          <w:color w:val="000000" w:themeColor="text1"/>
          <w:szCs w:val="20"/>
          <w:vertAlign w:val="subscript"/>
        </w:rPr>
        <w:t>d</w:t>
      </w:r>
      <w:r w:rsidRPr="00B32CE4">
        <w:rPr>
          <w:color w:val="000000" w:themeColor="text1"/>
          <w:szCs w:val="20"/>
        </w:rPr>
        <w:t>.</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fair</w:t>
      </w:r>
      <w:r w:rsidR="00C64050" w:rsidRPr="00B32CE4">
        <w:rPr>
          <w:color w:val="000000" w:themeColor="text1"/>
          <w:szCs w:val="20"/>
        </w:rPr>
        <w:t xml:space="preserve"> </w:t>
      </w:r>
      <w:r w:rsidRPr="00B32CE4">
        <w:rPr>
          <w:color w:val="000000" w:themeColor="text1"/>
          <w:szCs w:val="20"/>
        </w:rPr>
        <w:t>market</w:t>
      </w:r>
      <w:r w:rsidR="00C64050" w:rsidRPr="00B32CE4">
        <w:rPr>
          <w:color w:val="000000" w:themeColor="text1"/>
          <w:szCs w:val="20"/>
        </w:rPr>
        <w:t xml:space="preserve"> </w:t>
      </w:r>
      <w:r w:rsidRPr="00B32CE4">
        <w:rPr>
          <w:color w:val="000000" w:themeColor="text1"/>
          <w:szCs w:val="20"/>
        </w:rPr>
        <w:t>value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farm</w:t>
      </w:r>
      <w:r w:rsidR="00C64050" w:rsidRPr="00B32CE4">
        <w:rPr>
          <w:color w:val="000000" w:themeColor="text1"/>
          <w:szCs w:val="20"/>
        </w:rPr>
        <w:t xml:space="preserve"> </w:t>
      </w:r>
      <w:r w:rsidRPr="00B32CE4">
        <w:rPr>
          <w:color w:val="000000" w:themeColor="text1"/>
          <w:szCs w:val="20"/>
        </w:rPr>
        <w:t>was</w:t>
      </w:r>
      <w:r w:rsidR="00C64050" w:rsidRPr="00B32CE4">
        <w:rPr>
          <w:color w:val="000000" w:themeColor="text1"/>
          <w:szCs w:val="20"/>
        </w:rPr>
        <w:t xml:space="preserve"> </w:t>
      </w:r>
      <w:r w:rsidRPr="00B32CE4">
        <w:rPr>
          <w:color w:val="000000" w:themeColor="text1"/>
          <w:szCs w:val="20"/>
        </w:rPr>
        <w:t>established</w:t>
      </w:r>
      <w:r w:rsidR="00C64050" w:rsidRPr="00B32CE4">
        <w:rPr>
          <w:color w:val="000000" w:themeColor="text1"/>
          <w:szCs w:val="20"/>
        </w:rPr>
        <w:t xml:space="preserve"> </w:t>
      </w:r>
      <w:r w:rsidRPr="00B32CE4">
        <w:rPr>
          <w:color w:val="000000" w:themeColor="text1"/>
          <w:szCs w:val="20"/>
        </w:rPr>
        <w:t>by</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sale</w:t>
      </w:r>
      <w:r w:rsidR="00C64050" w:rsidRPr="00B32CE4">
        <w:rPr>
          <w:color w:val="000000" w:themeColor="text1"/>
          <w:szCs w:val="20"/>
        </w:rPr>
        <w:t xml:space="preserve"> </w:t>
      </w:r>
      <w:r w:rsidRPr="00B32CE4">
        <w:rPr>
          <w:color w:val="000000" w:themeColor="text1"/>
          <w:szCs w:val="20"/>
        </w:rPr>
        <w:t>to</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Mellons.</w:t>
      </w:r>
      <w:r w:rsidR="00C64050" w:rsidRPr="00B32CE4">
        <w:rPr>
          <w:color w:val="000000" w:themeColor="text1"/>
          <w:szCs w:val="20"/>
        </w:rPr>
        <w:t xml:space="preserve"> </w:t>
      </w:r>
      <w:r w:rsidRPr="00B32CE4">
        <w:rPr>
          <w:color w:val="000000" w:themeColor="text1"/>
          <w:szCs w:val="20"/>
        </w:rPr>
        <w:t>This</w:t>
      </w:r>
      <w:r w:rsidR="00C64050" w:rsidRPr="00B32CE4">
        <w:rPr>
          <w:color w:val="000000" w:themeColor="text1"/>
          <w:szCs w:val="20"/>
        </w:rPr>
        <w:t xml:space="preserve"> </w:t>
      </w:r>
      <w:r w:rsidRPr="00B32CE4">
        <w:rPr>
          <w:color w:val="000000" w:themeColor="text1"/>
          <w:szCs w:val="20"/>
        </w:rPr>
        <w:t>was</w:t>
      </w:r>
      <w:r w:rsidR="00C64050" w:rsidRPr="00B32CE4">
        <w:rPr>
          <w:color w:val="000000" w:themeColor="text1"/>
          <w:szCs w:val="20"/>
        </w:rPr>
        <w:t xml:space="preserve"> </w:t>
      </w:r>
      <w:r w:rsidRPr="00B32CE4">
        <w:rPr>
          <w:color w:val="000000" w:themeColor="text1"/>
          <w:szCs w:val="20"/>
        </w:rPr>
        <w:t>an</w:t>
      </w:r>
      <w:r w:rsidR="00C64050" w:rsidRPr="00B32CE4">
        <w:rPr>
          <w:color w:val="000000" w:themeColor="text1"/>
          <w:szCs w:val="20"/>
        </w:rPr>
        <w:t xml:space="preserve"> </w:t>
      </w:r>
      <w:r w:rsidRPr="00B32CE4">
        <w:rPr>
          <w:color w:val="000000" w:themeColor="text1"/>
          <w:szCs w:val="20"/>
        </w:rPr>
        <w:t>arms-length</w:t>
      </w:r>
      <w:r w:rsidR="00C64050" w:rsidRPr="00B32CE4">
        <w:rPr>
          <w:color w:val="000000" w:themeColor="text1"/>
          <w:szCs w:val="20"/>
        </w:rPr>
        <w:t xml:space="preserve"> </w:t>
      </w:r>
      <w:r w:rsidRPr="00B32CE4">
        <w:rPr>
          <w:color w:val="000000" w:themeColor="text1"/>
          <w:szCs w:val="20"/>
        </w:rPr>
        <w:t>sale</w:t>
      </w:r>
      <w:r w:rsidR="00C64050" w:rsidRPr="00B32CE4">
        <w:rPr>
          <w:color w:val="000000" w:themeColor="text1"/>
          <w:szCs w:val="20"/>
        </w:rPr>
        <w:t xml:space="preserve"> </w:t>
      </w:r>
      <w:r w:rsidRPr="00B32CE4">
        <w:rPr>
          <w:color w:val="000000" w:themeColor="text1"/>
          <w:szCs w:val="20"/>
        </w:rPr>
        <w:t>to</w:t>
      </w:r>
      <w:r w:rsidR="00C64050" w:rsidRPr="00B32CE4">
        <w:rPr>
          <w:color w:val="000000" w:themeColor="text1"/>
          <w:szCs w:val="20"/>
        </w:rPr>
        <w:t xml:space="preserve"> </w:t>
      </w:r>
      <w:r w:rsidRPr="00B32CE4">
        <w:rPr>
          <w:color w:val="000000" w:themeColor="text1"/>
          <w:szCs w:val="20"/>
        </w:rPr>
        <w:t>a</w:t>
      </w:r>
      <w:r w:rsidR="00C64050" w:rsidRPr="00B32CE4">
        <w:rPr>
          <w:color w:val="000000" w:themeColor="text1"/>
          <w:szCs w:val="20"/>
        </w:rPr>
        <w:t xml:space="preserve"> </w:t>
      </w:r>
      <w:r w:rsidRPr="00B32CE4">
        <w:rPr>
          <w:color w:val="000000" w:themeColor="text1"/>
          <w:szCs w:val="20"/>
        </w:rPr>
        <w:t>third</w:t>
      </w:r>
      <w:r w:rsidR="00C64050" w:rsidRPr="00B32CE4">
        <w:rPr>
          <w:color w:val="000000" w:themeColor="text1"/>
          <w:szCs w:val="20"/>
        </w:rPr>
        <w:t xml:space="preserve"> </w:t>
      </w:r>
      <w:r w:rsidRPr="00B32CE4">
        <w:rPr>
          <w:color w:val="000000" w:themeColor="text1"/>
          <w:szCs w:val="20"/>
        </w:rPr>
        <w:t>party,</w:t>
      </w:r>
      <w:r w:rsidR="00C64050" w:rsidRPr="00B32CE4">
        <w:rPr>
          <w:color w:val="000000" w:themeColor="text1"/>
          <w:szCs w:val="20"/>
        </w:rPr>
        <w:t xml:space="preserve"> </w:t>
      </w:r>
      <w:r w:rsidRPr="00B32CE4">
        <w:rPr>
          <w:color w:val="000000" w:themeColor="text1"/>
          <w:szCs w:val="20"/>
        </w:rPr>
        <w:t>and</w:t>
      </w:r>
      <w:r w:rsidR="00C64050" w:rsidRPr="00B32CE4">
        <w:rPr>
          <w:color w:val="000000" w:themeColor="text1"/>
          <w:szCs w:val="20"/>
        </w:rPr>
        <w:t xml:space="preserve"> </w:t>
      </w:r>
      <w:r w:rsidRPr="00B32CE4">
        <w:rPr>
          <w:color w:val="000000" w:themeColor="text1"/>
          <w:szCs w:val="20"/>
        </w:rPr>
        <w:t>neither</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estate</w:t>
      </w:r>
      <w:r w:rsidR="00C64050" w:rsidRPr="00B32CE4">
        <w:rPr>
          <w:color w:val="000000" w:themeColor="text1"/>
          <w:szCs w:val="20"/>
        </w:rPr>
        <w:t xml:space="preserve"> </w:t>
      </w:r>
      <w:r w:rsidRPr="00B32CE4">
        <w:rPr>
          <w:color w:val="000000" w:themeColor="text1"/>
          <w:szCs w:val="20"/>
        </w:rPr>
        <w:t>nor</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Commissioner</w:t>
      </w:r>
      <w:r w:rsidR="00C64050" w:rsidRPr="00B32CE4">
        <w:rPr>
          <w:color w:val="000000" w:themeColor="text1"/>
          <w:szCs w:val="20"/>
        </w:rPr>
        <w:t xml:space="preserve"> </w:t>
      </w:r>
      <w:r w:rsidRPr="00B32CE4">
        <w:rPr>
          <w:color w:val="000000" w:themeColor="text1"/>
          <w:szCs w:val="20"/>
        </w:rPr>
        <w:t>disputes</w:t>
      </w:r>
      <w:r w:rsidR="00C64050" w:rsidRPr="00B32CE4">
        <w:rPr>
          <w:color w:val="000000" w:themeColor="text1"/>
          <w:szCs w:val="20"/>
        </w:rPr>
        <w:t xml:space="preserve"> </w:t>
      </w:r>
      <w:r w:rsidRPr="00B32CE4">
        <w:rPr>
          <w:color w:val="000000" w:themeColor="text1"/>
          <w:szCs w:val="20"/>
        </w:rPr>
        <w:t>that</w:t>
      </w:r>
      <w:r w:rsidR="00C64050" w:rsidRPr="00B32CE4">
        <w:rPr>
          <w:color w:val="000000" w:themeColor="text1"/>
          <w:szCs w:val="20"/>
        </w:rPr>
        <w:t xml:space="preserve"> </w:t>
      </w:r>
      <w:r w:rsidRPr="00B32CE4">
        <w:rPr>
          <w:color w:val="000000" w:themeColor="text1"/>
          <w:szCs w:val="20"/>
        </w:rPr>
        <w:t>it</w:t>
      </w:r>
      <w:r w:rsidR="00C64050" w:rsidRPr="00B32CE4">
        <w:rPr>
          <w:color w:val="000000" w:themeColor="text1"/>
          <w:szCs w:val="20"/>
        </w:rPr>
        <w:t xml:space="preserve"> </w:t>
      </w:r>
      <w:r w:rsidRPr="00B32CE4">
        <w:rPr>
          <w:color w:val="000000" w:themeColor="text1"/>
          <w:szCs w:val="20"/>
        </w:rPr>
        <w:t>sets</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fair</w:t>
      </w:r>
      <w:r w:rsidR="00C64050" w:rsidRPr="00B32CE4">
        <w:rPr>
          <w:color w:val="000000" w:themeColor="text1"/>
          <w:szCs w:val="20"/>
        </w:rPr>
        <w:t xml:space="preserve"> </w:t>
      </w:r>
      <w:r w:rsidRPr="00B32CE4">
        <w:rPr>
          <w:color w:val="000000" w:themeColor="text1"/>
          <w:szCs w:val="20"/>
        </w:rPr>
        <w:t>market</w:t>
      </w:r>
      <w:r w:rsidR="00C64050" w:rsidRPr="00B32CE4">
        <w:rPr>
          <w:color w:val="000000" w:themeColor="text1"/>
          <w:szCs w:val="20"/>
        </w:rPr>
        <w:t xml:space="preserve"> </w:t>
      </w:r>
      <w:r w:rsidRPr="00B32CE4">
        <w:rPr>
          <w:color w:val="000000" w:themeColor="text1"/>
          <w:szCs w:val="20"/>
        </w:rPr>
        <w:t>value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farm</w:t>
      </w:r>
      <w:r w:rsidR="00C64050" w:rsidRPr="00B32CE4">
        <w:rPr>
          <w:color w:val="000000" w:themeColor="text1"/>
          <w:szCs w:val="20"/>
        </w:rPr>
        <w:t xml:space="preserve"> </w:t>
      </w:r>
      <w:r w:rsidRPr="00B32CE4">
        <w:rPr>
          <w:color w:val="000000" w:themeColor="text1"/>
          <w:szCs w:val="20"/>
        </w:rPr>
        <w:t>on</w:t>
      </w:r>
      <w:r w:rsidR="00C64050" w:rsidRPr="00B32CE4">
        <w:rPr>
          <w:color w:val="000000" w:themeColor="text1"/>
          <w:szCs w:val="20"/>
        </w:rPr>
        <w:t xml:space="preserve"> </w:t>
      </w:r>
      <w:r w:rsidRPr="00B32CE4">
        <w:rPr>
          <w:color w:val="000000" w:themeColor="text1"/>
          <w:szCs w:val="20"/>
        </w:rPr>
        <w:t>both</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date</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price</w:t>
      </w:r>
      <w:r w:rsidR="00C64050" w:rsidRPr="00B32CE4">
        <w:rPr>
          <w:color w:val="000000" w:themeColor="text1"/>
          <w:szCs w:val="20"/>
        </w:rPr>
        <w:t xml:space="preserve"> </w:t>
      </w:r>
      <w:r w:rsidRPr="00B32CE4">
        <w:rPr>
          <w:color w:val="000000" w:themeColor="text1"/>
          <w:szCs w:val="20"/>
        </w:rPr>
        <w:t>was</w:t>
      </w:r>
      <w:r w:rsidR="00C64050" w:rsidRPr="00B32CE4">
        <w:rPr>
          <w:color w:val="000000" w:themeColor="text1"/>
          <w:szCs w:val="20"/>
        </w:rPr>
        <w:t xml:space="preserve"> </w:t>
      </w:r>
      <w:r w:rsidRPr="00B32CE4">
        <w:rPr>
          <w:color w:val="000000" w:themeColor="text1"/>
          <w:szCs w:val="20"/>
        </w:rPr>
        <w:t>agreed</w:t>
      </w:r>
      <w:r w:rsidR="00C64050" w:rsidRPr="00B32CE4">
        <w:rPr>
          <w:color w:val="000000" w:themeColor="text1"/>
          <w:szCs w:val="20"/>
        </w:rPr>
        <w:t xml:space="preserve"> </w:t>
      </w:r>
      <w:r w:rsidRPr="00B32CE4">
        <w:rPr>
          <w:color w:val="000000" w:themeColor="text1"/>
          <w:szCs w:val="20"/>
        </w:rPr>
        <w:t>to</w:t>
      </w:r>
      <w:r w:rsidR="00C64050" w:rsidRPr="00B32CE4">
        <w:rPr>
          <w:color w:val="000000" w:themeColor="text1"/>
          <w:szCs w:val="20"/>
        </w:rPr>
        <w:t xml:space="preserve"> </w:t>
      </w:r>
      <w:r w:rsidRPr="00B32CE4">
        <w:rPr>
          <w:color w:val="000000" w:themeColor="text1"/>
          <w:szCs w:val="20"/>
        </w:rPr>
        <w:t>and</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date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sale.</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transfer</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four-fifths</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farm</w:t>
      </w:r>
      <w:r w:rsidR="00C64050" w:rsidRPr="00B32CE4">
        <w:rPr>
          <w:color w:val="000000" w:themeColor="text1"/>
          <w:szCs w:val="20"/>
        </w:rPr>
        <w:t xml:space="preserve"> </w:t>
      </w:r>
      <w:r w:rsidRPr="00B32CE4">
        <w:rPr>
          <w:color w:val="000000" w:themeColor="text1"/>
          <w:szCs w:val="20"/>
        </w:rPr>
        <w:t>from</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Living</w:t>
      </w:r>
      <w:r w:rsidR="00C64050" w:rsidRPr="00B32CE4">
        <w:rPr>
          <w:color w:val="000000" w:themeColor="text1"/>
          <w:szCs w:val="20"/>
        </w:rPr>
        <w:t xml:space="preserve"> </w:t>
      </w:r>
      <w:r w:rsidRPr="00B32CE4">
        <w:rPr>
          <w:color w:val="000000" w:themeColor="text1"/>
          <w:szCs w:val="20"/>
        </w:rPr>
        <w:t>Trust</w:t>
      </w:r>
      <w:r w:rsidR="00C64050" w:rsidRPr="00B32CE4">
        <w:rPr>
          <w:color w:val="000000" w:themeColor="text1"/>
          <w:szCs w:val="20"/>
        </w:rPr>
        <w:t xml:space="preserve"> </w:t>
      </w:r>
      <w:r w:rsidRPr="00B32CE4">
        <w:rPr>
          <w:color w:val="000000" w:themeColor="text1"/>
          <w:szCs w:val="20"/>
        </w:rPr>
        <w:t>to</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FLP</w:t>
      </w:r>
      <w:r w:rsidR="00C64050" w:rsidRPr="00B32CE4">
        <w:rPr>
          <w:color w:val="000000" w:themeColor="text1"/>
          <w:szCs w:val="20"/>
        </w:rPr>
        <w:t xml:space="preserve"> </w:t>
      </w:r>
      <w:r w:rsidRPr="00B32CE4">
        <w:rPr>
          <w:color w:val="000000" w:themeColor="text1"/>
          <w:szCs w:val="20"/>
        </w:rPr>
        <w:t>occurred</w:t>
      </w:r>
      <w:r w:rsidR="00C64050" w:rsidRPr="00B32CE4">
        <w:rPr>
          <w:color w:val="000000" w:themeColor="text1"/>
          <w:szCs w:val="20"/>
        </w:rPr>
        <w:t xml:space="preserve"> </w:t>
      </w:r>
      <w:r w:rsidRPr="00B32CE4">
        <w:rPr>
          <w:color w:val="000000" w:themeColor="text1"/>
          <w:szCs w:val="20"/>
        </w:rPr>
        <w:t>at</w:t>
      </w:r>
      <w:r w:rsidR="00C64050" w:rsidRPr="00B32CE4">
        <w:rPr>
          <w:color w:val="000000" w:themeColor="text1"/>
          <w:szCs w:val="20"/>
        </w:rPr>
        <w:t xml:space="preserve"> </w:t>
      </w:r>
      <w:r w:rsidRPr="00B32CE4">
        <w:rPr>
          <w:color w:val="000000" w:themeColor="text1"/>
          <w:szCs w:val="20"/>
        </w:rPr>
        <w:t>very</w:t>
      </w:r>
      <w:r w:rsidR="00C64050" w:rsidRPr="00B32CE4">
        <w:rPr>
          <w:color w:val="000000" w:themeColor="text1"/>
          <w:szCs w:val="20"/>
        </w:rPr>
        <w:t xml:space="preserve"> </w:t>
      </w:r>
      <w:r w:rsidRPr="00B32CE4">
        <w:rPr>
          <w:color w:val="000000" w:themeColor="text1"/>
          <w:szCs w:val="20"/>
        </w:rPr>
        <w:t>nearly</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same</w:t>
      </w:r>
      <w:r w:rsidR="00C64050" w:rsidRPr="00B32CE4">
        <w:rPr>
          <w:color w:val="000000" w:themeColor="text1"/>
          <w:szCs w:val="20"/>
        </w:rPr>
        <w:t xml:space="preserve"> </w:t>
      </w:r>
      <w:r w:rsidRPr="00B32CE4">
        <w:rPr>
          <w:color w:val="000000" w:themeColor="text1"/>
          <w:szCs w:val="20"/>
        </w:rPr>
        <w:t>time</w:t>
      </w:r>
      <w:r w:rsidR="00C64050" w:rsidRPr="00B32CE4">
        <w:rPr>
          <w:color w:val="000000" w:themeColor="text1"/>
          <w:szCs w:val="20"/>
        </w:rPr>
        <w:t xml:space="preserve"> </w:t>
      </w:r>
      <w:r w:rsidRPr="00B32CE4">
        <w:rPr>
          <w:color w:val="000000" w:themeColor="text1"/>
          <w:szCs w:val="20"/>
        </w:rPr>
        <w:t>as</w:t>
      </w:r>
      <w:r w:rsidR="00C64050" w:rsidRPr="00B32CE4">
        <w:rPr>
          <w:color w:val="000000" w:themeColor="text1"/>
          <w:szCs w:val="20"/>
        </w:rPr>
        <w:t xml:space="preserve"> </w:t>
      </w:r>
      <w:r w:rsidRPr="00B32CE4">
        <w:rPr>
          <w:color w:val="000000" w:themeColor="text1"/>
          <w:szCs w:val="20"/>
        </w:rPr>
        <w:t>this</w:t>
      </w:r>
      <w:r w:rsidR="00C64050" w:rsidRPr="00B32CE4">
        <w:rPr>
          <w:color w:val="000000" w:themeColor="text1"/>
          <w:szCs w:val="20"/>
        </w:rPr>
        <w:t xml:space="preserve"> </w:t>
      </w:r>
      <w:r w:rsidRPr="00B32CE4">
        <w:rPr>
          <w:color w:val="000000" w:themeColor="text1"/>
          <w:szCs w:val="20"/>
        </w:rPr>
        <w:t>sale.</w:t>
      </w:r>
      <w:r w:rsidR="00C64050" w:rsidRPr="00B32CE4">
        <w:rPr>
          <w:color w:val="000000" w:themeColor="text1"/>
          <w:szCs w:val="20"/>
        </w:rPr>
        <w:t xml:space="preserve"> </w:t>
      </w:r>
      <w:r w:rsidRPr="00B32CE4">
        <w:rPr>
          <w:color w:val="000000" w:themeColor="text1"/>
          <w:szCs w:val="20"/>
        </w:rPr>
        <w:t>Moore</w:t>
      </w:r>
      <w:r w:rsidR="00C64050" w:rsidRPr="00B32CE4">
        <w:rPr>
          <w:color w:val="000000" w:themeColor="text1"/>
          <w:szCs w:val="20"/>
        </w:rPr>
        <w:t xml:space="preserve"> </w:t>
      </w:r>
      <w:r w:rsidRPr="00B32CE4">
        <w:rPr>
          <w:color w:val="000000" w:themeColor="text1"/>
          <w:szCs w:val="20"/>
        </w:rPr>
        <w:t>then</w:t>
      </w:r>
      <w:r w:rsidR="00C64050" w:rsidRPr="00B32CE4">
        <w:rPr>
          <w:color w:val="000000" w:themeColor="text1"/>
          <w:szCs w:val="20"/>
        </w:rPr>
        <w:t xml:space="preserve"> </w:t>
      </w:r>
      <w:r w:rsidRPr="00B32CE4">
        <w:rPr>
          <w:color w:val="000000" w:themeColor="text1"/>
          <w:szCs w:val="20"/>
        </w:rPr>
        <w:t>died</w:t>
      </w:r>
      <w:r w:rsidR="00C64050" w:rsidRPr="00B32CE4">
        <w:rPr>
          <w:color w:val="000000" w:themeColor="text1"/>
          <w:szCs w:val="20"/>
        </w:rPr>
        <w:t xml:space="preserve"> </w:t>
      </w:r>
      <w:r w:rsidRPr="00B32CE4">
        <w:rPr>
          <w:color w:val="000000" w:themeColor="text1"/>
          <w:szCs w:val="20"/>
        </w:rPr>
        <w:t>less</w:t>
      </w:r>
      <w:r w:rsidR="00C64050" w:rsidRPr="00B32CE4">
        <w:rPr>
          <w:color w:val="000000" w:themeColor="text1"/>
          <w:szCs w:val="20"/>
        </w:rPr>
        <w:t xml:space="preserve"> </w:t>
      </w:r>
      <w:r w:rsidRPr="00B32CE4">
        <w:rPr>
          <w:color w:val="000000" w:themeColor="text1"/>
          <w:szCs w:val="20"/>
        </w:rPr>
        <w:t>than</w:t>
      </w:r>
      <w:r w:rsidR="00C64050" w:rsidRPr="00B32CE4">
        <w:rPr>
          <w:color w:val="000000" w:themeColor="text1"/>
          <w:szCs w:val="20"/>
        </w:rPr>
        <w:t xml:space="preserve"> </w:t>
      </w:r>
      <w:r w:rsidRPr="00B32CE4">
        <w:rPr>
          <w:color w:val="000000" w:themeColor="text1"/>
          <w:szCs w:val="20"/>
        </w:rPr>
        <w:t>two</w:t>
      </w:r>
      <w:r w:rsidR="00C64050" w:rsidRPr="00B32CE4">
        <w:rPr>
          <w:color w:val="000000" w:themeColor="text1"/>
          <w:szCs w:val="20"/>
        </w:rPr>
        <w:t xml:space="preserve"> </w:t>
      </w:r>
      <w:r w:rsidRPr="00B32CE4">
        <w:rPr>
          <w:color w:val="000000" w:themeColor="text1"/>
          <w:szCs w:val="20"/>
        </w:rPr>
        <w:t>months</w:t>
      </w:r>
      <w:r w:rsidR="00C64050" w:rsidRPr="00B32CE4">
        <w:rPr>
          <w:color w:val="000000" w:themeColor="text1"/>
          <w:szCs w:val="20"/>
        </w:rPr>
        <w:t xml:space="preserve"> </w:t>
      </w:r>
      <w:r w:rsidRPr="00B32CE4">
        <w:rPr>
          <w:color w:val="000000" w:themeColor="text1"/>
          <w:szCs w:val="20"/>
        </w:rPr>
        <w:t>later.</w:t>
      </w:r>
      <w:r w:rsidR="00C64050" w:rsidRPr="00B32CE4">
        <w:rPr>
          <w:color w:val="000000" w:themeColor="text1"/>
          <w:szCs w:val="20"/>
        </w:rPr>
        <w:t xml:space="preserve"> </w:t>
      </w:r>
      <w:r w:rsidRPr="00B32CE4">
        <w:rPr>
          <w:color w:val="000000" w:themeColor="text1"/>
          <w:szCs w:val="20"/>
        </w:rPr>
        <w:t>We</w:t>
      </w:r>
      <w:r w:rsidR="00C64050" w:rsidRPr="00B32CE4">
        <w:rPr>
          <w:color w:val="000000" w:themeColor="text1"/>
          <w:szCs w:val="20"/>
        </w:rPr>
        <w:t xml:space="preserve"> </w:t>
      </w:r>
      <w:r w:rsidRPr="00B32CE4">
        <w:rPr>
          <w:color w:val="000000" w:themeColor="text1"/>
          <w:szCs w:val="20"/>
        </w:rPr>
        <w:t>find</w:t>
      </w:r>
      <w:r w:rsidR="00C64050" w:rsidRPr="00B32CE4">
        <w:rPr>
          <w:color w:val="000000" w:themeColor="text1"/>
          <w:szCs w:val="20"/>
        </w:rPr>
        <w:t xml:space="preserve"> </w:t>
      </w:r>
      <w:r w:rsidRPr="00B32CE4">
        <w:rPr>
          <w:color w:val="000000" w:themeColor="text1"/>
          <w:szCs w:val="20"/>
        </w:rPr>
        <w:t>it</w:t>
      </w:r>
      <w:r w:rsidR="00C64050" w:rsidRPr="00B32CE4">
        <w:rPr>
          <w:color w:val="000000" w:themeColor="text1"/>
          <w:szCs w:val="20"/>
        </w:rPr>
        <w:t xml:space="preserve"> </w:t>
      </w:r>
      <w:r w:rsidRPr="00B32CE4">
        <w:rPr>
          <w:color w:val="000000" w:themeColor="text1"/>
          <w:szCs w:val="20"/>
        </w:rPr>
        <w:t>more</w:t>
      </w:r>
      <w:r w:rsidR="00C64050" w:rsidRPr="00B32CE4">
        <w:rPr>
          <w:color w:val="000000" w:themeColor="text1"/>
          <w:szCs w:val="20"/>
        </w:rPr>
        <w:t xml:space="preserve"> </w:t>
      </w:r>
      <w:r w:rsidRPr="00B32CE4">
        <w:rPr>
          <w:color w:val="000000" w:themeColor="text1"/>
          <w:szCs w:val="20"/>
        </w:rPr>
        <w:t>likely</w:t>
      </w:r>
      <w:r w:rsidR="00C64050" w:rsidRPr="00B32CE4">
        <w:rPr>
          <w:color w:val="000000" w:themeColor="text1"/>
          <w:szCs w:val="20"/>
        </w:rPr>
        <w:t xml:space="preserve"> </w:t>
      </w:r>
      <w:r w:rsidRPr="00B32CE4">
        <w:rPr>
          <w:color w:val="000000" w:themeColor="text1"/>
          <w:szCs w:val="20"/>
        </w:rPr>
        <w:t>than</w:t>
      </w:r>
      <w:r w:rsidR="00C64050" w:rsidRPr="00B32CE4">
        <w:rPr>
          <w:color w:val="000000" w:themeColor="text1"/>
          <w:szCs w:val="20"/>
        </w:rPr>
        <w:t xml:space="preserve"> </w:t>
      </w:r>
      <w:r w:rsidRPr="00B32CE4">
        <w:rPr>
          <w:color w:val="000000" w:themeColor="text1"/>
          <w:szCs w:val="20"/>
        </w:rPr>
        <w:t>not</w:t>
      </w:r>
      <w:r w:rsidR="00C64050" w:rsidRPr="00B32CE4">
        <w:rPr>
          <w:color w:val="000000" w:themeColor="text1"/>
          <w:szCs w:val="20"/>
        </w:rPr>
        <w:t xml:space="preserve"> </w:t>
      </w:r>
      <w:r w:rsidRPr="00B32CE4">
        <w:rPr>
          <w:color w:val="000000" w:themeColor="text1"/>
          <w:szCs w:val="20"/>
        </w:rPr>
        <w:t>that</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fair</w:t>
      </w:r>
      <w:r w:rsidR="00C64050" w:rsidRPr="00B32CE4">
        <w:rPr>
          <w:color w:val="000000" w:themeColor="text1"/>
          <w:szCs w:val="20"/>
        </w:rPr>
        <w:t xml:space="preserve"> </w:t>
      </w:r>
      <w:r w:rsidRPr="00B32CE4">
        <w:rPr>
          <w:color w:val="000000" w:themeColor="text1"/>
          <w:szCs w:val="20"/>
        </w:rPr>
        <w:t>market</w:t>
      </w:r>
      <w:r w:rsidR="00C64050" w:rsidRPr="00B32CE4">
        <w:rPr>
          <w:color w:val="000000" w:themeColor="text1"/>
          <w:szCs w:val="20"/>
        </w:rPr>
        <w:t xml:space="preserve"> </w:t>
      </w:r>
      <w:r w:rsidRPr="00B32CE4">
        <w:rPr>
          <w:color w:val="000000" w:themeColor="text1"/>
          <w:szCs w:val="20"/>
        </w:rPr>
        <w:t>value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farm</w:t>
      </w:r>
      <w:r w:rsidR="00C64050" w:rsidRPr="00B32CE4">
        <w:rPr>
          <w:color w:val="000000" w:themeColor="text1"/>
          <w:szCs w:val="20"/>
        </w:rPr>
        <w:t xml:space="preserve"> </w:t>
      </w:r>
      <w:r w:rsidRPr="00B32CE4">
        <w:rPr>
          <w:color w:val="000000" w:themeColor="text1"/>
          <w:szCs w:val="20"/>
        </w:rPr>
        <w:t>did</w:t>
      </w:r>
      <w:r w:rsidR="00C64050" w:rsidRPr="00B32CE4">
        <w:rPr>
          <w:color w:val="000000" w:themeColor="text1"/>
          <w:szCs w:val="20"/>
        </w:rPr>
        <w:t xml:space="preserve"> </w:t>
      </w:r>
      <w:r w:rsidRPr="00B32CE4">
        <w:rPr>
          <w:color w:val="000000" w:themeColor="text1"/>
          <w:szCs w:val="20"/>
        </w:rPr>
        <w:t>not</w:t>
      </w:r>
      <w:r w:rsidR="00C64050" w:rsidRPr="00B32CE4">
        <w:rPr>
          <w:color w:val="000000" w:themeColor="text1"/>
          <w:szCs w:val="20"/>
        </w:rPr>
        <w:t xml:space="preserve"> </w:t>
      </w:r>
      <w:r w:rsidRPr="00B32CE4">
        <w:rPr>
          <w:color w:val="000000" w:themeColor="text1"/>
          <w:szCs w:val="20"/>
        </w:rPr>
        <w:t>change</w:t>
      </w:r>
      <w:r w:rsidR="00C64050" w:rsidRPr="00B32CE4">
        <w:rPr>
          <w:color w:val="000000" w:themeColor="text1"/>
          <w:szCs w:val="20"/>
        </w:rPr>
        <w:t xml:space="preserve"> </w:t>
      </w:r>
      <w:r w:rsidRPr="00B32CE4">
        <w:rPr>
          <w:color w:val="000000" w:themeColor="text1"/>
          <w:szCs w:val="20"/>
        </w:rPr>
        <w:t>in</w:t>
      </w:r>
      <w:r w:rsidR="00C64050" w:rsidRPr="00B32CE4">
        <w:rPr>
          <w:color w:val="000000" w:themeColor="text1"/>
          <w:szCs w:val="20"/>
        </w:rPr>
        <w:t xml:space="preserve"> </w:t>
      </w:r>
      <w:r w:rsidRPr="00B32CE4">
        <w:rPr>
          <w:color w:val="000000" w:themeColor="text1"/>
          <w:szCs w:val="20"/>
        </w:rPr>
        <w:t>so</w:t>
      </w:r>
      <w:r w:rsidR="00C64050" w:rsidRPr="00B32CE4">
        <w:rPr>
          <w:color w:val="000000" w:themeColor="text1"/>
          <w:szCs w:val="20"/>
        </w:rPr>
        <w:t xml:space="preserve"> </w:t>
      </w:r>
      <w:r w:rsidRPr="00B32CE4">
        <w:rPr>
          <w:color w:val="000000" w:themeColor="text1"/>
          <w:szCs w:val="20"/>
        </w:rPr>
        <w:t>short</w:t>
      </w:r>
      <w:r w:rsidR="00C64050" w:rsidRPr="00B32CE4">
        <w:rPr>
          <w:color w:val="000000" w:themeColor="text1"/>
          <w:szCs w:val="20"/>
        </w:rPr>
        <w:t xml:space="preserve"> </w:t>
      </w:r>
      <w:r w:rsidRPr="00B32CE4">
        <w:rPr>
          <w:color w:val="000000" w:themeColor="text1"/>
          <w:szCs w:val="20"/>
        </w:rPr>
        <w:t>a</w:t>
      </w:r>
      <w:r w:rsidR="00C64050" w:rsidRPr="00B32CE4">
        <w:rPr>
          <w:color w:val="000000" w:themeColor="text1"/>
          <w:szCs w:val="20"/>
        </w:rPr>
        <w:t xml:space="preserve"> </w:t>
      </w:r>
      <w:r w:rsidRPr="00B32CE4">
        <w:rPr>
          <w:color w:val="000000" w:themeColor="text1"/>
          <w:szCs w:val="20"/>
        </w:rPr>
        <w:t>time.</w:t>
      </w:r>
      <w:r w:rsidR="00C64050" w:rsidRPr="00B32CE4">
        <w:rPr>
          <w:color w:val="000000" w:themeColor="text1"/>
          <w:szCs w:val="20"/>
        </w:rPr>
        <w:t xml:space="preserve"> </w:t>
      </w:r>
      <w:r w:rsidRPr="00B32CE4">
        <w:rPr>
          <w:color w:val="000000" w:themeColor="text1"/>
          <w:szCs w:val="20"/>
          <w:u w:val="single"/>
        </w:rPr>
        <w:t>See,</w:t>
      </w:r>
      <w:r w:rsidR="00C64050" w:rsidRPr="00B32CE4">
        <w:rPr>
          <w:color w:val="000000" w:themeColor="text1"/>
          <w:szCs w:val="20"/>
          <w:u w:val="single"/>
        </w:rPr>
        <w:t xml:space="preserve"> </w:t>
      </w:r>
      <w:r w:rsidRPr="00B32CE4">
        <w:rPr>
          <w:color w:val="000000" w:themeColor="text1"/>
          <w:szCs w:val="20"/>
          <w:u w:val="single"/>
        </w:rPr>
        <w:t>e.g.</w:t>
      </w:r>
      <w:r w:rsidRPr="00B32CE4">
        <w:rPr>
          <w:color w:val="000000" w:themeColor="text1"/>
          <w:szCs w:val="20"/>
        </w:rPr>
        <w:t>,</w:t>
      </w:r>
      <w:r w:rsidR="00C64050" w:rsidRPr="00B32CE4">
        <w:rPr>
          <w:color w:val="000000" w:themeColor="text1"/>
          <w:szCs w:val="20"/>
        </w:rPr>
        <w:t xml:space="preserve"> </w:t>
      </w:r>
      <w:r w:rsidRPr="00B32CE4">
        <w:rPr>
          <w:color w:val="000000" w:themeColor="text1"/>
          <w:szCs w:val="20"/>
          <w:u w:val="single"/>
        </w:rPr>
        <w:t>Cave</w:t>
      </w:r>
      <w:r w:rsidR="00C64050" w:rsidRPr="00B32CE4">
        <w:rPr>
          <w:color w:val="000000" w:themeColor="text1"/>
          <w:szCs w:val="20"/>
          <w:u w:val="single"/>
        </w:rPr>
        <w:t xml:space="preserve"> </w:t>
      </w:r>
      <w:r w:rsidRPr="00B32CE4">
        <w:rPr>
          <w:color w:val="000000" w:themeColor="text1"/>
          <w:szCs w:val="20"/>
          <w:u w:val="single"/>
        </w:rPr>
        <w:t>Buttes,</w:t>
      </w:r>
      <w:r w:rsidR="00C64050" w:rsidRPr="00B32CE4">
        <w:rPr>
          <w:color w:val="000000" w:themeColor="text1"/>
          <w:szCs w:val="20"/>
          <w:u w:val="single"/>
        </w:rPr>
        <w:t xml:space="preserve"> </w:t>
      </w:r>
      <w:r w:rsidRPr="00B32CE4">
        <w:rPr>
          <w:color w:val="000000" w:themeColor="text1"/>
          <w:szCs w:val="20"/>
          <w:u w:val="single"/>
        </w:rPr>
        <w:t>L.L.C.</w:t>
      </w:r>
      <w:r w:rsidR="00C64050" w:rsidRPr="00B32CE4">
        <w:rPr>
          <w:color w:val="000000" w:themeColor="text1"/>
          <w:szCs w:val="20"/>
          <w:u w:val="single"/>
        </w:rPr>
        <w:t xml:space="preserve"> </w:t>
      </w:r>
      <w:r w:rsidRPr="00B32CE4">
        <w:rPr>
          <w:color w:val="000000" w:themeColor="text1"/>
          <w:szCs w:val="20"/>
          <w:u w:val="single"/>
        </w:rPr>
        <w:t>v.</w:t>
      </w:r>
      <w:r w:rsidR="00C64050" w:rsidRPr="00B32CE4">
        <w:rPr>
          <w:color w:val="000000" w:themeColor="text1"/>
          <w:szCs w:val="20"/>
          <w:u w:val="single"/>
        </w:rPr>
        <w:t xml:space="preserve"> </w:t>
      </w:r>
      <w:r w:rsidRPr="00B32CE4">
        <w:rPr>
          <w:color w:val="000000" w:themeColor="text1"/>
          <w:szCs w:val="20"/>
          <w:u w:val="single"/>
        </w:rPr>
        <w:t>Commissione</w:t>
      </w:r>
      <w:r w:rsidRPr="00B32CE4">
        <w:rPr>
          <w:color w:val="000000" w:themeColor="text1"/>
          <w:szCs w:val="20"/>
        </w:rPr>
        <w:t>r,</w:t>
      </w:r>
      <w:r w:rsidR="00C64050" w:rsidRPr="00B32CE4">
        <w:rPr>
          <w:color w:val="000000" w:themeColor="text1"/>
          <w:szCs w:val="20"/>
        </w:rPr>
        <w:t xml:space="preserve"> </w:t>
      </w:r>
      <w:r w:rsidRPr="00B32CE4">
        <w:rPr>
          <w:color w:val="000000" w:themeColor="text1"/>
          <w:szCs w:val="20"/>
        </w:rPr>
        <w:t>147</w:t>
      </w:r>
      <w:r w:rsidR="00C64050" w:rsidRPr="00B32CE4">
        <w:rPr>
          <w:color w:val="000000" w:themeColor="text1"/>
          <w:szCs w:val="20"/>
        </w:rPr>
        <w:t xml:space="preserve"> </w:t>
      </w:r>
      <w:r w:rsidRPr="00B32CE4">
        <w:rPr>
          <w:color w:val="000000" w:themeColor="text1"/>
          <w:szCs w:val="20"/>
        </w:rPr>
        <w:t>T.C.</w:t>
      </w:r>
      <w:r w:rsidR="00C64050" w:rsidRPr="00B32CE4">
        <w:rPr>
          <w:color w:val="000000" w:themeColor="text1"/>
          <w:szCs w:val="20"/>
        </w:rPr>
        <w:t xml:space="preserve"> </w:t>
      </w:r>
      <w:r w:rsidRPr="00B32CE4">
        <w:rPr>
          <w:color w:val="000000" w:themeColor="text1"/>
          <w:szCs w:val="20"/>
        </w:rPr>
        <w:t>338,</w:t>
      </w:r>
      <w:r w:rsidR="00C64050" w:rsidRPr="00B32CE4">
        <w:rPr>
          <w:color w:val="000000" w:themeColor="text1"/>
          <w:szCs w:val="20"/>
        </w:rPr>
        <w:t xml:space="preserve"> </w:t>
      </w:r>
      <w:r w:rsidRPr="00B32CE4">
        <w:rPr>
          <w:color w:val="000000" w:themeColor="text1"/>
          <w:szCs w:val="20"/>
        </w:rPr>
        <w:t>355</w:t>
      </w:r>
      <w:r w:rsidR="00C64050" w:rsidRPr="00B32CE4">
        <w:rPr>
          <w:color w:val="000000" w:themeColor="text1"/>
          <w:szCs w:val="20"/>
        </w:rPr>
        <w:t xml:space="preserve"> </w:t>
      </w:r>
      <w:r w:rsidRPr="00B32CE4">
        <w:rPr>
          <w:color w:val="000000" w:themeColor="text1"/>
          <w:szCs w:val="20"/>
        </w:rPr>
        <w:t>(2016);</w:t>
      </w:r>
      <w:r w:rsidR="00C64050" w:rsidRPr="00B32CE4">
        <w:rPr>
          <w:color w:val="000000" w:themeColor="text1"/>
          <w:szCs w:val="20"/>
        </w:rPr>
        <w:t xml:space="preserve"> </w:t>
      </w:r>
      <w:r w:rsidRPr="00B32CE4">
        <w:rPr>
          <w:color w:val="000000" w:themeColor="text1"/>
          <w:szCs w:val="20"/>
          <w:u w:val="single"/>
        </w:rPr>
        <w:t>Dunlap</w:t>
      </w:r>
      <w:r w:rsidR="00C64050" w:rsidRPr="00B32CE4">
        <w:rPr>
          <w:color w:val="000000" w:themeColor="text1"/>
          <w:szCs w:val="20"/>
          <w:u w:val="single"/>
        </w:rPr>
        <w:t xml:space="preserve"> </w:t>
      </w:r>
      <w:r w:rsidRPr="00B32CE4">
        <w:rPr>
          <w:color w:val="000000" w:themeColor="text1"/>
          <w:szCs w:val="20"/>
          <w:u w:val="single"/>
        </w:rPr>
        <w:t>v.</w:t>
      </w:r>
      <w:r w:rsidR="00C64050" w:rsidRPr="00B32CE4">
        <w:rPr>
          <w:color w:val="000000" w:themeColor="text1"/>
          <w:szCs w:val="20"/>
          <w:u w:val="single"/>
        </w:rPr>
        <w:t xml:space="preserve"> </w:t>
      </w:r>
      <w:r w:rsidRPr="00B32CE4">
        <w:rPr>
          <w:color w:val="000000" w:themeColor="text1"/>
          <w:szCs w:val="20"/>
          <w:u w:val="single"/>
        </w:rPr>
        <w:t>Commissioner</w:t>
      </w:r>
      <w:r w:rsidRPr="00B32CE4">
        <w:rPr>
          <w:color w:val="000000" w:themeColor="text1"/>
          <w:szCs w:val="20"/>
        </w:rPr>
        <w:t>,</w:t>
      </w:r>
      <w:r w:rsidR="00C64050" w:rsidRPr="00B32CE4">
        <w:rPr>
          <w:color w:val="000000" w:themeColor="text1"/>
          <w:szCs w:val="20"/>
        </w:rPr>
        <w:t xml:space="preserve"> </w:t>
      </w:r>
      <w:r w:rsidRPr="00B32CE4">
        <w:rPr>
          <w:color w:val="000000" w:themeColor="text1"/>
          <w:szCs w:val="20"/>
        </w:rPr>
        <w:t>T.C.</w:t>
      </w:r>
      <w:r w:rsidR="00C64050" w:rsidRPr="00B32CE4">
        <w:rPr>
          <w:color w:val="000000" w:themeColor="text1"/>
          <w:szCs w:val="20"/>
        </w:rPr>
        <w:t xml:space="preserve"> </w:t>
      </w:r>
      <w:r w:rsidRPr="00B32CE4">
        <w:rPr>
          <w:color w:val="000000" w:themeColor="text1"/>
          <w:szCs w:val="20"/>
        </w:rPr>
        <w:t>Memo</w:t>
      </w:r>
      <w:r w:rsidR="00C64050" w:rsidRPr="00B32CE4">
        <w:rPr>
          <w:color w:val="000000" w:themeColor="text1"/>
          <w:szCs w:val="20"/>
        </w:rPr>
        <w:t xml:space="preserve"> </w:t>
      </w:r>
      <w:r w:rsidRPr="00B32CE4">
        <w:rPr>
          <w:color w:val="000000" w:themeColor="text1"/>
          <w:szCs w:val="20"/>
        </w:rPr>
        <w:t>2012-126,</w:t>
      </w:r>
      <w:r w:rsidR="00C64050" w:rsidRPr="00B32CE4">
        <w:rPr>
          <w:color w:val="000000" w:themeColor="text1"/>
          <w:szCs w:val="20"/>
        </w:rPr>
        <w:t xml:space="preserve"> </w:t>
      </w:r>
      <w:r w:rsidRPr="00B32CE4">
        <w:rPr>
          <w:color w:val="000000" w:themeColor="text1"/>
          <w:szCs w:val="20"/>
        </w:rPr>
        <w:t>103</w:t>
      </w:r>
      <w:r w:rsidR="00C64050" w:rsidRPr="00B32CE4">
        <w:rPr>
          <w:color w:val="000000" w:themeColor="text1"/>
          <w:szCs w:val="20"/>
        </w:rPr>
        <w:t xml:space="preserve"> </w:t>
      </w:r>
      <w:r w:rsidRPr="00B32CE4">
        <w:rPr>
          <w:color w:val="000000" w:themeColor="text1"/>
          <w:szCs w:val="20"/>
        </w:rPr>
        <w:t>T.C.M.</w:t>
      </w:r>
      <w:r w:rsidR="00C64050" w:rsidRPr="00B32CE4">
        <w:rPr>
          <w:color w:val="000000" w:themeColor="text1"/>
          <w:szCs w:val="20"/>
        </w:rPr>
        <w:t xml:space="preserve"> </w:t>
      </w:r>
      <w:r w:rsidRPr="00B32CE4">
        <w:rPr>
          <w:color w:val="000000" w:themeColor="text1"/>
          <w:szCs w:val="20"/>
        </w:rPr>
        <w:t>(CCH)</w:t>
      </w:r>
      <w:r w:rsidR="00C64050" w:rsidRPr="00B32CE4">
        <w:rPr>
          <w:color w:val="000000" w:themeColor="text1"/>
          <w:szCs w:val="20"/>
        </w:rPr>
        <w:t xml:space="preserve"> </w:t>
      </w:r>
      <w:r w:rsidRPr="00B32CE4">
        <w:rPr>
          <w:color w:val="000000" w:themeColor="text1"/>
          <w:szCs w:val="20"/>
        </w:rPr>
        <w:t>1689,</w:t>
      </w:r>
      <w:r w:rsidR="00C64050" w:rsidRPr="00B32CE4">
        <w:rPr>
          <w:color w:val="000000" w:themeColor="text1"/>
          <w:szCs w:val="20"/>
        </w:rPr>
        <w:t xml:space="preserve"> </w:t>
      </w:r>
      <w:r w:rsidRPr="00B32CE4">
        <w:rPr>
          <w:color w:val="000000" w:themeColor="text1"/>
          <w:szCs w:val="20"/>
        </w:rPr>
        <w:t>1709</w:t>
      </w:r>
      <w:r w:rsidR="00C64050" w:rsidRPr="00B32CE4">
        <w:rPr>
          <w:color w:val="000000" w:themeColor="text1"/>
          <w:szCs w:val="20"/>
        </w:rPr>
        <w:t xml:space="preserve"> </w:t>
      </w:r>
      <w:r w:rsidRPr="00B32CE4">
        <w:rPr>
          <w:color w:val="000000" w:themeColor="text1"/>
          <w:szCs w:val="20"/>
        </w:rPr>
        <w:t>(2012).</w:t>
      </w:r>
    </w:p>
    <w:p w:rsidR="00D66AAD" w:rsidRPr="00B32CE4" w:rsidRDefault="00D66AAD" w:rsidP="00D66AAD">
      <w:pPr>
        <w:pStyle w:val="QS10"/>
        <w:rPr>
          <w:color w:val="000000" w:themeColor="text1"/>
          <w:szCs w:val="20"/>
        </w:rPr>
      </w:pPr>
      <w:r w:rsidRPr="00B32CE4">
        <w:rPr>
          <w:rStyle w:val="Emphasis"/>
          <w:color w:val="000000" w:themeColor="text1"/>
          <w:szCs w:val="20"/>
        </w:rPr>
        <w:t>C</w:t>
      </w:r>
      <w:r w:rsidRPr="00B32CE4">
        <w:rPr>
          <w:rStyle w:val="Emphasis"/>
          <w:color w:val="000000" w:themeColor="text1"/>
          <w:szCs w:val="20"/>
          <w:vertAlign w:val="subscript"/>
        </w:rPr>
        <w:t>t</w:t>
      </w:r>
      <w:r w:rsidRPr="00B32CE4">
        <w:rPr>
          <w:color w:val="000000" w:themeColor="text1"/>
          <w:szCs w:val="20"/>
        </w:rPr>
        <w:t>.</w:t>
      </w:r>
      <w:r w:rsidR="00C64050" w:rsidRPr="00B32CE4">
        <w:rPr>
          <w:color w:val="000000" w:themeColor="text1"/>
          <w:szCs w:val="20"/>
        </w:rPr>
        <w:t xml:space="preserve"> </w:t>
      </w:r>
      <w:r w:rsidRPr="00B32CE4">
        <w:rPr>
          <w:color w:val="000000" w:themeColor="text1"/>
          <w:szCs w:val="20"/>
        </w:rPr>
        <w:t>Section</w:t>
      </w:r>
      <w:r w:rsidR="00C64050" w:rsidRPr="00B32CE4">
        <w:rPr>
          <w:color w:val="000000" w:themeColor="text1"/>
          <w:szCs w:val="20"/>
        </w:rPr>
        <w:t xml:space="preserve"> </w:t>
      </w:r>
      <w:r w:rsidRPr="00B32CE4">
        <w:rPr>
          <w:color w:val="000000" w:themeColor="text1"/>
          <w:szCs w:val="20"/>
        </w:rPr>
        <w:t>2043</w:t>
      </w:r>
      <w:r w:rsidR="00C64050" w:rsidRPr="00B32CE4">
        <w:rPr>
          <w:color w:val="000000" w:themeColor="text1"/>
          <w:szCs w:val="20"/>
        </w:rPr>
        <w:t xml:space="preserve"> </w:t>
      </w:r>
      <w:r w:rsidRPr="00B32CE4">
        <w:rPr>
          <w:color w:val="000000" w:themeColor="text1"/>
          <w:szCs w:val="20"/>
        </w:rPr>
        <w:t>tells</w:t>
      </w:r>
      <w:r w:rsidR="00C64050" w:rsidRPr="00B32CE4">
        <w:rPr>
          <w:color w:val="000000" w:themeColor="text1"/>
          <w:szCs w:val="20"/>
        </w:rPr>
        <w:t xml:space="preserve"> </w:t>
      </w:r>
      <w:r w:rsidRPr="00B32CE4">
        <w:rPr>
          <w:color w:val="000000" w:themeColor="text1"/>
          <w:szCs w:val="20"/>
        </w:rPr>
        <w:t>us</w:t>
      </w:r>
      <w:r w:rsidR="00C64050" w:rsidRPr="00B32CE4">
        <w:rPr>
          <w:color w:val="000000" w:themeColor="text1"/>
          <w:szCs w:val="20"/>
        </w:rPr>
        <w:t xml:space="preserve"> </w:t>
      </w:r>
      <w:r w:rsidRPr="00B32CE4">
        <w:rPr>
          <w:color w:val="000000" w:themeColor="text1"/>
          <w:szCs w:val="20"/>
        </w:rPr>
        <w:t>to</w:t>
      </w:r>
      <w:r w:rsidR="00C64050" w:rsidRPr="00B32CE4">
        <w:rPr>
          <w:color w:val="000000" w:themeColor="text1"/>
          <w:szCs w:val="20"/>
        </w:rPr>
        <w:t xml:space="preserve"> </w:t>
      </w:r>
      <w:r w:rsidRPr="00B32CE4">
        <w:rPr>
          <w:color w:val="000000" w:themeColor="text1"/>
          <w:szCs w:val="20"/>
        </w:rPr>
        <w:t>subtract</w:t>
      </w:r>
      <w:r w:rsidR="00C64050" w:rsidRPr="00B32CE4">
        <w:rPr>
          <w:color w:val="000000" w:themeColor="text1"/>
          <w:szCs w:val="20"/>
        </w:rPr>
        <w:t xml:space="preserve"> </w:t>
      </w:r>
      <w:r w:rsidRPr="00B32CE4">
        <w:rPr>
          <w:color w:val="000000" w:themeColor="text1"/>
          <w:szCs w:val="20"/>
        </w:rPr>
        <w:t>from</w:t>
      </w:r>
      <w:r w:rsidR="00C64050" w:rsidRPr="00B32CE4">
        <w:rPr>
          <w:color w:val="000000" w:themeColor="text1"/>
          <w:szCs w:val="20"/>
        </w:rPr>
        <w:t xml:space="preserve"> </w:t>
      </w:r>
      <w:r w:rsidRPr="00B32CE4">
        <w:rPr>
          <w:color w:val="000000" w:themeColor="text1"/>
          <w:szCs w:val="20"/>
        </w:rPr>
        <w:t>this</w:t>
      </w:r>
      <w:r w:rsidR="00C64050" w:rsidRPr="00B32CE4">
        <w:rPr>
          <w:color w:val="000000" w:themeColor="text1"/>
          <w:szCs w:val="20"/>
        </w:rPr>
        <w:t xml:space="preserve"> </w:t>
      </w:r>
      <w:r w:rsidRPr="00B32CE4">
        <w:rPr>
          <w:color w:val="000000" w:themeColor="text1"/>
          <w:szCs w:val="20"/>
        </w:rPr>
        <w:t>value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farm</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value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consideration</w:t>
      </w:r>
      <w:r w:rsidR="00C64050" w:rsidRPr="00B32CE4">
        <w:rPr>
          <w:color w:val="000000" w:themeColor="text1"/>
          <w:szCs w:val="20"/>
        </w:rPr>
        <w:t xml:space="preserve"> </w:t>
      </w:r>
      <w:r w:rsidRPr="00B32CE4">
        <w:rPr>
          <w:color w:val="000000" w:themeColor="text1"/>
          <w:szCs w:val="20"/>
        </w:rPr>
        <w:t>that</w:t>
      </w:r>
      <w:r w:rsidR="00C64050" w:rsidRPr="00B32CE4">
        <w:rPr>
          <w:color w:val="000000" w:themeColor="text1"/>
          <w:szCs w:val="20"/>
        </w:rPr>
        <w:t xml:space="preserve"> </w:t>
      </w:r>
      <w:r w:rsidRPr="00B32CE4">
        <w:rPr>
          <w:color w:val="000000" w:themeColor="text1"/>
          <w:szCs w:val="20"/>
        </w:rPr>
        <w:t>Moore</w:t>
      </w:r>
      <w:r w:rsidR="00C64050" w:rsidRPr="00B32CE4">
        <w:rPr>
          <w:color w:val="000000" w:themeColor="text1"/>
          <w:szCs w:val="20"/>
        </w:rPr>
        <w:t xml:space="preserve"> </w:t>
      </w:r>
      <w:r w:rsidRPr="00B32CE4">
        <w:rPr>
          <w:color w:val="000000" w:themeColor="text1"/>
          <w:szCs w:val="20"/>
        </w:rPr>
        <w:t>received.</w:t>
      </w:r>
      <w:r w:rsidR="00C64050" w:rsidRPr="00B32CE4">
        <w:rPr>
          <w:color w:val="000000" w:themeColor="text1"/>
          <w:szCs w:val="20"/>
        </w:rPr>
        <w:t xml:space="preserve"> </w:t>
      </w:r>
      <w:r w:rsidRPr="00B32CE4">
        <w:rPr>
          <w:color w:val="000000" w:themeColor="text1"/>
          <w:szCs w:val="20"/>
        </w:rPr>
        <w:t>We</w:t>
      </w:r>
      <w:r w:rsidR="00C64050" w:rsidRPr="00B32CE4">
        <w:rPr>
          <w:color w:val="000000" w:themeColor="text1"/>
          <w:szCs w:val="20"/>
        </w:rPr>
        <w:t xml:space="preserve"> </w:t>
      </w:r>
      <w:r w:rsidRPr="00B32CE4">
        <w:rPr>
          <w:color w:val="000000" w:themeColor="text1"/>
          <w:szCs w:val="20"/>
        </w:rPr>
        <w:t>value</w:t>
      </w:r>
      <w:r w:rsidR="00C64050" w:rsidRPr="00B32CE4">
        <w:rPr>
          <w:color w:val="000000" w:themeColor="text1"/>
          <w:szCs w:val="20"/>
        </w:rPr>
        <w:t xml:space="preserve"> </w:t>
      </w:r>
      <w:r w:rsidRPr="00B32CE4">
        <w:rPr>
          <w:color w:val="000000" w:themeColor="text1"/>
          <w:szCs w:val="20"/>
        </w:rPr>
        <w:t>this</w:t>
      </w:r>
      <w:r w:rsidR="00C64050" w:rsidRPr="00B32CE4">
        <w:rPr>
          <w:color w:val="000000" w:themeColor="text1"/>
          <w:szCs w:val="20"/>
        </w:rPr>
        <w:t xml:space="preserve"> </w:t>
      </w:r>
      <w:r w:rsidRPr="00B32CE4">
        <w:rPr>
          <w:color w:val="000000" w:themeColor="text1"/>
          <w:szCs w:val="20"/>
        </w:rPr>
        <w:t>consideration</w:t>
      </w:r>
      <w:r w:rsidR="00C64050" w:rsidRPr="00B32CE4">
        <w:rPr>
          <w:color w:val="000000" w:themeColor="text1"/>
          <w:szCs w:val="20"/>
        </w:rPr>
        <w:t xml:space="preserve"> </w:t>
      </w:r>
      <w:r w:rsidRPr="00B32CE4">
        <w:rPr>
          <w:color w:val="000000" w:themeColor="text1"/>
          <w:szCs w:val="20"/>
        </w:rPr>
        <w:t>on</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date</w:t>
      </w:r>
      <w:r w:rsidR="00C64050" w:rsidRPr="00B32CE4">
        <w:rPr>
          <w:color w:val="000000" w:themeColor="text1"/>
          <w:szCs w:val="20"/>
        </w:rPr>
        <w:t xml:space="preserve"> </w:t>
      </w:r>
      <w:r w:rsidRPr="00B32CE4">
        <w:rPr>
          <w:color w:val="000000" w:themeColor="text1"/>
          <w:szCs w:val="20"/>
        </w:rPr>
        <w:t>it</w:t>
      </w:r>
      <w:r w:rsidR="00C64050" w:rsidRPr="00B32CE4">
        <w:rPr>
          <w:color w:val="000000" w:themeColor="text1"/>
          <w:szCs w:val="20"/>
        </w:rPr>
        <w:t xml:space="preserve"> </w:t>
      </w:r>
      <w:r w:rsidRPr="00B32CE4">
        <w:rPr>
          <w:color w:val="000000" w:themeColor="text1"/>
          <w:szCs w:val="20"/>
        </w:rPr>
        <w:t>was</w:t>
      </w:r>
      <w:r w:rsidR="00C64050" w:rsidRPr="00B32CE4">
        <w:rPr>
          <w:color w:val="000000" w:themeColor="text1"/>
          <w:szCs w:val="20"/>
        </w:rPr>
        <w:t xml:space="preserve"> </w:t>
      </w:r>
      <w:r w:rsidRPr="00B32CE4">
        <w:rPr>
          <w:color w:val="000000" w:themeColor="text1"/>
          <w:szCs w:val="20"/>
        </w:rPr>
        <w:t>received.</w:t>
      </w:r>
      <w:r w:rsidR="00C64050" w:rsidRPr="00B32CE4">
        <w:rPr>
          <w:color w:val="000000" w:themeColor="text1"/>
          <w:szCs w:val="20"/>
        </w:rPr>
        <w:t xml:space="preserve"> </w:t>
      </w:r>
      <w:r w:rsidRPr="00B32CE4">
        <w:rPr>
          <w:color w:val="000000" w:themeColor="text1"/>
          <w:szCs w:val="20"/>
        </w:rPr>
        <w:t>One-fifth</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value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farm</w:t>
      </w:r>
      <w:r w:rsidR="00C64050" w:rsidRPr="00B32CE4">
        <w:rPr>
          <w:color w:val="000000" w:themeColor="text1"/>
          <w:szCs w:val="20"/>
        </w:rPr>
        <w:t xml:space="preserve"> </w:t>
      </w:r>
      <w:r w:rsidRPr="00B32CE4">
        <w:rPr>
          <w:color w:val="000000" w:themeColor="text1"/>
          <w:szCs w:val="20"/>
        </w:rPr>
        <w:t>went</w:t>
      </w:r>
      <w:r w:rsidR="00C64050" w:rsidRPr="00B32CE4">
        <w:rPr>
          <w:color w:val="000000" w:themeColor="text1"/>
          <w:szCs w:val="20"/>
        </w:rPr>
        <w:t xml:space="preserve"> </w:t>
      </w:r>
      <w:r w:rsidRPr="00B32CE4">
        <w:rPr>
          <w:color w:val="000000" w:themeColor="text1"/>
          <w:szCs w:val="20"/>
        </w:rPr>
        <w:t>directly</w:t>
      </w:r>
      <w:r w:rsidR="00C64050" w:rsidRPr="00B32CE4">
        <w:rPr>
          <w:color w:val="000000" w:themeColor="text1"/>
          <w:szCs w:val="20"/>
        </w:rPr>
        <w:t xml:space="preserve"> </w:t>
      </w:r>
      <w:r w:rsidRPr="00B32CE4">
        <w:rPr>
          <w:color w:val="000000" w:themeColor="text1"/>
          <w:szCs w:val="20"/>
        </w:rPr>
        <w:t>to</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Living</w:t>
      </w:r>
      <w:r w:rsidR="00C64050" w:rsidRPr="00B32CE4">
        <w:rPr>
          <w:color w:val="000000" w:themeColor="text1"/>
          <w:szCs w:val="20"/>
        </w:rPr>
        <w:t xml:space="preserve"> </w:t>
      </w:r>
      <w:r w:rsidRPr="00B32CE4">
        <w:rPr>
          <w:color w:val="000000" w:themeColor="text1"/>
          <w:szCs w:val="20"/>
        </w:rPr>
        <w:t>Trust</w:t>
      </w:r>
      <w:r w:rsidR="00C64050" w:rsidRPr="00B32CE4">
        <w:rPr>
          <w:color w:val="000000" w:themeColor="text1"/>
          <w:szCs w:val="20"/>
        </w:rPr>
        <w:t xml:space="preserve"> </w:t>
      </w:r>
      <w:r w:rsidRPr="00B32CE4">
        <w:rPr>
          <w:color w:val="000000" w:themeColor="text1"/>
          <w:szCs w:val="20"/>
        </w:rPr>
        <w:t>and</w:t>
      </w:r>
      <w:r w:rsidR="00C64050" w:rsidRPr="00B32CE4">
        <w:rPr>
          <w:color w:val="000000" w:themeColor="text1"/>
          <w:szCs w:val="20"/>
        </w:rPr>
        <w:t xml:space="preserve"> </w:t>
      </w:r>
      <w:r w:rsidRPr="00B32CE4">
        <w:rPr>
          <w:color w:val="000000" w:themeColor="text1"/>
          <w:szCs w:val="20"/>
        </w:rPr>
        <w:t>is</w:t>
      </w:r>
      <w:r w:rsidR="00C64050" w:rsidRPr="00B32CE4">
        <w:rPr>
          <w:color w:val="000000" w:themeColor="text1"/>
          <w:szCs w:val="20"/>
        </w:rPr>
        <w:t xml:space="preserve"> </w:t>
      </w:r>
      <w:r w:rsidRPr="00B32CE4">
        <w:rPr>
          <w:color w:val="000000" w:themeColor="text1"/>
          <w:szCs w:val="20"/>
        </w:rPr>
        <w:t>a</w:t>
      </w:r>
      <w:r w:rsidR="00C64050" w:rsidRPr="00B32CE4">
        <w:rPr>
          <w:color w:val="000000" w:themeColor="text1"/>
          <w:szCs w:val="20"/>
        </w:rPr>
        <w:t xml:space="preserve"> </w:t>
      </w:r>
      <w:r w:rsidRPr="00B32CE4">
        <w:rPr>
          <w:color w:val="000000" w:themeColor="text1"/>
          <w:szCs w:val="20"/>
        </w:rPr>
        <w:t>matter</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multiplication.</w:t>
      </w:r>
      <w:r w:rsidR="00C64050" w:rsidRPr="00B32CE4">
        <w:rPr>
          <w:color w:val="000000" w:themeColor="text1"/>
          <w:szCs w:val="20"/>
        </w:rPr>
        <w:t xml:space="preserve"> </w:t>
      </w:r>
      <w:r w:rsidRPr="00B32CE4">
        <w:rPr>
          <w:color w:val="000000" w:themeColor="text1"/>
          <w:szCs w:val="20"/>
        </w:rPr>
        <w:t>But</w:t>
      </w:r>
      <w:r w:rsidR="00C64050" w:rsidRPr="00B32CE4">
        <w:rPr>
          <w:color w:val="000000" w:themeColor="text1"/>
          <w:szCs w:val="20"/>
        </w:rPr>
        <w:t xml:space="preserve"> </w:t>
      </w:r>
      <w:r w:rsidRPr="00B32CE4">
        <w:rPr>
          <w:color w:val="000000" w:themeColor="text1"/>
          <w:szCs w:val="20"/>
        </w:rPr>
        <w:t>what</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remaining</w:t>
      </w:r>
      <w:r w:rsidR="00C64050" w:rsidRPr="00B32CE4">
        <w:rPr>
          <w:color w:val="000000" w:themeColor="text1"/>
          <w:szCs w:val="20"/>
        </w:rPr>
        <w:t xml:space="preserve"> </w:t>
      </w:r>
      <w:r w:rsidRPr="00B32CE4">
        <w:rPr>
          <w:color w:val="000000" w:themeColor="text1"/>
          <w:szCs w:val="20"/>
        </w:rPr>
        <w:t>four-fifths?</w:t>
      </w:r>
      <w:r w:rsidR="00C64050" w:rsidRPr="00B32CE4">
        <w:rPr>
          <w:color w:val="000000" w:themeColor="text1"/>
          <w:szCs w:val="20"/>
        </w:rPr>
        <w:t xml:space="preserve"> </w:t>
      </w:r>
      <w:r w:rsidRPr="00B32CE4">
        <w:rPr>
          <w:color w:val="000000" w:themeColor="text1"/>
          <w:szCs w:val="20"/>
        </w:rPr>
        <w:t>This</w:t>
      </w:r>
      <w:r w:rsidR="00C64050" w:rsidRPr="00B32CE4">
        <w:rPr>
          <w:color w:val="000000" w:themeColor="text1"/>
          <w:szCs w:val="20"/>
        </w:rPr>
        <w:t xml:space="preserve"> </w:t>
      </w:r>
      <w:r w:rsidRPr="00B32CE4">
        <w:rPr>
          <w:color w:val="000000" w:themeColor="text1"/>
          <w:szCs w:val="20"/>
        </w:rPr>
        <w:t>is</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portion</w:t>
      </w:r>
      <w:r w:rsidR="00C64050" w:rsidRPr="00B32CE4">
        <w:rPr>
          <w:color w:val="000000" w:themeColor="text1"/>
          <w:szCs w:val="20"/>
        </w:rPr>
        <w:t xml:space="preserve"> </w:t>
      </w:r>
      <w:r w:rsidRPr="00B32CE4">
        <w:rPr>
          <w:color w:val="000000" w:themeColor="text1"/>
          <w:szCs w:val="20"/>
        </w:rPr>
        <w:t>that</w:t>
      </w:r>
      <w:r w:rsidR="00C64050" w:rsidRPr="00B32CE4">
        <w:rPr>
          <w:color w:val="000000" w:themeColor="text1"/>
          <w:szCs w:val="20"/>
        </w:rPr>
        <w:t xml:space="preserve"> </w:t>
      </w:r>
      <w:r w:rsidRPr="00B32CE4">
        <w:rPr>
          <w:color w:val="000000" w:themeColor="text1"/>
          <w:szCs w:val="20"/>
        </w:rPr>
        <w:t>went</w:t>
      </w:r>
      <w:r w:rsidR="00C64050" w:rsidRPr="00B32CE4">
        <w:rPr>
          <w:color w:val="000000" w:themeColor="text1"/>
          <w:szCs w:val="20"/>
        </w:rPr>
        <w:t xml:space="preserve"> </w:t>
      </w:r>
      <w:r w:rsidRPr="00B32CE4">
        <w:rPr>
          <w:color w:val="000000" w:themeColor="text1"/>
          <w:szCs w:val="20"/>
        </w:rPr>
        <w:t>from</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Living</w:t>
      </w:r>
      <w:r w:rsidR="00C64050" w:rsidRPr="00B32CE4">
        <w:rPr>
          <w:color w:val="000000" w:themeColor="text1"/>
          <w:szCs w:val="20"/>
        </w:rPr>
        <w:t xml:space="preserve"> </w:t>
      </w:r>
      <w:r w:rsidRPr="00B32CE4">
        <w:rPr>
          <w:color w:val="000000" w:themeColor="text1"/>
          <w:szCs w:val="20"/>
        </w:rPr>
        <w:t>Trust</w:t>
      </w:r>
      <w:r w:rsidR="00C64050" w:rsidRPr="00B32CE4">
        <w:rPr>
          <w:color w:val="000000" w:themeColor="text1"/>
          <w:szCs w:val="20"/>
        </w:rPr>
        <w:t xml:space="preserve"> </w:t>
      </w:r>
      <w:r w:rsidRPr="00B32CE4">
        <w:rPr>
          <w:color w:val="000000" w:themeColor="text1"/>
          <w:szCs w:val="20"/>
        </w:rPr>
        <w:t>to</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FLP</w:t>
      </w:r>
      <w:r w:rsidR="00C64050" w:rsidRPr="00B32CE4">
        <w:rPr>
          <w:color w:val="000000" w:themeColor="text1"/>
          <w:szCs w:val="20"/>
        </w:rPr>
        <w:t xml:space="preserve"> </w:t>
      </w:r>
      <w:r w:rsidRPr="00B32CE4">
        <w:rPr>
          <w:color w:val="000000" w:themeColor="text1"/>
          <w:szCs w:val="20"/>
        </w:rPr>
        <w:t>in</w:t>
      </w:r>
      <w:r w:rsidR="00C64050" w:rsidRPr="00B32CE4">
        <w:rPr>
          <w:color w:val="000000" w:themeColor="text1"/>
          <w:szCs w:val="20"/>
        </w:rPr>
        <w:t xml:space="preserve"> </w:t>
      </w:r>
      <w:r w:rsidRPr="00B32CE4">
        <w:rPr>
          <w:color w:val="000000" w:themeColor="text1"/>
          <w:szCs w:val="20"/>
        </w:rPr>
        <w:t>exchange</w:t>
      </w:r>
      <w:r w:rsidR="00C64050" w:rsidRPr="00B32CE4">
        <w:rPr>
          <w:color w:val="000000" w:themeColor="text1"/>
          <w:szCs w:val="20"/>
        </w:rPr>
        <w:t xml:space="preserve"> </w:t>
      </w:r>
      <w:r w:rsidRPr="00B32CE4">
        <w:rPr>
          <w:color w:val="000000" w:themeColor="text1"/>
          <w:szCs w:val="20"/>
        </w:rPr>
        <w:t>for</w:t>
      </w:r>
      <w:r w:rsidR="00C64050" w:rsidRPr="00B32CE4">
        <w:rPr>
          <w:color w:val="000000" w:themeColor="text1"/>
          <w:szCs w:val="20"/>
        </w:rPr>
        <w:t xml:space="preserve"> </w:t>
      </w:r>
      <w:r w:rsidRPr="00B32CE4">
        <w:rPr>
          <w:color w:val="000000" w:themeColor="text1"/>
          <w:szCs w:val="20"/>
        </w:rPr>
        <w:t>an</w:t>
      </w:r>
      <w:r w:rsidR="00C64050" w:rsidRPr="00B32CE4">
        <w:rPr>
          <w:color w:val="000000" w:themeColor="text1"/>
          <w:szCs w:val="20"/>
        </w:rPr>
        <w:t xml:space="preserve"> </w:t>
      </w:r>
      <w:r w:rsidRPr="00B32CE4">
        <w:rPr>
          <w:color w:val="000000" w:themeColor="text1"/>
          <w:szCs w:val="20"/>
        </w:rPr>
        <w:t>interest</w:t>
      </w:r>
      <w:r w:rsidR="00C64050" w:rsidRPr="00B32CE4">
        <w:rPr>
          <w:color w:val="000000" w:themeColor="text1"/>
          <w:szCs w:val="20"/>
        </w:rPr>
        <w:t xml:space="preserve"> </w:t>
      </w:r>
      <w:r w:rsidRPr="00B32CE4">
        <w:rPr>
          <w:color w:val="000000" w:themeColor="text1"/>
          <w:szCs w:val="20"/>
        </w:rPr>
        <w:t>in</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FLP.</w:t>
      </w:r>
      <w:r w:rsidR="00C64050" w:rsidRPr="00B32CE4">
        <w:rPr>
          <w:color w:val="000000" w:themeColor="text1"/>
          <w:szCs w:val="20"/>
        </w:rPr>
        <w:t xml:space="preserve"> </w:t>
      </w:r>
      <w:r w:rsidRPr="00B32CE4">
        <w:rPr>
          <w:color w:val="000000" w:themeColor="text1"/>
          <w:szCs w:val="20"/>
        </w:rPr>
        <w:t>Here</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parties’</w:t>
      </w:r>
      <w:r w:rsidR="00C64050" w:rsidRPr="00B32CE4">
        <w:rPr>
          <w:color w:val="000000" w:themeColor="text1"/>
          <w:szCs w:val="20"/>
        </w:rPr>
        <w:t xml:space="preserve"> </w:t>
      </w:r>
      <w:r w:rsidRPr="00B32CE4">
        <w:rPr>
          <w:color w:val="000000" w:themeColor="text1"/>
          <w:szCs w:val="20"/>
        </w:rPr>
        <w:t>estimations</w:t>
      </w:r>
      <w:r w:rsidR="00C64050" w:rsidRPr="00B32CE4">
        <w:rPr>
          <w:color w:val="000000" w:themeColor="text1"/>
          <w:szCs w:val="20"/>
        </w:rPr>
        <w:t xml:space="preserve"> </w:t>
      </w:r>
      <w:r w:rsidRPr="00B32CE4">
        <w:rPr>
          <w:color w:val="000000" w:themeColor="text1"/>
          <w:szCs w:val="20"/>
        </w:rPr>
        <w:t>diverge.</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estate</w:t>
      </w:r>
      <w:r w:rsidR="00C64050" w:rsidRPr="00B32CE4">
        <w:rPr>
          <w:color w:val="000000" w:themeColor="text1"/>
          <w:szCs w:val="20"/>
        </w:rPr>
        <w:t xml:space="preserve"> </w:t>
      </w:r>
      <w:r w:rsidRPr="00B32CE4">
        <w:rPr>
          <w:color w:val="000000" w:themeColor="text1"/>
          <w:szCs w:val="20"/>
        </w:rPr>
        <w:t>says</w:t>
      </w:r>
      <w:r w:rsidR="00C64050" w:rsidRPr="00B32CE4">
        <w:rPr>
          <w:color w:val="000000" w:themeColor="text1"/>
          <w:szCs w:val="20"/>
        </w:rPr>
        <w:t xml:space="preserve"> </w:t>
      </w:r>
      <w:r w:rsidRPr="00B32CE4">
        <w:rPr>
          <w:color w:val="000000" w:themeColor="text1"/>
          <w:szCs w:val="20"/>
        </w:rPr>
        <w:t>that</w:t>
      </w:r>
      <w:r w:rsidR="00C64050" w:rsidRPr="00B32CE4">
        <w:rPr>
          <w:color w:val="000000" w:themeColor="text1"/>
          <w:szCs w:val="20"/>
        </w:rPr>
        <w:t xml:space="preserve"> </w:t>
      </w:r>
      <w:r w:rsidRPr="00B32CE4">
        <w:rPr>
          <w:color w:val="000000" w:themeColor="text1"/>
          <w:szCs w:val="20"/>
        </w:rPr>
        <w:t>Moore</w:t>
      </w:r>
      <w:r w:rsidR="00C64050" w:rsidRPr="00B32CE4">
        <w:rPr>
          <w:color w:val="000000" w:themeColor="text1"/>
          <w:szCs w:val="20"/>
        </w:rPr>
        <w:t xml:space="preserve"> </w:t>
      </w:r>
      <w:r w:rsidRPr="00B32CE4">
        <w:rPr>
          <w:color w:val="000000" w:themeColor="text1"/>
          <w:szCs w:val="20"/>
        </w:rPr>
        <w:t>got</w:t>
      </w:r>
      <w:r w:rsidR="00C64050" w:rsidRPr="00B32CE4">
        <w:rPr>
          <w:color w:val="000000" w:themeColor="text1"/>
          <w:szCs w:val="20"/>
        </w:rPr>
        <w:t xml:space="preserve"> </w:t>
      </w:r>
      <w:r w:rsidRPr="00B32CE4">
        <w:rPr>
          <w:color w:val="000000" w:themeColor="text1"/>
          <w:szCs w:val="20"/>
        </w:rPr>
        <w:t>an</w:t>
      </w:r>
      <w:r w:rsidR="00C64050" w:rsidRPr="00B32CE4">
        <w:rPr>
          <w:color w:val="000000" w:themeColor="text1"/>
          <w:szCs w:val="20"/>
        </w:rPr>
        <w:t xml:space="preserve"> </w:t>
      </w:r>
      <w:r w:rsidRPr="00B32CE4">
        <w:rPr>
          <w:color w:val="000000" w:themeColor="text1"/>
          <w:szCs w:val="20"/>
        </w:rPr>
        <w:t>interest</w:t>
      </w:r>
      <w:r w:rsidR="00C64050" w:rsidRPr="00B32CE4">
        <w:rPr>
          <w:color w:val="000000" w:themeColor="text1"/>
          <w:szCs w:val="20"/>
        </w:rPr>
        <w:t xml:space="preserve"> </w:t>
      </w:r>
      <w:r w:rsidRPr="00B32CE4">
        <w:rPr>
          <w:color w:val="000000" w:themeColor="text1"/>
          <w:szCs w:val="20"/>
        </w:rPr>
        <w:t>in</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FLP</w:t>
      </w:r>
      <w:r w:rsidR="00C64050" w:rsidRPr="00B32CE4">
        <w:rPr>
          <w:color w:val="000000" w:themeColor="text1"/>
          <w:szCs w:val="20"/>
        </w:rPr>
        <w:t xml:space="preserve"> </w:t>
      </w:r>
      <w:r w:rsidRPr="00B32CE4">
        <w:rPr>
          <w:color w:val="000000" w:themeColor="text1"/>
          <w:szCs w:val="20"/>
        </w:rPr>
        <w:t>worth</w:t>
      </w:r>
      <w:r w:rsidR="00C64050" w:rsidRPr="00B32CE4">
        <w:rPr>
          <w:color w:val="000000" w:themeColor="text1"/>
          <w:szCs w:val="20"/>
        </w:rPr>
        <w:t xml:space="preserve"> </w:t>
      </w:r>
      <w:r w:rsidRPr="00B32CE4">
        <w:rPr>
          <w:color w:val="000000" w:themeColor="text1"/>
          <w:szCs w:val="20"/>
        </w:rPr>
        <w:t>about</w:t>
      </w:r>
      <w:r w:rsidR="00C64050" w:rsidRPr="00B32CE4">
        <w:rPr>
          <w:color w:val="000000" w:themeColor="text1"/>
          <w:szCs w:val="20"/>
        </w:rPr>
        <w:t xml:space="preserve"> </w:t>
      </w:r>
      <w:r w:rsidRPr="00B32CE4">
        <w:rPr>
          <w:color w:val="000000" w:themeColor="text1"/>
          <w:szCs w:val="20"/>
        </w:rPr>
        <w:t>$5.3</w:t>
      </w:r>
      <w:r w:rsidR="00C64050" w:rsidRPr="00B32CE4">
        <w:rPr>
          <w:color w:val="000000" w:themeColor="text1"/>
          <w:szCs w:val="20"/>
        </w:rPr>
        <w:t xml:space="preserve"> </w:t>
      </w:r>
      <w:r w:rsidRPr="00B32CE4">
        <w:rPr>
          <w:color w:val="000000" w:themeColor="text1"/>
          <w:szCs w:val="20"/>
        </w:rPr>
        <w:t>million;</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Commissioner</w:t>
      </w:r>
      <w:r w:rsidR="00C64050" w:rsidRPr="00B32CE4">
        <w:rPr>
          <w:color w:val="000000" w:themeColor="text1"/>
          <w:szCs w:val="20"/>
        </w:rPr>
        <w:t xml:space="preserve"> </w:t>
      </w:r>
      <w:r w:rsidRPr="00B32CE4">
        <w:rPr>
          <w:color w:val="000000" w:themeColor="text1"/>
          <w:szCs w:val="20"/>
        </w:rPr>
        <w:t>argues</w:t>
      </w:r>
      <w:r w:rsidR="00C64050" w:rsidRPr="00B32CE4">
        <w:rPr>
          <w:color w:val="000000" w:themeColor="text1"/>
          <w:szCs w:val="20"/>
        </w:rPr>
        <w:t xml:space="preserve"> </w:t>
      </w:r>
      <w:r w:rsidRPr="00B32CE4">
        <w:rPr>
          <w:color w:val="000000" w:themeColor="text1"/>
          <w:szCs w:val="20"/>
        </w:rPr>
        <w:t>that</w:t>
      </w:r>
      <w:r w:rsidR="00C64050" w:rsidRPr="00B32CE4">
        <w:rPr>
          <w:color w:val="000000" w:themeColor="text1"/>
          <w:szCs w:val="20"/>
        </w:rPr>
        <w:t xml:space="preserve"> </w:t>
      </w:r>
      <w:r w:rsidRPr="00B32CE4">
        <w:rPr>
          <w:color w:val="000000" w:themeColor="text1"/>
          <w:szCs w:val="20"/>
        </w:rPr>
        <w:t>it</w:t>
      </w:r>
      <w:r w:rsidR="00C64050" w:rsidRPr="00B32CE4">
        <w:rPr>
          <w:color w:val="000000" w:themeColor="text1"/>
          <w:szCs w:val="20"/>
        </w:rPr>
        <w:t xml:space="preserve"> </w:t>
      </w:r>
      <w:r w:rsidRPr="00B32CE4">
        <w:rPr>
          <w:color w:val="000000" w:themeColor="text1"/>
          <w:szCs w:val="20"/>
        </w:rPr>
        <w:t>was</w:t>
      </w:r>
      <w:r w:rsidR="00C64050" w:rsidRPr="00B32CE4">
        <w:rPr>
          <w:color w:val="000000" w:themeColor="text1"/>
          <w:szCs w:val="20"/>
        </w:rPr>
        <w:t xml:space="preserve"> </w:t>
      </w:r>
      <w:r w:rsidRPr="00B32CE4">
        <w:rPr>
          <w:color w:val="000000" w:themeColor="text1"/>
          <w:szCs w:val="20"/>
        </w:rPr>
        <w:t>worth</w:t>
      </w:r>
      <w:r w:rsidR="00C64050" w:rsidRPr="00B32CE4">
        <w:rPr>
          <w:color w:val="000000" w:themeColor="text1"/>
          <w:szCs w:val="20"/>
        </w:rPr>
        <w:t xml:space="preserve"> </w:t>
      </w:r>
      <w:r w:rsidRPr="00B32CE4">
        <w:rPr>
          <w:color w:val="000000" w:themeColor="text1"/>
          <w:szCs w:val="20"/>
        </w:rPr>
        <w:t>about</w:t>
      </w:r>
      <w:r w:rsidR="00C64050" w:rsidRPr="00B32CE4">
        <w:rPr>
          <w:color w:val="000000" w:themeColor="text1"/>
          <w:szCs w:val="20"/>
        </w:rPr>
        <w:t xml:space="preserve"> </w:t>
      </w:r>
      <w:r w:rsidRPr="00B32CE4">
        <w:rPr>
          <w:color w:val="000000" w:themeColor="text1"/>
          <w:szCs w:val="20"/>
        </w:rPr>
        <w:t>$8.5</w:t>
      </w:r>
      <w:r w:rsidR="00C64050" w:rsidRPr="00B32CE4">
        <w:rPr>
          <w:color w:val="000000" w:themeColor="text1"/>
          <w:szCs w:val="20"/>
        </w:rPr>
        <w:t xml:space="preserve"> </w:t>
      </w:r>
      <w:r w:rsidRPr="00B32CE4">
        <w:rPr>
          <w:color w:val="000000" w:themeColor="text1"/>
          <w:szCs w:val="20"/>
        </w:rPr>
        <w:t>million.</w:t>
      </w:r>
      <w:r w:rsidR="00C64050" w:rsidRPr="00B32CE4">
        <w:rPr>
          <w:color w:val="000000" w:themeColor="text1"/>
          <w:szCs w:val="20"/>
        </w:rPr>
        <w:t xml:space="preserve"> </w:t>
      </w:r>
      <w:r w:rsidRPr="00B32CE4">
        <w:rPr>
          <w:color w:val="000000" w:themeColor="text1"/>
          <w:szCs w:val="20"/>
        </w:rPr>
        <w:t>Because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brief</w:t>
      </w:r>
      <w:r w:rsidR="00C64050" w:rsidRPr="00B32CE4">
        <w:rPr>
          <w:color w:val="000000" w:themeColor="text1"/>
          <w:szCs w:val="20"/>
        </w:rPr>
        <w:t xml:space="preserve"> </w:t>
      </w:r>
      <w:r w:rsidRPr="00B32CE4">
        <w:rPr>
          <w:color w:val="000000" w:themeColor="text1"/>
          <w:szCs w:val="20"/>
        </w:rPr>
        <w:t>time</w:t>
      </w:r>
      <w:r w:rsidR="00C64050" w:rsidRPr="00B32CE4">
        <w:rPr>
          <w:color w:val="000000" w:themeColor="text1"/>
          <w:szCs w:val="20"/>
        </w:rPr>
        <w:t xml:space="preserve"> </w:t>
      </w:r>
      <w:r w:rsidRPr="00B32CE4">
        <w:rPr>
          <w:color w:val="000000" w:themeColor="text1"/>
          <w:szCs w:val="20"/>
        </w:rPr>
        <w:t>between</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challenged</w:t>
      </w:r>
      <w:r w:rsidR="00C64050" w:rsidRPr="00B32CE4">
        <w:rPr>
          <w:color w:val="000000" w:themeColor="text1"/>
          <w:szCs w:val="20"/>
        </w:rPr>
        <w:t xml:space="preserve"> </w:t>
      </w:r>
      <w:r w:rsidRPr="00B32CE4">
        <w:rPr>
          <w:color w:val="000000" w:themeColor="text1"/>
          <w:szCs w:val="20"/>
        </w:rPr>
        <w:t>transfer</w:t>
      </w:r>
      <w:r w:rsidR="00C64050" w:rsidRPr="00B32CE4">
        <w:rPr>
          <w:color w:val="000000" w:themeColor="text1"/>
          <w:szCs w:val="20"/>
        </w:rPr>
        <w:t xml:space="preserve"> </w:t>
      </w:r>
      <w:r w:rsidRPr="00B32CE4">
        <w:rPr>
          <w:color w:val="000000" w:themeColor="text1"/>
          <w:szCs w:val="20"/>
        </w:rPr>
        <w:t>and</w:t>
      </w:r>
      <w:r w:rsidR="00C64050" w:rsidRPr="00B32CE4">
        <w:rPr>
          <w:color w:val="000000" w:themeColor="text1"/>
          <w:szCs w:val="20"/>
        </w:rPr>
        <w:t xml:space="preserve"> </w:t>
      </w:r>
      <w:r w:rsidRPr="00B32CE4">
        <w:rPr>
          <w:color w:val="000000" w:themeColor="text1"/>
          <w:szCs w:val="20"/>
        </w:rPr>
        <w:t>Moore’s</w:t>
      </w:r>
      <w:r w:rsidR="00C64050" w:rsidRPr="00B32CE4">
        <w:rPr>
          <w:color w:val="000000" w:themeColor="text1"/>
          <w:szCs w:val="20"/>
        </w:rPr>
        <w:t xml:space="preserve"> </w:t>
      </w:r>
      <w:r w:rsidRPr="00B32CE4">
        <w:rPr>
          <w:color w:val="000000" w:themeColor="text1"/>
          <w:szCs w:val="20"/>
        </w:rPr>
        <w:t>death,</w:t>
      </w:r>
      <w:r w:rsidR="00C64050" w:rsidRPr="00B32CE4">
        <w:rPr>
          <w:color w:val="000000" w:themeColor="text1"/>
          <w:szCs w:val="20"/>
        </w:rPr>
        <w:t xml:space="preserve"> </w:t>
      </w:r>
      <w:r w:rsidRPr="00B32CE4">
        <w:rPr>
          <w:color w:val="000000" w:themeColor="text1"/>
          <w:szCs w:val="20"/>
        </w:rPr>
        <w:t>we</w:t>
      </w:r>
      <w:r w:rsidR="00C64050" w:rsidRPr="00B32CE4">
        <w:rPr>
          <w:color w:val="000000" w:themeColor="text1"/>
          <w:szCs w:val="20"/>
        </w:rPr>
        <w:t xml:space="preserve"> </w:t>
      </w:r>
      <w:r w:rsidRPr="00B32CE4">
        <w:rPr>
          <w:color w:val="000000" w:themeColor="text1"/>
          <w:szCs w:val="20"/>
        </w:rPr>
        <w:t>find</w:t>
      </w:r>
      <w:r w:rsidR="00C64050" w:rsidRPr="00B32CE4">
        <w:rPr>
          <w:color w:val="000000" w:themeColor="text1"/>
          <w:szCs w:val="20"/>
        </w:rPr>
        <w:t xml:space="preserve"> </w:t>
      </w:r>
      <w:r w:rsidRPr="00B32CE4">
        <w:rPr>
          <w:color w:val="000000" w:themeColor="text1"/>
          <w:szCs w:val="20"/>
        </w:rPr>
        <w:t>it</w:t>
      </w:r>
      <w:r w:rsidR="00C64050" w:rsidRPr="00B32CE4">
        <w:rPr>
          <w:color w:val="000000" w:themeColor="text1"/>
          <w:szCs w:val="20"/>
        </w:rPr>
        <w:t xml:space="preserve"> </w:t>
      </w:r>
      <w:r w:rsidRPr="00B32CE4">
        <w:rPr>
          <w:color w:val="000000" w:themeColor="text1"/>
          <w:szCs w:val="20"/>
        </w:rPr>
        <w:t>more</w:t>
      </w:r>
      <w:r w:rsidR="00C64050" w:rsidRPr="00B32CE4">
        <w:rPr>
          <w:color w:val="000000" w:themeColor="text1"/>
          <w:szCs w:val="20"/>
        </w:rPr>
        <w:t xml:space="preserve"> </w:t>
      </w:r>
      <w:r w:rsidRPr="00B32CE4">
        <w:rPr>
          <w:color w:val="000000" w:themeColor="text1"/>
          <w:szCs w:val="20"/>
        </w:rPr>
        <w:t>likely</w:t>
      </w:r>
      <w:r w:rsidR="00C64050" w:rsidRPr="00B32CE4">
        <w:rPr>
          <w:color w:val="000000" w:themeColor="text1"/>
          <w:szCs w:val="20"/>
        </w:rPr>
        <w:t xml:space="preserve"> </w:t>
      </w:r>
      <w:r w:rsidRPr="00B32CE4">
        <w:rPr>
          <w:color w:val="000000" w:themeColor="text1"/>
          <w:szCs w:val="20"/>
        </w:rPr>
        <w:t>than</w:t>
      </w:r>
      <w:r w:rsidR="00C64050" w:rsidRPr="00B32CE4">
        <w:rPr>
          <w:color w:val="000000" w:themeColor="text1"/>
          <w:szCs w:val="20"/>
        </w:rPr>
        <w:t xml:space="preserve"> </w:t>
      </w:r>
      <w:r w:rsidRPr="00B32CE4">
        <w:rPr>
          <w:color w:val="000000" w:themeColor="text1"/>
          <w:szCs w:val="20"/>
        </w:rPr>
        <w:t>not</w:t>
      </w:r>
      <w:r w:rsidR="00C64050" w:rsidRPr="00B32CE4">
        <w:rPr>
          <w:color w:val="000000" w:themeColor="text1"/>
          <w:szCs w:val="20"/>
        </w:rPr>
        <w:t xml:space="preserve"> </w:t>
      </w:r>
      <w:r w:rsidRPr="00B32CE4">
        <w:rPr>
          <w:color w:val="000000" w:themeColor="text1"/>
          <w:szCs w:val="20"/>
        </w:rPr>
        <w:t>that</w:t>
      </w:r>
      <w:r w:rsidR="00C64050" w:rsidRPr="00B32CE4">
        <w:rPr>
          <w:color w:val="000000" w:themeColor="text1"/>
          <w:szCs w:val="20"/>
        </w:rPr>
        <w:t xml:space="preserve"> </w:t>
      </w:r>
      <w:r w:rsidRPr="00B32CE4">
        <w:rPr>
          <w:color w:val="000000" w:themeColor="text1"/>
          <w:szCs w:val="20"/>
        </w:rPr>
        <w:t>this</w:t>
      </w:r>
      <w:r w:rsidR="00C64050" w:rsidRPr="00B32CE4">
        <w:rPr>
          <w:color w:val="000000" w:themeColor="text1"/>
          <w:szCs w:val="20"/>
        </w:rPr>
        <w:t xml:space="preserve"> </w:t>
      </w:r>
      <w:r w:rsidRPr="00B32CE4">
        <w:rPr>
          <w:color w:val="000000" w:themeColor="text1"/>
          <w:szCs w:val="20"/>
        </w:rPr>
        <w:t>value--whether</w:t>
      </w:r>
      <w:r w:rsidR="00C64050" w:rsidRPr="00B32CE4">
        <w:rPr>
          <w:color w:val="000000" w:themeColor="text1"/>
          <w:szCs w:val="20"/>
        </w:rPr>
        <w:t xml:space="preserve"> </w:t>
      </w:r>
      <w:r w:rsidRPr="00B32CE4">
        <w:rPr>
          <w:color w:val="000000" w:themeColor="text1"/>
          <w:szCs w:val="20"/>
        </w:rPr>
        <w:t>it</w:t>
      </w:r>
      <w:r w:rsidR="00C64050" w:rsidRPr="00B32CE4">
        <w:rPr>
          <w:color w:val="000000" w:themeColor="text1"/>
          <w:szCs w:val="20"/>
        </w:rPr>
        <w:t xml:space="preserve"> </w:t>
      </w:r>
      <w:r w:rsidRPr="00B32CE4">
        <w:rPr>
          <w:color w:val="000000" w:themeColor="text1"/>
          <w:szCs w:val="20"/>
        </w:rPr>
        <w:t>was</w:t>
      </w:r>
      <w:r w:rsidR="00C64050" w:rsidRPr="00B32CE4">
        <w:rPr>
          <w:color w:val="000000" w:themeColor="text1"/>
          <w:szCs w:val="20"/>
        </w:rPr>
        <w:t xml:space="preserve"> </w:t>
      </w:r>
      <w:r w:rsidRPr="00B32CE4">
        <w:rPr>
          <w:color w:val="000000" w:themeColor="text1"/>
          <w:szCs w:val="20"/>
        </w:rPr>
        <w:t>$5.3</w:t>
      </w:r>
      <w:r w:rsidR="00C64050" w:rsidRPr="00B32CE4">
        <w:rPr>
          <w:color w:val="000000" w:themeColor="text1"/>
          <w:szCs w:val="20"/>
        </w:rPr>
        <w:t xml:space="preserve"> </w:t>
      </w:r>
      <w:r w:rsidRPr="00B32CE4">
        <w:rPr>
          <w:color w:val="000000" w:themeColor="text1"/>
          <w:szCs w:val="20"/>
        </w:rPr>
        <w:t>million</w:t>
      </w:r>
      <w:r w:rsidR="00C64050" w:rsidRPr="00B32CE4">
        <w:rPr>
          <w:color w:val="000000" w:themeColor="text1"/>
          <w:szCs w:val="20"/>
        </w:rPr>
        <w:t xml:space="preserve"> </w:t>
      </w:r>
      <w:r w:rsidRPr="00B32CE4">
        <w:rPr>
          <w:color w:val="000000" w:themeColor="text1"/>
          <w:szCs w:val="20"/>
        </w:rPr>
        <w:t>or</w:t>
      </w:r>
      <w:r w:rsidR="00C64050" w:rsidRPr="00B32CE4">
        <w:rPr>
          <w:color w:val="000000" w:themeColor="text1"/>
          <w:szCs w:val="20"/>
        </w:rPr>
        <w:t xml:space="preserve"> </w:t>
      </w:r>
      <w:r w:rsidRPr="00B32CE4">
        <w:rPr>
          <w:color w:val="000000" w:themeColor="text1"/>
          <w:szCs w:val="20"/>
        </w:rPr>
        <w:t>$8.5</w:t>
      </w:r>
      <w:r w:rsidR="00C64050" w:rsidRPr="00B32CE4">
        <w:rPr>
          <w:color w:val="000000" w:themeColor="text1"/>
          <w:szCs w:val="20"/>
        </w:rPr>
        <w:t xml:space="preserve"> </w:t>
      </w:r>
      <w:r w:rsidRPr="00B32CE4">
        <w:rPr>
          <w:color w:val="000000" w:themeColor="text1"/>
          <w:szCs w:val="20"/>
        </w:rPr>
        <w:t>million--did</w:t>
      </w:r>
      <w:r w:rsidR="00C64050" w:rsidRPr="00B32CE4">
        <w:rPr>
          <w:color w:val="000000" w:themeColor="text1"/>
          <w:szCs w:val="20"/>
        </w:rPr>
        <w:t xml:space="preserve"> </w:t>
      </w:r>
      <w:r w:rsidRPr="00B32CE4">
        <w:rPr>
          <w:color w:val="000000" w:themeColor="text1"/>
          <w:szCs w:val="20"/>
        </w:rPr>
        <w:t>not</w:t>
      </w:r>
      <w:r w:rsidR="00C64050" w:rsidRPr="00B32CE4">
        <w:rPr>
          <w:color w:val="000000" w:themeColor="text1"/>
          <w:szCs w:val="20"/>
        </w:rPr>
        <w:t xml:space="preserve"> </w:t>
      </w:r>
      <w:r w:rsidRPr="00B32CE4">
        <w:rPr>
          <w:color w:val="000000" w:themeColor="text1"/>
          <w:szCs w:val="20"/>
        </w:rPr>
        <w:t>change</w:t>
      </w:r>
      <w:r w:rsidR="00C64050" w:rsidRPr="00B32CE4">
        <w:rPr>
          <w:color w:val="000000" w:themeColor="text1"/>
          <w:szCs w:val="20"/>
        </w:rPr>
        <w:t xml:space="preserve"> </w:t>
      </w:r>
      <w:r w:rsidRPr="00B32CE4">
        <w:rPr>
          <w:color w:val="000000" w:themeColor="text1"/>
          <w:szCs w:val="20"/>
        </w:rPr>
        <w:t>between</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time</w:t>
      </w:r>
      <w:r w:rsidR="00C64050" w:rsidRPr="00B32CE4">
        <w:rPr>
          <w:color w:val="000000" w:themeColor="text1"/>
          <w:szCs w:val="20"/>
        </w:rPr>
        <w:t xml:space="preserve"> </w:t>
      </w:r>
      <w:r w:rsidRPr="00B32CE4">
        <w:rPr>
          <w:color w:val="000000" w:themeColor="text1"/>
          <w:szCs w:val="20"/>
        </w:rPr>
        <w:t>Moore</w:t>
      </w:r>
      <w:r w:rsidR="00C64050" w:rsidRPr="00B32CE4">
        <w:rPr>
          <w:color w:val="000000" w:themeColor="text1"/>
          <w:szCs w:val="20"/>
        </w:rPr>
        <w:t xml:space="preserve"> </w:t>
      </w:r>
      <w:r w:rsidRPr="00B32CE4">
        <w:rPr>
          <w:color w:val="000000" w:themeColor="text1"/>
          <w:szCs w:val="20"/>
        </w:rPr>
        <w:t>received</w:t>
      </w:r>
      <w:r w:rsidR="00C64050" w:rsidRPr="00B32CE4">
        <w:rPr>
          <w:color w:val="000000" w:themeColor="text1"/>
          <w:szCs w:val="20"/>
        </w:rPr>
        <w:t xml:space="preserve"> </w:t>
      </w:r>
      <w:r w:rsidRPr="00B32CE4">
        <w:rPr>
          <w:color w:val="000000" w:themeColor="text1"/>
          <w:szCs w:val="20"/>
        </w:rPr>
        <w:t>it</w:t>
      </w:r>
      <w:r w:rsidR="00C64050" w:rsidRPr="00B32CE4">
        <w:rPr>
          <w:color w:val="000000" w:themeColor="text1"/>
          <w:szCs w:val="20"/>
        </w:rPr>
        <w:t xml:space="preserve"> </w:t>
      </w:r>
      <w:r w:rsidRPr="00B32CE4">
        <w:rPr>
          <w:color w:val="000000" w:themeColor="text1"/>
          <w:szCs w:val="20"/>
        </w:rPr>
        <w:t>and</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time</w:t>
      </w:r>
      <w:r w:rsidR="00C64050" w:rsidRPr="00B32CE4">
        <w:rPr>
          <w:color w:val="000000" w:themeColor="text1"/>
          <w:szCs w:val="20"/>
        </w:rPr>
        <w:t xml:space="preserve"> </w:t>
      </w:r>
      <w:r w:rsidRPr="00B32CE4">
        <w:rPr>
          <w:color w:val="000000" w:themeColor="text1"/>
          <w:szCs w:val="20"/>
        </w:rPr>
        <w:t>he</w:t>
      </w:r>
      <w:r w:rsidR="00C64050" w:rsidRPr="00B32CE4">
        <w:rPr>
          <w:color w:val="000000" w:themeColor="text1"/>
          <w:szCs w:val="20"/>
        </w:rPr>
        <w:t xml:space="preserve"> </w:t>
      </w:r>
      <w:r w:rsidRPr="00B32CE4">
        <w:rPr>
          <w:color w:val="000000" w:themeColor="text1"/>
          <w:szCs w:val="20"/>
        </w:rPr>
        <w:t>died.</w:t>
      </w:r>
      <w:r w:rsidR="00C64050" w:rsidRPr="00B32CE4">
        <w:rPr>
          <w:color w:val="000000" w:themeColor="text1"/>
          <w:szCs w:val="20"/>
        </w:rPr>
        <w:t xml:space="preserve"> </w:t>
      </w:r>
      <w:r w:rsidRPr="00B32CE4">
        <w:rPr>
          <w:color w:val="000000" w:themeColor="text1"/>
          <w:szCs w:val="20"/>
        </w:rPr>
        <w:t>On</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facts</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these</w:t>
      </w:r>
      <w:r w:rsidR="00C64050" w:rsidRPr="00B32CE4">
        <w:rPr>
          <w:color w:val="000000" w:themeColor="text1"/>
          <w:szCs w:val="20"/>
        </w:rPr>
        <w:t xml:space="preserve"> </w:t>
      </w:r>
      <w:r w:rsidRPr="00B32CE4">
        <w:rPr>
          <w:color w:val="000000" w:themeColor="text1"/>
          <w:szCs w:val="20"/>
        </w:rPr>
        <w:t>cases,</w:t>
      </w:r>
      <w:r w:rsidR="00C64050" w:rsidRPr="00B32CE4">
        <w:rPr>
          <w:color w:val="000000" w:themeColor="text1"/>
          <w:szCs w:val="20"/>
        </w:rPr>
        <w:t xml:space="preserve"> </w:t>
      </w:r>
      <w:r w:rsidRPr="00B32CE4">
        <w:rPr>
          <w:color w:val="000000" w:themeColor="text1"/>
          <w:szCs w:val="20"/>
        </w:rPr>
        <w:t>then,</w:t>
      </w:r>
      <w:r w:rsidR="00C64050" w:rsidRPr="00B32CE4">
        <w:rPr>
          <w:color w:val="000000" w:themeColor="text1"/>
          <w:szCs w:val="20"/>
        </w:rPr>
        <w:t xml:space="preserve"> </w:t>
      </w:r>
      <w:r w:rsidRPr="00B32CE4">
        <w:rPr>
          <w:color w:val="000000" w:themeColor="text1"/>
          <w:szCs w:val="20"/>
        </w:rPr>
        <w:t>we</w:t>
      </w:r>
      <w:r w:rsidR="00C64050" w:rsidRPr="00B32CE4">
        <w:rPr>
          <w:color w:val="000000" w:themeColor="text1"/>
          <w:szCs w:val="20"/>
        </w:rPr>
        <w:t xml:space="preserve"> </w:t>
      </w:r>
      <w:r w:rsidRPr="00B32CE4">
        <w:rPr>
          <w:color w:val="000000" w:themeColor="text1"/>
          <w:szCs w:val="20"/>
        </w:rPr>
        <w:t>don’t</w:t>
      </w:r>
      <w:r w:rsidR="00C64050" w:rsidRPr="00B32CE4">
        <w:rPr>
          <w:color w:val="000000" w:themeColor="text1"/>
          <w:szCs w:val="20"/>
        </w:rPr>
        <w:t xml:space="preserve"> </w:t>
      </w:r>
      <w:r w:rsidRPr="00B32CE4">
        <w:rPr>
          <w:color w:val="000000" w:themeColor="text1"/>
          <w:szCs w:val="20"/>
        </w:rPr>
        <w:t>think</w:t>
      </w:r>
      <w:r w:rsidR="00C64050" w:rsidRPr="00B32CE4">
        <w:rPr>
          <w:color w:val="000000" w:themeColor="text1"/>
          <w:szCs w:val="20"/>
        </w:rPr>
        <w:t xml:space="preserve"> </w:t>
      </w:r>
      <w:r w:rsidRPr="00B32CE4">
        <w:rPr>
          <w:color w:val="000000" w:themeColor="text1"/>
          <w:szCs w:val="20"/>
        </w:rPr>
        <w:t>this</w:t>
      </w:r>
      <w:r w:rsidR="00C64050" w:rsidRPr="00B32CE4">
        <w:rPr>
          <w:color w:val="000000" w:themeColor="text1"/>
          <w:szCs w:val="20"/>
        </w:rPr>
        <w:t xml:space="preserve"> </w:t>
      </w:r>
      <w:r w:rsidRPr="00B32CE4">
        <w:rPr>
          <w:color w:val="000000" w:themeColor="text1"/>
          <w:szCs w:val="20"/>
        </w:rPr>
        <w:t>dispute</w:t>
      </w:r>
      <w:r w:rsidR="00C64050" w:rsidRPr="00B32CE4">
        <w:rPr>
          <w:color w:val="000000" w:themeColor="text1"/>
          <w:szCs w:val="20"/>
        </w:rPr>
        <w:t xml:space="preserve"> </w:t>
      </w:r>
      <w:r w:rsidRPr="00B32CE4">
        <w:rPr>
          <w:color w:val="000000" w:themeColor="text1"/>
          <w:szCs w:val="20"/>
        </w:rPr>
        <w:t>matters</w:t>
      </w:r>
      <w:r w:rsidR="00C64050" w:rsidRPr="00B32CE4">
        <w:rPr>
          <w:color w:val="000000" w:themeColor="text1"/>
          <w:szCs w:val="20"/>
        </w:rPr>
        <w:t xml:space="preserve"> </w:t>
      </w:r>
      <w:r w:rsidRPr="00B32CE4">
        <w:rPr>
          <w:color w:val="000000" w:themeColor="text1"/>
          <w:szCs w:val="20"/>
        </w:rPr>
        <w:t>because</w:t>
      </w:r>
      <w:r w:rsidR="00C64050" w:rsidRPr="00B32CE4">
        <w:rPr>
          <w:color w:val="000000" w:themeColor="text1"/>
          <w:szCs w:val="20"/>
        </w:rPr>
        <w:t xml:space="preserve"> </w:t>
      </w:r>
      <w:r w:rsidRPr="00B32CE4">
        <w:rPr>
          <w:color w:val="000000" w:themeColor="text1"/>
          <w:szCs w:val="20"/>
        </w:rPr>
        <w:t>we</w:t>
      </w:r>
      <w:r w:rsidR="00C64050" w:rsidRPr="00B32CE4">
        <w:rPr>
          <w:color w:val="000000" w:themeColor="text1"/>
          <w:szCs w:val="20"/>
        </w:rPr>
        <w:t xml:space="preserve"> </w:t>
      </w:r>
      <w:r w:rsidRPr="00B32CE4">
        <w:rPr>
          <w:color w:val="000000" w:themeColor="text1"/>
          <w:szCs w:val="20"/>
        </w:rPr>
        <w:t>would</w:t>
      </w:r>
      <w:r w:rsidR="00C64050" w:rsidRPr="00B32CE4">
        <w:rPr>
          <w:color w:val="000000" w:themeColor="text1"/>
          <w:szCs w:val="20"/>
        </w:rPr>
        <w:t xml:space="preserve"> </w:t>
      </w:r>
      <w:r w:rsidRPr="00B32CE4">
        <w:rPr>
          <w:color w:val="000000" w:themeColor="text1"/>
          <w:szCs w:val="20"/>
        </w:rPr>
        <w:t>add</w:t>
      </w:r>
      <w:r w:rsidR="00C64050" w:rsidRPr="00B32CE4">
        <w:rPr>
          <w:color w:val="000000" w:themeColor="text1"/>
          <w:szCs w:val="20"/>
        </w:rPr>
        <w:t xml:space="preserve"> </w:t>
      </w:r>
      <w:r w:rsidRPr="00B32CE4">
        <w:rPr>
          <w:color w:val="000000" w:themeColor="text1"/>
          <w:szCs w:val="20"/>
        </w:rPr>
        <w:t>back</w:t>
      </w:r>
      <w:r w:rsidR="00C64050" w:rsidRPr="00B32CE4">
        <w:rPr>
          <w:color w:val="000000" w:themeColor="text1"/>
          <w:szCs w:val="20"/>
        </w:rPr>
        <w:t xml:space="preserve"> </w:t>
      </w:r>
      <w:r w:rsidRPr="00B32CE4">
        <w:rPr>
          <w:color w:val="000000" w:themeColor="text1"/>
          <w:szCs w:val="20"/>
        </w:rPr>
        <w:t>either</w:t>
      </w:r>
      <w:r w:rsidR="00C64050" w:rsidRPr="00B32CE4">
        <w:rPr>
          <w:color w:val="000000" w:themeColor="text1"/>
          <w:szCs w:val="20"/>
        </w:rPr>
        <w:t xml:space="preserve"> </w:t>
      </w:r>
      <w:r w:rsidRPr="00B32CE4">
        <w:rPr>
          <w:color w:val="000000" w:themeColor="text1"/>
          <w:szCs w:val="20"/>
        </w:rPr>
        <w:t>figure</w:t>
      </w:r>
      <w:r w:rsidR="00C64050" w:rsidRPr="00B32CE4">
        <w:rPr>
          <w:color w:val="000000" w:themeColor="text1"/>
          <w:szCs w:val="20"/>
        </w:rPr>
        <w:t xml:space="preserve"> </w:t>
      </w:r>
      <w:r w:rsidRPr="00B32CE4">
        <w:rPr>
          <w:color w:val="000000" w:themeColor="text1"/>
          <w:szCs w:val="20"/>
        </w:rPr>
        <w:t>after</w:t>
      </w:r>
      <w:r w:rsidR="00C64050" w:rsidRPr="00B32CE4">
        <w:rPr>
          <w:color w:val="000000" w:themeColor="text1"/>
          <w:szCs w:val="20"/>
        </w:rPr>
        <w:t xml:space="preserve"> </w:t>
      </w:r>
      <w:r w:rsidRPr="00B32CE4">
        <w:rPr>
          <w:color w:val="000000" w:themeColor="text1"/>
          <w:szCs w:val="20"/>
        </w:rPr>
        <w:t>subtracting</w:t>
      </w:r>
      <w:r w:rsidR="00C64050" w:rsidRPr="00B32CE4">
        <w:rPr>
          <w:color w:val="000000" w:themeColor="text1"/>
          <w:szCs w:val="20"/>
        </w:rPr>
        <w:t xml:space="preserve"> </w:t>
      </w:r>
      <w:r w:rsidRPr="00B32CE4">
        <w:rPr>
          <w:color w:val="000000" w:themeColor="text1"/>
          <w:szCs w:val="20"/>
        </w:rPr>
        <w:t>it.</w:t>
      </w:r>
    </w:p>
    <w:p w:rsidR="00D66AAD" w:rsidRPr="00B32CE4" w:rsidRDefault="00D66AAD" w:rsidP="00D66AAD">
      <w:pPr>
        <w:pStyle w:val="QS10"/>
        <w:rPr>
          <w:color w:val="000000" w:themeColor="text1"/>
          <w:szCs w:val="20"/>
        </w:rPr>
      </w:pPr>
      <w:r w:rsidRPr="00B32CE4">
        <w:rPr>
          <w:color w:val="000000" w:themeColor="text1"/>
          <w:szCs w:val="20"/>
        </w:rPr>
        <w:t>With</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value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consideration</w:t>
      </w:r>
      <w:r w:rsidR="00C64050" w:rsidRPr="00B32CE4">
        <w:rPr>
          <w:color w:val="000000" w:themeColor="text1"/>
          <w:szCs w:val="20"/>
        </w:rPr>
        <w:t xml:space="preserve"> </w:t>
      </w:r>
      <w:r w:rsidRPr="00B32CE4">
        <w:rPr>
          <w:color w:val="000000" w:themeColor="text1"/>
          <w:szCs w:val="20"/>
        </w:rPr>
        <w:t>that</w:t>
      </w:r>
      <w:r w:rsidR="00C64050" w:rsidRPr="00B32CE4">
        <w:rPr>
          <w:color w:val="000000" w:themeColor="text1"/>
          <w:szCs w:val="20"/>
        </w:rPr>
        <w:t xml:space="preserve"> </w:t>
      </w:r>
      <w:r w:rsidRPr="00B32CE4">
        <w:rPr>
          <w:color w:val="000000" w:themeColor="text1"/>
          <w:szCs w:val="20"/>
        </w:rPr>
        <w:t>Moore</w:t>
      </w:r>
      <w:r w:rsidR="00C64050" w:rsidRPr="00B32CE4">
        <w:rPr>
          <w:color w:val="000000" w:themeColor="text1"/>
          <w:szCs w:val="20"/>
        </w:rPr>
        <w:t xml:space="preserve"> </w:t>
      </w:r>
      <w:r w:rsidRPr="00B32CE4">
        <w:rPr>
          <w:color w:val="000000" w:themeColor="text1"/>
          <w:szCs w:val="20"/>
        </w:rPr>
        <w:t>received</w:t>
      </w:r>
      <w:r w:rsidR="00C64050" w:rsidRPr="00B32CE4">
        <w:rPr>
          <w:color w:val="000000" w:themeColor="text1"/>
          <w:szCs w:val="20"/>
        </w:rPr>
        <w:t xml:space="preserve"> </w:t>
      </w:r>
      <w:r w:rsidRPr="00B32CE4">
        <w:rPr>
          <w:color w:val="000000" w:themeColor="text1"/>
          <w:szCs w:val="20"/>
        </w:rPr>
        <w:t>measured</w:t>
      </w:r>
      <w:r w:rsidR="00C64050" w:rsidRPr="00B32CE4">
        <w:rPr>
          <w:color w:val="000000" w:themeColor="text1"/>
          <w:szCs w:val="20"/>
        </w:rPr>
        <w:t xml:space="preserve"> </w:t>
      </w:r>
      <w:r w:rsidRPr="00B32CE4">
        <w:rPr>
          <w:color w:val="000000" w:themeColor="text1"/>
          <w:szCs w:val="20"/>
        </w:rPr>
        <w:t>at</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time</w:t>
      </w:r>
      <w:r w:rsidR="00C64050" w:rsidRPr="00B32CE4">
        <w:rPr>
          <w:color w:val="000000" w:themeColor="text1"/>
          <w:szCs w:val="20"/>
        </w:rPr>
        <w:t xml:space="preserve"> </w:t>
      </w:r>
      <w:r w:rsidRPr="00B32CE4">
        <w:rPr>
          <w:color w:val="000000" w:themeColor="text1"/>
          <w:szCs w:val="20"/>
        </w:rPr>
        <w:t>he</w:t>
      </w:r>
      <w:r w:rsidR="00C64050" w:rsidRPr="00B32CE4">
        <w:rPr>
          <w:color w:val="000000" w:themeColor="text1"/>
          <w:szCs w:val="20"/>
        </w:rPr>
        <w:t xml:space="preserve"> </w:t>
      </w:r>
      <w:r w:rsidRPr="00B32CE4">
        <w:rPr>
          <w:color w:val="000000" w:themeColor="text1"/>
          <w:szCs w:val="20"/>
        </w:rPr>
        <w:t>received</w:t>
      </w:r>
      <w:r w:rsidR="00C64050" w:rsidRPr="00B32CE4">
        <w:rPr>
          <w:color w:val="000000" w:themeColor="text1"/>
          <w:szCs w:val="20"/>
        </w:rPr>
        <w:t xml:space="preserve"> </w:t>
      </w:r>
      <w:r w:rsidRPr="00B32CE4">
        <w:rPr>
          <w:color w:val="000000" w:themeColor="text1"/>
          <w:szCs w:val="20"/>
        </w:rPr>
        <w:t>it</w:t>
      </w:r>
      <w:r w:rsidR="00C64050" w:rsidRPr="00B32CE4">
        <w:rPr>
          <w:color w:val="000000" w:themeColor="text1"/>
          <w:szCs w:val="20"/>
        </w:rPr>
        <w:t xml:space="preserve"> </w:t>
      </w:r>
      <w:r w:rsidRPr="00B32CE4">
        <w:rPr>
          <w:color w:val="000000" w:themeColor="text1"/>
          <w:szCs w:val="20"/>
        </w:rPr>
        <w:t>equal</w:t>
      </w:r>
      <w:r w:rsidR="00C64050" w:rsidRPr="00B32CE4">
        <w:rPr>
          <w:color w:val="000000" w:themeColor="text1"/>
          <w:szCs w:val="20"/>
        </w:rPr>
        <w:t xml:space="preserve"> </w:t>
      </w:r>
      <w:r w:rsidRPr="00B32CE4">
        <w:rPr>
          <w:color w:val="000000" w:themeColor="text1"/>
          <w:szCs w:val="20"/>
        </w:rPr>
        <w:t>to</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value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consideration</w:t>
      </w:r>
      <w:r w:rsidR="00C64050" w:rsidRPr="00B32CE4">
        <w:rPr>
          <w:color w:val="000000" w:themeColor="text1"/>
          <w:szCs w:val="20"/>
        </w:rPr>
        <w:t xml:space="preserve"> </w:t>
      </w:r>
      <w:r w:rsidRPr="00B32CE4">
        <w:rPr>
          <w:color w:val="000000" w:themeColor="text1"/>
          <w:szCs w:val="20"/>
        </w:rPr>
        <w:t>that</w:t>
      </w:r>
      <w:r w:rsidR="00C64050" w:rsidRPr="00B32CE4">
        <w:rPr>
          <w:color w:val="000000" w:themeColor="text1"/>
          <w:szCs w:val="20"/>
        </w:rPr>
        <w:t xml:space="preserve"> </w:t>
      </w:r>
      <w:r w:rsidRPr="00B32CE4">
        <w:rPr>
          <w:color w:val="000000" w:themeColor="text1"/>
          <w:szCs w:val="20"/>
        </w:rPr>
        <w:t>remained</w:t>
      </w:r>
      <w:r w:rsidR="00C64050" w:rsidRPr="00B32CE4">
        <w:rPr>
          <w:color w:val="000000" w:themeColor="text1"/>
          <w:szCs w:val="20"/>
        </w:rPr>
        <w:t xml:space="preserve"> </w:t>
      </w:r>
      <w:r w:rsidRPr="00B32CE4">
        <w:rPr>
          <w:color w:val="000000" w:themeColor="text1"/>
          <w:szCs w:val="20"/>
        </w:rPr>
        <w:t>in</w:t>
      </w:r>
      <w:r w:rsidR="00C64050" w:rsidRPr="00B32CE4">
        <w:rPr>
          <w:color w:val="000000" w:themeColor="text1"/>
          <w:szCs w:val="20"/>
        </w:rPr>
        <w:t xml:space="preserve"> </w:t>
      </w:r>
      <w:r w:rsidRPr="00B32CE4">
        <w:rPr>
          <w:color w:val="000000" w:themeColor="text1"/>
          <w:szCs w:val="20"/>
        </w:rPr>
        <w:t>his</w:t>
      </w:r>
      <w:r w:rsidR="00C64050" w:rsidRPr="00B32CE4">
        <w:rPr>
          <w:color w:val="000000" w:themeColor="text1"/>
          <w:szCs w:val="20"/>
        </w:rPr>
        <w:t xml:space="preserve"> </w:t>
      </w:r>
      <w:r w:rsidRPr="00B32CE4">
        <w:rPr>
          <w:color w:val="000000" w:themeColor="text1"/>
          <w:szCs w:val="20"/>
        </w:rPr>
        <w:t>estate</w:t>
      </w:r>
      <w:r w:rsidR="00C64050" w:rsidRPr="00B32CE4">
        <w:rPr>
          <w:color w:val="000000" w:themeColor="text1"/>
          <w:szCs w:val="20"/>
        </w:rPr>
        <w:t xml:space="preserve"> </w:t>
      </w:r>
      <w:r w:rsidRPr="00B32CE4">
        <w:rPr>
          <w:color w:val="000000" w:themeColor="text1"/>
          <w:szCs w:val="20"/>
        </w:rPr>
        <w:t>at</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time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his</w:t>
      </w:r>
      <w:r w:rsidR="00C64050" w:rsidRPr="00B32CE4">
        <w:rPr>
          <w:color w:val="000000" w:themeColor="text1"/>
          <w:szCs w:val="20"/>
        </w:rPr>
        <w:t xml:space="preserve"> </w:t>
      </w:r>
      <w:r w:rsidRPr="00B32CE4">
        <w:rPr>
          <w:color w:val="000000" w:themeColor="text1"/>
          <w:szCs w:val="20"/>
        </w:rPr>
        <w:t>death,</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equation</w:t>
      </w:r>
      <w:r w:rsidR="00C64050" w:rsidRPr="00B32CE4">
        <w:rPr>
          <w:color w:val="000000" w:themeColor="text1"/>
          <w:szCs w:val="20"/>
        </w:rPr>
        <w:t xml:space="preserve"> </w:t>
      </w:r>
      <w:r w:rsidRPr="00B32CE4">
        <w:rPr>
          <w:color w:val="000000" w:themeColor="text1"/>
          <w:szCs w:val="20"/>
        </w:rPr>
        <w:t>thus</w:t>
      </w:r>
      <w:r w:rsidR="00C64050" w:rsidRPr="00B32CE4">
        <w:rPr>
          <w:color w:val="000000" w:themeColor="text1"/>
          <w:szCs w:val="20"/>
        </w:rPr>
        <w:t xml:space="preserve"> </w:t>
      </w:r>
      <w:r w:rsidRPr="00B32CE4">
        <w:rPr>
          <w:color w:val="000000" w:themeColor="text1"/>
          <w:szCs w:val="20"/>
        </w:rPr>
        <w:t>far</w:t>
      </w:r>
      <w:r w:rsidR="00C64050" w:rsidRPr="00B32CE4">
        <w:rPr>
          <w:color w:val="000000" w:themeColor="text1"/>
          <w:szCs w:val="20"/>
        </w:rPr>
        <w:t xml:space="preserve"> </w:t>
      </w:r>
      <w:r w:rsidRPr="00B32CE4">
        <w:rPr>
          <w:color w:val="000000" w:themeColor="text1"/>
          <w:szCs w:val="20"/>
        </w:rPr>
        <w:t>is:</w:t>
      </w:r>
    </w:p>
    <w:p w:rsidR="00D66AAD" w:rsidRPr="00B32CE4" w:rsidRDefault="00D66AAD" w:rsidP="00D66AAD">
      <w:pPr>
        <w:pStyle w:val="QS10"/>
        <w:rPr>
          <w:color w:val="000000" w:themeColor="text1"/>
          <w:szCs w:val="20"/>
        </w:rPr>
      </w:pPr>
      <w:r w:rsidRPr="00B32CE4">
        <w:rPr>
          <w:color w:val="000000" w:themeColor="text1"/>
          <w:szCs w:val="20"/>
        </w:rPr>
        <w:t>(Either</w:t>
      </w:r>
      <w:r w:rsidR="00C64050" w:rsidRPr="00B32CE4">
        <w:rPr>
          <w:color w:val="000000" w:themeColor="text1"/>
          <w:szCs w:val="20"/>
        </w:rPr>
        <w:t xml:space="preserve"> </w:t>
      </w:r>
      <w:r w:rsidRPr="00B32CE4">
        <w:rPr>
          <w:color w:val="000000" w:themeColor="text1"/>
          <w:szCs w:val="20"/>
        </w:rPr>
        <w:t>$5.3</w:t>
      </w:r>
      <w:r w:rsidR="00C64050" w:rsidRPr="00B32CE4">
        <w:rPr>
          <w:color w:val="000000" w:themeColor="text1"/>
          <w:szCs w:val="20"/>
        </w:rPr>
        <w:t xml:space="preserve"> </w:t>
      </w:r>
      <w:r w:rsidRPr="00B32CE4">
        <w:rPr>
          <w:color w:val="000000" w:themeColor="text1"/>
          <w:szCs w:val="20"/>
        </w:rPr>
        <w:t>million</w:t>
      </w:r>
      <w:r w:rsidR="00C64050" w:rsidRPr="00B32CE4">
        <w:rPr>
          <w:color w:val="000000" w:themeColor="text1"/>
          <w:szCs w:val="20"/>
        </w:rPr>
        <w:t xml:space="preserve"> </w:t>
      </w:r>
      <w:r w:rsidRPr="00B32CE4">
        <w:rPr>
          <w:color w:val="000000" w:themeColor="text1"/>
          <w:szCs w:val="20"/>
        </w:rPr>
        <w:t>or</w:t>
      </w:r>
      <w:r w:rsidR="00C64050" w:rsidRPr="00B32CE4">
        <w:rPr>
          <w:color w:val="000000" w:themeColor="text1"/>
          <w:szCs w:val="20"/>
        </w:rPr>
        <w:t xml:space="preserve"> </w:t>
      </w:r>
      <w:r w:rsidRPr="00B32CE4">
        <w:rPr>
          <w:color w:val="000000" w:themeColor="text1"/>
          <w:szCs w:val="20"/>
        </w:rPr>
        <w:t>$8.5</w:t>
      </w:r>
      <w:r w:rsidR="00C64050" w:rsidRPr="00B32CE4">
        <w:rPr>
          <w:color w:val="000000" w:themeColor="text1"/>
          <w:szCs w:val="20"/>
        </w:rPr>
        <w:t xml:space="preserve"> </w:t>
      </w:r>
      <w:r w:rsidRPr="00B32CE4">
        <w:rPr>
          <w:color w:val="000000" w:themeColor="text1"/>
          <w:szCs w:val="20"/>
        </w:rPr>
        <w:t>million</w:t>
      </w:r>
      <w:r w:rsidR="00C64050" w:rsidRPr="00B32CE4">
        <w:rPr>
          <w:color w:val="000000" w:themeColor="text1"/>
          <w:szCs w:val="20"/>
        </w:rPr>
        <w:t xml:space="preserve"> </w:t>
      </w:r>
      <w:r w:rsidRPr="00B32CE4">
        <w:rPr>
          <w:color w:val="000000" w:themeColor="text1"/>
          <w:szCs w:val="20"/>
        </w:rPr>
        <w:t>+</w:t>
      </w:r>
      <w:r w:rsidR="00C64050" w:rsidRPr="00B32CE4">
        <w:rPr>
          <w:color w:val="000000" w:themeColor="text1"/>
          <w:szCs w:val="20"/>
        </w:rPr>
        <w:t xml:space="preserve"> </w:t>
      </w:r>
      <w:r w:rsidRPr="00B32CE4">
        <w:rPr>
          <w:color w:val="000000" w:themeColor="text1"/>
          <w:szCs w:val="20"/>
        </w:rPr>
        <w:t>(.2</w:t>
      </w:r>
      <w:r w:rsidR="00C64050" w:rsidRPr="00B32CE4">
        <w:rPr>
          <w:color w:val="000000" w:themeColor="text1"/>
          <w:szCs w:val="20"/>
        </w:rPr>
        <w:t xml:space="preserve"> </w:t>
      </w:r>
      <w:r w:rsidRPr="00B32CE4">
        <w:rPr>
          <w:color w:val="000000" w:themeColor="text1"/>
          <w:szCs w:val="20"/>
        </w:rPr>
        <w:t>*</w:t>
      </w:r>
      <w:r w:rsidR="00C64050" w:rsidRPr="00B32CE4">
        <w:rPr>
          <w:color w:val="000000" w:themeColor="text1"/>
          <w:szCs w:val="20"/>
        </w:rPr>
        <w:t xml:space="preserve"> </w:t>
      </w:r>
      <w:r w:rsidRPr="00B32CE4">
        <w:rPr>
          <w:color w:val="000000" w:themeColor="text1"/>
          <w:szCs w:val="20"/>
        </w:rPr>
        <w:t>value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farm</w:t>
      </w:r>
      <w:r w:rsidR="00C64050" w:rsidRPr="00B32CE4">
        <w:rPr>
          <w:color w:val="000000" w:themeColor="text1"/>
          <w:szCs w:val="20"/>
        </w:rPr>
        <w:t xml:space="preserve"> </w:t>
      </w:r>
      <w:r w:rsidRPr="00B32CE4">
        <w:rPr>
          <w:color w:val="000000" w:themeColor="text1"/>
          <w:szCs w:val="20"/>
        </w:rPr>
        <w:t>at</w:t>
      </w:r>
      <w:r w:rsidR="00C64050" w:rsidRPr="00B32CE4">
        <w:rPr>
          <w:color w:val="000000" w:themeColor="text1"/>
          <w:szCs w:val="20"/>
        </w:rPr>
        <w:t xml:space="preserve"> </w:t>
      </w:r>
      <w:r w:rsidRPr="00B32CE4">
        <w:rPr>
          <w:color w:val="000000" w:themeColor="text1"/>
          <w:szCs w:val="20"/>
        </w:rPr>
        <w:t>date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death))</w:t>
      </w:r>
      <w:r w:rsidR="00C64050" w:rsidRPr="00B32CE4">
        <w:rPr>
          <w:color w:val="000000" w:themeColor="text1"/>
          <w:szCs w:val="20"/>
        </w:rPr>
        <w:t xml:space="preserve"> </w:t>
      </w:r>
      <w:r w:rsidRPr="00B32CE4">
        <w:rPr>
          <w:color w:val="000000" w:themeColor="text1"/>
          <w:szCs w:val="20"/>
        </w:rPr>
        <w:t>+</w:t>
      </w:r>
      <w:r w:rsidR="00C64050" w:rsidRPr="00B32CE4">
        <w:rPr>
          <w:color w:val="000000" w:themeColor="text1"/>
          <w:szCs w:val="20"/>
        </w:rPr>
        <w:t xml:space="preserve"> </w:t>
      </w:r>
      <w:r w:rsidRPr="00B32CE4">
        <w:rPr>
          <w:color w:val="000000" w:themeColor="text1"/>
          <w:szCs w:val="20"/>
        </w:rPr>
        <w:t>((value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farm</w:t>
      </w:r>
      <w:r w:rsidR="00C64050" w:rsidRPr="00B32CE4">
        <w:rPr>
          <w:color w:val="000000" w:themeColor="text1"/>
          <w:szCs w:val="20"/>
        </w:rPr>
        <w:t xml:space="preserve"> </w:t>
      </w:r>
      <w:r w:rsidRPr="00B32CE4">
        <w:rPr>
          <w:color w:val="000000" w:themeColor="text1"/>
          <w:szCs w:val="20"/>
        </w:rPr>
        <w:t>at</w:t>
      </w:r>
      <w:r w:rsidR="00C64050" w:rsidRPr="00B32CE4">
        <w:rPr>
          <w:color w:val="000000" w:themeColor="text1"/>
          <w:szCs w:val="20"/>
        </w:rPr>
        <w:t xml:space="preserve"> </w:t>
      </w:r>
      <w:r w:rsidRPr="00B32CE4">
        <w:rPr>
          <w:color w:val="000000" w:themeColor="text1"/>
          <w:szCs w:val="20"/>
        </w:rPr>
        <w:t>date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death)</w:t>
      </w:r>
      <w:r w:rsidR="00C64050" w:rsidRPr="00B32CE4">
        <w:rPr>
          <w:color w:val="000000" w:themeColor="text1"/>
          <w:szCs w:val="20"/>
        </w:rPr>
        <w:t xml:space="preserve"> </w:t>
      </w:r>
      <w:r w:rsidRPr="00B32CE4">
        <w:rPr>
          <w:color w:val="000000" w:themeColor="text1"/>
          <w:szCs w:val="20"/>
        </w:rPr>
        <w:t>-</w:t>
      </w:r>
      <w:r w:rsidR="00C64050" w:rsidRPr="00B32CE4">
        <w:rPr>
          <w:color w:val="000000" w:themeColor="text1"/>
          <w:szCs w:val="20"/>
        </w:rPr>
        <w:t xml:space="preserve"> </w:t>
      </w:r>
      <w:r w:rsidRPr="00B32CE4">
        <w:rPr>
          <w:color w:val="000000" w:themeColor="text1"/>
          <w:szCs w:val="20"/>
        </w:rPr>
        <w:t>((either</w:t>
      </w:r>
      <w:r w:rsidR="00C64050" w:rsidRPr="00B32CE4">
        <w:rPr>
          <w:color w:val="000000" w:themeColor="text1"/>
          <w:szCs w:val="20"/>
        </w:rPr>
        <w:t xml:space="preserve"> </w:t>
      </w:r>
      <w:r w:rsidRPr="00B32CE4">
        <w:rPr>
          <w:color w:val="000000" w:themeColor="text1"/>
          <w:szCs w:val="20"/>
        </w:rPr>
        <w:t>$5.3</w:t>
      </w:r>
      <w:r w:rsidR="00C64050" w:rsidRPr="00B32CE4">
        <w:rPr>
          <w:color w:val="000000" w:themeColor="text1"/>
          <w:szCs w:val="20"/>
        </w:rPr>
        <w:t xml:space="preserve"> </w:t>
      </w:r>
      <w:r w:rsidRPr="00B32CE4">
        <w:rPr>
          <w:color w:val="000000" w:themeColor="text1"/>
          <w:szCs w:val="20"/>
        </w:rPr>
        <w:t>million</w:t>
      </w:r>
      <w:r w:rsidR="00C64050" w:rsidRPr="00B32CE4">
        <w:rPr>
          <w:color w:val="000000" w:themeColor="text1"/>
          <w:szCs w:val="20"/>
        </w:rPr>
        <w:t xml:space="preserve"> </w:t>
      </w:r>
      <w:r w:rsidRPr="00B32CE4">
        <w:rPr>
          <w:color w:val="000000" w:themeColor="text1"/>
          <w:szCs w:val="20"/>
        </w:rPr>
        <w:t>or</w:t>
      </w:r>
      <w:r w:rsidR="00C64050" w:rsidRPr="00B32CE4">
        <w:rPr>
          <w:color w:val="000000" w:themeColor="text1"/>
          <w:szCs w:val="20"/>
        </w:rPr>
        <w:t xml:space="preserve"> </w:t>
      </w:r>
      <w:r w:rsidRPr="00B32CE4">
        <w:rPr>
          <w:color w:val="000000" w:themeColor="text1"/>
          <w:szCs w:val="20"/>
        </w:rPr>
        <w:t>$8.5</w:t>
      </w:r>
      <w:r w:rsidR="00C64050" w:rsidRPr="00B32CE4">
        <w:rPr>
          <w:color w:val="000000" w:themeColor="text1"/>
          <w:szCs w:val="20"/>
        </w:rPr>
        <w:t xml:space="preserve"> </w:t>
      </w:r>
      <w:r w:rsidRPr="00B32CE4">
        <w:rPr>
          <w:color w:val="000000" w:themeColor="text1"/>
          <w:szCs w:val="20"/>
        </w:rPr>
        <w:t>million)</w:t>
      </w:r>
      <w:r w:rsidR="00C64050" w:rsidRPr="00B32CE4">
        <w:rPr>
          <w:color w:val="000000" w:themeColor="text1"/>
          <w:szCs w:val="20"/>
        </w:rPr>
        <w:t xml:space="preserve"> </w:t>
      </w:r>
      <w:r w:rsidRPr="00B32CE4">
        <w:rPr>
          <w:color w:val="000000" w:themeColor="text1"/>
          <w:szCs w:val="20"/>
        </w:rPr>
        <w:t>+</w:t>
      </w:r>
      <w:r w:rsidR="00C64050" w:rsidRPr="00B32CE4">
        <w:rPr>
          <w:color w:val="000000" w:themeColor="text1"/>
          <w:szCs w:val="20"/>
        </w:rPr>
        <w:t xml:space="preserve"> </w:t>
      </w:r>
      <w:r w:rsidRPr="00B32CE4">
        <w:rPr>
          <w:color w:val="000000" w:themeColor="text1"/>
          <w:szCs w:val="20"/>
        </w:rPr>
        <w:t>(.2</w:t>
      </w:r>
      <w:r w:rsidR="00C64050" w:rsidRPr="00B32CE4">
        <w:rPr>
          <w:color w:val="000000" w:themeColor="text1"/>
          <w:szCs w:val="20"/>
        </w:rPr>
        <w:t xml:space="preserve"> </w:t>
      </w:r>
      <w:r w:rsidRPr="00B32CE4">
        <w:rPr>
          <w:color w:val="000000" w:themeColor="text1"/>
          <w:szCs w:val="20"/>
        </w:rPr>
        <w:t>*</w:t>
      </w:r>
      <w:r w:rsidR="00C64050" w:rsidRPr="00B32CE4">
        <w:rPr>
          <w:color w:val="000000" w:themeColor="text1"/>
          <w:szCs w:val="20"/>
        </w:rPr>
        <w:t xml:space="preserve"> </w:t>
      </w:r>
      <w:r w:rsidRPr="00B32CE4">
        <w:rPr>
          <w:color w:val="000000" w:themeColor="text1"/>
          <w:szCs w:val="20"/>
        </w:rPr>
        <w:t>value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farm</w:t>
      </w:r>
      <w:r w:rsidR="00C64050" w:rsidRPr="00B32CE4">
        <w:rPr>
          <w:color w:val="000000" w:themeColor="text1"/>
          <w:szCs w:val="20"/>
        </w:rPr>
        <w:t xml:space="preserve"> </w:t>
      </w:r>
      <w:r w:rsidRPr="00B32CE4">
        <w:rPr>
          <w:color w:val="000000" w:themeColor="text1"/>
          <w:szCs w:val="20"/>
        </w:rPr>
        <w:t>at</w:t>
      </w:r>
      <w:r w:rsidR="00C64050" w:rsidRPr="00B32CE4">
        <w:rPr>
          <w:color w:val="000000" w:themeColor="text1"/>
          <w:szCs w:val="20"/>
        </w:rPr>
        <w:t xml:space="preserve"> </w:t>
      </w:r>
      <w:r w:rsidRPr="00B32CE4">
        <w:rPr>
          <w:color w:val="000000" w:themeColor="text1"/>
          <w:szCs w:val="20"/>
        </w:rPr>
        <w:t>date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death))).</w:t>
      </w:r>
    </w:p>
    <w:p w:rsidR="00D66AAD" w:rsidRPr="00B32CE4" w:rsidRDefault="00D66AAD" w:rsidP="00D66AAD">
      <w:pPr>
        <w:pStyle w:val="QS10"/>
        <w:rPr>
          <w:color w:val="000000" w:themeColor="text1"/>
          <w:szCs w:val="20"/>
        </w:rPr>
      </w:pPr>
      <w:r w:rsidRPr="00B32CE4">
        <w:rPr>
          <w:rStyle w:val="Emphasis"/>
          <w:color w:val="000000" w:themeColor="text1"/>
          <w:szCs w:val="20"/>
        </w:rPr>
        <w:t>C</w:t>
      </w:r>
      <w:r w:rsidRPr="00B32CE4">
        <w:rPr>
          <w:rStyle w:val="Emphasis"/>
          <w:color w:val="000000" w:themeColor="text1"/>
          <w:szCs w:val="20"/>
          <w:vertAlign w:val="subscript"/>
        </w:rPr>
        <w:t>d.</w:t>
      </w:r>
      <w:r w:rsidR="00C64050" w:rsidRPr="00B32CE4">
        <w:rPr>
          <w:color w:val="000000" w:themeColor="text1"/>
          <w:szCs w:val="20"/>
        </w:rPr>
        <w:t xml:space="preserve"> </w:t>
      </w:r>
      <w:r w:rsidRPr="00B32CE4">
        <w:rPr>
          <w:color w:val="000000" w:themeColor="text1"/>
          <w:szCs w:val="20"/>
        </w:rPr>
        <w:t>This</w:t>
      </w:r>
      <w:r w:rsidR="00C64050" w:rsidRPr="00B32CE4">
        <w:rPr>
          <w:color w:val="000000" w:themeColor="text1"/>
          <w:szCs w:val="20"/>
        </w:rPr>
        <w:t xml:space="preserve"> </w:t>
      </w:r>
      <w:r w:rsidRPr="00B32CE4">
        <w:rPr>
          <w:color w:val="000000" w:themeColor="text1"/>
          <w:szCs w:val="20"/>
        </w:rPr>
        <w:t>variable,</w:t>
      </w:r>
      <w:r w:rsidR="00C64050" w:rsidRPr="00B32CE4">
        <w:rPr>
          <w:color w:val="000000" w:themeColor="text1"/>
          <w:szCs w:val="20"/>
        </w:rPr>
        <w:t xml:space="preserve"> </w:t>
      </w:r>
      <w:r w:rsidRPr="00B32CE4">
        <w:rPr>
          <w:color w:val="000000" w:themeColor="text1"/>
          <w:szCs w:val="20"/>
        </w:rPr>
        <w:t>however,</w:t>
      </w:r>
      <w:r w:rsidR="00C64050" w:rsidRPr="00B32CE4">
        <w:rPr>
          <w:color w:val="000000" w:themeColor="text1"/>
          <w:szCs w:val="20"/>
        </w:rPr>
        <w:t xml:space="preserve"> </w:t>
      </w:r>
      <w:r w:rsidRPr="00B32CE4">
        <w:rPr>
          <w:color w:val="000000" w:themeColor="text1"/>
          <w:szCs w:val="20"/>
        </w:rPr>
        <w:t>is</w:t>
      </w:r>
      <w:r w:rsidR="00C64050" w:rsidRPr="00B32CE4">
        <w:rPr>
          <w:color w:val="000000" w:themeColor="text1"/>
          <w:szCs w:val="20"/>
        </w:rPr>
        <w:t xml:space="preserve"> </w:t>
      </w:r>
      <w:r w:rsidRPr="00B32CE4">
        <w:rPr>
          <w:color w:val="000000" w:themeColor="text1"/>
          <w:szCs w:val="20"/>
        </w:rPr>
        <w:t>not</w:t>
      </w:r>
      <w:r w:rsidR="00C64050" w:rsidRPr="00B32CE4">
        <w:rPr>
          <w:color w:val="000000" w:themeColor="text1"/>
          <w:szCs w:val="20"/>
        </w:rPr>
        <w:t xml:space="preserve"> </w:t>
      </w:r>
      <w:r w:rsidRPr="00B32CE4">
        <w:rPr>
          <w:color w:val="000000" w:themeColor="text1"/>
          <w:szCs w:val="20"/>
        </w:rPr>
        <w:t>simply</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value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consideration</w:t>
      </w:r>
      <w:r w:rsidR="00C64050" w:rsidRPr="00B32CE4">
        <w:rPr>
          <w:color w:val="000000" w:themeColor="text1"/>
          <w:szCs w:val="20"/>
        </w:rPr>
        <w:t xml:space="preserve"> </w:t>
      </w:r>
      <w:r w:rsidRPr="00B32CE4">
        <w:rPr>
          <w:color w:val="000000" w:themeColor="text1"/>
          <w:szCs w:val="20"/>
        </w:rPr>
        <w:t>from</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challenged</w:t>
      </w:r>
      <w:r w:rsidR="00C64050" w:rsidRPr="00B32CE4">
        <w:rPr>
          <w:color w:val="000000" w:themeColor="text1"/>
          <w:szCs w:val="20"/>
        </w:rPr>
        <w:t xml:space="preserve"> </w:t>
      </w:r>
      <w:r w:rsidRPr="00B32CE4">
        <w:rPr>
          <w:color w:val="000000" w:themeColor="text1"/>
          <w:szCs w:val="20"/>
        </w:rPr>
        <w:t>transaction.</w:t>
      </w:r>
      <w:r w:rsidR="00C64050" w:rsidRPr="00B32CE4">
        <w:rPr>
          <w:color w:val="000000" w:themeColor="text1"/>
          <w:szCs w:val="20"/>
        </w:rPr>
        <w:t xml:space="preserve"> </w:t>
      </w:r>
      <w:r w:rsidRPr="00B32CE4">
        <w:rPr>
          <w:color w:val="000000" w:themeColor="text1"/>
          <w:szCs w:val="20"/>
        </w:rPr>
        <w:t>Section</w:t>
      </w:r>
      <w:r w:rsidR="00C64050" w:rsidRPr="00B32CE4">
        <w:rPr>
          <w:color w:val="000000" w:themeColor="text1"/>
          <w:szCs w:val="20"/>
        </w:rPr>
        <w:t xml:space="preserve"> </w:t>
      </w:r>
      <w:r w:rsidRPr="00B32CE4">
        <w:rPr>
          <w:color w:val="000000" w:themeColor="text1"/>
          <w:szCs w:val="20"/>
        </w:rPr>
        <w:t>2033</w:t>
      </w:r>
      <w:r w:rsidR="00C64050" w:rsidRPr="00B32CE4">
        <w:rPr>
          <w:color w:val="000000" w:themeColor="text1"/>
          <w:szCs w:val="20"/>
        </w:rPr>
        <w:t xml:space="preserve"> </w:t>
      </w:r>
      <w:r w:rsidRPr="00B32CE4">
        <w:rPr>
          <w:color w:val="000000" w:themeColor="text1"/>
          <w:szCs w:val="20"/>
        </w:rPr>
        <w:t>tells</w:t>
      </w:r>
      <w:r w:rsidR="00C64050" w:rsidRPr="00B32CE4">
        <w:rPr>
          <w:color w:val="000000" w:themeColor="text1"/>
          <w:szCs w:val="20"/>
        </w:rPr>
        <w:t xml:space="preserve"> </w:t>
      </w:r>
      <w:r w:rsidRPr="00B32CE4">
        <w:rPr>
          <w:color w:val="000000" w:themeColor="text1"/>
          <w:szCs w:val="20"/>
        </w:rPr>
        <w:t>us</w:t>
      </w:r>
      <w:r w:rsidR="00C64050" w:rsidRPr="00B32CE4">
        <w:rPr>
          <w:color w:val="000000" w:themeColor="text1"/>
          <w:szCs w:val="20"/>
        </w:rPr>
        <w:t xml:space="preserve"> </w:t>
      </w:r>
      <w:r w:rsidRPr="00B32CE4">
        <w:rPr>
          <w:color w:val="000000" w:themeColor="text1"/>
          <w:szCs w:val="20"/>
        </w:rPr>
        <w:t>to</w:t>
      </w:r>
      <w:r w:rsidR="00C64050" w:rsidRPr="00B32CE4">
        <w:rPr>
          <w:color w:val="000000" w:themeColor="text1"/>
          <w:szCs w:val="20"/>
        </w:rPr>
        <w:t xml:space="preserve"> </w:t>
      </w:r>
      <w:r w:rsidRPr="00B32CE4">
        <w:rPr>
          <w:color w:val="000000" w:themeColor="text1"/>
          <w:szCs w:val="20"/>
        </w:rPr>
        <w:t>include</w:t>
      </w:r>
      <w:r w:rsidR="00C64050" w:rsidRPr="00B32CE4">
        <w:rPr>
          <w:color w:val="000000" w:themeColor="text1"/>
          <w:szCs w:val="20"/>
        </w:rPr>
        <w:t xml:space="preserve"> </w:t>
      </w:r>
      <w:r w:rsidRPr="00B32CE4">
        <w:rPr>
          <w:color w:val="000000" w:themeColor="text1"/>
          <w:szCs w:val="20"/>
        </w:rPr>
        <w:t>only</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value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that</w:t>
      </w:r>
      <w:r w:rsidR="00C64050" w:rsidRPr="00B32CE4">
        <w:rPr>
          <w:color w:val="000000" w:themeColor="text1"/>
          <w:szCs w:val="20"/>
        </w:rPr>
        <w:t xml:space="preserve"> </w:t>
      </w:r>
      <w:r w:rsidRPr="00B32CE4">
        <w:rPr>
          <w:color w:val="000000" w:themeColor="text1"/>
          <w:szCs w:val="20"/>
        </w:rPr>
        <w:t>consideration</w:t>
      </w:r>
      <w:r w:rsidR="00C64050" w:rsidRPr="00B32CE4">
        <w:rPr>
          <w:color w:val="000000" w:themeColor="text1"/>
          <w:szCs w:val="20"/>
        </w:rPr>
        <w:t xml:space="preserve"> </w:t>
      </w:r>
      <w:r w:rsidRPr="00B32CE4">
        <w:rPr>
          <w:color w:val="000000" w:themeColor="text1"/>
          <w:szCs w:val="20"/>
        </w:rPr>
        <w:t>that</w:t>
      </w:r>
      <w:r w:rsidR="00C64050" w:rsidRPr="00B32CE4">
        <w:rPr>
          <w:color w:val="000000" w:themeColor="text1"/>
          <w:szCs w:val="20"/>
        </w:rPr>
        <w:t xml:space="preserve"> </w:t>
      </w:r>
      <w:r w:rsidRPr="00B32CE4">
        <w:rPr>
          <w:color w:val="000000" w:themeColor="text1"/>
          <w:szCs w:val="20"/>
        </w:rPr>
        <w:t>remains</w:t>
      </w:r>
      <w:r w:rsidR="00C64050" w:rsidRPr="00B32CE4">
        <w:rPr>
          <w:color w:val="000000" w:themeColor="text1"/>
          <w:szCs w:val="20"/>
        </w:rPr>
        <w:t xml:space="preserve"> </w:t>
      </w:r>
      <w:r w:rsidRPr="00B32CE4">
        <w:rPr>
          <w:color w:val="000000" w:themeColor="text1"/>
          <w:szCs w:val="20"/>
        </w:rPr>
        <w:t>in</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estate</w:t>
      </w:r>
      <w:r w:rsidR="00C64050" w:rsidRPr="00B32CE4">
        <w:rPr>
          <w:color w:val="000000" w:themeColor="text1"/>
          <w:szCs w:val="20"/>
        </w:rPr>
        <w:t xml:space="preserve"> </w:t>
      </w:r>
      <w:r w:rsidRPr="00B32CE4">
        <w:rPr>
          <w:color w:val="000000" w:themeColor="text1"/>
          <w:szCs w:val="20"/>
        </w:rPr>
        <w:t>as</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date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Moore’s</w:t>
      </w:r>
      <w:r w:rsidR="00C64050" w:rsidRPr="00B32CE4">
        <w:rPr>
          <w:color w:val="000000" w:themeColor="text1"/>
          <w:szCs w:val="20"/>
        </w:rPr>
        <w:t xml:space="preserve"> </w:t>
      </w:r>
      <w:r w:rsidRPr="00B32CE4">
        <w:rPr>
          <w:color w:val="000000" w:themeColor="text1"/>
          <w:szCs w:val="20"/>
        </w:rPr>
        <w:t>death.</w:t>
      </w:r>
      <w:r w:rsidR="00C64050" w:rsidRPr="00B32CE4">
        <w:rPr>
          <w:color w:val="000000" w:themeColor="text1"/>
          <w:szCs w:val="20"/>
        </w:rPr>
        <w:t xml:space="preserve"> </w:t>
      </w:r>
      <w:r w:rsidRPr="00B32CE4">
        <w:rPr>
          <w:color w:val="000000" w:themeColor="text1"/>
          <w:szCs w:val="20"/>
        </w:rPr>
        <w:t>To</w:t>
      </w:r>
      <w:r w:rsidR="00C64050" w:rsidRPr="00B32CE4">
        <w:rPr>
          <w:color w:val="000000" w:themeColor="text1"/>
          <w:szCs w:val="20"/>
        </w:rPr>
        <w:t xml:space="preserve"> </w:t>
      </w:r>
      <w:r w:rsidRPr="00B32CE4">
        <w:rPr>
          <w:color w:val="000000" w:themeColor="text1"/>
          <w:szCs w:val="20"/>
        </w:rPr>
        <w:t>get</w:t>
      </w:r>
      <w:r w:rsidR="00C64050" w:rsidRPr="00B32CE4">
        <w:rPr>
          <w:color w:val="000000" w:themeColor="text1"/>
          <w:szCs w:val="20"/>
        </w:rPr>
        <w:t xml:space="preserve"> </w:t>
      </w:r>
      <w:r w:rsidRPr="00B32CE4">
        <w:rPr>
          <w:color w:val="000000" w:themeColor="text1"/>
          <w:szCs w:val="20"/>
        </w:rPr>
        <w:t>to</w:t>
      </w:r>
      <w:r w:rsidR="00C64050" w:rsidRPr="00B32CE4">
        <w:rPr>
          <w:color w:val="000000" w:themeColor="text1"/>
          <w:szCs w:val="20"/>
        </w:rPr>
        <w:t xml:space="preserve"> </w:t>
      </w:r>
      <w:r w:rsidRPr="00B32CE4">
        <w:rPr>
          <w:color w:val="000000" w:themeColor="text1"/>
          <w:szCs w:val="20"/>
        </w:rPr>
        <w:t>this</w:t>
      </w:r>
      <w:r w:rsidR="00C64050" w:rsidRPr="00B32CE4">
        <w:rPr>
          <w:color w:val="000000" w:themeColor="text1"/>
          <w:szCs w:val="20"/>
        </w:rPr>
        <w:t xml:space="preserve"> </w:t>
      </w:r>
      <w:r w:rsidRPr="00B32CE4">
        <w:rPr>
          <w:color w:val="000000" w:themeColor="text1"/>
          <w:szCs w:val="20"/>
        </w:rPr>
        <w:t>number</w:t>
      </w:r>
      <w:r w:rsidR="00C64050" w:rsidRPr="00B32CE4">
        <w:rPr>
          <w:color w:val="000000" w:themeColor="text1"/>
          <w:szCs w:val="20"/>
        </w:rPr>
        <w:t xml:space="preserve"> </w:t>
      </w:r>
      <w:r w:rsidRPr="00B32CE4">
        <w:rPr>
          <w:color w:val="000000" w:themeColor="text1"/>
          <w:szCs w:val="20"/>
        </w:rPr>
        <w:t>we</w:t>
      </w:r>
      <w:r w:rsidR="00C64050" w:rsidRPr="00B32CE4">
        <w:rPr>
          <w:color w:val="000000" w:themeColor="text1"/>
          <w:szCs w:val="20"/>
        </w:rPr>
        <w:t xml:space="preserve"> </w:t>
      </w:r>
      <w:r w:rsidRPr="00B32CE4">
        <w:rPr>
          <w:color w:val="000000" w:themeColor="text1"/>
          <w:szCs w:val="20"/>
        </w:rPr>
        <w:t>have</w:t>
      </w:r>
      <w:r w:rsidR="00C64050" w:rsidRPr="00B32CE4">
        <w:rPr>
          <w:color w:val="000000" w:themeColor="text1"/>
          <w:szCs w:val="20"/>
        </w:rPr>
        <w:t xml:space="preserve"> </w:t>
      </w:r>
      <w:r w:rsidRPr="00B32CE4">
        <w:rPr>
          <w:color w:val="000000" w:themeColor="text1"/>
          <w:szCs w:val="20"/>
        </w:rPr>
        <w:t>to</w:t>
      </w:r>
      <w:r w:rsidR="00C64050" w:rsidRPr="00B32CE4">
        <w:rPr>
          <w:color w:val="000000" w:themeColor="text1"/>
          <w:szCs w:val="20"/>
        </w:rPr>
        <w:t xml:space="preserve"> </w:t>
      </w:r>
      <w:r w:rsidRPr="00B32CE4">
        <w:rPr>
          <w:color w:val="000000" w:themeColor="text1"/>
          <w:szCs w:val="20"/>
        </w:rPr>
        <w:t>look</w:t>
      </w:r>
      <w:r w:rsidR="00C64050" w:rsidRPr="00B32CE4">
        <w:rPr>
          <w:color w:val="000000" w:themeColor="text1"/>
          <w:szCs w:val="20"/>
        </w:rPr>
        <w:t xml:space="preserve"> </w:t>
      </w:r>
      <w:r w:rsidRPr="00B32CE4">
        <w:rPr>
          <w:color w:val="000000" w:themeColor="text1"/>
          <w:szCs w:val="20"/>
        </w:rPr>
        <w:t>for</w:t>
      </w:r>
      <w:r w:rsidR="00C64050" w:rsidRPr="00B32CE4">
        <w:rPr>
          <w:color w:val="000000" w:themeColor="text1"/>
          <w:szCs w:val="20"/>
        </w:rPr>
        <w:t xml:space="preserve"> </w:t>
      </w:r>
      <w:r w:rsidRPr="00B32CE4">
        <w:rPr>
          <w:color w:val="000000" w:themeColor="text1"/>
          <w:szCs w:val="20"/>
        </w:rPr>
        <w:t>any</w:t>
      </w:r>
      <w:r w:rsidR="00C64050" w:rsidRPr="00B32CE4">
        <w:rPr>
          <w:color w:val="000000" w:themeColor="text1"/>
          <w:szCs w:val="20"/>
        </w:rPr>
        <w:t xml:space="preserve"> </w:t>
      </w:r>
      <w:r w:rsidRPr="00B32CE4">
        <w:rPr>
          <w:color w:val="000000" w:themeColor="text1"/>
          <w:szCs w:val="20"/>
        </w:rPr>
        <w:t>money</w:t>
      </w:r>
      <w:r w:rsidR="00C64050" w:rsidRPr="00B32CE4">
        <w:rPr>
          <w:color w:val="000000" w:themeColor="text1"/>
          <w:szCs w:val="20"/>
        </w:rPr>
        <w:t xml:space="preserve"> </w:t>
      </w:r>
      <w:r w:rsidRPr="00B32CE4">
        <w:rPr>
          <w:color w:val="000000" w:themeColor="text1"/>
          <w:szCs w:val="20"/>
        </w:rPr>
        <w:t>that</w:t>
      </w:r>
      <w:r w:rsidR="00C64050" w:rsidRPr="00B32CE4">
        <w:rPr>
          <w:color w:val="000000" w:themeColor="text1"/>
          <w:szCs w:val="20"/>
        </w:rPr>
        <w:t xml:space="preserve"> </w:t>
      </w:r>
      <w:r w:rsidRPr="00B32CE4">
        <w:rPr>
          <w:color w:val="000000" w:themeColor="text1"/>
          <w:szCs w:val="20"/>
        </w:rPr>
        <w:t>left</w:t>
      </w:r>
      <w:r w:rsidR="00C64050" w:rsidRPr="00B32CE4">
        <w:rPr>
          <w:color w:val="000000" w:themeColor="text1"/>
          <w:szCs w:val="20"/>
        </w:rPr>
        <w:t xml:space="preserve"> </w:t>
      </w:r>
      <w:r w:rsidRPr="00B32CE4">
        <w:rPr>
          <w:color w:val="000000" w:themeColor="text1"/>
          <w:szCs w:val="20"/>
        </w:rPr>
        <w:t>that</w:t>
      </w:r>
      <w:r w:rsidR="00C64050" w:rsidRPr="00B32CE4">
        <w:rPr>
          <w:color w:val="000000" w:themeColor="text1"/>
          <w:szCs w:val="20"/>
        </w:rPr>
        <w:t xml:space="preserve"> </w:t>
      </w:r>
      <w:r w:rsidRPr="00B32CE4">
        <w:rPr>
          <w:color w:val="000000" w:themeColor="text1"/>
          <w:szCs w:val="20"/>
        </w:rPr>
        <w:t>estate</w:t>
      </w:r>
      <w:r w:rsidR="00C64050" w:rsidRPr="00B32CE4">
        <w:rPr>
          <w:color w:val="000000" w:themeColor="text1"/>
          <w:szCs w:val="20"/>
        </w:rPr>
        <w:t xml:space="preserve"> </w:t>
      </w:r>
      <w:r w:rsidRPr="00B32CE4">
        <w:rPr>
          <w:color w:val="000000" w:themeColor="text1"/>
          <w:szCs w:val="20"/>
        </w:rPr>
        <w:t>after</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farm’s</w:t>
      </w:r>
      <w:r w:rsidR="00C64050" w:rsidRPr="00B32CE4">
        <w:rPr>
          <w:color w:val="000000" w:themeColor="text1"/>
          <w:szCs w:val="20"/>
        </w:rPr>
        <w:t xml:space="preserve"> </w:t>
      </w:r>
      <w:r w:rsidRPr="00B32CE4">
        <w:rPr>
          <w:color w:val="000000" w:themeColor="text1"/>
          <w:szCs w:val="20"/>
        </w:rPr>
        <w:t>sale</w:t>
      </w:r>
      <w:r w:rsidR="00C64050" w:rsidRPr="00B32CE4">
        <w:rPr>
          <w:color w:val="000000" w:themeColor="text1"/>
          <w:szCs w:val="20"/>
        </w:rPr>
        <w:t xml:space="preserve"> </w:t>
      </w:r>
      <w:r w:rsidRPr="00B32CE4">
        <w:rPr>
          <w:color w:val="000000" w:themeColor="text1"/>
          <w:szCs w:val="20"/>
        </w:rPr>
        <w:t>and</w:t>
      </w:r>
      <w:r w:rsidR="00C64050" w:rsidRPr="00B32CE4">
        <w:rPr>
          <w:color w:val="000000" w:themeColor="text1"/>
          <w:szCs w:val="20"/>
        </w:rPr>
        <w:t xml:space="preserve"> </w:t>
      </w:r>
      <w:r w:rsidRPr="00B32CE4">
        <w:rPr>
          <w:color w:val="000000" w:themeColor="text1"/>
          <w:szCs w:val="20"/>
        </w:rPr>
        <w:t>before</w:t>
      </w:r>
      <w:r w:rsidR="00C64050" w:rsidRPr="00B32CE4">
        <w:rPr>
          <w:color w:val="000000" w:themeColor="text1"/>
          <w:szCs w:val="20"/>
        </w:rPr>
        <w:t xml:space="preserve"> </w:t>
      </w:r>
      <w:r w:rsidRPr="00B32CE4">
        <w:rPr>
          <w:color w:val="000000" w:themeColor="text1"/>
          <w:szCs w:val="20"/>
        </w:rPr>
        <w:t>that</w:t>
      </w:r>
      <w:r w:rsidR="00C64050" w:rsidRPr="00B32CE4">
        <w:rPr>
          <w:color w:val="000000" w:themeColor="text1"/>
          <w:szCs w:val="20"/>
        </w:rPr>
        <w:t xml:space="preserve"> </w:t>
      </w:r>
      <w:r w:rsidRPr="00B32CE4">
        <w:rPr>
          <w:color w:val="000000" w:themeColor="text1"/>
          <w:szCs w:val="20"/>
        </w:rPr>
        <w:t>date.</w:t>
      </w:r>
      <w:r w:rsidR="00C64050" w:rsidRPr="00B32CE4">
        <w:rPr>
          <w:color w:val="000000" w:themeColor="text1"/>
          <w:szCs w:val="20"/>
        </w:rPr>
        <w:t xml:space="preserve"> </w:t>
      </w:r>
      <w:r w:rsidRPr="00B32CE4">
        <w:rPr>
          <w:color w:val="000000" w:themeColor="text1"/>
          <w:szCs w:val="20"/>
        </w:rPr>
        <w:t>There</w:t>
      </w:r>
      <w:r w:rsidR="00C64050" w:rsidRPr="00B32CE4">
        <w:rPr>
          <w:color w:val="000000" w:themeColor="text1"/>
          <w:szCs w:val="20"/>
        </w:rPr>
        <w:t xml:space="preserve"> </w:t>
      </w:r>
      <w:r w:rsidRPr="00B32CE4">
        <w:rPr>
          <w:color w:val="000000" w:themeColor="text1"/>
          <w:szCs w:val="20"/>
        </w:rPr>
        <w:t>were</w:t>
      </w:r>
      <w:r w:rsidR="00C64050" w:rsidRPr="00B32CE4">
        <w:rPr>
          <w:color w:val="000000" w:themeColor="text1"/>
          <w:szCs w:val="20"/>
        </w:rPr>
        <w:t xml:space="preserve"> </w:t>
      </w:r>
      <w:r w:rsidRPr="00B32CE4">
        <w:rPr>
          <w:color w:val="000000" w:themeColor="text1"/>
          <w:szCs w:val="20"/>
        </w:rPr>
        <w:t>three</w:t>
      </w:r>
      <w:r w:rsidR="00C64050" w:rsidRPr="00B32CE4">
        <w:rPr>
          <w:color w:val="000000" w:themeColor="text1"/>
          <w:szCs w:val="20"/>
        </w:rPr>
        <w:t xml:space="preserve"> </w:t>
      </w:r>
      <w:r w:rsidRPr="00B32CE4">
        <w:rPr>
          <w:color w:val="000000" w:themeColor="text1"/>
          <w:szCs w:val="20"/>
        </w:rPr>
        <w:t>of</w:t>
      </w:r>
      <w:r w:rsidR="00C64050" w:rsidRPr="00B32CE4">
        <w:rPr>
          <w:color w:val="000000" w:themeColor="text1"/>
          <w:szCs w:val="20"/>
        </w:rPr>
        <w:t xml:space="preserve"> </w:t>
      </w:r>
      <w:r w:rsidRPr="00B32CE4">
        <w:rPr>
          <w:color w:val="000000" w:themeColor="text1"/>
          <w:szCs w:val="20"/>
        </w:rPr>
        <w:t>these</w:t>
      </w:r>
      <w:r w:rsidR="00C64050" w:rsidRPr="00B32CE4">
        <w:rPr>
          <w:color w:val="000000" w:themeColor="text1"/>
          <w:szCs w:val="20"/>
        </w:rPr>
        <w:t xml:space="preserve"> </w:t>
      </w:r>
      <w:r w:rsidRPr="00B32CE4">
        <w:rPr>
          <w:color w:val="000000" w:themeColor="text1"/>
          <w:szCs w:val="20"/>
        </w:rPr>
        <w:t>adjustments</w:t>
      </w:r>
      <w:r w:rsidR="00C64050" w:rsidRPr="00B32CE4">
        <w:rPr>
          <w:color w:val="000000" w:themeColor="text1"/>
          <w:szCs w:val="20"/>
        </w:rPr>
        <w:t xml:space="preserve"> </w:t>
      </w:r>
      <w:r w:rsidRPr="00B32CE4">
        <w:rPr>
          <w:color w:val="000000" w:themeColor="text1"/>
          <w:szCs w:val="20"/>
        </w:rPr>
        <w:t>to</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C</w:t>
      </w:r>
      <w:r w:rsidRPr="00B32CE4">
        <w:rPr>
          <w:color w:val="000000" w:themeColor="text1"/>
          <w:szCs w:val="20"/>
          <w:vertAlign w:val="subscript"/>
        </w:rPr>
        <w:t>d</w:t>
      </w:r>
      <w:r w:rsidR="00C64050" w:rsidRPr="00B32CE4">
        <w:rPr>
          <w:color w:val="000000" w:themeColor="text1"/>
          <w:szCs w:val="20"/>
        </w:rPr>
        <w:t xml:space="preserve"> </w:t>
      </w:r>
      <w:r w:rsidRPr="00B32CE4">
        <w:rPr>
          <w:color w:val="000000" w:themeColor="text1"/>
          <w:szCs w:val="20"/>
        </w:rPr>
        <w:t>variable</w:t>
      </w:r>
      <w:r w:rsidR="00C64050" w:rsidRPr="00B32CE4">
        <w:rPr>
          <w:color w:val="000000" w:themeColor="text1"/>
          <w:szCs w:val="20"/>
        </w:rPr>
        <w:t xml:space="preserve"> </w:t>
      </w:r>
      <w:r w:rsidRPr="00B32CE4">
        <w:rPr>
          <w:color w:val="000000" w:themeColor="text1"/>
          <w:szCs w:val="20"/>
        </w:rPr>
        <w:t>that</w:t>
      </w:r>
      <w:r w:rsidR="00C64050" w:rsidRPr="00B32CE4">
        <w:rPr>
          <w:color w:val="000000" w:themeColor="text1"/>
          <w:szCs w:val="20"/>
        </w:rPr>
        <w:t xml:space="preserve"> </w:t>
      </w:r>
      <w:r w:rsidRPr="00B32CE4">
        <w:rPr>
          <w:color w:val="000000" w:themeColor="text1"/>
          <w:szCs w:val="20"/>
        </w:rPr>
        <w:t>the</w:t>
      </w:r>
      <w:r w:rsidR="00C64050" w:rsidRPr="00B32CE4">
        <w:rPr>
          <w:color w:val="000000" w:themeColor="text1"/>
          <w:szCs w:val="20"/>
        </w:rPr>
        <w:t xml:space="preserve"> </w:t>
      </w:r>
      <w:r w:rsidRPr="00B32CE4">
        <w:rPr>
          <w:color w:val="000000" w:themeColor="text1"/>
          <w:szCs w:val="20"/>
        </w:rPr>
        <w:t>parties</w:t>
      </w:r>
      <w:r w:rsidR="00C64050" w:rsidRPr="00B32CE4">
        <w:rPr>
          <w:color w:val="000000" w:themeColor="text1"/>
          <w:szCs w:val="20"/>
        </w:rPr>
        <w:t xml:space="preserve"> </w:t>
      </w:r>
      <w:r w:rsidRPr="00B32CE4">
        <w:rPr>
          <w:color w:val="000000" w:themeColor="text1"/>
          <w:szCs w:val="20"/>
        </w:rPr>
        <w:t>identified</w:t>
      </w:r>
      <w:r w:rsidR="00C64050" w:rsidRPr="00B32CE4">
        <w:rPr>
          <w:color w:val="000000" w:themeColor="text1"/>
          <w:szCs w:val="20"/>
        </w:rPr>
        <w:t xml:space="preserve"> </w:t>
      </w:r>
      <w:r w:rsidRPr="00B32CE4">
        <w:rPr>
          <w:color w:val="000000" w:themeColor="text1"/>
          <w:szCs w:val="20"/>
        </w:rPr>
        <w:t>and</w:t>
      </w:r>
      <w:r w:rsidR="00C64050" w:rsidRPr="00B32CE4">
        <w:rPr>
          <w:color w:val="000000" w:themeColor="text1"/>
          <w:szCs w:val="20"/>
        </w:rPr>
        <w:t xml:space="preserve"> </w:t>
      </w:r>
      <w:r w:rsidRPr="00B32CE4">
        <w:rPr>
          <w:color w:val="000000" w:themeColor="text1"/>
          <w:szCs w:val="20"/>
        </w:rPr>
        <w:t>argued</w:t>
      </w:r>
      <w:r w:rsidR="00C64050" w:rsidRPr="00B32CE4">
        <w:rPr>
          <w:color w:val="000000" w:themeColor="text1"/>
          <w:szCs w:val="20"/>
        </w:rPr>
        <w:t xml:space="preserve"> </w:t>
      </w:r>
      <w:r w:rsidRPr="00B32CE4">
        <w:rPr>
          <w:color w:val="000000" w:themeColor="text1"/>
          <w:szCs w:val="20"/>
        </w:rPr>
        <w:t>about:</w:t>
      </w:r>
    </w:p>
    <w:p w:rsidR="00D66AAD" w:rsidRPr="00B32CE4" w:rsidRDefault="00D66AAD" w:rsidP="00D66AAD">
      <w:pPr>
        <w:pStyle w:val="QS10"/>
        <w:rPr>
          <w:color w:val="000000" w:themeColor="text1"/>
          <w:szCs w:val="20"/>
        </w:rPr>
      </w:pPr>
      <w:r w:rsidRPr="00B32CE4">
        <w:rPr>
          <w:color w:val="000000" w:themeColor="text1"/>
          <w:szCs w:val="20"/>
        </w:rPr>
        <w:t>•</w:t>
      </w:r>
      <w:r w:rsidR="00C64050" w:rsidRPr="00B32CE4">
        <w:rPr>
          <w:color w:val="000000" w:themeColor="text1"/>
          <w:szCs w:val="20"/>
        </w:rPr>
        <w:t xml:space="preserve"> </w:t>
      </w:r>
      <w:r w:rsidRPr="00B32CE4">
        <w:rPr>
          <w:color w:val="000000" w:themeColor="text1"/>
          <w:szCs w:val="20"/>
        </w:rPr>
        <w:t>unpaid</w:t>
      </w:r>
      <w:r w:rsidR="00C64050" w:rsidRPr="00B32CE4">
        <w:rPr>
          <w:color w:val="000000" w:themeColor="text1"/>
          <w:szCs w:val="20"/>
        </w:rPr>
        <w:t xml:space="preserve"> </w:t>
      </w:r>
      <w:r w:rsidRPr="00B32CE4">
        <w:rPr>
          <w:color w:val="000000" w:themeColor="text1"/>
          <w:szCs w:val="20"/>
        </w:rPr>
        <w:t>attorney’s</w:t>
      </w:r>
      <w:r w:rsidR="00C64050" w:rsidRPr="00B32CE4">
        <w:rPr>
          <w:color w:val="000000" w:themeColor="text1"/>
          <w:szCs w:val="20"/>
        </w:rPr>
        <w:t xml:space="preserve"> </w:t>
      </w:r>
      <w:r w:rsidRPr="00B32CE4">
        <w:rPr>
          <w:color w:val="000000" w:themeColor="text1"/>
          <w:szCs w:val="20"/>
        </w:rPr>
        <w:t>fees,</w:t>
      </w:r>
    </w:p>
    <w:p w:rsidR="00D66AAD" w:rsidRPr="00B32CE4" w:rsidRDefault="00D66AAD" w:rsidP="00D66AAD">
      <w:pPr>
        <w:pStyle w:val="QS10"/>
        <w:rPr>
          <w:color w:val="000000" w:themeColor="text1"/>
          <w:szCs w:val="20"/>
        </w:rPr>
      </w:pPr>
      <w:r w:rsidRPr="00B32CE4">
        <w:rPr>
          <w:color w:val="000000" w:themeColor="text1"/>
          <w:szCs w:val="20"/>
        </w:rPr>
        <w:t>•</w:t>
      </w:r>
      <w:r w:rsidR="00C64050" w:rsidRPr="00B32CE4">
        <w:rPr>
          <w:color w:val="000000" w:themeColor="text1"/>
          <w:szCs w:val="20"/>
        </w:rPr>
        <w:t xml:space="preserve"> </w:t>
      </w:r>
      <w:r w:rsidRPr="00B32CE4">
        <w:rPr>
          <w:color w:val="000000" w:themeColor="text1"/>
          <w:szCs w:val="20"/>
        </w:rPr>
        <w:t>transfers</w:t>
      </w:r>
      <w:r w:rsidR="00C64050" w:rsidRPr="00B32CE4">
        <w:rPr>
          <w:color w:val="000000" w:themeColor="text1"/>
          <w:szCs w:val="20"/>
        </w:rPr>
        <w:t xml:space="preserve"> </w:t>
      </w:r>
      <w:r w:rsidRPr="00B32CE4">
        <w:rPr>
          <w:color w:val="000000" w:themeColor="text1"/>
          <w:szCs w:val="20"/>
        </w:rPr>
        <w:t>to</w:t>
      </w:r>
      <w:r w:rsidR="00C64050" w:rsidRPr="00B32CE4">
        <w:rPr>
          <w:color w:val="000000" w:themeColor="text1"/>
          <w:szCs w:val="20"/>
        </w:rPr>
        <w:t xml:space="preserve"> </w:t>
      </w:r>
      <w:r w:rsidRPr="00B32CE4">
        <w:rPr>
          <w:color w:val="000000" w:themeColor="text1"/>
          <w:szCs w:val="20"/>
        </w:rPr>
        <w:t>Moore’s</w:t>
      </w:r>
      <w:r w:rsidR="00C64050" w:rsidRPr="00B32CE4">
        <w:rPr>
          <w:color w:val="000000" w:themeColor="text1"/>
          <w:szCs w:val="20"/>
        </w:rPr>
        <w:t xml:space="preserve"> </w:t>
      </w:r>
      <w:r w:rsidRPr="00B32CE4">
        <w:rPr>
          <w:color w:val="000000" w:themeColor="text1"/>
          <w:szCs w:val="20"/>
        </w:rPr>
        <w:t>children,</w:t>
      </w:r>
      <w:r w:rsidR="00C64050" w:rsidRPr="00B32CE4">
        <w:rPr>
          <w:color w:val="000000" w:themeColor="text1"/>
          <w:szCs w:val="20"/>
        </w:rPr>
        <w:t xml:space="preserve"> </w:t>
      </w:r>
      <w:r w:rsidRPr="00B32CE4">
        <w:rPr>
          <w:color w:val="000000" w:themeColor="text1"/>
          <w:szCs w:val="20"/>
        </w:rPr>
        <w:t>and</w:t>
      </w:r>
    </w:p>
    <w:p w:rsidR="00D66AAD" w:rsidRPr="00B32CE4" w:rsidRDefault="00D66AAD" w:rsidP="00D66AAD">
      <w:pPr>
        <w:pStyle w:val="QS10"/>
        <w:rPr>
          <w:color w:val="000000" w:themeColor="text1"/>
          <w:szCs w:val="20"/>
        </w:rPr>
      </w:pPr>
      <w:r w:rsidRPr="00B32CE4">
        <w:rPr>
          <w:color w:val="000000" w:themeColor="text1"/>
          <w:szCs w:val="20"/>
        </w:rPr>
        <w:t>•</w:t>
      </w:r>
      <w:r w:rsidR="00C64050" w:rsidRPr="00B32CE4">
        <w:rPr>
          <w:color w:val="000000" w:themeColor="text1"/>
          <w:szCs w:val="20"/>
        </w:rPr>
        <w:t xml:space="preserve"> </w:t>
      </w:r>
      <w:r w:rsidRPr="00B32CE4">
        <w:rPr>
          <w:color w:val="000000" w:themeColor="text1"/>
          <w:szCs w:val="20"/>
        </w:rPr>
        <w:t>$2</w:t>
      </w:r>
      <w:r w:rsidR="00C64050" w:rsidRPr="00B32CE4">
        <w:rPr>
          <w:color w:val="000000" w:themeColor="text1"/>
          <w:szCs w:val="20"/>
        </w:rPr>
        <w:t xml:space="preserve"> </w:t>
      </w:r>
      <w:r w:rsidRPr="00B32CE4">
        <w:rPr>
          <w:color w:val="000000" w:themeColor="text1"/>
          <w:szCs w:val="20"/>
        </w:rPr>
        <w:t>million</w:t>
      </w:r>
      <w:r w:rsidR="00C64050" w:rsidRPr="00B32CE4">
        <w:rPr>
          <w:color w:val="000000" w:themeColor="text1"/>
          <w:szCs w:val="20"/>
        </w:rPr>
        <w:t xml:space="preserve"> </w:t>
      </w:r>
      <w:r w:rsidRPr="00B32CE4">
        <w:rPr>
          <w:color w:val="000000" w:themeColor="text1"/>
          <w:szCs w:val="20"/>
        </w:rPr>
        <w:t>dollar</w:t>
      </w:r>
      <w:r w:rsidR="00C64050" w:rsidRPr="00B32CE4">
        <w:rPr>
          <w:color w:val="000000" w:themeColor="text1"/>
          <w:szCs w:val="20"/>
        </w:rPr>
        <w:t xml:space="preserve"> </w:t>
      </w:r>
      <w:r w:rsidRPr="00B32CE4">
        <w:rPr>
          <w:color w:val="000000" w:themeColor="text1"/>
          <w:szCs w:val="20"/>
        </w:rPr>
        <w:t>purported</w:t>
      </w:r>
      <w:r w:rsidR="00C64050" w:rsidRPr="00B32CE4">
        <w:rPr>
          <w:color w:val="000000" w:themeColor="text1"/>
          <w:szCs w:val="20"/>
        </w:rPr>
        <w:t xml:space="preserve"> </w:t>
      </w:r>
      <w:r w:rsidRPr="00B32CE4">
        <w:rPr>
          <w:color w:val="000000" w:themeColor="text1"/>
          <w:szCs w:val="20"/>
        </w:rPr>
        <w:t>loan.</w:t>
      </w:r>
    </w:p>
    <w:p w:rsidR="001E2ED9" w:rsidRDefault="001E2ED9" w:rsidP="004E4B24">
      <w:pPr>
        <w:pStyle w:val="Body15"/>
      </w:pPr>
      <w:r>
        <w:t>The court concluded the transfers and loans were gifts.</w:t>
      </w:r>
    </w:p>
    <w:p w:rsidR="00DC41B3" w:rsidRDefault="008929C5" w:rsidP="004E4B24">
      <w:pPr>
        <w:pStyle w:val="Body15"/>
      </w:pPr>
      <w:r>
        <w:t>The</w:t>
      </w:r>
      <w:r w:rsidR="00C64050">
        <w:t xml:space="preserve"> </w:t>
      </w:r>
      <w:r>
        <w:t>upshot</w:t>
      </w:r>
      <w:r w:rsidR="00C64050">
        <w:t xml:space="preserve"> </w:t>
      </w:r>
      <w:r>
        <w:t>of</w:t>
      </w:r>
      <w:r w:rsidR="00C64050">
        <w:t xml:space="preserve"> </w:t>
      </w:r>
      <w:r>
        <w:t>the</w:t>
      </w:r>
      <w:r w:rsidR="00C64050">
        <w:t xml:space="preserve"> </w:t>
      </w:r>
      <w:r w:rsidR="00E10A83">
        <w:t>section</w:t>
      </w:r>
      <w:r w:rsidR="00C64050">
        <w:t xml:space="preserve"> </w:t>
      </w:r>
      <w:r w:rsidR="00E10A83">
        <w:t>2043</w:t>
      </w:r>
      <w:r w:rsidR="00C64050">
        <w:t xml:space="preserve"> </w:t>
      </w:r>
      <w:r w:rsidR="00E10A83">
        <w:t>analysis</w:t>
      </w:r>
      <w:r w:rsidR="00C64050">
        <w:t xml:space="preserve"> </w:t>
      </w:r>
      <w:r w:rsidR="00E10A83">
        <w:t>is</w:t>
      </w:r>
      <w:r w:rsidR="00C64050">
        <w:t xml:space="preserve"> </w:t>
      </w:r>
      <w:r w:rsidR="00E10A83">
        <w:t>that</w:t>
      </w:r>
      <w:r w:rsidR="00C64050">
        <w:t xml:space="preserve"> </w:t>
      </w:r>
      <w:r w:rsidR="00E10A83">
        <w:t>taxpayers</w:t>
      </w:r>
      <w:r w:rsidR="00C64050">
        <w:t xml:space="preserve"> </w:t>
      </w:r>
      <w:r w:rsidR="00E10A83">
        <w:t>need</w:t>
      </w:r>
      <w:r w:rsidR="00C64050">
        <w:t xml:space="preserve"> </w:t>
      </w:r>
      <w:r w:rsidR="00E10A83">
        <w:t>to</w:t>
      </w:r>
      <w:r w:rsidR="00C64050">
        <w:t xml:space="preserve"> </w:t>
      </w:r>
      <w:r w:rsidR="00E10A83">
        <w:t>avoid</w:t>
      </w:r>
      <w:r w:rsidR="00C64050">
        <w:t xml:space="preserve"> </w:t>
      </w:r>
      <w:r w:rsidR="00E10A83">
        <w:t>section</w:t>
      </w:r>
      <w:r w:rsidR="00C64050">
        <w:t xml:space="preserve"> </w:t>
      </w:r>
      <w:r w:rsidR="00E10A83">
        <w:t>2036</w:t>
      </w:r>
      <w:r w:rsidR="00C64050">
        <w:t xml:space="preserve"> </w:t>
      </w:r>
      <w:r w:rsidR="00E10A83">
        <w:t>if</w:t>
      </w:r>
      <w:r w:rsidR="00C64050">
        <w:t xml:space="preserve"> </w:t>
      </w:r>
      <w:r w:rsidR="00E10A83">
        <w:t>at</w:t>
      </w:r>
      <w:r w:rsidR="00C64050">
        <w:t xml:space="preserve"> </w:t>
      </w:r>
      <w:r w:rsidR="00E10A83">
        <w:t>all</w:t>
      </w:r>
      <w:r w:rsidR="00C64050">
        <w:t xml:space="preserve"> </w:t>
      </w:r>
      <w:r w:rsidR="00E10A83">
        <w:t>possible.</w:t>
      </w:r>
      <w:r w:rsidR="00C64050">
        <w:t xml:space="preserve">  </w:t>
      </w:r>
      <w:r w:rsidR="00E10A83">
        <w:t>Disposition</w:t>
      </w:r>
      <w:r w:rsidR="00C64050">
        <w:t xml:space="preserve"> </w:t>
      </w:r>
      <w:r w:rsidR="00E10A83">
        <w:t>of</w:t>
      </w:r>
      <w:r w:rsidR="00C64050">
        <w:t xml:space="preserve"> </w:t>
      </w:r>
      <w:r w:rsidR="00E10A83">
        <w:t>all</w:t>
      </w:r>
      <w:r w:rsidR="00C64050">
        <w:t xml:space="preserve"> </w:t>
      </w:r>
      <w:r w:rsidR="00E10A83">
        <w:t>interests</w:t>
      </w:r>
      <w:r w:rsidR="00C64050">
        <w:t xml:space="preserve"> </w:t>
      </w:r>
      <w:r w:rsidR="00E10A83">
        <w:t>in</w:t>
      </w:r>
      <w:r w:rsidR="00C64050">
        <w:t xml:space="preserve"> </w:t>
      </w:r>
      <w:r w:rsidR="00E10A83">
        <w:t>entities</w:t>
      </w:r>
      <w:r w:rsidR="00C64050">
        <w:t xml:space="preserve"> </w:t>
      </w:r>
      <w:r w:rsidR="00E10A83">
        <w:t>three</w:t>
      </w:r>
      <w:r w:rsidR="00C64050">
        <w:t xml:space="preserve"> </w:t>
      </w:r>
      <w:r w:rsidR="00E10A83">
        <w:t>years</w:t>
      </w:r>
      <w:r w:rsidR="00C64050">
        <w:t xml:space="preserve"> </w:t>
      </w:r>
      <w:r w:rsidR="00E10A83">
        <w:t>prior</w:t>
      </w:r>
      <w:r w:rsidR="00C64050">
        <w:t xml:space="preserve"> </w:t>
      </w:r>
      <w:r w:rsidR="00E10A83">
        <w:t>to</w:t>
      </w:r>
      <w:r w:rsidR="00C64050">
        <w:t xml:space="preserve"> </w:t>
      </w:r>
      <w:r w:rsidR="00E10A83">
        <w:t>death</w:t>
      </w:r>
      <w:r w:rsidR="00C64050">
        <w:t xml:space="preserve"> </w:t>
      </w:r>
      <w:r w:rsidR="00E10A83">
        <w:t>is</w:t>
      </w:r>
      <w:r w:rsidR="00C64050">
        <w:t xml:space="preserve"> </w:t>
      </w:r>
      <w:r w:rsidR="00E10A83">
        <w:t>helpful,</w:t>
      </w:r>
      <w:r w:rsidR="00C64050">
        <w:t xml:space="preserve"> </w:t>
      </w:r>
      <w:r w:rsidR="00E10A83">
        <w:t>as</w:t>
      </w:r>
      <w:r w:rsidR="00C64050">
        <w:t xml:space="preserve"> </w:t>
      </w:r>
      <w:r w:rsidR="00E10A83">
        <w:t>could</w:t>
      </w:r>
      <w:r w:rsidR="00C64050">
        <w:t xml:space="preserve"> </w:t>
      </w:r>
      <w:r w:rsidR="00E10A83">
        <w:t>be</w:t>
      </w:r>
      <w:r w:rsidR="00C64050">
        <w:t xml:space="preserve"> </w:t>
      </w:r>
      <w:r w:rsidR="00E10A83">
        <w:t>use</w:t>
      </w:r>
      <w:r w:rsidR="00C64050">
        <w:t xml:space="preserve"> </w:t>
      </w:r>
      <w:r w:rsidR="00E10A83">
        <w:t>of</w:t>
      </w:r>
      <w:r w:rsidR="00C64050">
        <w:t xml:space="preserve"> </w:t>
      </w:r>
      <w:r w:rsidR="00E10A83">
        <w:t>an</w:t>
      </w:r>
      <w:r w:rsidR="00C64050">
        <w:t xml:space="preserve"> </w:t>
      </w:r>
      <w:r w:rsidR="00E10A83">
        <w:t>incomplete</w:t>
      </w:r>
      <w:r w:rsidR="00C64050">
        <w:t xml:space="preserve"> </w:t>
      </w:r>
      <w:r w:rsidR="00E10A83">
        <w:t>gift</w:t>
      </w:r>
      <w:r w:rsidR="00C64050">
        <w:t xml:space="preserve"> </w:t>
      </w:r>
      <w:r w:rsidR="00E10A83">
        <w:t>trust</w:t>
      </w:r>
      <w:r w:rsidR="00C64050">
        <w:t xml:space="preserve"> </w:t>
      </w:r>
      <w:r w:rsidR="00E10A83">
        <w:t>to</w:t>
      </w:r>
      <w:r w:rsidR="00C64050">
        <w:t xml:space="preserve"> </w:t>
      </w:r>
      <w:r w:rsidR="00E10A83">
        <w:t>facilitate</w:t>
      </w:r>
      <w:r w:rsidR="00C64050">
        <w:t xml:space="preserve"> </w:t>
      </w:r>
      <w:r w:rsidR="00E10A83">
        <w:t>the</w:t>
      </w:r>
      <w:r w:rsidR="00C64050">
        <w:t xml:space="preserve"> </w:t>
      </w:r>
      <w:r w:rsidR="00E10A83">
        <w:t>gift</w:t>
      </w:r>
      <w:r w:rsidR="00C64050">
        <w:t xml:space="preserve"> </w:t>
      </w:r>
      <w:r w:rsidR="00E10A83">
        <w:t>or</w:t>
      </w:r>
      <w:r w:rsidR="00C64050">
        <w:t xml:space="preserve"> </w:t>
      </w:r>
      <w:r w:rsidR="00E10A83">
        <w:t>sale</w:t>
      </w:r>
      <w:r w:rsidR="00C64050">
        <w:t xml:space="preserve"> </w:t>
      </w:r>
      <w:r w:rsidR="00E10A83">
        <w:t>of</w:t>
      </w:r>
      <w:r w:rsidR="00C64050">
        <w:t xml:space="preserve"> </w:t>
      </w:r>
      <w:r w:rsidR="00E10A83">
        <w:t>non-voting</w:t>
      </w:r>
      <w:r w:rsidR="00C64050">
        <w:t xml:space="preserve"> </w:t>
      </w:r>
      <w:r w:rsidR="00E10A83">
        <w:t>units.</w:t>
      </w:r>
      <w:r w:rsidR="00C64050">
        <w:t xml:space="preserve">  </w:t>
      </w:r>
      <w:r w:rsidR="00817E7D">
        <w:t>If assets appreciate between t</w:t>
      </w:r>
      <w:r w:rsidR="00F146A7">
        <w:t>h</w:t>
      </w:r>
      <w:r w:rsidR="00817E7D">
        <w:t xml:space="preserve">e time of transfer and the time of inclusion there may be double inclusion.  Alternatively, before death the transaction needs to be unwound with some assets “in” and others “out” of the soon-to-be decedent’s estate.  </w:t>
      </w:r>
    </w:p>
    <w:p w:rsidR="004E4B24" w:rsidRDefault="004E4B24" w:rsidP="004E4B24">
      <w:pPr>
        <w:pStyle w:val="Body15"/>
      </w:pPr>
      <w:r>
        <w:t>The</w:t>
      </w:r>
      <w:r w:rsidR="00C64050">
        <w:t xml:space="preserve"> </w:t>
      </w:r>
      <w:r>
        <w:t>decedent’s</w:t>
      </w:r>
      <w:r w:rsidR="00C64050">
        <w:t xml:space="preserve"> </w:t>
      </w:r>
      <w:r>
        <w:t>revocable</w:t>
      </w:r>
      <w:r w:rsidR="00C64050">
        <w:t xml:space="preserve"> </w:t>
      </w:r>
      <w:r>
        <w:t>trust</w:t>
      </w:r>
      <w:r w:rsidR="00C64050">
        <w:t xml:space="preserve"> </w:t>
      </w:r>
      <w:r>
        <w:t>had</w:t>
      </w:r>
      <w:r w:rsidR="00C64050">
        <w:t xml:space="preserve"> </w:t>
      </w:r>
      <w:r>
        <w:t>a</w:t>
      </w:r>
      <w:r w:rsidR="00C64050">
        <w:t xml:space="preserve"> </w:t>
      </w:r>
      <w:r>
        <w:t>charitable</w:t>
      </w:r>
      <w:r w:rsidR="00C64050">
        <w:t xml:space="preserve"> </w:t>
      </w:r>
      <w:r>
        <w:t>allocation</w:t>
      </w:r>
      <w:r w:rsidR="00C64050">
        <w:t xml:space="preserve"> </w:t>
      </w:r>
      <w:r>
        <w:t>clause</w:t>
      </w:r>
      <w:r w:rsidR="00C64050">
        <w:t xml:space="preserve"> </w:t>
      </w:r>
      <w:r>
        <w:t>to</w:t>
      </w:r>
      <w:r w:rsidR="00C64050">
        <w:t xml:space="preserve"> </w:t>
      </w:r>
      <w:r>
        <w:t>a</w:t>
      </w:r>
      <w:r w:rsidR="00C64050">
        <w:t xml:space="preserve"> </w:t>
      </w:r>
      <w:r>
        <w:t>CLAT</w:t>
      </w:r>
      <w:r w:rsidR="00C64050">
        <w:t xml:space="preserve"> </w:t>
      </w:r>
      <w:r>
        <w:t>that</w:t>
      </w:r>
      <w:r w:rsidR="00C64050">
        <w:t xml:space="preserve"> </w:t>
      </w:r>
      <w:r>
        <w:t>stated:</w:t>
      </w:r>
    </w:p>
    <w:p w:rsidR="00D66AAD" w:rsidRPr="00D66AAD" w:rsidRDefault="00D66AAD" w:rsidP="00D66AAD">
      <w:pPr>
        <w:pStyle w:val="QS10"/>
      </w:pPr>
      <w:r w:rsidRPr="00D66AAD">
        <w:t>[T]he</w:t>
      </w:r>
      <w:r w:rsidR="00C64050">
        <w:t xml:space="preserve"> </w:t>
      </w:r>
      <w:r w:rsidRPr="00D66AAD">
        <w:t>smallest</w:t>
      </w:r>
      <w:r w:rsidR="00C64050">
        <w:t xml:space="preserve"> </w:t>
      </w:r>
      <w:r w:rsidRPr="00D66AAD">
        <w:t>amount</w:t>
      </w:r>
      <w:r w:rsidR="00C64050">
        <w:t xml:space="preserve"> </w:t>
      </w:r>
      <w:r w:rsidRPr="00D66AAD">
        <w:t>which,</w:t>
      </w:r>
      <w:r w:rsidR="00C64050">
        <w:t xml:space="preserve"> </w:t>
      </w:r>
      <w:r w:rsidRPr="00D66AAD">
        <w:t>when</w:t>
      </w:r>
      <w:r w:rsidR="00C64050">
        <w:t xml:space="preserve"> </w:t>
      </w:r>
      <w:r w:rsidRPr="00D66AAD">
        <w:t>transferred</w:t>
      </w:r>
      <w:r w:rsidR="00C64050">
        <w:t xml:space="preserve"> </w:t>
      </w:r>
      <w:r w:rsidRPr="00D66AAD">
        <w:t>to</w:t>
      </w:r>
      <w:r w:rsidR="00C64050">
        <w:t xml:space="preserve"> </w:t>
      </w:r>
      <w:r w:rsidRPr="00D66AAD">
        <w:t>the</w:t>
      </w:r>
      <w:r w:rsidR="00C64050">
        <w:t xml:space="preserve"> </w:t>
      </w:r>
      <w:r w:rsidRPr="00D66AAD">
        <w:t>Howard</w:t>
      </w:r>
      <w:r w:rsidR="00C64050">
        <w:t xml:space="preserve"> </w:t>
      </w:r>
      <w:r w:rsidRPr="00D66AAD">
        <w:t>V.</w:t>
      </w:r>
      <w:r w:rsidR="00C64050">
        <w:t xml:space="preserve"> </w:t>
      </w:r>
      <w:r w:rsidRPr="00D66AAD">
        <w:t>Moore</w:t>
      </w:r>
      <w:r w:rsidR="00C64050">
        <w:t xml:space="preserve"> </w:t>
      </w:r>
      <w:r w:rsidRPr="00D66AAD">
        <w:t>Charitable</w:t>
      </w:r>
      <w:r w:rsidR="00C64050">
        <w:t xml:space="preserve"> </w:t>
      </w:r>
      <w:r w:rsidRPr="00D66AAD">
        <w:t>Lead</w:t>
      </w:r>
      <w:r w:rsidR="00C64050">
        <w:t xml:space="preserve"> </w:t>
      </w:r>
      <w:r w:rsidRPr="00D66AAD">
        <w:t>Annuity</w:t>
      </w:r>
      <w:r w:rsidR="00C64050">
        <w:t xml:space="preserve"> </w:t>
      </w:r>
      <w:r w:rsidRPr="00D66AAD">
        <w:t>Trust</w:t>
      </w:r>
      <w:r w:rsidR="00C64050">
        <w:t xml:space="preserve"> </w:t>
      </w:r>
      <w:r w:rsidRPr="00D66AAD">
        <w:t>as</w:t>
      </w:r>
      <w:r w:rsidR="00C64050">
        <w:t xml:space="preserve"> </w:t>
      </w:r>
      <w:r w:rsidRPr="00D66AAD">
        <w:t>provided</w:t>
      </w:r>
      <w:r w:rsidR="00C64050">
        <w:t xml:space="preserve"> </w:t>
      </w:r>
      <w:r w:rsidRPr="00D66AAD">
        <w:t>in</w:t>
      </w:r>
      <w:r w:rsidR="00C64050">
        <w:t xml:space="preserve"> </w:t>
      </w:r>
      <w:r w:rsidRPr="00D66AAD">
        <w:t>Section</w:t>
      </w:r>
      <w:r w:rsidR="00C64050">
        <w:t xml:space="preserve"> </w:t>
      </w:r>
      <w:r w:rsidRPr="00D66AAD">
        <w:t>2</w:t>
      </w:r>
      <w:r w:rsidR="00C64050">
        <w:t xml:space="preserve"> </w:t>
      </w:r>
      <w:r w:rsidRPr="00D66AAD">
        <w:t>of</w:t>
      </w:r>
      <w:r w:rsidR="00C64050">
        <w:t xml:space="preserve"> </w:t>
      </w:r>
      <w:r w:rsidRPr="00D66AAD">
        <w:t>the</w:t>
      </w:r>
      <w:r w:rsidR="00C64050">
        <w:t xml:space="preserve"> </w:t>
      </w:r>
      <w:r w:rsidRPr="00D66AAD">
        <w:t>Article</w:t>
      </w:r>
      <w:r w:rsidR="00C64050">
        <w:t xml:space="preserve"> </w:t>
      </w:r>
      <w:r w:rsidRPr="00D66AAD">
        <w:t>will</w:t>
      </w:r>
      <w:r w:rsidR="00C64050">
        <w:t xml:space="preserve"> </w:t>
      </w:r>
      <w:r w:rsidRPr="00D66AAD">
        <w:t>result</w:t>
      </w:r>
      <w:r w:rsidR="00C64050">
        <w:t xml:space="preserve"> </w:t>
      </w:r>
      <w:r w:rsidRPr="00D66AAD">
        <w:t>in</w:t>
      </w:r>
      <w:r w:rsidR="00C64050">
        <w:t xml:space="preserve"> </w:t>
      </w:r>
      <w:r w:rsidRPr="00D66AAD">
        <w:t>the</w:t>
      </w:r>
      <w:r w:rsidR="00C64050">
        <w:t xml:space="preserve"> </w:t>
      </w:r>
      <w:r w:rsidRPr="00D66AAD">
        <w:t>least</w:t>
      </w:r>
      <w:r w:rsidR="00C64050">
        <w:t xml:space="preserve"> </w:t>
      </w:r>
      <w:r w:rsidRPr="00D66AAD">
        <w:t>possible</w:t>
      </w:r>
      <w:r w:rsidR="00C64050">
        <w:t xml:space="preserve"> </w:t>
      </w:r>
      <w:r w:rsidRPr="00D66AAD">
        <w:t>federal</w:t>
      </w:r>
      <w:r w:rsidR="00C64050">
        <w:t xml:space="preserve"> </w:t>
      </w:r>
      <w:r w:rsidRPr="00D66AAD">
        <w:t>estate</w:t>
      </w:r>
      <w:r w:rsidR="00C64050">
        <w:t xml:space="preserve"> </w:t>
      </w:r>
      <w:r w:rsidRPr="00D66AAD">
        <w:t>tax</w:t>
      </w:r>
      <w:r w:rsidR="00C64050">
        <w:t xml:space="preserve"> </w:t>
      </w:r>
      <w:r w:rsidRPr="00D66AAD">
        <w:t>being</w:t>
      </w:r>
      <w:r w:rsidR="00C64050">
        <w:t xml:space="preserve"> </w:t>
      </w:r>
      <w:r w:rsidRPr="00D66AAD">
        <w:t>payable</w:t>
      </w:r>
      <w:r w:rsidR="00C64050">
        <w:t xml:space="preserve"> </w:t>
      </w:r>
      <w:r w:rsidRPr="00D66AAD">
        <w:t>as</w:t>
      </w:r>
      <w:r w:rsidR="00C64050">
        <w:t xml:space="preserve"> </w:t>
      </w:r>
      <w:r w:rsidRPr="00D66AAD">
        <w:t>a</w:t>
      </w:r>
      <w:r w:rsidR="00C64050">
        <w:t xml:space="preserve"> </w:t>
      </w:r>
      <w:r w:rsidRPr="00D66AAD">
        <w:t>result</w:t>
      </w:r>
      <w:r w:rsidR="00C64050">
        <w:t xml:space="preserve"> </w:t>
      </w:r>
      <w:r w:rsidRPr="00D66AAD">
        <w:t>of</w:t>
      </w:r>
      <w:r w:rsidR="00C64050">
        <w:t xml:space="preserve"> </w:t>
      </w:r>
      <w:r w:rsidRPr="00D66AAD">
        <w:t>my</w:t>
      </w:r>
      <w:r w:rsidR="00C64050">
        <w:t xml:space="preserve"> </w:t>
      </w:r>
      <w:r w:rsidRPr="00D66AAD">
        <w:t>death</w:t>
      </w:r>
      <w:r w:rsidR="00C64050">
        <w:t xml:space="preserve"> </w:t>
      </w:r>
      <w:r w:rsidRPr="00D66AAD">
        <w:t>after</w:t>
      </w:r>
      <w:r w:rsidR="00C64050">
        <w:t xml:space="preserve"> </w:t>
      </w:r>
      <w:r w:rsidRPr="00D66AAD">
        <w:t>allowing</w:t>
      </w:r>
      <w:r w:rsidR="00C64050">
        <w:t xml:space="preserve"> </w:t>
      </w:r>
      <w:r w:rsidRPr="00D66AAD">
        <w:t>for</w:t>
      </w:r>
      <w:r w:rsidR="00C64050">
        <w:t xml:space="preserve"> </w:t>
      </w:r>
      <w:r w:rsidRPr="00D66AAD">
        <w:t>the</w:t>
      </w:r>
      <w:r w:rsidR="00C64050">
        <w:t xml:space="preserve"> </w:t>
      </w:r>
      <w:r w:rsidRPr="00D66AAD">
        <w:t>applicable</w:t>
      </w:r>
      <w:r w:rsidR="00C64050">
        <w:t xml:space="preserve"> </w:t>
      </w:r>
      <w:r w:rsidRPr="00D66AAD">
        <w:t>exclusion</w:t>
      </w:r>
      <w:r w:rsidR="00C64050">
        <w:t xml:space="preserve"> </w:t>
      </w:r>
      <w:r w:rsidRPr="00D66AAD">
        <w:t>amount</w:t>
      </w:r>
      <w:r w:rsidR="00C64050">
        <w:t xml:space="preserve"> </w:t>
      </w:r>
      <w:r w:rsidRPr="00D66AAD">
        <w:t>(after</w:t>
      </w:r>
      <w:r w:rsidR="00C64050">
        <w:t xml:space="preserve"> </w:t>
      </w:r>
      <w:r w:rsidRPr="00D66AAD">
        <w:t>taking</w:t>
      </w:r>
      <w:r w:rsidR="00C64050">
        <w:t xml:space="preserve"> </w:t>
      </w:r>
      <w:r w:rsidRPr="00D66AAD">
        <w:t>into</w:t>
      </w:r>
      <w:r w:rsidR="00C64050">
        <w:t xml:space="preserve"> </w:t>
      </w:r>
      <w:r w:rsidRPr="00D66AAD">
        <w:t>account</w:t>
      </w:r>
      <w:r w:rsidR="00C64050">
        <w:t xml:space="preserve"> </w:t>
      </w:r>
      <w:r w:rsidRPr="00D66AAD">
        <w:t>adjusted</w:t>
      </w:r>
      <w:r w:rsidR="00C64050">
        <w:t xml:space="preserve"> </w:t>
      </w:r>
      <w:r w:rsidRPr="00D66AAD">
        <w:t>taxable</w:t>
      </w:r>
      <w:r w:rsidR="00C64050">
        <w:t xml:space="preserve"> </w:t>
      </w:r>
      <w:r w:rsidRPr="00D66AAD">
        <w:t>gifts,</w:t>
      </w:r>
      <w:r w:rsidR="00C64050">
        <w:t xml:space="preserve"> </w:t>
      </w:r>
      <w:r w:rsidRPr="00D66AAD">
        <w:t>if</w:t>
      </w:r>
      <w:r w:rsidR="00C64050">
        <w:t xml:space="preserve"> </w:t>
      </w:r>
      <w:r w:rsidRPr="00D66AAD">
        <w:t>any)</w:t>
      </w:r>
      <w:r w:rsidR="00C64050">
        <w:t xml:space="preserve"> </w:t>
      </w:r>
      <w:r w:rsidRPr="00D66AAD">
        <w:t>as</w:t>
      </w:r>
      <w:r w:rsidR="00C64050">
        <w:t xml:space="preserve"> </w:t>
      </w:r>
      <w:r w:rsidRPr="00D66AAD">
        <w:t>finally</w:t>
      </w:r>
      <w:r w:rsidR="00C64050">
        <w:t xml:space="preserve"> </w:t>
      </w:r>
      <w:r w:rsidRPr="00D66AAD">
        <w:t>determined</w:t>
      </w:r>
      <w:r w:rsidR="00C64050">
        <w:t xml:space="preserve"> </w:t>
      </w:r>
      <w:r w:rsidRPr="00D66AAD">
        <w:t>for</w:t>
      </w:r>
      <w:r w:rsidR="00C64050">
        <w:t xml:space="preserve"> </w:t>
      </w:r>
      <w:r w:rsidRPr="00D66AAD">
        <w:t>federal</w:t>
      </w:r>
      <w:r w:rsidR="00C64050">
        <w:t xml:space="preserve"> </w:t>
      </w:r>
      <w:r w:rsidRPr="00D66AAD">
        <w:t>estate</w:t>
      </w:r>
      <w:r w:rsidR="00C64050">
        <w:t xml:space="preserve"> </w:t>
      </w:r>
      <w:r w:rsidRPr="00D66AAD">
        <w:t>tax</w:t>
      </w:r>
      <w:r w:rsidR="00C64050">
        <w:t xml:space="preserve"> </w:t>
      </w:r>
      <w:r w:rsidRPr="00D66AAD">
        <w:t>purposes,</w:t>
      </w:r>
      <w:r w:rsidR="00C64050">
        <w:t xml:space="preserve"> </w:t>
      </w:r>
      <w:r w:rsidRPr="00D66AAD">
        <w:t>and</w:t>
      </w:r>
      <w:r w:rsidR="00C64050">
        <w:t xml:space="preserve"> </w:t>
      </w:r>
      <w:r w:rsidRPr="00D66AAD">
        <w:t>the</w:t>
      </w:r>
      <w:r w:rsidR="00C64050">
        <w:t xml:space="preserve"> </w:t>
      </w:r>
      <w:r w:rsidRPr="00D66AAD">
        <w:t>credit</w:t>
      </w:r>
      <w:r w:rsidR="00C64050">
        <w:t xml:space="preserve"> </w:t>
      </w:r>
      <w:r w:rsidRPr="00D66AAD">
        <w:t>for</w:t>
      </w:r>
      <w:r w:rsidR="00C64050">
        <w:t xml:space="preserve"> </w:t>
      </w:r>
      <w:r w:rsidRPr="00D66AAD">
        <w:t>state</w:t>
      </w:r>
      <w:r w:rsidR="00C64050">
        <w:t xml:space="preserve"> </w:t>
      </w:r>
      <w:r w:rsidRPr="00D66AAD">
        <w:t>death</w:t>
      </w:r>
      <w:r w:rsidR="00C64050">
        <w:t xml:space="preserve"> </w:t>
      </w:r>
      <w:r w:rsidRPr="00D66AAD">
        <w:t>taxes</w:t>
      </w:r>
      <w:r w:rsidR="00C64050">
        <w:t xml:space="preserve"> </w:t>
      </w:r>
      <w:r w:rsidRPr="00D66AAD">
        <w:t>(but</w:t>
      </w:r>
      <w:r w:rsidR="00C64050">
        <w:t xml:space="preserve"> </w:t>
      </w:r>
      <w:r w:rsidRPr="00D66AAD">
        <w:t>only</w:t>
      </w:r>
      <w:r w:rsidR="00C64050">
        <w:t xml:space="preserve"> </w:t>
      </w:r>
      <w:r w:rsidRPr="00D66AAD">
        <w:t>to</w:t>
      </w:r>
      <w:r w:rsidR="00C64050">
        <w:t xml:space="preserve"> </w:t>
      </w:r>
      <w:r w:rsidRPr="00D66AAD">
        <w:t>the</w:t>
      </w:r>
      <w:r w:rsidR="00C64050">
        <w:t xml:space="preserve"> </w:t>
      </w:r>
      <w:r w:rsidRPr="00D66AAD">
        <w:t>extent</w:t>
      </w:r>
      <w:r w:rsidR="00C64050">
        <w:t xml:space="preserve"> </w:t>
      </w:r>
      <w:r w:rsidRPr="00D66AAD">
        <w:t>that</w:t>
      </w:r>
      <w:r w:rsidR="00C64050">
        <w:t xml:space="preserve"> </w:t>
      </w:r>
      <w:r w:rsidRPr="00D66AAD">
        <w:t>the</w:t>
      </w:r>
      <w:r w:rsidR="00C64050">
        <w:t xml:space="preserve"> </w:t>
      </w:r>
      <w:r w:rsidRPr="00D66AAD">
        <w:t>use</w:t>
      </w:r>
      <w:r w:rsidR="00C64050">
        <w:t xml:space="preserve"> </w:t>
      </w:r>
      <w:r w:rsidRPr="00D66AAD">
        <w:t>of</w:t>
      </w:r>
      <w:r w:rsidR="00C64050">
        <w:t xml:space="preserve"> </w:t>
      </w:r>
      <w:r w:rsidRPr="00D66AAD">
        <w:t>this</w:t>
      </w:r>
      <w:r w:rsidR="00C64050">
        <w:t xml:space="preserve"> </w:t>
      </w:r>
      <w:r w:rsidRPr="00D66AAD">
        <w:t>credit</w:t>
      </w:r>
      <w:r w:rsidR="00C64050">
        <w:t xml:space="preserve"> </w:t>
      </w:r>
      <w:r w:rsidRPr="00D66AAD">
        <w:t>does</w:t>
      </w:r>
      <w:r w:rsidR="00C64050">
        <w:t xml:space="preserve"> </w:t>
      </w:r>
      <w:r w:rsidRPr="00D66AAD">
        <w:t>not</w:t>
      </w:r>
      <w:r w:rsidR="00C64050">
        <w:t xml:space="preserve"> </w:t>
      </w:r>
      <w:r w:rsidRPr="00D66AAD">
        <w:t>require</w:t>
      </w:r>
      <w:r w:rsidR="00C64050">
        <w:t xml:space="preserve"> </w:t>
      </w:r>
      <w:r w:rsidRPr="00D66AAD">
        <w:t>an</w:t>
      </w:r>
      <w:r w:rsidR="00C64050">
        <w:t xml:space="preserve"> </w:t>
      </w:r>
      <w:r w:rsidRPr="00D66AAD">
        <w:t>increase</w:t>
      </w:r>
      <w:r w:rsidR="00C64050">
        <w:t xml:space="preserve"> </w:t>
      </w:r>
      <w:r w:rsidRPr="00D66AAD">
        <w:t>in</w:t>
      </w:r>
      <w:r w:rsidR="00C64050">
        <w:t xml:space="preserve"> </w:t>
      </w:r>
      <w:r w:rsidRPr="00D66AAD">
        <w:t>the</w:t>
      </w:r>
      <w:r w:rsidR="00C64050">
        <w:t xml:space="preserve"> </w:t>
      </w:r>
      <w:r w:rsidRPr="00D66AAD">
        <w:t>state</w:t>
      </w:r>
      <w:r w:rsidR="00C64050">
        <w:t xml:space="preserve"> </w:t>
      </w:r>
      <w:r w:rsidRPr="00D66AAD">
        <w:t>death</w:t>
      </w:r>
      <w:r w:rsidR="00C64050">
        <w:t xml:space="preserve"> </w:t>
      </w:r>
      <w:r w:rsidRPr="00D66AAD">
        <w:t>taxes</w:t>
      </w:r>
      <w:r w:rsidR="00C64050">
        <w:t xml:space="preserve"> </w:t>
      </w:r>
      <w:r w:rsidRPr="00D66AAD">
        <w:t>paid).</w:t>
      </w:r>
    </w:p>
    <w:p w:rsidR="00D66AAD" w:rsidRPr="00D66AAD" w:rsidRDefault="00D66AAD" w:rsidP="00D66AAD">
      <w:pPr>
        <w:pStyle w:val="QS10"/>
      </w:pPr>
      <w:r w:rsidRPr="00D66AAD">
        <w:t>The</w:t>
      </w:r>
      <w:r w:rsidR="00C64050">
        <w:t xml:space="preserve"> </w:t>
      </w:r>
      <w:r w:rsidRPr="00D66AAD">
        <w:t>denominator</w:t>
      </w:r>
      <w:r w:rsidR="00C64050">
        <w:t xml:space="preserve"> </w:t>
      </w:r>
      <w:r w:rsidRPr="00D66AAD">
        <w:t>is</w:t>
      </w:r>
      <w:r w:rsidR="00C64050">
        <w:t xml:space="preserve"> </w:t>
      </w:r>
      <w:r w:rsidRPr="00D66AAD">
        <w:t>the</w:t>
      </w:r>
      <w:r w:rsidR="00C64050">
        <w:t xml:space="preserve"> </w:t>
      </w:r>
      <w:r w:rsidRPr="00D66AAD">
        <w:t>value</w:t>
      </w:r>
      <w:r w:rsidR="00C64050">
        <w:t xml:space="preserve"> </w:t>
      </w:r>
      <w:r w:rsidRPr="00D66AAD">
        <w:t>of</w:t>
      </w:r>
      <w:r w:rsidR="00C64050">
        <w:t xml:space="preserve"> </w:t>
      </w:r>
      <w:r w:rsidRPr="00D66AAD">
        <w:t>the</w:t>
      </w:r>
      <w:r w:rsidR="00C64050">
        <w:t xml:space="preserve"> </w:t>
      </w:r>
      <w:r w:rsidRPr="00D66AAD">
        <w:t>Living</w:t>
      </w:r>
      <w:r w:rsidR="00C64050">
        <w:t xml:space="preserve"> </w:t>
      </w:r>
      <w:r w:rsidRPr="00D66AAD">
        <w:t>Trust</w:t>
      </w:r>
      <w:r w:rsidR="00C64050">
        <w:t xml:space="preserve"> </w:t>
      </w:r>
      <w:r w:rsidRPr="00D66AAD">
        <w:t>as</w:t>
      </w:r>
      <w:r w:rsidR="00C64050">
        <w:t xml:space="preserve"> </w:t>
      </w:r>
      <w:r w:rsidRPr="00D66AAD">
        <w:t>determined</w:t>
      </w:r>
      <w:r w:rsidR="00C64050">
        <w:t xml:space="preserve"> </w:t>
      </w:r>
      <w:r w:rsidRPr="00D66AAD">
        <w:t>for</w:t>
      </w:r>
      <w:r w:rsidR="00C64050">
        <w:t xml:space="preserve"> </w:t>
      </w:r>
      <w:r w:rsidRPr="00D66AAD">
        <w:t>federal</w:t>
      </w:r>
      <w:r w:rsidR="00C64050">
        <w:t xml:space="preserve"> </w:t>
      </w:r>
      <w:r w:rsidRPr="00D66AAD">
        <w:t>estate-tax</w:t>
      </w:r>
      <w:r w:rsidR="00C64050">
        <w:t xml:space="preserve"> </w:t>
      </w:r>
      <w:r w:rsidRPr="00D66AAD">
        <w:t>purposes.</w:t>
      </w:r>
    </w:p>
    <w:p w:rsidR="004E4B24" w:rsidRDefault="004E4B24" w:rsidP="004E4B24">
      <w:pPr>
        <w:pStyle w:val="Body15"/>
      </w:pPr>
      <w:r>
        <w:t>The</w:t>
      </w:r>
      <w:r w:rsidR="00C64050">
        <w:t xml:space="preserve"> </w:t>
      </w:r>
      <w:r>
        <w:t>court</w:t>
      </w:r>
      <w:r w:rsidR="00C64050">
        <w:t xml:space="preserve"> </w:t>
      </w:r>
      <w:r>
        <w:t>whiffed</w:t>
      </w:r>
      <w:r w:rsidR="00C64050">
        <w:t xml:space="preserve"> </w:t>
      </w:r>
      <w:r>
        <w:t>on</w:t>
      </w:r>
      <w:r w:rsidR="00C64050">
        <w:t xml:space="preserve"> </w:t>
      </w:r>
      <w:r>
        <w:t>its</w:t>
      </w:r>
      <w:r w:rsidR="00C64050">
        <w:t xml:space="preserve"> </w:t>
      </w:r>
      <w:r>
        <w:t>interpretation</w:t>
      </w:r>
      <w:r w:rsidR="00C64050">
        <w:t xml:space="preserve"> </w:t>
      </w:r>
      <w:r>
        <w:t>of</w:t>
      </w:r>
      <w:r w:rsidR="00C64050">
        <w:t xml:space="preserve"> </w:t>
      </w:r>
      <w:r>
        <w:t>that</w:t>
      </w:r>
      <w:r w:rsidR="00C64050">
        <w:t xml:space="preserve"> </w:t>
      </w:r>
      <w:r>
        <w:t>clause.</w:t>
      </w:r>
      <w:r w:rsidR="00C64050">
        <w:t xml:space="preserve">  </w:t>
      </w:r>
      <w:r>
        <w:t>First</w:t>
      </w:r>
      <w:r w:rsidR="00C64050">
        <w:t xml:space="preserve"> </w:t>
      </w:r>
      <w:r>
        <w:t>it</w:t>
      </w:r>
      <w:r w:rsidR="00C64050">
        <w:t xml:space="preserve"> </w:t>
      </w:r>
      <w:r>
        <w:t>found</w:t>
      </w:r>
      <w:r w:rsidR="00C64050">
        <w:t xml:space="preserve"> </w:t>
      </w:r>
      <w:r>
        <w:t>that</w:t>
      </w:r>
      <w:r w:rsidR="00C64050">
        <w:t xml:space="preserve"> </w:t>
      </w:r>
      <w:r>
        <w:t>it</w:t>
      </w:r>
      <w:r w:rsidR="00C64050">
        <w:t xml:space="preserve"> </w:t>
      </w:r>
      <w:r>
        <w:t>did</w:t>
      </w:r>
      <w:r w:rsidR="00C64050">
        <w:t xml:space="preserve"> </w:t>
      </w:r>
      <w:r>
        <w:t>not</w:t>
      </w:r>
      <w:r w:rsidR="00C64050">
        <w:t xml:space="preserve"> </w:t>
      </w:r>
      <w:r>
        <w:t>apply</w:t>
      </w:r>
      <w:r w:rsidR="00C64050">
        <w:t xml:space="preserve"> </w:t>
      </w:r>
      <w:r>
        <w:t>to</w:t>
      </w:r>
      <w:r w:rsidR="00C64050">
        <w:t xml:space="preserve"> </w:t>
      </w:r>
      <w:r>
        <w:t>zero-out</w:t>
      </w:r>
      <w:r w:rsidR="00C64050">
        <w:t xml:space="preserve"> </w:t>
      </w:r>
      <w:r>
        <w:t>the</w:t>
      </w:r>
      <w:r w:rsidR="00C64050">
        <w:t xml:space="preserve"> </w:t>
      </w:r>
      <w:r>
        <w:t>estate</w:t>
      </w:r>
      <w:r w:rsidR="00C64050">
        <w:t xml:space="preserve"> </w:t>
      </w:r>
      <w:r>
        <w:t>tax</w:t>
      </w:r>
      <w:r w:rsidR="00C64050">
        <w:t xml:space="preserve"> </w:t>
      </w:r>
      <w:r>
        <w:t>because</w:t>
      </w:r>
      <w:r w:rsidR="00C64050">
        <w:t xml:space="preserve"> </w:t>
      </w:r>
      <w:r>
        <w:t>the</w:t>
      </w:r>
      <w:r w:rsidR="00C64050">
        <w:t xml:space="preserve"> </w:t>
      </w:r>
      <w:r>
        <w:t>farm</w:t>
      </w:r>
      <w:r w:rsidR="00C64050">
        <w:t xml:space="preserve"> </w:t>
      </w:r>
      <w:r>
        <w:t>was</w:t>
      </w:r>
      <w:r w:rsidR="00C64050">
        <w:t xml:space="preserve"> </w:t>
      </w:r>
      <w:r>
        <w:t>not</w:t>
      </w:r>
      <w:r w:rsidR="00C64050">
        <w:t xml:space="preserve"> </w:t>
      </w:r>
      <w:r>
        <w:t>included</w:t>
      </w:r>
      <w:r w:rsidR="00C64050">
        <w:t xml:space="preserve"> </w:t>
      </w:r>
      <w:r>
        <w:t>in</w:t>
      </w:r>
      <w:r w:rsidR="00C64050">
        <w:t xml:space="preserve"> </w:t>
      </w:r>
      <w:r>
        <w:t>the</w:t>
      </w:r>
      <w:r w:rsidR="00C64050">
        <w:t xml:space="preserve"> </w:t>
      </w:r>
      <w:r>
        <w:t>trust</w:t>
      </w:r>
      <w:r w:rsidR="00C64050">
        <w:t xml:space="preserve"> </w:t>
      </w:r>
      <w:r>
        <w:t>so</w:t>
      </w:r>
      <w:r w:rsidR="00C64050">
        <w:t xml:space="preserve"> </w:t>
      </w:r>
      <w:r>
        <w:t>the</w:t>
      </w:r>
      <w:r w:rsidR="00C64050">
        <w:t xml:space="preserve"> </w:t>
      </w:r>
      <w:r>
        <w:t>clause</w:t>
      </w:r>
      <w:r w:rsidR="00C64050">
        <w:t xml:space="preserve"> </w:t>
      </w:r>
      <w:r w:rsidR="00482BD4">
        <w:t>could</w:t>
      </w:r>
      <w:r w:rsidR="00C64050">
        <w:t xml:space="preserve"> </w:t>
      </w:r>
      <w:r>
        <w:t>not</w:t>
      </w:r>
      <w:r w:rsidR="00C64050">
        <w:t xml:space="preserve"> </w:t>
      </w:r>
      <w:r>
        <w:t>direct</w:t>
      </w:r>
      <w:r w:rsidR="00C64050">
        <w:t xml:space="preserve"> </w:t>
      </w:r>
      <w:r>
        <w:t>it</w:t>
      </w:r>
      <w:r w:rsidR="00C64050">
        <w:t xml:space="preserve"> </w:t>
      </w:r>
      <w:r>
        <w:t>to</w:t>
      </w:r>
      <w:r w:rsidR="00C64050">
        <w:t xml:space="preserve"> </w:t>
      </w:r>
      <w:r>
        <w:t>charity.</w:t>
      </w:r>
      <w:r w:rsidR="00C64050">
        <w:t xml:space="preserve">  </w:t>
      </w:r>
      <w:r>
        <w:t>That</w:t>
      </w:r>
      <w:r w:rsidR="00C64050">
        <w:t xml:space="preserve"> </w:t>
      </w:r>
      <w:r>
        <w:t>is</w:t>
      </w:r>
      <w:r w:rsidR="00C64050">
        <w:t xml:space="preserve"> </w:t>
      </w:r>
      <w:r>
        <w:t>partially</w:t>
      </w:r>
      <w:r w:rsidR="00C64050">
        <w:t xml:space="preserve"> </w:t>
      </w:r>
      <w:r>
        <w:t>correct.</w:t>
      </w:r>
      <w:r w:rsidR="00C64050">
        <w:t xml:space="preserve">  </w:t>
      </w:r>
      <w:r>
        <w:t>Then</w:t>
      </w:r>
      <w:r w:rsidR="00C64050">
        <w:t xml:space="preserve"> </w:t>
      </w:r>
      <w:r>
        <w:t>it</w:t>
      </w:r>
      <w:r w:rsidR="00C64050">
        <w:t xml:space="preserve"> </w:t>
      </w:r>
      <w:r>
        <w:t>stated:</w:t>
      </w:r>
    </w:p>
    <w:p w:rsidR="00DC41B3" w:rsidRPr="00DC41B3" w:rsidRDefault="00DC41B3" w:rsidP="00DC41B3">
      <w:pPr>
        <w:pStyle w:val="QS10"/>
        <w:rPr>
          <w:szCs w:val="20"/>
        </w:rPr>
      </w:pPr>
      <w:r w:rsidRPr="00DC41B3">
        <w:rPr>
          <w:szCs w:val="20"/>
        </w:rPr>
        <w:t>There</w:t>
      </w:r>
      <w:r w:rsidR="00C64050">
        <w:rPr>
          <w:szCs w:val="20"/>
        </w:rPr>
        <w:t xml:space="preserve"> </w:t>
      </w:r>
      <w:r w:rsidRPr="00DC41B3">
        <w:rPr>
          <w:szCs w:val="20"/>
        </w:rPr>
        <w:t>is</w:t>
      </w:r>
      <w:r w:rsidR="00C64050">
        <w:rPr>
          <w:szCs w:val="20"/>
        </w:rPr>
        <w:t xml:space="preserve"> </w:t>
      </w:r>
      <w:r w:rsidRPr="00DC41B3">
        <w:rPr>
          <w:szCs w:val="20"/>
        </w:rPr>
        <w:t>also</w:t>
      </w:r>
      <w:r w:rsidR="00C64050">
        <w:rPr>
          <w:szCs w:val="20"/>
        </w:rPr>
        <w:t xml:space="preserve"> </w:t>
      </w:r>
      <w:r w:rsidRPr="00DC41B3">
        <w:rPr>
          <w:szCs w:val="20"/>
        </w:rPr>
        <w:t>a</w:t>
      </w:r>
      <w:r w:rsidR="00C64050">
        <w:rPr>
          <w:szCs w:val="20"/>
        </w:rPr>
        <w:t xml:space="preserve"> </w:t>
      </w:r>
      <w:r w:rsidRPr="00DC41B3">
        <w:rPr>
          <w:szCs w:val="20"/>
        </w:rPr>
        <w:t>second,</w:t>
      </w:r>
      <w:r w:rsidR="00C64050">
        <w:rPr>
          <w:szCs w:val="20"/>
        </w:rPr>
        <w:t xml:space="preserve"> </w:t>
      </w:r>
      <w:r w:rsidRPr="00DC41B3">
        <w:rPr>
          <w:szCs w:val="20"/>
        </w:rPr>
        <w:t>much</w:t>
      </w:r>
      <w:r w:rsidR="00C64050">
        <w:rPr>
          <w:szCs w:val="20"/>
        </w:rPr>
        <w:t xml:space="preserve"> </w:t>
      </w:r>
      <w:r w:rsidRPr="00DC41B3">
        <w:rPr>
          <w:szCs w:val="20"/>
        </w:rPr>
        <w:t>more</w:t>
      </w:r>
      <w:r w:rsidR="00C64050">
        <w:rPr>
          <w:szCs w:val="20"/>
        </w:rPr>
        <w:t xml:space="preserve"> </w:t>
      </w:r>
      <w:r w:rsidRPr="00DC41B3">
        <w:rPr>
          <w:szCs w:val="20"/>
        </w:rPr>
        <w:t>general</w:t>
      </w:r>
      <w:r w:rsidR="00C64050">
        <w:rPr>
          <w:szCs w:val="20"/>
        </w:rPr>
        <w:t xml:space="preserve"> </w:t>
      </w:r>
      <w:r w:rsidRPr="00DC41B3">
        <w:rPr>
          <w:szCs w:val="20"/>
        </w:rPr>
        <w:t>problem</w:t>
      </w:r>
      <w:r w:rsidR="00C64050">
        <w:rPr>
          <w:szCs w:val="20"/>
        </w:rPr>
        <w:t xml:space="preserve"> </w:t>
      </w:r>
      <w:r w:rsidRPr="00DC41B3">
        <w:rPr>
          <w:szCs w:val="20"/>
        </w:rPr>
        <w:t>here.</w:t>
      </w:r>
      <w:r w:rsidR="00C64050">
        <w:rPr>
          <w:szCs w:val="20"/>
        </w:rPr>
        <w:t xml:space="preserve"> </w:t>
      </w:r>
      <w:r w:rsidRPr="00DC41B3">
        <w:rPr>
          <w:szCs w:val="20"/>
        </w:rPr>
        <w:t>Charitable</w:t>
      </w:r>
      <w:r w:rsidR="00C64050">
        <w:rPr>
          <w:szCs w:val="20"/>
        </w:rPr>
        <w:t xml:space="preserve"> </w:t>
      </w:r>
      <w:r w:rsidRPr="00DC41B3">
        <w:rPr>
          <w:szCs w:val="20"/>
        </w:rPr>
        <w:t>deductions</w:t>
      </w:r>
      <w:r w:rsidR="00C64050">
        <w:rPr>
          <w:szCs w:val="20"/>
        </w:rPr>
        <w:t xml:space="preserve"> </w:t>
      </w:r>
      <w:r w:rsidRPr="00DC41B3">
        <w:rPr>
          <w:szCs w:val="20"/>
        </w:rPr>
        <w:t>are</w:t>
      </w:r>
      <w:r w:rsidR="00C64050">
        <w:rPr>
          <w:szCs w:val="20"/>
        </w:rPr>
        <w:t xml:space="preserve"> </w:t>
      </w:r>
      <w:r w:rsidRPr="00DC41B3">
        <w:rPr>
          <w:szCs w:val="20"/>
        </w:rPr>
        <w:t>allowed</w:t>
      </w:r>
      <w:r w:rsidR="00C64050">
        <w:rPr>
          <w:szCs w:val="20"/>
        </w:rPr>
        <w:t xml:space="preserve"> </w:t>
      </w:r>
      <w:r w:rsidRPr="00DC41B3">
        <w:rPr>
          <w:szCs w:val="20"/>
        </w:rPr>
        <w:t>only</w:t>
      </w:r>
      <w:r w:rsidR="00C64050">
        <w:rPr>
          <w:szCs w:val="20"/>
        </w:rPr>
        <w:t xml:space="preserve"> </w:t>
      </w:r>
      <w:r w:rsidRPr="00DC41B3">
        <w:rPr>
          <w:szCs w:val="20"/>
        </w:rPr>
        <w:t>for</w:t>
      </w:r>
      <w:r w:rsidR="00C64050">
        <w:rPr>
          <w:szCs w:val="20"/>
        </w:rPr>
        <w:t xml:space="preserve"> </w:t>
      </w:r>
      <w:r w:rsidRPr="00DC41B3">
        <w:rPr>
          <w:szCs w:val="20"/>
        </w:rPr>
        <w:t>the</w:t>
      </w:r>
      <w:r w:rsidR="00C64050">
        <w:rPr>
          <w:szCs w:val="20"/>
        </w:rPr>
        <w:t xml:space="preserve"> </w:t>
      </w:r>
      <w:r w:rsidRPr="00DC41B3">
        <w:rPr>
          <w:szCs w:val="20"/>
        </w:rPr>
        <w:t>value</w:t>
      </w:r>
      <w:r w:rsidR="00C64050">
        <w:rPr>
          <w:szCs w:val="20"/>
        </w:rPr>
        <w:t xml:space="preserve"> </w:t>
      </w:r>
      <w:r w:rsidRPr="00DC41B3">
        <w:rPr>
          <w:szCs w:val="20"/>
        </w:rPr>
        <w:t>of</w:t>
      </w:r>
      <w:r w:rsidR="00C64050">
        <w:rPr>
          <w:szCs w:val="20"/>
        </w:rPr>
        <w:t xml:space="preserve"> </w:t>
      </w:r>
      <w:r w:rsidRPr="00DC41B3">
        <w:rPr>
          <w:szCs w:val="20"/>
        </w:rPr>
        <w:t>property</w:t>
      </w:r>
      <w:r w:rsidR="00C64050">
        <w:rPr>
          <w:szCs w:val="20"/>
        </w:rPr>
        <w:t xml:space="preserve"> </w:t>
      </w:r>
      <w:r w:rsidRPr="00DC41B3">
        <w:rPr>
          <w:szCs w:val="20"/>
        </w:rPr>
        <w:t>in</w:t>
      </w:r>
      <w:r w:rsidR="00C64050">
        <w:rPr>
          <w:szCs w:val="20"/>
        </w:rPr>
        <w:t xml:space="preserve"> </w:t>
      </w:r>
      <w:r w:rsidRPr="00DC41B3">
        <w:rPr>
          <w:szCs w:val="20"/>
        </w:rPr>
        <w:t>a</w:t>
      </w:r>
      <w:r w:rsidR="00C64050">
        <w:rPr>
          <w:szCs w:val="20"/>
        </w:rPr>
        <w:t xml:space="preserve"> </w:t>
      </w:r>
      <w:r w:rsidRPr="00DC41B3">
        <w:rPr>
          <w:szCs w:val="20"/>
        </w:rPr>
        <w:t>decedent’s</w:t>
      </w:r>
      <w:r w:rsidR="00C64050">
        <w:rPr>
          <w:szCs w:val="20"/>
        </w:rPr>
        <w:t xml:space="preserve"> </w:t>
      </w:r>
      <w:r w:rsidRPr="00DC41B3">
        <w:rPr>
          <w:szCs w:val="20"/>
        </w:rPr>
        <w:t>gross</w:t>
      </w:r>
      <w:r w:rsidR="00C64050">
        <w:rPr>
          <w:szCs w:val="20"/>
        </w:rPr>
        <w:t xml:space="preserve"> </w:t>
      </w:r>
      <w:r w:rsidRPr="00DC41B3">
        <w:rPr>
          <w:szCs w:val="20"/>
        </w:rPr>
        <w:t>estate</w:t>
      </w:r>
      <w:r w:rsidR="00C64050">
        <w:rPr>
          <w:szCs w:val="20"/>
        </w:rPr>
        <w:t xml:space="preserve"> </w:t>
      </w:r>
      <w:r w:rsidRPr="00DC41B3">
        <w:rPr>
          <w:szCs w:val="20"/>
        </w:rPr>
        <w:t>if</w:t>
      </w:r>
      <w:r w:rsidR="00C64050">
        <w:rPr>
          <w:szCs w:val="20"/>
        </w:rPr>
        <w:t xml:space="preserve"> </w:t>
      </w:r>
      <w:r w:rsidRPr="00DC41B3">
        <w:rPr>
          <w:szCs w:val="20"/>
        </w:rPr>
        <w:t>transferred</w:t>
      </w:r>
      <w:r w:rsidR="00C64050">
        <w:rPr>
          <w:szCs w:val="20"/>
        </w:rPr>
        <w:t xml:space="preserve"> </w:t>
      </w:r>
      <w:r w:rsidRPr="00DC41B3">
        <w:rPr>
          <w:szCs w:val="20"/>
        </w:rPr>
        <w:t>to</w:t>
      </w:r>
      <w:r w:rsidR="00C64050">
        <w:rPr>
          <w:szCs w:val="20"/>
        </w:rPr>
        <w:t xml:space="preserve"> </w:t>
      </w:r>
      <w:r w:rsidRPr="00DC41B3">
        <w:rPr>
          <w:szCs w:val="20"/>
        </w:rPr>
        <w:t>a</w:t>
      </w:r>
      <w:r w:rsidR="00C64050">
        <w:rPr>
          <w:szCs w:val="20"/>
        </w:rPr>
        <w:t xml:space="preserve"> </w:t>
      </w:r>
      <w:r w:rsidRPr="00DC41B3">
        <w:rPr>
          <w:szCs w:val="20"/>
        </w:rPr>
        <w:t>charitable</w:t>
      </w:r>
      <w:r w:rsidR="00C64050">
        <w:rPr>
          <w:szCs w:val="20"/>
        </w:rPr>
        <w:t xml:space="preserve"> </w:t>
      </w:r>
      <w:r w:rsidRPr="00DC41B3">
        <w:rPr>
          <w:szCs w:val="20"/>
        </w:rPr>
        <w:t>donee</w:t>
      </w:r>
      <w:r w:rsidR="00C64050">
        <w:rPr>
          <w:szCs w:val="20"/>
        </w:rPr>
        <w:t xml:space="preserve"> </w:t>
      </w:r>
      <w:r w:rsidRPr="00DC41B3">
        <w:rPr>
          <w:szCs w:val="20"/>
        </w:rPr>
        <w:t>“by</w:t>
      </w:r>
      <w:r w:rsidR="00C64050">
        <w:rPr>
          <w:szCs w:val="20"/>
        </w:rPr>
        <w:t xml:space="preserve"> </w:t>
      </w:r>
      <w:r w:rsidRPr="00DC41B3">
        <w:rPr>
          <w:szCs w:val="20"/>
        </w:rPr>
        <w:t>the</w:t>
      </w:r>
      <w:r w:rsidR="00C64050">
        <w:rPr>
          <w:szCs w:val="20"/>
        </w:rPr>
        <w:t xml:space="preserve"> </w:t>
      </w:r>
      <w:r w:rsidRPr="00DC41B3">
        <w:rPr>
          <w:szCs w:val="20"/>
        </w:rPr>
        <w:t>decedent</w:t>
      </w:r>
      <w:r w:rsidR="00C64050">
        <w:rPr>
          <w:szCs w:val="20"/>
        </w:rPr>
        <w:t xml:space="preserve"> </w:t>
      </w:r>
      <w:r w:rsidRPr="00DC41B3">
        <w:rPr>
          <w:szCs w:val="20"/>
        </w:rPr>
        <w:t>during</w:t>
      </w:r>
      <w:r w:rsidR="00C64050">
        <w:rPr>
          <w:szCs w:val="20"/>
        </w:rPr>
        <w:t xml:space="preserve"> </w:t>
      </w:r>
      <w:r w:rsidRPr="00DC41B3">
        <w:rPr>
          <w:szCs w:val="20"/>
        </w:rPr>
        <w:t>his</w:t>
      </w:r>
      <w:r w:rsidR="00C64050">
        <w:rPr>
          <w:szCs w:val="20"/>
        </w:rPr>
        <w:t xml:space="preserve"> </w:t>
      </w:r>
      <w:r w:rsidRPr="00DC41B3">
        <w:rPr>
          <w:szCs w:val="20"/>
        </w:rPr>
        <w:t>lifetime</w:t>
      </w:r>
      <w:r w:rsidR="00C64050">
        <w:rPr>
          <w:szCs w:val="20"/>
        </w:rPr>
        <w:t xml:space="preserve"> </w:t>
      </w:r>
      <w:r w:rsidRPr="00DC41B3">
        <w:rPr>
          <w:szCs w:val="20"/>
        </w:rPr>
        <w:t>or</w:t>
      </w:r>
      <w:r w:rsidR="00C64050">
        <w:rPr>
          <w:szCs w:val="20"/>
        </w:rPr>
        <w:t xml:space="preserve"> </w:t>
      </w:r>
      <w:r w:rsidRPr="00DC41B3">
        <w:rPr>
          <w:szCs w:val="20"/>
        </w:rPr>
        <w:t>by</w:t>
      </w:r>
      <w:r w:rsidR="00C64050">
        <w:rPr>
          <w:szCs w:val="20"/>
        </w:rPr>
        <w:t xml:space="preserve"> </w:t>
      </w:r>
      <w:r w:rsidRPr="00DC41B3">
        <w:rPr>
          <w:szCs w:val="20"/>
        </w:rPr>
        <w:t>will.”</w:t>
      </w:r>
      <w:r w:rsidR="00C64050">
        <w:rPr>
          <w:szCs w:val="20"/>
        </w:rPr>
        <w:t xml:space="preserve"> </w:t>
      </w:r>
      <w:hyperlink r:id="rId329" w:anchor="co_pp_8b3b0000958a4" w:history="1">
        <w:r w:rsidRPr="00DC41B3">
          <w:rPr>
            <w:rStyle w:val="Hyperlink"/>
            <w:color w:val="auto"/>
            <w:szCs w:val="20"/>
          </w:rPr>
          <w:t>Sec.</w:t>
        </w:r>
        <w:r w:rsidR="00C64050">
          <w:rPr>
            <w:rStyle w:val="Hyperlink"/>
            <w:color w:val="auto"/>
            <w:szCs w:val="20"/>
          </w:rPr>
          <w:t xml:space="preserve"> </w:t>
        </w:r>
        <w:r w:rsidRPr="00DC41B3">
          <w:rPr>
            <w:rStyle w:val="Hyperlink"/>
            <w:color w:val="auto"/>
            <w:szCs w:val="20"/>
          </w:rPr>
          <w:t>20.2055-1(a),</w:t>
        </w:r>
        <w:r w:rsidR="00C64050">
          <w:rPr>
            <w:rStyle w:val="Hyperlink"/>
            <w:color w:val="auto"/>
            <w:szCs w:val="20"/>
          </w:rPr>
          <w:t xml:space="preserve"> </w:t>
        </w:r>
        <w:r w:rsidRPr="00DC41B3">
          <w:rPr>
            <w:rStyle w:val="Hyperlink"/>
            <w:color w:val="auto"/>
            <w:szCs w:val="20"/>
          </w:rPr>
          <w:t>Estate</w:t>
        </w:r>
        <w:r w:rsidR="00C64050">
          <w:rPr>
            <w:rStyle w:val="Hyperlink"/>
            <w:color w:val="auto"/>
            <w:szCs w:val="20"/>
          </w:rPr>
          <w:t xml:space="preserve"> </w:t>
        </w:r>
        <w:r w:rsidRPr="00DC41B3">
          <w:rPr>
            <w:rStyle w:val="Hyperlink"/>
            <w:color w:val="auto"/>
            <w:szCs w:val="20"/>
          </w:rPr>
          <w:t>Tax</w:t>
        </w:r>
        <w:r w:rsidR="00C64050">
          <w:rPr>
            <w:rStyle w:val="Hyperlink"/>
            <w:color w:val="auto"/>
            <w:szCs w:val="20"/>
          </w:rPr>
          <w:t xml:space="preserve"> </w:t>
        </w:r>
        <w:r w:rsidRPr="00DC41B3">
          <w:rPr>
            <w:rStyle w:val="Hyperlink"/>
            <w:color w:val="auto"/>
            <w:szCs w:val="20"/>
          </w:rPr>
          <w:t>Regs</w:t>
        </w:r>
      </w:hyperlink>
      <w:r w:rsidRPr="00DC41B3">
        <w:rPr>
          <w:szCs w:val="20"/>
        </w:rPr>
        <w:t>.</w:t>
      </w:r>
      <w:r w:rsidR="00C64050">
        <w:rPr>
          <w:szCs w:val="20"/>
        </w:rPr>
        <w:t xml:space="preserve"> </w:t>
      </w:r>
      <w:r w:rsidRPr="00DC41B3">
        <w:rPr>
          <w:szCs w:val="20"/>
        </w:rPr>
        <w:t>We</w:t>
      </w:r>
      <w:r w:rsidR="00C64050">
        <w:rPr>
          <w:szCs w:val="20"/>
        </w:rPr>
        <w:t xml:space="preserve"> </w:t>
      </w:r>
      <w:r w:rsidRPr="00DC41B3">
        <w:rPr>
          <w:szCs w:val="20"/>
        </w:rPr>
        <w:t>have</w:t>
      </w:r>
      <w:r w:rsidR="00C64050">
        <w:rPr>
          <w:szCs w:val="20"/>
        </w:rPr>
        <w:t xml:space="preserve"> </w:t>
      </w:r>
      <w:r w:rsidRPr="00DC41B3">
        <w:rPr>
          <w:szCs w:val="20"/>
        </w:rPr>
        <w:t>repeatedly</w:t>
      </w:r>
      <w:r w:rsidR="00C64050">
        <w:rPr>
          <w:szCs w:val="20"/>
        </w:rPr>
        <w:t xml:space="preserve"> </w:t>
      </w:r>
      <w:r w:rsidRPr="00DC41B3">
        <w:rPr>
          <w:szCs w:val="20"/>
        </w:rPr>
        <w:t>denied</w:t>
      </w:r>
      <w:r w:rsidR="00C64050">
        <w:rPr>
          <w:szCs w:val="20"/>
        </w:rPr>
        <w:t xml:space="preserve"> </w:t>
      </w:r>
      <w:r w:rsidRPr="00DC41B3">
        <w:rPr>
          <w:szCs w:val="20"/>
        </w:rPr>
        <w:t>charitable</w:t>
      </w:r>
      <w:r w:rsidR="00C64050">
        <w:rPr>
          <w:szCs w:val="20"/>
        </w:rPr>
        <w:t xml:space="preserve"> </w:t>
      </w:r>
      <w:r w:rsidRPr="00DC41B3">
        <w:rPr>
          <w:szCs w:val="20"/>
        </w:rPr>
        <w:t>deductions</w:t>
      </w:r>
      <w:r w:rsidR="00C64050">
        <w:rPr>
          <w:szCs w:val="20"/>
        </w:rPr>
        <w:t xml:space="preserve"> </w:t>
      </w:r>
      <w:r w:rsidRPr="00DC41B3">
        <w:rPr>
          <w:szCs w:val="20"/>
        </w:rPr>
        <w:t>where</w:t>
      </w:r>
      <w:r w:rsidR="00C64050">
        <w:rPr>
          <w:szCs w:val="20"/>
        </w:rPr>
        <w:t xml:space="preserve"> </w:t>
      </w:r>
      <w:r w:rsidRPr="00DC41B3">
        <w:rPr>
          <w:szCs w:val="20"/>
        </w:rPr>
        <w:t>the</w:t>
      </w:r>
      <w:r w:rsidR="00C64050">
        <w:rPr>
          <w:szCs w:val="20"/>
        </w:rPr>
        <w:t xml:space="preserve"> </w:t>
      </w:r>
      <w:r w:rsidRPr="00DC41B3">
        <w:rPr>
          <w:szCs w:val="20"/>
        </w:rPr>
        <w:t>donation</w:t>
      </w:r>
      <w:r w:rsidR="00C64050">
        <w:rPr>
          <w:szCs w:val="20"/>
        </w:rPr>
        <w:t xml:space="preserve"> </w:t>
      </w:r>
      <w:r w:rsidRPr="00DC41B3">
        <w:rPr>
          <w:szCs w:val="20"/>
        </w:rPr>
        <w:t>turned</w:t>
      </w:r>
      <w:r w:rsidR="00C64050">
        <w:rPr>
          <w:szCs w:val="20"/>
        </w:rPr>
        <w:t xml:space="preserve"> </w:t>
      </w:r>
      <w:r w:rsidRPr="00DC41B3">
        <w:rPr>
          <w:szCs w:val="20"/>
        </w:rPr>
        <w:t>upon</w:t>
      </w:r>
      <w:r w:rsidR="00C64050">
        <w:rPr>
          <w:szCs w:val="20"/>
        </w:rPr>
        <w:t xml:space="preserve"> </w:t>
      </w:r>
      <w:r w:rsidRPr="00DC41B3">
        <w:rPr>
          <w:szCs w:val="20"/>
        </w:rPr>
        <w:t>the</w:t>
      </w:r>
      <w:r w:rsidR="00C64050">
        <w:rPr>
          <w:szCs w:val="20"/>
        </w:rPr>
        <w:t xml:space="preserve"> </w:t>
      </w:r>
      <w:r w:rsidRPr="00DC41B3">
        <w:rPr>
          <w:szCs w:val="20"/>
        </w:rPr>
        <w:t>actions</w:t>
      </w:r>
      <w:r w:rsidR="00C64050">
        <w:rPr>
          <w:szCs w:val="20"/>
        </w:rPr>
        <w:t xml:space="preserve"> </w:t>
      </w:r>
      <w:r w:rsidRPr="00DC41B3">
        <w:rPr>
          <w:szCs w:val="20"/>
        </w:rPr>
        <w:t>of</w:t>
      </w:r>
      <w:r w:rsidR="00C64050">
        <w:rPr>
          <w:szCs w:val="20"/>
        </w:rPr>
        <w:t xml:space="preserve"> </w:t>
      </w:r>
      <w:r w:rsidRPr="00DC41B3">
        <w:rPr>
          <w:szCs w:val="20"/>
        </w:rPr>
        <w:t>the</w:t>
      </w:r>
      <w:r w:rsidR="00C64050">
        <w:rPr>
          <w:szCs w:val="20"/>
        </w:rPr>
        <w:t xml:space="preserve"> </w:t>
      </w:r>
      <w:r w:rsidRPr="00DC41B3">
        <w:rPr>
          <w:szCs w:val="20"/>
        </w:rPr>
        <w:t>decedent’s</w:t>
      </w:r>
      <w:r w:rsidR="00C64050">
        <w:rPr>
          <w:szCs w:val="20"/>
        </w:rPr>
        <w:t xml:space="preserve"> </w:t>
      </w:r>
      <w:r w:rsidRPr="00DC41B3">
        <w:rPr>
          <w:szCs w:val="20"/>
        </w:rPr>
        <w:t>beneficiary</w:t>
      </w:r>
      <w:r w:rsidR="00C64050">
        <w:rPr>
          <w:szCs w:val="20"/>
        </w:rPr>
        <w:t xml:space="preserve"> </w:t>
      </w:r>
      <w:r w:rsidRPr="00DC41B3">
        <w:rPr>
          <w:szCs w:val="20"/>
        </w:rPr>
        <w:t>or</w:t>
      </w:r>
      <w:r w:rsidR="00C64050">
        <w:rPr>
          <w:szCs w:val="20"/>
        </w:rPr>
        <w:t xml:space="preserve"> </w:t>
      </w:r>
      <w:r w:rsidRPr="00DC41B3">
        <w:rPr>
          <w:szCs w:val="20"/>
        </w:rPr>
        <w:t>an</w:t>
      </w:r>
      <w:r w:rsidR="00C64050">
        <w:rPr>
          <w:szCs w:val="20"/>
        </w:rPr>
        <w:t xml:space="preserve"> </w:t>
      </w:r>
      <w:r w:rsidRPr="00DC41B3">
        <w:rPr>
          <w:szCs w:val="20"/>
        </w:rPr>
        <w:t>estate’s</w:t>
      </w:r>
      <w:r w:rsidR="00C64050">
        <w:rPr>
          <w:szCs w:val="20"/>
        </w:rPr>
        <w:t xml:space="preserve"> </w:t>
      </w:r>
      <w:r w:rsidRPr="00DC41B3">
        <w:rPr>
          <w:szCs w:val="20"/>
        </w:rPr>
        <w:t>executor</w:t>
      </w:r>
      <w:r w:rsidR="00C64050">
        <w:rPr>
          <w:szCs w:val="20"/>
        </w:rPr>
        <w:t xml:space="preserve"> </w:t>
      </w:r>
      <w:r w:rsidRPr="00DC41B3">
        <w:rPr>
          <w:szCs w:val="20"/>
        </w:rPr>
        <w:t>or</w:t>
      </w:r>
      <w:r w:rsidR="00C64050">
        <w:rPr>
          <w:szCs w:val="20"/>
        </w:rPr>
        <w:t xml:space="preserve"> </w:t>
      </w:r>
      <w:r w:rsidRPr="00DC41B3">
        <w:rPr>
          <w:szCs w:val="20"/>
        </w:rPr>
        <w:t>administrator.</w:t>
      </w:r>
      <w:r w:rsidR="00C64050">
        <w:rPr>
          <w:szCs w:val="20"/>
        </w:rPr>
        <w:t xml:space="preserve"> </w:t>
      </w:r>
      <w:r w:rsidRPr="00DC41B3">
        <w:rPr>
          <w:szCs w:val="20"/>
          <w:u w:val="single"/>
        </w:rPr>
        <w:t>See,</w:t>
      </w:r>
      <w:r w:rsidR="00C64050">
        <w:rPr>
          <w:szCs w:val="20"/>
          <w:u w:val="single"/>
        </w:rPr>
        <w:t xml:space="preserve"> </w:t>
      </w:r>
      <w:r w:rsidRPr="00DC41B3">
        <w:rPr>
          <w:szCs w:val="20"/>
          <w:u w:val="single"/>
        </w:rPr>
        <w:t>e.g.</w:t>
      </w:r>
      <w:r w:rsidRPr="00DC41B3">
        <w:rPr>
          <w:szCs w:val="20"/>
        </w:rPr>
        <w:t>,</w:t>
      </w:r>
      <w:r w:rsidR="00C64050">
        <w:rPr>
          <w:szCs w:val="20"/>
        </w:rPr>
        <w:t xml:space="preserve"> </w:t>
      </w:r>
      <w:r w:rsidRPr="00DC41B3">
        <w:rPr>
          <w:szCs w:val="20"/>
          <w:u w:val="single"/>
        </w:rPr>
        <w:t>Estate</w:t>
      </w:r>
      <w:r w:rsidR="00C64050">
        <w:rPr>
          <w:szCs w:val="20"/>
          <w:u w:val="single"/>
        </w:rPr>
        <w:t xml:space="preserve"> </w:t>
      </w:r>
      <w:r w:rsidRPr="00DC41B3">
        <w:rPr>
          <w:szCs w:val="20"/>
          <w:u w:val="single"/>
        </w:rPr>
        <w:t>of</w:t>
      </w:r>
      <w:r w:rsidR="00C64050">
        <w:rPr>
          <w:szCs w:val="20"/>
          <w:u w:val="single"/>
        </w:rPr>
        <w:t xml:space="preserve"> </w:t>
      </w:r>
      <w:r w:rsidRPr="00DC41B3">
        <w:rPr>
          <w:szCs w:val="20"/>
          <w:u w:val="single"/>
        </w:rPr>
        <w:t>Engelman</w:t>
      </w:r>
      <w:r w:rsidR="00C64050">
        <w:rPr>
          <w:szCs w:val="20"/>
        </w:rPr>
        <w:t xml:space="preserve"> </w:t>
      </w:r>
      <w:r w:rsidRPr="00DC41B3">
        <w:rPr>
          <w:szCs w:val="20"/>
          <w:u w:val="single"/>
        </w:rPr>
        <w:t>v.</w:t>
      </w:r>
      <w:r w:rsidR="00C64050">
        <w:rPr>
          <w:szCs w:val="20"/>
          <w:u w:val="single"/>
        </w:rPr>
        <w:t xml:space="preserve"> </w:t>
      </w:r>
      <w:r w:rsidRPr="00DC41B3">
        <w:rPr>
          <w:szCs w:val="20"/>
          <w:u w:val="single"/>
        </w:rPr>
        <w:t>Commissioner</w:t>
      </w:r>
      <w:r w:rsidRPr="00DC41B3">
        <w:rPr>
          <w:szCs w:val="20"/>
        </w:rPr>
        <w:t>,</w:t>
      </w:r>
      <w:r w:rsidR="00C64050">
        <w:rPr>
          <w:szCs w:val="20"/>
        </w:rPr>
        <w:t xml:space="preserve"> </w:t>
      </w:r>
      <w:r w:rsidRPr="00DC41B3">
        <w:rPr>
          <w:szCs w:val="20"/>
        </w:rPr>
        <w:t>121</w:t>
      </w:r>
      <w:r w:rsidR="00C64050">
        <w:rPr>
          <w:szCs w:val="20"/>
        </w:rPr>
        <w:t xml:space="preserve"> </w:t>
      </w:r>
      <w:r w:rsidRPr="00DC41B3">
        <w:rPr>
          <w:szCs w:val="20"/>
        </w:rPr>
        <w:t>T.C.</w:t>
      </w:r>
      <w:r w:rsidR="00C64050">
        <w:rPr>
          <w:szCs w:val="20"/>
        </w:rPr>
        <w:t xml:space="preserve"> </w:t>
      </w:r>
      <w:r w:rsidRPr="00DC41B3">
        <w:rPr>
          <w:szCs w:val="20"/>
        </w:rPr>
        <w:t>54,</w:t>
      </w:r>
      <w:r w:rsidR="00C64050">
        <w:rPr>
          <w:szCs w:val="20"/>
        </w:rPr>
        <w:t xml:space="preserve"> </w:t>
      </w:r>
      <w:r w:rsidRPr="00DC41B3">
        <w:rPr>
          <w:szCs w:val="20"/>
        </w:rPr>
        <w:t>70-71</w:t>
      </w:r>
      <w:r w:rsidR="00C64050">
        <w:rPr>
          <w:szCs w:val="20"/>
        </w:rPr>
        <w:t xml:space="preserve"> </w:t>
      </w:r>
      <w:r w:rsidRPr="00DC41B3">
        <w:rPr>
          <w:szCs w:val="20"/>
        </w:rPr>
        <w:t>(2003);</w:t>
      </w:r>
      <w:r w:rsidR="00C64050">
        <w:rPr>
          <w:szCs w:val="20"/>
        </w:rPr>
        <w:t xml:space="preserve"> </w:t>
      </w:r>
      <w:r w:rsidRPr="00DC41B3">
        <w:rPr>
          <w:szCs w:val="20"/>
          <w:u w:val="single"/>
        </w:rPr>
        <w:t>Estate</w:t>
      </w:r>
      <w:r w:rsidR="00C64050">
        <w:rPr>
          <w:szCs w:val="20"/>
          <w:u w:val="single"/>
        </w:rPr>
        <w:t xml:space="preserve"> </w:t>
      </w:r>
      <w:r w:rsidRPr="00DC41B3">
        <w:rPr>
          <w:szCs w:val="20"/>
          <w:u w:val="single"/>
        </w:rPr>
        <w:t>of</w:t>
      </w:r>
      <w:r w:rsidR="00C64050">
        <w:rPr>
          <w:szCs w:val="20"/>
          <w:u w:val="single"/>
        </w:rPr>
        <w:t xml:space="preserve"> </w:t>
      </w:r>
      <w:r w:rsidRPr="00DC41B3">
        <w:rPr>
          <w:szCs w:val="20"/>
          <w:u w:val="single"/>
        </w:rPr>
        <w:t>Marine</w:t>
      </w:r>
      <w:r w:rsidR="00C64050">
        <w:rPr>
          <w:szCs w:val="20"/>
          <w:u w:val="single"/>
        </w:rPr>
        <w:t xml:space="preserve"> </w:t>
      </w:r>
      <w:r w:rsidRPr="00DC41B3">
        <w:rPr>
          <w:szCs w:val="20"/>
          <w:u w:val="single"/>
        </w:rPr>
        <w:t>v.</w:t>
      </w:r>
      <w:r w:rsidR="00C64050">
        <w:rPr>
          <w:szCs w:val="20"/>
          <w:u w:val="single"/>
        </w:rPr>
        <w:t xml:space="preserve"> </w:t>
      </w:r>
      <w:r w:rsidRPr="00DC41B3">
        <w:rPr>
          <w:szCs w:val="20"/>
          <w:u w:val="single"/>
        </w:rPr>
        <w:t>Commissioner</w:t>
      </w:r>
      <w:r w:rsidRPr="00DC41B3">
        <w:rPr>
          <w:szCs w:val="20"/>
        </w:rPr>
        <w:t>,</w:t>
      </w:r>
      <w:r w:rsidR="00C64050">
        <w:rPr>
          <w:szCs w:val="20"/>
        </w:rPr>
        <w:t xml:space="preserve"> </w:t>
      </w:r>
      <w:r w:rsidRPr="00DC41B3">
        <w:rPr>
          <w:szCs w:val="20"/>
        </w:rPr>
        <w:t>97</w:t>
      </w:r>
      <w:r w:rsidR="00C64050">
        <w:rPr>
          <w:szCs w:val="20"/>
        </w:rPr>
        <w:t xml:space="preserve"> </w:t>
      </w:r>
      <w:r w:rsidRPr="00DC41B3">
        <w:rPr>
          <w:szCs w:val="20"/>
        </w:rPr>
        <w:t>T.C.</w:t>
      </w:r>
      <w:r w:rsidR="00C64050">
        <w:rPr>
          <w:szCs w:val="20"/>
        </w:rPr>
        <w:t xml:space="preserve"> </w:t>
      </w:r>
      <w:r w:rsidRPr="00DC41B3">
        <w:rPr>
          <w:szCs w:val="20"/>
        </w:rPr>
        <w:t>368,</w:t>
      </w:r>
      <w:r w:rsidR="00C64050">
        <w:rPr>
          <w:szCs w:val="20"/>
        </w:rPr>
        <w:t xml:space="preserve"> </w:t>
      </w:r>
      <w:r w:rsidRPr="00DC41B3">
        <w:rPr>
          <w:szCs w:val="20"/>
        </w:rPr>
        <w:t>378-79</w:t>
      </w:r>
      <w:r w:rsidR="00C64050">
        <w:rPr>
          <w:szCs w:val="20"/>
        </w:rPr>
        <w:t xml:space="preserve"> </w:t>
      </w:r>
      <w:r w:rsidRPr="00DC41B3">
        <w:rPr>
          <w:szCs w:val="20"/>
        </w:rPr>
        <w:t>(1991),</w:t>
      </w:r>
      <w:r w:rsidR="00C64050">
        <w:rPr>
          <w:szCs w:val="20"/>
        </w:rPr>
        <w:t xml:space="preserve"> </w:t>
      </w:r>
      <w:r w:rsidRPr="00DC41B3">
        <w:rPr>
          <w:szCs w:val="20"/>
          <w:u w:val="single"/>
        </w:rPr>
        <w:t>aff’d</w:t>
      </w:r>
      <w:r w:rsidRPr="00DC41B3">
        <w:rPr>
          <w:szCs w:val="20"/>
        </w:rPr>
        <w:t>,</w:t>
      </w:r>
      <w:r w:rsidR="00C64050">
        <w:rPr>
          <w:szCs w:val="20"/>
        </w:rPr>
        <w:t xml:space="preserve"> </w:t>
      </w:r>
      <w:r w:rsidRPr="00DC41B3">
        <w:rPr>
          <w:szCs w:val="20"/>
        </w:rPr>
        <w:t>990</w:t>
      </w:r>
      <w:r w:rsidR="00C64050">
        <w:rPr>
          <w:szCs w:val="20"/>
        </w:rPr>
        <w:t xml:space="preserve"> </w:t>
      </w:r>
      <w:r w:rsidRPr="00DC41B3">
        <w:rPr>
          <w:szCs w:val="20"/>
        </w:rPr>
        <w:t>F.2d</w:t>
      </w:r>
      <w:r w:rsidR="00C64050">
        <w:rPr>
          <w:szCs w:val="20"/>
        </w:rPr>
        <w:t xml:space="preserve"> </w:t>
      </w:r>
      <w:r w:rsidRPr="00DC41B3">
        <w:rPr>
          <w:szCs w:val="20"/>
        </w:rPr>
        <w:t>136</w:t>
      </w:r>
      <w:r w:rsidR="00C64050">
        <w:rPr>
          <w:szCs w:val="20"/>
        </w:rPr>
        <w:t xml:space="preserve"> </w:t>
      </w:r>
      <w:r w:rsidRPr="00DC41B3">
        <w:rPr>
          <w:szCs w:val="20"/>
        </w:rPr>
        <w:t>(4th</w:t>
      </w:r>
      <w:r w:rsidR="00C64050">
        <w:rPr>
          <w:szCs w:val="20"/>
        </w:rPr>
        <w:t xml:space="preserve"> </w:t>
      </w:r>
      <w:r w:rsidRPr="00DC41B3">
        <w:rPr>
          <w:szCs w:val="20"/>
        </w:rPr>
        <w:t>Cir.</w:t>
      </w:r>
      <w:r w:rsidR="00C64050">
        <w:rPr>
          <w:szCs w:val="20"/>
        </w:rPr>
        <w:t xml:space="preserve"> </w:t>
      </w:r>
      <w:r w:rsidRPr="00DC41B3">
        <w:rPr>
          <w:szCs w:val="20"/>
        </w:rPr>
        <w:t>1993).</w:t>
      </w:r>
    </w:p>
    <w:p w:rsidR="00DC41B3" w:rsidRPr="00DC41B3" w:rsidRDefault="00DC41B3" w:rsidP="00DC41B3">
      <w:pPr>
        <w:pStyle w:val="QS10"/>
        <w:rPr>
          <w:szCs w:val="20"/>
        </w:rPr>
      </w:pPr>
      <w:r w:rsidRPr="00DC41B3">
        <w:rPr>
          <w:szCs w:val="20"/>
        </w:rPr>
        <w:t>Charitable</w:t>
      </w:r>
      <w:r w:rsidR="00C64050">
        <w:rPr>
          <w:szCs w:val="20"/>
        </w:rPr>
        <w:t xml:space="preserve"> </w:t>
      </w:r>
      <w:r w:rsidRPr="00DC41B3">
        <w:rPr>
          <w:szCs w:val="20"/>
        </w:rPr>
        <w:t>deductions</w:t>
      </w:r>
      <w:r w:rsidR="00C64050">
        <w:rPr>
          <w:szCs w:val="20"/>
        </w:rPr>
        <w:t xml:space="preserve"> </w:t>
      </w:r>
      <w:r w:rsidRPr="00DC41B3">
        <w:rPr>
          <w:szCs w:val="20"/>
        </w:rPr>
        <w:t>must</w:t>
      </w:r>
      <w:r w:rsidR="00C64050">
        <w:rPr>
          <w:szCs w:val="20"/>
        </w:rPr>
        <w:t xml:space="preserve"> </w:t>
      </w:r>
      <w:r w:rsidRPr="00DC41B3">
        <w:rPr>
          <w:szCs w:val="20"/>
        </w:rPr>
        <w:t>be</w:t>
      </w:r>
      <w:r w:rsidR="00C64050">
        <w:rPr>
          <w:szCs w:val="20"/>
        </w:rPr>
        <w:t xml:space="preserve"> </w:t>
      </w:r>
      <w:r w:rsidRPr="00DC41B3">
        <w:rPr>
          <w:szCs w:val="20"/>
        </w:rPr>
        <w:t>ascertainable</w:t>
      </w:r>
      <w:r w:rsidR="00C64050">
        <w:rPr>
          <w:szCs w:val="20"/>
        </w:rPr>
        <w:t xml:space="preserve"> </w:t>
      </w:r>
      <w:r w:rsidRPr="00DC41B3">
        <w:rPr>
          <w:szCs w:val="20"/>
        </w:rPr>
        <w:t>at</w:t>
      </w:r>
      <w:r w:rsidR="00C64050">
        <w:rPr>
          <w:szCs w:val="20"/>
        </w:rPr>
        <w:t xml:space="preserve"> </w:t>
      </w:r>
      <w:r w:rsidRPr="00DC41B3">
        <w:rPr>
          <w:szCs w:val="20"/>
        </w:rPr>
        <w:t>a</w:t>
      </w:r>
      <w:r w:rsidR="00C64050">
        <w:rPr>
          <w:szCs w:val="20"/>
        </w:rPr>
        <w:t xml:space="preserve"> </w:t>
      </w:r>
      <w:r w:rsidRPr="00DC41B3">
        <w:rPr>
          <w:szCs w:val="20"/>
        </w:rPr>
        <w:t>decedent’s</w:t>
      </w:r>
      <w:r w:rsidR="00C64050">
        <w:rPr>
          <w:szCs w:val="20"/>
        </w:rPr>
        <w:t xml:space="preserve"> </w:t>
      </w:r>
      <w:r w:rsidRPr="00DC41B3">
        <w:rPr>
          <w:szCs w:val="20"/>
        </w:rPr>
        <w:t>date</w:t>
      </w:r>
      <w:r w:rsidR="00C64050">
        <w:rPr>
          <w:szCs w:val="20"/>
        </w:rPr>
        <w:t xml:space="preserve"> </w:t>
      </w:r>
      <w:r w:rsidRPr="00DC41B3">
        <w:rPr>
          <w:szCs w:val="20"/>
        </w:rPr>
        <w:t>of</w:t>
      </w:r>
      <w:r w:rsidR="00C64050">
        <w:rPr>
          <w:szCs w:val="20"/>
        </w:rPr>
        <w:t xml:space="preserve"> </w:t>
      </w:r>
      <w:r w:rsidRPr="00DC41B3">
        <w:rPr>
          <w:szCs w:val="20"/>
        </w:rPr>
        <w:t>death.</w:t>
      </w:r>
      <w:r w:rsidR="00C64050">
        <w:rPr>
          <w:szCs w:val="20"/>
        </w:rPr>
        <w:t xml:space="preserve"> </w:t>
      </w:r>
      <w:r w:rsidRPr="00DC41B3">
        <w:rPr>
          <w:szCs w:val="20"/>
          <w:u w:val="single"/>
        </w:rPr>
        <w:t>Ithaca</w:t>
      </w:r>
      <w:r w:rsidR="00C64050">
        <w:rPr>
          <w:szCs w:val="20"/>
          <w:u w:val="single"/>
        </w:rPr>
        <w:t xml:space="preserve"> </w:t>
      </w:r>
      <w:r w:rsidRPr="00DC41B3">
        <w:rPr>
          <w:szCs w:val="20"/>
          <w:u w:val="single"/>
        </w:rPr>
        <w:t>Tr.</w:t>
      </w:r>
      <w:r w:rsidR="00C64050">
        <w:rPr>
          <w:szCs w:val="20"/>
          <w:u w:val="single"/>
        </w:rPr>
        <w:t xml:space="preserve"> </w:t>
      </w:r>
      <w:r w:rsidRPr="00DC41B3">
        <w:rPr>
          <w:szCs w:val="20"/>
          <w:u w:val="single"/>
        </w:rPr>
        <w:t>Co.</w:t>
      </w:r>
      <w:r w:rsidR="00C64050">
        <w:rPr>
          <w:szCs w:val="20"/>
          <w:u w:val="single"/>
        </w:rPr>
        <w:t xml:space="preserve"> </w:t>
      </w:r>
      <w:r w:rsidRPr="00DC41B3">
        <w:rPr>
          <w:szCs w:val="20"/>
          <w:u w:val="single"/>
        </w:rPr>
        <w:t>v.</w:t>
      </w:r>
      <w:r w:rsidR="00C64050">
        <w:rPr>
          <w:szCs w:val="20"/>
          <w:u w:val="single"/>
        </w:rPr>
        <w:t xml:space="preserve"> </w:t>
      </w:r>
      <w:r w:rsidRPr="00DC41B3">
        <w:rPr>
          <w:szCs w:val="20"/>
          <w:u w:val="single"/>
        </w:rPr>
        <w:t>United</w:t>
      </w:r>
      <w:r w:rsidR="00C64050">
        <w:rPr>
          <w:szCs w:val="20"/>
          <w:u w:val="single"/>
        </w:rPr>
        <w:t xml:space="preserve"> </w:t>
      </w:r>
      <w:r w:rsidRPr="00DC41B3">
        <w:rPr>
          <w:szCs w:val="20"/>
          <w:u w:val="single"/>
        </w:rPr>
        <w:t>States</w:t>
      </w:r>
      <w:r w:rsidRPr="00DC41B3">
        <w:rPr>
          <w:szCs w:val="20"/>
        </w:rPr>
        <w:t>,</w:t>
      </w:r>
      <w:r w:rsidR="00C64050">
        <w:rPr>
          <w:szCs w:val="20"/>
        </w:rPr>
        <w:t xml:space="preserve"> </w:t>
      </w:r>
      <w:r w:rsidRPr="00DC41B3">
        <w:rPr>
          <w:szCs w:val="20"/>
        </w:rPr>
        <w:t>279</w:t>
      </w:r>
      <w:r w:rsidR="00C64050">
        <w:rPr>
          <w:szCs w:val="20"/>
        </w:rPr>
        <w:t xml:space="preserve"> </w:t>
      </w:r>
      <w:r w:rsidRPr="00DC41B3">
        <w:rPr>
          <w:szCs w:val="20"/>
        </w:rPr>
        <w:t>U.S.</w:t>
      </w:r>
      <w:r w:rsidR="00C64050">
        <w:rPr>
          <w:szCs w:val="20"/>
        </w:rPr>
        <w:t xml:space="preserve"> </w:t>
      </w:r>
      <w:r w:rsidRPr="00DC41B3">
        <w:rPr>
          <w:szCs w:val="20"/>
        </w:rPr>
        <w:t>151,</w:t>
      </w:r>
      <w:r w:rsidR="00C64050">
        <w:rPr>
          <w:szCs w:val="20"/>
        </w:rPr>
        <w:t xml:space="preserve"> </w:t>
      </w:r>
      <w:r w:rsidRPr="00DC41B3">
        <w:rPr>
          <w:szCs w:val="20"/>
        </w:rPr>
        <w:t>154</w:t>
      </w:r>
      <w:r w:rsidR="00C64050">
        <w:rPr>
          <w:szCs w:val="20"/>
        </w:rPr>
        <w:t xml:space="preserve"> </w:t>
      </w:r>
      <w:r w:rsidRPr="00DC41B3">
        <w:rPr>
          <w:szCs w:val="20"/>
        </w:rPr>
        <w:t>(1929)(transfers</w:t>
      </w:r>
      <w:r w:rsidR="00C64050">
        <w:rPr>
          <w:szCs w:val="20"/>
        </w:rPr>
        <w:t xml:space="preserve"> </w:t>
      </w:r>
      <w:r w:rsidRPr="00DC41B3">
        <w:rPr>
          <w:szCs w:val="20"/>
        </w:rPr>
        <w:t>to</w:t>
      </w:r>
      <w:r w:rsidR="00C64050">
        <w:rPr>
          <w:szCs w:val="20"/>
        </w:rPr>
        <w:t xml:space="preserve"> </w:t>
      </w:r>
      <w:r w:rsidRPr="00DC41B3">
        <w:rPr>
          <w:szCs w:val="20"/>
        </w:rPr>
        <w:t>a</w:t>
      </w:r>
      <w:r w:rsidR="00C64050">
        <w:rPr>
          <w:szCs w:val="20"/>
        </w:rPr>
        <w:t xml:space="preserve"> </w:t>
      </w:r>
      <w:r w:rsidRPr="00DC41B3">
        <w:rPr>
          <w:szCs w:val="20"/>
        </w:rPr>
        <w:t>charity</w:t>
      </w:r>
      <w:r w:rsidR="00C64050">
        <w:rPr>
          <w:szCs w:val="20"/>
        </w:rPr>
        <w:t xml:space="preserve"> </w:t>
      </w:r>
      <w:r w:rsidRPr="00DC41B3">
        <w:rPr>
          <w:szCs w:val="20"/>
        </w:rPr>
        <w:t>must</w:t>
      </w:r>
      <w:r w:rsidR="00C64050">
        <w:rPr>
          <w:szCs w:val="20"/>
        </w:rPr>
        <w:t xml:space="preserve"> </w:t>
      </w:r>
      <w:r w:rsidRPr="00DC41B3">
        <w:rPr>
          <w:szCs w:val="20"/>
        </w:rPr>
        <w:t>be</w:t>
      </w:r>
      <w:r w:rsidR="00C64050">
        <w:rPr>
          <w:szCs w:val="20"/>
        </w:rPr>
        <w:t xml:space="preserve"> </w:t>
      </w:r>
      <w:r w:rsidRPr="00DC41B3">
        <w:rPr>
          <w:szCs w:val="20"/>
        </w:rPr>
        <w:t>“fixed</w:t>
      </w:r>
      <w:r w:rsidR="00C64050">
        <w:rPr>
          <w:szCs w:val="20"/>
        </w:rPr>
        <w:t xml:space="preserve"> </w:t>
      </w:r>
      <w:r w:rsidRPr="00DC41B3">
        <w:rPr>
          <w:szCs w:val="20"/>
        </w:rPr>
        <w:t>in</w:t>
      </w:r>
      <w:r w:rsidR="00C64050">
        <w:rPr>
          <w:szCs w:val="20"/>
        </w:rPr>
        <w:t xml:space="preserve"> </w:t>
      </w:r>
      <w:r w:rsidRPr="00DC41B3">
        <w:rPr>
          <w:szCs w:val="20"/>
        </w:rPr>
        <w:t>fact</w:t>
      </w:r>
      <w:r w:rsidR="00C64050">
        <w:rPr>
          <w:szCs w:val="20"/>
        </w:rPr>
        <w:t xml:space="preserve"> </w:t>
      </w:r>
      <w:r w:rsidRPr="00DC41B3">
        <w:rPr>
          <w:szCs w:val="20"/>
        </w:rPr>
        <w:t>and</w:t>
      </w:r>
      <w:r w:rsidR="00C64050">
        <w:rPr>
          <w:szCs w:val="20"/>
        </w:rPr>
        <w:t xml:space="preserve"> </w:t>
      </w:r>
      <w:r w:rsidRPr="00DC41B3">
        <w:rPr>
          <w:szCs w:val="20"/>
        </w:rPr>
        <w:t>capable</w:t>
      </w:r>
      <w:r w:rsidR="00C64050">
        <w:rPr>
          <w:szCs w:val="20"/>
        </w:rPr>
        <w:t xml:space="preserve"> </w:t>
      </w:r>
      <w:r w:rsidRPr="00DC41B3">
        <w:rPr>
          <w:szCs w:val="20"/>
        </w:rPr>
        <w:t>of</w:t>
      </w:r>
      <w:r w:rsidR="00C64050">
        <w:rPr>
          <w:szCs w:val="20"/>
        </w:rPr>
        <w:t xml:space="preserve"> </w:t>
      </w:r>
      <w:r w:rsidRPr="00DC41B3">
        <w:rPr>
          <w:szCs w:val="20"/>
        </w:rPr>
        <w:t>being</w:t>
      </w:r>
      <w:r w:rsidR="00C64050">
        <w:rPr>
          <w:szCs w:val="20"/>
        </w:rPr>
        <w:t xml:space="preserve"> </w:t>
      </w:r>
      <w:r w:rsidRPr="00DC41B3">
        <w:rPr>
          <w:szCs w:val="20"/>
        </w:rPr>
        <w:t>stated</w:t>
      </w:r>
      <w:r w:rsidR="00C64050">
        <w:rPr>
          <w:szCs w:val="20"/>
        </w:rPr>
        <w:t xml:space="preserve"> </w:t>
      </w:r>
      <w:r w:rsidRPr="00DC41B3">
        <w:rPr>
          <w:szCs w:val="20"/>
        </w:rPr>
        <w:t>in</w:t>
      </w:r>
      <w:r w:rsidR="00C64050">
        <w:rPr>
          <w:szCs w:val="20"/>
        </w:rPr>
        <w:t xml:space="preserve"> </w:t>
      </w:r>
      <w:r w:rsidRPr="00DC41B3">
        <w:rPr>
          <w:szCs w:val="20"/>
        </w:rPr>
        <w:t>definite</w:t>
      </w:r>
      <w:r w:rsidR="00C64050">
        <w:rPr>
          <w:szCs w:val="20"/>
        </w:rPr>
        <w:t xml:space="preserve"> </w:t>
      </w:r>
      <w:r w:rsidRPr="00DC41B3">
        <w:rPr>
          <w:szCs w:val="20"/>
        </w:rPr>
        <w:t>terms</w:t>
      </w:r>
      <w:r w:rsidR="00C64050">
        <w:rPr>
          <w:szCs w:val="20"/>
        </w:rPr>
        <w:t xml:space="preserve"> </w:t>
      </w:r>
      <w:r w:rsidRPr="00DC41B3">
        <w:rPr>
          <w:szCs w:val="20"/>
        </w:rPr>
        <w:t>of</w:t>
      </w:r>
      <w:r w:rsidR="00C64050">
        <w:rPr>
          <w:szCs w:val="20"/>
        </w:rPr>
        <w:t xml:space="preserve"> </w:t>
      </w:r>
      <w:r w:rsidRPr="00DC41B3">
        <w:rPr>
          <w:szCs w:val="20"/>
        </w:rPr>
        <w:t>money”);</w:t>
      </w:r>
      <w:r w:rsidR="00C64050">
        <w:rPr>
          <w:szCs w:val="20"/>
        </w:rPr>
        <w:t xml:space="preserve"> </w:t>
      </w:r>
      <w:r w:rsidRPr="00DC41B3">
        <w:rPr>
          <w:szCs w:val="20"/>
          <w:u w:val="single"/>
        </w:rPr>
        <w:t>Estate</w:t>
      </w:r>
      <w:r w:rsidR="00C64050">
        <w:rPr>
          <w:szCs w:val="20"/>
          <w:u w:val="single"/>
        </w:rPr>
        <w:t xml:space="preserve"> </w:t>
      </w:r>
      <w:r w:rsidRPr="00DC41B3">
        <w:rPr>
          <w:szCs w:val="20"/>
          <w:u w:val="single"/>
        </w:rPr>
        <w:t>of</w:t>
      </w:r>
      <w:r w:rsidR="00C64050">
        <w:rPr>
          <w:szCs w:val="20"/>
          <w:u w:val="single"/>
        </w:rPr>
        <w:t xml:space="preserve"> </w:t>
      </w:r>
      <w:r w:rsidRPr="00DC41B3">
        <w:rPr>
          <w:szCs w:val="20"/>
          <w:u w:val="single"/>
        </w:rPr>
        <w:t>Marine</w:t>
      </w:r>
      <w:r w:rsidRPr="00DC41B3">
        <w:rPr>
          <w:szCs w:val="20"/>
        </w:rPr>
        <w:t>,</w:t>
      </w:r>
      <w:r w:rsidR="00C64050">
        <w:rPr>
          <w:szCs w:val="20"/>
        </w:rPr>
        <w:t xml:space="preserve"> </w:t>
      </w:r>
      <w:r w:rsidRPr="00DC41B3">
        <w:rPr>
          <w:szCs w:val="20"/>
        </w:rPr>
        <w:t>97</w:t>
      </w:r>
      <w:r w:rsidR="00C64050">
        <w:rPr>
          <w:szCs w:val="20"/>
        </w:rPr>
        <w:t xml:space="preserve"> </w:t>
      </w:r>
      <w:r w:rsidRPr="00DC41B3">
        <w:rPr>
          <w:szCs w:val="20"/>
        </w:rPr>
        <w:t>T.C.</w:t>
      </w:r>
      <w:r w:rsidR="00C64050">
        <w:rPr>
          <w:szCs w:val="20"/>
        </w:rPr>
        <w:t xml:space="preserve"> </w:t>
      </w:r>
      <w:r w:rsidRPr="00DC41B3">
        <w:rPr>
          <w:szCs w:val="20"/>
        </w:rPr>
        <w:t>at</w:t>
      </w:r>
      <w:r w:rsidR="00C64050">
        <w:rPr>
          <w:szCs w:val="20"/>
        </w:rPr>
        <w:t xml:space="preserve"> </w:t>
      </w:r>
      <w:r w:rsidRPr="00DC41B3">
        <w:rPr>
          <w:szCs w:val="20"/>
        </w:rPr>
        <w:t>375.</w:t>
      </w:r>
      <w:r w:rsidR="00C64050">
        <w:rPr>
          <w:szCs w:val="20"/>
        </w:rPr>
        <w:t xml:space="preserve"> </w:t>
      </w:r>
      <w:r w:rsidRPr="00DC41B3">
        <w:rPr>
          <w:szCs w:val="20"/>
        </w:rPr>
        <w:t>Section</w:t>
      </w:r>
      <w:r w:rsidR="00C64050">
        <w:rPr>
          <w:szCs w:val="20"/>
        </w:rPr>
        <w:t xml:space="preserve"> </w:t>
      </w:r>
      <w:r w:rsidRPr="00DC41B3">
        <w:rPr>
          <w:szCs w:val="20"/>
        </w:rPr>
        <w:t>20.2055-2(b)(1),</w:t>
      </w:r>
      <w:r w:rsidR="00C64050">
        <w:rPr>
          <w:szCs w:val="20"/>
        </w:rPr>
        <w:t xml:space="preserve"> </w:t>
      </w:r>
      <w:r w:rsidRPr="00DC41B3">
        <w:rPr>
          <w:szCs w:val="20"/>
        </w:rPr>
        <w:t>Estate</w:t>
      </w:r>
      <w:r w:rsidR="00C64050">
        <w:rPr>
          <w:szCs w:val="20"/>
        </w:rPr>
        <w:t xml:space="preserve"> </w:t>
      </w:r>
      <w:r w:rsidRPr="00DC41B3">
        <w:rPr>
          <w:szCs w:val="20"/>
        </w:rPr>
        <w:t>Tax</w:t>
      </w:r>
      <w:r w:rsidR="00C64050">
        <w:rPr>
          <w:szCs w:val="20"/>
        </w:rPr>
        <w:t xml:space="preserve"> </w:t>
      </w:r>
      <w:r w:rsidRPr="00DC41B3">
        <w:rPr>
          <w:szCs w:val="20"/>
        </w:rPr>
        <w:t>Regs.,</w:t>
      </w:r>
      <w:r w:rsidR="00C64050">
        <w:rPr>
          <w:szCs w:val="20"/>
        </w:rPr>
        <w:t xml:space="preserve"> </w:t>
      </w:r>
      <w:r w:rsidRPr="00DC41B3">
        <w:rPr>
          <w:szCs w:val="20"/>
        </w:rPr>
        <w:t>states:</w:t>
      </w:r>
    </w:p>
    <w:p w:rsidR="00DC41B3" w:rsidRPr="00DC41B3" w:rsidRDefault="00DC41B3" w:rsidP="00DC41B3">
      <w:pPr>
        <w:pStyle w:val="QS10"/>
        <w:rPr>
          <w:szCs w:val="20"/>
        </w:rPr>
      </w:pPr>
      <w:r w:rsidRPr="00DC41B3">
        <w:rPr>
          <w:szCs w:val="20"/>
        </w:rPr>
        <w:t>If,</w:t>
      </w:r>
      <w:r w:rsidR="00C64050">
        <w:rPr>
          <w:szCs w:val="20"/>
        </w:rPr>
        <w:t xml:space="preserve"> </w:t>
      </w:r>
      <w:r w:rsidRPr="00DC41B3">
        <w:rPr>
          <w:szCs w:val="20"/>
        </w:rPr>
        <w:t>as</w:t>
      </w:r>
      <w:r w:rsidR="00C64050">
        <w:rPr>
          <w:szCs w:val="20"/>
        </w:rPr>
        <w:t xml:space="preserve"> </w:t>
      </w:r>
      <w:r w:rsidRPr="00DC41B3">
        <w:rPr>
          <w:szCs w:val="20"/>
        </w:rPr>
        <w:t>of</w:t>
      </w:r>
      <w:r w:rsidR="00C64050">
        <w:rPr>
          <w:szCs w:val="20"/>
        </w:rPr>
        <w:t xml:space="preserve"> </w:t>
      </w:r>
      <w:r w:rsidRPr="00DC41B3">
        <w:rPr>
          <w:szCs w:val="20"/>
        </w:rPr>
        <w:t>the</w:t>
      </w:r>
      <w:r w:rsidR="00C64050">
        <w:rPr>
          <w:szCs w:val="20"/>
        </w:rPr>
        <w:t xml:space="preserve"> </w:t>
      </w:r>
      <w:r w:rsidRPr="00DC41B3">
        <w:rPr>
          <w:szCs w:val="20"/>
        </w:rPr>
        <w:t>date</w:t>
      </w:r>
      <w:r w:rsidR="00C64050">
        <w:rPr>
          <w:szCs w:val="20"/>
        </w:rPr>
        <w:t xml:space="preserve"> </w:t>
      </w:r>
      <w:r w:rsidRPr="00DC41B3">
        <w:rPr>
          <w:szCs w:val="20"/>
        </w:rPr>
        <w:t>of</w:t>
      </w:r>
      <w:r w:rsidR="00C64050">
        <w:rPr>
          <w:szCs w:val="20"/>
        </w:rPr>
        <w:t xml:space="preserve"> </w:t>
      </w:r>
      <w:r w:rsidRPr="00DC41B3">
        <w:rPr>
          <w:szCs w:val="20"/>
        </w:rPr>
        <w:t>a</w:t>
      </w:r>
      <w:r w:rsidR="00C64050">
        <w:rPr>
          <w:szCs w:val="20"/>
        </w:rPr>
        <w:t xml:space="preserve"> </w:t>
      </w:r>
      <w:r w:rsidRPr="00DC41B3">
        <w:rPr>
          <w:szCs w:val="20"/>
        </w:rPr>
        <w:t>decedent’s</w:t>
      </w:r>
      <w:r w:rsidR="00C64050">
        <w:rPr>
          <w:szCs w:val="20"/>
        </w:rPr>
        <w:t xml:space="preserve"> </w:t>
      </w:r>
      <w:r w:rsidRPr="00DC41B3">
        <w:rPr>
          <w:szCs w:val="20"/>
        </w:rPr>
        <w:t>death,</w:t>
      </w:r>
      <w:r w:rsidR="00C64050">
        <w:rPr>
          <w:szCs w:val="20"/>
        </w:rPr>
        <w:t xml:space="preserve"> </w:t>
      </w:r>
      <w:r w:rsidRPr="00DC41B3">
        <w:rPr>
          <w:szCs w:val="20"/>
        </w:rPr>
        <w:t>a</w:t>
      </w:r>
      <w:r w:rsidR="00C64050">
        <w:rPr>
          <w:szCs w:val="20"/>
        </w:rPr>
        <w:t xml:space="preserve"> </w:t>
      </w:r>
      <w:r w:rsidRPr="00DC41B3">
        <w:rPr>
          <w:szCs w:val="20"/>
        </w:rPr>
        <w:t>transfer</w:t>
      </w:r>
      <w:r w:rsidR="00C64050">
        <w:rPr>
          <w:szCs w:val="20"/>
        </w:rPr>
        <w:t xml:space="preserve"> </w:t>
      </w:r>
      <w:r w:rsidRPr="00DC41B3">
        <w:rPr>
          <w:szCs w:val="20"/>
        </w:rPr>
        <w:t>for</w:t>
      </w:r>
      <w:r w:rsidR="00C64050">
        <w:rPr>
          <w:szCs w:val="20"/>
        </w:rPr>
        <w:t xml:space="preserve"> </w:t>
      </w:r>
      <w:r w:rsidRPr="00DC41B3">
        <w:rPr>
          <w:szCs w:val="20"/>
        </w:rPr>
        <w:t>charitable</w:t>
      </w:r>
      <w:r w:rsidR="00C64050">
        <w:rPr>
          <w:szCs w:val="20"/>
        </w:rPr>
        <w:t xml:space="preserve"> </w:t>
      </w:r>
      <w:r w:rsidRPr="00DC41B3">
        <w:rPr>
          <w:szCs w:val="20"/>
        </w:rPr>
        <w:t>purposes</w:t>
      </w:r>
      <w:r w:rsidR="00C64050">
        <w:rPr>
          <w:szCs w:val="20"/>
        </w:rPr>
        <w:t xml:space="preserve"> </w:t>
      </w:r>
      <w:r w:rsidRPr="00DC41B3">
        <w:rPr>
          <w:szCs w:val="20"/>
        </w:rPr>
        <w:t>is</w:t>
      </w:r>
      <w:r w:rsidR="00C64050">
        <w:rPr>
          <w:szCs w:val="20"/>
        </w:rPr>
        <w:t xml:space="preserve"> </w:t>
      </w:r>
      <w:r w:rsidRPr="00DC41B3">
        <w:rPr>
          <w:szCs w:val="20"/>
        </w:rPr>
        <w:t>dependent</w:t>
      </w:r>
      <w:r w:rsidR="00C64050">
        <w:rPr>
          <w:szCs w:val="20"/>
        </w:rPr>
        <w:t xml:space="preserve"> </w:t>
      </w:r>
      <w:r w:rsidRPr="00DC41B3">
        <w:rPr>
          <w:szCs w:val="20"/>
        </w:rPr>
        <w:t>upon</w:t>
      </w:r>
      <w:r w:rsidR="00C64050">
        <w:rPr>
          <w:szCs w:val="20"/>
        </w:rPr>
        <w:t xml:space="preserve"> </w:t>
      </w:r>
      <w:r w:rsidRPr="00DC41B3">
        <w:rPr>
          <w:szCs w:val="20"/>
        </w:rPr>
        <w:t>the</w:t>
      </w:r>
      <w:r w:rsidR="00C64050">
        <w:rPr>
          <w:szCs w:val="20"/>
        </w:rPr>
        <w:t xml:space="preserve"> </w:t>
      </w:r>
      <w:r w:rsidRPr="00DC41B3">
        <w:rPr>
          <w:szCs w:val="20"/>
        </w:rPr>
        <w:t>performance</w:t>
      </w:r>
      <w:r w:rsidR="00C64050">
        <w:rPr>
          <w:szCs w:val="20"/>
        </w:rPr>
        <w:t xml:space="preserve"> </w:t>
      </w:r>
      <w:r w:rsidRPr="00DC41B3">
        <w:rPr>
          <w:szCs w:val="20"/>
        </w:rPr>
        <w:t>of</w:t>
      </w:r>
      <w:r w:rsidR="00C64050">
        <w:rPr>
          <w:szCs w:val="20"/>
        </w:rPr>
        <w:t xml:space="preserve"> </w:t>
      </w:r>
      <w:r w:rsidRPr="00DC41B3">
        <w:rPr>
          <w:szCs w:val="20"/>
        </w:rPr>
        <w:t>some</w:t>
      </w:r>
      <w:r w:rsidR="00C64050">
        <w:rPr>
          <w:szCs w:val="20"/>
        </w:rPr>
        <w:t xml:space="preserve"> </w:t>
      </w:r>
      <w:r w:rsidRPr="00DC41B3">
        <w:rPr>
          <w:szCs w:val="20"/>
        </w:rPr>
        <w:t>act</w:t>
      </w:r>
      <w:r w:rsidR="00C64050">
        <w:rPr>
          <w:szCs w:val="20"/>
        </w:rPr>
        <w:t xml:space="preserve"> </w:t>
      </w:r>
      <w:r w:rsidRPr="00DC41B3">
        <w:rPr>
          <w:szCs w:val="20"/>
        </w:rPr>
        <w:t>or</w:t>
      </w:r>
      <w:r w:rsidR="00C64050">
        <w:rPr>
          <w:szCs w:val="20"/>
        </w:rPr>
        <w:t xml:space="preserve"> </w:t>
      </w:r>
      <w:r w:rsidRPr="00DC41B3">
        <w:rPr>
          <w:szCs w:val="20"/>
        </w:rPr>
        <w:t>the</w:t>
      </w:r>
      <w:r w:rsidR="00C64050">
        <w:rPr>
          <w:szCs w:val="20"/>
        </w:rPr>
        <w:t xml:space="preserve"> </w:t>
      </w:r>
      <w:r w:rsidRPr="00DC41B3">
        <w:rPr>
          <w:szCs w:val="20"/>
        </w:rPr>
        <w:t>happening</w:t>
      </w:r>
      <w:r w:rsidR="00C64050">
        <w:rPr>
          <w:szCs w:val="20"/>
        </w:rPr>
        <w:t xml:space="preserve"> </w:t>
      </w:r>
      <w:r w:rsidRPr="00DC41B3">
        <w:rPr>
          <w:szCs w:val="20"/>
        </w:rPr>
        <w:t>of</w:t>
      </w:r>
      <w:r w:rsidR="00C64050">
        <w:rPr>
          <w:szCs w:val="20"/>
        </w:rPr>
        <w:t xml:space="preserve"> </w:t>
      </w:r>
      <w:r w:rsidRPr="00DC41B3">
        <w:rPr>
          <w:szCs w:val="20"/>
        </w:rPr>
        <w:t>a</w:t>
      </w:r>
      <w:r w:rsidR="00C64050">
        <w:rPr>
          <w:szCs w:val="20"/>
        </w:rPr>
        <w:t xml:space="preserve"> </w:t>
      </w:r>
      <w:r w:rsidRPr="00DC41B3">
        <w:rPr>
          <w:szCs w:val="20"/>
        </w:rPr>
        <w:t>precedent</w:t>
      </w:r>
      <w:r w:rsidR="00C64050">
        <w:rPr>
          <w:szCs w:val="20"/>
        </w:rPr>
        <w:t xml:space="preserve"> </w:t>
      </w:r>
      <w:r w:rsidRPr="00DC41B3">
        <w:rPr>
          <w:szCs w:val="20"/>
        </w:rPr>
        <w:t>event</w:t>
      </w:r>
      <w:r w:rsidR="00C64050">
        <w:rPr>
          <w:szCs w:val="20"/>
        </w:rPr>
        <w:t xml:space="preserve"> </w:t>
      </w:r>
      <w:r w:rsidRPr="00DC41B3">
        <w:rPr>
          <w:szCs w:val="20"/>
        </w:rPr>
        <w:t>in</w:t>
      </w:r>
      <w:r w:rsidR="00C64050">
        <w:rPr>
          <w:szCs w:val="20"/>
        </w:rPr>
        <w:t xml:space="preserve"> </w:t>
      </w:r>
      <w:r w:rsidRPr="00DC41B3">
        <w:rPr>
          <w:szCs w:val="20"/>
        </w:rPr>
        <w:t>order</w:t>
      </w:r>
      <w:r w:rsidR="00C64050">
        <w:rPr>
          <w:szCs w:val="20"/>
        </w:rPr>
        <w:t xml:space="preserve"> </w:t>
      </w:r>
      <w:r w:rsidRPr="00DC41B3">
        <w:rPr>
          <w:szCs w:val="20"/>
        </w:rPr>
        <w:t>that</w:t>
      </w:r>
      <w:r w:rsidR="00C64050">
        <w:rPr>
          <w:szCs w:val="20"/>
        </w:rPr>
        <w:t xml:space="preserve"> </w:t>
      </w:r>
      <w:r w:rsidRPr="00DC41B3">
        <w:rPr>
          <w:szCs w:val="20"/>
        </w:rPr>
        <w:t>it</w:t>
      </w:r>
      <w:r w:rsidR="00C64050">
        <w:rPr>
          <w:szCs w:val="20"/>
        </w:rPr>
        <w:t xml:space="preserve"> </w:t>
      </w:r>
      <w:r w:rsidRPr="00DC41B3">
        <w:rPr>
          <w:szCs w:val="20"/>
        </w:rPr>
        <w:t>might</w:t>
      </w:r>
      <w:r w:rsidR="00C64050">
        <w:rPr>
          <w:szCs w:val="20"/>
        </w:rPr>
        <w:t xml:space="preserve"> </w:t>
      </w:r>
      <w:r w:rsidRPr="00DC41B3">
        <w:rPr>
          <w:szCs w:val="20"/>
        </w:rPr>
        <w:t>become</w:t>
      </w:r>
      <w:r w:rsidR="00C64050">
        <w:rPr>
          <w:szCs w:val="20"/>
        </w:rPr>
        <w:t xml:space="preserve"> </w:t>
      </w:r>
      <w:r w:rsidRPr="00DC41B3">
        <w:rPr>
          <w:szCs w:val="20"/>
        </w:rPr>
        <w:t>effective,</w:t>
      </w:r>
      <w:r w:rsidR="00C64050">
        <w:rPr>
          <w:szCs w:val="20"/>
        </w:rPr>
        <w:t xml:space="preserve"> </w:t>
      </w:r>
      <w:r w:rsidRPr="00DC41B3">
        <w:rPr>
          <w:szCs w:val="20"/>
        </w:rPr>
        <w:t>no</w:t>
      </w:r>
      <w:r w:rsidR="00C64050">
        <w:rPr>
          <w:szCs w:val="20"/>
        </w:rPr>
        <w:t xml:space="preserve"> </w:t>
      </w:r>
      <w:r w:rsidRPr="00DC41B3">
        <w:rPr>
          <w:szCs w:val="20"/>
        </w:rPr>
        <w:t>deduction</w:t>
      </w:r>
      <w:r w:rsidR="00C64050">
        <w:rPr>
          <w:szCs w:val="20"/>
        </w:rPr>
        <w:t xml:space="preserve"> </w:t>
      </w:r>
      <w:r w:rsidRPr="00DC41B3">
        <w:rPr>
          <w:szCs w:val="20"/>
        </w:rPr>
        <w:t>is</w:t>
      </w:r>
      <w:r w:rsidR="00C64050">
        <w:rPr>
          <w:szCs w:val="20"/>
        </w:rPr>
        <w:t xml:space="preserve"> </w:t>
      </w:r>
      <w:r w:rsidRPr="00DC41B3">
        <w:rPr>
          <w:szCs w:val="20"/>
        </w:rPr>
        <w:t>allowable</w:t>
      </w:r>
      <w:r w:rsidR="00C64050">
        <w:rPr>
          <w:szCs w:val="20"/>
        </w:rPr>
        <w:t xml:space="preserve"> </w:t>
      </w:r>
      <w:r w:rsidRPr="00DC41B3">
        <w:rPr>
          <w:szCs w:val="20"/>
        </w:rPr>
        <w:t>unless</w:t>
      </w:r>
      <w:r w:rsidR="00C64050">
        <w:rPr>
          <w:szCs w:val="20"/>
        </w:rPr>
        <w:t xml:space="preserve"> </w:t>
      </w:r>
      <w:r w:rsidRPr="00DC41B3">
        <w:rPr>
          <w:szCs w:val="20"/>
        </w:rPr>
        <w:t>the</w:t>
      </w:r>
      <w:r w:rsidR="00C64050">
        <w:rPr>
          <w:szCs w:val="20"/>
        </w:rPr>
        <w:t xml:space="preserve"> </w:t>
      </w:r>
      <w:r w:rsidRPr="00DC41B3">
        <w:rPr>
          <w:szCs w:val="20"/>
        </w:rPr>
        <w:t>possibility</w:t>
      </w:r>
      <w:r w:rsidR="00C64050">
        <w:rPr>
          <w:szCs w:val="20"/>
        </w:rPr>
        <w:t xml:space="preserve"> </w:t>
      </w:r>
      <w:r w:rsidRPr="00DC41B3">
        <w:rPr>
          <w:szCs w:val="20"/>
        </w:rPr>
        <w:t>that</w:t>
      </w:r>
      <w:r w:rsidR="00C64050">
        <w:rPr>
          <w:szCs w:val="20"/>
        </w:rPr>
        <w:t xml:space="preserve"> </w:t>
      </w:r>
      <w:r w:rsidRPr="00DC41B3">
        <w:rPr>
          <w:szCs w:val="20"/>
        </w:rPr>
        <w:t>the</w:t>
      </w:r>
      <w:r w:rsidR="00C64050">
        <w:rPr>
          <w:szCs w:val="20"/>
        </w:rPr>
        <w:t xml:space="preserve"> </w:t>
      </w:r>
      <w:r w:rsidRPr="00DC41B3">
        <w:rPr>
          <w:szCs w:val="20"/>
        </w:rPr>
        <w:t>charitable</w:t>
      </w:r>
      <w:r w:rsidR="00C64050">
        <w:rPr>
          <w:szCs w:val="20"/>
        </w:rPr>
        <w:t xml:space="preserve"> </w:t>
      </w:r>
      <w:r w:rsidRPr="00DC41B3">
        <w:rPr>
          <w:szCs w:val="20"/>
        </w:rPr>
        <w:t>transfer</w:t>
      </w:r>
      <w:r w:rsidR="00C64050">
        <w:rPr>
          <w:szCs w:val="20"/>
        </w:rPr>
        <w:t xml:space="preserve"> </w:t>
      </w:r>
      <w:r w:rsidRPr="00DC41B3">
        <w:rPr>
          <w:szCs w:val="20"/>
        </w:rPr>
        <w:t>will</w:t>
      </w:r>
      <w:r w:rsidR="00C64050">
        <w:rPr>
          <w:szCs w:val="20"/>
        </w:rPr>
        <w:t xml:space="preserve"> </w:t>
      </w:r>
      <w:r w:rsidRPr="00DC41B3">
        <w:rPr>
          <w:szCs w:val="20"/>
        </w:rPr>
        <w:t>not</w:t>
      </w:r>
      <w:r w:rsidR="00C64050">
        <w:rPr>
          <w:szCs w:val="20"/>
        </w:rPr>
        <w:t xml:space="preserve"> </w:t>
      </w:r>
      <w:r w:rsidRPr="00DC41B3">
        <w:rPr>
          <w:szCs w:val="20"/>
        </w:rPr>
        <w:t>become</w:t>
      </w:r>
      <w:r w:rsidR="00C64050">
        <w:rPr>
          <w:szCs w:val="20"/>
        </w:rPr>
        <w:t xml:space="preserve"> </w:t>
      </w:r>
      <w:r w:rsidRPr="00DC41B3">
        <w:rPr>
          <w:szCs w:val="20"/>
        </w:rPr>
        <w:t>effective</w:t>
      </w:r>
      <w:r w:rsidR="00C64050">
        <w:rPr>
          <w:szCs w:val="20"/>
        </w:rPr>
        <w:t xml:space="preserve"> </w:t>
      </w:r>
      <w:r w:rsidRPr="00DC41B3">
        <w:rPr>
          <w:szCs w:val="20"/>
        </w:rPr>
        <w:t>is</w:t>
      </w:r>
      <w:r w:rsidR="00C64050">
        <w:rPr>
          <w:szCs w:val="20"/>
        </w:rPr>
        <w:t xml:space="preserve"> </w:t>
      </w:r>
      <w:r w:rsidRPr="00DC41B3">
        <w:rPr>
          <w:szCs w:val="20"/>
        </w:rPr>
        <w:t>so</w:t>
      </w:r>
      <w:r w:rsidR="00C64050">
        <w:rPr>
          <w:szCs w:val="20"/>
        </w:rPr>
        <w:t xml:space="preserve"> </w:t>
      </w:r>
      <w:r w:rsidRPr="00DC41B3">
        <w:rPr>
          <w:szCs w:val="20"/>
        </w:rPr>
        <w:t>remote</w:t>
      </w:r>
      <w:r w:rsidR="00C64050">
        <w:rPr>
          <w:szCs w:val="20"/>
        </w:rPr>
        <w:t xml:space="preserve"> </w:t>
      </w:r>
      <w:r w:rsidRPr="00DC41B3">
        <w:rPr>
          <w:szCs w:val="20"/>
        </w:rPr>
        <w:t>as</w:t>
      </w:r>
      <w:r w:rsidR="00C64050">
        <w:rPr>
          <w:szCs w:val="20"/>
        </w:rPr>
        <w:t xml:space="preserve"> </w:t>
      </w:r>
      <w:r w:rsidRPr="00DC41B3">
        <w:rPr>
          <w:szCs w:val="20"/>
        </w:rPr>
        <w:t>to</w:t>
      </w:r>
      <w:r w:rsidR="00C64050">
        <w:rPr>
          <w:szCs w:val="20"/>
        </w:rPr>
        <w:t xml:space="preserve"> </w:t>
      </w:r>
      <w:r w:rsidRPr="00DC41B3">
        <w:rPr>
          <w:szCs w:val="20"/>
        </w:rPr>
        <w:t>be</w:t>
      </w:r>
      <w:r w:rsidR="00C64050">
        <w:rPr>
          <w:szCs w:val="20"/>
        </w:rPr>
        <w:t xml:space="preserve"> </w:t>
      </w:r>
      <w:r w:rsidRPr="00DC41B3">
        <w:rPr>
          <w:szCs w:val="20"/>
        </w:rPr>
        <w:t>negligible.</w:t>
      </w:r>
    </w:p>
    <w:p w:rsidR="00DC41B3" w:rsidRPr="00DC41B3" w:rsidRDefault="00DC41B3" w:rsidP="00DC41B3">
      <w:pPr>
        <w:pStyle w:val="QS10"/>
        <w:rPr>
          <w:szCs w:val="20"/>
        </w:rPr>
      </w:pPr>
      <w:r w:rsidRPr="00DC41B3">
        <w:rPr>
          <w:szCs w:val="20"/>
        </w:rPr>
        <w:t>Whether</w:t>
      </w:r>
      <w:r w:rsidR="00C64050">
        <w:rPr>
          <w:szCs w:val="20"/>
        </w:rPr>
        <w:t xml:space="preserve"> </w:t>
      </w:r>
      <w:r w:rsidRPr="00DC41B3">
        <w:rPr>
          <w:szCs w:val="20"/>
        </w:rPr>
        <w:t>the</w:t>
      </w:r>
      <w:r w:rsidR="00C64050">
        <w:rPr>
          <w:szCs w:val="20"/>
        </w:rPr>
        <w:t xml:space="preserve"> </w:t>
      </w:r>
      <w:r w:rsidRPr="00DC41B3">
        <w:rPr>
          <w:szCs w:val="20"/>
        </w:rPr>
        <w:t>Living</w:t>
      </w:r>
      <w:r w:rsidR="00C64050">
        <w:rPr>
          <w:szCs w:val="20"/>
        </w:rPr>
        <w:t xml:space="preserve"> </w:t>
      </w:r>
      <w:r w:rsidRPr="00DC41B3">
        <w:rPr>
          <w:szCs w:val="20"/>
        </w:rPr>
        <w:t>Trust</w:t>
      </w:r>
      <w:r w:rsidR="00C64050">
        <w:rPr>
          <w:szCs w:val="20"/>
        </w:rPr>
        <w:t xml:space="preserve"> </w:t>
      </w:r>
      <w:r w:rsidRPr="00DC41B3">
        <w:rPr>
          <w:szCs w:val="20"/>
        </w:rPr>
        <w:t>would</w:t>
      </w:r>
      <w:r w:rsidR="00C64050">
        <w:rPr>
          <w:szCs w:val="20"/>
        </w:rPr>
        <w:t xml:space="preserve"> </w:t>
      </w:r>
      <w:r w:rsidRPr="00DC41B3">
        <w:rPr>
          <w:szCs w:val="20"/>
        </w:rPr>
        <w:t>get</w:t>
      </w:r>
      <w:r w:rsidR="00C64050">
        <w:rPr>
          <w:szCs w:val="20"/>
        </w:rPr>
        <w:t xml:space="preserve"> </w:t>
      </w:r>
      <w:r w:rsidRPr="00DC41B3">
        <w:rPr>
          <w:szCs w:val="20"/>
        </w:rPr>
        <w:t>additional</w:t>
      </w:r>
      <w:r w:rsidR="00C64050">
        <w:rPr>
          <w:szCs w:val="20"/>
        </w:rPr>
        <w:t xml:space="preserve"> </w:t>
      </w:r>
      <w:r w:rsidRPr="00DC41B3">
        <w:rPr>
          <w:szCs w:val="20"/>
        </w:rPr>
        <w:t>funds</w:t>
      </w:r>
      <w:r w:rsidR="00C64050">
        <w:rPr>
          <w:szCs w:val="20"/>
        </w:rPr>
        <w:t xml:space="preserve"> </w:t>
      </w:r>
      <w:r w:rsidRPr="00DC41B3">
        <w:rPr>
          <w:szCs w:val="20"/>
        </w:rPr>
        <w:t>from</w:t>
      </w:r>
      <w:r w:rsidR="00C64050">
        <w:rPr>
          <w:szCs w:val="20"/>
        </w:rPr>
        <w:t xml:space="preserve"> </w:t>
      </w:r>
      <w:r w:rsidRPr="00DC41B3">
        <w:rPr>
          <w:szCs w:val="20"/>
        </w:rPr>
        <w:t>the</w:t>
      </w:r>
      <w:r w:rsidR="00C64050">
        <w:rPr>
          <w:szCs w:val="20"/>
        </w:rPr>
        <w:t xml:space="preserve"> </w:t>
      </w:r>
      <w:r w:rsidRPr="00DC41B3">
        <w:rPr>
          <w:szCs w:val="20"/>
        </w:rPr>
        <w:t>Irrevocable</w:t>
      </w:r>
      <w:r w:rsidR="00C64050">
        <w:rPr>
          <w:szCs w:val="20"/>
        </w:rPr>
        <w:t xml:space="preserve"> </w:t>
      </w:r>
      <w:r w:rsidRPr="00DC41B3">
        <w:rPr>
          <w:szCs w:val="20"/>
        </w:rPr>
        <w:t>Trust</w:t>
      </w:r>
      <w:r w:rsidR="00C64050">
        <w:rPr>
          <w:szCs w:val="20"/>
        </w:rPr>
        <w:t xml:space="preserve"> </w:t>
      </w:r>
      <w:r w:rsidRPr="00DC41B3">
        <w:rPr>
          <w:szCs w:val="20"/>
        </w:rPr>
        <w:t>to</w:t>
      </w:r>
      <w:r w:rsidR="00C64050">
        <w:rPr>
          <w:szCs w:val="20"/>
        </w:rPr>
        <w:t xml:space="preserve"> </w:t>
      </w:r>
      <w:r w:rsidRPr="00DC41B3">
        <w:rPr>
          <w:szCs w:val="20"/>
        </w:rPr>
        <w:t>transfer</w:t>
      </w:r>
      <w:r w:rsidR="00C64050">
        <w:rPr>
          <w:szCs w:val="20"/>
        </w:rPr>
        <w:t xml:space="preserve"> </w:t>
      </w:r>
      <w:r w:rsidRPr="00DC41B3">
        <w:rPr>
          <w:szCs w:val="20"/>
        </w:rPr>
        <w:t>to</w:t>
      </w:r>
      <w:r w:rsidR="00C64050">
        <w:rPr>
          <w:szCs w:val="20"/>
        </w:rPr>
        <w:t xml:space="preserve"> </w:t>
      </w:r>
      <w:r w:rsidRPr="00DC41B3">
        <w:rPr>
          <w:szCs w:val="20"/>
        </w:rPr>
        <w:t>the</w:t>
      </w:r>
      <w:r w:rsidR="00C64050">
        <w:rPr>
          <w:szCs w:val="20"/>
        </w:rPr>
        <w:t xml:space="preserve"> </w:t>
      </w:r>
      <w:r w:rsidRPr="00DC41B3">
        <w:rPr>
          <w:szCs w:val="20"/>
        </w:rPr>
        <w:t>Charitable</w:t>
      </w:r>
      <w:r w:rsidR="00C64050">
        <w:rPr>
          <w:szCs w:val="20"/>
        </w:rPr>
        <w:t xml:space="preserve"> </w:t>
      </w:r>
      <w:r w:rsidRPr="00DC41B3">
        <w:rPr>
          <w:szCs w:val="20"/>
        </w:rPr>
        <w:t>Trust</w:t>
      </w:r>
      <w:r w:rsidR="00C64050">
        <w:rPr>
          <w:szCs w:val="20"/>
        </w:rPr>
        <w:t xml:space="preserve"> </w:t>
      </w:r>
      <w:r w:rsidRPr="00DC41B3">
        <w:rPr>
          <w:szCs w:val="20"/>
        </w:rPr>
        <w:t>was</w:t>
      </w:r>
      <w:r w:rsidR="00C64050">
        <w:rPr>
          <w:szCs w:val="20"/>
        </w:rPr>
        <w:t xml:space="preserve"> </w:t>
      </w:r>
      <w:r w:rsidRPr="00DC41B3">
        <w:rPr>
          <w:szCs w:val="20"/>
        </w:rPr>
        <w:t>not</w:t>
      </w:r>
      <w:r w:rsidR="00C64050">
        <w:rPr>
          <w:szCs w:val="20"/>
        </w:rPr>
        <w:t xml:space="preserve"> </w:t>
      </w:r>
      <w:r w:rsidRPr="00DC41B3">
        <w:rPr>
          <w:szCs w:val="20"/>
        </w:rPr>
        <w:t>ascertainable</w:t>
      </w:r>
      <w:r w:rsidR="00C64050">
        <w:rPr>
          <w:szCs w:val="20"/>
        </w:rPr>
        <w:t xml:space="preserve"> </w:t>
      </w:r>
      <w:r w:rsidRPr="00DC41B3">
        <w:rPr>
          <w:szCs w:val="20"/>
        </w:rPr>
        <w:t>at</w:t>
      </w:r>
      <w:r w:rsidR="00C64050">
        <w:rPr>
          <w:szCs w:val="20"/>
        </w:rPr>
        <w:t xml:space="preserve"> </w:t>
      </w:r>
      <w:r w:rsidRPr="00DC41B3">
        <w:rPr>
          <w:szCs w:val="20"/>
        </w:rPr>
        <w:t>Moore’s</w:t>
      </w:r>
      <w:r w:rsidR="00C64050">
        <w:rPr>
          <w:szCs w:val="20"/>
        </w:rPr>
        <w:t xml:space="preserve"> </w:t>
      </w:r>
      <w:r w:rsidRPr="00DC41B3">
        <w:rPr>
          <w:szCs w:val="20"/>
        </w:rPr>
        <w:t>death</w:t>
      </w:r>
      <w:r w:rsidR="00C64050">
        <w:rPr>
          <w:szCs w:val="20"/>
        </w:rPr>
        <w:t xml:space="preserve"> </w:t>
      </w:r>
      <w:r w:rsidRPr="00DC41B3">
        <w:rPr>
          <w:szCs w:val="20"/>
        </w:rPr>
        <w:t>but</w:t>
      </w:r>
      <w:r w:rsidR="00C64050">
        <w:rPr>
          <w:szCs w:val="20"/>
        </w:rPr>
        <w:t xml:space="preserve"> </w:t>
      </w:r>
      <w:r w:rsidRPr="00DC41B3">
        <w:rPr>
          <w:szCs w:val="20"/>
        </w:rPr>
        <w:t>only</w:t>
      </w:r>
      <w:r w:rsidR="00C64050">
        <w:rPr>
          <w:szCs w:val="20"/>
        </w:rPr>
        <w:t xml:space="preserve"> </w:t>
      </w:r>
      <w:r w:rsidRPr="00DC41B3">
        <w:rPr>
          <w:szCs w:val="20"/>
        </w:rPr>
        <w:t>after</w:t>
      </w:r>
      <w:r w:rsidR="00C64050">
        <w:rPr>
          <w:szCs w:val="20"/>
        </w:rPr>
        <w:t xml:space="preserve"> </w:t>
      </w:r>
      <w:r w:rsidRPr="00DC41B3">
        <w:rPr>
          <w:szCs w:val="20"/>
        </w:rPr>
        <w:t>an</w:t>
      </w:r>
      <w:r w:rsidR="00C64050">
        <w:rPr>
          <w:szCs w:val="20"/>
        </w:rPr>
        <w:t xml:space="preserve"> </w:t>
      </w:r>
      <w:r w:rsidRPr="00DC41B3">
        <w:rPr>
          <w:szCs w:val="20"/>
        </w:rPr>
        <w:t>audit</w:t>
      </w:r>
      <w:r w:rsidR="00C64050">
        <w:rPr>
          <w:szCs w:val="20"/>
        </w:rPr>
        <w:t xml:space="preserve"> </w:t>
      </w:r>
      <w:r w:rsidRPr="00DC41B3">
        <w:rPr>
          <w:szCs w:val="20"/>
        </w:rPr>
        <w:t>by</w:t>
      </w:r>
      <w:r w:rsidR="00C64050">
        <w:rPr>
          <w:szCs w:val="20"/>
        </w:rPr>
        <w:t xml:space="preserve"> </w:t>
      </w:r>
      <w:r w:rsidRPr="00DC41B3">
        <w:rPr>
          <w:szCs w:val="20"/>
        </w:rPr>
        <w:t>the</w:t>
      </w:r>
      <w:r w:rsidR="00C64050">
        <w:rPr>
          <w:szCs w:val="20"/>
        </w:rPr>
        <w:t xml:space="preserve"> </w:t>
      </w:r>
      <w:r w:rsidRPr="00DC41B3">
        <w:rPr>
          <w:szCs w:val="20"/>
        </w:rPr>
        <w:t>Commissioner,</w:t>
      </w:r>
      <w:r w:rsidR="00C64050">
        <w:rPr>
          <w:szCs w:val="20"/>
        </w:rPr>
        <w:t xml:space="preserve"> </w:t>
      </w:r>
      <w:r w:rsidRPr="00DC41B3">
        <w:rPr>
          <w:szCs w:val="20"/>
        </w:rPr>
        <w:t>followed</w:t>
      </w:r>
      <w:r w:rsidR="00C64050">
        <w:rPr>
          <w:szCs w:val="20"/>
        </w:rPr>
        <w:t xml:space="preserve"> </w:t>
      </w:r>
      <w:r w:rsidRPr="00DC41B3">
        <w:rPr>
          <w:szCs w:val="20"/>
        </w:rPr>
        <w:t>by</w:t>
      </w:r>
      <w:r w:rsidR="00C64050">
        <w:rPr>
          <w:szCs w:val="20"/>
        </w:rPr>
        <w:t xml:space="preserve"> </w:t>
      </w:r>
      <w:r w:rsidRPr="00DC41B3">
        <w:rPr>
          <w:szCs w:val="20"/>
        </w:rPr>
        <w:t>a</w:t>
      </w:r>
      <w:r w:rsidR="00C64050">
        <w:rPr>
          <w:szCs w:val="20"/>
        </w:rPr>
        <w:t xml:space="preserve"> </w:t>
      </w:r>
      <w:r w:rsidRPr="00DC41B3">
        <w:rPr>
          <w:szCs w:val="20"/>
        </w:rPr>
        <w:t>determination</w:t>
      </w:r>
      <w:r w:rsidR="00C64050">
        <w:rPr>
          <w:szCs w:val="20"/>
        </w:rPr>
        <w:t xml:space="preserve"> </w:t>
      </w:r>
      <w:r w:rsidRPr="00DC41B3">
        <w:rPr>
          <w:szCs w:val="20"/>
        </w:rPr>
        <w:t>that</w:t>
      </w:r>
      <w:r w:rsidR="00C64050">
        <w:rPr>
          <w:szCs w:val="20"/>
        </w:rPr>
        <w:t xml:space="preserve"> </w:t>
      </w:r>
      <w:r w:rsidRPr="00DC41B3">
        <w:rPr>
          <w:szCs w:val="20"/>
        </w:rPr>
        <w:t>additional</w:t>
      </w:r>
      <w:r w:rsidR="00C64050">
        <w:rPr>
          <w:szCs w:val="20"/>
        </w:rPr>
        <w:t xml:space="preserve"> </w:t>
      </w:r>
      <w:r w:rsidRPr="00DC41B3">
        <w:rPr>
          <w:szCs w:val="20"/>
        </w:rPr>
        <w:t>property</w:t>
      </w:r>
      <w:r w:rsidR="00C64050">
        <w:rPr>
          <w:szCs w:val="20"/>
        </w:rPr>
        <w:t xml:space="preserve"> </w:t>
      </w:r>
      <w:r w:rsidRPr="00DC41B3">
        <w:rPr>
          <w:szCs w:val="20"/>
        </w:rPr>
        <w:t>should</w:t>
      </w:r>
      <w:r w:rsidR="00C64050">
        <w:rPr>
          <w:szCs w:val="20"/>
        </w:rPr>
        <w:t xml:space="preserve"> </w:t>
      </w:r>
      <w:r w:rsidRPr="00DC41B3">
        <w:rPr>
          <w:szCs w:val="20"/>
        </w:rPr>
        <w:t>be</w:t>
      </w:r>
      <w:r w:rsidR="00C64050">
        <w:rPr>
          <w:szCs w:val="20"/>
        </w:rPr>
        <w:t xml:space="preserve"> </w:t>
      </w:r>
      <w:r w:rsidRPr="00DC41B3">
        <w:rPr>
          <w:szCs w:val="20"/>
        </w:rPr>
        <w:t>included</w:t>
      </w:r>
      <w:r w:rsidR="00C64050">
        <w:rPr>
          <w:szCs w:val="20"/>
        </w:rPr>
        <w:t xml:space="preserve"> </w:t>
      </w:r>
      <w:r w:rsidRPr="00DC41B3">
        <w:rPr>
          <w:szCs w:val="20"/>
        </w:rPr>
        <w:t>in</w:t>
      </w:r>
      <w:r w:rsidR="00C64050">
        <w:rPr>
          <w:szCs w:val="20"/>
        </w:rPr>
        <w:t xml:space="preserve"> </w:t>
      </w:r>
      <w:r w:rsidRPr="00DC41B3">
        <w:rPr>
          <w:szCs w:val="20"/>
        </w:rPr>
        <w:t>Moore’s</w:t>
      </w:r>
      <w:r w:rsidR="00C64050">
        <w:rPr>
          <w:szCs w:val="20"/>
        </w:rPr>
        <w:t xml:space="preserve"> </w:t>
      </w:r>
      <w:r w:rsidRPr="00DC41B3">
        <w:rPr>
          <w:szCs w:val="20"/>
        </w:rPr>
        <w:t>estate,</w:t>
      </w:r>
      <w:r w:rsidR="00C64050">
        <w:rPr>
          <w:szCs w:val="20"/>
        </w:rPr>
        <w:t xml:space="preserve"> </w:t>
      </w:r>
      <w:r w:rsidRPr="00DC41B3">
        <w:rPr>
          <w:szCs w:val="20"/>
        </w:rPr>
        <w:t>followed</w:t>
      </w:r>
      <w:r w:rsidR="00C64050">
        <w:rPr>
          <w:szCs w:val="20"/>
        </w:rPr>
        <w:t xml:space="preserve"> </w:t>
      </w:r>
      <w:r w:rsidRPr="00DC41B3">
        <w:rPr>
          <w:szCs w:val="20"/>
        </w:rPr>
        <w:t>by</w:t>
      </w:r>
      <w:r w:rsidR="00C64050">
        <w:rPr>
          <w:szCs w:val="20"/>
        </w:rPr>
        <w:t xml:space="preserve"> </w:t>
      </w:r>
      <w:r w:rsidRPr="00DC41B3">
        <w:rPr>
          <w:szCs w:val="20"/>
        </w:rPr>
        <w:t>either</w:t>
      </w:r>
      <w:r w:rsidR="00C64050">
        <w:rPr>
          <w:szCs w:val="20"/>
        </w:rPr>
        <w:t xml:space="preserve"> </w:t>
      </w:r>
      <w:r w:rsidRPr="00DC41B3">
        <w:rPr>
          <w:szCs w:val="20"/>
        </w:rPr>
        <w:t>the</w:t>
      </w:r>
      <w:r w:rsidR="00C64050">
        <w:rPr>
          <w:szCs w:val="20"/>
        </w:rPr>
        <w:t xml:space="preserve"> </w:t>
      </w:r>
      <w:r w:rsidRPr="00DC41B3">
        <w:rPr>
          <w:szCs w:val="20"/>
        </w:rPr>
        <w:t>successful</w:t>
      </w:r>
      <w:r w:rsidR="00C64050">
        <w:rPr>
          <w:szCs w:val="20"/>
        </w:rPr>
        <w:t xml:space="preserve"> </w:t>
      </w:r>
      <w:r w:rsidRPr="00DC41B3">
        <w:rPr>
          <w:szCs w:val="20"/>
        </w:rPr>
        <w:t>defense</w:t>
      </w:r>
      <w:r w:rsidR="00C64050">
        <w:rPr>
          <w:szCs w:val="20"/>
        </w:rPr>
        <w:t xml:space="preserve"> </w:t>
      </w:r>
      <w:r w:rsidRPr="00DC41B3">
        <w:rPr>
          <w:szCs w:val="20"/>
        </w:rPr>
        <w:t>of</w:t>
      </w:r>
      <w:r w:rsidR="00C64050">
        <w:rPr>
          <w:szCs w:val="20"/>
        </w:rPr>
        <w:t xml:space="preserve"> </w:t>
      </w:r>
      <w:r w:rsidRPr="00DC41B3">
        <w:rPr>
          <w:szCs w:val="20"/>
        </w:rPr>
        <w:t>that</w:t>
      </w:r>
      <w:r w:rsidR="00C64050">
        <w:rPr>
          <w:szCs w:val="20"/>
        </w:rPr>
        <w:t xml:space="preserve"> </w:t>
      </w:r>
      <w:r w:rsidRPr="00DC41B3">
        <w:rPr>
          <w:szCs w:val="20"/>
        </w:rPr>
        <w:t>position</w:t>
      </w:r>
      <w:r w:rsidR="00C64050">
        <w:rPr>
          <w:szCs w:val="20"/>
        </w:rPr>
        <w:t xml:space="preserve"> </w:t>
      </w:r>
      <w:r w:rsidRPr="00DC41B3">
        <w:rPr>
          <w:szCs w:val="20"/>
        </w:rPr>
        <w:t>or</w:t>
      </w:r>
      <w:r w:rsidR="00C64050">
        <w:rPr>
          <w:szCs w:val="20"/>
        </w:rPr>
        <w:t xml:space="preserve"> </w:t>
      </w:r>
      <w:r w:rsidRPr="00DC41B3">
        <w:rPr>
          <w:szCs w:val="20"/>
        </w:rPr>
        <w:t>the</w:t>
      </w:r>
      <w:r w:rsidR="00C64050">
        <w:rPr>
          <w:szCs w:val="20"/>
        </w:rPr>
        <w:t xml:space="preserve"> </w:t>
      </w:r>
      <w:r w:rsidRPr="00DC41B3">
        <w:rPr>
          <w:szCs w:val="20"/>
        </w:rPr>
        <w:t>estate’s</w:t>
      </w:r>
      <w:r w:rsidR="00C64050">
        <w:rPr>
          <w:szCs w:val="20"/>
        </w:rPr>
        <w:t xml:space="preserve"> </w:t>
      </w:r>
      <w:r w:rsidRPr="00DC41B3">
        <w:rPr>
          <w:szCs w:val="20"/>
        </w:rPr>
        <w:t>acquiescence</w:t>
      </w:r>
      <w:r w:rsidR="00C64050">
        <w:rPr>
          <w:szCs w:val="20"/>
        </w:rPr>
        <w:t xml:space="preserve"> </w:t>
      </w:r>
      <w:r w:rsidRPr="00DC41B3">
        <w:rPr>
          <w:szCs w:val="20"/>
        </w:rPr>
        <w:t>to</w:t>
      </w:r>
      <w:r w:rsidR="00C64050">
        <w:rPr>
          <w:szCs w:val="20"/>
        </w:rPr>
        <w:t xml:space="preserve"> </w:t>
      </w:r>
      <w:r w:rsidRPr="00DC41B3">
        <w:rPr>
          <w:szCs w:val="20"/>
        </w:rPr>
        <w:t>his</w:t>
      </w:r>
      <w:r w:rsidR="00C64050">
        <w:rPr>
          <w:szCs w:val="20"/>
        </w:rPr>
        <w:t xml:space="preserve"> </w:t>
      </w:r>
      <w:r w:rsidRPr="00DC41B3">
        <w:rPr>
          <w:szCs w:val="20"/>
        </w:rPr>
        <w:t>determinations.</w:t>
      </w:r>
      <w:r w:rsidR="00C64050">
        <w:rPr>
          <w:szCs w:val="20"/>
        </w:rPr>
        <w:t xml:space="preserve"> </w:t>
      </w:r>
      <w:r w:rsidRPr="00DC41B3">
        <w:rPr>
          <w:szCs w:val="20"/>
        </w:rPr>
        <w:t>For</w:t>
      </w:r>
      <w:r w:rsidR="00C64050">
        <w:rPr>
          <w:szCs w:val="20"/>
        </w:rPr>
        <w:t xml:space="preserve"> </w:t>
      </w:r>
      <w:r w:rsidRPr="00DC41B3">
        <w:rPr>
          <w:szCs w:val="20"/>
        </w:rPr>
        <w:t>the</w:t>
      </w:r>
      <w:r w:rsidR="00C64050">
        <w:rPr>
          <w:szCs w:val="20"/>
        </w:rPr>
        <w:t xml:space="preserve"> </w:t>
      </w:r>
      <w:r w:rsidRPr="00DC41B3">
        <w:rPr>
          <w:szCs w:val="20"/>
        </w:rPr>
        <w:t>exception</w:t>
      </w:r>
      <w:r w:rsidR="00C64050">
        <w:rPr>
          <w:szCs w:val="20"/>
        </w:rPr>
        <w:t xml:space="preserve"> </w:t>
      </w:r>
      <w:r w:rsidRPr="00DC41B3">
        <w:rPr>
          <w:szCs w:val="20"/>
        </w:rPr>
        <w:t>to</w:t>
      </w:r>
      <w:r w:rsidR="00C64050">
        <w:rPr>
          <w:szCs w:val="20"/>
        </w:rPr>
        <w:t xml:space="preserve"> </w:t>
      </w:r>
      <w:r w:rsidRPr="00DC41B3">
        <w:rPr>
          <w:szCs w:val="20"/>
        </w:rPr>
        <w:t>apply,</w:t>
      </w:r>
      <w:r w:rsidR="00C64050">
        <w:rPr>
          <w:szCs w:val="20"/>
        </w:rPr>
        <w:t xml:space="preserve"> </w:t>
      </w:r>
      <w:r w:rsidRPr="00DC41B3">
        <w:rPr>
          <w:szCs w:val="20"/>
        </w:rPr>
        <w:t>it</w:t>
      </w:r>
      <w:r w:rsidR="00C64050">
        <w:rPr>
          <w:szCs w:val="20"/>
        </w:rPr>
        <w:t xml:space="preserve"> </w:t>
      </w:r>
      <w:r w:rsidRPr="00DC41B3">
        <w:rPr>
          <w:szCs w:val="20"/>
        </w:rPr>
        <w:t>would</w:t>
      </w:r>
      <w:r w:rsidR="00C64050">
        <w:rPr>
          <w:szCs w:val="20"/>
        </w:rPr>
        <w:t xml:space="preserve"> </w:t>
      </w:r>
      <w:r w:rsidRPr="00DC41B3">
        <w:rPr>
          <w:szCs w:val="20"/>
        </w:rPr>
        <w:t>have</w:t>
      </w:r>
      <w:r w:rsidR="00C64050">
        <w:rPr>
          <w:szCs w:val="20"/>
        </w:rPr>
        <w:t xml:space="preserve"> </w:t>
      </w:r>
      <w:r w:rsidRPr="00DC41B3">
        <w:rPr>
          <w:szCs w:val="20"/>
        </w:rPr>
        <w:t>to</w:t>
      </w:r>
      <w:r w:rsidR="00C64050">
        <w:rPr>
          <w:szCs w:val="20"/>
        </w:rPr>
        <w:t xml:space="preserve"> </w:t>
      </w:r>
      <w:r w:rsidRPr="00DC41B3">
        <w:rPr>
          <w:szCs w:val="20"/>
        </w:rPr>
        <w:t>have</w:t>
      </w:r>
      <w:r w:rsidR="00C64050">
        <w:rPr>
          <w:szCs w:val="20"/>
        </w:rPr>
        <w:t xml:space="preserve"> </w:t>
      </w:r>
      <w:r w:rsidRPr="00DC41B3">
        <w:rPr>
          <w:szCs w:val="20"/>
        </w:rPr>
        <w:t>been</w:t>
      </w:r>
      <w:r w:rsidR="00C64050">
        <w:rPr>
          <w:szCs w:val="20"/>
        </w:rPr>
        <w:t xml:space="preserve"> </w:t>
      </w:r>
      <w:r w:rsidRPr="00DC41B3">
        <w:rPr>
          <w:szCs w:val="20"/>
        </w:rPr>
        <w:t>almost</w:t>
      </w:r>
      <w:r w:rsidR="00C64050">
        <w:rPr>
          <w:szCs w:val="20"/>
        </w:rPr>
        <w:t xml:space="preserve"> </w:t>
      </w:r>
      <w:r w:rsidRPr="00DC41B3">
        <w:rPr>
          <w:szCs w:val="20"/>
        </w:rPr>
        <w:t>certain</w:t>
      </w:r>
      <w:r w:rsidR="00C64050">
        <w:rPr>
          <w:szCs w:val="20"/>
        </w:rPr>
        <w:t xml:space="preserve"> </w:t>
      </w:r>
      <w:r w:rsidRPr="00DC41B3">
        <w:rPr>
          <w:szCs w:val="20"/>
        </w:rPr>
        <w:t>that</w:t>
      </w:r>
      <w:r w:rsidR="00C64050">
        <w:rPr>
          <w:szCs w:val="20"/>
        </w:rPr>
        <w:t xml:space="preserve"> </w:t>
      </w:r>
      <w:r w:rsidRPr="00DC41B3">
        <w:rPr>
          <w:szCs w:val="20"/>
        </w:rPr>
        <w:t>the</w:t>
      </w:r>
      <w:r w:rsidR="00C64050">
        <w:rPr>
          <w:szCs w:val="20"/>
        </w:rPr>
        <w:t xml:space="preserve"> </w:t>
      </w:r>
      <w:r w:rsidRPr="00DC41B3">
        <w:rPr>
          <w:szCs w:val="20"/>
        </w:rPr>
        <w:t>Commissioner</w:t>
      </w:r>
      <w:r w:rsidR="00C64050">
        <w:rPr>
          <w:szCs w:val="20"/>
        </w:rPr>
        <w:t xml:space="preserve"> </w:t>
      </w:r>
      <w:r w:rsidRPr="00DC41B3">
        <w:rPr>
          <w:szCs w:val="20"/>
        </w:rPr>
        <w:t>would</w:t>
      </w:r>
      <w:r w:rsidR="00C64050">
        <w:rPr>
          <w:szCs w:val="20"/>
        </w:rPr>
        <w:t xml:space="preserve"> </w:t>
      </w:r>
      <w:r w:rsidRPr="00DC41B3">
        <w:rPr>
          <w:szCs w:val="20"/>
        </w:rPr>
        <w:t>not</w:t>
      </w:r>
      <w:r w:rsidR="00C64050">
        <w:rPr>
          <w:szCs w:val="20"/>
        </w:rPr>
        <w:t xml:space="preserve"> </w:t>
      </w:r>
      <w:r w:rsidRPr="00DC41B3">
        <w:rPr>
          <w:szCs w:val="20"/>
        </w:rPr>
        <w:t>only</w:t>
      </w:r>
      <w:r w:rsidR="00C64050">
        <w:rPr>
          <w:szCs w:val="20"/>
        </w:rPr>
        <w:t xml:space="preserve"> </w:t>
      </w:r>
      <w:r w:rsidRPr="00DC41B3">
        <w:rPr>
          <w:szCs w:val="20"/>
        </w:rPr>
        <w:t>challenge,</w:t>
      </w:r>
      <w:r w:rsidR="00C64050">
        <w:rPr>
          <w:szCs w:val="20"/>
        </w:rPr>
        <w:t xml:space="preserve"> </w:t>
      </w:r>
      <w:r w:rsidRPr="00DC41B3">
        <w:rPr>
          <w:szCs w:val="20"/>
        </w:rPr>
        <w:t>but</w:t>
      </w:r>
      <w:r w:rsidR="00C64050">
        <w:rPr>
          <w:szCs w:val="20"/>
        </w:rPr>
        <w:t xml:space="preserve"> </w:t>
      </w:r>
      <w:r w:rsidRPr="00DC41B3">
        <w:rPr>
          <w:szCs w:val="20"/>
        </w:rPr>
        <w:t>also</w:t>
      </w:r>
      <w:r w:rsidR="00C64050">
        <w:rPr>
          <w:szCs w:val="20"/>
        </w:rPr>
        <w:t xml:space="preserve"> </w:t>
      </w:r>
      <w:r w:rsidRPr="00DC41B3">
        <w:rPr>
          <w:szCs w:val="20"/>
        </w:rPr>
        <w:t>successfully</w:t>
      </w:r>
      <w:r w:rsidR="00C64050">
        <w:rPr>
          <w:szCs w:val="20"/>
        </w:rPr>
        <w:t xml:space="preserve"> </w:t>
      </w:r>
      <w:r w:rsidRPr="00DC41B3">
        <w:rPr>
          <w:szCs w:val="20"/>
        </w:rPr>
        <w:t>challenge</w:t>
      </w:r>
      <w:r w:rsidR="00C64050">
        <w:rPr>
          <w:szCs w:val="20"/>
        </w:rPr>
        <w:t xml:space="preserve"> </w:t>
      </w:r>
      <w:r w:rsidRPr="00DC41B3">
        <w:rPr>
          <w:szCs w:val="20"/>
        </w:rPr>
        <w:t>the</w:t>
      </w:r>
      <w:r w:rsidR="00C64050">
        <w:rPr>
          <w:szCs w:val="20"/>
        </w:rPr>
        <w:t xml:space="preserve"> </w:t>
      </w:r>
      <w:r w:rsidRPr="00DC41B3">
        <w:rPr>
          <w:szCs w:val="20"/>
        </w:rPr>
        <w:t>value</w:t>
      </w:r>
      <w:r w:rsidR="00C64050">
        <w:rPr>
          <w:szCs w:val="20"/>
        </w:rPr>
        <w:t xml:space="preserve"> </w:t>
      </w:r>
      <w:r w:rsidRPr="00DC41B3">
        <w:rPr>
          <w:szCs w:val="20"/>
        </w:rPr>
        <w:t>of</w:t>
      </w:r>
      <w:r w:rsidR="00C64050">
        <w:rPr>
          <w:szCs w:val="20"/>
        </w:rPr>
        <w:t xml:space="preserve"> </w:t>
      </w:r>
      <w:r w:rsidRPr="00DC41B3">
        <w:rPr>
          <w:szCs w:val="20"/>
        </w:rPr>
        <w:t>the</w:t>
      </w:r>
      <w:r w:rsidR="00C64050">
        <w:rPr>
          <w:szCs w:val="20"/>
        </w:rPr>
        <w:t xml:space="preserve"> </w:t>
      </w:r>
      <w:r w:rsidRPr="00DC41B3">
        <w:rPr>
          <w:szCs w:val="20"/>
        </w:rPr>
        <w:t>estate.</w:t>
      </w:r>
      <w:r w:rsidR="00C64050">
        <w:rPr>
          <w:szCs w:val="20"/>
        </w:rPr>
        <w:t xml:space="preserve"> </w:t>
      </w:r>
      <w:r w:rsidRPr="00DC41B3">
        <w:rPr>
          <w:szCs w:val="20"/>
        </w:rPr>
        <w:t>We</w:t>
      </w:r>
      <w:r w:rsidR="00C64050">
        <w:rPr>
          <w:szCs w:val="20"/>
        </w:rPr>
        <w:t xml:space="preserve"> </w:t>
      </w:r>
      <w:r w:rsidRPr="00DC41B3">
        <w:rPr>
          <w:szCs w:val="20"/>
        </w:rPr>
        <w:t>do</w:t>
      </w:r>
      <w:r w:rsidR="00C64050">
        <w:rPr>
          <w:szCs w:val="20"/>
        </w:rPr>
        <w:t xml:space="preserve"> </w:t>
      </w:r>
      <w:r w:rsidRPr="00DC41B3">
        <w:rPr>
          <w:szCs w:val="20"/>
        </w:rPr>
        <w:t>not</w:t>
      </w:r>
      <w:r w:rsidR="00C64050">
        <w:rPr>
          <w:szCs w:val="20"/>
        </w:rPr>
        <w:t xml:space="preserve"> </w:t>
      </w:r>
      <w:r w:rsidRPr="00DC41B3">
        <w:rPr>
          <w:szCs w:val="20"/>
        </w:rPr>
        <w:t>think</w:t>
      </w:r>
      <w:r w:rsidR="00C64050">
        <w:rPr>
          <w:szCs w:val="20"/>
        </w:rPr>
        <w:t xml:space="preserve"> </w:t>
      </w:r>
      <w:r w:rsidRPr="00DC41B3">
        <w:rPr>
          <w:szCs w:val="20"/>
        </w:rPr>
        <w:t>that’s</w:t>
      </w:r>
      <w:r w:rsidR="00C64050">
        <w:rPr>
          <w:szCs w:val="20"/>
        </w:rPr>
        <w:t xml:space="preserve"> </w:t>
      </w:r>
      <w:r w:rsidRPr="00DC41B3">
        <w:rPr>
          <w:szCs w:val="20"/>
        </w:rPr>
        <w:t>a</w:t>
      </w:r>
      <w:r w:rsidR="00C64050">
        <w:rPr>
          <w:szCs w:val="20"/>
        </w:rPr>
        <w:t xml:space="preserve"> </w:t>
      </w:r>
      <w:r w:rsidRPr="00DC41B3">
        <w:rPr>
          <w:szCs w:val="20"/>
        </w:rPr>
        <w:t>reasonable</w:t>
      </w:r>
      <w:r w:rsidR="00C64050">
        <w:rPr>
          <w:szCs w:val="20"/>
        </w:rPr>
        <w:t xml:space="preserve"> </w:t>
      </w:r>
      <w:r w:rsidRPr="00DC41B3">
        <w:rPr>
          <w:szCs w:val="20"/>
        </w:rPr>
        <w:t>conclusion.</w:t>
      </w:r>
    </w:p>
    <w:p w:rsidR="00DC41B3" w:rsidRPr="00DC41B3" w:rsidRDefault="00DC41B3" w:rsidP="00DC41B3">
      <w:pPr>
        <w:pStyle w:val="QS10"/>
        <w:rPr>
          <w:szCs w:val="20"/>
        </w:rPr>
      </w:pPr>
      <w:r w:rsidRPr="00DC41B3">
        <w:rPr>
          <w:szCs w:val="20"/>
        </w:rPr>
        <w:t>The</w:t>
      </w:r>
      <w:r w:rsidR="00C64050">
        <w:rPr>
          <w:szCs w:val="20"/>
        </w:rPr>
        <w:t xml:space="preserve"> </w:t>
      </w:r>
      <w:r w:rsidRPr="00DC41B3">
        <w:rPr>
          <w:szCs w:val="20"/>
        </w:rPr>
        <w:t>estate</w:t>
      </w:r>
      <w:r w:rsidR="00C64050">
        <w:rPr>
          <w:szCs w:val="20"/>
        </w:rPr>
        <w:t xml:space="preserve"> </w:t>
      </w:r>
      <w:r w:rsidRPr="00DC41B3">
        <w:rPr>
          <w:szCs w:val="20"/>
        </w:rPr>
        <w:t>likens</w:t>
      </w:r>
      <w:r w:rsidR="00C64050">
        <w:rPr>
          <w:szCs w:val="20"/>
        </w:rPr>
        <w:t xml:space="preserve"> </w:t>
      </w:r>
      <w:r w:rsidRPr="00DC41B3">
        <w:rPr>
          <w:szCs w:val="20"/>
        </w:rPr>
        <w:t>its</w:t>
      </w:r>
      <w:r w:rsidR="00C64050">
        <w:rPr>
          <w:szCs w:val="20"/>
        </w:rPr>
        <w:t xml:space="preserve"> </w:t>
      </w:r>
      <w:r w:rsidRPr="00DC41B3">
        <w:rPr>
          <w:szCs w:val="20"/>
        </w:rPr>
        <w:t>facts</w:t>
      </w:r>
      <w:r w:rsidR="00C64050">
        <w:rPr>
          <w:szCs w:val="20"/>
        </w:rPr>
        <w:t xml:space="preserve"> </w:t>
      </w:r>
      <w:r w:rsidRPr="00DC41B3">
        <w:rPr>
          <w:szCs w:val="20"/>
        </w:rPr>
        <w:t>to</w:t>
      </w:r>
      <w:r w:rsidR="00C64050">
        <w:rPr>
          <w:szCs w:val="20"/>
        </w:rPr>
        <w:t xml:space="preserve"> </w:t>
      </w:r>
      <w:r w:rsidRPr="00DC41B3">
        <w:rPr>
          <w:szCs w:val="20"/>
        </w:rPr>
        <w:t>those</w:t>
      </w:r>
      <w:r w:rsidR="00C64050">
        <w:rPr>
          <w:szCs w:val="20"/>
        </w:rPr>
        <w:t xml:space="preserve"> </w:t>
      </w:r>
      <w:r w:rsidRPr="00DC41B3">
        <w:rPr>
          <w:szCs w:val="20"/>
        </w:rPr>
        <w:t>of</w:t>
      </w:r>
      <w:r w:rsidR="00C64050">
        <w:rPr>
          <w:szCs w:val="20"/>
        </w:rPr>
        <w:t xml:space="preserve"> </w:t>
      </w:r>
      <w:r w:rsidRPr="00DC41B3">
        <w:rPr>
          <w:szCs w:val="20"/>
          <w:u w:val="single"/>
        </w:rPr>
        <w:t>Estate</w:t>
      </w:r>
      <w:r w:rsidR="00C64050">
        <w:rPr>
          <w:szCs w:val="20"/>
          <w:u w:val="single"/>
        </w:rPr>
        <w:t xml:space="preserve"> </w:t>
      </w:r>
      <w:r w:rsidRPr="00DC41B3">
        <w:rPr>
          <w:szCs w:val="20"/>
          <w:u w:val="single"/>
        </w:rPr>
        <w:t>of</w:t>
      </w:r>
      <w:r w:rsidR="00C64050">
        <w:rPr>
          <w:szCs w:val="20"/>
          <w:u w:val="single"/>
        </w:rPr>
        <w:t xml:space="preserve"> </w:t>
      </w:r>
      <w:r w:rsidRPr="00DC41B3">
        <w:rPr>
          <w:szCs w:val="20"/>
          <w:u w:val="single"/>
        </w:rPr>
        <w:t>Christiansen</w:t>
      </w:r>
      <w:r w:rsidR="00C64050">
        <w:rPr>
          <w:szCs w:val="20"/>
          <w:u w:val="single"/>
        </w:rPr>
        <w:t xml:space="preserve"> </w:t>
      </w:r>
      <w:r w:rsidRPr="00DC41B3">
        <w:rPr>
          <w:szCs w:val="20"/>
          <w:u w:val="single"/>
        </w:rPr>
        <w:t>v.</w:t>
      </w:r>
      <w:r w:rsidR="00C64050">
        <w:rPr>
          <w:szCs w:val="20"/>
        </w:rPr>
        <w:t xml:space="preserve"> </w:t>
      </w:r>
      <w:r w:rsidRPr="00DC41B3">
        <w:rPr>
          <w:szCs w:val="20"/>
          <w:u w:val="single"/>
        </w:rPr>
        <w:t>Commissioner</w:t>
      </w:r>
      <w:r w:rsidRPr="00DC41B3">
        <w:rPr>
          <w:szCs w:val="20"/>
        </w:rPr>
        <w:t>,</w:t>
      </w:r>
      <w:r w:rsidR="00C64050">
        <w:rPr>
          <w:szCs w:val="20"/>
        </w:rPr>
        <w:t xml:space="preserve"> </w:t>
      </w:r>
      <w:r w:rsidRPr="00DC41B3">
        <w:rPr>
          <w:szCs w:val="20"/>
        </w:rPr>
        <w:t>586</w:t>
      </w:r>
      <w:r w:rsidR="00C64050">
        <w:rPr>
          <w:szCs w:val="20"/>
        </w:rPr>
        <w:t xml:space="preserve"> </w:t>
      </w:r>
      <w:r w:rsidRPr="00DC41B3">
        <w:rPr>
          <w:szCs w:val="20"/>
        </w:rPr>
        <w:t>F.3d</w:t>
      </w:r>
      <w:r w:rsidR="00C64050">
        <w:rPr>
          <w:szCs w:val="20"/>
        </w:rPr>
        <w:t xml:space="preserve"> </w:t>
      </w:r>
      <w:r w:rsidRPr="00DC41B3">
        <w:rPr>
          <w:szCs w:val="20"/>
        </w:rPr>
        <w:t>1061</w:t>
      </w:r>
      <w:r w:rsidR="00C64050">
        <w:rPr>
          <w:szCs w:val="20"/>
        </w:rPr>
        <w:t xml:space="preserve"> </w:t>
      </w:r>
      <w:r w:rsidRPr="00DC41B3">
        <w:rPr>
          <w:szCs w:val="20"/>
        </w:rPr>
        <w:t>(8th</w:t>
      </w:r>
      <w:r w:rsidR="00C64050">
        <w:rPr>
          <w:szCs w:val="20"/>
        </w:rPr>
        <w:t xml:space="preserve"> </w:t>
      </w:r>
      <w:r w:rsidRPr="00DC41B3">
        <w:rPr>
          <w:szCs w:val="20"/>
        </w:rPr>
        <w:t>Cir.</w:t>
      </w:r>
      <w:r w:rsidR="00C64050">
        <w:rPr>
          <w:szCs w:val="20"/>
        </w:rPr>
        <w:t xml:space="preserve"> </w:t>
      </w:r>
      <w:r w:rsidRPr="00DC41B3">
        <w:rPr>
          <w:szCs w:val="20"/>
        </w:rPr>
        <w:t>2009),</w:t>
      </w:r>
      <w:r w:rsidR="00C64050">
        <w:rPr>
          <w:szCs w:val="20"/>
        </w:rPr>
        <w:t xml:space="preserve"> </w:t>
      </w:r>
      <w:r w:rsidRPr="00DC41B3">
        <w:rPr>
          <w:szCs w:val="20"/>
          <w:u w:val="single"/>
        </w:rPr>
        <w:t>aff’g</w:t>
      </w:r>
      <w:r w:rsidR="00C64050">
        <w:rPr>
          <w:szCs w:val="20"/>
        </w:rPr>
        <w:t xml:space="preserve"> </w:t>
      </w:r>
      <w:r w:rsidRPr="00DC41B3">
        <w:rPr>
          <w:szCs w:val="20"/>
        </w:rPr>
        <w:t>130</w:t>
      </w:r>
      <w:r w:rsidR="00C64050">
        <w:rPr>
          <w:szCs w:val="20"/>
        </w:rPr>
        <w:t xml:space="preserve"> </w:t>
      </w:r>
      <w:r w:rsidRPr="00DC41B3">
        <w:rPr>
          <w:szCs w:val="20"/>
        </w:rPr>
        <w:t>T.C.</w:t>
      </w:r>
      <w:r w:rsidR="00C64050">
        <w:rPr>
          <w:szCs w:val="20"/>
        </w:rPr>
        <w:t xml:space="preserve"> </w:t>
      </w:r>
      <w:r w:rsidRPr="00DC41B3">
        <w:rPr>
          <w:szCs w:val="20"/>
        </w:rPr>
        <w:t>1</w:t>
      </w:r>
      <w:r w:rsidR="00C64050">
        <w:rPr>
          <w:szCs w:val="20"/>
        </w:rPr>
        <w:t xml:space="preserve"> </w:t>
      </w:r>
      <w:r w:rsidRPr="00DC41B3">
        <w:rPr>
          <w:szCs w:val="20"/>
        </w:rPr>
        <w:t>(2008),</w:t>
      </w:r>
      <w:r w:rsidR="00C64050">
        <w:rPr>
          <w:szCs w:val="20"/>
        </w:rPr>
        <w:t xml:space="preserve"> </w:t>
      </w:r>
      <w:r w:rsidRPr="00DC41B3">
        <w:rPr>
          <w:szCs w:val="20"/>
        </w:rPr>
        <w:t>and</w:t>
      </w:r>
      <w:r w:rsidR="00C64050">
        <w:rPr>
          <w:szCs w:val="20"/>
        </w:rPr>
        <w:t xml:space="preserve"> </w:t>
      </w:r>
      <w:r w:rsidRPr="00DC41B3">
        <w:rPr>
          <w:szCs w:val="20"/>
          <w:u w:val="single"/>
        </w:rPr>
        <w:t>Estate</w:t>
      </w:r>
      <w:r w:rsidR="00C64050">
        <w:rPr>
          <w:szCs w:val="20"/>
        </w:rPr>
        <w:t xml:space="preserve"> </w:t>
      </w:r>
      <w:r w:rsidRPr="00DC41B3">
        <w:rPr>
          <w:szCs w:val="20"/>
          <w:u w:val="single"/>
        </w:rPr>
        <w:t>of</w:t>
      </w:r>
      <w:r w:rsidR="00C64050">
        <w:rPr>
          <w:szCs w:val="20"/>
          <w:u w:val="single"/>
        </w:rPr>
        <w:t xml:space="preserve"> </w:t>
      </w:r>
      <w:r w:rsidRPr="00DC41B3">
        <w:rPr>
          <w:szCs w:val="20"/>
          <w:u w:val="single"/>
        </w:rPr>
        <w:t>Petter</w:t>
      </w:r>
      <w:r w:rsidR="00C64050">
        <w:rPr>
          <w:szCs w:val="20"/>
          <w:u w:val="single"/>
        </w:rPr>
        <w:t xml:space="preserve"> </w:t>
      </w:r>
      <w:r w:rsidRPr="00DC41B3">
        <w:rPr>
          <w:szCs w:val="20"/>
          <w:u w:val="single"/>
        </w:rPr>
        <w:t>v.</w:t>
      </w:r>
      <w:r w:rsidR="00C64050">
        <w:rPr>
          <w:szCs w:val="20"/>
          <w:u w:val="single"/>
        </w:rPr>
        <w:t xml:space="preserve"> </w:t>
      </w:r>
      <w:r w:rsidRPr="00DC41B3">
        <w:rPr>
          <w:szCs w:val="20"/>
          <w:u w:val="single"/>
        </w:rPr>
        <w:t>Commissioner</w:t>
      </w:r>
      <w:r w:rsidRPr="00DC41B3">
        <w:rPr>
          <w:szCs w:val="20"/>
        </w:rPr>
        <w:t>,</w:t>
      </w:r>
      <w:r w:rsidR="00C64050">
        <w:rPr>
          <w:szCs w:val="20"/>
        </w:rPr>
        <w:t xml:space="preserve"> </w:t>
      </w:r>
      <w:r w:rsidRPr="00DC41B3">
        <w:rPr>
          <w:szCs w:val="20"/>
        </w:rPr>
        <w:t>653</w:t>
      </w:r>
      <w:r w:rsidR="00C64050">
        <w:rPr>
          <w:szCs w:val="20"/>
        </w:rPr>
        <w:t xml:space="preserve"> </w:t>
      </w:r>
      <w:r w:rsidRPr="00DC41B3">
        <w:rPr>
          <w:szCs w:val="20"/>
        </w:rPr>
        <w:t>F.3d</w:t>
      </w:r>
      <w:r w:rsidR="00C64050">
        <w:rPr>
          <w:szCs w:val="20"/>
        </w:rPr>
        <w:t xml:space="preserve"> </w:t>
      </w:r>
      <w:r w:rsidRPr="00DC41B3">
        <w:rPr>
          <w:szCs w:val="20"/>
        </w:rPr>
        <w:t>1012</w:t>
      </w:r>
      <w:r w:rsidR="00C64050">
        <w:rPr>
          <w:szCs w:val="20"/>
        </w:rPr>
        <w:t xml:space="preserve"> </w:t>
      </w:r>
      <w:r w:rsidRPr="00DC41B3">
        <w:rPr>
          <w:szCs w:val="20"/>
        </w:rPr>
        <w:t>(9th</w:t>
      </w:r>
      <w:r w:rsidR="00C64050">
        <w:rPr>
          <w:szCs w:val="20"/>
        </w:rPr>
        <w:t xml:space="preserve"> </w:t>
      </w:r>
      <w:r w:rsidRPr="00DC41B3">
        <w:rPr>
          <w:szCs w:val="20"/>
        </w:rPr>
        <w:t>Cir.</w:t>
      </w:r>
      <w:r w:rsidR="00C64050">
        <w:rPr>
          <w:szCs w:val="20"/>
        </w:rPr>
        <w:t xml:space="preserve"> </w:t>
      </w:r>
      <w:r w:rsidRPr="00DC41B3">
        <w:rPr>
          <w:szCs w:val="20"/>
        </w:rPr>
        <w:t>2011),</w:t>
      </w:r>
      <w:r w:rsidR="00C64050">
        <w:rPr>
          <w:szCs w:val="20"/>
        </w:rPr>
        <w:t xml:space="preserve"> </w:t>
      </w:r>
      <w:r w:rsidRPr="00DC41B3">
        <w:rPr>
          <w:szCs w:val="20"/>
          <w:u w:val="single"/>
        </w:rPr>
        <w:t>aff’g</w:t>
      </w:r>
      <w:r w:rsidR="00C64050">
        <w:rPr>
          <w:szCs w:val="20"/>
        </w:rPr>
        <w:t xml:space="preserve"> </w:t>
      </w:r>
      <w:r w:rsidRPr="00DC41B3">
        <w:rPr>
          <w:szCs w:val="20"/>
        </w:rPr>
        <w:t>T.C.</w:t>
      </w:r>
      <w:r w:rsidR="00C64050">
        <w:rPr>
          <w:szCs w:val="20"/>
        </w:rPr>
        <w:t xml:space="preserve"> </w:t>
      </w:r>
      <w:r w:rsidRPr="00DC41B3">
        <w:rPr>
          <w:szCs w:val="20"/>
        </w:rPr>
        <w:t>Memo.</w:t>
      </w:r>
      <w:r w:rsidR="00C64050">
        <w:rPr>
          <w:szCs w:val="20"/>
        </w:rPr>
        <w:t xml:space="preserve"> </w:t>
      </w:r>
      <w:r w:rsidRPr="00DC41B3">
        <w:rPr>
          <w:szCs w:val="20"/>
        </w:rPr>
        <w:t>2009-280.</w:t>
      </w:r>
      <w:r w:rsidR="00C64050">
        <w:rPr>
          <w:szCs w:val="20"/>
        </w:rPr>
        <w:t xml:space="preserve"> </w:t>
      </w:r>
      <w:r w:rsidRPr="00DC41B3">
        <w:rPr>
          <w:szCs w:val="20"/>
        </w:rPr>
        <w:t>In</w:t>
      </w:r>
      <w:r w:rsidR="00C64050">
        <w:rPr>
          <w:szCs w:val="20"/>
        </w:rPr>
        <w:t xml:space="preserve"> </w:t>
      </w:r>
      <w:r w:rsidRPr="00DC41B3">
        <w:rPr>
          <w:szCs w:val="20"/>
          <w:u w:val="single"/>
        </w:rPr>
        <w:t>Estate</w:t>
      </w:r>
      <w:r w:rsidR="00C64050">
        <w:rPr>
          <w:szCs w:val="20"/>
          <w:u w:val="single"/>
        </w:rPr>
        <w:t xml:space="preserve"> </w:t>
      </w:r>
      <w:r w:rsidRPr="00DC41B3">
        <w:rPr>
          <w:szCs w:val="20"/>
          <w:u w:val="single"/>
        </w:rPr>
        <w:t>of</w:t>
      </w:r>
      <w:r w:rsidR="00C64050">
        <w:rPr>
          <w:szCs w:val="20"/>
          <w:u w:val="single"/>
        </w:rPr>
        <w:t xml:space="preserve"> </w:t>
      </w:r>
      <w:r w:rsidRPr="00DC41B3">
        <w:rPr>
          <w:szCs w:val="20"/>
          <w:u w:val="single"/>
        </w:rPr>
        <w:t>Christiansen</w:t>
      </w:r>
      <w:r w:rsidR="00C64050">
        <w:rPr>
          <w:szCs w:val="20"/>
          <w:u w:val="single"/>
        </w:rPr>
        <w:t xml:space="preserve"> </w:t>
      </w:r>
      <w:r w:rsidRPr="00DC41B3">
        <w:rPr>
          <w:szCs w:val="20"/>
          <w:u w:val="single"/>
        </w:rPr>
        <w:t>v.</w:t>
      </w:r>
      <w:r w:rsidR="00C64050">
        <w:rPr>
          <w:szCs w:val="20"/>
          <w:u w:val="single"/>
        </w:rPr>
        <w:t xml:space="preserve"> </w:t>
      </w:r>
      <w:r w:rsidRPr="00DC41B3">
        <w:rPr>
          <w:szCs w:val="20"/>
          <w:u w:val="single"/>
        </w:rPr>
        <w:t>Commissioner</w:t>
      </w:r>
      <w:r w:rsidRPr="00DC41B3">
        <w:rPr>
          <w:szCs w:val="20"/>
        </w:rPr>
        <w:t>,</w:t>
      </w:r>
      <w:r w:rsidR="00C64050">
        <w:rPr>
          <w:szCs w:val="20"/>
        </w:rPr>
        <w:t xml:space="preserve"> </w:t>
      </w:r>
      <w:r w:rsidRPr="00DC41B3">
        <w:rPr>
          <w:szCs w:val="20"/>
        </w:rPr>
        <w:t>586</w:t>
      </w:r>
      <w:r w:rsidR="00C64050">
        <w:rPr>
          <w:szCs w:val="20"/>
        </w:rPr>
        <w:t xml:space="preserve"> </w:t>
      </w:r>
      <w:r w:rsidRPr="00DC41B3">
        <w:rPr>
          <w:szCs w:val="20"/>
        </w:rPr>
        <w:t>F.3d</w:t>
      </w:r>
      <w:r w:rsidR="00C64050">
        <w:rPr>
          <w:szCs w:val="20"/>
        </w:rPr>
        <w:t xml:space="preserve"> </w:t>
      </w:r>
      <w:r w:rsidRPr="00DC41B3">
        <w:rPr>
          <w:szCs w:val="20"/>
        </w:rPr>
        <w:t>at</w:t>
      </w:r>
      <w:r w:rsidR="00C64050">
        <w:rPr>
          <w:szCs w:val="20"/>
        </w:rPr>
        <w:t xml:space="preserve"> </w:t>
      </w:r>
      <w:r w:rsidRPr="00DC41B3">
        <w:rPr>
          <w:szCs w:val="20"/>
        </w:rPr>
        <w:t>1062-63,</w:t>
      </w:r>
      <w:r w:rsidR="00C64050">
        <w:rPr>
          <w:szCs w:val="20"/>
        </w:rPr>
        <w:t xml:space="preserve"> </w:t>
      </w:r>
      <w:r w:rsidRPr="00DC41B3">
        <w:rPr>
          <w:szCs w:val="20"/>
        </w:rPr>
        <w:t>even</w:t>
      </w:r>
      <w:r w:rsidR="00C64050">
        <w:rPr>
          <w:szCs w:val="20"/>
        </w:rPr>
        <w:t xml:space="preserve"> </w:t>
      </w:r>
      <w:r w:rsidRPr="00DC41B3">
        <w:rPr>
          <w:szCs w:val="20"/>
        </w:rPr>
        <w:t>though</w:t>
      </w:r>
      <w:r w:rsidR="00C64050">
        <w:rPr>
          <w:szCs w:val="20"/>
        </w:rPr>
        <w:t xml:space="preserve"> </w:t>
      </w:r>
      <w:r w:rsidRPr="00DC41B3">
        <w:rPr>
          <w:szCs w:val="20"/>
        </w:rPr>
        <w:t>the</w:t>
      </w:r>
      <w:r w:rsidR="00C64050">
        <w:rPr>
          <w:szCs w:val="20"/>
        </w:rPr>
        <w:t xml:space="preserve"> </w:t>
      </w:r>
      <w:r w:rsidRPr="00DC41B3">
        <w:rPr>
          <w:szCs w:val="20"/>
        </w:rPr>
        <w:t>amount</w:t>
      </w:r>
      <w:r w:rsidR="00C64050">
        <w:rPr>
          <w:szCs w:val="20"/>
        </w:rPr>
        <w:t xml:space="preserve"> </w:t>
      </w:r>
      <w:r w:rsidRPr="00DC41B3">
        <w:rPr>
          <w:szCs w:val="20"/>
        </w:rPr>
        <w:t>of</w:t>
      </w:r>
      <w:r w:rsidR="00C64050">
        <w:rPr>
          <w:szCs w:val="20"/>
        </w:rPr>
        <w:t xml:space="preserve"> </w:t>
      </w:r>
      <w:r w:rsidRPr="00DC41B3">
        <w:rPr>
          <w:szCs w:val="20"/>
        </w:rPr>
        <w:t>the</w:t>
      </w:r>
      <w:r w:rsidR="00C64050">
        <w:rPr>
          <w:szCs w:val="20"/>
        </w:rPr>
        <w:t xml:space="preserve"> </w:t>
      </w:r>
      <w:r w:rsidRPr="00DC41B3">
        <w:rPr>
          <w:szCs w:val="20"/>
        </w:rPr>
        <w:t>property</w:t>
      </w:r>
      <w:r w:rsidR="00C64050">
        <w:rPr>
          <w:szCs w:val="20"/>
        </w:rPr>
        <w:t xml:space="preserve"> </w:t>
      </w:r>
      <w:r w:rsidRPr="00DC41B3">
        <w:rPr>
          <w:szCs w:val="20"/>
        </w:rPr>
        <w:t>to</w:t>
      </w:r>
      <w:r w:rsidR="00C64050">
        <w:rPr>
          <w:szCs w:val="20"/>
        </w:rPr>
        <w:t xml:space="preserve"> </w:t>
      </w:r>
      <w:r w:rsidRPr="00DC41B3">
        <w:rPr>
          <w:szCs w:val="20"/>
        </w:rPr>
        <w:t>be</w:t>
      </w:r>
      <w:r w:rsidR="00C64050">
        <w:rPr>
          <w:szCs w:val="20"/>
        </w:rPr>
        <w:t xml:space="preserve"> </w:t>
      </w:r>
      <w:r w:rsidRPr="00DC41B3">
        <w:rPr>
          <w:szCs w:val="20"/>
        </w:rPr>
        <w:t>transferred</w:t>
      </w:r>
      <w:r w:rsidR="00C64050">
        <w:rPr>
          <w:szCs w:val="20"/>
        </w:rPr>
        <w:t xml:space="preserve"> </w:t>
      </w:r>
      <w:r w:rsidRPr="00DC41B3">
        <w:rPr>
          <w:szCs w:val="20"/>
        </w:rPr>
        <w:t>was</w:t>
      </w:r>
      <w:r w:rsidR="00C64050">
        <w:rPr>
          <w:szCs w:val="20"/>
        </w:rPr>
        <w:t xml:space="preserve"> </w:t>
      </w:r>
      <w:r w:rsidRPr="00DC41B3">
        <w:rPr>
          <w:szCs w:val="20"/>
        </w:rPr>
        <w:t>subject</w:t>
      </w:r>
      <w:r w:rsidR="00C64050">
        <w:rPr>
          <w:szCs w:val="20"/>
        </w:rPr>
        <w:t xml:space="preserve"> </w:t>
      </w:r>
      <w:r w:rsidRPr="00DC41B3">
        <w:rPr>
          <w:szCs w:val="20"/>
        </w:rPr>
        <w:t>to</w:t>
      </w:r>
      <w:r w:rsidR="00C64050">
        <w:rPr>
          <w:szCs w:val="20"/>
        </w:rPr>
        <w:t xml:space="preserve"> </w:t>
      </w:r>
      <w:r w:rsidRPr="00DC41B3">
        <w:rPr>
          <w:szCs w:val="20"/>
        </w:rPr>
        <w:t>change</w:t>
      </w:r>
      <w:r w:rsidR="00C64050">
        <w:rPr>
          <w:szCs w:val="20"/>
        </w:rPr>
        <w:t xml:space="preserve"> </w:t>
      </w:r>
      <w:r w:rsidRPr="00DC41B3">
        <w:rPr>
          <w:szCs w:val="20"/>
        </w:rPr>
        <w:t>based</w:t>
      </w:r>
      <w:r w:rsidR="00C64050">
        <w:rPr>
          <w:szCs w:val="20"/>
        </w:rPr>
        <w:t xml:space="preserve"> </w:t>
      </w:r>
      <w:r w:rsidRPr="00DC41B3">
        <w:rPr>
          <w:szCs w:val="20"/>
        </w:rPr>
        <w:t>on</w:t>
      </w:r>
      <w:r w:rsidR="00C64050">
        <w:rPr>
          <w:szCs w:val="20"/>
        </w:rPr>
        <w:t xml:space="preserve"> </w:t>
      </w:r>
      <w:r w:rsidRPr="00DC41B3">
        <w:rPr>
          <w:szCs w:val="20"/>
        </w:rPr>
        <w:t>a</w:t>
      </w:r>
      <w:r w:rsidR="00C64050">
        <w:rPr>
          <w:szCs w:val="20"/>
        </w:rPr>
        <w:t xml:space="preserve"> </w:t>
      </w:r>
      <w:r w:rsidRPr="00DC41B3">
        <w:rPr>
          <w:szCs w:val="20"/>
        </w:rPr>
        <w:t>formula</w:t>
      </w:r>
      <w:r w:rsidR="00C64050">
        <w:rPr>
          <w:szCs w:val="20"/>
        </w:rPr>
        <w:t xml:space="preserve"> </w:t>
      </w:r>
      <w:r w:rsidRPr="00DC41B3">
        <w:rPr>
          <w:szCs w:val="20"/>
        </w:rPr>
        <w:t>clause,</w:t>
      </w:r>
      <w:r w:rsidR="00C64050">
        <w:rPr>
          <w:szCs w:val="20"/>
        </w:rPr>
        <w:t xml:space="preserve"> </w:t>
      </w:r>
      <w:r w:rsidRPr="00DC41B3">
        <w:rPr>
          <w:szCs w:val="20"/>
        </w:rPr>
        <w:t>we</w:t>
      </w:r>
      <w:r w:rsidR="00C64050">
        <w:rPr>
          <w:szCs w:val="20"/>
        </w:rPr>
        <w:t xml:space="preserve"> </w:t>
      </w:r>
      <w:r w:rsidRPr="00DC41B3">
        <w:rPr>
          <w:szCs w:val="20"/>
        </w:rPr>
        <w:t>allowed</w:t>
      </w:r>
      <w:r w:rsidR="00C64050">
        <w:rPr>
          <w:szCs w:val="20"/>
        </w:rPr>
        <w:t xml:space="preserve"> </w:t>
      </w:r>
      <w:r w:rsidRPr="00DC41B3">
        <w:rPr>
          <w:szCs w:val="20"/>
        </w:rPr>
        <w:t>a</w:t>
      </w:r>
      <w:r w:rsidR="00C64050">
        <w:rPr>
          <w:szCs w:val="20"/>
        </w:rPr>
        <w:t xml:space="preserve"> </w:t>
      </w:r>
      <w:r w:rsidRPr="00DC41B3">
        <w:rPr>
          <w:szCs w:val="20"/>
        </w:rPr>
        <w:t>charitable</w:t>
      </w:r>
      <w:r w:rsidR="00C64050">
        <w:rPr>
          <w:szCs w:val="20"/>
        </w:rPr>
        <w:t xml:space="preserve"> </w:t>
      </w:r>
      <w:r w:rsidRPr="00DC41B3">
        <w:rPr>
          <w:szCs w:val="20"/>
        </w:rPr>
        <w:t>deduction</w:t>
      </w:r>
      <w:r w:rsidR="00C64050">
        <w:rPr>
          <w:szCs w:val="20"/>
        </w:rPr>
        <w:t xml:space="preserve"> </w:t>
      </w:r>
      <w:r w:rsidRPr="00DC41B3">
        <w:rPr>
          <w:szCs w:val="20"/>
        </w:rPr>
        <w:t>because</w:t>
      </w:r>
      <w:r w:rsidR="00C64050">
        <w:rPr>
          <w:szCs w:val="20"/>
        </w:rPr>
        <w:t xml:space="preserve"> </w:t>
      </w:r>
      <w:r w:rsidRPr="00DC41B3">
        <w:rPr>
          <w:szCs w:val="20"/>
        </w:rPr>
        <w:t>the</w:t>
      </w:r>
      <w:r w:rsidR="00C64050">
        <w:rPr>
          <w:szCs w:val="20"/>
        </w:rPr>
        <w:t xml:space="preserve"> </w:t>
      </w:r>
      <w:r w:rsidRPr="00DC41B3">
        <w:rPr>
          <w:szCs w:val="20"/>
        </w:rPr>
        <w:t>transfer</w:t>
      </w:r>
      <w:r w:rsidR="00C64050">
        <w:rPr>
          <w:szCs w:val="20"/>
        </w:rPr>
        <w:t xml:space="preserve"> </w:t>
      </w:r>
      <w:r w:rsidRPr="00DC41B3">
        <w:rPr>
          <w:szCs w:val="20"/>
        </w:rPr>
        <w:t>itself</w:t>
      </w:r>
      <w:r w:rsidR="00C64050">
        <w:rPr>
          <w:szCs w:val="20"/>
        </w:rPr>
        <w:t xml:space="preserve"> </w:t>
      </w:r>
      <w:r w:rsidRPr="00DC41B3">
        <w:rPr>
          <w:szCs w:val="20"/>
        </w:rPr>
        <w:t>was</w:t>
      </w:r>
      <w:r w:rsidR="00C64050">
        <w:rPr>
          <w:szCs w:val="20"/>
        </w:rPr>
        <w:t xml:space="preserve"> </w:t>
      </w:r>
      <w:r w:rsidRPr="00DC41B3">
        <w:rPr>
          <w:szCs w:val="20"/>
        </w:rPr>
        <w:t>not</w:t>
      </w:r>
      <w:r w:rsidR="00C64050">
        <w:rPr>
          <w:szCs w:val="20"/>
        </w:rPr>
        <w:t xml:space="preserve"> </w:t>
      </w:r>
      <w:r w:rsidRPr="00DC41B3">
        <w:rPr>
          <w:szCs w:val="20"/>
        </w:rPr>
        <w:t>contingent</w:t>
      </w:r>
      <w:r w:rsidR="00C64050">
        <w:rPr>
          <w:szCs w:val="20"/>
        </w:rPr>
        <w:t xml:space="preserve"> </w:t>
      </w:r>
      <w:r w:rsidRPr="00DC41B3">
        <w:rPr>
          <w:szCs w:val="20"/>
        </w:rPr>
        <w:t>on</w:t>
      </w:r>
      <w:r w:rsidR="00C64050">
        <w:rPr>
          <w:szCs w:val="20"/>
        </w:rPr>
        <w:t xml:space="preserve"> </w:t>
      </w:r>
      <w:r w:rsidRPr="00DC41B3">
        <w:rPr>
          <w:szCs w:val="20"/>
        </w:rPr>
        <w:t>the</w:t>
      </w:r>
      <w:r w:rsidR="00C64050">
        <w:rPr>
          <w:szCs w:val="20"/>
        </w:rPr>
        <w:t xml:space="preserve"> </w:t>
      </w:r>
      <w:r w:rsidRPr="00DC41B3">
        <w:rPr>
          <w:szCs w:val="20"/>
        </w:rPr>
        <w:t>happening</w:t>
      </w:r>
      <w:r w:rsidR="00C64050">
        <w:rPr>
          <w:szCs w:val="20"/>
        </w:rPr>
        <w:t xml:space="preserve"> </w:t>
      </w:r>
      <w:r w:rsidRPr="00DC41B3">
        <w:rPr>
          <w:szCs w:val="20"/>
        </w:rPr>
        <w:t>of</w:t>
      </w:r>
      <w:r w:rsidR="00C64050">
        <w:rPr>
          <w:szCs w:val="20"/>
        </w:rPr>
        <w:t xml:space="preserve"> </w:t>
      </w:r>
      <w:r w:rsidRPr="00DC41B3">
        <w:rPr>
          <w:szCs w:val="20"/>
        </w:rPr>
        <w:t>some</w:t>
      </w:r>
      <w:r w:rsidR="00C64050">
        <w:rPr>
          <w:szCs w:val="20"/>
        </w:rPr>
        <w:t xml:space="preserve"> </w:t>
      </w:r>
      <w:r w:rsidRPr="00DC41B3">
        <w:rPr>
          <w:szCs w:val="20"/>
        </w:rPr>
        <w:t>event.</w:t>
      </w:r>
    </w:p>
    <w:p w:rsidR="00DC41B3" w:rsidRPr="00D95FB4" w:rsidRDefault="00DC41B3" w:rsidP="00DC41B3">
      <w:pPr>
        <w:pStyle w:val="QS10"/>
        <w:rPr>
          <w:szCs w:val="20"/>
        </w:rPr>
      </w:pPr>
      <w:r w:rsidRPr="00D95FB4">
        <w:rPr>
          <w:szCs w:val="20"/>
        </w:rPr>
        <w:t>In</w:t>
      </w:r>
      <w:r w:rsidR="00C64050">
        <w:rPr>
          <w:szCs w:val="20"/>
        </w:rPr>
        <w:t xml:space="preserve"> </w:t>
      </w:r>
      <w:r w:rsidRPr="00D95FB4">
        <w:rPr>
          <w:szCs w:val="20"/>
          <w:u w:val="single"/>
        </w:rPr>
        <w:t>Estate</w:t>
      </w:r>
      <w:r w:rsidR="00C64050">
        <w:rPr>
          <w:szCs w:val="20"/>
          <w:u w:val="single"/>
        </w:rPr>
        <w:t xml:space="preserve"> </w:t>
      </w:r>
      <w:r w:rsidRPr="00D95FB4">
        <w:rPr>
          <w:szCs w:val="20"/>
          <w:u w:val="single"/>
        </w:rPr>
        <w:t>of</w:t>
      </w:r>
      <w:r w:rsidR="00C64050">
        <w:rPr>
          <w:szCs w:val="20"/>
          <w:u w:val="single"/>
        </w:rPr>
        <w:t xml:space="preserve"> </w:t>
      </w:r>
      <w:r w:rsidRPr="00D95FB4">
        <w:rPr>
          <w:szCs w:val="20"/>
          <w:u w:val="single"/>
        </w:rPr>
        <w:t>Petter</w:t>
      </w:r>
      <w:r w:rsidRPr="00D95FB4">
        <w:rPr>
          <w:szCs w:val="20"/>
        </w:rPr>
        <w:t>,</w:t>
      </w:r>
      <w:r w:rsidR="00C64050">
        <w:rPr>
          <w:szCs w:val="20"/>
        </w:rPr>
        <w:t xml:space="preserve"> </w:t>
      </w:r>
      <w:r w:rsidRPr="00D95FB4">
        <w:rPr>
          <w:szCs w:val="20"/>
        </w:rPr>
        <w:t>a</w:t>
      </w:r>
      <w:r w:rsidR="00C64050">
        <w:rPr>
          <w:szCs w:val="20"/>
        </w:rPr>
        <w:t xml:space="preserve"> </w:t>
      </w:r>
      <w:r w:rsidRPr="00D95FB4">
        <w:rPr>
          <w:szCs w:val="20"/>
        </w:rPr>
        <w:t>FLP</w:t>
      </w:r>
      <w:r w:rsidR="00C64050">
        <w:rPr>
          <w:szCs w:val="20"/>
        </w:rPr>
        <w:t xml:space="preserve"> </w:t>
      </w:r>
      <w:r w:rsidRPr="00D95FB4">
        <w:rPr>
          <w:szCs w:val="20"/>
        </w:rPr>
        <w:t>was</w:t>
      </w:r>
      <w:r w:rsidR="00C64050">
        <w:rPr>
          <w:szCs w:val="20"/>
        </w:rPr>
        <w:t xml:space="preserve"> </w:t>
      </w:r>
      <w:r w:rsidRPr="00D95FB4">
        <w:rPr>
          <w:szCs w:val="20"/>
        </w:rPr>
        <w:t>to</w:t>
      </w:r>
      <w:r w:rsidR="00C64050">
        <w:rPr>
          <w:szCs w:val="20"/>
        </w:rPr>
        <w:t xml:space="preserve"> </w:t>
      </w:r>
      <w:r w:rsidRPr="00D95FB4">
        <w:rPr>
          <w:szCs w:val="20"/>
        </w:rPr>
        <w:t>distribute</w:t>
      </w:r>
      <w:r w:rsidR="00C64050">
        <w:rPr>
          <w:szCs w:val="20"/>
        </w:rPr>
        <w:t xml:space="preserve"> </w:t>
      </w:r>
      <w:r w:rsidRPr="00D95FB4">
        <w:rPr>
          <w:szCs w:val="20"/>
        </w:rPr>
        <w:t>LLC</w:t>
      </w:r>
      <w:r w:rsidR="00C64050">
        <w:rPr>
          <w:szCs w:val="20"/>
        </w:rPr>
        <w:t xml:space="preserve"> </w:t>
      </w:r>
      <w:r w:rsidRPr="00D95FB4">
        <w:rPr>
          <w:szCs w:val="20"/>
        </w:rPr>
        <w:t>units</w:t>
      </w:r>
      <w:r w:rsidR="00C64050">
        <w:rPr>
          <w:szCs w:val="20"/>
        </w:rPr>
        <w:t xml:space="preserve"> </w:t>
      </w:r>
      <w:r w:rsidRPr="00D95FB4">
        <w:rPr>
          <w:szCs w:val="20"/>
        </w:rPr>
        <w:t>to</w:t>
      </w:r>
      <w:r w:rsidR="00C64050">
        <w:rPr>
          <w:szCs w:val="20"/>
        </w:rPr>
        <w:t xml:space="preserve"> </w:t>
      </w:r>
      <w:r w:rsidRPr="00D95FB4">
        <w:rPr>
          <w:szCs w:val="20"/>
        </w:rPr>
        <w:t>the</w:t>
      </w:r>
      <w:r w:rsidR="00C64050">
        <w:rPr>
          <w:szCs w:val="20"/>
        </w:rPr>
        <w:t xml:space="preserve"> </w:t>
      </w:r>
      <w:r w:rsidRPr="00D95FB4">
        <w:rPr>
          <w:szCs w:val="20"/>
        </w:rPr>
        <w:t>trusts</w:t>
      </w:r>
      <w:r w:rsidR="00C64050">
        <w:rPr>
          <w:szCs w:val="20"/>
        </w:rPr>
        <w:t xml:space="preserve"> </w:t>
      </w:r>
      <w:r w:rsidRPr="00D95FB4">
        <w:rPr>
          <w:szCs w:val="20"/>
        </w:rPr>
        <w:t>that</w:t>
      </w:r>
      <w:r w:rsidR="00C64050">
        <w:rPr>
          <w:szCs w:val="20"/>
        </w:rPr>
        <w:t xml:space="preserve"> </w:t>
      </w:r>
      <w:r w:rsidRPr="00D95FB4">
        <w:rPr>
          <w:szCs w:val="20"/>
        </w:rPr>
        <w:t>Ms.</w:t>
      </w:r>
      <w:r w:rsidR="00C64050">
        <w:rPr>
          <w:szCs w:val="20"/>
        </w:rPr>
        <w:t xml:space="preserve"> </w:t>
      </w:r>
      <w:r w:rsidRPr="00D95FB4">
        <w:rPr>
          <w:szCs w:val="20"/>
        </w:rPr>
        <w:t>Petter</w:t>
      </w:r>
      <w:r w:rsidR="00C64050">
        <w:rPr>
          <w:szCs w:val="20"/>
        </w:rPr>
        <w:t xml:space="preserve"> </w:t>
      </w:r>
      <w:r w:rsidRPr="00D95FB4">
        <w:rPr>
          <w:szCs w:val="20"/>
        </w:rPr>
        <w:t>had</w:t>
      </w:r>
      <w:r w:rsidR="00C64050">
        <w:rPr>
          <w:szCs w:val="20"/>
        </w:rPr>
        <w:t xml:space="preserve"> </w:t>
      </w:r>
      <w:r w:rsidRPr="00D95FB4">
        <w:rPr>
          <w:szCs w:val="20"/>
        </w:rPr>
        <w:t>set</w:t>
      </w:r>
      <w:r w:rsidR="00C64050">
        <w:rPr>
          <w:szCs w:val="20"/>
        </w:rPr>
        <w:t xml:space="preserve"> </w:t>
      </w:r>
      <w:r w:rsidRPr="00D95FB4">
        <w:rPr>
          <w:szCs w:val="20"/>
        </w:rPr>
        <w:t>up</w:t>
      </w:r>
      <w:r w:rsidR="00C64050">
        <w:rPr>
          <w:szCs w:val="20"/>
        </w:rPr>
        <w:t xml:space="preserve"> </w:t>
      </w:r>
      <w:r w:rsidRPr="00D95FB4">
        <w:rPr>
          <w:szCs w:val="20"/>
        </w:rPr>
        <w:t>for</w:t>
      </w:r>
      <w:r w:rsidR="00C64050">
        <w:rPr>
          <w:szCs w:val="20"/>
        </w:rPr>
        <w:t xml:space="preserve"> </w:t>
      </w:r>
      <w:r w:rsidRPr="00D95FB4">
        <w:rPr>
          <w:szCs w:val="20"/>
        </w:rPr>
        <w:t>each</w:t>
      </w:r>
      <w:r w:rsidR="00C64050">
        <w:rPr>
          <w:szCs w:val="20"/>
        </w:rPr>
        <w:t xml:space="preserve"> </w:t>
      </w:r>
      <w:r w:rsidRPr="00D95FB4">
        <w:rPr>
          <w:szCs w:val="20"/>
        </w:rPr>
        <w:t>of</w:t>
      </w:r>
      <w:r w:rsidR="00C64050">
        <w:rPr>
          <w:szCs w:val="20"/>
        </w:rPr>
        <w:t xml:space="preserve"> </w:t>
      </w:r>
      <w:r w:rsidRPr="00D95FB4">
        <w:rPr>
          <w:szCs w:val="20"/>
        </w:rPr>
        <w:t>her</w:t>
      </w:r>
      <w:r w:rsidR="00C64050">
        <w:rPr>
          <w:szCs w:val="20"/>
        </w:rPr>
        <w:t xml:space="preserve"> </w:t>
      </w:r>
      <w:r w:rsidRPr="00D95FB4">
        <w:rPr>
          <w:szCs w:val="20"/>
        </w:rPr>
        <w:t>children.</w:t>
      </w:r>
      <w:r w:rsidR="00C64050">
        <w:rPr>
          <w:szCs w:val="20"/>
        </w:rPr>
        <w:t xml:space="preserve"> </w:t>
      </w:r>
      <w:r w:rsidRPr="00D95FB4">
        <w:rPr>
          <w:szCs w:val="20"/>
        </w:rPr>
        <w:t>The</w:t>
      </w:r>
      <w:r w:rsidR="00C64050">
        <w:rPr>
          <w:szCs w:val="20"/>
        </w:rPr>
        <w:t xml:space="preserve"> </w:t>
      </w:r>
      <w:r w:rsidRPr="00D95FB4">
        <w:rPr>
          <w:szCs w:val="20"/>
        </w:rPr>
        <w:t>trusts</w:t>
      </w:r>
      <w:r w:rsidR="00C64050">
        <w:rPr>
          <w:szCs w:val="20"/>
        </w:rPr>
        <w:t xml:space="preserve"> </w:t>
      </w:r>
      <w:r w:rsidRPr="00D95FB4">
        <w:rPr>
          <w:szCs w:val="20"/>
        </w:rPr>
        <w:t>were</w:t>
      </w:r>
      <w:r w:rsidR="00C64050">
        <w:rPr>
          <w:szCs w:val="20"/>
        </w:rPr>
        <w:t xml:space="preserve"> </w:t>
      </w:r>
      <w:r w:rsidRPr="00D95FB4">
        <w:rPr>
          <w:szCs w:val="20"/>
        </w:rPr>
        <w:t>to</w:t>
      </w:r>
      <w:r w:rsidR="00C64050">
        <w:rPr>
          <w:szCs w:val="20"/>
        </w:rPr>
        <w:t xml:space="preserve"> </w:t>
      </w:r>
      <w:r w:rsidRPr="00D95FB4">
        <w:rPr>
          <w:szCs w:val="20"/>
        </w:rPr>
        <w:t>receive</w:t>
      </w:r>
      <w:r w:rsidR="00C64050">
        <w:rPr>
          <w:szCs w:val="20"/>
        </w:rPr>
        <w:t xml:space="preserve"> </w:t>
      </w:r>
      <w:r w:rsidRPr="00D95FB4">
        <w:rPr>
          <w:szCs w:val="20"/>
        </w:rPr>
        <w:t>a</w:t>
      </w:r>
      <w:r w:rsidR="00C64050">
        <w:rPr>
          <w:szCs w:val="20"/>
        </w:rPr>
        <w:t xml:space="preserve"> </w:t>
      </w:r>
      <w:r w:rsidRPr="00D95FB4">
        <w:rPr>
          <w:szCs w:val="20"/>
        </w:rPr>
        <w:t>specific</w:t>
      </w:r>
      <w:r w:rsidR="00C64050">
        <w:rPr>
          <w:szCs w:val="20"/>
        </w:rPr>
        <w:t xml:space="preserve"> </w:t>
      </w:r>
      <w:r w:rsidRPr="00D95FB4">
        <w:rPr>
          <w:szCs w:val="20"/>
        </w:rPr>
        <w:t>number</w:t>
      </w:r>
      <w:r w:rsidR="00C64050">
        <w:rPr>
          <w:szCs w:val="20"/>
        </w:rPr>
        <w:t xml:space="preserve"> </w:t>
      </w:r>
      <w:r w:rsidRPr="00D95FB4">
        <w:rPr>
          <w:szCs w:val="20"/>
        </w:rPr>
        <w:t>of</w:t>
      </w:r>
      <w:r w:rsidR="00C64050">
        <w:rPr>
          <w:szCs w:val="20"/>
        </w:rPr>
        <w:t xml:space="preserve"> </w:t>
      </w:r>
      <w:r w:rsidRPr="00D95FB4">
        <w:rPr>
          <w:szCs w:val="20"/>
        </w:rPr>
        <w:t>units</w:t>
      </w:r>
      <w:r w:rsidR="00C64050">
        <w:rPr>
          <w:szCs w:val="20"/>
        </w:rPr>
        <w:t xml:space="preserve"> </w:t>
      </w:r>
      <w:r w:rsidRPr="00D95FB4">
        <w:rPr>
          <w:szCs w:val="20"/>
        </w:rPr>
        <w:t>up</w:t>
      </w:r>
      <w:r w:rsidR="00C64050">
        <w:rPr>
          <w:szCs w:val="20"/>
        </w:rPr>
        <w:t xml:space="preserve"> </w:t>
      </w:r>
      <w:r w:rsidRPr="00D95FB4">
        <w:rPr>
          <w:szCs w:val="20"/>
        </w:rPr>
        <w:t>to</w:t>
      </w:r>
      <w:r w:rsidR="00C64050">
        <w:rPr>
          <w:szCs w:val="20"/>
        </w:rPr>
        <w:t xml:space="preserve"> </w:t>
      </w:r>
      <w:r w:rsidRPr="00D95FB4">
        <w:rPr>
          <w:szCs w:val="20"/>
        </w:rPr>
        <w:t>a</w:t>
      </w:r>
      <w:r w:rsidR="00C64050">
        <w:rPr>
          <w:szCs w:val="20"/>
        </w:rPr>
        <w:t xml:space="preserve"> </w:t>
      </w:r>
      <w:r w:rsidRPr="00D95FB4">
        <w:rPr>
          <w:szCs w:val="20"/>
        </w:rPr>
        <w:t>set</w:t>
      </w:r>
      <w:r w:rsidR="00C64050">
        <w:rPr>
          <w:szCs w:val="20"/>
        </w:rPr>
        <w:t xml:space="preserve"> </w:t>
      </w:r>
      <w:r w:rsidRPr="00D95FB4">
        <w:rPr>
          <w:szCs w:val="20"/>
        </w:rPr>
        <w:t>dollar</w:t>
      </w:r>
      <w:r w:rsidR="00C64050">
        <w:rPr>
          <w:szCs w:val="20"/>
        </w:rPr>
        <w:t xml:space="preserve"> </w:t>
      </w:r>
      <w:r w:rsidRPr="00D95FB4">
        <w:rPr>
          <w:szCs w:val="20"/>
        </w:rPr>
        <w:t>amount,</w:t>
      </w:r>
      <w:r w:rsidR="00C64050">
        <w:rPr>
          <w:szCs w:val="20"/>
        </w:rPr>
        <w:t xml:space="preserve"> </w:t>
      </w:r>
      <w:r w:rsidRPr="00D95FB4">
        <w:rPr>
          <w:szCs w:val="20"/>
        </w:rPr>
        <w:t>with</w:t>
      </w:r>
      <w:r w:rsidR="00C64050">
        <w:rPr>
          <w:szCs w:val="20"/>
        </w:rPr>
        <w:t xml:space="preserve"> </w:t>
      </w:r>
      <w:r w:rsidRPr="00D95FB4">
        <w:rPr>
          <w:szCs w:val="20"/>
        </w:rPr>
        <w:t>any</w:t>
      </w:r>
      <w:r w:rsidR="00C64050">
        <w:rPr>
          <w:szCs w:val="20"/>
        </w:rPr>
        <w:t xml:space="preserve"> </w:t>
      </w:r>
      <w:r w:rsidRPr="00D95FB4">
        <w:rPr>
          <w:szCs w:val="20"/>
        </w:rPr>
        <w:t>units</w:t>
      </w:r>
      <w:r w:rsidR="00C64050">
        <w:rPr>
          <w:szCs w:val="20"/>
        </w:rPr>
        <w:t xml:space="preserve"> </w:t>
      </w:r>
      <w:r w:rsidRPr="00D95FB4">
        <w:rPr>
          <w:szCs w:val="20"/>
        </w:rPr>
        <w:t>over</w:t>
      </w:r>
      <w:r w:rsidR="00C64050">
        <w:rPr>
          <w:szCs w:val="20"/>
        </w:rPr>
        <w:t xml:space="preserve"> </w:t>
      </w:r>
      <w:r w:rsidRPr="00D95FB4">
        <w:rPr>
          <w:szCs w:val="20"/>
        </w:rPr>
        <w:t>that</w:t>
      </w:r>
      <w:r w:rsidR="00C64050">
        <w:rPr>
          <w:szCs w:val="20"/>
        </w:rPr>
        <w:t xml:space="preserve"> </w:t>
      </w:r>
      <w:r w:rsidRPr="00D95FB4">
        <w:rPr>
          <w:szCs w:val="20"/>
        </w:rPr>
        <w:t>set</w:t>
      </w:r>
      <w:r w:rsidR="00C64050">
        <w:rPr>
          <w:szCs w:val="20"/>
        </w:rPr>
        <w:t xml:space="preserve"> </w:t>
      </w:r>
      <w:r w:rsidRPr="00D95FB4">
        <w:rPr>
          <w:szCs w:val="20"/>
        </w:rPr>
        <w:t>value</w:t>
      </w:r>
      <w:r w:rsidR="00C64050">
        <w:rPr>
          <w:szCs w:val="20"/>
        </w:rPr>
        <w:t xml:space="preserve"> </w:t>
      </w:r>
      <w:r w:rsidRPr="00D95FB4">
        <w:rPr>
          <w:szCs w:val="20"/>
        </w:rPr>
        <w:t>going</w:t>
      </w:r>
      <w:r w:rsidR="00C64050">
        <w:rPr>
          <w:szCs w:val="20"/>
        </w:rPr>
        <w:t xml:space="preserve"> </w:t>
      </w:r>
      <w:r w:rsidRPr="00D95FB4">
        <w:rPr>
          <w:szCs w:val="20"/>
        </w:rPr>
        <w:t>to</w:t>
      </w:r>
      <w:r w:rsidR="00C64050">
        <w:rPr>
          <w:szCs w:val="20"/>
        </w:rPr>
        <w:t xml:space="preserve"> </w:t>
      </w:r>
      <w:r w:rsidRPr="00D95FB4">
        <w:rPr>
          <w:szCs w:val="20"/>
        </w:rPr>
        <w:t>charity.</w:t>
      </w:r>
      <w:r w:rsidR="00C64050">
        <w:rPr>
          <w:szCs w:val="20"/>
        </w:rPr>
        <w:t xml:space="preserve"> </w:t>
      </w:r>
      <w:r w:rsidRPr="00D95FB4">
        <w:rPr>
          <w:szCs w:val="20"/>
          <w:u w:val="single"/>
        </w:rPr>
        <w:t>Estate</w:t>
      </w:r>
      <w:r w:rsidR="00C64050">
        <w:rPr>
          <w:szCs w:val="20"/>
          <w:u w:val="single"/>
        </w:rPr>
        <w:t xml:space="preserve"> </w:t>
      </w:r>
      <w:r w:rsidRPr="00D95FB4">
        <w:rPr>
          <w:szCs w:val="20"/>
          <w:u w:val="single"/>
        </w:rPr>
        <w:t>of</w:t>
      </w:r>
      <w:r w:rsidR="00C64050">
        <w:rPr>
          <w:szCs w:val="20"/>
          <w:u w:val="single"/>
        </w:rPr>
        <w:t xml:space="preserve"> </w:t>
      </w:r>
      <w:r w:rsidRPr="00D95FB4">
        <w:rPr>
          <w:szCs w:val="20"/>
          <w:u w:val="single"/>
        </w:rPr>
        <w:t>Petter</w:t>
      </w:r>
      <w:r w:rsidRPr="00D95FB4">
        <w:rPr>
          <w:szCs w:val="20"/>
        </w:rPr>
        <w:t>,</w:t>
      </w:r>
      <w:r w:rsidR="00C64050">
        <w:rPr>
          <w:szCs w:val="20"/>
        </w:rPr>
        <w:t xml:space="preserve"> </w:t>
      </w:r>
      <w:r w:rsidRPr="00D95FB4">
        <w:rPr>
          <w:szCs w:val="20"/>
        </w:rPr>
        <w:t>653</w:t>
      </w:r>
      <w:r w:rsidR="00C64050">
        <w:rPr>
          <w:szCs w:val="20"/>
        </w:rPr>
        <w:t xml:space="preserve"> </w:t>
      </w:r>
      <w:r w:rsidRPr="00D95FB4">
        <w:rPr>
          <w:szCs w:val="20"/>
        </w:rPr>
        <w:t>F.3d</w:t>
      </w:r>
      <w:r w:rsidR="00C64050">
        <w:rPr>
          <w:szCs w:val="20"/>
        </w:rPr>
        <w:t xml:space="preserve"> </w:t>
      </w:r>
      <w:r w:rsidRPr="00D95FB4">
        <w:rPr>
          <w:szCs w:val="20"/>
        </w:rPr>
        <w:t>at</w:t>
      </w:r>
      <w:r w:rsidR="00C64050">
        <w:rPr>
          <w:szCs w:val="20"/>
        </w:rPr>
        <w:t xml:space="preserve"> </w:t>
      </w:r>
      <w:r w:rsidRPr="00D95FB4">
        <w:rPr>
          <w:szCs w:val="20"/>
        </w:rPr>
        <w:t>1020.</w:t>
      </w:r>
      <w:r w:rsidR="00C64050">
        <w:rPr>
          <w:szCs w:val="20"/>
        </w:rPr>
        <w:t xml:space="preserve"> </w:t>
      </w:r>
      <w:r w:rsidRPr="00D95FB4">
        <w:rPr>
          <w:szCs w:val="20"/>
        </w:rPr>
        <w:t>Since</w:t>
      </w:r>
      <w:r w:rsidR="00C64050">
        <w:rPr>
          <w:szCs w:val="20"/>
        </w:rPr>
        <w:t xml:space="preserve"> </w:t>
      </w:r>
      <w:r w:rsidRPr="00D95FB4">
        <w:rPr>
          <w:szCs w:val="20"/>
        </w:rPr>
        <w:t>the</w:t>
      </w:r>
      <w:r w:rsidR="00C64050">
        <w:rPr>
          <w:szCs w:val="20"/>
        </w:rPr>
        <w:t xml:space="preserve"> </w:t>
      </w:r>
      <w:r w:rsidRPr="00D95FB4">
        <w:rPr>
          <w:szCs w:val="20"/>
        </w:rPr>
        <w:t>value</w:t>
      </w:r>
      <w:r w:rsidR="00C64050">
        <w:rPr>
          <w:szCs w:val="20"/>
        </w:rPr>
        <w:t xml:space="preserve"> </w:t>
      </w:r>
      <w:r w:rsidRPr="00D95FB4">
        <w:rPr>
          <w:szCs w:val="20"/>
        </w:rPr>
        <w:t>of</w:t>
      </w:r>
      <w:r w:rsidR="00C64050">
        <w:rPr>
          <w:szCs w:val="20"/>
        </w:rPr>
        <w:t xml:space="preserve"> </w:t>
      </w:r>
      <w:r w:rsidRPr="00D95FB4">
        <w:rPr>
          <w:szCs w:val="20"/>
        </w:rPr>
        <w:t>these</w:t>
      </w:r>
      <w:r w:rsidR="00C64050">
        <w:rPr>
          <w:szCs w:val="20"/>
        </w:rPr>
        <w:t xml:space="preserve"> </w:t>
      </w:r>
      <w:r w:rsidRPr="00D95FB4">
        <w:rPr>
          <w:szCs w:val="20"/>
        </w:rPr>
        <w:t>units</w:t>
      </w:r>
      <w:r w:rsidR="00C64050">
        <w:rPr>
          <w:szCs w:val="20"/>
        </w:rPr>
        <w:t xml:space="preserve"> </w:t>
      </w:r>
      <w:r w:rsidRPr="00D95FB4">
        <w:rPr>
          <w:szCs w:val="20"/>
        </w:rPr>
        <w:t>was</w:t>
      </w:r>
      <w:r w:rsidR="00C64050">
        <w:rPr>
          <w:szCs w:val="20"/>
        </w:rPr>
        <w:t xml:space="preserve"> </w:t>
      </w:r>
      <w:r w:rsidRPr="00D95FB4">
        <w:rPr>
          <w:szCs w:val="20"/>
        </w:rPr>
        <w:t>unknown</w:t>
      </w:r>
      <w:r w:rsidR="00C64050">
        <w:rPr>
          <w:szCs w:val="20"/>
        </w:rPr>
        <w:t xml:space="preserve"> </w:t>
      </w:r>
      <w:r w:rsidRPr="00D95FB4">
        <w:rPr>
          <w:szCs w:val="20"/>
        </w:rPr>
        <w:t>(because</w:t>
      </w:r>
      <w:r w:rsidR="00C64050">
        <w:rPr>
          <w:szCs w:val="20"/>
        </w:rPr>
        <w:t xml:space="preserve"> </w:t>
      </w:r>
      <w:r w:rsidRPr="00D95FB4">
        <w:rPr>
          <w:szCs w:val="20"/>
        </w:rPr>
        <w:t>it</w:t>
      </w:r>
      <w:r w:rsidR="00C64050">
        <w:rPr>
          <w:szCs w:val="20"/>
        </w:rPr>
        <w:t xml:space="preserve"> </w:t>
      </w:r>
      <w:r w:rsidRPr="00D95FB4">
        <w:rPr>
          <w:szCs w:val="20"/>
        </w:rPr>
        <w:t>was</w:t>
      </w:r>
      <w:r w:rsidR="00C64050">
        <w:rPr>
          <w:szCs w:val="20"/>
        </w:rPr>
        <w:t xml:space="preserve"> </w:t>
      </w:r>
      <w:r w:rsidRPr="00D95FB4">
        <w:rPr>
          <w:szCs w:val="20"/>
        </w:rPr>
        <w:t>based</w:t>
      </w:r>
      <w:r w:rsidR="00C64050">
        <w:rPr>
          <w:szCs w:val="20"/>
        </w:rPr>
        <w:t xml:space="preserve"> </w:t>
      </w:r>
      <w:r w:rsidRPr="00D95FB4">
        <w:rPr>
          <w:szCs w:val="20"/>
        </w:rPr>
        <w:t>on</w:t>
      </w:r>
      <w:r w:rsidR="00C64050">
        <w:rPr>
          <w:szCs w:val="20"/>
        </w:rPr>
        <w:t xml:space="preserve"> </w:t>
      </w:r>
      <w:r w:rsidRPr="00D95FB4">
        <w:rPr>
          <w:szCs w:val="20"/>
        </w:rPr>
        <w:t>the</w:t>
      </w:r>
      <w:r w:rsidR="00C64050">
        <w:rPr>
          <w:szCs w:val="20"/>
        </w:rPr>
        <w:t xml:space="preserve"> </w:t>
      </w:r>
      <w:r w:rsidRPr="00D95FB4">
        <w:rPr>
          <w:szCs w:val="20"/>
        </w:rPr>
        <w:t>FMV</w:t>
      </w:r>
      <w:r w:rsidR="00C64050">
        <w:rPr>
          <w:szCs w:val="20"/>
        </w:rPr>
        <w:t xml:space="preserve"> </w:t>
      </w:r>
      <w:r w:rsidRPr="00D95FB4">
        <w:rPr>
          <w:szCs w:val="20"/>
        </w:rPr>
        <w:t>of</w:t>
      </w:r>
      <w:r w:rsidR="00C64050">
        <w:rPr>
          <w:szCs w:val="20"/>
        </w:rPr>
        <w:t xml:space="preserve"> </w:t>
      </w:r>
      <w:r w:rsidRPr="00D95FB4">
        <w:rPr>
          <w:szCs w:val="20"/>
        </w:rPr>
        <w:t>stock</w:t>
      </w:r>
      <w:r w:rsidR="00C64050">
        <w:rPr>
          <w:szCs w:val="20"/>
        </w:rPr>
        <w:t xml:space="preserve"> </w:t>
      </w:r>
      <w:r w:rsidRPr="00D95FB4">
        <w:rPr>
          <w:szCs w:val="20"/>
        </w:rPr>
        <w:t>held</w:t>
      </w:r>
      <w:r w:rsidR="00C64050">
        <w:rPr>
          <w:szCs w:val="20"/>
        </w:rPr>
        <w:t xml:space="preserve"> </w:t>
      </w:r>
      <w:r w:rsidRPr="00D95FB4">
        <w:rPr>
          <w:szCs w:val="20"/>
        </w:rPr>
        <w:t>by</w:t>
      </w:r>
      <w:r w:rsidR="00C64050">
        <w:rPr>
          <w:szCs w:val="20"/>
        </w:rPr>
        <w:t xml:space="preserve"> </w:t>
      </w:r>
      <w:r w:rsidRPr="00D95FB4">
        <w:rPr>
          <w:szCs w:val="20"/>
        </w:rPr>
        <w:t>the</w:t>
      </w:r>
      <w:r w:rsidR="00C64050">
        <w:rPr>
          <w:szCs w:val="20"/>
        </w:rPr>
        <w:t xml:space="preserve"> </w:t>
      </w:r>
      <w:r w:rsidRPr="00D95FB4">
        <w:rPr>
          <w:szCs w:val="20"/>
        </w:rPr>
        <w:t>FLP),</w:t>
      </w:r>
      <w:r w:rsidR="00C64050">
        <w:rPr>
          <w:szCs w:val="20"/>
        </w:rPr>
        <w:t xml:space="preserve"> </w:t>
      </w:r>
      <w:r w:rsidRPr="00D95FB4">
        <w:rPr>
          <w:szCs w:val="20"/>
          <w:u w:val="single"/>
        </w:rPr>
        <w:t>id.</w:t>
      </w:r>
      <w:r w:rsidRPr="00D95FB4">
        <w:rPr>
          <w:szCs w:val="20"/>
        </w:rPr>
        <w:t>,</w:t>
      </w:r>
      <w:r w:rsidR="00C64050">
        <w:rPr>
          <w:szCs w:val="20"/>
        </w:rPr>
        <w:t xml:space="preserve"> </w:t>
      </w:r>
      <w:r w:rsidRPr="00D95FB4">
        <w:rPr>
          <w:szCs w:val="20"/>
        </w:rPr>
        <w:t>if</w:t>
      </w:r>
      <w:r w:rsidR="00C64050">
        <w:rPr>
          <w:szCs w:val="20"/>
        </w:rPr>
        <w:t xml:space="preserve"> </w:t>
      </w:r>
      <w:r w:rsidRPr="00D95FB4">
        <w:rPr>
          <w:szCs w:val="20"/>
        </w:rPr>
        <w:t>a</w:t>
      </w:r>
      <w:r w:rsidR="00C64050">
        <w:rPr>
          <w:szCs w:val="20"/>
        </w:rPr>
        <w:t xml:space="preserve"> </w:t>
      </w:r>
      <w:r w:rsidRPr="00D95FB4">
        <w:rPr>
          <w:szCs w:val="20"/>
        </w:rPr>
        <w:t>subsequent</w:t>
      </w:r>
      <w:r w:rsidR="00C64050">
        <w:rPr>
          <w:szCs w:val="20"/>
        </w:rPr>
        <w:t xml:space="preserve"> </w:t>
      </w:r>
      <w:r w:rsidRPr="00D95FB4">
        <w:rPr>
          <w:szCs w:val="20"/>
        </w:rPr>
        <w:t>audit</w:t>
      </w:r>
      <w:r w:rsidR="00C64050">
        <w:rPr>
          <w:szCs w:val="20"/>
        </w:rPr>
        <w:t xml:space="preserve"> </w:t>
      </w:r>
      <w:r w:rsidRPr="00D95FB4">
        <w:rPr>
          <w:szCs w:val="20"/>
        </w:rPr>
        <w:t>by</w:t>
      </w:r>
      <w:r w:rsidR="00C64050">
        <w:rPr>
          <w:szCs w:val="20"/>
        </w:rPr>
        <w:t xml:space="preserve"> </w:t>
      </w:r>
      <w:r w:rsidRPr="00D95FB4">
        <w:rPr>
          <w:szCs w:val="20"/>
        </w:rPr>
        <w:t>the</w:t>
      </w:r>
      <w:r w:rsidR="00C64050">
        <w:rPr>
          <w:szCs w:val="20"/>
        </w:rPr>
        <w:t xml:space="preserve"> </w:t>
      </w:r>
      <w:r w:rsidRPr="00D95FB4">
        <w:rPr>
          <w:szCs w:val="20"/>
        </w:rPr>
        <w:t>Commissioner</w:t>
      </w:r>
      <w:r w:rsidR="00C64050">
        <w:rPr>
          <w:szCs w:val="20"/>
        </w:rPr>
        <w:t xml:space="preserve"> </w:t>
      </w:r>
      <w:r w:rsidRPr="00D95FB4">
        <w:rPr>
          <w:szCs w:val="20"/>
        </w:rPr>
        <w:t>led</w:t>
      </w:r>
      <w:r w:rsidR="00C64050">
        <w:rPr>
          <w:szCs w:val="20"/>
        </w:rPr>
        <w:t xml:space="preserve"> </w:t>
      </w:r>
      <w:r w:rsidRPr="00D95FB4">
        <w:rPr>
          <w:szCs w:val="20"/>
        </w:rPr>
        <w:t>to</w:t>
      </w:r>
      <w:r w:rsidR="00C64050">
        <w:rPr>
          <w:szCs w:val="20"/>
        </w:rPr>
        <w:t xml:space="preserve"> </w:t>
      </w:r>
      <w:r w:rsidRPr="00D95FB4">
        <w:rPr>
          <w:szCs w:val="20"/>
        </w:rPr>
        <w:t>a</w:t>
      </w:r>
      <w:r w:rsidR="00C64050">
        <w:rPr>
          <w:szCs w:val="20"/>
        </w:rPr>
        <w:t xml:space="preserve"> </w:t>
      </w:r>
      <w:r w:rsidRPr="00D95FB4">
        <w:rPr>
          <w:szCs w:val="20"/>
        </w:rPr>
        <w:t>revaluation</w:t>
      </w:r>
      <w:r w:rsidR="00C64050">
        <w:rPr>
          <w:szCs w:val="20"/>
        </w:rPr>
        <w:t xml:space="preserve"> </w:t>
      </w:r>
      <w:r w:rsidRPr="00D95FB4">
        <w:rPr>
          <w:szCs w:val="20"/>
        </w:rPr>
        <w:t>of</w:t>
      </w:r>
      <w:r w:rsidR="00C64050">
        <w:rPr>
          <w:szCs w:val="20"/>
        </w:rPr>
        <w:t xml:space="preserve"> </w:t>
      </w:r>
      <w:r w:rsidRPr="00D95FB4">
        <w:rPr>
          <w:szCs w:val="20"/>
        </w:rPr>
        <w:t>the</w:t>
      </w:r>
      <w:r w:rsidR="00C64050">
        <w:rPr>
          <w:szCs w:val="20"/>
        </w:rPr>
        <w:t xml:space="preserve"> </w:t>
      </w:r>
      <w:r w:rsidRPr="00D95FB4">
        <w:rPr>
          <w:szCs w:val="20"/>
        </w:rPr>
        <w:t>units</w:t>
      </w:r>
      <w:r w:rsidR="00C64050">
        <w:rPr>
          <w:szCs w:val="20"/>
        </w:rPr>
        <w:t xml:space="preserve"> </w:t>
      </w:r>
      <w:r w:rsidRPr="00D95FB4">
        <w:rPr>
          <w:szCs w:val="20"/>
        </w:rPr>
        <w:t>then</w:t>
      </w:r>
      <w:r w:rsidR="00C64050">
        <w:rPr>
          <w:szCs w:val="20"/>
        </w:rPr>
        <w:t xml:space="preserve"> </w:t>
      </w:r>
      <w:r w:rsidRPr="00D95FB4">
        <w:rPr>
          <w:szCs w:val="20"/>
        </w:rPr>
        <w:t>some</w:t>
      </w:r>
      <w:r w:rsidR="00C64050">
        <w:rPr>
          <w:szCs w:val="20"/>
        </w:rPr>
        <w:t xml:space="preserve"> </w:t>
      </w:r>
      <w:r w:rsidRPr="00D95FB4">
        <w:rPr>
          <w:szCs w:val="20"/>
        </w:rPr>
        <w:t>of</w:t>
      </w:r>
      <w:r w:rsidR="00C64050">
        <w:rPr>
          <w:szCs w:val="20"/>
        </w:rPr>
        <w:t xml:space="preserve"> </w:t>
      </w:r>
      <w:r w:rsidRPr="00D95FB4">
        <w:rPr>
          <w:szCs w:val="20"/>
        </w:rPr>
        <w:t>those</w:t>
      </w:r>
      <w:r w:rsidR="00C64050">
        <w:rPr>
          <w:szCs w:val="20"/>
        </w:rPr>
        <w:t xml:space="preserve"> </w:t>
      </w:r>
      <w:r w:rsidRPr="00D95FB4">
        <w:rPr>
          <w:szCs w:val="20"/>
        </w:rPr>
        <w:t>units</w:t>
      </w:r>
      <w:r w:rsidR="00C64050">
        <w:rPr>
          <w:szCs w:val="20"/>
        </w:rPr>
        <w:t xml:space="preserve"> </w:t>
      </w:r>
      <w:r w:rsidRPr="00D95FB4">
        <w:rPr>
          <w:szCs w:val="20"/>
        </w:rPr>
        <w:t>that</w:t>
      </w:r>
      <w:r w:rsidR="00C64050">
        <w:rPr>
          <w:szCs w:val="20"/>
        </w:rPr>
        <w:t xml:space="preserve"> </w:t>
      </w:r>
      <w:r w:rsidRPr="00D95FB4">
        <w:rPr>
          <w:szCs w:val="20"/>
        </w:rPr>
        <w:t>had</w:t>
      </w:r>
      <w:r w:rsidR="00C64050">
        <w:rPr>
          <w:szCs w:val="20"/>
        </w:rPr>
        <w:t xml:space="preserve"> </w:t>
      </w:r>
      <w:r w:rsidRPr="00D95FB4">
        <w:rPr>
          <w:szCs w:val="20"/>
        </w:rPr>
        <w:t>already</w:t>
      </w:r>
      <w:r w:rsidR="00C64050">
        <w:rPr>
          <w:szCs w:val="20"/>
        </w:rPr>
        <w:t xml:space="preserve"> </w:t>
      </w:r>
      <w:r w:rsidRPr="00D95FB4">
        <w:rPr>
          <w:szCs w:val="20"/>
        </w:rPr>
        <w:t>been</w:t>
      </w:r>
      <w:r w:rsidR="00C64050">
        <w:rPr>
          <w:szCs w:val="20"/>
        </w:rPr>
        <w:t xml:space="preserve"> </w:t>
      </w:r>
      <w:r w:rsidRPr="00D95FB4">
        <w:rPr>
          <w:szCs w:val="20"/>
        </w:rPr>
        <w:t>transferred</w:t>
      </w:r>
      <w:r w:rsidR="00C64050">
        <w:rPr>
          <w:szCs w:val="20"/>
        </w:rPr>
        <w:t xml:space="preserve"> </w:t>
      </w:r>
      <w:r w:rsidRPr="00D95FB4">
        <w:rPr>
          <w:szCs w:val="20"/>
        </w:rPr>
        <w:t>to</w:t>
      </w:r>
      <w:r w:rsidR="00C64050">
        <w:rPr>
          <w:szCs w:val="20"/>
        </w:rPr>
        <w:t xml:space="preserve"> </w:t>
      </w:r>
      <w:r w:rsidRPr="00D95FB4">
        <w:rPr>
          <w:szCs w:val="20"/>
        </w:rPr>
        <w:t>trusts</w:t>
      </w:r>
      <w:r w:rsidR="00C64050">
        <w:rPr>
          <w:szCs w:val="20"/>
        </w:rPr>
        <w:t xml:space="preserve"> </w:t>
      </w:r>
      <w:r w:rsidRPr="00D95FB4">
        <w:rPr>
          <w:szCs w:val="20"/>
        </w:rPr>
        <w:t>had</w:t>
      </w:r>
      <w:r w:rsidR="00C64050">
        <w:rPr>
          <w:szCs w:val="20"/>
        </w:rPr>
        <w:t xml:space="preserve"> </w:t>
      </w:r>
      <w:r w:rsidRPr="00D95FB4">
        <w:rPr>
          <w:szCs w:val="20"/>
        </w:rPr>
        <w:t>to</w:t>
      </w:r>
      <w:r w:rsidR="00C64050">
        <w:rPr>
          <w:szCs w:val="20"/>
        </w:rPr>
        <w:t xml:space="preserve"> </w:t>
      </w:r>
      <w:r w:rsidRPr="00D95FB4">
        <w:rPr>
          <w:szCs w:val="20"/>
        </w:rPr>
        <w:t>be</w:t>
      </w:r>
      <w:r w:rsidR="00C64050">
        <w:rPr>
          <w:szCs w:val="20"/>
        </w:rPr>
        <w:t xml:space="preserve"> </w:t>
      </w:r>
      <w:r w:rsidRPr="00D95FB4">
        <w:rPr>
          <w:szCs w:val="20"/>
        </w:rPr>
        <w:t>retransferred</w:t>
      </w:r>
      <w:r w:rsidR="00C64050">
        <w:rPr>
          <w:szCs w:val="20"/>
        </w:rPr>
        <w:t xml:space="preserve"> </w:t>
      </w:r>
      <w:r w:rsidRPr="00D95FB4">
        <w:rPr>
          <w:szCs w:val="20"/>
        </w:rPr>
        <w:t>to</w:t>
      </w:r>
      <w:r w:rsidR="00C64050">
        <w:rPr>
          <w:szCs w:val="20"/>
        </w:rPr>
        <w:t xml:space="preserve"> </w:t>
      </w:r>
      <w:r w:rsidRPr="00D95FB4">
        <w:rPr>
          <w:szCs w:val="20"/>
        </w:rPr>
        <w:t>the</w:t>
      </w:r>
      <w:r w:rsidR="00C64050">
        <w:rPr>
          <w:szCs w:val="20"/>
        </w:rPr>
        <w:t xml:space="preserve"> </w:t>
      </w:r>
      <w:r w:rsidRPr="00D95FB4">
        <w:rPr>
          <w:szCs w:val="20"/>
        </w:rPr>
        <w:t>charitable</w:t>
      </w:r>
      <w:r w:rsidR="00C64050">
        <w:rPr>
          <w:szCs w:val="20"/>
        </w:rPr>
        <w:t xml:space="preserve"> </w:t>
      </w:r>
      <w:r w:rsidRPr="00D95FB4">
        <w:rPr>
          <w:szCs w:val="20"/>
        </w:rPr>
        <w:t>donee</w:t>
      </w:r>
      <w:r w:rsidR="00C64050">
        <w:rPr>
          <w:szCs w:val="20"/>
        </w:rPr>
        <w:t xml:space="preserve"> </w:t>
      </w:r>
      <w:r w:rsidRPr="00D95FB4">
        <w:rPr>
          <w:szCs w:val="20"/>
        </w:rPr>
        <w:t>in</w:t>
      </w:r>
      <w:r w:rsidR="00C64050">
        <w:rPr>
          <w:szCs w:val="20"/>
        </w:rPr>
        <w:t xml:space="preserve"> </w:t>
      </w:r>
      <w:r w:rsidRPr="00D95FB4">
        <w:rPr>
          <w:szCs w:val="20"/>
        </w:rPr>
        <w:t>accordance</w:t>
      </w:r>
      <w:r w:rsidR="00C64050">
        <w:rPr>
          <w:szCs w:val="20"/>
        </w:rPr>
        <w:t xml:space="preserve"> </w:t>
      </w:r>
      <w:r w:rsidRPr="00D95FB4">
        <w:rPr>
          <w:szCs w:val="20"/>
        </w:rPr>
        <w:t>with</w:t>
      </w:r>
      <w:r w:rsidR="00C64050">
        <w:rPr>
          <w:szCs w:val="20"/>
        </w:rPr>
        <w:t xml:space="preserve"> </w:t>
      </w:r>
      <w:r w:rsidRPr="00D95FB4">
        <w:rPr>
          <w:szCs w:val="20"/>
        </w:rPr>
        <w:t>the</w:t>
      </w:r>
      <w:r w:rsidR="00C64050">
        <w:rPr>
          <w:szCs w:val="20"/>
        </w:rPr>
        <w:t xml:space="preserve"> </w:t>
      </w:r>
      <w:r w:rsidRPr="00D95FB4">
        <w:rPr>
          <w:szCs w:val="20"/>
        </w:rPr>
        <w:t>trust</w:t>
      </w:r>
      <w:r w:rsidR="00C64050">
        <w:rPr>
          <w:szCs w:val="20"/>
        </w:rPr>
        <w:t xml:space="preserve"> </w:t>
      </w:r>
      <w:r w:rsidRPr="00D95FB4">
        <w:rPr>
          <w:szCs w:val="20"/>
        </w:rPr>
        <w:t>provisions,</w:t>
      </w:r>
      <w:r w:rsidR="00C64050">
        <w:rPr>
          <w:szCs w:val="20"/>
        </w:rPr>
        <w:t xml:space="preserve"> </w:t>
      </w:r>
      <w:hyperlink r:id="rId330" w:anchor="co_pp_sp_506_1019" w:history="1">
        <w:r w:rsidRPr="00D95FB4">
          <w:rPr>
            <w:szCs w:val="20"/>
            <w:u w:val="single"/>
          </w:rPr>
          <w:t>id.</w:t>
        </w:r>
        <w:r w:rsidR="00C64050">
          <w:rPr>
            <w:rStyle w:val="Hyperlink"/>
            <w:color w:val="auto"/>
            <w:szCs w:val="20"/>
          </w:rPr>
          <w:t xml:space="preserve"> </w:t>
        </w:r>
        <w:r w:rsidRPr="00D95FB4">
          <w:rPr>
            <w:rStyle w:val="Hyperlink"/>
            <w:color w:val="auto"/>
            <w:szCs w:val="20"/>
          </w:rPr>
          <w:t>at</w:t>
        </w:r>
        <w:r w:rsidR="00C64050">
          <w:rPr>
            <w:rStyle w:val="Hyperlink"/>
            <w:color w:val="auto"/>
            <w:szCs w:val="20"/>
          </w:rPr>
          <w:t xml:space="preserve"> </w:t>
        </w:r>
        <w:r w:rsidRPr="00D95FB4">
          <w:rPr>
            <w:rStyle w:val="Hyperlink"/>
            <w:color w:val="auto"/>
            <w:szCs w:val="20"/>
          </w:rPr>
          <w:t>1019</w:t>
        </w:r>
      </w:hyperlink>
      <w:r w:rsidRPr="00D95FB4">
        <w:rPr>
          <w:szCs w:val="20"/>
        </w:rPr>
        <w:t>.</w:t>
      </w:r>
      <w:r w:rsidR="00C64050">
        <w:rPr>
          <w:szCs w:val="20"/>
        </w:rPr>
        <w:t xml:space="preserve"> </w:t>
      </w:r>
      <w:r w:rsidRPr="00D95FB4">
        <w:rPr>
          <w:szCs w:val="20"/>
        </w:rPr>
        <w:t>As</w:t>
      </w:r>
      <w:r w:rsidR="00C64050">
        <w:rPr>
          <w:szCs w:val="20"/>
        </w:rPr>
        <w:t xml:space="preserve"> </w:t>
      </w:r>
      <w:r w:rsidRPr="00D95FB4">
        <w:rPr>
          <w:szCs w:val="20"/>
        </w:rPr>
        <w:t>in</w:t>
      </w:r>
      <w:r w:rsidR="00C64050">
        <w:rPr>
          <w:szCs w:val="20"/>
        </w:rPr>
        <w:t xml:space="preserve"> </w:t>
      </w:r>
      <w:r w:rsidRPr="00D95FB4">
        <w:rPr>
          <w:szCs w:val="20"/>
          <w:u w:val="single"/>
        </w:rPr>
        <w:t>Estate</w:t>
      </w:r>
      <w:r w:rsidR="00C64050">
        <w:rPr>
          <w:szCs w:val="20"/>
          <w:u w:val="single"/>
        </w:rPr>
        <w:t xml:space="preserve"> </w:t>
      </w:r>
      <w:r w:rsidRPr="00D95FB4">
        <w:rPr>
          <w:szCs w:val="20"/>
          <w:u w:val="single"/>
        </w:rPr>
        <w:t>of</w:t>
      </w:r>
      <w:r w:rsidR="00C64050">
        <w:rPr>
          <w:szCs w:val="20"/>
          <w:u w:val="single"/>
        </w:rPr>
        <w:t xml:space="preserve"> </w:t>
      </w:r>
      <w:r w:rsidRPr="00D95FB4">
        <w:rPr>
          <w:szCs w:val="20"/>
          <w:u w:val="single"/>
        </w:rPr>
        <w:t>Christiansen</w:t>
      </w:r>
      <w:r w:rsidRPr="00D95FB4">
        <w:rPr>
          <w:szCs w:val="20"/>
        </w:rPr>
        <w:t>,</w:t>
      </w:r>
      <w:r w:rsidR="00C64050">
        <w:rPr>
          <w:szCs w:val="20"/>
        </w:rPr>
        <w:t xml:space="preserve"> </w:t>
      </w:r>
      <w:r w:rsidRPr="00D95FB4">
        <w:rPr>
          <w:szCs w:val="20"/>
        </w:rPr>
        <w:t>value</w:t>
      </w:r>
      <w:r w:rsidR="00C64050">
        <w:rPr>
          <w:szCs w:val="20"/>
        </w:rPr>
        <w:t xml:space="preserve"> </w:t>
      </w:r>
      <w:r w:rsidRPr="00D95FB4">
        <w:rPr>
          <w:szCs w:val="20"/>
        </w:rPr>
        <w:t>was</w:t>
      </w:r>
      <w:r w:rsidR="00C64050">
        <w:rPr>
          <w:szCs w:val="20"/>
        </w:rPr>
        <w:t xml:space="preserve"> </w:t>
      </w:r>
      <w:r w:rsidRPr="00D95FB4">
        <w:rPr>
          <w:szCs w:val="20"/>
        </w:rPr>
        <w:t>at</w:t>
      </w:r>
      <w:r w:rsidR="00C64050">
        <w:rPr>
          <w:szCs w:val="20"/>
        </w:rPr>
        <w:t xml:space="preserve"> </w:t>
      </w:r>
      <w:r w:rsidRPr="00D95FB4">
        <w:rPr>
          <w:szCs w:val="20"/>
        </w:rPr>
        <w:t>issue,</w:t>
      </w:r>
      <w:r w:rsidR="00C64050">
        <w:rPr>
          <w:szCs w:val="20"/>
        </w:rPr>
        <w:t xml:space="preserve"> </w:t>
      </w:r>
      <w:r w:rsidRPr="00D95FB4">
        <w:rPr>
          <w:szCs w:val="20"/>
        </w:rPr>
        <w:t>but</w:t>
      </w:r>
      <w:r w:rsidR="00C64050">
        <w:rPr>
          <w:szCs w:val="20"/>
        </w:rPr>
        <w:t xml:space="preserve"> </w:t>
      </w:r>
      <w:r w:rsidRPr="00D95FB4">
        <w:rPr>
          <w:szCs w:val="20"/>
        </w:rPr>
        <w:t>not</w:t>
      </w:r>
      <w:r w:rsidR="00C64050">
        <w:rPr>
          <w:szCs w:val="20"/>
        </w:rPr>
        <w:t xml:space="preserve"> </w:t>
      </w:r>
      <w:r w:rsidRPr="00D95FB4">
        <w:rPr>
          <w:szCs w:val="20"/>
        </w:rPr>
        <w:t>whether</w:t>
      </w:r>
      <w:r w:rsidR="00C64050">
        <w:rPr>
          <w:szCs w:val="20"/>
        </w:rPr>
        <w:t xml:space="preserve"> </w:t>
      </w:r>
      <w:r w:rsidRPr="00D95FB4">
        <w:rPr>
          <w:szCs w:val="20"/>
        </w:rPr>
        <w:t>there</w:t>
      </w:r>
      <w:r w:rsidR="00C64050">
        <w:rPr>
          <w:szCs w:val="20"/>
        </w:rPr>
        <w:t xml:space="preserve"> </w:t>
      </w:r>
      <w:r w:rsidRPr="00D95FB4">
        <w:rPr>
          <w:szCs w:val="20"/>
        </w:rPr>
        <w:t>would</w:t>
      </w:r>
      <w:r w:rsidR="00C64050">
        <w:rPr>
          <w:szCs w:val="20"/>
        </w:rPr>
        <w:t xml:space="preserve"> </w:t>
      </w:r>
      <w:r w:rsidRPr="00D95FB4">
        <w:rPr>
          <w:szCs w:val="20"/>
        </w:rPr>
        <w:t>be</w:t>
      </w:r>
      <w:r w:rsidR="00C64050">
        <w:rPr>
          <w:szCs w:val="20"/>
        </w:rPr>
        <w:t xml:space="preserve"> </w:t>
      </w:r>
      <w:r w:rsidRPr="00D95FB4">
        <w:rPr>
          <w:szCs w:val="20"/>
        </w:rPr>
        <w:t>a</w:t>
      </w:r>
      <w:r w:rsidR="00C64050">
        <w:rPr>
          <w:szCs w:val="20"/>
        </w:rPr>
        <w:t xml:space="preserve"> </w:t>
      </w:r>
      <w:r w:rsidRPr="00D95FB4">
        <w:rPr>
          <w:szCs w:val="20"/>
        </w:rPr>
        <w:t>transfer</w:t>
      </w:r>
      <w:r w:rsidR="00C64050">
        <w:rPr>
          <w:szCs w:val="20"/>
        </w:rPr>
        <w:t xml:space="preserve"> </w:t>
      </w:r>
      <w:r w:rsidRPr="00D95FB4">
        <w:rPr>
          <w:szCs w:val="20"/>
        </w:rPr>
        <w:t>to</w:t>
      </w:r>
      <w:r w:rsidR="00C64050">
        <w:rPr>
          <w:szCs w:val="20"/>
        </w:rPr>
        <w:t xml:space="preserve"> </w:t>
      </w:r>
      <w:r w:rsidRPr="00D95FB4">
        <w:rPr>
          <w:szCs w:val="20"/>
        </w:rPr>
        <w:t>the</w:t>
      </w:r>
      <w:r w:rsidR="00C64050">
        <w:rPr>
          <w:szCs w:val="20"/>
        </w:rPr>
        <w:t xml:space="preserve"> </w:t>
      </w:r>
      <w:r w:rsidRPr="00D95FB4">
        <w:rPr>
          <w:szCs w:val="20"/>
        </w:rPr>
        <w:t>donee</w:t>
      </w:r>
      <w:r w:rsidR="00C64050">
        <w:rPr>
          <w:szCs w:val="20"/>
        </w:rPr>
        <w:t xml:space="preserve"> </w:t>
      </w:r>
      <w:r w:rsidRPr="00D95FB4">
        <w:rPr>
          <w:szCs w:val="20"/>
        </w:rPr>
        <w:t>at</w:t>
      </w:r>
      <w:r w:rsidR="00C64050">
        <w:rPr>
          <w:szCs w:val="20"/>
        </w:rPr>
        <w:t xml:space="preserve"> </w:t>
      </w:r>
      <w:r w:rsidRPr="00D95FB4">
        <w:rPr>
          <w:szCs w:val="20"/>
        </w:rPr>
        <w:t>all.</w:t>
      </w:r>
      <w:r w:rsidR="00C64050">
        <w:rPr>
          <w:szCs w:val="20"/>
        </w:rPr>
        <w:t xml:space="preserve"> </w:t>
      </w:r>
      <w:r w:rsidRPr="00D95FB4">
        <w:rPr>
          <w:szCs w:val="20"/>
          <w:u w:val="single"/>
        </w:rPr>
        <w:t>Estate</w:t>
      </w:r>
      <w:r w:rsidR="00C64050">
        <w:rPr>
          <w:szCs w:val="20"/>
          <w:u w:val="single"/>
        </w:rPr>
        <w:t xml:space="preserve"> </w:t>
      </w:r>
      <w:r w:rsidRPr="00D95FB4">
        <w:rPr>
          <w:szCs w:val="20"/>
          <w:u w:val="single"/>
        </w:rPr>
        <w:t>of</w:t>
      </w:r>
      <w:r w:rsidR="00C64050">
        <w:rPr>
          <w:szCs w:val="20"/>
          <w:u w:val="single"/>
        </w:rPr>
        <w:t xml:space="preserve"> </w:t>
      </w:r>
      <w:r w:rsidRPr="00D95FB4">
        <w:rPr>
          <w:szCs w:val="20"/>
          <w:u w:val="single"/>
        </w:rPr>
        <w:t>Petter</w:t>
      </w:r>
      <w:r w:rsidRPr="00D95FB4">
        <w:rPr>
          <w:szCs w:val="20"/>
        </w:rPr>
        <w:t>,</w:t>
      </w:r>
      <w:r w:rsidR="00C64050">
        <w:rPr>
          <w:szCs w:val="20"/>
        </w:rPr>
        <w:t xml:space="preserve"> </w:t>
      </w:r>
      <w:r w:rsidRPr="00D95FB4">
        <w:rPr>
          <w:szCs w:val="20"/>
        </w:rPr>
        <w:t>653</w:t>
      </w:r>
      <w:r w:rsidR="00C64050">
        <w:rPr>
          <w:szCs w:val="20"/>
        </w:rPr>
        <w:t xml:space="preserve"> </w:t>
      </w:r>
      <w:r w:rsidRPr="00D95FB4">
        <w:rPr>
          <w:szCs w:val="20"/>
        </w:rPr>
        <w:t>F.3d</w:t>
      </w:r>
      <w:r w:rsidR="00C64050">
        <w:rPr>
          <w:szCs w:val="20"/>
        </w:rPr>
        <w:t xml:space="preserve"> </w:t>
      </w:r>
      <w:r w:rsidRPr="00D95FB4">
        <w:rPr>
          <w:szCs w:val="20"/>
        </w:rPr>
        <w:t>at</w:t>
      </w:r>
      <w:r w:rsidR="00C64050">
        <w:rPr>
          <w:szCs w:val="20"/>
        </w:rPr>
        <w:t xml:space="preserve"> </w:t>
      </w:r>
      <w:r w:rsidRPr="00D95FB4">
        <w:rPr>
          <w:szCs w:val="20"/>
        </w:rPr>
        <w:t>1018.</w:t>
      </w:r>
    </w:p>
    <w:p w:rsidR="00DC41B3" w:rsidRPr="00D95FB4" w:rsidRDefault="00DC41B3" w:rsidP="00DC41B3">
      <w:pPr>
        <w:pStyle w:val="QS10"/>
        <w:rPr>
          <w:szCs w:val="20"/>
        </w:rPr>
      </w:pPr>
      <w:r w:rsidRPr="00D95FB4">
        <w:rPr>
          <w:szCs w:val="20"/>
        </w:rPr>
        <w:t>Article</w:t>
      </w:r>
      <w:r w:rsidR="00C64050">
        <w:rPr>
          <w:szCs w:val="20"/>
        </w:rPr>
        <w:t xml:space="preserve"> </w:t>
      </w:r>
      <w:r w:rsidRPr="00D95FB4">
        <w:rPr>
          <w:szCs w:val="20"/>
        </w:rPr>
        <w:t>5,</w:t>
      </w:r>
      <w:r w:rsidR="00C64050">
        <w:rPr>
          <w:szCs w:val="20"/>
        </w:rPr>
        <w:t xml:space="preserve"> </w:t>
      </w:r>
      <w:r w:rsidRPr="00D95FB4">
        <w:rPr>
          <w:szCs w:val="20"/>
        </w:rPr>
        <w:t>section</w:t>
      </w:r>
      <w:r w:rsidR="00C64050">
        <w:rPr>
          <w:szCs w:val="20"/>
        </w:rPr>
        <w:t xml:space="preserve"> </w:t>
      </w:r>
      <w:r w:rsidRPr="00D95FB4">
        <w:rPr>
          <w:szCs w:val="20"/>
        </w:rPr>
        <w:t>2</w:t>
      </w:r>
      <w:r w:rsidR="00C64050">
        <w:rPr>
          <w:szCs w:val="20"/>
        </w:rPr>
        <w:t xml:space="preserve"> </w:t>
      </w:r>
      <w:r w:rsidRPr="00D95FB4">
        <w:rPr>
          <w:szCs w:val="20"/>
        </w:rPr>
        <w:t>of</w:t>
      </w:r>
      <w:r w:rsidR="00C64050">
        <w:rPr>
          <w:szCs w:val="20"/>
        </w:rPr>
        <w:t xml:space="preserve"> </w:t>
      </w:r>
      <w:r w:rsidRPr="00D95FB4">
        <w:rPr>
          <w:szCs w:val="20"/>
        </w:rPr>
        <w:t>Moore’s</w:t>
      </w:r>
      <w:r w:rsidR="00C64050">
        <w:rPr>
          <w:szCs w:val="20"/>
        </w:rPr>
        <w:t xml:space="preserve"> </w:t>
      </w:r>
      <w:r w:rsidRPr="00D95FB4">
        <w:rPr>
          <w:szCs w:val="20"/>
        </w:rPr>
        <w:t>Irrevocable</w:t>
      </w:r>
      <w:r w:rsidR="00C64050">
        <w:rPr>
          <w:szCs w:val="20"/>
        </w:rPr>
        <w:t xml:space="preserve"> </w:t>
      </w:r>
      <w:r w:rsidRPr="00D95FB4">
        <w:rPr>
          <w:szCs w:val="20"/>
        </w:rPr>
        <w:t>Trust</w:t>
      </w:r>
      <w:r w:rsidR="00C64050">
        <w:rPr>
          <w:szCs w:val="20"/>
        </w:rPr>
        <w:t xml:space="preserve"> </w:t>
      </w:r>
      <w:r w:rsidRPr="00D95FB4">
        <w:rPr>
          <w:szCs w:val="20"/>
        </w:rPr>
        <w:t>does</w:t>
      </w:r>
      <w:r w:rsidR="00C64050">
        <w:rPr>
          <w:szCs w:val="20"/>
        </w:rPr>
        <w:t xml:space="preserve"> </w:t>
      </w:r>
      <w:r w:rsidRPr="00D95FB4">
        <w:rPr>
          <w:szCs w:val="20"/>
        </w:rPr>
        <w:t>not</w:t>
      </w:r>
      <w:r w:rsidR="00C64050">
        <w:rPr>
          <w:szCs w:val="20"/>
        </w:rPr>
        <w:t xml:space="preserve"> </w:t>
      </w:r>
      <w:r w:rsidRPr="00D95FB4">
        <w:rPr>
          <w:szCs w:val="20"/>
        </w:rPr>
        <w:t>say</w:t>
      </w:r>
      <w:r w:rsidR="00C64050">
        <w:rPr>
          <w:szCs w:val="20"/>
        </w:rPr>
        <w:t xml:space="preserve"> </w:t>
      </w:r>
      <w:r w:rsidRPr="00D95FB4">
        <w:rPr>
          <w:szCs w:val="20"/>
        </w:rPr>
        <w:t>that</w:t>
      </w:r>
      <w:r w:rsidR="00C64050">
        <w:rPr>
          <w:szCs w:val="20"/>
        </w:rPr>
        <w:t xml:space="preserve"> </w:t>
      </w:r>
      <w:r w:rsidRPr="00D95FB4">
        <w:rPr>
          <w:szCs w:val="20"/>
        </w:rPr>
        <w:t>the</w:t>
      </w:r>
      <w:r w:rsidR="00C64050">
        <w:rPr>
          <w:szCs w:val="20"/>
        </w:rPr>
        <w:t xml:space="preserve"> </w:t>
      </w:r>
      <w:r w:rsidRPr="00D95FB4">
        <w:rPr>
          <w:szCs w:val="20"/>
        </w:rPr>
        <w:t>Living</w:t>
      </w:r>
      <w:r w:rsidR="00C64050">
        <w:rPr>
          <w:szCs w:val="20"/>
        </w:rPr>
        <w:t xml:space="preserve"> </w:t>
      </w:r>
      <w:r w:rsidRPr="00D95FB4">
        <w:rPr>
          <w:szCs w:val="20"/>
        </w:rPr>
        <w:t>Trust</w:t>
      </w:r>
      <w:r w:rsidR="00C64050">
        <w:rPr>
          <w:szCs w:val="20"/>
        </w:rPr>
        <w:t xml:space="preserve"> </w:t>
      </w:r>
      <w:r w:rsidRPr="00D95FB4">
        <w:rPr>
          <w:szCs w:val="20"/>
        </w:rPr>
        <w:t>will</w:t>
      </w:r>
      <w:r w:rsidR="00C64050">
        <w:rPr>
          <w:szCs w:val="20"/>
        </w:rPr>
        <w:t xml:space="preserve"> </w:t>
      </w:r>
      <w:r w:rsidRPr="00D95FB4">
        <w:rPr>
          <w:szCs w:val="20"/>
        </w:rPr>
        <w:t>receive</w:t>
      </w:r>
      <w:r w:rsidR="00C64050">
        <w:rPr>
          <w:szCs w:val="20"/>
        </w:rPr>
        <w:t xml:space="preserve"> </w:t>
      </w:r>
      <w:r w:rsidRPr="00D95FB4">
        <w:rPr>
          <w:szCs w:val="20"/>
        </w:rPr>
        <w:t>a</w:t>
      </w:r>
      <w:r w:rsidR="00C64050">
        <w:rPr>
          <w:szCs w:val="20"/>
        </w:rPr>
        <w:t xml:space="preserve"> </w:t>
      </w:r>
      <w:r w:rsidRPr="00D95FB4">
        <w:rPr>
          <w:szCs w:val="20"/>
        </w:rPr>
        <w:t>transfer</w:t>
      </w:r>
      <w:r w:rsidR="00C64050">
        <w:rPr>
          <w:szCs w:val="20"/>
        </w:rPr>
        <w:t xml:space="preserve"> </w:t>
      </w:r>
      <w:r w:rsidRPr="00D95FB4">
        <w:rPr>
          <w:szCs w:val="20"/>
        </w:rPr>
        <w:t>of</w:t>
      </w:r>
      <w:r w:rsidR="00C64050">
        <w:rPr>
          <w:szCs w:val="20"/>
        </w:rPr>
        <w:t xml:space="preserve"> </w:t>
      </w:r>
      <w:r w:rsidRPr="00D95FB4">
        <w:rPr>
          <w:szCs w:val="20"/>
        </w:rPr>
        <w:t>assets</w:t>
      </w:r>
      <w:r w:rsidR="00C64050">
        <w:rPr>
          <w:szCs w:val="20"/>
        </w:rPr>
        <w:t xml:space="preserve"> </w:t>
      </w:r>
      <w:r w:rsidRPr="00D95FB4">
        <w:rPr>
          <w:szCs w:val="20"/>
        </w:rPr>
        <w:t>of</w:t>
      </w:r>
      <w:r w:rsidR="00C64050">
        <w:rPr>
          <w:szCs w:val="20"/>
        </w:rPr>
        <w:t xml:space="preserve"> </w:t>
      </w:r>
      <w:r w:rsidRPr="00D95FB4">
        <w:rPr>
          <w:szCs w:val="20"/>
        </w:rPr>
        <w:t>unknown</w:t>
      </w:r>
      <w:r w:rsidR="00C64050">
        <w:rPr>
          <w:szCs w:val="20"/>
        </w:rPr>
        <w:t xml:space="preserve"> </w:t>
      </w:r>
      <w:r w:rsidRPr="00D95FB4">
        <w:rPr>
          <w:szCs w:val="20"/>
        </w:rPr>
        <w:t>value.</w:t>
      </w:r>
      <w:r w:rsidR="00C64050">
        <w:rPr>
          <w:szCs w:val="20"/>
        </w:rPr>
        <w:t xml:space="preserve"> </w:t>
      </w:r>
      <w:r w:rsidRPr="00D95FB4">
        <w:rPr>
          <w:szCs w:val="20"/>
        </w:rPr>
        <w:t>It</w:t>
      </w:r>
      <w:r w:rsidR="00C64050">
        <w:rPr>
          <w:szCs w:val="20"/>
        </w:rPr>
        <w:t xml:space="preserve"> </w:t>
      </w:r>
      <w:r w:rsidRPr="00D95FB4">
        <w:rPr>
          <w:szCs w:val="20"/>
        </w:rPr>
        <w:t>says</w:t>
      </w:r>
      <w:r w:rsidR="00C64050">
        <w:rPr>
          <w:szCs w:val="20"/>
        </w:rPr>
        <w:t xml:space="preserve"> </w:t>
      </w:r>
      <w:r w:rsidRPr="00D95FB4">
        <w:rPr>
          <w:szCs w:val="20"/>
        </w:rPr>
        <w:t>that</w:t>
      </w:r>
      <w:r w:rsidR="00C64050">
        <w:rPr>
          <w:szCs w:val="20"/>
        </w:rPr>
        <w:t xml:space="preserve"> </w:t>
      </w:r>
      <w:r w:rsidRPr="00D95FB4">
        <w:rPr>
          <w:szCs w:val="20"/>
        </w:rPr>
        <w:t>whether</w:t>
      </w:r>
      <w:r w:rsidR="00C64050">
        <w:rPr>
          <w:szCs w:val="20"/>
        </w:rPr>
        <w:t xml:space="preserve"> </w:t>
      </w:r>
      <w:r w:rsidRPr="00D95FB4">
        <w:rPr>
          <w:szCs w:val="20"/>
        </w:rPr>
        <w:t>the</w:t>
      </w:r>
      <w:r w:rsidR="00C64050">
        <w:rPr>
          <w:szCs w:val="20"/>
        </w:rPr>
        <w:t xml:space="preserve"> </w:t>
      </w:r>
      <w:r w:rsidRPr="00D95FB4">
        <w:rPr>
          <w:szCs w:val="20"/>
        </w:rPr>
        <w:t>Living</w:t>
      </w:r>
      <w:r w:rsidR="00C64050">
        <w:rPr>
          <w:szCs w:val="20"/>
        </w:rPr>
        <w:t xml:space="preserve"> </w:t>
      </w:r>
      <w:r w:rsidRPr="00D95FB4">
        <w:rPr>
          <w:szCs w:val="20"/>
        </w:rPr>
        <w:t>Trust</w:t>
      </w:r>
      <w:r w:rsidR="00C64050">
        <w:rPr>
          <w:szCs w:val="20"/>
        </w:rPr>
        <w:t xml:space="preserve"> </w:t>
      </w:r>
      <w:r w:rsidRPr="00D95FB4">
        <w:rPr>
          <w:szCs w:val="20"/>
        </w:rPr>
        <w:t>will</w:t>
      </w:r>
      <w:r w:rsidR="00C64050">
        <w:rPr>
          <w:szCs w:val="20"/>
        </w:rPr>
        <w:t xml:space="preserve"> </w:t>
      </w:r>
      <w:r w:rsidRPr="00D95FB4">
        <w:rPr>
          <w:szCs w:val="20"/>
        </w:rPr>
        <w:t>even</w:t>
      </w:r>
      <w:r w:rsidR="00C64050">
        <w:rPr>
          <w:szCs w:val="20"/>
        </w:rPr>
        <w:t xml:space="preserve"> </w:t>
      </w:r>
      <w:r w:rsidRPr="00D95FB4">
        <w:rPr>
          <w:szCs w:val="20"/>
        </w:rPr>
        <w:t>receive</w:t>
      </w:r>
      <w:r w:rsidR="00C64050">
        <w:rPr>
          <w:szCs w:val="20"/>
        </w:rPr>
        <w:t xml:space="preserve"> </w:t>
      </w:r>
      <w:r w:rsidRPr="00D95FB4">
        <w:rPr>
          <w:szCs w:val="20"/>
        </w:rPr>
        <w:t>a</w:t>
      </w:r>
      <w:r w:rsidR="00C64050">
        <w:rPr>
          <w:szCs w:val="20"/>
        </w:rPr>
        <w:t xml:space="preserve"> </w:t>
      </w:r>
      <w:r w:rsidRPr="00D95FB4">
        <w:rPr>
          <w:szCs w:val="20"/>
        </w:rPr>
        <w:t>transfer</w:t>
      </w:r>
      <w:r w:rsidR="00C64050">
        <w:rPr>
          <w:szCs w:val="20"/>
        </w:rPr>
        <w:t xml:space="preserve"> </w:t>
      </w:r>
      <w:r w:rsidRPr="00D95FB4">
        <w:rPr>
          <w:szCs w:val="20"/>
        </w:rPr>
        <w:t>of</w:t>
      </w:r>
      <w:r w:rsidR="00C64050">
        <w:rPr>
          <w:szCs w:val="20"/>
        </w:rPr>
        <w:t xml:space="preserve"> </w:t>
      </w:r>
      <w:r w:rsidRPr="00D95FB4">
        <w:rPr>
          <w:szCs w:val="20"/>
        </w:rPr>
        <w:t>assets</w:t>
      </w:r>
      <w:r w:rsidR="00C64050">
        <w:rPr>
          <w:szCs w:val="20"/>
        </w:rPr>
        <w:t xml:space="preserve"> </w:t>
      </w:r>
      <w:r w:rsidRPr="00D95FB4">
        <w:rPr>
          <w:szCs w:val="20"/>
        </w:rPr>
        <w:t>is</w:t>
      </w:r>
      <w:r w:rsidR="00C64050">
        <w:rPr>
          <w:szCs w:val="20"/>
        </w:rPr>
        <w:t xml:space="preserve"> </w:t>
      </w:r>
      <w:r w:rsidRPr="00D95FB4">
        <w:rPr>
          <w:szCs w:val="20"/>
        </w:rPr>
        <w:t>unknown-contingent</w:t>
      </w:r>
      <w:r w:rsidR="00C64050">
        <w:rPr>
          <w:szCs w:val="20"/>
        </w:rPr>
        <w:t xml:space="preserve"> </w:t>
      </w:r>
      <w:r w:rsidRPr="00D95FB4">
        <w:rPr>
          <w:szCs w:val="20"/>
        </w:rPr>
        <w:t>on</w:t>
      </w:r>
      <w:r w:rsidR="00C64050">
        <w:rPr>
          <w:szCs w:val="20"/>
        </w:rPr>
        <w:t xml:space="preserve"> </w:t>
      </w:r>
      <w:r w:rsidRPr="00D95FB4">
        <w:rPr>
          <w:szCs w:val="20"/>
        </w:rPr>
        <w:t>an</w:t>
      </w:r>
      <w:r w:rsidR="00C64050">
        <w:rPr>
          <w:szCs w:val="20"/>
        </w:rPr>
        <w:t xml:space="preserve"> </w:t>
      </w:r>
      <w:r w:rsidRPr="00D95FB4">
        <w:rPr>
          <w:szCs w:val="20"/>
        </w:rPr>
        <w:t>examination</w:t>
      </w:r>
      <w:r w:rsidR="00C64050">
        <w:rPr>
          <w:szCs w:val="20"/>
        </w:rPr>
        <w:t xml:space="preserve"> </w:t>
      </w:r>
      <w:r w:rsidRPr="00D95FB4">
        <w:rPr>
          <w:szCs w:val="20"/>
        </w:rPr>
        <w:t>by</w:t>
      </w:r>
      <w:r w:rsidR="00C64050">
        <w:rPr>
          <w:szCs w:val="20"/>
        </w:rPr>
        <w:t xml:space="preserve"> </w:t>
      </w:r>
      <w:r w:rsidRPr="00D95FB4">
        <w:rPr>
          <w:szCs w:val="20"/>
        </w:rPr>
        <w:t>the</w:t>
      </w:r>
      <w:r w:rsidR="00C64050">
        <w:rPr>
          <w:szCs w:val="20"/>
        </w:rPr>
        <w:t xml:space="preserve"> </w:t>
      </w:r>
      <w:r w:rsidRPr="00D95FB4">
        <w:rPr>
          <w:szCs w:val="20"/>
        </w:rPr>
        <w:t>Commissioner.</w:t>
      </w:r>
      <w:r w:rsidR="00C64050">
        <w:rPr>
          <w:szCs w:val="20"/>
        </w:rPr>
        <w:t xml:space="preserve"> </w:t>
      </w:r>
      <w:r w:rsidRPr="00D95FB4">
        <w:rPr>
          <w:szCs w:val="20"/>
        </w:rPr>
        <w:t>This</w:t>
      </w:r>
      <w:r w:rsidR="00C64050">
        <w:rPr>
          <w:szCs w:val="20"/>
        </w:rPr>
        <w:t xml:space="preserve"> </w:t>
      </w:r>
      <w:r w:rsidRPr="00D95FB4">
        <w:rPr>
          <w:szCs w:val="20"/>
        </w:rPr>
        <w:t>is</w:t>
      </w:r>
      <w:r w:rsidR="00C64050">
        <w:rPr>
          <w:szCs w:val="20"/>
        </w:rPr>
        <w:t xml:space="preserve"> </w:t>
      </w:r>
      <w:r w:rsidRPr="00D95FB4">
        <w:rPr>
          <w:szCs w:val="20"/>
        </w:rPr>
        <w:t>unlike</w:t>
      </w:r>
      <w:r w:rsidR="00C64050">
        <w:rPr>
          <w:szCs w:val="20"/>
        </w:rPr>
        <w:t xml:space="preserve"> </w:t>
      </w:r>
      <w:r w:rsidRPr="00D95FB4">
        <w:rPr>
          <w:szCs w:val="20"/>
          <w:u w:val="single"/>
        </w:rPr>
        <w:t>Estate</w:t>
      </w:r>
      <w:r w:rsidR="00C64050">
        <w:rPr>
          <w:szCs w:val="20"/>
          <w:u w:val="single"/>
        </w:rPr>
        <w:t xml:space="preserve"> </w:t>
      </w:r>
      <w:r w:rsidRPr="00D95FB4">
        <w:rPr>
          <w:szCs w:val="20"/>
          <w:u w:val="single"/>
        </w:rPr>
        <w:t>of</w:t>
      </w:r>
      <w:r w:rsidR="00C64050">
        <w:rPr>
          <w:szCs w:val="20"/>
        </w:rPr>
        <w:t xml:space="preserve"> </w:t>
      </w:r>
      <w:r w:rsidRPr="00D95FB4">
        <w:rPr>
          <w:szCs w:val="20"/>
          <w:u w:val="single"/>
        </w:rPr>
        <w:t>Christiansen</w:t>
      </w:r>
      <w:r w:rsidRPr="00D95FB4">
        <w:rPr>
          <w:szCs w:val="20"/>
        </w:rPr>
        <w:t>,</w:t>
      </w:r>
      <w:r w:rsidR="00C64050">
        <w:rPr>
          <w:szCs w:val="20"/>
        </w:rPr>
        <w:t xml:space="preserve"> </w:t>
      </w:r>
      <w:r w:rsidRPr="00D95FB4">
        <w:rPr>
          <w:szCs w:val="20"/>
        </w:rPr>
        <w:t>where</w:t>
      </w:r>
      <w:r w:rsidR="00C64050">
        <w:rPr>
          <w:szCs w:val="20"/>
        </w:rPr>
        <w:t xml:space="preserve"> </w:t>
      </w:r>
      <w:r w:rsidRPr="00D95FB4">
        <w:rPr>
          <w:szCs w:val="20"/>
        </w:rPr>
        <w:t>we</w:t>
      </w:r>
      <w:r w:rsidR="00C64050">
        <w:rPr>
          <w:szCs w:val="20"/>
        </w:rPr>
        <w:t xml:space="preserve"> </w:t>
      </w:r>
      <w:r w:rsidRPr="00D95FB4">
        <w:rPr>
          <w:rStyle w:val="Emphasis"/>
          <w:szCs w:val="20"/>
        </w:rPr>
        <w:t>knew</w:t>
      </w:r>
      <w:r w:rsidR="00C64050">
        <w:rPr>
          <w:szCs w:val="20"/>
        </w:rPr>
        <w:t xml:space="preserve"> </w:t>
      </w:r>
      <w:r w:rsidRPr="00D95FB4">
        <w:rPr>
          <w:szCs w:val="20"/>
        </w:rPr>
        <w:t>the</w:t>
      </w:r>
      <w:r w:rsidR="00C64050">
        <w:rPr>
          <w:szCs w:val="20"/>
        </w:rPr>
        <w:t xml:space="preserve"> </w:t>
      </w:r>
      <w:r w:rsidRPr="00D95FB4">
        <w:rPr>
          <w:szCs w:val="20"/>
        </w:rPr>
        <w:t>charity</w:t>
      </w:r>
      <w:r w:rsidR="00C64050">
        <w:rPr>
          <w:szCs w:val="20"/>
        </w:rPr>
        <w:t xml:space="preserve"> </w:t>
      </w:r>
      <w:r w:rsidRPr="00D95FB4">
        <w:rPr>
          <w:szCs w:val="20"/>
        </w:rPr>
        <w:t>would</w:t>
      </w:r>
      <w:r w:rsidR="00C64050">
        <w:rPr>
          <w:szCs w:val="20"/>
        </w:rPr>
        <w:t xml:space="preserve"> </w:t>
      </w:r>
      <w:r w:rsidRPr="00D95FB4">
        <w:rPr>
          <w:szCs w:val="20"/>
        </w:rPr>
        <w:t>get</w:t>
      </w:r>
      <w:r w:rsidR="00C64050">
        <w:rPr>
          <w:szCs w:val="20"/>
        </w:rPr>
        <w:t xml:space="preserve"> </w:t>
      </w:r>
      <w:r w:rsidRPr="00D95FB4">
        <w:rPr>
          <w:szCs w:val="20"/>
        </w:rPr>
        <w:t>a</w:t>
      </w:r>
      <w:r w:rsidR="00C64050">
        <w:rPr>
          <w:szCs w:val="20"/>
        </w:rPr>
        <w:t xml:space="preserve"> </w:t>
      </w:r>
      <w:r w:rsidRPr="00D95FB4">
        <w:rPr>
          <w:szCs w:val="20"/>
        </w:rPr>
        <w:t>transfer</w:t>
      </w:r>
      <w:r w:rsidR="00C64050">
        <w:rPr>
          <w:szCs w:val="20"/>
        </w:rPr>
        <w:t xml:space="preserve"> </w:t>
      </w:r>
      <w:r w:rsidRPr="00D95FB4">
        <w:rPr>
          <w:szCs w:val="20"/>
        </w:rPr>
        <w:t>of</w:t>
      </w:r>
      <w:r w:rsidR="00C64050">
        <w:rPr>
          <w:szCs w:val="20"/>
        </w:rPr>
        <w:t xml:space="preserve"> </w:t>
      </w:r>
      <w:r w:rsidRPr="00D95FB4">
        <w:rPr>
          <w:szCs w:val="20"/>
        </w:rPr>
        <w:t>assets,</w:t>
      </w:r>
      <w:r w:rsidR="00C64050">
        <w:rPr>
          <w:szCs w:val="20"/>
        </w:rPr>
        <w:t xml:space="preserve"> </w:t>
      </w:r>
      <w:r w:rsidRPr="00D95FB4">
        <w:rPr>
          <w:szCs w:val="20"/>
        </w:rPr>
        <w:t>just</w:t>
      </w:r>
      <w:r w:rsidR="00C64050">
        <w:rPr>
          <w:szCs w:val="20"/>
        </w:rPr>
        <w:t xml:space="preserve"> </w:t>
      </w:r>
      <w:r w:rsidRPr="00D95FB4">
        <w:rPr>
          <w:szCs w:val="20"/>
        </w:rPr>
        <w:t>not</w:t>
      </w:r>
      <w:r w:rsidR="00C64050">
        <w:rPr>
          <w:szCs w:val="20"/>
        </w:rPr>
        <w:t xml:space="preserve"> </w:t>
      </w:r>
      <w:r w:rsidRPr="00D95FB4">
        <w:rPr>
          <w:szCs w:val="20"/>
        </w:rPr>
        <w:t>the</w:t>
      </w:r>
      <w:r w:rsidR="00C64050">
        <w:rPr>
          <w:szCs w:val="20"/>
        </w:rPr>
        <w:t xml:space="preserve"> </w:t>
      </w:r>
      <w:r w:rsidRPr="00D95FB4">
        <w:rPr>
          <w:szCs w:val="20"/>
        </w:rPr>
        <w:t>value,</w:t>
      </w:r>
      <w:r w:rsidR="00C64050">
        <w:rPr>
          <w:szCs w:val="20"/>
        </w:rPr>
        <w:t xml:space="preserve"> </w:t>
      </w:r>
      <w:r w:rsidRPr="00D95FB4">
        <w:rPr>
          <w:szCs w:val="20"/>
        </w:rPr>
        <w:t>or</w:t>
      </w:r>
      <w:r w:rsidR="00C64050">
        <w:rPr>
          <w:szCs w:val="20"/>
        </w:rPr>
        <w:t xml:space="preserve"> </w:t>
      </w:r>
      <w:r w:rsidRPr="00D95FB4">
        <w:rPr>
          <w:szCs w:val="20"/>
          <w:u w:val="single"/>
        </w:rPr>
        <w:t>Estate</w:t>
      </w:r>
      <w:r w:rsidR="00C64050">
        <w:rPr>
          <w:szCs w:val="20"/>
          <w:u w:val="single"/>
        </w:rPr>
        <w:t xml:space="preserve"> </w:t>
      </w:r>
      <w:r w:rsidRPr="00D95FB4">
        <w:rPr>
          <w:szCs w:val="20"/>
          <w:u w:val="single"/>
        </w:rPr>
        <w:t>of</w:t>
      </w:r>
      <w:r w:rsidR="00C64050">
        <w:rPr>
          <w:szCs w:val="20"/>
          <w:u w:val="single"/>
        </w:rPr>
        <w:t xml:space="preserve"> </w:t>
      </w:r>
      <w:r w:rsidRPr="00D95FB4">
        <w:rPr>
          <w:szCs w:val="20"/>
          <w:u w:val="single"/>
        </w:rPr>
        <w:t>Petter</w:t>
      </w:r>
      <w:r w:rsidRPr="00D95FB4">
        <w:rPr>
          <w:szCs w:val="20"/>
        </w:rPr>
        <w:t>,</w:t>
      </w:r>
      <w:r w:rsidR="00C64050">
        <w:rPr>
          <w:szCs w:val="20"/>
        </w:rPr>
        <w:t xml:space="preserve"> </w:t>
      </w:r>
      <w:r w:rsidRPr="00D95FB4">
        <w:rPr>
          <w:szCs w:val="20"/>
        </w:rPr>
        <w:t>where</w:t>
      </w:r>
      <w:r w:rsidR="00C64050">
        <w:rPr>
          <w:szCs w:val="20"/>
        </w:rPr>
        <w:t xml:space="preserve"> </w:t>
      </w:r>
      <w:r w:rsidRPr="00D95FB4">
        <w:rPr>
          <w:szCs w:val="20"/>
        </w:rPr>
        <w:t>we</w:t>
      </w:r>
      <w:r w:rsidR="00C64050">
        <w:rPr>
          <w:szCs w:val="20"/>
        </w:rPr>
        <w:t xml:space="preserve"> </w:t>
      </w:r>
      <w:r w:rsidRPr="00D95FB4">
        <w:rPr>
          <w:rStyle w:val="Emphasis"/>
          <w:szCs w:val="20"/>
        </w:rPr>
        <w:t>knew</w:t>
      </w:r>
      <w:r w:rsidR="00C64050">
        <w:rPr>
          <w:szCs w:val="20"/>
        </w:rPr>
        <w:t xml:space="preserve"> </w:t>
      </w:r>
      <w:r w:rsidRPr="00D95FB4">
        <w:rPr>
          <w:szCs w:val="20"/>
        </w:rPr>
        <w:t>the</w:t>
      </w:r>
      <w:r w:rsidR="00C64050">
        <w:rPr>
          <w:szCs w:val="20"/>
        </w:rPr>
        <w:t xml:space="preserve"> </w:t>
      </w:r>
      <w:r w:rsidRPr="00D95FB4">
        <w:rPr>
          <w:szCs w:val="20"/>
        </w:rPr>
        <w:t>charity</w:t>
      </w:r>
      <w:r w:rsidR="00C64050">
        <w:rPr>
          <w:szCs w:val="20"/>
        </w:rPr>
        <w:t xml:space="preserve"> </w:t>
      </w:r>
      <w:r w:rsidRPr="00D95FB4">
        <w:rPr>
          <w:szCs w:val="20"/>
        </w:rPr>
        <w:t>would</w:t>
      </w:r>
      <w:r w:rsidR="00C64050">
        <w:rPr>
          <w:szCs w:val="20"/>
        </w:rPr>
        <w:t xml:space="preserve"> </w:t>
      </w:r>
      <w:r w:rsidRPr="00D95FB4">
        <w:rPr>
          <w:szCs w:val="20"/>
        </w:rPr>
        <w:t>get</w:t>
      </w:r>
      <w:r w:rsidR="00C64050">
        <w:rPr>
          <w:szCs w:val="20"/>
        </w:rPr>
        <w:t xml:space="preserve"> </w:t>
      </w:r>
      <w:r w:rsidRPr="00D95FB4">
        <w:rPr>
          <w:szCs w:val="20"/>
        </w:rPr>
        <w:t>some</w:t>
      </w:r>
      <w:r w:rsidR="00C64050">
        <w:rPr>
          <w:szCs w:val="20"/>
        </w:rPr>
        <w:t xml:space="preserve"> </w:t>
      </w:r>
      <w:r w:rsidRPr="00D95FB4">
        <w:rPr>
          <w:szCs w:val="20"/>
        </w:rPr>
        <w:t>transfer</w:t>
      </w:r>
      <w:r w:rsidR="00C64050">
        <w:rPr>
          <w:szCs w:val="20"/>
        </w:rPr>
        <w:t xml:space="preserve"> </w:t>
      </w:r>
      <w:r w:rsidRPr="00D95FB4">
        <w:rPr>
          <w:szCs w:val="20"/>
        </w:rPr>
        <w:t>of</w:t>
      </w:r>
      <w:r w:rsidR="00C64050">
        <w:rPr>
          <w:szCs w:val="20"/>
        </w:rPr>
        <w:t xml:space="preserve"> </w:t>
      </w:r>
      <w:r w:rsidRPr="00D95FB4">
        <w:rPr>
          <w:szCs w:val="20"/>
        </w:rPr>
        <w:t>value,</w:t>
      </w:r>
      <w:r w:rsidR="00C64050">
        <w:rPr>
          <w:szCs w:val="20"/>
        </w:rPr>
        <w:t xml:space="preserve"> </w:t>
      </w:r>
      <w:r w:rsidRPr="00D95FB4">
        <w:rPr>
          <w:szCs w:val="20"/>
        </w:rPr>
        <w:t>just</w:t>
      </w:r>
      <w:r w:rsidR="00C64050">
        <w:rPr>
          <w:szCs w:val="20"/>
        </w:rPr>
        <w:t xml:space="preserve"> </w:t>
      </w:r>
      <w:r w:rsidRPr="00D95FB4">
        <w:rPr>
          <w:szCs w:val="20"/>
        </w:rPr>
        <w:t>not</w:t>
      </w:r>
      <w:r w:rsidR="00C64050">
        <w:rPr>
          <w:szCs w:val="20"/>
        </w:rPr>
        <w:t xml:space="preserve"> </w:t>
      </w:r>
      <w:r w:rsidRPr="00D95FB4">
        <w:rPr>
          <w:szCs w:val="20"/>
        </w:rPr>
        <w:t>how</w:t>
      </w:r>
      <w:r w:rsidR="00C64050">
        <w:rPr>
          <w:szCs w:val="20"/>
        </w:rPr>
        <w:t xml:space="preserve"> </w:t>
      </w:r>
      <w:r w:rsidRPr="00D95FB4">
        <w:rPr>
          <w:szCs w:val="20"/>
        </w:rPr>
        <w:t>much.</w:t>
      </w:r>
      <w:r w:rsidR="00C64050">
        <w:rPr>
          <w:szCs w:val="20"/>
        </w:rPr>
        <w:t xml:space="preserve"> </w:t>
      </w:r>
      <w:r w:rsidRPr="00D95FB4">
        <w:rPr>
          <w:szCs w:val="20"/>
        </w:rPr>
        <w:t>Here,</w:t>
      </w:r>
      <w:r w:rsidR="00C64050">
        <w:rPr>
          <w:szCs w:val="20"/>
        </w:rPr>
        <w:t xml:space="preserve"> </w:t>
      </w:r>
      <w:r w:rsidRPr="00D95FB4">
        <w:rPr>
          <w:szCs w:val="20"/>
        </w:rPr>
        <w:t>we</w:t>
      </w:r>
      <w:r w:rsidR="00C64050">
        <w:rPr>
          <w:szCs w:val="20"/>
        </w:rPr>
        <w:t xml:space="preserve"> </w:t>
      </w:r>
      <w:r w:rsidRPr="00D95FB4">
        <w:rPr>
          <w:rStyle w:val="Emphasis"/>
          <w:szCs w:val="20"/>
        </w:rPr>
        <w:t>don’t</w:t>
      </w:r>
      <w:r w:rsidR="00C64050">
        <w:rPr>
          <w:rStyle w:val="Emphasis"/>
          <w:szCs w:val="20"/>
        </w:rPr>
        <w:t xml:space="preserve"> </w:t>
      </w:r>
      <w:r w:rsidRPr="00D95FB4">
        <w:rPr>
          <w:rStyle w:val="Emphasis"/>
          <w:szCs w:val="20"/>
        </w:rPr>
        <w:t>know</w:t>
      </w:r>
      <w:r w:rsidR="00C64050">
        <w:rPr>
          <w:szCs w:val="20"/>
        </w:rPr>
        <w:t xml:space="preserve"> </w:t>
      </w:r>
      <w:r w:rsidRPr="00D95FB4">
        <w:rPr>
          <w:szCs w:val="20"/>
        </w:rPr>
        <w:t>if</w:t>
      </w:r>
      <w:r w:rsidR="00C64050">
        <w:rPr>
          <w:szCs w:val="20"/>
        </w:rPr>
        <w:t xml:space="preserve"> </w:t>
      </w:r>
      <w:r w:rsidRPr="00D95FB4">
        <w:rPr>
          <w:szCs w:val="20"/>
        </w:rPr>
        <w:t>the</w:t>
      </w:r>
      <w:r w:rsidR="00C64050">
        <w:rPr>
          <w:szCs w:val="20"/>
        </w:rPr>
        <w:t xml:space="preserve"> </w:t>
      </w:r>
      <w:r w:rsidRPr="00D95FB4">
        <w:rPr>
          <w:szCs w:val="20"/>
        </w:rPr>
        <w:t>charity</w:t>
      </w:r>
      <w:r w:rsidR="00C64050">
        <w:rPr>
          <w:szCs w:val="20"/>
        </w:rPr>
        <w:t xml:space="preserve"> </w:t>
      </w:r>
      <w:r w:rsidRPr="00D95FB4">
        <w:rPr>
          <w:szCs w:val="20"/>
        </w:rPr>
        <w:t>would</w:t>
      </w:r>
      <w:r w:rsidR="00C64050">
        <w:rPr>
          <w:szCs w:val="20"/>
        </w:rPr>
        <w:t xml:space="preserve"> </w:t>
      </w:r>
      <w:r w:rsidRPr="00D95FB4">
        <w:rPr>
          <w:szCs w:val="20"/>
        </w:rPr>
        <w:t>get</w:t>
      </w:r>
      <w:r w:rsidR="00C64050">
        <w:rPr>
          <w:szCs w:val="20"/>
        </w:rPr>
        <w:t xml:space="preserve"> </w:t>
      </w:r>
      <w:r w:rsidRPr="00D95FB4">
        <w:rPr>
          <w:szCs w:val="20"/>
        </w:rPr>
        <w:t>any</w:t>
      </w:r>
      <w:r w:rsidR="00C64050">
        <w:rPr>
          <w:szCs w:val="20"/>
        </w:rPr>
        <w:t xml:space="preserve"> </w:t>
      </w:r>
      <w:r w:rsidRPr="00D95FB4">
        <w:rPr>
          <w:szCs w:val="20"/>
        </w:rPr>
        <w:t>additional</w:t>
      </w:r>
      <w:r w:rsidR="00C64050">
        <w:rPr>
          <w:szCs w:val="20"/>
        </w:rPr>
        <w:t xml:space="preserve"> </w:t>
      </w:r>
      <w:r w:rsidRPr="00D95FB4">
        <w:rPr>
          <w:szCs w:val="20"/>
        </w:rPr>
        <w:t>assets</w:t>
      </w:r>
      <w:r w:rsidR="00C64050">
        <w:rPr>
          <w:szCs w:val="20"/>
        </w:rPr>
        <w:t xml:space="preserve"> </w:t>
      </w:r>
      <w:r w:rsidRPr="00D95FB4">
        <w:rPr>
          <w:szCs w:val="20"/>
        </w:rPr>
        <w:t>at</w:t>
      </w:r>
      <w:r w:rsidR="00C64050">
        <w:rPr>
          <w:szCs w:val="20"/>
        </w:rPr>
        <w:t xml:space="preserve"> </w:t>
      </w:r>
      <w:r w:rsidRPr="00D95FB4">
        <w:rPr>
          <w:szCs w:val="20"/>
        </w:rPr>
        <w:t>all.</w:t>
      </w:r>
    </w:p>
    <w:p w:rsidR="004E4B24" w:rsidRPr="00E10A83" w:rsidRDefault="004E4B24" w:rsidP="004E4B24">
      <w:pPr>
        <w:pStyle w:val="Body15"/>
      </w:pPr>
      <w:r>
        <w:t>That</w:t>
      </w:r>
      <w:r w:rsidR="00C64050">
        <w:t xml:space="preserve"> </w:t>
      </w:r>
      <w:r>
        <w:t>is</w:t>
      </w:r>
      <w:r w:rsidR="00C64050">
        <w:t xml:space="preserve"> </w:t>
      </w:r>
      <w:r>
        <w:t>simply</w:t>
      </w:r>
      <w:r w:rsidR="00C64050">
        <w:t xml:space="preserve"> </w:t>
      </w:r>
      <w:r>
        <w:t>wrong.</w:t>
      </w:r>
      <w:r w:rsidR="00C64050">
        <w:t xml:space="preserve">  </w:t>
      </w:r>
      <w:r>
        <w:t>The</w:t>
      </w:r>
      <w:r w:rsidR="00C64050">
        <w:t xml:space="preserve"> </w:t>
      </w:r>
      <w:r>
        <w:t>allocation</w:t>
      </w:r>
      <w:r w:rsidR="00C64050">
        <w:t xml:space="preserve"> </w:t>
      </w:r>
      <w:r>
        <w:t>of</w:t>
      </w:r>
      <w:r w:rsidR="00C64050">
        <w:t xml:space="preserve"> </w:t>
      </w:r>
      <w:r>
        <w:t>assets</w:t>
      </w:r>
      <w:r w:rsidR="00C64050">
        <w:t xml:space="preserve"> </w:t>
      </w:r>
      <w:r>
        <w:t>between,</w:t>
      </w:r>
      <w:r w:rsidR="00C64050">
        <w:t xml:space="preserve"> </w:t>
      </w:r>
      <w:r>
        <w:t>say,</w:t>
      </w:r>
      <w:r w:rsidR="00C64050">
        <w:t xml:space="preserve"> </w:t>
      </w:r>
      <w:r>
        <w:t>a</w:t>
      </w:r>
      <w:r w:rsidR="00C64050">
        <w:t xml:space="preserve"> </w:t>
      </w:r>
      <w:r>
        <w:t>marital</w:t>
      </w:r>
      <w:r w:rsidR="00C64050">
        <w:t xml:space="preserve"> </w:t>
      </w:r>
      <w:r>
        <w:t>deduction</w:t>
      </w:r>
      <w:r w:rsidR="00C64050">
        <w:t xml:space="preserve"> </w:t>
      </w:r>
      <w:r>
        <w:t>and</w:t>
      </w:r>
      <w:r w:rsidR="00C64050">
        <w:t xml:space="preserve"> </w:t>
      </w:r>
      <w:r>
        <w:t>bypass</w:t>
      </w:r>
      <w:r w:rsidR="00C64050">
        <w:t xml:space="preserve"> </w:t>
      </w:r>
      <w:r>
        <w:t>trust</w:t>
      </w:r>
      <w:r w:rsidR="00C64050">
        <w:t xml:space="preserve"> </w:t>
      </w:r>
      <w:r>
        <w:t>works</w:t>
      </w:r>
      <w:r w:rsidR="00C64050">
        <w:t xml:space="preserve"> </w:t>
      </w:r>
      <w:r>
        <w:t>the</w:t>
      </w:r>
      <w:r w:rsidR="00C64050">
        <w:t xml:space="preserve"> </w:t>
      </w:r>
      <w:r>
        <w:t>same</w:t>
      </w:r>
      <w:r w:rsidR="00C64050">
        <w:t xml:space="preserve"> </w:t>
      </w:r>
      <w:r>
        <w:t>way</w:t>
      </w:r>
      <w:r w:rsidR="00C64050">
        <w:t xml:space="preserve"> </w:t>
      </w:r>
      <w:r w:rsidR="00E10A83">
        <w:t>as</w:t>
      </w:r>
      <w:r w:rsidR="00C64050">
        <w:t xml:space="preserve"> </w:t>
      </w:r>
      <w:r w:rsidR="00E10A83">
        <w:t>this</w:t>
      </w:r>
      <w:r w:rsidR="00C64050">
        <w:t xml:space="preserve"> </w:t>
      </w:r>
      <w:r w:rsidR="00E10A83">
        <w:t>clause.</w:t>
      </w:r>
      <w:r w:rsidR="00C64050">
        <w:t xml:space="preserve">  </w:t>
      </w:r>
      <w:r w:rsidR="00E10A83">
        <w:t>Judge</w:t>
      </w:r>
      <w:r w:rsidR="00C64050">
        <w:t xml:space="preserve"> </w:t>
      </w:r>
      <w:r w:rsidR="00E10A83">
        <w:t>Holmes</w:t>
      </w:r>
      <w:r w:rsidR="00C64050">
        <w:t xml:space="preserve"> </w:t>
      </w:r>
      <w:r w:rsidR="00E10A83">
        <w:t>also</w:t>
      </w:r>
      <w:r w:rsidR="00C64050">
        <w:t xml:space="preserve"> </w:t>
      </w:r>
      <w:r w:rsidR="00E10A83">
        <w:t>authored</w:t>
      </w:r>
      <w:r w:rsidR="00C64050">
        <w:t xml:space="preserve"> </w:t>
      </w:r>
      <w:r w:rsidR="00E10A83">
        <w:rPr>
          <w:u w:val="single"/>
        </w:rPr>
        <w:t>Christiansen</w:t>
      </w:r>
      <w:r w:rsidR="00C64050">
        <w:t xml:space="preserve"> </w:t>
      </w:r>
      <w:r w:rsidR="00E10A83">
        <w:t>and</w:t>
      </w:r>
      <w:r w:rsidR="00C64050">
        <w:t xml:space="preserve"> </w:t>
      </w:r>
      <w:r w:rsidR="00E10A83">
        <w:rPr>
          <w:u w:val="single"/>
        </w:rPr>
        <w:t>Petter</w:t>
      </w:r>
      <w:r w:rsidR="00E10A83">
        <w:t>.</w:t>
      </w:r>
      <w:r w:rsidR="00C64050">
        <w:t xml:space="preserve">  </w:t>
      </w:r>
      <w:r w:rsidR="00E10A83">
        <w:t>Why</w:t>
      </w:r>
      <w:r w:rsidR="00C64050">
        <w:t xml:space="preserve"> </w:t>
      </w:r>
      <w:r w:rsidR="00E10A83">
        <w:t>the</w:t>
      </w:r>
      <w:r w:rsidR="00C64050">
        <w:t xml:space="preserve"> </w:t>
      </w:r>
      <w:r w:rsidR="00E10A83">
        <w:t>different</w:t>
      </w:r>
      <w:r w:rsidR="00C64050">
        <w:t xml:space="preserve"> </w:t>
      </w:r>
      <w:r w:rsidR="00E10A83">
        <w:t>readings</w:t>
      </w:r>
      <w:r w:rsidR="00C64050">
        <w:t xml:space="preserve"> </w:t>
      </w:r>
      <w:r w:rsidR="00E10A83">
        <w:t>is</w:t>
      </w:r>
      <w:r w:rsidR="00C64050">
        <w:t xml:space="preserve"> </w:t>
      </w:r>
      <w:r w:rsidR="00E10A83">
        <w:t>unclear.</w:t>
      </w:r>
    </w:p>
    <w:p w:rsidR="00485DB9" w:rsidRPr="00454670" w:rsidRDefault="00856D6A">
      <w:pPr>
        <w:pStyle w:val="Heading1"/>
        <w:rPr>
          <w:color w:val="000000"/>
        </w:rPr>
      </w:pPr>
      <w:bookmarkStart w:id="420" w:name="_Toc168206595"/>
      <w:bookmarkStart w:id="421" w:name="_Toc168218227"/>
      <w:bookmarkStart w:id="422" w:name="_Toc231154883"/>
      <w:bookmarkStart w:id="423" w:name="_Toc295129794"/>
      <w:bookmarkStart w:id="424" w:name="_Toc295132407"/>
      <w:bookmarkStart w:id="425" w:name="_Toc295133927"/>
      <w:bookmarkStart w:id="426" w:name="_Toc295133962"/>
      <w:bookmarkStart w:id="427" w:name="_Toc295136492"/>
      <w:bookmarkStart w:id="428" w:name="_Toc297645097"/>
      <w:bookmarkStart w:id="429" w:name="_Toc297647168"/>
      <w:bookmarkStart w:id="430" w:name="_Toc297728355"/>
      <w:bookmarkStart w:id="431" w:name="_Toc297732814"/>
      <w:bookmarkStart w:id="432" w:name="_Toc298255207"/>
      <w:bookmarkStart w:id="433" w:name="_Toc298316781"/>
      <w:bookmarkStart w:id="434" w:name="_Toc298334626"/>
      <w:bookmarkStart w:id="435" w:name="_Toc298338124"/>
      <w:bookmarkStart w:id="436" w:name="_Toc301364462"/>
      <w:bookmarkStart w:id="437" w:name="_Toc302465922"/>
      <w:bookmarkStart w:id="438" w:name="_Toc303094297"/>
      <w:bookmarkStart w:id="439" w:name="_Toc303172893"/>
      <w:bookmarkStart w:id="440" w:name="_Toc303181223"/>
      <w:bookmarkStart w:id="441" w:name="_Toc321753635"/>
      <w:bookmarkStart w:id="442" w:name="_Toc322015814"/>
      <w:bookmarkStart w:id="443" w:name="_Toc322015987"/>
      <w:bookmarkStart w:id="444" w:name="_Toc322016525"/>
      <w:bookmarkStart w:id="445" w:name="_Toc376946770"/>
      <w:bookmarkStart w:id="446" w:name="_Toc376947617"/>
      <w:bookmarkStart w:id="447" w:name="_Toc376948411"/>
      <w:bookmarkStart w:id="448" w:name="_Toc376949205"/>
      <w:bookmarkStart w:id="449" w:name="_Toc94704656"/>
      <w:bookmarkEnd w:id="416"/>
      <w:bookmarkEnd w:id="417"/>
      <w:r w:rsidRPr="00454670">
        <w:rPr>
          <w:color w:val="000000"/>
        </w:rPr>
        <w:t>SECTIONS</w:t>
      </w:r>
      <w:r w:rsidR="00C64050">
        <w:rPr>
          <w:color w:val="000000"/>
        </w:rPr>
        <w:t xml:space="preserve"> </w:t>
      </w:r>
      <w:r w:rsidRPr="00454670">
        <w:rPr>
          <w:color w:val="000000"/>
        </w:rPr>
        <w:t>2041</w:t>
      </w:r>
      <w:r w:rsidR="00C64050">
        <w:rPr>
          <w:color w:val="000000"/>
        </w:rPr>
        <w:t xml:space="preserve"> </w:t>
      </w:r>
      <w:r w:rsidRPr="00454670">
        <w:rPr>
          <w:color w:val="000000"/>
        </w:rPr>
        <w:t>AND</w:t>
      </w:r>
      <w:r w:rsidR="00C64050">
        <w:rPr>
          <w:color w:val="000000"/>
        </w:rPr>
        <w:t xml:space="preserve"> </w:t>
      </w:r>
      <w:r w:rsidRPr="00454670">
        <w:rPr>
          <w:color w:val="000000"/>
        </w:rPr>
        <w:t>2514</w:t>
      </w:r>
      <w:r w:rsidR="00C64050">
        <w:rPr>
          <w:color w:val="000000"/>
        </w:rPr>
        <w:t xml:space="preserve"> </w:t>
      </w:r>
      <w:r w:rsidRPr="00454670">
        <w:rPr>
          <w:color w:val="000000"/>
        </w:rPr>
        <w:t>—</w:t>
      </w:r>
      <w:r w:rsidR="00C64050">
        <w:rPr>
          <w:color w:val="000000"/>
        </w:rPr>
        <w:t xml:space="preserve"> </w:t>
      </w:r>
      <w:r w:rsidRPr="00454670">
        <w:rPr>
          <w:color w:val="000000"/>
        </w:rPr>
        <w:t>GENERAL</w:t>
      </w:r>
      <w:r w:rsidR="00C64050">
        <w:rPr>
          <w:color w:val="000000"/>
        </w:rPr>
        <w:t xml:space="preserve"> </w:t>
      </w:r>
      <w:r w:rsidRPr="00454670">
        <w:rPr>
          <w:color w:val="000000"/>
        </w:rPr>
        <w:t>POWERS</w:t>
      </w:r>
      <w:r w:rsidR="00C64050">
        <w:rPr>
          <w:color w:val="000000"/>
        </w:rPr>
        <w:t xml:space="preserve"> </w:t>
      </w:r>
      <w:r w:rsidRPr="00454670">
        <w:rPr>
          <w:color w:val="000000"/>
        </w:rPr>
        <w:t>OF</w:t>
      </w:r>
      <w:r w:rsidR="00C64050">
        <w:rPr>
          <w:color w:val="000000"/>
        </w:rPr>
        <w:t xml:space="preserve"> </w:t>
      </w:r>
      <w:r w:rsidRPr="00454670">
        <w:rPr>
          <w:color w:val="000000"/>
        </w:rPr>
        <w:t>APPOINTMENT</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EA1F10" w:rsidRPr="00B0512E" w:rsidRDefault="00EA1F10" w:rsidP="00B66CCE">
      <w:pPr>
        <w:pStyle w:val="Heading20"/>
        <w:numPr>
          <w:ilvl w:val="1"/>
          <w:numId w:val="31"/>
        </w:numPr>
        <w:tabs>
          <w:tab w:val="clear" w:pos="2700"/>
        </w:tabs>
        <w:ind w:left="0"/>
        <w:rPr>
          <w:vanish/>
          <w:specVanish/>
        </w:rPr>
      </w:pPr>
      <w:bookmarkStart w:id="450" w:name="_Toc94704657"/>
      <w:bookmarkStart w:id="451" w:name="_Toc168206597"/>
      <w:bookmarkStart w:id="452" w:name="_Toc168218229"/>
      <w:bookmarkStart w:id="453" w:name="_Toc231154885"/>
      <w:bookmarkStart w:id="454" w:name="_Toc295129795"/>
      <w:bookmarkStart w:id="455" w:name="_Toc295132408"/>
      <w:bookmarkStart w:id="456" w:name="_Toc295133928"/>
      <w:bookmarkStart w:id="457" w:name="_Toc295133963"/>
      <w:bookmarkStart w:id="458" w:name="_Toc295136493"/>
      <w:bookmarkStart w:id="459" w:name="_Toc297645098"/>
      <w:bookmarkStart w:id="460" w:name="_Toc297647169"/>
      <w:bookmarkStart w:id="461" w:name="_Toc297728356"/>
      <w:bookmarkStart w:id="462" w:name="_Toc297732815"/>
      <w:bookmarkStart w:id="463" w:name="_Toc298255208"/>
      <w:bookmarkStart w:id="464" w:name="_Toc298316782"/>
      <w:bookmarkStart w:id="465" w:name="_Toc298334627"/>
      <w:bookmarkStart w:id="466" w:name="_Toc298338125"/>
      <w:bookmarkStart w:id="467" w:name="_Toc301364464"/>
      <w:bookmarkStart w:id="468" w:name="_Toc302465924"/>
      <w:bookmarkStart w:id="469" w:name="_Toc303094299"/>
      <w:bookmarkStart w:id="470" w:name="_Toc303172896"/>
      <w:bookmarkStart w:id="471" w:name="_Toc303181226"/>
      <w:bookmarkStart w:id="472" w:name="_Toc321753638"/>
      <w:bookmarkStart w:id="473" w:name="_Toc322015817"/>
      <w:bookmarkStart w:id="474" w:name="_Toc322015990"/>
      <w:bookmarkStart w:id="475" w:name="_Toc322016528"/>
      <w:bookmarkStart w:id="476" w:name="_Toc376946772"/>
      <w:bookmarkStart w:id="477" w:name="_Toc376947619"/>
      <w:bookmarkStart w:id="478" w:name="_Toc376948413"/>
      <w:bookmarkStart w:id="479" w:name="_Toc376949207"/>
      <w:r w:rsidRPr="00B0512E">
        <w:rPr>
          <w:b/>
          <w:u w:val="single"/>
        </w:rPr>
        <w:t>Effect</w:t>
      </w:r>
      <w:r w:rsidR="00C64050" w:rsidRPr="00B0512E">
        <w:rPr>
          <w:b/>
          <w:u w:val="single"/>
        </w:rPr>
        <w:t xml:space="preserve"> </w:t>
      </w:r>
      <w:r w:rsidRPr="00B0512E">
        <w:rPr>
          <w:b/>
          <w:u w:val="single"/>
        </w:rPr>
        <w:t>of</w:t>
      </w:r>
      <w:r w:rsidR="00C64050" w:rsidRPr="00B0512E">
        <w:rPr>
          <w:b/>
          <w:u w:val="single"/>
        </w:rPr>
        <w:t xml:space="preserve"> </w:t>
      </w:r>
      <w:r w:rsidRPr="00B0512E">
        <w:rPr>
          <w:b/>
          <w:u w:val="single"/>
        </w:rPr>
        <w:t>Change</w:t>
      </w:r>
      <w:r w:rsidR="00C64050" w:rsidRPr="00B0512E">
        <w:rPr>
          <w:b/>
          <w:u w:val="single"/>
        </w:rPr>
        <w:t xml:space="preserve"> </w:t>
      </w:r>
      <w:r w:rsidRPr="00B0512E">
        <w:rPr>
          <w:b/>
          <w:u w:val="single"/>
        </w:rPr>
        <w:t>of</w:t>
      </w:r>
      <w:r w:rsidR="00C64050" w:rsidRPr="00B0512E">
        <w:rPr>
          <w:b/>
          <w:u w:val="single"/>
        </w:rPr>
        <w:t xml:space="preserve"> </w:t>
      </w:r>
      <w:r w:rsidRPr="00B0512E">
        <w:rPr>
          <w:b/>
          <w:u w:val="single"/>
        </w:rPr>
        <w:t>State</w:t>
      </w:r>
      <w:r w:rsidR="00C64050" w:rsidRPr="00B0512E">
        <w:rPr>
          <w:b/>
          <w:u w:val="single"/>
        </w:rPr>
        <w:t xml:space="preserve"> </w:t>
      </w:r>
      <w:r w:rsidRPr="00B0512E">
        <w:rPr>
          <w:b/>
          <w:u w:val="single"/>
        </w:rPr>
        <w:t>Law</w:t>
      </w:r>
      <w:r w:rsidR="00C64050" w:rsidRPr="00B0512E">
        <w:rPr>
          <w:b/>
          <w:u w:val="single"/>
        </w:rPr>
        <w:t xml:space="preserve"> </w:t>
      </w:r>
      <w:r w:rsidRPr="00B0512E">
        <w:rPr>
          <w:b/>
          <w:u w:val="single"/>
        </w:rPr>
        <w:t>on</w:t>
      </w:r>
      <w:r w:rsidR="00C64050" w:rsidRPr="00B0512E">
        <w:rPr>
          <w:b/>
          <w:u w:val="single"/>
        </w:rPr>
        <w:t xml:space="preserve"> </w:t>
      </w:r>
      <w:r w:rsidRPr="00B0512E">
        <w:rPr>
          <w:b/>
          <w:u w:val="single"/>
        </w:rPr>
        <w:t>General</w:t>
      </w:r>
      <w:r w:rsidR="00C64050" w:rsidRPr="00B0512E">
        <w:rPr>
          <w:b/>
          <w:u w:val="single"/>
        </w:rPr>
        <w:t xml:space="preserve"> </w:t>
      </w:r>
      <w:r w:rsidRPr="00B0512E">
        <w:rPr>
          <w:b/>
          <w:u w:val="single"/>
        </w:rPr>
        <w:t>Power</w:t>
      </w:r>
      <w:r w:rsidR="00C64050" w:rsidRPr="00B0512E">
        <w:rPr>
          <w:b/>
          <w:u w:val="single"/>
        </w:rPr>
        <w:t xml:space="preserve"> </w:t>
      </w:r>
      <w:r w:rsidRPr="00B0512E">
        <w:rPr>
          <w:b/>
          <w:u w:val="single"/>
        </w:rPr>
        <w:t>in</w:t>
      </w:r>
      <w:r w:rsidR="00C64050" w:rsidRPr="00B0512E">
        <w:rPr>
          <w:b/>
          <w:u w:val="single"/>
        </w:rPr>
        <w:t xml:space="preserve"> </w:t>
      </w:r>
      <w:r w:rsidRPr="00B0512E">
        <w:rPr>
          <w:b/>
          <w:u w:val="single"/>
        </w:rPr>
        <w:t>Trustee</w:t>
      </w:r>
      <w:bookmarkEnd w:id="450"/>
    </w:p>
    <w:p w:rsidR="00EA1F10" w:rsidRDefault="00EA1F10" w:rsidP="00EA1F10">
      <w:pPr>
        <w:pStyle w:val="Heading2Body"/>
      </w:pPr>
      <w:r>
        <w:t>.</w:t>
      </w:r>
      <w:r w:rsidR="00C64050">
        <w:t xml:space="preserve">  </w:t>
      </w:r>
      <w:r>
        <w:t>A</w:t>
      </w:r>
      <w:r w:rsidR="00C64050">
        <w:t xml:space="preserve"> </w:t>
      </w:r>
      <w:r>
        <w:t>decedent</w:t>
      </w:r>
      <w:r w:rsidR="00C64050">
        <w:t xml:space="preserve"> </w:t>
      </w:r>
      <w:r>
        <w:t>was</w:t>
      </w:r>
      <w:r w:rsidR="00C64050">
        <w:t xml:space="preserve"> </w:t>
      </w:r>
      <w:r>
        <w:t>sole</w:t>
      </w:r>
      <w:r w:rsidR="00C64050">
        <w:t xml:space="preserve"> </w:t>
      </w:r>
      <w:r>
        <w:t>trustee</w:t>
      </w:r>
      <w:r w:rsidR="00C64050">
        <w:t xml:space="preserve"> </w:t>
      </w:r>
      <w:r>
        <w:t>and</w:t>
      </w:r>
      <w:r w:rsidR="00C64050">
        <w:t xml:space="preserve"> </w:t>
      </w:r>
      <w:r>
        <w:t>a</w:t>
      </w:r>
      <w:r w:rsidR="00C64050">
        <w:t xml:space="preserve"> </w:t>
      </w:r>
      <w:r>
        <w:t>beneficiary</w:t>
      </w:r>
      <w:r w:rsidR="00C64050">
        <w:t xml:space="preserve"> </w:t>
      </w:r>
      <w:r>
        <w:t>in</w:t>
      </w:r>
      <w:r w:rsidR="00C64050">
        <w:t xml:space="preserve"> </w:t>
      </w:r>
      <w:r>
        <w:t>PLR</w:t>
      </w:r>
      <w:r w:rsidR="00C64050">
        <w:t xml:space="preserve"> </w:t>
      </w:r>
      <w:r>
        <w:t>202020008,</w:t>
      </w:r>
      <w:r w:rsidR="00C64050">
        <w:t xml:space="preserve"> </w:t>
      </w:r>
      <w:r>
        <w:t>with</w:t>
      </w:r>
      <w:r w:rsidR="00C64050">
        <w:t xml:space="preserve"> </w:t>
      </w:r>
      <w:r>
        <w:t>discretion</w:t>
      </w:r>
      <w:r w:rsidR="00C64050">
        <w:t xml:space="preserve"> </w:t>
      </w:r>
      <w:r>
        <w:t>to</w:t>
      </w:r>
      <w:r w:rsidR="00C64050">
        <w:t xml:space="preserve"> </w:t>
      </w:r>
      <w:r>
        <w:t>distribute</w:t>
      </w:r>
      <w:r w:rsidR="00C64050">
        <w:t xml:space="preserve"> </w:t>
      </w:r>
      <w:r>
        <w:t>assets</w:t>
      </w:r>
      <w:r w:rsidR="00C64050">
        <w:t xml:space="preserve"> </w:t>
      </w:r>
      <w:r>
        <w:t>as</w:t>
      </w:r>
      <w:r w:rsidR="00C64050">
        <w:t xml:space="preserve"> </w:t>
      </w:r>
      <w:r>
        <w:t>follows:</w:t>
      </w:r>
    </w:p>
    <w:p w:rsidR="00EA1F10" w:rsidRDefault="00FA3F52" w:rsidP="00BF61EC">
      <w:pPr>
        <w:pStyle w:val="QS10"/>
      </w:pPr>
      <w:r>
        <w:t>Article</w:t>
      </w:r>
      <w:r w:rsidR="00C64050">
        <w:t xml:space="preserve"> </w:t>
      </w:r>
      <w:r>
        <w:t>Sixth</w:t>
      </w:r>
      <w:r w:rsidR="00C64050">
        <w:t xml:space="preserve"> </w:t>
      </w:r>
      <w:r>
        <w:t>of</w:t>
      </w:r>
      <w:r w:rsidR="00C64050">
        <w:t xml:space="preserve"> </w:t>
      </w:r>
      <w:r>
        <w:t>Mother's</w:t>
      </w:r>
      <w:r w:rsidR="00C64050">
        <w:t xml:space="preserve"> </w:t>
      </w:r>
      <w:r>
        <w:t>will</w:t>
      </w:r>
      <w:r w:rsidR="00C64050">
        <w:t xml:space="preserve"> </w:t>
      </w:r>
      <w:r>
        <w:t>and</w:t>
      </w:r>
      <w:r w:rsidR="00C64050">
        <w:t xml:space="preserve"> </w:t>
      </w:r>
      <w:r>
        <w:t>Article</w:t>
      </w:r>
      <w:r w:rsidR="00C64050">
        <w:t xml:space="preserve"> </w:t>
      </w:r>
      <w:r>
        <w:t>Seventh</w:t>
      </w:r>
      <w:r w:rsidR="00C64050">
        <w:t xml:space="preserve"> </w:t>
      </w:r>
      <w:r>
        <w:t>of</w:t>
      </w:r>
      <w:r w:rsidR="00C64050">
        <w:t xml:space="preserve"> </w:t>
      </w:r>
      <w:r>
        <w:t>Father's</w:t>
      </w:r>
      <w:r w:rsidR="00C64050">
        <w:t xml:space="preserve"> </w:t>
      </w:r>
      <w:r>
        <w:t>will</w:t>
      </w:r>
      <w:r w:rsidR="00C64050">
        <w:t xml:space="preserve"> </w:t>
      </w:r>
      <w:r>
        <w:t>provide</w:t>
      </w:r>
      <w:r w:rsidR="00C64050">
        <w:t xml:space="preserve"> </w:t>
      </w:r>
      <w:r>
        <w:t>that</w:t>
      </w:r>
      <w:r w:rsidR="00C64050">
        <w:t xml:space="preserve"> </w:t>
      </w:r>
      <w:r>
        <w:t>if</w:t>
      </w:r>
      <w:r w:rsidR="00C64050">
        <w:t xml:space="preserve"> </w:t>
      </w:r>
      <w:r>
        <w:t>the</w:t>
      </w:r>
      <w:r w:rsidR="00C64050">
        <w:t xml:space="preserve"> </w:t>
      </w:r>
      <w:r>
        <w:t>trustee</w:t>
      </w:r>
      <w:r w:rsidR="00C64050">
        <w:t xml:space="preserve"> </w:t>
      </w:r>
      <w:r>
        <w:t>deems</w:t>
      </w:r>
      <w:r w:rsidR="00C64050">
        <w:t xml:space="preserve"> </w:t>
      </w:r>
      <w:r>
        <w:t>the</w:t>
      </w:r>
      <w:r w:rsidR="00C64050">
        <w:t xml:space="preserve"> </w:t>
      </w:r>
      <w:r>
        <w:t>net</w:t>
      </w:r>
      <w:r w:rsidR="00C64050">
        <w:t xml:space="preserve"> </w:t>
      </w:r>
      <w:r>
        <w:t>income</w:t>
      </w:r>
      <w:r w:rsidR="00C64050">
        <w:t xml:space="preserve"> </w:t>
      </w:r>
      <w:r>
        <w:t>of</w:t>
      </w:r>
      <w:r w:rsidR="00C64050">
        <w:t xml:space="preserve"> </w:t>
      </w:r>
      <w:r>
        <w:t>the</w:t>
      </w:r>
      <w:r w:rsidR="00C64050">
        <w:t xml:space="preserve"> </w:t>
      </w:r>
      <w:r>
        <w:t>respective</w:t>
      </w:r>
      <w:r w:rsidR="00C64050">
        <w:t xml:space="preserve"> </w:t>
      </w:r>
      <w:r>
        <w:t>trusts</w:t>
      </w:r>
      <w:r w:rsidR="00C64050">
        <w:t xml:space="preserve"> </w:t>
      </w:r>
      <w:r>
        <w:t>not</w:t>
      </w:r>
      <w:r w:rsidR="00C64050">
        <w:t xml:space="preserve"> </w:t>
      </w:r>
      <w:r>
        <w:t>sufficient</w:t>
      </w:r>
      <w:r w:rsidR="00C64050">
        <w:t xml:space="preserve"> </w:t>
      </w:r>
      <w:r>
        <w:t>to</w:t>
      </w:r>
      <w:r w:rsidR="00C64050">
        <w:t xml:space="preserve"> </w:t>
      </w:r>
      <w:r>
        <w:t>provide</w:t>
      </w:r>
      <w:r w:rsidR="00C64050">
        <w:t xml:space="preserve"> </w:t>
      </w:r>
      <w:r>
        <w:t>for</w:t>
      </w:r>
      <w:r w:rsidR="00C64050">
        <w:t xml:space="preserve"> </w:t>
      </w:r>
      <w:r>
        <w:t>the</w:t>
      </w:r>
      <w:r w:rsidR="00C64050">
        <w:t xml:space="preserve"> </w:t>
      </w:r>
      <w:r>
        <w:t>proper</w:t>
      </w:r>
      <w:r w:rsidR="00C64050">
        <w:t xml:space="preserve"> </w:t>
      </w:r>
      <w:r>
        <w:t>support,</w:t>
      </w:r>
      <w:r w:rsidR="00C64050">
        <w:t xml:space="preserve"> </w:t>
      </w:r>
      <w:r>
        <w:t>maintenance,</w:t>
      </w:r>
      <w:r w:rsidR="00C64050">
        <w:t xml:space="preserve"> </w:t>
      </w:r>
      <w:r>
        <w:t>comfort,</w:t>
      </w:r>
      <w:r w:rsidR="00C64050">
        <w:t xml:space="preserve"> </w:t>
      </w:r>
      <w:r>
        <w:t>education</w:t>
      </w:r>
      <w:r w:rsidR="00C64050">
        <w:t xml:space="preserve"> </w:t>
      </w:r>
      <w:r>
        <w:t>and</w:t>
      </w:r>
      <w:r w:rsidR="00C64050">
        <w:t xml:space="preserve"> </w:t>
      </w:r>
      <w:r>
        <w:t>recreation</w:t>
      </w:r>
      <w:r w:rsidR="00C64050">
        <w:t xml:space="preserve"> </w:t>
      </w:r>
      <w:r>
        <w:t>of</w:t>
      </w:r>
      <w:r w:rsidR="00C64050">
        <w:t xml:space="preserve"> </w:t>
      </w:r>
      <w:r>
        <w:t>any</w:t>
      </w:r>
      <w:r w:rsidR="00C64050">
        <w:t xml:space="preserve"> </w:t>
      </w:r>
      <w:r>
        <w:t>income</w:t>
      </w:r>
      <w:r w:rsidR="00C64050">
        <w:t xml:space="preserve"> </w:t>
      </w:r>
      <w:r>
        <w:t>beneficiary,</w:t>
      </w:r>
      <w:r w:rsidR="00C64050">
        <w:t xml:space="preserve"> </w:t>
      </w:r>
      <w:r>
        <w:t>taking</w:t>
      </w:r>
      <w:r w:rsidR="00C64050">
        <w:t xml:space="preserve"> </w:t>
      </w:r>
      <w:r>
        <w:t>into</w:t>
      </w:r>
      <w:r w:rsidR="00C64050">
        <w:t xml:space="preserve"> </w:t>
      </w:r>
      <w:r>
        <w:t>consideration</w:t>
      </w:r>
      <w:r w:rsidR="00C64050">
        <w:t xml:space="preserve"> </w:t>
      </w:r>
      <w:r>
        <w:t>other</w:t>
      </w:r>
      <w:r w:rsidR="00C64050">
        <w:t xml:space="preserve"> </w:t>
      </w:r>
      <w:r>
        <w:t>income</w:t>
      </w:r>
      <w:r w:rsidR="00C64050">
        <w:t xml:space="preserve"> </w:t>
      </w:r>
      <w:r>
        <w:t>and</w:t>
      </w:r>
      <w:r w:rsidR="00C64050">
        <w:t xml:space="preserve"> </w:t>
      </w:r>
      <w:r>
        <w:t>financial</w:t>
      </w:r>
      <w:r w:rsidR="00C64050">
        <w:t xml:space="preserve"> </w:t>
      </w:r>
      <w:r>
        <w:t>resources</w:t>
      </w:r>
      <w:r w:rsidR="00C64050">
        <w:t xml:space="preserve"> </w:t>
      </w:r>
      <w:r>
        <w:t>of</w:t>
      </w:r>
      <w:r w:rsidR="00C64050">
        <w:t xml:space="preserve"> </w:t>
      </w:r>
      <w:r>
        <w:t>such</w:t>
      </w:r>
      <w:r w:rsidR="00C64050">
        <w:t xml:space="preserve"> </w:t>
      </w:r>
      <w:r>
        <w:t>beneficiary,</w:t>
      </w:r>
      <w:r w:rsidR="00C64050">
        <w:t xml:space="preserve"> </w:t>
      </w:r>
      <w:r>
        <w:t>so</w:t>
      </w:r>
      <w:r w:rsidR="00C64050">
        <w:t xml:space="preserve"> </w:t>
      </w:r>
      <w:r>
        <w:t>far</w:t>
      </w:r>
      <w:r w:rsidR="00C64050">
        <w:t xml:space="preserve"> </w:t>
      </w:r>
      <w:r>
        <w:t>as</w:t>
      </w:r>
      <w:r w:rsidR="00C64050">
        <w:t xml:space="preserve"> </w:t>
      </w:r>
      <w:r>
        <w:t>known</w:t>
      </w:r>
      <w:r w:rsidR="00C64050">
        <w:t xml:space="preserve"> </w:t>
      </w:r>
      <w:r>
        <w:t>to</w:t>
      </w:r>
      <w:r w:rsidR="00C64050">
        <w:t xml:space="preserve"> </w:t>
      </w:r>
      <w:r>
        <w:t>the</w:t>
      </w:r>
      <w:r w:rsidR="00C64050">
        <w:t xml:space="preserve"> </w:t>
      </w:r>
      <w:r>
        <w:t>trustee,</w:t>
      </w:r>
      <w:r w:rsidR="00C64050">
        <w:t xml:space="preserve"> </w:t>
      </w:r>
      <w:r>
        <w:t>the</w:t>
      </w:r>
      <w:r w:rsidR="00C64050">
        <w:t xml:space="preserve"> </w:t>
      </w:r>
      <w:r>
        <w:t>trustee</w:t>
      </w:r>
      <w:r w:rsidR="00C64050">
        <w:t xml:space="preserve"> </w:t>
      </w:r>
      <w:r>
        <w:t>may</w:t>
      </w:r>
      <w:r w:rsidR="00C64050">
        <w:t xml:space="preserve"> </w:t>
      </w:r>
      <w:r>
        <w:t>as</w:t>
      </w:r>
      <w:r w:rsidR="00C64050">
        <w:t xml:space="preserve"> </w:t>
      </w:r>
      <w:r>
        <w:t>often</w:t>
      </w:r>
      <w:r w:rsidR="00C64050">
        <w:t xml:space="preserve"> </w:t>
      </w:r>
      <w:r>
        <w:t>as</w:t>
      </w:r>
      <w:r w:rsidR="00C64050">
        <w:t xml:space="preserve"> </w:t>
      </w:r>
      <w:r>
        <w:t>it</w:t>
      </w:r>
      <w:r w:rsidR="00C64050">
        <w:t xml:space="preserve"> </w:t>
      </w:r>
      <w:r>
        <w:t>deems</w:t>
      </w:r>
      <w:r w:rsidR="00C64050">
        <w:t xml:space="preserve"> </w:t>
      </w:r>
      <w:r>
        <w:t>necessary</w:t>
      </w:r>
      <w:r w:rsidR="00C64050">
        <w:t xml:space="preserve"> </w:t>
      </w:r>
      <w:r>
        <w:t>pay</w:t>
      </w:r>
      <w:r w:rsidR="00C64050">
        <w:t xml:space="preserve"> </w:t>
      </w:r>
      <w:r>
        <w:t>to</w:t>
      </w:r>
      <w:r w:rsidR="00C64050">
        <w:t xml:space="preserve"> </w:t>
      </w:r>
      <w:r>
        <w:t>or</w:t>
      </w:r>
      <w:r w:rsidR="00C64050">
        <w:t xml:space="preserve"> </w:t>
      </w:r>
      <w:r>
        <w:t>apply</w:t>
      </w:r>
      <w:r w:rsidR="00C64050">
        <w:t xml:space="preserve"> </w:t>
      </w:r>
      <w:r>
        <w:t>for</w:t>
      </w:r>
      <w:r w:rsidR="00C64050">
        <w:t xml:space="preserve"> </w:t>
      </w:r>
      <w:r>
        <w:t>the</w:t>
      </w:r>
      <w:r w:rsidR="00C64050">
        <w:t xml:space="preserve"> </w:t>
      </w:r>
      <w:r>
        <w:t>use</w:t>
      </w:r>
      <w:r w:rsidR="00C64050">
        <w:t xml:space="preserve"> </w:t>
      </w:r>
      <w:r>
        <w:t>and</w:t>
      </w:r>
      <w:r w:rsidR="00C64050">
        <w:t xml:space="preserve"> </w:t>
      </w:r>
      <w:r>
        <w:t>benefit</w:t>
      </w:r>
      <w:r w:rsidR="00C64050">
        <w:t xml:space="preserve"> </w:t>
      </w:r>
      <w:r>
        <w:t>of</w:t>
      </w:r>
      <w:r w:rsidR="00C64050">
        <w:t xml:space="preserve"> </w:t>
      </w:r>
      <w:r>
        <w:t>such</w:t>
      </w:r>
      <w:r w:rsidR="00C64050">
        <w:t xml:space="preserve"> </w:t>
      </w:r>
      <w:r>
        <w:t>beneficiary</w:t>
      </w:r>
      <w:r w:rsidR="00C64050">
        <w:t xml:space="preserve"> </w:t>
      </w:r>
      <w:r>
        <w:t>such</w:t>
      </w:r>
      <w:r w:rsidR="00C64050">
        <w:t xml:space="preserve"> </w:t>
      </w:r>
      <w:r>
        <w:t>additional</w:t>
      </w:r>
      <w:r w:rsidR="00C64050">
        <w:t xml:space="preserve"> </w:t>
      </w:r>
      <w:r>
        <w:t>part</w:t>
      </w:r>
      <w:r w:rsidR="00C64050">
        <w:t xml:space="preserve"> </w:t>
      </w:r>
      <w:r>
        <w:t>of</w:t>
      </w:r>
      <w:r w:rsidR="00C64050">
        <w:t xml:space="preserve"> </w:t>
      </w:r>
      <w:r>
        <w:t>the</w:t>
      </w:r>
      <w:r w:rsidR="00C64050">
        <w:t xml:space="preserve"> </w:t>
      </w:r>
      <w:r>
        <w:t>corpus</w:t>
      </w:r>
      <w:r w:rsidR="00C64050">
        <w:t xml:space="preserve"> </w:t>
      </w:r>
      <w:r>
        <w:t>of</w:t>
      </w:r>
      <w:r w:rsidR="00C64050">
        <w:t xml:space="preserve"> </w:t>
      </w:r>
      <w:r>
        <w:t>the</w:t>
      </w:r>
      <w:r w:rsidR="00C64050">
        <w:t xml:space="preserve"> </w:t>
      </w:r>
      <w:r>
        <w:t>trust</w:t>
      </w:r>
      <w:r w:rsidR="00C64050">
        <w:t xml:space="preserve"> </w:t>
      </w:r>
      <w:r>
        <w:t>estate</w:t>
      </w:r>
      <w:r w:rsidR="00C64050">
        <w:t xml:space="preserve"> </w:t>
      </w:r>
      <w:r>
        <w:t>(including</w:t>
      </w:r>
      <w:r w:rsidR="00C64050">
        <w:t xml:space="preserve"> </w:t>
      </w:r>
      <w:r>
        <w:t>the</w:t>
      </w:r>
      <w:r w:rsidR="00C64050">
        <w:t xml:space="preserve"> </w:t>
      </w:r>
      <w:r>
        <w:t>whole</w:t>
      </w:r>
      <w:r w:rsidR="00C64050">
        <w:t xml:space="preserve"> </w:t>
      </w:r>
      <w:r>
        <w:t>thereof)</w:t>
      </w:r>
      <w:r w:rsidR="00C64050">
        <w:t xml:space="preserve"> </w:t>
      </w:r>
      <w:r>
        <w:t>as</w:t>
      </w:r>
      <w:r w:rsidR="00C64050">
        <w:t xml:space="preserve"> </w:t>
      </w:r>
      <w:r>
        <w:t>the</w:t>
      </w:r>
      <w:r w:rsidR="00C64050">
        <w:t xml:space="preserve"> </w:t>
      </w:r>
      <w:r>
        <w:t>trustee</w:t>
      </w:r>
      <w:r w:rsidR="00C64050">
        <w:t xml:space="preserve"> </w:t>
      </w:r>
      <w:r>
        <w:t>in</w:t>
      </w:r>
      <w:r w:rsidR="00C64050">
        <w:t xml:space="preserve"> </w:t>
      </w:r>
      <w:r>
        <w:t>its</w:t>
      </w:r>
      <w:r w:rsidR="00C64050">
        <w:t xml:space="preserve"> </w:t>
      </w:r>
      <w:r>
        <w:t>sole</w:t>
      </w:r>
      <w:r w:rsidR="00C64050">
        <w:t xml:space="preserve"> </w:t>
      </w:r>
      <w:r>
        <w:t>and</w:t>
      </w:r>
      <w:r w:rsidR="00C64050">
        <w:t xml:space="preserve"> </w:t>
      </w:r>
      <w:r>
        <w:t>absolute</w:t>
      </w:r>
      <w:r w:rsidR="00C64050">
        <w:t xml:space="preserve"> </w:t>
      </w:r>
      <w:r>
        <w:t>discretion</w:t>
      </w:r>
      <w:r w:rsidR="00C64050">
        <w:t xml:space="preserve"> </w:t>
      </w:r>
      <w:r>
        <w:t>believes</w:t>
      </w:r>
      <w:r w:rsidR="00C64050">
        <w:t xml:space="preserve"> </w:t>
      </w:r>
      <w:r>
        <w:t>will</w:t>
      </w:r>
      <w:r w:rsidR="00C64050">
        <w:t xml:space="preserve"> </w:t>
      </w:r>
      <w:r>
        <w:t>be</w:t>
      </w:r>
      <w:r w:rsidR="00C64050">
        <w:t xml:space="preserve"> </w:t>
      </w:r>
      <w:r>
        <w:t>in</w:t>
      </w:r>
      <w:r w:rsidR="00C64050">
        <w:t xml:space="preserve"> </w:t>
      </w:r>
      <w:r>
        <w:t>the</w:t>
      </w:r>
      <w:r w:rsidR="00C64050">
        <w:t xml:space="preserve"> </w:t>
      </w:r>
      <w:r>
        <w:t>best</w:t>
      </w:r>
      <w:r w:rsidR="00C64050">
        <w:t xml:space="preserve"> </w:t>
      </w:r>
      <w:r>
        <w:t>interest</w:t>
      </w:r>
      <w:r w:rsidR="00C64050">
        <w:t xml:space="preserve"> </w:t>
      </w:r>
      <w:r>
        <w:t>of</w:t>
      </w:r>
      <w:r w:rsidR="00C64050">
        <w:t xml:space="preserve"> </w:t>
      </w:r>
      <w:r>
        <w:t>and</w:t>
      </w:r>
      <w:r w:rsidR="00C64050">
        <w:t xml:space="preserve"> </w:t>
      </w:r>
      <w:r>
        <w:t>tend</w:t>
      </w:r>
      <w:r w:rsidR="00C64050">
        <w:t xml:space="preserve"> </w:t>
      </w:r>
      <w:r>
        <w:t>to</w:t>
      </w:r>
      <w:r w:rsidR="00C64050">
        <w:t xml:space="preserve"> </w:t>
      </w:r>
      <w:r>
        <w:t>promote</w:t>
      </w:r>
      <w:r w:rsidR="00C64050">
        <w:t xml:space="preserve"> </w:t>
      </w:r>
      <w:r>
        <w:t>the</w:t>
      </w:r>
      <w:r w:rsidR="00C64050">
        <w:t xml:space="preserve"> </w:t>
      </w:r>
      <w:r>
        <w:t>welfare</w:t>
      </w:r>
      <w:r w:rsidR="00C64050">
        <w:t xml:space="preserve"> </w:t>
      </w:r>
      <w:r>
        <w:t>of</w:t>
      </w:r>
      <w:r w:rsidR="00C64050">
        <w:t xml:space="preserve"> </w:t>
      </w:r>
      <w:r>
        <w:t>such</w:t>
      </w:r>
      <w:r w:rsidR="00C64050">
        <w:t xml:space="preserve"> </w:t>
      </w:r>
      <w:r>
        <w:t>beneficiary.</w:t>
      </w:r>
    </w:p>
    <w:p w:rsidR="00EA1F10" w:rsidRDefault="00EA1F10" w:rsidP="00EA1F10">
      <w:pPr>
        <w:pStyle w:val="Body15"/>
      </w:pPr>
      <w:r>
        <w:t>No</w:t>
      </w:r>
      <w:r w:rsidR="00C64050">
        <w:t xml:space="preserve"> </w:t>
      </w:r>
      <w:r>
        <w:t>governing</w:t>
      </w:r>
      <w:r w:rsidR="00C64050">
        <w:t xml:space="preserve"> </w:t>
      </w:r>
      <w:r>
        <w:t>law</w:t>
      </w:r>
      <w:r w:rsidR="00C64050">
        <w:t xml:space="preserve"> </w:t>
      </w:r>
      <w:r>
        <w:t>for</w:t>
      </w:r>
      <w:r w:rsidR="00C64050">
        <w:t xml:space="preserve"> </w:t>
      </w:r>
      <w:r>
        <w:t>the</w:t>
      </w:r>
      <w:r w:rsidR="00C64050">
        <w:t xml:space="preserve"> </w:t>
      </w:r>
      <w:r>
        <w:t>trust</w:t>
      </w:r>
      <w:r w:rsidR="00C64050">
        <w:t xml:space="preserve"> </w:t>
      </w:r>
      <w:r>
        <w:t>was</w:t>
      </w:r>
      <w:r w:rsidR="00C64050">
        <w:t xml:space="preserve"> </w:t>
      </w:r>
      <w:r>
        <w:t>specified</w:t>
      </w:r>
      <w:r w:rsidR="00C64050">
        <w:t xml:space="preserve"> </w:t>
      </w:r>
      <w:r>
        <w:t>and</w:t>
      </w:r>
      <w:r w:rsidR="00C64050">
        <w:t xml:space="preserve"> </w:t>
      </w:r>
      <w:r>
        <w:t>the</w:t>
      </w:r>
      <w:r w:rsidR="00C64050">
        <w:t xml:space="preserve"> </w:t>
      </w:r>
      <w:r>
        <w:t>decedent/trustee</w:t>
      </w:r>
      <w:r w:rsidR="00C64050">
        <w:t xml:space="preserve"> </w:t>
      </w:r>
      <w:r>
        <w:t>moved</w:t>
      </w:r>
      <w:r w:rsidR="00C64050">
        <w:t xml:space="preserve"> </w:t>
      </w:r>
      <w:r>
        <w:t>from</w:t>
      </w:r>
      <w:r w:rsidR="00C64050">
        <w:t xml:space="preserve"> </w:t>
      </w:r>
      <w:r>
        <w:t>one</w:t>
      </w:r>
      <w:r w:rsidR="00C64050">
        <w:t xml:space="preserve"> </w:t>
      </w:r>
      <w:r>
        <w:t>state</w:t>
      </w:r>
      <w:r w:rsidR="00C64050">
        <w:t xml:space="preserve"> </w:t>
      </w:r>
      <w:r>
        <w:t>to</w:t>
      </w:r>
      <w:r w:rsidR="00C64050">
        <w:t xml:space="preserve"> </w:t>
      </w:r>
      <w:r>
        <w:t>anot</w:t>
      </w:r>
      <w:r w:rsidR="00FA3F52">
        <w:t>h</w:t>
      </w:r>
      <w:r>
        <w:t>er.</w:t>
      </w:r>
      <w:r w:rsidR="00C64050">
        <w:t xml:space="preserve">  </w:t>
      </w:r>
      <w:r>
        <w:t>The</w:t>
      </w:r>
      <w:r w:rsidR="00C64050">
        <w:t xml:space="preserve"> </w:t>
      </w:r>
      <w:r>
        <w:t>IRS</w:t>
      </w:r>
      <w:r w:rsidR="00C64050">
        <w:t xml:space="preserve"> </w:t>
      </w:r>
      <w:r>
        <w:t>notes</w:t>
      </w:r>
      <w:r w:rsidR="00C64050">
        <w:t xml:space="preserve"> </w:t>
      </w:r>
      <w:r>
        <w:t>the</w:t>
      </w:r>
      <w:r w:rsidR="00C64050">
        <w:t xml:space="preserve"> </w:t>
      </w:r>
      <w:r>
        <w:t>applicable</w:t>
      </w:r>
      <w:r w:rsidR="00C64050">
        <w:t xml:space="preserve"> </w:t>
      </w:r>
      <w:r>
        <w:t>state</w:t>
      </w:r>
      <w:r w:rsidR="00C64050">
        <w:t xml:space="preserve"> </w:t>
      </w:r>
      <w:r>
        <w:t>law:</w:t>
      </w:r>
    </w:p>
    <w:p w:rsidR="00BF61EC" w:rsidRPr="00BF61EC" w:rsidRDefault="00BF61EC" w:rsidP="00BF61EC">
      <w:pPr>
        <w:pStyle w:val="QS10"/>
        <w:rPr>
          <w:szCs w:val="20"/>
        </w:rPr>
      </w:pPr>
      <w:r w:rsidRPr="00BF61EC">
        <w:rPr>
          <w:szCs w:val="20"/>
        </w:rPr>
        <w:t>In</w:t>
      </w:r>
      <w:r w:rsidR="00C64050">
        <w:rPr>
          <w:szCs w:val="20"/>
        </w:rPr>
        <w:t xml:space="preserve"> </w:t>
      </w:r>
      <w:r w:rsidRPr="00BF61EC">
        <w:rPr>
          <w:szCs w:val="20"/>
        </w:rPr>
        <w:t>Year</w:t>
      </w:r>
      <w:r w:rsidR="00C64050">
        <w:rPr>
          <w:szCs w:val="20"/>
        </w:rPr>
        <w:t xml:space="preserve"> </w:t>
      </w:r>
      <w:r w:rsidRPr="00BF61EC">
        <w:rPr>
          <w:szCs w:val="20"/>
        </w:rPr>
        <w:t>1,</w:t>
      </w:r>
      <w:r w:rsidR="00C64050">
        <w:rPr>
          <w:szCs w:val="20"/>
        </w:rPr>
        <w:t xml:space="preserve"> </w:t>
      </w:r>
      <w:r w:rsidRPr="00BF61EC">
        <w:rPr>
          <w:szCs w:val="20"/>
        </w:rPr>
        <w:t>while</w:t>
      </w:r>
      <w:r w:rsidR="00C64050">
        <w:rPr>
          <w:szCs w:val="20"/>
        </w:rPr>
        <w:t xml:space="preserve"> </w:t>
      </w:r>
      <w:r w:rsidRPr="00BF61EC">
        <w:rPr>
          <w:szCs w:val="20"/>
        </w:rPr>
        <w:t>Decedent</w:t>
      </w:r>
      <w:r w:rsidR="00C64050">
        <w:rPr>
          <w:szCs w:val="20"/>
        </w:rPr>
        <w:t xml:space="preserve"> </w:t>
      </w:r>
      <w:r w:rsidRPr="00BF61EC">
        <w:rPr>
          <w:szCs w:val="20"/>
        </w:rPr>
        <w:t>was</w:t>
      </w:r>
      <w:r w:rsidR="00C64050">
        <w:rPr>
          <w:szCs w:val="20"/>
        </w:rPr>
        <w:t xml:space="preserve"> </w:t>
      </w:r>
      <w:r w:rsidRPr="00BF61EC">
        <w:rPr>
          <w:szCs w:val="20"/>
        </w:rPr>
        <w:t>residing</w:t>
      </w:r>
      <w:r w:rsidR="00C64050">
        <w:rPr>
          <w:szCs w:val="20"/>
        </w:rPr>
        <w:t xml:space="preserve"> </w:t>
      </w:r>
      <w:r w:rsidRPr="00BF61EC">
        <w:rPr>
          <w:szCs w:val="20"/>
        </w:rPr>
        <w:t>in</w:t>
      </w:r>
      <w:r w:rsidR="00C64050">
        <w:rPr>
          <w:szCs w:val="20"/>
        </w:rPr>
        <w:t xml:space="preserve"> </w:t>
      </w:r>
      <w:r w:rsidRPr="00BF61EC">
        <w:rPr>
          <w:szCs w:val="20"/>
        </w:rPr>
        <w:t>State</w:t>
      </w:r>
      <w:r w:rsidR="00C64050">
        <w:rPr>
          <w:szCs w:val="20"/>
        </w:rPr>
        <w:t xml:space="preserve"> </w:t>
      </w:r>
      <w:r w:rsidRPr="00BF61EC">
        <w:rPr>
          <w:szCs w:val="20"/>
        </w:rPr>
        <w:t>A,</w:t>
      </w:r>
      <w:r w:rsidR="00C64050">
        <w:rPr>
          <w:szCs w:val="20"/>
        </w:rPr>
        <w:t xml:space="preserve"> </w:t>
      </w:r>
      <w:r w:rsidRPr="00BF61EC">
        <w:rPr>
          <w:szCs w:val="20"/>
        </w:rPr>
        <w:t>State</w:t>
      </w:r>
      <w:r w:rsidR="00C64050">
        <w:rPr>
          <w:szCs w:val="20"/>
        </w:rPr>
        <w:t xml:space="preserve"> </w:t>
      </w:r>
      <w:r w:rsidRPr="00BF61EC">
        <w:rPr>
          <w:szCs w:val="20"/>
        </w:rPr>
        <w:t>A</w:t>
      </w:r>
      <w:r w:rsidR="00C64050">
        <w:rPr>
          <w:szCs w:val="20"/>
        </w:rPr>
        <w:t xml:space="preserve"> </w:t>
      </w:r>
      <w:r w:rsidRPr="00BF61EC">
        <w:rPr>
          <w:szCs w:val="20"/>
        </w:rPr>
        <w:t>enacted</w:t>
      </w:r>
      <w:r w:rsidR="00C64050">
        <w:rPr>
          <w:szCs w:val="20"/>
        </w:rPr>
        <w:t xml:space="preserve"> </w:t>
      </w:r>
      <w:r w:rsidRPr="00BF61EC">
        <w:rPr>
          <w:szCs w:val="20"/>
        </w:rPr>
        <w:t>Statute</w:t>
      </w:r>
      <w:r w:rsidR="00C64050">
        <w:rPr>
          <w:szCs w:val="20"/>
        </w:rPr>
        <w:t xml:space="preserve"> </w:t>
      </w:r>
      <w:r w:rsidRPr="00BF61EC">
        <w:rPr>
          <w:szCs w:val="20"/>
        </w:rPr>
        <w:t>1,</w:t>
      </w:r>
      <w:r w:rsidR="00C64050">
        <w:rPr>
          <w:szCs w:val="20"/>
        </w:rPr>
        <w:t xml:space="preserve"> </w:t>
      </w:r>
      <w:r w:rsidRPr="00BF61EC">
        <w:rPr>
          <w:szCs w:val="20"/>
        </w:rPr>
        <w:t>which</w:t>
      </w:r>
      <w:r w:rsidR="00C64050">
        <w:rPr>
          <w:szCs w:val="20"/>
        </w:rPr>
        <w:t xml:space="preserve"> </w:t>
      </w:r>
      <w:r w:rsidRPr="00BF61EC">
        <w:rPr>
          <w:szCs w:val="20"/>
        </w:rPr>
        <w:t>provides</w:t>
      </w:r>
      <w:r w:rsidR="00C64050">
        <w:rPr>
          <w:szCs w:val="20"/>
        </w:rPr>
        <w:t xml:space="preserve"> </w:t>
      </w:r>
      <w:r w:rsidRPr="00BF61EC">
        <w:rPr>
          <w:szCs w:val="20"/>
        </w:rPr>
        <w:t>in</w:t>
      </w:r>
      <w:r w:rsidR="00C64050">
        <w:rPr>
          <w:szCs w:val="20"/>
        </w:rPr>
        <w:t xml:space="preserve"> </w:t>
      </w:r>
      <w:r w:rsidRPr="00BF61EC">
        <w:rPr>
          <w:szCs w:val="20"/>
        </w:rPr>
        <w:t>part</w:t>
      </w:r>
      <w:r w:rsidR="00C64050">
        <w:rPr>
          <w:szCs w:val="20"/>
        </w:rPr>
        <w:t xml:space="preserve"> </w:t>
      </w:r>
      <w:r w:rsidRPr="00BF61EC">
        <w:rPr>
          <w:szCs w:val="20"/>
        </w:rPr>
        <w:t>that</w:t>
      </w:r>
      <w:r w:rsidR="00C64050">
        <w:rPr>
          <w:szCs w:val="20"/>
        </w:rPr>
        <w:t xml:space="preserve"> </w:t>
      </w:r>
      <w:r w:rsidRPr="00BF61EC">
        <w:rPr>
          <w:szCs w:val="20"/>
        </w:rPr>
        <w:t>unless</w:t>
      </w:r>
      <w:r w:rsidR="00C64050">
        <w:rPr>
          <w:szCs w:val="20"/>
        </w:rPr>
        <w:t xml:space="preserve"> </w:t>
      </w:r>
      <w:r w:rsidRPr="00BF61EC">
        <w:rPr>
          <w:szCs w:val="20"/>
        </w:rPr>
        <w:t>a</w:t>
      </w:r>
      <w:r w:rsidR="00C64050">
        <w:rPr>
          <w:szCs w:val="20"/>
        </w:rPr>
        <w:t xml:space="preserve"> </w:t>
      </w:r>
      <w:r w:rsidRPr="00BF61EC">
        <w:rPr>
          <w:szCs w:val="20"/>
        </w:rPr>
        <w:t>settlor</w:t>
      </w:r>
      <w:r w:rsidR="00C64050">
        <w:rPr>
          <w:szCs w:val="20"/>
        </w:rPr>
        <w:t xml:space="preserve"> </w:t>
      </w:r>
      <w:r w:rsidRPr="00BF61EC">
        <w:rPr>
          <w:szCs w:val="20"/>
        </w:rPr>
        <w:t>or</w:t>
      </w:r>
      <w:r w:rsidR="00C64050">
        <w:rPr>
          <w:szCs w:val="20"/>
        </w:rPr>
        <w:t xml:space="preserve"> </w:t>
      </w:r>
      <w:r w:rsidRPr="00BF61EC">
        <w:rPr>
          <w:szCs w:val="20"/>
        </w:rPr>
        <w:t>a</w:t>
      </w:r>
      <w:r w:rsidR="00C64050">
        <w:rPr>
          <w:szCs w:val="20"/>
        </w:rPr>
        <w:t xml:space="preserve"> </w:t>
      </w:r>
      <w:r w:rsidRPr="00BF61EC">
        <w:rPr>
          <w:szCs w:val="20"/>
        </w:rPr>
        <w:t>testator</w:t>
      </w:r>
      <w:r w:rsidR="00C64050">
        <w:rPr>
          <w:szCs w:val="20"/>
        </w:rPr>
        <w:t xml:space="preserve"> </w:t>
      </w:r>
      <w:r w:rsidRPr="00BF61EC">
        <w:rPr>
          <w:szCs w:val="20"/>
        </w:rPr>
        <w:t>clearly</w:t>
      </w:r>
      <w:r w:rsidR="00C64050">
        <w:rPr>
          <w:szCs w:val="20"/>
        </w:rPr>
        <w:t xml:space="preserve"> </w:t>
      </w:r>
      <w:r w:rsidRPr="00BF61EC">
        <w:rPr>
          <w:szCs w:val="20"/>
        </w:rPr>
        <w:t>indicates</w:t>
      </w:r>
      <w:r w:rsidR="00C64050">
        <w:rPr>
          <w:szCs w:val="20"/>
        </w:rPr>
        <w:t xml:space="preserve"> </w:t>
      </w:r>
      <w:r w:rsidRPr="00BF61EC">
        <w:rPr>
          <w:szCs w:val="20"/>
        </w:rPr>
        <w:t>that</w:t>
      </w:r>
      <w:r w:rsidR="00C64050">
        <w:rPr>
          <w:szCs w:val="20"/>
        </w:rPr>
        <w:t xml:space="preserve"> </w:t>
      </w:r>
      <w:r w:rsidRPr="00BF61EC">
        <w:rPr>
          <w:szCs w:val="20"/>
        </w:rPr>
        <w:t>a</w:t>
      </w:r>
      <w:r w:rsidR="00C64050">
        <w:rPr>
          <w:szCs w:val="20"/>
        </w:rPr>
        <w:t xml:space="preserve"> </w:t>
      </w:r>
      <w:r w:rsidRPr="00BF61EC">
        <w:rPr>
          <w:szCs w:val="20"/>
        </w:rPr>
        <w:t>broader</w:t>
      </w:r>
      <w:r w:rsidR="00C64050">
        <w:rPr>
          <w:szCs w:val="20"/>
        </w:rPr>
        <w:t xml:space="preserve"> </w:t>
      </w:r>
      <w:r w:rsidRPr="00BF61EC">
        <w:rPr>
          <w:szCs w:val="20"/>
        </w:rPr>
        <w:t>power</w:t>
      </w:r>
      <w:r w:rsidR="00C64050">
        <w:rPr>
          <w:szCs w:val="20"/>
        </w:rPr>
        <w:t xml:space="preserve"> </w:t>
      </w:r>
      <w:r w:rsidRPr="00BF61EC">
        <w:rPr>
          <w:szCs w:val="20"/>
        </w:rPr>
        <w:t>is</w:t>
      </w:r>
      <w:r w:rsidR="00C64050">
        <w:rPr>
          <w:szCs w:val="20"/>
        </w:rPr>
        <w:t xml:space="preserve"> </w:t>
      </w:r>
      <w:r w:rsidRPr="00BF61EC">
        <w:rPr>
          <w:szCs w:val="20"/>
        </w:rPr>
        <w:t>intended</w:t>
      </w:r>
      <w:r w:rsidR="00C64050">
        <w:rPr>
          <w:szCs w:val="20"/>
        </w:rPr>
        <w:t xml:space="preserve"> </w:t>
      </w:r>
      <w:r w:rsidRPr="00BF61EC">
        <w:rPr>
          <w:szCs w:val="20"/>
        </w:rPr>
        <w:t>by</w:t>
      </w:r>
      <w:r w:rsidR="00C64050">
        <w:rPr>
          <w:szCs w:val="20"/>
        </w:rPr>
        <w:t xml:space="preserve"> </w:t>
      </w:r>
      <w:r w:rsidRPr="00BF61EC">
        <w:rPr>
          <w:szCs w:val="20"/>
        </w:rPr>
        <w:t>express</w:t>
      </w:r>
      <w:r w:rsidR="00C64050">
        <w:rPr>
          <w:szCs w:val="20"/>
        </w:rPr>
        <w:t xml:space="preserve"> </w:t>
      </w:r>
      <w:r w:rsidRPr="00BF61EC">
        <w:rPr>
          <w:szCs w:val="20"/>
        </w:rPr>
        <w:t>reference</w:t>
      </w:r>
      <w:r w:rsidR="00C64050">
        <w:rPr>
          <w:szCs w:val="20"/>
        </w:rPr>
        <w:t xml:space="preserve"> </w:t>
      </w:r>
      <w:r w:rsidRPr="00BF61EC">
        <w:rPr>
          <w:szCs w:val="20"/>
        </w:rPr>
        <w:t>to</w:t>
      </w:r>
      <w:r w:rsidR="00C64050">
        <w:rPr>
          <w:szCs w:val="20"/>
        </w:rPr>
        <w:t xml:space="preserve"> </w:t>
      </w:r>
      <w:r w:rsidRPr="00BF61EC">
        <w:rPr>
          <w:szCs w:val="20"/>
        </w:rPr>
        <w:t>Statute</w:t>
      </w:r>
      <w:r w:rsidR="00C64050">
        <w:rPr>
          <w:szCs w:val="20"/>
        </w:rPr>
        <w:t xml:space="preserve"> </w:t>
      </w:r>
      <w:r w:rsidRPr="00BF61EC">
        <w:rPr>
          <w:szCs w:val="20"/>
        </w:rPr>
        <w:t>1,</w:t>
      </w:r>
      <w:r w:rsidR="00C64050">
        <w:rPr>
          <w:szCs w:val="20"/>
        </w:rPr>
        <w:t xml:space="preserve"> </w:t>
      </w:r>
      <w:r w:rsidRPr="00BF61EC">
        <w:rPr>
          <w:szCs w:val="20"/>
        </w:rPr>
        <w:t>a</w:t>
      </w:r>
      <w:r w:rsidR="00C64050">
        <w:rPr>
          <w:szCs w:val="20"/>
        </w:rPr>
        <w:t xml:space="preserve"> </w:t>
      </w:r>
      <w:r w:rsidRPr="00BF61EC">
        <w:rPr>
          <w:szCs w:val="20"/>
        </w:rPr>
        <w:t>person</w:t>
      </w:r>
      <w:r w:rsidR="00C64050">
        <w:rPr>
          <w:szCs w:val="20"/>
        </w:rPr>
        <w:t xml:space="preserve"> </w:t>
      </w:r>
      <w:r w:rsidRPr="00BF61EC">
        <w:rPr>
          <w:szCs w:val="20"/>
        </w:rPr>
        <w:t>who</w:t>
      </w:r>
      <w:r w:rsidR="00C64050">
        <w:rPr>
          <w:szCs w:val="20"/>
        </w:rPr>
        <w:t xml:space="preserve"> </w:t>
      </w:r>
      <w:r w:rsidRPr="00BF61EC">
        <w:rPr>
          <w:szCs w:val="20"/>
        </w:rPr>
        <w:t>is</w:t>
      </w:r>
      <w:r w:rsidR="00C64050">
        <w:rPr>
          <w:szCs w:val="20"/>
        </w:rPr>
        <w:t xml:space="preserve"> </w:t>
      </w:r>
      <w:r w:rsidRPr="00BF61EC">
        <w:rPr>
          <w:szCs w:val="20"/>
        </w:rPr>
        <w:t>a</w:t>
      </w:r>
      <w:r w:rsidR="00C64050">
        <w:rPr>
          <w:szCs w:val="20"/>
        </w:rPr>
        <w:t xml:space="preserve"> </w:t>
      </w:r>
      <w:r w:rsidRPr="00BF61EC">
        <w:rPr>
          <w:szCs w:val="20"/>
        </w:rPr>
        <w:t>beneficiary</w:t>
      </w:r>
      <w:r w:rsidR="00C64050">
        <w:rPr>
          <w:szCs w:val="20"/>
        </w:rPr>
        <w:t xml:space="preserve"> </w:t>
      </w:r>
      <w:r w:rsidRPr="00BF61EC">
        <w:rPr>
          <w:szCs w:val="20"/>
        </w:rPr>
        <w:t>of</w:t>
      </w:r>
      <w:r w:rsidR="00C64050">
        <w:rPr>
          <w:szCs w:val="20"/>
        </w:rPr>
        <w:t xml:space="preserve"> </w:t>
      </w:r>
      <w:r w:rsidRPr="00BF61EC">
        <w:rPr>
          <w:szCs w:val="20"/>
        </w:rPr>
        <w:t>a</w:t>
      </w:r>
      <w:r w:rsidR="00C64050">
        <w:rPr>
          <w:szCs w:val="20"/>
        </w:rPr>
        <w:t xml:space="preserve"> </w:t>
      </w:r>
      <w:r w:rsidRPr="00BF61EC">
        <w:rPr>
          <w:szCs w:val="20"/>
        </w:rPr>
        <w:t>trust</w:t>
      </w:r>
      <w:r w:rsidR="00C64050">
        <w:rPr>
          <w:szCs w:val="20"/>
        </w:rPr>
        <w:t xml:space="preserve"> </w:t>
      </w:r>
      <w:r w:rsidRPr="00BF61EC">
        <w:rPr>
          <w:szCs w:val="20"/>
        </w:rPr>
        <w:t>that</w:t>
      </w:r>
      <w:r w:rsidR="00C64050">
        <w:rPr>
          <w:szCs w:val="20"/>
        </w:rPr>
        <w:t xml:space="preserve"> </w:t>
      </w:r>
      <w:r w:rsidRPr="00BF61EC">
        <w:rPr>
          <w:szCs w:val="20"/>
        </w:rPr>
        <w:t>permits</w:t>
      </w:r>
      <w:r w:rsidR="00C64050">
        <w:rPr>
          <w:szCs w:val="20"/>
        </w:rPr>
        <w:t xml:space="preserve"> </w:t>
      </w:r>
      <w:r w:rsidRPr="00BF61EC">
        <w:rPr>
          <w:szCs w:val="20"/>
        </w:rPr>
        <w:t>the</w:t>
      </w:r>
      <w:r w:rsidR="00C64050">
        <w:rPr>
          <w:szCs w:val="20"/>
        </w:rPr>
        <w:t xml:space="preserve"> </w:t>
      </w:r>
      <w:r w:rsidRPr="00BF61EC">
        <w:rPr>
          <w:szCs w:val="20"/>
        </w:rPr>
        <w:t>person,</w:t>
      </w:r>
      <w:r w:rsidR="00C64050">
        <w:rPr>
          <w:szCs w:val="20"/>
        </w:rPr>
        <w:t xml:space="preserve"> </w:t>
      </w:r>
      <w:r w:rsidRPr="00BF61EC">
        <w:rPr>
          <w:szCs w:val="20"/>
        </w:rPr>
        <w:t>as</w:t>
      </w:r>
      <w:r w:rsidR="00C64050">
        <w:rPr>
          <w:szCs w:val="20"/>
        </w:rPr>
        <w:t xml:space="preserve"> </w:t>
      </w:r>
      <w:r w:rsidRPr="00BF61EC">
        <w:rPr>
          <w:szCs w:val="20"/>
        </w:rPr>
        <w:t>trustee</w:t>
      </w:r>
      <w:r w:rsidR="00C64050">
        <w:rPr>
          <w:szCs w:val="20"/>
        </w:rPr>
        <w:t xml:space="preserve"> </w:t>
      </w:r>
      <w:r w:rsidRPr="00BF61EC">
        <w:rPr>
          <w:szCs w:val="20"/>
        </w:rPr>
        <w:t>or</w:t>
      </w:r>
      <w:r w:rsidR="00C64050">
        <w:rPr>
          <w:szCs w:val="20"/>
        </w:rPr>
        <w:t xml:space="preserve"> </w:t>
      </w:r>
      <w:r w:rsidRPr="00BF61EC">
        <w:rPr>
          <w:szCs w:val="20"/>
        </w:rPr>
        <w:t>co-trustee,</w:t>
      </w:r>
      <w:r w:rsidR="00C64050">
        <w:rPr>
          <w:szCs w:val="20"/>
        </w:rPr>
        <w:t xml:space="preserve"> </w:t>
      </w:r>
      <w:r w:rsidRPr="00BF61EC">
        <w:rPr>
          <w:szCs w:val="20"/>
        </w:rPr>
        <w:t>to</w:t>
      </w:r>
      <w:r w:rsidR="00C64050">
        <w:rPr>
          <w:szCs w:val="20"/>
        </w:rPr>
        <w:t xml:space="preserve"> </w:t>
      </w:r>
      <w:r w:rsidRPr="00BF61EC">
        <w:rPr>
          <w:szCs w:val="20"/>
        </w:rPr>
        <w:t>make</w:t>
      </w:r>
      <w:r w:rsidR="00C64050">
        <w:rPr>
          <w:szCs w:val="20"/>
        </w:rPr>
        <w:t xml:space="preserve"> </w:t>
      </w:r>
      <w:r w:rsidRPr="00BF61EC">
        <w:rPr>
          <w:szCs w:val="20"/>
        </w:rPr>
        <w:t>discretionary</w:t>
      </w:r>
      <w:r w:rsidR="00C64050">
        <w:rPr>
          <w:szCs w:val="20"/>
        </w:rPr>
        <w:t xml:space="preserve"> </w:t>
      </w:r>
      <w:r w:rsidRPr="00BF61EC">
        <w:rPr>
          <w:szCs w:val="20"/>
        </w:rPr>
        <w:t>distributions</w:t>
      </w:r>
      <w:r w:rsidR="00C64050">
        <w:rPr>
          <w:szCs w:val="20"/>
        </w:rPr>
        <w:t xml:space="preserve"> </w:t>
      </w:r>
      <w:r w:rsidRPr="00BF61EC">
        <w:rPr>
          <w:szCs w:val="20"/>
        </w:rPr>
        <w:t>of</w:t>
      </w:r>
      <w:r w:rsidR="00C64050">
        <w:rPr>
          <w:szCs w:val="20"/>
        </w:rPr>
        <w:t xml:space="preserve"> </w:t>
      </w:r>
      <w:r w:rsidRPr="00BF61EC">
        <w:rPr>
          <w:szCs w:val="20"/>
        </w:rPr>
        <w:t>income</w:t>
      </w:r>
      <w:r w:rsidR="00C64050">
        <w:rPr>
          <w:szCs w:val="20"/>
        </w:rPr>
        <w:t xml:space="preserve"> </w:t>
      </w:r>
      <w:r w:rsidRPr="00BF61EC">
        <w:rPr>
          <w:szCs w:val="20"/>
        </w:rPr>
        <w:t>or</w:t>
      </w:r>
      <w:r w:rsidR="00C64050">
        <w:rPr>
          <w:szCs w:val="20"/>
        </w:rPr>
        <w:t xml:space="preserve"> </w:t>
      </w:r>
      <w:r w:rsidRPr="00BF61EC">
        <w:rPr>
          <w:szCs w:val="20"/>
        </w:rPr>
        <w:t>principal</w:t>
      </w:r>
      <w:r w:rsidR="00C64050">
        <w:rPr>
          <w:szCs w:val="20"/>
        </w:rPr>
        <w:t xml:space="preserve"> </w:t>
      </w:r>
      <w:r w:rsidRPr="00BF61EC">
        <w:rPr>
          <w:szCs w:val="20"/>
        </w:rPr>
        <w:t>to</w:t>
      </w:r>
      <w:r w:rsidR="00C64050">
        <w:rPr>
          <w:szCs w:val="20"/>
        </w:rPr>
        <w:t xml:space="preserve"> </w:t>
      </w:r>
      <w:r w:rsidRPr="00BF61EC">
        <w:rPr>
          <w:szCs w:val="20"/>
        </w:rPr>
        <w:t>or</w:t>
      </w:r>
      <w:r w:rsidR="00C64050">
        <w:rPr>
          <w:szCs w:val="20"/>
        </w:rPr>
        <w:t xml:space="preserve"> </w:t>
      </w:r>
      <w:r w:rsidRPr="00BF61EC">
        <w:rPr>
          <w:szCs w:val="20"/>
        </w:rPr>
        <w:t>for</w:t>
      </w:r>
      <w:r w:rsidR="00C64050">
        <w:rPr>
          <w:szCs w:val="20"/>
        </w:rPr>
        <w:t xml:space="preserve"> </w:t>
      </w:r>
      <w:r w:rsidRPr="00BF61EC">
        <w:rPr>
          <w:szCs w:val="20"/>
        </w:rPr>
        <w:t>the</w:t>
      </w:r>
      <w:r w:rsidR="00C64050">
        <w:rPr>
          <w:szCs w:val="20"/>
        </w:rPr>
        <w:t xml:space="preserve"> </w:t>
      </w:r>
      <w:r w:rsidRPr="00BF61EC">
        <w:rPr>
          <w:szCs w:val="20"/>
        </w:rPr>
        <w:t>benefit</w:t>
      </w:r>
      <w:r w:rsidR="00C64050">
        <w:rPr>
          <w:szCs w:val="20"/>
        </w:rPr>
        <w:t xml:space="preserve"> </w:t>
      </w:r>
      <w:r w:rsidRPr="00BF61EC">
        <w:rPr>
          <w:szCs w:val="20"/>
        </w:rPr>
        <w:t>of</w:t>
      </w:r>
      <w:r w:rsidR="00C64050">
        <w:rPr>
          <w:szCs w:val="20"/>
        </w:rPr>
        <w:t xml:space="preserve"> </w:t>
      </w:r>
      <w:r w:rsidRPr="00BF61EC">
        <w:rPr>
          <w:szCs w:val="20"/>
        </w:rPr>
        <w:t>himself</w:t>
      </w:r>
      <w:r w:rsidR="00C64050">
        <w:rPr>
          <w:szCs w:val="20"/>
        </w:rPr>
        <w:t xml:space="preserve"> </w:t>
      </w:r>
      <w:r w:rsidRPr="00BF61EC">
        <w:rPr>
          <w:szCs w:val="20"/>
        </w:rPr>
        <w:t>or</w:t>
      </w:r>
      <w:r w:rsidR="00C64050">
        <w:rPr>
          <w:szCs w:val="20"/>
        </w:rPr>
        <w:t xml:space="preserve"> </w:t>
      </w:r>
      <w:r w:rsidRPr="00BF61EC">
        <w:rPr>
          <w:szCs w:val="20"/>
        </w:rPr>
        <w:t>herself</w:t>
      </w:r>
      <w:r w:rsidR="00C64050">
        <w:rPr>
          <w:szCs w:val="20"/>
        </w:rPr>
        <w:t xml:space="preserve"> </w:t>
      </w:r>
      <w:r w:rsidRPr="00BF61EC">
        <w:rPr>
          <w:szCs w:val="20"/>
        </w:rPr>
        <w:t>may</w:t>
      </w:r>
      <w:r w:rsidR="00C64050">
        <w:rPr>
          <w:szCs w:val="20"/>
        </w:rPr>
        <w:t xml:space="preserve"> </w:t>
      </w:r>
      <w:r w:rsidRPr="00BF61EC">
        <w:rPr>
          <w:szCs w:val="20"/>
        </w:rPr>
        <w:t>exercise</w:t>
      </w:r>
      <w:r w:rsidR="00C64050">
        <w:rPr>
          <w:szCs w:val="20"/>
        </w:rPr>
        <w:t xml:space="preserve"> </w:t>
      </w:r>
      <w:r w:rsidRPr="00BF61EC">
        <w:rPr>
          <w:szCs w:val="20"/>
        </w:rPr>
        <w:t>that</w:t>
      </w:r>
      <w:r w:rsidR="00C64050">
        <w:rPr>
          <w:szCs w:val="20"/>
        </w:rPr>
        <w:t xml:space="preserve"> </w:t>
      </w:r>
      <w:r w:rsidRPr="00BF61EC">
        <w:rPr>
          <w:szCs w:val="20"/>
        </w:rPr>
        <w:t>power</w:t>
      </w:r>
      <w:r w:rsidR="00C64050">
        <w:rPr>
          <w:szCs w:val="20"/>
        </w:rPr>
        <w:t xml:space="preserve"> </w:t>
      </w:r>
      <w:r w:rsidRPr="00BF61EC">
        <w:rPr>
          <w:szCs w:val="20"/>
        </w:rPr>
        <w:t>in</w:t>
      </w:r>
      <w:r w:rsidR="00C64050">
        <w:rPr>
          <w:szCs w:val="20"/>
        </w:rPr>
        <w:t xml:space="preserve"> </w:t>
      </w:r>
      <w:r w:rsidRPr="00BF61EC">
        <w:rPr>
          <w:szCs w:val="20"/>
        </w:rPr>
        <w:t>his</w:t>
      </w:r>
      <w:r w:rsidR="00C64050">
        <w:rPr>
          <w:szCs w:val="20"/>
        </w:rPr>
        <w:t xml:space="preserve"> </w:t>
      </w:r>
      <w:r w:rsidRPr="00BF61EC">
        <w:rPr>
          <w:szCs w:val="20"/>
        </w:rPr>
        <w:t>or</w:t>
      </w:r>
      <w:r w:rsidR="00C64050">
        <w:rPr>
          <w:szCs w:val="20"/>
        </w:rPr>
        <w:t xml:space="preserve"> </w:t>
      </w:r>
      <w:r w:rsidRPr="00BF61EC">
        <w:rPr>
          <w:szCs w:val="20"/>
        </w:rPr>
        <w:t>her</w:t>
      </w:r>
      <w:r w:rsidR="00C64050">
        <w:rPr>
          <w:szCs w:val="20"/>
        </w:rPr>
        <w:t xml:space="preserve"> </w:t>
      </w:r>
      <w:r w:rsidRPr="00BF61EC">
        <w:rPr>
          <w:szCs w:val="20"/>
        </w:rPr>
        <w:t>favor</w:t>
      </w:r>
      <w:r w:rsidR="00C64050">
        <w:rPr>
          <w:szCs w:val="20"/>
        </w:rPr>
        <w:t xml:space="preserve"> </w:t>
      </w:r>
      <w:r w:rsidRPr="00BF61EC">
        <w:rPr>
          <w:szCs w:val="20"/>
        </w:rPr>
        <w:t>only</w:t>
      </w:r>
      <w:r w:rsidR="00C64050">
        <w:rPr>
          <w:szCs w:val="20"/>
        </w:rPr>
        <w:t xml:space="preserve"> </w:t>
      </w:r>
      <w:r w:rsidRPr="00BF61EC">
        <w:rPr>
          <w:szCs w:val="20"/>
        </w:rPr>
        <w:t>for</w:t>
      </w:r>
      <w:r w:rsidR="00C64050">
        <w:rPr>
          <w:szCs w:val="20"/>
        </w:rPr>
        <w:t xml:space="preserve"> </w:t>
      </w:r>
      <w:r w:rsidRPr="00BF61EC">
        <w:rPr>
          <w:szCs w:val="20"/>
        </w:rPr>
        <w:t>his</w:t>
      </w:r>
      <w:r w:rsidR="00C64050">
        <w:rPr>
          <w:szCs w:val="20"/>
        </w:rPr>
        <w:t xml:space="preserve"> </w:t>
      </w:r>
      <w:r w:rsidRPr="00BF61EC">
        <w:rPr>
          <w:szCs w:val="20"/>
        </w:rPr>
        <w:t>or</w:t>
      </w:r>
      <w:r w:rsidR="00C64050">
        <w:rPr>
          <w:szCs w:val="20"/>
        </w:rPr>
        <w:t xml:space="preserve"> </w:t>
      </w:r>
      <w:r w:rsidRPr="00BF61EC">
        <w:rPr>
          <w:szCs w:val="20"/>
        </w:rPr>
        <w:t>her</w:t>
      </w:r>
      <w:r w:rsidR="00C64050">
        <w:rPr>
          <w:szCs w:val="20"/>
        </w:rPr>
        <w:t xml:space="preserve"> </w:t>
      </w:r>
      <w:r w:rsidRPr="00BF61EC">
        <w:rPr>
          <w:szCs w:val="20"/>
        </w:rPr>
        <w:t>health,</w:t>
      </w:r>
      <w:r w:rsidR="00C64050">
        <w:rPr>
          <w:szCs w:val="20"/>
        </w:rPr>
        <w:t xml:space="preserve"> </w:t>
      </w:r>
      <w:r w:rsidRPr="00BF61EC">
        <w:rPr>
          <w:szCs w:val="20"/>
        </w:rPr>
        <w:t>education,</w:t>
      </w:r>
      <w:r w:rsidR="00C64050">
        <w:rPr>
          <w:szCs w:val="20"/>
        </w:rPr>
        <w:t xml:space="preserve"> </w:t>
      </w:r>
      <w:r w:rsidRPr="00BF61EC">
        <w:rPr>
          <w:szCs w:val="20"/>
        </w:rPr>
        <w:t>support,</w:t>
      </w:r>
      <w:r w:rsidR="00C64050">
        <w:rPr>
          <w:szCs w:val="20"/>
        </w:rPr>
        <w:t xml:space="preserve"> </w:t>
      </w:r>
      <w:r w:rsidRPr="00BF61EC">
        <w:rPr>
          <w:szCs w:val="20"/>
        </w:rPr>
        <w:t>or</w:t>
      </w:r>
      <w:r w:rsidR="00C64050">
        <w:rPr>
          <w:szCs w:val="20"/>
        </w:rPr>
        <w:t xml:space="preserve"> </w:t>
      </w:r>
      <w:r w:rsidRPr="00BF61EC">
        <w:rPr>
          <w:szCs w:val="20"/>
        </w:rPr>
        <w:t>maintenance</w:t>
      </w:r>
      <w:r w:rsidR="00C64050">
        <w:rPr>
          <w:szCs w:val="20"/>
        </w:rPr>
        <w:t xml:space="preserve"> </w:t>
      </w:r>
      <w:r w:rsidRPr="00BF61EC">
        <w:rPr>
          <w:szCs w:val="20"/>
        </w:rPr>
        <w:t>within</w:t>
      </w:r>
      <w:r w:rsidR="00C64050">
        <w:rPr>
          <w:szCs w:val="20"/>
        </w:rPr>
        <w:t xml:space="preserve"> </w:t>
      </w:r>
      <w:r w:rsidRPr="00BF61EC">
        <w:rPr>
          <w:szCs w:val="20"/>
        </w:rPr>
        <w:t>the</w:t>
      </w:r>
      <w:r w:rsidR="00C64050">
        <w:rPr>
          <w:szCs w:val="20"/>
        </w:rPr>
        <w:t xml:space="preserve"> </w:t>
      </w:r>
      <w:r w:rsidRPr="00BF61EC">
        <w:rPr>
          <w:szCs w:val="20"/>
        </w:rPr>
        <w:t>meaning</w:t>
      </w:r>
      <w:r w:rsidR="00C64050">
        <w:rPr>
          <w:szCs w:val="20"/>
        </w:rPr>
        <w:t xml:space="preserve"> </w:t>
      </w:r>
      <w:r w:rsidRPr="00BF61EC">
        <w:rPr>
          <w:szCs w:val="20"/>
        </w:rPr>
        <w:t>of</w:t>
      </w:r>
      <w:r w:rsidR="00C64050">
        <w:rPr>
          <w:szCs w:val="20"/>
        </w:rPr>
        <w:t xml:space="preserve"> </w:t>
      </w:r>
      <w:r w:rsidRPr="00BF61EC">
        <w:rPr>
          <w:szCs w:val="20"/>
        </w:rPr>
        <w:t>§</w:t>
      </w:r>
      <w:r w:rsidR="00C64050">
        <w:rPr>
          <w:szCs w:val="20"/>
        </w:rPr>
        <w:t xml:space="preserve"> </w:t>
      </w:r>
      <w:r w:rsidRPr="00BF61EC">
        <w:rPr>
          <w:szCs w:val="20"/>
        </w:rPr>
        <w:t>2041</w:t>
      </w:r>
      <w:r w:rsidR="00C64050">
        <w:rPr>
          <w:szCs w:val="20"/>
        </w:rPr>
        <w:t xml:space="preserve"> </w:t>
      </w:r>
      <w:r w:rsidRPr="00BF61EC">
        <w:rPr>
          <w:szCs w:val="20"/>
        </w:rPr>
        <w:t>and</w:t>
      </w:r>
      <w:r w:rsidR="00C64050">
        <w:rPr>
          <w:szCs w:val="20"/>
        </w:rPr>
        <w:t xml:space="preserve"> </w:t>
      </w:r>
      <w:r w:rsidRPr="00BF61EC">
        <w:rPr>
          <w:szCs w:val="20"/>
        </w:rPr>
        <w:t>§</w:t>
      </w:r>
      <w:r w:rsidR="00C64050">
        <w:rPr>
          <w:szCs w:val="20"/>
        </w:rPr>
        <w:t xml:space="preserve"> </w:t>
      </w:r>
      <w:r w:rsidRPr="00BF61EC">
        <w:rPr>
          <w:szCs w:val="20"/>
        </w:rPr>
        <w:t>2514</w:t>
      </w:r>
      <w:r w:rsidR="00C64050">
        <w:rPr>
          <w:szCs w:val="20"/>
        </w:rPr>
        <w:t xml:space="preserve"> </w:t>
      </w:r>
      <w:r w:rsidRPr="00BF61EC">
        <w:rPr>
          <w:szCs w:val="20"/>
        </w:rPr>
        <w:t>of</w:t>
      </w:r>
      <w:r w:rsidR="00C64050">
        <w:rPr>
          <w:szCs w:val="20"/>
        </w:rPr>
        <w:t xml:space="preserve"> </w:t>
      </w:r>
      <w:r w:rsidRPr="00BF61EC">
        <w:rPr>
          <w:szCs w:val="20"/>
        </w:rPr>
        <w:t>the</w:t>
      </w:r>
      <w:r w:rsidR="00C64050">
        <w:rPr>
          <w:szCs w:val="20"/>
        </w:rPr>
        <w:t xml:space="preserve"> </w:t>
      </w:r>
      <w:r w:rsidRPr="00BF61EC">
        <w:rPr>
          <w:szCs w:val="20"/>
        </w:rPr>
        <w:t>Internal</w:t>
      </w:r>
      <w:r w:rsidR="00C64050">
        <w:rPr>
          <w:szCs w:val="20"/>
        </w:rPr>
        <w:t xml:space="preserve"> </w:t>
      </w:r>
      <w:r w:rsidRPr="00BF61EC">
        <w:rPr>
          <w:szCs w:val="20"/>
        </w:rPr>
        <w:t>Revenue</w:t>
      </w:r>
      <w:r w:rsidR="00C64050">
        <w:rPr>
          <w:szCs w:val="20"/>
        </w:rPr>
        <w:t xml:space="preserve"> </w:t>
      </w:r>
      <w:r w:rsidRPr="00BF61EC">
        <w:rPr>
          <w:szCs w:val="20"/>
        </w:rPr>
        <w:t>Code</w:t>
      </w:r>
      <w:r w:rsidR="00C64050">
        <w:rPr>
          <w:szCs w:val="20"/>
        </w:rPr>
        <w:t xml:space="preserve"> </w:t>
      </w:r>
      <w:r w:rsidRPr="00BF61EC">
        <w:rPr>
          <w:szCs w:val="20"/>
        </w:rPr>
        <w:t>(Code).</w:t>
      </w:r>
      <w:r w:rsidR="00C64050">
        <w:rPr>
          <w:szCs w:val="20"/>
        </w:rPr>
        <w:t xml:space="preserve"> </w:t>
      </w:r>
      <w:r w:rsidRPr="00BF61EC">
        <w:rPr>
          <w:szCs w:val="20"/>
        </w:rPr>
        <w:t>Statute</w:t>
      </w:r>
      <w:r w:rsidR="00C64050">
        <w:rPr>
          <w:szCs w:val="20"/>
        </w:rPr>
        <w:t xml:space="preserve"> </w:t>
      </w:r>
      <w:r w:rsidRPr="00BF61EC">
        <w:rPr>
          <w:szCs w:val="20"/>
        </w:rPr>
        <w:t>1</w:t>
      </w:r>
      <w:r w:rsidR="00C64050">
        <w:rPr>
          <w:szCs w:val="20"/>
        </w:rPr>
        <w:t xml:space="preserve"> </w:t>
      </w:r>
      <w:r w:rsidRPr="00BF61EC">
        <w:rPr>
          <w:szCs w:val="20"/>
        </w:rPr>
        <w:t>applies</w:t>
      </w:r>
      <w:r w:rsidR="00C64050">
        <w:rPr>
          <w:szCs w:val="20"/>
        </w:rPr>
        <w:t xml:space="preserve"> </w:t>
      </w:r>
      <w:r w:rsidRPr="00BF61EC">
        <w:rPr>
          <w:szCs w:val="20"/>
        </w:rPr>
        <w:t>to</w:t>
      </w:r>
      <w:r w:rsidR="00C64050">
        <w:rPr>
          <w:szCs w:val="20"/>
        </w:rPr>
        <w:t xml:space="preserve"> </w:t>
      </w:r>
      <w:r w:rsidRPr="00BF61EC">
        <w:rPr>
          <w:szCs w:val="20"/>
        </w:rPr>
        <w:t>any</w:t>
      </w:r>
      <w:r w:rsidR="00C64050">
        <w:rPr>
          <w:szCs w:val="20"/>
        </w:rPr>
        <w:t xml:space="preserve"> </w:t>
      </w:r>
      <w:r w:rsidRPr="00BF61EC">
        <w:rPr>
          <w:szCs w:val="20"/>
        </w:rPr>
        <w:t>irrevocable</w:t>
      </w:r>
      <w:r w:rsidR="00C64050">
        <w:rPr>
          <w:szCs w:val="20"/>
        </w:rPr>
        <w:t xml:space="preserve"> </w:t>
      </w:r>
      <w:r w:rsidRPr="00BF61EC">
        <w:rPr>
          <w:szCs w:val="20"/>
        </w:rPr>
        <w:t>trust</w:t>
      </w:r>
      <w:r w:rsidR="00C64050">
        <w:rPr>
          <w:szCs w:val="20"/>
        </w:rPr>
        <w:t xml:space="preserve"> </w:t>
      </w:r>
      <w:r w:rsidRPr="00BF61EC">
        <w:rPr>
          <w:szCs w:val="20"/>
        </w:rPr>
        <w:t>created</w:t>
      </w:r>
      <w:r w:rsidR="00C64050">
        <w:rPr>
          <w:szCs w:val="20"/>
        </w:rPr>
        <w:t xml:space="preserve"> </w:t>
      </w:r>
      <w:r w:rsidRPr="00BF61EC">
        <w:rPr>
          <w:szCs w:val="20"/>
        </w:rPr>
        <w:t>under</w:t>
      </w:r>
      <w:r w:rsidR="00C64050">
        <w:rPr>
          <w:szCs w:val="20"/>
        </w:rPr>
        <w:t xml:space="preserve"> </w:t>
      </w:r>
      <w:r w:rsidRPr="00BF61EC">
        <w:rPr>
          <w:szCs w:val="20"/>
        </w:rPr>
        <w:t>a</w:t>
      </w:r>
      <w:r w:rsidR="00C64050">
        <w:rPr>
          <w:szCs w:val="20"/>
        </w:rPr>
        <w:t xml:space="preserve"> </w:t>
      </w:r>
      <w:r w:rsidRPr="00BF61EC">
        <w:rPr>
          <w:szCs w:val="20"/>
        </w:rPr>
        <w:t>document</w:t>
      </w:r>
      <w:r w:rsidR="00C64050">
        <w:rPr>
          <w:szCs w:val="20"/>
        </w:rPr>
        <w:t xml:space="preserve"> </w:t>
      </w:r>
      <w:r w:rsidRPr="00BF61EC">
        <w:rPr>
          <w:szCs w:val="20"/>
        </w:rPr>
        <w:t>executed</w:t>
      </w:r>
      <w:r w:rsidR="00C64050">
        <w:rPr>
          <w:szCs w:val="20"/>
        </w:rPr>
        <w:t xml:space="preserve"> </w:t>
      </w:r>
      <w:r w:rsidRPr="00BF61EC">
        <w:rPr>
          <w:szCs w:val="20"/>
        </w:rPr>
        <w:t>in</w:t>
      </w:r>
      <w:r w:rsidR="00C64050">
        <w:rPr>
          <w:szCs w:val="20"/>
        </w:rPr>
        <w:t xml:space="preserve"> </w:t>
      </w:r>
      <w:r w:rsidRPr="00BF61EC">
        <w:rPr>
          <w:szCs w:val="20"/>
        </w:rPr>
        <w:t>or</w:t>
      </w:r>
      <w:r w:rsidR="00C64050">
        <w:rPr>
          <w:szCs w:val="20"/>
        </w:rPr>
        <w:t xml:space="preserve"> </w:t>
      </w:r>
      <w:r w:rsidRPr="00BF61EC">
        <w:rPr>
          <w:szCs w:val="20"/>
        </w:rPr>
        <w:t>before</w:t>
      </w:r>
      <w:r w:rsidR="00C64050">
        <w:rPr>
          <w:szCs w:val="20"/>
        </w:rPr>
        <w:t xml:space="preserve"> </w:t>
      </w:r>
      <w:r w:rsidRPr="00BF61EC">
        <w:rPr>
          <w:szCs w:val="20"/>
        </w:rPr>
        <w:t>Year</w:t>
      </w:r>
      <w:r w:rsidR="00C64050">
        <w:rPr>
          <w:szCs w:val="20"/>
        </w:rPr>
        <w:t xml:space="preserve"> </w:t>
      </w:r>
      <w:r w:rsidRPr="00BF61EC">
        <w:rPr>
          <w:szCs w:val="20"/>
        </w:rPr>
        <w:t>1,</w:t>
      </w:r>
      <w:r w:rsidR="00C64050">
        <w:rPr>
          <w:szCs w:val="20"/>
        </w:rPr>
        <w:t xml:space="preserve"> </w:t>
      </w:r>
      <w:r w:rsidRPr="00BF61EC">
        <w:rPr>
          <w:szCs w:val="20"/>
        </w:rPr>
        <w:t>unless</w:t>
      </w:r>
      <w:r w:rsidR="00C64050">
        <w:rPr>
          <w:szCs w:val="20"/>
        </w:rPr>
        <w:t xml:space="preserve"> </w:t>
      </w:r>
      <w:r w:rsidRPr="00BF61EC">
        <w:rPr>
          <w:szCs w:val="20"/>
        </w:rPr>
        <w:t>all</w:t>
      </w:r>
      <w:r w:rsidR="00C64050">
        <w:rPr>
          <w:szCs w:val="20"/>
        </w:rPr>
        <w:t xml:space="preserve"> </w:t>
      </w:r>
      <w:r w:rsidRPr="00BF61EC">
        <w:rPr>
          <w:szCs w:val="20"/>
        </w:rPr>
        <w:t>parties</w:t>
      </w:r>
      <w:r w:rsidR="00C64050">
        <w:rPr>
          <w:szCs w:val="20"/>
        </w:rPr>
        <w:t xml:space="preserve"> </w:t>
      </w:r>
      <w:r w:rsidRPr="00BF61EC">
        <w:rPr>
          <w:szCs w:val="20"/>
        </w:rPr>
        <w:t>in</w:t>
      </w:r>
      <w:r w:rsidR="00C64050">
        <w:rPr>
          <w:szCs w:val="20"/>
        </w:rPr>
        <w:t xml:space="preserve"> </w:t>
      </w:r>
      <w:r w:rsidRPr="00BF61EC">
        <w:rPr>
          <w:szCs w:val="20"/>
        </w:rPr>
        <w:t>interest</w:t>
      </w:r>
      <w:r w:rsidR="00C64050">
        <w:rPr>
          <w:szCs w:val="20"/>
        </w:rPr>
        <w:t xml:space="preserve"> </w:t>
      </w:r>
      <w:r w:rsidRPr="00BF61EC">
        <w:rPr>
          <w:szCs w:val="20"/>
        </w:rPr>
        <w:t>elect</w:t>
      </w:r>
      <w:r w:rsidR="00C64050">
        <w:rPr>
          <w:szCs w:val="20"/>
        </w:rPr>
        <w:t xml:space="preserve"> </w:t>
      </w:r>
      <w:r w:rsidRPr="00BF61EC">
        <w:rPr>
          <w:szCs w:val="20"/>
        </w:rPr>
        <w:t>affirmatively</w:t>
      </w:r>
      <w:r w:rsidR="00C64050">
        <w:rPr>
          <w:szCs w:val="20"/>
        </w:rPr>
        <w:t xml:space="preserve"> </w:t>
      </w:r>
      <w:r w:rsidRPr="00BF61EC">
        <w:rPr>
          <w:szCs w:val="20"/>
        </w:rPr>
        <w:t>not</w:t>
      </w:r>
      <w:r w:rsidR="00C64050">
        <w:rPr>
          <w:szCs w:val="20"/>
        </w:rPr>
        <w:t xml:space="preserve"> </w:t>
      </w:r>
      <w:r w:rsidRPr="00BF61EC">
        <w:rPr>
          <w:szCs w:val="20"/>
        </w:rPr>
        <w:t>to</w:t>
      </w:r>
      <w:r w:rsidR="00C64050">
        <w:rPr>
          <w:szCs w:val="20"/>
        </w:rPr>
        <w:t xml:space="preserve"> </w:t>
      </w:r>
      <w:r w:rsidRPr="00BF61EC">
        <w:rPr>
          <w:szCs w:val="20"/>
        </w:rPr>
        <w:t>be</w:t>
      </w:r>
      <w:r w:rsidR="00C64050">
        <w:rPr>
          <w:szCs w:val="20"/>
        </w:rPr>
        <w:t xml:space="preserve"> </w:t>
      </w:r>
      <w:r w:rsidRPr="00BF61EC">
        <w:rPr>
          <w:szCs w:val="20"/>
        </w:rPr>
        <w:t>subject</w:t>
      </w:r>
      <w:r w:rsidR="00C64050">
        <w:rPr>
          <w:szCs w:val="20"/>
        </w:rPr>
        <w:t xml:space="preserve"> </w:t>
      </w:r>
      <w:r w:rsidRPr="00BF61EC">
        <w:rPr>
          <w:szCs w:val="20"/>
        </w:rPr>
        <w:t>to</w:t>
      </w:r>
      <w:r w:rsidR="00C64050">
        <w:rPr>
          <w:szCs w:val="20"/>
        </w:rPr>
        <w:t xml:space="preserve"> </w:t>
      </w:r>
      <w:r w:rsidRPr="00BF61EC">
        <w:rPr>
          <w:szCs w:val="20"/>
        </w:rPr>
        <w:t>the</w:t>
      </w:r>
      <w:r w:rsidR="00C64050">
        <w:rPr>
          <w:szCs w:val="20"/>
        </w:rPr>
        <w:t xml:space="preserve"> </w:t>
      </w:r>
      <w:r w:rsidRPr="00BF61EC">
        <w:rPr>
          <w:szCs w:val="20"/>
        </w:rPr>
        <w:t>provision.</w:t>
      </w:r>
      <w:r w:rsidR="00C64050">
        <w:rPr>
          <w:szCs w:val="20"/>
        </w:rPr>
        <w:t xml:space="preserve"> </w:t>
      </w:r>
      <w:r w:rsidRPr="00BF61EC">
        <w:rPr>
          <w:szCs w:val="20"/>
        </w:rPr>
        <w:t>Such</w:t>
      </w:r>
      <w:r w:rsidR="00C64050">
        <w:rPr>
          <w:szCs w:val="20"/>
        </w:rPr>
        <w:t xml:space="preserve"> </w:t>
      </w:r>
      <w:r w:rsidRPr="00BF61EC">
        <w:rPr>
          <w:szCs w:val="20"/>
        </w:rPr>
        <w:t>election</w:t>
      </w:r>
      <w:r w:rsidR="00C64050">
        <w:rPr>
          <w:szCs w:val="20"/>
        </w:rPr>
        <w:t xml:space="preserve"> </w:t>
      </w:r>
      <w:r w:rsidRPr="00BF61EC">
        <w:rPr>
          <w:szCs w:val="20"/>
        </w:rPr>
        <w:t>was</w:t>
      </w:r>
      <w:r w:rsidR="00C64050">
        <w:rPr>
          <w:szCs w:val="20"/>
        </w:rPr>
        <w:t xml:space="preserve"> </w:t>
      </w:r>
      <w:r w:rsidRPr="00BF61EC">
        <w:rPr>
          <w:szCs w:val="20"/>
        </w:rPr>
        <w:t>not</w:t>
      </w:r>
      <w:r w:rsidR="00C64050">
        <w:rPr>
          <w:szCs w:val="20"/>
        </w:rPr>
        <w:t xml:space="preserve"> </w:t>
      </w:r>
      <w:r w:rsidRPr="00BF61EC">
        <w:rPr>
          <w:szCs w:val="20"/>
        </w:rPr>
        <w:t>made</w:t>
      </w:r>
      <w:r w:rsidR="00C64050">
        <w:rPr>
          <w:szCs w:val="20"/>
        </w:rPr>
        <w:t xml:space="preserve"> </w:t>
      </w:r>
      <w:r w:rsidRPr="00BF61EC">
        <w:rPr>
          <w:szCs w:val="20"/>
        </w:rPr>
        <w:t>with</w:t>
      </w:r>
      <w:r w:rsidR="00C64050">
        <w:rPr>
          <w:szCs w:val="20"/>
        </w:rPr>
        <w:t xml:space="preserve"> </w:t>
      </w:r>
      <w:r w:rsidRPr="00BF61EC">
        <w:rPr>
          <w:szCs w:val="20"/>
        </w:rPr>
        <w:t>respect</w:t>
      </w:r>
      <w:r w:rsidR="00C64050">
        <w:rPr>
          <w:szCs w:val="20"/>
        </w:rPr>
        <w:t xml:space="preserve"> </w:t>
      </w:r>
      <w:r w:rsidRPr="00BF61EC">
        <w:rPr>
          <w:szCs w:val="20"/>
        </w:rPr>
        <w:t>to</w:t>
      </w:r>
      <w:r w:rsidR="00C64050">
        <w:rPr>
          <w:szCs w:val="20"/>
        </w:rPr>
        <w:t xml:space="preserve"> </w:t>
      </w:r>
      <w:r w:rsidRPr="00BF61EC">
        <w:rPr>
          <w:szCs w:val="20"/>
        </w:rPr>
        <w:t>Trust</w:t>
      </w:r>
      <w:r w:rsidR="00C64050">
        <w:rPr>
          <w:szCs w:val="20"/>
        </w:rPr>
        <w:t xml:space="preserve"> </w:t>
      </w:r>
      <w:r w:rsidRPr="00BF61EC">
        <w:rPr>
          <w:szCs w:val="20"/>
        </w:rPr>
        <w:t>1</w:t>
      </w:r>
      <w:r w:rsidR="00C64050">
        <w:rPr>
          <w:szCs w:val="20"/>
        </w:rPr>
        <w:t xml:space="preserve"> </w:t>
      </w:r>
      <w:r w:rsidRPr="00BF61EC">
        <w:rPr>
          <w:szCs w:val="20"/>
        </w:rPr>
        <w:t>and</w:t>
      </w:r>
      <w:r w:rsidR="00C64050">
        <w:rPr>
          <w:szCs w:val="20"/>
        </w:rPr>
        <w:t xml:space="preserve"> </w:t>
      </w:r>
      <w:r w:rsidRPr="00BF61EC">
        <w:rPr>
          <w:szCs w:val="20"/>
        </w:rPr>
        <w:t>Trust</w:t>
      </w:r>
      <w:r w:rsidR="00C64050">
        <w:rPr>
          <w:szCs w:val="20"/>
        </w:rPr>
        <w:t xml:space="preserve"> </w:t>
      </w:r>
      <w:r w:rsidRPr="00BF61EC">
        <w:rPr>
          <w:szCs w:val="20"/>
        </w:rPr>
        <w:t>2.</w:t>
      </w:r>
    </w:p>
    <w:p w:rsidR="00BF61EC" w:rsidRPr="00BF61EC" w:rsidRDefault="00BF61EC" w:rsidP="00BF61EC">
      <w:pPr>
        <w:pStyle w:val="QS10"/>
        <w:rPr>
          <w:szCs w:val="20"/>
        </w:rPr>
      </w:pPr>
      <w:r w:rsidRPr="00BF61EC">
        <w:rPr>
          <w:szCs w:val="20"/>
        </w:rPr>
        <w:t>In</w:t>
      </w:r>
      <w:r w:rsidR="00C64050">
        <w:rPr>
          <w:szCs w:val="20"/>
        </w:rPr>
        <w:t xml:space="preserve"> </w:t>
      </w:r>
      <w:r w:rsidRPr="00BF61EC">
        <w:rPr>
          <w:szCs w:val="20"/>
        </w:rPr>
        <w:t>Year</w:t>
      </w:r>
      <w:r w:rsidR="00C64050">
        <w:rPr>
          <w:szCs w:val="20"/>
        </w:rPr>
        <w:t xml:space="preserve"> </w:t>
      </w:r>
      <w:r w:rsidRPr="00BF61EC">
        <w:rPr>
          <w:szCs w:val="20"/>
        </w:rPr>
        <w:t>2,</w:t>
      </w:r>
      <w:r w:rsidR="00C64050">
        <w:rPr>
          <w:szCs w:val="20"/>
        </w:rPr>
        <w:t xml:space="preserve"> </w:t>
      </w:r>
      <w:r w:rsidRPr="00BF61EC">
        <w:rPr>
          <w:szCs w:val="20"/>
        </w:rPr>
        <w:t>Decedent</w:t>
      </w:r>
      <w:r w:rsidR="00C64050">
        <w:rPr>
          <w:szCs w:val="20"/>
        </w:rPr>
        <w:t xml:space="preserve"> </w:t>
      </w:r>
      <w:r w:rsidRPr="00BF61EC">
        <w:rPr>
          <w:szCs w:val="20"/>
        </w:rPr>
        <w:t>became</w:t>
      </w:r>
      <w:r w:rsidR="00C64050">
        <w:rPr>
          <w:szCs w:val="20"/>
        </w:rPr>
        <w:t xml:space="preserve"> </w:t>
      </w:r>
      <w:r w:rsidRPr="00BF61EC">
        <w:rPr>
          <w:szCs w:val="20"/>
        </w:rPr>
        <w:t>a</w:t>
      </w:r>
      <w:r w:rsidR="00C64050">
        <w:rPr>
          <w:szCs w:val="20"/>
        </w:rPr>
        <w:t xml:space="preserve"> </w:t>
      </w:r>
      <w:r w:rsidRPr="00BF61EC">
        <w:rPr>
          <w:szCs w:val="20"/>
        </w:rPr>
        <w:t>resident</w:t>
      </w:r>
      <w:r w:rsidR="00C64050">
        <w:rPr>
          <w:szCs w:val="20"/>
        </w:rPr>
        <w:t xml:space="preserve"> </w:t>
      </w:r>
      <w:r w:rsidRPr="00BF61EC">
        <w:rPr>
          <w:szCs w:val="20"/>
        </w:rPr>
        <w:t>of</w:t>
      </w:r>
      <w:r w:rsidR="00C64050">
        <w:rPr>
          <w:szCs w:val="20"/>
        </w:rPr>
        <w:t xml:space="preserve"> </w:t>
      </w:r>
      <w:r w:rsidRPr="00BF61EC">
        <w:rPr>
          <w:szCs w:val="20"/>
        </w:rPr>
        <w:t>State</w:t>
      </w:r>
      <w:r w:rsidR="00C64050">
        <w:rPr>
          <w:szCs w:val="20"/>
        </w:rPr>
        <w:t xml:space="preserve"> </w:t>
      </w:r>
      <w:r w:rsidRPr="00BF61EC">
        <w:rPr>
          <w:szCs w:val="20"/>
        </w:rPr>
        <w:t>B</w:t>
      </w:r>
      <w:r w:rsidR="00C64050">
        <w:rPr>
          <w:szCs w:val="20"/>
        </w:rPr>
        <w:t xml:space="preserve"> </w:t>
      </w:r>
      <w:r w:rsidRPr="00BF61EC">
        <w:rPr>
          <w:szCs w:val="20"/>
        </w:rPr>
        <w:t>and</w:t>
      </w:r>
      <w:r w:rsidR="00C64050">
        <w:rPr>
          <w:szCs w:val="20"/>
        </w:rPr>
        <w:t xml:space="preserve"> </w:t>
      </w:r>
      <w:r w:rsidRPr="00BF61EC">
        <w:rPr>
          <w:szCs w:val="20"/>
        </w:rPr>
        <w:t>remained</w:t>
      </w:r>
      <w:r w:rsidR="00C64050">
        <w:rPr>
          <w:szCs w:val="20"/>
        </w:rPr>
        <w:t xml:space="preserve"> </w:t>
      </w:r>
      <w:r w:rsidRPr="00BF61EC">
        <w:rPr>
          <w:szCs w:val="20"/>
        </w:rPr>
        <w:t>a</w:t>
      </w:r>
      <w:r w:rsidR="00C64050">
        <w:rPr>
          <w:szCs w:val="20"/>
        </w:rPr>
        <w:t xml:space="preserve"> </w:t>
      </w:r>
      <w:r w:rsidRPr="00BF61EC">
        <w:rPr>
          <w:szCs w:val="20"/>
        </w:rPr>
        <w:t>State</w:t>
      </w:r>
      <w:r w:rsidR="00C64050">
        <w:rPr>
          <w:szCs w:val="20"/>
        </w:rPr>
        <w:t xml:space="preserve"> </w:t>
      </w:r>
      <w:r w:rsidRPr="00BF61EC">
        <w:rPr>
          <w:szCs w:val="20"/>
        </w:rPr>
        <w:t>B</w:t>
      </w:r>
      <w:r w:rsidR="00C64050">
        <w:rPr>
          <w:szCs w:val="20"/>
        </w:rPr>
        <w:t xml:space="preserve"> </w:t>
      </w:r>
      <w:r w:rsidRPr="00BF61EC">
        <w:rPr>
          <w:szCs w:val="20"/>
        </w:rPr>
        <w:t>resident</w:t>
      </w:r>
      <w:r w:rsidR="00C64050">
        <w:rPr>
          <w:szCs w:val="20"/>
        </w:rPr>
        <w:t xml:space="preserve"> </w:t>
      </w:r>
      <w:r w:rsidRPr="00BF61EC">
        <w:rPr>
          <w:szCs w:val="20"/>
        </w:rPr>
        <w:t>until</w:t>
      </w:r>
      <w:r w:rsidR="00C64050">
        <w:rPr>
          <w:szCs w:val="20"/>
        </w:rPr>
        <w:t xml:space="preserve"> </w:t>
      </w:r>
      <w:r w:rsidRPr="00BF61EC">
        <w:rPr>
          <w:szCs w:val="20"/>
        </w:rPr>
        <w:t>his</w:t>
      </w:r>
      <w:r w:rsidR="00C64050">
        <w:rPr>
          <w:szCs w:val="20"/>
        </w:rPr>
        <w:t xml:space="preserve"> </w:t>
      </w:r>
      <w:r w:rsidRPr="00BF61EC">
        <w:rPr>
          <w:szCs w:val="20"/>
        </w:rPr>
        <w:t>death</w:t>
      </w:r>
      <w:r w:rsidR="00C64050">
        <w:rPr>
          <w:szCs w:val="20"/>
        </w:rPr>
        <w:t xml:space="preserve"> </w:t>
      </w:r>
      <w:r w:rsidRPr="00BF61EC">
        <w:rPr>
          <w:szCs w:val="20"/>
        </w:rPr>
        <w:t>on</w:t>
      </w:r>
      <w:r w:rsidR="00C64050">
        <w:rPr>
          <w:szCs w:val="20"/>
        </w:rPr>
        <w:t xml:space="preserve"> </w:t>
      </w:r>
      <w:r w:rsidRPr="00BF61EC">
        <w:rPr>
          <w:szCs w:val="20"/>
        </w:rPr>
        <w:t>Date</w:t>
      </w:r>
      <w:r w:rsidR="00C64050">
        <w:rPr>
          <w:szCs w:val="20"/>
        </w:rPr>
        <w:t xml:space="preserve"> </w:t>
      </w:r>
      <w:r w:rsidRPr="00BF61EC">
        <w:rPr>
          <w:szCs w:val="20"/>
        </w:rPr>
        <w:t>3.</w:t>
      </w:r>
      <w:r w:rsidR="00C64050">
        <w:rPr>
          <w:szCs w:val="20"/>
        </w:rPr>
        <w:t xml:space="preserve"> </w:t>
      </w:r>
      <w:r w:rsidRPr="00BF61EC">
        <w:rPr>
          <w:szCs w:val="20"/>
        </w:rPr>
        <w:t>Statute</w:t>
      </w:r>
      <w:r w:rsidR="00C64050">
        <w:rPr>
          <w:szCs w:val="20"/>
        </w:rPr>
        <w:t xml:space="preserve"> </w:t>
      </w:r>
      <w:r w:rsidRPr="00BF61EC">
        <w:rPr>
          <w:szCs w:val="20"/>
        </w:rPr>
        <w:t>2,</w:t>
      </w:r>
      <w:r w:rsidR="00C64050">
        <w:rPr>
          <w:szCs w:val="20"/>
        </w:rPr>
        <w:t xml:space="preserve"> </w:t>
      </w:r>
      <w:r w:rsidRPr="00BF61EC">
        <w:rPr>
          <w:szCs w:val="20"/>
        </w:rPr>
        <w:t>effective</w:t>
      </w:r>
      <w:r w:rsidR="00C64050">
        <w:rPr>
          <w:szCs w:val="20"/>
        </w:rPr>
        <w:t xml:space="preserve"> </w:t>
      </w:r>
      <w:r w:rsidRPr="00BF61EC">
        <w:rPr>
          <w:szCs w:val="20"/>
        </w:rPr>
        <w:t>in</w:t>
      </w:r>
      <w:r w:rsidR="00C64050">
        <w:rPr>
          <w:szCs w:val="20"/>
        </w:rPr>
        <w:t xml:space="preserve"> </w:t>
      </w:r>
      <w:r w:rsidRPr="00BF61EC">
        <w:rPr>
          <w:szCs w:val="20"/>
        </w:rPr>
        <w:t>State</w:t>
      </w:r>
      <w:r w:rsidR="00C64050">
        <w:rPr>
          <w:szCs w:val="20"/>
        </w:rPr>
        <w:t xml:space="preserve"> </w:t>
      </w:r>
      <w:r w:rsidRPr="00BF61EC">
        <w:rPr>
          <w:szCs w:val="20"/>
        </w:rPr>
        <w:t>B</w:t>
      </w:r>
      <w:r w:rsidR="00C64050">
        <w:rPr>
          <w:szCs w:val="20"/>
        </w:rPr>
        <w:t xml:space="preserve"> </w:t>
      </w:r>
      <w:r w:rsidRPr="00BF61EC">
        <w:rPr>
          <w:szCs w:val="20"/>
        </w:rPr>
        <w:t>at</w:t>
      </w:r>
      <w:r w:rsidR="00C64050">
        <w:rPr>
          <w:szCs w:val="20"/>
        </w:rPr>
        <w:t xml:space="preserve"> </w:t>
      </w:r>
      <w:r w:rsidRPr="00BF61EC">
        <w:rPr>
          <w:szCs w:val="20"/>
        </w:rPr>
        <w:t>the</w:t>
      </w:r>
      <w:r w:rsidR="00C64050">
        <w:rPr>
          <w:szCs w:val="20"/>
        </w:rPr>
        <w:t xml:space="preserve"> </w:t>
      </w:r>
      <w:r w:rsidRPr="00BF61EC">
        <w:rPr>
          <w:szCs w:val="20"/>
        </w:rPr>
        <w:t>time</w:t>
      </w:r>
      <w:r w:rsidR="00C64050">
        <w:rPr>
          <w:szCs w:val="20"/>
        </w:rPr>
        <w:t xml:space="preserve"> </w:t>
      </w:r>
      <w:r w:rsidRPr="00BF61EC">
        <w:rPr>
          <w:szCs w:val="20"/>
        </w:rPr>
        <w:t>of</w:t>
      </w:r>
      <w:r w:rsidR="00C64050">
        <w:rPr>
          <w:szCs w:val="20"/>
        </w:rPr>
        <w:t xml:space="preserve"> </w:t>
      </w:r>
      <w:r w:rsidRPr="00BF61EC">
        <w:rPr>
          <w:szCs w:val="20"/>
        </w:rPr>
        <w:t>Decedent's</w:t>
      </w:r>
      <w:r w:rsidR="00C64050">
        <w:rPr>
          <w:szCs w:val="20"/>
        </w:rPr>
        <w:t xml:space="preserve"> </w:t>
      </w:r>
      <w:r w:rsidRPr="00BF61EC">
        <w:rPr>
          <w:szCs w:val="20"/>
        </w:rPr>
        <w:t>death,</w:t>
      </w:r>
      <w:r w:rsidR="00C64050">
        <w:rPr>
          <w:szCs w:val="20"/>
        </w:rPr>
        <w:t xml:space="preserve"> </w:t>
      </w:r>
      <w:r w:rsidRPr="00BF61EC">
        <w:rPr>
          <w:szCs w:val="20"/>
        </w:rPr>
        <w:t>provides</w:t>
      </w:r>
      <w:r w:rsidR="00C64050">
        <w:rPr>
          <w:szCs w:val="20"/>
        </w:rPr>
        <w:t xml:space="preserve"> </w:t>
      </w:r>
      <w:r w:rsidRPr="00BF61EC">
        <w:rPr>
          <w:szCs w:val="20"/>
        </w:rPr>
        <w:t>in</w:t>
      </w:r>
      <w:r w:rsidR="00C64050">
        <w:rPr>
          <w:szCs w:val="20"/>
        </w:rPr>
        <w:t xml:space="preserve"> </w:t>
      </w:r>
      <w:r w:rsidRPr="00BF61EC">
        <w:rPr>
          <w:szCs w:val="20"/>
        </w:rPr>
        <w:t>part</w:t>
      </w:r>
      <w:r w:rsidR="00C64050">
        <w:rPr>
          <w:szCs w:val="20"/>
        </w:rPr>
        <w:t xml:space="preserve"> </w:t>
      </w:r>
      <w:r w:rsidRPr="00BF61EC">
        <w:rPr>
          <w:szCs w:val="20"/>
        </w:rPr>
        <w:t>that</w:t>
      </w:r>
      <w:r w:rsidR="00C64050">
        <w:rPr>
          <w:szCs w:val="20"/>
        </w:rPr>
        <w:t xml:space="preserve"> </w:t>
      </w:r>
      <w:r w:rsidRPr="00BF61EC">
        <w:rPr>
          <w:szCs w:val="20"/>
        </w:rPr>
        <w:t>unless</w:t>
      </w:r>
      <w:r w:rsidR="00C64050">
        <w:rPr>
          <w:szCs w:val="20"/>
        </w:rPr>
        <w:t xml:space="preserve"> </w:t>
      </w:r>
      <w:r w:rsidRPr="00BF61EC">
        <w:rPr>
          <w:szCs w:val="20"/>
        </w:rPr>
        <w:t>the</w:t>
      </w:r>
      <w:r w:rsidR="00C64050">
        <w:rPr>
          <w:szCs w:val="20"/>
        </w:rPr>
        <w:t xml:space="preserve"> </w:t>
      </w:r>
      <w:r w:rsidRPr="00BF61EC">
        <w:rPr>
          <w:szCs w:val="20"/>
        </w:rPr>
        <w:t>terms</w:t>
      </w:r>
      <w:r w:rsidR="00C64050">
        <w:rPr>
          <w:szCs w:val="20"/>
        </w:rPr>
        <w:t xml:space="preserve"> </w:t>
      </w:r>
      <w:r w:rsidRPr="00BF61EC">
        <w:rPr>
          <w:szCs w:val="20"/>
        </w:rPr>
        <w:t>of</w:t>
      </w:r>
      <w:r w:rsidR="00C64050">
        <w:rPr>
          <w:szCs w:val="20"/>
        </w:rPr>
        <w:t xml:space="preserve"> </w:t>
      </w:r>
      <w:r w:rsidRPr="00BF61EC">
        <w:rPr>
          <w:szCs w:val="20"/>
        </w:rPr>
        <w:t>the</w:t>
      </w:r>
      <w:r w:rsidR="00C64050">
        <w:rPr>
          <w:szCs w:val="20"/>
        </w:rPr>
        <w:t xml:space="preserve"> </w:t>
      </w:r>
      <w:r w:rsidRPr="00BF61EC">
        <w:rPr>
          <w:szCs w:val="20"/>
        </w:rPr>
        <w:t>trust</w:t>
      </w:r>
      <w:r w:rsidR="00C64050">
        <w:rPr>
          <w:szCs w:val="20"/>
        </w:rPr>
        <w:t xml:space="preserve"> </w:t>
      </w:r>
      <w:r w:rsidRPr="00BF61EC">
        <w:rPr>
          <w:szCs w:val="20"/>
        </w:rPr>
        <w:t>expressly</w:t>
      </w:r>
      <w:r w:rsidR="00C64050">
        <w:rPr>
          <w:szCs w:val="20"/>
        </w:rPr>
        <w:t xml:space="preserve"> </w:t>
      </w:r>
      <w:r w:rsidRPr="00BF61EC">
        <w:rPr>
          <w:szCs w:val="20"/>
        </w:rPr>
        <w:t>indicate</w:t>
      </w:r>
      <w:r w:rsidR="00C64050">
        <w:rPr>
          <w:szCs w:val="20"/>
        </w:rPr>
        <w:t xml:space="preserve"> </w:t>
      </w:r>
      <w:r w:rsidRPr="00BF61EC">
        <w:rPr>
          <w:szCs w:val="20"/>
        </w:rPr>
        <w:t>that</w:t>
      </w:r>
      <w:r w:rsidR="00C64050">
        <w:rPr>
          <w:szCs w:val="20"/>
        </w:rPr>
        <w:t xml:space="preserve"> </w:t>
      </w:r>
      <w:r w:rsidRPr="00BF61EC">
        <w:rPr>
          <w:szCs w:val="20"/>
        </w:rPr>
        <w:t>Statute</w:t>
      </w:r>
      <w:r w:rsidR="00C64050">
        <w:rPr>
          <w:szCs w:val="20"/>
        </w:rPr>
        <w:t xml:space="preserve"> </w:t>
      </w:r>
      <w:r w:rsidRPr="00BF61EC">
        <w:rPr>
          <w:szCs w:val="20"/>
        </w:rPr>
        <w:t>2</w:t>
      </w:r>
      <w:r w:rsidR="00C64050">
        <w:rPr>
          <w:szCs w:val="20"/>
        </w:rPr>
        <w:t xml:space="preserve"> </w:t>
      </w:r>
      <w:r w:rsidRPr="00BF61EC">
        <w:rPr>
          <w:szCs w:val="20"/>
        </w:rPr>
        <w:t>does</w:t>
      </w:r>
      <w:r w:rsidR="00C64050">
        <w:rPr>
          <w:szCs w:val="20"/>
        </w:rPr>
        <w:t xml:space="preserve"> </w:t>
      </w:r>
      <w:r w:rsidRPr="00BF61EC">
        <w:rPr>
          <w:szCs w:val="20"/>
        </w:rPr>
        <w:t>not</w:t>
      </w:r>
      <w:r w:rsidR="00C64050">
        <w:rPr>
          <w:szCs w:val="20"/>
        </w:rPr>
        <w:t xml:space="preserve"> </w:t>
      </w:r>
      <w:r w:rsidRPr="00BF61EC">
        <w:rPr>
          <w:szCs w:val="20"/>
        </w:rPr>
        <w:t>apply,</w:t>
      </w:r>
      <w:r w:rsidR="00C64050">
        <w:rPr>
          <w:szCs w:val="20"/>
        </w:rPr>
        <w:t xml:space="preserve"> </w:t>
      </w:r>
      <w:r w:rsidRPr="00BF61EC">
        <w:rPr>
          <w:szCs w:val="20"/>
        </w:rPr>
        <w:t>a</w:t>
      </w:r>
      <w:r w:rsidR="00C64050">
        <w:rPr>
          <w:szCs w:val="20"/>
        </w:rPr>
        <w:t xml:space="preserve"> </w:t>
      </w:r>
      <w:r w:rsidRPr="00BF61EC">
        <w:rPr>
          <w:szCs w:val="20"/>
        </w:rPr>
        <w:t>person</w:t>
      </w:r>
      <w:r w:rsidR="00C64050">
        <w:rPr>
          <w:szCs w:val="20"/>
        </w:rPr>
        <w:t xml:space="preserve"> </w:t>
      </w:r>
      <w:r w:rsidRPr="00BF61EC">
        <w:rPr>
          <w:szCs w:val="20"/>
        </w:rPr>
        <w:t>who</w:t>
      </w:r>
      <w:r w:rsidR="00C64050">
        <w:rPr>
          <w:szCs w:val="20"/>
        </w:rPr>
        <w:t xml:space="preserve"> </w:t>
      </w:r>
      <w:r w:rsidRPr="00BF61EC">
        <w:rPr>
          <w:szCs w:val="20"/>
        </w:rPr>
        <w:t>is</w:t>
      </w:r>
      <w:r w:rsidR="00C64050">
        <w:rPr>
          <w:szCs w:val="20"/>
        </w:rPr>
        <w:t xml:space="preserve"> </w:t>
      </w:r>
      <w:r w:rsidRPr="00BF61EC">
        <w:rPr>
          <w:szCs w:val="20"/>
        </w:rPr>
        <w:t>a</w:t>
      </w:r>
      <w:r w:rsidR="00C64050">
        <w:rPr>
          <w:szCs w:val="20"/>
        </w:rPr>
        <w:t xml:space="preserve"> </w:t>
      </w:r>
      <w:r w:rsidRPr="00BF61EC">
        <w:rPr>
          <w:szCs w:val="20"/>
        </w:rPr>
        <w:t>beneficiary</w:t>
      </w:r>
      <w:r w:rsidR="00C64050">
        <w:rPr>
          <w:szCs w:val="20"/>
        </w:rPr>
        <w:t xml:space="preserve"> </w:t>
      </w:r>
      <w:r w:rsidRPr="00BF61EC">
        <w:rPr>
          <w:szCs w:val="20"/>
        </w:rPr>
        <w:t>and</w:t>
      </w:r>
      <w:r w:rsidR="00C64050">
        <w:rPr>
          <w:szCs w:val="20"/>
        </w:rPr>
        <w:t xml:space="preserve"> </w:t>
      </w:r>
      <w:r w:rsidRPr="00BF61EC">
        <w:rPr>
          <w:szCs w:val="20"/>
        </w:rPr>
        <w:t>a</w:t>
      </w:r>
      <w:r w:rsidR="00C64050">
        <w:rPr>
          <w:szCs w:val="20"/>
        </w:rPr>
        <w:t xml:space="preserve"> </w:t>
      </w:r>
      <w:r w:rsidRPr="00BF61EC">
        <w:rPr>
          <w:szCs w:val="20"/>
        </w:rPr>
        <w:t>trustee</w:t>
      </w:r>
      <w:r w:rsidR="00C64050">
        <w:rPr>
          <w:szCs w:val="20"/>
        </w:rPr>
        <w:t xml:space="preserve"> </w:t>
      </w:r>
      <w:r w:rsidRPr="00BF61EC">
        <w:rPr>
          <w:szCs w:val="20"/>
        </w:rPr>
        <w:t>may</w:t>
      </w:r>
      <w:r w:rsidR="00C64050">
        <w:rPr>
          <w:szCs w:val="20"/>
        </w:rPr>
        <w:t xml:space="preserve"> </w:t>
      </w:r>
      <w:r w:rsidRPr="00BF61EC">
        <w:rPr>
          <w:szCs w:val="20"/>
        </w:rPr>
        <w:t>not</w:t>
      </w:r>
      <w:r w:rsidR="00C64050">
        <w:rPr>
          <w:szCs w:val="20"/>
        </w:rPr>
        <w:t xml:space="preserve"> </w:t>
      </w:r>
      <w:r w:rsidRPr="00BF61EC">
        <w:rPr>
          <w:szCs w:val="20"/>
        </w:rPr>
        <w:t>make</w:t>
      </w:r>
      <w:r w:rsidR="00C64050">
        <w:rPr>
          <w:szCs w:val="20"/>
        </w:rPr>
        <w:t xml:space="preserve"> </w:t>
      </w:r>
      <w:r w:rsidRPr="00BF61EC">
        <w:rPr>
          <w:szCs w:val="20"/>
        </w:rPr>
        <w:t>discretionary</w:t>
      </w:r>
      <w:r w:rsidR="00C64050">
        <w:rPr>
          <w:szCs w:val="20"/>
        </w:rPr>
        <w:t xml:space="preserve"> </w:t>
      </w:r>
      <w:r w:rsidRPr="00BF61EC">
        <w:rPr>
          <w:szCs w:val="20"/>
        </w:rPr>
        <w:t>distributions</w:t>
      </w:r>
      <w:r w:rsidR="00C64050">
        <w:rPr>
          <w:szCs w:val="20"/>
        </w:rPr>
        <w:t xml:space="preserve"> </w:t>
      </w:r>
      <w:r w:rsidRPr="00BF61EC">
        <w:rPr>
          <w:szCs w:val="20"/>
        </w:rPr>
        <w:t>of</w:t>
      </w:r>
      <w:r w:rsidR="00C64050">
        <w:rPr>
          <w:szCs w:val="20"/>
        </w:rPr>
        <w:t xml:space="preserve"> </w:t>
      </w:r>
      <w:r w:rsidRPr="00BF61EC">
        <w:rPr>
          <w:szCs w:val="20"/>
        </w:rPr>
        <w:t>either</w:t>
      </w:r>
      <w:r w:rsidR="00C64050">
        <w:rPr>
          <w:szCs w:val="20"/>
        </w:rPr>
        <w:t xml:space="preserve"> </w:t>
      </w:r>
      <w:r w:rsidRPr="00BF61EC">
        <w:rPr>
          <w:szCs w:val="20"/>
        </w:rPr>
        <w:t>principal</w:t>
      </w:r>
      <w:r w:rsidR="00C64050">
        <w:rPr>
          <w:szCs w:val="20"/>
        </w:rPr>
        <w:t xml:space="preserve"> </w:t>
      </w:r>
      <w:r w:rsidRPr="00BF61EC">
        <w:rPr>
          <w:szCs w:val="20"/>
        </w:rPr>
        <w:t>or</w:t>
      </w:r>
      <w:r w:rsidR="00C64050">
        <w:rPr>
          <w:szCs w:val="20"/>
        </w:rPr>
        <w:t xml:space="preserve"> </w:t>
      </w:r>
      <w:r w:rsidRPr="00BF61EC">
        <w:rPr>
          <w:szCs w:val="20"/>
        </w:rPr>
        <w:t>income</w:t>
      </w:r>
      <w:r w:rsidR="00C64050">
        <w:rPr>
          <w:szCs w:val="20"/>
        </w:rPr>
        <w:t xml:space="preserve"> </w:t>
      </w:r>
      <w:r w:rsidRPr="00BF61EC">
        <w:rPr>
          <w:szCs w:val="20"/>
        </w:rPr>
        <w:t>to</w:t>
      </w:r>
      <w:r w:rsidR="00C64050">
        <w:rPr>
          <w:szCs w:val="20"/>
        </w:rPr>
        <w:t xml:space="preserve"> </w:t>
      </w:r>
      <w:r w:rsidRPr="00BF61EC">
        <w:rPr>
          <w:szCs w:val="20"/>
        </w:rPr>
        <w:t>or</w:t>
      </w:r>
      <w:r w:rsidR="00C64050">
        <w:rPr>
          <w:szCs w:val="20"/>
        </w:rPr>
        <w:t xml:space="preserve"> </w:t>
      </w:r>
      <w:r w:rsidRPr="00BF61EC">
        <w:rPr>
          <w:szCs w:val="20"/>
        </w:rPr>
        <w:t>for</w:t>
      </w:r>
      <w:r w:rsidR="00C64050">
        <w:rPr>
          <w:szCs w:val="20"/>
        </w:rPr>
        <w:t xml:space="preserve"> </w:t>
      </w:r>
      <w:r w:rsidRPr="00BF61EC">
        <w:rPr>
          <w:szCs w:val="20"/>
        </w:rPr>
        <w:t>the</w:t>
      </w:r>
      <w:r w:rsidR="00C64050">
        <w:rPr>
          <w:szCs w:val="20"/>
        </w:rPr>
        <w:t xml:space="preserve"> </w:t>
      </w:r>
      <w:r w:rsidRPr="00BF61EC">
        <w:rPr>
          <w:szCs w:val="20"/>
        </w:rPr>
        <w:t>benefit</w:t>
      </w:r>
      <w:r w:rsidR="00C64050">
        <w:rPr>
          <w:szCs w:val="20"/>
        </w:rPr>
        <w:t xml:space="preserve"> </w:t>
      </w:r>
      <w:r w:rsidRPr="00BF61EC">
        <w:rPr>
          <w:szCs w:val="20"/>
        </w:rPr>
        <w:t>of</w:t>
      </w:r>
      <w:r w:rsidR="00C64050">
        <w:rPr>
          <w:szCs w:val="20"/>
        </w:rPr>
        <w:t xml:space="preserve"> </w:t>
      </w:r>
      <w:r w:rsidRPr="00BF61EC">
        <w:rPr>
          <w:szCs w:val="20"/>
        </w:rPr>
        <w:t>that</w:t>
      </w:r>
      <w:r w:rsidR="00C64050">
        <w:rPr>
          <w:szCs w:val="20"/>
        </w:rPr>
        <w:t xml:space="preserve"> </w:t>
      </w:r>
      <w:r w:rsidRPr="00BF61EC">
        <w:rPr>
          <w:szCs w:val="20"/>
        </w:rPr>
        <w:t>trustee,</w:t>
      </w:r>
      <w:r w:rsidR="00C64050">
        <w:rPr>
          <w:szCs w:val="20"/>
        </w:rPr>
        <w:t xml:space="preserve"> </w:t>
      </w:r>
      <w:r w:rsidRPr="00BF61EC">
        <w:rPr>
          <w:szCs w:val="20"/>
        </w:rPr>
        <w:t>except</w:t>
      </w:r>
      <w:r w:rsidR="00C64050">
        <w:rPr>
          <w:szCs w:val="20"/>
        </w:rPr>
        <w:t xml:space="preserve"> </w:t>
      </w:r>
      <w:r w:rsidRPr="00BF61EC">
        <w:rPr>
          <w:szCs w:val="20"/>
        </w:rPr>
        <w:t>to</w:t>
      </w:r>
      <w:r w:rsidR="00C64050">
        <w:rPr>
          <w:szCs w:val="20"/>
        </w:rPr>
        <w:t xml:space="preserve"> </w:t>
      </w:r>
      <w:r w:rsidRPr="00BF61EC">
        <w:rPr>
          <w:szCs w:val="20"/>
        </w:rPr>
        <w:t>provide</w:t>
      </w:r>
      <w:r w:rsidR="00C64050">
        <w:rPr>
          <w:szCs w:val="20"/>
        </w:rPr>
        <w:t xml:space="preserve"> </w:t>
      </w:r>
      <w:r w:rsidRPr="00BF61EC">
        <w:rPr>
          <w:szCs w:val="20"/>
        </w:rPr>
        <w:t>for</w:t>
      </w:r>
      <w:r w:rsidR="00C64050">
        <w:rPr>
          <w:szCs w:val="20"/>
        </w:rPr>
        <w:t xml:space="preserve"> </w:t>
      </w:r>
      <w:r w:rsidRPr="00BF61EC">
        <w:rPr>
          <w:szCs w:val="20"/>
        </w:rPr>
        <w:t>that</w:t>
      </w:r>
      <w:r w:rsidR="00C64050">
        <w:rPr>
          <w:szCs w:val="20"/>
        </w:rPr>
        <w:t xml:space="preserve"> </w:t>
      </w:r>
      <w:r w:rsidRPr="00BF61EC">
        <w:rPr>
          <w:szCs w:val="20"/>
        </w:rPr>
        <w:t>trustee's</w:t>
      </w:r>
      <w:r w:rsidR="00C64050">
        <w:rPr>
          <w:szCs w:val="20"/>
        </w:rPr>
        <w:t xml:space="preserve"> </w:t>
      </w:r>
      <w:r w:rsidRPr="00BF61EC">
        <w:rPr>
          <w:szCs w:val="20"/>
        </w:rPr>
        <w:t>health,</w:t>
      </w:r>
      <w:r w:rsidR="00C64050">
        <w:rPr>
          <w:szCs w:val="20"/>
        </w:rPr>
        <w:t xml:space="preserve"> </w:t>
      </w:r>
      <w:r w:rsidRPr="00BF61EC">
        <w:rPr>
          <w:szCs w:val="20"/>
        </w:rPr>
        <w:t>education,</w:t>
      </w:r>
      <w:r w:rsidR="00C64050">
        <w:rPr>
          <w:szCs w:val="20"/>
        </w:rPr>
        <w:t xml:space="preserve"> </w:t>
      </w:r>
      <w:r w:rsidRPr="00BF61EC">
        <w:rPr>
          <w:szCs w:val="20"/>
        </w:rPr>
        <w:t>maintenance,</w:t>
      </w:r>
      <w:r w:rsidR="00C64050">
        <w:rPr>
          <w:szCs w:val="20"/>
        </w:rPr>
        <w:t xml:space="preserve"> </w:t>
      </w:r>
      <w:r w:rsidRPr="00BF61EC">
        <w:rPr>
          <w:szCs w:val="20"/>
        </w:rPr>
        <w:t>or</w:t>
      </w:r>
      <w:r w:rsidR="00C64050">
        <w:rPr>
          <w:szCs w:val="20"/>
        </w:rPr>
        <w:t xml:space="preserve"> </w:t>
      </w:r>
      <w:r w:rsidRPr="00BF61EC">
        <w:rPr>
          <w:szCs w:val="20"/>
        </w:rPr>
        <w:t>support</w:t>
      </w:r>
      <w:r w:rsidR="00C64050">
        <w:rPr>
          <w:szCs w:val="20"/>
        </w:rPr>
        <w:t xml:space="preserve"> </w:t>
      </w:r>
      <w:r w:rsidRPr="00BF61EC">
        <w:rPr>
          <w:szCs w:val="20"/>
        </w:rPr>
        <w:t>as</w:t>
      </w:r>
      <w:r w:rsidR="00C64050">
        <w:rPr>
          <w:szCs w:val="20"/>
        </w:rPr>
        <w:t xml:space="preserve"> </w:t>
      </w:r>
      <w:r w:rsidRPr="00BF61EC">
        <w:rPr>
          <w:szCs w:val="20"/>
        </w:rPr>
        <w:t>described</w:t>
      </w:r>
      <w:r w:rsidR="00C64050">
        <w:rPr>
          <w:szCs w:val="20"/>
        </w:rPr>
        <w:t xml:space="preserve"> </w:t>
      </w:r>
      <w:r w:rsidRPr="00BF61EC">
        <w:rPr>
          <w:szCs w:val="20"/>
        </w:rPr>
        <w:t>under</w:t>
      </w:r>
      <w:r w:rsidR="00C64050">
        <w:rPr>
          <w:szCs w:val="20"/>
        </w:rPr>
        <w:t xml:space="preserve"> </w:t>
      </w:r>
      <w:r w:rsidRPr="00BF61EC">
        <w:rPr>
          <w:szCs w:val="20"/>
        </w:rPr>
        <w:t>§</w:t>
      </w:r>
      <w:r w:rsidR="00C64050">
        <w:rPr>
          <w:szCs w:val="20"/>
        </w:rPr>
        <w:t xml:space="preserve"> </w:t>
      </w:r>
      <w:r w:rsidRPr="00BF61EC">
        <w:rPr>
          <w:szCs w:val="20"/>
        </w:rPr>
        <w:t>2041</w:t>
      </w:r>
      <w:r w:rsidR="00C64050">
        <w:rPr>
          <w:szCs w:val="20"/>
        </w:rPr>
        <w:t xml:space="preserve"> </w:t>
      </w:r>
      <w:r w:rsidRPr="00BF61EC">
        <w:rPr>
          <w:szCs w:val="20"/>
        </w:rPr>
        <w:t>and</w:t>
      </w:r>
      <w:r w:rsidR="00C64050">
        <w:rPr>
          <w:szCs w:val="20"/>
        </w:rPr>
        <w:t xml:space="preserve"> </w:t>
      </w:r>
      <w:r w:rsidRPr="00BF61EC">
        <w:rPr>
          <w:szCs w:val="20"/>
        </w:rPr>
        <w:t>§</w:t>
      </w:r>
      <w:r w:rsidR="00C64050">
        <w:rPr>
          <w:szCs w:val="20"/>
        </w:rPr>
        <w:t xml:space="preserve"> </w:t>
      </w:r>
      <w:r w:rsidRPr="00BF61EC">
        <w:rPr>
          <w:szCs w:val="20"/>
        </w:rPr>
        <w:t>2514</w:t>
      </w:r>
      <w:r w:rsidR="00C64050">
        <w:rPr>
          <w:szCs w:val="20"/>
        </w:rPr>
        <w:t xml:space="preserve"> </w:t>
      </w:r>
      <w:r w:rsidRPr="00BF61EC">
        <w:rPr>
          <w:szCs w:val="20"/>
        </w:rPr>
        <w:t>of</w:t>
      </w:r>
      <w:r w:rsidR="00C64050">
        <w:rPr>
          <w:szCs w:val="20"/>
        </w:rPr>
        <w:t xml:space="preserve"> </w:t>
      </w:r>
      <w:r w:rsidRPr="00BF61EC">
        <w:rPr>
          <w:szCs w:val="20"/>
        </w:rPr>
        <w:t>the</w:t>
      </w:r>
      <w:r w:rsidR="00C64050">
        <w:rPr>
          <w:szCs w:val="20"/>
        </w:rPr>
        <w:t xml:space="preserve"> </w:t>
      </w:r>
      <w:r w:rsidRPr="00BF61EC">
        <w:rPr>
          <w:szCs w:val="20"/>
        </w:rPr>
        <w:t>Code.</w:t>
      </w:r>
    </w:p>
    <w:p w:rsidR="00EA1F10" w:rsidRDefault="00EA1F10" w:rsidP="00EA1F10">
      <w:pPr>
        <w:pStyle w:val="Body15"/>
      </w:pPr>
      <w:r>
        <w:t>The</w:t>
      </w:r>
      <w:r w:rsidR="00C64050">
        <w:t xml:space="preserve"> </w:t>
      </w:r>
      <w:r>
        <w:t>IRS</w:t>
      </w:r>
      <w:r w:rsidR="00C64050">
        <w:t xml:space="preserve"> </w:t>
      </w:r>
      <w:r>
        <w:t>concluded</w:t>
      </w:r>
      <w:r w:rsidR="00C64050">
        <w:t xml:space="preserve"> </w:t>
      </w:r>
      <w:r>
        <w:t>that</w:t>
      </w:r>
      <w:r w:rsidR="00C64050">
        <w:t xml:space="preserve"> </w:t>
      </w:r>
      <w:r>
        <w:t>the</w:t>
      </w:r>
      <w:r w:rsidR="00C64050">
        <w:t xml:space="preserve"> </w:t>
      </w:r>
      <w:r>
        <w:t>decedent</w:t>
      </w:r>
      <w:r w:rsidR="00C64050">
        <w:t xml:space="preserve"> </w:t>
      </w:r>
      <w:r>
        <w:t>did</w:t>
      </w:r>
      <w:r w:rsidR="00C64050">
        <w:t xml:space="preserve"> </w:t>
      </w:r>
      <w:r>
        <w:t>not</w:t>
      </w:r>
      <w:r w:rsidR="00C64050">
        <w:t xml:space="preserve"> </w:t>
      </w:r>
      <w:r>
        <w:t>have</w:t>
      </w:r>
      <w:r w:rsidR="00C64050">
        <w:t xml:space="preserve"> </w:t>
      </w:r>
      <w:r>
        <w:t>a</w:t>
      </w:r>
      <w:r w:rsidR="00C64050">
        <w:t xml:space="preserve"> </w:t>
      </w:r>
      <w:r>
        <w:t>general</w:t>
      </w:r>
      <w:r w:rsidR="00C64050">
        <w:t xml:space="preserve"> </w:t>
      </w:r>
      <w:r>
        <w:t>power</w:t>
      </w:r>
      <w:r w:rsidR="00C64050">
        <w:t xml:space="preserve"> </w:t>
      </w:r>
      <w:r>
        <w:t>nor</w:t>
      </w:r>
      <w:r w:rsidR="00C64050">
        <w:t xml:space="preserve"> </w:t>
      </w:r>
      <w:r>
        <w:t>did</w:t>
      </w:r>
      <w:r w:rsidR="00C64050">
        <w:t xml:space="preserve"> </w:t>
      </w:r>
      <w:r>
        <w:t>the</w:t>
      </w:r>
      <w:r w:rsidR="00C64050">
        <w:t xml:space="preserve"> </w:t>
      </w:r>
      <w:r>
        <w:t>ena</w:t>
      </w:r>
      <w:r w:rsidR="00BF61EC">
        <w:t>ctment</w:t>
      </w:r>
      <w:r w:rsidR="00C64050">
        <w:t xml:space="preserve"> </w:t>
      </w:r>
      <w:r w:rsidR="00BF61EC">
        <w:t>of</w:t>
      </w:r>
      <w:r w:rsidR="00C64050">
        <w:t xml:space="preserve"> </w:t>
      </w:r>
      <w:r w:rsidR="00BF61EC">
        <w:t>the</w:t>
      </w:r>
      <w:r w:rsidR="00C64050">
        <w:t xml:space="preserve"> </w:t>
      </w:r>
      <w:r w:rsidR="00BF61EC">
        <w:t>statute</w:t>
      </w:r>
      <w:r w:rsidR="00C64050">
        <w:t xml:space="preserve"> </w:t>
      </w:r>
      <w:r w:rsidR="00BF61EC">
        <w:t>in</w:t>
      </w:r>
      <w:r w:rsidR="00C64050">
        <w:t xml:space="preserve"> </w:t>
      </w:r>
      <w:r w:rsidR="00BF61EC">
        <w:t>State</w:t>
      </w:r>
      <w:r w:rsidR="00C64050">
        <w:t xml:space="preserve"> </w:t>
      </w:r>
      <w:r w:rsidR="00BF61EC">
        <w:t>A</w:t>
      </w:r>
      <w:r w:rsidR="00C64050">
        <w:t xml:space="preserve"> </w:t>
      </w:r>
      <w:r>
        <w:t>or</w:t>
      </w:r>
      <w:r w:rsidR="00C64050">
        <w:t xml:space="preserve"> </w:t>
      </w:r>
      <w:r>
        <w:t>the</w:t>
      </w:r>
      <w:r w:rsidR="00C64050">
        <w:t xml:space="preserve"> </w:t>
      </w:r>
      <w:r>
        <w:t>move</w:t>
      </w:r>
      <w:r w:rsidR="00C64050">
        <w:t xml:space="preserve"> </w:t>
      </w:r>
      <w:r>
        <w:t>to</w:t>
      </w:r>
      <w:r w:rsidR="00C64050">
        <w:t xml:space="preserve"> </w:t>
      </w:r>
      <w:r>
        <w:t>State</w:t>
      </w:r>
      <w:r w:rsidR="00C64050">
        <w:t xml:space="preserve"> </w:t>
      </w:r>
      <w:r w:rsidR="00BF61EC">
        <w:t>B</w:t>
      </w:r>
      <w:r w:rsidR="00C64050">
        <w:t xml:space="preserve"> </w:t>
      </w:r>
      <w:r>
        <w:t>affect</w:t>
      </w:r>
      <w:r w:rsidR="00C64050">
        <w:t xml:space="preserve"> </w:t>
      </w:r>
      <w:r>
        <w:t>the</w:t>
      </w:r>
      <w:r w:rsidR="00C64050">
        <w:t xml:space="preserve"> </w:t>
      </w:r>
      <w:r>
        <w:t>GST</w:t>
      </w:r>
      <w:r w:rsidR="00C64050">
        <w:t xml:space="preserve"> </w:t>
      </w:r>
      <w:r>
        <w:t>grandfathered</w:t>
      </w:r>
      <w:r w:rsidR="00C64050">
        <w:t xml:space="preserve"> </w:t>
      </w:r>
      <w:r>
        <w:t>status</w:t>
      </w:r>
      <w:r w:rsidR="00C64050">
        <w:t xml:space="preserve"> </w:t>
      </w:r>
      <w:r>
        <w:t>of</w:t>
      </w:r>
      <w:r w:rsidR="00C64050">
        <w:t xml:space="preserve"> </w:t>
      </w:r>
      <w:r>
        <w:t>the</w:t>
      </w:r>
      <w:r w:rsidR="00C64050">
        <w:t xml:space="preserve"> </w:t>
      </w:r>
      <w:r>
        <w:t>trusts:</w:t>
      </w:r>
    </w:p>
    <w:p w:rsidR="00BF61EC" w:rsidRPr="00BF61EC" w:rsidRDefault="00BF61EC" w:rsidP="00BF61EC">
      <w:pPr>
        <w:pStyle w:val="QS10"/>
        <w:rPr>
          <w:szCs w:val="20"/>
        </w:rPr>
      </w:pPr>
      <w:r w:rsidRPr="00BF61EC">
        <w:rPr>
          <w:szCs w:val="20"/>
        </w:rPr>
        <w:t>In</w:t>
      </w:r>
      <w:r w:rsidR="00C64050">
        <w:rPr>
          <w:szCs w:val="20"/>
        </w:rPr>
        <w:t xml:space="preserve"> </w:t>
      </w:r>
      <w:r w:rsidRPr="00BF61EC">
        <w:rPr>
          <w:szCs w:val="20"/>
        </w:rPr>
        <w:t>Ruling</w:t>
      </w:r>
      <w:r w:rsidR="00C64050">
        <w:rPr>
          <w:szCs w:val="20"/>
        </w:rPr>
        <w:t xml:space="preserve"> </w:t>
      </w:r>
      <w:r w:rsidRPr="00BF61EC">
        <w:rPr>
          <w:szCs w:val="20"/>
        </w:rPr>
        <w:t>1</w:t>
      </w:r>
      <w:r w:rsidR="00C64050">
        <w:rPr>
          <w:szCs w:val="20"/>
        </w:rPr>
        <w:t xml:space="preserve"> </w:t>
      </w:r>
      <w:r w:rsidRPr="00BF61EC">
        <w:rPr>
          <w:szCs w:val="20"/>
        </w:rPr>
        <w:t>of</w:t>
      </w:r>
      <w:r w:rsidR="00C64050">
        <w:rPr>
          <w:szCs w:val="20"/>
        </w:rPr>
        <w:t xml:space="preserve"> </w:t>
      </w:r>
      <w:r w:rsidRPr="00BF61EC">
        <w:rPr>
          <w:szCs w:val="20"/>
        </w:rPr>
        <w:t>the</w:t>
      </w:r>
      <w:r w:rsidR="00C64050">
        <w:rPr>
          <w:szCs w:val="20"/>
        </w:rPr>
        <w:t xml:space="preserve"> </w:t>
      </w:r>
      <w:r w:rsidRPr="00BF61EC">
        <w:rPr>
          <w:szCs w:val="20"/>
        </w:rPr>
        <w:t>present</w:t>
      </w:r>
      <w:r w:rsidR="00C64050">
        <w:rPr>
          <w:szCs w:val="20"/>
        </w:rPr>
        <w:t xml:space="preserve"> </w:t>
      </w:r>
      <w:r w:rsidRPr="00BF61EC">
        <w:rPr>
          <w:szCs w:val="20"/>
        </w:rPr>
        <w:t>case,</w:t>
      </w:r>
      <w:r w:rsidR="00C64050">
        <w:rPr>
          <w:szCs w:val="20"/>
        </w:rPr>
        <w:t xml:space="preserve"> </w:t>
      </w:r>
      <w:r w:rsidRPr="00BF61EC">
        <w:rPr>
          <w:szCs w:val="20"/>
        </w:rPr>
        <w:t>we</w:t>
      </w:r>
      <w:r w:rsidR="00C64050">
        <w:rPr>
          <w:szCs w:val="20"/>
        </w:rPr>
        <w:t xml:space="preserve"> </w:t>
      </w:r>
      <w:r w:rsidRPr="00BF61EC">
        <w:rPr>
          <w:szCs w:val="20"/>
        </w:rPr>
        <w:t>conclude</w:t>
      </w:r>
      <w:r w:rsidR="00C64050">
        <w:rPr>
          <w:szCs w:val="20"/>
        </w:rPr>
        <w:t xml:space="preserve"> </w:t>
      </w:r>
      <w:r w:rsidRPr="00BF61EC">
        <w:rPr>
          <w:szCs w:val="20"/>
        </w:rPr>
        <w:t>that</w:t>
      </w:r>
      <w:r w:rsidR="00C64050">
        <w:rPr>
          <w:szCs w:val="20"/>
        </w:rPr>
        <w:t xml:space="preserve"> </w:t>
      </w:r>
      <w:r w:rsidRPr="00BF61EC">
        <w:rPr>
          <w:szCs w:val="20"/>
        </w:rPr>
        <w:t>the</w:t>
      </w:r>
      <w:r w:rsidR="00C64050">
        <w:rPr>
          <w:szCs w:val="20"/>
        </w:rPr>
        <w:t xml:space="preserve"> </w:t>
      </w:r>
      <w:r w:rsidRPr="00BF61EC">
        <w:rPr>
          <w:szCs w:val="20"/>
        </w:rPr>
        <w:t>enactment</w:t>
      </w:r>
      <w:r w:rsidR="00C64050">
        <w:rPr>
          <w:szCs w:val="20"/>
        </w:rPr>
        <w:t xml:space="preserve"> </w:t>
      </w:r>
      <w:r w:rsidRPr="00BF61EC">
        <w:rPr>
          <w:szCs w:val="20"/>
        </w:rPr>
        <w:t>of</w:t>
      </w:r>
      <w:r w:rsidR="00C64050">
        <w:rPr>
          <w:szCs w:val="20"/>
        </w:rPr>
        <w:t xml:space="preserve"> </w:t>
      </w:r>
      <w:r w:rsidRPr="00BF61EC">
        <w:rPr>
          <w:szCs w:val="20"/>
        </w:rPr>
        <w:t>Statute</w:t>
      </w:r>
      <w:r w:rsidR="00C64050">
        <w:rPr>
          <w:szCs w:val="20"/>
        </w:rPr>
        <w:t xml:space="preserve"> </w:t>
      </w:r>
      <w:r w:rsidRPr="00BF61EC">
        <w:rPr>
          <w:szCs w:val="20"/>
        </w:rPr>
        <w:t>1</w:t>
      </w:r>
      <w:r w:rsidR="00C64050">
        <w:rPr>
          <w:szCs w:val="20"/>
        </w:rPr>
        <w:t xml:space="preserve"> </w:t>
      </w:r>
      <w:r w:rsidRPr="00BF61EC">
        <w:rPr>
          <w:szCs w:val="20"/>
        </w:rPr>
        <w:t>did</w:t>
      </w:r>
      <w:r w:rsidR="00C64050">
        <w:rPr>
          <w:szCs w:val="20"/>
        </w:rPr>
        <w:t xml:space="preserve"> </w:t>
      </w:r>
      <w:r w:rsidRPr="00BF61EC">
        <w:rPr>
          <w:szCs w:val="20"/>
        </w:rPr>
        <w:t>not</w:t>
      </w:r>
      <w:r w:rsidR="00C64050">
        <w:rPr>
          <w:szCs w:val="20"/>
        </w:rPr>
        <w:t xml:space="preserve"> </w:t>
      </w:r>
      <w:r w:rsidRPr="00BF61EC">
        <w:rPr>
          <w:szCs w:val="20"/>
        </w:rPr>
        <w:t>constitute</w:t>
      </w:r>
      <w:r w:rsidR="00C64050">
        <w:rPr>
          <w:szCs w:val="20"/>
        </w:rPr>
        <w:t xml:space="preserve"> </w:t>
      </w:r>
      <w:r w:rsidRPr="00BF61EC">
        <w:rPr>
          <w:szCs w:val="20"/>
        </w:rPr>
        <w:t>a</w:t>
      </w:r>
      <w:r w:rsidR="00C64050">
        <w:rPr>
          <w:szCs w:val="20"/>
        </w:rPr>
        <w:t xml:space="preserve"> </w:t>
      </w:r>
      <w:r w:rsidRPr="00BF61EC">
        <w:rPr>
          <w:szCs w:val="20"/>
        </w:rPr>
        <w:t>release</w:t>
      </w:r>
      <w:r w:rsidR="00C64050">
        <w:rPr>
          <w:szCs w:val="20"/>
        </w:rPr>
        <w:t xml:space="preserve"> </w:t>
      </w:r>
      <w:r w:rsidRPr="00BF61EC">
        <w:rPr>
          <w:szCs w:val="20"/>
        </w:rPr>
        <w:t>of</w:t>
      </w:r>
      <w:r w:rsidR="00C64050">
        <w:rPr>
          <w:szCs w:val="20"/>
        </w:rPr>
        <w:t xml:space="preserve"> </w:t>
      </w:r>
      <w:r w:rsidRPr="00BF61EC">
        <w:rPr>
          <w:szCs w:val="20"/>
        </w:rPr>
        <w:t>a</w:t>
      </w:r>
      <w:r w:rsidR="00C64050">
        <w:rPr>
          <w:szCs w:val="20"/>
        </w:rPr>
        <w:t xml:space="preserve"> </w:t>
      </w:r>
      <w:r w:rsidRPr="00BF61EC">
        <w:rPr>
          <w:szCs w:val="20"/>
        </w:rPr>
        <w:t>general</w:t>
      </w:r>
      <w:r w:rsidR="00C64050">
        <w:rPr>
          <w:szCs w:val="20"/>
        </w:rPr>
        <w:t xml:space="preserve"> </w:t>
      </w:r>
      <w:r w:rsidRPr="00BF61EC">
        <w:rPr>
          <w:szCs w:val="20"/>
        </w:rPr>
        <w:t>power</w:t>
      </w:r>
      <w:r w:rsidR="00C64050">
        <w:rPr>
          <w:szCs w:val="20"/>
        </w:rPr>
        <w:t xml:space="preserve"> </w:t>
      </w:r>
      <w:r w:rsidRPr="00BF61EC">
        <w:rPr>
          <w:szCs w:val="20"/>
        </w:rPr>
        <w:t>of</w:t>
      </w:r>
      <w:r w:rsidR="00C64050">
        <w:rPr>
          <w:szCs w:val="20"/>
        </w:rPr>
        <w:t xml:space="preserve"> </w:t>
      </w:r>
      <w:r w:rsidRPr="00BF61EC">
        <w:rPr>
          <w:szCs w:val="20"/>
        </w:rPr>
        <w:t>appointment</w:t>
      </w:r>
      <w:r w:rsidR="00C64050">
        <w:rPr>
          <w:szCs w:val="20"/>
        </w:rPr>
        <w:t xml:space="preserve"> </w:t>
      </w:r>
      <w:r w:rsidRPr="00BF61EC">
        <w:rPr>
          <w:szCs w:val="20"/>
        </w:rPr>
        <w:t>by</w:t>
      </w:r>
      <w:r w:rsidR="00C64050">
        <w:rPr>
          <w:szCs w:val="20"/>
        </w:rPr>
        <w:t xml:space="preserve"> </w:t>
      </w:r>
      <w:r w:rsidRPr="00BF61EC">
        <w:rPr>
          <w:szCs w:val="20"/>
        </w:rPr>
        <w:t>Decedent.</w:t>
      </w:r>
      <w:r w:rsidR="00C64050">
        <w:rPr>
          <w:szCs w:val="20"/>
        </w:rPr>
        <w:t xml:space="preserve"> </w:t>
      </w:r>
      <w:r w:rsidRPr="00BF61EC">
        <w:rPr>
          <w:szCs w:val="20"/>
        </w:rPr>
        <w:t>In</w:t>
      </w:r>
      <w:r w:rsidR="00C64050">
        <w:rPr>
          <w:szCs w:val="20"/>
        </w:rPr>
        <w:t xml:space="preserve"> </w:t>
      </w:r>
      <w:r w:rsidRPr="00BF61EC">
        <w:rPr>
          <w:szCs w:val="20"/>
        </w:rPr>
        <w:t>Ruling</w:t>
      </w:r>
      <w:r w:rsidR="00C64050">
        <w:rPr>
          <w:szCs w:val="20"/>
        </w:rPr>
        <w:t xml:space="preserve"> </w:t>
      </w:r>
      <w:r w:rsidRPr="00BF61EC">
        <w:rPr>
          <w:szCs w:val="20"/>
        </w:rPr>
        <w:t>2</w:t>
      </w:r>
      <w:r w:rsidR="00C64050">
        <w:rPr>
          <w:szCs w:val="20"/>
        </w:rPr>
        <w:t xml:space="preserve"> </w:t>
      </w:r>
      <w:r w:rsidRPr="00BF61EC">
        <w:rPr>
          <w:szCs w:val="20"/>
        </w:rPr>
        <w:t>of</w:t>
      </w:r>
      <w:r w:rsidR="00C64050">
        <w:rPr>
          <w:szCs w:val="20"/>
        </w:rPr>
        <w:t xml:space="preserve"> </w:t>
      </w:r>
      <w:r w:rsidRPr="00BF61EC">
        <w:rPr>
          <w:szCs w:val="20"/>
        </w:rPr>
        <w:t>the</w:t>
      </w:r>
      <w:r w:rsidR="00C64050">
        <w:rPr>
          <w:szCs w:val="20"/>
        </w:rPr>
        <w:t xml:space="preserve"> </w:t>
      </w:r>
      <w:r w:rsidRPr="00BF61EC">
        <w:rPr>
          <w:szCs w:val="20"/>
        </w:rPr>
        <w:t>present</w:t>
      </w:r>
      <w:r w:rsidR="00C64050">
        <w:rPr>
          <w:szCs w:val="20"/>
        </w:rPr>
        <w:t xml:space="preserve"> </w:t>
      </w:r>
      <w:r w:rsidRPr="00BF61EC">
        <w:rPr>
          <w:szCs w:val="20"/>
        </w:rPr>
        <w:t>case,</w:t>
      </w:r>
      <w:r w:rsidR="00C64050">
        <w:rPr>
          <w:szCs w:val="20"/>
        </w:rPr>
        <w:t xml:space="preserve"> </w:t>
      </w:r>
      <w:r w:rsidRPr="00BF61EC">
        <w:rPr>
          <w:szCs w:val="20"/>
        </w:rPr>
        <w:t>we</w:t>
      </w:r>
      <w:r w:rsidR="00C64050">
        <w:rPr>
          <w:szCs w:val="20"/>
        </w:rPr>
        <w:t xml:space="preserve"> </w:t>
      </w:r>
      <w:r w:rsidRPr="00BF61EC">
        <w:rPr>
          <w:szCs w:val="20"/>
        </w:rPr>
        <w:t>conclude</w:t>
      </w:r>
      <w:r w:rsidR="00C64050">
        <w:rPr>
          <w:szCs w:val="20"/>
        </w:rPr>
        <w:t xml:space="preserve"> </w:t>
      </w:r>
      <w:r w:rsidRPr="00BF61EC">
        <w:rPr>
          <w:szCs w:val="20"/>
        </w:rPr>
        <w:t>that</w:t>
      </w:r>
      <w:r w:rsidR="00C64050">
        <w:rPr>
          <w:szCs w:val="20"/>
        </w:rPr>
        <w:t xml:space="preserve"> </w:t>
      </w:r>
      <w:r w:rsidRPr="00BF61EC">
        <w:rPr>
          <w:szCs w:val="20"/>
        </w:rPr>
        <w:t>Decedent</w:t>
      </w:r>
      <w:r w:rsidR="00C64050">
        <w:rPr>
          <w:szCs w:val="20"/>
        </w:rPr>
        <w:t xml:space="preserve"> </w:t>
      </w:r>
      <w:r w:rsidRPr="00BF61EC">
        <w:rPr>
          <w:szCs w:val="20"/>
        </w:rPr>
        <w:t>did</w:t>
      </w:r>
      <w:r w:rsidR="00C64050">
        <w:rPr>
          <w:szCs w:val="20"/>
        </w:rPr>
        <w:t xml:space="preserve"> </w:t>
      </w:r>
      <w:r w:rsidRPr="00BF61EC">
        <w:rPr>
          <w:szCs w:val="20"/>
        </w:rPr>
        <w:t>not</w:t>
      </w:r>
      <w:r w:rsidR="00C64050">
        <w:rPr>
          <w:szCs w:val="20"/>
        </w:rPr>
        <w:t xml:space="preserve"> </w:t>
      </w:r>
      <w:r w:rsidRPr="00BF61EC">
        <w:rPr>
          <w:szCs w:val="20"/>
        </w:rPr>
        <w:t>have</w:t>
      </w:r>
      <w:r w:rsidR="00C64050">
        <w:rPr>
          <w:szCs w:val="20"/>
        </w:rPr>
        <w:t xml:space="preserve"> </w:t>
      </w:r>
      <w:r w:rsidRPr="00BF61EC">
        <w:rPr>
          <w:szCs w:val="20"/>
        </w:rPr>
        <w:t>a</w:t>
      </w:r>
      <w:r w:rsidR="00C64050">
        <w:rPr>
          <w:szCs w:val="20"/>
        </w:rPr>
        <w:t xml:space="preserve"> </w:t>
      </w:r>
      <w:r w:rsidRPr="00BF61EC">
        <w:rPr>
          <w:szCs w:val="20"/>
        </w:rPr>
        <w:t>general</w:t>
      </w:r>
      <w:r w:rsidR="00C64050">
        <w:rPr>
          <w:szCs w:val="20"/>
        </w:rPr>
        <w:t xml:space="preserve"> </w:t>
      </w:r>
      <w:r w:rsidRPr="00BF61EC">
        <w:rPr>
          <w:szCs w:val="20"/>
        </w:rPr>
        <w:t>power</w:t>
      </w:r>
      <w:r w:rsidR="00C64050">
        <w:rPr>
          <w:szCs w:val="20"/>
        </w:rPr>
        <w:t xml:space="preserve"> </w:t>
      </w:r>
      <w:r w:rsidRPr="00BF61EC">
        <w:rPr>
          <w:szCs w:val="20"/>
        </w:rPr>
        <w:t>of</w:t>
      </w:r>
      <w:r w:rsidR="00C64050">
        <w:rPr>
          <w:szCs w:val="20"/>
        </w:rPr>
        <w:t xml:space="preserve"> </w:t>
      </w:r>
      <w:r w:rsidRPr="00BF61EC">
        <w:rPr>
          <w:szCs w:val="20"/>
        </w:rPr>
        <w:t>appointment</w:t>
      </w:r>
      <w:r w:rsidR="00C64050">
        <w:rPr>
          <w:szCs w:val="20"/>
        </w:rPr>
        <w:t xml:space="preserve"> </w:t>
      </w:r>
      <w:r w:rsidRPr="00BF61EC">
        <w:rPr>
          <w:szCs w:val="20"/>
        </w:rPr>
        <w:t>at</w:t>
      </w:r>
      <w:r w:rsidR="00C64050">
        <w:rPr>
          <w:szCs w:val="20"/>
        </w:rPr>
        <w:t xml:space="preserve"> </w:t>
      </w:r>
      <w:r w:rsidRPr="00BF61EC">
        <w:rPr>
          <w:szCs w:val="20"/>
        </w:rPr>
        <w:t>the</w:t>
      </w:r>
      <w:r w:rsidR="00C64050">
        <w:rPr>
          <w:szCs w:val="20"/>
        </w:rPr>
        <w:t xml:space="preserve"> </w:t>
      </w:r>
      <w:r w:rsidRPr="00BF61EC">
        <w:rPr>
          <w:szCs w:val="20"/>
        </w:rPr>
        <w:t>time</w:t>
      </w:r>
      <w:r w:rsidR="00C64050">
        <w:rPr>
          <w:szCs w:val="20"/>
        </w:rPr>
        <w:t xml:space="preserve"> </w:t>
      </w:r>
      <w:r w:rsidRPr="00BF61EC">
        <w:rPr>
          <w:szCs w:val="20"/>
        </w:rPr>
        <w:t>of</w:t>
      </w:r>
      <w:r w:rsidR="00C64050">
        <w:rPr>
          <w:szCs w:val="20"/>
        </w:rPr>
        <w:t xml:space="preserve"> </w:t>
      </w:r>
      <w:r w:rsidRPr="00BF61EC">
        <w:rPr>
          <w:szCs w:val="20"/>
        </w:rPr>
        <w:t>his</w:t>
      </w:r>
      <w:r w:rsidR="00C64050">
        <w:rPr>
          <w:szCs w:val="20"/>
        </w:rPr>
        <w:t xml:space="preserve"> </w:t>
      </w:r>
      <w:r w:rsidRPr="00BF61EC">
        <w:rPr>
          <w:szCs w:val="20"/>
        </w:rPr>
        <w:t>death</w:t>
      </w:r>
      <w:r w:rsidR="00C64050">
        <w:rPr>
          <w:szCs w:val="20"/>
        </w:rPr>
        <w:t xml:space="preserve"> </w:t>
      </w:r>
      <w:r w:rsidRPr="00BF61EC">
        <w:rPr>
          <w:szCs w:val="20"/>
        </w:rPr>
        <w:t>and</w:t>
      </w:r>
      <w:r w:rsidR="00C64050">
        <w:rPr>
          <w:szCs w:val="20"/>
        </w:rPr>
        <w:t xml:space="preserve"> </w:t>
      </w:r>
      <w:r w:rsidRPr="00BF61EC">
        <w:rPr>
          <w:szCs w:val="20"/>
        </w:rPr>
        <w:t>that</w:t>
      </w:r>
      <w:r w:rsidR="00C64050">
        <w:rPr>
          <w:szCs w:val="20"/>
        </w:rPr>
        <w:t xml:space="preserve"> </w:t>
      </w:r>
      <w:r w:rsidRPr="00BF61EC">
        <w:rPr>
          <w:szCs w:val="20"/>
        </w:rPr>
        <w:t>the</w:t>
      </w:r>
      <w:r w:rsidR="00C64050">
        <w:rPr>
          <w:szCs w:val="20"/>
        </w:rPr>
        <w:t xml:space="preserve"> </w:t>
      </w:r>
      <w:r w:rsidRPr="00BF61EC">
        <w:rPr>
          <w:szCs w:val="20"/>
        </w:rPr>
        <w:t>lapse</w:t>
      </w:r>
      <w:r w:rsidR="00C64050">
        <w:rPr>
          <w:szCs w:val="20"/>
        </w:rPr>
        <w:t xml:space="preserve"> </w:t>
      </w:r>
      <w:r w:rsidRPr="00BF61EC">
        <w:rPr>
          <w:szCs w:val="20"/>
        </w:rPr>
        <w:t>of</w:t>
      </w:r>
      <w:r w:rsidR="00C64050">
        <w:rPr>
          <w:szCs w:val="20"/>
        </w:rPr>
        <w:t xml:space="preserve"> </w:t>
      </w:r>
      <w:r w:rsidRPr="00BF61EC">
        <w:rPr>
          <w:szCs w:val="20"/>
        </w:rPr>
        <w:t>Decedent's</w:t>
      </w:r>
      <w:r w:rsidR="00C64050">
        <w:rPr>
          <w:szCs w:val="20"/>
        </w:rPr>
        <w:t xml:space="preserve"> </w:t>
      </w:r>
      <w:r w:rsidRPr="00BF61EC">
        <w:rPr>
          <w:szCs w:val="20"/>
        </w:rPr>
        <w:t>fiduciary</w:t>
      </w:r>
      <w:r w:rsidR="00C64050">
        <w:rPr>
          <w:szCs w:val="20"/>
        </w:rPr>
        <w:t xml:space="preserve"> </w:t>
      </w:r>
      <w:r w:rsidRPr="00BF61EC">
        <w:rPr>
          <w:szCs w:val="20"/>
        </w:rPr>
        <w:t>powers</w:t>
      </w:r>
      <w:r w:rsidR="00C64050">
        <w:rPr>
          <w:szCs w:val="20"/>
        </w:rPr>
        <w:t xml:space="preserve"> </w:t>
      </w:r>
      <w:r w:rsidRPr="00BF61EC">
        <w:rPr>
          <w:szCs w:val="20"/>
        </w:rPr>
        <w:t>as</w:t>
      </w:r>
      <w:r w:rsidR="00C64050">
        <w:rPr>
          <w:szCs w:val="20"/>
        </w:rPr>
        <w:t xml:space="preserve"> </w:t>
      </w:r>
      <w:r w:rsidRPr="00BF61EC">
        <w:rPr>
          <w:szCs w:val="20"/>
        </w:rPr>
        <w:t>trustee</w:t>
      </w:r>
      <w:r w:rsidR="00C64050">
        <w:rPr>
          <w:szCs w:val="20"/>
        </w:rPr>
        <w:t xml:space="preserve"> </w:t>
      </w:r>
      <w:r w:rsidRPr="00BF61EC">
        <w:rPr>
          <w:szCs w:val="20"/>
        </w:rPr>
        <w:t>at</w:t>
      </w:r>
      <w:r w:rsidR="00C64050">
        <w:rPr>
          <w:szCs w:val="20"/>
        </w:rPr>
        <w:t xml:space="preserve"> </w:t>
      </w:r>
      <w:r w:rsidRPr="00BF61EC">
        <w:rPr>
          <w:szCs w:val="20"/>
        </w:rPr>
        <w:t>his</w:t>
      </w:r>
      <w:r w:rsidR="00C64050">
        <w:rPr>
          <w:szCs w:val="20"/>
        </w:rPr>
        <w:t xml:space="preserve"> </w:t>
      </w:r>
      <w:r w:rsidRPr="00BF61EC">
        <w:rPr>
          <w:szCs w:val="20"/>
        </w:rPr>
        <w:t>death</w:t>
      </w:r>
      <w:r w:rsidR="00C64050">
        <w:rPr>
          <w:szCs w:val="20"/>
        </w:rPr>
        <w:t xml:space="preserve"> </w:t>
      </w:r>
      <w:r w:rsidRPr="00BF61EC">
        <w:rPr>
          <w:szCs w:val="20"/>
        </w:rPr>
        <w:t>did</w:t>
      </w:r>
      <w:r w:rsidR="00C64050">
        <w:rPr>
          <w:szCs w:val="20"/>
        </w:rPr>
        <w:t xml:space="preserve"> </w:t>
      </w:r>
      <w:r w:rsidRPr="00BF61EC">
        <w:rPr>
          <w:szCs w:val="20"/>
        </w:rPr>
        <w:t>not</w:t>
      </w:r>
      <w:r w:rsidR="00C64050">
        <w:rPr>
          <w:szCs w:val="20"/>
        </w:rPr>
        <w:t xml:space="preserve"> </w:t>
      </w:r>
      <w:r w:rsidRPr="00BF61EC">
        <w:rPr>
          <w:szCs w:val="20"/>
        </w:rPr>
        <w:t>constitute</w:t>
      </w:r>
      <w:r w:rsidR="00C64050">
        <w:rPr>
          <w:szCs w:val="20"/>
        </w:rPr>
        <w:t xml:space="preserve"> </w:t>
      </w:r>
      <w:r w:rsidRPr="00BF61EC">
        <w:rPr>
          <w:szCs w:val="20"/>
        </w:rPr>
        <w:t>a</w:t>
      </w:r>
      <w:r w:rsidR="00C64050">
        <w:rPr>
          <w:szCs w:val="20"/>
        </w:rPr>
        <w:t xml:space="preserve"> </w:t>
      </w:r>
      <w:r w:rsidRPr="00BF61EC">
        <w:rPr>
          <w:szCs w:val="20"/>
        </w:rPr>
        <w:t>release</w:t>
      </w:r>
      <w:r w:rsidR="00C64050">
        <w:rPr>
          <w:szCs w:val="20"/>
        </w:rPr>
        <w:t xml:space="preserve"> </w:t>
      </w:r>
      <w:r w:rsidRPr="00BF61EC">
        <w:rPr>
          <w:szCs w:val="20"/>
        </w:rPr>
        <w:t>of</w:t>
      </w:r>
      <w:r w:rsidR="00C64050">
        <w:rPr>
          <w:szCs w:val="20"/>
        </w:rPr>
        <w:t xml:space="preserve"> </w:t>
      </w:r>
      <w:r w:rsidRPr="00BF61EC">
        <w:rPr>
          <w:szCs w:val="20"/>
        </w:rPr>
        <w:t>a</w:t>
      </w:r>
      <w:r w:rsidR="00C64050">
        <w:rPr>
          <w:szCs w:val="20"/>
        </w:rPr>
        <w:t xml:space="preserve"> </w:t>
      </w:r>
      <w:r w:rsidRPr="00BF61EC">
        <w:rPr>
          <w:szCs w:val="20"/>
        </w:rPr>
        <w:t>general</w:t>
      </w:r>
      <w:r w:rsidR="00C64050">
        <w:rPr>
          <w:szCs w:val="20"/>
        </w:rPr>
        <w:t xml:space="preserve"> </w:t>
      </w:r>
      <w:r w:rsidRPr="00BF61EC">
        <w:rPr>
          <w:szCs w:val="20"/>
        </w:rPr>
        <w:t>power</w:t>
      </w:r>
      <w:r w:rsidR="00C64050">
        <w:rPr>
          <w:szCs w:val="20"/>
        </w:rPr>
        <w:t xml:space="preserve"> </w:t>
      </w:r>
      <w:r w:rsidRPr="00BF61EC">
        <w:rPr>
          <w:szCs w:val="20"/>
        </w:rPr>
        <w:t>of</w:t>
      </w:r>
      <w:r w:rsidR="00C64050">
        <w:rPr>
          <w:szCs w:val="20"/>
        </w:rPr>
        <w:t xml:space="preserve"> </w:t>
      </w:r>
      <w:r w:rsidRPr="00BF61EC">
        <w:rPr>
          <w:szCs w:val="20"/>
        </w:rPr>
        <w:t>appointment.</w:t>
      </w:r>
      <w:r w:rsidR="00C64050">
        <w:rPr>
          <w:szCs w:val="20"/>
        </w:rPr>
        <w:t xml:space="preserve"> </w:t>
      </w:r>
      <w:r w:rsidRPr="00BF61EC">
        <w:rPr>
          <w:szCs w:val="20"/>
        </w:rPr>
        <w:t>Therefore,</w:t>
      </w:r>
      <w:r w:rsidR="00C64050">
        <w:rPr>
          <w:szCs w:val="20"/>
        </w:rPr>
        <w:t xml:space="preserve"> </w:t>
      </w:r>
      <w:r w:rsidRPr="00BF61EC">
        <w:rPr>
          <w:szCs w:val="20"/>
        </w:rPr>
        <w:t>we</w:t>
      </w:r>
      <w:r w:rsidR="00C64050">
        <w:rPr>
          <w:szCs w:val="20"/>
        </w:rPr>
        <w:t xml:space="preserve"> </w:t>
      </w:r>
      <w:r w:rsidRPr="00BF61EC">
        <w:rPr>
          <w:szCs w:val="20"/>
        </w:rPr>
        <w:t>conclude</w:t>
      </w:r>
      <w:r w:rsidR="00C64050">
        <w:rPr>
          <w:szCs w:val="20"/>
        </w:rPr>
        <w:t xml:space="preserve"> </w:t>
      </w:r>
      <w:r w:rsidRPr="00BF61EC">
        <w:rPr>
          <w:szCs w:val="20"/>
        </w:rPr>
        <w:t>neither</w:t>
      </w:r>
      <w:r w:rsidR="00C64050">
        <w:rPr>
          <w:szCs w:val="20"/>
        </w:rPr>
        <w:t xml:space="preserve"> </w:t>
      </w:r>
      <w:r w:rsidRPr="00BF61EC">
        <w:rPr>
          <w:szCs w:val="20"/>
        </w:rPr>
        <w:t>the</w:t>
      </w:r>
      <w:r w:rsidR="00C64050">
        <w:rPr>
          <w:szCs w:val="20"/>
        </w:rPr>
        <w:t xml:space="preserve"> </w:t>
      </w:r>
      <w:r w:rsidRPr="00BF61EC">
        <w:rPr>
          <w:szCs w:val="20"/>
        </w:rPr>
        <w:t>enactment</w:t>
      </w:r>
      <w:r w:rsidR="00C64050">
        <w:rPr>
          <w:szCs w:val="20"/>
        </w:rPr>
        <w:t xml:space="preserve"> </w:t>
      </w:r>
      <w:r w:rsidRPr="00BF61EC">
        <w:rPr>
          <w:szCs w:val="20"/>
        </w:rPr>
        <w:t>of</w:t>
      </w:r>
      <w:r w:rsidR="00C64050">
        <w:rPr>
          <w:szCs w:val="20"/>
        </w:rPr>
        <w:t xml:space="preserve"> </w:t>
      </w:r>
      <w:r w:rsidRPr="00BF61EC">
        <w:rPr>
          <w:szCs w:val="20"/>
        </w:rPr>
        <w:t>Statute</w:t>
      </w:r>
      <w:r w:rsidR="00C64050">
        <w:rPr>
          <w:szCs w:val="20"/>
        </w:rPr>
        <w:t xml:space="preserve"> </w:t>
      </w:r>
      <w:r w:rsidRPr="00BF61EC">
        <w:rPr>
          <w:szCs w:val="20"/>
        </w:rPr>
        <w:t>1</w:t>
      </w:r>
      <w:r w:rsidR="00C64050">
        <w:rPr>
          <w:szCs w:val="20"/>
        </w:rPr>
        <w:t xml:space="preserve"> </w:t>
      </w:r>
      <w:r w:rsidRPr="00BF61EC">
        <w:rPr>
          <w:szCs w:val="20"/>
        </w:rPr>
        <w:t>nor</w:t>
      </w:r>
      <w:r w:rsidR="00C64050">
        <w:rPr>
          <w:szCs w:val="20"/>
        </w:rPr>
        <w:t xml:space="preserve"> </w:t>
      </w:r>
      <w:r w:rsidRPr="00BF61EC">
        <w:rPr>
          <w:szCs w:val="20"/>
        </w:rPr>
        <w:t>the</w:t>
      </w:r>
      <w:r w:rsidR="00C64050">
        <w:rPr>
          <w:szCs w:val="20"/>
        </w:rPr>
        <w:t xml:space="preserve"> </w:t>
      </w:r>
      <w:r w:rsidRPr="00BF61EC">
        <w:rPr>
          <w:szCs w:val="20"/>
        </w:rPr>
        <w:t>lapse</w:t>
      </w:r>
      <w:r w:rsidR="00C64050">
        <w:rPr>
          <w:szCs w:val="20"/>
        </w:rPr>
        <w:t xml:space="preserve"> </w:t>
      </w:r>
      <w:r w:rsidRPr="00BF61EC">
        <w:rPr>
          <w:szCs w:val="20"/>
        </w:rPr>
        <w:t>of</w:t>
      </w:r>
      <w:r w:rsidR="00C64050">
        <w:rPr>
          <w:szCs w:val="20"/>
        </w:rPr>
        <w:t xml:space="preserve"> </w:t>
      </w:r>
      <w:r w:rsidRPr="00BF61EC">
        <w:rPr>
          <w:szCs w:val="20"/>
        </w:rPr>
        <w:t>Decedent's</w:t>
      </w:r>
      <w:r w:rsidR="00C64050">
        <w:rPr>
          <w:szCs w:val="20"/>
        </w:rPr>
        <w:t xml:space="preserve"> </w:t>
      </w:r>
      <w:r w:rsidRPr="00BF61EC">
        <w:rPr>
          <w:szCs w:val="20"/>
        </w:rPr>
        <w:t>fiduciary</w:t>
      </w:r>
      <w:r w:rsidR="00C64050">
        <w:rPr>
          <w:szCs w:val="20"/>
        </w:rPr>
        <w:t xml:space="preserve"> </w:t>
      </w:r>
      <w:r w:rsidRPr="00BF61EC">
        <w:rPr>
          <w:szCs w:val="20"/>
        </w:rPr>
        <w:t>powers</w:t>
      </w:r>
      <w:r w:rsidR="00C64050">
        <w:rPr>
          <w:szCs w:val="20"/>
        </w:rPr>
        <w:t xml:space="preserve"> </w:t>
      </w:r>
      <w:r w:rsidRPr="00BF61EC">
        <w:rPr>
          <w:szCs w:val="20"/>
        </w:rPr>
        <w:t>at</w:t>
      </w:r>
      <w:r w:rsidR="00C64050">
        <w:rPr>
          <w:szCs w:val="20"/>
        </w:rPr>
        <w:t xml:space="preserve"> </w:t>
      </w:r>
      <w:r w:rsidRPr="00BF61EC">
        <w:rPr>
          <w:szCs w:val="20"/>
        </w:rPr>
        <w:t>his</w:t>
      </w:r>
      <w:r w:rsidR="00C64050">
        <w:rPr>
          <w:szCs w:val="20"/>
        </w:rPr>
        <w:t xml:space="preserve"> </w:t>
      </w:r>
      <w:r w:rsidRPr="00BF61EC">
        <w:rPr>
          <w:szCs w:val="20"/>
        </w:rPr>
        <w:t>death</w:t>
      </w:r>
      <w:r w:rsidR="00C64050">
        <w:rPr>
          <w:szCs w:val="20"/>
        </w:rPr>
        <w:t xml:space="preserve"> </w:t>
      </w:r>
      <w:r w:rsidRPr="00BF61EC">
        <w:rPr>
          <w:szCs w:val="20"/>
        </w:rPr>
        <w:t>constitute</w:t>
      </w:r>
      <w:r w:rsidR="00C64050">
        <w:rPr>
          <w:szCs w:val="20"/>
        </w:rPr>
        <w:t xml:space="preserve"> </w:t>
      </w:r>
      <w:r w:rsidRPr="00BF61EC">
        <w:rPr>
          <w:szCs w:val="20"/>
        </w:rPr>
        <w:t>a</w:t>
      </w:r>
      <w:r w:rsidR="00C64050">
        <w:rPr>
          <w:szCs w:val="20"/>
        </w:rPr>
        <w:t xml:space="preserve"> </w:t>
      </w:r>
      <w:r w:rsidRPr="00BF61EC">
        <w:rPr>
          <w:szCs w:val="20"/>
        </w:rPr>
        <w:t>constructive</w:t>
      </w:r>
      <w:r w:rsidR="00C64050">
        <w:rPr>
          <w:szCs w:val="20"/>
        </w:rPr>
        <w:t xml:space="preserve"> </w:t>
      </w:r>
      <w:r w:rsidRPr="00BF61EC">
        <w:rPr>
          <w:szCs w:val="20"/>
        </w:rPr>
        <w:t>addition</w:t>
      </w:r>
      <w:r w:rsidR="00C64050">
        <w:rPr>
          <w:szCs w:val="20"/>
        </w:rPr>
        <w:t xml:space="preserve"> </w:t>
      </w:r>
      <w:r w:rsidRPr="00BF61EC">
        <w:rPr>
          <w:szCs w:val="20"/>
        </w:rPr>
        <w:t>to</w:t>
      </w:r>
      <w:r w:rsidR="00C64050">
        <w:rPr>
          <w:szCs w:val="20"/>
        </w:rPr>
        <w:t xml:space="preserve"> </w:t>
      </w:r>
      <w:r w:rsidRPr="00BF61EC">
        <w:rPr>
          <w:szCs w:val="20"/>
        </w:rPr>
        <w:t>the</w:t>
      </w:r>
      <w:r w:rsidR="00C64050">
        <w:rPr>
          <w:szCs w:val="20"/>
        </w:rPr>
        <w:t xml:space="preserve"> </w:t>
      </w:r>
      <w:r w:rsidRPr="00BF61EC">
        <w:rPr>
          <w:szCs w:val="20"/>
        </w:rPr>
        <w:t>trust</w:t>
      </w:r>
      <w:r w:rsidR="00C64050">
        <w:rPr>
          <w:szCs w:val="20"/>
        </w:rPr>
        <w:t xml:space="preserve"> </w:t>
      </w:r>
      <w:r w:rsidRPr="00BF61EC">
        <w:rPr>
          <w:szCs w:val="20"/>
        </w:rPr>
        <w:t>for</w:t>
      </w:r>
      <w:r w:rsidR="00C64050">
        <w:rPr>
          <w:szCs w:val="20"/>
        </w:rPr>
        <w:t xml:space="preserve"> </w:t>
      </w:r>
      <w:r w:rsidRPr="00BF61EC">
        <w:rPr>
          <w:szCs w:val="20"/>
        </w:rPr>
        <w:t>purposes</w:t>
      </w:r>
      <w:r w:rsidR="00C64050">
        <w:rPr>
          <w:szCs w:val="20"/>
        </w:rPr>
        <w:t xml:space="preserve"> </w:t>
      </w:r>
      <w:r w:rsidRPr="00BF61EC">
        <w:rPr>
          <w:szCs w:val="20"/>
        </w:rPr>
        <w:t>of</w:t>
      </w:r>
      <w:r w:rsidR="00C64050">
        <w:rPr>
          <w:szCs w:val="20"/>
        </w:rPr>
        <w:t xml:space="preserve"> </w:t>
      </w:r>
      <w:r w:rsidRPr="00BF61EC">
        <w:rPr>
          <w:szCs w:val="20"/>
        </w:rPr>
        <w:t>§</w:t>
      </w:r>
      <w:r w:rsidR="00C64050">
        <w:rPr>
          <w:szCs w:val="20"/>
        </w:rPr>
        <w:t xml:space="preserve"> </w:t>
      </w:r>
      <w:r w:rsidRPr="00BF61EC">
        <w:rPr>
          <w:szCs w:val="20"/>
        </w:rPr>
        <w:t>26.2601-1(b)(1)(v)(A).</w:t>
      </w:r>
    </w:p>
    <w:p w:rsidR="00BF61EC" w:rsidRPr="00BF61EC" w:rsidRDefault="00BF61EC" w:rsidP="00BF61EC">
      <w:pPr>
        <w:pStyle w:val="QS10"/>
        <w:rPr>
          <w:szCs w:val="20"/>
        </w:rPr>
      </w:pPr>
      <w:r w:rsidRPr="00BF61EC">
        <w:rPr>
          <w:szCs w:val="20"/>
        </w:rPr>
        <w:t>The</w:t>
      </w:r>
      <w:r w:rsidR="00C64050">
        <w:rPr>
          <w:szCs w:val="20"/>
        </w:rPr>
        <w:t xml:space="preserve"> </w:t>
      </w:r>
      <w:r w:rsidRPr="00BF61EC">
        <w:rPr>
          <w:szCs w:val="20"/>
        </w:rPr>
        <w:t>enactment</w:t>
      </w:r>
      <w:r w:rsidR="00C64050">
        <w:rPr>
          <w:szCs w:val="20"/>
        </w:rPr>
        <w:t xml:space="preserve"> </w:t>
      </w:r>
      <w:r w:rsidRPr="00BF61EC">
        <w:rPr>
          <w:szCs w:val="20"/>
        </w:rPr>
        <w:t>of</w:t>
      </w:r>
      <w:r w:rsidR="00C64050">
        <w:rPr>
          <w:szCs w:val="20"/>
        </w:rPr>
        <w:t xml:space="preserve"> </w:t>
      </w:r>
      <w:r w:rsidRPr="00BF61EC">
        <w:rPr>
          <w:szCs w:val="20"/>
        </w:rPr>
        <w:t>Statute</w:t>
      </w:r>
      <w:r w:rsidR="00C64050">
        <w:rPr>
          <w:szCs w:val="20"/>
        </w:rPr>
        <w:t xml:space="preserve"> </w:t>
      </w:r>
      <w:r w:rsidRPr="00BF61EC">
        <w:rPr>
          <w:szCs w:val="20"/>
        </w:rPr>
        <w:t>1</w:t>
      </w:r>
      <w:r w:rsidR="00C64050">
        <w:rPr>
          <w:szCs w:val="20"/>
        </w:rPr>
        <w:t xml:space="preserve"> </w:t>
      </w:r>
      <w:r w:rsidRPr="00BF61EC">
        <w:rPr>
          <w:szCs w:val="20"/>
        </w:rPr>
        <w:t>did</w:t>
      </w:r>
      <w:r w:rsidR="00C64050">
        <w:rPr>
          <w:szCs w:val="20"/>
        </w:rPr>
        <w:t xml:space="preserve"> </w:t>
      </w:r>
      <w:r w:rsidRPr="00BF61EC">
        <w:rPr>
          <w:szCs w:val="20"/>
        </w:rPr>
        <w:t>not</w:t>
      </w:r>
      <w:r w:rsidR="00C64050">
        <w:rPr>
          <w:szCs w:val="20"/>
        </w:rPr>
        <w:t xml:space="preserve"> </w:t>
      </w:r>
      <w:r w:rsidRPr="00BF61EC">
        <w:rPr>
          <w:szCs w:val="20"/>
        </w:rPr>
        <w:t>change</w:t>
      </w:r>
      <w:r w:rsidR="00C64050">
        <w:rPr>
          <w:szCs w:val="20"/>
        </w:rPr>
        <w:t xml:space="preserve"> </w:t>
      </w:r>
      <w:r w:rsidRPr="00BF61EC">
        <w:rPr>
          <w:szCs w:val="20"/>
        </w:rPr>
        <w:t>the</w:t>
      </w:r>
      <w:r w:rsidR="00C64050">
        <w:rPr>
          <w:szCs w:val="20"/>
        </w:rPr>
        <w:t xml:space="preserve"> </w:t>
      </w:r>
      <w:r w:rsidRPr="00BF61EC">
        <w:rPr>
          <w:szCs w:val="20"/>
        </w:rPr>
        <w:t>standard</w:t>
      </w:r>
      <w:r w:rsidR="00C64050">
        <w:rPr>
          <w:szCs w:val="20"/>
        </w:rPr>
        <w:t xml:space="preserve"> </w:t>
      </w:r>
      <w:r w:rsidRPr="00BF61EC">
        <w:rPr>
          <w:szCs w:val="20"/>
        </w:rPr>
        <w:t>for</w:t>
      </w:r>
      <w:r w:rsidR="00C64050">
        <w:rPr>
          <w:szCs w:val="20"/>
        </w:rPr>
        <w:t xml:space="preserve"> </w:t>
      </w:r>
      <w:r w:rsidRPr="00BF61EC">
        <w:rPr>
          <w:szCs w:val="20"/>
        </w:rPr>
        <w:t>which</w:t>
      </w:r>
      <w:r w:rsidR="00C64050">
        <w:rPr>
          <w:szCs w:val="20"/>
        </w:rPr>
        <w:t xml:space="preserve"> </w:t>
      </w:r>
      <w:r w:rsidRPr="00BF61EC">
        <w:rPr>
          <w:szCs w:val="20"/>
        </w:rPr>
        <w:t>distributions</w:t>
      </w:r>
      <w:r w:rsidR="00C64050">
        <w:rPr>
          <w:szCs w:val="20"/>
        </w:rPr>
        <w:t xml:space="preserve"> </w:t>
      </w:r>
      <w:r w:rsidRPr="00BF61EC">
        <w:rPr>
          <w:szCs w:val="20"/>
        </w:rPr>
        <w:t>can</w:t>
      </w:r>
      <w:r w:rsidR="00C64050">
        <w:rPr>
          <w:szCs w:val="20"/>
        </w:rPr>
        <w:t xml:space="preserve"> </w:t>
      </w:r>
      <w:r w:rsidRPr="00BF61EC">
        <w:rPr>
          <w:szCs w:val="20"/>
        </w:rPr>
        <w:t>be</w:t>
      </w:r>
      <w:r w:rsidR="00C64050">
        <w:rPr>
          <w:szCs w:val="20"/>
        </w:rPr>
        <w:t xml:space="preserve"> </w:t>
      </w:r>
      <w:r w:rsidRPr="00BF61EC">
        <w:rPr>
          <w:szCs w:val="20"/>
        </w:rPr>
        <w:t>made</w:t>
      </w:r>
      <w:r w:rsidR="00C64050">
        <w:rPr>
          <w:szCs w:val="20"/>
        </w:rPr>
        <w:t xml:space="preserve"> </w:t>
      </w:r>
      <w:r w:rsidRPr="00BF61EC">
        <w:rPr>
          <w:szCs w:val="20"/>
        </w:rPr>
        <w:t>to</w:t>
      </w:r>
      <w:r w:rsidR="00C64050">
        <w:rPr>
          <w:szCs w:val="20"/>
        </w:rPr>
        <w:t xml:space="preserve"> </w:t>
      </w:r>
      <w:r w:rsidRPr="00BF61EC">
        <w:rPr>
          <w:szCs w:val="20"/>
        </w:rPr>
        <w:t>Decedent</w:t>
      </w:r>
      <w:r w:rsidR="00C64050">
        <w:rPr>
          <w:szCs w:val="20"/>
        </w:rPr>
        <w:t xml:space="preserve"> </w:t>
      </w:r>
      <w:r w:rsidRPr="00BF61EC">
        <w:rPr>
          <w:szCs w:val="20"/>
        </w:rPr>
        <w:t>under</w:t>
      </w:r>
      <w:r w:rsidR="00C64050">
        <w:rPr>
          <w:szCs w:val="20"/>
        </w:rPr>
        <w:t xml:space="preserve"> </w:t>
      </w:r>
      <w:r w:rsidRPr="00BF61EC">
        <w:rPr>
          <w:szCs w:val="20"/>
        </w:rPr>
        <w:t>the</w:t>
      </w:r>
      <w:r w:rsidR="00C64050">
        <w:rPr>
          <w:szCs w:val="20"/>
        </w:rPr>
        <w:t xml:space="preserve"> </w:t>
      </w:r>
      <w:r w:rsidRPr="00BF61EC">
        <w:rPr>
          <w:szCs w:val="20"/>
        </w:rPr>
        <w:t>terms</w:t>
      </w:r>
      <w:r w:rsidR="00C64050">
        <w:rPr>
          <w:szCs w:val="20"/>
        </w:rPr>
        <w:t xml:space="preserve"> </w:t>
      </w:r>
      <w:r w:rsidRPr="00BF61EC">
        <w:rPr>
          <w:szCs w:val="20"/>
        </w:rPr>
        <w:t>of</w:t>
      </w:r>
      <w:r w:rsidR="00C64050">
        <w:rPr>
          <w:szCs w:val="20"/>
        </w:rPr>
        <w:t xml:space="preserve"> </w:t>
      </w:r>
      <w:r w:rsidRPr="00BF61EC">
        <w:rPr>
          <w:szCs w:val="20"/>
        </w:rPr>
        <w:t>Trust</w:t>
      </w:r>
      <w:r w:rsidR="00C64050">
        <w:rPr>
          <w:szCs w:val="20"/>
        </w:rPr>
        <w:t xml:space="preserve"> </w:t>
      </w:r>
      <w:r w:rsidRPr="00BF61EC">
        <w:rPr>
          <w:szCs w:val="20"/>
        </w:rPr>
        <w:t>1</w:t>
      </w:r>
      <w:r w:rsidR="00C64050">
        <w:rPr>
          <w:szCs w:val="20"/>
        </w:rPr>
        <w:t xml:space="preserve"> </w:t>
      </w:r>
      <w:r w:rsidRPr="00BF61EC">
        <w:rPr>
          <w:szCs w:val="20"/>
        </w:rPr>
        <w:t>or</w:t>
      </w:r>
      <w:r w:rsidR="00C64050">
        <w:rPr>
          <w:szCs w:val="20"/>
        </w:rPr>
        <w:t xml:space="preserve"> </w:t>
      </w:r>
      <w:r w:rsidRPr="00BF61EC">
        <w:rPr>
          <w:szCs w:val="20"/>
        </w:rPr>
        <w:t>Trust</w:t>
      </w:r>
      <w:r w:rsidR="00C64050">
        <w:rPr>
          <w:szCs w:val="20"/>
        </w:rPr>
        <w:t xml:space="preserve"> </w:t>
      </w:r>
      <w:r w:rsidRPr="00BF61EC">
        <w:rPr>
          <w:szCs w:val="20"/>
        </w:rPr>
        <w:t>2.</w:t>
      </w:r>
      <w:r w:rsidR="00C64050">
        <w:rPr>
          <w:szCs w:val="20"/>
        </w:rPr>
        <w:t xml:space="preserve"> </w:t>
      </w:r>
      <w:r w:rsidRPr="00BF61EC">
        <w:rPr>
          <w:szCs w:val="20"/>
        </w:rPr>
        <w:t>The</w:t>
      </w:r>
      <w:r w:rsidR="00C64050">
        <w:rPr>
          <w:szCs w:val="20"/>
        </w:rPr>
        <w:t xml:space="preserve"> </w:t>
      </w:r>
      <w:r w:rsidRPr="00BF61EC">
        <w:rPr>
          <w:szCs w:val="20"/>
        </w:rPr>
        <w:t>enactment</w:t>
      </w:r>
      <w:r w:rsidR="00C64050">
        <w:rPr>
          <w:szCs w:val="20"/>
        </w:rPr>
        <w:t xml:space="preserve"> </w:t>
      </w:r>
      <w:r w:rsidRPr="00BF61EC">
        <w:rPr>
          <w:szCs w:val="20"/>
        </w:rPr>
        <w:t>of</w:t>
      </w:r>
      <w:r w:rsidR="00C64050">
        <w:rPr>
          <w:szCs w:val="20"/>
        </w:rPr>
        <w:t xml:space="preserve"> </w:t>
      </w:r>
      <w:r w:rsidRPr="00BF61EC">
        <w:rPr>
          <w:szCs w:val="20"/>
        </w:rPr>
        <w:t>Statute</w:t>
      </w:r>
      <w:r w:rsidR="00C64050">
        <w:rPr>
          <w:szCs w:val="20"/>
        </w:rPr>
        <w:t xml:space="preserve"> </w:t>
      </w:r>
      <w:r w:rsidRPr="00BF61EC">
        <w:rPr>
          <w:szCs w:val="20"/>
        </w:rPr>
        <w:t>1</w:t>
      </w:r>
      <w:r w:rsidR="00C64050">
        <w:rPr>
          <w:szCs w:val="20"/>
        </w:rPr>
        <w:t xml:space="preserve"> </w:t>
      </w:r>
      <w:r w:rsidRPr="00BF61EC">
        <w:rPr>
          <w:szCs w:val="20"/>
        </w:rPr>
        <w:t>changed</w:t>
      </w:r>
      <w:r w:rsidR="00C64050">
        <w:rPr>
          <w:szCs w:val="20"/>
        </w:rPr>
        <w:t xml:space="preserve"> </w:t>
      </w:r>
      <w:r w:rsidRPr="00BF61EC">
        <w:rPr>
          <w:szCs w:val="20"/>
        </w:rPr>
        <w:t>who</w:t>
      </w:r>
      <w:r w:rsidR="00C64050">
        <w:rPr>
          <w:szCs w:val="20"/>
        </w:rPr>
        <w:t xml:space="preserve"> </w:t>
      </w:r>
      <w:r w:rsidRPr="00BF61EC">
        <w:rPr>
          <w:szCs w:val="20"/>
        </w:rPr>
        <w:t>may</w:t>
      </w:r>
      <w:r w:rsidR="00C64050">
        <w:rPr>
          <w:szCs w:val="20"/>
        </w:rPr>
        <w:t xml:space="preserve"> </w:t>
      </w:r>
      <w:r w:rsidRPr="00BF61EC">
        <w:rPr>
          <w:szCs w:val="20"/>
        </w:rPr>
        <w:t>exercise</w:t>
      </w:r>
      <w:r w:rsidR="00C64050">
        <w:rPr>
          <w:szCs w:val="20"/>
        </w:rPr>
        <w:t xml:space="preserve"> </w:t>
      </w:r>
      <w:r w:rsidRPr="00BF61EC">
        <w:rPr>
          <w:szCs w:val="20"/>
        </w:rPr>
        <w:t>certain</w:t>
      </w:r>
      <w:r w:rsidR="00C64050">
        <w:rPr>
          <w:szCs w:val="20"/>
        </w:rPr>
        <w:t xml:space="preserve"> </w:t>
      </w:r>
      <w:r w:rsidRPr="00BF61EC">
        <w:rPr>
          <w:szCs w:val="20"/>
        </w:rPr>
        <w:t>fiduciary</w:t>
      </w:r>
      <w:r w:rsidR="00C64050">
        <w:rPr>
          <w:szCs w:val="20"/>
        </w:rPr>
        <w:t xml:space="preserve"> </w:t>
      </w:r>
      <w:r w:rsidRPr="00BF61EC">
        <w:rPr>
          <w:szCs w:val="20"/>
        </w:rPr>
        <w:t>powers.</w:t>
      </w:r>
      <w:r w:rsidR="00C64050">
        <w:rPr>
          <w:szCs w:val="20"/>
        </w:rPr>
        <w:t xml:space="preserve"> </w:t>
      </w:r>
      <w:r w:rsidRPr="00BF61EC">
        <w:rPr>
          <w:szCs w:val="20"/>
        </w:rPr>
        <w:t>Any</w:t>
      </w:r>
      <w:r w:rsidR="00C64050">
        <w:rPr>
          <w:szCs w:val="20"/>
        </w:rPr>
        <w:t xml:space="preserve"> </w:t>
      </w:r>
      <w:r w:rsidRPr="00BF61EC">
        <w:rPr>
          <w:szCs w:val="20"/>
        </w:rPr>
        <w:t>successor</w:t>
      </w:r>
      <w:r w:rsidR="00C64050">
        <w:rPr>
          <w:szCs w:val="20"/>
        </w:rPr>
        <w:t xml:space="preserve"> </w:t>
      </w:r>
      <w:r w:rsidRPr="00BF61EC">
        <w:rPr>
          <w:szCs w:val="20"/>
        </w:rPr>
        <w:t>trustee</w:t>
      </w:r>
      <w:r w:rsidR="00C64050">
        <w:rPr>
          <w:szCs w:val="20"/>
        </w:rPr>
        <w:t xml:space="preserve"> </w:t>
      </w:r>
      <w:r w:rsidRPr="00BF61EC">
        <w:rPr>
          <w:szCs w:val="20"/>
        </w:rPr>
        <w:t>or</w:t>
      </w:r>
      <w:r w:rsidR="00C64050">
        <w:rPr>
          <w:szCs w:val="20"/>
        </w:rPr>
        <w:t xml:space="preserve"> </w:t>
      </w:r>
      <w:r w:rsidRPr="00BF61EC">
        <w:rPr>
          <w:szCs w:val="20"/>
        </w:rPr>
        <w:t>co-trustee</w:t>
      </w:r>
      <w:r w:rsidR="00C64050">
        <w:rPr>
          <w:szCs w:val="20"/>
        </w:rPr>
        <w:t xml:space="preserve"> </w:t>
      </w:r>
      <w:r w:rsidRPr="00BF61EC">
        <w:rPr>
          <w:szCs w:val="20"/>
        </w:rPr>
        <w:t>of</w:t>
      </w:r>
      <w:r w:rsidR="00C64050">
        <w:rPr>
          <w:szCs w:val="20"/>
        </w:rPr>
        <w:t xml:space="preserve"> </w:t>
      </w:r>
      <w:r w:rsidRPr="00BF61EC">
        <w:rPr>
          <w:szCs w:val="20"/>
        </w:rPr>
        <w:t>Trust</w:t>
      </w:r>
      <w:r w:rsidR="00C64050">
        <w:rPr>
          <w:szCs w:val="20"/>
        </w:rPr>
        <w:t xml:space="preserve"> </w:t>
      </w:r>
      <w:r w:rsidRPr="00BF61EC">
        <w:rPr>
          <w:szCs w:val="20"/>
        </w:rPr>
        <w:t>1</w:t>
      </w:r>
      <w:r w:rsidR="00C64050">
        <w:rPr>
          <w:szCs w:val="20"/>
        </w:rPr>
        <w:t xml:space="preserve"> </w:t>
      </w:r>
      <w:r w:rsidRPr="00BF61EC">
        <w:rPr>
          <w:szCs w:val="20"/>
        </w:rPr>
        <w:t>or</w:t>
      </w:r>
      <w:r w:rsidR="00C64050">
        <w:rPr>
          <w:szCs w:val="20"/>
        </w:rPr>
        <w:t xml:space="preserve"> </w:t>
      </w:r>
      <w:r w:rsidRPr="00BF61EC">
        <w:rPr>
          <w:szCs w:val="20"/>
        </w:rPr>
        <w:t>Trust</w:t>
      </w:r>
      <w:r w:rsidR="00C64050">
        <w:rPr>
          <w:szCs w:val="20"/>
        </w:rPr>
        <w:t xml:space="preserve"> </w:t>
      </w:r>
      <w:r w:rsidRPr="00BF61EC">
        <w:rPr>
          <w:szCs w:val="20"/>
        </w:rPr>
        <w:t>2</w:t>
      </w:r>
      <w:r w:rsidR="00C64050">
        <w:rPr>
          <w:szCs w:val="20"/>
        </w:rPr>
        <w:t xml:space="preserve"> </w:t>
      </w:r>
      <w:r w:rsidRPr="00BF61EC">
        <w:rPr>
          <w:szCs w:val="20"/>
        </w:rPr>
        <w:t>appointed</w:t>
      </w:r>
      <w:r w:rsidR="00C64050">
        <w:rPr>
          <w:szCs w:val="20"/>
        </w:rPr>
        <w:t xml:space="preserve"> </w:t>
      </w:r>
      <w:r w:rsidRPr="00BF61EC">
        <w:rPr>
          <w:szCs w:val="20"/>
        </w:rPr>
        <w:t>pursuant</w:t>
      </w:r>
      <w:r w:rsidR="00C64050">
        <w:rPr>
          <w:szCs w:val="20"/>
        </w:rPr>
        <w:t xml:space="preserve"> </w:t>
      </w:r>
      <w:r w:rsidRPr="00BF61EC">
        <w:rPr>
          <w:szCs w:val="20"/>
        </w:rPr>
        <w:t>to</w:t>
      </w:r>
      <w:r w:rsidR="00C64050">
        <w:rPr>
          <w:szCs w:val="20"/>
        </w:rPr>
        <w:t xml:space="preserve"> </w:t>
      </w:r>
      <w:r w:rsidRPr="00BF61EC">
        <w:rPr>
          <w:szCs w:val="20"/>
        </w:rPr>
        <w:t>Article</w:t>
      </w:r>
      <w:r w:rsidR="00C64050">
        <w:rPr>
          <w:szCs w:val="20"/>
        </w:rPr>
        <w:t xml:space="preserve"> </w:t>
      </w:r>
      <w:r w:rsidRPr="00BF61EC">
        <w:rPr>
          <w:szCs w:val="20"/>
        </w:rPr>
        <w:t>Eighth</w:t>
      </w:r>
      <w:r w:rsidR="00C64050">
        <w:rPr>
          <w:szCs w:val="20"/>
        </w:rPr>
        <w:t xml:space="preserve"> </w:t>
      </w:r>
      <w:r w:rsidRPr="00BF61EC">
        <w:rPr>
          <w:szCs w:val="20"/>
        </w:rPr>
        <w:t>of</w:t>
      </w:r>
      <w:r w:rsidR="00C64050">
        <w:rPr>
          <w:szCs w:val="20"/>
        </w:rPr>
        <w:t xml:space="preserve"> </w:t>
      </w:r>
      <w:r w:rsidRPr="00BF61EC">
        <w:rPr>
          <w:szCs w:val="20"/>
        </w:rPr>
        <w:t>Mother's</w:t>
      </w:r>
      <w:r w:rsidR="00C64050">
        <w:rPr>
          <w:szCs w:val="20"/>
        </w:rPr>
        <w:t xml:space="preserve"> </w:t>
      </w:r>
      <w:r w:rsidRPr="00BF61EC">
        <w:rPr>
          <w:szCs w:val="20"/>
        </w:rPr>
        <w:t>will</w:t>
      </w:r>
      <w:r w:rsidR="00C64050">
        <w:rPr>
          <w:szCs w:val="20"/>
        </w:rPr>
        <w:t xml:space="preserve"> </w:t>
      </w:r>
      <w:r w:rsidRPr="00BF61EC">
        <w:rPr>
          <w:szCs w:val="20"/>
        </w:rPr>
        <w:t>or</w:t>
      </w:r>
      <w:r w:rsidR="00C64050">
        <w:rPr>
          <w:szCs w:val="20"/>
        </w:rPr>
        <w:t xml:space="preserve"> </w:t>
      </w:r>
      <w:r w:rsidRPr="00BF61EC">
        <w:rPr>
          <w:szCs w:val="20"/>
        </w:rPr>
        <w:t>Article</w:t>
      </w:r>
      <w:r w:rsidR="00C64050">
        <w:rPr>
          <w:szCs w:val="20"/>
        </w:rPr>
        <w:t xml:space="preserve"> </w:t>
      </w:r>
      <w:r w:rsidRPr="00BF61EC">
        <w:rPr>
          <w:szCs w:val="20"/>
        </w:rPr>
        <w:t>Ninth</w:t>
      </w:r>
      <w:r w:rsidR="00C64050">
        <w:rPr>
          <w:szCs w:val="20"/>
        </w:rPr>
        <w:t xml:space="preserve"> </w:t>
      </w:r>
      <w:r w:rsidRPr="00BF61EC">
        <w:rPr>
          <w:szCs w:val="20"/>
        </w:rPr>
        <w:t>of</w:t>
      </w:r>
      <w:r w:rsidR="00C64050">
        <w:rPr>
          <w:szCs w:val="20"/>
        </w:rPr>
        <w:t xml:space="preserve"> </w:t>
      </w:r>
      <w:r w:rsidRPr="00BF61EC">
        <w:rPr>
          <w:szCs w:val="20"/>
        </w:rPr>
        <w:t>Father's</w:t>
      </w:r>
      <w:r w:rsidR="00C64050">
        <w:rPr>
          <w:szCs w:val="20"/>
        </w:rPr>
        <w:t xml:space="preserve"> </w:t>
      </w:r>
      <w:r w:rsidRPr="00BF61EC">
        <w:rPr>
          <w:szCs w:val="20"/>
        </w:rPr>
        <w:t>will</w:t>
      </w:r>
      <w:r w:rsidR="00C64050">
        <w:rPr>
          <w:szCs w:val="20"/>
        </w:rPr>
        <w:t xml:space="preserve"> </w:t>
      </w:r>
      <w:r w:rsidRPr="00BF61EC">
        <w:rPr>
          <w:szCs w:val="20"/>
        </w:rPr>
        <w:t>would</w:t>
      </w:r>
      <w:r w:rsidR="00C64050">
        <w:rPr>
          <w:szCs w:val="20"/>
        </w:rPr>
        <w:t xml:space="preserve"> </w:t>
      </w:r>
      <w:r w:rsidRPr="00BF61EC">
        <w:rPr>
          <w:szCs w:val="20"/>
        </w:rPr>
        <w:t>have</w:t>
      </w:r>
      <w:r w:rsidR="00C64050">
        <w:rPr>
          <w:szCs w:val="20"/>
        </w:rPr>
        <w:t xml:space="preserve"> </w:t>
      </w:r>
      <w:r w:rsidRPr="00BF61EC">
        <w:rPr>
          <w:szCs w:val="20"/>
        </w:rPr>
        <w:t>had</w:t>
      </w:r>
      <w:r w:rsidR="00C64050">
        <w:rPr>
          <w:szCs w:val="20"/>
        </w:rPr>
        <w:t xml:space="preserve"> </w:t>
      </w:r>
      <w:r w:rsidRPr="00BF61EC">
        <w:rPr>
          <w:szCs w:val="20"/>
        </w:rPr>
        <w:t>the</w:t>
      </w:r>
      <w:r w:rsidR="00C64050">
        <w:rPr>
          <w:szCs w:val="20"/>
        </w:rPr>
        <w:t xml:space="preserve"> </w:t>
      </w:r>
      <w:r w:rsidRPr="00BF61EC">
        <w:rPr>
          <w:szCs w:val="20"/>
        </w:rPr>
        <w:t>power</w:t>
      </w:r>
      <w:r w:rsidR="00C64050">
        <w:rPr>
          <w:szCs w:val="20"/>
        </w:rPr>
        <w:t xml:space="preserve"> </w:t>
      </w:r>
      <w:r w:rsidRPr="00BF61EC">
        <w:rPr>
          <w:szCs w:val="20"/>
        </w:rPr>
        <w:t>to</w:t>
      </w:r>
      <w:r w:rsidR="00C64050">
        <w:rPr>
          <w:szCs w:val="20"/>
        </w:rPr>
        <w:t xml:space="preserve"> </w:t>
      </w:r>
      <w:r w:rsidRPr="00BF61EC">
        <w:rPr>
          <w:szCs w:val="20"/>
        </w:rPr>
        <w:t>make</w:t>
      </w:r>
      <w:r w:rsidR="00C64050">
        <w:rPr>
          <w:szCs w:val="20"/>
        </w:rPr>
        <w:t xml:space="preserve"> </w:t>
      </w:r>
      <w:r w:rsidRPr="00BF61EC">
        <w:rPr>
          <w:szCs w:val="20"/>
        </w:rPr>
        <w:t>the</w:t>
      </w:r>
      <w:r w:rsidR="00C64050">
        <w:rPr>
          <w:szCs w:val="20"/>
        </w:rPr>
        <w:t xml:space="preserve"> </w:t>
      </w:r>
      <w:r w:rsidRPr="00BF61EC">
        <w:rPr>
          <w:szCs w:val="20"/>
        </w:rPr>
        <w:t>broader</w:t>
      </w:r>
      <w:r w:rsidR="00C64050">
        <w:rPr>
          <w:szCs w:val="20"/>
        </w:rPr>
        <w:t xml:space="preserve"> </w:t>
      </w:r>
      <w:r w:rsidRPr="00BF61EC">
        <w:rPr>
          <w:szCs w:val="20"/>
        </w:rPr>
        <w:t>distributions</w:t>
      </w:r>
      <w:r w:rsidR="00C64050">
        <w:rPr>
          <w:szCs w:val="20"/>
        </w:rPr>
        <w:t xml:space="preserve"> </w:t>
      </w:r>
      <w:r w:rsidRPr="00BF61EC">
        <w:rPr>
          <w:szCs w:val="20"/>
        </w:rPr>
        <w:t>to</w:t>
      </w:r>
      <w:r w:rsidR="00C64050">
        <w:rPr>
          <w:szCs w:val="20"/>
        </w:rPr>
        <w:t xml:space="preserve"> </w:t>
      </w:r>
      <w:r w:rsidRPr="00BF61EC">
        <w:rPr>
          <w:szCs w:val="20"/>
        </w:rPr>
        <w:t>Decedent</w:t>
      </w:r>
      <w:r w:rsidR="00C64050">
        <w:rPr>
          <w:szCs w:val="20"/>
        </w:rPr>
        <w:t xml:space="preserve"> </w:t>
      </w:r>
      <w:r w:rsidRPr="00BF61EC">
        <w:rPr>
          <w:szCs w:val="20"/>
        </w:rPr>
        <w:t>from</w:t>
      </w:r>
      <w:r w:rsidR="00C64050">
        <w:rPr>
          <w:szCs w:val="20"/>
        </w:rPr>
        <w:t xml:space="preserve"> </w:t>
      </w:r>
      <w:r w:rsidRPr="00BF61EC">
        <w:rPr>
          <w:szCs w:val="20"/>
        </w:rPr>
        <w:t>Trust</w:t>
      </w:r>
      <w:r w:rsidR="00C64050">
        <w:rPr>
          <w:szCs w:val="20"/>
        </w:rPr>
        <w:t xml:space="preserve"> </w:t>
      </w:r>
      <w:r w:rsidRPr="00BF61EC">
        <w:rPr>
          <w:szCs w:val="20"/>
        </w:rPr>
        <w:t>1</w:t>
      </w:r>
      <w:r w:rsidR="00C64050">
        <w:rPr>
          <w:szCs w:val="20"/>
        </w:rPr>
        <w:t xml:space="preserve"> </w:t>
      </w:r>
      <w:r w:rsidRPr="00BF61EC">
        <w:rPr>
          <w:szCs w:val="20"/>
        </w:rPr>
        <w:t>and</w:t>
      </w:r>
      <w:r w:rsidR="00C64050">
        <w:rPr>
          <w:szCs w:val="20"/>
        </w:rPr>
        <w:t xml:space="preserve"> </w:t>
      </w:r>
      <w:r w:rsidRPr="00BF61EC">
        <w:rPr>
          <w:szCs w:val="20"/>
        </w:rPr>
        <w:t>Trust</w:t>
      </w:r>
      <w:r w:rsidR="00C64050">
        <w:rPr>
          <w:szCs w:val="20"/>
        </w:rPr>
        <w:t xml:space="preserve"> </w:t>
      </w:r>
      <w:r w:rsidRPr="00BF61EC">
        <w:rPr>
          <w:szCs w:val="20"/>
        </w:rPr>
        <w:t>2</w:t>
      </w:r>
      <w:r w:rsidR="00C64050">
        <w:rPr>
          <w:szCs w:val="20"/>
        </w:rPr>
        <w:t xml:space="preserve"> </w:t>
      </w:r>
      <w:r w:rsidRPr="00BF61EC">
        <w:rPr>
          <w:szCs w:val="20"/>
        </w:rPr>
        <w:t>as</w:t>
      </w:r>
      <w:r w:rsidR="00C64050">
        <w:rPr>
          <w:szCs w:val="20"/>
        </w:rPr>
        <w:t xml:space="preserve"> </w:t>
      </w:r>
      <w:r w:rsidRPr="00BF61EC">
        <w:rPr>
          <w:szCs w:val="20"/>
        </w:rPr>
        <w:t>are</w:t>
      </w:r>
      <w:r w:rsidR="00C64050">
        <w:rPr>
          <w:szCs w:val="20"/>
        </w:rPr>
        <w:t xml:space="preserve"> </w:t>
      </w:r>
      <w:r w:rsidRPr="00BF61EC">
        <w:rPr>
          <w:szCs w:val="20"/>
        </w:rPr>
        <w:t>allowable</w:t>
      </w:r>
      <w:r w:rsidR="00C64050">
        <w:rPr>
          <w:szCs w:val="20"/>
        </w:rPr>
        <w:t xml:space="preserve"> </w:t>
      </w:r>
      <w:r w:rsidRPr="00BF61EC">
        <w:rPr>
          <w:szCs w:val="20"/>
        </w:rPr>
        <w:t>under</w:t>
      </w:r>
      <w:r w:rsidR="00C64050">
        <w:rPr>
          <w:szCs w:val="20"/>
        </w:rPr>
        <w:t xml:space="preserve"> </w:t>
      </w:r>
      <w:r w:rsidRPr="00BF61EC">
        <w:rPr>
          <w:szCs w:val="20"/>
        </w:rPr>
        <w:t>Article</w:t>
      </w:r>
      <w:r w:rsidR="00C64050">
        <w:rPr>
          <w:szCs w:val="20"/>
        </w:rPr>
        <w:t xml:space="preserve"> </w:t>
      </w:r>
      <w:r w:rsidRPr="00BF61EC">
        <w:rPr>
          <w:szCs w:val="20"/>
        </w:rPr>
        <w:t>Sixth</w:t>
      </w:r>
      <w:r w:rsidR="00C64050">
        <w:rPr>
          <w:szCs w:val="20"/>
        </w:rPr>
        <w:t xml:space="preserve"> </w:t>
      </w:r>
      <w:r w:rsidRPr="00BF61EC">
        <w:rPr>
          <w:szCs w:val="20"/>
        </w:rPr>
        <w:t>of</w:t>
      </w:r>
      <w:r w:rsidR="00C64050">
        <w:rPr>
          <w:szCs w:val="20"/>
        </w:rPr>
        <w:t xml:space="preserve"> </w:t>
      </w:r>
      <w:r w:rsidRPr="00BF61EC">
        <w:rPr>
          <w:szCs w:val="20"/>
        </w:rPr>
        <w:t>Mother's</w:t>
      </w:r>
      <w:r w:rsidR="00C64050">
        <w:rPr>
          <w:szCs w:val="20"/>
        </w:rPr>
        <w:t xml:space="preserve"> </w:t>
      </w:r>
      <w:r w:rsidRPr="00BF61EC">
        <w:rPr>
          <w:szCs w:val="20"/>
        </w:rPr>
        <w:t>will</w:t>
      </w:r>
      <w:r w:rsidR="00C64050">
        <w:rPr>
          <w:szCs w:val="20"/>
        </w:rPr>
        <w:t xml:space="preserve"> </w:t>
      </w:r>
      <w:r w:rsidRPr="00BF61EC">
        <w:rPr>
          <w:szCs w:val="20"/>
        </w:rPr>
        <w:t>and</w:t>
      </w:r>
      <w:r w:rsidR="00C64050">
        <w:rPr>
          <w:szCs w:val="20"/>
        </w:rPr>
        <w:t xml:space="preserve"> </w:t>
      </w:r>
      <w:r w:rsidRPr="00BF61EC">
        <w:rPr>
          <w:szCs w:val="20"/>
        </w:rPr>
        <w:t>Article</w:t>
      </w:r>
      <w:r w:rsidR="00C64050">
        <w:rPr>
          <w:szCs w:val="20"/>
        </w:rPr>
        <w:t xml:space="preserve"> </w:t>
      </w:r>
      <w:r w:rsidRPr="00BF61EC">
        <w:rPr>
          <w:szCs w:val="20"/>
        </w:rPr>
        <w:t>Seventh</w:t>
      </w:r>
      <w:r w:rsidR="00C64050">
        <w:rPr>
          <w:szCs w:val="20"/>
        </w:rPr>
        <w:t xml:space="preserve"> </w:t>
      </w:r>
      <w:r w:rsidRPr="00BF61EC">
        <w:rPr>
          <w:szCs w:val="20"/>
        </w:rPr>
        <w:t>of</w:t>
      </w:r>
      <w:r w:rsidR="00C64050">
        <w:rPr>
          <w:szCs w:val="20"/>
        </w:rPr>
        <w:t xml:space="preserve"> </w:t>
      </w:r>
      <w:r w:rsidRPr="00BF61EC">
        <w:rPr>
          <w:szCs w:val="20"/>
        </w:rPr>
        <w:t>Father's</w:t>
      </w:r>
      <w:r w:rsidR="00C64050">
        <w:rPr>
          <w:szCs w:val="20"/>
        </w:rPr>
        <w:t xml:space="preserve"> </w:t>
      </w:r>
      <w:r w:rsidRPr="00BF61EC">
        <w:rPr>
          <w:szCs w:val="20"/>
        </w:rPr>
        <w:t>will,</w:t>
      </w:r>
      <w:r w:rsidR="00C64050">
        <w:rPr>
          <w:szCs w:val="20"/>
        </w:rPr>
        <w:t xml:space="preserve"> </w:t>
      </w:r>
      <w:r w:rsidRPr="00BF61EC">
        <w:rPr>
          <w:szCs w:val="20"/>
        </w:rPr>
        <w:t>respectively.</w:t>
      </w:r>
      <w:r w:rsidR="00C64050">
        <w:rPr>
          <w:szCs w:val="20"/>
        </w:rPr>
        <w:t xml:space="preserve"> </w:t>
      </w:r>
      <w:r w:rsidRPr="00BF61EC">
        <w:rPr>
          <w:szCs w:val="20"/>
        </w:rPr>
        <w:t>The</w:t>
      </w:r>
      <w:r w:rsidR="00C64050">
        <w:rPr>
          <w:szCs w:val="20"/>
        </w:rPr>
        <w:t xml:space="preserve"> </w:t>
      </w:r>
      <w:r w:rsidRPr="00BF61EC">
        <w:rPr>
          <w:szCs w:val="20"/>
        </w:rPr>
        <w:t>state</w:t>
      </w:r>
      <w:r w:rsidR="00C64050">
        <w:rPr>
          <w:szCs w:val="20"/>
        </w:rPr>
        <w:t xml:space="preserve"> </w:t>
      </w:r>
      <w:r w:rsidRPr="00BF61EC">
        <w:rPr>
          <w:szCs w:val="20"/>
        </w:rPr>
        <w:t>law</w:t>
      </w:r>
      <w:r w:rsidR="00C64050">
        <w:rPr>
          <w:szCs w:val="20"/>
        </w:rPr>
        <w:t xml:space="preserve"> </w:t>
      </w:r>
      <w:r w:rsidRPr="00BF61EC">
        <w:rPr>
          <w:szCs w:val="20"/>
        </w:rPr>
        <w:t>restriction</w:t>
      </w:r>
      <w:r w:rsidR="00C64050">
        <w:rPr>
          <w:szCs w:val="20"/>
        </w:rPr>
        <w:t xml:space="preserve"> </w:t>
      </w:r>
      <w:r w:rsidRPr="00BF61EC">
        <w:rPr>
          <w:szCs w:val="20"/>
        </w:rPr>
        <w:t>on</w:t>
      </w:r>
      <w:r w:rsidR="00C64050">
        <w:rPr>
          <w:szCs w:val="20"/>
        </w:rPr>
        <w:t xml:space="preserve"> </w:t>
      </w:r>
      <w:r w:rsidRPr="00BF61EC">
        <w:rPr>
          <w:szCs w:val="20"/>
        </w:rPr>
        <w:t>Decedent's</w:t>
      </w:r>
      <w:r w:rsidR="00C64050">
        <w:rPr>
          <w:szCs w:val="20"/>
        </w:rPr>
        <w:t xml:space="preserve"> </w:t>
      </w:r>
      <w:r w:rsidRPr="00BF61EC">
        <w:rPr>
          <w:szCs w:val="20"/>
        </w:rPr>
        <w:t>ability</w:t>
      </w:r>
      <w:r w:rsidR="00C64050">
        <w:rPr>
          <w:szCs w:val="20"/>
        </w:rPr>
        <w:t xml:space="preserve"> </w:t>
      </w:r>
      <w:r w:rsidRPr="00BF61EC">
        <w:rPr>
          <w:szCs w:val="20"/>
        </w:rPr>
        <w:t>to</w:t>
      </w:r>
      <w:r w:rsidR="00C64050">
        <w:rPr>
          <w:szCs w:val="20"/>
        </w:rPr>
        <w:t xml:space="preserve"> </w:t>
      </w:r>
      <w:r w:rsidRPr="00BF61EC">
        <w:rPr>
          <w:szCs w:val="20"/>
        </w:rPr>
        <w:t>exercise</w:t>
      </w:r>
      <w:r w:rsidR="00C64050">
        <w:rPr>
          <w:szCs w:val="20"/>
        </w:rPr>
        <w:t xml:space="preserve"> </w:t>
      </w:r>
      <w:r w:rsidRPr="00BF61EC">
        <w:rPr>
          <w:szCs w:val="20"/>
        </w:rPr>
        <w:t>the</w:t>
      </w:r>
      <w:r w:rsidR="00C64050">
        <w:rPr>
          <w:szCs w:val="20"/>
        </w:rPr>
        <w:t xml:space="preserve"> </w:t>
      </w:r>
      <w:r w:rsidRPr="00BF61EC">
        <w:rPr>
          <w:szCs w:val="20"/>
        </w:rPr>
        <w:t>fiduciary</w:t>
      </w:r>
      <w:r w:rsidR="00C64050">
        <w:rPr>
          <w:szCs w:val="20"/>
        </w:rPr>
        <w:t xml:space="preserve"> </w:t>
      </w:r>
      <w:r w:rsidRPr="00BF61EC">
        <w:rPr>
          <w:szCs w:val="20"/>
        </w:rPr>
        <w:t>powers</w:t>
      </w:r>
      <w:r w:rsidR="00C64050">
        <w:rPr>
          <w:szCs w:val="20"/>
        </w:rPr>
        <w:t xml:space="preserve"> </w:t>
      </w:r>
      <w:r w:rsidRPr="00BF61EC">
        <w:rPr>
          <w:szCs w:val="20"/>
        </w:rPr>
        <w:t>himself,</w:t>
      </w:r>
      <w:r w:rsidR="00C64050">
        <w:rPr>
          <w:szCs w:val="20"/>
        </w:rPr>
        <w:t xml:space="preserve"> </w:t>
      </w:r>
      <w:r w:rsidRPr="00BF61EC">
        <w:rPr>
          <w:szCs w:val="20"/>
        </w:rPr>
        <w:t>as</w:t>
      </w:r>
      <w:r w:rsidR="00C64050">
        <w:rPr>
          <w:szCs w:val="20"/>
        </w:rPr>
        <w:t xml:space="preserve"> </w:t>
      </w:r>
      <w:r w:rsidRPr="00BF61EC">
        <w:rPr>
          <w:szCs w:val="20"/>
        </w:rPr>
        <w:t>trustee</w:t>
      </w:r>
      <w:r w:rsidR="00C64050">
        <w:rPr>
          <w:szCs w:val="20"/>
        </w:rPr>
        <w:t xml:space="preserve"> </w:t>
      </w:r>
      <w:r w:rsidRPr="00BF61EC">
        <w:rPr>
          <w:szCs w:val="20"/>
        </w:rPr>
        <w:t>of</w:t>
      </w:r>
      <w:r w:rsidR="00C64050">
        <w:rPr>
          <w:szCs w:val="20"/>
        </w:rPr>
        <w:t xml:space="preserve"> </w:t>
      </w:r>
      <w:r w:rsidRPr="00BF61EC">
        <w:rPr>
          <w:szCs w:val="20"/>
        </w:rPr>
        <w:t>Trust</w:t>
      </w:r>
      <w:r w:rsidR="00C64050">
        <w:rPr>
          <w:szCs w:val="20"/>
        </w:rPr>
        <w:t xml:space="preserve"> </w:t>
      </w:r>
      <w:r w:rsidRPr="00BF61EC">
        <w:rPr>
          <w:szCs w:val="20"/>
        </w:rPr>
        <w:t>1</w:t>
      </w:r>
      <w:r w:rsidR="00C64050">
        <w:rPr>
          <w:szCs w:val="20"/>
        </w:rPr>
        <w:t xml:space="preserve"> </w:t>
      </w:r>
      <w:r w:rsidRPr="00BF61EC">
        <w:rPr>
          <w:szCs w:val="20"/>
        </w:rPr>
        <w:t>and</w:t>
      </w:r>
      <w:r w:rsidR="00C64050">
        <w:rPr>
          <w:szCs w:val="20"/>
        </w:rPr>
        <w:t xml:space="preserve"> </w:t>
      </w:r>
      <w:r w:rsidRPr="00BF61EC">
        <w:rPr>
          <w:szCs w:val="20"/>
        </w:rPr>
        <w:t>Trust</w:t>
      </w:r>
      <w:r w:rsidR="00C64050">
        <w:rPr>
          <w:szCs w:val="20"/>
        </w:rPr>
        <w:t xml:space="preserve"> </w:t>
      </w:r>
      <w:r w:rsidRPr="00BF61EC">
        <w:rPr>
          <w:szCs w:val="20"/>
        </w:rPr>
        <w:t>2,</w:t>
      </w:r>
      <w:r w:rsidR="00C64050">
        <w:rPr>
          <w:szCs w:val="20"/>
        </w:rPr>
        <w:t xml:space="preserve"> </w:t>
      </w:r>
      <w:r w:rsidRPr="00BF61EC">
        <w:rPr>
          <w:szCs w:val="20"/>
        </w:rPr>
        <w:t>does</w:t>
      </w:r>
      <w:r w:rsidR="00C64050">
        <w:rPr>
          <w:szCs w:val="20"/>
        </w:rPr>
        <w:t xml:space="preserve"> </w:t>
      </w:r>
      <w:r w:rsidRPr="00BF61EC">
        <w:rPr>
          <w:szCs w:val="20"/>
        </w:rPr>
        <w:t>not</w:t>
      </w:r>
      <w:r w:rsidR="00C64050">
        <w:rPr>
          <w:szCs w:val="20"/>
        </w:rPr>
        <w:t xml:space="preserve"> </w:t>
      </w:r>
      <w:r w:rsidRPr="00BF61EC">
        <w:rPr>
          <w:szCs w:val="20"/>
        </w:rPr>
        <w:t>change</w:t>
      </w:r>
      <w:r w:rsidR="00C64050">
        <w:rPr>
          <w:szCs w:val="20"/>
        </w:rPr>
        <w:t xml:space="preserve"> </w:t>
      </w:r>
      <w:r w:rsidRPr="00BF61EC">
        <w:rPr>
          <w:szCs w:val="20"/>
        </w:rPr>
        <w:t>his</w:t>
      </w:r>
      <w:r w:rsidR="00C64050">
        <w:rPr>
          <w:szCs w:val="20"/>
        </w:rPr>
        <w:t xml:space="preserve"> </w:t>
      </w:r>
      <w:r w:rsidRPr="00BF61EC">
        <w:rPr>
          <w:szCs w:val="20"/>
        </w:rPr>
        <w:t>interest</w:t>
      </w:r>
      <w:r w:rsidR="00C64050">
        <w:rPr>
          <w:szCs w:val="20"/>
        </w:rPr>
        <w:t xml:space="preserve"> </w:t>
      </w:r>
      <w:r w:rsidRPr="00BF61EC">
        <w:rPr>
          <w:szCs w:val="20"/>
        </w:rPr>
        <w:t>in</w:t>
      </w:r>
      <w:r w:rsidR="00C64050">
        <w:rPr>
          <w:szCs w:val="20"/>
        </w:rPr>
        <w:t xml:space="preserve"> </w:t>
      </w:r>
      <w:r w:rsidRPr="00BF61EC">
        <w:rPr>
          <w:szCs w:val="20"/>
        </w:rPr>
        <w:t>the</w:t>
      </w:r>
      <w:r w:rsidR="00C64050">
        <w:rPr>
          <w:szCs w:val="20"/>
        </w:rPr>
        <w:t xml:space="preserve"> </w:t>
      </w:r>
      <w:r w:rsidRPr="00BF61EC">
        <w:rPr>
          <w:szCs w:val="20"/>
        </w:rPr>
        <w:t>trust</w:t>
      </w:r>
      <w:r w:rsidR="00C64050">
        <w:rPr>
          <w:szCs w:val="20"/>
        </w:rPr>
        <w:t xml:space="preserve"> </w:t>
      </w:r>
      <w:r w:rsidRPr="00BF61EC">
        <w:rPr>
          <w:szCs w:val="20"/>
        </w:rPr>
        <w:t>for</w:t>
      </w:r>
      <w:r w:rsidR="00C64050">
        <w:rPr>
          <w:szCs w:val="20"/>
        </w:rPr>
        <w:t xml:space="preserve"> </w:t>
      </w:r>
      <w:r w:rsidRPr="00BF61EC">
        <w:rPr>
          <w:szCs w:val="20"/>
        </w:rPr>
        <w:t>the</w:t>
      </w:r>
      <w:r w:rsidR="00C64050">
        <w:rPr>
          <w:szCs w:val="20"/>
        </w:rPr>
        <w:t xml:space="preserve"> </w:t>
      </w:r>
      <w:r w:rsidRPr="00BF61EC">
        <w:rPr>
          <w:szCs w:val="20"/>
        </w:rPr>
        <w:t>purposes</w:t>
      </w:r>
      <w:r w:rsidR="00C64050">
        <w:rPr>
          <w:szCs w:val="20"/>
        </w:rPr>
        <w:t xml:space="preserve"> </w:t>
      </w:r>
      <w:r w:rsidRPr="00BF61EC">
        <w:rPr>
          <w:szCs w:val="20"/>
        </w:rPr>
        <w:t>of</w:t>
      </w:r>
      <w:r w:rsidR="00C64050">
        <w:rPr>
          <w:szCs w:val="20"/>
        </w:rPr>
        <w:t xml:space="preserve"> </w:t>
      </w:r>
      <w:r w:rsidRPr="00BF61EC">
        <w:rPr>
          <w:szCs w:val="20"/>
        </w:rPr>
        <w:t>§</w:t>
      </w:r>
      <w:r w:rsidR="00C64050">
        <w:rPr>
          <w:szCs w:val="20"/>
        </w:rPr>
        <w:t xml:space="preserve"> </w:t>
      </w:r>
      <w:r w:rsidRPr="00BF61EC">
        <w:rPr>
          <w:szCs w:val="20"/>
        </w:rPr>
        <w:t>26.2601-1(b)(4)(i)(D)(</w:t>
      </w:r>
      <w:r w:rsidRPr="00BF61EC">
        <w:rPr>
          <w:szCs w:val="20"/>
          <w:u w:val="single"/>
        </w:rPr>
        <w:t>2</w:t>
      </w:r>
      <w:r w:rsidRPr="00BF61EC">
        <w:rPr>
          <w:szCs w:val="20"/>
        </w:rPr>
        <w:t>).</w:t>
      </w:r>
    </w:p>
    <w:p w:rsidR="00BF61EC" w:rsidRPr="00BF61EC" w:rsidRDefault="00BF61EC" w:rsidP="00BF61EC">
      <w:pPr>
        <w:pStyle w:val="QS10"/>
        <w:rPr>
          <w:szCs w:val="20"/>
        </w:rPr>
      </w:pPr>
      <w:r w:rsidRPr="00BF61EC">
        <w:rPr>
          <w:szCs w:val="20"/>
        </w:rPr>
        <w:t>In</w:t>
      </w:r>
      <w:r w:rsidR="00C64050">
        <w:rPr>
          <w:szCs w:val="20"/>
        </w:rPr>
        <w:t xml:space="preserve"> </w:t>
      </w:r>
      <w:r w:rsidRPr="00BF61EC">
        <w:rPr>
          <w:szCs w:val="20"/>
        </w:rPr>
        <w:t>the</w:t>
      </w:r>
      <w:r w:rsidR="00C64050">
        <w:rPr>
          <w:szCs w:val="20"/>
        </w:rPr>
        <w:t xml:space="preserve"> </w:t>
      </w:r>
      <w:r w:rsidRPr="00BF61EC">
        <w:rPr>
          <w:szCs w:val="20"/>
        </w:rPr>
        <w:t>present</w:t>
      </w:r>
      <w:r w:rsidR="00C64050">
        <w:rPr>
          <w:szCs w:val="20"/>
        </w:rPr>
        <w:t xml:space="preserve"> </w:t>
      </w:r>
      <w:r w:rsidRPr="00BF61EC">
        <w:rPr>
          <w:szCs w:val="20"/>
        </w:rPr>
        <w:t>case,</w:t>
      </w:r>
      <w:r w:rsidR="00C64050">
        <w:rPr>
          <w:szCs w:val="20"/>
        </w:rPr>
        <w:t xml:space="preserve"> </w:t>
      </w:r>
      <w:r w:rsidRPr="00BF61EC">
        <w:rPr>
          <w:szCs w:val="20"/>
        </w:rPr>
        <w:t>we</w:t>
      </w:r>
      <w:r w:rsidR="00C64050">
        <w:rPr>
          <w:szCs w:val="20"/>
        </w:rPr>
        <w:t xml:space="preserve"> </w:t>
      </w:r>
      <w:r w:rsidRPr="00BF61EC">
        <w:rPr>
          <w:szCs w:val="20"/>
        </w:rPr>
        <w:t>conclude</w:t>
      </w:r>
      <w:r w:rsidR="00C64050">
        <w:rPr>
          <w:szCs w:val="20"/>
        </w:rPr>
        <w:t xml:space="preserve"> </w:t>
      </w:r>
      <w:r w:rsidRPr="00BF61EC">
        <w:rPr>
          <w:szCs w:val="20"/>
        </w:rPr>
        <w:t>that</w:t>
      </w:r>
      <w:r w:rsidR="00C64050">
        <w:rPr>
          <w:szCs w:val="20"/>
        </w:rPr>
        <w:t xml:space="preserve"> </w:t>
      </w:r>
      <w:r w:rsidRPr="00BF61EC">
        <w:rPr>
          <w:szCs w:val="20"/>
        </w:rPr>
        <w:t>the</w:t>
      </w:r>
      <w:r w:rsidR="00C64050">
        <w:rPr>
          <w:szCs w:val="20"/>
        </w:rPr>
        <w:t xml:space="preserve"> </w:t>
      </w:r>
      <w:r w:rsidRPr="00BF61EC">
        <w:rPr>
          <w:szCs w:val="20"/>
        </w:rPr>
        <w:t>enactment</w:t>
      </w:r>
      <w:r w:rsidR="00C64050">
        <w:rPr>
          <w:szCs w:val="20"/>
        </w:rPr>
        <w:t xml:space="preserve"> </w:t>
      </w:r>
      <w:r w:rsidRPr="00BF61EC">
        <w:rPr>
          <w:szCs w:val="20"/>
        </w:rPr>
        <w:t>of</w:t>
      </w:r>
      <w:r w:rsidR="00C64050">
        <w:rPr>
          <w:szCs w:val="20"/>
        </w:rPr>
        <w:t xml:space="preserve"> </w:t>
      </w:r>
      <w:r w:rsidRPr="00BF61EC">
        <w:rPr>
          <w:szCs w:val="20"/>
        </w:rPr>
        <w:t>Statute</w:t>
      </w:r>
      <w:r w:rsidR="00C64050">
        <w:rPr>
          <w:szCs w:val="20"/>
        </w:rPr>
        <w:t xml:space="preserve"> </w:t>
      </w:r>
      <w:r w:rsidRPr="00BF61EC">
        <w:rPr>
          <w:szCs w:val="20"/>
        </w:rPr>
        <w:t>1</w:t>
      </w:r>
      <w:r w:rsidR="00C64050">
        <w:rPr>
          <w:szCs w:val="20"/>
        </w:rPr>
        <w:t xml:space="preserve"> </w:t>
      </w:r>
      <w:r w:rsidRPr="00BF61EC">
        <w:rPr>
          <w:szCs w:val="20"/>
        </w:rPr>
        <w:t>will</w:t>
      </w:r>
      <w:r w:rsidR="00C64050">
        <w:rPr>
          <w:szCs w:val="20"/>
        </w:rPr>
        <w:t xml:space="preserve"> </w:t>
      </w:r>
      <w:r w:rsidRPr="00BF61EC">
        <w:rPr>
          <w:szCs w:val="20"/>
        </w:rPr>
        <w:t>not</w:t>
      </w:r>
      <w:r w:rsidR="00C64050">
        <w:rPr>
          <w:szCs w:val="20"/>
        </w:rPr>
        <w:t xml:space="preserve"> </w:t>
      </w:r>
      <w:r w:rsidRPr="00BF61EC">
        <w:rPr>
          <w:szCs w:val="20"/>
        </w:rPr>
        <w:t>be</w:t>
      </w:r>
      <w:r w:rsidR="00C64050">
        <w:rPr>
          <w:szCs w:val="20"/>
        </w:rPr>
        <w:t xml:space="preserve"> </w:t>
      </w:r>
      <w:r w:rsidRPr="00BF61EC">
        <w:rPr>
          <w:szCs w:val="20"/>
        </w:rPr>
        <w:t>considered</w:t>
      </w:r>
      <w:r w:rsidR="00C64050">
        <w:rPr>
          <w:szCs w:val="20"/>
        </w:rPr>
        <w:t xml:space="preserve"> </w:t>
      </w:r>
      <w:r w:rsidRPr="00BF61EC">
        <w:rPr>
          <w:szCs w:val="20"/>
        </w:rPr>
        <w:t>a</w:t>
      </w:r>
      <w:r w:rsidR="00C64050">
        <w:rPr>
          <w:szCs w:val="20"/>
        </w:rPr>
        <w:t xml:space="preserve"> </w:t>
      </w:r>
      <w:r w:rsidRPr="00BF61EC">
        <w:rPr>
          <w:szCs w:val="20"/>
        </w:rPr>
        <w:t>modification</w:t>
      </w:r>
      <w:r w:rsidR="00C64050">
        <w:rPr>
          <w:szCs w:val="20"/>
        </w:rPr>
        <w:t xml:space="preserve"> </w:t>
      </w:r>
      <w:r w:rsidRPr="00BF61EC">
        <w:rPr>
          <w:szCs w:val="20"/>
        </w:rPr>
        <w:t>or</w:t>
      </w:r>
      <w:r w:rsidR="00C64050">
        <w:rPr>
          <w:szCs w:val="20"/>
        </w:rPr>
        <w:t xml:space="preserve"> </w:t>
      </w:r>
      <w:r w:rsidRPr="00BF61EC">
        <w:rPr>
          <w:szCs w:val="20"/>
        </w:rPr>
        <w:t>trustee</w:t>
      </w:r>
      <w:r w:rsidR="00C64050">
        <w:rPr>
          <w:szCs w:val="20"/>
        </w:rPr>
        <w:t xml:space="preserve"> </w:t>
      </w:r>
      <w:r w:rsidRPr="00BF61EC">
        <w:rPr>
          <w:szCs w:val="20"/>
        </w:rPr>
        <w:t>action</w:t>
      </w:r>
      <w:r w:rsidR="00C64050">
        <w:rPr>
          <w:szCs w:val="20"/>
        </w:rPr>
        <w:t xml:space="preserve"> </w:t>
      </w:r>
      <w:r w:rsidRPr="00BF61EC">
        <w:rPr>
          <w:szCs w:val="20"/>
        </w:rPr>
        <w:t>that:</w:t>
      </w:r>
      <w:r w:rsidR="00C64050">
        <w:rPr>
          <w:szCs w:val="20"/>
        </w:rPr>
        <w:t xml:space="preserve"> </w:t>
      </w:r>
      <w:r w:rsidRPr="00BF61EC">
        <w:rPr>
          <w:szCs w:val="20"/>
        </w:rPr>
        <w:t>(1)</w:t>
      </w:r>
      <w:r w:rsidR="00C64050">
        <w:rPr>
          <w:szCs w:val="20"/>
        </w:rPr>
        <w:t xml:space="preserve"> </w:t>
      </w:r>
      <w:r w:rsidRPr="00BF61EC">
        <w:rPr>
          <w:szCs w:val="20"/>
        </w:rPr>
        <w:t>results</w:t>
      </w:r>
      <w:r w:rsidR="00C64050">
        <w:rPr>
          <w:szCs w:val="20"/>
        </w:rPr>
        <w:t xml:space="preserve"> </w:t>
      </w:r>
      <w:r w:rsidRPr="00BF61EC">
        <w:rPr>
          <w:szCs w:val="20"/>
        </w:rPr>
        <w:t>in</w:t>
      </w:r>
      <w:r w:rsidR="00C64050">
        <w:rPr>
          <w:szCs w:val="20"/>
        </w:rPr>
        <w:t xml:space="preserve"> </w:t>
      </w:r>
      <w:r w:rsidRPr="00BF61EC">
        <w:rPr>
          <w:szCs w:val="20"/>
        </w:rPr>
        <w:t>a</w:t>
      </w:r>
      <w:r w:rsidR="00C64050">
        <w:rPr>
          <w:szCs w:val="20"/>
        </w:rPr>
        <w:t xml:space="preserve"> </w:t>
      </w:r>
      <w:r w:rsidRPr="00BF61EC">
        <w:rPr>
          <w:szCs w:val="20"/>
        </w:rPr>
        <w:t>shift</w:t>
      </w:r>
      <w:r w:rsidR="00C64050">
        <w:rPr>
          <w:szCs w:val="20"/>
        </w:rPr>
        <w:t xml:space="preserve"> </w:t>
      </w:r>
      <w:r w:rsidRPr="00BF61EC">
        <w:rPr>
          <w:szCs w:val="20"/>
        </w:rPr>
        <w:t>of</w:t>
      </w:r>
      <w:r w:rsidR="00C64050">
        <w:rPr>
          <w:szCs w:val="20"/>
        </w:rPr>
        <w:t xml:space="preserve"> </w:t>
      </w:r>
      <w:r w:rsidRPr="00BF61EC">
        <w:rPr>
          <w:szCs w:val="20"/>
        </w:rPr>
        <w:t>a</w:t>
      </w:r>
      <w:r w:rsidR="00C64050">
        <w:rPr>
          <w:szCs w:val="20"/>
        </w:rPr>
        <w:t xml:space="preserve"> </w:t>
      </w:r>
      <w:r w:rsidRPr="00BF61EC">
        <w:rPr>
          <w:szCs w:val="20"/>
        </w:rPr>
        <w:t>beneficial</w:t>
      </w:r>
      <w:r w:rsidR="00C64050">
        <w:rPr>
          <w:szCs w:val="20"/>
        </w:rPr>
        <w:t xml:space="preserve"> </w:t>
      </w:r>
      <w:r w:rsidRPr="00BF61EC">
        <w:rPr>
          <w:szCs w:val="20"/>
        </w:rPr>
        <w:t>interest</w:t>
      </w:r>
      <w:r w:rsidR="00C64050">
        <w:rPr>
          <w:szCs w:val="20"/>
        </w:rPr>
        <w:t xml:space="preserve"> </w:t>
      </w:r>
      <w:r w:rsidRPr="00BF61EC">
        <w:rPr>
          <w:szCs w:val="20"/>
        </w:rPr>
        <w:t>in</w:t>
      </w:r>
      <w:r w:rsidR="00C64050">
        <w:rPr>
          <w:szCs w:val="20"/>
        </w:rPr>
        <w:t xml:space="preserve"> </w:t>
      </w:r>
      <w:r w:rsidRPr="00BF61EC">
        <w:rPr>
          <w:szCs w:val="20"/>
        </w:rPr>
        <w:t>Trust</w:t>
      </w:r>
      <w:r w:rsidR="00C64050">
        <w:rPr>
          <w:szCs w:val="20"/>
        </w:rPr>
        <w:t xml:space="preserve"> </w:t>
      </w:r>
      <w:r w:rsidRPr="00BF61EC">
        <w:rPr>
          <w:szCs w:val="20"/>
        </w:rPr>
        <w:t>1</w:t>
      </w:r>
      <w:r w:rsidR="00C64050">
        <w:rPr>
          <w:szCs w:val="20"/>
        </w:rPr>
        <w:t xml:space="preserve"> </w:t>
      </w:r>
      <w:r w:rsidRPr="00BF61EC">
        <w:rPr>
          <w:szCs w:val="20"/>
        </w:rPr>
        <w:t>or</w:t>
      </w:r>
      <w:r w:rsidR="00C64050">
        <w:rPr>
          <w:szCs w:val="20"/>
        </w:rPr>
        <w:t xml:space="preserve"> </w:t>
      </w:r>
      <w:r w:rsidRPr="00BF61EC">
        <w:rPr>
          <w:szCs w:val="20"/>
        </w:rPr>
        <w:t>Trust</w:t>
      </w:r>
      <w:r w:rsidR="00C64050">
        <w:rPr>
          <w:szCs w:val="20"/>
        </w:rPr>
        <w:t xml:space="preserve"> </w:t>
      </w:r>
      <w:r w:rsidRPr="00BF61EC">
        <w:rPr>
          <w:szCs w:val="20"/>
        </w:rPr>
        <w:t>2</w:t>
      </w:r>
      <w:r w:rsidR="00C64050">
        <w:rPr>
          <w:szCs w:val="20"/>
        </w:rPr>
        <w:t xml:space="preserve"> </w:t>
      </w:r>
      <w:r w:rsidRPr="00BF61EC">
        <w:rPr>
          <w:szCs w:val="20"/>
        </w:rPr>
        <w:t>to</w:t>
      </w:r>
      <w:r w:rsidR="00C64050">
        <w:rPr>
          <w:szCs w:val="20"/>
        </w:rPr>
        <w:t xml:space="preserve"> </w:t>
      </w:r>
      <w:r w:rsidRPr="00BF61EC">
        <w:rPr>
          <w:szCs w:val="20"/>
        </w:rPr>
        <w:t>any</w:t>
      </w:r>
      <w:r w:rsidR="00C64050">
        <w:rPr>
          <w:szCs w:val="20"/>
        </w:rPr>
        <w:t xml:space="preserve"> </w:t>
      </w:r>
      <w:r w:rsidRPr="00BF61EC">
        <w:rPr>
          <w:szCs w:val="20"/>
        </w:rPr>
        <w:t>beneficiary</w:t>
      </w:r>
      <w:r w:rsidR="00C64050">
        <w:rPr>
          <w:szCs w:val="20"/>
        </w:rPr>
        <w:t xml:space="preserve"> </w:t>
      </w:r>
      <w:r w:rsidRPr="00BF61EC">
        <w:rPr>
          <w:szCs w:val="20"/>
        </w:rPr>
        <w:t>who</w:t>
      </w:r>
      <w:r w:rsidR="00C64050">
        <w:rPr>
          <w:szCs w:val="20"/>
        </w:rPr>
        <w:t xml:space="preserve"> </w:t>
      </w:r>
      <w:r w:rsidRPr="00BF61EC">
        <w:rPr>
          <w:szCs w:val="20"/>
        </w:rPr>
        <w:t>occupies</w:t>
      </w:r>
      <w:r w:rsidR="00C64050">
        <w:rPr>
          <w:szCs w:val="20"/>
        </w:rPr>
        <w:t xml:space="preserve"> </w:t>
      </w:r>
      <w:r w:rsidRPr="00BF61EC">
        <w:rPr>
          <w:szCs w:val="20"/>
        </w:rPr>
        <w:t>a</w:t>
      </w:r>
      <w:r w:rsidR="00C64050">
        <w:rPr>
          <w:szCs w:val="20"/>
        </w:rPr>
        <w:t xml:space="preserve"> </w:t>
      </w:r>
      <w:r w:rsidRPr="00BF61EC">
        <w:rPr>
          <w:szCs w:val="20"/>
        </w:rPr>
        <w:t>generation</w:t>
      </w:r>
      <w:r w:rsidR="00C64050">
        <w:rPr>
          <w:szCs w:val="20"/>
        </w:rPr>
        <w:t xml:space="preserve"> </w:t>
      </w:r>
      <w:r w:rsidRPr="00BF61EC">
        <w:rPr>
          <w:szCs w:val="20"/>
        </w:rPr>
        <w:t>lower</w:t>
      </w:r>
      <w:r w:rsidR="00C64050">
        <w:rPr>
          <w:szCs w:val="20"/>
        </w:rPr>
        <w:t xml:space="preserve"> </w:t>
      </w:r>
      <w:r w:rsidRPr="00BF61EC">
        <w:rPr>
          <w:szCs w:val="20"/>
        </w:rPr>
        <w:t>than</w:t>
      </w:r>
      <w:r w:rsidR="00C64050">
        <w:rPr>
          <w:szCs w:val="20"/>
        </w:rPr>
        <w:t xml:space="preserve"> </w:t>
      </w:r>
      <w:r w:rsidRPr="00BF61EC">
        <w:rPr>
          <w:szCs w:val="20"/>
        </w:rPr>
        <w:t>the</w:t>
      </w:r>
      <w:r w:rsidR="00C64050">
        <w:rPr>
          <w:szCs w:val="20"/>
        </w:rPr>
        <w:t xml:space="preserve"> </w:t>
      </w:r>
      <w:r w:rsidRPr="00BF61EC">
        <w:rPr>
          <w:szCs w:val="20"/>
        </w:rPr>
        <w:t>persons</w:t>
      </w:r>
      <w:r w:rsidR="00C64050">
        <w:rPr>
          <w:szCs w:val="20"/>
        </w:rPr>
        <w:t xml:space="preserve"> </w:t>
      </w:r>
      <w:r w:rsidRPr="00BF61EC">
        <w:rPr>
          <w:szCs w:val="20"/>
        </w:rPr>
        <w:t>holding</w:t>
      </w:r>
      <w:r w:rsidR="00C64050">
        <w:rPr>
          <w:szCs w:val="20"/>
        </w:rPr>
        <w:t xml:space="preserve"> </w:t>
      </w:r>
      <w:r w:rsidRPr="00BF61EC">
        <w:rPr>
          <w:szCs w:val="20"/>
        </w:rPr>
        <w:t>the</w:t>
      </w:r>
      <w:r w:rsidR="00C64050">
        <w:rPr>
          <w:szCs w:val="20"/>
        </w:rPr>
        <w:t xml:space="preserve"> </w:t>
      </w:r>
      <w:r w:rsidRPr="00BF61EC">
        <w:rPr>
          <w:szCs w:val="20"/>
        </w:rPr>
        <w:t>beneficial</w:t>
      </w:r>
      <w:r w:rsidR="00C64050">
        <w:rPr>
          <w:szCs w:val="20"/>
        </w:rPr>
        <w:t xml:space="preserve"> </w:t>
      </w:r>
      <w:r w:rsidRPr="00BF61EC">
        <w:rPr>
          <w:szCs w:val="20"/>
        </w:rPr>
        <w:t>interests</w:t>
      </w:r>
      <w:r w:rsidR="00C64050">
        <w:rPr>
          <w:szCs w:val="20"/>
        </w:rPr>
        <w:t xml:space="preserve"> </w:t>
      </w:r>
      <w:r w:rsidRPr="00BF61EC">
        <w:rPr>
          <w:szCs w:val="20"/>
        </w:rPr>
        <w:t>prior</w:t>
      </w:r>
      <w:r w:rsidR="00C64050">
        <w:rPr>
          <w:szCs w:val="20"/>
        </w:rPr>
        <w:t xml:space="preserve"> </w:t>
      </w:r>
      <w:r w:rsidRPr="00BF61EC">
        <w:rPr>
          <w:szCs w:val="20"/>
        </w:rPr>
        <w:t>to</w:t>
      </w:r>
      <w:r w:rsidR="00C64050">
        <w:rPr>
          <w:szCs w:val="20"/>
        </w:rPr>
        <w:t xml:space="preserve"> </w:t>
      </w:r>
      <w:r w:rsidRPr="00BF61EC">
        <w:rPr>
          <w:szCs w:val="20"/>
        </w:rPr>
        <w:t>the</w:t>
      </w:r>
      <w:r w:rsidR="00C64050">
        <w:rPr>
          <w:szCs w:val="20"/>
        </w:rPr>
        <w:t xml:space="preserve"> </w:t>
      </w:r>
      <w:r w:rsidRPr="00BF61EC">
        <w:rPr>
          <w:szCs w:val="20"/>
        </w:rPr>
        <w:t>modification;</w:t>
      </w:r>
      <w:r w:rsidR="00C64050">
        <w:rPr>
          <w:szCs w:val="20"/>
        </w:rPr>
        <w:t xml:space="preserve"> </w:t>
      </w:r>
      <w:r w:rsidRPr="00BF61EC">
        <w:rPr>
          <w:szCs w:val="20"/>
        </w:rPr>
        <w:t>or</w:t>
      </w:r>
      <w:r w:rsidR="00C64050">
        <w:rPr>
          <w:szCs w:val="20"/>
        </w:rPr>
        <w:t xml:space="preserve"> </w:t>
      </w:r>
      <w:r w:rsidRPr="00BF61EC">
        <w:rPr>
          <w:szCs w:val="20"/>
        </w:rPr>
        <w:t>(2)</w:t>
      </w:r>
      <w:r w:rsidR="00C64050">
        <w:rPr>
          <w:szCs w:val="20"/>
        </w:rPr>
        <w:t xml:space="preserve"> </w:t>
      </w:r>
      <w:r w:rsidRPr="00BF61EC">
        <w:rPr>
          <w:szCs w:val="20"/>
        </w:rPr>
        <w:t>extends</w:t>
      </w:r>
      <w:r w:rsidR="00C64050">
        <w:rPr>
          <w:szCs w:val="20"/>
        </w:rPr>
        <w:t xml:space="preserve"> </w:t>
      </w:r>
      <w:r w:rsidRPr="00BF61EC">
        <w:rPr>
          <w:szCs w:val="20"/>
        </w:rPr>
        <w:t>the</w:t>
      </w:r>
      <w:r w:rsidR="00C64050">
        <w:rPr>
          <w:szCs w:val="20"/>
        </w:rPr>
        <w:t xml:space="preserve"> </w:t>
      </w:r>
      <w:r w:rsidRPr="00BF61EC">
        <w:rPr>
          <w:szCs w:val="20"/>
        </w:rPr>
        <w:t>time</w:t>
      </w:r>
      <w:r w:rsidR="00C64050">
        <w:rPr>
          <w:szCs w:val="20"/>
        </w:rPr>
        <w:t xml:space="preserve"> </w:t>
      </w:r>
      <w:r w:rsidRPr="00BF61EC">
        <w:rPr>
          <w:szCs w:val="20"/>
        </w:rPr>
        <w:t>for</w:t>
      </w:r>
      <w:r w:rsidR="00C64050">
        <w:rPr>
          <w:szCs w:val="20"/>
        </w:rPr>
        <w:t xml:space="preserve"> </w:t>
      </w:r>
      <w:r w:rsidRPr="00BF61EC">
        <w:rPr>
          <w:szCs w:val="20"/>
        </w:rPr>
        <w:t>vesting</w:t>
      </w:r>
      <w:r w:rsidR="00C64050">
        <w:rPr>
          <w:szCs w:val="20"/>
        </w:rPr>
        <w:t xml:space="preserve"> </w:t>
      </w:r>
      <w:r w:rsidRPr="00BF61EC">
        <w:rPr>
          <w:szCs w:val="20"/>
        </w:rPr>
        <w:t>of</w:t>
      </w:r>
      <w:r w:rsidR="00C64050">
        <w:rPr>
          <w:szCs w:val="20"/>
        </w:rPr>
        <w:t xml:space="preserve"> </w:t>
      </w:r>
      <w:r w:rsidRPr="00BF61EC">
        <w:rPr>
          <w:szCs w:val="20"/>
        </w:rPr>
        <w:t>any</w:t>
      </w:r>
      <w:r w:rsidR="00C64050">
        <w:rPr>
          <w:szCs w:val="20"/>
        </w:rPr>
        <w:t xml:space="preserve"> </w:t>
      </w:r>
      <w:r w:rsidRPr="00BF61EC">
        <w:rPr>
          <w:szCs w:val="20"/>
        </w:rPr>
        <w:t>beneficial</w:t>
      </w:r>
      <w:r w:rsidR="00C64050">
        <w:rPr>
          <w:szCs w:val="20"/>
        </w:rPr>
        <w:t xml:space="preserve"> </w:t>
      </w:r>
      <w:r w:rsidRPr="00BF61EC">
        <w:rPr>
          <w:szCs w:val="20"/>
        </w:rPr>
        <w:t>interest</w:t>
      </w:r>
      <w:r w:rsidR="00C64050">
        <w:rPr>
          <w:szCs w:val="20"/>
        </w:rPr>
        <w:t xml:space="preserve"> </w:t>
      </w:r>
      <w:r w:rsidRPr="00BF61EC">
        <w:rPr>
          <w:szCs w:val="20"/>
        </w:rPr>
        <w:t>in</w:t>
      </w:r>
      <w:r w:rsidR="00C64050">
        <w:rPr>
          <w:szCs w:val="20"/>
        </w:rPr>
        <w:t xml:space="preserve"> </w:t>
      </w:r>
      <w:r w:rsidRPr="00BF61EC">
        <w:rPr>
          <w:szCs w:val="20"/>
        </w:rPr>
        <w:t>Trust</w:t>
      </w:r>
      <w:r w:rsidR="00C64050">
        <w:rPr>
          <w:szCs w:val="20"/>
        </w:rPr>
        <w:t xml:space="preserve"> </w:t>
      </w:r>
      <w:r w:rsidRPr="00BF61EC">
        <w:rPr>
          <w:szCs w:val="20"/>
        </w:rPr>
        <w:t>1</w:t>
      </w:r>
      <w:r w:rsidR="00C64050">
        <w:rPr>
          <w:szCs w:val="20"/>
        </w:rPr>
        <w:t xml:space="preserve"> </w:t>
      </w:r>
      <w:r w:rsidRPr="00BF61EC">
        <w:rPr>
          <w:szCs w:val="20"/>
        </w:rPr>
        <w:t>or</w:t>
      </w:r>
      <w:r w:rsidR="00C64050">
        <w:rPr>
          <w:szCs w:val="20"/>
        </w:rPr>
        <w:t xml:space="preserve"> </w:t>
      </w:r>
      <w:r w:rsidRPr="00BF61EC">
        <w:rPr>
          <w:szCs w:val="20"/>
        </w:rPr>
        <w:t>Trust</w:t>
      </w:r>
      <w:r w:rsidR="00C64050">
        <w:rPr>
          <w:szCs w:val="20"/>
        </w:rPr>
        <w:t xml:space="preserve"> </w:t>
      </w:r>
      <w:r w:rsidRPr="00BF61EC">
        <w:rPr>
          <w:szCs w:val="20"/>
        </w:rPr>
        <w:t>2</w:t>
      </w:r>
      <w:r w:rsidR="00C64050">
        <w:rPr>
          <w:szCs w:val="20"/>
        </w:rPr>
        <w:t xml:space="preserve"> </w:t>
      </w:r>
      <w:r w:rsidRPr="00BF61EC">
        <w:rPr>
          <w:szCs w:val="20"/>
        </w:rPr>
        <w:t>beyond</w:t>
      </w:r>
      <w:r w:rsidR="00C64050">
        <w:rPr>
          <w:szCs w:val="20"/>
        </w:rPr>
        <w:t xml:space="preserve"> </w:t>
      </w:r>
      <w:r w:rsidRPr="00BF61EC">
        <w:rPr>
          <w:szCs w:val="20"/>
        </w:rPr>
        <w:t>the</w:t>
      </w:r>
      <w:r w:rsidR="00C64050">
        <w:rPr>
          <w:szCs w:val="20"/>
        </w:rPr>
        <w:t xml:space="preserve"> </w:t>
      </w:r>
      <w:r w:rsidRPr="00BF61EC">
        <w:rPr>
          <w:szCs w:val="20"/>
        </w:rPr>
        <w:t>period</w:t>
      </w:r>
      <w:r w:rsidR="00C64050">
        <w:rPr>
          <w:szCs w:val="20"/>
        </w:rPr>
        <w:t xml:space="preserve"> </w:t>
      </w:r>
      <w:r w:rsidRPr="00BF61EC">
        <w:rPr>
          <w:szCs w:val="20"/>
        </w:rPr>
        <w:t>provided</w:t>
      </w:r>
      <w:r w:rsidR="00C64050">
        <w:rPr>
          <w:szCs w:val="20"/>
        </w:rPr>
        <w:t xml:space="preserve"> </w:t>
      </w:r>
      <w:r w:rsidRPr="00BF61EC">
        <w:rPr>
          <w:szCs w:val="20"/>
        </w:rPr>
        <w:t>for</w:t>
      </w:r>
      <w:r w:rsidR="00C64050">
        <w:rPr>
          <w:szCs w:val="20"/>
        </w:rPr>
        <w:t xml:space="preserve"> </w:t>
      </w:r>
      <w:r w:rsidRPr="00BF61EC">
        <w:rPr>
          <w:szCs w:val="20"/>
        </w:rPr>
        <w:t>in</w:t>
      </w:r>
      <w:r w:rsidR="00C64050">
        <w:rPr>
          <w:szCs w:val="20"/>
        </w:rPr>
        <w:t xml:space="preserve"> </w:t>
      </w:r>
      <w:r w:rsidRPr="00BF61EC">
        <w:rPr>
          <w:szCs w:val="20"/>
        </w:rPr>
        <w:t>the</w:t>
      </w:r>
      <w:r w:rsidR="00C64050">
        <w:rPr>
          <w:szCs w:val="20"/>
        </w:rPr>
        <w:t xml:space="preserve"> </w:t>
      </w:r>
      <w:r w:rsidRPr="00BF61EC">
        <w:rPr>
          <w:szCs w:val="20"/>
        </w:rPr>
        <w:t>original</w:t>
      </w:r>
      <w:r w:rsidR="00C64050">
        <w:rPr>
          <w:szCs w:val="20"/>
        </w:rPr>
        <w:t xml:space="preserve"> </w:t>
      </w:r>
      <w:r w:rsidRPr="00BF61EC">
        <w:rPr>
          <w:szCs w:val="20"/>
        </w:rPr>
        <w:t>trust</w:t>
      </w:r>
      <w:r w:rsidR="00C64050">
        <w:rPr>
          <w:szCs w:val="20"/>
        </w:rPr>
        <w:t xml:space="preserve"> </w:t>
      </w:r>
      <w:r w:rsidRPr="00BF61EC">
        <w:rPr>
          <w:szCs w:val="20"/>
        </w:rPr>
        <w:t>terms.</w:t>
      </w:r>
      <w:r w:rsidR="00C64050">
        <w:rPr>
          <w:szCs w:val="20"/>
        </w:rPr>
        <w:t xml:space="preserve"> </w:t>
      </w:r>
      <w:r w:rsidRPr="00BF61EC">
        <w:rPr>
          <w:szCs w:val="20"/>
        </w:rPr>
        <w:t>Accordingly,</w:t>
      </w:r>
      <w:r w:rsidR="00C64050">
        <w:rPr>
          <w:szCs w:val="20"/>
        </w:rPr>
        <w:t xml:space="preserve"> </w:t>
      </w:r>
      <w:r w:rsidRPr="00BF61EC">
        <w:rPr>
          <w:szCs w:val="20"/>
        </w:rPr>
        <w:t>we</w:t>
      </w:r>
      <w:r w:rsidR="00C64050">
        <w:rPr>
          <w:szCs w:val="20"/>
        </w:rPr>
        <w:t xml:space="preserve"> </w:t>
      </w:r>
      <w:r w:rsidRPr="00BF61EC">
        <w:rPr>
          <w:szCs w:val="20"/>
        </w:rPr>
        <w:t>conclude</w:t>
      </w:r>
      <w:r w:rsidR="00C64050">
        <w:rPr>
          <w:szCs w:val="20"/>
        </w:rPr>
        <w:t xml:space="preserve"> </w:t>
      </w:r>
      <w:r w:rsidRPr="00BF61EC">
        <w:rPr>
          <w:szCs w:val="20"/>
        </w:rPr>
        <w:t>that</w:t>
      </w:r>
      <w:r w:rsidR="00C64050">
        <w:rPr>
          <w:szCs w:val="20"/>
        </w:rPr>
        <w:t xml:space="preserve"> </w:t>
      </w:r>
      <w:r w:rsidRPr="00BF61EC">
        <w:rPr>
          <w:szCs w:val="20"/>
        </w:rPr>
        <w:t>the</w:t>
      </w:r>
      <w:r w:rsidR="00C64050">
        <w:rPr>
          <w:szCs w:val="20"/>
        </w:rPr>
        <w:t xml:space="preserve"> </w:t>
      </w:r>
      <w:r w:rsidRPr="00BF61EC">
        <w:rPr>
          <w:szCs w:val="20"/>
        </w:rPr>
        <w:t>enactment</w:t>
      </w:r>
      <w:r w:rsidR="00C64050">
        <w:rPr>
          <w:szCs w:val="20"/>
        </w:rPr>
        <w:t xml:space="preserve"> </w:t>
      </w:r>
      <w:r w:rsidRPr="00BF61EC">
        <w:rPr>
          <w:szCs w:val="20"/>
        </w:rPr>
        <w:t>of</w:t>
      </w:r>
      <w:r w:rsidR="00C64050">
        <w:rPr>
          <w:szCs w:val="20"/>
        </w:rPr>
        <w:t xml:space="preserve"> </w:t>
      </w:r>
      <w:r w:rsidRPr="00BF61EC">
        <w:rPr>
          <w:szCs w:val="20"/>
        </w:rPr>
        <w:t>Statute</w:t>
      </w:r>
      <w:r w:rsidR="00C64050">
        <w:rPr>
          <w:szCs w:val="20"/>
        </w:rPr>
        <w:t xml:space="preserve"> </w:t>
      </w:r>
      <w:r w:rsidRPr="00BF61EC">
        <w:rPr>
          <w:szCs w:val="20"/>
        </w:rPr>
        <w:t>1</w:t>
      </w:r>
      <w:r w:rsidR="00C64050">
        <w:rPr>
          <w:szCs w:val="20"/>
        </w:rPr>
        <w:t xml:space="preserve"> </w:t>
      </w:r>
      <w:r w:rsidRPr="00BF61EC">
        <w:rPr>
          <w:szCs w:val="20"/>
        </w:rPr>
        <w:t>did</w:t>
      </w:r>
      <w:r w:rsidR="00C64050">
        <w:rPr>
          <w:szCs w:val="20"/>
        </w:rPr>
        <w:t xml:space="preserve"> </w:t>
      </w:r>
      <w:r w:rsidRPr="00BF61EC">
        <w:rPr>
          <w:szCs w:val="20"/>
        </w:rPr>
        <w:t>not</w:t>
      </w:r>
      <w:r w:rsidR="00C64050">
        <w:rPr>
          <w:szCs w:val="20"/>
        </w:rPr>
        <w:t xml:space="preserve"> </w:t>
      </w:r>
      <w:r w:rsidRPr="00BF61EC">
        <w:rPr>
          <w:szCs w:val="20"/>
        </w:rPr>
        <w:t>affect</w:t>
      </w:r>
      <w:r w:rsidR="00C64050">
        <w:rPr>
          <w:szCs w:val="20"/>
        </w:rPr>
        <w:t xml:space="preserve"> </w:t>
      </w:r>
      <w:r w:rsidRPr="00BF61EC">
        <w:rPr>
          <w:szCs w:val="20"/>
        </w:rPr>
        <w:t>the</w:t>
      </w:r>
      <w:r w:rsidR="00C64050">
        <w:rPr>
          <w:szCs w:val="20"/>
        </w:rPr>
        <w:t xml:space="preserve"> </w:t>
      </w:r>
      <w:r w:rsidRPr="00BF61EC">
        <w:rPr>
          <w:szCs w:val="20"/>
        </w:rPr>
        <w:t>exempt</w:t>
      </w:r>
      <w:r w:rsidR="00C64050">
        <w:rPr>
          <w:szCs w:val="20"/>
        </w:rPr>
        <w:t xml:space="preserve"> </w:t>
      </w:r>
      <w:r w:rsidRPr="00BF61EC">
        <w:rPr>
          <w:szCs w:val="20"/>
        </w:rPr>
        <w:t>status</w:t>
      </w:r>
      <w:r w:rsidR="00C64050">
        <w:rPr>
          <w:szCs w:val="20"/>
        </w:rPr>
        <w:t xml:space="preserve"> </w:t>
      </w:r>
      <w:r w:rsidRPr="00BF61EC">
        <w:rPr>
          <w:szCs w:val="20"/>
        </w:rPr>
        <w:t>of</w:t>
      </w:r>
      <w:r w:rsidR="00C64050">
        <w:rPr>
          <w:szCs w:val="20"/>
        </w:rPr>
        <w:t xml:space="preserve"> </w:t>
      </w:r>
      <w:r w:rsidRPr="00BF61EC">
        <w:rPr>
          <w:szCs w:val="20"/>
        </w:rPr>
        <w:t>Trust</w:t>
      </w:r>
      <w:r w:rsidR="00C64050">
        <w:rPr>
          <w:szCs w:val="20"/>
        </w:rPr>
        <w:t xml:space="preserve"> </w:t>
      </w:r>
      <w:r w:rsidRPr="00BF61EC">
        <w:rPr>
          <w:szCs w:val="20"/>
        </w:rPr>
        <w:t>1</w:t>
      </w:r>
      <w:r w:rsidR="00C64050">
        <w:rPr>
          <w:szCs w:val="20"/>
        </w:rPr>
        <w:t xml:space="preserve"> </w:t>
      </w:r>
      <w:r w:rsidRPr="00BF61EC">
        <w:rPr>
          <w:szCs w:val="20"/>
        </w:rPr>
        <w:t>or</w:t>
      </w:r>
      <w:r w:rsidR="00C64050">
        <w:rPr>
          <w:szCs w:val="20"/>
        </w:rPr>
        <w:t xml:space="preserve"> </w:t>
      </w:r>
      <w:r w:rsidRPr="00BF61EC">
        <w:rPr>
          <w:szCs w:val="20"/>
        </w:rPr>
        <w:t>Trust</w:t>
      </w:r>
      <w:r w:rsidR="00C64050">
        <w:rPr>
          <w:szCs w:val="20"/>
        </w:rPr>
        <w:t xml:space="preserve"> </w:t>
      </w:r>
      <w:r w:rsidRPr="00BF61EC">
        <w:rPr>
          <w:szCs w:val="20"/>
        </w:rPr>
        <w:t>2.</w:t>
      </w:r>
      <w:r w:rsidR="00C64050">
        <w:rPr>
          <w:szCs w:val="20"/>
        </w:rPr>
        <w:t xml:space="preserve"> </w:t>
      </w:r>
      <w:r w:rsidRPr="00BF61EC">
        <w:rPr>
          <w:szCs w:val="20"/>
        </w:rPr>
        <w:t>Additionally,</w:t>
      </w:r>
      <w:r w:rsidR="00C64050">
        <w:rPr>
          <w:szCs w:val="20"/>
        </w:rPr>
        <w:t xml:space="preserve"> </w:t>
      </w:r>
      <w:r w:rsidRPr="00BF61EC">
        <w:rPr>
          <w:szCs w:val="20"/>
        </w:rPr>
        <w:t>we</w:t>
      </w:r>
      <w:r w:rsidR="00C64050">
        <w:rPr>
          <w:szCs w:val="20"/>
        </w:rPr>
        <w:t xml:space="preserve"> </w:t>
      </w:r>
      <w:r w:rsidRPr="00BF61EC">
        <w:rPr>
          <w:szCs w:val="20"/>
        </w:rPr>
        <w:t>conclude</w:t>
      </w:r>
      <w:r w:rsidR="00C64050">
        <w:rPr>
          <w:szCs w:val="20"/>
        </w:rPr>
        <w:t xml:space="preserve"> </w:t>
      </w:r>
      <w:r w:rsidRPr="00BF61EC">
        <w:rPr>
          <w:szCs w:val="20"/>
        </w:rPr>
        <w:t>that</w:t>
      </w:r>
      <w:r w:rsidR="00C64050">
        <w:rPr>
          <w:szCs w:val="20"/>
        </w:rPr>
        <w:t xml:space="preserve"> </w:t>
      </w:r>
      <w:r w:rsidRPr="00BF61EC">
        <w:rPr>
          <w:szCs w:val="20"/>
        </w:rPr>
        <w:t>because</w:t>
      </w:r>
      <w:r w:rsidR="00C64050">
        <w:rPr>
          <w:szCs w:val="20"/>
        </w:rPr>
        <w:t xml:space="preserve"> </w:t>
      </w:r>
      <w:r w:rsidRPr="00BF61EC">
        <w:rPr>
          <w:szCs w:val="20"/>
        </w:rPr>
        <w:t>Statute</w:t>
      </w:r>
      <w:r w:rsidR="00C64050">
        <w:rPr>
          <w:szCs w:val="20"/>
        </w:rPr>
        <w:t xml:space="preserve"> </w:t>
      </w:r>
      <w:r w:rsidRPr="00BF61EC">
        <w:rPr>
          <w:szCs w:val="20"/>
        </w:rPr>
        <w:t>2</w:t>
      </w:r>
      <w:r w:rsidR="00C64050">
        <w:rPr>
          <w:szCs w:val="20"/>
        </w:rPr>
        <w:t xml:space="preserve"> </w:t>
      </w:r>
      <w:r w:rsidRPr="00BF61EC">
        <w:rPr>
          <w:szCs w:val="20"/>
        </w:rPr>
        <w:t>imposes</w:t>
      </w:r>
      <w:r w:rsidR="00C64050">
        <w:rPr>
          <w:szCs w:val="20"/>
        </w:rPr>
        <w:t xml:space="preserve"> </w:t>
      </w:r>
      <w:r w:rsidRPr="00BF61EC">
        <w:rPr>
          <w:szCs w:val="20"/>
        </w:rPr>
        <w:t>substantially</w:t>
      </w:r>
      <w:r w:rsidR="00C64050">
        <w:rPr>
          <w:szCs w:val="20"/>
        </w:rPr>
        <w:t xml:space="preserve"> </w:t>
      </w:r>
      <w:r w:rsidRPr="00BF61EC">
        <w:rPr>
          <w:szCs w:val="20"/>
        </w:rPr>
        <w:t>the</w:t>
      </w:r>
      <w:r w:rsidR="00C64050">
        <w:rPr>
          <w:szCs w:val="20"/>
        </w:rPr>
        <w:t xml:space="preserve"> </w:t>
      </w:r>
      <w:r w:rsidRPr="00BF61EC">
        <w:rPr>
          <w:szCs w:val="20"/>
        </w:rPr>
        <w:t>same</w:t>
      </w:r>
      <w:r w:rsidR="00C64050">
        <w:rPr>
          <w:szCs w:val="20"/>
        </w:rPr>
        <w:t xml:space="preserve"> </w:t>
      </w:r>
      <w:r w:rsidRPr="00BF61EC">
        <w:rPr>
          <w:szCs w:val="20"/>
        </w:rPr>
        <w:t>changes</w:t>
      </w:r>
      <w:r w:rsidR="00C64050">
        <w:rPr>
          <w:szCs w:val="20"/>
        </w:rPr>
        <w:t xml:space="preserve"> </w:t>
      </w:r>
      <w:r w:rsidRPr="00BF61EC">
        <w:rPr>
          <w:szCs w:val="20"/>
        </w:rPr>
        <w:t>as</w:t>
      </w:r>
      <w:r w:rsidR="00C64050">
        <w:rPr>
          <w:szCs w:val="20"/>
        </w:rPr>
        <w:t xml:space="preserve"> </w:t>
      </w:r>
      <w:r w:rsidRPr="00BF61EC">
        <w:rPr>
          <w:szCs w:val="20"/>
        </w:rPr>
        <w:t>Statute</w:t>
      </w:r>
      <w:r w:rsidR="00C64050">
        <w:rPr>
          <w:szCs w:val="20"/>
        </w:rPr>
        <w:t xml:space="preserve"> </w:t>
      </w:r>
      <w:r w:rsidRPr="00BF61EC">
        <w:rPr>
          <w:szCs w:val="20"/>
        </w:rPr>
        <w:t>1,</w:t>
      </w:r>
      <w:r w:rsidR="00C64050">
        <w:rPr>
          <w:szCs w:val="20"/>
        </w:rPr>
        <w:t xml:space="preserve"> </w:t>
      </w:r>
      <w:r w:rsidRPr="00BF61EC">
        <w:rPr>
          <w:szCs w:val="20"/>
        </w:rPr>
        <w:t>Decedent</w:t>
      </w:r>
      <w:r w:rsidR="00C64050">
        <w:rPr>
          <w:szCs w:val="20"/>
        </w:rPr>
        <w:t xml:space="preserve"> </w:t>
      </w:r>
      <w:r w:rsidRPr="00BF61EC">
        <w:rPr>
          <w:szCs w:val="20"/>
        </w:rPr>
        <w:t>becoming</w:t>
      </w:r>
      <w:r w:rsidR="00C64050">
        <w:rPr>
          <w:szCs w:val="20"/>
        </w:rPr>
        <w:t xml:space="preserve"> </w:t>
      </w:r>
      <w:r w:rsidRPr="00BF61EC">
        <w:rPr>
          <w:szCs w:val="20"/>
        </w:rPr>
        <w:t>a</w:t>
      </w:r>
      <w:r w:rsidR="00C64050">
        <w:rPr>
          <w:szCs w:val="20"/>
        </w:rPr>
        <w:t xml:space="preserve"> </w:t>
      </w:r>
      <w:r w:rsidRPr="00BF61EC">
        <w:rPr>
          <w:szCs w:val="20"/>
        </w:rPr>
        <w:t>resident</w:t>
      </w:r>
      <w:r w:rsidR="00C64050">
        <w:rPr>
          <w:szCs w:val="20"/>
        </w:rPr>
        <w:t xml:space="preserve"> </w:t>
      </w:r>
      <w:r w:rsidRPr="00BF61EC">
        <w:rPr>
          <w:szCs w:val="20"/>
        </w:rPr>
        <w:t>of</w:t>
      </w:r>
      <w:r w:rsidR="00C64050">
        <w:rPr>
          <w:szCs w:val="20"/>
        </w:rPr>
        <w:t xml:space="preserve"> </w:t>
      </w:r>
      <w:r w:rsidRPr="00BF61EC">
        <w:rPr>
          <w:szCs w:val="20"/>
        </w:rPr>
        <w:t>State</w:t>
      </w:r>
      <w:r w:rsidR="00C64050">
        <w:rPr>
          <w:szCs w:val="20"/>
        </w:rPr>
        <w:t xml:space="preserve"> </w:t>
      </w:r>
      <w:r w:rsidRPr="00BF61EC">
        <w:rPr>
          <w:szCs w:val="20"/>
        </w:rPr>
        <w:t>B</w:t>
      </w:r>
      <w:r w:rsidR="00C64050">
        <w:rPr>
          <w:szCs w:val="20"/>
        </w:rPr>
        <w:t xml:space="preserve"> </w:t>
      </w:r>
      <w:r w:rsidRPr="00BF61EC">
        <w:rPr>
          <w:szCs w:val="20"/>
        </w:rPr>
        <w:t>and</w:t>
      </w:r>
      <w:r w:rsidR="00C64050">
        <w:rPr>
          <w:szCs w:val="20"/>
        </w:rPr>
        <w:t xml:space="preserve"> </w:t>
      </w:r>
      <w:r w:rsidRPr="00BF61EC">
        <w:rPr>
          <w:szCs w:val="20"/>
        </w:rPr>
        <w:t>becoming</w:t>
      </w:r>
      <w:r w:rsidR="00C64050">
        <w:rPr>
          <w:szCs w:val="20"/>
        </w:rPr>
        <w:t xml:space="preserve"> </w:t>
      </w:r>
      <w:r w:rsidRPr="00BF61EC">
        <w:rPr>
          <w:szCs w:val="20"/>
        </w:rPr>
        <w:t>subject</w:t>
      </w:r>
      <w:r w:rsidR="00C64050">
        <w:rPr>
          <w:szCs w:val="20"/>
        </w:rPr>
        <w:t xml:space="preserve"> </w:t>
      </w:r>
      <w:r w:rsidRPr="00BF61EC">
        <w:rPr>
          <w:szCs w:val="20"/>
        </w:rPr>
        <w:t>to</w:t>
      </w:r>
      <w:r w:rsidR="00C64050">
        <w:rPr>
          <w:szCs w:val="20"/>
        </w:rPr>
        <w:t xml:space="preserve"> </w:t>
      </w:r>
      <w:r w:rsidRPr="00BF61EC">
        <w:rPr>
          <w:szCs w:val="20"/>
        </w:rPr>
        <w:t>Statute</w:t>
      </w:r>
      <w:r w:rsidR="00C64050">
        <w:rPr>
          <w:szCs w:val="20"/>
        </w:rPr>
        <w:t xml:space="preserve"> </w:t>
      </w:r>
      <w:r w:rsidRPr="00BF61EC">
        <w:rPr>
          <w:szCs w:val="20"/>
        </w:rPr>
        <w:t>2</w:t>
      </w:r>
      <w:r w:rsidR="00C64050">
        <w:rPr>
          <w:szCs w:val="20"/>
        </w:rPr>
        <w:t xml:space="preserve"> </w:t>
      </w:r>
      <w:r w:rsidRPr="00BF61EC">
        <w:rPr>
          <w:szCs w:val="20"/>
        </w:rPr>
        <w:t>did</w:t>
      </w:r>
      <w:r w:rsidR="00C64050">
        <w:rPr>
          <w:szCs w:val="20"/>
        </w:rPr>
        <w:t xml:space="preserve"> </w:t>
      </w:r>
      <w:r w:rsidRPr="00BF61EC">
        <w:rPr>
          <w:szCs w:val="20"/>
        </w:rPr>
        <w:t>not</w:t>
      </w:r>
      <w:r w:rsidR="00C64050">
        <w:rPr>
          <w:szCs w:val="20"/>
        </w:rPr>
        <w:t xml:space="preserve"> </w:t>
      </w:r>
      <w:r w:rsidRPr="00BF61EC">
        <w:rPr>
          <w:szCs w:val="20"/>
        </w:rPr>
        <w:t>affect</w:t>
      </w:r>
      <w:r w:rsidR="00C64050">
        <w:rPr>
          <w:szCs w:val="20"/>
        </w:rPr>
        <w:t xml:space="preserve"> </w:t>
      </w:r>
      <w:r w:rsidRPr="00BF61EC">
        <w:rPr>
          <w:szCs w:val="20"/>
        </w:rPr>
        <w:t>the</w:t>
      </w:r>
      <w:r w:rsidR="00C64050">
        <w:rPr>
          <w:szCs w:val="20"/>
        </w:rPr>
        <w:t xml:space="preserve"> </w:t>
      </w:r>
      <w:r w:rsidRPr="00BF61EC">
        <w:rPr>
          <w:szCs w:val="20"/>
        </w:rPr>
        <w:t>exempt</w:t>
      </w:r>
      <w:r w:rsidR="00C64050">
        <w:rPr>
          <w:szCs w:val="20"/>
        </w:rPr>
        <w:t xml:space="preserve"> </w:t>
      </w:r>
      <w:r w:rsidRPr="00BF61EC">
        <w:rPr>
          <w:szCs w:val="20"/>
        </w:rPr>
        <w:t>status</w:t>
      </w:r>
      <w:r w:rsidR="00C64050">
        <w:rPr>
          <w:szCs w:val="20"/>
        </w:rPr>
        <w:t xml:space="preserve"> </w:t>
      </w:r>
      <w:r w:rsidRPr="00BF61EC">
        <w:rPr>
          <w:szCs w:val="20"/>
        </w:rPr>
        <w:t>of</w:t>
      </w:r>
      <w:r w:rsidR="00C64050">
        <w:rPr>
          <w:szCs w:val="20"/>
        </w:rPr>
        <w:t xml:space="preserve"> </w:t>
      </w:r>
      <w:r w:rsidRPr="00BF61EC">
        <w:rPr>
          <w:szCs w:val="20"/>
        </w:rPr>
        <w:t>Trust</w:t>
      </w:r>
      <w:r w:rsidR="00C64050">
        <w:rPr>
          <w:szCs w:val="20"/>
        </w:rPr>
        <w:t xml:space="preserve"> </w:t>
      </w:r>
      <w:r w:rsidRPr="00BF61EC">
        <w:rPr>
          <w:szCs w:val="20"/>
        </w:rPr>
        <w:t>1</w:t>
      </w:r>
      <w:r w:rsidR="00C64050">
        <w:rPr>
          <w:szCs w:val="20"/>
        </w:rPr>
        <w:t xml:space="preserve"> </w:t>
      </w:r>
      <w:r w:rsidRPr="00BF61EC">
        <w:rPr>
          <w:szCs w:val="20"/>
        </w:rPr>
        <w:t>or</w:t>
      </w:r>
      <w:r w:rsidR="00C64050">
        <w:rPr>
          <w:szCs w:val="20"/>
        </w:rPr>
        <w:t xml:space="preserve"> </w:t>
      </w:r>
      <w:r w:rsidRPr="00BF61EC">
        <w:rPr>
          <w:szCs w:val="20"/>
        </w:rPr>
        <w:t>Trust</w:t>
      </w:r>
      <w:r w:rsidR="00C64050">
        <w:rPr>
          <w:szCs w:val="20"/>
        </w:rPr>
        <w:t xml:space="preserve"> </w:t>
      </w:r>
      <w:r w:rsidRPr="00BF61EC">
        <w:rPr>
          <w:szCs w:val="20"/>
        </w:rPr>
        <w:t>2.</w:t>
      </w:r>
    </w:p>
    <w:p w:rsidR="00EA1F10" w:rsidRDefault="00EA1F10" w:rsidP="00EA1F10">
      <w:pPr>
        <w:pStyle w:val="Body15"/>
      </w:pPr>
      <w:r>
        <w:t>The</w:t>
      </w:r>
      <w:r w:rsidR="00C64050">
        <w:t xml:space="preserve"> </w:t>
      </w:r>
      <w:r>
        <w:t>ruling</w:t>
      </w:r>
      <w:r w:rsidR="00C64050">
        <w:t xml:space="preserve"> </w:t>
      </w:r>
      <w:r>
        <w:t>is</w:t>
      </w:r>
      <w:r w:rsidR="00C64050">
        <w:t xml:space="preserve"> </w:t>
      </w:r>
      <w:r>
        <w:t>one</w:t>
      </w:r>
      <w:r w:rsidR="00C64050">
        <w:t xml:space="preserve"> </w:t>
      </w:r>
      <w:r>
        <w:t>of</w:t>
      </w:r>
      <w:r w:rsidR="00C64050">
        <w:t xml:space="preserve"> </w:t>
      </w:r>
      <w:r>
        <w:t>a</w:t>
      </w:r>
      <w:r w:rsidR="00C64050">
        <w:t xml:space="preserve"> </w:t>
      </w:r>
      <w:r>
        <w:t>series.</w:t>
      </w:r>
    </w:p>
    <w:p w:rsidR="00485DB9" w:rsidRDefault="00856D6A" w:rsidP="00360554">
      <w:pPr>
        <w:pStyle w:val="Heading1"/>
        <w:rPr>
          <w:color w:val="000000"/>
        </w:rPr>
      </w:pPr>
      <w:bookmarkStart w:id="480" w:name="_Toc94704658"/>
      <w:r w:rsidRPr="00454670">
        <w:rPr>
          <w:color w:val="000000"/>
        </w:rPr>
        <w:t>SECTIONS</w:t>
      </w:r>
      <w:r w:rsidR="00C64050">
        <w:rPr>
          <w:color w:val="000000"/>
        </w:rPr>
        <w:t xml:space="preserve"> </w:t>
      </w:r>
      <w:r w:rsidRPr="00454670">
        <w:rPr>
          <w:color w:val="000000"/>
        </w:rPr>
        <w:t>61,</w:t>
      </w:r>
      <w:r w:rsidR="00C64050">
        <w:rPr>
          <w:color w:val="000000"/>
        </w:rPr>
        <w:t xml:space="preserve"> </w:t>
      </w:r>
      <w:r w:rsidRPr="00454670">
        <w:rPr>
          <w:color w:val="000000"/>
        </w:rPr>
        <w:t>83,</w:t>
      </w:r>
      <w:r w:rsidR="00C64050">
        <w:rPr>
          <w:color w:val="000000"/>
        </w:rPr>
        <w:t xml:space="preserve"> </w:t>
      </w:r>
      <w:r w:rsidRPr="00454670">
        <w:rPr>
          <w:color w:val="000000"/>
        </w:rPr>
        <w:t>409A,</w:t>
      </w:r>
      <w:r w:rsidR="00C64050">
        <w:rPr>
          <w:color w:val="000000"/>
        </w:rPr>
        <w:t xml:space="preserve"> </w:t>
      </w:r>
      <w:r w:rsidRPr="00454670">
        <w:rPr>
          <w:color w:val="000000"/>
        </w:rPr>
        <w:t>2042</w:t>
      </w:r>
      <w:r w:rsidR="00C64050">
        <w:rPr>
          <w:color w:val="000000"/>
        </w:rPr>
        <w:t xml:space="preserve"> </w:t>
      </w:r>
      <w:r w:rsidRPr="00454670">
        <w:rPr>
          <w:color w:val="000000"/>
        </w:rPr>
        <w:t>AND</w:t>
      </w:r>
      <w:r w:rsidR="00C64050">
        <w:rPr>
          <w:color w:val="000000"/>
        </w:rPr>
        <w:t xml:space="preserve"> </w:t>
      </w:r>
      <w:r w:rsidRPr="00454670">
        <w:rPr>
          <w:color w:val="000000"/>
        </w:rPr>
        <w:t>7872</w:t>
      </w:r>
      <w:r w:rsidR="00C64050">
        <w:rPr>
          <w:color w:val="000000"/>
        </w:rPr>
        <w:t xml:space="preserve"> </w:t>
      </w:r>
      <w:r w:rsidRPr="00454670">
        <w:rPr>
          <w:color w:val="000000"/>
        </w:rPr>
        <w:t>-</w:t>
      </w:r>
      <w:r w:rsidR="00C64050">
        <w:rPr>
          <w:color w:val="000000"/>
        </w:rPr>
        <w:t xml:space="preserve"> </w:t>
      </w:r>
      <w:r w:rsidRPr="00454670">
        <w:rPr>
          <w:color w:val="000000"/>
        </w:rPr>
        <w:t>LIFE</w:t>
      </w:r>
      <w:r w:rsidR="00C64050">
        <w:rPr>
          <w:color w:val="000000"/>
        </w:rPr>
        <w:t xml:space="preserve"> </w:t>
      </w:r>
      <w:r w:rsidRPr="00454670">
        <w:rPr>
          <w:color w:val="000000"/>
        </w:rPr>
        <w:t>INSURANCE</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F36C6F" w:rsidRPr="00DB0F17" w:rsidRDefault="00F36C6F" w:rsidP="00DD5B8E">
      <w:pPr>
        <w:pStyle w:val="Heading20"/>
        <w:numPr>
          <w:ilvl w:val="1"/>
          <w:numId w:val="41"/>
        </w:numPr>
        <w:tabs>
          <w:tab w:val="clear" w:pos="2700"/>
        </w:tabs>
        <w:ind w:left="0"/>
        <w:rPr>
          <w:vanish/>
          <w:lang w:eastAsia="en-GB"/>
          <w:specVanish/>
        </w:rPr>
      </w:pPr>
      <w:bookmarkStart w:id="481" w:name="_Toc17118676"/>
      <w:bookmarkStart w:id="482" w:name="_Toc94704659"/>
      <w:r w:rsidRPr="00DB0F17">
        <w:rPr>
          <w:b/>
          <w:u w:val="single"/>
        </w:rPr>
        <w:t>Analysis of Split Dollar Plan</w:t>
      </w:r>
      <w:bookmarkEnd w:id="481"/>
      <w:bookmarkEnd w:id="482"/>
    </w:p>
    <w:p w:rsidR="00F36C6F" w:rsidRDefault="00F36C6F" w:rsidP="00DB0F17">
      <w:pPr>
        <w:pStyle w:val="Heading2Body"/>
      </w:pPr>
      <w:r>
        <w:t xml:space="preserve">.  </w:t>
      </w:r>
      <w:r>
        <w:rPr>
          <w:u w:val="single"/>
        </w:rPr>
        <w:t>Estate of Clara M. Morrissette v. Commissioner</w:t>
      </w:r>
      <w:r>
        <w:t>, 146 T.C. 1</w:t>
      </w:r>
      <w:r w:rsidR="0035039F">
        <w:t>7</w:t>
      </w:r>
      <w:r>
        <w:t>1 (2016) confronts directly the gift tax consequences of split-dollar life insurance plans.  Before turning to the specific arrangement before the court, it is instructive to read the court’s understanding of split-dollar insurance and the 2003 final regulations.  The opinion states:</w:t>
      </w:r>
    </w:p>
    <w:p w:rsidR="00F36C6F" w:rsidRDefault="00F36C6F" w:rsidP="00F36C6F">
      <w:pPr>
        <w:pStyle w:val="QS10"/>
        <w:rPr>
          <w:lang w:eastAsia="en-GB"/>
        </w:rPr>
      </w:pPr>
      <w:r>
        <w:t xml:space="preserve">The IRS issued final regulations in September 2003 that govern all split-dollar life insurance arrangements entered into or materially modified after September 17, 2003 (final regulations). The final regulations define a split-dollar life insurance arrangement as an arrangement between an owner and a nonowner of a life insurance contract in which: (i) either party to the arrangement pays, directly or indirectly, all or a portion of the premiums on the life insurance contract; and (ii) the party paying for the premiums is entitled to recover all or any portion of those premiums, and such recovery is to be made from, or is secured by, the proceeds of the life insurance contract. </w:t>
      </w:r>
      <w:r>
        <w:rPr>
          <w:u w:val="single"/>
        </w:rPr>
        <w:t>Id.</w:t>
      </w:r>
      <w:r>
        <w:t xml:space="preserve"> para. (b)(1).</w:t>
      </w:r>
    </w:p>
    <w:p w:rsidR="00F36C6F" w:rsidRDefault="00F36C6F" w:rsidP="00F36C6F">
      <w:pPr>
        <w:pStyle w:val="QS10"/>
        <w:jc w:val="center"/>
        <w:rPr>
          <w:lang w:eastAsia="en-GB"/>
        </w:rPr>
      </w:pPr>
      <w:r>
        <w:rPr>
          <w:lang w:eastAsia="en-GB"/>
        </w:rPr>
        <w:t>***</w:t>
      </w:r>
    </w:p>
    <w:p w:rsidR="00F36C6F" w:rsidRDefault="00F36C6F" w:rsidP="00F36C6F">
      <w:pPr>
        <w:pStyle w:val="QS10"/>
        <w:rPr>
          <w:lang w:eastAsia="en-GB"/>
        </w:rPr>
      </w:pPr>
      <w:r>
        <w:rPr>
          <w:lang w:eastAsia="en-GB"/>
        </w:rPr>
        <w:t xml:space="preserve">The final regulations provide two mutually exclusive regimes for taxing split-dollar life insurance arrangements entered into (or materially modified) after September 17, 2003, either the economic benefit regime or the loan regime. Id. subpara. (3)(i); </w:t>
      </w:r>
      <w:r>
        <w:rPr>
          <w:u w:val="single"/>
          <w:lang w:eastAsia="en-GB"/>
        </w:rPr>
        <w:t>see Our Country Home Enters., Inc. v. Commissioner</w:t>
      </w:r>
      <w:r>
        <w:rPr>
          <w:lang w:eastAsia="en-GB"/>
        </w:rPr>
        <w:t>, 145 T.C. __, __ (slip op. at 29) (July 13, 2015).</w:t>
      </w:r>
    </w:p>
    <w:p w:rsidR="00F36C6F" w:rsidRDefault="00F36C6F" w:rsidP="00F36C6F">
      <w:pPr>
        <w:pStyle w:val="QS10"/>
      </w:pPr>
      <w:r>
        <w:t>The determination of which regime applies to a split-dollar life insurance arrangement depends on which party owns, or is deemed to own, the life insurance policy subject to the arrangement. Generally, the person named as the owner in the insurance contract is treated as the owner of the contract. Sec. 1.61-22(c)(1), Income Tax Regs. A nonowner is any person other than the owner who has any direct or indirect interest in the contract. Id. subpara. (2).</w:t>
      </w:r>
    </w:p>
    <w:p w:rsidR="00F36C6F" w:rsidRDefault="00F36C6F" w:rsidP="00F36C6F">
      <w:pPr>
        <w:pStyle w:val="QS10"/>
        <w:jc w:val="center"/>
      </w:pPr>
      <w:r>
        <w:t>***</w:t>
      </w:r>
    </w:p>
    <w:p w:rsidR="00F36C6F" w:rsidRDefault="00F36C6F" w:rsidP="00F36C6F">
      <w:pPr>
        <w:pStyle w:val="QS10"/>
      </w:pPr>
      <w:r>
        <w:t xml:space="preserve">As an exception to the general rule, the final regulations include a special ownership rule that provides that if the only economic benefit provided under the split-dollar life insurance arrangement to the donee is current life insurance protection, then the donor will be the deemed owner of the life insurance contract, irrespective of actual policy ownership, and the economic benefit regime will apply. </w:t>
      </w:r>
      <w:r>
        <w:rPr>
          <w:u w:val="single"/>
        </w:rPr>
        <w:t>Id.</w:t>
      </w:r>
      <w:r>
        <w:t xml:space="preserve"> subpara. (1)(ii)(A)(2). If, on the other hand, the donee receives any additional economic benefit, other than current life insurance protection, then the donee will be considered the owner and the loan regime will apply. </w:t>
      </w:r>
      <w:r>
        <w:rPr>
          <w:u w:val="single"/>
        </w:rPr>
        <w:t>Id</w:t>
      </w:r>
      <w:r>
        <w:t>.</w:t>
      </w:r>
    </w:p>
    <w:p w:rsidR="00F36C6F" w:rsidRDefault="00F36C6F" w:rsidP="00F36C6F">
      <w:pPr>
        <w:pStyle w:val="QS10"/>
        <w:jc w:val="center"/>
      </w:pPr>
      <w:r>
        <w:t>***</w:t>
      </w:r>
    </w:p>
    <w:p w:rsidR="00F36C6F" w:rsidRDefault="00F36C6F" w:rsidP="00F36C6F">
      <w:pPr>
        <w:pStyle w:val="QS10"/>
      </w:pPr>
      <w:r>
        <w:t xml:space="preserve">For a split-dollar life insurance arrangement to be taxed under the economic benefit regime, the owner or deemed owner will be treated as providing an annual benefit to the nonowner in an amount equal to the value of the economic benefits provided under the arrangement, reduced by any consideration the nonowner pays for the benefits. Sec. 1.61-22(d)(1), Income Tax Regs. The value of the economic benefits provided to the nonowner for a taxable year under the arrangement is equal to the sum of (i) the cost of current life insurance protection, (ii) the amount of cash value to which the nonowner has current access during the year, and (iii) any economic benefits not otherwise described that are provided to the nonowner. </w:t>
      </w:r>
      <w:r>
        <w:rPr>
          <w:u w:val="single"/>
        </w:rPr>
        <w:t>Id</w:t>
      </w:r>
      <w:r>
        <w:t xml:space="preserve">. subpara. (2). </w:t>
      </w:r>
    </w:p>
    <w:p w:rsidR="00F36C6F" w:rsidRDefault="00F36C6F" w:rsidP="00F36C6F">
      <w:pPr>
        <w:pStyle w:val="QS10"/>
      </w:pPr>
      <w:r>
        <w:t xml:space="preserve">The cost of the current life insurance protection takes into account the life insurance premium factors that the Commissioner publishes for this purpose. </w:t>
      </w:r>
      <w:r>
        <w:rPr>
          <w:u w:val="single"/>
        </w:rPr>
        <w:t>See id</w:t>
      </w:r>
      <w:r>
        <w:t xml:space="preserve">. subpara. (3)(ii). The amount of the current life insurance protection is the death benefit of the life insurance contract (including paid-up additions) reduced by the sum of the amount payable to the owner plus the portion of the cash value taxable to (or paid for by) the nonowner. </w:t>
      </w:r>
      <w:r>
        <w:rPr>
          <w:u w:val="single"/>
        </w:rPr>
        <w:t>See id</w:t>
      </w:r>
      <w:r>
        <w:t>. subdiv. (i). The amount of the insurance policy cash value is determined disregarding surrender charges or other similar charges or reductions and including insurance policy cash value attributable to paid-up additions. See id. subpara. (4)(i).</w:t>
      </w:r>
    </w:p>
    <w:p w:rsidR="00F36C6F" w:rsidRDefault="00F36C6F" w:rsidP="00F36C6F">
      <w:pPr>
        <w:pStyle w:val="QS10"/>
        <w:jc w:val="center"/>
      </w:pPr>
      <w:r>
        <w:t>***</w:t>
      </w:r>
    </w:p>
    <w:p w:rsidR="00F36C6F" w:rsidRDefault="00F36C6F" w:rsidP="00F36C6F">
      <w:pPr>
        <w:pStyle w:val="QS10"/>
      </w:pPr>
      <w:r>
        <w:t xml:space="preserve">The final regulations provide that the nonowner has current access to any portion of the policy cash value to which the nonowner (i) has a current or future right and (ii) that currently is directly or indirectly accessible by the nonowner, inaccessible to the owner, or inaccessible to the owner's general creditors. </w:t>
      </w:r>
      <w:r>
        <w:rPr>
          <w:u w:val="single"/>
        </w:rPr>
        <w:t>Id</w:t>
      </w:r>
      <w:r>
        <w:t>. subdiv. (ii).</w:t>
      </w:r>
    </w:p>
    <w:p w:rsidR="00F36C6F" w:rsidRDefault="00F36C6F" w:rsidP="00F36C6F">
      <w:pPr>
        <w:pStyle w:val="Body15"/>
        <w:rPr>
          <w:lang w:eastAsia="en-GB"/>
        </w:rPr>
      </w:pPr>
      <w:r>
        <w:rPr>
          <w:lang w:eastAsia="en-GB"/>
        </w:rPr>
        <w:t>Here, Clara M. Morrissette established a revocable trust, the Clara M. Morrissette Trust (CM</w:t>
      </w:r>
      <w:r w:rsidR="0035039F">
        <w:rPr>
          <w:lang w:eastAsia="en-GB"/>
        </w:rPr>
        <w:t>M</w:t>
      </w:r>
      <w:r>
        <w:rPr>
          <w:lang w:eastAsia="en-GB"/>
        </w:rPr>
        <w:t xml:space="preserve"> Trust), and contributed her shares in the Interstate Group (a family corporation) to the trust.  In 2006 the CMM Trust entered split-dollar insurance arrangements with three Dynasty Trusts established, one for each of her three sons.  The CMM Trust contributed $29.9 million to the three trusts to purchase universal life insurance policies for the sons.</w:t>
      </w:r>
    </w:p>
    <w:p w:rsidR="00F36C6F" w:rsidRDefault="00F36C6F" w:rsidP="00F36C6F">
      <w:pPr>
        <w:pStyle w:val="QS10"/>
        <w:rPr>
          <w:lang w:eastAsia="en-GB"/>
        </w:rPr>
      </w:pPr>
      <w:r>
        <w:t>To provide the Dynasty Trusts with the resources to purchase the Interstate Group stock held by or on behalf of a decedent, each Dynasty Trust purchased two universal life insurance policies, one on the life of each other brother. On October 4, 2006, (i) the Arthur Dynasty Trust purchased two universal life insurance policies, one on the life of Donald and one on the life of Kenneth; (ii) the Donald Dynasty Trust purchased two universal life insurance policies, one on the life of Arthur and one on the life of Kenneth; and (iii) the Kenneth Dynasty Trust purchased two universal life insurance policies, one on the life of Arthur and one on the life of Donald.</w:t>
      </w:r>
    </w:p>
    <w:p w:rsidR="00F36C6F" w:rsidRDefault="00F36C6F" w:rsidP="00F36C6F">
      <w:pPr>
        <w:pStyle w:val="Body15"/>
        <w:rPr>
          <w:lang w:eastAsia="en-GB"/>
        </w:rPr>
      </w:pPr>
      <w:r>
        <w:rPr>
          <w:lang w:eastAsia="en-GB"/>
        </w:rPr>
        <w:t>The opinion described the split-dollar terms as follows:</w:t>
      </w:r>
    </w:p>
    <w:p w:rsidR="00F36C6F" w:rsidRDefault="00F36C6F" w:rsidP="00F36C6F">
      <w:pPr>
        <w:pStyle w:val="QS10"/>
      </w:pPr>
      <w:r>
        <w:t>To fund the purchase of the policies, each Dynasty Trust and the CMM Trust entered into two split-dollar life insurance arrangements (each a split-dollar life insurance arrangement, and collectively, split-dollar life insurance arrangements) on October 31, 2006, to set forth the rights of the respective parties with respect to the policies. The CMM Trust contributed (i) $9.96 million to the Arthur Dynasty Trust, (ii) $9.98 million to the Donald Dynasty Trust, and (iii) $9.96 million to the Kenneth Dynasty Trust. The Dynasty Trusts then used that money to pay a lump-sum premium on each policy to maintain that policy for the insured's projected life expectancy.</w:t>
      </w:r>
    </w:p>
    <w:p w:rsidR="00F36C6F" w:rsidRDefault="00F36C6F" w:rsidP="00F36C6F">
      <w:pPr>
        <w:pStyle w:val="QS10"/>
      </w:pPr>
      <w:r>
        <w:t>Under the split-dollar life insurance arrangements, upon the death of the insured the CMM Trust would receive a portion of the death benefit from the respective policy insuring the life of the deceased equal to the greater of (i) the cash surrender value (CSV) of that policy, or (ii) the aggregate premium payments on that policy (each a receivable, and collectively, receivables). Each Dynasty Trust would receive the balance of the death benefit under the policy it owns on the life of the deceased, which would be available to fund the purchase of the stock owned by or for the benefit of the deceased. If a split-dollar life insurance arrangement terminates for any reason during the lifetime of the insured, the CMM Trust would have the unqualified right to receive the greater of (i) the total amount of the premiums paid or (ii) the CSV of the policy, and the Dynasty Trust would not receive anything from the policy.</w:t>
      </w:r>
    </w:p>
    <w:p w:rsidR="00F36C6F" w:rsidRDefault="00F36C6F" w:rsidP="00F36C6F">
      <w:pPr>
        <w:pStyle w:val="QS10"/>
      </w:pPr>
      <w:r>
        <w:t>Each split-dollar life insurance arrangement includes the following recital: "WHEREAS, the parties intend that this Agreement be taxed under the economic benefit regime of the Split-Dollar Final Regulations, and that the only economic benefit provided to the [Dynasty] Trust[s] under this arrangement is current life insurance protection."</w:t>
      </w:r>
    </w:p>
    <w:p w:rsidR="00F36C6F" w:rsidRDefault="00F36C6F" w:rsidP="00F36C6F">
      <w:pPr>
        <w:pStyle w:val="QS10"/>
      </w:pPr>
      <w:r>
        <w:t>Additionally, the Dynasty Trusts executed collateral assignments of the policies to the CMM Trust to secure payment of the amounts owed to the CMM Trust. Neither the Dynasty Trusts nor the CMM Trust retained the right to borrow against a policy.</w:t>
      </w:r>
    </w:p>
    <w:p w:rsidR="00F36C6F" w:rsidRDefault="00F36C6F" w:rsidP="00F36C6F">
      <w:pPr>
        <w:pStyle w:val="Body15"/>
        <w:rPr>
          <w:lang w:eastAsia="en-GB"/>
        </w:rPr>
      </w:pPr>
      <w:r>
        <w:rPr>
          <w:lang w:eastAsia="en-GB"/>
        </w:rPr>
        <w:t>The court noted that the Preamble to the final regulations contained an example like this transaction:</w:t>
      </w:r>
    </w:p>
    <w:p w:rsidR="00F36C6F" w:rsidRDefault="00F36C6F" w:rsidP="00F36C6F">
      <w:pPr>
        <w:pStyle w:val="QS10"/>
      </w:pPr>
      <w:r>
        <w:t xml:space="preserve">As a threshold matter, the preamble to the final regulations includes an example that is structured identically to the split-dollar life insurance arrangements at issue. The preamble distinguishes between a donor, or the donor's estate, who is entitled to receive an amount equal to the </w:t>
      </w:r>
      <w:r>
        <w:rPr>
          <w:u w:val="single"/>
        </w:rPr>
        <w:t>greater</w:t>
      </w:r>
      <w:r>
        <w:t xml:space="preserve"> of the aggregate premiums paid by the donor or the CSV of the contract and a donor, or the donor's estate, who is entitled to receive the </w:t>
      </w:r>
      <w:r>
        <w:rPr>
          <w:u w:val="single"/>
        </w:rPr>
        <w:t>lesser</w:t>
      </w:r>
      <w:r>
        <w:t xml:space="preserve"> of those two values. T.D. 9092, sec. 5, Gift Tax Treatment of Split-Dollar Life Insurance Arrangements, 2003-2 C.B. 1055, 1062. In the former situation, the donor makes a gift to the donee equal to the cost of the current life insurance protection provided less any premium amount paid by the donee. </w:t>
      </w:r>
      <w:r>
        <w:rPr>
          <w:u w:val="single"/>
        </w:rPr>
        <w:t>Id.</w:t>
      </w:r>
      <w:r>
        <w:t xml:space="preserve"> In the latter situation, the value of the donor's gift of economic benefits equals the cost of current life insurance protection provided, the amount of policy cash value to which the trust has current access, and the value of any other economic benefits, less the amount of premiums paid by the donee. </w:t>
      </w:r>
      <w:r>
        <w:rPr>
          <w:u w:val="single"/>
        </w:rPr>
        <w:t>Id.</w:t>
      </w:r>
      <w:r>
        <w:t xml:space="preserve"> Thus, it follows that where a donor is to receive the greater of the aggregate premiums paid or the CSV of the contract, the possibility of the donee receiving an additional economic benefit is foreclosed.</w:t>
      </w:r>
    </w:p>
    <w:p w:rsidR="00F36C6F" w:rsidRDefault="00F36C6F" w:rsidP="00F36C6F">
      <w:pPr>
        <w:pStyle w:val="QS10"/>
      </w:pPr>
      <w:r>
        <w:t xml:space="preserve">We are aware that the Court has previously been unpersuaded by a preamble to regulations. </w:t>
      </w:r>
      <w:r>
        <w:rPr>
          <w:u w:val="single"/>
        </w:rPr>
        <w:t>See Allen v. Commissioner</w:t>
      </w:r>
      <w:r>
        <w:t xml:space="preserve">, 118 T.C. 1, 17 n.12 (2002) ("In addition to the obvious fact that these documents also are not items of legislative history, these documents are afforded little weight in this Court." (citing </w:t>
      </w:r>
      <w:r>
        <w:rPr>
          <w:u w:val="single"/>
        </w:rPr>
        <w:t>Dobin v. Commissioner</w:t>
      </w:r>
      <w:r>
        <w:t xml:space="preserve">, 73 T.C. 1121, 1127 n.9 (1980))). We are not bound by the preamble, but because it is an agency's interpretation of its statute, we apply the standard enunciated by the Supreme Court in </w:t>
      </w:r>
      <w:r>
        <w:rPr>
          <w:u w:val="single"/>
        </w:rPr>
        <w:t>Skidmore v. Swift &amp; Co.</w:t>
      </w:r>
      <w:r>
        <w:t xml:space="preserve">, 323 U.S. 134, 140 (1944). Therefore, the Commissioner is entitled to at least the lowest level of deference in interpreting his own regulations and their statutes. </w:t>
      </w:r>
      <w:r>
        <w:rPr>
          <w:u w:val="single"/>
        </w:rPr>
        <w:t>See United States v. Mead Corp.</w:t>
      </w:r>
      <w:r>
        <w:t xml:space="preserve">, 533 U.S. 218, 221 (2001); </w:t>
      </w:r>
      <w:r>
        <w:rPr>
          <w:u w:val="single"/>
        </w:rPr>
        <w:t>ADVO, Inc. v. Commissioner</w:t>
      </w:r>
      <w:r>
        <w:t xml:space="preserve">, 141 T.C. 298, 322 (2013); </w:t>
      </w:r>
      <w:r>
        <w:rPr>
          <w:u w:val="single"/>
        </w:rPr>
        <w:t>Armco, Inc. v. Commissioner</w:t>
      </w:r>
      <w:r>
        <w:t>, 87 T.C. 865, 868 (1986) (explaining how a preamble is drafted and that it is a statement of intent that represents the institutional viewpoint). Here, however, the preamble is consistent with the estate's interpretation of the statute and contrary to respondent's position. While we find the logic of the preamble sound, to be thorough we will articulate why, under the final regulations, the economic benefit regime applies.</w:t>
      </w:r>
    </w:p>
    <w:p w:rsidR="00F36C6F" w:rsidRDefault="00F36C6F" w:rsidP="00F36C6F">
      <w:pPr>
        <w:pStyle w:val="Body15"/>
        <w:rPr>
          <w:lang w:eastAsia="en-GB"/>
        </w:rPr>
      </w:pPr>
      <w:r>
        <w:rPr>
          <w:lang w:eastAsia="en-GB"/>
        </w:rPr>
        <w:t>Here, the court found the special ownership rule would apply because the Dynasty Trusts had no access to cash value:</w:t>
      </w:r>
    </w:p>
    <w:p w:rsidR="00F36C6F" w:rsidRDefault="00F36C6F" w:rsidP="00F36C6F">
      <w:pPr>
        <w:pStyle w:val="QS10"/>
      </w:pPr>
      <w:r>
        <w:t>For the Dynasty Trusts to have current access under the final regulations, the Dynasty Trusts must first have a current or future right to any portion of the policy cash value. The split-dollar life insurance arrangements are structured so that upon the termination of a split-dollar life insurance arrangement during the lifetime of the insured, 100% of the CSV (including CSV attributable to premiums paid by the Dynasty Trusts) would be paid to the CMM Trust. Additionally, if a split-dollar life insurance arrangement were to terminate as a result of the death of the insured, the Dynasty Trusts would be entitled to receive only that portion of the death benefit of the policy in excess of the receivable payable to the CMM Trust. Accordingly, under the split-dollar life insurance arrangements the Dynasty Trusts had no current or future right to any portion of the policy cash value, and thus, no current access under the regulations.</w:t>
      </w:r>
    </w:p>
    <w:p w:rsidR="00F36C6F" w:rsidRDefault="00F36C6F" w:rsidP="00F36C6F">
      <w:pPr>
        <w:pStyle w:val="QS10"/>
      </w:pPr>
      <w:r>
        <w:t>Respondent argues that the Dynasty Trusts had a direct or indirect right in the cash values of the insurance policies by virtue of the terms of the 2006 Amendment to the CMM Trust. Under that amendment, the CMM Trust's interest in the cash values of the policies would pass to the Dynasty Trusts or directly to Mrs. Morrissette's sons or their heirs upon her death. However, because the CMM Trust was a revocable trust with respect to Mrs. Morrissette, she retained an absolute right to alter the CMM Trust throughout her lifetime. Accordingly, the Dynasty Trusts did not have a legally enforceable right to the cash values of the policies during the lifetime of the grantor. Furthermore, the split-dollar life insurance arrangements did not require the CMM Trust to distribute the receivables to the Dynasty Trusts. Rather, Mrs. Morrissette retained the right to receipt of the receivables.</w:t>
      </w:r>
    </w:p>
    <w:p w:rsidR="00F36C6F" w:rsidRDefault="00F36C6F" w:rsidP="00F36C6F">
      <w:pPr>
        <w:pStyle w:val="Body15"/>
        <w:rPr>
          <w:lang w:eastAsia="en-GB"/>
        </w:rPr>
      </w:pPr>
      <w:r>
        <w:rPr>
          <w:lang w:eastAsia="en-GB"/>
        </w:rPr>
        <w:t>The IRS also argued this plan was analogous to reverse-split dollar plans:</w:t>
      </w:r>
    </w:p>
    <w:p w:rsidR="00F36C6F" w:rsidRDefault="00F36C6F" w:rsidP="00F36C6F">
      <w:pPr>
        <w:pStyle w:val="QS10"/>
      </w:pPr>
      <w:r>
        <w:t>Respondent argues that the circumstances referenced in Notice 2002-59, 2002-2 C.B. 481, apply to the split-dollar life insurance arrangements at issue prohibiting the use of the economic benefit regime. Notice 2002-59, sec. 3.01, 2002-2 C.B. at 482, states:</w:t>
      </w:r>
    </w:p>
    <w:p w:rsidR="00F36C6F" w:rsidRDefault="00F36C6F" w:rsidP="00F36C6F">
      <w:pPr>
        <w:pStyle w:val="QS10"/>
        <w:ind w:left="2160"/>
      </w:pPr>
      <w:r>
        <w:t>Treasury and the Service understand that, under certain split-dollar life insurance arrangements (some of which are referred to as "reverse" split-dollar), one party holding a right to current life insurance protection uses inappropriately high current term insurance rates, prepayment of premiums, or other techniques to confer policy benefits other than current life insurance protection on another party. The use of such techniques by any party to understate the value of these other policy benefits distorts the income, employment, or gift tax consequences of the arrangement and does not conform to, and is not permitted by, any published guidance.</w:t>
      </w:r>
    </w:p>
    <w:p w:rsidR="00F36C6F" w:rsidRDefault="00F36C6F" w:rsidP="00F36C6F">
      <w:pPr>
        <w:pStyle w:val="QS10"/>
        <w:rPr>
          <w:lang w:eastAsia="en-GB"/>
        </w:rPr>
      </w:pPr>
      <w:r>
        <w:t xml:space="preserve">Notice 2002-59, </w:t>
      </w:r>
      <w:r>
        <w:rPr>
          <w:u w:val="single"/>
        </w:rPr>
        <w:t>supra</w:t>
      </w:r>
      <w:r>
        <w:t>, is mainly focused on reverse split-dollar life insurance arrangements. Under a typical reverse split-dollar life insurance arrangement, an irrevocable life insurance trust (ILIT) purchases a large life insurance policy, and the insured and the ILIT enters into a split-dollar life insurance arrangement. Under this arrangement, the insured is entitled to the policy's death benefit and in return pays the ILIT the greater of the actual cost of one-year term insurance or the P.S. 58 rate.</w:t>
      </w:r>
      <w:r>
        <w:rPr>
          <w:sz w:val="16"/>
          <w:szCs w:val="16"/>
          <w:vertAlign w:val="superscript"/>
        </w:rPr>
        <w:t>6</w:t>
      </w:r>
      <w:r>
        <w:t xml:space="preserve"> This arrangement is the opposite of the typical split-dollar life insurance arrangement and thus is referred to as "reverse split-dollar". Because life insurance costs have decreased substantially since the P.S. 58 rates were set by the IRS, the insured's payment of economic benefits using the P.S. 58 rates would be substantially greater than the actual mortality charges incurred by the ILIT. With a large policy, the insured could transfer significant sums to the ILIT and, on the basis of older IRS rulings, incur little or no gift tax costs. In the most abusive cases, the insured would prepay the P.S. 58 economic benefit amounts for several years. After a few years, the parties usually terminate the arrangement. The ILIT, flush with cash from the excess payments from the insured, either maintains the policy or cashes it out.</w:t>
      </w:r>
    </w:p>
    <w:p w:rsidR="00F36C6F" w:rsidRDefault="00F36C6F" w:rsidP="00F36C6F">
      <w:pPr>
        <w:pStyle w:val="QS10"/>
        <w:jc w:val="center"/>
        <w:rPr>
          <w:lang w:eastAsia="en-GB"/>
        </w:rPr>
      </w:pPr>
      <w:r>
        <w:rPr>
          <w:lang w:eastAsia="en-GB"/>
        </w:rPr>
        <w:t>***</w:t>
      </w:r>
    </w:p>
    <w:p w:rsidR="00F36C6F" w:rsidRDefault="00F36C6F" w:rsidP="00F36C6F">
      <w:pPr>
        <w:pStyle w:val="QS10"/>
      </w:pPr>
      <w:r>
        <w:t xml:space="preserve">The split-dollar life insurance arrangements between the CMM Trust and the Dynasty Trusts bear no resemblance to the transactions Notice 2002-59, </w:t>
      </w:r>
      <w:r>
        <w:rPr>
          <w:u w:val="single"/>
        </w:rPr>
        <w:t>supra</w:t>
      </w:r>
      <w:r>
        <w:t>, is prohibiting. Mrs. Morrissette, who was 94 at the time she set into motion these arrangements, wanted the Interstate Group to remain in her family. To that end, she caused the CMM Trust to pay a lump-sum premium, through the Dynasty Trusts, on the life insurance policies held on the lives of her sons, the proceeds of which would be employed to purchase the stock held by each of her sons upon his death. Unlike the reverse split-dollar life insurance arrangements described in the notice, the receivables the CMM Trust obtained in exchange for its advances provided the CMM Trust sole access to the CSV of the policies.</w:t>
      </w:r>
    </w:p>
    <w:p w:rsidR="00F36C6F" w:rsidRDefault="00F36C6F" w:rsidP="00F36C6F">
      <w:pPr>
        <w:pStyle w:val="QS10"/>
      </w:pPr>
      <w:r>
        <w:t xml:space="preserve">Additionally, respondent argues that the "prepaid premiums" pay not only for current insurance protection, but also for future protection, which is a benefit other than current life insurance protection and requires that the arrangement be taxed under the loan regime. This position relies on Notice 2002-59, </w:t>
      </w:r>
      <w:r>
        <w:rPr>
          <w:u w:val="single"/>
        </w:rPr>
        <w:t>supra</w:t>
      </w:r>
      <w:r>
        <w:t>, for the proposition that prepayment of future premiums (by paying a single premium) confers policy benefits other than current life insurance protection. This assertion, however, assumes that the Dynasty Trusts would otherwise be required to pay the premiums. Under the split-dollar life insurance arrangements, the Dynasty Trusts are not required, but are permitted, to pay any portion of the policies' premiums. The split-dollar life insurance arrangements were structured such that the CMM Trust was obligated to pay all the premiums. Thus, under the split-dollar life insurance arrangements, regardless of how the CMM Trust elected to pay the premiums (whether in one lump sum or over any number of installments), the CMM Trust would not relieve the Dynasty Trusts of any obligation to pay premiums because the Dynasty Trusts were not required to pay any premiums.</w:t>
      </w:r>
    </w:p>
    <w:p w:rsidR="00F36C6F" w:rsidRDefault="00F36C6F" w:rsidP="00F36C6F">
      <w:pPr>
        <w:pStyle w:val="Body15"/>
      </w:pPr>
      <w:r>
        <w:t xml:space="preserve">The risk to the taxpayer in these transactions is that the IRS will succeed on a claim that the prepaid premiums are a gift.  The risk may be mitigated if a net gift is made.  In </w:t>
      </w:r>
      <w:r>
        <w:rPr>
          <w:u w:val="single"/>
        </w:rPr>
        <w:t>Estate of Levine</w:t>
      </w:r>
      <w:r>
        <w:t xml:space="preserve">, T.C. No. 9345-15 (2016), the court followed </w:t>
      </w:r>
      <w:r>
        <w:rPr>
          <w:u w:val="single"/>
        </w:rPr>
        <w:t>Morrissette</w:t>
      </w:r>
      <w:r>
        <w:t xml:space="preserve"> because all parties agreed it controlled.</w:t>
      </w:r>
    </w:p>
    <w:p w:rsidR="00F36C6F" w:rsidRDefault="00F36C6F" w:rsidP="00F36C6F">
      <w:pPr>
        <w:pStyle w:val="Body15"/>
      </w:pPr>
      <w:r>
        <w:t xml:space="preserve">The Tax Court denied the taxpayer’s motions for summary judgement on the application of section 2036, 2038, and 2703 to split-dollar policies in </w:t>
      </w:r>
      <w:r>
        <w:rPr>
          <w:u w:val="single"/>
        </w:rPr>
        <w:t>Cahill v. Commissioner</w:t>
      </w:r>
      <w:r>
        <w:t>, T.C. Memo. 2018-84.  The court reviewed its understanding of the facts as follows:</w:t>
      </w:r>
    </w:p>
    <w:p w:rsidR="00F36C6F" w:rsidRDefault="00F36C6F" w:rsidP="00F36C6F">
      <w:pPr>
        <w:pStyle w:val="QS10"/>
        <w:rPr>
          <w:color w:val="000000" w:themeColor="text1"/>
        </w:rPr>
      </w:pPr>
      <w:r>
        <w:rPr>
          <w:color w:val="000000" w:themeColor="text1"/>
        </w:rPr>
        <w:t>In exchange for decedent's payment of $10 million as premiums on the policies for MB Trust's benefit, decedent</w:t>
      </w:r>
      <w:hyperlink r:id="rId331" w:anchor="co_footnote_B00052044771917" w:history="1">
        <w:r>
          <w:rPr>
            <w:rStyle w:val="Hyperlink"/>
            <w:color w:val="000000" w:themeColor="text1"/>
            <w:vertAlign w:val="superscript"/>
          </w:rPr>
          <w:t>5</w:t>
        </w:r>
      </w:hyperlink>
      <w:r>
        <w:rPr>
          <w:color w:val="000000" w:themeColor="text1"/>
        </w:rPr>
        <w:t xml:space="preserve"> received (and continued to own until he died) the right to terminate the split-dollar agreements in conjunction with the trustee of MB Trust. Each split-dollar agreement states that, upon termination, one of two things could happen: (1) MB Trust could opt to retain the policy, in which case decedent would immediately receive the greater of premiums paid or cash surrender value with respect to the related policy, or (2) MB Trust could decline its option to retain the policy, in which case the policy would be transferred to Northern Trust, N.A., in full or partial satisfaction of decedent's liability to Northern Trust, N.A. (We will refer to these as the termination rights.)</w:t>
      </w:r>
    </w:p>
    <w:p w:rsidR="00F36C6F" w:rsidRDefault="00F36C6F" w:rsidP="00F36C6F">
      <w:pPr>
        <w:pStyle w:val="QS10"/>
        <w:rPr>
          <w:color w:val="000000" w:themeColor="text1"/>
        </w:rPr>
      </w:pPr>
      <w:r>
        <w:rPr>
          <w:color w:val="000000" w:themeColor="text1"/>
        </w:rPr>
        <w:t xml:space="preserve">Additionally, each split-dollar agreement states that upon the death of the insured, decedent would receive the greatest of the remaining loan balance, premiums paid, or cash surrender value. (We will refer to these as decedent's death benefit rights.) MB Trust would receive any excess of the death benefits over the amount required to be paid to decedent. (We will refer to these as MB Trust's death benefit rights.) </w:t>
      </w:r>
    </w:p>
    <w:p w:rsidR="00F36C6F" w:rsidRDefault="00F36C6F" w:rsidP="00F36C6F">
      <w:pPr>
        <w:pStyle w:val="QS10"/>
        <w:rPr>
          <w:color w:val="000000" w:themeColor="text1"/>
        </w:rPr>
      </w:pPr>
      <w:r>
        <w:rPr>
          <w:color w:val="000000" w:themeColor="text1"/>
        </w:rPr>
        <w:t>On its estate tax return, the estate claimed that the aggregate value of all the rights decedent held under the split-dollar agreements, including the termination rights, was $183,700. The estate contends that (1) because decedent's right to terminate the split-dollar agreements was held in conjunction with the trustee of MB Trust and (2) because it would allegedly never make economic sense for MB Trust to allow termination of the split-dollar agreements, termination was so unlikely that the termination rights had no value as of decedent's date of death. On this basis, the estate contends that the value of decedent's interests in the split-dollar agreements is limited to the value of decedent's death benefit rights. The estate further contends that on decedent's date of death these rights were worth only $183,700, because Patrick and Shannon Cahill, the insured persons, were then projected to live for many years, with the result that decedent's rights had only a relatively small present value.</w:t>
      </w:r>
    </w:p>
    <w:p w:rsidR="00F36C6F" w:rsidRDefault="00F36C6F" w:rsidP="00F36C6F">
      <w:pPr>
        <w:pStyle w:val="QS10"/>
      </w:pPr>
      <w:r>
        <w:rPr>
          <w:color w:val="000000" w:themeColor="text1"/>
        </w:rPr>
        <w:t xml:space="preserve">In the notice of deficiency respondent adjusted the total value of decedent's rights in the split-dollar agreements from $183,700 to $9,611,624; i.e., to the aggregate cash surrender value of the policies as of decedent's date of death. In support of this adjustment, respondent presents alternative theories applying </w:t>
      </w:r>
      <w:hyperlink r:id="rId332" w:history="1">
        <w:r>
          <w:rPr>
            <w:rStyle w:val="Hyperlink"/>
            <w:color w:val="000000" w:themeColor="text1"/>
          </w:rPr>
          <w:t>sections 2036(a)(2)</w:t>
        </w:r>
      </w:hyperlink>
      <w:r>
        <w:rPr>
          <w:color w:val="000000" w:themeColor="text1"/>
        </w:rPr>
        <w:t xml:space="preserve">, </w:t>
      </w:r>
      <w:hyperlink r:id="rId333" w:history="1">
        <w:r>
          <w:rPr>
            <w:rStyle w:val="Hyperlink"/>
            <w:color w:val="000000" w:themeColor="text1"/>
          </w:rPr>
          <w:t>2038(a)(1)</w:t>
        </w:r>
      </w:hyperlink>
      <w:r>
        <w:rPr>
          <w:color w:val="000000" w:themeColor="text1"/>
        </w:rPr>
        <w:t xml:space="preserve">, and </w:t>
      </w:r>
      <w:hyperlink r:id="rId334" w:history="1">
        <w:r>
          <w:rPr>
            <w:rStyle w:val="Hyperlink"/>
            <w:color w:val="000000" w:themeColor="text1"/>
          </w:rPr>
          <w:t>2703(a)(1) and (2)</w:t>
        </w:r>
      </w:hyperlink>
      <w:r>
        <w:rPr>
          <w:color w:val="000000" w:themeColor="text1"/>
        </w:rPr>
        <w:t xml:space="preserve">. The estate seeks summary judgment that </w:t>
      </w:r>
      <w:hyperlink r:id="rId335" w:history="1">
        <w:r>
          <w:rPr>
            <w:rStyle w:val="Hyperlink"/>
            <w:color w:val="000000" w:themeColor="text1"/>
          </w:rPr>
          <w:t>sections 2036</w:t>
        </w:r>
      </w:hyperlink>
      <w:r>
        <w:rPr>
          <w:color w:val="000000" w:themeColor="text1"/>
        </w:rPr>
        <w:t xml:space="preserve">, </w:t>
      </w:r>
      <w:hyperlink r:id="rId336" w:history="1">
        <w:r>
          <w:rPr>
            <w:rStyle w:val="Hyperlink"/>
            <w:color w:val="000000" w:themeColor="text1"/>
          </w:rPr>
          <w:t>2038</w:t>
        </w:r>
      </w:hyperlink>
      <w:r>
        <w:rPr>
          <w:color w:val="000000" w:themeColor="text1"/>
        </w:rPr>
        <w:t xml:space="preserve">, and </w:t>
      </w:r>
      <w:hyperlink r:id="rId337" w:history="1">
        <w:r>
          <w:rPr>
            <w:rStyle w:val="Hyperlink"/>
            <w:color w:val="000000" w:themeColor="text1"/>
          </w:rPr>
          <w:t>2703</w:t>
        </w:r>
      </w:hyperlink>
      <w:r>
        <w:rPr>
          <w:color w:val="000000" w:themeColor="text1"/>
        </w:rPr>
        <w:t xml:space="preserve"> are inapplicable; it looks for support for its position in </w:t>
      </w:r>
      <w:hyperlink r:id="rId338" w:history="1">
        <w:r>
          <w:rPr>
            <w:rStyle w:val="Hyperlink"/>
            <w:color w:val="000000" w:themeColor="text1"/>
          </w:rPr>
          <w:t>section 1.61–22, Income Tax Regs</w:t>
        </w:r>
      </w:hyperlink>
      <w:r>
        <w:rPr>
          <w:color w:val="000000" w:themeColor="text1"/>
        </w:rPr>
        <w:t>.</w:t>
      </w:r>
    </w:p>
    <w:p w:rsidR="00F36C6F" w:rsidRDefault="00F36C6F" w:rsidP="00F36C6F">
      <w:pPr>
        <w:pStyle w:val="Body15"/>
      </w:pPr>
      <w:r>
        <w:t>The court concluded that those may, or may not, have been a bona find sale for full and adequate consideration:</w:t>
      </w:r>
    </w:p>
    <w:p w:rsidR="00F36C6F" w:rsidRDefault="00F36C6F" w:rsidP="00F36C6F">
      <w:pPr>
        <w:pStyle w:val="QS10"/>
      </w:pPr>
      <w:r>
        <w:t xml:space="preserve">There are many unresolved factual questions with respect to whether this transfer had a legitimate business purpose. For instance: (1) Were these arrangements actually intended to provide liquidity decades from now, or were they intended merely to eliminate the cash surrender value from decedent's estate? (2) The guaranteed return (3%) on the investment in the policies appears to be lower than the interest rate on the loan decedent used to purchase the policies (one month LIBOR plus 1.14%); taking into account all of the economic facts and circumstances, would this arrangement actually be capable of providing liquidity decades from now? How much liquidity, in present valued terms (i.e. valued to the date of execution)? At what cost, in present valued terms? And (3) why was an arrangement intended to provide liquidity potentially </w:t>
      </w:r>
      <w:r>
        <w:rPr>
          <w:u w:val="single"/>
        </w:rPr>
        <w:t>decades</w:t>
      </w:r>
      <w:r>
        <w:t xml:space="preserve"> from now funded with a loan that required a balloon payment of the entire principal amount after only five years? That is, if decedent was acting as a prudent business person, why did he fund a long-term obligation with a short-term loan? Because such questions remain, summary judgment is inappropriate with respect to whether decedent's transfer of $10 million was part of a bona fide sale.</w:t>
      </w:r>
    </w:p>
    <w:p w:rsidR="00F36C6F" w:rsidRDefault="00F36C6F" w:rsidP="00F36C6F">
      <w:pPr>
        <w:pStyle w:val="QS10"/>
        <w:jc w:val="center"/>
      </w:pPr>
      <w:r>
        <w:t>***</w:t>
      </w:r>
    </w:p>
    <w:p w:rsidR="00F36C6F" w:rsidRDefault="00F36C6F" w:rsidP="00F36C6F">
      <w:pPr>
        <w:pStyle w:val="QS10"/>
      </w:pPr>
      <w:r>
        <w:t xml:space="preserve">According to the estate, at decedent's date of death MB Trust's ability to veto decedent's termination of the agreements rendered the termination rights valueless. Additionally, the estate alleges that decedent's death benefit rights are worth less than 2% of the cash surrender value (i.e., $183,700 ÷&gt; $9,611,624 &lt; 2%). But MB Trust's veto power existed from the moment decedent entered into these split-dollar agreements, and nothing in the undisputed facts presently before us suggests that the terms of the split-dollar agreements were altered between execution of the agreements and decedent's date of death; consequently, this alleged 98% discount must have been present from the execution of these agreements. Therefore, </w:t>
      </w:r>
      <w:r>
        <w:rPr>
          <w:u w:val="single"/>
        </w:rPr>
        <w:t>according to the estate's valuation theory</w:t>
      </w:r>
      <w:r>
        <w:t>, the initial transfer of $10 million in value cannot have been in exchange for property worth that amount; i.e., under the estate's argument, what decedent received was necessarily worth at least 98% less than what he transferred (even without taking into account the amounts used to pay commissions and fees to the insurance company). Consequently, at least according to the estate's valuation theory, the value of what decedent received (allegedly, something close to $183,700) was not even roughly equal to the $10 million decedent paid.</w:t>
      </w:r>
    </w:p>
    <w:p w:rsidR="00F36C6F" w:rsidRDefault="00F36C6F" w:rsidP="00F36C6F">
      <w:pPr>
        <w:pStyle w:val="Body15"/>
        <w:rPr>
          <w:color w:val="000000" w:themeColor="text1"/>
        </w:rPr>
      </w:pPr>
      <w:r>
        <w:t>The court believes that section 2703 may apply on a simpl</w:t>
      </w:r>
      <w:r>
        <w:rPr>
          <w:color w:val="000000" w:themeColor="text1"/>
        </w:rPr>
        <w:t>e reading of the statute:</w:t>
      </w:r>
    </w:p>
    <w:p w:rsidR="00F36C6F" w:rsidRDefault="00F36C6F" w:rsidP="00F36C6F">
      <w:pPr>
        <w:pStyle w:val="QS10"/>
      </w:pPr>
      <w:r>
        <w:rPr>
          <w:color w:val="000000" w:themeColor="text1"/>
        </w:rPr>
        <w:t xml:space="preserve">On the basis of the undisputed facts, we conclude that under </w:t>
      </w:r>
      <w:hyperlink r:id="rId339" w:history="1">
        <w:r>
          <w:rPr>
            <w:rStyle w:val="Hyperlink"/>
            <w:color w:val="000000" w:themeColor="text1"/>
          </w:rPr>
          <w:t>section 2703(a)(1)</w:t>
        </w:r>
      </w:hyperlink>
      <w:r>
        <w:rPr>
          <w:color w:val="000000" w:themeColor="text1"/>
        </w:rPr>
        <w:t xml:space="preserve"> the split-dollar agreements, and specifically the provisions that prevent decedent </w:t>
      </w:r>
      <w:r>
        <w:t>from immediately withdrawing his investment, are agreements to acquire or use property at a price less than fair market value. The estate claims that decedent paid $10 million to the insurance companies for the benefit of MB Trust and in return received certain rights, namely, the termination rights (which the estate claims are worthless) and decedent's death benefit rights (which, according to the estate's valuation theory, are worth less than 2% of the cash surrender value). MB Trust, meanwhile, paid nothing into this arrangement and received MB Trust's death benefit rights. As best we understand the estate's valuation theory, MB Trust's death benefit rights are allegedly worth at least the cash surrender value minus the value of decedent's death benefit rights (i.e., $9,611,624—(allegedly) $183,700 = $9,427,924). Nothing in the parties' filings suggests that MB Trust ever paid, or was obligated to pay, any interest or other amount to compensate decedent for MB Trust's acquisition and use of this amount.</w:t>
      </w:r>
    </w:p>
    <w:p w:rsidR="00F36C6F" w:rsidRDefault="00F36C6F" w:rsidP="00F36C6F">
      <w:pPr>
        <w:pStyle w:val="Body15"/>
      </w:pPr>
      <w:r>
        <w:t>The court rejected an analogy of a split-dollar agreement to notes or partnership and held that 2703 may apply:</w:t>
      </w:r>
    </w:p>
    <w:p w:rsidR="00F36C6F" w:rsidRDefault="00F36C6F" w:rsidP="00F36C6F">
      <w:pPr>
        <w:pStyle w:val="QS10"/>
        <w:rPr>
          <w:color w:val="000000" w:themeColor="text1"/>
        </w:rPr>
      </w:pPr>
      <w:r>
        <w:rPr>
          <w:color w:val="000000" w:themeColor="text1"/>
        </w:rPr>
        <w:t xml:space="preserve">We note that most of the estate's arguments with respect to </w:t>
      </w:r>
      <w:hyperlink r:id="rId340" w:history="1">
        <w:r>
          <w:rPr>
            <w:rStyle w:val="Hyperlink"/>
            <w:color w:val="000000" w:themeColor="text1"/>
          </w:rPr>
          <w:t>section 2703(a)</w:t>
        </w:r>
      </w:hyperlink>
      <w:r>
        <w:rPr>
          <w:color w:val="000000" w:themeColor="text1"/>
        </w:rPr>
        <w:t xml:space="preserve"> are generally to the effect that, if </w:t>
      </w:r>
      <w:hyperlink r:id="rId341" w:history="1">
        <w:r>
          <w:rPr>
            <w:rStyle w:val="Hyperlink"/>
            <w:color w:val="000000" w:themeColor="text1"/>
          </w:rPr>
          <w:t>section 2703(a)</w:t>
        </w:r>
      </w:hyperlink>
      <w:r>
        <w:rPr>
          <w:color w:val="000000" w:themeColor="text1"/>
        </w:rPr>
        <w:t xml:space="preserve"> applies in this case, it would also apply to all sorts of other options, agreements, rights, and restrictions. For example, the estate argues that “almost every two-party agreement has a restriction that one party cannot just unilaterally terminate the agreement.” The estate's implicit claim would appear to be that its hypothetical restriction is so obviously legitimate that Congress could not have meant for </w:t>
      </w:r>
      <w:hyperlink r:id="rId342" w:history="1">
        <w:r>
          <w:rPr>
            <w:rStyle w:val="Hyperlink"/>
            <w:color w:val="000000" w:themeColor="text1"/>
          </w:rPr>
          <w:t>section 2703(a)</w:t>
        </w:r>
      </w:hyperlink>
      <w:r>
        <w:rPr>
          <w:color w:val="000000" w:themeColor="text1"/>
        </w:rPr>
        <w:t xml:space="preserve"> to apply. But </w:t>
      </w:r>
      <w:hyperlink r:id="rId343" w:history="1">
        <w:r>
          <w:rPr>
            <w:rStyle w:val="Hyperlink"/>
            <w:color w:val="000000" w:themeColor="text1"/>
          </w:rPr>
          <w:t>section 2703(b)</w:t>
        </w:r>
      </w:hyperlink>
      <w:r>
        <w:rPr>
          <w:color w:val="000000" w:themeColor="text1"/>
        </w:rPr>
        <w:t xml:space="preserve"> provides the exceptions to application of </w:t>
      </w:r>
      <w:hyperlink r:id="rId344" w:history="1">
        <w:r>
          <w:rPr>
            <w:rStyle w:val="Hyperlink"/>
            <w:color w:val="000000" w:themeColor="text1"/>
          </w:rPr>
          <w:t>section 2703(a)</w:t>
        </w:r>
      </w:hyperlink>
      <w:r>
        <w:rPr>
          <w:color w:val="000000" w:themeColor="text1"/>
        </w:rPr>
        <w:t xml:space="preserve">; in particular, </w:t>
      </w:r>
      <w:hyperlink r:id="rId345" w:history="1">
        <w:r>
          <w:rPr>
            <w:rStyle w:val="Hyperlink"/>
            <w:color w:val="000000" w:themeColor="text1"/>
          </w:rPr>
          <w:t>section 2703(b)(3)</w:t>
        </w:r>
      </w:hyperlink>
      <w:r>
        <w:rPr>
          <w:color w:val="000000" w:themeColor="text1"/>
        </w:rPr>
        <w:t xml:space="preserve"> specifically provides for comparison of the terms of the option, agreement, right, or restriction to “similar arrangements entered into by persons in an arms' length transaction.” The estate's vague and general arguments by way of comparison are therefore more appropriate as part of a section 2703(b)(3) analysis. And because the parties have yet to address whether </w:t>
      </w:r>
      <w:hyperlink r:id="rId346" w:history="1">
        <w:r>
          <w:rPr>
            <w:rStyle w:val="Hyperlink"/>
            <w:color w:val="000000" w:themeColor="text1"/>
          </w:rPr>
          <w:t>section 2703(b)</w:t>
        </w:r>
      </w:hyperlink>
      <w:r>
        <w:rPr>
          <w:color w:val="000000" w:themeColor="text1"/>
        </w:rPr>
        <w:t xml:space="preserve"> applies in this case, we decline to consider it.</w:t>
      </w:r>
    </w:p>
    <w:p w:rsidR="00F36C6F" w:rsidRDefault="00F36C6F" w:rsidP="00F36C6F">
      <w:pPr>
        <w:pStyle w:val="Body15"/>
        <w:rPr>
          <w:color w:val="000000" w:themeColor="text1"/>
        </w:rPr>
      </w:pPr>
      <w:r>
        <w:rPr>
          <w:color w:val="000000" w:themeColor="text1"/>
        </w:rPr>
        <w:t xml:space="preserve">The case of </w:t>
      </w:r>
      <w:r>
        <w:rPr>
          <w:color w:val="000000" w:themeColor="text1"/>
          <w:u w:val="single"/>
        </w:rPr>
        <w:t>Machacek v. Commissioner of the Internal Revenue</w:t>
      </w:r>
      <w:r>
        <w:rPr>
          <w:color w:val="000000" w:themeColor="text1"/>
        </w:rPr>
        <w:t>, 906 F.3d 429 (6</w:t>
      </w:r>
      <w:r>
        <w:rPr>
          <w:color w:val="000000" w:themeColor="text1"/>
          <w:vertAlign w:val="superscript"/>
        </w:rPr>
        <w:t>th</w:t>
      </w:r>
      <w:r>
        <w:rPr>
          <w:color w:val="000000" w:themeColor="text1"/>
        </w:rPr>
        <w:t xml:space="preserve"> Cir. 2018), dealt with an interesting split-dollar income tax question.  The opinion summarizes the issue as follows:</w:t>
      </w:r>
    </w:p>
    <w:p w:rsidR="00F36C6F" w:rsidRDefault="00F36C6F" w:rsidP="00F36C6F">
      <w:pPr>
        <w:pStyle w:val="QS10"/>
      </w:pPr>
      <w:r>
        <w:t>Petitioners-appellants John J. Machacek, Jr. (John Machacek) and Marianne Machacek (together, the Machaceks), a married couple, were the sole shareholders of John J. Machacek, Jr., Inc. (Machacek, Inc.), a corporation organized under Subchapter S of the Internal Revenue Code (an S corporation). John Machacek was also an employee of Machacek, Inc. The Machaceks appeal the Tax Court’s ruling requiring them to treat as income the economic benefits resulting from Machacek, Inc.’s payment of a premium on John Machacek’s life insurance policy under a compensatory split-dollar arrangement. Relying on the compensatory nature of the arrangement, the Tax Court rejected the Machaceks’ argument that the economic benefits should be treated as a shareholder distribution.</w:t>
      </w:r>
    </w:p>
    <w:p w:rsidR="00F36C6F" w:rsidRDefault="00F36C6F" w:rsidP="00F36C6F">
      <w:pPr>
        <w:pStyle w:val="QS10"/>
      </w:pPr>
      <w:r>
        <w:t>Because the Tax Court did not consider the impact of a provision of the tax regulations specifically requiring that such economic benefits be treated as shareholder distributions, we reverse the Tax Court’s decision and remand for further proceedings consistent with this opinion.</w:t>
      </w:r>
    </w:p>
    <w:p w:rsidR="00F36C6F" w:rsidRDefault="00F36C6F" w:rsidP="00F36C6F">
      <w:pPr>
        <w:pStyle w:val="QS10"/>
        <w:jc w:val="center"/>
      </w:pPr>
      <w:r>
        <w:rPr>
          <w:b/>
        </w:rPr>
        <w:t>I. Background</w:t>
      </w:r>
    </w:p>
    <w:p w:rsidR="00F36C6F" w:rsidRDefault="00F36C6F" w:rsidP="00F36C6F">
      <w:pPr>
        <w:pStyle w:val="QS10"/>
      </w:pPr>
      <w:r>
        <w:t xml:space="preserve">In 2002, Machacek, Inc. adopted the Sterling Benefit Plan in order to provide certain benefits to its employees. Pursuant to the plan, Machacek, Inc. provided John Machacek with a life insurance policy and paid the $100,000 annual premium in the 2005 tax year; both Machacek, Inc. and the Machaceks filed timely tax returns for that year. Because Machacek, Inc. is an S corporation, its income, losses, deductions, and credits are “passed through” to shareholders for tax purposes. Machacek Inc. deducted the $100,000 premium, and that amount was thus not included in the Machaceks’ individual income. The Machaceks also did not include as individual income the economic benefits flowing from the increase in value of the life insurance policy. </w:t>
      </w:r>
    </w:p>
    <w:p w:rsidR="00F36C6F" w:rsidRDefault="00F36C6F" w:rsidP="00F36C6F">
      <w:pPr>
        <w:pStyle w:val="QS10"/>
      </w:pPr>
      <w:r>
        <w:t>The Tax Court determined that Machacek, Inc. was not entitled to deduct the $100,000 premium payment. Because the $100,000 premium payment was not deductible, Machacek, Inc. underreported its income for that year and, due to the pass-through nature of S corporations, the increased income was passed through to the Machaceks, who were then required to pay income tax on that amount. The non-deductibility of the premium payment is not disputed, and the Machaceks concede that they must report the amount of the premium payment as pass-through income.</w:t>
      </w:r>
    </w:p>
    <w:p w:rsidR="00F36C6F" w:rsidRDefault="00F36C6F" w:rsidP="00F36C6F">
      <w:pPr>
        <w:pStyle w:val="QS10"/>
      </w:pPr>
      <w:r>
        <w:t>The dispute here concerns the tax treatment of the economic benefits flowing to John Machacek as a result of Machacek, Inc.’s payment of the premium. The parties dispute whether the Machaceks are required to report as taxable income—in addition to the pass-through amount of the premium—the economic benefits flowing from the increase in value of the life insurance policy caused by the payment of the premium.</w:t>
      </w:r>
      <w:hyperlink r:id="rId347" w:anchor="co_footnote_B00012045712712" w:history="1">
        <w:r>
          <w:rPr>
            <w:rStyle w:val="Hyperlink"/>
            <w:color w:val="4778C2"/>
            <w:vertAlign w:val="superscript"/>
          </w:rPr>
          <w:t>1</w:t>
        </w:r>
      </w:hyperlink>
    </w:p>
    <w:p w:rsidR="00F36C6F" w:rsidRDefault="00F36C6F" w:rsidP="00F36C6F">
      <w:pPr>
        <w:pStyle w:val="Body15"/>
        <w:rPr>
          <w:color w:val="000000" w:themeColor="text1"/>
        </w:rPr>
      </w:pPr>
      <w:r>
        <w:rPr>
          <w:color w:val="000000" w:themeColor="text1"/>
        </w:rPr>
        <w:t>The opinion is fascinating because the Court ultimately relied on a regulation uncited by either party.  The taxpayer argued for a four step analysis:</w:t>
      </w:r>
    </w:p>
    <w:p w:rsidR="00F36C6F" w:rsidRDefault="00F36C6F" w:rsidP="00F36C6F">
      <w:pPr>
        <w:pStyle w:val="QS10"/>
        <w:rPr>
          <w:color w:val="000000" w:themeColor="text1"/>
        </w:rPr>
      </w:pPr>
      <w:r>
        <w:rPr>
          <w:color w:val="000000" w:themeColor="text1"/>
        </w:rPr>
        <w:t xml:space="preserve">At the first step, the Machaceks argue that notwithstanding that the economic benefits here flowed from a compensatory split-dollar arrangement, the regulations require that the economic benefits “be treated as a ‘distribution of property’ from the corporate-owner (Machacek, Inc.) to the non-owner (Mr. Machacek).” (Appellants’ Br. at 17.) This step of the argument relies on </w:t>
      </w:r>
      <w:hyperlink r:id="rId348" w:anchor="co_pp_00ce000064fb7" w:history="1">
        <w:r>
          <w:rPr>
            <w:rStyle w:val="Hyperlink"/>
            <w:color w:val="000000" w:themeColor="text1"/>
          </w:rPr>
          <w:t>26 C.F.R. § 1.301-1(q)(1)(i)</w:t>
        </w:r>
      </w:hyperlink>
      <w:r>
        <w:rPr>
          <w:color w:val="000000" w:themeColor="text1"/>
        </w:rPr>
        <w:t>, which states that the provision of economic benefits “by a corporation to its shareholder pursuant to a split-dollar life insurance arrangement ... is treated as a distribution of property.” Neither the Machaceks nor the Commissioner addressed this regulation before the Tax Court, and the Tax Court made no mention of this regulation.</w:t>
      </w:r>
    </w:p>
    <w:p w:rsidR="00F36C6F" w:rsidRDefault="00F36C6F" w:rsidP="00F36C6F">
      <w:pPr>
        <w:pStyle w:val="QS10"/>
        <w:rPr>
          <w:color w:val="000000" w:themeColor="text1"/>
        </w:rPr>
      </w:pPr>
      <w:r>
        <w:rPr>
          <w:color w:val="000000" w:themeColor="text1"/>
        </w:rPr>
        <w:t xml:space="preserve">At the second step, the Machaceks point to the fact that “distributions of property” to a shareholder are ordinarily governed by </w:t>
      </w:r>
      <w:hyperlink r:id="rId349" w:anchor="co_pp_4b24000003ba5" w:history="1">
        <w:r>
          <w:rPr>
            <w:rStyle w:val="Hyperlink"/>
            <w:color w:val="000000" w:themeColor="text1"/>
          </w:rPr>
          <w:t>26 U.S.C. § 301(c)</w:t>
        </w:r>
      </w:hyperlink>
      <w:r>
        <w:rPr>
          <w:color w:val="000000" w:themeColor="text1"/>
        </w:rPr>
        <w:t xml:space="preserve">. </w:t>
      </w:r>
      <w:r>
        <w:rPr>
          <w:i/>
          <w:iCs/>
          <w:color w:val="000000" w:themeColor="text1"/>
        </w:rPr>
        <w:t>See</w:t>
      </w:r>
      <w:r>
        <w:rPr>
          <w:color w:val="000000" w:themeColor="text1"/>
        </w:rPr>
        <w:t xml:space="preserve"> </w:t>
      </w:r>
      <w:hyperlink r:id="rId350" w:anchor="co_pp_8b3b0000958a4" w:history="1">
        <w:r>
          <w:rPr>
            <w:rStyle w:val="Hyperlink"/>
            <w:color w:val="000000" w:themeColor="text1"/>
          </w:rPr>
          <w:t>26 U.S.C. § 301(a)</w:t>
        </w:r>
      </w:hyperlink>
      <w:r>
        <w:rPr>
          <w:color w:val="000000" w:themeColor="text1"/>
        </w:rPr>
        <w:t xml:space="preserve"> (“[A] distribution of property ... made by a corporation to a shareholder with respect to its stock shall be treated in the manner provided in [</w:t>
      </w:r>
      <w:hyperlink r:id="rId351" w:anchor="co_pp_4b24000003ba5" w:history="1">
        <w:r>
          <w:rPr>
            <w:rStyle w:val="Hyperlink"/>
            <w:color w:val="000000" w:themeColor="text1"/>
          </w:rPr>
          <w:t>§ 301(c)</w:t>
        </w:r>
      </w:hyperlink>
      <w:r>
        <w:rPr>
          <w:color w:val="000000" w:themeColor="text1"/>
        </w:rPr>
        <w:t>].”).</w:t>
      </w:r>
    </w:p>
    <w:p w:rsidR="00F36C6F" w:rsidRDefault="00F36C6F" w:rsidP="00F36C6F">
      <w:pPr>
        <w:pStyle w:val="QS10"/>
        <w:rPr>
          <w:color w:val="000000" w:themeColor="text1"/>
        </w:rPr>
      </w:pPr>
      <w:r>
        <w:rPr>
          <w:color w:val="000000" w:themeColor="text1"/>
        </w:rPr>
        <w:t xml:space="preserve">At the third step, the Machaceks argue that Subchapter S—rather than </w:t>
      </w:r>
      <w:hyperlink r:id="rId352" w:anchor="co_pp_4b24000003ba5" w:history="1">
        <w:r>
          <w:rPr>
            <w:rStyle w:val="Hyperlink"/>
            <w:color w:val="000000" w:themeColor="text1"/>
          </w:rPr>
          <w:t>§ 301(c)</w:t>
        </w:r>
      </w:hyperlink>
      <w:r>
        <w:rPr>
          <w:color w:val="000000" w:themeColor="text1"/>
        </w:rPr>
        <w:t xml:space="preserve">—governs the treatment of the distribution here because Machacek, Inc. is an S corporation. </w:t>
      </w:r>
      <w:r>
        <w:rPr>
          <w:i/>
          <w:iCs/>
          <w:color w:val="000000" w:themeColor="text1"/>
        </w:rPr>
        <w:t>See</w:t>
      </w:r>
      <w:r>
        <w:rPr>
          <w:color w:val="000000" w:themeColor="text1"/>
        </w:rPr>
        <w:t xml:space="preserve"> </w:t>
      </w:r>
      <w:hyperlink r:id="rId353" w:anchor="co_pp_8b3b0000958a4" w:history="1">
        <w:r>
          <w:rPr>
            <w:rStyle w:val="Hyperlink"/>
            <w:color w:val="000000" w:themeColor="text1"/>
          </w:rPr>
          <w:t>26 U.S.C. § 1368(a)</w:t>
        </w:r>
      </w:hyperlink>
      <w:r>
        <w:rPr>
          <w:color w:val="000000" w:themeColor="text1"/>
        </w:rPr>
        <w:t xml:space="preserve"> (“distribution of property made by an S corporation with respect to its stock to which (but for this subsection) </w:t>
      </w:r>
      <w:hyperlink r:id="rId354" w:anchor="co_pp_4b24000003ba5" w:history="1">
        <w:r>
          <w:rPr>
            <w:rStyle w:val="Hyperlink"/>
            <w:color w:val="000000" w:themeColor="text1"/>
          </w:rPr>
          <w:t>section 301(c)</w:t>
        </w:r>
      </w:hyperlink>
      <w:r>
        <w:rPr>
          <w:color w:val="000000" w:themeColor="text1"/>
        </w:rPr>
        <w:t xml:space="preserve"> would apply shall be treated in the manner provided” by Subchapter S).</w:t>
      </w:r>
    </w:p>
    <w:p w:rsidR="00F36C6F" w:rsidRDefault="00F36C6F" w:rsidP="00F36C6F">
      <w:pPr>
        <w:pStyle w:val="QS10"/>
        <w:rPr>
          <w:color w:val="000000" w:themeColor="text1"/>
        </w:rPr>
      </w:pPr>
      <w:r>
        <w:rPr>
          <w:color w:val="000000" w:themeColor="text1"/>
        </w:rPr>
        <w:t>At the fourth step, the Machaceks argue that Subchapter S mandates that any shareholder distribution “taxable under the Subchapter S provisions ... would escape taxation under the split-dollar regulations.” (Appellants’ Br. at 17.)</w:t>
      </w:r>
    </w:p>
    <w:p w:rsidR="00F36C6F" w:rsidRDefault="00F36C6F" w:rsidP="00F36C6F">
      <w:pPr>
        <w:pStyle w:val="Body15"/>
        <w:rPr>
          <w:color w:val="000000" w:themeColor="text1"/>
        </w:rPr>
      </w:pPr>
      <w:r>
        <w:rPr>
          <w:color w:val="000000" w:themeColor="text1"/>
        </w:rPr>
        <w:t>The IRS thought that the mere fact that the arrangement was a compensatory split-dollar arrangement was determinative:</w:t>
      </w:r>
    </w:p>
    <w:p w:rsidR="00F36C6F" w:rsidRDefault="00F36C6F" w:rsidP="00F36C6F">
      <w:pPr>
        <w:pStyle w:val="QS10"/>
        <w:rPr>
          <w:color w:val="000000" w:themeColor="text1"/>
        </w:rPr>
      </w:pPr>
      <w:r>
        <w:rPr>
          <w:color w:val="000000" w:themeColor="text1"/>
        </w:rPr>
        <w:t>The Commissioner correctly notes that such treatment would be uncontroversial if the recipient of the economic benefits were an ordinary employee, rather than an S corporation’s shareholder-employee. The distinction between John Machacek’s different roles—employee and shareholder—is therefore key to the Commissioner’s position.</w:t>
      </w:r>
    </w:p>
    <w:p w:rsidR="00F36C6F" w:rsidRDefault="00F36C6F" w:rsidP="00F36C6F">
      <w:pPr>
        <w:pStyle w:val="QS10"/>
        <w:rPr>
          <w:color w:val="000000" w:themeColor="text1"/>
        </w:rPr>
      </w:pPr>
      <w:r>
        <w:rPr>
          <w:color w:val="000000" w:themeColor="text1"/>
        </w:rPr>
        <w:t xml:space="preserve">In response to the Machaceks’ reliance on </w:t>
      </w:r>
      <w:hyperlink r:id="rId355" w:anchor="co_pp_00ce000064fb7" w:history="1">
        <w:r>
          <w:rPr>
            <w:rStyle w:val="Hyperlink"/>
            <w:color w:val="000000" w:themeColor="text1"/>
          </w:rPr>
          <w:t>§ 1.301-1(q)(1)(i)</w:t>
        </w:r>
      </w:hyperlink>
      <w:r>
        <w:rPr>
          <w:color w:val="000000" w:themeColor="text1"/>
        </w:rPr>
        <w:t xml:space="preserve">, the Commissioner points only to the distinction between compensatory and shareholder arrangements. The Commissioner recognizes that </w:t>
      </w:r>
      <w:hyperlink r:id="rId356" w:anchor="co_pp_00ce000064fb7" w:history="1">
        <w:r>
          <w:rPr>
            <w:rStyle w:val="Hyperlink"/>
            <w:color w:val="000000" w:themeColor="text1"/>
          </w:rPr>
          <w:t>§ 1.301-1(q)(1)(i)</w:t>
        </w:r>
      </w:hyperlink>
      <w:r>
        <w:rPr>
          <w:color w:val="000000" w:themeColor="text1"/>
        </w:rPr>
        <w:t xml:space="preserve"> applies to both compensatory and shareholder arrangements but concludes that it “does not mean that in any situation where a compensatory arrangement covers a shareholder, the taxpayer’s status as a shareholder trumps his status as an employee, causing the economic benefit to be treated as a distribution to a shareholder,” because “[s]uch an interpretation of the regulation would make no sense, as it would defeat the reason for distinguishing between a compensatory arrangement and a shareholder arrangement.” (Appellee’s Br. at 37.) </w:t>
      </w:r>
    </w:p>
    <w:p w:rsidR="00F36C6F" w:rsidRDefault="00F36C6F" w:rsidP="00F36C6F">
      <w:pPr>
        <w:pStyle w:val="QS10"/>
        <w:jc w:val="center"/>
      </w:pPr>
      <w:r>
        <w:t>***</w:t>
      </w:r>
    </w:p>
    <w:p w:rsidR="00F36C6F" w:rsidRDefault="00F36C6F" w:rsidP="00F36C6F">
      <w:pPr>
        <w:pStyle w:val="QS10"/>
        <w:rPr>
          <w:color w:val="000000" w:themeColor="text1"/>
        </w:rPr>
      </w:pPr>
      <w:r>
        <w:rPr>
          <w:color w:val="000000" w:themeColor="text1"/>
        </w:rPr>
        <w:t xml:space="preserve">Finally, the Commissioner notes that “Machacek, Inc. will be entitled to a deduction in a future tax year,” pursuant to </w:t>
      </w:r>
      <w:hyperlink r:id="rId357" w:anchor="co_pp_488b0000d05e2" w:history="1">
        <w:r>
          <w:rPr>
            <w:rStyle w:val="Hyperlink"/>
            <w:color w:val="000000" w:themeColor="text1"/>
          </w:rPr>
          <w:t>26 C.F.R. § 1.83-6(a)(5)</w:t>
        </w:r>
      </w:hyperlink>
      <w:r>
        <w:rPr>
          <w:color w:val="000000" w:themeColor="text1"/>
        </w:rPr>
        <w:t xml:space="preserve">, “when it actually transfers ownership of the policy to John Machacek.” (Appellee’s Br. at 41; </w:t>
      </w:r>
      <w:r>
        <w:rPr>
          <w:i/>
          <w:iCs/>
          <w:color w:val="000000" w:themeColor="text1"/>
        </w:rPr>
        <w:t>see also id.</w:t>
      </w:r>
      <w:r>
        <w:rPr>
          <w:color w:val="000000" w:themeColor="text1"/>
        </w:rPr>
        <w:t xml:space="preserve"> at 26.) The Commissioner appears to rely on a possible future deduction as a way to counter the Tax Court’s acknowledgement that the result below “may seem aberrational.” The Commissioner argues that “it is [the Machaceks], not the Commissioner, who are arguing for an inequitable result under which they would escape taxation on the accumulation value of the policy, and realize an additional tax advantage when their corporation deducts the cost of the policy in the future.” (Appellee’s Br. at 41.) However, the Machaceks will also have personal tax consequences when the policy is transferred.</w:t>
      </w:r>
    </w:p>
    <w:p w:rsidR="00F36C6F" w:rsidRDefault="00F36C6F" w:rsidP="00F36C6F">
      <w:pPr>
        <w:pStyle w:val="Body15"/>
        <w:rPr>
          <w:color w:val="000000" w:themeColor="text1"/>
        </w:rPr>
      </w:pPr>
      <w:r>
        <w:rPr>
          <w:color w:val="000000" w:themeColor="text1"/>
        </w:rPr>
        <w:t>Finally, the Court reaches what it concludes is the dispositive regulation:</w:t>
      </w:r>
    </w:p>
    <w:p w:rsidR="00F36C6F" w:rsidRDefault="00F36C6F" w:rsidP="00F36C6F">
      <w:pPr>
        <w:pStyle w:val="QS10"/>
        <w:rPr>
          <w:color w:val="000000" w:themeColor="text1"/>
        </w:rPr>
      </w:pPr>
      <w:r>
        <w:rPr>
          <w:color w:val="000000" w:themeColor="text1"/>
        </w:rPr>
        <w:t xml:space="preserve">In finding for the Commissioner, the Tax Court did not address </w:t>
      </w:r>
      <w:hyperlink r:id="rId358" w:anchor="co_pp_00ce000064fb7" w:history="1">
        <w:r>
          <w:rPr>
            <w:rStyle w:val="Hyperlink"/>
            <w:color w:val="000000" w:themeColor="text1"/>
          </w:rPr>
          <w:t>26 C.F.R. § 1.301-1(q)(1)(i)</w:t>
        </w:r>
      </w:hyperlink>
      <w:r>
        <w:rPr>
          <w:color w:val="000000" w:themeColor="text1"/>
        </w:rPr>
        <w:t>. Neither party cited or relied on this regulation below, and we are aware of no case discussing the regulation in any context. But given its importance in this scenario, we cannot simply ignore it. If the economic benefits to John Machacek are properly treated as a distribution of property to a shareholder—rather than as compensation to an employee—then the Tax Court erred.</w:t>
      </w:r>
    </w:p>
    <w:p w:rsidR="00F36C6F" w:rsidRDefault="00EA23AC" w:rsidP="00F36C6F">
      <w:pPr>
        <w:pStyle w:val="QS10"/>
        <w:rPr>
          <w:color w:val="000000" w:themeColor="text1"/>
        </w:rPr>
      </w:pPr>
      <w:hyperlink r:id="rId359" w:anchor="co_pp_00ce000064fb7" w:history="1">
        <w:r w:rsidR="00F36C6F">
          <w:rPr>
            <w:rStyle w:val="Hyperlink"/>
            <w:color w:val="000000" w:themeColor="text1"/>
          </w:rPr>
          <w:t>Section 1.301-1(q)(1)(i)</w:t>
        </w:r>
      </w:hyperlink>
      <w:r w:rsidR="00F36C6F">
        <w:rPr>
          <w:color w:val="000000" w:themeColor="text1"/>
        </w:rPr>
        <w:t xml:space="preserve"> is dispositive and renders irrelevant whether John Machacek received the economic benefits through a compensatory or shareholder split-dollar arrangement. </w:t>
      </w:r>
      <w:hyperlink r:id="rId360" w:anchor="co_pp_00ce000064fb7" w:history="1">
        <w:r w:rsidR="00F36C6F">
          <w:rPr>
            <w:rStyle w:val="Hyperlink"/>
            <w:color w:val="000000" w:themeColor="text1"/>
          </w:rPr>
          <w:t>Section 1.301-1(q)(1)(i)</w:t>
        </w:r>
      </w:hyperlink>
      <w:r w:rsidR="00F36C6F">
        <w:rPr>
          <w:color w:val="000000" w:themeColor="text1"/>
        </w:rPr>
        <w:t xml:space="preserve"> treats economic benefits provided to a shareholder pursuant to </w:t>
      </w:r>
      <w:r w:rsidR="00F36C6F">
        <w:rPr>
          <w:i/>
          <w:iCs/>
          <w:color w:val="000000" w:themeColor="text1"/>
        </w:rPr>
        <w:t>any</w:t>
      </w:r>
      <w:r w:rsidR="00F36C6F">
        <w:rPr>
          <w:color w:val="000000" w:themeColor="text1"/>
        </w:rPr>
        <w:t xml:space="preserve"> split-dollar arrangement as a distribution of property within the ambit of </w:t>
      </w:r>
      <w:hyperlink r:id="rId361" w:history="1">
        <w:r w:rsidR="00F36C6F">
          <w:rPr>
            <w:rStyle w:val="Hyperlink"/>
            <w:color w:val="000000" w:themeColor="text1"/>
          </w:rPr>
          <w:t>§ 301</w:t>
        </w:r>
      </w:hyperlink>
      <w:r w:rsidR="00F36C6F">
        <w:rPr>
          <w:color w:val="000000" w:themeColor="text1"/>
        </w:rPr>
        <w:t xml:space="preserve">. And, although another sub-section of that regulation, </w:t>
      </w:r>
      <w:hyperlink r:id="rId362" w:anchor="co_pp_4b24000003ba5" w:history="1">
        <w:r w:rsidR="00F36C6F">
          <w:rPr>
            <w:rStyle w:val="Hyperlink"/>
            <w:color w:val="000000" w:themeColor="text1"/>
          </w:rPr>
          <w:t>26 C.F.R. § 1.301-1(c)</w:t>
        </w:r>
      </w:hyperlink>
      <w:r w:rsidR="00F36C6F">
        <w:rPr>
          <w:color w:val="000000" w:themeColor="text1"/>
        </w:rPr>
        <w:t xml:space="preserve">, states that the regulation as a whole “is not applicable to an amount paid by a corporation to a shareholder unless the amount is paid to the shareholder in his capacity as such,” the explicit inclusion in </w:t>
      </w:r>
      <w:hyperlink r:id="rId363" w:anchor="co_pp_00ce000064fb7" w:history="1">
        <w:r w:rsidR="00F36C6F">
          <w:rPr>
            <w:rStyle w:val="Hyperlink"/>
            <w:color w:val="000000" w:themeColor="text1"/>
          </w:rPr>
          <w:t>§ 1.301-1(q)(1)(i)</w:t>
        </w:r>
      </w:hyperlink>
      <w:r w:rsidR="00F36C6F">
        <w:rPr>
          <w:color w:val="000000" w:themeColor="text1"/>
        </w:rPr>
        <w:t xml:space="preserve"> of all arrangements described in </w:t>
      </w:r>
      <w:hyperlink r:id="rId364" w:anchor="co_pp_c0ae00006c482" w:history="1">
        <w:r w:rsidR="00F36C6F">
          <w:rPr>
            <w:rStyle w:val="Hyperlink"/>
            <w:color w:val="000000" w:themeColor="text1"/>
          </w:rPr>
          <w:t>§ 1.61-22(b)(2)</w:t>
        </w:r>
      </w:hyperlink>
      <w:r w:rsidR="00F36C6F">
        <w:rPr>
          <w:color w:val="000000" w:themeColor="text1"/>
        </w:rPr>
        <w:t xml:space="preserve">—which includes compensatory arrangements—makes clear that when a shareholder-employee receives economic benefits pursuant to a compensatory split-dollar arrangement, those benefits are treated as a distribution of property and are thus deemed to have been paid to the shareholder in his capacity as a shareholder. The Commissioner offers no alternative interpretation that gives meaning to the inclusion of compensatory arrangements in </w:t>
      </w:r>
      <w:hyperlink r:id="rId365" w:anchor="co_pp_00ce000064fb7" w:history="1">
        <w:r w:rsidR="00F36C6F">
          <w:rPr>
            <w:rStyle w:val="Hyperlink"/>
            <w:color w:val="000000" w:themeColor="text1"/>
          </w:rPr>
          <w:t>§ 1.301-1(q)(1)(i)</w:t>
        </w:r>
      </w:hyperlink>
      <w:r w:rsidR="00F36C6F">
        <w:rPr>
          <w:color w:val="000000" w:themeColor="text1"/>
        </w:rPr>
        <w:t xml:space="preserve">. Our interpretation is further supported by the fact that </w:t>
      </w:r>
      <w:hyperlink r:id="rId366" w:anchor="co_pp_5ba1000067d06" w:history="1">
        <w:r w:rsidR="00F36C6F">
          <w:rPr>
            <w:rStyle w:val="Hyperlink"/>
            <w:color w:val="000000" w:themeColor="text1"/>
          </w:rPr>
          <w:t>§ 1.61-22(d)</w:t>
        </w:r>
      </w:hyperlink>
      <w:r w:rsidR="00F36C6F">
        <w:rPr>
          <w:color w:val="000000" w:themeColor="text1"/>
        </w:rPr>
        <w:t xml:space="preserve"> states that the tax treatment of the economic benefits depends on the “relationship between the owner and the non-owner.” The Commissioner argues that this language shows that the tax treatment depends on the nature of the split-dollar arrangement—compensatory or shareholder—but if that were the controlling factor, the regulation could have said so. It does not.</w:t>
      </w:r>
    </w:p>
    <w:p w:rsidR="004123F2" w:rsidRDefault="004123F2" w:rsidP="006B10D2">
      <w:pPr>
        <w:pStyle w:val="Body15"/>
        <w:rPr>
          <w:color w:val="000000"/>
          <w:szCs w:val="20"/>
        </w:rPr>
      </w:pPr>
      <w:r>
        <w:rPr>
          <w:color w:val="000000"/>
          <w:szCs w:val="20"/>
        </w:rPr>
        <w:t xml:space="preserve">The Tax Court issued another opinion dealing with various issues in </w:t>
      </w:r>
      <w:r w:rsidRPr="00B32CE4">
        <w:rPr>
          <w:color w:val="000000"/>
          <w:szCs w:val="20"/>
          <w:u w:val="single"/>
        </w:rPr>
        <w:t>Morrisette</w:t>
      </w:r>
      <w:r>
        <w:rPr>
          <w:color w:val="000000"/>
          <w:szCs w:val="20"/>
        </w:rPr>
        <w:t xml:space="preserve"> on May 13, 2021. </w:t>
      </w:r>
      <w:r w:rsidRPr="00604C9B">
        <w:rPr>
          <w:color w:val="000000"/>
          <w:szCs w:val="20"/>
          <w:u w:val="single"/>
        </w:rPr>
        <w:t xml:space="preserve"> Estate of Morrissette v. Comm’r</w:t>
      </w:r>
      <w:r>
        <w:rPr>
          <w:color w:val="000000"/>
          <w:szCs w:val="20"/>
        </w:rPr>
        <w:t xml:space="preserve">, T. C. Memo. 2021-60 (hereinafter referred to as Morrissette II).  In general the </w:t>
      </w:r>
      <w:r w:rsidR="00F6728C">
        <w:rPr>
          <w:color w:val="000000"/>
          <w:szCs w:val="20"/>
        </w:rPr>
        <w:t>opinion</w:t>
      </w:r>
      <w:r>
        <w:rPr>
          <w:color w:val="000000"/>
          <w:szCs w:val="20"/>
        </w:rPr>
        <w:t xml:space="preserve"> was favorable to the taxpayer.  The court held </w:t>
      </w:r>
      <w:r w:rsidRPr="006B10D2">
        <w:rPr>
          <w:color w:val="000000" w:themeColor="text1"/>
        </w:rPr>
        <w:t>that</w:t>
      </w:r>
      <w:r>
        <w:rPr>
          <w:color w:val="000000"/>
          <w:szCs w:val="20"/>
        </w:rPr>
        <w:t xml:space="preserve"> sections 2036 and 238 did not pull the </w:t>
      </w:r>
      <w:r w:rsidR="003B3833">
        <w:rPr>
          <w:color w:val="000000"/>
          <w:szCs w:val="20"/>
        </w:rPr>
        <w:t xml:space="preserve">policy proceeds into the grantor’s estate because the arrangement was based on a sale for full and adequate consideration, that section 2703 did not apply which would have included the underlying cash surrender value of the policies in the decedent’s estate, and that the fair market value could be calculated using discounted cash-flow.  Nonetheless the court found the 40% gross valuation misstatement penalty (section 6662(h) was appropriate.  </w:t>
      </w:r>
      <w:r w:rsidR="00604C9B">
        <w:rPr>
          <w:color w:val="000000"/>
          <w:szCs w:val="20"/>
        </w:rPr>
        <w:t>With the generous permission of Howard Zaritsky, his discussion and comment on</w:t>
      </w:r>
      <w:r w:rsidR="00604C9B" w:rsidRPr="00B32CE4">
        <w:rPr>
          <w:color w:val="000000"/>
          <w:szCs w:val="20"/>
          <w:u w:val="single"/>
        </w:rPr>
        <w:t xml:space="preserve"> Morrissette II</w:t>
      </w:r>
      <w:r w:rsidR="00604C9B">
        <w:rPr>
          <w:color w:val="000000"/>
          <w:szCs w:val="20"/>
        </w:rPr>
        <w:t xml:space="preserve"> is as follows:  </w:t>
      </w:r>
    </w:p>
    <w:p w:rsidR="006B10D2" w:rsidRPr="0009443E" w:rsidRDefault="006B10D2" w:rsidP="00E970CB">
      <w:pPr>
        <w:pStyle w:val="QS5"/>
        <w:jc w:val="both"/>
      </w:pPr>
      <w:r w:rsidRPr="0009443E">
        <w:t xml:space="preserve">The Tax Court ruled in </w:t>
      </w:r>
      <w:r w:rsidRPr="0009443E">
        <w:rPr>
          <w:i/>
          <w:iCs/>
        </w:rPr>
        <w:t>Morrissette II</w:t>
      </w:r>
      <w:r w:rsidRPr="0009443E">
        <w:t xml:space="preserve"> that: (a) the policy proceeds are not includible in the gross estate of the deceased grantor of the revocable trust under Sections 2036 or 2038, because they were made in a </w:t>
      </w:r>
      <w:r w:rsidRPr="0009443E">
        <w:rPr>
          <w:i/>
          <w:iCs/>
        </w:rPr>
        <w:t>bona fide</w:t>
      </w:r>
      <w:r w:rsidRPr="0009443E">
        <w:t xml:space="preserve"> sale for adequate and full consideration; (b) the special valuation rules of Section 2703 do not require inclusion of the cash surrender value of the policies in the decedent’s gross estate; (c) the fair market values of the decedent’s split-dollar rights could be calculated using the discounted cash value methodology; and (d) a 40% gross valuation misstatement penalty under Section 6662(h) was appropriate.</w:t>
      </w:r>
    </w:p>
    <w:p w:rsidR="006B10D2" w:rsidRPr="0009443E" w:rsidRDefault="006B10D2" w:rsidP="00E970CB">
      <w:pPr>
        <w:pStyle w:val="QS5"/>
        <w:jc w:val="both"/>
        <w:rPr>
          <w:b/>
          <w:bCs/>
          <w:u w:val="single"/>
        </w:rPr>
      </w:pPr>
      <w:r w:rsidRPr="0009443E">
        <w:t xml:space="preserve">The Tax Court (Judge Goeke) reviewed the facts in even greater detail that he had in the earlier opinion of the court and noted that, while the petitioners agree that the fair market values of the split-dollar rights are includible in Mrs. Morrissette’s gross estate because they were held by her revocable trust, the IRS sought to include the $30 million in premium payments or the $32.6 million in cash surrender value in the decedent’s gross estate under Sections 2036 and 2038.  The IRS argued, as it had in </w:t>
      </w:r>
      <w:r w:rsidRPr="0009443E">
        <w:rPr>
          <w:i/>
          <w:iCs/>
        </w:rPr>
        <w:t>Cahill</w:t>
      </w:r>
      <w:r w:rsidRPr="0009443E">
        <w:t xml:space="preserve">, that the revocable trust, through the split-dollar agreement, had retained the possession, enjoyment, or right to income in the transferred funds under Section 2036(a)(1), a power to designate the beneficial enjoyment of the transferred funds under Section 2036(a)(2), or a power to alter the transferred funds under Section 2038(a).  As the Tax Court in </w:t>
      </w:r>
      <w:r w:rsidRPr="0009443E">
        <w:rPr>
          <w:i/>
          <w:iCs/>
        </w:rPr>
        <w:t>Cahill</w:t>
      </w:r>
      <w:r w:rsidRPr="0009443E">
        <w:t xml:space="preserve"> had already stated that the rights retained in an intergenerational split-dollar life insurance agreement fell under Section 2036(a)(2) or 2038(a) (the application of Section 2036(a)(1) was not considered in that case), the court did not need to re-evaluate that issue here, but instead focused on the bona fide sale exception to both Sections 2036 and 2038.</w:t>
      </w:r>
    </w:p>
    <w:p w:rsidR="006B10D2" w:rsidRPr="0009443E" w:rsidRDefault="006B10D2" w:rsidP="00E970CB">
      <w:pPr>
        <w:pStyle w:val="QS5"/>
        <w:jc w:val="both"/>
      </w:pPr>
      <w:bookmarkStart w:id="483" w:name="co_pp_sp_999_24_1"/>
      <w:bookmarkEnd w:id="483"/>
      <w:r w:rsidRPr="0009443E">
        <w:t xml:space="preserve">The IRS also contended that the transfer was not a bona fide sale for adequate and full consideration, but the Tax Court disagreed.  The Tax Court applied the same analysis in </w:t>
      </w:r>
      <w:r w:rsidRPr="0009443E">
        <w:rPr>
          <w:i/>
          <w:iCs/>
        </w:rPr>
        <w:t>Morrissette II</w:t>
      </w:r>
      <w:r w:rsidRPr="0009443E">
        <w:t xml:space="preserve"> that it had applied in</w:t>
      </w:r>
      <w:r w:rsidRPr="0009443E">
        <w:rPr>
          <w:b/>
        </w:rPr>
        <w:t xml:space="preserve"> </w:t>
      </w:r>
      <w:r w:rsidRPr="0009443E">
        <w:rPr>
          <w:i/>
          <w:iCs/>
        </w:rPr>
        <w:t xml:space="preserve">Estate of Powell at </w:t>
      </w:r>
      <w:r w:rsidRPr="0009443E">
        <w:t xml:space="preserve">411 (2017), that the bona fide sale exception requires both (1) a legitimate and significant nontax purpose and (2) adequate and full consideration for money or money’s worth.  The court rejected the IRS argument that the transfers between the revocable trust and the dynasty trusts were not a “sale” as that term is ordinarily defined, because the dynasty trusts paid no consideration.  The court pointed out that Section 2036 and 2038 adopt a broader definition of “sale,” that includes transactions that are not commonly categorized as sales.  Basically, they require only a voluntary act of transferring property in exchange for something.   </w:t>
      </w:r>
      <w:r w:rsidRPr="0009443E">
        <w:rPr>
          <w:i/>
          <w:iCs/>
        </w:rPr>
        <w:t>Estate of Bongard v. Comm’r</w:t>
      </w:r>
      <w:r w:rsidRPr="0009443E">
        <w:t xml:space="preserve">, 124 T.C. 95, 113 (2005). </w:t>
      </w:r>
      <w:r w:rsidRPr="0009443E">
        <w:rPr>
          <w:i/>
          <w:iCs/>
        </w:rPr>
        <w:t>Estate of Stone v. Comm’r</w:t>
      </w:r>
      <w:r w:rsidRPr="0009443E">
        <w:t xml:space="preserve">, T.C. Memo. 2003-309 (treating a contribution of assets to a business entity in exchange for an interest in the entity as a sale for purposes of section 2036(a)). In </w:t>
      </w:r>
      <w:r w:rsidRPr="0009443E">
        <w:rPr>
          <w:i/>
          <w:iCs/>
        </w:rPr>
        <w:t>Morrissette II</w:t>
      </w:r>
      <w:r w:rsidRPr="0009443E">
        <w:t>, the revocable trust voluntarily and in good faith transferred money to the dynasty trusts in exchange for a right to repayment.  Thus, the split-dollar agreement between the revocable trust and the dynasty trusts was a sale for this limited purpose.</w:t>
      </w:r>
    </w:p>
    <w:p w:rsidR="006B10D2" w:rsidRPr="0009443E" w:rsidRDefault="006B10D2" w:rsidP="00E970CB">
      <w:pPr>
        <w:pStyle w:val="QS5"/>
        <w:jc w:val="both"/>
      </w:pPr>
      <w:bookmarkStart w:id="484" w:name="co_pp_sp_999_25_1"/>
      <w:bookmarkEnd w:id="484"/>
      <w:r w:rsidRPr="0009443E">
        <w:t xml:space="preserve">The court then held that Clara had a legitimate and significant nontax motive for advancing the funds to pay the premiums under the split-dollar agreement. The court explained that the nontax purpose must be a genuine purpose that motivates the transaction, rather than a theoretical purpose or justification.  </w:t>
      </w:r>
      <w:r w:rsidRPr="0009443E">
        <w:rPr>
          <w:i/>
          <w:iCs/>
        </w:rPr>
        <w:t>Estate of Bongard</w:t>
      </w:r>
      <w:r w:rsidRPr="0009443E">
        <w:t xml:space="preserve">, 124 T.C. at 118.  The existence of additional testamentary objectives, however, does not negate the existence of a legitimate nontax purpose, as such purposes are often inextricably interwoven.  </w:t>
      </w:r>
      <w:r w:rsidRPr="0009443E">
        <w:rPr>
          <w:i/>
          <w:iCs/>
        </w:rPr>
        <w:t>Estate of Bongard</w:t>
      </w:r>
      <w:r w:rsidRPr="0009443E">
        <w:t xml:space="preserve">, 124 T.C. at 121; </w:t>
      </w:r>
      <w:r w:rsidRPr="0009443E">
        <w:rPr>
          <w:i/>
          <w:iCs/>
        </w:rPr>
        <w:t>Estate of Black v. Comm’r</w:t>
      </w:r>
      <w:r w:rsidRPr="0009443E">
        <w:t>, 133 T.C. 340, 362-363 (2009).   </w:t>
      </w:r>
    </w:p>
    <w:p w:rsidR="006B10D2" w:rsidRPr="0009443E" w:rsidRDefault="006B10D2" w:rsidP="00E970CB">
      <w:pPr>
        <w:pStyle w:val="QS5"/>
        <w:jc w:val="both"/>
      </w:pPr>
      <w:r w:rsidRPr="0009443E">
        <w:t xml:space="preserve">The evidence established that Clara sought to maintain control over the company and to pass that control on to her sons and future generations.  The split-dollar agreements were instrumental in accomplishing these objectives and assuring the control and succession of an active closely-held business is a legitimate nontax purpose for the </w:t>
      </w:r>
      <w:r w:rsidRPr="0009443E">
        <w:rPr>
          <w:i/>
          <w:iCs/>
        </w:rPr>
        <w:t>bona fide</w:t>
      </w:r>
      <w:r w:rsidRPr="0009443E">
        <w:t xml:space="preserve"> sale exception. to ensuring that Interstate’s ownership remained in her family after her sons died.  Citing </w:t>
      </w:r>
      <w:r w:rsidRPr="0009443E">
        <w:rPr>
          <w:i/>
          <w:iCs/>
        </w:rPr>
        <w:t>Estate of Bigelow v. Comm’r</w:t>
      </w:r>
      <w:r w:rsidRPr="0009443E">
        <w:t xml:space="preserve">, 503 F.3d 955, 972 (9th Cir. 2007), </w:t>
      </w:r>
      <w:r w:rsidRPr="0009443E">
        <w:rPr>
          <w:i/>
          <w:iCs/>
        </w:rPr>
        <w:t>aff’g</w:t>
      </w:r>
      <w:r w:rsidRPr="0009443E">
        <w:t xml:space="preserve"> T.C. Memo. 2005-65; </w:t>
      </w:r>
      <w:r w:rsidRPr="0009443E">
        <w:rPr>
          <w:i/>
          <w:iCs/>
        </w:rPr>
        <w:t>Estate of Strangi v. Comm’r</w:t>
      </w:r>
      <w:r w:rsidRPr="0009443E">
        <w:t xml:space="preserve">, 417 F.3d at 481; </w:t>
      </w:r>
      <w:r w:rsidRPr="0009443E">
        <w:rPr>
          <w:i/>
          <w:iCs/>
        </w:rPr>
        <w:t>Estate of Reynolds v. Comm’r</w:t>
      </w:r>
      <w:r w:rsidRPr="0009443E">
        <w:t>, 55 T.C. 172, 194 (1970).  The court explained that:</w:t>
      </w:r>
    </w:p>
    <w:p w:rsidR="006B10D2" w:rsidRPr="0009443E" w:rsidRDefault="006B10D2" w:rsidP="00E970CB">
      <w:pPr>
        <w:autoSpaceDE w:val="0"/>
        <w:autoSpaceDN w:val="0"/>
        <w:adjustRightInd w:val="0"/>
        <w:spacing w:after="240"/>
        <w:ind w:left="1440" w:right="720"/>
        <w:jc w:val="both"/>
        <w:rPr>
          <w:i/>
          <w:iCs/>
          <w:color w:val="000000"/>
          <w:szCs w:val="20"/>
        </w:rPr>
      </w:pPr>
      <w:r w:rsidRPr="0009443E">
        <w:rPr>
          <w:i/>
          <w:iCs/>
          <w:color w:val="000000"/>
          <w:szCs w:val="20"/>
        </w:rPr>
        <w:t xml:space="preserve">The brothers wanted to honor their parents’ wish that the three brothers inherit Interstate equally and pass the company on to their children. However, they were also realistic about the need to pay estate tax and the possibility that they would need to sell part of Interstate to pay it. They believed that there was a significant chance that the family would lose control of Interstate if their families were not given this option . . . . The split-dollar agreements provided each brother’s children with the option to exit the business and cash out their interests after the brother’s death and at the same time allowed the remaining brothers and their families to purchase the interests by funding the buyout. The buy-sell provision also prevented the brothers from selling their Interstate stock to outsiders as a means to retaliate against one another for past disputes.  </w:t>
      </w:r>
      <w:r w:rsidRPr="0009443E">
        <w:rPr>
          <w:color w:val="000000"/>
          <w:szCs w:val="20"/>
        </w:rPr>
        <w:t xml:space="preserve">T.C. Memo. 2021-60 at *76. </w:t>
      </w:r>
    </w:p>
    <w:p w:rsidR="006B10D2" w:rsidRPr="0009443E" w:rsidRDefault="006B10D2" w:rsidP="00E970CB">
      <w:pPr>
        <w:pStyle w:val="QS5"/>
        <w:jc w:val="both"/>
      </w:pPr>
      <w:bookmarkStart w:id="485" w:name="co_pp_sp_999_26_1"/>
      <w:bookmarkEnd w:id="485"/>
      <w:r w:rsidRPr="0009443E">
        <w:t>The court also held that the split-dollar agreements served a second legitimate, nontax purpose, a smooth transition in Interstate’s management.  The agreements helped assure that those sons who had long worked for the company could remain with the company for their professional futures, preserving both their expertise and institutional knowledge.  The court found testimony from these sons about their succession concerns to be credible.</w:t>
      </w:r>
    </w:p>
    <w:p w:rsidR="006B10D2" w:rsidRPr="0009443E" w:rsidRDefault="006B10D2" w:rsidP="00E970CB">
      <w:pPr>
        <w:pStyle w:val="QS5"/>
        <w:jc w:val="both"/>
      </w:pPr>
      <w:r w:rsidRPr="0009443E">
        <w:t xml:space="preserve">The court acknowledged that the split-dollar agreements were also part of an estate tax saving strategy.  Nonetheless, the existence of a tax motivation does not negate the existence of a legitimate nontax motive.  As the court explained, “caselaw requires the presence of a legitimate, nontax purpose; it does not require the absence of a tax saving motivation.”  T.C. Memo. 2021-60 at *78.  One son “who made most decisions relating to the split-dollar agreements, credibly testified that he would have engaged in the split-dollar agreements even if they had not provided any estate tax saving because of the nontax financial benefits that they provided.” </w:t>
      </w:r>
      <w:r w:rsidRPr="0009443E">
        <w:rPr>
          <w:i/>
          <w:iCs/>
        </w:rPr>
        <w:t>Id.</w:t>
      </w:r>
      <w:r w:rsidRPr="0009443E">
        <w:t xml:space="preserve">  Furthermore, the court found that the record showed the sons concerns about the correct inheritance of the company and that these were not merely theoretical justifications for the agreements.</w:t>
      </w:r>
    </w:p>
    <w:p w:rsidR="006B10D2" w:rsidRPr="0009443E" w:rsidRDefault="006B10D2" w:rsidP="00E970CB">
      <w:pPr>
        <w:pStyle w:val="QS5"/>
        <w:jc w:val="both"/>
      </w:pPr>
      <w:bookmarkStart w:id="486" w:name="co_pp_sp_999_27_1"/>
      <w:bookmarkEnd w:id="486"/>
      <w:r w:rsidRPr="0009443E">
        <w:t xml:space="preserve">The court rejected the argument that if the sons “stood on both sides of the split-dollar agreements,” there could be no legitimate nontax purpose.  A taxpayer’s standing on both sides of a transaction can indicate there is no legitimate, nontax purpose for the transfer, but it is not conclusive. </w:t>
      </w:r>
      <w:r w:rsidRPr="0009443E">
        <w:rPr>
          <w:i/>
          <w:iCs/>
        </w:rPr>
        <w:t>Estate of Thompson v. Comm’r</w:t>
      </w:r>
      <w:r w:rsidRPr="0009443E">
        <w:t>, 382 </w:t>
      </w:r>
      <w:r w:rsidRPr="0009443E">
        <w:rPr>
          <w:color w:val="252525"/>
        </w:rPr>
        <w:t>F</w:t>
      </w:r>
      <w:r w:rsidRPr="0009443E">
        <w:t>.</w:t>
      </w:r>
      <w:r w:rsidRPr="0009443E">
        <w:rPr>
          <w:color w:val="252525"/>
        </w:rPr>
        <w:t>3d</w:t>
      </w:r>
      <w:r w:rsidRPr="0009443E">
        <w:t> 367, 382 (3</w:t>
      </w:r>
      <w:r w:rsidRPr="0009443E">
        <w:rPr>
          <w:vertAlign w:val="superscript"/>
        </w:rPr>
        <w:t>rd</w:t>
      </w:r>
      <w:r w:rsidRPr="0009443E">
        <w:t xml:space="preserve"> Cir. 2004)</w:t>
      </w:r>
      <w:r w:rsidRPr="0009443E">
        <w:rPr>
          <w:color w:val="212121"/>
        </w:rPr>
        <w:t>, </w:t>
      </w:r>
      <w:r w:rsidRPr="0009443E">
        <w:rPr>
          <w:i/>
          <w:iCs/>
          <w:color w:val="212121"/>
        </w:rPr>
        <w:t>aff'g</w:t>
      </w:r>
      <w:r w:rsidRPr="0009443E">
        <w:rPr>
          <w:color w:val="212121"/>
        </w:rPr>
        <w:t> </w:t>
      </w:r>
      <w:r w:rsidRPr="0009443E">
        <w:t>T.C. Memo. 2002-246</w:t>
      </w:r>
      <w:r w:rsidRPr="0009443E">
        <w:rPr>
          <w:color w:val="212121"/>
        </w:rPr>
        <w:t>.</w:t>
      </w:r>
      <w:r w:rsidRPr="0009443E">
        <w:t xml:space="preserve"> This is particularly true when the relationship of sons, as here, was occasionally hostile.  See </w:t>
      </w:r>
      <w:r w:rsidRPr="0009443E">
        <w:rPr>
          <w:i/>
          <w:iCs/>
        </w:rPr>
        <w:t xml:space="preserve">Estate of Stone </w:t>
      </w:r>
      <w:r w:rsidRPr="0009443E">
        <w:t>(resolving intrafamily disputes that had led to litigation in the past is a legitimate, nontax purpose).</w:t>
      </w:r>
    </w:p>
    <w:p w:rsidR="006B10D2" w:rsidRPr="0009443E" w:rsidRDefault="006B10D2" w:rsidP="00E970CB">
      <w:pPr>
        <w:pStyle w:val="QS5"/>
        <w:jc w:val="both"/>
      </w:pPr>
      <w:bookmarkStart w:id="487" w:name="co_pp_sp_999_28_1"/>
      <w:bookmarkEnd w:id="487"/>
      <w:r w:rsidRPr="0009443E">
        <w:t>The IRS also argued that the sons had complete control over the policies and could cancel them at any, because the dynasty trusts would inherit the split-dollar rights.  The court rejected this argument because, while the sons, as co-trustees, had the discretion to distribute each split-dollar agreement, such distribution was not guaranteed.  Moreover, the effects of the possible distribution of the split-dollar agreements after Clara’s death were more relevant to the determination of the fair market value of the split-dollar rights then to whether the transfers qualified as bona fide sales.  The parties to the buy-sell agreement understood their future obligations and there was credible testimony that there was no prearranged plan to terminate the split-dollar agreements upon Clara’s death.</w:t>
      </w:r>
    </w:p>
    <w:p w:rsidR="006B10D2" w:rsidRPr="0009443E" w:rsidRDefault="006B10D2" w:rsidP="00E970CB">
      <w:pPr>
        <w:pStyle w:val="QS5"/>
        <w:jc w:val="both"/>
      </w:pPr>
      <w:r w:rsidRPr="0009443E">
        <w:t>The court rejected the government’s argument that purchasing life insurance policies with high initial cash values and modest death benefits proved that tax motivations were primary.  The court noted that the sons had credibly testified that they choose those policies to ensure that the revocable trust would be adequately compensated for financing the premiums and that it would earn interest for funding the premiums through inside buildup in the value of the policies. </w:t>
      </w:r>
    </w:p>
    <w:p w:rsidR="006B10D2" w:rsidRPr="0009443E" w:rsidRDefault="006B10D2" w:rsidP="00E970CB">
      <w:pPr>
        <w:pStyle w:val="QS5"/>
        <w:jc w:val="both"/>
      </w:pPr>
      <w:r w:rsidRPr="0009443E">
        <w:t>The court also rejected the IRS argument that the fact that the sons retained their father’s stock after his death and the equal distribution of the insurance proceeds among the dynasty trusts showed that the buy-sell provision was not a legitimate reason for the transfer of the premiums.  The court stated that it made sense that two of the sons would retain their father’s voting stock as they worked for the company and they wanted to protect their careers. </w:t>
      </w:r>
    </w:p>
    <w:p w:rsidR="006B10D2" w:rsidRPr="0009443E" w:rsidRDefault="006B10D2" w:rsidP="00E970CB">
      <w:pPr>
        <w:pStyle w:val="QS5"/>
        <w:jc w:val="both"/>
      </w:pPr>
      <w:r w:rsidRPr="0009443E">
        <w:t>The court also held that the revocable trust had received adequate and full consideration in money or money’s worth for its premium payments.  The court rejected the estate’s argument that the fact that the transaction complied with the requirements of the economic benefit regime should mean that there was adequate and full consideration, because the regulations expressly do not apply for estate tax purposes.  The economic benefit regime does not require a comparison of the amount of the premium payment with the value of the rights that the revocable trust received in exchange.</w:t>
      </w:r>
    </w:p>
    <w:p w:rsidR="006B10D2" w:rsidRPr="0009443E" w:rsidRDefault="006B10D2" w:rsidP="00E970CB">
      <w:pPr>
        <w:pStyle w:val="QS5"/>
        <w:jc w:val="both"/>
      </w:pPr>
      <w:r w:rsidRPr="0009443E">
        <w:t xml:space="preserve">The court noted that, unlike the question of fair market value, the adequacy of consideration is not defined on the basis of a willing buyer and willing seller and is not judged from the perspective of hypothetical persons. </w:t>
      </w:r>
      <w:r w:rsidRPr="0009443E">
        <w:rPr>
          <w:i/>
          <w:iCs/>
        </w:rPr>
        <w:t>Kimbell v. United States</w:t>
      </w:r>
      <w:r w:rsidRPr="0009443E">
        <w:t xml:space="preserve">, 371 F.3d 257, 266 (5th Cir. 2004).  The bona fide sale exception does not require an arm’s-length transaction and an intrafamily transfer, though requiring heightened scrutiny, can constitute a </w:t>
      </w:r>
      <w:r w:rsidRPr="0009443E">
        <w:rPr>
          <w:i/>
          <w:iCs/>
        </w:rPr>
        <w:t>bona fide</w:t>
      </w:r>
      <w:r w:rsidRPr="0009443E">
        <w:t xml:space="preserve"> sale. </w:t>
      </w:r>
      <w:r w:rsidRPr="0009443E">
        <w:rPr>
          <w:i/>
          <w:iCs/>
        </w:rPr>
        <w:t>Estate of Bongard</w:t>
      </w:r>
      <w:r w:rsidRPr="0009443E">
        <w:t xml:space="preserve">, 124 T.C. at 122-123; </w:t>
      </w:r>
      <w:r w:rsidRPr="0009443E">
        <w:rPr>
          <w:i/>
          <w:iCs/>
        </w:rPr>
        <w:t>Estate of Thompson</w:t>
      </w:r>
      <w:r w:rsidRPr="0009443E">
        <w:t xml:space="preserve">, 382 F.3d at 382-383. The question of adequacy of consideration requires that the consideration be similar to that which two unrelated persons would provide after negotiating at arm’s length.  </w:t>
      </w:r>
      <w:r w:rsidRPr="0009443E">
        <w:rPr>
          <w:i/>
          <w:iCs/>
        </w:rPr>
        <w:t>Estate of Bongard</w:t>
      </w:r>
      <w:r w:rsidRPr="0009443E">
        <w:t xml:space="preserve">, 124 T.C. at 122-123.  In </w:t>
      </w:r>
      <w:r w:rsidRPr="0009443E">
        <w:rPr>
          <w:i/>
          <w:iCs/>
        </w:rPr>
        <w:t>Kimbell</w:t>
      </w:r>
      <w:r w:rsidRPr="0009443E">
        <w:t>, 371 F.3d at 265-266, the Court of Appeals for the Fifth Circuit acknowledged that an investor received a partnership interest for adequate and full consideration even though the partnership interest had a substantially lower fair market value than the assets contributed to the partnership.</w:t>
      </w:r>
      <w:bookmarkStart w:id="488" w:name="co_fnRef_B00102053630241_ID0EFHCI_1"/>
      <w:bookmarkEnd w:id="488"/>
      <w:r w:rsidRPr="0009443E">
        <w:t xml:space="preserve">  The key is whether the exchange is an informed trade, and investors may desire an asset for features other than its fair market value, such as “management expertise, security or preservation of assets, and capital appreciation.”  </w:t>
      </w:r>
      <w:r w:rsidRPr="0009443E">
        <w:rPr>
          <w:i/>
          <w:iCs/>
        </w:rPr>
        <w:t>Estate of Thompson</w:t>
      </w:r>
      <w:r w:rsidRPr="0009443E">
        <w:t xml:space="preserve">, 382 F.3d at 381.  Here, the </w:t>
      </w:r>
      <w:bookmarkStart w:id="489" w:name="co_pp_sp_999_31_1"/>
      <w:bookmarkEnd w:id="489"/>
      <w:r w:rsidRPr="0009443E">
        <w:t>split-dollar agreements provided financial benefits other than the ability to sell or collect immediately on the split-dollar rights, including repayment plus inside buildup in the value of the policies, management succession, and efficiency and capital accumulation.  The court noted that the intervening events between the transfer date, when one determines adequate and full consideration, and the valuation date, when one determines fair market value, which were significant.  Clara had been in relatively good health on the transfer date, and one of the sons had been diagnosed with terminal cancer and was no longer even insurable. Clara could have outlived any one of her sons, and the split-dollar agreements were a safe investment with an adequate interest rate.</w:t>
      </w:r>
    </w:p>
    <w:p w:rsidR="006B10D2" w:rsidRPr="0009443E" w:rsidRDefault="006B10D2" w:rsidP="00E970CB">
      <w:pPr>
        <w:pStyle w:val="QS5"/>
        <w:jc w:val="both"/>
      </w:pPr>
      <w:bookmarkStart w:id="490" w:name="co_pp_sp_999_32_1"/>
      <w:bookmarkEnd w:id="490"/>
      <w:r w:rsidRPr="0009443E">
        <w:t xml:space="preserve">The court held that the revocable trust received adequate and full consideration on the basis of the split-dollar agreements’ repayment terms that included interest earned in the form of inside buildup of the insurance policies. The minimum interest rates and the actual appreciation in the policies’ cash values were higher than the interest rates that the CMM trust had been earning on the money. Respondent does not argue that the repayment terms were inadequate. The split-dollar agreements also provide the additional benefit of deferral of tax on the policies’ inside buildup and the tax-exempt payout of the death benefits to the beneficiaries.  </w:t>
      </w:r>
    </w:p>
    <w:p w:rsidR="006B10D2" w:rsidRPr="0009443E" w:rsidRDefault="006B10D2" w:rsidP="00E970CB">
      <w:pPr>
        <w:pStyle w:val="QS5"/>
        <w:jc w:val="both"/>
      </w:pPr>
      <w:r w:rsidRPr="0009443E">
        <w:t xml:space="preserve">The court distinguished the facts in </w:t>
      </w:r>
      <w:r w:rsidRPr="0009443E">
        <w:rPr>
          <w:i/>
          <w:iCs/>
        </w:rPr>
        <w:t>Cahill</w:t>
      </w:r>
      <w:r w:rsidRPr="0009443E">
        <w:t xml:space="preserve">, noting that the decedent in </w:t>
      </w:r>
      <w:r w:rsidRPr="0009443E">
        <w:rPr>
          <w:i/>
          <w:iCs/>
        </w:rPr>
        <w:t>Cahill</w:t>
      </w:r>
      <w:r w:rsidRPr="0009443E">
        <w:t xml:space="preserve"> was 90 years of age, while the decedent in </w:t>
      </w:r>
      <w:r w:rsidRPr="0009443E">
        <w:rPr>
          <w:i/>
          <w:iCs/>
        </w:rPr>
        <w:t>Morrissette II</w:t>
      </w:r>
      <w:r w:rsidRPr="0009443E">
        <w:t xml:space="preserve"> was 75 years old, and the decedent in </w:t>
      </w:r>
      <w:r w:rsidRPr="0009443E">
        <w:rPr>
          <w:i/>
          <w:iCs/>
        </w:rPr>
        <w:t>Estate of Cahill</w:t>
      </w:r>
      <w:r w:rsidRPr="0009443E">
        <w:t xml:space="preserve"> borrowed the entire $10 million premium payments from a bank while Clara had sufficient assets to pay almost 90% of the premiums herself, as well as other sources of income to repay the small loan she did obtain from the company.  Perhaps more importantly, </w:t>
      </w:r>
      <w:r w:rsidRPr="0009443E">
        <w:rPr>
          <w:i/>
          <w:iCs/>
        </w:rPr>
        <w:t xml:space="preserve">Cahill, </w:t>
      </w:r>
      <w:r w:rsidRPr="0009443E">
        <w:t>unlike</w:t>
      </w:r>
      <w:r w:rsidRPr="0009443E">
        <w:rPr>
          <w:i/>
          <w:iCs/>
        </w:rPr>
        <w:t xml:space="preserve"> Morrissette II,</w:t>
      </w:r>
      <w:r w:rsidRPr="0009443E">
        <w:t xml:space="preserve"> did not involve active business operations and such financial considerations as management efficiency and succession, capital accumulation and family dynamics that put those financial considerations at risk.  The split-dollar agreements in </w:t>
      </w:r>
      <w:r w:rsidRPr="0009443E">
        <w:rPr>
          <w:i/>
          <w:iCs/>
        </w:rPr>
        <w:t>Estate of Morrissette II</w:t>
      </w:r>
      <w:r w:rsidRPr="0009443E">
        <w:t xml:space="preserve"> provided financial benefits similar to those in </w:t>
      </w:r>
      <w:r w:rsidRPr="0009443E">
        <w:rPr>
          <w:i/>
          <w:iCs/>
        </w:rPr>
        <w:t>Kimbell</w:t>
      </w:r>
      <w:r w:rsidRPr="0009443E">
        <w:t xml:space="preserve"> and unlike those in </w:t>
      </w:r>
      <w:r w:rsidRPr="0009443E">
        <w:rPr>
          <w:i/>
          <w:iCs/>
        </w:rPr>
        <w:t>Cahill</w:t>
      </w:r>
      <w:r w:rsidRPr="0009443E">
        <w:t>.</w:t>
      </w:r>
    </w:p>
    <w:p w:rsidR="006B10D2" w:rsidRPr="0009443E" w:rsidRDefault="006B10D2" w:rsidP="00E970CB">
      <w:pPr>
        <w:pStyle w:val="QS5"/>
        <w:jc w:val="both"/>
      </w:pPr>
      <w:r w:rsidRPr="0009443E">
        <w:t xml:space="preserve">The court noted that in this case, the estate tax saving was achieved not through execution of the split-dollar agreements alone, but rather through the undervaluation of the split-dollar rights. In exchange for $30 million, the dynasty trusts agreed to buy life insurance and repay the revocable trust and Clara still held the contract rights at the time of her death.  However, she no longer had use of or access to the $30 million. Thus, the split-dollar agreements changed the nature of the revocable trust’s relationship with the funds that it had transferred. </w:t>
      </w:r>
    </w:p>
    <w:p w:rsidR="006B10D2" w:rsidRPr="0009443E" w:rsidRDefault="006B10D2" w:rsidP="00E970CB">
      <w:pPr>
        <w:pStyle w:val="QS5"/>
        <w:jc w:val="both"/>
      </w:pPr>
      <w:r w:rsidRPr="0009443E">
        <w:t xml:space="preserve">The court also held that Section 2703(a) did not apply to this arrangement, in a very rare victory for the taxpayer under this section.  The court held that the split-dollar agreements were part of a </w:t>
      </w:r>
      <w:r w:rsidRPr="0009443E">
        <w:rPr>
          <w:i/>
          <w:iCs/>
        </w:rPr>
        <w:t>bona fide</w:t>
      </w:r>
      <w:r w:rsidRPr="0009443E">
        <w:t xml:space="preserve"> business arrangement, not a device to transfer property at less than adequate and full consideration, and that its terms were comparable to similar arrangements entered into at arm’s length. </w:t>
      </w:r>
    </w:p>
    <w:p w:rsidR="006B10D2" w:rsidRPr="0009443E" w:rsidRDefault="006B10D2" w:rsidP="00E970CB">
      <w:pPr>
        <w:pStyle w:val="QS5"/>
        <w:jc w:val="both"/>
      </w:pPr>
      <w:r w:rsidRPr="0009443E">
        <w:t xml:space="preserve">The court explained that, for this purpose, a bona fide business agreement must further some business purpose.  </w:t>
      </w:r>
      <w:r w:rsidRPr="0009443E">
        <w:rPr>
          <w:i/>
          <w:iCs/>
        </w:rPr>
        <w:t>Amlie v. Comm’r</w:t>
      </w:r>
      <w:r w:rsidRPr="0009443E">
        <w:t>, T.C. Memo. 2006-76.  Such a purpose was established by the estate, as discussed above.</w:t>
      </w:r>
    </w:p>
    <w:p w:rsidR="006B10D2" w:rsidRPr="0009443E" w:rsidRDefault="006B10D2" w:rsidP="00E970CB">
      <w:pPr>
        <w:pStyle w:val="QS5"/>
        <w:jc w:val="both"/>
      </w:pPr>
      <w:r w:rsidRPr="0009443E">
        <w:t xml:space="preserve">Regarding whether the agreement was a device to transfer property for less than adequate and full consideration, the court agreed with the government that some facts indicated a testamentary purpose for the split-dollar agreements, but that the mutual termination restriction was not itself a device.  Device status depends in part on the fairness of the consideration received by the transferor. See </w:t>
      </w:r>
      <w:r w:rsidRPr="0009443E">
        <w:rPr>
          <w:i/>
          <w:iCs/>
        </w:rPr>
        <w:t>Estate of True v. Comm’r</w:t>
      </w:r>
      <w:r w:rsidRPr="0009443E">
        <w:t xml:space="preserve">, T.C. Memo. 2001-167, </w:t>
      </w:r>
      <w:r w:rsidRPr="0009443E">
        <w:rPr>
          <w:u w:val="single"/>
        </w:rPr>
        <w:t>aff’d</w:t>
      </w:r>
      <w:r w:rsidRPr="0009443E">
        <w:t xml:space="preserve">, 390 F.3d 1210 (10th Cir. 2004).  Here, split-dollar agreements contained reasonable repayment terms, including an inside buildup at a guaranteed interest rate of 3% (and an actual rate of between 4.75% and 5.4%), which was comparable to long-term bonds and actually higher than the revocable trust had been earning on the transferred funds.  In light of these and the other intangible benefits discussed above, the court held that the </w:t>
      </w:r>
      <w:bookmarkStart w:id="491" w:name="co_pp_sp_999_35_1"/>
      <w:bookmarkEnd w:id="491"/>
      <w:r w:rsidRPr="0009443E">
        <w:t>mutual termination restriction was not a device.</w:t>
      </w:r>
    </w:p>
    <w:p w:rsidR="006B10D2" w:rsidRPr="0009443E" w:rsidRDefault="006B10D2" w:rsidP="00E970CB">
      <w:pPr>
        <w:pStyle w:val="QS5"/>
        <w:jc w:val="both"/>
      </w:pPr>
      <w:r w:rsidRPr="0009443E">
        <w:t>On whether the mutual termination restriction was comparable to split-dollar agreements between or among unrelated persons in an arm’s-length transaction, the court rejected the analysis of the IRS expert, who compared the Morrissette split-dollar agreements with those entered into by publicly-traded corporations to compensate executives.  The court rejected these as having “little relevance to ascertaining whether a closely held corporation or its majority shareholder would include a mutual termination restriction in a split-dollar agreement.”  T.C. Memo 2021-60 at *104.  Also, the government instructed its expert to consider only policies owned by corporate employers, which were not applicable in this case where the corporation had no interest in the policies; the policies were owned by the dynasty trusts.  The court noted that the government could not justify this limitation on the policies considered by its expert.</w:t>
      </w:r>
    </w:p>
    <w:p w:rsidR="006B10D2" w:rsidRPr="0009443E" w:rsidRDefault="006B10D2" w:rsidP="00E970CB">
      <w:pPr>
        <w:pStyle w:val="QS5"/>
        <w:jc w:val="both"/>
      </w:pPr>
      <w:r w:rsidRPr="0009443E">
        <w:t xml:space="preserve">Additionally, the split-dollar agreements reviewed by the government’s expert included some type of restriction on the employer’s right to terminate the agreement unilaterally, such as vesting for years of service.  Here, the senior executives had worked for the company for over 40 years and the court stated that: </w:t>
      </w:r>
    </w:p>
    <w:p w:rsidR="006B10D2" w:rsidRPr="0009443E" w:rsidRDefault="006B10D2" w:rsidP="00E970CB">
      <w:pPr>
        <w:autoSpaceDE w:val="0"/>
        <w:autoSpaceDN w:val="0"/>
        <w:adjustRightInd w:val="0"/>
        <w:spacing w:after="240"/>
        <w:ind w:left="1440" w:right="720"/>
        <w:jc w:val="both"/>
        <w:rPr>
          <w:i/>
          <w:iCs/>
          <w:color w:val="000000"/>
          <w:szCs w:val="20"/>
        </w:rPr>
      </w:pPr>
      <w:r w:rsidRPr="0009443E">
        <w:rPr>
          <w:color w:val="000000"/>
          <w:szCs w:val="20"/>
        </w:rPr>
        <w:t>[l]ong-term senior executives would likely demand a mutual termination restriction comparable to the one at issue, and the reviewed agreements provide vesting provisions. The mutual termination restriction would ensure the executives’ rights to the net death benefits similar to vesting in employment compensation packages on the basis of years of service. In total, approximately 30% of the public agreements imposed some restriction on the employer’s termination rights. The termination rights of another 13% are not as clear as respondent argues.</w:t>
      </w:r>
      <w:r w:rsidRPr="0009443E">
        <w:rPr>
          <w:i/>
          <w:iCs/>
          <w:color w:val="000000"/>
          <w:szCs w:val="20"/>
        </w:rPr>
        <w:t xml:space="preserve">  </w:t>
      </w:r>
      <w:r w:rsidRPr="0009443E">
        <w:rPr>
          <w:color w:val="000000"/>
          <w:szCs w:val="20"/>
        </w:rPr>
        <w:t xml:space="preserve">T.C. Memo 2021-60 at *105.  </w:t>
      </w:r>
    </w:p>
    <w:p w:rsidR="006B10D2" w:rsidRPr="0009443E" w:rsidRDefault="006B10D2" w:rsidP="00E970CB">
      <w:pPr>
        <w:pStyle w:val="QS5"/>
        <w:jc w:val="both"/>
      </w:pPr>
      <w:r w:rsidRPr="0009443E">
        <w:t>The taxpayer was less successful in sustaining a $7.5 million valuation for the decedent’s rights under the split-dollar agreements.  The court explained that there were two differences between the analyses of the estate’s experts and the government’s expert: (a) computation of the probability-adjusted expected values of the policies; and (b) the applicable discount rates to determine the present value of those expected returns.  The experts differed on both issues, but far more significantly on the second than on the first.</w:t>
      </w:r>
    </w:p>
    <w:p w:rsidR="006B10D2" w:rsidRPr="0009443E" w:rsidRDefault="006B10D2" w:rsidP="00E970CB">
      <w:pPr>
        <w:pStyle w:val="QS5"/>
        <w:jc w:val="both"/>
      </w:pPr>
      <w:bookmarkStart w:id="492" w:name="co_anchor_I9bc833f1b4a311ebbf06aef927e0e"/>
      <w:bookmarkEnd w:id="492"/>
      <w:r w:rsidRPr="0009443E">
        <w:t xml:space="preserve">Each expert determined a probability-adjusted expected value for each year of the brothers’ life expectancies by estimating an expected cash surrender value for each year and multiplying that value by the brothers’ probabilities of mortality that year.  On the expected value of the policies, one of the estate’s experts valued the split-dollar rights at $7,808,314.  The court rejected this valuation because the estate’s expert used a blended yield rate that placed too much weight on anticipated decreases in the actual policy yields, and thereby inappropriately decreased the expected cash surrender values.  The court also rejected this valuation because the expert used policy illustrations that were not issued close to the valuation date, which the court noted involve subsequent events that were not foreseeable on the valuation date are not, therefore, generally helpful. Citing </w:t>
      </w:r>
      <w:r w:rsidRPr="0009443E">
        <w:rPr>
          <w:i/>
          <w:iCs/>
        </w:rPr>
        <w:t>Messing v. Comm’r</w:t>
      </w:r>
      <w:r w:rsidRPr="0009443E">
        <w:t>, 48 T.C. 502, 509 (1967).</w:t>
      </w:r>
    </w:p>
    <w:p w:rsidR="006B10D2" w:rsidRPr="0009443E" w:rsidRDefault="006B10D2" w:rsidP="00E970CB">
      <w:pPr>
        <w:pStyle w:val="QS5"/>
        <w:jc w:val="both"/>
      </w:pPr>
      <w:r w:rsidRPr="0009443E">
        <w:t>Both of the estate’s experts used the IRS mortality table for to determine the probability of each insured dying in each year.  Actually, the government’s expert used tables that provided a lower valuation for the estate, which the court treated as a concession.</w:t>
      </w:r>
    </w:p>
    <w:p w:rsidR="006B10D2" w:rsidRPr="0009443E" w:rsidRDefault="006B10D2" w:rsidP="00E970CB">
      <w:pPr>
        <w:pStyle w:val="QS5"/>
        <w:jc w:val="both"/>
      </w:pPr>
      <w:r w:rsidRPr="0009443E">
        <w:t xml:space="preserve">The court accepted the discount rates of 8.85% and 6.4% (different rates for different insurers) proposed by the government’s expert, finding that they more accurately reflected the risk that the insurers would default on their payment obligations under the policies. </w:t>
      </w:r>
      <w:bookmarkStart w:id="493" w:name="co_pp_sp_999_38_1"/>
      <w:bookmarkEnd w:id="493"/>
      <w:r w:rsidRPr="0009443E">
        <w:t xml:space="preserve"> That expert used yields that were lower than the average historic yields for both insurers, because interest rates for U.S. Treasury bonds were at a 50-year low.  The court held that considering the spot yields on U.S. Treasury bonds more accurately captured the market conditions on the valuation date.  The court also held that the actuarial tables negated the argument that it was difficult to determine the timing of the repayments (although a standard actuarial table does little to predict when one of the insured Morrissette sons would actually die).</w:t>
      </w:r>
    </w:p>
    <w:p w:rsidR="006B10D2" w:rsidRPr="0009443E" w:rsidRDefault="006B10D2" w:rsidP="00E970CB">
      <w:pPr>
        <w:pStyle w:val="QS5"/>
        <w:jc w:val="both"/>
      </w:pPr>
      <w:r w:rsidRPr="0009443E">
        <w:t xml:space="preserve">The estate’s experts used life settlement yields as the discount rate, producing a range of yields from 15% to 18% (one expert) or from 9.3% to 23.2% (the other expert).  The court rejected these yields because life settlement yields require information regarding the varying sizes of the underlying policies, the financial strength of the insurance companies, the insureds’ medical histories, mortality assumptions, and continued obligations to pay premiums.  Most of this information was not available to the court.  The court stated that, “[w]ithout more information, it is not possible to place the split-dollar agreements accurately within that range.”  T.C. Memo 2021-60 at *115.  </w:t>
      </w:r>
    </w:p>
    <w:p w:rsidR="00E970CB" w:rsidRDefault="006B10D2" w:rsidP="00E970CB">
      <w:pPr>
        <w:pStyle w:val="QS5"/>
        <w:jc w:val="both"/>
      </w:pPr>
      <w:r w:rsidRPr="0009443E">
        <w:t xml:space="preserve">More importantly, the court agreed with the government that the sons likely intended to terminate the split-dollar agreements on December 31, 2013 (when the statute of limitations on estate tax deficiencies regarding Clara’s estate return expired), and that this should be deemed to be the maturity date of the policies, producing a fair market value of $27,857,709.  The court noted that the revocable trust agreement provided that the split-dollar rights would be allocated to the respective dynasty trusts that owned the underlying policies, which would give the dynasty trusts full control over the policies and allow them to terminate the agreements on December 31, 2013.  </w:t>
      </w:r>
    </w:p>
    <w:p w:rsidR="006B10D2" w:rsidRPr="0009443E" w:rsidRDefault="006B10D2" w:rsidP="00E970CB">
      <w:pPr>
        <w:pStyle w:val="QS5"/>
        <w:jc w:val="both"/>
      </w:pPr>
      <w:r w:rsidRPr="0009443E">
        <w:t xml:space="preserve">The court also sustained a 40% gross valuation misstatement penalty with respect to the valuation of the split-dollar agreement rights held by Clara’s estate.  </w:t>
      </w:r>
      <w:bookmarkStart w:id="494" w:name="co_pp_sp_999_41_1"/>
      <w:bookmarkEnd w:id="494"/>
      <w:r w:rsidRPr="0009443E">
        <w:t xml:space="preserve">It rejected claims that the penalties were never approved by the agent’s supervisors, as required under Section 6751(b).  While the approval had been done without great formality, such formality is not required and the court found adequate evidence to sustain the penalty as having been approved.  </w:t>
      </w:r>
    </w:p>
    <w:p w:rsidR="006B10D2" w:rsidRPr="0009443E" w:rsidRDefault="006B10D2" w:rsidP="00E970CB">
      <w:pPr>
        <w:pStyle w:val="QS5"/>
        <w:jc w:val="both"/>
      </w:pPr>
      <w:r w:rsidRPr="0009443E">
        <w:t xml:space="preserve">The court also held that the estate had not reasonably relied on the opinions of its valuation experts.  Reliance on professional advice may provide a reasonable cause defense if, under all the circumstances, the reliance was reasonable and in good faith.  </w:t>
      </w:r>
      <w:r w:rsidRPr="0009443E">
        <w:rPr>
          <w:i/>
          <w:iCs/>
        </w:rPr>
        <w:t>Neonatology Assocs., P.A. v. Comm’r</w:t>
      </w:r>
      <w:r w:rsidRPr="0009443E">
        <w:t xml:space="preserve">, 115 T.C. 43, 98-99 (2000), </w:t>
      </w:r>
      <w:r w:rsidRPr="0009443E">
        <w:rPr>
          <w:i/>
          <w:iCs/>
        </w:rPr>
        <w:t>aff’d</w:t>
      </w:r>
      <w:r w:rsidRPr="0009443E">
        <w:t xml:space="preserve">, 299 F.3d 221 (3d Cir. 2002).  The court stated that the estate’s $7.5 million appraisal was not reasonable and the sons should have realized it.  Despite the business and other nontax purposes for entering into the split-dollar agreements, the sons knew that these arrangements were being marketed as an estate tax saving strategy, and that the tax benefits would be obtained through the low valuation of the split-dollar agreements.  The only purpose for valuing the split-dollar rights at $7.4 million rather than the $30 million that the revocable trust actually paid was estate tax saving. </w:t>
      </w:r>
    </w:p>
    <w:p w:rsidR="006B10D2" w:rsidRDefault="006B10D2" w:rsidP="00E970CB">
      <w:pPr>
        <w:pStyle w:val="QS5"/>
        <w:jc w:val="both"/>
      </w:pPr>
      <w:r w:rsidRPr="0009443E">
        <w:rPr>
          <w:i/>
          <w:iCs/>
        </w:rPr>
        <w:t xml:space="preserve">Morrissette II </w:t>
      </w:r>
      <w:r w:rsidRPr="0009443E">
        <w:t xml:space="preserve">suggests that intergenerational split-dollar life insurance arrangements may work, though only in certain specific situations.  First, there must be a bona fide nontax purpose for the arrangement.  There was none in </w:t>
      </w:r>
      <w:r w:rsidRPr="0009443E">
        <w:rPr>
          <w:i/>
          <w:iCs/>
        </w:rPr>
        <w:t>Cahill</w:t>
      </w:r>
      <w:r w:rsidRPr="0009443E">
        <w:t xml:space="preserve">, but the business succession issues in </w:t>
      </w:r>
      <w:r w:rsidRPr="0009443E">
        <w:rPr>
          <w:i/>
          <w:iCs/>
        </w:rPr>
        <w:t>Morrissette II</w:t>
      </w:r>
      <w:r w:rsidRPr="0009443E">
        <w:t xml:space="preserve"> provided a clear and substantial nontax purpose.  Once such a purpose exists, the co-existence of tax motivations may not be a problem.</w:t>
      </w:r>
    </w:p>
    <w:p w:rsidR="006B10D2" w:rsidRPr="0009443E" w:rsidRDefault="006B10D2" w:rsidP="00E970CB">
      <w:pPr>
        <w:pStyle w:val="QS5"/>
        <w:jc w:val="both"/>
      </w:pPr>
      <w:r w:rsidRPr="0009443E">
        <w:t xml:space="preserve">Second, the planned disposition of the decedent’s rights under the split-dollar agreement to the trusts for the insureds and their descendants proved problematic in </w:t>
      </w:r>
      <w:r w:rsidRPr="0009443E">
        <w:rPr>
          <w:i/>
          <w:iCs/>
        </w:rPr>
        <w:t>Morrissette II</w:t>
      </w:r>
      <w:r w:rsidRPr="0009443E">
        <w:t>.  This was the basis by which the Tax Court valued the retained rights under the split-dollar agreements at a figure far in excess of the actuarial value that the taxpayer reported on the decedent’s estate tax return.  Had these rights be left to, for example, a separate common trust fund for the descendants of the deceased, rather than to the specific dynasty trusts that owned the policies themselves, a different and more favorable result might have been achieved.</w:t>
      </w:r>
    </w:p>
    <w:p w:rsidR="006B10D2" w:rsidRPr="0009443E" w:rsidRDefault="006B10D2" w:rsidP="00E970CB">
      <w:pPr>
        <w:pStyle w:val="QS5"/>
        <w:jc w:val="both"/>
      </w:pPr>
      <w:r w:rsidRPr="0009443E">
        <w:t xml:space="preserve">This aspect of the </w:t>
      </w:r>
      <w:r w:rsidRPr="0009443E">
        <w:rPr>
          <w:u w:val="single"/>
        </w:rPr>
        <w:t>Morrissette II</w:t>
      </w:r>
      <w:r w:rsidRPr="0009443E">
        <w:t xml:space="preserve"> opinion is questionable.  Clara’s rights under the split-dollar agreements should be valued as of the date of her death based on the price a hypothetical unrelated person would pay for those rights.  Instead, the court determined the value of those rights taking into account (a) the specific rights in the split-dollar agreements which the dynasty trusts received from the revocable trust as a result of Clara’s death, and (b) the specific rights the dynasty trusts acquired when they entered into the split-dollar agreements.  Under that analysis, the split-dollar agreements terminated, and each dynasty trust acquired complete control of the underlying policies which insured the life of the other two Morrissette sons pursuant to the cross-purchase arrangements. A hypothetical unrelated person who purchased the Receivables would not have had the right to terminate the split-dollar arrangements. Moreover, since the court found that one of the insured Morrissette sons was diagnosed with terminal cancer before the estate filed its estate tax return, and a second son died of brain cancer shortly thereafter, it is unlikely that the independent trustees of the dynasty trusts would have agreed to terminate the policies to obtain the cash surrender values.</w:t>
      </w:r>
    </w:p>
    <w:p w:rsidR="006B10D2" w:rsidRPr="0009443E" w:rsidRDefault="006B10D2" w:rsidP="00E970CB">
      <w:pPr>
        <w:pStyle w:val="QS5"/>
        <w:jc w:val="both"/>
      </w:pPr>
      <w:r w:rsidRPr="0009443E">
        <w:t xml:space="preserve">Third, Section 2703, while devastating in </w:t>
      </w:r>
      <w:r w:rsidRPr="0009443E">
        <w:rPr>
          <w:i/>
          <w:iCs/>
        </w:rPr>
        <w:t>Cahill</w:t>
      </w:r>
      <w:r w:rsidRPr="0009443E">
        <w:t>, was surmounted by the taxpayer in Morrissette II principally because of the existence of a clear and substantial nontax business purpose for the agreements.  One would, of course, still would have to establish that the terms of the agreement are comparable to similar arrangements entered into by persons in an arms’ length transaction, but it seems likely that this will be relatively easy to overcome if there is a substantial nontax business purpose for the agreements.</w:t>
      </w:r>
    </w:p>
    <w:p w:rsidR="006B10D2" w:rsidRPr="0009443E" w:rsidRDefault="006B10D2" w:rsidP="00E970CB">
      <w:pPr>
        <w:pStyle w:val="QS5"/>
        <w:jc w:val="both"/>
      </w:pPr>
      <w:r w:rsidRPr="0009443E">
        <w:t xml:space="preserve">Fourth, the decedent’s arguments in </w:t>
      </w:r>
      <w:r w:rsidRPr="0009443E">
        <w:rPr>
          <w:i/>
          <w:iCs/>
        </w:rPr>
        <w:t>Cahill</w:t>
      </w:r>
      <w:r w:rsidRPr="0009443E">
        <w:t xml:space="preserve"> were weakened because the transaction was negotiated between the trustee of the revocable trust (the decedent’s son and attorney-in-fact) and his cousin (the trustee of the MB Trust). The transaction would have had far more credibility were the trustees independent and unrelated to each other. Obviously, this increases the cost of the transaction, but it is a small price to pay to give the arrangement a far more bona fide appearance.</w:t>
      </w:r>
    </w:p>
    <w:p w:rsidR="006B10D2" w:rsidRPr="0009443E" w:rsidRDefault="006B10D2" w:rsidP="00E970CB">
      <w:pPr>
        <w:pStyle w:val="QS5"/>
        <w:jc w:val="both"/>
      </w:pPr>
      <w:r w:rsidRPr="0009443E">
        <w:t xml:space="preserve">Fifth, the use of a third-party loan to pay the life insurance premiums is not inherently inappropriate or disqualifying, but the existence of sufficient personal assets to make these payments was cited favorably by the court in </w:t>
      </w:r>
      <w:r w:rsidRPr="0009443E">
        <w:rPr>
          <w:i/>
          <w:iCs/>
        </w:rPr>
        <w:t>Morrissette II</w:t>
      </w:r>
      <w:r w:rsidRPr="0009443E">
        <w:t xml:space="preserve">.  Also, it is likely that the lender required that the decedent in </w:t>
      </w:r>
      <w:r w:rsidRPr="0009443E">
        <w:rPr>
          <w:i/>
          <w:iCs/>
        </w:rPr>
        <w:t>Cahill</w:t>
      </w:r>
      <w:r w:rsidRPr="0009443E">
        <w:t xml:space="preserve"> have the right to terminate the agreement, at a minimum with the consent of the trustee of the MB Trust. Also, the existence of the loan raises the presumption that the donor anticipates getting the cash out of the policy not later than when the loan becomes due. Thus, it is better if the premiums are paid from assets already held by the expected decedent, or from money borrowed against assets other than the policy. </w:t>
      </w:r>
    </w:p>
    <w:p w:rsidR="006B10D2" w:rsidRPr="0009443E" w:rsidRDefault="006B10D2" w:rsidP="00E970CB">
      <w:pPr>
        <w:pStyle w:val="QS5"/>
        <w:jc w:val="both"/>
      </w:pPr>
      <w:r w:rsidRPr="0009443E">
        <w:t xml:space="preserve">Another approach would be to eliminate entirely the right to terminate the agreement that was deemed a power under Section 2036(a)(2) and 2038.  In both </w:t>
      </w:r>
      <w:r w:rsidRPr="0009443E">
        <w:rPr>
          <w:i/>
          <w:iCs/>
        </w:rPr>
        <w:t>Cahill</w:t>
      </w:r>
      <w:r w:rsidRPr="0009443E">
        <w:t xml:space="preserve"> and </w:t>
      </w:r>
      <w:r w:rsidRPr="0009443E">
        <w:rPr>
          <w:i/>
          <w:iCs/>
        </w:rPr>
        <w:t>Morrissette</w:t>
      </w:r>
      <w:r w:rsidRPr="0009443E">
        <w:t xml:space="preserve">, this power was expressly provided by the split-dollar agreement.  A court has reason to be skeptical about any power of the donor to require that the policy be cashed-in, either alone or together with the donee, because the donor no longer owns the policy. The right to cash-in the policy ought to rest with the policy owner.  Where a donor borrows to pay the premiums and must use the policy as security for the loan, it is likely that the lender will require that the donor have the ability to reach the cash values. Otherwise, however, such a provision is really not essential to the validity of the split-dollar agreement or the effectiveness of the arrangement. The agreement should provide what happens when the insured dies (that the premiums or cash value are repaid), and it should provide what happens if the policy is cancelled (repayment of the cash value), but it need not provide what happens if the agreement itself is terminated. Generally, contracts presume that they will be implemented, rather than terminated.  </w:t>
      </w:r>
    </w:p>
    <w:p w:rsidR="006B10D2" w:rsidRPr="0009443E" w:rsidRDefault="006B10D2" w:rsidP="00E970CB">
      <w:pPr>
        <w:pStyle w:val="QS5"/>
        <w:jc w:val="both"/>
      </w:pPr>
      <w:r w:rsidRPr="0009443E">
        <w:t>The split-dollar agreement could, instead, be silent on termination and assume that the payments by the decedent will be repaid when the insured dies or the policy is cancelled. Moreover, it could grant the right to terminate the policy and the agreement solely to the donee—the irrevocable trust. This seems both reasonable from a business standpoint, because it vests the right to terminate in the policy’s actual owner, and prudent from an estate tax standpoint, because it deprives the donor of any power that could be classified as a right to control beneficial enjoyment under Section 2036(a)(2) or a right to alter or amend beneficial enjoyment under Section 2038.</w:t>
      </w:r>
    </w:p>
    <w:p w:rsidR="006B10D2" w:rsidRPr="0009443E" w:rsidRDefault="006B10D2" w:rsidP="00E970CB">
      <w:pPr>
        <w:pStyle w:val="QS5"/>
        <w:jc w:val="both"/>
        <w:rPr>
          <w:b/>
          <w:bCs/>
        </w:rPr>
      </w:pPr>
      <w:r w:rsidRPr="0009443E">
        <w:t>Clients may object because they fear that circumstances may change and they may need to recover cash from the policy. This is not a serious problem, however, because general contract law provides that all of the parties to a contract can agree to terminate it by mutual consent.</w:t>
      </w:r>
      <w:r w:rsidRPr="0009443E">
        <w:rPr>
          <w:b/>
        </w:rPr>
        <w:t xml:space="preserve"> </w:t>
      </w:r>
      <w:r w:rsidRPr="0009443E">
        <w:t xml:space="preserve">See, e.g., 29 Williston on Contracts § 73—Elements of Rescission (4th ed.). Thus, the provision in </w:t>
      </w:r>
      <w:r w:rsidRPr="0009443E">
        <w:rPr>
          <w:i/>
          <w:iCs/>
        </w:rPr>
        <w:t>Cahill</w:t>
      </w:r>
      <w:r w:rsidRPr="0009443E">
        <w:t xml:space="preserve"> did not really give the donor anything that he did not already have. A right afforded by state law, however, is not a retained right to alter, amend, revoke, or terminate or to control beneficial enjoyment for estate tax purposes.  </w:t>
      </w:r>
      <w:bookmarkStart w:id="495" w:name="_Hlk72068941"/>
      <w:r w:rsidRPr="0009443E">
        <w:rPr>
          <w:i/>
          <w:iCs/>
        </w:rPr>
        <w:t>Helvering v. Helmholz</w:t>
      </w:r>
      <w:r w:rsidRPr="0009443E">
        <w:t>, 296 U.S. 93 (1935).</w:t>
      </w:r>
      <w:bookmarkEnd w:id="495"/>
    </w:p>
    <w:p w:rsidR="006B10D2" w:rsidRPr="0009443E" w:rsidRDefault="006B10D2" w:rsidP="00E970CB">
      <w:pPr>
        <w:pStyle w:val="QS5"/>
        <w:jc w:val="both"/>
        <w:rPr>
          <w:b/>
          <w:bCs/>
        </w:rPr>
      </w:pPr>
      <w:r w:rsidRPr="0009443E">
        <w:t xml:space="preserve">In light of the current low applicable federal rates (AFR), one could also consider replacing an economic benefit split-dollar agreement with a simple promissory note, providing for annual payments of interest at the relevant AFR, until the death of the insured, and for repayment of the entire principal at that time.  The Tax Court in </w:t>
      </w:r>
      <w:r w:rsidRPr="0009443E">
        <w:rPr>
          <w:i/>
          <w:iCs/>
        </w:rPr>
        <w:t>Cahill</w:t>
      </w:r>
      <w:r w:rsidRPr="0009443E">
        <w:t xml:space="preserve"> recognized that Sections 2036 and 2038 did not apply to a simple promissory note and took pains to distinguish a split-dollar agreement from a promissory note.  The taxpayer may thus accept this analysis and, instead, lend the irrevocable trust an amount sufficient to pay the premiums on the insurance policies.  The parties should also comply with the safe harbor under Reg. § 1.7872-15, by filing the IRS statement for each nonrecourse loan that a reasonable person would expect repayment in full.</w:t>
      </w:r>
    </w:p>
    <w:p w:rsidR="006B10D2" w:rsidRPr="0009443E" w:rsidRDefault="006B10D2" w:rsidP="00E970CB">
      <w:pPr>
        <w:pStyle w:val="QS5"/>
        <w:jc w:val="both"/>
      </w:pPr>
      <w:r w:rsidRPr="0009443E">
        <w:t>Of course, arrangements would have to be made for paying the interest on the loan currently. Such arrangements could involve additional gifts, withdrawals from the policy cash values, or annual deemed gifts of the unpaid interest. The discount for the promissory note is likely to be less than comparable to that for a split-dollar agreement, but it should still be significant because (a) the term of the note is both uncertain (the death of the insured) and far into the future, and (b) the AFR rates are currently substantially below market interest rates.  This approach also has the double benefit of simplicity and clarity. It is far less complex to draft than an intergenerational split-dollar agreement, and the parties are far more likely to understand its terms than they are those of an intergenerational split-dollar agreement.</w:t>
      </w:r>
    </w:p>
    <w:p w:rsidR="00485DB9" w:rsidRDefault="00856D6A">
      <w:pPr>
        <w:pStyle w:val="Heading1"/>
        <w:rPr>
          <w:color w:val="000000"/>
        </w:rPr>
      </w:pPr>
      <w:bookmarkStart w:id="496" w:name="_Toc168206603"/>
      <w:bookmarkStart w:id="497" w:name="_Toc168218234"/>
      <w:bookmarkStart w:id="498" w:name="_Toc231154889"/>
      <w:bookmarkStart w:id="499" w:name="_Toc295129796"/>
      <w:bookmarkStart w:id="500" w:name="_Toc295132409"/>
      <w:bookmarkStart w:id="501" w:name="_Toc295133929"/>
      <w:bookmarkStart w:id="502" w:name="_Toc295133964"/>
      <w:bookmarkStart w:id="503" w:name="_Toc295136494"/>
      <w:bookmarkStart w:id="504" w:name="_Toc297645099"/>
      <w:bookmarkStart w:id="505" w:name="_Toc297647170"/>
      <w:bookmarkStart w:id="506" w:name="_Toc297728357"/>
      <w:bookmarkStart w:id="507" w:name="_Toc297732816"/>
      <w:bookmarkStart w:id="508" w:name="_Toc298255209"/>
      <w:bookmarkStart w:id="509" w:name="_Toc298316783"/>
      <w:bookmarkStart w:id="510" w:name="_Toc298334628"/>
      <w:bookmarkStart w:id="511" w:name="_Toc298338126"/>
      <w:bookmarkStart w:id="512" w:name="_Toc301364466"/>
      <w:bookmarkStart w:id="513" w:name="_Toc302465926"/>
      <w:bookmarkStart w:id="514" w:name="_Toc303094301"/>
      <w:bookmarkStart w:id="515" w:name="_Toc303172898"/>
      <w:bookmarkStart w:id="516" w:name="_Toc303181228"/>
      <w:bookmarkStart w:id="517" w:name="_Toc321753641"/>
      <w:bookmarkStart w:id="518" w:name="_Toc322015822"/>
      <w:bookmarkStart w:id="519" w:name="_Toc322015995"/>
      <w:bookmarkStart w:id="520" w:name="_Toc322016533"/>
      <w:bookmarkStart w:id="521" w:name="_Toc376946778"/>
      <w:bookmarkStart w:id="522" w:name="_Toc376947625"/>
      <w:bookmarkStart w:id="523" w:name="_Toc376948419"/>
      <w:bookmarkStart w:id="524" w:name="_Toc376949213"/>
      <w:bookmarkStart w:id="525" w:name="_Toc94704660"/>
      <w:r w:rsidRPr="00454670">
        <w:rPr>
          <w:color w:val="000000"/>
        </w:rPr>
        <w:t>SECTION</w:t>
      </w:r>
      <w:r w:rsidR="00C64050">
        <w:rPr>
          <w:color w:val="000000"/>
        </w:rPr>
        <w:t xml:space="preserve"> </w:t>
      </w:r>
      <w:r w:rsidRPr="00454670">
        <w:rPr>
          <w:color w:val="000000"/>
        </w:rPr>
        <w:t>2053</w:t>
      </w:r>
      <w:r w:rsidR="00C64050">
        <w:rPr>
          <w:color w:val="000000"/>
        </w:rPr>
        <w:t xml:space="preserve"> </w:t>
      </w:r>
      <w:r w:rsidRPr="00454670">
        <w:rPr>
          <w:color w:val="000000"/>
        </w:rPr>
        <w:t>and</w:t>
      </w:r>
      <w:r w:rsidR="00C64050">
        <w:rPr>
          <w:color w:val="000000"/>
        </w:rPr>
        <w:t xml:space="preserve"> </w:t>
      </w:r>
      <w:r w:rsidRPr="00454670">
        <w:rPr>
          <w:color w:val="000000"/>
        </w:rPr>
        <w:t>2054</w:t>
      </w:r>
      <w:r w:rsidR="00C64050">
        <w:rPr>
          <w:color w:val="000000"/>
        </w:rPr>
        <w:t xml:space="preserve"> </w:t>
      </w:r>
      <w:r w:rsidRPr="00454670">
        <w:rPr>
          <w:color w:val="000000"/>
        </w:rPr>
        <w:t>-</w:t>
      </w:r>
      <w:r w:rsidR="00C64050">
        <w:rPr>
          <w:color w:val="000000"/>
        </w:rPr>
        <w:t xml:space="preserve"> </w:t>
      </w:r>
      <w:r w:rsidRPr="00454670">
        <w:rPr>
          <w:color w:val="000000"/>
        </w:rPr>
        <w:t>DEBTS</w:t>
      </w:r>
      <w:r w:rsidR="00C64050">
        <w:rPr>
          <w:color w:val="000000"/>
        </w:rPr>
        <w:t xml:space="preserve"> </w:t>
      </w:r>
      <w:r w:rsidRPr="00454670">
        <w:rPr>
          <w:color w:val="000000"/>
        </w:rPr>
        <w:t>AND</w:t>
      </w:r>
      <w:r w:rsidR="00C64050">
        <w:rPr>
          <w:color w:val="000000"/>
        </w:rPr>
        <w:t xml:space="preserve"> </w:t>
      </w:r>
      <w:r w:rsidRPr="00454670">
        <w:rPr>
          <w:color w:val="000000"/>
        </w:rPr>
        <w:t>ADMINISTRATION</w:t>
      </w:r>
      <w:r w:rsidR="00C64050">
        <w:rPr>
          <w:color w:val="000000"/>
        </w:rPr>
        <w:t xml:space="preserve"> </w:t>
      </w:r>
      <w:r w:rsidRPr="00454670">
        <w:rPr>
          <w:color w:val="000000"/>
        </w:rPr>
        <w:t>EXPENSES</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rsidR="00485DB9" w:rsidRDefault="00856D6A">
      <w:pPr>
        <w:pStyle w:val="Heading1"/>
        <w:rPr>
          <w:color w:val="000000"/>
        </w:rPr>
      </w:pPr>
      <w:bookmarkStart w:id="526" w:name="_Toc168206606"/>
      <w:bookmarkStart w:id="527" w:name="_Toc168218239"/>
      <w:bookmarkStart w:id="528" w:name="_Toc231154891"/>
      <w:bookmarkStart w:id="529" w:name="_Toc295129797"/>
      <w:bookmarkStart w:id="530" w:name="_Toc295132412"/>
      <w:bookmarkStart w:id="531" w:name="_Toc295133932"/>
      <w:bookmarkStart w:id="532" w:name="_Toc295133967"/>
      <w:bookmarkStart w:id="533" w:name="_Toc295136498"/>
      <w:bookmarkStart w:id="534" w:name="_Toc297645103"/>
      <w:bookmarkStart w:id="535" w:name="_Toc297647174"/>
      <w:bookmarkStart w:id="536" w:name="_Toc297728364"/>
      <w:bookmarkStart w:id="537" w:name="_Toc297732824"/>
      <w:bookmarkStart w:id="538" w:name="_Toc298255215"/>
      <w:bookmarkStart w:id="539" w:name="_Toc298316789"/>
      <w:bookmarkStart w:id="540" w:name="_Toc298334634"/>
      <w:bookmarkStart w:id="541" w:name="_Toc298338132"/>
      <w:bookmarkStart w:id="542" w:name="_Toc301364472"/>
      <w:bookmarkStart w:id="543" w:name="_Toc302465932"/>
      <w:bookmarkStart w:id="544" w:name="_Toc303094307"/>
      <w:bookmarkStart w:id="545" w:name="_Toc303172905"/>
      <w:bookmarkStart w:id="546" w:name="_Toc303181235"/>
      <w:bookmarkStart w:id="547" w:name="_Toc321753651"/>
      <w:bookmarkStart w:id="548" w:name="_Toc322015832"/>
      <w:bookmarkStart w:id="549" w:name="_Toc322016005"/>
      <w:bookmarkStart w:id="550" w:name="_Toc322016543"/>
      <w:bookmarkStart w:id="551" w:name="_Toc376946780"/>
      <w:bookmarkStart w:id="552" w:name="_Toc376947627"/>
      <w:bookmarkStart w:id="553" w:name="_Toc376948421"/>
      <w:bookmarkStart w:id="554" w:name="_Toc376949215"/>
      <w:bookmarkStart w:id="555" w:name="_Toc94704661"/>
      <w:r w:rsidRPr="00454670">
        <w:rPr>
          <w:color w:val="000000"/>
        </w:rPr>
        <w:t>SECTIONS</w:t>
      </w:r>
      <w:r w:rsidR="00C64050">
        <w:rPr>
          <w:color w:val="000000"/>
        </w:rPr>
        <w:t xml:space="preserve"> </w:t>
      </w:r>
      <w:r w:rsidRPr="00454670">
        <w:rPr>
          <w:color w:val="000000"/>
        </w:rPr>
        <w:t>2056,</w:t>
      </w:r>
      <w:r w:rsidR="00C64050">
        <w:rPr>
          <w:color w:val="000000"/>
        </w:rPr>
        <w:t xml:space="preserve"> </w:t>
      </w:r>
      <w:r w:rsidRPr="00454670">
        <w:rPr>
          <w:color w:val="000000"/>
        </w:rPr>
        <w:t>2056A</w:t>
      </w:r>
      <w:r w:rsidR="00C64050">
        <w:rPr>
          <w:color w:val="000000"/>
        </w:rPr>
        <w:t xml:space="preserve"> </w:t>
      </w:r>
      <w:r w:rsidRPr="00454670">
        <w:rPr>
          <w:color w:val="000000"/>
        </w:rPr>
        <w:t>AND</w:t>
      </w:r>
      <w:r w:rsidR="00C64050">
        <w:rPr>
          <w:color w:val="000000"/>
        </w:rPr>
        <w:t xml:space="preserve"> </w:t>
      </w:r>
      <w:r w:rsidRPr="00454670">
        <w:rPr>
          <w:color w:val="000000"/>
        </w:rPr>
        <w:t>2519-</w:t>
      </w:r>
      <w:r w:rsidR="00C64050">
        <w:rPr>
          <w:color w:val="000000"/>
        </w:rPr>
        <w:t xml:space="preserve"> </w:t>
      </w:r>
      <w:r w:rsidRPr="00454670">
        <w:rPr>
          <w:color w:val="000000"/>
        </w:rPr>
        <w:t>MARITAL</w:t>
      </w:r>
      <w:r w:rsidR="00C64050">
        <w:rPr>
          <w:color w:val="000000"/>
        </w:rPr>
        <w:t xml:space="preserve"> </w:t>
      </w:r>
      <w:r w:rsidRPr="00454670">
        <w:rPr>
          <w:color w:val="000000"/>
        </w:rPr>
        <w:t>DEDUCTION</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rsidR="008713B4" w:rsidRPr="00A32861" w:rsidRDefault="00661038" w:rsidP="00A32861">
      <w:pPr>
        <w:pStyle w:val="Heading20"/>
        <w:numPr>
          <w:ilvl w:val="1"/>
          <w:numId w:val="26"/>
        </w:numPr>
        <w:tabs>
          <w:tab w:val="clear" w:pos="2700"/>
        </w:tabs>
        <w:ind w:left="0"/>
        <w:rPr>
          <w:b/>
          <w:vanish/>
          <w:color w:val="000000"/>
          <w:u w:val="single"/>
          <w:specVanish/>
        </w:rPr>
      </w:pPr>
      <w:bookmarkStart w:id="556" w:name="_Toc94704662"/>
      <w:r w:rsidRPr="00A32861">
        <w:rPr>
          <w:b/>
          <w:color w:val="000000"/>
          <w:u w:val="single"/>
        </w:rPr>
        <w:t>Termination of QTIP Trust Creates Double Gifts</w:t>
      </w:r>
      <w:bookmarkEnd w:id="556"/>
    </w:p>
    <w:p w:rsidR="00661038" w:rsidRPr="00DD5B8E" w:rsidRDefault="00661038" w:rsidP="00DD5B8E">
      <w:pPr>
        <w:pStyle w:val="Heading2Body"/>
      </w:pPr>
      <w:r w:rsidRPr="00DB0F17">
        <w:rPr>
          <w:b/>
          <w:color w:val="000000"/>
        </w:rPr>
        <w:t xml:space="preserve">.  </w:t>
      </w:r>
      <w:r w:rsidRPr="00DD5B8E">
        <w:t xml:space="preserve">CCA 202118008 involved simple facts and a most unfortunate result.  </w:t>
      </w:r>
      <w:r w:rsidR="00F6728C" w:rsidRPr="00DD5B8E">
        <w:t>Surviving</w:t>
      </w:r>
      <w:r w:rsidRPr="00DD5B8E">
        <w:t xml:space="preserve"> spouse was the beneficiary of a QTIP trust, received all the income of course, could receive principal for health, maintenance, and support in the spouse’s accustomed standard of living if the income were insufficient, and had a testamentary power of appointment among descendants.  Apparently for planning purposes, the spouse and descendants decided to terminate the trust and give all of the trust assets back to the spouse who then disposed of the assets in what appear to be sales and perhaps other estate planning transactions.  The National Office determined that spouse made a gift of the value of the QTIP assets when the trust was terminated, and that the descendants made a gift of the value of their remainder interests.  There was no offset for the respective gifts, and the transaction was not treated as a sale.</w:t>
      </w:r>
      <w:r w:rsidR="009125B3" w:rsidRPr="00DD5B8E">
        <w:t xml:space="preserve">  The termination was done via a commutation agreement that the CCA describes this way:</w:t>
      </w:r>
    </w:p>
    <w:p w:rsidR="009125B3" w:rsidRPr="00DD5B8E" w:rsidRDefault="009125B3" w:rsidP="00DD5B8E">
      <w:pPr>
        <w:pStyle w:val="QS10"/>
      </w:pPr>
      <w:r w:rsidRPr="00DD5B8E">
        <w:t>On Date 3, Spouse, as the current beneficiary and as the trustee of Trust 1, and Child 1 and Child 2, as remainder beneficiaries and virtual representatives of the contingent and unborn beneficiaries of Trust 1, entered into Agreement. Under the terms of Agreement, Trust 1 was commuted1 and all of its property was distributed to Spouse. Recital H of Agreement provides that Spouse and Children agree that “Trust assets could be more effectively utilized if [Spouse] held such assets outright and free of trust.” In Recital F of Agreement, the parties acknowledge that Spouse’s testamentary limited power of appointment is “not operative.” Paragraph 3 of Agreement provides:</w:t>
      </w:r>
    </w:p>
    <w:p w:rsidR="009125B3" w:rsidRDefault="009125B3" w:rsidP="00DD5B8E">
      <w:pPr>
        <w:pStyle w:val="QS10"/>
        <w:ind w:left="2160"/>
        <w:rPr>
          <w:color w:val="000000"/>
        </w:rPr>
      </w:pPr>
      <w:r w:rsidRPr="009125B3">
        <w:t>By signing this Agreement and by virtue of the QTIP election for the Trust, the commutation of the Trust results in a deemed gift, for federal gift tax purposes, of the remainder interest in the Trust assets from [Spouse] to [Children] under Section 2519 of the Code. By virtue of the distribution of all of the Trust assets to [Spouse], the commutation of the Trust does not result in a deemed gift of [Spouse’s] income interest in the Trust under Section 2511 of the Code. Additionally, by signing this Agreement and by virtue of the distribution of all of the Trust asset [sic] to [Spouse], the commutation of the Trust results in a gift, for federal gift tax purposes, of the remainder interest in the Trust from [Children] to [Spouse]. The deemed gift of the remainder interest from [Spouse] to [Children] and the gift from [Children] to [Spouse] results in a reciprocal gift transfer.</w:t>
      </w:r>
    </w:p>
    <w:p w:rsidR="009125B3" w:rsidRPr="001D18FB" w:rsidRDefault="009125B3" w:rsidP="00DB0F17">
      <w:pPr>
        <w:pStyle w:val="Body15"/>
        <w:rPr>
          <w:color w:val="000000" w:themeColor="text1"/>
        </w:rPr>
      </w:pPr>
      <w:r w:rsidRPr="001D18FB">
        <w:rPr>
          <w:color w:val="000000" w:themeColor="text1"/>
        </w:rPr>
        <w:t xml:space="preserve">First up to be considered were the tax </w:t>
      </w:r>
      <w:r w:rsidRPr="00DB0F17">
        <w:rPr>
          <w:color w:val="000000" w:themeColor="text1"/>
        </w:rPr>
        <w:t>consequences</w:t>
      </w:r>
      <w:r w:rsidRPr="001D18FB">
        <w:rPr>
          <w:color w:val="000000" w:themeColor="text1"/>
        </w:rPr>
        <w:t xml:space="preserve"> to the </w:t>
      </w:r>
      <w:r w:rsidRPr="00DB0F17">
        <w:rPr>
          <w:color w:val="000000" w:themeColor="text1"/>
        </w:rPr>
        <w:t>spouse</w:t>
      </w:r>
      <w:r w:rsidRPr="001D18FB">
        <w:rPr>
          <w:color w:val="000000" w:themeColor="text1"/>
        </w:rPr>
        <w:t>.  The CCA states:</w:t>
      </w:r>
    </w:p>
    <w:p w:rsidR="009125B3" w:rsidRDefault="009125B3" w:rsidP="001D18FB">
      <w:pPr>
        <w:pStyle w:val="QS10"/>
        <w:rPr>
          <w:bCs/>
          <w:szCs w:val="20"/>
        </w:rPr>
      </w:pPr>
      <w:r w:rsidRPr="009125B3">
        <w:rPr>
          <w:bCs/>
          <w:szCs w:val="20"/>
        </w:rPr>
        <w:t xml:space="preserve">In this case, Spouse, as personal representative of Decedent’s estate, made an election under § 2056(b)(7) to treat Trust 1 as QTIP and claimed a marital deduction on Decedent’s Form 706 for the value of Trust 1. Years later, on Date 3, Spouse and Children entered into Agreement. By its terms, Agreement </w:t>
      </w:r>
      <w:r w:rsidRPr="001D18FB">
        <w:t>effected</w:t>
      </w:r>
      <w:r w:rsidRPr="009125B3">
        <w:rPr>
          <w:bCs/>
          <w:szCs w:val="20"/>
        </w:rPr>
        <w:t xml:space="preserve"> the commutation of Trust 1.</w:t>
      </w:r>
    </w:p>
    <w:p w:rsidR="001D18FB" w:rsidRPr="001D18FB" w:rsidRDefault="009125B3" w:rsidP="001D18FB">
      <w:pPr>
        <w:pStyle w:val="QS10"/>
        <w:rPr>
          <w:bCs/>
          <w:szCs w:val="20"/>
        </w:rPr>
      </w:pPr>
      <w:r w:rsidRPr="009125B3">
        <w:rPr>
          <w:bCs/>
          <w:szCs w:val="20"/>
        </w:rPr>
        <w:t xml:space="preserve">In a commutation, the trustee makes terminating distributions to the holders of the beneficial interests in the trust equal to the actuarial value of the interests. Each beneficiary gives up his or her respective beneficial interest in exchange for a lumpsum payment, in what is essentially a sale transaction. The commutation terminates any relationship between the beneficiary and the trust, and if all </w:t>
      </w:r>
      <w:r w:rsidRPr="001D18FB">
        <w:rPr>
          <w:bCs/>
          <w:szCs w:val="20"/>
        </w:rPr>
        <w:t>interests are commuted, the trust terminates.</w:t>
      </w:r>
    </w:p>
    <w:p w:rsidR="009125B3" w:rsidRPr="001D18FB" w:rsidRDefault="009125B3" w:rsidP="001D18FB">
      <w:pPr>
        <w:pStyle w:val="QS10"/>
      </w:pPr>
      <w:r w:rsidRPr="001D18FB">
        <w:t xml:space="preserve">Based on the above, the commutation of Trust 1 effected by Agreement constitutes a disposition by Spouse of Spouse’s qualifying income interest within the meaning of § 2519(a). Section 25.2519-1(a) and (f); </w:t>
      </w:r>
      <w:r w:rsidRPr="001D18FB">
        <w:rPr>
          <w:i/>
          <w:iCs/>
        </w:rPr>
        <w:t>Estate of Novotny</w:t>
      </w:r>
      <w:r w:rsidRPr="001D18FB">
        <w:t>. Accordingly, for gift tax purposes, Spouse is treated as transferring by gift all interests in Trust 1 other than the qualifying income interest.3</w:t>
      </w:r>
    </w:p>
    <w:p w:rsidR="001D18FB" w:rsidRPr="001D18FB" w:rsidRDefault="00DD5D95" w:rsidP="001D18FB">
      <w:pPr>
        <w:pStyle w:val="Body15"/>
        <w:rPr>
          <w:color w:val="000000" w:themeColor="text1"/>
        </w:rPr>
      </w:pPr>
      <w:r w:rsidRPr="001D18FB">
        <w:rPr>
          <w:color w:val="000000" w:themeColor="text1"/>
        </w:rPr>
        <w:t>Footnote 3 states:</w:t>
      </w:r>
    </w:p>
    <w:p w:rsidR="00DD5D95" w:rsidRPr="001D18FB" w:rsidRDefault="00DD5D95" w:rsidP="001D18FB">
      <w:pPr>
        <w:pStyle w:val="QS10"/>
        <w:rPr>
          <w:bCs/>
        </w:rPr>
      </w:pPr>
      <w:r w:rsidRPr="001D18FB">
        <w:rPr>
          <w:bCs/>
        </w:rPr>
        <w:t xml:space="preserve">Note that the commutation does not constitute a gift of Spouse’s qualifying income interest under § 2511 because Spouse </w:t>
      </w:r>
      <w:r w:rsidRPr="001D18FB">
        <w:rPr>
          <w:bCs/>
          <w:szCs w:val="20"/>
        </w:rPr>
        <w:t>received</w:t>
      </w:r>
      <w:r w:rsidRPr="001D18FB">
        <w:rPr>
          <w:bCs/>
        </w:rPr>
        <w:t xml:space="preserve"> adequate and full consideration for Spouse’s qualifying income interest based on the distribution of all trust property to Spouse. </w:t>
      </w:r>
      <w:r w:rsidRPr="001D18FB">
        <w:rPr>
          <w:bCs/>
          <w:i/>
          <w:iCs/>
        </w:rPr>
        <w:t xml:space="preserve">See </w:t>
      </w:r>
      <w:r w:rsidRPr="001D18FB">
        <w:rPr>
          <w:bCs/>
        </w:rPr>
        <w:t xml:space="preserve">§ 25.2519-1(g), </w:t>
      </w:r>
      <w:r w:rsidRPr="001D18FB">
        <w:rPr>
          <w:bCs/>
          <w:i/>
          <w:iCs/>
        </w:rPr>
        <w:t>Example 2</w:t>
      </w:r>
      <w:r w:rsidRPr="001D18FB">
        <w:rPr>
          <w:bCs/>
        </w:rPr>
        <w:t>.</w:t>
      </w:r>
    </w:p>
    <w:p w:rsidR="00E632F0" w:rsidRDefault="00A3399D" w:rsidP="001D18FB">
      <w:pPr>
        <w:pStyle w:val="Body15"/>
        <w:rPr>
          <w:szCs w:val="20"/>
        </w:rPr>
      </w:pPr>
      <w:r>
        <w:rPr>
          <w:bCs/>
          <w:szCs w:val="20"/>
        </w:rPr>
        <w:t>The CCA summarized the</w:t>
      </w:r>
      <w:r w:rsidRPr="00A3399D">
        <w:rPr>
          <w:bCs/>
          <w:szCs w:val="20"/>
        </w:rPr>
        <w:t xml:space="preserve"> </w:t>
      </w:r>
      <w:r w:rsidRPr="00A3399D">
        <w:rPr>
          <w:bCs/>
          <w:szCs w:val="20"/>
          <w:u w:val="single"/>
        </w:rPr>
        <w:t>Estate of Novotny</w:t>
      </w:r>
      <w:r w:rsidRPr="00A3399D">
        <w:rPr>
          <w:bCs/>
          <w:szCs w:val="20"/>
        </w:rPr>
        <w:t>, 93 T.C. 12 (1989)</w:t>
      </w:r>
      <w:r>
        <w:rPr>
          <w:bCs/>
          <w:szCs w:val="20"/>
        </w:rPr>
        <w:t xml:space="preserve"> like this:  </w:t>
      </w:r>
      <w:r w:rsidRPr="00A3399D">
        <w:rPr>
          <w:bCs/>
          <w:szCs w:val="20"/>
        </w:rPr>
        <w:t>the surviving spouse and</w:t>
      </w:r>
      <w:r>
        <w:rPr>
          <w:bCs/>
          <w:szCs w:val="20"/>
        </w:rPr>
        <w:t xml:space="preserve"> </w:t>
      </w:r>
      <w:r w:rsidRPr="00A3399D">
        <w:rPr>
          <w:szCs w:val="20"/>
        </w:rPr>
        <w:t xml:space="preserve">remainderman divided the sale proceeds of QTIP proportionately on the basis of the respective values of their interests; the court indicated that the </w:t>
      </w:r>
      <w:r w:rsidR="00A2534E">
        <w:rPr>
          <w:szCs w:val="20"/>
        </w:rPr>
        <w:t>c</w:t>
      </w:r>
      <w:r w:rsidRPr="00A3399D">
        <w:rPr>
          <w:szCs w:val="20"/>
        </w:rPr>
        <w:t xml:space="preserve">ommutation constituted a disposition by the spouse of the income interest for purposes of § 2519 and was thus </w:t>
      </w:r>
      <w:r w:rsidRPr="001D18FB">
        <w:rPr>
          <w:color w:val="000000" w:themeColor="text1"/>
        </w:rPr>
        <w:t>subject</w:t>
      </w:r>
      <w:r w:rsidRPr="00A3399D">
        <w:rPr>
          <w:szCs w:val="20"/>
        </w:rPr>
        <w:t xml:space="preserve"> to gift tax.</w:t>
      </w:r>
    </w:p>
    <w:p w:rsidR="00A3399D" w:rsidRDefault="00A3399D" w:rsidP="001D18FB">
      <w:pPr>
        <w:pStyle w:val="Body15"/>
        <w:rPr>
          <w:szCs w:val="20"/>
        </w:rPr>
      </w:pPr>
      <w:r>
        <w:rPr>
          <w:szCs w:val="20"/>
        </w:rPr>
        <w:t>So,  the QTIP was terminated, the spouse received all the QTIP assets, and the spouse made a gift of the value of those assets to the descendants.  Now let’s look at the what the descendants did.  Before the termination they would have received the assets when the spouse died.  The CCA provides as follows:</w:t>
      </w:r>
    </w:p>
    <w:p w:rsidR="00A3399D" w:rsidRDefault="00A3399D" w:rsidP="00CC5933">
      <w:pPr>
        <w:pStyle w:val="QS10"/>
      </w:pPr>
      <w:r w:rsidRPr="00A3399D">
        <w:t>In this case, Child 1, Child 2, and Spouse entered into Agreement, which legally bound all persons interested in Trust 1. The effect of Agreement was to extinguish Spouse’s testamentary limited power of appointment, commute Trust 1, and terminate Trust 1. As a result, Agreement vested a valuable property interest (the value of the remainder) in Children, the then remaindermen. Rather than accept a terminating distribution of the value of their beneficial interest, Child 1 and Child 2 agreed that the trust property “could be more effectively utilized” by Spouse holding the property outright. The outright distribution of all trust property to Spouse pursuant to the terms of Agreement constitutes a transfer of the value of Children’s remainder interests without receipt of adequate and full consideration.4 Accordingly, Child 1 and Child 2 each made a gift under § 2511 of the value of their respective remainder interest in Trust 1 to Spouse. Section 2512(b).</w:t>
      </w:r>
    </w:p>
    <w:p w:rsidR="00A3399D" w:rsidRDefault="00A3399D" w:rsidP="001D18FB">
      <w:pPr>
        <w:pStyle w:val="Body15"/>
        <w:rPr>
          <w:szCs w:val="20"/>
        </w:rPr>
      </w:pPr>
      <w:r>
        <w:rPr>
          <w:szCs w:val="20"/>
        </w:rPr>
        <w:t xml:space="preserve">Footnote 4 is omitted </w:t>
      </w:r>
      <w:r w:rsidRPr="001D18FB">
        <w:rPr>
          <w:color w:val="000000" w:themeColor="text1"/>
        </w:rPr>
        <w:t>and</w:t>
      </w:r>
      <w:r>
        <w:rPr>
          <w:szCs w:val="20"/>
        </w:rPr>
        <w:t xml:space="preserve"> deals with spouses</w:t>
      </w:r>
      <w:r w:rsidR="00A2534E">
        <w:rPr>
          <w:szCs w:val="20"/>
        </w:rPr>
        <w:t>’</w:t>
      </w:r>
      <w:r>
        <w:rPr>
          <w:szCs w:val="20"/>
        </w:rPr>
        <w:t xml:space="preserve"> subsequent transfers.</w:t>
      </w:r>
    </w:p>
    <w:p w:rsidR="00E3546D" w:rsidRDefault="00E3546D" w:rsidP="001D18FB">
      <w:pPr>
        <w:pStyle w:val="Body15"/>
        <w:rPr>
          <w:szCs w:val="20"/>
        </w:rPr>
      </w:pPr>
      <w:r>
        <w:rPr>
          <w:szCs w:val="20"/>
        </w:rPr>
        <w:t xml:space="preserve">The </w:t>
      </w:r>
      <w:r w:rsidRPr="001D18FB">
        <w:rPr>
          <w:color w:val="000000" w:themeColor="text1"/>
        </w:rPr>
        <w:t>children</w:t>
      </w:r>
      <w:r>
        <w:rPr>
          <w:szCs w:val="20"/>
        </w:rPr>
        <w:t xml:space="preserve"> argued that there had to be some offset here, otherwise the property was being taxed twice.  The National Office rejected that position stating:</w:t>
      </w:r>
    </w:p>
    <w:p w:rsidR="00E3546D" w:rsidRPr="00E3546D" w:rsidRDefault="00E3546D" w:rsidP="00CC5933">
      <w:pPr>
        <w:pStyle w:val="QS10"/>
      </w:pPr>
      <w:r w:rsidRPr="00E3546D">
        <w:t xml:space="preserve">In </w:t>
      </w:r>
      <w:r w:rsidRPr="00E3546D">
        <w:rPr>
          <w:i/>
          <w:iCs/>
        </w:rPr>
        <w:t>Commissioner v. Wemyss</w:t>
      </w:r>
      <w:r w:rsidRPr="00E3546D">
        <w:t xml:space="preserve">, 324 U.S. 303 (1945) and its companion case </w:t>
      </w:r>
      <w:r w:rsidRPr="00E3546D">
        <w:rPr>
          <w:i/>
          <w:iCs/>
        </w:rPr>
        <w:t>Merrill v. Fahs</w:t>
      </w:r>
      <w:r w:rsidRPr="00E3546D">
        <w:t>, 324 U.S. 308 (1945), the Supreme Court considered the gift tax meaning of the term “adequate and full consideration in money or money’s worth” in the context of antenuptial contracts.</w:t>
      </w:r>
    </w:p>
    <w:p w:rsidR="00E3546D" w:rsidRPr="00E3546D" w:rsidRDefault="00E3546D" w:rsidP="00CC5933">
      <w:pPr>
        <w:pStyle w:val="QS10"/>
      </w:pPr>
      <w:r w:rsidRPr="00E3546D">
        <w:t xml:space="preserve">In </w:t>
      </w:r>
      <w:r w:rsidRPr="00E3546D">
        <w:rPr>
          <w:i/>
          <w:iCs/>
        </w:rPr>
        <w:t>Wemyss</w:t>
      </w:r>
      <w:r w:rsidRPr="00E3546D">
        <w:t>, the donor transferred assets to his fiancé to compensate her for the loss of an income interest that would terminate upon her marriage to him. There was no dispute that both a promise of marriage and detriment to a contracting party constituted valuable consideration for purposes of the law of contracts. The Tax Court had held that if the promise of marriage was the consideration, it was not one reducible to a money value and, if the fiancé’s loss of the income interest was the consideration, it did not constitute consideration in the hands of the donor. The Supreme Court stated:</w:t>
      </w:r>
    </w:p>
    <w:p w:rsidR="00E3546D" w:rsidRPr="00E3546D" w:rsidRDefault="00E3546D" w:rsidP="00CC5933">
      <w:pPr>
        <w:pStyle w:val="QS10"/>
      </w:pPr>
      <w:r w:rsidRPr="00E3546D">
        <w:t>If we are to isolate as an independently reviewable question of law the view of the Tax Court that money consideration must benefit the donor to</w:t>
      </w:r>
      <w:r w:rsidR="00C43A27">
        <w:t xml:space="preserve"> </w:t>
      </w:r>
      <w:r w:rsidRPr="00E3546D">
        <w:t>relieve a transfer by him from being a gift, we think the Tax Court was correct. . . . The section taxing as gifts transfers that are not made for “adequate and full (money) consideration” aims to reach those transfers which are withdrawn from the donor’s estate.</w:t>
      </w:r>
    </w:p>
    <w:p w:rsidR="00E3546D" w:rsidRPr="00E3546D" w:rsidRDefault="00E3546D" w:rsidP="00CC5933">
      <w:pPr>
        <w:pStyle w:val="QS10"/>
      </w:pPr>
      <w:r w:rsidRPr="00E3546D">
        <w:rPr>
          <w:i/>
          <w:iCs/>
        </w:rPr>
        <w:t>Wemyss</w:t>
      </w:r>
      <w:r w:rsidRPr="00E3546D">
        <w:t>, 324 U.S. at 307-08. In other words, valuable contractual consideration in the hands of the donor is not sufficient; adequate and full consideration is that which replenishes, or augments, the donor’s taxable estate.</w:t>
      </w:r>
    </w:p>
    <w:p w:rsidR="00E3546D" w:rsidRPr="00E3546D" w:rsidRDefault="00E3546D" w:rsidP="00CC5933">
      <w:pPr>
        <w:pStyle w:val="QS10"/>
      </w:pPr>
      <w:r w:rsidRPr="00E3546D">
        <w:t xml:space="preserve">In </w:t>
      </w:r>
      <w:r w:rsidRPr="00E3546D">
        <w:rPr>
          <w:i/>
          <w:iCs/>
        </w:rPr>
        <w:t xml:space="preserve">Merrill, </w:t>
      </w:r>
      <w:r w:rsidRPr="00E3546D">
        <w:t xml:space="preserve">the donor transferred property to donor’s then spouse in exchange for spouse’s relinquishment of marital rights in donor’s remaining property. The Court held that spouse’s relinquishment of the marital rights did not constitute adequate and full consideration for donor’s transfer because the assets subject to the marital rights were already includible in donor’s gross estate. </w:t>
      </w:r>
      <w:r w:rsidRPr="00E3546D">
        <w:rPr>
          <w:i/>
          <w:iCs/>
        </w:rPr>
        <w:t>Id</w:t>
      </w:r>
      <w:r w:rsidRPr="00E3546D">
        <w:t>. at 312-13.</w:t>
      </w:r>
    </w:p>
    <w:p w:rsidR="00C43A27" w:rsidRDefault="00E3546D" w:rsidP="00CC5933">
      <w:pPr>
        <w:pStyle w:val="QS10"/>
      </w:pPr>
      <w:r w:rsidRPr="00E3546D">
        <w:t xml:space="preserve">Rev. Rul. 69-505, 1969-2 C.B. 179, involves a transfer to a trust of joint-tenancy property that is treated as a reciprocal exchange for consideration in money or money’s worth. A and B owned the property as joint tenants and could each unilaterally sever the joint tenancy, and if not severed, the property would pass to the survivor upon the death of the other joint tenant. A and B transferred the property to a trust, reserving the right to receive one-half of the income therefrom for their joint lives and all to the survivor for life with remainder to C. Citing § 25.2511-1(e) and </w:t>
      </w:r>
      <w:r w:rsidRPr="00E3546D">
        <w:rPr>
          <w:i/>
          <w:iCs/>
        </w:rPr>
        <w:t>U.S. v. Estate of Grace</w:t>
      </w:r>
      <w:r w:rsidRPr="00E3546D">
        <w:t>, 395 U.S. 316 (1969), the revenue ruling holds that the transfers between A and B are treated as a reciprocal exchange for consideration in money or money’s worth. Thus, neither A nor B made a gift to the other to the extent that the transfers were of equal value. The revenue ruling concludes that since the value of the gift by B is less than the value of the gift by A, A is deemed to have made a gift to B of the difference in value of A’s and B’s transfer.</w:t>
      </w:r>
    </w:p>
    <w:p w:rsidR="00E3546D" w:rsidRPr="00E3546D" w:rsidRDefault="00E3546D" w:rsidP="00CC5933">
      <w:pPr>
        <w:pStyle w:val="QS10"/>
        <w:jc w:val="center"/>
      </w:pPr>
      <w:r w:rsidRPr="00E3546D">
        <w:t>***</w:t>
      </w:r>
    </w:p>
    <w:p w:rsidR="00E3546D" w:rsidRDefault="00E3546D" w:rsidP="00CC5933">
      <w:pPr>
        <w:pStyle w:val="QS10"/>
      </w:pPr>
      <w:r w:rsidRPr="00E3546D">
        <w:t>Agreement characterized the transaction as a commutation of Trust 1 followed by a distribution of all trust property to Spouse. Thus, Spouse agrees to the extinguishment of Spouse’s lifetime interest in Trust 1 and Children agree to the extinguishment of their remainder interest in Trust 1 in exchange for receipt of their respective proportionate share of trust property. Also pursuant to Agreement, Children transfer their proportionate share of trust property received in the commutation to Spouse and receive no consideration from Spouse in exchange for the transfer. Absent entering into Agreement, Spouse had no right to the remainder under the terms of Trust 1 or otherwise. Therefore, from an economic perspective, the transaction resulted in a one-sided gift transfer from Children to Spouse.</w:t>
      </w:r>
    </w:p>
    <w:p w:rsidR="00E632F0" w:rsidRPr="00E632F0" w:rsidRDefault="00E632F0" w:rsidP="00CC5933">
      <w:pPr>
        <w:pStyle w:val="QS10"/>
        <w:rPr>
          <w:i/>
          <w:iCs/>
        </w:rPr>
      </w:pPr>
      <w:r w:rsidRPr="00E632F0">
        <w:t xml:space="preserve">It is the deemed gift transfer arising by application of § 2519(a) that is the crux of Spouse and Children’s position, as stated in Agreement, that the transfers are reciprocal gift transfers. However, unlike in Rev. Rul. 69-505, Spouse’s deemed transfer under § 2519(a) and Children’s transfers of their remainder interests under § 2511 do not constitute offsetting exchanges of consideration. Spouse received no consideration for the deemed transfer to Children under § 2519(a). That is, because the entire value of Trust 1 was subject to inclusion in Spouse’s gross estate under § 2044, the transfer of the remainder by Children to Spouse does not augment Spouse’s estate and, thus, cannot constitute the receipt of adequate and full consideration for gift tax purposes. </w:t>
      </w:r>
      <w:r w:rsidRPr="00E632F0">
        <w:rPr>
          <w:i/>
          <w:iCs/>
        </w:rPr>
        <w:t>See Commissioner v. Wemyss; Merrill v. Fahs.</w:t>
      </w:r>
    </w:p>
    <w:p w:rsidR="00E632F0" w:rsidRDefault="00E632F0" w:rsidP="00CC5933">
      <w:pPr>
        <w:pStyle w:val="QS10"/>
      </w:pPr>
      <w:r w:rsidRPr="00E632F0">
        <w:t xml:space="preserve">The fact that Spouse can receive no consideration for the deemed transfer resulting from the application of § 2519(a) does not nullify Children’s transfers of their remainder interests in Trust 1. When Trust 1 was commuted, the remainder interest vested outright, equally in Children, the then remaindermen. Children then transferred their valuable property interest to Spouse and received nothing in exchange. Under § 2512(b) and </w:t>
      </w:r>
      <w:r w:rsidRPr="00E632F0">
        <w:rPr>
          <w:i/>
          <w:iCs/>
        </w:rPr>
        <w:t>Wemyss</w:t>
      </w:r>
      <w:r w:rsidRPr="00E632F0">
        <w:t>, these transfers by Children for no consideration constitute a gift. If Children were to transfer their remainder interests to a third party other than Spouse, the transfers would clearly be a gift. The result is the same if the donee is the surviving spouse beneficiary of a QTIP trust.5 Thus, the transaction cannot be considered involving offsetting transfers for consideration within the meaning of Rev. Rul. 69-505.</w:t>
      </w:r>
    </w:p>
    <w:p w:rsidR="00E632F0" w:rsidRDefault="00E632F0" w:rsidP="00CC5933">
      <w:pPr>
        <w:pStyle w:val="QS10"/>
        <w:jc w:val="center"/>
      </w:pPr>
      <w:r>
        <w:t>***</w:t>
      </w:r>
    </w:p>
    <w:p w:rsidR="00E632F0" w:rsidRPr="00E632F0" w:rsidRDefault="00E632F0" w:rsidP="00CC5933">
      <w:pPr>
        <w:pStyle w:val="QS10"/>
      </w:pPr>
      <w:r w:rsidRPr="00E632F0">
        <w:t xml:space="preserve">In Rev. Rul. 98-8, 1998-1 C.B. 541, the surviving spouse purchased from the trust remainderman the remainder interest in a QTIP trust by issuing a promissory note equal to the actuarial value of the remainder interest to the remainderman. As a result of the purchase, the trust terminated under its terms and the entire corpus was transferred to the surviving spouse. The surviving spouse then used the proceeds to pay the remainderman the value of the remainder interest. The revenue ruling concludes that the purchase of the remainder interest, which is analogous to a commutation of the QTIP trust, is treated as a taxable disposition by the surviving spouse of the qualifying income interest, resulting in a gift of the value of the remainder interest under § 2519. Citing to </w:t>
      </w:r>
      <w:r w:rsidRPr="00E632F0">
        <w:rPr>
          <w:i/>
          <w:iCs/>
        </w:rPr>
        <w:t>Wemyss</w:t>
      </w:r>
      <w:r w:rsidRPr="00E632F0">
        <w:t>, the revenue ruling explains that the receipt of the remainder interest cannot increase the donor’s taxable estate because it is already subject to inclusion in the surviving spouse’s taxable estate under § 2044. Accordingly, the surviving spouse’s receipt of the remainder interest cannot constitute adequate and full consideration under § 2512 for the promissory note transferred. The revenue ruling notes that any other result would subvert the legislative intent and statutory scheme underlying § 2056(b)(7).</w:t>
      </w:r>
    </w:p>
    <w:p w:rsidR="00E632F0" w:rsidRPr="00E632F0" w:rsidRDefault="00E632F0" w:rsidP="00CC5933">
      <w:pPr>
        <w:pStyle w:val="QS10"/>
      </w:pPr>
      <w:r w:rsidRPr="00E632F0">
        <w:t xml:space="preserve">In </w:t>
      </w:r>
      <w:r w:rsidRPr="00E632F0">
        <w:rPr>
          <w:i/>
          <w:iCs/>
        </w:rPr>
        <w:t>Estate of Kite v. Commissioner</w:t>
      </w:r>
      <w:r w:rsidRPr="00E632F0">
        <w:t>, T.C. Memo. 2013-43, the surviving spouse was the beneficiary of two QTIP trusts. According to a prearranged plan, the QTIP trusts were terminated and all assets were distributed to the surviving spouse. Two days later, the surviving spouse sold the assets to her three children in exchange for three deferred private annuity agreements under which payments would commence ten years thereafter. In the event that the surviving spouse died within the ten-year period, her annuity interest would terminate and nothing would be payable to her estate. Based on the facts and circumstances, the court found the sale of the assets of the QTIP trusts to the children in exchange for deferred annuities constituted a bona fide sale for adequate and full consideration and treated the annuity transaction as a single integrated transaction for purposes of § 2519. Moreover, the sale of the assets of the QTIP trusts, followed by the payment to the surviving spouse of the proceeds equal to the value of her income interest, was a disposition of her qualifying income interest for purposes of § 2519. In response to petitioner’s post-opinion argument that there was no gift tax deficiency for the § 2519 disposition of the surviving spouse’s qualifying income interest based on the receipt of full and adequate consideration, the court stated,</w:t>
      </w:r>
    </w:p>
    <w:p w:rsidR="00E632F0" w:rsidRPr="00E632F0" w:rsidRDefault="00E632F0" w:rsidP="00CC5933">
      <w:pPr>
        <w:autoSpaceDE w:val="0"/>
        <w:autoSpaceDN w:val="0"/>
        <w:adjustRightInd w:val="0"/>
        <w:spacing w:after="240"/>
        <w:ind w:left="2160" w:right="1440"/>
        <w:jc w:val="both"/>
        <w:rPr>
          <w:bCs w:val="0"/>
          <w:szCs w:val="20"/>
        </w:rPr>
      </w:pPr>
      <w:r w:rsidRPr="00E632F0">
        <w:rPr>
          <w:bCs w:val="0"/>
          <w:szCs w:val="20"/>
        </w:rPr>
        <w:t>[S]ection 2519(a) treats the disposition of a qualifying income interest as a deemed transfer of the remainder interest. In other words, “the donee spouse is treated as making a gift under section 2519 of the entire trust less the qualifying income interest” (emphasis added). Sec. 25.2519-1(a), Gift Tax Regs. The term “gift” is not an accident. The remainder interest is a future interest held by the remainderman and not the donee spouse. Accordingly, the donee spouse cannot receive full and adequate consideration, or indeed any consideration, in exchange for the remainder interest. This result is supported by the intent of the marital deduction and the QTIP regime.</w:t>
      </w:r>
    </w:p>
    <w:p w:rsidR="00E632F0" w:rsidRDefault="00E632F0" w:rsidP="00CC5933">
      <w:pPr>
        <w:pStyle w:val="QS10"/>
      </w:pPr>
      <w:r w:rsidRPr="00E632F0">
        <w:rPr>
          <w:i/>
          <w:iCs/>
        </w:rPr>
        <w:t>Estate of Kite v. Commissioner</w:t>
      </w:r>
      <w:r w:rsidRPr="00E632F0">
        <w:t xml:space="preserve">, No. 6772-08 (T.C. Oct. 25, 2013) (order and decision under Tax Court Rule 155). The court ruled that the decedent owed gift tax on the value of the deemed § 2519 gift. </w:t>
      </w:r>
      <w:r w:rsidRPr="00E632F0">
        <w:rPr>
          <w:i/>
          <w:iCs/>
        </w:rPr>
        <w:t>Id</w:t>
      </w:r>
      <w:r w:rsidRPr="00E632F0">
        <w:t>.</w:t>
      </w:r>
    </w:p>
    <w:p w:rsidR="00E632F0" w:rsidRPr="00E632F0" w:rsidRDefault="00E632F0" w:rsidP="00CC5933">
      <w:pPr>
        <w:pStyle w:val="QS10"/>
      </w:pPr>
      <w:r w:rsidRPr="00E632F0">
        <w:t>Here, the QTIP statutory scheme and legislative history support the view that Rev. Rul. 69-505 has no application and the separate transfers by Spouse and Children cannot be offset by consideration for gift tax purposes. Decedent’s estate received the benefit of deferral of the estate tax liability allocable to the property of Trust 1 as a result of electing QTIP for such property under § 2056(b)(7). Because the commutation effected by Agreement constitutes a taxable disposition by Spouse within the meaning of § 2519(a) (see Issue 1), it marks the end of the deferral of the tax.</w:t>
      </w:r>
    </w:p>
    <w:p w:rsidR="00E632F0" w:rsidRPr="00E3546D" w:rsidRDefault="00E632F0" w:rsidP="00CC5933">
      <w:pPr>
        <w:pStyle w:val="QS10"/>
      </w:pPr>
      <w:r w:rsidRPr="00E632F0">
        <w:t xml:space="preserve">Rev. Rul. 98-8 and </w:t>
      </w:r>
      <w:r w:rsidRPr="00E632F0">
        <w:rPr>
          <w:i/>
          <w:iCs/>
        </w:rPr>
        <w:t xml:space="preserve">Estate of Kite </w:t>
      </w:r>
      <w:r w:rsidRPr="00E632F0">
        <w:t>illustrate that a disposition under § 2519(a) has significant tax consequences, which are appropriate in view of the QTIP statutory scheme and legislative history. Here, because the commutation of Trust 1 results in a disposition of Spouse’s qualifying income interest within the meaning of § 2519(a), Spouse is treated as effectively transferring the remainder interest even though under state property law precepts the remainder interest is held by Children, not Spouse. The taxable transfer by Spouse resulting from the application of § 2519 marks the end of the deferral of estate tax on the Trust 1 property that passed untaxed from Decedent’s estate, and is no longer subject to inclusion in Spouse’s gross estate under § 2044(b)(2). Eliminating the taxable transfer by Spouse based on a deemed reciprocal gift transfer by the remaindermen would allow the value of the remainder of Trust 1 to escape transfer tax under both §§ 2519 and 2044, which would be contrary to the QTIP statutory scheme and legislative history.</w:t>
      </w:r>
    </w:p>
    <w:p w:rsidR="003A62AE" w:rsidRDefault="003A62AE" w:rsidP="001D18FB">
      <w:pPr>
        <w:pStyle w:val="Body15"/>
        <w:rPr>
          <w:szCs w:val="20"/>
        </w:rPr>
      </w:pPr>
      <w:r>
        <w:rPr>
          <w:szCs w:val="20"/>
        </w:rPr>
        <w:t>Finally, the National Office got around to valuing the two gifts.  The spouse’s gift – recall that the spouse received all the property – was valued by subtracting the spouse’s income interest from the full value of the trust property.  The children’s gifts were valued based on standard actuarial methods.  The CCA states:</w:t>
      </w:r>
    </w:p>
    <w:p w:rsidR="003A62AE" w:rsidRPr="0061117F" w:rsidRDefault="003A62AE" w:rsidP="00CC5933">
      <w:pPr>
        <w:pStyle w:val="QS10"/>
      </w:pPr>
      <w:r w:rsidRPr="0061117F">
        <w:t>Section 25.2519-1(c)(4) provides that the amount treated as a transfer under § 25.2519-1(c)(1) is further reduced by the amount the surviving spouse is entitled to recover under § 2207A(b) (relating to the right to recover gift tax attributable to the remainder interest). Under § 25.2519-1(c)(4), if the donee spouse is entitled to recover gift tax under § 2207A(b), the amount of the gift tax recoverable and the value of the interest treated as transferred under § 2519 are determined by using the same interrelated computation applicable for other transfers in which the transferee assumes the gift tax liability. The gift tax consequences of failing to exercise the right of recovery are determined separately under § 25.2207A-1(b).</w:t>
      </w:r>
    </w:p>
    <w:p w:rsidR="003A62AE" w:rsidRPr="0061117F" w:rsidRDefault="003A62AE" w:rsidP="00CC5933">
      <w:pPr>
        <w:pStyle w:val="QS10"/>
      </w:pPr>
      <w:r w:rsidRPr="0061117F">
        <w:t>Under § 2207A(b) and § 25.2207A-1(a), a surviving spouse treated as transferring an interest in property by reason of § 2519 is entitled to recover from the “person receiving the property” the amount of gift tax attributable to that property. The right of recovery arises at the time the gift tax is actually paid by the surviving spouse subject to § 2519.</w:t>
      </w:r>
    </w:p>
    <w:p w:rsidR="003A62AE" w:rsidRPr="0061117F" w:rsidRDefault="003A62AE" w:rsidP="00CC5933">
      <w:pPr>
        <w:pStyle w:val="QS10"/>
      </w:pPr>
      <w:r w:rsidRPr="0061117F">
        <w:t xml:space="preserve">In this case, the amount of Spouse’s gift under § 2519 is determined by subtracting the value of Spouse’s qualifying income interest from the fair market value of the trust property as of Date 3, the date of Agreement. Section 2519(a); § 25.2519-1(a). Discretionary principal distributions and the testamentary limited power of appointment are not taken into account. A standard § 7520 income factor can be used to value the qualifying income interest, and thus, the value of Spouse’s qualifying income interest is determined by multiplying the value of the trust property by the income factor of </w:t>
      </w:r>
    </w:p>
    <w:p w:rsidR="003A62AE" w:rsidRDefault="003A62AE" w:rsidP="00CC5933">
      <w:pPr>
        <w:pStyle w:val="QS10"/>
      </w:pPr>
      <w:r w:rsidRPr="0061117F">
        <w:t>0.09172.6 Section 25.2512-5(d)(2)(iii); § 25.7520-1. Based on a value of the trust property of $b, the value of Spouse’s qualifying income interest is $e. The amount of Spouse’s gift under § 2519, therefore, is $f (i.e., $b – $e = $f).</w:t>
      </w:r>
    </w:p>
    <w:p w:rsidR="003A62AE" w:rsidRPr="0061117F" w:rsidRDefault="003A62AE" w:rsidP="00CC5933">
      <w:pPr>
        <w:pStyle w:val="QS10"/>
      </w:pPr>
      <w:r w:rsidRPr="0061117F">
        <w:t>To the extent Spouse is entitled to recover gift tax attributable to the remainder interest under § 2207A(b), this amount is reduced, using an interrelated calculation. Note that, under § 25.2207A-1(b), if Spouse waives or otherwise fails to exercise Spouse’s right of recovery, Spouse will be treated as making an additional gift in the amount of the unrecovered tax.7</w:t>
      </w:r>
    </w:p>
    <w:p w:rsidR="0020692A" w:rsidRPr="0061117F" w:rsidRDefault="0020692A" w:rsidP="00CC5933">
      <w:pPr>
        <w:pStyle w:val="QS10"/>
        <w:jc w:val="center"/>
      </w:pPr>
      <w:r>
        <w:t>***</w:t>
      </w:r>
    </w:p>
    <w:p w:rsidR="0061117F" w:rsidRPr="0061117F" w:rsidRDefault="0061117F" w:rsidP="00CC5933">
      <w:pPr>
        <w:pStyle w:val="QS10"/>
      </w:pPr>
      <w:r w:rsidRPr="0061117F">
        <w:t>Based on the available facts, it is appropriate to value each of Children’s interests as one-half of the actuarial present value of the remainder interest, adjusting as necessary for the restrictions on the beneficial interests. The determination takes into account that the possibility of principal invasion was so remote as to be negligible, given that the combined value of the property held by Trust 1 was $b at the time of commutation and, thus, annual income of Trust 1 would have been substantial and likely sufficient for Spouse’s health, maintenance, and support, even if Spouse’s accustomed manner of living were extravagant.8 Further, the determination takes into account, based on all the facts and circumstances, that the testamentary limited power of appointment would be appropriately treated as having no measurable effect on the values of these interests.</w:t>
      </w:r>
    </w:p>
    <w:p w:rsidR="0061117F" w:rsidRDefault="0061117F" w:rsidP="00CC5933">
      <w:pPr>
        <w:pStyle w:val="QS10"/>
      </w:pPr>
      <w:r w:rsidRPr="0061117F">
        <w:t>Accordingly, based on the available facts, we conclude that the actuarial value of Children’s proportionate shares of the remainder interest is properly determined under § 7520, using a standard remainder factor. Thus, the value of each child’s remainder interest under § 7520 is determined by multiplying the value of the trust property by the remainder factor of 0.908289 then dividing the product by 2. Section 25.2512-5(d)(2)(ii); § 25.7520-1. Based on a value of the trust property of $b, the fair market value of each child’s gift, therefore, is $g (i.e., ($b x 0.90828) ÷ 2 = $g).</w:t>
      </w:r>
    </w:p>
    <w:p w:rsidR="00C137C8" w:rsidRDefault="0020692A" w:rsidP="001D18FB">
      <w:pPr>
        <w:pStyle w:val="Body15"/>
        <w:rPr>
          <w:bCs/>
          <w:szCs w:val="20"/>
        </w:rPr>
      </w:pPr>
      <w:r>
        <w:rPr>
          <w:bCs/>
          <w:szCs w:val="20"/>
        </w:rPr>
        <w:t xml:space="preserve">Footnote </w:t>
      </w:r>
      <w:r w:rsidRPr="0061117F">
        <w:rPr>
          <w:bCs/>
          <w:szCs w:val="20"/>
        </w:rPr>
        <w:t xml:space="preserve">8 </w:t>
      </w:r>
      <w:r>
        <w:rPr>
          <w:bCs/>
          <w:szCs w:val="20"/>
        </w:rPr>
        <w:t xml:space="preserve">notes that </w:t>
      </w:r>
      <w:r w:rsidRPr="001D18FB">
        <w:rPr>
          <w:color w:val="000000" w:themeColor="text1"/>
        </w:rPr>
        <w:t>the</w:t>
      </w:r>
      <w:r>
        <w:rPr>
          <w:bCs/>
          <w:szCs w:val="20"/>
        </w:rPr>
        <w:t xml:space="preserve"> spouse must not have needed principal distributions because the spouse sold most of the assets received “</w:t>
      </w:r>
      <w:r w:rsidRPr="0061117F">
        <w:rPr>
          <w:bCs/>
          <w:szCs w:val="20"/>
        </w:rPr>
        <w:t>immediately after Spouse received it in exchange for promissory notes that did not provide for the payment of principal until a date after Spouse’s probable life expectancy.</w:t>
      </w:r>
      <w:r>
        <w:rPr>
          <w:bCs/>
          <w:szCs w:val="20"/>
        </w:rPr>
        <w:t>”</w:t>
      </w:r>
    </w:p>
    <w:p w:rsidR="00C137C8" w:rsidRDefault="00C137C8" w:rsidP="001D18FB">
      <w:pPr>
        <w:pStyle w:val="Body15"/>
        <w:rPr>
          <w:szCs w:val="20"/>
        </w:rPr>
      </w:pPr>
      <w:r>
        <w:rPr>
          <w:szCs w:val="20"/>
        </w:rPr>
        <w:t xml:space="preserve">In PLR 202116001 a QTIP (“Qualified Trust”) was </w:t>
      </w:r>
      <w:r w:rsidRPr="001D18FB">
        <w:rPr>
          <w:color w:val="000000" w:themeColor="text1"/>
        </w:rPr>
        <w:t>divided</w:t>
      </w:r>
      <w:r>
        <w:rPr>
          <w:szCs w:val="20"/>
        </w:rPr>
        <w:t xml:space="preserve"> and the spouse released an income right over part of the trust.  The ruling describes what happened as follows:</w:t>
      </w:r>
    </w:p>
    <w:p w:rsidR="00C137C8" w:rsidRPr="00C137C8" w:rsidRDefault="00C137C8" w:rsidP="00CC5933">
      <w:pPr>
        <w:pStyle w:val="QS10"/>
      </w:pPr>
      <w:r w:rsidRPr="00C137C8">
        <w:t>On Date 1, Trustee divided Qualified Trust into two trusts, Qualified Trust-A and Continuing Qualified Trust, both with terms and provisions identical to those set forth in Qualified Trust. Trustee placed $x in cash and marketable securities into Qualified Trust-A and retained all other assets in Continuing Qualified Trust. The assets retained in Continuing Trust are income producing such that Spouse retains the enjoyment of the assets. On Date 2, Trustee and the beneficiaries of Qualified Trust-A petitioned Court for entry of an order with respect to Qualified Trust-A. On Date 3, finding that a continuation of Qualified Trust-A unchanged would defeat or substantially impair its purposes, Court entered Order. Order modifies the terms and provisions of Qualified Trust-A.</w:t>
      </w:r>
    </w:p>
    <w:p w:rsidR="00C137C8" w:rsidRPr="00C137C8" w:rsidRDefault="00C137C8" w:rsidP="00CC5933">
      <w:pPr>
        <w:pStyle w:val="QS10"/>
      </w:pPr>
      <w:r w:rsidRPr="00C137C8">
        <w:t>Article V of Qualified Trust-A, as modified by Order, provides that Qualified Trust-A shall terminate upon the death of the last surviving income beneficiary. However, at any time, including prior to Spouse’s death</w:t>
      </w:r>
      <w:r w:rsidRPr="00C137C8">
        <w:rPr>
          <w:i/>
          <w:iCs/>
        </w:rPr>
        <w:t xml:space="preserve">, </w:t>
      </w:r>
      <w:r w:rsidRPr="00C137C8">
        <w:t>Qualified Trust-A may be terminated as to a beneficiary’s interest and any part of the trust property representing her interest may be distributed to that beneficiary if the trustee considers such distribution to be in the best interests of the beneficiary, considering the demonstrated ability of the beneficiary to handle money and property wisely, her judgment, prudence and discretion, and any other factors the trustee may consider relevant. The trustee may exercise the power of termination even if the beneficiary is restrained from alienating her interest.</w:t>
      </w:r>
    </w:p>
    <w:p w:rsidR="00C137C8" w:rsidRDefault="00C137C8" w:rsidP="00CC5933">
      <w:pPr>
        <w:pStyle w:val="QS10"/>
        <w:rPr>
          <w:rFonts w:ascii="Arial" w:hAnsi="Arial" w:cs="Arial"/>
          <w:sz w:val="24"/>
        </w:rPr>
      </w:pPr>
      <w:r w:rsidRPr="00C137C8">
        <w:t>Article III, section 3.1, as modified by Order, provides that the original and principal beneficiaries of Qualified Trust-A shall become the income beneficiaries in proportion to their interests in the principal. Section 7.2, allowing the trustee to make distributions to Spouse for her health, education, maintenance and support, is deleted in its entirety. Order further provides that, the terms and conditions of Qualified Trust-A shall be interpreted and applied as if Spouse had died on the date Order is entered, and that Trustees shall continue to be the trustee of Qualified Trust-A and Continuing Qualified Trust. Although Order is effective on Date 3, it is expressly conditioned on receipt of favorable rulings from the Internal Revenue Service prior to Date 4</w:t>
      </w:r>
      <w:r>
        <w:rPr>
          <w:rFonts w:ascii="Arial" w:hAnsi="Arial" w:cs="Arial"/>
          <w:sz w:val="24"/>
        </w:rPr>
        <w:t>.</w:t>
      </w:r>
    </w:p>
    <w:p w:rsidR="00C43D74" w:rsidRPr="00C43D74" w:rsidRDefault="00C43D74" w:rsidP="001D18FB">
      <w:pPr>
        <w:pStyle w:val="Body15"/>
        <w:rPr>
          <w:bCs/>
          <w:szCs w:val="20"/>
        </w:rPr>
      </w:pPr>
      <w:r w:rsidRPr="00C43D74">
        <w:rPr>
          <w:bCs/>
          <w:szCs w:val="20"/>
        </w:rPr>
        <w:t xml:space="preserve">Because the </w:t>
      </w:r>
      <w:r w:rsidRPr="001D18FB">
        <w:rPr>
          <w:color w:val="000000" w:themeColor="text1"/>
        </w:rPr>
        <w:t>trust</w:t>
      </w:r>
      <w:r w:rsidRPr="00C43D74">
        <w:rPr>
          <w:bCs/>
          <w:szCs w:val="20"/>
        </w:rPr>
        <w:t xml:space="preserve"> continued even after the income interest was given up, there was no gift form the remainder beneficiaries.  However, the gift by the spouse was described like this:</w:t>
      </w:r>
    </w:p>
    <w:p w:rsidR="00C43D74" w:rsidRPr="00A2534E" w:rsidRDefault="00C43D74" w:rsidP="00CC5933">
      <w:pPr>
        <w:pStyle w:val="QS10"/>
        <w:rPr>
          <w:color w:val="000000" w:themeColor="text1"/>
          <w:szCs w:val="20"/>
        </w:rPr>
      </w:pPr>
      <w:r w:rsidRPr="00A2534E">
        <w:rPr>
          <w:color w:val="000000" w:themeColor="text1"/>
          <w:szCs w:val="20"/>
        </w:rPr>
        <w:t>In the present case, following the division of Qualified Trust on Date 1, the trusts resulting from the division, Qualified Trust-A and Continuing Qualified Trust, had terms and provisions identical to those set forth in Qualified Trust. Thus, the division of Qualified Trust did not change the beneficial interests of Spouse, Daughter 1 or Daughter 2 in the property originally held in Qualified Trust. Accordingly, based on the facts submitted and representations made, we rule that the division of Qualified Trust on Date 1 did not cause the assets remaining in Qualified Trust after the division (referred to as Continuing Qualified Trust) to be subject to the United States Gift Tax pursuant to § 2519 or 2511.</w:t>
      </w:r>
    </w:p>
    <w:p w:rsidR="00C43D74" w:rsidRPr="00A2534E" w:rsidRDefault="00C43D74" w:rsidP="00CC5933">
      <w:pPr>
        <w:pStyle w:val="QS10"/>
        <w:rPr>
          <w:color w:val="000000" w:themeColor="text1"/>
          <w:szCs w:val="20"/>
        </w:rPr>
      </w:pPr>
      <w:r w:rsidRPr="00A2534E">
        <w:rPr>
          <w:color w:val="000000" w:themeColor="text1"/>
          <w:szCs w:val="20"/>
        </w:rPr>
        <w:t>Order, however, modifies the terms of Qualified Trust-A to change the beneficial interests of Spouse, Daughter 1, and Daughter 2 in the property of Qualified Trust-A. Article V of Qualified Trust-A, which continues to provide that Qualified Trust-A shall terminate upon the death of the last surviving income beneficiary, is modified to provide that at any time, including prior to Spouse’s death, Qualified Trust-A may be terminated as to a beneficiary’s interest. In other words, Order terminates Spouse’s income interest as of Date 3. The term “disposition” as used in § 2519, applies broadly to circumstances in which the surviving spouse’s right to receive the income is relinquished or otherwise terminated, by whatever means. See H. Rep. No. 97-201, at 161 (1981). The property in Qualified Trust-A is a portion of the property originally held by Qualified Trust with respect to which Decedent’s estate was allowed a deduction under § 2056(b)(7). Thus, for purposes of § 2519, the entry of Order on Date 3 resulted in a disposition of a qualifying income interest for life in Qualified Trust-A.</w:t>
      </w:r>
    </w:p>
    <w:p w:rsidR="00C43D74" w:rsidRPr="00A2534E" w:rsidRDefault="00C43D74" w:rsidP="00CC5933">
      <w:pPr>
        <w:pStyle w:val="QS10"/>
        <w:rPr>
          <w:color w:val="000000" w:themeColor="text1"/>
          <w:szCs w:val="20"/>
        </w:rPr>
      </w:pPr>
      <w:r w:rsidRPr="00A2534E">
        <w:rPr>
          <w:color w:val="000000" w:themeColor="text1"/>
          <w:szCs w:val="20"/>
        </w:rPr>
        <w:t>Accordingly, based on the facts submitted and representations made, we rule that Spouse is deemed to have made a transfer of all of the property in Qualified Trust-A under § 2519, other than the value of her qualifying income interest, and Spouse is deemed to have made a transfer of her qualifying income interest in Qualified Trust-A under § 2511, on Date 3 upon entry of Order approving modifications by which the income interest of Spouse in Qualified Trust-A is terminated and distributions from Qualified Trust-A are permitted to be made prior to death of Spouse.</w:t>
      </w:r>
    </w:p>
    <w:p w:rsidR="00DD5D95" w:rsidRPr="00A3399D" w:rsidRDefault="00C43D74" w:rsidP="001D18FB">
      <w:pPr>
        <w:pStyle w:val="Body15"/>
        <w:rPr>
          <w:szCs w:val="20"/>
        </w:rPr>
      </w:pPr>
      <w:r>
        <w:rPr>
          <w:bCs/>
          <w:color w:val="000000"/>
          <w:szCs w:val="20"/>
        </w:rPr>
        <w:t xml:space="preserve">A QTIP election is at root a “deal” between the surviving spouse and the government.  The government allows a marital deduction and the surviving spouse agrees that all of the enjoyment and value of the property as to which the election is made will flow through the hands of the surviving spouse.  The “deal” is necessary because a QTIP trust often is designed without any other power in the surviving spouse which would cause estate tax inclusion.  Accordingly, if the surviving spouse gives up any of the income interest </w:t>
      </w:r>
      <w:r w:rsidR="00B2477A">
        <w:rPr>
          <w:bCs/>
          <w:color w:val="000000"/>
          <w:szCs w:val="20"/>
        </w:rPr>
        <w:t>in</w:t>
      </w:r>
      <w:r>
        <w:rPr>
          <w:bCs/>
          <w:color w:val="000000"/>
          <w:szCs w:val="20"/>
        </w:rPr>
        <w:t xml:space="preserve"> QTIP </w:t>
      </w:r>
      <w:r w:rsidR="00B2477A">
        <w:rPr>
          <w:bCs/>
          <w:color w:val="000000"/>
          <w:szCs w:val="20"/>
        </w:rPr>
        <w:t xml:space="preserve">property, </w:t>
      </w:r>
      <w:r>
        <w:rPr>
          <w:bCs/>
          <w:color w:val="000000"/>
          <w:szCs w:val="20"/>
        </w:rPr>
        <w:t>the surviving spouse is deemed to have made a</w:t>
      </w:r>
      <w:r w:rsidR="00B2477A">
        <w:rPr>
          <w:bCs/>
          <w:color w:val="000000"/>
          <w:szCs w:val="20"/>
        </w:rPr>
        <w:t xml:space="preserve"> gift of the entire value of that</w:t>
      </w:r>
      <w:r>
        <w:rPr>
          <w:bCs/>
          <w:color w:val="000000"/>
          <w:szCs w:val="20"/>
        </w:rPr>
        <w:t xml:space="preserve"> QTIP property</w:t>
      </w:r>
      <w:r w:rsidR="00B2477A">
        <w:rPr>
          <w:bCs/>
          <w:color w:val="000000"/>
          <w:szCs w:val="20"/>
        </w:rPr>
        <w:t xml:space="preserve"> (that would not have had to be the rule; the surviving spouse could have been deemed to have made a gift of that portion of the income, but such a determination is complicated and uncertain, thus a strict “penalty” rule was imposed by statute).  </w:t>
      </w:r>
      <w:r w:rsidR="00A2534E">
        <w:rPr>
          <w:bCs/>
          <w:color w:val="000000"/>
          <w:szCs w:val="20"/>
        </w:rPr>
        <w:t>However, c</w:t>
      </w:r>
      <w:r w:rsidR="00B2477A">
        <w:rPr>
          <w:bCs/>
          <w:color w:val="000000"/>
          <w:szCs w:val="20"/>
        </w:rPr>
        <w:t>oncluding that a “transfer” of a remainder by the children has occurred and is a gift creates double-taxation of the same QTIP property.  Had ther</w:t>
      </w:r>
      <w:r w:rsidR="00A2534E">
        <w:rPr>
          <w:bCs/>
          <w:color w:val="000000"/>
          <w:szCs w:val="20"/>
        </w:rPr>
        <w:t>e</w:t>
      </w:r>
      <w:r w:rsidR="00B2477A">
        <w:rPr>
          <w:bCs/>
          <w:color w:val="000000"/>
          <w:szCs w:val="20"/>
        </w:rPr>
        <w:t xml:space="preserve"> been no QTIP election the government’s approach would have been more sensible: the spouse had an income interest, the children a remainder interest, the children allowed all the trust property to be distributed to the spouse which must have been a gift</w:t>
      </w:r>
      <w:r w:rsidR="00A2534E">
        <w:rPr>
          <w:bCs/>
          <w:color w:val="000000"/>
          <w:szCs w:val="20"/>
        </w:rPr>
        <w:t xml:space="preserve"> of the remainder interest</w:t>
      </w:r>
      <w:r w:rsidR="00B2477A">
        <w:rPr>
          <w:bCs/>
          <w:color w:val="000000"/>
          <w:szCs w:val="20"/>
        </w:rPr>
        <w:t xml:space="preserve">.  </w:t>
      </w:r>
    </w:p>
    <w:p w:rsidR="00485DB9" w:rsidRDefault="00856D6A">
      <w:pPr>
        <w:pStyle w:val="Heading1"/>
        <w:rPr>
          <w:color w:val="000000"/>
        </w:rPr>
      </w:pPr>
      <w:bookmarkStart w:id="557" w:name="_Toc168206613"/>
      <w:bookmarkStart w:id="558" w:name="_Toc168218245"/>
      <w:bookmarkStart w:id="559" w:name="_Toc231154893"/>
      <w:bookmarkStart w:id="560" w:name="_Toc295129798"/>
      <w:bookmarkStart w:id="561" w:name="_Toc295132413"/>
      <w:bookmarkStart w:id="562" w:name="_Toc295133933"/>
      <w:bookmarkStart w:id="563" w:name="_Toc295133968"/>
      <w:bookmarkStart w:id="564" w:name="_Toc295136499"/>
      <w:bookmarkStart w:id="565" w:name="_Toc297645104"/>
      <w:bookmarkStart w:id="566" w:name="_Toc297647175"/>
      <w:bookmarkStart w:id="567" w:name="_Toc297728369"/>
      <w:bookmarkStart w:id="568" w:name="_Toc297732829"/>
      <w:bookmarkStart w:id="569" w:name="_Toc298255220"/>
      <w:bookmarkStart w:id="570" w:name="_Toc298316794"/>
      <w:bookmarkStart w:id="571" w:name="_Toc298334639"/>
      <w:bookmarkStart w:id="572" w:name="_Toc298338137"/>
      <w:bookmarkStart w:id="573" w:name="_Toc301364477"/>
      <w:bookmarkStart w:id="574" w:name="_Toc302465937"/>
      <w:bookmarkStart w:id="575" w:name="_Toc303094312"/>
      <w:bookmarkStart w:id="576" w:name="_Toc303172910"/>
      <w:bookmarkStart w:id="577" w:name="_Toc303181240"/>
      <w:bookmarkStart w:id="578" w:name="_Toc321753656"/>
      <w:bookmarkStart w:id="579" w:name="_Toc322015838"/>
      <w:bookmarkStart w:id="580" w:name="_Toc322016011"/>
      <w:bookmarkStart w:id="581" w:name="_Toc322016549"/>
      <w:bookmarkStart w:id="582" w:name="_Toc376946783"/>
      <w:bookmarkStart w:id="583" w:name="_Toc376947630"/>
      <w:bookmarkStart w:id="584" w:name="_Toc376948424"/>
      <w:bookmarkStart w:id="585" w:name="_Toc376949218"/>
      <w:bookmarkStart w:id="586" w:name="_Toc94704663"/>
      <w:r w:rsidRPr="00454670">
        <w:rPr>
          <w:color w:val="000000"/>
        </w:rPr>
        <w:t>SECTIONS</w:t>
      </w:r>
      <w:r w:rsidR="00C64050">
        <w:rPr>
          <w:color w:val="000000"/>
        </w:rPr>
        <w:t xml:space="preserve"> </w:t>
      </w:r>
      <w:r w:rsidRPr="00454670">
        <w:rPr>
          <w:color w:val="000000"/>
        </w:rPr>
        <w:t>2501</w:t>
      </w:r>
      <w:r w:rsidR="00C64050">
        <w:rPr>
          <w:color w:val="000000"/>
        </w:rPr>
        <w:t xml:space="preserve"> </w:t>
      </w:r>
      <w:r w:rsidRPr="00454670">
        <w:rPr>
          <w:color w:val="000000"/>
        </w:rPr>
        <w:t>TO</w:t>
      </w:r>
      <w:r w:rsidR="00C64050">
        <w:rPr>
          <w:color w:val="000000"/>
        </w:rPr>
        <w:t xml:space="preserve"> </w:t>
      </w:r>
      <w:r w:rsidRPr="00454670">
        <w:rPr>
          <w:color w:val="000000"/>
        </w:rPr>
        <w:t>2524</w:t>
      </w:r>
      <w:r w:rsidR="00C64050">
        <w:rPr>
          <w:color w:val="000000"/>
        </w:rPr>
        <w:t xml:space="preserve"> </w:t>
      </w:r>
      <w:r w:rsidRPr="00454670">
        <w:rPr>
          <w:color w:val="000000"/>
        </w:rPr>
        <w:t>–</w:t>
      </w:r>
      <w:r w:rsidR="00C64050">
        <w:rPr>
          <w:color w:val="000000"/>
        </w:rPr>
        <w:t xml:space="preserve"> </w:t>
      </w:r>
      <w:r w:rsidRPr="00454670">
        <w:rPr>
          <w:color w:val="000000"/>
        </w:rPr>
        <w:t>GIFTS</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rsidR="00552E51" w:rsidRPr="00A32861" w:rsidRDefault="00552E51" w:rsidP="00A26D41">
      <w:pPr>
        <w:pStyle w:val="Heading20"/>
        <w:numPr>
          <w:ilvl w:val="1"/>
          <w:numId w:val="49"/>
        </w:numPr>
        <w:tabs>
          <w:tab w:val="clear" w:pos="2700"/>
        </w:tabs>
        <w:ind w:left="0"/>
        <w:rPr>
          <w:vanish/>
          <w:color w:val="000000"/>
          <w:specVanish/>
        </w:rPr>
      </w:pPr>
      <w:bookmarkStart w:id="587" w:name="_Toc94704664"/>
      <w:r w:rsidRPr="00A32861">
        <w:rPr>
          <w:b/>
          <w:color w:val="000000"/>
          <w:u w:val="single"/>
        </w:rPr>
        <w:t>Unusual Assignment Clause Produced A Gift</w:t>
      </w:r>
      <w:bookmarkEnd w:id="587"/>
    </w:p>
    <w:p w:rsidR="00552E51" w:rsidRDefault="00552E51" w:rsidP="00552E51">
      <w:pPr>
        <w:pStyle w:val="Heading2Body"/>
      </w:pPr>
      <w:r>
        <w:t xml:space="preserve">.  </w:t>
      </w:r>
      <w:r>
        <w:rPr>
          <w:u w:val="single"/>
        </w:rPr>
        <w:t>Nelson v. Commissioner</w:t>
      </w:r>
      <w:r>
        <w:t xml:space="preserve">, T.C. Memo. 2020-81, involved the transfer of units in a limited partnership, Longspar, to a trust in 2008.  One transfer was a gift, the </w:t>
      </w:r>
      <w:r w:rsidR="00674577">
        <w:t>other</w:t>
      </w:r>
      <w:r>
        <w:t xml:space="preserve"> a sale for a note.  The transfers were by assignment as follows:</w:t>
      </w:r>
    </w:p>
    <w:p w:rsidR="00AD384C" w:rsidRPr="00AD384C" w:rsidRDefault="00AD384C" w:rsidP="00AD384C">
      <w:pPr>
        <w:pStyle w:val="QS10"/>
      </w:pPr>
      <w:r w:rsidRPr="00AD384C">
        <w:t>Mrs. Nelson made two transfers of limited partner interests in Longspar to</w:t>
      </w:r>
      <w:r>
        <w:t xml:space="preserve"> </w:t>
      </w:r>
      <w:r w:rsidRPr="00AD384C">
        <w:t>the Trust. The first transfer was a gift on December 31, 2008. The Memorandum</w:t>
      </w:r>
      <w:r>
        <w:t xml:space="preserve"> </w:t>
      </w:r>
      <w:r w:rsidRPr="00AD384C">
        <w:t>of Gift and Assignment of Limited Partner Interest (memorandum of gift)</w:t>
      </w:r>
      <w:r>
        <w:t xml:space="preserve"> </w:t>
      </w:r>
      <w:r w:rsidRPr="00AD384C">
        <w:t>provides:</w:t>
      </w:r>
    </w:p>
    <w:p w:rsidR="00AD384C" w:rsidRPr="00AD384C" w:rsidRDefault="00AD384C" w:rsidP="00FF5D8F">
      <w:pPr>
        <w:pStyle w:val="QS10"/>
        <w:ind w:left="2160"/>
      </w:pPr>
      <w:r w:rsidRPr="00AD384C">
        <w:t>[Mrs. Nelson] desires to make a gift and to assign to * * * [the Trust]</w:t>
      </w:r>
      <w:r>
        <w:t xml:space="preserve"> </w:t>
      </w:r>
      <w:r w:rsidRPr="00AD384C">
        <w:t>her right, title, and interest in a limited partner interest having a fair</w:t>
      </w:r>
      <w:r>
        <w:t xml:space="preserve"> </w:t>
      </w:r>
      <w:r w:rsidRPr="00AD384C">
        <w:t>market value of TWO MILLION NINETY-SIX THOUSAND AND</w:t>
      </w:r>
      <w:r>
        <w:t xml:space="preserve"> </w:t>
      </w:r>
      <w:r w:rsidRPr="00AD384C">
        <w:t>NO/100THS DOLLARS ($2,096,000.00) as of December 31, 2008</w:t>
      </w:r>
      <w:r>
        <w:t xml:space="preserve"> </w:t>
      </w:r>
      <w:r w:rsidRPr="00AD384C">
        <w:t>* * *, as determined by a qualified appraiser within ninety (90) days</w:t>
      </w:r>
      <w:r>
        <w:t xml:space="preserve"> </w:t>
      </w:r>
      <w:r w:rsidRPr="00AD384C">
        <w:t>of the effective date of this Assignment.</w:t>
      </w:r>
    </w:p>
    <w:p w:rsidR="00AD384C" w:rsidRPr="00AD384C" w:rsidRDefault="00AD384C" w:rsidP="00AD384C">
      <w:pPr>
        <w:pStyle w:val="QS10"/>
      </w:pPr>
      <w:r w:rsidRPr="00AD384C">
        <w:t>Petitioners structured the second transfer, on January 2, 2009, as a sale. The</w:t>
      </w:r>
      <w:r>
        <w:t xml:space="preserve"> </w:t>
      </w:r>
      <w:r w:rsidRPr="00AD384C">
        <w:t>Memorandum of Sale and Assignment of Limited Partner Interest (memorandum</w:t>
      </w:r>
      <w:r>
        <w:t xml:space="preserve"> </w:t>
      </w:r>
      <w:r w:rsidRPr="00AD384C">
        <w:t>of sale) provides:</w:t>
      </w:r>
    </w:p>
    <w:p w:rsidR="00AD384C" w:rsidRPr="00AD384C" w:rsidRDefault="00AD384C" w:rsidP="00FF5D8F">
      <w:pPr>
        <w:pStyle w:val="QS10"/>
        <w:ind w:left="2160"/>
      </w:pPr>
      <w:r w:rsidRPr="00AD384C">
        <w:t>[Mrs. Nelson] desires to sell and assign to * * * [the Trust] her right,</w:t>
      </w:r>
      <w:r>
        <w:t xml:space="preserve"> </w:t>
      </w:r>
      <w:r w:rsidRPr="00AD384C">
        <w:t>title, and interest in a limited partner interest having a fair market</w:t>
      </w:r>
      <w:r>
        <w:t xml:space="preserve"> </w:t>
      </w:r>
      <w:r w:rsidRPr="00AD384C">
        <w:t>value of TWENTY MILLION AND NO/100THS DOLLARS</w:t>
      </w:r>
      <w:r>
        <w:t xml:space="preserve"> </w:t>
      </w:r>
      <w:r w:rsidRPr="00AD384C">
        <w:t>($20,000,000.00) as of January 2, 2009 * * *, as determined by a</w:t>
      </w:r>
      <w:r>
        <w:t xml:space="preserve"> </w:t>
      </w:r>
      <w:r w:rsidRPr="00AD384C">
        <w:t>qualified appraiser within one hundred eighty (180) days of the</w:t>
      </w:r>
      <w:r>
        <w:t xml:space="preserve"> </w:t>
      </w:r>
      <w:r w:rsidRPr="00AD384C">
        <w:t>effective date of this Assignment * * *.</w:t>
      </w:r>
    </w:p>
    <w:p w:rsidR="00552E51" w:rsidRDefault="00AD384C" w:rsidP="00AD384C">
      <w:pPr>
        <w:pStyle w:val="QS10"/>
      </w:pPr>
      <w:r w:rsidRPr="00AD384C">
        <w:t>Neither the memorandum of gift nor the memorandum of sale (collectively transfer</w:t>
      </w:r>
      <w:r>
        <w:t xml:space="preserve"> </w:t>
      </w:r>
      <w:r w:rsidRPr="00AD384C">
        <w:t>instruments) contains clauses defining fair market value or subjecting the limited</w:t>
      </w:r>
      <w:r>
        <w:t xml:space="preserve"> </w:t>
      </w:r>
      <w:r w:rsidRPr="00AD384C">
        <w:t>partner interests to reallocation after the valuation date.</w:t>
      </w:r>
      <w:r>
        <w:t xml:space="preserve"> </w:t>
      </w:r>
      <w:r w:rsidRPr="00AD384C">
        <w:t>In connection with the second transfer, the Trust executed a promissory note</w:t>
      </w:r>
      <w:r>
        <w:t xml:space="preserve"> </w:t>
      </w:r>
      <w:r w:rsidRPr="00AD384C">
        <w:t>for $20 million (note). Mr. Nelson, as trustee, signed the note on behalf of the</w:t>
      </w:r>
      <w:r>
        <w:t xml:space="preserve"> </w:t>
      </w:r>
      <w:r w:rsidRPr="00AD384C">
        <w:t>Trust. The note provides for 2.06% interest on unpaid principal and 10% interest</w:t>
      </w:r>
      <w:r>
        <w:t xml:space="preserve"> </w:t>
      </w:r>
      <w:r w:rsidRPr="00AD384C">
        <w:t>on matured, unpaid amounts, compounded annually, and is secured by the limited</w:t>
      </w:r>
      <w:r>
        <w:t xml:space="preserve"> partner interest that was sold.  Annual interest payments on the note were due to Mrs. Nelson </w:t>
      </w:r>
      <w:r w:rsidR="00937C87">
        <w:t>through</w:t>
      </w:r>
      <w:r>
        <w:t xml:space="preserve"> </w:t>
      </w:r>
      <w:r w:rsidR="00674577">
        <w:t>the</w:t>
      </w:r>
      <w:r>
        <w:t xml:space="preserve"> end of 2017.</w:t>
      </w:r>
    </w:p>
    <w:p w:rsidR="00552E51" w:rsidRDefault="00552E51" w:rsidP="00552E51">
      <w:pPr>
        <w:pStyle w:val="Body15"/>
        <w:rPr>
          <w:color w:val="000000"/>
        </w:rPr>
      </w:pPr>
      <w:r>
        <w:rPr>
          <w:color w:val="000000"/>
        </w:rPr>
        <w:t>Appraisals were completed and 6.14% and 58.65% of the Longspar units were transferred.  Upon audit, the IRS increased the values of the units transferred.  The question for the court was what was transferred:</w:t>
      </w:r>
    </w:p>
    <w:p w:rsidR="00FF5D8F" w:rsidRDefault="00FF5D8F" w:rsidP="00B530C5">
      <w:pPr>
        <w:pStyle w:val="QS10"/>
      </w:pPr>
      <w:r>
        <w:t xml:space="preserve">The parties agree that the transfers were complete once Mrs. Nelson executed the transfer instruments parting with dominion and control over the interests. </w:t>
      </w:r>
      <w:r w:rsidRPr="00FF5D8F">
        <w:rPr>
          <w:u w:val="single"/>
        </w:rPr>
        <w:t>See</w:t>
      </w:r>
      <w:r>
        <w:t xml:space="preserve"> </w:t>
      </w:r>
      <w:r w:rsidRPr="00FF5D8F">
        <w:rPr>
          <w:u w:val="single"/>
        </w:rPr>
        <w:t>Burnet v. Guggenheim</w:t>
      </w:r>
      <w:r>
        <w:t xml:space="preserve">, 288 U.S. 280, 286 (1933); </w:t>
      </w:r>
      <w:r w:rsidRPr="00FF5D8F">
        <w:rPr>
          <w:u w:val="single"/>
        </w:rPr>
        <w:t>Carrington v. Commissioner</w:t>
      </w:r>
      <w:r>
        <w:t xml:space="preserve">, 476 F.2d 704 (5th Cir. 1973), </w:t>
      </w:r>
      <w:r w:rsidRPr="00FF5D8F">
        <w:rPr>
          <w:u w:val="single"/>
        </w:rPr>
        <w:t>aff’g</w:t>
      </w:r>
      <w:r>
        <w:t xml:space="preserve"> T.C. Memo. 1971-222; </w:t>
      </w:r>
      <w:r w:rsidRPr="00FF5D8F">
        <w:rPr>
          <w:u w:val="single"/>
        </w:rPr>
        <w:t>Estate of Metzger v. Commissioner</w:t>
      </w:r>
      <w:r>
        <w:t xml:space="preserve">, 100 T.C. 204, 208 (1993), </w:t>
      </w:r>
      <w:r w:rsidRPr="00FF5D8F">
        <w:rPr>
          <w:u w:val="single"/>
        </w:rPr>
        <w:t>aff’d</w:t>
      </w:r>
      <w:r>
        <w:t xml:space="preserve">, 38 F.3d 118 (4th Cir. 1994); sec. 25.2511-2(b), Gift Tax Regs. But they disagree over whether Mrs. Nelson transferred Longspar limited partner interests of $2,096,000 and $20 million, as petitioners contend, or percentage interests of 6.14% and 58.65%, as respondent contends. </w:t>
      </w:r>
    </w:p>
    <w:p w:rsidR="00B530C5" w:rsidRDefault="00FF5D8F" w:rsidP="00B530C5">
      <w:pPr>
        <w:pStyle w:val="QS10"/>
      </w:pPr>
      <w:r>
        <w:t xml:space="preserve">We look to the transfer documents rather than subsequent events to decide the amount of property given away by a taxpayer in a completed gift. </w:t>
      </w:r>
      <w:r w:rsidRPr="00FF5D8F">
        <w:rPr>
          <w:u w:val="single"/>
        </w:rPr>
        <w:t>See</w:t>
      </w:r>
      <w:r>
        <w:t xml:space="preserve"> </w:t>
      </w:r>
      <w:r w:rsidRPr="00FF5D8F">
        <w:rPr>
          <w:u w:val="single"/>
        </w:rPr>
        <w:t>Estate of Petter v. Commissioner</w:t>
      </w:r>
      <w:r>
        <w:t xml:space="preserve">, T.C. Memo. 2009-280, 2009 WL 4598137, at *12 (citing </w:t>
      </w:r>
      <w:r w:rsidRPr="00FF5D8F">
        <w:rPr>
          <w:u w:val="single"/>
        </w:rPr>
        <w:t>Succession of McCord v. Commissioner</w:t>
      </w:r>
      <w:r>
        <w:t xml:space="preserve">, 461 F.3d 614, 627 (5th Cir. 2006), </w:t>
      </w:r>
      <w:r w:rsidRPr="00FF5D8F">
        <w:rPr>
          <w:u w:val="single"/>
        </w:rPr>
        <w:t>rev’g and remanding</w:t>
      </w:r>
      <w:r>
        <w:t xml:space="preserve"> 120 T.C. 358 (2003)), </w:t>
      </w:r>
      <w:r w:rsidRPr="00FF5D8F">
        <w:rPr>
          <w:u w:val="single"/>
        </w:rPr>
        <w:t>aff’d</w:t>
      </w:r>
      <w:r>
        <w:t xml:space="preserve">, 653 F.3d 1012 (9th Cir. 2011); </w:t>
      </w:r>
      <w:r w:rsidRPr="00FF5D8F">
        <w:rPr>
          <w:u w:val="single"/>
        </w:rPr>
        <w:t>see also</w:t>
      </w:r>
      <w:r>
        <w:t xml:space="preserve"> </w:t>
      </w:r>
      <w:r w:rsidRPr="00FF5D8F">
        <w:rPr>
          <w:u w:val="single"/>
        </w:rPr>
        <w:t>Commissioner v. Procter</w:t>
      </w:r>
      <w:r>
        <w:t xml:space="preserve">, 142 F.2d 824 (4th Cir. 1944) (disregarding the subsequent reallocation of property to the donor via a saving clause as contrary to public policy), </w:t>
      </w:r>
      <w:r w:rsidRPr="00FF5D8F">
        <w:rPr>
          <w:u w:val="single"/>
        </w:rPr>
        <w:t>rev’g and remanding</w:t>
      </w:r>
      <w:r>
        <w:t xml:space="preserve"> a Memorandum Opinion of this Court. Petitioners argue that the transfer instruments show that Mrs. Nelson transferred specific dollar amounts, not fixed percentages, citing a series of cases that have respected formula clauses as transferring fixed dollar amounts of ownership interests. In each of those cases we respected the terms of the formula, even though the percentage amount was not known until fair market value was subsequently determined, because the dollar amount was known. </w:t>
      </w:r>
      <w:r w:rsidRPr="00FF5D8F">
        <w:rPr>
          <w:u w:val="single"/>
        </w:rPr>
        <w:t>Wandry v. Commissioner</w:t>
      </w:r>
      <w:r>
        <w:t xml:space="preserve">, T.C. Memo. 2012-88, 2012 WL 998483, at *4; </w:t>
      </w:r>
      <w:r w:rsidRPr="00FF5D8F">
        <w:rPr>
          <w:u w:val="single"/>
        </w:rPr>
        <w:t>Hendrix v. Commissioner</w:t>
      </w:r>
      <w:r>
        <w:t xml:space="preserve">, T.C. Memo. 2011-133, 2011 WL 2457401, at *5-*9; </w:t>
      </w:r>
      <w:r w:rsidRPr="00B530C5">
        <w:rPr>
          <w:u w:val="single"/>
        </w:rPr>
        <w:t>Estate of Petter v. Commissioner</w:t>
      </w:r>
      <w:r>
        <w:t xml:space="preserve">, 2009 WL 4598137, at *11-*16. </w:t>
      </w:r>
    </w:p>
    <w:p w:rsidR="00B530C5" w:rsidRDefault="00FF5D8F" w:rsidP="00B530C5">
      <w:pPr>
        <w:pStyle w:val="QS10"/>
      </w:pPr>
      <w:r>
        <w:t xml:space="preserve">Saving clauses have been treated differently. As we explained in </w:t>
      </w:r>
      <w:r w:rsidRPr="00B530C5">
        <w:rPr>
          <w:u w:val="single"/>
        </w:rPr>
        <w:t>Estate of Petter</w:t>
      </w:r>
      <w:r>
        <w:t xml:space="preserve"> and </w:t>
      </w:r>
      <w:r w:rsidRPr="00B530C5">
        <w:rPr>
          <w:u w:val="single"/>
        </w:rPr>
        <w:t>Wandry</w:t>
      </w:r>
      <w:r>
        <w:t xml:space="preserve">, courts have rejected saving clauses because they relied on conditions subsequent to adjust the gifts or transfers so the size of the transfer (as measured either in dollar amount or percentage) could not be known. Thus, for example, in </w:t>
      </w:r>
      <w:r w:rsidRPr="00B530C5">
        <w:rPr>
          <w:u w:val="single"/>
        </w:rPr>
        <w:t>Commissioner v. Procter,</w:t>
      </w:r>
      <w:r>
        <w:t xml:space="preserve"> 142 F.2d at 827, the Court of Appeals for the Fourth Circuit rejected a clause adjusting part of a gift to “automatically be deemed not to be included in the conveyance in trust hereunder and shall remain the sole property of * * * [the taxpayer]” because the adjustment would be triggered only by a “final judgment or order of a competent federal court of last resort that any part of the transfer * * * is subject to gift tax.” </w:t>
      </w:r>
    </w:p>
    <w:p w:rsidR="00B530C5" w:rsidRDefault="00FF5D8F" w:rsidP="00B530C5">
      <w:pPr>
        <w:pStyle w:val="QS10"/>
      </w:pPr>
      <w:r>
        <w:t xml:space="preserve">In </w:t>
      </w:r>
      <w:r w:rsidRPr="00B530C5">
        <w:rPr>
          <w:u w:val="single"/>
        </w:rPr>
        <w:t>Succession of McCord v. Commissioner</w:t>
      </w:r>
      <w:r>
        <w:t>, 461 F.3d at 618, the Court of Appeals for the Fifth Circuit upheld a gift of an interest in a partnership expressed as “a dollar amount of fair market value in interest” reduced by a transfer tax obligation rather than a percentage interest that was determined in agreements subsequent to the gift. It held that “a gift is va</w:t>
      </w:r>
      <w:r w:rsidR="00B530C5">
        <w:t xml:space="preserve">lued as of the date that it is </w:t>
      </w:r>
      <w:r>
        <w:t xml:space="preserve">complete; the flip side of that maxim is that subsequent occurrences are off limits.” </w:t>
      </w:r>
      <w:r w:rsidRPr="00B530C5">
        <w:rPr>
          <w:u w:val="single"/>
        </w:rPr>
        <w:t>Id</w:t>
      </w:r>
      <w:r>
        <w:t xml:space="preserve">. at 626. The formula clause in the initial transfer document did not include qualifying language that fair market value was to be “as finally determined for [Federal gift] tax purposes,” but the court did not find that omission fatal because the value of the gift was ascertainable as of the date it was complete. </w:t>
      </w:r>
      <w:r w:rsidRPr="00B530C5">
        <w:rPr>
          <w:u w:val="single"/>
        </w:rPr>
        <w:t>Id</w:t>
      </w:r>
      <w:r>
        <w:t xml:space="preserve">. at 627. </w:t>
      </w:r>
    </w:p>
    <w:p w:rsidR="00B530C5" w:rsidRDefault="00FF5D8F" w:rsidP="00B530C5">
      <w:pPr>
        <w:pStyle w:val="QS10"/>
      </w:pPr>
      <w:r>
        <w:t xml:space="preserve">Petitioners argue that we should construe the transfer clauses here as more akin to the formula clauses that were upheld in </w:t>
      </w:r>
      <w:r w:rsidRPr="00B530C5">
        <w:rPr>
          <w:u w:val="single"/>
        </w:rPr>
        <w:t>Succession of McCord</w:t>
      </w:r>
      <w:r>
        <w:t xml:space="preserve">, </w:t>
      </w:r>
      <w:r w:rsidRPr="00B530C5">
        <w:rPr>
          <w:u w:val="single"/>
        </w:rPr>
        <w:t>Estate of Petter</w:t>
      </w:r>
      <w:r>
        <w:t xml:space="preserve">, and </w:t>
      </w:r>
      <w:r w:rsidRPr="00B530C5">
        <w:rPr>
          <w:u w:val="single"/>
        </w:rPr>
        <w:t>Wandry</w:t>
      </w:r>
      <w:r>
        <w:t xml:space="preserve">, that is, read them as transferring dollar amounts rather than percentages. However, as part of their argument, they cite evidence of their intent, which includes their settlement discussions with IRS Appeals and subsequent adjustments to reflect changes in valuation to reflect those discussions. Of course, as in </w:t>
      </w:r>
      <w:r w:rsidRPr="00B530C5">
        <w:rPr>
          <w:u w:val="single"/>
        </w:rPr>
        <w:t>Succession of McCord</w:t>
      </w:r>
      <w:r>
        <w:t xml:space="preserve">, we look to the terms of the transfer instruments and not to the parties’ later actions except to the extent that we conclude the terms are ambiguous and their actions reveal their understanding of those terms. </w:t>
      </w:r>
      <w:r w:rsidRPr="00B530C5">
        <w:rPr>
          <w:u w:val="single"/>
        </w:rPr>
        <w:t>Id</w:t>
      </w:r>
      <w:r>
        <w:t xml:space="preserve">. at 627- 628. </w:t>
      </w:r>
    </w:p>
    <w:p w:rsidR="00B530C5" w:rsidRDefault="00FF5D8F" w:rsidP="00B530C5">
      <w:pPr>
        <w:pStyle w:val="QS10"/>
      </w:pPr>
      <w:r>
        <w:t xml:space="preserve">Therefore, to decide whether the transfers were of fixed dollar amounts or fixed percentages, we start with the clauses themselves, rather than the parties’ subsequent actions. The gift is expressed in the memorandum of gift as a “limited partner interest having a fair market value of TWO MILLION NINETY-SIX THOUSAND AND NO/100THS DOLLARS ($2,096,000.00) as of December 31, 2008 * * *, as determined by a qualified appraiser within ninety (90) days of the effective date of this Assignment.” Similarly, the sale is expressed in the memorandum of sale as a “limited partner interest having a fair market value of TWENTY MILLION AND NO/100THS DOLLARS ($20,000,000.00) as of January 2, 2009 * * *, as determined by a qualified appraiser within one hundred eighty (180) days of the effective date of this Assignment.” </w:t>
      </w:r>
    </w:p>
    <w:p w:rsidR="00B530C5" w:rsidRDefault="00FF5D8F" w:rsidP="00B530C5">
      <w:pPr>
        <w:pStyle w:val="QS10"/>
      </w:pPr>
      <w:r>
        <w:t xml:space="preserve">The transferred interests thus are expressed in the transfer instruments as an interest having a fair market value of a specified amount as determined by an appraiser within a fixed period. The clauses hang on the determination by an appraiser within a fixed period; value is not qualified further, for example, as that determined for Federal estate tax purposes. </w:t>
      </w:r>
      <w:r w:rsidRPr="00B530C5">
        <w:rPr>
          <w:u w:val="single"/>
        </w:rPr>
        <w:t>See, e.g.</w:t>
      </w:r>
      <w:r>
        <w:t xml:space="preserve">, </w:t>
      </w:r>
      <w:r w:rsidRPr="00B530C5">
        <w:rPr>
          <w:u w:val="single"/>
        </w:rPr>
        <w:t>Estate of Christiansen v. Commissioner</w:t>
      </w:r>
      <w:r>
        <w:t xml:space="preserve">, 130 T.C. 1, 14-18 (2008) (upholding gift clause providing fair market value “as such value is finally determined for federal estate tax purposes”), </w:t>
      </w:r>
      <w:r w:rsidRPr="00B530C5">
        <w:rPr>
          <w:u w:val="single"/>
        </w:rPr>
        <w:t>aff’d</w:t>
      </w:r>
      <w:r>
        <w:t xml:space="preserve">, 586 F.3d 1061 (8th Cir. 2009); </w:t>
      </w:r>
      <w:r w:rsidRPr="00B530C5">
        <w:rPr>
          <w:u w:val="single"/>
        </w:rPr>
        <w:t>Estate of Petter v. Commissioner</w:t>
      </w:r>
      <w:r>
        <w:t xml:space="preserve">, 2009 WL 4598137, at *11-*16 (upholding gift clause transferring the number of units of a limited liability company “that equals one-half the minimum * * * dollar amount that can pass free of federal gift tax by reason of Transferor’s applicable exclusion amount” along with a clause providing for an adjustment to the number of units if the value “is finally determined for federal gift tax purposes to exceed the amount described” in the first clause). </w:t>
      </w:r>
    </w:p>
    <w:p w:rsidR="00552E51" w:rsidRDefault="00FF5D8F" w:rsidP="00B530C5">
      <w:pPr>
        <w:pStyle w:val="QS10"/>
        <w:rPr>
          <w:color w:val="000000"/>
        </w:rPr>
      </w:pPr>
      <w:r>
        <w:t xml:space="preserve">Unlike the clause in </w:t>
      </w:r>
      <w:r w:rsidRPr="00B530C5">
        <w:rPr>
          <w:u w:val="single"/>
        </w:rPr>
        <w:t>Succession of McCord</w:t>
      </w:r>
      <w:r>
        <w:t>, “fair market value” here already is expressly qualified. By urging us to interpret the operative terms in the transfer instruments as transferring dollar values of the limited partner interests on the bases of fair market value as later determined for Federal gift and estate tax purposes, petitioners ask us, in effect, to ignore “qualified appraiser * * * [here, Mr. Shrode] within * * * [a fixed period]” and replace it with “for federal gift and estate tax purposes.” While they may have intended this, they did not write this. They are bound by what they wrote at the time. As the texts of the clauses required the determination of an appraiser within a fixed period to ascertain the interests being transferred, we conclude that Mrs. Nelson transferred 6.14% and 58.35% of limited partner interests in Longspar to the Trust as was determined by Mr. Shrode within a fixed period.</w:t>
      </w:r>
    </w:p>
    <w:p w:rsidR="00552E51" w:rsidRDefault="00552E51" w:rsidP="00552E51">
      <w:pPr>
        <w:pStyle w:val="Body15"/>
        <w:rPr>
          <w:color w:val="000000"/>
        </w:rPr>
      </w:pPr>
      <w:r>
        <w:rPr>
          <w:color w:val="000000"/>
        </w:rPr>
        <w:t>Longspar itself owned interests in a closely-held company, “Stacked” discounts were allowed, summarized by the court as follows:</w:t>
      </w:r>
    </w:p>
    <w:p w:rsidR="00552E51" w:rsidRDefault="00674577" w:rsidP="00674577">
      <w:pPr>
        <w:pStyle w:val="QS10"/>
      </w:pPr>
      <w:r>
        <w:t>First, Mrs. Nelson transferred 6.14% and 58.65% Longspar limited partner interests to the Trust. Next, discounts of 15% for lack of control and 30% for lack of marketability should apply to the valuation of WEC common stock, resulting in a fair market value of $912 per share. Therefore, the controlling, marketable value of Longspar is $60,729,361. Discounts of 5% for lack of control and 28% for lack of marketability should apply to calculate the fair market value of a Longspar limited partnership interest. As a result, a 1% Longspar limited partner interest has a fair market value of $411,235 and the 6.14% and 58.65% Longspar limited partner interests Mrs. Nelson transferred to the Trust have fair market values of $2,524,983 and $24,118,933, respectively.</w:t>
      </w:r>
    </w:p>
    <w:p w:rsidR="00D23CF0" w:rsidRPr="00D23CF0" w:rsidRDefault="005307E5" w:rsidP="005307E5">
      <w:pPr>
        <w:pStyle w:val="Heading20"/>
        <w:numPr>
          <w:ilvl w:val="1"/>
          <w:numId w:val="26"/>
        </w:numPr>
        <w:tabs>
          <w:tab w:val="clear" w:pos="2700"/>
        </w:tabs>
        <w:ind w:left="0"/>
        <w:rPr>
          <w:vanish/>
          <w:specVanish/>
        </w:rPr>
      </w:pPr>
      <w:bookmarkStart w:id="588" w:name="_Toc94704665"/>
      <w:r>
        <w:rPr>
          <w:b/>
          <w:u w:val="single"/>
        </w:rPr>
        <w:t>Gifts vs. Loans vs. Loans Incapable of Repayment</w:t>
      </w:r>
      <w:bookmarkEnd w:id="588"/>
    </w:p>
    <w:p w:rsidR="005307E5" w:rsidRDefault="005307E5" w:rsidP="00D23CF0">
      <w:pPr>
        <w:pStyle w:val="Heading2Body"/>
      </w:pPr>
      <w:r>
        <w:t xml:space="preserve">.  At issue in </w:t>
      </w:r>
      <w:r>
        <w:rPr>
          <w:u w:val="single"/>
        </w:rPr>
        <w:t>Estate of Bolles</w:t>
      </w:r>
      <w:r>
        <w:t xml:space="preserve">, T.C. Memo. 2020-71, was whether various transfers, mother to son, were gifts, loans, or, as it turns out, loans that couldn’t be repaid.  </w:t>
      </w:r>
      <w:r w:rsidR="009D4E4C">
        <w:t xml:space="preserve">The case suggests that taxpayers should argue with the IRS if they can prove a change in circumstances between the time of </w:t>
      </w:r>
      <w:r w:rsidR="00F146A7">
        <w:t xml:space="preserve">an unpaid </w:t>
      </w:r>
      <w:r w:rsidR="009D4E4C">
        <w:t xml:space="preserve">loan and the time of the lender’s death.  </w:t>
      </w:r>
      <w:r>
        <w:t>The court’s conclusion is as follows:</w:t>
      </w:r>
    </w:p>
    <w:p w:rsidR="006134C9" w:rsidRDefault="006C31CB" w:rsidP="006134C9">
      <w:pPr>
        <w:pStyle w:val="QS10"/>
      </w:pPr>
      <w:r>
        <w:t xml:space="preserve">Finally, we address the issue of whether the advances were loans or gifts. Both parties rely on the analysis of </w:t>
      </w:r>
      <w:r w:rsidRPr="006134C9">
        <w:rPr>
          <w:u w:val="single"/>
        </w:rPr>
        <w:t>Miller v. Commissioner</w:t>
      </w:r>
      <w:r>
        <w:t xml:space="preserve">, T.C. Memo. 1996-3, </w:t>
      </w:r>
      <w:r w:rsidRPr="006134C9">
        <w:rPr>
          <w:u w:val="single"/>
        </w:rPr>
        <w:t>aff’d</w:t>
      </w:r>
      <w:r>
        <w:t xml:space="preserve">, 113 F.3d 1241 (9th Cir. 1997), for the traditional factors used to decide whether an advance is a loan or a gift. Those factors are explained as follows: (1) there was a promissory note or other evidence of indebtedness, (2) interest was charged, (3) there was security or collateral, (4) there was a fixed maturity date, (5) a demand for repayment was made, (6) actual repayment was made, (7) the transferee had the ability to repay, (8) records maintained by the transferor and/or the transferee reflect the transaction as a loan, and (9) the manner in which the transaction was reported for Federal tax purposes is consistent with a loan. </w:t>
      </w:r>
    </w:p>
    <w:p w:rsidR="006134C9" w:rsidRDefault="006C31CB" w:rsidP="006134C9">
      <w:pPr>
        <w:pStyle w:val="QS10"/>
      </w:pPr>
      <w:r>
        <w:t xml:space="preserve">These factors are not exclusive. </w:t>
      </w:r>
      <w:r w:rsidRPr="006134C9">
        <w:rPr>
          <w:u w:val="single"/>
        </w:rPr>
        <w:t>See, e.g.</w:t>
      </w:r>
      <w:r>
        <w:t xml:space="preserve">, </w:t>
      </w:r>
      <w:r w:rsidRPr="006134C9">
        <w:rPr>
          <w:u w:val="single"/>
        </w:rPr>
        <w:t>Estate of Maxwell v. Commissioner</w:t>
      </w:r>
      <w:r>
        <w:t xml:space="preserve">, 98 T.C. 594 (1992), </w:t>
      </w:r>
      <w:r w:rsidRPr="006134C9">
        <w:rPr>
          <w:u w:val="single"/>
        </w:rPr>
        <w:t>aff’d</w:t>
      </w:r>
      <w:r>
        <w:t>, 3 F.3d 591 (2d Cir. 1993). In the case of a family loan, it is a longstanding principle that an actual expectation of repayment and an intent to enforce the debt are critical to sustaining the tax characterization of the transaction as a loan.</w:t>
      </w:r>
      <w:r w:rsidRPr="006134C9">
        <w:rPr>
          <w:u w:val="single"/>
        </w:rPr>
        <w:t xml:space="preserve"> Estate of Van Anda v. Commissioner</w:t>
      </w:r>
      <w:r>
        <w:t xml:space="preserve">, 12 T.C. 1158, 1162 (1949), </w:t>
      </w:r>
      <w:r w:rsidRPr="006134C9">
        <w:rPr>
          <w:u w:val="single"/>
        </w:rPr>
        <w:t>aff’d per curiam</w:t>
      </w:r>
      <w:r>
        <w:t xml:space="preserve">, 192 F.2d 391 (2d Cir. 1951). </w:t>
      </w:r>
    </w:p>
    <w:p w:rsidR="006134C9" w:rsidRDefault="006C31CB" w:rsidP="006134C9">
      <w:pPr>
        <w:pStyle w:val="QS10"/>
      </w:pPr>
      <w:r>
        <w:t xml:space="preserve">While Mary recorded the advances to Peter as loans and kept track of interest, there were no loan agreements or attempts to force repayment. Respondent focuses on the lack of security for the loans to Peter. We agree that the reasonable possibility of repayment is an objective measure of Mary’s intent. The estate maintains that during her life Mary always considered these advances as loans. We cannot reconcile this argument with the deterioration of Peter’s financial situation and the ultimate failure of his practice in San Francisco and later in Las Vegas. </w:t>
      </w:r>
    </w:p>
    <w:p w:rsidR="005307E5" w:rsidRDefault="006C31CB" w:rsidP="006134C9">
      <w:pPr>
        <w:pStyle w:val="QS10"/>
        <w:rPr>
          <w:color w:val="000000"/>
        </w:rPr>
      </w:pPr>
      <w:r>
        <w:t>Peter’s creativity as an architect and his ability to attract clients likely impressed Mary. We find she expected him to make a success of the practice as</w:t>
      </w:r>
      <w:r w:rsidR="006134C9">
        <w:t xml:space="preserve"> his father had, and she was slow to lose that expectation. However, it is clear she realized he was very unlikely to repay her loans by October 27, 1989, when her trust provided for a specific block of Peter’s receipt of assets at the time of her death. Accordingly, in 1990 the “loans” lost that characterization for tax purposes and became advances on Peter’s inheritance from Mary. In conclusion, we find the advances to Peter were loans through 1989 but after that were gifts. We have considered whether she forgave any of the prior loans in 1989, but we find that she did not forgive the loans but rather accepted they could not be repaid on the basis of Peter’s financial distress.</w:t>
      </w:r>
    </w:p>
    <w:p w:rsidR="005307E5" w:rsidRDefault="005307E5" w:rsidP="005307E5">
      <w:pPr>
        <w:pStyle w:val="Body15"/>
        <w:rPr>
          <w:color w:val="000000"/>
        </w:rPr>
      </w:pPr>
      <w:r>
        <w:rPr>
          <w:color w:val="000000"/>
        </w:rPr>
        <w:t xml:space="preserve">For the opinion to be </w:t>
      </w:r>
      <w:r w:rsidR="00D23CF0">
        <w:rPr>
          <w:color w:val="000000"/>
        </w:rPr>
        <w:t>helpful requires close attention to the facts:</w:t>
      </w:r>
    </w:p>
    <w:p w:rsidR="00D23CF0" w:rsidRDefault="006C31CB" w:rsidP="006C31CB">
      <w:pPr>
        <w:pStyle w:val="QS10"/>
      </w:pPr>
      <w:r w:rsidRPr="006C31CB">
        <w:t>A loving mother of her five children, Mary was determined to provide her</w:t>
      </w:r>
      <w:r>
        <w:t xml:space="preserve"> </w:t>
      </w:r>
      <w:r w:rsidRPr="006C31CB">
        <w:t>assets to her children equally. Her practice was to keep a personal record of her</w:t>
      </w:r>
      <w:r>
        <w:t xml:space="preserve"> </w:t>
      </w:r>
      <w:r w:rsidRPr="006C31CB">
        <w:t>advances and occasional repayments for each child. On the basis of her original</w:t>
      </w:r>
      <w:r>
        <w:t xml:space="preserve"> </w:t>
      </w:r>
      <w:r w:rsidRPr="006C31CB">
        <w:t>intent and the advice of her tax counsel, she treated the advances as loans. She</w:t>
      </w:r>
      <w:r>
        <w:t xml:space="preserve"> </w:t>
      </w:r>
      <w:r w:rsidRPr="006C31CB">
        <w:t>forgave the “debt” account of each child every year on the basis of the gift tax</w:t>
      </w:r>
      <w:r>
        <w:t xml:space="preserve"> </w:t>
      </w:r>
      <w:r w:rsidRPr="006C31CB">
        <w:t>exemption amount. Her practice would have been noncontroversial but for the</w:t>
      </w:r>
      <w:r>
        <w:t xml:space="preserve"> </w:t>
      </w:r>
      <w:r w:rsidRPr="006C31CB">
        <w:t>substantial funds she advanced to Peter.</w:t>
      </w:r>
    </w:p>
    <w:p w:rsidR="00D23CF0" w:rsidRDefault="00D23CF0" w:rsidP="006C31CB">
      <w:pPr>
        <w:pStyle w:val="QS10"/>
        <w:jc w:val="center"/>
      </w:pPr>
      <w:r>
        <w:t>***</w:t>
      </w:r>
    </w:p>
    <w:p w:rsidR="00D23CF0" w:rsidRDefault="006C31CB" w:rsidP="006C31CB">
      <w:pPr>
        <w:pStyle w:val="QS10"/>
      </w:pPr>
      <w:r>
        <w:t>Peter was the oldest of their five children. He graduated from college with a degree in architecture in 1965. On the basis of his academic achievements and his father’s reputation as an architect in San Francisco, Peter’s professional career showed great promise. He began his career in Boston. He took over his father’s architecture practice in San Francisco in the early 1970s and enjoyed some early success in attracting clients. Peter expanded the practice through the 1970s into the early 1980s; but despite his salesmanship he began to have financial difficulties largely because his expectations exceeded realistic results. By 1983 Peter’s practice was not current on its bills. In July 1983 Peter, as president of Bolles Associates and Peter B. Bolles, P.A., entered into an agreement with the Bolles Trust to use trust property as security for $600,000 in bank loans. The agreement also reflects that the Bolles Trust was owed $159,828 in back rent by Peter’s practice. Within a year Peter had failed to meet the obligations of the agreement, and the Trust was ultimately held liable for the $600,000. Mary had contemporaneous knowledge of these events.</w:t>
      </w:r>
    </w:p>
    <w:p w:rsidR="00D23CF0" w:rsidRDefault="00D23CF0" w:rsidP="005307E5">
      <w:pPr>
        <w:pStyle w:val="Body15"/>
        <w:rPr>
          <w:color w:val="000000"/>
        </w:rPr>
      </w:pPr>
      <w:r>
        <w:rPr>
          <w:color w:val="000000"/>
        </w:rPr>
        <w:t>Between 1985 and 2007 Mary transferred $1,063,333 to or for Peter’s benefit (directly to him</w:t>
      </w:r>
      <w:r w:rsidR="006134C9">
        <w:rPr>
          <w:color w:val="000000"/>
        </w:rPr>
        <w:t>,</w:t>
      </w:r>
      <w:r>
        <w:rPr>
          <w:color w:val="000000"/>
        </w:rPr>
        <w:t xml:space="preserve"> to his accounts, paying other of his debts).  Peter made no payments after 1988.  In Mary’s estate plan, she adjusted for the transfers, with interest (using the AFR).  The IRS argument was that either Mary made gifts or a note should be in her estate:</w:t>
      </w:r>
    </w:p>
    <w:p w:rsidR="006C31CB" w:rsidRDefault="006C31CB" w:rsidP="006C31CB">
      <w:pPr>
        <w:pStyle w:val="QS10"/>
      </w:pPr>
      <w:r>
        <w:t>The calculations found in article five of the First Amendment describe the manner in which advances, described as loans, are to be taken into account in dividing the trust assets among decedent’s children upon her death. In essence, under subparagraph (b), the value of the trust assets after allowance for expenses such as estate tax is divided equally; however, each child’s share is reduced, and that amount redistributed pro rata among the other beneficiaries, by the amount of the child’s outstanding loans, if any, plus accrued interest.</w:t>
      </w:r>
    </w:p>
    <w:p w:rsidR="006C31CB" w:rsidRDefault="006C31CB" w:rsidP="006C31CB">
      <w:pPr>
        <w:pStyle w:val="QS10"/>
        <w:ind w:left="2160"/>
      </w:pPr>
      <w:r>
        <w:t xml:space="preserve">The explanation of adjustments to the notice of deficiency states: </w:t>
      </w:r>
    </w:p>
    <w:p w:rsidR="006C31CB" w:rsidRDefault="006C31CB" w:rsidP="006C31CB">
      <w:pPr>
        <w:pStyle w:val="QS10"/>
        <w:ind w:left="2160"/>
      </w:pPr>
      <w:r>
        <w:t>I. Schedule C, Items 2 and 3</w:t>
      </w:r>
    </w:p>
    <w:p w:rsidR="006C31CB" w:rsidRDefault="006C31CB" w:rsidP="006C31CB">
      <w:pPr>
        <w:pStyle w:val="QS10"/>
        <w:ind w:left="2160"/>
      </w:pPr>
      <w:r>
        <w:t>It is determined that the fair market value of the Promissory Note and receivable due from Peter P. Bolles under IRC section 2031 is $1,063,333 instead of zero as reported and that interest on the Promissory Note and receivable is includible in the gross estate under IRC section 2033 in the amount of $1,165,778. Therefore, the value of the gross estate is increased by $2,229,111.</w:t>
      </w:r>
    </w:p>
    <w:p w:rsidR="006C31CB" w:rsidRDefault="006C31CB" w:rsidP="006C31CB">
      <w:pPr>
        <w:pStyle w:val="QS10"/>
        <w:ind w:left="2160"/>
      </w:pPr>
      <w:r>
        <w:t>II. Adjusted Taxable Gifts</w:t>
      </w:r>
    </w:p>
    <w:p w:rsidR="00D23CF0" w:rsidRDefault="006C31CB" w:rsidP="006C31CB">
      <w:pPr>
        <w:pStyle w:val="QS10"/>
        <w:ind w:left="2160"/>
      </w:pPr>
      <w:r>
        <w:t>In the event it is determined that the fair market value under IRC section 2031 of the Promissory Note and receivable from Peter Bolles and interest on the Promissory Note and receivables is zero then it is determined that Mary P. Bolles transferred property to Peter Bolles during her life such that “adjusted taxable gifts” in the amount of $1,063,333 is included in computing taxpayer’s estate tax liability under IRC section 2001(b).</w:t>
      </w:r>
    </w:p>
    <w:p w:rsidR="001013BD" w:rsidRPr="00454670" w:rsidRDefault="001013BD" w:rsidP="001013BD">
      <w:pPr>
        <w:pStyle w:val="Body15"/>
        <w:rPr>
          <w:color w:val="000000"/>
        </w:rPr>
      </w:pPr>
      <w:r>
        <w:rPr>
          <w:color w:val="000000"/>
        </w:rPr>
        <w:t xml:space="preserve">This is an interesting situation but one that is difficult but not impossible to replicate for planning purposes.  Suppose a parent loans money to a child to pay the child’s expenses during, say medical school; then the child goes into a line of medical work that cannot support repayment.  Perhaps in such instance a no gift, no loan position could be sustained, but </w:t>
      </w:r>
      <w:r w:rsidR="00F146A7">
        <w:rPr>
          <w:color w:val="000000"/>
        </w:rPr>
        <w:t xml:space="preserve">most families would </w:t>
      </w:r>
      <w:r>
        <w:rPr>
          <w:color w:val="000000"/>
        </w:rPr>
        <w:t>not plan for such.</w:t>
      </w:r>
    </w:p>
    <w:p w:rsidR="00485DB9" w:rsidRDefault="00856D6A">
      <w:pPr>
        <w:pStyle w:val="Heading1"/>
        <w:rPr>
          <w:color w:val="000000"/>
        </w:rPr>
      </w:pPr>
      <w:bookmarkStart w:id="589" w:name="_Toc168206618"/>
      <w:bookmarkStart w:id="590" w:name="_Toc168218248"/>
      <w:bookmarkStart w:id="591" w:name="_Toc231154894"/>
      <w:bookmarkStart w:id="592" w:name="_Toc295129799"/>
      <w:bookmarkStart w:id="593" w:name="_Toc295132414"/>
      <w:bookmarkStart w:id="594" w:name="_Toc295133934"/>
      <w:bookmarkStart w:id="595" w:name="_Toc295133969"/>
      <w:bookmarkStart w:id="596" w:name="_Toc295136501"/>
      <w:bookmarkStart w:id="597" w:name="_Toc297645106"/>
      <w:bookmarkStart w:id="598" w:name="_Toc297647177"/>
      <w:bookmarkStart w:id="599" w:name="_Toc297728373"/>
      <w:bookmarkStart w:id="600" w:name="_Toc297732835"/>
      <w:bookmarkStart w:id="601" w:name="_Toc298255226"/>
      <w:bookmarkStart w:id="602" w:name="_Toc298316800"/>
      <w:bookmarkStart w:id="603" w:name="_Toc298334645"/>
      <w:bookmarkStart w:id="604" w:name="_Toc298338143"/>
      <w:bookmarkStart w:id="605" w:name="_Toc301364483"/>
      <w:bookmarkStart w:id="606" w:name="_Toc302465943"/>
      <w:bookmarkStart w:id="607" w:name="_Toc303094318"/>
      <w:bookmarkStart w:id="608" w:name="_Toc303172916"/>
      <w:bookmarkStart w:id="609" w:name="_Toc303181246"/>
      <w:bookmarkStart w:id="610" w:name="_Toc321753662"/>
      <w:bookmarkStart w:id="611" w:name="_Toc322015846"/>
      <w:bookmarkStart w:id="612" w:name="_Toc322016019"/>
      <w:bookmarkStart w:id="613" w:name="_Toc322016557"/>
      <w:bookmarkStart w:id="614" w:name="_Toc376946788"/>
      <w:bookmarkStart w:id="615" w:name="_Toc376947635"/>
      <w:bookmarkStart w:id="616" w:name="_Toc376948429"/>
      <w:bookmarkStart w:id="617" w:name="_Toc376949223"/>
      <w:bookmarkStart w:id="618" w:name="_Toc94704666"/>
      <w:r w:rsidRPr="00454670">
        <w:rPr>
          <w:color w:val="000000"/>
        </w:rPr>
        <w:t>SECTION</w:t>
      </w:r>
      <w:r w:rsidR="00C64050">
        <w:rPr>
          <w:color w:val="000000"/>
        </w:rPr>
        <w:t xml:space="preserve"> </w:t>
      </w:r>
      <w:r w:rsidRPr="00454670">
        <w:rPr>
          <w:color w:val="000000"/>
        </w:rPr>
        <w:t>2518</w:t>
      </w:r>
      <w:r w:rsidR="00C64050">
        <w:rPr>
          <w:color w:val="000000"/>
        </w:rPr>
        <w:t xml:space="preserve"> </w:t>
      </w:r>
      <w:r w:rsidRPr="00454670">
        <w:rPr>
          <w:color w:val="000000"/>
        </w:rPr>
        <w:t>–</w:t>
      </w:r>
      <w:r w:rsidR="00C64050">
        <w:rPr>
          <w:color w:val="000000"/>
        </w:rPr>
        <w:t xml:space="preserve"> </w:t>
      </w:r>
      <w:r w:rsidRPr="00454670">
        <w:rPr>
          <w:color w:val="000000"/>
        </w:rPr>
        <w:t>DISCLAIMERS</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485DB9" w:rsidRDefault="00856D6A">
      <w:pPr>
        <w:pStyle w:val="Heading1"/>
        <w:rPr>
          <w:color w:val="000000"/>
        </w:rPr>
      </w:pPr>
      <w:bookmarkStart w:id="619" w:name="_Toc168206622"/>
      <w:bookmarkStart w:id="620" w:name="_Toc168218249"/>
      <w:bookmarkStart w:id="621" w:name="_Toc231154899"/>
      <w:bookmarkStart w:id="622" w:name="_Toc295129800"/>
      <w:bookmarkStart w:id="623" w:name="_Toc295132415"/>
      <w:bookmarkStart w:id="624" w:name="_Toc295133935"/>
      <w:bookmarkStart w:id="625" w:name="_Toc295133970"/>
      <w:bookmarkStart w:id="626" w:name="_Toc295136502"/>
      <w:bookmarkStart w:id="627" w:name="_Toc297645107"/>
      <w:bookmarkStart w:id="628" w:name="_Toc297647178"/>
      <w:bookmarkStart w:id="629" w:name="_Toc297728376"/>
      <w:bookmarkStart w:id="630" w:name="_Toc297732838"/>
      <w:bookmarkStart w:id="631" w:name="_Toc298255229"/>
      <w:bookmarkStart w:id="632" w:name="_Toc298316803"/>
      <w:bookmarkStart w:id="633" w:name="_Toc298334648"/>
      <w:bookmarkStart w:id="634" w:name="_Toc298338146"/>
      <w:bookmarkStart w:id="635" w:name="_Toc301364486"/>
      <w:bookmarkStart w:id="636" w:name="_Toc302465946"/>
      <w:bookmarkStart w:id="637" w:name="_Toc303094321"/>
      <w:bookmarkStart w:id="638" w:name="_Toc303172919"/>
      <w:bookmarkStart w:id="639" w:name="_Toc303181249"/>
      <w:bookmarkStart w:id="640" w:name="_Toc321753665"/>
      <w:bookmarkStart w:id="641" w:name="_Toc322015849"/>
      <w:bookmarkStart w:id="642" w:name="_Toc322016022"/>
      <w:bookmarkStart w:id="643" w:name="_Toc322016560"/>
      <w:bookmarkStart w:id="644" w:name="_Toc376946791"/>
      <w:bookmarkStart w:id="645" w:name="_Toc376947638"/>
      <w:bookmarkStart w:id="646" w:name="_Toc376948432"/>
      <w:bookmarkStart w:id="647" w:name="_Toc376949226"/>
      <w:bookmarkStart w:id="648" w:name="_Toc94704667"/>
      <w:r w:rsidRPr="00454670">
        <w:rPr>
          <w:color w:val="000000"/>
        </w:rPr>
        <w:t>SECTIONS</w:t>
      </w:r>
      <w:r w:rsidR="00C64050">
        <w:rPr>
          <w:color w:val="000000"/>
        </w:rPr>
        <w:t xml:space="preserve"> </w:t>
      </w:r>
      <w:r w:rsidRPr="00454670">
        <w:rPr>
          <w:color w:val="000000"/>
        </w:rPr>
        <w:t>2601-2654</w:t>
      </w:r>
      <w:r w:rsidR="00C64050">
        <w:rPr>
          <w:color w:val="000000"/>
        </w:rPr>
        <w:t xml:space="preserve"> </w:t>
      </w:r>
      <w:r w:rsidRPr="00454670">
        <w:rPr>
          <w:color w:val="000000"/>
        </w:rPr>
        <w:t>-</w:t>
      </w:r>
      <w:r w:rsidR="00C64050">
        <w:rPr>
          <w:color w:val="000000"/>
        </w:rPr>
        <w:t xml:space="preserve"> </w:t>
      </w:r>
      <w:r w:rsidRPr="00454670">
        <w:rPr>
          <w:color w:val="000000"/>
        </w:rPr>
        <w:t>GENERATION-SKIPPING</w:t>
      </w:r>
      <w:r w:rsidR="00C64050">
        <w:rPr>
          <w:color w:val="000000"/>
        </w:rPr>
        <w:t xml:space="preserve"> </w:t>
      </w:r>
      <w:r w:rsidRPr="00454670">
        <w:rPr>
          <w:color w:val="000000"/>
        </w:rPr>
        <w:t>TRANSFER</w:t>
      </w:r>
      <w:r w:rsidR="00C64050">
        <w:rPr>
          <w:color w:val="000000"/>
        </w:rPr>
        <w:t xml:space="preserve"> </w:t>
      </w:r>
      <w:r w:rsidRPr="00454670">
        <w:rPr>
          <w:color w:val="000000"/>
        </w:rPr>
        <w:t>TAX</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rsidR="002A0FDB" w:rsidRPr="00B0512E" w:rsidRDefault="002A0FDB" w:rsidP="00DD5B8E">
      <w:pPr>
        <w:pStyle w:val="Heading20"/>
        <w:numPr>
          <w:ilvl w:val="1"/>
          <w:numId w:val="36"/>
        </w:numPr>
        <w:tabs>
          <w:tab w:val="clear" w:pos="2700"/>
        </w:tabs>
        <w:ind w:left="0"/>
        <w:rPr>
          <w:vanish/>
          <w:specVanish/>
        </w:rPr>
      </w:pPr>
      <w:bookmarkStart w:id="649" w:name="_Toc94704668"/>
      <w:r w:rsidRPr="00B0512E">
        <w:rPr>
          <w:b/>
          <w:u w:val="single"/>
        </w:rPr>
        <w:t>Modification</w:t>
      </w:r>
      <w:r w:rsidR="00C64050" w:rsidRPr="00B0512E">
        <w:rPr>
          <w:b/>
          <w:u w:val="single"/>
        </w:rPr>
        <w:t xml:space="preserve"> </w:t>
      </w:r>
      <w:r w:rsidRPr="00B0512E">
        <w:rPr>
          <w:b/>
          <w:u w:val="single"/>
        </w:rPr>
        <w:t>of</w:t>
      </w:r>
      <w:r w:rsidR="00C64050" w:rsidRPr="00B0512E">
        <w:rPr>
          <w:b/>
          <w:u w:val="single"/>
        </w:rPr>
        <w:t xml:space="preserve"> </w:t>
      </w:r>
      <w:r w:rsidRPr="00B0512E">
        <w:rPr>
          <w:b/>
          <w:u w:val="single"/>
        </w:rPr>
        <w:t>GST</w:t>
      </w:r>
      <w:r w:rsidR="00C64050" w:rsidRPr="00B0512E">
        <w:rPr>
          <w:b/>
          <w:u w:val="single"/>
        </w:rPr>
        <w:t xml:space="preserve"> </w:t>
      </w:r>
      <w:r w:rsidRPr="00B0512E">
        <w:rPr>
          <w:b/>
          <w:u w:val="single"/>
        </w:rPr>
        <w:t>Grandfathered</w:t>
      </w:r>
      <w:r w:rsidR="00C64050" w:rsidRPr="00B0512E">
        <w:rPr>
          <w:b/>
          <w:u w:val="single"/>
        </w:rPr>
        <w:t xml:space="preserve"> </w:t>
      </w:r>
      <w:r w:rsidRPr="00B0512E">
        <w:rPr>
          <w:b/>
          <w:u w:val="single"/>
        </w:rPr>
        <w:t>Trust</w:t>
      </w:r>
      <w:r w:rsidR="00C64050" w:rsidRPr="00B0512E">
        <w:rPr>
          <w:b/>
          <w:u w:val="single"/>
        </w:rPr>
        <w:t xml:space="preserve"> </w:t>
      </w:r>
      <w:r w:rsidRPr="00B0512E">
        <w:rPr>
          <w:b/>
          <w:u w:val="single"/>
        </w:rPr>
        <w:t>Allowed</w:t>
      </w:r>
      <w:r w:rsidR="00C64050" w:rsidRPr="00B0512E">
        <w:rPr>
          <w:b/>
          <w:u w:val="single"/>
        </w:rPr>
        <w:t xml:space="preserve"> </w:t>
      </w:r>
      <w:r w:rsidRPr="00B0512E">
        <w:rPr>
          <w:b/>
          <w:u w:val="single"/>
        </w:rPr>
        <w:t>Where</w:t>
      </w:r>
      <w:r w:rsidR="00C64050" w:rsidRPr="00B0512E">
        <w:rPr>
          <w:b/>
          <w:u w:val="single"/>
        </w:rPr>
        <w:t xml:space="preserve"> </w:t>
      </w:r>
      <w:r w:rsidRPr="00B0512E">
        <w:rPr>
          <w:b/>
          <w:u w:val="single"/>
        </w:rPr>
        <w:t>Property</w:t>
      </w:r>
      <w:r w:rsidR="00C64050" w:rsidRPr="00B0512E">
        <w:rPr>
          <w:b/>
          <w:u w:val="single"/>
        </w:rPr>
        <w:t xml:space="preserve"> </w:t>
      </w:r>
      <w:r w:rsidRPr="00B0512E">
        <w:rPr>
          <w:b/>
          <w:u w:val="single"/>
        </w:rPr>
        <w:t>Vested</w:t>
      </w:r>
      <w:r w:rsidR="00C64050" w:rsidRPr="00B0512E">
        <w:rPr>
          <w:b/>
          <w:u w:val="single"/>
        </w:rPr>
        <w:t xml:space="preserve"> </w:t>
      </w:r>
      <w:r w:rsidRPr="00B0512E">
        <w:rPr>
          <w:b/>
          <w:u w:val="single"/>
        </w:rPr>
        <w:t>in</w:t>
      </w:r>
      <w:r w:rsidR="00C64050" w:rsidRPr="00B0512E">
        <w:rPr>
          <w:b/>
          <w:u w:val="single"/>
        </w:rPr>
        <w:t xml:space="preserve"> </w:t>
      </w:r>
      <w:r w:rsidRPr="00B0512E">
        <w:rPr>
          <w:b/>
          <w:u w:val="single"/>
        </w:rPr>
        <w:t>Same</w:t>
      </w:r>
      <w:r w:rsidR="00C64050" w:rsidRPr="00B0512E">
        <w:rPr>
          <w:b/>
          <w:u w:val="single"/>
        </w:rPr>
        <w:t xml:space="preserve"> </w:t>
      </w:r>
      <w:r w:rsidRPr="00B0512E">
        <w:rPr>
          <w:b/>
          <w:u w:val="single"/>
        </w:rPr>
        <w:t>Generation</w:t>
      </w:r>
      <w:r w:rsidR="00C64050" w:rsidRPr="00B0512E">
        <w:rPr>
          <w:b/>
          <w:u w:val="single"/>
        </w:rPr>
        <w:t xml:space="preserve"> </w:t>
      </w:r>
      <w:r w:rsidRPr="00B0512E">
        <w:rPr>
          <w:b/>
          <w:u w:val="single"/>
        </w:rPr>
        <w:t>As</w:t>
      </w:r>
      <w:r w:rsidR="00C64050" w:rsidRPr="00B0512E">
        <w:rPr>
          <w:b/>
          <w:u w:val="single"/>
        </w:rPr>
        <w:t xml:space="preserve"> </w:t>
      </w:r>
      <w:r w:rsidRPr="00B0512E">
        <w:rPr>
          <w:b/>
          <w:u w:val="single"/>
        </w:rPr>
        <w:t>Before</w:t>
      </w:r>
      <w:r w:rsidR="00C64050" w:rsidRPr="00B0512E">
        <w:rPr>
          <w:b/>
          <w:u w:val="single"/>
        </w:rPr>
        <w:t xml:space="preserve"> </w:t>
      </w:r>
      <w:r w:rsidRPr="00B0512E">
        <w:rPr>
          <w:b/>
          <w:u w:val="single"/>
        </w:rPr>
        <w:t>Modification</w:t>
      </w:r>
      <w:bookmarkEnd w:id="649"/>
    </w:p>
    <w:p w:rsidR="008A0D0A" w:rsidRDefault="002A0FDB" w:rsidP="002A0FDB">
      <w:pPr>
        <w:pStyle w:val="Heading2Body"/>
      </w:pPr>
      <w:r>
        <w:t>.</w:t>
      </w:r>
      <w:r w:rsidR="00C64050">
        <w:t xml:space="preserve">  </w:t>
      </w:r>
      <w:r>
        <w:t>PLR</w:t>
      </w:r>
      <w:r w:rsidR="00C64050">
        <w:t xml:space="preserve"> </w:t>
      </w:r>
      <w:r>
        <w:t>202011001</w:t>
      </w:r>
      <w:r w:rsidR="00C64050">
        <w:t xml:space="preserve"> </w:t>
      </w:r>
      <w:r>
        <w:t>states:</w:t>
      </w:r>
    </w:p>
    <w:p w:rsidR="008A0D0A" w:rsidRPr="00D7363B" w:rsidRDefault="00D7363B" w:rsidP="00D7363B">
      <w:pPr>
        <w:pStyle w:val="QS10"/>
        <w:rPr>
          <w:color w:val="000000" w:themeColor="text1"/>
          <w:szCs w:val="20"/>
        </w:rPr>
      </w:pPr>
      <w:r w:rsidRPr="00D7363B">
        <w:rPr>
          <w:color w:val="000000" w:themeColor="text1"/>
          <w:szCs w:val="20"/>
        </w:rPr>
        <w:t>In</w:t>
      </w:r>
      <w:r w:rsidR="00C64050">
        <w:rPr>
          <w:color w:val="000000" w:themeColor="text1"/>
          <w:szCs w:val="20"/>
        </w:rPr>
        <w:t xml:space="preserve"> </w:t>
      </w:r>
      <w:r w:rsidRPr="00D7363B">
        <w:rPr>
          <w:color w:val="000000" w:themeColor="text1"/>
          <w:szCs w:val="20"/>
        </w:rPr>
        <w:t>this</w:t>
      </w:r>
      <w:r w:rsidR="00C64050">
        <w:rPr>
          <w:color w:val="000000" w:themeColor="text1"/>
          <w:szCs w:val="20"/>
        </w:rPr>
        <w:t xml:space="preserve"> </w:t>
      </w:r>
      <w:r w:rsidRPr="00D7363B">
        <w:rPr>
          <w:color w:val="000000" w:themeColor="text1"/>
          <w:szCs w:val="20"/>
        </w:rPr>
        <w:t>case,</w:t>
      </w:r>
      <w:r w:rsidR="00C64050">
        <w:rPr>
          <w:color w:val="000000" w:themeColor="text1"/>
          <w:szCs w:val="20"/>
        </w:rPr>
        <w:t xml:space="preserve"> </w:t>
      </w:r>
      <w:r w:rsidRPr="00D7363B">
        <w:rPr>
          <w:color w:val="000000" w:themeColor="text1"/>
          <w:szCs w:val="20"/>
        </w:rPr>
        <w:t>Trust</w:t>
      </w:r>
      <w:r w:rsidR="00C64050">
        <w:rPr>
          <w:color w:val="000000" w:themeColor="text1"/>
          <w:szCs w:val="20"/>
        </w:rPr>
        <w:t xml:space="preserve"> </w:t>
      </w:r>
      <w:r w:rsidRPr="00D7363B">
        <w:rPr>
          <w:color w:val="000000" w:themeColor="text1"/>
          <w:szCs w:val="20"/>
        </w:rPr>
        <w:t>A</w:t>
      </w:r>
      <w:r w:rsidR="00C64050">
        <w:rPr>
          <w:color w:val="000000" w:themeColor="text1"/>
          <w:szCs w:val="20"/>
        </w:rPr>
        <w:t xml:space="preserve"> </w:t>
      </w:r>
      <w:r w:rsidRPr="00D7363B">
        <w:rPr>
          <w:color w:val="000000" w:themeColor="text1"/>
          <w:szCs w:val="20"/>
        </w:rPr>
        <w:t>was</w:t>
      </w:r>
      <w:r w:rsidR="00C64050">
        <w:rPr>
          <w:color w:val="000000" w:themeColor="text1"/>
          <w:szCs w:val="20"/>
        </w:rPr>
        <w:t xml:space="preserve"> </w:t>
      </w:r>
      <w:r w:rsidRPr="00D7363B">
        <w:rPr>
          <w:color w:val="000000" w:themeColor="text1"/>
          <w:szCs w:val="20"/>
        </w:rPr>
        <w:t>irrevocable</w:t>
      </w:r>
      <w:r w:rsidR="00C64050">
        <w:rPr>
          <w:color w:val="000000" w:themeColor="text1"/>
          <w:szCs w:val="20"/>
        </w:rPr>
        <w:t xml:space="preserve"> </w:t>
      </w:r>
      <w:r w:rsidRPr="00D7363B">
        <w:rPr>
          <w:color w:val="000000" w:themeColor="text1"/>
          <w:szCs w:val="20"/>
        </w:rPr>
        <w:t>prior</w:t>
      </w:r>
      <w:r w:rsidR="00C64050">
        <w:rPr>
          <w:color w:val="000000" w:themeColor="text1"/>
          <w:szCs w:val="20"/>
        </w:rPr>
        <w:t xml:space="preserve"> </w:t>
      </w:r>
      <w:r w:rsidRPr="00D7363B">
        <w:rPr>
          <w:color w:val="000000" w:themeColor="text1"/>
          <w:szCs w:val="20"/>
        </w:rPr>
        <w:t>to</w:t>
      </w:r>
      <w:r w:rsidR="00C64050">
        <w:rPr>
          <w:color w:val="000000" w:themeColor="text1"/>
          <w:szCs w:val="20"/>
        </w:rPr>
        <w:t xml:space="preserve"> </w:t>
      </w:r>
      <w:r w:rsidRPr="00D7363B">
        <w:rPr>
          <w:color w:val="000000" w:themeColor="text1"/>
          <w:szCs w:val="20"/>
        </w:rPr>
        <w:t>September</w:t>
      </w:r>
      <w:r w:rsidR="00C64050">
        <w:rPr>
          <w:color w:val="000000" w:themeColor="text1"/>
          <w:szCs w:val="20"/>
        </w:rPr>
        <w:t xml:space="preserve"> </w:t>
      </w:r>
      <w:r w:rsidRPr="00D7363B">
        <w:rPr>
          <w:color w:val="000000" w:themeColor="text1"/>
          <w:szCs w:val="20"/>
        </w:rPr>
        <w:t>25,</w:t>
      </w:r>
      <w:r w:rsidR="00C64050">
        <w:rPr>
          <w:color w:val="000000" w:themeColor="text1"/>
          <w:szCs w:val="20"/>
        </w:rPr>
        <w:t xml:space="preserve"> </w:t>
      </w:r>
      <w:r w:rsidRPr="00D7363B">
        <w:rPr>
          <w:color w:val="000000" w:themeColor="text1"/>
          <w:szCs w:val="20"/>
        </w:rPr>
        <w:t>1985.</w:t>
      </w:r>
      <w:r w:rsidR="00C64050">
        <w:rPr>
          <w:color w:val="000000" w:themeColor="text1"/>
          <w:szCs w:val="20"/>
        </w:rPr>
        <w:t xml:space="preserve"> </w:t>
      </w:r>
      <w:r w:rsidRPr="00D7363B">
        <w:rPr>
          <w:color w:val="000000" w:themeColor="text1"/>
          <w:szCs w:val="20"/>
        </w:rPr>
        <w:t>The</w:t>
      </w:r>
      <w:r w:rsidR="00C64050">
        <w:rPr>
          <w:color w:val="000000" w:themeColor="text1"/>
          <w:szCs w:val="20"/>
        </w:rPr>
        <w:t xml:space="preserve"> </w:t>
      </w:r>
      <w:r w:rsidRPr="00D7363B">
        <w:rPr>
          <w:color w:val="000000" w:themeColor="text1"/>
          <w:szCs w:val="20"/>
        </w:rPr>
        <w:t>amended</w:t>
      </w:r>
      <w:r w:rsidR="00C64050">
        <w:rPr>
          <w:color w:val="000000" w:themeColor="text1"/>
          <w:szCs w:val="20"/>
        </w:rPr>
        <w:t xml:space="preserve"> </w:t>
      </w:r>
      <w:r w:rsidRPr="00D7363B">
        <w:rPr>
          <w:color w:val="000000" w:themeColor="text1"/>
          <w:szCs w:val="20"/>
        </w:rPr>
        <w:t>trust</w:t>
      </w:r>
      <w:r w:rsidR="00C64050">
        <w:rPr>
          <w:color w:val="000000" w:themeColor="text1"/>
          <w:szCs w:val="20"/>
        </w:rPr>
        <w:t xml:space="preserve"> </w:t>
      </w:r>
      <w:r w:rsidRPr="00D7363B">
        <w:rPr>
          <w:color w:val="000000" w:themeColor="text1"/>
          <w:szCs w:val="20"/>
        </w:rPr>
        <w:t>agreement</w:t>
      </w:r>
      <w:r w:rsidR="00C64050">
        <w:rPr>
          <w:color w:val="000000" w:themeColor="text1"/>
          <w:szCs w:val="20"/>
        </w:rPr>
        <w:t xml:space="preserve"> </w:t>
      </w:r>
      <w:r w:rsidRPr="00D7363B">
        <w:rPr>
          <w:color w:val="000000" w:themeColor="text1"/>
          <w:szCs w:val="20"/>
        </w:rPr>
        <w:t>provides</w:t>
      </w:r>
      <w:r w:rsidR="00C64050">
        <w:rPr>
          <w:color w:val="000000" w:themeColor="text1"/>
          <w:szCs w:val="20"/>
        </w:rPr>
        <w:t xml:space="preserve"> </w:t>
      </w:r>
      <w:r w:rsidRPr="00D7363B">
        <w:rPr>
          <w:color w:val="000000" w:themeColor="text1"/>
          <w:szCs w:val="20"/>
        </w:rPr>
        <w:t>for</w:t>
      </w:r>
      <w:r w:rsidR="00C64050">
        <w:rPr>
          <w:color w:val="000000" w:themeColor="text1"/>
          <w:szCs w:val="20"/>
        </w:rPr>
        <w:t xml:space="preserve"> </w:t>
      </w:r>
      <w:r w:rsidRPr="00D7363B">
        <w:rPr>
          <w:color w:val="000000" w:themeColor="text1"/>
          <w:szCs w:val="20"/>
        </w:rPr>
        <w:t>outright</w:t>
      </w:r>
      <w:r w:rsidR="00C64050">
        <w:rPr>
          <w:color w:val="000000" w:themeColor="text1"/>
          <w:szCs w:val="20"/>
        </w:rPr>
        <w:t xml:space="preserve"> </w:t>
      </w:r>
      <w:r w:rsidRPr="00D7363B">
        <w:rPr>
          <w:color w:val="000000" w:themeColor="text1"/>
          <w:szCs w:val="20"/>
        </w:rPr>
        <w:t>distribution</w:t>
      </w:r>
      <w:r w:rsidR="00C64050">
        <w:rPr>
          <w:color w:val="000000" w:themeColor="text1"/>
          <w:szCs w:val="20"/>
        </w:rPr>
        <w:t xml:space="preserve"> </w:t>
      </w:r>
      <w:r w:rsidRPr="00D7363B">
        <w:rPr>
          <w:color w:val="000000" w:themeColor="text1"/>
          <w:szCs w:val="20"/>
        </w:rPr>
        <w:t>to</w:t>
      </w:r>
      <w:r w:rsidR="00C64050">
        <w:rPr>
          <w:color w:val="000000" w:themeColor="text1"/>
          <w:szCs w:val="20"/>
        </w:rPr>
        <w:t xml:space="preserve"> </w:t>
      </w:r>
      <w:r w:rsidRPr="00D7363B">
        <w:rPr>
          <w:color w:val="000000" w:themeColor="text1"/>
          <w:szCs w:val="20"/>
        </w:rPr>
        <w:t>the</w:t>
      </w:r>
      <w:r w:rsidR="00C64050">
        <w:rPr>
          <w:color w:val="000000" w:themeColor="text1"/>
          <w:szCs w:val="20"/>
        </w:rPr>
        <w:t xml:space="preserve"> </w:t>
      </w:r>
      <w:r w:rsidRPr="00D7363B">
        <w:rPr>
          <w:color w:val="000000" w:themeColor="text1"/>
          <w:szCs w:val="20"/>
        </w:rPr>
        <w:t>beneficiaries</w:t>
      </w:r>
      <w:r w:rsidR="00C64050">
        <w:rPr>
          <w:color w:val="000000" w:themeColor="text1"/>
          <w:szCs w:val="20"/>
        </w:rPr>
        <w:t xml:space="preserve"> </w:t>
      </w:r>
      <w:r w:rsidRPr="00D7363B">
        <w:rPr>
          <w:color w:val="000000" w:themeColor="text1"/>
          <w:szCs w:val="20"/>
        </w:rPr>
        <w:t>upon</w:t>
      </w:r>
      <w:r w:rsidR="00C64050">
        <w:rPr>
          <w:color w:val="000000" w:themeColor="text1"/>
          <w:szCs w:val="20"/>
        </w:rPr>
        <w:t xml:space="preserve"> </w:t>
      </w:r>
      <w:r w:rsidRPr="00D7363B">
        <w:rPr>
          <w:color w:val="000000" w:themeColor="text1"/>
          <w:szCs w:val="20"/>
        </w:rPr>
        <w:t>the</w:t>
      </w:r>
      <w:r w:rsidR="00C64050">
        <w:rPr>
          <w:color w:val="000000" w:themeColor="text1"/>
          <w:szCs w:val="20"/>
        </w:rPr>
        <w:t xml:space="preserve"> </w:t>
      </w:r>
      <w:r w:rsidRPr="00D7363B">
        <w:rPr>
          <w:color w:val="000000" w:themeColor="text1"/>
          <w:szCs w:val="20"/>
        </w:rPr>
        <w:t>termination</w:t>
      </w:r>
      <w:r w:rsidR="00C64050">
        <w:rPr>
          <w:color w:val="000000" w:themeColor="text1"/>
          <w:szCs w:val="20"/>
        </w:rPr>
        <w:t xml:space="preserve"> </w:t>
      </w:r>
      <w:r w:rsidRPr="00D7363B">
        <w:rPr>
          <w:color w:val="000000" w:themeColor="text1"/>
          <w:szCs w:val="20"/>
        </w:rPr>
        <w:t>of</w:t>
      </w:r>
      <w:r w:rsidR="00C64050">
        <w:rPr>
          <w:color w:val="000000" w:themeColor="text1"/>
          <w:szCs w:val="20"/>
        </w:rPr>
        <w:t xml:space="preserve"> </w:t>
      </w:r>
      <w:r w:rsidRPr="00D7363B">
        <w:rPr>
          <w:color w:val="000000" w:themeColor="text1"/>
          <w:szCs w:val="20"/>
        </w:rPr>
        <w:t>Trust</w:t>
      </w:r>
      <w:r w:rsidR="00C64050">
        <w:rPr>
          <w:color w:val="000000" w:themeColor="text1"/>
          <w:szCs w:val="20"/>
        </w:rPr>
        <w:t xml:space="preserve"> </w:t>
      </w:r>
      <w:r w:rsidRPr="00D7363B">
        <w:rPr>
          <w:color w:val="000000" w:themeColor="text1"/>
          <w:szCs w:val="20"/>
        </w:rPr>
        <w:t>A</w:t>
      </w:r>
      <w:r w:rsidR="00C64050">
        <w:rPr>
          <w:color w:val="000000" w:themeColor="text1"/>
          <w:szCs w:val="20"/>
        </w:rPr>
        <w:t xml:space="preserve"> </w:t>
      </w:r>
      <w:r w:rsidRPr="00D7363B">
        <w:rPr>
          <w:color w:val="000000" w:themeColor="text1"/>
          <w:szCs w:val="20"/>
        </w:rPr>
        <w:t>and</w:t>
      </w:r>
      <w:r w:rsidR="00C64050">
        <w:rPr>
          <w:color w:val="000000" w:themeColor="text1"/>
          <w:szCs w:val="20"/>
        </w:rPr>
        <w:t xml:space="preserve"> </w:t>
      </w:r>
      <w:r w:rsidRPr="00D7363B">
        <w:rPr>
          <w:color w:val="000000" w:themeColor="text1"/>
          <w:szCs w:val="20"/>
        </w:rPr>
        <w:t>the</w:t>
      </w:r>
      <w:r w:rsidR="00C64050">
        <w:rPr>
          <w:color w:val="000000" w:themeColor="text1"/>
          <w:szCs w:val="20"/>
        </w:rPr>
        <w:t xml:space="preserve"> </w:t>
      </w:r>
      <w:r w:rsidRPr="00D7363B">
        <w:rPr>
          <w:color w:val="000000" w:themeColor="text1"/>
          <w:szCs w:val="20"/>
        </w:rPr>
        <w:t>Trust</w:t>
      </w:r>
      <w:r w:rsidR="00C64050">
        <w:rPr>
          <w:color w:val="000000" w:themeColor="text1"/>
          <w:szCs w:val="20"/>
        </w:rPr>
        <w:t xml:space="preserve"> </w:t>
      </w:r>
      <w:r w:rsidRPr="00D7363B">
        <w:rPr>
          <w:color w:val="000000" w:themeColor="text1"/>
          <w:szCs w:val="20"/>
        </w:rPr>
        <w:t>A</w:t>
      </w:r>
      <w:r w:rsidR="00C64050">
        <w:rPr>
          <w:color w:val="000000" w:themeColor="text1"/>
          <w:szCs w:val="20"/>
        </w:rPr>
        <w:t xml:space="preserve"> </w:t>
      </w:r>
      <w:r w:rsidRPr="00D7363B">
        <w:rPr>
          <w:color w:val="000000" w:themeColor="text1"/>
          <w:szCs w:val="20"/>
        </w:rPr>
        <w:t>Successor</w:t>
      </w:r>
      <w:r w:rsidR="00C64050">
        <w:rPr>
          <w:color w:val="000000" w:themeColor="text1"/>
          <w:szCs w:val="20"/>
        </w:rPr>
        <w:t xml:space="preserve"> </w:t>
      </w:r>
      <w:r w:rsidRPr="00D7363B">
        <w:rPr>
          <w:color w:val="000000" w:themeColor="text1"/>
          <w:szCs w:val="20"/>
        </w:rPr>
        <w:t>Trusts,</w:t>
      </w:r>
      <w:r w:rsidR="00C64050">
        <w:rPr>
          <w:color w:val="000000" w:themeColor="text1"/>
          <w:szCs w:val="20"/>
        </w:rPr>
        <w:t xml:space="preserve"> </w:t>
      </w:r>
      <w:r w:rsidRPr="00D7363B">
        <w:rPr>
          <w:color w:val="000000" w:themeColor="text1"/>
          <w:szCs w:val="20"/>
        </w:rPr>
        <w:t>21</w:t>
      </w:r>
      <w:r w:rsidR="00C64050">
        <w:rPr>
          <w:color w:val="000000" w:themeColor="text1"/>
          <w:szCs w:val="20"/>
        </w:rPr>
        <w:t xml:space="preserve"> </w:t>
      </w:r>
      <w:r w:rsidRPr="00D7363B">
        <w:rPr>
          <w:color w:val="000000" w:themeColor="text1"/>
          <w:szCs w:val="20"/>
        </w:rPr>
        <w:t>years</w:t>
      </w:r>
      <w:r w:rsidR="00C64050">
        <w:rPr>
          <w:color w:val="000000" w:themeColor="text1"/>
          <w:szCs w:val="20"/>
        </w:rPr>
        <w:t xml:space="preserve"> </w:t>
      </w:r>
      <w:r w:rsidRPr="00D7363B">
        <w:rPr>
          <w:color w:val="000000" w:themeColor="text1"/>
          <w:szCs w:val="20"/>
        </w:rPr>
        <w:t>after</w:t>
      </w:r>
      <w:r w:rsidR="00C64050">
        <w:rPr>
          <w:color w:val="000000" w:themeColor="text1"/>
          <w:szCs w:val="20"/>
        </w:rPr>
        <w:t xml:space="preserve"> </w:t>
      </w:r>
      <w:r w:rsidRPr="00D7363B">
        <w:rPr>
          <w:color w:val="000000" w:themeColor="text1"/>
          <w:szCs w:val="20"/>
        </w:rPr>
        <w:t>the</w:t>
      </w:r>
      <w:r w:rsidR="00C64050">
        <w:rPr>
          <w:color w:val="000000" w:themeColor="text1"/>
          <w:szCs w:val="20"/>
        </w:rPr>
        <w:t xml:space="preserve"> </w:t>
      </w:r>
      <w:r w:rsidRPr="00D7363B">
        <w:rPr>
          <w:color w:val="000000" w:themeColor="text1"/>
          <w:szCs w:val="20"/>
        </w:rPr>
        <w:t>death</w:t>
      </w:r>
      <w:r w:rsidR="00C64050">
        <w:rPr>
          <w:color w:val="000000" w:themeColor="text1"/>
          <w:szCs w:val="20"/>
        </w:rPr>
        <w:t xml:space="preserve"> </w:t>
      </w:r>
      <w:r w:rsidRPr="00D7363B">
        <w:rPr>
          <w:color w:val="000000" w:themeColor="text1"/>
          <w:szCs w:val="20"/>
        </w:rPr>
        <w:t>of</w:t>
      </w:r>
      <w:r w:rsidR="00C64050">
        <w:rPr>
          <w:color w:val="000000" w:themeColor="text1"/>
          <w:szCs w:val="20"/>
        </w:rPr>
        <w:t xml:space="preserve"> </w:t>
      </w:r>
      <w:r w:rsidRPr="00D7363B">
        <w:rPr>
          <w:color w:val="000000" w:themeColor="text1"/>
          <w:szCs w:val="20"/>
        </w:rPr>
        <w:t>Son.</w:t>
      </w:r>
      <w:r w:rsidR="00C64050">
        <w:rPr>
          <w:color w:val="000000" w:themeColor="text1"/>
          <w:szCs w:val="20"/>
        </w:rPr>
        <w:t xml:space="preserve"> </w:t>
      </w:r>
      <w:r w:rsidRPr="00D7363B">
        <w:rPr>
          <w:color w:val="000000" w:themeColor="text1"/>
          <w:szCs w:val="20"/>
        </w:rPr>
        <w:t>Under</w:t>
      </w:r>
      <w:r w:rsidR="00C64050">
        <w:rPr>
          <w:color w:val="000000" w:themeColor="text1"/>
          <w:szCs w:val="20"/>
        </w:rPr>
        <w:t xml:space="preserve"> </w:t>
      </w:r>
      <w:r w:rsidRPr="00D7363B">
        <w:rPr>
          <w:color w:val="000000" w:themeColor="text1"/>
          <w:szCs w:val="20"/>
        </w:rPr>
        <w:t>the</w:t>
      </w:r>
      <w:r w:rsidR="00C64050">
        <w:rPr>
          <w:color w:val="000000" w:themeColor="text1"/>
          <w:szCs w:val="20"/>
        </w:rPr>
        <w:t xml:space="preserve"> </w:t>
      </w:r>
      <w:r w:rsidRPr="00D7363B">
        <w:rPr>
          <w:color w:val="000000" w:themeColor="text1"/>
          <w:szCs w:val="20"/>
        </w:rPr>
        <w:t>proposed</w:t>
      </w:r>
      <w:r w:rsidR="00C64050">
        <w:rPr>
          <w:color w:val="000000" w:themeColor="text1"/>
          <w:szCs w:val="20"/>
        </w:rPr>
        <w:t xml:space="preserve"> </w:t>
      </w:r>
      <w:r w:rsidRPr="00D7363B">
        <w:rPr>
          <w:color w:val="000000" w:themeColor="text1"/>
          <w:szCs w:val="20"/>
        </w:rPr>
        <w:t>modification</w:t>
      </w:r>
      <w:r w:rsidR="00C64050">
        <w:rPr>
          <w:color w:val="000000" w:themeColor="text1"/>
          <w:szCs w:val="20"/>
        </w:rPr>
        <w:t xml:space="preserve"> </w:t>
      </w:r>
      <w:r w:rsidRPr="00D7363B">
        <w:rPr>
          <w:color w:val="000000" w:themeColor="text1"/>
          <w:szCs w:val="20"/>
        </w:rPr>
        <w:t>of</w:t>
      </w:r>
      <w:r w:rsidR="00C64050">
        <w:rPr>
          <w:color w:val="000000" w:themeColor="text1"/>
          <w:szCs w:val="20"/>
        </w:rPr>
        <w:t xml:space="preserve"> </w:t>
      </w:r>
      <w:r w:rsidRPr="00D7363B">
        <w:rPr>
          <w:color w:val="000000" w:themeColor="text1"/>
          <w:szCs w:val="20"/>
        </w:rPr>
        <w:t>the</w:t>
      </w:r>
      <w:r w:rsidR="00C64050">
        <w:rPr>
          <w:color w:val="000000" w:themeColor="text1"/>
          <w:szCs w:val="20"/>
        </w:rPr>
        <w:t xml:space="preserve"> </w:t>
      </w:r>
      <w:r w:rsidRPr="00D7363B">
        <w:rPr>
          <w:color w:val="000000" w:themeColor="text1"/>
          <w:szCs w:val="20"/>
        </w:rPr>
        <w:t>trust</w:t>
      </w:r>
      <w:r w:rsidR="00C64050">
        <w:rPr>
          <w:color w:val="000000" w:themeColor="text1"/>
          <w:szCs w:val="20"/>
        </w:rPr>
        <w:t xml:space="preserve"> </w:t>
      </w:r>
      <w:r w:rsidRPr="00D7363B">
        <w:rPr>
          <w:color w:val="000000" w:themeColor="text1"/>
          <w:szCs w:val="20"/>
        </w:rPr>
        <w:t>agreement,</w:t>
      </w:r>
      <w:r w:rsidR="00C64050">
        <w:rPr>
          <w:color w:val="000000" w:themeColor="text1"/>
          <w:szCs w:val="20"/>
        </w:rPr>
        <w:t xml:space="preserve"> </w:t>
      </w:r>
      <w:r w:rsidRPr="00D7363B">
        <w:rPr>
          <w:color w:val="000000" w:themeColor="text1"/>
          <w:szCs w:val="20"/>
        </w:rPr>
        <w:t>any</w:t>
      </w:r>
      <w:r w:rsidR="00C64050">
        <w:rPr>
          <w:color w:val="000000" w:themeColor="text1"/>
          <w:szCs w:val="20"/>
        </w:rPr>
        <w:t xml:space="preserve"> </w:t>
      </w:r>
      <w:r w:rsidRPr="00D7363B">
        <w:rPr>
          <w:color w:val="000000" w:themeColor="text1"/>
          <w:szCs w:val="20"/>
        </w:rPr>
        <w:t>share</w:t>
      </w:r>
      <w:r w:rsidR="00C64050">
        <w:rPr>
          <w:color w:val="000000" w:themeColor="text1"/>
          <w:szCs w:val="20"/>
        </w:rPr>
        <w:t xml:space="preserve"> </w:t>
      </w:r>
      <w:r w:rsidRPr="00D7363B">
        <w:rPr>
          <w:color w:val="000000" w:themeColor="text1"/>
          <w:szCs w:val="20"/>
        </w:rPr>
        <w:t>upon</w:t>
      </w:r>
      <w:r w:rsidR="00C64050">
        <w:rPr>
          <w:color w:val="000000" w:themeColor="text1"/>
          <w:szCs w:val="20"/>
        </w:rPr>
        <w:t xml:space="preserve"> </w:t>
      </w:r>
      <w:r w:rsidRPr="00D7363B">
        <w:rPr>
          <w:color w:val="000000" w:themeColor="text1"/>
          <w:szCs w:val="20"/>
        </w:rPr>
        <w:t>the</w:t>
      </w:r>
      <w:r w:rsidR="00C64050">
        <w:rPr>
          <w:color w:val="000000" w:themeColor="text1"/>
          <w:szCs w:val="20"/>
        </w:rPr>
        <w:t xml:space="preserve"> </w:t>
      </w:r>
      <w:r w:rsidRPr="00D7363B">
        <w:rPr>
          <w:color w:val="000000" w:themeColor="text1"/>
          <w:szCs w:val="20"/>
        </w:rPr>
        <w:t>termination</w:t>
      </w:r>
      <w:r w:rsidR="00C64050">
        <w:rPr>
          <w:color w:val="000000" w:themeColor="text1"/>
          <w:szCs w:val="20"/>
        </w:rPr>
        <w:t xml:space="preserve"> </w:t>
      </w:r>
      <w:r w:rsidRPr="00D7363B">
        <w:rPr>
          <w:color w:val="000000" w:themeColor="text1"/>
          <w:szCs w:val="20"/>
        </w:rPr>
        <w:t>of</w:t>
      </w:r>
      <w:r w:rsidR="00C64050">
        <w:rPr>
          <w:color w:val="000000" w:themeColor="text1"/>
          <w:szCs w:val="20"/>
        </w:rPr>
        <w:t xml:space="preserve"> </w:t>
      </w:r>
      <w:r w:rsidRPr="00D7363B">
        <w:rPr>
          <w:color w:val="000000" w:themeColor="text1"/>
          <w:szCs w:val="20"/>
        </w:rPr>
        <w:t>Trust</w:t>
      </w:r>
      <w:r w:rsidR="00C64050">
        <w:rPr>
          <w:color w:val="000000" w:themeColor="text1"/>
          <w:szCs w:val="20"/>
        </w:rPr>
        <w:t xml:space="preserve"> </w:t>
      </w:r>
      <w:r w:rsidRPr="00D7363B">
        <w:rPr>
          <w:color w:val="000000" w:themeColor="text1"/>
          <w:szCs w:val="20"/>
        </w:rPr>
        <w:t>A</w:t>
      </w:r>
      <w:r w:rsidR="00C64050">
        <w:rPr>
          <w:color w:val="000000" w:themeColor="text1"/>
          <w:szCs w:val="20"/>
        </w:rPr>
        <w:t xml:space="preserve"> </w:t>
      </w:r>
      <w:r w:rsidRPr="00D7363B">
        <w:rPr>
          <w:color w:val="000000" w:themeColor="text1"/>
          <w:szCs w:val="20"/>
        </w:rPr>
        <w:t>and</w:t>
      </w:r>
      <w:r w:rsidR="00C64050">
        <w:rPr>
          <w:color w:val="000000" w:themeColor="text1"/>
          <w:szCs w:val="20"/>
        </w:rPr>
        <w:t xml:space="preserve"> </w:t>
      </w:r>
      <w:r w:rsidRPr="00D7363B">
        <w:rPr>
          <w:color w:val="000000" w:themeColor="text1"/>
          <w:szCs w:val="20"/>
        </w:rPr>
        <w:t>the</w:t>
      </w:r>
      <w:r w:rsidR="00C64050">
        <w:rPr>
          <w:color w:val="000000" w:themeColor="text1"/>
          <w:szCs w:val="20"/>
        </w:rPr>
        <w:t xml:space="preserve"> </w:t>
      </w:r>
      <w:r w:rsidRPr="00D7363B">
        <w:rPr>
          <w:color w:val="000000" w:themeColor="text1"/>
          <w:szCs w:val="20"/>
        </w:rPr>
        <w:t>Trust</w:t>
      </w:r>
      <w:r w:rsidR="00C64050">
        <w:rPr>
          <w:color w:val="000000" w:themeColor="text1"/>
          <w:szCs w:val="20"/>
        </w:rPr>
        <w:t xml:space="preserve"> </w:t>
      </w:r>
      <w:r w:rsidRPr="00D7363B">
        <w:rPr>
          <w:color w:val="000000" w:themeColor="text1"/>
          <w:szCs w:val="20"/>
        </w:rPr>
        <w:t>A</w:t>
      </w:r>
      <w:r w:rsidR="00C64050">
        <w:rPr>
          <w:color w:val="000000" w:themeColor="text1"/>
          <w:szCs w:val="20"/>
        </w:rPr>
        <w:t xml:space="preserve"> </w:t>
      </w:r>
      <w:r w:rsidRPr="00D7363B">
        <w:rPr>
          <w:color w:val="000000" w:themeColor="text1"/>
          <w:szCs w:val="20"/>
        </w:rPr>
        <w:t>Successor</w:t>
      </w:r>
      <w:r w:rsidR="00C64050">
        <w:rPr>
          <w:color w:val="000000" w:themeColor="text1"/>
          <w:szCs w:val="20"/>
        </w:rPr>
        <w:t xml:space="preserve"> </w:t>
      </w:r>
      <w:r w:rsidRPr="00D7363B">
        <w:rPr>
          <w:color w:val="000000" w:themeColor="text1"/>
          <w:szCs w:val="20"/>
        </w:rPr>
        <w:t>Trusts</w:t>
      </w:r>
      <w:r w:rsidR="00C64050">
        <w:rPr>
          <w:color w:val="000000" w:themeColor="text1"/>
          <w:szCs w:val="20"/>
        </w:rPr>
        <w:t xml:space="preserve"> </w:t>
      </w:r>
      <w:r w:rsidRPr="00D7363B">
        <w:rPr>
          <w:color w:val="000000" w:themeColor="text1"/>
          <w:szCs w:val="20"/>
        </w:rPr>
        <w:t>distributable</w:t>
      </w:r>
      <w:r w:rsidR="00C64050">
        <w:rPr>
          <w:color w:val="000000" w:themeColor="text1"/>
          <w:szCs w:val="20"/>
        </w:rPr>
        <w:t xml:space="preserve"> </w:t>
      </w:r>
      <w:r w:rsidRPr="00D7363B">
        <w:rPr>
          <w:color w:val="000000" w:themeColor="text1"/>
          <w:szCs w:val="20"/>
        </w:rPr>
        <w:t>to</w:t>
      </w:r>
      <w:r w:rsidR="00C64050">
        <w:rPr>
          <w:color w:val="000000" w:themeColor="text1"/>
          <w:szCs w:val="20"/>
        </w:rPr>
        <w:t xml:space="preserve"> </w:t>
      </w:r>
      <w:r w:rsidRPr="00D7363B">
        <w:rPr>
          <w:color w:val="000000" w:themeColor="text1"/>
          <w:szCs w:val="20"/>
        </w:rPr>
        <w:t>a</w:t>
      </w:r>
      <w:r w:rsidR="00C64050">
        <w:rPr>
          <w:color w:val="000000" w:themeColor="text1"/>
          <w:szCs w:val="20"/>
        </w:rPr>
        <w:t xml:space="preserve"> </w:t>
      </w:r>
      <w:r w:rsidRPr="00D7363B">
        <w:rPr>
          <w:color w:val="000000" w:themeColor="text1"/>
          <w:szCs w:val="20"/>
        </w:rPr>
        <w:t>beneficiary</w:t>
      </w:r>
      <w:r w:rsidR="00C64050">
        <w:rPr>
          <w:color w:val="000000" w:themeColor="text1"/>
          <w:szCs w:val="20"/>
        </w:rPr>
        <w:t xml:space="preserve"> </w:t>
      </w:r>
      <w:r w:rsidRPr="00D7363B">
        <w:rPr>
          <w:color w:val="000000" w:themeColor="text1"/>
          <w:szCs w:val="20"/>
        </w:rPr>
        <w:t>who</w:t>
      </w:r>
      <w:r w:rsidR="00C64050">
        <w:rPr>
          <w:color w:val="000000" w:themeColor="text1"/>
          <w:szCs w:val="20"/>
        </w:rPr>
        <w:t xml:space="preserve"> </w:t>
      </w:r>
      <w:r w:rsidRPr="00D7363B">
        <w:rPr>
          <w:color w:val="000000" w:themeColor="text1"/>
          <w:szCs w:val="20"/>
        </w:rPr>
        <w:t>is</w:t>
      </w:r>
      <w:r w:rsidR="00C64050">
        <w:rPr>
          <w:color w:val="000000" w:themeColor="text1"/>
          <w:szCs w:val="20"/>
        </w:rPr>
        <w:t xml:space="preserve"> </w:t>
      </w:r>
      <w:r w:rsidRPr="00D7363B">
        <w:rPr>
          <w:color w:val="000000" w:themeColor="text1"/>
          <w:szCs w:val="20"/>
        </w:rPr>
        <w:t>under</w:t>
      </w:r>
      <w:r w:rsidR="00C64050">
        <w:rPr>
          <w:color w:val="000000" w:themeColor="text1"/>
          <w:szCs w:val="20"/>
        </w:rPr>
        <w:t xml:space="preserve"> </w:t>
      </w:r>
      <w:r w:rsidRPr="00D7363B">
        <w:rPr>
          <w:color w:val="000000" w:themeColor="text1"/>
          <w:szCs w:val="20"/>
        </w:rPr>
        <w:t>the</w:t>
      </w:r>
      <w:r w:rsidR="00C64050">
        <w:rPr>
          <w:color w:val="000000" w:themeColor="text1"/>
          <w:szCs w:val="20"/>
        </w:rPr>
        <w:t xml:space="preserve"> </w:t>
      </w:r>
      <w:r w:rsidRPr="00D7363B">
        <w:rPr>
          <w:color w:val="000000" w:themeColor="text1"/>
          <w:szCs w:val="20"/>
        </w:rPr>
        <w:t>age</w:t>
      </w:r>
      <w:r w:rsidR="00C64050">
        <w:rPr>
          <w:color w:val="000000" w:themeColor="text1"/>
          <w:szCs w:val="20"/>
        </w:rPr>
        <w:t xml:space="preserve"> </w:t>
      </w:r>
      <w:r w:rsidRPr="00D7363B">
        <w:rPr>
          <w:color w:val="000000" w:themeColor="text1"/>
          <w:szCs w:val="20"/>
        </w:rPr>
        <w:t>of</w:t>
      </w:r>
      <w:r w:rsidR="00C64050">
        <w:rPr>
          <w:color w:val="000000" w:themeColor="text1"/>
          <w:szCs w:val="20"/>
        </w:rPr>
        <w:t xml:space="preserve"> </w:t>
      </w:r>
      <w:r w:rsidRPr="00D7363B">
        <w:rPr>
          <w:color w:val="000000" w:themeColor="text1"/>
          <w:szCs w:val="20"/>
          <w:u w:val="single"/>
        </w:rPr>
        <w:t>b</w:t>
      </w:r>
      <w:r w:rsidRPr="00D7363B">
        <w:rPr>
          <w:color w:val="000000" w:themeColor="text1"/>
          <w:szCs w:val="20"/>
        </w:rPr>
        <w:t>,</w:t>
      </w:r>
      <w:r w:rsidR="00C64050">
        <w:rPr>
          <w:color w:val="000000" w:themeColor="text1"/>
          <w:szCs w:val="20"/>
        </w:rPr>
        <w:t xml:space="preserve"> </w:t>
      </w:r>
      <w:r w:rsidRPr="00D7363B">
        <w:rPr>
          <w:color w:val="000000" w:themeColor="text1"/>
          <w:szCs w:val="20"/>
        </w:rPr>
        <w:t>will</w:t>
      </w:r>
      <w:r w:rsidR="00C64050">
        <w:rPr>
          <w:color w:val="000000" w:themeColor="text1"/>
          <w:szCs w:val="20"/>
        </w:rPr>
        <w:t xml:space="preserve"> </w:t>
      </w:r>
      <w:r w:rsidRPr="00D7363B">
        <w:rPr>
          <w:color w:val="000000" w:themeColor="text1"/>
          <w:szCs w:val="20"/>
        </w:rPr>
        <w:t>be</w:t>
      </w:r>
      <w:r w:rsidR="00C64050">
        <w:rPr>
          <w:color w:val="000000" w:themeColor="text1"/>
          <w:szCs w:val="20"/>
        </w:rPr>
        <w:t xml:space="preserve"> </w:t>
      </w:r>
      <w:r w:rsidRPr="00D7363B">
        <w:rPr>
          <w:color w:val="000000" w:themeColor="text1"/>
          <w:szCs w:val="20"/>
        </w:rPr>
        <w:t>held</w:t>
      </w:r>
      <w:r w:rsidR="00C64050">
        <w:rPr>
          <w:color w:val="000000" w:themeColor="text1"/>
          <w:szCs w:val="20"/>
        </w:rPr>
        <w:t xml:space="preserve"> </w:t>
      </w:r>
      <w:r w:rsidRPr="00D7363B">
        <w:rPr>
          <w:color w:val="000000" w:themeColor="text1"/>
          <w:szCs w:val="20"/>
        </w:rPr>
        <w:t>in</w:t>
      </w:r>
      <w:r w:rsidR="00C64050">
        <w:rPr>
          <w:color w:val="000000" w:themeColor="text1"/>
          <w:szCs w:val="20"/>
        </w:rPr>
        <w:t xml:space="preserve"> </w:t>
      </w:r>
      <w:r w:rsidRPr="00D7363B">
        <w:rPr>
          <w:color w:val="000000" w:themeColor="text1"/>
          <w:szCs w:val="20"/>
        </w:rPr>
        <w:t>a</w:t>
      </w:r>
      <w:r w:rsidR="00C64050">
        <w:rPr>
          <w:color w:val="000000" w:themeColor="text1"/>
          <w:szCs w:val="20"/>
        </w:rPr>
        <w:t xml:space="preserve"> </w:t>
      </w:r>
      <w:r w:rsidRPr="00D7363B">
        <w:rPr>
          <w:color w:val="000000" w:themeColor="text1"/>
          <w:szCs w:val="20"/>
        </w:rPr>
        <w:t>continuing</w:t>
      </w:r>
      <w:r w:rsidR="00C64050">
        <w:rPr>
          <w:color w:val="000000" w:themeColor="text1"/>
          <w:szCs w:val="20"/>
        </w:rPr>
        <w:t xml:space="preserve"> </w:t>
      </w:r>
      <w:r w:rsidRPr="00D7363B">
        <w:rPr>
          <w:color w:val="000000" w:themeColor="text1"/>
          <w:szCs w:val="20"/>
        </w:rPr>
        <w:t>trust</w:t>
      </w:r>
      <w:r w:rsidR="00C64050">
        <w:rPr>
          <w:color w:val="000000" w:themeColor="text1"/>
          <w:szCs w:val="20"/>
        </w:rPr>
        <w:t xml:space="preserve"> </w:t>
      </w:r>
      <w:r w:rsidRPr="00D7363B">
        <w:rPr>
          <w:color w:val="000000" w:themeColor="text1"/>
          <w:szCs w:val="20"/>
        </w:rPr>
        <w:t>for</w:t>
      </w:r>
      <w:r w:rsidR="00C64050">
        <w:rPr>
          <w:color w:val="000000" w:themeColor="text1"/>
          <w:szCs w:val="20"/>
        </w:rPr>
        <w:t xml:space="preserve"> </w:t>
      </w:r>
      <w:r w:rsidRPr="00D7363B">
        <w:rPr>
          <w:color w:val="000000" w:themeColor="text1"/>
          <w:szCs w:val="20"/>
        </w:rPr>
        <w:t>that</w:t>
      </w:r>
      <w:r w:rsidR="00C64050">
        <w:rPr>
          <w:color w:val="000000" w:themeColor="text1"/>
          <w:szCs w:val="20"/>
        </w:rPr>
        <w:t xml:space="preserve"> </w:t>
      </w:r>
      <w:r w:rsidRPr="00D7363B">
        <w:rPr>
          <w:color w:val="000000" w:themeColor="text1"/>
          <w:szCs w:val="20"/>
        </w:rPr>
        <w:t>continuing</w:t>
      </w:r>
      <w:r w:rsidR="00C64050">
        <w:rPr>
          <w:color w:val="000000" w:themeColor="text1"/>
          <w:szCs w:val="20"/>
        </w:rPr>
        <w:t xml:space="preserve"> </w:t>
      </w:r>
      <w:r w:rsidRPr="00D7363B">
        <w:rPr>
          <w:color w:val="000000" w:themeColor="text1"/>
          <w:szCs w:val="20"/>
        </w:rPr>
        <w:t>beneficiary.</w:t>
      </w:r>
      <w:r w:rsidR="00C64050">
        <w:rPr>
          <w:color w:val="000000" w:themeColor="text1"/>
          <w:szCs w:val="20"/>
        </w:rPr>
        <w:t xml:space="preserve"> </w:t>
      </w:r>
      <w:r w:rsidRPr="00D7363B">
        <w:rPr>
          <w:color w:val="000000" w:themeColor="text1"/>
          <w:szCs w:val="20"/>
        </w:rPr>
        <w:t>Each</w:t>
      </w:r>
      <w:r w:rsidR="00C64050">
        <w:rPr>
          <w:color w:val="000000" w:themeColor="text1"/>
          <w:szCs w:val="20"/>
        </w:rPr>
        <w:t xml:space="preserve"> </w:t>
      </w:r>
      <w:r w:rsidRPr="00D7363B">
        <w:rPr>
          <w:color w:val="000000" w:themeColor="text1"/>
          <w:szCs w:val="20"/>
        </w:rPr>
        <w:t>continuing</w:t>
      </w:r>
      <w:r w:rsidR="00C64050">
        <w:rPr>
          <w:color w:val="000000" w:themeColor="text1"/>
          <w:szCs w:val="20"/>
        </w:rPr>
        <w:t xml:space="preserve"> </w:t>
      </w:r>
      <w:r w:rsidRPr="00D7363B">
        <w:rPr>
          <w:color w:val="000000" w:themeColor="text1"/>
          <w:szCs w:val="20"/>
        </w:rPr>
        <w:t>beneficiary</w:t>
      </w:r>
      <w:r w:rsidR="00C64050">
        <w:rPr>
          <w:color w:val="000000" w:themeColor="text1"/>
          <w:szCs w:val="20"/>
        </w:rPr>
        <w:t xml:space="preserve"> </w:t>
      </w:r>
      <w:r w:rsidRPr="00D7363B">
        <w:rPr>
          <w:color w:val="000000" w:themeColor="text1"/>
          <w:szCs w:val="20"/>
        </w:rPr>
        <w:t>will</w:t>
      </w:r>
      <w:r w:rsidR="00C64050">
        <w:rPr>
          <w:color w:val="000000" w:themeColor="text1"/>
          <w:szCs w:val="20"/>
        </w:rPr>
        <w:t xml:space="preserve"> </w:t>
      </w:r>
      <w:r w:rsidRPr="00D7363B">
        <w:rPr>
          <w:color w:val="000000" w:themeColor="text1"/>
          <w:szCs w:val="20"/>
        </w:rPr>
        <w:t>have</w:t>
      </w:r>
      <w:r w:rsidR="00C64050">
        <w:rPr>
          <w:color w:val="000000" w:themeColor="text1"/>
          <w:szCs w:val="20"/>
        </w:rPr>
        <w:t xml:space="preserve"> </w:t>
      </w:r>
      <w:r w:rsidRPr="00D7363B">
        <w:rPr>
          <w:color w:val="000000" w:themeColor="text1"/>
          <w:szCs w:val="20"/>
        </w:rPr>
        <w:t>a</w:t>
      </w:r>
      <w:r w:rsidR="00C64050">
        <w:rPr>
          <w:color w:val="000000" w:themeColor="text1"/>
          <w:szCs w:val="20"/>
        </w:rPr>
        <w:t xml:space="preserve"> </w:t>
      </w:r>
      <w:r w:rsidRPr="00D7363B">
        <w:rPr>
          <w:color w:val="000000" w:themeColor="text1"/>
          <w:szCs w:val="20"/>
        </w:rPr>
        <w:t>testamentary</w:t>
      </w:r>
      <w:r w:rsidR="00C64050">
        <w:rPr>
          <w:color w:val="000000" w:themeColor="text1"/>
          <w:szCs w:val="20"/>
        </w:rPr>
        <w:t xml:space="preserve"> </w:t>
      </w:r>
      <w:r w:rsidRPr="00D7363B">
        <w:rPr>
          <w:color w:val="000000" w:themeColor="text1"/>
          <w:szCs w:val="20"/>
        </w:rPr>
        <w:t>general</w:t>
      </w:r>
      <w:r w:rsidR="00C64050">
        <w:rPr>
          <w:color w:val="000000" w:themeColor="text1"/>
          <w:szCs w:val="20"/>
        </w:rPr>
        <w:t xml:space="preserve"> </w:t>
      </w:r>
      <w:r w:rsidRPr="00D7363B">
        <w:rPr>
          <w:color w:val="000000" w:themeColor="text1"/>
          <w:szCs w:val="20"/>
        </w:rPr>
        <w:t>power</w:t>
      </w:r>
      <w:r w:rsidR="00C64050">
        <w:rPr>
          <w:color w:val="000000" w:themeColor="text1"/>
          <w:szCs w:val="20"/>
        </w:rPr>
        <w:t xml:space="preserve"> </w:t>
      </w:r>
      <w:r w:rsidRPr="00D7363B">
        <w:rPr>
          <w:color w:val="000000" w:themeColor="text1"/>
          <w:szCs w:val="20"/>
        </w:rPr>
        <w:t>of</w:t>
      </w:r>
      <w:r w:rsidR="00C64050">
        <w:rPr>
          <w:color w:val="000000" w:themeColor="text1"/>
          <w:szCs w:val="20"/>
        </w:rPr>
        <w:t xml:space="preserve"> </w:t>
      </w:r>
      <w:r w:rsidRPr="00D7363B">
        <w:rPr>
          <w:color w:val="000000" w:themeColor="text1"/>
          <w:szCs w:val="20"/>
        </w:rPr>
        <w:t>appointment</w:t>
      </w:r>
      <w:r w:rsidR="00C64050">
        <w:rPr>
          <w:color w:val="000000" w:themeColor="text1"/>
          <w:szCs w:val="20"/>
        </w:rPr>
        <w:t xml:space="preserve"> </w:t>
      </w:r>
      <w:r w:rsidRPr="00D7363B">
        <w:rPr>
          <w:color w:val="000000" w:themeColor="text1"/>
          <w:szCs w:val="20"/>
        </w:rPr>
        <w:t>with</w:t>
      </w:r>
      <w:r w:rsidR="00C64050">
        <w:rPr>
          <w:color w:val="000000" w:themeColor="text1"/>
          <w:szCs w:val="20"/>
        </w:rPr>
        <w:t xml:space="preserve"> </w:t>
      </w:r>
      <w:r w:rsidRPr="00D7363B">
        <w:rPr>
          <w:color w:val="000000" w:themeColor="text1"/>
          <w:szCs w:val="20"/>
        </w:rPr>
        <w:t>respect</w:t>
      </w:r>
      <w:r w:rsidR="00C64050">
        <w:rPr>
          <w:color w:val="000000" w:themeColor="text1"/>
          <w:szCs w:val="20"/>
        </w:rPr>
        <w:t xml:space="preserve"> </w:t>
      </w:r>
      <w:r w:rsidRPr="00D7363B">
        <w:rPr>
          <w:color w:val="000000" w:themeColor="text1"/>
          <w:szCs w:val="20"/>
        </w:rPr>
        <w:t>to</w:t>
      </w:r>
      <w:r w:rsidR="00C64050">
        <w:rPr>
          <w:color w:val="000000" w:themeColor="text1"/>
          <w:szCs w:val="20"/>
        </w:rPr>
        <w:t xml:space="preserve"> </w:t>
      </w:r>
      <w:r w:rsidRPr="00D7363B">
        <w:rPr>
          <w:color w:val="000000" w:themeColor="text1"/>
          <w:szCs w:val="20"/>
        </w:rPr>
        <w:t>the</w:t>
      </w:r>
      <w:r w:rsidR="00C64050">
        <w:rPr>
          <w:color w:val="000000" w:themeColor="text1"/>
          <w:szCs w:val="20"/>
        </w:rPr>
        <w:t xml:space="preserve"> </w:t>
      </w:r>
      <w:r w:rsidRPr="00D7363B">
        <w:rPr>
          <w:color w:val="000000" w:themeColor="text1"/>
          <w:szCs w:val="20"/>
        </w:rPr>
        <w:t>property.</w:t>
      </w:r>
      <w:r w:rsidR="00C64050">
        <w:rPr>
          <w:color w:val="000000" w:themeColor="text1"/>
          <w:szCs w:val="20"/>
        </w:rPr>
        <w:t xml:space="preserve"> </w:t>
      </w:r>
      <w:r w:rsidRPr="00D7363B">
        <w:rPr>
          <w:color w:val="000000" w:themeColor="text1"/>
          <w:szCs w:val="20"/>
        </w:rPr>
        <w:t>Under</w:t>
      </w:r>
      <w:r w:rsidR="00C64050">
        <w:rPr>
          <w:color w:val="000000" w:themeColor="text1"/>
          <w:szCs w:val="20"/>
        </w:rPr>
        <w:t xml:space="preserve"> </w:t>
      </w:r>
      <w:hyperlink r:id="rId367" w:anchor="co_pp_d86d0000be040" w:history="1">
        <w:r w:rsidRPr="00D7363B">
          <w:rPr>
            <w:rStyle w:val="Hyperlink"/>
            <w:color w:val="000000" w:themeColor="text1"/>
            <w:szCs w:val="20"/>
            <w:u w:val="none"/>
          </w:rPr>
          <w:t>§</w:t>
        </w:r>
        <w:r w:rsidR="00C64050">
          <w:rPr>
            <w:rStyle w:val="Hyperlink"/>
            <w:color w:val="000000" w:themeColor="text1"/>
            <w:szCs w:val="20"/>
            <w:u w:val="none"/>
          </w:rPr>
          <w:t xml:space="preserve"> </w:t>
        </w:r>
        <w:r w:rsidRPr="00D7363B">
          <w:rPr>
            <w:rStyle w:val="Hyperlink"/>
            <w:color w:val="000000" w:themeColor="text1"/>
            <w:szCs w:val="20"/>
            <w:u w:val="none"/>
          </w:rPr>
          <w:t>2041(a)(2)</w:t>
        </w:r>
      </w:hyperlink>
      <w:r w:rsidRPr="00D7363B">
        <w:rPr>
          <w:color w:val="000000" w:themeColor="text1"/>
          <w:szCs w:val="20"/>
        </w:rPr>
        <w:t>,</w:t>
      </w:r>
      <w:r w:rsidR="00C64050">
        <w:rPr>
          <w:color w:val="000000" w:themeColor="text1"/>
          <w:szCs w:val="20"/>
        </w:rPr>
        <w:t xml:space="preserve"> </w:t>
      </w:r>
      <w:r w:rsidRPr="00D7363B">
        <w:rPr>
          <w:color w:val="000000" w:themeColor="text1"/>
          <w:szCs w:val="20"/>
        </w:rPr>
        <w:t>the</w:t>
      </w:r>
      <w:r w:rsidR="00C64050">
        <w:rPr>
          <w:color w:val="000000" w:themeColor="text1"/>
          <w:szCs w:val="20"/>
        </w:rPr>
        <w:t xml:space="preserve"> </w:t>
      </w:r>
      <w:r w:rsidRPr="00D7363B">
        <w:rPr>
          <w:color w:val="000000" w:themeColor="text1"/>
          <w:szCs w:val="20"/>
        </w:rPr>
        <w:t>continuing</w:t>
      </w:r>
      <w:r w:rsidR="00C64050">
        <w:rPr>
          <w:color w:val="000000" w:themeColor="text1"/>
          <w:szCs w:val="20"/>
        </w:rPr>
        <w:t xml:space="preserve"> </w:t>
      </w:r>
      <w:r w:rsidRPr="00D7363B">
        <w:rPr>
          <w:color w:val="000000" w:themeColor="text1"/>
          <w:szCs w:val="20"/>
        </w:rPr>
        <w:t>beneficiary's</w:t>
      </w:r>
      <w:r w:rsidR="00C64050">
        <w:rPr>
          <w:color w:val="000000" w:themeColor="text1"/>
          <w:szCs w:val="20"/>
        </w:rPr>
        <w:t xml:space="preserve"> </w:t>
      </w:r>
      <w:r w:rsidRPr="00D7363B">
        <w:rPr>
          <w:color w:val="000000" w:themeColor="text1"/>
          <w:szCs w:val="20"/>
        </w:rPr>
        <w:t>trust</w:t>
      </w:r>
      <w:r w:rsidR="00C64050">
        <w:rPr>
          <w:color w:val="000000" w:themeColor="text1"/>
          <w:szCs w:val="20"/>
        </w:rPr>
        <w:t xml:space="preserve"> </w:t>
      </w:r>
      <w:r w:rsidRPr="00D7363B">
        <w:rPr>
          <w:color w:val="000000" w:themeColor="text1"/>
          <w:szCs w:val="20"/>
        </w:rPr>
        <w:t>property</w:t>
      </w:r>
      <w:r w:rsidR="00C64050">
        <w:rPr>
          <w:color w:val="000000" w:themeColor="text1"/>
          <w:szCs w:val="20"/>
        </w:rPr>
        <w:t xml:space="preserve"> </w:t>
      </w:r>
      <w:r w:rsidRPr="00D7363B">
        <w:rPr>
          <w:color w:val="000000" w:themeColor="text1"/>
          <w:szCs w:val="20"/>
        </w:rPr>
        <w:t>will</w:t>
      </w:r>
      <w:r w:rsidR="00C64050">
        <w:rPr>
          <w:color w:val="000000" w:themeColor="text1"/>
          <w:szCs w:val="20"/>
        </w:rPr>
        <w:t xml:space="preserve"> </w:t>
      </w:r>
      <w:r w:rsidRPr="00D7363B">
        <w:rPr>
          <w:color w:val="000000" w:themeColor="text1"/>
          <w:szCs w:val="20"/>
        </w:rPr>
        <w:t>be</w:t>
      </w:r>
      <w:r w:rsidR="00C64050">
        <w:rPr>
          <w:color w:val="000000" w:themeColor="text1"/>
          <w:szCs w:val="20"/>
        </w:rPr>
        <w:t xml:space="preserve"> </w:t>
      </w:r>
      <w:r w:rsidRPr="00D7363B">
        <w:rPr>
          <w:color w:val="000000" w:themeColor="text1"/>
          <w:szCs w:val="20"/>
        </w:rPr>
        <w:t>includible</w:t>
      </w:r>
      <w:r w:rsidR="00C64050">
        <w:rPr>
          <w:color w:val="000000" w:themeColor="text1"/>
          <w:szCs w:val="20"/>
        </w:rPr>
        <w:t xml:space="preserve"> </w:t>
      </w:r>
      <w:r w:rsidRPr="00D7363B">
        <w:rPr>
          <w:color w:val="000000" w:themeColor="text1"/>
          <w:szCs w:val="20"/>
        </w:rPr>
        <w:t>in</w:t>
      </w:r>
      <w:r w:rsidR="00C64050">
        <w:rPr>
          <w:color w:val="000000" w:themeColor="text1"/>
          <w:szCs w:val="20"/>
        </w:rPr>
        <w:t xml:space="preserve"> </w:t>
      </w:r>
      <w:r w:rsidRPr="00D7363B">
        <w:rPr>
          <w:color w:val="000000" w:themeColor="text1"/>
          <w:szCs w:val="20"/>
        </w:rPr>
        <w:t>his</w:t>
      </w:r>
      <w:r w:rsidR="00C64050">
        <w:rPr>
          <w:color w:val="000000" w:themeColor="text1"/>
          <w:szCs w:val="20"/>
        </w:rPr>
        <w:t xml:space="preserve"> </w:t>
      </w:r>
      <w:r w:rsidRPr="00D7363B">
        <w:rPr>
          <w:color w:val="000000" w:themeColor="text1"/>
          <w:szCs w:val="20"/>
        </w:rPr>
        <w:t>or</w:t>
      </w:r>
      <w:r w:rsidR="00C64050">
        <w:rPr>
          <w:color w:val="000000" w:themeColor="text1"/>
          <w:szCs w:val="20"/>
        </w:rPr>
        <w:t xml:space="preserve"> </w:t>
      </w:r>
      <w:r w:rsidRPr="00D7363B">
        <w:rPr>
          <w:color w:val="000000" w:themeColor="text1"/>
          <w:szCs w:val="20"/>
        </w:rPr>
        <w:t>her</w:t>
      </w:r>
      <w:r w:rsidR="00C64050">
        <w:rPr>
          <w:color w:val="000000" w:themeColor="text1"/>
          <w:szCs w:val="20"/>
        </w:rPr>
        <w:t xml:space="preserve"> </w:t>
      </w:r>
      <w:r w:rsidRPr="00D7363B">
        <w:rPr>
          <w:color w:val="000000" w:themeColor="text1"/>
          <w:szCs w:val="20"/>
        </w:rPr>
        <w:t>estate</w:t>
      </w:r>
      <w:r w:rsidR="00C64050">
        <w:rPr>
          <w:color w:val="000000" w:themeColor="text1"/>
          <w:szCs w:val="20"/>
        </w:rPr>
        <w:t xml:space="preserve"> </w:t>
      </w:r>
      <w:r w:rsidRPr="00D7363B">
        <w:rPr>
          <w:color w:val="000000" w:themeColor="text1"/>
          <w:szCs w:val="20"/>
        </w:rPr>
        <w:t>at</w:t>
      </w:r>
      <w:r w:rsidR="00C64050">
        <w:rPr>
          <w:color w:val="000000" w:themeColor="text1"/>
          <w:szCs w:val="20"/>
        </w:rPr>
        <w:t xml:space="preserve"> </w:t>
      </w:r>
      <w:r w:rsidRPr="00D7363B">
        <w:rPr>
          <w:color w:val="000000" w:themeColor="text1"/>
          <w:szCs w:val="20"/>
        </w:rPr>
        <w:t>his</w:t>
      </w:r>
      <w:r w:rsidR="00C64050">
        <w:rPr>
          <w:color w:val="000000" w:themeColor="text1"/>
          <w:szCs w:val="20"/>
        </w:rPr>
        <w:t xml:space="preserve"> </w:t>
      </w:r>
      <w:r w:rsidRPr="00D7363B">
        <w:rPr>
          <w:color w:val="000000" w:themeColor="text1"/>
          <w:szCs w:val="20"/>
        </w:rPr>
        <w:t>or</w:t>
      </w:r>
      <w:r w:rsidR="00C64050">
        <w:rPr>
          <w:color w:val="000000" w:themeColor="text1"/>
          <w:szCs w:val="20"/>
        </w:rPr>
        <w:t xml:space="preserve"> </w:t>
      </w:r>
      <w:r w:rsidRPr="00D7363B">
        <w:rPr>
          <w:color w:val="000000" w:themeColor="text1"/>
          <w:szCs w:val="20"/>
        </w:rPr>
        <w:t>her</w:t>
      </w:r>
      <w:r w:rsidR="00C64050">
        <w:rPr>
          <w:color w:val="000000" w:themeColor="text1"/>
          <w:szCs w:val="20"/>
        </w:rPr>
        <w:t xml:space="preserve"> </w:t>
      </w:r>
      <w:r w:rsidRPr="00D7363B">
        <w:rPr>
          <w:color w:val="000000" w:themeColor="text1"/>
          <w:szCs w:val="20"/>
        </w:rPr>
        <w:t>death.</w:t>
      </w:r>
      <w:r w:rsidR="00C64050">
        <w:rPr>
          <w:color w:val="000000" w:themeColor="text1"/>
          <w:szCs w:val="20"/>
        </w:rPr>
        <w:t xml:space="preserve"> </w:t>
      </w:r>
      <w:r w:rsidRPr="00D7363B">
        <w:rPr>
          <w:color w:val="000000" w:themeColor="text1"/>
          <w:szCs w:val="20"/>
        </w:rPr>
        <w:t>Further,</w:t>
      </w:r>
      <w:r w:rsidR="00C64050">
        <w:rPr>
          <w:color w:val="000000" w:themeColor="text1"/>
          <w:szCs w:val="20"/>
        </w:rPr>
        <w:t xml:space="preserve"> </w:t>
      </w:r>
      <w:r w:rsidRPr="00D7363B">
        <w:rPr>
          <w:color w:val="000000" w:themeColor="text1"/>
          <w:szCs w:val="20"/>
        </w:rPr>
        <w:t>each</w:t>
      </w:r>
      <w:r w:rsidR="00C64050">
        <w:rPr>
          <w:color w:val="000000" w:themeColor="text1"/>
          <w:szCs w:val="20"/>
        </w:rPr>
        <w:t xml:space="preserve"> </w:t>
      </w:r>
      <w:r w:rsidRPr="00D7363B">
        <w:rPr>
          <w:color w:val="000000" w:themeColor="text1"/>
          <w:szCs w:val="20"/>
        </w:rPr>
        <w:t>continuing</w:t>
      </w:r>
      <w:r w:rsidR="00C64050">
        <w:rPr>
          <w:color w:val="000000" w:themeColor="text1"/>
          <w:szCs w:val="20"/>
        </w:rPr>
        <w:t xml:space="preserve"> </w:t>
      </w:r>
      <w:r w:rsidRPr="00D7363B">
        <w:rPr>
          <w:color w:val="000000" w:themeColor="text1"/>
          <w:szCs w:val="20"/>
        </w:rPr>
        <w:t>beneficiary</w:t>
      </w:r>
      <w:r w:rsidR="00C64050">
        <w:rPr>
          <w:color w:val="000000" w:themeColor="text1"/>
          <w:szCs w:val="20"/>
        </w:rPr>
        <w:t xml:space="preserve"> </w:t>
      </w:r>
      <w:r w:rsidRPr="00D7363B">
        <w:rPr>
          <w:color w:val="000000" w:themeColor="text1"/>
          <w:szCs w:val="20"/>
        </w:rPr>
        <w:t>will</w:t>
      </w:r>
      <w:r w:rsidR="00C64050">
        <w:rPr>
          <w:color w:val="000000" w:themeColor="text1"/>
          <w:szCs w:val="20"/>
        </w:rPr>
        <w:t xml:space="preserve"> </w:t>
      </w:r>
      <w:r w:rsidRPr="00D7363B">
        <w:rPr>
          <w:color w:val="000000" w:themeColor="text1"/>
          <w:szCs w:val="20"/>
        </w:rPr>
        <w:t>be</w:t>
      </w:r>
      <w:r w:rsidR="00C64050">
        <w:rPr>
          <w:color w:val="000000" w:themeColor="text1"/>
          <w:szCs w:val="20"/>
        </w:rPr>
        <w:t xml:space="preserve"> </w:t>
      </w:r>
      <w:r w:rsidRPr="00D7363B">
        <w:rPr>
          <w:color w:val="000000" w:themeColor="text1"/>
          <w:szCs w:val="20"/>
        </w:rPr>
        <w:t>treated</w:t>
      </w:r>
      <w:r w:rsidR="00C64050">
        <w:rPr>
          <w:color w:val="000000" w:themeColor="text1"/>
          <w:szCs w:val="20"/>
        </w:rPr>
        <w:t xml:space="preserve"> </w:t>
      </w:r>
      <w:r w:rsidRPr="00D7363B">
        <w:rPr>
          <w:color w:val="000000" w:themeColor="text1"/>
          <w:szCs w:val="20"/>
        </w:rPr>
        <w:t>as</w:t>
      </w:r>
      <w:r w:rsidR="00C64050">
        <w:rPr>
          <w:color w:val="000000" w:themeColor="text1"/>
          <w:szCs w:val="20"/>
        </w:rPr>
        <w:t xml:space="preserve"> </w:t>
      </w:r>
      <w:r w:rsidRPr="00D7363B">
        <w:rPr>
          <w:color w:val="000000" w:themeColor="text1"/>
          <w:szCs w:val="20"/>
        </w:rPr>
        <w:t>the</w:t>
      </w:r>
      <w:r w:rsidR="00C64050">
        <w:rPr>
          <w:color w:val="000000" w:themeColor="text1"/>
          <w:szCs w:val="20"/>
        </w:rPr>
        <w:t xml:space="preserve"> </w:t>
      </w:r>
      <w:r w:rsidRPr="00D7363B">
        <w:rPr>
          <w:color w:val="000000" w:themeColor="text1"/>
          <w:szCs w:val="20"/>
        </w:rPr>
        <w:t>transferor</w:t>
      </w:r>
      <w:r w:rsidR="00C64050">
        <w:rPr>
          <w:color w:val="000000" w:themeColor="text1"/>
          <w:szCs w:val="20"/>
        </w:rPr>
        <w:t xml:space="preserve"> </w:t>
      </w:r>
      <w:r w:rsidRPr="00D7363B">
        <w:rPr>
          <w:color w:val="000000" w:themeColor="text1"/>
          <w:szCs w:val="20"/>
        </w:rPr>
        <w:t>of</w:t>
      </w:r>
      <w:r w:rsidR="00C64050">
        <w:rPr>
          <w:color w:val="000000" w:themeColor="text1"/>
          <w:szCs w:val="20"/>
        </w:rPr>
        <w:t xml:space="preserve"> </w:t>
      </w:r>
      <w:r w:rsidRPr="00D7363B">
        <w:rPr>
          <w:color w:val="000000" w:themeColor="text1"/>
          <w:szCs w:val="20"/>
        </w:rPr>
        <w:t>the</w:t>
      </w:r>
      <w:r w:rsidR="00C64050">
        <w:rPr>
          <w:color w:val="000000" w:themeColor="text1"/>
          <w:szCs w:val="20"/>
        </w:rPr>
        <w:t xml:space="preserve"> </w:t>
      </w:r>
      <w:r w:rsidRPr="00D7363B">
        <w:rPr>
          <w:color w:val="000000" w:themeColor="text1"/>
          <w:szCs w:val="20"/>
        </w:rPr>
        <w:t>trust</w:t>
      </w:r>
      <w:r w:rsidR="00C64050">
        <w:rPr>
          <w:color w:val="000000" w:themeColor="text1"/>
          <w:szCs w:val="20"/>
        </w:rPr>
        <w:t xml:space="preserve"> </w:t>
      </w:r>
      <w:r w:rsidRPr="00D7363B">
        <w:rPr>
          <w:color w:val="000000" w:themeColor="text1"/>
          <w:szCs w:val="20"/>
        </w:rPr>
        <w:t>corpus</w:t>
      </w:r>
      <w:r w:rsidR="00C64050">
        <w:rPr>
          <w:color w:val="000000" w:themeColor="text1"/>
          <w:szCs w:val="20"/>
        </w:rPr>
        <w:t xml:space="preserve"> </w:t>
      </w:r>
      <w:r w:rsidRPr="00D7363B">
        <w:rPr>
          <w:color w:val="000000" w:themeColor="text1"/>
          <w:szCs w:val="20"/>
        </w:rPr>
        <w:t>for</w:t>
      </w:r>
      <w:r w:rsidR="00C64050">
        <w:rPr>
          <w:color w:val="000000" w:themeColor="text1"/>
          <w:szCs w:val="20"/>
        </w:rPr>
        <w:t xml:space="preserve"> </w:t>
      </w:r>
      <w:r w:rsidRPr="00D7363B">
        <w:rPr>
          <w:color w:val="000000" w:themeColor="text1"/>
          <w:szCs w:val="20"/>
        </w:rPr>
        <w:t>GST</w:t>
      </w:r>
      <w:r w:rsidR="00C64050">
        <w:rPr>
          <w:color w:val="000000" w:themeColor="text1"/>
          <w:szCs w:val="20"/>
        </w:rPr>
        <w:t xml:space="preserve"> </w:t>
      </w:r>
      <w:r w:rsidRPr="00D7363B">
        <w:rPr>
          <w:color w:val="000000" w:themeColor="text1"/>
          <w:szCs w:val="20"/>
        </w:rPr>
        <w:t>tax</w:t>
      </w:r>
      <w:r w:rsidR="00C64050">
        <w:rPr>
          <w:color w:val="000000" w:themeColor="text1"/>
          <w:szCs w:val="20"/>
        </w:rPr>
        <w:t xml:space="preserve"> </w:t>
      </w:r>
      <w:r w:rsidRPr="00D7363B">
        <w:rPr>
          <w:color w:val="000000" w:themeColor="text1"/>
          <w:szCs w:val="20"/>
        </w:rPr>
        <w:t>purposes</w:t>
      </w:r>
      <w:r w:rsidR="00C64050">
        <w:rPr>
          <w:color w:val="000000" w:themeColor="text1"/>
          <w:szCs w:val="20"/>
        </w:rPr>
        <w:t xml:space="preserve"> </w:t>
      </w:r>
      <w:r w:rsidRPr="00D7363B">
        <w:rPr>
          <w:color w:val="000000" w:themeColor="text1"/>
          <w:szCs w:val="20"/>
        </w:rPr>
        <w:t>under</w:t>
      </w:r>
      <w:r w:rsidR="00C64050">
        <w:rPr>
          <w:color w:val="000000" w:themeColor="text1"/>
          <w:szCs w:val="20"/>
        </w:rPr>
        <w:t xml:space="preserve"> </w:t>
      </w:r>
      <w:hyperlink r:id="rId368" w:anchor="co_pp_7b9b000044381" w:history="1">
        <w:r w:rsidRPr="00D7363B">
          <w:rPr>
            <w:rStyle w:val="Hyperlink"/>
            <w:color w:val="000000" w:themeColor="text1"/>
            <w:szCs w:val="20"/>
            <w:u w:val="none"/>
          </w:rPr>
          <w:t>§</w:t>
        </w:r>
        <w:r w:rsidR="00C64050">
          <w:rPr>
            <w:rStyle w:val="Hyperlink"/>
            <w:color w:val="000000" w:themeColor="text1"/>
            <w:szCs w:val="20"/>
            <w:u w:val="none"/>
          </w:rPr>
          <w:t xml:space="preserve"> </w:t>
        </w:r>
        <w:r w:rsidRPr="00D7363B">
          <w:rPr>
            <w:rStyle w:val="Hyperlink"/>
            <w:color w:val="000000" w:themeColor="text1"/>
            <w:szCs w:val="20"/>
            <w:u w:val="none"/>
          </w:rPr>
          <w:t>2652(a)(1)</w:t>
        </w:r>
      </w:hyperlink>
      <w:r w:rsidRPr="00D7363B">
        <w:rPr>
          <w:color w:val="000000" w:themeColor="text1"/>
          <w:szCs w:val="20"/>
        </w:rPr>
        <w:t>.</w:t>
      </w:r>
      <w:r w:rsidR="00C64050">
        <w:rPr>
          <w:color w:val="000000" w:themeColor="text1"/>
          <w:szCs w:val="20"/>
        </w:rPr>
        <w:t xml:space="preserve"> </w:t>
      </w:r>
      <w:r w:rsidRPr="00D7363B">
        <w:rPr>
          <w:color w:val="000000" w:themeColor="text1"/>
          <w:szCs w:val="20"/>
        </w:rPr>
        <w:t>The</w:t>
      </w:r>
      <w:r w:rsidR="00C64050">
        <w:rPr>
          <w:color w:val="000000" w:themeColor="text1"/>
          <w:szCs w:val="20"/>
        </w:rPr>
        <w:t xml:space="preserve"> </w:t>
      </w:r>
      <w:r w:rsidRPr="00D7363B">
        <w:rPr>
          <w:color w:val="000000" w:themeColor="text1"/>
          <w:szCs w:val="20"/>
        </w:rPr>
        <w:t>proposed</w:t>
      </w:r>
      <w:r w:rsidR="00C64050">
        <w:rPr>
          <w:color w:val="000000" w:themeColor="text1"/>
          <w:szCs w:val="20"/>
        </w:rPr>
        <w:t xml:space="preserve"> </w:t>
      </w:r>
      <w:r w:rsidRPr="00D7363B">
        <w:rPr>
          <w:color w:val="000000" w:themeColor="text1"/>
          <w:szCs w:val="20"/>
        </w:rPr>
        <w:t>modification</w:t>
      </w:r>
      <w:r w:rsidR="00C64050">
        <w:rPr>
          <w:color w:val="000000" w:themeColor="text1"/>
          <w:szCs w:val="20"/>
        </w:rPr>
        <w:t xml:space="preserve"> </w:t>
      </w:r>
      <w:r w:rsidRPr="00D7363B">
        <w:rPr>
          <w:color w:val="000000" w:themeColor="text1"/>
          <w:szCs w:val="20"/>
        </w:rPr>
        <w:t>will</w:t>
      </w:r>
      <w:r w:rsidR="00C64050">
        <w:rPr>
          <w:color w:val="000000" w:themeColor="text1"/>
          <w:szCs w:val="20"/>
        </w:rPr>
        <w:t xml:space="preserve"> </w:t>
      </w:r>
      <w:r w:rsidRPr="00D7363B">
        <w:rPr>
          <w:color w:val="000000" w:themeColor="text1"/>
          <w:szCs w:val="20"/>
        </w:rPr>
        <w:t>not</w:t>
      </w:r>
      <w:r w:rsidR="00C64050">
        <w:rPr>
          <w:color w:val="000000" w:themeColor="text1"/>
          <w:szCs w:val="20"/>
        </w:rPr>
        <w:t xml:space="preserve"> </w:t>
      </w:r>
      <w:r w:rsidRPr="00D7363B">
        <w:rPr>
          <w:color w:val="000000" w:themeColor="text1"/>
          <w:szCs w:val="20"/>
        </w:rPr>
        <w:t>result</w:t>
      </w:r>
      <w:r w:rsidR="00C64050">
        <w:rPr>
          <w:color w:val="000000" w:themeColor="text1"/>
          <w:szCs w:val="20"/>
        </w:rPr>
        <w:t xml:space="preserve"> </w:t>
      </w:r>
      <w:r w:rsidRPr="00D7363B">
        <w:rPr>
          <w:color w:val="000000" w:themeColor="text1"/>
          <w:szCs w:val="20"/>
        </w:rPr>
        <w:t>in</w:t>
      </w:r>
      <w:r w:rsidR="00C64050">
        <w:rPr>
          <w:color w:val="000000" w:themeColor="text1"/>
          <w:szCs w:val="20"/>
        </w:rPr>
        <w:t xml:space="preserve"> </w:t>
      </w:r>
      <w:r w:rsidRPr="00D7363B">
        <w:rPr>
          <w:color w:val="000000" w:themeColor="text1"/>
          <w:szCs w:val="20"/>
        </w:rPr>
        <w:t>a</w:t>
      </w:r>
      <w:r w:rsidR="00C64050">
        <w:rPr>
          <w:color w:val="000000" w:themeColor="text1"/>
          <w:szCs w:val="20"/>
        </w:rPr>
        <w:t xml:space="preserve"> </w:t>
      </w:r>
      <w:r w:rsidRPr="00D7363B">
        <w:rPr>
          <w:color w:val="000000" w:themeColor="text1"/>
          <w:szCs w:val="20"/>
        </w:rPr>
        <w:t>shift</w:t>
      </w:r>
      <w:r w:rsidR="00C64050">
        <w:rPr>
          <w:color w:val="000000" w:themeColor="text1"/>
          <w:szCs w:val="20"/>
        </w:rPr>
        <w:t xml:space="preserve"> </w:t>
      </w:r>
      <w:r w:rsidRPr="00D7363B">
        <w:rPr>
          <w:color w:val="000000" w:themeColor="text1"/>
          <w:szCs w:val="20"/>
        </w:rPr>
        <w:t>of</w:t>
      </w:r>
      <w:r w:rsidR="00C64050">
        <w:rPr>
          <w:color w:val="000000" w:themeColor="text1"/>
          <w:szCs w:val="20"/>
        </w:rPr>
        <w:t xml:space="preserve"> </w:t>
      </w:r>
      <w:r w:rsidRPr="00D7363B">
        <w:rPr>
          <w:color w:val="000000" w:themeColor="text1"/>
          <w:szCs w:val="20"/>
        </w:rPr>
        <w:t>any</w:t>
      </w:r>
      <w:r w:rsidR="00C64050">
        <w:rPr>
          <w:color w:val="000000" w:themeColor="text1"/>
          <w:szCs w:val="20"/>
        </w:rPr>
        <w:t xml:space="preserve"> </w:t>
      </w:r>
      <w:r w:rsidRPr="00D7363B">
        <w:rPr>
          <w:color w:val="000000" w:themeColor="text1"/>
          <w:szCs w:val="20"/>
        </w:rPr>
        <w:t>beneficial</w:t>
      </w:r>
      <w:r w:rsidR="00C64050">
        <w:rPr>
          <w:color w:val="000000" w:themeColor="text1"/>
          <w:szCs w:val="20"/>
        </w:rPr>
        <w:t xml:space="preserve"> </w:t>
      </w:r>
      <w:r w:rsidRPr="00D7363B">
        <w:rPr>
          <w:color w:val="000000" w:themeColor="text1"/>
          <w:szCs w:val="20"/>
        </w:rPr>
        <w:t>interest</w:t>
      </w:r>
      <w:r w:rsidR="00C64050">
        <w:rPr>
          <w:color w:val="000000" w:themeColor="text1"/>
          <w:szCs w:val="20"/>
        </w:rPr>
        <w:t xml:space="preserve"> </w:t>
      </w:r>
      <w:r w:rsidRPr="00D7363B">
        <w:rPr>
          <w:color w:val="000000" w:themeColor="text1"/>
          <w:szCs w:val="20"/>
        </w:rPr>
        <w:t>in</w:t>
      </w:r>
      <w:r w:rsidR="00C64050">
        <w:rPr>
          <w:color w:val="000000" w:themeColor="text1"/>
          <w:szCs w:val="20"/>
        </w:rPr>
        <w:t xml:space="preserve"> </w:t>
      </w:r>
      <w:r w:rsidRPr="00D7363B">
        <w:rPr>
          <w:color w:val="000000" w:themeColor="text1"/>
          <w:szCs w:val="20"/>
        </w:rPr>
        <w:t>any</w:t>
      </w:r>
      <w:r w:rsidR="00C64050">
        <w:rPr>
          <w:color w:val="000000" w:themeColor="text1"/>
          <w:szCs w:val="20"/>
        </w:rPr>
        <w:t xml:space="preserve"> </w:t>
      </w:r>
      <w:r w:rsidRPr="00D7363B">
        <w:rPr>
          <w:color w:val="000000" w:themeColor="text1"/>
          <w:szCs w:val="20"/>
        </w:rPr>
        <w:t>beneficiary</w:t>
      </w:r>
      <w:r w:rsidR="00C64050">
        <w:rPr>
          <w:color w:val="000000" w:themeColor="text1"/>
          <w:szCs w:val="20"/>
        </w:rPr>
        <w:t xml:space="preserve"> </w:t>
      </w:r>
      <w:r w:rsidRPr="00D7363B">
        <w:rPr>
          <w:color w:val="000000" w:themeColor="text1"/>
          <w:szCs w:val="20"/>
        </w:rPr>
        <w:t>who</w:t>
      </w:r>
      <w:r w:rsidR="00C64050">
        <w:rPr>
          <w:color w:val="000000" w:themeColor="text1"/>
          <w:szCs w:val="20"/>
        </w:rPr>
        <w:t xml:space="preserve"> </w:t>
      </w:r>
      <w:r w:rsidRPr="00D7363B">
        <w:rPr>
          <w:color w:val="000000" w:themeColor="text1"/>
          <w:szCs w:val="20"/>
        </w:rPr>
        <w:t>occupies</w:t>
      </w:r>
      <w:r w:rsidR="00C64050">
        <w:rPr>
          <w:color w:val="000000" w:themeColor="text1"/>
          <w:szCs w:val="20"/>
        </w:rPr>
        <w:t xml:space="preserve"> </w:t>
      </w:r>
      <w:r w:rsidRPr="00D7363B">
        <w:rPr>
          <w:color w:val="000000" w:themeColor="text1"/>
          <w:szCs w:val="20"/>
        </w:rPr>
        <w:t>a</w:t>
      </w:r>
      <w:r w:rsidR="00C64050">
        <w:rPr>
          <w:color w:val="000000" w:themeColor="text1"/>
          <w:szCs w:val="20"/>
        </w:rPr>
        <w:t xml:space="preserve"> </w:t>
      </w:r>
      <w:r w:rsidRPr="00D7363B">
        <w:rPr>
          <w:color w:val="000000" w:themeColor="text1"/>
          <w:szCs w:val="20"/>
        </w:rPr>
        <w:t>generation</w:t>
      </w:r>
      <w:r w:rsidR="00C64050">
        <w:rPr>
          <w:color w:val="000000" w:themeColor="text1"/>
          <w:szCs w:val="20"/>
        </w:rPr>
        <w:t xml:space="preserve"> </w:t>
      </w:r>
      <w:r w:rsidRPr="00D7363B">
        <w:rPr>
          <w:color w:val="000000" w:themeColor="text1"/>
          <w:szCs w:val="20"/>
        </w:rPr>
        <w:t>lower</w:t>
      </w:r>
      <w:r w:rsidR="00C64050">
        <w:rPr>
          <w:color w:val="000000" w:themeColor="text1"/>
          <w:szCs w:val="20"/>
        </w:rPr>
        <w:t xml:space="preserve"> </w:t>
      </w:r>
      <w:r w:rsidRPr="00D7363B">
        <w:rPr>
          <w:color w:val="000000" w:themeColor="text1"/>
          <w:szCs w:val="20"/>
        </w:rPr>
        <w:t>than</w:t>
      </w:r>
      <w:r w:rsidR="00C64050">
        <w:rPr>
          <w:color w:val="000000" w:themeColor="text1"/>
          <w:szCs w:val="20"/>
        </w:rPr>
        <w:t xml:space="preserve"> </w:t>
      </w:r>
      <w:r w:rsidRPr="00D7363B">
        <w:rPr>
          <w:color w:val="000000" w:themeColor="text1"/>
          <w:szCs w:val="20"/>
        </w:rPr>
        <w:t>the</w:t>
      </w:r>
      <w:r w:rsidR="00C64050">
        <w:rPr>
          <w:color w:val="000000" w:themeColor="text1"/>
          <w:szCs w:val="20"/>
        </w:rPr>
        <w:t xml:space="preserve"> </w:t>
      </w:r>
      <w:r w:rsidRPr="00D7363B">
        <w:rPr>
          <w:color w:val="000000" w:themeColor="text1"/>
          <w:szCs w:val="20"/>
        </w:rPr>
        <w:t>persons</w:t>
      </w:r>
      <w:r w:rsidR="00C64050">
        <w:rPr>
          <w:color w:val="000000" w:themeColor="text1"/>
          <w:szCs w:val="20"/>
        </w:rPr>
        <w:t xml:space="preserve"> </w:t>
      </w:r>
      <w:r w:rsidRPr="00D7363B">
        <w:rPr>
          <w:color w:val="000000" w:themeColor="text1"/>
          <w:szCs w:val="20"/>
        </w:rPr>
        <w:t>holding</w:t>
      </w:r>
      <w:r w:rsidR="00C64050">
        <w:rPr>
          <w:color w:val="000000" w:themeColor="text1"/>
          <w:szCs w:val="20"/>
        </w:rPr>
        <w:t xml:space="preserve"> </w:t>
      </w:r>
      <w:r w:rsidRPr="00D7363B">
        <w:rPr>
          <w:color w:val="000000" w:themeColor="text1"/>
          <w:szCs w:val="20"/>
        </w:rPr>
        <w:t>the</w:t>
      </w:r>
      <w:r w:rsidR="00C64050">
        <w:rPr>
          <w:color w:val="000000" w:themeColor="text1"/>
          <w:szCs w:val="20"/>
        </w:rPr>
        <w:t xml:space="preserve"> </w:t>
      </w:r>
      <w:r w:rsidRPr="00D7363B">
        <w:rPr>
          <w:color w:val="000000" w:themeColor="text1"/>
          <w:szCs w:val="20"/>
        </w:rPr>
        <w:t>beneficial</w:t>
      </w:r>
      <w:r w:rsidR="00C64050">
        <w:rPr>
          <w:color w:val="000000" w:themeColor="text1"/>
          <w:szCs w:val="20"/>
        </w:rPr>
        <w:t xml:space="preserve"> </w:t>
      </w:r>
      <w:r w:rsidRPr="00D7363B">
        <w:rPr>
          <w:color w:val="000000" w:themeColor="text1"/>
          <w:szCs w:val="20"/>
        </w:rPr>
        <w:t>interests.</w:t>
      </w:r>
      <w:r w:rsidR="00C64050">
        <w:rPr>
          <w:color w:val="000000" w:themeColor="text1"/>
          <w:szCs w:val="20"/>
        </w:rPr>
        <w:t xml:space="preserve"> </w:t>
      </w:r>
      <w:r w:rsidRPr="00D7363B">
        <w:rPr>
          <w:color w:val="000000" w:themeColor="text1"/>
          <w:szCs w:val="20"/>
        </w:rPr>
        <w:t>Further,</w:t>
      </w:r>
      <w:r w:rsidR="00C64050">
        <w:rPr>
          <w:color w:val="000000" w:themeColor="text1"/>
          <w:szCs w:val="20"/>
        </w:rPr>
        <w:t xml:space="preserve"> </w:t>
      </w:r>
      <w:r w:rsidRPr="00D7363B">
        <w:rPr>
          <w:color w:val="000000" w:themeColor="text1"/>
          <w:szCs w:val="20"/>
        </w:rPr>
        <w:t>the</w:t>
      </w:r>
      <w:r w:rsidR="00C64050">
        <w:rPr>
          <w:color w:val="000000" w:themeColor="text1"/>
          <w:szCs w:val="20"/>
        </w:rPr>
        <w:t xml:space="preserve"> </w:t>
      </w:r>
      <w:r w:rsidRPr="00D7363B">
        <w:rPr>
          <w:color w:val="000000" w:themeColor="text1"/>
          <w:szCs w:val="20"/>
        </w:rPr>
        <w:t>proposed</w:t>
      </w:r>
      <w:r w:rsidR="00C64050">
        <w:rPr>
          <w:color w:val="000000" w:themeColor="text1"/>
          <w:szCs w:val="20"/>
        </w:rPr>
        <w:t xml:space="preserve"> </w:t>
      </w:r>
      <w:r w:rsidRPr="00D7363B">
        <w:rPr>
          <w:color w:val="000000" w:themeColor="text1"/>
          <w:szCs w:val="20"/>
        </w:rPr>
        <w:t>modification</w:t>
      </w:r>
      <w:r w:rsidR="00C64050">
        <w:rPr>
          <w:color w:val="000000" w:themeColor="text1"/>
          <w:szCs w:val="20"/>
        </w:rPr>
        <w:t xml:space="preserve"> </w:t>
      </w:r>
      <w:r w:rsidRPr="00D7363B">
        <w:rPr>
          <w:color w:val="000000" w:themeColor="text1"/>
          <w:szCs w:val="20"/>
        </w:rPr>
        <w:t>in</w:t>
      </w:r>
      <w:r w:rsidR="00C64050">
        <w:rPr>
          <w:color w:val="000000" w:themeColor="text1"/>
          <w:szCs w:val="20"/>
        </w:rPr>
        <w:t xml:space="preserve"> </w:t>
      </w:r>
      <w:r w:rsidRPr="00D7363B">
        <w:rPr>
          <w:color w:val="000000" w:themeColor="text1"/>
          <w:szCs w:val="20"/>
        </w:rPr>
        <w:t>further</w:t>
      </w:r>
      <w:r w:rsidR="00C64050">
        <w:rPr>
          <w:color w:val="000000" w:themeColor="text1"/>
          <w:szCs w:val="20"/>
        </w:rPr>
        <w:t xml:space="preserve"> </w:t>
      </w:r>
      <w:r w:rsidRPr="00D7363B">
        <w:rPr>
          <w:color w:val="000000" w:themeColor="text1"/>
          <w:szCs w:val="20"/>
        </w:rPr>
        <w:t>trust</w:t>
      </w:r>
      <w:r w:rsidR="00C64050">
        <w:rPr>
          <w:color w:val="000000" w:themeColor="text1"/>
          <w:szCs w:val="20"/>
        </w:rPr>
        <w:t xml:space="preserve"> </w:t>
      </w:r>
      <w:r w:rsidRPr="00D7363B">
        <w:rPr>
          <w:color w:val="000000" w:themeColor="text1"/>
          <w:szCs w:val="20"/>
        </w:rPr>
        <w:t>will</w:t>
      </w:r>
      <w:r w:rsidR="00C64050">
        <w:rPr>
          <w:color w:val="000000" w:themeColor="text1"/>
          <w:szCs w:val="20"/>
        </w:rPr>
        <w:t xml:space="preserve"> </w:t>
      </w:r>
      <w:r w:rsidRPr="00D7363B">
        <w:rPr>
          <w:color w:val="000000" w:themeColor="text1"/>
          <w:szCs w:val="20"/>
        </w:rPr>
        <w:t>not</w:t>
      </w:r>
      <w:r w:rsidR="00C64050">
        <w:rPr>
          <w:color w:val="000000" w:themeColor="text1"/>
          <w:szCs w:val="20"/>
        </w:rPr>
        <w:t xml:space="preserve"> </w:t>
      </w:r>
      <w:r w:rsidRPr="00D7363B">
        <w:rPr>
          <w:color w:val="000000" w:themeColor="text1"/>
          <w:szCs w:val="20"/>
        </w:rPr>
        <w:t>extend</w:t>
      </w:r>
      <w:r w:rsidR="00C64050">
        <w:rPr>
          <w:color w:val="000000" w:themeColor="text1"/>
          <w:szCs w:val="20"/>
        </w:rPr>
        <w:t xml:space="preserve"> </w:t>
      </w:r>
      <w:r w:rsidRPr="00D7363B">
        <w:rPr>
          <w:color w:val="000000" w:themeColor="text1"/>
          <w:szCs w:val="20"/>
        </w:rPr>
        <w:t>the</w:t>
      </w:r>
      <w:r w:rsidR="00C64050">
        <w:rPr>
          <w:color w:val="000000" w:themeColor="text1"/>
          <w:szCs w:val="20"/>
        </w:rPr>
        <w:t xml:space="preserve"> </w:t>
      </w:r>
      <w:r w:rsidRPr="00D7363B">
        <w:rPr>
          <w:color w:val="000000" w:themeColor="text1"/>
          <w:szCs w:val="20"/>
        </w:rPr>
        <w:t>time</w:t>
      </w:r>
      <w:r w:rsidR="00C64050">
        <w:rPr>
          <w:color w:val="000000" w:themeColor="text1"/>
          <w:szCs w:val="20"/>
        </w:rPr>
        <w:t xml:space="preserve"> </w:t>
      </w:r>
      <w:r w:rsidRPr="00D7363B">
        <w:rPr>
          <w:color w:val="000000" w:themeColor="text1"/>
          <w:szCs w:val="20"/>
        </w:rPr>
        <w:t>for</w:t>
      </w:r>
      <w:r w:rsidR="00C64050">
        <w:rPr>
          <w:color w:val="000000" w:themeColor="text1"/>
          <w:szCs w:val="20"/>
        </w:rPr>
        <w:t xml:space="preserve"> </w:t>
      </w:r>
      <w:r w:rsidRPr="00D7363B">
        <w:rPr>
          <w:color w:val="000000" w:themeColor="text1"/>
          <w:szCs w:val="20"/>
        </w:rPr>
        <w:t>vesting</w:t>
      </w:r>
      <w:r w:rsidR="00C64050">
        <w:rPr>
          <w:color w:val="000000" w:themeColor="text1"/>
          <w:szCs w:val="20"/>
        </w:rPr>
        <w:t xml:space="preserve"> </w:t>
      </w:r>
      <w:r w:rsidRPr="00D7363B">
        <w:rPr>
          <w:color w:val="000000" w:themeColor="text1"/>
          <w:szCs w:val="20"/>
        </w:rPr>
        <w:t>of</w:t>
      </w:r>
      <w:r w:rsidR="00C64050">
        <w:rPr>
          <w:color w:val="000000" w:themeColor="text1"/>
          <w:szCs w:val="20"/>
        </w:rPr>
        <w:t xml:space="preserve"> </w:t>
      </w:r>
      <w:r w:rsidRPr="00D7363B">
        <w:rPr>
          <w:color w:val="000000" w:themeColor="text1"/>
          <w:szCs w:val="20"/>
        </w:rPr>
        <w:t>any</w:t>
      </w:r>
      <w:r w:rsidR="00C64050">
        <w:rPr>
          <w:color w:val="000000" w:themeColor="text1"/>
          <w:szCs w:val="20"/>
        </w:rPr>
        <w:t xml:space="preserve"> </w:t>
      </w:r>
      <w:r w:rsidRPr="00D7363B">
        <w:rPr>
          <w:color w:val="000000" w:themeColor="text1"/>
          <w:szCs w:val="20"/>
        </w:rPr>
        <w:t>beneficial</w:t>
      </w:r>
      <w:r w:rsidR="00C64050">
        <w:rPr>
          <w:color w:val="000000" w:themeColor="text1"/>
          <w:szCs w:val="20"/>
        </w:rPr>
        <w:t xml:space="preserve"> </w:t>
      </w:r>
      <w:r w:rsidRPr="00D7363B">
        <w:rPr>
          <w:color w:val="000000" w:themeColor="text1"/>
          <w:szCs w:val="20"/>
        </w:rPr>
        <w:t>interest</w:t>
      </w:r>
      <w:r w:rsidR="00C64050">
        <w:rPr>
          <w:color w:val="000000" w:themeColor="text1"/>
          <w:szCs w:val="20"/>
        </w:rPr>
        <w:t xml:space="preserve"> </w:t>
      </w:r>
      <w:r w:rsidRPr="00D7363B">
        <w:rPr>
          <w:color w:val="000000" w:themeColor="text1"/>
          <w:szCs w:val="20"/>
        </w:rPr>
        <w:t>in</w:t>
      </w:r>
      <w:r w:rsidR="00C64050">
        <w:rPr>
          <w:color w:val="000000" w:themeColor="text1"/>
          <w:szCs w:val="20"/>
        </w:rPr>
        <w:t xml:space="preserve"> </w:t>
      </w:r>
      <w:r w:rsidRPr="00D7363B">
        <w:rPr>
          <w:color w:val="000000" w:themeColor="text1"/>
          <w:szCs w:val="20"/>
        </w:rPr>
        <w:t>any</w:t>
      </w:r>
      <w:r w:rsidR="00C64050">
        <w:rPr>
          <w:color w:val="000000" w:themeColor="text1"/>
          <w:szCs w:val="20"/>
        </w:rPr>
        <w:t xml:space="preserve"> </w:t>
      </w:r>
      <w:r w:rsidRPr="00D7363B">
        <w:rPr>
          <w:color w:val="000000" w:themeColor="text1"/>
          <w:szCs w:val="20"/>
        </w:rPr>
        <w:t>trust.</w:t>
      </w:r>
      <w:r w:rsidR="00C64050">
        <w:rPr>
          <w:color w:val="000000" w:themeColor="text1"/>
          <w:szCs w:val="20"/>
        </w:rPr>
        <w:t xml:space="preserve"> </w:t>
      </w:r>
      <w:r w:rsidRPr="00D7363B">
        <w:rPr>
          <w:color w:val="000000" w:themeColor="text1"/>
          <w:szCs w:val="20"/>
        </w:rPr>
        <w:t>Accordingly,</w:t>
      </w:r>
      <w:r w:rsidR="00C64050">
        <w:rPr>
          <w:color w:val="000000" w:themeColor="text1"/>
          <w:szCs w:val="20"/>
        </w:rPr>
        <w:t xml:space="preserve"> </w:t>
      </w:r>
      <w:r w:rsidRPr="00D7363B">
        <w:rPr>
          <w:color w:val="000000" w:themeColor="text1"/>
          <w:szCs w:val="20"/>
        </w:rPr>
        <w:t>based</w:t>
      </w:r>
      <w:r w:rsidR="00C64050">
        <w:rPr>
          <w:color w:val="000000" w:themeColor="text1"/>
          <w:szCs w:val="20"/>
        </w:rPr>
        <w:t xml:space="preserve"> </w:t>
      </w:r>
      <w:r w:rsidRPr="00D7363B">
        <w:rPr>
          <w:color w:val="000000" w:themeColor="text1"/>
          <w:szCs w:val="20"/>
        </w:rPr>
        <w:t>on</w:t>
      </w:r>
      <w:r w:rsidR="00C64050">
        <w:rPr>
          <w:color w:val="000000" w:themeColor="text1"/>
          <w:szCs w:val="20"/>
        </w:rPr>
        <w:t xml:space="preserve"> </w:t>
      </w:r>
      <w:r w:rsidRPr="00D7363B">
        <w:rPr>
          <w:color w:val="000000" w:themeColor="text1"/>
          <w:szCs w:val="20"/>
        </w:rPr>
        <w:t>the</w:t>
      </w:r>
      <w:r w:rsidR="00C64050">
        <w:rPr>
          <w:color w:val="000000" w:themeColor="text1"/>
          <w:szCs w:val="20"/>
        </w:rPr>
        <w:t xml:space="preserve"> </w:t>
      </w:r>
      <w:r w:rsidRPr="00D7363B">
        <w:rPr>
          <w:color w:val="000000" w:themeColor="text1"/>
          <w:szCs w:val="20"/>
        </w:rPr>
        <w:t>facts</w:t>
      </w:r>
      <w:r w:rsidR="00C64050">
        <w:rPr>
          <w:color w:val="000000" w:themeColor="text1"/>
          <w:szCs w:val="20"/>
        </w:rPr>
        <w:t xml:space="preserve"> </w:t>
      </w:r>
      <w:r w:rsidRPr="00D7363B">
        <w:rPr>
          <w:color w:val="000000" w:themeColor="text1"/>
          <w:szCs w:val="20"/>
        </w:rPr>
        <w:t>presented</w:t>
      </w:r>
      <w:r w:rsidR="00C64050">
        <w:rPr>
          <w:color w:val="000000" w:themeColor="text1"/>
          <w:szCs w:val="20"/>
        </w:rPr>
        <w:t xml:space="preserve"> </w:t>
      </w:r>
      <w:r w:rsidRPr="00D7363B">
        <w:rPr>
          <w:color w:val="000000" w:themeColor="text1"/>
          <w:szCs w:val="20"/>
        </w:rPr>
        <w:t>and</w:t>
      </w:r>
      <w:r w:rsidR="00C64050">
        <w:rPr>
          <w:color w:val="000000" w:themeColor="text1"/>
          <w:szCs w:val="20"/>
        </w:rPr>
        <w:t xml:space="preserve"> </w:t>
      </w:r>
      <w:r w:rsidRPr="00D7363B">
        <w:rPr>
          <w:color w:val="000000" w:themeColor="text1"/>
          <w:szCs w:val="20"/>
        </w:rPr>
        <w:t>the</w:t>
      </w:r>
      <w:r w:rsidR="00C64050">
        <w:rPr>
          <w:color w:val="000000" w:themeColor="text1"/>
          <w:szCs w:val="20"/>
        </w:rPr>
        <w:t xml:space="preserve"> </w:t>
      </w:r>
      <w:r w:rsidRPr="00D7363B">
        <w:rPr>
          <w:color w:val="000000" w:themeColor="text1"/>
          <w:szCs w:val="20"/>
        </w:rPr>
        <w:t>representations</w:t>
      </w:r>
      <w:r w:rsidR="00C64050">
        <w:rPr>
          <w:color w:val="000000" w:themeColor="text1"/>
          <w:szCs w:val="20"/>
        </w:rPr>
        <w:t xml:space="preserve"> </w:t>
      </w:r>
      <w:r w:rsidRPr="00D7363B">
        <w:rPr>
          <w:color w:val="000000" w:themeColor="text1"/>
          <w:szCs w:val="20"/>
        </w:rPr>
        <w:t>made,</w:t>
      </w:r>
      <w:r w:rsidR="00C64050">
        <w:rPr>
          <w:color w:val="000000" w:themeColor="text1"/>
          <w:szCs w:val="20"/>
        </w:rPr>
        <w:t xml:space="preserve"> </w:t>
      </w:r>
      <w:r w:rsidRPr="00D7363B">
        <w:rPr>
          <w:color w:val="000000" w:themeColor="text1"/>
          <w:szCs w:val="20"/>
        </w:rPr>
        <w:t>we</w:t>
      </w:r>
      <w:r w:rsidR="00C64050">
        <w:rPr>
          <w:color w:val="000000" w:themeColor="text1"/>
          <w:szCs w:val="20"/>
        </w:rPr>
        <w:t xml:space="preserve"> </w:t>
      </w:r>
      <w:r w:rsidRPr="00D7363B">
        <w:rPr>
          <w:color w:val="000000" w:themeColor="text1"/>
          <w:szCs w:val="20"/>
        </w:rPr>
        <w:t>rule</w:t>
      </w:r>
      <w:r w:rsidR="00C64050">
        <w:rPr>
          <w:color w:val="000000" w:themeColor="text1"/>
          <w:szCs w:val="20"/>
        </w:rPr>
        <w:t xml:space="preserve"> </w:t>
      </w:r>
      <w:r w:rsidRPr="00D7363B">
        <w:rPr>
          <w:color w:val="000000" w:themeColor="text1"/>
          <w:szCs w:val="20"/>
        </w:rPr>
        <w:t>that</w:t>
      </w:r>
      <w:r w:rsidR="00C64050">
        <w:rPr>
          <w:color w:val="000000" w:themeColor="text1"/>
          <w:szCs w:val="20"/>
        </w:rPr>
        <w:t xml:space="preserve"> </w:t>
      </w:r>
      <w:r w:rsidRPr="00D7363B">
        <w:rPr>
          <w:color w:val="000000" w:themeColor="text1"/>
          <w:szCs w:val="20"/>
        </w:rPr>
        <w:t>the</w:t>
      </w:r>
      <w:r w:rsidR="00C64050">
        <w:rPr>
          <w:color w:val="000000" w:themeColor="text1"/>
          <w:szCs w:val="20"/>
        </w:rPr>
        <w:t xml:space="preserve"> </w:t>
      </w:r>
      <w:r w:rsidRPr="00D7363B">
        <w:rPr>
          <w:color w:val="000000" w:themeColor="text1"/>
          <w:szCs w:val="20"/>
        </w:rPr>
        <w:t>proposed</w:t>
      </w:r>
      <w:r w:rsidR="00C64050">
        <w:rPr>
          <w:color w:val="000000" w:themeColor="text1"/>
          <w:szCs w:val="20"/>
        </w:rPr>
        <w:t xml:space="preserve"> </w:t>
      </w:r>
      <w:r w:rsidRPr="00D7363B">
        <w:rPr>
          <w:color w:val="000000" w:themeColor="text1"/>
          <w:szCs w:val="20"/>
        </w:rPr>
        <w:t>modification</w:t>
      </w:r>
      <w:r w:rsidR="00C64050">
        <w:rPr>
          <w:color w:val="000000" w:themeColor="text1"/>
          <w:szCs w:val="20"/>
        </w:rPr>
        <w:t xml:space="preserve"> </w:t>
      </w:r>
      <w:r w:rsidRPr="00D7363B">
        <w:rPr>
          <w:color w:val="000000" w:themeColor="text1"/>
          <w:szCs w:val="20"/>
        </w:rPr>
        <w:t>will</w:t>
      </w:r>
      <w:r w:rsidR="00C64050">
        <w:rPr>
          <w:color w:val="000000" w:themeColor="text1"/>
          <w:szCs w:val="20"/>
        </w:rPr>
        <w:t xml:space="preserve"> </w:t>
      </w:r>
      <w:r w:rsidRPr="00D7363B">
        <w:rPr>
          <w:color w:val="000000" w:themeColor="text1"/>
          <w:szCs w:val="20"/>
        </w:rPr>
        <w:t>not</w:t>
      </w:r>
      <w:r w:rsidR="00C64050">
        <w:rPr>
          <w:color w:val="000000" w:themeColor="text1"/>
          <w:szCs w:val="20"/>
        </w:rPr>
        <w:t xml:space="preserve"> </w:t>
      </w:r>
      <w:r w:rsidRPr="00D7363B">
        <w:rPr>
          <w:color w:val="000000" w:themeColor="text1"/>
          <w:szCs w:val="20"/>
        </w:rPr>
        <w:t>cause</w:t>
      </w:r>
      <w:r w:rsidR="00C64050">
        <w:rPr>
          <w:color w:val="000000" w:themeColor="text1"/>
          <w:szCs w:val="20"/>
        </w:rPr>
        <w:t xml:space="preserve"> </w:t>
      </w:r>
      <w:r w:rsidRPr="00D7363B">
        <w:rPr>
          <w:color w:val="000000" w:themeColor="text1"/>
          <w:szCs w:val="20"/>
        </w:rPr>
        <w:t>Trust</w:t>
      </w:r>
      <w:r w:rsidR="00C64050">
        <w:rPr>
          <w:color w:val="000000" w:themeColor="text1"/>
          <w:szCs w:val="20"/>
        </w:rPr>
        <w:t xml:space="preserve"> </w:t>
      </w:r>
      <w:r w:rsidRPr="00D7363B">
        <w:rPr>
          <w:color w:val="000000" w:themeColor="text1"/>
          <w:szCs w:val="20"/>
        </w:rPr>
        <w:t>A</w:t>
      </w:r>
      <w:r w:rsidR="00C64050">
        <w:rPr>
          <w:color w:val="000000" w:themeColor="text1"/>
          <w:szCs w:val="20"/>
        </w:rPr>
        <w:t xml:space="preserve"> </w:t>
      </w:r>
      <w:r w:rsidRPr="00D7363B">
        <w:rPr>
          <w:color w:val="000000" w:themeColor="text1"/>
          <w:szCs w:val="20"/>
        </w:rPr>
        <w:t>or</w:t>
      </w:r>
      <w:r w:rsidR="00C64050">
        <w:rPr>
          <w:color w:val="000000" w:themeColor="text1"/>
          <w:szCs w:val="20"/>
        </w:rPr>
        <w:t xml:space="preserve"> </w:t>
      </w:r>
      <w:r w:rsidRPr="00D7363B">
        <w:rPr>
          <w:color w:val="000000" w:themeColor="text1"/>
          <w:szCs w:val="20"/>
        </w:rPr>
        <w:t>the</w:t>
      </w:r>
      <w:r w:rsidR="00C64050">
        <w:rPr>
          <w:color w:val="000000" w:themeColor="text1"/>
          <w:szCs w:val="20"/>
        </w:rPr>
        <w:t xml:space="preserve"> </w:t>
      </w:r>
      <w:r w:rsidRPr="00D7363B">
        <w:rPr>
          <w:color w:val="000000" w:themeColor="text1"/>
          <w:szCs w:val="20"/>
        </w:rPr>
        <w:t>Trust</w:t>
      </w:r>
      <w:r w:rsidR="00C64050">
        <w:rPr>
          <w:color w:val="000000" w:themeColor="text1"/>
          <w:szCs w:val="20"/>
        </w:rPr>
        <w:t xml:space="preserve"> </w:t>
      </w:r>
      <w:r w:rsidRPr="00D7363B">
        <w:rPr>
          <w:color w:val="000000" w:themeColor="text1"/>
          <w:szCs w:val="20"/>
        </w:rPr>
        <w:t>A</w:t>
      </w:r>
      <w:r w:rsidR="00C64050">
        <w:rPr>
          <w:color w:val="000000" w:themeColor="text1"/>
          <w:szCs w:val="20"/>
        </w:rPr>
        <w:t xml:space="preserve"> </w:t>
      </w:r>
      <w:r w:rsidRPr="00D7363B">
        <w:rPr>
          <w:color w:val="000000" w:themeColor="text1"/>
          <w:szCs w:val="20"/>
        </w:rPr>
        <w:t>Successor</w:t>
      </w:r>
      <w:r w:rsidR="00C64050">
        <w:rPr>
          <w:color w:val="000000" w:themeColor="text1"/>
          <w:szCs w:val="20"/>
        </w:rPr>
        <w:t xml:space="preserve"> </w:t>
      </w:r>
      <w:r w:rsidRPr="00D7363B">
        <w:rPr>
          <w:color w:val="000000" w:themeColor="text1"/>
          <w:szCs w:val="20"/>
        </w:rPr>
        <w:t>Trusts</w:t>
      </w:r>
      <w:r w:rsidR="00C64050">
        <w:rPr>
          <w:color w:val="000000" w:themeColor="text1"/>
          <w:szCs w:val="20"/>
        </w:rPr>
        <w:t xml:space="preserve"> </w:t>
      </w:r>
      <w:r w:rsidRPr="00D7363B">
        <w:rPr>
          <w:color w:val="000000" w:themeColor="text1"/>
          <w:szCs w:val="20"/>
        </w:rPr>
        <w:t>to</w:t>
      </w:r>
      <w:r w:rsidR="00C64050">
        <w:rPr>
          <w:color w:val="000000" w:themeColor="text1"/>
          <w:szCs w:val="20"/>
        </w:rPr>
        <w:t xml:space="preserve"> </w:t>
      </w:r>
      <w:r w:rsidRPr="00D7363B">
        <w:rPr>
          <w:color w:val="000000" w:themeColor="text1"/>
          <w:szCs w:val="20"/>
        </w:rPr>
        <w:t>lose</w:t>
      </w:r>
      <w:r w:rsidR="00C64050">
        <w:rPr>
          <w:color w:val="000000" w:themeColor="text1"/>
          <w:szCs w:val="20"/>
        </w:rPr>
        <w:t xml:space="preserve"> </w:t>
      </w:r>
      <w:r w:rsidRPr="00D7363B">
        <w:rPr>
          <w:color w:val="000000" w:themeColor="text1"/>
          <w:szCs w:val="20"/>
        </w:rPr>
        <w:t>their</w:t>
      </w:r>
      <w:r w:rsidR="00C64050">
        <w:rPr>
          <w:color w:val="000000" w:themeColor="text1"/>
          <w:szCs w:val="20"/>
        </w:rPr>
        <w:t xml:space="preserve"> </w:t>
      </w:r>
      <w:r w:rsidRPr="00D7363B">
        <w:rPr>
          <w:color w:val="000000" w:themeColor="text1"/>
          <w:szCs w:val="20"/>
        </w:rPr>
        <w:t>exemption</w:t>
      </w:r>
      <w:r w:rsidR="00C64050">
        <w:rPr>
          <w:color w:val="000000" w:themeColor="text1"/>
          <w:szCs w:val="20"/>
        </w:rPr>
        <w:t xml:space="preserve"> </w:t>
      </w:r>
      <w:r w:rsidRPr="00D7363B">
        <w:rPr>
          <w:color w:val="000000" w:themeColor="text1"/>
          <w:szCs w:val="20"/>
        </w:rPr>
        <w:t>from</w:t>
      </w:r>
      <w:r w:rsidR="00C64050">
        <w:rPr>
          <w:color w:val="000000" w:themeColor="text1"/>
          <w:szCs w:val="20"/>
        </w:rPr>
        <w:t xml:space="preserve"> </w:t>
      </w:r>
      <w:r w:rsidRPr="00D7363B">
        <w:rPr>
          <w:color w:val="000000" w:themeColor="text1"/>
          <w:szCs w:val="20"/>
        </w:rPr>
        <w:t>the</w:t>
      </w:r>
      <w:r w:rsidR="00C64050">
        <w:rPr>
          <w:color w:val="000000" w:themeColor="text1"/>
          <w:szCs w:val="20"/>
        </w:rPr>
        <w:t xml:space="preserve"> </w:t>
      </w:r>
      <w:r w:rsidRPr="00D7363B">
        <w:rPr>
          <w:color w:val="000000" w:themeColor="text1"/>
          <w:szCs w:val="20"/>
        </w:rPr>
        <w:t>GST</w:t>
      </w:r>
      <w:r w:rsidR="00C64050">
        <w:rPr>
          <w:color w:val="000000" w:themeColor="text1"/>
          <w:szCs w:val="20"/>
        </w:rPr>
        <w:t xml:space="preserve"> </w:t>
      </w:r>
      <w:r w:rsidRPr="00D7363B">
        <w:rPr>
          <w:color w:val="000000" w:themeColor="text1"/>
          <w:szCs w:val="20"/>
        </w:rPr>
        <w:t>tax</w:t>
      </w:r>
      <w:r w:rsidR="00C64050">
        <w:rPr>
          <w:color w:val="000000" w:themeColor="text1"/>
          <w:szCs w:val="20"/>
        </w:rPr>
        <w:t xml:space="preserve"> </w:t>
      </w:r>
      <w:r w:rsidRPr="00D7363B">
        <w:rPr>
          <w:color w:val="000000" w:themeColor="text1"/>
          <w:szCs w:val="20"/>
        </w:rPr>
        <w:t>of</w:t>
      </w:r>
      <w:r w:rsidR="00C64050">
        <w:rPr>
          <w:color w:val="000000" w:themeColor="text1"/>
          <w:szCs w:val="20"/>
        </w:rPr>
        <w:t xml:space="preserve"> </w:t>
      </w:r>
      <w:r w:rsidRPr="00D7363B">
        <w:rPr>
          <w:color w:val="000000" w:themeColor="text1"/>
          <w:szCs w:val="20"/>
        </w:rPr>
        <w:t>chapter</w:t>
      </w:r>
      <w:r w:rsidR="00C64050">
        <w:rPr>
          <w:color w:val="000000" w:themeColor="text1"/>
          <w:szCs w:val="20"/>
        </w:rPr>
        <w:t xml:space="preserve"> </w:t>
      </w:r>
      <w:r w:rsidRPr="00D7363B">
        <w:rPr>
          <w:color w:val="000000" w:themeColor="text1"/>
          <w:szCs w:val="20"/>
        </w:rPr>
        <w:t>13.</w:t>
      </w:r>
    </w:p>
    <w:p w:rsidR="008A0D0A" w:rsidRDefault="00D7363B" w:rsidP="008A0D0A">
      <w:pPr>
        <w:pStyle w:val="Body15"/>
      </w:pPr>
      <w:r>
        <w:t>The</w:t>
      </w:r>
      <w:r w:rsidR="00C64050">
        <w:t xml:space="preserve"> </w:t>
      </w:r>
      <w:r>
        <w:t>modifications</w:t>
      </w:r>
      <w:r w:rsidR="00C64050">
        <w:t xml:space="preserve"> </w:t>
      </w:r>
      <w:r>
        <w:t>appeared</w:t>
      </w:r>
      <w:r w:rsidR="00C64050">
        <w:t xml:space="preserve"> </w:t>
      </w:r>
      <w:r>
        <w:t>to</w:t>
      </w:r>
      <w:r w:rsidR="00C64050">
        <w:t xml:space="preserve"> </w:t>
      </w:r>
      <w:r>
        <w:t>have</w:t>
      </w:r>
      <w:r w:rsidR="00C64050">
        <w:t xml:space="preserve"> </w:t>
      </w:r>
      <w:r>
        <w:t>the</w:t>
      </w:r>
      <w:r w:rsidR="00C64050">
        <w:t xml:space="preserve"> </w:t>
      </w:r>
      <w:r>
        <w:t>purpose</w:t>
      </w:r>
      <w:r w:rsidR="00C64050">
        <w:t xml:space="preserve"> </w:t>
      </w:r>
      <w:r>
        <w:t>of</w:t>
      </w:r>
      <w:r w:rsidR="00C64050">
        <w:t xml:space="preserve"> </w:t>
      </w:r>
      <w:r>
        <w:t>affecting</w:t>
      </w:r>
      <w:r w:rsidR="00C64050">
        <w:t xml:space="preserve"> </w:t>
      </w:r>
      <w:r>
        <w:t>distribution</w:t>
      </w:r>
      <w:r w:rsidR="00C64050">
        <w:t xml:space="preserve"> </w:t>
      </w:r>
      <w:r>
        <w:t>to</w:t>
      </w:r>
      <w:r w:rsidR="00C64050">
        <w:t xml:space="preserve"> </w:t>
      </w:r>
      <w:r>
        <w:t>son.</w:t>
      </w:r>
      <w:r w:rsidR="00C64050">
        <w:t xml:space="preserve">  </w:t>
      </w:r>
      <w:r>
        <w:t>The</w:t>
      </w:r>
      <w:r w:rsidR="00C64050">
        <w:t xml:space="preserve"> </w:t>
      </w:r>
      <w:r>
        <w:t>ruling</w:t>
      </w:r>
      <w:r w:rsidR="00C64050">
        <w:t xml:space="preserve"> </w:t>
      </w:r>
      <w:r>
        <w:t>is</w:t>
      </w:r>
      <w:r w:rsidR="00C64050">
        <w:t xml:space="preserve"> </w:t>
      </w:r>
      <w:r>
        <w:t>one</w:t>
      </w:r>
      <w:r w:rsidR="00C64050">
        <w:t xml:space="preserve"> </w:t>
      </w:r>
      <w:r>
        <w:t>of</w:t>
      </w:r>
      <w:r w:rsidR="00C64050">
        <w:t xml:space="preserve"> </w:t>
      </w:r>
      <w:r>
        <w:t>a</w:t>
      </w:r>
      <w:r w:rsidR="00C64050">
        <w:t xml:space="preserve"> </w:t>
      </w:r>
      <w:r>
        <w:t>series.</w:t>
      </w:r>
    </w:p>
    <w:p w:rsidR="00485DB9" w:rsidRDefault="00856D6A">
      <w:pPr>
        <w:pStyle w:val="Heading1"/>
        <w:rPr>
          <w:color w:val="000000"/>
        </w:rPr>
      </w:pPr>
      <w:bookmarkStart w:id="650" w:name="_Toc168206630"/>
      <w:bookmarkStart w:id="651" w:name="_Toc168218255"/>
      <w:bookmarkStart w:id="652" w:name="_Toc231154904"/>
      <w:bookmarkStart w:id="653" w:name="_Toc295129801"/>
      <w:bookmarkStart w:id="654" w:name="_Toc295132416"/>
      <w:bookmarkStart w:id="655" w:name="_Toc295133936"/>
      <w:bookmarkStart w:id="656" w:name="_Toc295133971"/>
      <w:bookmarkStart w:id="657" w:name="_Toc295136503"/>
      <w:bookmarkStart w:id="658" w:name="_Toc297645108"/>
      <w:bookmarkStart w:id="659" w:name="_Toc297647179"/>
      <w:bookmarkStart w:id="660" w:name="_Toc297728379"/>
      <w:bookmarkStart w:id="661" w:name="_Toc297732841"/>
      <w:bookmarkStart w:id="662" w:name="_Toc298255232"/>
      <w:bookmarkStart w:id="663" w:name="_Toc298316806"/>
      <w:bookmarkStart w:id="664" w:name="_Toc298334651"/>
      <w:bookmarkStart w:id="665" w:name="_Toc298338149"/>
      <w:bookmarkStart w:id="666" w:name="_Toc301364489"/>
      <w:bookmarkStart w:id="667" w:name="_Toc302465949"/>
      <w:bookmarkStart w:id="668" w:name="_Toc303094324"/>
      <w:bookmarkStart w:id="669" w:name="_Toc303172922"/>
      <w:bookmarkStart w:id="670" w:name="_Toc303181252"/>
      <w:bookmarkStart w:id="671" w:name="_Toc321753669"/>
      <w:bookmarkStart w:id="672" w:name="_Toc322015853"/>
      <w:bookmarkStart w:id="673" w:name="_Toc322016026"/>
      <w:bookmarkStart w:id="674" w:name="_Toc322016564"/>
      <w:bookmarkStart w:id="675" w:name="_Toc376946794"/>
      <w:bookmarkStart w:id="676" w:name="_Toc376947641"/>
      <w:bookmarkStart w:id="677" w:name="_Toc376948435"/>
      <w:bookmarkStart w:id="678" w:name="_Toc376949229"/>
      <w:bookmarkStart w:id="679" w:name="_Toc94704669"/>
      <w:r w:rsidRPr="00454670">
        <w:rPr>
          <w:color w:val="000000"/>
        </w:rPr>
        <w:t>SECTIONS</w:t>
      </w:r>
      <w:r w:rsidR="00C64050">
        <w:rPr>
          <w:color w:val="000000"/>
        </w:rPr>
        <w:t xml:space="preserve"> </w:t>
      </w:r>
      <w:r w:rsidRPr="00454670">
        <w:rPr>
          <w:color w:val="000000"/>
        </w:rPr>
        <w:t>2701-2704</w:t>
      </w:r>
      <w:r w:rsidR="00C64050">
        <w:rPr>
          <w:color w:val="000000"/>
        </w:rPr>
        <w:t xml:space="preserve"> </w:t>
      </w:r>
      <w:r w:rsidRPr="00454670">
        <w:rPr>
          <w:color w:val="000000"/>
        </w:rPr>
        <w:t>-</w:t>
      </w:r>
      <w:r w:rsidR="00C64050">
        <w:rPr>
          <w:color w:val="000000"/>
        </w:rPr>
        <w:t xml:space="preserve"> </w:t>
      </w:r>
      <w:r w:rsidRPr="00454670">
        <w:rPr>
          <w:color w:val="000000"/>
        </w:rPr>
        <w:t>SPECIAL</w:t>
      </w:r>
      <w:r w:rsidR="00C64050">
        <w:rPr>
          <w:color w:val="000000"/>
        </w:rPr>
        <w:t xml:space="preserve"> </w:t>
      </w:r>
      <w:r w:rsidRPr="00454670">
        <w:rPr>
          <w:color w:val="000000"/>
        </w:rPr>
        <w:t>VALUATION</w:t>
      </w:r>
      <w:r w:rsidR="00C64050">
        <w:rPr>
          <w:color w:val="000000"/>
        </w:rPr>
        <w:t xml:space="preserve"> </w:t>
      </w:r>
      <w:r w:rsidRPr="00454670">
        <w:rPr>
          <w:color w:val="000000"/>
        </w:rPr>
        <w:t>RULES</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rsidR="007657B2" w:rsidRPr="00981937" w:rsidRDefault="007657B2" w:rsidP="00B66CCE">
      <w:pPr>
        <w:pStyle w:val="Heading20"/>
        <w:numPr>
          <w:ilvl w:val="1"/>
          <w:numId w:val="35"/>
        </w:numPr>
        <w:tabs>
          <w:tab w:val="clear" w:pos="2700"/>
        </w:tabs>
        <w:ind w:left="0"/>
        <w:rPr>
          <w:b/>
          <w:vanish/>
          <w:u w:val="single"/>
          <w:specVanish/>
        </w:rPr>
      </w:pPr>
      <w:bookmarkStart w:id="680" w:name="_Toc94704670"/>
      <w:r w:rsidRPr="00981937">
        <w:rPr>
          <w:b/>
          <w:u w:val="single"/>
        </w:rPr>
        <w:t>How</w:t>
      </w:r>
      <w:r w:rsidR="00C64050">
        <w:rPr>
          <w:b/>
          <w:u w:val="single"/>
        </w:rPr>
        <w:t xml:space="preserve"> </w:t>
      </w:r>
      <w:r w:rsidRPr="00981937">
        <w:rPr>
          <w:b/>
          <w:u w:val="single"/>
        </w:rPr>
        <w:t>Might</w:t>
      </w:r>
      <w:r w:rsidR="00C64050">
        <w:rPr>
          <w:b/>
          <w:u w:val="single"/>
        </w:rPr>
        <w:t xml:space="preserve"> </w:t>
      </w:r>
      <w:r w:rsidRPr="00981937">
        <w:rPr>
          <w:b/>
          <w:u w:val="single"/>
        </w:rPr>
        <w:t>The</w:t>
      </w:r>
      <w:r w:rsidR="00C64050">
        <w:rPr>
          <w:b/>
          <w:u w:val="single"/>
        </w:rPr>
        <w:t xml:space="preserve"> </w:t>
      </w:r>
      <w:r w:rsidRPr="00981937">
        <w:rPr>
          <w:b/>
          <w:u w:val="single"/>
        </w:rPr>
        <w:t>Doctrine</w:t>
      </w:r>
      <w:r w:rsidR="00C64050">
        <w:rPr>
          <w:b/>
          <w:u w:val="single"/>
        </w:rPr>
        <w:t xml:space="preserve"> </w:t>
      </w:r>
      <w:r w:rsidRPr="00981937">
        <w:rPr>
          <w:b/>
          <w:u w:val="single"/>
        </w:rPr>
        <w:t>Of</w:t>
      </w:r>
      <w:r w:rsidR="00C64050">
        <w:rPr>
          <w:b/>
          <w:u w:val="single"/>
        </w:rPr>
        <w:t xml:space="preserve"> </w:t>
      </w:r>
      <w:r w:rsidRPr="00981937">
        <w:rPr>
          <w:b/>
          <w:u w:val="single"/>
        </w:rPr>
        <w:t>Merger</w:t>
      </w:r>
      <w:r w:rsidR="00C64050">
        <w:rPr>
          <w:b/>
          <w:u w:val="single"/>
        </w:rPr>
        <w:t xml:space="preserve"> </w:t>
      </w:r>
      <w:r w:rsidRPr="00981937">
        <w:rPr>
          <w:b/>
          <w:u w:val="single"/>
        </w:rPr>
        <w:t>Be</w:t>
      </w:r>
      <w:r w:rsidR="00C64050">
        <w:rPr>
          <w:b/>
          <w:u w:val="single"/>
        </w:rPr>
        <w:t xml:space="preserve"> </w:t>
      </w:r>
      <w:r w:rsidRPr="00981937">
        <w:rPr>
          <w:b/>
          <w:u w:val="single"/>
        </w:rPr>
        <w:t>Used</w:t>
      </w:r>
      <w:r w:rsidR="00C64050">
        <w:rPr>
          <w:b/>
          <w:u w:val="single"/>
        </w:rPr>
        <w:t xml:space="preserve"> </w:t>
      </w:r>
      <w:r w:rsidRPr="00981937">
        <w:rPr>
          <w:b/>
          <w:u w:val="single"/>
        </w:rPr>
        <w:t>With</w:t>
      </w:r>
      <w:r w:rsidR="00C64050">
        <w:rPr>
          <w:b/>
          <w:u w:val="single"/>
        </w:rPr>
        <w:t xml:space="preserve"> </w:t>
      </w:r>
      <w:r w:rsidRPr="00981937">
        <w:rPr>
          <w:b/>
          <w:u w:val="single"/>
        </w:rPr>
        <w:t>A</w:t>
      </w:r>
      <w:r w:rsidR="00C64050">
        <w:rPr>
          <w:b/>
          <w:u w:val="single"/>
        </w:rPr>
        <w:t xml:space="preserve"> </w:t>
      </w:r>
      <w:r w:rsidRPr="00981937">
        <w:rPr>
          <w:b/>
          <w:u w:val="single"/>
        </w:rPr>
        <w:t>GRAT?</w:t>
      </w:r>
      <w:bookmarkEnd w:id="680"/>
    </w:p>
    <w:p w:rsidR="007657B2" w:rsidRPr="000F5D3F" w:rsidRDefault="00C64050" w:rsidP="0048304A">
      <w:pPr>
        <w:pStyle w:val="Body15"/>
      </w:pPr>
      <w:r>
        <w:t xml:space="preserve">  </w:t>
      </w:r>
      <w:r w:rsidR="007657B2" w:rsidRPr="000F5D3F">
        <w:t>Because</w:t>
      </w:r>
      <w:r>
        <w:t xml:space="preserve"> </w:t>
      </w:r>
      <w:r w:rsidR="007657B2" w:rsidRPr="000F5D3F">
        <w:t>a</w:t>
      </w:r>
      <w:r>
        <w:t xml:space="preserve"> </w:t>
      </w:r>
      <w:r w:rsidR="007657B2" w:rsidRPr="000F5D3F">
        <w:t>trust</w:t>
      </w:r>
      <w:r>
        <w:t xml:space="preserve"> </w:t>
      </w:r>
      <w:r w:rsidR="007657B2" w:rsidRPr="000F5D3F">
        <w:t>is</w:t>
      </w:r>
      <w:r>
        <w:t xml:space="preserve"> </w:t>
      </w:r>
      <w:r w:rsidR="007657B2" w:rsidRPr="000F5D3F">
        <w:t>created</w:t>
      </w:r>
      <w:r>
        <w:t xml:space="preserve"> </w:t>
      </w:r>
      <w:r w:rsidR="007657B2" w:rsidRPr="000F5D3F">
        <w:t>by</w:t>
      </w:r>
      <w:r>
        <w:t xml:space="preserve"> </w:t>
      </w:r>
      <w:r w:rsidR="007657B2" w:rsidRPr="000F5D3F">
        <w:t>separating</w:t>
      </w:r>
      <w:r>
        <w:t xml:space="preserve"> </w:t>
      </w:r>
      <w:r w:rsidR="007657B2" w:rsidRPr="000F5D3F">
        <w:t>legal</w:t>
      </w:r>
      <w:r>
        <w:t xml:space="preserve"> </w:t>
      </w:r>
      <w:r w:rsidR="007657B2" w:rsidRPr="000F5D3F">
        <w:t>and</w:t>
      </w:r>
      <w:r>
        <w:t xml:space="preserve"> </w:t>
      </w:r>
      <w:r w:rsidR="007657B2" w:rsidRPr="000F5D3F">
        <w:t>equitable</w:t>
      </w:r>
      <w:r>
        <w:t xml:space="preserve"> </w:t>
      </w:r>
      <w:r w:rsidR="007657B2" w:rsidRPr="000F5D3F">
        <w:t>title</w:t>
      </w:r>
      <w:r>
        <w:t xml:space="preserve"> </w:t>
      </w:r>
      <w:r w:rsidR="007657B2" w:rsidRPr="000F5D3F">
        <w:t>to</w:t>
      </w:r>
      <w:r>
        <w:t xml:space="preserve"> </w:t>
      </w:r>
      <w:r w:rsidR="007657B2" w:rsidRPr="000F5D3F">
        <w:t>property,</w:t>
      </w:r>
      <w:r>
        <w:t xml:space="preserve"> </w:t>
      </w:r>
      <w:r w:rsidR="007657B2" w:rsidRPr="000F5D3F">
        <w:t>merging</w:t>
      </w:r>
      <w:r>
        <w:t xml:space="preserve"> </w:t>
      </w:r>
      <w:r w:rsidR="007657B2" w:rsidRPr="000F5D3F">
        <w:t>legal</w:t>
      </w:r>
      <w:r>
        <w:t xml:space="preserve"> </w:t>
      </w:r>
      <w:r w:rsidR="007657B2" w:rsidRPr="000F5D3F">
        <w:t>and</w:t>
      </w:r>
      <w:r>
        <w:t xml:space="preserve"> </w:t>
      </w:r>
      <w:r w:rsidR="007657B2" w:rsidRPr="000F5D3F">
        <w:t>equitable</w:t>
      </w:r>
      <w:r>
        <w:t xml:space="preserve"> </w:t>
      </w:r>
      <w:r w:rsidR="007657B2" w:rsidRPr="000F5D3F">
        <w:t>title</w:t>
      </w:r>
      <w:r>
        <w:t xml:space="preserve"> </w:t>
      </w:r>
      <w:r w:rsidR="007657B2" w:rsidRPr="000F5D3F">
        <w:t>to</w:t>
      </w:r>
      <w:r>
        <w:t xml:space="preserve"> </w:t>
      </w:r>
      <w:r w:rsidR="007657B2" w:rsidRPr="000F5D3F">
        <w:t>property</w:t>
      </w:r>
      <w:r>
        <w:t xml:space="preserve"> </w:t>
      </w:r>
      <w:r w:rsidR="007657B2" w:rsidRPr="000F5D3F">
        <w:t>in</w:t>
      </w:r>
      <w:r>
        <w:t xml:space="preserve"> </w:t>
      </w:r>
      <w:r w:rsidR="007657B2" w:rsidRPr="000F5D3F">
        <w:t>one</w:t>
      </w:r>
      <w:r>
        <w:t xml:space="preserve"> </w:t>
      </w:r>
      <w:r w:rsidR="007657B2" w:rsidRPr="000F5D3F">
        <w:t>person</w:t>
      </w:r>
      <w:r>
        <w:t xml:space="preserve"> </w:t>
      </w:r>
      <w:r w:rsidR="007657B2" w:rsidRPr="000F5D3F">
        <w:t>will,</w:t>
      </w:r>
      <w:r>
        <w:t xml:space="preserve"> </w:t>
      </w:r>
      <w:r w:rsidR="007657B2" w:rsidRPr="000F5D3F">
        <w:t>in</w:t>
      </w:r>
      <w:r>
        <w:t xml:space="preserve"> </w:t>
      </w:r>
      <w:r w:rsidR="007657B2" w:rsidRPr="000F5D3F">
        <w:t>general,</w:t>
      </w:r>
      <w:r>
        <w:t xml:space="preserve"> </w:t>
      </w:r>
      <w:r w:rsidR="007657B2" w:rsidRPr="000F5D3F">
        <w:t>cause</w:t>
      </w:r>
      <w:r>
        <w:t xml:space="preserve"> </w:t>
      </w:r>
      <w:r w:rsidR="007657B2" w:rsidRPr="000F5D3F">
        <w:t>the</w:t>
      </w:r>
      <w:r>
        <w:t xml:space="preserve"> </w:t>
      </w:r>
      <w:r w:rsidR="007657B2" w:rsidRPr="000F5D3F">
        <w:t>trust</w:t>
      </w:r>
      <w:r>
        <w:t xml:space="preserve"> </w:t>
      </w:r>
      <w:r w:rsidR="007657B2" w:rsidRPr="000F5D3F">
        <w:t>to</w:t>
      </w:r>
      <w:r>
        <w:t xml:space="preserve"> </w:t>
      </w:r>
      <w:r w:rsidR="007657B2" w:rsidRPr="000F5D3F">
        <w:t>terminate.</w:t>
      </w:r>
      <w:r>
        <w:t xml:space="preserve"> </w:t>
      </w:r>
      <w:r w:rsidR="007657B2" w:rsidRPr="000F5D3F">
        <w:t>The</w:t>
      </w:r>
      <w:r>
        <w:t xml:space="preserve"> </w:t>
      </w:r>
      <w:r w:rsidR="007657B2" w:rsidRPr="000F5D3F">
        <w:t>doctrine</w:t>
      </w:r>
      <w:r>
        <w:t xml:space="preserve"> </w:t>
      </w:r>
      <w:r w:rsidR="007657B2" w:rsidRPr="000F5D3F">
        <w:t>of</w:t>
      </w:r>
      <w:r>
        <w:t xml:space="preserve"> </w:t>
      </w:r>
      <w:r w:rsidR="007657B2" w:rsidRPr="000F5D3F">
        <w:t>merger</w:t>
      </w:r>
      <w:r>
        <w:t xml:space="preserve"> </w:t>
      </w:r>
      <w:r w:rsidR="007657B2" w:rsidRPr="000F5D3F">
        <w:t>is</w:t>
      </w:r>
      <w:r>
        <w:t xml:space="preserve"> </w:t>
      </w:r>
      <w:r w:rsidR="007657B2" w:rsidRPr="000F5D3F">
        <w:t>incorporated</w:t>
      </w:r>
      <w:r>
        <w:t xml:space="preserve"> </w:t>
      </w:r>
      <w:r w:rsidR="007657B2" w:rsidRPr="000F5D3F">
        <w:t>in</w:t>
      </w:r>
      <w:r>
        <w:t xml:space="preserve"> </w:t>
      </w:r>
      <w:r w:rsidR="007657B2" w:rsidRPr="000F5D3F">
        <w:t>section</w:t>
      </w:r>
      <w:r>
        <w:t xml:space="preserve"> </w:t>
      </w:r>
      <w:r w:rsidR="007657B2" w:rsidRPr="000F5D3F">
        <w:t>402(a)(5)</w:t>
      </w:r>
      <w:r>
        <w:t xml:space="preserve"> </w:t>
      </w:r>
      <w:r w:rsidR="007657B2" w:rsidRPr="000F5D3F">
        <w:t>of</w:t>
      </w:r>
      <w:r>
        <w:t xml:space="preserve"> </w:t>
      </w:r>
      <w:r w:rsidR="007657B2" w:rsidRPr="000F5D3F">
        <w:t>the</w:t>
      </w:r>
      <w:r>
        <w:t xml:space="preserve"> </w:t>
      </w:r>
      <w:r w:rsidR="007657B2" w:rsidRPr="000F5D3F">
        <w:t>UTC,</w:t>
      </w:r>
      <w:r>
        <w:t xml:space="preserve"> </w:t>
      </w:r>
      <w:r w:rsidR="007657B2" w:rsidRPr="000F5D3F">
        <w:t>the</w:t>
      </w:r>
      <w:r>
        <w:t xml:space="preserve"> </w:t>
      </w:r>
      <w:r w:rsidR="007657B2" w:rsidRPr="000F5D3F">
        <w:t>comment</w:t>
      </w:r>
      <w:r>
        <w:t xml:space="preserve"> </w:t>
      </w:r>
      <w:r w:rsidR="007657B2" w:rsidRPr="000F5D3F">
        <w:t>to</w:t>
      </w:r>
      <w:r>
        <w:t xml:space="preserve"> </w:t>
      </w:r>
      <w:r w:rsidR="007657B2" w:rsidRPr="000F5D3F">
        <w:t>which</w:t>
      </w:r>
      <w:r>
        <w:t xml:space="preserve"> </w:t>
      </w:r>
      <w:r w:rsidR="007657B2" w:rsidRPr="000F5D3F">
        <w:t>states:</w:t>
      </w:r>
    </w:p>
    <w:p w:rsidR="007657B2" w:rsidRPr="00C3080E" w:rsidRDefault="007657B2" w:rsidP="007E35C9">
      <w:pPr>
        <w:pStyle w:val="QS10"/>
      </w:pPr>
      <w:r w:rsidRPr="00C3080E">
        <w:t>Subsection</w:t>
      </w:r>
      <w:r w:rsidR="00C64050">
        <w:rPr>
          <w:spacing w:val="9"/>
        </w:rPr>
        <w:t xml:space="preserve"> </w:t>
      </w:r>
      <w:r w:rsidRPr="00C3080E">
        <w:t>(a)(5)</w:t>
      </w:r>
      <w:r w:rsidR="00C64050">
        <w:rPr>
          <w:spacing w:val="9"/>
        </w:rPr>
        <w:t xml:space="preserve"> </w:t>
      </w:r>
      <w:r w:rsidRPr="00C3080E">
        <w:t>addresses</w:t>
      </w:r>
      <w:r w:rsidR="00C64050">
        <w:rPr>
          <w:spacing w:val="9"/>
        </w:rPr>
        <w:t xml:space="preserve"> </w:t>
      </w:r>
      <w:r w:rsidRPr="00C3080E">
        <w:t>the</w:t>
      </w:r>
      <w:r w:rsidR="00C64050">
        <w:rPr>
          <w:spacing w:val="9"/>
        </w:rPr>
        <w:t xml:space="preserve"> </w:t>
      </w:r>
      <w:r w:rsidRPr="00C3080E">
        <w:t>doctrine</w:t>
      </w:r>
      <w:r w:rsidR="00C64050">
        <w:rPr>
          <w:spacing w:val="10"/>
        </w:rPr>
        <w:t xml:space="preserve"> </w:t>
      </w:r>
      <w:r w:rsidRPr="00C3080E">
        <w:rPr>
          <w:spacing w:val="-1"/>
        </w:rPr>
        <w:t>of</w:t>
      </w:r>
      <w:r w:rsidR="00C64050">
        <w:rPr>
          <w:spacing w:val="9"/>
        </w:rPr>
        <w:t xml:space="preserve"> </w:t>
      </w:r>
      <w:r w:rsidRPr="00C3080E">
        <w:rPr>
          <w:spacing w:val="-1"/>
        </w:rPr>
        <w:t>merger,</w:t>
      </w:r>
      <w:r w:rsidR="00C64050">
        <w:rPr>
          <w:spacing w:val="8"/>
        </w:rPr>
        <w:t xml:space="preserve"> </w:t>
      </w:r>
      <w:r w:rsidRPr="00C3080E">
        <w:t>which,</w:t>
      </w:r>
      <w:r w:rsidR="00C64050">
        <w:rPr>
          <w:spacing w:val="10"/>
        </w:rPr>
        <w:t xml:space="preserve"> </w:t>
      </w:r>
      <w:r w:rsidRPr="00C3080E">
        <w:rPr>
          <w:spacing w:val="-1"/>
        </w:rPr>
        <w:t>as</w:t>
      </w:r>
      <w:r w:rsidR="00C64050">
        <w:rPr>
          <w:spacing w:val="9"/>
        </w:rPr>
        <w:t xml:space="preserve"> </w:t>
      </w:r>
      <w:r w:rsidRPr="00C3080E">
        <w:t>traditionally</w:t>
      </w:r>
      <w:r w:rsidR="00C64050">
        <w:rPr>
          <w:spacing w:val="10"/>
        </w:rPr>
        <w:t xml:space="preserve"> </w:t>
      </w:r>
      <w:r w:rsidRPr="00C3080E">
        <w:rPr>
          <w:spacing w:val="-1"/>
        </w:rPr>
        <w:t>stated,</w:t>
      </w:r>
      <w:r w:rsidR="00C64050">
        <w:rPr>
          <w:spacing w:val="23"/>
          <w:w w:val="99"/>
        </w:rPr>
        <w:t xml:space="preserve"> </w:t>
      </w:r>
      <w:r w:rsidRPr="00C3080E">
        <w:t>provides</w:t>
      </w:r>
      <w:r w:rsidR="00C64050">
        <w:rPr>
          <w:spacing w:val="20"/>
        </w:rPr>
        <w:t xml:space="preserve"> </w:t>
      </w:r>
      <w:r w:rsidRPr="00C3080E">
        <w:t>that</w:t>
      </w:r>
      <w:r w:rsidR="00C64050">
        <w:rPr>
          <w:spacing w:val="21"/>
        </w:rPr>
        <w:t xml:space="preserve"> </w:t>
      </w:r>
      <w:r w:rsidRPr="00C3080E">
        <w:t>a</w:t>
      </w:r>
      <w:r w:rsidR="00C64050">
        <w:rPr>
          <w:spacing w:val="21"/>
        </w:rPr>
        <w:t xml:space="preserve"> </w:t>
      </w:r>
      <w:r w:rsidRPr="00C3080E">
        <w:t>trust</w:t>
      </w:r>
      <w:r w:rsidR="00C64050">
        <w:rPr>
          <w:spacing w:val="22"/>
        </w:rPr>
        <w:t xml:space="preserve"> </w:t>
      </w:r>
      <w:r w:rsidRPr="00C3080E">
        <w:rPr>
          <w:spacing w:val="-1"/>
        </w:rPr>
        <w:t>is</w:t>
      </w:r>
      <w:r w:rsidR="00C64050">
        <w:rPr>
          <w:spacing w:val="20"/>
        </w:rPr>
        <w:t xml:space="preserve"> </w:t>
      </w:r>
      <w:r w:rsidRPr="00C3080E">
        <w:t>not</w:t>
      </w:r>
      <w:r w:rsidR="00C64050">
        <w:rPr>
          <w:spacing w:val="24"/>
        </w:rPr>
        <w:t xml:space="preserve"> </w:t>
      </w:r>
      <w:r w:rsidRPr="00C3080E">
        <w:t>created</w:t>
      </w:r>
      <w:r w:rsidR="00C64050">
        <w:rPr>
          <w:spacing w:val="21"/>
        </w:rPr>
        <w:t xml:space="preserve"> </w:t>
      </w:r>
      <w:r w:rsidRPr="00C3080E">
        <w:t>if</w:t>
      </w:r>
      <w:r w:rsidR="00C64050">
        <w:rPr>
          <w:spacing w:val="21"/>
        </w:rPr>
        <w:t xml:space="preserve"> </w:t>
      </w:r>
      <w:r w:rsidRPr="00C3080E">
        <w:t>the</w:t>
      </w:r>
      <w:r w:rsidR="00C64050">
        <w:rPr>
          <w:spacing w:val="23"/>
        </w:rPr>
        <w:t xml:space="preserve"> </w:t>
      </w:r>
      <w:r w:rsidRPr="00C3080E">
        <w:rPr>
          <w:spacing w:val="-1"/>
        </w:rPr>
        <w:t>settlor</w:t>
      </w:r>
      <w:r w:rsidR="00C64050">
        <w:rPr>
          <w:spacing w:val="21"/>
        </w:rPr>
        <w:t xml:space="preserve"> </w:t>
      </w:r>
      <w:r w:rsidRPr="00C3080E">
        <w:t>is</w:t>
      </w:r>
      <w:r w:rsidR="00C64050">
        <w:rPr>
          <w:spacing w:val="21"/>
        </w:rPr>
        <w:t xml:space="preserve"> </w:t>
      </w:r>
      <w:r w:rsidRPr="00C3080E">
        <w:t>the</w:t>
      </w:r>
      <w:r w:rsidR="00C64050">
        <w:rPr>
          <w:spacing w:val="22"/>
        </w:rPr>
        <w:t xml:space="preserve"> </w:t>
      </w:r>
      <w:r w:rsidRPr="00C3080E">
        <w:t>sole</w:t>
      </w:r>
      <w:r w:rsidR="00C64050">
        <w:rPr>
          <w:spacing w:val="21"/>
        </w:rPr>
        <w:t xml:space="preserve"> </w:t>
      </w:r>
      <w:r w:rsidRPr="00C3080E">
        <w:t>trustee</w:t>
      </w:r>
      <w:r w:rsidR="00C64050">
        <w:rPr>
          <w:spacing w:val="21"/>
        </w:rPr>
        <w:t xml:space="preserve"> </w:t>
      </w:r>
      <w:r w:rsidRPr="00C3080E">
        <w:t>and</w:t>
      </w:r>
      <w:r w:rsidR="00C64050">
        <w:rPr>
          <w:spacing w:val="23"/>
        </w:rPr>
        <w:t xml:space="preserve"> </w:t>
      </w:r>
      <w:r w:rsidRPr="00C3080E">
        <w:t>sole</w:t>
      </w:r>
      <w:r w:rsidR="00C64050">
        <w:rPr>
          <w:spacing w:val="21"/>
        </w:rPr>
        <w:t xml:space="preserve"> </w:t>
      </w:r>
      <w:r w:rsidRPr="00C3080E">
        <w:t>beneficiary</w:t>
      </w:r>
      <w:r w:rsidR="00C64050">
        <w:rPr>
          <w:spacing w:val="21"/>
        </w:rPr>
        <w:t xml:space="preserve"> </w:t>
      </w:r>
      <w:r w:rsidRPr="00C3080E">
        <w:rPr>
          <w:spacing w:val="-1"/>
        </w:rPr>
        <w:t>of</w:t>
      </w:r>
      <w:r w:rsidR="00C64050">
        <w:rPr>
          <w:spacing w:val="21"/>
        </w:rPr>
        <w:t xml:space="preserve"> </w:t>
      </w:r>
      <w:r w:rsidRPr="00C3080E">
        <w:t>all</w:t>
      </w:r>
      <w:r w:rsidR="00C64050">
        <w:rPr>
          <w:spacing w:val="27"/>
          <w:w w:val="99"/>
        </w:rPr>
        <w:t xml:space="preserve"> </w:t>
      </w:r>
      <w:r w:rsidRPr="00C3080E">
        <w:t>beneficial</w:t>
      </w:r>
      <w:r w:rsidR="00C64050">
        <w:rPr>
          <w:spacing w:val="24"/>
        </w:rPr>
        <w:t xml:space="preserve"> </w:t>
      </w:r>
      <w:r w:rsidRPr="00C3080E">
        <w:t>interests.</w:t>
      </w:r>
      <w:r w:rsidR="00C64050">
        <w:rPr>
          <w:spacing w:val="24"/>
        </w:rPr>
        <w:t xml:space="preserve"> </w:t>
      </w:r>
      <w:r w:rsidRPr="00C3080E">
        <w:t>The</w:t>
      </w:r>
      <w:r w:rsidR="00C64050">
        <w:rPr>
          <w:spacing w:val="24"/>
        </w:rPr>
        <w:t xml:space="preserve"> </w:t>
      </w:r>
      <w:r w:rsidRPr="00C3080E">
        <w:t>doctrine</w:t>
      </w:r>
      <w:r w:rsidR="00C64050">
        <w:rPr>
          <w:spacing w:val="24"/>
        </w:rPr>
        <w:t xml:space="preserve"> </w:t>
      </w:r>
      <w:r w:rsidRPr="00C3080E">
        <w:rPr>
          <w:spacing w:val="-1"/>
        </w:rPr>
        <w:t>of</w:t>
      </w:r>
      <w:r w:rsidR="00C64050">
        <w:rPr>
          <w:spacing w:val="24"/>
        </w:rPr>
        <w:t xml:space="preserve"> </w:t>
      </w:r>
      <w:r w:rsidRPr="00C3080E">
        <w:t>merger</w:t>
      </w:r>
      <w:r w:rsidR="00C64050">
        <w:rPr>
          <w:spacing w:val="23"/>
        </w:rPr>
        <w:t xml:space="preserve"> </w:t>
      </w:r>
      <w:r w:rsidRPr="00C3080E">
        <w:t>has</w:t>
      </w:r>
      <w:r w:rsidR="00C64050">
        <w:rPr>
          <w:spacing w:val="24"/>
        </w:rPr>
        <w:t xml:space="preserve"> </w:t>
      </w:r>
      <w:r w:rsidRPr="00C3080E">
        <w:t>been</w:t>
      </w:r>
      <w:r w:rsidR="00C64050">
        <w:rPr>
          <w:spacing w:val="24"/>
        </w:rPr>
        <w:t xml:space="preserve"> </w:t>
      </w:r>
      <w:r w:rsidRPr="00C3080E">
        <w:t>inappropriately</w:t>
      </w:r>
      <w:r w:rsidR="00C64050">
        <w:rPr>
          <w:spacing w:val="26"/>
        </w:rPr>
        <w:t xml:space="preserve"> </w:t>
      </w:r>
      <w:r w:rsidRPr="00C3080E">
        <w:t>applied</w:t>
      </w:r>
      <w:r w:rsidR="00C64050">
        <w:rPr>
          <w:spacing w:val="24"/>
        </w:rPr>
        <w:t xml:space="preserve"> </w:t>
      </w:r>
      <w:r w:rsidRPr="00C3080E">
        <w:rPr>
          <w:spacing w:val="-1"/>
        </w:rPr>
        <w:t>by</w:t>
      </w:r>
      <w:r w:rsidR="00C64050">
        <w:rPr>
          <w:spacing w:val="23"/>
        </w:rPr>
        <w:t xml:space="preserve"> </w:t>
      </w:r>
      <w:r w:rsidRPr="00C3080E">
        <w:t>the</w:t>
      </w:r>
      <w:r w:rsidR="00C64050">
        <w:rPr>
          <w:spacing w:val="24"/>
        </w:rPr>
        <w:t xml:space="preserve"> </w:t>
      </w:r>
      <w:r w:rsidRPr="00C3080E">
        <w:rPr>
          <w:spacing w:val="-1"/>
        </w:rPr>
        <w:t>courts</w:t>
      </w:r>
      <w:r w:rsidR="00C64050">
        <w:rPr>
          <w:spacing w:val="24"/>
        </w:rPr>
        <w:t xml:space="preserve"> </w:t>
      </w:r>
      <w:r w:rsidRPr="00C3080E">
        <w:t>in</w:t>
      </w:r>
      <w:r w:rsidR="00C64050">
        <w:rPr>
          <w:spacing w:val="24"/>
          <w:w w:val="99"/>
        </w:rPr>
        <w:t xml:space="preserve"> </w:t>
      </w:r>
      <w:r w:rsidRPr="00C3080E">
        <w:t>some</w:t>
      </w:r>
      <w:r w:rsidR="00C64050">
        <w:rPr>
          <w:spacing w:val="36"/>
        </w:rPr>
        <w:t xml:space="preserve"> </w:t>
      </w:r>
      <w:r w:rsidRPr="00C3080E">
        <w:t>jurisdictions</w:t>
      </w:r>
      <w:r w:rsidR="00C64050">
        <w:rPr>
          <w:spacing w:val="37"/>
        </w:rPr>
        <w:t xml:space="preserve"> </w:t>
      </w:r>
      <w:r w:rsidRPr="00C3080E">
        <w:t>to</w:t>
      </w:r>
      <w:r w:rsidR="00C64050">
        <w:rPr>
          <w:spacing w:val="37"/>
        </w:rPr>
        <w:t xml:space="preserve"> </w:t>
      </w:r>
      <w:r w:rsidRPr="00C3080E">
        <w:t>invalidate</w:t>
      </w:r>
      <w:r w:rsidR="00C64050">
        <w:rPr>
          <w:spacing w:val="37"/>
        </w:rPr>
        <w:t xml:space="preserve"> </w:t>
      </w:r>
      <w:r w:rsidRPr="00C3080E">
        <w:rPr>
          <w:spacing w:val="-1"/>
        </w:rPr>
        <w:t>self-declarations</w:t>
      </w:r>
      <w:r w:rsidR="00C64050">
        <w:rPr>
          <w:spacing w:val="36"/>
        </w:rPr>
        <w:t xml:space="preserve"> </w:t>
      </w:r>
      <w:r w:rsidRPr="00C3080E">
        <w:t>of</w:t>
      </w:r>
      <w:r w:rsidR="00C64050">
        <w:rPr>
          <w:spacing w:val="38"/>
        </w:rPr>
        <w:t xml:space="preserve"> </w:t>
      </w:r>
      <w:r w:rsidRPr="00C3080E">
        <w:t>trust</w:t>
      </w:r>
      <w:r w:rsidR="00C64050">
        <w:rPr>
          <w:spacing w:val="37"/>
        </w:rPr>
        <w:t xml:space="preserve"> </w:t>
      </w:r>
      <w:r w:rsidRPr="00C3080E">
        <w:t>in</w:t>
      </w:r>
      <w:r w:rsidR="00C64050">
        <w:rPr>
          <w:spacing w:val="36"/>
        </w:rPr>
        <w:t xml:space="preserve"> </w:t>
      </w:r>
      <w:r w:rsidRPr="00C3080E">
        <w:t>which</w:t>
      </w:r>
      <w:r w:rsidR="00C64050">
        <w:rPr>
          <w:spacing w:val="37"/>
        </w:rPr>
        <w:t xml:space="preserve"> </w:t>
      </w:r>
      <w:r w:rsidRPr="00C3080E">
        <w:t>the</w:t>
      </w:r>
      <w:r w:rsidR="00C64050">
        <w:rPr>
          <w:spacing w:val="37"/>
        </w:rPr>
        <w:t xml:space="preserve"> </w:t>
      </w:r>
      <w:r w:rsidRPr="00C3080E">
        <w:t>settlor</w:t>
      </w:r>
      <w:r w:rsidR="00C64050">
        <w:rPr>
          <w:spacing w:val="37"/>
        </w:rPr>
        <w:t xml:space="preserve"> </w:t>
      </w:r>
      <w:r w:rsidRPr="00C3080E">
        <w:t>is</w:t>
      </w:r>
      <w:r w:rsidR="00C64050">
        <w:rPr>
          <w:spacing w:val="36"/>
        </w:rPr>
        <w:t xml:space="preserve"> </w:t>
      </w:r>
      <w:r w:rsidRPr="00C3080E">
        <w:t>the</w:t>
      </w:r>
      <w:r w:rsidR="00C64050">
        <w:rPr>
          <w:spacing w:val="39"/>
        </w:rPr>
        <w:t xml:space="preserve"> </w:t>
      </w:r>
      <w:r w:rsidRPr="00C3080E">
        <w:rPr>
          <w:spacing w:val="-1"/>
        </w:rPr>
        <w:t>sole</w:t>
      </w:r>
      <w:r w:rsidR="00C64050">
        <w:rPr>
          <w:spacing w:val="36"/>
        </w:rPr>
        <w:t xml:space="preserve"> </w:t>
      </w:r>
      <w:r w:rsidRPr="00C3080E">
        <w:t>life</w:t>
      </w:r>
      <w:r w:rsidR="00C64050">
        <w:rPr>
          <w:spacing w:val="35"/>
          <w:w w:val="99"/>
        </w:rPr>
        <w:t xml:space="preserve"> </w:t>
      </w:r>
      <w:r w:rsidRPr="00C3080E">
        <w:rPr>
          <w:spacing w:val="-1"/>
        </w:rPr>
        <w:t>beneficiary</w:t>
      </w:r>
      <w:r w:rsidR="00C64050">
        <w:rPr>
          <w:spacing w:val="11"/>
        </w:rPr>
        <w:t xml:space="preserve"> </w:t>
      </w:r>
      <w:r w:rsidRPr="00C3080E">
        <w:t>but</w:t>
      </w:r>
      <w:r w:rsidR="00C64050">
        <w:rPr>
          <w:spacing w:val="10"/>
        </w:rPr>
        <w:t xml:space="preserve"> </w:t>
      </w:r>
      <w:r w:rsidRPr="00C3080E">
        <w:t>other</w:t>
      </w:r>
      <w:r w:rsidR="00C64050">
        <w:rPr>
          <w:spacing w:val="10"/>
        </w:rPr>
        <w:t xml:space="preserve"> </w:t>
      </w:r>
      <w:r w:rsidRPr="00C3080E">
        <w:t>persons</w:t>
      </w:r>
      <w:r w:rsidR="00C64050">
        <w:rPr>
          <w:spacing w:val="10"/>
        </w:rPr>
        <w:t xml:space="preserve"> </w:t>
      </w:r>
      <w:r w:rsidRPr="00C3080E">
        <w:t>are</w:t>
      </w:r>
      <w:r w:rsidR="00C64050">
        <w:rPr>
          <w:spacing w:val="9"/>
        </w:rPr>
        <w:t xml:space="preserve"> </w:t>
      </w:r>
      <w:r w:rsidRPr="00C3080E">
        <w:t>designated</w:t>
      </w:r>
      <w:r w:rsidR="00C64050">
        <w:rPr>
          <w:spacing w:val="10"/>
        </w:rPr>
        <w:t xml:space="preserve"> </w:t>
      </w:r>
      <w:r w:rsidRPr="00C3080E">
        <w:t>as</w:t>
      </w:r>
      <w:r w:rsidR="00C64050">
        <w:rPr>
          <w:spacing w:val="10"/>
        </w:rPr>
        <w:t xml:space="preserve"> </w:t>
      </w:r>
      <w:r w:rsidRPr="00C3080E">
        <w:t>beneficiaries</w:t>
      </w:r>
      <w:r w:rsidR="00C64050">
        <w:rPr>
          <w:spacing w:val="10"/>
        </w:rPr>
        <w:t xml:space="preserve"> </w:t>
      </w:r>
      <w:r w:rsidRPr="00C3080E">
        <w:t>of</w:t>
      </w:r>
      <w:r w:rsidR="00C64050">
        <w:rPr>
          <w:spacing w:val="11"/>
        </w:rPr>
        <w:t xml:space="preserve"> </w:t>
      </w:r>
      <w:r w:rsidRPr="00C3080E">
        <w:t>the</w:t>
      </w:r>
      <w:r w:rsidR="00C64050">
        <w:rPr>
          <w:spacing w:val="10"/>
        </w:rPr>
        <w:t xml:space="preserve"> </w:t>
      </w:r>
      <w:r w:rsidRPr="00C3080E">
        <w:t>remainder.</w:t>
      </w:r>
      <w:r w:rsidR="00C64050">
        <w:rPr>
          <w:spacing w:val="12"/>
        </w:rPr>
        <w:t xml:space="preserve"> </w:t>
      </w:r>
      <w:r w:rsidRPr="00C3080E">
        <w:t>The</w:t>
      </w:r>
      <w:r w:rsidR="00C64050">
        <w:rPr>
          <w:spacing w:val="10"/>
        </w:rPr>
        <w:t xml:space="preserve"> </w:t>
      </w:r>
      <w:r w:rsidRPr="00C3080E">
        <w:t>doctrine</w:t>
      </w:r>
      <w:r w:rsidR="00C64050">
        <w:rPr>
          <w:spacing w:val="10"/>
        </w:rPr>
        <w:t xml:space="preserve"> </w:t>
      </w:r>
      <w:r w:rsidRPr="00C3080E">
        <w:rPr>
          <w:spacing w:val="1"/>
        </w:rPr>
        <w:t>of</w:t>
      </w:r>
      <w:r w:rsidR="00C64050">
        <w:rPr>
          <w:spacing w:val="29"/>
          <w:w w:val="99"/>
        </w:rPr>
        <w:t xml:space="preserve"> </w:t>
      </w:r>
      <w:r w:rsidRPr="00C3080E">
        <w:t>merger</w:t>
      </w:r>
      <w:r w:rsidR="00C64050">
        <w:rPr>
          <w:spacing w:val="16"/>
        </w:rPr>
        <w:t xml:space="preserve"> </w:t>
      </w:r>
      <w:r w:rsidRPr="00C3080E">
        <w:rPr>
          <w:spacing w:val="-1"/>
        </w:rPr>
        <w:t>is</w:t>
      </w:r>
      <w:r w:rsidR="00C64050">
        <w:rPr>
          <w:spacing w:val="16"/>
        </w:rPr>
        <w:t xml:space="preserve"> </w:t>
      </w:r>
      <w:r w:rsidRPr="00C3080E">
        <w:t>properly</w:t>
      </w:r>
      <w:r w:rsidR="00C64050">
        <w:rPr>
          <w:spacing w:val="17"/>
        </w:rPr>
        <w:t xml:space="preserve"> </w:t>
      </w:r>
      <w:r w:rsidRPr="00C3080E">
        <w:t>applicable</w:t>
      </w:r>
      <w:r w:rsidR="00C64050">
        <w:rPr>
          <w:spacing w:val="17"/>
        </w:rPr>
        <w:t xml:space="preserve"> </w:t>
      </w:r>
      <w:r w:rsidRPr="00C3080E">
        <w:t>only</w:t>
      </w:r>
      <w:r w:rsidR="00C64050">
        <w:rPr>
          <w:spacing w:val="17"/>
        </w:rPr>
        <w:t xml:space="preserve"> </w:t>
      </w:r>
      <w:r w:rsidRPr="00C3080E">
        <w:rPr>
          <w:spacing w:val="-1"/>
        </w:rPr>
        <w:t>if</w:t>
      </w:r>
      <w:r w:rsidR="00C64050">
        <w:rPr>
          <w:spacing w:val="16"/>
        </w:rPr>
        <w:t xml:space="preserve"> </w:t>
      </w:r>
      <w:r w:rsidRPr="00C3080E">
        <w:t>all</w:t>
      </w:r>
      <w:r w:rsidR="00C64050">
        <w:rPr>
          <w:spacing w:val="17"/>
        </w:rPr>
        <w:t xml:space="preserve"> </w:t>
      </w:r>
      <w:r w:rsidRPr="00C3080E">
        <w:t>beneficial</w:t>
      </w:r>
      <w:r w:rsidR="00C64050">
        <w:rPr>
          <w:spacing w:val="17"/>
        </w:rPr>
        <w:t xml:space="preserve"> </w:t>
      </w:r>
      <w:r w:rsidRPr="00C3080E">
        <w:t>interests,</w:t>
      </w:r>
      <w:r w:rsidR="00C64050">
        <w:rPr>
          <w:spacing w:val="17"/>
        </w:rPr>
        <w:t xml:space="preserve"> </w:t>
      </w:r>
      <w:r w:rsidRPr="00C3080E">
        <w:t>both</w:t>
      </w:r>
      <w:r w:rsidR="00C64050">
        <w:rPr>
          <w:spacing w:val="17"/>
        </w:rPr>
        <w:t xml:space="preserve"> </w:t>
      </w:r>
      <w:r w:rsidRPr="00C3080E">
        <w:rPr>
          <w:spacing w:val="-1"/>
        </w:rPr>
        <w:t>life</w:t>
      </w:r>
      <w:r w:rsidR="00C64050">
        <w:rPr>
          <w:spacing w:val="16"/>
        </w:rPr>
        <w:t xml:space="preserve"> </w:t>
      </w:r>
      <w:r w:rsidRPr="00C3080E">
        <w:t>interests</w:t>
      </w:r>
      <w:r w:rsidR="00C64050">
        <w:rPr>
          <w:spacing w:val="17"/>
        </w:rPr>
        <w:t xml:space="preserve"> </w:t>
      </w:r>
      <w:r w:rsidRPr="00C3080E">
        <w:t>and</w:t>
      </w:r>
      <w:r w:rsidR="00C64050">
        <w:rPr>
          <w:spacing w:val="17"/>
        </w:rPr>
        <w:t xml:space="preserve"> </w:t>
      </w:r>
      <w:r w:rsidRPr="00C3080E">
        <w:t>remainders,</w:t>
      </w:r>
      <w:r w:rsidR="00C64050">
        <w:rPr>
          <w:spacing w:val="23"/>
          <w:w w:val="99"/>
        </w:rPr>
        <w:t xml:space="preserve"> </w:t>
      </w:r>
      <w:r w:rsidRPr="00C3080E">
        <w:t>are</w:t>
      </w:r>
      <w:r w:rsidR="00C64050">
        <w:rPr>
          <w:spacing w:val="3"/>
        </w:rPr>
        <w:t xml:space="preserve"> </w:t>
      </w:r>
      <w:r w:rsidRPr="00C3080E">
        <w:t>vested</w:t>
      </w:r>
      <w:r w:rsidR="00C64050">
        <w:rPr>
          <w:spacing w:val="4"/>
        </w:rPr>
        <w:t xml:space="preserve"> </w:t>
      </w:r>
      <w:r w:rsidRPr="00C3080E">
        <w:t>in</w:t>
      </w:r>
      <w:r w:rsidR="00C64050">
        <w:rPr>
          <w:spacing w:val="4"/>
        </w:rPr>
        <w:t xml:space="preserve"> </w:t>
      </w:r>
      <w:r w:rsidRPr="00C3080E">
        <w:t>the</w:t>
      </w:r>
      <w:r w:rsidR="00C64050">
        <w:rPr>
          <w:spacing w:val="4"/>
        </w:rPr>
        <w:t xml:space="preserve"> </w:t>
      </w:r>
      <w:r w:rsidRPr="00C3080E">
        <w:t>same</w:t>
      </w:r>
      <w:r w:rsidR="00C64050">
        <w:rPr>
          <w:spacing w:val="5"/>
        </w:rPr>
        <w:t xml:space="preserve"> </w:t>
      </w:r>
      <w:r w:rsidRPr="00C3080E">
        <w:t>person,</w:t>
      </w:r>
      <w:r w:rsidR="00C64050">
        <w:rPr>
          <w:spacing w:val="4"/>
        </w:rPr>
        <w:t xml:space="preserve"> </w:t>
      </w:r>
      <w:r w:rsidRPr="00C3080E">
        <w:t>whether</w:t>
      </w:r>
      <w:r w:rsidR="00C64050">
        <w:rPr>
          <w:spacing w:val="4"/>
        </w:rPr>
        <w:t xml:space="preserve"> </w:t>
      </w:r>
      <w:r w:rsidRPr="00C3080E">
        <w:t>in</w:t>
      </w:r>
      <w:r w:rsidR="00C64050">
        <w:rPr>
          <w:spacing w:val="5"/>
        </w:rPr>
        <w:t xml:space="preserve"> </w:t>
      </w:r>
      <w:r w:rsidRPr="00C3080E">
        <w:t>the</w:t>
      </w:r>
      <w:r w:rsidR="00C64050">
        <w:rPr>
          <w:spacing w:val="7"/>
        </w:rPr>
        <w:t xml:space="preserve"> </w:t>
      </w:r>
      <w:r w:rsidRPr="00C3080E">
        <w:t>settlor</w:t>
      </w:r>
      <w:r w:rsidR="00C64050">
        <w:rPr>
          <w:spacing w:val="3"/>
        </w:rPr>
        <w:t xml:space="preserve"> </w:t>
      </w:r>
      <w:r w:rsidRPr="00C3080E">
        <w:t>or</w:t>
      </w:r>
      <w:r w:rsidR="00C64050">
        <w:rPr>
          <w:spacing w:val="4"/>
        </w:rPr>
        <w:t xml:space="preserve"> </w:t>
      </w:r>
      <w:r w:rsidRPr="00C3080E">
        <w:t>someone</w:t>
      </w:r>
      <w:r w:rsidR="00C64050">
        <w:rPr>
          <w:spacing w:val="4"/>
        </w:rPr>
        <w:t xml:space="preserve"> </w:t>
      </w:r>
      <w:r w:rsidRPr="00C3080E">
        <w:rPr>
          <w:spacing w:val="-1"/>
        </w:rPr>
        <w:t>else.</w:t>
      </w:r>
      <w:r w:rsidR="00C64050">
        <w:rPr>
          <w:spacing w:val="4"/>
        </w:rPr>
        <w:t xml:space="preserve"> </w:t>
      </w:r>
      <w:r w:rsidRPr="00C3080E">
        <w:t>An</w:t>
      </w:r>
      <w:r w:rsidR="00C64050">
        <w:rPr>
          <w:spacing w:val="5"/>
        </w:rPr>
        <w:t xml:space="preserve"> </w:t>
      </w:r>
      <w:r w:rsidRPr="00C3080E">
        <w:t>example</w:t>
      </w:r>
      <w:r w:rsidR="00C64050">
        <w:rPr>
          <w:spacing w:val="4"/>
        </w:rPr>
        <w:t xml:space="preserve"> </w:t>
      </w:r>
      <w:r w:rsidRPr="00C3080E">
        <w:rPr>
          <w:spacing w:val="-1"/>
        </w:rPr>
        <w:t>of</w:t>
      </w:r>
      <w:r w:rsidR="00C64050">
        <w:rPr>
          <w:spacing w:val="6"/>
        </w:rPr>
        <w:t xml:space="preserve"> </w:t>
      </w:r>
      <w:r w:rsidRPr="00C3080E">
        <w:t>a</w:t>
      </w:r>
      <w:r w:rsidR="00C64050">
        <w:rPr>
          <w:spacing w:val="4"/>
        </w:rPr>
        <w:t xml:space="preserve"> </w:t>
      </w:r>
      <w:r w:rsidRPr="00C3080E">
        <w:t>trust</w:t>
      </w:r>
      <w:r w:rsidR="00C64050">
        <w:rPr>
          <w:spacing w:val="4"/>
        </w:rPr>
        <w:t xml:space="preserve"> </w:t>
      </w:r>
      <w:r w:rsidRPr="00C3080E">
        <w:rPr>
          <w:spacing w:val="1"/>
        </w:rPr>
        <w:t>to</w:t>
      </w:r>
      <w:r w:rsidR="00C64050">
        <w:rPr>
          <w:spacing w:val="28"/>
          <w:w w:val="99"/>
        </w:rPr>
        <w:t xml:space="preserve"> </w:t>
      </w:r>
      <w:r w:rsidRPr="00C3080E">
        <w:t>which</w:t>
      </w:r>
      <w:r w:rsidR="00C64050">
        <w:rPr>
          <w:spacing w:val="27"/>
        </w:rPr>
        <w:t xml:space="preserve"> </w:t>
      </w:r>
      <w:r w:rsidRPr="00C3080E">
        <w:t>the</w:t>
      </w:r>
      <w:r w:rsidR="00C64050">
        <w:rPr>
          <w:spacing w:val="28"/>
        </w:rPr>
        <w:t xml:space="preserve"> </w:t>
      </w:r>
      <w:r w:rsidRPr="00C3080E">
        <w:t>doctrine</w:t>
      </w:r>
      <w:r w:rsidR="00C64050">
        <w:rPr>
          <w:spacing w:val="27"/>
        </w:rPr>
        <w:t xml:space="preserve"> </w:t>
      </w:r>
      <w:r w:rsidRPr="00C3080E">
        <w:rPr>
          <w:spacing w:val="-1"/>
        </w:rPr>
        <w:t>of</w:t>
      </w:r>
      <w:r w:rsidR="00C64050">
        <w:rPr>
          <w:spacing w:val="28"/>
        </w:rPr>
        <w:t xml:space="preserve"> </w:t>
      </w:r>
      <w:r w:rsidRPr="00C3080E">
        <w:t>merger</w:t>
      </w:r>
      <w:r w:rsidR="00C64050">
        <w:rPr>
          <w:spacing w:val="27"/>
        </w:rPr>
        <w:t xml:space="preserve"> </w:t>
      </w:r>
      <w:r w:rsidRPr="00C3080E">
        <w:t>would</w:t>
      </w:r>
      <w:r w:rsidR="00C64050">
        <w:rPr>
          <w:spacing w:val="29"/>
        </w:rPr>
        <w:t xml:space="preserve"> </w:t>
      </w:r>
      <w:r w:rsidRPr="00C3080E">
        <w:t>apply</w:t>
      </w:r>
      <w:r w:rsidR="00C64050">
        <w:rPr>
          <w:spacing w:val="28"/>
        </w:rPr>
        <w:t xml:space="preserve"> </w:t>
      </w:r>
      <w:r w:rsidRPr="00C3080E">
        <w:rPr>
          <w:spacing w:val="-1"/>
        </w:rPr>
        <w:t>is</w:t>
      </w:r>
      <w:r w:rsidR="00C64050">
        <w:rPr>
          <w:spacing w:val="27"/>
        </w:rPr>
        <w:t xml:space="preserve"> </w:t>
      </w:r>
      <w:r w:rsidRPr="00C3080E">
        <w:t>a</w:t>
      </w:r>
      <w:r w:rsidR="00C64050">
        <w:rPr>
          <w:spacing w:val="28"/>
        </w:rPr>
        <w:t xml:space="preserve"> </w:t>
      </w:r>
      <w:r w:rsidRPr="00C3080E">
        <w:t>trust</w:t>
      </w:r>
      <w:r w:rsidR="00C64050">
        <w:rPr>
          <w:spacing w:val="28"/>
        </w:rPr>
        <w:t xml:space="preserve"> </w:t>
      </w:r>
      <w:r w:rsidRPr="00C3080E">
        <w:rPr>
          <w:spacing w:val="-1"/>
        </w:rPr>
        <w:t>of</w:t>
      </w:r>
      <w:r w:rsidR="00C64050">
        <w:rPr>
          <w:spacing w:val="24"/>
        </w:rPr>
        <w:t xml:space="preserve"> </w:t>
      </w:r>
      <w:r w:rsidRPr="00C3080E">
        <w:t>which</w:t>
      </w:r>
      <w:r w:rsidR="00C64050">
        <w:rPr>
          <w:spacing w:val="28"/>
        </w:rPr>
        <w:t xml:space="preserve"> </w:t>
      </w:r>
      <w:r w:rsidRPr="00C3080E">
        <w:t>the</w:t>
      </w:r>
      <w:r w:rsidR="00C64050">
        <w:rPr>
          <w:spacing w:val="27"/>
        </w:rPr>
        <w:t xml:space="preserve"> </w:t>
      </w:r>
      <w:r w:rsidRPr="00C3080E">
        <w:t>settlor</w:t>
      </w:r>
      <w:r w:rsidR="00C64050">
        <w:rPr>
          <w:spacing w:val="28"/>
        </w:rPr>
        <w:t xml:space="preserve"> </w:t>
      </w:r>
      <w:r w:rsidRPr="00C3080E">
        <w:t>is</w:t>
      </w:r>
      <w:r w:rsidR="00C64050">
        <w:rPr>
          <w:spacing w:val="28"/>
        </w:rPr>
        <w:t xml:space="preserve"> </w:t>
      </w:r>
      <w:r w:rsidRPr="00C3080E">
        <w:t>sole</w:t>
      </w:r>
      <w:r w:rsidR="00C64050">
        <w:rPr>
          <w:spacing w:val="28"/>
        </w:rPr>
        <w:t xml:space="preserve"> </w:t>
      </w:r>
      <w:r w:rsidRPr="00C3080E">
        <w:t>trustee,</w:t>
      </w:r>
      <w:r w:rsidR="00C64050">
        <w:rPr>
          <w:spacing w:val="27"/>
        </w:rPr>
        <w:t xml:space="preserve"> </w:t>
      </w:r>
      <w:r w:rsidRPr="00C3080E">
        <w:t>sole</w:t>
      </w:r>
      <w:r w:rsidR="00C64050">
        <w:rPr>
          <w:spacing w:val="23"/>
          <w:w w:val="99"/>
        </w:rPr>
        <w:t xml:space="preserve"> </w:t>
      </w:r>
      <w:r w:rsidRPr="00C3080E">
        <w:t>beneficiary</w:t>
      </w:r>
      <w:r w:rsidR="00C64050">
        <w:rPr>
          <w:spacing w:val="-6"/>
        </w:rPr>
        <w:t xml:space="preserve"> </w:t>
      </w:r>
      <w:r w:rsidRPr="00C3080E">
        <w:t>for</w:t>
      </w:r>
      <w:r w:rsidR="00C64050">
        <w:rPr>
          <w:spacing w:val="-5"/>
        </w:rPr>
        <w:t xml:space="preserve"> </w:t>
      </w:r>
      <w:r w:rsidRPr="00C3080E">
        <w:t>life,</w:t>
      </w:r>
      <w:r w:rsidR="00C64050">
        <w:rPr>
          <w:spacing w:val="-5"/>
        </w:rPr>
        <w:t xml:space="preserve"> </w:t>
      </w:r>
      <w:r w:rsidRPr="00C3080E">
        <w:t>and</w:t>
      </w:r>
      <w:r w:rsidR="00C64050">
        <w:rPr>
          <w:spacing w:val="-5"/>
        </w:rPr>
        <w:t xml:space="preserve"> </w:t>
      </w:r>
      <w:r w:rsidRPr="00C3080E">
        <w:t>with</w:t>
      </w:r>
      <w:r w:rsidR="00C64050">
        <w:rPr>
          <w:spacing w:val="-5"/>
        </w:rPr>
        <w:t xml:space="preserve"> </w:t>
      </w:r>
      <w:r w:rsidRPr="00C3080E">
        <w:t>the</w:t>
      </w:r>
      <w:r w:rsidR="00C64050">
        <w:rPr>
          <w:spacing w:val="-5"/>
        </w:rPr>
        <w:t xml:space="preserve"> </w:t>
      </w:r>
      <w:r w:rsidRPr="00C3080E">
        <w:t>remainder</w:t>
      </w:r>
      <w:r w:rsidR="00C64050">
        <w:rPr>
          <w:spacing w:val="-6"/>
        </w:rPr>
        <w:t xml:space="preserve"> </w:t>
      </w:r>
      <w:r w:rsidRPr="00C3080E">
        <w:t>payable</w:t>
      </w:r>
      <w:r w:rsidR="00C64050">
        <w:rPr>
          <w:spacing w:val="-5"/>
        </w:rPr>
        <w:t xml:space="preserve"> </w:t>
      </w:r>
      <w:r w:rsidRPr="00C3080E">
        <w:t>to</w:t>
      </w:r>
      <w:r w:rsidR="00C64050">
        <w:rPr>
          <w:spacing w:val="-5"/>
        </w:rPr>
        <w:t xml:space="preserve"> </w:t>
      </w:r>
      <w:r w:rsidRPr="00C3080E">
        <w:t>the</w:t>
      </w:r>
      <w:r w:rsidR="00C64050">
        <w:rPr>
          <w:spacing w:val="-5"/>
        </w:rPr>
        <w:t xml:space="preserve"> </w:t>
      </w:r>
      <w:r w:rsidRPr="00C3080E">
        <w:t>settlor’s</w:t>
      </w:r>
      <w:r w:rsidR="00C64050">
        <w:rPr>
          <w:spacing w:val="-5"/>
        </w:rPr>
        <w:t xml:space="preserve"> </w:t>
      </w:r>
      <w:r w:rsidRPr="00C3080E">
        <w:t>probate</w:t>
      </w:r>
      <w:r w:rsidR="00C64050">
        <w:rPr>
          <w:spacing w:val="-5"/>
        </w:rPr>
        <w:t xml:space="preserve"> </w:t>
      </w:r>
      <w:r w:rsidRPr="00C3080E">
        <w:t>estate.</w:t>
      </w:r>
    </w:p>
    <w:p w:rsidR="007657B2" w:rsidRPr="000F5D3F" w:rsidRDefault="007657B2" w:rsidP="000F5D3F">
      <w:pPr>
        <w:pStyle w:val="Body15"/>
        <w:rPr>
          <w:lang w:eastAsia="en-GB"/>
        </w:rPr>
      </w:pPr>
      <w:r w:rsidRPr="000F5D3F">
        <w:rPr>
          <w:lang w:eastAsia="en-GB"/>
        </w:rPr>
        <w:t>The</w:t>
      </w:r>
      <w:r w:rsidR="00C64050">
        <w:rPr>
          <w:lang w:eastAsia="en-GB"/>
        </w:rPr>
        <w:t xml:space="preserve"> </w:t>
      </w:r>
      <w:r w:rsidRPr="000F5D3F">
        <w:rPr>
          <w:lang w:eastAsia="en-GB"/>
        </w:rPr>
        <w:t>Restatement</w:t>
      </w:r>
      <w:r w:rsidR="00C64050">
        <w:rPr>
          <w:lang w:eastAsia="en-GB"/>
        </w:rPr>
        <w:t xml:space="preserve"> </w:t>
      </w:r>
      <w:r w:rsidRPr="000F5D3F">
        <w:rPr>
          <w:lang w:eastAsia="en-GB"/>
        </w:rPr>
        <w:t>(Third)</w:t>
      </w:r>
      <w:r w:rsidR="00C64050">
        <w:rPr>
          <w:lang w:eastAsia="en-GB"/>
        </w:rPr>
        <w:t xml:space="preserve"> </w:t>
      </w:r>
      <w:r w:rsidRPr="000F5D3F">
        <w:rPr>
          <w:lang w:eastAsia="en-GB"/>
        </w:rPr>
        <w:t>of</w:t>
      </w:r>
      <w:r w:rsidR="00C64050">
        <w:rPr>
          <w:lang w:eastAsia="en-GB"/>
        </w:rPr>
        <w:t xml:space="preserve"> </w:t>
      </w:r>
      <w:r w:rsidRPr="000F5D3F">
        <w:rPr>
          <w:lang w:eastAsia="en-GB"/>
        </w:rPr>
        <w:t>Trusts</w:t>
      </w:r>
      <w:r w:rsidR="00C64050">
        <w:rPr>
          <w:lang w:eastAsia="en-GB"/>
        </w:rPr>
        <w:t xml:space="preserve"> </w:t>
      </w:r>
      <w:r w:rsidRPr="000F5D3F">
        <w:rPr>
          <w:lang w:eastAsia="en-GB"/>
        </w:rPr>
        <w:t>§</w:t>
      </w:r>
      <w:r w:rsidR="00C64050">
        <w:rPr>
          <w:lang w:eastAsia="en-GB"/>
        </w:rPr>
        <w:t xml:space="preserve"> </w:t>
      </w:r>
      <w:r w:rsidRPr="000F5D3F">
        <w:rPr>
          <w:lang w:eastAsia="en-GB"/>
        </w:rPr>
        <w:t>69,</w:t>
      </w:r>
      <w:r w:rsidR="00C64050">
        <w:rPr>
          <w:lang w:eastAsia="en-GB"/>
        </w:rPr>
        <w:t xml:space="preserve"> </w:t>
      </w:r>
      <w:r w:rsidRPr="000F5D3F">
        <w:rPr>
          <w:lang w:eastAsia="en-GB"/>
        </w:rPr>
        <w:t>Comment</w:t>
      </w:r>
      <w:r w:rsidR="00C64050">
        <w:rPr>
          <w:lang w:eastAsia="en-GB"/>
        </w:rPr>
        <w:t xml:space="preserve"> </w:t>
      </w:r>
      <w:r w:rsidRPr="000F5D3F">
        <w:rPr>
          <w:lang w:eastAsia="en-GB"/>
        </w:rPr>
        <w:t>b,</w:t>
      </w:r>
      <w:r w:rsidR="00C64050">
        <w:rPr>
          <w:lang w:eastAsia="en-GB"/>
        </w:rPr>
        <w:t xml:space="preserve"> </w:t>
      </w:r>
      <w:r w:rsidRPr="000F5D3F">
        <w:rPr>
          <w:lang w:eastAsia="en-GB"/>
        </w:rPr>
        <w:t>states</w:t>
      </w:r>
      <w:r w:rsidR="00C64050">
        <w:rPr>
          <w:lang w:eastAsia="en-GB"/>
        </w:rPr>
        <w:t xml:space="preserve"> </w:t>
      </w:r>
      <w:r w:rsidRPr="000F5D3F">
        <w:rPr>
          <w:lang w:eastAsia="en-GB"/>
        </w:rPr>
        <w:t>that</w:t>
      </w:r>
      <w:r w:rsidR="00C64050">
        <w:rPr>
          <w:lang w:eastAsia="en-GB"/>
        </w:rPr>
        <w:t xml:space="preserve"> </w:t>
      </w:r>
      <w:r w:rsidRPr="000F5D3F">
        <w:rPr>
          <w:lang w:eastAsia="en-GB"/>
        </w:rPr>
        <w:t>“[i]f,</w:t>
      </w:r>
      <w:r w:rsidR="00C64050">
        <w:rPr>
          <w:lang w:eastAsia="en-GB"/>
        </w:rPr>
        <w:t xml:space="preserve"> </w:t>
      </w:r>
      <w:r w:rsidRPr="000F5D3F">
        <w:rPr>
          <w:lang w:eastAsia="en-GB"/>
        </w:rPr>
        <w:t>by</w:t>
      </w:r>
      <w:r w:rsidR="00C64050">
        <w:rPr>
          <w:lang w:eastAsia="en-GB"/>
        </w:rPr>
        <w:t xml:space="preserve"> </w:t>
      </w:r>
      <w:r w:rsidRPr="000F5D3F">
        <w:rPr>
          <w:lang w:eastAsia="en-GB"/>
        </w:rPr>
        <w:t>operation</w:t>
      </w:r>
      <w:r w:rsidR="00C64050">
        <w:rPr>
          <w:lang w:eastAsia="en-GB"/>
        </w:rPr>
        <w:t xml:space="preserve"> </w:t>
      </w:r>
      <w:r w:rsidRPr="000F5D3F">
        <w:rPr>
          <w:lang w:eastAsia="en-GB"/>
        </w:rPr>
        <w:t>of</w:t>
      </w:r>
      <w:r w:rsidR="00C64050">
        <w:rPr>
          <w:lang w:eastAsia="en-GB"/>
        </w:rPr>
        <w:t xml:space="preserve"> </w:t>
      </w:r>
      <w:r w:rsidRPr="000F5D3F">
        <w:rPr>
          <w:lang w:eastAsia="en-GB"/>
        </w:rPr>
        <w:t>law,</w:t>
      </w:r>
      <w:r w:rsidR="00C64050">
        <w:rPr>
          <w:lang w:eastAsia="en-GB"/>
        </w:rPr>
        <w:t xml:space="preserve"> </w:t>
      </w:r>
      <w:r w:rsidRPr="000F5D3F">
        <w:rPr>
          <w:lang w:eastAsia="en-GB"/>
        </w:rPr>
        <w:t>the</w:t>
      </w:r>
      <w:r w:rsidR="00C64050">
        <w:rPr>
          <w:lang w:eastAsia="en-GB"/>
        </w:rPr>
        <w:t xml:space="preserve"> </w:t>
      </w:r>
      <w:r w:rsidRPr="000F5D3F">
        <w:rPr>
          <w:lang w:eastAsia="en-GB"/>
        </w:rPr>
        <w:t>legal</w:t>
      </w:r>
      <w:r w:rsidR="00C64050">
        <w:rPr>
          <w:lang w:eastAsia="en-GB"/>
        </w:rPr>
        <w:t xml:space="preserve"> </w:t>
      </w:r>
      <w:r w:rsidRPr="000F5D3F">
        <w:rPr>
          <w:lang w:eastAsia="en-GB"/>
        </w:rPr>
        <w:t>title</w:t>
      </w:r>
      <w:r w:rsidR="00C64050">
        <w:rPr>
          <w:lang w:eastAsia="en-GB"/>
        </w:rPr>
        <w:t xml:space="preserve"> </w:t>
      </w:r>
      <w:r w:rsidRPr="000F5D3F">
        <w:rPr>
          <w:lang w:eastAsia="en-GB"/>
        </w:rPr>
        <w:t>to</w:t>
      </w:r>
      <w:r w:rsidR="00C64050">
        <w:rPr>
          <w:lang w:eastAsia="en-GB"/>
        </w:rPr>
        <w:t xml:space="preserve"> </w:t>
      </w:r>
      <w:r w:rsidRPr="000F5D3F">
        <w:rPr>
          <w:lang w:eastAsia="en-GB"/>
        </w:rPr>
        <w:t>the</w:t>
      </w:r>
      <w:r w:rsidR="00C64050">
        <w:rPr>
          <w:lang w:eastAsia="en-GB"/>
        </w:rPr>
        <w:t xml:space="preserve"> </w:t>
      </w:r>
      <w:r w:rsidRPr="000F5D3F">
        <w:rPr>
          <w:lang w:eastAsia="en-GB"/>
        </w:rPr>
        <w:t>trust</w:t>
      </w:r>
      <w:r w:rsidR="00C64050">
        <w:rPr>
          <w:lang w:eastAsia="en-GB"/>
        </w:rPr>
        <w:t xml:space="preserve"> </w:t>
      </w:r>
      <w:r w:rsidRPr="000F5D3F">
        <w:rPr>
          <w:lang w:eastAsia="en-GB"/>
        </w:rPr>
        <w:t>property</w:t>
      </w:r>
      <w:r w:rsidR="00C64050">
        <w:rPr>
          <w:lang w:eastAsia="en-GB"/>
        </w:rPr>
        <w:t xml:space="preserve"> </w:t>
      </w:r>
      <w:r w:rsidRPr="000F5D3F">
        <w:rPr>
          <w:lang w:eastAsia="en-GB"/>
        </w:rPr>
        <w:t>passes</w:t>
      </w:r>
      <w:r w:rsidR="00C64050">
        <w:rPr>
          <w:lang w:eastAsia="en-GB"/>
        </w:rPr>
        <w:t xml:space="preserve"> </w:t>
      </w:r>
      <w:r w:rsidRPr="000F5D3F">
        <w:rPr>
          <w:lang w:eastAsia="en-GB"/>
        </w:rPr>
        <w:t>to</w:t>
      </w:r>
      <w:r w:rsidR="00C64050">
        <w:rPr>
          <w:lang w:eastAsia="en-GB"/>
        </w:rPr>
        <w:t xml:space="preserve"> </w:t>
      </w:r>
      <w:r w:rsidRPr="000F5D3F">
        <w:rPr>
          <w:lang w:eastAsia="en-GB"/>
        </w:rPr>
        <w:t>the</w:t>
      </w:r>
      <w:r w:rsidR="00C64050">
        <w:rPr>
          <w:lang w:eastAsia="en-GB"/>
        </w:rPr>
        <w:t xml:space="preserve"> </w:t>
      </w:r>
      <w:r w:rsidRPr="000F5D3F">
        <w:rPr>
          <w:lang w:eastAsia="en-GB"/>
        </w:rPr>
        <w:t>beneficiary</w:t>
      </w:r>
      <w:r w:rsidR="00C64050">
        <w:rPr>
          <w:lang w:eastAsia="en-GB"/>
        </w:rPr>
        <w:t xml:space="preserve"> </w:t>
      </w:r>
      <w:r w:rsidRPr="000F5D3F">
        <w:rPr>
          <w:lang w:eastAsia="en-GB"/>
        </w:rPr>
        <w:t>who</w:t>
      </w:r>
      <w:r w:rsidR="00C64050">
        <w:rPr>
          <w:lang w:eastAsia="en-GB"/>
        </w:rPr>
        <w:t xml:space="preserve"> </w:t>
      </w:r>
      <w:r w:rsidRPr="000F5D3F">
        <w:rPr>
          <w:lang w:eastAsia="en-GB"/>
        </w:rPr>
        <w:t>has</w:t>
      </w:r>
      <w:r w:rsidR="00C64050">
        <w:rPr>
          <w:lang w:eastAsia="en-GB"/>
        </w:rPr>
        <w:t xml:space="preserve"> </w:t>
      </w:r>
      <w:r w:rsidRPr="000F5D3F">
        <w:rPr>
          <w:lang w:eastAsia="en-GB"/>
        </w:rPr>
        <w:t>the</w:t>
      </w:r>
      <w:r w:rsidR="00C64050">
        <w:rPr>
          <w:lang w:eastAsia="en-GB"/>
        </w:rPr>
        <w:t xml:space="preserve"> </w:t>
      </w:r>
      <w:r w:rsidRPr="000F5D3F">
        <w:rPr>
          <w:lang w:eastAsia="en-GB"/>
        </w:rPr>
        <w:t>entire</w:t>
      </w:r>
      <w:r w:rsidR="00C64050">
        <w:rPr>
          <w:lang w:eastAsia="en-GB"/>
        </w:rPr>
        <w:t xml:space="preserve"> </w:t>
      </w:r>
      <w:r w:rsidRPr="000F5D3F">
        <w:rPr>
          <w:lang w:eastAsia="en-GB"/>
        </w:rPr>
        <w:t>beneficial</w:t>
      </w:r>
      <w:r w:rsidR="00C64050">
        <w:rPr>
          <w:lang w:eastAsia="en-GB"/>
        </w:rPr>
        <w:t xml:space="preserve"> </w:t>
      </w:r>
      <w:r w:rsidRPr="000F5D3F">
        <w:rPr>
          <w:lang w:eastAsia="en-GB"/>
        </w:rPr>
        <w:t>interest,</w:t>
      </w:r>
      <w:r w:rsidR="00C64050">
        <w:rPr>
          <w:lang w:eastAsia="en-GB"/>
        </w:rPr>
        <w:t xml:space="preserve"> </w:t>
      </w:r>
      <w:r w:rsidRPr="000F5D3F">
        <w:rPr>
          <w:lang w:eastAsia="en-GB"/>
        </w:rPr>
        <w:t>merger</w:t>
      </w:r>
      <w:r w:rsidR="00C64050">
        <w:rPr>
          <w:lang w:eastAsia="en-GB"/>
        </w:rPr>
        <w:t xml:space="preserve"> </w:t>
      </w:r>
      <w:r w:rsidRPr="000F5D3F">
        <w:rPr>
          <w:lang w:eastAsia="en-GB"/>
        </w:rPr>
        <w:t>occurs,</w:t>
      </w:r>
      <w:r w:rsidR="00C64050">
        <w:rPr>
          <w:lang w:eastAsia="en-GB"/>
        </w:rPr>
        <w:t xml:space="preserve"> </w:t>
      </w:r>
      <w:r w:rsidRPr="000F5D3F">
        <w:rPr>
          <w:lang w:eastAsia="en-GB"/>
        </w:rPr>
        <w:t>the</w:t>
      </w:r>
      <w:r w:rsidR="00C64050">
        <w:rPr>
          <w:lang w:eastAsia="en-GB"/>
        </w:rPr>
        <w:t xml:space="preserve"> </w:t>
      </w:r>
      <w:r w:rsidRPr="000F5D3F">
        <w:rPr>
          <w:lang w:eastAsia="en-GB"/>
        </w:rPr>
        <w:t>trust</w:t>
      </w:r>
      <w:r w:rsidR="00C64050">
        <w:rPr>
          <w:lang w:eastAsia="en-GB"/>
        </w:rPr>
        <w:t xml:space="preserve"> </w:t>
      </w:r>
      <w:r w:rsidRPr="000F5D3F">
        <w:rPr>
          <w:lang w:eastAsia="en-GB"/>
        </w:rPr>
        <w:t>terminates,</w:t>
      </w:r>
      <w:r w:rsidR="00C64050">
        <w:rPr>
          <w:lang w:eastAsia="en-GB"/>
        </w:rPr>
        <w:t xml:space="preserve"> </w:t>
      </w:r>
      <w:r w:rsidRPr="000F5D3F">
        <w:rPr>
          <w:lang w:eastAsia="en-GB"/>
        </w:rPr>
        <w:t>and</w:t>
      </w:r>
      <w:r w:rsidR="00C64050">
        <w:rPr>
          <w:lang w:eastAsia="en-GB"/>
        </w:rPr>
        <w:t xml:space="preserve"> </w:t>
      </w:r>
      <w:r w:rsidRPr="000F5D3F">
        <w:rPr>
          <w:lang w:eastAsia="en-GB"/>
        </w:rPr>
        <w:t>the</w:t>
      </w:r>
      <w:r w:rsidR="00C64050">
        <w:rPr>
          <w:lang w:eastAsia="en-GB"/>
        </w:rPr>
        <w:t xml:space="preserve"> </w:t>
      </w:r>
      <w:r w:rsidRPr="000F5D3F">
        <w:rPr>
          <w:lang w:eastAsia="en-GB"/>
        </w:rPr>
        <w:t>beneficiary</w:t>
      </w:r>
      <w:r w:rsidR="00C64050">
        <w:rPr>
          <w:lang w:eastAsia="en-GB"/>
        </w:rPr>
        <w:t xml:space="preserve"> </w:t>
      </w:r>
      <w:r w:rsidRPr="000F5D3F">
        <w:rPr>
          <w:lang w:eastAsia="en-GB"/>
        </w:rPr>
        <w:t>holds</w:t>
      </w:r>
      <w:r w:rsidR="00C64050">
        <w:rPr>
          <w:lang w:eastAsia="en-GB"/>
        </w:rPr>
        <w:t xml:space="preserve"> </w:t>
      </w:r>
      <w:r w:rsidRPr="000F5D3F">
        <w:rPr>
          <w:lang w:eastAsia="en-GB"/>
        </w:rPr>
        <w:t>the</w:t>
      </w:r>
      <w:r w:rsidR="00C64050">
        <w:rPr>
          <w:lang w:eastAsia="en-GB"/>
        </w:rPr>
        <w:t xml:space="preserve"> </w:t>
      </w:r>
      <w:r w:rsidRPr="000F5D3F">
        <w:rPr>
          <w:lang w:eastAsia="en-GB"/>
        </w:rPr>
        <w:t>property</w:t>
      </w:r>
      <w:r w:rsidR="00C64050">
        <w:rPr>
          <w:lang w:eastAsia="en-GB"/>
        </w:rPr>
        <w:t xml:space="preserve"> </w:t>
      </w:r>
      <w:r w:rsidRPr="000F5D3F">
        <w:rPr>
          <w:lang w:eastAsia="en-GB"/>
        </w:rPr>
        <w:t>free</w:t>
      </w:r>
      <w:r w:rsidR="00C64050">
        <w:rPr>
          <w:lang w:eastAsia="en-GB"/>
        </w:rPr>
        <w:t xml:space="preserve"> </w:t>
      </w:r>
      <w:r w:rsidRPr="000F5D3F">
        <w:rPr>
          <w:lang w:eastAsia="en-GB"/>
        </w:rPr>
        <w:t>of</w:t>
      </w:r>
      <w:r w:rsidR="00C64050">
        <w:rPr>
          <w:lang w:eastAsia="en-GB"/>
        </w:rPr>
        <w:t xml:space="preserve"> </w:t>
      </w:r>
      <w:r w:rsidRPr="000F5D3F">
        <w:rPr>
          <w:lang w:eastAsia="en-GB"/>
        </w:rPr>
        <w:t>trust.</w:t>
      </w:r>
      <w:r w:rsidR="00C64050">
        <w:rPr>
          <w:lang w:eastAsia="en-GB"/>
        </w:rPr>
        <w:t xml:space="preserve"> </w:t>
      </w:r>
      <w:r w:rsidRPr="000F5D3F">
        <w:rPr>
          <w:lang w:eastAsia="en-GB"/>
        </w:rPr>
        <w:t>Where</w:t>
      </w:r>
      <w:r w:rsidR="00C64050">
        <w:rPr>
          <w:lang w:eastAsia="en-GB"/>
        </w:rPr>
        <w:t xml:space="preserve"> </w:t>
      </w:r>
      <w:r w:rsidRPr="000F5D3F">
        <w:rPr>
          <w:lang w:eastAsia="en-GB"/>
        </w:rPr>
        <w:t>the</w:t>
      </w:r>
      <w:r w:rsidR="00C64050">
        <w:rPr>
          <w:lang w:eastAsia="en-GB"/>
        </w:rPr>
        <w:t xml:space="preserve"> </w:t>
      </w:r>
      <w:r w:rsidRPr="000F5D3F">
        <w:rPr>
          <w:lang w:eastAsia="en-GB"/>
        </w:rPr>
        <w:t>life</w:t>
      </w:r>
      <w:r w:rsidR="00C64050">
        <w:rPr>
          <w:lang w:eastAsia="en-GB"/>
        </w:rPr>
        <w:t xml:space="preserve"> </w:t>
      </w:r>
      <w:r w:rsidRPr="000F5D3F">
        <w:rPr>
          <w:lang w:eastAsia="en-GB"/>
        </w:rPr>
        <w:t>interest</w:t>
      </w:r>
      <w:r w:rsidR="00C64050">
        <w:rPr>
          <w:lang w:eastAsia="en-GB"/>
        </w:rPr>
        <w:t xml:space="preserve"> </w:t>
      </w:r>
      <w:r w:rsidRPr="000F5D3F">
        <w:rPr>
          <w:lang w:eastAsia="en-GB"/>
        </w:rPr>
        <w:t>and</w:t>
      </w:r>
      <w:r w:rsidR="00C64050">
        <w:rPr>
          <w:lang w:eastAsia="en-GB"/>
        </w:rPr>
        <w:t xml:space="preserve"> </w:t>
      </w:r>
      <w:r w:rsidRPr="000F5D3F">
        <w:rPr>
          <w:lang w:eastAsia="en-GB"/>
        </w:rPr>
        <w:t>remainder</w:t>
      </w:r>
      <w:r w:rsidR="00C64050">
        <w:rPr>
          <w:lang w:eastAsia="en-GB"/>
        </w:rPr>
        <w:t xml:space="preserve"> </w:t>
      </w:r>
      <w:r w:rsidRPr="000F5D3F">
        <w:rPr>
          <w:lang w:eastAsia="en-GB"/>
        </w:rPr>
        <w:t>interest</w:t>
      </w:r>
      <w:r w:rsidR="00C64050">
        <w:rPr>
          <w:lang w:eastAsia="en-GB"/>
        </w:rPr>
        <w:t xml:space="preserve"> </w:t>
      </w:r>
      <w:r w:rsidRPr="000F5D3F">
        <w:rPr>
          <w:lang w:eastAsia="en-GB"/>
        </w:rPr>
        <w:t>is</w:t>
      </w:r>
      <w:r w:rsidR="00C64050">
        <w:rPr>
          <w:lang w:eastAsia="en-GB"/>
        </w:rPr>
        <w:t xml:space="preserve"> </w:t>
      </w:r>
      <w:r w:rsidRPr="000F5D3F">
        <w:rPr>
          <w:lang w:eastAsia="en-GB"/>
        </w:rPr>
        <w:t>held</w:t>
      </w:r>
      <w:r w:rsidR="00C64050">
        <w:rPr>
          <w:lang w:eastAsia="en-GB"/>
        </w:rPr>
        <w:t xml:space="preserve"> </w:t>
      </w:r>
      <w:r w:rsidRPr="000F5D3F">
        <w:rPr>
          <w:lang w:eastAsia="en-GB"/>
        </w:rPr>
        <w:t>by</w:t>
      </w:r>
      <w:r w:rsidR="00C64050">
        <w:rPr>
          <w:lang w:eastAsia="en-GB"/>
        </w:rPr>
        <w:t xml:space="preserve"> </w:t>
      </w:r>
      <w:r w:rsidRPr="000F5D3F">
        <w:rPr>
          <w:lang w:eastAsia="en-GB"/>
        </w:rPr>
        <w:t>two</w:t>
      </w:r>
      <w:r w:rsidR="00C64050">
        <w:rPr>
          <w:lang w:eastAsia="en-GB"/>
        </w:rPr>
        <w:t xml:space="preserve"> </w:t>
      </w:r>
      <w:r w:rsidRPr="000F5D3F">
        <w:rPr>
          <w:lang w:eastAsia="en-GB"/>
        </w:rPr>
        <w:t>beneficiaries</w:t>
      </w:r>
      <w:r w:rsidR="00C64050">
        <w:rPr>
          <w:lang w:eastAsia="en-GB"/>
        </w:rPr>
        <w:t xml:space="preserve"> </w:t>
      </w:r>
      <w:r w:rsidRPr="000F5D3F">
        <w:rPr>
          <w:lang w:eastAsia="en-GB"/>
        </w:rPr>
        <w:t>who</w:t>
      </w:r>
      <w:r w:rsidR="00C64050">
        <w:rPr>
          <w:lang w:eastAsia="en-GB"/>
        </w:rPr>
        <w:t xml:space="preserve"> </w:t>
      </w:r>
      <w:r w:rsidRPr="000F5D3F">
        <w:rPr>
          <w:lang w:eastAsia="en-GB"/>
        </w:rPr>
        <w:t>are</w:t>
      </w:r>
      <w:r w:rsidR="00C64050">
        <w:rPr>
          <w:lang w:eastAsia="en-GB"/>
        </w:rPr>
        <w:t xml:space="preserve"> </w:t>
      </w:r>
      <w:r w:rsidRPr="000F5D3F">
        <w:rPr>
          <w:lang w:eastAsia="en-GB"/>
        </w:rPr>
        <w:t>also</w:t>
      </w:r>
      <w:r w:rsidR="00C64050">
        <w:rPr>
          <w:lang w:eastAsia="en-GB"/>
        </w:rPr>
        <w:t xml:space="preserve"> </w:t>
      </w:r>
      <w:r w:rsidRPr="000F5D3F">
        <w:rPr>
          <w:lang w:eastAsia="en-GB"/>
        </w:rPr>
        <w:t>the</w:t>
      </w:r>
      <w:r w:rsidR="00C64050">
        <w:rPr>
          <w:lang w:eastAsia="en-GB"/>
        </w:rPr>
        <w:t xml:space="preserve"> </w:t>
      </w:r>
      <w:r w:rsidRPr="000F5D3F">
        <w:rPr>
          <w:lang w:eastAsia="en-GB"/>
        </w:rPr>
        <w:t>only</w:t>
      </w:r>
      <w:r w:rsidR="00C64050">
        <w:rPr>
          <w:lang w:eastAsia="en-GB"/>
        </w:rPr>
        <w:t xml:space="preserve"> </w:t>
      </w:r>
      <w:r w:rsidRPr="000F5D3F">
        <w:rPr>
          <w:lang w:eastAsia="en-GB"/>
        </w:rPr>
        <w:t>co-trustees,</w:t>
      </w:r>
      <w:r w:rsidR="00C64050">
        <w:rPr>
          <w:lang w:eastAsia="en-GB"/>
        </w:rPr>
        <w:t xml:space="preserve"> </w:t>
      </w:r>
      <w:r w:rsidRPr="000F5D3F">
        <w:rPr>
          <w:lang w:eastAsia="en-GB"/>
        </w:rPr>
        <w:t>whether</w:t>
      </w:r>
      <w:r w:rsidR="00C64050">
        <w:rPr>
          <w:lang w:eastAsia="en-GB"/>
        </w:rPr>
        <w:t xml:space="preserve"> </w:t>
      </w:r>
      <w:r w:rsidRPr="000F5D3F">
        <w:rPr>
          <w:lang w:eastAsia="en-GB"/>
        </w:rPr>
        <w:t>merger</w:t>
      </w:r>
      <w:r w:rsidR="00C64050">
        <w:rPr>
          <w:lang w:eastAsia="en-GB"/>
        </w:rPr>
        <w:t xml:space="preserve"> </w:t>
      </w:r>
      <w:r w:rsidRPr="000F5D3F">
        <w:rPr>
          <w:lang w:eastAsia="en-GB"/>
        </w:rPr>
        <w:t>occurs</w:t>
      </w:r>
      <w:r w:rsidR="00C64050">
        <w:rPr>
          <w:lang w:eastAsia="en-GB"/>
        </w:rPr>
        <w:t xml:space="preserve"> </w:t>
      </w:r>
      <w:r w:rsidRPr="000F5D3F">
        <w:rPr>
          <w:lang w:eastAsia="en-GB"/>
        </w:rPr>
        <w:t>in</w:t>
      </w:r>
      <w:r w:rsidR="00C64050">
        <w:rPr>
          <w:lang w:eastAsia="en-GB"/>
        </w:rPr>
        <w:t xml:space="preserve"> </w:t>
      </w:r>
      <w:r w:rsidRPr="000F5D3F">
        <w:rPr>
          <w:lang w:eastAsia="en-GB"/>
        </w:rPr>
        <w:t>favor</w:t>
      </w:r>
      <w:r w:rsidR="00C64050">
        <w:rPr>
          <w:lang w:eastAsia="en-GB"/>
        </w:rPr>
        <w:t xml:space="preserve"> </w:t>
      </w:r>
      <w:r w:rsidRPr="000F5D3F">
        <w:rPr>
          <w:lang w:eastAsia="en-GB"/>
        </w:rPr>
        <w:t>of</w:t>
      </w:r>
      <w:r w:rsidR="00C64050">
        <w:rPr>
          <w:lang w:eastAsia="en-GB"/>
        </w:rPr>
        <w:t xml:space="preserve"> </w:t>
      </w:r>
      <w:r w:rsidRPr="000F5D3F">
        <w:rPr>
          <w:lang w:eastAsia="en-GB"/>
        </w:rPr>
        <w:t>the</w:t>
      </w:r>
      <w:r w:rsidR="00C64050">
        <w:rPr>
          <w:lang w:eastAsia="en-GB"/>
        </w:rPr>
        <w:t xml:space="preserve"> </w:t>
      </w:r>
      <w:r w:rsidRPr="000F5D3F">
        <w:rPr>
          <w:lang w:eastAsia="en-GB"/>
        </w:rPr>
        <w:t>two</w:t>
      </w:r>
      <w:r w:rsidR="00C64050">
        <w:rPr>
          <w:lang w:eastAsia="en-GB"/>
        </w:rPr>
        <w:t xml:space="preserve"> </w:t>
      </w:r>
      <w:r w:rsidRPr="000F5D3F">
        <w:rPr>
          <w:lang w:eastAsia="en-GB"/>
        </w:rPr>
        <w:t>beneficiaries</w:t>
      </w:r>
      <w:r w:rsidR="00C64050">
        <w:rPr>
          <w:lang w:eastAsia="en-GB"/>
        </w:rPr>
        <w:t xml:space="preserve"> </w:t>
      </w:r>
      <w:r w:rsidRPr="000F5D3F">
        <w:rPr>
          <w:lang w:eastAsia="en-GB"/>
        </w:rPr>
        <w:t>is</w:t>
      </w:r>
      <w:r w:rsidR="00C64050">
        <w:rPr>
          <w:lang w:eastAsia="en-GB"/>
        </w:rPr>
        <w:t xml:space="preserve"> </w:t>
      </w:r>
      <w:r w:rsidRPr="000F5D3F">
        <w:rPr>
          <w:lang w:eastAsia="en-GB"/>
        </w:rPr>
        <w:t>uncertain.</w:t>
      </w:r>
      <w:r w:rsidR="00C64050">
        <w:rPr>
          <w:lang w:eastAsia="en-GB"/>
        </w:rPr>
        <w:t xml:space="preserve"> </w:t>
      </w:r>
      <w:r w:rsidRPr="000F5D3F">
        <w:rPr>
          <w:lang w:eastAsia="en-GB"/>
        </w:rPr>
        <w:t>See</w:t>
      </w:r>
      <w:r w:rsidR="00C64050">
        <w:rPr>
          <w:lang w:eastAsia="en-GB"/>
        </w:rPr>
        <w:t xml:space="preserve"> </w:t>
      </w:r>
      <w:r w:rsidRPr="008057D1">
        <w:rPr>
          <w:u w:val="single"/>
          <w:lang w:eastAsia="en-GB"/>
        </w:rPr>
        <w:t>Scott</w:t>
      </w:r>
      <w:r w:rsidR="00C64050">
        <w:rPr>
          <w:u w:val="single"/>
          <w:lang w:eastAsia="en-GB"/>
        </w:rPr>
        <w:t xml:space="preserve"> </w:t>
      </w:r>
      <w:r w:rsidRPr="008057D1">
        <w:rPr>
          <w:u w:val="single"/>
          <w:lang w:eastAsia="en-GB"/>
        </w:rPr>
        <w:t>and</w:t>
      </w:r>
      <w:r w:rsidR="00C64050">
        <w:rPr>
          <w:u w:val="single"/>
          <w:lang w:eastAsia="en-GB"/>
        </w:rPr>
        <w:t xml:space="preserve"> </w:t>
      </w:r>
      <w:r w:rsidRPr="008057D1">
        <w:rPr>
          <w:u w:val="single"/>
          <w:lang w:eastAsia="en-GB"/>
        </w:rPr>
        <w:t>Ascher</w:t>
      </w:r>
      <w:r w:rsidR="00C64050">
        <w:rPr>
          <w:u w:val="single"/>
          <w:lang w:eastAsia="en-GB"/>
        </w:rPr>
        <w:t xml:space="preserve"> </w:t>
      </w:r>
      <w:r w:rsidRPr="008057D1">
        <w:rPr>
          <w:u w:val="single"/>
          <w:lang w:eastAsia="en-GB"/>
        </w:rPr>
        <w:t>on</w:t>
      </w:r>
      <w:r w:rsidR="00C64050">
        <w:rPr>
          <w:u w:val="single"/>
          <w:lang w:eastAsia="en-GB"/>
        </w:rPr>
        <w:t xml:space="preserve"> </w:t>
      </w:r>
      <w:r w:rsidRPr="008057D1">
        <w:rPr>
          <w:u w:val="single"/>
          <w:lang w:eastAsia="en-GB"/>
        </w:rPr>
        <w:t>Trusts</w:t>
      </w:r>
      <w:r w:rsidR="00C64050">
        <w:rPr>
          <w:lang w:eastAsia="en-GB"/>
        </w:rPr>
        <w:t xml:space="preserve"> </w:t>
      </w:r>
      <w:r w:rsidRPr="000F5D3F">
        <w:rPr>
          <w:lang w:eastAsia="en-GB"/>
        </w:rPr>
        <w:t>§</w:t>
      </w:r>
      <w:r w:rsidR="00C64050">
        <w:rPr>
          <w:lang w:eastAsia="en-GB"/>
        </w:rPr>
        <w:t xml:space="preserve"> </w:t>
      </w:r>
      <w:r w:rsidRPr="000F5D3F">
        <w:rPr>
          <w:lang w:eastAsia="en-GB"/>
        </w:rPr>
        <w:t>11.2.5.</w:t>
      </w:r>
    </w:p>
    <w:p w:rsidR="007657B2" w:rsidRPr="007C6CC4" w:rsidRDefault="007657B2" w:rsidP="000F5D3F">
      <w:pPr>
        <w:pStyle w:val="Body15"/>
        <w:rPr>
          <w:lang w:eastAsia="en-GB"/>
        </w:rPr>
      </w:pPr>
      <w:r w:rsidRPr="000F5D3F">
        <w:rPr>
          <w:lang w:eastAsia="en-GB"/>
        </w:rPr>
        <w:t>Suppose</w:t>
      </w:r>
      <w:r w:rsidR="00C64050">
        <w:rPr>
          <w:lang w:eastAsia="en-GB"/>
        </w:rPr>
        <w:t xml:space="preserve"> </w:t>
      </w:r>
      <w:r w:rsidRPr="000F5D3F">
        <w:rPr>
          <w:lang w:eastAsia="en-GB"/>
        </w:rPr>
        <w:t>the</w:t>
      </w:r>
      <w:r w:rsidR="00C64050">
        <w:rPr>
          <w:lang w:eastAsia="en-GB"/>
        </w:rPr>
        <w:t xml:space="preserve"> </w:t>
      </w:r>
      <w:r w:rsidRPr="000F5D3F">
        <w:rPr>
          <w:lang w:eastAsia="en-GB"/>
        </w:rPr>
        <w:t>grantor</w:t>
      </w:r>
      <w:r w:rsidR="00C64050">
        <w:rPr>
          <w:lang w:eastAsia="en-GB"/>
        </w:rPr>
        <w:t xml:space="preserve"> </w:t>
      </w:r>
      <w:r w:rsidRPr="000F5D3F">
        <w:rPr>
          <w:lang w:eastAsia="en-GB"/>
        </w:rPr>
        <w:t>and</w:t>
      </w:r>
      <w:r w:rsidR="00C64050">
        <w:rPr>
          <w:lang w:eastAsia="en-GB"/>
        </w:rPr>
        <w:t xml:space="preserve"> </w:t>
      </w:r>
      <w:r w:rsidRPr="000F5D3F">
        <w:rPr>
          <w:lang w:eastAsia="en-GB"/>
        </w:rPr>
        <w:t>the</w:t>
      </w:r>
      <w:r w:rsidR="00C64050">
        <w:rPr>
          <w:lang w:eastAsia="en-GB"/>
        </w:rPr>
        <w:t xml:space="preserve"> </w:t>
      </w:r>
      <w:r w:rsidRPr="000F5D3F">
        <w:rPr>
          <w:lang w:eastAsia="en-GB"/>
        </w:rPr>
        <w:t>remainder</w:t>
      </w:r>
      <w:r w:rsidR="00C64050">
        <w:rPr>
          <w:lang w:eastAsia="en-GB"/>
        </w:rPr>
        <w:t xml:space="preserve"> </w:t>
      </w:r>
      <w:r w:rsidRPr="000F5D3F">
        <w:rPr>
          <w:lang w:eastAsia="en-GB"/>
        </w:rPr>
        <w:t>beneficiaries</w:t>
      </w:r>
      <w:r w:rsidR="00C64050">
        <w:rPr>
          <w:lang w:eastAsia="en-GB"/>
        </w:rPr>
        <w:t xml:space="preserve"> </w:t>
      </w:r>
      <w:r w:rsidRPr="000F5D3F">
        <w:rPr>
          <w:lang w:eastAsia="en-GB"/>
        </w:rPr>
        <w:t>contribute</w:t>
      </w:r>
      <w:r w:rsidR="00C64050">
        <w:rPr>
          <w:lang w:eastAsia="en-GB"/>
        </w:rPr>
        <w:t xml:space="preserve"> </w:t>
      </w:r>
      <w:r w:rsidRPr="000F5D3F">
        <w:rPr>
          <w:lang w:eastAsia="en-GB"/>
        </w:rPr>
        <w:t>their</w:t>
      </w:r>
      <w:r w:rsidR="00C64050">
        <w:rPr>
          <w:lang w:eastAsia="en-GB"/>
        </w:rPr>
        <w:t xml:space="preserve"> </w:t>
      </w:r>
      <w:r w:rsidRPr="000F5D3F">
        <w:rPr>
          <w:lang w:eastAsia="en-GB"/>
        </w:rPr>
        <w:t>respective</w:t>
      </w:r>
      <w:r w:rsidR="00C64050">
        <w:rPr>
          <w:lang w:eastAsia="en-GB"/>
        </w:rPr>
        <w:t xml:space="preserve"> </w:t>
      </w:r>
      <w:r w:rsidRPr="000F5D3F">
        <w:rPr>
          <w:lang w:eastAsia="en-GB"/>
        </w:rPr>
        <w:t>interests</w:t>
      </w:r>
      <w:r w:rsidR="00C64050">
        <w:rPr>
          <w:lang w:eastAsia="en-GB"/>
        </w:rPr>
        <w:t xml:space="preserve"> </w:t>
      </w:r>
      <w:r w:rsidRPr="000F5D3F">
        <w:rPr>
          <w:lang w:eastAsia="en-GB"/>
        </w:rPr>
        <w:t>to</w:t>
      </w:r>
      <w:r w:rsidR="00C64050">
        <w:rPr>
          <w:lang w:eastAsia="en-GB"/>
        </w:rPr>
        <w:t xml:space="preserve"> </w:t>
      </w:r>
      <w:r w:rsidRPr="000F5D3F">
        <w:rPr>
          <w:lang w:eastAsia="en-GB"/>
        </w:rPr>
        <w:t>an</w:t>
      </w:r>
      <w:r w:rsidR="00C64050">
        <w:rPr>
          <w:lang w:eastAsia="en-GB"/>
        </w:rPr>
        <w:t xml:space="preserve"> </w:t>
      </w:r>
      <w:r w:rsidRPr="000F5D3F">
        <w:rPr>
          <w:lang w:eastAsia="en-GB"/>
        </w:rPr>
        <w:t>LLC</w:t>
      </w:r>
      <w:r w:rsidR="00C64050">
        <w:rPr>
          <w:lang w:eastAsia="en-GB"/>
        </w:rPr>
        <w:t xml:space="preserve"> </w:t>
      </w:r>
      <w:r w:rsidRPr="000F5D3F">
        <w:rPr>
          <w:lang w:eastAsia="en-GB"/>
        </w:rPr>
        <w:t>in</w:t>
      </w:r>
      <w:r w:rsidR="00C64050">
        <w:rPr>
          <w:lang w:eastAsia="en-GB"/>
        </w:rPr>
        <w:t xml:space="preserve"> </w:t>
      </w:r>
      <w:r w:rsidRPr="000F5D3F">
        <w:rPr>
          <w:lang w:eastAsia="en-GB"/>
        </w:rPr>
        <w:t>exchange</w:t>
      </w:r>
      <w:r w:rsidR="00C64050">
        <w:rPr>
          <w:lang w:eastAsia="en-GB"/>
        </w:rPr>
        <w:t xml:space="preserve"> </w:t>
      </w:r>
      <w:r w:rsidRPr="000F5D3F">
        <w:rPr>
          <w:lang w:eastAsia="en-GB"/>
        </w:rPr>
        <w:t>for</w:t>
      </w:r>
      <w:r w:rsidR="00C64050">
        <w:rPr>
          <w:lang w:eastAsia="en-GB"/>
        </w:rPr>
        <w:t xml:space="preserve"> </w:t>
      </w:r>
      <w:r w:rsidRPr="000F5D3F">
        <w:rPr>
          <w:lang w:eastAsia="en-GB"/>
        </w:rPr>
        <w:t>membership</w:t>
      </w:r>
      <w:r w:rsidR="00C64050">
        <w:rPr>
          <w:lang w:eastAsia="en-GB"/>
        </w:rPr>
        <w:t xml:space="preserve"> </w:t>
      </w:r>
      <w:r w:rsidRPr="000F5D3F">
        <w:rPr>
          <w:lang w:eastAsia="en-GB"/>
        </w:rPr>
        <w:t>interests</w:t>
      </w:r>
      <w:r w:rsidR="00C64050">
        <w:rPr>
          <w:lang w:eastAsia="en-GB"/>
        </w:rPr>
        <w:t xml:space="preserve"> </w:t>
      </w:r>
      <w:r w:rsidRPr="000F5D3F">
        <w:rPr>
          <w:lang w:eastAsia="en-GB"/>
        </w:rPr>
        <w:t>that</w:t>
      </w:r>
      <w:r w:rsidR="00C64050">
        <w:rPr>
          <w:lang w:eastAsia="en-GB"/>
        </w:rPr>
        <w:t xml:space="preserve"> </w:t>
      </w:r>
      <w:r w:rsidRPr="000F5D3F">
        <w:rPr>
          <w:lang w:eastAsia="en-GB"/>
        </w:rPr>
        <w:t>are</w:t>
      </w:r>
      <w:r w:rsidR="00C64050">
        <w:rPr>
          <w:lang w:eastAsia="en-GB"/>
        </w:rPr>
        <w:t xml:space="preserve"> </w:t>
      </w:r>
      <w:r w:rsidRPr="000F5D3F">
        <w:rPr>
          <w:lang w:eastAsia="en-GB"/>
        </w:rPr>
        <w:t>proportionate</w:t>
      </w:r>
      <w:r w:rsidR="00C64050">
        <w:rPr>
          <w:lang w:eastAsia="en-GB"/>
        </w:rPr>
        <w:t xml:space="preserve"> </w:t>
      </w:r>
      <w:r w:rsidRPr="000F5D3F">
        <w:rPr>
          <w:lang w:eastAsia="en-GB"/>
        </w:rPr>
        <w:t>to</w:t>
      </w:r>
      <w:r w:rsidR="00C64050">
        <w:rPr>
          <w:lang w:eastAsia="en-GB"/>
        </w:rPr>
        <w:t xml:space="preserve"> </w:t>
      </w:r>
      <w:r w:rsidRPr="000F5D3F">
        <w:rPr>
          <w:lang w:eastAsia="en-GB"/>
        </w:rPr>
        <w:t>the</w:t>
      </w:r>
      <w:r w:rsidR="00C64050">
        <w:rPr>
          <w:lang w:eastAsia="en-GB"/>
        </w:rPr>
        <w:t xml:space="preserve"> </w:t>
      </w:r>
      <w:r w:rsidRPr="000F5D3F">
        <w:rPr>
          <w:lang w:eastAsia="en-GB"/>
        </w:rPr>
        <w:t>interests</w:t>
      </w:r>
      <w:r w:rsidR="00C64050">
        <w:rPr>
          <w:lang w:eastAsia="en-GB"/>
        </w:rPr>
        <w:t xml:space="preserve"> </w:t>
      </w:r>
      <w:r w:rsidRPr="000F5D3F">
        <w:rPr>
          <w:lang w:eastAsia="en-GB"/>
        </w:rPr>
        <w:t>of</w:t>
      </w:r>
      <w:r w:rsidR="00C64050">
        <w:rPr>
          <w:lang w:eastAsia="en-GB"/>
        </w:rPr>
        <w:t xml:space="preserve"> </w:t>
      </w:r>
      <w:r w:rsidRPr="000F5D3F">
        <w:rPr>
          <w:lang w:eastAsia="en-GB"/>
        </w:rPr>
        <w:t>each</w:t>
      </w:r>
      <w:r w:rsidR="00C64050">
        <w:rPr>
          <w:lang w:eastAsia="en-GB"/>
        </w:rPr>
        <w:t xml:space="preserve"> </w:t>
      </w:r>
      <w:r w:rsidRPr="000F5D3F">
        <w:rPr>
          <w:lang w:eastAsia="en-GB"/>
        </w:rPr>
        <w:t>such</w:t>
      </w:r>
      <w:r w:rsidR="00C64050">
        <w:rPr>
          <w:lang w:eastAsia="en-GB"/>
        </w:rPr>
        <w:t xml:space="preserve"> </w:t>
      </w:r>
      <w:r w:rsidRPr="000F5D3F">
        <w:rPr>
          <w:lang w:eastAsia="en-GB"/>
        </w:rPr>
        <w:t>that</w:t>
      </w:r>
      <w:r w:rsidR="00C64050">
        <w:rPr>
          <w:lang w:eastAsia="en-GB"/>
        </w:rPr>
        <w:t xml:space="preserve"> </w:t>
      </w:r>
      <w:r w:rsidRPr="000F5D3F">
        <w:rPr>
          <w:lang w:eastAsia="en-GB"/>
        </w:rPr>
        <w:t>the</w:t>
      </w:r>
      <w:r w:rsidR="00C64050">
        <w:rPr>
          <w:lang w:eastAsia="en-GB"/>
        </w:rPr>
        <w:t xml:space="preserve"> </w:t>
      </w:r>
      <w:r w:rsidRPr="000F5D3F">
        <w:rPr>
          <w:lang w:eastAsia="en-GB"/>
        </w:rPr>
        <w:t>grantor</w:t>
      </w:r>
      <w:r w:rsidR="00C64050">
        <w:rPr>
          <w:lang w:eastAsia="en-GB"/>
        </w:rPr>
        <w:t xml:space="preserve"> </w:t>
      </w:r>
      <w:r w:rsidRPr="000F5D3F">
        <w:rPr>
          <w:lang w:eastAsia="en-GB"/>
        </w:rPr>
        <w:t>receives</w:t>
      </w:r>
      <w:r w:rsidR="00C64050">
        <w:rPr>
          <w:lang w:eastAsia="en-GB"/>
        </w:rPr>
        <w:t xml:space="preserve"> </w:t>
      </w:r>
      <w:r w:rsidRPr="000F5D3F">
        <w:rPr>
          <w:lang w:eastAsia="en-GB"/>
        </w:rPr>
        <w:t>an</w:t>
      </w:r>
      <w:r w:rsidR="00C64050">
        <w:rPr>
          <w:lang w:eastAsia="en-GB"/>
        </w:rPr>
        <w:t xml:space="preserve"> </w:t>
      </w:r>
      <w:r w:rsidRPr="000F5D3F">
        <w:rPr>
          <w:lang w:eastAsia="en-GB"/>
        </w:rPr>
        <w:t>interest</w:t>
      </w:r>
      <w:r w:rsidR="00C64050">
        <w:rPr>
          <w:lang w:eastAsia="en-GB"/>
        </w:rPr>
        <w:t xml:space="preserve"> </w:t>
      </w:r>
      <w:r w:rsidRPr="000F5D3F">
        <w:rPr>
          <w:lang w:eastAsia="en-GB"/>
        </w:rPr>
        <w:t>equal</w:t>
      </w:r>
      <w:r w:rsidR="00C64050">
        <w:rPr>
          <w:lang w:eastAsia="en-GB"/>
        </w:rPr>
        <w:t xml:space="preserve"> </w:t>
      </w:r>
      <w:r w:rsidRPr="000F5D3F">
        <w:rPr>
          <w:lang w:eastAsia="en-GB"/>
        </w:rPr>
        <w:t>in</w:t>
      </w:r>
      <w:r w:rsidR="00C64050">
        <w:rPr>
          <w:lang w:eastAsia="en-GB"/>
        </w:rPr>
        <w:t xml:space="preserve"> </w:t>
      </w:r>
      <w:r w:rsidRPr="000F5D3F">
        <w:rPr>
          <w:lang w:eastAsia="en-GB"/>
        </w:rPr>
        <w:t>value</w:t>
      </w:r>
      <w:r w:rsidR="00C64050">
        <w:rPr>
          <w:lang w:eastAsia="en-GB"/>
        </w:rPr>
        <w:t xml:space="preserve"> </w:t>
      </w:r>
      <w:r w:rsidRPr="000F5D3F">
        <w:rPr>
          <w:lang w:eastAsia="en-GB"/>
        </w:rPr>
        <w:t>to</w:t>
      </w:r>
      <w:r w:rsidR="00C64050">
        <w:rPr>
          <w:lang w:eastAsia="en-GB"/>
        </w:rPr>
        <w:t xml:space="preserve"> </w:t>
      </w:r>
      <w:r w:rsidRPr="000F5D3F">
        <w:rPr>
          <w:lang w:eastAsia="en-GB"/>
        </w:rPr>
        <w:t>the</w:t>
      </w:r>
      <w:r w:rsidR="00C64050">
        <w:rPr>
          <w:lang w:eastAsia="en-GB"/>
        </w:rPr>
        <w:t xml:space="preserve"> </w:t>
      </w:r>
      <w:r w:rsidRPr="000F5D3F">
        <w:rPr>
          <w:lang w:eastAsia="en-GB"/>
        </w:rPr>
        <w:t>amount</w:t>
      </w:r>
      <w:r w:rsidR="00C64050">
        <w:rPr>
          <w:lang w:eastAsia="en-GB"/>
        </w:rPr>
        <w:t xml:space="preserve"> </w:t>
      </w:r>
      <w:r w:rsidRPr="000F5D3F">
        <w:rPr>
          <w:lang w:eastAsia="en-GB"/>
        </w:rPr>
        <w:t>that</w:t>
      </w:r>
      <w:r w:rsidR="00C64050">
        <w:rPr>
          <w:lang w:eastAsia="en-GB"/>
        </w:rPr>
        <w:t xml:space="preserve"> </w:t>
      </w:r>
      <w:r w:rsidRPr="000F5D3F">
        <w:rPr>
          <w:lang w:eastAsia="en-GB"/>
        </w:rPr>
        <w:t>would</w:t>
      </w:r>
      <w:r w:rsidR="00C64050">
        <w:rPr>
          <w:lang w:eastAsia="en-GB"/>
        </w:rPr>
        <w:t xml:space="preserve"> </w:t>
      </w:r>
      <w:r w:rsidRPr="000F5D3F">
        <w:rPr>
          <w:lang w:eastAsia="en-GB"/>
        </w:rPr>
        <w:t>be</w:t>
      </w:r>
      <w:r w:rsidR="00C64050">
        <w:rPr>
          <w:lang w:eastAsia="en-GB"/>
        </w:rPr>
        <w:t xml:space="preserve"> </w:t>
      </w:r>
      <w:r w:rsidRPr="000F5D3F">
        <w:rPr>
          <w:lang w:eastAsia="en-GB"/>
        </w:rPr>
        <w:t>included</w:t>
      </w:r>
      <w:r w:rsidR="00C64050">
        <w:rPr>
          <w:lang w:eastAsia="en-GB"/>
        </w:rPr>
        <w:t xml:space="preserve"> </w:t>
      </w:r>
      <w:r w:rsidRPr="000F5D3F">
        <w:rPr>
          <w:lang w:eastAsia="en-GB"/>
        </w:rPr>
        <w:t>in</w:t>
      </w:r>
      <w:r w:rsidR="00C64050">
        <w:rPr>
          <w:lang w:eastAsia="en-GB"/>
        </w:rPr>
        <w:t xml:space="preserve"> </w:t>
      </w:r>
      <w:r w:rsidRPr="000F5D3F">
        <w:rPr>
          <w:lang w:eastAsia="en-GB"/>
        </w:rPr>
        <w:t>the</w:t>
      </w:r>
      <w:r w:rsidR="00C64050">
        <w:rPr>
          <w:lang w:eastAsia="en-GB"/>
        </w:rPr>
        <w:t xml:space="preserve"> </w:t>
      </w:r>
      <w:r w:rsidRPr="000F5D3F">
        <w:rPr>
          <w:lang w:eastAsia="en-GB"/>
        </w:rPr>
        <w:t>grantor</w:t>
      </w:r>
      <w:r w:rsidR="00C64050">
        <w:rPr>
          <w:lang w:eastAsia="en-GB"/>
        </w:rPr>
        <w:t xml:space="preserve"> </w:t>
      </w:r>
      <w:r w:rsidRPr="000F5D3F">
        <w:rPr>
          <w:lang w:eastAsia="en-GB"/>
        </w:rPr>
        <w:t>estate</w:t>
      </w:r>
      <w:r w:rsidR="00C64050">
        <w:rPr>
          <w:lang w:eastAsia="en-GB"/>
        </w:rPr>
        <w:t xml:space="preserve"> </w:t>
      </w:r>
      <w:r w:rsidRPr="000F5D3F">
        <w:rPr>
          <w:lang w:eastAsia="en-GB"/>
        </w:rPr>
        <w:t>if</w:t>
      </w:r>
      <w:r w:rsidR="00C64050">
        <w:rPr>
          <w:lang w:eastAsia="en-GB"/>
        </w:rPr>
        <w:t xml:space="preserve"> </w:t>
      </w:r>
      <w:r w:rsidRPr="000F5D3F">
        <w:rPr>
          <w:lang w:eastAsia="en-GB"/>
        </w:rPr>
        <w:t>she</w:t>
      </w:r>
      <w:r w:rsidR="00C64050">
        <w:rPr>
          <w:lang w:eastAsia="en-GB"/>
        </w:rPr>
        <w:t xml:space="preserve"> </w:t>
      </w:r>
      <w:r w:rsidRPr="000F5D3F">
        <w:rPr>
          <w:lang w:eastAsia="en-GB"/>
        </w:rPr>
        <w:t>died</w:t>
      </w:r>
      <w:r w:rsidR="00C64050">
        <w:rPr>
          <w:lang w:eastAsia="en-GB"/>
        </w:rPr>
        <w:t xml:space="preserve"> </w:t>
      </w:r>
      <w:r w:rsidRPr="000F5D3F">
        <w:rPr>
          <w:lang w:eastAsia="en-GB"/>
        </w:rPr>
        <w:t>at</w:t>
      </w:r>
      <w:r w:rsidR="00C64050">
        <w:rPr>
          <w:lang w:eastAsia="en-GB"/>
        </w:rPr>
        <w:t xml:space="preserve"> </w:t>
      </w:r>
      <w:r w:rsidRPr="000F5D3F">
        <w:rPr>
          <w:lang w:eastAsia="en-GB"/>
        </w:rPr>
        <w:t>that</w:t>
      </w:r>
      <w:r w:rsidR="00C64050">
        <w:rPr>
          <w:lang w:eastAsia="en-GB"/>
        </w:rPr>
        <w:t xml:space="preserve"> </w:t>
      </w:r>
      <w:r w:rsidRPr="000F5D3F">
        <w:rPr>
          <w:lang w:eastAsia="en-GB"/>
        </w:rPr>
        <w:t>moment.</w:t>
      </w:r>
      <w:r w:rsidR="00C64050">
        <w:rPr>
          <w:lang w:eastAsia="en-GB"/>
        </w:rPr>
        <w:t xml:space="preserve"> </w:t>
      </w:r>
      <w:r w:rsidRPr="000F5D3F">
        <w:rPr>
          <w:lang w:eastAsia="en-GB"/>
        </w:rPr>
        <w:t>The</w:t>
      </w:r>
      <w:r w:rsidR="00C64050">
        <w:rPr>
          <w:lang w:eastAsia="en-GB"/>
        </w:rPr>
        <w:t xml:space="preserve"> </w:t>
      </w:r>
      <w:r w:rsidRPr="000F5D3F">
        <w:rPr>
          <w:lang w:eastAsia="en-GB"/>
        </w:rPr>
        <w:t>LLC</w:t>
      </w:r>
      <w:r w:rsidR="00C64050">
        <w:rPr>
          <w:lang w:eastAsia="en-GB"/>
        </w:rPr>
        <w:t xml:space="preserve"> </w:t>
      </w:r>
      <w:r w:rsidRPr="000F5D3F">
        <w:rPr>
          <w:lang w:eastAsia="en-GB"/>
        </w:rPr>
        <w:t>would</w:t>
      </w:r>
      <w:r w:rsidR="00C64050">
        <w:rPr>
          <w:lang w:eastAsia="en-GB"/>
        </w:rPr>
        <w:t xml:space="preserve"> </w:t>
      </w:r>
      <w:r w:rsidRPr="000F5D3F">
        <w:rPr>
          <w:lang w:eastAsia="en-GB"/>
        </w:rPr>
        <w:t>have</w:t>
      </w:r>
      <w:r w:rsidR="00C64050">
        <w:rPr>
          <w:lang w:eastAsia="en-GB"/>
        </w:rPr>
        <w:t xml:space="preserve"> </w:t>
      </w:r>
      <w:r w:rsidRPr="000F5D3F">
        <w:rPr>
          <w:lang w:eastAsia="en-GB"/>
        </w:rPr>
        <w:t>all</w:t>
      </w:r>
      <w:r w:rsidR="00C64050">
        <w:rPr>
          <w:lang w:eastAsia="en-GB"/>
        </w:rPr>
        <w:t xml:space="preserve"> </w:t>
      </w:r>
      <w:r w:rsidRPr="000F5D3F">
        <w:rPr>
          <w:lang w:eastAsia="en-GB"/>
        </w:rPr>
        <w:t>the</w:t>
      </w:r>
      <w:r w:rsidR="00C64050">
        <w:rPr>
          <w:lang w:eastAsia="en-GB"/>
        </w:rPr>
        <w:t xml:space="preserve"> </w:t>
      </w:r>
      <w:r w:rsidRPr="000F5D3F">
        <w:rPr>
          <w:lang w:eastAsia="en-GB"/>
        </w:rPr>
        <w:t>beneficial</w:t>
      </w:r>
      <w:r w:rsidR="00C64050">
        <w:rPr>
          <w:lang w:eastAsia="en-GB"/>
        </w:rPr>
        <w:t xml:space="preserve"> </w:t>
      </w:r>
      <w:r w:rsidRPr="000F5D3F">
        <w:rPr>
          <w:lang w:eastAsia="en-GB"/>
        </w:rPr>
        <w:t>interests</w:t>
      </w:r>
      <w:r w:rsidR="00C64050">
        <w:rPr>
          <w:lang w:eastAsia="en-GB"/>
        </w:rPr>
        <w:t xml:space="preserve"> </w:t>
      </w:r>
      <w:r w:rsidRPr="000F5D3F">
        <w:rPr>
          <w:lang w:eastAsia="en-GB"/>
        </w:rPr>
        <w:t>in</w:t>
      </w:r>
      <w:r w:rsidR="00C64050">
        <w:rPr>
          <w:lang w:eastAsia="en-GB"/>
        </w:rPr>
        <w:t xml:space="preserve"> </w:t>
      </w:r>
      <w:r w:rsidRPr="000F5D3F">
        <w:rPr>
          <w:lang w:eastAsia="en-GB"/>
        </w:rPr>
        <w:t>the</w:t>
      </w:r>
      <w:r w:rsidR="00C64050">
        <w:rPr>
          <w:lang w:eastAsia="en-GB"/>
        </w:rPr>
        <w:t xml:space="preserve"> </w:t>
      </w:r>
      <w:r w:rsidRPr="000F5D3F">
        <w:rPr>
          <w:lang w:eastAsia="en-GB"/>
        </w:rPr>
        <w:t>GRAT</w:t>
      </w:r>
      <w:r w:rsidR="00C64050">
        <w:rPr>
          <w:lang w:eastAsia="en-GB"/>
        </w:rPr>
        <w:t xml:space="preserve"> </w:t>
      </w:r>
      <w:r w:rsidRPr="000F5D3F">
        <w:rPr>
          <w:lang w:eastAsia="en-GB"/>
        </w:rPr>
        <w:t>property.</w:t>
      </w:r>
      <w:r w:rsidR="00C64050">
        <w:rPr>
          <w:lang w:eastAsia="en-GB"/>
        </w:rPr>
        <w:t xml:space="preserve"> </w:t>
      </w:r>
      <w:r w:rsidRPr="000F5D3F">
        <w:rPr>
          <w:lang w:eastAsia="en-GB"/>
        </w:rPr>
        <w:t>If</w:t>
      </w:r>
      <w:r w:rsidR="00C64050">
        <w:rPr>
          <w:lang w:eastAsia="en-GB"/>
        </w:rPr>
        <w:t xml:space="preserve"> </w:t>
      </w:r>
      <w:r w:rsidRPr="000F5D3F">
        <w:rPr>
          <w:lang w:eastAsia="en-GB"/>
        </w:rPr>
        <w:t>the</w:t>
      </w:r>
      <w:r w:rsidR="00C64050">
        <w:rPr>
          <w:lang w:eastAsia="en-GB"/>
        </w:rPr>
        <w:t xml:space="preserve"> </w:t>
      </w:r>
      <w:r w:rsidRPr="000F5D3F">
        <w:rPr>
          <w:lang w:eastAsia="en-GB"/>
        </w:rPr>
        <w:t>LLC</w:t>
      </w:r>
      <w:r w:rsidR="00C64050">
        <w:rPr>
          <w:lang w:eastAsia="en-GB"/>
        </w:rPr>
        <w:t xml:space="preserve"> </w:t>
      </w:r>
      <w:r w:rsidRPr="000F5D3F">
        <w:rPr>
          <w:lang w:eastAsia="en-GB"/>
        </w:rPr>
        <w:t>could</w:t>
      </w:r>
      <w:r w:rsidR="00C64050">
        <w:rPr>
          <w:lang w:eastAsia="en-GB"/>
        </w:rPr>
        <w:t xml:space="preserve"> </w:t>
      </w:r>
      <w:r w:rsidRPr="000F5D3F">
        <w:rPr>
          <w:lang w:eastAsia="en-GB"/>
        </w:rPr>
        <w:t>become</w:t>
      </w:r>
      <w:r w:rsidR="00C64050">
        <w:rPr>
          <w:lang w:eastAsia="en-GB"/>
        </w:rPr>
        <w:t xml:space="preserve"> </w:t>
      </w:r>
      <w:r w:rsidRPr="000F5D3F">
        <w:rPr>
          <w:lang w:eastAsia="en-GB"/>
        </w:rPr>
        <w:t>trustee</w:t>
      </w:r>
      <w:r w:rsidR="00C64050">
        <w:rPr>
          <w:lang w:eastAsia="en-GB"/>
        </w:rPr>
        <w:t xml:space="preserve"> </w:t>
      </w:r>
      <w:r w:rsidRPr="000F5D3F">
        <w:rPr>
          <w:lang w:eastAsia="en-GB"/>
        </w:rPr>
        <w:t>of</w:t>
      </w:r>
      <w:r w:rsidR="00C64050">
        <w:rPr>
          <w:lang w:eastAsia="en-GB"/>
        </w:rPr>
        <w:t xml:space="preserve"> </w:t>
      </w:r>
      <w:r w:rsidRPr="000F5D3F">
        <w:rPr>
          <w:lang w:eastAsia="en-GB"/>
        </w:rPr>
        <w:t>the</w:t>
      </w:r>
      <w:r w:rsidR="00C64050">
        <w:rPr>
          <w:lang w:eastAsia="en-GB"/>
        </w:rPr>
        <w:t xml:space="preserve"> </w:t>
      </w:r>
      <w:r w:rsidRPr="000F5D3F">
        <w:rPr>
          <w:lang w:eastAsia="en-GB"/>
        </w:rPr>
        <w:t>GRAT</w:t>
      </w:r>
      <w:r w:rsidR="00C64050">
        <w:rPr>
          <w:lang w:eastAsia="en-GB"/>
        </w:rPr>
        <w:t xml:space="preserve"> </w:t>
      </w:r>
      <w:r w:rsidRPr="000F5D3F">
        <w:rPr>
          <w:lang w:eastAsia="en-GB"/>
        </w:rPr>
        <w:t>then</w:t>
      </w:r>
      <w:r w:rsidR="00C64050">
        <w:rPr>
          <w:lang w:eastAsia="en-GB"/>
        </w:rPr>
        <w:t xml:space="preserve"> </w:t>
      </w:r>
      <w:r w:rsidRPr="000F5D3F">
        <w:rPr>
          <w:lang w:eastAsia="en-GB"/>
        </w:rPr>
        <w:t>the</w:t>
      </w:r>
      <w:r w:rsidR="00C64050">
        <w:rPr>
          <w:lang w:eastAsia="en-GB"/>
        </w:rPr>
        <w:t xml:space="preserve"> </w:t>
      </w:r>
      <w:r w:rsidRPr="000F5D3F">
        <w:rPr>
          <w:lang w:eastAsia="en-GB"/>
        </w:rPr>
        <w:t>doctrine</w:t>
      </w:r>
      <w:r w:rsidR="00C64050">
        <w:rPr>
          <w:lang w:eastAsia="en-GB"/>
        </w:rPr>
        <w:t xml:space="preserve"> </w:t>
      </w:r>
      <w:r w:rsidRPr="000F5D3F">
        <w:rPr>
          <w:lang w:eastAsia="en-GB"/>
        </w:rPr>
        <w:t>of</w:t>
      </w:r>
      <w:r w:rsidR="00C64050">
        <w:rPr>
          <w:lang w:eastAsia="en-GB"/>
        </w:rPr>
        <w:t xml:space="preserve"> </w:t>
      </w:r>
      <w:r w:rsidRPr="000F5D3F">
        <w:rPr>
          <w:lang w:eastAsia="en-GB"/>
        </w:rPr>
        <w:t>merger</w:t>
      </w:r>
      <w:r w:rsidR="00C64050">
        <w:rPr>
          <w:lang w:eastAsia="en-GB"/>
        </w:rPr>
        <w:t xml:space="preserve"> </w:t>
      </w:r>
      <w:r w:rsidRPr="000F5D3F">
        <w:rPr>
          <w:lang w:eastAsia="en-GB"/>
        </w:rPr>
        <w:t>ought</w:t>
      </w:r>
      <w:r w:rsidR="00C64050">
        <w:rPr>
          <w:lang w:eastAsia="en-GB"/>
        </w:rPr>
        <w:t xml:space="preserve"> </w:t>
      </w:r>
      <w:r w:rsidRPr="000F5D3F">
        <w:rPr>
          <w:lang w:eastAsia="en-GB"/>
        </w:rPr>
        <w:t>to</w:t>
      </w:r>
      <w:r w:rsidR="00C64050">
        <w:rPr>
          <w:lang w:eastAsia="en-GB"/>
        </w:rPr>
        <w:t xml:space="preserve"> </w:t>
      </w:r>
      <w:r w:rsidRPr="000F5D3F">
        <w:rPr>
          <w:lang w:eastAsia="en-GB"/>
        </w:rPr>
        <w:t>apply.</w:t>
      </w:r>
      <w:r w:rsidR="00C64050">
        <w:rPr>
          <w:lang w:eastAsia="en-GB"/>
        </w:rPr>
        <w:t xml:space="preserve"> </w:t>
      </w:r>
      <w:r w:rsidRPr="000F5D3F">
        <w:rPr>
          <w:lang w:eastAsia="en-GB"/>
        </w:rPr>
        <w:t>May</w:t>
      </w:r>
      <w:r w:rsidR="00C64050">
        <w:rPr>
          <w:lang w:eastAsia="en-GB"/>
        </w:rPr>
        <w:t xml:space="preserve"> </w:t>
      </w:r>
      <w:r w:rsidRPr="000F5D3F">
        <w:rPr>
          <w:lang w:eastAsia="en-GB"/>
        </w:rPr>
        <w:t>an</w:t>
      </w:r>
      <w:r w:rsidR="00C64050">
        <w:rPr>
          <w:lang w:eastAsia="en-GB"/>
        </w:rPr>
        <w:t xml:space="preserve"> </w:t>
      </w:r>
      <w:r w:rsidRPr="000F5D3F">
        <w:rPr>
          <w:lang w:eastAsia="en-GB"/>
        </w:rPr>
        <w:t>LLC</w:t>
      </w:r>
      <w:r w:rsidR="00C64050">
        <w:rPr>
          <w:lang w:eastAsia="en-GB"/>
        </w:rPr>
        <w:t xml:space="preserve"> </w:t>
      </w:r>
      <w:r w:rsidRPr="000F5D3F">
        <w:rPr>
          <w:lang w:eastAsia="en-GB"/>
        </w:rPr>
        <w:t>serve</w:t>
      </w:r>
      <w:r w:rsidR="00C64050">
        <w:rPr>
          <w:lang w:eastAsia="en-GB"/>
        </w:rPr>
        <w:t xml:space="preserve"> </w:t>
      </w:r>
      <w:r w:rsidRPr="000F5D3F">
        <w:rPr>
          <w:lang w:eastAsia="en-GB"/>
        </w:rPr>
        <w:t>as</w:t>
      </w:r>
      <w:r w:rsidR="00C64050">
        <w:rPr>
          <w:lang w:eastAsia="en-GB"/>
        </w:rPr>
        <w:t xml:space="preserve"> </w:t>
      </w:r>
      <w:r w:rsidRPr="000F5D3F">
        <w:rPr>
          <w:lang w:eastAsia="en-GB"/>
        </w:rPr>
        <w:t>trustee?</w:t>
      </w:r>
      <w:r w:rsidR="00C64050">
        <w:rPr>
          <w:lang w:eastAsia="en-GB"/>
        </w:rPr>
        <w:t xml:space="preserve"> </w:t>
      </w:r>
      <w:r w:rsidRPr="000F5D3F">
        <w:rPr>
          <w:lang w:eastAsia="en-GB"/>
        </w:rPr>
        <w:t>Under</w:t>
      </w:r>
      <w:r w:rsidR="00C64050">
        <w:rPr>
          <w:lang w:eastAsia="en-GB"/>
        </w:rPr>
        <w:t xml:space="preserve"> </w:t>
      </w:r>
      <w:r w:rsidRPr="000F5D3F">
        <w:rPr>
          <w:lang w:eastAsia="en-GB"/>
        </w:rPr>
        <w:t>the</w:t>
      </w:r>
      <w:r w:rsidR="00C64050">
        <w:rPr>
          <w:lang w:eastAsia="en-GB"/>
        </w:rPr>
        <w:t xml:space="preserve"> </w:t>
      </w:r>
      <w:r w:rsidRPr="000F5D3F">
        <w:rPr>
          <w:lang w:eastAsia="en-GB"/>
        </w:rPr>
        <w:t>UTC,</w:t>
      </w:r>
      <w:r w:rsidR="00C64050">
        <w:rPr>
          <w:lang w:eastAsia="en-GB"/>
        </w:rPr>
        <w:t xml:space="preserve"> </w:t>
      </w:r>
      <w:r w:rsidRPr="000F5D3F">
        <w:rPr>
          <w:lang w:eastAsia="en-GB"/>
        </w:rPr>
        <w:t>for</w:t>
      </w:r>
      <w:r w:rsidR="00C64050">
        <w:rPr>
          <w:lang w:eastAsia="en-GB"/>
        </w:rPr>
        <w:t xml:space="preserve"> </w:t>
      </w:r>
      <w:r w:rsidRPr="000F5D3F">
        <w:rPr>
          <w:lang w:eastAsia="en-GB"/>
        </w:rPr>
        <w:t>example,</w:t>
      </w:r>
      <w:r w:rsidR="00C64050">
        <w:rPr>
          <w:lang w:eastAsia="en-GB"/>
        </w:rPr>
        <w:t xml:space="preserve"> </w:t>
      </w:r>
      <w:r w:rsidRPr="000F5D3F">
        <w:rPr>
          <w:lang w:eastAsia="en-GB"/>
        </w:rPr>
        <w:t>there</w:t>
      </w:r>
      <w:r w:rsidR="00C64050">
        <w:rPr>
          <w:lang w:eastAsia="en-GB"/>
        </w:rPr>
        <w:t xml:space="preserve"> </w:t>
      </w:r>
      <w:r w:rsidRPr="000F5D3F">
        <w:rPr>
          <w:lang w:eastAsia="en-GB"/>
        </w:rPr>
        <w:t>is</w:t>
      </w:r>
      <w:r w:rsidR="00C64050">
        <w:rPr>
          <w:lang w:eastAsia="en-GB"/>
        </w:rPr>
        <w:t xml:space="preserve"> </w:t>
      </w:r>
      <w:r w:rsidRPr="000F5D3F">
        <w:rPr>
          <w:lang w:eastAsia="en-GB"/>
        </w:rPr>
        <w:t>no</w:t>
      </w:r>
      <w:r w:rsidR="00C64050">
        <w:rPr>
          <w:lang w:eastAsia="en-GB"/>
        </w:rPr>
        <w:t xml:space="preserve"> </w:t>
      </w:r>
      <w:r w:rsidRPr="000F5D3F">
        <w:rPr>
          <w:lang w:eastAsia="en-GB"/>
        </w:rPr>
        <w:t>definition</w:t>
      </w:r>
      <w:r w:rsidR="00C64050">
        <w:rPr>
          <w:lang w:eastAsia="en-GB"/>
        </w:rPr>
        <w:t xml:space="preserve"> </w:t>
      </w:r>
      <w:r w:rsidRPr="000F5D3F">
        <w:rPr>
          <w:lang w:eastAsia="en-GB"/>
        </w:rPr>
        <w:t>of</w:t>
      </w:r>
      <w:r w:rsidR="00C64050">
        <w:rPr>
          <w:lang w:eastAsia="en-GB"/>
        </w:rPr>
        <w:t xml:space="preserve"> </w:t>
      </w:r>
      <w:r w:rsidRPr="000F5D3F">
        <w:rPr>
          <w:lang w:eastAsia="en-GB"/>
        </w:rPr>
        <w:t>trustee</w:t>
      </w:r>
      <w:r w:rsidR="00C64050">
        <w:rPr>
          <w:lang w:eastAsia="en-GB"/>
        </w:rPr>
        <w:t xml:space="preserve"> </w:t>
      </w:r>
      <w:r w:rsidRPr="000F5D3F">
        <w:rPr>
          <w:lang w:eastAsia="en-GB"/>
        </w:rPr>
        <w:t>but</w:t>
      </w:r>
      <w:r w:rsidR="00C64050">
        <w:rPr>
          <w:lang w:eastAsia="en-GB"/>
        </w:rPr>
        <w:t xml:space="preserve"> </w:t>
      </w:r>
      <w:r w:rsidRPr="000F5D3F">
        <w:rPr>
          <w:lang w:eastAsia="en-GB"/>
        </w:rPr>
        <w:t>there</w:t>
      </w:r>
      <w:r w:rsidR="00C64050">
        <w:rPr>
          <w:lang w:eastAsia="en-GB"/>
        </w:rPr>
        <w:t xml:space="preserve"> </w:t>
      </w:r>
      <w:r w:rsidRPr="000F5D3F">
        <w:rPr>
          <w:lang w:eastAsia="en-GB"/>
        </w:rPr>
        <w:t>are</w:t>
      </w:r>
      <w:r w:rsidR="00C64050">
        <w:rPr>
          <w:lang w:eastAsia="en-GB"/>
        </w:rPr>
        <w:t xml:space="preserve"> </w:t>
      </w:r>
      <w:r w:rsidRPr="000F5D3F">
        <w:rPr>
          <w:lang w:eastAsia="en-GB"/>
        </w:rPr>
        <w:t>broad</w:t>
      </w:r>
      <w:r w:rsidR="00C64050">
        <w:rPr>
          <w:lang w:eastAsia="en-GB"/>
        </w:rPr>
        <w:t xml:space="preserve"> </w:t>
      </w:r>
      <w:r w:rsidRPr="000F5D3F">
        <w:rPr>
          <w:lang w:eastAsia="en-GB"/>
        </w:rPr>
        <w:t>references</w:t>
      </w:r>
      <w:r w:rsidR="00C64050">
        <w:rPr>
          <w:lang w:eastAsia="en-GB"/>
        </w:rPr>
        <w:t xml:space="preserve"> </w:t>
      </w:r>
      <w:r w:rsidRPr="000F5D3F">
        <w:rPr>
          <w:lang w:eastAsia="en-GB"/>
        </w:rPr>
        <w:t>to</w:t>
      </w:r>
      <w:r w:rsidR="00C64050">
        <w:rPr>
          <w:lang w:eastAsia="en-GB"/>
        </w:rPr>
        <w:t xml:space="preserve"> </w:t>
      </w:r>
      <w:r w:rsidRPr="000F5D3F">
        <w:rPr>
          <w:lang w:eastAsia="en-GB"/>
        </w:rPr>
        <w:t>“persons”</w:t>
      </w:r>
      <w:r w:rsidR="00C64050">
        <w:rPr>
          <w:lang w:eastAsia="en-GB"/>
        </w:rPr>
        <w:t xml:space="preserve"> </w:t>
      </w:r>
      <w:r w:rsidRPr="000F5D3F">
        <w:rPr>
          <w:lang w:eastAsia="en-GB"/>
        </w:rPr>
        <w:t>serving</w:t>
      </w:r>
      <w:r w:rsidR="00C64050">
        <w:rPr>
          <w:lang w:eastAsia="en-GB"/>
        </w:rPr>
        <w:t xml:space="preserve"> </w:t>
      </w:r>
      <w:r w:rsidRPr="000F5D3F">
        <w:rPr>
          <w:lang w:eastAsia="en-GB"/>
        </w:rPr>
        <w:t>as</w:t>
      </w:r>
      <w:r w:rsidR="00C64050">
        <w:rPr>
          <w:lang w:eastAsia="en-GB"/>
        </w:rPr>
        <w:t xml:space="preserve"> </w:t>
      </w:r>
      <w:r w:rsidRPr="000F5D3F">
        <w:rPr>
          <w:lang w:eastAsia="en-GB"/>
        </w:rPr>
        <w:t>trustee</w:t>
      </w:r>
      <w:r w:rsidR="00C64050">
        <w:rPr>
          <w:lang w:eastAsia="en-GB"/>
        </w:rPr>
        <w:t xml:space="preserve"> </w:t>
      </w:r>
      <w:r w:rsidRPr="000F5D3F">
        <w:rPr>
          <w:lang w:eastAsia="en-GB"/>
        </w:rPr>
        <w:t>and</w:t>
      </w:r>
      <w:r w:rsidR="00C64050">
        <w:rPr>
          <w:lang w:eastAsia="en-GB"/>
        </w:rPr>
        <w:t xml:space="preserve"> </w:t>
      </w:r>
      <w:r w:rsidRPr="000F5D3F">
        <w:rPr>
          <w:lang w:eastAsia="en-GB"/>
        </w:rPr>
        <w:t>the</w:t>
      </w:r>
      <w:r w:rsidR="00C64050">
        <w:rPr>
          <w:lang w:eastAsia="en-GB"/>
        </w:rPr>
        <w:t xml:space="preserve"> </w:t>
      </w:r>
      <w:r w:rsidRPr="000F5D3F">
        <w:rPr>
          <w:lang w:eastAsia="en-GB"/>
        </w:rPr>
        <w:t>definition</w:t>
      </w:r>
      <w:r w:rsidR="00C64050">
        <w:rPr>
          <w:lang w:eastAsia="en-GB"/>
        </w:rPr>
        <w:t xml:space="preserve"> </w:t>
      </w:r>
      <w:r w:rsidRPr="000F5D3F">
        <w:rPr>
          <w:lang w:eastAsia="en-GB"/>
        </w:rPr>
        <w:t>of</w:t>
      </w:r>
      <w:r w:rsidR="00C64050">
        <w:rPr>
          <w:lang w:eastAsia="en-GB"/>
        </w:rPr>
        <w:t xml:space="preserve"> </w:t>
      </w:r>
      <w:r w:rsidRPr="000F5D3F">
        <w:rPr>
          <w:lang w:eastAsia="en-GB"/>
        </w:rPr>
        <w:t>person</w:t>
      </w:r>
      <w:r w:rsidR="00C64050">
        <w:rPr>
          <w:lang w:eastAsia="en-GB"/>
        </w:rPr>
        <w:t xml:space="preserve"> </w:t>
      </w:r>
      <w:r w:rsidRPr="000F5D3F">
        <w:rPr>
          <w:lang w:eastAsia="en-GB"/>
        </w:rPr>
        <w:t>includes</w:t>
      </w:r>
      <w:r w:rsidR="00C64050">
        <w:rPr>
          <w:lang w:eastAsia="en-GB"/>
        </w:rPr>
        <w:t xml:space="preserve"> </w:t>
      </w:r>
      <w:r w:rsidRPr="000F5D3F">
        <w:rPr>
          <w:lang w:eastAsia="en-GB"/>
        </w:rPr>
        <w:t>entities</w:t>
      </w:r>
      <w:r w:rsidR="00C64050">
        <w:rPr>
          <w:lang w:eastAsia="en-GB"/>
        </w:rPr>
        <w:t xml:space="preserve"> </w:t>
      </w:r>
      <w:r w:rsidRPr="000F5D3F">
        <w:rPr>
          <w:lang w:eastAsia="en-GB"/>
        </w:rPr>
        <w:t>like</w:t>
      </w:r>
      <w:r w:rsidR="00C64050">
        <w:rPr>
          <w:lang w:eastAsia="en-GB"/>
        </w:rPr>
        <w:t xml:space="preserve"> </w:t>
      </w:r>
      <w:r w:rsidRPr="000F5D3F">
        <w:rPr>
          <w:lang w:eastAsia="en-GB"/>
        </w:rPr>
        <w:t>an</w:t>
      </w:r>
      <w:r w:rsidR="00C64050">
        <w:rPr>
          <w:lang w:eastAsia="en-GB"/>
        </w:rPr>
        <w:t xml:space="preserve"> </w:t>
      </w:r>
      <w:r w:rsidRPr="000F5D3F">
        <w:rPr>
          <w:lang w:eastAsia="en-GB"/>
        </w:rPr>
        <w:t>LLC.</w:t>
      </w:r>
      <w:r w:rsidR="00C64050">
        <w:rPr>
          <w:lang w:eastAsia="en-GB"/>
        </w:rPr>
        <w:t xml:space="preserve"> </w:t>
      </w:r>
      <w:r w:rsidRPr="000F5D3F">
        <w:rPr>
          <w:lang w:eastAsia="en-GB"/>
        </w:rPr>
        <w:t>Some</w:t>
      </w:r>
      <w:r w:rsidR="00C64050">
        <w:rPr>
          <w:lang w:eastAsia="en-GB"/>
        </w:rPr>
        <w:t xml:space="preserve"> </w:t>
      </w:r>
      <w:r w:rsidRPr="000F5D3F">
        <w:rPr>
          <w:lang w:eastAsia="en-GB"/>
        </w:rPr>
        <w:t>states</w:t>
      </w:r>
      <w:r w:rsidR="00C64050">
        <w:rPr>
          <w:lang w:eastAsia="en-GB"/>
        </w:rPr>
        <w:t xml:space="preserve"> </w:t>
      </w:r>
      <w:r w:rsidRPr="000F5D3F">
        <w:rPr>
          <w:lang w:eastAsia="en-GB"/>
        </w:rPr>
        <w:t>may</w:t>
      </w:r>
      <w:r w:rsidR="00C64050">
        <w:rPr>
          <w:lang w:eastAsia="en-GB"/>
        </w:rPr>
        <w:t xml:space="preserve"> </w:t>
      </w:r>
      <w:r w:rsidRPr="000F5D3F">
        <w:rPr>
          <w:lang w:eastAsia="en-GB"/>
        </w:rPr>
        <w:t>impose</w:t>
      </w:r>
      <w:r w:rsidR="00C64050">
        <w:rPr>
          <w:lang w:eastAsia="en-GB"/>
        </w:rPr>
        <w:t xml:space="preserve"> </w:t>
      </w:r>
      <w:r w:rsidRPr="000F5D3F">
        <w:rPr>
          <w:lang w:eastAsia="en-GB"/>
        </w:rPr>
        <w:t>other</w:t>
      </w:r>
      <w:r w:rsidR="00C64050">
        <w:rPr>
          <w:lang w:eastAsia="en-GB"/>
        </w:rPr>
        <w:t xml:space="preserve"> </w:t>
      </w:r>
      <w:r w:rsidRPr="000F5D3F">
        <w:rPr>
          <w:lang w:eastAsia="en-GB"/>
        </w:rPr>
        <w:t>limitations.</w:t>
      </w:r>
      <w:r w:rsidR="00C64050">
        <w:rPr>
          <w:lang w:eastAsia="en-GB"/>
        </w:rPr>
        <w:t xml:space="preserve">  </w:t>
      </w:r>
      <w:r w:rsidR="007C6CC4">
        <w:rPr>
          <w:lang w:eastAsia="en-GB"/>
        </w:rPr>
        <w:t>In</w:t>
      </w:r>
      <w:r w:rsidR="00C64050">
        <w:rPr>
          <w:lang w:eastAsia="en-GB"/>
        </w:rPr>
        <w:t xml:space="preserve"> </w:t>
      </w:r>
      <w:r w:rsidR="007C6CC4">
        <w:rPr>
          <w:lang w:eastAsia="en-GB"/>
        </w:rPr>
        <w:t>PLR</w:t>
      </w:r>
      <w:r w:rsidR="00C64050">
        <w:rPr>
          <w:lang w:eastAsia="en-GB"/>
        </w:rPr>
        <w:t xml:space="preserve"> </w:t>
      </w:r>
      <w:r w:rsidR="007C6CC4">
        <w:rPr>
          <w:lang w:eastAsia="en-GB"/>
        </w:rPr>
        <w:t>201928005,</w:t>
      </w:r>
      <w:r w:rsidR="00C64050">
        <w:rPr>
          <w:lang w:eastAsia="en-GB"/>
        </w:rPr>
        <w:t xml:space="preserve"> </w:t>
      </w:r>
      <w:r w:rsidR="007C6CC4">
        <w:rPr>
          <w:lang w:eastAsia="en-GB"/>
        </w:rPr>
        <w:t>dealing</w:t>
      </w:r>
      <w:r w:rsidR="00C64050">
        <w:rPr>
          <w:lang w:eastAsia="en-GB"/>
        </w:rPr>
        <w:t xml:space="preserve"> </w:t>
      </w:r>
      <w:r w:rsidR="007C6CC4">
        <w:rPr>
          <w:lang w:eastAsia="en-GB"/>
        </w:rPr>
        <w:t>with</w:t>
      </w:r>
      <w:r w:rsidR="00C64050">
        <w:rPr>
          <w:lang w:eastAsia="en-GB"/>
        </w:rPr>
        <w:t xml:space="preserve"> </w:t>
      </w:r>
      <w:r w:rsidR="007C6CC4">
        <w:rPr>
          <w:lang w:eastAsia="en-GB"/>
        </w:rPr>
        <w:t>merger</w:t>
      </w:r>
      <w:r w:rsidR="00C64050">
        <w:rPr>
          <w:lang w:eastAsia="en-GB"/>
        </w:rPr>
        <w:t xml:space="preserve"> </w:t>
      </w:r>
      <w:r w:rsidR="007C6CC4">
        <w:rPr>
          <w:lang w:eastAsia="en-GB"/>
        </w:rPr>
        <w:t>in</w:t>
      </w:r>
      <w:r w:rsidR="00C64050">
        <w:rPr>
          <w:lang w:eastAsia="en-GB"/>
        </w:rPr>
        <w:t xml:space="preserve"> </w:t>
      </w:r>
      <w:r w:rsidR="007C6CC4">
        <w:rPr>
          <w:lang w:eastAsia="en-GB"/>
        </w:rPr>
        <w:t>the</w:t>
      </w:r>
      <w:r w:rsidR="00C64050">
        <w:rPr>
          <w:lang w:eastAsia="en-GB"/>
        </w:rPr>
        <w:t xml:space="preserve"> </w:t>
      </w:r>
      <w:r w:rsidR="007C6CC4">
        <w:rPr>
          <w:lang w:eastAsia="en-GB"/>
        </w:rPr>
        <w:t>context</w:t>
      </w:r>
      <w:r w:rsidR="00C64050">
        <w:rPr>
          <w:lang w:eastAsia="en-GB"/>
        </w:rPr>
        <w:t xml:space="preserve"> </w:t>
      </w:r>
      <w:r w:rsidR="007C6CC4">
        <w:rPr>
          <w:lang w:eastAsia="en-GB"/>
        </w:rPr>
        <w:t>of</w:t>
      </w:r>
      <w:r w:rsidR="00C64050">
        <w:rPr>
          <w:lang w:eastAsia="en-GB"/>
        </w:rPr>
        <w:t xml:space="preserve"> </w:t>
      </w:r>
      <w:r w:rsidR="007C6CC4">
        <w:rPr>
          <w:lang w:eastAsia="en-GB"/>
        </w:rPr>
        <w:t>a</w:t>
      </w:r>
      <w:r w:rsidR="00C64050">
        <w:rPr>
          <w:lang w:eastAsia="en-GB"/>
        </w:rPr>
        <w:t xml:space="preserve"> </w:t>
      </w:r>
      <w:r w:rsidR="007C6CC4">
        <w:rPr>
          <w:lang w:eastAsia="en-GB"/>
        </w:rPr>
        <w:t>GRAT,</w:t>
      </w:r>
      <w:r w:rsidR="00C64050">
        <w:rPr>
          <w:lang w:eastAsia="en-GB"/>
        </w:rPr>
        <w:t xml:space="preserve"> </w:t>
      </w:r>
      <w:r w:rsidR="007C6CC4">
        <w:rPr>
          <w:lang w:eastAsia="en-GB"/>
        </w:rPr>
        <w:t>the</w:t>
      </w:r>
      <w:r w:rsidR="00C64050">
        <w:rPr>
          <w:lang w:eastAsia="en-GB"/>
        </w:rPr>
        <w:t xml:space="preserve"> </w:t>
      </w:r>
      <w:r w:rsidR="007C6CC4">
        <w:rPr>
          <w:lang w:eastAsia="en-GB"/>
        </w:rPr>
        <w:t>IRS</w:t>
      </w:r>
      <w:r w:rsidR="00C64050">
        <w:rPr>
          <w:lang w:eastAsia="en-GB"/>
        </w:rPr>
        <w:t xml:space="preserve"> </w:t>
      </w:r>
      <w:r w:rsidR="007C6CC4">
        <w:rPr>
          <w:lang w:eastAsia="en-GB"/>
        </w:rPr>
        <w:t>notes</w:t>
      </w:r>
      <w:r w:rsidR="00C64050">
        <w:rPr>
          <w:lang w:eastAsia="en-GB"/>
        </w:rPr>
        <w:t xml:space="preserve"> </w:t>
      </w:r>
      <w:r w:rsidR="007C6CC4">
        <w:rPr>
          <w:lang w:eastAsia="en-GB"/>
        </w:rPr>
        <w:t>a</w:t>
      </w:r>
      <w:r w:rsidR="00C64050">
        <w:rPr>
          <w:lang w:eastAsia="en-GB"/>
        </w:rPr>
        <w:t xml:space="preserve"> </w:t>
      </w:r>
      <w:r w:rsidR="007C6CC4">
        <w:rPr>
          <w:lang w:eastAsia="en-GB"/>
        </w:rPr>
        <w:t>state</w:t>
      </w:r>
      <w:r w:rsidR="00C64050">
        <w:rPr>
          <w:lang w:eastAsia="en-GB"/>
        </w:rPr>
        <w:t xml:space="preserve"> </w:t>
      </w:r>
      <w:r w:rsidR="007C6CC4">
        <w:rPr>
          <w:lang w:eastAsia="en-GB"/>
        </w:rPr>
        <w:t>law</w:t>
      </w:r>
      <w:r w:rsidR="00C64050">
        <w:rPr>
          <w:lang w:eastAsia="en-GB"/>
        </w:rPr>
        <w:t xml:space="preserve"> </w:t>
      </w:r>
      <w:r w:rsidR="007C6CC4">
        <w:rPr>
          <w:lang w:eastAsia="en-GB"/>
        </w:rPr>
        <w:t>requirement</w:t>
      </w:r>
      <w:r w:rsidR="00C64050">
        <w:rPr>
          <w:lang w:eastAsia="en-GB"/>
        </w:rPr>
        <w:t xml:space="preserve"> </w:t>
      </w:r>
      <w:r w:rsidR="007C6CC4">
        <w:rPr>
          <w:lang w:eastAsia="en-GB"/>
        </w:rPr>
        <w:t>that</w:t>
      </w:r>
      <w:r w:rsidR="00C64050">
        <w:rPr>
          <w:lang w:eastAsia="en-GB"/>
        </w:rPr>
        <w:t xml:space="preserve"> </w:t>
      </w:r>
      <w:r w:rsidR="007C6CC4">
        <w:rPr>
          <w:lang w:eastAsia="en-GB"/>
        </w:rPr>
        <w:t>a</w:t>
      </w:r>
      <w:r w:rsidR="00C64050">
        <w:rPr>
          <w:lang w:eastAsia="en-GB"/>
        </w:rPr>
        <w:t xml:space="preserve"> </w:t>
      </w:r>
      <w:r w:rsidR="007C6CC4">
        <w:rPr>
          <w:lang w:eastAsia="en-GB"/>
        </w:rPr>
        <w:t>trustee</w:t>
      </w:r>
      <w:r w:rsidR="00C64050">
        <w:rPr>
          <w:lang w:eastAsia="en-GB"/>
        </w:rPr>
        <w:t xml:space="preserve"> </w:t>
      </w:r>
      <w:r w:rsidR="007C6CC4">
        <w:rPr>
          <w:u w:val="single"/>
          <w:lang w:eastAsia="en-GB"/>
        </w:rPr>
        <w:t>may</w:t>
      </w:r>
      <w:r w:rsidR="00C64050">
        <w:rPr>
          <w:lang w:eastAsia="en-GB"/>
        </w:rPr>
        <w:t xml:space="preserve"> </w:t>
      </w:r>
      <w:r w:rsidR="007C6CC4">
        <w:rPr>
          <w:lang w:eastAsia="en-GB"/>
        </w:rPr>
        <w:t>terminate</w:t>
      </w:r>
      <w:r w:rsidR="00C64050">
        <w:rPr>
          <w:lang w:eastAsia="en-GB"/>
        </w:rPr>
        <w:t xml:space="preserve"> </w:t>
      </w:r>
      <w:r w:rsidR="007C6CC4">
        <w:rPr>
          <w:lang w:eastAsia="en-GB"/>
        </w:rPr>
        <w:t>a</w:t>
      </w:r>
      <w:r w:rsidR="00C64050">
        <w:rPr>
          <w:lang w:eastAsia="en-GB"/>
        </w:rPr>
        <w:t xml:space="preserve"> </w:t>
      </w:r>
      <w:r w:rsidR="007C6CC4">
        <w:rPr>
          <w:lang w:eastAsia="en-GB"/>
        </w:rPr>
        <w:t>CLAT</w:t>
      </w:r>
      <w:r w:rsidR="00C64050">
        <w:rPr>
          <w:lang w:eastAsia="en-GB"/>
        </w:rPr>
        <w:t xml:space="preserve"> </w:t>
      </w:r>
      <w:r w:rsidR="007C6CC4">
        <w:rPr>
          <w:lang w:eastAsia="en-GB"/>
        </w:rPr>
        <w:t>where</w:t>
      </w:r>
      <w:r w:rsidR="00C64050">
        <w:rPr>
          <w:lang w:eastAsia="en-GB"/>
        </w:rPr>
        <w:t xml:space="preserve"> </w:t>
      </w:r>
      <w:r w:rsidR="007C6CC4">
        <w:rPr>
          <w:lang w:eastAsia="en-GB"/>
        </w:rPr>
        <w:t>the</w:t>
      </w:r>
      <w:r w:rsidR="00C64050">
        <w:rPr>
          <w:lang w:eastAsia="en-GB"/>
        </w:rPr>
        <w:t xml:space="preserve"> </w:t>
      </w:r>
      <w:r w:rsidR="00482BD4">
        <w:rPr>
          <w:lang w:eastAsia="en-GB"/>
        </w:rPr>
        <w:t>annuity</w:t>
      </w:r>
      <w:r w:rsidR="00C64050">
        <w:rPr>
          <w:lang w:eastAsia="en-GB"/>
        </w:rPr>
        <w:t xml:space="preserve"> </w:t>
      </w:r>
      <w:r w:rsidR="007C6CC4">
        <w:rPr>
          <w:lang w:eastAsia="en-GB"/>
        </w:rPr>
        <w:t>and</w:t>
      </w:r>
      <w:r w:rsidR="00C64050">
        <w:rPr>
          <w:lang w:eastAsia="en-GB"/>
        </w:rPr>
        <w:t xml:space="preserve"> </w:t>
      </w:r>
      <w:r w:rsidR="007C6CC4">
        <w:rPr>
          <w:lang w:eastAsia="en-GB"/>
        </w:rPr>
        <w:t>remainder</w:t>
      </w:r>
      <w:r w:rsidR="00C64050">
        <w:rPr>
          <w:lang w:eastAsia="en-GB"/>
        </w:rPr>
        <w:t xml:space="preserve"> </w:t>
      </w:r>
      <w:r w:rsidR="007C6CC4">
        <w:rPr>
          <w:lang w:eastAsia="en-GB"/>
        </w:rPr>
        <w:t>are</w:t>
      </w:r>
      <w:r w:rsidR="00C64050">
        <w:rPr>
          <w:lang w:eastAsia="en-GB"/>
        </w:rPr>
        <w:t xml:space="preserve"> </w:t>
      </w:r>
      <w:r w:rsidR="007C6CC4">
        <w:rPr>
          <w:lang w:eastAsia="en-GB"/>
        </w:rPr>
        <w:t>held</w:t>
      </w:r>
      <w:r w:rsidR="00C64050">
        <w:rPr>
          <w:lang w:eastAsia="en-GB"/>
        </w:rPr>
        <w:t xml:space="preserve"> </w:t>
      </w:r>
      <w:r w:rsidR="007C6CC4">
        <w:rPr>
          <w:lang w:eastAsia="en-GB"/>
        </w:rPr>
        <w:t>by</w:t>
      </w:r>
      <w:r w:rsidR="00C64050">
        <w:rPr>
          <w:lang w:eastAsia="en-GB"/>
        </w:rPr>
        <w:t xml:space="preserve"> </w:t>
      </w:r>
      <w:r w:rsidR="007C6CC4">
        <w:rPr>
          <w:lang w:eastAsia="en-GB"/>
        </w:rPr>
        <w:t>one</w:t>
      </w:r>
      <w:r w:rsidR="00C64050">
        <w:rPr>
          <w:lang w:eastAsia="en-GB"/>
        </w:rPr>
        <w:t xml:space="preserve"> </w:t>
      </w:r>
      <w:r w:rsidR="007C6CC4">
        <w:rPr>
          <w:lang w:eastAsia="en-GB"/>
        </w:rPr>
        <w:t>beneficiary</w:t>
      </w:r>
      <w:r w:rsidR="00C64050">
        <w:rPr>
          <w:lang w:eastAsia="en-GB"/>
        </w:rPr>
        <w:t xml:space="preserve"> </w:t>
      </w:r>
      <w:r w:rsidR="007C6CC4">
        <w:rPr>
          <w:lang w:eastAsia="en-GB"/>
        </w:rPr>
        <w:t>(and</w:t>
      </w:r>
      <w:r w:rsidR="00C64050">
        <w:rPr>
          <w:lang w:eastAsia="en-GB"/>
        </w:rPr>
        <w:t xml:space="preserve"> </w:t>
      </w:r>
      <w:r w:rsidR="007C6CC4">
        <w:rPr>
          <w:lang w:eastAsia="en-GB"/>
        </w:rPr>
        <w:t>concludes</w:t>
      </w:r>
      <w:r w:rsidR="00C64050">
        <w:rPr>
          <w:lang w:eastAsia="en-GB"/>
        </w:rPr>
        <w:t xml:space="preserve"> </w:t>
      </w:r>
      <w:r w:rsidR="007C6CC4">
        <w:rPr>
          <w:lang w:eastAsia="en-GB"/>
        </w:rPr>
        <w:t>the</w:t>
      </w:r>
      <w:r w:rsidR="00C64050">
        <w:rPr>
          <w:lang w:eastAsia="en-GB"/>
        </w:rPr>
        <w:t xml:space="preserve"> </w:t>
      </w:r>
      <w:r w:rsidR="007C6CC4">
        <w:rPr>
          <w:lang w:eastAsia="en-GB"/>
        </w:rPr>
        <w:t>trustee</w:t>
      </w:r>
      <w:r w:rsidR="00C64050">
        <w:rPr>
          <w:lang w:eastAsia="en-GB"/>
        </w:rPr>
        <w:t xml:space="preserve"> </w:t>
      </w:r>
      <w:r w:rsidR="007C6CC4">
        <w:rPr>
          <w:lang w:eastAsia="en-GB"/>
        </w:rPr>
        <w:t>doing</w:t>
      </w:r>
      <w:r w:rsidR="00C64050">
        <w:rPr>
          <w:lang w:eastAsia="en-GB"/>
        </w:rPr>
        <w:t xml:space="preserve"> </w:t>
      </w:r>
      <w:r w:rsidR="007C6CC4">
        <w:rPr>
          <w:lang w:eastAsia="en-GB"/>
        </w:rPr>
        <w:t>so</w:t>
      </w:r>
      <w:r w:rsidR="00C64050">
        <w:rPr>
          <w:lang w:eastAsia="en-GB"/>
        </w:rPr>
        <w:t xml:space="preserve"> </w:t>
      </w:r>
      <w:r w:rsidR="007C6CC4">
        <w:rPr>
          <w:lang w:eastAsia="en-GB"/>
        </w:rPr>
        <w:t>will</w:t>
      </w:r>
      <w:r w:rsidR="00C64050">
        <w:rPr>
          <w:lang w:eastAsia="en-GB"/>
        </w:rPr>
        <w:t xml:space="preserve"> </w:t>
      </w:r>
      <w:r w:rsidR="007C6CC4">
        <w:rPr>
          <w:lang w:eastAsia="en-GB"/>
        </w:rPr>
        <w:t>not</w:t>
      </w:r>
      <w:r w:rsidR="00C64050">
        <w:rPr>
          <w:lang w:eastAsia="en-GB"/>
        </w:rPr>
        <w:t xml:space="preserve"> </w:t>
      </w:r>
      <w:r w:rsidR="007C6CC4">
        <w:rPr>
          <w:lang w:eastAsia="en-GB"/>
        </w:rPr>
        <w:t>cause</w:t>
      </w:r>
      <w:r w:rsidR="00C64050">
        <w:rPr>
          <w:lang w:eastAsia="en-GB"/>
        </w:rPr>
        <w:t xml:space="preserve"> </w:t>
      </w:r>
      <w:r w:rsidR="007C6CC4">
        <w:rPr>
          <w:lang w:eastAsia="en-GB"/>
        </w:rPr>
        <w:t>gain</w:t>
      </w:r>
      <w:r w:rsidR="00C64050">
        <w:rPr>
          <w:lang w:eastAsia="en-GB"/>
        </w:rPr>
        <w:t xml:space="preserve"> </w:t>
      </w:r>
      <w:r w:rsidR="007C6CC4">
        <w:rPr>
          <w:lang w:eastAsia="en-GB"/>
        </w:rPr>
        <w:t>or</w:t>
      </w:r>
      <w:r w:rsidR="00C64050">
        <w:rPr>
          <w:lang w:eastAsia="en-GB"/>
        </w:rPr>
        <w:t xml:space="preserve"> </w:t>
      </w:r>
      <w:r w:rsidR="007C6CC4">
        <w:rPr>
          <w:lang w:eastAsia="en-GB"/>
        </w:rPr>
        <w:t>loss</w:t>
      </w:r>
      <w:r w:rsidR="00C64050">
        <w:rPr>
          <w:lang w:eastAsia="en-GB"/>
        </w:rPr>
        <w:t xml:space="preserve"> </w:t>
      </w:r>
      <w:r w:rsidR="007C6CC4">
        <w:rPr>
          <w:lang w:eastAsia="en-GB"/>
        </w:rPr>
        <w:t>recognition).</w:t>
      </w:r>
    </w:p>
    <w:p w:rsidR="007657B2" w:rsidRPr="000F5D3F" w:rsidRDefault="007657B2" w:rsidP="000F5D3F">
      <w:pPr>
        <w:pStyle w:val="Body15"/>
        <w:rPr>
          <w:lang w:eastAsia="en-GB"/>
        </w:rPr>
      </w:pPr>
      <w:r w:rsidRPr="000F5D3F">
        <w:rPr>
          <w:lang w:eastAsia="en-GB"/>
        </w:rPr>
        <w:t>Where</w:t>
      </w:r>
      <w:r w:rsidR="00C64050">
        <w:rPr>
          <w:lang w:eastAsia="en-GB"/>
        </w:rPr>
        <w:t xml:space="preserve"> </w:t>
      </w:r>
      <w:r w:rsidRPr="000F5D3F">
        <w:rPr>
          <w:lang w:eastAsia="en-GB"/>
        </w:rPr>
        <w:t>an</w:t>
      </w:r>
      <w:r w:rsidR="00C64050">
        <w:rPr>
          <w:lang w:eastAsia="en-GB"/>
        </w:rPr>
        <w:t xml:space="preserve"> </w:t>
      </w:r>
      <w:r w:rsidRPr="000F5D3F">
        <w:rPr>
          <w:lang w:eastAsia="en-GB"/>
        </w:rPr>
        <w:t>LLC</w:t>
      </w:r>
      <w:r w:rsidR="00C64050">
        <w:rPr>
          <w:lang w:eastAsia="en-GB"/>
        </w:rPr>
        <w:t xml:space="preserve"> </w:t>
      </w:r>
      <w:r w:rsidRPr="000F5D3F">
        <w:rPr>
          <w:lang w:eastAsia="en-GB"/>
        </w:rPr>
        <w:t>cannot</w:t>
      </w:r>
      <w:r w:rsidR="00C64050">
        <w:rPr>
          <w:lang w:eastAsia="en-GB"/>
        </w:rPr>
        <w:t xml:space="preserve"> </w:t>
      </w:r>
      <w:r w:rsidRPr="000F5D3F">
        <w:rPr>
          <w:lang w:eastAsia="en-GB"/>
        </w:rPr>
        <w:t>serve</w:t>
      </w:r>
      <w:r w:rsidR="00C64050">
        <w:rPr>
          <w:lang w:eastAsia="en-GB"/>
        </w:rPr>
        <w:t xml:space="preserve"> </w:t>
      </w:r>
      <w:r w:rsidRPr="000F5D3F">
        <w:rPr>
          <w:lang w:eastAsia="en-GB"/>
        </w:rPr>
        <w:t>as</w:t>
      </w:r>
      <w:r w:rsidR="00C64050">
        <w:rPr>
          <w:lang w:eastAsia="en-GB"/>
        </w:rPr>
        <w:t xml:space="preserve"> </w:t>
      </w:r>
      <w:r w:rsidRPr="000F5D3F">
        <w:rPr>
          <w:lang w:eastAsia="en-GB"/>
        </w:rPr>
        <w:t>trustee,</w:t>
      </w:r>
      <w:r w:rsidR="00C64050">
        <w:rPr>
          <w:lang w:eastAsia="en-GB"/>
        </w:rPr>
        <w:t xml:space="preserve"> </w:t>
      </w:r>
      <w:r w:rsidRPr="000F5D3F">
        <w:rPr>
          <w:lang w:eastAsia="en-GB"/>
        </w:rPr>
        <w:t>if</w:t>
      </w:r>
      <w:r w:rsidR="00C64050">
        <w:rPr>
          <w:lang w:eastAsia="en-GB"/>
        </w:rPr>
        <w:t xml:space="preserve"> </w:t>
      </w:r>
      <w:r w:rsidRPr="000F5D3F">
        <w:rPr>
          <w:lang w:eastAsia="en-GB"/>
        </w:rPr>
        <w:t>the</w:t>
      </w:r>
      <w:r w:rsidR="00C64050">
        <w:rPr>
          <w:lang w:eastAsia="en-GB"/>
        </w:rPr>
        <w:t xml:space="preserve"> </w:t>
      </w:r>
      <w:r w:rsidRPr="000F5D3F">
        <w:rPr>
          <w:lang w:eastAsia="en-GB"/>
        </w:rPr>
        <w:t>LLC</w:t>
      </w:r>
      <w:r w:rsidR="00C64050">
        <w:rPr>
          <w:lang w:eastAsia="en-GB"/>
        </w:rPr>
        <w:t xml:space="preserve"> </w:t>
      </w:r>
      <w:r w:rsidRPr="000F5D3F">
        <w:rPr>
          <w:lang w:eastAsia="en-GB"/>
        </w:rPr>
        <w:t>managers</w:t>
      </w:r>
      <w:r w:rsidR="00C64050">
        <w:rPr>
          <w:lang w:eastAsia="en-GB"/>
        </w:rPr>
        <w:t xml:space="preserve"> </w:t>
      </w:r>
      <w:r w:rsidRPr="000F5D3F">
        <w:rPr>
          <w:lang w:eastAsia="en-GB"/>
        </w:rPr>
        <w:t>serve</w:t>
      </w:r>
      <w:r w:rsidR="00C64050">
        <w:rPr>
          <w:lang w:eastAsia="en-GB"/>
        </w:rPr>
        <w:t xml:space="preserve"> </w:t>
      </w:r>
      <w:r w:rsidRPr="000F5D3F">
        <w:rPr>
          <w:lang w:eastAsia="en-GB"/>
        </w:rPr>
        <w:t>as</w:t>
      </w:r>
      <w:r w:rsidR="00C64050">
        <w:rPr>
          <w:lang w:eastAsia="en-GB"/>
        </w:rPr>
        <w:t xml:space="preserve"> </w:t>
      </w:r>
      <w:r w:rsidRPr="000F5D3F">
        <w:rPr>
          <w:lang w:eastAsia="en-GB"/>
        </w:rPr>
        <w:t>trustees</w:t>
      </w:r>
      <w:r w:rsidR="00C64050">
        <w:rPr>
          <w:lang w:eastAsia="en-GB"/>
        </w:rPr>
        <w:t xml:space="preserve"> </w:t>
      </w:r>
      <w:r w:rsidRPr="000F5D3F">
        <w:rPr>
          <w:lang w:eastAsia="en-GB"/>
        </w:rPr>
        <w:t>is</w:t>
      </w:r>
      <w:r w:rsidR="00C64050">
        <w:rPr>
          <w:lang w:eastAsia="en-GB"/>
        </w:rPr>
        <w:t xml:space="preserve"> </w:t>
      </w:r>
      <w:r w:rsidRPr="000F5D3F">
        <w:rPr>
          <w:lang w:eastAsia="en-GB"/>
        </w:rPr>
        <w:t>that</w:t>
      </w:r>
      <w:r w:rsidR="00C64050">
        <w:rPr>
          <w:lang w:eastAsia="en-GB"/>
        </w:rPr>
        <w:t xml:space="preserve"> </w:t>
      </w:r>
      <w:r w:rsidRPr="000F5D3F">
        <w:rPr>
          <w:lang w:eastAsia="en-GB"/>
        </w:rPr>
        <w:t>sufficient?</w:t>
      </w:r>
      <w:r w:rsidR="00C64050">
        <w:rPr>
          <w:lang w:eastAsia="en-GB"/>
        </w:rPr>
        <w:t xml:space="preserve">  </w:t>
      </w:r>
      <w:r w:rsidRPr="000F5D3F">
        <w:rPr>
          <w:lang w:eastAsia="en-GB"/>
        </w:rPr>
        <w:t>The</w:t>
      </w:r>
      <w:r w:rsidR="00C64050">
        <w:rPr>
          <w:lang w:eastAsia="en-GB"/>
        </w:rPr>
        <w:t xml:space="preserve"> </w:t>
      </w:r>
      <w:r w:rsidRPr="000F5D3F">
        <w:rPr>
          <w:lang w:eastAsia="en-GB"/>
        </w:rPr>
        <w:t>answer</w:t>
      </w:r>
      <w:r w:rsidR="00C64050">
        <w:rPr>
          <w:lang w:eastAsia="en-GB"/>
        </w:rPr>
        <w:t xml:space="preserve"> </w:t>
      </w:r>
      <w:r w:rsidRPr="000F5D3F">
        <w:rPr>
          <w:lang w:eastAsia="en-GB"/>
        </w:rPr>
        <w:t>is</w:t>
      </w:r>
      <w:r w:rsidR="00C64050">
        <w:rPr>
          <w:lang w:eastAsia="en-GB"/>
        </w:rPr>
        <w:t xml:space="preserve"> </w:t>
      </w:r>
      <w:r w:rsidRPr="000F5D3F">
        <w:rPr>
          <w:lang w:eastAsia="en-GB"/>
        </w:rPr>
        <w:t>uncertain.</w:t>
      </w:r>
      <w:r w:rsidR="00C64050">
        <w:rPr>
          <w:lang w:eastAsia="en-GB"/>
        </w:rPr>
        <w:t xml:space="preserve">  </w:t>
      </w:r>
      <w:r w:rsidRPr="000F5D3F">
        <w:rPr>
          <w:lang w:eastAsia="en-GB"/>
        </w:rPr>
        <w:t>The</w:t>
      </w:r>
      <w:r w:rsidR="00C64050">
        <w:rPr>
          <w:lang w:eastAsia="en-GB"/>
        </w:rPr>
        <w:t xml:space="preserve"> </w:t>
      </w:r>
      <w:r w:rsidRPr="000F5D3F">
        <w:rPr>
          <w:lang w:eastAsia="en-GB"/>
        </w:rPr>
        <w:t>LLC</w:t>
      </w:r>
      <w:r w:rsidR="00C64050">
        <w:rPr>
          <w:lang w:eastAsia="en-GB"/>
        </w:rPr>
        <w:t xml:space="preserve"> </w:t>
      </w:r>
      <w:r w:rsidRPr="000F5D3F">
        <w:rPr>
          <w:lang w:eastAsia="en-GB"/>
        </w:rPr>
        <w:t>managers</w:t>
      </w:r>
      <w:r w:rsidR="00C64050">
        <w:rPr>
          <w:lang w:eastAsia="en-GB"/>
        </w:rPr>
        <w:t xml:space="preserve"> </w:t>
      </w:r>
      <w:r w:rsidRPr="000F5D3F">
        <w:rPr>
          <w:lang w:eastAsia="en-GB"/>
        </w:rPr>
        <w:t>are</w:t>
      </w:r>
      <w:r w:rsidR="00C64050">
        <w:rPr>
          <w:lang w:eastAsia="en-GB"/>
        </w:rPr>
        <w:t xml:space="preserve"> </w:t>
      </w:r>
      <w:r w:rsidRPr="000F5D3F">
        <w:rPr>
          <w:lang w:eastAsia="en-GB"/>
        </w:rPr>
        <w:t>not</w:t>
      </w:r>
      <w:r w:rsidR="00C64050">
        <w:rPr>
          <w:lang w:eastAsia="en-GB"/>
        </w:rPr>
        <w:t xml:space="preserve"> </w:t>
      </w:r>
      <w:r w:rsidRPr="000F5D3F">
        <w:rPr>
          <w:lang w:eastAsia="en-GB"/>
        </w:rPr>
        <w:t>the</w:t>
      </w:r>
      <w:r w:rsidR="00C64050">
        <w:rPr>
          <w:lang w:eastAsia="en-GB"/>
        </w:rPr>
        <w:t xml:space="preserve"> </w:t>
      </w:r>
      <w:r w:rsidRPr="000F5D3F">
        <w:rPr>
          <w:lang w:eastAsia="en-GB"/>
        </w:rPr>
        <w:t>LLC.</w:t>
      </w:r>
    </w:p>
    <w:p w:rsidR="007657B2" w:rsidRPr="000F5D3F" w:rsidRDefault="007657B2" w:rsidP="000F5D3F">
      <w:pPr>
        <w:pStyle w:val="Body15"/>
        <w:rPr>
          <w:lang w:eastAsia="en-GB"/>
        </w:rPr>
      </w:pPr>
      <w:r w:rsidRPr="000F5D3F">
        <w:rPr>
          <w:lang w:eastAsia="en-GB"/>
        </w:rPr>
        <w:t>Would</w:t>
      </w:r>
      <w:r w:rsidR="00C64050">
        <w:rPr>
          <w:lang w:eastAsia="en-GB"/>
        </w:rPr>
        <w:t xml:space="preserve"> </w:t>
      </w:r>
      <w:r w:rsidRPr="000F5D3F">
        <w:rPr>
          <w:lang w:eastAsia="en-GB"/>
        </w:rPr>
        <w:t>a</w:t>
      </w:r>
      <w:r w:rsidR="00C64050">
        <w:rPr>
          <w:lang w:eastAsia="en-GB"/>
        </w:rPr>
        <w:t xml:space="preserve"> </w:t>
      </w:r>
      <w:r w:rsidRPr="000F5D3F">
        <w:rPr>
          <w:lang w:eastAsia="en-GB"/>
        </w:rPr>
        <w:t>merger</w:t>
      </w:r>
      <w:r w:rsidR="00C64050">
        <w:rPr>
          <w:lang w:eastAsia="en-GB"/>
        </w:rPr>
        <w:t xml:space="preserve"> </w:t>
      </w:r>
      <w:r w:rsidRPr="000F5D3F">
        <w:rPr>
          <w:lang w:eastAsia="en-GB"/>
        </w:rPr>
        <w:t>into</w:t>
      </w:r>
      <w:r w:rsidR="00C64050">
        <w:rPr>
          <w:lang w:eastAsia="en-GB"/>
        </w:rPr>
        <w:t xml:space="preserve"> </w:t>
      </w:r>
      <w:r w:rsidRPr="000F5D3F">
        <w:rPr>
          <w:lang w:eastAsia="en-GB"/>
        </w:rPr>
        <w:t>an</w:t>
      </w:r>
      <w:r w:rsidR="00C64050">
        <w:rPr>
          <w:lang w:eastAsia="en-GB"/>
        </w:rPr>
        <w:t xml:space="preserve"> </w:t>
      </w:r>
      <w:r w:rsidRPr="000F5D3F">
        <w:rPr>
          <w:lang w:eastAsia="en-GB"/>
        </w:rPr>
        <w:t>LLC</w:t>
      </w:r>
      <w:r w:rsidR="00C64050">
        <w:rPr>
          <w:lang w:eastAsia="en-GB"/>
        </w:rPr>
        <w:t xml:space="preserve"> </w:t>
      </w:r>
      <w:r w:rsidRPr="000F5D3F">
        <w:rPr>
          <w:lang w:eastAsia="en-GB"/>
        </w:rPr>
        <w:t>be</w:t>
      </w:r>
      <w:r w:rsidR="00C64050">
        <w:rPr>
          <w:lang w:eastAsia="en-GB"/>
        </w:rPr>
        <w:t xml:space="preserve"> </w:t>
      </w:r>
      <w:r w:rsidRPr="000F5D3F">
        <w:rPr>
          <w:lang w:eastAsia="en-GB"/>
        </w:rPr>
        <w:t>a</w:t>
      </w:r>
      <w:r w:rsidR="00C64050">
        <w:rPr>
          <w:lang w:eastAsia="en-GB"/>
        </w:rPr>
        <w:t xml:space="preserve"> </w:t>
      </w:r>
      <w:r w:rsidRPr="000F5D3F">
        <w:rPr>
          <w:lang w:eastAsia="en-GB"/>
        </w:rPr>
        <w:t>taxable</w:t>
      </w:r>
      <w:r w:rsidR="00C64050">
        <w:rPr>
          <w:lang w:eastAsia="en-GB"/>
        </w:rPr>
        <w:t xml:space="preserve"> </w:t>
      </w:r>
      <w:r w:rsidRPr="000F5D3F">
        <w:rPr>
          <w:lang w:eastAsia="en-GB"/>
        </w:rPr>
        <w:t>event</w:t>
      </w:r>
      <w:r w:rsidR="00C64050">
        <w:rPr>
          <w:lang w:eastAsia="en-GB"/>
        </w:rPr>
        <w:t xml:space="preserve"> </w:t>
      </w:r>
      <w:r w:rsidRPr="000F5D3F">
        <w:rPr>
          <w:lang w:eastAsia="en-GB"/>
        </w:rPr>
        <w:t>for</w:t>
      </w:r>
      <w:r w:rsidR="00C64050">
        <w:rPr>
          <w:lang w:eastAsia="en-GB"/>
        </w:rPr>
        <w:t xml:space="preserve"> </w:t>
      </w:r>
      <w:r w:rsidRPr="000F5D3F">
        <w:rPr>
          <w:lang w:eastAsia="en-GB"/>
        </w:rPr>
        <w:t>income</w:t>
      </w:r>
      <w:r w:rsidR="00C64050">
        <w:rPr>
          <w:lang w:eastAsia="en-GB"/>
        </w:rPr>
        <w:t xml:space="preserve"> </w:t>
      </w:r>
      <w:r w:rsidRPr="000F5D3F">
        <w:rPr>
          <w:lang w:eastAsia="en-GB"/>
        </w:rPr>
        <w:t>tax</w:t>
      </w:r>
      <w:r w:rsidR="00C64050">
        <w:rPr>
          <w:lang w:eastAsia="en-GB"/>
        </w:rPr>
        <w:t xml:space="preserve"> </w:t>
      </w:r>
      <w:r w:rsidRPr="000F5D3F">
        <w:rPr>
          <w:lang w:eastAsia="en-GB"/>
        </w:rPr>
        <w:t>purposes?</w:t>
      </w:r>
      <w:r w:rsidR="00C64050">
        <w:rPr>
          <w:lang w:eastAsia="en-GB"/>
        </w:rPr>
        <w:t xml:space="preserve"> </w:t>
      </w:r>
      <w:r w:rsidRPr="000F5D3F">
        <w:rPr>
          <w:lang w:eastAsia="en-GB"/>
        </w:rPr>
        <w:t>The</w:t>
      </w:r>
      <w:r w:rsidR="00C64050">
        <w:rPr>
          <w:lang w:eastAsia="en-GB"/>
        </w:rPr>
        <w:t xml:space="preserve"> </w:t>
      </w:r>
      <w:r w:rsidRPr="000F5D3F">
        <w:rPr>
          <w:lang w:eastAsia="en-GB"/>
        </w:rPr>
        <w:t>answer</w:t>
      </w:r>
      <w:r w:rsidR="00C64050">
        <w:rPr>
          <w:lang w:eastAsia="en-GB"/>
        </w:rPr>
        <w:t xml:space="preserve"> </w:t>
      </w:r>
      <w:r w:rsidRPr="000F5D3F">
        <w:rPr>
          <w:lang w:eastAsia="en-GB"/>
        </w:rPr>
        <w:t>would</w:t>
      </w:r>
      <w:r w:rsidR="00C64050">
        <w:rPr>
          <w:lang w:eastAsia="en-GB"/>
        </w:rPr>
        <w:t xml:space="preserve"> </w:t>
      </w:r>
      <w:r w:rsidRPr="000F5D3F">
        <w:rPr>
          <w:lang w:eastAsia="en-GB"/>
        </w:rPr>
        <w:t>seem</w:t>
      </w:r>
      <w:r w:rsidR="00C64050">
        <w:rPr>
          <w:lang w:eastAsia="en-GB"/>
        </w:rPr>
        <w:t xml:space="preserve"> </w:t>
      </w:r>
      <w:r w:rsidRPr="000F5D3F">
        <w:rPr>
          <w:lang w:eastAsia="en-GB"/>
        </w:rPr>
        <w:t>to</w:t>
      </w:r>
      <w:r w:rsidR="00C64050">
        <w:rPr>
          <w:lang w:eastAsia="en-GB"/>
        </w:rPr>
        <w:t xml:space="preserve"> </w:t>
      </w:r>
      <w:r w:rsidRPr="000F5D3F">
        <w:rPr>
          <w:lang w:eastAsia="en-GB"/>
        </w:rPr>
        <w:t>be</w:t>
      </w:r>
      <w:r w:rsidR="00C64050">
        <w:rPr>
          <w:lang w:eastAsia="en-GB"/>
        </w:rPr>
        <w:t xml:space="preserve"> </w:t>
      </w:r>
      <w:r w:rsidRPr="000F5D3F">
        <w:rPr>
          <w:lang w:eastAsia="en-GB"/>
        </w:rPr>
        <w:t>no.</w:t>
      </w:r>
      <w:r w:rsidR="00C64050">
        <w:rPr>
          <w:lang w:eastAsia="en-GB"/>
        </w:rPr>
        <w:t xml:space="preserve"> </w:t>
      </w:r>
      <w:r w:rsidRPr="000F5D3F">
        <w:rPr>
          <w:lang w:eastAsia="en-GB"/>
        </w:rPr>
        <w:t>Similarly,</w:t>
      </w:r>
      <w:r w:rsidR="00C64050">
        <w:rPr>
          <w:lang w:eastAsia="en-GB"/>
        </w:rPr>
        <w:t xml:space="preserve"> </w:t>
      </w:r>
      <w:r w:rsidRPr="000F5D3F">
        <w:rPr>
          <w:lang w:eastAsia="en-GB"/>
        </w:rPr>
        <w:t>because</w:t>
      </w:r>
      <w:r w:rsidR="00C64050">
        <w:rPr>
          <w:lang w:eastAsia="en-GB"/>
        </w:rPr>
        <w:t xml:space="preserve"> </w:t>
      </w:r>
      <w:r w:rsidRPr="000F5D3F">
        <w:rPr>
          <w:lang w:eastAsia="en-GB"/>
        </w:rPr>
        <w:t>the</w:t>
      </w:r>
      <w:r w:rsidR="00C64050">
        <w:rPr>
          <w:lang w:eastAsia="en-GB"/>
        </w:rPr>
        <w:t xml:space="preserve"> </w:t>
      </w:r>
      <w:r w:rsidRPr="000F5D3F">
        <w:rPr>
          <w:lang w:eastAsia="en-GB"/>
        </w:rPr>
        <w:t>grantor</w:t>
      </w:r>
      <w:r w:rsidR="00C64050">
        <w:rPr>
          <w:lang w:eastAsia="en-GB"/>
        </w:rPr>
        <w:t xml:space="preserve"> </w:t>
      </w:r>
      <w:r w:rsidRPr="000F5D3F">
        <w:rPr>
          <w:lang w:eastAsia="en-GB"/>
        </w:rPr>
        <w:t>receives</w:t>
      </w:r>
      <w:r w:rsidR="00C64050">
        <w:rPr>
          <w:lang w:eastAsia="en-GB"/>
        </w:rPr>
        <w:t xml:space="preserve"> </w:t>
      </w:r>
      <w:r w:rsidRPr="000F5D3F">
        <w:rPr>
          <w:lang w:eastAsia="en-GB"/>
        </w:rPr>
        <w:t>an</w:t>
      </w:r>
      <w:r w:rsidR="00C64050">
        <w:rPr>
          <w:lang w:eastAsia="en-GB"/>
        </w:rPr>
        <w:t xml:space="preserve"> </w:t>
      </w:r>
      <w:r w:rsidRPr="000F5D3F">
        <w:rPr>
          <w:lang w:eastAsia="en-GB"/>
        </w:rPr>
        <w:t>LLC</w:t>
      </w:r>
      <w:r w:rsidR="00C64050">
        <w:rPr>
          <w:lang w:eastAsia="en-GB"/>
        </w:rPr>
        <w:t xml:space="preserve"> </w:t>
      </w:r>
      <w:r w:rsidRPr="000F5D3F">
        <w:rPr>
          <w:lang w:eastAsia="en-GB"/>
        </w:rPr>
        <w:t>interest</w:t>
      </w:r>
      <w:r w:rsidR="00C64050">
        <w:rPr>
          <w:lang w:eastAsia="en-GB"/>
        </w:rPr>
        <w:t xml:space="preserve"> </w:t>
      </w:r>
      <w:r w:rsidRPr="000F5D3F">
        <w:rPr>
          <w:lang w:eastAsia="en-GB"/>
        </w:rPr>
        <w:t>having</w:t>
      </w:r>
      <w:r w:rsidR="00C64050">
        <w:rPr>
          <w:lang w:eastAsia="en-GB"/>
        </w:rPr>
        <w:t xml:space="preserve"> </w:t>
      </w:r>
      <w:r w:rsidRPr="000F5D3F">
        <w:rPr>
          <w:lang w:eastAsia="en-GB"/>
        </w:rPr>
        <w:t>a</w:t>
      </w:r>
      <w:r w:rsidR="00C64050">
        <w:rPr>
          <w:lang w:eastAsia="en-GB"/>
        </w:rPr>
        <w:t xml:space="preserve"> </w:t>
      </w:r>
      <w:r w:rsidRPr="000F5D3F">
        <w:rPr>
          <w:lang w:eastAsia="en-GB"/>
        </w:rPr>
        <w:t>value</w:t>
      </w:r>
      <w:r w:rsidR="00C64050">
        <w:rPr>
          <w:lang w:eastAsia="en-GB"/>
        </w:rPr>
        <w:t xml:space="preserve"> </w:t>
      </w:r>
      <w:r w:rsidRPr="000F5D3F">
        <w:rPr>
          <w:lang w:eastAsia="en-GB"/>
        </w:rPr>
        <w:t>equal</w:t>
      </w:r>
      <w:r w:rsidR="00C64050">
        <w:rPr>
          <w:lang w:eastAsia="en-GB"/>
        </w:rPr>
        <w:t xml:space="preserve"> </w:t>
      </w:r>
      <w:r w:rsidRPr="000F5D3F">
        <w:rPr>
          <w:lang w:eastAsia="en-GB"/>
        </w:rPr>
        <w:t>to</w:t>
      </w:r>
      <w:r w:rsidR="00C64050">
        <w:rPr>
          <w:lang w:eastAsia="en-GB"/>
        </w:rPr>
        <w:t xml:space="preserve"> </w:t>
      </w:r>
      <w:r w:rsidRPr="000F5D3F">
        <w:rPr>
          <w:lang w:eastAsia="en-GB"/>
        </w:rPr>
        <w:t>what</w:t>
      </w:r>
      <w:r w:rsidR="00C64050">
        <w:rPr>
          <w:lang w:eastAsia="en-GB"/>
        </w:rPr>
        <w:t xml:space="preserve"> </w:t>
      </w:r>
      <w:r w:rsidRPr="000F5D3F">
        <w:rPr>
          <w:lang w:eastAsia="en-GB"/>
        </w:rPr>
        <w:t>would</w:t>
      </w:r>
      <w:r w:rsidR="00C64050">
        <w:rPr>
          <w:lang w:eastAsia="en-GB"/>
        </w:rPr>
        <w:t xml:space="preserve"> </w:t>
      </w:r>
      <w:r w:rsidRPr="000F5D3F">
        <w:rPr>
          <w:lang w:eastAsia="en-GB"/>
        </w:rPr>
        <w:t>be</w:t>
      </w:r>
      <w:r w:rsidR="00C64050">
        <w:rPr>
          <w:lang w:eastAsia="en-GB"/>
        </w:rPr>
        <w:t xml:space="preserve"> </w:t>
      </w:r>
      <w:r w:rsidRPr="000F5D3F">
        <w:rPr>
          <w:lang w:eastAsia="en-GB"/>
        </w:rPr>
        <w:t>in</w:t>
      </w:r>
      <w:r w:rsidR="00C64050">
        <w:rPr>
          <w:lang w:eastAsia="en-GB"/>
        </w:rPr>
        <w:t xml:space="preserve"> </w:t>
      </w:r>
      <w:r w:rsidRPr="000F5D3F">
        <w:rPr>
          <w:lang w:eastAsia="en-GB"/>
        </w:rPr>
        <w:t>the</w:t>
      </w:r>
      <w:r w:rsidR="00C64050">
        <w:rPr>
          <w:lang w:eastAsia="en-GB"/>
        </w:rPr>
        <w:t xml:space="preserve"> </w:t>
      </w:r>
      <w:r w:rsidRPr="000F5D3F">
        <w:rPr>
          <w:lang w:eastAsia="en-GB"/>
        </w:rPr>
        <w:t>grantor’s</w:t>
      </w:r>
      <w:r w:rsidR="00C64050">
        <w:rPr>
          <w:lang w:eastAsia="en-GB"/>
        </w:rPr>
        <w:t xml:space="preserve"> </w:t>
      </w:r>
      <w:r w:rsidRPr="000F5D3F">
        <w:rPr>
          <w:lang w:eastAsia="en-GB"/>
        </w:rPr>
        <w:t>estate</w:t>
      </w:r>
      <w:r w:rsidR="00C64050">
        <w:rPr>
          <w:lang w:eastAsia="en-GB"/>
        </w:rPr>
        <w:t xml:space="preserve"> </w:t>
      </w:r>
      <w:r w:rsidRPr="000F5D3F">
        <w:rPr>
          <w:lang w:eastAsia="en-GB"/>
        </w:rPr>
        <w:t>if</w:t>
      </w:r>
      <w:r w:rsidR="00C64050">
        <w:rPr>
          <w:lang w:eastAsia="en-GB"/>
        </w:rPr>
        <w:t xml:space="preserve"> </w:t>
      </w:r>
      <w:r w:rsidRPr="000F5D3F">
        <w:rPr>
          <w:lang w:eastAsia="en-GB"/>
        </w:rPr>
        <w:t>t</w:t>
      </w:r>
      <w:r w:rsidR="003A40B8">
        <w:rPr>
          <w:lang w:eastAsia="en-GB"/>
        </w:rPr>
        <w:t>he</w:t>
      </w:r>
      <w:r w:rsidR="00C64050">
        <w:rPr>
          <w:lang w:eastAsia="en-GB"/>
        </w:rPr>
        <w:t xml:space="preserve"> </w:t>
      </w:r>
      <w:r w:rsidR="003A40B8">
        <w:rPr>
          <w:lang w:eastAsia="en-GB"/>
        </w:rPr>
        <w:t>grantor</w:t>
      </w:r>
      <w:r w:rsidR="00C64050">
        <w:rPr>
          <w:lang w:eastAsia="en-GB"/>
        </w:rPr>
        <w:t xml:space="preserve"> </w:t>
      </w:r>
      <w:r w:rsidR="003A40B8">
        <w:rPr>
          <w:lang w:eastAsia="en-GB"/>
        </w:rPr>
        <w:t>died</w:t>
      </w:r>
      <w:r w:rsidR="00C64050">
        <w:rPr>
          <w:lang w:eastAsia="en-GB"/>
        </w:rPr>
        <w:t xml:space="preserve"> </w:t>
      </w:r>
      <w:r w:rsidR="003A40B8">
        <w:rPr>
          <w:lang w:eastAsia="en-GB"/>
        </w:rPr>
        <w:t>at</w:t>
      </w:r>
      <w:r w:rsidR="00C64050">
        <w:rPr>
          <w:lang w:eastAsia="en-GB"/>
        </w:rPr>
        <w:t xml:space="preserve"> </w:t>
      </w:r>
      <w:r w:rsidR="003A40B8">
        <w:rPr>
          <w:lang w:eastAsia="en-GB"/>
        </w:rPr>
        <w:t>that</w:t>
      </w:r>
      <w:r w:rsidR="00C64050">
        <w:rPr>
          <w:lang w:eastAsia="en-GB"/>
        </w:rPr>
        <w:t xml:space="preserve"> </w:t>
      </w:r>
      <w:r w:rsidR="003A40B8">
        <w:rPr>
          <w:lang w:eastAsia="en-GB"/>
        </w:rPr>
        <w:t>moment</w:t>
      </w:r>
      <w:r w:rsidR="00C64050">
        <w:rPr>
          <w:lang w:eastAsia="en-GB"/>
        </w:rPr>
        <w:t xml:space="preserve"> </w:t>
      </w:r>
      <w:r w:rsidR="003A40B8">
        <w:rPr>
          <w:lang w:eastAsia="en-GB"/>
        </w:rPr>
        <w:t>concerns</w:t>
      </w:r>
      <w:r w:rsidR="00C64050">
        <w:rPr>
          <w:lang w:eastAsia="en-GB"/>
        </w:rPr>
        <w:t xml:space="preserve"> </w:t>
      </w:r>
      <w:r w:rsidR="003A40B8">
        <w:rPr>
          <w:lang w:eastAsia="en-GB"/>
        </w:rPr>
        <w:t>like</w:t>
      </w:r>
      <w:r w:rsidR="00C64050">
        <w:rPr>
          <w:lang w:eastAsia="en-GB"/>
        </w:rPr>
        <w:t xml:space="preserve"> </w:t>
      </w:r>
      <w:r w:rsidR="003A40B8">
        <w:rPr>
          <w:lang w:eastAsia="en-GB"/>
        </w:rPr>
        <w:t>those</w:t>
      </w:r>
      <w:r w:rsidR="00C64050">
        <w:rPr>
          <w:lang w:eastAsia="en-GB"/>
        </w:rPr>
        <w:t xml:space="preserve"> </w:t>
      </w:r>
      <w:r w:rsidR="003A40B8">
        <w:rPr>
          <w:lang w:eastAsia="en-GB"/>
        </w:rPr>
        <w:t>raised</w:t>
      </w:r>
      <w:r w:rsidR="00C64050">
        <w:rPr>
          <w:lang w:eastAsia="en-GB"/>
        </w:rPr>
        <w:t xml:space="preserve"> </w:t>
      </w:r>
      <w:r w:rsidR="003A40B8">
        <w:rPr>
          <w:lang w:eastAsia="en-GB"/>
        </w:rPr>
        <w:t>in</w:t>
      </w:r>
      <w:r w:rsidR="00C64050">
        <w:rPr>
          <w:lang w:eastAsia="en-GB"/>
        </w:rPr>
        <w:t xml:space="preserve"> </w:t>
      </w:r>
      <w:r w:rsidR="003A40B8">
        <w:rPr>
          <w:lang w:eastAsia="en-GB"/>
        </w:rPr>
        <w:t>CCA</w:t>
      </w:r>
      <w:r w:rsidR="00C64050">
        <w:rPr>
          <w:lang w:eastAsia="en-GB"/>
        </w:rPr>
        <w:t xml:space="preserve"> </w:t>
      </w:r>
      <w:r w:rsidR="003A40B8">
        <w:rPr>
          <w:lang w:eastAsia="en-GB"/>
        </w:rPr>
        <w:t>201745012</w:t>
      </w:r>
      <w:r w:rsidR="00C64050">
        <w:rPr>
          <w:lang w:eastAsia="en-GB"/>
        </w:rPr>
        <w:t xml:space="preserve"> </w:t>
      </w:r>
      <w:r w:rsidR="003A40B8">
        <w:rPr>
          <w:lang w:eastAsia="en-GB"/>
        </w:rPr>
        <w:t>arguably</w:t>
      </w:r>
      <w:r w:rsidR="00C64050">
        <w:rPr>
          <w:lang w:eastAsia="en-GB"/>
        </w:rPr>
        <w:t xml:space="preserve"> </w:t>
      </w:r>
      <w:r w:rsidR="003A40B8">
        <w:rPr>
          <w:lang w:eastAsia="en-GB"/>
        </w:rPr>
        <w:t>are</w:t>
      </w:r>
      <w:r w:rsidR="00C64050">
        <w:rPr>
          <w:lang w:eastAsia="en-GB"/>
        </w:rPr>
        <w:t xml:space="preserve"> </w:t>
      </w:r>
      <w:r w:rsidR="003A40B8">
        <w:rPr>
          <w:lang w:eastAsia="en-GB"/>
        </w:rPr>
        <w:t>avoided.</w:t>
      </w:r>
    </w:p>
    <w:p w:rsidR="005817FF" w:rsidRPr="005817FF" w:rsidRDefault="003A40B8" w:rsidP="00BF61EC">
      <w:pPr>
        <w:pStyle w:val="Heading20"/>
        <w:tabs>
          <w:tab w:val="clear" w:pos="2700"/>
        </w:tabs>
        <w:ind w:left="0"/>
        <w:rPr>
          <w:vanish/>
          <w:lang w:eastAsia="en-GB"/>
          <w:specVanish/>
        </w:rPr>
      </w:pPr>
      <w:bookmarkStart w:id="681" w:name="_Toc94704671"/>
      <w:r>
        <w:rPr>
          <w:b/>
          <w:u w:val="single"/>
          <w:lang w:eastAsia="en-GB"/>
        </w:rPr>
        <w:t>GRAT</w:t>
      </w:r>
      <w:r w:rsidR="00C64050">
        <w:rPr>
          <w:b/>
          <w:u w:val="single"/>
          <w:lang w:eastAsia="en-GB"/>
        </w:rPr>
        <w:t xml:space="preserve"> </w:t>
      </w:r>
      <w:r>
        <w:rPr>
          <w:b/>
          <w:u w:val="single"/>
          <w:lang w:eastAsia="en-GB"/>
        </w:rPr>
        <w:t>Inclusion</w:t>
      </w:r>
      <w:bookmarkEnd w:id="681"/>
    </w:p>
    <w:p w:rsidR="003A40B8" w:rsidRDefault="003A40B8" w:rsidP="005817FF">
      <w:pPr>
        <w:pStyle w:val="Heading2Body"/>
      </w:pPr>
      <w:r>
        <w:t>.</w:t>
      </w:r>
      <w:r w:rsidR="00C64050">
        <w:t xml:space="preserve">  </w:t>
      </w:r>
      <w:r>
        <w:t>Treas.</w:t>
      </w:r>
      <w:r w:rsidR="00C64050">
        <w:t xml:space="preserve"> </w:t>
      </w:r>
      <w:r>
        <w:t>Reg.</w:t>
      </w:r>
      <w:r w:rsidR="00C64050">
        <w:t xml:space="preserve"> </w:t>
      </w:r>
      <w:r>
        <w:t>§20.2036-1(c)(2)(i)</w:t>
      </w:r>
      <w:r w:rsidR="00C64050">
        <w:t xml:space="preserve"> </w:t>
      </w:r>
      <w:r>
        <w:t>applies</w:t>
      </w:r>
      <w:r w:rsidR="00C64050">
        <w:t xml:space="preserve"> </w:t>
      </w:r>
      <w:r>
        <w:t>section</w:t>
      </w:r>
      <w:r w:rsidR="00C64050">
        <w:t xml:space="preserve"> </w:t>
      </w:r>
      <w:r>
        <w:t>2036</w:t>
      </w:r>
      <w:r w:rsidR="00C64050">
        <w:t xml:space="preserve"> </w:t>
      </w:r>
      <w:r>
        <w:t>to</w:t>
      </w:r>
      <w:r w:rsidR="00C64050">
        <w:t xml:space="preserve"> </w:t>
      </w:r>
      <w:r>
        <w:t>a</w:t>
      </w:r>
      <w:r w:rsidR="00C64050">
        <w:t xml:space="preserve"> </w:t>
      </w:r>
      <w:r>
        <w:t>GRAT.</w:t>
      </w:r>
      <w:r w:rsidR="00C64050">
        <w:t xml:space="preserve">  </w:t>
      </w:r>
      <w:r>
        <w:t>When</w:t>
      </w:r>
      <w:r w:rsidR="00C64050">
        <w:t xml:space="preserve"> </w:t>
      </w:r>
      <w:r>
        <w:t>the</w:t>
      </w:r>
      <w:r w:rsidR="00C64050">
        <w:t xml:space="preserve"> </w:t>
      </w:r>
      <w:r>
        <w:t>grantor</w:t>
      </w:r>
      <w:r w:rsidR="00C64050">
        <w:t xml:space="preserve"> </w:t>
      </w:r>
      <w:r>
        <w:t>dies</w:t>
      </w:r>
      <w:r w:rsidR="00C64050">
        <w:t xml:space="preserve"> </w:t>
      </w:r>
      <w:r>
        <w:t>during</w:t>
      </w:r>
      <w:r w:rsidR="00C64050">
        <w:t xml:space="preserve"> </w:t>
      </w:r>
      <w:r>
        <w:t>the</w:t>
      </w:r>
      <w:r w:rsidR="00C64050">
        <w:t xml:space="preserve"> </w:t>
      </w:r>
      <w:r>
        <w:t>GRAT</w:t>
      </w:r>
      <w:r w:rsidR="00C64050">
        <w:t xml:space="preserve"> </w:t>
      </w:r>
      <w:r>
        <w:t>term,</w:t>
      </w:r>
      <w:r w:rsidR="00C64050">
        <w:t xml:space="preserve"> </w:t>
      </w:r>
      <w:r>
        <w:t>an</w:t>
      </w:r>
      <w:r w:rsidR="00C64050">
        <w:t xml:space="preserve"> </w:t>
      </w:r>
      <w:r>
        <w:t>amount</w:t>
      </w:r>
      <w:r w:rsidR="00C64050">
        <w:t xml:space="preserve"> </w:t>
      </w:r>
      <w:r>
        <w:t>of</w:t>
      </w:r>
      <w:r w:rsidR="00C64050">
        <w:t xml:space="preserve"> </w:t>
      </w:r>
      <w:r>
        <w:t>the</w:t>
      </w:r>
      <w:r w:rsidR="00C64050">
        <w:t xml:space="preserve"> </w:t>
      </w:r>
      <w:r>
        <w:t>GRAT</w:t>
      </w:r>
      <w:r w:rsidR="00C64050">
        <w:t xml:space="preserve"> </w:t>
      </w:r>
      <w:r>
        <w:t>is</w:t>
      </w:r>
      <w:r w:rsidR="00C64050">
        <w:t xml:space="preserve"> </w:t>
      </w:r>
      <w:r>
        <w:t>included</w:t>
      </w:r>
      <w:r w:rsidR="00C64050">
        <w:t xml:space="preserve"> </w:t>
      </w:r>
      <w:r>
        <w:t>in</w:t>
      </w:r>
      <w:r w:rsidR="00C64050">
        <w:t xml:space="preserve"> </w:t>
      </w:r>
      <w:r>
        <w:t>the</w:t>
      </w:r>
      <w:r w:rsidR="00C64050">
        <w:t xml:space="preserve"> </w:t>
      </w:r>
      <w:r>
        <w:t>grantor’s</w:t>
      </w:r>
      <w:r w:rsidR="00C64050">
        <w:t xml:space="preserve"> </w:t>
      </w:r>
      <w:r>
        <w:t>estate</w:t>
      </w:r>
      <w:r w:rsidR="00C64050">
        <w:t xml:space="preserve"> </w:t>
      </w:r>
      <w:r>
        <w:t>which</w:t>
      </w:r>
      <w:r w:rsidR="00C64050">
        <w:t xml:space="preserve"> </w:t>
      </w:r>
      <w:r>
        <w:t>is</w:t>
      </w:r>
      <w:r w:rsidR="00C64050">
        <w:t xml:space="preserve"> </w:t>
      </w:r>
      <w:r>
        <w:t>sufficient</w:t>
      </w:r>
      <w:r w:rsidR="00C64050">
        <w:t xml:space="preserve"> </w:t>
      </w:r>
      <w:r>
        <w:t>to</w:t>
      </w:r>
      <w:r w:rsidR="00C64050">
        <w:t xml:space="preserve"> </w:t>
      </w:r>
      <w:r>
        <w:t>produce</w:t>
      </w:r>
      <w:r w:rsidR="00C64050">
        <w:t xml:space="preserve"> </w:t>
      </w:r>
      <w:r>
        <w:t>the</w:t>
      </w:r>
      <w:r w:rsidR="00C64050">
        <w:t xml:space="preserve"> </w:t>
      </w:r>
      <w:r w:rsidR="009C7FC4">
        <w:t>annuity</w:t>
      </w:r>
      <w:r w:rsidR="00C64050">
        <w:t xml:space="preserve"> </w:t>
      </w:r>
      <w:r>
        <w:t>using</w:t>
      </w:r>
      <w:r w:rsidR="00C64050">
        <w:t xml:space="preserve"> </w:t>
      </w:r>
      <w:r>
        <w:t>the</w:t>
      </w:r>
      <w:r w:rsidR="00C64050">
        <w:t xml:space="preserve"> </w:t>
      </w:r>
      <w:r>
        <w:t>section</w:t>
      </w:r>
      <w:r w:rsidR="00C64050">
        <w:t xml:space="preserve"> </w:t>
      </w:r>
      <w:r>
        <w:t>720</w:t>
      </w:r>
      <w:r w:rsidR="00C64050">
        <w:t xml:space="preserve"> </w:t>
      </w:r>
      <w:r>
        <w:t>rate</w:t>
      </w:r>
      <w:r w:rsidR="00C64050">
        <w:t xml:space="preserve"> </w:t>
      </w:r>
      <w:r>
        <w:t>then</w:t>
      </w:r>
      <w:r w:rsidR="00C64050">
        <w:t xml:space="preserve"> </w:t>
      </w:r>
      <w:r>
        <w:t>in</w:t>
      </w:r>
      <w:r w:rsidR="00C64050">
        <w:t xml:space="preserve"> </w:t>
      </w:r>
      <w:r>
        <w:t>effect</w:t>
      </w:r>
      <w:r w:rsidR="00C64050">
        <w:t xml:space="preserve"> </w:t>
      </w:r>
      <w:r>
        <w:t>(with</w:t>
      </w:r>
      <w:r w:rsidR="00C64050">
        <w:t xml:space="preserve"> </w:t>
      </w:r>
      <w:r>
        <w:t>special</w:t>
      </w:r>
      <w:r w:rsidR="00C64050">
        <w:t xml:space="preserve"> </w:t>
      </w:r>
      <w:r>
        <w:t>rules</w:t>
      </w:r>
      <w:r w:rsidR="00C64050">
        <w:t xml:space="preserve"> </w:t>
      </w:r>
      <w:r>
        <w:t>for</w:t>
      </w:r>
      <w:r w:rsidR="00C64050">
        <w:t xml:space="preserve"> </w:t>
      </w:r>
      <w:r>
        <w:t>annuities,</w:t>
      </w:r>
      <w:r w:rsidR="00C64050">
        <w:t xml:space="preserve"> </w:t>
      </w:r>
      <w:r>
        <w:t>that</w:t>
      </w:r>
      <w:r w:rsidR="00C64050">
        <w:t xml:space="preserve"> </w:t>
      </w:r>
      <w:r>
        <w:t>change</w:t>
      </w:r>
      <w:r w:rsidR="00C64050">
        <w:t xml:space="preserve"> </w:t>
      </w:r>
      <w:r>
        <w:t>during</w:t>
      </w:r>
      <w:r w:rsidR="00C64050">
        <w:t xml:space="preserve"> </w:t>
      </w:r>
      <w:r>
        <w:t>the</w:t>
      </w:r>
      <w:r w:rsidR="00C64050">
        <w:t xml:space="preserve"> </w:t>
      </w:r>
      <w:r>
        <w:t>term).</w:t>
      </w:r>
      <w:r w:rsidR="00C64050">
        <w:t xml:space="preserve">  </w:t>
      </w:r>
      <w:r>
        <w:t>As</w:t>
      </w:r>
      <w:r w:rsidR="00C64050">
        <w:t xml:space="preserve"> </w:t>
      </w:r>
      <w:r>
        <w:t>a</w:t>
      </w:r>
      <w:r w:rsidR="00C64050">
        <w:t xml:space="preserve"> </w:t>
      </w:r>
      <w:r>
        <w:t>practical</w:t>
      </w:r>
      <w:r w:rsidR="00C64050">
        <w:t xml:space="preserve"> </w:t>
      </w:r>
      <w:r>
        <w:t>matter,</w:t>
      </w:r>
      <w:r w:rsidR="00C64050">
        <w:t xml:space="preserve"> </w:t>
      </w:r>
      <w:r>
        <w:t>absent</w:t>
      </w:r>
      <w:r w:rsidR="00C64050">
        <w:t xml:space="preserve"> </w:t>
      </w:r>
      <w:r>
        <w:t>a</w:t>
      </w:r>
      <w:r w:rsidR="00C64050">
        <w:t xml:space="preserve"> </w:t>
      </w:r>
      <w:r>
        <w:t>substantial</w:t>
      </w:r>
      <w:r w:rsidR="00C64050">
        <w:t xml:space="preserve"> </w:t>
      </w:r>
      <w:r>
        <w:t>increase</w:t>
      </w:r>
      <w:r w:rsidR="00C64050">
        <w:t xml:space="preserve"> </w:t>
      </w:r>
      <w:r>
        <w:t>in</w:t>
      </w:r>
      <w:r w:rsidR="00C64050">
        <w:t xml:space="preserve"> </w:t>
      </w:r>
      <w:r>
        <w:t>the</w:t>
      </w:r>
      <w:r w:rsidR="00C64050">
        <w:t xml:space="preserve"> </w:t>
      </w:r>
      <w:r>
        <w:t>section</w:t>
      </w:r>
      <w:r w:rsidR="00C64050">
        <w:t xml:space="preserve"> </w:t>
      </w:r>
      <w:r>
        <w:t>7520</w:t>
      </w:r>
      <w:r w:rsidR="00C64050">
        <w:t xml:space="preserve"> </w:t>
      </w:r>
      <w:r>
        <w:t>rate</w:t>
      </w:r>
      <w:r w:rsidR="00C64050">
        <w:t xml:space="preserve"> </w:t>
      </w:r>
      <w:r>
        <w:t>between</w:t>
      </w:r>
      <w:r w:rsidR="00C64050">
        <w:t xml:space="preserve"> </w:t>
      </w:r>
      <w:r>
        <w:t>the</w:t>
      </w:r>
      <w:r w:rsidR="00C64050">
        <w:t xml:space="preserve"> </w:t>
      </w:r>
      <w:r>
        <w:t>date</w:t>
      </w:r>
      <w:r w:rsidR="00C64050">
        <w:t xml:space="preserve"> </w:t>
      </w:r>
      <w:r>
        <w:t>of</w:t>
      </w:r>
      <w:r w:rsidR="00C64050">
        <w:t xml:space="preserve"> </w:t>
      </w:r>
      <w:r>
        <w:t>the</w:t>
      </w:r>
      <w:r w:rsidR="00C64050">
        <w:t xml:space="preserve"> </w:t>
      </w:r>
      <w:r>
        <w:t>GRAT</w:t>
      </w:r>
      <w:r w:rsidR="00C64050">
        <w:t xml:space="preserve"> </w:t>
      </w:r>
      <w:r>
        <w:t>and</w:t>
      </w:r>
      <w:r w:rsidR="00C64050">
        <w:t xml:space="preserve"> </w:t>
      </w:r>
      <w:r>
        <w:t>the</w:t>
      </w:r>
      <w:r w:rsidR="00C64050">
        <w:t xml:space="preserve"> </w:t>
      </w:r>
      <w:r>
        <w:t>grantor’s</w:t>
      </w:r>
      <w:r w:rsidR="00C64050">
        <w:t xml:space="preserve"> </w:t>
      </w:r>
      <w:r>
        <w:t>death,</w:t>
      </w:r>
      <w:r w:rsidR="00C64050">
        <w:t xml:space="preserve"> </w:t>
      </w:r>
      <w:r>
        <w:t>a</w:t>
      </w:r>
      <w:r w:rsidR="005817FF">
        <w:t>n</w:t>
      </w:r>
      <w:r w:rsidR="00C64050">
        <w:t xml:space="preserve"> </w:t>
      </w:r>
      <w:r w:rsidR="005817FF">
        <w:t>extraordinary</w:t>
      </w:r>
      <w:r w:rsidR="00C64050">
        <w:t xml:space="preserve"> </w:t>
      </w:r>
      <w:r w:rsidR="005817FF">
        <w:t>appreciation,</w:t>
      </w:r>
      <w:r w:rsidR="00C64050">
        <w:t xml:space="preserve"> </w:t>
      </w:r>
      <w:r w:rsidR="005817FF">
        <w:t>all</w:t>
      </w:r>
      <w:r w:rsidR="00C64050">
        <w:t xml:space="preserve"> </w:t>
      </w:r>
      <w:r w:rsidR="005817FF">
        <w:t>of</w:t>
      </w:r>
      <w:r w:rsidR="00C64050">
        <w:t xml:space="preserve"> </w:t>
      </w:r>
      <w:r w:rsidR="005817FF">
        <w:t>a</w:t>
      </w:r>
      <w:r w:rsidR="00C64050">
        <w:t xml:space="preserve"> </w:t>
      </w:r>
      <w:r w:rsidR="005817FF">
        <w:t>GRAT</w:t>
      </w:r>
      <w:r w:rsidR="00C64050">
        <w:t xml:space="preserve"> </w:t>
      </w:r>
      <w:r w:rsidR="005817FF">
        <w:t>is</w:t>
      </w:r>
      <w:r w:rsidR="00C64050">
        <w:t xml:space="preserve"> </w:t>
      </w:r>
      <w:r w:rsidR="005817FF">
        <w:t>included</w:t>
      </w:r>
      <w:r w:rsidR="00C64050">
        <w:t xml:space="preserve"> </w:t>
      </w:r>
      <w:r w:rsidR="005817FF">
        <w:t>in</w:t>
      </w:r>
      <w:r w:rsidR="00C64050">
        <w:t xml:space="preserve"> </w:t>
      </w:r>
      <w:r w:rsidR="005817FF">
        <w:t>the</w:t>
      </w:r>
      <w:r w:rsidR="00C64050">
        <w:t xml:space="preserve"> </w:t>
      </w:r>
      <w:r w:rsidR="005817FF">
        <w:t>Grantor’s</w:t>
      </w:r>
      <w:r w:rsidR="00C64050">
        <w:t xml:space="preserve"> </w:t>
      </w:r>
      <w:r w:rsidR="005817FF">
        <w:t>estate</w:t>
      </w:r>
      <w:r w:rsidR="00C64050">
        <w:t xml:space="preserve"> </w:t>
      </w:r>
      <w:r w:rsidR="005817FF">
        <w:t>at</w:t>
      </w:r>
      <w:r w:rsidR="00C64050">
        <w:t xml:space="preserve"> </w:t>
      </w:r>
      <w:r w:rsidR="005817FF">
        <w:t>death.</w:t>
      </w:r>
      <w:r w:rsidR="00C64050">
        <w:t xml:space="preserve">  </w:t>
      </w:r>
      <w:r w:rsidR="005817FF">
        <w:t>An</w:t>
      </w:r>
      <w:r w:rsidR="00C64050">
        <w:t xml:space="preserve"> </w:t>
      </w:r>
      <w:r w:rsidR="00CF0FF9">
        <w:t>exception</w:t>
      </w:r>
      <w:r w:rsidR="00C64050">
        <w:t xml:space="preserve"> </w:t>
      </w:r>
      <w:r w:rsidR="005817FF">
        <w:t>is</w:t>
      </w:r>
      <w:r w:rsidR="00C64050">
        <w:t xml:space="preserve"> </w:t>
      </w:r>
      <w:r w:rsidR="005817FF">
        <w:t>for</w:t>
      </w:r>
      <w:r w:rsidR="00C64050">
        <w:t xml:space="preserve"> </w:t>
      </w:r>
      <w:r w:rsidR="005817FF">
        <w:t>GRATs</w:t>
      </w:r>
      <w:r w:rsidR="00C64050">
        <w:t xml:space="preserve"> </w:t>
      </w:r>
      <w:r w:rsidR="005817FF">
        <w:t>with</w:t>
      </w:r>
      <w:r w:rsidR="00C64050">
        <w:t xml:space="preserve"> </w:t>
      </w:r>
      <w:r w:rsidR="005817FF">
        <w:t>long</w:t>
      </w:r>
      <w:r w:rsidR="00C64050">
        <w:t xml:space="preserve"> </w:t>
      </w:r>
      <w:r w:rsidR="005817FF">
        <w:t>ter</w:t>
      </w:r>
      <w:r w:rsidR="005254C7">
        <w:t>ms,</w:t>
      </w:r>
      <w:r w:rsidR="00C64050">
        <w:t xml:space="preserve"> </w:t>
      </w:r>
      <w:r w:rsidR="005254C7">
        <w:t>perhaps</w:t>
      </w:r>
      <w:r w:rsidR="00C64050">
        <w:t xml:space="preserve"> </w:t>
      </w:r>
      <w:r w:rsidR="005254C7">
        <w:t>as</w:t>
      </w:r>
      <w:r w:rsidR="00C64050">
        <w:t xml:space="preserve"> </w:t>
      </w:r>
      <w:r w:rsidR="005254C7">
        <w:t>long</w:t>
      </w:r>
      <w:r w:rsidR="00C64050">
        <w:t xml:space="preserve"> </w:t>
      </w:r>
      <w:r w:rsidR="005254C7">
        <w:t>as</w:t>
      </w:r>
      <w:r w:rsidR="00C64050">
        <w:t xml:space="preserve"> </w:t>
      </w:r>
      <w:r w:rsidR="005254C7">
        <w:t>99</w:t>
      </w:r>
      <w:r w:rsidR="00C64050">
        <w:t xml:space="preserve"> </w:t>
      </w:r>
      <w:r w:rsidR="005254C7">
        <w:t>years,</w:t>
      </w:r>
      <w:r w:rsidR="00C64050">
        <w:t xml:space="preserve"> </w:t>
      </w:r>
      <w:r w:rsidR="005254C7">
        <w:t>because</w:t>
      </w:r>
      <w:r w:rsidR="00C64050">
        <w:t xml:space="preserve"> </w:t>
      </w:r>
      <w:r w:rsidR="005254C7">
        <w:t>the</w:t>
      </w:r>
      <w:r w:rsidR="00C64050">
        <w:t xml:space="preserve"> </w:t>
      </w:r>
      <w:r w:rsidR="005254C7">
        <w:t>annuity</w:t>
      </w:r>
      <w:r w:rsidR="00C64050">
        <w:t xml:space="preserve"> </w:t>
      </w:r>
      <w:r w:rsidR="005254C7">
        <w:t>required</w:t>
      </w:r>
      <w:r w:rsidR="00C64050">
        <w:t xml:space="preserve"> </w:t>
      </w:r>
      <w:r w:rsidR="005254C7">
        <w:t>to</w:t>
      </w:r>
      <w:r w:rsidR="00C64050">
        <w:t xml:space="preserve"> </w:t>
      </w:r>
      <w:r w:rsidR="005254C7">
        <w:t>zero</w:t>
      </w:r>
      <w:r w:rsidR="00C64050">
        <w:t xml:space="preserve"> </w:t>
      </w:r>
      <w:r w:rsidR="005254C7">
        <w:t>out</w:t>
      </w:r>
      <w:r w:rsidR="00C64050">
        <w:t xml:space="preserve"> </w:t>
      </w:r>
      <w:r w:rsidR="005254C7">
        <w:t>ov</w:t>
      </w:r>
      <w:r w:rsidR="00E10A83">
        <w:t>er</w:t>
      </w:r>
      <w:r w:rsidR="00C64050">
        <w:t xml:space="preserve"> </w:t>
      </w:r>
      <w:r w:rsidR="00E10A83">
        <w:t>such</w:t>
      </w:r>
      <w:r w:rsidR="00C64050">
        <w:t xml:space="preserve"> </w:t>
      </w:r>
      <w:r w:rsidR="00E10A83">
        <w:t>a</w:t>
      </w:r>
      <w:r w:rsidR="00C64050">
        <w:t xml:space="preserve"> </w:t>
      </w:r>
      <w:r w:rsidR="00E10A83">
        <w:t>long-term</w:t>
      </w:r>
      <w:r w:rsidR="00C64050">
        <w:t xml:space="preserve"> </w:t>
      </w:r>
      <w:r w:rsidR="00E10A83">
        <w:t>is</w:t>
      </w:r>
      <w:r w:rsidR="00C64050">
        <w:t xml:space="preserve"> </w:t>
      </w:r>
      <w:r w:rsidR="00E10A83">
        <w:t>very</w:t>
      </w:r>
      <w:r w:rsidR="00C64050">
        <w:t xml:space="preserve"> </w:t>
      </w:r>
      <w:r w:rsidR="00E10A83">
        <w:t>low,</w:t>
      </w:r>
      <w:r w:rsidR="00C64050">
        <w:t xml:space="preserve"> </w:t>
      </w:r>
      <w:r w:rsidR="00E10A83">
        <w:t>as</w:t>
      </w:r>
      <w:r w:rsidR="00C64050">
        <w:t xml:space="preserve"> </w:t>
      </w:r>
      <w:r w:rsidR="00E10A83">
        <w:t>discussed</w:t>
      </w:r>
      <w:r w:rsidR="00C64050">
        <w:t xml:space="preserve"> </w:t>
      </w:r>
      <w:r w:rsidR="00E10A83">
        <w:t>below</w:t>
      </w:r>
      <w:r w:rsidR="00081023">
        <w:t>.</w:t>
      </w:r>
    </w:p>
    <w:p w:rsidR="005817FF" w:rsidRDefault="005817FF" w:rsidP="005817FF">
      <w:pPr>
        <w:pStyle w:val="Body15"/>
        <w:spacing w:before="240"/>
        <w:rPr>
          <w:lang w:eastAsia="en-GB"/>
        </w:rPr>
      </w:pPr>
      <w:r>
        <w:rPr>
          <w:lang w:eastAsia="en-GB"/>
        </w:rPr>
        <w:t>In</w:t>
      </w:r>
      <w:r w:rsidR="00C64050">
        <w:rPr>
          <w:lang w:eastAsia="en-GB"/>
        </w:rPr>
        <w:t xml:space="preserve"> </w:t>
      </w:r>
      <w:r>
        <w:rPr>
          <w:u w:val="single"/>
          <w:lang w:eastAsia="en-GB"/>
        </w:rPr>
        <w:t>Badgley</w:t>
      </w:r>
      <w:r w:rsidR="00C64050">
        <w:rPr>
          <w:u w:val="single"/>
          <w:lang w:eastAsia="en-GB"/>
        </w:rPr>
        <w:t xml:space="preserve"> </w:t>
      </w:r>
      <w:r>
        <w:rPr>
          <w:u w:val="single"/>
          <w:lang w:eastAsia="en-GB"/>
        </w:rPr>
        <w:t>v.</w:t>
      </w:r>
      <w:r w:rsidR="00C64050">
        <w:rPr>
          <w:u w:val="single"/>
          <w:lang w:eastAsia="en-GB"/>
        </w:rPr>
        <w:t xml:space="preserve"> </w:t>
      </w:r>
      <w:r>
        <w:rPr>
          <w:u w:val="single"/>
          <w:lang w:eastAsia="en-GB"/>
        </w:rPr>
        <w:t>United</w:t>
      </w:r>
      <w:r w:rsidR="00C64050">
        <w:rPr>
          <w:u w:val="single"/>
          <w:lang w:eastAsia="en-GB"/>
        </w:rPr>
        <w:t xml:space="preserve"> </w:t>
      </w:r>
      <w:r>
        <w:rPr>
          <w:u w:val="single"/>
          <w:lang w:eastAsia="en-GB"/>
        </w:rPr>
        <w:t>States</w:t>
      </w:r>
      <w:r>
        <w:rPr>
          <w:lang w:eastAsia="en-GB"/>
        </w:rPr>
        <w:t>,</w:t>
      </w:r>
      <w:r w:rsidR="00C64050">
        <w:rPr>
          <w:lang w:eastAsia="en-GB"/>
        </w:rPr>
        <w:t xml:space="preserve"> </w:t>
      </w:r>
      <w:r w:rsidR="00081023" w:rsidRPr="00081023">
        <w:rPr>
          <w:lang w:eastAsia="en-GB"/>
        </w:rPr>
        <w:t>121</w:t>
      </w:r>
      <w:r w:rsidR="00C64050">
        <w:rPr>
          <w:lang w:eastAsia="en-GB"/>
        </w:rPr>
        <w:t xml:space="preserve"> </w:t>
      </w:r>
      <w:r w:rsidR="00081023" w:rsidRPr="00081023">
        <w:rPr>
          <w:lang w:eastAsia="en-GB"/>
        </w:rPr>
        <w:t>A.F.T.R.2d</w:t>
      </w:r>
      <w:r w:rsidR="00C64050">
        <w:rPr>
          <w:lang w:eastAsia="en-GB"/>
        </w:rPr>
        <w:t xml:space="preserve"> </w:t>
      </w:r>
      <w:r w:rsidR="00081023" w:rsidRPr="00081023">
        <w:rPr>
          <w:lang w:eastAsia="en-GB"/>
        </w:rPr>
        <w:t>2018-1816</w:t>
      </w:r>
      <w:r w:rsidR="00C64050">
        <w:rPr>
          <w:lang w:eastAsia="en-GB"/>
        </w:rPr>
        <w:t xml:space="preserve"> </w:t>
      </w:r>
      <w:r>
        <w:rPr>
          <w:lang w:eastAsia="en-GB"/>
        </w:rPr>
        <w:t>(N.D.</w:t>
      </w:r>
      <w:r w:rsidR="00C64050">
        <w:rPr>
          <w:lang w:eastAsia="en-GB"/>
        </w:rPr>
        <w:t xml:space="preserve"> </w:t>
      </w:r>
      <w:r>
        <w:rPr>
          <w:lang w:eastAsia="en-GB"/>
        </w:rPr>
        <w:t>Ca.</w:t>
      </w:r>
      <w:r w:rsidR="00C64050">
        <w:rPr>
          <w:lang w:eastAsia="en-GB"/>
        </w:rPr>
        <w:t xml:space="preserve"> </w:t>
      </w:r>
      <w:r>
        <w:rPr>
          <w:lang w:eastAsia="en-GB"/>
        </w:rPr>
        <w:t>2018)</w:t>
      </w:r>
      <w:r w:rsidR="00C64050">
        <w:rPr>
          <w:lang w:eastAsia="en-GB"/>
        </w:rPr>
        <w:t xml:space="preserve"> </w:t>
      </w:r>
      <w:r>
        <w:rPr>
          <w:lang w:eastAsia="en-GB"/>
        </w:rPr>
        <w:t>the</w:t>
      </w:r>
      <w:r w:rsidR="00C64050">
        <w:rPr>
          <w:lang w:eastAsia="en-GB"/>
        </w:rPr>
        <w:t xml:space="preserve"> </w:t>
      </w:r>
      <w:r>
        <w:rPr>
          <w:lang w:eastAsia="en-GB"/>
        </w:rPr>
        <w:t>taxpayer</w:t>
      </w:r>
      <w:r w:rsidR="00C64050">
        <w:rPr>
          <w:lang w:eastAsia="en-GB"/>
        </w:rPr>
        <w:t xml:space="preserve"> </w:t>
      </w:r>
      <w:r>
        <w:rPr>
          <w:lang w:eastAsia="en-GB"/>
        </w:rPr>
        <w:t>challenged</w:t>
      </w:r>
      <w:r w:rsidR="00C64050">
        <w:rPr>
          <w:lang w:eastAsia="en-GB"/>
        </w:rPr>
        <w:t xml:space="preserve"> </w:t>
      </w:r>
      <w:r>
        <w:rPr>
          <w:lang w:eastAsia="en-GB"/>
        </w:rPr>
        <w:t>the</w:t>
      </w:r>
      <w:r w:rsidR="00C64050">
        <w:rPr>
          <w:lang w:eastAsia="en-GB"/>
        </w:rPr>
        <w:t xml:space="preserve"> </w:t>
      </w:r>
      <w:r>
        <w:rPr>
          <w:lang w:eastAsia="en-GB"/>
        </w:rPr>
        <w:t>regulation</w:t>
      </w:r>
      <w:r w:rsidR="00C64050">
        <w:rPr>
          <w:lang w:eastAsia="en-GB"/>
        </w:rPr>
        <w:t xml:space="preserve"> </w:t>
      </w:r>
      <w:r>
        <w:rPr>
          <w:lang w:eastAsia="en-GB"/>
        </w:rPr>
        <w:t>where</w:t>
      </w:r>
      <w:r w:rsidR="00C64050">
        <w:rPr>
          <w:lang w:eastAsia="en-GB"/>
        </w:rPr>
        <w:t xml:space="preserve"> </w:t>
      </w:r>
      <w:r>
        <w:rPr>
          <w:lang w:eastAsia="en-GB"/>
        </w:rPr>
        <w:t>the</w:t>
      </w:r>
      <w:r w:rsidR="00C64050">
        <w:rPr>
          <w:lang w:eastAsia="en-GB"/>
        </w:rPr>
        <w:t xml:space="preserve"> </w:t>
      </w:r>
      <w:r>
        <w:rPr>
          <w:lang w:eastAsia="en-GB"/>
        </w:rPr>
        <w:t>GRAT</w:t>
      </w:r>
      <w:r w:rsidR="00C64050">
        <w:rPr>
          <w:lang w:eastAsia="en-GB"/>
        </w:rPr>
        <w:t xml:space="preserve"> </w:t>
      </w:r>
      <w:r>
        <w:rPr>
          <w:lang w:eastAsia="en-GB"/>
        </w:rPr>
        <w:t>term</w:t>
      </w:r>
      <w:r w:rsidR="00C64050">
        <w:rPr>
          <w:lang w:eastAsia="en-GB"/>
        </w:rPr>
        <w:t xml:space="preserve"> </w:t>
      </w:r>
      <w:r>
        <w:rPr>
          <w:lang w:eastAsia="en-GB"/>
        </w:rPr>
        <w:t>was</w:t>
      </w:r>
      <w:r w:rsidR="00C64050">
        <w:rPr>
          <w:lang w:eastAsia="en-GB"/>
        </w:rPr>
        <w:t xml:space="preserve"> </w:t>
      </w:r>
      <w:r>
        <w:rPr>
          <w:lang w:eastAsia="en-GB"/>
        </w:rPr>
        <w:t>15</w:t>
      </w:r>
      <w:r w:rsidR="00C64050">
        <w:rPr>
          <w:lang w:eastAsia="en-GB"/>
        </w:rPr>
        <w:t xml:space="preserve"> </w:t>
      </w:r>
      <w:r>
        <w:rPr>
          <w:lang w:eastAsia="en-GB"/>
        </w:rPr>
        <w:t>years.</w:t>
      </w:r>
      <w:r w:rsidR="00C64050">
        <w:rPr>
          <w:lang w:eastAsia="en-GB"/>
        </w:rPr>
        <w:t xml:space="preserve">  </w:t>
      </w:r>
      <w:r>
        <w:rPr>
          <w:lang w:eastAsia="en-GB"/>
        </w:rPr>
        <w:t>The</w:t>
      </w:r>
      <w:r w:rsidR="00C64050">
        <w:rPr>
          <w:lang w:eastAsia="en-GB"/>
        </w:rPr>
        <w:t xml:space="preserve"> </w:t>
      </w:r>
      <w:r>
        <w:rPr>
          <w:lang w:eastAsia="en-GB"/>
        </w:rPr>
        <w:t>taxpayer</w:t>
      </w:r>
      <w:r w:rsidR="00C64050">
        <w:rPr>
          <w:lang w:eastAsia="en-GB"/>
        </w:rPr>
        <w:t xml:space="preserve"> </w:t>
      </w:r>
      <w:r>
        <w:rPr>
          <w:lang w:eastAsia="en-GB"/>
        </w:rPr>
        <w:t>lost.</w:t>
      </w:r>
      <w:r w:rsidR="00C64050">
        <w:rPr>
          <w:lang w:eastAsia="en-GB"/>
        </w:rPr>
        <w:t xml:space="preserve">  </w:t>
      </w:r>
      <w:r>
        <w:rPr>
          <w:lang w:eastAsia="en-GB"/>
        </w:rPr>
        <w:t>The</w:t>
      </w:r>
      <w:r w:rsidR="00C64050">
        <w:rPr>
          <w:lang w:eastAsia="en-GB"/>
        </w:rPr>
        <w:t xml:space="preserve"> </w:t>
      </w:r>
      <w:r>
        <w:rPr>
          <w:lang w:eastAsia="en-GB"/>
        </w:rPr>
        <w:t>opinion</w:t>
      </w:r>
      <w:r w:rsidR="00C64050">
        <w:rPr>
          <w:lang w:eastAsia="en-GB"/>
        </w:rPr>
        <w:t xml:space="preserve"> </w:t>
      </w:r>
      <w:r>
        <w:rPr>
          <w:lang w:eastAsia="en-GB"/>
        </w:rPr>
        <w:t>states:</w:t>
      </w:r>
    </w:p>
    <w:p w:rsidR="001A12F3" w:rsidRDefault="001A12F3" w:rsidP="001A12F3">
      <w:pPr>
        <w:pStyle w:val="QS10"/>
        <w:rPr>
          <w:lang w:eastAsia="en-GB"/>
        </w:rPr>
      </w:pPr>
      <w:r>
        <w:rPr>
          <w:lang w:eastAsia="en-GB"/>
        </w:rPr>
        <w:t>Plaintiff</w:t>
      </w:r>
      <w:r w:rsidR="00C64050">
        <w:rPr>
          <w:lang w:eastAsia="en-GB"/>
        </w:rPr>
        <w:t xml:space="preserve"> </w:t>
      </w:r>
      <w:r>
        <w:rPr>
          <w:lang w:eastAsia="en-GB"/>
        </w:rPr>
        <w:t>contends</w:t>
      </w:r>
      <w:r w:rsidR="00C64050">
        <w:rPr>
          <w:lang w:eastAsia="en-GB"/>
        </w:rPr>
        <w:t xml:space="preserve"> </w:t>
      </w:r>
      <w:r>
        <w:rPr>
          <w:lang w:eastAsia="en-GB"/>
        </w:rPr>
        <w:t>that</w:t>
      </w:r>
      <w:r w:rsidR="00C64050">
        <w:rPr>
          <w:lang w:eastAsia="en-GB"/>
        </w:rPr>
        <w:t xml:space="preserve"> </w:t>
      </w:r>
      <w:r>
        <w:rPr>
          <w:lang w:eastAsia="en-GB"/>
        </w:rPr>
        <w:t>the</w:t>
      </w:r>
      <w:r w:rsidR="00C64050">
        <w:rPr>
          <w:lang w:eastAsia="en-GB"/>
        </w:rPr>
        <w:t xml:space="preserve"> </w:t>
      </w:r>
      <w:r>
        <w:rPr>
          <w:lang w:eastAsia="en-GB"/>
        </w:rPr>
        <w:t>Court</w:t>
      </w:r>
      <w:r w:rsidR="00C64050">
        <w:rPr>
          <w:lang w:eastAsia="en-GB"/>
        </w:rPr>
        <w:t xml:space="preserve"> </w:t>
      </w:r>
      <w:r>
        <w:rPr>
          <w:lang w:eastAsia="en-GB"/>
        </w:rPr>
        <w:t>should</w:t>
      </w:r>
      <w:r w:rsidR="00C64050">
        <w:rPr>
          <w:lang w:eastAsia="en-GB"/>
        </w:rPr>
        <w:t xml:space="preserve"> </w:t>
      </w:r>
      <w:r>
        <w:rPr>
          <w:lang w:eastAsia="en-GB"/>
        </w:rPr>
        <w:t>disregard</w:t>
      </w:r>
      <w:r w:rsidR="00C64050">
        <w:rPr>
          <w:lang w:eastAsia="en-GB"/>
        </w:rPr>
        <w:t xml:space="preserve"> </w:t>
      </w:r>
      <w:r>
        <w:rPr>
          <w:lang w:eastAsia="en-GB"/>
        </w:rPr>
        <w:t>the</w:t>
      </w:r>
      <w:r w:rsidR="00C64050">
        <w:rPr>
          <w:lang w:eastAsia="en-GB"/>
        </w:rPr>
        <w:t xml:space="preserve"> </w:t>
      </w:r>
      <w:r>
        <w:rPr>
          <w:lang w:eastAsia="en-GB"/>
        </w:rPr>
        <w:t>Regulation</w:t>
      </w:r>
      <w:r w:rsidR="00C64050">
        <w:rPr>
          <w:lang w:eastAsia="en-GB"/>
        </w:rPr>
        <w:t xml:space="preserve"> </w:t>
      </w:r>
      <w:r>
        <w:rPr>
          <w:lang w:eastAsia="en-GB"/>
        </w:rPr>
        <w:t>as</w:t>
      </w:r>
      <w:r w:rsidR="00C64050">
        <w:rPr>
          <w:lang w:eastAsia="en-GB"/>
        </w:rPr>
        <w:t xml:space="preserve"> </w:t>
      </w:r>
      <w:r>
        <w:rPr>
          <w:lang w:eastAsia="en-GB"/>
        </w:rPr>
        <w:t>an</w:t>
      </w:r>
      <w:r w:rsidR="00C64050">
        <w:rPr>
          <w:lang w:eastAsia="en-GB"/>
        </w:rPr>
        <w:t xml:space="preserve"> </w:t>
      </w:r>
      <w:r>
        <w:rPr>
          <w:lang w:eastAsia="en-GB"/>
        </w:rPr>
        <w:t>unreasonable</w:t>
      </w:r>
      <w:r w:rsidR="00C64050">
        <w:rPr>
          <w:lang w:eastAsia="en-GB"/>
        </w:rPr>
        <w:t xml:space="preserve"> </w:t>
      </w:r>
      <w:r>
        <w:rPr>
          <w:lang w:eastAsia="en-GB"/>
        </w:rPr>
        <w:t>interpretation</w:t>
      </w:r>
      <w:r w:rsidR="00C64050">
        <w:rPr>
          <w:lang w:eastAsia="en-GB"/>
        </w:rPr>
        <w:t xml:space="preserve"> </w:t>
      </w:r>
      <w:r>
        <w:rPr>
          <w:lang w:eastAsia="en-GB"/>
        </w:rPr>
        <w:t>of</w:t>
      </w:r>
      <w:r w:rsidR="00C64050">
        <w:rPr>
          <w:lang w:eastAsia="en-GB"/>
        </w:rPr>
        <w:t xml:space="preserve"> </w:t>
      </w:r>
      <w:r>
        <w:rPr>
          <w:lang w:eastAsia="en-GB"/>
        </w:rPr>
        <w:t>section</w:t>
      </w:r>
      <w:r w:rsidR="00C64050">
        <w:rPr>
          <w:lang w:eastAsia="en-GB"/>
        </w:rPr>
        <w:t xml:space="preserve"> </w:t>
      </w:r>
      <w:r>
        <w:rPr>
          <w:lang w:eastAsia="en-GB"/>
        </w:rPr>
        <w:t>2036</w:t>
      </w:r>
      <w:r w:rsidR="00C64050">
        <w:rPr>
          <w:lang w:eastAsia="en-GB"/>
        </w:rPr>
        <w:t xml:space="preserve"> </w:t>
      </w:r>
      <w:r>
        <w:rPr>
          <w:lang w:eastAsia="en-GB"/>
        </w:rPr>
        <w:t>as</w:t>
      </w:r>
      <w:r w:rsidR="00C64050">
        <w:rPr>
          <w:lang w:eastAsia="en-GB"/>
        </w:rPr>
        <w:t xml:space="preserve"> </w:t>
      </w:r>
      <w:r>
        <w:rPr>
          <w:lang w:eastAsia="en-GB"/>
        </w:rPr>
        <w:t>applied</w:t>
      </w:r>
      <w:r w:rsidR="00C64050">
        <w:rPr>
          <w:lang w:eastAsia="en-GB"/>
        </w:rPr>
        <w:t xml:space="preserve"> </w:t>
      </w:r>
      <w:r>
        <w:rPr>
          <w:lang w:eastAsia="en-GB"/>
        </w:rPr>
        <w:t>to</w:t>
      </w:r>
      <w:r w:rsidR="00C64050">
        <w:rPr>
          <w:lang w:eastAsia="en-GB"/>
        </w:rPr>
        <w:t xml:space="preserve"> </w:t>
      </w:r>
      <w:r>
        <w:rPr>
          <w:lang w:eastAsia="en-GB"/>
        </w:rPr>
        <w:t>Patricia’s</w:t>
      </w:r>
      <w:r w:rsidR="00C64050">
        <w:rPr>
          <w:lang w:eastAsia="en-GB"/>
        </w:rPr>
        <w:t xml:space="preserve"> </w:t>
      </w:r>
      <w:r>
        <w:rPr>
          <w:lang w:eastAsia="en-GB"/>
        </w:rPr>
        <w:t>GRAT.</w:t>
      </w:r>
      <w:r w:rsidR="00C64050">
        <w:rPr>
          <w:lang w:eastAsia="en-GB"/>
        </w:rPr>
        <w:t xml:space="preserve"> </w:t>
      </w:r>
      <w:r w:rsidRPr="001A12F3">
        <w:rPr>
          <w:i/>
          <w:lang w:eastAsia="en-GB"/>
        </w:rPr>
        <w:t>See</w:t>
      </w:r>
      <w:r w:rsidR="00C64050">
        <w:rPr>
          <w:lang w:eastAsia="en-GB"/>
        </w:rPr>
        <w:t xml:space="preserve"> </w:t>
      </w:r>
      <w:r>
        <w:rPr>
          <w:lang w:eastAsia="en-GB"/>
        </w:rPr>
        <w:t>Pl.</w:t>
      </w:r>
      <w:r w:rsidR="00C64050">
        <w:rPr>
          <w:lang w:eastAsia="en-GB"/>
        </w:rPr>
        <w:t xml:space="preserve"> </w:t>
      </w:r>
      <w:r>
        <w:rPr>
          <w:lang w:eastAsia="en-GB"/>
        </w:rPr>
        <w:t>Mot.</w:t>
      </w:r>
      <w:r w:rsidR="00C64050">
        <w:rPr>
          <w:lang w:eastAsia="en-GB"/>
        </w:rPr>
        <w:t xml:space="preserve"> </w:t>
      </w:r>
      <w:r>
        <w:rPr>
          <w:lang w:eastAsia="en-GB"/>
        </w:rPr>
        <w:t>at</w:t>
      </w:r>
      <w:r w:rsidR="00C64050">
        <w:rPr>
          <w:lang w:eastAsia="en-GB"/>
        </w:rPr>
        <w:t xml:space="preserve"> </w:t>
      </w:r>
      <w:r>
        <w:rPr>
          <w:lang w:eastAsia="en-GB"/>
        </w:rPr>
        <w:t>24</w:t>
      </w:r>
      <w:r w:rsidR="00C64050">
        <w:rPr>
          <w:lang w:eastAsia="en-GB"/>
        </w:rPr>
        <w:t xml:space="preserve"> </w:t>
      </w:r>
      <w:r>
        <w:rPr>
          <w:lang w:eastAsia="en-GB"/>
        </w:rPr>
        <w:t>(citing</w:t>
      </w:r>
      <w:r w:rsidR="00C64050">
        <w:rPr>
          <w:lang w:eastAsia="en-GB"/>
        </w:rPr>
        <w:t xml:space="preserve"> </w:t>
      </w:r>
      <w:r w:rsidRPr="001A12F3">
        <w:rPr>
          <w:i/>
          <w:lang w:eastAsia="en-GB"/>
        </w:rPr>
        <w:t>Prof’l</w:t>
      </w:r>
      <w:r w:rsidR="00C64050">
        <w:rPr>
          <w:i/>
          <w:lang w:eastAsia="en-GB"/>
        </w:rPr>
        <w:t xml:space="preserve"> </w:t>
      </w:r>
      <w:r w:rsidRPr="001A12F3">
        <w:rPr>
          <w:i/>
          <w:lang w:eastAsia="en-GB"/>
        </w:rPr>
        <w:t>Equities</w:t>
      </w:r>
      <w:r w:rsidR="00C64050">
        <w:rPr>
          <w:i/>
          <w:lang w:eastAsia="en-GB"/>
        </w:rPr>
        <w:t xml:space="preserve"> </w:t>
      </w:r>
      <w:r w:rsidRPr="001A12F3">
        <w:rPr>
          <w:i/>
          <w:lang w:eastAsia="en-GB"/>
        </w:rPr>
        <w:t>v.</w:t>
      </w:r>
      <w:r w:rsidR="00C64050">
        <w:rPr>
          <w:i/>
          <w:lang w:eastAsia="en-GB"/>
        </w:rPr>
        <w:t xml:space="preserve"> </w:t>
      </w:r>
      <w:r w:rsidRPr="001A12F3">
        <w:rPr>
          <w:i/>
          <w:lang w:eastAsia="en-GB"/>
        </w:rPr>
        <w:t>Commissioner</w:t>
      </w:r>
      <w:r>
        <w:rPr>
          <w:lang w:eastAsia="en-GB"/>
        </w:rPr>
        <w:t>,</w:t>
      </w:r>
      <w:r w:rsidR="00C64050">
        <w:rPr>
          <w:lang w:eastAsia="en-GB"/>
        </w:rPr>
        <w:t xml:space="preserve"> </w:t>
      </w:r>
      <w:r>
        <w:rPr>
          <w:lang w:eastAsia="en-GB"/>
        </w:rPr>
        <w:t>89</w:t>
      </w:r>
      <w:r w:rsidR="00C64050">
        <w:rPr>
          <w:lang w:eastAsia="en-GB"/>
        </w:rPr>
        <w:t xml:space="preserve"> </w:t>
      </w:r>
      <w:r>
        <w:rPr>
          <w:lang w:eastAsia="en-GB"/>
        </w:rPr>
        <w:t>T.C.</w:t>
      </w:r>
      <w:r w:rsidR="00C64050">
        <w:rPr>
          <w:lang w:eastAsia="en-GB"/>
        </w:rPr>
        <w:t xml:space="preserve"> </w:t>
      </w:r>
      <w:r>
        <w:rPr>
          <w:lang w:eastAsia="en-GB"/>
        </w:rPr>
        <w:t>165</w:t>
      </w:r>
      <w:r w:rsidR="00C64050">
        <w:rPr>
          <w:lang w:eastAsia="en-GB"/>
        </w:rPr>
        <w:t xml:space="preserve"> </w:t>
      </w:r>
      <w:r>
        <w:rPr>
          <w:lang w:eastAsia="en-GB"/>
        </w:rPr>
        <w:t>(1987)).</w:t>
      </w:r>
      <w:r w:rsidR="00C64050">
        <w:rPr>
          <w:lang w:eastAsia="en-GB"/>
        </w:rPr>
        <w:t xml:space="preserve"> </w:t>
      </w:r>
      <w:r>
        <w:rPr>
          <w:lang w:eastAsia="en-GB"/>
        </w:rPr>
        <w:t>Defendant</w:t>
      </w:r>
      <w:r w:rsidR="00C64050">
        <w:rPr>
          <w:lang w:eastAsia="en-GB"/>
        </w:rPr>
        <w:t xml:space="preserve"> </w:t>
      </w:r>
      <w:r>
        <w:rPr>
          <w:lang w:eastAsia="en-GB"/>
        </w:rPr>
        <w:t>argues</w:t>
      </w:r>
      <w:r w:rsidR="00C64050">
        <w:rPr>
          <w:lang w:eastAsia="en-GB"/>
        </w:rPr>
        <w:t xml:space="preserve"> </w:t>
      </w:r>
      <w:r>
        <w:rPr>
          <w:lang w:eastAsia="en-GB"/>
        </w:rPr>
        <w:t>that</w:t>
      </w:r>
      <w:r w:rsidR="00C64050">
        <w:rPr>
          <w:lang w:eastAsia="en-GB"/>
        </w:rPr>
        <w:t xml:space="preserve"> </w:t>
      </w:r>
      <w:r>
        <w:rPr>
          <w:lang w:eastAsia="en-GB"/>
        </w:rPr>
        <w:t>the</w:t>
      </w:r>
      <w:r w:rsidR="00C64050">
        <w:rPr>
          <w:lang w:eastAsia="en-GB"/>
        </w:rPr>
        <w:t xml:space="preserve"> </w:t>
      </w:r>
      <w:r>
        <w:rPr>
          <w:lang w:eastAsia="en-GB"/>
        </w:rPr>
        <w:t>Regulation</w:t>
      </w:r>
      <w:r w:rsidR="00C64050">
        <w:rPr>
          <w:lang w:eastAsia="en-GB"/>
        </w:rPr>
        <w:t xml:space="preserve"> </w:t>
      </w:r>
      <w:r>
        <w:rPr>
          <w:lang w:eastAsia="en-GB"/>
        </w:rPr>
        <w:t>is</w:t>
      </w:r>
      <w:r w:rsidR="00C64050">
        <w:rPr>
          <w:lang w:eastAsia="en-GB"/>
        </w:rPr>
        <w:t xml:space="preserve"> </w:t>
      </w:r>
      <w:r>
        <w:rPr>
          <w:lang w:eastAsia="en-GB"/>
        </w:rPr>
        <w:t>a</w:t>
      </w:r>
      <w:r w:rsidR="00C64050">
        <w:rPr>
          <w:lang w:eastAsia="en-GB"/>
        </w:rPr>
        <w:t xml:space="preserve"> </w:t>
      </w:r>
      <w:r>
        <w:rPr>
          <w:lang w:eastAsia="en-GB"/>
        </w:rPr>
        <w:t>reasonable</w:t>
      </w:r>
      <w:r w:rsidR="00C64050">
        <w:rPr>
          <w:lang w:eastAsia="en-GB"/>
        </w:rPr>
        <w:t xml:space="preserve"> </w:t>
      </w:r>
      <w:r>
        <w:rPr>
          <w:lang w:eastAsia="en-GB"/>
        </w:rPr>
        <w:t>interpretation</w:t>
      </w:r>
      <w:r w:rsidR="00C64050">
        <w:rPr>
          <w:lang w:eastAsia="en-GB"/>
        </w:rPr>
        <w:t xml:space="preserve"> </w:t>
      </w:r>
      <w:r>
        <w:rPr>
          <w:lang w:eastAsia="en-GB"/>
        </w:rPr>
        <w:t>of</w:t>
      </w:r>
      <w:r w:rsidR="00C64050">
        <w:rPr>
          <w:lang w:eastAsia="en-GB"/>
        </w:rPr>
        <w:t xml:space="preserve"> </w:t>
      </w:r>
      <w:r>
        <w:rPr>
          <w:lang w:eastAsia="en-GB"/>
        </w:rPr>
        <w:t>section</w:t>
      </w:r>
      <w:r w:rsidR="00C64050">
        <w:rPr>
          <w:lang w:eastAsia="en-GB"/>
        </w:rPr>
        <w:t xml:space="preserve"> </w:t>
      </w:r>
      <w:r>
        <w:rPr>
          <w:lang w:eastAsia="en-GB"/>
        </w:rPr>
        <w:t>2036</w:t>
      </w:r>
      <w:r w:rsidR="00C64050">
        <w:rPr>
          <w:lang w:eastAsia="en-GB"/>
        </w:rPr>
        <w:t xml:space="preserve"> </w:t>
      </w:r>
      <w:r>
        <w:rPr>
          <w:lang w:eastAsia="en-GB"/>
        </w:rPr>
        <w:t>and</w:t>
      </w:r>
      <w:r w:rsidR="00C64050">
        <w:rPr>
          <w:lang w:eastAsia="en-GB"/>
        </w:rPr>
        <w:t xml:space="preserve"> </w:t>
      </w:r>
      <w:r>
        <w:rPr>
          <w:lang w:eastAsia="en-GB"/>
        </w:rPr>
        <w:t>valid</w:t>
      </w:r>
      <w:r w:rsidR="00C64050">
        <w:rPr>
          <w:lang w:eastAsia="en-GB"/>
        </w:rPr>
        <w:t xml:space="preserve"> </w:t>
      </w:r>
      <w:r>
        <w:rPr>
          <w:lang w:eastAsia="en-GB"/>
        </w:rPr>
        <w:t>under</w:t>
      </w:r>
      <w:r w:rsidR="00C64050">
        <w:rPr>
          <w:lang w:eastAsia="en-GB"/>
        </w:rPr>
        <w:t xml:space="preserve"> </w:t>
      </w:r>
      <w:r w:rsidRPr="001A12F3">
        <w:rPr>
          <w:i/>
          <w:lang w:eastAsia="en-GB"/>
        </w:rPr>
        <w:t>Chevron,</w:t>
      </w:r>
      <w:r w:rsidR="00C64050">
        <w:rPr>
          <w:i/>
          <w:lang w:eastAsia="en-GB"/>
        </w:rPr>
        <w:t xml:space="preserve"> </w:t>
      </w:r>
      <w:r w:rsidRPr="001A12F3">
        <w:rPr>
          <w:i/>
          <w:lang w:eastAsia="en-GB"/>
        </w:rPr>
        <w:t>U.S.A.,</w:t>
      </w:r>
      <w:r w:rsidR="00C64050">
        <w:rPr>
          <w:i/>
          <w:lang w:eastAsia="en-GB"/>
        </w:rPr>
        <w:t xml:space="preserve"> </w:t>
      </w:r>
      <w:r w:rsidRPr="001A12F3">
        <w:rPr>
          <w:i/>
          <w:lang w:eastAsia="en-GB"/>
        </w:rPr>
        <w:t>Inc.</w:t>
      </w:r>
      <w:r w:rsidR="00C64050">
        <w:rPr>
          <w:i/>
          <w:lang w:eastAsia="en-GB"/>
        </w:rPr>
        <w:t xml:space="preserve"> </w:t>
      </w:r>
      <w:r w:rsidRPr="001A12F3">
        <w:rPr>
          <w:i/>
          <w:lang w:eastAsia="en-GB"/>
        </w:rPr>
        <w:t>v.</w:t>
      </w:r>
      <w:r w:rsidR="00C64050">
        <w:rPr>
          <w:i/>
          <w:lang w:eastAsia="en-GB"/>
        </w:rPr>
        <w:t xml:space="preserve"> </w:t>
      </w:r>
      <w:r w:rsidRPr="001A12F3">
        <w:rPr>
          <w:i/>
          <w:lang w:eastAsia="en-GB"/>
        </w:rPr>
        <w:t>Natural</w:t>
      </w:r>
      <w:r w:rsidR="00C64050">
        <w:rPr>
          <w:i/>
          <w:lang w:eastAsia="en-GB"/>
        </w:rPr>
        <w:t xml:space="preserve"> </w:t>
      </w:r>
      <w:r w:rsidRPr="001A12F3">
        <w:rPr>
          <w:i/>
          <w:lang w:eastAsia="en-GB"/>
        </w:rPr>
        <w:t>Res.</w:t>
      </w:r>
      <w:r w:rsidR="00C64050">
        <w:rPr>
          <w:i/>
          <w:lang w:eastAsia="en-GB"/>
        </w:rPr>
        <w:t xml:space="preserve"> </w:t>
      </w:r>
      <w:r w:rsidRPr="001A12F3">
        <w:rPr>
          <w:i/>
          <w:lang w:eastAsia="en-GB"/>
        </w:rPr>
        <w:t>Def.</w:t>
      </w:r>
      <w:r w:rsidR="00C64050">
        <w:rPr>
          <w:i/>
          <w:lang w:eastAsia="en-GB"/>
        </w:rPr>
        <w:t xml:space="preserve"> </w:t>
      </w:r>
      <w:r w:rsidRPr="001A12F3">
        <w:rPr>
          <w:i/>
          <w:lang w:eastAsia="en-GB"/>
        </w:rPr>
        <w:t>Council,</w:t>
      </w:r>
      <w:r w:rsidR="00C64050">
        <w:rPr>
          <w:i/>
          <w:lang w:eastAsia="en-GB"/>
        </w:rPr>
        <w:t xml:space="preserve"> </w:t>
      </w:r>
      <w:r w:rsidRPr="001A12F3">
        <w:rPr>
          <w:i/>
          <w:lang w:eastAsia="en-GB"/>
        </w:rPr>
        <w:t>Inc.</w:t>
      </w:r>
      <w:r>
        <w:rPr>
          <w:lang w:eastAsia="en-GB"/>
        </w:rPr>
        <w:t>,</w:t>
      </w:r>
      <w:r w:rsidR="00C64050">
        <w:rPr>
          <w:lang w:eastAsia="en-GB"/>
        </w:rPr>
        <w:t xml:space="preserve"> </w:t>
      </w:r>
      <w:r>
        <w:rPr>
          <w:lang w:eastAsia="en-GB"/>
        </w:rPr>
        <w:t>467</w:t>
      </w:r>
      <w:r w:rsidR="00C64050">
        <w:rPr>
          <w:lang w:eastAsia="en-GB"/>
        </w:rPr>
        <w:t xml:space="preserve"> </w:t>
      </w:r>
      <w:r>
        <w:rPr>
          <w:lang w:eastAsia="en-GB"/>
        </w:rPr>
        <w:t>U.S.</w:t>
      </w:r>
      <w:r w:rsidR="00C64050">
        <w:rPr>
          <w:lang w:eastAsia="en-GB"/>
        </w:rPr>
        <w:t xml:space="preserve"> </w:t>
      </w:r>
      <w:r>
        <w:rPr>
          <w:lang w:eastAsia="en-GB"/>
        </w:rPr>
        <w:t>837</w:t>
      </w:r>
      <w:r w:rsidR="00C64050">
        <w:rPr>
          <w:lang w:eastAsia="en-GB"/>
        </w:rPr>
        <w:t xml:space="preserve"> </w:t>
      </w:r>
      <w:r>
        <w:rPr>
          <w:lang w:eastAsia="en-GB"/>
        </w:rPr>
        <w:t>(1984).</w:t>
      </w:r>
      <w:r w:rsidR="00C64050">
        <w:rPr>
          <w:lang w:eastAsia="en-GB"/>
        </w:rPr>
        <w:t xml:space="preserve"> </w:t>
      </w:r>
      <w:r>
        <w:rPr>
          <w:lang w:eastAsia="en-GB"/>
        </w:rPr>
        <w:t>Plaintiff</w:t>
      </w:r>
      <w:r w:rsidR="00C64050">
        <w:rPr>
          <w:lang w:eastAsia="en-GB"/>
        </w:rPr>
        <w:t xml:space="preserve"> </w:t>
      </w:r>
      <w:r>
        <w:rPr>
          <w:lang w:eastAsia="en-GB"/>
        </w:rPr>
        <w:t>does</w:t>
      </w:r>
      <w:r w:rsidR="00C64050">
        <w:rPr>
          <w:lang w:eastAsia="en-GB"/>
        </w:rPr>
        <w:t xml:space="preserve"> </w:t>
      </w:r>
      <w:r>
        <w:rPr>
          <w:lang w:eastAsia="en-GB"/>
        </w:rPr>
        <w:t>not</w:t>
      </w:r>
      <w:r w:rsidR="00C64050">
        <w:rPr>
          <w:lang w:eastAsia="en-GB"/>
        </w:rPr>
        <w:t xml:space="preserve"> </w:t>
      </w:r>
      <w:r>
        <w:rPr>
          <w:lang w:eastAsia="en-GB"/>
        </w:rPr>
        <w:t>expressly</w:t>
      </w:r>
      <w:r w:rsidR="00C64050">
        <w:rPr>
          <w:lang w:eastAsia="en-GB"/>
        </w:rPr>
        <w:t xml:space="preserve"> </w:t>
      </w:r>
      <w:r>
        <w:rPr>
          <w:lang w:eastAsia="en-GB"/>
        </w:rPr>
        <w:t>dispute</w:t>
      </w:r>
      <w:r w:rsidR="00C64050">
        <w:rPr>
          <w:lang w:eastAsia="en-GB"/>
        </w:rPr>
        <w:t xml:space="preserve"> </w:t>
      </w:r>
      <w:r>
        <w:rPr>
          <w:lang w:eastAsia="en-GB"/>
        </w:rPr>
        <w:t>that</w:t>
      </w:r>
      <w:r w:rsidR="00C64050">
        <w:rPr>
          <w:lang w:eastAsia="en-GB"/>
        </w:rPr>
        <w:t xml:space="preserve"> </w:t>
      </w:r>
      <w:r w:rsidRPr="00122E70">
        <w:rPr>
          <w:i/>
          <w:lang w:eastAsia="en-GB"/>
        </w:rPr>
        <w:t>Chevron</w:t>
      </w:r>
      <w:r w:rsidR="00C64050">
        <w:rPr>
          <w:lang w:eastAsia="en-GB"/>
        </w:rPr>
        <w:t xml:space="preserve"> </w:t>
      </w:r>
      <w:r>
        <w:rPr>
          <w:lang w:eastAsia="en-GB"/>
        </w:rPr>
        <w:t>applies;</w:t>
      </w:r>
      <w:r w:rsidR="00C64050">
        <w:rPr>
          <w:lang w:eastAsia="en-GB"/>
        </w:rPr>
        <w:t xml:space="preserve"> </w:t>
      </w:r>
      <w:r>
        <w:rPr>
          <w:lang w:eastAsia="en-GB"/>
        </w:rPr>
        <w:t>instead,</w:t>
      </w:r>
      <w:r w:rsidR="00C64050">
        <w:rPr>
          <w:lang w:eastAsia="en-GB"/>
        </w:rPr>
        <w:t xml:space="preserve"> </w:t>
      </w:r>
      <w:r>
        <w:rPr>
          <w:lang w:eastAsia="en-GB"/>
        </w:rPr>
        <w:t>Plaintiff</w:t>
      </w:r>
      <w:r w:rsidR="00C64050">
        <w:rPr>
          <w:lang w:eastAsia="en-GB"/>
        </w:rPr>
        <w:t xml:space="preserve"> </w:t>
      </w:r>
      <w:r>
        <w:rPr>
          <w:lang w:eastAsia="en-GB"/>
        </w:rPr>
        <w:t>claims</w:t>
      </w:r>
      <w:r w:rsidR="00C64050">
        <w:rPr>
          <w:lang w:eastAsia="en-GB"/>
        </w:rPr>
        <w:t xml:space="preserve"> </w:t>
      </w:r>
      <w:r>
        <w:rPr>
          <w:lang w:eastAsia="en-GB"/>
        </w:rPr>
        <w:t>that</w:t>
      </w:r>
      <w:r w:rsidR="00C64050">
        <w:rPr>
          <w:lang w:eastAsia="en-GB"/>
        </w:rPr>
        <w:t xml:space="preserve"> </w:t>
      </w:r>
      <w:r>
        <w:rPr>
          <w:lang w:eastAsia="en-GB"/>
        </w:rPr>
        <w:t>the</w:t>
      </w:r>
      <w:r w:rsidR="00C64050">
        <w:rPr>
          <w:lang w:eastAsia="en-GB"/>
        </w:rPr>
        <w:t xml:space="preserve"> </w:t>
      </w:r>
      <w:r>
        <w:rPr>
          <w:lang w:eastAsia="en-GB"/>
        </w:rPr>
        <w:t>Regulation</w:t>
      </w:r>
      <w:r w:rsidR="00C64050">
        <w:rPr>
          <w:lang w:eastAsia="en-GB"/>
        </w:rPr>
        <w:t xml:space="preserve"> </w:t>
      </w:r>
      <w:r>
        <w:rPr>
          <w:lang w:eastAsia="en-GB"/>
        </w:rPr>
        <w:t>is</w:t>
      </w:r>
      <w:r w:rsidR="00C64050">
        <w:rPr>
          <w:lang w:eastAsia="en-GB"/>
        </w:rPr>
        <w:t xml:space="preserve"> </w:t>
      </w:r>
      <w:r>
        <w:rPr>
          <w:lang w:eastAsia="en-GB"/>
        </w:rPr>
        <w:t>interpretive</w:t>
      </w:r>
      <w:r w:rsidR="00C64050">
        <w:rPr>
          <w:lang w:eastAsia="en-GB"/>
        </w:rPr>
        <w:t xml:space="preserve"> </w:t>
      </w:r>
      <w:r>
        <w:rPr>
          <w:lang w:eastAsia="en-GB"/>
        </w:rPr>
        <w:t>and</w:t>
      </w:r>
      <w:r w:rsidR="00C64050">
        <w:rPr>
          <w:lang w:eastAsia="en-GB"/>
        </w:rPr>
        <w:t xml:space="preserve"> </w:t>
      </w:r>
      <w:r>
        <w:rPr>
          <w:lang w:eastAsia="en-GB"/>
        </w:rPr>
        <w:t>thus</w:t>
      </w:r>
      <w:r w:rsidR="00C64050">
        <w:rPr>
          <w:lang w:eastAsia="en-GB"/>
        </w:rPr>
        <w:t xml:space="preserve"> </w:t>
      </w:r>
      <w:r>
        <w:rPr>
          <w:lang w:eastAsia="en-GB"/>
        </w:rPr>
        <w:t>given</w:t>
      </w:r>
      <w:r w:rsidR="00C64050">
        <w:rPr>
          <w:lang w:eastAsia="en-GB"/>
        </w:rPr>
        <w:t xml:space="preserve"> </w:t>
      </w:r>
      <w:r>
        <w:rPr>
          <w:lang w:eastAsia="en-GB"/>
        </w:rPr>
        <w:t>less</w:t>
      </w:r>
      <w:r w:rsidR="00C64050">
        <w:rPr>
          <w:lang w:eastAsia="en-GB"/>
        </w:rPr>
        <w:t xml:space="preserve"> </w:t>
      </w:r>
      <w:r>
        <w:rPr>
          <w:lang w:eastAsia="en-GB"/>
        </w:rPr>
        <w:t>deference</w:t>
      </w:r>
      <w:r w:rsidR="00C64050">
        <w:rPr>
          <w:lang w:eastAsia="en-GB"/>
        </w:rPr>
        <w:t xml:space="preserve"> </w:t>
      </w:r>
      <w:r>
        <w:rPr>
          <w:lang w:eastAsia="en-GB"/>
        </w:rPr>
        <w:t>as</w:t>
      </w:r>
      <w:r w:rsidR="00C64050">
        <w:rPr>
          <w:lang w:eastAsia="en-GB"/>
        </w:rPr>
        <w:t xml:space="preserve"> </w:t>
      </w:r>
      <w:r>
        <w:rPr>
          <w:lang w:eastAsia="en-GB"/>
        </w:rPr>
        <w:t>compared</w:t>
      </w:r>
      <w:r w:rsidR="00C64050">
        <w:rPr>
          <w:lang w:eastAsia="en-GB"/>
        </w:rPr>
        <w:t xml:space="preserve"> </w:t>
      </w:r>
      <w:r>
        <w:rPr>
          <w:lang w:eastAsia="en-GB"/>
        </w:rPr>
        <w:t>to</w:t>
      </w:r>
      <w:r w:rsidR="00C64050">
        <w:rPr>
          <w:lang w:eastAsia="en-GB"/>
        </w:rPr>
        <w:t xml:space="preserve"> </w:t>
      </w:r>
      <w:r>
        <w:rPr>
          <w:lang w:eastAsia="en-GB"/>
        </w:rPr>
        <w:t>a</w:t>
      </w:r>
      <w:r w:rsidR="00C64050">
        <w:rPr>
          <w:lang w:eastAsia="en-GB"/>
        </w:rPr>
        <w:t xml:space="preserve"> </w:t>
      </w:r>
      <w:r>
        <w:rPr>
          <w:lang w:eastAsia="en-GB"/>
        </w:rPr>
        <w:t>legislative</w:t>
      </w:r>
      <w:r w:rsidR="00C64050">
        <w:rPr>
          <w:lang w:eastAsia="en-GB"/>
        </w:rPr>
        <w:t xml:space="preserve"> </w:t>
      </w:r>
      <w:r>
        <w:rPr>
          <w:lang w:eastAsia="en-GB"/>
        </w:rPr>
        <w:t>rule.</w:t>
      </w:r>
      <w:r w:rsidR="00C64050">
        <w:rPr>
          <w:lang w:eastAsia="en-GB"/>
        </w:rPr>
        <w:t xml:space="preserve"> </w:t>
      </w:r>
      <w:r>
        <w:rPr>
          <w:lang w:eastAsia="en-GB"/>
        </w:rPr>
        <w:t>See</w:t>
      </w:r>
      <w:r w:rsidR="00C64050">
        <w:rPr>
          <w:lang w:eastAsia="en-GB"/>
        </w:rPr>
        <w:t xml:space="preserve"> </w:t>
      </w:r>
      <w:r>
        <w:rPr>
          <w:lang w:eastAsia="en-GB"/>
        </w:rPr>
        <w:t>Pl.</w:t>
      </w:r>
      <w:r w:rsidR="00C64050">
        <w:rPr>
          <w:lang w:eastAsia="en-GB"/>
        </w:rPr>
        <w:t xml:space="preserve"> </w:t>
      </w:r>
      <w:r>
        <w:rPr>
          <w:lang w:eastAsia="en-GB"/>
        </w:rPr>
        <w:t>Opp.</w:t>
      </w:r>
      <w:r w:rsidR="00C64050">
        <w:rPr>
          <w:lang w:eastAsia="en-GB"/>
        </w:rPr>
        <w:t xml:space="preserve"> </w:t>
      </w:r>
      <w:r>
        <w:rPr>
          <w:lang w:eastAsia="en-GB"/>
        </w:rPr>
        <w:t>at</w:t>
      </w:r>
      <w:r w:rsidR="00C64050">
        <w:rPr>
          <w:lang w:eastAsia="en-GB"/>
        </w:rPr>
        <w:t xml:space="preserve"> </w:t>
      </w:r>
      <w:r>
        <w:rPr>
          <w:lang w:eastAsia="en-GB"/>
        </w:rPr>
        <w:t>19.</w:t>
      </w:r>
    </w:p>
    <w:p w:rsidR="001A12F3" w:rsidRDefault="001A12F3" w:rsidP="001A12F3">
      <w:pPr>
        <w:pStyle w:val="QS10"/>
        <w:rPr>
          <w:lang w:eastAsia="en-GB"/>
        </w:rPr>
      </w:pPr>
      <w:r>
        <w:rPr>
          <w:lang w:eastAsia="en-GB"/>
        </w:rPr>
        <w:t>The</w:t>
      </w:r>
      <w:r w:rsidR="00C64050">
        <w:rPr>
          <w:lang w:eastAsia="en-GB"/>
        </w:rPr>
        <w:t xml:space="preserve"> </w:t>
      </w:r>
      <w:r>
        <w:rPr>
          <w:lang w:eastAsia="en-GB"/>
        </w:rPr>
        <w:t>Court</w:t>
      </w:r>
      <w:r w:rsidR="00C64050">
        <w:rPr>
          <w:lang w:eastAsia="en-GB"/>
        </w:rPr>
        <w:t xml:space="preserve"> </w:t>
      </w:r>
      <w:r>
        <w:rPr>
          <w:lang w:eastAsia="en-GB"/>
        </w:rPr>
        <w:t>applies</w:t>
      </w:r>
      <w:r w:rsidR="00C64050">
        <w:rPr>
          <w:lang w:eastAsia="en-GB"/>
        </w:rPr>
        <w:t xml:space="preserve"> </w:t>
      </w:r>
      <w:r w:rsidRPr="00122E70">
        <w:rPr>
          <w:i/>
          <w:lang w:eastAsia="en-GB"/>
        </w:rPr>
        <w:t>Chevron</w:t>
      </w:r>
      <w:r>
        <w:rPr>
          <w:lang w:eastAsia="en-GB"/>
        </w:rPr>
        <w:t>’s</w:t>
      </w:r>
      <w:r w:rsidR="00C64050">
        <w:rPr>
          <w:lang w:eastAsia="en-GB"/>
        </w:rPr>
        <w:t xml:space="preserve"> </w:t>
      </w:r>
      <w:r>
        <w:rPr>
          <w:lang w:eastAsia="en-GB"/>
        </w:rPr>
        <w:t>two-step</w:t>
      </w:r>
      <w:r w:rsidR="00C64050">
        <w:rPr>
          <w:lang w:eastAsia="en-GB"/>
        </w:rPr>
        <w:t xml:space="preserve"> </w:t>
      </w:r>
      <w:r>
        <w:rPr>
          <w:lang w:eastAsia="en-GB"/>
        </w:rPr>
        <w:t>framework.</w:t>
      </w:r>
      <w:r w:rsidR="00C64050">
        <w:rPr>
          <w:lang w:eastAsia="en-GB"/>
        </w:rPr>
        <w:t xml:space="preserve"> </w:t>
      </w:r>
      <w:r w:rsidRPr="00122E70">
        <w:rPr>
          <w:i/>
          <w:lang w:eastAsia="en-GB"/>
        </w:rPr>
        <w:t>See</w:t>
      </w:r>
      <w:r w:rsidR="00C64050">
        <w:rPr>
          <w:i/>
          <w:lang w:eastAsia="en-GB"/>
        </w:rPr>
        <w:t xml:space="preserve"> </w:t>
      </w:r>
      <w:r w:rsidRPr="00122E70">
        <w:rPr>
          <w:i/>
          <w:lang w:eastAsia="en-GB"/>
        </w:rPr>
        <w:t>Mayo</w:t>
      </w:r>
      <w:r w:rsidR="00C64050">
        <w:rPr>
          <w:i/>
          <w:lang w:eastAsia="en-GB"/>
        </w:rPr>
        <w:t xml:space="preserve"> </w:t>
      </w:r>
      <w:r w:rsidRPr="00122E70">
        <w:rPr>
          <w:i/>
          <w:lang w:eastAsia="en-GB"/>
        </w:rPr>
        <w:t>Found.</w:t>
      </w:r>
      <w:r w:rsidR="00C64050">
        <w:rPr>
          <w:i/>
          <w:lang w:eastAsia="en-GB"/>
        </w:rPr>
        <w:t xml:space="preserve"> </w:t>
      </w:r>
      <w:r w:rsidRPr="00122E70">
        <w:rPr>
          <w:i/>
          <w:lang w:eastAsia="en-GB"/>
        </w:rPr>
        <w:t>for</w:t>
      </w:r>
      <w:r w:rsidR="00C64050">
        <w:rPr>
          <w:i/>
          <w:lang w:eastAsia="en-GB"/>
        </w:rPr>
        <w:t xml:space="preserve"> </w:t>
      </w:r>
      <w:r w:rsidRPr="00122E70">
        <w:rPr>
          <w:i/>
          <w:lang w:eastAsia="en-GB"/>
        </w:rPr>
        <w:t>Med.</w:t>
      </w:r>
      <w:r w:rsidR="00C64050">
        <w:rPr>
          <w:i/>
          <w:lang w:eastAsia="en-GB"/>
        </w:rPr>
        <w:t xml:space="preserve"> </w:t>
      </w:r>
      <w:r w:rsidRPr="00122E70">
        <w:rPr>
          <w:i/>
          <w:lang w:eastAsia="en-GB"/>
        </w:rPr>
        <w:t>Educ.</w:t>
      </w:r>
      <w:r w:rsidR="00C64050">
        <w:rPr>
          <w:i/>
          <w:lang w:eastAsia="en-GB"/>
        </w:rPr>
        <w:t xml:space="preserve"> </w:t>
      </w:r>
      <w:r w:rsidRPr="00122E70">
        <w:rPr>
          <w:i/>
          <w:lang w:eastAsia="en-GB"/>
        </w:rPr>
        <w:t>&amp;</w:t>
      </w:r>
      <w:r w:rsidR="00C64050">
        <w:rPr>
          <w:i/>
          <w:lang w:eastAsia="en-GB"/>
        </w:rPr>
        <w:t xml:space="preserve"> </w:t>
      </w:r>
      <w:r w:rsidRPr="00122E70">
        <w:rPr>
          <w:i/>
          <w:lang w:eastAsia="en-GB"/>
        </w:rPr>
        <w:t>Research</w:t>
      </w:r>
      <w:r w:rsidR="00C64050">
        <w:rPr>
          <w:i/>
          <w:lang w:eastAsia="en-GB"/>
        </w:rPr>
        <w:t xml:space="preserve"> </w:t>
      </w:r>
      <w:r w:rsidRPr="00122E70">
        <w:rPr>
          <w:i/>
          <w:lang w:eastAsia="en-GB"/>
        </w:rPr>
        <w:t>v.</w:t>
      </w:r>
      <w:r w:rsidR="00C64050">
        <w:rPr>
          <w:i/>
          <w:lang w:eastAsia="en-GB"/>
        </w:rPr>
        <w:t xml:space="preserve"> </w:t>
      </w:r>
      <w:r w:rsidRPr="00122E70">
        <w:rPr>
          <w:i/>
          <w:lang w:eastAsia="en-GB"/>
        </w:rPr>
        <w:t>United</w:t>
      </w:r>
      <w:r w:rsidR="00C64050">
        <w:rPr>
          <w:i/>
          <w:lang w:eastAsia="en-GB"/>
        </w:rPr>
        <w:t xml:space="preserve"> </w:t>
      </w:r>
      <w:r w:rsidRPr="00122E70">
        <w:rPr>
          <w:i/>
          <w:lang w:eastAsia="en-GB"/>
        </w:rPr>
        <w:t>States</w:t>
      </w:r>
      <w:r>
        <w:rPr>
          <w:lang w:eastAsia="en-GB"/>
        </w:rPr>
        <w:t>,</w:t>
      </w:r>
      <w:r w:rsidR="00C64050">
        <w:rPr>
          <w:lang w:eastAsia="en-GB"/>
        </w:rPr>
        <w:t xml:space="preserve"> </w:t>
      </w:r>
      <w:r>
        <w:rPr>
          <w:lang w:eastAsia="en-GB"/>
        </w:rPr>
        <w:t>562</w:t>
      </w:r>
      <w:r w:rsidR="00C64050">
        <w:rPr>
          <w:lang w:eastAsia="en-GB"/>
        </w:rPr>
        <w:t xml:space="preserve"> </w:t>
      </w:r>
      <w:r>
        <w:rPr>
          <w:lang w:eastAsia="en-GB"/>
        </w:rPr>
        <w:t>U.S.</w:t>
      </w:r>
      <w:r w:rsidR="00C64050">
        <w:rPr>
          <w:lang w:eastAsia="en-GB"/>
        </w:rPr>
        <w:t xml:space="preserve"> </w:t>
      </w:r>
      <w:r>
        <w:rPr>
          <w:lang w:eastAsia="en-GB"/>
        </w:rPr>
        <w:t>44,</w:t>
      </w:r>
      <w:r w:rsidR="00C64050">
        <w:rPr>
          <w:lang w:eastAsia="en-GB"/>
        </w:rPr>
        <w:t xml:space="preserve"> </w:t>
      </w:r>
      <w:r>
        <w:rPr>
          <w:lang w:eastAsia="en-GB"/>
        </w:rPr>
        <w:t>52</w:t>
      </w:r>
      <w:r w:rsidR="00C64050">
        <w:rPr>
          <w:lang w:eastAsia="en-GB"/>
        </w:rPr>
        <w:t xml:space="preserve"> </w:t>
      </w:r>
      <w:r>
        <w:rPr>
          <w:lang w:eastAsia="en-GB"/>
        </w:rPr>
        <w:t>(2011).</w:t>
      </w:r>
      <w:r w:rsidR="00C64050">
        <w:rPr>
          <w:lang w:eastAsia="en-GB"/>
        </w:rPr>
        <w:t xml:space="preserve"> </w:t>
      </w:r>
      <w:r>
        <w:rPr>
          <w:lang w:eastAsia="en-GB"/>
        </w:rPr>
        <w:t>At</w:t>
      </w:r>
      <w:r w:rsidR="00C64050">
        <w:rPr>
          <w:lang w:eastAsia="en-GB"/>
        </w:rPr>
        <w:t xml:space="preserve"> </w:t>
      </w:r>
      <w:r w:rsidRPr="00122E70">
        <w:rPr>
          <w:i/>
          <w:lang w:eastAsia="en-GB"/>
        </w:rPr>
        <w:t>Chevron</w:t>
      </w:r>
      <w:r w:rsidR="00C64050">
        <w:rPr>
          <w:lang w:eastAsia="en-GB"/>
        </w:rPr>
        <w:t xml:space="preserve"> </w:t>
      </w:r>
      <w:r>
        <w:rPr>
          <w:lang w:eastAsia="en-GB"/>
        </w:rPr>
        <w:t>step</w:t>
      </w:r>
      <w:r w:rsidR="00C64050">
        <w:rPr>
          <w:lang w:eastAsia="en-GB"/>
        </w:rPr>
        <w:t xml:space="preserve"> </w:t>
      </w:r>
      <w:r>
        <w:rPr>
          <w:lang w:eastAsia="en-GB"/>
        </w:rPr>
        <w:t>one,</w:t>
      </w:r>
      <w:r w:rsidR="00C64050">
        <w:rPr>
          <w:lang w:eastAsia="en-GB"/>
        </w:rPr>
        <w:t xml:space="preserve"> </w:t>
      </w:r>
      <w:r>
        <w:rPr>
          <w:lang w:eastAsia="en-GB"/>
        </w:rPr>
        <w:t>the</w:t>
      </w:r>
      <w:r w:rsidR="00C64050">
        <w:rPr>
          <w:lang w:eastAsia="en-GB"/>
        </w:rPr>
        <w:t xml:space="preserve"> </w:t>
      </w:r>
      <w:r>
        <w:rPr>
          <w:lang w:eastAsia="en-GB"/>
        </w:rPr>
        <w:t>Court</w:t>
      </w:r>
      <w:r w:rsidR="00C64050">
        <w:rPr>
          <w:lang w:eastAsia="en-GB"/>
        </w:rPr>
        <w:t xml:space="preserve"> </w:t>
      </w:r>
      <w:r>
        <w:rPr>
          <w:lang w:eastAsia="en-GB"/>
        </w:rPr>
        <w:t>asks</w:t>
      </w:r>
      <w:r w:rsidR="00C64050">
        <w:rPr>
          <w:lang w:eastAsia="en-GB"/>
        </w:rPr>
        <w:t xml:space="preserve"> </w:t>
      </w:r>
      <w:r>
        <w:rPr>
          <w:lang w:eastAsia="en-GB"/>
        </w:rPr>
        <w:t>“whether</w:t>
      </w:r>
      <w:r w:rsidR="00C64050">
        <w:rPr>
          <w:lang w:eastAsia="en-GB"/>
        </w:rPr>
        <w:t xml:space="preserve"> </w:t>
      </w:r>
      <w:r>
        <w:rPr>
          <w:lang w:eastAsia="en-GB"/>
        </w:rPr>
        <w:t>Congress</w:t>
      </w:r>
      <w:r w:rsidR="00C64050">
        <w:rPr>
          <w:lang w:eastAsia="en-GB"/>
        </w:rPr>
        <w:t xml:space="preserve"> </w:t>
      </w:r>
      <w:r>
        <w:rPr>
          <w:lang w:eastAsia="en-GB"/>
        </w:rPr>
        <w:t>has</w:t>
      </w:r>
      <w:r w:rsidR="00C64050">
        <w:rPr>
          <w:lang w:eastAsia="en-GB"/>
        </w:rPr>
        <w:t xml:space="preserve"> </w:t>
      </w:r>
      <w:r>
        <w:rPr>
          <w:lang w:eastAsia="en-GB"/>
        </w:rPr>
        <w:t>directly</w:t>
      </w:r>
      <w:r w:rsidR="00C64050">
        <w:rPr>
          <w:lang w:eastAsia="en-GB"/>
        </w:rPr>
        <w:t xml:space="preserve"> </w:t>
      </w:r>
      <w:r>
        <w:rPr>
          <w:lang w:eastAsia="en-GB"/>
        </w:rPr>
        <w:t>addressed</w:t>
      </w:r>
      <w:r w:rsidR="00C64050">
        <w:rPr>
          <w:lang w:eastAsia="en-GB"/>
        </w:rPr>
        <w:t xml:space="preserve"> </w:t>
      </w:r>
      <w:r>
        <w:rPr>
          <w:lang w:eastAsia="en-GB"/>
        </w:rPr>
        <w:t>the</w:t>
      </w:r>
      <w:r w:rsidR="00C64050">
        <w:rPr>
          <w:lang w:eastAsia="en-GB"/>
        </w:rPr>
        <w:t xml:space="preserve"> </w:t>
      </w:r>
      <w:r>
        <w:rPr>
          <w:lang w:eastAsia="en-GB"/>
        </w:rPr>
        <w:t>precise</w:t>
      </w:r>
      <w:r w:rsidR="00C64050">
        <w:rPr>
          <w:lang w:eastAsia="en-GB"/>
        </w:rPr>
        <w:t xml:space="preserve"> </w:t>
      </w:r>
      <w:r>
        <w:rPr>
          <w:lang w:eastAsia="en-GB"/>
        </w:rPr>
        <w:t>question</w:t>
      </w:r>
      <w:r w:rsidR="00C64050">
        <w:rPr>
          <w:lang w:eastAsia="en-GB"/>
        </w:rPr>
        <w:t xml:space="preserve"> </w:t>
      </w:r>
      <w:r>
        <w:rPr>
          <w:lang w:eastAsia="en-GB"/>
        </w:rPr>
        <w:t>at</w:t>
      </w:r>
      <w:r w:rsidR="00C64050">
        <w:rPr>
          <w:lang w:eastAsia="en-GB"/>
        </w:rPr>
        <w:t xml:space="preserve"> </w:t>
      </w:r>
      <w:r>
        <w:rPr>
          <w:lang w:eastAsia="en-GB"/>
        </w:rPr>
        <w:t>issue.”</w:t>
      </w:r>
      <w:r w:rsidR="00C64050">
        <w:rPr>
          <w:lang w:eastAsia="en-GB"/>
        </w:rPr>
        <w:t xml:space="preserve"> </w:t>
      </w:r>
      <w:r w:rsidRPr="00122E70">
        <w:rPr>
          <w:i/>
          <w:lang w:eastAsia="en-GB"/>
        </w:rPr>
        <w:t>Id</w:t>
      </w:r>
      <w:r>
        <w:rPr>
          <w:lang w:eastAsia="en-GB"/>
        </w:rPr>
        <w:t>.</w:t>
      </w:r>
      <w:r w:rsidR="00C64050">
        <w:rPr>
          <w:lang w:eastAsia="en-GB"/>
        </w:rPr>
        <w:t xml:space="preserve"> </w:t>
      </w:r>
      <w:r>
        <w:rPr>
          <w:lang w:eastAsia="en-GB"/>
        </w:rPr>
        <w:t>(quotation</w:t>
      </w:r>
      <w:r w:rsidR="00C64050">
        <w:rPr>
          <w:lang w:eastAsia="en-GB"/>
        </w:rPr>
        <w:t xml:space="preserve"> </w:t>
      </w:r>
      <w:r>
        <w:rPr>
          <w:lang w:eastAsia="en-GB"/>
        </w:rPr>
        <w:t>omitted).</w:t>
      </w:r>
      <w:r w:rsidR="00C64050">
        <w:rPr>
          <w:lang w:eastAsia="en-GB"/>
        </w:rPr>
        <w:t xml:space="preserve"> </w:t>
      </w:r>
      <w:r>
        <w:rPr>
          <w:lang w:eastAsia="en-GB"/>
        </w:rPr>
        <w:t>The</w:t>
      </w:r>
      <w:r w:rsidR="00C64050">
        <w:rPr>
          <w:lang w:eastAsia="en-GB"/>
        </w:rPr>
        <w:t xml:space="preserve"> </w:t>
      </w:r>
      <w:r>
        <w:rPr>
          <w:lang w:eastAsia="en-GB"/>
        </w:rPr>
        <w:t>parties</w:t>
      </w:r>
      <w:r w:rsidR="00C64050">
        <w:rPr>
          <w:lang w:eastAsia="en-GB"/>
        </w:rPr>
        <w:t xml:space="preserve"> </w:t>
      </w:r>
      <w:r>
        <w:rPr>
          <w:lang w:eastAsia="en-GB"/>
        </w:rPr>
        <w:t>agree</w:t>
      </w:r>
      <w:r w:rsidR="00C64050">
        <w:rPr>
          <w:lang w:eastAsia="en-GB"/>
        </w:rPr>
        <w:t xml:space="preserve"> </w:t>
      </w:r>
      <w:r>
        <w:rPr>
          <w:lang w:eastAsia="en-GB"/>
        </w:rPr>
        <w:t>that</w:t>
      </w:r>
      <w:r w:rsidR="00C64050">
        <w:rPr>
          <w:lang w:eastAsia="en-GB"/>
        </w:rPr>
        <w:t xml:space="preserve"> </w:t>
      </w:r>
      <w:r>
        <w:rPr>
          <w:lang w:eastAsia="en-GB"/>
        </w:rPr>
        <w:t>section</w:t>
      </w:r>
      <w:r w:rsidR="00C64050">
        <w:rPr>
          <w:lang w:eastAsia="en-GB"/>
        </w:rPr>
        <w:t xml:space="preserve"> </w:t>
      </w:r>
      <w:r>
        <w:rPr>
          <w:lang w:eastAsia="en-GB"/>
        </w:rPr>
        <w:t>2036</w:t>
      </w:r>
      <w:r w:rsidR="00C64050">
        <w:rPr>
          <w:lang w:eastAsia="en-GB"/>
        </w:rPr>
        <w:t xml:space="preserve"> </w:t>
      </w:r>
      <w:r>
        <w:rPr>
          <w:lang w:eastAsia="en-GB"/>
        </w:rPr>
        <w:t>does</w:t>
      </w:r>
      <w:r w:rsidR="00C64050">
        <w:rPr>
          <w:lang w:eastAsia="en-GB"/>
        </w:rPr>
        <w:t xml:space="preserve"> </w:t>
      </w:r>
      <w:r>
        <w:rPr>
          <w:lang w:eastAsia="en-GB"/>
        </w:rPr>
        <w:t>not</w:t>
      </w:r>
      <w:r w:rsidR="00C64050">
        <w:rPr>
          <w:lang w:eastAsia="en-GB"/>
        </w:rPr>
        <w:t xml:space="preserve"> </w:t>
      </w:r>
      <w:r>
        <w:rPr>
          <w:lang w:eastAsia="en-GB"/>
        </w:rPr>
        <w:t>expressly</w:t>
      </w:r>
      <w:r w:rsidR="00C64050">
        <w:rPr>
          <w:lang w:eastAsia="en-GB"/>
        </w:rPr>
        <w:t xml:space="preserve"> </w:t>
      </w:r>
      <w:r>
        <w:rPr>
          <w:lang w:eastAsia="en-GB"/>
        </w:rPr>
        <w:t>address</w:t>
      </w:r>
      <w:r w:rsidR="00C64050">
        <w:rPr>
          <w:lang w:eastAsia="en-GB"/>
        </w:rPr>
        <w:t xml:space="preserve"> </w:t>
      </w:r>
      <w:r>
        <w:rPr>
          <w:lang w:eastAsia="en-GB"/>
        </w:rPr>
        <w:t>whether</w:t>
      </w:r>
      <w:r w:rsidR="00C64050">
        <w:rPr>
          <w:lang w:eastAsia="en-GB"/>
        </w:rPr>
        <w:t xml:space="preserve"> </w:t>
      </w:r>
      <w:r>
        <w:rPr>
          <w:lang w:eastAsia="en-GB"/>
        </w:rPr>
        <w:t>annuity</w:t>
      </w:r>
      <w:r w:rsidR="00C64050">
        <w:rPr>
          <w:lang w:eastAsia="en-GB"/>
        </w:rPr>
        <w:t xml:space="preserve"> </w:t>
      </w:r>
      <w:r>
        <w:rPr>
          <w:lang w:eastAsia="en-GB"/>
        </w:rPr>
        <w:t>payments</w:t>
      </w:r>
      <w:r w:rsidR="00C64050">
        <w:rPr>
          <w:lang w:eastAsia="en-GB"/>
        </w:rPr>
        <w:t xml:space="preserve"> </w:t>
      </w:r>
      <w:r>
        <w:rPr>
          <w:lang w:eastAsia="en-GB"/>
        </w:rPr>
        <w:t>constitute</w:t>
      </w:r>
      <w:r w:rsidR="00C64050">
        <w:rPr>
          <w:lang w:eastAsia="en-GB"/>
        </w:rPr>
        <w:t xml:space="preserve"> </w:t>
      </w:r>
      <w:r>
        <w:rPr>
          <w:lang w:eastAsia="en-GB"/>
        </w:rPr>
        <w:t>some</w:t>
      </w:r>
      <w:r w:rsidR="00C64050">
        <w:rPr>
          <w:lang w:eastAsia="en-GB"/>
        </w:rPr>
        <w:t xml:space="preserve"> </w:t>
      </w:r>
      <w:r>
        <w:rPr>
          <w:lang w:eastAsia="en-GB"/>
        </w:rPr>
        <w:t>possession,</w:t>
      </w:r>
      <w:r w:rsidR="00C64050">
        <w:rPr>
          <w:lang w:eastAsia="en-GB"/>
        </w:rPr>
        <w:t xml:space="preserve"> </w:t>
      </w:r>
      <w:r>
        <w:rPr>
          <w:lang w:eastAsia="en-GB"/>
        </w:rPr>
        <w:t>enjoyment,</w:t>
      </w:r>
      <w:r w:rsidR="00C64050">
        <w:rPr>
          <w:lang w:eastAsia="en-GB"/>
        </w:rPr>
        <w:t xml:space="preserve"> </w:t>
      </w:r>
      <w:r>
        <w:rPr>
          <w:lang w:eastAsia="en-GB"/>
        </w:rPr>
        <w:t>or</w:t>
      </w:r>
      <w:r w:rsidR="00C64050">
        <w:rPr>
          <w:lang w:eastAsia="en-GB"/>
        </w:rPr>
        <w:t xml:space="preserve"> </w:t>
      </w:r>
      <w:r>
        <w:rPr>
          <w:lang w:eastAsia="en-GB"/>
        </w:rPr>
        <w:t>right</w:t>
      </w:r>
      <w:r w:rsidR="00C64050">
        <w:rPr>
          <w:lang w:eastAsia="en-GB"/>
        </w:rPr>
        <w:t xml:space="preserve"> </w:t>
      </w:r>
      <w:r>
        <w:rPr>
          <w:lang w:eastAsia="en-GB"/>
        </w:rPr>
        <w:t>to</w:t>
      </w:r>
      <w:r w:rsidR="00C64050">
        <w:rPr>
          <w:lang w:eastAsia="en-GB"/>
        </w:rPr>
        <w:t xml:space="preserve"> </w:t>
      </w:r>
      <w:r>
        <w:rPr>
          <w:lang w:eastAsia="en-GB"/>
        </w:rPr>
        <w:t>income</w:t>
      </w:r>
      <w:r w:rsidR="00C64050">
        <w:rPr>
          <w:lang w:eastAsia="en-GB"/>
        </w:rPr>
        <w:t xml:space="preserve"> </w:t>
      </w:r>
      <w:r>
        <w:rPr>
          <w:lang w:eastAsia="en-GB"/>
        </w:rPr>
        <w:t>from</w:t>
      </w:r>
      <w:r w:rsidR="00C64050">
        <w:rPr>
          <w:lang w:eastAsia="en-GB"/>
        </w:rPr>
        <w:t xml:space="preserve"> </w:t>
      </w:r>
      <w:r>
        <w:rPr>
          <w:lang w:eastAsia="en-GB"/>
        </w:rPr>
        <w:t>the</w:t>
      </w:r>
      <w:r w:rsidR="00C64050">
        <w:rPr>
          <w:lang w:eastAsia="en-GB"/>
        </w:rPr>
        <w:t xml:space="preserve"> </w:t>
      </w:r>
      <w:r>
        <w:rPr>
          <w:lang w:eastAsia="en-GB"/>
        </w:rPr>
        <w:t>transferred</w:t>
      </w:r>
      <w:r w:rsidR="00C64050">
        <w:rPr>
          <w:lang w:eastAsia="en-GB"/>
        </w:rPr>
        <w:t xml:space="preserve"> </w:t>
      </w:r>
      <w:r>
        <w:rPr>
          <w:lang w:eastAsia="en-GB"/>
        </w:rPr>
        <w:t>property.</w:t>
      </w:r>
      <w:r w:rsidR="00C64050">
        <w:rPr>
          <w:lang w:eastAsia="en-GB"/>
        </w:rPr>
        <w:t xml:space="preserve"> </w:t>
      </w:r>
      <w:r>
        <w:rPr>
          <w:lang w:eastAsia="en-GB"/>
        </w:rPr>
        <w:t>Def.</w:t>
      </w:r>
      <w:r w:rsidR="00C64050">
        <w:rPr>
          <w:lang w:eastAsia="en-GB"/>
        </w:rPr>
        <w:t xml:space="preserve"> </w:t>
      </w:r>
      <w:r>
        <w:rPr>
          <w:lang w:eastAsia="en-GB"/>
        </w:rPr>
        <w:t>Mot.</w:t>
      </w:r>
      <w:r w:rsidR="00C64050">
        <w:rPr>
          <w:lang w:eastAsia="en-GB"/>
        </w:rPr>
        <w:t xml:space="preserve"> </w:t>
      </w:r>
      <w:r>
        <w:rPr>
          <w:lang w:eastAsia="en-GB"/>
        </w:rPr>
        <w:t>at</w:t>
      </w:r>
      <w:r w:rsidR="00C64050">
        <w:rPr>
          <w:lang w:eastAsia="en-GB"/>
        </w:rPr>
        <w:t xml:space="preserve"> </w:t>
      </w:r>
      <w:r>
        <w:rPr>
          <w:lang w:eastAsia="en-GB"/>
        </w:rPr>
        <w:t>14;</w:t>
      </w:r>
      <w:r w:rsidR="00C64050">
        <w:rPr>
          <w:lang w:eastAsia="en-GB"/>
        </w:rPr>
        <w:t xml:space="preserve"> </w:t>
      </w:r>
      <w:r>
        <w:rPr>
          <w:lang w:eastAsia="en-GB"/>
        </w:rPr>
        <w:t>Pl.</w:t>
      </w:r>
      <w:r w:rsidR="00C64050">
        <w:rPr>
          <w:lang w:eastAsia="en-GB"/>
        </w:rPr>
        <w:t xml:space="preserve"> </w:t>
      </w:r>
      <w:r>
        <w:rPr>
          <w:lang w:eastAsia="en-GB"/>
        </w:rPr>
        <w:t>Mot.</w:t>
      </w:r>
      <w:r w:rsidR="00C64050">
        <w:rPr>
          <w:lang w:eastAsia="en-GB"/>
        </w:rPr>
        <w:t xml:space="preserve"> </w:t>
      </w:r>
      <w:r>
        <w:rPr>
          <w:lang w:eastAsia="en-GB"/>
        </w:rPr>
        <w:t>at</w:t>
      </w:r>
      <w:r w:rsidR="00C64050">
        <w:rPr>
          <w:lang w:eastAsia="en-GB"/>
        </w:rPr>
        <w:t xml:space="preserve"> </w:t>
      </w:r>
      <w:r>
        <w:rPr>
          <w:lang w:eastAsia="en-GB"/>
        </w:rPr>
        <w:t>19.</w:t>
      </w:r>
      <w:r w:rsidR="00C64050">
        <w:rPr>
          <w:lang w:eastAsia="en-GB"/>
        </w:rPr>
        <w:t xml:space="preserve"> </w:t>
      </w:r>
      <w:r>
        <w:rPr>
          <w:lang w:eastAsia="en-GB"/>
        </w:rPr>
        <w:t>So</w:t>
      </w:r>
      <w:r w:rsidR="00C64050">
        <w:rPr>
          <w:lang w:eastAsia="en-GB"/>
        </w:rPr>
        <w:t xml:space="preserve"> </w:t>
      </w:r>
      <w:r>
        <w:rPr>
          <w:lang w:eastAsia="en-GB"/>
        </w:rPr>
        <w:t>the</w:t>
      </w:r>
      <w:r w:rsidR="00C64050">
        <w:rPr>
          <w:lang w:eastAsia="en-GB"/>
        </w:rPr>
        <w:t xml:space="preserve"> </w:t>
      </w:r>
      <w:r>
        <w:rPr>
          <w:lang w:eastAsia="en-GB"/>
        </w:rPr>
        <w:t>Court</w:t>
      </w:r>
      <w:r w:rsidR="00C64050">
        <w:rPr>
          <w:lang w:eastAsia="en-GB"/>
        </w:rPr>
        <w:t xml:space="preserve"> </w:t>
      </w:r>
      <w:r>
        <w:rPr>
          <w:lang w:eastAsia="en-GB"/>
        </w:rPr>
        <w:t>proceeds</w:t>
      </w:r>
      <w:r w:rsidR="00C64050">
        <w:rPr>
          <w:lang w:eastAsia="en-GB"/>
        </w:rPr>
        <w:t xml:space="preserve"> </w:t>
      </w:r>
      <w:r>
        <w:rPr>
          <w:lang w:eastAsia="en-GB"/>
        </w:rPr>
        <w:t>to</w:t>
      </w:r>
      <w:r w:rsidR="00C64050">
        <w:rPr>
          <w:lang w:eastAsia="en-GB"/>
        </w:rPr>
        <w:t xml:space="preserve"> </w:t>
      </w:r>
      <w:r>
        <w:rPr>
          <w:lang w:eastAsia="en-GB"/>
        </w:rPr>
        <w:t>step</w:t>
      </w:r>
      <w:r w:rsidR="00C64050">
        <w:rPr>
          <w:lang w:eastAsia="en-GB"/>
        </w:rPr>
        <w:t xml:space="preserve"> </w:t>
      </w:r>
      <w:r>
        <w:rPr>
          <w:lang w:eastAsia="en-GB"/>
        </w:rPr>
        <w:t>two.</w:t>
      </w:r>
      <w:r w:rsidR="00C64050">
        <w:rPr>
          <w:lang w:eastAsia="en-GB"/>
        </w:rPr>
        <w:t xml:space="preserve"> </w:t>
      </w:r>
      <w:r>
        <w:rPr>
          <w:lang w:eastAsia="en-GB"/>
        </w:rPr>
        <w:t>At</w:t>
      </w:r>
      <w:r w:rsidR="00C64050">
        <w:rPr>
          <w:lang w:eastAsia="en-GB"/>
        </w:rPr>
        <w:t xml:space="preserve"> </w:t>
      </w:r>
      <w:r>
        <w:rPr>
          <w:lang w:eastAsia="en-GB"/>
        </w:rPr>
        <w:t>that</w:t>
      </w:r>
      <w:r w:rsidR="00C64050">
        <w:rPr>
          <w:lang w:eastAsia="en-GB"/>
        </w:rPr>
        <w:t xml:space="preserve"> </w:t>
      </w:r>
      <w:r>
        <w:rPr>
          <w:lang w:eastAsia="en-GB"/>
        </w:rPr>
        <w:t>step,</w:t>
      </w:r>
      <w:r w:rsidR="00C64050">
        <w:rPr>
          <w:lang w:eastAsia="en-GB"/>
        </w:rPr>
        <w:t xml:space="preserve"> </w:t>
      </w:r>
      <w:r>
        <w:rPr>
          <w:lang w:eastAsia="en-GB"/>
        </w:rPr>
        <w:t>the</w:t>
      </w:r>
      <w:r w:rsidR="00C64050">
        <w:rPr>
          <w:lang w:eastAsia="en-GB"/>
        </w:rPr>
        <w:t xml:space="preserve"> </w:t>
      </w:r>
      <w:r>
        <w:rPr>
          <w:lang w:eastAsia="en-GB"/>
        </w:rPr>
        <w:t>Court</w:t>
      </w:r>
      <w:r w:rsidR="00C64050">
        <w:rPr>
          <w:lang w:eastAsia="en-GB"/>
        </w:rPr>
        <w:t xml:space="preserve"> </w:t>
      </w:r>
      <w:r>
        <w:rPr>
          <w:lang w:eastAsia="en-GB"/>
        </w:rPr>
        <w:t>“may</w:t>
      </w:r>
      <w:r w:rsidR="00C64050">
        <w:rPr>
          <w:lang w:eastAsia="en-GB"/>
        </w:rPr>
        <w:t xml:space="preserve"> </w:t>
      </w:r>
      <w:r>
        <w:rPr>
          <w:lang w:eastAsia="en-GB"/>
        </w:rPr>
        <w:t>not</w:t>
      </w:r>
      <w:r w:rsidR="00C64050">
        <w:rPr>
          <w:lang w:eastAsia="en-GB"/>
        </w:rPr>
        <w:t xml:space="preserve"> </w:t>
      </w:r>
      <w:r>
        <w:rPr>
          <w:lang w:eastAsia="en-GB"/>
        </w:rPr>
        <w:t>disturb</w:t>
      </w:r>
      <w:r w:rsidR="00C64050">
        <w:rPr>
          <w:lang w:eastAsia="en-GB"/>
        </w:rPr>
        <w:t xml:space="preserve"> </w:t>
      </w:r>
      <w:r>
        <w:rPr>
          <w:lang w:eastAsia="en-GB"/>
        </w:rPr>
        <w:t>an</w:t>
      </w:r>
      <w:r w:rsidR="00C64050">
        <w:rPr>
          <w:lang w:eastAsia="en-GB"/>
        </w:rPr>
        <w:t xml:space="preserve"> </w:t>
      </w:r>
      <w:r>
        <w:rPr>
          <w:lang w:eastAsia="en-GB"/>
        </w:rPr>
        <w:t>agency</w:t>
      </w:r>
      <w:r w:rsidR="00C64050">
        <w:rPr>
          <w:lang w:eastAsia="en-GB"/>
        </w:rPr>
        <w:t xml:space="preserve"> </w:t>
      </w:r>
      <w:r>
        <w:rPr>
          <w:lang w:eastAsia="en-GB"/>
        </w:rPr>
        <w:t>rule</w:t>
      </w:r>
      <w:r w:rsidR="00C64050">
        <w:rPr>
          <w:lang w:eastAsia="en-GB"/>
        </w:rPr>
        <w:t xml:space="preserve"> </w:t>
      </w:r>
      <w:r>
        <w:rPr>
          <w:lang w:eastAsia="en-GB"/>
        </w:rPr>
        <w:t>unless</w:t>
      </w:r>
      <w:r w:rsidR="00C64050">
        <w:rPr>
          <w:lang w:eastAsia="en-GB"/>
        </w:rPr>
        <w:t xml:space="preserve"> </w:t>
      </w:r>
      <w:r>
        <w:rPr>
          <w:lang w:eastAsia="en-GB"/>
        </w:rPr>
        <w:t>it</w:t>
      </w:r>
      <w:r w:rsidR="00C64050">
        <w:rPr>
          <w:lang w:eastAsia="en-GB"/>
        </w:rPr>
        <w:t xml:space="preserve"> </w:t>
      </w:r>
      <w:r>
        <w:rPr>
          <w:lang w:eastAsia="en-GB"/>
        </w:rPr>
        <w:t>is</w:t>
      </w:r>
      <w:r w:rsidR="00C64050">
        <w:rPr>
          <w:lang w:eastAsia="en-GB"/>
        </w:rPr>
        <w:t xml:space="preserve"> </w:t>
      </w:r>
      <w:r>
        <w:rPr>
          <w:lang w:eastAsia="en-GB"/>
        </w:rPr>
        <w:t>arbitrary</w:t>
      </w:r>
      <w:r w:rsidR="00C64050">
        <w:rPr>
          <w:lang w:eastAsia="en-GB"/>
        </w:rPr>
        <w:t xml:space="preserve"> </w:t>
      </w:r>
      <w:r>
        <w:rPr>
          <w:lang w:eastAsia="en-GB"/>
        </w:rPr>
        <w:t>or</w:t>
      </w:r>
      <w:r w:rsidR="00C64050">
        <w:rPr>
          <w:lang w:eastAsia="en-GB"/>
        </w:rPr>
        <w:t xml:space="preserve"> </w:t>
      </w:r>
      <w:r>
        <w:rPr>
          <w:lang w:eastAsia="en-GB"/>
        </w:rPr>
        <w:t>capricious</w:t>
      </w:r>
      <w:r w:rsidR="00C64050">
        <w:rPr>
          <w:lang w:eastAsia="en-GB"/>
        </w:rPr>
        <w:t xml:space="preserve"> </w:t>
      </w:r>
      <w:r>
        <w:rPr>
          <w:lang w:eastAsia="en-GB"/>
        </w:rPr>
        <w:t>in</w:t>
      </w:r>
      <w:r w:rsidR="00C64050">
        <w:rPr>
          <w:lang w:eastAsia="en-GB"/>
        </w:rPr>
        <w:t xml:space="preserve"> </w:t>
      </w:r>
      <w:r>
        <w:rPr>
          <w:lang w:eastAsia="en-GB"/>
        </w:rPr>
        <w:t>substance,</w:t>
      </w:r>
      <w:r w:rsidR="00C64050">
        <w:rPr>
          <w:lang w:eastAsia="en-GB"/>
        </w:rPr>
        <w:t xml:space="preserve"> </w:t>
      </w:r>
      <w:r>
        <w:rPr>
          <w:lang w:eastAsia="en-GB"/>
        </w:rPr>
        <w:t>or</w:t>
      </w:r>
      <w:r w:rsidR="00C64050">
        <w:rPr>
          <w:lang w:eastAsia="en-GB"/>
        </w:rPr>
        <w:t xml:space="preserve"> </w:t>
      </w:r>
      <w:r>
        <w:rPr>
          <w:lang w:eastAsia="en-GB"/>
        </w:rPr>
        <w:t>manifestly</w:t>
      </w:r>
      <w:r w:rsidR="00C64050">
        <w:rPr>
          <w:lang w:eastAsia="en-GB"/>
        </w:rPr>
        <w:t xml:space="preserve"> </w:t>
      </w:r>
      <w:r>
        <w:rPr>
          <w:lang w:eastAsia="en-GB"/>
        </w:rPr>
        <w:t>contrary</w:t>
      </w:r>
      <w:r w:rsidR="00C64050">
        <w:rPr>
          <w:lang w:eastAsia="en-GB"/>
        </w:rPr>
        <w:t xml:space="preserve"> </w:t>
      </w:r>
      <w:r>
        <w:rPr>
          <w:lang w:eastAsia="en-GB"/>
        </w:rPr>
        <w:t>to</w:t>
      </w:r>
      <w:r w:rsidR="00C64050">
        <w:rPr>
          <w:lang w:eastAsia="en-GB"/>
        </w:rPr>
        <w:t xml:space="preserve"> </w:t>
      </w:r>
      <w:r>
        <w:rPr>
          <w:lang w:eastAsia="en-GB"/>
        </w:rPr>
        <w:t>the</w:t>
      </w:r>
      <w:r w:rsidR="00C64050">
        <w:rPr>
          <w:lang w:eastAsia="en-GB"/>
        </w:rPr>
        <w:t xml:space="preserve"> </w:t>
      </w:r>
      <w:r>
        <w:rPr>
          <w:lang w:eastAsia="en-GB"/>
        </w:rPr>
        <w:t>statute.”</w:t>
      </w:r>
      <w:r w:rsidR="00C64050">
        <w:rPr>
          <w:i/>
          <w:lang w:eastAsia="en-GB"/>
        </w:rPr>
        <w:t xml:space="preserve"> </w:t>
      </w:r>
      <w:r w:rsidRPr="00122E70">
        <w:rPr>
          <w:i/>
          <w:lang w:eastAsia="en-GB"/>
        </w:rPr>
        <w:t>Mayo</w:t>
      </w:r>
      <w:r w:rsidR="00C64050">
        <w:rPr>
          <w:i/>
          <w:lang w:eastAsia="en-GB"/>
        </w:rPr>
        <w:t xml:space="preserve"> </w:t>
      </w:r>
      <w:r w:rsidRPr="00122E70">
        <w:rPr>
          <w:i/>
          <w:lang w:eastAsia="en-GB"/>
        </w:rPr>
        <w:t>Found.</w:t>
      </w:r>
      <w:r w:rsidR="00C64050">
        <w:rPr>
          <w:i/>
          <w:lang w:eastAsia="en-GB"/>
        </w:rPr>
        <w:t xml:space="preserve"> </w:t>
      </w:r>
      <w:r w:rsidRPr="00122E70">
        <w:rPr>
          <w:i/>
          <w:lang w:eastAsia="en-GB"/>
        </w:rPr>
        <w:t>for</w:t>
      </w:r>
      <w:r w:rsidR="00C64050">
        <w:rPr>
          <w:i/>
          <w:lang w:eastAsia="en-GB"/>
        </w:rPr>
        <w:t xml:space="preserve"> </w:t>
      </w:r>
      <w:r w:rsidRPr="00122E70">
        <w:rPr>
          <w:i/>
          <w:lang w:eastAsia="en-GB"/>
        </w:rPr>
        <w:t>Med.</w:t>
      </w:r>
      <w:r w:rsidR="00C64050">
        <w:rPr>
          <w:i/>
          <w:lang w:eastAsia="en-GB"/>
        </w:rPr>
        <w:t xml:space="preserve"> </w:t>
      </w:r>
      <w:r w:rsidRPr="00122E70">
        <w:rPr>
          <w:i/>
          <w:lang w:eastAsia="en-GB"/>
        </w:rPr>
        <w:t>Educ.</w:t>
      </w:r>
      <w:r>
        <w:rPr>
          <w:lang w:eastAsia="en-GB"/>
        </w:rPr>
        <w:t>,</w:t>
      </w:r>
      <w:r w:rsidR="00C64050">
        <w:rPr>
          <w:lang w:eastAsia="en-GB"/>
        </w:rPr>
        <w:t xml:space="preserve"> </w:t>
      </w:r>
      <w:r>
        <w:rPr>
          <w:lang w:eastAsia="en-GB"/>
        </w:rPr>
        <w:t>562</w:t>
      </w:r>
      <w:r w:rsidR="00C64050">
        <w:rPr>
          <w:lang w:eastAsia="en-GB"/>
        </w:rPr>
        <w:t xml:space="preserve"> </w:t>
      </w:r>
      <w:r>
        <w:rPr>
          <w:lang w:eastAsia="en-GB"/>
        </w:rPr>
        <w:t>U.S.at</w:t>
      </w:r>
      <w:r w:rsidR="00C64050">
        <w:rPr>
          <w:lang w:eastAsia="en-GB"/>
        </w:rPr>
        <w:t xml:space="preserve"> </w:t>
      </w:r>
      <w:r>
        <w:rPr>
          <w:lang w:eastAsia="en-GB"/>
        </w:rPr>
        <w:t>53</w:t>
      </w:r>
      <w:r w:rsidR="00C64050">
        <w:rPr>
          <w:lang w:eastAsia="en-GB"/>
        </w:rPr>
        <w:t xml:space="preserve"> </w:t>
      </w:r>
      <w:r>
        <w:rPr>
          <w:lang w:eastAsia="en-GB"/>
        </w:rPr>
        <w:t>(quotation</w:t>
      </w:r>
      <w:r w:rsidR="00C64050">
        <w:rPr>
          <w:lang w:eastAsia="en-GB"/>
        </w:rPr>
        <w:t xml:space="preserve"> </w:t>
      </w:r>
      <w:r>
        <w:rPr>
          <w:lang w:eastAsia="en-GB"/>
        </w:rPr>
        <w:t>omitted).</w:t>
      </w:r>
    </w:p>
    <w:p w:rsidR="005817FF" w:rsidRDefault="001A12F3" w:rsidP="001A12F3">
      <w:pPr>
        <w:pStyle w:val="QS10"/>
        <w:rPr>
          <w:lang w:eastAsia="en-GB"/>
        </w:rPr>
      </w:pPr>
      <w:r>
        <w:rPr>
          <w:lang w:eastAsia="en-GB"/>
        </w:rPr>
        <w:t>The</w:t>
      </w:r>
      <w:r w:rsidR="00C64050">
        <w:rPr>
          <w:lang w:eastAsia="en-GB"/>
        </w:rPr>
        <w:t xml:space="preserve"> </w:t>
      </w:r>
      <w:r>
        <w:rPr>
          <w:lang w:eastAsia="en-GB"/>
        </w:rPr>
        <w:t>Court</w:t>
      </w:r>
      <w:r w:rsidR="00C64050">
        <w:rPr>
          <w:lang w:eastAsia="en-GB"/>
        </w:rPr>
        <w:t xml:space="preserve"> </w:t>
      </w:r>
      <w:r>
        <w:rPr>
          <w:lang w:eastAsia="en-GB"/>
        </w:rPr>
        <w:t>concludes</w:t>
      </w:r>
      <w:r w:rsidR="00C64050">
        <w:rPr>
          <w:lang w:eastAsia="en-GB"/>
        </w:rPr>
        <w:t xml:space="preserve"> </w:t>
      </w:r>
      <w:r>
        <w:rPr>
          <w:lang w:eastAsia="en-GB"/>
        </w:rPr>
        <w:t>that</w:t>
      </w:r>
      <w:r w:rsidR="00C64050">
        <w:rPr>
          <w:lang w:eastAsia="en-GB"/>
        </w:rPr>
        <w:t xml:space="preserve"> </w:t>
      </w:r>
      <w:r>
        <w:rPr>
          <w:lang w:eastAsia="en-GB"/>
        </w:rPr>
        <w:t>the</w:t>
      </w:r>
      <w:r w:rsidR="00C64050">
        <w:rPr>
          <w:lang w:eastAsia="en-GB"/>
        </w:rPr>
        <w:t xml:space="preserve"> </w:t>
      </w:r>
      <w:r>
        <w:rPr>
          <w:lang w:eastAsia="en-GB"/>
        </w:rPr>
        <w:t>Regulation</w:t>
      </w:r>
      <w:r w:rsidR="00C64050">
        <w:rPr>
          <w:lang w:eastAsia="en-GB"/>
        </w:rPr>
        <w:t xml:space="preserve"> </w:t>
      </w:r>
      <w:r>
        <w:rPr>
          <w:lang w:eastAsia="en-GB"/>
        </w:rPr>
        <w:t>is</w:t>
      </w:r>
      <w:r w:rsidR="00C64050">
        <w:rPr>
          <w:lang w:eastAsia="en-GB"/>
        </w:rPr>
        <w:t xml:space="preserve"> </w:t>
      </w:r>
      <w:r>
        <w:rPr>
          <w:lang w:eastAsia="en-GB"/>
        </w:rPr>
        <w:t>reasonable,</w:t>
      </w:r>
      <w:r w:rsidR="00C64050">
        <w:rPr>
          <w:lang w:eastAsia="en-GB"/>
        </w:rPr>
        <w:t xml:space="preserve"> </w:t>
      </w:r>
      <w:r>
        <w:rPr>
          <w:lang w:eastAsia="en-GB"/>
        </w:rPr>
        <w:t>and</w:t>
      </w:r>
      <w:r w:rsidR="00C64050">
        <w:rPr>
          <w:lang w:eastAsia="en-GB"/>
        </w:rPr>
        <w:t xml:space="preserve"> </w:t>
      </w:r>
      <w:r>
        <w:rPr>
          <w:lang w:eastAsia="en-GB"/>
        </w:rPr>
        <w:t>valid</w:t>
      </w:r>
      <w:r w:rsidR="00C64050">
        <w:rPr>
          <w:lang w:eastAsia="en-GB"/>
        </w:rPr>
        <w:t xml:space="preserve"> </w:t>
      </w:r>
      <w:r>
        <w:rPr>
          <w:lang w:eastAsia="en-GB"/>
        </w:rPr>
        <w:t>under</w:t>
      </w:r>
      <w:r w:rsidR="00C64050">
        <w:rPr>
          <w:lang w:eastAsia="en-GB"/>
        </w:rPr>
        <w:t xml:space="preserve"> </w:t>
      </w:r>
      <w:r w:rsidRPr="00122E70">
        <w:rPr>
          <w:i/>
          <w:lang w:eastAsia="en-GB"/>
        </w:rPr>
        <w:t>Chevron</w:t>
      </w:r>
      <w:r>
        <w:rPr>
          <w:lang w:eastAsia="en-GB"/>
        </w:rPr>
        <w:t>.</w:t>
      </w:r>
      <w:r w:rsidR="00C64050">
        <w:rPr>
          <w:lang w:eastAsia="en-GB"/>
        </w:rPr>
        <w:t xml:space="preserve"> </w:t>
      </w:r>
      <w:r>
        <w:rPr>
          <w:lang w:eastAsia="en-GB"/>
        </w:rPr>
        <w:t>In</w:t>
      </w:r>
      <w:r w:rsidR="00C64050">
        <w:rPr>
          <w:lang w:eastAsia="en-GB"/>
        </w:rPr>
        <w:t xml:space="preserve"> </w:t>
      </w:r>
      <w:r>
        <w:rPr>
          <w:lang w:eastAsia="en-GB"/>
        </w:rPr>
        <w:t>drafting</w:t>
      </w:r>
      <w:r w:rsidR="00C64050">
        <w:rPr>
          <w:lang w:eastAsia="en-GB"/>
        </w:rPr>
        <w:t xml:space="preserve"> </w:t>
      </w:r>
      <w:r>
        <w:rPr>
          <w:lang w:eastAsia="en-GB"/>
        </w:rPr>
        <w:t>the</w:t>
      </w:r>
      <w:r w:rsidR="00C64050">
        <w:rPr>
          <w:lang w:eastAsia="en-GB"/>
        </w:rPr>
        <w:t xml:space="preserve"> </w:t>
      </w:r>
      <w:r>
        <w:rPr>
          <w:lang w:eastAsia="en-GB"/>
        </w:rPr>
        <w:t>Regulation,</w:t>
      </w:r>
      <w:r w:rsidR="00C64050">
        <w:rPr>
          <w:lang w:eastAsia="en-GB"/>
        </w:rPr>
        <w:t xml:space="preserve"> </w:t>
      </w:r>
      <w:r>
        <w:rPr>
          <w:lang w:eastAsia="en-GB"/>
        </w:rPr>
        <w:t>the</w:t>
      </w:r>
      <w:r w:rsidR="00C64050">
        <w:rPr>
          <w:lang w:eastAsia="en-GB"/>
        </w:rPr>
        <w:t xml:space="preserve"> </w:t>
      </w:r>
      <w:r>
        <w:rPr>
          <w:lang w:eastAsia="en-GB"/>
        </w:rPr>
        <w:t>IRS</w:t>
      </w:r>
      <w:r w:rsidR="00C64050">
        <w:rPr>
          <w:lang w:eastAsia="en-GB"/>
        </w:rPr>
        <w:t xml:space="preserve"> </w:t>
      </w:r>
      <w:r>
        <w:rPr>
          <w:lang w:eastAsia="en-GB"/>
        </w:rPr>
        <w:t>and</w:t>
      </w:r>
      <w:r w:rsidR="00C64050">
        <w:rPr>
          <w:lang w:eastAsia="en-GB"/>
        </w:rPr>
        <w:t xml:space="preserve"> </w:t>
      </w:r>
      <w:r>
        <w:rPr>
          <w:lang w:eastAsia="en-GB"/>
        </w:rPr>
        <w:t>Treasury</w:t>
      </w:r>
      <w:r w:rsidR="00C64050">
        <w:rPr>
          <w:lang w:eastAsia="en-GB"/>
        </w:rPr>
        <w:t xml:space="preserve"> </w:t>
      </w:r>
      <w:r>
        <w:rPr>
          <w:lang w:eastAsia="en-GB"/>
        </w:rPr>
        <w:t>Department</w:t>
      </w:r>
      <w:r w:rsidR="00C64050">
        <w:rPr>
          <w:lang w:eastAsia="en-GB"/>
        </w:rPr>
        <w:t xml:space="preserve"> </w:t>
      </w:r>
      <w:r>
        <w:rPr>
          <w:lang w:eastAsia="en-GB"/>
        </w:rPr>
        <w:t>relied</w:t>
      </w:r>
      <w:r w:rsidR="00C64050">
        <w:rPr>
          <w:lang w:eastAsia="en-GB"/>
        </w:rPr>
        <w:t xml:space="preserve"> </w:t>
      </w:r>
      <w:r>
        <w:rPr>
          <w:lang w:eastAsia="en-GB"/>
        </w:rPr>
        <w:t>principally</w:t>
      </w:r>
      <w:r w:rsidR="00C64050">
        <w:rPr>
          <w:lang w:eastAsia="en-GB"/>
        </w:rPr>
        <w:t xml:space="preserve"> </w:t>
      </w:r>
      <w:r>
        <w:rPr>
          <w:lang w:eastAsia="en-GB"/>
        </w:rPr>
        <w:t>on</w:t>
      </w:r>
      <w:r w:rsidR="00C64050">
        <w:rPr>
          <w:lang w:eastAsia="en-GB"/>
        </w:rPr>
        <w:t xml:space="preserve"> </w:t>
      </w:r>
      <w:r>
        <w:rPr>
          <w:lang w:eastAsia="en-GB"/>
        </w:rPr>
        <w:t>the</w:t>
      </w:r>
      <w:r w:rsidR="00C64050">
        <w:rPr>
          <w:lang w:eastAsia="en-GB"/>
        </w:rPr>
        <w:t xml:space="preserve"> </w:t>
      </w:r>
      <w:r>
        <w:rPr>
          <w:lang w:eastAsia="en-GB"/>
        </w:rPr>
        <w:t>above</w:t>
      </w:r>
      <w:r w:rsidR="00C64050">
        <w:rPr>
          <w:lang w:eastAsia="en-GB"/>
        </w:rPr>
        <w:t xml:space="preserve"> </w:t>
      </w:r>
      <w:r>
        <w:rPr>
          <w:lang w:eastAsia="en-GB"/>
        </w:rPr>
        <w:t>discussed</w:t>
      </w:r>
      <w:r w:rsidR="00C64050">
        <w:rPr>
          <w:lang w:eastAsia="en-GB"/>
        </w:rPr>
        <w:t xml:space="preserve"> </w:t>
      </w:r>
      <w:r>
        <w:rPr>
          <w:lang w:eastAsia="en-GB"/>
        </w:rPr>
        <w:t>binding</w:t>
      </w:r>
      <w:r w:rsidR="00C64050">
        <w:rPr>
          <w:lang w:eastAsia="en-GB"/>
        </w:rPr>
        <w:t xml:space="preserve"> </w:t>
      </w:r>
      <w:r>
        <w:rPr>
          <w:lang w:eastAsia="en-GB"/>
        </w:rPr>
        <w:t>authorities,</w:t>
      </w:r>
      <w:r w:rsidR="00C64050">
        <w:rPr>
          <w:lang w:eastAsia="en-GB"/>
        </w:rPr>
        <w:t xml:space="preserve"> </w:t>
      </w:r>
      <w:r>
        <w:rPr>
          <w:lang w:eastAsia="en-GB"/>
        </w:rPr>
        <w:t>including</w:t>
      </w:r>
      <w:r w:rsidR="00C64050">
        <w:rPr>
          <w:lang w:eastAsia="en-GB"/>
        </w:rPr>
        <w:t xml:space="preserve"> </w:t>
      </w:r>
      <w:r w:rsidRPr="00122E70">
        <w:rPr>
          <w:i/>
          <w:lang w:eastAsia="en-GB"/>
        </w:rPr>
        <w:t>Church’s,</w:t>
      </w:r>
      <w:r w:rsidR="00C64050">
        <w:rPr>
          <w:i/>
          <w:lang w:eastAsia="en-GB"/>
        </w:rPr>
        <w:t xml:space="preserve"> </w:t>
      </w:r>
      <w:r w:rsidRPr="00122E70">
        <w:rPr>
          <w:i/>
          <w:lang w:eastAsia="en-GB"/>
        </w:rPr>
        <w:t>Hallock,</w:t>
      </w:r>
      <w:r w:rsidR="00C64050">
        <w:rPr>
          <w:i/>
          <w:lang w:eastAsia="en-GB"/>
        </w:rPr>
        <w:t xml:space="preserve"> </w:t>
      </w:r>
      <w:r w:rsidRPr="00122E70">
        <w:rPr>
          <w:i/>
          <w:lang w:eastAsia="en-GB"/>
        </w:rPr>
        <w:t>and</w:t>
      </w:r>
      <w:r w:rsidR="00C64050">
        <w:rPr>
          <w:i/>
          <w:lang w:eastAsia="en-GB"/>
        </w:rPr>
        <w:t xml:space="preserve"> </w:t>
      </w:r>
      <w:r w:rsidRPr="00122E70">
        <w:rPr>
          <w:i/>
          <w:lang w:eastAsia="en-GB"/>
        </w:rPr>
        <w:t>Spiegel’s</w:t>
      </w:r>
      <w:r>
        <w:rPr>
          <w:lang w:eastAsia="en-GB"/>
        </w:rPr>
        <w:t>.</w:t>
      </w:r>
      <w:r w:rsidR="00C64050">
        <w:rPr>
          <w:lang w:eastAsia="en-GB"/>
        </w:rPr>
        <w:t xml:space="preserve"> </w:t>
      </w:r>
      <w:r w:rsidRPr="00122E70">
        <w:rPr>
          <w:i/>
          <w:lang w:eastAsia="en-GB"/>
        </w:rPr>
        <w:t>See</w:t>
      </w:r>
      <w:r w:rsidR="00C64050">
        <w:rPr>
          <w:lang w:eastAsia="en-GB"/>
        </w:rPr>
        <w:t xml:space="preserve"> </w:t>
      </w:r>
      <w:r>
        <w:rPr>
          <w:lang w:eastAsia="en-GB"/>
        </w:rPr>
        <w:t>Grantor</w:t>
      </w:r>
      <w:r w:rsidR="00C64050">
        <w:rPr>
          <w:lang w:eastAsia="en-GB"/>
        </w:rPr>
        <w:t xml:space="preserve"> </w:t>
      </w:r>
      <w:r>
        <w:rPr>
          <w:lang w:eastAsia="en-GB"/>
        </w:rPr>
        <w:t>Retained</w:t>
      </w:r>
      <w:r w:rsidR="00C64050">
        <w:rPr>
          <w:lang w:eastAsia="en-GB"/>
        </w:rPr>
        <w:t xml:space="preserve"> </w:t>
      </w:r>
      <w:r>
        <w:rPr>
          <w:lang w:eastAsia="en-GB"/>
        </w:rPr>
        <w:t>Interest</w:t>
      </w:r>
      <w:r w:rsidR="00C64050">
        <w:rPr>
          <w:lang w:eastAsia="en-GB"/>
        </w:rPr>
        <w:t xml:space="preserve"> </w:t>
      </w:r>
      <w:r>
        <w:rPr>
          <w:lang w:eastAsia="en-GB"/>
        </w:rPr>
        <w:t>Trusts—Application</w:t>
      </w:r>
      <w:r w:rsidR="00C64050">
        <w:rPr>
          <w:lang w:eastAsia="en-GB"/>
        </w:rPr>
        <w:t xml:space="preserve"> </w:t>
      </w:r>
      <w:r>
        <w:rPr>
          <w:lang w:eastAsia="en-GB"/>
        </w:rPr>
        <w:t>of</w:t>
      </w:r>
      <w:r w:rsidR="00C64050">
        <w:rPr>
          <w:lang w:eastAsia="en-GB"/>
        </w:rPr>
        <w:t xml:space="preserve"> </w:t>
      </w:r>
      <w:r>
        <w:rPr>
          <w:lang w:eastAsia="en-GB"/>
        </w:rPr>
        <w:t>Sections</w:t>
      </w:r>
      <w:r w:rsidR="00C64050">
        <w:rPr>
          <w:lang w:eastAsia="en-GB"/>
        </w:rPr>
        <w:t xml:space="preserve"> </w:t>
      </w:r>
      <w:r>
        <w:rPr>
          <w:lang w:eastAsia="en-GB"/>
        </w:rPr>
        <w:t>2036</w:t>
      </w:r>
      <w:r w:rsidR="00C64050">
        <w:rPr>
          <w:lang w:eastAsia="en-GB"/>
        </w:rPr>
        <w:t xml:space="preserve"> </w:t>
      </w:r>
      <w:r>
        <w:rPr>
          <w:lang w:eastAsia="en-GB"/>
        </w:rPr>
        <w:t>and</w:t>
      </w:r>
      <w:r w:rsidR="00C64050">
        <w:rPr>
          <w:lang w:eastAsia="en-GB"/>
        </w:rPr>
        <w:t xml:space="preserve"> </w:t>
      </w:r>
      <w:r>
        <w:rPr>
          <w:lang w:eastAsia="en-GB"/>
        </w:rPr>
        <w:t>2039,</w:t>
      </w:r>
      <w:r w:rsidR="00C64050">
        <w:rPr>
          <w:lang w:eastAsia="en-GB"/>
        </w:rPr>
        <w:t xml:space="preserve"> </w:t>
      </w:r>
      <w:r>
        <w:rPr>
          <w:lang w:eastAsia="en-GB"/>
        </w:rPr>
        <w:t>T.D.</w:t>
      </w:r>
      <w:r w:rsidR="00C64050">
        <w:rPr>
          <w:lang w:eastAsia="en-GB"/>
        </w:rPr>
        <w:t xml:space="preserve"> </w:t>
      </w:r>
      <w:r>
        <w:rPr>
          <w:lang w:eastAsia="en-GB"/>
        </w:rPr>
        <w:t>9414,</w:t>
      </w:r>
      <w:r w:rsidR="00C64050">
        <w:rPr>
          <w:lang w:eastAsia="en-GB"/>
        </w:rPr>
        <w:t xml:space="preserve"> </w:t>
      </w:r>
      <w:r>
        <w:rPr>
          <w:lang w:eastAsia="en-GB"/>
        </w:rPr>
        <w:t>73</w:t>
      </w:r>
      <w:r w:rsidR="00C64050">
        <w:rPr>
          <w:lang w:eastAsia="en-GB"/>
        </w:rPr>
        <w:t xml:space="preserve"> </w:t>
      </w:r>
      <w:r>
        <w:rPr>
          <w:lang w:eastAsia="en-GB"/>
        </w:rPr>
        <w:t>Fed.</w:t>
      </w:r>
      <w:r w:rsidR="00C64050">
        <w:rPr>
          <w:lang w:eastAsia="en-GB"/>
        </w:rPr>
        <w:t xml:space="preserve"> </w:t>
      </w:r>
      <w:r>
        <w:rPr>
          <w:lang w:eastAsia="en-GB"/>
        </w:rPr>
        <w:t>Reg.</w:t>
      </w:r>
      <w:r w:rsidR="00C64050">
        <w:rPr>
          <w:lang w:eastAsia="en-GB"/>
        </w:rPr>
        <w:t xml:space="preserve"> </w:t>
      </w:r>
      <w:r>
        <w:rPr>
          <w:lang w:eastAsia="en-GB"/>
        </w:rPr>
        <w:t>40173-01</w:t>
      </w:r>
      <w:r w:rsidR="00C64050">
        <w:rPr>
          <w:lang w:eastAsia="en-GB"/>
        </w:rPr>
        <w:t xml:space="preserve"> </w:t>
      </w:r>
      <w:r>
        <w:rPr>
          <w:lang w:eastAsia="en-GB"/>
        </w:rPr>
        <w:t>(July</w:t>
      </w:r>
      <w:r w:rsidR="00C64050">
        <w:rPr>
          <w:lang w:eastAsia="en-GB"/>
        </w:rPr>
        <w:t xml:space="preserve"> </w:t>
      </w:r>
      <w:r>
        <w:rPr>
          <w:lang w:eastAsia="en-GB"/>
        </w:rPr>
        <w:t>14,</w:t>
      </w:r>
      <w:r w:rsidR="00C64050">
        <w:rPr>
          <w:lang w:eastAsia="en-GB"/>
        </w:rPr>
        <w:t xml:space="preserve"> </w:t>
      </w:r>
      <w:r>
        <w:rPr>
          <w:lang w:eastAsia="en-GB"/>
        </w:rPr>
        <w:t>2008)</w:t>
      </w:r>
      <w:r w:rsidR="00C64050">
        <w:rPr>
          <w:lang w:eastAsia="en-GB"/>
        </w:rPr>
        <w:t xml:space="preserve"> </w:t>
      </w:r>
      <w:r>
        <w:rPr>
          <w:lang w:eastAsia="en-GB"/>
        </w:rPr>
        <w:t>at</w:t>
      </w:r>
      <w:r w:rsidR="00C64050">
        <w:rPr>
          <w:lang w:eastAsia="en-GB"/>
        </w:rPr>
        <w:t xml:space="preserve"> </w:t>
      </w:r>
      <w:r>
        <w:rPr>
          <w:lang w:eastAsia="en-GB"/>
        </w:rPr>
        <w:t>40174.</w:t>
      </w:r>
      <w:r w:rsidR="00C64050">
        <w:rPr>
          <w:lang w:eastAsia="en-GB"/>
        </w:rPr>
        <w:t xml:space="preserve"> </w:t>
      </w:r>
      <w:r>
        <w:rPr>
          <w:lang w:eastAsia="en-GB"/>
        </w:rPr>
        <w:t>Those</w:t>
      </w:r>
      <w:r w:rsidR="00C64050">
        <w:rPr>
          <w:lang w:eastAsia="en-GB"/>
        </w:rPr>
        <w:t xml:space="preserve"> </w:t>
      </w:r>
      <w:r>
        <w:rPr>
          <w:lang w:eastAsia="en-GB"/>
        </w:rPr>
        <w:t>cases</w:t>
      </w:r>
      <w:r w:rsidR="00C64050">
        <w:rPr>
          <w:lang w:eastAsia="en-GB"/>
        </w:rPr>
        <w:t xml:space="preserve"> </w:t>
      </w:r>
      <w:r>
        <w:rPr>
          <w:lang w:eastAsia="en-GB"/>
        </w:rPr>
        <w:t>support</w:t>
      </w:r>
      <w:r w:rsidR="00C64050">
        <w:rPr>
          <w:lang w:eastAsia="en-GB"/>
        </w:rPr>
        <w:t xml:space="preserve"> </w:t>
      </w:r>
      <w:r>
        <w:rPr>
          <w:lang w:eastAsia="en-GB"/>
        </w:rPr>
        <w:t>Defendant’s</w:t>
      </w:r>
      <w:r w:rsidR="00C64050">
        <w:rPr>
          <w:lang w:eastAsia="en-GB"/>
        </w:rPr>
        <w:t xml:space="preserve"> </w:t>
      </w:r>
      <w:r>
        <w:rPr>
          <w:lang w:eastAsia="en-GB"/>
        </w:rPr>
        <w:t>view</w:t>
      </w:r>
      <w:r w:rsidR="00C64050">
        <w:rPr>
          <w:lang w:eastAsia="en-GB"/>
        </w:rPr>
        <w:t xml:space="preserve"> </w:t>
      </w:r>
      <w:r>
        <w:rPr>
          <w:lang w:eastAsia="en-GB"/>
        </w:rPr>
        <w:t>of</w:t>
      </w:r>
      <w:r w:rsidR="00C64050">
        <w:rPr>
          <w:lang w:eastAsia="en-GB"/>
        </w:rPr>
        <w:t xml:space="preserve"> </w:t>
      </w:r>
      <w:r>
        <w:rPr>
          <w:lang w:eastAsia="en-GB"/>
        </w:rPr>
        <w:t>section</w:t>
      </w:r>
      <w:r w:rsidR="00C64050">
        <w:rPr>
          <w:lang w:eastAsia="en-GB"/>
        </w:rPr>
        <w:t xml:space="preserve"> </w:t>
      </w:r>
      <w:r>
        <w:rPr>
          <w:lang w:eastAsia="en-GB"/>
        </w:rPr>
        <w:t>2036,</w:t>
      </w:r>
      <w:r w:rsidR="00C64050">
        <w:rPr>
          <w:lang w:eastAsia="en-GB"/>
        </w:rPr>
        <w:t xml:space="preserve"> </w:t>
      </w:r>
      <w:r>
        <w:rPr>
          <w:lang w:eastAsia="en-GB"/>
        </w:rPr>
        <w:t>which</w:t>
      </w:r>
      <w:r w:rsidR="00C64050">
        <w:rPr>
          <w:lang w:eastAsia="en-GB"/>
        </w:rPr>
        <w:t xml:space="preserve"> </w:t>
      </w:r>
      <w:r>
        <w:rPr>
          <w:lang w:eastAsia="en-GB"/>
        </w:rPr>
        <w:t>parallels</w:t>
      </w:r>
      <w:r w:rsidR="00C64050">
        <w:rPr>
          <w:lang w:eastAsia="en-GB"/>
        </w:rPr>
        <w:t xml:space="preserve"> </w:t>
      </w:r>
      <w:r>
        <w:rPr>
          <w:lang w:eastAsia="en-GB"/>
        </w:rPr>
        <w:t>the</w:t>
      </w:r>
      <w:r w:rsidR="00C64050">
        <w:rPr>
          <w:lang w:eastAsia="en-GB"/>
        </w:rPr>
        <w:t xml:space="preserve"> </w:t>
      </w:r>
      <w:r>
        <w:rPr>
          <w:lang w:eastAsia="en-GB"/>
        </w:rPr>
        <w:t>Regulation’s</w:t>
      </w:r>
      <w:r w:rsidR="00C64050">
        <w:rPr>
          <w:lang w:eastAsia="en-GB"/>
        </w:rPr>
        <w:t xml:space="preserve"> </w:t>
      </w:r>
      <w:r>
        <w:rPr>
          <w:lang w:eastAsia="en-GB"/>
        </w:rPr>
        <w:t>interpretation</w:t>
      </w:r>
      <w:r w:rsidR="00C64050">
        <w:rPr>
          <w:lang w:eastAsia="en-GB"/>
        </w:rPr>
        <w:t xml:space="preserve"> </w:t>
      </w:r>
      <w:r>
        <w:rPr>
          <w:lang w:eastAsia="en-GB"/>
        </w:rPr>
        <w:t>of</w:t>
      </w:r>
      <w:r w:rsidR="00C64050">
        <w:rPr>
          <w:lang w:eastAsia="en-GB"/>
        </w:rPr>
        <w:t xml:space="preserve"> </w:t>
      </w:r>
      <w:r>
        <w:rPr>
          <w:lang w:eastAsia="en-GB"/>
        </w:rPr>
        <w:t>that</w:t>
      </w:r>
      <w:r w:rsidR="00C64050">
        <w:rPr>
          <w:lang w:eastAsia="en-GB"/>
        </w:rPr>
        <w:t xml:space="preserve"> </w:t>
      </w:r>
      <w:r>
        <w:rPr>
          <w:lang w:eastAsia="en-GB"/>
        </w:rPr>
        <w:t>section.</w:t>
      </w:r>
      <w:r w:rsidR="00C64050">
        <w:rPr>
          <w:lang w:eastAsia="en-GB"/>
        </w:rPr>
        <w:t xml:space="preserve"> </w:t>
      </w:r>
      <w:r>
        <w:rPr>
          <w:lang w:eastAsia="en-GB"/>
        </w:rPr>
        <w:t>The</w:t>
      </w:r>
      <w:r w:rsidR="00C64050">
        <w:rPr>
          <w:lang w:eastAsia="en-GB"/>
        </w:rPr>
        <w:t xml:space="preserve"> </w:t>
      </w:r>
      <w:r>
        <w:rPr>
          <w:lang w:eastAsia="en-GB"/>
        </w:rPr>
        <w:t>IRS</w:t>
      </w:r>
      <w:r w:rsidR="00C64050">
        <w:rPr>
          <w:lang w:eastAsia="en-GB"/>
        </w:rPr>
        <w:t xml:space="preserve"> </w:t>
      </w:r>
      <w:r>
        <w:rPr>
          <w:lang w:eastAsia="en-GB"/>
        </w:rPr>
        <w:t>and</w:t>
      </w:r>
      <w:r w:rsidR="00C64050">
        <w:rPr>
          <w:lang w:eastAsia="en-GB"/>
        </w:rPr>
        <w:t xml:space="preserve"> </w:t>
      </w:r>
      <w:r>
        <w:rPr>
          <w:lang w:eastAsia="en-GB"/>
        </w:rPr>
        <w:t>Treasury</w:t>
      </w:r>
      <w:r w:rsidR="00C64050">
        <w:rPr>
          <w:lang w:eastAsia="en-GB"/>
        </w:rPr>
        <w:t xml:space="preserve"> </w:t>
      </w:r>
      <w:r>
        <w:rPr>
          <w:lang w:eastAsia="en-GB"/>
        </w:rPr>
        <w:t>Department</w:t>
      </w:r>
      <w:r w:rsidR="00C64050">
        <w:rPr>
          <w:lang w:eastAsia="en-GB"/>
        </w:rPr>
        <w:t xml:space="preserve"> </w:t>
      </w:r>
      <w:r>
        <w:rPr>
          <w:lang w:eastAsia="en-GB"/>
        </w:rPr>
        <w:t>also</w:t>
      </w:r>
      <w:r w:rsidR="00C64050">
        <w:rPr>
          <w:lang w:eastAsia="en-GB"/>
        </w:rPr>
        <w:t xml:space="preserve"> </w:t>
      </w:r>
      <w:r>
        <w:rPr>
          <w:lang w:eastAsia="en-GB"/>
        </w:rPr>
        <w:t>drew</w:t>
      </w:r>
      <w:r w:rsidR="00C64050">
        <w:rPr>
          <w:lang w:eastAsia="en-GB"/>
        </w:rPr>
        <w:t xml:space="preserve"> </w:t>
      </w:r>
      <w:r>
        <w:rPr>
          <w:lang w:eastAsia="en-GB"/>
        </w:rPr>
        <w:t>on</w:t>
      </w:r>
      <w:r w:rsidR="00C64050">
        <w:rPr>
          <w:lang w:eastAsia="en-GB"/>
        </w:rPr>
        <w:t xml:space="preserve"> </w:t>
      </w:r>
      <w:r>
        <w:rPr>
          <w:lang w:eastAsia="en-GB"/>
        </w:rPr>
        <w:t>section</w:t>
      </w:r>
      <w:r w:rsidR="00C64050">
        <w:rPr>
          <w:lang w:eastAsia="en-GB"/>
        </w:rPr>
        <w:t xml:space="preserve"> </w:t>
      </w:r>
      <w:r>
        <w:rPr>
          <w:lang w:eastAsia="en-GB"/>
        </w:rPr>
        <w:t>2036’s</w:t>
      </w:r>
      <w:r w:rsidR="00C64050">
        <w:rPr>
          <w:lang w:eastAsia="en-GB"/>
        </w:rPr>
        <w:t xml:space="preserve"> </w:t>
      </w:r>
      <w:r>
        <w:rPr>
          <w:lang w:eastAsia="en-GB"/>
        </w:rPr>
        <w:t>legislative</w:t>
      </w:r>
      <w:r w:rsidR="00C64050">
        <w:rPr>
          <w:lang w:eastAsia="en-GB"/>
        </w:rPr>
        <w:t xml:space="preserve"> </w:t>
      </w:r>
      <w:r>
        <w:rPr>
          <w:lang w:eastAsia="en-GB"/>
        </w:rPr>
        <w:t>history</w:t>
      </w:r>
      <w:r w:rsidR="00C64050">
        <w:rPr>
          <w:lang w:eastAsia="en-GB"/>
        </w:rPr>
        <w:t xml:space="preserve"> </w:t>
      </w:r>
      <w:r>
        <w:rPr>
          <w:lang w:eastAsia="en-GB"/>
        </w:rPr>
        <w:t>to</w:t>
      </w:r>
      <w:r w:rsidR="00C64050">
        <w:rPr>
          <w:lang w:eastAsia="en-GB"/>
        </w:rPr>
        <w:t xml:space="preserve"> </w:t>
      </w:r>
      <w:r>
        <w:rPr>
          <w:lang w:eastAsia="en-GB"/>
        </w:rPr>
        <w:t>devise</w:t>
      </w:r>
      <w:r w:rsidR="00C64050">
        <w:rPr>
          <w:lang w:eastAsia="en-GB"/>
        </w:rPr>
        <w:t xml:space="preserve"> </w:t>
      </w:r>
      <w:r>
        <w:rPr>
          <w:lang w:eastAsia="en-GB"/>
        </w:rPr>
        <w:t>the</w:t>
      </w:r>
      <w:r w:rsidR="00C64050">
        <w:rPr>
          <w:lang w:eastAsia="en-GB"/>
        </w:rPr>
        <w:t xml:space="preserve"> </w:t>
      </w:r>
      <w:r>
        <w:rPr>
          <w:lang w:eastAsia="en-GB"/>
        </w:rPr>
        <w:t>Regulation,</w:t>
      </w:r>
      <w:r w:rsidR="00C64050">
        <w:rPr>
          <w:lang w:eastAsia="en-GB"/>
        </w:rPr>
        <w:t xml:space="preserve"> </w:t>
      </w:r>
      <w:r>
        <w:rPr>
          <w:lang w:eastAsia="en-GB"/>
        </w:rPr>
        <w:t>observing</w:t>
      </w:r>
      <w:r w:rsidR="00C64050">
        <w:rPr>
          <w:lang w:eastAsia="en-GB"/>
        </w:rPr>
        <w:t xml:space="preserve"> </w:t>
      </w:r>
      <w:r>
        <w:rPr>
          <w:lang w:eastAsia="en-GB"/>
        </w:rPr>
        <w:t>that</w:t>
      </w:r>
      <w:r w:rsidR="00C64050">
        <w:rPr>
          <w:lang w:eastAsia="en-GB"/>
        </w:rPr>
        <w:t xml:space="preserve"> </w:t>
      </w:r>
      <w:r>
        <w:rPr>
          <w:lang w:eastAsia="en-GB"/>
        </w:rPr>
        <w:t>Congress</w:t>
      </w:r>
      <w:r w:rsidR="00C64050">
        <w:rPr>
          <w:lang w:eastAsia="en-GB"/>
        </w:rPr>
        <w:t xml:space="preserve"> </w:t>
      </w:r>
      <w:r>
        <w:rPr>
          <w:lang w:eastAsia="en-GB"/>
        </w:rPr>
        <w:t>amended</w:t>
      </w:r>
      <w:r w:rsidR="00C64050">
        <w:rPr>
          <w:lang w:eastAsia="en-GB"/>
        </w:rPr>
        <w:t xml:space="preserve"> </w:t>
      </w:r>
      <w:r>
        <w:rPr>
          <w:lang w:eastAsia="en-GB"/>
        </w:rPr>
        <w:t>section</w:t>
      </w:r>
      <w:r w:rsidR="00C64050">
        <w:rPr>
          <w:lang w:eastAsia="en-GB"/>
        </w:rPr>
        <w:t xml:space="preserve"> </w:t>
      </w:r>
      <w:r>
        <w:rPr>
          <w:lang w:eastAsia="en-GB"/>
        </w:rPr>
        <w:t>811(c)</w:t>
      </w:r>
      <w:r w:rsidR="00C64050">
        <w:rPr>
          <w:lang w:eastAsia="en-GB"/>
        </w:rPr>
        <w:t xml:space="preserve"> </w:t>
      </w:r>
      <w:r>
        <w:rPr>
          <w:lang w:eastAsia="en-GB"/>
        </w:rPr>
        <w:t>to</w:t>
      </w:r>
      <w:r w:rsidR="00C64050">
        <w:rPr>
          <w:lang w:eastAsia="en-GB"/>
        </w:rPr>
        <w:t xml:space="preserve"> </w:t>
      </w:r>
      <w:r>
        <w:rPr>
          <w:lang w:eastAsia="en-GB"/>
        </w:rPr>
        <w:t>include</w:t>
      </w:r>
      <w:r w:rsidR="00C64050">
        <w:rPr>
          <w:lang w:eastAsia="en-GB"/>
        </w:rPr>
        <w:t xml:space="preserve"> </w:t>
      </w:r>
      <w:r>
        <w:rPr>
          <w:lang w:eastAsia="en-GB"/>
        </w:rPr>
        <w:t>interests</w:t>
      </w:r>
      <w:r w:rsidR="00C64050">
        <w:rPr>
          <w:lang w:eastAsia="en-GB"/>
        </w:rPr>
        <w:t xml:space="preserve"> </w:t>
      </w:r>
      <w:r>
        <w:rPr>
          <w:lang w:eastAsia="en-GB"/>
        </w:rPr>
        <w:t>retained</w:t>
      </w:r>
      <w:r w:rsidR="00C64050">
        <w:rPr>
          <w:lang w:eastAsia="en-GB"/>
        </w:rPr>
        <w:t xml:space="preserve"> </w:t>
      </w:r>
      <w:r>
        <w:rPr>
          <w:lang w:eastAsia="en-GB"/>
        </w:rPr>
        <w:t>for</w:t>
      </w:r>
      <w:r w:rsidR="00C64050">
        <w:rPr>
          <w:lang w:eastAsia="en-GB"/>
        </w:rPr>
        <w:t xml:space="preserve"> </w:t>
      </w:r>
      <w:r>
        <w:rPr>
          <w:lang w:eastAsia="en-GB"/>
        </w:rPr>
        <w:t>a</w:t>
      </w:r>
      <w:r w:rsidR="00C64050">
        <w:rPr>
          <w:lang w:eastAsia="en-GB"/>
        </w:rPr>
        <w:t xml:space="preserve"> </w:t>
      </w:r>
      <w:r>
        <w:rPr>
          <w:lang w:eastAsia="en-GB"/>
        </w:rPr>
        <w:t>term</w:t>
      </w:r>
      <w:r w:rsidR="00C64050">
        <w:rPr>
          <w:lang w:eastAsia="en-GB"/>
        </w:rPr>
        <w:t xml:space="preserve"> </w:t>
      </w:r>
      <w:r>
        <w:rPr>
          <w:lang w:eastAsia="en-GB"/>
        </w:rPr>
        <w:t>of</w:t>
      </w:r>
      <w:r w:rsidR="00C64050">
        <w:rPr>
          <w:lang w:eastAsia="en-GB"/>
        </w:rPr>
        <w:t xml:space="preserve"> </w:t>
      </w:r>
      <w:r>
        <w:rPr>
          <w:lang w:eastAsia="en-GB"/>
        </w:rPr>
        <w:t>years.</w:t>
      </w:r>
      <w:r w:rsidR="00C64050">
        <w:rPr>
          <w:lang w:eastAsia="en-GB"/>
        </w:rPr>
        <w:t xml:space="preserve"> </w:t>
      </w:r>
      <w:r w:rsidRPr="00122E70">
        <w:rPr>
          <w:i/>
          <w:lang w:eastAsia="en-GB"/>
        </w:rPr>
        <w:t>Id</w:t>
      </w:r>
      <w:r>
        <w:rPr>
          <w:lang w:eastAsia="en-GB"/>
        </w:rPr>
        <w:t>.</w:t>
      </w:r>
      <w:r w:rsidR="00C64050">
        <w:rPr>
          <w:lang w:eastAsia="en-GB"/>
        </w:rPr>
        <w:t xml:space="preserve"> </w:t>
      </w:r>
      <w:r>
        <w:rPr>
          <w:lang w:eastAsia="en-GB"/>
        </w:rPr>
        <w:t>(citing</w:t>
      </w:r>
      <w:r w:rsidR="00C64050">
        <w:rPr>
          <w:lang w:eastAsia="en-GB"/>
        </w:rPr>
        <w:t xml:space="preserve"> </w:t>
      </w:r>
      <w:r>
        <w:rPr>
          <w:lang w:eastAsia="en-GB"/>
        </w:rPr>
        <w:t>H.R.</w:t>
      </w:r>
      <w:r w:rsidR="00C64050">
        <w:rPr>
          <w:lang w:eastAsia="en-GB"/>
        </w:rPr>
        <w:t xml:space="preserve"> </w:t>
      </w:r>
      <w:r>
        <w:rPr>
          <w:lang w:eastAsia="en-GB"/>
        </w:rPr>
        <w:t>Rep.</w:t>
      </w:r>
      <w:r w:rsidR="00C64050">
        <w:rPr>
          <w:lang w:eastAsia="en-GB"/>
        </w:rPr>
        <w:t xml:space="preserve"> </w:t>
      </w:r>
      <w:r>
        <w:rPr>
          <w:lang w:eastAsia="en-GB"/>
        </w:rPr>
        <w:t>no.</w:t>
      </w:r>
      <w:r w:rsidR="00C64050">
        <w:rPr>
          <w:lang w:eastAsia="en-GB"/>
        </w:rPr>
        <w:t xml:space="preserve"> </w:t>
      </w:r>
      <w:r>
        <w:rPr>
          <w:lang w:eastAsia="en-GB"/>
        </w:rPr>
        <w:t>81-1412</w:t>
      </w:r>
      <w:r w:rsidR="00C64050">
        <w:rPr>
          <w:lang w:eastAsia="en-GB"/>
        </w:rPr>
        <w:t xml:space="preserve"> </w:t>
      </w:r>
      <w:r>
        <w:rPr>
          <w:lang w:eastAsia="en-GB"/>
        </w:rPr>
        <w:t>at</w:t>
      </w:r>
      <w:r w:rsidR="00C64050">
        <w:rPr>
          <w:lang w:eastAsia="en-GB"/>
        </w:rPr>
        <w:t xml:space="preserve"> </w:t>
      </w:r>
      <w:r>
        <w:rPr>
          <w:lang w:eastAsia="en-GB"/>
        </w:rPr>
        <w:t>9</w:t>
      </w:r>
      <w:r w:rsidR="00C64050">
        <w:rPr>
          <w:lang w:eastAsia="en-GB"/>
        </w:rPr>
        <w:t xml:space="preserve"> </w:t>
      </w:r>
      <w:r>
        <w:rPr>
          <w:lang w:eastAsia="en-GB"/>
        </w:rPr>
        <w:t>(1949)).</w:t>
      </w:r>
      <w:r w:rsidR="00C64050">
        <w:rPr>
          <w:lang w:eastAsia="en-GB"/>
        </w:rPr>
        <w:t xml:space="preserve"> </w:t>
      </w:r>
      <w:r>
        <w:rPr>
          <w:lang w:eastAsia="en-GB"/>
        </w:rPr>
        <w:t>Though</w:t>
      </w:r>
      <w:r w:rsidR="00C64050">
        <w:rPr>
          <w:lang w:eastAsia="en-GB"/>
        </w:rPr>
        <w:t xml:space="preserve"> </w:t>
      </w:r>
      <w:r>
        <w:rPr>
          <w:lang w:eastAsia="en-GB"/>
        </w:rPr>
        <w:t>Plaintiff</w:t>
      </w:r>
      <w:r w:rsidR="00C64050">
        <w:rPr>
          <w:lang w:eastAsia="en-GB"/>
        </w:rPr>
        <w:t xml:space="preserve"> </w:t>
      </w:r>
      <w:r>
        <w:rPr>
          <w:lang w:eastAsia="en-GB"/>
        </w:rPr>
        <w:t>cites</w:t>
      </w:r>
      <w:r w:rsidR="00C64050">
        <w:rPr>
          <w:lang w:eastAsia="en-GB"/>
        </w:rPr>
        <w:t xml:space="preserve"> </w:t>
      </w:r>
      <w:r>
        <w:rPr>
          <w:lang w:eastAsia="en-GB"/>
        </w:rPr>
        <w:t>legislative</w:t>
      </w:r>
      <w:r w:rsidR="00C64050">
        <w:rPr>
          <w:lang w:eastAsia="en-GB"/>
        </w:rPr>
        <w:t xml:space="preserve"> </w:t>
      </w:r>
      <w:r>
        <w:rPr>
          <w:lang w:eastAsia="en-GB"/>
        </w:rPr>
        <w:t>history</w:t>
      </w:r>
      <w:r w:rsidR="00C64050">
        <w:rPr>
          <w:lang w:eastAsia="en-GB"/>
        </w:rPr>
        <w:t xml:space="preserve"> </w:t>
      </w:r>
      <w:r>
        <w:rPr>
          <w:lang w:eastAsia="en-GB"/>
        </w:rPr>
        <w:t>for</w:t>
      </w:r>
      <w:r w:rsidR="00C64050">
        <w:rPr>
          <w:lang w:eastAsia="en-GB"/>
        </w:rPr>
        <w:t xml:space="preserve"> </w:t>
      </w:r>
      <w:r>
        <w:rPr>
          <w:lang w:eastAsia="en-GB"/>
        </w:rPr>
        <w:t>the</w:t>
      </w:r>
      <w:r w:rsidR="00C64050">
        <w:rPr>
          <w:lang w:eastAsia="en-GB"/>
        </w:rPr>
        <w:t xml:space="preserve"> </w:t>
      </w:r>
      <w:r>
        <w:rPr>
          <w:lang w:eastAsia="en-GB"/>
        </w:rPr>
        <w:t>opposite</w:t>
      </w:r>
      <w:r w:rsidR="00C64050">
        <w:rPr>
          <w:lang w:eastAsia="en-GB"/>
        </w:rPr>
        <w:t xml:space="preserve"> </w:t>
      </w:r>
      <w:r>
        <w:rPr>
          <w:lang w:eastAsia="en-GB"/>
        </w:rPr>
        <w:t>conclusion,</w:t>
      </w:r>
      <w:r w:rsidR="00C64050">
        <w:rPr>
          <w:lang w:eastAsia="en-GB"/>
        </w:rPr>
        <w:t xml:space="preserve"> </w:t>
      </w:r>
      <w:r>
        <w:rPr>
          <w:lang w:eastAsia="en-GB"/>
        </w:rPr>
        <w:t>Plaintiff</w:t>
      </w:r>
      <w:r w:rsidR="00C64050">
        <w:rPr>
          <w:lang w:eastAsia="en-GB"/>
        </w:rPr>
        <w:t xml:space="preserve"> </w:t>
      </w:r>
      <w:r>
        <w:rPr>
          <w:lang w:eastAsia="en-GB"/>
        </w:rPr>
        <w:t>does</w:t>
      </w:r>
      <w:r w:rsidR="00C64050">
        <w:rPr>
          <w:lang w:eastAsia="en-GB"/>
        </w:rPr>
        <w:t xml:space="preserve"> </w:t>
      </w:r>
      <w:r>
        <w:rPr>
          <w:lang w:eastAsia="en-GB"/>
        </w:rPr>
        <w:t>not</w:t>
      </w:r>
      <w:r w:rsidR="00C64050">
        <w:rPr>
          <w:lang w:eastAsia="en-GB"/>
        </w:rPr>
        <w:t xml:space="preserve"> </w:t>
      </w:r>
      <w:r>
        <w:rPr>
          <w:lang w:eastAsia="en-GB"/>
        </w:rPr>
        <w:t>explain</w:t>
      </w:r>
      <w:r w:rsidR="00C64050">
        <w:rPr>
          <w:lang w:eastAsia="en-GB"/>
        </w:rPr>
        <w:t xml:space="preserve"> </w:t>
      </w:r>
      <w:r>
        <w:rPr>
          <w:lang w:eastAsia="en-GB"/>
        </w:rPr>
        <w:t>why</w:t>
      </w:r>
      <w:r w:rsidR="00C64050">
        <w:rPr>
          <w:lang w:eastAsia="en-GB"/>
        </w:rPr>
        <w:t xml:space="preserve"> </w:t>
      </w:r>
      <w:r>
        <w:rPr>
          <w:lang w:eastAsia="en-GB"/>
        </w:rPr>
        <w:t>that</w:t>
      </w:r>
      <w:r w:rsidR="00C64050">
        <w:rPr>
          <w:lang w:eastAsia="en-GB"/>
        </w:rPr>
        <w:t xml:space="preserve"> </w:t>
      </w:r>
      <w:r>
        <w:rPr>
          <w:lang w:eastAsia="en-GB"/>
        </w:rPr>
        <w:t>history</w:t>
      </w:r>
      <w:r w:rsidR="00C64050">
        <w:rPr>
          <w:lang w:eastAsia="en-GB"/>
        </w:rPr>
        <w:t xml:space="preserve"> </w:t>
      </w:r>
      <w:r>
        <w:rPr>
          <w:lang w:eastAsia="en-GB"/>
        </w:rPr>
        <w:t>supports</w:t>
      </w:r>
      <w:r w:rsidR="00C64050">
        <w:rPr>
          <w:lang w:eastAsia="en-GB"/>
        </w:rPr>
        <w:t xml:space="preserve"> </w:t>
      </w:r>
      <w:r>
        <w:rPr>
          <w:lang w:eastAsia="en-GB"/>
        </w:rPr>
        <w:t>the</w:t>
      </w:r>
      <w:r w:rsidR="00C64050">
        <w:rPr>
          <w:lang w:eastAsia="en-GB"/>
        </w:rPr>
        <w:t xml:space="preserve"> </w:t>
      </w:r>
      <w:r>
        <w:rPr>
          <w:lang w:eastAsia="en-GB"/>
        </w:rPr>
        <w:t>Regulation.</w:t>
      </w:r>
      <w:r w:rsidR="00C64050">
        <w:rPr>
          <w:lang w:eastAsia="en-GB"/>
        </w:rPr>
        <w:t xml:space="preserve"> </w:t>
      </w:r>
      <w:r w:rsidRPr="00122E70">
        <w:rPr>
          <w:i/>
          <w:lang w:eastAsia="en-GB"/>
        </w:rPr>
        <w:t>See</w:t>
      </w:r>
      <w:r w:rsidR="00C64050">
        <w:rPr>
          <w:lang w:eastAsia="en-GB"/>
        </w:rPr>
        <w:t xml:space="preserve"> </w:t>
      </w:r>
      <w:r>
        <w:rPr>
          <w:lang w:eastAsia="en-GB"/>
        </w:rPr>
        <w:t>Pl.</w:t>
      </w:r>
      <w:r w:rsidR="00C64050">
        <w:rPr>
          <w:lang w:eastAsia="en-GB"/>
        </w:rPr>
        <w:t xml:space="preserve"> </w:t>
      </w:r>
      <w:r>
        <w:rPr>
          <w:lang w:eastAsia="en-GB"/>
        </w:rPr>
        <w:t>Opp.</w:t>
      </w:r>
      <w:r w:rsidR="00C64050">
        <w:rPr>
          <w:lang w:eastAsia="en-GB"/>
        </w:rPr>
        <w:t xml:space="preserve"> </w:t>
      </w:r>
      <w:r>
        <w:rPr>
          <w:lang w:eastAsia="en-GB"/>
        </w:rPr>
        <w:t>at</w:t>
      </w:r>
      <w:r w:rsidR="00C64050">
        <w:rPr>
          <w:lang w:eastAsia="en-GB"/>
        </w:rPr>
        <w:t xml:space="preserve"> </w:t>
      </w:r>
      <w:r>
        <w:rPr>
          <w:lang w:eastAsia="en-GB"/>
        </w:rPr>
        <w:t>20.</w:t>
      </w:r>
    </w:p>
    <w:p w:rsidR="0093130B" w:rsidRDefault="009C7FC4" w:rsidP="005817FF">
      <w:pPr>
        <w:pStyle w:val="Body15"/>
        <w:spacing w:before="240"/>
        <w:rPr>
          <w:lang w:eastAsia="en-GB"/>
        </w:rPr>
      </w:pPr>
      <w:r>
        <w:rPr>
          <w:lang w:eastAsia="en-GB"/>
        </w:rPr>
        <w:t>Overturning</w:t>
      </w:r>
      <w:r w:rsidR="00C64050">
        <w:rPr>
          <w:lang w:eastAsia="en-GB"/>
        </w:rPr>
        <w:t xml:space="preserve"> </w:t>
      </w:r>
      <w:r w:rsidR="005817FF">
        <w:rPr>
          <w:lang w:eastAsia="en-GB"/>
        </w:rPr>
        <w:t>a</w:t>
      </w:r>
      <w:r w:rsidR="00C64050">
        <w:rPr>
          <w:lang w:eastAsia="en-GB"/>
        </w:rPr>
        <w:t xml:space="preserve"> </w:t>
      </w:r>
      <w:r w:rsidR="005817FF">
        <w:rPr>
          <w:lang w:eastAsia="en-GB"/>
        </w:rPr>
        <w:t>final</w:t>
      </w:r>
      <w:r w:rsidR="00C64050">
        <w:rPr>
          <w:lang w:eastAsia="en-GB"/>
        </w:rPr>
        <w:t xml:space="preserve"> </w:t>
      </w:r>
      <w:r w:rsidR="005817FF">
        <w:rPr>
          <w:lang w:eastAsia="en-GB"/>
        </w:rPr>
        <w:t>regulation</w:t>
      </w:r>
      <w:r w:rsidR="00C64050">
        <w:rPr>
          <w:lang w:eastAsia="en-GB"/>
        </w:rPr>
        <w:t xml:space="preserve"> </w:t>
      </w:r>
      <w:r w:rsidR="005817FF">
        <w:rPr>
          <w:lang w:eastAsia="en-GB"/>
        </w:rPr>
        <w:t>is</w:t>
      </w:r>
      <w:r w:rsidR="00C64050">
        <w:rPr>
          <w:lang w:eastAsia="en-GB"/>
        </w:rPr>
        <w:t xml:space="preserve"> </w:t>
      </w:r>
      <w:r w:rsidR="005817FF">
        <w:rPr>
          <w:lang w:eastAsia="en-GB"/>
        </w:rPr>
        <w:t>difficult.</w:t>
      </w:r>
      <w:r w:rsidR="00C64050">
        <w:rPr>
          <w:lang w:eastAsia="en-GB"/>
        </w:rPr>
        <w:t xml:space="preserve">  </w:t>
      </w:r>
      <w:r w:rsidR="005817FF">
        <w:rPr>
          <w:lang w:eastAsia="en-GB"/>
        </w:rPr>
        <w:t>Here</w:t>
      </w:r>
      <w:r w:rsidR="00C64050">
        <w:rPr>
          <w:lang w:eastAsia="en-GB"/>
        </w:rPr>
        <w:t xml:space="preserve"> </w:t>
      </w:r>
      <w:r w:rsidR="005817FF">
        <w:rPr>
          <w:lang w:eastAsia="en-GB"/>
        </w:rPr>
        <w:t>the</w:t>
      </w:r>
      <w:r w:rsidR="00C64050">
        <w:rPr>
          <w:lang w:eastAsia="en-GB"/>
        </w:rPr>
        <w:t xml:space="preserve"> </w:t>
      </w:r>
      <w:r w:rsidR="005817FF">
        <w:rPr>
          <w:lang w:eastAsia="en-GB"/>
        </w:rPr>
        <w:t>regulation</w:t>
      </w:r>
      <w:r w:rsidR="00C64050">
        <w:rPr>
          <w:lang w:eastAsia="en-GB"/>
        </w:rPr>
        <w:t xml:space="preserve"> </w:t>
      </w:r>
      <w:r w:rsidR="005817FF">
        <w:rPr>
          <w:lang w:eastAsia="en-GB"/>
        </w:rPr>
        <w:t>was</w:t>
      </w:r>
      <w:r w:rsidR="00C64050">
        <w:rPr>
          <w:lang w:eastAsia="en-GB"/>
        </w:rPr>
        <w:t xml:space="preserve"> </w:t>
      </w:r>
      <w:r w:rsidR="005817FF">
        <w:rPr>
          <w:lang w:eastAsia="en-GB"/>
        </w:rPr>
        <w:t>designed</w:t>
      </w:r>
      <w:r w:rsidR="00C64050">
        <w:rPr>
          <w:lang w:eastAsia="en-GB"/>
        </w:rPr>
        <w:t xml:space="preserve"> </w:t>
      </w:r>
      <w:r w:rsidR="005817FF">
        <w:rPr>
          <w:lang w:eastAsia="en-GB"/>
        </w:rPr>
        <w:t>to</w:t>
      </w:r>
      <w:r w:rsidR="00C64050">
        <w:rPr>
          <w:lang w:eastAsia="en-GB"/>
        </w:rPr>
        <w:t xml:space="preserve"> </w:t>
      </w:r>
      <w:r w:rsidR="005817FF">
        <w:rPr>
          <w:lang w:eastAsia="en-GB"/>
        </w:rPr>
        <w:t>be</w:t>
      </w:r>
      <w:r w:rsidR="00C64050">
        <w:rPr>
          <w:lang w:eastAsia="en-GB"/>
        </w:rPr>
        <w:t xml:space="preserve"> </w:t>
      </w:r>
      <w:r w:rsidR="005817FF">
        <w:rPr>
          <w:lang w:eastAsia="en-GB"/>
        </w:rPr>
        <w:t>anti-taxpayer.</w:t>
      </w:r>
      <w:r w:rsidR="00C64050">
        <w:rPr>
          <w:lang w:eastAsia="en-GB"/>
        </w:rPr>
        <w:t xml:space="preserve">  </w:t>
      </w:r>
      <w:r w:rsidR="005817FF">
        <w:rPr>
          <w:lang w:eastAsia="en-GB"/>
        </w:rPr>
        <w:t>Inclusion</w:t>
      </w:r>
      <w:r w:rsidR="00C64050">
        <w:rPr>
          <w:lang w:eastAsia="en-GB"/>
        </w:rPr>
        <w:t xml:space="preserve"> </w:t>
      </w:r>
      <w:r w:rsidR="005817FF">
        <w:rPr>
          <w:lang w:eastAsia="en-GB"/>
        </w:rPr>
        <w:t>with</w:t>
      </w:r>
      <w:r w:rsidR="00C64050">
        <w:rPr>
          <w:lang w:eastAsia="en-GB"/>
        </w:rPr>
        <w:t xml:space="preserve"> </w:t>
      </w:r>
      <w:r w:rsidR="005817FF">
        <w:rPr>
          <w:lang w:eastAsia="en-GB"/>
        </w:rPr>
        <w:t>one</w:t>
      </w:r>
      <w:r w:rsidR="00C64050">
        <w:rPr>
          <w:lang w:eastAsia="en-GB"/>
        </w:rPr>
        <w:t xml:space="preserve"> </w:t>
      </w:r>
      <w:r w:rsidR="005817FF">
        <w:rPr>
          <w:lang w:eastAsia="en-GB"/>
        </w:rPr>
        <w:t>payment</w:t>
      </w:r>
      <w:r w:rsidR="00C64050">
        <w:rPr>
          <w:lang w:eastAsia="en-GB"/>
        </w:rPr>
        <w:t xml:space="preserve"> </w:t>
      </w:r>
      <w:r w:rsidR="005817FF">
        <w:rPr>
          <w:lang w:eastAsia="en-GB"/>
        </w:rPr>
        <w:t>to</w:t>
      </w:r>
      <w:r w:rsidR="00C64050">
        <w:rPr>
          <w:lang w:eastAsia="en-GB"/>
        </w:rPr>
        <w:t xml:space="preserve"> </w:t>
      </w:r>
      <w:r w:rsidR="005817FF">
        <w:rPr>
          <w:lang w:eastAsia="en-GB"/>
        </w:rPr>
        <w:t>go</w:t>
      </w:r>
      <w:r w:rsidR="00C64050">
        <w:rPr>
          <w:lang w:eastAsia="en-GB"/>
        </w:rPr>
        <w:t xml:space="preserve"> </w:t>
      </w:r>
      <w:r w:rsidR="005817FF">
        <w:rPr>
          <w:lang w:eastAsia="en-GB"/>
        </w:rPr>
        <w:t>is</w:t>
      </w:r>
      <w:r w:rsidR="00C64050">
        <w:rPr>
          <w:lang w:eastAsia="en-GB"/>
        </w:rPr>
        <w:t xml:space="preserve"> </w:t>
      </w:r>
      <w:r w:rsidR="005817FF">
        <w:rPr>
          <w:lang w:eastAsia="en-GB"/>
        </w:rPr>
        <w:t>calculated</w:t>
      </w:r>
      <w:r w:rsidR="00C64050">
        <w:rPr>
          <w:lang w:eastAsia="en-GB"/>
        </w:rPr>
        <w:t xml:space="preserve"> </w:t>
      </w:r>
      <w:r w:rsidR="005817FF">
        <w:rPr>
          <w:lang w:eastAsia="en-GB"/>
        </w:rPr>
        <w:t>the</w:t>
      </w:r>
      <w:r w:rsidR="00C64050">
        <w:rPr>
          <w:lang w:eastAsia="en-GB"/>
        </w:rPr>
        <w:t xml:space="preserve"> </w:t>
      </w:r>
      <w:r w:rsidR="005817FF">
        <w:rPr>
          <w:lang w:eastAsia="en-GB"/>
        </w:rPr>
        <w:t>same</w:t>
      </w:r>
      <w:r w:rsidR="00C64050">
        <w:rPr>
          <w:lang w:eastAsia="en-GB"/>
        </w:rPr>
        <w:t xml:space="preserve"> </w:t>
      </w:r>
      <w:r w:rsidR="005817FF">
        <w:rPr>
          <w:lang w:eastAsia="en-GB"/>
        </w:rPr>
        <w:t>as</w:t>
      </w:r>
      <w:r w:rsidR="00C64050">
        <w:rPr>
          <w:lang w:eastAsia="en-GB"/>
        </w:rPr>
        <w:t xml:space="preserve"> </w:t>
      </w:r>
      <w:r w:rsidR="005817FF">
        <w:rPr>
          <w:lang w:eastAsia="en-GB"/>
        </w:rPr>
        <w:t>on</w:t>
      </w:r>
      <w:r w:rsidR="00C64050">
        <w:rPr>
          <w:lang w:eastAsia="en-GB"/>
        </w:rPr>
        <w:t xml:space="preserve"> </w:t>
      </w:r>
      <w:r w:rsidR="005817FF">
        <w:rPr>
          <w:lang w:eastAsia="en-GB"/>
        </w:rPr>
        <w:t>day</w:t>
      </w:r>
      <w:r w:rsidR="00C64050">
        <w:rPr>
          <w:lang w:eastAsia="en-GB"/>
        </w:rPr>
        <w:t xml:space="preserve"> </w:t>
      </w:r>
      <w:r w:rsidR="005817FF">
        <w:rPr>
          <w:lang w:eastAsia="en-GB"/>
        </w:rPr>
        <w:t>2</w:t>
      </w:r>
      <w:r w:rsidR="00C64050">
        <w:rPr>
          <w:lang w:eastAsia="en-GB"/>
        </w:rPr>
        <w:t xml:space="preserve"> </w:t>
      </w:r>
      <w:r w:rsidR="005817FF">
        <w:rPr>
          <w:lang w:eastAsia="en-GB"/>
        </w:rPr>
        <w:t>of</w:t>
      </w:r>
      <w:r w:rsidR="00C64050">
        <w:rPr>
          <w:lang w:eastAsia="en-GB"/>
        </w:rPr>
        <w:t xml:space="preserve"> </w:t>
      </w:r>
      <w:r w:rsidR="005817FF">
        <w:rPr>
          <w:lang w:eastAsia="en-GB"/>
        </w:rPr>
        <w:t>the</w:t>
      </w:r>
      <w:r w:rsidR="00C64050">
        <w:rPr>
          <w:lang w:eastAsia="en-GB"/>
        </w:rPr>
        <w:t xml:space="preserve"> </w:t>
      </w:r>
      <w:r w:rsidR="005817FF">
        <w:rPr>
          <w:lang w:eastAsia="en-GB"/>
        </w:rPr>
        <w:t>GRAT.</w:t>
      </w:r>
      <w:r w:rsidR="00C64050">
        <w:rPr>
          <w:lang w:eastAsia="en-GB"/>
        </w:rPr>
        <w:t xml:space="preserve">  </w:t>
      </w:r>
      <w:r w:rsidR="00560FBA">
        <w:rPr>
          <w:lang w:eastAsia="en-GB"/>
        </w:rPr>
        <w:t>The</w:t>
      </w:r>
      <w:r w:rsidR="00C64050">
        <w:rPr>
          <w:lang w:eastAsia="en-GB"/>
        </w:rPr>
        <w:t xml:space="preserve"> </w:t>
      </w:r>
      <w:r w:rsidR="00560FBA">
        <w:rPr>
          <w:lang w:eastAsia="en-GB"/>
        </w:rPr>
        <w:t>taxpayer</w:t>
      </w:r>
      <w:r w:rsidR="00C64050">
        <w:rPr>
          <w:lang w:eastAsia="en-GB"/>
        </w:rPr>
        <w:t xml:space="preserve"> </w:t>
      </w:r>
      <w:r w:rsidR="00560FBA">
        <w:rPr>
          <w:lang w:eastAsia="en-GB"/>
        </w:rPr>
        <w:t>appealed</w:t>
      </w:r>
      <w:r w:rsidR="00C64050">
        <w:rPr>
          <w:lang w:eastAsia="en-GB"/>
        </w:rPr>
        <w:t xml:space="preserve"> </w:t>
      </w:r>
      <w:r w:rsidR="00560FBA">
        <w:rPr>
          <w:lang w:eastAsia="en-GB"/>
        </w:rPr>
        <w:t>arguing</w:t>
      </w:r>
      <w:r w:rsidR="00C64050">
        <w:rPr>
          <w:lang w:eastAsia="en-GB"/>
        </w:rPr>
        <w:t xml:space="preserve"> </w:t>
      </w:r>
      <w:r w:rsidR="00560FBA">
        <w:rPr>
          <w:lang w:eastAsia="en-GB"/>
        </w:rPr>
        <w:t>that</w:t>
      </w:r>
      <w:r w:rsidR="00C64050">
        <w:rPr>
          <w:lang w:eastAsia="en-GB"/>
        </w:rPr>
        <w:t xml:space="preserve"> </w:t>
      </w:r>
      <w:r w:rsidR="00560FBA">
        <w:rPr>
          <w:lang w:eastAsia="en-GB"/>
        </w:rPr>
        <w:t>an</w:t>
      </w:r>
      <w:r w:rsidR="00C64050">
        <w:rPr>
          <w:lang w:eastAsia="en-GB"/>
        </w:rPr>
        <w:t xml:space="preserve"> </w:t>
      </w:r>
      <w:r w:rsidR="00560FBA">
        <w:rPr>
          <w:lang w:eastAsia="en-GB"/>
        </w:rPr>
        <w:t>annuity</w:t>
      </w:r>
      <w:r w:rsidR="00C64050">
        <w:rPr>
          <w:lang w:eastAsia="en-GB"/>
        </w:rPr>
        <w:t xml:space="preserve"> </w:t>
      </w:r>
      <w:r w:rsidR="00560FBA">
        <w:rPr>
          <w:lang w:eastAsia="en-GB"/>
        </w:rPr>
        <w:t>is</w:t>
      </w:r>
      <w:r w:rsidR="00C64050">
        <w:rPr>
          <w:lang w:eastAsia="en-GB"/>
        </w:rPr>
        <w:t xml:space="preserve"> </w:t>
      </w:r>
      <w:r w:rsidR="00560FBA">
        <w:rPr>
          <w:lang w:eastAsia="en-GB"/>
        </w:rPr>
        <w:t>not</w:t>
      </w:r>
      <w:r w:rsidR="00C64050">
        <w:rPr>
          <w:lang w:eastAsia="en-GB"/>
        </w:rPr>
        <w:t xml:space="preserve"> </w:t>
      </w:r>
      <w:r w:rsidR="00560FBA">
        <w:rPr>
          <w:lang w:eastAsia="en-GB"/>
        </w:rPr>
        <w:t>a</w:t>
      </w:r>
      <w:r w:rsidR="00C64050">
        <w:rPr>
          <w:lang w:eastAsia="en-GB"/>
        </w:rPr>
        <w:t xml:space="preserve"> </w:t>
      </w:r>
      <w:r w:rsidR="00560FBA">
        <w:rPr>
          <w:lang w:eastAsia="en-GB"/>
        </w:rPr>
        <w:t>retained</w:t>
      </w:r>
      <w:r w:rsidR="00C64050">
        <w:rPr>
          <w:lang w:eastAsia="en-GB"/>
        </w:rPr>
        <w:t xml:space="preserve"> </w:t>
      </w:r>
      <w:r w:rsidR="00560FBA">
        <w:rPr>
          <w:lang w:eastAsia="en-GB"/>
        </w:rPr>
        <w:t>right</w:t>
      </w:r>
      <w:r w:rsidR="00C64050">
        <w:rPr>
          <w:lang w:eastAsia="en-GB"/>
        </w:rPr>
        <w:t xml:space="preserve"> </w:t>
      </w:r>
      <w:r w:rsidR="00560FBA">
        <w:rPr>
          <w:lang w:eastAsia="en-GB"/>
        </w:rPr>
        <w:t>to</w:t>
      </w:r>
      <w:r w:rsidR="00C64050">
        <w:rPr>
          <w:lang w:eastAsia="en-GB"/>
        </w:rPr>
        <w:t xml:space="preserve"> </w:t>
      </w:r>
      <w:r w:rsidR="00560FBA">
        <w:rPr>
          <w:lang w:eastAsia="en-GB"/>
        </w:rPr>
        <w:t>income</w:t>
      </w:r>
      <w:r w:rsidR="00C64050">
        <w:rPr>
          <w:lang w:eastAsia="en-GB"/>
        </w:rPr>
        <w:t xml:space="preserve"> </w:t>
      </w:r>
      <w:r w:rsidR="00560FBA">
        <w:rPr>
          <w:lang w:eastAsia="en-GB"/>
        </w:rPr>
        <w:t>or</w:t>
      </w:r>
      <w:r w:rsidR="00C64050">
        <w:rPr>
          <w:lang w:eastAsia="en-GB"/>
        </w:rPr>
        <w:t xml:space="preserve"> </w:t>
      </w:r>
      <w:r w:rsidR="00560FBA">
        <w:rPr>
          <w:lang w:eastAsia="en-GB"/>
        </w:rPr>
        <w:t>use,</w:t>
      </w:r>
      <w:r w:rsidR="00C64050">
        <w:rPr>
          <w:lang w:eastAsia="en-GB"/>
        </w:rPr>
        <w:t xml:space="preserve"> </w:t>
      </w:r>
      <w:r w:rsidR="00560FBA">
        <w:rPr>
          <w:lang w:eastAsia="en-GB"/>
        </w:rPr>
        <w:t>and</w:t>
      </w:r>
      <w:r w:rsidR="00C64050">
        <w:rPr>
          <w:lang w:eastAsia="en-GB"/>
        </w:rPr>
        <w:t xml:space="preserve"> </w:t>
      </w:r>
      <w:r w:rsidR="00560FBA">
        <w:rPr>
          <w:lang w:eastAsia="en-GB"/>
        </w:rPr>
        <w:t>the</w:t>
      </w:r>
      <w:r w:rsidR="00C64050">
        <w:rPr>
          <w:lang w:eastAsia="en-GB"/>
        </w:rPr>
        <w:t xml:space="preserve"> </w:t>
      </w:r>
      <w:r w:rsidR="00560FBA">
        <w:rPr>
          <w:lang w:eastAsia="en-GB"/>
        </w:rPr>
        <w:t>valuation</w:t>
      </w:r>
      <w:r w:rsidR="00C64050">
        <w:rPr>
          <w:lang w:eastAsia="en-GB"/>
        </w:rPr>
        <w:t xml:space="preserve"> </w:t>
      </w:r>
      <w:r w:rsidR="00560FBA">
        <w:rPr>
          <w:lang w:eastAsia="en-GB"/>
        </w:rPr>
        <w:t>approach</w:t>
      </w:r>
      <w:r w:rsidR="00C64050">
        <w:rPr>
          <w:lang w:eastAsia="en-GB"/>
        </w:rPr>
        <w:t xml:space="preserve"> </w:t>
      </w:r>
      <w:r w:rsidR="00560FBA">
        <w:rPr>
          <w:lang w:eastAsia="en-GB"/>
        </w:rPr>
        <w:t>of</w:t>
      </w:r>
      <w:r w:rsidR="00C64050">
        <w:rPr>
          <w:lang w:eastAsia="en-GB"/>
        </w:rPr>
        <w:t xml:space="preserve"> </w:t>
      </w:r>
      <w:r w:rsidR="00560FBA">
        <w:rPr>
          <w:lang w:eastAsia="en-GB"/>
        </w:rPr>
        <w:t>the</w:t>
      </w:r>
      <w:r w:rsidR="00C64050">
        <w:rPr>
          <w:lang w:eastAsia="en-GB"/>
        </w:rPr>
        <w:t xml:space="preserve"> </w:t>
      </w:r>
      <w:r w:rsidR="00560FBA">
        <w:rPr>
          <w:lang w:eastAsia="en-GB"/>
        </w:rPr>
        <w:t>regulations</w:t>
      </w:r>
      <w:r w:rsidR="00C64050">
        <w:rPr>
          <w:lang w:eastAsia="en-GB"/>
        </w:rPr>
        <w:t xml:space="preserve"> </w:t>
      </w:r>
      <w:r w:rsidR="00560FBA">
        <w:rPr>
          <w:lang w:eastAsia="en-GB"/>
        </w:rPr>
        <w:t>should</w:t>
      </w:r>
      <w:r w:rsidR="00C64050">
        <w:rPr>
          <w:lang w:eastAsia="en-GB"/>
        </w:rPr>
        <w:t xml:space="preserve"> </w:t>
      </w:r>
      <w:r w:rsidR="00560FBA">
        <w:rPr>
          <w:lang w:eastAsia="en-GB"/>
        </w:rPr>
        <w:t>be</w:t>
      </w:r>
      <w:r w:rsidR="00C64050">
        <w:rPr>
          <w:lang w:eastAsia="en-GB"/>
        </w:rPr>
        <w:t xml:space="preserve"> </w:t>
      </w:r>
      <w:r w:rsidR="00560FBA">
        <w:rPr>
          <w:lang w:eastAsia="en-GB"/>
        </w:rPr>
        <w:t>thrown</w:t>
      </w:r>
      <w:r w:rsidR="00C64050">
        <w:rPr>
          <w:lang w:eastAsia="en-GB"/>
        </w:rPr>
        <w:t xml:space="preserve"> </w:t>
      </w:r>
      <w:r w:rsidR="00560FBA">
        <w:rPr>
          <w:lang w:eastAsia="en-GB"/>
        </w:rPr>
        <w:t>out</w:t>
      </w:r>
      <w:r w:rsidR="0093130B">
        <w:rPr>
          <w:lang w:eastAsia="en-GB"/>
        </w:rPr>
        <w:t>,</w:t>
      </w:r>
      <w:r w:rsidR="00C64050">
        <w:rPr>
          <w:lang w:eastAsia="en-GB"/>
        </w:rPr>
        <w:t xml:space="preserve"> </w:t>
      </w:r>
      <w:r w:rsidR="0093130B">
        <w:rPr>
          <w:lang w:eastAsia="en-GB"/>
        </w:rPr>
        <w:t>but</w:t>
      </w:r>
      <w:r w:rsidR="00C64050">
        <w:rPr>
          <w:lang w:eastAsia="en-GB"/>
        </w:rPr>
        <w:t xml:space="preserve"> </w:t>
      </w:r>
      <w:r w:rsidR="0093130B">
        <w:rPr>
          <w:lang w:eastAsia="en-GB"/>
        </w:rPr>
        <w:t>the</w:t>
      </w:r>
      <w:r w:rsidR="00C64050">
        <w:rPr>
          <w:lang w:eastAsia="en-GB"/>
        </w:rPr>
        <w:t xml:space="preserve"> </w:t>
      </w:r>
      <w:r w:rsidR="0093130B">
        <w:rPr>
          <w:lang w:eastAsia="en-GB"/>
        </w:rPr>
        <w:t>appeal</w:t>
      </w:r>
      <w:r w:rsidR="00C64050">
        <w:rPr>
          <w:lang w:eastAsia="en-GB"/>
        </w:rPr>
        <w:t xml:space="preserve"> </w:t>
      </w:r>
      <w:r w:rsidR="0093130B">
        <w:rPr>
          <w:lang w:eastAsia="en-GB"/>
        </w:rPr>
        <w:t>was</w:t>
      </w:r>
      <w:r w:rsidR="00C64050">
        <w:rPr>
          <w:lang w:eastAsia="en-GB"/>
        </w:rPr>
        <w:t xml:space="preserve"> </w:t>
      </w:r>
      <w:r w:rsidR="0093130B">
        <w:rPr>
          <w:lang w:eastAsia="en-GB"/>
        </w:rPr>
        <w:t>denied</w:t>
      </w:r>
      <w:r w:rsidR="00C64050">
        <w:rPr>
          <w:lang w:eastAsia="en-GB"/>
        </w:rPr>
        <w:t xml:space="preserve"> </w:t>
      </w:r>
      <w:r w:rsidR="0093130B">
        <w:rPr>
          <w:lang w:eastAsia="en-GB"/>
        </w:rPr>
        <w:t>by</w:t>
      </w:r>
      <w:r w:rsidR="00C64050">
        <w:rPr>
          <w:lang w:eastAsia="en-GB"/>
        </w:rPr>
        <w:t xml:space="preserve"> </w:t>
      </w:r>
      <w:r w:rsidR="0093130B">
        <w:rPr>
          <w:lang w:eastAsia="en-GB"/>
        </w:rPr>
        <w:t>the</w:t>
      </w:r>
      <w:r w:rsidR="00C64050">
        <w:rPr>
          <w:lang w:eastAsia="en-GB"/>
        </w:rPr>
        <w:t xml:space="preserve"> </w:t>
      </w:r>
      <w:r w:rsidR="0093130B">
        <w:rPr>
          <w:lang w:eastAsia="en-GB"/>
        </w:rPr>
        <w:t>Ninth</w:t>
      </w:r>
      <w:r w:rsidR="00C64050">
        <w:rPr>
          <w:lang w:eastAsia="en-GB"/>
        </w:rPr>
        <w:t xml:space="preserve"> </w:t>
      </w:r>
      <w:r w:rsidR="0093130B">
        <w:rPr>
          <w:lang w:eastAsia="en-GB"/>
        </w:rPr>
        <w:t>Circuit.</w:t>
      </w:r>
      <w:r w:rsidR="00C64050">
        <w:rPr>
          <w:lang w:eastAsia="en-GB"/>
        </w:rPr>
        <w:t xml:space="preserve">  </w:t>
      </w:r>
      <w:r w:rsidR="0093130B">
        <w:rPr>
          <w:u w:val="single"/>
          <w:lang w:eastAsia="en-GB"/>
        </w:rPr>
        <w:t>Badgley</w:t>
      </w:r>
      <w:r w:rsidR="00C64050">
        <w:rPr>
          <w:u w:val="single"/>
          <w:lang w:eastAsia="en-GB"/>
        </w:rPr>
        <w:t xml:space="preserve"> </w:t>
      </w:r>
      <w:r w:rsidR="0093130B">
        <w:rPr>
          <w:u w:val="single"/>
          <w:lang w:eastAsia="en-GB"/>
        </w:rPr>
        <w:t>v.</w:t>
      </w:r>
      <w:r w:rsidR="00C64050">
        <w:rPr>
          <w:u w:val="single"/>
          <w:lang w:eastAsia="en-GB"/>
        </w:rPr>
        <w:t xml:space="preserve"> </w:t>
      </w:r>
      <w:r w:rsidR="0093130B">
        <w:rPr>
          <w:u w:val="single"/>
          <w:lang w:eastAsia="en-GB"/>
        </w:rPr>
        <w:t>United</w:t>
      </w:r>
      <w:r w:rsidR="00C64050">
        <w:rPr>
          <w:u w:val="single"/>
          <w:lang w:eastAsia="en-GB"/>
        </w:rPr>
        <w:t xml:space="preserve"> </w:t>
      </w:r>
      <w:r w:rsidR="0093130B">
        <w:rPr>
          <w:u w:val="single"/>
          <w:lang w:eastAsia="en-GB"/>
        </w:rPr>
        <w:t>States</w:t>
      </w:r>
      <w:r w:rsidR="0093130B">
        <w:rPr>
          <w:lang w:eastAsia="en-GB"/>
        </w:rPr>
        <w:t>,</w:t>
      </w:r>
      <w:r w:rsidR="00C64050">
        <w:rPr>
          <w:lang w:eastAsia="en-GB"/>
        </w:rPr>
        <w:t xml:space="preserve"> </w:t>
      </w:r>
      <w:r w:rsidR="00081023" w:rsidRPr="00081023">
        <w:rPr>
          <w:lang w:eastAsia="en-GB"/>
        </w:rPr>
        <w:t>957</w:t>
      </w:r>
      <w:r w:rsidR="00C64050">
        <w:rPr>
          <w:lang w:eastAsia="en-GB"/>
        </w:rPr>
        <w:t xml:space="preserve"> </w:t>
      </w:r>
      <w:r w:rsidR="00081023" w:rsidRPr="00081023">
        <w:rPr>
          <w:lang w:eastAsia="en-GB"/>
        </w:rPr>
        <w:t>F.3d</w:t>
      </w:r>
      <w:r w:rsidR="00C64050">
        <w:rPr>
          <w:lang w:eastAsia="en-GB"/>
        </w:rPr>
        <w:t xml:space="preserve"> </w:t>
      </w:r>
      <w:r w:rsidR="00081023" w:rsidRPr="00081023">
        <w:rPr>
          <w:lang w:eastAsia="en-GB"/>
        </w:rPr>
        <w:t>969</w:t>
      </w:r>
      <w:r w:rsidR="00C64050">
        <w:rPr>
          <w:lang w:eastAsia="en-GB"/>
        </w:rPr>
        <w:t xml:space="preserve"> </w:t>
      </w:r>
      <w:r w:rsidR="0093130B">
        <w:rPr>
          <w:lang w:eastAsia="en-GB"/>
        </w:rPr>
        <w:t>(9</w:t>
      </w:r>
      <w:r w:rsidR="0093130B" w:rsidRPr="0093130B">
        <w:rPr>
          <w:vertAlign w:val="superscript"/>
          <w:lang w:eastAsia="en-GB"/>
        </w:rPr>
        <w:t>th</w:t>
      </w:r>
      <w:r w:rsidR="00C64050">
        <w:rPr>
          <w:lang w:eastAsia="en-GB"/>
        </w:rPr>
        <w:t xml:space="preserve"> </w:t>
      </w:r>
      <w:r w:rsidR="0093130B">
        <w:rPr>
          <w:lang w:eastAsia="en-GB"/>
        </w:rPr>
        <w:t>Cir.</w:t>
      </w:r>
      <w:r w:rsidR="00C64050">
        <w:rPr>
          <w:lang w:eastAsia="en-GB"/>
        </w:rPr>
        <w:t xml:space="preserve"> </w:t>
      </w:r>
      <w:r w:rsidR="0093130B">
        <w:rPr>
          <w:lang w:eastAsia="en-GB"/>
        </w:rPr>
        <w:t>2020).</w:t>
      </w:r>
      <w:r w:rsidR="00C64050">
        <w:rPr>
          <w:lang w:eastAsia="en-GB"/>
        </w:rPr>
        <w:t xml:space="preserve">  </w:t>
      </w:r>
      <w:r w:rsidR="0093130B">
        <w:rPr>
          <w:lang w:eastAsia="en-GB"/>
        </w:rPr>
        <w:t>The</w:t>
      </w:r>
      <w:r w:rsidR="00C64050">
        <w:rPr>
          <w:lang w:eastAsia="en-GB"/>
        </w:rPr>
        <w:t xml:space="preserve"> </w:t>
      </w:r>
      <w:r w:rsidR="0093130B">
        <w:rPr>
          <w:lang w:eastAsia="en-GB"/>
        </w:rPr>
        <w:t>opinion</w:t>
      </w:r>
      <w:r w:rsidR="00C64050">
        <w:rPr>
          <w:lang w:eastAsia="en-GB"/>
        </w:rPr>
        <w:t xml:space="preserve"> </w:t>
      </w:r>
      <w:r w:rsidR="0093130B">
        <w:rPr>
          <w:lang w:eastAsia="en-GB"/>
        </w:rPr>
        <w:t>states:</w:t>
      </w:r>
    </w:p>
    <w:p w:rsidR="0093130B" w:rsidRDefault="006A1DA4" w:rsidP="006A1DA4">
      <w:pPr>
        <w:pStyle w:val="QS10"/>
        <w:rPr>
          <w:lang w:eastAsia="en-GB"/>
        </w:rPr>
      </w:pPr>
      <w:r>
        <w:t>The</w:t>
      </w:r>
      <w:r w:rsidR="00C64050">
        <w:t xml:space="preserve"> </w:t>
      </w:r>
      <w:r>
        <w:t>fact</w:t>
      </w:r>
      <w:r w:rsidR="00C64050">
        <w:t xml:space="preserve"> </w:t>
      </w:r>
      <w:r>
        <w:t>that</w:t>
      </w:r>
      <w:r w:rsidR="00C64050">
        <w:t xml:space="preserve"> </w:t>
      </w:r>
      <w:r>
        <w:t>§</w:t>
      </w:r>
      <w:r w:rsidR="00C64050">
        <w:t xml:space="preserve"> </w:t>
      </w:r>
      <w:r>
        <w:t>2036(a)(1)</w:t>
      </w:r>
      <w:r w:rsidR="00C64050">
        <w:t xml:space="preserve"> </w:t>
      </w:r>
      <w:r>
        <w:t>does</w:t>
      </w:r>
      <w:r w:rsidR="00C64050">
        <w:t xml:space="preserve"> </w:t>
      </w:r>
      <w:r>
        <w:t>not</w:t>
      </w:r>
      <w:r w:rsidR="00C64050">
        <w:t xml:space="preserve"> </w:t>
      </w:r>
      <w:r>
        <w:t>include</w:t>
      </w:r>
      <w:r w:rsidR="00C64050">
        <w:t xml:space="preserve"> </w:t>
      </w:r>
      <w:r>
        <w:t>the</w:t>
      </w:r>
      <w:r w:rsidR="00C64050">
        <w:t xml:space="preserve"> </w:t>
      </w:r>
      <w:r>
        <w:t>term</w:t>
      </w:r>
      <w:r w:rsidR="00C64050">
        <w:t xml:space="preserve"> </w:t>
      </w:r>
      <w:r>
        <w:t>“annuity”</w:t>
      </w:r>
      <w:r w:rsidR="00C64050">
        <w:t xml:space="preserve"> </w:t>
      </w:r>
      <w:r>
        <w:t>does</w:t>
      </w:r>
      <w:r w:rsidR="00C64050">
        <w:t xml:space="preserve"> </w:t>
      </w:r>
      <w:r>
        <w:t>not</w:t>
      </w:r>
      <w:r w:rsidR="00C64050">
        <w:t xml:space="preserve"> </w:t>
      </w:r>
      <w:r>
        <w:t>exclude</w:t>
      </w:r>
      <w:r w:rsidR="00C64050">
        <w:t xml:space="preserve"> </w:t>
      </w:r>
      <w:r>
        <w:t>annuities</w:t>
      </w:r>
      <w:r w:rsidR="00C64050">
        <w:t xml:space="preserve"> </w:t>
      </w:r>
      <w:r>
        <w:t>from</w:t>
      </w:r>
      <w:r w:rsidR="00C64050">
        <w:t xml:space="preserve"> </w:t>
      </w:r>
      <w:r>
        <w:t>its</w:t>
      </w:r>
      <w:r w:rsidR="00C64050">
        <w:t xml:space="preserve"> </w:t>
      </w:r>
      <w:r>
        <w:t>ambit.</w:t>
      </w:r>
      <w:r w:rsidR="00C64050">
        <w:t xml:space="preserve"> </w:t>
      </w:r>
      <w:r>
        <w:t>This</w:t>
      </w:r>
      <w:r w:rsidR="00C64050">
        <w:t xml:space="preserve"> </w:t>
      </w:r>
      <w:r>
        <w:t>is</w:t>
      </w:r>
      <w:r w:rsidR="00C64050">
        <w:t xml:space="preserve"> </w:t>
      </w:r>
      <w:r>
        <w:t>consistent</w:t>
      </w:r>
      <w:r w:rsidR="00C64050">
        <w:t xml:space="preserve"> </w:t>
      </w:r>
      <w:r>
        <w:t>with</w:t>
      </w:r>
      <w:r w:rsidR="00C64050">
        <w:t xml:space="preserve"> </w:t>
      </w:r>
      <w:r>
        <w:t>the</w:t>
      </w:r>
      <w:r w:rsidR="00C64050">
        <w:t xml:space="preserve"> </w:t>
      </w:r>
      <w:r>
        <w:t>decisions</w:t>
      </w:r>
      <w:r w:rsidR="00C64050">
        <w:t xml:space="preserve"> </w:t>
      </w:r>
      <w:r>
        <w:t>of</w:t>
      </w:r>
      <w:r w:rsidR="00C64050">
        <w:t xml:space="preserve"> </w:t>
      </w:r>
      <w:r>
        <w:t>the</w:t>
      </w:r>
      <w:r w:rsidR="00C64050">
        <w:t xml:space="preserve"> </w:t>
      </w:r>
      <w:r>
        <w:t>Supreme</w:t>
      </w:r>
      <w:r w:rsidR="00C64050">
        <w:t xml:space="preserve"> </w:t>
      </w:r>
      <w:r>
        <w:t>Court</w:t>
      </w:r>
      <w:r w:rsidR="00C64050">
        <w:t xml:space="preserve"> </w:t>
      </w:r>
      <w:r>
        <w:t>and</w:t>
      </w:r>
      <w:r w:rsidR="00C64050">
        <w:t xml:space="preserve"> </w:t>
      </w:r>
      <w:r>
        <w:t>our</w:t>
      </w:r>
      <w:r w:rsidR="00C64050">
        <w:t xml:space="preserve"> </w:t>
      </w:r>
      <w:r>
        <w:t>sibling</w:t>
      </w:r>
      <w:r w:rsidR="00C64050">
        <w:t xml:space="preserve"> </w:t>
      </w:r>
      <w:r>
        <w:t>circuits,</w:t>
      </w:r>
      <w:r w:rsidR="00C64050">
        <w:t xml:space="preserve"> </w:t>
      </w:r>
      <w:r>
        <w:t>which</w:t>
      </w:r>
      <w:r w:rsidR="00C64050">
        <w:t xml:space="preserve"> </w:t>
      </w:r>
      <w:r>
        <w:t>have</w:t>
      </w:r>
      <w:r w:rsidR="00C64050">
        <w:t xml:space="preserve"> </w:t>
      </w:r>
      <w:r>
        <w:t>concluded</w:t>
      </w:r>
      <w:r w:rsidR="00C64050">
        <w:t xml:space="preserve"> </w:t>
      </w:r>
      <w:r>
        <w:t>that</w:t>
      </w:r>
      <w:r w:rsidR="00C64050">
        <w:t xml:space="preserve"> </w:t>
      </w:r>
      <w:r>
        <w:t>interests</w:t>
      </w:r>
      <w:r w:rsidR="00C64050">
        <w:t xml:space="preserve"> </w:t>
      </w:r>
      <w:r>
        <w:t>such</w:t>
      </w:r>
      <w:r w:rsidR="00C64050">
        <w:t xml:space="preserve"> </w:t>
      </w:r>
      <w:r>
        <w:t>as</w:t>
      </w:r>
      <w:r w:rsidR="00C64050">
        <w:t xml:space="preserve"> </w:t>
      </w:r>
      <w:r>
        <w:t>reversionary</w:t>
      </w:r>
      <w:r w:rsidR="00C64050">
        <w:t xml:space="preserve"> </w:t>
      </w:r>
      <w:r>
        <w:t>interests,</w:t>
      </w:r>
      <w:r w:rsidR="00C64050">
        <w:t xml:space="preserve"> </w:t>
      </w:r>
      <w:r>
        <w:t>the</w:t>
      </w:r>
      <w:r w:rsidR="00C64050">
        <w:t xml:space="preserve"> </w:t>
      </w:r>
      <w:r>
        <w:t>power</w:t>
      </w:r>
      <w:r w:rsidR="00C64050">
        <w:t xml:space="preserve"> </w:t>
      </w:r>
      <w:r>
        <w:t>of</w:t>
      </w:r>
      <w:r w:rsidR="00C64050">
        <w:t xml:space="preserve"> </w:t>
      </w:r>
      <w:r>
        <w:t>appointment,</w:t>
      </w:r>
      <w:r w:rsidR="00C64050">
        <w:t xml:space="preserve"> </w:t>
      </w:r>
      <w:r>
        <w:t>and</w:t>
      </w:r>
      <w:r w:rsidR="00C64050">
        <w:t xml:space="preserve"> </w:t>
      </w:r>
      <w:r>
        <w:t>rent—</w:t>
      </w:r>
      <w:r w:rsidR="00C64050">
        <w:t xml:space="preserve"> </w:t>
      </w:r>
      <w:r>
        <w:t>also</w:t>
      </w:r>
      <w:r w:rsidR="00C64050">
        <w:t xml:space="preserve"> </w:t>
      </w:r>
      <w:r>
        <w:t>not</w:t>
      </w:r>
      <w:r w:rsidR="00C64050">
        <w:t xml:space="preserve"> </w:t>
      </w:r>
      <w:r>
        <w:t>expressly</w:t>
      </w:r>
      <w:r w:rsidR="00C64050">
        <w:t xml:space="preserve"> </w:t>
      </w:r>
      <w:r>
        <w:t>listed</w:t>
      </w:r>
      <w:r w:rsidR="00C64050">
        <w:t xml:space="preserve"> </w:t>
      </w:r>
      <w:r>
        <w:t>in</w:t>
      </w:r>
      <w:r w:rsidR="00C64050">
        <w:t xml:space="preserve"> </w:t>
      </w:r>
      <w:r>
        <w:t>§</w:t>
      </w:r>
      <w:r w:rsidR="00C64050">
        <w:t xml:space="preserve"> </w:t>
      </w:r>
      <w:r>
        <w:t>2036(a)—nevertheless</w:t>
      </w:r>
      <w:r w:rsidR="00C64050">
        <w:t xml:space="preserve"> </w:t>
      </w:r>
      <w:r>
        <w:t>fall</w:t>
      </w:r>
      <w:r w:rsidR="00C64050">
        <w:t xml:space="preserve"> </w:t>
      </w:r>
      <w:r>
        <w:t>into</w:t>
      </w:r>
      <w:r w:rsidR="00C64050">
        <w:t xml:space="preserve"> </w:t>
      </w:r>
      <w:r>
        <w:t>one</w:t>
      </w:r>
      <w:r w:rsidR="00C64050">
        <w:t xml:space="preserve"> </w:t>
      </w:r>
      <w:r>
        <w:t>of</w:t>
      </w:r>
      <w:r w:rsidR="00C64050">
        <w:t xml:space="preserve"> </w:t>
      </w:r>
      <w:r>
        <w:t>the</w:t>
      </w:r>
      <w:r w:rsidR="00C64050">
        <w:t xml:space="preserve"> </w:t>
      </w:r>
      <w:r>
        <w:t>three</w:t>
      </w:r>
      <w:r w:rsidR="00C64050">
        <w:t xml:space="preserve"> </w:t>
      </w:r>
      <w:r>
        <w:t>categories.</w:t>
      </w:r>
      <w:r w:rsidR="00C64050">
        <w:t xml:space="preserve"> </w:t>
      </w:r>
      <w:r w:rsidRPr="006A1DA4">
        <w:rPr>
          <w:i/>
        </w:rPr>
        <w:t>See,</w:t>
      </w:r>
      <w:r w:rsidR="00C64050">
        <w:rPr>
          <w:i/>
        </w:rPr>
        <w:t xml:space="preserve"> </w:t>
      </w:r>
      <w:r w:rsidRPr="006A1DA4">
        <w:rPr>
          <w:i/>
        </w:rPr>
        <w:t>e.g.,</w:t>
      </w:r>
      <w:r w:rsidR="00C64050">
        <w:rPr>
          <w:i/>
        </w:rPr>
        <w:t xml:space="preserve"> </w:t>
      </w:r>
      <w:r w:rsidRPr="006A1DA4">
        <w:rPr>
          <w:i/>
        </w:rPr>
        <w:t>Estate</w:t>
      </w:r>
      <w:r w:rsidR="00C64050">
        <w:rPr>
          <w:i/>
        </w:rPr>
        <w:t xml:space="preserve"> </w:t>
      </w:r>
      <w:r w:rsidRPr="006A1DA4">
        <w:rPr>
          <w:i/>
        </w:rPr>
        <w:t>of</w:t>
      </w:r>
      <w:r w:rsidR="00C64050">
        <w:rPr>
          <w:i/>
        </w:rPr>
        <w:t xml:space="preserve"> </w:t>
      </w:r>
      <w:r w:rsidRPr="006A1DA4">
        <w:rPr>
          <w:i/>
        </w:rPr>
        <w:t>Spiegel</w:t>
      </w:r>
      <w:r w:rsidR="00C64050">
        <w:rPr>
          <w:i/>
        </w:rPr>
        <w:t xml:space="preserve"> </w:t>
      </w:r>
      <w:r w:rsidRPr="006A1DA4">
        <w:rPr>
          <w:i/>
        </w:rPr>
        <w:t>v.</w:t>
      </w:r>
      <w:r w:rsidR="00C64050">
        <w:rPr>
          <w:i/>
        </w:rPr>
        <w:t xml:space="preserve"> </w:t>
      </w:r>
      <w:r w:rsidRPr="006A1DA4">
        <w:rPr>
          <w:i/>
        </w:rPr>
        <w:t>Comm’r</w:t>
      </w:r>
      <w:r>
        <w:t>,</w:t>
      </w:r>
      <w:r w:rsidR="00C64050">
        <w:t xml:space="preserve"> </w:t>
      </w:r>
      <w:r>
        <w:t>335</w:t>
      </w:r>
      <w:r w:rsidR="00C64050">
        <w:t xml:space="preserve"> </w:t>
      </w:r>
      <w:r>
        <w:t>U.S.</w:t>
      </w:r>
      <w:r w:rsidR="00C64050">
        <w:t xml:space="preserve"> </w:t>
      </w:r>
      <w:r>
        <w:t>701,</w:t>
      </w:r>
      <w:r w:rsidR="00C64050">
        <w:t xml:space="preserve"> </w:t>
      </w:r>
      <w:r>
        <w:t>705</w:t>
      </w:r>
      <w:r w:rsidR="00C64050">
        <w:t xml:space="preserve"> </w:t>
      </w:r>
      <w:r>
        <w:t>(1949)</w:t>
      </w:r>
      <w:r w:rsidR="00C64050">
        <w:t xml:space="preserve"> </w:t>
      </w:r>
      <w:r>
        <w:t>(potential</w:t>
      </w:r>
      <w:r w:rsidR="00C64050">
        <w:t xml:space="preserve"> </w:t>
      </w:r>
      <w:r>
        <w:t>reversionary</w:t>
      </w:r>
      <w:r w:rsidR="00C64050">
        <w:t xml:space="preserve"> </w:t>
      </w:r>
      <w:r>
        <w:t>interest</w:t>
      </w:r>
      <w:r w:rsidR="00C64050">
        <w:t xml:space="preserve"> </w:t>
      </w:r>
      <w:r>
        <w:t>in</w:t>
      </w:r>
      <w:r w:rsidR="00C64050">
        <w:t xml:space="preserve"> </w:t>
      </w:r>
      <w:r>
        <w:t>property</w:t>
      </w:r>
      <w:r w:rsidR="00C64050">
        <w:t xml:space="preserve"> </w:t>
      </w:r>
      <w:r>
        <w:t>is</w:t>
      </w:r>
      <w:r w:rsidR="00C64050">
        <w:t xml:space="preserve"> </w:t>
      </w:r>
      <w:r>
        <w:t>possession</w:t>
      </w:r>
      <w:r w:rsidR="00C64050">
        <w:t xml:space="preserve"> </w:t>
      </w:r>
      <w:r>
        <w:t>or</w:t>
      </w:r>
      <w:r w:rsidR="00C64050">
        <w:t xml:space="preserve"> </w:t>
      </w:r>
      <w:r>
        <w:t>enjoyment);</w:t>
      </w:r>
      <w:r w:rsidR="00C64050">
        <w:t xml:space="preserve"> </w:t>
      </w:r>
      <w:r w:rsidRPr="006A1DA4">
        <w:rPr>
          <w:i/>
        </w:rPr>
        <w:t>Fid.-Phila.</w:t>
      </w:r>
      <w:r w:rsidR="00C64050">
        <w:rPr>
          <w:i/>
        </w:rPr>
        <w:t xml:space="preserve"> </w:t>
      </w:r>
      <w:r w:rsidRPr="006A1DA4">
        <w:rPr>
          <w:i/>
        </w:rPr>
        <w:t>Tr.</w:t>
      </w:r>
      <w:r w:rsidR="00C64050">
        <w:rPr>
          <w:i/>
        </w:rPr>
        <w:t xml:space="preserve"> </w:t>
      </w:r>
      <w:r w:rsidRPr="006A1DA4">
        <w:rPr>
          <w:i/>
        </w:rPr>
        <w:t>Co.</w:t>
      </w:r>
      <w:r w:rsidR="00C64050">
        <w:rPr>
          <w:i/>
        </w:rPr>
        <w:t xml:space="preserve"> </w:t>
      </w:r>
      <w:r w:rsidRPr="006A1DA4">
        <w:rPr>
          <w:i/>
        </w:rPr>
        <w:t>v.</w:t>
      </w:r>
      <w:r w:rsidR="00C64050">
        <w:rPr>
          <w:i/>
        </w:rPr>
        <w:t xml:space="preserve"> </w:t>
      </w:r>
      <w:r w:rsidRPr="006A1DA4">
        <w:rPr>
          <w:i/>
        </w:rPr>
        <w:t>Rothensies</w:t>
      </w:r>
      <w:r>
        <w:t>,</w:t>
      </w:r>
      <w:r w:rsidR="00C64050">
        <w:t xml:space="preserve"> </w:t>
      </w:r>
      <w:r>
        <w:t>324</w:t>
      </w:r>
      <w:r w:rsidR="00C64050">
        <w:t xml:space="preserve"> </w:t>
      </w:r>
      <w:r>
        <w:t>U.S.</w:t>
      </w:r>
      <w:r w:rsidR="00C64050">
        <w:t xml:space="preserve"> </w:t>
      </w:r>
      <w:r>
        <w:t>108,</w:t>
      </w:r>
      <w:r w:rsidR="00C64050">
        <w:t xml:space="preserve"> </w:t>
      </w:r>
      <w:r>
        <w:t>111</w:t>
      </w:r>
      <w:r w:rsidR="00C64050">
        <w:t xml:space="preserve"> </w:t>
      </w:r>
      <w:r>
        <w:t>(1945)</w:t>
      </w:r>
      <w:r w:rsidR="00C64050">
        <w:t xml:space="preserve"> </w:t>
      </w:r>
      <w:r>
        <w:t>(beneficiaries’</w:t>
      </w:r>
      <w:r w:rsidR="00C64050">
        <w:t xml:space="preserve"> </w:t>
      </w:r>
      <w:r>
        <w:t>estates</w:t>
      </w:r>
      <w:r w:rsidR="00C64050">
        <w:t xml:space="preserve"> </w:t>
      </w:r>
      <w:r>
        <w:t>“took</w:t>
      </w:r>
      <w:r w:rsidR="00C64050">
        <w:t xml:space="preserve"> </w:t>
      </w:r>
      <w:r>
        <w:t>effect</w:t>
      </w:r>
      <w:r w:rsidR="00C64050">
        <w:t xml:space="preserve"> </w:t>
      </w:r>
      <w:r>
        <w:t>in</w:t>
      </w:r>
      <w:r w:rsidR="00C64050">
        <w:t xml:space="preserve"> </w:t>
      </w:r>
      <w:r>
        <w:t>enjoyment”</w:t>
      </w:r>
      <w:r w:rsidR="00C64050">
        <w:t xml:space="preserve"> </w:t>
      </w:r>
      <w:r>
        <w:t>only</w:t>
      </w:r>
      <w:r w:rsidR="00C64050">
        <w:t xml:space="preserve"> </w:t>
      </w:r>
      <w:r>
        <w:t>at</w:t>
      </w:r>
      <w:r w:rsidR="00C64050">
        <w:t xml:space="preserve"> </w:t>
      </w:r>
      <w:r>
        <w:t>transferor’s</w:t>
      </w:r>
      <w:r w:rsidR="00C64050">
        <w:t xml:space="preserve"> </w:t>
      </w:r>
      <w:r>
        <w:t>death</w:t>
      </w:r>
      <w:r w:rsidR="00C64050">
        <w:t xml:space="preserve"> </w:t>
      </w:r>
      <w:r>
        <w:t>because</w:t>
      </w:r>
      <w:r w:rsidR="00C64050">
        <w:t xml:space="preserve"> </w:t>
      </w:r>
      <w:r>
        <w:t>she</w:t>
      </w:r>
      <w:r w:rsidR="00C64050">
        <w:t xml:space="preserve"> </w:t>
      </w:r>
      <w:r>
        <w:t>held</w:t>
      </w:r>
      <w:r w:rsidR="00C64050">
        <w:t xml:space="preserve"> </w:t>
      </w:r>
      <w:r>
        <w:t>power</w:t>
      </w:r>
      <w:r w:rsidR="00C64050">
        <w:t xml:space="preserve"> </w:t>
      </w:r>
      <w:r>
        <w:t>of</w:t>
      </w:r>
      <w:r w:rsidR="00C64050">
        <w:t xml:space="preserve"> </w:t>
      </w:r>
      <w:r>
        <w:t>appointment);</w:t>
      </w:r>
      <w:r w:rsidR="00C64050">
        <w:t xml:space="preserve"> </w:t>
      </w:r>
      <w:r w:rsidRPr="006A1DA4">
        <w:rPr>
          <w:i/>
        </w:rPr>
        <w:t>Estate</w:t>
      </w:r>
      <w:r w:rsidR="00C64050">
        <w:rPr>
          <w:i/>
        </w:rPr>
        <w:t xml:space="preserve"> </w:t>
      </w:r>
      <w:r w:rsidRPr="006A1DA4">
        <w:rPr>
          <w:i/>
        </w:rPr>
        <w:t>of</w:t>
      </w:r>
      <w:r w:rsidR="00C64050">
        <w:rPr>
          <w:i/>
        </w:rPr>
        <w:t xml:space="preserve"> </w:t>
      </w:r>
      <w:r w:rsidRPr="006A1DA4">
        <w:rPr>
          <w:i/>
        </w:rPr>
        <w:t>McNichol</w:t>
      </w:r>
      <w:r>
        <w:t>,</w:t>
      </w:r>
      <w:r w:rsidR="00C64050">
        <w:t xml:space="preserve"> </w:t>
      </w:r>
      <w:r>
        <w:t>265</w:t>
      </w:r>
      <w:r w:rsidR="00C64050">
        <w:t xml:space="preserve"> </w:t>
      </w:r>
      <w:r>
        <w:t>F.2d</w:t>
      </w:r>
      <w:r w:rsidR="00C64050">
        <w:t xml:space="preserve"> </w:t>
      </w:r>
      <w:r>
        <w:t>at</w:t>
      </w:r>
      <w:r w:rsidR="00C64050">
        <w:t xml:space="preserve"> </w:t>
      </w:r>
      <w:r>
        <w:t>671</w:t>
      </w:r>
      <w:r w:rsidR="00C64050">
        <w:t xml:space="preserve"> </w:t>
      </w:r>
      <w:r>
        <w:t>(rent</w:t>
      </w:r>
      <w:r w:rsidR="00C64050">
        <w:t xml:space="preserve"> </w:t>
      </w:r>
      <w:r>
        <w:t>from</w:t>
      </w:r>
      <w:r w:rsidR="00C64050">
        <w:t xml:space="preserve"> </w:t>
      </w:r>
      <w:r>
        <w:t>property</w:t>
      </w:r>
      <w:r w:rsidR="00C64050">
        <w:t xml:space="preserve"> </w:t>
      </w:r>
      <w:r>
        <w:t>is</w:t>
      </w:r>
      <w:r w:rsidR="00C64050">
        <w:t xml:space="preserve"> </w:t>
      </w:r>
      <w:r>
        <w:t>enjoyment).</w:t>
      </w:r>
      <w:r w:rsidR="00C64050">
        <w:t xml:space="preserve"> </w:t>
      </w:r>
      <w:r>
        <w:t>As</w:t>
      </w:r>
      <w:r w:rsidR="00C64050">
        <w:t xml:space="preserve"> </w:t>
      </w:r>
      <w:r>
        <w:t>far</w:t>
      </w:r>
      <w:r w:rsidR="00C64050">
        <w:t xml:space="preserve"> </w:t>
      </w:r>
      <w:r>
        <w:t>back</w:t>
      </w:r>
      <w:r w:rsidR="00C64050">
        <w:t xml:space="preserve"> </w:t>
      </w:r>
      <w:r>
        <w:t>as</w:t>
      </w:r>
      <w:r w:rsidR="00C64050">
        <w:t xml:space="preserve"> </w:t>
      </w:r>
      <w:r>
        <w:t>the</w:t>
      </w:r>
      <w:r w:rsidR="00C64050">
        <w:t xml:space="preserve"> </w:t>
      </w:r>
      <w:r>
        <w:t>1940s,</w:t>
      </w:r>
      <w:r w:rsidR="00C64050">
        <w:t xml:space="preserve"> </w:t>
      </w:r>
      <w:r>
        <w:t>the</w:t>
      </w:r>
      <w:r w:rsidR="00C64050">
        <w:t xml:space="preserve"> </w:t>
      </w:r>
      <w:r>
        <w:t>Supreme</w:t>
      </w:r>
      <w:r w:rsidR="00C64050">
        <w:t xml:space="preserve"> </w:t>
      </w:r>
      <w:r>
        <w:t>Court</w:t>
      </w:r>
      <w:r w:rsidR="00C64050">
        <w:t xml:space="preserve"> </w:t>
      </w:r>
      <w:r>
        <w:t>rejected</w:t>
      </w:r>
      <w:r w:rsidR="00C64050">
        <w:t xml:space="preserve"> </w:t>
      </w:r>
      <w:r>
        <w:t>the</w:t>
      </w:r>
      <w:r w:rsidR="00C64050">
        <w:t xml:space="preserve"> </w:t>
      </w:r>
      <w:r>
        <w:t>proposition</w:t>
      </w:r>
      <w:r w:rsidR="00C64050">
        <w:t xml:space="preserve"> </w:t>
      </w:r>
      <w:r>
        <w:t>that</w:t>
      </w:r>
      <w:r w:rsidR="00C64050">
        <w:t xml:space="preserve"> </w:t>
      </w:r>
      <w:r>
        <w:t>taxpayers</w:t>
      </w:r>
      <w:r w:rsidR="00C64050">
        <w:t xml:space="preserve"> </w:t>
      </w:r>
      <w:r>
        <w:t>could</w:t>
      </w:r>
      <w:r w:rsidR="00C64050">
        <w:t xml:space="preserve"> </w:t>
      </w:r>
      <w:r>
        <w:t>“escape</w:t>
      </w:r>
      <w:r w:rsidR="00C64050">
        <w:t xml:space="preserve"> </w:t>
      </w:r>
      <w:r>
        <w:t>the</w:t>
      </w:r>
      <w:r w:rsidR="00C64050">
        <w:t xml:space="preserve"> </w:t>
      </w:r>
      <w:r>
        <w:t>force</w:t>
      </w:r>
      <w:r w:rsidR="00C64050">
        <w:t xml:space="preserve"> </w:t>
      </w:r>
      <w:r>
        <w:t>of</w:t>
      </w:r>
      <w:r w:rsidR="00C64050">
        <w:t xml:space="preserve"> </w:t>
      </w:r>
      <w:r>
        <w:t>this</w:t>
      </w:r>
      <w:r w:rsidR="00C64050">
        <w:t xml:space="preserve"> </w:t>
      </w:r>
      <w:r>
        <w:t>section</w:t>
      </w:r>
      <w:r w:rsidR="00C64050">
        <w:t xml:space="preserve"> </w:t>
      </w:r>
      <w:r>
        <w:t>by</w:t>
      </w:r>
      <w:r w:rsidR="00C64050">
        <w:t xml:space="preserve"> </w:t>
      </w:r>
      <w:r>
        <w:t>hiding</w:t>
      </w:r>
      <w:r w:rsidR="00C64050">
        <w:t xml:space="preserve"> </w:t>
      </w:r>
      <w:r>
        <w:t>behind</w:t>
      </w:r>
      <w:r w:rsidR="00C64050">
        <w:t xml:space="preserve"> </w:t>
      </w:r>
      <w:r>
        <w:t>the</w:t>
      </w:r>
      <w:r w:rsidR="00C64050">
        <w:t xml:space="preserve"> </w:t>
      </w:r>
      <w:r>
        <w:t>legal</w:t>
      </w:r>
      <w:r w:rsidR="00C64050">
        <w:t xml:space="preserve"> </w:t>
      </w:r>
      <w:r>
        <w:t>niceties</w:t>
      </w:r>
      <w:r w:rsidR="00C64050">
        <w:t xml:space="preserve"> </w:t>
      </w:r>
      <w:r>
        <w:t>contained</w:t>
      </w:r>
      <w:r w:rsidR="00C64050">
        <w:t xml:space="preserve"> </w:t>
      </w:r>
      <w:r>
        <w:t>in</w:t>
      </w:r>
      <w:r w:rsidR="00C64050">
        <w:t xml:space="preserve"> </w:t>
      </w:r>
      <w:r>
        <w:t>devices</w:t>
      </w:r>
      <w:r w:rsidR="00C64050">
        <w:t xml:space="preserve"> </w:t>
      </w:r>
      <w:r>
        <w:t>and</w:t>
      </w:r>
      <w:r w:rsidR="00C64050">
        <w:t xml:space="preserve"> </w:t>
      </w:r>
      <w:r>
        <w:t>forms</w:t>
      </w:r>
      <w:r w:rsidR="00C64050">
        <w:t xml:space="preserve"> </w:t>
      </w:r>
      <w:r>
        <w:t>created</w:t>
      </w:r>
      <w:r w:rsidR="00C64050">
        <w:t xml:space="preserve"> </w:t>
      </w:r>
      <w:r>
        <w:t>by</w:t>
      </w:r>
      <w:r w:rsidR="00C64050">
        <w:t xml:space="preserve"> </w:t>
      </w:r>
      <w:r>
        <w:t>conveyances.”</w:t>
      </w:r>
      <w:r w:rsidR="00C64050">
        <w:t xml:space="preserve"> </w:t>
      </w:r>
      <w:r w:rsidRPr="006A1DA4">
        <w:rPr>
          <w:i/>
        </w:rPr>
        <w:t>Church’s</w:t>
      </w:r>
      <w:r w:rsidR="00C64050">
        <w:rPr>
          <w:i/>
        </w:rPr>
        <w:t xml:space="preserve"> </w:t>
      </w:r>
      <w:r w:rsidRPr="006A1DA4">
        <w:rPr>
          <w:i/>
        </w:rPr>
        <w:t>Estate</w:t>
      </w:r>
      <w:r>
        <w:t>,</w:t>
      </w:r>
      <w:r w:rsidR="00C64050">
        <w:t xml:space="preserve"> </w:t>
      </w:r>
      <w:r>
        <w:t>335</w:t>
      </w:r>
      <w:r w:rsidR="00C64050">
        <w:t xml:space="preserve"> </w:t>
      </w:r>
      <w:r>
        <w:t>U.S.</w:t>
      </w:r>
      <w:r w:rsidR="00C64050">
        <w:t xml:space="preserve"> </w:t>
      </w:r>
      <w:r>
        <w:t>at</w:t>
      </w:r>
      <w:r w:rsidR="00C64050">
        <w:t xml:space="preserve"> </w:t>
      </w:r>
      <w:r>
        <w:t>646</w:t>
      </w:r>
      <w:r w:rsidR="00C64050">
        <w:t xml:space="preserve"> </w:t>
      </w:r>
      <w:r>
        <w:t>(quotation</w:t>
      </w:r>
      <w:r w:rsidR="00C64050">
        <w:t xml:space="preserve"> </w:t>
      </w:r>
      <w:r>
        <w:t>omitted);</w:t>
      </w:r>
      <w:r w:rsidR="00C64050">
        <w:t xml:space="preserve"> </w:t>
      </w:r>
      <w:r w:rsidRPr="006A1DA4">
        <w:rPr>
          <w:i/>
        </w:rPr>
        <w:t>see</w:t>
      </w:r>
      <w:r w:rsidR="00C64050">
        <w:rPr>
          <w:i/>
        </w:rPr>
        <w:t xml:space="preserve"> </w:t>
      </w:r>
      <w:r w:rsidRPr="006A1DA4">
        <w:rPr>
          <w:i/>
        </w:rPr>
        <w:t>also</w:t>
      </w:r>
      <w:r w:rsidR="00C64050">
        <w:rPr>
          <w:i/>
        </w:rPr>
        <w:t xml:space="preserve"> </w:t>
      </w:r>
      <w:r w:rsidRPr="006A1DA4">
        <w:rPr>
          <w:i/>
        </w:rPr>
        <w:t>Fid.-</w:t>
      </w:r>
      <w:r w:rsidR="00C64050">
        <w:rPr>
          <w:i/>
        </w:rPr>
        <w:t xml:space="preserve"> </w:t>
      </w:r>
      <w:r w:rsidRPr="006A1DA4">
        <w:rPr>
          <w:i/>
        </w:rPr>
        <w:t>Phila.</w:t>
      </w:r>
      <w:r>
        <w:t>,</w:t>
      </w:r>
      <w:r w:rsidR="00C64050">
        <w:t xml:space="preserve"> </w:t>
      </w:r>
      <w:r>
        <w:t>324</w:t>
      </w:r>
      <w:r w:rsidR="00C64050">
        <w:t xml:space="preserve"> </w:t>
      </w:r>
      <w:r>
        <w:t>U.S.</w:t>
      </w:r>
      <w:r w:rsidR="00C64050">
        <w:t xml:space="preserve"> </w:t>
      </w:r>
      <w:r>
        <w:t>at</w:t>
      </w:r>
      <w:r w:rsidR="00C64050">
        <w:t xml:space="preserve"> </w:t>
      </w:r>
      <w:r>
        <w:t>111</w:t>
      </w:r>
      <w:r w:rsidR="00C64050">
        <w:t xml:space="preserve"> </w:t>
      </w:r>
      <w:r>
        <w:t>(“The</w:t>
      </w:r>
      <w:r w:rsidR="00C64050">
        <w:t xml:space="preserve"> </w:t>
      </w:r>
      <w:r>
        <w:t>application</w:t>
      </w:r>
      <w:r w:rsidR="00C64050">
        <w:t xml:space="preserve"> </w:t>
      </w:r>
      <w:r>
        <w:t>of</w:t>
      </w:r>
      <w:r w:rsidR="00C64050">
        <w:t xml:space="preserve"> </w:t>
      </w:r>
      <w:r>
        <w:t>this</w:t>
      </w:r>
      <w:r w:rsidR="00C64050">
        <w:t xml:space="preserve"> </w:t>
      </w:r>
      <w:r>
        <w:t>tax</w:t>
      </w:r>
      <w:r w:rsidR="00C64050">
        <w:t xml:space="preserve"> </w:t>
      </w:r>
      <w:r>
        <w:t>does</w:t>
      </w:r>
      <w:r w:rsidR="00C64050">
        <w:t xml:space="preserve"> </w:t>
      </w:r>
      <w:r>
        <w:t>not</w:t>
      </w:r>
      <w:r w:rsidR="00C64050">
        <w:t xml:space="preserve"> </w:t>
      </w:r>
      <w:r>
        <w:t>depend</w:t>
      </w:r>
      <w:r w:rsidR="00C64050">
        <w:t xml:space="preserve"> </w:t>
      </w:r>
      <w:r>
        <w:t>upon</w:t>
      </w:r>
      <w:r w:rsidR="00C64050">
        <w:t xml:space="preserve"> </w:t>
      </w:r>
      <w:r>
        <w:t>elusive</w:t>
      </w:r>
      <w:r w:rsidR="00C64050">
        <w:t xml:space="preserve"> </w:t>
      </w:r>
      <w:r>
        <w:t>and</w:t>
      </w:r>
      <w:r w:rsidR="00C64050">
        <w:t xml:space="preserve"> </w:t>
      </w:r>
      <w:r>
        <w:t>subtle</w:t>
      </w:r>
      <w:r w:rsidR="00C64050">
        <w:t xml:space="preserve"> </w:t>
      </w:r>
      <w:r>
        <w:t>casuistries.”</w:t>
      </w:r>
      <w:r w:rsidR="00C64050">
        <w:t xml:space="preserve"> </w:t>
      </w:r>
      <w:r>
        <w:t>(quotation</w:t>
      </w:r>
      <w:r w:rsidR="00C64050">
        <w:t xml:space="preserve"> </w:t>
      </w:r>
      <w:r>
        <w:t>omitted)).</w:t>
      </w:r>
      <w:r w:rsidR="00C64050">
        <w:t xml:space="preserve"> </w:t>
      </w:r>
      <w:r>
        <w:t>We</w:t>
      </w:r>
      <w:r w:rsidR="00C64050">
        <w:t xml:space="preserve"> </w:t>
      </w:r>
      <w:r>
        <w:t>reject</w:t>
      </w:r>
      <w:r w:rsidR="00C64050">
        <w:t xml:space="preserve"> </w:t>
      </w:r>
      <w:r>
        <w:t>Badgley’s</w:t>
      </w:r>
      <w:r w:rsidR="00C64050">
        <w:t xml:space="preserve"> </w:t>
      </w:r>
      <w:r>
        <w:t>argument</w:t>
      </w:r>
      <w:r w:rsidR="00C64050">
        <w:t xml:space="preserve"> </w:t>
      </w:r>
      <w:r>
        <w:t>that</w:t>
      </w:r>
      <w:r w:rsidR="00C64050">
        <w:t xml:space="preserve"> </w:t>
      </w:r>
      <w:r>
        <w:t>because</w:t>
      </w:r>
      <w:r w:rsidR="00C64050">
        <w:t xml:space="preserve"> </w:t>
      </w:r>
      <w:r>
        <w:t>§</w:t>
      </w:r>
      <w:r w:rsidR="00C64050">
        <w:t xml:space="preserve"> </w:t>
      </w:r>
      <w:r>
        <w:t>2036(a)(1)</w:t>
      </w:r>
      <w:r w:rsidR="00C64050">
        <w:t xml:space="preserve"> </w:t>
      </w:r>
      <w:r>
        <w:t>does</w:t>
      </w:r>
      <w:r w:rsidR="00C64050">
        <w:t xml:space="preserve"> </w:t>
      </w:r>
      <w:r>
        <w:t>not</w:t>
      </w:r>
      <w:r w:rsidR="00C64050">
        <w:t xml:space="preserve"> </w:t>
      </w:r>
      <w:r>
        <w:t>expressly</w:t>
      </w:r>
      <w:r w:rsidR="00C64050">
        <w:t xml:space="preserve"> </w:t>
      </w:r>
      <w:r>
        <w:t>mention</w:t>
      </w:r>
      <w:r w:rsidR="00C64050">
        <w:t xml:space="preserve"> </w:t>
      </w:r>
      <w:r>
        <w:t>annuities,</w:t>
      </w:r>
      <w:r w:rsidR="00C64050">
        <w:t xml:space="preserve"> </w:t>
      </w:r>
      <w:r>
        <w:t>the</w:t>
      </w:r>
      <w:r w:rsidR="00C64050">
        <w:t xml:space="preserve"> </w:t>
      </w:r>
      <w:r>
        <w:t>full</w:t>
      </w:r>
      <w:r w:rsidR="00C64050">
        <w:t xml:space="preserve"> </w:t>
      </w:r>
      <w:r>
        <w:t>value</w:t>
      </w:r>
      <w:r w:rsidR="00C64050">
        <w:t xml:space="preserve"> </w:t>
      </w:r>
      <w:r>
        <w:t>of</w:t>
      </w:r>
      <w:r w:rsidR="00C64050">
        <w:t xml:space="preserve"> </w:t>
      </w:r>
      <w:r>
        <w:t>Decedent’s</w:t>
      </w:r>
      <w:r w:rsidR="00C64050">
        <w:t xml:space="preserve"> </w:t>
      </w:r>
      <w:r>
        <w:t>GRAT</w:t>
      </w:r>
      <w:r w:rsidR="00C64050">
        <w:t xml:space="preserve"> </w:t>
      </w:r>
      <w:r>
        <w:t>cannot</w:t>
      </w:r>
      <w:r w:rsidR="00C64050">
        <w:t xml:space="preserve"> </w:t>
      </w:r>
      <w:r>
        <w:t>be</w:t>
      </w:r>
      <w:r w:rsidR="00C64050">
        <w:t xml:space="preserve"> </w:t>
      </w:r>
      <w:r>
        <w:t>included</w:t>
      </w:r>
      <w:r w:rsidR="00C64050">
        <w:t xml:space="preserve"> </w:t>
      </w:r>
      <w:r>
        <w:t>in</w:t>
      </w:r>
      <w:r w:rsidR="00C64050">
        <w:t xml:space="preserve"> </w:t>
      </w:r>
      <w:r>
        <w:t>the</w:t>
      </w:r>
      <w:r w:rsidR="00C64050">
        <w:t xml:space="preserve"> </w:t>
      </w:r>
      <w:r>
        <w:t>gross</w:t>
      </w:r>
      <w:r w:rsidR="00C64050">
        <w:t xml:space="preserve"> </w:t>
      </w:r>
      <w:r>
        <w:t>estate.</w:t>
      </w:r>
    </w:p>
    <w:p w:rsidR="003A1DC5" w:rsidRDefault="003A1DC5" w:rsidP="003A1DC5">
      <w:pPr>
        <w:pStyle w:val="Body15"/>
        <w:spacing w:before="240"/>
        <w:jc w:val="center"/>
        <w:rPr>
          <w:lang w:eastAsia="en-GB"/>
        </w:rPr>
      </w:pPr>
      <w:r>
        <w:rPr>
          <w:lang w:eastAsia="en-GB"/>
        </w:rPr>
        <w:t>***</w:t>
      </w:r>
    </w:p>
    <w:p w:rsidR="0093130B" w:rsidRDefault="003A1DC5" w:rsidP="003A1DC5">
      <w:pPr>
        <w:pStyle w:val="QS10"/>
        <w:rPr>
          <w:lang w:eastAsia="en-GB"/>
        </w:rPr>
      </w:pPr>
      <w:r>
        <w:t>In</w:t>
      </w:r>
      <w:r w:rsidR="00C64050">
        <w:t xml:space="preserve"> </w:t>
      </w:r>
      <w:r w:rsidRPr="003A1DC5">
        <w:rPr>
          <w:i/>
        </w:rPr>
        <w:t>Commissioner</w:t>
      </w:r>
      <w:r w:rsidR="00C64050">
        <w:rPr>
          <w:i/>
        </w:rPr>
        <w:t xml:space="preserve"> </w:t>
      </w:r>
      <w:r w:rsidRPr="003A1DC5">
        <w:rPr>
          <w:i/>
        </w:rPr>
        <w:t>v.</w:t>
      </w:r>
      <w:r w:rsidR="00C64050">
        <w:rPr>
          <w:i/>
        </w:rPr>
        <w:t xml:space="preserve"> </w:t>
      </w:r>
      <w:r w:rsidRPr="003A1DC5">
        <w:rPr>
          <w:i/>
        </w:rPr>
        <w:t>Clise</w:t>
      </w:r>
      <w:r>
        <w:t>,</w:t>
      </w:r>
      <w:r w:rsidR="00C64050">
        <w:t xml:space="preserve"> </w:t>
      </w:r>
      <w:r>
        <w:t>122</w:t>
      </w:r>
      <w:r w:rsidR="00C64050">
        <w:t xml:space="preserve"> </w:t>
      </w:r>
      <w:r>
        <w:t>F.2d</w:t>
      </w:r>
      <w:r w:rsidR="00C64050">
        <w:t xml:space="preserve"> </w:t>
      </w:r>
      <w:r>
        <w:t>998</w:t>
      </w:r>
      <w:r w:rsidR="00C64050">
        <w:t xml:space="preserve"> </w:t>
      </w:r>
      <w:r>
        <w:t>(9th</w:t>
      </w:r>
      <w:r w:rsidR="00C64050">
        <w:t xml:space="preserve"> </w:t>
      </w:r>
      <w:r>
        <w:t>Cir.</w:t>
      </w:r>
      <w:r w:rsidR="00C64050">
        <w:t xml:space="preserve"> </w:t>
      </w:r>
      <w:r>
        <w:t>1941),</w:t>
      </w:r>
      <w:r w:rsidR="00C64050">
        <w:t xml:space="preserve"> </w:t>
      </w:r>
      <w:r>
        <w:t>involving</w:t>
      </w:r>
      <w:r w:rsidR="00C64050">
        <w:t xml:space="preserve"> </w:t>
      </w:r>
      <w:r>
        <w:t>annuity</w:t>
      </w:r>
      <w:r w:rsidR="00C64050">
        <w:t xml:space="preserve"> </w:t>
      </w:r>
      <w:r>
        <w:t>contracts</w:t>
      </w:r>
      <w:r w:rsidR="00C64050">
        <w:t xml:space="preserve"> </w:t>
      </w:r>
      <w:r>
        <w:t>outside</w:t>
      </w:r>
      <w:r w:rsidR="00C64050">
        <w:t xml:space="preserve"> </w:t>
      </w:r>
      <w:r>
        <w:t>of</w:t>
      </w:r>
      <w:r w:rsidR="00C64050">
        <w:t xml:space="preserve"> </w:t>
      </w:r>
      <w:r>
        <w:t>the</w:t>
      </w:r>
      <w:r w:rsidR="00C64050">
        <w:t xml:space="preserve"> </w:t>
      </w:r>
      <w:r>
        <w:t>trust</w:t>
      </w:r>
      <w:r w:rsidR="00C64050">
        <w:t xml:space="preserve"> </w:t>
      </w:r>
      <w:r>
        <w:t>context,</w:t>
      </w:r>
      <w:r w:rsidR="00C64050">
        <w:t xml:space="preserve"> </w:t>
      </w:r>
      <w:r>
        <w:t>we</w:t>
      </w:r>
      <w:r w:rsidR="00C64050">
        <w:t xml:space="preserve"> </w:t>
      </w:r>
      <w:r>
        <w:t>concluded</w:t>
      </w:r>
      <w:r w:rsidR="00C64050">
        <w:t xml:space="preserve"> </w:t>
      </w:r>
      <w:r>
        <w:t>that</w:t>
      </w:r>
      <w:r w:rsidR="00C64050">
        <w:t xml:space="preserve"> </w:t>
      </w:r>
      <w:r>
        <w:t>when</w:t>
      </w:r>
      <w:r w:rsidR="00C64050">
        <w:t xml:space="preserve"> </w:t>
      </w:r>
      <w:r>
        <w:t>a</w:t>
      </w:r>
      <w:r w:rsidR="00C64050">
        <w:t xml:space="preserve"> </w:t>
      </w:r>
      <w:r>
        <w:t>grantor</w:t>
      </w:r>
      <w:r w:rsidR="00C64050">
        <w:t xml:space="preserve"> </w:t>
      </w:r>
      <w:r>
        <w:t>retained</w:t>
      </w:r>
      <w:r w:rsidR="00C64050">
        <w:t xml:space="preserve"> </w:t>
      </w:r>
      <w:r>
        <w:t>the</w:t>
      </w:r>
      <w:r w:rsidR="00C64050">
        <w:t xml:space="preserve"> </w:t>
      </w:r>
      <w:r>
        <w:t>“economic</w:t>
      </w:r>
      <w:r w:rsidR="00C64050">
        <w:t xml:space="preserve"> </w:t>
      </w:r>
      <w:r>
        <w:t>benefit”</w:t>
      </w:r>
      <w:r w:rsidR="00C64050">
        <w:t xml:space="preserve"> </w:t>
      </w:r>
      <w:r>
        <w:t>of</w:t>
      </w:r>
      <w:r w:rsidR="00C64050">
        <w:t xml:space="preserve"> </w:t>
      </w:r>
      <w:r>
        <w:t>annuity</w:t>
      </w:r>
      <w:r w:rsidR="00C64050">
        <w:t xml:space="preserve"> </w:t>
      </w:r>
      <w:r>
        <w:t>payments,</w:t>
      </w:r>
      <w:r w:rsidR="00C64050">
        <w:t xml:space="preserve"> </w:t>
      </w:r>
      <w:r>
        <w:t>she</w:t>
      </w:r>
      <w:r w:rsidR="00C64050">
        <w:t xml:space="preserve"> </w:t>
      </w:r>
      <w:r>
        <w:t>retained</w:t>
      </w:r>
      <w:r w:rsidR="00C64050">
        <w:t xml:space="preserve"> </w:t>
      </w:r>
      <w:r>
        <w:t>enjoyment</w:t>
      </w:r>
      <w:r w:rsidR="00C64050">
        <w:t xml:space="preserve"> </w:t>
      </w:r>
      <w:r>
        <w:t>of</w:t>
      </w:r>
      <w:r w:rsidR="00C64050">
        <w:t xml:space="preserve"> </w:t>
      </w:r>
      <w:r>
        <w:t>the</w:t>
      </w:r>
      <w:r w:rsidR="00C64050">
        <w:t xml:space="preserve"> </w:t>
      </w:r>
      <w:r>
        <w:t>property.</w:t>
      </w:r>
      <w:r w:rsidR="00C64050">
        <w:t xml:space="preserve"> </w:t>
      </w:r>
      <w:r w:rsidRPr="003A1DC5">
        <w:rPr>
          <w:i/>
        </w:rPr>
        <w:t>Id.</w:t>
      </w:r>
      <w:r w:rsidR="00C64050">
        <w:t xml:space="preserve"> </w:t>
      </w:r>
      <w:r>
        <w:t>at</w:t>
      </w:r>
      <w:r w:rsidR="00C64050">
        <w:t xml:space="preserve"> </w:t>
      </w:r>
      <w:r>
        <w:t>999,</w:t>
      </w:r>
      <w:r w:rsidR="00C64050">
        <w:t xml:space="preserve"> </w:t>
      </w:r>
      <w:r>
        <w:t>1003–04.</w:t>
      </w:r>
      <w:r w:rsidR="00C64050">
        <w:t xml:space="preserve"> </w:t>
      </w:r>
      <w:r>
        <w:t>Because</w:t>
      </w:r>
      <w:r w:rsidR="00C64050">
        <w:t xml:space="preserve"> </w:t>
      </w:r>
      <w:r>
        <w:t>the</w:t>
      </w:r>
      <w:r w:rsidR="00C64050">
        <w:t xml:space="preserve"> </w:t>
      </w:r>
      <w:r>
        <w:t>annuities</w:t>
      </w:r>
      <w:r w:rsidR="00C64050">
        <w:t xml:space="preserve"> </w:t>
      </w:r>
      <w:r>
        <w:t>went</w:t>
      </w:r>
      <w:r w:rsidR="00C64050">
        <w:t xml:space="preserve"> </w:t>
      </w:r>
      <w:r>
        <w:t>to</w:t>
      </w:r>
      <w:r w:rsidR="00C64050">
        <w:t xml:space="preserve"> </w:t>
      </w:r>
      <w:r>
        <w:t>Clise</w:t>
      </w:r>
      <w:r w:rsidR="00C64050">
        <w:t xml:space="preserve"> </w:t>
      </w:r>
      <w:r>
        <w:t>for</w:t>
      </w:r>
      <w:r w:rsidR="00C64050">
        <w:t xml:space="preserve"> </w:t>
      </w:r>
      <w:r>
        <w:t>her</w:t>
      </w:r>
      <w:r w:rsidR="00C64050">
        <w:t xml:space="preserve"> </w:t>
      </w:r>
      <w:r>
        <w:t>lifetime</w:t>
      </w:r>
      <w:r w:rsidR="00C64050">
        <w:t xml:space="preserve"> </w:t>
      </w:r>
      <w:r>
        <w:t>and</w:t>
      </w:r>
      <w:r w:rsidR="00C64050">
        <w:t xml:space="preserve"> </w:t>
      </w:r>
      <w:r>
        <w:t>to</w:t>
      </w:r>
      <w:r w:rsidR="00C64050">
        <w:t xml:space="preserve"> </w:t>
      </w:r>
      <w:r>
        <w:t>a</w:t>
      </w:r>
      <w:r w:rsidR="00C64050">
        <w:t xml:space="preserve"> </w:t>
      </w:r>
      <w:r>
        <w:t>designated</w:t>
      </w:r>
      <w:r w:rsidR="00C64050">
        <w:t xml:space="preserve"> </w:t>
      </w:r>
      <w:r>
        <w:t>second</w:t>
      </w:r>
      <w:r w:rsidR="00C64050">
        <w:t xml:space="preserve"> </w:t>
      </w:r>
      <w:r>
        <w:t>annuitant</w:t>
      </w:r>
      <w:r w:rsidR="00C64050">
        <w:t xml:space="preserve"> </w:t>
      </w:r>
      <w:r>
        <w:t>upon</w:t>
      </w:r>
      <w:r w:rsidR="00C64050">
        <w:t xml:space="preserve"> </w:t>
      </w:r>
      <w:r>
        <w:t>her</w:t>
      </w:r>
      <w:r w:rsidR="00C64050">
        <w:t xml:space="preserve"> </w:t>
      </w:r>
      <w:r>
        <w:t>death,</w:t>
      </w:r>
      <w:r w:rsidR="00C64050">
        <w:t xml:space="preserve"> </w:t>
      </w:r>
      <w:r>
        <w:t>“[t]he</w:t>
      </w:r>
      <w:r w:rsidR="00C64050">
        <w:t xml:space="preserve"> </w:t>
      </w:r>
      <w:r>
        <w:t>practical</w:t>
      </w:r>
      <w:r w:rsidR="00C64050">
        <w:t xml:space="preserve"> </w:t>
      </w:r>
      <w:r>
        <w:t>effect</w:t>
      </w:r>
      <w:r w:rsidR="00C64050">
        <w:t xml:space="preserve"> </w:t>
      </w:r>
      <w:r>
        <w:t>of</w:t>
      </w:r>
      <w:r w:rsidR="00C64050">
        <w:t xml:space="preserve"> </w:t>
      </w:r>
      <w:r>
        <w:t>the</w:t>
      </w:r>
      <w:r w:rsidR="00C64050">
        <w:t xml:space="preserve"> </w:t>
      </w:r>
      <w:r>
        <w:t>annuity</w:t>
      </w:r>
      <w:r w:rsidR="00C64050">
        <w:t xml:space="preserve"> </w:t>
      </w:r>
      <w:r>
        <w:t>contracts</w:t>
      </w:r>
      <w:r w:rsidR="00C64050">
        <w:t xml:space="preserve"> </w:t>
      </w:r>
      <w:r>
        <w:t>was</w:t>
      </w:r>
      <w:r w:rsidR="00C64050">
        <w:t xml:space="preserve"> </w:t>
      </w:r>
      <w:r>
        <w:t>to</w:t>
      </w:r>
      <w:r w:rsidR="00C64050">
        <w:t xml:space="preserve"> </w:t>
      </w:r>
      <w:r>
        <w:t>reserve</w:t>
      </w:r>
      <w:r w:rsidR="00C64050">
        <w:t xml:space="preserve"> </w:t>
      </w:r>
      <w:r>
        <w:t>to</w:t>
      </w:r>
      <w:r w:rsidR="00C64050">
        <w:t xml:space="preserve"> </w:t>
      </w:r>
      <w:r>
        <w:t>[her]</w:t>
      </w:r>
      <w:r w:rsidR="00C64050">
        <w:t xml:space="preserve"> </w:t>
      </w:r>
      <w:r>
        <w:t>the</w:t>
      </w:r>
      <w:r w:rsidR="00C64050">
        <w:t xml:space="preserve"> </w:t>
      </w:r>
      <w:r>
        <w:t>enjoyment</w:t>
      </w:r>
      <w:r w:rsidR="00C64050">
        <w:t xml:space="preserve"> </w:t>
      </w:r>
      <w:r>
        <w:t>of</w:t>
      </w:r>
      <w:r w:rsidR="00C64050">
        <w:t xml:space="preserve"> </w:t>
      </w:r>
      <w:r>
        <w:t>the</w:t>
      </w:r>
      <w:r w:rsidR="00C64050">
        <w:t xml:space="preserve"> </w:t>
      </w:r>
      <w:r>
        <w:t>property</w:t>
      </w:r>
      <w:r w:rsidR="00C64050">
        <w:t xml:space="preserve"> </w:t>
      </w:r>
      <w:r>
        <w:t>transferred</w:t>
      </w:r>
      <w:r w:rsidR="00C64050">
        <w:t xml:space="preserve"> </w:t>
      </w:r>
      <w:r>
        <w:t>and</w:t>
      </w:r>
      <w:r w:rsidR="00C64050">
        <w:t xml:space="preserve"> </w:t>
      </w:r>
      <w:r>
        <w:t>to</w:t>
      </w:r>
      <w:r w:rsidR="00C64050">
        <w:t xml:space="preserve"> </w:t>
      </w:r>
      <w:r>
        <w:t>postpone</w:t>
      </w:r>
      <w:r w:rsidR="00C64050">
        <w:t xml:space="preserve"> </w:t>
      </w:r>
      <w:r>
        <w:t>the</w:t>
      </w:r>
      <w:r w:rsidR="00C64050">
        <w:t xml:space="preserve"> </w:t>
      </w:r>
      <w:r>
        <w:t>fruition</w:t>
      </w:r>
      <w:r w:rsidR="00C64050">
        <w:t xml:space="preserve"> </w:t>
      </w:r>
      <w:r>
        <w:t>of</w:t>
      </w:r>
      <w:r w:rsidR="00C64050">
        <w:t xml:space="preserve"> </w:t>
      </w:r>
      <w:r>
        <w:t>the</w:t>
      </w:r>
      <w:r w:rsidR="00C64050">
        <w:t xml:space="preserve"> </w:t>
      </w:r>
      <w:r>
        <w:t>economic</w:t>
      </w:r>
      <w:r w:rsidR="00C64050">
        <w:t xml:space="preserve"> </w:t>
      </w:r>
      <w:r>
        <w:t>benefits</w:t>
      </w:r>
      <w:r w:rsidR="00C64050">
        <w:t xml:space="preserve"> </w:t>
      </w:r>
      <w:r>
        <w:t>thereof</w:t>
      </w:r>
      <w:r w:rsidR="00C64050">
        <w:t xml:space="preserve"> </w:t>
      </w:r>
      <w:r>
        <w:t>to</w:t>
      </w:r>
      <w:r w:rsidR="00C64050">
        <w:t xml:space="preserve"> </w:t>
      </w:r>
      <w:r>
        <w:t>the</w:t>
      </w:r>
      <w:r w:rsidR="00C64050">
        <w:t xml:space="preserve"> </w:t>
      </w:r>
      <w:r>
        <w:t>second</w:t>
      </w:r>
      <w:r w:rsidR="00C64050">
        <w:t xml:space="preserve"> </w:t>
      </w:r>
      <w:r>
        <w:t>annuitants</w:t>
      </w:r>
      <w:r w:rsidR="00C64050">
        <w:t xml:space="preserve"> </w:t>
      </w:r>
      <w:r>
        <w:t>until</w:t>
      </w:r>
      <w:r w:rsidR="00C64050">
        <w:t xml:space="preserve"> </w:t>
      </w:r>
      <w:r>
        <w:t>her</w:t>
      </w:r>
      <w:r w:rsidR="00C64050">
        <w:t xml:space="preserve"> </w:t>
      </w:r>
      <w:r>
        <w:t>death.”</w:t>
      </w:r>
      <w:r w:rsidR="00C64050">
        <w:t xml:space="preserve"> </w:t>
      </w:r>
      <w:r w:rsidRPr="003A1DC5">
        <w:rPr>
          <w:i/>
        </w:rPr>
        <w:t>Id.</w:t>
      </w:r>
      <w:r w:rsidR="00C64050">
        <w:t xml:space="preserve"> </w:t>
      </w:r>
      <w:r>
        <w:t>at</w:t>
      </w:r>
      <w:r w:rsidR="00C64050">
        <w:t xml:space="preserve"> </w:t>
      </w:r>
      <w:r>
        <w:t>1004;</w:t>
      </w:r>
      <w:r w:rsidR="00C64050">
        <w:t xml:space="preserve"> </w:t>
      </w:r>
      <w:r w:rsidRPr="003A1DC5">
        <w:rPr>
          <w:i/>
        </w:rPr>
        <w:t>see</w:t>
      </w:r>
      <w:r w:rsidR="00C64050">
        <w:rPr>
          <w:i/>
        </w:rPr>
        <w:t xml:space="preserve"> </w:t>
      </w:r>
      <w:r w:rsidRPr="003A1DC5">
        <w:rPr>
          <w:i/>
        </w:rPr>
        <w:t>also</w:t>
      </w:r>
      <w:r w:rsidR="00C64050">
        <w:rPr>
          <w:i/>
        </w:rPr>
        <w:t xml:space="preserve"> </w:t>
      </w:r>
      <w:r w:rsidRPr="003A1DC5">
        <w:rPr>
          <w:i/>
        </w:rPr>
        <w:t>Forster</w:t>
      </w:r>
      <w:r w:rsidR="00C64050">
        <w:rPr>
          <w:i/>
        </w:rPr>
        <w:t xml:space="preserve"> </w:t>
      </w:r>
      <w:r w:rsidRPr="003A1DC5">
        <w:rPr>
          <w:i/>
        </w:rPr>
        <w:t>v.</w:t>
      </w:r>
      <w:r w:rsidR="00C64050">
        <w:rPr>
          <w:i/>
        </w:rPr>
        <w:t xml:space="preserve"> </w:t>
      </w:r>
      <w:r w:rsidRPr="003A1DC5">
        <w:rPr>
          <w:i/>
        </w:rPr>
        <w:t>Sauber</w:t>
      </w:r>
      <w:r>
        <w:t>,</w:t>
      </w:r>
      <w:r w:rsidR="00C64050">
        <w:t xml:space="preserve"> </w:t>
      </w:r>
      <w:r>
        <w:t>249</w:t>
      </w:r>
      <w:r w:rsidR="00C64050">
        <w:t xml:space="preserve"> </w:t>
      </w:r>
      <w:r>
        <w:t>F.2d</w:t>
      </w:r>
      <w:r w:rsidR="00C64050">
        <w:t xml:space="preserve"> </w:t>
      </w:r>
      <w:r>
        <w:t>379,</w:t>
      </w:r>
      <w:r w:rsidR="00C64050">
        <w:t xml:space="preserve"> </w:t>
      </w:r>
      <w:r>
        <w:t>380</w:t>
      </w:r>
      <w:r w:rsidR="00C64050">
        <w:t xml:space="preserve"> </w:t>
      </w:r>
      <w:r>
        <w:t>(7th</w:t>
      </w:r>
      <w:r w:rsidR="00C64050">
        <w:t xml:space="preserve"> </w:t>
      </w:r>
      <w:r>
        <w:t>Cir.</w:t>
      </w:r>
      <w:r w:rsidR="00C64050">
        <w:t xml:space="preserve"> </w:t>
      </w:r>
      <w:r>
        <w:t>1957)</w:t>
      </w:r>
      <w:r w:rsidR="00C64050">
        <w:t xml:space="preserve"> </w:t>
      </w:r>
      <w:r>
        <w:t>(holding</w:t>
      </w:r>
      <w:r w:rsidR="00C64050">
        <w:t xml:space="preserve"> </w:t>
      </w:r>
      <w:r>
        <w:t>retained</w:t>
      </w:r>
      <w:r w:rsidR="00C64050">
        <w:t xml:space="preserve"> </w:t>
      </w:r>
      <w:r>
        <w:t>annuity</w:t>
      </w:r>
      <w:r w:rsidR="00C64050">
        <w:t xml:space="preserve"> </w:t>
      </w:r>
      <w:r>
        <w:t>includable</w:t>
      </w:r>
      <w:r w:rsidR="00C64050">
        <w:t xml:space="preserve"> </w:t>
      </w:r>
      <w:r>
        <w:t>in</w:t>
      </w:r>
      <w:r w:rsidR="00C64050">
        <w:t xml:space="preserve"> </w:t>
      </w:r>
      <w:r>
        <w:t>gross</w:t>
      </w:r>
      <w:r w:rsidR="00C64050">
        <w:t xml:space="preserve"> </w:t>
      </w:r>
      <w:r>
        <w:t>estate</w:t>
      </w:r>
      <w:r w:rsidR="00C64050">
        <w:t xml:space="preserve"> </w:t>
      </w:r>
      <w:r>
        <w:t>because</w:t>
      </w:r>
      <w:r w:rsidR="00C64050">
        <w:t xml:space="preserve"> </w:t>
      </w:r>
      <w:r>
        <w:t>“grantor</w:t>
      </w:r>
      <w:r w:rsidR="00C64050">
        <w:t xml:space="preserve"> </w:t>
      </w:r>
      <w:r>
        <w:t>has</w:t>
      </w:r>
      <w:r w:rsidR="00C64050">
        <w:t xml:space="preserve"> </w:t>
      </w:r>
      <w:r>
        <w:t>retained</w:t>
      </w:r>
      <w:r w:rsidR="00C64050">
        <w:t xml:space="preserve"> </w:t>
      </w:r>
      <w:r>
        <w:t>the</w:t>
      </w:r>
      <w:r w:rsidR="00C64050">
        <w:t xml:space="preserve"> </w:t>
      </w:r>
      <w:r>
        <w:t>economic</w:t>
      </w:r>
      <w:r w:rsidR="00C64050">
        <w:t xml:space="preserve"> </w:t>
      </w:r>
      <w:r>
        <w:t>enjoyment</w:t>
      </w:r>
      <w:r w:rsidR="00C64050">
        <w:t xml:space="preserve"> </w:t>
      </w:r>
      <w:r>
        <w:t>of</w:t>
      </w:r>
      <w:r w:rsidR="00C64050">
        <w:t xml:space="preserve"> </w:t>
      </w:r>
      <w:r>
        <w:t>the</w:t>
      </w:r>
      <w:r w:rsidR="00C64050">
        <w:t xml:space="preserve"> </w:t>
      </w:r>
      <w:r>
        <w:t>contracts</w:t>
      </w:r>
      <w:r w:rsidR="00C64050">
        <w:t xml:space="preserve"> </w:t>
      </w:r>
      <w:r>
        <w:t>for</w:t>
      </w:r>
      <w:r w:rsidR="00C64050">
        <w:t xml:space="preserve"> </w:t>
      </w:r>
      <w:r>
        <w:t>life”);</w:t>
      </w:r>
      <w:r w:rsidR="00C64050">
        <w:t xml:space="preserve"> </w:t>
      </w:r>
      <w:r w:rsidRPr="003A1DC5">
        <w:rPr>
          <w:i/>
        </w:rPr>
        <w:t>Mearkle’s</w:t>
      </w:r>
      <w:r w:rsidR="00C64050">
        <w:rPr>
          <w:i/>
        </w:rPr>
        <w:t xml:space="preserve"> </w:t>
      </w:r>
      <w:r w:rsidRPr="003A1DC5">
        <w:rPr>
          <w:i/>
        </w:rPr>
        <w:t>Estate</w:t>
      </w:r>
      <w:r w:rsidR="00C64050">
        <w:rPr>
          <w:i/>
        </w:rPr>
        <w:t xml:space="preserve"> </w:t>
      </w:r>
      <w:r w:rsidRPr="003A1DC5">
        <w:rPr>
          <w:i/>
        </w:rPr>
        <w:t>v.</w:t>
      </w:r>
      <w:r w:rsidR="00C64050">
        <w:rPr>
          <w:i/>
        </w:rPr>
        <w:t xml:space="preserve"> </w:t>
      </w:r>
      <w:r w:rsidRPr="003A1DC5">
        <w:rPr>
          <w:i/>
        </w:rPr>
        <w:t>Comm’r</w:t>
      </w:r>
      <w:r>
        <w:t>,</w:t>
      </w:r>
      <w:r w:rsidR="00C64050">
        <w:t xml:space="preserve"> </w:t>
      </w:r>
      <w:r>
        <w:t>129</w:t>
      </w:r>
      <w:r w:rsidR="00C64050">
        <w:t xml:space="preserve"> </w:t>
      </w:r>
      <w:r>
        <w:t>F.2d</w:t>
      </w:r>
      <w:r w:rsidR="00C64050">
        <w:t xml:space="preserve"> </w:t>
      </w:r>
      <w:r>
        <w:t>386,</w:t>
      </w:r>
      <w:r w:rsidR="00C64050">
        <w:t xml:space="preserve"> </w:t>
      </w:r>
      <w:r>
        <w:t>388</w:t>
      </w:r>
      <w:r w:rsidR="00C64050">
        <w:t xml:space="preserve"> </w:t>
      </w:r>
      <w:r>
        <w:t>(3d</w:t>
      </w:r>
      <w:r w:rsidR="00C64050">
        <w:t xml:space="preserve"> </w:t>
      </w:r>
      <w:r>
        <w:t>Cir.</w:t>
      </w:r>
      <w:r w:rsidR="00C64050">
        <w:t xml:space="preserve"> </w:t>
      </w:r>
      <w:r>
        <w:t>1942)</w:t>
      </w:r>
      <w:r w:rsidR="00C64050">
        <w:t xml:space="preserve"> </w:t>
      </w:r>
      <w:r>
        <w:t>(holding</w:t>
      </w:r>
      <w:r w:rsidR="00C64050">
        <w:t xml:space="preserve"> </w:t>
      </w:r>
      <w:r>
        <w:t>annuity</w:t>
      </w:r>
      <w:r w:rsidR="00C64050">
        <w:t xml:space="preserve"> </w:t>
      </w:r>
      <w:r>
        <w:t>contracts</w:t>
      </w:r>
      <w:r w:rsidR="00C64050">
        <w:t xml:space="preserve"> </w:t>
      </w:r>
      <w:r>
        <w:t>includable</w:t>
      </w:r>
      <w:r w:rsidR="00C64050">
        <w:t xml:space="preserve"> </w:t>
      </w:r>
      <w:r>
        <w:t>because</w:t>
      </w:r>
      <w:r w:rsidR="00C64050">
        <w:t xml:space="preserve"> </w:t>
      </w:r>
      <w:r>
        <w:t>their</w:t>
      </w:r>
      <w:r w:rsidR="00C64050">
        <w:t xml:space="preserve"> </w:t>
      </w:r>
      <w:r>
        <w:t>practical</w:t>
      </w:r>
      <w:r w:rsidR="00C64050">
        <w:t xml:space="preserve"> </w:t>
      </w:r>
      <w:r>
        <w:t>effect</w:t>
      </w:r>
      <w:r w:rsidR="00C64050">
        <w:t xml:space="preserve"> </w:t>
      </w:r>
      <w:r>
        <w:t>was</w:t>
      </w:r>
      <w:r w:rsidR="00C64050">
        <w:t xml:space="preserve"> </w:t>
      </w:r>
      <w:r>
        <w:t>“to</w:t>
      </w:r>
      <w:r w:rsidR="00C64050">
        <w:t xml:space="preserve"> </w:t>
      </w:r>
      <w:r>
        <w:t>reserve</w:t>
      </w:r>
      <w:r w:rsidR="00C64050">
        <w:t xml:space="preserve"> </w:t>
      </w:r>
      <w:r>
        <w:t>to</w:t>
      </w:r>
      <w:r w:rsidR="00C64050">
        <w:t xml:space="preserve"> </w:t>
      </w:r>
      <w:r>
        <w:t>the</w:t>
      </w:r>
      <w:r w:rsidR="00C64050">
        <w:t xml:space="preserve"> </w:t>
      </w:r>
      <w:r>
        <w:t>annuitant</w:t>
      </w:r>
      <w:r w:rsidR="00C64050">
        <w:t xml:space="preserve"> </w:t>
      </w:r>
      <w:r>
        <w:t>the</w:t>
      </w:r>
      <w:r w:rsidR="00C64050">
        <w:t xml:space="preserve"> </w:t>
      </w:r>
      <w:r>
        <w:t>enjoyment</w:t>
      </w:r>
      <w:r w:rsidR="00C64050">
        <w:t xml:space="preserve"> </w:t>
      </w:r>
      <w:r>
        <w:t>of</w:t>
      </w:r>
      <w:r w:rsidR="00C64050">
        <w:t xml:space="preserve"> </w:t>
      </w:r>
      <w:r>
        <w:t>the</w:t>
      </w:r>
      <w:r w:rsidR="00C64050">
        <w:t xml:space="preserve"> </w:t>
      </w:r>
      <w:r>
        <w:t>property</w:t>
      </w:r>
      <w:r w:rsidR="00C64050">
        <w:t xml:space="preserve"> </w:t>
      </w:r>
      <w:r>
        <w:t>transferred</w:t>
      </w:r>
      <w:r w:rsidR="00C64050">
        <w:t xml:space="preserve"> </w:t>
      </w:r>
      <w:r>
        <w:t>and</w:t>
      </w:r>
      <w:r w:rsidR="00C64050">
        <w:t xml:space="preserve"> </w:t>
      </w:r>
      <w:r>
        <w:t>to</w:t>
      </w:r>
      <w:r w:rsidR="00C64050">
        <w:t xml:space="preserve"> </w:t>
      </w:r>
      <w:r>
        <w:t>postpone</w:t>
      </w:r>
      <w:r w:rsidR="00C64050">
        <w:t xml:space="preserve"> </w:t>
      </w:r>
      <w:r>
        <w:t>the</w:t>
      </w:r>
      <w:r w:rsidR="00C64050">
        <w:t xml:space="preserve"> </w:t>
      </w:r>
      <w:r>
        <w:t>fruition</w:t>
      </w:r>
      <w:r w:rsidR="00C64050">
        <w:t xml:space="preserve"> </w:t>
      </w:r>
      <w:r>
        <w:t>of</w:t>
      </w:r>
      <w:r w:rsidR="00C64050">
        <w:t xml:space="preserve"> </w:t>
      </w:r>
      <w:r>
        <w:t>the</w:t>
      </w:r>
      <w:r w:rsidR="00C64050">
        <w:t xml:space="preserve"> </w:t>
      </w:r>
      <w:r>
        <w:t>economic</w:t>
      </w:r>
      <w:r w:rsidR="00C64050">
        <w:t xml:space="preserve"> </w:t>
      </w:r>
      <w:r>
        <w:t>benefits</w:t>
      </w:r>
      <w:r w:rsidR="00C64050">
        <w:t xml:space="preserve"> </w:t>
      </w:r>
      <w:r>
        <w:t>to</w:t>
      </w:r>
      <w:r w:rsidR="00C64050">
        <w:t xml:space="preserve"> </w:t>
      </w:r>
      <w:r>
        <w:t>the</w:t>
      </w:r>
      <w:r w:rsidR="00C64050">
        <w:t xml:space="preserve"> </w:t>
      </w:r>
      <w:r>
        <w:t>second</w:t>
      </w:r>
      <w:r w:rsidR="00C64050">
        <w:t xml:space="preserve"> </w:t>
      </w:r>
      <w:r>
        <w:t>annuitant</w:t>
      </w:r>
      <w:r w:rsidR="00C64050">
        <w:t xml:space="preserve"> </w:t>
      </w:r>
      <w:r>
        <w:t>until</w:t>
      </w:r>
      <w:r w:rsidR="00C64050">
        <w:t xml:space="preserve"> </w:t>
      </w:r>
      <w:r>
        <w:t>after</w:t>
      </w:r>
      <w:r w:rsidR="00C64050">
        <w:t xml:space="preserve"> </w:t>
      </w:r>
      <w:r>
        <w:t>the</w:t>
      </w:r>
      <w:r w:rsidR="00C64050">
        <w:t xml:space="preserve"> </w:t>
      </w:r>
      <w:r>
        <w:t>death</w:t>
      </w:r>
      <w:r w:rsidR="00C64050">
        <w:t xml:space="preserve"> </w:t>
      </w:r>
      <w:r>
        <w:t>of</w:t>
      </w:r>
      <w:r w:rsidR="00C64050">
        <w:t xml:space="preserve"> </w:t>
      </w:r>
      <w:r>
        <w:t>the</w:t>
      </w:r>
      <w:r w:rsidR="00C64050">
        <w:t xml:space="preserve"> </w:t>
      </w:r>
      <w:r>
        <w:t>first”).</w:t>
      </w:r>
      <w:r w:rsidR="00C64050">
        <w:t xml:space="preserve"> </w:t>
      </w:r>
      <w:r>
        <w:t>We</w:t>
      </w:r>
      <w:r w:rsidR="00C64050">
        <w:t xml:space="preserve"> </w:t>
      </w:r>
      <w:r>
        <w:t>conclude</w:t>
      </w:r>
      <w:r w:rsidR="00C64050">
        <w:t xml:space="preserve"> </w:t>
      </w:r>
      <w:r>
        <w:t>that</w:t>
      </w:r>
      <w:r w:rsidR="00C64050">
        <w:t xml:space="preserve"> </w:t>
      </w:r>
      <w:r>
        <w:t>when</w:t>
      </w:r>
      <w:r w:rsidR="00C64050">
        <w:t xml:space="preserve"> </w:t>
      </w:r>
      <w:r>
        <w:t>a</w:t>
      </w:r>
      <w:r w:rsidR="00C64050">
        <w:t xml:space="preserve"> </w:t>
      </w:r>
      <w:r>
        <w:t>grantor</w:t>
      </w:r>
      <w:r w:rsidR="00C64050">
        <w:t xml:space="preserve"> </w:t>
      </w:r>
      <w:r>
        <w:t>derives</w:t>
      </w:r>
      <w:r w:rsidR="00C64050">
        <w:t xml:space="preserve"> </w:t>
      </w:r>
      <w:r>
        <w:t>substantial</w:t>
      </w:r>
      <w:r w:rsidR="00C64050">
        <w:t xml:space="preserve"> </w:t>
      </w:r>
      <w:r>
        <w:t>present</w:t>
      </w:r>
      <w:r w:rsidR="00C64050">
        <w:t xml:space="preserve"> </w:t>
      </w:r>
      <w:r>
        <w:t>economic</w:t>
      </w:r>
      <w:r w:rsidR="00C64050">
        <w:t xml:space="preserve"> </w:t>
      </w:r>
      <w:r>
        <w:t>benefit</w:t>
      </w:r>
      <w:r w:rsidR="00C64050">
        <w:t xml:space="preserve"> </w:t>
      </w:r>
      <w:r>
        <w:t>from</w:t>
      </w:r>
      <w:r w:rsidR="00C64050">
        <w:t xml:space="preserve"> </w:t>
      </w:r>
      <w:r>
        <w:t>property,</w:t>
      </w:r>
      <w:r w:rsidR="00C64050">
        <w:t xml:space="preserve"> </w:t>
      </w:r>
      <w:r>
        <w:t>she</w:t>
      </w:r>
      <w:r w:rsidR="00C64050">
        <w:t xml:space="preserve"> </w:t>
      </w:r>
      <w:r>
        <w:t>retains</w:t>
      </w:r>
      <w:r w:rsidR="00C64050">
        <w:t xml:space="preserve"> </w:t>
      </w:r>
      <w:r>
        <w:t>the</w:t>
      </w:r>
      <w:r w:rsidR="00C64050">
        <w:t xml:space="preserve"> </w:t>
      </w:r>
      <w:r>
        <w:t>enjoyment</w:t>
      </w:r>
      <w:r w:rsidR="00C64050">
        <w:t xml:space="preserve"> </w:t>
      </w:r>
      <w:r>
        <w:t>of</w:t>
      </w:r>
      <w:r w:rsidR="00C64050">
        <w:t xml:space="preserve"> </w:t>
      </w:r>
      <w:r>
        <w:t>the</w:t>
      </w:r>
      <w:r w:rsidR="00C64050">
        <w:t xml:space="preserve"> </w:t>
      </w:r>
      <w:r>
        <w:t>property</w:t>
      </w:r>
      <w:r w:rsidR="00C64050">
        <w:t xml:space="preserve"> </w:t>
      </w:r>
      <w:r>
        <w:t>for</w:t>
      </w:r>
      <w:r w:rsidR="00C64050">
        <w:t xml:space="preserve"> </w:t>
      </w:r>
      <w:r>
        <w:t>purposes</w:t>
      </w:r>
      <w:r w:rsidR="00C64050">
        <w:t xml:space="preserve"> </w:t>
      </w:r>
      <w:r>
        <w:t>of</w:t>
      </w:r>
      <w:r w:rsidR="00C64050">
        <w:t xml:space="preserve"> </w:t>
      </w:r>
      <w:r>
        <w:t>§</w:t>
      </w:r>
      <w:r w:rsidR="00C64050">
        <w:t xml:space="preserve"> </w:t>
      </w:r>
      <w:r>
        <w:t>2036(a)(1).5</w:t>
      </w:r>
      <w:r w:rsidR="00C64050">
        <w:t xml:space="preserve"> </w:t>
      </w:r>
      <w:r>
        <w:t>As</w:t>
      </w:r>
      <w:r w:rsidR="00C64050">
        <w:t xml:space="preserve"> </w:t>
      </w:r>
      <w:r>
        <w:t>in</w:t>
      </w:r>
      <w:r w:rsidR="00C64050">
        <w:t xml:space="preserve"> </w:t>
      </w:r>
      <w:r w:rsidRPr="003A1DC5">
        <w:rPr>
          <w:i/>
        </w:rPr>
        <w:t>Clise</w:t>
      </w:r>
      <w:r>
        <w:t>,</w:t>
      </w:r>
      <w:r w:rsidR="00C64050">
        <w:t xml:space="preserve"> </w:t>
      </w:r>
      <w:r>
        <w:t>Decedent’s</w:t>
      </w:r>
      <w:r w:rsidR="00C64050">
        <w:t xml:space="preserve"> </w:t>
      </w:r>
      <w:r>
        <w:t>annuity</w:t>
      </w:r>
      <w:r w:rsidR="00C64050">
        <w:t xml:space="preserve"> </w:t>
      </w:r>
      <w:r>
        <w:t>was</w:t>
      </w:r>
      <w:r w:rsidR="00C64050">
        <w:t xml:space="preserve"> </w:t>
      </w:r>
      <w:r>
        <w:t>a</w:t>
      </w:r>
      <w:r w:rsidR="00C64050">
        <w:t xml:space="preserve"> </w:t>
      </w:r>
      <w:r>
        <w:t>“substantial</w:t>
      </w:r>
      <w:r w:rsidR="00C64050">
        <w:t xml:space="preserve"> </w:t>
      </w:r>
      <w:r>
        <w:t>present</w:t>
      </w:r>
      <w:r w:rsidR="00C64050">
        <w:t xml:space="preserve"> </w:t>
      </w:r>
      <w:r>
        <w:t>economic</w:t>
      </w:r>
      <w:r w:rsidR="00C64050">
        <w:t xml:space="preserve"> </w:t>
      </w:r>
      <w:r>
        <w:t>benefit,”</w:t>
      </w:r>
      <w:r w:rsidR="00C64050">
        <w:t xml:space="preserve"> </w:t>
      </w:r>
      <w:r>
        <w:t>requiring</w:t>
      </w:r>
      <w:r w:rsidR="00C64050">
        <w:t xml:space="preserve"> </w:t>
      </w:r>
      <w:r>
        <w:t>inclusion</w:t>
      </w:r>
      <w:r w:rsidR="00C64050">
        <w:t xml:space="preserve"> </w:t>
      </w:r>
      <w:r>
        <w:t>of</w:t>
      </w:r>
      <w:r w:rsidR="00C64050">
        <w:t xml:space="preserve"> </w:t>
      </w:r>
      <w:r>
        <w:t>the</w:t>
      </w:r>
      <w:r w:rsidR="00C64050">
        <w:t xml:space="preserve"> </w:t>
      </w:r>
      <w:r>
        <w:t>GRAT’s</w:t>
      </w:r>
      <w:r w:rsidR="00C64050">
        <w:t xml:space="preserve"> </w:t>
      </w:r>
      <w:r>
        <w:t>date</w:t>
      </w:r>
      <w:r w:rsidR="00482BD4">
        <w:t xml:space="preserve"> </w:t>
      </w:r>
      <w:r>
        <w:t>of</w:t>
      </w:r>
      <w:r w:rsidR="00482BD4">
        <w:t xml:space="preserve"> </w:t>
      </w:r>
      <w:r>
        <w:t>death</w:t>
      </w:r>
      <w:r w:rsidR="00C64050">
        <w:t xml:space="preserve"> </w:t>
      </w:r>
      <w:r>
        <w:t>value</w:t>
      </w:r>
      <w:r w:rsidR="00C64050">
        <w:t xml:space="preserve"> </w:t>
      </w:r>
      <w:r>
        <w:t>in</w:t>
      </w:r>
      <w:r w:rsidR="00C64050">
        <w:t xml:space="preserve"> </w:t>
      </w:r>
      <w:r>
        <w:t>her</w:t>
      </w:r>
      <w:r w:rsidR="00C64050">
        <w:t xml:space="preserve"> </w:t>
      </w:r>
      <w:r>
        <w:t>estate.</w:t>
      </w:r>
      <w:r w:rsidR="00C64050">
        <w:t xml:space="preserve"> </w:t>
      </w:r>
      <w:r>
        <w:t>She</w:t>
      </w:r>
      <w:r w:rsidR="00C64050">
        <w:t xml:space="preserve"> </w:t>
      </w:r>
      <w:r>
        <w:t>received</w:t>
      </w:r>
      <w:r w:rsidR="00C64050">
        <w:t xml:space="preserve"> </w:t>
      </w:r>
      <w:r>
        <w:t>$302,259</w:t>
      </w:r>
      <w:r w:rsidR="00C64050">
        <w:t xml:space="preserve"> </w:t>
      </w:r>
      <w:r>
        <w:t>per</w:t>
      </w:r>
      <w:r w:rsidR="00C64050">
        <w:t xml:space="preserve"> </w:t>
      </w:r>
      <w:r>
        <w:t>year</w:t>
      </w:r>
      <w:r w:rsidR="00C64050">
        <w:t xml:space="preserve"> </w:t>
      </w:r>
      <w:r>
        <w:t>for</w:t>
      </w:r>
      <w:r w:rsidR="00C64050">
        <w:t xml:space="preserve"> </w:t>
      </w:r>
      <w:r>
        <w:t>fifteen</w:t>
      </w:r>
      <w:r w:rsidR="00C64050">
        <w:t xml:space="preserve"> </w:t>
      </w:r>
      <w:r>
        <w:t>years</w:t>
      </w:r>
      <w:r w:rsidR="00C64050">
        <w:t xml:space="preserve"> </w:t>
      </w:r>
      <w:r>
        <w:t>through</w:t>
      </w:r>
      <w:r w:rsidR="00C64050">
        <w:t xml:space="preserve"> </w:t>
      </w:r>
      <w:r>
        <w:t>the</w:t>
      </w:r>
      <w:r w:rsidR="00C64050">
        <w:t xml:space="preserve"> </w:t>
      </w:r>
      <w:r>
        <w:t>annuity.</w:t>
      </w:r>
      <w:r w:rsidR="00C64050">
        <w:t xml:space="preserve"> </w:t>
      </w:r>
      <w:r>
        <w:t>Moreover,</w:t>
      </w:r>
      <w:r w:rsidR="00C64050">
        <w:t xml:space="preserve"> </w:t>
      </w:r>
      <w:r>
        <w:t>because</w:t>
      </w:r>
      <w:r w:rsidR="00C64050">
        <w:t xml:space="preserve"> </w:t>
      </w:r>
      <w:r>
        <w:t>the</w:t>
      </w:r>
      <w:r w:rsidR="00C64050">
        <w:t xml:space="preserve"> </w:t>
      </w:r>
      <w:r>
        <w:t>partnership</w:t>
      </w:r>
      <w:r w:rsidR="00C64050">
        <w:t xml:space="preserve"> </w:t>
      </w:r>
      <w:r>
        <w:t>was</w:t>
      </w:r>
      <w:r w:rsidR="00C64050">
        <w:t xml:space="preserve"> </w:t>
      </w:r>
      <w:r>
        <w:t>the</w:t>
      </w:r>
      <w:r w:rsidR="00C64050">
        <w:t xml:space="preserve"> </w:t>
      </w:r>
      <w:r>
        <w:t>only</w:t>
      </w:r>
      <w:r w:rsidR="00C64050">
        <w:t xml:space="preserve"> </w:t>
      </w:r>
      <w:r>
        <w:t>property</w:t>
      </w:r>
      <w:r w:rsidR="00C64050">
        <w:t xml:space="preserve"> </w:t>
      </w:r>
      <w:r>
        <w:t>placed</w:t>
      </w:r>
      <w:r w:rsidR="00C64050">
        <w:t xml:space="preserve"> </w:t>
      </w:r>
      <w:r>
        <w:t>in</w:t>
      </w:r>
      <w:r w:rsidR="00C64050">
        <w:t xml:space="preserve"> </w:t>
      </w:r>
      <w:r>
        <w:t>the</w:t>
      </w:r>
      <w:r w:rsidR="00C64050">
        <w:t xml:space="preserve"> </w:t>
      </w:r>
      <w:r>
        <w:t>GRAT,</w:t>
      </w:r>
      <w:r w:rsidR="00C64050">
        <w:t xml:space="preserve"> </w:t>
      </w:r>
      <w:r>
        <w:t>the</w:t>
      </w:r>
      <w:r w:rsidR="00C64050">
        <w:t xml:space="preserve"> </w:t>
      </w:r>
      <w:r>
        <w:t>annuity</w:t>
      </w:r>
      <w:r w:rsidR="00C64050">
        <w:t xml:space="preserve"> </w:t>
      </w:r>
      <w:r>
        <w:t>stemmed</w:t>
      </w:r>
      <w:r w:rsidR="00C64050">
        <w:t xml:space="preserve"> </w:t>
      </w:r>
      <w:r>
        <w:t>from</w:t>
      </w:r>
      <w:r w:rsidR="00C64050">
        <w:t xml:space="preserve"> </w:t>
      </w:r>
      <w:r>
        <w:t>that</w:t>
      </w:r>
      <w:r w:rsidR="00C64050">
        <w:t xml:space="preserve"> </w:t>
      </w:r>
      <w:r>
        <w:t>property</w:t>
      </w:r>
      <w:r w:rsidR="00C64050">
        <w:t xml:space="preserve"> </w:t>
      </w:r>
      <w:r>
        <w:t>interest.</w:t>
      </w:r>
      <w:r w:rsidR="00C64050">
        <w:t xml:space="preserve"> </w:t>
      </w:r>
      <w:r>
        <w:t>As</w:t>
      </w:r>
      <w:r w:rsidR="00C64050">
        <w:t xml:space="preserve"> </w:t>
      </w:r>
      <w:r>
        <w:t>“something</w:t>
      </w:r>
      <w:r w:rsidR="00C64050">
        <w:t xml:space="preserve"> </w:t>
      </w:r>
      <w:r>
        <w:t>of</w:t>
      </w:r>
      <w:r w:rsidR="00C64050">
        <w:t xml:space="preserve"> </w:t>
      </w:r>
      <w:r>
        <w:t>value</w:t>
      </w:r>
      <w:r w:rsidR="00C64050">
        <w:t xml:space="preserve"> </w:t>
      </w:r>
      <w:r>
        <w:t>enjoyed</w:t>
      </w:r>
      <w:r w:rsidR="00C64050">
        <w:t xml:space="preserve"> </w:t>
      </w:r>
      <w:r>
        <w:t>by</w:t>
      </w:r>
      <w:r w:rsidR="00C64050">
        <w:t xml:space="preserve"> </w:t>
      </w:r>
      <w:r>
        <w:t>her,”</w:t>
      </w:r>
      <w:r w:rsidR="00C64050">
        <w:t xml:space="preserve"> </w:t>
      </w:r>
      <w:r w:rsidRPr="003A1DC5">
        <w:rPr>
          <w:i/>
        </w:rPr>
        <w:t>Bayliss</w:t>
      </w:r>
      <w:r w:rsidR="00C64050">
        <w:rPr>
          <w:i/>
        </w:rPr>
        <w:t xml:space="preserve"> </w:t>
      </w:r>
      <w:r w:rsidRPr="003A1DC5">
        <w:rPr>
          <w:i/>
        </w:rPr>
        <w:t>v.</w:t>
      </w:r>
      <w:r w:rsidR="00C64050">
        <w:rPr>
          <w:i/>
        </w:rPr>
        <w:t xml:space="preserve"> </w:t>
      </w:r>
      <w:r w:rsidRPr="003A1DC5">
        <w:rPr>
          <w:i/>
        </w:rPr>
        <w:t>United</w:t>
      </w:r>
      <w:r w:rsidR="00C64050">
        <w:rPr>
          <w:i/>
        </w:rPr>
        <w:t xml:space="preserve"> </w:t>
      </w:r>
      <w:r w:rsidRPr="003A1DC5">
        <w:rPr>
          <w:i/>
        </w:rPr>
        <w:t>States</w:t>
      </w:r>
      <w:r>
        <w:t>,</w:t>
      </w:r>
      <w:r w:rsidR="00C64050">
        <w:t xml:space="preserve"> </w:t>
      </w:r>
      <w:r>
        <w:t>326</w:t>
      </w:r>
      <w:r w:rsidR="00C64050">
        <w:t xml:space="preserve"> </w:t>
      </w:r>
      <w:r>
        <w:t>F.2d</w:t>
      </w:r>
      <w:r w:rsidR="00C64050">
        <w:t xml:space="preserve"> </w:t>
      </w:r>
      <w:r>
        <w:t>458,</w:t>
      </w:r>
      <w:r w:rsidR="00C64050">
        <w:t xml:space="preserve"> </w:t>
      </w:r>
      <w:r>
        <w:t>461</w:t>
      </w:r>
      <w:r w:rsidR="00C64050">
        <w:t xml:space="preserve"> </w:t>
      </w:r>
      <w:r>
        <w:t>(4th</w:t>
      </w:r>
      <w:r w:rsidR="00C64050">
        <w:t xml:space="preserve"> </w:t>
      </w:r>
      <w:r>
        <w:t>Cir.</w:t>
      </w:r>
      <w:r w:rsidR="00C64050">
        <w:t xml:space="preserve"> </w:t>
      </w:r>
      <w:r>
        <w:t>1964),</w:t>
      </w:r>
      <w:r w:rsidR="00C64050">
        <w:t xml:space="preserve"> </w:t>
      </w:r>
      <w:r>
        <w:t>the</w:t>
      </w:r>
      <w:r w:rsidR="00C64050">
        <w:t xml:space="preserve"> </w:t>
      </w:r>
      <w:r>
        <w:t>annuity</w:t>
      </w:r>
      <w:r w:rsidR="00C64050">
        <w:t xml:space="preserve"> </w:t>
      </w:r>
      <w:r>
        <w:t>reserved</w:t>
      </w:r>
      <w:r w:rsidR="00C64050">
        <w:t xml:space="preserve"> </w:t>
      </w:r>
      <w:r>
        <w:t>to</w:t>
      </w:r>
      <w:r w:rsidR="00C64050">
        <w:t xml:space="preserve"> </w:t>
      </w:r>
      <w:r>
        <w:t>Decedent</w:t>
      </w:r>
      <w:r w:rsidR="00C64050">
        <w:t xml:space="preserve"> </w:t>
      </w:r>
      <w:r>
        <w:t>the</w:t>
      </w:r>
      <w:r w:rsidR="00C64050">
        <w:t xml:space="preserve"> </w:t>
      </w:r>
      <w:r>
        <w:t>enjoyment</w:t>
      </w:r>
      <w:r w:rsidR="00C64050">
        <w:t xml:space="preserve"> </w:t>
      </w:r>
      <w:r>
        <w:t>of</w:t>
      </w:r>
      <w:r w:rsidR="00C64050">
        <w:t xml:space="preserve"> </w:t>
      </w:r>
      <w:r>
        <w:t>the</w:t>
      </w:r>
      <w:r w:rsidR="00C64050">
        <w:t xml:space="preserve"> </w:t>
      </w:r>
      <w:r>
        <w:t>partnership</w:t>
      </w:r>
      <w:r w:rsidR="00C64050">
        <w:t xml:space="preserve"> </w:t>
      </w:r>
      <w:r>
        <w:t>interest</w:t>
      </w:r>
      <w:r w:rsidR="00C64050">
        <w:t xml:space="preserve"> </w:t>
      </w:r>
      <w:r>
        <w:t>during</w:t>
      </w:r>
      <w:r w:rsidR="00C64050">
        <w:t xml:space="preserve"> </w:t>
      </w:r>
      <w:r>
        <w:t>her</w:t>
      </w:r>
      <w:r w:rsidR="00C64050">
        <w:t xml:space="preserve"> </w:t>
      </w:r>
      <w:r>
        <w:t>lifetime.</w:t>
      </w:r>
      <w:r w:rsidR="00C64050">
        <w:t xml:space="preserve"> </w:t>
      </w:r>
      <w:r>
        <w:t>And</w:t>
      </w:r>
      <w:r w:rsidR="00C64050">
        <w:t xml:space="preserve"> </w:t>
      </w:r>
      <w:r>
        <w:t>because</w:t>
      </w:r>
      <w:r w:rsidR="00C64050">
        <w:t xml:space="preserve"> </w:t>
      </w:r>
      <w:r>
        <w:t>Decedent</w:t>
      </w:r>
      <w:r w:rsidR="00C64050">
        <w:t xml:space="preserve"> </w:t>
      </w:r>
      <w:r>
        <w:t>died</w:t>
      </w:r>
      <w:r w:rsidR="00C64050">
        <w:t xml:space="preserve"> </w:t>
      </w:r>
      <w:r>
        <w:t>before</w:t>
      </w:r>
      <w:r w:rsidR="00C64050">
        <w:t xml:space="preserve"> </w:t>
      </w:r>
      <w:r>
        <w:t>the</w:t>
      </w:r>
      <w:r w:rsidR="00C64050">
        <w:t xml:space="preserve"> </w:t>
      </w:r>
      <w:r>
        <w:t>termination</w:t>
      </w:r>
      <w:r w:rsidR="00C64050">
        <w:t xml:space="preserve"> </w:t>
      </w:r>
      <w:r>
        <w:t>of</w:t>
      </w:r>
      <w:r w:rsidR="00C64050">
        <w:t xml:space="preserve"> </w:t>
      </w:r>
      <w:r>
        <w:t>the</w:t>
      </w:r>
      <w:r w:rsidR="00C64050">
        <w:t xml:space="preserve"> </w:t>
      </w:r>
      <w:r>
        <w:t>GRAT,</w:t>
      </w:r>
      <w:r w:rsidR="00C64050">
        <w:t xml:space="preserve"> </w:t>
      </w:r>
      <w:r>
        <w:t>the</w:t>
      </w:r>
      <w:r w:rsidR="00C64050">
        <w:t xml:space="preserve"> </w:t>
      </w:r>
      <w:r>
        <w:t>property</w:t>
      </w:r>
      <w:r w:rsidR="00C64050">
        <w:t xml:space="preserve"> </w:t>
      </w:r>
      <w:r>
        <w:t>was</w:t>
      </w:r>
      <w:r w:rsidR="00C64050">
        <w:t xml:space="preserve"> </w:t>
      </w:r>
      <w:r>
        <w:t>not</w:t>
      </w:r>
      <w:r w:rsidR="00C64050">
        <w:t xml:space="preserve"> </w:t>
      </w:r>
      <w:r>
        <w:t>transferred</w:t>
      </w:r>
      <w:r w:rsidR="00C64050">
        <w:t xml:space="preserve"> </w:t>
      </w:r>
      <w:r>
        <w:t>to</w:t>
      </w:r>
      <w:r w:rsidR="00C64050">
        <w:t xml:space="preserve"> </w:t>
      </w:r>
      <w:r>
        <w:t>its</w:t>
      </w:r>
      <w:r w:rsidR="00C64050">
        <w:t xml:space="preserve"> </w:t>
      </w:r>
      <w:r>
        <w:t>beneficiaries</w:t>
      </w:r>
      <w:r w:rsidR="00C64050">
        <w:t xml:space="preserve"> </w:t>
      </w:r>
      <w:r>
        <w:t>before</w:t>
      </w:r>
      <w:r w:rsidR="00C64050">
        <w:t xml:space="preserve"> </w:t>
      </w:r>
      <w:r>
        <w:t>her</w:t>
      </w:r>
      <w:r w:rsidR="00C64050">
        <w:t xml:space="preserve"> </w:t>
      </w:r>
      <w:r>
        <w:t>death—and</w:t>
      </w:r>
      <w:r w:rsidR="00C64050">
        <w:t xml:space="preserve"> </w:t>
      </w:r>
      <w:r>
        <w:t>remained</w:t>
      </w:r>
      <w:r w:rsidR="00C64050">
        <w:t xml:space="preserve"> </w:t>
      </w:r>
      <w:r>
        <w:t>tied</w:t>
      </w:r>
      <w:r w:rsidR="00C64050">
        <w:t xml:space="preserve"> </w:t>
      </w:r>
      <w:r>
        <w:t>to</w:t>
      </w:r>
      <w:r w:rsidR="00C64050">
        <w:t xml:space="preserve"> </w:t>
      </w:r>
      <w:r>
        <w:t>her</w:t>
      </w:r>
      <w:r w:rsidR="00C64050">
        <w:t xml:space="preserve"> </w:t>
      </w:r>
      <w:r>
        <w:t>by</w:t>
      </w:r>
      <w:r w:rsidR="00C64050">
        <w:t xml:space="preserve"> </w:t>
      </w:r>
      <w:r>
        <w:t>the</w:t>
      </w:r>
      <w:r w:rsidR="00C64050">
        <w:t xml:space="preserve"> </w:t>
      </w:r>
      <w:r>
        <w:t>string</w:t>
      </w:r>
      <w:r w:rsidR="00C64050">
        <w:t xml:space="preserve"> </w:t>
      </w:r>
      <w:r>
        <w:t>she</w:t>
      </w:r>
      <w:r w:rsidR="00C64050">
        <w:t xml:space="preserve"> </w:t>
      </w:r>
      <w:r>
        <w:t>created.</w:t>
      </w:r>
    </w:p>
    <w:p w:rsidR="005817FF" w:rsidRDefault="0093130B" w:rsidP="003A1DC5">
      <w:pPr>
        <w:pStyle w:val="QS10"/>
        <w:jc w:val="center"/>
        <w:rPr>
          <w:lang w:eastAsia="en-GB"/>
        </w:rPr>
      </w:pPr>
      <w:r>
        <w:rPr>
          <w:lang w:eastAsia="en-GB"/>
        </w:rPr>
        <w:t>***</w:t>
      </w:r>
    </w:p>
    <w:p w:rsidR="0093130B" w:rsidRDefault="003A1DC5" w:rsidP="003A1DC5">
      <w:pPr>
        <w:pStyle w:val="QS10"/>
        <w:rPr>
          <w:lang w:eastAsia="en-GB"/>
        </w:rPr>
      </w:pPr>
      <w:r>
        <w:t>Badgley</w:t>
      </w:r>
      <w:r w:rsidR="00C64050">
        <w:t xml:space="preserve"> </w:t>
      </w:r>
      <w:r>
        <w:t>also</w:t>
      </w:r>
      <w:r w:rsidR="00C64050">
        <w:t xml:space="preserve"> </w:t>
      </w:r>
      <w:r>
        <w:t>challenges</w:t>
      </w:r>
      <w:r w:rsidR="00C64050">
        <w:t xml:space="preserve"> </w:t>
      </w:r>
      <w:r>
        <w:t>26</w:t>
      </w:r>
      <w:r w:rsidR="00C64050">
        <w:t xml:space="preserve"> </w:t>
      </w:r>
      <w:r>
        <w:t>C.F.R.</w:t>
      </w:r>
      <w:r w:rsidR="00C64050">
        <w:t xml:space="preserve"> </w:t>
      </w:r>
      <w:r>
        <w:t>§</w:t>
      </w:r>
      <w:r w:rsidR="00C64050">
        <w:t xml:space="preserve"> </w:t>
      </w:r>
      <w:r>
        <w:t>20.2036-1(c)(2),</w:t>
      </w:r>
      <w:r w:rsidR="00C64050">
        <w:t xml:space="preserve"> </w:t>
      </w:r>
      <w:r>
        <w:t>which</w:t>
      </w:r>
      <w:r w:rsidR="00C64050">
        <w:t xml:space="preserve"> </w:t>
      </w:r>
      <w:r>
        <w:t>includes</w:t>
      </w:r>
      <w:r w:rsidR="00C64050">
        <w:t xml:space="preserve"> </w:t>
      </w:r>
      <w:r>
        <w:t>the</w:t>
      </w:r>
      <w:r w:rsidR="00C64050">
        <w:t xml:space="preserve"> </w:t>
      </w:r>
      <w:r>
        <w:t>formula</w:t>
      </w:r>
      <w:r w:rsidR="00C64050">
        <w:t xml:space="preserve"> </w:t>
      </w:r>
      <w:r>
        <w:t>the</w:t>
      </w:r>
      <w:r w:rsidR="00C64050">
        <w:t xml:space="preserve"> </w:t>
      </w:r>
      <w:r>
        <w:t>IRS</w:t>
      </w:r>
      <w:r w:rsidR="00C64050">
        <w:t xml:space="preserve"> </w:t>
      </w:r>
      <w:r>
        <w:t>uses</w:t>
      </w:r>
      <w:r w:rsidR="00C64050">
        <w:t xml:space="preserve"> </w:t>
      </w:r>
      <w:r>
        <w:t>to</w:t>
      </w:r>
      <w:r w:rsidR="00C64050">
        <w:t xml:space="preserve"> </w:t>
      </w:r>
      <w:r>
        <w:t>calculate</w:t>
      </w:r>
      <w:r w:rsidR="00C64050">
        <w:t xml:space="preserve"> </w:t>
      </w:r>
      <w:r>
        <w:t>the</w:t>
      </w:r>
      <w:r w:rsidR="00C64050">
        <w:t xml:space="preserve"> </w:t>
      </w:r>
      <w:r>
        <w:t>portion</w:t>
      </w:r>
      <w:r w:rsidR="00C64050">
        <w:t xml:space="preserve"> </w:t>
      </w:r>
      <w:r>
        <w:t>of</w:t>
      </w:r>
      <w:r w:rsidR="00C64050">
        <w:t xml:space="preserve"> </w:t>
      </w:r>
      <w:r>
        <w:t>the</w:t>
      </w:r>
      <w:r w:rsidR="00C64050">
        <w:t xml:space="preserve"> </w:t>
      </w:r>
      <w:r>
        <w:t>property</w:t>
      </w:r>
      <w:r w:rsidR="00C64050">
        <w:t xml:space="preserve"> </w:t>
      </w:r>
      <w:r>
        <w:t>includable</w:t>
      </w:r>
      <w:r w:rsidR="00C64050">
        <w:t xml:space="preserve"> </w:t>
      </w:r>
      <w:r>
        <w:t>under</w:t>
      </w:r>
      <w:r w:rsidR="00C64050">
        <w:t xml:space="preserve"> </w:t>
      </w:r>
      <w:r>
        <w:t>§</w:t>
      </w:r>
      <w:r w:rsidR="00C64050">
        <w:t xml:space="preserve"> </w:t>
      </w:r>
      <w:r>
        <w:t>2036(a).</w:t>
      </w:r>
      <w:r w:rsidR="00C64050">
        <w:t xml:space="preserve"> </w:t>
      </w:r>
      <w:r>
        <w:t>The</w:t>
      </w:r>
      <w:r w:rsidR="00C64050">
        <w:t xml:space="preserve"> </w:t>
      </w:r>
      <w:r>
        <w:t>regulation</w:t>
      </w:r>
      <w:r w:rsidR="00C64050">
        <w:t xml:space="preserve"> </w:t>
      </w:r>
      <w:r>
        <w:t>interprets</w:t>
      </w:r>
      <w:r w:rsidR="00C64050">
        <w:t xml:space="preserve"> </w:t>
      </w:r>
      <w:r>
        <w:t>§</w:t>
      </w:r>
      <w:r w:rsidR="00C64050">
        <w:t xml:space="preserve"> </w:t>
      </w:r>
      <w:r>
        <w:t>2036(a)</w:t>
      </w:r>
      <w:r w:rsidR="00C64050">
        <w:t xml:space="preserve"> </w:t>
      </w:r>
      <w:r>
        <w:t>to</w:t>
      </w:r>
      <w:r w:rsidR="00C64050">
        <w:t xml:space="preserve"> </w:t>
      </w:r>
      <w:r>
        <w:t>provide</w:t>
      </w:r>
      <w:r w:rsidR="00C64050">
        <w:t xml:space="preserve"> </w:t>
      </w:r>
      <w:r>
        <w:t>that</w:t>
      </w:r>
      <w:r w:rsidR="00C64050">
        <w:t xml:space="preserve"> </w:t>
      </w:r>
      <w:r>
        <w:t>GRATs</w:t>
      </w:r>
      <w:r w:rsidR="00C64050">
        <w:t xml:space="preserve"> </w:t>
      </w:r>
      <w:r>
        <w:t>are</w:t>
      </w:r>
      <w:r w:rsidR="00C64050">
        <w:t xml:space="preserve"> </w:t>
      </w:r>
      <w:r>
        <w:t>includable</w:t>
      </w:r>
      <w:r w:rsidR="00C64050">
        <w:t xml:space="preserve"> </w:t>
      </w:r>
      <w:r>
        <w:t>in</w:t>
      </w:r>
      <w:r w:rsidR="00C64050">
        <w:t xml:space="preserve"> </w:t>
      </w:r>
      <w:r>
        <w:t>a</w:t>
      </w:r>
      <w:r w:rsidR="00C64050">
        <w:t xml:space="preserve"> </w:t>
      </w:r>
      <w:r>
        <w:t>grantor’s</w:t>
      </w:r>
      <w:r w:rsidR="00C64050">
        <w:t xml:space="preserve"> </w:t>
      </w:r>
      <w:r>
        <w:t>gross</w:t>
      </w:r>
      <w:r w:rsidR="00C64050">
        <w:t xml:space="preserve"> </w:t>
      </w:r>
      <w:r>
        <w:t>estate</w:t>
      </w:r>
      <w:r w:rsidR="00C64050">
        <w:t xml:space="preserve"> </w:t>
      </w:r>
      <w:r>
        <w:t>because</w:t>
      </w:r>
      <w:r w:rsidR="00C64050">
        <w:t xml:space="preserve"> </w:t>
      </w:r>
      <w:r>
        <w:t>they</w:t>
      </w:r>
      <w:r w:rsidR="00C64050">
        <w:t xml:space="preserve"> </w:t>
      </w:r>
      <w:r>
        <w:t>are</w:t>
      </w:r>
      <w:r w:rsidR="00C64050">
        <w:t xml:space="preserve"> </w:t>
      </w:r>
      <w:r>
        <w:t>sufficiently</w:t>
      </w:r>
      <w:r w:rsidR="00C64050">
        <w:t xml:space="preserve"> </w:t>
      </w:r>
      <w:r>
        <w:t>tied</w:t>
      </w:r>
      <w:r w:rsidR="00C64050">
        <w:t xml:space="preserve"> </w:t>
      </w:r>
      <w:r>
        <w:t>to</w:t>
      </w:r>
      <w:r w:rsidR="00C64050">
        <w:t xml:space="preserve"> </w:t>
      </w:r>
      <w:r>
        <w:t>the</w:t>
      </w:r>
      <w:r w:rsidR="00C64050">
        <w:t xml:space="preserve"> </w:t>
      </w:r>
      <w:r>
        <w:t>grantor.7</w:t>
      </w:r>
      <w:r w:rsidR="00C64050">
        <w:t xml:space="preserve"> </w:t>
      </w:r>
      <w:r>
        <w:t>Badgley’s</w:t>
      </w:r>
      <w:r w:rsidR="00C64050">
        <w:t xml:space="preserve"> </w:t>
      </w:r>
      <w:r>
        <w:t>argument</w:t>
      </w:r>
      <w:r w:rsidR="00C64050">
        <w:t xml:space="preserve"> </w:t>
      </w:r>
      <w:r>
        <w:t>regarding</w:t>
      </w:r>
      <w:r w:rsidR="00C64050">
        <w:t xml:space="preserve"> </w:t>
      </w:r>
      <w:r>
        <w:t>the</w:t>
      </w:r>
      <w:r w:rsidR="00C64050">
        <w:t xml:space="preserve"> </w:t>
      </w:r>
      <w:r>
        <w:t>formula</w:t>
      </w:r>
      <w:r w:rsidR="00C64050">
        <w:t xml:space="preserve"> </w:t>
      </w:r>
      <w:r>
        <w:t>is</w:t>
      </w:r>
      <w:r w:rsidR="00C64050">
        <w:t xml:space="preserve"> </w:t>
      </w:r>
      <w:r>
        <w:t>limited</w:t>
      </w:r>
      <w:r w:rsidR="00C64050">
        <w:t xml:space="preserve"> </w:t>
      </w:r>
      <w:r>
        <w:t>to</w:t>
      </w:r>
      <w:r w:rsidR="00C64050">
        <w:t xml:space="preserve"> </w:t>
      </w:r>
      <w:r>
        <w:t>two</w:t>
      </w:r>
      <w:r w:rsidR="00C64050">
        <w:t xml:space="preserve"> </w:t>
      </w:r>
      <w:r>
        <w:t>sentences</w:t>
      </w:r>
      <w:r w:rsidR="00C64050">
        <w:t xml:space="preserve"> </w:t>
      </w:r>
      <w:r>
        <w:t>and</w:t>
      </w:r>
      <w:r w:rsidR="00C64050">
        <w:t xml:space="preserve"> </w:t>
      </w:r>
      <w:r>
        <w:t>two</w:t>
      </w:r>
      <w:r w:rsidR="00C64050">
        <w:t xml:space="preserve"> </w:t>
      </w:r>
      <w:r>
        <w:t>footnotes,</w:t>
      </w:r>
      <w:r w:rsidR="00C64050">
        <w:t xml:space="preserve"> </w:t>
      </w:r>
      <w:r>
        <w:t>without</w:t>
      </w:r>
      <w:r w:rsidR="00C64050">
        <w:t xml:space="preserve"> </w:t>
      </w:r>
      <w:r>
        <w:t>a</w:t>
      </w:r>
      <w:r w:rsidR="00C64050">
        <w:t xml:space="preserve"> </w:t>
      </w:r>
      <w:r>
        <w:t>single</w:t>
      </w:r>
      <w:r w:rsidR="00C64050">
        <w:t xml:space="preserve"> </w:t>
      </w:r>
      <w:r>
        <w:t>citation</w:t>
      </w:r>
      <w:r w:rsidR="00C64050">
        <w:t xml:space="preserve"> </w:t>
      </w:r>
      <w:r>
        <w:t>to</w:t>
      </w:r>
      <w:r w:rsidR="00C64050">
        <w:t xml:space="preserve"> </w:t>
      </w:r>
      <w:r>
        <w:t>legal</w:t>
      </w:r>
      <w:r w:rsidR="00C64050">
        <w:t xml:space="preserve"> </w:t>
      </w:r>
      <w:r>
        <w:t>authority.</w:t>
      </w:r>
      <w:r w:rsidR="00C64050">
        <w:t xml:space="preserve"> </w:t>
      </w:r>
      <w:r>
        <w:t>As</w:t>
      </w:r>
      <w:r w:rsidR="00C64050">
        <w:t xml:space="preserve"> </w:t>
      </w:r>
      <w:r>
        <w:t>we</w:t>
      </w:r>
      <w:r w:rsidR="00C64050">
        <w:t xml:space="preserve"> </w:t>
      </w:r>
      <w:r>
        <w:t>have</w:t>
      </w:r>
      <w:r w:rsidR="00C64050">
        <w:t xml:space="preserve"> </w:t>
      </w:r>
      <w:r>
        <w:t>previously</w:t>
      </w:r>
      <w:r w:rsidR="00C64050">
        <w:t xml:space="preserve"> </w:t>
      </w:r>
      <w:r>
        <w:t>held,</w:t>
      </w:r>
      <w:r w:rsidR="00C64050">
        <w:t xml:space="preserve"> </w:t>
      </w:r>
      <w:r>
        <w:t>arguments</w:t>
      </w:r>
      <w:r w:rsidR="00C64050">
        <w:t xml:space="preserve"> </w:t>
      </w:r>
      <w:r>
        <w:t>presented</w:t>
      </w:r>
      <w:r w:rsidR="00C64050">
        <w:t xml:space="preserve"> </w:t>
      </w:r>
      <w:r>
        <w:t>in</w:t>
      </w:r>
      <w:r w:rsidR="00C64050">
        <w:t xml:space="preserve"> </w:t>
      </w:r>
      <w:r>
        <w:t>such</w:t>
      </w:r>
      <w:r w:rsidR="00C64050">
        <w:t xml:space="preserve"> </w:t>
      </w:r>
      <w:r>
        <w:t>a</w:t>
      </w:r>
      <w:r w:rsidR="00C64050">
        <w:t xml:space="preserve"> </w:t>
      </w:r>
      <w:r>
        <w:t>cursory</w:t>
      </w:r>
      <w:r w:rsidR="00C64050">
        <w:t xml:space="preserve"> </w:t>
      </w:r>
      <w:r>
        <w:t>manner</w:t>
      </w:r>
      <w:r w:rsidR="00C64050">
        <w:t xml:space="preserve"> </w:t>
      </w:r>
      <w:r>
        <w:t>are</w:t>
      </w:r>
      <w:r w:rsidR="00C64050">
        <w:t xml:space="preserve"> </w:t>
      </w:r>
      <w:r>
        <w:t>waived.</w:t>
      </w:r>
      <w:r w:rsidR="00C64050">
        <w:t xml:space="preserve"> </w:t>
      </w:r>
      <w:r>
        <w:t>Federal</w:t>
      </w:r>
      <w:r w:rsidR="00C64050">
        <w:t xml:space="preserve"> </w:t>
      </w:r>
      <w:r>
        <w:t>Rule</w:t>
      </w:r>
      <w:r w:rsidR="00C64050">
        <w:t xml:space="preserve"> </w:t>
      </w:r>
      <w:r>
        <w:t>of</w:t>
      </w:r>
      <w:r w:rsidR="00C64050">
        <w:t xml:space="preserve"> </w:t>
      </w:r>
      <w:r>
        <w:t>Appellate</w:t>
      </w:r>
      <w:r w:rsidR="00C64050">
        <w:t xml:space="preserve"> </w:t>
      </w:r>
      <w:r>
        <w:t>Procedure</w:t>
      </w:r>
      <w:r w:rsidR="00C64050">
        <w:t xml:space="preserve"> </w:t>
      </w:r>
      <w:r>
        <w:t>28(a)(8)(A)</w:t>
      </w:r>
      <w:r w:rsidR="00C64050">
        <w:t xml:space="preserve"> </w:t>
      </w:r>
      <w:r>
        <w:t>requires</w:t>
      </w:r>
      <w:r w:rsidR="00C64050">
        <w:t xml:space="preserve"> </w:t>
      </w:r>
      <w:r>
        <w:t>an</w:t>
      </w:r>
      <w:r w:rsidR="00C64050">
        <w:t xml:space="preserve"> </w:t>
      </w:r>
      <w:r>
        <w:t>appellant’s</w:t>
      </w:r>
      <w:r w:rsidR="00C64050">
        <w:t xml:space="preserve"> </w:t>
      </w:r>
      <w:r>
        <w:t>opening</w:t>
      </w:r>
      <w:r w:rsidR="00C64050">
        <w:t xml:space="preserve"> </w:t>
      </w:r>
      <w:r>
        <w:t>brief</w:t>
      </w:r>
      <w:r w:rsidR="00C64050">
        <w:t xml:space="preserve"> </w:t>
      </w:r>
      <w:r>
        <w:t>to</w:t>
      </w:r>
      <w:r w:rsidR="00C64050">
        <w:t xml:space="preserve"> </w:t>
      </w:r>
      <w:r>
        <w:t>contain</w:t>
      </w:r>
      <w:r w:rsidR="00C64050">
        <w:t xml:space="preserve"> </w:t>
      </w:r>
      <w:r>
        <w:t>the</w:t>
      </w:r>
      <w:r w:rsidR="00C64050">
        <w:t xml:space="preserve"> </w:t>
      </w:r>
      <w:r>
        <w:t>“appellant’s</w:t>
      </w:r>
      <w:r w:rsidR="00C64050">
        <w:t xml:space="preserve"> </w:t>
      </w:r>
      <w:r>
        <w:t>contentions</w:t>
      </w:r>
      <w:r w:rsidR="00C64050">
        <w:t xml:space="preserve"> </w:t>
      </w:r>
      <w:r>
        <w:t>and</w:t>
      </w:r>
      <w:r w:rsidR="00C64050">
        <w:t xml:space="preserve"> </w:t>
      </w:r>
      <w:r>
        <w:t>the</w:t>
      </w:r>
      <w:r w:rsidR="00C64050">
        <w:t xml:space="preserve"> </w:t>
      </w:r>
      <w:r>
        <w:t>reasons</w:t>
      </w:r>
      <w:r w:rsidR="00C64050">
        <w:t xml:space="preserve"> </w:t>
      </w:r>
      <w:r>
        <w:t>for</w:t>
      </w:r>
      <w:r w:rsidR="00C64050">
        <w:t xml:space="preserve"> </w:t>
      </w:r>
      <w:r>
        <w:t>them,</w:t>
      </w:r>
      <w:r w:rsidR="00C64050">
        <w:t xml:space="preserve"> </w:t>
      </w:r>
      <w:r>
        <w:t>with</w:t>
      </w:r>
      <w:r w:rsidR="00C64050">
        <w:t xml:space="preserve"> </w:t>
      </w:r>
      <w:r>
        <w:t>citations</w:t>
      </w:r>
      <w:r w:rsidR="00C64050">
        <w:t xml:space="preserve"> </w:t>
      </w:r>
      <w:r>
        <w:t>to</w:t>
      </w:r>
      <w:r w:rsidR="00C64050">
        <w:t xml:space="preserve"> </w:t>
      </w:r>
      <w:r>
        <w:t>the</w:t>
      </w:r>
      <w:r w:rsidR="00C64050">
        <w:t xml:space="preserve"> </w:t>
      </w:r>
      <w:r>
        <w:t>authorities</w:t>
      </w:r>
      <w:r w:rsidR="00C64050">
        <w:t xml:space="preserve"> </w:t>
      </w:r>
      <w:r>
        <w:t>and</w:t>
      </w:r>
      <w:r w:rsidR="00C64050">
        <w:t xml:space="preserve"> </w:t>
      </w:r>
      <w:r>
        <w:t>parts</w:t>
      </w:r>
      <w:r w:rsidR="00C64050">
        <w:t xml:space="preserve"> </w:t>
      </w:r>
      <w:r>
        <w:t>of</w:t>
      </w:r>
      <w:r w:rsidR="00C64050">
        <w:t xml:space="preserve"> </w:t>
      </w:r>
      <w:r>
        <w:t>the</w:t>
      </w:r>
      <w:r w:rsidR="00C64050">
        <w:t xml:space="preserve"> </w:t>
      </w:r>
      <w:r>
        <w:t>record</w:t>
      </w:r>
      <w:r w:rsidR="00C64050">
        <w:t xml:space="preserve"> </w:t>
      </w:r>
      <w:r>
        <w:t>on</w:t>
      </w:r>
      <w:r w:rsidR="00C64050">
        <w:t xml:space="preserve"> </w:t>
      </w:r>
      <w:r>
        <w:t>which</w:t>
      </w:r>
      <w:r w:rsidR="00C64050">
        <w:t xml:space="preserve"> </w:t>
      </w:r>
      <w:r>
        <w:t>the</w:t>
      </w:r>
      <w:r w:rsidR="00C64050">
        <w:t xml:space="preserve"> </w:t>
      </w:r>
      <w:r>
        <w:t>appellant</w:t>
      </w:r>
      <w:r w:rsidR="00C64050">
        <w:t xml:space="preserve"> </w:t>
      </w:r>
      <w:r>
        <w:t>relies.”</w:t>
      </w:r>
      <w:r w:rsidR="00C64050">
        <w:t xml:space="preserve"> </w:t>
      </w:r>
      <w:r w:rsidRPr="003A1DC5">
        <w:rPr>
          <w:i/>
        </w:rPr>
        <w:t>Id</w:t>
      </w:r>
      <w:r>
        <w:t>.</w:t>
      </w:r>
      <w:r w:rsidR="00C64050">
        <w:t xml:space="preserve"> </w:t>
      </w:r>
      <w:r>
        <w:t>“Arguments</w:t>
      </w:r>
      <w:r w:rsidR="00C64050">
        <w:t xml:space="preserve"> </w:t>
      </w:r>
      <w:r>
        <w:t>made</w:t>
      </w:r>
      <w:r w:rsidR="00C64050">
        <w:t xml:space="preserve"> </w:t>
      </w:r>
      <w:r>
        <w:t>in</w:t>
      </w:r>
      <w:r w:rsidR="00C64050">
        <w:t xml:space="preserve"> </w:t>
      </w:r>
      <w:r>
        <w:t>passing</w:t>
      </w:r>
      <w:r w:rsidR="00C64050">
        <w:t xml:space="preserve"> </w:t>
      </w:r>
      <w:r>
        <w:t>and</w:t>
      </w:r>
      <w:r w:rsidR="00C64050">
        <w:t xml:space="preserve"> </w:t>
      </w:r>
      <w:r>
        <w:t>not</w:t>
      </w:r>
      <w:r w:rsidR="00C64050">
        <w:t xml:space="preserve"> </w:t>
      </w:r>
      <w:r>
        <w:t>supported</w:t>
      </w:r>
      <w:r w:rsidR="00C64050">
        <w:t xml:space="preserve"> </w:t>
      </w:r>
      <w:r>
        <w:t>by</w:t>
      </w:r>
      <w:r w:rsidR="00C64050">
        <w:t xml:space="preserve"> </w:t>
      </w:r>
      <w:r>
        <w:t>citations</w:t>
      </w:r>
      <w:r w:rsidR="00C64050">
        <w:t xml:space="preserve"> </w:t>
      </w:r>
      <w:r>
        <w:t>to</w:t>
      </w:r>
      <w:r w:rsidR="00C64050">
        <w:t xml:space="preserve"> </w:t>
      </w:r>
      <w:r>
        <w:t>the</w:t>
      </w:r>
      <w:r w:rsidR="00C64050">
        <w:t xml:space="preserve"> </w:t>
      </w:r>
      <w:r>
        <w:t>record</w:t>
      </w:r>
      <w:r w:rsidR="00C64050">
        <w:t xml:space="preserve"> </w:t>
      </w:r>
      <w:r>
        <w:t>or</w:t>
      </w:r>
      <w:r w:rsidR="00C64050">
        <w:t xml:space="preserve"> </w:t>
      </w:r>
      <w:r>
        <w:t>to</w:t>
      </w:r>
      <w:r w:rsidR="00C64050">
        <w:t xml:space="preserve"> </w:t>
      </w:r>
      <w:r>
        <w:t>case</w:t>
      </w:r>
      <w:r w:rsidR="00C64050">
        <w:t xml:space="preserve"> </w:t>
      </w:r>
      <w:r>
        <w:t>authority</w:t>
      </w:r>
      <w:r w:rsidR="00C64050">
        <w:t xml:space="preserve"> </w:t>
      </w:r>
      <w:r>
        <w:t>are</w:t>
      </w:r>
      <w:r w:rsidR="00C64050">
        <w:t xml:space="preserve"> </w:t>
      </w:r>
      <w:r>
        <w:t>generally</w:t>
      </w:r>
      <w:r w:rsidR="00C64050">
        <w:t xml:space="preserve"> </w:t>
      </w:r>
      <w:r>
        <w:t>deemed</w:t>
      </w:r>
      <w:r w:rsidR="00C64050">
        <w:t xml:space="preserve"> </w:t>
      </w:r>
      <w:r>
        <w:t>waived.”</w:t>
      </w:r>
      <w:r w:rsidR="00C64050">
        <w:t xml:space="preserve"> </w:t>
      </w:r>
      <w:r w:rsidRPr="003A1DC5">
        <w:rPr>
          <w:i/>
        </w:rPr>
        <w:t>United</w:t>
      </w:r>
      <w:r w:rsidR="00C64050">
        <w:rPr>
          <w:i/>
        </w:rPr>
        <w:t xml:space="preserve"> </w:t>
      </w:r>
      <w:r w:rsidRPr="003A1DC5">
        <w:rPr>
          <w:i/>
        </w:rPr>
        <w:t>States</w:t>
      </w:r>
      <w:r w:rsidR="00C64050">
        <w:rPr>
          <w:i/>
        </w:rPr>
        <w:t xml:space="preserve"> </w:t>
      </w:r>
      <w:r w:rsidRPr="003A1DC5">
        <w:rPr>
          <w:i/>
        </w:rPr>
        <w:t>v.</w:t>
      </w:r>
      <w:r w:rsidR="00C64050">
        <w:rPr>
          <w:i/>
        </w:rPr>
        <w:t xml:space="preserve"> </w:t>
      </w:r>
      <w:r w:rsidRPr="003A1DC5">
        <w:rPr>
          <w:i/>
        </w:rPr>
        <w:t>Graf</w:t>
      </w:r>
      <w:r>
        <w:t>,</w:t>
      </w:r>
      <w:r w:rsidR="00C64050">
        <w:t xml:space="preserve"> </w:t>
      </w:r>
      <w:r>
        <w:t>610</w:t>
      </w:r>
      <w:r w:rsidR="00C64050">
        <w:t xml:space="preserve"> </w:t>
      </w:r>
      <w:r>
        <w:t>F.3d</w:t>
      </w:r>
      <w:r w:rsidR="00C64050">
        <w:t xml:space="preserve"> </w:t>
      </w:r>
      <w:r>
        <w:t>1148,</w:t>
      </w:r>
      <w:r w:rsidR="00C64050">
        <w:t xml:space="preserve"> </w:t>
      </w:r>
      <w:r>
        <w:t>1166</w:t>
      </w:r>
      <w:r w:rsidR="00C64050">
        <w:t xml:space="preserve"> </w:t>
      </w:r>
      <w:r>
        <w:t>(9th</w:t>
      </w:r>
      <w:r w:rsidR="00C64050">
        <w:t xml:space="preserve"> </w:t>
      </w:r>
      <w:r>
        <w:t>Cir.</w:t>
      </w:r>
      <w:r w:rsidR="00C64050">
        <w:t xml:space="preserve"> </w:t>
      </w:r>
      <w:r>
        <w:t>2010).</w:t>
      </w:r>
    </w:p>
    <w:p w:rsidR="00122E70" w:rsidRDefault="00122E70" w:rsidP="005817FF">
      <w:pPr>
        <w:pStyle w:val="Body15"/>
        <w:spacing w:before="240"/>
        <w:rPr>
          <w:lang w:eastAsia="en-GB"/>
        </w:rPr>
      </w:pPr>
      <w:r>
        <w:rPr>
          <w:lang w:eastAsia="en-GB"/>
        </w:rPr>
        <w:t>Suppose</w:t>
      </w:r>
      <w:r w:rsidR="00C64050">
        <w:rPr>
          <w:lang w:eastAsia="en-GB"/>
        </w:rPr>
        <w:t xml:space="preserve"> </w:t>
      </w:r>
      <w:r>
        <w:rPr>
          <w:lang w:eastAsia="en-GB"/>
        </w:rPr>
        <w:t>the</w:t>
      </w:r>
      <w:r w:rsidR="00C64050">
        <w:rPr>
          <w:lang w:eastAsia="en-GB"/>
        </w:rPr>
        <w:t xml:space="preserve"> </w:t>
      </w:r>
      <w:r>
        <w:rPr>
          <w:lang w:eastAsia="en-GB"/>
        </w:rPr>
        <w:t>grantor</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GRAT</w:t>
      </w:r>
      <w:r w:rsidR="00C64050">
        <w:rPr>
          <w:lang w:eastAsia="en-GB"/>
        </w:rPr>
        <w:t xml:space="preserve"> </w:t>
      </w:r>
      <w:r>
        <w:rPr>
          <w:lang w:eastAsia="en-GB"/>
        </w:rPr>
        <w:t>is</w:t>
      </w:r>
      <w:r w:rsidR="00C64050">
        <w:rPr>
          <w:lang w:eastAsia="en-GB"/>
        </w:rPr>
        <w:t xml:space="preserve"> </w:t>
      </w:r>
      <w:r>
        <w:rPr>
          <w:lang w:eastAsia="en-GB"/>
        </w:rPr>
        <w:t>unlikely</w:t>
      </w:r>
      <w:r w:rsidR="00C64050">
        <w:rPr>
          <w:lang w:eastAsia="en-GB"/>
        </w:rPr>
        <w:t xml:space="preserve"> </w:t>
      </w:r>
      <w:r>
        <w:rPr>
          <w:lang w:eastAsia="en-GB"/>
        </w:rPr>
        <w:t>to</w:t>
      </w:r>
      <w:r w:rsidR="00C64050">
        <w:rPr>
          <w:lang w:eastAsia="en-GB"/>
        </w:rPr>
        <w:t xml:space="preserve"> </w:t>
      </w:r>
      <w:r>
        <w:rPr>
          <w:lang w:eastAsia="en-GB"/>
        </w:rPr>
        <w:t>survive</w:t>
      </w:r>
      <w:r w:rsidR="00C64050">
        <w:rPr>
          <w:lang w:eastAsia="en-GB"/>
        </w:rPr>
        <w:t xml:space="preserve"> </w:t>
      </w:r>
      <w:r>
        <w:rPr>
          <w:lang w:eastAsia="en-GB"/>
        </w:rPr>
        <w:t>the</w:t>
      </w:r>
      <w:r w:rsidR="00C64050">
        <w:rPr>
          <w:lang w:eastAsia="en-GB"/>
        </w:rPr>
        <w:t xml:space="preserve"> </w:t>
      </w:r>
      <w:r>
        <w:rPr>
          <w:lang w:eastAsia="en-GB"/>
        </w:rPr>
        <w:t>term.</w:t>
      </w:r>
      <w:r w:rsidR="00C64050">
        <w:rPr>
          <w:lang w:eastAsia="en-GB"/>
        </w:rPr>
        <w:t xml:space="preserve">  </w:t>
      </w:r>
      <w:r>
        <w:rPr>
          <w:lang w:eastAsia="en-GB"/>
        </w:rPr>
        <w:t>A</w:t>
      </w:r>
      <w:r w:rsidR="00C64050">
        <w:rPr>
          <w:lang w:eastAsia="en-GB"/>
        </w:rPr>
        <w:t xml:space="preserve"> </w:t>
      </w:r>
      <w:r>
        <w:rPr>
          <w:lang w:eastAsia="en-GB"/>
        </w:rPr>
        <w:t>remainder</w:t>
      </w:r>
      <w:r w:rsidR="00C64050">
        <w:rPr>
          <w:lang w:eastAsia="en-GB"/>
        </w:rPr>
        <w:t xml:space="preserve"> </w:t>
      </w:r>
      <w:r>
        <w:rPr>
          <w:lang w:eastAsia="en-GB"/>
        </w:rPr>
        <w:t>interest</w:t>
      </w:r>
      <w:r w:rsidR="00C64050">
        <w:rPr>
          <w:lang w:eastAsia="en-GB"/>
        </w:rPr>
        <w:t xml:space="preserve"> </w:t>
      </w:r>
      <w:r>
        <w:rPr>
          <w:lang w:eastAsia="en-GB"/>
        </w:rPr>
        <w:t>purchase</w:t>
      </w:r>
      <w:r w:rsidR="00C64050">
        <w:rPr>
          <w:lang w:eastAsia="en-GB"/>
        </w:rPr>
        <w:t xml:space="preserve"> </w:t>
      </w:r>
      <w:r>
        <w:rPr>
          <w:lang w:eastAsia="en-GB"/>
        </w:rPr>
        <w:t>strategy</w:t>
      </w:r>
      <w:r w:rsidR="00C64050">
        <w:rPr>
          <w:lang w:eastAsia="en-GB"/>
        </w:rPr>
        <w:t xml:space="preserve"> </w:t>
      </w:r>
      <w:r>
        <w:rPr>
          <w:lang w:eastAsia="en-GB"/>
        </w:rPr>
        <w:t>was</w:t>
      </w:r>
      <w:r w:rsidR="00C64050">
        <w:rPr>
          <w:lang w:eastAsia="en-GB"/>
        </w:rPr>
        <w:t xml:space="preserve"> </w:t>
      </w:r>
      <w:r>
        <w:rPr>
          <w:lang w:eastAsia="en-GB"/>
        </w:rPr>
        <w:t>tried</w:t>
      </w:r>
      <w:r w:rsidR="00C64050">
        <w:rPr>
          <w:lang w:eastAsia="en-GB"/>
        </w:rPr>
        <w:t xml:space="preserve"> </w:t>
      </w:r>
      <w:r>
        <w:rPr>
          <w:lang w:eastAsia="en-GB"/>
        </w:rPr>
        <w:t>in</w:t>
      </w:r>
      <w:r w:rsidR="00C64050">
        <w:rPr>
          <w:lang w:eastAsia="en-GB"/>
        </w:rPr>
        <w:t xml:space="preserve"> </w:t>
      </w:r>
      <w:r>
        <w:rPr>
          <w:lang w:eastAsia="en-GB"/>
        </w:rPr>
        <w:t>CCA</w:t>
      </w:r>
      <w:r w:rsidR="00C64050">
        <w:rPr>
          <w:lang w:eastAsia="en-GB"/>
        </w:rPr>
        <w:t xml:space="preserve"> </w:t>
      </w:r>
      <w:r>
        <w:rPr>
          <w:lang w:eastAsia="en-GB"/>
        </w:rPr>
        <w:t>201745012</w:t>
      </w:r>
      <w:r w:rsidR="00C64050">
        <w:rPr>
          <w:lang w:eastAsia="en-GB"/>
        </w:rPr>
        <w:t xml:space="preserve"> </w:t>
      </w:r>
      <w:r>
        <w:rPr>
          <w:lang w:eastAsia="en-GB"/>
        </w:rPr>
        <w:t>which</w:t>
      </w:r>
      <w:r w:rsidR="00C64050">
        <w:rPr>
          <w:lang w:eastAsia="en-GB"/>
        </w:rPr>
        <w:t xml:space="preserve"> </w:t>
      </w:r>
      <w:r>
        <w:rPr>
          <w:lang w:eastAsia="en-GB"/>
        </w:rPr>
        <w:t>the</w:t>
      </w:r>
      <w:r w:rsidR="00C64050">
        <w:rPr>
          <w:lang w:eastAsia="en-GB"/>
        </w:rPr>
        <w:t xml:space="preserve"> </w:t>
      </w:r>
      <w:r>
        <w:rPr>
          <w:lang w:eastAsia="en-GB"/>
        </w:rPr>
        <w:t>IRS</w:t>
      </w:r>
      <w:r w:rsidR="00C64050">
        <w:rPr>
          <w:lang w:eastAsia="en-GB"/>
        </w:rPr>
        <w:t xml:space="preserve"> </w:t>
      </w:r>
      <w:r>
        <w:rPr>
          <w:lang w:eastAsia="en-GB"/>
        </w:rPr>
        <w:t>described</w:t>
      </w:r>
      <w:r w:rsidR="00C64050">
        <w:rPr>
          <w:lang w:eastAsia="en-GB"/>
        </w:rPr>
        <w:t xml:space="preserve"> </w:t>
      </w:r>
      <w:r>
        <w:rPr>
          <w:lang w:eastAsia="en-GB"/>
        </w:rPr>
        <w:t>as</w:t>
      </w:r>
      <w:r w:rsidR="00C64050">
        <w:rPr>
          <w:lang w:eastAsia="en-GB"/>
        </w:rPr>
        <w:t xml:space="preserve"> </w:t>
      </w:r>
      <w:r>
        <w:rPr>
          <w:lang w:eastAsia="en-GB"/>
        </w:rPr>
        <w:t>follows:</w:t>
      </w:r>
    </w:p>
    <w:p w:rsidR="00A95E15" w:rsidRPr="00A95E15" w:rsidRDefault="00B0512E" w:rsidP="00A95E15">
      <w:pPr>
        <w:pStyle w:val="QS10"/>
        <w:rPr>
          <w:u w:val="single"/>
          <w:lang w:eastAsia="en-GB"/>
        </w:rPr>
      </w:pPr>
      <w:r>
        <w:rPr>
          <w:u w:val="single"/>
          <w:lang w:eastAsia="en-GB"/>
        </w:rPr>
        <w:t>I</w:t>
      </w:r>
      <w:r w:rsidR="00A95E15" w:rsidRPr="00A95E15">
        <w:rPr>
          <w:u w:val="single"/>
          <w:lang w:eastAsia="en-GB"/>
        </w:rPr>
        <w:t>SSUES</w:t>
      </w:r>
    </w:p>
    <w:p w:rsidR="00A95E15" w:rsidRDefault="00A95E15" w:rsidP="00A95E15">
      <w:pPr>
        <w:pStyle w:val="QS10"/>
        <w:rPr>
          <w:lang w:eastAsia="en-GB"/>
        </w:rPr>
      </w:pPr>
      <w:r>
        <w:rPr>
          <w:lang w:eastAsia="en-GB"/>
        </w:rPr>
        <w:t>(1)</w:t>
      </w:r>
      <w:r w:rsidR="00C64050">
        <w:rPr>
          <w:lang w:eastAsia="en-GB"/>
        </w:rPr>
        <w:t xml:space="preserve"> </w:t>
      </w:r>
      <w:r>
        <w:rPr>
          <w:lang w:eastAsia="en-GB"/>
        </w:rPr>
        <w:t>Whether</w:t>
      </w:r>
      <w:r w:rsidR="00C64050">
        <w:rPr>
          <w:lang w:eastAsia="en-GB"/>
        </w:rPr>
        <w:t xml:space="preserve"> </w:t>
      </w:r>
      <w:r>
        <w:rPr>
          <w:lang w:eastAsia="en-GB"/>
        </w:rPr>
        <w:t>the</w:t>
      </w:r>
      <w:r w:rsidR="00C64050">
        <w:rPr>
          <w:lang w:eastAsia="en-GB"/>
        </w:rPr>
        <w:t xml:space="preserve"> </w:t>
      </w:r>
      <w:r>
        <w:rPr>
          <w:lang w:eastAsia="en-GB"/>
        </w:rPr>
        <w:t>remainder</w:t>
      </w:r>
      <w:r w:rsidR="00C64050">
        <w:rPr>
          <w:lang w:eastAsia="en-GB"/>
        </w:rPr>
        <w:t xml:space="preserve"> </w:t>
      </w:r>
      <w:r>
        <w:rPr>
          <w:lang w:eastAsia="en-GB"/>
        </w:rPr>
        <w:t>interest</w:t>
      </w:r>
      <w:r w:rsidR="00C64050">
        <w:rPr>
          <w:lang w:eastAsia="en-GB"/>
        </w:rPr>
        <w:t xml:space="preserve"> </w:t>
      </w:r>
      <w:r>
        <w:rPr>
          <w:lang w:eastAsia="en-GB"/>
        </w:rPr>
        <w:t>in</w:t>
      </w:r>
      <w:r w:rsidR="00C64050">
        <w:rPr>
          <w:lang w:eastAsia="en-GB"/>
        </w:rPr>
        <w:t xml:space="preserve"> </w:t>
      </w:r>
      <w:r>
        <w:rPr>
          <w:lang w:eastAsia="en-GB"/>
        </w:rPr>
        <w:t>transferred</w:t>
      </w:r>
      <w:r w:rsidR="00C64050">
        <w:rPr>
          <w:lang w:eastAsia="en-GB"/>
        </w:rPr>
        <w:t xml:space="preserve"> </w:t>
      </w:r>
      <w:r>
        <w:rPr>
          <w:lang w:eastAsia="en-GB"/>
        </w:rPr>
        <w:t>property</w:t>
      </w:r>
      <w:r w:rsidR="00C64050">
        <w:rPr>
          <w:lang w:eastAsia="en-GB"/>
        </w:rPr>
        <w:t xml:space="preserve"> </w:t>
      </w:r>
      <w:r>
        <w:rPr>
          <w:lang w:eastAsia="en-GB"/>
        </w:rPr>
        <w:t>in</w:t>
      </w:r>
      <w:r w:rsidR="00C64050">
        <w:rPr>
          <w:lang w:eastAsia="en-GB"/>
        </w:rPr>
        <w:t xml:space="preserve"> </w:t>
      </w:r>
      <w:r>
        <w:rPr>
          <w:lang w:eastAsia="en-GB"/>
        </w:rPr>
        <w:t>which</w:t>
      </w:r>
      <w:r w:rsidR="00C64050">
        <w:rPr>
          <w:lang w:eastAsia="en-GB"/>
        </w:rPr>
        <w:t xml:space="preserve"> </w:t>
      </w:r>
      <w:r>
        <w:rPr>
          <w:lang w:eastAsia="en-GB"/>
        </w:rPr>
        <w:t>the</w:t>
      </w:r>
      <w:r w:rsidR="00C64050">
        <w:rPr>
          <w:lang w:eastAsia="en-GB"/>
        </w:rPr>
        <w:t xml:space="preserve"> </w:t>
      </w:r>
      <w:r>
        <w:rPr>
          <w:lang w:eastAsia="en-GB"/>
        </w:rPr>
        <w:t>donor</w:t>
      </w:r>
      <w:r w:rsidR="00C64050">
        <w:rPr>
          <w:lang w:eastAsia="en-GB"/>
        </w:rPr>
        <w:t xml:space="preserve"> </w:t>
      </w:r>
      <w:r>
        <w:rPr>
          <w:lang w:eastAsia="en-GB"/>
        </w:rPr>
        <w:t>has</w:t>
      </w:r>
      <w:r w:rsidR="00C64050">
        <w:rPr>
          <w:lang w:eastAsia="en-GB"/>
        </w:rPr>
        <w:t xml:space="preserve"> </w:t>
      </w:r>
      <w:r>
        <w:rPr>
          <w:lang w:eastAsia="en-GB"/>
        </w:rPr>
        <w:t>retained</w:t>
      </w:r>
      <w:r w:rsidR="00C64050">
        <w:rPr>
          <w:lang w:eastAsia="en-GB"/>
        </w:rPr>
        <w:t xml:space="preserve"> </w:t>
      </w:r>
      <w:r>
        <w:rPr>
          <w:lang w:eastAsia="en-GB"/>
        </w:rPr>
        <w:t>an</w:t>
      </w:r>
      <w:r w:rsidR="00C64050">
        <w:rPr>
          <w:lang w:eastAsia="en-GB"/>
        </w:rPr>
        <w:t xml:space="preserve"> </w:t>
      </w:r>
      <w:r>
        <w:rPr>
          <w:lang w:eastAsia="en-GB"/>
        </w:rPr>
        <w:t>annuity</w:t>
      </w:r>
      <w:r w:rsidR="00C64050">
        <w:rPr>
          <w:lang w:eastAsia="en-GB"/>
        </w:rPr>
        <w:t xml:space="preserve"> </w:t>
      </w:r>
      <w:r>
        <w:rPr>
          <w:lang w:eastAsia="en-GB"/>
        </w:rPr>
        <w:t>replenishes</w:t>
      </w:r>
      <w:r w:rsidR="00C64050">
        <w:rPr>
          <w:lang w:eastAsia="en-GB"/>
        </w:rPr>
        <w:t xml:space="preserve"> </w:t>
      </w:r>
      <w:r>
        <w:rPr>
          <w:lang w:eastAsia="en-GB"/>
        </w:rPr>
        <w:t>the</w:t>
      </w:r>
      <w:r w:rsidR="00C64050">
        <w:rPr>
          <w:lang w:eastAsia="en-GB"/>
        </w:rPr>
        <w:t xml:space="preserve"> </w:t>
      </w:r>
      <w:r>
        <w:rPr>
          <w:lang w:eastAsia="en-GB"/>
        </w:rPr>
        <w:t>donor’s</w:t>
      </w:r>
      <w:r w:rsidR="00C64050">
        <w:rPr>
          <w:lang w:eastAsia="en-GB"/>
        </w:rPr>
        <w:t xml:space="preserve"> </w:t>
      </w:r>
      <w:r>
        <w:rPr>
          <w:lang w:eastAsia="en-GB"/>
        </w:rPr>
        <w:t>taxable</w:t>
      </w:r>
      <w:r w:rsidR="00C64050">
        <w:rPr>
          <w:lang w:eastAsia="en-GB"/>
        </w:rPr>
        <w:t xml:space="preserve"> </w:t>
      </w:r>
      <w:r>
        <w:rPr>
          <w:lang w:eastAsia="en-GB"/>
        </w:rPr>
        <w:t>estate</w:t>
      </w:r>
      <w:r w:rsidR="00C64050">
        <w:rPr>
          <w:lang w:eastAsia="en-GB"/>
        </w:rPr>
        <w:t xml:space="preserve"> </w:t>
      </w:r>
      <w:r>
        <w:rPr>
          <w:lang w:eastAsia="en-GB"/>
        </w:rPr>
        <w:t>so</w:t>
      </w:r>
      <w:r w:rsidR="00C64050">
        <w:rPr>
          <w:lang w:eastAsia="en-GB"/>
        </w:rPr>
        <w:t xml:space="preserve"> </w:t>
      </w:r>
      <w:r>
        <w:rPr>
          <w:lang w:eastAsia="en-GB"/>
        </w:rPr>
        <w:t>as</w:t>
      </w:r>
      <w:r w:rsidR="00C64050">
        <w:rPr>
          <w:lang w:eastAsia="en-GB"/>
        </w:rPr>
        <w:t xml:space="preserve"> </w:t>
      </w:r>
      <w:r>
        <w:rPr>
          <w:lang w:eastAsia="en-GB"/>
        </w:rPr>
        <w:t>to</w:t>
      </w:r>
      <w:r w:rsidR="00C64050">
        <w:rPr>
          <w:lang w:eastAsia="en-GB"/>
        </w:rPr>
        <w:t xml:space="preserve"> </w:t>
      </w:r>
      <w:r>
        <w:rPr>
          <w:lang w:eastAsia="en-GB"/>
        </w:rPr>
        <w:t>constitute</w:t>
      </w:r>
      <w:r w:rsidR="00C64050">
        <w:rPr>
          <w:lang w:eastAsia="en-GB"/>
        </w:rPr>
        <w:t xml:space="preserve"> </w:t>
      </w:r>
      <w:r>
        <w:rPr>
          <w:lang w:eastAsia="en-GB"/>
        </w:rPr>
        <w:t>adequate</w:t>
      </w:r>
      <w:r w:rsidR="00C64050">
        <w:rPr>
          <w:lang w:eastAsia="en-GB"/>
        </w:rPr>
        <w:t xml:space="preserve"> </w:t>
      </w:r>
      <w:r>
        <w:rPr>
          <w:lang w:eastAsia="en-GB"/>
        </w:rPr>
        <w:t>and</w:t>
      </w:r>
      <w:r w:rsidR="00C64050">
        <w:rPr>
          <w:lang w:eastAsia="en-GB"/>
        </w:rPr>
        <w:t xml:space="preserve"> </w:t>
      </w:r>
      <w:r>
        <w:rPr>
          <w:lang w:eastAsia="en-GB"/>
        </w:rPr>
        <w:t>full</w:t>
      </w:r>
      <w:r w:rsidR="00C64050">
        <w:rPr>
          <w:lang w:eastAsia="en-GB"/>
        </w:rPr>
        <w:t xml:space="preserve"> </w:t>
      </w:r>
      <w:r>
        <w:rPr>
          <w:lang w:eastAsia="en-GB"/>
        </w:rPr>
        <w:t>consideration</w:t>
      </w:r>
      <w:r w:rsidR="00C64050">
        <w:rPr>
          <w:lang w:eastAsia="en-GB"/>
        </w:rPr>
        <w:t xml:space="preserve"> </w:t>
      </w:r>
      <w:r>
        <w:rPr>
          <w:lang w:eastAsia="en-GB"/>
        </w:rPr>
        <w:t>in</w:t>
      </w:r>
      <w:r w:rsidR="00C64050">
        <w:rPr>
          <w:lang w:eastAsia="en-GB"/>
        </w:rPr>
        <w:t xml:space="preserve"> </w:t>
      </w:r>
      <w:r>
        <w:rPr>
          <w:lang w:eastAsia="en-GB"/>
        </w:rPr>
        <w:t>money</w:t>
      </w:r>
      <w:r w:rsidR="00C64050">
        <w:rPr>
          <w:lang w:eastAsia="en-GB"/>
        </w:rPr>
        <w:t xml:space="preserve"> </w:t>
      </w:r>
      <w:r>
        <w:rPr>
          <w:lang w:eastAsia="en-GB"/>
        </w:rPr>
        <w:t>or</w:t>
      </w:r>
      <w:r w:rsidR="00C64050">
        <w:rPr>
          <w:lang w:eastAsia="en-GB"/>
        </w:rPr>
        <w:t xml:space="preserve"> </w:t>
      </w:r>
      <w:r>
        <w:rPr>
          <w:lang w:eastAsia="en-GB"/>
        </w:rPr>
        <w:t>money’s</w:t>
      </w:r>
      <w:r w:rsidR="00C64050">
        <w:rPr>
          <w:lang w:eastAsia="en-GB"/>
        </w:rPr>
        <w:t xml:space="preserve"> </w:t>
      </w:r>
      <w:r>
        <w:rPr>
          <w:lang w:eastAsia="en-GB"/>
        </w:rPr>
        <w:t>worth</w:t>
      </w:r>
      <w:r w:rsidR="00C64050">
        <w:rPr>
          <w:lang w:eastAsia="en-GB"/>
        </w:rPr>
        <w:t xml:space="preserve"> </w:t>
      </w:r>
      <w:r>
        <w:rPr>
          <w:lang w:eastAsia="en-GB"/>
        </w:rPr>
        <w:t>for</w:t>
      </w:r>
      <w:r w:rsidR="00C64050">
        <w:rPr>
          <w:lang w:eastAsia="en-GB"/>
        </w:rPr>
        <w:t xml:space="preserve"> </w:t>
      </w:r>
      <w:r>
        <w:rPr>
          <w:lang w:eastAsia="en-GB"/>
        </w:rPr>
        <w:t>gift</w:t>
      </w:r>
      <w:r w:rsidR="00C64050">
        <w:rPr>
          <w:lang w:eastAsia="en-GB"/>
        </w:rPr>
        <w:t xml:space="preserve"> </w:t>
      </w:r>
      <w:r>
        <w:rPr>
          <w:lang w:eastAsia="en-GB"/>
        </w:rPr>
        <w:t>tax</w:t>
      </w:r>
      <w:r w:rsidR="00C64050">
        <w:rPr>
          <w:lang w:eastAsia="en-GB"/>
        </w:rPr>
        <w:t xml:space="preserve"> </w:t>
      </w:r>
      <w:r>
        <w:rPr>
          <w:lang w:eastAsia="en-GB"/>
        </w:rPr>
        <w:t>purposes</w:t>
      </w:r>
      <w:r w:rsidR="00C64050">
        <w:rPr>
          <w:lang w:eastAsia="en-GB"/>
        </w:rPr>
        <w:t xml:space="preserve"> </w:t>
      </w:r>
      <w:r>
        <w:rPr>
          <w:lang w:eastAsia="en-GB"/>
        </w:rPr>
        <w:t>where</w:t>
      </w:r>
      <w:r w:rsidR="00C64050">
        <w:rPr>
          <w:lang w:eastAsia="en-GB"/>
        </w:rPr>
        <w:t xml:space="preserve"> </w:t>
      </w:r>
      <w:r>
        <w:rPr>
          <w:lang w:eastAsia="en-GB"/>
        </w:rPr>
        <w:t>the</w:t>
      </w:r>
      <w:r w:rsidR="00C64050">
        <w:rPr>
          <w:lang w:eastAsia="en-GB"/>
        </w:rPr>
        <w:t xml:space="preserve"> </w:t>
      </w:r>
      <w:r>
        <w:rPr>
          <w:lang w:eastAsia="en-GB"/>
        </w:rPr>
        <w:t>purchase</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remainder</w:t>
      </w:r>
      <w:r w:rsidR="00C64050">
        <w:rPr>
          <w:lang w:eastAsia="en-GB"/>
        </w:rPr>
        <w:t xml:space="preserve"> </w:t>
      </w:r>
      <w:r>
        <w:rPr>
          <w:lang w:eastAsia="en-GB"/>
        </w:rPr>
        <w:t>occurs</w:t>
      </w:r>
      <w:r w:rsidR="00C64050">
        <w:rPr>
          <w:lang w:eastAsia="en-GB"/>
        </w:rPr>
        <w:t xml:space="preserve"> </w:t>
      </w:r>
      <w:r>
        <w:rPr>
          <w:lang w:eastAsia="en-GB"/>
        </w:rPr>
        <w:t>on</w:t>
      </w:r>
      <w:r w:rsidR="00C64050">
        <w:rPr>
          <w:lang w:eastAsia="en-GB"/>
        </w:rPr>
        <w:t xml:space="preserve"> </w:t>
      </w:r>
      <w:r>
        <w:rPr>
          <w:lang w:eastAsia="en-GB"/>
        </w:rPr>
        <w:t>the</w:t>
      </w:r>
      <w:r w:rsidR="00C64050">
        <w:rPr>
          <w:lang w:eastAsia="en-GB"/>
        </w:rPr>
        <w:t xml:space="preserve"> </w:t>
      </w:r>
      <w:r>
        <w:rPr>
          <w:lang w:eastAsia="en-GB"/>
        </w:rPr>
        <w:t>donor’s</w:t>
      </w:r>
      <w:r w:rsidR="00C64050">
        <w:rPr>
          <w:lang w:eastAsia="en-GB"/>
        </w:rPr>
        <w:t xml:space="preserve"> </w:t>
      </w:r>
      <w:r>
        <w:rPr>
          <w:lang w:eastAsia="en-GB"/>
        </w:rPr>
        <w:t>deathbed</w:t>
      </w:r>
      <w:r w:rsidR="00C64050">
        <w:rPr>
          <w:lang w:eastAsia="en-GB"/>
        </w:rPr>
        <w:t xml:space="preserve"> </w:t>
      </w:r>
      <w:r>
        <w:rPr>
          <w:lang w:eastAsia="en-GB"/>
        </w:rPr>
        <w:t>during</w:t>
      </w:r>
      <w:r w:rsidR="00C64050">
        <w:rPr>
          <w:lang w:eastAsia="en-GB"/>
        </w:rPr>
        <w:t xml:space="preserve"> </w:t>
      </w:r>
      <w:r>
        <w:rPr>
          <w:lang w:eastAsia="en-GB"/>
        </w:rPr>
        <w:t>the</w:t>
      </w:r>
      <w:r w:rsidR="00C64050">
        <w:rPr>
          <w:lang w:eastAsia="en-GB"/>
        </w:rPr>
        <w:t xml:space="preserve"> </w:t>
      </w:r>
      <w:r>
        <w:rPr>
          <w:lang w:eastAsia="en-GB"/>
        </w:rPr>
        <w:t>term</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annuity.</w:t>
      </w:r>
    </w:p>
    <w:p w:rsidR="00A95E15" w:rsidRDefault="00A95E15" w:rsidP="00A95E15">
      <w:pPr>
        <w:pStyle w:val="QS10"/>
        <w:rPr>
          <w:lang w:eastAsia="en-GB"/>
        </w:rPr>
      </w:pPr>
      <w:r>
        <w:rPr>
          <w:lang w:eastAsia="en-GB"/>
        </w:rPr>
        <w:t>(2)</w:t>
      </w:r>
      <w:r w:rsidR="00C64050">
        <w:rPr>
          <w:lang w:eastAsia="en-GB"/>
        </w:rPr>
        <w:t xml:space="preserve"> </w:t>
      </w:r>
      <w:r>
        <w:rPr>
          <w:lang w:eastAsia="en-GB"/>
        </w:rPr>
        <w:t>Whether</w:t>
      </w:r>
      <w:r w:rsidR="00C64050">
        <w:rPr>
          <w:lang w:eastAsia="en-GB"/>
        </w:rPr>
        <w:t xml:space="preserve"> </w:t>
      </w:r>
      <w:r>
        <w:rPr>
          <w:lang w:eastAsia="en-GB"/>
        </w:rPr>
        <w:t>a</w:t>
      </w:r>
      <w:r w:rsidR="00C64050">
        <w:rPr>
          <w:lang w:eastAsia="en-GB"/>
        </w:rPr>
        <w:t xml:space="preserve"> </w:t>
      </w:r>
      <w:r>
        <w:rPr>
          <w:lang w:eastAsia="en-GB"/>
        </w:rPr>
        <w:t>note</w:t>
      </w:r>
      <w:r w:rsidR="00C64050">
        <w:rPr>
          <w:lang w:eastAsia="en-GB"/>
        </w:rPr>
        <w:t xml:space="preserve"> </w:t>
      </w:r>
      <w:r>
        <w:rPr>
          <w:lang w:eastAsia="en-GB"/>
        </w:rPr>
        <w:t>given</w:t>
      </w:r>
      <w:r w:rsidR="00C64050">
        <w:rPr>
          <w:lang w:eastAsia="en-GB"/>
        </w:rPr>
        <w:t xml:space="preserve"> </w:t>
      </w:r>
      <w:r>
        <w:rPr>
          <w:lang w:eastAsia="en-GB"/>
        </w:rPr>
        <w:t>in</w:t>
      </w:r>
      <w:r w:rsidR="00C64050">
        <w:rPr>
          <w:lang w:eastAsia="en-GB"/>
        </w:rPr>
        <w:t xml:space="preserve"> </w:t>
      </w:r>
      <w:r>
        <w:rPr>
          <w:lang w:eastAsia="en-GB"/>
        </w:rPr>
        <w:t>exchange</w:t>
      </w:r>
      <w:r w:rsidR="00C64050">
        <w:rPr>
          <w:lang w:eastAsia="en-GB"/>
        </w:rPr>
        <w:t xml:space="preserve"> </w:t>
      </w:r>
      <w:r>
        <w:rPr>
          <w:lang w:eastAsia="en-GB"/>
        </w:rPr>
        <w:t>for</w:t>
      </w:r>
      <w:r w:rsidR="00C64050">
        <w:rPr>
          <w:lang w:eastAsia="en-GB"/>
        </w:rPr>
        <w:t xml:space="preserve"> </w:t>
      </w:r>
      <w:r>
        <w:rPr>
          <w:lang w:eastAsia="en-GB"/>
        </w:rPr>
        <w:t>property</w:t>
      </w:r>
      <w:r w:rsidR="00C64050">
        <w:rPr>
          <w:lang w:eastAsia="en-GB"/>
        </w:rPr>
        <w:t xml:space="preserve"> </w:t>
      </w:r>
      <w:r>
        <w:rPr>
          <w:lang w:eastAsia="en-GB"/>
        </w:rPr>
        <w:t>that</w:t>
      </w:r>
      <w:r w:rsidR="00C64050">
        <w:rPr>
          <w:lang w:eastAsia="en-GB"/>
        </w:rPr>
        <w:t xml:space="preserve"> </w:t>
      </w:r>
      <w:r>
        <w:rPr>
          <w:lang w:eastAsia="en-GB"/>
        </w:rPr>
        <w:t>does</w:t>
      </w:r>
      <w:r w:rsidR="00C64050">
        <w:rPr>
          <w:lang w:eastAsia="en-GB"/>
        </w:rPr>
        <w:t xml:space="preserve"> </w:t>
      </w:r>
      <w:r>
        <w:rPr>
          <w:lang w:eastAsia="en-GB"/>
        </w:rPr>
        <w:t>not</w:t>
      </w:r>
      <w:r w:rsidR="00C64050">
        <w:rPr>
          <w:lang w:eastAsia="en-GB"/>
        </w:rPr>
        <w:t xml:space="preserve"> </w:t>
      </w:r>
      <w:r>
        <w:rPr>
          <w:lang w:eastAsia="en-GB"/>
        </w:rPr>
        <w:t>constitute</w:t>
      </w:r>
      <w:r w:rsidR="00C64050">
        <w:rPr>
          <w:lang w:eastAsia="en-GB"/>
        </w:rPr>
        <w:t xml:space="preserve"> </w:t>
      </w:r>
      <w:r>
        <w:rPr>
          <w:lang w:eastAsia="en-GB"/>
        </w:rPr>
        <w:t>adequate</w:t>
      </w:r>
      <w:r w:rsidR="00C64050">
        <w:rPr>
          <w:lang w:eastAsia="en-GB"/>
        </w:rPr>
        <w:t xml:space="preserve"> </w:t>
      </w:r>
      <w:r>
        <w:rPr>
          <w:lang w:eastAsia="en-GB"/>
        </w:rPr>
        <w:t>and</w:t>
      </w:r>
      <w:r w:rsidR="00C64050">
        <w:rPr>
          <w:lang w:eastAsia="en-GB"/>
        </w:rPr>
        <w:t xml:space="preserve"> </w:t>
      </w:r>
      <w:r>
        <w:rPr>
          <w:lang w:eastAsia="en-GB"/>
        </w:rPr>
        <w:t>full</w:t>
      </w:r>
      <w:r w:rsidR="00C64050">
        <w:rPr>
          <w:lang w:eastAsia="en-GB"/>
        </w:rPr>
        <w:t xml:space="preserve"> </w:t>
      </w:r>
      <w:r>
        <w:rPr>
          <w:lang w:eastAsia="en-GB"/>
        </w:rPr>
        <w:t>consideration</w:t>
      </w:r>
      <w:r w:rsidR="00C64050">
        <w:rPr>
          <w:lang w:eastAsia="en-GB"/>
        </w:rPr>
        <w:t xml:space="preserve"> </w:t>
      </w:r>
      <w:r>
        <w:rPr>
          <w:lang w:eastAsia="en-GB"/>
        </w:rPr>
        <w:t>in</w:t>
      </w:r>
      <w:r w:rsidR="00C64050">
        <w:rPr>
          <w:lang w:eastAsia="en-GB"/>
        </w:rPr>
        <w:t xml:space="preserve"> </w:t>
      </w:r>
      <w:r>
        <w:rPr>
          <w:lang w:eastAsia="en-GB"/>
        </w:rPr>
        <w:t>money</w:t>
      </w:r>
      <w:r w:rsidR="00C64050">
        <w:rPr>
          <w:lang w:eastAsia="en-GB"/>
        </w:rPr>
        <w:t xml:space="preserve"> </w:t>
      </w:r>
      <w:r>
        <w:rPr>
          <w:lang w:eastAsia="en-GB"/>
        </w:rPr>
        <w:t>or</w:t>
      </w:r>
      <w:r w:rsidR="00C64050">
        <w:rPr>
          <w:lang w:eastAsia="en-GB"/>
        </w:rPr>
        <w:t xml:space="preserve"> </w:t>
      </w:r>
      <w:r>
        <w:rPr>
          <w:lang w:eastAsia="en-GB"/>
        </w:rPr>
        <w:t>money’s</w:t>
      </w:r>
      <w:r w:rsidR="00C64050">
        <w:rPr>
          <w:lang w:eastAsia="en-GB"/>
        </w:rPr>
        <w:t xml:space="preserve"> </w:t>
      </w:r>
      <w:r>
        <w:rPr>
          <w:lang w:eastAsia="en-GB"/>
        </w:rPr>
        <w:t>worth</w:t>
      </w:r>
      <w:r w:rsidR="00C64050">
        <w:rPr>
          <w:lang w:eastAsia="en-GB"/>
        </w:rPr>
        <w:t xml:space="preserve"> </w:t>
      </w:r>
      <w:r>
        <w:rPr>
          <w:lang w:eastAsia="en-GB"/>
        </w:rPr>
        <w:t>for</w:t>
      </w:r>
      <w:r w:rsidR="00C64050">
        <w:rPr>
          <w:lang w:eastAsia="en-GB"/>
        </w:rPr>
        <w:t xml:space="preserve"> </w:t>
      </w:r>
      <w:r>
        <w:rPr>
          <w:lang w:eastAsia="en-GB"/>
        </w:rPr>
        <w:t>gift</w:t>
      </w:r>
      <w:r w:rsidR="00C64050">
        <w:rPr>
          <w:lang w:eastAsia="en-GB"/>
        </w:rPr>
        <w:t xml:space="preserve"> </w:t>
      </w:r>
      <w:r>
        <w:rPr>
          <w:lang w:eastAsia="en-GB"/>
        </w:rPr>
        <w:t>tax</w:t>
      </w:r>
      <w:r w:rsidR="00C64050">
        <w:rPr>
          <w:lang w:eastAsia="en-GB"/>
        </w:rPr>
        <w:t xml:space="preserve"> </w:t>
      </w:r>
      <w:r>
        <w:rPr>
          <w:lang w:eastAsia="en-GB"/>
        </w:rPr>
        <w:t>purposes</w:t>
      </w:r>
      <w:r w:rsidR="00C64050">
        <w:rPr>
          <w:lang w:eastAsia="en-GB"/>
        </w:rPr>
        <w:t xml:space="preserve"> </w:t>
      </w:r>
      <w:r>
        <w:rPr>
          <w:lang w:eastAsia="en-GB"/>
        </w:rPr>
        <w:t>is</w:t>
      </w:r>
      <w:r w:rsidR="00C64050">
        <w:rPr>
          <w:lang w:eastAsia="en-GB"/>
        </w:rPr>
        <w:t xml:space="preserve"> </w:t>
      </w:r>
      <w:r>
        <w:rPr>
          <w:lang w:eastAsia="en-GB"/>
        </w:rPr>
        <w:t>deductible</w:t>
      </w:r>
      <w:r w:rsidR="00C64050">
        <w:rPr>
          <w:lang w:eastAsia="en-GB"/>
        </w:rPr>
        <w:t xml:space="preserve"> </w:t>
      </w:r>
      <w:r>
        <w:rPr>
          <w:lang w:eastAsia="en-GB"/>
        </w:rPr>
        <w:t>as</w:t>
      </w:r>
      <w:r w:rsidR="00C64050">
        <w:rPr>
          <w:lang w:eastAsia="en-GB"/>
        </w:rPr>
        <w:t xml:space="preserve"> </w:t>
      </w:r>
      <w:r>
        <w:rPr>
          <w:lang w:eastAsia="en-GB"/>
        </w:rPr>
        <w:t>a</w:t>
      </w:r>
      <w:r w:rsidR="00C64050">
        <w:rPr>
          <w:lang w:eastAsia="en-GB"/>
        </w:rPr>
        <w:t xml:space="preserve"> </w:t>
      </w:r>
      <w:r>
        <w:rPr>
          <w:lang w:eastAsia="en-GB"/>
        </w:rPr>
        <w:t>claim</w:t>
      </w:r>
      <w:r w:rsidR="00C64050">
        <w:rPr>
          <w:lang w:eastAsia="en-GB"/>
        </w:rPr>
        <w:t xml:space="preserve"> </w:t>
      </w:r>
      <w:r>
        <w:rPr>
          <w:lang w:eastAsia="en-GB"/>
        </w:rPr>
        <w:t>against</w:t>
      </w:r>
      <w:r w:rsidR="00C64050">
        <w:rPr>
          <w:lang w:eastAsia="en-GB"/>
        </w:rPr>
        <w:t xml:space="preserve"> </w:t>
      </w:r>
      <w:r>
        <w:rPr>
          <w:lang w:eastAsia="en-GB"/>
        </w:rPr>
        <w:t>the</w:t>
      </w:r>
      <w:r w:rsidR="00C64050">
        <w:rPr>
          <w:lang w:eastAsia="en-GB"/>
        </w:rPr>
        <w:t xml:space="preserve"> </w:t>
      </w:r>
      <w:r>
        <w:rPr>
          <w:lang w:eastAsia="en-GB"/>
        </w:rPr>
        <w:t>estate.</w:t>
      </w:r>
    </w:p>
    <w:p w:rsidR="00A95E15" w:rsidRPr="00A95E15" w:rsidRDefault="00A95E15" w:rsidP="00A95E15">
      <w:pPr>
        <w:pStyle w:val="QS10"/>
        <w:rPr>
          <w:u w:val="single"/>
          <w:lang w:eastAsia="en-GB"/>
        </w:rPr>
      </w:pPr>
      <w:r w:rsidRPr="00A95E15">
        <w:rPr>
          <w:u w:val="single"/>
          <w:lang w:eastAsia="en-GB"/>
        </w:rPr>
        <w:t>CONCLUSIONS</w:t>
      </w:r>
    </w:p>
    <w:p w:rsidR="00A95E15" w:rsidRDefault="00A95E15" w:rsidP="00A95E15">
      <w:pPr>
        <w:pStyle w:val="QS10"/>
        <w:rPr>
          <w:lang w:eastAsia="en-GB"/>
        </w:rPr>
      </w:pPr>
      <w:r>
        <w:rPr>
          <w:lang w:eastAsia="en-GB"/>
        </w:rPr>
        <w:t>(1)</w:t>
      </w:r>
      <w:r w:rsidR="00C64050">
        <w:rPr>
          <w:lang w:eastAsia="en-GB"/>
        </w:rPr>
        <w:t xml:space="preserve"> </w:t>
      </w:r>
      <w:r>
        <w:rPr>
          <w:lang w:eastAsia="en-GB"/>
        </w:rPr>
        <w:t>Where</w:t>
      </w:r>
      <w:r w:rsidR="00C64050">
        <w:rPr>
          <w:lang w:eastAsia="en-GB"/>
        </w:rPr>
        <w:t xml:space="preserve"> </w:t>
      </w:r>
      <w:r>
        <w:rPr>
          <w:lang w:eastAsia="en-GB"/>
        </w:rPr>
        <w:t>the</w:t>
      </w:r>
      <w:r w:rsidR="00C64050">
        <w:rPr>
          <w:lang w:eastAsia="en-GB"/>
        </w:rPr>
        <w:t xml:space="preserve"> </w:t>
      </w:r>
      <w:r>
        <w:rPr>
          <w:lang w:eastAsia="en-GB"/>
        </w:rPr>
        <w:t>purchase</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remainder</w:t>
      </w:r>
      <w:r w:rsidR="00C64050">
        <w:rPr>
          <w:lang w:eastAsia="en-GB"/>
        </w:rPr>
        <w:t xml:space="preserve"> </w:t>
      </w:r>
      <w:r>
        <w:rPr>
          <w:lang w:eastAsia="en-GB"/>
        </w:rPr>
        <w:t>occurs</w:t>
      </w:r>
      <w:r w:rsidR="00C64050">
        <w:rPr>
          <w:lang w:eastAsia="en-GB"/>
        </w:rPr>
        <w:t xml:space="preserve"> </w:t>
      </w:r>
      <w:r>
        <w:rPr>
          <w:lang w:eastAsia="en-GB"/>
        </w:rPr>
        <w:t>on</w:t>
      </w:r>
      <w:r w:rsidR="00C64050">
        <w:rPr>
          <w:lang w:eastAsia="en-GB"/>
        </w:rPr>
        <w:t xml:space="preserve"> </w:t>
      </w:r>
      <w:r>
        <w:rPr>
          <w:lang w:eastAsia="en-GB"/>
        </w:rPr>
        <w:t>the</w:t>
      </w:r>
      <w:r w:rsidR="00C64050">
        <w:rPr>
          <w:lang w:eastAsia="en-GB"/>
        </w:rPr>
        <w:t xml:space="preserve"> </w:t>
      </w:r>
      <w:r>
        <w:rPr>
          <w:lang w:eastAsia="en-GB"/>
        </w:rPr>
        <w:t>donor’s</w:t>
      </w:r>
      <w:r w:rsidR="00C64050">
        <w:rPr>
          <w:lang w:eastAsia="en-GB"/>
        </w:rPr>
        <w:t xml:space="preserve"> </w:t>
      </w:r>
      <w:r>
        <w:rPr>
          <w:lang w:eastAsia="en-GB"/>
        </w:rPr>
        <w:t>deathbed</w:t>
      </w:r>
      <w:r w:rsidR="00C64050">
        <w:rPr>
          <w:lang w:eastAsia="en-GB"/>
        </w:rPr>
        <w:t xml:space="preserve"> </w:t>
      </w:r>
      <w:r>
        <w:rPr>
          <w:lang w:eastAsia="en-GB"/>
        </w:rPr>
        <w:t>during</w:t>
      </w:r>
      <w:r w:rsidR="00C64050">
        <w:rPr>
          <w:lang w:eastAsia="en-GB"/>
        </w:rPr>
        <w:t xml:space="preserve"> </w:t>
      </w:r>
      <w:r>
        <w:rPr>
          <w:lang w:eastAsia="en-GB"/>
        </w:rPr>
        <w:t>the</w:t>
      </w:r>
      <w:r w:rsidR="00C64050">
        <w:rPr>
          <w:lang w:eastAsia="en-GB"/>
        </w:rPr>
        <w:t xml:space="preserve"> </w:t>
      </w:r>
      <w:r>
        <w:rPr>
          <w:lang w:eastAsia="en-GB"/>
        </w:rPr>
        <w:t>term</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annuity,</w:t>
      </w:r>
      <w:r w:rsidR="00C64050">
        <w:rPr>
          <w:lang w:eastAsia="en-GB"/>
        </w:rPr>
        <w:t xml:space="preserve"> </w:t>
      </w:r>
      <w:r>
        <w:rPr>
          <w:lang w:eastAsia="en-GB"/>
        </w:rPr>
        <w:t>the</w:t>
      </w:r>
      <w:r w:rsidR="00C64050">
        <w:rPr>
          <w:lang w:eastAsia="en-GB"/>
        </w:rPr>
        <w:t xml:space="preserve"> </w:t>
      </w:r>
      <w:r>
        <w:rPr>
          <w:lang w:eastAsia="en-GB"/>
        </w:rPr>
        <w:t>remainder</w:t>
      </w:r>
      <w:r w:rsidR="00C64050">
        <w:rPr>
          <w:lang w:eastAsia="en-GB"/>
        </w:rPr>
        <w:t xml:space="preserve"> </w:t>
      </w:r>
      <w:r>
        <w:rPr>
          <w:lang w:eastAsia="en-GB"/>
        </w:rPr>
        <w:t>does</w:t>
      </w:r>
      <w:r w:rsidR="00C64050">
        <w:rPr>
          <w:lang w:eastAsia="en-GB"/>
        </w:rPr>
        <w:t xml:space="preserve"> </w:t>
      </w:r>
      <w:r>
        <w:rPr>
          <w:lang w:eastAsia="en-GB"/>
        </w:rPr>
        <w:t>not</w:t>
      </w:r>
      <w:r w:rsidR="00C64050">
        <w:rPr>
          <w:lang w:eastAsia="en-GB"/>
        </w:rPr>
        <w:t xml:space="preserve"> </w:t>
      </w:r>
      <w:r>
        <w:rPr>
          <w:lang w:eastAsia="en-GB"/>
        </w:rPr>
        <w:t>replenish</w:t>
      </w:r>
      <w:r w:rsidR="00C64050">
        <w:rPr>
          <w:lang w:eastAsia="en-GB"/>
        </w:rPr>
        <w:t xml:space="preserve"> </w:t>
      </w:r>
      <w:r>
        <w:rPr>
          <w:lang w:eastAsia="en-GB"/>
        </w:rPr>
        <w:t>the</w:t>
      </w:r>
      <w:r w:rsidR="00C64050">
        <w:rPr>
          <w:lang w:eastAsia="en-GB"/>
        </w:rPr>
        <w:t xml:space="preserve"> </w:t>
      </w:r>
      <w:r>
        <w:rPr>
          <w:lang w:eastAsia="en-GB"/>
        </w:rPr>
        <w:t>donor’s</w:t>
      </w:r>
      <w:r w:rsidR="00C64050">
        <w:rPr>
          <w:lang w:eastAsia="en-GB"/>
        </w:rPr>
        <w:t xml:space="preserve"> </w:t>
      </w:r>
      <w:r>
        <w:rPr>
          <w:lang w:eastAsia="en-GB"/>
        </w:rPr>
        <w:t>taxable</w:t>
      </w:r>
      <w:r w:rsidR="00C64050">
        <w:rPr>
          <w:lang w:eastAsia="en-GB"/>
        </w:rPr>
        <w:t xml:space="preserve"> </w:t>
      </w:r>
      <w:r>
        <w:rPr>
          <w:lang w:eastAsia="en-GB"/>
        </w:rPr>
        <w:t>estate.</w:t>
      </w:r>
      <w:r w:rsidR="00C64050">
        <w:rPr>
          <w:lang w:eastAsia="en-GB"/>
        </w:rPr>
        <w:t xml:space="preserve"> </w:t>
      </w:r>
      <w:r>
        <w:rPr>
          <w:lang w:eastAsia="en-GB"/>
        </w:rPr>
        <w:t>Accordingly,</w:t>
      </w:r>
      <w:r w:rsidR="00C64050">
        <w:rPr>
          <w:lang w:eastAsia="en-GB"/>
        </w:rPr>
        <w:t xml:space="preserve"> </w:t>
      </w:r>
      <w:r>
        <w:rPr>
          <w:lang w:eastAsia="en-GB"/>
        </w:rPr>
        <w:t>the</w:t>
      </w:r>
      <w:r w:rsidR="00C64050">
        <w:rPr>
          <w:lang w:eastAsia="en-GB"/>
        </w:rPr>
        <w:t xml:space="preserve"> </w:t>
      </w:r>
      <w:r>
        <w:rPr>
          <w:lang w:eastAsia="en-GB"/>
        </w:rPr>
        <w:t>remainder</w:t>
      </w:r>
      <w:r w:rsidR="00C64050">
        <w:rPr>
          <w:lang w:eastAsia="en-GB"/>
        </w:rPr>
        <w:t xml:space="preserve"> </w:t>
      </w:r>
      <w:r>
        <w:rPr>
          <w:lang w:eastAsia="en-GB"/>
        </w:rPr>
        <w:t>does</w:t>
      </w:r>
      <w:r w:rsidR="00C64050">
        <w:rPr>
          <w:lang w:eastAsia="en-GB"/>
        </w:rPr>
        <w:t xml:space="preserve"> </w:t>
      </w:r>
      <w:r>
        <w:rPr>
          <w:lang w:eastAsia="en-GB"/>
        </w:rPr>
        <w:t>not</w:t>
      </w:r>
      <w:r w:rsidR="00C64050">
        <w:rPr>
          <w:lang w:eastAsia="en-GB"/>
        </w:rPr>
        <w:t xml:space="preserve"> </w:t>
      </w:r>
      <w:r>
        <w:rPr>
          <w:lang w:eastAsia="en-GB"/>
        </w:rPr>
        <w:t>constitute</w:t>
      </w:r>
      <w:r w:rsidR="00C64050">
        <w:rPr>
          <w:lang w:eastAsia="en-GB"/>
        </w:rPr>
        <w:t xml:space="preserve"> </w:t>
      </w:r>
      <w:r>
        <w:rPr>
          <w:lang w:eastAsia="en-GB"/>
        </w:rPr>
        <w:t>adequate</w:t>
      </w:r>
      <w:r w:rsidR="00C64050">
        <w:rPr>
          <w:lang w:eastAsia="en-GB"/>
        </w:rPr>
        <w:t xml:space="preserve"> </w:t>
      </w:r>
      <w:r>
        <w:rPr>
          <w:lang w:eastAsia="en-GB"/>
        </w:rPr>
        <w:t>and</w:t>
      </w:r>
      <w:r w:rsidR="00C64050">
        <w:rPr>
          <w:lang w:eastAsia="en-GB"/>
        </w:rPr>
        <w:t xml:space="preserve"> </w:t>
      </w:r>
      <w:r>
        <w:rPr>
          <w:lang w:eastAsia="en-GB"/>
        </w:rPr>
        <w:t>full</w:t>
      </w:r>
      <w:r w:rsidR="00C64050">
        <w:rPr>
          <w:lang w:eastAsia="en-GB"/>
        </w:rPr>
        <w:t xml:space="preserve"> </w:t>
      </w:r>
      <w:r>
        <w:rPr>
          <w:lang w:eastAsia="en-GB"/>
        </w:rPr>
        <w:t>consideration</w:t>
      </w:r>
      <w:r w:rsidR="00C64050">
        <w:rPr>
          <w:lang w:eastAsia="en-GB"/>
        </w:rPr>
        <w:t xml:space="preserve"> </w:t>
      </w:r>
      <w:r>
        <w:rPr>
          <w:lang w:eastAsia="en-GB"/>
        </w:rPr>
        <w:t>in</w:t>
      </w:r>
      <w:r w:rsidR="00C64050">
        <w:rPr>
          <w:lang w:eastAsia="en-GB"/>
        </w:rPr>
        <w:t xml:space="preserve"> </w:t>
      </w:r>
      <w:r>
        <w:rPr>
          <w:lang w:eastAsia="en-GB"/>
        </w:rPr>
        <w:t>money</w:t>
      </w:r>
      <w:r w:rsidR="00C64050">
        <w:rPr>
          <w:lang w:eastAsia="en-GB"/>
        </w:rPr>
        <w:t xml:space="preserve"> </w:t>
      </w:r>
      <w:r>
        <w:rPr>
          <w:lang w:eastAsia="en-GB"/>
        </w:rPr>
        <w:t>or</w:t>
      </w:r>
      <w:r w:rsidR="00C64050">
        <w:rPr>
          <w:lang w:eastAsia="en-GB"/>
        </w:rPr>
        <w:t xml:space="preserve"> </w:t>
      </w:r>
      <w:r>
        <w:rPr>
          <w:lang w:eastAsia="en-GB"/>
        </w:rPr>
        <w:t>money’s</w:t>
      </w:r>
      <w:r w:rsidR="00C64050">
        <w:rPr>
          <w:lang w:eastAsia="en-GB"/>
        </w:rPr>
        <w:t xml:space="preserve"> </w:t>
      </w:r>
      <w:r>
        <w:rPr>
          <w:lang w:eastAsia="en-GB"/>
        </w:rPr>
        <w:t>worth</w:t>
      </w:r>
      <w:r w:rsidR="00C64050">
        <w:rPr>
          <w:lang w:eastAsia="en-GB"/>
        </w:rPr>
        <w:t xml:space="preserve"> </w:t>
      </w:r>
      <w:r>
        <w:rPr>
          <w:lang w:eastAsia="en-GB"/>
        </w:rPr>
        <w:t>for</w:t>
      </w:r>
      <w:r w:rsidR="00C64050">
        <w:rPr>
          <w:lang w:eastAsia="en-GB"/>
        </w:rPr>
        <w:t xml:space="preserve"> </w:t>
      </w:r>
      <w:r>
        <w:rPr>
          <w:lang w:eastAsia="en-GB"/>
        </w:rPr>
        <w:t>gift</w:t>
      </w:r>
      <w:r w:rsidR="00C64050">
        <w:rPr>
          <w:lang w:eastAsia="en-GB"/>
        </w:rPr>
        <w:t xml:space="preserve"> </w:t>
      </w:r>
      <w:r>
        <w:rPr>
          <w:lang w:eastAsia="en-GB"/>
        </w:rPr>
        <w:t>tax</w:t>
      </w:r>
      <w:r w:rsidR="00C64050">
        <w:rPr>
          <w:lang w:eastAsia="en-GB"/>
        </w:rPr>
        <w:t xml:space="preserve"> </w:t>
      </w:r>
      <w:r>
        <w:rPr>
          <w:lang w:eastAsia="en-GB"/>
        </w:rPr>
        <w:t>purposes.</w:t>
      </w:r>
      <w:r w:rsidR="00C64050">
        <w:rPr>
          <w:lang w:eastAsia="en-GB"/>
        </w:rPr>
        <w:t xml:space="preserve"> </w:t>
      </w:r>
      <w:r>
        <w:rPr>
          <w:lang w:eastAsia="en-GB"/>
        </w:rPr>
        <w:t>Merrill</w:t>
      </w:r>
      <w:r w:rsidR="00C64050">
        <w:rPr>
          <w:lang w:eastAsia="en-GB"/>
        </w:rPr>
        <w:t xml:space="preserve"> </w:t>
      </w:r>
      <w:r>
        <w:rPr>
          <w:lang w:eastAsia="en-GB"/>
        </w:rPr>
        <w:t>v.</w:t>
      </w:r>
      <w:r w:rsidR="00C64050">
        <w:rPr>
          <w:lang w:eastAsia="en-GB"/>
        </w:rPr>
        <w:t xml:space="preserve"> </w:t>
      </w:r>
      <w:r>
        <w:rPr>
          <w:lang w:eastAsia="en-GB"/>
        </w:rPr>
        <w:t>Fahs,</w:t>
      </w:r>
      <w:r w:rsidR="00C64050">
        <w:rPr>
          <w:lang w:eastAsia="en-GB"/>
        </w:rPr>
        <w:t xml:space="preserve"> </w:t>
      </w:r>
      <w:r>
        <w:rPr>
          <w:lang w:eastAsia="en-GB"/>
        </w:rPr>
        <w:t>324</w:t>
      </w:r>
      <w:r w:rsidR="00C64050">
        <w:rPr>
          <w:lang w:eastAsia="en-GB"/>
        </w:rPr>
        <w:t xml:space="preserve"> </w:t>
      </w:r>
      <w:r>
        <w:rPr>
          <w:lang w:eastAsia="en-GB"/>
        </w:rPr>
        <w:t>U.S.</w:t>
      </w:r>
      <w:r w:rsidR="00C64050">
        <w:rPr>
          <w:lang w:eastAsia="en-GB"/>
        </w:rPr>
        <w:t xml:space="preserve"> </w:t>
      </w:r>
      <w:r>
        <w:rPr>
          <w:lang w:eastAsia="en-GB"/>
        </w:rPr>
        <w:t>308</w:t>
      </w:r>
      <w:r w:rsidR="00C64050">
        <w:rPr>
          <w:lang w:eastAsia="en-GB"/>
        </w:rPr>
        <w:t xml:space="preserve"> </w:t>
      </w:r>
      <w:r>
        <w:rPr>
          <w:lang w:eastAsia="en-GB"/>
        </w:rPr>
        <w:t>(1945).</w:t>
      </w:r>
    </w:p>
    <w:p w:rsidR="00122E70" w:rsidRDefault="00A95E15" w:rsidP="00A95E15">
      <w:pPr>
        <w:pStyle w:val="QS10"/>
        <w:rPr>
          <w:lang w:eastAsia="en-GB"/>
        </w:rPr>
      </w:pPr>
      <w:r>
        <w:rPr>
          <w:lang w:eastAsia="en-GB"/>
        </w:rPr>
        <w:t>(2)</w:t>
      </w:r>
      <w:r w:rsidR="00C64050">
        <w:rPr>
          <w:lang w:eastAsia="en-GB"/>
        </w:rPr>
        <w:t xml:space="preserve"> </w:t>
      </w:r>
      <w:r>
        <w:rPr>
          <w:lang w:eastAsia="en-GB"/>
        </w:rPr>
        <w:t>A</w:t>
      </w:r>
      <w:r w:rsidR="00C64050">
        <w:rPr>
          <w:lang w:eastAsia="en-GB"/>
        </w:rPr>
        <w:t xml:space="preserve"> </w:t>
      </w:r>
      <w:r>
        <w:rPr>
          <w:lang w:eastAsia="en-GB"/>
        </w:rPr>
        <w:t>note</w:t>
      </w:r>
      <w:r w:rsidR="00C64050">
        <w:rPr>
          <w:lang w:eastAsia="en-GB"/>
        </w:rPr>
        <w:t xml:space="preserve"> </w:t>
      </w:r>
      <w:r>
        <w:rPr>
          <w:lang w:eastAsia="en-GB"/>
        </w:rPr>
        <w:t>given</w:t>
      </w:r>
      <w:r w:rsidR="00C64050">
        <w:rPr>
          <w:lang w:eastAsia="en-GB"/>
        </w:rPr>
        <w:t xml:space="preserve"> </w:t>
      </w:r>
      <w:r>
        <w:rPr>
          <w:lang w:eastAsia="en-GB"/>
        </w:rPr>
        <w:t>in</w:t>
      </w:r>
      <w:r w:rsidR="00C64050">
        <w:rPr>
          <w:lang w:eastAsia="en-GB"/>
        </w:rPr>
        <w:t xml:space="preserve"> </w:t>
      </w:r>
      <w:r>
        <w:rPr>
          <w:lang w:eastAsia="en-GB"/>
        </w:rPr>
        <w:t>exchange</w:t>
      </w:r>
      <w:r w:rsidR="00C64050">
        <w:rPr>
          <w:lang w:eastAsia="en-GB"/>
        </w:rPr>
        <w:t xml:space="preserve"> </w:t>
      </w:r>
      <w:r>
        <w:rPr>
          <w:lang w:eastAsia="en-GB"/>
        </w:rPr>
        <w:t>for</w:t>
      </w:r>
      <w:r w:rsidR="00C64050">
        <w:rPr>
          <w:lang w:eastAsia="en-GB"/>
        </w:rPr>
        <w:t xml:space="preserve"> </w:t>
      </w:r>
      <w:r>
        <w:rPr>
          <w:lang w:eastAsia="en-GB"/>
        </w:rPr>
        <w:t>property</w:t>
      </w:r>
      <w:r w:rsidR="00C64050">
        <w:rPr>
          <w:lang w:eastAsia="en-GB"/>
        </w:rPr>
        <w:t xml:space="preserve"> </w:t>
      </w:r>
      <w:r>
        <w:rPr>
          <w:lang w:eastAsia="en-GB"/>
        </w:rPr>
        <w:t>that</w:t>
      </w:r>
      <w:r w:rsidR="00C64050">
        <w:rPr>
          <w:lang w:eastAsia="en-GB"/>
        </w:rPr>
        <w:t xml:space="preserve"> </w:t>
      </w:r>
      <w:r>
        <w:rPr>
          <w:lang w:eastAsia="en-GB"/>
        </w:rPr>
        <w:t>does</w:t>
      </w:r>
      <w:r w:rsidR="00C64050">
        <w:rPr>
          <w:lang w:eastAsia="en-GB"/>
        </w:rPr>
        <w:t xml:space="preserve"> </w:t>
      </w:r>
      <w:r>
        <w:rPr>
          <w:lang w:eastAsia="en-GB"/>
        </w:rPr>
        <w:t>not</w:t>
      </w:r>
      <w:r w:rsidR="00C64050">
        <w:rPr>
          <w:lang w:eastAsia="en-GB"/>
        </w:rPr>
        <w:t xml:space="preserve"> </w:t>
      </w:r>
      <w:r>
        <w:rPr>
          <w:lang w:eastAsia="en-GB"/>
        </w:rPr>
        <w:t>constitute</w:t>
      </w:r>
      <w:r w:rsidR="00C64050">
        <w:rPr>
          <w:lang w:eastAsia="en-GB"/>
        </w:rPr>
        <w:t xml:space="preserve"> </w:t>
      </w:r>
      <w:r>
        <w:rPr>
          <w:lang w:eastAsia="en-GB"/>
        </w:rPr>
        <w:t>adequate</w:t>
      </w:r>
      <w:r w:rsidR="00C64050">
        <w:rPr>
          <w:lang w:eastAsia="en-GB"/>
        </w:rPr>
        <w:t xml:space="preserve"> </w:t>
      </w:r>
      <w:r>
        <w:rPr>
          <w:lang w:eastAsia="en-GB"/>
        </w:rPr>
        <w:t>and</w:t>
      </w:r>
      <w:r w:rsidR="00C64050">
        <w:rPr>
          <w:lang w:eastAsia="en-GB"/>
        </w:rPr>
        <w:t xml:space="preserve"> </w:t>
      </w:r>
      <w:r>
        <w:rPr>
          <w:lang w:eastAsia="en-GB"/>
        </w:rPr>
        <w:t>full</w:t>
      </w:r>
      <w:r w:rsidR="00C64050">
        <w:rPr>
          <w:lang w:eastAsia="en-GB"/>
        </w:rPr>
        <w:t xml:space="preserve"> </w:t>
      </w:r>
      <w:r>
        <w:rPr>
          <w:lang w:eastAsia="en-GB"/>
        </w:rPr>
        <w:t>consideration</w:t>
      </w:r>
      <w:r w:rsidR="00C64050">
        <w:rPr>
          <w:lang w:eastAsia="en-GB"/>
        </w:rPr>
        <w:t xml:space="preserve"> </w:t>
      </w:r>
      <w:r>
        <w:rPr>
          <w:lang w:eastAsia="en-GB"/>
        </w:rPr>
        <w:t>in</w:t>
      </w:r>
      <w:r w:rsidR="00C64050">
        <w:rPr>
          <w:lang w:eastAsia="en-GB"/>
        </w:rPr>
        <w:t xml:space="preserve"> </w:t>
      </w:r>
      <w:r>
        <w:rPr>
          <w:lang w:eastAsia="en-GB"/>
        </w:rPr>
        <w:t>money</w:t>
      </w:r>
      <w:r w:rsidR="00C64050">
        <w:rPr>
          <w:lang w:eastAsia="en-GB"/>
        </w:rPr>
        <w:t xml:space="preserve"> </w:t>
      </w:r>
      <w:r>
        <w:rPr>
          <w:lang w:eastAsia="en-GB"/>
        </w:rPr>
        <w:t>or</w:t>
      </w:r>
      <w:r w:rsidR="00C64050">
        <w:rPr>
          <w:lang w:eastAsia="en-GB"/>
        </w:rPr>
        <w:t xml:space="preserve"> </w:t>
      </w:r>
      <w:r>
        <w:rPr>
          <w:lang w:eastAsia="en-GB"/>
        </w:rPr>
        <w:t>money’s</w:t>
      </w:r>
      <w:r w:rsidR="00C64050">
        <w:rPr>
          <w:lang w:eastAsia="en-GB"/>
        </w:rPr>
        <w:t xml:space="preserve"> </w:t>
      </w:r>
      <w:r>
        <w:rPr>
          <w:lang w:eastAsia="en-GB"/>
        </w:rPr>
        <w:t>worth</w:t>
      </w:r>
      <w:r w:rsidR="00C64050">
        <w:rPr>
          <w:lang w:eastAsia="en-GB"/>
        </w:rPr>
        <w:t xml:space="preserve"> </w:t>
      </w:r>
      <w:r>
        <w:rPr>
          <w:lang w:eastAsia="en-GB"/>
        </w:rPr>
        <w:t>for</w:t>
      </w:r>
      <w:r w:rsidR="00C64050">
        <w:rPr>
          <w:lang w:eastAsia="en-GB"/>
        </w:rPr>
        <w:t xml:space="preserve"> </w:t>
      </w:r>
      <w:r>
        <w:rPr>
          <w:lang w:eastAsia="en-GB"/>
        </w:rPr>
        <w:t>gift</w:t>
      </w:r>
      <w:r w:rsidR="00C64050">
        <w:rPr>
          <w:lang w:eastAsia="en-GB"/>
        </w:rPr>
        <w:t xml:space="preserve"> </w:t>
      </w:r>
      <w:r>
        <w:rPr>
          <w:lang w:eastAsia="en-GB"/>
        </w:rPr>
        <w:t>tax</w:t>
      </w:r>
      <w:r w:rsidR="00C64050">
        <w:rPr>
          <w:lang w:eastAsia="en-GB"/>
        </w:rPr>
        <w:t xml:space="preserve"> </w:t>
      </w:r>
      <w:r>
        <w:rPr>
          <w:lang w:eastAsia="en-GB"/>
        </w:rPr>
        <w:t>purposes</w:t>
      </w:r>
      <w:r w:rsidR="00C64050">
        <w:rPr>
          <w:lang w:eastAsia="en-GB"/>
        </w:rPr>
        <w:t xml:space="preserve"> </w:t>
      </w:r>
      <w:r>
        <w:rPr>
          <w:lang w:eastAsia="en-GB"/>
        </w:rPr>
        <w:t>is</w:t>
      </w:r>
      <w:r w:rsidR="00C64050">
        <w:rPr>
          <w:lang w:eastAsia="en-GB"/>
        </w:rPr>
        <w:t xml:space="preserve"> </w:t>
      </w:r>
      <w:r>
        <w:rPr>
          <w:lang w:eastAsia="en-GB"/>
        </w:rPr>
        <w:t>not</w:t>
      </w:r>
      <w:r w:rsidR="00C64050">
        <w:rPr>
          <w:lang w:eastAsia="en-GB"/>
        </w:rPr>
        <w:t xml:space="preserve"> </w:t>
      </w:r>
      <w:r>
        <w:rPr>
          <w:lang w:eastAsia="en-GB"/>
        </w:rPr>
        <w:t>deductible</w:t>
      </w:r>
      <w:r w:rsidR="00C64050">
        <w:rPr>
          <w:lang w:eastAsia="en-GB"/>
        </w:rPr>
        <w:t xml:space="preserve"> </w:t>
      </w:r>
      <w:r>
        <w:rPr>
          <w:lang w:eastAsia="en-GB"/>
        </w:rPr>
        <w:t>as</w:t>
      </w:r>
      <w:r w:rsidR="00C64050">
        <w:rPr>
          <w:lang w:eastAsia="en-GB"/>
        </w:rPr>
        <w:t xml:space="preserve"> </w:t>
      </w:r>
      <w:r>
        <w:rPr>
          <w:lang w:eastAsia="en-GB"/>
        </w:rPr>
        <w:t>a</w:t>
      </w:r>
      <w:r w:rsidR="00C64050">
        <w:rPr>
          <w:lang w:eastAsia="en-GB"/>
        </w:rPr>
        <w:t xml:space="preserve"> </w:t>
      </w:r>
      <w:r>
        <w:rPr>
          <w:lang w:eastAsia="en-GB"/>
        </w:rPr>
        <w:t>claim</w:t>
      </w:r>
      <w:r w:rsidR="00C64050">
        <w:rPr>
          <w:lang w:eastAsia="en-GB"/>
        </w:rPr>
        <w:t xml:space="preserve"> </w:t>
      </w:r>
      <w:r>
        <w:rPr>
          <w:lang w:eastAsia="en-GB"/>
        </w:rPr>
        <w:t>against</w:t>
      </w:r>
      <w:r w:rsidR="00C64050">
        <w:rPr>
          <w:lang w:eastAsia="en-GB"/>
        </w:rPr>
        <w:t xml:space="preserve"> </w:t>
      </w:r>
      <w:r>
        <w:rPr>
          <w:lang w:eastAsia="en-GB"/>
        </w:rPr>
        <w:t>the</w:t>
      </w:r>
      <w:r w:rsidR="00C64050">
        <w:rPr>
          <w:lang w:eastAsia="en-GB"/>
        </w:rPr>
        <w:t xml:space="preserve"> </w:t>
      </w:r>
      <w:r>
        <w:rPr>
          <w:lang w:eastAsia="en-GB"/>
        </w:rPr>
        <w:t>estate.</w:t>
      </w:r>
    </w:p>
    <w:p w:rsidR="00122E70" w:rsidRDefault="00122E70" w:rsidP="005817FF">
      <w:pPr>
        <w:pStyle w:val="Body15"/>
        <w:spacing w:before="240"/>
        <w:rPr>
          <w:lang w:eastAsia="en-GB"/>
        </w:rPr>
      </w:pPr>
      <w:r>
        <w:rPr>
          <w:lang w:eastAsia="en-GB"/>
        </w:rPr>
        <w:t>The</w:t>
      </w:r>
      <w:r w:rsidR="00C64050">
        <w:rPr>
          <w:lang w:eastAsia="en-GB"/>
        </w:rPr>
        <w:t xml:space="preserve"> </w:t>
      </w:r>
      <w:r>
        <w:rPr>
          <w:lang w:eastAsia="en-GB"/>
        </w:rPr>
        <w:t>purchase</w:t>
      </w:r>
      <w:r w:rsidR="00C64050">
        <w:rPr>
          <w:lang w:eastAsia="en-GB"/>
        </w:rPr>
        <w:t xml:space="preserve"> </w:t>
      </w:r>
      <w:r>
        <w:rPr>
          <w:lang w:eastAsia="en-GB"/>
        </w:rPr>
        <w:t>occurred</w:t>
      </w:r>
      <w:r w:rsidR="00C64050">
        <w:rPr>
          <w:lang w:eastAsia="en-GB"/>
        </w:rPr>
        <w:t xml:space="preserve"> </w:t>
      </w:r>
      <w:r>
        <w:rPr>
          <w:lang w:eastAsia="en-GB"/>
        </w:rPr>
        <w:t>the</w:t>
      </w:r>
      <w:r w:rsidR="00C64050">
        <w:rPr>
          <w:lang w:eastAsia="en-GB"/>
        </w:rPr>
        <w:t xml:space="preserve"> </w:t>
      </w:r>
      <w:r>
        <w:rPr>
          <w:lang w:eastAsia="en-GB"/>
        </w:rPr>
        <w:t>day</w:t>
      </w:r>
      <w:r w:rsidR="00C64050">
        <w:rPr>
          <w:lang w:eastAsia="en-GB"/>
        </w:rPr>
        <w:t xml:space="preserve"> </w:t>
      </w:r>
      <w:r>
        <w:rPr>
          <w:lang w:eastAsia="en-GB"/>
        </w:rPr>
        <w:t>before</w:t>
      </w:r>
      <w:r w:rsidR="00C64050">
        <w:rPr>
          <w:lang w:eastAsia="en-GB"/>
        </w:rPr>
        <w:t xml:space="preserve"> </w:t>
      </w:r>
      <w:r>
        <w:rPr>
          <w:lang w:eastAsia="en-GB"/>
        </w:rPr>
        <w:t>the</w:t>
      </w:r>
      <w:r w:rsidR="00C64050">
        <w:rPr>
          <w:lang w:eastAsia="en-GB"/>
        </w:rPr>
        <w:t xml:space="preserve"> </w:t>
      </w:r>
      <w:r>
        <w:rPr>
          <w:lang w:eastAsia="en-GB"/>
        </w:rPr>
        <w:t>grantor</w:t>
      </w:r>
      <w:r w:rsidR="00C64050">
        <w:rPr>
          <w:lang w:eastAsia="en-GB"/>
        </w:rPr>
        <w:t xml:space="preserve"> </w:t>
      </w:r>
      <w:r>
        <w:rPr>
          <w:lang w:eastAsia="en-GB"/>
        </w:rPr>
        <w:t>died.</w:t>
      </w:r>
      <w:r w:rsidR="00C64050">
        <w:rPr>
          <w:lang w:eastAsia="en-GB"/>
        </w:rPr>
        <w:t xml:space="preserve">  </w:t>
      </w:r>
      <w:r>
        <w:rPr>
          <w:lang w:eastAsia="en-GB"/>
        </w:rPr>
        <w:t>The</w:t>
      </w:r>
      <w:r w:rsidR="00C64050">
        <w:rPr>
          <w:lang w:eastAsia="en-GB"/>
        </w:rPr>
        <w:t xml:space="preserve"> </w:t>
      </w:r>
      <w:r>
        <w:rPr>
          <w:lang w:eastAsia="en-GB"/>
        </w:rPr>
        <w:t>essence</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replenishment</w:t>
      </w:r>
      <w:r w:rsidR="00C64050">
        <w:rPr>
          <w:lang w:eastAsia="en-GB"/>
        </w:rPr>
        <w:t xml:space="preserve"> </w:t>
      </w:r>
      <w:r>
        <w:rPr>
          <w:lang w:eastAsia="en-GB"/>
        </w:rPr>
        <w:t>argument</w:t>
      </w:r>
      <w:r w:rsidR="00C64050">
        <w:rPr>
          <w:lang w:eastAsia="en-GB"/>
        </w:rPr>
        <w:t xml:space="preserve"> </w:t>
      </w:r>
      <w:r>
        <w:rPr>
          <w:lang w:eastAsia="en-GB"/>
        </w:rPr>
        <w:t>was</w:t>
      </w:r>
      <w:r w:rsidR="00C64050">
        <w:rPr>
          <w:lang w:eastAsia="en-GB"/>
        </w:rPr>
        <w:t xml:space="preserve"> </w:t>
      </w:r>
      <w:r>
        <w:rPr>
          <w:lang w:eastAsia="en-GB"/>
        </w:rPr>
        <w:t>outlined</w:t>
      </w:r>
      <w:r w:rsidR="00C64050">
        <w:rPr>
          <w:lang w:eastAsia="en-GB"/>
        </w:rPr>
        <w:t xml:space="preserve"> </w:t>
      </w:r>
      <w:r>
        <w:rPr>
          <w:lang w:eastAsia="en-GB"/>
        </w:rPr>
        <w:t>by</w:t>
      </w:r>
      <w:r w:rsidR="00C64050">
        <w:rPr>
          <w:lang w:eastAsia="en-GB"/>
        </w:rPr>
        <w:t xml:space="preserve"> </w:t>
      </w:r>
      <w:r>
        <w:rPr>
          <w:lang w:eastAsia="en-GB"/>
        </w:rPr>
        <w:t>the</w:t>
      </w:r>
      <w:r w:rsidR="00C64050">
        <w:rPr>
          <w:lang w:eastAsia="en-GB"/>
        </w:rPr>
        <w:t xml:space="preserve"> </w:t>
      </w:r>
      <w:r>
        <w:rPr>
          <w:lang w:eastAsia="en-GB"/>
        </w:rPr>
        <w:t>IRS:</w:t>
      </w:r>
    </w:p>
    <w:p w:rsidR="00A95E15" w:rsidRDefault="00A95E15" w:rsidP="002866E3">
      <w:pPr>
        <w:pStyle w:val="QS10"/>
        <w:rPr>
          <w:lang w:eastAsia="en-GB"/>
        </w:rPr>
      </w:pPr>
      <w:r>
        <w:rPr>
          <w:lang w:eastAsia="en-GB"/>
        </w:rPr>
        <w:t>In</w:t>
      </w:r>
      <w:r w:rsidR="00C64050">
        <w:rPr>
          <w:lang w:eastAsia="en-GB"/>
        </w:rPr>
        <w:t xml:space="preserve"> </w:t>
      </w:r>
      <w:r w:rsidRPr="002866E3">
        <w:rPr>
          <w:u w:val="single"/>
          <w:lang w:eastAsia="en-GB"/>
        </w:rPr>
        <w:t>Commissioner</w:t>
      </w:r>
      <w:r w:rsidR="00C64050">
        <w:rPr>
          <w:u w:val="single"/>
          <w:lang w:eastAsia="en-GB"/>
        </w:rPr>
        <w:t xml:space="preserve"> </w:t>
      </w:r>
      <w:r w:rsidRPr="002866E3">
        <w:rPr>
          <w:u w:val="single"/>
          <w:lang w:eastAsia="en-GB"/>
        </w:rPr>
        <w:t>v.</w:t>
      </w:r>
      <w:r w:rsidR="00C64050">
        <w:rPr>
          <w:u w:val="single"/>
          <w:lang w:eastAsia="en-GB"/>
        </w:rPr>
        <w:t xml:space="preserve"> </w:t>
      </w:r>
      <w:r w:rsidRPr="002866E3">
        <w:rPr>
          <w:u w:val="single"/>
          <w:lang w:eastAsia="en-GB"/>
        </w:rPr>
        <w:t>Wemyss</w:t>
      </w:r>
      <w:r>
        <w:rPr>
          <w:lang w:eastAsia="en-GB"/>
        </w:rPr>
        <w:t>,</w:t>
      </w:r>
      <w:r w:rsidR="00C64050">
        <w:rPr>
          <w:lang w:eastAsia="en-GB"/>
        </w:rPr>
        <w:t xml:space="preserve"> </w:t>
      </w:r>
      <w:r>
        <w:rPr>
          <w:lang w:eastAsia="en-GB"/>
        </w:rPr>
        <w:t>324</w:t>
      </w:r>
      <w:r w:rsidR="00C64050">
        <w:rPr>
          <w:lang w:eastAsia="en-GB"/>
        </w:rPr>
        <w:t xml:space="preserve"> </w:t>
      </w:r>
      <w:r>
        <w:rPr>
          <w:lang w:eastAsia="en-GB"/>
        </w:rPr>
        <w:t>U.S.</w:t>
      </w:r>
      <w:r w:rsidR="00C64050">
        <w:rPr>
          <w:lang w:eastAsia="en-GB"/>
        </w:rPr>
        <w:t xml:space="preserve"> </w:t>
      </w:r>
      <w:r>
        <w:rPr>
          <w:lang w:eastAsia="en-GB"/>
        </w:rPr>
        <w:t>303</w:t>
      </w:r>
      <w:r w:rsidR="00C64050">
        <w:rPr>
          <w:lang w:eastAsia="en-GB"/>
        </w:rPr>
        <w:t xml:space="preserve"> </w:t>
      </w:r>
      <w:r>
        <w:rPr>
          <w:lang w:eastAsia="en-GB"/>
        </w:rPr>
        <w:t>(1945),</w:t>
      </w:r>
      <w:r w:rsidR="00C64050">
        <w:rPr>
          <w:lang w:eastAsia="en-GB"/>
        </w:rPr>
        <w:t xml:space="preserve"> </w:t>
      </w:r>
      <w:r>
        <w:rPr>
          <w:lang w:eastAsia="en-GB"/>
        </w:rPr>
        <w:t>the</w:t>
      </w:r>
      <w:r w:rsidR="00C64050">
        <w:rPr>
          <w:lang w:eastAsia="en-GB"/>
        </w:rPr>
        <w:t xml:space="preserve"> </w:t>
      </w:r>
      <w:r>
        <w:rPr>
          <w:lang w:eastAsia="en-GB"/>
        </w:rPr>
        <w:t>Supreme</w:t>
      </w:r>
      <w:r w:rsidR="00C64050">
        <w:rPr>
          <w:lang w:eastAsia="en-GB"/>
        </w:rPr>
        <w:t xml:space="preserve"> </w:t>
      </w:r>
      <w:r>
        <w:rPr>
          <w:lang w:eastAsia="en-GB"/>
        </w:rPr>
        <w:t>Court</w:t>
      </w:r>
      <w:r w:rsidR="00C64050">
        <w:rPr>
          <w:lang w:eastAsia="en-GB"/>
        </w:rPr>
        <w:t xml:space="preserve"> </w:t>
      </w:r>
      <w:r>
        <w:rPr>
          <w:lang w:eastAsia="en-GB"/>
        </w:rPr>
        <w:t>considered</w:t>
      </w:r>
      <w:r w:rsidR="00C64050">
        <w:rPr>
          <w:lang w:eastAsia="en-GB"/>
        </w:rPr>
        <w:t xml:space="preserve"> </w:t>
      </w:r>
      <w:r>
        <w:rPr>
          <w:lang w:eastAsia="en-GB"/>
        </w:rPr>
        <w:t>the</w:t>
      </w:r>
      <w:r w:rsidR="00C64050">
        <w:rPr>
          <w:lang w:eastAsia="en-GB"/>
        </w:rPr>
        <w:t xml:space="preserve"> </w:t>
      </w:r>
      <w:r>
        <w:rPr>
          <w:lang w:eastAsia="en-GB"/>
        </w:rPr>
        <w:t>meaning</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term</w:t>
      </w:r>
      <w:r w:rsidR="00C64050">
        <w:rPr>
          <w:lang w:eastAsia="en-GB"/>
        </w:rPr>
        <w:t xml:space="preserve"> </w:t>
      </w:r>
      <w:r>
        <w:rPr>
          <w:lang w:eastAsia="en-GB"/>
        </w:rPr>
        <w:t>“adequate</w:t>
      </w:r>
      <w:r w:rsidR="00C64050">
        <w:rPr>
          <w:lang w:eastAsia="en-GB"/>
        </w:rPr>
        <w:t xml:space="preserve"> </w:t>
      </w:r>
      <w:r>
        <w:rPr>
          <w:lang w:eastAsia="en-GB"/>
        </w:rPr>
        <w:t>and</w:t>
      </w:r>
      <w:r w:rsidR="00C64050">
        <w:rPr>
          <w:lang w:eastAsia="en-GB"/>
        </w:rPr>
        <w:t xml:space="preserve"> </w:t>
      </w:r>
      <w:r>
        <w:rPr>
          <w:lang w:eastAsia="en-GB"/>
        </w:rPr>
        <w:t>full</w:t>
      </w:r>
      <w:r w:rsidR="00C64050">
        <w:rPr>
          <w:lang w:eastAsia="en-GB"/>
        </w:rPr>
        <w:t xml:space="preserve"> </w:t>
      </w:r>
      <w:r>
        <w:rPr>
          <w:lang w:eastAsia="en-GB"/>
        </w:rPr>
        <w:t>consideration</w:t>
      </w:r>
      <w:r w:rsidR="00C64050">
        <w:rPr>
          <w:lang w:eastAsia="en-GB"/>
        </w:rPr>
        <w:t xml:space="preserve"> </w:t>
      </w:r>
      <w:r>
        <w:rPr>
          <w:lang w:eastAsia="en-GB"/>
        </w:rPr>
        <w:t>in</w:t>
      </w:r>
      <w:r w:rsidR="00C64050">
        <w:rPr>
          <w:lang w:eastAsia="en-GB"/>
        </w:rPr>
        <w:t xml:space="preserve"> </w:t>
      </w:r>
      <w:r>
        <w:rPr>
          <w:lang w:eastAsia="en-GB"/>
        </w:rPr>
        <w:t>money</w:t>
      </w:r>
      <w:r w:rsidR="00C64050">
        <w:rPr>
          <w:lang w:eastAsia="en-GB"/>
        </w:rPr>
        <w:t xml:space="preserve"> </w:t>
      </w:r>
      <w:r>
        <w:rPr>
          <w:lang w:eastAsia="en-GB"/>
        </w:rPr>
        <w:t>or</w:t>
      </w:r>
      <w:r w:rsidR="00C64050">
        <w:rPr>
          <w:lang w:eastAsia="en-GB"/>
        </w:rPr>
        <w:t xml:space="preserve"> </w:t>
      </w:r>
      <w:r>
        <w:rPr>
          <w:lang w:eastAsia="en-GB"/>
        </w:rPr>
        <w:t>money’s</w:t>
      </w:r>
      <w:r w:rsidR="00C64050">
        <w:rPr>
          <w:lang w:eastAsia="en-GB"/>
        </w:rPr>
        <w:t xml:space="preserve"> </w:t>
      </w:r>
      <w:r>
        <w:rPr>
          <w:lang w:eastAsia="en-GB"/>
        </w:rPr>
        <w:t>worth”</w:t>
      </w:r>
      <w:r w:rsidR="00C64050">
        <w:rPr>
          <w:lang w:eastAsia="en-GB"/>
        </w:rPr>
        <w:t xml:space="preserve"> </w:t>
      </w:r>
      <w:r>
        <w:rPr>
          <w:lang w:eastAsia="en-GB"/>
        </w:rPr>
        <w:t>for</w:t>
      </w:r>
      <w:r w:rsidR="00C64050">
        <w:rPr>
          <w:lang w:eastAsia="en-GB"/>
        </w:rPr>
        <w:t xml:space="preserve"> </w:t>
      </w:r>
      <w:r>
        <w:rPr>
          <w:lang w:eastAsia="en-GB"/>
        </w:rPr>
        <w:t>gift</w:t>
      </w:r>
      <w:r w:rsidR="00C64050">
        <w:rPr>
          <w:lang w:eastAsia="en-GB"/>
        </w:rPr>
        <w:t xml:space="preserve"> </w:t>
      </w:r>
      <w:r>
        <w:rPr>
          <w:lang w:eastAsia="en-GB"/>
        </w:rPr>
        <w:t>tax</w:t>
      </w:r>
      <w:r w:rsidR="00C64050">
        <w:rPr>
          <w:lang w:eastAsia="en-GB"/>
        </w:rPr>
        <w:t xml:space="preserve"> </w:t>
      </w:r>
      <w:r>
        <w:rPr>
          <w:lang w:eastAsia="en-GB"/>
        </w:rPr>
        <w:t>purposes.</w:t>
      </w:r>
      <w:r w:rsidR="00C64050">
        <w:rPr>
          <w:lang w:eastAsia="en-GB"/>
        </w:rPr>
        <w:t xml:space="preserve"> </w:t>
      </w:r>
      <w:r>
        <w:rPr>
          <w:lang w:eastAsia="en-GB"/>
        </w:rPr>
        <w:t>There,</w:t>
      </w:r>
      <w:r w:rsidR="00C64050">
        <w:rPr>
          <w:lang w:eastAsia="en-GB"/>
        </w:rPr>
        <w:t xml:space="preserve"> </w:t>
      </w:r>
      <w:r>
        <w:rPr>
          <w:lang w:eastAsia="en-GB"/>
        </w:rPr>
        <w:t>the</w:t>
      </w:r>
      <w:r w:rsidR="00C64050">
        <w:rPr>
          <w:lang w:eastAsia="en-GB"/>
        </w:rPr>
        <w:t xml:space="preserve"> </w:t>
      </w:r>
      <w:r>
        <w:rPr>
          <w:lang w:eastAsia="en-GB"/>
        </w:rPr>
        <w:t>donor</w:t>
      </w:r>
      <w:r w:rsidR="00C64050">
        <w:rPr>
          <w:lang w:eastAsia="en-GB"/>
        </w:rPr>
        <w:t xml:space="preserve"> </w:t>
      </w:r>
      <w:r>
        <w:rPr>
          <w:lang w:eastAsia="en-GB"/>
        </w:rPr>
        <w:t>transferred</w:t>
      </w:r>
      <w:r w:rsidR="00C64050">
        <w:rPr>
          <w:lang w:eastAsia="en-GB"/>
        </w:rPr>
        <w:t xml:space="preserve"> </w:t>
      </w:r>
      <w:r>
        <w:rPr>
          <w:lang w:eastAsia="en-GB"/>
        </w:rPr>
        <w:t>assets</w:t>
      </w:r>
      <w:r w:rsidR="00C64050">
        <w:rPr>
          <w:lang w:eastAsia="en-GB"/>
        </w:rPr>
        <w:t xml:space="preserve"> </w:t>
      </w:r>
      <w:r>
        <w:rPr>
          <w:lang w:eastAsia="en-GB"/>
        </w:rPr>
        <w:t>to</w:t>
      </w:r>
      <w:r w:rsidR="00C64050">
        <w:rPr>
          <w:lang w:eastAsia="en-GB"/>
        </w:rPr>
        <w:t xml:space="preserve"> </w:t>
      </w:r>
      <w:r>
        <w:rPr>
          <w:lang w:eastAsia="en-GB"/>
        </w:rPr>
        <w:t>his</w:t>
      </w:r>
      <w:r w:rsidR="00C64050">
        <w:rPr>
          <w:lang w:eastAsia="en-GB"/>
        </w:rPr>
        <w:t xml:space="preserve"> </w:t>
      </w:r>
      <w:r>
        <w:rPr>
          <w:lang w:eastAsia="en-GB"/>
        </w:rPr>
        <w:t>fiancé</w:t>
      </w:r>
      <w:r w:rsidR="00C64050">
        <w:rPr>
          <w:lang w:eastAsia="en-GB"/>
        </w:rPr>
        <w:t xml:space="preserve"> </w:t>
      </w:r>
      <w:r>
        <w:rPr>
          <w:lang w:eastAsia="en-GB"/>
        </w:rPr>
        <w:t>to</w:t>
      </w:r>
      <w:r w:rsidR="00C64050">
        <w:rPr>
          <w:lang w:eastAsia="en-GB"/>
        </w:rPr>
        <w:t xml:space="preserve"> </w:t>
      </w:r>
      <w:r>
        <w:rPr>
          <w:lang w:eastAsia="en-GB"/>
        </w:rPr>
        <w:t>compensate</w:t>
      </w:r>
      <w:r w:rsidR="00C64050">
        <w:rPr>
          <w:lang w:eastAsia="en-GB"/>
        </w:rPr>
        <w:t xml:space="preserve"> </w:t>
      </w:r>
      <w:r>
        <w:rPr>
          <w:lang w:eastAsia="en-GB"/>
        </w:rPr>
        <w:t>her</w:t>
      </w:r>
      <w:r w:rsidR="00C64050">
        <w:rPr>
          <w:lang w:eastAsia="en-GB"/>
        </w:rPr>
        <w:t xml:space="preserve"> </w:t>
      </w:r>
      <w:r>
        <w:rPr>
          <w:lang w:eastAsia="en-GB"/>
        </w:rPr>
        <w:t>for</w:t>
      </w:r>
      <w:r w:rsidR="00C64050">
        <w:rPr>
          <w:lang w:eastAsia="en-GB"/>
        </w:rPr>
        <w:t xml:space="preserve"> </w:t>
      </w:r>
      <w:r>
        <w:rPr>
          <w:lang w:eastAsia="en-GB"/>
        </w:rPr>
        <w:t>the</w:t>
      </w:r>
      <w:r w:rsidR="00C64050">
        <w:rPr>
          <w:lang w:eastAsia="en-GB"/>
        </w:rPr>
        <w:t xml:space="preserve"> </w:t>
      </w:r>
      <w:r>
        <w:rPr>
          <w:lang w:eastAsia="en-GB"/>
        </w:rPr>
        <w:t>loss</w:t>
      </w:r>
      <w:r w:rsidR="00C64050">
        <w:rPr>
          <w:lang w:eastAsia="en-GB"/>
        </w:rPr>
        <w:t xml:space="preserve"> </w:t>
      </w:r>
      <w:r>
        <w:rPr>
          <w:lang w:eastAsia="en-GB"/>
        </w:rPr>
        <w:t>of</w:t>
      </w:r>
      <w:r w:rsidR="00C64050">
        <w:rPr>
          <w:lang w:eastAsia="en-GB"/>
        </w:rPr>
        <w:t xml:space="preserve"> </w:t>
      </w:r>
      <w:r>
        <w:rPr>
          <w:lang w:eastAsia="en-GB"/>
        </w:rPr>
        <w:t>an</w:t>
      </w:r>
      <w:r w:rsidR="00C64050">
        <w:rPr>
          <w:lang w:eastAsia="en-GB"/>
        </w:rPr>
        <w:t xml:space="preserve"> </w:t>
      </w:r>
      <w:r>
        <w:rPr>
          <w:lang w:eastAsia="en-GB"/>
        </w:rPr>
        <w:t>income</w:t>
      </w:r>
      <w:r w:rsidR="00C64050">
        <w:rPr>
          <w:lang w:eastAsia="en-GB"/>
        </w:rPr>
        <w:t xml:space="preserve"> </w:t>
      </w:r>
      <w:r>
        <w:rPr>
          <w:lang w:eastAsia="en-GB"/>
        </w:rPr>
        <w:t>interest</w:t>
      </w:r>
      <w:r w:rsidR="00C64050">
        <w:rPr>
          <w:lang w:eastAsia="en-GB"/>
        </w:rPr>
        <w:t xml:space="preserve"> </w:t>
      </w:r>
      <w:r>
        <w:rPr>
          <w:lang w:eastAsia="en-GB"/>
        </w:rPr>
        <w:t>that</w:t>
      </w:r>
      <w:r w:rsidR="00C64050">
        <w:rPr>
          <w:lang w:eastAsia="en-GB"/>
        </w:rPr>
        <w:t xml:space="preserve"> </w:t>
      </w:r>
      <w:r>
        <w:rPr>
          <w:lang w:eastAsia="en-GB"/>
        </w:rPr>
        <w:t>would</w:t>
      </w:r>
      <w:r w:rsidR="00C64050">
        <w:rPr>
          <w:lang w:eastAsia="en-GB"/>
        </w:rPr>
        <w:t xml:space="preserve"> </w:t>
      </w:r>
      <w:r>
        <w:rPr>
          <w:lang w:eastAsia="en-GB"/>
        </w:rPr>
        <w:t>terminate</w:t>
      </w:r>
      <w:r w:rsidR="00C64050">
        <w:rPr>
          <w:lang w:eastAsia="en-GB"/>
        </w:rPr>
        <w:t xml:space="preserve"> </w:t>
      </w:r>
      <w:r>
        <w:rPr>
          <w:lang w:eastAsia="en-GB"/>
        </w:rPr>
        <w:t>upon</w:t>
      </w:r>
      <w:r w:rsidR="00C64050">
        <w:rPr>
          <w:lang w:eastAsia="en-GB"/>
        </w:rPr>
        <w:t xml:space="preserve"> </w:t>
      </w:r>
      <w:r>
        <w:rPr>
          <w:lang w:eastAsia="en-GB"/>
        </w:rPr>
        <w:t>her</w:t>
      </w:r>
      <w:r w:rsidR="00C64050">
        <w:rPr>
          <w:lang w:eastAsia="en-GB"/>
        </w:rPr>
        <w:t xml:space="preserve"> </w:t>
      </w:r>
      <w:r>
        <w:rPr>
          <w:lang w:eastAsia="en-GB"/>
        </w:rPr>
        <w:t>marriage</w:t>
      </w:r>
      <w:r w:rsidR="00C64050">
        <w:rPr>
          <w:lang w:eastAsia="en-GB"/>
        </w:rPr>
        <w:t xml:space="preserve"> </w:t>
      </w:r>
      <w:r>
        <w:rPr>
          <w:lang w:eastAsia="en-GB"/>
        </w:rPr>
        <w:t>to</w:t>
      </w:r>
      <w:r w:rsidR="00C64050">
        <w:rPr>
          <w:lang w:eastAsia="en-GB"/>
        </w:rPr>
        <w:t xml:space="preserve"> </w:t>
      </w:r>
      <w:r>
        <w:rPr>
          <w:lang w:eastAsia="en-GB"/>
        </w:rPr>
        <w:t>him.</w:t>
      </w:r>
      <w:r w:rsidR="00C64050">
        <w:rPr>
          <w:lang w:eastAsia="en-GB"/>
        </w:rPr>
        <w:t xml:space="preserve"> </w:t>
      </w:r>
      <w:r>
        <w:rPr>
          <w:lang w:eastAsia="en-GB"/>
        </w:rPr>
        <w:t>There</w:t>
      </w:r>
      <w:r w:rsidR="00C64050">
        <w:rPr>
          <w:lang w:eastAsia="en-GB"/>
        </w:rPr>
        <w:t xml:space="preserve"> </w:t>
      </w:r>
      <w:r>
        <w:rPr>
          <w:lang w:eastAsia="en-GB"/>
        </w:rPr>
        <w:t>was</w:t>
      </w:r>
      <w:r w:rsidR="00C64050">
        <w:rPr>
          <w:lang w:eastAsia="en-GB"/>
        </w:rPr>
        <w:t xml:space="preserve"> </w:t>
      </w:r>
      <w:r>
        <w:rPr>
          <w:lang w:eastAsia="en-GB"/>
        </w:rPr>
        <w:t>no</w:t>
      </w:r>
      <w:r w:rsidR="00C64050">
        <w:rPr>
          <w:lang w:eastAsia="en-GB"/>
        </w:rPr>
        <w:t xml:space="preserve"> </w:t>
      </w:r>
      <w:r>
        <w:rPr>
          <w:lang w:eastAsia="en-GB"/>
        </w:rPr>
        <w:t>dispute</w:t>
      </w:r>
      <w:r w:rsidR="00C64050">
        <w:rPr>
          <w:lang w:eastAsia="en-GB"/>
        </w:rPr>
        <w:t xml:space="preserve"> </w:t>
      </w:r>
      <w:r>
        <w:rPr>
          <w:lang w:eastAsia="en-GB"/>
        </w:rPr>
        <w:t>that</w:t>
      </w:r>
      <w:r w:rsidR="00C64050">
        <w:rPr>
          <w:lang w:eastAsia="en-GB"/>
        </w:rPr>
        <w:t xml:space="preserve"> </w:t>
      </w:r>
      <w:r>
        <w:rPr>
          <w:lang w:eastAsia="en-GB"/>
        </w:rPr>
        <w:t>both</w:t>
      </w:r>
      <w:r w:rsidR="00C64050">
        <w:rPr>
          <w:lang w:eastAsia="en-GB"/>
        </w:rPr>
        <w:t xml:space="preserve"> </w:t>
      </w:r>
      <w:r>
        <w:rPr>
          <w:lang w:eastAsia="en-GB"/>
        </w:rPr>
        <w:t>a</w:t>
      </w:r>
      <w:r w:rsidR="00C64050">
        <w:rPr>
          <w:lang w:eastAsia="en-GB"/>
        </w:rPr>
        <w:t xml:space="preserve"> </w:t>
      </w:r>
      <w:r>
        <w:rPr>
          <w:lang w:eastAsia="en-GB"/>
        </w:rPr>
        <w:t>promise</w:t>
      </w:r>
      <w:r w:rsidR="00C64050">
        <w:rPr>
          <w:lang w:eastAsia="en-GB"/>
        </w:rPr>
        <w:t xml:space="preserve"> </w:t>
      </w:r>
      <w:r>
        <w:rPr>
          <w:lang w:eastAsia="en-GB"/>
        </w:rPr>
        <w:t>of</w:t>
      </w:r>
      <w:r w:rsidR="00C64050">
        <w:rPr>
          <w:lang w:eastAsia="en-GB"/>
        </w:rPr>
        <w:t xml:space="preserve"> </w:t>
      </w:r>
      <w:r>
        <w:rPr>
          <w:lang w:eastAsia="en-GB"/>
        </w:rPr>
        <w:t>marriage</w:t>
      </w:r>
      <w:r w:rsidR="00C64050">
        <w:rPr>
          <w:lang w:eastAsia="en-GB"/>
        </w:rPr>
        <w:t xml:space="preserve"> </w:t>
      </w:r>
      <w:r>
        <w:rPr>
          <w:lang w:eastAsia="en-GB"/>
        </w:rPr>
        <w:t>and</w:t>
      </w:r>
      <w:r w:rsidR="00C64050">
        <w:rPr>
          <w:lang w:eastAsia="en-GB"/>
        </w:rPr>
        <w:t xml:space="preserve"> </w:t>
      </w:r>
      <w:r>
        <w:rPr>
          <w:lang w:eastAsia="en-GB"/>
        </w:rPr>
        <w:t>detriment</w:t>
      </w:r>
      <w:r w:rsidR="00C64050">
        <w:rPr>
          <w:lang w:eastAsia="en-GB"/>
        </w:rPr>
        <w:t xml:space="preserve"> </w:t>
      </w:r>
      <w:r>
        <w:rPr>
          <w:lang w:eastAsia="en-GB"/>
        </w:rPr>
        <w:t>to</w:t>
      </w:r>
      <w:r w:rsidR="00C64050">
        <w:rPr>
          <w:lang w:eastAsia="en-GB"/>
        </w:rPr>
        <w:t xml:space="preserve"> </w:t>
      </w:r>
      <w:r>
        <w:rPr>
          <w:lang w:eastAsia="en-GB"/>
        </w:rPr>
        <w:t>a</w:t>
      </w:r>
      <w:r w:rsidR="00C64050">
        <w:rPr>
          <w:lang w:eastAsia="en-GB"/>
        </w:rPr>
        <w:t xml:space="preserve"> </w:t>
      </w:r>
      <w:r>
        <w:rPr>
          <w:lang w:eastAsia="en-GB"/>
        </w:rPr>
        <w:t>contracting</w:t>
      </w:r>
      <w:r w:rsidR="00C64050">
        <w:rPr>
          <w:lang w:eastAsia="en-GB"/>
        </w:rPr>
        <w:t xml:space="preserve"> </w:t>
      </w:r>
      <w:r>
        <w:rPr>
          <w:lang w:eastAsia="en-GB"/>
        </w:rPr>
        <w:t>party</w:t>
      </w:r>
      <w:r w:rsidR="00C64050">
        <w:rPr>
          <w:lang w:eastAsia="en-GB"/>
        </w:rPr>
        <w:t xml:space="preserve"> </w:t>
      </w:r>
      <w:r>
        <w:rPr>
          <w:lang w:eastAsia="en-GB"/>
        </w:rPr>
        <w:t>constituted</w:t>
      </w:r>
      <w:r w:rsidR="00C64050">
        <w:rPr>
          <w:lang w:eastAsia="en-GB"/>
        </w:rPr>
        <w:t xml:space="preserve"> </w:t>
      </w:r>
      <w:r>
        <w:rPr>
          <w:lang w:eastAsia="en-GB"/>
        </w:rPr>
        <w:t>valuable</w:t>
      </w:r>
      <w:r w:rsidR="00C64050">
        <w:rPr>
          <w:lang w:eastAsia="en-GB"/>
        </w:rPr>
        <w:t xml:space="preserve"> </w:t>
      </w:r>
      <w:r>
        <w:rPr>
          <w:lang w:eastAsia="en-GB"/>
        </w:rPr>
        <w:t>consideration</w:t>
      </w:r>
      <w:r w:rsidR="00C64050">
        <w:rPr>
          <w:lang w:eastAsia="en-GB"/>
        </w:rPr>
        <w:t xml:space="preserve"> </w:t>
      </w:r>
      <w:r>
        <w:rPr>
          <w:lang w:eastAsia="en-GB"/>
        </w:rPr>
        <w:t>for</w:t>
      </w:r>
      <w:r w:rsidR="00C64050">
        <w:rPr>
          <w:lang w:eastAsia="en-GB"/>
        </w:rPr>
        <w:t xml:space="preserve"> </w:t>
      </w:r>
      <w:r>
        <w:rPr>
          <w:lang w:eastAsia="en-GB"/>
        </w:rPr>
        <w:t>purposes</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law</w:t>
      </w:r>
      <w:r w:rsidR="00C64050">
        <w:rPr>
          <w:lang w:eastAsia="en-GB"/>
        </w:rPr>
        <w:t xml:space="preserve"> </w:t>
      </w:r>
      <w:r>
        <w:rPr>
          <w:lang w:eastAsia="en-GB"/>
        </w:rPr>
        <w:t>of</w:t>
      </w:r>
      <w:r w:rsidR="00C64050">
        <w:rPr>
          <w:lang w:eastAsia="en-GB"/>
        </w:rPr>
        <w:t xml:space="preserve"> </w:t>
      </w:r>
      <w:r>
        <w:rPr>
          <w:lang w:eastAsia="en-GB"/>
        </w:rPr>
        <w:t>contracts.</w:t>
      </w:r>
      <w:r w:rsidR="00C64050">
        <w:rPr>
          <w:lang w:eastAsia="en-GB"/>
        </w:rPr>
        <w:t xml:space="preserve"> </w:t>
      </w:r>
      <w:r>
        <w:rPr>
          <w:lang w:eastAsia="en-GB"/>
        </w:rPr>
        <w:t>The</w:t>
      </w:r>
      <w:r w:rsidR="00C64050">
        <w:rPr>
          <w:lang w:eastAsia="en-GB"/>
        </w:rPr>
        <w:t xml:space="preserve"> </w:t>
      </w:r>
      <w:r>
        <w:rPr>
          <w:lang w:eastAsia="en-GB"/>
        </w:rPr>
        <w:t>Tax</w:t>
      </w:r>
      <w:r w:rsidR="00C64050">
        <w:rPr>
          <w:lang w:eastAsia="en-GB"/>
        </w:rPr>
        <w:t xml:space="preserve"> </w:t>
      </w:r>
      <w:r>
        <w:rPr>
          <w:lang w:eastAsia="en-GB"/>
        </w:rPr>
        <w:t>Court</w:t>
      </w:r>
      <w:r w:rsidR="00C64050">
        <w:rPr>
          <w:lang w:eastAsia="en-GB"/>
        </w:rPr>
        <w:t xml:space="preserve"> </w:t>
      </w:r>
      <w:r>
        <w:rPr>
          <w:lang w:eastAsia="en-GB"/>
        </w:rPr>
        <w:t>had</w:t>
      </w:r>
      <w:r w:rsidR="00C64050">
        <w:rPr>
          <w:lang w:eastAsia="en-GB"/>
        </w:rPr>
        <w:t xml:space="preserve"> </w:t>
      </w:r>
      <w:r>
        <w:rPr>
          <w:lang w:eastAsia="en-GB"/>
        </w:rPr>
        <w:t>held</w:t>
      </w:r>
      <w:r w:rsidR="00C64050">
        <w:rPr>
          <w:lang w:eastAsia="en-GB"/>
        </w:rPr>
        <w:t xml:space="preserve"> </w:t>
      </w:r>
      <w:r>
        <w:rPr>
          <w:lang w:eastAsia="en-GB"/>
        </w:rPr>
        <w:t>that</w:t>
      </w:r>
      <w:r w:rsidR="00C64050">
        <w:rPr>
          <w:lang w:eastAsia="en-GB"/>
        </w:rPr>
        <w:t xml:space="preserve"> </w:t>
      </w:r>
      <w:r>
        <w:rPr>
          <w:lang w:eastAsia="en-GB"/>
        </w:rPr>
        <w:t>if</w:t>
      </w:r>
      <w:r w:rsidR="00C64050">
        <w:rPr>
          <w:lang w:eastAsia="en-GB"/>
        </w:rPr>
        <w:t xml:space="preserve"> </w:t>
      </w:r>
      <w:r>
        <w:rPr>
          <w:lang w:eastAsia="en-GB"/>
        </w:rPr>
        <w:t>the</w:t>
      </w:r>
      <w:r w:rsidR="00C64050">
        <w:rPr>
          <w:lang w:eastAsia="en-GB"/>
        </w:rPr>
        <w:t xml:space="preserve"> </w:t>
      </w:r>
      <w:r>
        <w:rPr>
          <w:lang w:eastAsia="en-GB"/>
        </w:rPr>
        <w:t>promise</w:t>
      </w:r>
      <w:r w:rsidR="00C64050">
        <w:rPr>
          <w:lang w:eastAsia="en-GB"/>
        </w:rPr>
        <w:t xml:space="preserve"> </w:t>
      </w:r>
      <w:r>
        <w:rPr>
          <w:lang w:eastAsia="en-GB"/>
        </w:rPr>
        <w:t>of</w:t>
      </w:r>
      <w:r w:rsidR="00C64050">
        <w:rPr>
          <w:lang w:eastAsia="en-GB"/>
        </w:rPr>
        <w:t xml:space="preserve"> </w:t>
      </w:r>
      <w:r>
        <w:rPr>
          <w:lang w:eastAsia="en-GB"/>
        </w:rPr>
        <w:t>marriage</w:t>
      </w:r>
      <w:r w:rsidR="00C64050">
        <w:rPr>
          <w:lang w:eastAsia="en-GB"/>
        </w:rPr>
        <w:t xml:space="preserve"> </w:t>
      </w:r>
      <w:r>
        <w:rPr>
          <w:lang w:eastAsia="en-GB"/>
        </w:rPr>
        <w:t>was</w:t>
      </w:r>
      <w:r w:rsidR="00C64050">
        <w:rPr>
          <w:lang w:eastAsia="en-GB"/>
        </w:rPr>
        <w:t xml:space="preserve"> </w:t>
      </w:r>
      <w:r>
        <w:rPr>
          <w:lang w:eastAsia="en-GB"/>
        </w:rPr>
        <w:t>the</w:t>
      </w:r>
      <w:r w:rsidR="00C64050">
        <w:rPr>
          <w:lang w:eastAsia="en-GB"/>
        </w:rPr>
        <w:t xml:space="preserve"> </w:t>
      </w:r>
      <w:r>
        <w:rPr>
          <w:lang w:eastAsia="en-GB"/>
        </w:rPr>
        <w:t>consideration,</w:t>
      </w:r>
      <w:r w:rsidR="00C64050">
        <w:rPr>
          <w:lang w:eastAsia="en-GB"/>
        </w:rPr>
        <w:t xml:space="preserve"> </w:t>
      </w:r>
      <w:r>
        <w:rPr>
          <w:lang w:eastAsia="en-GB"/>
        </w:rPr>
        <w:t>it</w:t>
      </w:r>
      <w:r w:rsidR="00C64050">
        <w:rPr>
          <w:lang w:eastAsia="en-GB"/>
        </w:rPr>
        <w:t xml:space="preserve"> </w:t>
      </w:r>
      <w:r>
        <w:rPr>
          <w:lang w:eastAsia="en-GB"/>
        </w:rPr>
        <w:t>was</w:t>
      </w:r>
      <w:r w:rsidR="00C64050">
        <w:rPr>
          <w:lang w:eastAsia="en-GB"/>
        </w:rPr>
        <w:t xml:space="preserve"> </w:t>
      </w:r>
      <w:r>
        <w:rPr>
          <w:lang w:eastAsia="en-GB"/>
        </w:rPr>
        <w:t>not</w:t>
      </w:r>
      <w:r w:rsidR="00C64050">
        <w:rPr>
          <w:lang w:eastAsia="en-GB"/>
        </w:rPr>
        <w:t xml:space="preserve"> </w:t>
      </w:r>
      <w:r>
        <w:rPr>
          <w:lang w:eastAsia="en-GB"/>
        </w:rPr>
        <w:t>one</w:t>
      </w:r>
      <w:r w:rsidR="00C64050">
        <w:rPr>
          <w:lang w:eastAsia="en-GB"/>
        </w:rPr>
        <w:t xml:space="preserve"> </w:t>
      </w:r>
      <w:r>
        <w:rPr>
          <w:lang w:eastAsia="en-GB"/>
        </w:rPr>
        <w:t>reducible</w:t>
      </w:r>
      <w:r w:rsidR="00C64050">
        <w:rPr>
          <w:lang w:eastAsia="en-GB"/>
        </w:rPr>
        <w:t xml:space="preserve"> </w:t>
      </w:r>
      <w:r>
        <w:rPr>
          <w:lang w:eastAsia="en-GB"/>
        </w:rPr>
        <w:t>to</w:t>
      </w:r>
      <w:r w:rsidR="00C64050">
        <w:rPr>
          <w:lang w:eastAsia="en-GB"/>
        </w:rPr>
        <w:t xml:space="preserve"> </w:t>
      </w:r>
      <w:r>
        <w:rPr>
          <w:lang w:eastAsia="en-GB"/>
        </w:rPr>
        <w:t>a</w:t>
      </w:r>
      <w:r w:rsidR="00C64050">
        <w:rPr>
          <w:lang w:eastAsia="en-GB"/>
        </w:rPr>
        <w:t xml:space="preserve"> </w:t>
      </w:r>
      <w:r>
        <w:rPr>
          <w:lang w:eastAsia="en-GB"/>
        </w:rPr>
        <w:t>money</w:t>
      </w:r>
      <w:r w:rsidR="00C64050">
        <w:rPr>
          <w:lang w:eastAsia="en-GB"/>
        </w:rPr>
        <w:t xml:space="preserve"> </w:t>
      </w:r>
      <w:r>
        <w:rPr>
          <w:lang w:eastAsia="en-GB"/>
        </w:rPr>
        <w:t>value</w:t>
      </w:r>
      <w:r w:rsidR="00C64050">
        <w:rPr>
          <w:lang w:eastAsia="en-GB"/>
        </w:rPr>
        <w:t xml:space="preserve"> </w:t>
      </w:r>
      <w:r>
        <w:rPr>
          <w:lang w:eastAsia="en-GB"/>
        </w:rPr>
        <w:t>and</w:t>
      </w:r>
      <w:r w:rsidR="00C64050">
        <w:rPr>
          <w:lang w:eastAsia="en-GB"/>
        </w:rPr>
        <w:t xml:space="preserve"> </w:t>
      </w:r>
      <w:r>
        <w:rPr>
          <w:lang w:eastAsia="en-GB"/>
        </w:rPr>
        <w:t>if</w:t>
      </w:r>
      <w:r w:rsidR="00C64050">
        <w:rPr>
          <w:lang w:eastAsia="en-GB"/>
        </w:rPr>
        <w:t xml:space="preserve"> </w:t>
      </w:r>
      <w:r>
        <w:rPr>
          <w:lang w:eastAsia="en-GB"/>
        </w:rPr>
        <w:t>the</w:t>
      </w:r>
      <w:r w:rsidR="00C64050">
        <w:rPr>
          <w:lang w:eastAsia="en-GB"/>
        </w:rPr>
        <w:t xml:space="preserve"> </w:t>
      </w:r>
      <w:r>
        <w:rPr>
          <w:lang w:eastAsia="en-GB"/>
        </w:rPr>
        <w:t>fiancé’s</w:t>
      </w:r>
      <w:r w:rsidR="00C64050">
        <w:rPr>
          <w:lang w:eastAsia="en-GB"/>
        </w:rPr>
        <w:t xml:space="preserve"> </w:t>
      </w:r>
      <w:r>
        <w:rPr>
          <w:lang w:eastAsia="en-GB"/>
        </w:rPr>
        <w:t>loss</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income</w:t>
      </w:r>
      <w:r w:rsidR="00C64050">
        <w:rPr>
          <w:lang w:eastAsia="en-GB"/>
        </w:rPr>
        <w:t xml:space="preserve"> </w:t>
      </w:r>
      <w:r>
        <w:rPr>
          <w:lang w:eastAsia="en-GB"/>
        </w:rPr>
        <w:t>interest</w:t>
      </w:r>
      <w:r w:rsidR="00C64050">
        <w:rPr>
          <w:lang w:eastAsia="en-GB"/>
        </w:rPr>
        <w:t xml:space="preserve"> </w:t>
      </w:r>
      <w:r>
        <w:rPr>
          <w:lang w:eastAsia="en-GB"/>
        </w:rPr>
        <w:t>was</w:t>
      </w:r>
      <w:r w:rsidR="00C64050">
        <w:rPr>
          <w:lang w:eastAsia="en-GB"/>
        </w:rPr>
        <w:t xml:space="preserve"> </w:t>
      </w:r>
      <w:r>
        <w:rPr>
          <w:lang w:eastAsia="en-GB"/>
        </w:rPr>
        <w:t>the</w:t>
      </w:r>
      <w:r w:rsidR="00C64050">
        <w:rPr>
          <w:lang w:eastAsia="en-GB"/>
        </w:rPr>
        <w:t xml:space="preserve"> </w:t>
      </w:r>
      <w:r>
        <w:rPr>
          <w:lang w:eastAsia="en-GB"/>
        </w:rPr>
        <w:t>consideration,</w:t>
      </w:r>
      <w:r w:rsidR="00C64050">
        <w:rPr>
          <w:lang w:eastAsia="en-GB"/>
        </w:rPr>
        <w:t xml:space="preserve"> </w:t>
      </w:r>
      <w:r>
        <w:rPr>
          <w:lang w:eastAsia="en-GB"/>
        </w:rPr>
        <w:t>it</w:t>
      </w:r>
      <w:r w:rsidR="00C64050">
        <w:rPr>
          <w:lang w:eastAsia="en-GB"/>
        </w:rPr>
        <w:t xml:space="preserve"> </w:t>
      </w:r>
      <w:r>
        <w:rPr>
          <w:lang w:eastAsia="en-GB"/>
        </w:rPr>
        <w:t>did</w:t>
      </w:r>
      <w:r w:rsidR="00C64050">
        <w:rPr>
          <w:lang w:eastAsia="en-GB"/>
        </w:rPr>
        <w:t xml:space="preserve"> </w:t>
      </w:r>
      <w:r>
        <w:rPr>
          <w:lang w:eastAsia="en-GB"/>
        </w:rPr>
        <w:t>not</w:t>
      </w:r>
      <w:r w:rsidR="00C64050">
        <w:rPr>
          <w:lang w:eastAsia="en-GB"/>
        </w:rPr>
        <w:t xml:space="preserve"> </w:t>
      </w:r>
      <w:r>
        <w:rPr>
          <w:lang w:eastAsia="en-GB"/>
        </w:rPr>
        <w:t>constitute</w:t>
      </w:r>
      <w:r w:rsidR="00C64050">
        <w:rPr>
          <w:lang w:eastAsia="en-GB"/>
        </w:rPr>
        <w:t xml:space="preserve"> </w:t>
      </w:r>
      <w:r>
        <w:rPr>
          <w:lang w:eastAsia="en-GB"/>
        </w:rPr>
        <w:t>consideration</w:t>
      </w:r>
      <w:r w:rsidR="00C64050">
        <w:rPr>
          <w:lang w:eastAsia="en-GB"/>
        </w:rPr>
        <w:t xml:space="preserve"> </w:t>
      </w:r>
      <w:r>
        <w:rPr>
          <w:lang w:eastAsia="en-GB"/>
        </w:rPr>
        <w:t>in</w:t>
      </w:r>
      <w:r w:rsidR="00C64050">
        <w:rPr>
          <w:lang w:eastAsia="en-GB"/>
        </w:rPr>
        <w:t xml:space="preserve"> </w:t>
      </w:r>
      <w:r>
        <w:rPr>
          <w:lang w:eastAsia="en-GB"/>
        </w:rPr>
        <w:t>the</w:t>
      </w:r>
      <w:r w:rsidR="00C64050">
        <w:rPr>
          <w:lang w:eastAsia="en-GB"/>
        </w:rPr>
        <w:t xml:space="preserve"> </w:t>
      </w:r>
      <w:r>
        <w:rPr>
          <w:lang w:eastAsia="en-GB"/>
        </w:rPr>
        <w:t>hands</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donor.</w:t>
      </w:r>
      <w:r w:rsidR="00C64050">
        <w:rPr>
          <w:lang w:eastAsia="en-GB"/>
        </w:rPr>
        <w:t xml:space="preserve"> </w:t>
      </w:r>
    </w:p>
    <w:p w:rsidR="00122E70" w:rsidRDefault="00A95E15" w:rsidP="002866E3">
      <w:pPr>
        <w:pStyle w:val="QS10"/>
        <w:ind w:left="1872"/>
        <w:rPr>
          <w:lang w:eastAsia="en-GB"/>
        </w:rPr>
      </w:pPr>
      <w:r>
        <w:rPr>
          <w:lang w:eastAsia="en-GB"/>
        </w:rPr>
        <w:t>If</w:t>
      </w:r>
      <w:r w:rsidR="00C64050">
        <w:rPr>
          <w:lang w:eastAsia="en-GB"/>
        </w:rPr>
        <w:t xml:space="preserve"> </w:t>
      </w:r>
      <w:r>
        <w:rPr>
          <w:lang w:eastAsia="en-GB"/>
        </w:rPr>
        <w:t>we</w:t>
      </w:r>
      <w:r w:rsidR="00C64050">
        <w:rPr>
          <w:lang w:eastAsia="en-GB"/>
        </w:rPr>
        <w:t xml:space="preserve"> </w:t>
      </w:r>
      <w:r>
        <w:rPr>
          <w:lang w:eastAsia="en-GB"/>
        </w:rPr>
        <w:t>are</w:t>
      </w:r>
      <w:r w:rsidR="00C64050">
        <w:rPr>
          <w:lang w:eastAsia="en-GB"/>
        </w:rPr>
        <w:t xml:space="preserve"> </w:t>
      </w:r>
      <w:r>
        <w:rPr>
          <w:lang w:eastAsia="en-GB"/>
        </w:rPr>
        <w:t>to</w:t>
      </w:r>
      <w:r w:rsidR="00C64050">
        <w:rPr>
          <w:lang w:eastAsia="en-GB"/>
        </w:rPr>
        <w:t xml:space="preserve"> </w:t>
      </w:r>
      <w:r>
        <w:rPr>
          <w:lang w:eastAsia="en-GB"/>
        </w:rPr>
        <w:t>isolate</w:t>
      </w:r>
      <w:r w:rsidR="00C64050">
        <w:rPr>
          <w:lang w:eastAsia="en-GB"/>
        </w:rPr>
        <w:t xml:space="preserve"> </w:t>
      </w:r>
      <w:r>
        <w:rPr>
          <w:lang w:eastAsia="en-GB"/>
        </w:rPr>
        <w:t>as</w:t>
      </w:r>
      <w:r w:rsidR="00C64050">
        <w:rPr>
          <w:lang w:eastAsia="en-GB"/>
        </w:rPr>
        <w:t xml:space="preserve"> </w:t>
      </w:r>
      <w:r>
        <w:rPr>
          <w:lang w:eastAsia="en-GB"/>
        </w:rPr>
        <w:t>an</w:t>
      </w:r>
      <w:r w:rsidR="00C64050">
        <w:rPr>
          <w:lang w:eastAsia="en-GB"/>
        </w:rPr>
        <w:t xml:space="preserve"> </w:t>
      </w:r>
      <w:r>
        <w:rPr>
          <w:lang w:eastAsia="en-GB"/>
        </w:rPr>
        <w:t>independently</w:t>
      </w:r>
      <w:r w:rsidR="00C64050">
        <w:rPr>
          <w:lang w:eastAsia="en-GB"/>
        </w:rPr>
        <w:t xml:space="preserve"> </w:t>
      </w:r>
      <w:r>
        <w:rPr>
          <w:lang w:eastAsia="en-GB"/>
        </w:rPr>
        <w:t>reviewable</w:t>
      </w:r>
      <w:r w:rsidR="00C64050">
        <w:rPr>
          <w:lang w:eastAsia="en-GB"/>
        </w:rPr>
        <w:t xml:space="preserve"> </w:t>
      </w:r>
      <w:r>
        <w:rPr>
          <w:lang w:eastAsia="en-GB"/>
        </w:rPr>
        <w:t>question</w:t>
      </w:r>
      <w:r w:rsidR="00C64050">
        <w:rPr>
          <w:lang w:eastAsia="en-GB"/>
        </w:rPr>
        <w:t xml:space="preserve"> </w:t>
      </w:r>
      <w:r>
        <w:rPr>
          <w:lang w:eastAsia="en-GB"/>
        </w:rPr>
        <w:t>of</w:t>
      </w:r>
      <w:r w:rsidR="00C64050">
        <w:rPr>
          <w:lang w:eastAsia="en-GB"/>
        </w:rPr>
        <w:t xml:space="preserve"> </w:t>
      </w:r>
      <w:r>
        <w:rPr>
          <w:lang w:eastAsia="en-GB"/>
        </w:rPr>
        <w:t>law</w:t>
      </w:r>
      <w:r w:rsidR="00C64050">
        <w:rPr>
          <w:lang w:eastAsia="en-GB"/>
        </w:rPr>
        <w:t xml:space="preserve"> </w:t>
      </w:r>
      <w:r>
        <w:rPr>
          <w:lang w:eastAsia="en-GB"/>
        </w:rPr>
        <w:t>the</w:t>
      </w:r>
      <w:r w:rsidR="00C64050">
        <w:rPr>
          <w:lang w:eastAsia="en-GB"/>
        </w:rPr>
        <w:t xml:space="preserve"> </w:t>
      </w:r>
      <w:r>
        <w:rPr>
          <w:lang w:eastAsia="en-GB"/>
        </w:rPr>
        <w:t>view</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Tax</w:t>
      </w:r>
      <w:r w:rsidR="00C64050">
        <w:rPr>
          <w:lang w:eastAsia="en-GB"/>
        </w:rPr>
        <w:t xml:space="preserve"> </w:t>
      </w:r>
      <w:r>
        <w:rPr>
          <w:lang w:eastAsia="en-GB"/>
        </w:rPr>
        <w:t>Court</w:t>
      </w:r>
      <w:r w:rsidR="00C64050">
        <w:rPr>
          <w:lang w:eastAsia="en-GB"/>
        </w:rPr>
        <w:t xml:space="preserve"> </w:t>
      </w:r>
      <w:r>
        <w:rPr>
          <w:lang w:eastAsia="en-GB"/>
        </w:rPr>
        <w:t>that</w:t>
      </w:r>
      <w:r w:rsidR="00C64050">
        <w:rPr>
          <w:lang w:eastAsia="en-GB"/>
        </w:rPr>
        <w:t xml:space="preserve"> </w:t>
      </w:r>
      <w:r>
        <w:rPr>
          <w:lang w:eastAsia="en-GB"/>
        </w:rPr>
        <w:t>money</w:t>
      </w:r>
      <w:r w:rsidR="00C64050">
        <w:rPr>
          <w:lang w:eastAsia="en-GB"/>
        </w:rPr>
        <w:t xml:space="preserve"> </w:t>
      </w:r>
      <w:r>
        <w:rPr>
          <w:lang w:eastAsia="en-GB"/>
        </w:rPr>
        <w:t>consideration</w:t>
      </w:r>
      <w:r w:rsidR="00C64050">
        <w:rPr>
          <w:lang w:eastAsia="en-GB"/>
        </w:rPr>
        <w:t xml:space="preserve"> </w:t>
      </w:r>
      <w:r>
        <w:rPr>
          <w:lang w:eastAsia="en-GB"/>
        </w:rPr>
        <w:t>must</w:t>
      </w:r>
      <w:r w:rsidR="00C64050">
        <w:rPr>
          <w:lang w:eastAsia="en-GB"/>
        </w:rPr>
        <w:t xml:space="preserve"> </w:t>
      </w:r>
      <w:r>
        <w:rPr>
          <w:lang w:eastAsia="en-GB"/>
        </w:rPr>
        <w:t>benefit</w:t>
      </w:r>
      <w:r w:rsidR="00C64050">
        <w:rPr>
          <w:lang w:eastAsia="en-GB"/>
        </w:rPr>
        <w:t xml:space="preserve"> </w:t>
      </w:r>
      <w:r>
        <w:rPr>
          <w:lang w:eastAsia="en-GB"/>
        </w:rPr>
        <w:t>the</w:t>
      </w:r>
      <w:r w:rsidR="00C64050">
        <w:rPr>
          <w:lang w:eastAsia="en-GB"/>
        </w:rPr>
        <w:t xml:space="preserve"> </w:t>
      </w:r>
      <w:r>
        <w:rPr>
          <w:lang w:eastAsia="en-GB"/>
        </w:rPr>
        <w:t>donor</w:t>
      </w:r>
      <w:r w:rsidR="00C64050">
        <w:rPr>
          <w:lang w:eastAsia="en-GB"/>
        </w:rPr>
        <w:t xml:space="preserve"> </w:t>
      </w:r>
      <w:r>
        <w:rPr>
          <w:lang w:eastAsia="en-GB"/>
        </w:rPr>
        <w:t>to</w:t>
      </w:r>
      <w:r w:rsidR="00C64050">
        <w:rPr>
          <w:lang w:eastAsia="en-GB"/>
        </w:rPr>
        <w:t xml:space="preserve"> </w:t>
      </w:r>
      <w:r>
        <w:rPr>
          <w:lang w:eastAsia="en-GB"/>
        </w:rPr>
        <w:t>relieve</w:t>
      </w:r>
      <w:r w:rsidR="00C64050">
        <w:rPr>
          <w:lang w:eastAsia="en-GB"/>
        </w:rPr>
        <w:t xml:space="preserve"> </w:t>
      </w:r>
      <w:r>
        <w:rPr>
          <w:lang w:eastAsia="en-GB"/>
        </w:rPr>
        <w:t>a</w:t>
      </w:r>
      <w:r w:rsidR="00C64050">
        <w:rPr>
          <w:lang w:eastAsia="en-GB"/>
        </w:rPr>
        <w:t xml:space="preserve"> </w:t>
      </w:r>
      <w:r>
        <w:rPr>
          <w:lang w:eastAsia="en-GB"/>
        </w:rPr>
        <w:t>transfer</w:t>
      </w:r>
      <w:r w:rsidR="00C64050">
        <w:rPr>
          <w:lang w:eastAsia="en-GB"/>
        </w:rPr>
        <w:t xml:space="preserve"> </w:t>
      </w:r>
      <w:r>
        <w:rPr>
          <w:lang w:eastAsia="en-GB"/>
        </w:rPr>
        <w:t>by</w:t>
      </w:r>
      <w:r w:rsidR="00C64050">
        <w:rPr>
          <w:lang w:eastAsia="en-GB"/>
        </w:rPr>
        <w:t xml:space="preserve"> </w:t>
      </w:r>
      <w:r>
        <w:rPr>
          <w:lang w:eastAsia="en-GB"/>
        </w:rPr>
        <w:t>him</w:t>
      </w:r>
      <w:r w:rsidR="00C64050">
        <w:rPr>
          <w:lang w:eastAsia="en-GB"/>
        </w:rPr>
        <w:t xml:space="preserve"> </w:t>
      </w:r>
      <w:r>
        <w:rPr>
          <w:lang w:eastAsia="en-GB"/>
        </w:rPr>
        <w:t>from</w:t>
      </w:r>
      <w:r w:rsidR="00C64050">
        <w:rPr>
          <w:lang w:eastAsia="en-GB"/>
        </w:rPr>
        <w:t xml:space="preserve"> </w:t>
      </w:r>
      <w:r>
        <w:rPr>
          <w:lang w:eastAsia="en-GB"/>
        </w:rPr>
        <w:t>being</w:t>
      </w:r>
      <w:r w:rsidR="00C64050">
        <w:rPr>
          <w:lang w:eastAsia="en-GB"/>
        </w:rPr>
        <w:t xml:space="preserve"> </w:t>
      </w:r>
      <w:r>
        <w:rPr>
          <w:lang w:eastAsia="en-GB"/>
        </w:rPr>
        <w:t>a</w:t>
      </w:r>
      <w:r w:rsidR="00C64050">
        <w:rPr>
          <w:lang w:eastAsia="en-GB"/>
        </w:rPr>
        <w:t xml:space="preserve"> </w:t>
      </w:r>
      <w:r>
        <w:rPr>
          <w:lang w:eastAsia="en-GB"/>
        </w:rPr>
        <w:t>gift,</w:t>
      </w:r>
      <w:r w:rsidR="00C64050">
        <w:rPr>
          <w:lang w:eastAsia="en-GB"/>
        </w:rPr>
        <w:t xml:space="preserve"> </w:t>
      </w:r>
      <w:r>
        <w:rPr>
          <w:lang w:eastAsia="en-GB"/>
        </w:rPr>
        <w:t>we</w:t>
      </w:r>
      <w:r w:rsidR="00C64050">
        <w:rPr>
          <w:lang w:eastAsia="en-GB"/>
        </w:rPr>
        <w:t xml:space="preserve"> </w:t>
      </w:r>
      <w:r>
        <w:rPr>
          <w:lang w:eastAsia="en-GB"/>
        </w:rPr>
        <w:t>think</w:t>
      </w:r>
      <w:r w:rsidR="00C64050">
        <w:rPr>
          <w:lang w:eastAsia="en-GB"/>
        </w:rPr>
        <w:t xml:space="preserve"> </w:t>
      </w:r>
      <w:r>
        <w:rPr>
          <w:lang w:eastAsia="en-GB"/>
        </w:rPr>
        <w:t>the</w:t>
      </w:r>
      <w:r w:rsidR="00C64050">
        <w:rPr>
          <w:lang w:eastAsia="en-GB"/>
        </w:rPr>
        <w:t xml:space="preserve"> </w:t>
      </w:r>
      <w:r>
        <w:rPr>
          <w:lang w:eastAsia="en-GB"/>
        </w:rPr>
        <w:t>Tax</w:t>
      </w:r>
      <w:r w:rsidR="00C64050">
        <w:rPr>
          <w:lang w:eastAsia="en-GB"/>
        </w:rPr>
        <w:t xml:space="preserve"> </w:t>
      </w:r>
      <w:r>
        <w:rPr>
          <w:lang w:eastAsia="en-GB"/>
        </w:rPr>
        <w:t>Court</w:t>
      </w:r>
      <w:r w:rsidR="00C64050">
        <w:rPr>
          <w:lang w:eastAsia="en-GB"/>
        </w:rPr>
        <w:t xml:space="preserve"> </w:t>
      </w:r>
      <w:r>
        <w:rPr>
          <w:lang w:eastAsia="en-GB"/>
        </w:rPr>
        <w:t>was</w:t>
      </w:r>
      <w:r w:rsidR="00C64050">
        <w:rPr>
          <w:lang w:eastAsia="en-GB"/>
        </w:rPr>
        <w:t xml:space="preserve"> </w:t>
      </w:r>
      <w:r>
        <w:rPr>
          <w:lang w:eastAsia="en-GB"/>
        </w:rPr>
        <w:t>correct.</w:t>
      </w:r>
      <w:r w:rsidR="00C64050">
        <w:rPr>
          <w:lang w:eastAsia="en-GB"/>
        </w:rPr>
        <w:t xml:space="preserve"> </w:t>
      </w:r>
      <w:r>
        <w:rPr>
          <w:lang w:eastAsia="en-GB"/>
        </w:rPr>
        <w:t>.</w:t>
      </w:r>
      <w:r w:rsidR="00C64050">
        <w:rPr>
          <w:lang w:eastAsia="en-GB"/>
        </w:rPr>
        <w:t xml:space="preserve"> </w:t>
      </w:r>
      <w:r>
        <w:rPr>
          <w:lang w:eastAsia="en-GB"/>
        </w:rPr>
        <w:t>.</w:t>
      </w:r>
      <w:r w:rsidR="00C64050">
        <w:rPr>
          <w:lang w:eastAsia="en-GB"/>
        </w:rPr>
        <w:t xml:space="preserve"> </w:t>
      </w:r>
      <w:r>
        <w:rPr>
          <w:lang w:eastAsia="en-GB"/>
        </w:rPr>
        <w:t>.</w:t>
      </w:r>
      <w:r w:rsidR="00C64050">
        <w:rPr>
          <w:lang w:eastAsia="en-GB"/>
        </w:rPr>
        <w:t xml:space="preserve"> </w:t>
      </w:r>
      <w:r>
        <w:rPr>
          <w:lang w:eastAsia="en-GB"/>
        </w:rPr>
        <w:t>The</w:t>
      </w:r>
      <w:r w:rsidR="00C64050">
        <w:rPr>
          <w:lang w:eastAsia="en-GB"/>
        </w:rPr>
        <w:t xml:space="preserve"> </w:t>
      </w:r>
      <w:r>
        <w:rPr>
          <w:lang w:eastAsia="en-GB"/>
        </w:rPr>
        <w:t>section</w:t>
      </w:r>
      <w:r w:rsidR="00C64050">
        <w:rPr>
          <w:lang w:eastAsia="en-GB"/>
        </w:rPr>
        <w:t xml:space="preserve"> </w:t>
      </w:r>
      <w:r>
        <w:rPr>
          <w:lang w:eastAsia="en-GB"/>
        </w:rPr>
        <w:t>taxing</w:t>
      </w:r>
      <w:r w:rsidR="00C64050">
        <w:rPr>
          <w:lang w:eastAsia="en-GB"/>
        </w:rPr>
        <w:t xml:space="preserve"> </w:t>
      </w:r>
      <w:r>
        <w:rPr>
          <w:lang w:eastAsia="en-GB"/>
        </w:rPr>
        <w:t>as</w:t>
      </w:r>
      <w:r w:rsidR="00C64050">
        <w:rPr>
          <w:lang w:eastAsia="en-GB"/>
        </w:rPr>
        <w:t xml:space="preserve"> </w:t>
      </w:r>
      <w:r>
        <w:rPr>
          <w:lang w:eastAsia="en-GB"/>
        </w:rPr>
        <w:t>gifts</w:t>
      </w:r>
      <w:r w:rsidR="00C64050">
        <w:rPr>
          <w:lang w:eastAsia="en-GB"/>
        </w:rPr>
        <w:t xml:space="preserve"> </w:t>
      </w:r>
      <w:r>
        <w:rPr>
          <w:lang w:eastAsia="en-GB"/>
        </w:rPr>
        <w:t>transfers</w:t>
      </w:r>
      <w:r w:rsidR="00C64050">
        <w:rPr>
          <w:lang w:eastAsia="en-GB"/>
        </w:rPr>
        <w:t xml:space="preserve"> </w:t>
      </w:r>
      <w:r>
        <w:rPr>
          <w:lang w:eastAsia="en-GB"/>
        </w:rPr>
        <w:t>that</w:t>
      </w:r>
      <w:r w:rsidR="00C64050">
        <w:rPr>
          <w:lang w:eastAsia="en-GB"/>
        </w:rPr>
        <w:t xml:space="preserve"> </w:t>
      </w:r>
      <w:r>
        <w:rPr>
          <w:lang w:eastAsia="en-GB"/>
        </w:rPr>
        <w:t>are</w:t>
      </w:r>
      <w:r w:rsidR="00C64050">
        <w:rPr>
          <w:lang w:eastAsia="en-GB"/>
        </w:rPr>
        <w:t xml:space="preserve"> </w:t>
      </w:r>
      <w:r>
        <w:rPr>
          <w:lang w:eastAsia="en-GB"/>
        </w:rPr>
        <w:t>not</w:t>
      </w:r>
      <w:r w:rsidR="00C64050">
        <w:rPr>
          <w:lang w:eastAsia="en-GB"/>
        </w:rPr>
        <w:t xml:space="preserve"> </w:t>
      </w:r>
      <w:r>
        <w:rPr>
          <w:lang w:eastAsia="en-GB"/>
        </w:rPr>
        <w:t>made</w:t>
      </w:r>
      <w:r w:rsidR="00C64050">
        <w:rPr>
          <w:lang w:eastAsia="en-GB"/>
        </w:rPr>
        <w:t xml:space="preserve"> </w:t>
      </w:r>
      <w:r>
        <w:rPr>
          <w:lang w:eastAsia="en-GB"/>
        </w:rPr>
        <w:t>for</w:t>
      </w:r>
      <w:r w:rsidR="00C64050">
        <w:rPr>
          <w:lang w:eastAsia="en-GB"/>
        </w:rPr>
        <w:t xml:space="preserve"> </w:t>
      </w:r>
      <w:r>
        <w:rPr>
          <w:lang w:eastAsia="en-GB"/>
        </w:rPr>
        <w:t>‘adequate</w:t>
      </w:r>
      <w:r w:rsidR="00C64050">
        <w:rPr>
          <w:lang w:eastAsia="en-GB"/>
        </w:rPr>
        <w:t xml:space="preserve"> </w:t>
      </w:r>
      <w:r>
        <w:rPr>
          <w:lang w:eastAsia="en-GB"/>
        </w:rPr>
        <w:t>and</w:t>
      </w:r>
      <w:r w:rsidR="00C64050">
        <w:rPr>
          <w:lang w:eastAsia="en-GB"/>
        </w:rPr>
        <w:t xml:space="preserve"> </w:t>
      </w:r>
      <w:r>
        <w:rPr>
          <w:lang w:eastAsia="en-GB"/>
        </w:rPr>
        <w:t>full</w:t>
      </w:r>
      <w:r w:rsidR="00C64050">
        <w:rPr>
          <w:lang w:eastAsia="en-GB"/>
        </w:rPr>
        <w:t xml:space="preserve"> </w:t>
      </w:r>
      <w:r>
        <w:rPr>
          <w:lang w:eastAsia="en-GB"/>
        </w:rPr>
        <w:t>(money)</w:t>
      </w:r>
      <w:r w:rsidR="00C64050">
        <w:rPr>
          <w:lang w:eastAsia="en-GB"/>
        </w:rPr>
        <w:t xml:space="preserve"> </w:t>
      </w:r>
      <w:r>
        <w:rPr>
          <w:lang w:eastAsia="en-GB"/>
        </w:rPr>
        <w:t>consideration’</w:t>
      </w:r>
      <w:r w:rsidR="00C64050">
        <w:rPr>
          <w:lang w:eastAsia="en-GB"/>
        </w:rPr>
        <w:t xml:space="preserve"> </w:t>
      </w:r>
      <w:r>
        <w:rPr>
          <w:lang w:eastAsia="en-GB"/>
        </w:rPr>
        <w:t>aims</w:t>
      </w:r>
      <w:r w:rsidR="00C64050">
        <w:rPr>
          <w:lang w:eastAsia="en-GB"/>
        </w:rPr>
        <w:t xml:space="preserve"> </w:t>
      </w:r>
      <w:r>
        <w:rPr>
          <w:lang w:eastAsia="en-GB"/>
        </w:rPr>
        <w:t>to</w:t>
      </w:r>
      <w:r w:rsidR="00C64050">
        <w:rPr>
          <w:lang w:eastAsia="en-GB"/>
        </w:rPr>
        <w:t xml:space="preserve"> </w:t>
      </w:r>
      <w:r>
        <w:rPr>
          <w:lang w:eastAsia="en-GB"/>
        </w:rPr>
        <w:t>reach</w:t>
      </w:r>
      <w:r w:rsidR="00C64050">
        <w:rPr>
          <w:lang w:eastAsia="en-GB"/>
        </w:rPr>
        <w:t xml:space="preserve"> </w:t>
      </w:r>
      <w:r>
        <w:rPr>
          <w:lang w:eastAsia="en-GB"/>
        </w:rPr>
        <w:t>those</w:t>
      </w:r>
      <w:r w:rsidR="00C64050">
        <w:rPr>
          <w:lang w:eastAsia="en-GB"/>
        </w:rPr>
        <w:t xml:space="preserve"> </w:t>
      </w:r>
      <w:r>
        <w:rPr>
          <w:lang w:eastAsia="en-GB"/>
        </w:rPr>
        <w:t>transfers</w:t>
      </w:r>
      <w:r w:rsidR="00C64050">
        <w:rPr>
          <w:lang w:eastAsia="en-GB"/>
        </w:rPr>
        <w:t xml:space="preserve"> </w:t>
      </w:r>
      <w:r>
        <w:rPr>
          <w:lang w:eastAsia="en-GB"/>
        </w:rPr>
        <w:t>which</w:t>
      </w:r>
      <w:r w:rsidR="00C64050">
        <w:rPr>
          <w:lang w:eastAsia="en-GB"/>
        </w:rPr>
        <w:t xml:space="preserve"> </w:t>
      </w:r>
      <w:r>
        <w:rPr>
          <w:lang w:eastAsia="en-GB"/>
        </w:rPr>
        <w:t>are</w:t>
      </w:r>
      <w:r w:rsidR="00C64050">
        <w:rPr>
          <w:lang w:eastAsia="en-GB"/>
        </w:rPr>
        <w:t xml:space="preserve"> </w:t>
      </w:r>
      <w:r>
        <w:rPr>
          <w:lang w:eastAsia="en-GB"/>
        </w:rPr>
        <w:t>withdrawn</w:t>
      </w:r>
      <w:r w:rsidR="00C64050">
        <w:rPr>
          <w:lang w:eastAsia="en-GB"/>
        </w:rPr>
        <w:t xml:space="preserve"> </w:t>
      </w:r>
      <w:r>
        <w:rPr>
          <w:lang w:eastAsia="en-GB"/>
        </w:rPr>
        <w:t>from</w:t>
      </w:r>
      <w:r w:rsidR="00C64050">
        <w:rPr>
          <w:lang w:eastAsia="en-GB"/>
        </w:rPr>
        <w:t xml:space="preserve"> </w:t>
      </w:r>
      <w:r>
        <w:rPr>
          <w:lang w:eastAsia="en-GB"/>
        </w:rPr>
        <w:t>the</w:t>
      </w:r>
      <w:r w:rsidR="00C64050">
        <w:rPr>
          <w:lang w:eastAsia="en-GB"/>
        </w:rPr>
        <w:t xml:space="preserve"> </w:t>
      </w:r>
      <w:r>
        <w:rPr>
          <w:lang w:eastAsia="en-GB"/>
        </w:rPr>
        <w:t>donor’s</w:t>
      </w:r>
      <w:r w:rsidR="00C64050">
        <w:rPr>
          <w:lang w:eastAsia="en-GB"/>
        </w:rPr>
        <w:t xml:space="preserve"> </w:t>
      </w:r>
      <w:r>
        <w:rPr>
          <w:lang w:eastAsia="en-GB"/>
        </w:rPr>
        <w:t>estate.</w:t>
      </w:r>
      <w:r w:rsidR="00C64050">
        <w:rPr>
          <w:lang w:eastAsia="en-GB"/>
        </w:rPr>
        <w:t xml:space="preserve"> </w:t>
      </w:r>
      <w:r>
        <w:rPr>
          <w:lang w:eastAsia="en-GB"/>
        </w:rPr>
        <w:t>To</w:t>
      </w:r>
      <w:r w:rsidR="00C64050">
        <w:rPr>
          <w:lang w:eastAsia="en-GB"/>
        </w:rPr>
        <w:t xml:space="preserve"> </w:t>
      </w:r>
      <w:r>
        <w:rPr>
          <w:lang w:eastAsia="en-GB"/>
        </w:rPr>
        <w:t>allow</w:t>
      </w:r>
      <w:r w:rsidR="00C64050">
        <w:rPr>
          <w:lang w:eastAsia="en-GB"/>
        </w:rPr>
        <w:t xml:space="preserve"> </w:t>
      </w:r>
      <w:r>
        <w:rPr>
          <w:lang w:eastAsia="en-GB"/>
        </w:rPr>
        <w:t>detriment</w:t>
      </w:r>
      <w:r w:rsidR="00C64050">
        <w:rPr>
          <w:lang w:eastAsia="en-GB"/>
        </w:rPr>
        <w:t xml:space="preserve"> </w:t>
      </w:r>
      <w:r>
        <w:rPr>
          <w:lang w:eastAsia="en-GB"/>
        </w:rPr>
        <w:t>to</w:t>
      </w:r>
      <w:r w:rsidR="00C64050">
        <w:rPr>
          <w:lang w:eastAsia="en-GB"/>
        </w:rPr>
        <w:t xml:space="preserve"> </w:t>
      </w:r>
      <w:r>
        <w:rPr>
          <w:lang w:eastAsia="en-GB"/>
        </w:rPr>
        <w:t>the</w:t>
      </w:r>
      <w:r w:rsidR="00C64050">
        <w:rPr>
          <w:lang w:eastAsia="en-GB"/>
        </w:rPr>
        <w:t xml:space="preserve"> </w:t>
      </w:r>
      <w:r>
        <w:rPr>
          <w:lang w:eastAsia="en-GB"/>
        </w:rPr>
        <w:t>donee</w:t>
      </w:r>
      <w:r w:rsidR="00C64050">
        <w:rPr>
          <w:lang w:eastAsia="en-GB"/>
        </w:rPr>
        <w:t xml:space="preserve"> </w:t>
      </w:r>
      <w:r>
        <w:rPr>
          <w:lang w:eastAsia="en-GB"/>
        </w:rPr>
        <w:t>to</w:t>
      </w:r>
      <w:r w:rsidR="00C64050">
        <w:rPr>
          <w:lang w:eastAsia="en-GB"/>
        </w:rPr>
        <w:t xml:space="preserve"> </w:t>
      </w:r>
      <w:r>
        <w:rPr>
          <w:lang w:eastAsia="en-GB"/>
        </w:rPr>
        <w:t>satisfy</w:t>
      </w:r>
      <w:r w:rsidR="00C64050">
        <w:rPr>
          <w:lang w:eastAsia="en-GB"/>
        </w:rPr>
        <w:t xml:space="preserve"> </w:t>
      </w:r>
      <w:r>
        <w:rPr>
          <w:lang w:eastAsia="en-GB"/>
        </w:rPr>
        <w:t>the</w:t>
      </w:r>
      <w:r w:rsidR="00C64050">
        <w:rPr>
          <w:lang w:eastAsia="en-GB"/>
        </w:rPr>
        <w:t xml:space="preserve"> </w:t>
      </w:r>
      <w:r>
        <w:rPr>
          <w:lang w:eastAsia="en-GB"/>
        </w:rPr>
        <w:t>requirement</w:t>
      </w:r>
      <w:r w:rsidR="00C64050">
        <w:rPr>
          <w:lang w:eastAsia="en-GB"/>
        </w:rPr>
        <w:t xml:space="preserve"> </w:t>
      </w:r>
      <w:r>
        <w:rPr>
          <w:lang w:eastAsia="en-GB"/>
        </w:rPr>
        <w:t>of</w:t>
      </w:r>
      <w:r w:rsidR="00C64050">
        <w:rPr>
          <w:lang w:eastAsia="en-GB"/>
        </w:rPr>
        <w:t xml:space="preserve"> </w:t>
      </w:r>
      <w:r>
        <w:rPr>
          <w:lang w:eastAsia="en-GB"/>
        </w:rPr>
        <w:t>‘adequate</w:t>
      </w:r>
      <w:r w:rsidR="00C64050">
        <w:rPr>
          <w:lang w:eastAsia="en-GB"/>
        </w:rPr>
        <w:t xml:space="preserve"> </w:t>
      </w:r>
      <w:r>
        <w:rPr>
          <w:lang w:eastAsia="en-GB"/>
        </w:rPr>
        <w:t>and</w:t>
      </w:r>
      <w:r w:rsidR="00C64050">
        <w:rPr>
          <w:lang w:eastAsia="en-GB"/>
        </w:rPr>
        <w:t xml:space="preserve"> </w:t>
      </w:r>
      <w:r>
        <w:rPr>
          <w:lang w:eastAsia="en-GB"/>
        </w:rPr>
        <w:t>full</w:t>
      </w:r>
      <w:r w:rsidR="00C64050">
        <w:rPr>
          <w:lang w:eastAsia="en-GB"/>
        </w:rPr>
        <w:t xml:space="preserve"> </w:t>
      </w:r>
      <w:r>
        <w:rPr>
          <w:lang w:eastAsia="en-GB"/>
        </w:rPr>
        <w:t>consideration’</w:t>
      </w:r>
      <w:r w:rsidR="00C64050">
        <w:rPr>
          <w:lang w:eastAsia="en-GB"/>
        </w:rPr>
        <w:t xml:space="preserve"> </w:t>
      </w:r>
      <w:r>
        <w:rPr>
          <w:lang w:eastAsia="en-GB"/>
        </w:rPr>
        <w:t>would</w:t>
      </w:r>
      <w:r w:rsidR="00C64050">
        <w:rPr>
          <w:lang w:eastAsia="en-GB"/>
        </w:rPr>
        <w:t xml:space="preserve"> </w:t>
      </w:r>
      <w:r>
        <w:rPr>
          <w:lang w:eastAsia="en-GB"/>
        </w:rPr>
        <w:t>violate</w:t>
      </w:r>
      <w:r w:rsidR="00C64050">
        <w:rPr>
          <w:lang w:eastAsia="en-GB"/>
        </w:rPr>
        <w:t xml:space="preserve"> </w:t>
      </w:r>
      <w:r>
        <w:rPr>
          <w:lang w:eastAsia="en-GB"/>
        </w:rPr>
        <w:t>the</w:t>
      </w:r>
      <w:r w:rsidR="00C64050">
        <w:rPr>
          <w:lang w:eastAsia="en-GB"/>
        </w:rPr>
        <w:t xml:space="preserve"> </w:t>
      </w:r>
      <w:r>
        <w:rPr>
          <w:lang w:eastAsia="en-GB"/>
        </w:rPr>
        <w:t>purpose</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statute</w:t>
      </w:r>
      <w:r w:rsidR="00C64050">
        <w:rPr>
          <w:lang w:eastAsia="en-GB"/>
        </w:rPr>
        <w:t xml:space="preserve"> </w:t>
      </w:r>
      <w:r>
        <w:rPr>
          <w:lang w:eastAsia="en-GB"/>
        </w:rPr>
        <w:t>and</w:t>
      </w:r>
      <w:r w:rsidR="00C64050">
        <w:rPr>
          <w:lang w:eastAsia="en-GB"/>
        </w:rPr>
        <w:t xml:space="preserve"> </w:t>
      </w:r>
      <w:r>
        <w:rPr>
          <w:lang w:eastAsia="en-GB"/>
        </w:rPr>
        <w:t>open</w:t>
      </w:r>
      <w:r w:rsidR="00C64050">
        <w:rPr>
          <w:lang w:eastAsia="en-GB"/>
        </w:rPr>
        <w:t xml:space="preserve"> </w:t>
      </w:r>
      <w:r>
        <w:rPr>
          <w:lang w:eastAsia="en-GB"/>
        </w:rPr>
        <w:t>wide</w:t>
      </w:r>
      <w:r w:rsidR="00C64050">
        <w:rPr>
          <w:lang w:eastAsia="en-GB"/>
        </w:rPr>
        <w:t xml:space="preserve"> </w:t>
      </w:r>
      <w:r>
        <w:rPr>
          <w:lang w:eastAsia="en-GB"/>
        </w:rPr>
        <w:t>the</w:t>
      </w:r>
      <w:r w:rsidR="00C64050">
        <w:rPr>
          <w:lang w:eastAsia="en-GB"/>
        </w:rPr>
        <w:t xml:space="preserve"> </w:t>
      </w:r>
      <w:r>
        <w:rPr>
          <w:lang w:eastAsia="en-GB"/>
        </w:rPr>
        <w:t>door</w:t>
      </w:r>
      <w:r w:rsidR="00C64050">
        <w:rPr>
          <w:lang w:eastAsia="en-GB"/>
        </w:rPr>
        <w:t xml:space="preserve"> </w:t>
      </w:r>
      <w:r>
        <w:rPr>
          <w:lang w:eastAsia="en-GB"/>
        </w:rPr>
        <w:t>for</w:t>
      </w:r>
      <w:r w:rsidR="00C64050">
        <w:rPr>
          <w:lang w:eastAsia="en-GB"/>
        </w:rPr>
        <w:t xml:space="preserve"> </w:t>
      </w:r>
      <w:r>
        <w:rPr>
          <w:lang w:eastAsia="en-GB"/>
        </w:rPr>
        <w:t>evasion</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gift</w:t>
      </w:r>
      <w:r w:rsidR="00C64050">
        <w:rPr>
          <w:lang w:eastAsia="en-GB"/>
        </w:rPr>
        <w:t xml:space="preserve"> </w:t>
      </w:r>
      <w:r>
        <w:rPr>
          <w:lang w:eastAsia="en-GB"/>
        </w:rPr>
        <w:t>tax.</w:t>
      </w:r>
    </w:p>
    <w:p w:rsidR="00A95E15" w:rsidRDefault="00A95E15" w:rsidP="002866E3">
      <w:pPr>
        <w:pStyle w:val="QS10"/>
        <w:rPr>
          <w:lang w:eastAsia="en-GB"/>
        </w:rPr>
      </w:pPr>
      <w:r w:rsidRPr="002866E3">
        <w:rPr>
          <w:u w:val="single"/>
          <w:lang w:eastAsia="en-GB"/>
        </w:rPr>
        <w:t>Wemyss</w:t>
      </w:r>
      <w:r>
        <w:rPr>
          <w:lang w:eastAsia="en-GB"/>
        </w:rPr>
        <w:t>,</w:t>
      </w:r>
      <w:r w:rsidR="00C64050">
        <w:rPr>
          <w:lang w:eastAsia="en-GB"/>
        </w:rPr>
        <w:t xml:space="preserve"> </w:t>
      </w:r>
      <w:r>
        <w:rPr>
          <w:lang w:eastAsia="en-GB"/>
        </w:rPr>
        <w:t>324</w:t>
      </w:r>
      <w:r w:rsidR="00C64050">
        <w:rPr>
          <w:lang w:eastAsia="en-GB"/>
        </w:rPr>
        <w:t xml:space="preserve"> </w:t>
      </w:r>
      <w:r>
        <w:rPr>
          <w:lang w:eastAsia="en-GB"/>
        </w:rPr>
        <w:t>U.S.</w:t>
      </w:r>
      <w:r w:rsidR="00C64050">
        <w:rPr>
          <w:lang w:eastAsia="en-GB"/>
        </w:rPr>
        <w:t xml:space="preserve"> </w:t>
      </w:r>
      <w:r>
        <w:rPr>
          <w:lang w:eastAsia="en-GB"/>
        </w:rPr>
        <w:t>at</w:t>
      </w:r>
      <w:r w:rsidR="00C64050">
        <w:rPr>
          <w:lang w:eastAsia="en-GB"/>
        </w:rPr>
        <w:t xml:space="preserve"> </w:t>
      </w:r>
      <w:r>
        <w:rPr>
          <w:lang w:eastAsia="en-GB"/>
        </w:rPr>
        <w:t>307-08.</w:t>
      </w:r>
      <w:r w:rsidR="00C64050">
        <w:rPr>
          <w:lang w:eastAsia="en-GB"/>
        </w:rPr>
        <w:t xml:space="preserve"> </w:t>
      </w:r>
      <w:r>
        <w:rPr>
          <w:lang w:eastAsia="en-GB"/>
        </w:rPr>
        <w:t>In</w:t>
      </w:r>
      <w:r w:rsidR="00C64050">
        <w:rPr>
          <w:lang w:eastAsia="en-GB"/>
        </w:rPr>
        <w:t xml:space="preserve"> </w:t>
      </w:r>
      <w:r>
        <w:rPr>
          <w:lang w:eastAsia="en-GB"/>
        </w:rPr>
        <w:t>other</w:t>
      </w:r>
      <w:r w:rsidR="00C64050">
        <w:rPr>
          <w:lang w:eastAsia="en-GB"/>
        </w:rPr>
        <w:t xml:space="preserve"> </w:t>
      </w:r>
      <w:r>
        <w:rPr>
          <w:lang w:eastAsia="en-GB"/>
        </w:rPr>
        <w:t>words,</w:t>
      </w:r>
      <w:r w:rsidR="00C64050">
        <w:rPr>
          <w:lang w:eastAsia="en-GB"/>
        </w:rPr>
        <w:t xml:space="preserve"> </w:t>
      </w:r>
      <w:r>
        <w:rPr>
          <w:lang w:eastAsia="en-GB"/>
        </w:rPr>
        <w:t>valuable</w:t>
      </w:r>
      <w:r w:rsidR="00C64050">
        <w:rPr>
          <w:lang w:eastAsia="en-GB"/>
        </w:rPr>
        <w:t xml:space="preserve"> </w:t>
      </w:r>
      <w:r>
        <w:rPr>
          <w:lang w:eastAsia="en-GB"/>
        </w:rPr>
        <w:t>contractual</w:t>
      </w:r>
      <w:r w:rsidR="00C64050">
        <w:rPr>
          <w:lang w:eastAsia="en-GB"/>
        </w:rPr>
        <w:t xml:space="preserve"> </w:t>
      </w:r>
      <w:r>
        <w:rPr>
          <w:lang w:eastAsia="en-GB"/>
        </w:rPr>
        <w:t>consideration</w:t>
      </w:r>
      <w:r w:rsidR="00C64050">
        <w:rPr>
          <w:lang w:eastAsia="en-GB"/>
        </w:rPr>
        <w:t xml:space="preserve"> </w:t>
      </w:r>
      <w:r>
        <w:rPr>
          <w:lang w:eastAsia="en-GB"/>
        </w:rPr>
        <w:t>in</w:t>
      </w:r>
      <w:r w:rsidR="00C64050">
        <w:rPr>
          <w:lang w:eastAsia="en-GB"/>
        </w:rPr>
        <w:t xml:space="preserve"> </w:t>
      </w:r>
      <w:r>
        <w:rPr>
          <w:lang w:eastAsia="en-GB"/>
        </w:rPr>
        <w:t>the</w:t>
      </w:r>
      <w:r w:rsidR="00C64050">
        <w:rPr>
          <w:lang w:eastAsia="en-GB"/>
        </w:rPr>
        <w:t xml:space="preserve"> </w:t>
      </w:r>
      <w:r>
        <w:rPr>
          <w:lang w:eastAsia="en-GB"/>
        </w:rPr>
        <w:t>hands</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donor</w:t>
      </w:r>
      <w:r w:rsidR="00C64050">
        <w:rPr>
          <w:lang w:eastAsia="en-GB"/>
        </w:rPr>
        <w:t xml:space="preserve"> </w:t>
      </w:r>
      <w:r>
        <w:rPr>
          <w:lang w:eastAsia="en-GB"/>
        </w:rPr>
        <w:t>is</w:t>
      </w:r>
      <w:r w:rsidR="00C64050">
        <w:rPr>
          <w:lang w:eastAsia="en-GB"/>
        </w:rPr>
        <w:t xml:space="preserve"> </w:t>
      </w:r>
      <w:r>
        <w:rPr>
          <w:lang w:eastAsia="en-GB"/>
        </w:rPr>
        <w:t>not</w:t>
      </w:r>
      <w:r w:rsidR="00C64050">
        <w:rPr>
          <w:lang w:eastAsia="en-GB"/>
        </w:rPr>
        <w:t xml:space="preserve"> </w:t>
      </w:r>
      <w:r>
        <w:rPr>
          <w:lang w:eastAsia="en-GB"/>
        </w:rPr>
        <w:t>sufficient;</w:t>
      </w:r>
      <w:r w:rsidR="00C64050">
        <w:rPr>
          <w:lang w:eastAsia="en-GB"/>
        </w:rPr>
        <w:t xml:space="preserve"> </w:t>
      </w:r>
      <w:r>
        <w:rPr>
          <w:lang w:eastAsia="en-GB"/>
        </w:rPr>
        <w:t>adequate</w:t>
      </w:r>
      <w:r w:rsidR="00C64050">
        <w:rPr>
          <w:lang w:eastAsia="en-GB"/>
        </w:rPr>
        <w:t xml:space="preserve"> </w:t>
      </w:r>
      <w:r>
        <w:rPr>
          <w:lang w:eastAsia="en-GB"/>
        </w:rPr>
        <w:t>and</w:t>
      </w:r>
      <w:r w:rsidR="00C64050">
        <w:rPr>
          <w:lang w:eastAsia="en-GB"/>
        </w:rPr>
        <w:t xml:space="preserve"> </w:t>
      </w:r>
      <w:r>
        <w:rPr>
          <w:lang w:eastAsia="en-GB"/>
        </w:rPr>
        <w:t>full</w:t>
      </w:r>
      <w:r w:rsidR="00C64050">
        <w:rPr>
          <w:lang w:eastAsia="en-GB"/>
        </w:rPr>
        <w:t xml:space="preserve"> </w:t>
      </w:r>
      <w:r>
        <w:rPr>
          <w:lang w:eastAsia="en-GB"/>
        </w:rPr>
        <w:t>consideration</w:t>
      </w:r>
      <w:r w:rsidR="00C64050">
        <w:rPr>
          <w:lang w:eastAsia="en-GB"/>
        </w:rPr>
        <w:t xml:space="preserve"> </w:t>
      </w:r>
      <w:r>
        <w:rPr>
          <w:lang w:eastAsia="en-GB"/>
        </w:rPr>
        <w:t>is</w:t>
      </w:r>
      <w:r w:rsidR="00C64050">
        <w:rPr>
          <w:lang w:eastAsia="en-GB"/>
        </w:rPr>
        <w:t xml:space="preserve"> </w:t>
      </w:r>
      <w:r>
        <w:rPr>
          <w:lang w:eastAsia="en-GB"/>
        </w:rPr>
        <w:t>that</w:t>
      </w:r>
      <w:r w:rsidR="00C64050">
        <w:rPr>
          <w:lang w:eastAsia="en-GB"/>
        </w:rPr>
        <w:t xml:space="preserve"> </w:t>
      </w:r>
      <w:r>
        <w:rPr>
          <w:lang w:eastAsia="en-GB"/>
        </w:rPr>
        <w:t>which</w:t>
      </w:r>
      <w:r w:rsidR="00C64050">
        <w:rPr>
          <w:lang w:eastAsia="en-GB"/>
        </w:rPr>
        <w:t xml:space="preserve"> </w:t>
      </w:r>
      <w:r>
        <w:rPr>
          <w:lang w:eastAsia="en-GB"/>
        </w:rPr>
        <w:t>replenishes,</w:t>
      </w:r>
      <w:r w:rsidR="00C64050">
        <w:rPr>
          <w:lang w:eastAsia="en-GB"/>
        </w:rPr>
        <w:t xml:space="preserve"> </w:t>
      </w:r>
      <w:r>
        <w:rPr>
          <w:lang w:eastAsia="en-GB"/>
        </w:rPr>
        <w:t>or</w:t>
      </w:r>
      <w:r w:rsidR="00C64050">
        <w:rPr>
          <w:lang w:eastAsia="en-GB"/>
        </w:rPr>
        <w:t xml:space="preserve"> </w:t>
      </w:r>
      <w:r>
        <w:rPr>
          <w:lang w:eastAsia="en-GB"/>
        </w:rPr>
        <w:t>augments,</w:t>
      </w:r>
      <w:r w:rsidR="00C64050">
        <w:rPr>
          <w:lang w:eastAsia="en-GB"/>
        </w:rPr>
        <w:t xml:space="preserve"> </w:t>
      </w:r>
      <w:r>
        <w:rPr>
          <w:lang w:eastAsia="en-GB"/>
        </w:rPr>
        <w:t>the</w:t>
      </w:r>
      <w:r w:rsidR="00C64050">
        <w:rPr>
          <w:lang w:eastAsia="en-GB"/>
        </w:rPr>
        <w:t xml:space="preserve"> </w:t>
      </w:r>
      <w:r>
        <w:rPr>
          <w:lang w:eastAsia="en-GB"/>
        </w:rPr>
        <w:t>donor’s</w:t>
      </w:r>
      <w:r w:rsidR="00C64050">
        <w:rPr>
          <w:lang w:eastAsia="en-GB"/>
        </w:rPr>
        <w:t xml:space="preserve"> </w:t>
      </w:r>
      <w:r>
        <w:rPr>
          <w:lang w:eastAsia="en-GB"/>
        </w:rPr>
        <w:t>taxable</w:t>
      </w:r>
      <w:r w:rsidR="00C64050">
        <w:rPr>
          <w:lang w:eastAsia="en-GB"/>
        </w:rPr>
        <w:t xml:space="preserve"> </w:t>
      </w:r>
      <w:r>
        <w:rPr>
          <w:lang w:eastAsia="en-GB"/>
        </w:rPr>
        <w:t>estate.</w:t>
      </w:r>
    </w:p>
    <w:p w:rsidR="00A95E15" w:rsidRDefault="00A95E15" w:rsidP="002866E3">
      <w:pPr>
        <w:pStyle w:val="QS10"/>
        <w:rPr>
          <w:lang w:eastAsia="en-GB"/>
        </w:rPr>
      </w:pPr>
      <w:r w:rsidRPr="002866E3">
        <w:rPr>
          <w:u w:val="single"/>
          <w:lang w:eastAsia="en-GB"/>
        </w:rPr>
        <w:t>Wemyss</w:t>
      </w:r>
      <w:r w:rsidR="00C64050">
        <w:rPr>
          <w:lang w:eastAsia="en-GB"/>
        </w:rPr>
        <w:t xml:space="preserve"> </w:t>
      </w:r>
      <w:r>
        <w:rPr>
          <w:lang w:eastAsia="en-GB"/>
        </w:rPr>
        <w:t>had</w:t>
      </w:r>
      <w:r w:rsidR="00C64050">
        <w:rPr>
          <w:lang w:eastAsia="en-GB"/>
        </w:rPr>
        <w:t xml:space="preserve"> </w:t>
      </w:r>
      <w:r>
        <w:rPr>
          <w:lang w:eastAsia="en-GB"/>
        </w:rPr>
        <w:t>a</w:t>
      </w:r>
      <w:r w:rsidR="00C64050">
        <w:rPr>
          <w:lang w:eastAsia="en-GB"/>
        </w:rPr>
        <w:t xml:space="preserve"> </w:t>
      </w:r>
      <w:r>
        <w:rPr>
          <w:lang w:eastAsia="en-GB"/>
        </w:rPr>
        <w:t>companion</w:t>
      </w:r>
      <w:r w:rsidR="00C64050">
        <w:rPr>
          <w:lang w:eastAsia="en-GB"/>
        </w:rPr>
        <w:t xml:space="preserve"> </w:t>
      </w:r>
      <w:r>
        <w:rPr>
          <w:lang w:eastAsia="en-GB"/>
        </w:rPr>
        <w:t>case,</w:t>
      </w:r>
      <w:r w:rsidR="00C64050">
        <w:rPr>
          <w:lang w:eastAsia="en-GB"/>
        </w:rPr>
        <w:t xml:space="preserve"> </w:t>
      </w:r>
      <w:r w:rsidRPr="002866E3">
        <w:rPr>
          <w:u w:val="single"/>
          <w:lang w:eastAsia="en-GB"/>
        </w:rPr>
        <w:t>Merrill</w:t>
      </w:r>
      <w:r w:rsidR="00C64050">
        <w:rPr>
          <w:u w:val="single"/>
          <w:lang w:eastAsia="en-GB"/>
        </w:rPr>
        <w:t xml:space="preserve"> </w:t>
      </w:r>
      <w:r w:rsidRPr="002866E3">
        <w:rPr>
          <w:u w:val="single"/>
          <w:lang w:eastAsia="en-GB"/>
        </w:rPr>
        <w:t>v.</w:t>
      </w:r>
      <w:r w:rsidR="00C64050">
        <w:rPr>
          <w:u w:val="single"/>
          <w:lang w:eastAsia="en-GB"/>
        </w:rPr>
        <w:t xml:space="preserve"> </w:t>
      </w:r>
      <w:r w:rsidRPr="002866E3">
        <w:rPr>
          <w:u w:val="single"/>
          <w:lang w:eastAsia="en-GB"/>
        </w:rPr>
        <w:t>Fahs</w:t>
      </w:r>
      <w:r>
        <w:rPr>
          <w:lang w:eastAsia="en-GB"/>
        </w:rPr>
        <w:t>,</w:t>
      </w:r>
      <w:r w:rsidR="00C64050">
        <w:rPr>
          <w:lang w:eastAsia="en-GB"/>
        </w:rPr>
        <w:t xml:space="preserve"> </w:t>
      </w:r>
      <w:r>
        <w:rPr>
          <w:lang w:eastAsia="en-GB"/>
        </w:rPr>
        <w:t>324</w:t>
      </w:r>
      <w:r w:rsidR="00C64050">
        <w:rPr>
          <w:lang w:eastAsia="en-GB"/>
        </w:rPr>
        <w:t xml:space="preserve"> </w:t>
      </w:r>
      <w:r>
        <w:rPr>
          <w:lang w:eastAsia="en-GB"/>
        </w:rPr>
        <w:t>U.S.</w:t>
      </w:r>
      <w:r w:rsidR="00C64050">
        <w:rPr>
          <w:lang w:eastAsia="en-GB"/>
        </w:rPr>
        <w:t xml:space="preserve"> </w:t>
      </w:r>
      <w:r>
        <w:rPr>
          <w:lang w:eastAsia="en-GB"/>
        </w:rPr>
        <w:t>308</w:t>
      </w:r>
      <w:r w:rsidR="00C64050">
        <w:rPr>
          <w:lang w:eastAsia="en-GB"/>
        </w:rPr>
        <w:t xml:space="preserve"> </w:t>
      </w:r>
      <w:r>
        <w:rPr>
          <w:lang w:eastAsia="en-GB"/>
        </w:rPr>
        <w:t>(1945),</w:t>
      </w:r>
      <w:r w:rsidR="00C64050">
        <w:rPr>
          <w:lang w:eastAsia="en-GB"/>
        </w:rPr>
        <w:t xml:space="preserve"> </w:t>
      </w:r>
      <w:r>
        <w:rPr>
          <w:lang w:eastAsia="en-GB"/>
        </w:rPr>
        <w:t>which</w:t>
      </w:r>
      <w:r w:rsidR="00C64050">
        <w:rPr>
          <w:lang w:eastAsia="en-GB"/>
        </w:rPr>
        <w:t xml:space="preserve"> </w:t>
      </w:r>
      <w:r>
        <w:rPr>
          <w:lang w:eastAsia="en-GB"/>
        </w:rPr>
        <w:t>was</w:t>
      </w:r>
      <w:r w:rsidR="00C64050">
        <w:rPr>
          <w:lang w:eastAsia="en-GB"/>
        </w:rPr>
        <w:t xml:space="preserve"> </w:t>
      </w:r>
      <w:r>
        <w:rPr>
          <w:lang w:eastAsia="en-GB"/>
        </w:rPr>
        <w:t>also</w:t>
      </w:r>
      <w:r w:rsidR="00C64050">
        <w:rPr>
          <w:lang w:eastAsia="en-GB"/>
        </w:rPr>
        <w:t xml:space="preserve"> </w:t>
      </w:r>
      <w:r>
        <w:rPr>
          <w:lang w:eastAsia="en-GB"/>
        </w:rPr>
        <w:t>a</w:t>
      </w:r>
      <w:r w:rsidR="00C64050">
        <w:rPr>
          <w:lang w:eastAsia="en-GB"/>
        </w:rPr>
        <w:t xml:space="preserve"> </w:t>
      </w:r>
      <w:r>
        <w:rPr>
          <w:lang w:eastAsia="en-GB"/>
        </w:rPr>
        <w:t>gift</w:t>
      </w:r>
      <w:r w:rsidR="00C64050">
        <w:rPr>
          <w:lang w:eastAsia="en-GB"/>
        </w:rPr>
        <w:t xml:space="preserve"> </w:t>
      </w:r>
      <w:r>
        <w:rPr>
          <w:lang w:eastAsia="en-GB"/>
        </w:rPr>
        <w:t>tax</w:t>
      </w:r>
      <w:r w:rsidR="00C64050">
        <w:rPr>
          <w:lang w:eastAsia="en-GB"/>
        </w:rPr>
        <w:t xml:space="preserve"> </w:t>
      </w:r>
      <w:r>
        <w:rPr>
          <w:lang w:eastAsia="en-GB"/>
        </w:rPr>
        <w:t>case.</w:t>
      </w:r>
      <w:r w:rsidR="00C64050">
        <w:rPr>
          <w:lang w:eastAsia="en-GB"/>
        </w:rPr>
        <w:t xml:space="preserve"> </w:t>
      </w:r>
      <w:r w:rsidRPr="002866E3">
        <w:rPr>
          <w:u w:val="single"/>
          <w:lang w:eastAsia="en-GB"/>
        </w:rPr>
        <w:t>Merrill</w:t>
      </w:r>
      <w:r w:rsidR="00C64050">
        <w:rPr>
          <w:lang w:eastAsia="en-GB"/>
        </w:rPr>
        <w:t xml:space="preserve"> </w:t>
      </w:r>
      <w:r>
        <w:rPr>
          <w:lang w:eastAsia="en-GB"/>
        </w:rPr>
        <w:t>and</w:t>
      </w:r>
      <w:r w:rsidR="00C64050">
        <w:rPr>
          <w:lang w:eastAsia="en-GB"/>
        </w:rPr>
        <w:t xml:space="preserve"> </w:t>
      </w:r>
      <w:r>
        <w:rPr>
          <w:lang w:eastAsia="en-GB"/>
        </w:rPr>
        <w:t>its</w:t>
      </w:r>
      <w:r w:rsidR="00C64050">
        <w:rPr>
          <w:lang w:eastAsia="en-GB"/>
        </w:rPr>
        <w:t xml:space="preserve"> </w:t>
      </w:r>
      <w:r>
        <w:rPr>
          <w:lang w:eastAsia="en-GB"/>
        </w:rPr>
        <w:t>predecessors</w:t>
      </w:r>
      <w:r w:rsidR="00C64050">
        <w:rPr>
          <w:lang w:eastAsia="en-GB"/>
        </w:rPr>
        <w:t xml:space="preserve"> </w:t>
      </w:r>
      <w:r>
        <w:rPr>
          <w:lang w:eastAsia="en-GB"/>
        </w:rPr>
        <w:t>likewise</w:t>
      </w:r>
      <w:r w:rsidR="00C64050">
        <w:rPr>
          <w:lang w:eastAsia="en-GB"/>
        </w:rPr>
        <w:t xml:space="preserve"> </w:t>
      </w:r>
      <w:r>
        <w:rPr>
          <w:lang w:eastAsia="en-GB"/>
        </w:rPr>
        <w:t>involved</w:t>
      </w:r>
      <w:r w:rsidR="00C64050">
        <w:rPr>
          <w:lang w:eastAsia="en-GB"/>
        </w:rPr>
        <w:t xml:space="preserve"> </w:t>
      </w:r>
      <w:r>
        <w:rPr>
          <w:lang w:eastAsia="en-GB"/>
        </w:rPr>
        <w:t>situations</w:t>
      </w:r>
      <w:r w:rsidR="00C64050">
        <w:rPr>
          <w:lang w:eastAsia="en-GB"/>
        </w:rPr>
        <w:t xml:space="preserve"> </w:t>
      </w:r>
      <w:r>
        <w:rPr>
          <w:lang w:eastAsia="en-GB"/>
        </w:rPr>
        <w:t>where</w:t>
      </w:r>
      <w:r w:rsidR="00C64050">
        <w:rPr>
          <w:lang w:eastAsia="en-GB"/>
        </w:rPr>
        <w:t xml:space="preserve"> </w:t>
      </w:r>
      <w:r>
        <w:rPr>
          <w:lang w:eastAsia="en-GB"/>
        </w:rPr>
        <w:t>A</w:t>
      </w:r>
      <w:r w:rsidR="00C64050">
        <w:rPr>
          <w:lang w:eastAsia="en-GB"/>
        </w:rPr>
        <w:t xml:space="preserve"> </w:t>
      </w:r>
      <w:r>
        <w:rPr>
          <w:lang w:eastAsia="en-GB"/>
        </w:rPr>
        <w:t>transferred</w:t>
      </w:r>
      <w:r w:rsidR="00C64050">
        <w:rPr>
          <w:lang w:eastAsia="en-GB"/>
        </w:rPr>
        <w:t xml:space="preserve"> </w:t>
      </w:r>
      <w:r>
        <w:rPr>
          <w:lang w:eastAsia="en-GB"/>
        </w:rPr>
        <w:t>property</w:t>
      </w:r>
      <w:r w:rsidR="00C64050">
        <w:rPr>
          <w:lang w:eastAsia="en-GB"/>
        </w:rPr>
        <w:t xml:space="preserve"> </w:t>
      </w:r>
      <w:r>
        <w:rPr>
          <w:lang w:eastAsia="en-GB"/>
        </w:rPr>
        <w:t>to</w:t>
      </w:r>
      <w:r w:rsidR="00C64050">
        <w:rPr>
          <w:lang w:eastAsia="en-GB"/>
        </w:rPr>
        <w:t xml:space="preserve"> </w:t>
      </w:r>
      <w:r>
        <w:rPr>
          <w:lang w:eastAsia="en-GB"/>
        </w:rPr>
        <w:t>B,</w:t>
      </w:r>
      <w:r w:rsidR="00C64050">
        <w:rPr>
          <w:lang w:eastAsia="en-GB"/>
        </w:rPr>
        <w:t xml:space="preserve"> </w:t>
      </w:r>
      <w:r>
        <w:rPr>
          <w:lang w:eastAsia="en-GB"/>
        </w:rPr>
        <w:t>A’s</w:t>
      </w:r>
      <w:r w:rsidR="00C64050">
        <w:rPr>
          <w:lang w:eastAsia="en-GB"/>
        </w:rPr>
        <w:t xml:space="preserve"> </w:t>
      </w:r>
      <w:r>
        <w:rPr>
          <w:lang w:eastAsia="en-GB"/>
        </w:rPr>
        <w:t>fiancé</w:t>
      </w:r>
      <w:r w:rsidR="00C64050">
        <w:rPr>
          <w:lang w:eastAsia="en-GB"/>
        </w:rPr>
        <w:t xml:space="preserve"> </w:t>
      </w:r>
      <w:r>
        <w:rPr>
          <w:lang w:eastAsia="en-GB"/>
        </w:rPr>
        <w:t>or</w:t>
      </w:r>
      <w:r w:rsidR="00C64050">
        <w:rPr>
          <w:lang w:eastAsia="en-GB"/>
        </w:rPr>
        <w:t xml:space="preserve"> </w:t>
      </w:r>
      <w:r>
        <w:rPr>
          <w:lang w:eastAsia="en-GB"/>
        </w:rPr>
        <w:t>spouse,</w:t>
      </w:r>
      <w:r w:rsidR="00C64050">
        <w:rPr>
          <w:lang w:eastAsia="en-GB"/>
        </w:rPr>
        <w:t xml:space="preserve"> </w:t>
      </w:r>
      <w:r>
        <w:rPr>
          <w:lang w:eastAsia="en-GB"/>
        </w:rPr>
        <w:t>in</w:t>
      </w:r>
      <w:r w:rsidR="00C64050">
        <w:rPr>
          <w:lang w:eastAsia="en-GB"/>
        </w:rPr>
        <w:t xml:space="preserve"> </w:t>
      </w:r>
      <w:r>
        <w:rPr>
          <w:lang w:eastAsia="en-GB"/>
        </w:rPr>
        <w:t>exchange</w:t>
      </w:r>
      <w:r w:rsidR="00C64050">
        <w:rPr>
          <w:lang w:eastAsia="en-GB"/>
        </w:rPr>
        <w:t xml:space="preserve"> </w:t>
      </w:r>
      <w:r>
        <w:rPr>
          <w:lang w:eastAsia="en-GB"/>
        </w:rPr>
        <w:t>for</w:t>
      </w:r>
      <w:r w:rsidR="00C64050">
        <w:rPr>
          <w:lang w:eastAsia="en-GB"/>
        </w:rPr>
        <w:t xml:space="preserve"> </w:t>
      </w:r>
      <w:r>
        <w:rPr>
          <w:lang w:eastAsia="en-GB"/>
        </w:rPr>
        <w:t>B’s</w:t>
      </w:r>
      <w:r w:rsidR="00C64050">
        <w:rPr>
          <w:lang w:eastAsia="en-GB"/>
        </w:rPr>
        <w:t xml:space="preserve"> </w:t>
      </w:r>
      <w:r>
        <w:rPr>
          <w:lang w:eastAsia="en-GB"/>
        </w:rPr>
        <w:t>relinquishment</w:t>
      </w:r>
      <w:r w:rsidR="00C64050">
        <w:rPr>
          <w:lang w:eastAsia="en-GB"/>
        </w:rPr>
        <w:t xml:space="preserve"> </w:t>
      </w:r>
      <w:r>
        <w:rPr>
          <w:lang w:eastAsia="en-GB"/>
        </w:rPr>
        <w:t>of</w:t>
      </w:r>
      <w:r w:rsidR="00C64050">
        <w:rPr>
          <w:lang w:eastAsia="en-GB"/>
        </w:rPr>
        <w:t xml:space="preserve"> </w:t>
      </w:r>
      <w:r>
        <w:rPr>
          <w:lang w:eastAsia="en-GB"/>
        </w:rPr>
        <w:t>marital</w:t>
      </w:r>
      <w:r w:rsidR="00C64050">
        <w:rPr>
          <w:lang w:eastAsia="en-GB"/>
        </w:rPr>
        <w:t xml:space="preserve"> </w:t>
      </w:r>
      <w:r>
        <w:rPr>
          <w:lang w:eastAsia="en-GB"/>
        </w:rPr>
        <w:t>rights</w:t>
      </w:r>
      <w:r w:rsidR="00C64050">
        <w:rPr>
          <w:lang w:eastAsia="en-GB"/>
        </w:rPr>
        <w:t xml:space="preserve"> </w:t>
      </w:r>
      <w:r>
        <w:rPr>
          <w:lang w:eastAsia="en-GB"/>
        </w:rPr>
        <w:t>in</w:t>
      </w:r>
      <w:r w:rsidR="00C64050">
        <w:rPr>
          <w:lang w:eastAsia="en-GB"/>
        </w:rPr>
        <w:t xml:space="preserve"> </w:t>
      </w:r>
      <w:r>
        <w:rPr>
          <w:lang w:eastAsia="en-GB"/>
        </w:rPr>
        <w:t>A’s</w:t>
      </w:r>
      <w:r w:rsidR="00C64050">
        <w:rPr>
          <w:lang w:eastAsia="en-GB"/>
        </w:rPr>
        <w:t xml:space="preserve"> </w:t>
      </w:r>
      <w:r>
        <w:rPr>
          <w:lang w:eastAsia="en-GB"/>
        </w:rPr>
        <w:t>remaining</w:t>
      </w:r>
      <w:r w:rsidR="00C64050">
        <w:rPr>
          <w:lang w:eastAsia="en-GB"/>
        </w:rPr>
        <w:t xml:space="preserve"> </w:t>
      </w:r>
      <w:r>
        <w:rPr>
          <w:lang w:eastAsia="en-GB"/>
        </w:rPr>
        <w:t>property.</w:t>
      </w:r>
      <w:r w:rsidR="00C64050">
        <w:rPr>
          <w:lang w:eastAsia="en-GB"/>
        </w:rPr>
        <w:t xml:space="preserve"> </w:t>
      </w:r>
      <w:r>
        <w:rPr>
          <w:lang w:eastAsia="en-GB"/>
        </w:rPr>
        <w:t>Both</w:t>
      </w:r>
      <w:r w:rsidR="00C64050">
        <w:rPr>
          <w:lang w:eastAsia="en-GB"/>
        </w:rPr>
        <w:t xml:space="preserve"> </w:t>
      </w:r>
      <w:r w:rsidRPr="002866E3">
        <w:rPr>
          <w:u w:val="single"/>
          <w:lang w:eastAsia="en-GB"/>
        </w:rPr>
        <w:t>Wemyss</w:t>
      </w:r>
      <w:r w:rsidR="00C64050">
        <w:rPr>
          <w:lang w:eastAsia="en-GB"/>
        </w:rPr>
        <w:t xml:space="preserve"> </w:t>
      </w:r>
      <w:r>
        <w:rPr>
          <w:lang w:eastAsia="en-GB"/>
        </w:rPr>
        <w:t>and</w:t>
      </w:r>
      <w:r w:rsidR="00C64050">
        <w:rPr>
          <w:lang w:eastAsia="en-GB"/>
        </w:rPr>
        <w:t xml:space="preserve"> </w:t>
      </w:r>
      <w:r w:rsidRPr="002866E3">
        <w:rPr>
          <w:u w:val="single"/>
          <w:lang w:eastAsia="en-GB"/>
        </w:rPr>
        <w:t>Merrill</w:t>
      </w:r>
      <w:r w:rsidR="00C64050">
        <w:rPr>
          <w:lang w:eastAsia="en-GB"/>
        </w:rPr>
        <w:t xml:space="preserve"> </w:t>
      </w:r>
      <w:r>
        <w:rPr>
          <w:lang w:eastAsia="en-GB"/>
        </w:rPr>
        <w:t>have</w:t>
      </w:r>
      <w:r w:rsidR="00C64050">
        <w:rPr>
          <w:lang w:eastAsia="en-GB"/>
        </w:rPr>
        <w:t xml:space="preserve"> </w:t>
      </w:r>
      <w:r>
        <w:rPr>
          <w:lang w:eastAsia="en-GB"/>
        </w:rPr>
        <w:t>come</w:t>
      </w:r>
      <w:r w:rsidR="00C64050">
        <w:rPr>
          <w:lang w:eastAsia="en-GB"/>
        </w:rPr>
        <w:t xml:space="preserve"> </w:t>
      </w:r>
      <w:r>
        <w:rPr>
          <w:lang w:eastAsia="en-GB"/>
        </w:rPr>
        <w:t>to</w:t>
      </w:r>
      <w:r w:rsidR="00C64050">
        <w:rPr>
          <w:lang w:eastAsia="en-GB"/>
        </w:rPr>
        <w:t xml:space="preserve"> </w:t>
      </w:r>
      <w:r>
        <w:rPr>
          <w:lang w:eastAsia="en-GB"/>
        </w:rPr>
        <w:t>stand</w:t>
      </w:r>
      <w:r w:rsidR="00C64050">
        <w:rPr>
          <w:lang w:eastAsia="en-GB"/>
        </w:rPr>
        <w:t xml:space="preserve"> </w:t>
      </w:r>
      <w:r>
        <w:rPr>
          <w:lang w:eastAsia="en-GB"/>
        </w:rPr>
        <w:t>for</w:t>
      </w:r>
      <w:r w:rsidR="00C64050">
        <w:rPr>
          <w:lang w:eastAsia="en-GB"/>
        </w:rPr>
        <w:t xml:space="preserve"> </w:t>
      </w:r>
      <w:r>
        <w:rPr>
          <w:lang w:eastAsia="en-GB"/>
        </w:rPr>
        <w:t>the</w:t>
      </w:r>
      <w:r w:rsidR="00C64050">
        <w:rPr>
          <w:lang w:eastAsia="en-GB"/>
        </w:rPr>
        <w:t xml:space="preserve"> </w:t>
      </w:r>
      <w:r>
        <w:rPr>
          <w:lang w:eastAsia="en-GB"/>
        </w:rPr>
        <w:t>general</w:t>
      </w:r>
      <w:r w:rsidR="00C64050">
        <w:rPr>
          <w:lang w:eastAsia="en-GB"/>
        </w:rPr>
        <w:t xml:space="preserve"> </w:t>
      </w:r>
      <w:r>
        <w:rPr>
          <w:lang w:eastAsia="en-GB"/>
        </w:rPr>
        <w:t>proposition</w:t>
      </w:r>
      <w:r w:rsidR="00C64050">
        <w:rPr>
          <w:lang w:eastAsia="en-GB"/>
        </w:rPr>
        <w:t xml:space="preserve"> </w:t>
      </w:r>
      <w:r>
        <w:rPr>
          <w:lang w:eastAsia="en-GB"/>
        </w:rPr>
        <w:t>that</w:t>
      </w:r>
      <w:r w:rsidR="00C64050">
        <w:rPr>
          <w:lang w:eastAsia="en-GB"/>
        </w:rPr>
        <w:t xml:space="preserve"> </w:t>
      </w:r>
      <w:r>
        <w:rPr>
          <w:lang w:eastAsia="en-GB"/>
        </w:rPr>
        <w:t>“adequate</w:t>
      </w:r>
      <w:r w:rsidR="00C64050">
        <w:rPr>
          <w:lang w:eastAsia="en-GB"/>
        </w:rPr>
        <w:t xml:space="preserve"> </w:t>
      </w:r>
      <w:r>
        <w:rPr>
          <w:lang w:eastAsia="en-GB"/>
        </w:rPr>
        <w:t>and</w:t>
      </w:r>
      <w:r w:rsidR="00C64050">
        <w:rPr>
          <w:lang w:eastAsia="en-GB"/>
        </w:rPr>
        <w:t xml:space="preserve"> </w:t>
      </w:r>
      <w:r>
        <w:rPr>
          <w:lang w:eastAsia="en-GB"/>
        </w:rPr>
        <w:t>full</w:t>
      </w:r>
      <w:r w:rsidR="00C64050">
        <w:rPr>
          <w:lang w:eastAsia="en-GB"/>
        </w:rPr>
        <w:t xml:space="preserve"> </w:t>
      </w:r>
      <w:r>
        <w:rPr>
          <w:lang w:eastAsia="en-GB"/>
        </w:rPr>
        <w:t>consideration</w:t>
      </w:r>
      <w:r w:rsidR="00C64050">
        <w:rPr>
          <w:lang w:eastAsia="en-GB"/>
        </w:rPr>
        <w:t xml:space="preserve"> </w:t>
      </w:r>
      <w:r>
        <w:rPr>
          <w:lang w:eastAsia="en-GB"/>
        </w:rPr>
        <w:t>in</w:t>
      </w:r>
      <w:r w:rsidR="00C64050">
        <w:rPr>
          <w:lang w:eastAsia="en-GB"/>
        </w:rPr>
        <w:t xml:space="preserve"> </w:t>
      </w:r>
      <w:r>
        <w:rPr>
          <w:lang w:eastAsia="en-GB"/>
        </w:rPr>
        <w:t>money</w:t>
      </w:r>
      <w:r w:rsidR="00C64050">
        <w:rPr>
          <w:lang w:eastAsia="en-GB"/>
        </w:rPr>
        <w:t xml:space="preserve"> </w:t>
      </w:r>
      <w:r>
        <w:rPr>
          <w:lang w:eastAsia="en-GB"/>
        </w:rPr>
        <w:t>or</w:t>
      </w:r>
      <w:r w:rsidR="00C64050">
        <w:rPr>
          <w:lang w:eastAsia="en-GB"/>
        </w:rPr>
        <w:t xml:space="preserve"> </w:t>
      </w:r>
      <w:r>
        <w:rPr>
          <w:lang w:eastAsia="en-GB"/>
        </w:rPr>
        <w:t>money’s</w:t>
      </w:r>
      <w:r w:rsidR="00C64050">
        <w:rPr>
          <w:lang w:eastAsia="en-GB"/>
        </w:rPr>
        <w:t xml:space="preserve"> </w:t>
      </w:r>
      <w:r>
        <w:rPr>
          <w:lang w:eastAsia="en-GB"/>
        </w:rPr>
        <w:t>worth”</w:t>
      </w:r>
      <w:r w:rsidR="00C64050">
        <w:rPr>
          <w:lang w:eastAsia="en-GB"/>
        </w:rPr>
        <w:t xml:space="preserve"> </w:t>
      </w:r>
      <w:r>
        <w:rPr>
          <w:lang w:eastAsia="en-GB"/>
        </w:rPr>
        <w:t>for</w:t>
      </w:r>
      <w:r w:rsidR="00C64050">
        <w:rPr>
          <w:lang w:eastAsia="en-GB"/>
        </w:rPr>
        <w:t xml:space="preserve"> </w:t>
      </w:r>
      <w:r>
        <w:rPr>
          <w:lang w:eastAsia="en-GB"/>
        </w:rPr>
        <w:t>gift</w:t>
      </w:r>
      <w:r w:rsidR="00C64050">
        <w:rPr>
          <w:lang w:eastAsia="en-GB"/>
        </w:rPr>
        <w:t xml:space="preserve"> </w:t>
      </w:r>
      <w:r>
        <w:rPr>
          <w:lang w:eastAsia="en-GB"/>
        </w:rPr>
        <w:t>tax</w:t>
      </w:r>
      <w:r w:rsidR="00C64050">
        <w:rPr>
          <w:lang w:eastAsia="en-GB"/>
        </w:rPr>
        <w:t xml:space="preserve"> </w:t>
      </w:r>
      <w:r>
        <w:rPr>
          <w:lang w:eastAsia="en-GB"/>
        </w:rPr>
        <w:t>purposes</w:t>
      </w:r>
      <w:r w:rsidR="00C64050">
        <w:rPr>
          <w:lang w:eastAsia="en-GB"/>
        </w:rPr>
        <w:t xml:space="preserve"> </w:t>
      </w:r>
      <w:r>
        <w:rPr>
          <w:lang w:eastAsia="en-GB"/>
        </w:rPr>
        <w:t>is</w:t>
      </w:r>
      <w:r w:rsidR="00C64050">
        <w:rPr>
          <w:lang w:eastAsia="en-GB"/>
        </w:rPr>
        <w:t xml:space="preserve"> </w:t>
      </w:r>
      <w:r>
        <w:rPr>
          <w:lang w:eastAsia="en-GB"/>
        </w:rPr>
        <w:t>that</w:t>
      </w:r>
      <w:r w:rsidR="00C64050">
        <w:rPr>
          <w:lang w:eastAsia="en-GB"/>
        </w:rPr>
        <w:t xml:space="preserve"> </w:t>
      </w:r>
      <w:r>
        <w:rPr>
          <w:lang w:eastAsia="en-GB"/>
        </w:rPr>
        <w:t>which</w:t>
      </w:r>
      <w:r w:rsidR="00C64050">
        <w:rPr>
          <w:lang w:eastAsia="en-GB"/>
        </w:rPr>
        <w:t xml:space="preserve"> </w:t>
      </w:r>
      <w:r>
        <w:rPr>
          <w:lang w:eastAsia="en-GB"/>
        </w:rPr>
        <w:t>replenishes,</w:t>
      </w:r>
      <w:r w:rsidR="00C64050">
        <w:rPr>
          <w:lang w:eastAsia="en-GB"/>
        </w:rPr>
        <w:t xml:space="preserve"> </w:t>
      </w:r>
      <w:r>
        <w:rPr>
          <w:lang w:eastAsia="en-GB"/>
        </w:rPr>
        <w:t>or</w:t>
      </w:r>
      <w:r w:rsidR="00C64050">
        <w:rPr>
          <w:lang w:eastAsia="en-GB"/>
        </w:rPr>
        <w:t xml:space="preserve"> </w:t>
      </w:r>
      <w:r>
        <w:rPr>
          <w:lang w:eastAsia="en-GB"/>
        </w:rPr>
        <w:t>augments,</w:t>
      </w:r>
      <w:r w:rsidR="00C64050">
        <w:rPr>
          <w:lang w:eastAsia="en-GB"/>
        </w:rPr>
        <w:t xml:space="preserve"> </w:t>
      </w:r>
      <w:r>
        <w:rPr>
          <w:lang w:eastAsia="en-GB"/>
        </w:rPr>
        <w:t>the</w:t>
      </w:r>
      <w:r w:rsidR="00C64050">
        <w:rPr>
          <w:lang w:eastAsia="en-GB"/>
        </w:rPr>
        <w:t xml:space="preserve"> </w:t>
      </w:r>
      <w:r>
        <w:rPr>
          <w:lang w:eastAsia="en-GB"/>
        </w:rPr>
        <w:t>donor’s</w:t>
      </w:r>
      <w:r w:rsidR="00C64050">
        <w:rPr>
          <w:lang w:eastAsia="en-GB"/>
        </w:rPr>
        <w:t xml:space="preserve"> </w:t>
      </w:r>
      <w:r>
        <w:rPr>
          <w:lang w:eastAsia="en-GB"/>
        </w:rPr>
        <w:t>taxable</w:t>
      </w:r>
      <w:r w:rsidR="00C64050">
        <w:rPr>
          <w:lang w:eastAsia="en-GB"/>
        </w:rPr>
        <w:t xml:space="preserve"> </w:t>
      </w:r>
      <w:r>
        <w:rPr>
          <w:lang w:eastAsia="en-GB"/>
        </w:rPr>
        <w:t>estate.</w:t>
      </w:r>
      <w:r w:rsidR="00C64050">
        <w:rPr>
          <w:lang w:eastAsia="en-GB"/>
        </w:rPr>
        <w:t xml:space="preserve"> </w:t>
      </w:r>
      <w:r w:rsidRPr="002866E3">
        <w:rPr>
          <w:u w:val="single"/>
          <w:lang w:eastAsia="en-GB"/>
        </w:rPr>
        <w:t>See</w:t>
      </w:r>
      <w:r w:rsidR="00C64050">
        <w:rPr>
          <w:u w:val="single"/>
          <w:lang w:eastAsia="en-GB"/>
        </w:rPr>
        <w:t xml:space="preserve"> </w:t>
      </w:r>
      <w:r w:rsidRPr="002866E3">
        <w:rPr>
          <w:u w:val="single"/>
          <w:lang w:eastAsia="en-GB"/>
        </w:rPr>
        <w:t>Steinberg</w:t>
      </w:r>
      <w:r w:rsidR="00C64050">
        <w:rPr>
          <w:u w:val="single"/>
          <w:lang w:eastAsia="en-GB"/>
        </w:rPr>
        <w:t xml:space="preserve"> </w:t>
      </w:r>
      <w:r w:rsidRPr="002866E3">
        <w:rPr>
          <w:u w:val="single"/>
          <w:lang w:eastAsia="en-GB"/>
        </w:rPr>
        <w:t>v.</w:t>
      </w:r>
      <w:r w:rsidR="00C64050">
        <w:rPr>
          <w:u w:val="single"/>
          <w:lang w:eastAsia="en-GB"/>
        </w:rPr>
        <w:t xml:space="preserve"> </w:t>
      </w:r>
      <w:r w:rsidRPr="002866E3">
        <w:rPr>
          <w:u w:val="single"/>
          <w:lang w:eastAsia="en-GB"/>
        </w:rPr>
        <w:t>Commissioner</w:t>
      </w:r>
      <w:r>
        <w:rPr>
          <w:lang w:eastAsia="en-GB"/>
        </w:rPr>
        <w:t>,</w:t>
      </w:r>
      <w:r w:rsidR="00C64050">
        <w:rPr>
          <w:lang w:eastAsia="en-GB"/>
        </w:rPr>
        <w:t xml:space="preserve"> </w:t>
      </w:r>
      <w:r>
        <w:rPr>
          <w:lang w:eastAsia="en-GB"/>
        </w:rPr>
        <w:t>141</w:t>
      </w:r>
      <w:r w:rsidR="00C64050">
        <w:rPr>
          <w:lang w:eastAsia="en-GB"/>
        </w:rPr>
        <w:t xml:space="preserve"> </w:t>
      </w:r>
      <w:r>
        <w:rPr>
          <w:lang w:eastAsia="en-GB"/>
        </w:rPr>
        <w:t>T.C.</w:t>
      </w:r>
      <w:r w:rsidR="00C64050">
        <w:rPr>
          <w:lang w:eastAsia="en-GB"/>
        </w:rPr>
        <w:t xml:space="preserve"> </w:t>
      </w:r>
      <w:r>
        <w:rPr>
          <w:lang w:eastAsia="en-GB"/>
        </w:rPr>
        <w:t>258,</w:t>
      </w:r>
      <w:r w:rsidR="00C64050">
        <w:rPr>
          <w:lang w:eastAsia="en-GB"/>
        </w:rPr>
        <w:t xml:space="preserve"> </w:t>
      </w:r>
      <w:r>
        <w:rPr>
          <w:lang w:eastAsia="en-GB"/>
        </w:rPr>
        <w:t>266</w:t>
      </w:r>
      <w:r w:rsidR="00C64050">
        <w:rPr>
          <w:lang w:eastAsia="en-GB"/>
        </w:rPr>
        <w:t xml:space="preserve"> </w:t>
      </w:r>
      <w:r>
        <w:rPr>
          <w:lang w:eastAsia="en-GB"/>
        </w:rPr>
        <w:t>(2013)</w:t>
      </w:r>
      <w:r w:rsidR="00C64050">
        <w:rPr>
          <w:lang w:eastAsia="en-GB"/>
        </w:rPr>
        <w:t xml:space="preserve"> </w:t>
      </w:r>
      <w:r>
        <w:rPr>
          <w:lang w:eastAsia="en-GB"/>
        </w:rPr>
        <w:t>(noting</w:t>
      </w:r>
      <w:r w:rsidR="00C64050">
        <w:rPr>
          <w:lang w:eastAsia="en-GB"/>
        </w:rPr>
        <w:t xml:space="preserve"> </w:t>
      </w:r>
      <w:r>
        <w:rPr>
          <w:lang w:eastAsia="en-GB"/>
        </w:rPr>
        <w:t>that</w:t>
      </w:r>
      <w:r w:rsidR="00C64050">
        <w:rPr>
          <w:lang w:eastAsia="en-GB"/>
        </w:rPr>
        <w:t xml:space="preserve"> </w:t>
      </w:r>
      <w:r>
        <w:rPr>
          <w:lang w:eastAsia="en-GB"/>
        </w:rPr>
        <w:t>under</w:t>
      </w:r>
      <w:r w:rsidR="00C64050">
        <w:rPr>
          <w:lang w:eastAsia="en-GB"/>
        </w:rPr>
        <w:t xml:space="preserve"> </w:t>
      </w:r>
      <w:r>
        <w:rPr>
          <w:lang w:eastAsia="en-GB"/>
        </w:rPr>
        <w:t>the</w:t>
      </w:r>
      <w:r w:rsidR="00C64050">
        <w:rPr>
          <w:lang w:eastAsia="en-GB"/>
        </w:rPr>
        <w:t xml:space="preserve"> </w:t>
      </w:r>
      <w:r>
        <w:rPr>
          <w:lang w:eastAsia="en-GB"/>
        </w:rPr>
        <w:t>estate</w:t>
      </w:r>
      <w:r w:rsidR="00C64050">
        <w:rPr>
          <w:lang w:eastAsia="en-GB"/>
        </w:rPr>
        <w:t xml:space="preserve"> </w:t>
      </w:r>
      <w:r>
        <w:rPr>
          <w:lang w:eastAsia="en-GB"/>
        </w:rPr>
        <w:t>depletion</w:t>
      </w:r>
      <w:r w:rsidR="00C64050">
        <w:rPr>
          <w:lang w:eastAsia="en-GB"/>
        </w:rPr>
        <w:t xml:space="preserve"> </w:t>
      </w:r>
      <w:r>
        <w:rPr>
          <w:lang w:eastAsia="en-GB"/>
        </w:rPr>
        <w:t>theory,</w:t>
      </w:r>
      <w:r w:rsidR="00C64050">
        <w:rPr>
          <w:lang w:eastAsia="en-GB"/>
        </w:rPr>
        <w:t xml:space="preserve"> </w:t>
      </w:r>
      <w:r>
        <w:rPr>
          <w:lang w:eastAsia="en-GB"/>
        </w:rPr>
        <w:t>a</w:t>
      </w:r>
      <w:r w:rsidR="00C64050">
        <w:rPr>
          <w:lang w:eastAsia="en-GB"/>
        </w:rPr>
        <w:t xml:space="preserve"> </w:t>
      </w:r>
      <w:r>
        <w:rPr>
          <w:lang w:eastAsia="en-GB"/>
        </w:rPr>
        <w:t>donor</w:t>
      </w:r>
      <w:r w:rsidR="00C64050">
        <w:rPr>
          <w:lang w:eastAsia="en-GB"/>
        </w:rPr>
        <w:t xml:space="preserve"> </w:t>
      </w:r>
      <w:r>
        <w:rPr>
          <w:lang w:eastAsia="en-GB"/>
        </w:rPr>
        <w:t>receives</w:t>
      </w:r>
      <w:r w:rsidR="00C64050">
        <w:rPr>
          <w:lang w:eastAsia="en-GB"/>
        </w:rPr>
        <w:t xml:space="preserve"> </w:t>
      </w:r>
      <w:r>
        <w:rPr>
          <w:lang w:eastAsia="en-GB"/>
        </w:rPr>
        <w:t>consideration</w:t>
      </w:r>
      <w:r w:rsidR="00C64050">
        <w:rPr>
          <w:lang w:eastAsia="en-GB"/>
        </w:rPr>
        <w:t xml:space="preserve"> </w:t>
      </w:r>
      <w:r>
        <w:rPr>
          <w:lang w:eastAsia="en-GB"/>
        </w:rPr>
        <w:t>in</w:t>
      </w:r>
      <w:r w:rsidR="00C64050">
        <w:rPr>
          <w:lang w:eastAsia="en-GB"/>
        </w:rPr>
        <w:t xml:space="preserve"> </w:t>
      </w:r>
      <w:r>
        <w:rPr>
          <w:lang w:eastAsia="en-GB"/>
        </w:rPr>
        <w:t>money</w:t>
      </w:r>
      <w:r w:rsidR="00C64050">
        <w:rPr>
          <w:lang w:eastAsia="en-GB"/>
        </w:rPr>
        <w:t xml:space="preserve"> </w:t>
      </w:r>
      <w:r>
        <w:rPr>
          <w:lang w:eastAsia="en-GB"/>
        </w:rPr>
        <w:t>or</w:t>
      </w:r>
      <w:r w:rsidR="00C64050">
        <w:rPr>
          <w:lang w:eastAsia="en-GB"/>
        </w:rPr>
        <w:t xml:space="preserve"> </w:t>
      </w:r>
      <w:r>
        <w:rPr>
          <w:lang w:eastAsia="en-GB"/>
        </w:rPr>
        <w:t>money’s</w:t>
      </w:r>
      <w:r w:rsidR="00C64050">
        <w:rPr>
          <w:lang w:eastAsia="en-GB"/>
        </w:rPr>
        <w:t xml:space="preserve"> </w:t>
      </w:r>
      <w:r>
        <w:rPr>
          <w:lang w:eastAsia="en-GB"/>
        </w:rPr>
        <w:t>worth</w:t>
      </w:r>
      <w:r w:rsidR="00C64050">
        <w:rPr>
          <w:lang w:eastAsia="en-GB"/>
        </w:rPr>
        <w:t xml:space="preserve"> </w:t>
      </w:r>
      <w:r>
        <w:rPr>
          <w:lang w:eastAsia="en-GB"/>
        </w:rPr>
        <w:t>only</w:t>
      </w:r>
      <w:r w:rsidR="00C64050">
        <w:rPr>
          <w:lang w:eastAsia="en-GB"/>
        </w:rPr>
        <w:t xml:space="preserve"> </w:t>
      </w:r>
      <w:r>
        <w:rPr>
          <w:lang w:eastAsia="en-GB"/>
        </w:rPr>
        <w:t>to</w:t>
      </w:r>
      <w:r w:rsidR="00C64050">
        <w:rPr>
          <w:lang w:eastAsia="en-GB"/>
        </w:rPr>
        <w:t xml:space="preserve"> </w:t>
      </w:r>
      <w:r>
        <w:rPr>
          <w:lang w:eastAsia="en-GB"/>
        </w:rPr>
        <w:t>the</w:t>
      </w:r>
      <w:r w:rsidR="00C64050">
        <w:rPr>
          <w:lang w:eastAsia="en-GB"/>
        </w:rPr>
        <w:t xml:space="preserve"> </w:t>
      </w:r>
      <w:r>
        <w:rPr>
          <w:lang w:eastAsia="en-GB"/>
        </w:rPr>
        <w:t>extent</w:t>
      </w:r>
      <w:r w:rsidR="00C64050">
        <w:rPr>
          <w:lang w:eastAsia="en-GB"/>
        </w:rPr>
        <w:t xml:space="preserve"> </w:t>
      </w:r>
      <w:r>
        <w:rPr>
          <w:lang w:eastAsia="en-GB"/>
        </w:rPr>
        <w:t>that</w:t>
      </w:r>
      <w:r w:rsidR="00C64050">
        <w:rPr>
          <w:lang w:eastAsia="en-GB"/>
        </w:rPr>
        <w:t xml:space="preserve"> </w:t>
      </w:r>
      <w:r>
        <w:rPr>
          <w:lang w:eastAsia="en-GB"/>
        </w:rPr>
        <w:t>the</w:t>
      </w:r>
      <w:r w:rsidR="00C64050">
        <w:rPr>
          <w:lang w:eastAsia="en-GB"/>
        </w:rPr>
        <w:t xml:space="preserve"> </w:t>
      </w:r>
      <w:r>
        <w:rPr>
          <w:lang w:eastAsia="en-GB"/>
        </w:rPr>
        <w:t>donor’s</w:t>
      </w:r>
      <w:r w:rsidR="00C64050">
        <w:rPr>
          <w:lang w:eastAsia="en-GB"/>
        </w:rPr>
        <w:t xml:space="preserve"> </w:t>
      </w:r>
      <w:r>
        <w:rPr>
          <w:lang w:eastAsia="en-GB"/>
        </w:rPr>
        <w:t>estate</w:t>
      </w:r>
      <w:r w:rsidR="00C64050">
        <w:rPr>
          <w:lang w:eastAsia="en-GB"/>
        </w:rPr>
        <w:t xml:space="preserve"> </w:t>
      </w:r>
      <w:r>
        <w:rPr>
          <w:lang w:eastAsia="en-GB"/>
        </w:rPr>
        <w:t>has</w:t>
      </w:r>
      <w:r w:rsidR="00C64050">
        <w:rPr>
          <w:lang w:eastAsia="en-GB"/>
        </w:rPr>
        <w:t xml:space="preserve"> </w:t>
      </w:r>
      <w:r>
        <w:rPr>
          <w:lang w:eastAsia="en-GB"/>
        </w:rPr>
        <w:t>been</w:t>
      </w:r>
      <w:r w:rsidR="00C64050">
        <w:rPr>
          <w:lang w:eastAsia="en-GB"/>
        </w:rPr>
        <w:t xml:space="preserve"> </w:t>
      </w:r>
      <w:r>
        <w:rPr>
          <w:lang w:eastAsia="en-GB"/>
        </w:rPr>
        <w:t>replenished),</w:t>
      </w:r>
      <w:r w:rsidR="00C64050">
        <w:rPr>
          <w:lang w:eastAsia="en-GB"/>
        </w:rPr>
        <w:t xml:space="preserve"> </w:t>
      </w:r>
      <w:r w:rsidRPr="002866E3">
        <w:rPr>
          <w:u w:val="single"/>
          <w:lang w:eastAsia="en-GB"/>
        </w:rPr>
        <w:t>citing</w:t>
      </w:r>
      <w:r w:rsidR="00C64050">
        <w:rPr>
          <w:lang w:eastAsia="en-GB"/>
        </w:rPr>
        <w:t xml:space="preserve"> </w:t>
      </w:r>
      <w:r w:rsidRPr="002866E3">
        <w:rPr>
          <w:u w:val="single"/>
          <w:lang w:eastAsia="en-GB"/>
        </w:rPr>
        <w:t>Wemyss</w:t>
      </w:r>
      <w:r>
        <w:rPr>
          <w:lang w:eastAsia="en-GB"/>
        </w:rPr>
        <w:t>,</w:t>
      </w:r>
      <w:r w:rsidR="00C64050">
        <w:rPr>
          <w:lang w:eastAsia="en-GB"/>
        </w:rPr>
        <w:t xml:space="preserve"> </w:t>
      </w:r>
      <w:r>
        <w:rPr>
          <w:lang w:eastAsia="en-GB"/>
        </w:rPr>
        <w:t>at</w:t>
      </w:r>
      <w:r w:rsidR="00C64050">
        <w:rPr>
          <w:lang w:eastAsia="en-GB"/>
        </w:rPr>
        <w:t xml:space="preserve"> </w:t>
      </w:r>
      <w:r>
        <w:rPr>
          <w:lang w:eastAsia="en-GB"/>
        </w:rPr>
        <w:t>307-08,</w:t>
      </w:r>
      <w:r w:rsidR="00C64050">
        <w:rPr>
          <w:lang w:eastAsia="en-GB"/>
        </w:rPr>
        <w:t xml:space="preserve"> </w:t>
      </w:r>
      <w:r>
        <w:rPr>
          <w:lang w:eastAsia="en-GB"/>
        </w:rPr>
        <w:t>and</w:t>
      </w:r>
      <w:r w:rsidR="00C64050">
        <w:rPr>
          <w:lang w:eastAsia="en-GB"/>
        </w:rPr>
        <w:t xml:space="preserve"> </w:t>
      </w:r>
      <w:r>
        <w:rPr>
          <w:lang w:eastAsia="en-GB"/>
        </w:rPr>
        <w:t>Randolph</w:t>
      </w:r>
      <w:r w:rsidR="00C64050">
        <w:rPr>
          <w:lang w:eastAsia="en-GB"/>
        </w:rPr>
        <w:t xml:space="preserve"> </w:t>
      </w:r>
      <w:r>
        <w:rPr>
          <w:lang w:eastAsia="en-GB"/>
        </w:rPr>
        <w:t>E.</w:t>
      </w:r>
      <w:r w:rsidR="00C64050">
        <w:rPr>
          <w:lang w:eastAsia="en-GB"/>
        </w:rPr>
        <w:t xml:space="preserve"> </w:t>
      </w:r>
      <w:r>
        <w:rPr>
          <w:lang w:eastAsia="en-GB"/>
        </w:rPr>
        <w:t>Paul,</w:t>
      </w:r>
      <w:r w:rsidR="00C64050">
        <w:rPr>
          <w:lang w:eastAsia="en-GB"/>
        </w:rPr>
        <w:t xml:space="preserve"> </w:t>
      </w:r>
      <w:r>
        <w:rPr>
          <w:lang w:eastAsia="en-GB"/>
        </w:rPr>
        <w:t>Federal</w:t>
      </w:r>
      <w:r w:rsidR="00C64050">
        <w:rPr>
          <w:lang w:eastAsia="en-GB"/>
        </w:rPr>
        <w:t xml:space="preserve"> </w:t>
      </w:r>
      <w:r>
        <w:rPr>
          <w:lang w:eastAsia="en-GB"/>
        </w:rPr>
        <w:t>Estate</w:t>
      </w:r>
      <w:r w:rsidR="00C64050">
        <w:rPr>
          <w:lang w:eastAsia="en-GB"/>
        </w:rPr>
        <w:t xml:space="preserve"> </w:t>
      </w:r>
      <w:r>
        <w:rPr>
          <w:lang w:eastAsia="en-GB"/>
        </w:rPr>
        <w:t>and</w:t>
      </w:r>
      <w:r w:rsidR="00C64050">
        <w:rPr>
          <w:lang w:eastAsia="en-GB"/>
        </w:rPr>
        <w:t xml:space="preserve"> </w:t>
      </w:r>
      <w:r>
        <w:rPr>
          <w:lang w:eastAsia="en-GB"/>
        </w:rPr>
        <w:t>Gift</w:t>
      </w:r>
      <w:r w:rsidR="00C64050">
        <w:rPr>
          <w:lang w:eastAsia="en-GB"/>
        </w:rPr>
        <w:t xml:space="preserve"> </w:t>
      </w:r>
      <w:r>
        <w:rPr>
          <w:lang w:eastAsia="en-GB"/>
        </w:rPr>
        <w:t>Taxation,</w:t>
      </w:r>
      <w:r w:rsidR="00C64050">
        <w:rPr>
          <w:lang w:eastAsia="en-GB"/>
        </w:rPr>
        <w:t xml:space="preserve"> </w:t>
      </w:r>
      <w:r>
        <w:rPr>
          <w:lang w:eastAsia="en-GB"/>
        </w:rPr>
        <w:t>para.</w:t>
      </w:r>
      <w:r w:rsidR="00C64050">
        <w:rPr>
          <w:lang w:eastAsia="en-GB"/>
        </w:rPr>
        <w:t xml:space="preserve"> </w:t>
      </w:r>
      <w:r>
        <w:rPr>
          <w:lang w:eastAsia="en-GB"/>
        </w:rPr>
        <w:t>16.14,</w:t>
      </w:r>
      <w:r w:rsidR="00C64050">
        <w:rPr>
          <w:lang w:eastAsia="en-GB"/>
        </w:rPr>
        <w:t xml:space="preserve"> </w:t>
      </w:r>
      <w:r>
        <w:rPr>
          <w:lang w:eastAsia="en-GB"/>
        </w:rPr>
        <w:t>at</w:t>
      </w:r>
      <w:r w:rsidR="00C64050">
        <w:rPr>
          <w:lang w:eastAsia="en-GB"/>
        </w:rPr>
        <w:t xml:space="preserve"> </w:t>
      </w:r>
      <w:r>
        <w:rPr>
          <w:lang w:eastAsia="en-GB"/>
        </w:rPr>
        <w:t>1114-15</w:t>
      </w:r>
      <w:r w:rsidR="00C64050">
        <w:rPr>
          <w:lang w:eastAsia="en-GB"/>
        </w:rPr>
        <w:t xml:space="preserve"> </w:t>
      </w:r>
      <w:r>
        <w:rPr>
          <w:lang w:eastAsia="en-GB"/>
        </w:rPr>
        <w:t>(1942).1</w:t>
      </w:r>
      <w:r w:rsidR="00C64050">
        <w:rPr>
          <w:lang w:eastAsia="en-GB"/>
        </w:rPr>
        <w:t xml:space="preserve"> </w:t>
      </w:r>
      <w:r>
        <w:rPr>
          <w:lang w:eastAsia="en-GB"/>
        </w:rPr>
        <w:t>See</w:t>
      </w:r>
      <w:r w:rsidR="00C64050">
        <w:rPr>
          <w:lang w:eastAsia="en-GB"/>
        </w:rPr>
        <w:t xml:space="preserve"> </w:t>
      </w:r>
      <w:r>
        <w:rPr>
          <w:lang w:eastAsia="en-GB"/>
        </w:rPr>
        <w:t>also</w:t>
      </w:r>
      <w:r w:rsidR="00C64050">
        <w:rPr>
          <w:lang w:eastAsia="en-GB"/>
        </w:rPr>
        <w:t xml:space="preserve"> </w:t>
      </w:r>
      <w:r>
        <w:rPr>
          <w:lang w:eastAsia="en-GB"/>
        </w:rPr>
        <w:t>I.R.C.</w:t>
      </w:r>
      <w:r w:rsidR="00C64050">
        <w:rPr>
          <w:lang w:eastAsia="en-GB"/>
        </w:rPr>
        <w:t xml:space="preserve"> </w:t>
      </w:r>
      <w:r>
        <w:rPr>
          <w:lang w:eastAsia="en-GB"/>
        </w:rPr>
        <w:t>§</w:t>
      </w:r>
      <w:r w:rsidR="00C64050">
        <w:rPr>
          <w:lang w:eastAsia="en-GB"/>
        </w:rPr>
        <w:t xml:space="preserve"> </w:t>
      </w:r>
      <w:r>
        <w:rPr>
          <w:lang w:eastAsia="en-GB"/>
        </w:rPr>
        <w:t>2043(b)(1)</w:t>
      </w:r>
      <w:r w:rsidR="00C64050">
        <w:rPr>
          <w:lang w:eastAsia="en-GB"/>
        </w:rPr>
        <w:t xml:space="preserve"> </w:t>
      </w:r>
      <w:r>
        <w:rPr>
          <w:lang w:eastAsia="en-GB"/>
        </w:rPr>
        <w:t>(“Transfers</w:t>
      </w:r>
      <w:r w:rsidR="00C64050">
        <w:rPr>
          <w:lang w:eastAsia="en-GB"/>
        </w:rPr>
        <w:t xml:space="preserve"> </w:t>
      </w:r>
      <w:r>
        <w:rPr>
          <w:lang w:eastAsia="en-GB"/>
        </w:rPr>
        <w:t>for</w:t>
      </w:r>
      <w:r w:rsidR="00C64050">
        <w:rPr>
          <w:lang w:eastAsia="en-GB"/>
        </w:rPr>
        <w:t xml:space="preserve"> </w:t>
      </w:r>
      <w:r>
        <w:rPr>
          <w:lang w:eastAsia="en-GB"/>
        </w:rPr>
        <w:t>Insufficient</w:t>
      </w:r>
      <w:r w:rsidR="00C64050">
        <w:rPr>
          <w:lang w:eastAsia="en-GB"/>
        </w:rPr>
        <w:t xml:space="preserve"> </w:t>
      </w:r>
      <w:r>
        <w:rPr>
          <w:lang w:eastAsia="en-GB"/>
        </w:rPr>
        <w:t>Consideration”).</w:t>
      </w:r>
      <w:r w:rsidR="00C64050">
        <w:rPr>
          <w:lang w:eastAsia="en-GB"/>
        </w:rPr>
        <w:t xml:space="preserve"> </w:t>
      </w:r>
      <w:r>
        <w:rPr>
          <w:lang w:eastAsia="en-GB"/>
        </w:rPr>
        <w:t>Thus,</w:t>
      </w:r>
      <w:r w:rsidR="00C64050">
        <w:rPr>
          <w:lang w:eastAsia="en-GB"/>
        </w:rPr>
        <w:t xml:space="preserve"> </w:t>
      </w:r>
      <w:r>
        <w:rPr>
          <w:lang w:eastAsia="en-GB"/>
        </w:rPr>
        <w:t>B’s</w:t>
      </w:r>
      <w:r w:rsidR="00C64050">
        <w:rPr>
          <w:lang w:eastAsia="en-GB"/>
        </w:rPr>
        <w:t xml:space="preserve"> </w:t>
      </w:r>
      <w:r>
        <w:rPr>
          <w:lang w:eastAsia="en-GB"/>
        </w:rPr>
        <w:t>relinquishment</w:t>
      </w:r>
      <w:r w:rsidR="00C64050">
        <w:rPr>
          <w:lang w:eastAsia="en-GB"/>
        </w:rPr>
        <w:t xml:space="preserve"> </w:t>
      </w:r>
      <w:r>
        <w:rPr>
          <w:lang w:eastAsia="en-GB"/>
        </w:rPr>
        <w:t>of</w:t>
      </w:r>
      <w:r w:rsidR="00C64050">
        <w:rPr>
          <w:lang w:eastAsia="en-GB"/>
        </w:rPr>
        <w:t xml:space="preserve"> </w:t>
      </w:r>
      <w:r>
        <w:rPr>
          <w:lang w:eastAsia="en-GB"/>
        </w:rPr>
        <w:t>marital</w:t>
      </w:r>
      <w:r w:rsidR="00C64050">
        <w:rPr>
          <w:lang w:eastAsia="en-GB"/>
        </w:rPr>
        <w:t xml:space="preserve"> </w:t>
      </w:r>
      <w:r>
        <w:rPr>
          <w:lang w:eastAsia="en-GB"/>
        </w:rPr>
        <w:t>rights</w:t>
      </w:r>
      <w:r w:rsidR="00C64050">
        <w:rPr>
          <w:lang w:eastAsia="en-GB"/>
        </w:rPr>
        <w:t xml:space="preserve"> </w:t>
      </w:r>
      <w:r>
        <w:rPr>
          <w:lang w:eastAsia="en-GB"/>
        </w:rPr>
        <w:t>in</w:t>
      </w:r>
      <w:r w:rsidR="00C64050">
        <w:rPr>
          <w:lang w:eastAsia="en-GB"/>
        </w:rPr>
        <w:t xml:space="preserve"> </w:t>
      </w:r>
      <w:r>
        <w:rPr>
          <w:lang w:eastAsia="en-GB"/>
        </w:rPr>
        <w:t>A’s</w:t>
      </w:r>
      <w:r w:rsidR="00C64050">
        <w:rPr>
          <w:lang w:eastAsia="en-GB"/>
        </w:rPr>
        <w:t xml:space="preserve"> </w:t>
      </w:r>
      <w:r>
        <w:rPr>
          <w:lang w:eastAsia="en-GB"/>
        </w:rPr>
        <w:t>property</w:t>
      </w:r>
      <w:r w:rsidR="00C64050">
        <w:rPr>
          <w:lang w:eastAsia="en-GB"/>
        </w:rPr>
        <w:t xml:space="preserve"> </w:t>
      </w:r>
      <w:r>
        <w:rPr>
          <w:lang w:eastAsia="en-GB"/>
        </w:rPr>
        <w:t>will</w:t>
      </w:r>
      <w:r w:rsidR="00C64050">
        <w:rPr>
          <w:lang w:eastAsia="en-GB"/>
        </w:rPr>
        <w:t xml:space="preserve"> </w:t>
      </w:r>
      <w:r>
        <w:rPr>
          <w:lang w:eastAsia="en-GB"/>
        </w:rPr>
        <w:t>have</w:t>
      </w:r>
      <w:r w:rsidR="00C64050">
        <w:rPr>
          <w:lang w:eastAsia="en-GB"/>
        </w:rPr>
        <w:t xml:space="preserve"> </w:t>
      </w:r>
      <w:r>
        <w:rPr>
          <w:lang w:eastAsia="en-GB"/>
        </w:rPr>
        <w:t>no</w:t>
      </w:r>
      <w:r w:rsidR="00C64050">
        <w:rPr>
          <w:lang w:eastAsia="en-GB"/>
        </w:rPr>
        <w:t xml:space="preserve"> </w:t>
      </w:r>
      <w:r>
        <w:rPr>
          <w:lang w:eastAsia="en-GB"/>
        </w:rPr>
        <w:t>effect</w:t>
      </w:r>
      <w:r w:rsidR="00C64050">
        <w:rPr>
          <w:lang w:eastAsia="en-GB"/>
        </w:rPr>
        <w:t xml:space="preserve"> </w:t>
      </w:r>
      <w:r>
        <w:rPr>
          <w:lang w:eastAsia="en-GB"/>
        </w:rPr>
        <w:t>on</w:t>
      </w:r>
      <w:r w:rsidR="00C64050">
        <w:rPr>
          <w:lang w:eastAsia="en-GB"/>
        </w:rPr>
        <w:t xml:space="preserve"> </w:t>
      </w:r>
      <w:r>
        <w:rPr>
          <w:lang w:eastAsia="en-GB"/>
        </w:rPr>
        <w:t>the</w:t>
      </w:r>
      <w:r w:rsidR="00C64050">
        <w:rPr>
          <w:lang w:eastAsia="en-GB"/>
        </w:rPr>
        <w:t xml:space="preserve"> </w:t>
      </w:r>
      <w:r>
        <w:rPr>
          <w:lang w:eastAsia="en-GB"/>
        </w:rPr>
        <w:t>includible</w:t>
      </w:r>
      <w:r w:rsidR="00C64050">
        <w:rPr>
          <w:lang w:eastAsia="en-GB"/>
        </w:rPr>
        <w:t xml:space="preserve"> </w:t>
      </w:r>
      <w:r>
        <w:rPr>
          <w:lang w:eastAsia="en-GB"/>
        </w:rPr>
        <w:t>value</w:t>
      </w:r>
      <w:r w:rsidR="00C64050">
        <w:rPr>
          <w:lang w:eastAsia="en-GB"/>
        </w:rPr>
        <w:t xml:space="preserve"> </w:t>
      </w:r>
      <w:r>
        <w:rPr>
          <w:lang w:eastAsia="en-GB"/>
        </w:rPr>
        <w:t>of</w:t>
      </w:r>
      <w:r w:rsidR="00C64050">
        <w:rPr>
          <w:lang w:eastAsia="en-GB"/>
        </w:rPr>
        <w:t xml:space="preserve"> </w:t>
      </w:r>
      <w:r>
        <w:rPr>
          <w:lang w:eastAsia="en-GB"/>
        </w:rPr>
        <w:t>that</w:t>
      </w:r>
      <w:r w:rsidR="00C64050">
        <w:rPr>
          <w:lang w:eastAsia="en-GB"/>
        </w:rPr>
        <w:t xml:space="preserve"> </w:t>
      </w:r>
      <w:r>
        <w:rPr>
          <w:lang w:eastAsia="en-GB"/>
        </w:rPr>
        <w:t>property</w:t>
      </w:r>
      <w:r w:rsidR="00C64050">
        <w:rPr>
          <w:lang w:eastAsia="en-GB"/>
        </w:rPr>
        <w:t xml:space="preserve"> </w:t>
      </w:r>
      <w:r>
        <w:rPr>
          <w:lang w:eastAsia="en-GB"/>
        </w:rPr>
        <w:t>in</w:t>
      </w:r>
      <w:r w:rsidR="00C64050">
        <w:rPr>
          <w:lang w:eastAsia="en-GB"/>
        </w:rPr>
        <w:t xml:space="preserve"> </w:t>
      </w:r>
      <w:r>
        <w:rPr>
          <w:lang w:eastAsia="en-GB"/>
        </w:rPr>
        <w:t>A’s</w:t>
      </w:r>
      <w:r w:rsidR="00C64050">
        <w:rPr>
          <w:lang w:eastAsia="en-GB"/>
        </w:rPr>
        <w:t xml:space="preserve"> </w:t>
      </w:r>
      <w:r>
        <w:rPr>
          <w:lang w:eastAsia="en-GB"/>
        </w:rPr>
        <w:t>gross</w:t>
      </w:r>
      <w:r w:rsidR="00C64050">
        <w:rPr>
          <w:lang w:eastAsia="en-GB"/>
        </w:rPr>
        <w:t xml:space="preserve"> </w:t>
      </w:r>
      <w:r>
        <w:rPr>
          <w:lang w:eastAsia="en-GB"/>
        </w:rPr>
        <w:t>estate.</w:t>
      </w:r>
      <w:r w:rsidR="00C64050">
        <w:rPr>
          <w:lang w:eastAsia="en-GB"/>
        </w:rPr>
        <w:t xml:space="preserve"> </w:t>
      </w:r>
      <w:r>
        <w:rPr>
          <w:lang w:eastAsia="en-GB"/>
        </w:rPr>
        <w:t>Accordingly,</w:t>
      </w:r>
      <w:r w:rsidR="00C64050">
        <w:rPr>
          <w:lang w:eastAsia="en-GB"/>
        </w:rPr>
        <w:t xml:space="preserve"> </w:t>
      </w:r>
      <w:r>
        <w:rPr>
          <w:lang w:eastAsia="en-GB"/>
        </w:rPr>
        <w:t>the</w:t>
      </w:r>
      <w:r w:rsidR="00C64050">
        <w:rPr>
          <w:lang w:eastAsia="en-GB"/>
        </w:rPr>
        <w:t xml:space="preserve"> </w:t>
      </w:r>
      <w:r>
        <w:rPr>
          <w:lang w:eastAsia="en-GB"/>
        </w:rPr>
        <w:t>relinquishment</w:t>
      </w:r>
      <w:r w:rsidR="00C64050">
        <w:rPr>
          <w:lang w:eastAsia="en-GB"/>
        </w:rPr>
        <w:t xml:space="preserve"> </w:t>
      </w:r>
      <w:r>
        <w:rPr>
          <w:lang w:eastAsia="en-GB"/>
        </w:rPr>
        <w:t>of</w:t>
      </w:r>
      <w:r w:rsidR="00C64050">
        <w:rPr>
          <w:lang w:eastAsia="en-GB"/>
        </w:rPr>
        <w:t xml:space="preserve"> </w:t>
      </w:r>
      <w:r>
        <w:rPr>
          <w:lang w:eastAsia="en-GB"/>
        </w:rPr>
        <w:t>marital</w:t>
      </w:r>
      <w:r w:rsidR="00C64050">
        <w:rPr>
          <w:lang w:eastAsia="en-GB"/>
        </w:rPr>
        <w:t xml:space="preserve"> </w:t>
      </w:r>
      <w:r>
        <w:rPr>
          <w:lang w:eastAsia="en-GB"/>
        </w:rPr>
        <w:t>rights</w:t>
      </w:r>
      <w:r w:rsidR="00C64050">
        <w:rPr>
          <w:lang w:eastAsia="en-GB"/>
        </w:rPr>
        <w:t xml:space="preserve"> </w:t>
      </w:r>
      <w:r>
        <w:rPr>
          <w:lang w:eastAsia="en-GB"/>
        </w:rPr>
        <w:t>cannot</w:t>
      </w:r>
      <w:r w:rsidR="00C64050">
        <w:rPr>
          <w:lang w:eastAsia="en-GB"/>
        </w:rPr>
        <w:t xml:space="preserve"> </w:t>
      </w:r>
      <w:r>
        <w:rPr>
          <w:lang w:eastAsia="en-GB"/>
        </w:rPr>
        <w:t>replenish</w:t>
      </w:r>
      <w:r w:rsidR="00C64050">
        <w:rPr>
          <w:lang w:eastAsia="en-GB"/>
        </w:rPr>
        <w:t xml:space="preserve"> </w:t>
      </w:r>
      <w:r>
        <w:rPr>
          <w:lang w:eastAsia="en-GB"/>
        </w:rPr>
        <w:t>a</w:t>
      </w:r>
      <w:r w:rsidR="00C64050">
        <w:rPr>
          <w:lang w:eastAsia="en-GB"/>
        </w:rPr>
        <w:t xml:space="preserve"> </w:t>
      </w:r>
      <w:r>
        <w:rPr>
          <w:lang w:eastAsia="en-GB"/>
        </w:rPr>
        <w:t>donor’s</w:t>
      </w:r>
      <w:r w:rsidR="00C64050">
        <w:rPr>
          <w:lang w:eastAsia="en-GB"/>
        </w:rPr>
        <w:t xml:space="preserve"> </w:t>
      </w:r>
      <w:r>
        <w:rPr>
          <w:lang w:eastAsia="en-GB"/>
        </w:rPr>
        <w:t>gross</w:t>
      </w:r>
      <w:r w:rsidR="00C64050">
        <w:rPr>
          <w:lang w:eastAsia="en-GB"/>
        </w:rPr>
        <w:t xml:space="preserve"> </w:t>
      </w:r>
      <w:r>
        <w:rPr>
          <w:lang w:eastAsia="en-GB"/>
        </w:rPr>
        <w:t>estate</w:t>
      </w:r>
      <w:r w:rsidR="00C64050">
        <w:rPr>
          <w:lang w:eastAsia="en-GB"/>
        </w:rPr>
        <w:t xml:space="preserve"> </w:t>
      </w:r>
      <w:r>
        <w:rPr>
          <w:lang w:eastAsia="en-GB"/>
        </w:rPr>
        <w:t>for</w:t>
      </w:r>
      <w:r w:rsidR="00C64050">
        <w:rPr>
          <w:lang w:eastAsia="en-GB"/>
        </w:rPr>
        <w:t xml:space="preserve"> </w:t>
      </w:r>
      <w:r>
        <w:rPr>
          <w:lang w:eastAsia="en-GB"/>
        </w:rPr>
        <w:t>estate</w:t>
      </w:r>
      <w:r w:rsidR="00C64050">
        <w:rPr>
          <w:lang w:eastAsia="en-GB"/>
        </w:rPr>
        <w:t xml:space="preserve"> </w:t>
      </w:r>
      <w:r>
        <w:rPr>
          <w:lang w:eastAsia="en-GB"/>
        </w:rPr>
        <w:t>tax</w:t>
      </w:r>
      <w:r w:rsidR="00C64050">
        <w:rPr>
          <w:lang w:eastAsia="en-GB"/>
        </w:rPr>
        <w:t xml:space="preserve"> </w:t>
      </w:r>
      <w:r>
        <w:rPr>
          <w:lang w:eastAsia="en-GB"/>
        </w:rPr>
        <w:t>purposes,</w:t>
      </w:r>
      <w:r w:rsidR="00C64050">
        <w:rPr>
          <w:lang w:eastAsia="en-GB"/>
        </w:rPr>
        <w:t xml:space="preserve"> </w:t>
      </w:r>
      <w:r>
        <w:rPr>
          <w:lang w:eastAsia="en-GB"/>
        </w:rPr>
        <w:t>and</w:t>
      </w:r>
      <w:r w:rsidR="00C64050">
        <w:rPr>
          <w:lang w:eastAsia="en-GB"/>
        </w:rPr>
        <w:t xml:space="preserve"> </w:t>
      </w:r>
      <w:r>
        <w:rPr>
          <w:lang w:eastAsia="en-GB"/>
        </w:rPr>
        <w:t>thus</w:t>
      </w:r>
      <w:r w:rsidR="00C64050">
        <w:rPr>
          <w:lang w:eastAsia="en-GB"/>
        </w:rPr>
        <w:t xml:space="preserve"> </w:t>
      </w:r>
      <w:r>
        <w:rPr>
          <w:lang w:eastAsia="en-GB"/>
        </w:rPr>
        <w:t>cannot</w:t>
      </w:r>
      <w:r w:rsidR="00C64050">
        <w:rPr>
          <w:lang w:eastAsia="en-GB"/>
        </w:rPr>
        <w:t xml:space="preserve"> </w:t>
      </w:r>
      <w:r>
        <w:rPr>
          <w:lang w:eastAsia="en-GB"/>
        </w:rPr>
        <w:t>constitute</w:t>
      </w:r>
      <w:r w:rsidR="00C64050">
        <w:rPr>
          <w:lang w:eastAsia="en-GB"/>
        </w:rPr>
        <w:t xml:space="preserve"> </w:t>
      </w:r>
      <w:r>
        <w:rPr>
          <w:lang w:eastAsia="en-GB"/>
        </w:rPr>
        <w:t>adequate</w:t>
      </w:r>
      <w:r w:rsidR="00C64050">
        <w:rPr>
          <w:lang w:eastAsia="en-GB"/>
        </w:rPr>
        <w:t xml:space="preserve"> </w:t>
      </w:r>
      <w:r>
        <w:rPr>
          <w:lang w:eastAsia="en-GB"/>
        </w:rPr>
        <w:t>and</w:t>
      </w:r>
      <w:r w:rsidR="00C64050">
        <w:rPr>
          <w:lang w:eastAsia="en-GB"/>
        </w:rPr>
        <w:t xml:space="preserve"> </w:t>
      </w:r>
      <w:r>
        <w:rPr>
          <w:lang w:eastAsia="en-GB"/>
        </w:rPr>
        <w:t>full</w:t>
      </w:r>
      <w:r w:rsidR="00C64050">
        <w:rPr>
          <w:lang w:eastAsia="en-GB"/>
        </w:rPr>
        <w:t xml:space="preserve"> </w:t>
      </w:r>
      <w:r>
        <w:rPr>
          <w:lang w:eastAsia="en-GB"/>
        </w:rPr>
        <w:t>consideration</w:t>
      </w:r>
      <w:r w:rsidR="00C64050">
        <w:rPr>
          <w:lang w:eastAsia="en-GB"/>
        </w:rPr>
        <w:t xml:space="preserve"> </w:t>
      </w:r>
      <w:r>
        <w:rPr>
          <w:lang w:eastAsia="en-GB"/>
        </w:rPr>
        <w:t>for</w:t>
      </w:r>
      <w:r w:rsidR="00C64050">
        <w:rPr>
          <w:lang w:eastAsia="en-GB"/>
        </w:rPr>
        <w:t xml:space="preserve"> </w:t>
      </w:r>
      <w:r>
        <w:rPr>
          <w:lang w:eastAsia="en-GB"/>
        </w:rPr>
        <w:t>gift</w:t>
      </w:r>
      <w:r w:rsidR="00C64050">
        <w:rPr>
          <w:lang w:eastAsia="en-GB"/>
        </w:rPr>
        <w:t xml:space="preserve"> </w:t>
      </w:r>
      <w:r>
        <w:rPr>
          <w:lang w:eastAsia="en-GB"/>
        </w:rPr>
        <w:t>tax</w:t>
      </w:r>
      <w:r w:rsidR="00C64050">
        <w:rPr>
          <w:lang w:eastAsia="en-GB"/>
        </w:rPr>
        <w:t xml:space="preserve"> </w:t>
      </w:r>
      <w:r>
        <w:rPr>
          <w:lang w:eastAsia="en-GB"/>
        </w:rPr>
        <w:t>purposes.</w:t>
      </w:r>
      <w:r w:rsidR="00C64050">
        <w:rPr>
          <w:lang w:eastAsia="en-GB"/>
        </w:rPr>
        <w:t xml:space="preserve"> </w:t>
      </w:r>
      <w:r w:rsidRPr="002866E3">
        <w:rPr>
          <w:u w:val="single"/>
          <w:lang w:eastAsia="en-GB"/>
        </w:rPr>
        <w:t>See</w:t>
      </w:r>
      <w:r w:rsidR="00C64050">
        <w:rPr>
          <w:u w:val="single"/>
          <w:lang w:eastAsia="en-GB"/>
        </w:rPr>
        <w:t xml:space="preserve"> </w:t>
      </w:r>
      <w:r w:rsidRPr="002866E3">
        <w:rPr>
          <w:u w:val="single"/>
          <w:lang w:eastAsia="en-GB"/>
        </w:rPr>
        <w:t>also</w:t>
      </w:r>
      <w:r w:rsidR="00C64050">
        <w:rPr>
          <w:u w:val="single"/>
          <w:lang w:eastAsia="en-GB"/>
        </w:rPr>
        <w:t xml:space="preserve"> </w:t>
      </w:r>
      <w:r w:rsidRPr="002866E3">
        <w:rPr>
          <w:u w:val="single"/>
          <w:lang w:eastAsia="en-GB"/>
        </w:rPr>
        <w:t>Commissioner</w:t>
      </w:r>
      <w:r w:rsidR="00C64050">
        <w:rPr>
          <w:u w:val="single"/>
          <w:lang w:eastAsia="en-GB"/>
        </w:rPr>
        <w:t xml:space="preserve"> </w:t>
      </w:r>
      <w:r w:rsidRPr="002866E3">
        <w:rPr>
          <w:u w:val="single"/>
          <w:lang w:eastAsia="en-GB"/>
        </w:rPr>
        <w:t>v.</w:t>
      </w:r>
      <w:r w:rsidR="00C64050">
        <w:rPr>
          <w:u w:val="single"/>
          <w:lang w:eastAsia="en-GB"/>
        </w:rPr>
        <w:t xml:space="preserve"> </w:t>
      </w:r>
      <w:r w:rsidRPr="002866E3">
        <w:rPr>
          <w:u w:val="single"/>
          <w:lang w:eastAsia="en-GB"/>
        </w:rPr>
        <w:t>Bristol</w:t>
      </w:r>
      <w:r>
        <w:rPr>
          <w:lang w:eastAsia="en-GB"/>
        </w:rPr>
        <w:t>,</w:t>
      </w:r>
      <w:r w:rsidR="00C64050">
        <w:rPr>
          <w:lang w:eastAsia="en-GB"/>
        </w:rPr>
        <w:t xml:space="preserve"> </w:t>
      </w:r>
      <w:r>
        <w:rPr>
          <w:lang w:eastAsia="en-GB"/>
        </w:rPr>
        <w:t>121</w:t>
      </w:r>
      <w:r w:rsidR="00C64050">
        <w:rPr>
          <w:lang w:eastAsia="en-GB"/>
        </w:rPr>
        <w:t xml:space="preserve"> </w:t>
      </w:r>
      <w:r>
        <w:rPr>
          <w:lang w:eastAsia="en-GB"/>
        </w:rPr>
        <w:t>F.2d</w:t>
      </w:r>
      <w:r w:rsidR="00C64050">
        <w:rPr>
          <w:lang w:eastAsia="en-GB"/>
        </w:rPr>
        <w:t xml:space="preserve"> </w:t>
      </w:r>
      <w:r>
        <w:rPr>
          <w:lang w:eastAsia="en-GB"/>
        </w:rPr>
        <w:t>129,</w:t>
      </w:r>
      <w:r w:rsidR="00C64050">
        <w:rPr>
          <w:lang w:eastAsia="en-GB"/>
        </w:rPr>
        <w:t xml:space="preserve"> </w:t>
      </w:r>
      <w:r>
        <w:rPr>
          <w:lang w:eastAsia="en-GB"/>
        </w:rPr>
        <w:t>136</w:t>
      </w:r>
      <w:r w:rsidR="00C64050">
        <w:rPr>
          <w:lang w:eastAsia="en-GB"/>
        </w:rPr>
        <w:t xml:space="preserve"> </w:t>
      </w:r>
      <w:r>
        <w:rPr>
          <w:lang w:eastAsia="en-GB"/>
        </w:rPr>
        <w:t>(1st</w:t>
      </w:r>
      <w:r w:rsidR="00C64050">
        <w:rPr>
          <w:lang w:eastAsia="en-GB"/>
        </w:rPr>
        <w:t xml:space="preserve"> </w:t>
      </w:r>
      <w:r>
        <w:rPr>
          <w:lang w:eastAsia="en-GB"/>
        </w:rPr>
        <w:t>Cir.</w:t>
      </w:r>
      <w:r w:rsidR="00C64050">
        <w:rPr>
          <w:lang w:eastAsia="en-GB"/>
        </w:rPr>
        <w:t xml:space="preserve"> </w:t>
      </w:r>
      <w:r>
        <w:rPr>
          <w:lang w:eastAsia="en-GB"/>
        </w:rPr>
        <w:t>1941).</w:t>
      </w:r>
      <w:r w:rsidR="00C64050">
        <w:rPr>
          <w:lang w:eastAsia="en-GB"/>
        </w:rPr>
        <w:t xml:space="preserve"> </w:t>
      </w:r>
    </w:p>
    <w:p w:rsidR="00A95E15" w:rsidRDefault="00A95E15" w:rsidP="002866E3">
      <w:pPr>
        <w:pStyle w:val="QS10"/>
        <w:rPr>
          <w:lang w:eastAsia="en-GB"/>
        </w:rPr>
      </w:pPr>
      <w:r>
        <w:rPr>
          <w:lang w:eastAsia="en-GB"/>
        </w:rPr>
        <w:t>It</w:t>
      </w:r>
      <w:r w:rsidR="00C64050">
        <w:rPr>
          <w:lang w:eastAsia="en-GB"/>
        </w:rPr>
        <w:t xml:space="preserve"> </w:t>
      </w:r>
      <w:r>
        <w:rPr>
          <w:lang w:eastAsia="en-GB"/>
        </w:rPr>
        <w:t>is</w:t>
      </w:r>
      <w:r w:rsidR="00C64050">
        <w:rPr>
          <w:lang w:eastAsia="en-GB"/>
        </w:rPr>
        <w:t xml:space="preserve"> </w:t>
      </w:r>
      <w:r>
        <w:rPr>
          <w:lang w:eastAsia="en-GB"/>
        </w:rPr>
        <w:t>important</w:t>
      </w:r>
      <w:r w:rsidR="00C64050">
        <w:rPr>
          <w:lang w:eastAsia="en-GB"/>
        </w:rPr>
        <w:t xml:space="preserve"> </w:t>
      </w:r>
      <w:r>
        <w:rPr>
          <w:lang w:eastAsia="en-GB"/>
        </w:rPr>
        <w:t>to</w:t>
      </w:r>
      <w:r w:rsidR="00C64050">
        <w:rPr>
          <w:lang w:eastAsia="en-GB"/>
        </w:rPr>
        <w:t xml:space="preserve"> </w:t>
      </w:r>
      <w:r>
        <w:rPr>
          <w:lang w:eastAsia="en-GB"/>
        </w:rPr>
        <w:t>keep</w:t>
      </w:r>
      <w:r w:rsidR="00C64050">
        <w:rPr>
          <w:lang w:eastAsia="en-GB"/>
        </w:rPr>
        <w:t xml:space="preserve"> </w:t>
      </w:r>
      <w:r>
        <w:rPr>
          <w:lang w:eastAsia="en-GB"/>
        </w:rPr>
        <w:t>in</w:t>
      </w:r>
      <w:r w:rsidR="00C64050">
        <w:rPr>
          <w:lang w:eastAsia="en-GB"/>
        </w:rPr>
        <w:t xml:space="preserve"> </w:t>
      </w:r>
      <w:r>
        <w:rPr>
          <w:lang w:eastAsia="en-GB"/>
        </w:rPr>
        <w:t>mind</w:t>
      </w:r>
      <w:r w:rsidR="00C64050">
        <w:rPr>
          <w:lang w:eastAsia="en-GB"/>
        </w:rPr>
        <w:t xml:space="preserve"> </w:t>
      </w:r>
      <w:r>
        <w:rPr>
          <w:lang w:eastAsia="en-GB"/>
        </w:rPr>
        <w:t>that</w:t>
      </w:r>
      <w:r w:rsidR="00C64050">
        <w:rPr>
          <w:lang w:eastAsia="en-GB"/>
        </w:rPr>
        <w:t xml:space="preserve"> </w:t>
      </w:r>
      <w:r>
        <w:rPr>
          <w:lang w:eastAsia="en-GB"/>
        </w:rPr>
        <w:t>in</w:t>
      </w:r>
      <w:r w:rsidR="00C64050">
        <w:rPr>
          <w:lang w:eastAsia="en-GB"/>
        </w:rPr>
        <w:t xml:space="preserve"> </w:t>
      </w:r>
      <w:r>
        <w:rPr>
          <w:lang w:eastAsia="en-GB"/>
        </w:rPr>
        <w:t>each</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above</w:t>
      </w:r>
      <w:r w:rsidR="00C64050">
        <w:rPr>
          <w:lang w:eastAsia="en-GB"/>
        </w:rPr>
        <w:t xml:space="preserve"> </w:t>
      </w:r>
      <w:r>
        <w:rPr>
          <w:lang w:eastAsia="en-GB"/>
        </w:rPr>
        <w:t>cases,</w:t>
      </w:r>
      <w:r w:rsidR="00C64050">
        <w:rPr>
          <w:lang w:eastAsia="en-GB"/>
        </w:rPr>
        <w:t xml:space="preserve"> </w:t>
      </w:r>
      <w:r>
        <w:rPr>
          <w:lang w:eastAsia="en-GB"/>
        </w:rPr>
        <w:t>the</w:t>
      </w:r>
      <w:r w:rsidR="00C64050">
        <w:rPr>
          <w:lang w:eastAsia="en-GB"/>
        </w:rPr>
        <w:t xml:space="preserve"> </w:t>
      </w:r>
      <w:r>
        <w:rPr>
          <w:lang w:eastAsia="en-GB"/>
        </w:rPr>
        <w:t>relinquishment</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marital</w:t>
      </w:r>
      <w:r w:rsidR="00C64050">
        <w:rPr>
          <w:lang w:eastAsia="en-GB"/>
        </w:rPr>
        <w:t xml:space="preserve"> </w:t>
      </w:r>
      <w:r>
        <w:rPr>
          <w:lang w:eastAsia="en-GB"/>
        </w:rPr>
        <w:t>rights</w:t>
      </w:r>
      <w:r w:rsidR="00C64050">
        <w:rPr>
          <w:lang w:eastAsia="en-GB"/>
        </w:rPr>
        <w:t xml:space="preserve"> </w:t>
      </w:r>
      <w:r>
        <w:rPr>
          <w:lang w:eastAsia="en-GB"/>
        </w:rPr>
        <w:t>in</w:t>
      </w:r>
      <w:r w:rsidR="00C64050">
        <w:rPr>
          <w:lang w:eastAsia="en-GB"/>
        </w:rPr>
        <w:t xml:space="preserve"> </w:t>
      </w:r>
      <w:r>
        <w:rPr>
          <w:lang w:eastAsia="en-GB"/>
        </w:rPr>
        <w:t>the</w:t>
      </w:r>
      <w:r w:rsidR="00C64050">
        <w:rPr>
          <w:lang w:eastAsia="en-GB"/>
        </w:rPr>
        <w:t xml:space="preserve"> </w:t>
      </w:r>
      <w:r>
        <w:rPr>
          <w:lang w:eastAsia="en-GB"/>
        </w:rPr>
        <w:t>donor’s</w:t>
      </w:r>
      <w:r w:rsidR="00C64050">
        <w:rPr>
          <w:lang w:eastAsia="en-GB"/>
        </w:rPr>
        <w:t xml:space="preserve"> </w:t>
      </w:r>
      <w:r>
        <w:rPr>
          <w:lang w:eastAsia="en-GB"/>
        </w:rPr>
        <w:t>remaining</w:t>
      </w:r>
      <w:r w:rsidR="00C64050">
        <w:rPr>
          <w:lang w:eastAsia="en-GB"/>
        </w:rPr>
        <w:t xml:space="preserve"> </w:t>
      </w:r>
      <w:r>
        <w:rPr>
          <w:lang w:eastAsia="en-GB"/>
        </w:rPr>
        <w:t>assets</w:t>
      </w:r>
      <w:r w:rsidR="00C64050">
        <w:rPr>
          <w:lang w:eastAsia="en-GB"/>
        </w:rPr>
        <w:t xml:space="preserve"> </w:t>
      </w:r>
      <w:r>
        <w:rPr>
          <w:lang w:eastAsia="en-GB"/>
        </w:rPr>
        <w:t>did</w:t>
      </w:r>
      <w:r w:rsidR="00C64050">
        <w:rPr>
          <w:lang w:eastAsia="en-GB"/>
        </w:rPr>
        <w:t xml:space="preserve"> </w:t>
      </w:r>
      <w:r>
        <w:rPr>
          <w:lang w:eastAsia="en-GB"/>
        </w:rPr>
        <w:t>constitute</w:t>
      </w:r>
      <w:r w:rsidR="00C64050">
        <w:rPr>
          <w:lang w:eastAsia="en-GB"/>
        </w:rPr>
        <w:t xml:space="preserve"> </w:t>
      </w:r>
      <w:r>
        <w:rPr>
          <w:lang w:eastAsia="en-GB"/>
        </w:rPr>
        <w:t>valuable</w:t>
      </w:r>
      <w:r w:rsidR="00C64050">
        <w:rPr>
          <w:lang w:eastAsia="en-GB"/>
        </w:rPr>
        <w:t xml:space="preserve"> </w:t>
      </w:r>
      <w:r w:rsidRPr="002866E3">
        <w:rPr>
          <w:u w:val="single"/>
          <w:lang w:eastAsia="en-GB"/>
        </w:rPr>
        <w:t>contractual</w:t>
      </w:r>
      <w:r w:rsidR="00C64050">
        <w:rPr>
          <w:lang w:eastAsia="en-GB"/>
        </w:rPr>
        <w:t xml:space="preserve"> </w:t>
      </w:r>
      <w:r>
        <w:rPr>
          <w:lang w:eastAsia="en-GB"/>
        </w:rPr>
        <w:t>consideration</w:t>
      </w:r>
      <w:r w:rsidR="00C64050">
        <w:rPr>
          <w:lang w:eastAsia="en-GB"/>
        </w:rPr>
        <w:t xml:space="preserve"> </w:t>
      </w:r>
      <w:r>
        <w:rPr>
          <w:lang w:eastAsia="en-GB"/>
        </w:rPr>
        <w:t>in</w:t>
      </w:r>
      <w:r w:rsidR="00C64050">
        <w:rPr>
          <w:lang w:eastAsia="en-GB"/>
        </w:rPr>
        <w:t xml:space="preserve"> </w:t>
      </w:r>
      <w:r>
        <w:rPr>
          <w:lang w:eastAsia="en-GB"/>
        </w:rPr>
        <w:t>the</w:t>
      </w:r>
      <w:r w:rsidR="00C64050">
        <w:rPr>
          <w:lang w:eastAsia="en-GB"/>
        </w:rPr>
        <w:t xml:space="preserve"> </w:t>
      </w:r>
      <w:r>
        <w:rPr>
          <w:lang w:eastAsia="en-GB"/>
        </w:rPr>
        <w:t>hands</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donor,</w:t>
      </w:r>
      <w:r w:rsidR="00C64050">
        <w:rPr>
          <w:lang w:eastAsia="en-GB"/>
        </w:rPr>
        <w:t xml:space="preserve"> </w:t>
      </w:r>
      <w:r>
        <w:rPr>
          <w:lang w:eastAsia="en-GB"/>
        </w:rPr>
        <w:t>and</w:t>
      </w:r>
      <w:r w:rsidR="00C64050">
        <w:rPr>
          <w:lang w:eastAsia="en-GB"/>
        </w:rPr>
        <w:t xml:space="preserve"> </w:t>
      </w:r>
      <w:r>
        <w:rPr>
          <w:lang w:eastAsia="en-GB"/>
        </w:rPr>
        <w:t>did</w:t>
      </w:r>
      <w:r w:rsidR="00C64050">
        <w:rPr>
          <w:lang w:eastAsia="en-GB"/>
        </w:rPr>
        <w:t xml:space="preserve"> </w:t>
      </w:r>
      <w:r>
        <w:rPr>
          <w:lang w:eastAsia="en-GB"/>
        </w:rPr>
        <w:t>benefit</w:t>
      </w:r>
      <w:r w:rsidR="00C64050">
        <w:rPr>
          <w:lang w:eastAsia="en-GB"/>
        </w:rPr>
        <w:t xml:space="preserve"> </w:t>
      </w:r>
      <w:r>
        <w:rPr>
          <w:lang w:eastAsia="en-GB"/>
        </w:rPr>
        <w:t>the</w:t>
      </w:r>
      <w:r w:rsidR="00C64050">
        <w:rPr>
          <w:lang w:eastAsia="en-GB"/>
        </w:rPr>
        <w:t xml:space="preserve"> </w:t>
      </w:r>
      <w:r>
        <w:rPr>
          <w:lang w:eastAsia="en-GB"/>
        </w:rPr>
        <w:t>donor.</w:t>
      </w:r>
      <w:r w:rsidR="00C64050">
        <w:rPr>
          <w:lang w:eastAsia="en-GB"/>
        </w:rPr>
        <w:t xml:space="preserve"> </w:t>
      </w:r>
      <w:r>
        <w:rPr>
          <w:lang w:eastAsia="en-GB"/>
        </w:rPr>
        <w:t>It</w:t>
      </w:r>
      <w:r w:rsidR="00C64050">
        <w:rPr>
          <w:lang w:eastAsia="en-GB"/>
        </w:rPr>
        <w:t xml:space="preserve"> </w:t>
      </w:r>
      <w:r>
        <w:rPr>
          <w:lang w:eastAsia="en-GB"/>
        </w:rPr>
        <w:t>enabled</w:t>
      </w:r>
      <w:r w:rsidR="00C64050">
        <w:rPr>
          <w:lang w:eastAsia="en-GB"/>
        </w:rPr>
        <w:t xml:space="preserve"> </w:t>
      </w:r>
      <w:r>
        <w:rPr>
          <w:lang w:eastAsia="en-GB"/>
        </w:rPr>
        <w:t>the</w:t>
      </w:r>
      <w:r w:rsidR="00C64050">
        <w:rPr>
          <w:lang w:eastAsia="en-GB"/>
        </w:rPr>
        <w:t xml:space="preserve"> </w:t>
      </w:r>
      <w:r>
        <w:rPr>
          <w:lang w:eastAsia="en-GB"/>
        </w:rPr>
        <w:t>donor</w:t>
      </w:r>
      <w:r w:rsidR="00C64050">
        <w:rPr>
          <w:lang w:eastAsia="en-GB"/>
        </w:rPr>
        <w:t xml:space="preserve"> </w:t>
      </w:r>
      <w:r>
        <w:rPr>
          <w:lang w:eastAsia="en-GB"/>
        </w:rPr>
        <w:t>to</w:t>
      </w:r>
      <w:r w:rsidR="00C64050">
        <w:rPr>
          <w:lang w:eastAsia="en-GB"/>
        </w:rPr>
        <w:t xml:space="preserve"> </w:t>
      </w:r>
      <w:r>
        <w:rPr>
          <w:lang w:eastAsia="en-GB"/>
        </w:rPr>
        <w:t>dispose</w:t>
      </w:r>
      <w:r w:rsidR="00C64050">
        <w:rPr>
          <w:lang w:eastAsia="en-GB"/>
        </w:rPr>
        <w:t xml:space="preserve"> </w:t>
      </w:r>
      <w:r>
        <w:rPr>
          <w:lang w:eastAsia="en-GB"/>
        </w:rPr>
        <w:t>of</w:t>
      </w:r>
      <w:r w:rsidR="00C64050">
        <w:rPr>
          <w:lang w:eastAsia="en-GB"/>
        </w:rPr>
        <w:t xml:space="preserve"> </w:t>
      </w:r>
      <w:r>
        <w:rPr>
          <w:lang w:eastAsia="en-GB"/>
        </w:rPr>
        <w:t>that</w:t>
      </w:r>
      <w:r w:rsidR="00C64050">
        <w:rPr>
          <w:lang w:eastAsia="en-GB"/>
        </w:rPr>
        <w:t xml:space="preserve"> </w:t>
      </w:r>
      <w:r>
        <w:rPr>
          <w:lang w:eastAsia="en-GB"/>
        </w:rPr>
        <w:t>property</w:t>
      </w:r>
      <w:r w:rsidR="00C64050">
        <w:rPr>
          <w:lang w:eastAsia="en-GB"/>
        </w:rPr>
        <w:t xml:space="preserve"> </w:t>
      </w:r>
      <w:r>
        <w:rPr>
          <w:lang w:eastAsia="en-GB"/>
        </w:rPr>
        <w:t>free</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spousal</w:t>
      </w:r>
      <w:r w:rsidR="00C64050">
        <w:rPr>
          <w:lang w:eastAsia="en-GB"/>
        </w:rPr>
        <w:t xml:space="preserve"> </w:t>
      </w:r>
      <w:r>
        <w:rPr>
          <w:lang w:eastAsia="en-GB"/>
        </w:rPr>
        <w:t>claims</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second</w:t>
      </w:r>
      <w:r w:rsidR="00C64050">
        <w:rPr>
          <w:lang w:eastAsia="en-GB"/>
        </w:rPr>
        <w:t xml:space="preserve"> </w:t>
      </w:r>
      <w:r>
        <w:rPr>
          <w:lang w:eastAsia="en-GB"/>
        </w:rPr>
        <w:t>marriage.</w:t>
      </w:r>
      <w:r w:rsidR="00C64050">
        <w:rPr>
          <w:lang w:eastAsia="en-GB"/>
        </w:rPr>
        <w:t xml:space="preserve"> </w:t>
      </w:r>
      <w:r w:rsidRPr="002866E3">
        <w:rPr>
          <w:u w:val="single"/>
          <w:lang w:eastAsia="en-GB"/>
        </w:rPr>
        <w:t>See</w:t>
      </w:r>
      <w:r w:rsidR="00C64050">
        <w:rPr>
          <w:u w:val="single"/>
          <w:lang w:eastAsia="en-GB"/>
        </w:rPr>
        <w:t xml:space="preserve"> </w:t>
      </w:r>
      <w:r w:rsidRPr="002866E3">
        <w:rPr>
          <w:u w:val="single"/>
          <w:lang w:eastAsia="en-GB"/>
        </w:rPr>
        <w:t>Merrill</w:t>
      </w:r>
      <w:r w:rsidR="00C64050">
        <w:rPr>
          <w:u w:val="single"/>
          <w:lang w:eastAsia="en-GB"/>
        </w:rPr>
        <w:t xml:space="preserve"> </w:t>
      </w:r>
      <w:r w:rsidRPr="002866E3">
        <w:rPr>
          <w:u w:val="single"/>
          <w:lang w:eastAsia="en-GB"/>
        </w:rPr>
        <w:t>v.</w:t>
      </w:r>
      <w:r w:rsidR="00C64050">
        <w:rPr>
          <w:u w:val="single"/>
          <w:lang w:eastAsia="en-GB"/>
        </w:rPr>
        <w:t xml:space="preserve"> </w:t>
      </w:r>
      <w:r w:rsidRPr="002866E3">
        <w:rPr>
          <w:u w:val="single"/>
          <w:lang w:eastAsia="en-GB"/>
        </w:rPr>
        <w:t>Fahs</w:t>
      </w:r>
      <w:r>
        <w:rPr>
          <w:lang w:eastAsia="en-GB"/>
        </w:rPr>
        <w:t>,</w:t>
      </w:r>
      <w:r w:rsidR="00C64050">
        <w:rPr>
          <w:lang w:eastAsia="en-GB"/>
        </w:rPr>
        <w:t xml:space="preserve"> </w:t>
      </w:r>
      <w:r>
        <w:rPr>
          <w:lang w:eastAsia="en-GB"/>
        </w:rPr>
        <w:t>324</w:t>
      </w:r>
      <w:r w:rsidR="00C64050">
        <w:rPr>
          <w:lang w:eastAsia="en-GB"/>
        </w:rPr>
        <w:t xml:space="preserve"> </w:t>
      </w:r>
      <w:r>
        <w:rPr>
          <w:lang w:eastAsia="en-GB"/>
        </w:rPr>
        <w:t>U.S.</w:t>
      </w:r>
      <w:r w:rsidR="00C64050">
        <w:rPr>
          <w:lang w:eastAsia="en-GB"/>
        </w:rPr>
        <w:t xml:space="preserve"> </w:t>
      </w:r>
      <w:r>
        <w:rPr>
          <w:lang w:eastAsia="en-GB"/>
        </w:rPr>
        <w:t>at</w:t>
      </w:r>
      <w:r w:rsidR="00C64050">
        <w:rPr>
          <w:lang w:eastAsia="en-GB"/>
        </w:rPr>
        <w:t xml:space="preserve"> </w:t>
      </w:r>
      <w:r>
        <w:rPr>
          <w:lang w:eastAsia="en-GB"/>
        </w:rPr>
        <w:t>309.</w:t>
      </w:r>
      <w:r w:rsidR="00C64050">
        <w:rPr>
          <w:lang w:eastAsia="en-GB"/>
        </w:rPr>
        <w:t xml:space="preserve"> </w:t>
      </w:r>
      <w:r>
        <w:rPr>
          <w:lang w:eastAsia="en-GB"/>
        </w:rPr>
        <w:t>For</w:t>
      </w:r>
      <w:r w:rsidR="00C64050">
        <w:rPr>
          <w:lang w:eastAsia="en-GB"/>
        </w:rPr>
        <w:t xml:space="preserve"> </w:t>
      </w:r>
      <w:r>
        <w:rPr>
          <w:lang w:eastAsia="en-GB"/>
        </w:rPr>
        <w:t>instance,</w:t>
      </w:r>
      <w:r w:rsidR="00C64050">
        <w:rPr>
          <w:lang w:eastAsia="en-GB"/>
        </w:rPr>
        <w:t xml:space="preserve"> </w:t>
      </w:r>
      <w:r w:rsidRPr="002866E3">
        <w:rPr>
          <w:u w:val="single"/>
          <w:lang w:eastAsia="en-GB"/>
        </w:rPr>
        <w:t>Bristol</w:t>
      </w:r>
      <w:r w:rsidR="00C64050">
        <w:rPr>
          <w:lang w:eastAsia="en-GB"/>
        </w:rPr>
        <w:t xml:space="preserve"> </w:t>
      </w:r>
      <w:r>
        <w:rPr>
          <w:lang w:eastAsia="en-GB"/>
        </w:rPr>
        <w:t>involved</w:t>
      </w:r>
      <w:r w:rsidR="00C64050">
        <w:rPr>
          <w:lang w:eastAsia="en-GB"/>
        </w:rPr>
        <w:t xml:space="preserve"> </w:t>
      </w:r>
      <w:r>
        <w:rPr>
          <w:lang w:eastAsia="en-GB"/>
        </w:rPr>
        <w:t>the</w:t>
      </w:r>
      <w:r w:rsidR="00C64050">
        <w:rPr>
          <w:lang w:eastAsia="en-GB"/>
        </w:rPr>
        <w:t xml:space="preserve"> </w:t>
      </w:r>
      <w:r>
        <w:rPr>
          <w:lang w:eastAsia="en-GB"/>
        </w:rPr>
        <w:t>waiver</w:t>
      </w:r>
      <w:r w:rsidR="00C64050">
        <w:rPr>
          <w:lang w:eastAsia="en-GB"/>
        </w:rPr>
        <w:t xml:space="preserve"> </w:t>
      </w:r>
      <w:r>
        <w:rPr>
          <w:lang w:eastAsia="en-GB"/>
        </w:rPr>
        <w:t>of</w:t>
      </w:r>
      <w:r w:rsidR="00C64050">
        <w:rPr>
          <w:lang w:eastAsia="en-GB"/>
        </w:rPr>
        <w:t xml:space="preserve"> </w:t>
      </w:r>
      <w:r>
        <w:rPr>
          <w:lang w:eastAsia="en-GB"/>
        </w:rPr>
        <w:t>spousal</w:t>
      </w:r>
      <w:r w:rsidR="00C64050">
        <w:rPr>
          <w:lang w:eastAsia="en-GB"/>
        </w:rPr>
        <w:t xml:space="preserve"> </w:t>
      </w:r>
      <w:r>
        <w:rPr>
          <w:lang w:eastAsia="en-GB"/>
        </w:rPr>
        <w:t>claims</w:t>
      </w:r>
      <w:r w:rsidR="00C64050">
        <w:rPr>
          <w:lang w:eastAsia="en-GB"/>
        </w:rPr>
        <w:t xml:space="preserve"> </w:t>
      </w:r>
      <w:r>
        <w:rPr>
          <w:lang w:eastAsia="en-GB"/>
        </w:rPr>
        <w:t>against</w:t>
      </w:r>
      <w:r w:rsidR="00C64050">
        <w:rPr>
          <w:lang w:eastAsia="en-GB"/>
        </w:rPr>
        <w:t xml:space="preserve"> </w:t>
      </w:r>
      <w:r>
        <w:rPr>
          <w:lang w:eastAsia="en-GB"/>
        </w:rPr>
        <w:t>a</w:t>
      </w:r>
      <w:r w:rsidR="00C64050">
        <w:rPr>
          <w:lang w:eastAsia="en-GB"/>
        </w:rPr>
        <w:t xml:space="preserve"> </w:t>
      </w:r>
      <w:r>
        <w:rPr>
          <w:lang w:eastAsia="en-GB"/>
        </w:rPr>
        <w:t>family</w:t>
      </w:r>
      <w:r w:rsidR="00C64050">
        <w:rPr>
          <w:lang w:eastAsia="en-GB"/>
        </w:rPr>
        <w:t xml:space="preserve"> </w:t>
      </w:r>
      <w:r>
        <w:rPr>
          <w:lang w:eastAsia="en-GB"/>
        </w:rPr>
        <w:t>business</w:t>
      </w:r>
      <w:r w:rsidR="00C64050">
        <w:rPr>
          <w:lang w:eastAsia="en-GB"/>
        </w:rPr>
        <w:t xml:space="preserve"> </w:t>
      </w:r>
      <w:r>
        <w:rPr>
          <w:lang w:eastAsia="en-GB"/>
        </w:rPr>
        <w:t>that</w:t>
      </w:r>
      <w:r w:rsidR="00C64050">
        <w:rPr>
          <w:lang w:eastAsia="en-GB"/>
        </w:rPr>
        <w:t xml:space="preserve"> </w:t>
      </w:r>
      <w:r>
        <w:rPr>
          <w:lang w:eastAsia="en-GB"/>
        </w:rPr>
        <w:t>the</w:t>
      </w:r>
      <w:r w:rsidR="00C64050">
        <w:rPr>
          <w:lang w:eastAsia="en-GB"/>
        </w:rPr>
        <w:t xml:space="preserve"> </w:t>
      </w:r>
      <w:r>
        <w:rPr>
          <w:lang w:eastAsia="en-GB"/>
        </w:rPr>
        <w:t>donor</w:t>
      </w:r>
      <w:r w:rsidR="00C64050">
        <w:rPr>
          <w:lang w:eastAsia="en-GB"/>
        </w:rPr>
        <w:t xml:space="preserve"> </w:t>
      </w:r>
      <w:r>
        <w:rPr>
          <w:lang w:eastAsia="en-GB"/>
        </w:rPr>
        <w:t>wished</w:t>
      </w:r>
      <w:r w:rsidR="00C64050">
        <w:rPr>
          <w:lang w:eastAsia="en-GB"/>
        </w:rPr>
        <w:t xml:space="preserve"> </w:t>
      </w:r>
      <w:r>
        <w:rPr>
          <w:lang w:eastAsia="en-GB"/>
        </w:rPr>
        <w:t>to</w:t>
      </w:r>
      <w:r w:rsidR="00C64050">
        <w:rPr>
          <w:lang w:eastAsia="en-GB"/>
        </w:rPr>
        <w:t xml:space="preserve"> </w:t>
      </w:r>
      <w:r>
        <w:rPr>
          <w:lang w:eastAsia="en-GB"/>
        </w:rPr>
        <w:t>bequeath</w:t>
      </w:r>
      <w:r w:rsidR="00C64050">
        <w:rPr>
          <w:lang w:eastAsia="en-GB"/>
        </w:rPr>
        <w:t xml:space="preserve"> </w:t>
      </w:r>
      <w:r>
        <w:rPr>
          <w:lang w:eastAsia="en-GB"/>
        </w:rPr>
        <w:t>to</w:t>
      </w:r>
      <w:r w:rsidR="00C64050">
        <w:rPr>
          <w:lang w:eastAsia="en-GB"/>
        </w:rPr>
        <w:t xml:space="preserve"> </w:t>
      </w:r>
      <w:r>
        <w:rPr>
          <w:lang w:eastAsia="en-GB"/>
        </w:rPr>
        <w:t>the</w:t>
      </w:r>
      <w:r w:rsidR="00C64050">
        <w:rPr>
          <w:lang w:eastAsia="en-GB"/>
        </w:rPr>
        <w:t xml:space="preserve"> </w:t>
      </w:r>
      <w:r>
        <w:rPr>
          <w:lang w:eastAsia="en-GB"/>
        </w:rPr>
        <w:t>children</w:t>
      </w:r>
      <w:r w:rsidR="00C64050">
        <w:rPr>
          <w:lang w:eastAsia="en-GB"/>
        </w:rPr>
        <w:t xml:space="preserve"> </w:t>
      </w:r>
      <w:r>
        <w:rPr>
          <w:lang w:eastAsia="en-GB"/>
        </w:rPr>
        <w:t>of</w:t>
      </w:r>
      <w:r w:rsidR="00C64050">
        <w:rPr>
          <w:lang w:eastAsia="en-GB"/>
        </w:rPr>
        <w:t xml:space="preserve"> </w:t>
      </w:r>
      <w:r>
        <w:rPr>
          <w:lang w:eastAsia="en-GB"/>
        </w:rPr>
        <w:t>his</w:t>
      </w:r>
      <w:r w:rsidR="00C64050">
        <w:rPr>
          <w:lang w:eastAsia="en-GB"/>
        </w:rPr>
        <w:t xml:space="preserve"> </w:t>
      </w:r>
      <w:r>
        <w:rPr>
          <w:lang w:eastAsia="en-GB"/>
        </w:rPr>
        <w:t>first</w:t>
      </w:r>
      <w:r w:rsidR="00C64050">
        <w:rPr>
          <w:lang w:eastAsia="en-GB"/>
        </w:rPr>
        <w:t xml:space="preserve"> </w:t>
      </w:r>
      <w:r>
        <w:rPr>
          <w:lang w:eastAsia="en-GB"/>
        </w:rPr>
        <w:t>marriage.</w:t>
      </w:r>
      <w:r w:rsidR="00C64050">
        <w:rPr>
          <w:lang w:eastAsia="en-GB"/>
        </w:rPr>
        <w:t xml:space="preserve"> </w:t>
      </w:r>
      <w:r w:rsidRPr="002866E3">
        <w:rPr>
          <w:u w:val="single"/>
          <w:lang w:eastAsia="en-GB"/>
        </w:rPr>
        <w:t>Bristol</w:t>
      </w:r>
      <w:r>
        <w:rPr>
          <w:lang w:eastAsia="en-GB"/>
        </w:rPr>
        <w:t>,</w:t>
      </w:r>
      <w:r w:rsidR="00C64050">
        <w:rPr>
          <w:lang w:eastAsia="en-GB"/>
        </w:rPr>
        <w:t xml:space="preserve"> </w:t>
      </w:r>
      <w:r>
        <w:rPr>
          <w:lang w:eastAsia="en-GB"/>
        </w:rPr>
        <w:t>121</w:t>
      </w:r>
      <w:r w:rsidR="00C64050">
        <w:rPr>
          <w:lang w:eastAsia="en-GB"/>
        </w:rPr>
        <w:t xml:space="preserve"> </w:t>
      </w:r>
      <w:r>
        <w:rPr>
          <w:lang w:eastAsia="en-GB"/>
        </w:rPr>
        <w:t>F.2d</w:t>
      </w:r>
      <w:r w:rsidR="00C64050">
        <w:rPr>
          <w:lang w:eastAsia="en-GB"/>
        </w:rPr>
        <w:t xml:space="preserve"> </w:t>
      </w:r>
      <w:r>
        <w:rPr>
          <w:lang w:eastAsia="en-GB"/>
        </w:rPr>
        <w:t>at</w:t>
      </w:r>
      <w:r w:rsidR="00C64050">
        <w:rPr>
          <w:lang w:eastAsia="en-GB"/>
        </w:rPr>
        <w:t xml:space="preserve"> </w:t>
      </w:r>
      <w:r>
        <w:rPr>
          <w:lang w:eastAsia="en-GB"/>
        </w:rPr>
        <w:t>131.</w:t>
      </w:r>
      <w:r w:rsidR="00C64050">
        <w:rPr>
          <w:lang w:eastAsia="en-GB"/>
        </w:rPr>
        <w:t xml:space="preserve"> </w:t>
      </w:r>
      <w:r>
        <w:rPr>
          <w:lang w:eastAsia="en-GB"/>
        </w:rPr>
        <w:t>Indeed,</w:t>
      </w:r>
      <w:r w:rsidR="00C64050">
        <w:rPr>
          <w:lang w:eastAsia="en-GB"/>
        </w:rPr>
        <w:t xml:space="preserve"> </w:t>
      </w:r>
      <w:r>
        <w:rPr>
          <w:lang w:eastAsia="en-GB"/>
        </w:rPr>
        <w:t>in</w:t>
      </w:r>
      <w:r w:rsidR="00C64050">
        <w:rPr>
          <w:lang w:eastAsia="en-GB"/>
        </w:rPr>
        <w:t xml:space="preserve"> </w:t>
      </w:r>
      <w:r>
        <w:rPr>
          <w:lang w:eastAsia="en-GB"/>
        </w:rPr>
        <w:t>each</w:t>
      </w:r>
      <w:r w:rsidR="00C64050">
        <w:rPr>
          <w:lang w:eastAsia="en-GB"/>
        </w:rPr>
        <w:t xml:space="preserve"> </w:t>
      </w:r>
      <w:r>
        <w:rPr>
          <w:lang w:eastAsia="en-GB"/>
        </w:rPr>
        <w:t>of</w:t>
      </w:r>
      <w:r w:rsidR="00C64050">
        <w:rPr>
          <w:lang w:eastAsia="en-GB"/>
        </w:rPr>
        <w:t xml:space="preserve"> </w:t>
      </w:r>
      <w:r>
        <w:rPr>
          <w:lang w:eastAsia="en-GB"/>
        </w:rPr>
        <w:t>these</w:t>
      </w:r>
      <w:r w:rsidR="00C64050">
        <w:rPr>
          <w:lang w:eastAsia="en-GB"/>
        </w:rPr>
        <w:t xml:space="preserve"> </w:t>
      </w:r>
      <w:r>
        <w:rPr>
          <w:lang w:eastAsia="en-GB"/>
        </w:rPr>
        <w:t>cases,</w:t>
      </w:r>
      <w:r w:rsidR="00C64050">
        <w:rPr>
          <w:lang w:eastAsia="en-GB"/>
        </w:rPr>
        <w:t xml:space="preserve"> </w:t>
      </w:r>
      <w:r>
        <w:rPr>
          <w:lang w:eastAsia="en-GB"/>
        </w:rPr>
        <w:t>it</w:t>
      </w:r>
      <w:r w:rsidR="00C64050">
        <w:rPr>
          <w:lang w:eastAsia="en-GB"/>
        </w:rPr>
        <w:t xml:space="preserve"> </w:t>
      </w:r>
      <w:r>
        <w:rPr>
          <w:lang w:eastAsia="en-GB"/>
        </w:rPr>
        <w:t>was</w:t>
      </w:r>
      <w:r w:rsidR="00C64050">
        <w:rPr>
          <w:lang w:eastAsia="en-GB"/>
        </w:rPr>
        <w:t xml:space="preserve"> </w:t>
      </w:r>
      <w:r>
        <w:rPr>
          <w:lang w:eastAsia="en-GB"/>
        </w:rPr>
        <w:t>the</w:t>
      </w:r>
      <w:r w:rsidR="00C64050">
        <w:rPr>
          <w:lang w:eastAsia="en-GB"/>
        </w:rPr>
        <w:t xml:space="preserve"> </w:t>
      </w:r>
      <w:r>
        <w:rPr>
          <w:lang w:eastAsia="en-GB"/>
        </w:rPr>
        <w:t>prospective</w:t>
      </w:r>
      <w:r w:rsidR="00C64050">
        <w:rPr>
          <w:lang w:eastAsia="en-GB"/>
        </w:rPr>
        <w:t xml:space="preserve"> </w:t>
      </w:r>
      <w:r>
        <w:rPr>
          <w:lang w:eastAsia="en-GB"/>
        </w:rPr>
        <w:t>husband’s</w:t>
      </w:r>
      <w:r w:rsidR="00C64050">
        <w:rPr>
          <w:lang w:eastAsia="en-GB"/>
        </w:rPr>
        <w:t xml:space="preserve"> </w:t>
      </w:r>
      <w:r>
        <w:rPr>
          <w:lang w:eastAsia="en-GB"/>
        </w:rPr>
        <w:t>desire</w:t>
      </w:r>
      <w:r w:rsidR="00C64050">
        <w:rPr>
          <w:lang w:eastAsia="en-GB"/>
        </w:rPr>
        <w:t xml:space="preserve"> </w:t>
      </w:r>
      <w:r>
        <w:rPr>
          <w:lang w:eastAsia="en-GB"/>
        </w:rPr>
        <w:t>to</w:t>
      </w:r>
      <w:r w:rsidR="00C64050">
        <w:rPr>
          <w:lang w:eastAsia="en-GB"/>
        </w:rPr>
        <w:t xml:space="preserve"> </w:t>
      </w:r>
      <w:r>
        <w:rPr>
          <w:lang w:eastAsia="en-GB"/>
        </w:rPr>
        <w:t>dispose</w:t>
      </w:r>
      <w:r w:rsidR="00C64050">
        <w:rPr>
          <w:lang w:eastAsia="en-GB"/>
        </w:rPr>
        <w:t xml:space="preserve"> </w:t>
      </w:r>
      <w:r>
        <w:rPr>
          <w:lang w:eastAsia="en-GB"/>
        </w:rPr>
        <w:t>of</w:t>
      </w:r>
      <w:r w:rsidR="00C64050">
        <w:rPr>
          <w:lang w:eastAsia="en-GB"/>
        </w:rPr>
        <w:t xml:space="preserve"> </w:t>
      </w:r>
      <w:r>
        <w:rPr>
          <w:lang w:eastAsia="en-GB"/>
        </w:rPr>
        <w:t>his</w:t>
      </w:r>
      <w:r w:rsidR="00C64050">
        <w:rPr>
          <w:lang w:eastAsia="en-GB"/>
        </w:rPr>
        <w:t xml:space="preserve"> </w:t>
      </w:r>
      <w:r>
        <w:rPr>
          <w:lang w:eastAsia="en-GB"/>
        </w:rPr>
        <w:t>property</w:t>
      </w:r>
      <w:r w:rsidR="00C64050">
        <w:rPr>
          <w:lang w:eastAsia="en-GB"/>
        </w:rPr>
        <w:t xml:space="preserve"> </w:t>
      </w:r>
      <w:r>
        <w:rPr>
          <w:lang w:eastAsia="en-GB"/>
        </w:rPr>
        <w:t>as</w:t>
      </w:r>
      <w:r w:rsidR="00C64050">
        <w:rPr>
          <w:lang w:eastAsia="en-GB"/>
        </w:rPr>
        <w:t xml:space="preserve"> </w:t>
      </w:r>
      <w:r>
        <w:rPr>
          <w:lang w:eastAsia="en-GB"/>
        </w:rPr>
        <w:t>he</w:t>
      </w:r>
      <w:r w:rsidR="00C64050">
        <w:rPr>
          <w:lang w:eastAsia="en-GB"/>
        </w:rPr>
        <w:t xml:space="preserve"> </w:t>
      </w:r>
      <w:r>
        <w:rPr>
          <w:lang w:eastAsia="en-GB"/>
        </w:rPr>
        <w:t>chose</w:t>
      </w:r>
      <w:r w:rsidR="00C64050">
        <w:rPr>
          <w:lang w:eastAsia="en-GB"/>
        </w:rPr>
        <w:t xml:space="preserve"> </w:t>
      </w:r>
      <w:r>
        <w:rPr>
          <w:lang w:eastAsia="en-GB"/>
        </w:rPr>
        <w:t>that</w:t>
      </w:r>
      <w:r w:rsidR="00C64050">
        <w:rPr>
          <w:lang w:eastAsia="en-GB"/>
        </w:rPr>
        <w:t xml:space="preserve"> </w:t>
      </w:r>
      <w:r>
        <w:rPr>
          <w:lang w:eastAsia="en-GB"/>
        </w:rPr>
        <w:t>was</w:t>
      </w:r>
      <w:r w:rsidR="00C64050">
        <w:rPr>
          <w:lang w:eastAsia="en-GB"/>
        </w:rPr>
        <w:t xml:space="preserve"> </w:t>
      </w:r>
      <w:r>
        <w:rPr>
          <w:lang w:eastAsia="en-GB"/>
        </w:rPr>
        <w:t>the</w:t>
      </w:r>
      <w:r w:rsidR="00C64050">
        <w:rPr>
          <w:lang w:eastAsia="en-GB"/>
        </w:rPr>
        <w:t xml:space="preserve"> </w:t>
      </w:r>
      <w:r>
        <w:rPr>
          <w:lang w:eastAsia="en-GB"/>
        </w:rPr>
        <w:t>basis</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ante-nuptial</w:t>
      </w:r>
      <w:r w:rsidR="00C64050">
        <w:rPr>
          <w:lang w:eastAsia="en-GB"/>
        </w:rPr>
        <w:t xml:space="preserve"> </w:t>
      </w:r>
      <w:r>
        <w:rPr>
          <w:lang w:eastAsia="en-GB"/>
        </w:rPr>
        <w:t>agreement.</w:t>
      </w:r>
      <w:r w:rsidR="00C64050">
        <w:rPr>
          <w:lang w:eastAsia="en-GB"/>
        </w:rPr>
        <w:t xml:space="preserve"> </w:t>
      </w:r>
      <w:r>
        <w:rPr>
          <w:lang w:eastAsia="en-GB"/>
        </w:rPr>
        <w:t>This</w:t>
      </w:r>
      <w:r w:rsidR="00C64050">
        <w:rPr>
          <w:lang w:eastAsia="en-GB"/>
        </w:rPr>
        <w:t xml:space="preserve"> </w:t>
      </w:r>
      <w:r>
        <w:rPr>
          <w:lang w:eastAsia="en-GB"/>
        </w:rPr>
        <w:t>freedom</w:t>
      </w:r>
      <w:r w:rsidR="00C64050">
        <w:rPr>
          <w:lang w:eastAsia="en-GB"/>
        </w:rPr>
        <w:t xml:space="preserve"> </w:t>
      </w:r>
      <w:r>
        <w:rPr>
          <w:lang w:eastAsia="en-GB"/>
        </w:rPr>
        <w:t>did</w:t>
      </w:r>
      <w:r w:rsidR="00C64050">
        <w:rPr>
          <w:lang w:eastAsia="en-GB"/>
        </w:rPr>
        <w:t xml:space="preserve"> </w:t>
      </w:r>
      <w:r>
        <w:rPr>
          <w:lang w:eastAsia="en-GB"/>
        </w:rPr>
        <w:t>not</w:t>
      </w:r>
      <w:r w:rsidR="00C64050">
        <w:rPr>
          <w:lang w:eastAsia="en-GB"/>
        </w:rPr>
        <w:t xml:space="preserve"> </w:t>
      </w:r>
      <w:r>
        <w:rPr>
          <w:lang w:eastAsia="en-GB"/>
        </w:rPr>
        <w:t>constitute</w:t>
      </w:r>
      <w:r w:rsidR="00C64050">
        <w:rPr>
          <w:lang w:eastAsia="en-GB"/>
        </w:rPr>
        <w:t xml:space="preserve"> </w:t>
      </w:r>
      <w:r>
        <w:rPr>
          <w:lang w:eastAsia="en-GB"/>
        </w:rPr>
        <w:t>adequate</w:t>
      </w:r>
      <w:r w:rsidR="00C64050">
        <w:rPr>
          <w:lang w:eastAsia="en-GB"/>
        </w:rPr>
        <w:t xml:space="preserve"> </w:t>
      </w:r>
      <w:r>
        <w:rPr>
          <w:lang w:eastAsia="en-GB"/>
        </w:rPr>
        <w:t>and</w:t>
      </w:r>
      <w:r w:rsidR="00C64050">
        <w:rPr>
          <w:lang w:eastAsia="en-GB"/>
        </w:rPr>
        <w:t xml:space="preserve"> </w:t>
      </w:r>
      <w:r>
        <w:rPr>
          <w:lang w:eastAsia="en-GB"/>
        </w:rPr>
        <w:t>full</w:t>
      </w:r>
      <w:r w:rsidR="00C64050">
        <w:rPr>
          <w:lang w:eastAsia="en-GB"/>
        </w:rPr>
        <w:t xml:space="preserve"> </w:t>
      </w:r>
      <w:r>
        <w:rPr>
          <w:lang w:eastAsia="en-GB"/>
        </w:rPr>
        <w:t>consideration,</w:t>
      </w:r>
      <w:r w:rsidR="00C64050">
        <w:rPr>
          <w:lang w:eastAsia="en-GB"/>
        </w:rPr>
        <w:t xml:space="preserve"> </w:t>
      </w:r>
      <w:r>
        <w:rPr>
          <w:lang w:eastAsia="en-GB"/>
        </w:rPr>
        <w:t>however,</w:t>
      </w:r>
      <w:r w:rsidR="00C64050">
        <w:rPr>
          <w:lang w:eastAsia="en-GB"/>
        </w:rPr>
        <w:t xml:space="preserve"> </w:t>
      </w:r>
      <w:r>
        <w:rPr>
          <w:lang w:eastAsia="en-GB"/>
        </w:rPr>
        <w:t>because</w:t>
      </w:r>
      <w:r w:rsidR="00C64050">
        <w:rPr>
          <w:lang w:eastAsia="en-GB"/>
        </w:rPr>
        <w:t xml:space="preserve"> </w:t>
      </w:r>
      <w:r>
        <w:rPr>
          <w:lang w:eastAsia="en-GB"/>
        </w:rPr>
        <w:t>it</w:t>
      </w:r>
      <w:r w:rsidR="00C64050">
        <w:rPr>
          <w:lang w:eastAsia="en-GB"/>
        </w:rPr>
        <w:t xml:space="preserve"> </w:t>
      </w:r>
      <w:r>
        <w:rPr>
          <w:lang w:eastAsia="en-GB"/>
        </w:rPr>
        <w:t>did</w:t>
      </w:r>
      <w:r w:rsidR="00C64050">
        <w:rPr>
          <w:lang w:eastAsia="en-GB"/>
        </w:rPr>
        <w:t xml:space="preserve"> </w:t>
      </w:r>
      <w:r>
        <w:rPr>
          <w:lang w:eastAsia="en-GB"/>
        </w:rPr>
        <w:t>not</w:t>
      </w:r>
      <w:r w:rsidR="00C64050">
        <w:rPr>
          <w:lang w:eastAsia="en-GB"/>
        </w:rPr>
        <w:t xml:space="preserve"> </w:t>
      </w:r>
      <w:r>
        <w:rPr>
          <w:lang w:eastAsia="en-GB"/>
        </w:rPr>
        <w:t>augment</w:t>
      </w:r>
      <w:r w:rsidR="00C64050">
        <w:rPr>
          <w:lang w:eastAsia="en-GB"/>
        </w:rPr>
        <w:t xml:space="preserve"> </w:t>
      </w:r>
      <w:r>
        <w:rPr>
          <w:lang w:eastAsia="en-GB"/>
        </w:rPr>
        <w:t>the</w:t>
      </w:r>
      <w:r w:rsidR="00C64050">
        <w:rPr>
          <w:lang w:eastAsia="en-GB"/>
        </w:rPr>
        <w:t xml:space="preserve"> </w:t>
      </w:r>
      <w:r>
        <w:rPr>
          <w:lang w:eastAsia="en-GB"/>
        </w:rPr>
        <w:t>husband’s</w:t>
      </w:r>
      <w:r w:rsidR="00C64050">
        <w:rPr>
          <w:lang w:eastAsia="en-GB"/>
        </w:rPr>
        <w:t xml:space="preserve"> </w:t>
      </w:r>
      <w:r>
        <w:rPr>
          <w:lang w:eastAsia="en-GB"/>
        </w:rPr>
        <w:t>taxable</w:t>
      </w:r>
      <w:r w:rsidR="00C64050">
        <w:rPr>
          <w:lang w:eastAsia="en-GB"/>
        </w:rPr>
        <w:t xml:space="preserve"> </w:t>
      </w:r>
      <w:r>
        <w:rPr>
          <w:lang w:eastAsia="en-GB"/>
        </w:rPr>
        <w:t>estate.</w:t>
      </w:r>
    </w:p>
    <w:p w:rsidR="00A95E15" w:rsidRDefault="00A95E15" w:rsidP="002866E3">
      <w:pPr>
        <w:pStyle w:val="QS10"/>
        <w:rPr>
          <w:lang w:eastAsia="en-GB"/>
        </w:rPr>
      </w:pPr>
      <w:r>
        <w:rPr>
          <w:lang w:eastAsia="en-GB"/>
        </w:rPr>
        <w:t>Here,</w:t>
      </w:r>
      <w:r w:rsidR="00C64050">
        <w:rPr>
          <w:lang w:eastAsia="en-GB"/>
        </w:rPr>
        <w:t xml:space="preserve"> </w:t>
      </w:r>
      <w:r>
        <w:rPr>
          <w:lang w:eastAsia="en-GB"/>
        </w:rPr>
        <w:t>it</w:t>
      </w:r>
      <w:r w:rsidR="00C64050">
        <w:rPr>
          <w:lang w:eastAsia="en-GB"/>
        </w:rPr>
        <w:t xml:space="preserve"> </w:t>
      </w:r>
      <w:r>
        <w:rPr>
          <w:lang w:eastAsia="en-GB"/>
        </w:rPr>
        <w:t>cannot</w:t>
      </w:r>
      <w:r w:rsidR="00C64050">
        <w:rPr>
          <w:lang w:eastAsia="en-GB"/>
        </w:rPr>
        <w:t xml:space="preserve"> </w:t>
      </w:r>
      <w:r>
        <w:rPr>
          <w:lang w:eastAsia="en-GB"/>
        </w:rPr>
        <w:t>be</w:t>
      </w:r>
      <w:r w:rsidR="00C64050">
        <w:rPr>
          <w:lang w:eastAsia="en-GB"/>
        </w:rPr>
        <w:t xml:space="preserve"> </w:t>
      </w:r>
      <w:r>
        <w:rPr>
          <w:lang w:eastAsia="en-GB"/>
        </w:rPr>
        <w:t>disputed</w:t>
      </w:r>
      <w:r w:rsidR="00C64050">
        <w:rPr>
          <w:lang w:eastAsia="en-GB"/>
        </w:rPr>
        <w:t xml:space="preserve"> </w:t>
      </w:r>
      <w:r>
        <w:rPr>
          <w:lang w:eastAsia="en-GB"/>
        </w:rPr>
        <w:t>that</w:t>
      </w:r>
      <w:r w:rsidR="00C64050">
        <w:rPr>
          <w:lang w:eastAsia="en-GB"/>
        </w:rPr>
        <w:t xml:space="preserve"> </w:t>
      </w:r>
      <w:r>
        <w:rPr>
          <w:lang w:eastAsia="en-GB"/>
        </w:rPr>
        <w:t>Donor’s</w:t>
      </w:r>
      <w:r w:rsidR="00C64050">
        <w:rPr>
          <w:lang w:eastAsia="en-GB"/>
        </w:rPr>
        <w:t xml:space="preserve"> </w:t>
      </w:r>
      <w:r>
        <w:rPr>
          <w:lang w:eastAsia="en-GB"/>
        </w:rPr>
        <w:t>liability</w:t>
      </w:r>
      <w:r w:rsidR="00C64050">
        <w:rPr>
          <w:lang w:eastAsia="en-GB"/>
        </w:rPr>
        <w:t xml:space="preserve"> </w:t>
      </w:r>
      <w:r>
        <w:rPr>
          <w:lang w:eastAsia="en-GB"/>
        </w:rPr>
        <w:t>on</w:t>
      </w:r>
      <w:r w:rsidR="00C64050">
        <w:rPr>
          <w:lang w:eastAsia="en-GB"/>
        </w:rPr>
        <w:t xml:space="preserve"> </w:t>
      </w:r>
      <w:r>
        <w:rPr>
          <w:lang w:eastAsia="en-GB"/>
        </w:rPr>
        <w:t>the</w:t>
      </w:r>
      <w:r w:rsidR="00C64050">
        <w:rPr>
          <w:lang w:eastAsia="en-GB"/>
        </w:rPr>
        <w:t xml:space="preserve"> </w:t>
      </w:r>
      <w:r>
        <w:rPr>
          <w:lang w:eastAsia="en-GB"/>
        </w:rPr>
        <w:t>promissory</w:t>
      </w:r>
      <w:r w:rsidR="00C64050">
        <w:rPr>
          <w:lang w:eastAsia="en-GB"/>
        </w:rPr>
        <w:t xml:space="preserve"> </w:t>
      </w:r>
      <w:r>
        <w:rPr>
          <w:lang w:eastAsia="en-GB"/>
        </w:rPr>
        <w:t>notes</w:t>
      </w:r>
      <w:r w:rsidR="00C64050">
        <w:rPr>
          <w:lang w:eastAsia="en-GB"/>
        </w:rPr>
        <w:t xml:space="preserve"> </w:t>
      </w:r>
      <w:r>
        <w:rPr>
          <w:lang w:eastAsia="en-GB"/>
        </w:rPr>
        <w:t>depleted</w:t>
      </w:r>
      <w:r w:rsidR="00C64050">
        <w:rPr>
          <w:lang w:eastAsia="en-GB"/>
        </w:rPr>
        <w:t xml:space="preserve"> </w:t>
      </w:r>
      <w:r>
        <w:rPr>
          <w:lang w:eastAsia="en-GB"/>
        </w:rPr>
        <w:t>Donor’s</w:t>
      </w:r>
      <w:r w:rsidR="00C64050">
        <w:rPr>
          <w:lang w:eastAsia="en-GB"/>
        </w:rPr>
        <w:t xml:space="preserve"> </w:t>
      </w:r>
      <w:r>
        <w:rPr>
          <w:lang w:eastAsia="en-GB"/>
        </w:rPr>
        <w:t>taxable</w:t>
      </w:r>
      <w:r w:rsidR="00C64050">
        <w:rPr>
          <w:lang w:eastAsia="en-GB"/>
        </w:rPr>
        <w:t xml:space="preserve"> </w:t>
      </w:r>
      <w:r>
        <w:rPr>
          <w:lang w:eastAsia="en-GB"/>
        </w:rPr>
        <w:t>estate.</w:t>
      </w:r>
      <w:r w:rsidR="00C64050">
        <w:rPr>
          <w:lang w:eastAsia="en-GB"/>
        </w:rPr>
        <w:t xml:space="preserve"> </w:t>
      </w:r>
      <w:r>
        <w:rPr>
          <w:lang w:eastAsia="en-GB"/>
        </w:rPr>
        <w:t>However,</w:t>
      </w:r>
      <w:r w:rsidR="00C64050">
        <w:rPr>
          <w:lang w:eastAsia="en-GB"/>
        </w:rPr>
        <w:t xml:space="preserve"> </w:t>
      </w:r>
      <w:r>
        <w:rPr>
          <w:lang w:eastAsia="en-GB"/>
        </w:rPr>
        <w:t>in</w:t>
      </w:r>
      <w:r w:rsidR="00C64050">
        <w:rPr>
          <w:lang w:eastAsia="en-GB"/>
        </w:rPr>
        <w:t xml:space="preserve"> </w:t>
      </w:r>
      <w:r>
        <w:rPr>
          <w:lang w:eastAsia="en-GB"/>
        </w:rPr>
        <w:t>the</w:t>
      </w:r>
      <w:r w:rsidR="00C64050">
        <w:rPr>
          <w:lang w:eastAsia="en-GB"/>
        </w:rPr>
        <w:t xml:space="preserve"> </w:t>
      </w:r>
      <w:r>
        <w:rPr>
          <w:lang w:eastAsia="en-GB"/>
        </w:rPr>
        <w:t>context</w:t>
      </w:r>
      <w:r w:rsidR="00C64050">
        <w:rPr>
          <w:lang w:eastAsia="en-GB"/>
        </w:rPr>
        <w:t xml:space="preserve"> </w:t>
      </w:r>
      <w:r>
        <w:rPr>
          <w:lang w:eastAsia="en-GB"/>
        </w:rPr>
        <w:t>of</w:t>
      </w:r>
      <w:r w:rsidR="00C64050">
        <w:rPr>
          <w:lang w:eastAsia="en-GB"/>
        </w:rPr>
        <w:t xml:space="preserve"> </w:t>
      </w:r>
      <w:r>
        <w:rPr>
          <w:lang w:eastAsia="en-GB"/>
        </w:rPr>
        <w:t>a</w:t>
      </w:r>
      <w:r w:rsidR="00C64050">
        <w:rPr>
          <w:lang w:eastAsia="en-GB"/>
        </w:rPr>
        <w:t xml:space="preserve"> </w:t>
      </w:r>
      <w:r>
        <w:rPr>
          <w:lang w:eastAsia="en-GB"/>
        </w:rPr>
        <w:t>deathbed</w:t>
      </w:r>
      <w:r w:rsidR="00C64050">
        <w:rPr>
          <w:lang w:eastAsia="en-GB"/>
        </w:rPr>
        <w:t xml:space="preserve"> </w:t>
      </w:r>
      <w:r>
        <w:rPr>
          <w:lang w:eastAsia="en-GB"/>
        </w:rPr>
        <w:t>purchase</w:t>
      </w:r>
      <w:r w:rsidR="00C64050">
        <w:rPr>
          <w:lang w:eastAsia="en-GB"/>
        </w:rPr>
        <w:t xml:space="preserve"> </w:t>
      </w:r>
      <w:r>
        <w:rPr>
          <w:lang w:eastAsia="en-GB"/>
        </w:rPr>
        <w:t>of</w:t>
      </w:r>
      <w:r w:rsidR="00C64050">
        <w:rPr>
          <w:lang w:eastAsia="en-GB"/>
        </w:rPr>
        <w:t xml:space="preserve"> </w:t>
      </w:r>
      <w:r>
        <w:rPr>
          <w:lang w:eastAsia="en-GB"/>
        </w:rPr>
        <w:t>a</w:t>
      </w:r>
      <w:r w:rsidR="00C64050">
        <w:rPr>
          <w:lang w:eastAsia="en-GB"/>
        </w:rPr>
        <w:t xml:space="preserve"> </w:t>
      </w:r>
      <w:r>
        <w:rPr>
          <w:lang w:eastAsia="en-GB"/>
        </w:rPr>
        <w:t>remainder</w:t>
      </w:r>
      <w:r w:rsidR="00C64050">
        <w:rPr>
          <w:lang w:eastAsia="en-GB"/>
        </w:rPr>
        <w:t xml:space="preserve"> </w:t>
      </w:r>
      <w:r>
        <w:rPr>
          <w:lang w:eastAsia="en-GB"/>
        </w:rPr>
        <w:t>interest</w:t>
      </w:r>
      <w:r w:rsidR="00C64050">
        <w:rPr>
          <w:lang w:eastAsia="en-GB"/>
        </w:rPr>
        <w:t xml:space="preserve"> </w:t>
      </w:r>
      <w:r>
        <w:rPr>
          <w:lang w:eastAsia="en-GB"/>
        </w:rPr>
        <w:t>in</w:t>
      </w:r>
      <w:r w:rsidR="00C64050">
        <w:rPr>
          <w:lang w:eastAsia="en-GB"/>
        </w:rPr>
        <w:t xml:space="preserve"> </w:t>
      </w:r>
      <w:r>
        <w:rPr>
          <w:lang w:eastAsia="en-GB"/>
        </w:rPr>
        <w:t>transferred</w:t>
      </w:r>
      <w:r w:rsidR="00C64050">
        <w:rPr>
          <w:lang w:eastAsia="en-GB"/>
        </w:rPr>
        <w:t xml:space="preserve"> </w:t>
      </w:r>
      <w:r>
        <w:rPr>
          <w:lang w:eastAsia="en-GB"/>
        </w:rPr>
        <w:t>property</w:t>
      </w:r>
      <w:r w:rsidR="00C64050">
        <w:rPr>
          <w:lang w:eastAsia="en-GB"/>
        </w:rPr>
        <w:t xml:space="preserve"> </w:t>
      </w:r>
      <w:r>
        <w:rPr>
          <w:lang w:eastAsia="en-GB"/>
        </w:rPr>
        <w:t>in</w:t>
      </w:r>
      <w:r w:rsidR="00C64050">
        <w:rPr>
          <w:lang w:eastAsia="en-GB"/>
        </w:rPr>
        <w:t xml:space="preserve"> </w:t>
      </w:r>
      <w:r>
        <w:rPr>
          <w:lang w:eastAsia="en-GB"/>
        </w:rPr>
        <w:t>which</w:t>
      </w:r>
      <w:r w:rsidR="00C64050">
        <w:rPr>
          <w:lang w:eastAsia="en-GB"/>
        </w:rPr>
        <w:t xml:space="preserve"> </w:t>
      </w:r>
      <w:r>
        <w:rPr>
          <w:lang w:eastAsia="en-GB"/>
        </w:rPr>
        <w:t>a</w:t>
      </w:r>
      <w:r w:rsidR="00C64050">
        <w:rPr>
          <w:lang w:eastAsia="en-GB"/>
        </w:rPr>
        <w:t xml:space="preserve"> </w:t>
      </w:r>
      <w:r>
        <w:rPr>
          <w:lang w:eastAsia="en-GB"/>
        </w:rPr>
        <w:t>donor</w:t>
      </w:r>
      <w:r w:rsidR="00C64050">
        <w:rPr>
          <w:lang w:eastAsia="en-GB"/>
        </w:rPr>
        <w:t xml:space="preserve"> </w:t>
      </w:r>
      <w:r>
        <w:rPr>
          <w:lang w:eastAsia="en-GB"/>
        </w:rPr>
        <w:t>has</w:t>
      </w:r>
      <w:r w:rsidR="00C64050">
        <w:rPr>
          <w:lang w:eastAsia="en-GB"/>
        </w:rPr>
        <w:t xml:space="preserve"> </w:t>
      </w:r>
      <w:r>
        <w:rPr>
          <w:lang w:eastAsia="en-GB"/>
        </w:rPr>
        <w:t>retained</w:t>
      </w:r>
      <w:r w:rsidR="00C64050">
        <w:rPr>
          <w:lang w:eastAsia="en-GB"/>
        </w:rPr>
        <w:t xml:space="preserve"> </w:t>
      </w:r>
      <w:r>
        <w:rPr>
          <w:lang w:eastAsia="en-GB"/>
        </w:rPr>
        <w:t>a</w:t>
      </w:r>
      <w:r w:rsidR="00C64050">
        <w:rPr>
          <w:lang w:eastAsia="en-GB"/>
        </w:rPr>
        <w:t xml:space="preserve"> </w:t>
      </w:r>
      <w:r>
        <w:rPr>
          <w:lang w:eastAsia="en-GB"/>
        </w:rPr>
        <w:t>§</w:t>
      </w:r>
      <w:r w:rsidR="00C64050">
        <w:rPr>
          <w:lang w:eastAsia="en-GB"/>
        </w:rPr>
        <w:t xml:space="preserve"> </w:t>
      </w:r>
      <w:r>
        <w:rPr>
          <w:lang w:eastAsia="en-GB"/>
        </w:rPr>
        <w:t>2036</w:t>
      </w:r>
      <w:r w:rsidR="00C64050">
        <w:rPr>
          <w:lang w:eastAsia="en-GB"/>
        </w:rPr>
        <w:t xml:space="preserve"> </w:t>
      </w:r>
      <w:r>
        <w:rPr>
          <w:lang w:eastAsia="en-GB"/>
        </w:rPr>
        <w:t>“string,”</w:t>
      </w:r>
      <w:r w:rsidR="00C64050">
        <w:rPr>
          <w:lang w:eastAsia="en-GB"/>
        </w:rPr>
        <w:t xml:space="preserve"> </w:t>
      </w:r>
      <w:r>
        <w:rPr>
          <w:lang w:eastAsia="en-GB"/>
        </w:rPr>
        <w:t>the</w:t>
      </w:r>
      <w:r w:rsidR="00C64050">
        <w:rPr>
          <w:lang w:eastAsia="en-GB"/>
        </w:rPr>
        <w:t xml:space="preserve"> </w:t>
      </w:r>
      <w:r>
        <w:rPr>
          <w:lang w:eastAsia="en-GB"/>
        </w:rPr>
        <w:t>receipt</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remainder</w:t>
      </w:r>
      <w:r w:rsidR="00C64050">
        <w:rPr>
          <w:lang w:eastAsia="en-GB"/>
        </w:rPr>
        <w:t xml:space="preserve"> </w:t>
      </w:r>
      <w:r>
        <w:rPr>
          <w:lang w:eastAsia="en-GB"/>
        </w:rPr>
        <w:t>does</w:t>
      </w:r>
      <w:r w:rsidR="00C64050">
        <w:rPr>
          <w:lang w:eastAsia="en-GB"/>
        </w:rPr>
        <w:t xml:space="preserve"> </w:t>
      </w:r>
      <w:r>
        <w:rPr>
          <w:lang w:eastAsia="en-GB"/>
        </w:rPr>
        <w:t>not</w:t>
      </w:r>
      <w:r w:rsidR="00C64050">
        <w:rPr>
          <w:lang w:eastAsia="en-GB"/>
        </w:rPr>
        <w:t xml:space="preserve"> </w:t>
      </w:r>
      <w:r>
        <w:rPr>
          <w:lang w:eastAsia="en-GB"/>
        </w:rPr>
        <w:t>increase</w:t>
      </w:r>
      <w:r w:rsidR="00C64050">
        <w:rPr>
          <w:lang w:eastAsia="en-GB"/>
        </w:rPr>
        <w:t xml:space="preserve"> </w:t>
      </w:r>
      <w:r>
        <w:rPr>
          <w:lang w:eastAsia="en-GB"/>
        </w:rPr>
        <w:t>the</w:t>
      </w:r>
      <w:r w:rsidR="00C64050">
        <w:rPr>
          <w:lang w:eastAsia="en-GB"/>
        </w:rPr>
        <w:t xml:space="preserve"> </w:t>
      </w:r>
      <w:r>
        <w:rPr>
          <w:lang w:eastAsia="en-GB"/>
        </w:rPr>
        <w:t>value</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donor’s</w:t>
      </w:r>
      <w:r w:rsidR="00C64050">
        <w:rPr>
          <w:lang w:eastAsia="en-GB"/>
        </w:rPr>
        <w:t xml:space="preserve"> </w:t>
      </w:r>
      <w:r>
        <w:rPr>
          <w:lang w:eastAsia="en-GB"/>
        </w:rPr>
        <w:t>taxable</w:t>
      </w:r>
      <w:r w:rsidR="00C64050">
        <w:rPr>
          <w:lang w:eastAsia="en-GB"/>
        </w:rPr>
        <w:t xml:space="preserve"> </w:t>
      </w:r>
      <w:r>
        <w:rPr>
          <w:lang w:eastAsia="en-GB"/>
        </w:rPr>
        <w:t>estate,</w:t>
      </w:r>
      <w:r w:rsidR="00C64050">
        <w:rPr>
          <w:lang w:eastAsia="en-GB"/>
        </w:rPr>
        <w:t xml:space="preserve"> </w:t>
      </w:r>
      <w:r>
        <w:rPr>
          <w:lang w:eastAsia="en-GB"/>
        </w:rPr>
        <w:t>because</w:t>
      </w:r>
      <w:r w:rsidR="00C64050">
        <w:rPr>
          <w:lang w:eastAsia="en-GB"/>
        </w:rPr>
        <w:t xml:space="preserve"> </w:t>
      </w:r>
      <w:r>
        <w:rPr>
          <w:lang w:eastAsia="en-GB"/>
        </w:rPr>
        <w:t>the</w:t>
      </w:r>
      <w:r w:rsidR="00C64050">
        <w:rPr>
          <w:lang w:eastAsia="en-GB"/>
        </w:rPr>
        <w:t xml:space="preserve"> </w:t>
      </w:r>
      <w:r>
        <w:rPr>
          <w:lang w:eastAsia="en-GB"/>
        </w:rPr>
        <w:t>value</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entire</w:t>
      </w:r>
      <w:r w:rsidR="00C64050">
        <w:rPr>
          <w:lang w:eastAsia="en-GB"/>
        </w:rPr>
        <w:t xml:space="preserve"> </w:t>
      </w:r>
      <w:r>
        <w:rPr>
          <w:lang w:eastAsia="en-GB"/>
        </w:rPr>
        <w:t>property,</w:t>
      </w:r>
      <w:r w:rsidR="00C64050">
        <w:rPr>
          <w:lang w:eastAsia="en-GB"/>
        </w:rPr>
        <w:t xml:space="preserve"> </w:t>
      </w:r>
      <w:r>
        <w:rPr>
          <w:lang w:eastAsia="en-GB"/>
        </w:rPr>
        <w:t>including</w:t>
      </w:r>
      <w:r w:rsidR="00C64050">
        <w:rPr>
          <w:lang w:eastAsia="en-GB"/>
        </w:rPr>
        <w:t xml:space="preserve"> </w:t>
      </w:r>
      <w:r>
        <w:rPr>
          <w:lang w:eastAsia="en-GB"/>
        </w:rPr>
        <w:t>that</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remainder,</w:t>
      </w:r>
      <w:r w:rsidR="00C64050">
        <w:rPr>
          <w:lang w:eastAsia="en-GB"/>
        </w:rPr>
        <w:t xml:space="preserve"> </w:t>
      </w:r>
      <w:r>
        <w:rPr>
          <w:lang w:eastAsia="en-GB"/>
        </w:rPr>
        <w:t>will</w:t>
      </w:r>
      <w:r w:rsidR="00C64050">
        <w:rPr>
          <w:lang w:eastAsia="en-GB"/>
        </w:rPr>
        <w:t xml:space="preserve"> </w:t>
      </w:r>
      <w:r>
        <w:rPr>
          <w:lang w:eastAsia="en-GB"/>
        </w:rPr>
        <w:t>be</w:t>
      </w:r>
      <w:r w:rsidR="00C64050">
        <w:rPr>
          <w:lang w:eastAsia="en-GB"/>
        </w:rPr>
        <w:t xml:space="preserve"> </w:t>
      </w:r>
      <w:r>
        <w:rPr>
          <w:lang w:eastAsia="en-GB"/>
        </w:rPr>
        <w:t>includible</w:t>
      </w:r>
      <w:r w:rsidR="00C64050">
        <w:rPr>
          <w:lang w:eastAsia="en-GB"/>
        </w:rPr>
        <w:t xml:space="preserve"> </w:t>
      </w:r>
      <w:r>
        <w:rPr>
          <w:lang w:eastAsia="en-GB"/>
        </w:rPr>
        <w:t>in</w:t>
      </w:r>
      <w:r w:rsidR="00C64050">
        <w:rPr>
          <w:lang w:eastAsia="en-GB"/>
        </w:rPr>
        <w:t xml:space="preserve"> </w:t>
      </w:r>
      <w:r>
        <w:rPr>
          <w:lang w:eastAsia="en-GB"/>
        </w:rPr>
        <w:t>the</w:t>
      </w:r>
      <w:r w:rsidR="00C64050">
        <w:rPr>
          <w:lang w:eastAsia="en-GB"/>
        </w:rPr>
        <w:t xml:space="preserve"> </w:t>
      </w:r>
      <w:r>
        <w:rPr>
          <w:lang w:eastAsia="en-GB"/>
        </w:rPr>
        <w:t>donor’s</w:t>
      </w:r>
      <w:r w:rsidR="00C64050">
        <w:rPr>
          <w:lang w:eastAsia="en-GB"/>
        </w:rPr>
        <w:t xml:space="preserve"> </w:t>
      </w:r>
      <w:r>
        <w:rPr>
          <w:lang w:eastAsia="en-GB"/>
        </w:rPr>
        <w:t>gross</w:t>
      </w:r>
      <w:r w:rsidR="00C64050">
        <w:rPr>
          <w:lang w:eastAsia="en-GB"/>
        </w:rPr>
        <w:t xml:space="preserve"> </w:t>
      </w:r>
      <w:r>
        <w:rPr>
          <w:lang w:eastAsia="en-GB"/>
        </w:rPr>
        <w:t>estate</w:t>
      </w:r>
      <w:r w:rsidR="00C64050">
        <w:rPr>
          <w:lang w:eastAsia="en-GB"/>
        </w:rPr>
        <w:t xml:space="preserve"> </w:t>
      </w:r>
      <w:r>
        <w:rPr>
          <w:lang w:eastAsia="en-GB"/>
        </w:rPr>
        <w:t>pursuant</w:t>
      </w:r>
      <w:r w:rsidR="00C64050">
        <w:rPr>
          <w:lang w:eastAsia="en-GB"/>
        </w:rPr>
        <w:t xml:space="preserve"> </w:t>
      </w:r>
      <w:r>
        <w:rPr>
          <w:lang w:eastAsia="en-GB"/>
        </w:rPr>
        <w:t>to</w:t>
      </w:r>
      <w:r w:rsidR="00C64050">
        <w:rPr>
          <w:lang w:eastAsia="en-GB"/>
        </w:rPr>
        <w:t xml:space="preserve"> </w:t>
      </w:r>
      <w:r>
        <w:rPr>
          <w:lang w:eastAsia="en-GB"/>
        </w:rPr>
        <w:t>§</w:t>
      </w:r>
      <w:r w:rsidR="00C64050">
        <w:rPr>
          <w:lang w:eastAsia="en-GB"/>
        </w:rPr>
        <w:t xml:space="preserve"> </w:t>
      </w:r>
      <w:r>
        <w:rPr>
          <w:lang w:eastAsia="en-GB"/>
        </w:rPr>
        <w:t>2036(a)(1).</w:t>
      </w:r>
      <w:r w:rsidR="00C64050">
        <w:rPr>
          <w:lang w:eastAsia="en-GB"/>
        </w:rPr>
        <w:t xml:space="preserve"> </w:t>
      </w:r>
      <w:r>
        <w:rPr>
          <w:lang w:eastAsia="en-GB"/>
        </w:rPr>
        <w:t>Thus,</w:t>
      </w:r>
      <w:r w:rsidR="00C64050">
        <w:rPr>
          <w:lang w:eastAsia="en-GB"/>
        </w:rPr>
        <w:t xml:space="preserve"> </w:t>
      </w:r>
      <w:r>
        <w:rPr>
          <w:lang w:eastAsia="en-GB"/>
        </w:rPr>
        <w:t>Donor’s</w:t>
      </w:r>
      <w:r w:rsidR="00C64050">
        <w:rPr>
          <w:lang w:eastAsia="en-GB"/>
        </w:rPr>
        <w:t xml:space="preserve"> </w:t>
      </w:r>
      <w:r>
        <w:rPr>
          <w:lang w:eastAsia="en-GB"/>
        </w:rPr>
        <w:t>receipt</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remainder</w:t>
      </w:r>
      <w:r w:rsidR="00C64050">
        <w:rPr>
          <w:lang w:eastAsia="en-GB"/>
        </w:rPr>
        <w:t xml:space="preserve"> </w:t>
      </w:r>
      <w:r>
        <w:rPr>
          <w:lang w:eastAsia="en-GB"/>
        </w:rPr>
        <w:t>interests</w:t>
      </w:r>
      <w:r w:rsidR="00C64050">
        <w:rPr>
          <w:lang w:eastAsia="en-GB"/>
        </w:rPr>
        <w:t xml:space="preserve"> </w:t>
      </w:r>
      <w:r>
        <w:rPr>
          <w:lang w:eastAsia="en-GB"/>
        </w:rPr>
        <w:t>cannot</w:t>
      </w:r>
      <w:r w:rsidR="00C64050">
        <w:rPr>
          <w:lang w:eastAsia="en-GB"/>
        </w:rPr>
        <w:t xml:space="preserve"> </w:t>
      </w:r>
      <w:r>
        <w:rPr>
          <w:lang w:eastAsia="en-GB"/>
        </w:rPr>
        <w:t>constitute</w:t>
      </w:r>
      <w:r w:rsidR="00C64050">
        <w:rPr>
          <w:lang w:eastAsia="en-GB"/>
        </w:rPr>
        <w:t xml:space="preserve"> </w:t>
      </w:r>
      <w:r>
        <w:rPr>
          <w:lang w:eastAsia="en-GB"/>
        </w:rPr>
        <w:t>adequate</w:t>
      </w:r>
      <w:r w:rsidR="00C64050">
        <w:rPr>
          <w:lang w:eastAsia="en-GB"/>
        </w:rPr>
        <w:t xml:space="preserve"> </w:t>
      </w:r>
      <w:r>
        <w:rPr>
          <w:lang w:eastAsia="en-GB"/>
        </w:rPr>
        <w:t>and</w:t>
      </w:r>
      <w:r w:rsidR="00C64050">
        <w:rPr>
          <w:lang w:eastAsia="en-GB"/>
        </w:rPr>
        <w:t xml:space="preserve"> </w:t>
      </w:r>
      <w:r>
        <w:rPr>
          <w:lang w:eastAsia="en-GB"/>
        </w:rPr>
        <w:t>full</w:t>
      </w:r>
      <w:r w:rsidR="00C64050">
        <w:rPr>
          <w:lang w:eastAsia="en-GB"/>
        </w:rPr>
        <w:t xml:space="preserve"> </w:t>
      </w:r>
      <w:r>
        <w:rPr>
          <w:lang w:eastAsia="en-GB"/>
        </w:rPr>
        <w:t>consideration</w:t>
      </w:r>
      <w:r w:rsidR="00C64050">
        <w:rPr>
          <w:lang w:eastAsia="en-GB"/>
        </w:rPr>
        <w:t xml:space="preserve"> </w:t>
      </w:r>
      <w:r>
        <w:rPr>
          <w:lang w:eastAsia="en-GB"/>
        </w:rPr>
        <w:t>within</w:t>
      </w:r>
      <w:r w:rsidR="00C64050">
        <w:rPr>
          <w:lang w:eastAsia="en-GB"/>
        </w:rPr>
        <w:t xml:space="preserve"> </w:t>
      </w:r>
      <w:r>
        <w:rPr>
          <w:lang w:eastAsia="en-GB"/>
        </w:rPr>
        <w:t>the</w:t>
      </w:r>
      <w:r w:rsidR="00C64050">
        <w:rPr>
          <w:lang w:eastAsia="en-GB"/>
        </w:rPr>
        <w:t xml:space="preserve"> </w:t>
      </w:r>
      <w:r>
        <w:rPr>
          <w:lang w:eastAsia="en-GB"/>
        </w:rPr>
        <w:t>meaning</w:t>
      </w:r>
      <w:r w:rsidR="00C64050">
        <w:rPr>
          <w:lang w:eastAsia="en-GB"/>
        </w:rPr>
        <w:t xml:space="preserve"> </w:t>
      </w:r>
      <w:r>
        <w:rPr>
          <w:lang w:eastAsia="en-GB"/>
        </w:rPr>
        <w:t>of</w:t>
      </w:r>
      <w:r w:rsidR="00C64050">
        <w:rPr>
          <w:lang w:eastAsia="en-GB"/>
        </w:rPr>
        <w:t xml:space="preserve"> </w:t>
      </w:r>
      <w:r>
        <w:rPr>
          <w:lang w:eastAsia="en-GB"/>
        </w:rPr>
        <w:t>§</w:t>
      </w:r>
      <w:r w:rsidR="00C64050">
        <w:rPr>
          <w:lang w:eastAsia="en-GB"/>
        </w:rPr>
        <w:t xml:space="preserve"> </w:t>
      </w:r>
      <w:r>
        <w:rPr>
          <w:lang w:eastAsia="en-GB"/>
        </w:rPr>
        <w:t>2512(b).</w:t>
      </w:r>
      <w:r w:rsidR="00C64050">
        <w:rPr>
          <w:lang w:eastAsia="en-GB"/>
        </w:rPr>
        <w:t xml:space="preserve"> </w:t>
      </w:r>
      <w:r w:rsidRPr="002866E3">
        <w:rPr>
          <w:u w:val="single"/>
          <w:lang w:eastAsia="en-GB"/>
        </w:rPr>
        <w:t>Commissioner</w:t>
      </w:r>
      <w:r w:rsidR="00C64050">
        <w:rPr>
          <w:u w:val="single"/>
          <w:lang w:eastAsia="en-GB"/>
        </w:rPr>
        <w:t xml:space="preserve"> </w:t>
      </w:r>
      <w:r w:rsidRPr="002866E3">
        <w:rPr>
          <w:u w:val="single"/>
          <w:lang w:eastAsia="en-GB"/>
        </w:rPr>
        <w:t>v.</w:t>
      </w:r>
      <w:r w:rsidR="00C64050">
        <w:rPr>
          <w:u w:val="single"/>
          <w:lang w:eastAsia="en-GB"/>
        </w:rPr>
        <w:t xml:space="preserve"> </w:t>
      </w:r>
      <w:r w:rsidRPr="002866E3">
        <w:rPr>
          <w:u w:val="single"/>
          <w:lang w:eastAsia="en-GB"/>
        </w:rPr>
        <w:t>Wemyss</w:t>
      </w:r>
      <w:r>
        <w:rPr>
          <w:lang w:eastAsia="en-GB"/>
        </w:rPr>
        <w:t>,</w:t>
      </w:r>
      <w:r w:rsidR="00C64050">
        <w:rPr>
          <w:lang w:eastAsia="en-GB"/>
        </w:rPr>
        <w:t xml:space="preserve"> </w:t>
      </w:r>
      <w:r>
        <w:rPr>
          <w:lang w:eastAsia="en-GB"/>
        </w:rPr>
        <w:t>324</w:t>
      </w:r>
      <w:r w:rsidR="00C64050">
        <w:rPr>
          <w:lang w:eastAsia="en-GB"/>
        </w:rPr>
        <w:t xml:space="preserve"> </w:t>
      </w:r>
      <w:r>
        <w:rPr>
          <w:lang w:eastAsia="en-GB"/>
        </w:rPr>
        <w:t>U.S.,</w:t>
      </w:r>
      <w:r w:rsidR="00C64050">
        <w:rPr>
          <w:lang w:eastAsia="en-GB"/>
        </w:rPr>
        <w:t xml:space="preserve"> </w:t>
      </w:r>
      <w:r>
        <w:rPr>
          <w:lang w:eastAsia="en-GB"/>
        </w:rPr>
        <w:t>at</w:t>
      </w:r>
      <w:r w:rsidR="00C64050">
        <w:rPr>
          <w:lang w:eastAsia="en-GB"/>
        </w:rPr>
        <w:t xml:space="preserve"> </w:t>
      </w:r>
      <w:r>
        <w:rPr>
          <w:lang w:eastAsia="en-GB"/>
        </w:rPr>
        <w:t>307-08.</w:t>
      </w:r>
      <w:r w:rsidR="00C64050">
        <w:rPr>
          <w:lang w:eastAsia="en-GB"/>
        </w:rPr>
        <w:t xml:space="preserve"> </w:t>
      </w:r>
      <w:r w:rsidRPr="00391ECC">
        <w:rPr>
          <w:u w:val="single"/>
          <w:lang w:eastAsia="en-GB"/>
        </w:rPr>
        <w:t>Cf</w:t>
      </w:r>
      <w:r>
        <w:rPr>
          <w:lang w:eastAsia="en-GB"/>
        </w:rPr>
        <w:t>.</w:t>
      </w:r>
      <w:r w:rsidR="00C64050">
        <w:rPr>
          <w:lang w:eastAsia="en-GB"/>
        </w:rPr>
        <w:t xml:space="preserve"> </w:t>
      </w:r>
      <w:r>
        <w:rPr>
          <w:lang w:eastAsia="en-GB"/>
        </w:rPr>
        <w:t>Rev.</w:t>
      </w:r>
      <w:r w:rsidR="00C64050">
        <w:rPr>
          <w:lang w:eastAsia="en-GB"/>
        </w:rPr>
        <w:t xml:space="preserve"> </w:t>
      </w:r>
      <w:r>
        <w:rPr>
          <w:lang w:eastAsia="en-GB"/>
        </w:rPr>
        <w:t>Rul.</w:t>
      </w:r>
      <w:r w:rsidR="00C64050">
        <w:rPr>
          <w:lang w:eastAsia="en-GB"/>
        </w:rPr>
        <w:t xml:space="preserve"> </w:t>
      </w:r>
      <w:r>
        <w:rPr>
          <w:lang w:eastAsia="en-GB"/>
        </w:rPr>
        <w:t>98-8,</w:t>
      </w:r>
      <w:r w:rsidR="00C64050">
        <w:rPr>
          <w:lang w:eastAsia="en-GB"/>
        </w:rPr>
        <w:t xml:space="preserve"> </w:t>
      </w:r>
      <w:r>
        <w:rPr>
          <w:lang w:eastAsia="en-GB"/>
        </w:rPr>
        <w:t>1998-1</w:t>
      </w:r>
      <w:r w:rsidR="00C64050">
        <w:rPr>
          <w:lang w:eastAsia="en-GB"/>
        </w:rPr>
        <w:t xml:space="preserve"> </w:t>
      </w:r>
      <w:r>
        <w:rPr>
          <w:lang w:eastAsia="en-GB"/>
        </w:rPr>
        <w:t>C.B.</w:t>
      </w:r>
      <w:r w:rsidR="00C64050">
        <w:rPr>
          <w:lang w:eastAsia="en-GB"/>
        </w:rPr>
        <w:t xml:space="preserve"> </w:t>
      </w:r>
      <w:r>
        <w:rPr>
          <w:lang w:eastAsia="en-GB"/>
        </w:rPr>
        <w:t>541</w:t>
      </w:r>
      <w:r w:rsidR="00C64050">
        <w:rPr>
          <w:lang w:eastAsia="en-GB"/>
        </w:rPr>
        <w:t xml:space="preserve"> </w:t>
      </w:r>
      <w:r>
        <w:rPr>
          <w:lang w:eastAsia="en-GB"/>
        </w:rPr>
        <w:t>(reaching</w:t>
      </w:r>
      <w:r w:rsidR="00C64050">
        <w:rPr>
          <w:lang w:eastAsia="en-GB"/>
        </w:rPr>
        <w:t xml:space="preserve"> </w:t>
      </w:r>
      <w:r>
        <w:rPr>
          <w:lang w:eastAsia="en-GB"/>
        </w:rPr>
        <w:t>a</w:t>
      </w:r>
      <w:r w:rsidR="00C64050">
        <w:rPr>
          <w:lang w:eastAsia="en-GB"/>
        </w:rPr>
        <w:t xml:space="preserve"> </w:t>
      </w:r>
      <w:r>
        <w:rPr>
          <w:lang w:eastAsia="en-GB"/>
        </w:rPr>
        <w:t>similar</w:t>
      </w:r>
      <w:r w:rsidR="00C64050">
        <w:rPr>
          <w:lang w:eastAsia="en-GB"/>
        </w:rPr>
        <w:t xml:space="preserve"> </w:t>
      </w:r>
      <w:r>
        <w:rPr>
          <w:lang w:eastAsia="en-GB"/>
        </w:rPr>
        <w:t>conclusion</w:t>
      </w:r>
      <w:r w:rsidR="00C64050">
        <w:rPr>
          <w:lang w:eastAsia="en-GB"/>
        </w:rPr>
        <w:t xml:space="preserve"> </w:t>
      </w:r>
      <w:r>
        <w:rPr>
          <w:lang w:eastAsia="en-GB"/>
        </w:rPr>
        <w:t>for</w:t>
      </w:r>
      <w:r w:rsidR="00C64050">
        <w:rPr>
          <w:lang w:eastAsia="en-GB"/>
        </w:rPr>
        <w:t xml:space="preserve"> </w:t>
      </w:r>
      <w:r>
        <w:rPr>
          <w:lang w:eastAsia="en-GB"/>
        </w:rPr>
        <w:t>gift</w:t>
      </w:r>
      <w:r w:rsidR="00C64050">
        <w:rPr>
          <w:lang w:eastAsia="en-GB"/>
        </w:rPr>
        <w:t xml:space="preserve"> </w:t>
      </w:r>
      <w:r>
        <w:rPr>
          <w:lang w:eastAsia="en-GB"/>
        </w:rPr>
        <w:t>tax</w:t>
      </w:r>
      <w:r w:rsidR="00C64050">
        <w:rPr>
          <w:lang w:eastAsia="en-GB"/>
        </w:rPr>
        <w:t xml:space="preserve"> </w:t>
      </w:r>
      <w:r>
        <w:rPr>
          <w:lang w:eastAsia="en-GB"/>
        </w:rPr>
        <w:t>purposes</w:t>
      </w:r>
      <w:r w:rsidR="00C64050">
        <w:rPr>
          <w:lang w:eastAsia="en-GB"/>
        </w:rPr>
        <w:t xml:space="preserve"> </w:t>
      </w:r>
      <w:r>
        <w:rPr>
          <w:lang w:eastAsia="en-GB"/>
        </w:rPr>
        <w:t>in</w:t>
      </w:r>
      <w:r w:rsidR="00C64050">
        <w:rPr>
          <w:lang w:eastAsia="en-GB"/>
        </w:rPr>
        <w:t xml:space="preserve"> </w:t>
      </w:r>
      <w:r>
        <w:rPr>
          <w:lang w:eastAsia="en-GB"/>
        </w:rPr>
        <w:t>the</w:t>
      </w:r>
      <w:r w:rsidR="00C64050">
        <w:rPr>
          <w:lang w:eastAsia="en-GB"/>
        </w:rPr>
        <w:t xml:space="preserve"> </w:t>
      </w:r>
      <w:r>
        <w:rPr>
          <w:lang w:eastAsia="en-GB"/>
        </w:rPr>
        <w:t>context</w:t>
      </w:r>
      <w:r w:rsidR="00C64050">
        <w:rPr>
          <w:lang w:eastAsia="en-GB"/>
        </w:rPr>
        <w:t xml:space="preserve"> </w:t>
      </w:r>
      <w:r>
        <w:rPr>
          <w:lang w:eastAsia="en-GB"/>
        </w:rPr>
        <w:t>of</w:t>
      </w:r>
      <w:r w:rsidR="00C64050">
        <w:rPr>
          <w:lang w:eastAsia="en-GB"/>
        </w:rPr>
        <w:t xml:space="preserve"> </w:t>
      </w:r>
      <w:r>
        <w:rPr>
          <w:lang w:eastAsia="en-GB"/>
        </w:rPr>
        <w:t>§§</w:t>
      </w:r>
      <w:r w:rsidR="00C64050">
        <w:rPr>
          <w:lang w:eastAsia="en-GB"/>
        </w:rPr>
        <w:t xml:space="preserve"> </w:t>
      </w:r>
      <w:r>
        <w:rPr>
          <w:lang w:eastAsia="en-GB"/>
        </w:rPr>
        <w:t>2519</w:t>
      </w:r>
      <w:r w:rsidR="00C64050">
        <w:rPr>
          <w:lang w:eastAsia="en-GB"/>
        </w:rPr>
        <w:t xml:space="preserve"> </w:t>
      </w:r>
      <w:r>
        <w:rPr>
          <w:lang w:eastAsia="en-GB"/>
        </w:rPr>
        <w:t>and</w:t>
      </w:r>
      <w:r w:rsidR="00C64050">
        <w:rPr>
          <w:lang w:eastAsia="en-GB"/>
        </w:rPr>
        <w:t xml:space="preserve"> </w:t>
      </w:r>
      <w:r>
        <w:rPr>
          <w:lang w:eastAsia="en-GB"/>
        </w:rPr>
        <w:t>2044.)</w:t>
      </w:r>
      <w:r w:rsidR="00C64050">
        <w:rPr>
          <w:lang w:eastAsia="en-GB"/>
        </w:rPr>
        <w:t xml:space="preserve"> </w:t>
      </w:r>
      <w:r>
        <w:rPr>
          <w:lang w:eastAsia="en-GB"/>
        </w:rPr>
        <w:t>Accordingly,</w:t>
      </w:r>
      <w:r w:rsidR="00C64050">
        <w:rPr>
          <w:lang w:eastAsia="en-GB"/>
        </w:rPr>
        <w:t xml:space="preserve"> </w:t>
      </w:r>
      <w:r>
        <w:rPr>
          <w:lang w:eastAsia="en-GB"/>
        </w:rPr>
        <w:t>Donor</w:t>
      </w:r>
      <w:r w:rsidR="00C64050">
        <w:rPr>
          <w:lang w:eastAsia="en-GB"/>
        </w:rPr>
        <w:t xml:space="preserve"> </w:t>
      </w:r>
      <w:r>
        <w:rPr>
          <w:lang w:eastAsia="en-GB"/>
        </w:rPr>
        <w:t>has</w:t>
      </w:r>
      <w:r w:rsidR="00C64050">
        <w:rPr>
          <w:lang w:eastAsia="en-GB"/>
        </w:rPr>
        <w:t xml:space="preserve"> </w:t>
      </w:r>
      <w:r>
        <w:rPr>
          <w:lang w:eastAsia="en-GB"/>
        </w:rPr>
        <w:t>made</w:t>
      </w:r>
      <w:r w:rsidR="00C64050">
        <w:rPr>
          <w:lang w:eastAsia="en-GB"/>
        </w:rPr>
        <w:t xml:space="preserve"> </w:t>
      </w:r>
      <w:r>
        <w:rPr>
          <w:lang w:eastAsia="en-GB"/>
        </w:rPr>
        <w:t>a</w:t>
      </w:r>
      <w:r w:rsidR="00C64050">
        <w:rPr>
          <w:lang w:eastAsia="en-GB"/>
        </w:rPr>
        <w:t xml:space="preserve"> </w:t>
      </w:r>
      <w:r>
        <w:rPr>
          <w:lang w:eastAsia="en-GB"/>
        </w:rPr>
        <w:t>completed</w:t>
      </w:r>
      <w:r w:rsidR="00C64050">
        <w:rPr>
          <w:lang w:eastAsia="en-GB"/>
        </w:rPr>
        <w:t xml:space="preserve"> </w:t>
      </w:r>
      <w:r>
        <w:rPr>
          <w:lang w:eastAsia="en-GB"/>
        </w:rPr>
        <w:t>gift</w:t>
      </w:r>
      <w:r w:rsidR="00C64050">
        <w:rPr>
          <w:lang w:eastAsia="en-GB"/>
        </w:rPr>
        <w:t xml:space="preserve"> </w:t>
      </w:r>
      <w:r>
        <w:rPr>
          <w:lang w:eastAsia="en-GB"/>
        </w:rPr>
        <w:t>to</w:t>
      </w:r>
      <w:r w:rsidR="00C64050">
        <w:rPr>
          <w:lang w:eastAsia="en-GB"/>
        </w:rPr>
        <w:t xml:space="preserve"> </w:t>
      </w:r>
      <w:r>
        <w:rPr>
          <w:lang w:eastAsia="en-GB"/>
        </w:rPr>
        <w:t>the</w:t>
      </w:r>
      <w:r w:rsidR="00C64050">
        <w:rPr>
          <w:lang w:eastAsia="en-GB"/>
        </w:rPr>
        <w:t xml:space="preserve"> </w:t>
      </w:r>
      <w:r>
        <w:rPr>
          <w:lang w:eastAsia="en-GB"/>
        </w:rPr>
        <w:t>beneficiaries</w:t>
      </w:r>
      <w:r w:rsidR="00C64050">
        <w:rPr>
          <w:lang w:eastAsia="en-GB"/>
        </w:rPr>
        <w:t xml:space="preserve"> </w:t>
      </w:r>
      <w:r>
        <w:rPr>
          <w:lang w:eastAsia="en-GB"/>
        </w:rPr>
        <w:t>of</w:t>
      </w:r>
      <w:r w:rsidR="00C64050">
        <w:rPr>
          <w:lang w:eastAsia="en-GB"/>
        </w:rPr>
        <w:t xml:space="preserve"> </w:t>
      </w:r>
      <w:r>
        <w:rPr>
          <w:lang w:eastAsia="en-GB"/>
        </w:rPr>
        <w:t>Trust</w:t>
      </w:r>
      <w:r w:rsidR="00C64050">
        <w:rPr>
          <w:lang w:eastAsia="en-GB"/>
        </w:rPr>
        <w:t xml:space="preserve"> </w:t>
      </w:r>
      <w:r>
        <w:rPr>
          <w:lang w:eastAsia="en-GB"/>
        </w:rPr>
        <w:t>1</w:t>
      </w:r>
      <w:r w:rsidR="00C64050">
        <w:rPr>
          <w:lang w:eastAsia="en-GB"/>
        </w:rPr>
        <w:t xml:space="preserve"> </w:t>
      </w:r>
      <w:r>
        <w:rPr>
          <w:lang w:eastAsia="en-GB"/>
        </w:rPr>
        <w:t>in</w:t>
      </w:r>
      <w:r w:rsidR="00C64050">
        <w:rPr>
          <w:lang w:eastAsia="en-GB"/>
        </w:rPr>
        <w:t xml:space="preserve"> </w:t>
      </w:r>
      <w:r>
        <w:rPr>
          <w:lang w:eastAsia="en-GB"/>
        </w:rPr>
        <w:t>the</w:t>
      </w:r>
      <w:r w:rsidR="00C64050">
        <w:rPr>
          <w:lang w:eastAsia="en-GB"/>
        </w:rPr>
        <w:t xml:space="preserve"> </w:t>
      </w:r>
      <w:r>
        <w:rPr>
          <w:lang w:eastAsia="en-GB"/>
        </w:rPr>
        <w:t>amount</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value</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promissory</w:t>
      </w:r>
      <w:r w:rsidR="00C64050">
        <w:rPr>
          <w:lang w:eastAsia="en-GB"/>
        </w:rPr>
        <w:t xml:space="preserve"> </w:t>
      </w:r>
      <w:r>
        <w:rPr>
          <w:lang w:eastAsia="en-GB"/>
        </w:rPr>
        <w:t>notes</w:t>
      </w:r>
      <w:r w:rsidR="00C64050">
        <w:rPr>
          <w:lang w:eastAsia="en-GB"/>
        </w:rPr>
        <w:t xml:space="preserve"> </w:t>
      </w:r>
      <w:r>
        <w:rPr>
          <w:lang w:eastAsia="en-GB"/>
        </w:rPr>
        <w:t>transferred</w:t>
      </w:r>
      <w:r w:rsidR="00C64050">
        <w:rPr>
          <w:lang w:eastAsia="en-GB"/>
        </w:rPr>
        <w:t xml:space="preserve"> </w:t>
      </w:r>
      <w:r>
        <w:rPr>
          <w:lang w:eastAsia="en-GB"/>
        </w:rPr>
        <w:t>to</w:t>
      </w:r>
      <w:r w:rsidR="00C64050">
        <w:rPr>
          <w:lang w:eastAsia="en-GB"/>
        </w:rPr>
        <w:t xml:space="preserve"> </w:t>
      </w:r>
      <w:r>
        <w:rPr>
          <w:lang w:eastAsia="en-GB"/>
        </w:rPr>
        <w:t>Trust</w:t>
      </w:r>
      <w:r w:rsidR="00C64050">
        <w:rPr>
          <w:lang w:eastAsia="en-GB"/>
        </w:rPr>
        <w:t xml:space="preserve"> </w:t>
      </w:r>
      <w:r>
        <w:rPr>
          <w:lang w:eastAsia="en-GB"/>
        </w:rPr>
        <w:t>1.</w:t>
      </w:r>
    </w:p>
    <w:p w:rsidR="00122E70" w:rsidRDefault="00122E70" w:rsidP="005817FF">
      <w:pPr>
        <w:pStyle w:val="Body15"/>
        <w:spacing w:before="240"/>
        <w:rPr>
          <w:lang w:eastAsia="en-GB"/>
        </w:rPr>
      </w:pPr>
      <w:r>
        <w:rPr>
          <w:lang w:eastAsia="en-GB"/>
        </w:rPr>
        <w:t>The</w:t>
      </w:r>
      <w:r w:rsidR="00C64050">
        <w:rPr>
          <w:lang w:eastAsia="en-GB"/>
        </w:rPr>
        <w:t xml:space="preserve"> </w:t>
      </w:r>
      <w:r>
        <w:rPr>
          <w:lang w:eastAsia="en-GB"/>
        </w:rPr>
        <w:t>CCA</w:t>
      </w:r>
      <w:r w:rsidR="00C64050">
        <w:rPr>
          <w:lang w:eastAsia="en-GB"/>
        </w:rPr>
        <w:t xml:space="preserve"> </w:t>
      </w:r>
      <w:r>
        <w:rPr>
          <w:lang w:eastAsia="en-GB"/>
        </w:rPr>
        <w:t>repeatedly</w:t>
      </w:r>
      <w:r w:rsidR="00C64050">
        <w:rPr>
          <w:lang w:eastAsia="en-GB"/>
        </w:rPr>
        <w:t xml:space="preserve"> </w:t>
      </w:r>
      <w:r>
        <w:rPr>
          <w:lang w:eastAsia="en-GB"/>
        </w:rPr>
        <w:t>notes</w:t>
      </w:r>
      <w:r w:rsidR="00C64050">
        <w:rPr>
          <w:lang w:eastAsia="en-GB"/>
        </w:rPr>
        <w:t xml:space="preserve"> </w:t>
      </w:r>
      <w:r>
        <w:rPr>
          <w:lang w:eastAsia="en-GB"/>
        </w:rPr>
        <w:t>the</w:t>
      </w:r>
      <w:r w:rsidR="00C64050">
        <w:rPr>
          <w:lang w:eastAsia="en-GB"/>
        </w:rPr>
        <w:t xml:space="preserve"> </w:t>
      </w:r>
      <w:r>
        <w:rPr>
          <w:lang w:eastAsia="en-GB"/>
        </w:rPr>
        <w:t>“deathbed”</w:t>
      </w:r>
      <w:r w:rsidR="00C64050">
        <w:rPr>
          <w:lang w:eastAsia="en-GB"/>
        </w:rPr>
        <w:t xml:space="preserve"> </w:t>
      </w:r>
      <w:r>
        <w:rPr>
          <w:lang w:eastAsia="en-GB"/>
        </w:rPr>
        <w:t>nature</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transaction.</w:t>
      </w:r>
      <w:r w:rsidR="00C64050">
        <w:rPr>
          <w:lang w:eastAsia="en-GB"/>
        </w:rPr>
        <w:t xml:space="preserve">  </w:t>
      </w:r>
      <w:r>
        <w:rPr>
          <w:lang w:eastAsia="en-GB"/>
        </w:rPr>
        <w:t>It</w:t>
      </w:r>
      <w:r w:rsidR="00C64050">
        <w:rPr>
          <w:lang w:eastAsia="en-GB"/>
        </w:rPr>
        <w:t xml:space="preserve"> </w:t>
      </w:r>
      <w:r>
        <w:rPr>
          <w:lang w:eastAsia="en-GB"/>
        </w:rPr>
        <w:t>is</w:t>
      </w:r>
      <w:r w:rsidR="00C64050">
        <w:rPr>
          <w:lang w:eastAsia="en-GB"/>
        </w:rPr>
        <w:t xml:space="preserve"> </w:t>
      </w:r>
      <w:r>
        <w:rPr>
          <w:lang w:eastAsia="en-GB"/>
        </w:rPr>
        <w:t>unclear</w:t>
      </w:r>
      <w:r w:rsidR="00C64050">
        <w:rPr>
          <w:lang w:eastAsia="en-GB"/>
        </w:rPr>
        <w:t xml:space="preserve"> </w:t>
      </w:r>
      <w:r>
        <w:rPr>
          <w:lang w:eastAsia="en-GB"/>
        </w:rPr>
        <w:t>if</w:t>
      </w:r>
      <w:r w:rsidR="00C64050">
        <w:rPr>
          <w:lang w:eastAsia="en-GB"/>
        </w:rPr>
        <w:t xml:space="preserve"> </w:t>
      </w:r>
      <w:r>
        <w:rPr>
          <w:lang w:eastAsia="en-GB"/>
        </w:rPr>
        <w:t>an</w:t>
      </w:r>
      <w:r w:rsidR="00C64050">
        <w:rPr>
          <w:lang w:eastAsia="en-GB"/>
        </w:rPr>
        <w:t xml:space="preserve"> </w:t>
      </w:r>
      <w:r>
        <w:rPr>
          <w:lang w:eastAsia="en-GB"/>
        </w:rPr>
        <w:t>earlier</w:t>
      </w:r>
      <w:r w:rsidR="00C64050">
        <w:rPr>
          <w:lang w:eastAsia="en-GB"/>
        </w:rPr>
        <w:t xml:space="preserve"> </w:t>
      </w:r>
      <w:r>
        <w:rPr>
          <w:lang w:eastAsia="en-GB"/>
        </w:rPr>
        <w:t>purchase</w:t>
      </w:r>
      <w:r w:rsidR="00C64050">
        <w:rPr>
          <w:lang w:eastAsia="en-GB"/>
        </w:rPr>
        <w:t xml:space="preserve"> </w:t>
      </w:r>
      <w:r>
        <w:rPr>
          <w:lang w:eastAsia="en-GB"/>
        </w:rPr>
        <w:t>would</w:t>
      </w:r>
      <w:r w:rsidR="00C64050">
        <w:rPr>
          <w:lang w:eastAsia="en-GB"/>
        </w:rPr>
        <w:t xml:space="preserve"> </w:t>
      </w:r>
      <w:r>
        <w:rPr>
          <w:lang w:eastAsia="en-GB"/>
        </w:rPr>
        <w:t>have</w:t>
      </w:r>
      <w:r w:rsidR="00C64050">
        <w:rPr>
          <w:lang w:eastAsia="en-GB"/>
        </w:rPr>
        <w:t xml:space="preserve"> </w:t>
      </w:r>
      <w:r>
        <w:rPr>
          <w:lang w:eastAsia="en-GB"/>
        </w:rPr>
        <w:t>mattered,</w:t>
      </w:r>
      <w:r w:rsidR="00C64050">
        <w:rPr>
          <w:lang w:eastAsia="en-GB"/>
        </w:rPr>
        <w:t xml:space="preserve"> </w:t>
      </w:r>
      <w:r>
        <w:rPr>
          <w:lang w:eastAsia="en-GB"/>
        </w:rPr>
        <w:t>if</w:t>
      </w:r>
      <w:r w:rsidR="00C64050">
        <w:rPr>
          <w:lang w:eastAsia="en-GB"/>
        </w:rPr>
        <w:t xml:space="preserve"> </w:t>
      </w:r>
      <w:r>
        <w:rPr>
          <w:lang w:eastAsia="en-GB"/>
        </w:rPr>
        <w:t>at</w:t>
      </w:r>
      <w:r w:rsidR="00C64050">
        <w:rPr>
          <w:lang w:eastAsia="en-GB"/>
        </w:rPr>
        <w:t xml:space="preserve"> </w:t>
      </w:r>
      <w:r>
        <w:rPr>
          <w:lang w:eastAsia="en-GB"/>
        </w:rPr>
        <w:t>such</w:t>
      </w:r>
      <w:r w:rsidR="00C64050">
        <w:rPr>
          <w:lang w:eastAsia="en-GB"/>
        </w:rPr>
        <w:t xml:space="preserve"> </w:t>
      </w:r>
      <w:r>
        <w:rPr>
          <w:lang w:eastAsia="en-GB"/>
        </w:rPr>
        <w:t>time</w:t>
      </w:r>
      <w:r w:rsidR="00C64050">
        <w:rPr>
          <w:lang w:eastAsia="en-GB"/>
        </w:rPr>
        <w:t xml:space="preserve"> </w:t>
      </w:r>
      <w:r>
        <w:rPr>
          <w:lang w:eastAsia="en-GB"/>
        </w:rPr>
        <w:t>the</w:t>
      </w:r>
      <w:r w:rsidR="00C64050">
        <w:rPr>
          <w:lang w:eastAsia="en-GB"/>
        </w:rPr>
        <w:t xml:space="preserve"> </w:t>
      </w:r>
      <w:r>
        <w:rPr>
          <w:lang w:eastAsia="en-GB"/>
        </w:rPr>
        <w:t>entire</w:t>
      </w:r>
      <w:r w:rsidR="00C64050">
        <w:rPr>
          <w:lang w:eastAsia="en-GB"/>
        </w:rPr>
        <w:t xml:space="preserve"> </w:t>
      </w:r>
      <w:r>
        <w:rPr>
          <w:lang w:eastAsia="en-GB"/>
        </w:rPr>
        <w:t>GRAT</w:t>
      </w:r>
      <w:r w:rsidR="00C64050">
        <w:rPr>
          <w:lang w:eastAsia="en-GB"/>
        </w:rPr>
        <w:t xml:space="preserve"> </w:t>
      </w:r>
      <w:r>
        <w:rPr>
          <w:lang w:eastAsia="en-GB"/>
        </w:rPr>
        <w:t>would</w:t>
      </w:r>
      <w:r w:rsidR="00C64050">
        <w:rPr>
          <w:lang w:eastAsia="en-GB"/>
        </w:rPr>
        <w:t xml:space="preserve"> </w:t>
      </w:r>
      <w:r>
        <w:rPr>
          <w:lang w:eastAsia="en-GB"/>
        </w:rPr>
        <w:t>have</w:t>
      </w:r>
      <w:r w:rsidR="00C64050">
        <w:rPr>
          <w:lang w:eastAsia="en-GB"/>
        </w:rPr>
        <w:t xml:space="preserve"> </w:t>
      </w:r>
      <w:r>
        <w:rPr>
          <w:lang w:eastAsia="en-GB"/>
        </w:rPr>
        <w:t>been</w:t>
      </w:r>
      <w:r w:rsidR="00C64050">
        <w:rPr>
          <w:lang w:eastAsia="en-GB"/>
        </w:rPr>
        <w:t xml:space="preserve"> </w:t>
      </w:r>
      <w:r>
        <w:rPr>
          <w:lang w:eastAsia="en-GB"/>
        </w:rPr>
        <w:t>included</w:t>
      </w:r>
      <w:r w:rsidR="00C64050">
        <w:rPr>
          <w:lang w:eastAsia="en-GB"/>
        </w:rPr>
        <w:t xml:space="preserve"> </w:t>
      </w:r>
      <w:r>
        <w:rPr>
          <w:lang w:eastAsia="en-GB"/>
        </w:rPr>
        <w:t>in</w:t>
      </w:r>
      <w:r w:rsidR="00C64050">
        <w:rPr>
          <w:lang w:eastAsia="en-GB"/>
        </w:rPr>
        <w:t xml:space="preserve"> </w:t>
      </w:r>
      <w:r>
        <w:rPr>
          <w:lang w:eastAsia="en-GB"/>
        </w:rPr>
        <w:t>the</w:t>
      </w:r>
      <w:r w:rsidR="00C64050">
        <w:rPr>
          <w:lang w:eastAsia="en-GB"/>
        </w:rPr>
        <w:t xml:space="preserve"> </w:t>
      </w:r>
      <w:r>
        <w:rPr>
          <w:lang w:eastAsia="en-GB"/>
        </w:rPr>
        <w:t>grantor’s</w:t>
      </w:r>
      <w:r w:rsidR="00C64050">
        <w:rPr>
          <w:lang w:eastAsia="en-GB"/>
        </w:rPr>
        <w:t xml:space="preserve"> </w:t>
      </w:r>
      <w:r>
        <w:rPr>
          <w:lang w:eastAsia="en-GB"/>
        </w:rPr>
        <w:t>estate.</w:t>
      </w:r>
    </w:p>
    <w:p w:rsidR="00CE686C" w:rsidRPr="006301D0" w:rsidRDefault="00CE686C" w:rsidP="005817FF">
      <w:pPr>
        <w:pStyle w:val="Body15"/>
        <w:spacing w:before="240"/>
        <w:rPr>
          <w:lang w:eastAsia="en-GB"/>
        </w:rPr>
      </w:pPr>
      <w:r>
        <w:rPr>
          <w:lang w:eastAsia="en-GB"/>
        </w:rPr>
        <w:t>When</w:t>
      </w:r>
      <w:r w:rsidR="00C64050">
        <w:rPr>
          <w:lang w:eastAsia="en-GB"/>
        </w:rPr>
        <w:t xml:space="preserve"> </w:t>
      </w:r>
      <w:r>
        <w:rPr>
          <w:lang w:eastAsia="en-GB"/>
        </w:rPr>
        <w:t>the</w:t>
      </w:r>
      <w:r w:rsidR="00C64050">
        <w:rPr>
          <w:lang w:eastAsia="en-GB"/>
        </w:rPr>
        <w:t xml:space="preserve"> </w:t>
      </w:r>
      <w:r>
        <w:rPr>
          <w:lang w:eastAsia="en-GB"/>
        </w:rPr>
        <w:t>section</w:t>
      </w:r>
      <w:r w:rsidR="00C64050">
        <w:rPr>
          <w:lang w:eastAsia="en-GB"/>
        </w:rPr>
        <w:t xml:space="preserve"> </w:t>
      </w:r>
      <w:r>
        <w:rPr>
          <w:lang w:eastAsia="en-GB"/>
        </w:rPr>
        <w:t>7520</w:t>
      </w:r>
      <w:r w:rsidR="00C64050">
        <w:rPr>
          <w:lang w:eastAsia="en-GB"/>
        </w:rPr>
        <w:t xml:space="preserve"> </w:t>
      </w:r>
      <w:r>
        <w:rPr>
          <w:lang w:eastAsia="en-GB"/>
        </w:rPr>
        <w:t>rate</w:t>
      </w:r>
      <w:r w:rsidR="00C64050">
        <w:rPr>
          <w:lang w:eastAsia="en-GB"/>
        </w:rPr>
        <w:t xml:space="preserve"> </w:t>
      </w:r>
      <w:r>
        <w:rPr>
          <w:lang w:eastAsia="en-GB"/>
        </w:rPr>
        <w:t>is</w:t>
      </w:r>
      <w:r w:rsidR="00C64050">
        <w:rPr>
          <w:lang w:eastAsia="en-GB"/>
        </w:rPr>
        <w:t xml:space="preserve"> </w:t>
      </w:r>
      <w:r>
        <w:rPr>
          <w:lang w:eastAsia="en-GB"/>
        </w:rPr>
        <w:t>extremely</w:t>
      </w:r>
      <w:r w:rsidR="00C64050">
        <w:rPr>
          <w:lang w:eastAsia="en-GB"/>
        </w:rPr>
        <w:t xml:space="preserve"> </w:t>
      </w:r>
      <w:r>
        <w:rPr>
          <w:lang w:eastAsia="en-GB"/>
        </w:rPr>
        <w:t>low,</w:t>
      </w:r>
      <w:r w:rsidR="00C64050">
        <w:rPr>
          <w:lang w:eastAsia="en-GB"/>
        </w:rPr>
        <w:t xml:space="preserve"> </w:t>
      </w:r>
      <w:r>
        <w:rPr>
          <w:lang w:eastAsia="en-GB"/>
        </w:rPr>
        <w:t>a</w:t>
      </w:r>
      <w:r w:rsidR="00C64050">
        <w:rPr>
          <w:lang w:eastAsia="en-GB"/>
        </w:rPr>
        <w:t xml:space="preserve"> </w:t>
      </w:r>
      <w:r>
        <w:rPr>
          <w:lang w:eastAsia="en-GB"/>
        </w:rPr>
        <w:t>very</w:t>
      </w:r>
      <w:r w:rsidR="00C64050">
        <w:rPr>
          <w:lang w:eastAsia="en-GB"/>
        </w:rPr>
        <w:t xml:space="preserve"> </w:t>
      </w:r>
      <w:r>
        <w:rPr>
          <w:lang w:eastAsia="en-GB"/>
        </w:rPr>
        <w:t>long-term</w:t>
      </w:r>
      <w:r w:rsidR="00C64050">
        <w:rPr>
          <w:lang w:eastAsia="en-GB"/>
        </w:rPr>
        <w:t xml:space="preserve"> </w:t>
      </w:r>
      <w:r>
        <w:rPr>
          <w:lang w:eastAsia="en-GB"/>
        </w:rPr>
        <w:t>GRAT</w:t>
      </w:r>
      <w:r w:rsidR="00C64050">
        <w:rPr>
          <w:lang w:eastAsia="en-GB"/>
        </w:rPr>
        <w:t xml:space="preserve"> </w:t>
      </w:r>
      <w:r>
        <w:rPr>
          <w:lang w:eastAsia="en-GB"/>
        </w:rPr>
        <w:t>will</w:t>
      </w:r>
      <w:r w:rsidR="00C64050">
        <w:rPr>
          <w:lang w:eastAsia="en-GB"/>
        </w:rPr>
        <w:t xml:space="preserve"> </w:t>
      </w:r>
      <w:r>
        <w:rPr>
          <w:lang w:eastAsia="en-GB"/>
        </w:rPr>
        <w:t>require</w:t>
      </w:r>
      <w:r w:rsidR="00C64050">
        <w:rPr>
          <w:lang w:eastAsia="en-GB"/>
        </w:rPr>
        <w:t xml:space="preserve"> </w:t>
      </w:r>
      <w:r>
        <w:rPr>
          <w:lang w:eastAsia="en-GB"/>
        </w:rPr>
        <w:t>extremely</w:t>
      </w:r>
      <w:r w:rsidR="00C64050">
        <w:rPr>
          <w:lang w:eastAsia="en-GB"/>
        </w:rPr>
        <w:t xml:space="preserve"> </w:t>
      </w:r>
      <w:r>
        <w:rPr>
          <w:lang w:eastAsia="en-GB"/>
        </w:rPr>
        <w:t>low</w:t>
      </w:r>
      <w:r w:rsidR="00C64050">
        <w:rPr>
          <w:lang w:eastAsia="en-GB"/>
        </w:rPr>
        <w:t xml:space="preserve"> </w:t>
      </w:r>
      <w:r>
        <w:rPr>
          <w:lang w:eastAsia="en-GB"/>
        </w:rPr>
        <w:t>annuity</w:t>
      </w:r>
      <w:r w:rsidR="00C64050">
        <w:rPr>
          <w:lang w:eastAsia="en-GB"/>
        </w:rPr>
        <w:t xml:space="preserve"> </w:t>
      </w:r>
      <w:r>
        <w:rPr>
          <w:lang w:eastAsia="en-GB"/>
        </w:rPr>
        <w:t>payments</w:t>
      </w:r>
      <w:r w:rsidR="00C64050">
        <w:rPr>
          <w:lang w:eastAsia="en-GB"/>
        </w:rPr>
        <w:t xml:space="preserve"> </w:t>
      </w:r>
      <w:r>
        <w:rPr>
          <w:lang w:eastAsia="en-GB"/>
        </w:rPr>
        <w:t>to</w:t>
      </w:r>
      <w:r w:rsidR="00C64050">
        <w:rPr>
          <w:lang w:eastAsia="en-GB"/>
        </w:rPr>
        <w:t xml:space="preserve"> </w:t>
      </w:r>
      <w:r>
        <w:rPr>
          <w:lang w:eastAsia="en-GB"/>
        </w:rPr>
        <w:t>zero-out.</w:t>
      </w:r>
      <w:r w:rsidR="00C64050">
        <w:rPr>
          <w:lang w:eastAsia="en-GB"/>
        </w:rPr>
        <w:t xml:space="preserve">  </w:t>
      </w:r>
      <w:r>
        <w:rPr>
          <w:lang w:eastAsia="en-GB"/>
        </w:rPr>
        <w:t>For</w:t>
      </w:r>
      <w:r w:rsidR="00C64050">
        <w:rPr>
          <w:lang w:eastAsia="en-GB"/>
        </w:rPr>
        <w:t xml:space="preserve"> </w:t>
      </w:r>
      <w:r>
        <w:rPr>
          <w:lang w:eastAsia="en-GB"/>
        </w:rPr>
        <w:t>example,</w:t>
      </w:r>
      <w:r w:rsidR="00C64050">
        <w:rPr>
          <w:lang w:eastAsia="en-GB"/>
        </w:rPr>
        <w:t xml:space="preserve"> </w:t>
      </w:r>
      <w:r>
        <w:rPr>
          <w:lang w:eastAsia="en-GB"/>
        </w:rPr>
        <w:t>a</w:t>
      </w:r>
      <w:r w:rsidR="00C64050">
        <w:rPr>
          <w:lang w:eastAsia="en-GB"/>
        </w:rPr>
        <w:t xml:space="preserve"> </w:t>
      </w:r>
      <w:r>
        <w:rPr>
          <w:lang w:eastAsia="en-GB"/>
        </w:rPr>
        <w:t>99</w:t>
      </w:r>
      <w:r w:rsidR="00C64050">
        <w:rPr>
          <w:lang w:eastAsia="en-GB"/>
        </w:rPr>
        <w:t xml:space="preserve"> </w:t>
      </w:r>
      <w:r>
        <w:rPr>
          <w:lang w:eastAsia="en-GB"/>
        </w:rPr>
        <w:t>year</w:t>
      </w:r>
      <w:r w:rsidR="00C64050">
        <w:rPr>
          <w:lang w:eastAsia="en-GB"/>
        </w:rPr>
        <w:t xml:space="preserve"> </w:t>
      </w:r>
      <w:r>
        <w:rPr>
          <w:lang w:eastAsia="en-GB"/>
        </w:rPr>
        <w:t>term</w:t>
      </w:r>
      <w:r w:rsidR="00C64050">
        <w:rPr>
          <w:lang w:eastAsia="en-GB"/>
        </w:rPr>
        <w:t xml:space="preserve"> </w:t>
      </w:r>
      <w:r>
        <w:rPr>
          <w:lang w:eastAsia="en-GB"/>
        </w:rPr>
        <w:t>GRAT</w:t>
      </w:r>
      <w:r w:rsidR="00C64050">
        <w:rPr>
          <w:lang w:eastAsia="en-GB"/>
        </w:rPr>
        <w:t xml:space="preserve"> </w:t>
      </w:r>
      <w:r>
        <w:rPr>
          <w:lang w:eastAsia="en-GB"/>
        </w:rPr>
        <w:t>when</w:t>
      </w:r>
      <w:r w:rsidR="00C64050">
        <w:rPr>
          <w:lang w:eastAsia="en-GB"/>
        </w:rPr>
        <w:t xml:space="preserve"> </w:t>
      </w:r>
      <w:r>
        <w:rPr>
          <w:lang w:eastAsia="en-GB"/>
        </w:rPr>
        <w:t>the</w:t>
      </w:r>
      <w:r w:rsidR="00C64050">
        <w:rPr>
          <w:lang w:eastAsia="en-GB"/>
        </w:rPr>
        <w:t xml:space="preserve"> </w:t>
      </w:r>
      <w:r>
        <w:rPr>
          <w:lang w:eastAsia="en-GB"/>
        </w:rPr>
        <w:t>7520</w:t>
      </w:r>
      <w:r w:rsidR="00C64050">
        <w:rPr>
          <w:lang w:eastAsia="en-GB"/>
        </w:rPr>
        <w:t xml:space="preserve"> </w:t>
      </w:r>
      <w:r>
        <w:rPr>
          <w:lang w:eastAsia="en-GB"/>
        </w:rPr>
        <w:t>rate</w:t>
      </w:r>
      <w:r w:rsidR="00C64050">
        <w:rPr>
          <w:lang w:eastAsia="en-GB"/>
        </w:rPr>
        <w:t xml:space="preserve"> </w:t>
      </w:r>
      <w:r>
        <w:rPr>
          <w:lang w:eastAsia="en-GB"/>
        </w:rPr>
        <w:t>is</w:t>
      </w:r>
      <w:r w:rsidR="00C64050">
        <w:rPr>
          <w:lang w:eastAsia="en-GB"/>
        </w:rPr>
        <w:t xml:space="preserve"> </w:t>
      </w:r>
      <w:r>
        <w:rPr>
          <w:lang w:eastAsia="en-GB"/>
        </w:rPr>
        <w:t>0.6%</w:t>
      </w:r>
      <w:r w:rsidR="00C64050">
        <w:rPr>
          <w:lang w:eastAsia="en-GB"/>
        </w:rPr>
        <w:t xml:space="preserve"> </w:t>
      </w:r>
      <w:r>
        <w:rPr>
          <w:lang w:eastAsia="en-GB"/>
        </w:rPr>
        <w:t>requires</w:t>
      </w:r>
      <w:r w:rsidR="00C64050">
        <w:rPr>
          <w:lang w:eastAsia="en-GB"/>
        </w:rPr>
        <w:t xml:space="preserve"> </w:t>
      </w:r>
      <w:r>
        <w:rPr>
          <w:lang w:eastAsia="en-GB"/>
        </w:rPr>
        <w:t>an</w:t>
      </w:r>
      <w:r w:rsidR="00C64050">
        <w:rPr>
          <w:lang w:eastAsia="en-GB"/>
        </w:rPr>
        <w:t xml:space="preserve"> </w:t>
      </w:r>
      <w:r>
        <w:rPr>
          <w:lang w:eastAsia="en-GB"/>
        </w:rPr>
        <w:t>annuity</w:t>
      </w:r>
      <w:r w:rsidR="00C64050">
        <w:rPr>
          <w:lang w:eastAsia="en-GB"/>
        </w:rPr>
        <w:t xml:space="preserve"> </w:t>
      </w:r>
      <w:r>
        <w:rPr>
          <w:lang w:eastAsia="en-GB"/>
        </w:rPr>
        <w:t>of</w:t>
      </w:r>
      <w:r w:rsidR="00C64050">
        <w:rPr>
          <w:lang w:eastAsia="en-GB"/>
        </w:rPr>
        <w:t xml:space="preserve"> </w:t>
      </w:r>
      <w:r>
        <w:rPr>
          <w:lang w:eastAsia="en-GB"/>
        </w:rPr>
        <w:t>1.342568%</w:t>
      </w:r>
      <w:r w:rsidR="00C64050">
        <w:rPr>
          <w:lang w:eastAsia="en-GB"/>
        </w:rPr>
        <w:t xml:space="preserve"> </w:t>
      </w:r>
      <w:r>
        <w:rPr>
          <w:lang w:eastAsia="en-GB"/>
        </w:rPr>
        <w:t>to</w:t>
      </w:r>
      <w:r w:rsidR="00C64050">
        <w:rPr>
          <w:lang w:eastAsia="en-GB"/>
        </w:rPr>
        <w:t xml:space="preserve"> </w:t>
      </w:r>
      <w:r>
        <w:rPr>
          <w:lang w:eastAsia="en-GB"/>
        </w:rPr>
        <w:t>zero-out.</w:t>
      </w:r>
      <w:r w:rsidR="00C64050">
        <w:rPr>
          <w:lang w:eastAsia="en-GB"/>
        </w:rPr>
        <w:t xml:space="preserve">  </w:t>
      </w:r>
      <w:r>
        <w:rPr>
          <w:lang w:eastAsia="en-GB"/>
        </w:rPr>
        <w:t>If</w:t>
      </w:r>
      <w:r w:rsidR="00C64050">
        <w:rPr>
          <w:lang w:eastAsia="en-GB"/>
        </w:rPr>
        <w:t xml:space="preserve"> </w:t>
      </w:r>
      <w:r>
        <w:rPr>
          <w:lang w:eastAsia="en-GB"/>
        </w:rPr>
        <w:t>the</w:t>
      </w:r>
      <w:r w:rsidR="00C64050">
        <w:rPr>
          <w:lang w:eastAsia="en-GB"/>
        </w:rPr>
        <w:t xml:space="preserve"> </w:t>
      </w:r>
      <w:r>
        <w:rPr>
          <w:lang w:eastAsia="en-GB"/>
        </w:rPr>
        <w:t>7520</w:t>
      </w:r>
      <w:r w:rsidR="00C64050">
        <w:rPr>
          <w:lang w:eastAsia="en-GB"/>
        </w:rPr>
        <w:t xml:space="preserve"> </w:t>
      </w:r>
      <w:r>
        <w:rPr>
          <w:lang w:eastAsia="en-GB"/>
        </w:rPr>
        <w:t>rate</w:t>
      </w:r>
      <w:r w:rsidR="00C64050">
        <w:rPr>
          <w:lang w:eastAsia="en-GB"/>
        </w:rPr>
        <w:t xml:space="preserve"> </w:t>
      </w:r>
      <w:r>
        <w:rPr>
          <w:lang w:eastAsia="en-GB"/>
        </w:rPr>
        <w:t>thereafter</w:t>
      </w:r>
      <w:r w:rsidR="00C64050">
        <w:rPr>
          <w:lang w:eastAsia="en-GB"/>
        </w:rPr>
        <w:t xml:space="preserve"> </w:t>
      </w:r>
      <w:r>
        <w:rPr>
          <w:lang w:eastAsia="en-GB"/>
        </w:rPr>
        <w:t>increases</w:t>
      </w:r>
      <w:r w:rsidR="00C64050">
        <w:rPr>
          <w:lang w:eastAsia="en-GB"/>
        </w:rPr>
        <w:t xml:space="preserve"> </w:t>
      </w:r>
      <w:r>
        <w:rPr>
          <w:lang w:eastAsia="en-GB"/>
        </w:rPr>
        <w:t>to</w:t>
      </w:r>
      <w:r w:rsidR="00C64050">
        <w:rPr>
          <w:lang w:eastAsia="en-GB"/>
        </w:rPr>
        <w:t xml:space="preserve"> </w:t>
      </w:r>
      <w:r>
        <w:rPr>
          <w:lang w:eastAsia="en-GB"/>
        </w:rPr>
        <w:t>3%</w:t>
      </w:r>
      <w:r w:rsidR="00C64050">
        <w:rPr>
          <w:lang w:eastAsia="en-GB"/>
        </w:rPr>
        <w:t xml:space="preserve"> </w:t>
      </w:r>
      <w:r>
        <w:rPr>
          <w:lang w:eastAsia="en-GB"/>
        </w:rPr>
        <w:t>(the</w:t>
      </w:r>
      <w:r w:rsidR="00C64050">
        <w:rPr>
          <w:lang w:eastAsia="en-GB"/>
        </w:rPr>
        <w:t xml:space="preserve"> </w:t>
      </w:r>
      <w:r>
        <w:rPr>
          <w:lang w:eastAsia="en-GB"/>
        </w:rPr>
        <w:t>April</w:t>
      </w:r>
      <w:r w:rsidR="00C64050">
        <w:rPr>
          <w:lang w:eastAsia="en-GB"/>
        </w:rPr>
        <w:t xml:space="preserve"> </w:t>
      </w:r>
      <w:r>
        <w:rPr>
          <w:lang w:eastAsia="en-GB"/>
        </w:rPr>
        <w:t>2019</w:t>
      </w:r>
      <w:r w:rsidR="00C64050">
        <w:rPr>
          <w:lang w:eastAsia="en-GB"/>
        </w:rPr>
        <w:t xml:space="preserve"> </w:t>
      </w:r>
      <w:r>
        <w:rPr>
          <w:lang w:eastAsia="en-GB"/>
        </w:rPr>
        <w:t>rate)</w:t>
      </w:r>
      <w:r w:rsidR="00C64050">
        <w:rPr>
          <w:lang w:eastAsia="en-GB"/>
        </w:rPr>
        <w:t xml:space="preserve"> </w:t>
      </w:r>
      <w:r>
        <w:rPr>
          <w:lang w:eastAsia="en-GB"/>
        </w:rPr>
        <w:t>only</w:t>
      </w:r>
      <w:r w:rsidR="00C64050">
        <w:rPr>
          <w:lang w:eastAsia="en-GB"/>
        </w:rPr>
        <w:t xml:space="preserve"> </w:t>
      </w:r>
      <w:r>
        <w:rPr>
          <w:lang w:eastAsia="en-GB"/>
        </w:rPr>
        <w:t>44.75239%</w:t>
      </w:r>
      <w:r w:rsidR="00C64050">
        <w:rPr>
          <w:lang w:eastAsia="en-GB"/>
        </w:rPr>
        <w:t xml:space="preserve"> </w:t>
      </w:r>
      <w:r>
        <w:rPr>
          <w:lang w:eastAsia="en-GB"/>
        </w:rPr>
        <w:t>of</w:t>
      </w:r>
      <w:r w:rsidR="00C64050">
        <w:rPr>
          <w:lang w:eastAsia="en-GB"/>
        </w:rPr>
        <w:t xml:space="preserve"> </w:t>
      </w:r>
      <w:r>
        <w:rPr>
          <w:lang w:eastAsia="en-GB"/>
        </w:rPr>
        <w:t>the</w:t>
      </w:r>
      <w:r w:rsidR="00C64050">
        <w:rPr>
          <w:lang w:eastAsia="en-GB"/>
        </w:rPr>
        <w:t xml:space="preserve"> </w:t>
      </w:r>
      <w:r>
        <w:rPr>
          <w:lang w:eastAsia="en-GB"/>
        </w:rPr>
        <w:t>GRAT</w:t>
      </w:r>
      <w:r w:rsidR="00C64050">
        <w:rPr>
          <w:lang w:eastAsia="en-GB"/>
        </w:rPr>
        <w:t xml:space="preserve"> </w:t>
      </w:r>
      <w:r>
        <w:rPr>
          <w:lang w:eastAsia="en-GB"/>
        </w:rPr>
        <w:t>assets</w:t>
      </w:r>
      <w:r w:rsidR="00C64050">
        <w:rPr>
          <w:lang w:eastAsia="en-GB"/>
        </w:rPr>
        <w:t xml:space="preserve"> </w:t>
      </w:r>
      <w:r>
        <w:rPr>
          <w:lang w:eastAsia="en-GB"/>
        </w:rPr>
        <w:t>would</w:t>
      </w:r>
      <w:r w:rsidR="00C64050">
        <w:rPr>
          <w:lang w:eastAsia="en-GB"/>
        </w:rPr>
        <w:t xml:space="preserve"> </w:t>
      </w:r>
      <w:r>
        <w:rPr>
          <w:lang w:eastAsia="en-GB"/>
        </w:rPr>
        <w:t>be</w:t>
      </w:r>
      <w:r w:rsidR="00C64050">
        <w:rPr>
          <w:lang w:eastAsia="en-GB"/>
        </w:rPr>
        <w:t xml:space="preserve"> </w:t>
      </w:r>
      <w:r>
        <w:rPr>
          <w:lang w:eastAsia="en-GB"/>
        </w:rPr>
        <w:t>included</w:t>
      </w:r>
      <w:r w:rsidR="00C64050">
        <w:rPr>
          <w:lang w:eastAsia="en-GB"/>
        </w:rPr>
        <w:t xml:space="preserve"> </w:t>
      </w:r>
      <w:r>
        <w:rPr>
          <w:lang w:eastAsia="en-GB"/>
        </w:rPr>
        <w:t>in</w:t>
      </w:r>
      <w:r w:rsidR="00C64050">
        <w:rPr>
          <w:lang w:eastAsia="en-GB"/>
        </w:rPr>
        <w:t xml:space="preserve"> </w:t>
      </w:r>
      <w:r>
        <w:rPr>
          <w:lang w:eastAsia="en-GB"/>
        </w:rPr>
        <w:t>the</w:t>
      </w:r>
      <w:r w:rsidR="00C64050">
        <w:rPr>
          <w:lang w:eastAsia="en-GB"/>
        </w:rPr>
        <w:t xml:space="preserve"> </w:t>
      </w:r>
      <w:r>
        <w:rPr>
          <w:lang w:eastAsia="en-GB"/>
        </w:rPr>
        <w:t>grantor/annuitant’s</w:t>
      </w:r>
      <w:r w:rsidR="00C64050">
        <w:rPr>
          <w:lang w:eastAsia="en-GB"/>
        </w:rPr>
        <w:t xml:space="preserve"> </w:t>
      </w:r>
      <w:r>
        <w:rPr>
          <w:lang w:eastAsia="en-GB"/>
        </w:rPr>
        <w:t>estate.</w:t>
      </w:r>
      <w:r w:rsidR="006301D0">
        <w:rPr>
          <w:lang w:eastAsia="en-GB"/>
        </w:rPr>
        <w:t xml:space="preserve">  Suppose a GRAT were terminated at such time by the doctrine of merger; the “replenishment” standard suggested by </w:t>
      </w:r>
      <w:r w:rsidR="006301D0">
        <w:rPr>
          <w:u w:val="single"/>
          <w:lang w:eastAsia="en-GB"/>
        </w:rPr>
        <w:t>Wemyss</w:t>
      </w:r>
      <w:r w:rsidR="006301D0">
        <w:rPr>
          <w:lang w:eastAsia="en-GB"/>
        </w:rPr>
        <w:t xml:space="preserve"> would seem to be satisfied.</w:t>
      </w:r>
    </w:p>
    <w:p w:rsidR="00485DB9" w:rsidRDefault="00856D6A">
      <w:pPr>
        <w:pStyle w:val="Heading1"/>
        <w:rPr>
          <w:color w:val="000000"/>
        </w:rPr>
      </w:pPr>
      <w:bookmarkStart w:id="682" w:name="_Toc168206634"/>
      <w:bookmarkStart w:id="683" w:name="_Toc168218257"/>
      <w:bookmarkStart w:id="684" w:name="_Toc231154908"/>
      <w:bookmarkStart w:id="685" w:name="_Toc295129802"/>
      <w:bookmarkStart w:id="686" w:name="_Toc295132418"/>
      <w:bookmarkStart w:id="687" w:name="_Toc295133938"/>
      <w:bookmarkStart w:id="688" w:name="_Toc295133973"/>
      <w:bookmarkStart w:id="689" w:name="_Toc295136506"/>
      <w:bookmarkStart w:id="690" w:name="_Toc297645111"/>
      <w:bookmarkStart w:id="691" w:name="_Toc297647182"/>
      <w:bookmarkStart w:id="692" w:name="_Toc297728383"/>
      <w:bookmarkStart w:id="693" w:name="_Toc297732845"/>
      <w:bookmarkStart w:id="694" w:name="_Toc298255235"/>
      <w:bookmarkStart w:id="695" w:name="_Toc298316809"/>
      <w:bookmarkStart w:id="696" w:name="_Toc298334654"/>
      <w:bookmarkStart w:id="697" w:name="_Toc298338152"/>
      <w:bookmarkStart w:id="698" w:name="_Toc301364492"/>
      <w:bookmarkStart w:id="699" w:name="_Toc302465952"/>
      <w:bookmarkStart w:id="700" w:name="_Toc303094327"/>
      <w:bookmarkStart w:id="701" w:name="_Toc303172925"/>
      <w:bookmarkStart w:id="702" w:name="_Toc303181255"/>
      <w:bookmarkStart w:id="703" w:name="_Toc321753672"/>
      <w:bookmarkStart w:id="704" w:name="_Toc322015857"/>
      <w:bookmarkStart w:id="705" w:name="_Toc322016030"/>
      <w:bookmarkStart w:id="706" w:name="_Toc322016568"/>
      <w:bookmarkStart w:id="707" w:name="_Toc376946796"/>
      <w:bookmarkStart w:id="708" w:name="_Toc376947643"/>
      <w:bookmarkStart w:id="709" w:name="_Toc376948437"/>
      <w:bookmarkStart w:id="710" w:name="_Toc376949231"/>
      <w:bookmarkStart w:id="711" w:name="_Toc94704672"/>
      <w:r w:rsidRPr="00454670">
        <w:rPr>
          <w:color w:val="000000"/>
        </w:rPr>
        <w:t>SECTION</w:t>
      </w:r>
      <w:r w:rsidR="00C64050">
        <w:rPr>
          <w:color w:val="000000"/>
        </w:rPr>
        <w:t xml:space="preserve"> </w:t>
      </w:r>
      <w:r w:rsidRPr="00454670">
        <w:rPr>
          <w:color w:val="000000"/>
        </w:rPr>
        <w:t>6166</w:t>
      </w:r>
      <w:r w:rsidR="00C64050">
        <w:rPr>
          <w:color w:val="000000"/>
        </w:rPr>
        <w:t xml:space="preserve"> </w:t>
      </w:r>
      <w:r w:rsidRPr="00454670">
        <w:rPr>
          <w:color w:val="000000"/>
        </w:rPr>
        <w:t>—</w:t>
      </w:r>
      <w:r w:rsidR="00C64050">
        <w:rPr>
          <w:color w:val="000000"/>
        </w:rPr>
        <w:t xml:space="preserve"> </w:t>
      </w:r>
      <w:r w:rsidRPr="00454670">
        <w:rPr>
          <w:color w:val="000000"/>
        </w:rPr>
        <w:t>EXTENSION</w:t>
      </w:r>
      <w:r w:rsidR="00C64050">
        <w:rPr>
          <w:color w:val="000000"/>
        </w:rPr>
        <w:t xml:space="preserve"> </w:t>
      </w:r>
      <w:r w:rsidRPr="00454670">
        <w:rPr>
          <w:color w:val="000000"/>
        </w:rPr>
        <w:t>OF</w:t>
      </w:r>
      <w:r w:rsidR="00C64050">
        <w:rPr>
          <w:color w:val="000000"/>
        </w:rPr>
        <w:t xml:space="preserve"> </w:t>
      </w:r>
      <w:r w:rsidRPr="00454670">
        <w:rPr>
          <w:color w:val="000000"/>
        </w:rPr>
        <w:t>TIME</w:t>
      </w:r>
      <w:r w:rsidR="00C64050">
        <w:rPr>
          <w:color w:val="000000"/>
        </w:rPr>
        <w:t xml:space="preserve"> </w:t>
      </w:r>
      <w:r w:rsidRPr="00454670">
        <w:rPr>
          <w:color w:val="000000"/>
        </w:rPr>
        <w:t>TO</w:t>
      </w:r>
      <w:r w:rsidR="00C64050">
        <w:rPr>
          <w:color w:val="000000"/>
        </w:rPr>
        <w:t xml:space="preserve"> </w:t>
      </w:r>
      <w:r w:rsidRPr="00454670">
        <w:rPr>
          <w:color w:val="000000"/>
        </w:rPr>
        <w:t>PAY</w:t>
      </w:r>
      <w:r w:rsidR="00C64050">
        <w:rPr>
          <w:color w:val="000000"/>
        </w:rPr>
        <w:t xml:space="preserve"> </w:t>
      </w:r>
      <w:r w:rsidRPr="00454670">
        <w:rPr>
          <w:color w:val="000000"/>
        </w:rPr>
        <w:t>TAX</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rsidR="00485DB9" w:rsidRPr="00454670" w:rsidRDefault="00856D6A">
      <w:pPr>
        <w:pStyle w:val="Heading1"/>
        <w:rPr>
          <w:color w:val="000000"/>
        </w:rPr>
      </w:pPr>
      <w:bookmarkStart w:id="712" w:name="_Toc168206640"/>
      <w:bookmarkStart w:id="713" w:name="_Toc168218261"/>
      <w:bookmarkStart w:id="714" w:name="_Toc231154916"/>
      <w:bookmarkStart w:id="715" w:name="_Toc295129803"/>
      <w:bookmarkStart w:id="716" w:name="_Toc295132419"/>
      <w:bookmarkStart w:id="717" w:name="_Toc295133939"/>
      <w:bookmarkStart w:id="718" w:name="_Toc295133974"/>
      <w:bookmarkStart w:id="719" w:name="_Toc295136507"/>
      <w:bookmarkStart w:id="720" w:name="_Toc297645112"/>
      <w:bookmarkStart w:id="721" w:name="_Toc297647183"/>
      <w:bookmarkStart w:id="722" w:name="_Toc297728387"/>
      <w:bookmarkStart w:id="723" w:name="_Toc297732849"/>
      <w:bookmarkStart w:id="724" w:name="_Toc298255237"/>
      <w:bookmarkStart w:id="725" w:name="_Toc298316811"/>
      <w:bookmarkStart w:id="726" w:name="_Toc298334656"/>
      <w:bookmarkStart w:id="727" w:name="_Toc298338154"/>
      <w:bookmarkStart w:id="728" w:name="_Toc301364494"/>
      <w:bookmarkStart w:id="729" w:name="_Toc302465954"/>
      <w:bookmarkStart w:id="730" w:name="_Toc303094329"/>
      <w:bookmarkStart w:id="731" w:name="_Toc303172927"/>
      <w:bookmarkStart w:id="732" w:name="_Toc303181257"/>
      <w:bookmarkStart w:id="733" w:name="_Toc321753674"/>
      <w:bookmarkStart w:id="734" w:name="_Toc322015859"/>
      <w:bookmarkStart w:id="735" w:name="_Toc322016032"/>
      <w:bookmarkStart w:id="736" w:name="_Toc322016570"/>
      <w:bookmarkStart w:id="737" w:name="_Toc376946797"/>
      <w:bookmarkStart w:id="738" w:name="_Toc376947644"/>
      <w:bookmarkStart w:id="739" w:name="_Toc376948438"/>
      <w:bookmarkStart w:id="740" w:name="_Toc376949232"/>
      <w:bookmarkStart w:id="741" w:name="_Toc94704673"/>
      <w:r w:rsidRPr="00454670">
        <w:rPr>
          <w:color w:val="000000"/>
        </w:rPr>
        <w:t>TAX</w:t>
      </w:r>
      <w:r w:rsidR="00C64050">
        <w:rPr>
          <w:color w:val="000000"/>
        </w:rPr>
        <w:t xml:space="preserve"> </w:t>
      </w:r>
      <w:r w:rsidRPr="00454670">
        <w:rPr>
          <w:color w:val="000000"/>
        </w:rPr>
        <w:t>ADMINISTRATION</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rsidR="00CC201D" w:rsidRPr="007D2188" w:rsidRDefault="00231E50" w:rsidP="00B66CCE">
      <w:pPr>
        <w:pStyle w:val="Heading20"/>
        <w:numPr>
          <w:ilvl w:val="1"/>
          <w:numId w:val="28"/>
        </w:numPr>
        <w:tabs>
          <w:tab w:val="clear" w:pos="2700"/>
        </w:tabs>
        <w:ind w:left="0"/>
        <w:rPr>
          <w:rStyle w:val="LeadInHeading2"/>
          <w:vanish/>
          <w:specVanish/>
        </w:rPr>
      </w:pPr>
      <w:bookmarkStart w:id="742" w:name="_Toc376946803"/>
      <w:bookmarkStart w:id="743" w:name="_Toc376947650"/>
      <w:bookmarkStart w:id="744" w:name="_Toc376948444"/>
      <w:bookmarkStart w:id="745" w:name="_Toc376949238"/>
      <w:bookmarkStart w:id="746" w:name="_Toc94704674"/>
      <w:bookmarkStart w:id="747" w:name="_Toc168206658"/>
      <w:bookmarkStart w:id="748" w:name="_Toc168218272"/>
      <w:bookmarkStart w:id="749" w:name="_Toc231154923"/>
      <w:bookmarkStart w:id="750" w:name="_Toc295129804"/>
      <w:bookmarkStart w:id="751" w:name="_Toc295132422"/>
      <w:bookmarkStart w:id="752" w:name="_Toc295133942"/>
      <w:bookmarkStart w:id="753" w:name="_Toc295133977"/>
      <w:bookmarkStart w:id="754" w:name="_Toc295136512"/>
      <w:bookmarkStart w:id="755" w:name="_Toc297645118"/>
      <w:bookmarkStart w:id="756" w:name="_Toc297647189"/>
      <w:bookmarkStart w:id="757" w:name="_Toc297728397"/>
      <w:bookmarkStart w:id="758" w:name="_Toc297732859"/>
      <w:bookmarkStart w:id="759" w:name="_Toc298255245"/>
      <w:bookmarkStart w:id="760" w:name="_Toc298316819"/>
      <w:bookmarkStart w:id="761" w:name="_Toc298334664"/>
      <w:bookmarkStart w:id="762" w:name="_Toc298338162"/>
      <w:bookmarkStart w:id="763" w:name="_Toc301364503"/>
      <w:bookmarkStart w:id="764" w:name="_Toc302465963"/>
      <w:bookmarkStart w:id="765" w:name="_Toc303094338"/>
      <w:bookmarkStart w:id="766" w:name="_Toc303172936"/>
      <w:bookmarkStart w:id="767" w:name="_Toc303181266"/>
      <w:bookmarkStart w:id="768" w:name="_Toc321753683"/>
      <w:bookmarkStart w:id="769" w:name="_Toc322015873"/>
      <w:bookmarkStart w:id="770" w:name="_Toc322016046"/>
      <w:bookmarkStart w:id="771" w:name="_Toc322016584"/>
      <w:r w:rsidRPr="008C0FE2">
        <w:rPr>
          <w:rStyle w:val="LeadInHeading2"/>
        </w:rPr>
        <w:t>Priority</w:t>
      </w:r>
      <w:r w:rsidR="00C64050">
        <w:rPr>
          <w:rStyle w:val="LeadInHeading2"/>
        </w:rPr>
        <w:t xml:space="preserve"> </w:t>
      </w:r>
      <w:r w:rsidRPr="008C0FE2">
        <w:rPr>
          <w:rStyle w:val="LeadInHeading2"/>
        </w:rPr>
        <w:t>Guidance</w:t>
      </w:r>
      <w:r w:rsidR="00C64050">
        <w:rPr>
          <w:rStyle w:val="LeadInHeading2"/>
        </w:rPr>
        <w:t xml:space="preserve"> </w:t>
      </w:r>
      <w:r w:rsidRPr="008C0FE2">
        <w:rPr>
          <w:rStyle w:val="LeadInHeading2"/>
        </w:rPr>
        <w:t>Plan</w:t>
      </w:r>
      <w:bookmarkEnd w:id="742"/>
      <w:bookmarkEnd w:id="743"/>
      <w:bookmarkEnd w:id="744"/>
      <w:bookmarkEnd w:id="745"/>
      <w:bookmarkEnd w:id="746"/>
    </w:p>
    <w:p w:rsidR="00231E50" w:rsidRDefault="00231E50" w:rsidP="00391ECC">
      <w:pPr>
        <w:pStyle w:val="Body15"/>
        <w:spacing w:before="240"/>
        <w:rPr>
          <w:szCs w:val="20"/>
        </w:rPr>
      </w:pPr>
      <w:r w:rsidRPr="00454670">
        <w:rPr>
          <w:szCs w:val="20"/>
        </w:rPr>
        <w:t>.</w:t>
      </w:r>
      <w:r w:rsidR="00C64050">
        <w:rPr>
          <w:szCs w:val="20"/>
        </w:rPr>
        <w:t xml:space="preserve">  </w:t>
      </w:r>
      <w:r w:rsidR="00CE686C">
        <w:rPr>
          <w:szCs w:val="20"/>
        </w:rPr>
        <w:t>20</w:t>
      </w:r>
      <w:r w:rsidR="006938CA">
        <w:rPr>
          <w:szCs w:val="20"/>
        </w:rPr>
        <w:t>20</w:t>
      </w:r>
      <w:r w:rsidR="00CE686C">
        <w:rPr>
          <w:szCs w:val="20"/>
        </w:rPr>
        <w:t>-202</w:t>
      </w:r>
      <w:r w:rsidR="006938CA">
        <w:rPr>
          <w:szCs w:val="20"/>
        </w:rPr>
        <w:t>1</w:t>
      </w:r>
      <w:r w:rsidR="00C64050">
        <w:rPr>
          <w:szCs w:val="20"/>
        </w:rPr>
        <w:t xml:space="preserve"> </w:t>
      </w:r>
      <w:r w:rsidR="00CE686C">
        <w:rPr>
          <w:szCs w:val="20"/>
        </w:rPr>
        <w:t>(</w:t>
      </w:r>
      <w:r w:rsidR="006938CA">
        <w:rPr>
          <w:szCs w:val="20"/>
        </w:rPr>
        <w:t>November 17</w:t>
      </w:r>
      <w:r w:rsidR="00CE686C">
        <w:rPr>
          <w:szCs w:val="20"/>
        </w:rPr>
        <w:t>,</w:t>
      </w:r>
      <w:r w:rsidR="00C64050">
        <w:rPr>
          <w:szCs w:val="20"/>
        </w:rPr>
        <w:t xml:space="preserve"> </w:t>
      </w:r>
      <w:r w:rsidR="00CE686C">
        <w:rPr>
          <w:szCs w:val="20"/>
        </w:rPr>
        <w:t>2020).</w:t>
      </w:r>
    </w:p>
    <w:p w:rsidR="002126A7" w:rsidRPr="002126A7" w:rsidRDefault="002126A7" w:rsidP="002126A7">
      <w:pPr>
        <w:pStyle w:val="Body15"/>
        <w:spacing w:before="240"/>
        <w:rPr>
          <w:b/>
          <w:szCs w:val="20"/>
        </w:rPr>
      </w:pPr>
      <w:r w:rsidRPr="002126A7">
        <w:rPr>
          <w:b/>
          <w:szCs w:val="20"/>
        </w:rPr>
        <w:t>PART</w:t>
      </w:r>
      <w:r w:rsidR="00C64050">
        <w:rPr>
          <w:b/>
          <w:szCs w:val="20"/>
        </w:rPr>
        <w:t xml:space="preserve"> </w:t>
      </w:r>
      <w:r w:rsidRPr="002126A7">
        <w:rPr>
          <w:b/>
          <w:szCs w:val="20"/>
        </w:rPr>
        <w:t>1.</w:t>
      </w:r>
      <w:r w:rsidR="00C64050">
        <w:rPr>
          <w:b/>
          <w:szCs w:val="20"/>
        </w:rPr>
        <w:t xml:space="preserve"> </w:t>
      </w:r>
      <w:r w:rsidRPr="002126A7">
        <w:rPr>
          <w:b/>
          <w:szCs w:val="20"/>
        </w:rPr>
        <w:t>IMPLEMENTATION</w:t>
      </w:r>
      <w:r w:rsidR="00C64050">
        <w:rPr>
          <w:b/>
          <w:szCs w:val="20"/>
        </w:rPr>
        <w:t xml:space="preserve"> </w:t>
      </w:r>
      <w:r w:rsidRPr="002126A7">
        <w:rPr>
          <w:b/>
          <w:szCs w:val="20"/>
        </w:rPr>
        <w:t>OF</w:t>
      </w:r>
      <w:r w:rsidR="00C64050">
        <w:rPr>
          <w:b/>
          <w:szCs w:val="20"/>
        </w:rPr>
        <w:t xml:space="preserve"> </w:t>
      </w:r>
      <w:r w:rsidRPr="002126A7">
        <w:rPr>
          <w:b/>
          <w:szCs w:val="20"/>
        </w:rPr>
        <w:t>TAX</w:t>
      </w:r>
      <w:r w:rsidR="00C64050">
        <w:rPr>
          <w:b/>
          <w:szCs w:val="20"/>
        </w:rPr>
        <w:t xml:space="preserve"> </w:t>
      </w:r>
      <w:r w:rsidRPr="002126A7">
        <w:rPr>
          <w:b/>
          <w:szCs w:val="20"/>
        </w:rPr>
        <w:t>CUTS</w:t>
      </w:r>
      <w:r w:rsidR="00C64050">
        <w:rPr>
          <w:b/>
          <w:szCs w:val="20"/>
        </w:rPr>
        <w:t xml:space="preserve"> </w:t>
      </w:r>
      <w:r w:rsidRPr="002126A7">
        <w:rPr>
          <w:b/>
          <w:szCs w:val="20"/>
        </w:rPr>
        <w:t>AND</w:t>
      </w:r>
      <w:r w:rsidR="00C64050">
        <w:rPr>
          <w:b/>
          <w:szCs w:val="20"/>
        </w:rPr>
        <w:t xml:space="preserve"> </w:t>
      </w:r>
      <w:r w:rsidRPr="002126A7">
        <w:rPr>
          <w:b/>
          <w:szCs w:val="20"/>
        </w:rPr>
        <w:t>JOBS</w:t>
      </w:r>
      <w:r w:rsidR="00C64050">
        <w:rPr>
          <w:b/>
          <w:szCs w:val="20"/>
        </w:rPr>
        <w:t xml:space="preserve"> </w:t>
      </w:r>
      <w:r w:rsidRPr="002126A7">
        <w:rPr>
          <w:b/>
          <w:szCs w:val="20"/>
        </w:rPr>
        <w:t>ACT</w:t>
      </w:r>
      <w:r w:rsidR="00C64050">
        <w:rPr>
          <w:b/>
          <w:szCs w:val="20"/>
        </w:rPr>
        <w:t xml:space="preserve"> </w:t>
      </w:r>
      <w:r w:rsidRPr="002126A7">
        <w:rPr>
          <w:b/>
          <w:szCs w:val="20"/>
        </w:rPr>
        <w:t>(TCJA)</w:t>
      </w:r>
    </w:p>
    <w:p w:rsidR="006938CA" w:rsidRDefault="006938CA" w:rsidP="002126A7">
      <w:pPr>
        <w:pStyle w:val="Body15"/>
        <w:spacing w:before="240"/>
        <w:rPr>
          <w:szCs w:val="20"/>
        </w:rPr>
      </w:pPr>
      <w:r>
        <w:rPr>
          <w:szCs w:val="20"/>
        </w:rPr>
        <w:t>4.</w:t>
      </w:r>
      <w:r>
        <w:rPr>
          <w:szCs w:val="20"/>
        </w:rPr>
        <w:tab/>
        <w:t>Regulations clarifying the deductibility of certain expenses described in §67(b) and (e) that are incurred by estates and non-grantor trusts.  Notice 2018-61 was published on July 30, 2018 and proposed regulations were published on May 11, 2020.</w:t>
      </w:r>
    </w:p>
    <w:p w:rsidR="002126A7" w:rsidRPr="002126A7" w:rsidRDefault="002126A7" w:rsidP="002126A7">
      <w:pPr>
        <w:pStyle w:val="Body15"/>
        <w:spacing w:before="240"/>
        <w:rPr>
          <w:szCs w:val="20"/>
        </w:rPr>
      </w:pPr>
      <w:r w:rsidRPr="002126A7">
        <w:rPr>
          <w:szCs w:val="20"/>
        </w:rPr>
        <w:t>*</w:t>
      </w:r>
      <w:r w:rsidR="00C64050">
        <w:rPr>
          <w:szCs w:val="20"/>
        </w:rPr>
        <w:t xml:space="preserve"> </w:t>
      </w:r>
      <w:r w:rsidRPr="002126A7">
        <w:rPr>
          <w:szCs w:val="20"/>
        </w:rPr>
        <w:t>*</w:t>
      </w:r>
      <w:r w:rsidR="00C64050">
        <w:rPr>
          <w:szCs w:val="20"/>
        </w:rPr>
        <w:t xml:space="preserve"> </w:t>
      </w:r>
      <w:r w:rsidRPr="002126A7">
        <w:rPr>
          <w:szCs w:val="20"/>
        </w:rPr>
        <w:t>*</w:t>
      </w:r>
      <w:r w:rsidR="00C64050">
        <w:rPr>
          <w:szCs w:val="20"/>
        </w:rPr>
        <w:t xml:space="preserve"> </w:t>
      </w:r>
    </w:p>
    <w:p w:rsidR="002126A7" w:rsidRPr="002126A7" w:rsidRDefault="002126A7" w:rsidP="002126A7">
      <w:pPr>
        <w:pStyle w:val="Body15"/>
        <w:spacing w:before="240"/>
        <w:rPr>
          <w:b/>
          <w:szCs w:val="20"/>
        </w:rPr>
      </w:pPr>
      <w:r w:rsidRPr="002126A7">
        <w:rPr>
          <w:b/>
          <w:szCs w:val="20"/>
        </w:rPr>
        <w:t>PART</w:t>
      </w:r>
      <w:r w:rsidR="00C64050">
        <w:rPr>
          <w:b/>
          <w:szCs w:val="20"/>
        </w:rPr>
        <w:t xml:space="preserve"> </w:t>
      </w:r>
      <w:r w:rsidRPr="002126A7">
        <w:rPr>
          <w:b/>
          <w:szCs w:val="20"/>
        </w:rPr>
        <w:t>3.</w:t>
      </w:r>
      <w:r w:rsidR="00C64050">
        <w:rPr>
          <w:b/>
          <w:szCs w:val="20"/>
        </w:rPr>
        <w:t xml:space="preserve"> </w:t>
      </w:r>
      <w:r w:rsidRPr="002126A7">
        <w:rPr>
          <w:b/>
          <w:szCs w:val="20"/>
        </w:rPr>
        <w:t>BURDEN</w:t>
      </w:r>
      <w:r w:rsidR="00C64050">
        <w:rPr>
          <w:b/>
          <w:szCs w:val="20"/>
        </w:rPr>
        <w:t xml:space="preserve"> </w:t>
      </w:r>
      <w:r w:rsidRPr="002126A7">
        <w:rPr>
          <w:b/>
          <w:szCs w:val="20"/>
        </w:rPr>
        <w:t>REDUCTION</w:t>
      </w:r>
    </w:p>
    <w:p w:rsidR="002126A7" w:rsidRPr="002126A7" w:rsidRDefault="006938CA" w:rsidP="002126A7">
      <w:pPr>
        <w:pStyle w:val="Body15"/>
        <w:spacing w:before="240"/>
        <w:rPr>
          <w:szCs w:val="20"/>
        </w:rPr>
      </w:pPr>
      <w:r>
        <w:rPr>
          <w:szCs w:val="20"/>
        </w:rPr>
        <w:t>4</w:t>
      </w:r>
      <w:r w:rsidR="002126A7" w:rsidRPr="002126A7">
        <w:rPr>
          <w:szCs w:val="20"/>
        </w:rPr>
        <w:t>.</w:t>
      </w:r>
      <w:r w:rsidR="00C64050">
        <w:rPr>
          <w:szCs w:val="20"/>
        </w:rPr>
        <w:t xml:space="preserve"> </w:t>
      </w:r>
      <w:r w:rsidR="002126A7" w:rsidRPr="002126A7">
        <w:rPr>
          <w:szCs w:val="20"/>
        </w:rPr>
        <w:tab/>
        <w:t>Regulations</w:t>
      </w:r>
      <w:r w:rsidR="00C64050">
        <w:rPr>
          <w:szCs w:val="20"/>
        </w:rPr>
        <w:t xml:space="preserve"> </w:t>
      </w:r>
      <w:r w:rsidR="002126A7" w:rsidRPr="002126A7">
        <w:rPr>
          <w:szCs w:val="20"/>
        </w:rPr>
        <w:t>under</w:t>
      </w:r>
      <w:r w:rsidR="00C64050">
        <w:rPr>
          <w:szCs w:val="20"/>
        </w:rPr>
        <w:t xml:space="preserve"> </w:t>
      </w:r>
      <w:r w:rsidR="002126A7" w:rsidRPr="002126A7">
        <w:rPr>
          <w:szCs w:val="20"/>
        </w:rPr>
        <w:t>§§</w:t>
      </w:r>
      <w:r w:rsidR="00C64050">
        <w:rPr>
          <w:szCs w:val="20"/>
        </w:rPr>
        <w:t xml:space="preserve"> </w:t>
      </w:r>
      <w:r w:rsidR="002126A7" w:rsidRPr="002126A7">
        <w:rPr>
          <w:szCs w:val="20"/>
        </w:rPr>
        <w:t>1014(f)</w:t>
      </w:r>
      <w:r w:rsidR="00C64050">
        <w:rPr>
          <w:szCs w:val="20"/>
        </w:rPr>
        <w:t xml:space="preserve"> </w:t>
      </w:r>
      <w:r w:rsidR="002126A7" w:rsidRPr="002126A7">
        <w:rPr>
          <w:szCs w:val="20"/>
        </w:rPr>
        <w:t>and</w:t>
      </w:r>
      <w:r w:rsidR="00C64050">
        <w:rPr>
          <w:szCs w:val="20"/>
        </w:rPr>
        <w:t xml:space="preserve"> </w:t>
      </w:r>
      <w:r w:rsidR="002126A7" w:rsidRPr="002126A7">
        <w:rPr>
          <w:szCs w:val="20"/>
        </w:rPr>
        <w:t>6035</w:t>
      </w:r>
      <w:r w:rsidR="00C64050">
        <w:rPr>
          <w:szCs w:val="20"/>
        </w:rPr>
        <w:t xml:space="preserve"> </w:t>
      </w:r>
      <w:r w:rsidR="002126A7" w:rsidRPr="002126A7">
        <w:rPr>
          <w:szCs w:val="20"/>
        </w:rPr>
        <w:t>regarding</w:t>
      </w:r>
      <w:r w:rsidR="00C64050">
        <w:rPr>
          <w:szCs w:val="20"/>
        </w:rPr>
        <w:t xml:space="preserve"> </w:t>
      </w:r>
      <w:r w:rsidR="002126A7" w:rsidRPr="002126A7">
        <w:rPr>
          <w:szCs w:val="20"/>
        </w:rPr>
        <w:t>basis</w:t>
      </w:r>
      <w:r w:rsidR="00C64050">
        <w:rPr>
          <w:szCs w:val="20"/>
        </w:rPr>
        <w:t xml:space="preserve"> </w:t>
      </w:r>
      <w:r w:rsidR="002126A7" w:rsidRPr="002126A7">
        <w:rPr>
          <w:szCs w:val="20"/>
        </w:rPr>
        <w:t>consistency</w:t>
      </w:r>
      <w:r w:rsidR="00C64050">
        <w:rPr>
          <w:szCs w:val="20"/>
        </w:rPr>
        <w:t xml:space="preserve"> </w:t>
      </w:r>
      <w:r w:rsidR="002126A7" w:rsidRPr="002126A7">
        <w:rPr>
          <w:szCs w:val="20"/>
        </w:rPr>
        <w:t>between</w:t>
      </w:r>
      <w:r w:rsidR="00C64050">
        <w:rPr>
          <w:szCs w:val="20"/>
        </w:rPr>
        <w:t xml:space="preserve"> </w:t>
      </w:r>
      <w:r w:rsidR="002126A7" w:rsidRPr="002126A7">
        <w:rPr>
          <w:szCs w:val="20"/>
        </w:rPr>
        <w:t>estate</w:t>
      </w:r>
      <w:r w:rsidR="00C64050">
        <w:rPr>
          <w:szCs w:val="20"/>
        </w:rPr>
        <w:t xml:space="preserve"> </w:t>
      </w:r>
      <w:r w:rsidR="002126A7" w:rsidRPr="002126A7">
        <w:rPr>
          <w:szCs w:val="20"/>
        </w:rPr>
        <w:t>and</w:t>
      </w:r>
      <w:r w:rsidR="00C64050">
        <w:rPr>
          <w:szCs w:val="20"/>
        </w:rPr>
        <w:t xml:space="preserve"> </w:t>
      </w:r>
      <w:r w:rsidR="002126A7" w:rsidRPr="002126A7">
        <w:rPr>
          <w:szCs w:val="20"/>
        </w:rPr>
        <w:t>person</w:t>
      </w:r>
      <w:r w:rsidR="00C64050">
        <w:rPr>
          <w:szCs w:val="20"/>
        </w:rPr>
        <w:t xml:space="preserve"> </w:t>
      </w:r>
      <w:r w:rsidR="002126A7" w:rsidRPr="002126A7">
        <w:rPr>
          <w:szCs w:val="20"/>
        </w:rPr>
        <w:t>acquiring</w:t>
      </w:r>
      <w:r w:rsidR="00C64050">
        <w:rPr>
          <w:szCs w:val="20"/>
        </w:rPr>
        <w:t xml:space="preserve"> </w:t>
      </w:r>
      <w:r w:rsidR="002126A7" w:rsidRPr="002126A7">
        <w:rPr>
          <w:szCs w:val="20"/>
        </w:rPr>
        <w:t>property</w:t>
      </w:r>
      <w:r w:rsidR="00C64050">
        <w:rPr>
          <w:szCs w:val="20"/>
        </w:rPr>
        <w:t xml:space="preserve"> </w:t>
      </w:r>
      <w:r w:rsidR="002126A7" w:rsidRPr="002126A7">
        <w:rPr>
          <w:szCs w:val="20"/>
        </w:rPr>
        <w:t>from</w:t>
      </w:r>
      <w:r w:rsidR="00C64050">
        <w:rPr>
          <w:szCs w:val="20"/>
        </w:rPr>
        <w:t xml:space="preserve"> </w:t>
      </w:r>
      <w:r w:rsidR="002126A7" w:rsidRPr="002126A7">
        <w:rPr>
          <w:szCs w:val="20"/>
        </w:rPr>
        <w:t>decedent.</w:t>
      </w:r>
      <w:r w:rsidR="00C64050">
        <w:rPr>
          <w:szCs w:val="20"/>
        </w:rPr>
        <w:t xml:space="preserve"> </w:t>
      </w:r>
      <w:r w:rsidR="002126A7" w:rsidRPr="002126A7">
        <w:rPr>
          <w:szCs w:val="20"/>
        </w:rPr>
        <w:t>Proposed</w:t>
      </w:r>
      <w:r w:rsidR="00C64050">
        <w:rPr>
          <w:szCs w:val="20"/>
        </w:rPr>
        <w:t xml:space="preserve"> </w:t>
      </w:r>
      <w:r w:rsidR="002126A7" w:rsidRPr="002126A7">
        <w:rPr>
          <w:szCs w:val="20"/>
        </w:rPr>
        <w:t>and</w:t>
      </w:r>
      <w:r w:rsidR="00C64050">
        <w:rPr>
          <w:szCs w:val="20"/>
        </w:rPr>
        <w:t xml:space="preserve"> </w:t>
      </w:r>
      <w:r w:rsidR="002126A7" w:rsidRPr="002126A7">
        <w:rPr>
          <w:szCs w:val="20"/>
        </w:rPr>
        <w:t>temporary</w:t>
      </w:r>
      <w:r w:rsidR="00C64050">
        <w:rPr>
          <w:szCs w:val="20"/>
        </w:rPr>
        <w:t xml:space="preserve"> </w:t>
      </w:r>
      <w:r w:rsidR="002126A7" w:rsidRPr="002126A7">
        <w:rPr>
          <w:szCs w:val="20"/>
        </w:rPr>
        <w:t>regulations</w:t>
      </w:r>
      <w:r w:rsidR="00C64050">
        <w:rPr>
          <w:szCs w:val="20"/>
        </w:rPr>
        <w:t xml:space="preserve"> </w:t>
      </w:r>
      <w:r w:rsidR="002126A7" w:rsidRPr="002126A7">
        <w:rPr>
          <w:szCs w:val="20"/>
        </w:rPr>
        <w:t>were</w:t>
      </w:r>
      <w:r w:rsidR="00C64050">
        <w:rPr>
          <w:szCs w:val="20"/>
        </w:rPr>
        <w:t xml:space="preserve"> </w:t>
      </w:r>
      <w:r w:rsidR="002126A7" w:rsidRPr="002126A7">
        <w:rPr>
          <w:szCs w:val="20"/>
        </w:rPr>
        <w:t>published</w:t>
      </w:r>
      <w:r w:rsidR="00C64050">
        <w:rPr>
          <w:szCs w:val="20"/>
        </w:rPr>
        <w:t xml:space="preserve"> </w:t>
      </w:r>
      <w:r w:rsidR="002126A7" w:rsidRPr="002126A7">
        <w:rPr>
          <w:szCs w:val="20"/>
        </w:rPr>
        <w:t>on</w:t>
      </w:r>
      <w:r w:rsidR="00C64050">
        <w:rPr>
          <w:szCs w:val="20"/>
        </w:rPr>
        <w:t xml:space="preserve"> </w:t>
      </w:r>
      <w:r w:rsidR="002126A7" w:rsidRPr="002126A7">
        <w:rPr>
          <w:szCs w:val="20"/>
        </w:rPr>
        <w:t>March</w:t>
      </w:r>
      <w:r w:rsidR="00C64050">
        <w:rPr>
          <w:szCs w:val="20"/>
        </w:rPr>
        <w:t xml:space="preserve"> </w:t>
      </w:r>
      <w:r w:rsidR="002126A7" w:rsidRPr="002126A7">
        <w:rPr>
          <w:szCs w:val="20"/>
        </w:rPr>
        <w:t>4,</w:t>
      </w:r>
      <w:r w:rsidR="00C64050">
        <w:rPr>
          <w:szCs w:val="20"/>
        </w:rPr>
        <w:t xml:space="preserve"> </w:t>
      </w:r>
      <w:r w:rsidR="002126A7" w:rsidRPr="002126A7">
        <w:rPr>
          <w:szCs w:val="20"/>
        </w:rPr>
        <w:t>2016.</w:t>
      </w:r>
    </w:p>
    <w:p w:rsidR="002126A7" w:rsidRPr="002126A7" w:rsidRDefault="002126A7" w:rsidP="002126A7">
      <w:pPr>
        <w:pStyle w:val="Body15"/>
        <w:spacing w:before="240"/>
        <w:rPr>
          <w:szCs w:val="20"/>
        </w:rPr>
      </w:pPr>
      <w:r w:rsidRPr="002126A7">
        <w:rPr>
          <w:szCs w:val="20"/>
        </w:rPr>
        <w:t>*</w:t>
      </w:r>
      <w:r w:rsidR="00C64050">
        <w:rPr>
          <w:szCs w:val="20"/>
        </w:rPr>
        <w:t xml:space="preserve"> </w:t>
      </w:r>
      <w:r w:rsidRPr="002126A7">
        <w:rPr>
          <w:szCs w:val="20"/>
        </w:rPr>
        <w:t>*</w:t>
      </w:r>
      <w:r w:rsidR="00C64050">
        <w:rPr>
          <w:szCs w:val="20"/>
        </w:rPr>
        <w:t xml:space="preserve"> </w:t>
      </w:r>
      <w:r w:rsidRPr="002126A7">
        <w:rPr>
          <w:szCs w:val="20"/>
        </w:rPr>
        <w:t>*</w:t>
      </w:r>
      <w:r w:rsidR="00C64050">
        <w:rPr>
          <w:szCs w:val="20"/>
        </w:rPr>
        <w:t xml:space="preserve"> </w:t>
      </w:r>
      <w:r w:rsidRPr="002126A7">
        <w:rPr>
          <w:szCs w:val="20"/>
        </w:rPr>
        <w:t>*</w:t>
      </w:r>
    </w:p>
    <w:p w:rsidR="002126A7" w:rsidRPr="002126A7" w:rsidRDefault="00F23205" w:rsidP="002126A7">
      <w:pPr>
        <w:pStyle w:val="Body15"/>
        <w:spacing w:before="240"/>
        <w:rPr>
          <w:szCs w:val="20"/>
        </w:rPr>
      </w:pPr>
      <w:r>
        <w:rPr>
          <w:szCs w:val="20"/>
        </w:rPr>
        <w:t>1</w:t>
      </w:r>
      <w:r w:rsidR="006938CA">
        <w:rPr>
          <w:szCs w:val="20"/>
        </w:rPr>
        <w:t>8</w:t>
      </w:r>
      <w:r w:rsidR="002126A7" w:rsidRPr="002126A7">
        <w:rPr>
          <w:szCs w:val="20"/>
        </w:rPr>
        <w:t>.</w:t>
      </w:r>
      <w:r w:rsidR="00C64050">
        <w:rPr>
          <w:szCs w:val="20"/>
        </w:rPr>
        <w:t xml:space="preserve"> </w:t>
      </w:r>
      <w:r w:rsidR="002126A7" w:rsidRPr="002126A7">
        <w:rPr>
          <w:szCs w:val="20"/>
        </w:rPr>
        <w:tab/>
        <w:t>Final</w:t>
      </w:r>
      <w:r w:rsidR="00C64050">
        <w:rPr>
          <w:szCs w:val="20"/>
        </w:rPr>
        <w:t xml:space="preserve"> </w:t>
      </w:r>
      <w:r w:rsidR="002126A7" w:rsidRPr="002126A7">
        <w:rPr>
          <w:szCs w:val="20"/>
        </w:rPr>
        <w:t>regulations</w:t>
      </w:r>
      <w:r w:rsidR="00C64050">
        <w:rPr>
          <w:szCs w:val="20"/>
        </w:rPr>
        <w:t xml:space="preserve"> </w:t>
      </w:r>
      <w:r w:rsidR="002126A7" w:rsidRPr="002126A7">
        <w:rPr>
          <w:szCs w:val="20"/>
        </w:rPr>
        <w:t>under</w:t>
      </w:r>
      <w:r w:rsidR="00C64050">
        <w:rPr>
          <w:szCs w:val="20"/>
        </w:rPr>
        <w:t xml:space="preserve"> </w:t>
      </w:r>
      <w:r w:rsidR="002126A7" w:rsidRPr="002126A7">
        <w:rPr>
          <w:szCs w:val="20"/>
        </w:rPr>
        <w:t>§</w:t>
      </w:r>
      <w:r w:rsidR="00C64050">
        <w:rPr>
          <w:szCs w:val="20"/>
        </w:rPr>
        <w:t xml:space="preserve"> </w:t>
      </w:r>
      <w:r w:rsidR="002126A7" w:rsidRPr="002126A7">
        <w:rPr>
          <w:szCs w:val="20"/>
        </w:rPr>
        <w:t>2642(g)</w:t>
      </w:r>
      <w:r w:rsidR="00C64050">
        <w:rPr>
          <w:szCs w:val="20"/>
        </w:rPr>
        <w:t xml:space="preserve"> </w:t>
      </w:r>
      <w:r w:rsidR="002126A7" w:rsidRPr="002126A7">
        <w:rPr>
          <w:szCs w:val="20"/>
        </w:rPr>
        <w:t>describing</w:t>
      </w:r>
      <w:r w:rsidR="00C64050">
        <w:rPr>
          <w:szCs w:val="20"/>
        </w:rPr>
        <w:t xml:space="preserve"> </w:t>
      </w:r>
      <w:r w:rsidR="002126A7" w:rsidRPr="002126A7">
        <w:rPr>
          <w:szCs w:val="20"/>
        </w:rPr>
        <w:t>the</w:t>
      </w:r>
      <w:r w:rsidR="00C64050">
        <w:rPr>
          <w:szCs w:val="20"/>
        </w:rPr>
        <w:t xml:space="preserve"> </w:t>
      </w:r>
      <w:r w:rsidR="002126A7" w:rsidRPr="002126A7">
        <w:rPr>
          <w:szCs w:val="20"/>
        </w:rPr>
        <w:t>circumstances</w:t>
      </w:r>
      <w:r w:rsidR="00C64050">
        <w:rPr>
          <w:szCs w:val="20"/>
        </w:rPr>
        <w:t xml:space="preserve"> </w:t>
      </w:r>
      <w:r w:rsidR="002126A7" w:rsidRPr="002126A7">
        <w:rPr>
          <w:szCs w:val="20"/>
        </w:rPr>
        <w:t>and</w:t>
      </w:r>
      <w:r w:rsidR="00C64050">
        <w:rPr>
          <w:szCs w:val="20"/>
        </w:rPr>
        <w:t xml:space="preserve"> </w:t>
      </w:r>
      <w:r w:rsidR="002126A7" w:rsidRPr="002126A7">
        <w:rPr>
          <w:szCs w:val="20"/>
        </w:rPr>
        <w:t>procedures</w:t>
      </w:r>
      <w:r w:rsidR="00C64050">
        <w:rPr>
          <w:szCs w:val="20"/>
        </w:rPr>
        <w:t xml:space="preserve"> </w:t>
      </w:r>
      <w:r w:rsidR="002126A7" w:rsidRPr="002126A7">
        <w:rPr>
          <w:szCs w:val="20"/>
        </w:rPr>
        <w:t>under</w:t>
      </w:r>
      <w:r w:rsidR="00C64050">
        <w:rPr>
          <w:szCs w:val="20"/>
        </w:rPr>
        <w:t xml:space="preserve"> </w:t>
      </w:r>
      <w:r w:rsidR="002126A7" w:rsidRPr="002126A7">
        <w:rPr>
          <w:szCs w:val="20"/>
        </w:rPr>
        <w:t>which</w:t>
      </w:r>
      <w:r w:rsidR="00C64050">
        <w:rPr>
          <w:szCs w:val="20"/>
        </w:rPr>
        <w:t xml:space="preserve"> </w:t>
      </w:r>
      <w:r w:rsidR="002126A7" w:rsidRPr="002126A7">
        <w:rPr>
          <w:szCs w:val="20"/>
        </w:rPr>
        <w:t>an</w:t>
      </w:r>
      <w:r w:rsidR="00C64050">
        <w:rPr>
          <w:szCs w:val="20"/>
        </w:rPr>
        <w:t xml:space="preserve"> </w:t>
      </w:r>
      <w:r w:rsidR="002126A7" w:rsidRPr="002126A7">
        <w:rPr>
          <w:szCs w:val="20"/>
        </w:rPr>
        <w:t>extension</w:t>
      </w:r>
      <w:r w:rsidR="00C64050">
        <w:rPr>
          <w:szCs w:val="20"/>
        </w:rPr>
        <w:t xml:space="preserve"> </w:t>
      </w:r>
      <w:r w:rsidR="002126A7" w:rsidRPr="002126A7">
        <w:rPr>
          <w:szCs w:val="20"/>
        </w:rPr>
        <w:t>of</w:t>
      </w:r>
      <w:r w:rsidR="00C64050">
        <w:rPr>
          <w:szCs w:val="20"/>
        </w:rPr>
        <w:t xml:space="preserve"> </w:t>
      </w:r>
      <w:r w:rsidR="002126A7" w:rsidRPr="002126A7">
        <w:rPr>
          <w:szCs w:val="20"/>
        </w:rPr>
        <w:t>time</w:t>
      </w:r>
      <w:r w:rsidR="00C64050">
        <w:rPr>
          <w:szCs w:val="20"/>
        </w:rPr>
        <w:t xml:space="preserve"> </w:t>
      </w:r>
      <w:r w:rsidR="002126A7" w:rsidRPr="002126A7">
        <w:rPr>
          <w:szCs w:val="20"/>
        </w:rPr>
        <w:t>will</w:t>
      </w:r>
      <w:r w:rsidR="00C64050">
        <w:rPr>
          <w:szCs w:val="20"/>
        </w:rPr>
        <w:t xml:space="preserve"> </w:t>
      </w:r>
      <w:r w:rsidR="002126A7" w:rsidRPr="002126A7">
        <w:rPr>
          <w:szCs w:val="20"/>
        </w:rPr>
        <w:t>be</w:t>
      </w:r>
      <w:r w:rsidR="00C64050">
        <w:rPr>
          <w:szCs w:val="20"/>
        </w:rPr>
        <w:t xml:space="preserve"> </w:t>
      </w:r>
      <w:r w:rsidR="002126A7" w:rsidRPr="002126A7">
        <w:rPr>
          <w:szCs w:val="20"/>
        </w:rPr>
        <w:t>granted</w:t>
      </w:r>
      <w:r w:rsidR="00C64050">
        <w:rPr>
          <w:szCs w:val="20"/>
        </w:rPr>
        <w:t xml:space="preserve"> </w:t>
      </w:r>
      <w:r w:rsidR="002126A7" w:rsidRPr="002126A7">
        <w:rPr>
          <w:szCs w:val="20"/>
        </w:rPr>
        <w:t>to</w:t>
      </w:r>
      <w:r w:rsidR="00C64050">
        <w:rPr>
          <w:szCs w:val="20"/>
        </w:rPr>
        <w:t xml:space="preserve"> </w:t>
      </w:r>
      <w:r w:rsidR="002126A7" w:rsidRPr="002126A7">
        <w:rPr>
          <w:szCs w:val="20"/>
        </w:rPr>
        <w:t>allocate</w:t>
      </w:r>
      <w:r w:rsidR="00C64050">
        <w:rPr>
          <w:szCs w:val="20"/>
        </w:rPr>
        <w:t xml:space="preserve"> </w:t>
      </w:r>
      <w:r w:rsidR="002126A7" w:rsidRPr="002126A7">
        <w:rPr>
          <w:szCs w:val="20"/>
        </w:rPr>
        <w:t>GST</w:t>
      </w:r>
      <w:r w:rsidR="00C64050">
        <w:rPr>
          <w:szCs w:val="20"/>
        </w:rPr>
        <w:t xml:space="preserve"> </w:t>
      </w:r>
      <w:r w:rsidR="002126A7" w:rsidRPr="002126A7">
        <w:rPr>
          <w:szCs w:val="20"/>
        </w:rPr>
        <w:t>exemption.</w:t>
      </w:r>
    </w:p>
    <w:p w:rsidR="002126A7" w:rsidRPr="002126A7" w:rsidRDefault="002126A7" w:rsidP="002126A7">
      <w:pPr>
        <w:pStyle w:val="Body15"/>
        <w:spacing w:before="240"/>
        <w:rPr>
          <w:b/>
          <w:szCs w:val="20"/>
        </w:rPr>
      </w:pPr>
      <w:r w:rsidRPr="002126A7">
        <w:rPr>
          <w:b/>
          <w:szCs w:val="20"/>
        </w:rPr>
        <w:t>PART</w:t>
      </w:r>
      <w:r w:rsidR="00C64050">
        <w:rPr>
          <w:b/>
          <w:szCs w:val="20"/>
        </w:rPr>
        <w:t xml:space="preserve"> </w:t>
      </w:r>
      <w:r w:rsidR="00F23205">
        <w:rPr>
          <w:b/>
          <w:szCs w:val="20"/>
        </w:rPr>
        <w:t>6</w:t>
      </w:r>
      <w:r w:rsidRPr="002126A7">
        <w:rPr>
          <w:b/>
          <w:szCs w:val="20"/>
        </w:rPr>
        <w:t>.</w:t>
      </w:r>
      <w:r w:rsidR="00C64050">
        <w:rPr>
          <w:b/>
          <w:szCs w:val="20"/>
        </w:rPr>
        <w:t xml:space="preserve"> </w:t>
      </w:r>
      <w:r w:rsidRPr="002126A7">
        <w:rPr>
          <w:b/>
          <w:szCs w:val="20"/>
        </w:rPr>
        <w:t>GENERAL</w:t>
      </w:r>
      <w:r w:rsidR="00C64050">
        <w:rPr>
          <w:b/>
          <w:szCs w:val="20"/>
        </w:rPr>
        <w:t xml:space="preserve"> </w:t>
      </w:r>
      <w:r w:rsidRPr="002126A7">
        <w:rPr>
          <w:b/>
          <w:szCs w:val="20"/>
        </w:rPr>
        <w:t>GUIDANCE</w:t>
      </w:r>
    </w:p>
    <w:p w:rsidR="002126A7" w:rsidRPr="002126A7" w:rsidRDefault="002126A7" w:rsidP="002126A7">
      <w:pPr>
        <w:pStyle w:val="Body15"/>
        <w:spacing w:before="240"/>
        <w:rPr>
          <w:szCs w:val="20"/>
        </w:rPr>
      </w:pPr>
      <w:r w:rsidRPr="002126A7">
        <w:rPr>
          <w:szCs w:val="20"/>
        </w:rPr>
        <w:t>*</w:t>
      </w:r>
      <w:r w:rsidR="00C64050">
        <w:rPr>
          <w:szCs w:val="20"/>
        </w:rPr>
        <w:t xml:space="preserve"> </w:t>
      </w:r>
      <w:r w:rsidRPr="002126A7">
        <w:rPr>
          <w:szCs w:val="20"/>
        </w:rPr>
        <w:t>*</w:t>
      </w:r>
      <w:r w:rsidR="00C64050">
        <w:rPr>
          <w:szCs w:val="20"/>
        </w:rPr>
        <w:t xml:space="preserve"> </w:t>
      </w:r>
      <w:r w:rsidRPr="002126A7">
        <w:rPr>
          <w:szCs w:val="20"/>
        </w:rPr>
        <w:t>*</w:t>
      </w:r>
      <w:r w:rsidR="00C64050">
        <w:rPr>
          <w:szCs w:val="20"/>
        </w:rPr>
        <w:t xml:space="preserve"> </w:t>
      </w:r>
    </w:p>
    <w:p w:rsidR="002126A7" w:rsidRPr="002126A7" w:rsidRDefault="002126A7" w:rsidP="002126A7">
      <w:pPr>
        <w:pStyle w:val="Body15"/>
        <w:spacing w:before="240"/>
        <w:rPr>
          <w:b/>
          <w:szCs w:val="20"/>
        </w:rPr>
      </w:pPr>
      <w:r w:rsidRPr="002126A7">
        <w:rPr>
          <w:b/>
          <w:szCs w:val="20"/>
        </w:rPr>
        <w:t>EMPLOYEE</w:t>
      </w:r>
      <w:r w:rsidR="00C64050">
        <w:rPr>
          <w:b/>
          <w:szCs w:val="20"/>
        </w:rPr>
        <w:t xml:space="preserve"> </w:t>
      </w:r>
      <w:r w:rsidRPr="002126A7">
        <w:rPr>
          <w:b/>
          <w:szCs w:val="20"/>
        </w:rPr>
        <w:t>BENEFITS</w:t>
      </w:r>
    </w:p>
    <w:p w:rsidR="002126A7" w:rsidRPr="002126A7" w:rsidRDefault="0099322B" w:rsidP="00F23205">
      <w:pPr>
        <w:pStyle w:val="Body15"/>
        <w:spacing w:before="240"/>
        <w:rPr>
          <w:b/>
          <w:bCs/>
          <w:szCs w:val="20"/>
        </w:rPr>
      </w:pPr>
      <w:r>
        <w:rPr>
          <w:b/>
          <w:bCs/>
          <w:szCs w:val="20"/>
        </w:rPr>
        <w:t>A.</w:t>
      </w:r>
      <w:r>
        <w:rPr>
          <w:b/>
          <w:bCs/>
          <w:szCs w:val="20"/>
        </w:rPr>
        <w:tab/>
      </w:r>
      <w:r w:rsidR="002126A7" w:rsidRPr="00F23205">
        <w:rPr>
          <w:b/>
          <w:szCs w:val="20"/>
        </w:rPr>
        <w:t>Retirement</w:t>
      </w:r>
      <w:r w:rsidR="00C64050">
        <w:rPr>
          <w:b/>
          <w:bCs/>
          <w:szCs w:val="20"/>
        </w:rPr>
        <w:t xml:space="preserve"> </w:t>
      </w:r>
      <w:r w:rsidR="002126A7" w:rsidRPr="002126A7">
        <w:rPr>
          <w:b/>
          <w:bCs/>
          <w:szCs w:val="20"/>
        </w:rPr>
        <w:t>Benefits</w:t>
      </w:r>
    </w:p>
    <w:p w:rsidR="006C7350" w:rsidRPr="006C7350" w:rsidRDefault="006938CA" w:rsidP="006C7350">
      <w:pPr>
        <w:pStyle w:val="Body15"/>
        <w:spacing w:before="240"/>
        <w:rPr>
          <w:bCs/>
          <w:szCs w:val="20"/>
        </w:rPr>
      </w:pPr>
      <w:r>
        <w:rPr>
          <w:bCs/>
          <w:szCs w:val="20"/>
        </w:rPr>
        <w:t>3.</w:t>
      </w:r>
      <w:r w:rsidR="006C7350">
        <w:rPr>
          <w:bCs/>
          <w:szCs w:val="20"/>
        </w:rPr>
        <w:tab/>
      </w:r>
      <w:r w:rsidR="006C7350" w:rsidRPr="006C7350">
        <w:rPr>
          <w:bCs/>
          <w:szCs w:val="20"/>
        </w:rPr>
        <w:t>Guidance implementing changes made by the Setting Every Community Up for</w:t>
      </w:r>
      <w:r w:rsidR="006C7350">
        <w:rPr>
          <w:bCs/>
          <w:szCs w:val="20"/>
        </w:rPr>
        <w:t xml:space="preserve"> </w:t>
      </w:r>
      <w:r w:rsidR="006C7350" w:rsidRPr="006C7350">
        <w:rPr>
          <w:bCs/>
          <w:szCs w:val="20"/>
        </w:rPr>
        <w:t>Retirement Enhancement Act of 2019 (SECURE Act), Division O of the Further</w:t>
      </w:r>
      <w:r w:rsidR="006C7350">
        <w:rPr>
          <w:bCs/>
          <w:szCs w:val="20"/>
        </w:rPr>
        <w:t xml:space="preserve"> </w:t>
      </w:r>
      <w:r w:rsidR="006C7350" w:rsidRPr="006C7350">
        <w:rPr>
          <w:bCs/>
          <w:szCs w:val="20"/>
        </w:rPr>
        <w:t>Consolidated Appropriations Act, 2020, Pub. L. No. 116-94 (133 Stat. 2534) and</w:t>
      </w:r>
      <w:r w:rsidR="006C7350">
        <w:rPr>
          <w:bCs/>
          <w:szCs w:val="20"/>
        </w:rPr>
        <w:t xml:space="preserve"> </w:t>
      </w:r>
      <w:r w:rsidR="006C7350" w:rsidRPr="006C7350">
        <w:rPr>
          <w:bCs/>
          <w:szCs w:val="20"/>
        </w:rPr>
        <w:t>section 104 of Division M of the Further Consolidated Appropriations Act, 2020,</w:t>
      </w:r>
      <w:r w:rsidR="006C7350">
        <w:rPr>
          <w:bCs/>
          <w:szCs w:val="20"/>
        </w:rPr>
        <w:t xml:space="preserve"> </w:t>
      </w:r>
      <w:r w:rsidR="006C7350" w:rsidRPr="006C7350">
        <w:rPr>
          <w:bCs/>
          <w:szCs w:val="20"/>
        </w:rPr>
        <w:t>known as the Bipartisan American Miners Act of 2019 (Miners Act).</w:t>
      </w:r>
    </w:p>
    <w:p w:rsidR="006C7350" w:rsidRPr="006C7350" w:rsidRDefault="006C7350" w:rsidP="006C7350">
      <w:pPr>
        <w:pStyle w:val="Body15"/>
        <w:spacing w:after="0" w:line="240" w:lineRule="auto"/>
        <w:ind w:left="720"/>
        <w:rPr>
          <w:bCs/>
          <w:szCs w:val="20"/>
        </w:rPr>
      </w:pPr>
      <w:r>
        <w:rPr>
          <w:bCs/>
          <w:szCs w:val="20"/>
        </w:rPr>
        <w:t>•</w:t>
      </w:r>
      <w:r>
        <w:rPr>
          <w:bCs/>
          <w:szCs w:val="20"/>
        </w:rPr>
        <w:tab/>
      </w:r>
      <w:r w:rsidRPr="006C7350">
        <w:rPr>
          <w:bCs/>
          <w:szCs w:val="20"/>
        </w:rPr>
        <w:t>PUBLISHED 08/24/20 in IRB 2020-35 as NOT. 2020-62 (RELEASED</w:t>
      </w:r>
      <w:r>
        <w:rPr>
          <w:bCs/>
          <w:szCs w:val="20"/>
        </w:rPr>
        <w:t xml:space="preserve"> </w:t>
      </w:r>
      <w:r w:rsidRPr="006C7350">
        <w:rPr>
          <w:bCs/>
          <w:szCs w:val="20"/>
        </w:rPr>
        <w:t>08/06/20).</w:t>
      </w:r>
    </w:p>
    <w:p w:rsidR="006C7350" w:rsidRPr="006C7350" w:rsidRDefault="006C7350" w:rsidP="006C7350">
      <w:pPr>
        <w:pStyle w:val="Body15"/>
        <w:spacing w:after="0" w:line="240" w:lineRule="auto"/>
        <w:ind w:left="720"/>
        <w:rPr>
          <w:bCs/>
          <w:szCs w:val="20"/>
        </w:rPr>
      </w:pPr>
      <w:r w:rsidRPr="006C7350">
        <w:rPr>
          <w:bCs/>
          <w:szCs w:val="20"/>
        </w:rPr>
        <w:t>•</w:t>
      </w:r>
      <w:r>
        <w:rPr>
          <w:bCs/>
          <w:szCs w:val="20"/>
        </w:rPr>
        <w:tab/>
      </w:r>
      <w:r w:rsidRPr="006C7350">
        <w:rPr>
          <w:bCs/>
          <w:szCs w:val="20"/>
        </w:rPr>
        <w:t>PUBLISHED 08/31/20 in IRB 2020-36 as NOT. 2020-60 (RELEASED</w:t>
      </w:r>
      <w:r>
        <w:rPr>
          <w:bCs/>
          <w:szCs w:val="20"/>
        </w:rPr>
        <w:t xml:space="preserve"> </w:t>
      </w:r>
      <w:r w:rsidRPr="006C7350">
        <w:rPr>
          <w:bCs/>
          <w:szCs w:val="20"/>
        </w:rPr>
        <w:t>08/13/20).</w:t>
      </w:r>
    </w:p>
    <w:p w:rsidR="006C7350" w:rsidRPr="006C7350" w:rsidRDefault="006C7350" w:rsidP="006C7350">
      <w:pPr>
        <w:pStyle w:val="Body15"/>
        <w:spacing w:after="0" w:line="240" w:lineRule="auto"/>
        <w:ind w:left="720"/>
        <w:rPr>
          <w:bCs/>
          <w:szCs w:val="20"/>
        </w:rPr>
      </w:pPr>
      <w:r w:rsidRPr="006C7350">
        <w:rPr>
          <w:bCs/>
          <w:szCs w:val="20"/>
        </w:rPr>
        <w:t>•</w:t>
      </w:r>
      <w:r>
        <w:rPr>
          <w:bCs/>
          <w:szCs w:val="20"/>
        </w:rPr>
        <w:tab/>
      </w:r>
      <w:r w:rsidRPr="006C7350">
        <w:rPr>
          <w:bCs/>
          <w:szCs w:val="20"/>
        </w:rPr>
        <w:t>PUBLISHED 09/14/20 in IRB 2020-38 as REV. PROC. 2020-40</w:t>
      </w:r>
      <w:r>
        <w:rPr>
          <w:bCs/>
          <w:szCs w:val="20"/>
        </w:rPr>
        <w:t xml:space="preserve"> </w:t>
      </w:r>
      <w:r w:rsidRPr="006C7350">
        <w:rPr>
          <w:bCs/>
          <w:szCs w:val="20"/>
        </w:rPr>
        <w:t>(RELEASED 09/02/20).</w:t>
      </w:r>
    </w:p>
    <w:p w:rsidR="006938CA" w:rsidRDefault="006C7350" w:rsidP="006C7350">
      <w:pPr>
        <w:pStyle w:val="Body15"/>
        <w:spacing w:after="0" w:line="240" w:lineRule="auto"/>
        <w:ind w:left="720"/>
        <w:rPr>
          <w:bCs/>
          <w:szCs w:val="20"/>
        </w:rPr>
      </w:pPr>
      <w:r w:rsidRPr="006C7350">
        <w:rPr>
          <w:bCs/>
          <w:szCs w:val="20"/>
        </w:rPr>
        <w:t>•</w:t>
      </w:r>
      <w:r>
        <w:rPr>
          <w:bCs/>
          <w:szCs w:val="20"/>
        </w:rPr>
        <w:tab/>
      </w:r>
      <w:r w:rsidRPr="006C7350">
        <w:rPr>
          <w:bCs/>
          <w:szCs w:val="20"/>
        </w:rPr>
        <w:t>PUBLISHED 09/14/20 in IRB 2020-38 as NOT. 2020-68 (RELEASED</w:t>
      </w:r>
      <w:r>
        <w:rPr>
          <w:bCs/>
          <w:szCs w:val="20"/>
        </w:rPr>
        <w:t xml:space="preserve"> </w:t>
      </w:r>
      <w:r w:rsidRPr="006C7350">
        <w:rPr>
          <w:bCs/>
          <w:szCs w:val="20"/>
        </w:rPr>
        <w:t>09/02/20).</w:t>
      </w:r>
    </w:p>
    <w:p w:rsidR="006C7350" w:rsidRPr="002126A7" w:rsidRDefault="006C7350" w:rsidP="006C7350">
      <w:pPr>
        <w:pStyle w:val="Body15"/>
        <w:spacing w:before="240"/>
        <w:rPr>
          <w:szCs w:val="20"/>
        </w:rPr>
      </w:pPr>
      <w:r w:rsidRPr="002126A7">
        <w:rPr>
          <w:szCs w:val="20"/>
        </w:rPr>
        <w:t>*</w:t>
      </w:r>
      <w:r>
        <w:rPr>
          <w:szCs w:val="20"/>
        </w:rPr>
        <w:t xml:space="preserve"> </w:t>
      </w:r>
      <w:r w:rsidRPr="002126A7">
        <w:rPr>
          <w:szCs w:val="20"/>
        </w:rPr>
        <w:t>*</w:t>
      </w:r>
      <w:r>
        <w:rPr>
          <w:szCs w:val="20"/>
        </w:rPr>
        <w:t xml:space="preserve"> </w:t>
      </w:r>
      <w:r w:rsidRPr="002126A7">
        <w:rPr>
          <w:szCs w:val="20"/>
        </w:rPr>
        <w:t>*</w:t>
      </w:r>
      <w:r>
        <w:rPr>
          <w:szCs w:val="20"/>
        </w:rPr>
        <w:t xml:space="preserve"> </w:t>
      </w:r>
    </w:p>
    <w:p w:rsidR="002126A7" w:rsidRDefault="006938CA" w:rsidP="002126A7">
      <w:pPr>
        <w:pStyle w:val="Body15"/>
        <w:spacing w:before="240"/>
        <w:rPr>
          <w:szCs w:val="20"/>
        </w:rPr>
      </w:pPr>
      <w:r>
        <w:rPr>
          <w:bCs/>
          <w:szCs w:val="20"/>
        </w:rPr>
        <w:t>6</w:t>
      </w:r>
      <w:r w:rsidR="002126A7" w:rsidRPr="002126A7">
        <w:rPr>
          <w:bCs/>
          <w:szCs w:val="20"/>
        </w:rPr>
        <w:t>.</w:t>
      </w:r>
      <w:r w:rsidR="00C64050">
        <w:rPr>
          <w:bCs/>
          <w:szCs w:val="20"/>
        </w:rPr>
        <w:t xml:space="preserve"> </w:t>
      </w:r>
      <w:r w:rsidR="002126A7" w:rsidRPr="002126A7">
        <w:rPr>
          <w:bCs/>
          <w:szCs w:val="20"/>
        </w:rPr>
        <w:tab/>
        <w:t>Regulations</w:t>
      </w:r>
      <w:r w:rsidR="00C64050">
        <w:rPr>
          <w:bCs/>
          <w:szCs w:val="20"/>
        </w:rPr>
        <w:t xml:space="preserve"> </w:t>
      </w:r>
      <w:r w:rsidR="002126A7" w:rsidRPr="002126A7">
        <w:rPr>
          <w:bCs/>
          <w:szCs w:val="20"/>
        </w:rPr>
        <w:t>under</w:t>
      </w:r>
      <w:r w:rsidR="00C64050">
        <w:rPr>
          <w:bCs/>
          <w:szCs w:val="20"/>
        </w:rPr>
        <w:t xml:space="preserve"> </w:t>
      </w:r>
      <w:r w:rsidR="002126A7" w:rsidRPr="002126A7">
        <w:rPr>
          <w:szCs w:val="20"/>
        </w:rPr>
        <w:t>§</w:t>
      </w:r>
      <w:r w:rsidR="00C64050">
        <w:rPr>
          <w:szCs w:val="20"/>
        </w:rPr>
        <w:t xml:space="preserve"> </w:t>
      </w:r>
      <w:r w:rsidR="002126A7" w:rsidRPr="002126A7">
        <w:rPr>
          <w:szCs w:val="20"/>
        </w:rPr>
        <w:t>401(a)(9)</w:t>
      </w:r>
      <w:r w:rsidR="00C64050">
        <w:rPr>
          <w:szCs w:val="20"/>
        </w:rPr>
        <w:t xml:space="preserve"> </w:t>
      </w:r>
      <w:r w:rsidR="002126A7" w:rsidRPr="002126A7">
        <w:rPr>
          <w:szCs w:val="20"/>
        </w:rPr>
        <w:t>updating</w:t>
      </w:r>
      <w:r w:rsidR="00C64050">
        <w:rPr>
          <w:szCs w:val="20"/>
        </w:rPr>
        <w:t xml:space="preserve"> </w:t>
      </w:r>
      <w:r w:rsidR="002126A7" w:rsidRPr="002126A7">
        <w:rPr>
          <w:szCs w:val="20"/>
        </w:rPr>
        <w:t>life</w:t>
      </w:r>
      <w:r w:rsidR="00C64050">
        <w:rPr>
          <w:szCs w:val="20"/>
        </w:rPr>
        <w:t xml:space="preserve"> </w:t>
      </w:r>
      <w:r w:rsidR="002126A7" w:rsidRPr="002126A7">
        <w:rPr>
          <w:szCs w:val="20"/>
        </w:rPr>
        <w:t>expectancy</w:t>
      </w:r>
      <w:r w:rsidR="00C64050">
        <w:rPr>
          <w:szCs w:val="20"/>
        </w:rPr>
        <w:t xml:space="preserve"> </w:t>
      </w:r>
      <w:r w:rsidR="002126A7" w:rsidRPr="002126A7">
        <w:rPr>
          <w:szCs w:val="20"/>
        </w:rPr>
        <w:t>and</w:t>
      </w:r>
      <w:r w:rsidR="00C64050">
        <w:rPr>
          <w:szCs w:val="20"/>
        </w:rPr>
        <w:t xml:space="preserve"> </w:t>
      </w:r>
      <w:r w:rsidR="002126A7" w:rsidRPr="002126A7">
        <w:rPr>
          <w:szCs w:val="20"/>
        </w:rPr>
        <w:t>distribution</w:t>
      </w:r>
      <w:r w:rsidR="00C64050">
        <w:rPr>
          <w:szCs w:val="20"/>
        </w:rPr>
        <w:t xml:space="preserve"> </w:t>
      </w:r>
      <w:r w:rsidR="002126A7" w:rsidRPr="002126A7">
        <w:rPr>
          <w:szCs w:val="20"/>
        </w:rPr>
        <w:t>tables</w:t>
      </w:r>
      <w:r w:rsidR="00C64050">
        <w:rPr>
          <w:szCs w:val="20"/>
        </w:rPr>
        <w:t xml:space="preserve"> </w:t>
      </w:r>
      <w:r w:rsidR="002126A7" w:rsidRPr="002126A7">
        <w:rPr>
          <w:szCs w:val="20"/>
        </w:rPr>
        <w:t>for</w:t>
      </w:r>
      <w:r w:rsidR="00C64050">
        <w:rPr>
          <w:szCs w:val="20"/>
        </w:rPr>
        <w:t xml:space="preserve"> </w:t>
      </w:r>
      <w:r w:rsidR="002126A7" w:rsidRPr="002126A7">
        <w:rPr>
          <w:szCs w:val="20"/>
        </w:rPr>
        <w:t>purposes</w:t>
      </w:r>
      <w:r w:rsidR="00C64050">
        <w:rPr>
          <w:szCs w:val="20"/>
        </w:rPr>
        <w:t xml:space="preserve"> </w:t>
      </w:r>
      <w:r w:rsidR="002126A7" w:rsidRPr="002126A7">
        <w:rPr>
          <w:szCs w:val="20"/>
        </w:rPr>
        <w:t>of</w:t>
      </w:r>
      <w:r w:rsidR="00C64050">
        <w:rPr>
          <w:szCs w:val="20"/>
        </w:rPr>
        <w:t xml:space="preserve"> </w:t>
      </w:r>
      <w:r w:rsidR="002126A7" w:rsidRPr="002126A7">
        <w:rPr>
          <w:szCs w:val="20"/>
        </w:rPr>
        <w:t>the</w:t>
      </w:r>
      <w:r w:rsidR="00C64050">
        <w:rPr>
          <w:szCs w:val="20"/>
        </w:rPr>
        <w:t xml:space="preserve"> </w:t>
      </w:r>
      <w:r w:rsidR="002126A7" w:rsidRPr="002126A7">
        <w:rPr>
          <w:szCs w:val="20"/>
        </w:rPr>
        <w:t>requ</w:t>
      </w:r>
      <w:r w:rsidR="00F23205">
        <w:rPr>
          <w:szCs w:val="20"/>
        </w:rPr>
        <w:t>ired</w:t>
      </w:r>
      <w:r w:rsidR="00C64050">
        <w:rPr>
          <w:szCs w:val="20"/>
        </w:rPr>
        <w:t xml:space="preserve"> </w:t>
      </w:r>
      <w:r w:rsidR="00F23205">
        <w:rPr>
          <w:szCs w:val="20"/>
        </w:rPr>
        <w:t>minimum</w:t>
      </w:r>
      <w:r w:rsidR="00C64050">
        <w:rPr>
          <w:szCs w:val="20"/>
        </w:rPr>
        <w:t xml:space="preserve"> </w:t>
      </w:r>
      <w:r w:rsidR="00F23205">
        <w:rPr>
          <w:szCs w:val="20"/>
        </w:rPr>
        <w:t>distribution</w:t>
      </w:r>
      <w:r w:rsidR="00C64050">
        <w:rPr>
          <w:szCs w:val="20"/>
        </w:rPr>
        <w:t xml:space="preserve"> </w:t>
      </w:r>
      <w:r w:rsidR="00F23205">
        <w:rPr>
          <w:szCs w:val="20"/>
        </w:rPr>
        <w:t>rules</w:t>
      </w:r>
      <w:r w:rsidR="00C64050">
        <w:rPr>
          <w:szCs w:val="20"/>
        </w:rPr>
        <w:t xml:space="preserve"> </w:t>
      </w:r>
      <w:r w:rsidR="00F23205">
        <w:rPr>
          <w:szCs w:val="20"/>
        </w:rPr>
        <w:t>and</w:t>
      </w:r>
      <w:r w:rsidR="00C64050">
        <w:rPr>
          <w:szCs w:val="20"/>
        </w:rPr>
        <w:t xml:space="preserve"> </w:t>
      </w:r>
      <w:r w:rsidR="00F23205">
        <w:rPr>
          <w:szCs w:val="20"/>
        </w:rPr>
        <w:t>addressing</w:t>
      </w:r>
      <w:r w:rsidR="00C64050">
        <w:rPr>
          <w:szCs w:val="20"/>
        </w:rPr>
        <w:t xml:space="preserve"> </w:t>
      </w:r>
      <w:r w:rsidR="00F23205">
        <w:rPr>
          <w:szCs w:val="20"/>
        </w:rPr>
        <w:t>certain</w:t>
      </w:r>
      <w:r w:rsidR="00C64050">
        <w:rPr>
          <w:szCs w:val="20"/>
        </w:rPr>
        <w:t xml:space="preserve"> </w:t>
      </w:r>
      <w:r w:rsidR="00F23205">
        <w:rPr>
          <w:szCs w:val="20"/>
        </w:rPr>
        <w:t>other</w:t>
      </w:r>
      <w:r w:rsidR="00C64050">
        <w:rPr>
          <w:szCs w:val="20"/>
        </w:rPr>
        <w:t xml:space="preserve"> </w:t>
      </w:r>
      <w:r w:rsidR="00F23205">
        <w:rPr>
          <w:szCs w:val="20"/>
        </w:rPr>
        <w:t>issues</w:t>
      </w:r>
      <w:r w:rsidR="00C64050">
        <w:rPr>
          <w:szCs w:val="20"/>
        </w:rPr>
        <w:t xml:space="preserve"> </w:t>
      </w:r>
      <w:r w:rsidR="00F23205">
        <w:rPr>
          <w:szCs w:val="20"/>
        </w:rPr>
        <w:t>under</w:t>
      </w:r>
      <w:r w:rsidR="00C64050">
        <w:rPr>
          <w:szCs w:val="20"/>
        </w:rPr>
        <w:t xml:space="preserve"> </w:t>
      </w:r>
      <w:r w:rsidR="00F23205">
        <w:rPr>
          <w:szCs w:val="20"/>
        </w:rPr>
        <w:t>section</w:t>
      </w:r>
      <w:r w:rsidR="00C64050">
        <w:rPr>
          <w:szCs w:val="20"/>
        </w:rPr>
        <w:t xml:space="preserve"> </w:t>
      </w:r>
      <w:r w:rsidR="00F23205">
        <w:rPr>
          <w:szCs w:val="20"/>
        </w:rPr>
        <w:t>401(a)(9).</w:t>
      </w:r>
      <w:r w:rsidR="00C64050">
        <w:rPr>
          <w:szCs w:val="20"/>
        </w:rPr>
        <w:t xml:space="preserve">  </w:t>
      </w:r>
      <w:r w:rsidR="006C7350">
        <w:rPr>
          <w:szCs w:val="20"/>
        </w:rPr>
        <w:t>N</w:t>
      </w:r>
      <w:r w:rsidR="00F23205">
        <w:rPr>
          <w:szCs w:val="20"/>
        </w:rPr>
        <w:t>ote:</w:t>
      </w:r>
      <w:r w:rsidR="00C64050">
        <w:rPr>
          <w:szCs w:val="20"/>
        </w:rPr>
        <w:t xml:space="preserve"> </w:t>
      </w:r>
      <w:r w:rsidR="00F23205">
        <w:rPr>
          <w:szCs w:val="20"/>
        </w:rPr>
        <w:t>Proposed</w:t>
      </w:r>
      <w:r w:rsidR="00C64050">
        <w:rPr>
          <w:szCs w:val="20"/>
        </w:rPr>
        <w:t xml:space="preserve"> </w:t>
      </w:r>
      <w:r w:rsidR="00F23205">
        <w:rPr>
          <w:szCs w:val="20"/>
        </w:rPr>
        <w:t>Regulations</w:t>
      </w:r>
      <w:r w:rsidR="00C64050">
        <w:rPr>
          <w:szCs w:val="20"/>
        </w:rPr>
        <w:t xml:space="preserve"> </w:t>
      </w:r>
      <w:r w:rsidR="00F23205">
        <w:rPr>
          <w:szCs w:val="20"/>
        </w:rPr>
        <w:t>Issued</w:t>
      </w:r>
      <w:r w:rsidR="00C64050">
        <w:rPr>
          <w:szCs w:val="20"/>
        </w:rPr>
        <w:t xml:space="preserve"> </w:t>
      </w:r>
      <w:r w:rsidR="00F23205">
        <w:rPr>
          <w:szCs w:val="20"/>
        </w:rPr>
        <w:t>November</w:t>
      </w:r>
      <w:r w:rsidR="00C64050">
        <w:rPr>
          <w:szCs w:val="20"/>
        </w:rPr>
        <w:t xml:space="preserve"> </w:t>
      </w:r>
      <w:r w:rsidR="00F23205">
        <w:rPr>
          <w:szCs w:val="20"/>
        </w:rPr>
        <w:t>8,</w:t>
      </w:r>
      <w:r w:rsidR="00C64050">
        <w:rPr>
          <w:szCs w:val="20"/>
        </w:rPr>
        <w:t xml:space="preserve"> </w:t>
      </w:r>
      <w:r w:rsidR="00F23205">
        <w:rPr>
          <w:szCs w:val="20"/>
        </w:rPr>
        <w:t>2019.</w:t>
      </w:r>
      <w:r w:rsidR="00C64050">
        <w:rPr>
          <w:szCs w:val="20"/>
        </w:rPr>
        <w:t xml:space="preserve"> </w:t>
      </w:r>
    </w:p>
    <w:p w:rsidR="006C7350" w:rsidRDefault="006C7350" w:rsidP="002126A7">
      <w:pPr>
        <w:pStyle w:val="Body15"/>
        <w:spacing w:before="240"/>
        <w:rPr>
          <w:szCs w:val="20"/>
        </w:rPr>
      </w:pPr>
      <w:r>
        <w:rPr>
          <w:szCs w:val="20"/>
        </w:rPr>
        <w:t>7.</w:t>
      </w:r>
      <w:r>
        <w:rPr>
          <w:szCs w:val="20"/>
        </w:rPr>
        <w:tab/>
        <w:t>Regulations relating to SECURE Act modifications to certain rules governing §401(k) plans.</w:t>
      </w:r>
    </w:p>
    <w:p w:rsidR="00847B15" w:rsidRPr="002126A7" w:rsidRDefault="00847B15" w:rsidP="00847B15">
      <w:pPr>
        <w:pStyle w:val="Body15"/>
        <w:spacing w:before="240"/>
        <w:rPr>
          <w:szCs w:val="20"/>
        </w:rPr>
      </w:pPr>
      <w:r w:rsidRPr="002126A7">
        <w:rPr>
          <w:szCs w:val="20"/>
        </w:rPr>
        <w:t>*</w:t>
      </w:r>
      <w:r>
        <w:rPr>
          <w:szCs w:val="20"/>
        </w:rPr>
        <w:t xml:space="preserve"> </w:t>
      </w:r>
      <w:r w:rsidRPr="002126A7">
        <w:rPr>
          <w:szCs w:val="20"/>
        </w:rPr>
        <w:t>*</w:t>
      </w:r>
      <w:r>
        <w:rPr>
          <w:szCs w:val="20"/>
        </w:rPr>
        <w:t xml:space="preserve"> </w:t>
      </w:r>
      <w:r w:rsidRPr="002126A7">
        <w:rPr>
          <w:szCs w:val="20"/>
        </w:rPr>
        <w:t>*</w:t>
      </w:r>
      <w:r>
        <w:rPr>
          <w:szCs w:val="20"/>
        </w:rPr>
        <w:t xml:space="preserve"> </w:t>
      </w:r>
    </w:p>
    <w:p w:rsidR="002126A7" w:rsidRPr="002126A7" w:rsidRDefault="002126A7" w:rsidP="002126A7">
      <w:pPr>
        <w:pStyle w:val="Body15"/>
        <w:spacing w:before="240"/>
        <w:rPr>
          <w:b/>
          <w:szCs w:val="20"/>
        </w:rPr>
      </w:pPr>
      <w:r w:rsidRPr="002126A7">
        <w:rPr>
          <w:b/>
          <w:szCs w:val="20"/>
        </w:rPr>
        <w:t>EXEMPT</w:t>
      </w:r>
      <w:r w:rsidR="00C64050">
        <w:rPr>
          <w:b/>
          <w:szCs w:val="20"/>
        </w:rPr>
        <w:t xml:space="preserve"> </w:t>
      </w:r>
      <w:r w:rsidRPr="002126A7">
        <w:rPr>
          <w:b/>
          <w:szCs w:val="20"/>
        </w:rPr>
        <w:t>ORGANIZATIONS</w:t>
      </w:r>
    </w:p>
    <w:p w:rsidR="00847B15" w:rsidRDefault="00847B15" w:rsidP="002126A7">
      <w:pPr>
        <w:pStyle w:val="Body15"/>
        <w:spacing w:before="240"/>
        <w:rPr>
          <w:szCs w:val="20"/>
        </w:rPr>
      </w:pPr>
      <w:r>
        <w:rPr>
          <w:szCs w:val="20"/>
        </w:rPr>
        <w:t>2.</w:t>
      </w:r>
      <w:r>
        <w:rPr>
          <w:szCs w:val="20"/>
        </w:rPr>
        <w:tab/>
        <w:t>Guidance on circumstances under which an LLC can qualify for recognition under §501(c)(3).</w:t>
      </w:r>
    </w:p>
    <w:p w:rsidR="00847B15" w:rsidRPr="002126A7" w:rsidRDefault="00847B15" w:rsidP="00847B15">
      <w:pPr>
        <w:pStyle w:val="Body15"/>
        <w:spacing w:before="240"/>
        <w:rPr>
          <w:szCs w:val="20"/>
        </w:rPr>
      </w:pPr>
      <w:r w:rsidRPr="002126A7">
        <w:rPr>
          <w:szCs w:val="20"/>
        </w:rPr>
        <w:t>*</w:t>
      </w:r>
      <w:r>
        <w:rPr>
          <w:szCs w:val="20"/>
        </w:rPr>
        <w:t xml:space="preserve"> </w:t>
      </w:r>
      <w:r w:rsidRPr="002126A7">
        <w:rPr>
          <w:szCs w:val="20"/>
        </w:rPr>
        <w:t>*</w:t>
      </w:r>
      <w:r>
        <w:rPr>
          <w:szCs w:val="20"/>
        </w:rPr>
        <w:t xml:space="preserve"> </w:t>
      </w:r>
      <w:r w:rsidRPr="002126A7">
        <w:rPr>
          <w:szCs w:val="20"/>
        </w:rPr>
        <w:t>*</w:t>
      </w:r>
      <w:r>
        <w:rPr>
          <w:szCs w:val="20"/>
        </w:rPr>
        <w:t xml:space="preserve"> </w:t>
      </w:r>
    </w:p>
    <w:p w:rsidR="00847B15" w:rsidRDefault="00847B15" w:rsidP="002126A7">
      <w:pPr>
        <w:pStyle w:val="Body15"/>
        <w:spacing w:before="240"/>
        <w:rPr>
          <w:szCs w:val="20"/>
        </w:rPr>
      </w:pPr>
      <w:r>
        <w:rPr>
          <w:szCs w:val="20"/>
        </w:rPr>
        <w:t>4.</w:t>
      </w:r>
      <w:r>
        <w:rPr>
          <w:szCs w:val="20"/>
        </w:rPr>
        <w:tab/>
        <w:t>Final regulations on §509(a)(3) supporting organizations.  Proposed regulations were published on February 19, 2016.</w:t>
      </w:r>
    </w:p>
    <w:p w:rsidR="002126A7" w:rsidRPr="002126A7" w:rsidRDefault="002126A7" w:rsidP="002126A7">
      <w:pPr>
        <w:pStyle w:val="Body15"/>
        <w:spacing w:before="240"/>
        <w:rPr>
          <w:szCs w:val="20"/>
        </w:rPr>
      </w:pPr>
      <w:r w:rsidRPr="002126A7">
        <w:rPr>
          <w:szCs w:val="20"/>
        </w:rPr>
        <w:t>5.</w:t>
      </w:r>
      <w:r w:rsidR="00C64050">
        <w:rPr>
          <w:szCs w:val="20"/>
        </w:rPr>
        <w:t xml:space="preserve"> </w:t>
      </w:r>
      <w:r w:rsidRPr="002126A7">
        <w:rPr>
          <w:szCs w:val="20"/>
        </w:rPr>
        <w:tab/>
        <w:t>Guidance</w:t>
      </w:r>
      <w:r w:rsidR="00C64050">
        <w:rPr>
          <w:szCs w:val="20"/>
        </w:rPr>
        <w:t xml:space="preserve"> </w:t>
      </w:r>
      <w:r w:rsidRPr="002126A7">
        <w:rPr>
          <w:szCs w:val="20"/>
        </w:rPr>
        <w:t>under</w:t>
      </w:r>
      <w:r w:rsidR="00C64050">
        <w:rPr>
          <w:szCs w:val="20"/>
        </w:rPr>
        <w:t xml:space="preserve"> </w:t>
      </w:r>
      <w:r w:rsidRPr="002126A7">
        <w:rPr>
          <w:szCs w:val="20"/>
        </w:rPr>
        <w:t>§4941</w:t>
      </w:r>
      <w:r w:rsidR="00C64050">
        <w:rPr>
          <w:szCs w:val="20"/>
        </w:rPr>
        <w:t xml:space="preserve"> </w:t>
      </w:r>
      <w:r w:rsidRPr="002126A7">
        <w:rPr>
          <w:szCs w:val="20"/>
        </w:rPr>
        <w:t>regarding</w:t>
      </w:r>
      <w:r w:rsidR="00C64050">
        <w:rPr>
          <w:szCs w:val="20"/>
        </w:rPr>
        <w:t xml:space="preserve"> </w:t>
      </w:r>
      <w:r w:rsidRPr="002126A7">
        <w:rPr>
          <w:szCs w:val="20"/>
        </w:rPr>
        <w:t>a</w:t>
      </w:r>
      <w:r w:rsidR="00C64050">
        <w:rPr>
          <w:szCs w:val="20"/>
        </w:rPr>
        <w:t xml:space="preserve"> </w:t>
      </w:r>
      <w:r w:rsidRPr="002126A7">
        <w:rPr>
          <w:szCs w:val="20"/>
        </w:rPr>
        <w:t>private</w:t>
      </w:r>
      <w:r w:rsidR="00C64050">
        <w:rPr>
          <w:szCs w:val="20"/>
        </w:rPr>
        <w:t xml:space="preserve"> </w:t>
      </w:r>
      <w:r w:rsidRPr="002126A7">
        <w:rPr>
          <w:szCs w:val="20"/>
        </w:rPr>
        <w:t>foundation's</w:t>
      </w:r>
      <w:r w:rsidR="00C64050">
        <w:rPr>
          <w:szCs w:val="20"/>
        </w:rPr>
        <w:t xml:space="preserve"> </w:t>
      </w:r>
      <w:r w:rsidRPr="002126A7">
        <w:rPr>
          <w:szCs w:val="20"/>
        </w:rPr>
        <w:t>investment</w:t>
      </w:r>
      <w:r w:rsidR="00C64050">
        <w:rPr>
          <w:szCs w:val="20"/>
        </w:rPr>
        <w:t xml:space="preserve"> </w:t>
      </w:r>
      <w:r w:rsidRPr="002126A7">
        <w:rPr>
          <w:szCs w:val="20"/>
        </w:rPr>
        <w:t>in</w:t>
      </w:r>
      <w:r w:rsidR="00C64050">
        <w:rPr>
          <w:szCs w:val="20"/>
        </w:rPr>
        <w:t xml:space="preserve"> </w:t>
      </w:r>
      <w:r w:rsidRPr="002126A7">
        <w:rPr>
          <w:szCs w:val="20"/>
        </w:rPr>
        <w:t>a</w:t>
      </w:r>
      <w:r w:rsidR="00C64050">
        <w:rPr>
          <w:szCs w:val="20"/>
        </w:rPr>
        <w:t xml:space="preserve"> </w:t>
      </w:r>
      <w:r w:rsidRPr="002126A7">
        <w:rPr>
          <w:szCs w:val="20"/>
        </w:rPr>
        <w:t>partnership</w:t>
      </w:r>
      <w:r w:rsidR="00C64050">
        <w:rPr>
          <w:szCs w:val="20"/>
        </w:rPr>
        <w:t xml:space="preserve"> </w:t>
      </w:r>
      <w:r w:rsidRPr="002126A7">
        <w:rPr>
          <w:szCs w:val="20"/>
        </w:rPr>
        <w:t>in</w:t>
      </w:r>
      <w:r w:rsidR="00C64050">
        <w:rPr>
          <w:szCs w:val="20"/>
        </w:rPr>
        <w:t xml:space="preserve"> </w:t>
      </w:r>
      <w:r w:rsidRPr="002126A7">
        <w:rPr>
          <w:szCs w:val="20"/>
        </w:rPr>
        <w:t>which</w:t>
      </w:r>
      <w:r w:rsidR="00C64050">
        <w:rPr>
          <w:szCs w:val="20"/>
        </w:rPr>
        <w:t xml:space="preserve"> </w:t>
      </w:r>
      <w:r w:rsidRPr="002126A7">
        <w:rPr>
          <w:szCs w:val="20"/>
        </w:rPr>
        <w:t>disqualified</w:t>
      </w:r>
      <w:r w:rsidR="00C64050">
        <w:rPr>
          <w:szCs w:val="20"/>
        </w:rPr>
        <w:t xml:space="preserve"> </w:t>
      </w:r>
      <w:r w:rsidRPr="002126A7">
        <w:rPr>
          <w:szCs w:val="20"/>
        </w:rPr>
        <w:t>persons</w:t>
      </w:r>
      <w:r w:rsidR="00C64050">
        <w:rPr>
          <w:szCs w:val="20"/>
        </w:rPr>
        <w:t xml:space="preserve"> </w:t>
      </w:r>
      <w:r w:rsidRPr="002126A7">
        <w:rPr>
          <w:szCs w:val="20"/>
        </w:rPr>
        <w:t>are</w:t>
      </w:r>
      <w:r w:rsidR="00C64050">
        <w:rPr>
          <w:szCs w:val="20"/>
        </w:rPr>
        <w:t xml:space="preserve"> </w:t>
      </w:r>
      <w:r w:rsidRPr="002126A7">
        <w:rPr>
          <w:szCs w:val="20"/>
        </w:rPr>
        <w:t>also</w:t>
      </w:r>
      <w:r w:rsidR="00C64050">
        <w:rPr>
          <w:szCs w:val="20"/>
        </w:rPr>
        <w:t xml:space="preserve"> </w:t>
      </w:r>
      <w:r w:rsidRPr="002126A7">
        <w:rPr>
          <w:szCs w:val="20"/>
        </w:rPr>
        <w:t>partners.</w:t>
      </w:r>
    </w:p>
    <w:p w:rsidR="002126A7" w:rsidRPr="002126A7" w:rsidRDefault="002126A7" w:rsidP="002126A7">
      <w:pPr>
        <w:pStyle w:val="Body15"/>
        <w:spacing w:before="240"/>
        <w:rPr>
          <w:szCs w:val="20"/>
        </w:rPr>
      </w:pPr>
      <w:r w:rsidRPr="002126A7">
        <w:rPr>
          <w:szCs w:val="20"/>
        </w:rPr>
        <w:t>6.</w:t>
      </w:r>
      <w:r w:rsidR="00C64050">
        <w:rPr>
          <w:szCs w:val="20"/>
        </w:rPr>
        <w:t xml:space="preserve"> </w:t>
      </w:r>
      <w:r w:rsidRPr="002126A7">
        <w:rPr>
          <w:szCs w:val="20"/>
        </w:rPr>
        <w:tab/>
      </w:r>
      <w:r w:rsidR="00F23205">
        <w:rPr>
          <w:szCs w:val="20"/>
        </w:rPr>
        <w:t>Regulations</w:t>
      </w:r>
      <w:r w:rsidR="00C64050">
        <w:rPr>
          <w:szCs w:val="20"/>
        </w:rPr>
        <w:t xml:space="preserve"> </w:t>
      </w:r>
      <w:r w:rsidRPr="002126A7">
        <w:rPr>
          <w:szCs w:val="20"/>
        </w:rPr>
        <w:t>regarding</w:t>
      </w:r>
      <w:r w:rsidR="00C64050">
        <w:rPr>
          <w:szCs w:val="20"/>
        </w:rPr>
        <w:t xml:space="preserve"> </w:t>
      </w:r>
      <w:r w:rsidRPr="002126A7">
        <w:rPr>
          <w:szCs w:val="20"/>
        </w:rPr>
        <w:t>the</w:t>
      </w:r>
      <w:r w:rsidR="00C64050">
        <w:rPr>
          <w:szCs w:val="20"/>
        </w:rPr>
        <w:t xml:space="preserve"> </w:t>
      </w:r>
      <w:r w:rsidRPr="002126A7">
        <w:rPr>
          <w:szCs w:val="20"/>
        </w:rPr>
        <w:t>excise</w:t>
      </w:r>
      <w:r w:rsidR="00C64050">
        <w:rPr>
          <w:szCs w:val="20"/>
        </w:rPr>
        <w:t xml:space="preserve"> </w:t>
      </w:r>
      <w:r w:rsidRPr="002126A7">
        <w:rPr>
          <w:szCs w:val="20"/>
        </w:rPr>
        <w:t>taxes</w:t>
      </w:r>
      <w:r w:rsidR="00C64050">
        <w:rPr>
          <w:szCs w:val="20"/>
        </w:rPr>
        <w:t xml:space="preserve"> </w:t>
      </w:r>
      <w:r w:rsidRPr="002126A7">
        <w:rPr>
          <w:szCs w:val="20"/>
        </w:rPr>
        <w:t>on</w:t>
      </w:r>
      <w:r w:rsidR="00C64050">
        <w:rPr>
          <w:szCs w:val="20"/>
        </w:rPr>
        <w:t xml:space="preserve"> </w:t>
      </w:r>
      <w:r w:rsidRPr="002126A7">
        <w:rPr>
          <w:szCs w:val="20"/>
        </w:rPr>
        <w:t>donor</w:t>
      </w:r>
      <w:r w:rsidR="00C64050">
        <w:rPr>
          <w:szCs w:val="20"/>
        </w:rPr>
        <w:t xml:space="preserve"> </w:t>
      </w:r>
      <w:r w:rsidRPr="002126A7">
        <w:rPr>
          <w:szCs w:val="20"/>
        </w:rPr>
        <w:t>advised</w:t>
      </w:r>
      <w:r w:rsidR="00C64050">
        <w:rPr>
          <w:szCs w:val="20"/>
        </w:rPr>
        <w:t xml:space="preserve"> </w:t>
      </w:r>
      <w:r w:rsidRPr="002126A7">
        <w:rPr>
          <w:szCs w:val="20"/>
        </w:rPr>
        <w:t>funds</w:t>
      </w:r>
      <w:r w:rsidR="00C64050">
        <w:rPr>
          <w:szCs w:val="20"/>
        </w:rPr>
        <w:t xml:space="preserve"> </w:t>
      </w:r>
      <w:r w:rsidRPr="002126A7">
        <w:rPr>
          <w:szCs w:val="20"/>
        </w:rPr>
        <w:t>and</w:t>
      </w:r>
      <w:r w:rsidR="00C64050">
        <w:rPr>
          <w:szCs w:val="20"/>
        </w:rPr>
        <w:t xml:space="preserve"> </w:t>
      </w:r>
      <w:r w:rsidRPr="002126A7">
        <w:rPr>
          <w:szCs w:val="20"/>
        </w:rPr>
        <w:t>fund</w:t>
      </w:r>
      <w:r w:rsidR="00C64050">
        <w:rPr>
          <w:szCs w:val="20"/>
        </w:rPr>
        <w:t xml:space="preserve"> </w:t>
      </w:r>
      <w:r w:rsidRPr="002126A7">
        <w:rPr>
          <w:szCs w:val="20"/>
        </w:rPr>
        <w:t>management.</w:t>
      </w:r>
    </w:p>
    <w:p w:rsidR="002126A7" w:rsidRPr="002126A7" w:rsidRDefault="002126A7" w:rsidP="002126A7">
      <w:pPr>
        <w:pStyle w:val="Body15"/>
        <w:spacing w:before="240"/>
        <w:rPr>
          <w:szCs w:val="20"/>
        </w:rPr>
      </w:pPr>
      <w:r w:rsidRPr="002126A7">
        <w:rPr>
          <w:szCs w:val="20"/>
        </w:rPr>
        <w:t>*</w:t>
      </w:r>
      <w:r w:rsidR="00C64050">
        <w:rPr>
          <w:szCs w:val="20"/>
        </w:rPr>
        <w:t xml:space="preserve"> </w:t>
      </w:r>
      <w:r w:rsidRPr="002126A7">
        <w:rPr>
          <w:szCs w:val="20"/>
        </w:rPr>
        <w:t>*</w:t>
      </w:r>
      <w:r w:rsidR="00C64050">
        <w:rPr>
          <w:szCs w:val="20"/>
        </w:rPr>
        <w:t xml:space="preserve"> </w:t>
      </w:r>
      <w:r w:rsidRPr="002126A7">
        <w:rPr>
          <w:szCs w:val="20"/>
        </w:rPr>
        <w:t>*</w:t>
      </w:r>
      <w:r w:rsidR="00C64050">
        <w:rPr>
          <w:szCs w:val="20"/>
        </w:rPr>
        <w:t xml:space="preserve"> </w:t>
      </w:r>
    </w:p>
    <w:p w:rsidR="002126A7" w:rsidRPr="002126A7" w:rsidRDefault="002126A7" w:rsidP="002126A7">
      <w:pPr>
        <w:pStyle w:val="Body15"/>
        <w:spacing w:before="240"/>
        <w:rPr>
          <w:b/>
          <w:szCs w:val="20"/>
        </w:rPr>
      </w:pPr>
      <w:bookmarkStart w:id="772" w:name="_Toc505834584"/>
      <w:r w:rsidRPr="002126A7">
        <w:rPr>
          <w:b/>
          <w:szCs w:val="20"/>
        </w:rPr>
        <w:t>GIFTS</w:t>
      </w:r>
      <w:r w:rsidR="00C64050">
        <w:rPr>
          <w:b/>
          <w:szCs w:val="20"/>
        </w:rPr>
        <w:t xml:space="preserve"> </w:t>
      </w:r>
      <w:r w:rsidRPr="002126A7">
        <w:rPr>
          <w:b/>
          <w:szCs w:val="20"/>
        </w:rPr>
        <w:t>AND</w:t>
      </w:r>
      <w:r w:rsidR="00C64050">
        <w:rPr>
          <w:b/>
          <w:szCs w:val="20"/>
        </w:rPr>
        <w:t xml:space="preserve"> </w:t>
      </w:r>
      <w:r w:rsidRPr="002126A7">
        <w:rPr>
          <w:b/>
          <w:szCs w:val="20"/>
        </w:rPr>
        <w:t>ESTATES</w:t>
      </w:r>
      <w:r w:rsidR="00C64050">
        <w:rPr>
          <w:b/>
          <w:szCs w:val="20"/>
        </w:rPr>
        <w:t xml:space="preserve"> </w:t>
      </w:r>
      <w:r w:rsidRPr="002126A7">
        <w:rPr>
          <w:b/>
          <w:szCs w:val="20"/>
        </w:rPr>
        <w:t>AND</w:t>
      </w:r>
      <w:r w:rsidR="00C64050">
        <w:rPr>
          <w:b/>
          <w:szCs w:val="20"/>
        </w:rPr>
        <w:t xml:space="preserve"> </w:t>
      </w:r>
      <w:r w:rsidRPr="002126A7">
        <w:rPr>
          <w:b/>
          <w:szCs w:val="20"/>
        </w:rPr>
        <w:t>TRUSTS</w:t>
      </w:r>
      <w:bookmarkEnd w:id="772"/>
    </w:p>
    <w:p w:rsidR="002126A7" w:rsidRPr="002126A7" w:rsidRDefault="002126A7" w:rsidP="002126A7">
      <w:pPr>
        <w:pStyle w:val="Body15"/>
        <w:spacing w:before="240"/>
        <w:rPr>
          <w:szCs w:val="20"/>
        </w:rPr>
      </w:pPr>
      <w:r w:rsidRPr="002126A7">
        <w:rPr>
          <w:szCs w:val="20"/>
        </w:rPr>
        <w:t>1.</w:t>
      </w:r>
      <w:r w:rsidR="00C64050">
        <w:rPr>
          <w:szCs w:val="20"/>
        </w:rPr>
        <w:t xml:space="preserve"> </w:t>
      </w:r>
      <w:r w:rsidRPr="002126A7">
        <w:rPr>
          <w:szCs w:val="20"/>
        </w:rPr>
        <w:tab/>
        <w:t>Guidance</w:t>
      </w:r>
      <w:r w:rsidR="00C64050">
        <w:rPr>
          <w:szCs w:val="20"/>
        </w:rPr>
        <w:t xml:space="preserve"> </w:t>
      </w:r>
      <w:r w:rsidRPr="002126A7">
        <w:rPr>
          <w:szCs w:val="20"/>
        </w:rPr>
        <w:t>on</w:t>
      </w:r>
      <w:r w:rsidR="00C64050">
        <w:rPr>
          <w:szCs w:val="20"/>
        </w:rPr>
        <w:t xml:space="preserve"> </w:t>
      </w:r>
      <w:r w:rsidRPr="002126A7">
        <w:rPr>
          <w:szCs w:val="20"/>
        </w:rPr>
        <w:t>basis</w:t>
      </w:r>
      <w:r w:rsidR="00C64050">
        <w:rPr>
          <w:szCs w:val="20"/>
        </w:rPr>
        <w:t xml:space="preserve"> </w:t>
      </w:r>
      <w:r w:rsidRPr="002126A7">
        <w:rPr>
          <w:szCs w:val="20"/>
        </w:rPr>
        <w:t>of</w:t>
      </w:r>
      <w:r w:rsidR="00C64050">
        <w:rPr>
          <w:szCs w:val="20"/>
        </w:rPr>
        <w:t xml:space="preserve"> </w:t>
      </w:r>
      <w:r w:rsidRPr="002126A7">
        <w:rPr>
          <w:szCs w:val="20"/>
        </w:rPr>
        <w:t>grantor</w:t>
      </w:r>
      <w:r w:rsidR="00C64050">
        <w:rPr>
          <w:szCs w:val="20"/>
        </w:rPr>
        <w:t xml:space="preserve"> </w:t>
      </w:r>
      <w:r w:rsidRPr="002126A7">
        <w:rPr>
          <w:szCs w:val="20"/>
        </w:rPr>
        <w:t>trust</w:t>
      </w:r>
      <w:r w:rsidR="00C64050">
        <w:rPr>
          <w:szCs w:val="20"/>
        </w:rPr>
        <w:t xml:space="preserve"> </w:t>
      </w:r>
      <w:r w:rsidRPr="002126A7">
        <w:rPr>
          <w:szCs w:val="20"/>
        </w:rPr>
        <w:t>assets</w:t>
      </w:r>
      <w:r w:rsidR="00C64050">
        <w:rPr>
          <w:szCs w:val="20"/>
        </w:rPr>
        <w:t xml:space="preserve"> </w:t>
      </w:r>
      <w:r w:rsidRPr="002126A7">
        <w:rPr>
          <w:szCs w:val="20"/>
        </w:rPr>
        <w:t>at</w:t>
      </w:r>
      <w:r w:rsidR="00C64050">
        <w:rPr>
          <w:szCs w:val="20"/>
        </w:rPr>
        <w:t xml:space="preserve"> </w:t>
      </w:r>
      <w:r w:rsidRPr="002126A7">
        <w:rPr>
          <w:szCs w:val="20"/>
        </w:rPr>
        <w:t>death</w:t>
      </w:r>
      <w:r w:rsidR="00C64050">
        <w:rPr>
          <w:szCs w:val="20"/>
        </w:rPr>
        <w:t xml:space="preserve"> </w:t>
      </w:r>
      <w:r w:rsidRPr="002126A7">
        <w:rPr>
          <w:szCs w:val="20"/>
        </w:rPr>
        <w:t>under</w:t>
      </w:r>
      <w:r w:rsidR="00C64050">
        <w:rPr>
          <w:szCs w:val="20"/>
        </w:rPr>
        <w:t xml:space="preserve"> </w:t>
      </w:r>
      <w:r w:rsidRPr="002126A7">
        <w:rPr>
          <w:szCs w:val="20"/>
        </w:rPr>
        <w:t>§</w:t>
      </w:r>
      <w:r w:rsidR="00C64050">
        <w:rPr>
          <w:szCs w:val="20"/>
        </w:rPr>
        <w:t xml:space="preserve"> </w:t>
      </w:r>
      <w:r w:rsidRPr="002126A7">
        <w:rPr>
          <w:szCs w:val="20"/>
        </w:rPr>
        <w:t>1014.</w:t>
      </w:r>
    </w:p>
    <w:p w:rsidR="00847B15" w:rsidRDefault="00847B15" w:rsidP="002126A7">
      <w:pPr>
        <w:pStyle w:val="Body15"/>
        <w:spacing w:before="240"/>
        <w:rPr>
          <w:szCs w:val="20"/>
        </w:rPr>
      </w:pPr>
      <w:r>
        <w:rPr>
          <w:szCs w:val="20"/>
        </w:rPr>
        <w:t>2.</w:t>
      </w:r>
      <w:r>
        <w:rPr>
          <w:szCs w:val="20"/>
        </w:rPr>
        <w:tab/>
        <w:t>Guidance on user fee for estate tax closing letters under §2001.</w:t>
      </w:r>
    </w:p>
    <w:p w:rsidR="002126A7" w:rsidRPr="002126A7" w:rsidRDefault="00847B15" w:rsidP="002126A7">
      <w:pPr>
        <w:pStyle w:val="Body15"/>
        <w:spacing w:before="240"/>
        <w:rPr>
          <w:szCs w:val="20"/>
        </w:rPr>
      </w:pPr>
      <w:r>
        <w:rPr>
          <w:szCs w:val="20"/>
        </w:rPr>
        <w:t>3</w:t>
      </w:r>
      <w:r w:rsidR="002126A7" w:rsidRPr="002126A7">
        <w:rPr>
          <w:szCs w:val="20"/>
        </w:rPr>
        <w:t>.</w:t>
      </w:r>
      <w:r w:rsidR="00C64050">
        <w:rPr>
          <w:szCs w:val="20"/>
        </w:rPr>
        <w:t xml:space="preserve"> </w:t>
      </w:r>
      <w:r w:rsidR="002126A7" w:rsidRPr="002126A7">
        <w:rPr>
          <w:szCs w:val="20"/>
        </w:rPr>
        <w:tab/>
        <w:t>Final</w:t>
      </w:r>
      <w:r w:rsidR="00C64050">
        <w:rPr>
          <w:szCs w:val="20"/>
        </w:rPr>
        <w:t xml:space="preserve"> </w:t>
      </w:r>
      <w:r w:rsidR="002126A7" w:rsidRPr="002126A7">
        <w:rPr>
          <w:szCs w:val="20"/>
        </w:rPr>
        <w:t>regulations</w:t>
      </w:r>
      <w:r w:rsidR="00C64050">
        <w:rPr>
          <w:szCs w:val="20"/>
        </w:rPr>
        <w:t xml:space="preserve"> </w:t>
      </w:r>
      <w:r w:rsidR="002126A7" w:rsidRPr="002126A7">
        <w:rPr>
          <w:szCs w:val="20"/>
        </w:rPr>
        <w:t>under</w:t>
      </w:r>
      <w:r w:rsidR="00C64050">
        <w:rPr>
          <w:szCs w:val="20"/>
        </w:rPr>
        <w:t xml:space="preserve"> </w:t>
      </w:r>
      <w:r w:rsidR="002126A7" w:rsidRPr="002126A7">
        <w:rPr>
          <w:szCs w:val="20"/>
        </w:rPr>
        <w:t>§</w:t>
      </w:r>
      <w:r w:rsidR="00C64050">
        <w:rPr>
          <w:szCs w:val="20"/>
        </w:rPr>
        <w:t xml:space="preserve"> </w:t>
      </w:r>
      <w:r w:rsidR="002126A7" w:rsidRPr="002126A7">
        <w:rPr>
          <w:szCs w:val="20"/>
        </w:rPr>
        <w:t>2032(a)</w:t>
      </w:r>
      <w:r w:rsidR="00C64050">
        <w:rPr>
          <w:szCs w:val="20"/>
        </w:rPr>
        <w:t xml:space="preserve"> </w:t>
      </w:r>
      <w:r w:rsidR="002126A7" w:rsidRPr="002126A7">
        <w:rPr>
          <w:szCs w:val="20"/>
        </w:rPr>
        <w:t>regarding</w:t>
      </w:r>
      <w:r w:rsidR="00C64050">
        <w:rPr>
          <w:szCs w:val="20"/>
        </w:rPr>
        <w:t xml:space="preserve"> </w:t>
      </w:r>
      <w:r w:rsidR="002126A7" w:rsidRPr="002126A7">
        <w:rPr>
          <w:szCs w:val="20"/>
        </w:rPr>
        <w:t>imposition</w:t>
      </w:r>
      <w:r w:rsidR="00C64050">
        <w:rPr>
          <w:szCs w:val="20"/>
        </w:rPr>
        <w:t xml:space="preserve"> </w:t>
      </w:r>
      <w:r w:rsidR="002126A7" w:rsidRPr="002126A7">
        <w:rPr>
          <w:szCs w:val="20"/>
        </w:rPr>
        <w:t>of</w:t>
      </w:r>
      <w:r w:rsidR="00C64050">
        <w:rPr>
          <w:szCs w:val="20"/>
        </w:rPr>
        <w:t xml:space="preserve"> </w:t>
      </w:r>
      <w:r w:rsidR="002126A7" w:rsidRPr="002126A7">
        <w:rPr>
          <w:szCs w:val="20"/>
        </w:rPr>
        <w:t>restrictions</w:t>
      </w:r>
      <w:r w:rsidR="00C64050">
        <w:rPr>
          <w:szCs w:val="20"/>
        </w:rPr>
        <w:t xml:space="preserve"> </w:t>
      </w:r>
      <w:r w:rsidR="002126A7" w:rsidRPr="002126A7">
        <w:rPr>
          <w:szCs w:val="20"/>
        </w:rPr>
        <w:t>on</w:t>
      </w:r>
      <w:r w:rsidR="00C64050">
        <w:rPr>
          <w:szCs w:val="20"/>
        </w:rPr>
        <w:t xml:space="preserve"> </w:t>
      </w:r>
      <w:r w:rsidR="002126A7" w:rsidRPr="002126A7">
        <w:rPr>
          <w:szCs w:val="20"/>
        </w:rPr>
        <w:t>estate</w:t>
      </w:r>
      <w:r w:rsidR="00C64050">
        <w:rPr>
          <w:szCs w:val="20"/>
        </w:rPr>
        <w:t xml:space="preserve"> </w:t>
      </w:r>
      <w:r w:rsidR="002126A7" w:rsidRPr="002126A7">
        <w:rPr>
          <w:szCs w:val="20"/>
        </w:rPr>
        <w:t>assets</w:t>
      </w:r>
      <w:r w:rsidR="00C64050">
        <w:rPr>
          <w:szCs w:val="20"/>
        </w:rPr>
        <w:t xml:space="preserve"> </w:t>
      </w:r>
      <w:r w:rsidR="002126A7" w:rsidRPr="002126A7">
        <w:rPr>
          <w:szCs w:val="20"/>
        </w:rPr>
        <w:t>during</w:t>
      </w:r>
      <w:r w:rsidR="00C64050">
        <w:rPr>
          <w:szCs w:val="20"/>
        </w:rPr>
        <w:t xml:space="preserve"> </w:t>
      </w:r>
      <w:r w:rsidR="002126A7" w:rsidRPr="002126A7">
        <w:rPr>
          <w:szCs w:val="20"/>
        </w:rPr>
        <w:t>the</w:t>
      </w:r>
      <w:r w:rsidR="00C64050">
        <w:rPr>
          <w:szCs w:val="20"/>
        </w:rPr>
        <w:t xml:space="preserve"> </w:t>
      </w:r>
      <w:r w:rsidR="002126A7" w:rsidRPr="002126A7">
        <w:rPr>
          <w:szCs w:val="20"/>
        </w:rPr>
        <w:t>six</w:t>
      </w:r>
      <w:r w:rsidR="00C64050">
        <w:rPr>
          <w:szCs w:val="20"/>
        </w:rPr>
        <w:t xml:space="preserve"> </w:t>
      </w:r>
      <w:r w:rsidR="002126A7" w:rsidRPr="002126A7">
        <w:rPr>
          <w:szCs w:val="20"/>
        </w:rPr>
        <w:t>month</w:t>
      </w:r>
      <w:r w:rsidR="00C64050">
        <w:rPr>
          <w:szCs w:val="20"/>
        </w:rPr>
        <w:t xml:space="preserve"> </w:t>
      </w:r>
      <w:r w:rsidR="002126A7" w:rsidRPr="002126A7">
        <w:rPr>
          <w:szCs w:val="20"/>
        </w:rPr>
        <w:t>alternate</w:t>
      </w:r>
      <w:r w:rsidR="00C64050">
        <w:rPr>
          <w:szCs w:val="20"/>
        </w:rPr>
        <w:t xml:space="preserve"> </w:t>
      </w:r>
      <w:r w:rsidR="002126A7" w:rsidRPr="002126A7">
        <w:rPr>
          <w:szCs w:val="20"/>
        </w:rPr>
        <w:t>valuation</w:t>
      </w:r>
      <w:r w:rsidR="00C64050">
        <w:rPr>
          <w:szCs w:val="20"/>
        </w:rPr>
        <w:t xml:space="preserve"> </w:t>
      </w:r>
      <w:r w:rsidR="002126A7" w:rsidRPr="002126A7">
        <w:rPr>
          <w:szCs w:val="20"/>
        </w:rPr>
        <w:t>period.</w:t>
      </w:r>
      <w:r w:rsidR="00C64050">
        <w:rPr>
          <w:szCs w:val="20"/>
        </w:rPr>
        <w:t xml:space="preserve"> </w:t>
      </w:r>
      <w:r w:rsidR="002126A7" w:rsidRPr="002126A7">
        <w:rPr>
          <w:szCs w:val="20"/>
        </w:rPr>
        <w:t>Proposed</w:t>
      </w:r>
      <w:r w:rsidR="00C64050">
        <w:rPr>
          <w:szCs w:val="20"/>
        </w:rPr>
        <w:t xml:space="preserve"> </w:t>
      </w:r>
      <w:r w:rsidR="002126A7" w:rsidRPr="002126A7">
        <w:rPr>
          <w:szCs w:val="20"/>
        </w:rPr>
        <w:t>regulations</w:t>
      </w:r>
      <w:r w:rsidR="00C64050">
        <w:rPr>
          <w:szCs w:val="20"/>
        </w:rPr>
        <w:t xml:space="preserve"> </w:t>
      </w:r>
      <w:r w:rsidR="002126A7" w:rsidRPr="002126A7">
        <w:rPr>
          <w:szCs w:val="20"/>
        </w:rPr>
        <w:t>were</w:t>
      </w:r>
      <w:r w:rsidR="00C64050">
        <w:rPr>
          <w:szCs w:val="20"/>
        </w:rPr>
        <w:t xml:space="preserve"> </w:t>
      </w:r>
      <w:r w:rsidR="002126A7" w:rsidRPr="002126A7">
        <w:rPr>
          <w:szCs w:val="20"/>
        </w:rPr>
        <w:t>published</w:t>
      </w:r>
      <w:r w:rsidR="00C64050">
        <w:rPr>
          <w:szCs w:val="20"/>
        </w:rPr>
        <w:t xml:space="preserve"> </w:t>
      </w:r>
      <w:r w:rsidR="002126A7" w:rsidRPr="002126A7">
        <w:rPr>
          <w:szCs w:val="20"/>
        </w:rPr>
        <w:t>on</w:t>
      </w:r>
      <w:r w:rsidR="00C64050">
        <w:rPr>
          <w:szCs w:val="20"/>
        </w:rPr>
        <w:t xml:space="preserve"> </w:t>
      </w:r>
      <w:r w:rsidR="002126A7" w:rsidRPr="002126A7">
        <w:rPr>
          <w:szCs w:val="20"/>
        </w:rPr>
        <w:t>November</w:t>
      </w:r>
      <w:r w:rsidR="00C64050">
        <w:rPr>
          <w:szCs w:val="20"/>
        </w:rPr>
        <w:t xml:space="preserve"> </w:t>
      </w:r>
      <w:r w:rsidR="002126A7" w:rsidRPr="002126A7">
        <w:rPr>
          <w:szCs w:val="20"/>
        </w:rPr>
        <w:t>18,</w:t>
      </w:r>
      <w:r w:rsidR="00C64050">
        <w:rPr>
          <w:szCs w:val="20"/>
        </w:rPr>
        <w:t xml:space="preserve"> </w:t>
      </w:r>
      <w:r w:rsidR="002126A7" w:rsidRPr="002126A7">
        <w:rPr>
          <w:szCs w:val="20"/>
        </w:rPr>
        <w:t>2011.</w:t>
      </w:r>
    </w:p>
    <w:p w:rsidR="002126A7" w:rsidRPr="002126A7" w:rsidRDefault="00847B15" w:rsidP="002126A7">
      <w:pPr>
        <w:pStyle w:val="Body15"/>
        <w:spacing w:before="240"/>
        <w:rPr>
          <w:szCs w:val="20"/>
        </w:rPr>
      </w:pPr>
      <w:r>
        <w:rPr>
          <w:szCs w:val="20"/>
        </w:rPr>
        <w:t>4</w:t>
      </w:r>
      <w:r w:rsidR="002126A7" w:rsidRPr="002126A7">
        <w:rPr>
          <w:szCs w:val="20"/>
        </w:rPr>
        <w:t>.</w:t>
      </w:r>
      <w:r w:rsidR="00C64050">
        <w:rPr>
          <w:szCs w:val="20"/>
        </w:rPr>
        <w:t xml:space="preserve"> </w:t>
      </w:r>
      <w:r w:rsidR="002126A7" w:rsidRPr="002126A7">
        <w:rPr>
          <w:szCs w:val="20"/>
        </w:rPr>
        <w:tab/>
        <w:t>Regulations</w:t>
      </w:r>
      <w:r w:rsidR="00C64050">
        <w:rPr>
          <w:szCs w:val="20"/>
        </w:rPr>
        <w:t xml:space="preserve"> </w:t>
      </w:r>
      <w:r w:rsidR="002126A7" w:rsidRPr="002126A7">
        <w:rPr>
          <w:szCs w:val="20"/>
        </w:rPr>
        <w:t>under</w:t>
      </w:r>
      <w:r w:rsidR="00C64050">
        <w:rPr>
          <w:szCs w:val="20"/>
        </w:rPr>
        <w:t xml:space="preserve"> </w:t>
      </w:r>
      <w:r w:rsidR="002126A7" w:rsidRPr="002126A7">
        <w:rPr>
          <w:szCs w:val="20"/>
        </w:rPr>
        <w:t>§</w:t>
      </w:r>
      <w:r w:rsidR="00C64050">
        <w:rPr>
          <w:szCs w:val="20"/>
        </w:rPr>
        <w:t xml:space="preserve"> </w:t>
      </w:r>
      <w:r w:rsidR="002126A7" w:rsidRPr="002126A7">
        <w:rPr>
          <w:szCs w:val="20"/>
        </w:rPr>
        <w:t>2053</w:t>
      </w:r>
      <w:r w:rsidR="00C64050">
        <w:rPr>
          <w:szCs w:val="20"/>
        </w:rPr>
        <w:t xml:space="preserve"> </w:t>
      </w:r>
      <w:r w:rsidR="002126A7" w:rsidRPr="002126A7">
        <w:rPr>
          <w:szCs w:val="20"/>
        </w:rPr>
        <w:t>regarding</w:t>
      </w:r>
      <w:r w:rsidR="00C64050">
        <w:rPr>
          <w:szCs w:val="20"/>
        </w:rPr>
        <w:t xml:space="preserve"> </w:t>
      </w:r>
      <w:r w:rsidR="002126A7" w:rsidRPr="002126A7">
        <w:rPr>
          <w:szCs w:val="20"/>
        </w:rPr>
        <w:t>personal</w:t>
      </w:r>
      <w:r w:rsidR="00C64050">
        <w:rPr>
          <w:szCs w:val="20"/>
        </w:rPr>
        <w:t xml:space="preserve"> </w:t>
      </w:r>
      <w:r w:rsidR="002126A7" w:rsidRPr="002126A7">
        <w:rPr>
          <w:szCs w:val="20"/>
        </w:rPr>
        <w:t>guarantees</w:t>
      </w:r>
      <w:r w:rsidR="00C64050">
        <w:rPr>
          <w:szCs w:val="20"/>
        </w:rPr>
        <w:t xml:space="preserve"> </w:t>
      </w:r>
      <w:r w:rsidR="002126A7" w:rsidRPr="002126A7">
        <w:rPr>
          <w:szCs w:val="20"/>
        </w:rPr>
        <w:t>and</w:t>
      </w:r>
      <w:r w:rsidR="00C64050">
        <w:rPr>
          <w:szCs w:val="20"/>
        </w:rPr>
        <w:t xml:space="preserve"> </w:t>
      </w:r>
      <w:r w:rsidR="002126A7" w:rsidRPr="002126A7">
        <w:rPr>
          <w:szCs w:val="20"/>
        </w:rPr>
        <w:t>the</w:t>
      </w:r>
      <w:r w:rsidR="00C64050">
        <w:rPr>
          <w:szCs w:val="20"/>
        </w:rPr>
        <w:t xml:space="preserve"> </w:t>
      </w:r>
      <w:r w:rsidR="002126A7" w:rsidRPr="002126A7">
        <w:rPr>
          <w:szCs w:val="20"/>
        </w:rPr>
        <w:t>application</w:t>
      </w:r>
      <w:r w:rsidR="00C64050">
        <w:rPr>
          <w:szCs w:val="20"/>
        </w:rPr>
        <w:t xml:space="preserve"> </w:t>
      </w:r>
      <w:r w:rsidR="002126A7" w:rsidRPr="002126A7">
        <w:rPr>
          <w:szCs w:val="20"/>
        </w:rPr>
        <w:t>of</w:t>
      </w:r>
      <w:r w:rsidR="00C64050">
        <w:rPr>
          <w:szCs w:val="20"/>
        </w:rPr>
        <w:t xml:space="preserve"> </w:t>
      </w:r>
      <w:r w:rsidR="002126A7" w:rsidRPr="002126A7">
        <w:rPr>
          <w:szCs w:val="20"/>
        </w:rPr>
        <w:t>present</w:t>
      </w:r>
      <w:r w:rsidR="00C64050">
        <w:rPr>
          <w:szCs w:val="20"/>
        </w:rPr>
        <w:t xml:space="preserve"> </w:t>
      </w:r>
      <w:r w:rsidR="002126A7" w:rsidRPr="002126A7">
        <w:rPr>
          <w:szCs w:val="20"/>
        </w:rPr>
        <w:t>value</w:t>
      </w:r>
      <w:r w:rsidR="00C64050">
        <w:rPr>
          <w:szCs w:val="20"/>
        </w:rPr>
        <w:t xml:space="preserve"> </w:t>
      </w:r>
      <w:r w:rsidR="002126A7" w:rsidRPr="002126A7">
        <w:rPr>
          <w:szCs w:val="20"/>
        </w:rPr>
        <w:t>con</w:t>
      </w:r>
      <w:r w:rsidR="002126A7" w:rsidRPr="002126A7">
        <w:rPr>
          <w:szCs w:val="20"/>
        </w:rPr>
        <w:softHyphen/>
        <w:t>cepts</w:t>
      </w:r>
      <w:r w:rsidR="00C64050">
        <w:rPr>
          <w:szCs w:val="20"/>
        </w:rPr>
        <w:t xml:space="preserve"> </w:t>
      </w:r>
      <w:r w:rsidR="002126A7" w:rsidRPr="002126A7">
        <w:rPr>
          <w:szCs w:val="20"/>
        </w:rPr>
        <w:t>in</w:t>
      </w:r>
      <w:r w:rsidR="00C64050">
        <w:rPr>
          <w:szCs w:val="20"/>
        </w:rPr>
        <w:t xml:space="preserve"> </w:t>
      </w:r>
      <w:r w:rsidR="002126A7" w:rsidRPr="002126A7">
        <w:rPr>
          <w:szCs w:val="20"/>
        </w:rPr>
        <w:t>determining</w:t>
      </w:r>
      <w:r w:rsidR="00C64050">
        <w:rPr>
          <w:szCs w:val="20"/>
        </w:rPr>
        <w:t xml:space="preserve"> </w:t>
      </w:r>
      <w:r w:rsidR="002126A7" w:rsidRPr="002126A7">
        <w:rPr>
          <w:szCs w:val="20"/>
        </w:rPr>
        <w:t>the</w:t>
      </w:r>
      <w:r w:rsidR="00C64050">
        <w:rPr>
          <w:szCs w:val="20"/>
        </w:rPr>
        <w:t xml:space="preserve"> </w:t>
      </w:r>
      <w:r w:rsidR="002126A7" w:rsidRPr="002126A7">
        <w:rPr>
          <w:szCs w:val="20"/>
        </w:rPr>
        <w:t>deductible</w:t>
      </w:r>
      <w:r w:rsidR="00C64050">
        <w:rPr>
          <w:szCs w:val="20"/>
        </w:rPr>
        <w:t xml:space="preserve"> </w:t>
      </w:r>
      <w:r w:rsidR="002126A7" w:rsidRPr="002126A7">
        <w:rPr>
          <w:szCs w:val="20"/>
        </w:rPr>
        <w:t>amount</w:t>
      </w:r>
      <w:r w:rsidR="00C64050">
        <w:rPr>
          <w:szCs w:val="20"/>
        </w:rPr>
        <w:t xml:space="preserve"> </w:t>
      </w:r>
      <w:r w:rsidR="002126A7" w:rsidRPr="002126A7">
        <w:rPr>
          <w:szCs w:val="20"/>
        </w:rPr>
        <w:t>of</w:t>
      </w:r>
      <w:r w:rsidR="00C64050">
        <w:rPr>
          <w:szCs w:val="20"/>
        </w:rPr>
        <w:t xml:space="preserve"> </w:t>
      </w:r>
      <w:r w:rsidR="002126A7" w:rsidRPr="002126A7">
        <w:rPr>
          <w:szCs w:val="20"/>
        </w:rPr>
        <w:t>expenses</w:t>
      </w:r>
      <w:r w:rsidR="00C64050">
        <w:rPr>
          <w:szCs w:val="20"/>
        </w:rPr>
        <w:t xml:space="preserve"> </w:t>
      </w:r>
      <w:r w:rsidR="002126A7" w:rsidRPr="002126A7">
        <w:rPr>
          <w:szCs w:val="20"/>
        </w:rPr>
        <w:t>and</w:t>
      </w:r>
      <w:r w:rsidR="00C64050">
        <w:rPr>
          <w:szCs w:val="20"/>
        </w:rPr>
        <w:t xml:space="preserve"> </w:t>
      </w:r>
      <w:r w:rsidR="002126A7" w:rsidRPr="002126A7">
        <w:rPr>
          <w:szCs w:val="20"/>
        </w:rPr>
        <w:t>claims</w:t>
      </w:r>
      <w:r w:rsidR="00C64050">
        <w:rPr>
          <w:szCs w:val="20"/>
        </w:rPr>
        <w:t xml:space="preserve"> </w:t>
      </w:r>
      <w:r w:rsidR="002126A7" w:rsidRPr="002126A7">
        <w:rPr>
          <w:szCs w:val="20"/>
        </w:rPr>
        <w:t>against</w:t>
      </w:r>
      <w:r w:rsidR="00C64050">
        <w:rPr>
          <w:szCs w:val="20"/>
        </w:rPr>
        <w:t xml:space="preserve"> </w:t>
      </w:r>
      <w:r w:rsidR="002126A7" w:rsidRPr="002126A7">
        <w:rPr>
          <w:szCs w:val="20"/>
        </w:rPr>
        <w:t>the</w:t>
      </w:r>
      <w:r w:rsidR="00C64050">
        <w:rPr>
          <w:szCs w:val="20"/>
        </w:rPr>
        <w:t xml:space="preserve"> </w:t>
      </w:r>
      <w:r w:rsidR="002126A7" w:rsidRPr="002126A7">
        <w:rPr>
          <w:szCs w:val="20"/>
        </w:rPr>
        <w:t>estate.</w:t>
      </w:r>
    </w:p>
    <w:p w:rsidR="002126A7" w:rsidRPr="002126A7" w:rsidRDefault="00847B15" w:rsidP="002126A7">
      <w:pPr>
        <w:pStyle w:val="Body15"/>
        <w:spacing w:before="240"/>
        <w:rPr>
          <w:szCs w:val="20"/>
        </w:rPr>
      </w:pPr>
      <w:r>
        <w:rPr>
          <w:szCs w:val="20"/>
        </w:rPr>
        <w:t>5</w:t>
      </w:r>
      <w:r w:rsidR="002126A7" w:rsidRPr="002126A7">
        <w:rPr>
          <w:szCs w:val="20"/>
        </w:rPr>
        <w:t>.</w:t>
      </w:r>
      <w:r w:rsidR="002126A7" w:rsidRPr="002126A7">
        <w:rPr>
          <w:szCs w:val="20"/>
        </w:rPr>
        <w:tab/>
        <w:t>Regulations</w:t>
      </w:r>
      <w:r w:rsidR="00C64050">
        <w:rPr>
          <w:szCs w:val="20"/>
        </w:rPr>
        <w:t xml:space="preserve"> </w:t>
      </w:r>
      <w:r w:rsidR="002126A7" w:rsidRPr="002126A7">
        <w:rPr>
          <w:szCs w:val="20"/>
        </w:rPr>
        <w:t>under</w:t>
      </w:r>
      <w:r w:rsidR="00C64050">
        <w:rPr>
          <w:szCs w:val="20"/>
        </w:rPr>
        <w:t xml:space="preserve"> </w:t>
      </w:r>
      <w:r w:rsidR="002126A7" w:rsidRPr="002126A7">
        <w:rPr>
          <w:szCs w:val="20"/>
        </w:rPr>
        <w:t>§</w:t>
      </w:r>
      <w:r w:rsidR="00C64050">
        <w:rPr>
          <w:szCs w:val="20"/>
        </w:rPr>
        <w:t xml:space="preserve"> </w:t>
      </w:r>
      <w:r w:rsidR="002126A7" w:rsidRPr="002126A7">
        <w:rPr>
          <w:szCs w:val="20"/>
        </w:rPr>
        <w:t>7520</w:t>
      </w:r>
      <w:r w:rsidR="00C64050">
        <w:rPr>
          <w:szCs w:val="20"/>
        </w:rPr>
        <w:t xml:space="preserve"> </w:t>
      </w:r>
      <w:r w:rsidR="002126A7" w:rsidRPr="002126A7">
        <w:rPr>
          <w:szCs w:val="20"/>
        </w:rPr>
        <w:t>regarding</w:t>
      </w:r>
      <w:r w:rsidR="00C64050">
        <w:rPr>
          <w:szCs w:val="20"/>
        </w:rPr>
        <w:t xml:space="preserve"> </w:t>
      </w:r>
      <w:r w:rsidR="002126A7" w:rsidRPr="002126A7">
        <w:rPr>
          <w:szCs w:val="20"/>
        </w:rPr>
        <w:t>the</w:t>
      </w:r>
      <w:r w:rsidR="00C64050">
        <w:rPr>
          <w:szCs w:val="20"/>
        </w:rPr>
        <w:t xml:space="preserve"> </w:t>
      </w:r>
      <w:r w:rsidR="002126A7" w:rsidRPr="002126A7">
        <w:rPr>
          <w:szCs w:val="20"/>
        </w:rPr>
        <w:t>use</w:t>
      </w:r>
      <w:r w:rsidR="00C64050">
        <w:rPr>
          <w:szCs w:val="20"/>
        </w:rPr>
        <w:t xml:space="preserve"> </w:t>
      </w:r>
      <w:r w:rsidR="002126A7" w:rsidRPr="002126A7">
        <w:rPr>
          <w:szCs w:val="20"/>
        </w:rPr>
        <w:t>of</w:t>
      </w:r>
      <w:r w:rsidR="00C64050">
        <w:rPr>
          <w:szCs w:val="20"/>
        </w:rPr>
        <w:t xml:space="preserve"> </w:t>
      </w:r>
      <w:r w:rsidR="002126A7" w:rsidRPr="002126A7">
        <w:rPr>
          <w:szCs w:val="20"/>
        </w:rPr>
        <w:t>actuarial</w:t>
      </w:r>
      <w:r w:rsidR="00C64050">
        <w:rPr>
          <w:szCs w:val="20"/>
        </w:rPr>
        <w:t xml:space="preserve"> </w:t>
      </w:r>
      <w:r w:rsidR="002126A7" w:rsidRPr="002126A7">
        <w:rPr>
          <w:szCs w:val="20"/>
        </w:rPr>
        <w:t>tables</w:t>
      </w:r>
      <w:r w:rsidR="00C64050">
        <w:rPr>
          <w:szCs w:val="20"/>
        </w:rPr>
        <w:t xml:space="preserve"> </w:t>
      </w:r>
      <w:r w:rsidR="002126A7" w:rsidRPr="002126A7">
        <w:rPr>
          <w:szCs w:val="20"/>
        </w:rPr>
        <w:t>in</w:t>
      </w:r>
      <w:r w:rsidR="00C64050">
        <w:rPr>
          <w:szCs w:val="20"/>
        </w:rPr>
        <w:t xml:space="preserve"> </w:t>
      </w:r>
      <w:r w:rsidR="002126A7" w:rsidRPr="002126A7">
        <w:rPr>
          <w:szCs w:val="20"/>
        </w:rPr>
        <w:t>valuing</w:t>
      </w:r>
      <w:r w:rsidR="00C64050">
        <w:rPr>
          <w:szCs w:val="20"/>
        </w:rPr>
        <w:t xml:space="preserve"> </w:t>
      </w:r>
      <w:r w:rsidR="002126A7" w:rsidRPr="002126A7">
        <w:rPr>
          <w:szCs w:val="20"/>
        </w:rPr>
        <w:t>annuities,</w:t>
      </w:r>
      <w:r w:rsidR="00C64050">
        <w:rPr>
          <w:szCs w:val="20"/>
        </w:rPr>
        <w:t xml:space="preserve"> </w:t>
      </w:r>
      <w:r w:rsidR="002126A7" w:rsidRPr="002126A7">
        <w:rPr>
          <w:szCs w:val="20"/>
        </w:rPr>
        <w:t>interests</w:t>
      </w:r>
      <w:r w:rsidR="00C64050">
        <w:rPr>
          <w:szCs w:val="20"/>
        </w:rPr>
        <w:t xml:space="preserve"> </w:t>
      </w:r>
      <w:r w:rsidR="002126A7" w:rsidRPr="002126A7">
        <w:rPr>
          <w:szCs w:val="20"/>
        </w:rPr>
        <w:t>for</w:t>
      </w:r>
      <w:r w:rsidR="00C64050">
        <w:rPr>
          <w:szCs w:val="20"/>
        </w:rPr>
        <w:t xml:space="preserve"> </w:t>
      </w:r>
      <w:r w:rsidR="002126A7" w:rsidRPr="002126A7">
        <w:rPr>
          <w:szCs w:val="20"/>
        </w:rPr>
        <w:t>life</w:t>
      </w:r>
      <w:r w:rsidR="00C64050">
        <w:rPr>
          <w:szCs w:val="20"/>
        </w:rPr>
        <w:t xml:space="preserve"> </w:t>
      </w:r>
      <w:r w:rsidR="002126A7" w:rsidRPr="002126A7">
        <w:rPr>
          <w:szCs w:val="20"/>
        </w:rPr>
        <w:t>or</w:t>
      </w:r>
      <w:r w:rsidR="00C64050">
        <w:rPr>
          <w:szCs w:val="20"/>
        </w:rPr>
        <w:t xml:space="preserve"> </w:t>
      </w:r>
      <w:r w:rsidR="002126A7" w:rsidRPr="002126A7">
        <w:rPr>
          <w:szCs w:val="20"/>
        </w:rPr>
        <w:t>terms</w:t>
      </w:r>
      <w:r w:rsidR="00C64050">
        <w:rPr>
          <w:szCs w:val="20"/>
        </w:rPr>
        <w:t xml:space="preserve"> </w:t>
      </w:r>
      <w:r w:rsidR="002126A7" w:rsidRPr="002126A7">
        <w:rPr>
          <w:szCs w:val="20"/>
        </w:rPr>
        <w:t>of</w:t>
      </w:r>
      <w:r w:rsidR="00C64050">
        <w:rPr>
          <w:szCs w:val="20"/>
        </w:rPr>
        <w:t xml:space="preserve"> </w:t>
      </w:r>
      <w:r w:rsidR="002126A7" w:rsidRPr="002126A7">
        <w:rPr>
          <w:szCs w:val="20"/>
        </w:rPr>
        <w:t>years,</w:t>
      </w:r>
      <w:r w:rsidR="00C64050">
        <w:rPr>
          <w:szCs w:val="20"/>
        </w:rPr>
        <w:t xml:space="preserve"> </w:t>
      </w:r>
      <w:r w:rsidR="002126A7" w:rsidRPr="002126A7">
        <w:rPr>
          <w:szCs w:val="20"/>
        </w:rPr>
        <w:t>and</w:t>
      </w:r>
      <w:r w:rsidR="00C64050">
        <w:rPr>
          <w:szCs w:val="20"/>
        </w:rPr>
        <w:t xml:space="preserve"> </w:t>
      </w:r>
      <w:r w:rsidR="002126A7" w:rsidRPr="002126A7">
        <w:rPr>
          <w:szCs w:val="20"/>
        </w:rPr>
        <w:t>remainder</w:t>
      </w:r>
      <w:r w:rsidR="00C64050">
        <w:rPr>
          <w:szCs w:val="20"/>
        </w:rPr>
        <w:t xml:space="preserve"> </w:t>
      </w:r>
      <w:r w:rsidR="002126A7" w:rsidRPr="002126A7">
        <w:rPr>
          <w:szCs w:val="20"/>
        </w:rPr>
        <w:t>or</w:t>
      </w:r>
      <w:r w:rsidR="00C64050">
        <w:rPr>
          <w:szCs w:val="20"/>
        </w:rPr>
        <w:t xml:space="preserve"> </w:t>
      </w:r>
      <w:r w:rsidR="002126A7" w:rsidRPr="002126A7">
        <w:rPr>
          <w:szCs w:val="20"/>
        </w:rPr>
        <w:t>reversionary</w:t>
      </w:r>
      <w:r w:rsidR="00C64050">
        <w:rPr>
          <w:szCs w:val="20"/>
        </w:rPr>
        <w:t xml:space="preserve"> </w:t>
      </w:r>
      <w:r w:rsidR="002126A7" w:rsidRPr="002126A7">
        <w:rPr>
          <w:szCs w:val="20"/>
        </w:rPr>
        <w:t>interests</w:t>
      </w:r>
      <w:r w:rsidR="00F23205">
        <w:rPr>
          <w:szCs w:val="20"/>
        </w:rPr>
        <w:t>.</w:t>
      </w:r>
    </w:p>
    <w:p w:rsidR="002126A7" w:rsidRPr="002126A7" w:rsidRDefault="002126A7" w:rsidP="002126A7">
      <w:pPr>
        <w:pStyle w:val="Body15"/>
        <w:spacing w:before="240"/>
        <w:rPr>
          <w:b/>
          <w:szCs w:val="20"/>
        </w:rPr>
      </w:pPr>
      <w:bookmarkStart w:id="773" w:name="_Toc505834585"/>
      <w:r w:rsidRPr="002126A7">
        <w:rPr>
          <w:b/>
          <w:szCs w:val="20"/>
        </w:rPr>
        <w:t>INSURANCE</w:t>
      </w:r>
      <w:r w:rsidR="00C64050">
        <w:rPr>
          <w:b/>
          <w:szCs w:val="20"/>
        </w:rPr>
        <w:t xml:space="preserve"> </w:t>
      </w:r>
      <w:r w:rsidRPr="002126A7">
        <w:rPr>
          <w:b/>
          <w:szCs w:val="20"/>
        </w:rPr>
        <w:t>COMPANIES</w:t>
      </w:r>
      <w:r w:rsidR="00C64050">
        <w:rPr>
          <w:b/>
          <w:szCs w:val="20"/>
        </w:rPr>
        <w:t xml:space="preserve"> </w:t>
      </w:r>
      <w:r w:rsidRPr="002126A7">
        <w:rPr>
          <w:b/>
          <w:szCs w:val="20"/>
        </w:rPr>
        <w:t>AND</w:t>
      </w:r>
      <w:r w:rsidR="00C64050">
        <w:rPr>
          <w:b/>
          <w:szCs w:val="20"/>
        </w:rPr>
        <w:t xml:space="preserve"> </w:t>
      </w:r>
      <w:r w:rsidRPr="002126A7">
        <w:rPr>
          <w:b/>
          <w:szCs w:val="20"/>
        </w:rPr>
        <w:t>PRODUCTS</w:t>
      </w:r>
      <w:bookmarkEnd w:id="773"/>
    </w:p>
    <w:p w:rsidR="002126A7" w:rsidRPr="002126A7" w:rsidRDefault="002126A7" w:rsidP="002126A7">
      <w:pPr>
        <w:pStyle w:val="Body15"/>
        <w:spacing w:before="240"/>
        <w:rPr>
          <w:szCs w:val="20"/>
        </w:rPr>
      </w:pPr>
      <w:r w:rsidRPr="002126A7">
        <w:rPr>
          <w:szCs w:val="20"/>
        </w:rPr>
        <w:t>1.</w:t>
      </w:r>
      <w:r w:rsidR="00C64050">
        <w:rPr>
          <w:szCs w:val="20"/>
        </w:rPr>
        <w:t xml:space="preserve"> </w:t>
      </w:r>
      <w:r w:rsidRPr="002126A7">
        <w:rPr>
          <w:szCs w:val="20"/>
        </w:rPr>
        <w:tab/>
        <w:t>Final</w:t>
      </w:r>
      <w:r w:rsidR="00C64050">
        <w:rPr>
          <w:szCs w:val="20"/>
        </w:rPr>
        <w:t xml:space="preserve"> </w:t>
      </w:r>
      <w:r w:rsidRPr="002126A7">
        <w:rPr>
          <w:szCs w:val="20"/>
        </w:rPr>
        <w:t>regulations</w:t>
      </w:r>
      <w:r w:rsidR="00C64050">
        <w:rPr>
          <w:szCs w:val="20"/>
        </w:rPr>
        <w:t xml:space="preserve"> </w:t>
      </w:r>
      <w:r w:rsidRPr="002126A7">
        <w:rPr>
          <w:szCs w:val="20"/>
        </w:rPr>
        <w:t>under</w:t>
      </w:r>
      <w:r w:rsidR="00C64050">
        <w:rPr>
          <w:szCs w:val="20"/>
        </w:rPr>
        <w:t xml:space="preserve"> </w:t>
      </w:r>
      <w:r w:rsidRPr="002126A7">
        <w:rPr>
          <w:szCs w:val="20"/>
        </w:rPr>
        <w:t>§</w:t>
      </w:r>
      <w:r w:rsidR="00C64050">
        <w:rPr>
          <w:szCs w:val="20"/>
        </w:rPr>
        <w:t xml:space="preserve"> </w:t>
      </w:r>
      <w:r w:rsidRPr="002126A7">
        <w:rPr>
          <w:szCs w:val="20"/>
        </w:rPr>
        <w:t>72</w:t>
      </w:r>
      <w:r w:rsidR="00C64050">
        <w:rPr>
          <w:szCs w:val="20"/>
        </w:rPr>
        <w:t xml:space="preserve"> </w:t>
      </w:r>
      <w:r w:rsidRPr="002126A7">
        <w:rPr>
          <w:szCs w:val="20"/>
        </w:rPr>
        <w:t>on</w:t>
      </w:r>
      <w:r w:rsidR="00C64050">
        <w:rPr>
          <w:szCs w:val="20"/>
        </w:rPr>
        <w:t xml:space="preserve"> </w:t>
      </w:r>
      <w:r w:rsidRPr="002126A7">
        <w:rPr>
          <w:szCs w:val="20"/>
        </w:rPr>
        <w:t>the</w:t>
      </w:r>
      <w:r w:rsidR="00C64050">
        <w:rPr>
          <w:szCs w:val="20"/>
        </w:rPr>
        <w:t xml:space="preserve"> </w:t>
      </w:r>
      <w:r w:rsidRPr="002126A7">
        <w:rPr>
          <w:szCs w:val="20"/>
        </w:rPr>
        <w:t>exchange</w:t>
      </w:r>
      <w:r w:rsidR="00C64050">
        <w:rPr>
          <w:szCs w:val="20"/>
        </w:rPr>
        <w:t xml:space="preserve"> </w:t>
      </w:r>
      <w:r w:rsidRPr="002126A7">
        <w:rPr>
          <w:szCs w:val="20"/>
        </w:rPr>
        <w:t>of</w:t>
      </w:r>
      <w:r w:rsidR="00C64050">
        <w:rPr>
          <w:szCs w:val="20"/>
        </w:rPr>
        <w:t xml:space="preserve"> </w:t>
      </w:r>
      <w:r w:rsidRPr="002126A7">
        <w:rPr>
          <w:szCs w:val="20"/>
        </w:rPr>
        <w:t>property</w:t>
      </w:r>
      <w:r w:rsidR="00C64050">
        <w:rPr>
          <w:szCs w:val="20"/>
        </w:rPr>
        <w:t xml:space="preserve"> </w:t>
      </w:r>
      <w:r w:rsidRPr="002126A7">
        <w:rPr>
          <w:szCs w:val="20"/>
        </w:rPr>
        <w:t>for</w:t>
      </w:r>
      <w:r w:rsidR="00C64050">
        <w:rPr>
          <w:szCs w:val="20"/>
        </w:rPr>
        <w:t xml:space="preserve"> </w:t>
      </w:r>
      <w:r w:rsidRPr="002126A7">
        <w:rPr>
          <w:szCs w:val="20"/>
        </w:rPr>
        <w:t>an</w:t>
      </w:r>
      <w:r w:rsidR="00C64050">
        <w:rPr>
          <w:szCs w:val="20"/>
        </w:rPr>
        <w:t xml:space="preserve"> </w:t>
      </w:r>
      <w:r w:rsidRPr="002126A7">
        <w:rPr>
          <w:szCs w:val="20"/>
        </w:rPr>
        <w:t>annuity</w:t>
      </w:r>
      <w:r w:rsidR="00C64050">
        <w:rPr>
          <w:szCs w:val="20"/>
        </w:rPr>
        <w:t xml:space="preserve"> </w:t>
      </w:r>
      <w:r w:rsidRPr="002126A7">
        <w:rPr>
          <w:szCs w:val="20"/>
        </w:rPr>
        <w:t>contract.</w:t>
      </w:r>
      <w:r w:rsidR="00C64050">
        <w:rPr>
          <w:szCs w:val="20"/>
        </w:rPr>
        <w:t xml:space="preserve"> </w:t>
      </w:r>
      <w:r w:rsidRPr="002126A7">
        <w:rPr>
          <w:szCs w:val="20"/>
        </w:rPr>
        <w:t>Proposed</w:t>
      </w:r>
      <w:r w:rsidR="00C64050">
        <w:rPr>
          <w:szCs w:val="20"/>
        </w:rPr>
        <w:t xml:space="preserve"> </w:t>
      </w:r>
      <w:r w:rsidRPr="002126A7">
        <w:rPr>
          <w:szCs w:val="20"/>
        </w:rPr>
        <w:t>regulations</w:t>
      </w:r>
      <w:r w:rsidR="00C64050">
        <w:rPr>
          <w:szCs w:val="20"/>
        </w:rPr>
        <w:t xml:space="preserve"> </w:t>
      </w:r>
      <w:r w:rsidRPr="002126A7">
        <w:rPr>
          <w:szCs w:val="20"/>
        </w:rPr>
        <w:t>were</w:t>
      </w:r>
      <w:r w:rsidR="00C64050">
        <w:rPr>
          <w:szCs w:val="20"/>
        </w:rPr>
        <w:t xml:space="preserve"> </w:t>
      </w:r>
      <w:r w:rsidRPr="002126A7">
        <w:rPr>
          <w:szCs w:val="20"/>
        </w:rPr>
        <w:t>published</w:t>
      </w:r>
      <w:r w:rsidR="00C64050">
        <w:rPr>
          <w:szCs w:val="20"/>
        </w:rPr>
        <w:t xml:space="preserve"> </w:t>
      </w:r>
      <w:r w:rsidRPr="002126A7">
        <w:rPr>
          <w:szCs w:val="20"/>
        </w:rPr>
        <w:t>on</w:t>
      </w:r>
      <w:r w:rsidR="00C64050">
        <w:rPr>
          <w:szCs w:val="20"/>
        </w:rPr>
        <w:t xml:space="preserve"> </w:t>
      </w:r>
      <w:r w:rsidRPr="002126A7">
        <w:rPr>
          <w:szCs w:val="20"/>
        </w:rPr>
        <w:t>October</w:t>
      </w:r>
      <w:r w:rsidR="00C64050">
        <w:rPr>
          <w:szCs w:val="20"/>
        </w:rPr>
        <w:t xml:space="preserve"> </w:t>
      </w:r>
      <w:r w:rsidRPr="002126A7">
        <w:rPr>
          <w:szCs w:val="20"/>
        </w:rPr>
        <w:t>18,</w:t>
      </w:r>
      <w:r w:rsidR="00C64050">
        <w:rPr>
          <w:szCs w:val="20"/>
        </w:rPr>
        <w:t xml:space="preserve"> </w:t>
      </w:r>
      <w:r w:rsidRPr="002126A7">
        <w:rPr>
          <w:szCs w:val="20"/>
        </w:rPr>
        <w:t>2006.</w:t>
      </w:r>
    </w:p>
    <w:p w:rsidR="004954E6" w:rsidRPr="004954E6" w:rsidRDefault="004954E6" w:rsidP="00B25265">
      <w:pPr>
        <w:pStyle w:val="Heading20"/>
        <w:tabs>
          <w:tab w:val="clear" w:pos="2700"/>
        </w:tabs>
        <w:ind w:left="0"/>
        <w:rPr>
          <w:vanish/>
          <w:specVanish/>
        </w:rPr>
      </w:pPr>
      <w:bookmarkStart w:id="774" w:name="_Toc94704675"/>
      <w:bookmarkStart w:id="775" w:name="_Toc376946804"/>
      <w:bookmarkStart w:id="776" w:name="_Toc376947651"/>
      <w:bookmarkStart w:id="777" w:name="_Toc376948445"/>
      <w:bookmarkStart w:id="778" w:name="_Toc376949239"/>
      <w:r>
        <w:rPr>
          <w:b/>
          <w:u w:val="single"/>
        </w:rPr>
        <w:t>No</w:t>
      </w:r>
      <w:r w:rsidR="00C64050">
        <w:rPr>
          <w:b/>
          <w:u w:val="single"/>
        </w:rPr>
        <w:t xml:space="preserve"> </w:t>
      </w:r>
      <w:r>
        <w:rPr>
          <w:b/>
          <w:u w:val="single"/>
        </w:rPr>
        <w:t>Ruling</w:t>
      </w:r>
      <w:r w:rsidR="00C64050">
        <w:rPr>
          <w:b/>
          <w:u w:val="single"/>
        </w:rPr>
        <w:t xml:space="preserve"> </w:t>
      </w:r>
      <w:r>
        <w:rPr>
          <w:b/>
          <w:u w:val="single"/>
        </w:rPr>
        <w:t>Positions</w:t>
      </w:r>
      <w:bookmarkEnd w:id="774"/>
    </w:p>
    <w:p w:rsidR="004954E6" w:rsidRDefault="004954E6" w:rsidP="004954E6">
      <w:pPr>
        <w:pStyle w:val="Heading2Body"/>
      </w:pPr>
      <w:r>
        <w:t>.</w:t>
      </w:r>
      <w:r w:rsidR="00C64050">
        <w:t xml:space="preserve">  </w:t>
      </w:r>
      <w:r w:rsidR="00773146" w:rsidRPr="00773146">
        <w:t>In</w:t>
      </w:r>
      <w:r w:rsidR="00C64050">
        <w:t xml:space="preserve"> </w:t>
      </w:r>
      <w:r w:rsidR="00773146" w:rsidRPr="00773146">
        <w:t>Rev.</w:t>
      </w:r>
      <w:r w:rsidR="00C64050">
        <w:t xml:space="preserve"> </w:t>
      </w:r>
      <w:r w:rsidR="00773146" w:rsidRPr="00773146">
        <w:t>Proc.</w:t>
      </w:r>
      <w:r w:rsidR="00C64050">
        <w:t xml:space="preserve"> </w:t>
      </w:r>
      <w:r w:rsidR="002302AE">
        <w:t>202</w:t>
      </w:r>
      <w:r w:rsidR="00847B15">
        <w:t>1</w:t>
      </w:r>
      <w:r w:rsidR="00773146" w:rsidRPr="00773146">
        <w:t>-3</w:t>
      </w:r>
      <w:r w:rsidR="00C64050">
        <w:t xml:space="preserve"> </w:t>
      </w:r>
      <w:r w:rsidR="00773146" w:rsidRPr="00773146">
        <w:t>the</w:t>
      </w:r>
      <w:r w:rsidR="00C64050">
        <w:t xml:space="preserve"> </w:t>
      </w:r>
      <w:r w:rsidR="00773146" w:rsidRPr="00773146">
        <w:t>IRS</w:t>
      </w:r>
      <w:r w:rsidR="00C64050">
        <w:t xml:space="preserve"> </w:t>
      </w:r>
      <w:r w:rsidR="00773146" w:rsidRPr="00773146">
        <w:t>provided</w:t>
      </w:r>
      <w:r w:rsidR="00C64050">
        <w:t xml:space="preserve"> </w:t>
      </w:r>
      <w:r w:rsidR="00773146" w:rsidRPr="00773146">
        <w:t>issues</w:t>
      </w:r>
      <w:r w:rsidR="00C64050">
        <w:t xml:space="preserve"> </w:t>
      </w:r>
      <w:r w:rsidR="00773146" w:rsidRPr="00773146">
        <w:t>on</w:t>
      </w:r>
      <w:r w:rsidR="00C64050">
        <w:t xml:space="preserve"> </w:t>
      </w:r>
      <w:r w:rsidR="00773146" w:rsidRPr="00773146">
        <w:t>which</w:t>
      </w:r>
      <w:r w:rsidR="00C64050">
        <w:t xml:space="preserve"> </w:t>
      </w:r>
      <w:r w:rsidR="00773146" w:rsidRPr="00773146">
        <w:t>it</w:t>
      </w:r>
      <w:r w:rsidR="00C64050">
        <w:t xml:space="preserve"> </w:t>
      </w:r>
      <w:r w:rsidR="00773146" w:rsidRPr="00773146">
        <w:t>will</w:t>
      </w:r>
      <w:r w:rsidR="00C64050">
        <w:t xml:space="preserve"> </w:t>
      </w:r>
      <w:r w:rsidR="00773146" w:rsidRPr="00773146">
        <w:t>not</w:t>
      </w:r>
      <w:r w:rsidR="00C64050">
        <w:t xml:space="preserve"> </w:t>
      </w:r>
      <w:r w:rsidR="00773146" w:rsidRPr="00773146">
        <w:t>rule.</w:t>
      </w:r>
      <w:r w:rsidR="00C64050">
        <w:t xml:space="preserve">  </w:t>
      </w:r>
      <w:r w:rsidR="00773146" w:rsidRPr="00773146">
        <w:t>Among</w:t>
      </w:r>
      <w:r w:rsidR="00C64050">
        <w:t xml:space="preserve"> </w:t>
      </w:r>
      <w:r w:rsidR="00773146" w:rsidRPr="00773146">
        <w:t>those</w:t>
      </w:r>
      <w:r w:rsidR="00C64050">
        <w:t xml:space="preserve"> </w:t>
      </w:r>
      <w:r w:rsidR="00773146" w:rsidRPr="00773146">
        <w:t>are:</w:t>
      </w:r>
    </w:p>
    <w:p w:rsidR="00773146" w:rsidRPr="00F130DE" w:rsidRDefault="002302AE" w:rsidP="00244CEA">
      <w:pPr>
        <w:pStyle w:val="QS10"/>
      </w:pPr>
      <w:r>
        <w:t>(38</w:t>
      </w:r>
      <w:r w:rsidR="00773146" w:rsidRPr="00F130DE">
        <w:t>)</w:t>
      </w:r>
      <w:r w:rsidR="00C64050">
        <w:t xml:space="preserve"> </w:t>
      </w:r>
      <w:r w:rsidR="00773146" w:rsidRPr="00F130DE">
        <w:t>Section</w:t>
      </w:r>
      <w:r w:rsidR="00C64050">
        <w:t xml:space="preserve"> </w:t>
      </w:r>
      <w:r w:rsidR="00773146" w:rsidRPr="00F130DE">
        <w:t>170.—Charitable.</w:t>
      </w:r>
      <w:r w:rsidR="00C64050">
        <w:t xml:space="preserve"> </w:t>
      </w:r>
      <w:r w:rsidR="00773146" w:rsidRPr="00F130DE">
        <w:t>Etc.,</w:t>
      </w:r>
      <w:r w:rsidR="00C64050">
        <w:t xml:space="preserve"> </w:t>
      </w:r>
      <w:r w:rsidR="00773146" w:rsidRPr="00F130DE">
        <w:t>Contributions</w:t>
      </w:r>
      <w:r w:rsidR="00C64050">
        <w:t xml:space="preserve"> </w:t>
      </w:r>
      <w:r w:rsidR="00773146" w:rsidRPr="00F130DE">
        <w:t>and</w:t>
      </w:r>
      <w:r w:rsidR="00C64050">
        <w:t xml:space="preserve"> </w:t>
      </w:r>
      <w:r w:rsidR="00773146" w:rsidRPr="00F130DE">
        <w:t>Gifts.—Whether</w:t>
      </w:r>
      <w:r w:rsidR="00C64050">
        <w:t xml:space="preserve"> </w:t>
      </w:r>
      <w:r w:rsidR="00773146" w:rsidRPr="00F130DE">
        <w:t>a</w:t>
      </w:r>
      <w:r w:rsidR="00C64050">
        <w:t xml:space="preserve"> </w:t>
      </w:r>
      <w:r w:rsidR="00773146" w:rsidRPr="00F130DE">
        <w:t>charitable</w:t>
      </w:r>
      <w:r w:rsidR="00C64050">
        <w:t xml:space="preserve"> </w:t>
      </w:r>
      <w:r w:rsidR="00773146" w:rsidRPr="00F130DE">
        <w:t>contribution</w:t>
      </w:r>
      <w:r w:rsidR="00C64050">
        <w:t xml:space="preserve"> </w:t>
      </w:r>
      <w:r w:rsidR="00773146" w:rsidRPr="00F130DE">
        <w:t>deduction</w:t>
      </w:r>
      <w:r w:rsidR="00C64050">
        <w:t xml:space="preserve"> </w:t>
      </w:r>
      <w:r w:rsidR="00773146" w:rsidRPr="00F130DE">
        <w:t>under</w:t>
      </w:r>
      <w:r w:rsidR="00C64050">
        <w:t xml:space="preserve"> </w:t>
      </w:r>
      <w:r w:rsidR="00773146" w:rsidRPr="00F130DE">
        <w:t>§</w:t>
      </w:r>
      <w:r w:rsidR="00C64050">
        <w:t xml:space="preserve"> </w:t>
      </w:r>
      <w:r w:rsidR="00773146" w:rsidRPr="00F130DE">
        <w:t>170</w:t>
      </w:r>
      <w:r w:rsidR="00C64050">
        <w:t xml:space="preserve"> </w:t>
      </w:r>
      <w:r w:rsidR="00773146" w:rsidRPr="00F130DE">
        <w:t>is</w:t>
      </w:r>
      <w:r w:rsidR="00C64050">
        <w:t xml:space="preserve"> </w:t>
      </w:r>
      <w:r w:rsidR="00773146" w:rsidRPr="00F130DE">
        <w:t>allowed</w:t>
      </w:r>
      <w:r w:rsidR="00C64050">
        <w:t xml:space="preserve"> </w:t>
      </w:r>
      <w:r w:rsidR="00773146" w:rsidRPr="00F130DE">
        <w:t>for</w:t>
      </w:r>
      <w:r w:rsidR="00C64050">
        <w:t xml:space="preserve"> </w:t>
      </w:r>
      <w:r w:rsidR="00773146" w:rsidRPr="00F130DE">
        <w:t>a</w:t>
      </w:r>
      <w:r w:rsidR="00C64050">
        <w:t xml:space="preserve"> </w:t>
      </w:r>
      <w:r w:rsidR="00773146" w:rsidRPr="00F130DE">
        <w:t>transfer</w:t>
      </w:r>
      <w:r w:rsidR="00C64050">
        <w:t xml:space="preserve"> </w:t>
      </w:r>
      <w:r w:rsidR="00773146" w:rsidRPr="00F130DE">
        <w:t>of</w:t>
      </w:r>
      <w:r w:rsidR="00C64050">
        <w:t xml:space="preserve"> </w:t>
      </w:r>
      <w:r w:rsidR="00773146" w:rsidRPr="00F130DE">
        <w:t>an</w:t>
      </w:r>
      <w:r w:rsidR="00C64050">
        <w:t xml:space="preserve"> </w:t>
      </w:r>
      <w:r w:rsidR="00773146" w:rsidRPr="00F130DE">
        <w:t>interest</w:t>
      </w:r>
      <w:r w:rsidR="00C64050">
        <w:t xml:space="preserve"> </w:t>
      </w:r>
      <w:r w:rsidR="00773146" w:rsidRPr="00F130DE">
        <w:t>in</w:t>
      </w:r>
      <w:r w:rsidR="00C64050">
        <w:t xml:space="preserve"> </w:t>
      </w:r>
      <w:r w:rsidR="00773146" w:rsidRPr="00F130DE">
        <w:t>a</w:t>
      </w:r>
      <w:r w:rsidR="00C64050">
        <w:t xml:space="preserve"> </w:t>
      </w:r>
      <w:r w:rsidR="00773146" w:rsidRPr="00F130DE">
        <w:t>limited</w:t>
      </w:r>
      <w:r w:rsidR="00C64050">
        <w:t xml:space="preserve"> </w:t>
      </w:r>
      <w:r w:rsidR="00773146" w:rsidRPr="00F130DE">
        <w:t>partnership</w:t>
      </w:r>
      <w:r w:rsidR="00C64050">
        <w:t xml:space="preserve"> </w:t>
      </w:r>
      <w:r w:rsidR="00773146" w:rsidRPr="00F130DE">
        <w:t>or</w:t>
      </w:r>
      <w:r w:rsidR="00C64050">
        <w:t xml:space="preserve"> </w:t>
      </w:r>
      <w:r w:rsidR="00773146" w:rsidRPr="00F130DE">
        <w:t>a</w:t>
      </w:r>
      <w:r w:rsidR="00C64050">
        <w:t xml:space="preserve"> </w:t>
      </w:r>
      <w:r w:rsidR="00773146" w:rsidRPr="00F130DE">
        <w:t>limited</w:t>
      </w:r>
      <w:r w:rsidR="00C64050">
        <w:t xml:space="preserve"> </w:t>
      </w:r>
      <w:r w:rsidR="00773146" w:rsidRPr="00F130DE">
        <w:t>liability</w:t>
      </w:r>
      <w:r w:rsidR="00C64050">
        <w:t xml:space="preserve"> </w:t>
      </w:r>
      <w:r w:rsidR="00773146" w:rsidRPr="00F130DE">
        <w:t>company</w:t>
      </w:r>
      <w:r w:rsidR="00C64050">
        <w:t xml:space="preserve"> </w:t>
      </w:r>
      <w:r w:rsidR="00773146" w:rsidRPr="00F130DE">
        <w:t>taxed</w:t>
      </w:r>
      <w:r w:rsidR="00C64050">
        <w:t xml:space="preserve"> </w:t>
      </w:r>
      <w:r w:rsidR="00773146" w:rsidRPr="00F130DE">
        <w:t>as</w:t>
      </w:r>
      <w:r w:rsidR="00C64050">
        <w:t xml:space="preserve"> </w:t>
      </w:r>
      <w:r w:rsidR="00773146" w:rsidRPr="00F130DE">
        <w:t>a</w:t>
      </w:r>
      <w:r w:rsidR="00C64050">
        <w:t xml:space="preserve"> </w:t>
      </w:r>
      <w:r w:rsidR="00773146" w:rsidRPr="00F130DE">
        <w:t>partnership</w:t>
      </w:r>
      <w:r w:rsidR="00C64050">
        <w:t xml:space="preserve"> </w:t>
      </w:r>
      <w:r w:rsidR="00773146" w:rsidRPr="00F130DE">
        <w:t>to</w:t>
      </w:r>
      <w:r w:rsidR="00C64050">
        <w:t xml:space="preserve"> </w:t>
      </w:r>
      <w:r w:rsidR="00773146" w:rsidRPr="00F130DE">
        <w:t>an</w:t>
      </w:r>
      <w:r w:rsidR="00C64050">
        <w:t xml:space="preserve"> </w:t>
      </w:r>
      <w:r w:rsidR="00773146" w:rsidRPr="00F130DE">
        <w:t>organization</w:t>
      </w:r>
      <w:r w:rsidR="00C64050">
        <w:t xml:space="preserve"> </w:t>
      </w:r>
      <w:r w:rsidR="00773146" w:rsidRPr="00F130DE">
        <w:t>described</w:t>
      </w:r>
      <w:r w:rsidR="00C64050">
        <w:t xml:space="preserve"> </w:t>
      </w:r>
      <w:r w:rsidR="00773146" w:rsidRPr="00F130DE">
        <w:t>in</w:t>
      </w:r>
      <w:r w:rsidR="00C64050">
        <w:t xml:space="preserve"> </w:t>
      </w:r>
      <w:r w:rsidR="00773146" w:rsidRPr="00F130DE">
        <w:t>§</w:t>
      </w:r>
      <w:r w:rsidR="00C64050">
        <w:t xml:space="preserve"> </w:t>
      </w:r>
      <w:r w:rsidR="00773146" w:rsidRPr="00F130DE">
        <w:t>170(c).</w:t>
      </w:r>
    </w:p>
    <w:p w:rsidR="00773146" w:rsidRPr="00F130DE" w:rsidRDefault="002302AE" w:rsidP="00244CEA">
      <w:pPr>
        <w:pStyle w:val="QS10"/>
      </w:pPr>
      <w:r>
        <w:t>(39</w:t>
      </w:r>
      <w:r w:rsidR="00773146" w:rsidRPr="00F130DE">
        <w:t>)</w:t>
      </w:r>
      <w:r w:rsidR="00C64050">
        <w:t xml:space="preserve"> </w:t>
      </w:r>
      <w:r w:rsidR="00773146" w:rsidRPr="00F130DE">
        <w:t>Section</w:t>
      </w:r>
      <w:r w:rsidR="00C64050">
        <w:t xml:space="preserve"> </w:t>
      </w:r>
      <w:r w:rsidR="00773146" w:rsidRPr="00F130DE">
        <w:t>170.—Charitable,</w:t>
      </w:r>
      <w:r w:rsidR="00C64050">
        <w:t xml:space="preserve"> </w:t>
      </w:r>
      <w:r w:rsidR="00773146" w:rsidRPr="00F130DE">
        <w:t>Etc.,</w:t>
      </w:r>
      <w:r w:rsidR="00C64050">
        <w:t xml:space="preserve"> </w:t>
      </w:r>
      <w:r w:rsidR="00773146" w:rsidRPr="00F130DE">
        <w:t>Contributions</w:t>
      </w:r>
      <w:r w:rsidR="00C64050">
        <w:t xml:space="preserve"> </w:t>
      </w:r>
      <w:r w:rsidR="00773146" w:rsidRPr="00F130DE">
        <w:t>and</w:t>
      </w:r>
      <w:r w:rsidR="00C64050">
        <w:t xml:space="preserve"> </w:t>
      </w:r>
      <w:r w:rsidR="00773146" w:rsidRPr="00F130DE">
        <w:t>Gifts.—Whether</w:t>
      </w:r>
      <w:r w:rsidR="00C64050">
        <w:t xml:space="preserve"> </w:t>
      </w:r>
      <w:r w:rsidR="00773146" w:rsidRPr="00F130DE">
        <w:t>a</w:t>
      </w:r>
      <w:r w:rsidR="00C64050">
        <w:t xml:space="preserve"> </w:t>
      </w:r>
      <w:r w:rsidR="00773146" w:rsidRPr="00F130DE">
        <w:t>taxpayer</w:t>
      </w:r>
      <w:r w:rsidR="00C64050">
        <w:t xml:space="preserve"> </w:t>
      </w:r>
      <w:r w:rsidR="00773146" w:rsidRPr="00F130DE">
        <w:t>who</w:t>
      </w:r>
      <w:r w:rsidR="00C64050">
        <w:t xml:space="preserve"> </w:t>
      </w:r>
      <w:r w:rsidR="00773146" w:rsidRPr="00F130DE">
        <w:t>advances</w:t>
      </w:r>
      <w:r w:rsidR="00C64050">
        <w:t xml:space="preserve"> </w:t>
      </w:r>
      <w:r w:rsidR="00773146" w:rsidRPr="00F130DE">
        <w:t>funds</w:t>
      </w:r>
      <w:r w:rsidR="00C64050">
        <w:t xml:space="preserve"> </w:t>
      </w:r>
      <w:r w:rsidR="00773146" w:rsidRPr="00F130DE">
        <w:t>to</w:t>
      </w:r>
      <w:r w:rsidR="00C64050">
        <w:t xml:space="preserve"> </w:t>
      </w:r>
      <w:r w:rsidR="00773146" w:rsidRPr="00F130DE">
        <w:t>a</w:t>
      </w:r>
      <w:r w:rsidR="00C64050">
        <w:t xml:space="preserve"> </w:t>
      </w:r>
      <w:r w:rsidR="00773146" w:rsidRPr="00F130DE">
        <w:t>charitable</w:t>
      </w:r>
      <w:r w:rsidR="00C64050">
        <w:t xml:space="preserve"> </w:t>
      </w:r>
      <w:r w:rsidR="00773146" w:rsidRPr="00F130DE">
        <w:t>organization</w:t>
      </w:r>
      <w:r w:rsidR="00C64050">
        <w:t xml:space="preserve"> </w:t>
      </w:r>
      <w:r w:rsidR="00773146" w:rsidRPr="00F130DE">
        <w:t>and</w:t>
      </w:r>
      <w:r w:rsidR="00C64050">
        <w:t xml:space="preserve"> </w:t>
      </w:r>
      <w:r w:rsidR="00773146" w:rsidRPr="00F130DE">
        <w:t>receives</w:t>
      </w:r>
      <w:r w:rsidR="00C64050">
        <w:t xml:space="preserve"> </w:t>
      </w:r>
      <w:r w:rsidR="00773146" w:rsidRPr="00F130DE">
        <w:t>therefor</w:t>
      </w:r>
      <w:r w:rsidR="00C64050">
        <w:t xml:space="preserve"> </w:t>
      </w:r>
      <w:r w:rsidR="00773146" w:rsidRPr="00F130DE">
        <w:t>a</w:t>
      </w:r>
      <w:r w:rsidR="00C64050">
        <w:t xml:space="preserve"> </w:t>
      </w:r>
      <w:r w:rsidR="00773146" w:rsidRPr="00F130DE">
        <w:t>promissory</w:t>
      </w:r>
      <w:r w:rsidR="00C64050">
        <w:t xml:space="preserve"> </w:t>
      </w:r>
      <w:r w:rsidR="00773146" w:rsidRPr="00F130DE">
        <w:t>note</w:t>
      </w:r>
      <w:r w:rsidR="00C64050">
        <w:t xml:space="preserve"> </w:t>
      </w:r>
      <w:r w:rsidR="00773146" w:rsidRPr="00F130DE">
        <w:t>may</w:t>
      </w:r>
      <w:r w:rsidR="00C64050">
        <w:t xml:space="preserve"> </w:t>
      </w:r>
      <w:r w:rsidR="00773146" w:rsidRPr="00F130DE">
        <w:t>deduct</w:t>
      </w:r>
      <w:r w:rsidR="00C64050">
        <w:t xml:space="preserve"> </w:t>
      </w:r>
      <w:r w:rsidR="00773146" w:rsidRPr="00F130DE">
        <w:t>as</w:t>
      </w:r>
      <w:r w:rsidR="00C64050">
        <w:t xml:space="preserve"> </w:t>
      </w:r>
      <w:r w:rsidR="00773146" w:rsidRPr="00F130DE">
        <w:t>contributions,</w:t>
      </w:r>
      <w:r w:rsidR="00C64050">
        <w:t xml:space="preserve"> </w:t>
      </w:r>
      <w:r w:rsidR="00773146" w:rsidRPr="00F130DE">
        <w:t>in</w:t>
      </w:r>
      <w:r w:rsidR="00C64050">
        <w:t xml:space="preserve"> </w:t>
      </w:r>
      <w:r w:rsidR="00773146" w:rsidRPr="00F130DE">
        <w:t>one</w:t>
      </w:r>
      <w:r w:rsidR="00C64050">
        <w:t xml:space="preserve"> </w:t>
      </w:r>
      <w:r w:rsidR="00773146" w:rsidRPr="00F130DE">
        <w:t>taxable</w:t>
      </w:r>
      <w:r w:rsidR="00C64050">
        <w:t xml:space="preserve"> </w:t>
      </w:r>
      <w:r w:rsidR="00773146" w:rsidRPr="00F130DE">
        <w:t>year</w:t>
      </w:r>
      <w:r w:rsidR="00C64050">
        <w:t xml:space="preserve"> </w:t>
      </w:r>
      <w:r w:rsidR="00773146" w:rsidRPr="00F130DE">
        <w:t>or</w:t>
      </w:r>
      <w:r w:rsidR="00C64050">
        <w:t xml:space="preserve"> </w:t>
      </w:r>
      <w:r w:rsidR="00773146" w:rsidRPr="00F130DE">
        <w:t>in</w:t>
      </w:r>
      <w:r w:rsidR="00C64050">
        <w:t xml:space="preserve"> </w:t>
      </w:r>
      <w:r w:rsidR="00773146" w:rsidRPr="00F130DE">
        <w:t>each</w:t>
      </w:r>
      <w:r w:rsidR="00C64050">
        <w:t xml:space="preserve"> </w:t>
      </w:r>
      <w:r w:rsidR="00773146" w:rsidRPr="00F130DE">
        <w:t>of</w:t>
      </w:r>
      <w:r w:rsidR="00C64050">
        <w:t xml:space="preserve"> </w:t>
      </w:r>
      <w:r w:rsidR="00773146" w:rsidRPr="00F130DE">
        <w:t>several</w:t>
      </w:r>
      <w:r w:rsidR="00C64050">
        <w:t xml:space="preserve"> </w:t>
      </w:r>
      <w:r w:rsidR="00773146" w:rsidRPr="00F130DE">
        <w:t>years,</w:t>
      </w:r>
      <w:r w:rsidR="00C64050">
        <w:t xml:space="preserve"> </w:t>
      </w:r>
      <w:r w:rsidR="00773146" w:rsidRPr="00F130DE">
        <w:t>amounts</w:t>
      </w:r>
      <w:r w:rsidR="00C64050">
        <w:t xml:space="preserve"> </w:t>
      </w:r>
      <w:r w:rsidR="00773146" w:rsidRPr="00F130DE">
        <w:t>forgiven</w:t>
      </w:r>
      <w:r w:rsidR="00C64050">
        <w:t xml:space="preserve"> </w:t>
      </w:r>
      <w:r w:rsidR="00773146" w:rsidRPr="00F130DE">
        <w:t>by</w:t>
      </w:r>
      <w:r w:rsidR="00C64050">
        <w:t xml:space="preserve"> </w:t>
      </w:r>
      <w:r w:rsidR="00773146" w:rsidRPr="00F130DE">
        <w:t>the</w:t>
      </w:r>
      <w:r w:rsidR="00C64050">
        <w:t xml:space="preserve"> </w:t>
      </w:r>
      <w:r w:rsidR="00773146" w:rsidRPr="00F130DE">
        <w:t>taxpayer</w:t>
      </w:r>
      <w:r w:rsidR="00C64050">
        <w:t xml:space="preserve"> </w:t>
      </w:r>
      <w:r w:rsidR="00773146" w:rsidRPr="00F130DE">
        <w:t>in</w:t>
      </w:r>
      <w:r w:rsidR="00C64050">
        <w:t xml:space="preserve"> </w:t>
      </w:r>
      <w:r w:rsidR="00773146" w:rsidRPr="00F130DE">
        <w:t>each</w:t>
      </w:r>
      <w:r w:rsidR="00C64050">
        <w:t xml:space="preserve"> </w:t>
      </w:r>
      <w:r w:rsidR="00773146" w:rsidRPr="00F130DE">
        <w:t>of</w:t>
      </w:r>
      <w:r w:rsidR="00C64050">
        <w:t xml:space="preserve"> </w:t>
      </w:r>
      <w:r w:rsidR="00773146" w:rsidRPr="00F130DE">
        <w:t>several</w:t>
      </w:r>
      <w:r w:rsidR="00C64050">
        <w:t xml:space="preserve"> </w:t>
      </w:r>
      <w:r w:rsidR="00773146" w:rsidRPr="00F130DE">
        <w:t>years</w:t>
      </w:r>
      <w:r w:rsidR="00C64050">
        <w:t xml:space="preserve"> </w:t>
      </w:r>
      <w:r w:rsidR="00773146" w:rsidRPr="00F130DE">
        <w:t>by</w:t>
      </w:r>
      <w:r w:rsidR="00C64050">
        <w:t xml:space="preserve"> </w:t>
      </w:r>
      <w:r w:rsidR="00773146" w:rsidRPr="00F130DE">
        <w:t>endorsement</w:t>
      </w:r>
      <w:r w:rsidR="00C64050">
        <w:t xml:space="preserve"> </w:t>
      </w:r>
      <w:r w:rsidR="00773146" w:rsidRPr="00F130DE">
        <w:t>on</w:t>
      </w:r>
      <w:r w:rsidR="00C64050">
        <w:t xml:space="preserve"> </w:t>
      </w:r>
      <w:r w:rsidR="00773146" w:rsidRPr="00F130DE">
        <w:t>the</w:t>
      </w:r>
      <w:r w:rsidR="00C64050">
        <w:t xml:space="preserve"> </w:t>
      </w:r>
      <w:r w:rsidR="00773146" w:rsidRPr="00F130DE">
        <w:t>note.</w:t>
      </w:r>
    </w:p>
    <w:p w:rsidR="00773146" w:rsidRDefault="002302AE" w:rsidP="00244CEA">
      <w:pPr>
        <w:pStyle w:val="QS10"/>
      </w:pPr>
      <w:r>
        <w:t>(81</w:t>
      </w:r>
      <w:r w:rsidR="00773146" w:rsidRPr="00F130DE">
        <w:t>)</w:t>
      </w:r>
      <w:r w:rsidR="00C64050">
        <w:t xml:space="preserve"> </w:t>
      </w:r>
      <w:r w:rsidR="00773146" w:rsidRPr="00F130DE">
        <w:t>Sections</w:t>
      </w:r>
      <w:r w:rsidR="00C64050">
        <w:t xml:space="preserve"> </w:t>
      </w:r>
      <w:r w:rsidR="00773146" w:rsidRPr="00F130DE">
        <w:t>507,</w:t>
      </w:r>
      <w:r w:rsidR="00C64050">
        <w:t xml:space="preserve"> </w:t>
      </w:r>
      <w:r w:rsidR="00773146" w:rsidRPr="00F130DE">
        <w:t>664,</w:t>
      </w:r>
      <w:r w:rsidR="00C64050">
        <w:t xml:space="preserve"> </w:t>
      </w:r>
      <w:r w:rsidR="00773146" w:rsidRPr="00F130DE">
        <w:t>4941,</w:t>
      </w:r>
      <w:r w:rsidR="00C64050">
        <w:t xml:space="preserve"> </w:t>
      </w:r>
      <w:r w:rsidR="00773146" w:rsidRPr="00F130DE">
        <w:t>and</w:t>
      </w:r>
      <w:r w:rsidR="00C64050">
        <w:t xml:space="preserve"> </w:t>
      </w:r>
      <w:r w:rsidR="00773146" w:rsidRPr="00F130DE">
        <w:t>4945.—Termination</w:t>
      </w:r>
      <w:r w:rsidR="00C64050">
        <w:t xml:space="preserve"> </w:t>
      </w:r>
      <w:r w:rsidR="00773146" w:rsidRPr="00F130DE">
        <w:t>of</w:t>
      </w:r>
      <w:r w:rsidR="00C64050">
        <w:t xml:space="preserve"> </w:t>
      </w:r>
      <w:r w:rsidR="00773146" w:rsidRPr="00F130DE">
        <w:t>Private</w:t>
      </w:r>
      <w:r w:rsidR="00C64050">
        <w:t xml:space="preserve"> </w:t>
      </w:r>
      <w:r w:rsidR="00773146" w:rsidRPr="00F130DE">
        <w:t>Foundation</w:t>
      </w:r>
      <w:r w:rsidR="00C64050">
        <w:t xml:space="preserve"> </w:t>
      </w:r>
      <w:r w:rsidR="00773146" w:rsidRPr="00F130DE">
        <w:t>Status;</w:t>
      </w:r>
      <w:r w:rsidR="00C64050">
        <w:t xml:space="preserve"> </w:t>
      </w:r>
      <w:r w:rsidR="00773146" w:rsidRPr="00F130DE">
        <w:t>Charitable</w:t>
      </w:r>
      <w:r w:rsidR="00C64050">
        <w:t xml:space="preserve"> </w:t>
      </w:r>
      <w:r w:rsidR="00773146" w:rsidRPr="00F130DE">
        <w:t>Remainder</w:t>
      </w:r>
      <w:r w:rsidR="00C64050">
        <w:t xml:space="preserve"> </w:t>
      </w:r>
      <w:r w:rsidR="00773146" w:rsidRPr="00F130DE">
        <w:t>Trusts;</w:t>
      </w:r>
      <w:r w:rsidR="00C64050">
        <w:t xml:space="preserve"> </w:t>
      </w:r>
      <w:r w:rsidR="00773146" w:rsidRPr="00F130DE">
        <w:t>Taxes</w:t>
      </w:r>
      <w:r w:rsidR="00C64050">
        <w:t xml:space="preserve"> </w:t>
      </w:r>
      <w:r w:rsidR="00773146" w:rsidRPr="00F130DE">
        <w:t>on</w:t>
      </w:r>
      <w:r w:rsidR="00C64050">
        <w:t xml:space="preserve"> </w:t>
      </w:r>
      <w:r w:rsidR="00773146" w:rsidRPr="00F130DE">
        <w:t>Self-Dealing;</w:t>
      </w:r>
      <w:r w:rsidR="00C64050">
        <w:t xml:space="preserve"> </w:t>
      </w:r>
      <w:r w:rsidR="00773146" w:rsidRPr="00F130DE">
        <w:t>Taxes</w:t>
      </w:r>
      <w:r w:rsidR="00C64050">
        <w:t xml:space="preserve"> </w:t>
      </w:r>
      <w:r w:rsidR="00773146" w:rsidRPr="00F130DE">
        <w:t>on</w:t>
      </w:r>
      <w:r w:rsidR="00C64050">
        <w:t xml:space="preserve"> </w:t>
      </w:r>
      <w:r w:rsidR="00773146" w:rsidRPr="00F130DE">
        <w:t>Taxable</w:t>
      </w:r>
      <w:r w:rsidR="00C64050">
        <w:t xml:space="preserve"> </w:t>
      </w:r>
      <w:r w:rsidR="00773146" w:rsidRPr="00F130DE">
        <w:t>Expenditures.—Issues</w:t>
      </w:r>
      <w:r w:rsidR="00C64050">
        <w:t xml:space="preserve"> </w:t>
      </w:r>
      <w:r w:rsidR="00773146" w:rsidRPr="00F130DE">
        <w:t>pertaining</w:t>
      </w:r>
      <w:r w:rsidR="00C64050">
        <w:t xml:space="preserve"> </w:t>
      </w:r>
      <w:r w:rsidR="00773146" w:rsidRPr="00F130DE">
        <w:t>to</w:t>
      </w:r>
      <w:r w:rsidR="00C64050">
        <w:t xml:space="preserve"> </w:t>
      </w:r>
      <w:r w:rsidR="00773146" w:rsidRPr="00F130DE">
        <w:t>the</w:t>
      </w:r>
      <w:r w:rsidR="00C64050">
        <w:t xml:space="preserve"> </w:t>
      </w:r>
      <w:r w:rsidR="00773146" w:rsidRPr="00F130DE">
        <w:t>tax</w:t>
      </w:r>
      <w:r w:rsidR="00C64050">
        <w:t xml:space="preserve"> </w:t>
      </w:r>
      <w:r w:rsidR="00773146" w:rsidRPr="00F130DE">
        <w:t>consequences</w:t>
      </w:r>
      <w:r w:rsidR="00C64050">
        <w:t xml:space="preserve"> </w:t>
      </w:r>
      <w:r w:rsidR="00773146" w:rsidRPr="00F130DE">
        <w:t>of</w:t>
      </w:r>
      <w:r w:rsidR="00C64050">
        <w:t xml:space="preserve"> </w:t>
      </w:r>
      <w:r w:rsidR="00773146" w:rsidRPr="00F130DE">
        <w:t>the</w:t>
      </w:r>
      <w:r w:rsidR="00C64050">
        <w:t xml:space="preserve"> </w:t>
      </w:r>
      <w:r w:rsidR="00773146" w:rsidRPr="00F130DE">
        <w:t>termination</w:t>
      </w:r>
      <w:r w:rsidR="00C64050">
        <w:t xml:space="preserve"> </w:t>
      </w:r>
      <w:r w:rsidR="00773146" w:rsidRPr="00F130DE">
        <w:t>of</w:t>
      </w:r>
      <w:r w:rsidR="00C64050">
        <w:t xml:space="preserve"> </w:t>
      </w:r>
      <w:r w:rsidR="00773146" w:rsidRPr="00F130DE">
        <w:t>a</w:t>
      </w:r>
      <w:r w:rsidR="00C64050">
        <w:t xml:space="preserve"> </w:t>
      </w:r>
      <w:r w:rsidR="00773146" w:rsidRPr="00F130DE">
        <w:t>charitable</w:t>
      </w:r>
      <w:r w:rsidR="00C64050">
        <w:t xml:space="preserve"> </w:t>
      </w:r>
      <w:r w:rsidR="00773146" w:rsidRPr="00F130DE">
        <w:t>remainder</w:t>
      </w:r>
      <w:r w:rsidR="00C64050">
        <w:t xml:space="preserve"> </w:t>
      </w:r>
      <w:r w:rsidR="00773146" w:rsidRPr="00F130DE">
        <w:t>trust</w:t>
      </w:r>
      <w:r w:rsidR="00C64050">
        <w:t xml:space="preserve"> </w:t>
      </w:r>
      <w:r w:rsidR="00773146" w:rsidRPr="00F130DE">
        <w:t>(as</w:t>
      </w:r>
      <w:r w:rsidR="00C64050">
        <w:t xml:space="preserve"> </w:t>
      </w:r>
      <w:r w:rsidR="00773146" w:rsidRPr="00F130DE">
        <w:t>defined</w:t>
      </w:r>
      <w:r w:rsidR="00C64050">
        <w:t xml:space="preserve"> </w:t>
      </w:r>
      <w:r w:rsidR="00773146" w:rsidRPr="00F130DE">
        <w:t>in</w:t>
      </w:r>
      <w:r w:rsidR="00C64050">
        <w:t xml:space="preserve"> </w:t>
      </w:r>
      <w:r w:rsidR="00773146" w:rsidRPr="00F130DE">
        <w:t>§</w:t>
      </w:r>
      <w:r w:rsidR="00C64050">
        <w:t xml:space="preserve"> </w:t>
      </w:r>
      <w:r w:rsidR="00773146" w:rsidRPr="00F130DE">
        <w:t>664)</w:t>
      </w:r>
      <w:r w:rsidR="00C64050">
        <w:t xml:space="preserve"> </w:t>
      </w:r>
      <w:r w:rsidR="00773146" w:rsidRPr="00F130DE">
        <w:t>before</w:t>
      </w:r>
      <w:r w:rsidR="00C64050">
        <w:t xml:space="preserve"> </w:t>
      </w:r>
      <w:r w:rsidR="00773146" w:rsidRPr="00F130DE">
        <w:t>the</w:t>
      </w:r>
      <w:r w:rsidR="00C64050">
        <w:t xml:space="preserve"> </w:t>
      </w:r>
      <w:r w:rsidR="00773146" w:rsidRPr="00F130DE">
        <w:t>end</w:t>
      </w:r>
      <w:r w:rsidR="00C64050">
        <w:t xml:space="preserve"> </w:t>
      </w:r>
      <w:r w:rsidR="00773146" w:rsidRPr="00F130DE">
        <w:t>of</w:t>
      </w:r>
      <w:r w:rsidR="00C64050">
        <w:t xml:space="preserve"> </w:t>
      </w:r>
      <w:r w:rsidR="00773146" w:rsidRPr="00F130DE">
        <w:t>the</w:t>
      </w:r>
      <w:r w:rsidR="00C64050">
        <w:t xml:space="preserve"> </w:t>
      </w:r>
      <w:r w:rsidR="00773146" w:rsidRPr="00F130DE">
        <w:t>trust</w:t>
      </w:r>
      <w:r w:rsidR="00C64050">
        <w:t xml:space="preserve"> </w:t>
      </w:r>
      <w:r w:rsidR="00773146" w:rsidRPr="00F130DE">
        <w:t>term</w:t>
      </w:r>
      <w:r w:rsidR="00C64050">
        <w:t xml:space="preserve"> </w:t>
      </w:r>
      <w:r w:rsidR="00773146" w:rsidRPr="00F130DE">
        <w:t>as</w:t>
      </w:r>
      <w:r w:rsidR="00C64050">
        <w:t xml:space="preserve"> </w:t>
      </w:r>
      <w:r w:rsidR="00773146" w:rsidRPr="00F130DE">
        <w:t>defined</w:t>
      </w:r>
      <w:r w:rsidR="00C64050">
        <w:t xml:space="preserve"> </w:t>
      </w:r>
      <w:r w:rsidR="00773146" w:rsidRPr="00F130DE">
        <w:t>in</w:t>
      </w:r>
      <w:r w:rsidR="00C64050">
        <w:t xml:space="preserve"> </w:t>
      </w:r>
      <w:r w:rsidR="00773146" w:rsidRPr="00F130DE">
        <w:t>the</w:t>
      </w:r>
      <w:r w:rsidR="00C64050">
        <w:t xml:space="preserve"> </w:t>
      </w:r>
      <w:r w:rsidR="00773146" w:rsidRPr="00F130DE">
        <w:t>trust's</w:t>
      </w:r>
      <w:r w:rsidR="00C64050">
        <w:t xml:space="preserve"> </w:t>
      </w:r>
      <w:r w:rsidR="00773146" w:rsidRPr="00F130DE">
        <w:t>governing</w:t>
      </w:r>
      <w:r w:rsidR="00C64050">
        <w:t xml:space="preserve"> </w:t>
      </w:r>
      <w:r w:rsidR="00773146" w:rsidRPr="00F130DE">
        <w:t>instrument</w:t>
      </w:r>
      <w:r w:rsidR="00C64050">
        <w:t xml:space="preserve"> </w:t>
      </w:r>
      <w:r w:rsidR="00773146" w:rsidRPr="00F130DE">
        <w:t>in</w:t>
      </w:r>
      <w:r w:rsidR="00C64050">
        <w:t xml:space="preserve"> </w:t>
      </w:r>
      <w:r w:rsidR="00773146" w:rsidRPr="00F130DE">
        <w:t>a</w:t>
      </w:r>
      <w:r w:rsidR="00C64050">
        <w:t xml:space="preserve"> </w:t>
      </w:r>
      <w:r w:rsidR="00773146" w:rsidRPr="00F130DE">
        <w:t>transaction</w:t>
      </w:r>
      <w:r w:rsidR="00C64050">
        <w:t xml:space="preserve"> </w:t>
      </w:r>
      <w:r w:rsidR="00773146" w:rsidRPr="00F130DE">
        <w:t>in</w:t>
      </w:r>
      <w:r w:rsidR="00C64050">
        <w:t xml:space="preserve"> </w:t>
      </w:r>
      <w:r w:rsidR="00773146" w:rsidRPr="00F130DE">
        <w:t>which</w:t>
      </w:r>
      <w:r w:rsidR="00C64050">
        <w:t xml:space="preserve"> </w:t>
      </w:r>
      <w:r w:rsidR="00773146" w:rsidRPr="00F130DE">
        <w:t>the</w:t>
      </w:r>
      <w:r w:rsidR="00C64050">
        <w:t xml:space="preserve"> </w:t>
      </w:r>
      <w:r w:rsidR="00773146" w:rsidRPr="00F130DE">
        <w:t>trust</w:t>
      </w:r>
      <w:r w:rsidR="00C64050">
        <w:t xml:space="preserve"> </w:t>
      </w:r>
      <w:r w:rsidR="00773146" w:rsidRPr="00F130DE">
        <w:t>beneficiaries</w:t>
      </w:r>
      <w:r w:rsidR="00C64050">
        <w:t xml:space="preserve"> </w:t>
      </w:r>
      <w:r w:rsidR="00773146" w:rsidRPr="00F130DE">
        <w:t>receive</w:t>
      </w:r>
      <w:r w:rsidR="00C64050">
        <w:t xml:space="preserve"> </w:t>
      </w:r>
      <w:r w:rsidR="00773146" w:rsidRPr="00F130DE">
        <w:t>their</w:t>
      </w:r>
      <w:r w:rsidR="00C64050">
        <w:t xml:space="preserve"> </w:t>
      </w:r>
      <w:r w:rsidR="00773146" w:rsidRPr="00F130DE">
        <w:t>actuarial</w:t>
      </w:r>
      <w:r w:rsidR="00C64050">
        <w:t xml:space="preserve"> </w:t>
      </w:r>
      <w:r w:rsidR="00773146" w:rsidRPr="00F130DE">
        <w:t>shares</w:t>
      </w:r>
      <w:r w:rsidR="00C64050">
        <w:t xml:space="preserve"> </w:t>
      </w:r>
      <w:r w:rsidR="00773146" w:rsidRPr="00F130DE">
        <w:t>of</w:t>
      </w:r>
      <w:r w:rsidR="00C64050">
        <w:t xml:space="preserve"> </w:t>
      </w:r>
      <w:r w:rsidR="00773146" w:rsidRPr="00F130DE">
        <w:t>the</w:t>
      </w:r>
      <w:r w:rsidR="00C64050">
        <w:t xml:space="preserve"> </w:t>
      </w:r>
      <w:r w:rsidR="00773146" w:rsidRPr="00F130DE">
        <w:t>value</w:t>
      </w:r>
      <w:r w:rsidR="00C64050">
        <w:t xml:space="preserve"> </w:t>
      </w:r>
      <w:r w:rsidR="00773146" w:rsidRPr="00F130DE">
        <w:t>of</w:t>
      </w:r>
      <w:r w:rsidR="00C64050">
        <w:t xml:space="preserve"> </w:t>
      </w:r>
      <w:r w:rsidR="00773146" w:rsidRPr="00F130DE">
        <w:t>the</w:t>
      </w:r>
      <w:r w:rsidR="00C64050">
        <w:t xml:space="preserve"> </w:t>
      </w:r>
      <w:r w:rsidR="00773146" w:rsidRPr="00F130DE">
        <w:t>trust</w:t>
      </w:r>
      <w:r w:rsidR="00C64050">
        <w:t xml:space="preserve"> </w:t>
      </w:r>
      <w:r w:rsidR="00773146" w:rsidRPr="00F130DE">
        <w:t>assets.</w:t>
      </w:r>
    </w:p>
    <w:p w:rsidR="003D0A06" w:rsidRDefault="003D0A06" w:rsidP="00244CEA">
      <w:pPr>
        <w:pStyle w:val="QS10"/>
        <w:rPr>
          <w:color w:val="333333"/>
          <w:szCs w:val="20"/>
          <w:lang w:val="en"/>
        </w:rPr>
      </w:pPr>
      <w:r>
        <w:rPr>
          <w:color w:val="333333"/>
          <w:szCs w:val="20"/>
          <w:lang w:val="en"/>
        </w:rPr>
        <w:t>(87) Section 641.</w:t>
      </w:r>
      <w:r w:rsidR="006A2FEF" w:rsidRPr="006A2FEF">
        <w:t xml:space="preserve"> </w:t>
      </w:r>
      <w:r w:rsidR="006A2FEF" w:rsidRPr="00F130DE">
        <w:t>—</w:t>
      </w:r>
      <w:r>
        <w:rPr>
          <w:color w:val="333333"/>
          <w:szCs w:val="20"/>
          <w:lang w:val="en"/>
        </w:rPr>
        <w:t>Imposition of Tax.</w:t>
      </w:r>
      <w:r w:rsidR="006A2FEF" w:rsidRPr="006A2FEF">
        <w:t xml:space="preserve"> </w:t>
      </w:r>
      <w:r w:rsidR="006A2FEF" w:rsidRPr="00F130DE">
        <w:t>—</w:t>
      </w:r>
      <w:r>
        <w:rPr>
          <w:color w:val="333333"/>
          <w:szCs w:val="20"/>
          <w:lang w:val="en"/>
        </w:rPr>
        <w:t>Whether the period of administration or settlement of an estate or a trust (other than a trust described in §664) is reasonable or unduly prolonged.</w:t>
      </w:r>
    </w:p>
    <w:p w:rsidR="003D0A06" w:rsidRDefault="003D0A06" w:rsidP="00244CEA">
      <w:pPr>
        <w:pStyle w:val="QS10"/>
        <w:rPr>
          <w:color w:val="333333"/>
          <w:szCs w:val="20"/>
          <w:lang w:val="en"/>
        </w:rPr>
      </w:pPr>
      <w:r>
        <w:rPr>
          <w:color w:val="333333"/>
          <w:szCs w:val="20"/>
          <w:lang w:val="en"/>
        </w:rPr>
        <w:t xml:space="preserve">(88) Section 642(c). </w:t>
      </w:r>
      <w:r w:rsidR="006A2FEF" w:rsidRPr="00F130DE">
        <w:t>—</w:t>
      </w:r>
      <w:r>
        <w:rPr>
          <w:color w:val="333333"/>
          <w:szCs w:val="20"/>
          <w:lang w:val="en"/>
        </w:rPr>
        <w:t xml:space="preserve">Deduction for Amounts Paid or Permanently Set Aside for a Charitable Purpose. </w:t>
      </w:r>
      <w:r w:rsidR="006A2FEF" w:rsidRPr="00F130DE">
        <w:t>—</w:t>
      </w:r>
      <w:r>
        <w:rPr>
          <w:color w:val="333333"/>
          <w:szCs w:val="20"/>
          <w:lang w:val="en"/>
        </w:rPr>
        <w:t>Allowance of an unlimited deduction for amounts set aside by a trust or estate for charitable purposes when there is a possibility that the corpus of the trust or estate may be invaded.</w:t>
      </w:r>
    </w:p>
    <w:p w:rsidR="00773146" w:rsidRDefault="002302AE" w:rsidP="00244CEA">
      <w:pPr>
        <w:pStyle w:val="QS10"/>
        <w:rPr>
          <w:color w:val="333333"/>
          <w:szCs w:val="20"/>
          <w:lang w:val="en"/>
        </w:rPr>
      </w:pPr>
      <w:r>
        <w:rPr>
          <w:color w:val="333333"/>
          <w:szCs w:val="20"/>
          <w:lang w:val="en"/>
        </w:rPr>
        <w:t>(89</w:t>
      </w:r>
      <w:r w:rsidR="00773146" w:rsidRPr="00BA2AC9">
        <w:rPr>
          <w:color w:val="333333"/>
          <w:szCs w:val="20"/>
          <w:lang w:val="en"/>
        </w:rPr>
        <w:t>)</w:t>
      </w:r>
      <w:r w:rsidR="00C64050">
        <w:rPr>
          <w:color w:val="333333"/>
          <w:szCs w:val="20"/>
          <w:lang w:val="en"/>
        </w:rPr>
        <w:t xml:space="preserve"> </w:t>
      </w:r>
      <w:r w:rsidR="00773146" w:rsidRPr="00BA2AC9">
        <w:rPr>
          <w:color w:val="333333"/>
          <w:szCs w:val="20"/>
          <w:lang w:val="en"/>
        </w:rPr>
        <w:t>Section</w:t>
      </w:r>
      <w:r w:rsidR="00C64050">
        <w:rPr>
          <w:color w:val="333333"/>
          <w:szCs w:val="20"/>
          <w:lang w:val="en"/>
        </w:rPr>
        <w:t xml:space="preserve"> </w:t>
      </w:r>
      <w:r w:rsidR="00773146" w:rsidRPr="00BA2AC9">
        <w:rPr>
          <w:color w:val="333333"/>
          <w:szCs w:val="20"/>
          <w:lang w:val="en"/>
        </w:rPr>
        <w:t>643(f).—Treatment</w:t>
      </w:r>
      <w:r w:rsidR="00C64050">
        <w:rPr>
          <w:color w:val="333333"/>
          <w:szCs w:val="20"/>
          <w:lang w:val="en"/>
        </w:rPr>
        <w:t xml:space="preserve"> </w:t>
      </w:r>
      <w:r w:rsidR="00773146" w:rsidRPr="00BA2AC9">
        <w:rPr>
          <w:color w:val="333333"/>
          <w:szCs w:val="20"/>
          <w:lang w:val="en"/>
        </w:rPr>
        <w:t>of</w:t>
      </w:r>
      <w:r w:rsidR="00C64050">
        <w:rPr>
          <w:color w:val="333333"/>
          <w:szCs w:val="20"/>
          <w:lang w:val="en"/>
        </w:rPr>
        <w:t xml:space="preserve"> </w:t>
      </w:r>
      <w:r w:rsidR="00773146" w:rsidRPr="00BA2AC9">
        <w:rPr>
          <w:color w:val="333333"/>
          <w:szCs w:val="20"/>
          <w:lang w:val="en"/>
        </w:rPr>
        <w:t>multiple</w:t>
      </w:r>
      <w:r w:rsidR="00C64050">
        <w:rPr>
          <w:color w:val="333333"/>
          <w:szCs w:val="20"/>
          <w:lang w:val="en"/>
        </w:rPr>
        <w:t xml:space="preserve"> </w:t>
      </w:r>
      <w:r w:rsidR="00773146" w:rsidRPr="00BA2AC9">
        <w:rPr>
          <w:color w:val="333333"/>
          <w:szCs w:val="20"/>
          <w:lang w:val="en"/>
        </w:rPr>
        <w:t>trusts.—Whether</w:t>
      </w:r>
      <w:r w:rsidR="00C64050">
        <w:rPr>
          <w:color w:val="333333"/>
          <w:szCs w:val="20"/>
          <w:lang w:val="en"/>
        </w:rPr>
        <w:t xml:space="preserve"> </w:t>
      </w:r>
      <w:r w:rsidR="00773146" w:rsidRPr="00BA2AC9">
        <w:rPr>
          <w:color w:val="333333"/>
          <w:szCs w:val="20"/>
          <w:lang w:val="en"/>
        </w:rPr>
        <w:t>two</w:t>
      </w:r>
      <w:r w:rsidR="00C64050">
        <w:rPr>
          <w:color w:val="333333"/>
          <w:szCs w:val="20"/>
          <w:lang w:val="en"/>
        </w:rPr>
        <w:t xml:space="preserve"> </w:t>
      </w:r>
      <w:r w:rsidR="00773146" w:rsidRPr="00BA2AC9">
        <w:rPr>
          <w:color w:val="333333"/>
          <w:szCs w:val="20"/>
          <w:lang w:val="en"/>
        </w:rPr>
        <w:t>or</w:t>
      </w:r>
      <w:r w:rsidR="00C64050">
        <w:rPr>
          <w:color w:val="333333"/>
          <w:szCs w:val="20"/>
          <w:lang w:val="en"/>
        </w:rPr>
        <w:t xml:space="preserve"> </w:t>
      </w:r>
      <w:r w:rsidR="00773146" w:rsidRPr="00BA2AC9">
        <w:rPr>
          <w:color w:val="333333"/>
          <w:szCs w:val="20"/>
          <w:lang w:val="en"/>
        </w:rPr>
        <w:t>more</w:t>
      </w:r>
      <w:r w:rsidR="00C64050">
        <w:rPr>
          <w:color w:val="333333"/>
          <w:szCs w:val="20"/>
          <w:lang w:val="en"/>
        </w:rPr>
        <w:t xml:space="preserve"> </w:t>
      </w:r>
      <w:r w:rsidR="00773146" w:rsidRPr="00BA2AC9">
        <w:rPr>
          <w:color w:val="333333"/>
          <w:szCs w:val="20"/>
          <w:lang w:val="en"/>
        </w:rPr>
        <w:t>trusts</w:t>
      </w:r>
      <w:r w:rsidR="00C64050">
        <w:rPr>
          <w:color w:val="333333"/>
          <w:szCs w:val="20"/>
          <w:lang w:val="en"/>
        </w:rPr>
        <w:t xml:space="preserve"> </w:t>
      </w:r>
      <w:r w:rsidR="00773146" w:rsidRPr="00BA2AC9">
        <w:rPr>
          <w:color w:val="333333"/>
          <w:szCs w:val="20"/>
          <w:lang w:val="en"/>
        </w:rPr>
        <w:t>shall</w:t>
      </w:r>
      <w:r w:rsidR="00C64050">
        <w:rPr>
          <w:color w:val="333333"/>
          <w:szCs w:val="20"/>
          <w:lang w:val="en"/>
        </w:rPr>
        <w:t xml:space="preserve"> </w:t>
      </w:r>
      <w:r w:rsidR="00773146" w:rsidRPr="00BA2AC9">
        <w:rPr>
          <w:color w:val="333333"/>
          <w:szCs w:val="20"/>
          <w:lang w:val="en"/>
        </w:rPr>
        <w:t>be</w:t>
      </w:r>
      <w:r w:rsidR="00C64050">
        <w:rPr>
          <w:color w:val="333333"/>
          <w:szCs w:val="20"/>
          <w:lang w:val="en"/>
        </w:rPr>
        <w:t xml:space="preserve"> </w:t>
      </w:r>
      <w:r w:rsidR="00773146" w:rsidRPr="00BA2AC9">
        <w:rPr>
          <w:color w:val="333333"/>
          <w:szCs w:val="20"/>
          <w:lang w:val="en"/>
        </w:rPr>
        <w:t>treated</w:t>
      </w:r>
      <w:r w:rsidR="00C64050">
        <w:rPr>
          <w:color w:val="333333"/>
          <w:szCs w:val="20"/>
          <w:lang w:val="en"/>
        </w:rPr>
        <w:t xml:space="preserve"> </w:t>
      </w:r>
      <w:r w:rsidR="00773146" w:rsidRPr="00BA2AC9">
        <w:rPr>
          <w:color w:val="333333"/>
          <w:szCs w:val="20"/>
          <w:lang w:val="en"/>
        </w:rPr>
        <w:t>as</w:t>
      </w:r>
      <w:r w:rsidR="00C64050">
        <w:rPr>
          <w:color w:val="333333"/>
          <w:szCs w:val="20"/>
          <w:lang w:val="en"/>
        </w:rPr>
        <w:t xml:space="preserve"> </w:t>
      </w:r>
      <w:r w:rsidR="00773146" w:rsidRPr="00BA2AC9">
        <w:rPr>
          <w:color w:val="333333"/>
          <w:szCs w:val="20"/>
          <w:lang w:val="en"/>
        </w:rPr>
        <w:t>one</w:t>
      </w:r>
      <w:r w:rsidR="00C64050">
        <w:rPr>
          <w:color w:val="333333"/>
          <w:szCs w:val="20"/>
          <w:lang w:val="en"/>
        </w:rPr>
        <w:t xml:space="preserve"> </w:t>
      </w:r>
      <w:r w:rsidR="00773146" w:rsidRPr="00BA2AC9">
        <w:rPr>
          <w:color w:val="333333"/>
          <w:szCs w:val="20"/>
          <w:lang w:val="en"/>
        </w:rPr>
        <w:t>trust</w:t>
      </w:r>
      <w:r w:rsidR="00C64050">
        <w:rPr>
          <w:color w:val="333333"/>
          <w:szCs w:val="20"/>
          <w:lang w:val="en"/>
        </w:rPr>
        <w:t xml:space="preserve"> </w:t>
      </w:r>
      <w:r w:rsidR="00773146" w:rsidRPr="00BA2AC9">
        <w:rPr>
          <w:color w:val="333333"/>
          <w:szCs w:val="20"/>
          <w:lang w:val="en"/>
        </w:rPr>
        <w:t>for</w:t>
      </w:r>
      <w:r w:rsidR="00C64050">
        <w:rPr>
          <w:color w:val="333333"/>
          <w:szCs w:val="20"/>
          <w:lang w:val="en"/>
        </w:rPr>
        <w:t xml:space="preserve"> </w:t>
      </w:r>
      <w:r w:rsidR="00773146" w:rsidRPr="00BA2AC9">
        <w:rPr>
          <w:color w:val="333333"/>
          <w:szCs w:val="20"/>
          <w:lang w:val="en"/>
        </w:rPr>
        <w:t>purposes</w:t>
      </w:r>
      <w:r w:rsidR="00C64050">
        <w:rPr>
          <w:color w:val="333333"/>
          <w:szCs w:val="20"/>
          <w:lang w:val="en"/>
        </w:rPr>
        <w:t xml:space="preserve"> </w:t>
      </w:r>
      <w:r w:rsidR="00773146" w:rsidRPr="00BA2AC9">
        <w:rPr>
          <w:color w:val="333333"/>
          <w:szCs w:val="20"/>
          <w:lang w:val="en"/>
        </w:rPr>
        <w:t>of</w:t>
      </w:r>
      <w:r w:rsidR="00C64050">
        <w:rPr>
          <w:color w:val="333333"/>
          <w:szCs w:val="20"/>
          <w:lang w:val="en"/>
        </w:rPr>
        <w:t xml:space="preserve"> </w:t>
      </w:r>
      <w:r w:rsidR="00773146" w:rsidRPr="00BA2AC9">
        <w:rPr>
          <w:color w:val="333333"/>
          <w:szCs w:val="20"/>
          <w:lang w:val="en"/>
        </w:rPr>
        <w:t>subchapter</w:t>
      </w:r>
      <w:r w:rsidR="00C64050">
        <w:rPr>
          <w:color w:val="333333"/>
          <w:szCs w:val="20"/>
          <w:lang w:val="en"/>
        </w:rPr>
        <w:t xml:space="preserve"> </w:t>
      </w:r>
      <w:r w:rsidR="00773146" w:rsidRPr="00BA2AC9">
        <w:rPr>
          <w:color w:val="333333"/>
          <w:szCs w:val="20"/>
          <w:lang w:val="en"/>
        </w:rPr>
        <w:t>J</w:t>
      </w:r>
      <w:r w:rsidR="00C64050">
        <w:rPr>
          <w:color w:val="333333"/>
          <w:szCs w:val="20"/>
          <w:lang w:val="en"/>
        </w:rPr>
        <w:t xml:space="preserve"> </w:t>
      </w:r>
      <w:r w:rsidR="00773146" w:rsidRPr="00BA2AC9">
        <w:rPr>
          <w:color w:val="333333"/>
          <w:szCs w:val="20"/>
          <w:lang w:val="en"/>
        </w:rPr>
        <w:t>of</w:t>
      </w:r>
      <w:r w:rsidR="00C64050">
        <w:rPr>
          <w:color w:val="333333"/>
          <w:szCs w:val="20"/>
          <w:lang w:val="en"/>
        </w:rPr>
        <w:t xml:space="preserve"> </w:t>
      </w:r>
      <w:r w:rsidR="00773146" w:rsidRPr="00BA2AC9">
        <w:rPr>
          <w:color w:val="333333"/>
          <w:szCs w:val="20"/>
          <w:lang w:val="en"/>
        </w:rPr>
        <w:t>chapter</w:t>
      </w:r>
      <w:r w:rsidR="00C64050">
        <w:rPr>
          <w:color w:val="333333"/>
          <w:szCs w:val="20"/>
          <w:lang w:val="en"/>
        </w:rPr>
        <w:t xml:space="preserve"> </w:t>
      </w:r>
      <w:r w:rsidR="00773146" w:rsidRPr="00BA2AC9">
        <w:rPr>
          <w:color w:val="333333"/>
          <w:szCs w:val="20"/>
          <w:lang w:val="en"/>
        </w:rPr>
        <w:t>1.</w:t>
      </w:r>
      <w:r>
        <w:rPr>
          <w:color w:val="333333"/>
          <w:szCs w:val="20"/>
          <w:lang w:val="en"/>
        </w:rPr>
        <w:t xml:space="preserve"> </w:t>
      </w:r>
    </w:p>
    <w:p w:rsidR="003D0A06" w:rsidRPr="00BA2AC9" w:rsidRDefault="003D0A06" w:rsidP="00244CEA">
      <w:pPr>
        <w:pStyle w:val="QS10"/>
        <w:rPr>
          <w:color w:val="333333"/>
          <w:szCs w:val="20"/>
          <w:lang w:val="en"/>
        </w:rPr>
      </w:pPr>
      <w:r>
        <w:rPr>
          <w:color w:val="333333"/>
          <w:szCs w:val="20"/>
          <w:lang w:val="en"/>
        </w:rPr>
        <w:t xml:space="preserve">(90) Section 664. </w:t>
      </w:r>
      <w:r w:rsidR="006A2FEF" w:rsidRPr="00F130DE">
        <w:t>—</w:t>
      </w:r>
      <w:r>
        <w:rPr>
          <w:color w:val="333333"/>
          <w:szCs w:val="20"/>
          <w:lang w:val="en"/>
        </w:rPr>
        <w:t xml:space="preserve">Charitable Remainder Trusts. </w:t>
      </w:r>
      <w:r w:rsidR="006A2FEF" w:rsidRPr="00F130DE">
        <w:t>—</w:t>
      </w:r>
      <w:r>
        <w:rPr>
          <w:color w:val="333333"/>
          <w:szCs w:val="20"/>
          <w:lang w:val="en"/>
        </w:rPr>
        <w:t xml:space="preserve">Whether the settlement of a charitable remainder trust upon the termination of the noncharitable interest is made within a </w:t>
      </w:r>
      <w:r w:rsidR="00937C87">
        <w:rPr>
          <w:color w:val="333333"/>
          <w:szCs w:val="20"/>
          <w:lang w:val="en"/>
        </w:rPr>
        <w:t>reasonable</w:t>
      </w:r>
      <w:r>
        <w:rPr>
          <w:color w:val="333333"/>
          <w:szCs w:val="20"/>
          <w:lang w:val="en"/>
        </w:rPr>
        <w:t xml:space="preserve"> period of time.</w:t>
      </w:r>
    </w:p>
    <w:p w:rsidR="00773146" w:rsidRPr="00F130DE" w:rsidRDefault="00773146" w:rsidP="00244CEA">
      <w:pPr>
        <w:pStyle w:val="QS10"/>
      </w:pPr>
      <w:r>
        <w:t>(</w:t>
      </w:r>
      <w:r w:rsidR="002302AE">
        <w:t>92</w:t>
      </w:r>
      <w:r w:rsidRPr="00F130DE">
        <w:t>)</w:t>
      </w:r>
      <w:r w:rsidR="00C64050">
        <w:t xml:space="preserve"> </w:t>
      </w:r>
      <w:r w:rsidRPr="00F130DE">
        <w:t>Section</w:t>
      </w:r>
      <w:r w:rsidR="00C64050">
        <w:t xml:space="preserve"> </w:t>
      </w:r>
      <w:r w:rsidRPr="00F130DE">
        <w:t>671.—Trust</w:t>
      </w:r>
      <w:r w:rsidR="00C64050">
        <w:t xml:space="preserve"> </w:t>
      </w:r>
      <w:r w:rsidRPr="00F130DE">
        <w:t>Income,</w:t>
      </w:r>
      <w:r w:rsidR="00C64050">
        <w:t xml:space="preserve"> </w:t>
      </w:r>
      <w:r w:rsidRPr="00F130DE">
        <w:t>Deductions,</w:t>
      </w:r>
      <w:r w:rsidR="00C64050">
        <w:t xml:space="preserve"> </w:t>
      </w:r>
      <w:r w:rsidRPr="00F130DE">
        <w:t>and</w:t>
      </w:r>
      <w:r w:rsidR="00C64050">
        <w:t xml:space="preserve"> </w:t>
      </w:r>
      <w:r w:rsidRPr="00F130DE">
        <w:t>Credits</w:t>
      </w:r>
      <w:r w:rsidR="00C64050">
        <w:t xml:space="preserve"> </w:t>
      </w:r>
      <w:r w:rsidRPr="00F130DE">
        <w:t>Attributable</w:t>
      </w:r>
      <w:r w:rsidR="00C64050">
        <w:t xml:space="preserve"> </w:t>
      </w:r>
      <w:r w:rsidRPr="00F130DE">
        <w:t>to</w:t>
      </w:r>
      <w:r w:rsidR="00C64050">
        <w:t xml:space="preserve"> </w:t>
      </w:r>
      <w:r w:rsidRPr="00F130DE">
        <w:t>Grantors</w:t>
      </w:r>
      <w:r w:rsidR="00C64050">
        <w:t xml:space="preserve"> </w:t>
      </w:r>
      <w:r w:rsidRPr="00F130DE">
        <w:t>and</w:t>
      </w:r>
      <w:r w:rsidR="00C64050">
        <w:t xml:space="preserve"> </w:t>
      </w:r>
      <w:r w:rsidRPr="00F130DE">
        <w:t>Others</w:t>
      </w:r>
      <w:r w:rsidR="00C64050">
        <w:t xml:space="preserve"> </w:t>
      </w:r>
      <w:r w:rsidRPr="00F130DE">
        <w:t>as</w:t>
      </w:r>
      <w:r w:rsidR="00C64050">
        <w:t xml:space="preserve"> </w:t>
      </w:r>
      <w:r w:rsidRPr="00F130DE">
        <w:t>Substantial</w:t>
      </w:r>
      <w:r w:rsidR="00C64050">
        <w:t xml:space="preserve"> </w:t>
      </w:r>
      <w:r w:rsidRPr="00F130DE">
        <w:t>Owners.—Whether</w:t>
      </w:r>
      <w:r w:rsidR="00C64050">
        <w:t xml:space="preserve"> </w:t>
      </w:r>
      <w:r w:rsidRPr="00F130DE">
        <w:t>the</w:t>
      </w:r>
      <w:r w:rsidR="00C64050">
        <w:t xml:space="preserve"> </w:t>
      </w:r>
      <w:r w:rsidRPr="00F130DE">
        <w:t>grantor</w:t>
      </w:r>
      <w:r w:rsidR="00C64050">
        <w:t xml:space="preserve"> </w:t>
      </w:r>
      <w:r w:rsidRPr="00F130DE">
        <w:t>will</w:t>
      </w:r>
      <w:r w:rsidR="00C64050">
        <w:t xml:space="preserve"> </w:t>
      </w:r>
      <w:r w:rsidRPr="00F130DE">
        <w:t>be</w:t>
      </w:r>
      <w:r w:rsidR="00C64050">
        <w:t xml:space="preserve"> </w:t>
      </w:r>
      <w:r w:rsidRPr="00F130DE">
        <w:t>considered</w:t>
      </w:r>
      <w:r w:rsidR="00C64050">
        <w:t xml:space="preserve"> </w:t>
      </w:r>
      <w:r w:rsidRPr="00F130DE">
        <w:t>the</w:t>
      </w:r>
      <w:r w:rsidR="00C64050">
        <w:t xml:space="preserve"> </w:t>
      </w:r>
      <w:r w:rsidRPr="00F130DE">
        <w:t>owner</w:t>
      </w:r>
      <w:r w:rsidR="00C64050">
        <w:t xml:space="preserve"> </w:t>
      </w:r>
      <w:r w:rsidRPr="00F130DE">
        <w:t>of</w:t>
      </w:r>
      <w:r w:rsidR="00C64050">
        <w:t xml:space="preserve"> </w:t>
      </w:r>
      <w:r w:rsidRPr="00F130DE">
        <w:t>any</w:t>
      </w:r>
      <w:r w:rsidR="00C64050">
        <w:t xml:space="preserve"> </w:t>
      </w:r>
      <w:r w:rsidRPr="00F130DE">
        <w:t>portion</w:t>
      </w:r>
      <w:r w:rsidR="00C64050">
        <w:t xml:space="preserve"> </w:t>
      </w:r>
      <w:r w:rsidRPr="00F130DE">
        <w:t>of</w:t>
      </w:r>
      <w:r w:rsidR="00C64050">
        <w:t xml:space="preserve"> </w:t>
      </w:r>
      <w:r w:rsidRPr="00F130DE">
        <w:t>a</w:t>
      </w:r>
      <w:r w:rsidR="00C64050">
        <w:t xml:space="preserve"> </w:t>
      </w:r>
      <w:r w:rsidRPr="00F130DE">
        <w:t>trust</w:t>
      </w:r>
      <w:r w:rsidR="00C64050">
        <w:t xml:space="preserve"> </w:t>
      </w:r>
      <w:r w:rsidRPr="00F130DE">
        <w:t>when</w:t>
      </w:r>
      <w:r w:rsidR="00C64050">
        <w:t xml:space="preserve"> </w:t>
      </w:r>
      <w:r w:rsidRPr="00F130DE">
        <w:t>(i)</w:t>
      </w:r>
      <w:r w:rsidR="00C64050">
        <w:t xml:space="preserve"> </w:t>
      </w:r>
      <w:r w:rsidRPr="00F130DE">
        <w:t>substantially</w:t>
      </w:r>
      <w:r w:rsidR="00C64050">
        <w:t xml:space="preserve"> </w:t>
      </w:r>
      <w:r w:rsidRPr="00F130DE">
        <w:t>all</w:t>
      </w:r>
      <w:r w:rsidR="00C64050">
        <w:t xml:space="preserve"> </w:t>
      </w:r>
      <w:r w:rsidRPr="00F130DE">
        <w:t>of</w:t>
      </w:r>
      <w:r w:rsidR="00C64050">
        <w:t xml:space="preserve"> </w:t>
      </w:r>
      <w:r w:rsidRPr="00F130DE">
        <w:t>the</w:t>
      </w:r>
      <w:r w:rsidR="00C64050">
        <w:t xml:space="preserve"> </w:t>
      </w:r>
      <w:r w:rsidRPr="00F130DE">
        <w:t>trust</w:t>
      </w:r>
      <w:r w:rsidR="00C64050">
        <w:t xml:space="preserve"> </w:t>
      </w:r>
      <w:r w:rsidRPr="00F130DE">
        <w:t>corpus</w:t>
      </w:r>
      <w:r w:rsidR="00C64050">
        <w:t xml:space="preserve"> </w:t>
      </w:r>
      <w:r w:rsidRPr="00F130DE">
        <w:t>consists</w:t>
      </w:r>
      <w:r w:rsidR="00C64050">
        <w:t xml:space="preserve"> </w:t>
      </w:r>
      <w:r w:rsidRPr="00F130DE">
        <w:t>or</w:t>
      </w:r>
      <w:r w:rsidR="00C64050">
        <w:t xml:space="preserve"> </w:t>
      </w:r>
      <w:r w:rsidRPr="00F130DE">
        <w:t>will</w:t>
      </w:r>
      <w:r w:rsidR="00C64050">
        <w:t xml:space="preserve"> </w:t>
      </w:r>
      <w:r w:rsidRPr="00F130DE">
        <w:t>consist</w:t>
      </w:r>
      <w:r w:rsidR="00C64050">
        <w:t xml:space="preserve"> </w:t>
      </w:r>
      <w:r w:rsidRPr="00F130DE">
        <w:t>of</w:t>
      </w:r>
      <w:r w:rsidR="00C64050">
        <w:t xml:space="preserve"> </w:t>
      </w:r>
      <w:r w:rsidRPr="00F130DE">
        <w:t>insurance</w:t>
      </w:r>
      <w:r w:rsidR="00C64050">
        <w:t xml:space="preserve"> </w:t>
      </w:r>
      <w:r w:rsidRPr="00F130DE">
        <w:t>policies</w:t>
      </w:r>
      <w:r w:rsidR="00C64050">
        <w:t xml:space="preserve"> </w:t>
      </w:r>
      <w:r w:rsidRPr="00F130DE">
        <w:t>on</w:t>
      </w:r>
      <w:r w:rsidR="00C64050">
        <w:t xml:space="preserve"> </w:t>
      </w:r>
      <w:r w:rsidRPr="00F130DE">
        <w:t>the</w:t>
      </w:r>
      <w:r w:rsidR="00C64050">
        <w:t xml:space="preserve"> </w:t>
      </w:r>
      <w:r w:rsidRPr="00F130DE">
        <w:t>life</w:t>
      </w:r>
      <w:r w:rsidR="00C64050">
        <w:t xml:space="preserve"> </w:t>
      </w:r>
      <w:r w:rsidRPr="00F130DE">
        <w:t>of</w:t>
      </w:r>
      <w:r w:rsidR="00C64050">
        <w:t xml:space="preserve"> </w:t>
      </w:r>
      <w:r w:rsidRPr="00F130DE">
        <w:t>the</w:t>
      </w:r>
      <w:r w:rsidR="00C64050">
        <w:t xml:space="preserve"> </w:t>
      </w:r>
      <w:r w:rsidRPr="00F130DE">
        <w:t>grantor</w:t>
      </w:r>
      <w:r w:rsidR="00C64050">
        <w:t xml:space="preserve"> </w:t>
      </w:r>
      <w:r w:rsidRPr="00F130DE">
        <w:t>or</w:t>
      </w:r>
      <w:r w:rsidR="00C64050">
        <w:t xml:space="preserve"> </w:t>
      </w:r>
      <w:r w:rsidRPr="00F130DE">
        <w:t>the</w:t>
      </w:r>
      <w:r w:rsidR="00C64050">
        <w:t xml:space="preserve"> </w:t>
      </w:r>
      <w:r w:rsidRPr="00F130DE">
        <w:t>grantor's</w:t>
      </w:r>
      <w:r w:rsidR="00C64050">
        <w:t xml:space="preserve"> </w:t>
      </w:r>
      <w:r w:rsidRPr="00F130DE">
        <w:t>spouse,</w:t>
      </w:r>
      <w:r w:rsidR="00C64050">
        <w:t xml:space="preserve"> </w:t>
      </w:r>
      <w:r w:rsidRPr="00F130DE">
        <w:t>(ii)</w:t>
      </w:r>
      <w:r w:rsidR="00C64050">
        <w:t xml:space="preserve"> </w:t>
      </w:r>
      <w:r w:rsidRPr="00F130DE">
        <w:t>the</w:t>
      </w:r>
      <w:r w:rsidR="00C64050">
        <w:t xml:space="preserve"> </w:t>
      </w:r>
      <w:r w:rsidRPr="00F130DE">
        <w:t>trustee</w:t>
      </w:r>
      <w:r w:rsidR="00C64050">
        <w:t xml:space="preserve"> </w:t>
      </w:r>
      <w:r w:rsidRPr="00F130DE">
        <w:t>or</w:t>
      </w:r>
      <w:r w:rsidR="00C64050">
        <w:t xml:space="preserve"> </w:t>
      </w:r>
      <w:r w:rsidRPr="00F130DE">
        <w:t>any</w:t>
      </w:r>
      <w:r w:rsidR="00C64050">
        <w:t xml:space="preserve"> </w:t>
      </w:r>
      <w:r w:rsidRPr="00F130DE">
        <w:t>other</w:t>
      </w:r>
      <w:r w:rsidR="00C64050">
        <w:t xml:space="preserve"> </w:t>
      </w:r>
      <w:r w:rsidRPr="00F130DE">
        <w:t>person</w:t>
      </w:r>
      <w:r w:rsidR="00C64050">
        <w:t xml:space="preserve"> </w:t>
      </w:r>
      <w:r w:rsidRPr="00F130DE">
        <w:t>has</w:t>
      </w:r>
      <w:r w:rsidR="00C64050">
        <w:t xml:space="preserve"> </w:t>
      </w:r>
      <w:r w:rsidRPr="00F130DE">
        <w:t>a</w:t>
      </w:r>
      <w:r w:rsidR="00C64050">
        <w:t xml:space="preserve"> </w:t>
      </w:r>
      <w:r w:rsidRPr="00F130DE">
        <w:t>power</w:t>
      </w:r>
      <w:r w:rsidR="00C64050">
        <w:t xml:space="preserve"> </w:t>
      </w:r>
      <w:r w:rsidRPr="00F130DE">
        <w:t>to</w:t>
      </w:r>
      <w:r w:rsidR="00C64050">
        <w:t xml:space="preserve"> </w:t>
      </w:r>
      <w:r w:rsidRPr="00F130DE">
        <w:t>apply</w:t>
      </w:r>
      <w:r w:rsidR="00C64050">
        <w:t xml:space="preserve"> </w:t>
      </w:r>
      <w:r w:rsidRPr="00F130DE">
        <w:t>the</w:t>
      </w:r>
      <w:r w:rsidR="00C64050">
        <w:t xml:space="preserve"> </w:t>
      </w:r>
      <w:r w:rsidRPr="00F130DE">
        <w:t>trust's</w:t>
      </w:r>
      <w:r w:rsidR="00C64050">
        <w:t xml:space="preserve"> </w:t>
      </w:r>
      <w:r w:rsidRPr="00F130DE">
        <w:t>income</w:t>
      </w:r>
      <w:r w:rsidR="00C64050">
        <w:t xml:space="preserve"> </w:t>
      </w:r>
      <w:r w:rsidRPr="00F130DE">
        <w:t>or</w:t>
      </w:r>
      <w:r w:rsidR="00C64050">
        <w:t xml:space="preserve"> </w:t>
      </w:r>
      <w:r w:rsidRPr="00F130DE">
        <w:t>corpus</w:t>
      </w:r>
      <w:r w:rsidR="00C64050">
        <w:t xml:space="preserve"> </w:t>
      </w:r>
      <w:r w:rsidRPr="00F130DE">
        <w:t>to</w:t>
      </w:r>
      <w:r w:rsidR="00C64050">
        <w:t xml:space="preserve"> </w:t>
      </w:r>
      <w:r w:rsidRPr="00F130DE">
        <w:t>the</w:t>
      </w:r>
      <w:r w:rsidR="00C64050">
        <w:t xml:space="preserve"> </w:t>
      </w:r>
      <w:r w:rsidRPr="00F130DE">
        <w:t>payment</w:t>
      </w:r>
      <w:r w:rsidR="00C64050">
        <w:t xml:space="preserve"> </w:t>
      </w:r>
      <w:r w:rsidRPr="00F130DE">
        <w:t>of</w:t>
      </w:r>
      <w:r w:rsidR="00C64050">
        <w:t xml:space="preserve"> </w:t>
      </w:r>
      <w:r w:rsidRPr="00F130DE">
        <w:t>premiums</w:t>
      </w:r>
      <w:r w:rsidR="00C64050">
        <w:t xml:space="preserve"> </w:t>
      </w:r>
      <w:r w:rsidRPr="00F130DE">
        <w:t>on</w:t>
      </w:r>
      <w:r w:rsidR="00C64050">
        <w:t xml:space="preserve"> </w:t>
      </w:r>
      <w:r w:rsidRPr="00F130DE">
        <w:t>policies</w:t>
      </w:r>
      <w:r w:rsidR="00C64050">
        <w:t xml:space="preserve"> </w:t>
      </w:r>
      <w:r w:rsidRPr="00F130DE">
        <w:t>of</w:t>
      </w:r>
      <w:r w:rsidR="00C64050">
        <w:t xml:space="preserve"> </w:t>
      </w:r>
      <w:r w:rsidRPr="00F130DE">
        <w:t>insurance</w:t>
      </w:r>
      <w:r w:rsidR="00C64050">
        <w:t xml:space="preserve"> </w:t>
      </w:r>
      <w:r w:rsidRPr="00F130DE">
        <w:t>on</w:t>
      </w:r>
      <w:r w:rsidR="00C64050">
        <w:t xml:space="preserve"> </w:t>
      </w:r>
      <w:r w:rsidRPr="00F130DE">
        <w:t>the</w:t>
      </w:r>
      <w:r w:rsidR="00C64050">
        <w:t xml:space="preserve"> </w:t>
      </w:r>
      <w:r w:rsidRPr="00F130DE">
        <w:t>life</w:t>
      </w:r>
      <w:r w:rsidR="00C64050">
        <w:t xml:space="preserve"> </w:t>
      </w:r>
      <w:r w:rsidRPr="00F130DE">
        <w:t>of</w:t>
      </w:r>
      <w:r w:rsidR="00C64050">
        <w:t xml:space="preserve"> </w:t>
      </w:r>
      <w:r w:rsidRPr="00F130DE">
        <w:t>the</w:t>
      </w:r>
      <w:r w:rsidR="00C64050">
        <w:t xml:space="preserve"> </w:t>
      </w:r>
      <w:r w:rsidRPr="00F130DE">
        <w:t>grantor</w:t>
      </w:r>
      <w:r w:rsidR="00C64050">
        <w:t xml:space="preserve"> </w:t>
      </w:r>
      <w:r w:rsidRPr="00F130DE">
        <w:t>or</w:t>
      </w:r>
      <w:r w:rsidR="00C64050">
        <w:t xml:space="preserve"> </w:t>
      </w:r>
      <w:r w:rsidRPr="00F130DE">
        <w:t>the</w:t>
      </w:r>
      <w:r w:rsidR="00C64050">
        <w:t xml:space="preserve"> </w:t>
      </w:r>
      <w:r w:rsidRPr="00F130DE">
        <w:t>grantor's</w:t>
      </w:r>
      <w:r w:rsidR="00C64050">
        <w:t xml:space="preserve"> </w:t>
      </w:r>
      <w:r w:rsidRPr="00F130DE">
        <w:t>spouse,</w:t>
      </w:r>
      <w:r w:rsidR="00C64050">
        <w:t xml:space="preserve"> </w:t>
      </w:r>
      <w:r w:rsidRPr="00F130DE">
        <w:t>(iii)</w:t>
      </w:r>
      <w:r w:rsidR="00C64050">
        <w:t xml:space="preserve"> </w:t>
      </w:r>
      <w:r w:rsidRPr="00F130DE">
        <w:t>the</w:t>
      </w:r>
      <w:r w:rsidR="00C64050">
        <w:t xml:space="preserve"> </w:t>
      </w:r>
      <w:r w:rsidRPr="00F130DE">
        <w:t>trustee</w:t>
      </w:r>
      <w:r w:rsidR="00C64050">
        <w:t xml:space="preserve"> </w:t>
      </w:r>
      <w:r w:rsidRPr="00F130DE">
        <w:t>or</w:t>
      </w:r>
      <w:r w:rsidR="00C64050">
        <w:t xml:space="preserve"> </w:t>
      </w:r>
      <w:r w:rsidRPr="00F130DE">
        <w:t>any</w:t>
      </w:r>
      <w:r w:rsidR="00C64050">
        <w:t xml:space="preserve"> </w:t>
      </w:r>
      <w:r w:rsidRPr="00F130DE">
        <w:t>other</w:t>
      </w:r>
      <w:r w:rsidR="00C64050">
        <w:t xml:space="preserve"> </w:t>
      </w:r>
      <w:r w:rsidRPr="00F130DE">
        <w:t>person</w:t>
      </w:r>
      <w:r w:rsidR="00C64050">
        <w:t xml:space="preserve"> </w:t>
      </w:r>
      <w:r w:rsidRPr="00F130DE">
        <w:t>has</w:t>
      </w:r>
      <w:r w:rsidR="00C64050">
        <w:t xml:space="preserve"> </w:t>
      </w:r>
      <w:r w:rsidRPr="00F130DE">
        <w:t>a</w:t>
      </w:r>
      <w:r w:rsidR="00C64050">
        <w:t xml:space="preserve"> </w:t>
      </w:r>
      <w:r w:rsidRPr="00F130DE">
        <w:t>power</w:t>
      </w:r>
      <w:r w:rsidR="00C64050">
        <w:t xml:space="preserve"> </w:t>
      </w:r>
      <w:r w:rsidRPr="00F130DE">
        <w:t>to</w:t>
      </w:r>
      <w:r w:rsidR="00C64050">
        <w:t xml:space="preserve"> </w:t>
      </w:r>
      <w:r w:rsidRPr="00F130DE">
        <w:t>use</w:t>
      </w:r>
      <w:r w:rsidR="00C64050">
        <w:t xml:space="preserve"> </w:t>
      </w:r>
      <w:r w:rsidRPr="00F130DE">
        <w:t>the</w:t>
      </w:r>
      <w:r w:rsidR="00C64050">
        <w:t xml:space="preserve"> </w:t>
      </w:r>
      <w:r w:rsidRPr="00F130DE">
        <w:t>trust's</w:t>
      </w:r>
      <w:r w:rsidR="00C64050">
        <w:t xml:space="preserve"> </w:t>
      </w:r>
      <w:r w:rsidRPr="00F130DE">
        <w:t>assets</w:t>
      </w:r>
      <w:r w:rsidR="00C64050">
        <w:t xml:space="preserve"> </w:t>
      </w:r>
      <w:r w:rsidRPr="00F130DE">
        <w:t>to</w:t>
      </w:r>
      <w:r w:rsidR="00C64050">
        <w:t xml:space="preserve"> </w:t>
      </w:r>
      <w:r w:rsidRPr="00F130DE">
        <w:t>make</w:t>
      </w:r>
      <w:r w:rsidR="00C64050">
        <w:t xml:space="preserve"> </w:t>
      </w:r>
      <w:r w:rsidRPr="00F130DE">
        <w:t>loans</w:t>
      </w:r>
      <w:r w:rsidR="00C64050">
        <w:t xml:space="preserve"> </w:t>
      </w:r>
      <w:r w:rsidRPr="00F130DE">
        <w:t>to</w:t>
      </w:r>
      <w:r w:rsidR="00C64050">
        <w:t xml:space="preserve"> </w:t>
      </w:r>
      <w:r w:rsidRPr="00F130DE">
        <w:t>the</w:t>
      </w:r>
      <w:r w:rsidR="00C64050">
        <w:t xml:space="preserve"> </w:t>
      </w:r>
      <w:r w:rsidRPr="00F130DE">
        <w:t>grantor's</w:t>
      </w:r>
      <w:r w:rsidR="00C64050">
        <w:t xml:space="preserve"> </w:t>
      </w:r>
      <w:r w:rsidRPr="00F130DE">
        <w:t>estate</w:t>
      </w:r>
      <w:r w:rsidR="00C64050">
        <w:t xml:space="preserve"> </w:t>
      </w:r>
      <w:r w:rsidRPr="00F130DE">
        <w:t>or</w:t>
      </w:r>
      <w:r w:rsidR="00C64050">
        <w:t xml:space="preserve"> </w:t>
      </w:r>
      <w:r w:rsidRPr="00F130DE">
        <w:t>to</w:t>
      </w:r>
      <w:r w:rsidR="00C64050">
        <w:t xml:space="preserve"> </w:t>
      </w:r>
      <w:r w:rsidRPr="00F130DE">
        <w:t>purchase</w:t>
      </w:r>
      <w:r w:rsidR="00C64050">
        <w:t xml:space="preserve"> </w:t>
      </w:r>
      <w:r w:rsidRPr="00F130DE">
        <w:t>assets</w:t>
      </w:r>
      <w:r w:rsidR="00C64050">
        <w:t xml:space="preserve"> </w:t>
      </w:r>
      <w:r w:rsidRPr="00F130DE">
        <w:t>from</w:t>
      </w:r>
      <w:r w:rsidR="00C64050">
        <w:t xml:space="preserve"> </w:t>
      </w:r>
      <w:r w:rsidRPr="00F130DE">
        <w:t>the</w:t>
      </w:r>
      <w:r w:rsidR="00C64050">
        <w:t xml:space="preserve"> </w:t>
      </w:r>
      <w:r w:rsidRPr="00F130DE">
        <w:t>grantor's</w:t>
      </w:r>
      <w:r w:rsidR="00C64050">
        <w:t xml:space="preserve"> </w:t>
      </w:r>
      <w:r w:rsidRPr="00F130DE">
        <w:t>estate,</w:t>
      </w:r>
      <w:r w:rsidR="00C64050">
        <w:t xml:space="preserve"> </w:t>
      </w:r>
      <w:r w:rsidRPr="00F130DE">
        <w:t>and</w:t>
      </w:r>
      <w:r w:rsidR="00C64050">
        <w:t xml:space="preserve"> </w:t>
      </w:r>
      <w:r w:rsidRPr="00F130DE">
        <w:t>(iv)</w:t>
      </w:r>
      <w:r w:rsidR="00C64050">
        <w:t xml:space="preserve"> </w:t>
      </w:r>
      <w:r w:rsidRPr="00F130DE">
        <w:t>there</w:t>
      </w:r>
      <w:r w:rsidR="00C64050">
        <w:t xml:space="preserve"> </w:t>
      </w:r>
      <w:r w:rsidRPr="00F130DE">
        <w:t>is</w:t>
      </w:r>
      <w:r w:rsidR="00C64050">
        <w:t xml:space="preserve"> </w:t>
      </w:r>
      <w:r w:rsidRPr="00F130DE">
        <w:t>a</w:t>
      </w:r>
      <w:r w:rsidR="00C64050">
        <w:t xml:space="preserve"> </w:t>
      </w:r>
      <w:r w:rsidRPr="00F130DE">
        <w:t>right</w:t>
      </w:r>
      <w:r w:rsidR="00C64050">
        <w:t xml:space="preserve"> </w:t>
      </w:r>
      <w:r w:rsidRPr="00F130DE">
        <w:t>or</w:t>
      </w:r>
      <w:r w:rsidR="00C64050">
        <w:t xml:space="preserve"> </w:t>
      </w:r>
      <w:r w:rsidRPr="00F130DE">
        <w:t>power</w:t>
      </w:r>
      <w:r w:rsidR="00C64050">
        <w:t xml:space="preserve"> </w:t>
      </w:r>
      <w:r w:rsidRPr="00F130DE">
        <w:t>in</w:t>
      </w:r>
      <w:r w:rsidR="00C64050">
        <w:t xml:space="preserve"> </w:t>
      </w:r>
      <w:r w:rsidRPr="00F130DE">
        <w:t>any</w:t>
      </w:r>
      <w:r w:rsidR="00C64050">
        <w:t xml:space="preserve"> </w:t>
      </w:r>
      <w:r w:rsidRPr="00F130DE">
        <w:t>person</w:t>
      </w:r>
      <w:r w:rsidR="00C64050">
        <w:t xml:space="preserve"> </w:t>
      </w:r>
      <w:r w:rsidRPr="00F130DE">
        <w:t>that</w:t>
      </w:r>
      <w:r w:rsidR="00C64050">
        <w:t xml:space="preserve"> </w:t>
      </w:r>
      <w:r w:rsidRPr="00F130DE">
        <w:t>would</w:t>
      </w:r>
      <w:r w:rsidR="00C64050">
        <w:t xml:space="preserve"> </w:t>
      </w:r>
      <w:r w:rsidRPr="00F130DE">
        <w:t>cause</w:t>
      </w:r>
      <w:r w:rsidR="00C64050">
        <w:t xml:space="preserve"> </w:t>
      </w:r>
      <w:r w:rsidRPr="00F130DE">
        <w:t>the</w:t>
      </w:r>
      <w:r w:rsidR="00C64050">
        <w:t xml:space="preserve"> </w:t>
      </w:r>
      <w:r w:rsidRPr="00F130DE">
        <w:t>grantor</w:t>
      </w:r>
      <w:r w:rsidR="00C64050">
        <w:t xml:space="preserve"> </w:t>
      </w:r>
      <w:r w:rsidRPr="00F130DE">
        <w:t>to</w:t>
      </w:r>
      <w:r w:rsidR="00C64050">
        <w:t xml:space="preserve"> </w:t>
      </w:r>
      <w:r w:rsidRPr="00F130DE">
        <w:t>be</w:t>
      </w:r>
      <w:r w:rsidR="00C64050">
        <w:t xml:space="preserve"> </w:t>
      </w:r>
      <w:r w:rsidRPr="00F130DE">
        <w:t>treated</w:t>
      </w:r>
      <w:r w:rsidR="00C64050">
        <w:t xml:space="preserve"> </w:t>
      </w:r>
      <w:r w:rsidRPr="00F130DE">
        <w:t>as</w:t>
      </w:r>
      <w:r w:rsidR="00C64050">
        <w:t xml:space="preserve"> </w:t>
      </w:r>
      <w:r w:rsidRPr="00F130DE">
        <w:t>the</w:t>
      </w:r>
      <w:r w:rsidR="00C64050">
        <w:t xml:space="preserve"> </w:t>
      </w:r>
      <w:r w:rsidRPr="00F130DE">
        <w:t>owner</w:t>
      </w:r>
      <w:r w:rsidR="00C64050">
        <w:t xml:space="preserve"> </w:t>
      </w:r>
      <w:r w:rsidRPr="00F130DE">
        <w:t>of</w:t>
      </w:r>
      <w:r w:rsidR="00C64050">
        <w:t xml:space="preserve"> </w:t>
      </w:r>
      <w:r w:rsidRPr="00F130DE">
        <w:t>all</w:t>
      </w:r>
      <w:r w:rsidR="00C64050">
        <w:t xml:space="preserve"> </w:t>
      </w:r>
      <w:r w:rsidRPr="00F130DE">
        <w:t>or</w:t>
      </w:r>
      <w:r w:rsidR="00C64050">
        <w:t xml:space="preserve"> </w:t>
      </w:r>
      <w:r w:rsidRPr="00F130DE">
        <w:t>a</w:t>
      </w:r>
      <w:r w:rsidR="00C64050">
        <w:t xml:space="preserve"> </w:t>
      </w:r>
      <w:r w:rsidRPr="00F130DE">
        <w:t>portion</w:t>
      </w:r>
      <w:r w:rsidR="00C64050">
        <w:t xml:space="preserve"> </w:t>
      </w:r>
      <w:r w:rsidRPr="00F130DE">
        <w:t>of</w:t>
      </w:r>
      <w:r w:rsidR="00C64050">
        <w:t xml:space="preserve"> </w:t>
      </w:r>
      <w:r w:rsidRPr="00F130DE">
        <w:t>the</w:t>
      </w:r>
      <w:r w:rsidR="00C64050">
        <w:t xml:space="preserve"> </w:t>
      </w:r>
      <w:r w:rsidRPr="00F130DE">
        <w:t>trust</w:t>
      </w:r>
      <w:r w:rsidR="00C64050">
        <w:t xml:space="preserve"> </w:t>
      </w:r>
      <w:r w:rsidRPr="00F130DE">
        <w:t>under</w:t>
      </w:r>
      <w:r w:rsidR="00C64050">
        <w:t xml:space="preserve"> </w:t>
      </w:r>
      <w:r w:rsidRPr="00F130DE">
        <w:t>§§</w:t>
      </w:r>
      <w:r w:rsidR="00C64050">
        <w:t xml:space="preserve"> </w:t>
      </w:r>
      <w:r w:rsidRPr="00F130DE">
        <w:t>673</w:t>
      </w:r>
      <w:r w:rsidR="00C64050">
        <w:t xml:space="preserve"> </w:t>
      </w:r>
      <w:r w:rsidRPr="00F130DE">
        <w:t>to</w:t>
      </w:r>
      <w:r w:rsidR="00C64050">
        <w:t xml:space="preserve"> </w:t>
      </w:r>
      <w:r w:rsidRPr="00F130DE">
        <w:t>677.</w:t>
      </w:r>
    </w:p>
    <w:p w:rsidR="00773146" w:rsidRPr="00F130DE" w:rsidRDefault="00773146" w:rsidP="00244CEA">
      <w:pPr>
        <w:pStyle w:val="QS10"/>
      </w:pPr>
      <w:r>
        <w:t>(9</w:t>
      </w:r>
      <w:r w:rsidR="006A2FEF">
        <w:t>7</w:t>
      </w:r>
      <w:r w:rsidRPr="00F130DE">
        <w:t>)</w:t>
      </w:r>
      <w:r w:rsidR="00C64050">
        <w:t xml:space="preserve"> </w:t>
      </w:r>
      <w:r w:rsidRPr="00F130DE">
        <w:t>Section</w:t>
      </w:r>
      <w:r w:rsidR="00C64050">
        <w:t xml:space="preserve"> </w:t>
      </w:r>
      <w:r w:rsidRPr="00F130DE">
        <w:t>1001.—Determination</w:t>
      </w:r>
      <w:r w:rsidR="00C64050">
        <w:t xml:space="preserve"> </w:t>
      </w:r>
      <w:r w:rsidRPr="00F130DE">
        <w:t>of</w:t>
      </w:r>
      <w:r w:rsidR="00C64050">
        <w:t xml:space="preserve"> </w:t>
      </w:r>
      <w:r w:rsidRPr="00F130DE">
        <w:t>Amount</w:t>
      </w:r>
      <w:r w:rsidR="00C64050">
        <w:t xml:space="preserve"> </w:t>
      </w:r>
      <w:r w:rsidRPr="00F130DE">
        <w:t>of</w:t>
      </w:r>
      <w:r w:rsidR="00C64050">
        <w:t xml:space="preserve"> </w:t>
      </w:r>
      <w:r w:rsidRPr="00F130DE">
        <w:t>and</w:t>
      </w:r>
      <w:r w:rsidR="00C64050">
        <w:t xml:space="preserve"> </w:t>
      </w:r>
      <w:r w:rsidRPr="00F130DE">
        <w:t>Recognition</w:t>
      </w:r>
      <w:r w:rsidR="00C64050">
        <w:t xml:space="preserve"> </w:t>
      </w:r>
      <w:r w:rsidRPr="00F130DE">
        <w:t>of</w:t>
      </w:r>
      <w:r w:rsidR="00C64050">
        <w:t xml:space="preserve"> </w:t>
      </w:r>
      <w:r w:rsidRPr="00F130DE">
        <w:t>Gain</w:t>
      </w:r>
      <w:r w:rsidR="00C64050">
        <w:t xml:space="preserve"> </w:t>
      </w:r>
      <w:r w:rsidRPr="00F130DE">
        <w:t>or</w:t>
      </w:r>
      <w:r w:rsidR="00C64050">
        <w:t xml:space="preserve"> </w:t>
      </w:r>
      <w:r w:rsidRPr="00F130DE">
        <w:t>Loss.—Whether</w:t>
      </w:r>
      <w:r w:rsidR="00C64050">
        <w:t xml:space="preserve"> </w:t>
      </w:r>
      <w:r w:rsidRPr="00F130DE">
        <w:t>the</w:t>
      </w:r>
      <w:r w:rsidR="00C64050">
        <w:t xml:space="preserve"> </w:t>
      </w:r>
      <w:r w:rsidRPr="00F130DE">
        <w:t>termination</w:t>
      </w:r>
      <w:r w:rsidR="00C64050">
        <w:t xml:space="preserve"> </w:t>
      </w:r>
      <w:r w:rsidRPr="00F130DE">
        <w:t>of</w:t>
      </w:r>
      <w:r w:rsidR="00C64050">
        <w:t xml:space="preserve"> </w:t>
      </w:r>
      <w:r w:rsidRPr="00F130DE">
        <w:t>a</w:t>
      </w:r>
      <w:r w:rsidR="00C64050">
        <w:t xml:space="preserve"> </w:t>
      </w:r>
      <w:r w:rsidRPr="00F130DE">
        <w:t>charitable</w:t>
      </w:r>
      <w:r w:rsidR="00C64050">
        <w:t xml:space="preserve"> </w:t>
      </w:r>
      <w:r w:rsidRPr="00F130DE">
        <w:t>remainder</w:t>
      </w:r>
      <w:r w:rsidR="00C64050">
        <w:t xml:space="preserve"> </w:t>
      </w:r>
      <w:r w:rsidRPr="00F130DE">
        <w:t>trust</w:t>
      </w:r>
      <w:r w:rsidR="00C64050">
        <w:t xml:space="preserve"> </w:t>
      </w:r>
      <w:r w:rsidRPr="00F130DE">
        <w:t>before</w:t>
      </w:r>
      <w:r w:rsidR="00C64050">
        <w:t xml:space="preserve"> </w:t>
      </w:r>
      <w:r w:rsidRPr="00F130DE">
        <w:t>the</w:t>
      </w:r>
      <w:r w:rsidR="00C64050">
        <w:t xml:space="preserve"> </w:t>
      </w:r>
      <w:r w:rsidRPr="00F130DE">
        <w:t>end</w:t>
      </w:r>
      <w:r w:rsidR="00C64050">
        <w:t xml:space="preserve"> </w:t>
      </w:r>
      <w:r w:rsidRPr="00F130DE">
        <w:t>of</w:t>
      </w:r>
      <w:r w:rsidR="00C64050">
        <w:t xml:space="preserve"> </w:t>
      </w:r>
      <w:r w:rsidRPr="00F130DE">
        <w:t>the</w:t>
      </w:r>
      <w:r w:rsidR="00C64050">
        <w:t xml:space="preserve"> </w:t>
      </w:r>
      <w:r w:rsidRPr="00F130DE">
        <w:t>trust</w:t>
      </w:r>
      <w:r w:rsidR="00C64050">
        <w:t xml:space="preserve"> </w:t>
      </w:r>
      <w:r w:rsidRPr="00F130DE">
        <w:t>term</w:t>
      </w:r>
      <w:r w:rsidR="00C64050">
        <w:t xml:space="preserve"> </w:t>
      </w:r>
      <w:r w:rsidRPr="00F130DE">
        <w:t>as</w:t>
      </w:r>
      <w:r w:rsidR="00C64050">
        <w:t xml:space="preserve"> </w:t>
      </w:r>
      <w:r w:rsidRPr="00F130DE">
        <w:t>defined</w:t>
      </w:r>
      <w:r w:rsidR="00C64050">
        <w:t xml:space="preserve"> </w:t>
      </w:r>
      <w:r w:rsidRPr="00F130DE">
        <w:t>in</w:t>
      </w:r>
      <w:r w:rsidR="00C64050">
        <w:t xml:space="preserve"> </w:t>
      </w:r>
      <w:r w:rsidRPr="00F130DE">
        <w:t>the</w:t>
      </w:r>
      <w:r w:rsidR="00C64050">
        <w:t xml:space="preserve"> </w:t>
      </w:r>
      <w:r w:rsidRPr="00F130DE">
        <w:t>trust's</w:t>
      </w:r>
      <w:r w:rsidR="00C64050">
        <w:t xml:space="preserve"> </w:t>
      </w:r>
      <w:r w:rsidRPr="00F130DE">
        <w:t>governing</w:t>
      </w:r>
      <w:r w:rsidR="00C64050">
        <w:t xml:space="preserve"> </w:t>
      </w:r>
      <w:r w:rsidRPr="00F130DE">
        <w:t>instrument,</w:t>
      </w:r>
      <w:r w:rsidR="00C64050">
        <w:t xml:space="preserve"> </w:t>
      </w:r>
      <w:r w:rsidRPr="00F130DE">
        <w:t>in</w:t>
      </w:r>
      <w:r w:rsidR="00C64050">
        <w:t xml:space="preserve"> </w:t>
      </w:r>
      <w:r w:rsidRPr="00F130DE">
        <w:t>a</w:t>
      </w:r>
      <w:r w:rsidR="00C64050">
        <w:t xml:space="preserve"> </w:t>
      </w:r>
      <w:r w:rsidRPr="00F130DE">
        <w:t>transaction</w:t>
      </w:r>
      <w:r w:rsidR="00C64050">
        <w:t xml:space="preserve"> </w:t>
      </w:r>
      <w:r w:rsidRPr="00F130DE">
        <w:t>in</w:t>
      </w:r>
      <w:r w:rsidR="00C64050">
        <w:t xml:space="preserve"> </w:t>
      </w:r>
      <w:r w:rsidRPr="00F130DE">
        <w:t>which</w:t>
      </w:r>
      <w:r w:rsidR="00C64050">
        <w:t xml:space="preserve"> </w:t>
      </w:r>
      <w:r w:rsidRPr="00F130DE">
        <w:t>the</w:t>
      </w:r>
      <w:r w:rsidR="00C64050">
        <w:t xml:space="preserve"> </w:t>
      </w:r>
      <w:r w:rsidRPr="00F130DE">
        <w:t>trust</w:t>
      </w:r>
      <w:r w:rsidR="00C64050">
        <w:t xml:space="preserve"> </w:t>
      </w:r>
      <w:r w:rsidRPr="00F130DE">
        <w:t>beneficiaries</w:t>
      </w:r>
      <w:r w:rsidR="00C64050">
        <w:t xml:space="preserve"> </w:t>
      </w:r>
      <w:r w:rsidRPr="00F130DE">
        <w:t>receive</w:t>
      </w:r>
      <w:r w:rsidR="00C64050">
        <w:t xml:space="preserve"> </w:t>
      </w:r>
      <w:r w:rsidRPr="00F130DE">
        <w:t>their</w:t>
      </w:r>
      <w:r w:rsidR="00C64050">
        <w:t xml:space="preserve"> </w:t>
      </w:r>
      <w:r w:rsidRPr="00F130DE">
        <w:t>actuarial</w:t>
      </w:r>
      <w:r w:rsidR="00C64050">
        <w:t xml:space="preserve"> </w:t>
      </w:r>
      <w:r w:rsidRPr="00F130DE">
        <w:t>shares</w:t>
      </w:r>
      <w:r w:rsidR="00C64050">
        <w:t xml:space="preserve"> </w:t>
      </w:r>
      <w:r w:rsidRPr="00F130DE">
        <w:t>of</w:t>
      </w:r>
      <w:r w:rsidR="00C64050">
        <w:t xml:space="preserve"> </w:t>
      </w:r>
      <w:r w:rsidRPr="00F130DE">
        <w:t>the</w:t>
      </w:r>
      <w:r w:rsidR="00C64050">
        <w:t xml:space="preserve"> </w:t>
      </w:r>
      <w:r w:rsidRPr="00F130DE">
        <w:t>value</w:t>
      </w:r>
      <w:r w:rsidR="00C64050">
        <w:t xml:space="preserve"> </w:t>
      </w:r>
      <w:r w:rsidRPr="00F130DE">
        <w:t>of</w:t>
      </w:r>
      <w:r w:rsidR="00C64050">
        <w:t xml:space="preserve"> </w:t>
      </w:r>
      <w:r w:rsidRPr="00F130DE">
        <w:t>the</w:t>
      </w:r>
      <w:r w:rsidR="00C64050">
        <w:t xml:space="preserve"> </w:t>
      </w:r>
      <w:r w:rsidRPr="00F130DE">
        <w:t>trust</w:t>
      </w:r>
      <w:r w:rsidR="00C64050">
        <w:t xml:space="preserve"> </w:t>
      </w:r>
      <w:r w:rsidRPr="00F130DE">
        <w:t>assets,</w:t>
      </w:r>
      <w:r w:rsidR="00C64050">
        <w:t xml:space="preserve"> </w:t>
      </w:r>
      <w:r w:rsidRPr="00F130DE">
        <w:t>is</w:t>
      </w:r>
      <w:r w:rsidR="00C64050">
        <w:t xml:space="preserve"> </w:t>
      </w:r>
      <w:r w:rsidRPr="00F130DE">
        <w:t>treated</w:t>
      </w:r>
      <w:r w:rsidR="00C64050">
        <w:t xml:space="preserve"> </w:t>
      </w:r>
      <w:r w:rsidRPr="00F130DE">
        <w:t>as</w:t>
      </w:r>
      <w:r w:rsidR="00C64050">
        <w:t xml:space="preserve"> </w:t>
      </w:r>
      <w:r w:rsidRPr="00F130DE">
        <w:t>a</w:t>
      </w:r>
      <w:r w:rsidR="00C64050">
        <w:t xml:space="preserve"> </w:t>
      </w:r>
      <w:r w:rsidRPr="00F130DE">
        <w:t>sale</w:t>
      </w:r>
      <w:r w:rsidR="00C64050">
        <w:t xml:space="preserve"> </w:t>
      </w:r>
      <w:r w:rsidRPr="00F130DE">
        <w:t>or</w:t>
      </w:r>
      <w:r w:rsidR="00C64050">
        <w:t xml:space="preserve"> </w:t>
      </w:r>
      <w:r w:rsidRPr="00F130DE">
        <w:t>other</w:t>
      </w:r>
      <w:r w:rsidR="00C64050">
        <w:t xml:space="preserve"> </w:t>
      </w:r>
      <w:r w:rsidRPr="00F130DE">
        <w:t>disposition</w:t>
      </w:r>
      <w:r w:rsidR="00C64050">
        <w:t xml:space="preserve"> </w:t>
      </w:r>
      <w:r w:rsidRPr="00F130DE">
        <w:t>by</w:t>
      </w:r>
      <w:r w:rsidR="00C64050">
        <w:t xml:space="preserve"> </w:t>
      </w:r>
      <w:r w:rsidRPr="00F130DE">
        <w:t>the</w:t>
      </w:r>
      <w:r w:rsidR="00C64050">
        <w:t xml:space="preserve"> </w:t>
      </w:r>
      <w:r w:rsidRPr="00F130DE">
        <w:t>beneficiaries</w:t>
      </w:r>
      <w:r w:rsidR="00C64050">
        <w:t xml:space="preserve"> </w:t>
      </w:r>
      <w:r w:rsidRPr="00F130DE">
        <w:t>of</w:t>
      </w:r>
      <w:r w:rsidR="00C64050">
        <w:t xml:space="preserve"> </w:t>
      </w:r>
      <w:r w:rsidRPr="00F130DE">
        <w:t>their</w:t>
      </w:r>
      <w:r w:rsidR="00C64050">
        <w:t xml:space="preserve"> </w:t>
      </w:r>
      <w:r w:rsidRPr="00F130DE">
        <w:t>interests</w:t>
      </w:r>
      <w:r w:rsidR="00C64050">
        <w:t xml:space="preserve"> </w:t>
      </w:r>
      <w:r w:rsidRPr="00F130DE">
        <w:t>in</w:t>
      </w:r>
      <w:r w:rsidR="00C64050">
        <w:t xml:space="preserve"> </w:t>
      </w:r>
      <w:r w:rsidRPr="00F130DE">
        <w:t>the</w:t>
      </w:r>
      <w:r w:rsidR="00C64050">
        <w:t xml:space="preserve"> </w:t>
      </w:r>
      <w:r w:rsidRPr="00F130DE">
        <w:t>trust.</w:t>
      </w:r>
    </w:p>
    <w:p w:rsidR="00773146" w:rsidRPr="00F130DE" w:rsidRDefault="00773146" w:rsidP="00244CEA">
      <w:pPr>
        <w:pStyle w:val="QS10"/>
      </w:pPr>
      <w:r>
        <w:t>(1</w:t>
      </w:r>
      <w:r w:rsidR="002302AE">
        <w:t>1</w:t>
      </w:r>
      <w:r w:rsidR="006A2FEF">
        <w:t>1</w:t>
      </w:r>
      <w:r w:rsidRPr="00F130DE">
        <w:t>)</w:t>
      </w:r>
      <w:r w:rsidR="00C64050">
        <w:t xml:space="preserve"> </w:t>
      </w:r>
      <w:r w:rsidRPr="00F130DE">
        <w:t>Section</w:t>
      </w:r>
      <w:r w:rsidR="00C64050">
        <w:t xml:space="preserve"> </w:t>
      </w:r>
      <w:r w:rsidRPr="00F130DE">
        <w:t>2055.—Transfers</w:t>
      </w:r>
      <w:r w:rsidR="00C64050">
        <w:t xml:space="preserve"> </w:t>
      </w:r>
      <w:r w:rsidRPr="00F130DE">
        <w:t>for</w:t>
      </w:r>
      <w:r w:rsidR="00C64050">
        <w:t xml:space="preserve"> </w:t>
      </w:r>
      <w:r w:rsidRPr="00F130DE">
        <w:t>Public,</w:t>
      </w:r>
      <w:r w:rsidR="00C64050">
        <w:t xml:space="preserve"> </w:t>
      </w:r>
      <w:r w:rsidRPr="00F130DE">
        <w:t>Charitable,</w:t>
      </w:r>
      <w:r w:rsidR="00C64050">
        <w:t xml:space="preserve"> </w:t>
      </w:r>
      <w:r w:rsidRPr="00F130DE">
        <w:t>and</w:t>
      </w:r>
      <w:r w:rsidR="00C64050">
        <w:t xml:space="preserve"> </w:t>
      </w:r>
      <w:r w:rsidRPr="00F130DE">
        <w:t>Religious</w:t>
      </w:r>
      <w:r w:rsidR="00C64050">
        <w:t xml:space="preserve"> </w:t>
      </w:r>
      <w:r w:rsidRPr="00F130DE">
        <w:t>Uses.—</w:t>
      </w:r>
      <w:r w:rsidR="00C64050">
        <w:t xml:space="preserve"> </w:t>
      </w:r>
      <w:r w:rsidRPr="00F130DE">
        <w:t>Whether</w:t>
      </w:r>
      <w:r w:rsidR="00C64050">
        <w:t xml:space="preserve"> </w:t>
      </w:r>
      <w:r w:rsidRPr="00F130DE">
        <w:t>a</w:t>
      </w:r>
      <w:r w:rsidR="00C64050">
        <w:t xml:space="preserve"> </w:t>
      </w:r>
      <w:r w:rsidRPr="00F130DE">
        <w:t>charitable</w:t>
      </w:r>
      <w:r w:rsidR="00C64050">
        <w:t xml:space="preserve"> </w:t>
      </w:r>
      <w:r w:rsidRPr="00F130DE">
        <w:t>contribution</w:t>
      </w:r>
      <w:r w:rsidR="00C64050">
        <w:t xml:space="preserve"> </w:t>
      </w:r>
      <w:r w:rsidRPr="00F130DE">
        <w:t>deduction</w:t>
      </w:r>
      <w:r w:rsidR="00C64050">
        <w:t xml:space="preserve"> </w:t>
      </w:r>
      <w:r w:rsidRPr="00F130DE">
        <w:t>under</w:t>
      </w:r>
      <w:r w:rsidR="00C64050">
        <w:t xml:space="preserve"> </w:t>
      </w:r>
      <w:r w:rsidRPr="00F130DE">
        <w:t>§</w:t>
      </w:r>
      <w:r w:rsidR="00C64050">
        <w:t xml:space="preserve"> </w:t>
      </w:r>
      <w:r w:rsidRPr="00F130DE">
        <w:t>2055</w:t>
      </w:r>
      <w:r w:rsidR="00C64050">
        <w:t xml:space="preserve"> </w:t>
      </w:r>
      <w:r w:rsidRPr="00F130DE">
        <w:t>is</w:t>
      </w:r>
      <w:r w:rsidR="00C64050">
        <w:t xml:space="preserve"> </w:t>
      </w:r>
      <w:r w:rsidRPr="00F130DE">
        <w:t>allowed</w:t>
      </w:r>
      <w:r w:rsidR="00C64050">
        <w:t xml:space="preserve"> </w:t>
      </w:r>
      <w:r w:rsidRPr="00F130DE">
        <w:t>for</w:t>
      </w:r>
      <w:r w:rsidR="00C64050">
        <w:t xml:space="preserve"> </w:t>
      </w:r>
      <w:r w:rsidRPr="00F130DE">
        <w:t>the</w:t>
      </w:r>
      <w:r w:rsidR="00C64050">
        <w:t xml:space="preserve"> </w:t>
      </w:r>
      <w:r w:rsidRPr="00F130DE">
        <w:t>transfer</w:t>
      </w:r>
      <w:r w:rsidR="00C64050">
        <w:t xml:space="preserve"> </w:t>
      </w:r>
      <w:r w:rsidRPr="00F130DE">
        <w:t>of</w:t>
      </w:r>
      <w:r w:rsidR="00C64050">
        <w:t xml:space="preserve"> </w:t>
      </w:r>
      <w:r w:rsidRPr="00F130DE">
        <w:t>an</w:t>
      </w:r>
      <w:r w:rsidR="00C64050">
        <w:t xml:space="preserve"> </w:t>
      </w:r>
      <w:r w:rsidRPr="00F130DE">
        <w:t>interest</w:t>
      </w:r>
      <w:r w:rsidR="00C64050">
        <w:t xml:space="preserve"> </w:t>
      </w:r>
      <w:r w:rsidRPr="00F130DE">
        <w:t>in</w:t>
      </w:r>
      <w:r w:rsidR="00C64050">
        <w:t xml:space="preserve"> </w:t>
      </w:r>
      <w:r w:rsidRPr="00F130DE">
        <w:t>a</w:t>
      </w:r>
      <w:r w:rsidR="00C64050">
        <w:t xml:space="preserve"> </w:t>
      </w:r>
      <w:r w:rsidRPr="00F130DE">
        <w:t>limited</w:t>
      </w:r>
      <w:r w:rsidR="00C64050">
        <w:t xml:space="preserve"> </w:t>
      </w:r>
      <w:r w:rsidRPr="00F130DE">
        <w:t>partnership</w:t>
      </w:r>
      <w:r w:rsidR="00C64050">
        <w:t xml:space="preserve"> </w:t>
      </w:r>
      <w:r w:rsidRPr="00F130DE">
        <w:t>or</w:t>
      </w:r>
      <w:r w:rsidR="00C64050">
        <w:t xml:space="preserve"> </w:t>
      </w:r>
      <w:r w:rsidRPr="00F130DE">
        <w:t>a</w:t>
      </w:r>
      <w:r w:rsidR="00C64050">
        <w:t xml:space="preserve"> </w:t>
      </w:r>
      <w:r w:rsidRPr="00F130DE">
        <w:t>limited</w:t>
      </w:r>
      <w:r w:rsidR="00C64050">
        <w:t xml:space="preserve"> </w:t>
      </w:r>
      <w:r w:rsidRPr="00F130DE">
        <w:t>liability</w:t>
      </w:r>
      <w:r w:rsidR="00C64050">
        <w:t xml:space="preserve"> </w:t>
      </w:r>
      <w:r w:rsidRPr="00F130DE">
        <w:t>company</w:t>
      </w:r>
      <w:r w:rsidR="00C64050">
        <w:t xml:space="preserve"> </w:t>
      </w:r>
      <w:r w:rsidRPr="00F130DE">
        <w:t>taxed</w:t>
      </w:r>
      <w:r w:rsidR="00C64050">
        <w:t xml:space="preserve"> </w:t>
      </w:r>
      <w:r w:rsidRPr="00F130DE">
        <w:t>as</w:t>
      </w:r>
      <w:r w:rsidR="00C64050">
        <w:t xml:space="preserve"> </w:t>
      </w:r>
      <w:r w:rsidRPr="00F130DE">
        <w:t>a</w:t>
      </w:r>
      <w:r w:rsidR="00C64050">
        <w:t xml:space="preserve"> </w:t>
      </w:r>
      <w:r w:rsidRPr="00F130DE">
        <w:t>partnership</w:t>
      </w:r>
      <w:r w:rsidR="00C64050">
        <w:t xml:space="preserve"> </w:t>
      </w:r>
      <w:r w:rsidRPr="00F130DE">
        <w:t>to</w:t>
      </w:r>
      <w:r w:rsidR="00C64050">
        <w:t xml:space="preserve"> </w:t>
      </w:r>
      <w:r w:rsidRPr="00F130DE">
        <w:t>an</w:t>
      </w:r>
      <w:r w:rsidR="00C64050">
        <w:t xml:space="preserve"> </w:t>
      </w:r>
      <w:r w:rsidRPr="00F130DE">
        <w:t>organization</w:t>
      </w:r>
      <w:r w:rsidR="00C64050">
        <w:t xml:space="preserve"> </w:t>
      </w:r>
      <w:r w:rsidRPr="00F130DE">
        <w:t>described</w:t>
      </w:r>
      <w:r w:rsidR="00C64050">
        <w:t xml:space="preserve"> </w:t>
      </w:r>
      <w:r w:rsidRPr="00F130DE">
        <w:t>in</w:t>
      </w:r>
      <w:r w:rsidR="00C64050">
        <w:t xml:space="preserve"> </w:t>
      </w:r>
      <w:r w:rsidRPr="00F130DE">
        <w:t>§</w:t>
      </w:r>
      <w:r w:rsidR="00C64050">
        <w:t xml:space="preserve"> </w:t>
      </w:r>
      <w:r w:rsidRPr="00F130DE">
        <w:t>2055(a).</w:t>
      </w:r>
    </w:p>
    <w:p w:rsidR="00773146" w:rsidRPr="00F130DE" w:rsidRDefault="00773146" w:rsidP="00244CEA">
      <w:pPr>
        <w:pStyle w:val="QS10"/>
      </w:pPr>
      <w:r>
        <w:t>(1</w:t>
      </w:r>
      <w:r w:rsidR="002302AE">
        <w:t>1</w:t>
      </w:r>
      <w:r w:rsidR="006A2FEF">
        <w:t>3</w:t>
      </w:r>
      <w:r w:rsidRPr="00F130DE">
        <w:t>)</w:t>
      </w:r>
      <w:r w:rsidR="00C64050">
        <w:t xml:space="preserve"> </w:t>
      </w:r>
      <w:r w:rsidRPr="00F130DE">
        <w:t>Section</w:t>
      </w:r>
      <w:r w:rsidR="00C64050">
        <w:t xml:space="preserve"> </w:t>
      </w:r>
      <w:r w:rsidRPr="00F130DE">
        <w:t>2522.—Charitable</w:t>
      </w:r>
      <w:r w:rsidR="00C64050">
        <w:t xml:space="preserve"> </w:t>
      </w:r>
      <w:r w:rsidRPr="00F130DE">
        <w:t>and</w:t>
      </w:r>
      <w:r w:rsidR="00C64050">
        <w:t xml:space="preserve"> </w:t>
      </w:r>
      <w:r w:rsidRPr="00F130DE">
        <w:t>Similar</w:t>
      </w:r>
      <w:r w:rsidR="00C64050">
        <w:t xml:space="preserve"> </w:t>
      </w:r>
      <w:r w:rsidRPr="00F130DE">
        <w:t>Gifts.—Whether</w:t>
      </w:r>
      <w:r w:rsidR="00C64050">
        <w:t xml:space="preserve"> </w:t>
      </w:r>
      <w:r w:rsidRPr="00F130DE">
        <w:t>a</w:t>
      </w:r>
      <w:r w:rsidR="00C64050">
        <w:t xml:space="preserve"> </w:t>
      </w:r>
      <w:r w:rsidRPr="00F130DE">
        <w:t>charitable</w:t>
      </w:r>
      <w:r w:rsidR="00C64050">
        <w:t xml:space="preserve"> </w:t>
      </w:r>
      <w:r w:rsidRPr="00F130DE">
        <w:t>contribution</w:t>
      </w:r>
      <w:r w:rsidR="00C64050">
        <w:t xml:space="preserve"> </w:t>
      </w:r>
      <w:r w:rsidRPr="00F130DE">
        <w:t>deduction</w:t>
      </w:r>
      <w:r w:rsidR="00C64050">
        <w:t xml:space="preserve"> </w:t>
      </w:r>
      <w:r w:rsidRPr="00F130DE">
        <w:t>under</w:t>
      </w:r>
      <w:r w:rsidR="00C64050">
        <w:t xml:space="preserve"> </w:t>
      </w:r>
      <w:r w:rsidRPr="00F130DE">
        <w:t>§</w:t>
      </w:r>
      <w:r w:rsidR="00C64050">
        <w:t xml:space="preserve"> </w:t>
      </w:r>
      <w:r w:rsidRPr="00F130DE">
        <w:t>2522</w:t>
      </w:r>
      <w:r w:rsidR="00C64050">
        <w:t xml:space="preserve"> </w:t>
      </w:r>
      <w:r w:rsidRPr="00F130DE">
        <w:t>is</w:t>
      </w:r>
      <w:r w:rsidR="00C64050">
        <w:t xml:space="preserve"> </w:t>
      </w:r>
      <w:r w:rsidRPr="00F130DE">
        <w:t>allowable</w:t>
      </w:r>
      <w:r w:rsidR="00C64050">
        <w:t xml:space="preserve"> </w:t>
      </w:r>
      <w:r w:rsidRPr="00F130DE">
        <w:t>for</w:t>
      </w:r>
      <w:r w:rsidR="00C64050">
        <w:t xml:space="preserve"> </w:t>
      </w:r>
      <w:r w:rsidRPr="00F130DE">
        <w:t>a</w:t>
      </w:r>
      <w:r w:rsidR="00C64050">
        <w:t xml:space="preserve"> </w:t>
      </w:r>
      <w:r w:rsidRPr="00F130DE">
        <w:t>transfer</w:t>
      </w:r>
      <w:r w:rsidR="00C64050">
        <w:t xml:space="preserve"> </w:t>
      </w:r>
      <w:r w:rsidRPr="00F130DE">
        <w:t>of</w:t>
      </w:r>
      <w:r w:rsidR="00C64050">
        <w:t xml:space="preserve"> </w:t>
      </w:r>
      <w:r w:rsidRPr="00F130DE">
        <w:t>an</w:t>
      </w:r>
      <w:r w:rsidR="00C64050">
        <w:t xml:space="preserve"> </w:t>
      </w:r>
      <w:r w:rsidRPr="00F130DE">
        <w:t>interest</w:t>
      </w:r>
      <w:r w:rsidR="00C64050">
        <w:t xml:space="preserve"> </w:t>
      </w:r>
      <w:r w:rsidRPr="00F130DE">
        <w:t>in</w:t>
      </w:r>
      <w:r w:rsidR="00C64050">
        <w:t xml:space="preserve"> </w:t>
      </w:r>
      <w:r w:rsidRPr="00F130DE">
        <w:t>a</w:t>
      </w:r>
      <w:r w:rsidR="00C64050">
        <w:t xml:space="preserve"> </w:t>
      </w:r>
      <w:r w:rsidRPr="00F130DE">
        <w:t>limited</w:t>
      </w:r>
      <w:r w:rsidR="00C64050">
        <w:t xml:space="preserve"> </w:t>
      </w:r>
      <w:r w:rsidRPr="00F130DE">
        <w:t>partnership</w:t>
      </w:r>
      <w:r w:rsidR="00C64050">
        <w:t xml:space="preserve"> </w:t>
      </w:r>
      <w:r w:rsidRPr="00F130DE">
        <w:t>or</w:t>
      </w:r>
      <w:r w:rsidR="00C64050">
        <w:t xml:space="preserve"> </w:t>
      </w:r>
      <w:r w:rsidRPr="00F130DE">
        <w:t>a</w:t>
      </w:r>
      <w:r w:rsidR="00C64050">
        <w:t xml:space="preserve"> </w:t>
      </w:r>
      <w:r w:rsidRPr="00F130DE">
        <w:t>limited</w:t>
      </w:r>
      <w:r w:rsidR="00C64050">
        <w:t xml:space="preserve"> </w:t>
      </w:r>
      <w:r w:rsidRPr="00F130DE">
        <w:t>liability</w:t>
      </w:r>
      <w:r w:rsidR="00C64050">
        <w:t xml:space="preserve"> </w:t>
      </w:r>
      <w:r w:rsidRPr="00F130DE">
        <w:t>company</w:t>
      </w:r>
      <w:r w:rsidR="00C64050">
        <w:t xml:space="preserve"> </w:t>
      </w:r>
      <w:r w:rsidRPr="00F130DE">
        <w:t>taxed</w:t>
      </w:r>
      <w:r w:rsidR="00C64050">
        <w:t xml:space="preserve"> </w:t>
      </w:r>
      <w:r w:rsidRPr="00F130DE">
        <w:t>as</w:t>
      </w:r>
      <w:r w:rsidR="00C64050">
        <w:t xml:space="preserve"> </w:t>
      </w:r>
      <w:r w:rsidRPr="00F130DE">
        <w:t>a</w:t>
      </w:r>
      <w:r w:rsidR="00C64050">
        <w:t xml:space="preserve"> </w:t>
      </w:r>
      <w:r w:rsidRPr="00F130DE">
        <w:t>partnership</w:t>
      </w:r>
      <w:r w:rsidR="00C64050">
        <w:t xml:space="preserve"> </w:t>
      </w:r>
      <w:r w:rsidRPr="00F130DE">
        <w:t>to</w:t>
      </w:r>
      <w:r w:rsidR="00C64050">
        <w:t xml:space="preserve"> </w:t>
      </w:r>
      <w:r w:rsidRPr="00F130DE">
        <w:t>an</w:t>
      </w:r>
      <w:r w:rsidR="00C64050">
        <w:t xml:space="preserve"> </w:t>
      </w:r>
      <w:r w:rsidRPr="00F130DE">
        <w:t>organization</w:t>
      </w:r>
      <w:r w:rsidR="00C64050">
        <w:t xml:space="preserve"> </w:t>
      </w:r>
      <w:r w:rsidRPr="00F130DE">
        <w:t>described</w:t>
      </w:r>
      <w:r w:rsidR="00C64050">
        <w:t xml:space="preserve"> </w:t>
      </w:r>
      <w:r w:rsidRPr="00F130DE">
        <w:t>in</w:t>
      </w:r>
      <w:r w:rsidR="00C64050">
        <w:t xml:space="preserve"> </w:t>
      </w:r>
      <w:r w:rsidRPr="00F130DE">
        <w:t>§</w:t>
      </w:r>
      <w:r w:rsidR="00C64050">
        <w:t xml:space="preserve"> </w:t>
      </w:r>
      <w:r w:rsidRPr="00F130DE">
        <w:t>2522(a).</w:t>
      </w:r>
    </w:p>
    <w:p w:rsidR="00773146" w:rsidRPr="00F130DE" w:rsidRDefault="00773146" w:rsidP="00244CEA">
      <w:pPr>
        <w:pStyle w:val="QS10"/>
      </w:pPr>
      <w:r>
        <w:t>(1</w:t>
      </w:r>
      <w:r w:rsidR="002302AE">
        <w:t>1</w:t>
      </w:r>
      <w:r w:rsidR="006A2FEF">
        <w:t>4</w:t>
      </w:r>
      <w:r w:rsidRPr="00F130DE">
        <w:t>)</w:t>
      </w:r>
      <w:r w:rsidR="00C64050">
        <w:t xml:space="preserve"> </w:t>
      </w:r>
      <w:r w:rsidRPr="00F130DE">
        <w:t>Section</w:t>
      </w:r>
      <w:r w:rsidR="00C64050">
        <w:t xml:space="preserve"> </w:t>
      </w:r>
      <w:r w:rsidRPr="00F130DE">
        <w:t>2601.—Tax</w:t>
      </w:r>
      <w:r w:rsidR="00C64050">
        <w:t xml:space="preserve"> </w:t>
      </w:r>
      <w:r w:rsidRPr="00F130DE">
        <w:t>Imposed.—</w:t>
      </w:r>
      <w:r w:rsidR="00C64050">
        <w:t xml:space="preserve"> </w:t>
      </w:r>
      <w:r w:rsidRPr="00F130DE">
        <w:t>Whether</w:t>
      </w:r>
      <w:r w:rsidR="00C64050">
        <w:t xml:space="preserve"> </w:t>
      </w:r>
      <w:r w:rsidRPr="00F130DE">
        <w:t>a</w:t>
      </w:r>
      <w:r w:rsidR="00C64050">
        <w:t xml:space="preserve"> </w:t>
      </w:r>
      <w:r w:rsidRPr="00F130DE">
        <w:t>trust</w:t>
      </w:r>
      <w:r w:rsidR="00C64050">
        <w:t xml:space="preserve"> </w:t>
      </w:r>
      <w:r w:rsidRPr="00F130DE">
        <w:t>exempt</w:t>
      </w:r>
      <w:r w:rsidR="00C64050">
        <w:t xml:space="preserve"> </w:t>
      </w:r>
      <w:r w:rsidRPr="00F130DE">
        <w:t>from</w:t>
      </w:r>
      <w:r w:rsidR="00C64050">
        <w:t xml:space="preserve"> </w:t>
      </w:r>
      <w:r w:rsidRPr="00F130DE">
        <w:t>generation-</w:t>
      </w:r>
      <w:r w:rsidR="00C64050">
        <w:t xml:space="preserve"> </w:t>
      </w:r>
      <w:r w:rsidRPr="00F130DE">
        <w:t>skipping</w:t>
      </w:r>
      <w:r w:rsidR="00C64050">
        <w:t xml:space="preserve"> </w:t>
      </w:r>
      <w:r w:rsidRPr="00F130DE">
        <w:t>transfer</w:t>
      </w:r>
      <w:r w:rsidR="00C64050">
        <w:t xml:space="preserve"> </w:t>
      </w:r>
      <w:r w:rsidRPr="00F130DE">
        <w:t>(GST)</w:t>
      </w:r>
      <w:r w:rsidR="00C64050">
        <w:t xml:space="preserve"> </w:t>
      </w:r>
      <w:r w:rsidRPr="00F130DE">
        <w:t>tax</w:t>
      </w:r>
      <w:r w:rsidR="00C64050">
        <w:t xml:space="preserve"> </w:t>
      </w:r>
      <w:r w:rsidRPr="00F130DE">
        <w:t>under</w:t>
      </w:r>
      <w:r w:rsidR="00C64050">
        <w:t xml:space="preserve"> </w:t>
      </w:r>
      <w:r w:rsidRPr="00F130DE">
        <w:t>§</w:t>
      </w:r>
      <w:r w:rsidR="00C64050">
        <w:t xml:space="preserve"> </w:t>
      </w:r>
      <w:r w:rsidRPr="00F130DE">
        <w:t>26.260l</w:t>
      </w:r>
      <w:r w:rsidR="00C64050">
        <w:t xml:space="preserve"> </w:t>
      </w:r>
      <w:r w:rsidRPr="00F130DE">
        <w:t>—</w:t>
      </w:r>
      <w:r w:rsidR="00C64050">
        <w:t xml:space="preserve"> </w:t>
      </w:r>
      <w:r w:rsidRPr="00F130DE">
        <w:t>l(b)(1),</w:t>
      </w:r>
      <w:r w:rsidR="00C64050">
        <w:t xml:space="preserve"> </w:t>
      </w:r>
      <w:r w:rsidRPr="00F130DE">
        <w:t>(2),</w:t>
      </w:r>
      <w:r w:rsidR="00C64050">
        <w:t xml:space="preserve"> </w:t>
      </w:r>
      <w:r w:rsidRPr="00F130DE">
        <w:t>or</w:t>
      </w:r>
      <w:r w:rsidR="00C64050">
        <w:t xml:space="preserve"> </w:t>
      </w:r>
      <w:r w:rsidRPr="00F130DE">
        <w:t>(3)</w:t>
      </w:r>
      <w:r w:rsidR="00C64050">
        <w:t xml:space="preserve"> </w:t>
      </w:r>
      <w:r w:rsidRPr="00F130DE">
        <w:t>of</w:t>
      </w:r>
      <w:r w:rsidR="00C64050">
        <w:t xml:space="preserve"> </w:t>
      </w:r>
      <w:r w:rsidRPr="00F130DE">
        <w:t>the</w:t>
      </w:r>
      <w:r w:rsidR="00C64050">
        <w:t xml:space="preserve"> </w:t>
      </w:r>
      <w:r w:rsidRPr="00F130DE">
        <w:t>Generation-Skipping</w:t>
      </w:r>
      <w:r w:rsidR="00C64050">
        <w:t xml:space="preserve"> </w:t>
      </w:r>
      <w:r w:rsidRPr="00F130DE">
        <w:t>Transfer</w:t>
      </w:r>
      <w:r w:rsidR="00C64050">
        <w:t xml:space="preserve"> </w:t>
      </w:r>
      <w:r w:rsidRPr="00F130DE">
        <w:t>Tax</w:t>
      </w:r>
      <w:r w:rsidR="00C64050">
        <w:t xml:space="preserve"> </w:t>
      </w:r>
      <w:r w:rsidRPr="00F130DE">
        <w:t>Regulations</w:t>
      </w:r>
      <w:r w:rsidR="00C64050">
        <w:t xml:space="preserve"> </w:t>
      </w:r>
      <w:r w:rsidRPr="00F130DE">
        <w:t>will</w:t>
      </w:r>
      <w:r w:rsidR="00C64050">
        <w:t xml:space="preserve"> </w:t>
      </w:r>
      <w:r w:rsidRPr="00F130DE">
        <w:t>retain</w:t>
      </w:r>
      <w:r w:rsidR="00C64050">
        <w:t xml:space="preserve"> </w:t>
      </w:r>
      <w:r w:rsidRPr="00F130DE">
        <w:t>its</w:t>
      </w:r>
      <w:r w:rsidR="00C64050">
        <w:t xml:space="preserve"> </w:t>
      </w:r>
      <w:r w:rsidRPr="00F130DE">
        <w:t>GST</w:t>
      </w:r>
      <w:r w:rsidR="00C64050">
        <w:t xml:space="preserve"> </w:t>
      </w:r>
      <w:r w:rsidRPr="00F130DE">
        <w:t>exempt</w:t>
      </w:r>
      <w:r w:rsidR="00C64050">
        <w:t xml:space="preserve"> </w:t>
      </w:r>
      <w:r w:rsidRPr="00F130DE">
        <w:t>status</w:t>
      </w:r>
      <w:r w:rsidR="00C64050">
        <w:t xml:space="preserve"> </w:t>
      </w:r>
      <w:r w:rsidRPr="00F130DE">
        <w:t>when</w:t>
      </w:r>
      <w:r w:rsidR="00C64050">
        <w:t xml:space="preserve"> </w:t>
      </w:r>
      <w:r w:rsidRPr="00F130DE">
        <w:t>there</w:t>
      </w:r>
      <w:r w:rsidR="00C64050">
        <w:t xml:space="preserve"> </w:t>
      </w:r>
      <w:r w:rsidRPr="00F130DE">
        <w:t>is</w:t>
      </w:r>
      <w:r w:rsidR="00C64050">
        <w:t xml:space="preserve"> </w:t>
      </w:r>
      <w:r w:rsidRPr="00F130DE">
        <w:t>a</w:t>
      </w:r>
      <w:r w:rsidR="00C64050">
        <w:t xml:space="preserve"> </w:t>
      </w:r>
      <w:r w:rsidRPr="00F130DE">
        <w:t>modification</w:t>
      </w:r>
      <w:r w:rsidR="00C64050">
        <w:t xml:space="preserve"> </w:t>
      </w:r>
      <w:r w:rsidRPr="00F130DE">
        <w:t>of</w:t>
      </w:r>
      <w:r w:rsidR="00C64050">
        <w:t xml:space="preserve"> </w:t>
      </w:r>
      <w:r w:rsidRPr="00F130DE">
        <w:t>a</w:t>
      </w:r>
      <w:r w:rsidR="00C64050">
        <w:t xml:space="preserve"> </w:t>
      </w:r>
      <w:r w:rsidRPr="00F130DE">
        <w:t>trust,</w:t>
      </w:r>
      <w:r w:rsidR="00C64050">
        <w:t xml:space="preserve"> </w:t>
      </w:r>
      <w:r w:rsidRPr="00F130DE">
        <w:t>change</w:t>
      </w:r>
      <w:r w:rsidR="00C64050">
        <w:t xml:space="preserve"> </w:t>
      </w:r>
      <w:r w:rsidRPr="00F130DE">
        <w:t>in</w:t>
      </w:r>
      <w:r w:rsidR="00C64050">
        <w:t xml:space="preserve"> </w:t>
      </w:r>
      <w:r w:rsidRPr="00F130DE">
        <w:t>the</w:t>
      </w:r>
      <w:r w:rsidR="00C64050">
        <w:t xml:space="preserve"> </w:t>
      </w:r>
      <w:r w:rsidRPr="00F130DE">
        <w:t>administration</w:t>
      </w:r>
      <w:r w:rsidR="00C64050">
        <w:t xml:space="preserve"> </w:t>
      </w:r>
      <w:r w:rsidRPr="00F130DE">
        <w:t>of</w:t>
      </w:r>
      <w:r w:rsidR="00C64050">
        <w:t xml:space="preserve"> </w:t>
      </w:r>
      <w:r w:rsidRPr="00F130DE">
        <w:t>a</w:t>
      </w:r>
      <w:r w:rsidR="00C64050">
        <w:t xml:space="preserve"> </w:t>
      </w:r>
      <w:r w:rsidRPr="00F130DE">
        <w:t>trust,</w:t>
      </w:r>
      <w:r w:rsidR="00C64050">
        <w:t xml:space="preserve"> </w:t>
      </w:r>
      <w:r w:rsidRPr="00F130DE">
        <w:t>or</w:t>
      </w:r>
      <w:r w:rsidR="00C64050">
        <w:t xml:space="preserve"> </w:t>
      </w:r>
      <w:r w:rsidRPr="00F130DE">
        <w:t>a</w:t>
      </w:r>
      <w:r w:rsidR="00C64050">
        <w:t xml:space="preserve"> </w:t>
      </w:r>
      <w:r w:rsidRPr="00F130DE">
        <w:t>distribution</w:t>
      </w:r>
      <w:r w:rsidR="00C64050">
        <w:t xml:space="preserve"> </w:t>
      </w:r>
      <w:r w:rsidRPr="00F130DE">
        <w:t>from</w:t>
      </w:r>
      <w:r w:rsidR="00C64050">
        <w:t xml:space="preserve"> </w:t>
      </w:r>
      <w:r w:rsidRPr="00F130DE">
        <w:t>a</w:t>
      </w:r>
      <w:r w:rsidR="00C64050">
        <w:t xml:space="preserve"> </w:t>
      </w:r>
      <w:r w:rsidRPr="00F130DE">
        <w:t>trust</w:t>
      </w:r>
      <w:r w:rsidR="00C64050">
        <w:t xml:space="preserve"> </w:t>
      </w:r>
      <w:r w:rsidRPr="00F130DE">
        <w:t>in</w:t>
      </w:r>
      <w:r w:rsidR="00C64050">
        <w:t xml:space="preserve"> </w:t>
      </w:r>
      <w:r w:rsidRPr="00F130DE">
        <w:t>a</w:t>
      </w:r>
      <w:r w:rsidR="00C64050">
        <w:t xml:space="preserve"> </w:t>
      </w:r>
      <w:r w:rsidRPr="00F130DE">
        <w:t>factual</w:t>
      </w:r>
      <w:r w:rsidR="00C64050">
        <w:t xml:space="preserve"> </w:t>
      </w:r>
      <w:r w:rsidRPr="00F130DE">
        <w:t>scenario</w:t>
      </w:r>
      <w:r w:rsidR="00C64050">
        <w:t xml:space="preserve"> </w:t>
      </w:r>
      <w:r w:rsidRPr="00F130DE">
        <w:t>that</w:t>
      </w:r>
      <w:r w:rsidR="00C64050">
        <w:t xml:space="preserve"> </w:t>
      </w:r>
      <w:r w:rsidRPr="00F130DE">
        <w:t>is</w:t>
      </w:r>
      <w:r w:rsidR="00C64050">
        <w:t xml:space="preserve"> </w:t>
      </w:r>
      <w:r w:rsidRPr="00F130DE">
        <w:t>similar</w:t>
      </w:r>
      <w:r w:rsidR="00C64050">
        <w:t xml:space="preserve"> </w:t>
      </w:r>
      <w:r w:rsidRPr="00F130DE">
        <w:t>to</w:t>
      </w:r>
      <w:r w:rsidR="00C64050">
        <w:t xml:space="preserve"> </w:t>
      </w:r>
      <w:r w:rsidRPr="00F130DE">
        <w:t>a</w:t>
      </w:r>
      <w:r w:rsidR="00C64050">
        <w:t xml:space="preserve"> </w:t>
      </w:r>
      <w:r w:rsidRPr="00F130DE">
        <w:t>factual</w:t>
      </w:r>
      <w:r w:rsidR="00C64050">
        <w:t xml:space="preserve"> </w:t>
      </w:r>
      <w:r w:rsidRPr="00F130DE">
        <w:t>scenario</w:t>
      </w:r>
      <w:r w:rsidR="00C64050">
        <w:t xml:space="preserve"> </w:t>
      </w:r>
      <w:r w:rsidRPr="00F130DE">
        <w:t>set</w:t>
      </w:r>
      <w:r w:rsidR="00C64050">
        <w:t xml:space="preserve"> </w:t>
      </w:r>
      <w:r w:rsidRPr="00F130DE">
        <w:t>forth</w:t>
      </w:r>
      <w:r w:rsidR="00C64050">
        <w:t xml:space="preserve"> </w:t>
      </w:r>
      <w:r w:rsidRPr="00F130DE">
        <w:t>in</w:t>
      </w:r>
      <w:r w:rsidR="00C64050">
        <w:t xml:space="preserve"> </w:t>
      </w:r>
      <w:r w:rsidRPr="00F130DE">
        <w:t>one</w:t>
      </w:r>
      <w:r w:rsidR="00C64050">
        <w:t xml:space="preserve"> </w:t>
      </w:r>
      <w:r w:rsidRPr="00F130DE">
        <w:t>or</w:t>
      </w:r>
      <w:r w:rsidR="00C64050">
        <w:t xml:space="preserve"> </w:t>
      </w:r>
      <w:r w:rsidRPr="00F130DE">
        <w:t>more</w:t>
      </w:r>
      <w:r w:rsidR="00C64050">
        <w:t xml:space="preserve"> </w:t>
      </w:r>
      <w:r w:rsidRPr="00F130DE">
        <w:t>of</w:t>
      </w:r>
      <w:r w:rsidR="00C64050">
        <w:t xml:space="preserve"> </w:t>
      </w:r>
      <w:r w:rsidRPr="00F130DE">
        <w:t>the</w:t>
      </w:r>
      <w:r w:rsidR="00C64050">
        <w:t xml:space="preserve"> </w:t>
      </w:r>
      <w:r w:rsidRPr="00F130DE">
        <w:t>examples</w:t>
      </w:r>
      <w:r w:rsidR="00C64050">
        <w:t xml:space="preserve"> </w:t>
      </w:r>
      <w:r w:rsidRPr="00F130DE">
        <w:t>contained</w:t>
      </w:r>
      <w:r w:rsidR="00C64050">
        <w:t xml:space="preserve"> </w:t>
      </w:r>
      <w:r w:rsidRPr="00F130DE">
        <w:t>in</w:t>
      </w:r>
      <w:r w:rsidR="00C64050">
        <w:t xml:space="preserve"> </w:t>
      </w:r>
      <w:r w:rsidRPr="00F130DE">
        <w:t>§</w:t>
      </w:r>
      <w:r w:rsidR="00C64050">
        <w:t xml:space="preserve"> </w:t>
      </w:r>
      <w:r w:rsidRPr="00F130DE">
        <w:t>26.2601-1</w:t>
      </w:r>
      <w:r w:rsidR="00C64050">
        <w:t xml:space="preserve"> </w:t>
      </w:r>
      <w:r w:rsidRPr="00F130DE">
        <w:t>(b)(4)(i)(E).</w:t>
      </w:r>
    </w:p>
    <w:p w:rsidR="00773146" w:rsidRPr="00F130DE" w:rsidRDefault="00773146" w:rsidP="00244CEA">
      <w:pPr>
        <w:pStyle w:val="QS10"/>
      </w:pPr>
      <w:r w:rsidRPr="00F130DE">
        <w:t>(</w:t>
      </w:r>
      <w:r>
        <w:t>1</w:t>
      </w:r>
      <w:r w:rsidR="002302AE">
        <w:t>2</w:t>
      </w:r>
      <w:r w:rsidR="006A2FEF">
        <w:t>2</w:t>
      </w:r>
      <w:r w:rsidRPr="00F130DE">
        <w:t>)</w:t>
      </w:r>
      <w:r w:rsidR="00C64050">
        <w:t xml:space="preserve"> </w:t>
      </w:r>
      <w:r w:rsidRPr="00F130DE">
        <w:t>Section</w:t>
      </w:r>
      <w:r w:rsidR="00C64050">
        <w:t xml:space="preserve"> </w:t>
      </w:r>
      <w:r w:rsidRPr="00F130DE">
        <w:t>4941.—Taxes</w:t>
      </w:r>
      <w:r w:rsidR="00C64050">
        <w:t xml:space="preserve"> </w:t>
      </w:r>
      <w:r w:rsidRPr="00F130DE">
        <w:t>on</w:t>
      </w:r>
      <w:r w:rsidR="00C64050">
        <w:t xml:space="preserve"> </w:t>
      </w:r>
      <w:r w:rsidRPr="00F130DE">
        <w:t>Self-</w:t>
      </w:r>
      <w:r w:rsidR="00C64050">
        <w:t xml:space="preserve"> </w:t>
      </w:r>
      <w:r w:rsidRPr="00F130DE">
        <w:t>Dealing.—Whether</w:t>
      </w:r>
      <w:r w:rsidR="00C64050">
        <w:t xml:space="preserve"> </w:t>
      </w:r>
      <w:r w:rsidRPr="00F130DE">
        <w:t>transactions</w:t>
      </w:r>
      <w:r w:rsidR="00C64050">
        <w:t xml:space="preserve"> </w:t>
      </w:r>
      <w:r w:rsidRPr="00F130DE">
        <w:t>during</w:t>
      </w:r>
      <w:r w:rsidR="00C64050">
        <w:t xml:space="preserve"> </w:t>
      </w:r>
      <w:r w:rsidRPr="00F130DE">
        <w:t>the</w:t>
      </w:r>
      <w:r w:rsidR="00C64050">
        <w:t xml:space="preserve"> </w:t>
      </w:r>
      <w:r w:rsidRPr="00F130DE">
        <w:t>administration</w:t>
      </w:r>
      <w:r w:rsidR="00C64050">
        <w:t xml:space="preserve"> </w:t>
      </w:r>
      <w:r w:rsidRPr="00F130DE">
        <w:t>of</w:t>
      </w:r>
      <w:r w:rsidR="00C64050">
        <w:t xml:space="preserve"> </w:t>
      </w:r>
      <w:r w:rsidRPr="00F130DE">
        <w:t>an</w:t>
      </w:r>
      <w:r w:rsidR="00C64050">
        <w:t xml:space="preserve"> </w:t>
      </w:r>
      <w:r w:rsidRPr="00F130DE">
        <w:t>estate</w:t>
      </w:r>
      <w:r w:rsidR="00C64050">
        <w:t xml:space="preserve"> </w:t>
      </w:r>
      <w:r w:rsidRPr="00F130DE">
        <w:t>or</w:t>
      </w:r>
      <w:r w:rsidR="00C64050">
        <w:t xml:space="preserve"> </w:t>
      </w:r>
      <w:r w:rsidRPr="00F130DE">
        <w:t>trust</w:t>
      </w:r>
      <w:r w:rsidR="00C64050">
        <w:t xml:space="preserve"> </w:t>
      </w:r>
      <w:r w:rsidRPr="00F130DE">
        <w:t>meet</w:t>
      </w:r>
      <w:r w:rsidR="00C64050">
        <w:t xml:space="preserve"> </w:t>
      </w:r>
      <w:r w:rsidRPr="00F130DE">
        <w:t>the</w:t>
      </w:r>
      <w:r w:rsidR="00C64050">
        <w:t xml:space="preserve"> </w:t>
      </w:r>
      <w:r w:rsidRPr="00F130DE">
        <w:t>requirements</w:t>
      </w:r>
      <w:r w:rsidR="00C64050">
        <w:t xml:space="preserve"> </w:t>
      </w:r>
      <w:r w:rsidRPr="00F130DE">
        <w:t>of</w:t>
      </w:r>
      <w:r w:rsidR="00C64050">
        <w:t xml:space="preserve"> </w:t>
      </w:r>
      <w:r w:rsidRPr="00F130DE">
        <w:t>the</w:t>
      </w:r>
      <w:r w:rsidR="00C64050">
        <w:t xml:space="preserve"> </w:t>
      </w:r>
      <w:r w:rsidRPr="00F130DE">
        <w:t>exception</w:t>
      </w:r>
      <w:r w:rsidR="00C64050">
        <w:t xml:space="preserve"> </w:t>
      </w:r>
      <w:r w:rsidRPr="00F130DE">
        <w:t>to</w:t>
      </w:r>
      <w:r w:rsidR="00C64050">
        <w:t xml:space="preserve"> </w:t>
      </w:r>
      <w:r w:rsidRPr="00F130DE">
        <w:t>§</w:t>
      </w:r>
      <w:r w:rsidR="00C64050">
        <w:t xml:space="preserve"> </w:t>
      </w:r>
      <w:r w:rsidRPr="00F130DE">
        <w:t>4941</w:t>
      </w:r>
      <w:r w:rsidR="00C64050">
        <w:t xml:space="preserve"> </w:t>
      </w:r>
      <w:r w:rsidRPr="00F130DE">
        <w:t>set</w:t>
      </w:r>
      <w:r w:rsidR="00C64050">
        <w:t xml:space="preserve"> </w:t>
      </w:r>
      <w:r w:rsidRPr="00F130DE">
        <w:t>forth</w:t>
      </w:r>
      <w:r w:rsidR="00C64050">
        <w:t xml:space="preserve"> </w:t>
      </w:r>
      <w:r w:rsidRPr="00F130DE">
        <w:t>in</w:t>
      </w:r>
      <w:r w:rsidR="00C64050">
        <w:t xml:space="preserve"> </w:t>
      </w:r>
      <w:r w:rsidRPr="00F130DE">
        <w:t>§</w:t>
      </w:r>
      <w:r w:rsidR="00C64050">
        <w:t xml:space="preserve"> </w:t>
      </w:r>
      <w:r w:rsidRPr="00F130DE">
        <w:t>53.4941(d)-1(b)(3)</w:t>
      </w:r>
      <w:r w:rsidR="00C64050">
        <w:t xml:space="preserve"> </w:t>
      </w:r>
      <w:r w:rsidRPr="00F130DE">
        <w:t>of</w:t>
      </w:r>
      <w:r w:rsidR="00C64050">
        <w:t xml:space="preserve"> </w:t>
      </w:r>
      <w:r w:rsidRPr="00F130DE">
        <w:t>the</w:t>
      </w:r>
      <w:r w:rsidR="00C64050">
        <w:t xml:space="preserve"> </w:t>
      </w:r>
      <w:r w:rsidRPr="00F130DE">
        <w:t>Private</w:t>
      </w:r>
      <w:r w:rsidR="00C64050">
        <w:t xml:space="preserve"> </w:t>
      </w:r>
      <w:r w:rsidRPr="00F130DE">
        <w:t>Foundation</w:t>
      </w:r>
      <w:r w:rsidR="00C64050">
        <w:t xml:space="preserve"> </w:t>
      </w:r>
      <w:r w:rsidRPr="00F130DE">
        <w:t>Excise</w:t>
      </w:r>
      <w:r w:rsidR="00C64050">
        <w:t xml:space="preserve"> </w:t>
      </w:r>
      <w:r w:rsidRPr="00F130DE">
        <w:t>Tax</w:t>
      </w:r>
      <w:r w:rsidR="00C64050">
        <w:t xml:space="preserve"> </w:t>
      </w:r>
      <w:r w:rsidRPr="00F130DE">
        <w:t>Regulations,</w:t>
      </w:r>
      <w:r w:rsidR="00C64050">
        <w:t xml:space="preserve"> </w:t>
      </w:r>
      <w:r w:rsidRPr="00F130DE">
        <w:t>in</w:t>
      </w:r>
      <w:r w:rsidR="00C64050">
        <w:t xml:space="preserve"> </w:t>
      </w:r>
      <w:r w:rsidRPr="00F130DE">
        <w:t>cases</w:t>
      </w:r>
      <w:r w:rsidR="00C64050">
        <w:t xml:space="preserve"> </w:t>
      </w:r>
      <w:r w:rsidRPr="00F130DE">
        <w:t>in</w:t>
      </w:r>
      <w:r w:rsidR="00C64050">
        <w:t xml:space="preserve"> </w:t>
      </w:r>
      <w:r w:rsidRPr="00F130DE">
        <w:t>which</w:t>
      </w:r>
      <w:r w:rsidR="00C64050">
        <w:t xml:space="preserve"> </w:t>
      </w:r>
      <w:r w:rsidRPr="00F130DE">
        <w:t>a</w:t>
      </w:r>
      <w:r w:rsidR="00C64050">
        <w:t xml:space="preserve"> </w:t>
      </w:r>
      <w:r w:rsidRPr="00F130DE">
        <w:t>disqualified</w:t>
      </w:r>
      <w:r w:rsidR="00C64050">
        <w:t xml:space="preserve"> </w:t>
      </w:r>
      <w:r w:rsidRPr="00F130DE">
        <w:t>person</w:t>
      </w:r>
      <w:r w:rsidR="00C64050">
        <w:t xml:space="preserve"> </w:t>
      </w:r>
      <w:r w:rsidRPr="00F130DE">
        <w:t>issues</w:t>
      </w:r>
      <w:r w:rsidR="00C64050">
        <w:t xml:space="preserve"> </w:t>
      </w:r>
      <w:r w:rsidRPr="00F130DE">
        <w:t>a</w:t>
      </w:r>
      <w:r w:rsidR="00C64050">
        <w:t xml:space="preserve"> </w:t>
      </w:r>
      <w:r w:rsidRPr="00F130DE">
        <w:t>promissory</w:t>
      </w:r>
      <w:r w:rsidR="00C64050">
        <w:t xml:space="preserve"> </w:t>
      </w:r>
      <w:r w:rsidRPr="00F130DE">
        <w:t>note</w:t>
      </w:r>
      <w:r w:rsidR="00C64050">
        <w:t xml:space="preserve"> </w:t>
      </w:r>
      <w:r w:rsidRPr="00F130DE">
        <w:t>in</w:t>
      </w:r>
      <w:r w:rsidR="00C64050">
        <w:t xml:space="preserve"> </w:t>
      </w:r>
      <w:r w:rsidRPr="00F130DE">
        <w:t>exchange</w:t>
      </w:r>
      <w:r w:rsidR="00C64050">
        <w:t xml:space="preserve"> </w:t>
      </w:r>
      <w:r w:rsidRPr="00F130DE">
        <w:t>for</w:t>
      </w:r>
      <w:r w:rsidR="00C64050">
        <w:t xml:space="preserve"> </w:t>
      </w:r>
      <w:r w:rsidRPr="00F130DE">
        <w:t>property</w:t>
      </w:r>
      <w:r w:rsidR="00C64050">
        <w:t xml:space="preserve"> </w:t>
      </w:r>
      <w:r w:rsidRPr="00F130DE">
        <w:t>of</w:t>
      </w:r>
      <w:r w:rsidR="00C64050">
        <w:t xml:space="preserve"> </w:t>
      </w:r>
      <w:r w:rsidRPr="00F130DE">
        <w:t>an</w:t>
      </w:r>
      <w:r w:rsidR="00C64050">
        <w:t xml:space="preserve"> </w:t>
      </w:r>
      <w:r w:rsidRPr="00F130DE">
        <w:t>estate</w:t>
      </w:r>
      <w:r w:rsidR="00C64050">
        <w:t xml:space="preserve"> </w:t>
      </w:r>
      <w:r w:rsidRPr="00F130DE">
        <w:t>or</w:t>
      </w:r>
      <w:r w:rsidR="00C64050">
        <w:t xml:space="preserve"> </w:t>
      </w:r>
      <w:r w:rsidRPr="00F130DE">
        <w:t>trust.</w:t>
      </w:r>
    </w:p>
    <w:p w:rsidR="00773146" w:rsidRPr="00F130DE" w:rsidRDefault="00773146" w:rsidP="00244CEA">
      <w:pPr>
        <w:pStyle w:val="Body15"/>
        <w:spacing w:before="240"/>
        <w:rPr>
          <w:lang w:eastAsia="en-GB"/>
        </w:rPr>
      </w:pPr>
      <w:r w:rsidRPr="00F130DE">
        <w:rPr>
          <w:lang w:eastAsia="en-GB"/>
        </w:rPr>
        <w:t>In</w:t>
      </w:r>
      <w:r w:rsidR="00C64050">
        <w:rPr>
          <w:lang w:eastAsia="en-GB"/>
        </w:rPr>
        <w:t xml:space="preserve"> </w:t>
      </w:r>
      <w:r w:rsidRPr="00F130DE">
        <w:rPr>
          <w:lang w:eastAsia="en-GB"/>
        </w:rPr>
        <w:t>addition,</w:t>
      </w:r>
      <w:r w:rsidR="00C64050">
        <w:rPr>
          <w:lang w:eastAsia="en-GB"/>
        </w:rPr>
        <w:t xml:space="preserve"> </w:t>
      </w:r>
      <w:r w:rsidRPr="00F130DE">
        <w:rPr>
          <w:lang w:eastAsia="en-GB"/>
        </w:rPr>
        <w:t>rulings</w:t>
      </w:r>
      <w:r w:rsidR="00C64050">
        <w:rPr>
          <w:lang w:eastAsia="en-GB"/>
        </w:rPr>
        <w:t xml:space="preserve"> </w:t>
      </w:r>
      <w:r w:rsidRPr="00F130DE">
        <w:rPr>
          <w:lang w:eastAsia="en-GB"/>
        </w:rPr>
        <w:t>will</w:t>
      </w:r>
      <w:r w:rsidR="00C64050">
        <w:rPr>
          <w:lang w:eastAsia="en-GB"/>
        </w:rPr>
        <w:t xml:space="preserve"> </w:t>
      </w:r>
      <w:r w:rsidRPr="00F130DE">
        <w:rPr>
          <w:lang w:eastAsia="en-GB"/>
        </w:rPr>
        <w:t>“</w:t>
      </w:r>
      <w:r w:rsidRPr="00244CEA">
        <w:rPr>
          <w:bCs/>
          <w:szCs w:val="20"/>
        </w:rPr>
        <w:t>not</w:t>
      </w:r>
      <w:r w:rsidR="00C64050">
        <w:rPr>
          <w:lang w:eastAsia="en-GB"/>
        </w:rPr>
        <w:t xml:space="preserve"> </w:t>
      </w:r>
      <w:r w:rsidRPr="00F130DE">
        <w:rPr>
          <w:lang w:eastAsia="en-GB"/>
        </w:rPr>
        <w:t>ordinarily”</w:t>
      </w:r>
      <w:r w:rsidR="00C64050">
        <w:rPr>
          <w:lang w:eastAsia="en-GB"/>
        </w:rPr>
        <w:t xml:space="preserve"> </w:t>
      </w:r>
      <w:r w:rsidRPr="00F130DE">
        <w:rPr>
          <w:lang w:eastAsia="en-GB"/>
        </w:rPr>
        <w:t>be</w:t>
      </w:r>
      <w:r w:rsidR="00C64050">
        <w:rPr>
          <w:lang w:eastAsia="en-GB"/>
        </w:rPr>
        <w:t xml:space="preserve"> </w:t>
      </w:r>
      <w:r w:rsidRPr="00F130DE">
        <w:rPr>
          <w:lang w:eastAsia="en-GB"/>
        </w:rPr>
        <w:t>issued</w:t>
      </w:r>
      <w:r w:rsidR="00C64050">
        <w:rPr>
          <w:lang w:eastAsia="en-GB"/>
        </w:rPr>
        <w:t xml:space="preserve"> </w:t>
      </w:r>
      <w:r w:rsidRPr="00F130DE">
        <w:rPr>
          <w:lang w:eastAsia="en-GB"/>
        </w:rPr>
        <w:t>on</w:t>
      </w:r>
      <w:r w:rsidR="00C64050">
        <w:rPr>
          <w:lang w:eastAsia="en-GB"/>
        </w:rPr>
        <w:t xml:space="preserve"> </w:t>
      </w:r>
      <w:r w:rsidRPr="00F130DE">
        <w:rPr>
          <w:lang w:eastAsia="en-GB"/>
        </w:rPr>
        <w:t>the</w:t>
      </w:r>
      <w:r w:rsidR="00C64050">
        <w:rPr>
          <w:lang w:eastAsia="en-GB"/>
        </w:rPr>
        <w:t xml:space="preserve"> </w:t>
      </w:r>
      <w:r w:rsidRPr="00F130DE">
        <w:rPr>
          <w:lang w:eastAsia="en-GB"/>
        </w:rPr>
        <w:t>issues</w:t>
      </w:r>
      <w:r w:rsidR="00C64050">
        <w:rPr>
          <w:lang w:eastAsia="en-GB"/>
        </w:rPr>
        <w:t xml:space="preserve"> </w:t>
      </w:r>
      <w:r w:rsidRPr="00F130DE">
        <w:rPr>
          <w:lang w:eastAsia="en-GB"/>
        </w:rPr>
        <w:t>below.</w:t>
      </w:r>
      <w:r w:rsidR="00C64050">
        <w:rPr>
          <w:lang w:eastAsia="en-GB"/>
        </w:rPr>
        <w:t xml:space="preserve">  </w:t>
      </w:r>
      <w:r w:rsidRPr="00F130DE">
        <w:rPr>
          <w:lang w:eastAsia="en-GB"/>
        </w:rPr>
        <w:t>“Not</w:t>
      </w:r>
      <w:r w:rsidR="00C64050">
        <w:rPr>
          <w:lang w:eastAsia="en-GB"/>
        </w:rPr>
        <w:t xml:space="preserve"> </w:t>
      </w:r>
      <w:r w:rsidRPr="00F130DE">
        <w:rPr>
          <w:lang w:eastAsia="en-GB"/>
        </w:rPr>
        <w:t>ordinarily”</w:t>
      </w:r>
      <w:r w:rsidR="00C64050">
        <w:rPr>
          <w:lang w:eastAsia="en-GB"/>
        </w:rPr>
        <w:t xml:space="preserve"> </w:t>
      </w:r>
      <w:r w:rsidRPr="00F130DE">
        <w:rPr>
          <w:lang w:eastAsia="en-GB"/>
        </w:rPr>
        <w:t>means</w:t>
      </w:r>
      <w:r w:rsidR="00C64050">
        <w:rPr>
          <w:lang w:eastAsia="en-GB"/>
        </w:rPr>
        <w:t xml:space="preserve"> </w:t>
      </w:r>
      <w:r w:rsidRPr="00F130DE">
        <w:rPr>
          <w:lang w:eastAsia="en-GB"/>
        </w:rPr>
        <w:t>that</w:t>
      </w:r>
      <w:r w:rsidR="00C64050">
        <w:rPr>
          <w:lang w:eastAsia="en-GB"/>
        </w:rPr>
        <w:t xml:space="preserve"> </w:t>
      </w:r>
      <w:r w:rsidRPr="00F130DE">
        <w:rPr>
          <w:lang w:eastAsia="en-GB"/>
        </w:rPr>
        <w:t>unique</w:t>
      </w:r>
      <w:r w:rsidR="00C64050">
        <w:rPr>
          <w:lang w:eastAsia="en-GB"/>
        </w:rPr>
        <w:t xml:space="preserve"> </w:t>
      </w:r>
      <w:r w:rsidRPr="00F130DE">
        <w:rPr>
          <w:lang w:eastAsia="en-GB"/>
        </w:rPr>
        <w:t>and</w:t>
      </w:r>
      <w:r w:rsidR="00C64050">
        <w:rPr>
          <w:lang w:eastAsia="en-GB"/>
        </w:rPr>
        <w:t xml:space="preserve"> </w:t>
      </w:r>
      <w:r w:rsidRPr="00F130DE">
        <w:rPr>
          <w:lang w:eastAsia="en-GB"/>
        </w:rPr>
        <w:t>compelling</w:t>
      </w:r>
      <w:r w:rsidR="00C64050">
        <w:rPr>
          <w:lang w:eastAsia="en-GB"/>
        </w:rPr>
        <w:t xml:space="preserve"> </w:t>
      </w:r>
      <w:r w:rsidRPr="00F130DE">
        <w:rPr>
          <w:lang w:eastAsia="en-GB"/>
        </w:rPr>
        <w:t>reasons</w:t>
      </w:r>
      <w:r w:rsidR="00C64050">
        <w:rPr>
          <w:lang w:eastAsia="en-GB"/>
        </w:rPr>
        <w:t xml:space="preserve"> </w:t>
      </w:r>
      <w:r w:rsidRPr="00F130DE">
        <w:rPr>
          <w:lang w:eastAsia="en-GB"/>
        </w:rPr>
        <w:t>must</w:t>
      </w:r>
      <w:r w:rsidR="00C64050">
        <w:rPr>
          <w:lang w:eastAsia="en-GB"/>
        </w:rPr>
        <w:t xml:space="preserve"> </w:t>
      </w:r>
      <w:r w:rsidRPr="00F130DE">
        <w:rPr>
          <w:lang w:eastAsia="en-GB"/>
        </w:rPr>
        <w:t>be</w:t>
      </w:r>
      <w:r w:rsidR="00C64050">
        <w:rPr>
          <w:lang w:eastAsia="en-GB"/>
        </w:rPr>
        <w:t xml:space="preserve"> </w:t>
      </w:r>
      <w:r w:rsidRPr="00F130DE">
        <w:rPr>
          <w:lang w:eastAsia="en-GB"/>
        </w:rPr>
        <w:t>demonstrated</w:t>
      </w:r>
      <w:r w:rsidR="00C64050">
        <w:rPr>
          <w:lang w:eastAsia="en-GB"/>
        </w:rPr>
        <w:t xml:space="preserve"> </w:t>
      </w:r>
      <w:r w:rsidRPr="00F130DE">
        <w:rPr>
          <w:lang w:eastAsia="en-GB"/>
        </w:rPr>
        <w:t>in</w:t>
      </w:r>
      <w:r w:rsidR="00C64050">
        <w:rPr>
          <w:lang w:eastAsia="en-GB"/>
        </w:rPr>
        <w:t xml:space="preserve"> </w:t>
      </w:r>
      <w:r w:rsidRPr="00F130DE">
        <w:rPr>
          <w:lang w:eastAsia="en-GB"/>
        </w:rPr>
        <w:t>order</w:t>
      </w:r>
      <w:r w:rsidR="00C64050">
        <w:rPr>
          <w:lang w:eastAsia="en-GB"/>
        </w:rPr>
        <w:t xml:space="preserve"> </w:t>
      </w:r>
      <w:r w:rsidRPr="00F130DE">
        <w:rPr>
          <w:lang w:eastAsia="en-GB"/>
        </w:rPr>
        <w:t>for</w:t>
      </w:r>
      <w:r w:rsidR="00C64050">
        <w:rPr>
          <w:lang w:eastAsia="en-GB"/>
        </w:rPr>
        <w:t xml:space="preserve"> </w:t>
      </w:r>
      <w:r w:rsidRPr="00F130DE">
        <w:rPr>
          <w:lang w:eastAsia="en-GB"/>
        </w:rPr>
        <w:t>a</w:t>
      </w:r>
      <w:r w:rsidR="00C64050">
        <w:rPr>
          <w:lang w:eastAsia="en-GB"/>
        </w:rPr>
        <w:t xml:space="preserve"> </w:t>
      </w:r>
      <w:r w:rsidRPr="00F130DE">
        <w:rPr>
          <w:lang w:eastAsia="en-GB"/>
        </w:rPr>
        <w:t>ruling</w:t>
      </w:r>
      <w:r w:rsidR="00C64050">
        <w:rPr>
          <w:lang w:eastAsia="en-GB"/>
        </w:rPr>
        <w:t xml:space="preserve"> </w:t>
      </w:r>
      <w:r w:rsidRPr="00F130DE">
        <w:rPr>
          <w:lang w:eastAsia="en-GB"/>
        </w:rPr>
        <w:t>to</w:t>
      </w:r>
      <w:r w:rsidR="00C64050">
        <w:rPr>
          <w:lang w:eastAsia="en-GB"/>
        </w:rPr>
        <w:t xml:space="preserve"> </w:t>
      </w:r>
      <w:r w:rsidRPr="00F130DE">
        <w:rPr>
          <w:lang w:eastAsia="en-GB"/>
        </w:rPr>
        <w:t>be</w:t>
      </w:r>
      <w:r w:rsidR="00C64050">
        <w:rPr>
          <w:lang w:eastAsia="en-GB"/>
        </w:rPr>
        <w:t xml:space="preserve"> </w:t>
      </w:r>
      <w:r w:rsidRPr="00F130DE">
        <w:rPr>
          <w:lang w:eastAsia="en-GB"/>
        </w:rPr>
        <w:t>issued.</w:t>
      </w:r>
    </w:p>
    <w:p w:rsidR="00773146" w:rsidRPr="00F130DE" w:rsidRDefault="00773146" w:rsidP="00244CEA">
      <w:pPr>
        <w:pStyle w:val="QS10"/>
      </w:pPr>
      <w:r w:rsidRPr="00F130DE">
        <w:t>(</w:t>
      </w:r>
      <w:r w:rsidR="006A2FEF">
        <w:t>18</w:t>
      </w:r>
      <w:r w:rsidRPr="00F130DE">
        <w:t>)</w:t>
      </w:r>
      <w:r w:rsidR="00C64050">
        <w:t xml:space="preserve"> </w:t>
      </w:r>
      <w:r w:rsidRPr="00F130DE">
        <w:t>Section</w:t>
      </w:r>
      <w:r w:rsidR="00C64050">
        <w:t xml:space="preserve"> </w:t>
      </w:r>
      <w:r w:rsidRPr="00F130DE">
        <w:t>170.—Charitable,</w:t>
      </w:r>
      <w:r w:rsidR="00C64050">
        <w:t xml:space="preserve"> </w:t>
      </w:r>
      <w:r w:rsidRPr="00F130DE">
        <w:t>Etc.,</w:t>
      </w:r>
      <w:r w:rsidR="00C64050">
        <w:t xml:space="preserve"> </w:t>
      </w:r>
      <w:r w:rsidRPr="00F130DE">
        <w:t>Contributions</w:t>
      </w:r>
      <w:r w:rsidR="00C64050">
        <w:t xml:space="preserve"> </w:t>
      </w:r>
      <w:r w:rsidRPr="00F130DE">
        <w:t>and</w:t>
      </w:r>
      <w:r w:rsidR="00C64050">
        <w:t xml:space="preserve"> </w:t>
      </w:r>
      <w:r w:rsidRPr="00F130DE">
        <w:t>Gifts.—Whether</w:t>
      </w:r>
      <w:r w:rsidR="00C64050">
        <w:t xml:space="preserve"> </w:t>
      </w:r>
      <w:r w:rsidRPr="00F130DE">
        <w:t>a</w:t>
      </w:r>
      <w:r w:rsidR="00C64050">
        <w:t xml:space="preserve"> </w:t>
      </w:r>
      <w:r w:rsidRPr="00F130DE">
        <w:t>taxpayer</w:t>
      </w:r>
      <w:r w:rsidR="00C64050">
        <w:t xml:space="preserve"> </w:t>
      </w:r>
      <w:r w:rsidRPr="00F130DE">
        <w:t>who</w:t>
      </w:r>
      <w:r w:rsidR="00C64050">
        <w:t xml:space="preserve"> </w:t>
      </w:r>
      <w:r w:rsidRPr="00F130DE">
        <w:t>transfers</w:t>
      </w:r>
      <w:r w:rsidR="00C64050">
        <w:t xml:space="preserve"> </w:t>
      </w:r>
      <w:r w:rsidRPr="00F130DE">
        <w:t>property</w:t>
      </w:r>
      <w:r w:rsidR="00C64050">
        <w:t xml:space="preserve"> </w:t>
      </w:r>
      <w:r w:rsidRPr="00F130DE">
        <w:t>to</w:t>
      </w:r>
      <w:r w:rsidR="00C64050">
        <w:t xml:space="preserve"> </w:t>
      </w:r>
      <w:r w:rsidRPr="00F130DE">
        <w:t>a</w:t>
      </w:r>
      <w:r w:rsidR="00C64050">
        <w:t xml:space="preserve"> </w:t>
      </w:r>
      <w:r w:rsidRPr="00F130DE">
        <w:t>charitable</w:t>
      </w:r>
      <w:r w:rsidR="00C64050">
        <w:t xml:space="preserve"> </w:t>
      </w:r>
      <w:r w:rsidRPr="00F130DE">
        <w:t>organization</w:t>
      </w:r>
      <w:r w:rsidR="00C64050">
        <w:t xml:space="preserve"> </w:t>
      </w:r>
      <w:r w:rsidRPr="00F130DE">
        <w:t>and</w:t>
      </w:r>
      <w:r w:rsidR="00C64050">
        <w:t xml:space="preserve"> </w:t>
      </w:r>
      <w:r w:rsidRPr="00F130DE">
        <w:t>thereafter</w:t>
      </w:r>
      <w:r w:rsidR="00C64050">
        <w:t xml:space="preserve"> </w:t>
      </w:r>
      <w:r w:rsidRPr="00F130DE">
        <w:t>leases</w:t>
      </w:r>
      <w:r w:rsidR="00C64050">
        <w:t xml:space="preserve"> </w:t>
      </w:r>
      <w:r w:rsidRPr="00F130DE">
        <w:t>back</w:t>
      </w:r>
      <w:r w:rsidR="00C64050">
        <w:t xml:space="preserve"> </w:t>
      </w:r>
      <w:r w:rsidRPr="00F130DE">
        <w:t>all</w:t>
      </w:r>
      <w:r w:rsidR="00C64050">
        <w:t xml:space="preserve"> </w:t>
      </w:r>
      <w:r w:rsidRPr="00F130DE">
        <w:t>or</w:t>
      </w:r>
      <w:r w:rsidR="00C64050">
        <w:t xml:space="preserve"> </w:t>
      </w:r>
      <w:r w:rsidRPr="00F130DE">
        <w:t>a</w:t>
      </w:r>
      <w:r w:rsidR="00C64050">
        <w:t xml:space="preserve"> </w:t>
      </w:r>
      <w:r w:rsidRPr="00F130DE">
        <w:t>portion</w:t>
      </w:r>
      <w:r w:rsidR="00C64050">
        <w:t xml:space="preserve"> </w:t>
      </w:r>
      <w:r w:rsidRPr="00F130DE">
        <w:t>of</w:t>
      </w:r>
      <w:r w:rsidR="00C64050">
        <w:t xml:space="preserve"> </w:t>
      </w:r>
      <w:r w:rsidRPr="00F130DE">
        <w:t>the</w:t>
      </w:r>
      <w:r w:rsidR="00C64050">
        <w:t xml:space="preserve"> </w:t>
      </w:r>
      <w:r w:rsidRPr="00F130DE">
        <w:t>transferred</w:t>
      </w:r>
      <w:r w:rsidR="00C64050">
        <w:t xml:space="preserve"> </w:t>
      </w:r>
      <w:r w:rsidRPr="00F130DE">
        <w:t>property</w:t>
      </w:r>
      <w:r w:rsidR="00C64050">
        <w:t xml:space="preserve"> </w:t>
      </w:r>
      <w:r w:rsidRPr="00F130DE">
        <w:t>may</w:t>
      </w:r>
      <w:r w:rsidR="00C64050">
        <w:t xml:space="preserve"> </w:t>
      </w:r>
      <w:r w:rsidRPr="00F130DE">
        <w:t>deduct</w:t>
      </w:r>
      <w:r w:rsidR="00C64050">
        <w:t xml:space="preserve"> </w:t>
      </w:r>
      <w:r w:rsidRPr="00F130DE">
        <w:t>the</w:t>
      </w:r>
      <w:r w:rsidR="00C64050">
        <w:t xml:space="preserve"> </w:t>
      </w:r>
      <w:r w:rsidRPr="00F130DE">
        <w:t>fair</w:t>
      </w:r>
      <w:r w:rsidR="00C64050">
        <w:t xml:space="preserve"> </w:t>
      </w:r>
      <w:r w:rsidRPr="00F130DE">
        <w:t>market</w:t>
      </w:r>
      <w:r w:rsidR="00C64050">
        <w:t xml:space="preserve"> </w:t>
      </w:r>
      <w:r w:rsidRPr="00F130DE">
        <w:t>value</w:t>
      </w:r>
      <w:r w:rsidR="00C64050">
        <w:t xml:space="preserve"> </w:t>
      </w:r>
      <w:r w:rsidRPr="00F130DE">
        <w:t>of</w:t>
      </w:r>
      <w:r w:rsidR="00C64050">
        <w:t xml:space="preserve"> </w:t>
      </w:r>
      <w:r w:rsidRPr="00F130DE">
        <w:t>the</w:t>
      </w:r>
      <w:r w:rsidR="00C64050">
        <w:t xml:space="preserve"> </w:t>
      </w:r>
      <w:r w:rsidRPr="00F130DE">
        <w:t>property</w:t>
      </w:r>
      <w:r w:rsidR="00C64050">
        <w:t xml:space="preserve"> </w:t>
      </w:r>
      <w:r w:rsidRPr="00F130DE">
        <w:t>transferred</w:t>
      </w:r>
      <w:r w:rsidR="00C64050">
        <w:t xml:space="preserve"> </w:t>
      </w:r>
      <w:r w:rsidRPr="00F130DE">
        <w:t>and</w:t>
      </w:r>
      <w:r w:rsidR="00C64050">
        <w:t xml:space="preserve"> </w:t>
      </w:r>
      <w:r w:rsidRPr="00F130DE">
        <w:t>leased</w:t>
      </w:r>
      <w:r w:rsidR="00C64050">
        <w:t xml:space="preserve"> </w:t>
      </w:r>
      <w:r w:rsidRPr="00F130DE">
        <w:t>back</w:t>
      </w:r>
      <w:r w:rsidR="00C64050">
        <w:t xml:space="preserve"> </w:t>
      </w:r>
      <w:r w:rsidRPr="00F130DE">
        <w:t>as</w:t>
      </w:r>
      <w:r w:rsidR="00C64050">
        <w:t xml:space="preserve"> </w:t>
      </w:r>
      <w:r w:rsidRPr="00F130DE">
        <w:t>a</w:t>
      </w:r>
      <w:r w:rsidR="00C64050">
        <w:t xml:space="preserve"> </w:t>
      </w:r>
      <w:r w:rsidRPr="00F130DE">
        <w:t>charitable</w:t>
      </w:r>
      <w:r w:rsidR="00C64050">
        <w:t xml:space="preserve"> </w:t>
      </w:r>
      <w:r w:rsidRPr="00F130DE">
        <w:t>contribution.</w:t>
      </w:r>
    </w:p>
    <w:p w:rsidR="00773146" w:rsidRPr="00F130DE" w:rsidRDefault="00773146" w:rsidP="00244CEA">
      <w:pPr>
        <w:pStyle w:val="QS10"/>
      </w:pPr>
      <w:r w:rsidRPr="00F130DE">
        <w:t>(</w:t>
      </w:r>
      <w:r w:rsidR="006A2FEF">
        <w:t>39</w:t>
      </w:r>
      <w:r w:rsidRPr="00F130DE">
        <w:t>)</w:t>
      </w:r>
      <w:r w:rsidR="00C64050">
        <w:t xml:space="preserve"> </w:t>
      </w:r>
      <w:r w:rsidRPr="00F130DE">
        <w:t>Section</w:t>
      </w:r>
      <w:r w:rsidR="00C64050">
        <w:t xml:space="preserve"> </w:t>
      </w:r>
      <w:r w:rsidRPr="00F130DE">
        <w:t>664.—Charitable</w:t>
      </w:r>
      <w:r w:rsidR="00C64050">
        <w:t xml:space="preserve"> </w:t>
      </w:r>
      <w:r w:rsidRPr="00F130DE">
        <w:t>Remainder</w:t>
      </w:r>
      <w:r w:rsidR="00C64050">
        <w:t xml:space="preserve"> </w:t>
      </w:r>
      <w:r w:rsidRPr="00F130DE">
        <w:t>Trusts.—Whether</w:t>
      </w:r>
      <w:r w:rsidR="00C64050">
        <w:t xml:space="preserve"> </w:t>
      </w:r>
      <w:r w:rsidRPr="00F130DE">
        <w:t>a</w:t>
      </w:r>
      <w:r w:rsidR="00C64050">
        <w:t xml:space="preserve"> </w:t>
      </w:r>
      <w:r w:rsidRPr="00F130DE">
        <w:t>trust</w:t>
      </w:r>
      <w:r w:rsidR="00C64050">
        <w:t xml:space="preserve"> </w:t>
      </w:r>
      <w:r w:rsidRPr="00F130DE">
        <w:t>that</w:t>
      </w:r>
      <w:r w:rsidR="00C64050">
        <w:t xml:space="preserve"> </w:t>
      </w:r>
      <w:r w:rsidRPr="00F130DE">
        <w:t>will</w:t>
      </w:r>
      <w:r w:rsidR="00C64050">
        <w:t xml:space="preserve"> </w:t>
      </w:r>
      <w:r w:rsidRPr="00F130DE">
        <w:t>calculate</w:t>
      </w:r>
      <w:r w:rsidR="00C64050">
        <w:t xml:space="preserve"> </w:t>
      </w:r>
      <w:r w:rsidRPr="00F130DE">
        <w:t>the</w:t>
      </w:r>
      <w:r w:rsidR="00C64050">
        <w:t xml:space="preserve"> </w:t>
      </w:r>
      <w:r w:rsidRPr="00F130DE">
        <w:t>unitrust</w:t>
      </w:r>
      <w:r w:rsidR="00C64050">
        <w:t xml:space="preserve"> </w:t>
      </w:r>
      <w:r w:rsidRPr="00F130DE">
        <w:t>amount</w:t>
      </w:r>
      <w:r w:rsidR="00C64050">
        <w:t xml:space="preserve"> </w:t>
      </w:r>
      <w:r w:rsidRPr="00F130DE">
        <w:t>under</w:t>
      </w:r>
      <w:r w:rsidR="00C64050">
        <w:t xml:space="preserve"> </w:t>
      </w:r>
      <w:r w:rsidRPr="00F130DE">
        <w:t>§</w:t>
      </w:r>
      <w:r w:rsidR="00C64050">
        <w:t xml:space="preserve"> </w:t>
      </w:r>
      <w:r w:rsidRPr="00F130DE">
        <w:t>664(d)(3)</w:t>
      </w:r>
      <w:r w:rsidR="00C64050">
        <w:t xml:space="preserve"> </w:t>
      </w:r>
      <w:r w:rsidRPr="00F130DE">
        <w:t>qualifies</w:t>
      </w:r>
      <w:r w:rsidR="00C64050">
        <w:t xml:space="preserve"> </w:t>
      </w:r>
      <w:r w:rsidRPr="00F130DE">
        <w:t>as</w:t>
      </w:r>
      <w:r w:rsidR="00C64050">
        <w:t xml:space="preserve"> </w:t>
      </w:r>
      <w:r w:rsidRPr="00F130DE">
        <w:t>a</w:t>
      </w:r>
      <w:r w:rsidR="00C64050">
        <w:t xml:space="preserve"> </w:t>
      </w:r>
      <w:r w:rsidRPr="00F130DE">
        <w:t>§</w:t>
      </w:r>
      <w:r w:rsidR="00C64050">
        <w:t xml:space="preserve"> </w:t>
      </w:r>
      <w:r w:rsidRPr="00F130DE">
        <w:t>664</w:t>
      </w:r>
      <w:r w:rsidR="00C64050">
        <w:t xml:space="preserve"> </w:t>
      </w:r>
      <w:r w:rsidRPr="00F130DE">
        <w:t>charitable</w:t>
      </w:r>
      <w:r w:rsidR="00C64050">
        <w:t xml:space="preserve"> </w:t>
      </w:r>
      <w:r w:rsidRPr="00F130DE">
        <w:t>remainder</w:t>
      </w:r>
      <w:r w:rsidR="00C64050">
        <w:t xml:space="preserve"> </w:t>
      </w:r>
      <w:r w:rsidRPr="00F130DE">
        <w:t>trust</w:t>
      </w:r>
      <w:r w:rsidR="00C64050">
        <w:t xml:space="preserve"> </w:t>
      </w:r>
      <w:r w:rsidRPr="00F130DE">
        <w:t>when</w:t>
      </w:r>
      <w:r w:rsidR="00C64050">
        <w:t xml:space="preserve"> </w:t>
      </w:r>
      <w:r w:rsidRPr="00F130DE">
        <w:t>a</w:t>
      </w:r>
      <w:r w:rsidR="00C64050">
        <w:t xml:space="preserve"> </w:t>
      </w:r>
      <w:r w:rsidRPr="00F130DE">
        <w:t>grantor,</w:t>
      </w:r>
      <w:r w:rsidR="00C64050">
        <w:t xml:space="preserve"> </w:t>
      </w:r>
      <w:r w:rsidRPr="00F130DE">
        <w:t>a</w:t>
      </w:r>
      <w:r w:rsidR="00C64050">
        <w:t xml:space="preserve"> </w:t>
      </w:r>
      <w:r w:rsidRPr="00F130DE">
        <w:t>trustee,</w:t>
      </w:r>
      <w:r w:rsidR="00C64050">
        <w:t xml:space="preserve"> </w:t>
      </w:r>
      <w:r w:rsidRPr="00F130DE">
        <w:t>a</w:t>
      </w:r>
      <w:r w:rsidR="00C64050">
        <w:t xml:space="preserve"> </w:t>
      </w:r>
      <w:r w:rsidRPr="00F130DE">
        <w:t>beneficiary,</w:t>
      </w:r>
      <w:r w:rsidR="00C64050">
        <w:t xml:space="preserve"> </w:t>
      </w:r>
      <w:r w:rsidRPr="00F130DE">
        <w:t>or</w:t>
      </w:r>
      <w:r w:rsidR="00C64050">
        <w:t xml:space="preserve"> </w:t>
      </w:r>
      <w:r w:rsidRPr="00F130DE">
        <w:t>a</w:t>
      </w:r>
      <w:r w:rsidR="00C64050">
        <w:t xml:space="preserve"> </w:t>
      </w:r>
      <w:r w:rsidRPr="00F130DE">
        <w:t>person</w:t>
      </w:r>
      <w:r w:rsidR="00C64050">
        <w:t xml:space="preserve"> </w:t>
      </w:r>
      <w:r w:rsidRPr="00F130DE">
        <w:t>related</w:t>
      </w:r>
      <w:r w:rsidR="00C64050">
        <w:t xml:space="preserve"> </w:t>
      </w:r>
      <w:r w:rsidRPr="00F130DE">
        <w:t>or</w:t>
      </w:r>
      <w:r w:rsidR="00C64050">
        <w:t xml:space="preserve"> </w:t>
      </w:r>
      <w:r w:rsidRPr="00F130DE">
        <w:t>subordinate</w:t>
      </w:r>
      <w:r w:rsidR="00C64050">
        <w:t xml:space="preserve"> </w:t>
      </w:r>
      <w:r w:rsidRPr="00F130DE">
        <w:t>to</w:t>
      </w:r>
      <w:r w:rsidR="00C64050">
        <w:t xml:space="preserve"> </w:t>
      </w:r>
      <w:r w:rsidRPr="00F130DE">
        <w:t>a</w:t>
      </w:r>
      <w:r w:rsidR="00C64050">
        <w:t xml:space="preserve"> </w:t>
      </w:r>
      <w:r w:rsidRPr="00F130DE">
        <w:t>grantor,</w:t>
      </w:r>
      <w:r w:rsidR="00C64050">
        <w:t xml:space="preserve"> </w:t>
      </w:r>
      <w:r w:rsidRPr="00F130DE">
        <w:t>a</w:t>
      </w:r>
      <w:r w:rsidR="00C64050">
        <w:t xml:space="preserve"> </w:t>
      </w:r>
      <w:r w:rsidRPr="00F130DE">
        <w:t>trustee,</w:t>
      </w:r>
      <w:r w:rsidR="00C64050">
        <w:t xml:space="preserve"> </w:t>
      </w:r>
      <w:r w:rsidRPr="00F130DE">
        <w:t>or</w:t>
      </w:r>
      <w:r w:rsidR="00C64050">
        <w:t xml:space="preserve"> </w:t>
      </w:r>
      <w:r w:rsidRPr="00F130DE">
        <w:t>a</w:t>
      </w:r>
      <w:r w:rsidR="00C64050">
        <w:t xml:space="preserve"> </w:t>
      </w:r>
      <w:r w:rsidRPr="00F130DE">
        <w:t>beneficiary</w:t>
      </w:r>
      <w:r w:rsidR="00C64050">
        <w:t xml:space="preserve"> </w:t>
      </w:r>
      <w:r w:rsidRPr="00F130DE">
        <w:t>can</w:t>
      </w:r>
      <w:r w:rsidR="00C64050">
        <w:t xml:space="preserve"> </w:t>
      </w:r>
      <w:r w:rsidRPr="00F130DE">
        <w:t>control</w:t>
      </w:r>
      <w:r w:rsidR="00C64050">
        <w:t xml:space="preserve"> </w:t>
      </w:r>
      <w:r w:rsidRPr="00F130DE">
        <w:t>the</w:t>
      </w:r>
      <w:r w:rsidR="00C64050">
        <w:t xml:space="preserve"> </w:t>
      </w:r>
      <w:r w:rsidRPr="00F130DE">
        <w:t>timing</w:t>
      </w:r>
      <w:r w:rsidR="00C64050">
        <w:t xml:space="preserve"> </w:t>
      </w:r>
      <w:r w:rsidRPr="00F130DE">
        <w:t>of</w:t>
      </w:r>
      <w:r w:rsidR="00C64050">
        <w:t xml:space="preserve"> </w:t>
      </w:r>
      <w:r w:rsidRPr="00F130DE">
        <w:t>the</w:t>
      </w:r>
      <w:r w:rsidR="00C64050">
        <w:t xml:space="preserve"> </w:t>
      </w:r>
      <w:r w:rsidRPr="00F130DE">
        <w:t>trust's</w:t>
      </w:r>
      <w:r w:rsidR="00C64050">
        <w:t xml:space="preserve"> </w:t>
      </w:r>
      <w:r w:rsidRPr="00F130DE">
        <w:t>receipt</w:t>
      </w:r>
      <w:r w:rsidR="00C64050">
        <w:t xml:space="preserve"> </w:t>
      </w:r>
      <w:r w:rsidRPr="00F130DE">
        <w:t>of</w:t>
      </w:r>
      <w:r w:rsidR="00C64050">
        <w:t xml:space="preserve"> </w:t>
      </w:r>
      <w:r w:rsidRPr="00F130DE">
        <w:t>trust</w:t>
      </w:r>
      <w:r w:rsidR="00C64050">
        <w:t xml:space="preserve"> </w:t>
      </w:r>
      <w:r w:rsidRPr="00F130DE">
        <w:t>income</w:t>
      </w:r>
      <w:r w:rsidR="00C64050">
        <w:t xml:space="preserve"> </w:t>
      </w:r>
      <w:r w:rsidRPr="00F130DE">
        <w:t>from</w:t>
      </w:r>
      <w:r w:rsidR="00C64050">
        <w:t xml:space="preserve"> </w:t>
      </w:r>
      <w:r w:rsidRPr="00F130DE">
        <w:t>a</w:t>
      </w:r>
      <w:r w:rsidR="00C64050">
        <w:t xml:space="preserve"> </w:t>
      </w:r>
      <w:r w:rsidRPr="00F130DE">
        <w:t>partnership</w:t>
      </w:r>
      <w:r w:rsidR="00C64050">
        <w:t xml:space="preserve"> </w:t>
      </w:r>
      <w:r w:rsidRPr="00F130DE">
        <w:t>or</w:t>
      </w:r>
      <w:r w:rsidR="00C64050">
        <w:t xml:space="preserve"> </w:t>
      </w:r>
      <w:r w:rsidRPr="00F130DE">
        <w:t>a</w:t>
      </w:r>
      <w:r w:rsidR="00C64050">
        <w:t xml:space="preserve"> </w:t>
      </w:r>
      <w:r w:rsidRPr="00F130DE">
        <w:t>deferred</w:t>
      </w:r>
      <w:r w:rsidR="00C64050">
        <w:t xml:space="preserve"> </w:t>
      </w:r>
      <w:r w:rsidRPr="00F130DE">
        <w:t>annuity</w:t>
      </w:r>
      <w:r w:rsidR="00C64050">
        <w:t xml:space="preserve"> </w:t>
      </w:r>
      <w:r w:rsidRPr="00F130DE">
        <w:t>contract</w:t>
      </w:r>
      <w:r w:rsidR="00C64050">
        <w:t xml:space="preserve"> </w:t>
      </w:r>
      <w:r w:rsidRPr="00F130DE">
        <w:t>to</w:t>
      </w:r>
      <w:r w:rsidR="00C64050">
        <w:t xml:space="preserve"> </w:t>
      </w:r>
      <w:r w:rsidRPr="00F130DE">
        <w:t>take</w:t>
      </w:r>
      <w:r w:rsidR="00C64050">
        <w:t xml:space="preserve"> </w:t>
      </w:r>
      <w:r w:rsidRPr="00F130DE">
        <w:t>advantage</w:t>
      </w:r>
      <w:r w:rsidR="00C64050">
        <w:t xml:space="preserve"> </w:t>
      </w:r>
      <w:r w:rsidRPr="00F130DE">
        <w:t>of</w:t>
      </w:r>
      <w:r w:rsidR="00C64050">
        <w:t xml:space="preserve"> </w:t>
      </w:r>
      <w:r w:rsidRPr="00F130DE">
        <w:t>the</w:t>
      </w:r>
      <w:r w:rsidR="00C64050">
        <w:t xml:space="preserve"> </w:t>
      </w:r>
      <w:r w:rsidRPr="00F130DE">
        <w:t>difference</w:t>
      </w:r>
      <w:r w:rsidR="00C64050">
        <w:t xml:space="preserve"> </w:t>
      </w:r>
      <w:r w:rsidRPr="00F130DE">
        <w:t>between</w:t>
      </w:r>
      <w:r w:rsidR="00C64050">
        <w:t xml:space="preserve"> </w:t>
      </w:r>
      <w:r w:rsidRPr="00F130DE">
        <w:t>trust</w:t>
      </w:r>
      <w:r w:rsidR="00C64050">
        <w:t xml:space="preserve"> </w:t>
      </w:r>
      <w:r w:rsidRPr="00F130DE">
        <w:t>income</w:t>
      </w:r>
      <w:r w:rsidR="00C64050">
        <w:t xml:space="preserve"> </w:t>
      </w:r>
      <w:r w:rsidRPr="00F130DE">
        <w:t>under</w:t>
      </w:r>
      <w:r w:rsidR="00C64050">
        <w:t xml:space="preserve"> </w:t>
      </w:r>
      <w:r w:rsidRPr="00F130DE">
        <w:t>§</w:t>
      </w:r>
      <w:r w:rsidR="00C64050">
        <w:t xml:space="preserve"> </w:t>
      </w:r>
      <w:r w:rsidRPr="00F130DE">
        <w:t>643(b)</w:t>
      </w:r>
      <w:r w:rsidR="00C64050">
        <w:t xml:space="preserve"> </w:t>
      </w:r>
      <w:r w:rsidRPr="00F130DE">
        <w:t>and</w:t>
      </w:r>
      <w:r w:rsidR="00C64050">
        <w:t xml:space="preserve"> </w:t>
      </w:r>
      <w:r w:rsidRPr="00F130DE">
        <w:t>income</w:t>
      </w:r>
      <w:r w:rsidR="00C64050">
        <w:t xml:space="preserve"> </w:t>
      </w:r>
      <w:r w:rsidRPr="00F130DE">
        <w:t>for</w:t>
      </w:r>
      <w:r w:rsidR="00C64050">
        <w:t xml:space="preserve"> </w:t>
      </w:r>
      <w:r w:rsidRPr="00F130DE">
        <w:t>Federal</w:t>
      </w:r>
      <w:r w:rsidR="00C64050">
        <w:t xml:space="preserve"> </w:t>
      </w:r>
      <w:r w:rsidRPr="00F130DE">
        <w:t>income</w:t>
      </w:r>
      <w:r w:rsidR="00C64050">
        <w:t xml:space="preserve"> </w:t>
      </w:r>
      <w:r w:rsidRPr="00F130DE">
        <w:t>tax</w:t>
      </w:r>
      <w:r w:rsidR="00C64050">
        <w:t xml:space="preserve"> </w:t>
      </w:r>
      <w:r w:rsidRPr="00F130DE">
        <w:t>purposes</w:t>
      </w:r>
      <w:r w:rsidR="00C64050">
        <w:t xml:space="preserve"> </w:t>
      </w:r>
      <w:r w:rsidRPr="00F130DE">
        <w:t>for</w:t>
      </w:r>
      <w:r w:rsidR="00C64050">
        <w:t xml:space="preserve"> </w:t>
      </w:r>
      <w:r w:rsidRPr="00F130DE">
        <w:t>the</w:t>
      </w:r>
      <w:r w:rsidR="00C64050">
        <w:t xml:space="preserve"> </w:t>
      </w:r>
      <w:r w:rsidRPr="00F130DE">
        <w:t>benefit</w:t>
      </w:r>
      <w:r w:rsidR="00C64050">
        <w:t xml:space="preserve"> </w:t>
      </w:r>
      <w:r w:rsidRPr="00F130DE">
        <w:t>of</w:t>
      </w:r>
      <w:r w:rsidR="00C64050">
        <w:t xml:space="preserve"> </w:t>
      </w:r>
      <w:r w:rsidRPr="00F130DE">
        <w:t>the</w:t>
      </w:r>
      <w:r w:rsidR="00C64050">
        <w:t xml:space="preserve"> </w:t>
      </w:r>
      <w:r w:rsidRPr="00F130DE">
        <w:t>unitrust</w:t>
      </w:r>
      <w:r w:rsidR="00C64050">
        <w:t xml:space="preserve"> </w:t>
      </w:r>
      <w:r w:rsidRPr="00F130DE">
        <w:t>recipient.</w:t>
      </w:r>
    </w:p>
    <w:p w:rsidR="00773146" w:rsidRPr="00F130DE" w:rsidRDefault="00773146" w:rsidP="00244CEA">
      <w:pPr>
        <w:pStyle w:val="QS10"/>
      </w:pPr>
      <w:r w:rsidRPr="00F130DE">
        <w:t>(4</w:t>
      </w:r>
      <w:r w:rsidR="006A2FEF">
        <w:t>2</w:t>
      </w:r>
      <w:r w:rsidRPr="00F130DE">
        <w:t>)</w:t>
      </w:r>
      <w:r w:rsidR="00C64050">
        <w:t xml:space="preserve"> </w:t>
      </w:r>
      <w:r w:rsidRPr="00F130DE">
        <w:t>Section</w:t>
      </w:r>
      <w:r w:rsidR="00C64050">
        <w:t xml:space="preserve"> </w:t>
      </w:r>
      <w:r w:rsidRPr="00F130DE">
        <w:t>678.—Person</w:t>
      </w:r>
      <w:r w:rsidR="00C64050">
        <w:t xml:space="preserve"> </w:t>
      </w:r>
      <w:r w:rsidRPr="00F130DE">
        <w:t>Other</w:t>
      </w:r>
      <w:r w:rsidR="00C64050">
        <w:t xml:space="preserve"> </w:t>
      </w:r>
      <w:r w:rsidRPr="00F130DE">
        <w:t>than</w:t>
      </w:r>
      <w:r w:rsidR="00C64050">
        <w:t xml:space="preserve"> </w:t>
      </w:r>
      <w:r w:rsidRPr="00F130DE">
        <w:t>Grantor</w:t>
      </w:r>
      <w:r w:rsidR="00C64050">
        <w:t xml:space="preserve"> </w:t>
      </w:r>
      <w:r w:rsidRPr="00F130DE">
        <w:t>Treated</w:t>
      </w:r>
      <w:r w:rsidR="00C64050">
        <w:t xml:space="preserve"> </w:t>
      </w:r>
      <w:r w:rsidRPr="00F130DE">
        <w:t>as</w:t>
      </w:r>
      <w:r w:rsidR="00C64050">
        <w:t xml:space="preserve"> </w:t>
      </w:r>
      <w:r w:rsidRPr="00F130DE">
        <w:t>Substantial</w:t>
      </w:r>
      <w:r w:rsidR="00C64050">
        <w:t xml:space="preserve"> </w:t>
      </w:r>
      <w:r w:rsidRPr="00F130DE">
        <w:t>Owner.—</w:t>
      </w:r>
      <w:r w:rsidR="00C64050">
        <w:t xml:space="preserve"> </w:t>
      </w:r>
      <w:r w:rsidRPr="00F130DE">
        <w:t>Whether</w:t>
      </w:r>
      <w:r w:rsidR="00C64050">
        <w:t xml:space="preserve"> </w:t>
      </w:r>
      <w:r w:rsidRPr="00F130DE">
        <w:t>a</w:t>
      </w:r>
      <w:r w:rsidR="00C64050">
        <w:t xml:space="preserve"> </w:t>
      </w:r>
      <w:r w:rsidRPr="00F130DE">
        <w:t>person</w:t>
      </w:r>
      <w:r w:rsidR="00C64050">
        <w:t xml:space="preserve"> </w:t>
      </w:r>
      <w:r w:rsidRPr="00F130DE">
        <w:t>will</w:t>
      </w:r>
      <w:r w:rsidR="00C64050">
        <w:t xml:space="preserve"> </w:t>
      </w:r>
      <w:r w:rsidRPr="00F130DE">
        <w:t>be</w:t>
      </w:r>
      <w:r w:rsidR="00C64050">
        <w:t xml:space="preserve"> </w:t>
      </w:r>
      <w:r w:rsidRPr="00F130DE">
        <w:t>treated</w:t>
      </w:r>
      <w:r w:rsidR="00C64050">
        <w:t xml:space="preserve"> </w:t>
      </w:r>
      <w:r w:rsidRPr="00F130DE">
        <w:t>as</w:t>
      </w:r>
      <w:r w:rsidR="00C64050">
        <w:t xml:space="preserve"> </w:t>
      </w:r>
      <w:r w:rsidRPr="00F130DE">
        <w:t>the</w:t>
      </w:r>
      <w:r w:rsidR="00C64050">
        <w:t xml:space="preserve"> </w:t>
      </w:r>
      <w:r w:rsidRPr="00F130DE">
        <w:t>owner</w:t>
      </w:r>
      <w:r w:rsidR="00C64050">
        <w:t xml:space="preserve"> </w:t>
      </w:r>
      <w:r w:rsidRPr="00F130DE">
        <w:t>of</w:t>
      </w:r>
      <w:r w:rsidR="00C64050">
        <w:t xml:space="preserve"> </w:t>
      </w:r>
      <w:r w:rsidRPr="00F130DE">
        <w:t>any</w:t>
      </w:r>
      <w:r w:rsidR="00C64050">
        <w:t xml:space="preserve"> </w:t>
      </w:r>
      <w:r w:rsidRPr="00F130DE">
        <w:t>portion</w:t>
      </w:r>
      <w:r w:rsidR="00C64050">
        <w:t xml:space="preserve"> </w:t>
      </w:r>
      <w:r w:rsidRPr="00F130DE">
        <w:t>of</w:t>
      </w:r>
      <w:r w:rsidR="00C64050">
        <w:t xml:space="preserve"> </w:t>
      </w:r>
      <w:r w:rsidRPr="00F130DE">
        <w:t>a</w:t>
      </w:r>
      <w:r w:rsidR="00C64050">
        <w:t xml:space="preserve"> </w:t>
      </w:r>
      <w:r w:rsidRPr="00F130DE">
        <w:t>trust</w:t>
      </w:r>
      <w:r w:rsidR="00C64050">
        <w:t xml:space="preserve"> </w:t>
      </w:r>
      <w:r w:rsidRPr="00F130DE">
        <w:t>over</w:t>
      </w:r>
      <w:r w:rsidR="00C64050">
        <w:t xml:space="preserve"> </w:t>
      </w:r>
      <w:r w:rsidRPr="00F130DE">
        <w:t>which</w:t>
      </w:r>
      <w:r w:rsidR="00C64050">
        <w:t xml:space="preserve"> </w:t>
      </w:r>
      <w:r w:rsidRPr="00F130DE">
        <w:t>that</w:t>
      </w:r>
      <w:r w:rsidR="00C64050">
        <w:t xml:space="preserve"> </w:t>
      </w:r>
      <w:r w:rsidRPr="00F130DE">
        <w:t>person</w:t>
      </w:r>
      <w:r w:rsidR="00C64050">
        <w:t xml:space="preserve"> </w:t>
      </w:r>
      <w:r w:rsidRPr="00F130DE">
        <w:t>has</w:t>
      </w:r>
      <w:r w:rsidR="00C64050">
        <w:t xml:space="preserve"> </w:t>
      </w:r>
      <w:r w:rsidRPr="00F130DE">
        <w:t>a</w:t>
      </w:r>
      <w:r w:rsidR="00C64050">
        <w:t xml:space="preserve"> </w:t>
      </w:r>
      <w:r w:rsidRPr="00F130DE">
        <w:t>power</w:t>
      </w:r>
      <w:r w:rsidR="00C64050">
        <w:t xml:space="preserve"> </w:t>
      </w:r>
      <w:r w:rsidRPr="00F130DE">
        <w:t>to</w:t>
      </w:r>
      <w:r w:rsidR="00C64050">
        <w:t xml:space="preserve"> </w:t>
      </w:r>
      <w:r w:rsidRPr="00F130DE">
        <w:t>withdraw</w:t>
      </w:r>
      <w:r w:rsidR="00C64050">
        <w:t xml:space="preserve"> </w:t>
      </w:r>
      <w:r w:rsidRPr="00F130DE">
        <w:t>the</w:t>
      </w:r>
      <w:r w:rsidR="00C64050">
        <w:t xml:space="preserve"> </w:t>
      </w:r>
      <w:r w:rsidRPr="00F130DE">
        <w:t>trust</w:t>
      </w:r>
      <w:r w:rsidR="00C64050">
        <w:t xml:space="preserve"> </w:t>
      </w:r>
      <w:r w:rsidRPr="00F130DE">
        <w:t>property</w:t>
      </w:r>
      <w:r w:rsidR="00C64050">
        <w:t xml:space="preserve"> </w:t>
      </w:r>
      <w:r w:rsidRPr="00F130DE">
        <w:t>(or</w:t>
      </w:r>
      <w:r w:rsidR="00C64050">
        <w:t xml:space="preserve"> </w:t>
      </w:r>
      <w:r w:rsidRPr="00F130DE">
        <w:t>had</w:t>
      </w:r>
      <w:r w:rsidR="00C64050">
        <w:t xml:space="preserve"> </w:t>
      </w:r>
      <w:r w:rsidRPr="00F130DE">
        <w:t>such</w:t>
      </w:r>
      <w:r w:rsidR="00C64050">
        <w:t xml:space="preserve"> </w:t>
      </w:r>
      <w:r w:rsidRPr="00F130DE">
        <w:t>power</w:t>
      </w:r>
      <w:r w:rsidR="00C64050">
        <w:t xml:space="preserve"> </w:t>
      </w:r>
      <w:r w:rsidRPr="00F130DE">
        <w:t>prior</w:t>
      </w:r>
      <w:r w:rsidR="00C64050">
        <w:t xml:space="preserve"> </w:t>
      </w:r>
      <w:r w:rsidRPr="00F130DE">
        <w:t>to</w:t>
      </w:r>
      <w:r w:rsidR="00C64050">
        <w:t xml:space="preserve"> </w:t>
      </w:r>
      <w:r w:rsidRPr="00F130DE">
        <w:t>a</w:t>
      </w:r>
      <w:r w:rsidR="00C64050">
        <w:t xml:space="preserve"> </w:t>
      </w:r>
      <w:r w:rsidRPr="00F130DE">
        <w:t>release</w:t>
      </w:r>
      <w:r w:rsidR="00C64050">
        <w:t xml:space="preserve"> </w:t>
      </w:r>
      <w:r w:rsidRPr="00F130DE">
        <w:t>or</w:t>
      </w:r>
      <w:r w:rsidR="00C64050">
        <w:t xml:space="preserve"> </w:t>
      </w:r>
      <w:r w:rsidRPr="00F130DE">
        <w:t>modification,</w:t>
      </w:r>
      <w:r w:rsidR="00C64050">
        <w:t xml:space="preserve"> </w:t>
      </w:r>
      <w:r w:rsidRPr="00F130DE">
        <w:t>but</w:t>
      </w:r>
      <w:r w:rsidR="00C64050">
        <w:t xml:space="preserve"> </w:t>
      </w:r>
      <w:r w:rsidRPr="00F130DE">
        <w:t>retains</w:t>
      </w:r>
      <w:r w:rsidR="00C64050">
        <w:t xml:space="preserve"> </w:t>
      </w:r>
      <w:r w:rsidRPr="00F130DE">
        <w:t>other</w:t>
      </w:r>
      <w:r w:rsidR="00C64050">
        <w:t xml:space="preserve"> </w:t>
      </w:r>
      <w:r w:rsidRPr="00F130DE">
        <w:t>powers</w:t>
      </w:r>
      <w:r w:rsidR="00C64050">
        <w:t xml:space="preserve"> </w:t>
      </w:r>
      <w:r w:rsidRPr="00F130DE">
        <w:t>which</w:t>
      </w:r>
      <w:r w:rsidR="00C64050">
        <w:t xml:space="preserve"> </w:t>
      </w:r>
      <w:r w:rsidRPr="00F130DE">
        <w:t>would</w:t>
      </w:r>
      <w:r w:rsidR="00C64050">
        <w:t xml:space="preserve"> </w:t>
      </w:r>
      <w:r w:rsidRPr="00F130DE">
        <w:t>cause</w:t>
      </w:r>
      <w:r w:rsidR="00C64050">
        <w:t xml:space="preserve"> </w:t>
      </w:r>
      <w:r w:rsidRPr="00F130DE">
        <w:t>that</w:t>
      </w:r>
      <w:r w:rsidR="00C64050">
        <w:t xml:space="preserve"> </w:t>
      </w:r>
      <w:r w:rsidRPr="00F130DE">
        <w:t>person</w:t>
      </w:r>
      <w:r w:rsidR="00C64050">
        <w:t xml:space="preserve"> </w:t>
      </w:r>
      <w:r w:rsidRPr="00F130DE">
        <w:t>to</w:t>
      </w:r>
      <w:r w:rsidR="00C64050">
        <w:t xml:space="preserve"> </w:t>
      </w:r>
      <w:r w:rsidRPr="00F130DE">
        <w:t>be</w:t>
      </w:r>
      <w:r w:rsidR="00C64050">
        <w:t xml:space="preserve"> </w:t>
      </w:r>
      <w:r w:rsidRPr="00F130DE">
        <w:t>the</w:t>
      </w:r>
      <w:r w:rsidR="00C64050">
        <w:t xml:space="preserve"> </w:t>
      </w:r>
      <w:r w:rsidRPr="00F130DE">
        <w:t>owner</w:t>
      </w:r>
      <w:r w:rsidR="00C64050">
        <w:t xml:space="preserve"> </w:t>
      </w:r>
      <w:r w:rsidRPr="00F130DE">
        <w:t>of</w:t>
      </w:r>
      <w:r w:rsidR="00C64050">
        <w:t xml:space="preserve"> </w:t>
      </w:r>
      <w:r w:rsidRPr="00F130DE">
        <w:t>the</w:t>
      </w:r>
      <w:r w:rsidR="00C64050">
        <w:t xml:space="preserve"> </w:t>
      </w:r>
      <w:r w:rsidRPr="00F130DE">
        <w:t>trust</w:t>
      </w:r>
      <w:r w:rsidR="00C64050">
        <w:t xml:space="preserve"> </w:t>
      </w:r>
      <w:r w:rsidRPr="00F130DE">
        <w:t>under</w:t>
      </w:r>
      <w:r w:rsidR="00C64050">
        <w:t xml:space="preserve"> </w:t>
      </w:r>
      <w:r w:rsidRPr="00F130DE">
        <w:t>§</w:t>
      </w:r>
      <w:r w:rsidR="00C64050">
        <w:t xml:space="preserve"> </w:t>
      </w:r>
      <w:r w:rsidRPr="00F130DE">
        <w:t>671</w:t>
      </w:r>
      <w:r w:rsidR="00C64050">
        <w:t xml:space="preserve"> </w:t>
      </w:r>
      <w:r w:rsidRPr="00F130DE">
        <w:t>if</w:t>
      </w:r>
      <w:r w:rsidR="00C64050">
        <w:t xml:space="preserve"> </w:t>
      </w:r>
      <w:r w:rsidRPr="00F130DE">
        <w:t>the</w:t>
      </w:r>
      <w:r w:rsidR="00C64050">
        <w:t xml:space="preserve"> </w:t>
      </w:r>
      <w:r w:rsidRPr="00F130DE">
        <w:t>person</w:t>
      </w:r>
      <w:r w:rsidR="00C64050">
        <w:t xml:space="preserve"> </w:t>
      </w:r>
      <w:r w:rsidRPr="00F130DE">
        <w:t>were</w:t>
      </w:r>
      <w:r w:rsidR="00C64050">
        <w:t xml:space="preserve"> </w:t>
      </w:r>
      <w:r w:rsidRPr="00F130DE">
        <w:t>the</w:t>
      </w:r>
      <w:r w:rsidR="00C64050">
        <w:t xml:space="preserve"> </w:t>
      </w:r>
      <w:r w:rsidRPr="00F130DE">
        <w:t>grantor),</w:t>
      </w:r>
      <w:r w:rsidR="00C64050">
        <w:t xml:space="preserve"> </w:t>
      </w:r>
      <w:r w:rsidRPr="00F130DE">
        <w:t>other</w:t>
      </w:r>
      <w:r w:rsidR="00C64050">
        <w:t xml:space="preserve"> </w:t>
      </w:r>
      <w:r w:rsidRPr="00F130DE">
        <w:t>than</w:t>
      </w:r>
      <w:r w:rsidR="00C64050">
        <w:t xml:space="preserve"> </w:t>
      </w:r>
      <w:r w:rsidRPr="00F130DE">
        <w:t>a</w:t>
      </w:r>
      <w:r w:rsidR="00C64050">
        <w:t xml:space="preserve"> </w:t>
      </w:r>
      <w:r w:rsidRPr="00F130DE">
        <w:t>power</w:t>
      </w:r>
      <w:r w:rsidR="00C64050">
        <w:t xml:space="preserve"> </w:t>
      </w:r>
      <w:r w:rsidRPr="00F130DE">
        <w:t>which</w:t>
      </w:r>
      <w:r w:rsidR="00C64050">
        <w:t xml:space="preserve"> </w:t>
      </w:r>
      <w:r w:rsidRPr="00F130DE">
        <w:t>would</w:t>
      </w:r>
      <w:r w:rsidR="00C64050">
        <w:t xml:space="preserve"> </w:t>
      </w:r>
      <w:r w:rsidRPr="00F130DE">
        <w:t>constitute</w:t>
      </w:r>
      <w:r w:rsidR="00C64050">
        <w:t xml:space="preserve"> </w:t>
      </w:r>
      <w:r w:rsidRPr="00F130DE">
        <w:t>a</w:t>
      </w:r>
      <w:r w:rsidR="00C64050">
        <w:t xml:space="preserve"> </w:t>
      </w:r>
      <w:r w:rsidRPr="00F130DE">
        <w:t>general</w:t>
      </w:r>
      <w:r w:rsidR="00C64050">
        <w:t xml:space="preserve"> </w:t>
      </w:r>
      <w:r w:rsidRPr="00F130DE">
        <w:t>power</w:t>
      </w:r>
      <w:r w:rsidR="00C64050">
        <w:t xml:space="preserve"> </w:t>
      </w:r>
      <w:r w:rsidRPr="00F130DE">
        <w:t>of</w:t>
      </w:r>
      <w:r w:rsidR="00C64050">
        <w:t xml:space="preserve"> </w:t>
      </w:r>
      <w:r w:rsidRPr="00F130DE">
        <w:t>appointment</w:t>
      </w:r>
      <w:r w:rsidR="00C64050">
        <w:t xml:space="preserve"> </w:t>
      </w:r>
      <w:r w:rsidRPr="00F130DE">
        <w:t>within</w:t>
      </w:r>
      <w:r w:rsidR="00C64050">
        <w:t xml:space="preserve"> </w:t>
      </w:r>
      <w:r w:rsidRPr="00F130DE">
        <w:t>the</w:t>
      </w:r>
      <w:r w:rsidR="00C64050">
        <w:t xml:space="preserve"> </w:t>
      </w:r>
      <w:r w:rsidRPr="00F130DE">
        <w:t>meaning</w:t>
      </w:r>
      <w:r w:rsidR="00C64050">
        <w:t xml:space="preserve"> </w:t>
      </w:r>
      <w:r w:rsidRPr="00F130DE">
        <w:t>of</w:t>
      </w:r>
      <w:r w:rsidR="00C64050">
        <w:t xml:space="preserve"> </w:t>
      </w:r>
      <w:r w:rsidRPr="00F130DE">
        <w:t>§</w:t>
      </w:r>
      <w:r w:rsidR="00C64050">
        <w:t xml:space="preserve"> </w:t>
      </w:r>
      <w:r w:rsidRPr="00F130DE">
        <w:t>2041.</w:t>
      </w:r>
      <w:r w:rsidR="00C64050">
        <w:t xml:space="preserve"> </w:t>
      </w:r>
      <w:r w:rsidRPr="00F130DE">
        <w:t>if</w:t>
      </w:r>
      <w:r w:rsidR="00C64050">
        <w:t xml:space="preserve"> </w:t>
      </w:r>
      <w:r w:rsidRPr="00F130DE">
        <w:t>the</w:t>
      </w:r>
      <w:r w:rsidR="00C64050">
        <w:t xml:space="preserve"> </w:t>
      </w:r>
      <w:r w:rsidRPr="00F130DE">
        <w:t>trust</w:t>
      </w:r>
      <w:r w:rsidR="00C64050">
        <w:t xml:space="preserve"> </w:t>
      </w:r>
      <w:r w:rsidRPr="00F130DE">
        <w:t>purchases</w:t>
      </w:r>
      <w:r w:rsidR="00C64050">
        <w:t xml:space="preserve"> </w:t>
      </w:r>
      <w:r w:rsidRPr="00F130DE">
        <w:t>the</w:t>
      </w:r>
      <w:r w:rsidR="00C64050">
        <w:t xml:space="preserve"> </w:t>
      </w:r>
      <w:r w:rsidRPr="00F130DE">
        <w:t>property</w:t>
      </w:r>
      <w:r w:rsidR="00C64050">
        <w:t xml:space="preserve"> </w:t>
      </w:r>
      <w:r w:rsidRPr="00F130DE">
        <w:t>from</w:t>
      </w:r>
      <w:r w:rsidR="00C64050">
        <w:t xml:space="preserve"> </w:t>
      </w:r>
      <w:r w:rsidRPr="00F130DE">
        <w:t>that</w:t>
      </w:r>
      <w:r w:rsidR="00C64050">
        <w:t xml:space="preserve"> </w:t>
      </w:r>
      <w:r w:rsidRPr="00F130DE">
        <w:t>person</w:t>
      </w:r>
      <w:r w:rsidR="00C64050">
        <w:t xml:space="preserve"> </w:t>
      </w:r>
      <w:r w:rsidRPr="00F130DE">
        <w:t>with</w:t>
      </w:r>
      <w:r w:rsidR="00C64050">
        <w:t xml:space="preserve"> </w:t>
      </w:r>
      <w:r w:rsidRPr="00F130DE">
        <w:t>a</w:t>
      </w:r>
      <w:r w:rsidR="00C64050">
        <w:t xml:space="preserve"> </w:t>
      </w:r>
      <w:r w:rsidRPr="00F130DE">
        <w:t>note</w:t>
      </w:r>
      <w:r w:rsidR="00C64050">
        <w:t xml:space="preserve"> </w:t>
      </w:r>
      <w:r w:rsidRPr="00F130DE">
        <w:t>and</w:t>
      </w:r>
      <w:r w:rsidR="00C64050">
        <w:t xml:space="preserve"> </w:t>
      </w:r>
      <w:r w:rsidRPr="00F130DE">
        <w:t>the</w:t>
      </w:r>
      <w:r w:rsidR="00C64050">
        <w:t xml:space="preserve"> </w:t>
      </w:r>
      <w:r w:rsidRPr="00F130DE">
        <w:t>value</w:t>
      </w:r>
      <w:r w:rsidR="00C64050">
        <w:t xml:space="preserve"> </w:t>
      </w:r>
      <w:r w:rsidRPr="00F130DE">
        <w:t>of</w:t>
      </w:r>
      <w:r w:rsidR="00C64050">
        <w:t xml:space="preserve"> </w:t>
      </w:r>
      <w:r w:rsidRPr="00F130DE">
        <w:t>the</w:t>
      </w:r>
      <w:r w:rsidR="00C64050">
        <w:t xml:space="preserve"> </w:t>
      </w:r>
      <w:r w:rsidRPr="00F130DE">
        <w:t>assets</w:t>
      </w:r>
      <w:r w:rsidR="00C64050">
        <w:t xml:space="preserve"> </w:t>
      </w:r>
      <w:r w:rsidRPr="00F130DE">
        <w:t>with</w:t>
      </w:r>
      <w:r w:rsidR="00C64050">
        <w:t xml:space="preserve"> </w:t>
      </w:r>
      <w:r w:rsidRPr="00F130DE">
        <w:t>which</w:t>
      </w:r>
      <w:r w:rsidR="00C64050">
        <w:t xml:space="preserve"> </w:t>
      </w:r>
      <w:r w:rsidRPr="00F130DE">
        <w:t>the</w:t>
      </w:r>
      <w:r w:rsidR="00C64050">
        <w:t xml:space="preserve"> </w:t>
      </w:r>
      <w:r w:rsidRPr="00F130DE">
        <w:t>trust</w:t>
      </w:r>
      <w:r w:rsidR="00C64050">
        <w:t xml:space="preserve"> </w:t>
      </w:r>
      <w:r w:rsidRPr="00F130DE">
        <w:t>was</w:t>
      </w:r>
      <w:r w:rsidR="00C64050">
        <w:t xml:space="preserve"> </w:t>
      </w:r>
      <w:r w:rsidRPr="00F130DE">
        <w:t>funded</w:t>
      </w:r>
      <w:r w:rsidR="00C64050">
        <w:t xml:space="preserve"> </w:t>
      </w:r>
      <w:r w:rsidRPr="00F130DE">
        <w:t>by</w:t>
      </w:r>
      <w:r w:rsidR="00C64050">
        <w:t xml:space="preserve"> </w:t>
      </w:r>
      <w:r w:rsidRPr="00F130DE">
        <w:t>the</w:t>
      </w:r>
      <w:r w:rsidR="00C64050">
        <w:t xml:space="preserve"> </w:t>
      </w:r>
      <w:r w:rsidRPr="00F130DE">
        <w:t>grantor</w:t>
      </w:r>
      <w:r w:rsidR="00C64050">
        <w:t xml:space="preserve"> </w:t>
      </w:r>
      <w:r w:rsidRPr="00F130DE">
        <w:t>is</w:t>
      </w:r>
      <w:r w:rsidR="00C64050">
        <w:t xml:space="preserve"> </w:t>
      </w:r>
      <w:r w:rsidRPr="00F130DE">
        <w:t>nominal</w:t>
      </w:r>
      <w:r w:rsidR="00C64050">
        <w:t xml:space="preserve"> </w:t>
      </w:r>
      <w:r w:rsidRPr="00F130DE">
        <w:t>compared</w:t>
      </w:r>
      <w:r w:rsidR="00C64050">
        <w:t xml:space="preserve"> </w:t>
      </w:r>
      <w:r w:rsidRPr="00F130DE">
        <w:t>to</w:t>
      </w:r>
      <w:r w:rsidR="00C64050">
        <w:t xml:space="preserve"> </w:t>
      </w:r>
      <w:r w:rsidRPr="00F130DE">
        <w:t>the</w:t>
      </w:r>
      <w:r w:rsidR="00C64050">
        <w:t xml:space="preserve"> </w:t>
      </w:r>
      <w:r w:rsidRPr="00F130DE">
        <w:t>value</w:t>
      </w:r>
      <w:r w:rsidR="00C64050">
        <w:t xml:space="preserve"> </w:t>
      </w:r>
      <w:r w:rsidRPr="00F130DE">
        <w:t>of</w:t>
      </w:r>
      <w:r w:rsidR="00C64050">
        <w:t xml:space="preserve"> </w:t>
      </w:r>
      <w:r w:rsidRPr="00F130DE">
        <w:t>the</w:t>
      </w:r>
      <w:r w:rsidR="00C64050">
        <w:t xml:space="preserve"> </w:t>
      </w:r>
      <w:r w:rsidRPr="00F130DE">
        <w:t>property</w:t>
      </w:r>
      <w:r w:rsidR="00C64050">
        <w:t xml:space="preserve"> </w:t>
      </w:r>
      <w:r w:rsidRPr="00F130DE">
        <w:t>purchased.</w:t>
      </w:r>
    </w:p>
    <w:p w:rsidR="00773146" w:rsidRPr="00F130DE" w:rsidRDefault="00773146" w:rsidP="00244CEA">
      <w:pPr>
        <w:pStyle w:val="QS10"/>
      </w:pPr>
      <w:r w:rsidRPr="00F130DE">
        <w:t>(49)</w:t>
      </w:r>
      <w:r w:rsidR="00C64050">
        <w:t xml:space="preserve"> </w:t>
      </w:r>
      <w:r w:rsidRPr="00F130DE">
        <w:t>Sections</w:t>
      </w:r>
      <w:r w:rsidR="00C64050">
        <w:t xml:space="preserve"> </w:t>
      </w:r>
      <w:r w:rsidRPr="00F130DE">
        <w:t>2035,</w:t>
      </w:r>
      <w:r w:rsidR="00C64050">
        <w:t xml:space="preserve"> </w:t>
      </w:r>
      <w:r w:rsidRPr="00F130DE">
        <w:t>2036,</w:t>
      </w:r>
      <w:r w:rsidR="00C64050">
        <w:t xml:space="preserve"> </w:t>
      </w:r>
      <w:r w:rsidRPr="00F130DE">
        <w:t>2037,</w:t>
      </w:r>
      <w:r w:rsidR="00C64050">
        <w:t xml:space="preserve"> </w:t>
      </w:r>
      <w:r w:rsidRPr="00F130DE">
        <w:t>2038,</w:t>
      </w:r>
      <w:r w:rsidR="00C64050">
        <w:t xml:space="preserve"> </w:t>
      </w:r>
      <w:r w:rsidRPr="00F130DE">
        <w:t>and</w:t>
      </w:r>
      <w:r w:rsidR="00C64050">
        <w:t xml:space="preserve"> </w:t>
      </w:r>
      <w:r w:rsidRPr="00F130DE">
        <w:t>2042.—Adjustments</w:t>
      </w:r>
      <w:r w:rsidR="00C64050">
        <w:t xml:space="preserve"> </w:t>
      </w:r>
      <w:r w:rsidRPr="00F130DE">
        <w:t>for</w:t>
      </w:r>
      <w:r w:rsidR="00C64050">
        <w:t xml:space="preserve"> </w:t>
      </w:r>
      <w:r w:rsidRPr="00F130DE">
        <w:t>Certain</w:t>
      </w:r>
      <w:r w:rsidR="00C64050">
        <w:t xml:space="preserve"> </w:t>
      </w:r>
      <w:r w:rsidRPr="00F130DE">
        <w:t>Gifts</w:t>
      </w:r>
      <w:r w:rsidR="00C64050">
        <w:t xml:space="preserve"> </w:t>
      </w:r>
      <w:r w:rsidRPr="00F130DE">
        <w:t>Made</w:t>
      </w:r>
      <w:r w:rsidR="00C64050">
        <w:t xml:space="preserve"> </w:t>
      </w:r>
      <w:r w:rsidRPr="00F130DE">
        <w:t>Within</w:t>
      </w:r>
      <w:r w:rsidR="00C64050">
        <w:t xml:space="preserve"> </w:t>
      </w:r>
      <w:r w:rsidRPr="00F130DE">
        <w:t>Three</w:t>
      </w:r>
      <w:r w:rsidR="00C64050">
        <w:t xml:space="preserve"> </w:t>
      </w:r>
      <w:r w:rsidRPr="00F130DE">
        <w:t>Years</w:t>
      </w:r>
      <w:r w:rsidR="00C64050">
        <w:t xml:space="preserve"> </w:t>
      </w:r>
      <w:r w:rsidRPr="00F130DE">
        <w:t>of</w:t>
      </w:r>
      <w:r w:rsidR="00C64050">
        <w:t xml:space="preserve"> </w:t>
      </w:r>
      <w:r w:rsidRPr="00F130DE">
        <w:t>Decedent's</w:t>
      </w:r>
      <w:r w:rsidR="00C64050">
        <w:t xml:space="preserve"> </w:t>
      </w:r>
      <w:r w:rsidRPr="00F130DE">
        <w:t>Death;</w:t>
      </w:r>
      <w:r w:rsidR="00C64050">
        <w:t xml:space="preserve"> </w:t>
      </w:r>
      <w:r w:rsidRPr="00F130DE">
        <w:t>Transfers</w:t>
      </w:r>
      <w:r w:rsidR="00C64050">
        <w:t xml:space="preserve"> </w:t>
      </w:r>
      <w:r w:rsidRPr="00F130DE">
        <w:t>with</w:t>
      </w:r>
      <w:r w:rsidR="00C64050">
        <w:t xml:space="preserve"> </w:t>
      </w:r>
      <w:r w:rsidRPr="00F130DE">
        <w:t>Retained</w:t>
      </w:r>
      <w:r w:rsidR="00C64050">
        <w:t xml:space="preserve"> </w:t>
      </w:r>
      <w:r w:rsidRPr="00F130DE">
        <w:t>Life</w:t>
      </w:r>
      <w:r w:rsidR="00C64050">
        <w:t xml:space="preserve"> </w:t>
      </w:r>
      <w:r w:rsidRPr="00F130DE">
        <w:t>Estate;</w:t>
      </w:r>
      <w:r w:rsidR="00C64050">
        <w:t xml:space="preserve"> </w:t>
      </w:r>
      <w:r w:rsidRPr="00F130DE">
        <w:t>Transfers</w:t>
      </w:r>
      <w:r w:rsidR="00C64050">
        <w:t xml:space="preserve"> </w:t>
      </w:r>
      <w:r w:rsidRPr="00F130DE">
        <w:t>Taking</w:t>
      </w:r>
      <w:r w:rsidR="00C64050">
        <w:t xml:space="preserve"> </w:t>
      </w:r>
      <w:r w:rsidRPr="00F130DE">
        <w:t>Effect</w:t>
      </w:r>
      <w:r w:rsidR="00C64050">
        <w:t xml:space="preserve"> </w:t>
      </w:r>
      <w:r w:rsidRPr="00F130DE">
        <w:t>at</w:t>
      </w:r>
      <w:r w:rsidR="00C64050">
        <w:t xml:space="preserve"> </w:t>
      </w:r>
      <w:r w:rsidRPr="00F130DE">
        <w:t>Death;</w:t>
      </w:r>
      <w:r w:rsidR="00C64050">
        <w:t xml:space="preserve"> </w:t>
      </w:r>
      <w:r w:rsidRPr="00F130DE">
        <w:t>Revocable</w:t>
      </w:r>
      <w:r w:rsidR="00C64050">
        <w:t xml:space="preserve"> </w:t>
      </w:r>
      <w:r w:rsidRPr="00F130DE">
        <w:t>Transfers;</w:t>
      </w:r>
      <w:r w:rsidR="00C64050">
        <w:t xml:space="preserve"> </w:t>
      </w:r>
      <w:r w:rsidRPr="00F130DE">
        <w:t>Proceeds</w:t>
      </w:r>
      <w:r w:rsidR="00C64050">
        <w:t xml:space="preserve"> </w:t>
      </w:r>
      <w:r w:rsidRPr="00F130DE">
        <w:t>of</w:t>
      </w:r>
      <w:r w:rsidR="00C64050">
        <w:t xml:space="preserve"> </w:t>
      </w:r>
      <w:r w:rsidRPr="00F130DE">
        <w:t>Life</w:t>
      </w:r>
      <w:r w:rsidR="00C64050">
        <w:t xml:space="preserve"> </w:t>
      </w:r>
      <w:r w:rsidRPr="00F130DE">
        <w:t>Insurance.—Whether</w:t>
      </w:r>
      <w:r w:rsidR="00C64050">
        <w:t xml:space="preserve"> </w:t>
      </w:r>
      <w:r w:rsidRPr="00F130DE">
        <w:t>trust</w:t>
      </w:r>
      <w:r w:rsidR="00C64050">
        <w:t xml:space="preserve"> </w:t>
      </w:r>
      <w:r w:rsidRPr="00F130DE">
        <w:t>assets</w:t>
      </w:r>
      <w:r w:rsidR="00C64050">
        <w:t xml:space="preserve"> </w:t>
      </w:r>
      <w:r w:rsidRPr="00F130DE">
        <w:t>are</w:t>
      </w:r>
      <w:r w:rsidR="00C64050">
        <w:t xml:space="preserve"> </w:t>
      </w:r>
      <w:r w:rsidRPr="00F130DE">
        <w:t>includible</w:t>
      </w:r>
      <w:r w:rsidR="00C64050">
        <w:t xml:space="preserve"> </w:t>
      </w:r>
      <w:r w:rsidRPr="00F130DE">
        <w:t>in</w:t>
      </w:r>
      <w:r w:rsidR="00C64050">
        <w:t xml:space="preserve"> </w:t>
      </w:r>
      <w:r w:rsidRPr="00F130DE">
        <w:t>a</w:t>
      </w:r>
      <w:r w:rsidR="00C64050">
        <w:t xml:space="preserve"> </w:t>
      </w:r>
      <w:r w:rsidRPr="00F130DE">
        <w:t>trust</w:t>
      </w:r>
      <w:r w:rsidR="00C64050">
        <w:t xml:space="preserve"> </w:t>
      </w:r>
      <w:r w:rsidRPr="00F130DE">
        <w:t>beneficiary's</w:t>
      </w:r>
      <w:r w:rsidR="00C64050">
        <w:t xml:space="preserve"> </w:t>
      </w:r>
      <w:r w:rsidRPr="00F130DE">
        <w:t>gross</w:t>
      </w:r>
      <w:r w:rsidR="00C64050">
        <w:t xml:space="preserve"> </w:t>
      </w:r>
      <w:r w:rsidRPr="00F130DE">
        <w:t>estate</w:t>
      </w:r>
      <w:r w:rsidR="00C64050">
        <w:t xml:space="preserve"> </w:t>
      </w:r>
      <w:r w:rsidRPr="00F130DE">
        <w:t>under</w:t>
      </w:r>
      <w:r w:rsidR="00C64050">
        <w:t xml:space="preserve"> </w:t>
      </w:r>
      <w:r w:rsidRPr="00F130DE">
        <w:t>§</w:t>
      </w:r>
      <w:r w:rsidR="00C64050">
        <w:t xml:space="preserve"> </w:t>
      </w:r>
      <w:r w:rsidRPr="00F130DE">
        <w:t>2035,</w:t>
      </w:r>
      <w:r w:rsidR="00C64050">
        <w:t xml:space="preserve"> </w:t>
      </w:r>
      <w:r w:rsidRPr="00F130DE">
        <w:t>2036.</w:t>
      </w:r>
      <w:r w:rsidR="00C64050">
        <w:t xml:space="preserve"> </w:t>
      </w:r>
      <w:r w:rsidRPr="00F130DE">
        <w:t>2037,</w:t>
      </w:r>
      <w:r w:rsidR="00C64050">
        <w:t xml:space="preserve"> </w:t>
      </w:r>
      <w:r w:rsidRPr="00F130DE">
        <w:t>2038,</w:t>
      </w:r>
      <w:r w:rsidR="00C64050">
        <w:t xml:space="preserve"> </w:t>
      </w:r>
      <w:r w:rsidRPr="00F130DE">
        <w:t>or</w:t>
      </w:r>
      <w:r w:rsidR="00C64050">
        <w:t xml:space="preserve"> </w:t>
      </w:r>
      <w:r w:rsidRPr="00F130DE">
        <w:t>2042</w:t>
      </w:r>
      <w:r w:rsidR="00C64050">
        <w:t xml:space="preserve"> </w:t>
      </w:r>
      <w:r w:rsidRPr="00F130DE">
        <w:t>if</w:t>
      </w:r>
      <w:r w:rsidR="00C64050">
        <w:t xml:space="preserve"> </w:t>
      </w:r>
      <w:r w:rsidRPr="00F130DE">
        <w:t>the</w:t>
      </w:r>
      <w:r w:rsidR="00C64050">
        <w:t xml:space="preserve"> </w:t>
      </w:r>
      <w:r w:rsidRPr="00F130DE">
        <w:t>beneficiary</w:t>
      </w:r>
      <w:r w:rsidR="00C64050">
        <w:t xml:space="preserve"> </w:t>
      </w:r>
      <w:r w:rsidRPr="00F130DE">
        <w:t>sells</w:t>
      </w:r>
      <w:r w:rsidR="00C64050">
        <w:t xml:space="preserve"> </w:t>
      </w:r>
      <w:r w:rsidRPr="00F130DE">
        <w:t>property</w:t>
      </w:r>
      <w:r w:rsidR="00C64050">
        <w:t xml:space="preserve"> </w:t>
      </w:r>
      <w:r w:rsidRPr="00F130DE">
        <w:t>(including</w:t>
      </w:r>
      <w:r w:rsidR="00C64050">
        <w:t xml:space="preserve"> </w:t>
      </w:r>
      <w:r w:rsidRPr="00F130DE">
        <w:t>insurance</w:t>
      </w:r>
      <w:r w:rsidR="00C64050">
        <w:t xml:space="preserve"> </w:t>
      </w:r>
      <w:r w:rsidRPr="00F130DE">
        <w:t>policies)</w:t>
      </w:r>
      <w:r w:rsidR="00C64050">
        <w:t xml:space="preserve"> </w:t>
      </w:r>
      <w:r w:rsidRPr="00F130DE">
        <w:t>to</w:t>
      </w:r>
      <w:r w:rsidR="00C64050">
        <w:t xml:space="preserve"> </w:t>
      </w:r>
      <w:r w:rsidRPr="00F130DE">
        <w:t>the</w:t>
      </w:r>
      <w:r w:rsidR="00C64050">
        <w:t xml:space="preserve"> </w:t>
      </w:r>
      <w:r w:rsidRPr="00F130DE">
        <w:t>trust</w:t>
      </w:r>
      <w:r w:rsidR="00C64050">
        <w:t xml:space="preserve"> </w:t>
      </w:r>
      <w:r w:rsidRPr="00F130DE">
        <w:t>or</w:t>
      </w:r>
      <w:r w:rsidR="00C64050">
        <w:t xml:space="preserve"> </w:t>
      </w:r>
      <w:r w:rsidRPr="00F130DE">
        <w:t>dies</w:t>
      </w:r>
      <w:r w:rsidR="00C64050">
        <w:t xml:space="preserve"> </w:t>
      </w:r>
      <w:r w:rsidRPr="00F130DE">
        <w:t>within</w:t>
      </w:r>
      <w:r w:rsidR="00C64050">
        <w:t xml:space="preserve"> </w:t>
      </w:r>
      <w:r w:rsidRPr="00F130DE">
        <w:t>3</w:t>
      </w:r>
      <w:r w:rsidR="00C64050">
        <w:t xml:space="preserve"> </w:t>
      </w:r>
      <w:r w:rsidRPr="00F130DE">
        <w:t>years</w:t>
      </w:r>
      <w:r w:rsidR="00C64050">
        <w:t xml:space="preserve"> </w:t>
      </w:r>
      <w:r w:rsidRPr="00F130DE">
        <w:t>of</w:t>
      </w:r>
      <w:r w:rsidR="00C64050">
        <w:t xml:space="preserve"> </w:t>
      </w:r>
      <w:r w:rsidRPr="00F130DE">
        <w:t>selling</w:t>
      </w:r>
      <w:r w:rsidR="00C64050">
        <w:t xml:space="preserve"> </w:t>
      </w:r>
      <w:r w:rsidRPr="00F130DE">
        <w:t>such</w:t>
      </w:r>
      <w:r w:rsidR="00C64050">
        <w:t xml:space="preserve"> </w:t>
      </w:r>
      <w:r w:rsidRPr="00F130DE">
        <w:t>property</w:t>
      </w:r>
      <w:r w:rsidR="00C64050">
        <w:t xml:space="preserve"> </w:t>
      </w:r>
      <w:r w:rsidRPr="00F130DE">
        <w:t>to</w:t>
      </w:r>
      <w:r w:rsidR="00C64050">
        <w:t xml:space="preserve"> </w:t>
      </w:r>
      <w:r w:rsidRPr="00F130DE">
        <w:t>the</w:t>
      </w:r>
      <w:r w:rsidR="00C64050">
        <w:t xml:space="preserve"> </w:t>
      </w:r>
      <w:r w:rsidRPr="00F130DE">
        <w:t>trust,</w:t>
      </w:r>
      <w:r w:rsidR="00C64050">
        <w:t xml:space="preserve"> </w:t>
      </w:r>
      <w:r w:rsidRPr="00F130DE">
        <w:t>and</w:t>
      </w:r>
      <w:r w:rsidR="00C64050">
        <w:t xml:space="preserve"> </w:t>
      </w:r>
      <w:r w:rsidRPr="00F130DE">
        <w:t>(i)</w:t>
      </w:r>
      <w:r w:rsidR="00C64050">
        <w:t xml:space="preserve"> </w:t>
      </w:r>
      <w:r w:rsidRPr="00F130DE">
        <w:t>the</w:t>
      </w:r>
      <w:r w:rsidR="00C64050">
        <w:t xml:space="preserve"> </w:t>
      </w:r>
      <w:r w:rsidRPr="00F130DE">
        <w:t>beneficiary</w:t>
      </w:r>
      <w:r w:rsidR="00C64050">
        <w:t xml:space="preserve"> </w:t>
      </w:r>
      <w:r w:rsidRPr="00F130DE">
        <w:t>has</w:t>
      </w:r>
      <w:r w:rsidR="00C64050">
        <w:t xml:space="preserve"> </w:t>
      </w:r>
      <w:r w:rsidRPr="00F130DE">
        <w:t>a</w:t>
      </w:r>
      <w:r w:rsidR="00C64050">
        <w:t xml:space="preserve"> </w:t>
      </w:r>
      <w:r w:rsidRPr="00F130DE">
        <w:t>power</w:t>
      </w:r>
      <w:r w:rsidR="00C64050">
        <w:t xml:space="preserve"> </w:t>
      </w:r>
      <w:r w:rsidRPr="00F130DE">
        <w:t>to</w:t>
      </w:r>
      <w:r w:rsidR="00C64050">
        <w:t xml:space="preserve"> </w:t>
      </w:r>
      <w:r w:rsidRPr="00F130DE">
        <w:t>withdraw</w:t>
      </w:r>
      <w:r w:rsidR="00C64050">
        <w:t xml:space="preserve"> </w:t>
      </w:r>
      <w:r w:rsidRPr="00F130DE">
        <w:t>the</w:t>
      </w:r>
      <w:r w:rsidR="00C64050">
        <w:t xml:space="preserve"> </w:t>
      </w:r>
      <w:r w:rsidRPr="00F130DE">
        <w:t>trust</w:t>
      </w:r>
      <w:r w:rsidR="00C64050">
        <w:t xml:space="preserve"> </w:t>
      </w:r>
      <w:r w:rsidRPr="00F130DE">
        <w:t>property</w:t>
      </w:r>
      <w:r w:rsidR="00C64050">
        <w:t xml:space="preserve"> </w:t>
      </w:r>
      <w:r w:rsidRPr="00F130DE">
        <w:t>(or</w:t>
      </w:r>
      <w:r w:rsidR="00C64050">
        <w:t xml:space="preserve"> </w:t>
      </w:r>
      <w:r w:rsidRPr="00F130DE">
        <w:t>had</w:t>
      </w:r>
      <w:r w:rsidR="00C64050">
        <w:t xml:space="preserve"> </w:t>
      </w:r>
      <w:r w:rsidRPr="00F130DE">
        <w:t>such</w:t>
      </w:r>
      <w:r w:rsidR="00C64050">
        <w:t xml:space="preserve"> </w:t>
      </w:r>
      <w:r w:rsidRPr="00F130DE">
        <w:t>power</w:t>
      </w:r>
      <w:r w:rsidR="00C64050">
        <w:t xml:space="preserve"> </w:t>
      </w:r>
      <w:r w:rsidRPr="00F130DE">
        <w:t>prior</w:t>
      </w:r>
      <w:r w:rsidR="00C64050">
        <w:t xml:space="preserve"> </w:t>
      </w:r>
      <w:r w:rsidRPr="00F130DE">
        <w:t>to</w:t>
      </w:r>
      <w:r w:rsidR="00C64050">
        <w:t xml:space="preserve"> </w:t>
      </w:r>
      <w:r w:rsidRPr="00F130DE">
        <w:t>a</w:t>
      </w:r>
      <w:r w:rsidR="00C64050">
        <w:t xml:space="preserve"> </w:t>
      </w:r>
      <w:r w:rsidRPr="00F130DE">
        <w:t>release</w:t>
      </w:r>
      <w:r w:rsidR="00C64050">
        <w:t xml:space="preserve"> </w:t>
      </w:r>
      <w:r w:rsidRPr="00F130DE">
        <w:t>or</w:t>
      </w:r>
      <w:r w:rsidR="00C64050">
        <w:t xml:space="preserve"> </w:t>
      </w:r>
      <w:r w:rsidRPr="00F130DE">
        <w:t>modification,</w:t>
      </w:r>
      <w:r w:rsidR="00C64050">
        <w:t xml:space="preserve"> </w:t>
      </w:r>
      <w:r w:rsidRPr="00F130DE">
        <w:t>but</w:t>
      </w:r>
      <w:r w:rsidR="00C64050">
        <w:t xml:space="preserve"> </w:t>
      </w:r>
      <w:r w:rsidRPr="00F130DE">
        <w:t>retains</w:t>
      </w:r>
      <w:r w:rsidR="00C64050">
        <w:t xml:space="preserve"> </w:t>
      </w:r>
      <w:r w:rsidRPr="00F130DE">
        <w:t>other</w:t>
      </w:r>
      <w:r w:rsidR="00C64050">
        <w:t xml:space="preserve"> </w:t>
      </w:r>
      <w:r w:rsidRPr="00F130DE">
        <w:t>powers</w:t>
      </w:r>
      <w:r w:rsidR="00C64050">
        <w:t xml:space="preserve"> </w:t>
      </w:r>
      <w:r w:rsidRPr="00F130DE">
        <w:t>which</w:t>
      </w:r>
      <w:r w:rsidR="00C64050">
        <w:t xml:space="preserve"> </w:t>
      </w:r>
      <w:r w:rsidRPr="00F130DE">
        <w:t>would</w:t>
      </w:r>
      <w:r w:rsidR="00C64050">
        <w:t xml:space="preserve"> </w:t>
      </w:r>
      <w:r w:rsidRPr="00F130DE">
        <w:t>cause</w:t>
      </w:r>
      <w:r w:rsidR="00C64050">
        <w:t xml:space="preserve"> </w:t>
      </w:r>
      <w:r w:rsidRPr="00F130DE">
        <w:t>that</w:t>
      </w:r>
      <w:r w:rsidR="00C64050">
        <w:t xml:space="preserve"> </w:t>
      </w:r>
      <w:r w:rsidRPr="00F130DE">
        <w:t>person</w:t>
      </w:r>
      <w:r w:rsidR="00C64050">
        <w:t xml:space="preserve"> </w:t>
      </w:r>
      <w:r w:rsidRPr="00F130DE">
        <w:t>to</w:t>
      </w:r>
      <w:r w:rsidR="00C64050">
        <w:t xml:space="preserve"> </w:t>
      </w:r>
      <w:r w:rsidRPr="00F130DE">
        <w:t>be</w:t>
      </w:r>
      <w:r w:rsidR="00C64050">
        <w:t xml:space="preserve"> </w:t>
      </w:r>
      <w:r w:rsidRPr="00F130DE">
        <w:t>the</w:t>
      </w:r>
      <w:r w:rsidR="00C64050">
        <w:t xml:space="preserve"> </w:t>
      </w:r>
      <w:r w:rsidRPr="00F130DE">
        <w:t>owner</w:t>
      </w:r>
      <w:r w:rsidR="00C64050">
        <w:t xml:space="preserve"> </w:t>
      </w:r>
      <w:r w:rsidRPr="00F130DE">
        <w:t>if</w:t>
      </w:r>
      <w:r w:rsidR="00C64050">
        <w:t xml:space="preserve"> </w:t>
      </w:r>
      <w:r w:rsidRPr="00F130DE">
        <w:t>the</w:t>
      </w:r>
      <w:r w:rsidR="00C64050">
        <w:t xml:space="preserve"> </w:t>
      </w:r>
      <w:r w:rsidRPr="00F130DE">
        <w:t>person</w:t>
      </w:r>
      <w:r w:rsidR="00C64050">
        <w:t xml:space="preserve"> </w:t>
      </w:r>
      <w:r w:rsidRPr="00F130DE">
        <w:t>were</w:t>
      </w:r>
      <w:r w:rsidR="00C64050">
        <w:t xml:space="preserve"> </w:t>
      </w:r>
      <w:r w:rsidRPr="00F130DE">
        <w:t>the</w:t>
      </w:r>
      <w:r w:rsidR="00C64050">
        <w:t xml:space="preserve"> </w:t>
      </w:r>
      <w:r w:rsidRPr="00F130DE">
        <w:t>grantor),</w:t>
      </w:r>
      <w:r w:rsidR="00C64050">
        <w:t xml:space="preserve"> </w:t>
      </w:r>
      <w:r w:rsidRPr="00F130DE">
        <w:t>other</w:t>
      </w:r>
      <w:r w:rsidR="00C64050">
        <w:t xml:space="preserve"> </w:t>
      </w:r>
      <w:r w:rsidRPr="00F130DE">
        <w:t>than</w:t>
      </w:r>
      <w:r w:rsidR="00C64050">
        <w:t xml:space="preserve"> </w:t>
      </w:r>
      <w:r w:rsidRPr="00F130DE">
        <w:t>a</w:t>
      </w:r>
      <w:r w:rsidR="00C64050">
        <w:t xml:space="preserve"> </w:t>
      </w:r>
      <w:r w:rsidRPr="00F130DE">
        <w:t>power</w:t>
      </w:r>
      <w:r w:rsidR="00C64050">
        <w:t xml:space="preserve"> </w:t>
      </w:r>
      <w:r w:rsidRPr="00F130DE">
        <w:t>which</w:t>
      </w:r>
      <w:r w:rsidR="00C64050">
        <w:t xml:space="preserve"> </w:t>
      </w:r>
      <w:r w:rsidRPr="00F130DE">
        <w:t>would</w:t>
      </w:r>
      <w:r w:rsidR="00C64050">
        <w:t xml:space="preserve"> </w:t>
      </w:r>
      <w:r w:rsidRPr="00F130DE">
        <w:t>constitute</w:t>
      </w:r>
      <w:r w:rsidR="00C64050">
        <w:t xml:space="preserve"> </w:t>
      </w:r>
      <w:r w:rsidRPr="00F130DE">
        <w:t>a</w:t>
      </w:r>
      <w:r w:rsidR="00C64050">
        <w:t xml:space="preserve"> </w:t>
      </w:r>
      <w:r w:rsidRPr="00F130DE">
        <w:t>general</w:t>
      </w:r>
      <w:r w:rsidR="00C64050">
        <w:t xml:space="preserve"> </w:t>
      </w:r>
      <w:r w:rsidRPr="00F130DE">
        <w:t>power</w:t>
      </w:r>
      <w:r w:rsidR="00C64050">
        <w:t xml:space="preserve"> </w:t>
      </w:r>
      <w:r w:rsidRPr="00F130DE">
        <w:t>of</w:t>
      </w:r>
      <w:r w:rsidR="00C64050">
        <w:t xml:space="preserve"> </w:t>
      </w:r>
      <w:r w:rsidRPr="00F130DE">
        <w:t>appointment</w:t>
      </w:r>
      <w:r w:rsidR="00C64050">
        <w:t xml:space="preserve"> </w:t>
      </w:r>
      <w:r w:rsidRPr="00F130DE">
        <w:t>within</w:t>
      </w:r>
      <w:r w:rsidR="00C64050">
        <w:t xml:space="preserve"> </w:t>
      </w:r>
      <w:r w:rsidRPr="00F130DE">
        <w:t>the</w:t>
      </w:r>
      <w:r w:rsidR="00C64050">
        <w:t xml:space="preserve"> </w:t>
      </w:r>
      <w:r w:rsidRPr="00F130DE">
        <w:t>meaning</w:t>
      </w:r>
      <w:r w:rsidR="00C64050">
        <w:t xml:space="preserve"> </w:t>
      </w:r>
      <w:r w:rsidRPr="00F130DE">
        <w:t>of</w:t>
      </w:r>
      <w:r w:rsidR="00C64050">
        <w:t xml:space="preserve"> </w:t>
      </w:r>
      <w:r w:rsidRPr="00F130DE">
        <w:t>§</w:t>
      </w:r>
      <w:r w:rsidR="00C64050">
        <w:t xml:space="preserve"> </w:t>
      </w:r>
      <w:r w:rsidRPr="00F130DE">
        <w:t>2041,</w:t>
      </w:r>
      <w:r w:rsidR="00C64050">
        <w:t xml:space="preserve"> </w:t>
      </w:r>
      <w:r w:rsidRPr="00F130DE">
        <w:t>(ii)</w:t>
      </w:r>
      <w:r w:rsidR="00C64050">
        <w:t xml:space="preserve"> </w:t>
      </w:r>
      <w:r w:rsidRPr="00F130DE">
        <w:t>the</w:t>
      </w:r>
      <w:r w:rsidR="00C64050">
        <w:t xml:space="preserve"> </w:t>
      </w:r>
      <w:r w:rsidRPr="00F130DE">
        <w:t>trust</w:t>
      </w:r>
      <w:r w:rsidR="00C64050">
        <w:t xml:space="preserve"> </w:t>
      </w:r>
      <w:r w:rsidRPr="00F130DE">
        <w:t>purchases</w:t>
      </w:r>
      <w:r w:rsidR="00C64050">
        <w:t xml:space="preserve"> </w:t>
      </w:r>
      <w:r w:rsidRPr="00F130DE">
        <w:t>the</w:t>
      </w:r>
      <w:r w:rsidR="00C64050">
        <w:t xml:space="preserve"> </w:t>
      </w:r>
      <w:r w:rsidRPr="00F130DE">
        <w:t>property</w:t>
      </w:r>
      <w:r w:rsidR="00C64050">
        <w:t xml:space="preserve"> </w:t>
      </w:r>
      <w:r w:rsidRPr="00F130DE">
        <w:t>with</w:t>
      </w:r>
      <w:r w:rsidR="00C64050">
        <w:t xml:space="preserve"> </w:t>
      </w:r>
      <w:r w:rsidRPr="00F130DE">
        <w:t>a</w:t>
      </w:r>
      <w:r w:rsidR="00C64050">
        <w:t xml:space="preserve"> </w:t>
      </w:r>
      <w:r w:rsidRPr="00F130DE">
        <w:t>note,</w:t>
      </w:r>
      <w:r w:rsidR="00C64050">
        <w:t xml:space="preserve"> </w:t>
      </w:r>
      <w:r w:rsidRPr="00F130DE">
        <w:t>and</w:t>
      </w:r>
      <w:r w:rsidR="00C64050">
        <w:t xml:space="preserve"> </w:t>
      </w:r>
      <w:r w:rsidRPr="00F130DE">
        <w:t>(iii)</w:t>
      </w:r>
      <w:r w:rsidR="00C64050">
        <w:t xml:space="preserve"> </w:t>
      </w:r>
      <w:r w:rsidRPr="00F130DE">
        <w:t>the</w:t>
      </w:r>
      <w:r w:rsidR="00C64050">
        <w:t xml:space="preserve"> </w:t>
      </w:r>
      <w:r w:rsidRPr="00F130DE">
        <w:t>value</w:t>
      </w:r>
      <w:r w:rsidR="00C64050">
        <w:t xml:space="preserve"> </w:t>
      </w:r>
      <w:r w:rsidRPr="00F130DE">
        <w:t>of</w:t>
      </w:r>
      <w:r w:rsidR="00C64050">
        <w:t xml:space="preserve"> </w:t>
      </w:r>
      <w:r w:rsidRPr="00F130DE">
        <w:t>the</w:t>
      </w:r>
      <w:r w:rsidR="00C64050">
        <w:t xml:space="preserve"> </w:t>
      </w:r>
      <w:r w:rsidRPr="00F130DE">
        <w:t>assets</w:t>
      </w:r>
      <w:r w:rsidR="00C64050">
        <w:t xml:space="preserve"> </w:t>
      </w:r>
      <w:r w:rsidRPr="00F130DE">
        <w:t>with</w:t>
      </w:r>
      <w:r w:rsidR="00C64050">
        <w:t xml:space="preserve"> </w:t>
      </w:r>
      <w:r w:rsidRPr="00F130DE">
        <w:t>which</w:t>
      </w:r>
      <w:r w:rsidR="00C64050">
        <w:t xml:space="preserve"> </w:t>
      </w:r>
      <w:r w:rsidRPr="00F130DE">
        <w:t>the</w:t>
      </w:r>
      <w:r w:rsidR="00C64050">
        <w:t xml:space="preserve"> </w:t>
      </w:r>
      <w:r w:rsidRPr="00F130DE">
        <w:t>trust</w:t>
      </w:r>
      <w:r w:rsidR="00C64050">
        <w:t xml:space="preserve"> </w:t>
      </w:r>
      <w:r w:rsidRPr="00F130DE">
        <w:t>was</w:t>
      </w:r>
      <w:r w:rsidR="00C64050">
        <w:t xml:space="preserve"> </w:t>
      </w:r>
      <w:r w:rsidRPr="00F130DE">
        <w:t>funded</w:t>
      </w:r>
      <w:r w:rsidR="00C64050">
        <w:t xml:space="preserve"> </w:t>
      </w:r>
      <w:r w:rsidRPr="00F130DE">
        <w:t>by</w:t>
      </w:r>
      <w:r w:rsidR="00C64050">
        <w:t xml:space="preserve"> </w:t>
      </w:r>
      <w:r w:rsidRPr="00F130DE">
        <w:t>the</w:t>
      </w:r>
      <w:r w:rsidR="00C64050">
        <w:t xml:space="preserve"> </w:t>
      </w:r>
      <w:r w:rsidRPr="00F130DE">
        <w:t>grantor</w:t>
      </w:r>
      <w:r w:rsidR="00C64050">
        <w:t xml:space="preserve"> </w:t>
      </w:r>
      <w:r w:rsidRPr="00F130DE">
        <w:t>is</w:t>
      </w:r>
      <w:r w:rsidR="00C64050">
        <w:t xml:space="preserve"> </w:t>
      </w:r>
      <w:r w:rsidRPr="00F130DE">
        <w:t>nominal</w:t>
      </w:r>
      <w:r w:rsidR="00C64050">
        <w:t xml:space="preserve"> </w:t>
      </w:r>
      <w:r w:rsidRPr="00F130DE">
        <w:t>compared</w:t>
      </w:r>
      <w:r w:rsidR="00C64050">
        <w:t xml:space="preserve"> </w:t>
      </w:r>
      <w:r w:rsidRPr="00F130DE">
        <w:t>to</w:t>
      </w:r>
      <w:r w:rsidR="00C64050">
        <w:t xml:space="preserve"> </w:t>
      </w:r>
      <w:r w:rsidRPr="00F130DE">
        <w:t>the</w:t>
      </w:r>
      <w:r w:rsidR="00C64050">
        <w:t xml:space="preserve"> </w:t>
      </w:r>
      <w:r w:rsidRPr="00F130DE">
        <w:t>value</w:t>
      </w:r>
      <w:r w:rsidR="00C64050">
        <w:t xml:space="preserve"> </w:t>
      </w:r>
      <w:r w:rsidRPr="00F130DE">
        <w:t>of</w:t>
      </w:r>
      <w:r w:rsidR="00C64050">
        <w:t xml:space="preserve"> </w:t>
      </w:r>
      <w:r w:rsidRPr="00F130DE">
        <w:t>the</w:t>
      </w:r>
      <w:r w:rsidR="00C64050">
        <w:t xml:space="preserve"> </w:t>
      </w:r>
      <w:r w:rsidRPr="00F130DE">
        <w:t>property</w:t>
      </w:r>
      <w:r w:rsidR="00C64050">
        <w:t xml:space="preserve"> </w:t>
      </w:r>
      <w:r w:rsidRPr="00F130DE">
        <w:t>purchased.</w:t>
      </w:r>
    </w:p>
    <w:p w:rsidR="00773146" w:rsidRPr="00F130DE" w:rsidRDefault="00773146" w:rsidP="00244CEA">
      <w:pPr>
        <w:pStyle w:val="QS10"/>
      </w:pPr>
      <w:r w:rsidRPr="00F130DE">
        <w:t>(52)</w:t>
      </w:r>
      <w:r w:rsidR="00C64050">
        <w:t xml:space="preserve"> </w:t>
      </w:r>
      <w:r w:rsidRPr="00F130DE">
        <w:t>Section</w:t>
      </w:r>
      <w:r w:rsidR="00C64050">
        <w:t xml:space="preserve"> </w:t>
      </w:r>
      <w:r w:rsidRPr="00F130DE">
        <w:t>2501.—Imposition</w:t>
      </w:r>
      <w:r w:rsidR="00C64050">
        <w:t xml:space="preserve"> </w:t>
      </w:r>
      <w:r w:rsidRPr="00F130DE">
        <w:t>of</w:t>
      </w:r>
      <w:r w:rsidR="00C64050">
        <w:t xml:space="preserve"> </w:t>
      </w:r>
      <w:r w:rsidRPr="00F130DE">
        <w:t>Tax.—Whether</w:t>
      </w:r>
      <w:r w:rsidR="00C64050">
        <w:t xml:space="preserve"> </w:t>
      </w:r>
      <w:r w:rsidRPr="00F130DE">
        <w:t>the</w:t>
      </w:r>
      <w:r w:rsidR="00C64050">
        <w:t xml:space="preserve"> </w:t>
      </w:r>
      <w:r w:rsidRPr="00F130DE">
        <w:t>sale</w:t>
      </w:r>
      <w:r w:rsidR="00C64050">
        <w:t xml:space="preserve"> </w:t>
      </w:r>
      <w:r w:rsidRPr="00F130DE">
        <w:t>of</w:t>
      </w:r>
      <w:r w:rsidR="00C64050">
        <w:t xml:space="preserve"> </w:t>
      </w:r>
      <w:r w:rsidRPr="00F130DE">
        <w:t>property</w:t>
      </w:r>
      <w:r w:rsidR="00C64050">
        <w:t xml:space="preserve"> </w:t>
      </w:r>
      <w:r w:rsidRPr="00F130DE">
        <w:t>(including</w:t>
      </w:r>
      <w:r w:rsidR="00C64050">
        <w:t xml:space="preserve"> </w:t>
      </w:r>
      <w:r w:rsidRPr="00F130DE">
        <w:t>insurance</w:t>
      </w:r>
      <w:r w:rsidR="00C64050">
        <w:t xml:space="preserve"> </w:t>
      </w:r>
      <w:r w:rsidRPr="00F130DE">
        <w:t>policies)</w:t>
      </w:r>
      <w:r w:rsidR="00C64050">
        <w:t xml:space="preserve"> </w:t>
      </w:r>
      <w:r w:rsidRPr="00F130DE">
        <w:t>to</w:t>
      </w:r>
      <w:r w:rsidR="00C64050">
        <w:t xml:space="preserve"> </w:t>
      </w:r>
      <w:r w:rsidRPr="00F130DE">
        <w:t>a</w:t>
      </w:r>
      <w:r w:rsidR="00C64050">
        <w:t xml:space="preserve"> </w:t>
      </w:r>
      <w:r w:rsidRPr="00F130DE">
        <w:t>trust</w:t>
      </w:r>
      <w:r w:rsidR="00C64050">
        <w:t xml:space="preserve"> </w:t>
      </w:r>
      <w:r w:rsidRPr="00F130DE">
        <w:t>by</w:t>
      </w:r>
      <w:r w:rsidR="00C64050">
        <w:t xml:space="preserve"> </w:t>
      </w:r>
      <w:r w:rsidRPr="00F130DE">
        <w:t>a</w:t>
      </w:r>
      <w:r w:rsidR="00C64050">
        <w:t xml:space="preserve"> </w:t>
      </w:r>
      <w:r w:rsidRPr="00F130DE">
        <w:t>trust</w:t>
      </w:r>
      <w:r w:rsidR="00C64050">
        <w:t xml:space="preserve"> </w:t>
      </w:r>
      <w:r w:rsidRPr="00F130DE">
        <w:t>beneficiary</w:t>
      </w:r>
      <w:r w:rsidR="00C64050">
        <w:t xml:space="preserve"> </w:t>
      </w:r>
      <w:r w:rsidRPr="00F130DE">
        <w:t>will</w:t>
      </w:r>
      <w:r w:rsidR="00C64050">
        <w:t xml:space="preserve"> </w:t>
      </w:r>
      <w:r w:rsidRPr="00F130DE">
        <w:t>be</w:t>
      </w:r>
      <w:r w:rsidR="00C64050">
        <w:t xml:space="preserve"> </w:t>
      </w:r>
      <w:r w:rsidRPr="00F130DE">
        <w:t>treated</w:t>
      </w:r>
      <w:r w:rsidR="00C64050">
        <w:t xml:space="preserve"> </w:t>
      </w:r>
      <w:r w:rsidRPr="00F130DE">
        <w:t>as</w:t>
      </w:r>
      <w:r w:rsidR="00C64050">
        <w:t xml:space="preserve"> </w:t>
      </w:r>
      <w:r w:rsidRPr="00F130DE">
        <w:t>a</w:t>
      </w:r>
      <w:r w:rsidR="00C64050">
        <w:t xml:space="preserve"> </w:t>
      </w:r>
      <w:r w:rsidRPr="00F130DE">
        <w:t>gift</w:t>
      </w:r>
      <w:r w:rsidR="00C64050">
        <w:t xml:space="preserve"> </w:t>
      </w:r>
      <w:r w:rsidRPr="00F130DE">
        <w:t>for</w:t>
      </w:r>
      <w:r w:rsidR="00C64050">
        <w:t xml:space="preserve"> </w:t>
      </w:r>
      <w:r w:rsidRPr="00F130DE">
        <w:t>purposes</w:t>
      </w:r>
      <w:r w:rsidR="00C64050">
        <w:t xml:space="preserve"> </w:t>
      </w:r>
      <w:r w:rsidRPr="00F130DE">
        <w:t>of</w:t>
      </w:r>
      <w:r w:rsidR="00C64050">
        <w:t xml:space="preserve"> </w:t>
      </w:r>
      <w:r w:rsidRPr="00F130DE">
        <w:t>§</w:t>
      </w:r>
      <w:r w:rsidR="00C64050">
        <w:t xml:space="preserve"> </w:t>
      </w:r>
      <w:r w:rsidRPr="00F130DE">
        <w:t>2501</w:t>
      </w:r>
      <w:r w:rsidR="00C64050">
        <w:t xml:space="preserve"> </w:t>
      </w:r>
      <w:r w:rsidRPr="00F130DE">
        <w:t>if</w:t>
      </w:r>
      <w:r w:rsidR="00C64050">
        <w:t xml:space="preserve"> </w:t>
      </w:r>
      <w:r w:rsidRPr="00F130DE">
        <w:t>(i)</w:t>
      </w:r>
      <w:r w:rsidR="00C64050">
        <w:t xml:space="preserve"> </w:t>
      </w:r>
      <w:r w:rsidRPr="00F130DE">
        <w:t>the</w:t>
      </w:r>
      <w:r w:rsidR="00C64050">
        <w:t xml:space="preserve"> </w:t>
      </w:r>
      <w:r w:rsidRPr="00F130DE">
        <w:t>beneficiary</w:t>
      </w:r>
      <w:r w:rsidR="00C64050">
        <w:t xml:space="preserve"> </w:t>
      </w:r>
      <w:r w:rsidRPr="00F130DE">
        <w:t>has</w:t>
      </w:r>
      <w:r w:rsidR="00C64050">
        <w:t xml:space="preserve"> </w:t>
      </w:r>
      <w:r w:rsidRPr="00F130DE">
        <w:t>a</w:t>
      </w:r>
      <w:r w:rsidR="00C64050">
        <w:t xml:space="preserve"> </w:t>
      </w:r>
      <w:r w:rsidRPr="00F130DE">
        <w:t>power</w:t>
      </w:r>
      <w:r w:rsidR="00C64050">
        <w:t xml:space="preserve"> </w:t>
      </w:r>
      <w:r w:rsidRPr="00F130DE">
        <w:t>to</w:t>
      </w:r>
      <w:r w:rsidR="00C64050">
        <w:t xml:space="preserve"> </w:t>
      </w:r>
      <w:r w:rsidRPr="00F130DE">
        <w:t>withdraw</w:t>
      </w:r>
      <w:r w:rsidR="00C64050">
        <w:t xml:space="preserve"> </w:t>
      </w:r>
      <w:r w:rsidRPr="00F130DE">
        <w:t>the</w:t>
      </w:r>
      <w:r w:rsidR="00C64050">
        <w:t xml:space="preserve"> </w:t>
      </w:r>
      <w:r w:rsidRPr="00F130DE">
        <w:t>trust</w:t>
      </w:r>
      <w:r w:rsidR="00C64050">
        <w:t xml:space="preserve"> </w:t>
      </w:r>
      <w:r w:rsidRPr="00F130DE">
        <w:t>property</w:t>
      </w:r>
      <w:r w:rsidR="00C64050">
        <w:t xml:space="preserve"> </w:t>
      </w:r>
      <w:r w:rsidRPr="00F130DE">
        <w:t>(or</w:t>
      </w:r>
      <w:r w:rsidR="00C64050">
        <w:t xml:space="preserve"> </w:t>
      </w:r>
      <w:r w:rsidRPr="00F130DE">
        <w:t>had</w:t>
      </w:r>
      <w:r w:rsidR="00C64050">
        <w:t xml:space="preserve"> </w:t>
      </w:r>
      <w:r w:rsidRPr="00F130DE">
        <w:t>such</w:t>
      </w:r>
      <w:r w:rsidR="00C64050">
        <w:t xml:space="preserve"> </w:t>
      </w:r>
      <w:r w:rsidRPr="00F130DE">
        <w:t>power</w:t>
      </w:r>
      <w:r w:rsidR="00C64050">
        <w:t xml:space="preserve"> </w:t>
      </w:r>
      <w:r w:rsidRPr="00F130DE">
        <w:t>prior</w:t>
      </w:r>
      <w:r w:rsidR="00C64050">
        <w:t xml:space="preserve"> </w:t>
      </w:r>
      <w:r w:rsidRPr="00F130DE">
        <w:t>to</w:t>
      </w:r>
      <w:r w:rsidR="00C64050">
        <w:t xml:space="preserve"> </w:t>
      </w:r>
      <w:r w:rsidRPr="00F130DE">
        <w:t>a</w:t>
      </w:r>
      <w:r w:rsidR="00C64050">
        <w:t xml:space="preserve"> </w:t>
      </w:r>
      <w:r w:rsidRPr="00F130DE">
        <w:t>release</w:t>
      </w:r>
      <w:r w:rsidR="00C64050">
        <w:t xml:space="preserve"> </w:t>
      </w:r>
      <w:r w:rsidRPr="00F130DE">
        <w:t>or</w:t>
      </w:r>
      <w:r w:rsidR="00C64050">
        <w:t xml:space="preserve"> </w:t>
      </w:r>
      <w:r w:rsidRPr="00F130DE">
        <w:t>modification,</w:t>
      </w:r>
      <w:r w:rsidR="00C64050">
        <w:t xml:space="preserve"> </w:t>
      </w:r>
      <w:r w:rsidRPr="00F130DE">
        <w:t>but</w:t>
      </w:r>
      <w:r w:rsidR="00C64050">
        <w:t xml:space="preserve"> </w:t>
      </w:r>
      <w:r w:rsidRPr="00F130DE">
        <w:t>retains</w:t>
      </w:r>
      <w:r w:rsidR="00C64050">
        <w:t xml:space="preserve"> </w:t>
      </w:r>
      <w:r w:rsidRPr="00F130DE">
        <w:t>other</w:t>
      </w:r>
      <w:r w:rsidR="00C64050">
        <w:t xml:space="preserve"> </w:t>
      </w:r>
      <w:r w:rsidRPr="00F130DE">
        <w:t>powers</w:t>
      </w:r>
      <w:r w:rsidR="00C64050">
        <w:t xml:space="preserve"> </w:t>
      </w:r>
      <w:r w:rsidRPr="00F130DE">
        <w:t>which</w:t>
      </w:r>
      <w:r w:rsidR="00C64050">
        <w:t xml:space="preserve"> </w:t>
      </w:r>
      <w:r w:rsidRPr="00F130DE">
        <w:t>would</w:t>
      </w:r>
      <w:r w:rsidR="00C64050">
        <w:t xml:space="preserve"> </w:t>
      </w:r>
      <w:r w:rsidRPr="00F130DE">
        <w:t>cause</w:t>
      </w:r>
      <w:r w:rsidR="00C64050">
        <w:t xml:space="preserve"> </w:t>
      </w:r>
      <w:r w:rsidRPr="00F130DE">
        <w:t>that</w:t>
      </w:r>
      <w:r w:rsidR="00C64050">
        <w:t xml:space="preserve"> </w:t>
      </w:r>
      <w:r w:rsidRPr="00F130DE">
        <w:t>person</w:t>
      </w:r>
      <w:r w:rsidR="00C64050">
        <w:t xml:space="preserve"> </w:t>
      </w:r>
      <w:r w:rsidRPr="00F130DE">
        <w:t>to</w:t>
      </w:r>
      <w:r w:rsidR="00C64050">
        <w:t xml:space="preserve"> </w:t>
      </w:r>
      <w:r w:rsidRPr="00F130DE">
        <w:t>be</w:t>
      </w:r>
      <w:r w:rsidR="00C64050">
        <w:t xml:space="preserve"> </w:t>
      </w:r>
      <w:r w:rsidRPr="00F130DE">
        <w:t>the</w:t>
      </w:r>
      <w:r w:rsidR="00C64050">
        <w:t xml:space="preserve"> </w:t>
      </w:r>
      <w:r w:rsidRPr="00F130DE">
        <w:t>owner</w:t>
      </w:r>
      <w:r w:rsidR="00C64050">
        <w:t xml:space="preserve"> </w:t>
      </w:r>
      <w:r w:rsidRPr="00F130DE">
        <w:t>if</w:t>
      </w:r>
      <w:r w:rsidR="00C64050">
        <w:t xml:space="preserve"> </w:t>
      </w:r>
      <w:r w:rsidRPr="00F130DE">
        <w:t>the</w:t>
      </w:r>
      <w:r w:rsidR="00C64050">
        <w:t xml:space="preserve"> </w:t>
      </w:r>
      <w:r w:rsidRPr="00F130DE">
        <w:t>person</w:t>
      </w:r>
      <w:r w:rsidR="00C64050">
        <w:t xml:space="preserve"> </w:t>
      </w:r>
      <w:r w:rsidRPr="00F130DE">
        <w:t>were</w:t>
      </w:r>
      <w:r w:rsidR="00C64050">
        <w:t xml:space="preserve"> </w:t>
      </w:r>
      <w:r w:rsidRPr="00F130DE">
        <w:t>the</w:t>
      </w:r>
      <w:r w:rsidR="00C64050">
        <w:t xml:space="preserve"> </w:t>
      </w:r>
      <w:r w:rsidRPr="00F130DE">
        <w:t>grantor),</w:t>
      </w:r>
      <w:r w:rsidR="00C64050">
        <w:t xml:space="preserve"> </w:t>
      </w:r>
      <w:r w:rsidRPr="00F130DE">
        <w:t>other</w:t>
      </w:r>
      <w:r w:rsidR="00C64050">
        <w:t xml:space="preserve"> </w:t>
      </w:r>
      <w:r w:rsidRPr="00F130DE">
        <w:t>than</w:t>
      </w:r>
      <w:r w:rsidR="00C64050">
        <w:t xml:space="preserve"> </w:t>
      </w:r>
      <w:r w:rsidRPr="00F130DE">
        <w:t>a</w:t>
      </w:r>
      <w:r w:rsidR="00C64050">
        <w:t xml:space="preserve"> </w:t>
      </w:r>
      <w:r w:rsidRPr="00F130DE">
        <w:t>power</w:t>
      </w:r>
      <w:r w:rsidR="00C64050">
        <w:t xml:space="preserve"> </w:t>
      </w:r>
      <w:r w:rsidRPr="00F130DE">
        <w:t>which</w:t>
      </w:r>
      <w:r w:rsidR="00C64050">
        <w:t xml:space="preserve"> </w:t>
      </w:r>
      <w:r w:rsidRPr="00F130DE">
        <w:t>would</w:t>
      </w:r>
      <w:r w:rsidR="00C64050">
        <w:t xml:space="preserve"> </w:t>
      </w:r>
      <w:r w:rsidRPr="00F130DE">
        <w:t>constitute</w:t>
      </w:r>
      <w:r w:rsidR="00C64050">
        <w:t xml:space="preserve"> </w:t>
      </w:r>
      <w:r w:rsidRPr="00F130DE">
        <w:t>a</w:t>
      </w:r>
      <w:r w:rsidR="00C64050">
        <w:t xml:space="preserve"> </w:t>
      </w:r>
      <w:r w:rsidRPr="00F130DE">
        <w:t>general</w:t>
      </w:r>
      <w:r w:rsidR="00C64050">
        <w:t xml:space="preserve"> </w:t>
      </w:r>
      <w:r w:rsidRPr="00F130DE">
        <w:t>power</w:t>
      </w:r>
      <w:r w:rsidR="00C64050">
        <w:t xml:space="preserve"> </w:t>
      </w:r>
      <w:r w:rsidRPr="00F130DE">
        <w:t>of</w:t>
      </w:r>
      <w:r w:rsidR="00C64050">
        <w:t xml:space="preserve"> </w:t>
      </w:r>
      <w:r w:rsidRPr="00F130DE">
        <w:t>appointment</w:t>
      </w:r>
      <w:r w:rsidR="00C64050">
        <w:t xml:space="preserve"> </w:t>
      </w:r>
      <w:r w:rsidRPr="00F130DE">
        <w:t>within</w:t>
      </w:r>
      <w:r w:rsidR="00C64050">
        <w:t xml:space="preserve"> </w:t>
      </w:r>
      <w:r w:rsidRPr="00F130DE">
        <w:t>the</w:t>
      </w:r>
      <w:r w:rsidR="00C64050">
        <w:t xml:space="preserve"> </w:t>
      </w:r>
      <w:r w:rsidRPr="00F130DE">
        <w:t>meaning</w:t>
      </w:r>
      <w:r w:rsidR="00C64050">
        <w:t xml:space="preserve"> </w:t>
      </w:r>
      <w:r w:rsidRPr="00F130DE">
        <w:t>of</w:t>
      </w:r>
      <w:r w:rsidR="00C64050">
        <w:t xml:space="preserve"> </w:t>
      </w:r>
      <w:r w:rsidRPr="00F130DE">
        <w:t>§</w:t>
      </w:r>
      <w:r w:rsidR="00C64050">
        <w:t xml:space="preserve"> </w:t>
      </w:r>
      <w:r w:rsidRPr="00F130DE">
        <w:t>2041,</w:t>
      </w:r>
      <w:r w:rsidR="00C64050">
        <w:t xml:space="preserve"> </w:t>
      </w:r>
      <w:r w:rsidRPr="00F130DE">
        <w:t>(ii)</w:t>
      </w:r>
      <w:r w:rsidR="00C64050">
        <w:t xml:space="preserve"> </w:t>
      </w:r>
      <w:r w:rsidRPr="00F130DE">
        <w:t>the</w:t>
      </w:r>
      <w:r w:rsidR="00C64050">
        <w:t xml:space="preserve"> </w:t>
      </w:r>
      <w:r w:rsidRPr="00F130DE">
        <w:t>trust</w:t>
      </w:r>
      <w:r w:rsidR="00C64050">
        <w:t xml:space="preserve"> </w:t>
      </w:r>
      <w:r w:rsidRPr="00F130DE">
        <w:t>purchases</w:t>
      </w:r>
      <w:r w:rsidR="00C64050">
        <w:t xml:space="preserve"> </w:t>
      </w:r>
      <w:r w:rsidRPr="00F130DE">
        <w:t>the</w:t>
      </w:r>
      <w:r w:rsidR="00C64050">
        <w:t xml:space="preserve"> </w:t>
      </w:r>
      <w:r w:rsidRPr="00F130DE">
        <w:t>property</w:t>
      </w:r>
      <w:r w:rsidR="00C64050">
        <w:t xml:space="preserve"> </w:t>
      </w:r>
      <w:r w:rsidRPr="00F130DE">
        <w:t>with</w:t>
      </w:r>
      <w:r w:rsidR="00C64050">
        <w:t xml:space="preserve"> </w:t>
      </w:r>
      <w:r w:rsidRPr="00F130DE">
        <w:t>a</w:t>
      </w:r>
      <w:r w:rsidR="00C64050">
        <w:t xml:space="preserve"> </w:t>
      </w:r>
      <w:r w:rsidRPr="00F130DE">
        <w:t>note,</w:t>
      </w:r>
      <w:r w:rsidR="00C64050">
        <w:t xml:space="preserve"> </w:t>
      </w:r>
      <w:r w:rsidRPr="00F130DE">
        <w:t>and</w:t>
      </w:r>
      <w:r w:rsidR="00C64050">
        <w:t xml:space="preserve"> </w:t>
      </w:r>
      <w:r w:rsidRPr="00F130DE">
        <w:t>(iii)</w:t>
      </w:r>
      <w:r w:rsidR="00C64050">
        <w:t xml:space="preserve"> </w:t>
      </w:r>
      <w:r w:rsidRPr="00F130DE">
        <w:t>the</w:t>
      </w:r>
      <w:r w:rsidR="00C64050">
        <w:t xml:space="preserve"> </w:t>
      </w:r>
      <w:r w:rsidRPr="00F130DE">
        <w:t>value</w:t>
      </w:r>
      <w:r w:rsidR="00C64050">
        <w:t xml:space="preserve"> </w:t>
      </w:r>
      <w:r w:rsidRPr="00F130DE">
        <w:t>of</w:t>
      </w:r>
      <w:r w:rsidR="00C64050">
        <w:t xml:space="preserve"> </w:t>
      </w:r>
      <w:r w:rsidRPr="00F130DE">
        <w:t>the</w:t>
      </w:r>
      <w:r w:rsidR="00C64050">
        <w:t xml:space="preserve"> </w:t>
      </w:r>
      <w:r w:rsidRPr="00F130DE">
        <w:t>assets</w:t>
      </w:r>
      <w:r w:rsidR="00C64050">
        <w:t xml:space="preserve"> </w:t>
      </w:r>
      <w:r w:rsidRPr="00F130DE">
        <w:t>with</w:t>
      </w:r>
      <w:r w:rsidR="00C64050">
        <w:t xml:space="preserve"> </w:t>
      </w:r>
      <w:r w:rsidRPr="00F130DE">
        <w:t>which</w:t>
      </w:r>
      <w:r w:rsidR="00C64050">
        <w:t xml:space="preserve"> </w:t>
      </w:r>
      <w:r w:rsidRPr="00F130DE">
        <w:t>the</w:t>
      </w:r>
      <w:r w:rsidR="00C64050">
        <w:t xml:space="preserve"> </w:t>
      </w:r>
      <w:r w:rsidRPr="00F130DE">
        <w:t>trust</w:t>
      </w:r>
      <w:r w:rsidR="00C64050">
        <w:t xml:space="preserve"> </w:t>
      </w:r>
      <w:r w:rsidRPr="00F130DE">
        <w:t>was</w:t>
      </w:r>
      <w:r w:rsidR="00C64050">
        <w:t xml:space="preserve"> </w:t>
      </w:r>
      <w:r w:rsidRPr="00F130DE">
        <w:t>funded</w:t>
      </w:r>
      <w:r w:rsidR="00C64050">
        <w:t xml:space="preserve"> </w:t>
      </w:r>
      <w:r w:rsidRPr="00F130DE">
        <w:t>by</w:t>
      </w:r>
      <w:r w:rsidR="00C64050">
        <w:t xml:space="preserve"> </w:t>
      </w:r>
      <w:r w:rsidRPr="00F130DE">
        <w:t>the</w:t>
      </w:r>
      <w:r w:rsidR="00C64050">
        <w:t xml:space="preserve"> </w:t>
      </w:r>
      <w:r w:rsidRPr="00F130DE">
        <w:t>grantor</w:t>
      </w:r>
      <w:r w:rsidR="00C64050">
        <w:t xml:space="preserve"> </w:t>
      </w:r>
      <w:r w:rsidRPr="00F130DE">
        <w:t>is</w:t>
      </w:r>
      <w:r w:rsidR="00C64050">
        <w:t xml:space="preserve"> </w:t>
      </w:r>
      <w:r w:rsidRPr="00F130DE">
        <w:t>nominal</w:t>
      </w:r>
      <w:r w:rsidR="00C64050">
        <w:t xml:space="preserve"> </w:t>
      </w:r>
      <w:r w:rsidRPr="00F130DE">
        <w:t>compared</w:t>
      </w:r>
      <w:r w:rsidR="00C64050">
        <w:t xml:space="preserve"> </w:t>
      </w:r>
      <w:r w:rsidRPr="00F130DE">
        <w:t>to</w:t>
      </w:r>
      <w:r w:rsidR="00C64050">
        <w:t xml:space="preserve"> </w:t>
      </w:r>
      <w:r w:rsidRPr="00F130DE">
        <w:t>the</w:t>
      </w:r>
      <w:r w:rsidR="00C64050">
        <w:t xml:space="preserve"> </w:t>
      </w:r>
      <w:r w:rsidRPr="00F130DE">
        <w:t>value</w:t>
      </w:r>
      <w:r w:rsidR="00C64050">
        <w:t xml:space="preserve"> </w:t>
      </w:r>
      <w:r w:rsidRPr="00F130DE">
        <w:t>of</w:t>
      </w:r>
      <w:r w:rsidR="00C64050">
        <w:t xml:space="preserve"> </w:t>
      </w:r>
      <w:r w:rsidRPr="00F130DE">
        <w:t>the</w:t>
      </w:r>
      <w:r w:rsidR="00C64050">
        <w:t xml:space="preserve"> </w:t>
      </w:r>
      <w:r w:rsidRPr="00F130DE">
        <w:t>property</w:t>
      </w:r>
      <w:r w:rsidR="00C64050">
        <w:t xml:space="preserve"> </w:t>
      </w:r>
      <w:r w:rsidRPr="00F130DE">
        <w:t>purchased.</w:t>
      </w:r>
    </w:p>
    <w:p w:rsidR="00773146" w:rsidRPr="00F130DE" w:rsidRDefault="00773146" w:rsidP="00244CEA">
      <w:pPr>
        <w:pStyle w:val="QS10"/>
      </w:pPr>
      <w:r w:rsidRPr="00F130DE">
        <w:t>(53)</w:t>
      </w:r>
      <w:r w:rsidR="00C64050">
        <w:t xml:space="preserve"> </w:t>
      </w:r>
      <w:r w:rsidRPr="00F130DE">
        <w:t>Section</w:t>
      </w:r>
      <w:r w:rsidR="00C64050">
        <w:t xml:space="preserve"> </w:t>
      </w:r>
      <w:r w:rsidRPr="00F130DE">
        <w:t>2503.—Taxable</w:t>
      </w:r>
      <w:r w:rsidR="00C64050">
        <w:t xml:space="preserve"> </w:t>
      </w:r>
      <w:r w:rsidRPr="00F130DE">
        <w:t>Gifts.—</w:t>
      </w:r>
      <w:r w:rsidR="00C64050">
        <w:t xml:space="preserve"> </w:t>
      </w:r>
      <w:r w:rsidRPr="00F130DE">
        <w:t>Whether</w:t>
      </w:r>
      <w:r w:rsidR="00C64050">
        <w:t xml:space="preserve"> </w:t>
      </w:r>
      <w:r w:rsidRPr="00F130DE">
        <w:t>the</w:t>
      </w:r>
      <w:r w:rsidR="00C64050">
        <w:t xml:space="preserve"> </w:t>
      </w:r>
      <w:r w:rsidRPr="00F130DE">
        <w:t>transfer</w:t>
      </w:r>
      <w:r w:rsidR="00C64050">
        <w:t xml:space="preserve"> </w:t>
      </w:r>
      <w:r w:rsidRPr="00F130DE">
        <w:t>of</w:t>
      </w:r>
      <w:r w:rsidR="00C64050">
        <w:t xml:space="preserve"> </w:t>
      </w:r>
      <w:r w:rsidRPr="00F130DE">
        <w:t>property</w:t>
      </w:r>
      <w:r w:rsidR="00C64050">
        <w:t xml:space="preserve"> </w:t>
      </w:r>
      <w:r w:rsidRPr="00F130DE">
        <w:t>to</w:t>
      </w:r>
      <w:r w:rsidR="00C64050">
        <w:t xml:space="preserve"> </w:t>
      </w:r>
      <w:r w:rsidRPr="00F130DE">
        <w:t>a</w:t>
      </w:r>
      <w:r w:rsidR="00C64050">
        <w:t xml:space="preserve"> </w:t>
      </w:r>
      <w:r w:rsidRPr="00F130DE">
        <w:t>trust</w:t>
      </w:r>
      <w:r w:rsidR="00C64050">
        <w:t xml:space="preserve"> </w:t>
      </w:r>
      <w:r w:rsidRPr="00F130DE">
        <w:t>will</w:t>
      </w:r>
      <w:r w:rsidR="00C64050">
        <w:t xml:space="preserve"> </w:t>
      </w:r>
      <w:r w:rsidRPr="00F130DE">
        <w:t>be</w:t>
      </w:r>
      <w:r w:rsidR="00C64050">
        <w:t xml:space="preserve"> </w:t>
      </w:r>
      <w:r w:rsidRPr="00F130DE">
        <w:t>a</w:t>
      </w:r>
      <w:r w:rsidR="00C64050">
        <w:t xml:space="preserve"> </w:t>
      </w:r>
      <w:r w:rsidRPr="00F130DE">
        <w:t>gift</w:t>
      </w:r>
      <w:r w:rsidR="00C64050">
        <w:t xml:space="preserve"> </w:t>
      </w:r>
      <w:r w:rsidRPr="00F130DE">
        <w:t>of</w:t>
      </w:r>
      <w:r w:rsidR="00C64050">
        <w:t xml:space="preserve"> </w:t>
      </w:r>
      <w:r w:rsidRPr="00F130DE">
        <w:t>a</w:t>
      </w:r>
      <w:r w:rsidR="00C64050">
        <w:t xml:space="preserve"> </w:t>
      </w:r>
      <w:r w:rsidRPr="00F130DE">
        <w:t>present</w:t>
      </w:r>
      <w:r w:rsidR="00C64050">
        <w:t xml:space="preserve"> </w:t>
      </w:r>
      <w:r w:rsidRPr="00F130DE">
        <w:t>interest</w:t>
      </w:r>
      <w:r w:rsidR="00C64050">
        <w:t xml:space="preserve"> </w:t>
      </w:r>
      <w:r w:rsidRPr="00F130DE">
        <w:t>in</w:t>
      </w:r>
      <w:r w:rsidR="00C64050">
        <w:t xml:space="preserve"> </w:t>
      </w:r>
      <w:r w:rsidRPr="00F130DE">
        <w:t>property</w:t>
      </w:r>
      <w:r w:rsidR="00C64050">
        <w:t xml:space="preserve"> </w:t>
      </w:r>
      <w:r w:rsidRPr="00F130DE">
        <w:t>when</w:t>
      </w:r>
      <w:r w:rsidR="00C64050">
        <w:t xml:space="preserve"> </w:t>
      </w:r>
      <w:r w:rsidRPr="00F130DE">
        <w:t>(i)</w:t>
      </w:r>
      <w:r w:rsidR="00C64050">
        <w:t xml:space="preserve"> </w:t>
      </w:r>
      <w:r w:rsidRPr="00F130DE">
        <w:t>the</w:t>
      </w:r>
      <w:r w:rsidR="00C64050">
        <w:t xml:space="preserve"> </w:t>
      </w:r>
      <w:r w:rsidRPr="00F130DE">
        <w:t>trust</w:t>
      </w:r>
      <w:r w:rsidR="00C64050">
        <w:t xml:space="preserve"> </w:t>
      </w:r>
      <w:r w:rsidRPr="00F130DE">
        <w:t>corpus</w:t>
      </w:r>
      <w:r w:rsidR="00C64050">
        <w:t xml:space="preserve"> </w:t>
      </w:r>
      <w:r w:rsidRPr="00F130DE">
        <w:t>consists</w:t>
      </w:r>
      <w:r w:rsidR="00C64050">
        <w:t xml:space="preserve"> </w:t>
      </w:r>
      <w:r w:rsidRPr="00F130DE">
        <w:t>or</w:t>
      </w:r>
      <w:r w:rsidR="00C64050">
        <w:t xml:space="preserve"> </w:t>
      </w:r>
      <w:r w:rsidRPr="00F130DE">
        <w:t>will</w:t>
      </w:r>
      <w:r w:rsidR="00C64050">
        <w:t xml:space="preserve"> </w:t>
      </w:r>
      <w:r w:rsidRPr="00F130DE">
        <w:t>consist</w:t>
      </w:r>
      <w:r w:rsidR="00C64050">
        <w:t xml:space="preserve"> </w:t>
      </w:r>
      <w:r w:rsidRPr="00F130DE">
        <w:t>substantially</w:t>
      </w:r>
      <w:r w:rsidR="00C64050">
        <w:t xml:space="preserve"> </w:t>
      </w:r>
      <w:r w:rsidRPr="00F130DE">
        <w:t>of</w:t>
      </w:r>
      <w:r w:rsidR="00C64050">
        <w:t xml:space="preserve"> </w:t>
      </w:r>
      <w:r w:rsidRPr="00F130DE">
        <w:t>insurance</w:t>
      </w:r>
      <w:r w:rsidR="00C64050">
        <w:t xml:space="preserve"> </w:t>
      </w:r>
      <w:r w:rsidRPr="00F130DE">
        <w:t>policies</w:t>
      </w:r>
      <w:r w:rsidR="00C64050">
        <w:t xml:space="preserve"> </w:t>
      </w:r>
      <w:r w:rsidRPr="00F130DE">
        <w:t>on</w:t>
      </w:r>
      <w:r w:rsidR="00C64050">
        <w:t xml:space="preserve"> </w:t>
      </w:r>
      <w:r w:rsidRPr="00F130DE">
        <w:t>the</w:t>
      </w:r>
      <w:r w:rsidR="00C64050">
        <w:t xml:space="preserve"> </w:t>
      </w:r>
      <w:r w:rsidRPr="00F130DE">
        <w:t>life</w:t>
      </w:r>
      <w:r w:rsidR="00C64050">
        <w:t xml:space="preserve"> </w:t>
      </w:r>
      <w:r w:rsidRPr="00F130DE">
        <w:t>of</w:t>
      </w:r>
      <w:r w:rsidR="00C64050">
        <w:t xml:space="preserve"> </w:t>
      </w:r>
      <w:r w:rsidRPr="00F130DE">
        <w:t>the</w:t>
      </w:r>
      <w:r w:rsidR="00C64050">
        <w:t xml:space="preserve"> </w:t>
      </w:r>
      <w:r w:rsidRPr="00F130DE">
        <w:t>grantor</w:t>
      </w:r>
      <w:r w:rsidR="00C64050">
        <w:t xml:space="preserve"> </w:t>
      </w:r>
      <w:r w:rsidRPr="00F130DE">
        <w:t>or</w:t>
      </w:r>
      <w:r w:rsidR="00C64050">
        <w:t xml:space="preserve"> </w:t>
      </w:r>
      <w:r w:rsidRPr="00F130DE">
        <w:t>the</w:t>
      </w:r>
      <w:r w:rsidR="00C64050">
        <w:t xml:space="preserve"> </w:t>
      </w:r>
      <w:r w:rsidRPr="00F130DE">
        <w:t>grantor's</w:t>
      </w:r>
      <w:r w:rsidR="00C64050">
        <w:t xml:space="preserve"> </w:t>
      </w:r>
      <w:r w:rsidRPr="00F130DE">
        <w:t>spouse,</w:t>
      </w:r>
      <w:r w:rsidR="00C64050">
        <w:t xml:space="preserve"> </w:t>
      </w:r>
      <w:r w:rsidRPr="00F130DE">
        <w:t>(ii)</w:t>
      </w:r>
      <w:r w:rsidR="00C64050">
        <w:t xml:space="preserve"> </w:t>
      </w:r>
      <w:r w:rsidRPr="00F130DE">
        <w:t>the</w:t>
      </w:r>
      <w:r w:rsidR="00C64050">
        <w:t xml:space="preserve"> </w:t>
      </w:r>
      <w:r w:rsidRPr="00F130DE">
        <w:t>trustee</w:t>
      </w:r>
      <w:r w:rsidR="00C64050">
        <w:t xml:space="preserve"> </w:t>
      </w:r>
      <w:r w:rsidRPr="00F130DE">
        <w:t>or</w:t>
      </w:r>
      <w:r w:rsidR="00C64050">
        <w:t xml:space="preserve"> </w:t>
      </w:r>
      <w:r w:rsidRPr="00F130DE">
        <w:t>any</w:t>
      </w:r>
      <w:r w:rsidR="00C64050">
        <w:t xml:space="preserve"> </w:t>
      </w:r>
      <w:r w:rsidRPr="00F130DE">
        <w:t>other</w:t>
      </w:r>
      <w:r w:rsidR="00C64050">
        <w:t xml:space="preserve"> </w:t>
      </w:r>
      <w:r w:rsidRPr="00F130DE">
        <w:t>person</w:t>
      </w:r>
      <w:r w:rsidR="00C64050">
        <w:t xml:space="preserve"> </w:t>
      </w:r>
      <w:r w:rsidRPr="00F130DE">
        <w:t>has</w:t>
      </w:r>
      <w:r w:rsidR="00C64050">
        <w:t xml:space="preserve"> </w:t>
      </w:r>
      <w:r w:rsidRPr="00F130DE">
        <w:t>a</w:t>
      </w:r>
      <w:r w:rsidR="00C64050">
        <w:t xml:space="preserve"> </w:t>
      </w:r>
      <w:r w:rsidRPr="00F130DE">
        <w:t>power</w:t>
      </w:r>
      <w:r w:rsidR="00C64050">
        <w:t xml:space="preserve"> </w:t>
      </w:r>
      <w:r w:rsidRPr="00F130DE">
        <w:t>to</w:t>
      </w:r>
      <w:r w:rsidR="00C64050">
        <w:t xml:space="preserve"> </w:t>
      </w:r>
      <w:r w:rsidRPr="00F130DE">
        <w:t>apply</w:t>
      </w:r>
      <w:r w:rsidR="00C64050">
        <w:t xml:space="preserve"> </w:t>
      </w:r>
      <w:r w:rsidRPr="00F130DE">
        <w:t>the</w:t>
      </w:r>
      <w:r w:rsidR="00C64050">
        <w:t xml:space="preserve"> </w:t>
      </w:r>
      <w:r w:rsidRPr="00F130DE">
        <w:t>trust's</w:t>
      </w:r>
      <w:r w:rsidR="00C64050">
        <w:t xml:space="preserve"> </w:t>
      </w:r>
      <w:r w:rsidRPr="00F130DE">
        <w:t>income</w:t>
      </w:r>
      <w:r w:rsidR="00C64050">
        <w:t xml:space="preserve"> </w:t>
      </w:r>
      <w:r w:rsidRPr="00F130DE">
        <w:t>or</w:t>
      </w:r>
      <w:r w:rsidR="00C64050">
        <w:t xml:space="preserve"> </w:t>
      </w:r>
      <w:r w:rsidRPr="00F130DE">
        <w:t>corpus</w:t>
      </w:r>
      <w:r w:rsidR="00C64050">
        <w:t xml:space="preserve"> </w:t>
      </w:r>
      <w:r w:rsidRPr="00F130DE">
        <w:t>to</w:t>
      </w:r>
      <w:r w:rsidR="00C64050">
        <w:t xml:space="preserve"> </w:t>
      </w:r>
      <w:r w:rsidRPr="00F130DE">
        <w:t>the</w:t>
      </w:r>
      <w:r w:rsidR="00C64050">
        <w:t xml:space="preserve"> </w:t>
      </w:r>
      <w:r w:rsidRPr="00F130DE">
        <w:t>payment</w:t>
      </w:r>
      <w:r w:rsidR="00C64050">
        <w:t xml:space="preserve"> </w:t>
      </w:r>
      <w:r w:rsidRPr="00F130DE">
        <w:t>of</w:t>
      </w:r>
      <w:r w:rsidR="00C64050">
        <w:t xml:space="preserve"> </w:t>
      </w:r>
      <w:r w:rsidRPr="00F130DE">
        <w:t>premiums</w:t>
      </w:r>
      <w:r w:rsidR="00C64050">
        <w:t xml:space="preserve"> </w:t>
      </w:r>
      <w:r w:rsidRPr="00F130DE">
        <w:t>on</w:t>
      </w:r>
      <w:r w:rsidR="00C64050">
        <w:t xml:space="preserve"> </w:t>
      </w:r>
      <w:r w:rsidRPr="00F130DE">
        <w:t>policies</w:t>
      </w:r>
      <w:r w:rsidR="00C64050">
        <w:t xml:space="preserve"> </w:t>
      </w:r>
      <w:r w:rsidRPr="00F130DE">
        <w:t>of</w:t>
      </w:r>
      <w:r w:rsidR="00C64050">
        <w:t xml:space="preserve"> </w:t>
      </w:r>
      <w:r w:rsidRPr="00F130DE">
        <w:t>insurance</w:t>
      </w:r>
      <w:r w:rsidR="00C64050">
        <w:t xml:space="preserve"> </w:t>
      </w:r>
      <w:r w:rsidRPr="00F130DE">
        <w:t>on</w:t>
      </w:r>
      <w:r w:rsidR="00C64050">
        <w:t xml:space="preserve"> </w:t>
      </w:r>
      <w:r w:rsidRPr="00F130DE">
        <w:t>the</w:t>
      </w:r>
      <w:r w:rsidR="00C64050">
        <w:t xml:space="preserve"> </w:t>
      </w:r>
      <w:r w:rsidRPr="00F130DE">
        <w:t>life</w:t>
      </w:r>
      <w:r w:rsidR="00C64050">
        <w:t xml:space="preserve"> </w:t>
      </w:r>
      <w:r w:rsidRPr="00F130DE">
        <w:t>of</w:t>
      </w:r>
      <w:r w:rsidR="00C64050">
        <w:t xml:space="preserve"> </w:t>
      </w:r>
      <w:r w:rsidRPr="00F130DE">
        <w:t>the</w:t>
      </w:r>
      <w:r w:rsidR="00C64050">
        <w:t xml:space="preserve"> </w:t>
      </w:r>
      <w:r w:rsidRPr="00F130DE">
        <w:t>grantor</w:t>
      </w:r>
      <w:r w:rsidR="00C64050">
        <w:t xml:space="preserve"> </w:t>
      </w:r>
      <w:r w:rsidRPr="00F130DE">
        <w:t>or</w:t>
      </w:r>
      <w:r w:rsidR="00C64050">
        <w:t xml:space="preserve"> </w:t>
      </w:r>
      <w:r w:rsidRPr="00F130DE">
        <w:t>the</w:t>
      </w:r>
      <w:r w:rsidR="00C64050">
        <w:t xml:space="preserve"> </w:t>
      </w:r>
      <w:r w:rsidRPr="00F130DE">
        <w:t>grantor's</w:t>
      </w:r>
      <w:r w:rsidR="00C64050">
        <w:t xml:space="preserve"> </w:t>
      </w:r>
      <w:r w:rsidRPr="00F130DE">
        <w:t>spouse,</w:t>
      </w:r>
      <w:r w:rsidR="00C64050">
        <w:t xml:space="preserve"> </w:t>
      </w:r>
      <w:r w:rsidRPr="00F130DE">
        <w:t>(iii)</w:t>
      </w:r>
      <w:r w:rsidR="00C64050">
        <w:t xml:space="preserve"> </w:t>
      </w:r>
      <w:r w:rsidRPr="00F130DE">
        <w:t>the</w:t>
      </w:r>
      <w:r w:rsidR="00C64050">
        <w:t xml:space="preserve"> </w:t>
      </w:r>
      <w:r w:rsidRPr="00F130DE">
        <w:t>trustee</w:t>
      </w:r>
      <w:r w:rsidR="00C64050">
        <w:t xml:space="preserve"> </w:t>
      </w:r>
      <w:r w:rsidRPr="00F130DE">
        <w:t>or</w:t>
      </w:r>
      <w:r w:rsidR="00C64050">
        <w:t xml:space="preserve"> </w:t>
      </w:r>
      <w:r w:rsidRPr="00F130DE">
        <w:t>any</w:t>
      </w:r>
      <w:r w:rsidR="00C64050">
        <w:t xml:space="preserve"> </w:t>
      </w:r>
      <w:r w:rsidRPr="00F130DE">
        <w:t>other</w:t>
      </w:r>
      <w:r w:rsidR="00C64050">
        <w:t xml:space="preserve"> </w:t>
      </w:r>
      <w:r w:rsidRPr="00F130DE">
        <w:t>person</w:t>
      </w:r>
      <w:r w:rsidR="00C64050">
        <w:t xml:space="preserve"> </w:t>
      </w:r>
      <w:r w:rsidRPr="00F130DE">
        <w:t>has</w:t>
      </w:r>
      <w:r w:rsidR="00C64050">
        <w:t xml:space="preserve"> </w:t>
      </w:r>
      <w:r w:rsidRPr="00F130DE">
        <w:t>a</w:t>
      </w:r>
      <w:r w:rsidR="00C64050">
        <w:t xml:space="preserve"> </w:t>
      </w:r>
      <w:r w:rsidRPr="00F130DE">
        <w:t>power</w:t>
      </w:r>
      <w:r w:rsidR="00C64050">
        <w:t xml:space="preserve"> </w:t>
      </w:r>
      <w:r w:rsidRPr="00F130DE">
        <w:t>to</w:t>
      </w:r>
      <w:r w:rsidR="00C64050">
        <w:t xml:space="preserve"> </w:t>
      </w:r>
      <w:r w:rsidRPr="00F130DE">
        <w:t>use</w:t>
      </w:r>
      <w:r w:rsidR="00C64050">
        <w:t xml:space="preserve"> </w:t>
      </w:r>
      <w:r w:rsidRPr="00F130DE">
        <w:t>the</w:t>
      </w:r>
      <w:r w:rsidR="00C64050">
        <w:t xml:space="preserve"> </w:t>
      </w:r>
      <w:r w:rsidRPr="00F130DE">
        <w:t>trust's</w:t>
      </w:r>
      <w:r w:rsidR="00C64050">
        <w:t xml:space="preserve"> </w:t>
      </w:r>
      <w:r w:rsidRPr="00F130DE">
        <w:t>assets</w:t>
      </w:r>
      <w:r w:rsidR="00C64050">
        <w:t xml:space="preserve"> </w:t>
      </w:r>
      <w:r w:rsidRPr="00F130DE">
        <w:t>to</w:t>
      </w:r>
      <w:r w:rsidR="00C64050">
        <w:t xml:space="preserve"> </w:t>
      </w:r>
      <w:r w:rsidRPr="00F130DE">
        <w:t>make</w:t>
      </w:r>
      <w:r w:rsidR="00C64050">
        <w:t xml:space="preserve"> </w:t>
      </w:r>
      <w:r w:rsidRPr="00F130DE">
        <w:t>loans</w:t>
      </w:r>
      <w:r w:rsidR="00C64050">
        <w:t xml:space="preserve"> </w:t>
      </w:r>
      <w:r w:rsidRPr="00F130DE">
        <w:t>to</w:t>
      </w:r>
      <w:r w:rsidR="00C64050">
        <w:t xml:space="preserve"> </w:t>
      </w:r>
      <w:r w:rsidRPr="00F130DE">
        <w:t>the</w:t>
      </w:r>
      <w:r w:rsidR="00C64050">
        <w:t xml:space="preserve"> </w:t>
      </w:r>
      <w:r w:rsidRPr="00F130DE">
        <w:t>grantor's</w:t>
      </w:r>
      <w:r w:rsidR="00C64050">
        <w:t xml:space="preserve"> </w:t>
      </w:r>
      <w:r w:rsidRPr="00F130DE">
        <w:t>estate</w:t>
      </w:r>
      <w:r w:rsidR="00C64050">
        <w:t xml:space="preserve"> </w:t>
      </w:r>
      <w:r w:rsidRPr="00F130DE">
        <w:t>or</w:t>
      </w:r>
      <w:r w:rsidR="00C64050">
        <w:t xml:space="preserve"> </w:t>
      </w:r>
      <w:r w:rsidRPr="00F130DE">
        <w:t>to</w:t>
      </w:r>
      <w:r w:rsidR="00C64050">
        <w:t xml:space="preserve"> </w:t>
      </w:r>
      <w:r w:rsidRPr="00F130DE">
        <w:t>purchase</w:t>
      </w:r>
      <w:r w:rsidR="00C64050">
        <w:t xml:space="preserve"> </w:t>
      </w:r>
      <w:r w:rsidRPr="00F130DE">
        <w:t>assets</w:t>
      </w:r>
      <w:r w:rsidR="00C64050">
        <w:t xml:space="preserve"> </w:t>
      </w:r>
      <w:r w:rsidRPr="00F130DE">
        <w:t>from</w:t>
      </w:r>
      <w:r w:rsidR="00C64050">
        <w:t xml:space="preserve"> </w:t>
      </w:r>
      <w:r w:rsidRPr="00F130DE">
        <w:t>the</w:t>
      </w:r>
      <w:r w:rsidR="00C64050">
        <w:t xml:space="preserve"> </w:t>
      </w:r>
      <w:r w:rsidRPr="00F130DE">
        <w:t>grantor's</w:t>
      </w:r>
      <w:r w:rsidR="00C64050">
        <w:t xml:space="preserve"> </w:t>
      </w:r>
      <w:r w:rsidRPr="00F130DE">
        <w:t>estate,</w:t>
      </w:r>
      <w:r w:rsidR="00C64050">
        <w:t xml:space="preserve"> </w:t>
      </w:r>
      <w:r w:rsidRPr="00F130DE">
        <w:t>(iv)</w:t>
      </w:r>
      <w:r w:rsidR="00C64050">
        <w:t xml:space="preserve"> </w:t>
      </w:r>
      <w:r w:rsidRPr="00F130DE">
        <w:t>the</w:t>
      </w:r>
      <w:r w:rsidR="00C64050">
        <w:t xml:space="preserve"> </w:t>
      </w:r>
      <w:r w:rsidRPr="00F130DE">
        <w:t>trust</w:t>
      </w:r>
      <w:r w:rsidR="00C64050">
        <w:t xml:space="preserve"> </w:t>
      </w:r>
      <w:r w:rsidRPr="00F130DE">
        <w:t>beneficiaries</w:t>
      </w:r>
      <w:r w:rsidR="00C64050">
        <w:t xml:space="preserve"> </w:t>
      </w:r>
      <w:r w:rsidRPr="00F130DE">
        <w:t>have</w:t>
      </w:r>
      <w:r w:rsidR="00C64050">
        <w:t xml:space="preserve"> </w:t>
      </w:r>
      <w:r w:rsidRPr="00F130DE">
        <w:t>the</w:t>
      </w:r>
      <w:r w:rsidR="00C64050">
        <w:t xml:space="preserve"> </w:t>
      </w:r>
      <w:r w:rsidRPr="00F130DE">
        <w:t>power</w:t>
      </w:r>
      <w:r w:rsidR="00C64050">
        <w:t xml:space="preserve"> </w:t>
      </w:r>
      <w:r w:rsidRPr="00F130DE">
        <w:t>to</w:t>
      </w:r>
      <w:r w:rsidR="00C64050">
        <w:t xml:space="preserve"> </w:t>
      </w:r>
      <w:r w:rsidRPr="00F130DE">
        <w:t>withdraw,</w:t>
      </w:r>
      <w:r w:rsidR="00C64050">
        <w:t xml:space="preserve"> </w:t>
      </w:r>
      <w:r w:rsidRPr="00F130DE">
        <w:t>on</w:t>
      </w:r>
      <w:r w:rsidR="00C64050">
        <w:t xml:space="preserve"> </w:t>
      </w:r>
      <w:r w:rsidRPr="00F130DE">
        <w:t>demand,</w:t>
      </w:r>
      <w:r w:rsidR="00C64050">
        <w:t xml:space="preserve"> </w:t>
      </w:r>
      <w:r w:rsidRPr="00F130DE">
        <w:t>any</w:t>
      </w:r>
      <w:r w:rsidR="00C64050">
        <w:t xml:space="preserve"> </w:t>
      </w:r>
      <w:r w:rsidRPr="00F130DE">
        <w:t>additional</w:t>
      </w:r>
      <w:r w:rsidR="00C64050">
        <w:t xml:space="preserve"> </w:t>
      </w:r>
      <w:r w:rsidRPr="00F130DE">
        <w:t>transfers</w:t>
      </w:r>
      <w:r w:rsidR="00C64050">
        <w:t xml:space="preserve"> </w:t>
      </w:r>
      <w:r w:rsidRPr="00F130DE">
        <w:t>made</w:t>
      </w:r>
      <w:r w:rsidR="00C64050">
        <w:t xml:space="preserve"> </w:t>
      </w:r>
      <w:r w:rsidRPr="00F130DE">
        <w:t>to</w:t>
      </w:r>
      <w:r w:rsidR="00C64050">
        <w:t xml:space="preserve"> </w:t>
      </w:r>
      <w:r w:rsidRPr="00F130DE">
        <w:t>the</w:t>
      </w:r>
      <w:r w:rsidR="00C64050">
        <w:t xml:space="preserve"> </w:t>
      </w:r>
      <w:r w:rsidRPr="00F130DE">
        <w:t>trust,</w:t>
      </w:r>
      <w:r w:rsidR="00C64050">
        <w:t xml:space="preserve"> </w:t>
      </w:r>
      <w:r w:rsidRPr="00F130DE">
        <w:t>and</w:t>
      </w:r>
      <w:r w:rsidR="00C64050">
        <w:t xml:space="preserve"> </w:t>
      </w:r>
      <w:r w:rsidRPr="00F130DE">
        <w:t>(v)</w:t>
      </w:r>
      <w:r w:rsidR="00C64050">
        <w:t xml:space="preserve"> </w:t>
      </w:r>
      <w:r w:rsidRPr="00F130DE">
        <w:t>there</w:t>
      </w:r>
      <w:r w:rsidR="00C64050">
        <w:t xml:space="preserve"> </w:t>
      </w:r>
      <w:r w:rsidRPr="00F130DE">
        <w:t>is</w:t>
      </w:r>
      <w:r w:rsidR="00C64050">
        <w:t xml:space="preserve"> </w:t>
      </w:r>
      <w:r w:rsidRPr="00F130DE">
        <w:t>a</w:t>
      </w:r>
      <w:r w:rsidR="00C64050">
        <w:t xml:space="preserve"> </w:t>
      </w:r>
      <w:r w:rsidRPr="00F130DE">
        <w:t>right</w:t>
      </w:r>
      <w:r w:rsidR="00C64050">
        <w:t xml:space="preserve"> </w:t>
      </w:r>
      <w:r w:rsidRPr="00F130DE">
        <w:t>or</w:t>
      </w:r>
      <w:r w:rsidR="00C64050">
        <w:t xml:space="preserve"> </w:t>
      </w:r>
      <w:r w:rsidRPr="00F130DE">
        <w:t>power</w:t>
      </w:r>
      <w:r w:rsidR="00C64050">
        <w:t xml:space="preserve"> </w:t>
      </w:r>
      <w:r w:rsidRPr="00F130DE">
        <w:t>in</w:t>
      </w:r>
      <w:r w:rsidR="00C64050">
        <w:t xml:space="preserve"> </w:t>
      </w:r>
      <w:r w:rsidRPr="00F130DE">
        <w:t>any</w:t>
      </w:r>
      <w:r w:rsidR="00C64050">
        <w:t xml:space="preserve"> </w:t>
      </w:r>
      <w:r w:rsidRPr="00F130DE">
        <w:t>person</w:t>
      </w:r>
      <w:r w:rsidR="00C64050">
        <w:t xml:space="preserve"> </w:t>
      </w:r>
      <w:r w:rsidRPr="00F130DE">
        <w:t>that</w:t>
      </w:r>
      <w:r w:rsidR="00C64050">
        <w:t xml:space="preserve"> </w:t>
      </w:r>
      <w:r w:rsidRPr="00F130DE">
        <w:t>would</w:t>
      </w:r>
      <w:r w:rsidR="00C64050">
        <w:t xml:space="preserve"> </w:t>
      </w:r>
      <w:r w:rsidRPr="00F130DE">
        <w:t>cause</w:t>
      </w:r>
      <w:r w:rsidR="00C64050">
        <w:t xml:space="preserve"> </w:t>
      </w:r>
      <w:r w:rsidRPr="00F130DE">
        <w:t>the</w:t>
      </w:r>
      <w:r w:rsidR="00C64050">
        <w:t xml:space="preserve"> </w:t>
      </w:r>
      <w:r w:rsidRPr="00F130DE">
        <w:t>grantor</w:t>
      </w:r>
      <w:r w:rsidR="00C64050">
        <w:t xml:space="preserve"> </w:t>
      </w:r>
      <w:r w:rsidRPr="00F130DE">
        <w:t>to</w:t>
      </w:r>
      <w:r w:rsidR="00C64050">
        <w:t xml:space="preserve"> </w:t>
      </w:r>
      <w:r w:rsidRPr="00F130DE">
        <w:t>be</w:t>
      </w:r>
      <w:r w:rsidR="00C64050">
        <w:t xml:space="preserve"> </w:t>
      </w:r>
      <w:r w:rsidRPr="00F130DE">
        <w:t>treated</w:t>
      </w:r>
      <w:r w:rsidR="00C64050">
        <w:t xml:space="preserve"> </w:t>
      </w:r>
      <w:r w:rsidRPr="00F130DE">
        <w:t>as</w:t>
      </w:r>
      <w:r w:rsidR="00C64050">
        <w:t xml:space="preserve"> </w:t>
      </w:r>
      <w:r w:rsidRPr="00F130DE">
        <w:t>the</w:t>
      </w:r>
      <w:r w:rsidR="00C64050">
        <w:t xml:space="preserve"> </w:t>
      </w:r>
      <w:r w:rsidRPr="00F130DE">
        <w:t>owner</w:t>
      </w:r>
      <w:r w:rsidR="00C64050">
        <w:t xml:space="preserve"> </w:t>
      </w:r>
      <w:r w:rsidRPr="00F130DE">
        <w:t>of</w:t>
      </w:r>
      <w:r w:rsidR="00C64050">
        <w:t xml:space="preserve"> </w:t>
      </w:r>
      <w:r w:rsidRPr="00F130DE">
        <w:t>all</w:t>
      </w:r>
      <w:r w:rsidR="00C64050">
        <w:t xml:space="preserve"> </w:t>
      </w:r>
      <w:r w:rsidRPr="00F130DE">
        <w:t>or</w:t>
      </w:r>
      <w:r w:rsidR="00C64050">
        <w:t xml:space="preserve"> </w:t>
      </w:r>
      <w:r w:rsidRPr="00F130DE">
        <w:t>a</w:t>
      </w:r>
      <w:r w:rsidR="00C64050">
        <w:t xml:space="preserve"> </w:t>
      </w:r>
      <w:r w:rsidRPr="00F130DE">
        <w:t>portion</w:t>
      </w:r>
      <w:r w:rsidR="00C64050">
        <w:t xml:space="preserve"> </w:t>
      </w:r>
      <w:r w:rsidRPr="00F130DE">
        <w:t>of</w:t>
      </w:r>
      <w:r w:rsidR="00C64050">
        <w:t xml:space="preserve"> </w:t>
      </w:r>
      <w:r w:rsidRPr="00F130DE">
        <w:t>the</w:t>
      </w:r>
      <w:r w:rsidR="00C64050">
        <w:t xml:space="preserve"> </w:t>
      </w:r>
      <w:r w:rsidRPr="00F130DE">
        <w:t>trust</w:t>
      </w:r>
      <w:r w:rsidR="00C64050">
        <w:t xml:space="preserve"> </w:t>
      </w:r>
      <w:r w:rsidRPr="00F130DE">
        <w:t>under</w:t>
      </w:r>
      <w:r w:rsidR="00C64050">
        <w:t xml:space="preserve"> </w:t>
      </w:r>
      <w:r w:rsidRPr="00F130DE">
        <w:t>§§</w:t>
      </w:r>
      <w:r w:rsidR="00C64050">
        <w:t xml:space="preserve"> </w:t>
      </w:r>
      <w:r w:rsidRPr="00F130DE">
        <w:t>673</w:t>
      </w:r>
      <w:r w:rsidR="00C64050">
        <w:t xml:space="preserve"> </w:t>
      </w:r>
      <w:r w:rsidRPr="00F130DE">
        <w:t>to</w:t>
      </w:r>
      <w:r w:rsidR="00C64050">
        <w:t xml:space="preserve"> </w:t>
      </w:r>
      <w:r w:rsidRPr="00F130DE">
        <w:t>677.</w:t>
      </w:r>
    </w:p>
    <w:p w:rsidR="00773146" w:rsidRPr="00F130DE" w:rsidRDefault="00773146" w:rsidP="00244CEA">
      <w:pPr>
        <w:pStyle w:val="QS10"/>
      </w:pPr>
      <w:r w:rsidRPr="00F130DE">
        <w:t>(54)</w:t>
      </w:r>
      <w:r w:rsidR="00C64050">
        <w:t xml:space="preserve"> </w:t>
      </w:r>
      <w:r w:rsidRPr="00F130DE">
        <w:t>Section</w:t>
      </w:r>
      <w:r w:rsidR="00C64050">
        <w:t xml:space="preserve"> </w:t>
      </w:r>
      <w:r w:rsidRPr="00F130DE">
        <w:t>2514.—Powers</w:t>
      </w:r>
      <w:r w:rsidR="00C64050">
        <w:t xml:space="preserve"> </w:t>
      </w:r>
      <w:r w:rsidRPr="00F130DE">
        <w:t>of</w:t>
      </w:r>
      <w:r w:rsidR="00C64050">
        <w:t xml:space="preserve"> </w:t>
      </w:r>
      <w:r w:rsidRPr="00F130DE">
        <w:t>Appointment.—If</w:t>
      </w:r>
      <w:r w:rsidR="00C64050">
        <w:t xml:space="preserve"> </w:t>
      </w:r>
      <w:r w:rsidRPr="00F130DE">
        <w:t>the</w:t>
      </w:r>
      <w:r w:rsidR="00C64050">
        <w:t xml:space="preserve"> </w:t>
      </w:r>
      <w:r w:rsidRPr="00F130DE">
        <w:t>beneficiaries</w:t>
      </w:r>
      <w:r w:rsidR="00C64050">
        <w:t xml:space="preserve"> </w:t>
      </w:r>
      <w:r w:rsidRPr="00F130DE">
        <w:t>of</w:t>
      </w:r>
      <w:r w:rsidR="00C64050">
        <w:t xml:space="preserve"> </w:t>
      </w:r>
      <w:r w:rsidRPr="00F130DE">
        <w:t>a</w:t>
      </w:r>
      <w:r w:rsidR="00C64050">
        <w:t xml:space="preserve"> </w:t>
      </w:r>
      <w:r w:rsidRPr="00F130DE">
        <w:t>trust</w:t>
      </w:r>
      <w:r w:rsidR="00C64050">
        <w:t xml:space="preserve"> </w:t>
      </w:r>
      <w:r w:rsidRPr="00F130DE">
        <w:t>permit</w:t>
      </w:r>
      <w:r w:rsidR="00C64050">
        <w:t xml:space="preserve"> </w:t>
      </w:r>
      <w:r w:rsidRPr="00F130DE">
        <w:t>a</w:t>
      </w:r>
      <w:r w:rsidR="00C64050">
        <w:t xml:space="preserve"> </w:t>
      </w:r>
      <w:r w:rsidRPr="00F130DE">
        <w:t>power</w:t>
      </w:r>
      <w:r w:rsidR="00C64050">
        <w:t xml:space="preserve"> </w:t>
      </w:r>
      <w:r w:rsidRPr="00F130DE">
        <w:t>of</w:t>
      </w:r>
      <w:r w:rsidR="00C64050">
        <w:t xml:space="preserve"> </w:t>
      </w:r>
      <w:r w:rsidRPr="00F130DE">
        <w:t>withdrawal</w:t>
      </w:r>
      <w:r w:rsidR="00C64050">
        <w:t xml:space="preserve"> </w:t>
      </w:r>
      <w:r w:rsidRPr="00F130DE">
        <w:t>to</w:t>
      </w:r>
      <w:r w:rsidR="00C64050">
        <w:t xml:space="preserve"> </w:t>
      </w:r>
      <w:r w:rsidRPr="00F130DE">
        <w:t>lapse,</w:t>
      </w:r>
      <w:r w:rsidR="00C64050">
        <w:t xml:space="preserve"> </w:t>
      </w:r>
      <w:r w:rsidRPr="00F130DE">
        <w:t>whether</w:t>
      </w:r>
      <w:r w:rsidR="00C64050">
        <w:t xml:space="preserve"> </w:t>
      </w:r>
      <w:r w:rsidRPr="00F130DE">
        <w:t>§</w:t>
      </w:r>
      <w:r w:rsidR="00C64050">
        <w:t xml:space="preserve"> </w:t>
      </w:r>
      <w:r w:rsidRPr="00F130DE">
        <w:t>2514(e)</w:t>
      </w:r>
      <w:r w:rsidR="00C64050">
        <w:t xml:space="preserve"> </w:t>
      </w:r>
      <w:r w:rsidRPr="00F130DE">
        <w:t>will</w:t>
      </w:r>
      <w:r w:rsidR="00C64050">
        <w:t xml:space="preserve"> </w:t>
      </w:r>
      <w:r w:rsidRPr="00F130DE">
        <w:t>be</w:t>
      </w:r>
      <w:r w:rsidR="00C64050">
        <w:t xml:space="preserve"> </w:t>
      </w:r>
      <w:r w:rsidRPr="00F130DE">
        <w:t>applicable</w:t>
      </w:r>
      <w:r w:rsidR="00C64050">
        <w:t xml:space="preserve"> </w:t>
      </w:r>
      <w:r w:rsidRPr="00F130DE">
        <w:t>to</w:t>
      </w:r>
      <w:r w:rsidR="00C64050">
        <w:t xml:space="preserve"> </w:t>
      </w:r>
      <w:r w:rsidRPr="00F130DE">
        <w:t>each</w:t>
      </w:r>
      <w:r w:rsidR="00C64050">
        <w:t xml:space="preserve"> </w:t>
      </w:r>
      <w:r w:rsidRPr="00F130DE">
        <w:t>beneficiary</w:t>
      </w:r>
      <w:r w:rsidR="00C64050">
        <w:t xml:space="preserve"> </w:t>
      </w:r>
      <w:r w:rsidRPr="00F130DE">
        <w:t>in</w:t>
      </w:r>
      <w:r w:rsidR="00C64050">
        <w:t xml:space="preserve"> </w:t>
      </w:r>
      <w:r w:rsidRPr="00F130DE">
        <w:t>regard</w:t>
      </w:r>
      <w:r w:rsidR="00C64050">
        <w:t xml:space="preserve"> </w:t>
      </w:r>
      <w:r w:rsidRPr="00F130DE">
        <w:t>to</w:t>
      </w:r>
      <w:r w:rsidR="00C64050">
        <w:t xml:space="preserve"> </w:t>
      </w:r>
      <w:r w:rsidRPr="00F130DE">
        <w:t>the</w:t>
      </w:r>
      <w:r w:rsidR="00C64050">
        <w:t xml:space="preserve"> </w:t>
      </w:r>
      <w:r w:rsidRPr="00F130DE">
        <w:t>power</w:t>
      </w:r>
      <w:r w:rsidR="00C64050">
        <w:t xml:space="preserve"> </w:t>
      </w:r>
      <w:r w:rsidRPr="00F130DE">
        <w:t>when</w:t>
      </w:r>
      <w:r w:rsidR="00C64050">
        <w:t xml:space="preserve"> </w:t>
      </w:r>
      <w:r w:rsidRPr="00F130DE">
        <w:t>(i)</w:t>
      </w:r>
      <w:r w:rsidR="00C64050">
        <w:t xml:space="preserve"> </w:t>
      </w:r>
      <w:r w:rsidRPr="00F130DE">
        <w:t>the</w:t>
      </w:r>
      <w:r w:rsidR="00C64050">
        <w:t xml:space="preserve"> </w:t>
      </w:r>
      <w:r w:rsidRPr="00F130DE">
        <w:t>trust</w:t>
      </w:r>
      <w:r w:rsidR="00C64050">
        <w:t xml:space="preserve"> </w:t>
      </w:r>
      <w:r w:rsidRPr="00F130DE">
        <w:t>corpus</w:t>
      </w:r>
      <w:r w:rsidR="00C64050">
        <w:t xml:space="preserve"> </w:t>
      </w:r>
      <w:r w:rsidRPr="00F130DE">
        <w:t>consists</w:t>
      </w:r>
      <w:r w:rsidR="00C64050">
        <w:t xml:space="preserve"> </w:t>
      </w:r>
      <w:r w:rsidRPr="00F130DE">
        <w:t>or</w:t>
      </w:r>
      <w:r w:rsidR="00C64050">
        <w:t xml:space="preserve"> </w:t>
      </w:r>
      <w:r w:rsidRPr="00F130DE">
        <w:t>will</w:t>
      </w:r>
      <w:r w:rsidR="00C64050">
        <w:t xml:space="preserve"> </w:t>
      </w:r>
      <w:r w:rsidRPr="00F130DE">
        <w:t>consist</w:t>
      </w:r>
      <w:r w:rsidR="00C64050">
        <w:t xml:space="preserve"> </w:t>
      </w:r>
      <w:r w:rsidRPr="00F130DE">
        <w:t>substantially</w:t>
      </w:r>
      <w:r w:rsidR="00C64050">
        <w:t xml:space="preserve"> </w:t>
      </w:r>
      <w:r w:rsidRPr="00F130DE">
        <w:t>of</w:t>
      </w:r>
      <w:r w:rsidR="00C64050">
        <w:t xml:space="preserve"> </w:t>
      </w:r>
      <w:r w:rsidRPr="00F130DE">
        <w:t>insurance</w:t>
      </w:r>
      <w:r w:rsidR="00C64050">
        <w:t xml:space="preserve"> </w:t>
      </w:r>
      <w:r w:rsidRPr="00F130DE">
        <w:t>policies</w:t>
      </w:r>
      <w:r w:rsidR="00C64050">
        <w:t xml:space="preserve"> </w:t>
      </w:r>
      <w:r w:rsidRPr="00F130DE">
        <w:t>on</w:t>
      </w:r>
      <w:r w:rsidR="00C64050">
        <w:t xml:space="preserve"> </w:t>
      </w:r>
      <w:r w:rsidRPr="00F130DE">
        <w:t>the</w:t>
      </w:r>
      <w:r w:rsidR="00C64050">
        <w:t xml:space="preserve"> </w:t>
      </w:r>
      <w:r w:rsidRPr="00F130DE">
        <w:t>life</w:t>
      </w:r>
      <w:r w:rsidR="00C64050">
        <w:t xml:space="preserve"> </w:t>
      </w:r>
      <w:r w:rsidRPr="00F130DE">
        <w:t>of</w:t>
      </w:r>
      <w:r w:rsidR="00C64050">
        <w:t xml:space="preserve"> </w:t>
      </w:r>
      <w:r w:rsidRPr="00F130DE">
        <w:t>the</w:t>
      </w:r>
      <w:r w:rsidR="00C64050">
        <w:t xml:space="preserve"> </w:t>
      </w:r>
      <w:r w:rsidRPr="00F130DE">
        <w:t>grantor</w:t>
      </w:r>
      <w:r w:rsidR="00C64050">
        <w:t xml:space="preserve"> </w:t>
      </w:r>
      <w:r w:rsidRPr="00F130DE">
        <w:t>or</w:t>
      </w:r>
      <w:r w:rsidR="00C64050">
        <w:t xml:space="preserve"> </w:t>
      </w:r>
      <w:r w:rsidRPr="00F130DE">
        <w:t>the</w:t>
      </w:r>
      <w:r w:rsidR="00C64050">
        <w:t xml:space="preserve"> </w:t>
      </w:r>
      <w:r w:rsidRPr="00F130DE">
        <w:t>grantor's</w:t>
      </w:r>
      <w:r w:rsidR="00C64050">
        <w:t xml:space="preserve"> </w:t>
      </w:r>
      <w:r w:rsidRPr="00F130DE">
        <w:t>spouse,</w:t>
      </w:r>
      <w:r w:rsidR="00C64050">
        <w:t xml:space="preserve"> </w:t>
      </w:r>
      <w:r w:rsidRPr="00F130DE">
        <w:t>(ii)</w:t>
      </w:r>
      <w:r w:rsidR="00C64050">
        <w:t xml:space="preserve"> </w:t>
      </w:r>
      <w:r w:rsidRPr="00F130DE">
        <w:t>the</w:t>
      </w:r>
      <w:r w:rsidR="00C64050">
        <w:t xml:space="preserve"> </w:t>
      </w:r>
      <w:r w:rsidRPr="00F130DE">
        <w:t>trustee</w:t>
      </w:r>
      <w:r w:rsidR="00C64050">
        <w:t xml:space="preserve"> </w:t>
      </w:r>
      <w:r w:rsidRPr="00F130DE">
        <w:t>or</w:t>
      </w:r>
      <w:r w:rsidR="00C64050">
        <w:t xml:space="preserve"> </w:t>
      </w:r>
      <w:r w:rsidRPr="00F130DE">
        <w:t>any</w:t>
      </w:r>
      <w:r w:rsidR="00C64050">
        <w:t xml:space="preserve"> </w:t>
      </w:r>
      <w:r w:rsidRPr="00F130DE">
        <w:t>other</w:t>
      </w:r>
      <w:r w:rsidR="00C64050">
        <w:t xml:space="preserve"> </w:t>
      </w:r>
      <w:r w:rsidRPr="00F130DE">
        <w:t>person</w:t>
      </w:r>
      <w:r w:rsidR="00C64050">
        <w:t xml:space="preserve"> </w:t>
      </w:r>
      <w:r w:rsidRPr="00F130DE">
        <w:t>has</w:t>
      </w:r>
      <w:r w:rsidR="00C64050">
        <w:t xml:space="preserve"> </w:t>
      </w:r>
      <w:r w:rsidRPr="00F130DE">
        <w:t>a</w:t>
      </w:r>
      <w:r w:rsidR="00C64050">
        <w:t xml:space="preserve"> </w:t>
      </w:r>
      <w:r w:rsidRPr="00F130DE">
        <w:t>power</w:t>
      </w:r>
      <w:r w:rsidR="00C64050">
        <w:t xml:space="preserve"> </w:t>
      </w:r>
      <w:r w:rsidRPr="00F130DE">
        <w:t>to</w:t>
      </w:r>
      <w:r w:rsidR="00C64050">
        <w:t xml:space="preserve"> </w:t>
      </w:r>
      <w:r w:rsidRPr="00F130DE">
        <w:t>apply</w:t>
      </w:r>
      <w:r w:rsidR="00C64050">
        <w:t xml:space="preserve"> </w:t>
      </w:r>
      <w:r w:rsidRPr="00F130DE">
        <w:t>the</w:t>
      </w:r>
      <w:r w:rsidR="00C64050">
        <w:t xml:space="preserve"> </w:t>
      </w:r>
      <w:r w:rsidRPr="00F130DE">
        <w:t>trust's</w:t>
      </w:r>
      <w:r w:rsidR="00C64050">
        <w:t xml:space="preserve"> </w:t>
      </w:r>
      <w:r w:rsidRPr="00F130DE">
        <w:t>income</w:t>
      </w:r>
      <w:r w:rsidR="00C64050">
        <w:t xml:space="preserve"> </w:t>
      </w:r>
      <w:r w:rsidRPr="00F130DE">
        <w:t>or</w:t>
      </w:r>
      <w:r w:rsidR="00C64050">
        <w:t xml:space="preserve"> </w:t>
      </w:r>
      <w:r w:rsidRPr="00F130DE">
        <w:t>corpus</w:t>
      </w:r>
      <w:r w:rsidR="00C64050">
        <w:t xml:space="preserve"> </w:t>
      </w:r>
      <w:r w:rsidRPr="00F130DE">
        <w:t>to</w:t>
      </w:r>
      <w:r w:rsidR="00C64050">
        <w:t xml:space="preserve"> </w:t>
      </w:r>
      <w:r w:rsidRPr="00F130DE">
        <w:t>the</w:t>
      </w:r>
      <w:r w:rsidR="00C64050">
        <w:t xml:space="preserve"> </w:t>
      </w:r>
      <w:r w:rsidRPr="00F130DE">
        <w:t>payment</w:t>
      </w:r>
      <w:r w:rsidR="00C64050">
        <w:t xml:space="preserve"> </w:t>
      </w:r>
      <w:r w:rsidRPr="00F130DE">
        <w:t>of</w:t>
      </w:r>
      <w:r w:rsidR="00C64050">
        <w:t xml:space="preserve"> </w:t>
      </w:r>
      <w:r w:rsidRPr="00F130DE">
        <w:t>premiums</w:t>
      </w:r>
      <w:r w:rsidR="00C64050">
        <w:t xml:space="preserve"> </w:t>
      </w:r>
      <w:r w:rsidRPr="00F130DE">
        <w:t>on</w:t>
      </w:r>
      <w:r w:rsidR="00C64050">
        <w:t xml:space="preserve"> </w:t>
      </w:r>
      <w:r w:rsidRPr="00F130DE">
        <w:t>policies</w:t>
      </w:r>
      <w:r w:rsidR="00C64050">
        <w:t xml:space="preserve"> </w:t>
      </w:r>
      <w:r w:rsidRPr="00F130DE">
        <w:t>of</w:t>
      </w:r>
      <w:r w:rsidR="00C64050">
        <w:t xml:space="preserve"> </w:t>
      </w:r>
      <w:r w:rsidRPr="00F130DE">
        <w:t>insurance</w:t>
      </w:r>
      <w:r w:rsidR="00C64050">
        <w:t xml:space="preserve"> </w:t>
      </w:r>
      <w:r w:rsidRPr="00F130DE">
        <w:t>on</w:t>
      </w:r>
      <w:r w:rsidR="00C64050">
        <w:t xml:space="preserve"> </w:t>
      </w:r>
      <w:r w:rsidRPr="00F130DE">
        <w:t>the</w:t>
      </w:r>
      <w:r w:rsidR="00C64050">
        <w:t xml:space="preserve"> </w:t>
      </w:r>
      <w:r w:rsidRPr="00F130DE">
        <w:t>life</w:t>
      </w:r>
      <w:r w:rsidR="00C64050">
        <w:t xml:space="preserve"> </w:t>
      </w:r>
      <w:r w:rsidRPr="00F130DE">
        <w:t>of</w:t>
      </w:r>
      <w:r w:rsidR="00C64050">
        <w:t xml:space="preserve"> </w:t>
      </w:r>
      <w:r w:rsidRPr="00F130DE">
        <w:t>the</w:t>
      </w:r>
      <w:r w:rsidR="00C64050">
        <w:t xml:space="preserve"> </w:t>
      </w:r>
      <w:r w:rsidRPr="00F130DE">
        <w:t>grantor</w:t>
      </w:r>
      <w:r w:rsidR="00C64050">
        <w:t xml:space="preserve"> </w:t>
      </w:r>
      <w:r w:rsidRPr="00F130DE">
        <w:t>or</w:t>
      </w:r>
      <w:r w:rsidR="00C64050">
        <w:t xml:space="preserve"> </w:t>
      </w:r>
      <w:r w:rsidRPr="00F130DE">
        <w:t>the</w:t>
      </w:r>
      <w:r w:rsidR="00C64050">
        <w:t xml:space="preserve"> </w:t>
      </w:r>
      <w:r w:rsidRPr="00F130DE">
        <w:t>grantor's</w:t>
      </w:r>
      <w:r w:rsidR="00C64050">
        <w:t xml:space="preserve"> </w:t>
      </w:r>
      <w:r w:rsidRPr="00F130DE">
        <w:t>spouse,</w:t>
      </w:r>
      <w:r w:rsidR="00C64050">
        <w:t xml:space="preserve"> </w:t>
      </w:r>
      <w:r w:rsidRPr="00F130DE">
        <w:t>(iii)</w:t>
      </w:r>
      <w:r w:rsidR="00C64050">
        <w:t xml:space="preserve"> </w:t>
      </w:r>
      <w:r w:rsidRPr="00F130DE">
        <w:t>the</w:t>
      </w:r>
      <w:r w:rsidR="00C64050">
        <w:t xml:space="preserve"> </w:t>
      </w:r>
      <w:r w:rsidRPr="00F130DE">
        <w:t>trustee</w:t>
      </w:r>
      <w:r w:rsidR="00C64050">
        <w:t xml:space="preserve"> </w:t>
      </w:r>
      <w:r w:rsidRPr="00F130DE">
        <w:t>or</w:t>
      </w:r>
      <w:r w:rsidR="00C64050">
        <w:t xml:space="preserve"> </w:t>
      </w:r>
      <w:r w:rsidRPr="00F130DE">
        <w:t>any</w:t>
      </w:r>
      <w:r w:rsidR="00C64050">
        <w:t xml:space="preserve"> </w:t>
      </w:r>
      <w:r w:rsidRPr="00F130DE">
        <w:t>other</w:t>
      </w:r>
      <w:r w:rsidR="00C64050">
        <w:t xml:space="preserve"> </w:t>
      </w:r>
      <w:r w:rsidRPr="00F130DE">
        <w:t>person</w:t>
      </w:r>
      <w:r w:rsidR="00C64050">
        <w:t xml:space="preserve"> </w:t>
      </w:r>
      <w:r w:rsidRPr="00F130DE">
        <w:t>has</w:t>
      </w:r>
      <w:r w:rsidR="00C64050">
        <w:t xml:space="preserve"> </w:t>
      </w:r>
      <w:r w:rsidRPr="00F130DE">
        <w:t>a</w:t>
      </w:r>
      <w:r w:rsidR="00C64050">
        <w:t xml:space="preserve"> </w:t>
      </w:r>
      <w:r w:rsidRPr="00F130DE">
        <w:t>power</w:t>
      </w:r>
      <w:r w:rsidR="00C64050">
        <w:t xml:space="preserve"> </w:t>
      </w:r>
      <w:r w:rsidRPr="00F130DE">
        <w:t>to</w:t>
      </w:r>
      <w:r w:rsidR="00C64050">
        <w:t xml:space="preserve"> </w:t>
      </w:r>
      <w:r w:rsidRPr="00F130DE">
        <w:t>use</w:t>
      </w:r>
      <w:r w:rsidR="00C64050">
        <w:t xml:space="preserve"> </w:t>
      </w:r>
      <w:r w:rsidRPr="00F130DE">
        <w:t>the</w:t>
      </w:r>
      <w:r w:rsidR="00C64050">
        <w:t xml:space="preserve"> </w:t>
      </w:r>
      <w:r w:rsidRPr="00F130DE">
        <w:t>trust's</w:t>
      </w:r>
      <w:r w:rsidR="00C64050">
        <w:t xml:space="preserve"> </w:t>
      </w:r>
      <w:r w:rsidRPr="00F130DE">
        <w:t>assets</w:t>
      </w:r>
      <w:r w:rsidR="00C64050">
        <w:t xml:space="preserve"> </w:t>
      </w:r>
      <w:r w:rsidRPr="00F130DE">
        <w:t>to</w:t>
      </w:r>
      <w:r w:rsidR="00C64050">
        <w:t xml:space="preserve"> </w:t>
      </w:r>
      <w:r w:rsidRPr="00F130DE">
        <w:t>make</w:t>
      </w:r>
      <w:r w:rsidR="00C64050">
        <w:t xml:space="preserve"> </w:t>
      </w:r>
      <w:r w:rsidRPr="00F130DE">
        <w:t>loans</w:t>
      </w:r>
      <w:r w:rsidR="00C64050">
        <w:t xml:space="preserve"> </w:t>
      </w:r>
      <w:r w:rsidRPr="00F130DE">
        <w:t>to</w:t>
      </w:r>
      <w:r w:rsidR="00C64050">
        <w:t xml:space="preserve"> </w:t>
      </w:r>
      <w:r w:rsidRPr="00F130DE">
        <w:t>the</w:t>
      </w:r>
      <w:r w:rsidR="00C64050">
        <w:t xml:space="preserve"> </w:t>
      </w:r>
      <w:r w:rsidRPr="00F130DE">
        <w:t>grantor's</w:t>
      </w:r>
      <w:r w:rsidR="00C64050">
        <w:t xml:space="preserve"> </w:t>
      </w:r>
      <w:r w:rsidRPr="00F130DE">
        <w:t>estate</w:t>
      </w:r>
      <w:r w:rsidR="00C64050">
        <w:t xml:space="preserve"> </w:t>
      </w:r>
      <w:r w:rsidRPr="00F130DE">
        <w:t>or</w:t>
      </w:r>
      <w:r w:rsidR="00C64050">
        <w:t xml:space="preserve"> </w:t>
      </w:r>
      <w:r w:rsidRPr="00F130DE">
        <w:t>to</w:t>
      </w:r>
      <w:r w:rsidR="00C64050">
        <w:t xml:space="preserve"> </w:t>
      </w:r>
      <w:r w:rsidRPr="00F130DE">
        <w:t>purchase</w:t>
      </w:r>
      <w:r w:rsidR="00C64050">
        <w:t xml:space="preserve"> </w:t>
      </w:r>
      <w:r w:rsidRPr="00F130DE">
        <w:t>assets</w:t>
      </w:r>
      <w:r w:rsidR="00C64050">
        <w:t xml:space="preserve"> </w:t>
      </w:r>
      <w:r w:rsidRPr="00F130DE">
        <w:t>from</w:t>
      </w:r>
      <w:r w:rsidR="00C64050">
        <w:t xml:space="preserve"> </w:t>
      </w:r>
      <w:r w:rsidRPr="00F130DE">
        <w:t>the</w:t>
      </w:r>
      <w:r w:rsidR="00C64050">
        <w:t xml:space="preserve"> </w:t>
      </w:r>
      <w:r w:rsidRPr="00F130DE">
        <w:t>grantor's</w:t>
      </w:r>
      <w:r w:rsidR="00C64050">
        <w:t xml:space="preserve"> </w:t>
      </w:r>
      <w:r w:rsidRPr="00F130DE">
        <w:t>estate,</w:t>
      </w:r>
      <w:r w:rsidR="00C64050">
        <w:t xml:space="preserve"> </w:t>
      </w:r>
      <w:r w:rsidRPr="00F130DE">
        <w:t>(iv)</w:t>
      </w:r>
      <w:r w:rsidR="00C64050">
        <w:t xml:space="preserve"> </w:t>
      </w:r>
      <w:r w:rsidRPr="00F130DE">
        <w:t>the</w:t>
      </w:r>
      <w:r w:rsidR="00C64050">
        <w:t xml:space="preserve"> </w:t>
      </w:r>
      <w:r w:rsidRPr="00F130DE">
        <w:t>trust</w:t>
      </w:r>
      <w:r w:rsidR="00C64050">
        <w:t xml:space="preserve"> </w:t>
      </w:r>
      <w:r w:rsidRPr="00F130DE">
        <w:t>beneficiaries</w:t>
      </w:r>
      <w:r w:rsidR="00C64050">
        <w:t xml:space="preserve"> </w:t>
      </w:r>
      <w:r w:rsidRPr="00F130DE">
        <w:t>have</w:t>
      </w:r>
      <w:r w:rsidR="00C64050">
        <w:t xml:space="preserve"> </w:t>
      </w:r>
      <w:r w:rsidRPr="00F130DE">
        <w:t>the</w:t>
      </w:r>
      <w:r w:rsidR="00C64050">
        <w:t xml:space="preserve"> </w:t>
      </w:r>
      <w:r w:rsidRPr="00F130DE">
        <w:t>power</w:t>
      </w:r>
      <w:r w:rsidR="00C64050">
        <w:t xml:space="preserve"> </w:t>
      </w:r>
      <w:r w:rsidRPr="00F130DE">
        <w:t>to</w:t>
      </w:r>
      <w:r w:rsidR="00C64050">
        <w:t xml:space="preserve"> </w:t>
      </w:r>
      <w:r w:rsidRPr="00F130DE">
        <w:t>withdraw,</w:t>
      </w:r>
      <w:r w:rsidR="00C64050">
        <w:t xml:space="preserve"> </w:t>
      </w:r>
      <w:r w:rsidRPr="00F130DE">
        <w:t>on</w:t>
      </w:r>
      <w:r w:rsidR="00C64050">
        <w:t xml:space="preserve"> </w:t>
      </w:r>
      <w:r w:rsidRPr="00F130DE">
        <w:t>demand,</w:t>
      </w:r>
      <w:r w:rsidR="00C64050">
        <w:t xml:space="preserve"> </w:t>
      </w:r>
      <w:r w:rsidRPr="00F130DE">
        <w:t>any</w:t>
      </w:r>
      <w:r w:rsidR="00C64050">
        <w:t xml:space="preserve"> </w:t>
      </w:r>
      <w:r w:rsidRPr="00F130DE">
        <w:t>additional</w:t>
      </w:r>
      <w:r w:rsidR="00C64050">
        <w:t xml:space="preserve"> </w:t>
      </w:r>
      <w:r w:rsidRPr="00F130DE">
        <w:t>transfers</w:t>
      </w:r>
      <w:r w:rsidR="00C64050">
        <w:t xml:space="preserve"> </w:t>
      </w:r>
      <w:r w:rsidRPr="00F130DE">
        <w:t>made</w:t>
      </w:r>
      <w:r w:rsidR="00C64050">
        <w:t xml:space="preserve"> </w:t>
      </w:r>
      <w:r w:rsidRPr="00F130DE">
        <w:t>to</w:t>
      </w:r>
      <w:r w:rsidR="00C64050">
        <w:t xml:space="preserve"> </w:t>
      </w:r>
      <w:r w:rsidRPr="00F130DE">
        <w:t>the</w:t>
      </w:r>
      <w:r w:rsidR="00C64050">
        <w:t xml:space="preserve"> </w:t>
      </w:r>
      <w:r w:rsidRPr="00F130DE">
        <w:t>trust,</w:t>
      </w:r>
      <w:r w:rsidR="00C64050">
        <w:t xml:space="preserve"> </w:t>
      </w:r>
      <w:r w:rsidRPr="00F130DE">
        <w:t>and</w:t>
      </w:r>
      <w:r w:rsidR="00C64050">
        <w:t xml:space="preserve"> </w:t>
      </w:r>
      <w:r w:rsidRPr="00F130DE">
        <w:t>(v)</w:t>
      </w:r>
      <w:r w:rsidR="00C64050">
        <w:t xml:space="preserve"> </w:t>
      </w:r>
      <w:r w:rsidRPr="00F130DE">
        <w:t>there</w:t>
      </w:r>
      <w:r w:rsidR="00C64050">
        <w:t xml:space="preserve"> </w:t>
      </w:r>
      <w:r w:rsidRPr="00F130DE">
        <w:t>is</w:t>
      </w:r>
      <w:r w:rsidR="00C64050">
        <w:t xml:space="preserve"> </w:t>
      </w:r>
      <w:r w:rsidRPr="00F130DE">
        <w:t>a</w:t>
      </w:r>
      <w:r w:rsidR="00C64050">
        <w:t xml:space="preserve"> </w:t>
      </w:r>
      <w:r w:rsidRPr="00F130DE">
        <w:t>right</w:t>
      </w:r>
      <w:r w:rsidR="00C64050">
        <w:t xml:space="preserve"> </w:t>
      </w:r>
      <w:r w:rsidRPr="00F130DE">
        <w:t>or</w:t>
      </w:r>
      <w:r w:rsidR="00C64050">
        <w:t xml:space="preserve"> </w:t>
      </w:r>
      <w:r w:rsidRPr="00F130DE">
        <w:t>power</w:t>
      </w:r>
      <w:r w:rsidR="00C64050">
        <w:t xml:space="preserve"> </w:t>
      </w:r>
      <w:r w:rsidRPr="00F130DE">
        <w:t>in</w:t>
      </w:r>
      <w:r w:rsidR="00C64050">
        <w:t xml:space="preserve"> </w:t>
      </w:r>
      <w:r w:rsidRPr="00F130DE">
        <w:t>any</w:t>
      </w:r>
      <w:r w:rsidR="00C64050">
        <w:t xml:space="preserve"> </w:t>
      </w:r>
      <w:r w:rsidRPr="00F130DE">
        <w:t>person</w:t>
      </w:r>
      <w:r w:rsidR="00C64050">
        <w:t xml:space="preserve"> </w:t>
      </w:r>
      <w:r w:rsidRPr="00F130DE">
        <w:t>that</w:t>
      </w:r>
      <w:r w:rsidR="00C64050">
        <w:t xml:space="preserve"> </w:t>
      </w:r>
      <w:r w:rsidRPr="00F130DE">
        <w:t>would</w:t>
      </w:r>
      <w:r w:rsidR="00C64050">
        <w:t xml:space="preserve"> </w:t>
      </w:r>
      <w:r w:rsidRPr="00F130DE">
        <w:t>cause</w:t>
      </w:r>
      <w:r w:rsidR="00C64050">
        <w:t xml:space="preserve"> </w:t>
      </w:r>
      <w:r w:rsidRPr="00F130DE">
        <w:t>the</w:t>
      </w:r>
      <w:r w:rsidR="00C64050">
        <w:t xml:space="preserve"> </w:t>
      </w:r>
      <w:r w:rsidRPr="00F130DE">
        <w:t>grantor</w:t>
      </w:r>
      <w:r w:rsidR="00C64050">
        <w:t xml:space="preserve"> </w:t>
      </w:r>
      <w:r w:rsidRPr="00F130DE">
        <w:t>to</w:t>
      </w:r>
      <w:r w:rsidR="00C64050">
        <w:t xml:space="preserve"> </w:t>
      </w:r>
      <w:r w:rsidRPr="00F130DE">
        <w:t>be</w:t>
      </w:r>
      <w:r w:rsidR="00C64050">
        <w:t xml:space="preserve"> </w:t>
      </w:r>
      <w:r w:rsidRPr="00F130DE">
        <w:t>treated</w:t>
      </w:r>
      <w:r w:rsidR="00C64050">
        <w:t xml:space="preserve"> </w:t>
      </w:r>
      <w:r w:rsidRPr="00F130DE">
        <w:t>as</w:t>
      </w:r>
      <w:r w:rsidR="00C64050">
        <w:t xml:space="preserve"> </w:t>
      </w:r>
      <w:r w:rsidRPr="00F130DE">
        <w:t>the</w:t>
      </w:r>
      <w:r w:rsidR="00C64050">
        <w:t xml:space="preserve"> </w:t>
      </w:r>
      <w:r w:rsidRPr="00F130DE">
        <w:t>owner</w:t>
      </w:r>
      <w:r w:rsidR="00C64050">
        <w:t xml:space="preserve"> </w:t>
      </w:r>
      <w:r w:rsidRPr="00F130DE">
        <w:t>of</w:t>
      </w:r>
      <w:r w:rsidR="00C64050">
        <w:t xml:space="preserve"> </w:t>
      </w:r>
      <w:r w:rsidRPr="00F130DE">
        <w:t>all</w:t>
      </w:r>
      <w:r w:rsidR="00C64050">
        <w:t xml:space="preserve"> </w:t>
      </w:r>
      <w:r w:rsidRPr="00F130DE">
        <w:t>or</w:t>
      </w:r>
      <w:r w:rsidR="00C64050">
        <w:t xml:space="preserve"> </w:t>
      </w:r>
      <w:r w:rsidRPr="00F130DE">
        <w:t>a</w:t>
      </w:r>
      <w:r w:rsidR="00C64050">
        <w:t xml:space="preserve"> </w:t>
      </w:r>
      <w:r w:rsidRPr="00F130DE">
        <w:t>portion</w:t>
      </w:r>
      <w:r w:rsidR="00C64050">
        <w:t xml:space="preserve"> </w:t>
      </w:r>
      <w:r w:rsidRPr="00F130DE">
        <w:t>of</w:t>
      </w:r>
      <w:r w:rsidR="00C64050">
        <w:t xml:space="preserve"> </w:t>
      </w:r>
      <w:r w:rsidRPr="00F130DE">
        <w:t>the</w:t>
      </w:r>
      <w:r w:rsidR="00C64050">
        <w:t xml:space="preserve"> </w:t>
      </w:r>
      <w:r w:rsidRPr="00F130DE">
        <w:t>trust</w:t>
      </w:r>
      <w:r w:rsidR="00C64050">
        <w:t xml:space="preserve"> </w:t>
      </w:r>
      <w:r w:rsidRPr="00F130DE">
        <w:t>under</w:t>
      </w:r>
      <w:r w:rsidR="00C64050">
        <w:t xml:space="preserve"> </w:t>
      </w:r>
      <w:r w:rsidRPr="00F130DE">
        <w:t>§§</w:t>
      </w:r>
      <w:r w:rsidR="00C64050">
        <w:t xml:space="preserve"> </w:t>
      </w:r>
      <w:r w:rsidRPr="00F130DE">
        <w:t>673</w:t>
      </w:r>
      <w:r w:rsidR="00C64050">
        <w:t xml:space="preserve"> </w:t>
      </w:r>
      <w:r w:rsidRPr="00F130DE">
        <w:t>to</w:t>
      </w:r>
      <w:r w:rsidR="00C64050">
        <w:t xml:space="preserve"> </w:t>
      </w:r>
      <w:r w:rsidRPr="00F130DE">
        <w:t>677.</w:t>
      </w:r>
    </w:p>
    <w:p w:rsidR="00773146" w:rsidRPr="00F130DE" w:rsidRDefault="00773146" w:rsidP="00244CEA">
      <w:pPr>
        <w:pStyle w:val="QS10"/>
      </w:pPr>
      <w:r w:rsidRPr="00F130DE">
        <w:t>(57)</w:t>
      </w:r>
      <w:r w:rsidR="00C64050">
        <w:t xml:space="preserve"> </w:t>
      </w:r>
      <w:r w:rsidRPr="00F130DE">
        <w:t>Section</w:t>
      </w:r>
      <w:r w:rsidR="00C64050">
        <w:t xml:space="preserve"> </w:t>
      </w:r>
      <w:r w:rsidRPr="00F130DE">
        <w:t>2601.—Tax</w:t>
      </w:r>
      <w:r w:rsidR="00C64050">
        <w:t xml:space="preserve"> </w:t>
      </w:r>
      <w:r w:rsidRPr="00F130DE">
        <w:t>Imposed.—</w:t>
      </w:r>
      <w:r w:rsidR="00C64050">
        <w:t xml:space="preserve"> </w:t>
      </w:r>
      <w:r w:rsidRPr="00F130DE">
        <w:t>Whether</w:t>
      </w:r>
      <w:r w:rsidR="00C64050">
        <w:t xml:space="preserve"> </w:t>
      </w:r>
      <w:r w:rsidRPr="00F130DE">
        <w:t>a</w:t>
      </w:r>
      <w:r w:rsidR="00C64050">
        <w:t xml:space="preserve"> </w:t>
      </w:r>
      <w:r w:rsidRPr="00F130DE">
        <w:t>trust</w:t>
      </w:r>
      <w:r w:rsidR="00C64050">
        <w:t xml:space="preserve"> </w:t>
      </w:r>
      <w:r w:rsidRPr="00F130DE">
        <w:t>that</w:t>
      </w:r>
      <w:r w:rsidR="00C64050">
        <w:t xml:space="preserve"> </w:t>
      </w:r>
      <w:r w:rsidRPr="00F130DE">
        <w:t>is</w:t>
      </w:r>
      <w:r w:rsidR="00C64050">
        <w:t xml:space="preserve"> </w:t>
      </w:r>
      <w:r w:rsidRPr="00F130DE">
        <w:t>exempt</w:t>
      </w:r>
      <w:r w:rsidR="00C64050">
        <w:t xml:space="preserve"> </w:t>
      </w:r>
      <w:r w:rsidRPr="00F130DE">
        <w:t>from</w:t>
      </w:r>
      <w:r w:rsidR="00C64050">
        <w:t xml:space="preserve"> </w:t>
      </w:r>
      <w:r w:rsidRPr="00F130DE">
        <w:t>the</w:t>
      </w:r>
      <w:r w:rsidR="00C64050">
        <w:t xml:space="preserve"> </w:t>
      </w:r>
      <w:r w:rsidRPr="00F130DE">
        <w:t>application</w:t>
      </w:r>
      <w:r w:rsidR="00C64050">
        <w:t xml:space="preserve"> </w:t>
      </w:r>
      <w:r w:rsidRPr="00F130DE">
        <w:t>of</w:t>
      </w:r>
      <w:r w:rsidR="00C64050">
        <w:t xml:space="preserve"> </w:t>
      </w:r>
      <w:r w:rsidRPr="00F130DE">
        <w:t>the</w:t>
      </w:r>
      <w:r w:rsidR="00C64050">
        <w:t xml:space="preserve"> </w:t>
      </w:r>
      <w:r w:rsidRPr="00F130DE">
        <w:t>generation-skipping</w:t>
      </w:r>
      <w:r w:rsidR="00C64050">
        <w:t xml:space="preserve"> </w:t>
      </w:r>
      <w:r w:rsidRPr="00F130DE">
        <w:t>transfer</w:t>
      </w:r>
      <w:r w:rsidR="00C64050">
        <w:t xml:space="preserve"> </w:t>
      </w:r>
      <w:r w:rsidRPr="00F130DE">
        <w:t>tax</w:t>
      </w:r>
      <w:r w:rsidR="00C64050">
        <w:t xml:space="preserve"> </w:t>
      </w:r>
      <w:r w:rsidRPr="00F130DE">
        <w:t>because</w:t>
      </w:r>
      <w:r w:rsidR="00C64050">
        <w:t xml:space="preserve"> </w:t>
      </w:r>
      <w:r w:rsidRPr="00F130DE">
        <w:t>it</w:t>
      </w:r>
      <w:r w:rsidR="00C64050">
        <w:t xml:space="preserve"> </w:t>
      </w:r>
      <w:r w:rsidRPr="00F130DE">
        <w:t>was</w:t>
      </w:r>
      <w:r w:rsidR="00C64050">
        <w:t xml:space="preserve"> </w:t>
      </w:r>
      <w:r w:rsidRPr="00F130DE">
        <w:t>irrevocable</w:t>
      </w:r>
      <w:r w:rsidR="00C64050">
        <w:t xml:space="preserve"> </w:t>
      </w:r>
      <w:r w:rsidRPr="00F130DE">
        <w:t>on</w:t>
      </w:r>
      <w:r w:rsidR="00C64050">
        <w:t xml:space="preserve"> </w:t>
      </w:r>
      <w:r w:rsidRPr="00F130DE">
        <w:t>September</w:t>
      </w:r>
      <w:r w:rsidR="00C64050">
        <w:t xml:space="preserve"> </w:t>
      </w:r>
      <w:r w:rsidRPr="00F130DE">
        <w:t>25,</w:t>
      </w:r>
      <w:r w:rsidR="00C64050">
        <w:t xml:space="preserve"> </w:t>
      </w:r>
      <w:r w:rsidRPr="00F130DE">
        <w:t>1985,</w:t>
      </w:r>
      <w:r w:rsidR="00C64050">
        <w:t xml:space="preserve"> </w:t>
      </w:r>
      <w:r w:rsidRPr="00F130DE">
        <w:t>will</w:t>
      </w:r>
      <w:r w:rsidR="00C64050">
        <w:t xml:space="preserve"> </w:t>
      </w:r>
      <w:r w:rsidRPr="00F130DE">
        <w:t>lose</w:t>
      </w:r>
      <w:r w:rsidR="00C64050">
        <w:t xml:space="preserve"> </w:t>
      </w:r>
      <w:r w:rsidRPr="00F130DE">
        <w:t>its</w:t>
      </w:r>
      <w:r w:rsidR="00C64050">
        <w:t xml:space="preserve"> </w:t>
      </w:r>
      <w:r w:rsidRPr="00F130DE">
        <w:t>exempt</w:t>
      </w:r>
      <w:r w:rsidR="00C64050">
        <w:t xml:space="preserve"> </w:t>
      </w:r>
      <w:r w:rsidRPr="00F130DE">
        <w:t>status</w:t>
      </w:r>
      <w:r w:rsidR="00C64050">
        <w:t xml:space="preserve"> </w:t>
      </w:r>
      <w:r w:rsidRPr="00F130DE">
        <w:t>if</w:t>
      </w:r>
      <w:r w:rsidR="00C64050">
        <w:t xml:space="preserve"> </w:t>
      </w:r>
      <w:r w:rsidRPr="00F130DE">
        <w:t>the</w:t>
      </w:r>
      <w:r w:rsidR="00C64050">
        <w:t xml:space="preserve"> </w:t>
      </w:r>
      <w:r w:rsidRPr="00F130DE">
        <w:t>situs</w:t>
      </w:r>
      <w:r w:rsidR="00C64050">
        <w:t xml:space="preserve"> </w:t>
      </w:r>
      <w:r w:rsidRPr="00F130DE">
        <w:t>of</w:t>
      </w:r>
      <w:r w:rsidR="00C64050">
        <w:t xml:space="preserve"> </w:t>
      </w:r>
      <w:r w:rsidRPr="00F130DE">
        <w:t>the</w:t>
      </w:r>
      <w:r w:rsidR="00C64050">
        <w:t xml:space="preserve"> </w:t>
      </w:r>
      <w:r w:rsidRPr="00F130DE">
        <w:t>trust</w:t>
      </w:r>
      <w:r w:rsidR="00C64050">
        <w:t xml:space="preserve"> </w:t>
      </w:r>
      <w:r w:rsidRPr="00F130DE">
        <w:t>is</w:t>
      </w:r>
      <w:r w:rsidR="00C64050">
        <w:t xml:space="preserve"> </w:t>
      </w:r>
      <w:r w:rsidRPr="00F130DE">
        <w:t>changed</w:t>
      </w:r>
      <w:r w:rsidR="00C64050">
        <w:t xml:space="preserve"> </w:t>
      </w:r>
      <w:r w:rsidRPr="00F130DE">
        <w:t>from</w:t>
      </w:r>
      <w:r w:rsidR="00C64050">
        <w:t xml:space="preserve"> </w:t>
      </w:r>
      <w:r w:rsidRPr="00F130DE">
        <w:t>the</w:t>
      </w:r>
      <w:r w:rsidR="00C64050">
        <w:t xml:space="preserve"> </w:t>
      </w:r>
      <w:r w:rsidRPr="00F130DE">
        <w:t>United</w:t>
      </w:r>
      <w:r w:rsidR="00C64050">
        <w:t xml:space="preserve"> </w:t>
      </w:r>
      <w:r w:rsidRPr="00F130DE">
        <w:t>States</w:t>
      </w:r>
      <w:r w:rsidR="00C64050">
        <w:t xml:space="preserve"> </w:t>
      </w:r>
      <w:r w:rsidRPr="00F130DE">
        <w:t>to</w:t>
      </w:r>
      <w:r w:rsidR="00C64050">
        <w:t xml:space="preserve"> </w:t>
      </w:r>
      <w:r w:rsidRPr="00F130DE">
        <w:t>a</w:t>
      </w:r>
      <w:r w:rsidR="00C64050">
        <w:t xml:space="preserve"> </w:t>
      </w:r>
      <w:r w:rsidRPr="00F130DE">
        <w:t>situs</w:t>
      </w:r>
      <w:r w:rsidR="00C64050">
        <w:t xml:space="preserve"> </w:t>
      </w:r>
      <w:r w:rsidRPr="00F130DE">
        <w:t>outside</w:t>
      </w:r>
      <w:r w:rsidR="00C64050">
        <w:t xml:space="preserve"> </w:t>
      </w:r>
      <w:r w:rsidRPr="00F130DE">
        <w:t>of</w:t>
      </w:r>
      <w:r w:rsidR="00C64050">
        <w:t xml:space="preserve"> </w:t>
      </w:r>
      <w:r w:rsidRPr="00F130DE">
        <w:t>the</w:t>
      </w:r>
      <w:r w:rsidR="00C64050">
        <w:t xml:space="preserve"> </w:t>
      </w:r>
      <w:r w:rsidRPr="00F130DE">
        <w:t>United</w:t>
      </w:r>
      <w:r w:rsidR="00C64050">
        <w:t xml:space="preserve"> </w:t>
      </w:r>
      <w:r w:rsidRPr="00F130DE">
        <w:t>States.</w:t>
      </w:r>
    </w:p>
    <w:p w:rsidR="00773146" w:rsidRPr="00F130DE" w:rsidRDefault="00773146" w:rsidP="00244CEA">
      <w:pPr>
        <w:pStyle w:val="QS10"/>
      </w:pPr>
      <w:r w:rsidRPr="00F130DE">
        <w:t>(58)</w:t>
      </w:r>
      <w:r w:rsidR="00C64050">
        <w:t xml:space="preserve"> </w:t>
      </w:r>
      <w:r w:rsidRPr="00F130DE">
        <w:t>Section</w:t>
      </w:r>
      <w:r w:rsidR="00C64050">
        <w:t xml:space="preserve"> </w:t>
      </w:r>
      <w:r w:rsidRPr="00F130DE">
        <w:t>2702.—Special</w:t>
      </w:r>
      <w:r w:rsidR="00C64050">
        <w:t xml:space="preserve"> </w:t>
      </w:r>
      <w:r w:rsidRPr="00F130DE">
        <w:t>Valuation</w:t>
      </w:r>
      <w:r w:rsidR="00C64050">
        <w:t xml:space="preserve"> </w:t>
      </w:r>
      <w:r w:rsidRPr="00F130DE">
        <w:t>Rules</w:t>
      </w:r>
      <w:r w:rsidR="00C64050">
        <w:t xml:space="preserve"> </w:t>
      </w:r>
      <w:r w:rsidRPr="00F130DE">
        <w:t>in</w:t>
      </w:r>
      <w:r w:rsidR="00C64050">
        <w:t xml:space="preserve"> </w:t>
      </w:r>
      <w:r w:rsidRPr="00F130DE">
        <w:t>Case</w:t>
      </w:r>
      <w:r w:rsidR="00C64050">
        <w:t xml:space="preserve"> </w:t>
      </w:r>
      <w:r w:rsidRPr="00F130DE">
        <w:t>of</w:t>
      </w:r>
      <w:r w:rsidR="00C64050">
        <w:t xml:space="preserve"> </w:t>
      </w:r>
      <w:r w:rsidRPr="00F130DE">
        <w:t>Transfers</w:t>
      </w:r>
      <w:r w:rsidR="00C64050">
        <w:t xml:space="preserve"> </w:t>
      </w:r>
      <w:r w:rsidRPr="00F130DE">
        <w:t>of</w:t>
      </w:r>
      <w:r w:rsidR="00C64050">
        <w:t xml:space="preserve"> </w:t>
      </w:r>
      <w:r w:rsidRPr="00F130DE">
        <w:t>Interests</w:t>
      </w:r>
      <w:r w:rsidR="00C64050">
        <w:t xml:space="preserve"> </w:t>
      </w:r>
      <w:r w:rsidRPr="00F130DE">
        <w:t>in</w:t>
      </w:r>
      <w:r w:rsidR="00C64050">
        <w:t xml:space="preserve"> </w:t>
      </w:r>
      <w:r w:rsidRPr="00F130DE">
        <w:t>Trusts.—Whether</w:t>
      </w:r>
      <w:r w:rsidR="00C64050">
        <w:t xml:space="preserve"> </w:t>
      </w:r>
      <w:r w:rsidRPr="00F130DE">
        <w:t>annuity</w:t>
      </w:r>
      <w:r w:rsidR="00C64050">
        <w:t xml:space="preserve"> </w:t>
      </w:r>
      <w:r w:rsidRPr="00F130DE">
        <w:t>interests</w:t>
      </w:r>
      <w:r w:rsidR="00C64050">
        <w:t xml:space="preserve"> </w:t>
      </w:r>
      <w:r w:rsidRPr="00F130DE">
        <w:t>are</w:t>
      </w:r>
      <w:r w:rsidR="00C64050">
        <w:t xml:space="preserve"> </w:t>
      </w:r>
      <w:r w:rsidRPr="00F130DE">
        <w:t>qualified</w:t>
      </w:r>
      <w:r w:rsidR="00C64050">
        <w:t xml:space="preserve"> </w:t>
      </w:r>
      <w:r w:rsidRPr="00F130DE">
        <w:t>annuity</w:t>
      </w:r>
      <w:r w:rsidR="00C64050">
        <w:t xml:space="preserve"> </w:t>
      </w:r>
      <w:r w:rsidRPr="00F130DE">
        <w:t>interests</w:t>
      </w:r>
      <w:r w:rsidR="00C64050">
        <w:t xml:space="preserve"> </w:t>
      </w:r>
      <w:r w:rsidRPr="00F130DE">
        <w:t>under</w:t>
      </w:r>
      <w:r w:rsidR="00C64050">
        <w:t xml:space="preserve"> </w:t>
      </w:r>
      <w:r w:rsidRPr="00F130DE">
        <w:t>§</w:t>
      </w:r>
      <w:r w:rsidR="00C64050">
        <w:t xml:space="preserve"> </w:t>
      </w:r>
      <w:r w:rsidRPr="00F130DE">
        <w:t>2702</w:t>
      </w:r>
      <w:r w:rsidR="00C64050">
        <w:t xml:space="preserve"> </w:t>
      </w:r>
      <w:r w:rsidRPr="00F130DE">
        <w:t>if</w:t>
      </w:r>
      <w:r w:rsidR="00C64050">
        <w:t xml:space="preserve"> </w:t>
      </w:r>
      <w:r w:rsidRPr="00F130DE">
        <w:t>the</w:t>
      </w:r>
      <w:r w:rsidR="00C64050">
        <w:t xml:space="preserve"> </w:t>
      </w:r>
      <w:r w:rsidRPr="00F130DE">
        <w:t>amount</w:t>
      </w:r>
      <w:r w:rsidR="00C64050">
        <w:t xml:space="preserve"> </w:t>
      </w:r>
      <w:r w:rsidRPr="00F130DE">
        <w:t>of</w:t>
      </w:r>
      <w:r w:rsidR="00C64050">
        <w:t xml:space="preserve"> </w:t>
      </w:r>
      <w:r w:rsidRPr="00F130DE">
        <w:t>the</w:t>
      </w:r>
      <w:r w:rsidR="00C64050">
        <w:t xml:space="preserve"> </w:t>
      </w:r>
      <w:r w:rsidRPr="00F130DE">
        <w:t>annuity</w:t>
      </w:r>
      <w:r w:rsidR="00C64050">
        <w:t xml:space="preserve"> </w:t>
      </w:r>
      <w:r w:rsidRPr="00F130DE">
        <w:t>payable</w:t>
      </w:r>
      <w:r w:rsidR="00C64050">
        <w:t xml:space="preserve"> </w:t>
      </w:r>
      <w:r w:rsidRPr="00F130DE">
        <w:t>annually</w:t>
      </w:r>
      <w:r w:rsidR="00C64050">
        <w:t xml:space="preserve"> </w:t>
      </w:r>
      <w:r w:rsidRPr="00F130DE">
        <w:t>is</w:t>
      </w:r>
      <w:r w:rsidR="00C64050">
        <w:t xml:space="preserve"> </w:t>
      </w:r>
      <w:r w:rsidRPr="00F130DE">
        <w:t>more</w:t>
      </w:r>
      <w:r w:rsidR="00C64050">
        <w:t xml:space="preserve"> </w:t>
      </w:r>
      <w:r w:rsidRPr="00F130DE">
        <w:t>than</w:t>
      </w:r>
      <w:r w:rsidR="00C64050">
        <w:t xml:space="preserve"> </w:t>
      </w:r>
      <w:r w:rsidRPr="00F130DE">
        <w:t>50</w:t>
      </w:r>
      <w:r w:rsidR="00C64050">
        <w:t xml:space="preserve"> </w:t>
      </w:r>
      <w:r w:rsidRPr="00F130DE">
        <w:t>percent</w:t>
      </w:r>
      <w:r w:rsidR="00C64050">
        <w:t xml:space="preserve"> </w:t>
      </w:r>
      <w:r w:rsidRPr="00F130DE">
        <w:t>of</w:t>
      </w:r>
      <w:r w:rsidR="00C64050">
        <w:t xml:space="preserve"> </w:t>
      </w:r>
      <w:r w:rsidRPr="00F130DE">
        <w:t>the</w:t>
      </w:r>
      <w:r w:rsidR="00C64050">
        <w:t xml:space="preserve"> </w:t>
      </w:r>
      <w:r w:rsidRPr="00F130DE">
        <w:t>initial</w:t>
      </w:r>
      <w:r w:rsidR="00C64050">
        <w:t xml:space="preserve"> </w:t>
      </w:r>
      <w:r w:rsidRPr="00F130DE">
        <w:t>net</w:t>
      </w:r>
      <w:r w:rsidR="00C64050">
        <w:t xml:space="preserve"> </w:t>
      </w:r>
      <w:r w:rsidRPr="00F130DE">
        <w:t>fair</w:t>
      </w:r>
      <w:r w:rsidR="00C64050">
        <w:t xml:space="preserve"> </w:t>
      </w:r>
      <w:r w:rsidRPr="00F130DE">
        <w:t>market</w:t>
      </w:r>
      <w:r w:rsidR="00C64050">
        <w:t xml:space="preserve"> </w:t>
      </w:r>
      <w:r w:rsidRPr="00F130DE">
        <w:t>value</w:t>
      </w:r>
      <w:r w:rsidR="00C64050">
        <w:t xml:space="preserve"> </w:t>
      </w:r>
      <w:r w:rsidRPr="00F130DE">
        <w:t>of</w:t>
      </w:r>
      <w:r w:rsidR="00C64050">
        <w:t xml:space="preserve"> </w:t>
      </w:r>
      <w:r w:rsidRPr="00F130DE">
        <w:t>the</w:t>
      </w:r>
      <w:r w:rsidR="00C64050">
        <w:t xml:space="preserve"> </w:t>
      </w:r>
      <w:r w:rsidRPr="00F130DE">
        <w:t>property</w:t>
      </w:r>
      <w:r w:rsidR="00C64050">
        <w:t xml:space="preserve"> </w:t>
      </w:r>
      <w:r w:rsidRPr="00F130DE">
        <w:t>transferred</w:t>
      </w:r>
      <w:r w:rsidR="00C64050">
        <w:t xml:space="preserve"> </w:t>
      </w:r>
      <w:r w:rsidRPr="00F130DE">
        <w:t>to</w:t>
      </w:r>
      <w:r w:rsidR="00C64050">
        <w:t xml:space="preserve"> </w:t>
      </w:r>
      <w:r w:rsidRPr="00F130DE">
        <w:t>the</w:t>
      </w:r>
      <w:r w:rsidR="00C64050">
        <w:t xml:space="preserve"> </w:t>
      </w:r>
      <w:r w:rsidRPr="00F130DE">
        <w:t>trust,</w:t>
      </w:r>
      <w:r w:rsidR="00C64050">
        <w:t xml:space="preserve"> </w:t>
      </w:r>
      <w:r w:rsidRPr="00F130DE">
        <w:t>or</w:t>
      </w:r>
      <w:r w:rsidR="00C64050">
        <w:t xml:space="preserve"> </w:t>
      </w:r>
      <w:r w:rsidRPr="00F130DE">
        <w:t>if</w:t>
      </w:r>
      <w:r w:rsidR="00C64050">
        <w:t xml:space="preserve"> </w:t>
      </w:r>
      <w:r w:rsidRPr="00F130DE">
        <w:t>the</w:t>
      </w:r>
      <w:r w:rsidR="00C64050">
        <w:t xml:space="preserve"> </w:t>
      </w:r>
      <w:r w:rsidRPr="00F130DE">
        <w:t>value</w:t>
      </w:r>
      <w:r w:rsidR="00C64050">
        <w:t xml:space="preserve"> </w:t>
      </w:r>
      <w:r w:rsidRPr="00F130DE">
        <w:t>of</w:t>
      </w:r>
      <w:r w:rsidR="00C64050">
        <w:t xml:space="preserve"> </w:t>
      </w:r>
      <w:r w:rsidRPr="00F130DE">
        <w:t>the</w:t>
      </w:r>
      <w:r w:rsidR="00C64050">
        <w:t xml:space="preserve"> </w:t>
      </w:r>
      <w:r w:rsidRPr="00F130DE">
        <w:t>remainder</w:t>
      </w:r>
      <w:r w:rsidR="00C64050">
        <w:t xml:space="preserve"> </w:t>
      </w:r>
      <w:r w:rsidRPr="00F130DE">
        <w:t>interest</w:t>
      </w:r>
      <w:r w:rsidR="00C64050">
        <w:t xml:space="preserve"> </w:t>
      </w:r>
      <w:r w:rsidRPr="00F130DE">
        <w:t>is</w:t>
      </w:r>
      <w:r w:rsidR="00C64050">
        <w:t xml:space="preserve"> </w:t>
      </w:r>
      <w:r w:rsidRPr="00F130DE">
        <w:t>less</w:t>
      </w:r>
      <w:r w:rsidR="00C64050">
        <w:t xml:space="preserve"> </w:t>
      </w:r>
      <w:r w:rsidRPr="00F130DE">
        <w:t>than</w:t>
      </w:r>
      <w:r w:rsidR="00C64050">
        <w:t xml:space="preserve"> </w:t>
      </w:r>
      <w:r w:rsidRPr="00F130DE">
        <w:t>10</w:t>
      </w:r>
      <w:r w:rsidR="00C64050">
        <w:t xml:space="preserve"> </w:t>
      </w:r>
      <w:r w:rsidRPr="00F130DE">
        <w:t>percent</w:t>
      </w:r>
      <w:r w:rsidR="00C64050">
        <w:t xml:space="preserve"> </w:t>
      </w:r>
      <w:r w:rsidRPr="00F130DE">
        <w:t>of</w:t>
      </w:r>
      <w:r w:rsidR="00C64050">
        <w:t xml:space="preserve"> </w:t>
      </w:r>
      <w:r w:rsidRPr="00F130DE">
        <w:t>the</w:t>
      </w:r>
      <w:r w:rsidR="00C64050">
        <w:t xml:space="preserve"> </w:t>
      </w:r>
      <w:r w:rsidRPr="00F130DE">
        <w:t>initial</w:t>
      </w:r>
      <w:r w:rsidR="00C64050">
        <w:t xml:space="preserve"> </w:t>
      </w:r>
      <w:r w:rsidRPr="00F130DE">
        <w:t>net</w:t>
      </w:r>
      <w:r w:rsidR="00C64050">
        <w:t xml:space="preserve"> </w:t>
      </w:r>
      <w:r w:rsidRPr="00F130DE">
        <w:t>fair</w:t>
      </w:r>
      <w:r w:rsidR="00C64050">
        <w:t xml:space="preserve"> </w:t>
      </w:r>
      <w:r w:rsidRPr="00F130DE">
        <w:t>market</w:t>
      </w:r>
      <w:r w:rsidR="00C64050">
        <w:t xml:space="preserve"> </w:t>
      </w:r>
      <w:r w:rsidRPr="00F130DE">
        <w:t>value</w:t>
      </w:r>
      <w:r w:rsidR="00C64050">
        <w:t xml:space="preserve"> </w:t>
      </w:r>
      <w:r w:rsidRPr="00F130DE">
        <w:t>of</w:t>
      </w:r>
      <w:r w:rsidR="00C64050">
        <w:t xml:space="preserve"> </w:t>
      </w:r>
      <w:r w:rsidRPr="00F130DE">
        <w:t>the</w:t>
      </w:r>
      <w:r w:rsidR="00C64050">
        <w:t xml:space="preserve"> </w:t>
      </w:r>
      <w:r w:rsidRPr="00F130DE">
        <w:t>property</w:t>
      </w:r>
      <w:r w:rsidR="00C64050">
        <w:t xml:space="preserve"> </w:t>
      </w:r>
      <w:r w:rsidRPr="00F130DE">
        <w:t>transferred</w:t>
      </w:r>
      <w:r w:rsidR="00C64050">
        <w:t xml:space="preserve"> </w:t>
      </w:r>
      <w:r w:rsidRPr="00F130DE">
        <w:t>to</w:t>
      </w:r>
      <w:r w:rsidR="00C64050">
        <w:t xml:space="preserve"> </w:t>
      </w:r>
      <w:r w:rsidRPr="00F130DE">
        <w:t>the</w:t>
      </w:r>
      <w:r w:rsidR="00C64050">
        <w:t xml:space="preserve"> </w:t>
      </w:r>
      <w:r w:rsidRPr="00F130DE">
        <w:t>trust.</w:t>
      </w:r>
      <w:r w:rsidR="00C64050">
        <w:t xml:space="preserve"> </w:t>
      </w:r>
      <w:r w:rsidRPr="00F130DE">
        <w:t>For</w:t>
      </w:r>
      <w:r w:rsidR="00C64050">
        <w:t xml:space="preserve"> </w:t>
      </w:r>
      <w:r w:rsidRPr="00F130DE">
        <w:t>purposes</w:t>
      </w:r>
      <w:r w:rsidR="00C64050">
        <w:t xml:space="preserve"> </w:t>
      </w:r>
      <w:r w:rsidRPr="00F130DE">
        <w:t>of</w:t>
      </w:r>
      <w:r w:rsidR="00C64050">
        <w:t xml:space="preserve"> </w:t>
      </w:r>
      <w:r w:rsidRPr="00F130DE">
        <w:t>the</w:t>
      </w:r>
      <w:r w:rsidR="00C64050">
        <w:t xml:space="preserve"> </w:t>
      </w:r>
      <w:r w:rsidRPr="00F130DE">
        <w:t>10</w:t>
      </w:r>
      <w:r w:rsidR="00C64050">
        <w:t xml:space="preserve"> </w:t>
      </w:r>
      <w:r w:rsidRPr="00F130DE">
        <w:t>percent</w:t>
      </w:r>
      <w:r w:rsidR="00C64050">
        <w:t xml:space="preserve"> </w:t>
      </w:r>
      <w:r w:rsidRPr="00F130DE">
        <w:t>test,</w:t>
      </w:r>
      <w:r w:rsidR="00C64050">
        <w:t xml:space="preserve"> </w:t>
      </w:r>
      <w:r w:rsidRPr="00F130DE">
        <w:t>the</w:t>
      </w:r>
      <w:r w:rsidR="00C64050">
        <w:t xml:space="preserve"> </w:t>
      </w:r>
      <w:r w:rsidRPr="00F130DE">
        <w:t>value</w:t>
      </w:r>
      <w:r w:rsidR="00C64050">
        <w:t xml:space="preserve"> </w:t>
      </w:r>
      <w:r w:rsidRPr="00F130DE">
        <w:t>of</w:t>
      </w:r>
      <w:r w:rsidR="00C64050">
        <w:t xml:space="preserve"> </w:t>
      </w:r>
      <w:r w:rsidRPr="00F130DE">
        <w:t>the</w:t>
      </w:r>
      <w:r w:rsidR="00C64050">
        <w:t xml:space="preserve"> </w:t>
      </w:r>
      <w:r w:rsidRPr="00F130DE">
        <w:t>remainder</w:t>
      </w:r>
      <w:r w:rsidR="00C64050">
        <w:t xml:space="preserve"> </w:t>
      </w:r>
      <w:r w:rsidRPr="00F130DE">
        <w:t>interest</w:t>
      </w:r>
      <w:r w:rsidR="00C64050">
        <w:t xml:space="preserve"> </w:t>
      </w:r>
      <w:r w:rsidRPr="00F130DE">
        <w:t>is</w:t>
      </w:r>
      <w:r w:rsidR="00C64050">
        <w:t xml:space="preserve"> </w:t>
      </w:r>
      <w:r w:rsidRPr="00F130DE">
        <w:t>the</w:t>
      </w:r>
      <w:r w:rsidR="00C64050">
        <w:t xml:space="preserve"> </w:t>
      </w:r>
      <w:r w:rsidRPr="00F130DE">
        <w:t>present</w:t>
      </w:r>
      <w:r w:rsidR="00C64050">
        <w:t xml:space="preserve"> </w:t>
      </w:r>
      <w:r w:rsidRPr="00F130DE">
        <w:t>value</w:t>
      </w:r>
      <w:r w:rsidR="00C64050">
        <w:t xml:space="preserve"> </w:t>
      </w:r>
      <w:r w:rsidRPr="00F130DE">
        <w:t>determined</w:t>
      </w:r>
      <w:r w:rsidR="00C64050">
        <w:t xml:space="preserve"> </w:t>
      </w:r>
      <w:r w:rsidRPr="00F130DE">
        <w:t>under</w:t>
      </w:r>
      <w:r w:rsidR="00C64050">
        <w:t xml:space="preserve"> </w:t>
      </w:r>
      <w:r w:rsidRPr="00F130DE">
        <w:t>§</w:t>
      </w:r>
      <w:r w:rsidR="00C64050">
        <w:t xml:space="preserve"> </w:t>
      </w:r>
      <w:r w:rsidRPr="00F130DE">
        <w:t>7520</w:t>
      </w:r>
      <w:r w:rsidR="00C64050">
        <w:t xml:space="preserve"> </w:t>
      </w:r>
      <w:r w:rsidRPr="00F130DE">
        <w:t>of</w:t>
      </w:r>
      <w:r w:rsidR="00C64050">
        <w:t xml:space="preserve"> </w:t>
      </w:r>
      <w:r w:rsidRPr="00F130DE">
        <w:t>the</w:t>
      </w:r>
      <w:r w:rsidR="00C64050">
        <w:t xml:space="preserve"> </w:t>
      </w:r>
      <w:r w:rsidRPr="00F130DE">
        <w:t>right</w:t>
      </w:r>
      <w:r w:rsidR="00C64050">
        <w:t xml:space="preserve"> </w:t>
      </w:r>
      <w:r w:rsidRPr="00F130DE">
        <w:t>to</w:t>
      </w:r>
      <w:r w:rsidR="00C64050">
        <w:t xml:space="preserve"> </w:t>
      </w:r>
      <w:r w:rsidRPr="00F130DE">
        <w:t>receive</w:t>
      </w:r>
      <w:r w:rsidR="00C64050">
        <w:t xml:space="preserve"> </w:t>
      </w:r>
      <w:r w:rsidRPr="00F130DE">
        <w:t>the</w:t>
      </w:r>
      <w:r w:rsidR="00C64050">
        <w:t xml:space="preserve"> </w:t>
      </w:r>
      <w:r w:rsidRPr="00F130DE">
        <w:t>trust</w:t>
      </w:r>
      <w:r w:rsidR="00C64050">
        <w:t xml:space="preserve"> </w:t>
      </w:r>
      <w:r w:rsidRPr="00F130DE">
        <w:t>corpus</w:t>
      </w:r>
      <w:r w:rsidR="00C64050">
        <w:t xml:space="preserve"> </w:t>
      </w:r>
      <w:r w:rsidRPr="00F130DE">
        <w:t>at</w:t>
      </w:r>
      <w:r w:rsidR="00C64050">
        <w:t xml:space="preserve"> </w:t>
      </w:r>
      <w:r w:rsidRPr="00F130DE">
        <w:t>the</w:t>
      </w:r>
      <w:r w:rsidR="00C64050">
        <w:t xml:space="preserve"> </w:t>
      </w:r>
      <w:r w:rsidRPr="00F130DE">
        <w:t>expiration</w:t>
      </w:r>
      <w:r w:rsidR="00C64050">
        <w:t xml:space="preserve"> </w:t>
      </w:r>
      <w:r w:rsidRPr="00F130DE">
        <w:t>of</w:t>
      </w:r>
      <w:r w:rsidR="00C64050">
        <w:t xml:space="preserve"> </w:t>
      </w:r>
      <w:r w:rsidRPr="00F130DE">
        <w:t>the</w:t>
      </w:r>
      <w:r w:rsidR="00C64050">
        <w:t xml:space="preserve"> </w:t>
      </w:r>
      <w:r w:rsidRPr="00F130DE">
        <w:t>term</w:t>
      </w:r>
      <w:r w:rsidR="00C64050">
        <w:t xml:space="preserve"> </w:t>
      </w:r>
      <w:r w:rsidRPr="00F130DE">
        <w:t>of</w:t>
      </w:r>
      <w:r w:rsidR="00C64050">
        <w:t xml:space="preserve"> </w:t>
      </w:r>
      <w:r w:rsidRPr="00F130DE">
        <w:t>the</w:t>
      </w:r>
      <w:r w:rsidR="00C64050">
        <w:t xml:space="preserve"> </w:t>
      </w:r>
      <w:r w:rsidRPr="00F130DE">
        <w:t>trust.</w:t>
      </w:r>
      <w:r w:rsidR="00C64050">
        <w:t xml:space="preserve"> </w:t>
      </w:r>
      <w:r w:rsidRPr="00F130DE">
        <w:t>The</w:t>
      </w:r>
      <w:r w:rsidR="00C64050">
        <w:t xml:space="preserve"> </w:t>
      </w:r>
      <w:r w:rsidRPr="00F130DE">
        <w:t>possibility</w:t>
      </w:r>
      <w:r w:rsidR="00C64050">
        <w:t xml:space="preserve"> </w:t>
      </w:r>
      <w:r w:rsidRPr="00F130DE">
        <w:t>that</w:t>
      </w:r>
      <w:r w:rsidR="00C64050">
        <w:t xml:space="preserve"> </w:t>
      </w:r>
      <w:r w:rsidRPr="00F130DE">
        <w:t>the</w:t>
      </w:r>
      <w:r w:rsidR="00C64050">
        <w:t xml:space="preserve"> </w:t>
      </w:r>
      <w:r w:rsidRPr="00F130DE">
        <w:t>grantor</w:t>
      </w:r>
      <w:r w:rsidR="00C64050">
        <w:t xml:space="preserve"> </w:t>
      </w:r>
      <w:r w:rsidRPr="00F130DE">
        <w:t>may</w:t>
      </w:r>
      <w:r w:rsidR="00C64050">
        <w:t xml:space="preserve"> </w:t>
      </w:r>
      <w:r w:rsidRPr="00F130DE">
        <w:t>die</w:t>
      </w:r>
      <w:r w:rsidR="00C64050">
        <w:t xml:space="preserve"> </w:t>
      </w:r>
      <w:r w:rsidRPr="00F130DE">
        <w:t>prior</w:t>
      </w:r>
      <w:r w:rsidR="00C64050">
        <w:t xml:space="preserve"> </w:t>
      </w:r>
      <w:r w:rsidRPr="00F130DE">
        <w:t>to</w:t>
      </w:r>
      <w:r w:rsidR="00C64050">
        <w:t xml:space="preserve"> </w:t>
      </w:r>
      <w:r w:rsidRPr="00F130DE">
        <w:t>the</w:t>
      </w:r>
      <w:r w:rsidR="00C64050">
        <w:t xml:space="preserve"> </w:t>
      </w:r>
      <w:r w:rsidRPr="00F130DE">
        <w:t>expiration</w:t>
      </w:r>
      <w:r w:rsidR="00C64050">
        <w:t xml:space="preserve"> </w:t>
      </w:r>
      <w:r w:rsidRPr="00F130DE">
        <w:t>of</w:t>
      </w:r>
      <w:r w:rsidR="00C64050">
        <w:t xml:space="preserve"> </w:t>
      </w:r>
      <w:r w:rsidRPr="00F130DE">
        <w:t>the</w:t>
      </w:r>
      <w:r w:rsidR="00C64050">
        <w:t xml:space="preserve"> </w:t>
      </w:r>
      <w:r w:rsidRPr="00F130DE">
        <w:t>specified</w:t>
      </w:r>
      <w:r w:rsidR="00C64050">
        <w:t xml:space="preserve"> </w:t>
      </w:r>
      <w:r w:rsidRPr="00F130DE">
        <w:t>term</w:t>
      </w:r>
      <w:r w:rsidR="00C64050">
        <w:t xml:space="preserve"> </w:t>
      </w:r>
      <w:r w:rsidRPr="00F130DE">
        <w:t>is</w:t>
      </w:r>
      <w:r w:rsidR="00C64050">
        <w:t xml:space="preserve"> </w:t>
      </w:r>
      <w:r w:rsidRPr="00F130DE">
        <w:t>not</w:t>
      </w:r>
      <w:r w:rsidR="00C64050">
        <w:t xml:space="preserve"> </w:t>
      </w:r>
      <w:r w:rsidRPr="00F130DE">
        <w:t>taken</w:t>
      </w:r>
      <w:r w:rsidR="00C64050">
        <w:t xml:space="preserve"> </w:t>
      </w:r>
      <w:r w:rsidRPr="00F130DE">
        <w:t>into</w:t>
      </w:r>
      <w:r w:rsidR="00C64050">
        <w:t xml:space="preserve"> </w:t>
      </w:r>
      <w:r w:rsidRPr="00F130DE">
        <w:t>account,</w:t>
      </w:r>
      <w:r w:rsidR="00C64050">
        <w:t xml:space="preserve"> </w:t>
      </w:r>
      <w:r w:rsidRPr="00F130DE">
        <w:t>nor</w:t>
      </w:r>
      <w:r w:rsidR="00C64050">
        <w:t xml:space="preserve"> </w:t>
      </w:r>
      <w:r w:rsidRPr="00F130DE">
        <w:t>is</w:t>
      </w:r>
      <w:r w:rsidR="00C64050">
        <w:t xml:space="preserve"> </w:t>
      </w:r>
      <w:r w:rsidRPr="00F130DE">
        <w:t>the</w:t>
      </w:r>
      <w:r w:rsidR="00C64050">
        <w:t xml:space="preserve"> </w:t>
      </w:r>
      <w:r w:rsidRPr="00F130DE">
        <w:t>value</w:t>
      </w:r>
      <w:r w:rsidR="00C64050">
        <w:t xml:space="preserve"> </w:t>
      </w:r>
      <w:r w:rsidRPr="00F130DE">
        <w:t>of</w:t>
      </w:r>
      <w:r w:rsidR="00C64050">
        <w:t xml:space="preserve"> </w:t>
      </w:r>
      <w:r w:rsidRPr="00F130DE">
        <w:t>any</w:t>
      </w:r>
      <w:r w:rsidR="00C64050">
        <w:t xml:space="preserve"> </w:t>
      </w:r>
      <w:r w:rsidRPr="00F130DE">
        <w:t>reversion</w:t>
      </w:r>
      <w:r w:rsidR="00C64050">
        <w:t xml:space="preserve"> </w:t>
      </w:r>
      <w:r w:rsidRPr="00F130DE">
        <w:t>retained</w:t>
      </w:r>
      <w:r w:rsidR="00C64050">
        <w:t xml:space="preserve"> </w:t>
      </w:r>
      <w:r w:rsidRPr="00F130DE">
        <w:t>by</w:t>
      </w:r>
      <w:r w:rsidR="00C64050">
        <w:t xml:space="preserve"> </w:t>
      </w:r>
      <w:r w:rsidRPr="00F130DE">
        <w:t>the</w:t>
      </w:r>
      <w:r w:rsidR="00C64050">
        <w:t xml:space="preserve"> </w:t>
      </w:r>
      <w:r w:rsidRPr="00F130DE">
        <w:t>grantor</w:t>
      </w:r>
      <w:r w:rsidR="00C64050">
        <w:t xml:space="preserve"> </w:t>
      </w:r>
      <w:r w:rsidRPr="00F130DE">
        <w:t>or</w:t>
      </w:r>
      <w:r w:rsidR="00C64050">
        <w:t xml:space="preserve"> </w:t>
      </w:r>
      <w:r w:rsidRPr="00F130DE">
        <w:t>the</w:t>
      </w:r>
      <w:r w:rsidR="00C64050">
        <w:t xml:space="preserve"> </w:t>
      </w:r>
      <w:r w:rsidRPr="00F130DE">
        <w:t>grantor's</w:t>
      </w:r>
      <w:r w:rsidR="00C64050">
        <w:t xml:space="preserve"> </w:t>
      </w:r>
      <w:r w:rsidRPr="00F130DE">
        <w:t>estate.</w:t>
      </w:r>
    </w:p>
    <w:p w:rsidR="00773146" w:rsidRPr="00F130DE" w:rsidRDefault="00773146" w:rsidP="00244CEA">
      <w:pPr>
        <w:pStyle w:val="QS10"/>
      </w:pPr>
      <w:r w:rsidRPr="00F130DE">
        <w:t>(59)</w:t>
      </w:r>
      <w:r w:rsidR="00C64050">
        <w:t xml:space="preserve"> </w:t>
      </w:r>
      <w:r w:rsidRPr="00F130DE">
        <w:t>Section</w:t>
      </w:r>
      <w:r w:rsidR="00C64050">
        <w:t xml:space="preserve"> </w:t>
      </w:r>
      <w:r w:rsidRPr="00F130DE">
        <w:t>2702.—Special</w:t>
      </w:r>
      <w:r w:rsidR="00C64050">
        <w:t xml:space="preserve"> </w:t>
      </w:r>
      <w:r w:rsidRPr="00F130DE">
        <w:t>Valuation</w:t>
      </w:r>
      <w:r w:rsidR="00C64050">
        <w:t xml:space="preserve"> </w:t>
      </w:r>
      <w:r w:rsidRPr="00F130DE">
        <w:t>Rules</w:t>
      </w:r>
      <w:r w:rsidR="00C64050">
        <w:t xml:space="preserve"> </w:t>
      </w:r>
      <w:r w:rsidRPr="00F130DE">
        <w:t>in</w:t>
      </w:r>
      <w:r w:rsidR="00C64050">
        <w:t xml:space="preserve"> </w:t>
      </w:r>
      <w:r w:rsidRPr="00F130DE">
        <w:t>Case</w:t>
      </w:r>
      <w:r w:rsidR="00C64050">
        <w:t xml:space="preserve"> </w:t>
      </w:r>
      <w:r w:rsidRPr="00F130DE">
        <w:t>of</w:t>
      </w:r>
      <w:r w:rsidR="00C64050">
        <w:t xml:space="preserve"> </w:t>
      </w:r>
      <w:r w:rsidRPr="00F130DE">
        <w:t>Transfers</w:t>
      </w:r>
      <w:r w:rsidR="00C64050">
        <w:t xml:space="preserve"> </w:t>
      </w:r>
      <w:r w:rsidRPr="00F130DE">
        <w:t>of</w:t>
      </w:r>
      <w:r w:rsidR="00C64050">
        <w:t xml:space="preserve"> </w:t>
      </w:r>
      <w:r w:rsidRPr="00F130DE">
        <w:t>Interests</w:t>
      </w:r>
      <w:r w:rsidR="00C64050">
        <w:t xml:space="preserve"> </w:t>
      </w:r>
      <w:r w:rsidRPr="00F130DE">
        <w:t>in</w:t>
      </w:r>
      <w:r w:rsidR="00C64050">
        <w:t xml:space="preserve"> </w:t>
      </w:r>
      <w:r w:rsidRPr="00F130DE">
        <w:t>Trusts.—Whether</w:t>
      </w:r>
      <w:r w:rsidR="00C64050">
        <w:t xml:space="preserve"> </w:t>
      </w:r>
      <w:r w:rsidRPr="00F130DE">
        <w:t>a</w:t>
      </w:r>
      <w:r w:rsidR="00C64050">
        <w:t xml:space="preserve"> </w:t>
      </w:r>
      <w:r w:rsidRPr="00F130DE">
        <w:t>trust</w:t>
      </w:r>
      <w:r w:rsidR="00C64050">
        <w:t xml:space="preserve"> </w:t>
      </w:r>
      <w:r w:rsidRPr="00F130DE">
        <w:t>with</w:t>
      </w:r>
      <w:r w:rsidR="00C64050">
        <w:t xml:space="preserve"> </w:t>
      </w:r>
      <w:r w:rsidRPr="00F130DE">
        <w:t>one</w:t>
      </w:r>
      <w:r w:rsidR="00C64050">
        <w:t xml:space="preserve"> </w:t>
      </w:r>
      <w:r w:rsidRPr="00F130DE">
        <w:t>term</w:t>
      </w:r>
      <w:r w:rsidR="00C64050">
        <w:t xml:space="preserve"> </w:t>
      </w:r>
      <w:r w:rsidRPr="00F130DE">
        <w:t>holder</w:t>
      </w:r>
      <w:r w:rsidR="00C64050">
        <w:t xml:space="preserve"> </w:t>
      </w:r>
      <w:r w:rsidRPr="00F130DE">
        <w:t>satisfies</w:t>
      </w:r>
      <w:r w:rsidR="00C64050">
        <w:t xml:space="preserve"> </w:t>
      </w:r>
      <w:r w:rsidRPr="00F130DE">
        <w:t>the</w:t>
      </w:r>
      <w:r w:rsidR="00C64050">
        <w:t xml:space="preserve"> </w:t>
      </w:r>
      <w:r w:rsidRPr="00F130DE">
        <w:t>requirements</w:t>
      </w:r>
      <w:r w:rsidR="00C64050">
        <w:t xml:space="preserve"> </w:t>
      </w:r>
      <w:r w:rsidRPr="00F130DE">
        <w:t>of</w:t>
      </w:r>
      <w:r w:rsidR="00C64050">
        <w:t xml:space="preserve"> </w:t>
      </w:r>
      <w:r w:rsidRPr="00F130DE">
        <w:t>§</w:t>
      </w:r>
      <w:r w:rsidR="00C64050">
        <w:t xml:space="preserve"> </w:t>
      </w:r>
      <w:r w:rsidRPr="00F130DE">
        <w:t>2702(a)(3)(A)</w:t>
      </w:r>
      <w:r w:rsidR="00C64050">
        <w:t xml:space="preserve"> </w:t>
      </w:r>
      <w:r w:rsidRPr="00F130DE">
        <w:t>and</w:t>
      </w:r>
      <w:r w:rsidR="00C64050">
        <w:t xml:space="preserve"> </w:t>
      </w:r>
      <w:r w:rsidRPr="00F130DE">
        <w:t>§</w:t>
      </w:r>
      <w:r w:rsidR="00C64050">
        <w:t xml:space="preserve"> </w:t>
      </w:r>
      <w:r w:rsidRPr="00F130DE">
        <w:t>25.2702-5(c)</w:t>
      </w:r>
      <w:r w:rsidR="00C64050">
        <w:t xml:space="preserve"> </w:t>
      </w:r>
      <w:r w:rsidRPr="00F130DE">
        <w:t>to</w:t>
      </w:r>
      <w:r w:rsidR="00C64050">
        <w:t xml:space="preserve"> </w:t>
      </w:r>
      <w:r w:rsidRPr="00F130DE">
        <w:t>be</w:t>
      </w:r>
      <w:r w:rsidR="00C64050">
        <w:t xml:space="preserve"> </w:t>
      </w:r>
      <w:r w:rsidRPr="00F130DE">
        <w:t>a</w:t>
      </w:r>
      <w:r w:rsidR="00C64050">
        <w:t xml:space="preserve"> </w:t>
      </w:r>
      <w:r w:rsidRPr="00F130DE">
        <w:t>qualified</w:t>
      </w:r>
      <w:r w:rsidR="00C64050">
        <w:t xml:space="preserve"> </w:t>
      </w:r>
      <w:r w:rsidRPr="00F130DE">
        <w:t>personal</w:t>
      </w:r>
      <w:r w:rsidR="00C64050">
        <w:t xml:space="preserve"> </w:t>
      </w:r>
      <w:r w:rsidRPr="00F130DE">
        <w:t>residence</w:t>
      </w:r>
      <w:r w:rsidR="00C64050">
        <w:t xml:space="preserve"> </w:t>
      </w:r>
      <w:r w:rsidRPr="00F130DE">
        <w:t>trust.</w:t>
      </w:r>
    </w:p>
    <w:p w:rsidR="00773146" w:rsidRPr="00F130DE" w:rsidRDefault="00773146" w:rsidP="00244CEA">
      <w:pPr>
        <w:pStyle w:val="QS10"/>
      </w:pPr>
      <w:r w:rsidRPr="00F130DE">
        <w:t>(60)</w:t>
      </w:r>
      <w:r w:rsidR="00C64050">
        <w:t xml:space="preserve"> </w:t>
      </w:r>
      <w:r w:rsidRPr="00F130DE">
        <w:t>Section</w:t>
      </w:r>
      <w:r w:rsidR="00C64050">
        <w:t xml:space="preserve"> </w:t>
      </w:r>
      <w:r w:rsidRPr="00F130DE">
        <w:t>2702.—Special</w:t>
      </w:r>
      <w:r w:rsidR="00C64050">
        <w:t xml:space="preserve"> </w:t>
      </w:r>
      <w:r w:rsidRPr="00F130DE">
        <w:t>Valuation</w:t>
      </w:r>
      <w:r w:rsidR="00C64050">
        <w:t xml:space="preserve"> </w:t>
      </w:r>
      <w:r w:rsidRPr="00F130DE">
        <w:t>Rules</w:t>
      </w:r>
      <w:r w:rsidR="00C64050">
        <w:t xml:space="preserve"> </w:t>
      </w:r>
      <w:r w:rsidRPr="00F130DE">
        <w:t>in</w:t>
      </w:r>
      <w:r w:rsidR="00C64050">
        <w:t xml:space="preserve"> </w:t>
      </w:r>
      <w:r w:rsidRPr="00F130DE">
        <w:t>Case</w:t>
      </w:r>
      <w:r w:rsidR="00C64050">
        <w:t xml:space="preserve"> </w:t>
      </w:r>
      <w:r w:rsidRPr="00F130DE">
        <w:t>of</w:t>
      </w:r>
      <w:r w:rsidR="00C64050">
        <w:t xml:space="preserve"> </w:t>
      </w:r>
      <w:r w:rsidRPr="00F130DE">
        <w:t>Transfers</w:t>
      </w:r>
      <w:r w:rsidR="00C64050">
        <w:t xml:space="preserve"> </w:t>
      </w:r>
      <w:r w:rsidRPr="00F130DE">
        <w:t>of</w:t>
      </w:r>
      <w:r w:rsidR="00C64050">
        <w:t xml:space="preserve"> </w:t>
      </w:r>
      <w:r w:rsidRPr="00F130DE">
        <w:t>Interests</w:t>
      </w:r>
      <w:r w:rsidR="00C64050">
        <w:t xml:space="preserve"> </w:t>
      </w:r>
      <w:r w:rsidRPr="00F130DE">
        <w:t>in</w:t>
      </w:r>
      <w:r w:rsidR="00C64050">
        <w:t xml:space="preserve"> </w:t>
      </w:r>
      <w:r w:rsidRPr="00F130DE">
        <w:t>Trusts.—Whether</w:t>
      </w:r>
      <w:r w:rsidR="00C64050">
        <w:t xml:space="preserve"> </w:t>
      </w:r>
      <w:r w:rsidRPr="00F130DE">
        <w:t>the</w:t>
      </w:r>
      <w:r w:rsidR="00C64050">
        <w:t xml:space="preserve"> </w:t>
      </w:r>
      <w:r w:rsidRPr="00F130DE">
        <w:t>sale</w:t>
      </w:r>
      <w:r w:rsidR="00C64050">
        <w:t xml:space="preserve"> </w:t>
      </w:r>
      <w:r w:rsidRPr="00F130DE">
        <w:t>of</w:t>
      </w:r>
      <w:r w:rsidR="00C64050">
        <w:t xml:space="preserve"> </w:t>
      </w:r>
      <w:r w:rsidRPr="00F130DE">
        <w:t>property</w:t>
      </w:r>
      <w:r w:rsidR="00C64050">
        <w:t xml:space="preserve"> </w:t>
      </w:r>
      <w:r w:rsidRPr="00F130DE">
        <w:t>(including</w:t>
      </w:r>
      <w:r w:rsidR="00C64050">
        <w:t xml:space="preserve"> </w:t>
      </w:r>
      <w:r w:rsidRPr="00F130DE">
        <w:t>insurance</w:t>
      </w:r>
      <w:r w:rsidR="00C64050">
        <w:t xml:space="preserve"> </w:t>
      </w:r>
      <w:r w:rsidRPr="00F130DE">
        <w:t>policies)</w:t>
      </w:r>
      <w:r w:rsidR="00C64050">
        <w:t xml:space="preserve"> </w:t>
      </w:r>
      <w:r w:rsidRPr="00F130DE">
        <w:t>to</w:t>
      </w:r>
      <w:r w:rsidR="00C64050">
        <w:t xml:space="preserve"> </w:t>
      </w:r>
      <w:r w:rsidRPr="00F130DE">
        <w:t>a</w:t>
      </w:r>
      <w:r w:rsidR="00C64050">
        <w:t xml:space="preserve"> </w:t>
      </w:r>
      <w:r w:rsidRPr="00F130DE">
        <w:t>trust</w:t>
      </w:r>
      <w:r w:rsidR="00C64050">
        <w:t xml:space="preserve"> </w:t>
      </w:r>
      <w:r w:rsidRPr="00F130DE">
        <w:t>by</w:t>
      </w:r>
      <w:r w:rsidR="00C64050">
        <w:t xml:space="preserve"> </w:t>
      </w:r>
      <w:r w:rsidRPr="00F130DE">
        <w:t>a</w:t>
      </w:r>
      <w:r w:rsidR="00C64050">
        <w:t xml:space="preserve"> </w:t>
      </w:r>
      <w:r w:rsidRPr="00F130DE">
        <w:t>trust</w:t>
      </w:r>
      <w:r w:rsidR="00C64050">
        <w:t xml:space="preserve"> </w:t>
      </w:r>
      <w:r w:rsidRPr="00F130DE">
        <w:t>beneficiary</w:t>
      </w:r>
      <w:r w:rsidR="00C64050">
        <w:t xml:space="preserve"> </w:t>
      </w:r>
      <w:r w:rsidRPr="00F130DE">
        <w:t>is</w:t>
      </w:r>
      <w:r w:rsidR="00C64050">
        <w:t xml:space="preserve"> </w:t>
      </w:r>
      <w:r w:rsidRPr="00F130DE">
        <w:t>subject</w:t>
      </w:r>
      <w:r w:rsidR="00C64050">
        <w:t xml:space="preserve"> </w:t>
      </w:r>
      <w:r w:rsidRPr="00F130DE">
        <w:t>to</w:t>
      </w:r>
      <w:r w:rsidR="00C64050">
        <w:t xml:space="preserve"> </w:t>
      </w:r>
      <w:r w:rsidRPr="00F130DE">
        <w:t>§</w:t>
      </w:r>
      <w:r w:rsidR="00C64050">
        <w:t xml:space="preserve"> </w:t>
      </w:r>
      <w:r w:rsidRPr="00F130DE">
        <w:t>2702</w:t>
      </w:r>
      <w:r w:rsidR="00C64050">
        <w:t xml:space="preserve"> </w:t>
      </w:r>
      <w:r w:rsidRPr="00F130DE">
        <w:t>if</w:t>
      </w:r>
      <w:r w:rsidR="00C64050">
        <w:t xml:space="preserve"> </w:t>
      </w:r>
      <w:r w:rsidRPr="00F130DE">
        <w:t>(i)</w:t>
      </w:r>
      <w:r w:rsidR="00C64050">
        <w:t xml:space="preserve"> </w:t>
      </w:r>
      <w:r w:rsidRPr="00F130DE">
        <w:t>the</w:t>
      </w:r>
      <w:r w:rsidR="00C64050">
        <w:t xml:space="preserve"> </w:t>
      </w:r>
      <w:r w:rsidRPr="00F130DE">
        <w:t>beneficiary</w:t>
      </w:r>
      <w:r w:rsidR="00C64050">
        <w:t xml:space="preserve"> </w:t>
      </w:r>
      <w:r w:rsidRPr="00F130DE">
        <w:t>has</w:t>
      </w:r>
      <w:r w:rsidR="00C64050">
        <w:t xml:space="preserve"> </w:t>
      </w:r>
      <w:r w:rsidRPr="00F130DE">
        <w:t>a</w:t>
      </w:r>
      <w:r w:rsidR="00C64050">
        <w:t xml:space="preserve"> </w:t>
      </w:r>
      <w:r w:rsidRPr="00F130DE">
        <w:t>power</w:t>
      </w:r>
      <w:r w:rsidR="00C64050">
        <w:t xml:space="preserve"> </w:t>
      </w:r>
      <w:r w:rsidRPr="00F130DE">
        <w:t>to</w:t>
      </w:r>
      <w:r w:rsidR="00C64050">
        <w:t xml:space="preserve"> </w:t>
      </w:r>
      <w:r w:rsidRPr="00F130DE">
        <w:t>withdraw</w:t>
      </w:r>
      <w:r w:rsidR="00C64050">
        <w:t xml:space="preserve"> </w:t>
      </w:r>
      <w:r w:rsidRPr="00F130DE">
        <w:t>the</w:t>
      </w:r>
      <w:r w:rsidR="00C64050">
        <w:t xml:space="preserve"> </w:t>
      </w:r>
      <w:r w:rsidRPr="00F130DE">
        <w:t>trust</w:t>
      </w:r>
      <w:r w:rsidR="00C64050">
        <w:t xml:space="preserve"> </w:t>
      </w:r>
      <w:r w:rsidRPr="00F130DE">
        <w:t>property</w:t>
      </w:r>
      <w:r w:rsidR="00C64050">
        <w:t xml:space="preserve"> </w:t>
      </w:r>
      <w:r w:rsidRPr="00F130DE">
        <w:t>(or</w:t>
      </w:r>
      <w:r w:rsidR="00C64050">
        <w:t xml:space="preserve"> </w:t>
      </w:r>
      <w:r w:rsidRPr="00F130DE">
        <w:t>had</w:t>
      </w:r>
      <w:r w:rsidR="00C64050">
        <w:t xml:space="preserve"> </w:t>
      </w:r>
      <w:r w:rsidRPr="00F130DE">
        <w:t>such</w:t>
      </w:r>
      <w:r w:rsidR="00C64050">
        <w:t xml:space="preserve"> </w:t>
      </w:r>
      <w:r w:rsidRPr="00F130DE">
        <w:t>power</w:t>
      </w:r>
      <w:r w:rsidR="00C64050">
        <w:t xml:space="preserve"> </w:t>
      </w:r>
      <w:r w:rsidRPr="00F130DE">
        <w:t>prior</w:t>
      </w:r>
      <w:r w:rsidR="00C64050">
        <w:t xml:space="preserve"> </w:t>
      </w:r>
      <w:r w:rsidRPr="00F130DE">
        <w:t>to</w:t>
      </w:r>
      <w:r w:rsidR="00C64050">
        <w:t xml:space="preserve"> </w:t>
      </w:r>
      <w:r w:rsidRPr="00F130DE">
        <w:t>a</w:t>
      </w:r>
      <w:r w:rsidR="00C64050">
        <w:t xml:space="preserve"> </w:t>
      </w:r>
      <w:r w:rsidRPr="00F130DE">
        <w:t>release</w:t>
      </w:r>
      <w:r w:rsidR="00C64050">
        <w:t xml:space="preserve"> </w:t>
      </w:r>
      <w:r w:rsidRPr="00F130DE">
        <w:t>or</w:t>
      </w:r>
      <w:r w:rsidR="00C64050">
        <w:t xml:space="preserve"> </w:t>
      </w:r>
      <w:r w:rsidRPr="00F130DE">
        <w:t>modification,</w:t>
      </w:r>
      <w:r w:rsidR="00C64050">
        <w:t xml:space="preserve"> </w:t>
      </w:r>
      <w:r w:rsidRPr="00F130DE">
        <w:t>but</w:t>
      </w:r>
      <w:r w:rsidR="00C64050">
        <w:t xml:space="preserve"> </w:t>
      </w:r>
      <w:r w:rsidRPr="00F130DE">
        <w:t>retains</w:t>
      </w:r>
      <w:r w:rsidR="00C64050">
        <w:t xml:space="preserve"> </w:t>
      </w:r>
      <w:r w:rsidRPr="00F130DE">
        <w:t>other</w:t>
      </w:r>
      <w:r w:rsidR="00C64050">
        <w:t xml:space="preserve"> </w:t>
      </w:r>
      <w:r w:rsidRPr="00F130DE">
        <w:t>powers</w:t>
      </w:r>
      <w:r w:rsidR="00C64050">
        <w:t xml:space="preserve"> </w:t>
      </w:r>
      <w:r w:rsidRPr="00F130DE">
        <w:t>which</w:t>
      </w:r>
      <w:r w:rsidR="00C64050">
        <w:t xml:space="preserve"> </w:t>
      </w:r>
      <w:r w:rsidRPr="00F130DE">
        <w:t>would</w:t>
      </w:r>
      <w:r w:rsidR="00C64050">
        <w:t xml:space="preserve"> </w:t>
      </w:r>
      <w:r w:rsidRPr="00F130DE">
        <w:t>cause</w:t>
      </w:r>
      <w:r w:rsidR="00C64050">
        <w:t xml:space="preserve"> </w:t>
      </w:r>
      <w:r w:rsidRPr="00F130DE">
        <w:t>that</w:t>
      </w:r>
      <w:r w:rsidR="00C64050">
        <w:t xml:space="preserve"> </w:t>
      </w:r>
      <w:r w:rsidRPr="00F130DE">
        <w:t>person</w:t>
      </w:r>
      <w:r w:rsidR="00C64050">
        <w:t xml:space="preserve"> </w:t>
      </w:r>
      <w:r w:rsidRPr="00F130DE">
        <w:t>to</w:t>
      </w:r>
      <w:r w:rsidR="00C64050">
        <w:t xml:space="preserve"> </w:t>
      </w:r>
      <w:r w:rsidRPr="00F130DE">
        <w:t>be</w:t>
      </w:r>
      <w:r w:rsidR="00C64050">
        <w:t xml:space="preserve"> </w:t>
      </w:r>
      <w:r w:rsidRPr="00F130DE">
        <w:t>the</w:t>
      </w:r>
      <w:r w:rsidR="00C64050">
        <w:t xml:space="preserve"> </w:t>
      </w:r>
      <w:r w:rsidRPr="00F130DE">
        <w:t>owner</w:t>
      </w:r>
      <w:r w:rsidR="00C64050">
        <w:t xml:space="preserve"> </w:t>
      </w:r>
      <w:r w:rsidRPr="00F130DE">
        <w:t>if</w:t>
      </w:r>
      <w:r w:rsidR="00C64050">
        <w:t xml:space="preserve"> </w:t>
      </w:r>
      <w:r w:rsidRPr="00F130DE">
        <w:t>the</w:t>
      </w:r>
      <w:r w:rsidR="00C64050">
        <w:t xml:space="preserve"> </w:t>
      </w:r>
      <w:r w:rsidRPr="00F130DE">
        <w:t>person</w:t>
      </w:r>
      <w:r w:rsidR="00C64050">
        <w:t xml:space="preserve"> </w:t>
      </w:r>
      <w:r w:rsidRPr="00F130DE">
        <w:t>were</w:t>
      </w:r>
      <w:r w:rsidR="00C64050">
        <w:t xml:space="preserve"> </w:t>
      </w:r>
      <w:r w:rsidRPr="00F130DE">
        <w:t>the</w:t>
      </w:r>
      <w:r w:rsidR="00C64050">
        <w:t xml:space="preserve"> </w:t>
      </w:r>
      <w:r w:rsidRPr="00F130DE">
        <w:t>grantor),</w:t>
      </w:r>
      <w:r w:rsidR="00C64050">
        <w:t xml:space="preserve"> </w:t>
      </w:r>
      <w:r w:rsidRPr="00F130DE">
        <w:t>other</w:t>
      </w:r>
      <w:r w:rsidR="00C64050">
        <w:t xml:space="preserve"> </w:t>
      </w:r>
      <w:r w:rsidRPr="00F130DE">
        <w:t>than</w:t>
      </w:r>
      <w:r w:rsidR="00C64050">
        <w:t xml:space="preserve"> </w:t>
      </w:r>
      <w:r w:rsidRPr="00F130DE">
        <w:t>a</w:t>
      </w:r>
      <w:r w:rsidR="00C64050">
        <w:t xml:space="preserve"> </w:t>
      </w:r>
      <w:r w:rsidRPr="00F130DE">
        <w:t>power</w:t>
      </w:r>
      <w:r w:rsidR="00C64050">
        <w:t xml:space="preserve"> </w:t>
      </w:r>
      <w:r w:rsidRPr="00F130DE">
        <w:t>which</w:t>
      </w:r>
      <w:r w:rsidR="00C64050">
        <w:t xml:space="preserve"> </w:t>
      </w:r>
      <w:r w:rsidRPr="00F130DE">
        <w:t>would</w:t>
      </w:r>
      <w:r w:rsidR="00C64050">
        <w:t xml:space="preserve"> </w:t>
      </w:r>
      <w:r w:rsidRPr="00F130DE">
        <w:t>constitute</w:t>
      </w:r>
      <w:r w:rsidR="00C64050">
        <w:t xml:space="preserve"> </w:t>
      </w:r>
      <w:r w:rsidRPr="00F130DE">
        <w:t>a</w:t>
      </w:r>
      <w:r w:rsidR="00C64050">
        <w:t xml:space="preserve"> </w:t>
      </w:r>
      <w:r w:rsidRPr="00F130DE">
        <w:t>general</w:t>
      </w:r>
      <w:r w:rsidR="00C64050">
        <w:t xml:space="preserve"> </w:t>
      </w:r>
      <w:r w:rsidRPr="00F130DE">
        <w:t>power</w:t>
      </w:r>
      <w:r w:rsidR="00C64050">
        <w:t xml:space="preserve"> </w:t>
      </w:r>
      <w:r w:rsidRPr="00F130DE">
        <w:t>of</w:t>
      </w:r>
      <w:r w:rsidR="00C64050">
        <w:t xml:space="preserve"> </w:t>
      </w:r>
      <w:r w:rsidRPr="00F130DE">
        <w:t>appointment</w:t>
      </w:r>
      <w:r w:rsidR="00C64050">
        <w:t xml:space="preserve"> </w:t>
      </w:r>
      <w:r w:rsidRPr="00F130DE">
        <w:t>within</w:t>
      </w:r>
      <w:r w:rsidR="00C64050">
        <w:t xml:space="preserve"> </w:t>
      </w:r>
      <w:r w:rsidRPr="00F130DE">
        <w:t>the</w:t>
      </w:r>
      <w:r w:rsidR="00C64050">
        <w:t xml:space="preserve"> </w:t>
      </w:r>
      <w:r w:rsidRPr="00F130DE">
        <w:t>meaning</w:t>
      </w:r>
      <w:r w:rsidR="00C64050">
        <w:t xml:space="preserve"> </w:t>
      </w:r>
      <w:r w:rsidRPr="00F130DE">
        <w:t>of</w:t>
      </w:r>
      <w:r w:rsidR="00C64050">
        <w:t xml:space="preserve"> </w:t>
      </w:r>
      <w:r w:rsidRPr="00F130DE">
        <w:t>§</w:t>
      </w:r>
      <w:r w:rsidR="00C64050">
        <w:t xml:space="preserve"> </w:t>
      </w:r>
      <w:r w:rsidRPr="00F130DE">
        <w:t>2041,</w:t>
      </w:r>
      <w:r w:rsidR="00C64050">
        <w:t xml:space="preserve"> </w:t>
      </w:r>
      <w:r w:rsidRPr="00F130DE">
        <w:t>(ii)</w:t>
      </w:r>
      <w:r w:rsidR="00C64050">
        <w:t xml:space="preserve"> </w:t>
      </w:r>
      <w:r w:rsidRPr="00F130DE">
        <w:t>the</w:t>
      </w:r>
      <w:r w:rsidR="00C64050">
        <w:t xml:space="preserve"> </w:t>
      </w:r>
      <w:r w:rsidRPr="00F130DE">
        <w:t>trust</w:t>
      </w:r>
      <w:r w:rsidR="00C64050">
        <w:t xml:space="preserve"> </w:t>
      </w:r>
      <w:r w:rsidRPr="00F130DE">
        <w:t>purchases</w:t>
      </w:r>
      <w:r w:rsidR="00C64050">
        <w:t xml:space="preserve"> </w:t>
      </w:r>
      <w:r w:rsidRPr="00F130DE">
        <w:t>the</w:t>
      </w:r>
      <w:r w:rsidR="00C64050">
        <w:t xml:space="preserve"> </w:t>
      </w:r>
      <w:r w:rsidRPr="00F130DE">
        <w:t>property</w:t>
      </w:r>
      <w:r w:rsidR="00C64050">
        <w:t xml:space="preserve"> </w:t>
      </w:r>
      <w:r w:rsidRPr="00F130DE">
        <w:t>with</w:t>
      </w:r>
      <w:r w:rsidR="00C64050">
        <w:t xml:space="preserve"> </w:t>
      </w:r>
      <w:r w:rsidRPr="00F130DE">
        <w:t>a</w:t>
      </w:r>
      <w:r w:rsidR="00C64050">
        <w:t xml:space="preserve"> </w:t>
      </w:r>
      <w:r w:rsidRPr="00F130DE">
        <w:t>note,</w:t>
      </w:r>
      <w:r w:rsidR="00C64050">
        <w:t xml:space="preserve"> </w:t>
      </w:r>
      <w:r w:rsidRPr="00F130DE">
        <w:t>and</w:t>
      </w:r>
      <w:r w:rsidR="00C64050">
        <w:t xml:space="preserve"> </w:t>
      </w:r>
      <w:r w:rsidRPr="00F130DE">
        <w:t>(iii)</w:t>
      </w:r>
      <w:r w:rsidR="00C64050">
        <w:t xml:space="preserve"> </w:t>
      </w:r>
      <w:r w:rsidRPr="00F130DE">
        <w:t>the</w:t>
      </w:r>
      <w:r w:rsidR="00C64050">
        <w:t xml:space="preserve"> </w:t>
      </w:r>
      <w:r w:rsidRPr="00F130DE">
        <w:t>value</w:t>
      </w:r>
      <w:r w:rsidR="00C64050">
        <w:t xml:space="preserve"> </w:t>
      </w:r>
      <w:r w:rsidRPr="00F130DE">
        <w:t>of</w:t>
      </w:r>
      <w:r w:rsidR="00C64050">
        <w:t xml:space="preserve"> </w:t>
      </w:r>
      <w:r w:rsidRPr="00F130DE">
        <w:t>the</w:t>
      </w:r>
      <w:r w:rsidR="00C64050">
        <w:t xml:space="preserve"> </w:t>
      </w:r>
      <w:r w:rsidRPr="00F130DE">
        <w:t>assets</w:t>
      </w:r>
      <w:r w:rsidR="00C64050">
        <w:t xml:space="preserve"> </w:t>
      </w:r>
      <w:r w:rsidRPr="00F130DE">
        <w:t>with</w:t>
      </w:r>
      <w:r w:rsidR="00C64050">
        <w:t xml:space="preserve"> </w:t>
      </w:r>
      <w:r w:rsidRPr="00F130DE">
        <w:t>which</w:t>
      </w:r>
      <w:r w:rsidR="00C64050">
        <w:t xml:space="preserve"> </w:t>
      </w:r>
      <w:r w:rsidRPr="00F130DE">
        <w:t>the</w:t>
      </w:r>
      <w:r w:rsidR="00C64050">
        <w:t xml:space="preserve"> </w:t>
      </w:r>
      <w:r w:rsidRPr="00F130DE">
        <w:t>trust</w:t>
      </w:r>
      <w:r w:rsidR="00C64050">
        <w:t xml:space="preserve"> </w:t>
      </w:r>
      <w:r w:rsidRPr="00F130DE">
        <w:t>was</w:t>
      </w:r>
      <w:r w:rsidR="00C64050">
        <w:t xml:space="preserve"> </w:t>
      </w:r>
      <w:r w:rsidRPr="00F130DE">
        <w:t>funded</w:t>
      </w:r>
      <w:r w:rsidR="00C64050">
        <w:t xml:space="preserve"> </w:t>
      </w:r>
      <w:r w:rsidRPr="00F130DE">
        <w:t>by</w:t>
      </w:r>
      <w:r w:rsidR="00C64050">
        <w:t xml:space="preserve"> </w:t>
      </w:r>
      <w:r w:rsidRPr="00F130DE">
        <w:t>the</w:t>
      </w:r>
      <w:r w:rsidR="00C64050">
        <w:t xml:space="preserve"> </w:t>
      </w:r>
      <w:r w:rsidRPr="00F130DE">
        <w:t>grantor</w:t>
      </w:r>
      <w:r w:rsidR="00C64050">
        <w:t xml:space="preserve"> </w:t>
      </w:r>
      <w:r w:rsidRPr="00F130DE">
        <w:t>is</w:t>
      </w:r>
      <w:r w:rsidR="00C64050">
        <w:t xml:space="preserve"> </w:t>
      </w:r>
      <w:r w:rsidRPr="00F130DE">
        <w:t>nominal</w:t>
      </w:r>
      <w:r w:rsidR="00C64050">
        <w:t xml:space="preserve"> </w:t>
      </w:r>
      <w:r w:rsidRPr="00F130DE">
        <w:t>compared</w:t>
      </w:r>
      <w:r w:rsidR="00C64050">
        <w:t xml:space="preserve"> </w:t>
      </w:r>
      <w:r w:rsidRPr="00F130DE">
        <w:t>to</w:t>
      </w:r>
      <w:r w:rsidR="00C64050">
        <w:t xml:space="preserve"> </w:t>
      </w:r>
      <w:r w:rsidRPr="00F130DE">
        <w:t>the</w:t>
      </w:r>
      <w:r w:rsidR="00C64050">
        <w:t xml:space="preserve"> </w:t>
      </w:r>
      <w:r w:rsidRPr="00F130DE">
        <w:t>value</w:t>
      </w:r>
      <w:r w:rsidR="00C64050">
        <w:t xml:space="preserve"> </w:t>
      </w:r>
      <w:r w:rsidRPr="00F130DE">
        <w:t>of</w:t>
      </w:r>
      <w:r w:rsidR="00C64050">
        <w:t xml:space="preserve"> </w:t>
      </w:r>
      <w:r w:rsidRPr="00F130DE">
        <w:t>the</w:t>
      </w:r>
      <w:r w:rsidR="00C64050">
        <w:t xml:space="preserve"> </w:t>
      </w:r>
      <w:r w:rsidRPr="00F130DE">
        <w:t>property</w:t>
      </w:r>
      <w:r w:rsidR="00C64050">
        <w:t xml:space="preserve"> </w:t>
      </w:r>
      <w:r w:rsidRPr="00F130DE">
        <w:t>purchased.</w:t>
      </w:r>
    </w:p>
    <w:p w:rsidR="00773146" w:rsidRDefault="00773146" w:rsidP="00244CEA">
      <w:pPr>
        <w:pStyle w:val="Body15"/>
        <w:spacing w:before="240"/>
        <w:rPr>
          <w:lang w:eastAsia="en-GB"/>
        </w:rPr>
      </w:pPr>
      <w:r w:rsidRPr="00F130DE">
        <w:rPr>
          <w:lang w:eastAsia="en-GB"/>
        </w:rPr>
        <w:t>Finally,</w:t>
      </w:r>
      <w:r w:rsidR="00C64050">
        <w:rPr>
          <w:lang w:eastAsia="en-GB"/>
        </w:rPr>
        <w:t xml:space="preserve"> </w:t>
      </w:r>
      <w:r w:rsidRPr="00244CEA">
        <w:rPr>
          <w:bCs/>
          <w:szCs w:val="20"/>
        </w:rPr>
        <w:t>rulings</w:t>
      </w:r>
      <w:r w:rsidR="00C64050">
        <w:rPr>
          <w:lang w:eastAsia="en-GB"/>
        </w:rPr>
        <w:t xml:space="preserve"> </w:t>
      </w:r>
      <w:r w:rsidRPr="00F130DE">
        <w:rPr>
          <w:lang w:eastAsia="en-GB"/>
        </w:rPr>
        <w:t>related</w:t>
      </w:r>
      <w:r w:rsidR="00C64050">
        <w:rPr>
          <w:lang w:eastAsia="en-GB"/>
        </w:rPr>
        <w:t xml:space="preserve"> </w:t>
      </w:r>
      <w:r w:rsidRPr="00F130DE">
        <w:rPr>
          <w:lang w:eastAsia="en-GB"/>
        </w:rPr>
        <w:t>to</w:t>
      </w:r>
      <w:r w:rsidR="00C64050">
        <w:rPr>
          <w:lang w:eastAsia="en-GB"/>
        </w:rPr>
        <w:t xml:space="preserve"> </w:t>
      </w:r>
      <w:r w:rsidRPr="00F130DE">
        <w:rPr>
          <w:lang w:eastAsia="en-GB"/>
        </w:rPr>
        <w:t>private</w:t>
      </w:r>
      <w:r w:rsidR="00C64050">
        <w:rPr>
          <w:lang w:eastAsia="en-GB"/>
        </w:rPr>
        <w:t xml:space="preserve"> </w:t>
      </w:r>
      <w:r w:rsidRPr="00F130DE">
        <w:rPr>
          <w:lang w:eastAsia="en-GB"/>
        </w:rPr>
        <w:t>trust</w:t>
      </w:r>
      <w:r w:rsidR="00C64050">
        <w:rPr>
          <w:lang w:eastAsia="en-GB"/>
        </w:rPr>
        <w:t xml:space="preserve"> </w:t>
      </w:r>
      <w:r w:rsidRPr="00F130DE">
        <w:rPr>
          <w:lang w:eastAsia="en-GB"/>
        </w:rPr>
        <w:t>companies,</w:t>
      </w:r>
      <w:r w:rsidR="00C64050">
        <w:rPr>
          <w:lang w:eastAsia="en-GB"/>
        </w:rPr>
        <w:t xml:space="preserve"> </w:t>
      </w:r>
      <w:r w:rsidRPr="00F130DE">
        <w:rPr>
          <w:lang w:eastAsia="en-GB"/>
        </w:rPr>
        <w:t>decanting,</w:t>
      </w:r>
      <w:r w:rsidR="00C64050">
        <w:rPr>
          <w:lang w:eastAsia="en-GB"/>
        </w:rPr>
        <w:t xml:space="preserve"> </w:t>
      </w:r>
      <w:r w:rsidRPr="00F130DE">
        <w:rPr>
          <w:lang w:eastAsia="en-GB"/>
        </w:rPr>
        <w:t>or</w:t>
      </w:r>
      <w:r w:rsidR="00C64050">
        <w:rPr>
          <w:lang w:eastAsia="en-GB"/>
        </w:rPr>
        <w:t xml:space="preserve"> </w:t>
      </w:r>
      <w:r w:rsidRPr="00F130DE">
        <w:rPr>
          <w:lang w:eastAsia="en-GB"/>
        </w:rPr>
        <w:t>the</w:t>
      </w:r>
      <w:r w:rsidR="00C64050">
        <w:rPr>
          <w:lang w:eastAsia="en-GB"/>
        </w:rPr>
        <w:t xml:space="preserve"> </w:t>
      </w:r>
      <w:r w:rsidRPr="00F130DE">
        <w:rPr>
          <w:lang w:eastAsia="en-GB"/>
        </w:rPr>
        <w:t>basis</w:t>
      </w:r>
      <w:r w:rsidR="00C64050">
        <w:rPr>
          <w:lang w:eastAsia="en-GB"/>
        </w:rPr>
        <w:t xml:space="preserve"> </w:t>
      </w:r>
      <w:r w:rsidRPr="00F130DE">
        <w:rPr>
          <w:lang w:eastAsia="en-GB"/>
        </w:rPr>
        <w:t>adjustment,</w:t>
      </w:r>
      <w:r w:rsidR="00C64050">
        <w:rPr>
          <w:lang w:eastAsia="en-GB"/>
        </w:rPr>
        <w:t xml:space="preserve"> </w:t>
      </w:r>
      <w:r w:rsidRPr="00F130DE">
        <w:rPr>
          <w:lang w:eastAsia="en-GB"/>
        </w:rPr>
        <w:t>if</w:t>
      </w:r>
      <w:r w:rsidR="00C64050">
        <w:rPr>
          <w:lang w:eastAsia="en-GB"/>
        </w:rPr>
        <w:t xml:space="preserve"> </w:t>
      </w:r>
      <w:r w:rsidRPr="00F130DE">
        <w:rPr>
          <w:lang w:eastAsia="en-GB"/>
        </w:rPr>
        <w:t>any,</w:t>
      </w:r>
      <w:r w:rsidR="00C64050">
        <w:rPr>
          <w:lang w:eastAsia="en-GB"/>
        </w:rPr>
        <w:t xml:space="preserve"> </w:t>
      </w:r>
      <w:r w:rsidRPr="00F130DE">
        <w:rPr>
          <w:lang w:eastAsia="en-GB"/>
        </w:rPr>
        <w:t>of</w:t>
      </w:r>
      <w:r w:rsidR="00C64050">
        <w:rPr>
          <w:lang w:eastAsia="en-GB"/>
        </w:rPr>
        <w:t xml:space="preserve"> </w:t>
      </w:r>
      <w:r w:rsidRPr="00F130DE">
        <w:rPr>
          <w:lang w:eastAsia="en-GB"/>
        </w:rPr>
        <w:t>assets</w:t>
      </w:r>
      <w:r w:rsidR="00C64050">
        <w:rPr>
          <w:lang w:eastAsia="en-GB"/>
        </w:rPr>
        <w:t xml:space="preserve"> </w:t>
      </w:r>
      <w:r w:rsidRPr="00F130DE">
        <w:rPr>
          <w:lang w:eastAsia="en-GB"/>
        </w:rPr>
        <w:t>owned</w:t>
      </w:r>
      <w:r w:rsidR="00C64050">
        <w:rPr>
          <w:lang w:eastAsia="en-GB"/>
        </w:rPr>
        <w:t xml:space="preserve"> </w:t>
      </w:r>
      <w:r w:rsidRPr="00F130DE">
        <w:rPr>
          <w:lang w:eastAsia="en-GB"/>
        </w:rPr>
        <w:t>by</w:t>
      </w:r>
      <w:r w:rsidR="00C64050">
        <w:rPr>
          <w:lang w:eastAsia="en-GB"/>
        </w:rPr>
        <w:t xml:space="preserve"> </w:t>
      </w:r>
      <w:r w:rsidRPr="00F130DE">
        <w:rPr>
          <w:lang w:eastAsia="en-GB"/>
        </w:rPr>
        <w:t>a</w:t>
      </w:r>
      <w:r w:rsidR="00C64050">
        <w:rPr>
          <w:lang w:eastAsia="en-GB"/>
        </w:rPr>
        <w:t xml:space="preserve"> </w:t>
      </w:r>
      <w:r w:rsidRPr="00F130DE">
        <w:rPr>
          <w:lang w:eastAsia="en-GB"/>
        </w:rPr>
        <w:t>grantor</w:t>
      </w:r>
      <w:r w:rsidR="00C64050">
        <w:rPr>
          <w:lang w:eastAsia="en-GB"/>
        </w:rPr>
        <w:t xml:space="preserve"> </w:t>
      </w:r>
      <w:r w:rsidRPr="00F130DE">
        <w:rPr>
          <w:lang w:eastAsia="en-GB"/>
        </w:rPr>
        <w:t>trust,</w:t>
      </w:r>
      <w:r w:rsidR="00C64050">
        <w:rPr>
          <w:lang w:eastAsia="en-GB"/>
        </w:rPr>
        <w:t xml:space="preserve"> </w:t>
      </w:r>
      <w:r w:rsidRPr="00F130DE">
        <w:rPr>
          <w:lang w:eastAsia="en-GB"/>
        </w:rPr>
        <w:t>will</w:t>
      </w:r>
      <w:r w:rsidR="00C64050">
        <w:rPr>
          <w:lang w:eastAsia="en-GB"/>
        </w:rPr>
        <w:t xml:space="preserve"> </w:t>
      </w:r>
      <w:r w:rsidRPr="00F130DE">
        <w:rPr>
          <w:lang w:eastAsia="en-GB"/>
        </w:rPr>
        <w:t>not</w:t>
      </w:r>
      <w:r w:rsidR="00C64050">
        <w:rPr>
          <w:lang w:eastAsia="en-GB"/>
        </w:rPr>
        <w:t xml:space="preserve"> </w:t>
      </w:r>
      <w:r w:rsidRPr="00F130DE">
        <w:rPr>
          <w:lang w:eastAsia="en-GB"/>
        </w:rPr>
        <w:t>be</w:t>
      </w:r>
      <w:r w:rsidR="00C64050">
        <w:rPr>
          <w:lang w:eastAsia="en-GB"/>
        </w:rPr>
        <w:t xml:space="preserve"> </w:t>
      </w:r>
      <w:r w:rsidRPr="00F130DE">
        <w:rPr>
          <w:lang w:eastAsia="en-GB"/>
        </w:rPr>
        <w:t>issued</w:t>
      </w:r>
      <w:r w:rsidR="00C64050">
        <w:rPr>
          <w:lang w:eastAsia="en-GB"/>
        </w:rPr>
        <w:t xml:space="preserve"> </w:t>
      </w:r>
      <w:r w:rsidRPr="00F130DE">
        <w:rPr>
          <w:lang w:eastAsia="en-GB"/>
        </w:rPr>
        <w:t>until</w:t>
      </w:r>
      <w:r w:rsidR="00C64050">
        <w:rPr>
          <w:lang w:eastAsia="en-GB"/>
        </w:rPr>
        <w:t xml:space="preserve"> </w:t>
      </w:r>
      <w:r w:rsidRPr="00F130DE">
        <w:rPr>
          <w:lang w:eastAsia="en-GB"/>
        </w:rPr>
        <w:t>the</w:t>
      </w:r>
      <w:r w:rsidR="00C64050">
        <w:rPr>
          <w:lang w:eastAsia="en-GB"/>
        </w:rPr>
        <w:t xml:space="preserve"> </w:t>
      </w:r>
      <w:r w:rsidRPr="00F130DE">
        <w:rPr>
          <w:lang w:eastAsia="en-GB"/>
        </w:rPr>
        <w:t>IRS</w:t>
      </w:r>
      <w:r w:rsidR="00C64050">
        <w:rPr>
          <w:lang w:eastAsia="en-GB"/>
        </w:rPr>
        <w:t xml:space="preserve"> </w:t>
      </w:r>
      <w:r w:rsidRPr="00F130DE">
        <w:rPr>
          <w:lang w:eastAsia="en-GB"/>
        </w:rPr>
        <w:t>resolves</w:t>
      </w:r>
      <w:r w:rsidR="00C64050">
        <w:rPr>
          <w:lang w:eastAsia="en-GB"/>
        </w:rPr>
        <w:t xml:space="preserve"> </w:t>
      </w:r>
      <w:r w:rsidRPr="00F130DE">
        <w:rPr>
          <w:lang w:eastAsia="en-GB"/>
        </w:rPr>
        <w:t>the</w:t>
      </w:r>
      <w:r w:rsidR="00C64050">
        <w:rPr>
          <w:lang w:eastAsia="en-GB"/>
        </w:rPr>
        <w:t xml:space="preserve"> </w:t>
      </w:r>
      <w:r w:rsidRPr="00F130DE">
        <w:rPr>
          <w:lang w:eastAsia="en-GB"/>
        </w:rPr>
        <w:t>issue</w:t>
      </w:r>
      <w:r w:rsidR="00C64050">
        <w:rPr>
          <w:lang w:eastAsia="en-GB"/>
        </w:rPr>
        <w:t xml:space="preserve"> </w:t>
      </w:r>
      <w:r w:rsidRPr="00F130DE">
        <w:rPr>
          <w:lang w:eastAsia="en-GB"/>
        </w:rPr>
        <w:t>through</w:t>
      </w:r>
      <w:r w:rsidR="00C64050">
        <w:rPr>
          <w:lang w:eastAsia="en-GB"/>
        </w:rPr>
        <w:t xml:space="preserve"> </w:t>
      </w:r>
      <w:r w:rsidRPr="00F130DE">
        <w:rPr>
          <w:lang w:eastAsia="en-GB"/>
        </w:rPr>
        <w:t>publication</w:t>
      </w:r>
      <w:r w:rsidR="00C64050">
        <w:rPr>
          <w:lang w:eastAsia="en-GB"/>
        </w:rPr>
        <w:t xml:space="preserve"> </w:t>
      </w:r>
      <w:r w:rsidRPr="00F130DE">
        <w:rPr>
          <w:lang w:eastAsia="en-GB"/>
        </w:rPr>
        <w:t>of</w:t>
      </w:r>
      <w:r w:rsidR="00C64050">
        <w:rPr>
          <w:lang w:eastAsia="en-GB"/>
        </w:rPr>
        <w:t xml:space="preserve"> </w:t>
      </w:r>
      <w:r w:rsidRPr="00F130DE">
        <w:rPr>
          <w:lang w:eastAsia="en-GB"/>
        </w:rPr>
        <w:t>a</w:t>
      </w:r>
      <w:r w:rsidR="00C64050">
        <w:rPr>
          <w:lang w:eastAsia="en-GB"/>
        </w:rPr>
        <w:t xml:space="preserve"> </w:t>
      </w:r>
      <w:r w:rsidRPr="00F130DE">
        <w:rPr>
          <w:lang w:eastAsia="en-GB"/>
        </w:rPr>
        <w:t>revenue</w:t>
      </w:r>
      <w:r w:rsidR="00C64050">
        <w:rPr>
          <w:lang w:eastAsia="en-GB"/>
        </w:rPr>
        <w:t xml:space="preserve"> </w:t>
      </w:r>
      <w:r w:rsidRPr="00F130DE">
        <w:rPr>
          <w:lang w:eastAsia="en-GB"/>
        </w:rPr>
        <w:t>ruling,</w:t>
      </w:r>
      <w:r w:rsidR="00C64050">
        <w:rPr>
          <w:lang w:eastAsia="en-GB"/>
        </w:rPr>
        <w:t xml:space="preserve"> </w:t>
      </w:r>
      <w:r w:rsidRPr="00F130DE">
        <w:rPr>
          <w:lang w:eastAsia="en-GB"/>
        </w:rPr>
        <w:t>revenue</w:t>
      </w:r>
      <w:r w:rsidR="00C64050">
        <w:rPr>
          <w:lang w:eastAsia="en-GB"/>
        </w:rPr>
        <w:t xml:space="preserve"> </w:t>
      </w:r>
      <w:r w:rsidRPr="00F130DE">
        <w:rPr>
          <w:lang w:eastAsia="en-GB"/>
        </w:rPr>
        <w:t>procedure,</w:t>
      </w:r>
      <w:r w:rsidR="00C64050">
        <w:rPr>
          <w:lang w:eastAsia="en-GB"/>
        </w:rPr>
        <w:t xml:space="preserve"> </w:t>
      </w:r>
      <w:r w:rsidRPr="00F130DE">
        <w:rPr>
          <w:lang w:eastAsia="en-GB"/>
        </w:rPr>
        <w:t>or</w:t>
      </w:r>
      <w:r w:rsidR="00C64050">
        <w:rPr>
          <w:lang w:eastAsia="en-GB"/>
        </w:rPr>
        <w:t xml:space="preserve"> </w:t>
      </w:r>
      <w:r w:rsidRPr="00F130DE">
        <w:rPr>
          <w:lang w:eastAsia="en-GB"/>
        </w:rPr>
        <w:t>regulations.</w:t>
      </w:r>
      <w:r w:rsidR="00CA0800">
        <w:rPr>
          <w:lang w:eastAsia="en-GB"/>
        </w:rPr>
        <w:t xml:space="preserve">  In addition, ING trusts</w:t>
      </w:r>
      <w:r w:rsidR="006A2FEF">
        <w:rPr>
          <w:lang w:eastAsia="en-GB"/>
        </w:rPr>
        <w:t xml:space="preserve"> have been moved to the “</w:t>
      </w:r>
      <w:r w:rsidR="00564683">
        <w:rPr>
          <w:lang w:eastAsia="en-GB"/>
        </w:rPr>
        <w:t>to be resolved</w:t>
      </w:r>
      <w:r w:rsidR="006A2FEF">
        <w:rPr>
          <w:lang w:eastAsia="en-GB"/>
        </w:rPr>
        <w:t>”</w:t>
      </w:r>
      <w:r w:rsidR="00564683">
        <w:rPr>
          <w:lang w:eastAsia="en-GB"/>
        </w:rPr>
        <w:t xml:space="preserve"> list</w:t>
      </w:r>
      <w:r w:rsidR="006A2FEF">
        <w:rPr>
          <w:lang w:eastAsia="en-GB"/>
        </w:rPr>
        <w:t xml:space="preserve"> from the “no ruling” list; INGs are described like this:  </w:t>
      </w:r>
    </w:p>
    <w:p w:rsidR="00564683" w:rsidRDefault="004C6147" w:rsidP="004C6147">
      <w:pPr>
        <w:pStyle w:val="QS10"/>
        <w:rPr>
          <w:lang w:eastAsia="en-GB"/>
        </w:rPr>
      </w:pPr>
      <w:r w:rsidRPr="004C6147">
        <w:rPr>
          <w:lang w:eastAsia="en-GB"/>
        </w:rPr>
        <w:t xml:space="preserve">(9) Section 671.—Trust Income, </w:t>
      </w:r>
      <w:r w:rsidRPr="004C6147">
        <w:t>Deductions</w:t>
      </w:r>
      <w:r w:rsidRPr="004C6147">
        <w:rPr>
          <w:lang w:eastAsia="en-GB"/>
        </w:rPr>
        <w:t>, and Credits Attributable to Grantors and Others as Substantial Owners.—Whether the grantor will be considered the owner of any portion of a transfer in trust under §§ 673 to 677 that is purported to be an incomplete gift under § 2511, specifically including, but not limited to, a transfer to a trust providing for distributions at the direction of a committee to the donor and the committee members either by unanimous consent of the committee members or a majority of the committee members with the consent of the donor.</w:t>
      </w:r>
    </w:p>
    <w:p w:rsidR="004C6147" w:rsidRDefault="004C6147" w:rsidP="004C6147">
      <w:pPr>
        <w:pStyle w:val="QS10"/>
        <w:jc w:val="center"/>
        <w:rPr>
          <w:lang w:eastAsia="en-GB"/>
        </w:rPr>
      </w:pPr>
      <w:r>
        <w:rPr>
          <w:lang w:eastAsia="en-GB"/>
        </w:rPr>
        <w:t>* * *</w:t>
      </w:r>
    </w:p>
    <w:p w:rsidR="004C6147" w:rsidRPr="00F130DE" w:rsidRDefault="004C6147" w:rsidP="004C6147">
      <w:pPr>
        <w:pStyle w:val="QS10"/>
        <w:rPr>
          <w:lang w:eastAsia="en-GB"/>
        </w:rPr>
      </w:pPr>
      <w:r w:rsidRPr="004C6147">
        <w:rPr>
          <w:lang w:eastAsia="en-GB"/>
        </w:rPr>
        <w:t>(17) Section 2511.—Transfers in General.—Whether a transfer in trust that is purported not to be considered owned by the grantor under § 671 is an incomplete gift, specifically including, but not limited to, a transfer to a trust providing for distributions at the direction of a committee to the donor and the committee members either by unanimous consent of the committee members or a majority of the committee members with the consent of the donor.</w:t>
      </w:r>
    </w:p>
    <w:p w:rsidR="000F43FC" w:rsidRPr="000F43FC" w:rsidRDefault="00021072" w:rsidP="00B25265">
      <w:pPr>
        <w:pStyle w:val="Heading20"/>
        <w:tabs>
          <w:tab w:val="clear" w:pos="2700"/>
        </w:tabs>
        <w:ind w:left="0"/>
        <w:rPr>
          <w:vanish/>
          <w:lang w:eastAsia="en-GB"/>
          <w:specVanish/>
        </w:rPr>
      </w:pPr>
      <w:bookmarkStart w:id="779" w:name="_Toc94704676"/>
      <w:r>
        <w:rPr>
          <w:b/>
          <w:u w:val="single"/>
        </w:rPr>
        <w:t>Alleged</w:t>
      </w:r>
      <w:r w:rsidR="00C64050">
        <w:rPr>
          <w:b/>
          <w:u w:val="single"/>
          <w:lang w:eastAsia="en-GB"/>
        </w:rPr>
        <w:t xml:space="preserve"> </w:t>
      </w:r>
      <w:r>
        <w:rPr>
          <w:b/>
          <w:u w:val="single"/>
          <w:lang w:eastAsia="en-GB"/>
        </w:rPr>
        <w:t>Failure</w:t>
      </w:r>
      <w:r w:rsidR="00C64050">
        <w:rPr>
          <w:b/>
          <w:u w:val="single"/>
          <w:lang w:eastAsia="en-GB"/>
        </w:rPr>
        <w:t xml:space="preserve"> </w:t>
      </w:r>
      <w:r>
        <w:rPr>
          <w:b/>
          <w:u w:val="single"/>
          <w:lang w:eastAsia="en-GB"/>
        </w:rPr>
        <w:t>to</w:t>
      </w:r>
      <w:r w:rsidR="00C64050">
        <w:rPr>
          <w:b/>
          <w:u w:val="single"/>
          <w:lang w:eastAsia="en-GB"/>
        </w:rPr>
        <w:t xml:space="preserve"> </w:t>
      </w:r>
      <w:r>
        <w:rPr>
          <w:b/>
          <w:u w:val="single"/>
          <w:lang w:eastAsia="en-GB"/>
        </w:rPr>
        <w:t>Advise</w:t>
      </w:r>
      <w:r w:rsidR="00C64050">
        <w:rPr>
          <w:b/>
          <w:u w:val="single"/>
          <w:lang w:eastAsia="en-GB"/>
        </w:rPr>
        <w:t xml:space="preserve"> </w:t>
      </w:r>
      <w:r>
        <w:rPr>
          <w:b/>
          <w:u w:val="single"/>
          <w:lang w:eastAsia="en-GB"/>
        </w:rPr>
        <w:t>About</w:t>
      </w:r>
      <w:r w:rsidR="00C64050">
        <w:rPr>
          <w:b/>
          <w:u w:val="single"/>
          <w:lang w:eastAsia="en-GB"/>
        </w:rPr>
        <w:t xml:space="preserve"> </w:t>
      </w:r>
      <w:r>
        <w:rPr>
          <w:b/>
          <w:u w:val="single"/>
          <w:lang w:eastAsia="en-GB"/>
        </w:rPr>
        <w:t>Basis</w:t>
      </w:r>
      <w:bookmarkEnd w:id="779"/>
    </w:p>
    <w:p w:rsidR="00021072" w:rsidRDefault="00021072" w:rsidP="000F43FC">
      <w:pPr>
        <w:pStyle w:val="Heading2Body"/>
      </w:pPr>
      <w:r>
        <w:t>.</w:t>
      </w:r>
      <w:r w:rsidR="00C64050">
        <w:t xml:space="preserve">  </w:t>
      </w:r>
      <w:r>
        <w:t>A</w:t>
      </w:r>
      <w:r w:rsidR="00C64050">
        <w:t xml:space="preserve"> </w:t>
      </w:r>
      <w:r>
        <w:t>complaint</w:t>
      </w:r>
      <w:r w:rsidR="00C64050">
        <w:t xml:space="preserve"> </w:t>
      </w:r>
      <w:r>
        <w:t>styled</w:t>
      </w:r>
      <w:r w:rsidR="00C64050">
        <w:t xml:space="preserve"> </w:t>
      </w:r>
      <w:r>
        <w:rPr>
          <w:u w:val="single"/>
        </w:rPr>
        <w:t>Raia</w:t>
      </w:r>
      <w:r w:rsidR="00C64050">
        <w:rPr>
          <w:u w:val="single"/>
        </w:rPr>
        <w:t xml:space="preserve"> </w:t>
      </w:r>
      <w:r>
        <w:rPr>
          <w:u w:val="single"/>
        </w:rPr>
        <w:t>v.</w:t>
      </w:r>
      <w:r w:rsidR="00C64050">
        <w:rPr>
          <w:u w:val="single"/>
        </w:rPr>
        <w:t xml:space="preserve"> </w:t>
      </w:r>
      <w:r>
        <w:rPr>
          <w:u w:val="single"/>
        </w:rPr>
        <w:t>Lowenstein</w:t>
      </w:r>
      <w:r w:rsidR="00C64050">
        <w:rPr>
          <w:u w:val="single"/>
        </w:rPr>
        <w:t xml:space="preserve"> </w:t>
      </w:r>
      <w:r>
        <w:rPr>
          <w:u w:val="single"/>
        </w:rPr>
        <w:t>Sandler</w:t>
      </w:r>
      <w:r w:rsidR="00C64050">
        <w:t xml:space="preserve"> </w:t>
      </w:r>
      <w:r>
        <w:t>has</w:t>
      </w:r>
      <w:r w:rsidR="00C64050">
        <w:t xml:space="preserve"> </w:t>
      </w:r>
      <w:r>
        <w:t>been</w:t>
      </w:r>
      <w:r w:rsidR="00C64050">
        <w:t xml:space="preserve"> </w:t>
      </w:r>
      <w:r>
        <w:t>filed</w:t>
      </w:r>
      <w:r w:rsidR="00C64050">
        <w:t xml:space="preserve"> </w:t>
      </w:r>
      <w:r>
        <w:t>in</w:t>
      </w:r>
      <w:r w:rsidR="00C64050">
        <w:t xml:space="preserve"> </w:t>
      </w:r>
      <w:r>
        <w:t>the</w:t>
      </w:r>
      <w:r w:rsidR="00C64050">
        <w:t xml:space="preserve"> </w:t>
      </w:r>
      <w:r>
        <w:t>Superior</w:t>
      </w:r>
      <w:r w:rsidR="00C64050">
        <w:t xml:space="preserve"> </w:t>
      </w:r>
      <w:r>
        <w:t>Court</w:t>
      </w:r>
      <w:r w:rsidR="00C64050">
        <w:t xml:space="preserve"> </w:t>
      </w:r>
      <w:r>
        <w:t>of</w:t>
      </w:r>
      <w:r w:rsidR="00C64050">
        <w:t xml:space="preserve"> </w:t>
      </w:r>
      <w:r>
        <w:t>New</w:t>
      </w:r>
      <w:r w:rsidR="00C64050">
        <w:t xml:space="preserve"> </w:t>
      </w:r>
      <w:r>
        <w:t>Jersey</w:t>
      </w:r>
      <w:r w:rsidR="00C64050">
        <w:t xml:space="preserve"> </w:t>
      </w:r>
      <w:r>
        <w:t>Law</w:t>
      </w:r>
      <w:r w:rsidR="00C64050">
        <w:t xml:space="preserve"> </w:t>
      </w:r>
      <w:r>
        <w:t>Division:</w:t>
      </w:r>
      <w:r w:rsidR="00C64050">
        <w:t xml:space="preserve"> </w:t>
      </w:r>
      <w:r>
        <w:t>Civil</w:t>
      </w:r>
      <w:r w:rsidR="00C64050">
        <w:t xml:space="preserve"> </w:t>
      </w:r>
      <w:r>
        <w:t>Part,</w:t>
      </w:r>
      <w:r w:rsidR="00C64050">
        <w:t xml:space="preserve"> </w:t>
      </w:r>
      <w:r>
        <w:t>Bergen</w:t>
      </w:r>
      <w:r w:rsidR="00C64050">
        <w:t xml:space="preserve"> </w:t>
      </w:r>
      <w:r>
        <w:t>County</w:t>
      </w:r>
      <w:r w:rsidR="00C64050">
        <w:t xml:space="preserve"> </w:t>
      </w:r>
      <w:r>
        <w:t>(BER-L-000921-19).</w:t>
      </w:r>
      <w:r w:rsidR="00C64050">
        <w:t xml:space="preserve">  </w:t>
      </w:r>
      <w:r>
        <w:t>The</w:t>
      </w:r>
      <w:r w:rsidR="00C64050">
        <w:t xml:space="preserve"> </w:t>
      </w:r>
      <w:r>
        <w:t>essence</w:t>
      </w:r>
      <w:r w:rsidR="00C64050">
        <w:t xml:space="preserve"> </w:t>
      </w:r>
      <w:r>
        <w:t>of</w:t>
      </w:r>
      <w:r w:rsidR="00C64050">
        <w:t xml:space="preserve"> </w:t>
      </w:r>
      <w:r>
        <w:t>the</w:t>
      </w:r>
      <w:r w:rsidR="00C64050">
        <w:t xml:space="preserve"> </w:t>
      </w:r>
      <w:r>
        <w:t>action</w:t>
      </w:r>
      <w:r w:rsidR="00C64050">
        <w:t xml:space="preserve"> </w:t>
      </w:r>
      <w:r w:rsidR="007C32A5">
        <w:t>is</w:t>
      </w:r>
      <w:r w:rsidR="00C64050">
        <w:t xml:space="preserve"> </w:t>
      </w:r>
      <w:r w:rsidR="007C32A5">
        <w:t>the</w:t>
      </w:r>
      <w:r w:rsidR="00C64050">
        <w:t xml:space="preserve"> </w:t>
      </w:r>
      <w:r w:rsidR="007C32A5">
        <w:t>supposed</w:t>
      </w:r>
      <w:r w:rsidR="00C64050">
        <w:t xml:space="preserve"> </w:t>
      </w:r>
      <w:r w:rsidR="007C32A5">
        <w:t>failure</w:t>
      </w:r>
      <w:r w:rsidR="00C64050">
        <w:t xml:space="preserve"> </w:t>
      </w:r>
      <w:r w:rsidR="007C32A5">
        <w:t>of</w:t>
      </w:r>
      <w:r w:rsidR="00C64050">
        <w:t xml:space="preserve"> </w:t>
      </w:r>
      <w:r w:rsidR="007C32A5">
        <w:t>couns</w:t>
      </w:r>
      <w:r>
        <w:t>el</w:t>
      </w:r>
      <w:r w:rsidR="00C64050">
        <w:t xml:space="preserve"> </w:t>
      </w:r>
      <w:r>
        <w:t>to</w:t>
      </w:r>
      <w:r w:rsidR="00C64050">
        <w:t xml:space="preserve"> </w:t>
      </w:r>
      <w:r>
        <w:t>advise</w:t>
      </w:r>
      <w:r w:rsidR="00C64050">
        <w:t xml:space="preserve"> </w:t>
      </w:r>
      <w:r>
        <w:t>clients</w:t>
      </w:r>
      <w:r w:rsidR="00C64050">
        <w:t xml:space="preserve"> </w:t>
      </w:r>
      <w:r>
        <w:t>that</w:t>
      </w:r>
      <w:r w:rsidR="00C64050">
        <w:t xml:space="preserve"> </w:t>
      </w:r>
      <w:r>
        <w:t>assets</w:t>
      </w:r>
      <w:r w:rsidR="00C64050">
        <w:t xml:space="preserve"> </w:t>
      </w:r>
      <w:r>
        <w:t>given</w:t>
      </w:r>
      <w:r w:rsidR="00C64050">
        <w:t xml:space="preserve"> </w:t>
      </w:r>
      <w:r w:rsidR="007C32A5">
        <w:t>to</w:t>
      </w:r>
      <w:r w:rsidR="00C64050">
        <w:t xml:space="preserve"> </w:t>
      </w:r>
      <w:r w:rsidR="007C32A5">
        <w:t>dynasty</w:t>
      </w:r>
      <w:r w:rsidR="00C64050">
        <w:t xml:space="preserve"> </w:t>
      </w:r>
      <w:r w:rsidR="007C32A5">
        <w:t>trusts</w:t>
      </w:r>
      <w:r w:rsidR="00C64050">
        <w:t xml:space="preserve"> </w:t>
      </w:r>
      <w:r w:rsidR="007C32A5">
        <w:t>retain</w:t>
      </w:r>
      <w:r w:rsidR="00C64050">
        <w:t xml:space="preserve"> </w:t>
      </w:r>
      <w:r w:rsidR="007C32A5">
        <w:t>carryover</w:t>
      </w:r>
      <w:r w:rsidR="00C64050">
        <w:t xml:space="preserve"> </w:t>
      </w:r>
      <w:r w:rsidR="007C32A5">
        <w:t>basis</w:t>
      </w:r>
      <w:r w:rsidR="00C64050">
        <w:t xml:space="preserve"> </w:t>
      </w:r>
      <w:r w:rsidR="007C32A5">
        <w:t>and</w:t>
      </w:r>
      <w:r w:rsidR="00C64050">
        <w:t xml:space="preserve"> </w:t>
      </w:r>
      <w:r w:rsidR="007C32A5">
        <w:t>potential</w:t>
      </w:r>
      <w:r w:rsidR="00C64050">
        <w:t xml:space="preserve"> </w:t>
      </w:r>
      <w:r w:rsidR="007C32A5">
        <w:t>particular</w:t>
      </w:r>
      <w:r w:rsidR="00C64050">
        <w:t xml:space="preserve"> </w:t>
      </w:r>
      <w:r w:rsidR="007C32A5">
        <w:t>problems</w:t>
      </w:r>
      <w:r w:rsidR="00C64050">
        <w:t xml:space="preserve"> </w:t>
      </w:r>
      <w:r w:rsidR="007C32A5">
        <w:t>that</w:t>
      </w:r>
      <w:r w:rsidR="00C64050">
        <w:t xml:space="preserve"> </w:t>
      </w:r>
      <w:r w:rsidR="007C32A5">
        <w:t>could</w:t>
      </w:r>
      <w:r w:rsidR="00C64050">
        <w:t xml:space="preserve"> </w:t>
      </w:r>
      <w:r w:rsidR="007C32A5">
        <w:t>result</w:t>
      </w:r>
      <w:r w:rsidR="00C64050">
        <w:t xml:space="preserve"> </w:t>
      </w:r>
      <w:r w:rsidR="00987139">
        <w:t>from</w:t>
      </w:r>
      <w:r w:rsidR="00C64050">
        <w:t xml:space="preserve"> </w:t>
      </w:r>
      <w:r w:rsidR="007C32A5">
        <w:t>depreciation</w:t>
      </w:r>
      <w:r w:rsidR="00C64050">
        <w:t xml:space="preserve"> </w:t>
      </w:r>
      <w:r w:rsidR="007C32A5">
        <w:t>recapture</w:t>
      </w:r>
      <w:r w:rsidR="00C64050">
        <w:t xml:space="preserve"> </w:t>
      </w:r>
      <w:r w:rsidR="007C32A5">
        <w:t>upon</w:t>
      </w:r>
      <w:r w:rsidR="00C64050">
        <w:t xml:space="preserve"> </w:t>
      </w:r>
      <w:r w:rsidR="007C32A5">
        <w:t>the</w:t>
      </w:r>
      <w:r w:rsidR="00C64050">
        <w:t xml:space="preserve"> </w:t>
      </w:r>
      <w:r w:rsidR="007C32A5">
        <w:t>trusts</w:t>
      </w:r>
      <w:r w:rsidR="00C64050">
        <w:t xml:space="preserve"> </w:t>
      </w:r>
      <w:r w:rsidR="007C32A5">
        <w:t>ceasing</w:t>
      </w:r>
      <w:r w:rsidR="00C64050">
        <w:t xml:space="preserve"> </w:t>
      </w:r>
      <w:r w:rsidR="007C32A5">
        <w:t>to</w:t>
      </w:r>
      <w:r w:rsidR="00C64050">
        <w:t xml:space="preserve"> </w:t>
      </w:r>
      <w:r w:rsidR="007C32A5">
        <w:t>be</w:t>
      </w:r>
      <w:r w:rsidR="00C64050">
        <w:t xml:space="preserve"> </w:t>
      </w:r>
      <w:r w:rsidR="007C32A5">
        <w:t>grantor</w:t>
      </w:r>
      <w:r w:rsidR="00C64050">
        <w:t xml:space="preserve"> </w:t>
      </w:r>
      <w:r w:rsidR="007C32A5">
        <w:t>trusts</w:t>
      </w:r>
      <w:r w:rsidR="00C64050">
        <w:t xml:space="preserve"> </w:t>
      </w:r>
      <w:r w:rsidR="007C32A5">
        <w:t>when</w:t>
      </w:r>
      <w:r w:rsidR="00C64050">
        <w:t xml:space="preserve"> </w:t>
      </w:r>
      <w:r w:rsidR="007C32A5">
        <w:t>the</w:t>
      </w:r>
      <w:r w:rsidR="00C64050">
        <w:t xml:space="preserve"> </w:t>
      </w:r>
      <w:r w:rsidR="007C32A5">
        <w:t>grantor</w:t>
      </w:r>
      <w:r w:rsidR="00C64050">
        <w:t xml:space="preserve"> </w:t>
      </w:r>
      <w:r w:rsidR="007C32A5">
        <w:t>died.</w:t>
      </w:r>
      <w:r w:rsidR="00C64050">
        <w:t xml:space="preserve">  </w:t>
      </w:r>
      <w:r w:rsidR="007C32A5">
        <w:t>Regardless</w:t>
      </w:r>
      <w:r w:rsidR="00C64050">
        <w:t xml:space="preserve"> </w:t>
      </w:r>
      <w:r w:rsidR="007C32A5">
        <w:t>of</w:t>
      </w:r>
      <w:r w:rsidR="00C64050">
        <w:t xml:space="preserve"> </w:t>
      </w:r>
      <w:r w:rsidR="007C32A5">
        <w:t>the</w:t>
      </w:r>
      <w:r w:rsidR="00C64050">
        <w:t xml:space="preserve"> </w:t>
      </w:r>
      <w:r w:rsidR="007C32A5">
        <w:t>merits</w:t>
      </w:r>
      <w:r w:rsidR="00C64050">
        <w:t xml:space="preserve"> </w:t>
      </w:r>
      <w:r w:rsidR="007C32A5">
        <w:t>–</w:t>
      </w:r>
      <w:r w:rsidR="00C64050">
        <w:t xml:space="preserve"> </w:t>
      </w:r>
      <w:r w:rsidR="007C32A5">
        <w:t>if</w:t>
      </w:r>
      <w:r w:rsidR="00C64050">
        <w:t xml:space="preserve"> </w:t>
      </w:r>
      <w:r w:rsidR="007C32A5">
        <w:t>any</w:t>
      </w:r>
      <w:r w:rsidR="00C64050">
        <w:t xml:space="preserve"> </w:t>
      </w:r>
      <w:r w:rsidR="007C32A5">
        <w:t>–</w:t>
      </w:r>
      <w:r w:rsidR="00C64050">
        <w:t xml:space="preserve"> </w:t>
      </w:r>
      <w:r w:rsidR="007C32A5">
        <w:t>of</w:t>
      </w:r>
      <w:r w:rsidR="00C64050">
        <w:t xml:space="preserve"> </w:t>
      </w:r>
      <w:r w:rsidR="007C32A5">
        <w:t>the</w:t>
      </w:r>
      <w:r w:rsidR="00C64050">
        <w:t xml:space="preserve"> </w:t>
      </w:r>
      <w:r w:rsidR="007C32A5">
        <w:t>action,</w:t>
      </w:r>
      <w:r w:rsidR="00C64050">
        <w:t xml:space="preserve"> </w:t>
      </w:r>
      <w:r w:rsidR="007C32A5">
        <w:t>it</w:t>
      </w:r>
      <w:r w:rsidR="00C64050">
        <w:t xml:space="preserve"> </w:t>
      </w:r>
      <w:r w:rsidR="007C32A5">
        <w:t>is</w:t>
      </w:r>
      <w:r w:rsidR="00C64050">
        <w:t xml:space="preserve"> </w:t>
      </w:r>
      <w:r w:rsidR="007C32A5">
        <w:t>a</w:t>
      </w:r>
      <w:r w:rsidR="00C64050">
        <w:t xml:space="preserve"> </w:t>
      </w:r>
      <w:r w:rsidR="007C32A5">
        <w:t>reminder</w:t>
      </w:r>
      <w:r w:rsidR="00C64050">
        <w:t xml:space="preserve"> </w:t>
      </w:r>
      <w:r w:rsidR="007C32A5">
        <w:t>for</w:t>
      </w:r>
      <w:r w:rsidR="00C64050">
        <w:t xml:space="preserve"> </w:t>
      </w:r>
      <w:r w:rsidR="007C32A5">
        <w:t>estate</w:t>
      </w:r>
      <w:r w:rsidR="00C64050">
        <w:t xml:space="preserve"> </w:t>
      </w:r>
      <w:r w:rsidR="007C32A5">
        <w:t>planners.</w:t>
      </w:r>
    </w:p>
    <w:p w:rsidR="000C5398" w:rsidRPr="000C5398" w:rsidRDefault="000C5398" w:rsidP="000C5398">
      <w:pPr>
        <w:pStyle w:val="Heading20"/>
        <w:tabs>
          <w:tab w:val="clear" w:pos="2700"/>
        </w:tabs>
        <w:ind w:left="0"/>
        <w:rPr>
          <w:vanish/>
          <w:specVanish/>
        </w:rPr>
      </w:pPr>
      <w:bookmarkStart w:id="780" w:name="_Toc94704677"/>
      <w:r>
        <w:rPr>
          <w:b/>
          <w:u w:val="single"/>
        </w:rPr>
        <w:t>Where</w:t>
      </w:r>
      <w:r w:rsidR="00C64050">
        <w:rPr>
          <w:b/>
          <w:u w:val="single"/>
        </w:rPr>
        <w:t xml:space="preserve"> </w:t>
      </w:r>
      <w:r>
        <w:rPr>
          <w:b/>
          <w:u w:val="single"/>
        </w:rPr>
        <w:t>Estate</w:t>
      </w:r>
      <w:r w:rsidR="00C64050">
        <w:rPr>
          <w:b/>
          <w:u w:val="single"/>
        </w:rPr>
        <w:t xml:space="preserve"> </w:t>
      </w:r>
      <w:r>
        <w:rPr>
          <w:b/>
          <w:u w:val="single"/>
        </w:rPr>
        <w:t>Tax</w:t>
      </w:r>
      <w:r w:rsidR="00C64050">
        <w:rPr>
          <w:b/>
          <w:u w:val="single"/>
        </w:rPr>
        <w:t xml:space="preserve"> </w:t>
      </w:r>
      <w:r>
        <w:rPr>
          <w:b/>
          <w:u w:val="single"/>
        </w:rPr>
        <w:t>Paid</w:t>
      </w:r>
      <w:r w:rsidR="00C64050">
        <w:rPr>
          <w:b/>
          <w:u w:val="single"/>
        </w:rPr>
        <w:t xml:space="preserve"> </w:t>
      </w:r>
      <w:r>
        <w:rPr>
          <w:b/>
          <w:u w:val="single"/>
        </w:rPr>
        <w:t>In</w:t>
      </w:r>
      <w:r w:rsidR="00C64050">
        <w:rPr>
          <w:b/>
          <w:u w:val="single"/>
        </w:rPr>
        <w:t xml:space="preserve"> </w:t>
      </w:r>
      <w:r>
        <w:rPr>
          <w:b/>
          <w:u w:val="single"/>
        </w:rPr>
        <w:t>Full,</w:t>
      </w:r>
      <w:r w:rsidR="00C64050">
        <w:rPr>
          <w:b/>
          <w:u w:val="single"/>
        </w:rPr>
        <w:t xml:space="preserve"> </w:t>
      </w:r>
      <w:r>
        <w:rPr>
          <w:b/>
          <w:u w:val="single"/>
        </w:rPr>
        <w:t>Late</w:t>
      </w:r>
      <w:r w:rsidR="00C64050">
        <w:rPr>
          <w:b/>
          <w:u w:val="single"/>
        </w:rPr>
        <w:t xml:space="preserve"> </w:t>
      </w:r>
      <w:r>
        <w:rPr>
          <w:b/>
          <w:u w:val="single"/>
        </w:rPr>
        <w:t>Return</w:t>
      </w:r>
      <w:r w:rsidR="00C64050">
        <w:rPr>
          <w:b/>
          <w:u w:val="single"/>
        </w:rPr>
        <w:t xml:space="preserve"> </w:t>
      </w:r>
      <w:r>
        <w:rPr>
          <w:b/>
          <w:u w:val="single"/>
        </w:rPr>
        <w:t>Not</w:t>
      </w:r>
      <w:r w:rsidR="00C64050">
        <w:rPr>
          <w:b/>
          <w:u w:val="single"/>
        </w:rPr>
        <w:t xml:space="preserve"> </w:t>
      </w:r>
      <w:r>
        <w:rPr>
          <w:b/>
          <w:u w:val="single"/>
        </w:rPr>
        <w:t>Cause</w:t>
      </w:r>
      <w:r w:rsidR="00C64050">
        <w:rPr>
          <w:b/>
          <w:u w:val="single"/>
        </w:rPr>
        <w:t xml:space="preserve"> </w:t>
      </w:r>
      <w:r>
        <w:rPr>
          <w:b/>
          <w:u w:val="single"/>
        </w:rPr>
        <w:t>For</w:t>
      </w:r>
      <w:r w:rsidR="00C64050">
        <w:rPr>
          <w:b/>
          <w:u w:val="single"/>
        </w:rPr>
        <w:t xml:space="preserve"> </w:t>
      </w:r>
      <w:r>
        <w:rPr>
          <w:b/>
          <w:u w:val="single"/>
        </w:rPr>
        <w:t>Penalty</w:t>
      </w:r>
      <w:bookmarkEnd w:id="780"/>
    </w:p>
    <w:p w:rsidR="00B25265" w:rsidRDefault="000C5398" w:rsidP="000C5398">
      <w:pPr>
        <w:pStyle w:val="Heading2Body"/>
      </w:pPr>
      <w:r>
        <w:t>.</w:t>
      </w:r>
      <w:r w:rsidR="00C64050">
        <w:t xml:space="preserve">  </w:t>
      </w:r>
      <w:r>
        <w:rPr>
          <w:u w:val="single"/>
        </w:rPr>
        <w:t>Skeba</w:t>
      </w:r>
      <w:r w:rsidR="00C64050">
        <w:rPr>
          <w:u w:val="single"/>
        </w:rPr>
        <w:t xml:space="preserve"> </w:t>
      </w:r>
      <w:r>
        <w:rPr>
          <w:u w:val="single"/>
        </w:rPr>
        <w:t>v.</w:t>
      </w:r>
      <w:r w:rsidR="00C64050">
        <w:rPr>
          <w:u w:val="single"/>
        </w:rPr>
        <w:t xml:space="preserve"> </w:t>
      </w:r>
      <w:r>
        <w:rPr>
          <w:u w:val="single"/>
        </w:rPr>
        <w:t>United</w:t>
      </w:r>
      <w:r w:rsidR="00C64050">
        <w:rPr>
          <w:u w:val="single"/>
        </w:rPr>
        <w:t xml:space="preserve"> </w:t>
      </w:r>
      <w:r>
        <w:rPr>
          <w:u w:val="single"/>
        </w:rPr>
        <w:t>States</w:t>
      </w:r>
      <w:r>
        <w:t>,</w:t>
      </w:r>
      <w:r w:rsidR="00C64050">
        <w:t xml:space="preserve"> </w:t>
      </w:r>
      <w:r w:rsidR="000E0DC2">
        <w:t>2020 WL 70962</w:t>
      </w:r>
      <w:r w:rsidR="00C64050">
        <w:t xml:space="preserve"> </w:t>
      </w:r>
      <w:r>
        <w:t>(D.</w:t>
      </w:r>
      <w:r w:rsidR="00C64050">
        <w:t xml:space="preserve"> </w:t>
      </w:r>
      <w:r>
        <w:t>NJ.</w:t>
      </w:r>
      <w:r w:rsidR="00C64050">
        <w:t xml:space="preserve"> </w:t>
      </w:r>
      <w:r>
        <w:t>2020)</w:t>
      </w:r>
      <w:r w:rsidR="00C64050">
        <w:t xml:space="preserve"> </w:t>
      </w:r>
      <w:r>
        <w:t>involved</w:t>
      </w:r>
      <w:r w:rsidR="00C64050">
        <w:t xml:space="preserve"> </w:t>
      </w:r>
      <w:r>
        <w:t>a</w:t>
      </w:r>
      <w:r w:rsidR="00C64050">
        <w:t xml:space="preserve"> </w:t>
      </w:r>
      <w:r>
        <w:t>situation</w:t>
      </w:r>
      <w:r w:rsidR="00C64050">
        <w:t xml:space="preserve"> </w:t>
      </w:r>
      <w:r>
        <w:t>where</w:t>
      </w:r>
      <w:r w:rsidR="00C64050">
        <w:t xml:space="preserve"> </w:t>
      </w:r>
      <w:r>
        <w:t>estate</w:t>
      </w:r>
      <w:r w:rsidR="00C64050">
        <w:t xml:space="preserve"> </w:t>
      </w:r>
      <w:r>
        <w:t>tax</w:t>
      </w:r>
      <w:r w:rsidR="00C64050">
        <w:t xml:space="preserve"> </w:t>
      </w:r>
      <w:r>
        <w:t>was</w:t>
      </w:r>
      <w:r w:rsidR="00C64050">
        <w:t xml:space="preserve"> </w:t>
      </w:r>
      <w:r>
        <w:t>overpaid</w:t>
      </w:r>
      <w:r w:rsidR="00C64050">
        <w:t xml:space="preserve"> </w:t>
      </w:r>
      <w:r>
        <w:t>but</w:t>
      </w:r>
      <w:r w:rsidR="00C64050">
        <w:t xml:space="preserve"> </w:t>
      </w:r>
      <w:r>
        <w:t>the</w:t>
      </w:r>
      <w:r w:rsidR="00C64050">
        <w:t xml:space="preserve"> </w:t>
      </w:r>
      <w:r>
        <w:t>actual</w:t>
      </w:r>
      <w:r w:rsidR="00C64050">
        <w:t xml:space="preserve"> </w:t>
      </w:r>
      <w:r>
        <w:t>estate</w:t>
      </w:r>
      <w:r w:rsidR="00C64050">
        <w:t xml:space="preserve"> </w:t>
      </w:r>
      <w:r>
        <w:t>tax</w:t>
      </w:r>
      <w:r w:rsidR="00C64050">
        <w:t xml:space="preserve"> </w:t>
      </w:r>
      <w:r>
        <w:t>return</w:t>
      </w:r>
      <w:r w:rsidR="00C64050">
        <w:t xml:space="preserve"> </w:t>
      </w:r>
      <w:r>
        <w:t>was</w:t>
      </w:r>
      <w:r w:rsidR="00C64050">
        <w:t xml:space="preserve"> </w:t>
      </w:r>
      <w:r>
        <w:t>not</w:t>
      </w:r>
      <w:r w:rsidR="00C64050">
        <w:t xml:space="preserve"> </w:t>
      </w:r>
      <w:r>
        <w:t>filed</w:t>
      </w:r>
      <w:r w:rsidR="00C64050">
        <w:t xml:space="preserve"> </w:t>
      </w:r>
      <w:r>
        <w:t>until</w:t>
      </w:r>
      <w:r w:rsidR="00C64050">
        <w:t xml:space="preserve"> </w:t>
      </w:r>
      <w:r>
        <w:t>June</w:t>
      </w:r>
      <w:r w:rsidR="00C64050">
        <w:t xml:space="preserve"> </w:t>
      </w:r>
      <w:r>
        <w:t>30,</w:t>
      </w:r>
      <w:r w:rsidR="00C64050">
        <w:t xml:space="preserve"> </w:t>
      </w:r>
      <w:r>
        <w:t>2015,</w:t>
      </w:r>
      <w:r w:rsidR="00C64050">
        <w:t xml:space="preserve"> </w:t>
      </w:r>
      <w:r w:rsidR="0014561A">
        <w:t>past</w:t>
      </w:r>
      <w:r w:rsidR="00C64050">
        <w:t xml:space="preserve"> </w:t>
      </w:r>
      <w:r w:rsidR="0014561A">
        <w:t>the</w:t>
      </w:r>
      <w:r w:rsidR="00C64050">
        <w:t xml:space="preserve"> </w:t>
      </w:r>
      <w:r w:rsidR="0014561A">
        <w:t>extension</w:t>
      </w:r>
      <w:r w:rsidR="00C64050">
        <w:t xml:space="preserve"> </w:t>
      </w:r>
      <w:r w:rsidR="0014561A">
        <w:t>date</w:t>
      </w:r>
      <w:r w:rsidR="00C64050">
        <w:t xml:space="preserve"> </w:t>
      </w:r>
      <w:r w:rsidR="0014561A">
        <w:t>of</w:t>
      </w:r>
      <w:r w:rsidR="00C64050">
        <w:t xml:space="preserve"> </w:t>
      </w:r>
      <w:r w:rsidR="0014561A">
        <w:t>September</w:t>
      </w:r>
      <w:r w:rsidR="00C64050">
        <w:t xml:space="preserve"> </w:t>
      </w:r>
      <w:r w:rsidR="0014561A">
        <w:t>10,</w:t>
      </w:r>
      <w:r w:rsidR="00C64050">
        <w:t xml:space="preserve"> </w:t>
      </w:r>
      <w:r w:rsidR="0014561A">
        <w:t>2014.</w:t>
      </w:r>
      <w:r w:rsidR="00C64050">
        <w:t xml:space="preserve">  </w:t>
      </w:r>
      <w:r w:rsidR="0014561A">
        <w:t>The</w:t>
      </w:r>
      <w:r w:rsidR="00C64050">
        <w:t xml:space="preserve"> </w:t>
      </w:r>
      <w:r w:rsidR="0014561A">
        <w:t>IRS</w:t>
      </w:r>
      <w:r w:rsidR="00C64050">
        <w:t xml:space="preserve"> </w:t>
      </w:r>
      <w:r w:rsidR="0014561A">
        <w:t>asserted</w:t>
      </w:r>
      <w:r w:rsidR="00C64050">
        <w:t xml:space="preserve"> </w:t>
      </w:r>
      <w:r w:rsidR="0014561A">
        <w:t>a</w:t>
      </w:r>
      <w:r w:rsidR="00C64050">
        <w:t xml:space="preserve"> </w:t>
      </w:r>
      <w:r w:rsidR="0014561A">
        <w:t>penalty</w:t>
      </w:r>
      <w:r w:rsidR="00C64050">
        <w:t xml:space="preserve"> </w:t>
      </w:r>
      <w:r w:rsidR="0014561A">
        <w:t>because</w:t>
      </w:r>
      <w:r w:rsidR="00C64050">
        <w:t xml:space="preserve"> </w:t>
      </w:r>
      <w:r w:rsidR="0014561A">
        <w:t>the</w:t>
      </w:r>
      <w:r w:rsidR="00C64050">
        <w:t xml:space="preserve"> </w:t>
      </w:r>
      <w:r w:rsidR="0014561A">
        <w:t>tax</w:t>
      </w:r>
      <w:r w:rsidR="00C64050">
        <w:t xml:space="preserve"> </w:t>
      </w:r>
      <w:r w:rsidR="0014561A">
        <w:t>was</w:t>
      </w:r>
      <w:r w:rsidR="00C64050">
        <w:t xml:space="preserve"> </w:t>
      </w:r>
      <w:r w:rsidR="0014561A">
        <w:t>paid</w:t>
      </w:r>
      <w:r w:rsidR="00C64050">
        <w:t xml:space="preserve"> </w:t>
      </w:r>
      <w:r w:rsidR="0014561A">
        <w:t>eight</w:t>
      </w:r>
      <w:r w:rsidR="00C64050">
        <w:t xml:space="preserve"> </w:t>
      </w:r>
      <w:r w:rsidR="0014561A">
        <w:t>days</w:t>
      </w:r>
      <w:r w:rsidR="00C64050">
        <w:t xml:space="preserve"> </w:t>
      </w:r>
      <w:r w:rsidR="00A4774D">
        <w:t>past</w:t>
      </w:r>
      <w:r w:rsidR="00C64050">
        <w:t xml:space="preserve"> </w:t>
      </w:r>
      <w:r w:rsidR="00A4774D">
        <w:t>the</w:t>
      </w:r>
      <w:r w:rsidR="00C64050">
        <w:t xml:space="preserve"> </w:t>
      </w:r>
      <w:r w:rsidR="00A4774D">
        <w:t>original</w:t>
      </w:r>
      <w:r w:rsidR="00C64050">
        <w:t xml:space="preserve"> </w:t>
      </w:r>
      <w:r w:rsidR="00A4774D">
        <w:t>due</w:t>
      </w:r>
      <w:r w:rsidR="00C64050">
        <w:t xml:space="preserve"> </w:t>
      </w:r>
      <w:r w:rsidR="00A4774D">
        <w:t>date</w:t>
      </w:r>
      <w:r w:rsidR="00C64050">
        <w:t xml:space="preserve"> </w:t>
      </w:r>
      <w:r w:rsidR="0014561A">
        <w:t>but</w:t>
      </w:r>
      <w:r w:rsidR="00C64050">
        <w:t xml:space="preserve"> </w:t>
      </w:r>
      <w:r w:rsidR="0014561A">
        <w:t>an</w:t>
      </w:r>
      <w:r w:rsidR="00C64050">
        <w:t xml:space="preserve"> </w:t>
      </w:r>
      <w:r w:rsidR="0014561A">
        <w:t>extension</w:t>
      </w:r>
      <w:r w:rsidR="00C64050">
        <w:t xml:space="preserve"> </w:t>
      </w:r>
      <w:r w:rsidR="0014561A">
        <w:t>of</w:t>
      </w:r>
      <w:r w:rsidR="00C64050">
        <w:t xml:space="preserve"> </w:t>
      </w:r>
      <w:r w:rsidR="0014561A">
        <w:t>time</w:t>
      </w:r>
      <w:r w:rsidR="00C64050">
        <w:t xml:space="preserve"> </w:t>
      </w:r>
      <w:r w:rsidR="0014561A">
        <w:t>to</w:t>
      </w:r>
      <w:r w:rsidR="00C64050">
        <w:t xml:space="preserve"> </w:t>
      </w:r>
      <w:r w:rsidR="0014561A">
        <w:t>pay,</w:t>
      </w:r>
      <w:r w:rsidR="00C64050">
        <w:t xml:space="preserve"> </w:t>
      </w:r>
      <w:r w:rsidR="0014561A">
        <w:t>until</w:t>
      </w:r>
      <w:r w:rsidR="00C64050">
        <w:t xml:space="preserve"> </w:t>
      </w:r>
      <w:r w:rsidR="0014561A">
        <w:t>September</w:t>
      </w:r>
      <w:r w:rsidR="00C64050">
        <w:t xml:space="preserve"> </w:t>
      </w:r>
      <w:r w:rsidR="0014561A">
        <w:t>10,</w:t>
      </w:r>
      <w:r w:rsidR="00C64050">
        <w:t xml:space="preserve"> </w:t>
      </w:r>
      <w:r w:rsidR="0014561A">
        <w:t>2014,</w:t>
      </w:r>
      <w:r w:rsidR="00C64050">
        <w:t xml:space="preserve"> </w:t>
      </w:r>
      <w:r w:rsidR="0014561A">
        <w:t>had</w:t>
      </w:r>
      <w:r w:rsidR="00C64050">
        <w:t xml:space="preserve"> </w:t>
      </w:r>
      <w:r w:rsidR="0014561A">
        <w:t>also</w:t>
      </w:r>
      <w:r w:rsidR="00C64050">
        <w:t xml:space="preserve"> </w:t>
      </w:r>
      <w:r w:rsidR="0014561A">
        <w:t>been</w:t>
      </w:r>
      <w:r w:rsidR="00C64050">
        <w:t xml:space="preserve"> </w:t>
      </w:r>
      <w:r w:rsidR="0014561A">
        <w:t>granted.</w:t>
      </w:r>
      <w:r w:rsidR="00C64050">
        <w:t xml:space="preserve">  </w:t>
      </w:r>
      <w:r w:rsidR="0014561A">
        <w:t>The</w:t>
      </w:r>
      <w:r w:rsidR="00C64050">
        <w:t xml:space="preserve"> </w:t>
      </w:r>
      <w:r w:rsidR="0014561A">
        <w:t>opinion</w:t>
      </w:r>
      <w:r w:rsidR="00C64050">
        <w:t xml:space="preserve"> </w:t>
      </w:r>
      <w:r w:rsidR="0014561A">
        <w:t>states:</w:t>
      </w:r>
    </w:p>
    <w:p w:rsidR="00A27958" w:rsidRPr="00B61E18" w:rsidRDefault="00A27958" w:rsidP="00A27958">
      <w:pPr>
        <w:pStyle w:val="QS10"/>
        <w:rPr>
          <w:szCs w:val="20"/>
        </w:rPr>
      </w:pPr>
      <w:r w:rsidRPr="00B61E18">
        <w:rPr>
          <w:szCs w:val="20"/>
        </w:rPr>
        <w:t>In</w:t>
      </w:r>
      <w:r w:rsidR="00C64050">
        <w:rPr>
          <w:szCs w:val="20"/>
        </w:rPr>
        <w:t xml:space="preserve"> </w:t>
      </w:r>
      <w:r w:rsidRPr="00B61E18">
        <w:rPr>
          <w:szCs w:val="20"/>
        </w:rPr>
        <w:t>the</w:t>
      </w:r>
      <w:r w:rsidR="00C64050">
        <w:rPr>
          <w:szCs w:val="20"/>
        </w:rPr>
        <w:t xml:space="preserve"> </w:t>
      </w:r>
      <w:r w:rsidRPr="00B61E18">
        <w:rPr>
          <w:szCs w:val="20"/>
        </w:rPr>
        <w:t>Court's</w:t>
      </w:r>
      <w:r w:rsidR="00C64050">
        <w:rPr>
          <w:szCs w:val="20"/>
        </w:rPr>
        <w:t xml:space="preserve"> </w:t>
      </w:r>
      <w:r w:rsidRPr="00B61E18">
        <w:rPr>
          <w:szCs w:val="20"/>
        </w:rPr>
        <w:t>view,</w:t>
      </w:r>
      <w:r w:rsidR="00C64050">
        <w:rPr>
          <w:szCs w:val="20"/>
        </w:rPr>
        <w:t xml:space="preserve"> </w:t>
      </w:r>
      <w:r w:rsidRPr="00B61E18">
        <w:rPr>
          <w:szCs w:val="20"/>
        </w:rPr>
        <w:t>the</w:t>
      </w:r>
      <w:r w:rsidR="00C64050">
        <w:rPr>
          <w:szCs w:val="20"/>
        </w:rPr>
        <w:t xml:space="preserve"> </w:t>
      </w:r>
      <w:r w:rsidRPr="00B61E18">
        <w:rPr>
          <w:szCs w:val="20"/>
        </w:rPr>
        <w:t>resolution</w:t>
      </w:r>
      <w:r w:rsidR="00C64050">
        <w:rPr>
          <w:szCs w:val="20"/>
        </w:rPr>
        <w:t xml:space="preserve"> </w:t>
      </w:r>
      <w:r w:rsidRPr="00B61E18">
        <w:rPr>
          <w:szCs w:val="20"/>
        </w:rPr>
        <w:t>of</w:t>
      </w:r>
      <w:r w:rsidR="00C64050">
        <w:rPr>
          <w:szCs w:val="20"/>
        </w:rPr>
        <w:t xml:space="preserve"> </w:t>
      </w:r>
      <w:r w:rsidRPr="00B61E18">
        <w:rPr>
          <w:szCs w:val="20"/>
        </w:rPr>
        <w:t>this</w:t>
      </w:r>
      <w:r w:rsidR="00C64050">
        <w:rPr>
          <w:szCs w:val="20"/>
        </w:rPr>
        <w:t xml:space="preserve"> </w:t>
      </w:r>
      <w:r w:rsidRPr="00B61E18">
        <w:rPr>
          <w:szCs w:val="20"/>
        </w:rPr>
        <w:t>matter</w:t>
      </w:r>
      <w:r w:rsidR="00C64050">
        <w:rPr>
          <w:szCs w:val="20"/>
        </w:rPr>
        <w:t xml:space="preserve"> </w:t>
      </w:r>
      <w:r w:rsidRPr="00B61E18">
        <w:rPr>
          <w:szCs w:val="20"/>
        </w:rPr>
        <w:t>hinges</w:t>
      </w:r>
      <w:r w:rsidR="00C64050">
        <w:rPr>
          <w:szCs w:val="20"/>
        </w:rPr>
        <w:t xml:space="preserve"> </w:t>
      </w:r>
      <w:r w:rsidRPr="00B61E18">
        <w:rPr>
          <w:szCs w:val="20"/>
        </w:rPr>
        <w:t>on</w:t>
      </w:r>
      <w:r w:rsidR="00C64050">
        <w:rPr>
          <w:szCs w:val="20"/>
        </w:rPr>
        <w:t xml:space="preserve"> </w:t>
      </w:r>
      <w:r w:rsidRPr="00B61E18">
        <w:rPr>
          <w:szCs w:val="20"/>
        </w:rPr>
        <w:t>an</w:t>
      </w:r>
      <w:r w:rsidR="00C64050">
        <w:rPr>
          <w:szCs w:val="20"/>
        </w:rPr>
        <w:t xml:space="preserve"> </w:t>
      </w:r>
      <w:r w:rsidRPr="00B61E18">
        <w:rPr>
          <w:szCs w:val="20"/>
        </w:rPr>
        <w:t>interpretation</w:t>
      </w:r>
      <w:r w:rsidR="00C64050">
        <w:rPr>
          <w:szCs w:val="20"/>
        </w:rPr>
        <w:t xml:space="preserve"> </w:t>
      </w:r>
      <w:r w:rsidRPr="00B61E18">
        <w:rPr>
          <w:szCs w:val="20"/>
        </w:rPr>
        <w:t>of</w:t>
      </w:r>
      <w:r w:rsidR="00C64050">
        <w:rPr>
          <w:szCs w:val="20"/>
        </w:rPr>
        <w:t xml:space="preserve"> </w:t>
      </w:r>
      <w:r w:rsidRPr="00B61E18">
        <w:rPr>
          <w:szCs w:val="20"/>
        </w:rPr>
        <w:t>a</w:t>
      </w:r>
      <w:r w:rsidR="00C64050">
        <w:rPr>
          <w:szCs w:val="20"/>
        </w:rPr>
        <w:t xml:space="preserve"> </w:t>
      </w:r>
      <w:r w:rsidRPr="00B61E18">
        <w:rPr>
          <w:szCs w:val="20"/>
        </w:rPr>
        <w:t>section</w:t>
      </w:r>
      <w:r w:rsidR="00C64050">
        <w:rPr>
          <w:szCs w:val="20"/>
        </w:rPr>
        <w:t xml:space="preserve"> </w:t>
      </w:r>
      <w:r w:rsidRPr="00B61E18">
        <w:rPr>
          <w:szCs w:val="20"/>
        </w:rPr>
        <w:t>of</w:t>
      </w:r>
      <w:r w:rsidR="00C64050">
        <w:rPr>
          <w:szCs w:val="20"/>
        </w:rPr>
        <w:t xml:space="preserve"> </w:t>
      </w:r>
      <w:r w:rsidRPr="00B61E18">
        <w:rPr>
          <w:szCs w:val="20"/>
        </w:rPr>
        <w:t>the</w:t>
      </w:r>
      <w:r w:rsidR="00C64050">
        <w:rPr>
          <w:szCs w:val="20"/>
        </w:rPr>
        <w:t xml:space="preserve"> </w:t>
      </w:r>
      <w:r w:rsidRPr="00B61E18">
        <w:rPr>
          <w:szCs w:val="20"/>
        </w:rPr>
        <w:t>IRS</w:t>
      </w:r>
      <w:r w:rsidR="00C64050">
        <w:rPr>
          <w:szCs w:val="20"/>
        </w:rPr>
        <w:t xml:space="preserve"> </w:t>
      </w:r>
      <w:r w:rsidRPr="00B61E18">
        <w:rPr>
          <w:szCs w:val="20"/>
        </w:rPr>
        <w:t>Code</w:t>
      </w:r>
      <w:r w:rsidR="00C64050">
        <w:rPr>
          <w:szCs w:val="20"/>
        </w:rPr>
        <w:t xml:space="preserve"> </w:t>
      </w:r>
      <w:r w:rsidRPr="00B61E18">
        <w:rPr>
          <w:szCs w:val="20"/>
        </w:rPr>
        <w:t>(26</w:t>
      </w:r>
      <w:r w:rsidR="00C64050">
        <w:rPr>
          <w:szCs w:val="20"/>
        </w:rPr>
        <w:t xml:space="preserve"> </w:t>
      </w:r>
      <w:r w:rsidRPr="00B61E18">
        <w:rPr>
          <w:szCs w:val="20"/>
        </w:rPr>
        <w:t>C.F.R.§</w:t>
      </w:r>
      <w:r w:rsidR="00C64050">
        <w:rPr>
          <w:szCs w:val="20"/>
        </w:rPr>
        <w:t xml:space="preserve"> </w:t>
      </w:r>
      <w:r w:rsidRPr="00B61E18">
        <w:rPr>
          <w:szCs w:val="20"/>
        </w:rPr>
        <w:t>6651)</w:t>
      </w:r>
      <w:r w:rsidR="00C64050">
        <w:rPr>
          <w:szCs w:val="20"/>
        </w:rPr>
        <w:t xml:space="preserve"> </w:t>
      </w:r>
      <w:r w:rsidRPr="00B61E18">
        <w:rPr>
          <w:szCs w:val="20"/>
        </w:rPr>
        <w:t>called</w:t>
      </w:r>
      <w:r w:rsidR="00C64050">
        <w:rPr>
          <w:szCs w:val="20"/>
        </w:rPr>
        <w:t xml:space="preserve"> </w:t>
      </w:r>
      <w:r w:rsidRPr="00B61E18">
        <w:rPr>
          <w:szCs w:val="20"/>
        </w:rPr>
        <w:t>“Failure</w:t>
      </w:r>
      <w:r w:rsidR="00C64050">
        <w:rPr>
          <w:szCs w:val="20"/>
        </w:rPr>
        <w:t xml:space="preserve"> </w:t>
      </w:r>
      <w:r w:rsidRPr="00B61E18">
        <w:rPr>
          <w:szCs w:val="20"/>
        </w:rPr>
        <w:t>to</w:t>
      </w:r>
      <w:r w:rsidR="00C64050">
        <w:rPr>
          <w:szCs w:val="20"/>
        </w:rPr>
        <w:t xml:space="preserve"> </w:t>
      </w:r>
      <w:r w:rsidRPr="00B61E18">
        <w:rPr>
          <w:szCs w:val="20"/>
        </w:rPr>
        <w:t>file</w:t>
      </w:r>
      <w:r w:rsidR="00C64050">
        <w:rPr>
          <w:szCs w:val="20"/>
        </w:rPr>
        <w:t xml:space="preserve"> </w:t>
      </w:r>
      <w:r w:rsidRPr="00B61E18">
        <w:rPr>
          <w:szCs w:val="20"/>
        </w:rPr>
        <w:t>tax</w:t>
      </w:r>
      <w:r w:rsidR="00C64050">
        <w:rPr>
          <w:szCs w:val="20"/>
        </w:rPr>
        <w:t xml:space="preserve"> </w:t>
      </w:r>
      <w:r w:rsidRPr="00B61E18">
        <w:rPr>
          <w:szCs w:val="20"/>
        </w:rPr>
        <w:t>return</w:t>
      </w:r>
      <w:r w:rsidR="00C64050">
        <w:rPr>
          <w:szCs w:val="20"/>
        </w:rPr>
        <w:t xml:space="preserve"> </w:t>
      </w:r>
      <w:r w:rsidRPr="00B61E18">
        <w:rPr>
          <w:szCs w:val="20"/>
        </w:rPr>
        <w:t>or</w:t>
      </w:r>
      <w:r w:rsidR="00C64050">
        <w:rPr>
          <w:szCs w:val="20"/>
        </w:rPr>
        <w:t xml:space="preserve"> </w:t>
      </w:r>
      <w:r w:rsidRPr="00B61E18">
        <w:rPr>
          <w:szCs w:val="20"/>
        </w:rPr>
        <w:t>to</w:t>
      </w:r>
      <w:r w:rsidR="00C64050">
        <w:rPr>
          <w:szCs w:val="20"/>
        </w:rPr>
        <w:t xml:space="preserve"> </w:t>
      </w:r>
      <w:r w:rsidRPr="00B61E18">
        <w:rPr>
          <w:szCs w:val="20"/>
        </w:rPr>
        <w:t>pay</w:t>
      </w:r>
      <w:r w:rsidR="00C64050">
        <w:rPr>
          <w:szCs w:val="20"/>
        </w:rPr>
        <w:t xml:space="preserve"> </w:t>
      </w:r>
      <w:r w:rsidRPr="00B61E18">
        <w:rPr>
          <w:szCs w:val="20"/>
        </w:rPr>
        <w:t>tax.”</w:t>
      </w:r>
      <w:r w:rsidR="00C64050">
        <w:rPr>
          <w:szCs w:val="20"/>
        </w:rPr>
        <w:t xml:space="preserve"> </w:t>
      </w:r>
      <w:r w:rsidRPr="00B61E18">
        <w:rPr>
          <w:szCs w:val="20"/>
        </w:rPr>
        <w:t>This</w:t>
      </w:r>
      <w:r w:rsidR="00C64050">
        <w:rPr>
          <w:szCs w:val="20"/>
        </w:rPr>
        <w:t xml:space="preserve"> </w:t>
      </w:r>
      <w:r w:rsidRPr="00B61E18">
        <w:rPr>
          <w:szCs w:val="20"/>
        </w:rPr>
        <w:t>provision</w:t>
      </w:r>
      <w:r w:rsidR="00C64050">
        <w:rPr>
          <w:szCs w:val="20"/>
        </w:rPr>
        <w:t xml:space="preserve"> </w:t>
      </w:r>
      <w:r w:rsidRPr="00B61E18">
        <w:rPr>
          <w:szCs w:val="20"/>
        </w:rPr>
        <w:t>has</w:t>
      </w:r>
      <w:r w:rsidR="00C64050">
        <w:rPr>
          <w:szCs w:val="20"/>
        </w:rPr>
        <w:t xml:space="preserve"> </w:t>
      </w:r>
      <w:r w:rsidRPr="00B61E18">
        <w:rPr>
          <w:szCs w:val="20"/>
        </w:rPr>
        <w:t>several</w:t>
      </w:r>
      <w:r w:rsidR="00C64050">
        <w:rPr>
          <w:szCs w:val="20"/>
        </w:rPr>
        <w:t xml:space="preserve"> </w:t>
      </w:r>
      <w:r w:rsidRPr="00B61E18">
        <w:rPr>
          <w:szCs w:val="20"/>
        </w:rPr>
        <w:t>sections,</w:t>
      </w:r>
      <w:r w:rsidR="00C64050">
        <w:rPr>
          <w:szCs w:val="20"/>
        </w:rPr>
        <w:t xml:space="preserve"> </w:t>
      </w:r>
      <w:r w:rsidRPr="00B61E18">
        <w:rPr>
          <w:szCs w:val="20"/>
        </w:rPr>
        <w:t>and</w:t>
      </w:r>
      <w:r w:rsidR="00C64050">
        <w:rPr>
          <w:szCs w:val="20"/>
        </w:rPr>
        <w:t xml:space="preserve"> </w:t>
      </w:r>
      <w:r w:rsidRPr="00B61E18">
        <w:rPr>
          <w:szCs w:val="20"/>
        </w:rPr>
        <w:t>each</w:t>
      </w:r>
      <w:r w:rsidR="00C64050">
        <w:rPr>
          <w:szCs w:val="20"/>
        </w:rPr>
        <w:t xml:space="preserve"> </w:t>
      </w:r>
      <w:r w:rsidRPr="00B61E18">
        <w:rPr>
          <w:szCs w:val="20"/>
        </w:rPr>
        <w:t>shall</w:t>
      </w:r>
      <w:r w:rsidR="00C64050">
        <w:rPr>
          <w:szCs w:val="20"/>
        </w:rPr>
        <w:t xml:space="preserve"> </w:t>
      </w:r>
      <w:r w:rsidRPr="00B61E18">
        <w:rPr>
          <w:szCs w:val="20"/>
        </w:rPr>
        <w:t>be</w:t>
      </w:r>
      <w:r w:rsidR="00C64050">
        <w:rPr>
          <w:szCs w:val="20"/>
        </w:rPr>
        <w:t xml:space="preserve"> </w:t>
      </w:r>
      <w:r w:rsidRPr="00B61E18">
        <w:rPr>
          <w:szCs w:val="20"/>
        </w:rPr>
        <w:t>addressed.</w:t>
      </w:r>
    </w:p>
    <w:p w:rsidR="00A27958" w:rsidRPr="00B61E18" w:rsidRDefault="00A27958" w:rsidP="00A27958">
      <w:pPr>
        <w:pStyle w:val="QS10"/>
        <w:rPr>
          <w:szCs w:val="20"/>
        </w:rPr>
      </w:pPr>
      <w:r w:rsidRPr="00B61E18">
        <w:rPr>
          <w:szCs w:val="20"/>
        </w:rPr>
        <w:t>Generally,</w:t>
      </w:r>
      <w:r w:rsidR="00C64050">
        <w:rPr>
          <w:szCs w:val="20"/>
        </w:rPr>
        <w:t xml:space="preserve"> </w:t>
      </w:r>
      <w:r w:rsidRPr="00B61E18">
        <w:rPr>
          <w:szCs w:val="20"/>
        </w:rPr>
        <w:t>§</w:t>
      </w:r>
      <w:r w:rsidR="00C64050">
        <w:rPr>
          <w:szCs w:val="20"/>
        </w:rPr>
        <w:t xml:space="preserve"> </w:t>
      </w:r>
      <w:r w:rsidRPr="00B61E18">
        <w:rPr>
          <w:szCs w:val="20"/>
        </w:rPr>
        <w:t>6651</w:t>
      </w:r>
      <w:r w:rsidR="00C64050">
        <w:rPr>
          <w:szCs w:val="20"/>
        </w:rPr>
        <w:t xml:space="preserve"> </w:t>
      </w:r>
      <w:r w:rsidRPr="00B61E18">
        <w:rPr>
          <w:szCs w:val="20"/>
        </w:rPr>
        <w:t>addresses</w:t>
      </w:r>
      <w:r w:rsidR="00C64050">
        <w:rPr>
          <w:szCs w:val="20"/>
        </w:rPr>
        <w:t xml:space="preserve"> </w:t>
      </w:r>
      <w:r w:rsidRPr="00B61E18">
        <w:rPr>
          <w:szCs w:val="20"/>
        </w:rPr>
        <w:t>the</w:t>
      </w:r>
      <w:r w:rsidR="00C64050">
        <w:rPr>
          <w:szCs w:val="20"/>
        </w:rPr>
        <w:t xml:space="preserve"> </w:t>
      </w:r>
      <w:r w:rsidRPr="00B61E18">
        <w:rPr>
          <w:szCs w:val="20"/>
        </w:rPr>
        <w:t>assessment</w:t>
      </w:r>
      <w:r w:rsidR="00C64050">
        <w:rPr>
          <w:szCs w:val="20"/>
        </w:rPr>
        <w:t xml:space="preserve"> </w:t>
      </w:r>
      <w:r w:rsidRPr="00B61E18">
        <w:rPr>
          <w:szCs w:val="20"/>
        </w:rPr>
        <w:t>of</w:t>
      </w:r>
      <w:r w:rsidR="00C64050">
        <w:rPr>
          <w:szCs w:val="20"/>
        </w:rPr>
        <w:t xml:space="preserve"> </w:t>
      </w:r>
      <w:r w:rsidRPr="00B61E18">
        <w:rPr>
          <w:szCs w:val="20"/>
        </w:rPr>
        <w:t>penalties</w:t>
      </w:r>
      <w:r w:rsidR="00C64050">
        <w:rPr>
          <w:szCs w:val="20"/>
        </w:rPr>
        <w:t xml:space="preserve"> </w:t>
      </w:r>
      <w:r w:rsidRPr="00B61E18">
        <w:rPr>
          <w:szCs w:val="20"/>
        </w:rPr>
        <w:t>for</w:t>
      </w:r>
      <w:r w:rsidR="00C64050">
        <w:rPr>
          <w:szCs w:val="20"/>
        </w:rPr>
        <w:t xml:space="preserve"> </w:t>
      </w:r>
      <w:r w:rsidRPr="00B61E18">
        <w:rPr>
          <w:szCs w:val="20"/>
        </w:rPr>
        <w:t>late</w:t>
      </w:r>
      <w:r w:rsidR="00C64050">
        <w:rPr>
          <w:szCs w:val="20"/>
        </w:rPr>
        <w:t xml:space="preserve"> </w:t>
      </w:r>
      <w:r w:rsidRPr="00B61E18">
        <w:rPr>
          <w:szCs w:val="20"/>
        </w:rPr>
        <w:t>filing</w:t>
      </w:r>
      <w:r w:rsidR="00C64050">
        <w:rPr>
          <w:szCs w:val="20"/>
        </w:rPr>
        <w:t xml:space="preserve"> </w:t>
      </w:r>
      <w:r w:rsidRPr="00B61E18">
        <w:rPr>
          <w:szCs w:val="20"/>
        </w:rPr>
        <w:t>of</w:t>
      </w:r>
      <w:r w:rsidR="00C64050">
        <w:rPr>
          <w:szCs w:val="20"/>
        </w:rPr>
        <w:t xml:space="preserve"> </w:t>
      </w:r>
      <w:r w:rsidRPr="00B61E18">
        <w:rPr>
          <w:szCs w:val="20"/>
        </w:rPr>
        <w:t>a</w:t>
      </w:r>
      <w:r w:rsidR="00C64050">
        <w:rPr>
          <w:szCs w:val="20"/>
        </w:rPr>
        <w:t xml:space="preserve"> </w:t>
      </w:r>
      <w:r w:rsidRPr="00B61E18">
        <w:rPr>
          <w:szCs w:val="20"/>
        </w:rPr>
        <w:t>return,</w:t>
      </w:r>
      <w:r w:rsidR="00C64050">
        <w:rPr>
          <w:szCs w:val="20"/>
        </w:rPr>
        <w:t xml:space="preserve"> </w:t>
      </w:r>
      <w:r w:rsidRPr="00B61E18">
        <w:rPr>
          <w:szCs w:val="20"/>
        </w:rPr>
        <w:t>and</w:t>
      </w:r>
      <w:r w:rsidR="00C64050">
        <w:rPr>
          <w:szCs w:val="20"/>
        </w:rPr>
        <w:t xml:space="preserve"> </w:t>
      </w:r>
      <w:r w:rsidRPr="00B61E18">
        <w:rPr>
          <w:szCs w:val="20"/>
        </w:rPr>
        <w:t>late</w:t>
      </w:r>
      <w:r w:rsidR="00C64050">
        <w:rPr>
          <w:szCs w:val="20"/>
        </w:rPr>
        <w:t xml:space="preserve"> </w:t>
      </w:r>
      <w:r w:rsidRPr="00B61E18">
        <w:rPr>
          <w:szCs w:val="20"/>
        </w:rPr>
        <w:t>payment</w:t>
      </w:r>
      <w:r w:rsidR="00C64050">
        <w:rPr>
          <w:szCs w:val="20"/>
        </w:rPr>
        <w:t xml:space="preserve"> </w:t>
      </w:r>
      <w:r w:rsidRPr="00B61E18">
        <w:rPr>
          <w:szCs w:val="20"/>
        </w:rPr>
        <w:t>of</w:t>
      </w:r>
      <w:r w:rsidR="00C64050">
        <w:rPr>
          <w:szCs w:val="20"/>
        </w:rPr>
        <w:t xml:space="preserve"> </w:t>
      </w:r>
      <w:r w:rsidRPr="00B61E18">
        <w:rPr>
          <w:szCs w:val="20"/>
        </w:rPr>
        <w:t>taxes</w:t>
      </w:r>
      <w:r w:rsidR="00C64050">
        <w:rPr>
          <w:szCs w:val="20"/>
        </w:rPr>
        <w:t xml:space="preserve"> </w:t>
      </w:r>
      <w:r w:rsidRPr="00B61E18">
        <w:rPr>
          <w:szCs w:val="20"/>
        </w:rPr>
        <w:t>due.</w:t>
      </w:r>
      <w:r w:rsidR="00C64050">
        <w:rPr>
          <w:szCs w:val="20"/>
        </w:rPr>
        <w:t xml:space="preserve"> </w:t>
      </w:r>
      <w:r w:rsidRPr="00B61E18">
        <w:rPr>
          <w:szCs w:val="20"/>
        </w:rPr>
        <w:t>More</w:t>
      </w:r>
      <w:r w:rsidR="00C64050">
        <w:rPr>
          <w:szCs w:val="20"/>
        </w:rPr>
        <w:t xml:space="preserve"> </w:t>
      </w:r>
      <w:r w:rsidRPr="00B61E18">
        <w:rPr>
          <w:szCs w:val="20"/>
        </w:rPr>
        <w:t>specifically,</w:t>
      </w:r>
      <w:r w:rsidR="00C64050">
        <w:rPr>
          <w:szCs w:val="20"/>
        </w:rPr>
        <w:t xml:space="preserve"> </w:t>
      </w:r>
      <w:r w:rsidRPr="00B61E18">
        <w:rPr>
          <w:szCs w:val="20"/>
        </w:rPr>
        <w:t>the</w:t>
      </w:r>
      <w:r w:rsidR="00C64050">
        <w:rPr>
          <w:szCs w:val="20"/>
        </w:rPr>
        <w:t xml:space="preserve"> </w:t>
      </w:r>
      <w:r w:rsidRPr="00B61E18">
        <w:rPr>
          <w:szCs w:val="20"/>
        </w:rPr>
        <w:t>penalty</w:t>
      </w:r>
      <w:r w:rsidR="00C64050">
        <w:rPr>
          <w:szCs w:val="20"/>
        </w:rPr>
        <w:t xml:space="preserve"> </w:t>
      </w:r>
      <w:r w:rsidRPr="00B61E18">
        <w:rPr>
          <w:szCs w:val="20"/>
        </w:rPr>
        <w:t>under</w:t>
      </w:r>
      <w:r w:rsidR="00C64050">
        <w:rPr>
          <w:szCs w:val="20"/>
        </w:rPr>
        <w:t xml:space="preserve"> </w:t>
      </w:r>
      <w:r w:rsidRPr="00B61E18">
        <w:rPr>
          <w:szCs w:val="20"/>
        </w:rPr>
        <w:t>§</w:t>
      </w:r>
      <w:r w:rsidR="00C64050">
        <w:rPr>
          <w:szCs w:val="20"/>
        </w:rPr>
        <w:t xml:space="preserve"> </w:t>
      </w:r>
      <w:r w:rsidRPr="00B61E18">
        <w:rPr>
          <w:szCs w:val="20"/>
        </w:rPr>
        <w:t>6651(a)(1)</w:t>
      </w:r>
      <w:r w:rsidR="00C64050">
        <w:rPr>
          <w:szCs w:val="20"/>
        </w:rPr>
        <w:t xml:space="preserve"> </w:t>
      </w:r>
      <w:r w:rsidRPr="00B61E18">
        <w:rPr>
          <w:szCs w:val="20"/>
        </w:rPr>
        <w:t>addresses</w:t>
      </w:r>
      <w:r w:rsidR="00C64050">
        <w:rPr>
          <w:szCs w:val="20"/>
        </w:rPr>
        <w:t xml:space="preserve"> </w:t>
      </w:r>
      <w:r w:rsidRPr="00B61E18">
        <w:rPr>
          <w:szCs w:val="20"/>
        </w:rPr>
        <w:t>the</w:t>
      </w:r>
      <w:r w:rsidR="00C64050">
        <w:rPr>
          <w:szCs w:val="20"/>
        </w:rPr>
        <w:t xml:space="preserve"> </w:t>
      </w:r>
      <w:r w:rsidRPr="00B61E18">
        <w:rPr>
          <w:szCs w:val="20"/>
        </w:rPr>
        <w:t>failure</w:t>
      </w:r>
      <w:r w:rsidR="00C64050">
        <w:rPr>
          <w:szCs w:val="20"/>
        </w:rPr>
        <w:t xml:space="preserve"> </w:t>
      </w:r>
      <w:r w:rsidRPr="00B61E18">
        <w:rPr>
          <w:szCs w:val="20"/>
        </w:rPr>
        <w:t>to</w:t>
      </w:r>
      <w:r w:rsidR="00C64050">
        <w:rPr>
          <w:szCs w:val="20"/>
        </w:rPr>
        <w:t xml:space="preserve"> </w:t>
      </w:r>
      <w:r w:rsidRPr="00B61E18">
        <w:rPr>
          <w:szCs w:val="20"/>
        </w:rPr>
        <w:t>file</w:t>
      </w:r>
      <w:r w:rsidR="00C64050">
        <w:rPr>
          <w:szCs w:val="20"/>
        </w:rPr>
        <w:t xml:space="preserve"> </w:t>
      </w:r>
      <w:r w:rsidRPr="00B61E18">
        <w:rPr>
          <w:szCs w:val="20"/>
        </w:rPr>
        <w:t>a</w:t>
      </w:r>
      <w:r w:rsidR="00C64050">
        <w:rPr>
          <w:szCs w:val="20"/>
        </w:rPr>
        <w:t xml:space="preserve"> </w:t>
      </w:r>
      <w:r w:rsidRPr="00B61E18">
        <w:rPr>
          <w:szCs w:val="20"/>
        </w:rPr>
        <w:t>timely</w:t>
      </w:r>
      <w:r w:rsidR="00C64050">
        <w:rPr>
          <w:szCs w:val="20"/>
        </w:rPr>
        <w:t xml:space="preserve"> </w:t>
      </w:r>
      <w:r w:rsidRPr="00B61E18">
        <w:rPr>
          <w:szCs w:val="20"/>
        </w:rPr>
        <w:t>return:</w:t>
      </w:r>
    </w:p>
    <w:p w:rsidR="00A27958" w:rsidRPr="00B61E18" w:rsidRDefault="00A27958" w:rsidP="00A27958">
      <w:pPr>
        <w:pStyle w:val="QS10"/>
        <w:ind w:left="2160"/>
        <w:rPr>
          <w:szCs w:val="20"/>
        </w:rPr>
      </w:pPr>
      <w:r w:rsidRPr="00B61E18">
        <w:rPr>
          <w:szCs w:val="20"/>
        </w:rPr>
        <w:t>In</w:t>
      </w:r>
      <w:r w:rsidR="00C64050">
        <w:rPr>
          <w:szCs w:val="20"/>
        </w:rPr>
        <w:t xml:space="preserve"> </w:t>
      </w:r>
      <w:r w:rsidRPr="00B61E18">
        <w:rPr>
          <w:szCs w:val="20"/>
        </w:rPr>
        <w:t>case</w:t>
      </w:r>
      <w:r w:rsidR="00C64050">
        <w:rPr>
          <w:szCs w:val="20"/>
        </w:rPr>
        <w:t xml:space="preserve"> </w:t>
      </w:r>
      <w:r w:rsidRPr="00B61E18">
        <w:rPr>
          <w:szCs w:val="20"/>
        </w:rPr>
        <w:t>of</w:t>
      </w:r>
      <w:r w:rsidR="00C64050">
        <w:rPr>
          <w:szCs w:val="20"/>
        </w:rPr>
        <w:t xml:space="preserve"> </w:t>
      </w:r>
      <w:r w:rsidRPr="00B61E18">
        <w:rPr>
          <w:szCs w:val="20"/>
        </w:rPr>
        <w:t>failure</w:t>
      </w:r>
      <w:r w:rsidR="00C64050">
        <w:rPr>
          <w:szCs w:val="20"/>
        </w:rPr>
        <w:t xml:space="preserve"> </w:t>
      </w:r>
      <w:r w:rsidRPr="00B61E18">
        <w:rPr>
          <w:szCs w:val="20"/>
        </w:rPr>
        <w:t>(1)</w:t>
      </w:r>
      <w:r w:rsidR="00C64050">
        <w:rPr>
          <w:szCs w:val="20"/>
        </w:rPr>
        <w:t xml:space="preserve"> </w:t>
      </w:r>
      <w:r w:rsidRPr="00B61E18">
        <w:rPr>
          <w:szCs w:val="20"/>
        </w:rPr>
        <w:t>to</w:t>
      </w:r>
      <w:r w:rsidR="00C64050">
        <w:rPr>
          <w:szCs w:val="20"/>
        </w:rPr>
        <w:t xml:space="preserve"> </w:t>
      </w:r>
      <w:r w:rsidRPr="00B61E18">
        <w:rPr>
          <w:szCs w:val="20"/>
        </w:rPr>
        <w:t>file</w:t>
      </w:r>
      <w:r w:rsidR="00C64050">
        <w:rPr>
          <w:szCs w:val="20"/>
        </w:rPr>
        <w:t xml:space="preserve"> </w:t>
      </w:r>
      <w:r w:rsidRPr="00B61E18">
        <w:rPr>
          <w:szCs w:val="20"/>
        </w:rPr>
        <w:t>any</w:t>
      </w:r>
      <w:r w:rsidR="00C64050">
        <w:rPr>
          <w:szCs w:val="20"/>
        </w:rPr>
        <w:t xml:space="preserve"> </w:t>
      </w:r>
      <w:r w:rsidRPr="00B61E18">
        <w:rPr>
          <w:szCs w:val="20"/>
          <w:u w:val="single"/>
        </w:rPr>
        <w:t>return</w:t>
      </w:r>
      <w:r w:rsidR="00C64050">
        <w:rPr>
          <w:szCs w:val="20"/>
        </w:rPr>
        <w:t xml:space="preserve"> </w:t>
      </w:r>
      <w:r w:rsidRPr="00B61E18">
        <w:rPr>
          <w:szCs w:val="20"/>
        </w:rPr>
        <w:t>on</w:t>
      </w:r>
      <w:r w:rsidR="00C64050">
        <w:rPr>
          <w:szCs w:val="20"/>
        </w:rPr>
        <w:t xml:space="preserve"> </w:t>
      </w:r>
      <w:r w:rsidRPr="00B61E18">
        <w:rPr>
          <w:szCs w:val="20"/>
        </w:rPr>
        <w:t>the</w:t>
      </w:r>
      <w:r w:rsidR="00C64050">
        <w:rPr>
          <w:szCs w:val="20"/>
        </w:rPr>
        <w:t xml:space="preserve"> </w:t>
      </w:r>
      <w:r w:rsidRPr="00B61E18">
        <w:rPr>
          <w:szCs w:val="20"/>
        </w:rPr>
        <w:t>date</w:t>
      </w:r>
      <w:r w:rsidR="00C64050">
        <w:rPr>
          <w:szCs w:val="20"/>
        </w:rPr>
        <w:t xml:space="preserve"> </w:t>
      </w:r>
      <w:r w:rsidRPr="00B61E18">
        <w:rPr>
          <w:szCs w:val="20"/>
        </w:rPr>
        <w:t>prescribed</w:t>
      </w:r>
      <w:r w:rsidR="00C64050">
        <w:rPr>
          <w:szCs w:val="20"/>
        </w:rPr>
        <w:t xml:space="preserve"> </w:t>
      </w:r>
      <w:r w:rsidRPr="00B61E18">
        <w:rPr>
          <w:szCs w:val="20"/>
        </w:rPr>
        <w:t>therefor</w:t>
      </w:r>
      <w:r w:rsidR="00C64050">
        <w:rPr>
          <w:szCs w:val="20"/>
        </w:rPr>
        <w:t xml:space="preserve"> </w:t>
      </w:r>
      <w:r w:rsidRPr="00B61E18">
        <w:rPr>
          <w:szCs w:val="20"/>
        </w:rPr>
        <w:t>(determined</w:t>
      </w:r>
      <w:r w:rsidR="00C64050">
        <w:rPr>
          <w:szCs w:val="20"/>
        </w:rPr>
        <w:t xml:space="preserve"> </w:t>
      </w:r>
      <w:r w:rsidRPr="00B61E18">
        <w:rPr>
          <w:szCs w:val="20"/>
        </w:rPr>
        <w:t>with</w:t>
      </w:r>
      <w:r w:rsidR="00C64050">
        <w:rPr>
          <w:szCs w:val="20"/>
        </w:rPr>
        <w:t xml:space="preserve"> </w:t>
      </w:r>
      <w:r w:rsidRPr="00B61E18">
        <w:rPr>
          <w:szCs w:val="20"/>
        </w:rPr>
        <w:t>regard</w:t>
      </w:r>
      <w:r w:rsidR="00C64050">
        <w:rPr>
          <w:szCs w:val="20"/>
        </w:rPr>
        <w:t xml:space="preserve"> </w:t>
      </w:r>
      <w:r w:rsidRPr="00B61E18">
        <w:rPr>
          <w:szCs w:val="20"/>
        </w:rPr>
        <w:t>to</w:t>
      </w:r>
      <w:r w:rsidR="00C64050">
        <w:rPr>
          <w:szCs w:val="20"/>
        </w:rPr>
        <w:t xml:space="preserve"> </w:t>
      </w:r>
      <w:r w:rsidRPr="00B61E18">
        <w:rPr>
          <w:szCs w:val="20"/>
        </w:rPr>
        <w:t>any</w:t>
      </w:r>
      <w:r w:rsidR="00C64050">
        <w:rPr>
          <w:szCs w:val="20"/>
        </w:rPr>
        <w:t xml:space="preserve"> </w:t>
      </w:r>
      <w:r w:rsidRPr="00B61E18">
        <w:rPr>
          <w:szCs w:val="20"/>
        </w:rPr>
        <w:t>extension</w:t>
      </w:r>
      <w:r w:rsidR="00C64050">
        <w:rPr>
          <w:szCs w:val="20"/>
        </w:rPr>
        <w:t xml:space="preserve"> </w:t>
      </w:r>
      <w:r w:rsidRPr="00B61E18">
        <w:rPr>
          <w:szCs w:val="20"/>
        </w:rPr>
        <w:t>of</w:t>
      </w:r>
      <w:r w:rsidR="00C64050">
        <w:rPr>
          <w:szCs w:val="20"/>
        </w:rPr>
        <w:t xml:space="preserve"> </w:t>
      </w:r>
      <w:r w:rsidRPr="00B61E18">
        <w:rPr>
          <w:szCs w:val="20"/>
        </w:rPr>
        <w:t>time</w:t>
      </w:r>
      <w:r w:rsidR="00C64050">
        <w:rPr>
          <w:szCs w:val="20"/>
        </w:rPr>
        <w:t xml:space="preserve"> </w:t>
      </w:r>
      <w:r w:rsidRPr="00B61E18">
        <w:rPr>
          <w:szCs w:val="20"/>
        </w:rPr>
        <w:t>for</w:t>
      </w:r>
      <w:r w:rsidR="00C64050">
        <w:rPr>
          <w:szCs w:val="20"/>
        </w:rPr>
        <w:t xml:space="preserve"> </w:t>
      </w:r>
      <w:r w:rsidRPr="00B61E18">
        <w:rPr>
          <w:szCs w:val="20"/>
        </w:rPr>
        <w:t>filing),</w:t>
      </w:r>
      <w:r w:rsidR="00C64050">
        <w:rPr>
          <w:szCs w:val="20"/>
        </w:rPr>
        <w:t xml:space="preserve"> </w:t>
      </w:r>
      <w:r w:rsidRPr="00B61E18">
        <w:rPr>
          <w:szCs w:val="20"/>
        </w:rPr>
        <w:t>unless</w:t>
      </w:r>
      <w:r w:rsidR="00C64050">
        <w:rPr>
          <w:szCs w:val="20"/>
        </w:rPr>
        <w:t xml:space="preserve"> </w:t>
      </w:r>
      <w:r w:rsidRPr="00B61E18">
        <w:rPr>
          <w:szCs w:val="20"/>
        </w:rPr>
        <w:t>it</w:t>
      </w:r>
      <w:r w:rsidR="00C64050">
        <w:rPr>
          <w:szCs w:val="20"/>
        </w:rPr>
        <w:t xml:space="preserve"> </w:t>
      </w:r>
      <w:r w:rsidRPr="00B61E18">
        <w:rPr>
          <w:szCs w:val="20"/>
        </w:rPr>
        <w:t>is</w:t>
      </w:r>
      <w:r w:rsidR="00C64050">
        <w:rPr>
          <w:szCs w:val="20"/>
        </w:rPr>
        <w:t xml:space="preserve"> </w:t>
      </w:r>
      <w:r w:rsidRPr="00B61E18">
        <w:rPr>
          <w:szCs w:val="20"/>
        </w:rPr>
        <w:t>shown</w:t>
      </w:r>
      <w:r w:rsidR="00C64050">
        <w:rPr>
          <w:szCs w:val="20"/>
        </w:rPr>
        <w:t xml:space="preserve"> </w:t>
      </w:r>
      <w:r w:rsidRPr="00B61E18">
        <w:rPr>
          <w:szCs w:val="20"/>
        </w:rPr>
        <w:t>that</w:t>
      </w:r>
      <w:r w:rsidR="00C64050">
        <w:rPr>
          <w:szCs w:val="20"/>
        </w:rPr>
        <w:t xml:space="preserve"> </w:t>
      </w:r>
      <w:r w:rsidRPr="00B61E18">
        <w:rPr>
          <w:szCs w:val="20"/>
        </w:rPr>
        <w:t>such</w:t>
      </w:r>
      <w:r w:rsidR="00C64050">
        <w:rPr>
          <w:szCs w:val="20"/>
        </w:rPr>
        <w:t xml:space="preserve"> </w:t>
      </w:r>
      <w:r w:rsidRPr="00B61E18">
        <w:rPr>
          <w:szCs w:val="20"/>
        </w:rPr>
        <w:t>failure</w:t>
      </w:r>
      <w:r w:rsidR="00C64050">
        <w:rPr>
          <w:szCs w:val="20"/>
        </w:rPr>
        <w:t xml:space="preserve"> </w:t>
      </w:r>
      <w:r w:rsidRPr="00B61E18">
        <w:rPr>
          <w:szCs w:val="20"/>
        </w:rPr>
        <w:t>is</w:t>
      </w:r>
      <w:r w:rsidR="00C64050">
        <w:rPr>
          <w:szCs w:val="20"/>
        </w:rPr>
        <w:t xml:space="preserve"> </w:t>
      </w:r>
      <w:r w:rsidRPr="00B61E18">
        <w:rPr>
          <w:szCs w:val="20"/>
        </w:rPr>
        <w:t>due</w:t>
      </w:r>
      <w:r w:rsidR="00C64050">
        <w:rPr>
          <w:szCs w:val="20"/>
        </w:rPr>
        <w:t xml:space="preserve"> </w:t>
      </w:r>
      <w:r w:rsidRPr="00B61E18">
        <w:rPr>
          <w:szCs w:val="20"/>
        </w:rPr>
        <w:t>to</w:t>
      </w:r>
      <w:r w:rsidR="00C64050">
        <w:rPr>
          <w:szCs w:val="20"/>
        </w:rPr>
        <w:t xml:space="preserve"> </w:t>
      </w:r>
      <w:r w:rsidRPr="00B61E18">
        <w:rPr>
          <w:szCs w:val="20"/>
        </w:rPr>
        <w:t>reasonable</w:t>
      </w:r>
      <w:r w:rsidR="00C64050">
        <w:rPr>
          <w:szCs w:val="20"/>
        </w:rPr>
        <w:t xml:space="preserve"> </w:t>
      </w:r>
      <w:r w:rsidRPr="00B61E18">
        <w:rPr>
          <w:szCs w:val="20"/>
        </w:rPr>
        <w:t>cause</w:t>
      </w:r>
      <w:r w:rsidR="00C64050">
        <w:rPr>
          <w:szCs w:val="20"/>
        </w:rPr>
        <w:t xml:space="preserve"> </w:t>
      </w:r>
      <w:r w:rsidRPr="00B61E18">
        <w:rPr>
          <w:szCs w:val="20"/>
        </w:rPr>
        <w:t>and</w:t>
      </w:r>
      <w:r w:rsidR="00C64050">
        <w:rPr>
          <w:szCs w:val="20"/>
        </w:rPr>
        <w:t xml:space="preserve"> </w:t>
      </w:r>
      <w:r w:rsidRPr="00B61E18">
        <w:rPr>
          <w:szCs w:val="20"/>
        </w:rPr>
        <w:t>not</w:t>
      </w:r>
      <w:r w:rsidR="00C64050">
        <w:rPr>
          <w:szCs w:val="20"/>
        </w:rPr>
        <w:t xml:space="preserve"> </w:t>
      </w:r>
      <w:r w:rsidRPr="00B61E18">
        <w:rPr>
          <w:szCs w:val="20"/>
        </w:rPr>
        <w:t>due</w:t>
      </w:r>
      <w:r w:rsidR="00C64050">
        <w:rPr>
          <w:szCs w:val="20"/>
        </w:rPr>
        <w:t xml:space="preserve"> </w:t>
      </w:r>
      <w:r w:rsidRPr="00B61E18">
        <w:rPr>
          <w:szCs w:val="20"/>
        </w:rPr>
        <w:t>to</w:t>
      </w:r>
      <w:r w:rsidR="00C64050">
        <w:rPr>
          <w:szCs w:val="20"/>
        </w:rPr>
        <w:t xml:space="preserve"> </w:t>
      </w:r>
      <w:r w:rsidRPr="00B61E18">
        <w:rPr>
          <w:szCs w:val="20"/>
        </w:rPr>
        <w:t>willful</w:t>
      </w:r>
      <w:r w:rsidR="00C64050">
        <w:rPr>
          <w:szCs w:val="20"/>
        </w:rPr>
        <w:t xml:space="preserve"> </w:t>
      </w:r>
      <w:r w:rsidRPr="00B61E18">
        <w:rPr>
          <w:szCs w:val="20"/>
        </w:rPr>
        <w:t>neglect,</w:t>
      </w:r>
      <w:r w:rsidR="00C64050">
        <w:rPr>
          <w:szCs w:val="20"/>
        </w:rPr>
        <w:t xml:space="preserve"> </w:t>
      </w:r>
      <w:r w:rsidRPr="00B61E18">
        <w:rPr>
          <w:szCs w:val="20"/>
        </w:rPr>
        <w:t>there</w:t>
      </w:r>
      <w:r w:rsidR="00C64050">
        <w:rPr>
          <w:szCs w:val="20"/>
        </w:rPr>
        <w:t xml:space="preserve"> </w:t>
      </w:r>
      <w:r w:rsidRPr="00B61E18">
        <w:rPr>
          <w:szCs w:val="20"/>
        </w:rPr>
        <w:t>shall</w:t>
      </w:r>
      <w:r w:rsidR="00C64050">
        <w:rPr>
          <w:szCs w:val="20"/>
        </w:rPr>
        <w:t xml:space="preserve"> </w:t>
      </w:r>
      <w:r w:rsidRPr="00B61E18">
        <w:rPr>
          <w:szCs w:val="20"/>
        </w:rPr>
        <w:t>be</w:t>
      </w:r>
      <w:r w:rsidR="00C64050">
        <w:rPr>
          <w:szCs w:val="20"/>
        </w:rPr>
        <w:t xml:space="preserve"> </w:t>
      </w:r>
      <w:r w:rsidRPr="00B61E18">
        <w:rPr>
          <w:szCs w:val="20"/>
        </w:rPr>
        <w:t>added</w:t>
      </w:r>
      <w:r w:rsidR="00C64050">
        <w:rPr>
          <w:szCs w:val="20"/>
        </w:rPr>
        <w:t xml:space="preserve"> </w:t>
      </w:r>
      <w:r w:rsidRPr="00B61E18">
        <w:rPr>
          <w:szCs w:val="20"/>
        </w:rPr>
        <w:t>to</w:t>
      </w:r>
      <w:r w:rsidR="00C64050">
        <w:rPr>
          <w:szCs w:val="20"/>
        </w:rPr>
        <w:t xml:space="preserve"> </w:t>
      </w:r>
      <w:r w:rsidRPr="00B61E18">
        <w:rPr>
          <w:szCs w:val="20"/>
        </w:rPr>
        <w:t>the</w:t>
      </w:r>
      <w:r w:rsidR="00C64050">
        <w:rPr>
          <w:szCs w:val="20"/>
        </w:rPr>
        <w:t xml:space="preserve"> </w:t>
      </w:r>
      <w:r w:rsidRPr="00B61E18">
        <w:rPr>
          <w:szCs w:val="20"/>
        </w:rPr>
        <w:t>amount</w:t>
      </w:r>
      <w:r w:rsidR="00C64050">
        <w:rPr>
          <w:szCs w:val="20"/>
        </w:rPr>
        <w:t xml:space="preserve"> </w:t>
      </w:r>
      <w:r w:rsidRPr="00B61E18">
        <w:rPr>
          <w:szCs w:val="20"/>
        </w:rPr>
        <w:t>required</w:t>
      </w:r>
      <w:r w:rsidR="00C64050">
        <w:rPr>
          <w:szCs w:val="20"/>
        </w:rPr>
        <w:t xml:space="preserve"> </w:t>
      </w:r>
      <w:r w:rsidRPr="00B61E18">
        <w:rPr>
          <w:szCs w:val="20"/>
        </w:rPr>
        <w:t>to</w:t>
      </w:r>
      <w:r w:rsidR="00C64050">
        <w:rPr>
          <w:szCs w:val="20"/>
        </w:rPr>
        <w:t xml:space="preserve"> </w:t>
      </w:r>
      <w:r w:rsidRPr="00B61E18">
        <w:rPr>
          <w:szCs w:val="20"/>
        </w:rPr>
        <w:t>be</w:t>
      </w:r>
      <w:r w:rsidR="00C64050">
        <w:rPr>
          <w:szCs w:val="20"/>
        </w:rPr>
        <w:t xml:space="preserve"> </w:t>
      </w:r>
      <w:r w:rsidRPr="00B61E18">
        <w:rPr>
          <w:szCs w:val="20"/>
        </w:rPr>
        <w:t>shown</w:t>
      </w:r>
      <w:r w:rsidR="00C64050">
        <w:rPr>
          <w:szCs w:val="20"/>
        </w:rPr>
        <w:t xml:space="preserve"> </w:t>
      </w:r>
      <w:r w:rsidRPr="00B61E18">
        <w:rPr>
          <w:szCs w:val="20"/>
        </w:rPr>
        <w:t>as</w:t>
      </w:r>
      <w:r w:rsidR="00C64050">
        <w:rPr>
          <w:szCs w:val="20"/>
        </w:rPr>
        <w:t xml:space="preserve"> </w:t>
      </w:r>
      <w:r w:rsidRPr="00B61E18">
        <w:rPr>
          <w:szCs w:val="20"/>
        </w:rPr>
        <w:t>tax</w:t>
      </w:r>
      <w:r w:rsidR="00C64050">
        <w:rPr>
          <w:szCs w:val="20"/>
        </w:rPr>
        <w:t xml:space="preserve"> </w:t>
      </w:r>
      <w:r w:rsidRPr="00B61E18">
        <w:rPr>
          <w:szCs w:val="20"/>
        </w:rPr>
        <w:t>on</w:t>
      </w:r>
      <w:r w:rsidR="00C64050">
        <w:rPr>
          <w:szCs w:val="20"/>
        </w:rPr>
        <w:t xml:space="preserve"> </w:t>
      </w:r>
      <w:r w:rsidRPr="00B61E18">
        <w:rPr>
          <w:szCs w:val="20"/>
        </w:rPr>
        <w:t>such</w:t>
      </w:r>
      <w:r w:rsidR="00C64050">
        <w:rPr>
          <w:szCs w:val="20"/>
        </w:rPr>
        <w:t xml:space="preserve"> </w:t>
      </w:r>
      <w:r w:rsidRPr="00B61E18">
        <w:rPr>
          <w:szCs w:val="20"/>
        </w:rPr>
        <w:t>return</w:t>
      </w:r>
      <w:r w:rsidR="00C64050">
        <w:rPr>
          <w:szCs w:val="20"/>
        </w:rPr>
        <w:t xml:space="preserve"> </w:t>
      </w:r>
      <w:r w:rsidRPr="00B61E18">
        <w:rPr>
          <w:szCs w:val="20"/>
        </w:rPr>
        <w:t>5</w:t>
      </w:r>
      <w:r w:rsidR="00C64050">
        <w:rPr>
          <w:szCs w:val="20"/>
        </w:rPr>
        <w:t xml:space="preserve"> </w:t>
      </w:r>
      <w:r w:rsidRPr="00B61E18">
        <w:rPr>
          <w:szCs w:val="20"/>
        </w:rPr>
        <w:t>percent</w:t>
      </w:r>
      <w:r w:rsidR="00C64050">
        <w:rPr>
          <w:szCs w:val="20"/>
        </w:rPr>
        <w:t xml:space="preserve"> </w:t>
      </w:r>
      <w:r w:rsidRPr="00B61E18">
        <w:rPr>
          <w:szCs w:val="20"/>
        </w:rPr>
        <w:t>of</w:t>
      </w:r>
      <w:r w:rsidR="00C64050">
        <w:rPr>
          <w:szCs w:val="20"/>
        </w:rPr>
        <w:t xml:space="preserve"> </w:t>
      </w:r>
      <w:r w:rsidRPr="00B61E18">
        <w:rPr>
          <w:szCs w:val="20"/>
        </w:rPr>
        <w:t>the</w:t>
      </w:r>
      <w:r w:rsidR="00C64050">
        <w:rPr>
          <w:szCs w:val="20"/>
        </w:rPr>
        <w:t xml:space="preserve"> </w:t>
      </w:r>
      <w:r w:rsidRPr="00B61E18">
        <w:rPr>
          <w:szCs w:val="20"/>
        </w:rPr>
        <w:t>amount</w:t>
      </w:r>
      <w:r w:rsidR="00C64050">
        <w:rPr>
          <w:szCs w:val="20"/>
        </w:rPr>
        <w:t xml:space="preserve"> </w:t>
      </w:r>
      <w:r w:rsidRPr="00B61E18">
        <w:rPr>
          <w:szCs w:val="20"/>
        </w:rPr>
        <w:t>of</w:t>
      </w:r>
      <w:r w:rsidR="00C64050">
        <w:rPr>
          <w:szCs w:val="20"/>
        </w:rPr>
        <w:t xml:space="preserve"> </w:t>
      </w:r>
      <w:r w:rsidRPr="00B61E18">
        <w:rPr>
          <w:szCs w:val="20"/>
        </w:rPr>
        <w:t>such</w:t>
      </w:r>
      <w:r w:rsidR="00C64050">
        <w:rPr>
          <w:szCs w:val="20"/>
        </w:rPr>
        <w:t xml:space="preserve"> </w:t>
      </w:r>
      <w:r w:rsidRPr="00B61E18">
        <w:rPr>
          <w:szCs w:val="20"/>
        </w:rPr>
        <w:t>tax</w:t>
      </w:r>
      <w:r w:rsidR="00C64050">
        <w:rPr>
          <w:szCs w:val="20"/>
        </w:rPr>
        <w:t xml:space="preserve"> </w:t>
      </w:r>
      <w:r w:rsidRPr="00B61E18">
        <w:rPr>
          <w:szCs w:val="20"/>
        </w:rPr>
        <w:t>if</w:t>
      </w:r>
      <w:r w:rsidR="00C64050">
        <w:rPr>
          <w:szCs w:val="20"/>
        </w:rPr>
        <w:t xml:space="preserve"> </w:t>
      </w:r>
      <w:r w:rsidRPr="00B61E18">
        <w:rPr>
          <w:szCs w:val="20"/>
        </w:rPr>
        <w:t>the</w:t>
      </w:r>
      <w:r w:rsidR="00C64050">
        <w:rPr>
          <w:szCs w:val="20"/>
        </w:rPr>
        <w:t xml:space="preserve"> </w:t>
      </w:r>
      <w:r w:rsidRPr="00B61E18">
        <w:rPr>
          <w:szCs w:val="20"/>
        </w:rPr>
        <w:t>failure</w:t>
      </w:r>
      <w:r w:rsidR="00C64050">
        <w:rPr>
          <w:szCs w:val="20"/>
        </w:rPr>
        <w:t xml:space="preserve"> </w:t>
      </w:r>
      <w:r w:rsidRPr="00B61E18">
        <w:rPr>
          <w:szCs w:val="20"/>
        </w:rPr>
        <w:t>is</w:t>
      </w:r>
      <w:r w:rsidR="00C64050">
        <w:rPr>
          <w:szCs w:val="20"/>
        </w:rPr>
        <w:t xml:space="preserve"> </w:t>
      </w:r>
      <w:r w:rsidRPr="00B61E18">
        <w:rPr>
          <w:szCs w:val="20"/>
        </w:rPr>
        <w:t>for</w:t>
      </w:r>
      <w:r w:rsidR="00C64050">
        <w:rPr>
          <w:szCs w:val="20"/>
        </w:rPr>
        <w:t xml:space="preserve"> </w:t>
      </w:r>
      <w:r w:rsidRPr="00B61E18">
        <w:rPr>
          <w:szCs w:val="20"/>
        </w:rPr>
        <w:t>not</w:t>
      </w:r>
      <w:r w:rsidR="00C64050">
        <w:rPr>
          <w:szCs w:val="20"/>
        </w:rPr>
        <w:t xml:space="preserve"> </w:t>
      </w:r>
      <w:r w:rsidRPr="00B61E18">
        <w:rPr>
          <w:szCs w:val="20"/>
        </w:rPr>
        <w:t>more</w:t>
      </w:r>
      <w:r w:rsidR="00C64050">
        <w:rPr>
          <w:szCs w:val="20"/>
        </w:rPr>
        <w:t xml:space="preserve"> </w:t>
      </w:r>
      <w:r w:rsidRPr="00B61E18">
        <w:rPr>
          <w:szCs w:val="20"/>
        </w:rPr>
        <w:t>than</w:t>
      </w:r>
      <w:r w:rsidR="00C64050">
        <w:rPr>
          <w:szCs w:val="20"/>
        </w:rPr>
        <w:t xml:space="preserve"> </w:t>
      </w:r>
      <w:r w:rsidRPr="00B61E18">
        <w:rPr>
          <w:szCs w:val="20"/>
        </w:rPr>
        <w:t>1</w:t>
      </w:r>
      <w:r w:rsidR="00C64050">
        <w:rPr>
          <w:szCs w:val="20"/>
        </w:rPr>
        <w:t xml:space="preserve"> </w:t>
      </w:r>
      <w:r w:rsidRPr="00B61E18">
        <w:rPr>
          <w:szCs w:val="20"/>
        </w:rPr>
        <w:t>month,</w:t>
      </w:r>
      <w:r w:rsidR="00C64050">
        <w:rPr>
          <w:szCs w:val="20"/>
        </w:rPr>
        <w:t xml:space="preserve"> </w:t>
      </w:r>
      <w:r w:rsidRPr="00B61E18">
        <w:rPr>
          <w:szCs w:val="20"/>
        </w:rPr>
        <w:t>with</w:t>
      </w:r>
      <w:r w:rsidR="00C64050">
        <w:rPr>
          <w:szCs w:val="20"/>
        </w:rPr>
        <w:t xml:space="preserve"> </w:t>
      </w:r>
      <w:r w:rsidRPr="00B61E18">
        <w:rPr>
          <w:szCs w:val="20"/>
        </w:rPr>
        <w:t>an</w:t>
      </w:r>
      <w:r w:rsidR="00C64050">
        <w:rPr>
          <w:szCs w:val="20"/>
        </w:rPr>
        <w:t xml:space="preserve"> </w:t>
      </w:r>
      <w:r w:rsidRPr="00B61E18">
        <w:rPr>
          <w:szCs w:val="20"/>
        </w:rPr>
        <w:t>additional</w:t>
      </w:r>
      <w:r w:rsidR="00C64050">
        <w:rPr>
          <w:szCs w:val="20"/>
        </w:rPr>
        <w:t xml:space="preserve"> </w:t>
      </w:r>
      <w:r w:rsidRPr="00B61E18">
        <w:rPr>
          <w:szCs w:val="20"/>
        </w:rPr>
        <w:t>5</w:t>
      </w:r>
      <w:r w:rsidR="00C64050">
        <w:rPr>
          <w:szCs w:val="20"/>
        </w:rPr>
        <w:t xml:space="preserve"> </w:t>
      </w:r>
      <w:r w:rsidRPr="00B61E18">
        <w:rPr>
          <w:szCs w:val="20"/>
        </w:rPr>
        <w:t>percent</w:t>
      </w:r>
      <w:r w:rsidR="00C64050">
        <w:rPr>
          <w:szCs w:val="20"/>
        </w:rPr>
        <w:t xml:space="preserve"> </w:t>
      </w:r>
      <w:r w:rsidRPr="00B61E18">
        <w:rPr>
          <w:szCs w:val="20"/>
        </w:rPr>
        <w:t>for</w:t>
      </w:r>
      <w:r w:rsidR="00C64050">
        <w:rPr>
          <w:szCs w:val="20"/>
        </w:rPr>
        <w:t xml:space="preserve"> </w:t>
      </w:r>
      <w:r w:rsidRPr="00B61E18">
        <w:rPr>
          <w:szCs w:val="20"/>
        </w:rPr>
        <w:t>each</w:t>
      </w:r>
      <w:r w:rsidR="00C64050">
        <w:rPr>
          <w:szCs w:val="20"/>
        </w:rPr>
        <w:t xml:space="preserve"> </w:t>
      </w:r>
      <w:r w:rsidRPr="00B61E18">
        <w:rPr>
          <w:szCs w:val="20"/>
        </w:rPr>
        <w:t>additional</w:t>
      </w:r>
      <w:r w:rsidR="00C64050">
        <w:rPr>
          <w:szCs w:val="20"/>
        </w:rPr>
        <w:t xml:space="preserve"> </w:t>
      </w:r>
      <w:r w:rsidRPr="00B61E18">
        <w:rPr>
          <w:szCs w:val="20"/>
        </w:rPr>
        <w:t>month</w:t>
      </w:r>
      <w:r w:rsidR="00C64050">
        <w:rPr>
          <w:szCs w:val="20"/>
        </w:rPr>
        <w:t xml:space="preserve"> </w:t>
      </w:r>
      <w:r w:rsidRPr="00B61E18">
        <w:rPr>
          <w:szCs w:val="20"/>
        </w:rPr>
        <w:t>or</w:t>
      </w:r>
      <w:r w:rsidR="00C64050">
        <w:rPr>
          <w:szCs w:val="20"/>
        </w:rPr>
        <w:t xml:space="preserve"> </w:t>
      </w:r>
      <w:r w:rsidRPr="00B61E18">
        <w:rPr>
          <w:szCs w:val="20"/>
        </w:rPr>
        <w:t>fraction</w:t>
      </w:r>
      <w:r w:rsidR="00C64050">
        <w:rPr>
          <w:szCs w:val="20"/>
        </w:rPr>
        <w:t xml:space="preserve"> </w:t>
      </w:r>
      <w:r w:rsidRPr="00B61E18">
        <w:rPr>
          <w:szCs w:val="20"/>
        </w:rPr>
        <w:t>thereof</w:t>
      </w:r>
      <w:r w:rsidR="00C64050">
        <w:rPr>
          <w:szCs w:val="20"/>
        </w:rPr>
        <w:t xml:space="preserve"> </w:t>
      </w:r>
      <w:r w:rsidRPr="00B61E18">
        <w:rPr>
          <w:szCs w:val="20"/>
        </w:rPr>
        <w:t>during</w:t>
      </w:r>
      <w:r w:rsidR="00C64050">
        <w:rPr>
          <w:szCs w:val="20"/>
        </w:rPr>
        <w:t xml:space="preserve"> </w:t>
      </w:r>
      <w:r w:rsidRPr="00B61E18">
        <w:rPr>
          <w:szCs w:val="20"/>
        </w:rPr>
        <w:t>which</w:t>
      </w:r>
      <w:r w:rsidR="00C64050">
        <w:rPr>
          <w:szCs w:val="20"/>
        </w:rPr>
        <w:t xml:space="preserve"> </w:t>
      </w:r>
      <w:r w:rsidRPr="00B61E18">
        <w:rPr>
          <w:szCs w:val="20"/>
        </w:rPr>
        <w:t>such</w:t>
      </w:r>
      <w:r w:rsidR="00C64050">
        <w:rPr>
          <w:szCs w:val="20"/>
        </w:rPr>
        <w:t xml:space="preserve"> </w:t>
      </w:r>
      <w:r w:rsidRPr="00B61E18">
        <w:rPr>
          <w:szCs w:val="20"/>
        </w:rPr>
        <w:t>failure</w:t>
      </w:r>
      <w:r w:rsidR="00C64050">
        <w:rPr>
          <w:szCs w:val="20"/>
        </w:rPr>
        <w:t xml:space="preserve"> </w:t>
      </w:r>
      <w:r w:rsidRPr="00B61E18">
        <w:rPr>
          <w:szCs w:val="20"/>
        </w:rPr>
        <w:t>continues,</w:t>
      </w:r>
      <w:r w:rsidR="00C64050">
        <w:rPr>
          <w:szCs w:val="20"/>
        </w:rPr>
        <w:t xml:space="preserve"> </w:t>
      </w:r>
      <w:r w:rsidRPr="00B61E18">
        <w:rPr>
          <w:szCs w:val="20"/>
        </w:rPr>
        <w:t>not</w:t>
      </w:r>
      <w:r w:rsidR="00C64050">
        <w:rPr>
          <w:szCs w:val="20"/>
        </w:rPr>
        <w:t xml:space="preserve"> </w:t>
      </w:r>
      <w:r w:rsidRPr="00B61E18">
        <w:rPr>
          <w:szCs w:val="20"/>
        </w:rPr>
        <w:t>exceeding</w:t>
      </w:r>
      <w:r w:rsidR="00C64050">
        <w:rPr>
          <w:szCs w:val="20"/>
        </w:rPr>
        <w:t xml:space="preserve"> </w:t>
      </w:r>
      <w:r w:rsidRPr="00B61E18">
        <w:rPr>
          <w:szCs w:val="20"/>
        </w:rPr>
        <w:t>25</w:t>
      </w:r>
      <w:r w:rsidR="00C64050">
        <w:rPr>
          <w:szCs w:val="20"/>
        </w:rPr>
        <w:t xml:space="preserve"> </w:t>
      </w:r>
      <w:r w:rsidRPr="00B61E18">
        <w:rPr>
          <w:szCs w:val="20"/>
        </w:rPr>
        <w:t>percent</w:t>
      </w:r>
      <w:r w:rsidR="00C64050">
        <w:rPr>
          <w:szCs w:val="20"/>
        </w:rPr>
        <w:t xml:space="preserve"> </w:t>
      </w:r>
      <w:r w:rsidRPr="00B61E18">
        <w:rPr>
          <w:szCs w:val="20"/>
        </w:rPr>
        <w:t>in</w:t>
      </w:r>
      <w:r w:rsidR="00C64050">
        <w:rPr>
          <w:szCs w:val="20"/>
        </w:rPr>
        <w:t xml:space="preserve"> </w:t>
      </w:r>
      <w:r w:rsidRPr="00B61E18">
        <w:rPr>
          <w:szCs w:val="20"/>
        </w:rPr>
        <w:t>the</w:t>
      </w:r>
      <w:r w:rsidR="00C64050">
        <w:rPr>
          <w:szCs w:val="20"/>
        </w:rPr>
        <w:t xml:space="preserve"> </w:t>
      </w:r>
      <w:r w:rsidRPr="00B61E18">
        <w:rPr>
          <w:szCs w:val="20"/>
        </w:rPr>
        <w:t>aggregate</w:t>
      </w:r>
      <w:r w:rsidR="00C64050">
        <w:rPr>
          <w:szCs w:val="20"/>
        </w:rPr>
        <w:t xml:space="preserve"> </w:t>
      </w:r>
      <w:r w:rsidRPr="00B61E18">
        <w:rPr>
          <w:szCs w:val="20"/>
        </w:rPr>
        <w:t>....</w:t>
      </w:r>
    </w:p>
    <w:p w:rsidR="00A27958" w:rsidRPr="00B61E18" w:rsidRDefault="00A27958" w:rsidP="00A27958">
      <w:pPr>
        <w:pStyle w:val="QS10"/>
        <w:rPr>
          <w:szCs w:val="20"/>
        </w:rPr>
      </w:pPr>
      <w:r w:rsidRPr="00B61E18">
        <w:rPr>
          <w:szCs w:val="20"/>
        </w:rPr>
        <w:t>26</w:t>
      </w:r>
      <w:r w:rsidR="00C64050">
        <w:rPr>
          <w:szCs w:val="20"/>
        </w:rPr>
        <w:t xml:space="preserve"> </w:t>
      </w:r>
      <w:r w:rsidRPr="00B61E18">
        <w:rPr>
          <w:szCs w:val="20"/>
        </w:rPr>
        <w:t>U.S.C.</w:t>
      </w:r>
      <w:r w:rsidR="00C64050">
        <w:rPr>
          <w:szCs w:val="20"/>
        </w:rPr>
        <w:t xml:space="preserve"> </w:t>
      </w:r>
      <w:r w:rsidRPr="00B61E18">
        <w:rPr>
          <w:szCs w:val="20"/>
        </w:rPr>
        <w:t>§</w:t>
      </w:r>
      <w:r w:rsidR="00C64050">
        <w:rPr>
          <w:szCs w:val="20"/>
        </w:rPr>
        <w:t xml:space="preserve"> </w:t>
      </w:r>
      <w:r w:rsidRPr="00B61E18">
        <w:rPr>
          <w:szCs w:val="20"/>
        </w:rPr>
        <w:t>6651(a)(1).</w:t>
      </w:r>
    </w:p>
    <w:p w:rsidR="00A27958" w:rsidRPr="00B61E18" w:rsidRDefault="00A27958" w:rsidP="00A27958">
      <w:pPr>
        <w:pStyle w:val="QS10"/>
        <w:rPr>
          <w:szCs w:val="20"/>
        </w:rPr>
      </w:pPr>
      <w:r w:rsidRPr="00B61E18">
        <w:rPr>
          <w:szCs w:val="20"/>
        </w:rPr>
        <w:t>On</w:t>
      </w:r>
      <w:r w:rsidR="00C64050">
        <w:rPr>
          <w:szCs w:val="20"/>
        </w:rPr>
        <w:t xml:space="preserve"> </w:t>
      </w:r>
      <w:r w:rsidRPr="00B61E18">
        <w:rPr>
          <w:szCs w:val="20"/>
        </w:rPr>
        <w:t>the</w:t>
      </w:r>
      <w:r w:rsidR="00C64050">
        <w:rPr>
          <w:szCs w:val="20"/>
        </w:rPr>
        <w:t xml:space="preserve"> </w:t>
      </w:r>
      <w:r w:rsidRPr="00B61E18">
        <w:rPr>
          <w:szCs w:val="20"/>
        </w:rPr>
        <w:t>other</w:t>
      </w:r>
      <w:r w:rsidR="00C64050">
        <w:rPr>
          <w:szCs w:val="20"/>
        </w:rPr>
        <w:t xml:space="preserve"> </w:t>
      </w:r>
      <w:r w:rsidRPr="00B61E18">
        <w:rPr>
          <w:szCs w:val="20"/>
        </w:rPr>
        <w:t>hand,</w:t>
      </w:r>
      <w:r w:rsidR="00C64050">
        <w:rPr>
          <w:szCs w:val="20"/>
        </w:rPr>
        <w:t xml:space="preserve"> </w:t>
      </w:r>
      <w:r w:rsidRPr="00B61E18">
        <w:rPr>
          <w:szCs w:val="20"/>
        </w:rPr>
        <w:t>the</w:t>
      </w:r>
      <w:r w:rsidR="00C64050">
        <w:rPr>
          <w:szCs w:val="20"/>
        </w:rPr>
        <w:t xml:space="preserve"> </w:t>
      </w:r>
      <w:r w:rsidRPr="00B61E18">
        <w:rPr>
          <w:szCs w:val="20"/>
        </w:rPr>
        <w:t>penalty</w:t>
      </w:r>
      <w:r w:rsidR="00C64050">
        <w:rPr>
          <w:szCs w:val="20"/>
        </w:rPr>
        <w:t xml:space="preserve"> </w:t>
      </w:r>
      <w:r w:rsidRPr="00B61E18">
        <w:rPr>
          <w:szCs w:val="20"/>
        </w:rPr>
        <w:t>for</w:t>
      </w:r>
      <w:r w:rsidR="00C64050">
        <w:rPr>
          <w:szCs w:val="20"/>
        </w:rPr>
        <w:t xml:space="preserve"> </w:t>
      </w:r>
      <w:r w:rsidRPr="00B61E18">
        <w:rPr>
          <w:szCs w:val="20"/>
        </w:rPr>
        <w:t>failure</w:t>
      </w:r>
      <w:r w:rsidR="00C64050">
        <w:rPr>
          <w:szCs w:val="20"/>
        </w:rPr>
        <w:t xml:space="preserve"> </w:t>
      </w:r>
      <w:r w:rsidRPr="00B61E18">
        <w:rPr>
          <w:szCs w:val="20"/>
        </w:rPr>
        <w:t>to</w:t>
      </w:r>
      <w:r w:rsidR="00C64050">
        <w:rPr>
          <w:szCs w:val="20"/>
        </w:rPr>
        <w:t xml:space="preserve"> </w:t>
      </w:r>
      <w:r w:rsidRPr="00B61E18">
        <w:rPr>
          <w:szCs w:val="20"/>
        </w:rPr>
        <w:t>timely</w:t>
      </w:r>
      <w:r w:rsidR="00C64050">
        <w:rPr>
          <w:szCs w:val="20"/>
        </w:rPr>
        <w:t xml:space="preserve"> </w:t>
      </w:r>
      <w:r w:rsidRPr="00B61E18">
        <w:rPr>
          <w:szCs w:val="20"/>
        </w:rPr>
        <w:t>pay</w:t>
      </w:r>
      <w:r w:rsidR="00C64050">
        <w:rPr>
          <w:szCs w:val="20"/>
        </w:rPr>
        <w:t xml:space="preserve"> </w:t>
      </w:r>
      <w:r w:rsidRPr="00B61E18">
        <w:rPr>
          <w:szCs w:val="20"/>
        </w:rPr>
        <w:t>the</w:t>
      </w:r>
      <w:r w:rsidR="00C64050">
        <w:rPr>
          <w:szCs w:val="20"/>
        </w:rPr>
        <w:t xml:space="preserve"> </w:t>
      </w:r>
      <w:r w:rsidRPr="00B61E18">
        <w:rPr>
          <w:szCs w:val="20"/>
        </w:rPr>
        <w:t>tax</w:t>
      </w:r>
      <w:r w:rsidR="00C64050">
        <w:rPr>
          <w:szCs w:val="20"/>
        </w:rPr>
        <w:t xml:space="preserve"> </w:t>
      </w:r>
      <w:r w:rsidRPr="00B61E18">
        <w:rPr>
          <w:szCs w:val="20"/>
        </w:rPr>
        <w:t>is</w:t>
      </w:r>
      <w:r w:rsidR="00C64050">
        <w:rPr>
          <w:szCs w:val="20"/>
        </w:rPr>
        <w:t xml:space="preserve"> </w:t>
      </w:r>
      <w:r w:rsidRPr="00B61E18">
        <w:rPr>
          <w:szCs w:val="20"/>
        </w:rPr>
        <w:t>set</w:t>
      </w:r>
      <w:r w:rsidR="00C64050">
        <w:rPr>
          <w:szCs w:val="20"/>
        </w:rPr>
        <w:t xml:space="preserve"> </w:t>
      </w:r>
      <w:r w:rsidRPr="00B61E18">
        <w:rPr>
          <w:szCs w:val="20"/>
        </w:rPr>
        <w:t>forth</w:t>
      </w:r>
      <w:r w:rsidR="00C64050">
        <w:rPr>
          <w:szCs w:val="20"/>
        </w:rPr>
        <w:t xml:space="preserve"> </w:t>
      </w:r>
      <w:r w:rsidRPr="00B61E18">
        <w:rPr>
          <w:szCs w:val="20"/>
        </w:rPr>
        <w:t>in</w:t>
      </w:r>
      <w:r w:rsidR="00C64050">
        <w:rPr>
          <w:szCs w:val="20"/>
        </w:rPr>
        <w:t xml:space="preserve"> </w:t>
      </w:r>
      <w:r w:rsidRPr="00B61E18">
        <w:rPr>
          <w:szCs w:val="20"/>
        </w:rPr>
        <w:t>§</w:t>
      </w:r>
      <w:r w:rsidR="00C64050">
        <w:rPr>
          <w:szCs w:val="20"/>
        </w:rPr>
        <w:t xml:space="preserve"> </w:t>
      </w:r>
      <w:r w:rsidRPr="00B61E18">
        <w:rPr>
          <w:szCs w:val="20"/>
        </w:rPr>
        <w:t>6651(a)(2).</w:t>
      </w:r>
      <w:r w:rsidR="00C64050">
        <w:rPr>
          <w:szCs w:val="20"/>
        </w:rPr>
        <w:t xml:space="preserve"> </w:t>
      </w:r>
      <w:r w:rsidRPr="00B61E18">
        <w:rPr>
          <w:szCs w:val="20"/>
        </w:rPr>
        <w:t>This</w:t>
      </w:r>
      <w:r w:rsidR="00C64050">
        <w:rPr>
          <w:szCs w:val="20"/>
        </w:rPr>
        <w:t xml:space="preserve"> </w:t>
      </w:r>
      <w:r w:rsidRPr="00B61E18">
        <w:rPr>
          <w:szCs w:val="20"/>
        </w:rPr>
        <w:t>section</w:t>
      </w:r>
      <w:r w:rsidR="00C64050">
        <w:rPr>
          <w:szCs w:val="20"/>
        </w:rPr>
        <w:t xml:space="preserve"> </w:t>
      </w:r>
      <w:r w:rsidRPr="00B61E18">
        <w:rPr>
          <w:szCs w:val="20"/>
        </w:rPr>
        <w:t>reads:</w:t>
      </w:r>
    </w:p>
    <w:p w:rsidR="00A27958" w:rsidRPr="00B61E18" w:rsidRDefault="00A27958" w:rsidP="00A27958">
      <w:pPr>
        <w:pStyle w:val="QS10"/>
        <w:ind w:left="2160"/>
        <w:rPr>
          <w:szCs w:val="20"/>
        </w:rPr>
      </w:pPr>
      <w:r w:rsidRPr="00B61E18">
        <w:rPr>
          <w:szCs w:val="20"/>
        </w:rPr>
        <w:t>In</w:t>
      </w:r>
      <w:r w:rsidR="00C64050">
        <w:rPr>
          <w:szCs w:val="20"/>
        </w:rPr>
        <w:t xml:space="preserve"> </w:t>
      </w:r>
      <w:r w:rsidRPr="00B61E18">
        <w:rPr>
          <w:szCs w:val="20"/>
        </w:rPr>
        <w:t>case</w:t>
      </w:r>
      <w:r w:rsidR="00C64050">
        <w:rPr>
          <w:szCs w:val="20"/>
        </w:rPr>
        <w:t xml:space="preserve"> </w:t>
      </w:r>
      <w:r w:rsidRPr="00B61E18">
        <w:rPr>
          <w:szCs w:val="20"/>
        </w:rPr>
        <w:t>of</w:t>
      </w:r>
      <w:r w:rsidR="00C64050">
        <w:rPr>
          <w:szCs w:val="20"/>
        </w:rPr>
        <w:t xml:space="preserve"> </w:t>
      </w:r>
      <w:r w:rsidRPr="00B61E18">
        <w:rPr>
          <w:szCs w:val="20"/>
        </w:rPr>
        <w:t>failure</w:t>
      </w:r>
      <w:r w:rsidR="00C64050">
        <w:rPr>
          <w:szCs w:val="20"/>
        </w:rPr>
        <w:t xml:space="preserve"> </w:t>
      </w:r>
      <w:r w:rsidRPr="00B61E18">
        <w:rPr>
          <w:szCs w:val="20"/>
        </w:rPr>
        <w:t>...</w:t>
      </w:r>
      <w:r w:rsidR="00C64050">
        <w:rPr>
          <w:szCs w:val="20"/>
        </w:rPr>
        <w:t xml:space="preserve"> </w:t>
      </w:r>
      <w:r w:rsidRPr="00B61E18">
        <w:rPr>
          <w:szCs w:val="20"/>
        </w:rPr>
        <w:t>(2)</w:t>
      </w:r>
      <w:r w:rsidR="00C64050">
        <w:rPr>
          <w:szCs w:val="20"/>
        </w:rPr>
        <w:t xml:space="preserve"> </w:t>
      </w:r>
      <w:r w:rsidRPr="00B61E18">
        <w:rPr>
          <w:szCs w:val="20"/>
        </w:rPr>
        <w:t>to</w:t>
      </w:r>
      <w:r w:rsidR="00C64050">
        <w:rPr>
          <w:szCs w:val="20"/>
        </w:rPr>
        <w:t xml:space="preserve"> </w:t>
      </w:r>
      <w:r w:rsidRPr="00B61E18">
        <w:rPr>
          <w:szCs w:val="20"/>
        </w:rPr>
        <w:t>pay</w:t>
      </w:r>
      <w:r w:rsidR="00C64050">
        <w:rPr>
          <w:szCs w:val="20"/>
        </w:rPr>
        <w:t xml:space="preserve"> </w:t>
      </w:r>
      <w:r w:rsidRPr="00B61E18">
        <w:rPr>
          <w:szCs w:val="20"/>
        </w:rPr>
        <w:t>the</w:t>
      </w:r>
      <w:r w:rsidR="00C64050">
        <w:rPr>
          <w:szCs w:val="20"/>
        </w:rPr>
        <w:t xml:space="preserve"> </w:t>
      </w:r>
      <w:r w:rsidRPr="00B61E18">
        <w:rPr>
          <w:szCs w:val="20"/>
        </w:rPr>
        <w:t>amount</w:t>
      </w:r>
      <w:r w:rsidR="00C64050">
        <w:rPr>
          <w:szCs w:val="20"/>
        </w:rPr>
        <w:t xml:space="preserve"> </w:t>
      </w:r>
      <w:r w:rsidRPr="00B61E18">
        <w:rPr>
          <w:szCs w:val="20"/>
        </w:rPr>
        <w:t>shown</w:t>
      </w:r>
      <w:r w:rsidR="00C64050">
        <w:rPr>
          <w:szCs w:val="20"/>
        </w:rPr>
        <w:t xml:space="preserve"> </w:t>
      </w:r>
      <w:r w:rsidRPr="00B61E18">
        <w:rPr>
          <w:szCs w:val="20"/>
        </w:rPr>
        <w:t>as</w:t>
      </w:r>
      <w:r w:rsidR="00C64050">
        <w:rPr>
          <w:szCs w:val="20"/>
        </w:rPr>
        <w:t xml:space="preserve"> </w:t>
      </w:r>
      <w:r w:rsidRPr="00B61E18">
        <w:rPr>
          <w:szCs w:val="20"/>
        </w:rPr>
        <w:t>tax</w:t>
      </w:r>
      <w:r w:rsidR="00C64050">
        <w:rPr>
          <w:szCs w:val="20"/>
        </w:rPr>
        <w:t xml:space="preserve"> </w:t>
      </w:r>
      <w:r w:rsidRPr="00B61E18">
        <w:rPr>
          <w:szCs w:val="20"/>
        </w:rPr>
        <w:t>on</w:t>
      </w:r>
      <w:r w:rsidR="00C64050">
        <w:rPr>
          <w:szCs w:val="20"/>
        </w:rPr>
        <w:t xml:space="preserve"> </w:t>
      </w:r>
      <w:r w:rsidRPr="00B61E18">
        <w:rPr>
          <w:szCs w:val="20"/>
        </w:rPr>
        <w:t>any</w:t>
      </w:r>
      <w:r w:rsidR="00C64050">
        <w:rPr>
          <w:szCs w:val="20"/>
        </w:rPr>
        <w:t xml:space="preserve"> </w:t>
      </w:r>
      <w:r w:rsidRPr="00B61E18">
        <w:rPr>
          <w:szCs w:val="20"/>
        </w:rPr>
        <w:t>return</w:t>
      </w:r>
      <w:r w:rsidR="00C64050">
        <w:rPr>
          <w:szCs w:val="20"/>
        </w:rPr>
        <w:t xml:space="preserve"> </w:t>
      </w:r>
      <w:r w:rsidRPr="00B61E18">
        <w:rPr>
          <w:szCs w:val="20"/>
        </w:rPr>
        <w:t>specified</w:t>
      </w:r>
      <w:r w:rsidR="00C64050">
        <w:rPr>
          <w:szCs w:val="20"/>
        </w:rPr>
        <w:t xml:space="preserve"> </w:t>
      </w:r>
      <w:r w:rsidRPr="00B61E18">
        <w:rPr>
          <w:szCs w:val="20"/>
        </w:rPr>
        <w:t>in</w:t>
      </w:r>
      <w:r w:rsidR="00C64050">
        <w:rPr>
          <w:szCs w:val="20"/>
        </w:rPr>
        <w:t xml:space="preserve"> </w:t>
      </w:r>
      <w:r w:rsidRPr="00B61E18">
        <w:rPr>
          <w:szCs w:val="20"/>
        </w:rPr>
        <w:t>paragraph</w:t>
      </w:r>
      <w:r w:rsidR="00C64050">
        <w:rPr>
          <w:szCs w:val="20"/>
        </w:rPr>
        <w:t xml:space="preserve"> </w:t>
      </w:r>
      <w:r w:rsidRPr="00B61E18">
        <w:rPr>
          <w:szCs w:val="20"/>
        </w:rPr>
        <w:t>(1)</w:t>
      </w:r>
      <w:r w:rsidR="00C64050">
        <w:rPr>
          <w:szCs w:val="20"/>
        </w:rPr>
        <w:t xml:space="preserve"> </w:t>
      </w:r>
      <w:r w:rsidRPr="00B61E18">
        <w:rPr>
          <w:szCs w:val="20"/>
        </w:rPr>
        <w:t>on</w:t>
      </w:r>
      <w:r w:rsidR="00C64050">
        <w:rPr>
          <w:szCs w:val="20"/>
        </w:rPr>
        <w:t xml:space="preserve"> </w:t>
      </w:r>
      <w:r w:rsidRPr="00B61E18">
        <w:rPr>
          <w:szCs w:val="20"/>
        </w:rPr>
        <w:t>or</w:t>
      </w:r>
      <w:r w:rsidR="00C64050">
        <w:rPr>
          <w:szCs w:val="20"/>
        </w:rPr>
        <w:t xml:space="preserve"> </w:t>
      </w:r>
      <w:r w:rsidRPr="00B61E18">
        <w:rPr>
          <w:szCs w:val="20"/>
        </w:rPr>
        <w:t>before</w:t>
      </w:r>
      <w:r w:rsidR="00C64050">
        <w:rPr>
          <w:szCs w:val="20"/>
        </w:rPr>
        <w:t xml:space="preserve"> </w:t>
      </w:r>
      <w:r w:rsidRPr="00B61E18">
        <w:rPr>
          <w:szCs w:val="20"/>
        </w:rPr>
        <w:t>the</w:t>
      </w:r>
      <w:r w:rsidR="00C64050">
        <w:rPr>
          <w:szCs w:val="20"/>
        </w:rPr>
        <w:t xml:space="preserve"> </w:t>
      </w:r>
      <w:r w:rsidRPr="00B61E18">
        <w:rPr>
          <w:szCs w:val="20"/>
        </w:rPr>
        <w:t>date</w:t>
      </w:r>
      <w:r w:rsidR="00C64050">
        <w:rPr>
          <w:szCs w:val="20"/>
        </w:rPr>
        <w:t xml:space="preserve"> </w:t>
      </w:r>
      <w:r w:rsidRPr="00B61E18">
        <w:rPr>
          <w:szCs w:val="20"/>
        </w:rPr>
        <w:t>prescribed</w:t>
      </w:r>
      <w:r w:rsidR="00C64050">
        <w:rPr>
          <w:szCs w:val="20"/>
        </w:rPr>
        <w:t xml:space="preserve"> </w:t>
      </w:r>
      <w:r w:rsidRPr="00B61E18">
        <w:rPr>
          <w:szCs w:val="20"/>
        </w:rPr>
        <w:t>for</w:t>
      </w:r>
      <w:r w:rsidR="00C64050">
        <w:rPr>
          <w:szCs w:val="20"/>
        </w:rPr>
        <w:t xml:space="preserve"> </w:t>
      </w:r>
      <w:r w:rsidRPr="00B61E18">
        <w:rPr>
          <w:szCs w:val="20"/>
        </w:rPr>
        <w:t>payment</w:t>
      </w:r>
      <w:r w:rsidR="00C64050">
        <w:rPr>
          <w:szCs w:val="20"/>
        </w:rPr>
        <w:t xml:space="preserve"> </w:t>
      </w:r>
      <w:r w:rsidRPr="00B61E18">
        <w:rPr>
          <w:szCs w:val="20"/>
        </w:rPr>
        <w:t>of</w:t>
      </w:r>
      <w:r w:rsidR="00C64050">
        <w:rPr>
          <w:szCs w:val="20"/>
        </w:rPr>
        <w:t xml:space="preserve"> </w:t>
      </w:r>
      <w:r w:rsidRPr="00B61E18">
        <w:rPr>
          <w:szCs w:val="20"/>
        </w:rPr>
        <w:t>such</w:t>
      </w:r>
      <w:r w:rsidR="00C64050">
        <w:rPr>
          <w:szCs w:val="20"/>
        </w:rPr>
        <w:t xml:space="preserve"> </w:t>
      </w:r>
      <w:r w:rsidRPr="00B61E18">
        <w:rPr>
          <w:szCs w:val="20"/>
        </w:rPr>
        <w:t>tax</w:t>
      </w:r>
      <w:r w:rsidR="00C64050">
        <w:rPr>
          <w:szCs w:val="20"/>
        </w:rPr>
        <w:t xml:space="preserve"> </w:t>
      </w:r>
      <w:r w:rsidRPr="00B61E18">
        <w:rPr>
          <w:szCs w:val="20"/>
        </w:rPr>
        <w:t>(determined</w:t>
      </w:r>
      <w:r w:rsidR="00C64050">
        <w:rPr>
          <w:szCs w:val="20"/>
        </w:rPr>
        <w:t xml:space="preserve"> </w:t>
      </w:r>
      <w:r w:rsidRPr="00B61E18">
        <w:rPr>
          <w:szCs w:val="20"/>
        </w:rPr>
        <w:t>with</w:t>
      </w:r>
      <w:r w:rsidR="00C64050">
        <w:rPr>
          <w:szCs w:val="20"/>
        </w:rPr>
        <w:t xml:space="preserve"> </w:t>
      </w:r>
      <w:r w:rsidRPr="00B61E18">
        <w:rPr>
          <w:szCs w:val="20"/>
        </w:rPr>
        <w:t>regard</w:t>
      </w:r>
      <w:r w:rsidR="00C64050">
        <w:rPr>
          <w:szCs w:val="20"/>
        </w:rPr>
        <w:t xml:space="preserve"> </w:t>
      </w:r>
      <w:r w:rsidRPr="00B61E18">
        <w:rPr>
          <w:szCs w:val="20"/>
        </w:rPr>
        <w:t>to</w:t>
      </w:r>
      <w:r w:rsidR="00C64050">
        <w:rPr>
          <w:szCs w:val="20"/>
        </w:rPr>
        <w:t xml:space="preserve"> </w:t>
      </w:r>
      <w:r w:rsidRPr="00B61E18">
        <w:rPr>
          <w:szCs w:val="20"/>
        </w:rPr>
        <w:t>any</w:t>
      </w:r>
      <w:r w:rsidR="00C64050">
        <w:rPr>
          <w:szCs w:val="20"/>
        </w:rPr>
        <w:t xml:space="preserve"> </w:t>
      </w:r>
      <w:r w:rsidRPr="00B61E18">
        <w:rPr>
          <w:szCs w:val="20"/>
        </w:rPr>
        <w:t>extension</w:t>
      </w:r>
      <w:r w:rsidR="00C64050">
        <w:rPr>
          <w:szCs w:val="20"/>
        </w:rPr>
        <w:t xml:space="preserve"> </w:t>
      </w:r>
      <w:r w:rsidRPr="00B61E18">
        <w:rPr>
          <w:szCs w:val="20"/>
        </w:rPr>
        <w:t>of</w:t>
      </w:r>
      <w:r w:rsidR="00C64050">
        <w:rPr>
          <w:szCs w:val="20"/>
        </w:rPr>
        <w:t xml:space="preserve"> </w:t>
      </w:r>
      <w:r w:rsidRPr="00B61E18">
        <w:rPr>
          <w:szCs w:val="20"/>
        </w:rPr>
        <w:t>time</w:t>
      </w:r>
      <w:r w:rsidR="00C64050">
        <w:rPr>
          <w:szCs w:val="20"/>
        </w:rPr>
        <w:t xml:space="preserve"> </w:t>
      </w:r>
      <w:r w:rsidRPr="00B61E18">
        <w:rPr>
          <w:szCs w:val="20"/>
        </w:rPr>
        <w:t>for</w:t>
      </w:r>
      <w:r w:rsidR="00C64050">
        <w:rPr>
          <w:szCs w:val="20"/>
        </w:rPr>
        <w:t xml:space="preserve"> </w:t>
      </w:r>
      <w:r w:rsidRPr="00B61E18">
        <w:rPr>
          <w:szCs w:val="20"/>
        </w:rPr>
        <w:t>payment),</w:t>
      </w:r>
      <w:r w:rsidR="00C64050">
        <w:rPr>
          <w:szCs w:val="20"/>
        </w:rPr>
        <w:t xml:space="preserve"> </w:t>
      </w:r>
      <w:r w:rsidRPr="00B61E18">
        <w:rPr>
          <w:szCs w:val="20"/>
        </w:rPr>
        <w:t>unless</w:t>
      </w:r>
      <w:r w:rsidR="00C64050">
        <w:rPr>
          <w:szCs w:val="20"/>
        </w:rPr>
        <w:t xml:space="preserve"> </w:t>
      </w:r>
      <w:r w:rsidRPr="00B61E18">
        <w:rPr>
          <w:szCs w:val="20"/>
        </w:rPr>
        <w:t>it</w:t>
      </w:r>
      <w:r w:rsidR="00C64050">
        <w:rPr>
          <w:szCs w:val="20"/>
        </w:rPr>
        <w:t xml:space="preserve"> </w:t>
      </w:r>
      <w:r w:rsidRPr="00B61E18">
        <w:rPr>
          <w:szCs w:val="20"/>
        </w:rPr>
        <w:t>is</w:t>
      </w:r>
      <w:r w:rsidR="00C64050">
        <w:rPr>
          <w:szCs w:val="20"/>
        </w:rPr>
        <w:t xml:space="preserve"> </w:t>
      </w:r>
      <w:r w:rsidRPr="00B61E18">
        <w:rPr>
          <w:szCs w:val="20"/>
        </w:rPr>
        <w:t>shown</w:t>
      </w:r>
      <w:r w:rsidR="00C64050">
        <w:rPr>
          <w:szCs w:val="20"/>
        </w:rPr>
        <w:t xml:space="preserve"> </w:t>
      </w:r>
      <w:r w:rsidRPr="00B61E18">
        <w:rPr>
          <w:szCs w:val="20"/>
        </w:rPr>
        <w:t>that</w:t>
      </w:r>
      <w:r w:rsidR="00C64050">
        <w:rPr>
          <w:szCs w:val="20"/>
        </w:rPr>
        <w:t xml:space="preserve"> </w:t>
      </w:r>
      <w:r w:rsidRPr="00B61E18">
        <w:rPr>
          <w:szCs w:val="20"/>
        </w:rPr>
        <w:t>such</w:t>
      </w:r>
      <w:r w:rsidR="00C64050">
        <w:rPr>
          <w:szCs w:val="20"/>
        </w:rPr>
        <w:t xml:space="preserve"> </w:t>
      </w:r>
      <w:r w:rsidRPr="00B61E18">
        <w:rPr>
          <w:szCs w:val="20"/>
        </w:rPr>
        <w:t>failure</w:t>
      </w:r>
      <w:r w:rsidR="00C64050">
        <w:rPr>
          <w:szCs w:val="20"/>
        </w:rPr>
        <w:t xml:space="preserve"> </w:t>
      </w:r>
      <w:r w:rsidRPr="00B61E18">
        <w:rPr>
          <w:szCs w:val="20"/>
        </w:rPr>
        <w:t>is</w:t>
      </w:r>
      <w:r w:rsidR="00C64050">
        <w:rPr>
          <w:szCs w:val="20"/>
        </w:rPr>
        <w:t xml:space="preserve"> </w:t>
      </w:r>
      <w:r w:rsidRPr="00B61E18">
        <w:rPr>
          <w:szCs w:val="20"/>
        </w:rPr>
        <w:t>due</w:t>
      </w:r>
      <w:r w:rsidR="00C64050">
        <w:rPr>
          <w:szCs w:val="20"/>
        </w:rPr>
        <w:t xml:space="preserve"> </w:t>
      </w:r>
      <w:r w:rsidRPr="00B61E18">
        <w:rPr>
          <w:szCs w:val="20"/>
        </w:rPr>
        <w:t>to</w:t>
      </w:r>
      <w:r w:rsidR="00C64050">
        <w:rPr>
          <w:szCs w:val="20"/>
        </w:rPr>
        <w:t xml:space="preserve"> </w:t>
      </w:r>
      <w:r w:rsidRPr="00B61E18">
        <w:rPr>
          <w:szCs w:val="20"/>
        </w:rPr>
        <w:t>reasonable</w:t>
      </w:r>
      <w:r w:rsidR="00C64050">
        <w:rPr>
          <w:szCs w:val="20"/>
        </w:rPr>
        <w:t xml:space="preserve"> </w:t>
      </w:r>
      <w:r w:rsidRPr="00B61E18">
        <w:rPr>
          <w:szCs w:val="20"/>
        </w:rPr>
        <w:t>cause</w:t>
      </w:r>
      <w:r w:rsidR="00C64050">
        <w:rPr>
          <w:szCs w:val="20"/>
        </w:rPr>
        <w:t xml:space="preserve"> </w:t>
      </w:r>
      <w:r w:rsidRPr="00B61E18">
        <w:rPr>
          <w:szCs w:val="20"/>
        </w:rPr>
        <w:t>and</w:t>
      </w:r>
      <w:r w:rsidR="00C64050">
        <w:rPr>
          <w:szCs w:val="20"/>
        </w:rPr>
        <w:t xml:space="preserve"> </w:t>
      </w:r>
      <w:r w:rsidRPr="00B61E18">
        <w:rPr>
          <w:szCs w:val="20"/>
        </w:rPr>
        <w:t>not</w:t>
      </w:r>
      <w:r w:rsidR="00C64050">
        <w:rPr>
          <w:szCs w:val="20"/>
        </w:rPr>
        <w:t xml:space="preserve"> </w:t>
      </w:r>
      <w:r w:rsidRPr="00B61E18">
        <w:rPr>
          <w:szCs w:val="20"/>
        </w:rPr>
        <w:t>due</w:t>
      </w:r>
      <w:r w:rsidR="00C64050">
        <w:rPr>
          <w:szCs w:val="20"/>
        </w:rPr>
        <w:t xml:space="preserve"> </w:t>
      </w:r>
      <w:r w:rsidRPr="00B61E18">
        <w:rPr>
          <w:szCs w:val="20"/>
        </w:rPr>
        <w:t>to</w:t>
      </w:r>
      <w:r w:rsidR="00C64050">
        <w:rPr>
          <w:szCs w:val="20"/>
        </w:rPr>
        <w:t xml:space="preserve"> </w:t>
      </w:r>
      <w:r w:rsidRPr="00B61E18">
        <w:rPr>
          <w:szCs w:val="20"/>
        </w:rPr>
        <w:t>willful</w:t>
      </w:r>
      <w:r w:rsidR="00C64050">
        <w:rPr>
          <w:szCs w:val="20"/>
        </w:rPr>
        <w:t xml:space="preserve"> </w:t>
      </w:r>
      <w:r w:rsidRPr="00B61E18">
        <w:rPr>
          <w:szCs w:val="20"/>
        </w:rPr>
        <w:t>neglect,</w:t>
      </w:r>
      <w:r w:rsidR="00C64050">
        <w:rPr>
          <w:szCs w:val="20"/>
        </w:rPr>
        <w:t xml:space="preserve"> </w:t>
      </w:r>
      <w:r w:rsidRPr="00B61E18">
        <w:rPr>
          <w:szCs w:val="20"/>
        </w:rPr>
        <w:t>there</w:t>
      </w:r>
      <w:r w:rsidR="00C64050">
        <w:rPr>
          <w:szCs w:val="20"/>
        </w:rPr>
        <w:t xml:space="preserve"> </w:t>
      </w:r>
      <w:r w:rsidRPr="00B61E18">
        <w:rPr>
          <w:szCs w:val="20"/>
        </w:rPr>
        <w:t>shall</w:t>
      </w:r>
      <w:r w:rsidR="00C64050">
        <w:rPr>
          <w:szCs w:val="20"/>
        </w:rPr>
        <w:t xml:space="preserve"> </w:t>
      </w:r>
      <w:r w:rsidRPr="00B61E18">
        <w:rPr>
          <w:szCs w:val="20"/>
        </w:rPr>
        <w:t>be</w:t>
      </w:r>
      <w:r w:rsidR="00C64050">
        <w:rPr>
          <w:szCs w:val="20"/>
        </w:rPr>
        <w:t xml:space="preserve"> </w:t>
      </w:r>
      <w:r w:rsidRPr="00B61E18">
        <w:rPr>
          <w:szCs w:val="20"/>
        </w:rPr>
        <w:t>added</w:t>
      </w:r>
      <w:r w:rsidR="00C64050">
        <w:rPr>
          <w:szCs w:val="20"/>
        </w:rPr>
        <w:t xml:space="preserve"> </w:t>
      </w:r>
      <w:r w:rsidRPr="00B61E18">
        <w:rPr>
          <w:szCs w:val="20"/>
        </w:rPr>
        <w:t>to</w:t>
      </w:r>
      <w:r w:rsidR="00C64050">
        <w:rPr>
          <w:szCs w:val="20"/>
        </w:rPr>
        <w:t xml:space="preserve"> </w:t>
      </w:r>
      <w:r w:rsidRPr="00B61E18">
        <w:rPr>
          <w:szCs w:val="20"/>
        </w:rPr>
        <w:t>the</w:t>
      </w:r>
      <w:r w:rsidR="00C64050">
        <w:rPr>
          <w:szCs w:val="20"/>
        </w:rPr>
        <w:t xml:space="preserve"> </w:t>
      </w:r>
      <w:r w:rsidRPr="00B61E18">
        <w:rPr>
          <w:szCs w:val="20"/>
        </w:rPr>
        <w:t>amount</w:t>
      </w:r>
      <w:r w:rsidR="00C64050">
        <w:rPr>
          <w:szCs w:val="20"/>
        </w:rPr>
        <w:t xml:space="preserve"> </w:t>
      </w:r>
      <w:r w:rsidRPr="00B61E18">
        <w:rPr>
          <w:szCs w:val="20"/>
        </w:rPr>
        <w:t>shown</w:t>
      </w:r>
      <w:r w:rsidR="00C64050">
        <w:rPr>
          <w:szCs w:val="20"/>
        </w:rPr>
        <w:t xml:space="preserve"> </w:t>
      </w:r>
      <w:r w:rsidRPr="00B61E18">
        <w:rPr>
          <w:szCs w:val="20"/>
        </w:rPr>
        <w:t>as</w:t>
      </w:r>
      <w:r w:rsidR="00C64050">
        <w:rPr>
          <w:szCs w:val="20"/>
        </w:rPr>
        <w:t xml:space="preserve"> </w:t>
      </w:r>
      <w:r w:rsidRPr="00B61E18">
        <w:rPr>
          <w:szCs w:val="20"/>
        </w:rPr>
        <w:t>tax</w:t>
      </w:r>
      <w:r w:rsidR="00C64050">
        <w:rPr>
          <w:szCs w:val="20"/>
        </w:rPr>
        <w:t xml:space="preserve"> </w:t>
      </w:r>
      <w:r w:rsidRPr="00B61E18">
        <w:rPr>
          <w:szCs w:val="20"/>
        </w:rPr>
        <w:t>on</w:t>
      </w:r>
      <w:r w:rsidR="00C64050">
        <w:rPr>
          <w:szCs w:val="20"/>
        </w:rPr>
        <w:t xml:space="preserve"> </w:t>
      </w:r>
      <w:r w:rsidRPr="00B61E18">
        <w:rPr>
          <w:szCs w:val="20"/>
        </w:rPr>
        <w:t>such</w:t>
      </w:r>
      <w:r w:rsidR="00C64050">
        <w:rPr>
          <w:szCs w:val="20"/>
        </w:rPr>
        <w:t xml:space="preserve"> </w:t>
      </w:r>
      <w:r w:rsidRPr="00B61E18">
        <w:rPr>
          <w:szCs w:val="20"/>
        </w:rPr>
        <w:t>return</w:t>
      </w:r>
      <w:r w:rsidR="00C64050">
        <w:rPr>
          <w:szCs w:val="20"/>
        </w:rPr>
        <w:t xml:space="preserve"> </w:t>
      </w:r>
      <w:r w:rsidRPr="00B61E18">
        <w:rPr>
          <w:szCs w:val="20"/>
        </w:rPr>
        <w:t>0.5</w:t>
      </w:r>
      <w:r w:rsidR="00C64050">
        <w:rPr>
          <w:szCs w:val="20"/>
        </w:rPr>
        <w:t xml:space="preserve"> </w:t>
      </w:r>
      <w:r w:rsidRPr="00B61E18">
        <w:rPr>
          <w:szCs w:val="20"/>
        </w:rPr>
        <w:t>percent</w:t>
      </w:r>
      <w:r w:rsidR="00C64050">
        <w:rPr>
          <w:szCs w:val="20"/>
        </w:rPr>
        <w:t xml:space="preserve"> </w:t>
      </w:r>
      <w:r w:rsidRPr="00B61E18">
        <w:rPr>
          <w:szCs w:val="20"/>
        </w:rPr>
        <w:t>of</w:t>
      </w:r>
      <w:r w:rsidR="00C64050">
        <w:rPr>
          <w:szCs w:val="20"/>
        </w:rPr>
        <w:t xml:space="preserve"> </w:t>
      </w:r>
      <w:r w:rsidRPr="00B61E18">
        <w:rPr>
          <w:szCs w:val="20"/>
        </w:rPr>
        <w:t>the</w:t>
      </w:r>
      <w:r w:rsidR="00C64050">
        <w:rPr>
          <w:szCs w:val="20"/>
        </w:rPr>
        <w:t xml:space="preserve"> </w:t>
      </w:r>
      <w:r w:rsidRPr="00B61E18">
        <w:rPr>
          <w:szCs w:val="20"/>
        </w:rPr>
        <w:t>amount</w:t>
      </w:r>
      <w:r w:rsidR="00C64050">
        <w:rPr>
          <w:szCs w:val="20"/>
        </w:rPr>
        <w:t xml:space="preserve"> </w:t>
      </w:r>
      <w:r w:rsidRPr="00B61E18">
        <w:rPr>
          <w:szCs w:val="20"/>
        </w:rPr>
        <w:t>of</w:t>
      </w:r>
      <w:r w:rsidR="00C64050">
        <w:rPr>
          <w:szCs w:val="20"/>
        </w:rPr>
        <w:t xml:space="preserve"> </w:t>
      </w:r>
      <w:r w:rsidRPr="00B61E18">
        <w:rPr>
          <w:szCs w:val="20"/>
        </w:rPr>
        <w:t>such</w:t>
      </w:r>
      <w:r w:rsidR="00C64050">
        <w:rPr>
          <w:szCs w:val="20"/>
        </w:rPr>
        <w:t xml:space="preserve"> </w:t>
      </w:r>
      <w:r w:rsidRPr="00B61E18">
        <w:rPr>
          <w:szCs w:val="20"/>
        </w:rPr>
        <w:t>tax</w:t>
      </w:r>
      <w:r w:rsidR="00C64050">
        <w:rPr>
          <w:szCs w:val="20"/>
        </w:rPr>
        <w:t xml:space="preserve"> </w:t>
      </w:r>
      <w:r w:rsidRPr="00B61E18">
        <w:rPr>
          <w:szCs w:val="20"/>
        </w:rPr>
        <w:t>if</w:t>
      </w:r>
      <w:r w:rsidR="00C64050">
        <w:rPr>
          <w:szCs w:val="20"/>
        </w:rPr>
        <w:t xml:space="preserve"> </w:t>
      </w:r>
      <w:r w:rsidRPr="00B61E18">
        <w:rPr>
          <w:szCs w:val="20"/>
        </w:rPr>
        <w:t>the</w:t>
      </w:r>
      <w:r w:rsidR="00C64050">
        <w:rPr>
          <w:szCs w:val="20"/>
        </w:rPr>
        <w:t xml:space="preserve"> </w:t>
      </w:r>
      <w:r w:rsidRPr="00B61E18">
        <w:rPr>
          <w:szCs w:val="20"/>
        </w:rPr>
        <w:t>failure</w:t>
      </w:r>
      <w:r w:rsidR="00C64050">
        <w:rPr>
          <w:szCs w:val="20"/>
        </w:rPr>
        <w:t xml:space="preserve"> </w:t>
      </w:r>
      <w:r w:rsidRPr="00B61E18">
        <w:rPr>
          <w:szCs w:val="20"/>
        </w:rPr>
        <w:t>is</w:t>
      </w:r>
      <w:r w:rsidR="00C64050">
        <w:rPr>
          <w:szCs w:val="20"/>
        </w:rPr>
        <w:t xml:space="preserve"> </w:t>
      </w:r>
      <w:r w:rsidRPr="00B61E18">
        <w:rPr>
          <w:szCs w:val="20"/>
        </w:rPr>
        <w:t>for</w:t>
      </w:r>
      <w:r w:rsidR="00C64050">
        <w:rPr>
          <w:szCs w:val="20"/>
        </w:rPr>
        <w:t xml:space="preserve"> </w:t>
      </w:r>
      <w:r w:rsidRPr="00B61E18">
        <w:rPr>
          <w:szCs w:val="20"/>
        </w:rPr>
        <w:t>not</w:t>
      </w:r>
      <w:r w:rsidR="00C64050">
        <w:rPr>
          <w:szCs w:val="20"/>
        </w:rPr>
        <w:t xml:space="preserve"> </w:t>
      </w:r>
      <w:r w:rsidRPr="00B61E18">
        <w:rPr>
          <w:szCs w:val="20"/>
        </w:rPr>
        <w:t>more</w:t>
      </w:r>
      <w:r w:rsidR="00C64050">
        <w:rPr>
          <w:szCs w:val="20"/>
        </w:rPr>
        <w:t xml:space="preserve"> </w:t>
      </w:r>
      <w:r w:rsidRPr="00B61E18">
        <w:rPr>
          <w:szCs w:val="20"/>
        </w:rPr>
        <w:t>than</w:t>
      </w:r>
      <w:r w:rsidR="00C64050">
        <w:rPr>
          <w:szCs w:val="20"/>
        </w:rPr>
        <w:t xml:space="preserve"> </w:t>
      </w:r>
      <w:r w:rsidRPr="00B61E18">
        <w:rPr>
          <w:szCs w:val="20"/>
        </w:rPr>
        <w:t>1</w:t>
      </w:r>
      <w:r w:rsidR="00C64050">
        <w:rPr>
          <w:szCs w:val="20"/>
        </w:rPr>
        <w:t xml:space="preserve"> </w:t>
      </w:r>
      <w:r w:rsidRPr="00B61E18">
        <w:rPr>
          <w:szCs w:val="20"/>
        </w:rPr>
        <w:t>month,</w:t>
      </w:r>
      <w:r w:rsidR="00C64050">
        <w:rPr>
          <w:szCs w:val="20"/>
        </w:rPr>
        <w:t xml:space="preserve"> </w:t>
      </w:r>
      <w:r w:rsidRPr="00B61E18">
        <w:rPr>
          <w:szCs w:val="20"/>
        </w:rPr>
        <w:t>with</w:t>
      </w:r>
      <w:r w:rsidR="00C64050">
        <w:rPr>
          <w:szCs w:val="20"/>
        </w:rPr>
        <w:t xml:space="preserve"> </w:t>
      </w:r>
      <w:r w:rsidRPr="00B61E18">
        <w:rPr>
          <w:szCs w:val="20"/>
        </w:rPr>
        <w:t>an</w:t>
      </w:r>
      <w:r w:rsidR="00C64050">
        <w:rPr>
          <w:szCs w:val="20"/>
        </w:rPr>
        <w:t xml:space="preserve"> </w:t>
      </w:r>
      <w:r w:rsidRPr="00B61E18">
        <w:rPr>
          <w:szCs w:val="20"/>
        </w:rPr>
        <w:t>additional</w:t>
      </w:r>
      <w:r w:rsidR="00C64050">
        <w:rPr>
          <w:szCs w:val="20"/>
        </w:rPr>
        <w:t xml:space="preserve"> </w:t>
      </w:r>
      <w:r w:rsidRPr="00B61E18">
        <w:rPr>
          <w:szCs w:val="20"/>
        </w:rPr>
        <w:t>0.5</w:t>
      </w:r>
      <w:r w:rsidR="00C64050">
        <w:rPr>
          <w:szCs w:val="20"/>
        </w:rPr>
        <w:t xml:space="preserve"> </w:t>
      </w:r>
      <w:r w:rsidRPr="00B61E18">
        <w:rPr>
          <w:szCs w:val="20"/>
        </w:rPr>
        <w:t>percent</w:t>
      </w:r>
      <w:r w:rsidR="00C64050">
        <w:rPr>
          <w:szCs w:val="20"/>
        </w:rPr>
        <w:t xml:space="preserve"> </w:t>
      </w:r>
      <w:r w:rsidRPr="00B61E18">
        <w:rPr>
          <w:szCs w:val="20"/>
        </w:rPr>
        <w:t>for</w:t>
      </w:r>
      <w:r w:rsidR="00C64050">
        <w:rPr>
          <w:szCs w:val="20"/>
        </w:rPr>
        <w:t xml:space="preserve"> </w:t>
      </w:r>
      <w:r w:rsidRPr="00B61E18">
        <w:rPr>
          <w:szCs w:val="20"/>
        </w:rPr>
        <w:t>each</w:t>
      </w:r>
      <w:r w:rsidR="00C64050">
        <w:rPr>
          <w:szCs w:val="20"/>
        </w:rPr>
        <w:t xml:space="preserve"> </w:t>
      </w:r>
      <w:r w:rsidRPr="00B61E18">
        <w:rPr>
          <w:szCs w:val="20"/>
        </w:rPr>
        <w:t>additional</w:t>
      </w:r>
      <w:r w:rsidR="00C64050">
        <w:rPr>
          <w:szCs w:val="20"/>
        </w:rPr>
        <w:t xml:space="preserve"> </w:t>
      </w:r>
      <w:r w:rsidRPr="00B61E18">
        <w:rPr>
          <w:szCs w:val="20"/>
        </w:rPr>
        <w:t>month</w:t>
      </w:r>
      <w:r w:rsidR="00C64050">
        <w:rPr>
          <w:szCs w:val="20"/>
        </w:rPr>
        <w:t xml:space="preserve"> </w:t>
      </w:r>
      <w:r w:rsidRPr="00B61E18">
        <w:rPr>
          <w:szCs w:val="20"/>
        </w:rPr>
        <w:t>or</w:t>
      </w:r>
      <w:r w:rsidR="00C64050">
        <w:rPr>
          <w:szCs w:val="20"/>
        </w:rPr>
        <w:t xml:space="preserve"> </w:t>
      </w:r>
      <w:r w:rsidRPr="00B61E18">
        <w:rPr>
          <w:szCs w:val="20"/>
        </w:rPr>
        <w:t>fraction</w:t>
      </w:r>
      <w:r w:rsidR="00C64050">
        <w:rPr>
          <w:szCs w:val="20"/>
        </w:rPr>
        <w:t xml:space="preserve"> </w:t>
      </w:r>
      <w:r w:rsidRPr="00B61E18">
        <w:rPr>
          <w:szCs w:val="20"/>
        </w:rPr>
        <w:t>thereof</w:t>
      </w:r>
      <w:r w:rsidR="00C64050">
        <w:rPr>
          <w:szCs w:val="20"/>
        </w:rPr>
        <w:t xml:space="preserve"> </w:t>
      </w:r>
      <w:r w:rsidRPr="00B61E18">
        <w:rPr>
          <w:szCs w:val="20"/>
        </w:rPr>
        <w:t>during</w:t>
      </w:r>
      <w:r w:rsidR="00C64050">
        <w:rPr>
          <w:szCs w:val="20"/>
        </w:rPr>
        <w:t xml:space="preserve"> </w:t>
      </w:r>
      <w:r w:rsidRPr="00B61E18">
        <w:rPr>
          <w:szCs w:val="20"/>
        </w:rPr>
        <w:t>which</w:t>
      </w:r>
      <w:r w:rsidR="00C64050">
        <w:rPr>
          <w:szCs w:val="20"/>
        </w:rPr>
        <w:t xml:space="preserve"> </w:t>
      </w:r>
      <w:r w:rsidRPr="00B61E18">
        <w:rPr>
          <w:szCs w:val="20"/>
        </w:rPr>
        <w:t>such</w:t>
      </w:r>
      <w:r w:rsidR="00C64050">
        <w:rPr>
          <w:szCs w:val="20"/>
        </w:rPr>
        <w:t xml:space="preserve"> </w:t>
      </w:r>
      <w:r w:rsidRPr="00B61E18">
        <w:rPr>
          <w:szCs w:val="20"/>
        </w:rPr>
        <w:t>failure</w:t>
      </w:r>
      <w:r w:rsidR="00C64050">
        <w:rPr>
          <w:szCs w:val="20"/>
        </w:rPr>
        <w:t xml:space="preserve"> </w:t>
      </w:r>
      <w:r w:rsidRPr="00B61E18">
        <w:rPr>
          <w:szCs w:val="20"/>
        </w:rPr>
        <w:t>continues,</w:t>
      </w:r>
      <w:r w:rsidR="00C64050">
        <w:rPr>
          <w:szCs w:val="20"/>
        </w:rPr>
        <w:t xml:space="preserve"> </w:t>
      </w:r>
      <w:r w:rsidRPr="00B61E18">
        <w:rPr>
          <w:szCs w:val="20"/>
        </w:rPr>
        <w:t>not</w:t>
      </w:r>
      <w:r w:rsidR="00C64050">
        <w:rPr>
          <w:szCs w:val="20"/>
        </w:rPr>
        <w:t xml:space="preserve"> </w:t>
      </w:r>
      <w:r w:rsidRPr="00B61E18">
        <w:rPr>
          <w:szCs w:val="20"/>
        </w:rPr>
        <w:t>exceeding</w:t>
      </w:r>
      <w:r w:rsidR="00C64050">
        <w:rPr>
          <w:szCs w:val="20"/>
        </w:rPr>
        <w:t xml:space="preserve"> </w:t>
      </w:r>
      <w:r w:rsidRPr="00B61E18">
        <w:rPr>
          <w:szCs w:val="20"/>
        </w:rPr>
        <w:t>25</w:t>
      </w:r>
      <w:r w:rsidR="00C64050">
        <w:rPr>
          <w:szCs w:val="20"/>
        </w:rPr>
        <w:t xml:space="preserve"> </w:t>
      </w:r>
      <w:r w:rsidRPr="00B61E18">
        <w:rPr>
          <w:szCs w:val="20"/>
        </w:rPr>
        <w:t>percent</w:t>
      </w:r>
      <w:r w:rsidR="00C64050">
        <w:rPr>
          <w:szCs w:val="20"/>
        </w:rPr>
        <w:t xml:space="preserve"> </w:t>
      </w:r>
      <w:r w:rsidRPr="00B61E18">
        <w:rPr>
          <w:szCs w:val="20"/>
        </w:rPr>
        <w:t>in</w:t>
      </w:r>
      <w:r w:rsidR="00C64050">
        <w:rPr>
          <w:szCs w:val="20"/>
        </w:rPr>
        <w:t xml:space="preserve"> </w:t>
      </w:r>
      <w:r w:rsidRPr="00B61E18">
        <w:rPr>
          <w:szCs w:val="20"/>
        </w:rPr>
        <w:t>the</w:t>
      </w:r>
      <w:r w:rsidR="00C64050">
        <w:rPr>
          <w:szCs w:val="20"/>
        </w:rPr>
        <w:t xml:space="preserve"> </w:t>
      </w:r>
      <w:r w:rsidRPr="00B61E18">
        <w:rPr>
          <w:szCs w:val="20"/>
        </w:rPr>
        <w:t>aggregate</w:t>
      </w:r>
      <w:r w:rsidR="00C64050">
        <w:rPr>
          <w:szCs w:val="20"/>
        </w:rPr>
        <w:t xml:space="preserve"> </w:t>
      </w:r>
      <w:r w:rsidRPr="00B61E18">
        <w:rPr>
          <w:szCs w:val="20"/>
        </w:rPr>
        <w:t>...</w:t>
      </w:r>
    </w:p>
    <w:p w:rsidR="00A27958" w:rsidRPr="00B61E18" w:rsidRDefault="00A27958" w:rsidP="00A27958">
      <w:pPr>
        <w:pStyle w:val="QS10"/>
        <w:rPr>
          <w:szCs w:val="20"/>
        </w:rPr>
      </w:pPr>
      <w:r w:rsidRPr="00B61E18">
        <w:rPr>
          <w:szCs w:val="20"/>
        </w:rPr>
        <w:t>§</w:t>
      </w:r>
      <w:r w:rsidR="00C64050">
        <w:rPr>
          <w:szCs w:val="20"/>
        </w:rPr>
        <w:t xml:space="preserve"> </w:t>
      </w:r>
      <w:r w:rsidRPr="00B61E18">
        <w:rPr>
          <w:szCs w:val="20"/>
        </w:rPr>
        <w:t>6651(a)(2).</w:t>
      </w:r>
    </w:p>
    <w:p w:rsidR="00A27958" w:rsidRPr="00B61E18" w:rsidRDefault="00A27958" w:rsidP="00A27958">
      <w:pPr>
        <w:pStyle w:val="QS10"/>
        <w:rPr>
          <w:szCs w:val="20"/>
        </w:rPr>
      </w:pPr>
      <w:r w:rsidRPr="00B61E18">
        <w:rPr>
          <w:szCs w:val="20"/>
        </w:rPr>
        <w:t>The</w:t>
      </w:r>
      <w:r w:rsidR="00C64050">
        <w:rPr>
          <w:szCs w:val="20"/>
        </w:rPr>
        <w:t xml:space="preserve"> </w:t>
      </w:r>
      <w:r w:rsidRPr="00B61E18">
        <w:rPr>
          <w:szCs w:val="20"/>
        </w:rPr>
        <w:t>calculation</w:t>
      </w:r>
      <w:r w:rsidR="00C64050">
        <w:rPr>
          <w:szCs w:val="20"/>
        </w:rPr>
        <w:t xml:space="preserve"> </w:t>
      </w:r>
      <w:r w:rsidRPr="00B61E18">
        <w:rPr>
          <w:szCs w:val="20"/>
        </w:rPr>
        <w:t>of</w:t>
      </w:r>
      <w:r w:rsidR="00C64050">
        <w:rPr>
          <w:szCs w:val="20"/>
        </w:rPr>
        <w:t xml:space="preserve"> </w:t>
      </w:r>
      <w:r w:rsidRPr="00B61E18">
        <w:rPr>
          <w:szCs w:val="20"/>
        </w:rPr>
        <w:t>the</w:t>
      </w:r>
      <w:r w:rsidR="00C64050">
        <w:rPr>
          <w:szCs w:val="20"/>
        </w:rPr>
        <w:t xml:space="preserve"> </w:t>
      </w:r>
      <w:r w:rsidRPr="00B61E18">
        <w:rPr>
          <w:szCs w:val="20"/>
        </w:rPr>
        <w:t>penalty</w:t>
      </w:r>
      <w:r w:rsidR="00C64050">
        <w:rPr>
          <w:szCs w:val="20"/>
        </w:rPr>
        <w:t xml:space="preserve"> </w:t>
      </w:r>
      <w:r w:rsidRPr="00B61E18">
        <w:rPr>
          <w:szCs w:val="20"/>
        </w:rPr>
        <w:t>imposed</w:t>
      </w:r>
      <w:r w:rsidR="00C64050">
        <w:rPr>
          <w:szCs w:val="20"/>
        </w:rPr>
        <w:t xml:space="preserve"> </w:t>
      </w:r>
      <w:r w:rsidRPr="00B61E18">
        <w:rPr>
          <w:szCs w:val="20"/>
        </w:rPr>
        <w:t>for</w:t>
      </w:r>
      <w:r w:rsidR="00C64050">
        <w:rPr>
          <w:szCs w:val="20"/>
        </w:rPr>
        <w:t xml:space="preserve"> </w:t>
      </w:r>
      <w:r w:rsidRPr="00B61E18">
        <w:rPr>
          <w:szCs w:val="20"/>
        </w:rPr>
        <w:t>failure</w:t>
      </w:r>
      <w:r w:rsidR="00C64050">
        <w:rPr>
          <w:szCs w:val="20"/>
        </w:rPr>
        <w:t xml:space="preserve"> </w:t>
      </w:r>
      <w:r w:rsidRPr="00B61E18">
        <w:rPr>
          <w:szCs w:val="20"/>
        </w:rPr>
        <w:t>to</w:t>
      </w:r>
      <w:r w:rsidR="00C64050">
        <w:rPr>
          <w:szCs w:val="20"/>
        </w:rPr>
        <w:t xml:space="preserve"> </w:t>
      </w:r>
      <w:r w:rsidRPr="00B61E18">
        <w:rPr>
          <w:szCs w:val="20"/>
        </w:rPr>
        <w:t>timely</w:t>
      </w:r>
      <w:r w:rsidR="00C64050">
        <w:rPr>
          <w:szCs w:val="20"/>
        </w:rPr>
        <w:t xml:space="preserve"> </w:t>
      </w:r>
      <w:r w:rsidRPr="00B61E18">
        <w:rPr>
          <w:szCs w:val="20"/>
        </w:rPr>
        <w:t>file</w:t>
      </w:r>
      <w:r w:rsidR="00C64050">
        <w:rPr>
          <w:szCs w:val="20"/>
        </w:rPr>
        <w:t xml:space="preserve"> </w:t>
      </w:r>
      <w:r w:rsidRPr="00B61E18">
        <w:rPr>
          <w:szCs w:val="20"/>
        </w:rPr>
        <w:t>a</w:t>
      </w:r>
      <w:r w:rsidR="00C64050">
        <w:rPr>
          <w:szCs w:val="20"/>
        </w:rPr>
        <w:t xml:space="preserve"> </w:t>
      </w:r>
      <w:r w:rsidRPr="00B61E18">
        <w:rPr>
          <w:szCs w:val="20"/>
        </w:rPr>
        <w:t>return</w:t>
      </w:r>
      <w:r w:rsidR="00C64050">
        <w:rPr>
          <w:szCs w:val="20"/>
        </w:rPr>
        <w:t xml:space="preserve"> </w:t>
      </w:r>
      <w:r w:rsidRPr="00B61E18">
        <w:rPr>
          <w:szCs w:val="20"/>
        </w:rPr>
        <w:t>(subsection</w:t>
      </w:r>
      <w:r w:rsidR="00C64050">
        <w:rPr>
          <w:szCs w:val="20"/>
        </w:rPr>
        <w:t xml:space="preserve"> </w:t>
      </w:r>
      <w:r w:rsidRPr="00B61E18">
        <w:rPr>
          <w:szCs w:val="20"/>
        </w:rPr>
        <w:t>(a)(1))</w:t>
      </w:r>
      <w:r w:rsidR="00C64050">
        <w:rPr>
          <w:szCs w:val="20"/>
        </w:rPr>
        <w:t xml:space="preserve"> </w:t>
      </w:r>
      <w:r w:rsidRPr="00B61E18">
        <w:rPr>
          <w:szCs w:val="20"/>
        </w:rPr>
        <w:t>and</w:t>
      </w:r>
      <w:r w:rsidR="00C64050">
        <w:rPr>
          <w:szCs w:val="20"/>
        </w:rPr>
        <w:t xml:space="preserve"> </w:t>
      </w:r>
      <w:r w:rsidRPr="00B61E18">
        <w:rPr>
          <w:szCs w:val="20"/>
        </w:rPr>
        <w:t>failure</w:t>
      </w:r>
      <w:r w:rsidR="00C64050">
        <w:rPr>
          <w:szCs w:val="20"/>
        </w:rPr>
        <w:t xml:space="preserve"> </w:t>
      </w:r>
      <w:r w:rsidRPr="00B61E18">
        <w:rPr>
          <w:szCs w:val="20"/>
        </w:rPr>
        <w:t>to</w:t>
      </w:r>
      <w:r w:rsidR="00C64050">
        <w:rPr>
          <w:szCs w:val="20"/>
        </w:rPr>
        <w:t xml:space="preserve"> </w:t>
      </w:r>
      <w:r w:rsidRPr="00B61E18">
        <w:rPr>
          <w:szCs w:val="20"/>
        </w:rPr>
        <w:t>timely</w:t>
      </w:r>
      <w:r w:rsidR="00C64050">
        <w:rPr>
          <w:szCs w:val="20"/>
        </w:rPr>
        <w:t xml:space="preserve"> </w:t>
      </w:r>
      <w:r w:rsidRPr="00B61E18">
        <w:rPr>
          <w:szCs w:val="20"/>
        </w:rPr>
        <w:t>pay</w:t>
      </w:r>
      <w:r w:rsidR="00C64050">
        <w:rPr>
          <w:szCs w:val="20"/>
        </w:rPr>
        <w:t xml:space="preserve"> </w:t>
      </w:r>
      <w:r w:rsidRPr="00B61E18">
        <w:rPr>
          <w:szCs w:val="20"/>
        </w:rPr>
        <w:t>the</w:t>
      </w:r>
      <w:r w:rsidR="00C64050">
        <w:rPr>
          <w:szCs w:val="20"/>
        </w:rPr>
        <w:t xml:space="preserve"> </w:t>
      </w:r>
      <w:r w:rsidRPr="00B61E18">
        <w:rPr>
          <w:szCs w:val="20"/>
        </w:rPr>
        <w:t>tax</w:t>
      </w:r>
      <w:r w:rsidR="00C64050">
        <w:rPr>
          <w:szCs w:val="20"/>
        </w:rPr>
        <w:t xml:space="preserve"> </w:t>
      </w:r>
      <w:r w:rsidRPr="00B61E18">
        <w:rPr>
          <w:szCs w:val="20"/>
        </w:rPr>
        <w:t>(subsection</w:t>
      </w:r>
      <w:r w:rsidR="00C64050">
        <w:rPr>
          <w:szCs w:val="20"/>
        </w:rPr>
        <w:t xml:space="preserve"> </w:t>
      </w:r>
      <w:r w:rsidRPr="00B61E18">
        <w:rPr>
          <w:szCs w:val="20"/>
        </w:rPr>
        <w:t>(a)(2))</w:t>
      </w:r>
      <w:r w:rsidR="00C64050">
        <w:rPr>
          <w:szCs w:val="20"/>
        </w:rPr>
        <w:t xml:space="preserve"> </w:t>
      </w:r>
      <w:r w:rsidRPr="00B61E18">
        <w:rPr>
          <w:szCs w:val="20"/>
        </w:rPr>
        <w:t>is</w:t>
      </w:r>
      <w:r w:rsidR="00C64050">
        <w:rPr>
          <w:szCs w:val="20"/>
        </w:rPr>
        <w:t xml:space="preserve"> </w:t>
      </w:r>
      <w:r w:rsidRPr="00B61E18">
        <w:rPr>
          <w:szCs w:val="20"/>
        </w:rPr>
        <w:t>clarified</w:t>
      </w:r>
      <w:r w:rsidR="00C64050">
        <w:rPr>
          <w:szCs w:val="20"/>
        </w:rPr>
        <w:t xml:space="preserve"> </w:t>
      </w:r>
      <w:r w:rsidRPr="00B61E18">
        <w:rPr>
          <w:szCs w:val="20"/>
        </w:rPr>
        <w:t>in</w:t>
      </w:r>
      <w:r w:rsidR="00C64050">
        <w:rPr>
          <w:szCs w:val="20"/>
        </w:rPr>
        <w:t xml:space="preserve"> </w:t>
      </w:r>
      <w:r w:rsidRPr="00B61E18">
        <w:rPr>
          <w:szCs w:val="20"/>
        </w:rPr>
        <w:t>§</w:t>
      </w:r>
      <w:r w:rsidR="00C64050">
        <w:rPr>
          <w:szCs w:val="20"/>
        </w:rPr>
        <w:t xml:space="preserve"> </w:t>
      </w:r>
      <w:r w:rsidRPr="00B61E18">
        <w:rPr>
          <w:szCs w:val="20"/>
        </w:rPr>
        <w:t>6651(b).</w:t>
      </w:r>
      <w:r w:rsidR="00C64050">
        <w:rPr>
          <w:szCs w:val="20"/>
        </w:rPr>
        <w:t xml:space="preserve"> </w:t>
      </w:r>
      <w:r w:rsidRPr="00B61E18">
        <w:rPr>
          <w:szCs w:val="20"/>
        </w:rPr>
        <w:t>It</w:t>
      </w:r>
      <w:r w:rsidR="00C64050">
        <w:rPr>
          <w:szCs w:val="20"/>
        </w:rPr>
        <w:t xml:space="preserve"> </w:t>
      </w:r>
      <w:r w:rsidRPr="00B61E18">
        <w:rPr>
          <w:szCs w:val="20"/>
        </w:rPr>
        <w:t>declares:</w:t>
      </w:r>
    </w:p>
    <w:p w:rsidR="00A27958" w:rsidRPr="00B61E18" w:rsidRDefault="00A27958" w:rsidP="00A27958">
      <w:pPr>
        <w:pStyle w:val="QS10"/>
        <w:ind w:left="2160"/>
        <w:rPr>
          <w:szCs w:val="20"/>
        </w:rPr>
      </w:pPr>
      <w:r w:rsidRPr="00B61E18">
        <w:rPr>
          <w:szCs w:val="20"/>
        </w:rPr>
        <w:t>(b)</w:t>
      </w:r>
      <w:r w:rsidR="00C64050">
        <w:rPr>
          <w:szCs w:val="20"/>
        </w:rPr>
        <w:t xml:space="preserve"> </w:t>
      </w:r>
      <w:r w:rsidRPr="00B61E18">
        <w:rPr>
          <w:szCs w:val="20"/>
          <w:u w:val="single"/>
        </w:rPr>
        <w:t>Penalty</w:t>
      </w:r>
      <w:r w:rsidR="00C64050">
        <w:rPr>
          <w:szCs w:val="20"/>
          <w:u w:val="single"/>
        </w:rPr>
        <w:t xml:space="preserve"> </w:t>
      </w:r>
      <w:r w:rsidRPr="00B61E18">
        <w:rPr>
          <w:szCs w:val="20"/>
          <w:u w:val="single"/>
        </w:rPr>
        <w:t>imposed</w:t>
      </w:r>
      <w:r w:rsidR="00C64050">
        <w:rPr>
          <w:szCs w:val="20"/>
          <w:u w:val="single"/>
        </w:rPr>
        <w:t xml:space="preserve"> </w:t>
      </w:r>
      <w:r w:rsidRPr="00B61E18">
        <w:rPr>
          <w:szCs w:val="20"/>
          <w:u w:val="single"/>
        </w:rPr>
        <w:t>on</w:t>
      </w:r>
      <w:r w:rsidR="00C64050">
        <w:rPr>
          <w:szCs w:val="20"/>
          <w:u w:val="single"/>
        </w:rPr>
        <w:t xml:space="preserve"> </w:t>
      </w:r>
      <w:r w:rsidRPr="00B61E18">
        <w:rPr>
          <w:szCs w:val="20"/>
          <w:u w:val="single"/>
        </w:rPr>
        <w:t>net</w:t>
      </w:r>
      <w:r w:rsidR="00C64050">
        <w:rPr>
          <w:szCs w:val="20"/>
          <w:u w:val="single"/>
        </w:rPr>
        <w:t xml:space="preserve"> </w:t>
      </w:r>
      <w:r w:rsidRPr="00B61E18">
        <w:rPr>
          <w:szCs w:val="20"/>
          <w:u w:val="single"/>
        </w:rPr>
        <w:t>amount</w:t>
      </w:r>
      <w:r w:rsidR="00C64050">
        <w:rPr>
          <w:szCs w:val="20"/>
          <w:u w:val="single"/>
        </w:rPr>
        <w:t xml:space="preserve"> </w:t>
      </w:r>
      <w:r w:rsidRPr="00B61E18">
        <w:rPr>
          <w:szCs w:val="20"/>
          <w:u w:val="single"/>
        </w:rPr>
        <w:t>due</w:t>
      </w:r>
      <w:r w:rsidRPr="00B61E18">
        <w:rPr>
          <w:szCs w:val="20"/>
        </w:rPr>
        <w:t>.</w:t>
      </w:r>
      <w:r w:rsidR="00C64050">
        <w:rPr>
          <w:szCs w:val="20"/>
        </w:rPr>
        <w:t xml:space="preserve"> </w:t>
      </w:r>
      <w:r w:rsidRPr="00B61E18">
        <w:rPr>
          <w:szCs w:val="20"/>
        </w:rPr>
        <w:t>For</w:t>
      </w:r>
      <w:r w:rsidR="00C64050">
        <w:rPr>
          <w:szCs w:val="20"/>
        </w:rPr>
        <w:t xml:space="preserve"> </w:t>
      </w:r>
      <w:r w:rsidRPr="00B61E18">
        <w:rPr>
          <w:szCs w:val="20"/>
        </w:rPr>
        <w:t>purposes</w:t>
      </w:r>
      <w:r w:rsidR="00C64050">
        <w:rPr>
          <w:szCs w:val="20"/>
        </w:rPr>
        <w:t xml:space="preserve"> </w:t>
      </w:r>
      <w:r w:rsidRPr="00B61E18">
        <w:rPr>
          <w:szCs w:val="20"/>
        </w:rPr>
        <w:t>of--</w:t>
      </w:r>
    </w:p>
    <w:p w:rsidR="00A27958" w:rsidRPr="00B61E18" w:rsidRDefault="00A27958" w:rsidP="00A27958">
      <w:pPr>
        <w:pStyle w:val="QS10"/>
        <w:ind w:left="2592"/>
        <w:rPr>
          <w:szCs w:val="20"/>
        </w:rPr>
      </w:pPr>
      <w:r w:rsidRPr="00B61E18">
        <w:rPr>
          <w:szCs w:val="20"/>
        </w:rPr>
        <w:t>(1)</w:t>
      </w:r>
      <w:r w:rsidR="00C64050">
        <w:rPr>
          <w:szCs w:val="20"/>
        </w:rPr>
        <w:t xml:space="preserve"> </w:t>
      </w:r>
      <w:r w:rsidRPr="00B61E18">
        <w:rPr>
          <w:szCs w:val="20"/>
        </w:rPr>
        <w:t>subsection</w:t>
      </w:r>
      <w:r w:rsidR="00C64050">
        <w:rPr>
          <w:szCs w:val="20"/>
        </w:rPr>
        <w:t xml:space="preserve"> </w:t>
      </w:r>
      <w:r w:rsidRPr="00B61E18">
        <w:rPr>
          <w:szCs w:val="20"/>
        </w:rPr>
        <w:t>(a)(1),</w:t>
      </w:r>
      <w:r w:rsidR="00C64050">
        <w:rPr>
          <w:szCs w:val="20"/>
        </w:rPr>
        <w:t xml:space="preserve"> </w:t>
      </w:r>
      <w:r w:rsidRPr="00B61E18">
        <w:rPr>
          <w:szCs w:val="20"/>
        </w:rPr>
        <w:t>the</w:t>
      </w:r>
      <w:r w:rsidR="00C64050">
        <w:rPr>
          <w:szCs w:val="20"/>
        </w:rPr>
        <w:t xml:space="preserve"> </w:t>
      </w:r>
      <w:r w:rsidRPr="00B61E18">
        <w:rPr>
          <w:szCs w:val="20"/>
        </w:rPr>
        <w:t>amount</w:t>
      </w:r>
      <w:r w:rsidR="00C64050">
        <w:rPr>
          <w:szCs w:val="20"/>
        </w:rPr>
        <w:t xml:space="preserve"> </w:t>
      </w:r>
      <w:r w:rsidRPr="00B61E18">
        <w:rPr>
          <w:szCs w:val="20"/>
        </w:rPr>
        <w:t>of</w:t>
      </w:r>
      <w:r w:rsidR="00C64050">
        <w:rPr>
          <w:szCs w:val="20"/>
        </w:rPr>
        <w:t xml:space="preserve"> </w:t>
      </w:r>
      <w:r w:rsidRPr="00B61E18">
        <w:rPr>
          <w:szCs w:val="20"/>
        </w:rPr>
        <w:t>tax</w:t>
      </w:r>
      <w:r w:rsidR="00C64050">
        <w:rPr>
          <w:szCs w:val="20"/>
        </w:rPr>
        <w:t xml:space="preserve"> </w:t>
      </w:r>
      <w:r w:rsidRPr="00B61E18">
        <w:rPr>
          <w:szCs w:val="20"/>
        </w:rPr>
        <w:t>required</w:t>
      </w:r>
      <w:r w:rsidR="00C64050">
        <w:rPr>
          <w:szCs w:val="20"/>
        </w:rPr>
        <w:t xml:space="preserve"> </w:t>
      </w:r>
      <w:r w:rsidRPr="00B61E18">
        <w:rPr>
          <w:szCs w:val="20"/>
        </w:rPr>
        <w:t>to</w:t>
      </w:r>
      <w:r w:rsidR="00C64050">
        <w:rPr>
          <w:szCs w:val="20"/>
        </w:rPr>
        <w:t xml:space="preserve"> </w:t>
      </w:r>
      <w:r w:rsidRPr="00B61E18">
        <w:rPr>
          <w:szCs w:val="20"/>
        </w:rPr>
        <w:t>be</w:t>
      </w:r>
      <w:r w:rsidR="00C64050">
        <w:rPr>
          <w:szCs w:val="20"/>
        </w:rPr>
        <w:t xml:space="preserve"> </w:t>
      </w:r>
      <w:r w:rsidRPr="00B61E18">
        <w:rPr>
          <w:szCs w:val="20"/>
        </w:rPr>
        <w:t>shown</w:t>
      </w:r>
      <w:r w:rsidR="00C64050">
        <w:rPr>
          <w:szCs w:val="20"/>
        </w:rPr>
        <w:t xml:space="preserve"> </w:t>
      </w:r>
      <w:r w:rsidRPr="00B61E18">
        <w:rPr>
          <w:szCs w:val="20"/>
        </w:rPr>
        <w:t>on</w:t>
      </w:r>
      <w:r w:rsidR="00C64050">
        <w:rPr>
          <w:szCs w:val="20"/>
        </w:rPr>
        <w:t xml:space="preserve"> </w:t>
      </w:r>
      <w:r w:rsidRPr="00B61E18">
        <w:rPr>
          <w:szCs w:val="20"/>
        </w:rPr>
        <w:t>the</w:t>
      </w:r>
      <w:r w:rsidR="00C64050">
        <w:rPr>
          <w:szCs w:val="20"/>
        </w:rPr>
        <w:t xml:space="preserve"> </w:t>
      </w:r>
      <w:r w:rsidRPr="00B61E18">
        <w:rPr>
          <w:szCs w:val="20"/>
        </w:rPr>
        <w:t>return</w:t>
      </w:r>
      <w:r w:rsidR="00C64050">
        <w:rPr>
          <w:szCs w:val="20"/>
        </w:rPr>
        <w:t xml:space="preserve"> </w:t>
      </w:r>
      <w:r w:rsidRPr="00B61E18">
        <w:rPr>
          <w:szCs w:val="20"/>
        </w:rPr>
        <w:t>shall</w:t>
      </w:r>
      <w:r w:rsidR="00C64050">
        <w:rPr>
          <w:szCs w:val="20"/>
        </w:rPr>
        <w:t xml:space="preserve"> </w:t>
      </w:r>
      <w:r w:rsidRPr="00B61E18">
        <w:rPr>
          <w:szCs w:val="20"/>
        </w:rPr>
        <w:t>be</w:t>
      </w:r>
      <w:r w:rsidR="00C64050">
        <w:rPr>
          <w:szCs w:val="20"/>
        </w:rPr>
        <w:t xml:space="preserve"> </w:t>
      </w:r>
      <w:r w:rsidRPr="00B61E18">
        <w:rPr>
          <w:szCs w:val="20"/>
        </w:rPr>
        <w:t>reduced</w:t>
      </w:r>
      <w:r w:rsidR="00C64050">
        <w:rPr>
          <w:szCs w:val="20"/>
        </w:rPr>
        <w:t xml:space="preserve"> </w:t>
      </w:r>
      <w:r w:rsidRPr="00B61E18">
        <w:rPr>
          <w:szCs w:val="20"/>
        </w:rPr>
        <w:t>by</w:t>
      </w:r>
      <w:r w:rsidR="00C64050">
        <w:rPr>
          <w:szCs w:val="20"/>
        </w:rPr>
        <w:t xml:space="preserve"> </w:t>
      </w:r>
      <w:r w:rsidRPr="00B61E18">
        <w:rPr>
          <w:szCs w:val="20"/>
        </w:rPr>
        <w:t>the</w:t>
      </w:r>
      <w:r w:rsidR="00C64050">
        <w:rPr>
          <w:szCs w:val="20"/>
        </w:rPr>
        <w:t xml:space="preserve"> </w:t>
      </w:r>
      <w:r w:rsidRPr="00B61E18">
        <w:rPr>
          <w:szCs w:val="20"/>
        </w:rPr>
        <w:t>amount</w:t>
      </w:r>
      <w:r w:rsidR="00C64050">
        <w:rPr>
          <w:szCs w:val="20"/>
        </w:rPr>
        <w:t xml:space="preserve"> </w:t>
      </w:r>
      <w:r w:rsidRPr="00B61E18">
        <w:rPr>
          <w:szCs w:val="20"/>
        </w:rPr>
        <w:t>of</w:t>
      </w:r>
      <w:r w:rsidR="00C64050">
        <w:rPr>
          <w:szCs w:val="20"/>
        </w:rPr>
        <w:t xml:space="preserve"> </w:t>
      </w:r>
      <w:r w:rsidRPr="00B61E18">
        <w:rPr>
          <w:szCs w:val="20"/>
        </w:rPr>
        <w:t>any</w:t>
      </w:r>
      <w:r w:rsidR="00C64050">
        <w:rPr>
          <w:szCs w:val="20"/>
        </w:rPr>
        <w:t xml:space="preserve"> </w:t>
      </w:r>
      <w:r w:rsidRPr="00B61E18">
        <w:rPr>
          <w:szCs w:val="20"/>
        </w:rPr>
        <w:t>part</w:t>
      </w:r>
      <w:r w:rsidR="00C64050">
        <w:rPr>
          <w:szCs w:val="20"/>
        </w:rPr>
        <w:t xml:space="preserve"> </w:t>
      </w:r>
      <w:r w:rsidRPr="00B61E18">
        <w:rPr>
          <w:szCs w:val="20"/>
        </w:rPr>
        <w:t>of</w:t>
      </w:r>
      <w:r w:rsidR="00C64050">
        <w:rPr>
          <w:szCs w:val="20"/>
        </w:rPr>
        <w:t xml:space="preserve"> </w:t>
      </w:r>
      <w:r w:rsidRPr="00B61E18">
        <w:rPr>
          <w:szCs w:val="20"/>
        </w:rPr>
        <w:t>the</w:t>
      </w:r>
      <w:r w:rsidR="00C64050">
        <w:rPr>
          <w:szCs w:val="20"/>
        </w:rPr>
        <w:t xml:space="preserve"> </w:t>
      </w:r>
      <w:r w:rsidRPr="00B61E18">
        <w:rPr>
          <w:szCs w:val="20"/>
        </w:rPr>
        <w:t>tax</w:t>
      </w:r>
      <w:r w:rsidR="00C64050">
        <w:rPr>
          <w:szCs w:val="20"/>
        </w:rPr>
        <w:t xml:space="preserve"> </w:t>
      </w:r>
      <w:r w:rsidRPr="00B61E18">
        <w:rPr>
          <w:szCs w:val="20"/>
        </w:rPr>
        <w:t>which</w:t>
      </w:r>
      <w:r w:rsidR="00C64050">
        <w:rPr>
          <w:szCs w:val="20"/>
        </w:rPr>
        <w:t xml:space="preserve"> </w:t>
      </w:r>
      <w:r w:rsidRPr="00B61E18">
        <w:rPr>
          <w:szCs w:val="20"/>
        </w:rPr>
        <w:t>is</w:t>
      </w:r>
      <w:r w:rsidR="00C64050">
        <w:rPr>
          <w:szCs w:val="20"/>
        </w:rPr>
        <w:t xml:space="preserve"> </w:t>
      </w:r>
      <w:r w:rsidRPr="00B61E18">
        <w:rPr>
          <w:szCs w:val="20"/>
        </w:rPr>
        <w:t>paid</w:t>
      </w:r>
      <w:r w:rsidR="00C64050">
        <w:rPr>
          <w:szCs w:val="20"/>
        </w:rPr>
        <w:t xml:space="preserve"> </w:t>
      </w:r>
      <w:r w:rsidRPr="00B61E18">
        <w:rPr>
          <w:szCs w:val="20"/>
        </w:rPr>
        <w:t>on</w:t>
      </w:r>
      <w:r w:rsidR="00C64050">
        <w:rPr>
          <w:szCs w:val="20"/>
        </w:rPr>
        <w:t xml:space="preserve"> </w:t>
      </w:r>
      <w:r w:rsidRPr="00B61E18">
        <w:rPr>
          <w:szCs w:val="20"/>
        </w:rPr>
        <w:t>or</w:t>
      </w:r>
      <w:r w:rsidR="00C64050">
        <w:rPr>
          <w:szCs w:val="20"/>
        </w:rPr>
        <w:t xml:space="preserve"> </w:t>
      </w:r>
      <w:r w:rsidRPr="00B61E18">
        <w:rPr>
          <w:szCs w:val="20"/>
        </w:rPr>
        <w:t>before</w:t>
      </w:r>
      <w:r w:rsidR="00C64050">
        <w:rPr>
          <w:szCs w:val="20"/>
        </w:rPr>
        <w:t xml:space="preserve"> </w:t>
      </w:r>
      <w:r w:rsidRPr="00B61E18">
        <w:rPr>
          <w:szCs w:val="20"/>
        </w:rPr>
        <w:t>the</w:t>
      </w:r>
      <w:r w:rsidR="00C64050">
        <w:rPr>
          <w:szCs w:val="20"/>
        </w:rPr>
        <w:t xml:space="preserve"> </w:t>
      </w:r>
      <w:r w:rsidRPr="00B61E18">
        <w:rPr>
          <w:szCs w:val="20"/>
        </w:rPr>
        <w:t>date</w:t>
      </w:r>
      <w:r w:rsidR="00C64050">
        <w:rPr>
          <w:szCs w:val="20"/>
        </w:rPr>
        <w:t xml:space="preserve"> </w:t>
      </w:r>
      <w:r w:rsidRPr="00B61E18">
        <w:rPr>
          <w:szCs w:val="20"/>
        </w:rPr>
        <w:t>prescribed</w:t>
      </w:r>
      <w:r w:rsidR="00C64050">
        <w:rPr>
          <w:szCs w:val="20"/>
        </w:rPr>
        <w:t xml:space="preserve"> </w:t>
      </w:r>
      <w:r w:rsidRPr="00B61E18">
        <w:rPr>
          <w:szCs w:val="20"/>
        </w:rPr>
        <w:t>for</w:t>
      </w:r>
      <w:r w:rsidR="00C64050">
        <w:rPr>
          <w:szCs w:val="20"/>
        </w:rPr>
        <w:t xml:space="preserve"> </w:t>
      </w:r>
      <w:r w:rsidRPr="00B61E18">
        <w:rPr>
          <w:szCs w:val="20"/>
        </w:rPr>
        <w:t>payment</w:t>
      </w:r>
      <w:r w:rsidR="00C64050">
        <w:rPr>
          <w:szCs w:val="20"/>
        </w:rPr>
        <w:t xml:space="preserve"> </w:t>
      </w:r>
      <w:r w:rsidRPr="00B61E18">
        <w:rPr>
          <w:szCs w:val="20"/>
        </w:rPr>
        <w:t>of</w:t>
      </w:r>
      <w:r w:rsidR="00C64050">
        <w:rPr>
          <w:szCs w:val="20"/>
        </w:rPr>
        <w:t xml:space="preserve"> </w:t>
      </w:r>
      <w:r w:rsidRPr="00B61E18">
        <w:rPr>
          <w:szCs w:val="20"/>
        </w:rPr>
        <w:t>the</w:t>
      </w:r>
      <w:r w:rsidR="00C64050">
        <w:rPr>
          <w:szCs w:val="20"/>
        </w:rPr>
        <w:t xml:space="preserve"> </w:t>
      </w:r>
      <w:r w:rsidRPr="00B61E18">
        <w:rPr>
          <w:szCs w:val="20"/>
        </w:rPr>
        <w:t>tax</w:t>
      </w:r>
      <w:r w:rsidR="00C64050">
        <w:rPr>
          <w:szCs w:val="20"/>
        </w:rPr>
        <w:t xml:space="preserve"> </w:t>
      </w:r>
      <w:r w:rsidRPr="00B61E18">
        <w:rPr>
          <w:szCs w:val="20"/>
        </w:rPr>
        <w:t>and</w:t>
      </w:r>
      <w:r w:rsidR="00C64050">
        <w:rPr>
          <w:szCs w:val="20"/>
        </w:rPr>
        <w:t xml:space="preserve"> </w:t>
      </w:r>
      <w:r w:rsidRPr="00B61E18">
        <w:rPr>
          <w:szCs w:val="20"/>
        </w:rPr>
        <w:t>by</w:t>
      </w:r>
      <w:r w:rsidR="00C64050">
        <w:rPr>
          <w:szCs w:val="20"/>
        </w:rPr>
        <w:t xml:space="preserve"> </w:t>
      </w:r>
      <w:r w:rsidRPr="00B61E18">
        <w:rPr>
          <w:szCs w:val="20"/>
        </w:rPr>
        <w:t>the</w:t>
      </w:r>
      <w:r w:rsidR="00C64050">
        <w:rPr>
          <w:szCs w:val="20"/>
        </w:rPr>
        <w:t xml:space="preserve"> </w:t>
      </w:r>
      <w:r w:rsidRPr="00B61E18">
        <w:rPr>
          <w:szCs w:val="20"/>
        </w:rPr>
        <w:t>amount</w:t>
      </w:r>
      <w:r w:rsidR="00C64050">
        <w:rPr>
          <w:szCs w:val="20"/>
        </w:rPr>
        <w:t xml:space="preserve"> </w:t>
      </w:r>
      <w:r w:rsidRPr="00B61E18">
        <w:rPr>
          <w:szCs w:val="20"/>
        </w:rPr>
        <w:t>of</w:t>
      </w:r>
      <w:r w:rsidR="00C64050">
        <w:rPr>
          <w:szCs w:val="20"/>
        </w:rPr>
        <w:t xml:space="preserve"> </w:t>
      </w:r>
      <w:r w:rsidRPr="00B61E18">
        <w:rPr>
          <w:szCs w:val="20"/>
        </w:rPr>
        <w:t>any</w:t>
      </w:r>
      <w:r w:rsidR="00C64050">
        <w:rPr>
          <w:szCs w:val="20"/>
        </w:rPr>
        <w:t xml:space="preserve"> </w:t>
      </w:r>
      <w:r w:rsidRPr="00B61E18">
        <w:rPr>
          <w:szCs w:val="20"/>
        </w:rPr>
        <w:t>credit</w:t>
      </w:r>
      <w:r w:rsidR="00C64050">
        <w:rPr>
          <w:szCs w:val="20"/>
        </w:rPr>
        <w:t xml:space="preserve"> </w:t>
      </w:r>
      <w:r w:rsidRPr="00B61E18">
        <w:rPr>
          <w:szCs w:val="20"/>
        </w:rPr>
        <w:t>against</w:t>
      </w:r>
      <w:r w:rsidR="00C64050">
        <w:rPr>
          <w:szCs w:val="20"/>
        </w:rPr>
        <w:t xml:space="preserve"> </w:t>
      </w:r>
      <w:r w:rsidRPr="00B61E18">
        <w:rPr>
          <w:szCs w:val="20"/>
        </w:rPr>
        <w:t>the</w:t>
      </w:r>
      <w:r w:rsidR="00C64050">
        <w:rPr>
          <w:szCs w:val="20"/>
        </w:rPr>
        <w:t xml:space="preserve"> </w:t>
      </w:r>
      <w:r w:rsidRPr="00B61E18">
        <w:rPr>
          <w:szCs w:val="20"/>
        </w:rPr>
        <w:t>tax</w:t>
      </w:r>
      <w:r w:rsidR="00C64050">
        <w:rPr>
          <w:szCs w:val="20"/>
        </w:rPr>
        <w:t xml:space="preserve"> </w:t>
      </w:r>
      <w:r w:rsidRPr="00B61E18">
        <w:rPr>
          <w:szCs w:val="20"/>
        </w:rPr>
        <w:t>which</w:t>
      </w:r>
      <w:r w:rsidR="00C64050">
        <w:rPr>
          <w:szCs w:val="20"/>
        </w:rPr>
        <w:t xml:space="preserve"> </w:t>
      </w:r>
      <w:r w:rsidRPr="00B61E18">
        <w:rPr>
          <w:szCs w:val="20"/>
        </w:rPr>
        <w:t>may</w:t>
      </w:r>
      <w:r w:rsidR="00C64050">
        <w:rPr>
          <w:szCs w:val="20"/>
        </w:rPr>
        <w:t xml:space="preserve"> </w:t>
      </w:r>
      <w:r w:rsidRPr="00B61E18">
        <w:rPr>
          <w:szCs w:val="20"/>
        </w:rPr>
        <w:t>be</w:t>
      </w:r>
      <w:r w:rsidR="00C64050">
        <w:rPr>
          <w:szCs w:val="20"/>
        </w:rPr>
        <w:t xml:space="preserve"> </w:t>
      </w:r>
      <w:r w:rsidRPr="00B61E18">
        <w:rPr>
          <w:szCs w:val="20"/>
        </w:rPr>
        <w:t>claimed</w:t>
      </w:r>
      <w:r w:rsidR="00C64050">
        <w:rPr>
          <w:szCs w:val="20"/>
        </w:rPr>
        <w:t xml:space="preserve"> </w:t>
      </w:r>
      <w:r w:rsidRPr="00B61E18">
        <w:rPr>
          <w:szCs w:val="20"/>
        </w:rPr>
        <w:t>on</w:t>
      </w:r>
      <w:r w:rsidR="00C64050">
        <w:rPr>
          <w:szCs w:val="20"/>
        </w:rPr>
        <w:t xml:space="preserve"> </w:t>
      </w:r>
      <w:r w:rsidRPr="00B61E18">
        <w:rPr>
          <w:szCs w:val="20"/>
        </w:rPr>
        <w:t>the</w:t>
      </w:r>
      <w:r w:rsidR="00C64050">
        <w:rPr>
          <w:szCs w:val="20"/>
        </w:rPr>
        <w:t xml:space="preserve"> </w:t>
      </w:r>
      <w:r w:rsidRPr="00B61E18">
        <w:rPr>
          <w:szCs w:val="20"/>
        </w:rPr>
        <w:t>return,</w:t>
      </w:r>
    </w:p>
    <w:p w:rsidR="00A27958" w:rsidRPr="00B61E18" w:rsidRDefault="00A27958" w:rsidP="00A27958">
      <w:pPr>
        <w:pStyle w:val="QS10"/>
        <w:ind w:left="2592"/>
        <w:rPr>
          <w:szCs w:val="20"/>
        </w:rPr>
      </w:pPr>
      <w:r w:rsidRPr="00B61E18">
        <w:rPr>
          <w:szCs w:val="20"/>
        </w:rPr>
        <w:t>(2)</w:t>
      </w:r>
      <w:r w:rsidR="00C64050">
        <w:rPr>
          <w:szCs w:val="20"/>
        </w:rPr>
        <w:t xml:space="preserve"> </w:t>
      </w:r>
      <w:r w:rsidRPr="00B61E18">
        <w:rPr>
          <w:szCs w:val="20"/>
        </w:rPr>
        <w:t>subsection</w:t>
      </w:r>
      <w:r w:rsidR="00C64050">
        <w:rPr>
          <w:szCs w:val="20"/>
        </w:rPr>
        <w:t xml:space="preserve"> </w:t>
      </w:r>
      <w:r w:rsidRPr="00B61E18">
        <w:rPr>
          <w:szCs w:val="20"/>
        </w:rPr>
        <w:t>(a)(2),</w:t>
      </w:r>
      <w:r w:rsidR="00C64050">
        <w:rPr>
          <w:szCs w:val="20"/>
        </w:rPr>
        <w:t xml:space="preserve"> </w:t>
      </w:r>
      <w:r w:rsidRPr="00B61E18">
        <w:rPr>
          <w:szCs w:val="20"/>
        </w:rPr>
        <w:t>the</w:t>
      </w:r>
      <w:r w:rsidR="00C64050">
        <w:rPr>
          <w:szCs w:val="20"/>
        </w:rPr>
        <w:t xml:space="preserve"> </w:t>
      </w:r>
      <w:r w:rsidRPr="00B61E18">
        <w:rPr>
          <w:szCs w:val="20"/>
        </w:rPr>
        <w:t>amount</w:t>
      </w:r>
      <w:r w:rsidR="00C64050">
        <w:rPr>
          <w:szCs w:val="20"/>
        </w:rPr>
        <w:t xml:space="preserve"> </w:t>
      </w:r>
      <w:r w:rsidRPr="00B61E18">
        <w:rPr>
          <w:szCs w:val="20"/>
        </w:rPr>
        <w:t>of</w:t>
      </w:r>
      <w:r w:rsidR="00C64050">
        <w:rPr>
          <w:szCs w:val="20"/>
        </w:rPr>
        <w:t xml:space="preserve"> </w:t>
      </w:r>
      <w:r w:rsidRPr="00B61E18">
        <w:rPr>
          <w:szCs w:val="20"/>
        </w:rPr>
        <w:t>tax</w:t>
      </w:r>
      <w:r w:rsidR="00C64050">
        <w:rPr>
          <w:szCs w:val="20"/>
        </w:rPr>
        <w:t xml:space="preserve"> </w:t>
      </w:r>
      <w:r w:rsidRPr="00B61E18">
        <w:rPr>
          <w:szCs w:val="20"/>
        </w:rPr>
        <w:t>shown</w:t>
      </w:r>
      <w:r w:rsidR="00C64050">
        <w:rPr>
          <w:szCs w:val="20"/>
        </w:rPr>
        <w:t xml:space="preserve"> </w:t>
      </w:r>
      <w:r w:rsidRPr="00B61E18">
        <w:rPr>
          <w:szCs w:val="20"/>
        </w:rPr>
        <w:t>on</w:t>
      </w:r>
      <w:r w:rsidR="00C64050">
        <w:rPr>
          <w:szCs w:val="20"/>
        </w:rPr>
        <w:t xml:space="preserve"> </w:t>
      </w:r>
      <w:r w:rsidRPr="00B61E18">
        <w:rPr>
          <w:szCs w:val="20"/>
        </w:rPr>
        <w:t>the</w:t>
      </w:r>
      <w:r w:rsidR="00C64050">
        <w:rPr>
          <w:szCs w:val="20"/>
        </w:rPr>
        <w:t xml:space="preserve"> </w:t>
      </w:r>
      <w:r w:rsidRPr="00B61E18">
        <w:rPr>
          <w:szCs w:val="20"/>
        </w:rPr>
        <w:t>return</w:t>
      </w:r>
      <w:r w:rsidR="00C64050">
        <w:rPr>
          <w:szCs w:val="20"/>
        </w:rPr>
        <w:t xml:space="preserve"> </w:t>
      </w:r>
      <w:r w:rsidRPr="00B61E18">
        <w:rPr>
          <w:szCs w:val="20"/>
        </w:rPr>
        <w:t>shall,</w:t>
      </w:r>
      <w:r w:rsidR="00C64050">
        <w:rPr>
          <w:szCs w:val="20"/>
        </w:rPr>
        <w:t xml:space="preserve"> </w:t>
      </w:r>
      <w:r w:rsidRPr="00B61E18">
        <w:rPr>
          <w:szCs w:val="20"/>
        </w:rPr>
        <w:t>for</w:t>
      </w:r>
      <w:r w:rsidR="00C64050">
        <w:rPr>
          <w:szCs w:val="20"/>
        </w:rPr>
        <w:t xml:space="preserve"> </w:t>
      </w:r>
      <w:r w:rsidRPr="00B61E18">
        <w:rPr>
          <w:szCs w:val="20"/>
        </w:rPr>
        <w:t>purposes</w:t>
      </w:r>
      <w:r w:rsidR="00C64050">
        <w:rPr>
          <w:szCs w:val="20"/>
        </w:rPr>
        <w:t xml:space="preserve"> </w:t>
      </w:r>
      <w:r w:rsidRPr="00B61E18">
        <w:rPr>
          <w:szCs w:val="20"/>
        </w:rPr>
        <w:t>of</w:t>
      </w:r>
      <w:r w:rsidR="00C64050">
        <w:rPr>
          <w:szCs w:val="20"/>
        </w:rPr>
        <w:t xml:space="preserve"> </w:t>
      </w:r>
      <w:r w:rsidRPr="00B61E18">
        <w:rPr>
          <w:szCs w:val="20"/>
        </w:rPr>
        <w:t>computing</w:t>
      </w:r>
      <w:r w:rsidR="00C64050">
        <w:rPr>
          <w:szCs w:val="20"/>
        </w:rPr>
        <w:t xml:space="preserve"> </w:t>
      </w:r>
      <w:r w:rsidRPr="00B61E18">
        <w:rPr>
          <w:szCs w:val="20"/>
        </w:rPr>
        <w:t>the</w:t>
      </w:r>
      <w:r w:rsidR="00C64050">
        <w:rPr>
          <w:szCs w:val="20"/>
        </w:rPr>
        <w:t xml:space="preserve"> </w:t>
      </w:r>
      <w:r w:rsidRPr="00B61E18">
        <w:rPr>
          <w:szCs w:val="20"/>
        </w:rPr>
        <w:t>addition</w:t>
      </w:r>
      <w:r w:rsidR="00C64050">
        <w:rPr>
          <w:szCs w:val="20"/>
        </w:rPr>
        <w:t xml:space="preserve"> </w:t>
      </w:r>
      <w:r w:rsidRPr="00B61E18">
        <w:rPr>
          <w:szCs w:val="20"/>
        </w:rPr>
        <w:t>for</w:t>
      </w:r>
      <w:r w:rsidR="00C64050">
        <w:rPr>
          <w:szCs w:val="20"/>
        </w:rPr>
        <w:t xml:space="preserve"> </w:t>
      </w:r>
      <w:r w:rsidRPr="00B61E18">
        <w:rPr>
          <w:szCs w:val="20"/>
        </w:rPr>
        <w:t>any</w:t>
      </w:r>
      <w:r w:rsidR="00C64050">
        <w:rPr>
          <w:szCs w:val="20"/>
        </w:rPr>
        <w:t xml:space="preserve"> </w:t>
      </w:r>
      <w:r w:rsidRPr="00B61E18">
        <w:rPr>
          <w:szCs w:val="20"/>
        </w:rPr>
        <w:t>month,</w:t>
      </w:r>
      <w:r w:rsidR="00C64050">
        <w:rPr>
          <w:szCs w:val="20"/>
        </w:rPr>
        <w:t xml:space="preserve"> </w:t>
      </w:r>
      <w:r w:rsidRPr="00B61E18">
        <w:rPr>
          <w:szCs w:val="20"/>
        </w:rPr>
        <w:t>be</w:t>
      </w:r>
      <w:r w:rsidR="00C64050">
        <w:rPr>
          <w:szCs w:val="20"/>
        </w:rPr>
        <w:t xml:space="preserve"> </w:t>
      </w:r>
      <w:r w:rsidRPr="00B61E18">
        <w:rPr>
          <w:szCs w:val="20"/>
        </w:rPr>
        <w:t>reduced</w:t>
      </w:r>
      <w:r w:rsidR="00C64050">
        <w:rPr>
          <w:szCs w:val="20"/>
        </w:rPr>
        <w:t xml:space="preserve"> </w:t>
      </w:r>
      <w:r w:rsidRPr="00B61E18">
        <w:rPr>
          <w:szCs w:val="20"/>
        </w:rPr>
        <w:t>by</w:t>
      </w:r>
      <w:r w:rsidR="00C64050">
        <w:rPr>
          <w:szCs w:val="20"/>
        </w:rPr>
        <w:t xml:space="preserve"> </w:t>
      </w:r>
      <w:r w:rsidRPr="00B61E18">
        <w:rPr>
          <w:szCs w:val="20"/>
        </w:rPr>
        <w:t>the</w:t>
      </w:r>
      <w:r w:rsidR="00C64050">
        <w:rPr>
          <w:szCs w:val="20"/>
        </w:rPr>
        <w:t xml:space="preserve"> </w:t>
      </w:r>
      <w:r w:rsidRPr="00B61E18">
        <w:rPr>
          <w:szCs w:val="20"/>
        </w:rPr>
        <w:t>amount</w:t>
      </w:r>
      <w:r w:rsidR="00C64050">
        <w:rPr>
          <w:szCs w:val="20"/>
        </w:rPr>
        <w:t xml:space="preserve"> </w:t>
      </w:r>
      <w:r w:rsidRPr="00B61E18">
        <w:rPr>
          <w:szCs w:val="20"/>
        </w:rPr>
        <w:t>of</w:t>
      </w:r>
      <w:r w:rsidR="00C64050">
        <w:rPr>
          <w:szCs w:val="20"/>
        </w:rPr>
        <w:t xml:space="preserve"> </w:t>
      </w:r>
      <w:r w:rsidRPr="00B61E18">
        <w:rPr>
          <w:szCs w:val="20"/>
        </w:rPr>
        <w:t>any</w:t>
      </w:r>
      <w:r w:rsidR="00C64050">
        <w:rPr>
          <w:szCs w:val="20"/>
        </w:rPr>
        <w:t xml:space="preserve"> </w:t>
      </w:r>
      <w:r w:rsidRPr="00B61E18">
        <w:rPr>
          <w:szCs w:val="20"/>
        </w:rPr>
        <w:t>part</w:t>
      </w:r>
      <w:r w:rsidR="00C64050">
        <w:rPr>
          <w:szCs w:val="20"/>
        </w:rPr>
        <w:t xml:space="preserve"> </w:t>
      </w:r>
      <w:r w:rsidRPr="00B61E18">
        <w:rPr>
          <w:szCs w:val="20"/>
        </w:rPr>
        <w:t>of</w:t>
      </w:r>
      <w:r w:rsidR="00C64050">
        <w:rPr>
          <w:szCs w:val="20"/>
        </w:rPr>
        <w:t xml:space="preserve"> </w:t>
      </w:r>
      <w:r w:rsidRPr="00B61E18">
        <w:rPr>
          <w:szCs w:val="20"/>
        </w:rPr>
        <w:t>the</w:t>
      </w:r>
      <w:r w:rsidR="00C64050">
        <w:rPr>
          <w:szCs w:val="20"/>
        </w:rPr>
        <w:t xml:space="preserve"> </w:t>
      </w:r>
      <w:r w:rsidRPr="00B61E18">
        <w:rPr>
          <w:szCs w:val="20"/>
        </w:rPr>
        <w:t>tax</w:t>
      </w:r>
      <w:r w:rsidR="00C64050">
        <w:rPr>
          <w:szCs w:val="20"/>
        </w:rPr>
        <w:t xml:space="preserve"> </w:t>
      </w:r>
      <w:r w:rsidRPr="00B61E18">
        <w:rPr>
          <w:szCs w:val="20"/>
        </w:rPr>
        <w:t>which</w:t>
      </w:r>
      <w:r w:rsidR="00C64050">
        <w:rPr>
          <w:szCs w:val="20"/>
        </w:rPr>
        <w:t xml:space="preserve"> </w:t>
      </w:r>
      <w:r w:rsidRPr="00B61E18">
        <w:rPr>
          <w:szCs w:val="20"/>
        </w:rPr>
        <w:t>is</w:t>
      </w:r>
      <w:r w:rsidR="00C64050">
        <w:rPr>
          <w:szCs w:val="20"/>
        </w:rPr>
        <w:t xml:space="preserve"> </w:t>
      </w:r>
      <w:r w:rsidRPr="00B61E18">
        <w:rPr>
          <w:szCs w:val="20"/>
        </w:rPr>
        <w:t>paid</w:t>
      </w:r>
      <w:r w:rsidR="00C64050">
        <w:rPr>
          <w:szCs w:val="20"/>
        </w:rPr>
        <w:t xml:space="preserve"> </w:t>
      </w:r>
      <w:r w:rsidRPr="00B61E18">
        <w:rPr>
          <w:szCs w:val="20"/>
        </w:rPr>
        <w:t>on</w:t>
      </w:r>
      <w:r w:rsidR="00C64050">
        <w:rPr>
          <w:szCs w:val="20"/>
        </w:rPr>
        <w:t xml:space="preserve"> </w:t>
      </w:r>
      <w:r w:rsidRPr="00B61E18">
        <w:rPr>
          <w:szCs w:val="20"/>
        </w:rPr>
        <w:t>or</w:t>
      </w:r>
      <w:r w:rsidR="00C64050">
        <w:rPr>
          <w:szCs w:val="20"/>
        </w:rPr>
        <w:t xml:space="preserve"> </w:t>
      </w:r>
      <w:r w:rsidRPr="00B61E18">
        <w:rPr>
          <w:szCs w:val="20"/>
        </w:rPr>
        <w:t>before</w:t>
      </w:r>
      <w:r w:rsidR="00C64050">
        <w:rPr>
          <w:szCs w:val="20"/>
        </w:rPr>
        <w:t xml:space="preserve"> </w:t>
      </w:r>
      <w:r w:rsidRPr="00B61E18">
        <w:rPr>
          <w:szCs w:val="20"/>
        </w:rPr>
        <w:t>the</w:t>
      </w:r>
      <w:r w:rsidR="00C64050">
        <w:rPr>
          <w:szCs w:val="20"/>
        </w:rPr>
        <w:t xml:space="preserve"> </w:t>
      </w:r>
      <w:r w:rsidRPr="00B61E18">
        <w:rPr>
          <w:szCs w:val="20"/>
        </w:rPr>
        <w:t>beginning</w:t>
      </w:r>
      <w:r w:rsidR="00C64050">
        <w:rPr>
          <w:szCs w:val="20"/>
        </w:rPr>
        <w:t xml:space="preserve"> </w:t>
      </w:r>
      <w:r w:rsidRPr="00B61E18">
        <w:rPr>
          <w:szCs w:val="20"/>
        </w:rPr>
        <w:t>of</w:t>
      </w:r>
      <w:r w:rsidR="00C64050">
        <w:rPr>
          <w:szCs w:val="20"/>
        </w:rPr>
        <w:t xml:space="preserve"> </w:t>
      </w:r>
      <w:r w:rsidRPr="00B61E18">
        <w:rPr>
          <w:szCs w:val="20"/>
        </w:rPr>
        <w:t>such</w:t>
      </w:r>
      <w:r w:rsidR="00C64050">
        <w:rPr>
          <w:szCs w:val="20"/>
        </w:rPr>
        <w:t xml:space="preserve"> </w:t>
      </w:r>
      <w:r w:rsidRPr="00B61E18">
        <w:rPr>
          <w:szCs w:val="20"/>
        </w:rPr>
        <w:t>month</w:t>
      </w:r>
      <w:r w:rsidR="00C64050">
        <w:rPr>
          <w:szCs w:val="20"/>
        </w:rPr>
        <w:t xml:space="preserve"> </w:t>
      </w:r>
      <w:r w:rsidRPr="00B61E18">
        <w:rPr>
          <w:szCs w:val="20"/>
        </w:rPr>
        <w:t>and</w:t>
      </w:r>
      <w:r w:rsidR="00C64050">
        <w:rPr>
          <w:szCs w:val="20"/>
        </w:rPr>
        <w:t xml:space="preserve"> </w:t>
      </w:r>
      <w:r w:rsidRPr="00B61E18">
        <w:rPr>
          <w:szCs w:val="20"/>
        </w:rPr>
        <w:t>by</w:t>
      </w:r>
      <w:r w:rsidR="00C64050">
        <w:rPr>
          <w:szCs w:val="20"/>
        </w:rPr>
        <w:t xml:space="preserve"> </w:t>
      </w:r>
      <w:r w:rsidRPr="00B61E18">
        <w:rPr>
          <w:szCs w:val="20"/>
        </w:rPr>
        <w:t>the</w:t>
      </w:r>
      <w:r w:rsidR="00C64050">
        <w:rPr>
          <w:szCs w:val="20"/>
        </w:rPr>
        <w:t xml:space="preserve"> </w:t>
      </w:r>
      <w:r w:rsidRPr="00B61E18">
        <w:rPr>
          <w:szCs w:val="20"/>
        </w:rPr>
        <w:t>amount</w:t>
      </w:r>
      <w:r w:rsidR="00C64050">
        <w:rPr>
          <w:szCs w:val="20"/>
        </w:rPr>
        <w:t xml:space="preserve"> </w:t>
      </w:r>
      <w:r w:rsidRPr="00B61E18">
        <w:rPr>
          <w:szCs w:val="20"/>
        </w:rPr>
        <w:t>of</w:t>
      </w:r>
      <w:r w:rsidR="00C64050">
        <w:rPr>
          <w:szCs w:val="20"/>
        </w:rPr>
        <w:t xml:space="preserve"> </w:t>
      </w:r>
      <w:r w:rsidRPr="00B61E18">
        <w:rPr>
          <w:szCs w:val="20"/>
        </w:rPr>
        <w:t>any</w:t>
      </w:r>
      <w:r w:rsidR="00C64050">
        <w:rPr>
          <w:szCs w:val="20"/>
        </w:rPr>
        <w:t xml:space="preserve"> </w:t>
      </w:r>
      <w:r w:rsidRPr="00B61E18">
        <w:rPr>
          <w:szCs w:val="20"/>
        </w:rPr>
        <w:t>credit</w:t>
      </w:r>
      <w:r w:rsidR="00C64050">
        <w:rPr>
          <w:szCs w:val="20"/>
        </w:rPr>
        <w:t xml:space="preserve"> </w:t>
      </w:r>
      <w:r w:rsidRPr="00B61E18">
        <w:rPr>
          <w:szCs w:val="20"/>
        </w:rPr>
        <w:t>against</w:t>
      </w:r>
      <w:r w:rsidR="00C64050">
        <w:rPr>
          <w:szCs w:val="20"/>
        </w:rPr>
        <w:t xml:space="preserve"> </w:t>
      </w:r>
      <w:r w:rsidRPr="00B61E18">
        <w:rPr>
          <w:szCs w:val="20"/>
        </w:rPr>
        <w:t>the</w:t>
      </w:r>
      <w:r w:rsidR="00C64050">
        <w:rPr>
          <w:szCs w:val="20"/>
        </w:rPr>
        <w:t xml:space="preserve"> </w:t>
      </w:r>
      <w:r w:rsidRPr="00B61E18">
        <w:rPr>
          <w:szCs w:val="20"/>
        </w:rPr>
        <w:t>tax</w:t>
      </w:r>
      <w:r w:rsidR="00C64050">
        <w:rPr>
          <w:szCs w:val="20"/>
        </w:rPr>
        <w:t xml:space="preserve"> </w:t>
      </w:r>
      <w:r w:rsidRPr="00B61E18">
        <w:rPr>
          <w:szCs w:val="20"/>
        </w:rPr>
        <w:t>which</w:t>
      </w:r>
      <w:r w:rsidR="00C64050">
        <w:rPr>
          <w:szCs w:val="20"/>
        </w:rPr>
        <w:t xml:space="preserve"> </w:t>
      </w:r>
      <w:r w:rsidRPr="00B61E18">
        <w:rPr>
          <w:szCs w:val="20"/>
        </w:rPr>
        <w:t>may</w:t>
      </w:r>
      <w:r w:rsidR="00C64050">
        <w:rPr>
          <w:szCs w:val="20"/>
        </w:rPr>
        <w:t xml:space="preserve"> </w:t>
      </w:r>
      <w:r w:rsidRPr="00B61E18">
        <w:rPr>
          <w:szCs w:val="20"/>
        </w:rPr>
        <w:t>be</w:t>
      </w:r>
      <w:r w:rsidR="00C64050">
        <w:rPr>
          <w:szCs w:val="20"/>
        </w:rPr>
        <w:t xml:space="preserve"> </w:t>
      </w:r>
      <w:r w:rsidRPr="00B61E18">
        <w:rPr>
          <w:szCs w:val="20"/>
        </w:rPr>
        <w:t>claimed</w:t>
      </w:r>
      <w:r w:rsidR="00C64050">
        <w:rPr>
          <w:szCs w:val="20"/>
        </w:rPr>
        <w:t xml:space="preserve"> </w:t>
      </w:r>
      <w:r w:rsidRPr="00B61E18">
        <w:rPr>
          <w:szCs w:val="20"/>
        </w:rPr>
        <w:t>on</w:t>
      </w:r>
      <w:r w:rsidR="00C64050">
        <w:rPr>
          <w:szCs w:val="20"/>
        </w:rPr>
        <w:t xml:space="preserve"> </w:t>
      </w:r>
      <w:r w:rsidRPr="00B61E18">
        <w:rPr>
          <w:szCs w:val="20"/>
        </w:rPr>
        <w:t>the</w:t>
      </w:r>
      <w:r w:rsidR="00C64050">
        <w:rPr>
          <w:szCs w:val="20"/>
        </w:rPr>
        <w:t xml:space="preserve"> </w:t>
      </w:r>
      <w:r w:rsidRPr="00B61E18">
        <w:rPr>
          <w:szCs w:val="20"/>
        </w:rPr>
        <w:t>return[.]</w:t>
      </w:r>
    </w:p>
    <w:p w:rsidR="00A27958" w:rsidRPr="00B61E18" w:rsidRDefault="00A27958" w:rsidP="00A27958">
      <w:pPr>
        <w:pStyle w:val="QS10"/>
        <w:rPr>
          <w:szCs w:val="20"/>
        </w:rPr>
      </w:pPr>
      <w:r w:rsidRPr="00B61E18">
        <w:rPr>
          <w:szCs w:val="20"/>
        </w:rPr>
        <w:t>§</w:t>
      </w:r>
      <w:r w:rsidR="00C64050">
        <w:rPr>
          <w:szCs w:val="20"/>
        </w:rPr>
        <w:t xml:space="preserve"> </w:t>
      </w:r>
      <w:r w:rsidRPr="00B61E18">
        <w:rPr>
          <w:szCs w:val="20"/>
        </w:rPr>
        <w:t>6651(b).</w:t>
      </w:r>
    </w:p>
    <w:p w:rsidR="00A27958" w:rsidRPr="00B61E18" w:rsidRDefault="00A27958" w:rsidP="00A27958">
      <w:pPr>
        <w:pStyle w:val="QS10"/>
        <w:rPr>
          <w:szCs w:val="20"/>
        </w:rPr>
      </w:pPr>
      <w:r w:rsidRPr="00B61E18">
        <w:rPr>
          <w:szCs w:val="20"/>
        </w:rPr>
        <w:t>The</w:t>
      </w:r>
      <w:r w:rsidR="00C64050">
        <w:rPr>
          <w:szCs w:val="20"/>
        </w:rPr>
        <w:t xml:space="preserve"> </w:t>
      </w:r>
      <w:r w:rsidRPr="00B61E18">
        <w:rPr>
          <w:szCs w:val="20"/>
        </w:rPr>
        <w:t>parties</w:t>
      </w:r>
      <w:r w:rsidR="00C64050">
        <w:rPr>
          <w:szCs w:val="20"/>
        </w:rPr>
        <w:t xml:space="preserve"> </w:t>
      </w:r>
      <w:r w:rsidRPr="00B61E18">
        <w:rPr>
          <w:szCs w:val="20"/>
        </w:rPr>
        <w:t>disagree</w:t>
      </w:r>
      <w:r w:rsidR="00C64050">
        <w:rPr>
          <w:szCs w:val="20"/>
        </w:rPr>
        <w:t xml:space="preserve"> </w:t>
      </w:r>
      <w:r w:rsidRPr="00B61E18">
        <w:rPr>
          <w:szCs w:val="20"/>
        </w:rPr>
        <w:t>on</w:t>
      </w:r>
      <w:r w:rsidR="00C64050">
        <w:rPr>
          <w:szCs w:val="20"/>
        </w:rPr>
        <w:t xml:space="preserve"> </w:t>
      </w:r>
      <w:r w:rsidRPr="00B61E18">
        <w:rPr>
          <w:szCs w:val="20"/>
        </w:rPr>
        <w:t>how</w:t>
      </w:r>
      <w:r w:rsidR="00C64050">
        <w:rPr>
          <w:szCs w:val="20"/>
        </w:rPr>
        <w:t xml:space="preserve"> </w:t>
      </w:r>
      <w:r w:rsidRPr="00B61E18">
        <w:rPr>
          <w:szCs w:val="20"/>
        </w:rPr>
        <w:t>to</w:t>
      </w:r>
      <w:r w:rsidR="00C64050">
        <w:rPr>
          <w:szCs w:val="20"/>
        </w:rPr>
        <w:t xml:space="preserve"> </w:t>
      </w:r>
      <w:r w:rsidRPr="00B61E18">
        <w:rPr>
          <w:szCs w:val="20"/>
        </w:rPr>
        <w:t>construe</w:t>
      </w:r>
      <w:r w:rsidR="00C64050">
        <w:rPr>
          <w:szCs w:val="20"/>
        </w:rPr>
        <w:t xml:space="preserve"> </w:t>
      </w:r>
      <w:r w:rsidRPr="00B61E18">
        <w:rPr>
          <w:szCs w:val="20"/>
        </w:rPr>
        <w:t>these</w:t>
      </w:r>
      <w:r w:rsidR="00C64050">
        <w:rPr>
          <w:szCs w:val="20"/>
        </w:rPr>
        <w:t xml:space="preserve"> </w:t>
      </w:r>
      <w:r w:rsidRPr="00B61E18">
        <w:rPr>
          <w:szCs w:val="20"/>
        </w:rPr>
        <w:t>provisions.</w:t>
      </w:r>
      <w:r w:rsidR="00C64050">
        <w:rPr>
          <w:szCs w:val="20"/>
        </w:rPr>
        <w:t xml:space="preserve"> </w:t>
      </w:r>
      <w:r w:rsidRPr="00B61E18">
        <w:rPr>
          <w:szCs w:val="20"/>
        </w:rPr>
        <w:t>Plaintiff</w:t>
      </w:r>
      <w:r w:rsidR="00C64050">
        <w:rPr>
          <w:szCs w:val="20"/>
        </w:rPr>
        <w:t xml:space="preserve"> </w:t>
      </w:r>
      <w:r w:rsidRPr="00B61E18">
        <w:rPr>
          <w:szCs w:val="20"/>
        </w:rPr>
        <w:t>proffers</w:t>
      </w:r>
      <w:r w:rsidR="00C64050">
        <w:rPr>
          <w:szCs w:val="20"/>
        </w:rPr>
        <w:t xml:space="preserve"> </w:t>
      </w:r>
      <w:r w:rsidRPr="00B61E18">
        <w:rPr>
          <w:szCs w:val="20"/>
        </w:rPr>
        <w:t>two</w:t>
      </w:r>
      <w:r w:rsidR="00C64050">
        <w:rPr>
          <w:szCs w:val="20"/>
        </w:rPr>
        <w:t xml:space="preserve"> </w:t>
      </w:r>
      <w:r w:rsidRPr="00B61E18">
        <w:rPr>
          <w:szCs w:val="20"/>
        </w:rPr>
        <w:t>arguments</w:t>
      </w:r>
      <w:r w:rsidR="00C64050">
        <w:rPr>
          <w:szCs w:val="20"/>
        </w:rPr>
        <w:t xml:space="preserve"> </w:t>
      </w:r>
      <w:r w:rsidRPr="00B61E18">
        <w:rPr>
          <w:szCs w:val="20"/>
        </w:rPr>
        <w:t>in</w:t>
      </w:r>
      <w:r w:rsidR="00C64050">
        <w:rPr>
          <w:szCs w:val="20"/>
        </w:rPr>
        <w:t xml:space="preserve"> </w:t>
      </w:r>
      <w:r w:rsidRPr="00B61E18">
        <w:rPr>
          <w:szCs w:val="20"/>
        </w:rPr>
        <w:t>support</w:t>
      </w:r>
      <w:r w:rsidR="00C64050">
        <w:rPr>
          <w:szCs w:val="20"/>
        </w:rPr>
        <w:t xml:space="preserve"> </w:t>
      </w:r>
      <w:r w:rsidRPr="00B61E18">
        <w:rPr>
          <w:szCs w:val="20"/>
        </w:rPr>
        <w:t>of</w:t>
      </w:r>
      <w:r w:rsidR="00C64050">
        <w:rPr>
          <w:szCs w:val="20"/>
        </w:rPr>
        <w:t xml:space="preserve"> </w:t>
      </w:r>
      <w:r w:rsidRPr="00B61E18">
        <w:rPr>
          <w:szCs w:val="20"/>
        </w:rPr>
        <w:t>its</w:t>
      </w:r>
      <w:r w:rsidR="00C64050">
        <w:rPr>
          <w:szCs w:val="20"/>
        </w:rPr>
        <w:t xml:space="preserve"> </w:t>
      </w:r>
      <w:r w:rsidRPr="00B61E18">
        <w:rPr>
          <w:szCs w:val="20"/>
        </w:rPr>
        <w:t>position.</w:t>
      </w:r>
      <w:r w:rsidR="00C64050">
        <w:rPr>
          <w:szCs w:val="20"/>
        </w:rPr>
        <w:t xml:space="preserve"> </w:t>
      </w:r>
      <w:r w:rsidRPr="00B61E18">
        <w:rPr>
          <w:szCs w:val="20"/>
        </w:rPr>
        <w:t>First,</w:t>
      </w:r>
      <w:r w:rsidR="00C64050">
        <w:rPr>
          <w:szCs w:val="20"/>
        </w:rPr>
        <w:t xml:space="preserve"> </w:t>
      </w:r>
      <w:r w:rsidRPr="00B61E18">
        <w:rPr>
          <w:szCs w:val="20"/>
        </w:rPr>
        <w:t>Plaintiff</w:t>
      </w:r>
      <w:r w:rsidR="00C64050">
        <w:rPr>
          <w:szCs w:val="20"/>
        </w:rPr>
        <w:t xml:space="preserve"> </w:t>
      </w:r>
      <w:r w:rsidRPr="00B61E18">
        <w:rPr>
          <w:szCs w:val="20"/>
        </w:rPr>
        <w:t>argues</w:t>
      </w:r>
      <w:r w:rsidR="00C64050">
        <w:rPr>
          <w:szCs w:val="20"/>
        </w:rPr>
        <w:t xml:space="preserve"> </w:t>
      </w:r>
      <w:r w:rsidRPr="00B61E18">
        <w:rPr>
          <w:szCs w:val="20"/>
        </w:rPr>
        <w:t>that</w:t>
      </w:r>
      <w:r w:rsidR="00C64050">
        <w:rPr>
          <w:szCs w:val="20"/>
        </w:rPr>
        <w:t xml:space="preserve"> </w:t>
      </w:r>
      <w:r w:rsidRPr="00B61E18">
        <w:rPr>
          <w:szCs w:val="20"/>
        </w:rPr>
        <w:t>§</w:t>
      </w:r>
      <w:r w:rsidR="00C64050">
        <w:rPr>
          <w:szCs w:val="20"/>
        </w:rPr>
        <w:t xml:space="preserve"> </w:t>
      </w:r>
      <w:r w:rsidRPr="00B61E18">
        <w:rPr>
          <w:szCs w:val="20"/>
        </w:rPr>
        <w:t>6651(a)(1)</w:t>
      </w:r>
      <w:r w:rsidR="00C64050">
        <w:rPr>
          <w:szCs w:val="20"/>
        </w:rPr>
        <w:t xml:space="preserve"> </w:t>
      </w:r>
      <w:r w:rsidRPr="00B61E18">
        <w:rPr>
          <w:szCs w:val="20"/>
        </w:rPr>
        <w:t>should</w:t>
      </w:r>
      <w:r w:rsidR="00C64050">
        <w:rPr>
          <w:szCs w:val="20"/>
        </w:rPr>
        <w:t xml:space="preserve"> </w:t>
      </w:r>
      <w:r w:rsidRPr="00B61E18">
        <w:rPr>
          <w:szCs w:val="20"/>
        </w:rPr>
        <w:t>be</w:t>
      </w:r>
      <w:r w:rsidR="00C64050">
        <w:rPr>
          <w:szCs w:val="20"/>
        </w:rPr>
        <w:t xml:space="preserve"> </w:t>
      </w:r>
      <w:r w:rsidRPr="00B61E18">
        <w:rPr>
          <w:szCs w:val="20"/>
        </w:rPr>
        <w:t>read</w:t>
      </w:r>
      <w:r w:rsidR="00C64050">
        <w:rPr>
          <w:szCs w:val="20"/>
        </w:rPr>
        <w:t xml:space="preserve"> </w:t>
      </w:r>
      <w:r w:rsidRPr="00B61E18">
        <w:rPr>
          <w:szCs w:val="20"/>
        </w:rPr>
        <w:t>together</w:t>
      </w:r>
      <w:r w:rsidR="00C64050">
        <w:rPr>
          <w:szCs w:val="20"/>
        </w:rPr>
        <w:t xml:space="preserve"> </w:t>
      </w:r>
      <w:r w:rsidRPr="00B61E18">
        <w:rPr>
          <w:szCs w:val="20"/>
        </w:rPr>
        <w:t>(</w:t>
      </w:r>
      <w:r w:rsidRPr="00B61E18">
        <w:rPr>
          <w:rStyle w:val="Emphasis"/>
          <w:szCs w:val="20"/>
        </w:rPr>
        <w:t>in</w:t>
      </w:r>
      <w:r w:rsidR="00C64050">
        <w:rPr>
          <w:rStyle w:val="Emphasis"/>
          <w:szCs w:val="20"/>
        </w:rPr>
        <w:t xml:space="preserve"> </w:t>
      </w:r>
      <w:r w:rsidRPr="00B61E18">
        <w:rPr>
          <w:rStyle w:val="Emphasis"/>
          <w:szCs w:val="20"/>
        </w:rPr>
        <w:t>pari</w:t>
      </w:r>
      <w:r w:rsidR="00C64050">
        <w:rPr>
          <w:rStyle w:val="Emphasis"/>
          <w:szCs w:val="20"/>
        </w:rPr>
        <w:t xml:space="preserve"> </w:t>
      </w:r>
      <w:r w:rsidRPr="00B61E18">
        <w:rPr>
          <w:rStyle w:val="Emphasis"/>
          <w:szCs w:val="20"/>
        </w:rPr>
        <w:t>materia</w:t>
      </w:r>
      <w:r w:rsidRPr="00B61E18">
        <w:rPr>
          <w:szCs w:val="20"/>
        </w:rPr>
        <w:t>)</w:t>
      </w:r>
      <w:r w:rsidR="00C64050">
        <w:rPr>
          <w:szCs w:val="20"/>
        </w:rPr>
        <w:t xml:space="preserve"> </w:t>
      </w:r>
      <w:r w:rsidRPr="00B61E18">
        <w:rPr>
          <w:szCs w:val="20"/>
        </w:rPr>
        <w:t>with</w:t>
      </w:r>
      <w:r w:rsidR="00C64050">
        <w:rPr>
          <w:szCs w:val="20"/>
        </w:rPr>
        <w:t xml:space="preserve"> </w:t>
      </w:r>
      <w:r w:rsidRPr="00B61E18">
        <w:rPr>
          <w:szCs w:val="20"/>
        </w:rPr>
        <w:t>§</w:t>
      </w:r>
      <w:r w:rsidR="00C64050">
        <w:rPr>
          <w:szCs w:val="20"/>
        </w:rPr>
        <w:t xml:space="preserve"> </w:t>
      </w:r>
      <w:r w:rsidRPr="00B61E18">
        <w:rPr>
          <w:szCs w:val="20"/>
        </w:rPr>
        <w:t>6651(b)(1).</w:t>
      </w:r>
      <w:r w:rsidR="00C64050">
        <w:rPr>
          <w:szCs w:val="20"/>
        </w:rPr>
        <w:t xml:space="preserve"> </w:t>
      </w:r>
      <w:r w:rsidRPr="00B61E18">
        <w:rPr>
          <w:szCs w:val="20"/>
        </w:rPr>
        <w:t>In</w:t>
      </w:r>
      <w:r w:rsidR="00C64050">
        <w:rPr>
          <w:szCs w:val="20"/>
        </w:rPr>
        <w:t xml:space="preserve"> </w:t>
      </w:r>
      <w:r w:rsidRPr="00B61E18">
        <w:rPr>
          <w:szCs w:val="20"/>
        </w:rPr>
        <w:t>reading</w:t>
      </w:r>
      <w:r w:rsidR="00C64050">
        <w:rPr>
          <w:szCs w:val="20"/>
        </w:rPr>
        <w:t xml:space="preserve"> </w:t>
      </w:r>
      <w:r w:rsidRPr="00B61E18">
        <w:rPr>
          <w:szCs w:val="20"/>
        </w:rPr>
        <w:t>these</w:t>
      </w:r>
      <w:r w:rsidR="00C64050">
        <w:rPr>
          <w:szCs w:val="20"/>
        </w:rPr>
        <w:t xml:space="preserve"> </w:t>
      </w:r>
      <w:r w:rsidRPr="00B61E18">
        <w:rPr>
          <w:szCs w:val="20"/>
        </w:rPr>
        <w:t>subsections</w:t>
      </w:r>
      <w:r w:rsidR="00C64050">
        <w:rPr>
          <w:szCs w:val="20"/>
        </w:rPr>
        <w:t xml:space="preserve"> </w:t>
      </w:r>
      <w:r w:rsidRPr="00B61E18">
        <w:rPr>
          <w:szCs w:val="20"/>
        </w:rPr>
        <w:t>together,</w:t>
      </w:r>
      <w:r w:rsidR="00C64050">
        <w:rPr>
          <w:szCs w:val="20"/>
        </w:rPr>
        <w:t xml:space="preserve"> </w:t>
      </w:r>
      <w:r w:rsidRPr="00B61E18">
        <w:rPr>
          <w:szCs w:val="20"/>
        </w:rPr>
        <w:t>Plaintiff</w:t>
      </w:r>
      <w:r w:rsidR="00C64050">
        <w:rPr>
          <w:szCs w:val="20"/>
        </w:rPr>
        <w:t xml:space="preserve"> </w:t>
      </w:r>
      <w:r w:rsidRPr="00B61E18">
        <w:rPr>
          <w:szCs w:val="20"/>
        </w:rPr>
        <w:t>concludes</w:t>
      </w:r>
      <w:r w:rsidR="00C64050">
        <w:rPr>
          <w:szCs w:val="20"/>
        </w:rPr>
        <w:t xml:space="preserve"> </w:t>
      </w:r>
      <w:r w:rsidRPr="00B61E18">
        <w:rPr>
          <w:szCs w:val="20"/>
        </w:rPr>
        <w:t>that</w:t>
      </w:r>
      <w:r w:rsidR="00C64050">
        <w:rPr>
          <w:szCs w:val="20"/>
        </w:rPr>
        <w:t xml:space="preserve"> </w:t>
      </w:r>
      <w:r w:rsidRPr="00B61E18">
        <w:rPr>
          <w:szCs w:val="20"/>
        </w:rPr>
        <w:t>the</w:t>
      </w:r>
      <w:r w:rsidR="00C64050">
        <w:rPr>
          <w:szCs w:val="20"/>
        </w:rPr>
        <w:t xml:space="preserve"> </w:t>
      </w:r>
      <w:r w:rsidRPr="00B61E18">
        <w:rPr>
          <w:szCs w:val="20"/>
        </w:rPr>
        <w:t>late</w:t>
      </w:r>
      <w:r w:rsidR="00C64050">
        <w:rPr>
          <w:szCs w:val="20"/>
        </w:rPr>
        <w:t xml:space="preserve"> </w:t>
      </w:r>
      <w:r w:rsidRPr="00B61E18">
        <w:rPr>
          <w:szCs w:val="20"/>
        </w:rPr>
        <w:t>filing</w:t>
      </w:r>
      <w:r w:rsidR="00C64050">
        <w:rPr>
          <w:szCs w:val="20"/>
        </w:rPr>
        <w:t xml:space="preserve"> </w:t>
      </w:r>
      <w:r w:rsidRPr="00B61E18">
        <w:rPr>
          <w:szCs w:val="20"/>
        </w:rPr>
        <w:t>penalty</w:t>
      </w:r>
      <w:r w:rsidR="00C64050">
        <w:rPr>
          <w:szCs w:val="20"/>
        </w:rPr>
        <w:t xml:space="preserve"> </w:t>
      </w:r>
      <w:r w:rsidRPr="00B61E18">
        <w:rPr>
          <w:szCs w:val="20"/>
        </w:rPr>
        <w:t>is</w:t>
      </w:r>
      <w:r w:rsidR="00C64050">
        <w:rPr>
          <w:szCs w:val="20"/>
        </w:rPr>
        <w:t xml:space="preserve"> </w:t>
      </w:r>
      <w:r w:rsidRPr="00B61E18">
        <w:rPr>
          <w:szCs w:val="20"/>
        </w:rPr>
        <w:t>calculated</w:t>
      </w:r>
      <w:r w:rsidR="00C64050">
        <w:rPr>
          <w:szCs w:val="20"/>
        </w:rPr>
        <w:t xml:space="preserve"> </w:t>
      </w:r>
      <w:r w:rsidRPr="00B61E18">
        <w:rPr>
          <w:szCs w:val="20"/>
        </w:rPr>
        <w:t>by</w:t>
      </w:r>
      <w:r w:rsidR="00C64050">
        <w:rPr>
          <w:szCs w:val="20"/>
        </w:rPr>
        <w:t xml:space="preserve"> </w:t>
      </w:r>
      <w:r w:rsidRPr="00B61E18">
        <w:rPr>
          <w:szCs w:val="20"/>
        </w:rPr>
        <w:t>using</w:t>
      </w:r>
      <w:r w:rsidR="00C64050">
        <w:rPr>
          <w:szCs w:val="20"/>
        </w:rPr>
        <w:t xml:space="preserve"> </w:t>
      </w:r>
      <w:r w:rsidRPr="00B61E18">
        <w:rPr>
          <w:szCs w:val="20"/>
        </w:rPr>
        <w:t>the</w:t>
      </w:r>
      <w:r w:rsidR="00C64050">
        <w:rPr>
          <w:szCs w:val="20"/>
        </w:rPr>
        <w:t xml:space="preserve"> </w:t>
      </w:r>
      <w:r w:rsidRPr="00B61E18">
        <w:rPr>
          <w:szCs w:val="20"/>
        </w:rPr>
        <w:t>formula</w:t>
      </w:r>
      <w:r w:rsidR="00C64050">
        <w:rPr>
          <w:szCs w:val="20"/>
        </w:rPr>
        <w:t xml:space="preserve"> </w:t>
      </w:r>
      <w:r w:rsidRPr="00B61E18">
        <w:rPr>
          <w:szCs w:val="20"/>
        </w:rPr>
        <w:t>set</w:t>
      </w:r>
      <w:r w:rsidR="00C64050">
        <w:rPr>
          <w:szCs w:val="20"/>
        </w:rPr>
        <w:t xml:space="preserve"> </w:t>
      </w:r>
      <w:r w:rsidRPr="00B61E18">
        <w:rPr>
          <w:szCs w:val="20"/>
        </w:rPr>
        <w:t>forth</w:t>
      </w:r>
      <w:r w:rsidR="00C64050">
        <w:rPr>
          <w:szCs w:val="20"/>
        </w:rPr>
        <w:t xml:space="preserve"> </w:t>
      </w:r>
      <w:r w:rsidRPr="00B61E18">
        <w:rPr>
          <w:szCs w:val="20"/>
        </w:rPr>
        <w:t>in</w:t>
      </w:r>
      <w:r w:rsidR="00C64050">
        <w:rPr>
          <w:szCs w:val="20"/>
        </w:rPr>
        <w:t xml:space="preserve"> </w:t>
      </w:r>
      <w:r w:rsidRPr="00B61E18">
        <w:rPr>
          <w:szCs w:val="20"/>
        </w:rPr>
        <w:t>subsection</w:t>
      </w:r>
      <w:r w:rsidR="00C64050">
        <w:rPr>
          <w:szCs w:val="20"/>
        </w:rPr>
        <w:t xml:space="preserve"> </w:t>
      </w:r>
      <w:r w:rsidRPr="00B61E18">
        <w:rPr>
          <w:szCs w:val="20"/>
        </w:rPr>
        <w:t>(a)(1),</w:t>
      </w:r>
      <w:r w:rsidR="00C64050">
        <w:rPr>
          <w:szCs w:val="20"/>
        </w:rPr>
        <w:t xml:space="preserve"> </w:t>
      </w:r>
      <w:r w:rsidRPr="00B61E18">
        <w:rPr>
          <w:szCs w:val="20"/>
        </w:rPr>
        <w:t>incorporating</w:t>
      </w:r>
      <w:r w:rsidR="00C64050">
        <w:rPr>
          <w:szCs w:val="20"/>
        </w:rPr>
        <w:t xml:space="preserve"> </w:t>
      </w:r>
      <w:r w:rsidRPr="00B61E18">
        <w:rPr>
          <w:szCs w:val="20"/>
        </w:rPr>
        <w:t>the</w:t>
      </w:r>
      <w:r w:rsidR="00C64050">
        <w:rPr>
          <w:szCs w:val="20"/>
        </w:rPr>
        <w:t xml:space="preserve"> </w:t>
      </w:r>
      <w:r w:rsidRPr="00B61E18">
        <w:rPr>
          <w:szCs w:val="20"/>
        </w:rPr>
        <w:t>“net</w:t>
      </w:r>
      <w:r w:rsidR="00C64050">
        <w:rPr>
          <w:szCs w:val="20"/>
        </w:rPr>
        <w:t xml:space="preserve"> </w:t>
      </w:r>
      <w:r w:rsidRPr="00B61E18">
        <w:rPr>
          <w:szCs w:val="20"/>
        </w:rPr>
        <w:t>amount</w:t>
      </w:r>
      <w:r w:rsidR="00C64050">
        <w:rPr>
          <w:szCs w:val="20"/>
        </w:rPr>
        <w:t xml:space="preserve"> </w:t>
      </w:r>
      <w:r w:rsidRPr="00B61E18">
        <w:rPr>
          <w:szCs w:val="20"/>
        </w:rPr>
        <w:t>due”</w:t>
      </w:r>
      <w:r w:rsidR="00C64050">
        <w:rPr>
          <w:szCs w:val="20"/>
        </w:rPr>
        <w:t xml:space="preserve"> </w:t>
      </w:r>
      <w:r w:rsidRPr="00B61E18">
        <w:rPr>
          <w:szCs w:val="20"/>
        </w:rPr>
        <w:t>on</w:t>
      </w:r>
      <w:r w:rsidR="00C64050">
        <w:rPr>
          <w:szCs w:val="20"/>
        </w:rPr>
        <w:t xml:space="preserve"> </w:t>
      </w:r>
      <w:r w:rsidRPr="00B61E18">
        <w:rPr>
          <w:szCs w:val="20"/>
        </w:rPr>
        <w:t>the</w:t>
      </w:r>
      <w:r w:rsidR="00C64050">
        <w:rPr>
          <w:szCs w:val="20"/>
        </w:rPr>
        <w:t xml:space="preserve"> </w:t>
      </w:r>
      <w:r w:rsidRPr="00B61E18">
        <w:rPr>
          <w:szCs w:val="20"/>
        </w:rPr>
        <w:t>“the</w:t>
      </w:r>
      <w:r w:rsidR="00C64050">
        <w:rPr>
          <w:szCs w:val="20"/>
        </w:rPr>
        <w:t xml:space="preserve"> </w:t>
      </w:r>
      <w:r w:rsidRPr="00B61E18">
        <w:rPr>
          <w:szCs w:val="20"/>
        </w:rPr>
        <w:t>date</w:t>
      </w:r>
      <w:r w:rsidR="00C64050">
        <w:rPr>
          <w:szCs w:val="20"/>
        </w:rPr>
        <w:t xml:space="preserve"> </w:t>
      </w:r>
      <w:r w:rsidRPr="00B61E18">
        <w:rPr>
          <w:szCs w:val="20"/>
        </w:rPr>
        <w:t>prescribed</w:t>
      </w:r>
      <w:r w:rsidR="00C64050">
        <w:rPr>
          <w:szCs w:val="20"/>
        </w:rPr>
        <w:t xml:space="preserve"> </w:t>
      </w:r>
      <w:r w:rsidRPr="00B61E18">
        <w:rPr>
          <w:szCs w:val="20"/>
        </w:rPr>
        <w:t>for</w:t>
      </w:r>
      <w:r w:rsidR="00C64050">
        <w:rPr>
          <w:szCs w:val="20"/>
        </w:rPr>
        <w:t xml:space="preserve"> </w:t>
      </w:r>
      <w:r w:rsidRPr="00B61E18">
        <w:rPr>
          <w:szCs w:val="20"/>
        </w:rPr>
        <w:t>payment”</w:t>
      </w:r>
      <w:r w:rsidR="00C64050">
        <w:rPr>
          <w:szCs w:val="20"/>
        </w:rPr>
        <w:t xml:space="preserve"> </w:t>
      </w:r>
      <w:r w:rsidRPr="00B61E18">
        <w:rPr>
          <w:szCs w:val="20"/>
        </w:rPr>
        <w:t>as</w:t>
      </w:r>
      <w:r w:rsidR="00C64050">
        <w:rPr>
          <w:szCs w:val="20"/>
        </w:rPr>
        <w:t xml:space="preserve"> </w:t>
      </w:r>
      <w:r w:rsidRPr="00B61E18">
        <w:rPr>
          <w:szCs w:val="20"/>
        </w:rPr>
        <w:t>set</w:t>
      </w:r>
      <w:r w:rsidR="00C64050">
        <w:rPr>
          <w:szCs w:val="20"/>
        </w:rPr>
        <w:t xml:space="preserve"> </w:t>
      </w:r>
      <w:r w:rsidRPr="00B61E18">
        <w:rPr>
          <w:szCs w:val="20"/>
        </w:rPr>
        <w:t>forth</w:t>
      </w:r>
      <w:r w:rsidR="00C64050">
        <w:rPr>
          <w:szCs w:val="20"/>
        </w:rPr>
        <w:t xml:space="preserve"> </w:t>
      </w:r>
      <w:r w:rsidRPr="00B61E18">
        <w:rPr>
          <w:szCs w:val="20"/>
        </w:rPr>
        <w:t>in</w:t>
      </w:r>
      <w:r w:rsidR="00C64050">
        <w:rPr>
          <w:szCs w:val="20"/>
        </w:rPr>
        <w:t xml:space="preserve"> </w:t>
      </w:r>
      <w:r w:rsidRPr="00B61E18">
        <w:rPr>
          <w:szCs w:val="20"/>
        </w:rPr>
        <w:t>subsection</w:t>
      </w:r>
      <w:r w:rsidR="00C64050">
        <w:rPr>
          <w:szCs w:val="20"/>
        </w:rPr>
        <w:t xml:space="preserve"> </w:t>
      </w:r>
      <w:r w:rsidRPr="00B61E18">
        <w:rPr>
          <w:szCs w:val="20"/>
        </w:rPr>
        <w:t>(b)(1).</w:t>
      </w:r>
      <w:r w:rsidR="00C64050">
        <w:rPr>
          <w:szCs w:val="20"/>
        </w:rPr>
        <w:t xml:space="preserve"> </w:t>
      </w:r>
      <w:r w:rsidRPr="00B61E18">
        <w:rPr>
          <w:szCs w:val="20"/>
        </w:rPr>
        <w:t>Since</w:t>
      </w:r>
      <w:r w:rsidR="00C64050">
        <w:rPr>
          <w:szCs w:val="20"/>
        </w:rPr>
        <w:t xml:space="preserve"> </w:t>
      </w:r>
      <w:r w:rsidRPr="00B61E18">
        <w:rPr>
          <w:szCs w:val="20"/>
        </w:rPr>
        <w:t>the</w:t>
      </w:r>
      <w:r w:rsidR="00C64050">
        <w:rPr>
          <w:szCs w:val="20"/>
        </w:rPr>
        <w:t xml:space="preserve"> </w:t>
      </w:r>
      <w:r w:rsidRPr="00B61E18">
        <w:rPr>
          <w:szCs w:val="20"/>
        </w:rPr>
        <w:t>estate</w:t>
      </w:r>
      <w:r w:rsidR="00C64050">
        <w:rPr>
          <w:szCs w:val="20"/>
        </w:rPr>
        <w:t xml:space="preserve"> </w:t>
      </w:r>
      <w:r w:rsidRPr="00B61E18">
        <w:rPr>
          <w:szCs w:val="20"/>
        </w:rPr>
        <w:t>tax</w:t>
      </w:r>
      <w:r w:rsidR="00C64050">
        <w:rPr>
          <w:szCs w:val="20"/>
        </w:rPr>
        <w:t xml:space="preserve"> </w:t>
      </w:r>
      <w:r w:rsidRPr="00B61E18">
        <w:rPr>
          <w:szCs w:val="20"/>
        </w:rPr>
        <w:t>was</w:t>
      </w:r>
      <w:r w:rsidR="00C64050">
        <w:rPr>
          <w:szCs w:val="20"/>
        </w:rPr>
        <w:t xml:space="preserve"> </w:t>
      </w:r>
      <w:r w:rsidRPr="00B61E18">
        <w:rPr>
          <w:szCs w:val="20"/>
        </w:rPr>
        <w:t>overpaid</w:t>
      </w:r>
      <w:r w:rsidR="00C64050">
        <w:rPr>
          <w:szCs w:val="20"/>
        </w:rPr>
        <w:t xml:space="preserve"> </w:t>
      </w:r>
      <w:r w:rsidRPr="00B61E18">
        <w:rPr>
          <w:szCs w:val="20"/>
        </w:rPr>
        <w:t>on</w:t>
      </w:r>
      <w:r w:rsidR="00C64050">
        <w:rPr>
          <w:szCs w:val="20"/>
        </w:rPr>
        <w:t xml:space="preserve"> </w:t>
      </w:r>
      <w:r w:rsidRPr="00B61E18">
        <w:rPr>
          <w:szCs w:val="20"/>
        </w:rPr>
        <w:t>March</w:t>
      </w:r>
      <w:r w:rsidR="00C64050">
        <w:rPr>
          <w:szCs w:val="20"/>
        </w:rPr>
        <w:t xml:space="preserve"> </w:t>
      </w:r>
      <w:r w:rsidRPr="00B61E18">
        <w:rPr>
          <w:szCs w:val="20"/>
        </w:rPr>
        <w:t>18,</w:t>
      </w:r>
      <w:r w:rsidR="00C64050">
        <w:rPr>
          <w:szCs w:val="20"/>
        </w:rPr>
        <w:t xml:space="preserve"> </w:t>
      </w:r>
      <w:r w:rsidRPr="00B61E18">
        <w:rPr>
          <w:szCs w:val="20"/>
        </w:rPr>
        <w:t>2014</w:t>
      </w:r>
      <w:r w:rsidR="00C64050">
        <w:rPr>
          <w:szCs w:val="20"/>
        </w:rPr>
        <w:t xml:space="preserve"> </w:t>
      </w:r>
      <w:r w:rsidRPr="00B61E18">
        <w:rPr>
          <w:szCs w:val="20"/>
        </w:rPr>
        <w:t>and</w:t>
      </w:r>
      <w:r w:rsidR="00C64050">
        <w:rPr>
          <w:szCs w:val="20"/>
        </w:rPr>
        <w:t xml:space="preserve"> </w:t>
      </w:r>
      <w:r w:rsidRPr="00B61E18">
        <w:rPr>
          <w:szCs w:val="20"/>
        </w:rPr>
        <w:t>the</w:t>
      </w:r>
      <w:r w:rsidR="00C64050">
        <w:rPr>
          <w:szCs w:val="20"/>
        </w:rPr>
        <w:t xml:space="preserve"> </w:t>
      </w:r>
      <w:r w:rsidRPr="00B61E18">
        <w:rPr>
          <w:szCs w:val="20"/>
        </w:rPr>
        <w:t>extension</w:t>
      </w:r>
      <w:r w:rsidR="00C64050">
        <w:rPr>
          <w:szCs w:val="20"/>
        </w:rPr>
        <w:t xml:space="preserve"> </w:t>
      </w:r>
      <w:r w:rsidRPr="00B61E18">
        <w:rPr>
          <w:szCs w:val="20"/>
        </w:rPr>
        <w:t>ran</w:t>
      </w:r>
      <w:r w:rsidR="00C64050">
        <w:rPr>
          <w:szCs w:val="20"/>
        </w:rPr>
        <w:t xml:space="preserve"> </w:t>
      </w:r>
      <w:r w:rsidRPr="00B61E18">
        <w:rPr>
          <w:szCs w:val="20"/>
        </w:rPr>
        <w:t>until</w:t>
      </w:r>
      <w:r w:rsidR="00C64050">
        <w:rPr>
          <w:szCs w:val="20"/>
        </w:rPr>
        <w:t xml:space="preserve"> </w:t>
      </w:r>
      <w:r w:rsidRPr="00B61E18">
        <w:rPr>
          <w:szCs w:val="20"/>
        </w:rPr>
        <w:t>September</w:t>
      </w:r>
      <w:r w:rsidR="00C64050">
        <w:rPr>
          <w:szCs w:val="20"/>
        </w:rPr>
        <w:t xml:space="preserve"> </w:t>
      </w:r>
      <w:r w:rsidRPr="00B61E18">
        <w:rPr>
          <w:szCs w:val="20"/>
        </w:rPr>
        <w:t>10,</w:t>
      </w:r>
      <w:r w:rsidR="00C64050">
        <w:rPr>
          <w:szCs w:val="20"/>
        </w:rPr>
        <w:t xml:space="preserve"> </w:t>
      </w:r>
      <w:r w:rsidRPr="00B61E18">
        <w:rPr>
          <w:szCs w:val="20"/>
        </w:rPr>
        <w:t>2014,</w:t>
      </w:r>
      <w:r w:rsidR="00C64050">
        <w:rPr>
          <w:szCs w:val="20"/>
        </w:rPr>
        <w:t xml:space="preserve"> </w:t>
      </w:r>
      <w:r w:rsidRPr="00B61E18">
        <w:rPr>
          <w:szCs w:val="20"/>
        </w:rPr>
        <w:t>there</w:t>
      </w:r>
      <w:r w:rsidR="00C64050">
        <w:rPr>
          <w:szCs w:val="20"/>
        </w:rPr>
        <w:t xml:space="preserve"> </w:t>
      </w:r>
      <w:r w:rsidRPr="00B61E18">
        <w:rPr>
          <w:szCs w:val="20"/>
        </w:rPr>
        <w:t>was</w:t>
      </w:r>
      <w:r w:rsidR="00C64050">
        <w:rPr>
          <w:szCs w:val="20"/>
        </w:rPr>
        <w:t xml:space="preserve"> </w:t>
      </w:r>
      <w:r w:rsidRPr="00B61E18">
        <w:rPr>
          <w:szCs w:val="20"/>
        </w:rPr>
        <w:t>no</w:t>
      </w:r>
      <w:r w:rsidR="00C64050">
        <w:rPr>
          <w:szCs w:val="20"/>
        </w:rPr>
        <w:t xml:space="preserve"> </w:t>
      </w:r>
      <w:r w:rsidRPr="00B61E18">
        <w:rPr>
          <w:szCs w:val="20"/>
        </w:rPr>
        <w:t>net</w:t>
      </w:r>
      <w:r w:rsidR="00C64050">
        <w:rPr>
          <w:szCs w:val="20"/>
        </w:rPr>
        <w:t xml:space="preserve"> </w:t>
      </w:r>
      <w:r w:rsidRPr="00B61E18">
        <w:rPr>
          <w:szCs w:val="20"/>
        </w:rPr>
        <w:t>amount</w:t>
      </w:r>
      <w:r w:rsidR="00C64050">
        <w:rPr>
          <w:szCs w:val="20"/>
        </w:rPr>
        <w:t xml:space="preserve"> </w:t>
      </w:r>
      <w:r w:rsidRPr="00B61E18">
        <w:rPr>
          <w:szCs w:val="20"/>
        </w:rPr>
        <w:t>due</w:t>
      </w:r>
      <w:r w:rsidR="00C64050">
        <w:rPr>
          <w:szCs w:val="20"/>
        </w:rPr>
        <w:t xml:space="preserve"> </w:t>
      </w:r>
      <w:r w:rsidRPr="00B61E18">
        <w:rPr>
          <w:szCs w:val="20"/>
        </w:rPr>
        <w:t>on</w:t>
      </w:r>
      <w:r w:rsidR="00C64050">
        <w:rPr>
          <w:szCs w:val="20"/>
        </w:rPr>
        <w:t xml:space="preserve"> </w:t>
      </w:r>
      <w:r w:rsidRPr="00B61E18">
        <w:rPr>
          <w:szCs w:val="20"/>
        </w:rPr>
        <w:t>the</w:t>
      </w:r>
      <w:r w:rsidR="00C64050">
        <w:rPr>
          <w:szCs w:val="20"/>
        </w:rPr>
        <w:t xml:space="preserve"> </w:t>
      </w:r>
      <w:r w:rsidRPr="00B61E18">
        <w:rPr>
          <w:szCs w:val="20"/>
        </w:rPr>
        <w:t>September</w:t>
      </w:r>
      <w:r w:rsidR="00C64050">
        <w:rPr>
          <w:szCs w:val="20"/>
        </w:rPr>
        <w:t xml:space="preserve"> </w:t>
      </w:r>
      <w:r w:rsidRPr="00B61E18">
        <w:rPr>
          <w:szCs w:val="20"/>
        </w:rPr>
        <w:t>deadline;</w:t>
      </w:r>
      <w:r w:rsidR="00C64050">
        <w:rPr>
          <w:szCs w:val="20"/>
        </w:rPr>
        <w:t xml:space="preserve"> </w:t>
      </w:r>
      <w:r w:rsidRPr="00B61E18">
        <w:rPr>
          <w:szCs w:val="20"/>
        </w:rPr>
        <w:t>and</w:t>
      </w:r>
      <w:r w:rsidR="00C64050">
        <w:rPr>
          <w:szCs w:val="20"/>
        </w:rPr>
        <w:t xml:space="preserve"> </w:t>
      </w:r>
      <w:r w:rsidRPr="00B61E18">
        <w:rPr>
          <w:szCs w:val="20"/>
        </w:rPr>
        <w:t>hence,</w:t>
      </w:r>
      <w:r w:rsidR="00C64050">
        <w:rPr>
          <w:szCs w:val="20"/>
        </w:rPr>
        <w:t xml:space="preserve"> </w:t>
      </w:r>
      <w:r w:rsidRPr="00B61E18">
        <w:rPr>
          <w:szCs w:val="20"/>
        </w:rPr>
        <w:t>no</w:t>
      </w:r>
      <w:r w:rsidR="00C64050">
        <w:rPr>
          <w:szCs w:val="20"/>
        </w:rPr>
        <w:t xml:space="preserve"> </w:t>
      </w:r>
      <w:r w:rsidRPr="00B61E18">
        <w:rPr>
          <w:szCs w:val="20"/>
        </w:rPr>
        <w:t>penalty</w:t>
      </w:r>
      <w:r w:rsidR="00C64050">
        <w:rPr>
          <w:szCs w:val="20"/>
        </w:rPr>
        <w:t xml:space="preserve"> </w:t>
      </w:r>
      <w:r w:rsidRPr="00B61E18">
        <w:rPr>
          <w:szCs w:val="20"/>
        </w:rPr>
        <w:t>may</w:t>
      </w:r>
      <w:r w:rsidR="00C64050">
        <w:rPr>
          <w:szCs w:val="20"/>
        </w:rPr>
        <w:t xml:space="preserve"> </w:t>
      </w:r>
      <w:r w:rsidRPr="00B61E18">
        <w:rPr>
          <w:szCs w:val="20"/>
        </w:rPr>
        <w:t>be</w:t>
      </w:r>
      <w:r w:rsidR="00C64050">
        <w:rPr>
          <w:szCs w:val="20"/>
        </w:rPr>
        <w:t xml:space="preserve"> </w:t>
      </w:r>
      <w:r w:rsidRPr="00B61E18">
        <w:rPr>
          <w:szCs w:val="20"/>
        </w:rPr>
        <w:t>imposed.</w:t>
      </w:r>
    </w:p>
    <w:p w:rsidR="00A27958" w:rsidRPr="00B61E18" w:rsidRDefault="00A27958" w:rsidP="00A27958">
      <w:pPr>
        <w:pStyle w:val="QS10"/>
        <w:rPr>
          <w:szCs w:val="20"/>
        </w:rPr>
      </w:pPr>
      <w:r w:rsidRPr="00B61E18">
        <w:rPr>
          <w:szCs w:val="20"/>
        </w:rPr>
        <w:t>Secondly,</w:t>
      </w:r>
      <w:r w:rsidR="00C64050">
        <w:rPr>
          <w:szCs w:val="20"/>
        </w:rPr>
        <w:t xml:space="preserve"> </w:t>
      </w:r>
      <w:r w:rsidRPr="00B61E18">
        <w:rPr>
          <w:szCs w:val="20"/>
        </w:rPr>
        <w:t>and</w:t>
      </w:r>
      <w:r w:rsidR="00C64050">
        <w:rPr>
          <w:szCs w:val="20"/>
        </w:rPr>
        <w:t xml:space="preserve"> </w:t>
      </w:r>
      <w:r w:rsidRPr="00B61E18">
        <w:rPr>
          <w:szCs w:val="20"/>
        </w:rPr>
        <w:t>in</w:t>
      </w:r>
      <w:r w:rsidR="00C64050">
        <w:rPr>
          <w:szCs w:val="20"/>
        </w:rPr>
        <w:t xml:space="preserve"> </w:t>
      </w:r>
      <w:r w:rsidRPr="00B61E18">
        <w:rPr>
          <w:szCs w:val="20"/>
        </w:rPr>
        <w:t>the</w:t>
      </w:r>
      <w:r w:rsidR="00C64050">
        <w:rPr>
          <w:szCs w:val="20"/>
        </w:rPr>
        <w:t xml:space="preserve"> </w:t>
      </w:r>
      <w:r w:rsidRPr="00B61E18">
        <w:rPr>
          <w:szCs w:val="20"/>
        </w:rPr>
        <w:t>alternative,</w:t>
      </w:r>
      <w:r w:rsidR="00C64050">
        <w:rPr>
          <w:szCs w:val="20"/>
        </w:rPr>
        <w:t xml:space="preserve"> </w:t>
      </w:r>
      <w:r w:rsidRPr="00B61E18">
        <w:rPr>
          <w:szCs w:val="20"/>
        </w:rPr>
        <w:t>Plaintiff</w:t>
      </w:r>
      <w:r w:rsidR="00C64050">
        <w:rPr>
          <w:szCs w:val="20"/>
        </w:rPr>
        <w:t xml:space="preserve"> </w:t>
      </w:r>
      <w:r w:rsidRPr="00B61E18">
        <w:rPr>
          <w:szCs w:val="20"/>
        </w:rPr>
        <w:t>argues</w:t>
      </w:r>
      <w:r w:rsidR="00C64050">
        <w:rPr>
          <w:szCs w:val="20"/>
        </w:rPr>
        <w:t xml:space="preserve"> </w:t>
      </w:r>
      <w:r w:rsidRPr="00B61E18">
        <w:rPr>
          <w:szCs w:val="20"/>
        </w:rPr>
        <w:t>that</w:t>
      </w:r>
      <w:r w:rsidR="00C64050">
        <w:rPr>
          <w:szCs w:val="20"/>
        </w:rPr>
        <w:t xml:space="preserve"> </w:t>
      </w:r>
      <w:r w:rsidRPr="00B61E18">
        <w:rPr>
          <w:szCs w:val="20"/>
        </w:rPr>
        <w:t>the</w:t>
      </w:r>
      <w:r w:rsidR="00C64050">
        <w:rPr>
          <w:szCs w:val="20"/>
        </w:rPr>
        <w:t xml:space="preserve"> </w:t>
      </w:r>
      <w:r w:rsidRPr="00B61E18">
        <w:rPr>
          <w:szCs w:val="20"/>
        </w:rPr>
        <w:t>phrase</w:t>
      </w:r>
      <w:r w:rsidR="00C64050">
        <w:rPr>
          <w:szCs w:val="20"/>
        </w:rPr>
        <w:t xml:space="preserve"> </w:t>
      </w:r>
      <w:r w:rsidRPr="00B61E18">
        <w:rPr>
          <w:szCs w:val="20"/>
        </w:rPr>
        <w:t>“such</w:t>
      </w:r>
      <w:r w:rsidR="00C64050">
        <w:rPr>
          <w:szCs w:val="20"/>
        </w:rPr>
        <w:t xml:space="preserve"> </w:t>
      </w:r>
      <w:r w:rsidRPr="00B61E18">
        <w:rPr>
          <w:szCs w:val="20"/>
        </w:rPr>
        <w:t>failure</w:t>
      </w:r>
      <w:r w:rsidR="00C64050">
        <w:rPr>
          <w:szCs w:val="20"/>
        </w:rPr>
        <w:t xml:space="preserve"> </w:t>
      </w:r>
      <w:r w:rsidRPr="00B61E18">
        <w:rPr>
          <w:szCs w:val="20"/>
        </w:rPr>
        <w:t>is</w:t>
      </w:r>
      <w:r w:rsidR="00C64050">
        <w:rPr>
          <w:szCs w:val="20"/>
        </w:rPr>
        <w:t xml:space="preserve"> </w:t>
      </w:r>
      <w:r w:rsidRPr="00B61E18">
        <w:rPr>
          <w:szCs w:val="20"/>
        </w:rPr>
        <w:t>due</w:t>
      </w:r>
      <w:r w:rsidR="00C64050">
        <w:rPr>
          <w:szCs w:val="20"/>
        </w:rPr>
        <w:t xml:space="preserve"> </w:t>
      </w:r>
      <w:r w:rsidRPr="00B61E18">
        <w:rPr>
          <w:szCs w:val="20"/>
        </w:rPr>
        <w:t>to</w:t>
      </w:r>
      <w:r w:rsidR="00C64050">
        <w:rPr>
          <w:szCs w:val="20"/>
        </w:rPr>
        <w:t xml:space="preserve"> </w:t>
      </w:r>
      <w:r w:rsidRPr="00B61E18">
        <w:rPr>
          <w:szCs w:val="20"/>
        </w:rPr>
        <w:t>reasonable</w:t>
      </w:r>
      <w:r w:rsidR="00C64050">
        <w:rPr>
          <w:szCs w:val="20"/>
        </w:rPr>
        <w:t xml:space="preserve"> </w:t>
      </w:r>
      <w:r w:rsidRPr="00B61E18">
        <w:rPr>
          <w:szCs w:val="20"/>
        </w:rPr>
        <w:t>cause</w:t>
      </w:r>
      <w:r w:rsidR="00C64050">
        <w:rPr>
          <w:szCs w:val="20"/>
        </w:rPr>
        <w:t xml:space="preserve"> </w:t>
      </w:r>
      <w:r w:rsidRPr="00B61E18">
        <w:rPr>
          <w:szCs w:val="20"/>
        </w:rPr>
        <w:t>not</w:t>
      </w:r>
      <w:r w:rsidR="00C64050">
        <w:rPr>
          <w:szCs w:val="20"/>
        </w:rPr>
        <w:t xml:space="preserve"> </w:t>
      </w:r>
      <w:r w:rsidRPr="00B61E18">
        <w:rPr>
          <w:szCs w:val="20"/>
        </w:rPr>
        <w:t>due</w:t>
      </w:r>
      <w:r w:rsidR="00C64050">
        <w:rPr>
          <w:szCs w:val="20"/>
        </w:rPr>
        <w:t xml:space="preserve"> </w:t>
      </w:r>
      <w:r w:rsidRPr="00B61E18">
        <w:rPr>
          <w:szCs w:val="20"/>
        </w:rPr>
        <w:t>to</w:t>
      </w:r>
      <w:r w:rsidR="00C64050">
        <w:rPr>
          <w:szCs w:val="20"/>
        </w:rPr>
        <w:t xml:space="preserve"> </w:t>
      </w:r>
      <w:r w:rsidRPr="00B61E18">
        <w:rPr>
          <w:szCs w:val="20"/>
        </w:rPr>
        <w:t>willful</w:t>
      </w:r>
      <w:r w:rsidR="00C64050">
        <w:rPr>
          <w:szCs w:val="20"/>
        </w:rPr>
        <w:t xml:space="preserve"> </w:t>
      </w:r>
      <w:r w:rsidRPr="00B61E18">
        <w:rPr>
          <w:szCs w:val="20"/>
        </w:rPr>
        <w:t>neglect”</w:t>
      </w:r>
      <w:r w:rsidR="00C64050">
        <w:rPr>
          <w:szCs w:val="20"/>
        </w:rPr>
        <w:t xml:space="preserve"> </w:t>
      </w:r>
      <w:r w:rsidRPr="00B61E18">
        <w:rPr>
          <w:szCs w:val="20"/>
        </w:rPr>
        <w:t>in</w:t>
      </w:r>
      <w:r w:rsidR="00C64050">
        <w:rPr>
          <w:szCs w:val="20"/>
        </w:rPr>
        <w:t xml:space="preserve"> </w:t>
      </w:r>
      <w:r w:rsidRPr="00B61E18">
        <w:rPr>
          <w:szCs w:val="20"/>
        </w:rPr>
        <w:t>subsection</w:t>
      </w:r>
      <w:r w:rsidR="00C64050">
        <w:rPr>
          <w:szCs w:val="20"/>
        </w:rPr>
        <w:t xml:space="preserve"> </w:t>
      </w:r>
      <w:r w:rsidRPr="00B61E18">
        <w:rPr>
          <w:szCs w:val="20"/>
        </w:rPr>
        <w:t>(a)(1)</w:t>
      </w:r>
      <w:r w:rsidR="00C64050">
        <w:rPr>
          <w:szCs w:val="20"/>
        </w:rPr>
        <w:t xml:space="preserve"> </w:t>
      </w:r>
      <w:r w:rsidRPr="00B61E18">
        <w:rPr>
          <w:szCs w:val="20"/>
        </w:rPr>
        <w:t>protects</w:t>
      </w:r>
      <w:r w:rsidR="00C64050">
        <w:rPr>
          <w:szCs w:val="20"/>
        </w:rPr>
        <w:t xml:space="preserve"> </w:t>
      </w:r>
      <w:r w:rsidRPr="00B61E18">
        <w:rPr>
          <w:szCs w:val="20"/>
        </w:rPr>
        <w:t>the</w:t>
      </w:r>
      <w:r w:rsidR="00C64050">
        <w:rPr>
          <w:szCs w:val="20"/>
        </w:rPr>
        <w:t xml:space="preserve"> </w:t>
      </w:r>
      <w:r w:rsidRPr="00B61E18">
        <w:rPr>
          <w:szCs w:val="20"/>
        </w:rPr>
        <w:t>taxpayer</w:t>
      </w:r>
      <w:r w:rsidR="00C64050">
        <w:rPr>
          <w:szCs w:val="20"/>
        </w:rPr>
        <w:t xml:space="preserve"> </w:t>
      </w:r>
      <w:r w:rsidRPr="00B61E18">
        <w:rPr>
          <w:szCs w:val="20"/>
        </w:rPr>
        <w:t>from</w:t>
      </w:r>
      <w:r w:rsidR="00C64050">
        <w:rPr>
          <w:szCs w:val="20"/>
        </w:rPr>
        <w:t xml:space="preserve"> </w:t>
      </w:r>
      <w:r w:rsidRPr="00B61E18">
        <w:rPr>
          <w:szCs w:val="20"/>
        </w:rPr>
        <w:t>a</w:t>
      </w:r>
      <w:r w:rsidR="00C64050">
        <w:rPr>
          <w:szCs w:val="20"/>
        </w:rPr>
        <w:t xml:space="preserve"> </w:t>
      </w:r>
      <w:r w:rsidRPr="00B61E18">
        <w:rPr>
          <w:szCs w:val="20"/>
        </w:rPr>
        <w:t>penalty</w:t>
      </w:r>
      <w:r w:rsidR="00C64050">
        <w:rPr>
          <w:szCs w:val="20"/>
        </w:rPr>
        <w:t xml:space="preserve"> </w:t>
      </w:r>
      <w:r w:rsidRPr="00B61E18">
        <w:rPr>
          <w:szCs w:val="20"/>
        </w:rPr>
        <w:t>if</w:t>
      </w:r>
      <w:r w:rsidR="00C64050">
        <w:rPr>
          <w:szCs w:val="20"/>
        </w:rPr>
        <w:t xml:space="preserve"> </w:t>
      </w:r>
      <w:r w:rsidRPr="00B61E18">
        <w:rPr>
          <w:szCs w:val="20"/>
        </w:rPr>
        <w:t>the</w:t>
      </w:r>
      <w:r w:rsidR="00C64050">
        <w:rPr>
          <w:szCs w:val="20"/>
        </w:rPr>
        <w:t xml:space="preserve"> </w:t>
      </w:r>
      <w:r w:rsidRPr="00B61E18">
        <w:rPr>
          <w:szCs w:val="20"/>
        </w:rPr>
        <w:t>return</w:t>
      </w:r>
      <w:r w:rsidR="00C64050">
        <w:rPr>
          <w:szCs w:val="20"/>
        </w:rPr>
        <w:t xml:space="preserve"> </w:t>
      </w:r>
      <w:r w:rsidRPr="00B61E18">
        <w:rPr>
          <w:szCs w:val="20"/>
        </w:rPr>
        <w:t>was</w:t>
      </w:r>
      <w:r w:rsidR="00C64050">
        <w:rPr>
          <w:szCs w:val="20"/>
        </w:rPr>
        <w:t xml:space="preserve"> </w:t>
      </w:r>
      <w:r w:rsidRPr="00B61E18">
        <w:rPr>
          <w:szCs w:val="20"/>
        </w:rPr>
        <w:t>filed</w:t>
      </w:r>
      <w:r w:rsidR="00C64050">
        <w:rPr>
          <w:szCs w:val="20"/>
        </w:rPr>
        <w:t xml:space="preserve"> </w:t>
      </w:r>
      <w:r w:rsidRPr="00B61E18">
        <w:rPr>
          <w:szCs w:val="20"/>
        </w:rPr>
        <w:t>late</w:t>
      </w:r>
      <w:r w:rsidR="00C64050">
        <w:rPr>
          <w:szCs w:val="20"/>
        </w:rPr>
        <w:t xml:space="preserve"> </w:t>
      </w:r>
      <w:r w:rsidRPr="00B61E18">
        <w:rPr>
          <w:szCs w:val="20"/>
        </w:rPr>
        <w:t>due</w:t>
      </w:r>
      <w:r w:rsidR="00C64050">
        <w:rPr>
          <w:szCs w:val="20"/>
        </w:rPr>
        <w:t xml:space="preserve"> </w:t>
      </w:r>
      <w:r w:rsidRPr="00B61E18">
        <w:rPr>
          <w:szCs w:val="20"/>
        </w:rPr>
        <w:t>to</w:t>
      </w:r>
      <w:r w:rsidR="00C64050">
        <w:rPr>
          <w:szCs w:val="20"/>
        </w:rPr>
        <w:t xml:space="preserve"> </w:t>
      </w:r>
      <w:r w:rsidRPr="00B61E18">
        <w:rPr>
          <w:szCs w:val="20"/>
        </w:rPr>
        <w:t>a</w:t>
      </w:r>
      <w:r w:rsidR="00C64050">
        <w:rPr>
          <w:szCs w:val="20"/>
        </w:rPr>
        <w:t xml:space="preserve"> </w:t>
      </w:r>
      <w:r w:rsidRPr="00B61E18">
        <w:rPr>
          <w:szCs w:val="20"/>
        </w:rPr>
        <w:t>reasonable</w:t>
      </w:r>
      <w:r w:rsidR="00C64050">
        <w:rPr>
          <w:szCs w:val="20"/>
        </w:rPr>
        <w:t xml:space="preserve"> </w:t>
      </w:r>
      <w:r w:rsidRPr="00B61E18">
        <w:rPr>
          <w:szCs w:val="20"/>
        </w:rPr>
        <w:t>cause.</w:t>
      </w:r>
    </w:p>
    <w:p w:rsidR="00A27958" w:rsidRPr="00B61E18" w:rsidRDefault="00A27958" w:rsidP="00A27958">
      <w:pPr>
        <w:pStyle w:val="QS10"/>
        <w:rPr>
          <w:szCs w:val="20"/>
        </w:rPr>
      </w:pPr>
      <w:r w:rsidRPr="00B61E18">
        <w:rPr>
          <w:szCs w:val="20"/>
        </w:rPr>
        <w:t>The</w:t>
      </w:r>
      <w:r w:rsidR="00C64050">
        <w:rPr>
          <w:szCs w:val="20"/>
        </w:rPr>
        <w:t xml:space="preserve"> </w:t>
      </w:r>
      <w:r w:rsidRPr="00B61E18">
        <w:rPr>
          <w:szCs w:val="20"/>
        </w:rPr>
        <w:t>Government</w:t>
      </w:r>
      <w:r w:rsidR="00C64050">
        <w:rPr>
          <w:szCs w:val="20"/>
        </w:rPr>
        <w:t xml:space="preserve"> </w:t>
      </w:r>
      <w:r w:rsidRPr="00B61E18">
        <w:rPr>
          <w:szCs w:val="20"/>
        </w:rPr>
        <w:t>disagrees</w:t>
      </w:r>
      <w:r w:rsidR="00C64050">
        <w:rPr>
          <w:szCs w:val="20"/>
        </w:rPr>
        <w:t xml:space="preserve"> </w:t>
      </w:r>
      <w:r w:rsidRPr="00B61E18">
        <w:rPr>
          <w:szCs w:val="20"/>
        </w:rPr>
        <w:t>with</w:t>
      </w:r>
      <w:r w:rsidR="00C64050">
        <w:rPr>
          <w:szCs w:val="20"/>
        </w:rPr>
        <w:t xml:space="preserve"> </w:t>
      </w:r>
      <w:r w:rsidRPr="00B61E18">
        <w:rPr>
          <w:szCs w:val="20"/>
        </w:rPr>
        <w:t>the</w:t>
      </w:r>
      <w:r w:rsidR="00C64050">
        <w:rPr>
          <w:szCs w:val="20"/>
        </w:rPr>
        <w:t xml:space="preserve"> </w:t>
      </w:r>
      <w:r w:rsidRPr="00B61E18">
        <w:rPr>
          <w:szCs w:val="20"/>
        </w:rPr>
        <w:t>taxpayer's</w:t>
      </w:r>
      <w:r w:rsidR="00C64050">
        <w:rPr>
          <w:szCs w:val="20"/>
        </w:rPr>
        <w:t xml:space="preserve"> </w:t>
      </w:r>
      <w:r w:rsidRPr="00B61E18">
        <w:rPr>
          <w:szCs w:val="20"/>
        </w:rPr>
        <w:t>arguments.</w:t>
      </w:r>
      <w:r w:rsidR="00C64050">
        <w:rPr>
          <w:szCs w:val="20"/>
        </w:rPr>
        <w:t xml:space="preserve"> </w:t>
      </w:r>
      <w:r w:rsidRPr="00B61E18">
        <w:rPr>
          <w:szCs w:val="20"/>
        </w:rPr>
        <w:t>The</w:t>
      </w:r>
      <w:r w:rsidR="00C64050">
        <w:rPr>
          <w:szCs w:val="20"/>
        </w:rPr>
        <w:t xml:space="preserve"> </w:t>
      </w:r>
      <w:r w:rsidRPr="00B61E18">
        <w:rPr>
          <w:szCs w:val="20"/>
        </w:rPr>
        <w:t>Government</w:t>
      </w:r>
      <w:r w:rsidR="00C64050">
        <w:rPr>
          <w:szCs w:val="20"/>
        </w:rPr>
        <w:t xml:space="preserve"> </w:t>
      </w:r>
      <w:r w:rsidRPr="00B61E18">
        <w:rPr>
          <w:szCs w:val="20"/>
        </w:rPr>
        <w:t>proffers</w:t>
      </w:r>
      <w:r w:rsidR="00C64050">
        <w:rPr>
          <w:szCs w:val="20"/>
        </w:rPr>
        <w:t xml:space="preserve"> </w:t>
      </w:r>
      <w:r w:rsidRPr="00B61E18">
        <w:rPr>
          <w:szCs w:val="20"/>
        </w:rPr>
        <w:t>that</w:t>
      </w:r>
      <w:r w:rsidR="00C64050">
        <w:rPr>
          <w:szCs w:val="20"/>
        </w:rPr>
        <w:t xml:space="preserve"> </w:t>
      </w:r>
      <w:r w:rsidRPr="00B61E18">
        <w:rPr>
          <w:szCs w:val="20"/>
        </w:rPr>
        <w:t>the</w:t>
      </w:r>
      <w:r w:rsidR="00C64050">
        <w:rPr>
          <w:szCs w:val="20"/>
        </w:rPr>
        <w:t xml:space="preserve"> </w:t>
      </w:r>
      <w:r w:rsidRPr="00B61E18">
        <w:rPr>
          <w:szCs w:val="20"/>
        </w:rPr>
        <w:t>requirements</w:t>
      </w:r>
      <w:r w:rsidR="00C64050">
        <w:rPr>
          <w:szCs w:val="20"/>
        </w:rPr>
        <w:t xml:space="preserve"> </w:t>
      </w:r>
      <w:r w:rsidRPr="00B61E18">
        <w:rPr>
          <w:szCs w:val="20"/>
        </w:rPr>
        <w:t>of</w:t>
      </w:r>
      <w:r w:rsidR="00C64050">
        <w:rPr>
          <w:szCs w:val="20"/>
        </w:rPr>
        <w:t xml:space="preserve"> </w:t>
      </w:r>
      <w:r w:rsidRPr="00B61E18">
        <w:rPr>
          <w:szCs w:val="20"/>
        </w:rPr>
        <w:t>§</w:t>
      </w:r>
      <w:r w:rsidR="00C64050">
        <w:rPr>
          <w:szCs w:val="20"/>
        </w:rPr>
        <w:t xml:space="preserve"> </w:t>
      </w:r>
      <w:r w:rsidRPr="00B61E18">
        <w:rPr>
          <w:szCs w:val="20"/>
        </w:rPr>
        <w:t>6651(a)(1)</w:t>
      </w:r>
      <w:r w:rsidR="00C64050">
        <w:rPr>
          <w:szCs w:val="20"/>
        </w:rPr>
        <w:t xml:space="preserve"> </w:t>
      </w:r>
      <w:r w:rsidRPr="00B61E18">
        <w:rPr>
          <w:szCs w:val="20"/>
        </w:rPr>
        <w:t>and</w:t>
      </w:r>
      <w:r w:rsidR="00C64050">
        <w:rPr>
          <w:szCs w:val="20"/>
        </w:rPr>
        <w:t xml:space="preserve"> </w:t>
      </w:r>
      <w:r w:rsidRPr="00B61E18">
        <w:rPr>
          <w:szCs w:val="20"/>
        </w:rPr>
        <w:t>(b)</w:t>
      </w:r>
      <w:r w:rsidR="00C64050">
        <w:rPr>
          <w:szCs w:val="20"/>
        </w:rPr>
        <w:t xml:space="preserve"> </w:t>
      </w:r>
      <w:r w:rsidRPr="00B61E18">
        <w:rPr>
          <w:szCs w:val="20"/>
        </w:rPr>
        <w:t>must</w:t>
      </w:r>
      <w:r w:rsidR="00C64050">
        <w:rPr>
          <w:szCs w:val="20"/>
        </w:rPr>
        <w:t xml:space="preserve"> </w:t>
      </w:r>
      <w:r w:rsidRPr="00B61E18">
        <w:rPr>
          <w:szCs w:val="20"/>
        </w:rPr>
        <w:t>be</w:t>
      </w:r>
      <w:r w:rsidR="00C64050">
        <w:rPr>
          <w:szCs w:val="20"/>
        </w:rPr>
        <w:t xml:space="preserve"> </w:t>
      </w:r>
      <w:r w:rsidRPr="00B61E18">
        <w:rPr>
          <w:szCs w:val="20"/>
        </w:rPr>
        <w:t>construed</w:t>
      </w:r>
      <w:r w:rsidR="00C64050">
        <w:rPr>
          <w:szCs w:val="20"/>
        </w:rPr>
        <w:t xml:space="preserve"> </w:t>
      </w:r>
      <w:r w:rsidRPr="00B61E18">
        <w:rPr>
          <w:szCs w:val="20"/>
        </w:rPr>
        <w:t>with</w:t>
      </w:r>
      <w:r w:rsidR="00C64050">
        <w:rPr>
          <w:szCs w:val="20"/>
        </w:rPr>
        <w:t xml:space="preserve"> </w:t>
      </w:r>
      <w:r w:rsidRPr="00B61E18">
        <w:rPr>
          <w:szCs w:val="20"/>
        </w:rPr>
        <w:t>another</w:t>
      </w:r>
      <w:r w:rsidR="00C64050">
        <w:rPr>
          <w:szCs w:val="20"/>
        </w:rPr>
        <w:t xml:space="preserve"> </w:t>
      </w:r>
      <w:r w:rsidRPr="00B61E18">
        <w:rPr>
          <w:szCs w:val="20"/>
        </w:rPr>
        <w:t>statute</w:t>
      </w:r>
      <w:r w:rsidR="00C64050">
        <w:rPr>
          <w:szCs w:val="20"/>
        </w:rPr>
        <w:t xml:space="preserve"> </w:t>
      </w:r>
      <w:r w:rsidRPr="00B61E18">
        <w:rPr>
          <w:szCs w:val="20"/>
        </w:rPr>
        <w:t>(26</w:t>
      </w:r>
      <w:r w:rsidR="00C64050">
        <w:rPr>
          <w:szCs w:val="20"/>
        </w:rPr>
        <w:t xml:space="preserve"> </w:t>
      </w:r>
      <w:r w:rsidRPr="00B61E18">
        <w:rPr>
          <w:szCs w:val="20"/>
        </w:rPr>
        <w:t>U.S.C.</w:t>
      </w:r>
      <w:r w:rsidR="00C64050">
        <w:rPr>
          <w:szCs w:val="20"/>
        </w:rPr>
        <w:t xml:space="preserve"> </w:t>
      </w:r>
      <w:r w:rsidRPr="00B61E18">
        <w:rPr>
          <w:szCs w:val="20"/>
        </w:rPr>
        <w:t>§</w:t>
      </w:r>
      <w:r w:rsidR="00C64050">
        <w:rPr>
          <w:szCs w:val="20"/>
        </w:rPr>
        <w:t xml:space="preserve"> </w:t>
      </w:r>
      <w:r w:rsidRPr="00B61E18">
        <w:rPr>
          <w:szCs w:val="20"/>
        </w:rPr>
        <w:t>6151)</w:t>
      </w:r>
      <w:r w:rsidR="00C64050">
        <w:rPr>
          <w:szCs w:val="20"/>
        </w:rPr>
        <w:t xml:space="preserve"> </w:t>
      </w:r>
      <w:r w:rsidRPr="00B61E18">
        <w:rPr>
          <w:szCs w:val="20"/>
        </w:rPr>
        <w:t>entitled</w:t>
      </w:r>
      <w:r w:rsidR="00C64050">
        <w:rPr>
          <w:szCs w:val="20"/>
        </w:rPr>
        <w:t xml:space="preserve"> </w:t>
      </w:r>
      <w:r w:rsidRPr="00B61E18">
        <w:rPr>
          <w:szCs w:val="20"/>
        </w:rPr>
        <w:t>“Time</w:t>
      </w:r>
      <w:r w:rsidR="00C64050">
        <w:rPr>
          <w:szCs w:val="20"/>
        </w:rPr>
        <w:t xml:space="preserve"> </w:t>
      </w:r>
      <w:r w:rsidRPr="00B61E18">
        <w:rPr>
          <w:szCs w:val="20"/>
        </w:rPr>
        <w:t>and</w:t>
      </w:r>
      <w:r w:rsidR="00C64050">
        <w:rPr>
          <w:szCs w:val="20"/>
        </w:rPr>
        <w:t xml:space="preserve"> </w:t>
      </w:r>
      <w:r w:rsidRPr="00B61E18">
        <w:rPr>
          <w:szCs w:val="20"/>
        </w:rPr>
        <w:t>place</w:t>
      </w:r>
      <w:r w:rsidR="00C64050">
        <w:rPr>
          <w:szCs w:val="20"/>
        </w:rPr>
        <w:t xml:space="preserve"> </w:t>
      </w:r>
      <w:r w:rsidRPr="00B61E18">
        <w:rPr>
          <w:szCs w:val="20"/>
        </w:rPr>
        <w:t>for</w:t>
      </w:r>
      <w:r w:rsidR="00C64050">
        <w:rPr>
          <w:szCs w:val="20"/>
        </w:rPr>
        <w:t xml:space="preserve"> </w:t>
      </w:r>
      <w:r w:rsidRPr="00B61E18">
        <w:rPr>
          <w:szCs w:val="20"/>
        </w:rPr>
        <w:t>paying</w:t>
      </w:r>
      <w:r w:rsidR="00C64050">
        <w:rPr>
          <w:szCs w:val="20"/>
        </w:rPr>
        <w:t xml:space="preserve"> </w:t>
      </w:r>
      <w:r w:rsidRPr="00B61E18">
        <w:rPr>
          <w:szCs w:val="20"/>
        </w:rPr>
        <w:t>taxes</w:t>
      </w:r>
      <w:r w:rsidR="00C64050">
        <w:rPr>
          <w:szCs w:val="20"/>
        </w:rPr>
        <w:t xml:space="preserve"> </w:t>
      </w:r>
      <w:r w:rsidRPr="00B61E18">
        <w:rPr>
          <w:szCs w:val="20"/>
        </w:rPr>
        <w:t>shown</w:t>
      </w:r>
      <w:r w:rsidR="00C64050">
        <w:rPr>
          <w:szCs w:val="20"/>
        </w:rPr>
        <w:t xml:space="preserve"> </w:t>
      </w:r>
      <w:r w:rsidRPr="00B61E18">
        <w:rPr>
          <w:szCs w:val="20"/>
        </w:rPr>
        <w:t>on</w:t>
      </w:r>
      <w:r w:rsidR="00C64050">
        <w:rPr>
          <w:szCs w:val="20"/>
        </w:rPr>
        <w:t xml:space="preserve"> </w:t>
      </w:r>
      <w:r w:rsidRPr="00B61E18">
        <w:rPr>
          <w:szCs w:val="20"/>
        </w:rPr>
        <w:t>returns.”</w:t>
      </w:r>
      <w:r w:rsidR="00C64050">
        <w:rPr>
          <w:szCs w:val="20"/>
        </w:rPr>
        <w:t xml:space="preserve"> </w:t>
      </w:r>
      <w:r w:rsidRPr="00B61E18">
        <w:rPr>
          <w:szCs w:val="20"/>
        </w:rPr>
        <w:t>§</w:t>
      </w:r>
      <w:r w:rsidR="00C64050">
        <w:rPr>
          <w:szCs w:val="20"/>
        </w:rPr>
        <w:t xml:space="preserve"> </w:t>
      </w:r>
      <w:r w:rsidRPr="00B61E18">
        <w:rPr>
          <w:szCs w:val="20"/>
        </w:rPr>
        <w:t>6151</w:t>
      </w:r>
      <w:r w:rsidR="0035039F">
        <w:rPr>
          <w:szCs w:val="20"/>
        </w:rPr>
        <w:t xml:space="preserve"> </w:t>
      </w:r>
      <w:r w:rsidRPr="00B61E18">
        <w:rPr>
          <w:szCs w:val="20"/>
        </w:rPr>
        <w:t>states:</w:t>
      </w:r>
      <w:r w:rsidR="00C64050">
        <w:rPr>
          <w:szCs w:val="20"/>
        </w:rPr>
        <w:t xml:space="preserve"> </w:t>
      </w:r>
      <w:r w:rsidRPr="00B61E18">
        <w:rPr>
          <w:szCs w:val="20"/>
        </w:rPr>
        <w:t>“[T]he</w:t>
      </w:r>
      <w:r w:rsidR="00C64050">
        <w:rPr>
          <w:szCs w:val="20"/>
        </w:rPr>
        <w:t xml:space="preserve"> </w:t>
      </w:r>
      <w:r w:rsidRPr="00B61E18">
        <w:rPr>
          <w:szCs w:val="20"/>
        </w:rPr>
        <w:t>date</w:t>
      </w:r>
      <w:r w:rsidR="00C64050">
        <w:rPr>
          <w:szCs w:val="20"/>
        </w:rPr>
        <w:t xml:space="preserve"> </w:t>
      </w:r>
      <w:r w:rsidRPr="00B61E18">
        <w:rPr>
          <w:szCs w:val="20"/>
        </w:rPr>
        <w:t>filed</w:t>
      </w:r>
      <w:r w:rsidR="00C64050">
        <w:rPr>
          <w:szCs w:val="20"/>
        </w:rPr>
        <w:t xml:space="preserve"> </w:t>
      </w:r>
      <w:r w:rsidRPr="00B61E18">
        <w:rPr>
          <w:szCs w:val="20"/>
        </w:rPr>
        <w:t>for</w:t>
      </w:r>
      <w:r w:rsidR="00C64050">
        <w:rPr>
          <w:szCs w:val="20"/>
        </w:rPr>
        <w:t xml:space="preserve"> </w:t>
      </w:r>
      <w:r w:rsidRPr="00B61E18">
        <w:rPr>
          <w:szCs w:val="20"/>
        </w:rPr>
        <w:t>payment</w:t>
      </w:r>
      <w:r w:rsidR="00C64050">
        <w:rPr>
          <w:szCs w:val="20"/>
        </w:rPr>
        <w:t xml:space="preserve"> </w:t>
      </w:r>
      <w:r w:rsidRPr="00B61E18">
        <w:rPr>
          <w:szCs w:val="20"/>
        </w:rPr>
        <w:t>of</w:t>
      </w:r>
      <w:r w:rsidR="00C64050">
        <w:rPr>
          <w:szCs w:val="20"/>
        </w:rPr>
        <w:t xml:space="preserve"> </w:t>
      </w:r>
      <w:r w:rsidRPr="00B61E18">
        <w:rPr>
          <w:szCs w:val="20"/>
        </w:rPr>
        <w:t>such</w:t>
      </w:r>
      <w:r w:rsidR="00C64050">
        <w:rPr>
          <w:szCs w:val="20"/>
        </w:rPr>
        <w:t xml:space="preserve"> </w:t>
      </w:r>
      <w:r w:rsidRPr="00B61E18">
        <w:rPr>
          <w:szCs w:val="20"/>
        </w:rPr>
        <w:t>tax</w:t>
      </w:r>
      <w:r w:rsidR="00C64050">
        <w:rPr>
          <w:szCs w:val="20"/>
        </w:rPr>
        <w:t xml:space="preserve"> </w:t>
      </w:r>
      <w:r w:rsidRPr="00B61E18">
        <w:rPr>
          <w:szCs w:val="20"/>
        </w:rPr>
        <w:t>shall</w:t>
      </w:r>
      <w:r w:rsidR="00C64050">
        <w:rPr>
          <w:szCs w:val="20"/>
        </w:rPr>
        <w:t xml:space="preserve"> </w:t>
      </w:r>
      <w:r w:rsidRPr="00B61E18">
        <w:rPr>
          <w:szCs w:val="20"/>
        </w:rPr>
        <w:t>be</w:t>
      </w:r>
      <w:r w:rsidR="00C64050">
        <w:rPr>
          <w:szCs w:val="20"/>
        </w:rPr>
        <w:t xml:space="preserve"> </w:t>
      </w:r>
      <w:r w:rsidRPr="00B61E18">
        <w:rPr>
          <w:szCs w:val="20"/>
        </w:rPr>
        <w:t>deemed</w:t>
      </w:r>
      <w:r w:rsidR="00C64050">
        <w:rPr>
          <w:szCs w:val="20"/>
        </w:rPr>
        <w:t xml:space="preserve"> </w:t>
      </w:r>
      <w:r w:rsidRPr="00B61E18">
        <w:rPr>
          <w:szCs w:val="20"/>
        </w:rPr>
        <w:t>a</w:t>
      </w:r>
      <w:r w:rsidR="00C64050">
        <w:rPr>
          <w:szCs w:val="20"/>
        </w:rPr>
        <w:t xml:space="preserve"> </w:t>
      </w:r>
      <w:r w:rsidRPr="00B61E18">
        <w:rPr>
          <w:szCs w:val="20"/>
        </w:rPr>
        <w:t>reference</w:t>
      </w:r>
      <w:r w:rsidR="00C64050">
        <w:rPr>
          <w:szCs w:val="20"/>
        </w:rPr>
        <w:t xml:space="preserve"> </w:t>
      </w:r>
      <w:r w:rsidRPr="00B61E18">
        <w:rPr>
          <w:szCs w:val="20"/>
        </w:rPr>
        <w:t>to</w:t>
      </w:r>
      <w:r w:rsidR="00C64050">
        <w:rPr>
          <w:szCs w:val="20"/>
        </w:rPr>
        <w:t xml:space="preserve"> </w:t>
      </w:r>
      <w:r w:rsidRPr="00B61E18">
        <w:rPr>
          <w:szCs w:val="20"/>
        </w:rPr>
        <w:t>the</w:t>
      </w:r>
      <w:r w:rsidR="00C64050">
        <w:rPr>
          <w:szCs w:val="20"/>
        </w:rPr>
        <w:t xml:space="preserve"> </w:t>
      </w:r>
      <w:r w:rsidRPr="00B61E18">
        <w:rPr>
          <w:szCs w:val="20"/>
        </w:rPr>
        <w:t>last</w:t>
      </w:r>
      <w:r w:rsidR="00C64050">
        <w:rPr>
          <w:szCs w:val="20"/>
        </w:rPr>
        <w:t xml:space="preserve"> </w:t>
      </w:r>
      <w:r w:rsidRPr="00B61E18">
        <w:rPr>
          <w:szCs w:val="20"/>
        </w:rPr>
        <w:t>day</w:t>
      </w:r>
      <w:r w:rsidR="00C64050">
        <w:rPr>
          <w:szCs w:val="20"/>
        </w:rPr>
        <w:t xml:space="preserve"> </w:t>
      </w:r>
      <w:r w:rsidRPr="00B61E18">
        <w:rPr>
          <w:szCs w:val="20"/>
        </w:rPr>
        <w:t>fixed</w:t>
      </w:r>
      <w:r w:rsidR="00C64050">
        <w:rPr>
          <w:szCs w:val="20"/>
        </w:rPr>
        <w:t xml:space="preserve"> </w:t>
      </w:r>
      <w:r w:rsidRPr="00B61E18">
        <w:rPr>
          <w:szCs w:val="20"/>
        </w:rPr>
        <w:t>for</w:t>
      </w:r>
      <w:r w:rsidR="00C64050">
        <w:rPr>
          <w:szCs w:val="20"/>
        </w:rPr>
        <w:t xml:space="preserve"> </w:t>
      </w:r>
      <w:r w:rsidRPr="00B61E18">
        <w:rPr>
          <w:szCs w:val="20"/>
        </w:rPr>
        <w:t>such</w:t>
      </w:r>
      <w:r w:rsidR="00C64050">
        <w:rPr>
          <w:szCs w:val="20"/>
        </w:rPr>
        <w:t xml:space="preserve"> </w:t>
      </w:r>
      <w:r w:rsidRPr="00B61E18">
        <w:rPr>
          <w:szCs w:val="20"/>
        </w:rPr>
        <w:t>payment</w:t>
      </w:r>
      <w:r w:rsidR="00C64050">
        <w:rPr>
          <w:szCs w:val="20"/>
        </w:rPr>
        <w:t xml:space="preserve"> </w:t>
      </w:r>
      <w:r w:rsidRPr="00B61E18">
        <w:rPr>
          <w:szCs w:val="20"/>
        </w:rPr>
        <w:t>(determined</w:t>
      </w:r>
      <w:r w:rsidR="00C64050">
        <w:rPr>
          <w:szCs w:val="20"/>
        </w:rPr>
        <w:t xml:space="preserve"> </w:t>
      </w:r>
      <w:r w:rsidRPr="00B61E18">
        <w:rPr>
          <w:szCs w:val="20"/>
        </w:rPr>
        <w:t>without</w:t>
      </w:r>
      <w:r w:rsidR="00C64050">
        <w:rPr>
          <w:szCs w:val="20"/>
        </w:rPr>
        <w:t xml:space="preserve"> </w:t>
      </w:r>
      <w:r w:rsidRPr="00B61E18">
        <w:rPr>
          <w:szCs w:val="20"/>
        </w:rPr>
        <w:t>regard</w:t>
      </w:r>
      <w:r w:rsidR="00C64050">
        <w:rPr>
          <w:szCs w:val="20"/>
        </w:rPr>
        <w:t xml:space="preserve"> </w:t>
      </w:r>
      <w:r w:rsidRPr="00B61E18">
        <w:rPr>
          <w:szCs w:val="20"/>
        </w:rPr>
        <w:t>to</w:t>
      </w:r>
      <w:r w:rsidR="00C64050">
        <w:rPr>
          <w:szCs w:val="20"/>
        </w:rPr>
        <w:t xml:space="preserve"> </w:t>
      </w:r>
      <w:r w:rsidRPr="00B61E18">
        <w:rPr>
          <w:szCs w:val="20"/>
        </w:rPr>
        <w:t>any</w:t>
      </w:r>
      <w:r w:rsidR="00C64050">
        <w:rPr>
          <w:szCs w:val="20"/>
        </w:rPr>
        <w:t xml:space="preserve"> </w:t>
      </w:r>
      <w:r w:rsidRPr="00B61E18">
        <w:rPr>
          <w:szCs w:val="20"/>
        </w:rPr>
        <w:t>extension</w:t>
      </w:r>
      <w:r w:rsidR="00C64050">
        <w:rPr>
          <w:szCs w:val="20"/>
        </w:rPr>
        <w:t xml:space="preserve"> </w:t>
      </w:r>
      <w:r w:rsidRPr="00B61E18">
        <w:rPr>
          <w:szCs w:val="20"/>
        </w:rPr>
        <w:t>of</w:t>
      </w:r>
      <w:r w:rsidR="00C64050">
        <w:rPr>
          <w:szCs w:val="20"/>
        </w:rPr>
        <w:t xml:space="preserve"> </w:t>
      </w:r>
      <w:r w:rsidRPr="00B61E18">
        <w:rPr>
          <w:szCs w:val="20"/>
        </w:rPr>
        <w:t>time</w:t>
      </w:r>
      <w:r w:rsidR="00C64050">
        <w:rPr>
          <w:szCs w:val="20"/>
        </w:rPr>
        <w:t xml:space="preserve"> </w:t>
      </w:r>
      <w:r w:rsidRPr="00B61E18">
        <w:rPr>
          <w:szCs w:val="20"/>
        </w:rPr>
        <w:t>for</w:t>
      </w:r>
      <w:r w:rsidR="00C64050">
        <w:rPr>
          <w:szCs w:val="20"/>
        </w:rPr>
        <w:t xml:space="preserve"> </w:t>
      </w:r>
      <w:r w:rsidRPr="00B61E18">
        <w:rPr>
          <w:szCs w:val="20"/>
        </w:rPr>
        <w:t>paying</w:t>
      </w:r>
      <w:r w:rsidR="00C64050">
        <w:rPr>
          <w:szCs w:val="20"/>
        </w:rPr>
        <w:t xml:space="preserve"> </w:t>
      </w:r>
      <w:r w:rsidRPr="00B61E18">
        <w:rPr>
          <w:szCs w:val="20"/>
        </w:rPr>
        <w:t>the</w:t>
      </w:r>
      <w:r w:rsidR="00C64050">
        <w:rPr>
          <w:szCs w:val="20"/>
        </w:rPr>
        <w:t xml:space="preserve"> </w:t>
      </w:r>
      <w:r w:rsidRPr="00B61E18">
        <w:rPr>
          <w:szCs w:val="20"/>
        </w:rPr>
        <w:t>tax).”</w:t>
      </w:r>
      <w:r w:rsidR="00C64050">
        <w:rPr>
          <w:szCs w:val="20"/>
        </w:rPr>
        <w:t xml:space="preserve"> </w:t>
      </w:r>
      <w:r w:rsidRPr="00B61E18">
        <w:rPr>
          <w:szCs w:val="20"/>
        </w:rPr>
        <w:t>More</w:t>
      </w:r>
      <w:r w:rsidR="00C64050">
        <w:rPr>
          <w:szCs w:val="20"/>
        </w:rPr>
        <w:t xml:space="preserve"> </w:t>
      </w:r>
      <w:r w:rsidRPr="00B61E18">
        <w:rPr>
          <w:szCs w:val="20"/>
        </w:rPr>
        <w:t>specifically,</w:t>
      </w:r>
      <w:r w:rsidR="00C64050">
        <w:rPr>
          <w:szCs w:val="20"/>
        </w:rPr>
        <w:t xml:space="preserve"> </w:t>
      </w:r>
      <w:r w:rsidRPr="00B61E18">
        <w:rPr>
          <w:szCs w:val="20"/>
        </w:rPr>
        <w:t>§</w:t>
      </w:r>
      <w:r w:rsidR="00C64050">
        <w:rPr>
          <w:szCs w:val="20"/>
        </w:rPr>
        <w:t xml:space="preserve"> </w:t>
      </w:r>
      <w:r w:rsidRPr="00B61E18">
        <w:rPr>
          <w:szCs w:val="20"/>
        </w:rPr>
        <w:t>6151</w:t>
      </w:r>
      <w:r w:rsidR="00C64050">
        <w:rPr>
          <w:szCs w:val="20"/>
        </w:rPr>
        <w:t xml:space="preserve"> </w:t>
      </w:r>
      <w:r w:rsidRPr="00B61E18">
        <w:rPr>
          <w:szCs w:val="20"/>
        </w:rPr>
        <w:t>reads</w:t>
      </w:r>
      <w:r w:rsidR="00C64050">
        <w:rPr>
          <w:szCs w:val="20"/>
        </w:rPr>
        <w:t xml:space="preserve"> </w:t>
      </w:r>
      <w:r w:rsidRPr="00B61E18">
        <w:rPr>
          <w:szCs w:val="20"/>
        </w:rPr>
        <w:t>in</w:t>
      </w:r>
      <w:r w:rsidR="00C64050">
        <w:rPr>
          <w:szCs w:val="20"/>
        </w:rPr>
        <w:t xml:space="preserve"> </w:t>
      </w:r>
      <w:r w:rsidRPr="00B61E18">
        <w:rPr>
          <w:szCs w:val="20"/>
        </w:rPr>
        <w:t>pertinent</w:t>
      </w:r>
      <w:r w:rsidR="00C64050">
        <w:rPr>
          <w:szCs w:val="20"/>
        </w:rPr>
        <w:t xml:space="preserve"> </w:t>
      </w:r>
      <w:r w:rsidRPr="00B61E18">
        <w:rPr>
          <w:szCs w:val="20"/>
        </w:rPr>
        <w:t>part:</w:t>
      </w:r>
    </w:p>
    <w:p w:rsidR="00A27958" w:rsidRPr="00B61E18" w:rsidRDefault="00A27958" w:rsidP="00B61E18">
      <w:pPr>
        <w:pStyle w:val="QS10"/>
        <w:ind w:left="2160"/>
        <w:rPr>
          <w:szCs w:val="20"/>
        </w:rPr>
      </w:pPr>
      <w:r w:rsidRPr="00B61E18">
        <w:rPr>
          <w:szCs w:val="20"/>
        </w:rPr>
        <w:t>(a)</w:t>
      </w:r>
      <w:r w:rsidR="00C64050">
        <w:rPr>
          <w:szCs w:val="20"/>
        </w:rPr>
        <w:t xml:space="preserve"> </w:t>
      </w:r>
      <w:r w:rsidRPr="00B61E18">
        <w:rPr>
          <w:szCs w:val="20"/>
        </w:rPr>
        <w:t>General</w:t>
      </w:r>
      <w:r w:rsidR="00C64050">
        <w:rPr>
          <w:szCs w:val="20"/>
        </w:rPr>
        <w:t xml:space="preserve"> </w:t>
      </w:r>
      <w:r w:rsidRPr="00B61E18">
        <w:rPr>
          <w:szCs w:val="20"/>
        </w:rPr>
        <w:t>rule.</w:t>
      </w:r>
      <w:r w:rsidR="00C64050">
        <w:rPr>
          <w:szCs w:val="20"/>
        </w:rPr>
        <w:t xml:space="preserve"> </w:t>
      </w:r>
      <w:r w:rsidRPr="00B61E18">
        <w:rPr>
          <w:szCs w:val="20"/>
        </w:rPr>
        <w:t>Except</w:t>
      </w:r>
      <w:r w:rsidR="00C64050">
        <w:rPr>
          <w:szCs w:val="20"/>
        </w:rPr>
        <w:t xml:space="preserve"> </w:t>
      </w:r>
      <w:r w:rsidRPr="00B61E18">
        <w:rPr>
          <w:szCs w:val="20"/>
        </w:rPr>
        <w:t>as</w:t>
      </w:r>
      <w:r w:rsidR="00C64050">
        <w:rPr>
          <w:szCs w:val="20"/>
        </w:rPr>
        <w:t xml:space="preserve"> </w:t>
      </w:r>
      <w:r w:rsidRPr="00B61E18">
        <w:rPr>
          <w:szCs w:val="20"/>
        </w:rPr>
        <w:t>otherwise</w:t>
      </w:r>
      <w:r w:rsidR="00C64050">
        <w:rPr>
          <w:szCs w:val="20"/>
        </w:rPr>
        <w:t xml:space="preserve"> </w:t>
      </w:r>
      <w:r w:rsidRPr="00B61E18">
        <w:rPr>
          <w:szCs w:val="20"/>
        </w:rPr>
        <w:t>provided</w:t>
      </w:r>
      <w:r w:rsidR="00C64050">
        <w:rPr>
          <w:szCs w:val="20"/>
        </w:rPr>
        <w:t xml:space="preserve"> </w:t>
      </w:r>
      <w:r w:rsidRPr="00B61E18">
        <w:rPr>
          <w:szCs w:val="20"/>
        </w:rPr>
        <w:t>in</w:t>
      </w:r>
      <w:r w:rsidR="00C64050">
        <w:rPr>
          <w:szCs w:val="20"/>
        </w:rPr>
        <w:t xml:space="preserve"> </w:t>
      </w:r>
      <w:r w:rsidRPr="00B61E18">
        <w:rPr>
          <w:szCs w:val="20"/>
        </w:rPr>
        <w:t>this</w:t>
      </w:r>
      <w:r w:rsidR="00C64050">
        <w:rPr>
          <w:szCs w:val="20"/>
        </w:rPr>
        <w:t xml:space="preserve"> </w:t>
      </w:r>
      <w:r w:rsidRPr="00B61E18">
        <w:rPr>
          <w:szCs w:val="20"/>
        </w:rPr>
        <w:t>subchapter</w:t>
      </w:r>
      <w:r w:rsidR="00C64050">
        <w:rPr>
          <w:szCs w:val="20"/>
        </w:rPr>
        <w:t xml:space="preserve"> </w:t>
      </w:r>
      <w:r w:rsidRPr="00B61E18">
        <w:rPr>
          <w:szCs w:val="20"/>
        </w:rPr>
        <w:t>[26</w:t>
      </w:r>
      <w:r w:rsidR="00C64050">
        <w:rPr>
          <w:szCs w:val="20"/>
        </w:rPr>
        <w:t xml:space="preserve"> </w:t>
      </w:r>
      <w:r w:rsidRPr="00B61E18">
        <w:rPr>
          <w:szCs w:val="20"/>
        </w:rPr>
        <w:t>USCS</w:t>
      </w:r>
      <w:r w:rsidR="00C64050">
        <w:rPr>
          <w:szCs w:val="20"/>
        </w:rPr>
        <w:t xml:space="preserve"> </w:t>
      </w:r>
      <w:r w:rsidRPr="00B61E18">
        <w:rPr>
          <w:szCs w:val="20"/>
        </w:rPr>
        <w:t>§</w:t>
      </w:r>
      <w:r w:rsidR="00C64050">
        <w:rPr>
          <w:szCs w:val="20"/>
        </w:rPr>
        <w:t xml:space="preserve"> </w:t>
      </w:r>
      <w:r w:rsidRPr="00B61E18">
        <w:rPr>
          <w:szCs w:val="20"/>
        </w:rPr>
        <w:t>6151</w:t>
      </w:r>
      <w:r w:rsidR="00C64050">
        <w:rPr>
          <w:szCs w:val="20"/>
        </w:rPr>
        <w:t xml:space="preserve"> </w:t>
      </w:r>
      <w:r w:rsidRPr="00B61E18">
        <w:rPr>
          <w:rStyle w:val="Emphasis"/>
          <w:szCs w:val="20"/>
        </w:rPr>
        <w:t>et</w:t>
      </w:r>
      <w:r w:rsidR="00C64050">
        <w:rPr>
          <w:rStyle w:val="Emphasis"/>
          <w:szCs w:val="20"/>
        </w:rPr>
        <w:t xml:space="preserve"> </w:t>
      </w:r>
      <w:r w:rsidRPr="00B61E18">
        <w:rPr>
          <w:rStyle w:val="Emphasis"/>
          <w:szCs w:val="20"/>
        </w:rPr>
        <w:t>seq.</w:t>
      </w:r>
      <w:r w:rsidRPr="00B61E18">
        <w:rPr>
          <w:szCs w:val="20"/>
        </w:rPr>
        <w:t>]</w:t>
      </w:r>
      <w:r w:rsidR="00C64050">
        <w:rPr>
          <w:szCs w:val="20"/>
        </w:rPr>
        <w:t xml:space="preserve"> </w:t>
      </w:r>
      <w:r w:rsidRPr="00B61E18">
        <w:rPr>
          <w:szCs w:val="20"/>
        </w:rPr>
        <w:t>when</w:t>
      </w:r>
      <w:r w:rsidR="00C64050">
        <w:rPr>
          <w:szCs w:val="20"/>
        </w:rPr>
        <w:t xml:space="preserve"> </w:t>
      </w:r>
      <w:r w:rsidRPr="00B61E18">
        <w:rPr>
          <w:szCs w:val="20"/>
        </w:rPr>
        <w:t>a</w:t>
      </w:r>
      <w:r w:rsidR="00C64050">
        <w:rPr>
          <w:szCs w:val="20"/>
        </w:rPr>
        <w:t xml:space="preserve"> </w:t>
      </w:r>
      <w:r w:rsidRPr="00B61E18">
        <w:rPr>
          <w:szCs w:val="20"/>
        </w:rPr>
        <w:t>return</w:t>
      </w:r>
      <w:r w:rsidR="00C64050">
        <w:rPr>
          <w:szCs w:val="20"/>
        </w:rPr>
        <w:t xml:space="preserve"> </w:t>
      </w:r>
      <w:r w:rsidRPr="00B61E18">
        <w:rPr>
          <w:szCs w:val="20"/>
        </w:rPr>
        <w:t>of</w:t>
      </w:r>
      <w:r w:rsidR="00C64050">
        <w:rPr>
          <w:szCs w:val="20"/>
        </w:rPr>
        <w:t xml:space="preserve"> </w:t>
      </w:r>
      <w:r w:rsidRPr="00B61E18">
        <w:rPr>
          <w:szCs w:val="20"/>
        </w:rPr>
        <w:t>tax</w:t>
      </w:r>
      <w:r w:rsidR="00C64050">
        <w:rPr>
          <w:szCs w:val="20"/>
        </w:rPr>
        <w:t xml:space="preserve"> </w:t>
      </w:r>
      <w:r w:rsidRPr="00B61E18">
        <w:rPr>
          <w:szCs w:val="20"/>
        </w:rPr>
        <w:t>is</w:t>
      </w:r>
      <w:r w:rsidR="00C64050">
        <w:rPr>
          <w:szCs w:val="20"/>
        </w:rPr>
        <w:t xml:space="preserve"> </w:t>
      </w:r>
      <w:r w:rsidRPr="00B61E18">
        <w:rPr>
          <w:szCs w:val="20"/>
        </w:rPr>
        <w:t>required</w:t>
      </w:r>
      <w:r w:rsidR="00C64050">
        <w:rPr>
          <w:szCs w:val="20"/>
        </w:rPr>
        <w:t xml:space="preserve"> </w:t>
      </w:r>
      <w:r w:rsidRPr="00B61E18">
        <w:rPr>
          <w:szCs w:val="20"/>
        </w:rPr>
        <w:t>under</w:t>
      </w:r>
      <w:r w:rsidR="00C64050">
        <w:rPr>
          <w:szCs w:val="20"/>
        </w:rPr>
        <w:t xml:space="preserve"> </w:t>
      </w:r>
      <w:r w:rsidRPr="00B61E18">
        <w:rPr>
          <w:szCs w:val="20"/>
        </w:rPr>
        <w:t>this</w:t>
      </w:r>
      <w:r w:rsidR="00C64050">
        <w:rPr>
          <w:szCs w:val="20"/>
        </w:rPr>
        <w:t xml:space="preserve"> </w:t>
      </w:r>
      <w:r w:rsidRPr="00B61E18">
        <w:rPr>
          <w:szCs w:val="20"/>
        </w:rPr>
        <w:t>title</w:t>
      </w:r>
      <w:r w:rsidR="00C64050">
        <w:rPr>
          <w:szCs w:val="20"/>
        </w:rPr>
        <w:t xml:space="preserve"> </w:t>
      </w:r>
      <w:r w:rsidRPr="00B61E18">
        <w:rPr>
          <w:szCs w:val="20"/>
        </w:rPr>
        <w:t>or</w:t>
      </w:r>
      <w:r w:rsidR="00C64050">
        <w:rPr>
          <w:szCs w:val="20"/>
        </w:rPr>
        <w:t xml:space="preserve"> </w:t>
      </w:r>
      <w:r w:rsidRPr="00B61E18">
        <w:rPr>
          <w:szCs w:val="20"/>
        </w:rPr>
        <w:t>regulations,</w:t>
      </w:r>
      <w:r w:rsidR="00C64050">
        <w:rPr>
          <w:szCs w:val="20"/>
        </w:rPr>
        <w:t xml:space="preserve"> </w:t>
      </w:r>
      <w:r w:rsidRPr="00B61E18">
        <w:rPr>
          <w:szCs w:val="20"/>
        </w:rPr>
        <w:t>the</w:t>
      </w:r>
      <w:r w:rsidR="00C64050">
        <w:rPr>
          <w:szCs w:val="20"/>
        </w:rPr>
        <w:t xml:space="preserve"> </w:t>
      </w:r>
      <w:r w:rsidRPr="00B61E18">
        <w:rPr>
          <w:szCs w:val="20"/>
        </w:rPr>
        <w:t>person</w:t>
      </w:r>
      <w:r w:rsidR="00C64050">
        <w:rPr>
          <w:szCs w:val="20"/>
        </w:rPr>
        <w:t xml:space="preserve"> </w:t>
      </w:r>
      <w:r w:rsidRPr="00B61E18">
        <w:rPr>
          <w:szCs w:val="20"/>
        </w:rPr>
        <w:t>required</w:t>
      </w:r>
      <w:r w:rsidR="00C64050">
        <w:rPr>
          <w:szCs w:val="20"/>
        </w:rPr>
        <w:t xml:space="preserve"> </w:t>
      </w:r>
      <w:r w:rsidRPr="00B61E18">
        <w:rPr>
          <w:szCs w:val="20"/>
        </w:rPr>
        <w:t>to</w:t>
      </w:r>
      <w:r w:rsidR="00C64050">
        <w:rPr>
          <w:szCs w:val="20"/>
        </w:rPr>
        <w:t xml:space="preserve"> </w:t>
      </w:r>
      <w:r w:rsidRPr="00B61E18">
        <w:rPr>
          <w:szCs w:val="20"/>
        </w:rPr>
        <w:t>make</w:t>
      </w:r>
      <w:r w:rsidR="00C64050">
        <w:rPr>
          <w:szCs w:val="20"/>
        </w:rPr>
        <w:t xml:space="preserve"> </w:t>
      </w:r>
      <w:r w:rsidRPr="00B61E18">
        <w:rPr>
          <w:szCs w:val="20"/>
        </w:rPr>
        <w:t>such</w:t>
      </w:r>
      <w:r w:rsidR="00C64050">
        <w:rPr>
          <w:szCs w:val="20"/>
        </w:rPr>
        <w:t xml:space="preserve"> </w:t>
      </w:r>
      <w:r w:rsidRPr="00B61E18">
        <w:rPr>
          <w:szCs w:val="20"/>
        </w:rPr>
        <w:t>return</w:t>
      </w:r>
      <w:r w:rsidR="00C64050">
        <w:rPr>
          <w:szCs w:val="20"/>
        </w:rPr>
        <w:t xml:space="preserve"> </w:t>
      </w:r>
      <w:r w:rsidRPr="00B61E18">
        <w:rPr>
          <w:szCs w:val="20"/>
        </w:rPr>
        <w:t>shall,</w:t>
      </w:r>
      <w:r w:rsidR="00C64050">
        <w:rPr>
          <w:szCs w:val="20"/>
        </w:rPr>
        <w:t xml:space="preserve"> </w:t>
      </w:r>
      <w:r w:rsidRPr="00B61E18">
        <w:rPr>
          <w:szCs w:val="20"/>
        </w:rPr>
        <w:t>without</w:t>
      </w:r>
      <w:r w:rsidR="00C64050">
        <w:rPr>
          <w:szCs w:val="20"/>
        </w:rPr>
        <w:t xml:space="preserve"> </w:t>
      </w:r>
      <w:r w:rsidRPr="00B61E18">
        <w:rPr>
          <w:szCs w:val="20"/>
        </w:rPr>
        <w:t>assessment</w:t>
      </w:r>
      <w:r w:rsidR="00C64050">
        <w:rPr>
          <w:szCs w:val="20"/>
        </w:rPr>
        <w:t xml:space="preserve"> </w:t>
      </w:r>
      <w:r w:rsidRPr="00B61E18">
        <w:rPr>
          <w:szCs w:val="20"/>
        </w:rPr>
        <w:t>or</w:t>
      </w:r>
      <w:r w:rsidR="00C64050">
        <w:rPr>
          <w:szCs w:val="20"/>
        </w:rPr>
        <w:t xml:space="preserve"> </w:t>
      </w:r>
      <w:r w:rsidRPr="00B61E18">
        <w:rPr>
          <w:szCs w:val="20"/>
        </w:rPr>
        <w:t>notice</w:t>
      </w:r>
      <w:r w:rsidR="00C64050">
        <w:rPr>
          <w:szCs w:val="20"/>
        </w:rPr>
        <w:t xml:space="preserve"> </w:t>
      </w:r>
      <w:r w:rsidRPr="00B61E18">
        <w:rPr>
          <w:szCs w:val="20"/>
        </w:rPr>
        <w:t>and</w:t>
      </w:r>
      <w:r w:rsidR="00C64050">
        <w:rPr>
          <w:szCs w:val="20"/>
        </w:rPr>
        <w:t xml:space="preserve"> </w:t>
      </w:r>
      <w:r w:rsidRPr="00B61E18">
        <w:rPr>
          <w:szCs w:val="20"/>
        </w:rPr>
        <w:t>demand</w:t>
      </w:r>
      <w:r w:rsidR="00C64050">
        <w:rPr>
          <w:szCs w:val="20"/>
        </w:rPr>
        <w:t xml:space="preserve"> </w:t>
      </w:r>
      <w:r w:rsidRPr="00B61E18">
        <w:rPr>
          <w:szCs w:val="20"/>
        </w:rPr>
        <w:t>from</w:t>
      </w:r>
      <w:r w:rsidR="00C64050">
        <w:rPr>
          <w:szCs w:val="20"/>
        </w:rPr>
        <w:t xml:space="preserve"> </w:t>
      </w:r>
      <w:r w:rsidRPr="00B61E18">
        <w:rPr>
          <w:szCs w:val="20"/>
        </w:rPr>
        <w:t>the</w:t>
      </w:r>
      <w:r w:rsidR="00C64050">
        <w:rPr>
          <w:szCs w:val="20"/>
        </w:rPr>
        <w:t xml:space="preserve"> </w:t>
      </w:r>
      <w:r w:rsidRPr="00B61E18">
        <w:rPr>
          <w:szCs w:val="20"/>
        </w:rPr>
        <w:t>Secretary,</w:t>
      </w:r>
      <w:r w:rsidR="00C64050">
        <w:rPr>
          <w:szCs w:val="20"/>
        </w:rPr>
        <w:t xml:space="preserve"> </w:t>
      </w:r>
      <w:r w:rsidRPr="00B61E18">
        <w:rPr>
          <w:szCs w:val="20"/>
        </w:rPr>
        <w:t>pay</w:t>
      </w:r>
      <w:r w:rsidR="00C64050">
        <w:rPr>
          <w:szCs w:val="20"/>
        </w:rPr>
        <w:t xml:space="preserve"> </w:t>
      </w:r>
      <w:r w:rsidRPr="00B61E18">
        <w:rPr>
          <w:szCs w:val="20"/>
        </w:rPr>
        <w:t>such</w:t>
      </w:r>
      <w:r w:rsidR="00C64050">
        <w:rPr>
          <w:szCs w:val="20"/>
        </w:rPr>
        <w:t xml:space="preserve"> </w:t>
      </w:r>
      <w:r w:rsidRPr="00B61E18">
        <w:rPr>
          <w:szCs w:val="20"/>
        </w:rPr>
        <w:t>tax</w:t>
      </w:r>
      <w:r w:rsidR="00C64050">
        <w:rPr>
          <w:szCs w:val="20"/>
        </w:rPr>
        <w:t xml:space="preserve"> </w:t>
      </w:r>
      <w:r w:rsidRPr="00B61E18">
        <w:rPr>
          <w:szCs w:val="20"/>
        </w:rPr>
        <w:t>to</w:t>
      </w:r>
      <w:r w:rsidR="00C64050">
        <w:rPr>
          <w:szCs w:val="20"/>
        </w:rPr>
        <w:t xml:space="preserve"> </w:t>
      </w:r>
      <w:r w:rsidRPr="00B61E18">
        <w:rPr>
          <w:szCs w:val="20"/>
        </w:rPr>
        <w:t>the</w:t>
      </w:r>
      <w:r w:rsidR="00C64050">
        <w:rPr>
          <w:szCs w:val="20"/>
        </w:rPr>
        <w:t xml:space="preserve"> </w:t>
      </w:r>
      <w:r w:rsidRPr="00B61E18">
        <w:rPr>
          <w:szCs w:val="20"/>
        </w:rPr>
        <w:t>internal</w:t>
      </w:r>
      <w:r w:rsidR="00C64050">
        <w:rPr>
          <w:szCs w:val="20"/>
        </w:rPr>
        <w:t xml:space="preserve"> </w:t>
      </w:r>
      <w:r w:rsidRPr="00B61E18">
        <w:rPr>
          <w:szCs w:val="20"/>
        </w:rPr>
        <w:t>revenue</w:t>
      </w:r>
      <w:r w:rsidR="00C64050">
        <w:rPr>
          <w:szCs w:val="20"/>
        </w:rPr>
        <w:t xml:space="preserve"> </w:t>
      </w:r>
      <w:r w:rsidRPr="00B61E18">
        <w:rPr>
          <w:szCs w:val="20"/>
        </w:rPr>
        <w:t>officer</w:t>
      </w:r>
      <w:r w:rsidR="00C64050">
        <w:rPr>
          <w:szCs w:val="20"/>
        </w:rPr>
        <w:t xml:space="preserve"> </w:t>
      </w:r>
      <w:r w:rsidRPr="00B61E18">
        <w:rPr>
          <w:szCs w:val="20"/>
        </w:rPr>
        <w:t>with</w:t>
      </w:r>
      <w:r w:rsidR="00C64050">
        <w:rPr>
          <w:szCs w:val="20"/>
        </w:rPr>
        <w:t xml:space="preserve"> </w:t>
      </w:r>
      <w:r w:rsidRPr="00B61E18">
        <w:rPr>
          <w:szCs w:val="20"/>
        </w:rPr>
        <w:t>whom</w:t>
      </w:r>
      <w:r w:rsidR="00C64050">
        <w:rPr>
          <w:szCs w:val="20"/>
        </w:rPr>
        <w:t xml:space="preserve"> </w:t>
      </w:r>
      <w:r w:rsidRPr="00B61E18">
        <w:rPr>
          <w:szCs w:val="20"/>
        </w:rPr>
        <w:t>the</w:t>
      </w:r>
      <w:r w:rsidR="00C64050">
        <w:rPr>
          <w:szCs w:val="20"/>
        </w:rPr>
        <w:t xml:space="preserve"> </w:t>
      </w:r>
      <w:r w:rsidRPr="00B61E18">
        <w:rPr>
          <w:szCs w:val="20"/>
        </w:rPr>
        <w:t>return</w:t>
      </w:r>
      <w:r w:rsidR="00C64050">
        <w:rPr>
          <w:szCs w:val="20"/>
        </w:rPr>
        <w:t xml:space="preserve"> </w:t>
      </w:r>
      <w:r w:rsidRPr="00B61E18">
        <w:rPr>
          <w:szCs w:val="20"/>
        </w:rPr>
        <w:t>is</w:t>
      </w:r>
      <w:r w:rsidR="00C64050">
        <w:rPr>
          <w:szCs w:val="20"/>
        </w:rPr>
        <w:t xml:space="preserve"> </w:t>
      </w:r>
      <w:r w:rsidRPr="00B61E18">
        <w:rPr>
          <w:szCs w:val="20"/>
        </w:rPr>
        <w:t>filed,</w:t>
      </w:r>
      <w:r w:rsidR="00C64050">
        <w:rPr>
          <w:szCs w:val="20"/>
        </w:rPr>
        <w:t xml:space="preserve"> </w:t>
      </w:r>
      <w:r w:rsidRPr="00B61E18">
        <w:rPr>
          <w:szCs w:val="20"/>
        </w:rPr>
        <w:t>and</w:t>
      </w:r>
      <w:r w:rsidR="00C64050">
        <w:rPr>
          <w:szCs w:val="20"/>
        </w:rPr>
        <w:t xml:space="preserve"> </w:t>
      </w:r>
      <w:r w:rsidRPr="00B61E18">
        <w:rPr>
          <w:szCs w:val="20"/>
        </w:rPr>
        <w:t>shall</w:t>
      </w:r>
      <w:r w:rsidR="00C64050">
        <w:rPr>
          <w:szCs w:val="20"/>
        </w:rPr>
        <w:t xml:space="preserve"> </w:t>
      </w:r>
      <w:r w:rsidRPr="00B61E18">
        <w:rPr>
          <w:szCs w:val="20"/>
        </w:rPr>
        <w:t>pay</w:t>
      </w:r>
      <w:r w:rsidR="00C64050">
        <w:rPr>
          <w:szCs w:val="20"/>
        </w:rPr>
        <w:t xml:space="preserve"> </w:t>
      </w:r>
      <w:r w:rsidRPr="00B61E18">
        <w:rPr>
          <w:szCs w:val="20"/>
        </w:rPr>
        <w:t>such</w:t>
      </w:r>
      <w:r w:rsidR="00C64050">
        <w:rPr>
          <w:szCs w:val="20"/>
        </w:rPr>
        <w:t xml:space="preserve"> </w:t>
      </w:r>
      <w:r w:rsidRPr="00B61E18">
        <w:rPr>
          <w:szCs w:val="20"/>
        </w:rPr>
        <w:t>tax</w:t>
      </w:r>
      <w:r w:rsidR="00C64050">
        <w:rPr>
          <w:szCs w:val="20"/>
        </w:rPr>
        <w:t xml:space="preserve"> </w:t>
      </w:r>
      <w:r w:rsidRPr="00B61E18">
        <w:rPr>
          <w:szCs w:val="20"/>
        </w:rPr>
        <w:t>at</w:t>
      </w:r>
      <w:r w:rsidR="00C64050">
        <w:rPr>
          <w:szCs w:val="20"/>
        </w:rPr>
        <w:t xml:space="preserve"> </w:t>
      </w:r>
      <w:r w:rsidRPr="00B61E18">
        <w:rPr>
          <w:szCs w:val="20"/>
        </w:rPr>
        <w:t>the</w:t>
      </w:r>
      <w:r w:rsidR="00C64050">
        <w:rPr>
          <w:szCs w:val="20"/>
        </w:rPr>
        <w:t xml:space="preserve"> </w:t>
      </w:r>
      <w:r w:rsidRPr="00B61E18">
        <w:rPr>
          <w:szCs w:val="20"/>
        </w:rPr>
        <w:t>time</w:t>
      </w:r>
      <w:r w:rsidR="00C64050">
        <w:rPr>
          <w:szCs w:val="20"/>
        </w:rPr>
        <w:t xml:space="preserve"> </w:t>
      </w:r>
      <w:r w:rsidRPr="00B61E18">
        <w:rPr>
          <w:szCs w:val="20"/>
        </w:rPr>
        <w:t>and</w:t>
      </w:r>
      <w:r w:rsidR="00C64050">
        <w:rPr>
          <w:szCs w:val="20"/>
        </w:rPr>
        <w:t xml:space="preserve"> </w:t>
      </w:r>
      <w:r w:rsidRPr="00B61E18">
        <w:rPr>
          <w:szCs w:val="20"/>
        </w:rPr>
        <w:t>place</w:t>
      </w:r>
      <w:r w:rsidR="00C64050">
        <w:rPr>
          <w:szCs w:val="20"/>
        </w:rPr>
        <w:t xml:space="preserve"> </w:t>
      </w:r>
      <w:r w:rsidRPr="00B61E18">
        <w:rPr>
          <w:szCs w:val="20"/>
        </w:rPr>
        <w:t>fixed</w:t>
      </w:r>
      <w:r w:rsidR="00C64050">
        <w:rPr>
          <w:szCs w:val="20"/>
        </w:rPr>
        <w:t xml:space="preserve"> </w:t>
      </w:r>
      <w:r w:rsidRPr="00B61E18">
        <w:rPr>
          <w:szCs w:val="20"/>
        </w:rPr>
        <w:t>for</w:t>
      </w:r>
      <w:r w:rsidR="00C64050">
        <w:rPr>
          <w:szCs w:val="20"/>
        </w:rPr>
        <w:t xml:space="preserve"> </w:t>
      </w:r>
      <w:r w:rsidRPr="00B61E18">
        <w:rPr>
          <w:szCs w:val="20"/>
        </w:rPr>
        <w:t>filing</w:t>
      </w:r>
      <w:r w:rsidR="00C64050">
        <w:rPr>
          <w:szCs w:val="20"/>
        </w:rPr>
        <w:t xml:space="preserve"> </w:t>
      </w:r>
      <w:r w:rsidRPr="00B61E18">
        <w:rPr>
          <w:szCs w:val="20"/>
        </w:rPr>
        <w:t>the</w:t>
      </w:r>
      <w:r w:rsidR="00C64050">
        <w:rPr>
          <w:szCs w:val="20"/>
        </w:rPr>
        <w:t xml:space="preserve"> </w:t>
      </w:r>
      <w:r w:rsidRPr="00B61E18">
        <w:rPr>
          <w:szCs w:val="20"/>
        </w:rPr>
        <w:t>return</w:t>
      </w:r>
      <w:r w:rsidR="00C64050">
        <w:rPr>
          <w:szCs w:val="20"/>
        </w:rPr>
        <w:t xml:space="preserve"> </w:t>
      </w:r>
      <w:r w:rsidRPr="00B61E18">
        <w:rPr>
          <w:szCs w:val="20"/>
        </w:rPr>
        <w:t>(determined</w:t>
      </w:r>
      <w:r w:rsidR="00C64050">
        <w:rPr>
          <w:szCs w:val="20"/>
        </w:rPr>
        <w:t xml:space="preserve"> </w:t>
      </w:r>
      <w:r w:rsidRPr="00B61E18">
        <w:rPr>
          <w:szCs w:val="20"/>
        </w:rPr>
        <w:t>without</w:t>
      </w:r>
      <w:r w:rsidR="00C64050">
        <w:rPr>
          <w:szCs w:val="20"/>
        </w:rPr>
        <w:t xml:space="preserve"> </w:t>
      </w:r>
      <w:r w:rsidRPr="00B61E18">
        <w:rPr>
          <w:szCs w:val="20"/>
        </w:rPr>
        <w:t>regard</w:t>
      </w:r>
      <w:r w:rsidR="00C64050">
        <w:rPr>
          <w:szCs w:val="20"/>
        </w:rPr>
        <w:t xml:space="preserve"> </w:t>
      </w:r>
      <w:r w:rsidRPr="00B61E18">
        <w:rPr>
          <w:szCs w:val="20"/>
        </w:rPr>
        <w:t>to</w:t>
      </w:r>
      <w:r w:rsidR="00C64050">
        <w:rPr>
          <w:szCs w:val="20"/>
        </w:rPr>
        <w:t xml:space="preserve"> </w:t>
      </w:r>
      <w:r w:rsidRPr="00B61E18">
        <w:rPr>
          <w:szCs w:val="20"/>
        </w:rPr>
        <w:t>any</w:t>
      </w:r>
      <w:r w:rsidR="00C64050">
        <w:rPr>
          <w:szCs w:val="20"/>
        </w:rPr>
        <w:t xml:space="preserve"> </w:t>
      </w:r>
      <w:r w:rsidRPr="00B61E18">
        <w:rPr>
          <w:szCs w:val="20"/>
        </w:rPr>
        <w:t>extension</w:t>
      </w:r>
      <w:r w:rsidR="00C64050">
        <w:rPr>
          <w:szCs w:val="20"/>
        </w:rPr>
        <w:t xml:space="preserve"> </w:t>
      </w:r>
      <w:r w:rsidRPr="00B61E18">
        <w:rPr>
          <w:szCs w:val="20"/>
        </w:rPr>
        <w:t>of</w:t>
      </w:r>
      <w:r w:rsidR="00C64050">
        <w:rPr>
          <w:szCs w:val="20"/>
        </w:rPr>
        <w:t xml:space="preserve"> </w:t>
      </w:r>
      <w:r w:rsidRPr="00B61E18">
        <w:rPr>
          <w:szCs w:val="20"/>
        </w:rPr>
        <w:t>time</w:t>
      </w:r>
      <w:r w:rsidR="00C64050">
        <w:rPr>
          <w:szCs w:val="20"/>
        </w:rPr>
        <w:t xml:space="preserve"> </w:t>
      </w:r>
      <w:r w:rsidRPr="00B61E18">
        <w:rPr>
          <w:szCs w:val="20"/>
        </w:rPr>
        <w:t>for</w:t>
      </w:r>
      <w:r w:rsidR="00C64050">
        <w:rPr>
          <w:szCs w:val="20"/>
        </w:rPr>
        <w:t xml:space="preserve"> </w:t>
      </w:r>
      <w:r w:rsidRPr="00B61E18">
        <w:rPr>
          <w:szCs w:val="20"/>
        </w:rPr>
        <w:t>filing</w:t>
      </w:r>
      <w:r w:rsidR="00C64050">
        <w:rPr>
          <w:szCs w:val="20"/>
        </w:rPr>
        <w:t xml:space="preserve"> </w:t>
      </w:r>
      <w:r w:rsidRPr="00B61E18">
        <w:rPr>
          <w:szCs w:val="20"/>
        </w:rPr>
        <w:t>the</w:t>
      </w:r>
      <w:r w:rsidR="00C64050">
        <w:rPr>
          <w:szCs w:val="20"/>
        </w:rPr>
        <w:t xml:space="preserve"> </w:t>
      </w:r>
      <w:r w:rsidRPr="00B61E18">
        <w:rPr>
          <w:szCs w:val="20"/>
        </w:rPr>
        <w:t>return).</w:t>
      </w:r>
    </w:p>
    <w:p w:rsidR="00A27958" w:rsidRPr="00B61E18" w:rsidRDefault="00A27958" w:rsidP="00B61E18">
      <w:pPr>
        <w:pStyle w:val="QS10"/>
        <w:ind w:left="2160"/>
        <w:jc w:val="center"/>
        <w:rPr>
          <w:szCs w:val="20"/>
        </w:rPr>
      </w:pPr>
      <w:r w:rsidRPr="00B61E18">
        <w:rPr>
          <w:szCs w:val="20"/>
        </w:rPr>
        <w:t>*</w:t>
      </w:r>
      <w:r w:rsidR="00C64050">
        <w:rPr>
          <w:szCs w:val="20"/>
        </w:rPr>
        <w:t xml:space="preserve"> </w:t>
      </w:r>
      <w:r w:rsidRPr="00B61E18">
        <w:rPr>
          <w:szCs w:val="20"/>
        </w:rPr>
        <w:t>*</w:t>
      </w:r>
      <w:r w:rsidR="00C64050">
        <w:rPr>
          <w:szCs w:val="20"/>
        </w:rPr>
        <w:t xml:space="preserve"> </w:t>
      </w:r>
      <w:r w:rsidRPr="00B61E18">
        <w:rPr>
          <w:szCs w:val="20"/>
        </w:rPr>
        <w:t>*</w:t>
      </w:r>
    </w:p>
    <w:p w:rsidR="00A27958" w:rsidRPr="00B61E18" w:rsidRDefault="00A27958" w:rsidP="00B61E18">
      <w:pPr>
        <w:pStyle w:val="QS10"/>
        <w:ind w:left="2160"/>
        <w:rPr>
          <w:szCs w:val="20"/>
        </w:rPr>
      </w:pPr>
      <w:r w:rsidRPr="00B61E18">
        <w:rPr>
          <w:szCs w:val="20"/>
        </w:rPr>
        <w:t>(c)</w:t>
      </w:r>
      <w:r w:rsidR="00C64050">
        <w:rPr>
          <w:szCs w:val="20"/>
        </w:rPr>
        <w:t xml:space="preserve"> </w:t>
      </w:r>
      <w:r w:rsidRPr="00B61E18">
        <w:rPr>
          <w:szCs w:val="20"/>
        </w:rPr>
        <w:t>Date</w:t>
      </w:r>
      <w:r w:rsidR="00C64050">
        <w:rPr>
          <w:szCs w:val="20"/>
        </w:rPr>
        <w:t xml:space="preserve"> </w:t>
      </w:r>
      <w:r w:rsidRPr="00B61E18">
        <w:rPr>
          <w:szCs w:val="20"/>
        </w:rPr>
        <w:t>fixed</w:t>
      </w:r>
      <w:r w:rsidR="00C64050">
        <w:rPr>
          <w:szCs w:val="20"/>
        </w:rPr>
        <w:t xml:space="preserve"> </w:t>
      </w:r>
      <w:r w:rsidRPr="00B61E18">
        <w:rPr>
          <w:szCs w:val="20"/>
        </w:rPr>
        <w:t>for</w:t>
      </w:r>
      <w:r w:rsidR="00C64050">
        <w:rPr>
          <w:szCs w:val="20"/>
        </w:rPr>
        <w:t xml:space="preserve"> </w:t>
      </w:r>
      <w:r w:rsidRPr="00B61E18">
        <w:rPr>
          <w:szCs w:val="20"/>
        </w:rPr>
        <w:t>payment</w:t>
      </w:r>
      <w:r w:rsidR="00C64050">
        <w:rPr>
          <w:szCs w:val="20"/>
        </w:rPr>
        <w:t xml:space="preserve"> </w:t>
      </w:r>
      <w:r w:rsidRPr="00B61E18">
        <w:rPr>
          <w:szCs w:val="20"/>
        </w:rPr>
        <w:t>of</w:t>
      </w:r>
      <w:r w:rsidR="00C64050">
        <w:rPr>
          <w:szCs w:val="20"/>
        </w:rPr>
        <w:t xml:space="preserve"> </w:t>
      </w:r>
      <w:r w:rsidRPr="00B61E18">
        <w:rPr>
          <w:szCs w:val="20"/>
        </w:rPr>
        <w:t>tax.</w:t>
      </w:r>
      <w:r w:rsidR="00C64050">
        <w:rPr>
          <w:szCs w:val="20"/>
        </w:rPr>
        <w:t xml:space="preserve"> </w:t>
      </w:r>
      <w:r w:rsidRPr="00B61E18">
        <w:rPr>
          <w:szCs w:val="20"/>
        </w:rPr>
        <w:t>In</w:t>
      </w:r>
      <w:r w:rsidR="00C64050">
        <w:rPr>
          <w:szCs w:val="20"/>
        </w:rPr>
        <w:t xml:space="preserve"> </w:t>
      </w:r>
      <w:r w:rsidRPr="00B61E18">
        <w:rPr>
          <w:szCs w:val="20"/>
        </w:rPr>
        <w:t>any</w:t>
      </w:r>
      <w:r w:rsidR="00C64050">
        <w:rPr>
          <w:szCs w:val="20"/>
        </w:rPr>
        <w:t xml:space="preserve"> </w:t>
      </w:r>
      <w:r w:rsidRPr="00B61E18">
        <w:rPr>
          <w:szCs w:val="20"/>
        </w:rPr>
        <w:t>case</w:t>
      </w:r>
      <w:r w:rsidR="00C64050">
        <w:rPr>
          <w:szCs w:val="20"/>
        </w:rPr>
        <w:t xml:space="preserve"> </w:t>
      </w:r>
      <w:r w:rsidRPr="00B61E18">
        <w:rPr>
          <w:szCs w:val="20"/>
        </w:rPr>
        <w:t>in</w:t>
      </w:r>
      <w:r w:rsidR="00C64050">
        <w:rPr>
          <w:szCs w:val="20"/>
        </w:rPr>
        <w:t xml:space="preserve"> </w:t>
      </w:r>
      <w:r w:rsidRPr="00B61E18">
        <w:rPr>
          <w:szCs w:val="20"/>
        </w:rPr>
        <w:t>which</w:t>
      </w:r>
      <w:r w:rsidR="00C64050">
        <w:rPr>
          <w:szCs w:val="20"/>
        </w:rPr>
        <w:t xml:space="preserve"> </w:t>
      </w:r>
      <w:r w:rsidRPr="00B61E18">
        <w:rPr>
          <w:szCs w:val="20"/>
        </w:rPr>
        <w:t>a</w:t>
      </w:r>
      <w:r w:rsidR="00C64050">
        <w:rPr>
          <w:szCs w:val="20"/>
        </w:rPr>
        <w:t xml:space="preserve"> </w:t>
      </w:r>
      <w:r w:rsidRPr="00B61E18">
        <w:rPr>
          <w:szCs w:val="20"/>
        </w:rPr>
        <w:t>tax</w:t>
      </w:r>
      <w:r w:rsidR="00C64050">
        <w:rPr>
          <w:szCs w:val="20"/>
        </w:rPr>
        <w:t xml:space="preserve"> </w:t>
      </w:r>
      <w:r w:rsidRPr="00B61E18">
        <w:rPr>
          <w:szCs w:val="20"/>
        </w:rPr>
        <w:t>is</w:t>
      </w:r>
      <w:r w:rsidR="00C64050">
        <w:rPr>
          <w:szCs w:val="20"/>
        </w:rPr>
        <w:t xml:space="preserve"> </w:t>
      </w:r>
      <w:r w:rsidRPr="00B61E18">
        <w:rPr>
          <w:szCs w:val="20"/>
        </w:rPr>
        <w:t>required</w:t>
      </w:r>
      <w:r w:rsidR="00C64050">
        <w:rPr>
          <w:szCs w:val="20"/>
        </w:rPr>
        <w:t xml:space="preserve"> </w:t>
      </w:r>
      <w:r w:rsidRPr="00B61E18">
        <w:rPr>
          <w:szCs w:val="20"/>
        </w:rPr>
        <w:t>to</w:t>
      </w:r>
      <w:r w:rsidR="00C64050">
        <w:rPr>
          <w:szCs w:val="20"/>
        </w:rPr>
        <w:t xml:space="preserve"> </w:t>
      </w:r>
      <w:r w:rsidRPr="00B61E18">
        <w:rPr>
          <w:szCs w:val="20"/>
        </w:rPr>
        <w:t>be</w:t>
      </w:r>
      <w:r w:rsidR="00C64050">
        <w:rPr>
          <w:szCs w:val="20"/>
        </w:rPr>
        <w:t xml:space="preserve"> </w:t>
      </w:r>
      <w:r w:rsidRPr="00B61E18">
        <w:rPr>
          <w:szCs w:val="20"/>
        </w:rPr>
        <w:t>paid</w:t>
      </w:r>
      <w:r w:rsidR="00C64050">
        <w:rPr>
          <w:szCs w:val="20"/>
        </w:rPr>
        <w:t xml:space="preserve"> </w:t>
      </w:r>
      <w:r w:rsidRPr="00B61E18">
        <w:rPr>
          <w:szCs w:val="20"/>
        </w:rPr>
        <w:t>on</w:t>
      </w:r>
      <w:r w:rsidR="00C64050">
        <w:rPr>
          <w:szCs w:val="20"/>
        </w:rPr>
        <w:t xml:space="preserve"> </w:t>
      </w:r>
      <w:r w:rsidRPr="00B61E18">
        <w:rPr>
          <w:szCs w:val="20"/>
        </w:rPr>
        <w:t>or</w:t>
      </w:r>
      <w:r w:rsidR="00C64050">
        <w:rPr>
          <w:szCs w:val="20"/>
        </w:rPr>
        <w:t xml:space="preserve"> </w:t>
      </w:r>
      <w:r w:rsidRPr="00B61E18">
        <w:rPr>
          <w:szCs w:val="20"/>
        </w:rPr>
        <w:t>before</w:t>
      </w:r>
      <w:r w:rsidR="00C64050">
        <w:rPr>
          <w:szCs w:val="20"/>
        </w:rPr>
        <w:t xml:space="preserve"> </w:t>
      </w:r>
      <w:r w:rsidRPr="00B61E18">
        <w:rPr>
          <w:szCs w:val="20"/>
        </w:rPr>
        <w:t>a</w:t>
      </w:r>
      <w:r w:rsidR="00C64050">
        <w:rPr>
          <w:szCs w:val="20"/>
        </w:rPr>
        <w:t xml:space="preserve"> </w:t>
      </w:r>
      <w:r w:rsidRPr="00B61E18">
        <w:rPr>
          <w:szCs w:val="20"/>
        </w:rPr>
        <w:t>certain</w:t>
      </w:r>
      <w:r w:rsidR="00C64050">
        <w:rPr>
          <w:szCs w:val="20"/>
        </w:rPr>
        <w:t xml:space="preserve"> </w:t>
      </w:r>
      <w:r w:rsidRPr="00B61E18">
        <w:rPr>
          <w:szCs w:val="20"/>
        </w:rPr>
        <w:t>date,</w:t>
      </w:r>
      <w:r w:rsidR="00C64050">
        <w:rPr>
          <w:szCs w:val="20"/>
        </w:rPr>
        <w:t xml:space="preserve"> </w:t>
      </w:r>
      <w:r w:rsidRPr="00B61E18">
        <w:rPr>
          <w:szCs w:val="20"/>
        </w:rPr>
        <w:t>or</w:t>
      </w:r>
      <w:r w:rsidR="00C64050">
        <w:rPr>
          <w:szCs w:val="20"/>
        </w:rPr>
        <w:t xml:space="preserve"> </w:t>
      </w:r>
      <w:r w:rsidRPr="00B61E18">
        <w:rPr>
          <w:szCs w:val="20"/>
        </w:rPr>
        <w:t>within</w:t>
      </w:r>
      <w:r w:rsidR="00C64050">
        <w:rPr>
          <w:szCs w:val="20"/>
        </w:rPr>
        <w:t xml:space="preserve"> </w:t>
      </w:r>
      <w:r w:rsidRPr="00B61E18">
        <w:rPr>
          <w:szCs w:val="20"/>
        </w:rPr>
        <w:t>a</w:t>
      </w:r>
      <w:r w:rsidR="00C64050">
        <w:rPr>
          <w:szCs w:val="20"/>
        </w:rPr>
        <w:t xml:space="preserve"> </w:t>
      </w:r>
      <w:r w:rsidRPr="00B61E18">
        <w:rPr>
          <w:szCs w:val="20"/>
        </w:rPr>
        <w:t>certain</w:t>
      </w:r>
      <w:r w:rsidR="00C64050">
        <w:rPr>
          <w:szCs w:val="20"/>
        </w:rPr>
        <w:t xml:space="preserve"> </w:t>
      </w:r>
      <w:r w:rsidRPr="00B61E18">
        <w:rPr>
          <w:szCs w:val="20"/>
        </w:rPr>
        <w:t>period,</w:t>
      </w:r>
      <w:r w:rsidR="00C64050">
        <w:rPr>
          <w:szCs w:val="20"/>
        </w:rPr>
        <w:t xml:space="preserve"> </w:t>
      </w:r>
      <w:r w:rsidRPr="00B61E18">
        <w:rPr>
          <w:szCs w:val="20"/>
        </w:rPr>
        <w:t>any</w:t>
      </w:r>
      <w:r w:rsidR="00C64050">
        <w:rPr>
          <w:szCs w:val="20"/>
        </w:rPr>
        <w:t xml:space="preserve"> </w:t>
      </w:r>
      <w:r w:rsidRPr="00B61E18">
        <w:rPr>
          <w:szCs w:val="20"/>
        </w:rPr>
        <w:t>reference</w:t>
      </w:r>
      <w:r w:rsidR="00C64050">
        <w:rPr>
          <w:szCs w:val="20"/>
        </w:rPr>
        <w:t xml:space="preserve"> </w:t>
      </w:r>
      <w:r w:rsidRPr="00B61E18">
        <w:rPr>
          <w:szCs w:val="20"/>
        </w:rPr>
        <w:t>in</w:t>
      </w:r>
      <w:r w:rsidR="00C64050">
        <w:rPr>
          <w:szCs w:val="20"/>
        </w:rPr>
        <w:t xml:space="preserve"> </w:t>
      </w:r>
      <w:r w:rsidRPr="00B61E18">
        <w:rPr>
          <w:szCs w:val="20"/>
        </w:rPr>
        <w:t>this</w:t>
      </w:r>
      <w:r w:rsidR="00C64050">
        <w:rPr>
          <w:szCs w:val="20"/>
        </w:rPr>
        <w:t xml:space="preserve"> </w:t>
      </w:r>
      <w:r w:rsidRPr="00B61E18">
        <w:rPr>
          <w:szCs w:val="20"/>
        </w:rPr>
        <w:t>title</w:t>
      </w:r>
      <w:r w:rsidR="00C64050">
        <w:rPr>
          <w:szCs w:val="20"/>
        </w:rPr>
        <w:t xml:space="preserve"> </w:t>
      </w:r>
      <w:r w:rsidRPr="00B61E18">
        <w:rPr>
          <w:szCs w:val="20"/>
        </w:rPr>
        <w:t>to</w:t>
      </w:r>
      <w:r w:rsidR="00C64050">
        <w:rPr>
          <w:szCs w:val="20"/>
        </w:rPr>
        <w:t xml:space="preserve"> </w:t>
      </w:r>
      <w:r w:rsidRPr="00B61E18">
        <w:rPr>
          <w:szCs w:val="20"/>
        </w:rPr>
        <w:t>the</w:t>
      </w:r>
      <w:r w:rsidR="00C64050">
        <w:rPr>
          <w:szCs w:val="20"/>
        </w:rPr>
        <w:t xml:space="preserve"> </w:t>
      </w:r>
      <w:r w:rsidRPr="00B61E18">
        <w:rPr>
          <w:szCs w:val="20"/>
        </w:rPr>
        <w:t>date</w:t>
      </w:r>
      <w:r w:rsidR="00C64050">
        <w:rPr>
          <w:szCs w:val="20"/>
        </w:rPr>
        <w:t xml:space="preserve"> </w:t>
      </w:r>
      <w:r w:rsidRPr="00B61E18">
        <w:rPr>
          <w:szCs w:val="20"/>
        </w:rPr>
        <w:t>fixed</w:t>
      </w:r>
      <w:r w:rsidR="00C64050">
        <w:rPr>
          <w:szCs w:val="20"/>
        </w:rPr>
        <w:t xml:space="preserve"> </w:t>
      </w:r>
      <w:r w:rsidRPr="00B61E18">
        <w:rPr>
          <w:szCs w:val="20"/>
        </w:rPr>
        <w:t>for</w:t>
      </w:r>
      <w:r w:rsidR="00C64050">
        <w:rPr>
          <w:szCs w:val="20"/>
        </w:rPr>
        <w:t xml:space="preserve"> </w:t>
      </w:r>
      <w:r w:rsidRPr="00B61E18">
        <w:rPr>
          <w:szCs w:val="20"/>
        </w:rPr>
        <w:t>payment</w:t>
      </w:r>
      <w:r w:rsidR="00C64050">
        <w:rPr>
          <w:szCs w:val="20"/>
        </w:rPr>
        <w:t xml:space="preserve"> </w:t>
      </w:r>
      <w:r w:rsidRPr="00B61E18">
        <w:rPr>
          <w:szCs w:val="20"/>
        </w:rPr>
        <w:t>of</w:t>
      </w:r>
      <w:r w:rsidR="00C64050">
        <w:rPr>
          <w:szCs w:val="20"/>
        </w:rPr>
        <w:t xml:space="preserve"> </w:t>
      </w:r>
      <w:r w:rsidRPr="00B61E18">
        <w:rPr>
          <w:szCs w:val="20"/>
        </w:rPr>
        <w:t>such</w:t>
      </w:r>
      <w:r w:rsidR="00C64050">
        <w:rPr>
          <w:szCs w:val="20"/>
        </w:rPr>
        <w:t xml:space="preserve"> </w:t>
      </w:r>
      <w:r w:rsidRPr="00B61E18">
        <w:rPr>
          <w:szCs w:val="20"/>
        </w:rPr>
        <w:t>tax</w:t>
      </w:r>
      <w:r w:rsidR="00C64050">
        <w:rPr>
          <w:szCs w:val="20"/>
        </w:rPr>
        <w:t xml:space="preserve"> </w:t>
      </w:r>
      <w:r w:rsidRPr="00B61E18">
        <w:rPr>
          <w:szCs w:val="20"/>
        </w:rPr>
        <w:t>shall</w:t>
      </w:r>
      <w:r w:rsidR="00C64050">
        <w:rPr>
          <w:szCs w:val="20"/>
        </w:rPr>
        <w:t xml:space="preserve"> </w:t>
      </w:r>
      <w:r w:rsidRPr="00B61E18">
        <w:rPr>
          <w:szCs w:val="20"/>
        </w:rPr>
        <w:t>be</w:t>
      </w:r>
      <w:r w:rsidR="00C64050">
        <w:rPr>
          <w:szCs w:val="20"/>
        </w:rPr>
        <w:t xml:space="preserve"> </w:t>
      </w:r>
      <w:r w:rsidRPr="00B61E18">
        <w:rPr>
          <w:szCs w:val="20"/>
        </w:rPr>
        <w:t>deemed</w:t>
      </w:r>
      <w:r w:rsidR="00C64050">
        <w:rPr>
          <w:szCs w:val="20"/>
        </w:rPr>
        <w:t xml:space="preserve"> </w:t>
      </w:r>
      <w:r w:rsidRPr="00B61E18">
        <w:rPr>
          <w:szCs w:val="20"/>
        </w:rPr>
        <w:t>a</w:t>
      </w:r>
      <w:r w:rsidR="00C64050">
        <w:rPr>
          <w:szCs w:val="20"/>
        </w:rPr>
        <w:t xml:space="preserve"> </w:t>
      </w:r>
      <w:r w:rsidRPr="00B61E18">
        <w:rPr>
          <w:szCs w:val="20"/>
        </w:rPr>
        <w:t>reference</w:t>
      </w:r>
      <w:r w:rsidR="00C64050">
        <w:rPr>
          <w:szCs w:val="20"/>
        </w:rPr>
        <w:t xml:space="preserve"> </w:t>
      </w:r>
      <w:r w:rsidRPr="00B61E18">
        <w:rPr>
          <w:szCs w:val="20"/>
        </w:rPr>
        <w:t>to</w:t>
      </w:r>
      <w:r w:rsidR="00C64050">
        <w:rPr>
          <w:szCs w:val="20"/>
        </w:rPr>
        <w:t xml:space="preserve"> </w:t>
      </w:r>
      <w:r w:rsidRPr="00B61E18">
        <w:rPr>
          <w:szCs w:val="20"/>
        </w:rPr>
        <w:t>the</w:t>
      </w:r>
      <w:r w:rsidR="00C64050">
        <w:rPr>
          <w:szCs w:val="20"/>
        </w:rPr>
        <w:t xml:space="preserve"> </w:t>
      </w:r>
      <w:r w:rsidRPr="00B61E18">
        <w:rPr>
          <w:szCs w:val="20"/>
        </w:rPr>
        <w:t>last</w:t>
      </w:r>
      <w:r w:rsidR="00C64050">
        <w:rPr>
          <w:szCs w:val="20"/>
        </w:rPr>
        <w:t xml:space="preserve"> </w:t>
      </w:r>
      <w:r w:rsidRPr="00B61E18">
        <w:rPr>
          <w:szCs w:val="20"/>
        </w:rPr>
        <w:t>day</w:t>
      </w:r>
      <w:r w:rsidR="00C64050">
        <w:rPr>
          <w:szCs w:val="20"/>
        </w:rPr>
        <w:t xml:space="preserve"> </w:t>
      </w:r>
      <w:r w:rsidRPr="00B61E18">
        <w:rPr>
          <w:szCs w:val="20"/>
        </w:rPr>
        <w:t>fixed</w:t>
      </w:r>
      <w:r w:rsidR="00C64050">
        <w:rPr>
          <w:szCs w:val="20"/>
        </w:rPr>
        <w:t xml:space="preserve"> </w:t>
      </w:r>
      <w:r w:rsidRPr="00B61E18">
        <w:rPr>
          <w:szCs w:val="20"/>
        </w:rPr>
        <w:t>for</w:t>
      </w:r>
      <w:r w:rsidR="00C64050">
        <w:rPr>
          <w:szCs w:val="20"/>
        </w:rPr>
        <w:t xml:space="preserve"> </w:t>
      </w:r>
      <w:r w:rsidRPr="00B61E18">
        <w:rPr>
          <w:szCs w:val="20"/>
        </w:rPr>
        <w:t>such</w:t>
      </w:r>
      <w:r w:rsidR="00C64050">
        <w:rPr>
          <w:szCs w:val="20"/>
        </w:rPr>
        <w:t xml:space="preserve"> </w:t>
      </w:r>
      <w:r w:rsidRPr="00B61E18">
        <w:rPr>
          <w:szCs w:val="20"/>
        </w:rPr>
        <w:t>payment</w:t>
      </w:r>
      <w:r w:rsidR="00C64050">
        <w:rPr>
          <w:szCs w:val="20"/>
        </w:rPr>
        <w:t xml:space="preserve"> </w:t>
      </w:r>
      <w:r w:rsidRPr="00B61E18">
        <w:rPr>
          <w:szCs w:val="20"/>
        </w:rPr>
        <w:t>(determined</w:t>
      </w:r>
      <w:r w:rsidR="00C64050">
        <w:rPr>
          <w:szCs w:val="20"/>
        </w:rPr>
        <w:t xml:space="preserve"> </w:t>
      </w:r>
      <w:r w:rsidRPr="00B61E18">
        <w:rPr>
          <w:szCs w:val="20"/>
        </w:rPr>
        <w:t>without</w:t>
      </w:r>
      <w:r w:rsidR="00C64050">
        <w:rPr>
          <w:szCs w:val="20"/>
        </w:rPr>
        <w:t xml:space="preserve"> </w:t>
      </w:r>
      <w:r w:rsidRPr="00B61E18">
        <w:rPr>
          <w:szCs w:val="20"/>
        </w:rPr>
        <w:t>regard</w:t>
      </w:r>
      <w:r w:rsidR="00C64050">
        <w:rPr>
          <w:szCs w:val="20"/>
        </w:rPr>
        <w:t xml:space="preserve"> </w:t>
      </w:r>
      <w:r w:rsidRPr="00B61E18">
        <w:rPr>
          <w:szCs w:val="20"/>
        </w:rPr>
        <w:t>to</w:t>
      </w:r>
      <w:r w:rsidR="00C64050">
        <w:rPr>
          <w:szCs w:val="20"/>
        </w:rPr>
        <w:t xml:space="preserve"> </w:t>
      </w:r>
      <w:r w:rsidRPr="00B61E18">
        <w:rPr>
          <w:szCs w:val="20"/>
        </w:rPr>
        <w:t>any</w:t>
      </w:r>
      <w:r w:rsidR="00C64050">
        <w:rPr>
          <w:szCs w:val="20"/>
        </w:rPr>
        <w:t xml:space="preserve"> </w:t>
      </w:r>
      <w:r w:rsidRPr="00B61E18">
        <w:rPr>
          <w:szCs w:val="20"/>
        </w:rPr>
        <w:t>extension</w:t>
      </w:r>
      <w:r w:rsidR="00C64050">
        <w:rPr>
          <w:szCs w:val="20"/>
        </w:rPr>
        <w:t xml:space="preserve"> </w:t>
      </w:r>
      <w:r w:rsidRPr="00B61E18">
        <w:rPr>
          <w:szCs w:val="20"/>
        </w:rPr>
        <w:t>of</w:t>
      </w:r>
      <w:r w:rsidR="00C64050">
        <w:rPr>
          <w:szCs w:val="20"/>
        </w:rPr>
        <w:t xml:space="preserve"> </w:t>
      </w:r>
      <w:r w:rsidRPr="00B61E18">
        <w:rPr>
          <w:szCs w:val="20"/>
        </w:rPr>
        <w:t>time</w:t>
      </w:r>
      <w:r w:rsidR="00C64050">
        <w:rPr>
          <w:szCs w:val="20"/>
        </w:rPr>
        <w:t xml:space="preserve"> </w:t>
      </w:r>
      <w:r w:rsidRPr="00B61E18">
        <w:rPr>
          <w:szCs w:val="20"/>
        </w:rPr>
        <w:t>for</w:t>
      </w:r>
      <w:r w:rsidR="00C64050">
        <w:rPr>
          <w:szCs w:val="20"/>
        </w:rPr>
        <w:t xml:space="preserve"> </w:t>
      </w:r>
      <w:r w:rsidRPr="00B61E18">
        <w:rPr>
          <w:szCs w:val="20"/>
        </w:rPr>
        <w:t>paying</w:t>
      </w:r>
      <w:r w:rsidR="00C64050">
        <w:rPr>
          <w:szCs w:val="20"/>
        </w:rPr>
        <w:t xml:space="preserve"> </w:t>
      </w:r>
      <w:r w:rsidRPr="00B61E18">
        <w:rPr>
          <w:szCs w:val="20"/>
        </w:rPr>
        <w:t>the</w:t>
      </w:r>
      <w:r w:rsidR="00C64050">
        <w:rPr>
          <w:szCs w:val="20"/>
        </w:rPr>
        <w:t xml:space="preserve"> </w:t>
      </w:r>
      <w:r w:rsidRPr="00B61E18">
        <w:rPr>
          <w:szCs w:val="20"/>
        </w:rPr>
        <w:t>tax).</w:t>
      </w:r>
    </w:p>
    <w:p w:rsidR="00A27958" w:rsidRPr="00B61E18" w:rsidRDefault="00A27958" w:rsidP="00A27958">
      <w:pPr>
        <w:pStyle w:val="QS10"/>
        <w:rPr>
          <w:szCs w:val="20"/>
        </w:rPr>
      </w:pPr>
      <w:r w:rsidRPr="00B61E18">
        <w:rPr>
          <w:rStyle w:val="Emphasis"/>
          <w:szCs w:val="20"/>
        </w:rPr>
        <w:t>Id.</w:t>
      </w:r>
      <w:r w:rsidR="00C64050">
        <w:rPr>
          <w:szCs w:val="20"/>
        </w:rPr>
        <w:t xml:space="preserve"> </w:t>
      </w:r>
      <w:r w:rsidRPr="00B61E18">
        <w:rPr>
          <w:szCs w:val="20"/>
        </w:rPr>
        <w:t>Based</w:t>
      </w:r>
      <w:r w:rsidR="00C64050">
        <w:rPr>
          <w:szCs w:val="20"/>
        </w:rPr>
        <w:t xml:space="preserve"> </w:t>
      </w:r>
      <w:r w:rsidRPr="00B61E18">
        <w:rPr>
          <w:szCs w:val="20"/>
        </w:rPr>
        <w:t>on</w:t>
      </w:r>
      <w:r w:rsidR="00C64050">
        <w:rPr>
          <w:szCs w:val="20"/>
        </w:rPr>
        <w:t xml:space="preserve"> </w:t>
      </w:r>
      <w:r w:rsidRPr="00B61E18">
        <w:rPr>
          <w:szCs w:val="20"/>
        </w:rPr>
        <w:t>§</w:t>
      </w:r>
      <w:r w:rsidR="00C64050">
        <w:rPr>
          <w:szCs w:val="20"/>
        </w:rPr>
        <w:t xml:space="preserve"> </w:t>
      </w:r>
      <w:r w:rsidRPr="00B61E18">
        <w:rPr>
          <w:szCs w:val="20"/>
        </w:rPr>
        <w:t>6151,</w:t>
      </w:r>
      <w:r w:rsidR="00C64050">
        <w:rPr>
          <w:szCs w:val="20"/>
        </w:rPr>
        <w:t xml:space="preserve"> </w:t>
      </w:r>
      <w:r w:rsidRPr="00B61E18">
        <w:rPr>
          <w:szCs w:val="20"/>
        </w:rPr>
        <w:t>the</w:t>
      </w:r>
      <w:r w:rsidR="00C64050">
        <w:rPr>
          <w:szCs w:val="20"/>
        </w:rPr>
        <w:t xml:space="preserve"> </w:t>
      </w:r>
      <w:r w:rsidRPr="00B61E18">
        <w:rPr>
          <w:szCs w:val="20"/>
        </w:rPr>
        <w:t>Government</w:t>
      </w:r>
      <w:r w:rsidR="00C64050">
        <w:rPr>
          <w:szCs w:val="20"/>
        </w:rPr>
        <w:t xml:space="preserve"> </w:t>
      </w:r>
      <w:r w:rsidRPr="00B61E18">
        <w:rPr>
          <w:szCs w:val="20"/>
        </w:rPr>
        <w:t>cleverly</w:t>
      </w:r>
      <w:r w:rsidR="00C64050">
        <w:rPr>
          <w:szCs w:val="20"/>
        </w:rPr>
        <w:t xml:space="preserve"> </w:t>
      </w:r>
      <w:r w:rsidRPr="00B61E18">
        <w:rPr>
          <w:szCs w:val="20"/>
        </w:rPr>
        <w:t>reasons</w:t>
      </w:r>
      <w:r w:rsidR="00C64050">
        <w:rPr>
          <w:szCs w:val="20"/>
        </w:rPr>
        <w:t xml:space="preserve"> </w:t>
      </w:r>
      <w:r w:rsidRPr="00B61E18">
        <w:rPr>
          <w:szCs w:val="20"/>
        </w:rPr>
        <w:t>that</w:t>
      </w:r>
      <w:r w:rsidR="00C64050">
        <w:rPr>
          <w:szCs w:val="20"/>
        </w:rPr>
        <w:t xml:space="preserve"> </w:t>
      </w:r>
      <w:r w:rsidRPr="00B61E18">
        <w:rPr>
          <w:szCs w:val="20"/>
        </w:rPr>
        <w:t>the</w:t>
      </w:r>
      <w:r w:rsidR="00C64050">
        <w:rPr>
          <w:szCs w:val="20"/>
        </w:rPr>
        <w:t xml:space="preserve"> </w:t>
      </w:r>
      <w:r w:rsidRPr="00B61E18">
        <w:rPr>
          <w:szCs w:val="20"/>
        </w:rPr>
        <w:t>last</w:t>
      </w:r>
      <w:r w:rsidR="00C64050">
        <w:rPr>
          <w:szCs w:val="20"/>
        </w:rPr>
        <w:t xml:space="preserve"> </w:t>
      </w:r>
      <w:r w:rsidRPr="00B61E18">
        <w:rPr>
          <w:szCs w:val="20"/>
        </w:rPr>
        <w:t>day</w:t>
      </w:r>
      <w:r w:rsidR="00C64050">
        <w:rPr>
          <w:szCs w:val="20"/>
        </w:rPr>
        <w:t xml:space="preserve"> </w:t>
      </w:r>
      <w:r w:rsidRPr="00B61E18">
        <w:rPr>
          <w:szCs w:val="20"/>
        </w:rPr>
        <w:t>for</w:t>
      </w:r>
      <w:r w:rsidR="00C64050">
        <w:rPr>
          <w:szCs w:val="20"/>
        </w:rPr>
        <w:t xml:space="preserve"> </w:t>
      </w:r>
      <w:r w:rsidRPr="00B61E18">
        <w:rPr>
          <w:szCs w:val="20"/>
        </w:rPr>
        <w:t>payment</w:t>
      </w:r>
      <w:r w:rsidR="00C64050">
        <w:rPr>
          <w:szCs w:val="20"/>
        </w:rPr>
        <w:t xml:space="preserve"> </w:t>
      </w:r>
      <w:r w:rsidRPr="00B61E18">
        <w:rPr>
          <w:szCs w:val="20"/>
        </w:rPr>
        <w:t>was</w:t>
      </w:r>
      <w:r w:rsidR="00C64050">
        <w:rPr>
          <w:szCs w:val="20"/>
        </w:rPr>
        <w:t xml:space="preserve"> </w:t>
      </w:r>
      <w:r w:rsidRPr="00B61E18">
        <w:rPr>
          <w:szCs w:val="20"/>
        </w:rPr>
        <w:t>nine</w:t>
      </w:r>
      <w:r w:rsidR="00C64050">
        <w:rPr>
          <w:szCs w:val="20"/>
        </w:rPr>
        <w:t xml:space="preserve"> </w:t>
      </w:r>
      <w:r w:rsidRPr="00B61E18">
        <w:rPr>
          <w:szCs w:val="20"/>
        </w:rPr>
        <w:t>months</w:t>
      </w:r>
      <w:r w:rsidR="00C64050">
        <w:rPr>
          <w:szCs w:val="20"/>
        </w:rPr>
        <w:t xml:space="preserve"> </w:t>
      </w:r>
      <w:r w:rsidRPr="00B61E18">
        <w:rPr>
          <w:szCs w:val="20"/>
        </w:rPr>
        <w:t>after</w:t>
      </w:r>
      <w:r w:rsidR="00C64050">
        <w:rPr>
          <w:szCs w:val="20"/>
        </w:rPr>
        <w:t xml:space="preserve"> </w:t>
      </w:r>
      <w:r w:rsidRPr="00B61E18">
        <w:rPr>
          <w:szCs w:val="20"/>
        </w:rPr>
        <w:t>the</w:t>
      </w:r>
      <w:r w:rsidR="00C64050">
        <w:rPr>
          <w:szCs w:val="20"/>
        </w:rPr>
        <w:t xml:space="preserve"> </w:t>
      </w:r>
      <w:r w:rsidRPr="00B61E18">
        <w:rPr>
          <w:szCs w:val="20"/>
        </w:rPr>
        <w:t>death</w:t>
      </w:r>
      <w:r w:rsidR="00C64050">
        <w:rPr>
          <w:szCs w:val="20"/>
        </w:rPr>
        <w:t xml:space="preserve"> </w:t>
      </w:r>
      <w:r w:rsidRPr="00B61E18">
        <w:rPr>
          <w:szCs w:val="20"/>
        </w:rPr>
        <w:t>of</w:t>
      </w:r>
      <w:r w:rsidR="00C64050">
        <w:rPr>
          <w:szCs w:val="20"/>
        </w:rPr>
        <w:t xml:space="preserve"> </w:t>
      </w:r>
      <w:r w:rsidRPr="00B61E18">
        <w:rPr>
          <w:szCs w:val="20"/>
        </w:rPr>
        <w:t>Agnes</w:t>
      </w:r>
      <w:r w:rsidR="00C64050">
        <w:rPr>
          <w:szCs w:val="20"/>
        </w:rPr>
        <w:t xml:space="preserve"> </w:t>
      </w:r>
      <w:r w:rsidRPr="00B61E18">
        <w:rPr>
          <w:b/>
          <w:bCs/>
          <w:szCs w:val="20"/>
        </w:rPr>
        <w:t>Skeba</w:t>
      </w:r>
      <w:r w:rsidRPr="00B61E18">
        <w:rPr>
          <w:szCs w:val="20"/>
        </w:rPr>
        <w:t>—March</w:t>
      </w:r>
      <w:r w:rsidR="00C64050">
        <w:rPr>
          <w:szCs w:val="20"/>
        </w:rPr>
        <w:t xml:space="preserve"> </w:t>
      </w:r>
      <w:r w:rsidRPr="00B61E18">
        <w:rPr>
          <w:szCs w:val="20"/>
        </w:rPr>
        <w:t>10,</w:t>
      </w:r>
      <w:r w:rsidR="00C64050">
        <w:rPr>
          <w:szCs w:val="20"/>
        </w:rPr>
        <w:t xml:space="preserve"> </w:t>
      </w:r>
      <w:r w:rsidRPr="00B61E18">
        <w:rPr>
          <w:szCs w:val="20"/>
        </w:rPr>
        <w:t>2014;</w:t>
      </w:r>
      <w:r w:rsidR="00C64050">
        <w:rPr>
          <w:szCs w:val="20"/>
        </w:rPr>
        <w:t xml:space="preserve"> </w:t>
      </w:r>
      <w:r w:rsidRPr="00B61E18">
        <w:rPr>
          <w:szCs w:val="20"/>
        </w:rPr>
        <w:t>because</w:t>
      </w:r>
      <w:r w:rsidR="00C64050">
        <w:rPr>
          <w:szCs w:val="20"/>
        </w:rPr>
        <w:t xml:space="preserve"> </w:t>
      </w:r>
      <w:r w:rsidRPr="00B61E18">
        <w:rPr>
          <w:szCs w:val="20"/>
        </w:rPr>
        <w:t>no</w:t>
      </w:r>
      <w:r w:rsidR="00C64050">
        <w:rPr>
          <w:szCs w:val="20"/>
        </w:rPr>
        <w:t xml:space="preserve"> </w:t>
      </w:r>
      <w:r w:rsidRPr="00B61E18">
        <w:rPr>
          <w:szCs w:val="20"/>
        </w:rPr>
        <w:t>return</w:t>
      </w:r>
      <w:r w:rsidR="00C64050">
        <w:rPr>
          <w:szCs w:val="20"/>
        </w:rPr>
        <w:t xml:space="preserve"> </w:t>
      </w:r>
      <w:r w:rsidRPr="00B61E18">
        <w:rPr>
          <w:szCs w:val="20"/>
        </w:rPr>
        <w:t>was</w:t>
      </w:r>
      <w:r w:rsidR="00C64050">
        <w:rPr>
          <w:szCs w:val="20"/>
        </w:rPr>
        <w:t xml:space="preserve"> </w:t>
      </w:r>
      <w:r w:rsidRPr="00B61E18">
        <w:rPr>
          <w:szCs w:val="20"/>
        </w:rPr>
        <w:t>filed</w:t>
      </w:r>
      <w:r w:rsidR="00C64050">
        <w:rPr>
          <w:szCs w:val="20"/>
        </w:rPr>
        <w:t xml:space="preserve"> </w:t>
      </w:r>
      <w:r w:rsidRPr="00B61E18">
        <w:rPr>
          <w:szCs w:val="20"/>
        </w:rPr>
        <w:t>by</w:t>
      </w:r>
      <w:r w:rsidR="00C64050">
        <w:rPr>
          <w:szCs w:val="20"/>
        </w:rPr>
        <w:t xml:space="preserve"> </w:t>
      </w:r>
      <w:r w:rsidRPr="00B61E18">
        <w:rPr>
          <w:szCs w:val="20"/>
        </w:rPr>
        <w:t>that</w:t>
      </w:r>
      <w:r w:rsidR="00C64050">
        <w:rPr>
          <w:szCs w:val="20"/>
        </w:rPr>
        <w:t xml:space="preserve"> </w:t>
      </w:r>
      <w:r w:rsidRPr="00B61E18">
        <w:rPr>
          <w:szCs w:val="20"/>
        </w:rPr>
        <w:t>date</w:t>
      </w:r>
      <w:r w:rsidR="00C64050">
        <w:rPr>
          <w:szCs w:val="20"/>
        </w:rPr>
        <w:t xml:space="preserve"> </w:t>
      </w:r>
      <w:r w:rsidRPr="00B61E18">
        <w:rPr>
          <w:szCs w:val="20"/>
        </w:rPr>
        <w:t>a</w:t>
      </w:r>
      <w:r w:rsidR="00C64050">
        <w:rPr>
          <w:szCs w:val="20"/>
        </w:rPr>
        <w:t xml:space="preserve"> </w:t>
      </w:r>
      <w:r w:rsidRPr="00B61E18">
        <w:rPr>
          <w:szCs w:val="20"/>
        </w:rPr>
        <w:t>penalty</w:t>
      </w:r>
      <w:r w:rsidR="00C64050">
        <w:rPr>
          <w:szCs w:val="20"/>
        </w:rPr>
        <w:t xml:space="preserve"> </w:t>
      </w:r>
      <w:r w:rsidRPr="00B61E18">
        <w:rPr>
          <w:szCs w:val="20"/>
        </w:rPr>
        <w:t>may</w:t>
      </w:r>
      <w:r w:rsidR="00C64050">
        <w:rPr>
          <w:szCs w:val="20"/>
        </w:rPr>
        <w:t xml:space="preserve"> </w:t>
      </w:r>
      <w:r w:rsidRPr="00B61E18">
        <w:rPr>
          <w:szCs w:val="20"/>
        </w:rPr>
        <w:t>be</w:t>
      </w:r>
      <w:r w:rsidR="00C64050">
        <w:rPr>
          <w:szCs w:val="20"/>
        </w:rPr>
        <w:t xml:space="preserve"> </w:t>
      </w:r>
      <w:r w:rsidRPr="00B61E18">
        <w:rPr>
          <w:szCs w:val="20"/>
        </w:rPr>
        <w:t>assessed.</w:t>
      </w:r>
      <w:r w:rsidR="00C64050">
        <w:rPr>
          <w:szCs w:val="20"/>
        </w:rPr>
        <w:t xml:space="preserve"> </w:t>
      </w:r>
      <w:r w:rsidRPr="00B61E18">
        <w:rPr>
          <w:szCs w:val="20"/>
        </w:rPr>
        <w:t>Applying</w:t>
      </w:r>
      <w:r w:rsidR="00C64050">
        <w:rPr>
          <w:szCs w:val="20"/>
        </w:rPr>
        <w:t xml:space="preserve"> </w:t>
      </w:r>
      <w:r w:rsidRPr="00B61E18">
        <w:rPr>
          <w:szCs w:val="20"/>
        </w:rPr>
        <w:t>the</w:t>
      </w:r>
      <w:r w:rsidR="00C64050">
        <w:rPr>
          <w:szCs w:val="20"/>
        </w:rPr>
        <w:t xml:space="preserve"> </w:t>
      </w:r>
      <w:r w:rsidRPr="00B61E18">
        <w:rPr>
          <w:szCs w:val="20"/>
        </w:rPr>
        <w:t>rationale</w:t>
      </w:r>
      <w:r w:rsidR="00C64050">
        <w:rPr>
          <w:szCs w:val="20"/>
        </w:rPr>
        <w:t xml:space="preserve"> </w:t>
      </w:r>
      <w:r w:rsidRPr="00B61E18">
        <w:rPr>
          <w:szCs w:val="20"/>
        </w:rPr>
        <w:t>to</w:t>
      </w:r>
      <w:r w:rsidR="00C64050">
        <w:rPr>
          <w:szCs w:val="20"/>
        </w:rPr>
        <w:t xml:space="preserve"> </w:t>
      </w:r>
      <w:r w:rsidRPr="00B61E18">
        <w:rPr>
          <w:szCs w:val="20"/>
        </w:rPr>
        <w:t>the</w:t>
      </w:r>
      <w:r w:rsidR="00C64050">
        <w:rPr>
          <w:szCs w:val="20"/>
        </w:rPr>
        <w:t xml:space="preserve"> </w:t>
      </w:r>
      <w:r w:rsidRPr="00B61E18">
        <w:rPr>
          <w:szCs w:val="20"/>
        </w:rPr>
        <w:t>facts,</w:t>
      </w:r>
      <w:r w:rsidR="00C64050">
        <w:rPr>
          <w:szCs w:val="20"/>
        </w:rPr>
        <w:t xml:space="preserve"> </w:t>
      </w:r>
      <w:r w:rsidRPr="00B61E18">
        <w:rPr>
          <w:szCs w:val="20"/>
        </w:rPr>
        <w:t>the</w:t>
      </w:r>
      <w:r w:rsidR="00C64050">
        <w:rPr>
          <w:szCs w:val="20"/>
        </w:rPr>
        <w:t xml:space="preserve"> </w:t>
      </w:r>
      <w:r w:rsidRPr="00B61E18">
        <w:rPr>
          <w:szCs w:val="20"/>
        </w:rPr>
        <w:t>Government</w:t>
      </w:r>
      <w:r w:rsidR="00C64050">
        <w:rPr>
          <w:szCs w:val="20"/>
        </w:rPr>
        <w:t xml:space="preserve"> </w:t>
      </w:r>
      <w:r w:rsidRPr="00B61E18">
        <w:rPr>
          <w:szCs w:val="20"/>
        </w:rPr>
        <w:t>contends</w:t>
      </w:r>
      <w:r w:rsidR="00C64050">
        <w:rPr>
          <w:szCs w:val="20"/>
        </w:rPr>
        <w:t xml:space="preserve"> </w:t>
      </w:r>
      <w:r w:rsidRPr="00B61E18">
        <w:rPr>
          <w:szCs w:val="20"/>
        </w:rPr>
        <w:t>only</w:t>
      </w:r>
      <w:r w:rsidR="00C64050">
        <w:rPr>
          <w:szCs w:val="20"/>
        </w:rPr>
        <w:t xml:space="preserve"> </w:t>
      </w:r>
      <w:r w:rsidRPr="00B61E18">
        <w:rPr>
          <w:szCs w:val="20"/>
        </w:rPr>
        <w:t>$750,000</w:t>
      </w:r>
      <w:r w:rsidR="00C64050">
        <w:rPr>
          <w:szCs w:val="20"/>
        </w:rPr>
        <w:t xml:space="preserve"> </w:t>
      </w:r>
      <w:r w:rsidRPr="00B61E18">
        <w:rPr>
          <w:szCs w:val="20"/>
        </w:rPr>
        <w:t>was</w:t>
      </w:r>
      <w:r w:rsidR="00C64050">
        <w:rPr>
          <w:szCs w:val="20"/>
        </w:rPr>
        <w:t xml:space="preserve"> </w:t>
      </w:r>
      <w:r w:rsidRPr="00B61E18">
        <w:rPr>
          <w:szCs w:val="20"/>
        </w:rPr>
        <w:t>paid</w:t>
      </w:r>
      <w:r w:rsidR="00C64050">
        <w:rPr>
          <w:szCs w:val="20"/>
        </w:rPr>
        <w:t xml:space="preserve"> </w:t>
      </w:r>
      <w:r w:rsidRPr="00B61E18">
        <w:rPr>
          <w:szCs w:val="20"/>
        </w:rPr>
        <w:t>on</w:t>
      </w:r>
      <w:r w:rsidR="00C64050">
        <w:rPr>
          <w:szCs w:val="20"/>
        </w:rPr>
        <w:t xml:space="preserve"> </w:t>
      </w:r>
      <w:r w:rsidRPr="00B61E18">
        <w:rPr>
          <w:szCs w:val="20"/>
        </w:rPr>
        <w:t>or</w:t>
      </w:r>
      <w:r w:rsidR="00C64050">
        <w:rPr>
          <w:szCs w:val="20"/>
        </w:rPr>
        <w:t xml:space="preserve"> </w:t>
      </w:r>
      <w:r w:rsidRPr="00B61E18">
        <w:rPr>
          <w:szCs w:val="20"/>
        </w:rPr>
        <w:t>before</w:t>
      </w:r>
      <w:r w:rsidR="00C64050">
        <w:rPr>
          <w:szCs w:val="20"/>
        </w:rPr>
        <w:t xml:space="preserve"> </w:t>
      </w:r>
      <w:r w:rsidRPr="00B61E18">
        <w:rPr>
          <w:szCs w:val="20"/>
        </w:rPr>
        <w:t>March</w:t>
      </w:r>
      <w:r w:rsidR="00C64050">
        <w:rPr>
          <w:szCs w:val="20"/>
        </w:rPr>
        <w:t xml:space="preserve"> </w:t>
      </w:r>
      <w:r w:rsidRPr="00B61E18">
        <w:rPr>
          <w:szCs w:val="20"/>
        </w:rPr>
        <w:t>10,</w:t>
      </w:r>
      <w:r w:rsidR="00C64050">
        <w:rPr>
          <w:szCs w:val="20"/>
        </w:rPr>
        <w:t xml:space="preserve"> </w:t>
      </w:r>
      <w:r w:rsidRPr="00B61E18">
        <w:rPr>
          <w:szCs w:val="20"/>
        </w:rPr>
        <w:t>2014,</w:t>
      </w:r>
      <w:r w:rsidR="00C64050">
        <w:rPr>
          <w:szCs w:val="20"/>
        </w:rPr>
        <w:t xml:space="preserve"> </w:t>
      </w:r>
      <w:r w:rsidRPr="00B61E18">
        <w:rPr>
          <w:szCs w:val="20"/>
        </w:rPr>
        <w:t>when</w:t>
      </w:r>
      <w:r w:rsidR="00C64050">
        <w:rPr>
          <w:szCs w:val="20"/>
        </w:rPr>
        <w:t xml:space="preserve"> </w:t>
      </w:r>
      <w:r w:rsidRPr="00B61E18">
        <w:rPr>
          <w:szCs w:val="20"/>
        </w:rPr>
        <w:t>$2,528,838</w:t>
      </w:r>
      <w:r w:rsidR="00C64050">
        <w:rPr>
          <w:szCs w:val="20"/>
        </w:rPr>
        <w:t xml:space="preserve"> </w:t>
      </w:r>
      <w:r w:rsidRPr="00B61E18">
        <w:rPr>
          <w:szCs w:val="20"/>
        </w:rPr>
        <w:t>was</w:t>
      </w:r>
      <w:r w:rsidR="00C64050">
        <w:rPr>
          <w:szCs w:val="20"/>
        </w:rPr>
        <w:t xml:space="preserve"> </w:t>
      </w:r>
      <w:r w:rsidRPr="00B61E18">
        <w:rPr>
          <w:szCs w:val="20"/>
        </w:rPr>
        <w:t>due</w:t>
      </w:r>
      <w:r w:rsidR="00C64050">
        <w:rPr>
          <w:szCs w:val="20"/>
        </w:rPr>
        <w:t xml:space="preserve"> </w:t>
      </w:r>
      <w:r w:rsidRPr="00B61E18">
        <w:rPr>
          <w:szCs w:val="20"/>
        </w:rPr>
        <w:t>on</w:t>
      </w:r>
      <w:r w:rsidR="00C64050">
        <w:rPr>
          <w:szCs w:val="20"/>
        </w:rPr>
        <w:t xml:space="preserve"> </w:t>
      </w:r>
      <w:r w:rsidRPr="00B61E18">
        <w:rPr>
          <w:szCs w:val="20"/>
        </w:rPr>
        <w:t>that</w:t>
      </w:r>
      <w:r w:rsidR="00C64050">
        <w:rPr>
          <w:szCs w:val="20"/>
        </w:rPr>
        <w:t xml:space="preserve"> </w:t>
      </w:r>
      <w:r w:rsidRPr="00B61E18">
        <w:rPr>
          <w:szCs w:val="20"/>
        </w:rPr>
        <w:t>date.</w:t>
      </w:r>
      <w:r w:rsidR="00C64050">
        <w:rPr>
          <w:szCs w:val="20"/>
        </w:rPr>
        <w:t xml:space="preserve"> </w:t>
      </w:r>
      <w:r w:rsidRPr="00B61E18">
        <w:rPr>
          <w:szCs w:val="20"/>
        </w:rPr>
        <w:t>Referring</w:t>
      </w:r>
      <w:r w:rsidR="00C64050">
        <w:rPr>
          <w:szCs w:val="20"/>
        </w:rPr>
        <w:t xml:space="preserve"> </w:t>
      </w:r>
      <w:r w:rsidRPr="00B61E18">
        <w:rPr>
          <w:szCs w:val="20"/>
        </w:rPr>
        <w:t>back</w:t>
      </w:r>
      <w:r w:rsidR="00C64050">
        <w:rPr>
          <w:szCs w:val="20"/>
        </w:rPr>
        <w:t xml:space="preserve"> </w:t>
      </w:r>
      <w:r w:rsidRPr="00B61E18">
        <w:rPr>
          <w:szCs w:val="20"/>
        </w:rPr>
        <w:t>to</w:t>
      </w:r>
      <w:r w:rsidR="00C64050">
        <w:rPr>
          <w:szCs w:val="20"/>
        </w:rPr>
        <w:t xml:space="preserve"> </w:t>
      </w:r>
      <w:r w:rsidRPr="00B61E18">
        <w:rPr>
          <w:szCs w:val="20"/>
        </w:rPr>
        <w:t>§</w:t>
      </w:r>
      <w:r w:rsidR="00C64050">
        <w:rPr>
          <w:szCs w:val="20"/>
        </w:rPr>
        <w:t xml:space="preserve"> </w:t>
      </w:r>
      <w:r w:rsidRPr="00B61E18">
        <w:rPr>
          <w:szCs w:val="20"/>
        </w:rPr>
        <w:t>6651(a)(1),</w:t>
      </w:r>
      <w:r w:rsidR="00C64050">
        <w:rPr>
          <w:szCs w:val="20"/>
        </w:rPr>
        <w:t xml:space="preserve"> </w:t>
      </w:r>
      <w:r w:rsidRPr="00B61E18">
        <w:rPr>
          <w:szCs w:val="20"/>
        </w:rPr>
        <w:t>a</w:t>
      </w:r>
      <w:r w:rsidR="00C64050">
        <w:rPr>
          <w:szCs w:val="20"/>
        </w:rPr>
        <w:t xml:space="preserve"> </w:t>
      </w:r>
      <w:r w:rsidRPr="00B61E18">
        <w:rPr>
          <w:szCs w:val="20"/>
        </w:rPr>
        <w:t>25%</w:t>
      </w:r>
      <w:r w:rsidR="00C64050">
        <w:rPr>
          <w:szCs w:val="20"/>
        </w:rPr>
        <w:t xml:space="preserve"> </w:t>
      </w:r>
      <w:r w:rsidRPr="00B61E18">
        <w:rPr>
          <w:szCs w:val="20"/>
        </w:rPr>
        <w:t>penalty</w:t>
      </w:r>
      <w:r w:rsidR="00C64050">
        <w:rPr>
          <w:szCs w:val="20"/>
        </w:rPr>
        <w:t xml:space="preserve"> </w:t>
      </w:r>
      <w:r w:rsidRPr="00B61E18">
        <w:rPr>
          <w:szCs w:val="20"/>
        </w:rPr>
        <w:t>on</w:t>
      </w:r>
      <w:r w:rsidR="00C64050">
        <w:rPr>
          <w:szCs w:val="20"/>
        </w:rPr>
        <w:t xml:space="preserve"> </w:t>
      </w:r>
      <w:r w:rsidRPr="00B61E18">
        <w:rPr>
          <w:szCs w:val="20"/>
        </w:rPr>
        <w:t>the</w:t>
      </w:r>
      <w:r w:rsidR="00C64050">
        <w:rPr>
          <w:szCs w:val="20"/>
        </w:rPr>
        <w:t xml:space="preserve"> </w:t>
      </w:r>
      <w:r w:rsidRPr="00B61E18">
        <w:rPr>
          <w:szCs w:val="20"/>
        </w:rPr>
        <w:t>difference</w:t>
      </w:r>
      <w:r w:rsidR="00C64050">
        <w:rPr>
          <w:szCs w:val="20"/>
        </w:rPr>
        <w:t xml:space="preserve"> </w:t>
      </w:r>
      <w:r w:rsidRPr="00B61E18">
        <w:rPr>
          <w:szCs w:val="20"/>
        </w:rPr>
        <w:t>may</w:t>
      </w:r>
      <w:r w:rsidR="00C64050">
        <w:rPr>
          <w:szCs w:val="20"/>
        </w:rPr>
        <w:t xml:space="preserve"> </w:t>
      </w:r>
      <w:r w:rsidRPr="00B61E18">
        <w:rPr>
          <w:szCs w:val="20"/>
        </w:rPr>
        <w:t>therefore</w:t>
      </w:r>
      <w:r w:rsidR="00C64050">
        <w:rPr>
          <w:szCs w:val="20"/>
        </w:rPr>
        <w:t xml:space="preserve"> </w:t>
      </w:r>
      <w:r w:rsidRPr="00B61E18">
        <w:rPr>
          <w:szCs w:val="20"/>
        </w:rPr>
        <w:t>be</w:t>
      </w:r>
      <w:r w:rsidR="00C64050">
        <w:rPr>
          <w:szCs w:val="20"/>
        </w:rPr>
        <w:t xml:space="preserve"> </w:t>
      </w:r>
      <w:r w:rsidRPr="00B61E18">
        <w:rPr>
          <w:szCs w:val="20"/>
        </w:rPr>
        <w:t>assessed</w:t>
      </w:r>
      <w:r w:rsidR="00C64050">
        <w:rPr>
          <w:szCs w:val="20"/>
        </w:rPr>
        <w:t xml:space="preserve"> </w:t>
      </w:r>
      <w:r w:rsidRPr="00B61E18">
        <w:rPr>
          <w:szCs w:val="20"/>
        </w:rPr>
        <w:t>because</w:t>
      </w:r>
      <w:r w:rsidR="00C64050">
        <w:rPr>
          <w:szCs w:val="20"/>
        </w:rPr>
        <w:t xml:space="preserve"> </w:t>
      </w:r>
      <w:r w:rsidRPr="00B61E18">
        <w:rPr>
          <w:szCs w:val="20"/>
        </w:rPr>
        <w:t>it</w:t>
      </w:r>
      <w:r w:rsidR="00C64050">
        <w:rPr>
          <w:szCs w:val="20"/>
        </w:rPr>
        <w:t xml:space="preserve"> </w:t>
      </w:r>
      <w:r w:rsidRPr="00B61E18">
        <w:rPr>
          <w:szCs w:val="20"/>
        </w:rPr>
        <w:t>was</w:t>
      </w:r>
      <w:r w:rsidR="00C64050">
        <w:rPr>
          <w:szCs w:val="20"/>
        </w:rPr>
        <w:t xml:space="preserve"> </w:t>
      </w:r>
      <w:r w:rsidRPr="00B61E18">
        <w:rPr>
          <w:szCs w:val="20"/>
        </w:rPr>
        <w:t>not</w:t>
      </w:r>
      <w:r w:rsidR="00C64050">
        <w:rPr>
          <w:szCs w:val="20"/>
        </w:rPr>
        <w:t xml:space="preserve"> </w:t>
      </w:r>
      <w:r w:rsidRPr="00B61E18">
        <w:rPr>
          <w:szCs w:val="20"/>
        </w:rPr>
        <w:t>paid</w:t>
      </w:r>
      <w:r w:rsidR="00C64050">
        <w:rPr>
          <w:szCs w:val="20"/>
        </w:rPr>
        <w:t xml:space="preserve"> </w:t>
      </w:r>
      <w:r w:rsidRPr="00B61E18">
        <w:rPr>
          <w:szCs w:val="20"/>
        </w:rPr>
        <w:t>by</w:t>
      </w:r>
      <w:r w:rsidR="00C64050">
        <w:rPr>
          <w:szCs w:val="20"/>
        </w:rPr>
        <w:t xml:space="preserve"> </w:t>
      </w:r>
      <w:r w:rsidRPr="00B61E18">
        <w:rPr>
          <w:szCs w:val="20"/>
        </w:rPr>
        <w:t>March</w:t>
      </w:r>
      <w:r w:rsidR="00C64050">
        <w:rPr>
          <w:szCs w:val="20"/>
        </w:rPr>
        <w:t xml:space="preserve"> </w:t>
      </w:r>
      <w:r w:rsidRPr="00B61E18">
        <w:rPr>
          <w:szCs w:val="20"/>
        </w:rPr>
        <w:t>10,</w:t>
      </w:r>
      <w:r w:rsidR="00C64050">
        <w:rPr>
          <w:szCs w:val="20"/>
        </w:rPr>
        <w:t xml:space="preserve"> </w:t>
      </w:r>
      <w:r w:rsidRPr="00B61E18">
        <w:rPr>
          <w:szCs w:val="20"/>
        </w:rPr>
        <w:t>2014.</w:t>
      </w:r>
      <w:r w:rsidR="00C64050">
        <w:rPr>
          <w:szCs w:val="20"/>
        </w:rPr>
        <w:t xml:space="preserve"> </w:t>
      </w:r>
      <w:r w:rsidRPr="00B61E18">
        <w:rPr>
          <w:szCs w:val="20"/>
        </w:rPr>
        <w:t>As</w:t>
      </w:r>
      <w:r w:rsidR="00C64050">
        <w:rPr>
          <w:szCs w:val="20"/>
        </w:rPr>
        <w:t xml:space="preserve"> </w:t>
      </w:r>
      <w:r w:rsidRPr="00B61E18">
        <w:rPr>
          <w:szCs w:val="20"/>
        </w:rPr>
        <w:t>such,</w:t>
      </w:r>
      <w:r w:rsidR="00C64050">
        <w:rPr>
          <w:szCs w:val="20"/>
        </w:rPr>
        <w:t xml:space="preserve"> </w:t>
      </w:r>
      <w:r w:rsidRPr="00B61E18">
        <w:rPr>
          <w:szCs w:val="20"/>
        </w:rPr>
        <w:t>the</w:t>
      </w:r>
      <w:r w:rsidR="00C64050">
        <w:rPr>
          <w:szCs w:val="20"/>
        </w:rPr>
        <w:t xml:space="preserve"> </w:t>
      </w:r>
      <w:r w:rsidRPr="00B61E18">
        <w:rPr>
          <w:szCs w:val="20"/>
        </w:rPr>
        <w:t>full</w:t>
      </w:r>
      <w:r w:rsidR="00C64050">
        <w:rPr>
          <w:szCs w:val="20"/>
        </w:rPr>
        <w:t xml:space="preserve"> </w:t>
      </w:r>
      <w:r w:rsidRPr="00B61E18">
        <w:rPr>
          <w:szCs w:val="20"/>
        </w:rPr>
        <w:t>payment</w:t>
      </w:r>
      <w:r w:rsidR="00C64050">
        <w:rPr>
          <w:szCs w:val="20"/>
        </w:rPr>
        <w:t xml:space="preserve"> </w:t>
      </w:r>
      <w:r w:rsidRPr="00B61E18">
        <w:rPr>
          <w:szCs w:val="20"/>
        </w:rPr>
        <w:t>of</w:t>
      </w:r>
      <w:r w:rsidR="00C64050">
        <w:rPr>
          <w:szCs w:val="20"/>
        </w:rPr>
        <w:t xml:space="preserve"> </w:t>
      </w:r>
      <w:r w:rsidRPr="00B61E18">
        <w:rPr>
          <w:szCs w:val="20"/>
        </w:rPr>
        <w:t>the</w:t>
      </w:r>
      <w:r w:rsidR="00C64050">
        <w:rPr>
          <w:szCs w:val="20"/>
        </w:rPr>
        <w:t xml:space="preserve"> </w:t>
      </w:r>
      <w:r w:rsidRPr="00B61E18">
        <w:rPr>
          <w:szCs w:val="20"/>
        </w:rPr>
        <w:t>estate</w:t>
      </w:r>
      <w:r w:rsidR="00C64050">
        <w:rPr>
          <w:szCs w:val="20"/>
        </w:rPr>
        <w:t xml:space="preserve"> </w:t>
      </w:r>
      <w:r w:rsidRPr="00B61E18">
        <w:rPr>
          <w:szCs w:val="20"/>
        </w:rPr>
        <w:t>tax</w:t>
      </w:r>
      <w:r w:rsidR="00C64050">
        <w:rPr>
          <w:szCs w:val="20"/>
        </w:rPr>
        <w:t xml:space="preserve"> </w:t>
      </w:r>
      <w:r w:rsidRPr="00B61E18">
        <w:rPr>
          <w:szCs w:val="20"/>
        </w:rPr>
        <w:t>on</w:t>
      </w:r>
      <w:r w:rsidR="00C64050">
        <w:rPr>
          <w:szCs w:val="20"/>
        </w:rPr>
        <w:t xml:space="preserve"> </w:t>
      </w:r>
      <w:r w:rsidRPr="00B61E18">
        <w:rPr>
          <w:szCs w:val="20"/>
        </w:rPr>
        <w:t>March</w:t>
      </w:r>
      <w:r w:rsidR="00C64050">
        <w:rPr>
          <w:szCs w:val="20"/>
        </w:rPr>
        <w:t xml:space="preserve"> </w:t>
      </w:r>
      <w:r w:rsidRPr="00B61E18">
        <w:rPr>
          <w:szCs w:val="20"/>
        </w:rPr>
        <w:t>18,</w:t>
      </w:r>
      <w:r w:rsidR="00C64050">
        <w:rPr>
          <w:szCs w:val="20"/>
        </w:rPr>
        <w:t xml:space="preserve"> </w:t>
      </w:r>
      <w:r w:rsidRPr="00B61E18">
        <w:rPr>
          <w:szCs w:val="20"/>
        </w:rPr>
        <w:t>2014</w:t>
      </w:r>
      <w:r w:rsidR="00C64050">
        <w:rPr>
          <w:szCs w:val="20"/>
        </w:rPr>
        <w:t xml:space="preserve"> </w:t>
      </w:r>
      <w:r w:rsidRPr="00B61E18">
        <w:rPr>
          <w:szCs w:val="20"/>
        </w:rPr>
        <w:t>is</w:t>
      </w:r>
      <w:r w:rsidR="00C64050">
        <w:rPr>
          <w:szCs w:val="20"/>
        </w:rPr>
        <w:t xml:space="preserve"> </w:t>
      </w:r>
      <w:r w:rsidRPr="00B61E18">
        <w:rPr>
          <w:szCs w:val="20"/>
        </w:rPr>
        <w:t>of</w:t>
      </w:r>
      <w:r w:rsidR="00C64050">
        <w:rPr>
          <w:szCs w:val="20"/>
        </w:rPr>
        <w:t xml:space="preserve"> </w:t>
      </w:r>
      <w:r w:rsidRPr="00B61E18">
        <w:rPr>
          <w:szCs w:val="20"/>
        </w:rPr>
        <w:t>no</w:t>
      </w:r>
      <w:r w:rsidR="00C64050">
        <w:rPr>
          <w:szCs w:val="20"/>
        </w:rPr>
        <w:t xml:space="preserve"> </w:t>
      </w:r>
      <w:r w:rsidRPr="00B61E18">
        <w:rPr>
          <w:szCs w:val="20"/>
        </w:rPr>
        <w:t>avail</w:t>
      </w:r>
      <w:r w:rsidR="00C64050">
        <w:rPr>
          <w:szCs w:val="20"/>
        </w:rPr>
        <w:t xml:space="preserve"> </w:t>
      </w:r>
      <w:r w:rsidRPr="00B61E18">
        <w:rPr>
          <w:szCs w:val="20"/>
        </w:rPr>
        <w:t>because</w:t>
      </w:r>
      <w:r w:rsidR="00C64050">
        <w:rPr>
          <w:szCs w:val="20"/>
        </w:rPr>
        <w:t xml:space="preserve"> </w:t>
      </w:r>
      <w:r w:rsidRPr="00B61E18">
        <w:rPr>
          <w:szCs w:val="20"/>
        </w:rPr>
        <w:t>the</w:t>
      </w:r>
      <w:r w:rsidR="00C64050">
        <w:rPr>
          <w:szCs w:val="20"/>
        </w:rPr>
        <w:t xml:space="preserve"> </w:t>
      </w:r>
      <w:r w:rsidRPr="00B61E18">
        <w:rPr>
          <w:szCs w:val="20"/>
        </w:rPr>
        <w:t>“last</w:t>
      </w:r>
      <w:r w:rsidR="00C64050">
        <w:rPr>
          <w:szCs w:val="20"/>
        </w:rPr>
        <w:t xml:space="preserve"> </w:t>
      </w:r>
      <w:r w:rsidRPr="00B61E18">
        <w:rPr>
          <w:szCs w:val="20"/>
        </w:rPr>
        <w:t>date</w:t>
      </w:r>
      <w:r w:rsidR="00C64050">
        <w:rPr>
          <w:szCs w:val="20"/>
        </w:rPr>
        <w:t xml:space="preserve"> </w:t>
      </w:r>
      <w:r w:rsidRPr="00B61E18">
        <w:rPr>
          <w:szCs w:val="20"/>
        </w:rPr>
        <w:t>fixed”</w:t>
      </w:r>
      <w:r w:rsidR="00C64050">
        <w:rPr>
          <w:szCs w:val="20"/>
        </w:rPr>
        <w:t xml:space="preserve"> </w:t>
      </w:r>
      <w:r w:rsidRPr="00B61E18">
        <w:rPr>
          <w:szCs w:val="20"/>
        </w:rPr>
        <w:t>was</w:t>
      </w:r>
      <w:r w:rsidR="00C64050">
        <w:rPr>
          <w:szCs w:val="20"/>
        </w:rPr>
        <w:t xml:space="preserve"> </w:t>
      </w:r>
      <w:r w:rsidRPr="00B61E18">
        <w:rPr>
          <w:szCs w:val="20"/>
        </w:rPr>
        <w:t>March</w:t>
      </w:r>
      <w:r w:rsidR="00C64050">
        <w:rPr>
          <w:szCs w:val="20"/>
        </w:rPr>
        <w:t xml:space="preserve"> </w:t>
      </w:r>
      <w:r w:rsidRPr="00B61E18">
        <w:rPr>
          <w:szCs w:val="20"/>
        </w:rPr>
        <w:t>10,</w:t>
      </w:r>
      <w:r w:rsidR="00C64050">
        <w:rPr>
          <w:szCs w:val="20"/>
        </w:rPr>
        <w:t xml:space="preserve"> </w:t>
      </w:r>
      <w:r w:rsidRPr="00B61E18">
        <w:rPr>
          <w:szCs w:val="20"/>
        </w:rPr>
        <w:t>2014.</w:t>
      </w:r>
      <w:r w:rsidR="00C64050">
        <w:rPr>
          <w:szCs w:val="20"/>
        </w:rPr>
        <w:t xml:space="preserve"> </w:t>
      </w:r>
      <w:r w:rsidRPr="00B61E18">
        <w:rPr>
          <w:szCs w:val="20"/>
        </w:rPr>
        <w:t>Accordingly,</w:t>
      </w:r>
      <w:r w:rsidR="00C64050">
        <w:rPr>
          <w:szCs w:val="20"/>
        </w:rPr>
        <w:t xml:space="preserve"> </w:t>
      </w:r>
      <w:r w:rsidRPr="00B61E18">
        <w:rPr>
          <w:szCs w:val="20"/>
        </w:rPr>
        <w:t>the</w:t>
      </w:r>
      <w:r w:rsidR="00C64050">
        <w:rPr>
          <w:szCs w:val="20"/>
        </w:rPr>
        <w:t xml:space="preserve"> </w:t>
      </w:r>
      <w:r w:rsidRPr="00B61E18">
        <w:rPr>
          <w:szCs w:val="20"/>
        </w:rPr>
        <w:t>Government</w:t>
      </w:r>
      <w:r w:rsidR="00C64050">
        <w:rPr>
          <w:szCs w:val="20"/>
        </w:rPr>
        <w:t xml:space="preserve"> </w:t>
      </w:r>
      <w:r w:rsidRPr="00B61E18">
        <w:rPr>
          <w:szCs w:val="20"/>
        </w:rPr>
        <w:t>argues</w:t>
      </w:r>
      <w:r w:rsidR="00C64050">
        <w:rPr>
          <w:szCs w:val="20"/>
        </w:rPr>
        <w:t xml:space="preserve"> </w:t>
      </w:r>
      <w:r w:rsidRPr="00B61E18">
        <w:rPr>
          <w:szCs w:val="20"/>
        </w:rPr>
        <w:t>that</w:t>
      </w:r>
      <w:r w:rsidR="00C64050">
        <w:rPr>
          <w:szCs w:val="20"/>
        </w:rPr>
        <w:t xml:space="preserve"> </w:t>
      </w:r>
      <w:r w:rsidRPr="00B61E18">
        <w:rPr>
          <w:szCs w:val="20"/>
        </w:rPr>
        <w:t>the</w:t>
      </w:r>
      <w:r w:rsidR="00C64050">
        <w:rPr>
          <w:szCs w:val="20"/>
        </w:rPr>
        <w:t xml:space="preserve"> </w:t>
      </w:r>
      <w:r w:rsidRPr="00B61E18">
        <w:rPr>
          <w:szCs w:val="20"/>
        </w:rPr>
        <w:t>imposition</w:t>
      </w:r>
      <w:r w:rsidR="00C64050">
        <w:rPr>
          <w:szCs w:val="20"/>
        </w:rPr>
        <w:t xml:space="preserve"> </w:t>
      </w:r>
      <w:r w:rsidRPr="00B61E18">
        <w:rPr>
          <w:szCs w:val="20"/>
        </w:rPr>
        <w:t>of</w:t>
      </w:r>
      <w:r w:rsidR="00C64050">
        <w:rPr>
          <w:szCs w:val="20"/>
        </w:rPr>
        <w:t xml:space="preserve"> </w:t>
      </w:r>
      <w:r w:rsidRPr="00B61E18">
        <w:rPr>
          <w:szCs w:val="20"/>
        </w:rPr>
        <w:t>a</w:t>
      </w:r>
      <w:r w:rsidR="00C64050">
        <w:rPr>
          <w:szCs w:val="20"/>
        </w:rPr>
        <w:t xml:space="preserve"> </w:t>
      </w:r>
      <w:r w:rsidRPr="00B61E18">
        <w:rPr>
          <w:szCs w:val="20"/>
        </w:rPr>
        <w:t>penalty</w:t>
      </w:r>
      <w:r w:rsidR="00C64050">
        <w:rPr>
          <w:szCs w:val="20"/>
        </w:rPr>
        <w:t xml:space="preserve"> </w:t>
      </w:r>
      <w:r w:rsidRPr="00B61E18">
        <w:rPr>
          <w:szCs w:val="20"/>
        </w:rPr>
        <w:t>in</w:t>
      </w:r>
      <w:r w:rsidR="00C64050">
        <w:rPr>
          <w:szCs w:val="20"/>
        </w:rPr>
        <w:t xml:space="preserve"> </w:t>
      </w:r>
      <w:r w:rsidRPr="00B61E18">
        <w:rPr>
          <w:szCs w:val="20"/>
        </w:rPr>
        <w:t>the</w:t>
      </w:r>
      <w:r w:rsidR="00C64050">
        <w:rPr>
          <w:szCs w:val="20"/>
        </w:rPr>
        <w:t xml:space="preserve"> </w:t>
      </w:r>
      <w:r w:rsidRPr="00B61E18">
        <w:rPr>
          <w:szCs w:val="20"/>
        </w:rPr>
        <w:t>amount</w:t>
      </w:r>
      <w:r w:rsidR="00C64050">
        <w:rPr>
          <w:szCs w:val="20"/>
        </w:rPr>
        <w:t xml:space="preserve"> </w:t>
      </w:r>
      <w:r w:rsidRPr="00B61E18">
        <w:rPr>
          <w:szCs w:val="20"/>
        </w:rPr>
        <w:t>of</w:t>
      </w:r>
      <w:r w:rsidR="00C64050">
        <w:rPr>
          <w:szCs w:val="20"/>
        </w:rPr>
        <w:t xml:space="preserve"> </w:t>
      </w:r>
      <w:r w:rsidRPr="00B61E18">
        <w:rPr>
          <w:szCs w:val="20"/>
        </w:rPr>
        <w:t>$450,959.00</w:t>
      </w:r>
      <w:r w:rsidR="00C64050">
        <w:rPr>
          <w:szCs w:val="20"/>
        </w:rPr>
        <w:t xml:space="preserve"> </w:t>
      </w:r>
      <w:r w:rsidRPr="00B61E18">
        <w:rPr>
          <w:szCs w:val="20"/>
        </w:rPr>
        <w:t>is</w:t>
      </w:r>
      <w:r w:rsidR="00C64050">
        <w:rPr>
          <w:szCs w:val="20"/>
        </w:rPr>
        <w:t xml:space="preserve"> </w:t>
      </w:r>
      <w:r w:rsidRPr="00B61E18">
        <w:rPr>
          <w:szCs w:val="20"/>
        </w:rPr>
        <w:t>appropriate.</w:t>
      </w:r>
    </w:p>
    <w:p w:rsidR="00A27958" w:rsidRPr="00B61E18" w:rsidRDefault="00A27958" w:rsidP="00A27958">
      <w:pPr>
        <w:pStyle w:val="QS10"/>
        <w:rPr>
          <w:szCs w:val="20"/>
        </w:rPr>
      </w:pPr>
      <w:r w:rsidRPr="00B61E18">
        <w:rPr>
          <w:szCs w:val="20"/>
        </w:rPr>
        <w:t>The</w:t>
      </w:r>
      <w:r w:rsidR="00C64050">
        <w:rPr>
          <w:szCs w:val="20"/>
        </w:rPr>
        <w:t xml:space="preserve"> </w:t>
      </w:r>
      <w:r w:rsidRPr="00B61E18">
        <w:rPr>
          <w:szCs w:val="20"/>
        </w:rPr>
        <w:t>IRS's</w:t>
      </w:r>
      <w:r w:rsidR="00C64050">
        <w:rPr>
          <w:szCs w:val="20"/>
        </w:rPr>
        <w:t xml:space="preserve"> </w:t>
      </w:r>
      <w:r w:rsidRPr="00B61E18">
        <w:rPr>
          <w:szCs w:val="20"/>
        </w:rPr>
        <w:t>arguments</w:t>
      </w:r>
      <w:r w:rsidR="00C64050">
        <w:rPr>
          <w:szCs w:val="20"/>
        </w:rPr>
        <w:t xml:space="preserve"> </w:t>
      </w:r>
      <w:r w:rsidRPr="00B61E18">
        <w:rPr>
          <w:szCs w:val="20"/>
        </w:rPr>
        <w:t>miss</w:t>
      </w:r>
      <w:r w:rsidR="00C64050">
        <w:rPr>
          <w:szCs w:val="20"/>
        </w:rPr>
        <w:t xml:space="preserve"> </w:t>
      </w:r>
      <w:r w:rsidRPr="00B61E18">
        <w:rPr>
          <w:szCs w:val="20"/>
        </w:rPr>
        <w:t>the</w:t>
      </w:r>
      <w:r w:rsidR="00C64050">
        <w:rPr>
          <w:szCs w:val="20"/>
        </w:rPr>
        <w:t xml:space="preserve"> </w:t>
      </w:r>
      <w:r w:rsidRPr="00B61E18">
        <w:rPr>
          <w:szCs w:val="20"/>
        </w:rPr>
        <w:t>mark.</w:t>
      </w:r>
      <w:r w:rsidR="00C64050">
        <w:rPr>
          <w:szCs w:val="20"/>
        </w:rPr>
        <w:t xml:space="preserve"> </w:t>
      </w:r>
      <w:r w:rsidRPr="00B61E18">
        <w:rPr>
          <w:szCs w:val="20"/>
        </w:rPr>
        <w:t>First,</w:t>
      </w:r>
      <w:r w:rsidR="00C64050">
        <w:rPr>
          <w:szCs w:val="20"/>
        </w:rPr>
        <w:t xml:space="preserve"> </w:t>
      </w:r>
      <w:r w:rsidRPr="00B61E18">
        <w:rPr>
          <w:szCs w:val="20"/>
        </w:rPr>
        <w:t>both</w:t>
      </w:r>
      <w:r w:rsidR="00C64050">
        <w:rPr>
          <w:szCs w:val="20"/>
        </w:rPr>
        <w:t xml:space="preserve"> </w:t>
      </w:r>
      <w:r w:rsidRPr="00B61E18">
        <w:rPr>
          <w:szCs w:val="20"/>
        </w:rPr>
        <w:t>§§</w:t>
      </w:r>
      <w:r w:rsidR="00C64050">
        <w:rPr>
          <w:szCs w:val="20"/>
        </w:rPr>
        <w:t xml:space="preserve"> </w:t>
      </w:r>
      <w:r w:rsidRPr="00B61E18">
        <w:rPr>
          <w:szCs w:val="20"/>
        </w:rPr>
        <w:t>6651(a)(1)</w:t>
      </w:r>
      <w:r w:rsidR="00C64050">
        <w:rPr>
          <w:szCs w:val="20"/>
        </w:rPr>
        <w:t xml:space="preserve"> </w:t>
      </w:r>
      <w:r w:rsidRPr="00B61E18">
        <w:rPr>
          <w:szCs w:val="20"/>
        </w:rPr>
        <w:t>and</w:t>
      </w:r>
      <w:r w:rsidR="00C64050">
        <w:rPr>
          <w:szCs w:val="20"/>
        </w:rPr>
        <w:t xml:space="preserve"> </w:t>
      </w:r>
      <w:r w:rsidRPr="00B61E18">
        <w:rPr>
          <w:szCs w:val="20"/>
        </w:rPr>
        <w:t>(a)(2)</w:t>
      </w:r>
      <w:r w:rsidR="00C64050">
        <w:rPr>
          <w:szCs w:val="20"/>
        </w:rPr>
        <w:t xml:space="preserve"> </w:t>
      </w:r>
      <w:r w:rsidRPr="00B61E18">
        <w:rPr>
          <w:szCs w:val="20"/>
        </w:rPr>
        <w:t>designate</w:t>
      </w:r>
      <w:r w:rsidR="00C64050">
        <w:rPr>
          <w:szCs w:val="20"/>
        </w:rPr>
        <w:t xml:space="preserve"> </w:t>
      </w:r>
      <w:r w:rsidRPr="00B61E18">
        <w:rPr>
          <w:szCs w:val="20"/>
        </w:rPr>
        <w:t>the</w:t>
      </w:r>
      <w:r w:rsidR="00C64050">
        <w:rPr>
          <w:szCs w:val="20"/>
        </w:rPr>
        <w:t xml:space="preserve"> </w:t>
      </w:r>
      <w:r w:rsidRPr="00B61E18">
        <w:rPr>
          <w:szCs w:val="20"/>
        </w:rPr>
        <w:t>specific</w:t>
      </w:r>
      <w:r w:rsidR="00C64050">
        <w:rPr>
          <w:szCs w:val="20"/>
        </w:rPr>
        <w:t xml:space="preserve"> </w:t>
      </w:r>
      <w:r w:rsidRPr="00B61E18">
        <w:rPr>
          <w:szCs w:val="20"/>
        </w:rPr>
        <w:t>day</w:t>
      </w:r>
      <w:r w:rsidR="00C64050">
        <w:rPr>
          <w:szCs w:val="20"/>
        </w:rPr>
        <w:t xml:space="preserve"> </w:t>
      </w:r>
      <w:r w:rsidRPr="00B61E18">
        <w:rPr>
          <w:szCs w:val="20"/>
        </w:rPr>
        <w:t>on</w:t>
      </w:r>
      <w:r w:rsidR="00C64050">
        <w:rPr>
          <w:szCs w:val="20"/>
        </w:rPr>
        <w:t xml:space="preserve"> </w:t>
      </w:r>
      <w:r w:rsidRPr="00B61E18">
        <w:rPr>
          <w:szCs w:val="20"/>
        </w:rPr>
        <w:t>which</w:t>
      </w:r>
      <w:r w:rsidR="00C64050">
        <w:rPr>
          <w:szCs w:val="20"/>
        </w:rPr>
        <w:t xml:space="preserve"> </w:t>
      </w:r>
      <w:r w:rsidRPr="00B61E18">
        <w:rPr>
          <w:szCs w:val="20"/>
        </w:rPr>
        <w:t>penalties</w:t>
      </w:r>
      <w:r w:rsidR="00C64050">
        <w:rPr>
          <w:szCs w:val="20"/>
        </w:rPr>
        <w:t xml:space="preserve"> </w:t>
      </w:r>
      <w:r w:rsidRPr="00B61E18">
        <w:rPr>
          <w:szCs w:val="20"/>
        </w:rPr>
        <w:t>will</w:t>
      </w:r>
      <w:r w:rsidR="00C64050">
        <w:rPr>
          <w:szCs w:val="20"/>
        </w:rPr>
        <w:t xml:space="preserve"> </w:t>
      </w:r>
      <w:r w:rsidRPr="00B61E18">
        <w:rPr>
          <w:szCs w:val="20"/>
        </w:rPr>
        <w:t>be</w:t>
      </w:r>
      <w:r w:rsidR="00C64050">
        <w:rPr>
          <w:szCs w:val="20"/>
        </w:rPr>
        <w:t xml:space="preserve"> </w:t>
      </w:r>
      <w:r w:rsidRPr="00B61E18">
        <w:rPr>
          <w:szCs w:val="20"/>
        </w:rPr>
        <w:t>assessed</w:t>
      </w:r>
      <w:r w:rsidR="00C64050">
        <w:rPr>
          <w:szCs w:val="20"/>
        </w:rPr>
        <w:t xml:space="preserve"> </w:t>
      </w:r>
      <w:r w:rsidRPr="00B61E18">
        <w:rPr>
          <w:szCs w:val="20"/>
        </w:rPr>
        <w:t>for</w:t>
      </w:r>
      <w:r w:rsidR="00C64050">
        <w:rPr>
          <w:szCs w:val="20"/>
        </w:rPr>
        <w:t xml:space="preserve"> </w:t>
      </w:r>
      <w:r w:rsidRPr="00B61E18">
        <w:rPr>
          <w:szCs w:val="20"/>
        </w:rPr>
        <w:t>both</w:t>
      </w:r>
      <w:r w:rsidR="00C64050">
        <w:rPr>
          <w:szCs w:val="20"/>
        </w:rPr>
        <w:t xml:space="preserve"> </w:t>
      </w:r>
      <w:r w:rsidRPr="00B61E18">
        <w:rPr>
          <w:szCs w:val="20"/>
        </w:rPr>
        <w:t>late</w:t>
      </w:r>
      <w:r w:rsidR="00C64050">
        <w:rPr>
          <w:szCs w:val="20"/>
        </w:rPr>
        <w:t xml:space="preserve"> </w:t>
      </w:r>
      <w:r w:rsidRPr="00B61E18">
        <w:rPr>
          <w:szCs w:val="20"/>
        </w:rPr>
        <w:t>filing</w:t>
      </w:r>
      <w:r w:rsidR="00C64050">
        <w:rPr>
          <w:szCs w:val="20"/>
        </w:rPr>
        <w:t xml:space="preserve"> </w:t>
      </w:r>
      <w:r w:rsidRPr="00B61E18">
        <w:rPr>
          <w:szCs w:val="20"/>
        </w:rPr>
        <w:t>and</w:t>
      </w:r>
      <w:r w:rsidR="00C64050">
        <w:rPr>
          <w:szCs w:val="20"/>
        </w:rPr>
        <w:t xml:space="preserve"> </w:t>
      </w:r>
      <w:r w:rsidRPr="00B61E18">
        <w:rPr>
          <w:szCs w:val="20"/>
        </w:rPr>
        <w:t>payment</w:t>
      </w:r>
      <w:r w:rsidR="00C64050">
        <w:rPr>
          <w:szCs w:val="20"/>
        </w:rPr>
        <w:t xml:space="preserve"> </w:t>
      </w:r>
      <w:r w:rsidRPr="00B61E18">
        <w:rPr>
          <w:szCs w:val="20"/>
        </w:rPr>
        <w:t>of</w:t>
      </w:r>
      <w:r w:rsidR="00C64050">
        <w:rPr>
          <w:szCs w:val="20"/>
        </w:rPr>
        <w:t xml:space="preserve"> </w:t>
      </w:r>
      <w:r w:rsidRPr="00B61E18">
        <w:rPr>
          <w:szCs w:val="20"/>
        </w:rPr>
        <w:t>the</w:t>
      </w:r>
      <w:r w:rsidR="00C64050">
        <w:rPr>
          <w:szCs w:val="20"/>
        </w:rPr>
        <w:t xml:space="preserve"> </w:t>
      </w:r>
      <w:r w:rsidRPr="00B61E18">
        <w:rPr>
          <w:szCs w:val="20"/>
        </w:rPr>
        <w:t>estate</w:t>
      </w:r>
      <w:r w:rsidR="00C64050">
        <w:rPr>
          <w:szCs w:val="20"/>
        </w:rPr>
        <w:t xml:space="preserve"> </w:t>
      </w:r>
      <w:r w:rsidRPr="00B61E18">
        <w:rPr>
          <w:szCs w:val="20"/>
        </w:rPr>
        <w:t>tax</w:t>
      </w:r>
      <w:r w:rsidR="00C64050">
        <w:rPr>
          <w:szCs w:val="20"/>
        </w:rPr>
        <w:t xml:space="preserve"> </w:t>
      </w:r>
      <w:r w:rsidRPr="00B61E18">
        <w:rPr>
          <w:szCs w:val="20"/>
        </w:rPr>
        <w:t>return.</w:t>
      </w:r>
      <w:r w:rsidR="00C64050">
        <w:rPr>
          <w:szCs w:val="20"/>
        </w:rPr>
        <w:t xml:space="preserve"> </w:t>
      </w:r>
      <w:r w:rsidRPr="00B61E18">
        <w:rPr>
          <w:szCs w:val="20"/>
        </w:rPr>
        <w:t>Both</w:t>
      </w:r>
      <w:r w:rsidR="00C64050">
        <w:rPr>
          <w:szCs w:val="20"/>
        </w:rPr>
        <w:t xml:space="preserve"> </w:t>
      </w:r>
      <w:r w:rsidRPr="00B61E18">
        <w:rPr>
          <w:szCs w:val="20"/>
        </w:rPr>
        <w:t>paragraphs</w:t>
      </w:r>
      <w:r w:rsidR="00C64050">
        <w:rPr>
          <w:szCs w:val="20"/>
        </w:rPr>
        <w:t xml:space="preserve"> </w:t>
      </w:r>
      <w:r w:rsidRPr="00B61E18">
        <w:rPr>
          <w:szCs w:val="20"/>
        </w:rPr>
        <w:t>specify</w:t>
      </w:r>
      <w:r w:rsidR="00C64050">
        <w:rPr>
          <w:szCs w:val="20"/>
        </w:rPr>
        <w:t xml:space="preserve"> </w:t>
      </w:r>
      <w:r w:rsidRPr="00B61E18">
        <w:rPr>
          <w:szCs w:val="20"/>
        </w:rPr>
        <w:t>that</w:t>
      </w:r>
      <w:r w:rsidR="00C64050">
        <w:rPr>
          <w:szCs w:val="20"/>
        </w:rPr>
        <w:t xml:space="preserve"> </w:t>
      </w:r>
      <w:r w:rsidRPr="00B61E18">
        <w:rPr>
          <w:szCs w:val="20"/>
        </w:rPr>
        <w:t>the</w:t>
      </w:r>
      <w:r w:rsidR="00C64050">
        <w:rPr>
          <w:szCs w:val="20"/>
        </w:rPr>
        <w:t xml:space="preserve"> </w:t>
      </w:r>
      <w:r w:rsidRPr="00B61E18">
        <w:rPr>
          <w:szCs w:val="20"/>
        </w:rPr>
        <w:t>“date</w:t>
      </w:r>
      <w:r w:rsidR="00C64050">
        <w:rPr>
          <w:szCs w:val="20"/>
        </w:rPr>
        <w:t xml:space="preserve"> </w:t>
      </w:r>
      <w:r w:rsidRPr="00B61E18">
        <w:rPr>
          <w:szCs w:val="20"/>
        </w:rPr>
        <w:t>prescribed”</w:t>
      </w:r>
      <w:r w:rsidR="00C64050">
        <w:rPr>
          <w:szCs w:val="20"/>
        </w:rPr>
        <w:t xml:space="preserve"> </w:t>
      </w:r>
      <w:r w:rsidRPr="00B61E18">
        <w:rPr>
          <w:szCs w:val="20"/>
        </w:rPr>
        <w:t>is</w:t>
      </w:r>
      <w:r w:rsidR="00C64050">
        <w:rPr>
          <w:szCs w:val="20"/>
        </w:rPr>
        <w:t xml:space="preserve"> </w:t>
      </w:r>
      <w:r w:rsidRPr="00B61E18">
        <w:rPr>
          <w:szCs w:val="20"/>
        </w:rPr>
        <w:t>to</w:t>
      </w:r>
      <w:r w:rsidR="00C64050">
        <w:rPr>
          <w:szCs w:val="20"/>
        </w:rPr>
        <w:t xml:space="preserve"> </w:t>
      </w:r>
      <w:r w:rsidRPr="00B61E18">
        <w:rPr>
          <w:szCs w:val="20"/>
        </w:rPr>
        <w:t>“be</w:t>
      </w:r>
      <w:r w:rsidR="00C64050">
        <w:rPr>
          <w:szCs w:val="20"/>
        </w:rPr>
        <w:t xml:space="preserve"> </w:t>
      </w:r>
      <w:r w:rsidRPr="00B61E18">
        <w:rPr>
          <w:szCs w:val="20"/>
        </w:rPr>
        <w:t>determined</w:t>
      </w:r>
      <w:r w:rsidR="00C64050">
        <w:rPr>
          <w:szCs w:val="20"/>
        </w:rPr>
        <w:t xml:space="preserve"> </w:t>
      </w:r>
      <w:r w:rsidRPr="00B61E18">
        <w:rPr>
          <w:szCs w:val="20"/>
        </w:rPr>
        <w:t>with</w:t>
      </w:r>
      <w:r w:rsidR="00C64050">
        <w:rPr>
          <w:szCs w:val="20"/>
        </w:rPr>
        <w:t xml:space="preserve"> </w:t>
      </w:r>
      <w:r w:rsidRPr="00B61E18">
        <w:rPr>
          <w:szCs w:val="20"/>
        </w:rPr>
        <w:t>regard</w:t>
      </w:r>
      <w:r w:rsidR="00C64050">
        <w:rPr>
          <w:szCs w:val="20"/>
        </w:rPr>
        <w:t xml:space="preserve"> </w:t>
      </w:r>
      <w:r w:rsidRPr="00B61E18">
        <w:rPr>
          <w:szCs w:val="20"/>
        </w:rPr>
        <w:t>to</w:t>
      </w:r>
      <w:r w:rsidR="00C64050">
        <w:rPr>
          <w:szCs w:val="20"/>
        </w:rPr>
        <w:t xml:space="preserve"> </w:t>
      </w:r>
      <w:r w:rsidRPr="00B61E18">
        <w:rPr>
          <w:szCs w:val="20"/>
        </w:rPr>
        <w:t>any</w:t>
      </w:r>
      <w:r w:rsidR="00C64050">
        <w:rPr>
          <w:szCs w:val="20"/>
        </w:rPr>
        <w:t xml:space="preserve"> </w:t>
      </w:r>
      <w:r w:rsidRPr="00B61E18">
        <w:rPr>
          <w:szCs w:val="20"/>
        </w:rPr>
        <w:t>extension</w:t>
      </w:r>
      <w:r w:rsidR="00C64050">
        <w:rPr>
          <w:szCs w:val="20"/>
        </w:rPr>
        <w:t xml:space="preserve"> </w:t>
      </w:r>
      <w:r w:rsidRPr="00B61E18">
        <w:rPr>
          <w:szCs w:val="20"/>
        </w:rPr>
        <w:t>of</w:t>
      </w:r>
      <w:r w:rsidR="00C64050">
        <w:rPr>
          <w:szCs w:val="20"/>
        </w:rPr>
        <w:t xml:space="preserve"> </w:t>
      </w:r>
      <w:r w:rsidRPr="00B61E18">
        <w:rPr>
          <w:szCs w:val="20"/>
        </w:rPr>
        <w:t>time</w:t>
      </w:r>
      <w:r w:rsidR="00C64050">
        <w:rPr>
          <w:szCs w:val="20"/>
        </w:rPr>
        <w:t xml:space="preserve"> </w:t>
      </w:r>
      <w:r w:rsidRPr="00B61E18">
        <w:rPr>
          <w:szCs w:val="20"/>
        </w:rPr>
        <w:t>for</w:t>
      </w:r>
      <w:r w:rsidR="00C64050">
        <w:rPr>
          <w:szCs w:val="20"/>
        </w:rPr>
        <w:t xml:space="preserve"> </w:t>
      </w:r>
      <w:r w:rsidRPr="00B61E18">
        <w:rPr>
          <w:szCs w:val="20"/>
        </w:rPr>
        <w:t>filing.”</w:t>
      </w:r>
      <w:r w:rsidR="00C64050">
        <w:rPr>
          <w:szCs w:val="20"/>
        </w:rPr>
        <w:t xml:space="preserve"> </w:t>
      </w:r>
      <w:r w:rsidRPr="00B61E18">
        <w:rPr>
          <w:szCs w:val="20"/>
        </w:rPr>
        <w:t>The</w:t>
      </w:r>
      <w:r w:rsidR="00C64050">
        <w:rPr>
          <w:szCs w:val="20"/>
        </w:rPr>
        <w:t xml:space="preserve"> </w:t>
      </w:r>
      <w:r w:rsidRPr="00B61E18">
        <w:rPr>
          <w:szCs w:val="20"/>
        </w:rPr>
        <w:t>language</w:t>
      </w:r>
      <w:r w:rsidR="00C64050">
        <w:rPr>
          <w:szCs w:val="20"/>
        </w:rPr>
        <w:t xml:space="preserve"> </w:t>
      </w:r>
      <w:r w:rsidRPr="00B61E18">
        <w:rPr>
          <w:szCs w:val="20"/>
        </w:rPr>
        <w:t>of</w:t>
      </w:r>
      <w:r w:rsidR="00C64050">
        <w:rPr>
          <w:szCs w:val="20"/>
        </w:rPr>
        <w:t xml:space="preserve"> </w:t>
      </w:r>
      <w:r w:rsidRPr="00B61E18">
        <w:rPr>
          <w:szCs w:val="20"/>
        </w:rPr>
        <w:t>the</w:t>
      </w:r>
      <w:r w:rsidR="00C64050">
        <w:rPr>
          <w:szCs w:val="20"/>
        </w:rPr>
        <w:t xml:space="preserve"> </w:t>
      </w:r>
      <w:r w:rsidRPr="00B61E18">
        <w:rPr>
          <w:szCs w:val="20"/>
        </w:rPr>
        <w:t>statute</w:t>
      </w:r>
      <w:r w:rsidR="00C64050">
        <w:rPr>
          <w:szCs w:val="20"/>
        </w:rPr>
        <w:t xml:space="preserve"> </w:t>
      </w:r>
      <w:r w:rsidRPr="00B61E18">
        <w:rPr>
          <w:szCs w:val="20"/>
        </w:rPr>
        <w:t>in</w:t>
      </w:r>
      <w:r w:rsidR="00C64050">
        <w:rPr>
          <w:szCs w:val="20"/>
        </w:rPr>
        <w:t xml:space="preserve"> </w:t>
      </w:r>
      <w:r w:rsidRPr="00B61E18">
        <w:rPr>
          <w:szCs w:val="20"/>
        </w:rPr>
        <w:t>dispute</w:t>
      </w:r>
      <w:r w:rsidR="00C64050">
        <w:rPr>
          <w:szCs w:val="20"/>
        </w:rPr>
        <w:t xml:space="preserve"> </w:t>
      </w:r>
      <w:r w:rsidRPr="00B61E18">
        <w:rPr>
          <w:szCs w:val="20"/>
        </w:rPr>
        <w:t>is</w:t>
      </w:r>
      <w:r w:rsidR="00C64050">
        <w:rPr>
          <w:szCs w:val="20"/>
        </w:rPr>
        <w:t xml:space="preserve"> </w:t>
      </w:r>
      <w:r w:rsidRPr="00B61E18">
        <w:rPr>
          <w:szCs w:val="20"/>
        </w:rPr>
        <w:t>the</w:t>
      </w:r>
      <w:r w:rsidR="00C64050">
        <w:rPr>
          <w:szCs w:val="20"/>
        </w:rPr>
        <w:t xml:space="preserve"> </w:t>
      </w:r>
      <w:r w:rsidRPr="00B61E18">
        <w:rPr>
          <w:szCs w:val="20"/>
        </w:rPr>
        <w:t>one</w:t>
      </w:r>
      <w:r w:rsidR="00C64050">
        <w:rPr>
          <w:szCs w:val="20"/>
        </w:rPr>
        <w:t xml:space="preserve"> </w:t>
      </w:r>
      <w:r w:rsidRPr="00B61E18">
        <w:rPr>
          <w:szCs w:val="20"/>
        </w:rPr>
        <w:t>which</w:t>
      </w:r>
      <w:r w:rsidR="00C64050">
        <w:rPr>
          <w:szCs w:val="20"/>
        </w:rPr>
        <w:t xml:space="preserve"> </w:t>
      </w:r>
      <w:r w:rsidRPr="00B61E18">
        <w:rPr>
          <w:szCs w:val="20"/>
        </w:rPr>
        <w:t>is</w:t>
      </w:r>
      <w:r w:rsidR="00C64050">
        <w:rPr>
          <w:szCs w:val="20"/>
        </w:rPr>
        <w:t xml:space="preserve"> </w:t>
      </w:r>
      <w:r w:rsidRPr="00B61E18">
        <w:rPr>
          <w:szCs w:val="20"/>
        </w:rPr>
        <w:t>given</w:t>
      </w:r>
      <w:r w:rsidR="00C64050">
        <w:rPr>
          <w:szCs w:val="20"/>
        </w:rPr>
        <w:t xml:space="preserve"> </w:t>
      </w:r>
      <w:r w:rsidRPr="00B61E18">
        <w:rPr>
          <w:szCs w:val="20"/>
        </w:rPr>
        <w:t>precedence</w:t>
      </w:r>
      <w:r w:rsidR="00C64050">
        <w:rPr>
          <w:szCs w:val="20"/>
        </w:rPr>
        <w:t xml:space="preserve"> </w:t>
      </w:r>
      <w:r w:rsidRPr="00B61E18">
        <w:rPr>
          <w:szCs w:val="20"/>
        </w:rPr>
        <w:t>over</w:t>
      </w:r>
      <w:r w:rsidR="00C64050">
        <w:rPr>
          <w:szCs w:val="20"/>
        </w:rPr>
        <w:t xml:space="preserve"> </w:t>
      </w:r>
      <w:r w:rsidRPr="00B61E18">
        <w:rPr>
          <w:szCs w:val="20"/>
        </w:rPr>
        <w:t>a</w:t>
      </w:r>
      <w:r w:rsidR="00C64050">
        <w:rPr>
          <w:szCs w:val="20"/>
        </w:rPr>
        <w:t xml:space="preserve"> </w:t>
      </w:r>
      <w:r w:rsidRPr="00B61E18">
        <w:rPr>
          <w:szCs w:val="20"/>
        </w:rPr>
        <w:t>more</w:t>
      </w:r>
      <w:r w:rsidR="00C64050">
        <w:rPr>
          <w:szCs w:val="20"/>
        </w:rPr>
        <w:t xml:space="preserve"> </w:t>
      </w:r>
      <w:r w:rsidRPr="00B61E18">
        <w:rPr>
          <w:szCs w:val="20"/>
        </w:rPr>
        <w:t>generic</w:t>
      </w:r>
      <w:r w:rsidR="00C64050">
        <w:rPr>
          <w:szCs w:val="20"/>
        </w:rPr>
        <w:t xml:space="preserve"> </w:t>
      </w:r>
      <w:r w:rsidRPr="00B61E18">
        <w:rPr>
          <w:szCs w:val="20"/>
        </w:rPr>
        <w:t>statute</w:t>
      </w:r>
      <w:r w:rsidR="00C64050">
        <w:rPr>
          <w:szCs w:val="20"/>
        </w:rPr>
        <w:t xml:space="preserve"> </w:t>
      </w:r>
      <w:r w:rsidRPr="00B61E18">
        <w:rPr>
          <w:szCs w:val="20"/>
        </w:rPr>
        <w:t>like</w:t>
      </w:r>
      <w:r w:rsidR="00C64050">
        <w:rPr>
          <w:szCs w:val="20"/>
        </w:rPr>
        <w:t xml:space="preserve"> </w:t>
      </w:r>
      <w:r w:rsidRPr="00B61E18">
        <w:rPr>
          <w:szCs w:val="20"/>
        </w:rPr>
        <w:t>§</w:t>
      </w:r>
      <w:r w:rsidR="00C64050">
        <w:rPr>
          <w:szCs w:val="20"/>
        </w:rPr>
        <w:t xml:space="preserve"> </w:t>
      </w:r>
      <w:r w:rsidRPr="00B61E18">
        <w:rPr>
          <w:szCs w:val="20"/>
        </w:rPr>
        <w:t>6151.</w:t>
      </w:r>
      <w:r w:rsidR="00C64050">
        <w:rPr>
          <w:szCs w:val="20"/>
        </w:rPr>
        <w:t xml:space="preserve"> </w:t>
      </w:r>
      <w:r w:rsidRPr="00B61E18">
        <w:rPr>
          <w:rStyle w:val="Emphasis"/>
          <w:szCs w:val="20"/>
        </w:rPr>
        <w:t>See</w:t>
      </w:r>
      <w:r w:rsidR="00C64050">
        <w:rPr>
          <w:szCs w:val="20"/>
        </w:rPr>
        <w:t xml:space="preserve"> </w:t>
      </w:r>
      <w:r w:rsidRPr="00B61E18">
        <w:rPr>
          <w:rStyle w:val="Emphasis"/>
          <w:szCs w:val="20"/>
        </w:rPr>
        <w:t>La</w:t>
      </w:r>
      <w:r w:rsidR="00C64050">
        <w:rPr>
          <w:rStyle w:val="Emphasis"/>
          <w:szCs w:val="20"/>
        </w:rPr>
        <w:t xml:space="preserve"> </w:t>
      </w:r>
      <w:r w:rsidRPr="00B61E18">
        <w:rPr>
          <w:rStyle w:val="Emphasis"/>
          <w:szCs w:val="20"/>
        </w:rPr>
        <w:t>Vallee</w:t>
      </w:r>
      <w:r w:rsidR="00C64050">
        <w:rPr>
          <w:rStyle w:val="Emphasis"/>
          <w:szCs w:val="20"/>
        </w:rPr>
        <w:t xml:space="preserve"> </w:t>
      </w:r>
      <w:r w:rsidRPr="00B61E18">
        <w:rPr>
          <w:rStyle w:val="Emphasis"/>
          <w:szCs w:val="20"/>
        </w:rPr>
        <w:t>Northside</w:t>
      </w:r>
      <w:r w:rsidR="00C64050">
        <w:rPr>
          <w:rStyle w:val="Emphasis"/>
          <w:szCs w:val="20"/>
        </w:rPr>
        <w:t xml:space="preserve"> </w:t>
      </w:r>
      <w:r w:rsidRPr="00B61E18">
        <w:rPr>
          <w:rStyle w:val="Emphasis"/>
          <w:szCs w:val="20"/>
        </w:rPr>
        <w:t>Civic</w:t>
      </w:r>
      <w:r w:rsidR="00C64050">
        <w:rPr>
          <w:rStyle w:val="Emphasis"/>
          <w:szCs w:val="20"/>
        </w:rPr>
        <w:t xml:space="preserve"> </w:t>
      </w:r>
      <w:r w:rsidRPr="00B61E18">
        <w:rPr>
          <w:rStyle w:val="Emphasis"/>
          <w:szCs w:val="20"/>
        </w:rPr>
        <w:t>Asso.</w:t>
      </w:r>
      <w:r w:rsidR="00C64050">
        <w:rPr>
          <w:rStyle w:val="Emphasis"/>
          <w:szCs w:val="20"/>
        </w:rPr>
        <w:t xml:space="preserve"> </w:t>
      </w:r>
      <w:r w:rsidRPr="00B61E18">
        <w:rPr>
          <w:rStyle w:val="Emphasis"/>
          <w:szCs w:val="20"/>
        </w:rPr>
        <w:t>v.</w:t>
      </w:r>
      <w:r w:rsidR="00C64050">
        <w:rPr>
          <w:rStyle w:val="Emphasis"/>
          <w:szCs w:val="20"/>
        </w:rPr>
        <w:t xml:space="preserve"> </w:t>
      </w:r>
      <w:r w:rsidRPr="00B61E18">
        <w:rPr>
          <w:rStyle w:val="Emphasis"/>
          <w:szCs w:val="20"/>
        </w:rPr>
        <w:t>V.I.</w:t>
      </w:r>
      <w:r w:rsidR="00C64050">
        <w:rPr>
          <w:rStyle w:val="Emphasis"/>
          <w:szCs w:val="20"/>
        </w:rPr>
        <w:t xml:space="preserve"> </w:t>
      </w:r>
      <w:r w:rsidRPr="00B61E18">
        <w:rPr>
          <w:rStyle w:val="Emphasis"/>
          <w:szCs w:val="20"/>
        </w:rPr>
        <w:t>Coastal</w:t>
      </w:r>
      <w:r w:rsidR="00C64050">
        <w:rPr>
          <w:rStyle w:val="Emphasis"/>
          <w:szCs w:val="20"/>
        </w:rPr>
        <w:t xml:space="preserve"> </w:t>
      </w:r>
      <w:r w:rsidRPr="00B61E18">
        <w:rPr>
          <w:rStyle w:val="Emphasis"/>
          <w:szCs w:val="20"/>
        </w:rPr>
        <w:t>Zone</w:t>
      </w:r>
      <w:r w:rsidR="00C64050">
        <w:rPr>
          <w:rStyle w:val="Emphasis"/>
          <w:szCs w:val="20"/>
        </w:rPr>
        <w:t xml:space="preserve"> </w:t>
      </w:r>
      <w:r w:rsidRPr="00B61E18">
        <w:rPr>
          <w:rStyle w:val="Emphasis"/>
          <w:szCs w:val="20"/>
        </w:rPr>
        <w:t>Mgmt.</w:t>
      </w:r>
      <w:r w:rsidR="00C64050">
        <w:rPr>
          <w:rStyle w:val="Emphasis"/>
          <w:szCs w:val="20"/>
        </w:rPr>
        <w:t xml:space="preserve"> </w:t>
      </w:r>
      <w:r w:rsidRPr="00B61E18">
        <w:rPr>
          <w:rStyle w:val="Emphasis"/>
          <w:szCs w:val="20"/>
        </w:rPr>
        <w:t>Com.</w:t>
      </w:r>
      <w:r w:rsidRPr="00B61E18">
        <w:rPr>
          <w:szCs w:val="20"/>
        </w:rPr>
        <w:t>,</w:t>
      </w:r>
      <w:r w:rsidR="00C64050">
        <w:rPr>
          <w:szCs w:val="20"/>
        </w:rPr>
        <w:t xml:space="preserve"> </w:t>
      </w:r>
      <w:r w:rsidRPr="00B61E18">
        <w:rPr>
          <w:szCs w:val="20"/>
        </w:rPr>
        <w:t>866</w:t>
      </w:r>
      <w:r w:rsidR="00C64050">
        <w:rPr>
          <w:szCs w:val="20"/>
        </w:rPr>
        <w:t xml:space="preserve"> </w:t>
      </w:r>
      <w:r w:rsidRPr="00B61E18">
        <w:rPr>
          <w:szCs w:val="20"/>
        </w:rPr>
        <w:t>F.2d</w:t>
      </w:r>
      <w:r w:rsidR="00C64050">
        <w:rPr>
          <w:szCs w:val="20"/>
        </w:rPr>
        <w:t xml:space="preserve"> </w:t>
      </w:r>
      <w:r w:rsidRPr="00B61E18">
        <w:rPr>
          <w:szCs w:val="20"/>
        </w:rPr>
        <w:t>616,</w:t>
      </w:r>
      <w:r w:rsidR="00C64050">
        <w:rPr>
          <w:szCs w:val="20"/>
        </w:rPr>
        <w:t xml:space="preserve"> </w:t>
      </w:r>
      <w:r w:rsidRPr="00B61E18">
        <w:rPr>
          <w:szCs w:val="20"/>
        </w:rPr>
        <w:t>621</w:t>
      </w:r>
      <w:r w:rsidR="00C64050">
        <w:rPr>
          <w:szCs w:val="20"/>
        </w:rPr>
        <w:t xml:space="preserve"> </w:t>
      </w:r>
      <w:r w:rsidRPr="00B61E18">
        <w:rPr>
          <w:szCs w:val="20"/>
        </w:rPr>
        <w:t>(3d</w:t>
      </w:r>
      <w:r w:rsidR="00C64050">
        <w:rPr>
          <w:szCs w:val="20"/>
        </w:rPr>
        <w:t xml:space="preserve"> </w:t>
      </w:r>
      <w:r w:rsidRPr="00B61E18">
        <w:rPr>
          <w:szCs w:val="20"/>
        </w:rPr>
        <w:t>Cir.</w:t>
      </w:r>
      <w:r w:rsidR="00C64050">
        <w:rPr>
          <w:szCs w:val="20"/>
        </w:rPr>
        <w:t xml:space="preserve"> </w:t>
      </w:r>
      <w:r w:rsidRPr="00B61E18">
        <w:rPr>
          <w:szCs w:val="20"/>
        </w:rPr>
        <w:t>1989);</w:t>
      </w:r>
      <w:r w:rsidR="00C64050">
        <w:rPr>
          <w:szCs w:val="20"/>
        </w:rPr>
        <w:t xml:space="preserve"> </w:t>
      </w:r>
      <w:r w:rsidRPr="00B61E18">
        <w:rPr>
          <w:rStyle w:val="Emphasis"/>
          <w:szCs w:val="20"/>
        </w:rPr>
        <w:t>see</w:t>
      </w:r>
      <w:r w:rsidR="00C64050">
        <w:rPr>
          <w:rStyle w:val="Emphasis"/>
          <w:szCs w:val="20"/>
        </w:rPr>
        <w:t xml:space="preserve"> </w:t>
      </w:r>
      <w:r w:rsidRPr="00B61E18">
        <w:rPr>
          <w:rStyle w:val="Emphasis"/>
          <w:szCs w:val="20"/>
        </w:rPr>
        <w:t>also</w:t>
      </w:r>
      <w:r w:rsidR="00C64050">
        <w:rPr>
          <w:szCs w:val="20"/>
        </w:rPr>
        <w:t xml:space="preserve"> </w:t>
      </w:r>
      <w:r w:rsidRPr="00B61E18">
        <w:rPr>
          <w:rStyle w:val="Emphasis"/>
          <w:szCs w:val="20"/>
        </w:rPr>
        <w:t>Meyers</w:t>
      </w:r>
      <w:r w:rsidR="00C64050">
        <w:rPr>
          <w:rStyle w:val="Emphasis"/>
          <w:szCs w:val="20"/>
        </w:rPr>
        <w:t xml:space="preserve"> </w:t>
      </w:r>
      <w:r w:rsidRPr="00B61E18">
        <w:rPr>
          <w:rStyle w:val="Emphasis"/>
          <w:szCs w:val="20"/>
        </w:rPr>
        <w:t>v.</w:t>
      </w:r>
      <w:r w:rsidR="00C64050">
        <w:rPr>
          <w:rStyle w:val="Emphasis"/>
          <w:szCs w:val="20"/>
        </w:rPr>
        <w:t xml:space="preserve"> </w:t>
      </w:r>
      <w:r w:rsidRPr="00B61E18">
        <w:rPr>
          <w:rStyle w:val="Emphasis"/>
          <w:szCs w:val="20"/>
        </w:rPr>
        <w:t>Heffernan</w:t>
      </w:r>
      <w:r w:rsidRPr="00B61E18">
        <w:rPr>
          <w:szCs w:val="20"/>
        </w:rPr>
        <w:t>,</w:t>
      </w:r>
      <w:r w:rsidR="00C64050">
        <w:rPr>
          <w:szCs w:val="20"/>
        </w:rPr>
        <w:t xml:space="preserve"> </w:t>
      </w:r>
      <w:r w:rsidRPr="00B61E18">
        <w:rPr>
          <w:szCs w:val="20"/>
        </w:rPr>
        <w:t>No.</w:t>
      </w:r>
      <w:r w:rsidR="00C64050">
        <w:rPr>
          <w:szCs w:val="20"/>
        </w:rPr>
        <w:t xml:space="preserve"> </w:t>
      </w:r>
      <w:r w:rsidRPr="00B61E18">
        <w:rPr>
          <w:szCs w:val="20"/>
        </w:rPr>
        <w:t>12-2434</w:t>
      </w:r>
      <w:r w:rsidR="00C64050">
        <w:rPr>
          <w:szCs w:val="20"/>
        </w:rPr>
        <w:t xml:space="preserve"> </w:t>
      </w:r>
      <w:r w:rsidRPr="00B61E18">
        <w:rPr>
          <w:szCs w:val="20"/>
        </w:rPr>
        <w:t>(MLC),</w:t>
      </w:r>
      <w:r w:rsidR="00C64050">
        <w:rPr>
          <w:szCs w:val="20"/>
        </w:rPr>
        <w:t xml:space="preserve"> </w:t>
      </w:r>
      <w:r w:rsidRPr="00B61E18">
        <w:rPr>
          <w:szCs w:val="20"/>
        </w:rPr>
        <w:t>2014</w:t>
      </w:r>
      <w:r w:rsidR="00C64050">
        <w:rPr>
          <w:szCs w:val="20"/>
        </w:rPr>
        <w:t xml:space="preserve"> </w:t>
      </w:r>
      <w:r w:rsidRPr="00B61E18">
        <w:rPr>
          <w:szCs w:val="20"/>
        </w:rPr>
        <w:t>WL</w:t>
      </w:r>
      <w:r w:rsidR="00C64050">
        <w:rPr>
          <w:szCs w:val="20"/>
        </w:rPr>
        <w:t xml:space="preserve"> </w:t>
      </w:r>
      <w:r w:rsidRPr="00B61E18">
        <w:rPr>
          <w:szCs w:val="20"/>
        </w:rPr>
        <w:t>3343803,</w:t>
      </w:r>
      <w:r w:rsidR="00C64050">
        <w:rPr>
          <w:szCs w:val="20"/>
        </w:rPr>
        <w:t xml:space="preserve"> </w:t>
      </w:r>
      <w:r w:rsidRPr="00B61E18">
        <w:rPr>
          <w:szCs w:val="20"/>
        </w:rPr>
        <w:t>at</w:t>
      </w:r>
      <w:r w:rsidR="00C64050">
        <w:rPr>
          <w:szCs w:val="20"/>
        </w:rPr>
        <w:t xml:space="preserve"> </w:t>
      </w:r>
      <w:r w:rsidRPr="00B61E18">
        <w:rPr>
          <w:szCs w:val="20"/>
        </w:rPr>
        <w:t>*8</w:t>
      </w:r>
      <w:r w:rsidR="00C64050">
        <w:rPr>
          <w:szCs w:val="20"/>
        </w:rPr>
        <w:t xml:space="preserve"> </w:t>
      </w:r>
      <w:r w:rsidRPr="00B61E18">
        <w:rPr>
          <w:szCs w:val="20"/>
        </w:rPr>
        <w:t>(D.N.J.</w:t>
      </w:r>
      <w:r w:rsidR="00C64050">
        <w:rPr>
          <w:szCs w:val="20"/>
        </w:rPr>
        <w:t xml:space="preserve"> </w:t>
      </w:r>
      <w:r w:rsidRPr="00B61E18">
        <w:rPr>
          <w:szCs w:val="20"/>
        </w:rPr>
        <w:t>July</w:t>
      </w:r>
      <w:r w:rsidR="00C64050">
        <w:rPr>
          <w:szCs w:val="20"/>
        </w:rPr>
        <w:t xml:space="preserve"> </w:t>
      </w:r>
      <w:r w:rsidRPr="00B61E18">
        <w:rPr>
          <w:szCs w:val="20"/>
        </w:rPr>
        <w:t>8,</w:t>
      </w:r>
      <w:r w:rsidR="00C64050">
        <w:rPr>
          <w:szCs w:val="20"/>
        </w:rPr>
        <w:t xml:space="preserve"> </w:t>
      </w:r>
      <w:r w:rsidRPr="00B61E18">
        <w:rPr>
          <w:szCs w:val="20"/>
        </w:rPr>
        <w:t>2014).</w:t>
      </w:r>
    </w:p>
    <w:p w:rsidR="00A27958" w:rsidRDefault="00A27958" w:rsidP="00A27958">
      <w:pPr>
        <w:pStyle w:val="QS10"/>
      </w:pPr>
      <w:r w:rsidRPr="00B61E18">
        <w:rPr>
          <w:szCs w:val="20"/>
        </w:rPr>
        <w:t>The</w:t>
      </w:r>
      <w:r w:rsidR="00C64050">
        <w:rPr>
          <w:szCs w:val="20"/>
        </w:rPr>
        <w:t xml:space="preserve"> </w:t>
      </w:r>
      <w:r w:rsidRPr="00B61E18">
        <w:rPr>
          <w:szCs w:val="20"/>
        </w:rPr>
        <w:t>Government</w:t>
      </w:r>
      <w:r w:rsidR="00C64050">
        <w:rPr>
          <w:szCs w:val="20"/>
        </w:rPr>
        <w:t xml:space="preserve"> </w:t>
      </w:r>
      <w:r w:rsidRPr="00B61E18">
        <w:rPr>
          <w:szCs w:val="20"/>
        </w:rPr>
        <w:t>puts</w:t>
      </w:r>
      <w:r w:rsidR="00C64050">
        <w:rPr>
          <w:szCs w:val="20"/>
        </w:rPr>
        <w:t xml:space="preserve"> </w:t>
      </w:r>
      <w:r w:rsidRPr="00B61E18">
        <w:rPr>
          <w:szCs w:val="20"/>
        </w:rPr>
        <w:t>forth</w:t>
      </w:r>
      <w:r w:rsidR="00C64050">
        <w:rPr>
          <w:szCs w:val="20"/>
        </w:rPr>
        <w:t xml:space="preserve"> </w:t>
      </w:r>
      <w:r w:rsidRPr="00B61E18">
        <w:rPr>
          <w:szCs w:val="20"/>
        </w:rPr>
        <w:t>a</w:t>
      </w:r>
      <w:r w:rsidR="00C64050">
        <w:rPr>
          <w:szCs w:val="20"/>
        </w:rPr>
        <w:t xml:space="preserve"> </w:t>
      </w:r>
      <w:r w:rsidRPr="00B61E18">
        <w:rPr>
          <w:szCs w:val="20"/>
        </w:rPr>
        <w:t>valid</w:t>
      </w:r>
      <w:r w:rsidR="00C64050">
        <w:rPr>
          <w:szCs w:val="20"/>
        </w:rPr>
        <w:t xml:space="preserve"> </w:t>
      </w:r>
      <w:r w:rsidRPr="00B61E18">
        <w:rPr>
          <w:szCs w:val="20"/>
        </w:rPr>
        <w:t>point</w:t>
      </w:r>
      <w:r w:rsidR="00C64050">
        <w:rPr>
          <w:szCs w:val="20"/>
        </w:rPr>
        <w:t xml:space="preserve"> </w:t>
      </w:r>
      <w:r w:rsidRPr="00B61E18">
        <w:rPr>
          <w:szCs w:val="20"/>
        </w:rPr>
        <w:t>that</w:t>
      </w:r>
      <w:r w:rsidR="00C64050">
        <w:rPr>
          <w:szCs w:val="20"/>
        </w:rPr>
        <w:t xml:space="preserve"> </w:t>
      </w:r>
      <w:r w:rsidRPr="00B61E18">
        <w:rPr>
          <w:szCs w:val="20"/>
        </w:rPr>
        <w:t>there</w:t>
      </w:r>
      <w:r w:rsidR="00C64050">
        <w:rPr>
          <w:szCs w:val="20"/>
        </w:rPr>
        <w:t xml:space="preserve"> </w:t>
      </w:r>
      <w:r w:rsidRPr="00B61E18">
        <w:rPr>
          <w:szCs w:val="20"/>
        </w:rPr>
        <w:t>is</w:t>
      </w:r>
      <w:r w:rsidR="00C64050">
        <w:rPr>
          <w:szCs w:val="20"/>
        </w:rPr>
        <w:t xml:space="preserve"> </w:t>
      </w:r>
      <w:r w:rsidRPr="00B61E18">
        <w:rPr>
          <w:szCs w:val="20"/>
        </w:rPr>
        <w:t>an</w:t>
      </w:r>
      <w:r w:rsidR="00C64050">
        <w:rPr>
          <w:szCs w:val="20"/>
        </w:rPr>
        <w:t xml:space="preserve"> </w:t>
      </w:r>
      <w:r w:rsidRPr="00B61E18">
        <w:rPr>
          <w:szCs w:val="20"/>
        </w:rPr>
        <w:t>administrative</w:t>
      </w:r>
      <w:r w:rsidR="00C64050">
        <w:rPr>
          <w:szCs w:val="20"/>
        </w:rPr>
        <w:t xml:space="preserve"> </w:t>
      </w:r>
      <w:r w:rsidRPr="00B61E18">
        <w:rPr>
          <w:szCs w:val="20"/>
        </w:rPr>
        <w:t>need</w:t>
      </w:r>
      <w:r w:rsidR="00C64050">
        <w:rPr>
          <w:szCs w:val="20"/>
        </w:rPr>
        <w:t xml:space="preserve"> </w:t>
      </w:r>
      <w:r w:rsidRPr="00B61E18">
        <w:rPr>
          <w:szCs w:val="20"/>
        </w:rPr>
        <w:t>to</w:t>
      </w:r>
      <w:r w:rsidR="00C64050">
        <w:rPr>
          <w:szCs w:val="20"/>
        </w:rPr>
        <w:t xml:space="preserve"> </w:t>
      </w:r>
      <w:r w:rsidRPr="00B61E18">
        <w:rPr>
          <w:szCs w:val="20"/>
        </w:rPr>
        <w:t>complete</w:t>
      </w:r>
      <w:r w:rsidR="00C64050">
        <w:rPr>
          <w:szCs w:val="20"/>
        </w:rPr>
        <w:t xml:space="preserve"> </w:t>
      </w:r>
      <w:r w:rsidRPr="00B61E18">
        <w:rPr>
          <w:szCs w:val="20"/>
        </w:rPr>
        <w:t>and</w:t>
      </w:r>
      <w:r w:rsidR="00C64050">
        <w:rPr>
          <w:szCs w:val="20"/>
        </w:rPr>
        <w:t xml:space="preserve"> </w:t>
      </w:r>
      <w:r w:rsidRPr="00B61E18">
        <w:rPr>
          <w:szCs w:val="20"/>
        </w:rPr>
        <w:t>close</w:t>
      </w:r>
      <w:r w:rsidR="00C64050">
        <w:rPr>
          <w:szCs w:val="20"/>
        </w:rPr>
        <w:t xml:space="preserve"> </w:t>
      </w:r>
      <w:r w:rsidRPr="00B61E18">
        <w:rPr>
          <w:szCs w:val="20"/>
        </w:rPr>
        <w:t>tax</w:t>
      </w:r>
      <w:r w:rsidR="00C64050">
        <w:rPr>
          <w:szCs w:val="20"/>
        </w:rPr>
        <w:t xml:space="preserve"> </w:t>
      </w:r>
      <w:r w:rsidRPr="00B61E18">
        <w:rPr>
          <w:szCs w:val="20"/>
        </w:rPr>
        <w:t>matters.</w:t>
      </w:r>
      <w:r w:rsidR="00C64050">
        <w:rPr>
          <w:szCs w:val="20"/>
        </w:rPr>
        <w:t xml:space="preserve"> </w:t>
      </w:r>
      <w:r w:rsidRPr="00B61E18">
        <w:rPr>
          <w:szCs w:val="20"/>
        </w:rPr>
        <w:t>Here,</w:t>
      </w:r>
      <w:r w:rsidR="00C64050">
        <w:rPr>
          <w:szCs w:val="20"/>
        </w:rPr>
        <w:t xml:space="preserve"> </w:t>
      </w:r>
      <w:r w:rsidRPr="00B61E18">
        <w:rPr>
          <w:szCs w:val="20"/>
        </w:rPr>
        <w:t>the</w:t>
      </w:r>
      <w:r w:rsidR="00C64050">
        <w:rPr>
          <w:szCs w:val="20"/>
        </w:rPr>
        <w:t xml:space="preserve"> </w:t>
      </w:r>
      <w:r w:rsidRPr="00B61E18">
        <w:rPr>
          <w:szCs w:val="20"/>
        </w:rPr>
        <w:t>Estate</w:t>
      </w:r>
      <w:r w:rsidR="00C64050">
        <w:rPr>
          <w:szCs w:val="20"/>
        </w:rPr>
        <w:t xml:space="preserve"> </w:t>
      </w:r>
      <w:r w:rsidRPr="00B61E18">
        <w:rPr>
          <w:szCs w:val="20"/>
        </w:rPr>
        <w:t>had</w:t>
      </w:r>
      <w:r w:rsidR="00C64050">
        <w:rPr>
          <w:szCs w:val="20"/>
        </w:rPr>
        <w:t xml:space="preserve"> </w:t>
      </w:r>
      <w:r w:rsidRPr="00B61E18">
        <w:rPr>
          <w:szCs w:val="20"/>
        </w:rPr>
        <w:t>nine</w:t>
      </w:r>
      <w:r w:rsidR="00C64050">
        <w:rPr>
          <w:szCs w:val="20"/>
        </w:rPr>
        <w:t xml:space="preserve"> </w:t>
      </w:r>
      <w:r w:rsidRPr="00B61E18">
        <w:rPr>
          <w:szCs w:val="20"/>
        </w:rPr>
        <w:t>months</w:t>
      </w:r>
      <w:r w:rsidR="00C64050">
        <w:rPr>
          <w:szCs w:val="20"/>
        </w:rPr>
        <w:t xml:space="preserve"> </w:t>
      </w:r>
      <w:r w:rsidRPr="00B61E18">
        <w:rPr>
          <w:szCs w:val="20"/>
        </w:rPr>
        <w:t>to</w:t>
      </w:r>
      <w:r w:rsidR="00C64050">
        <w:rPr>
          <w:szCs w:val="20"/>
        </w:rPr>
        <w:t xml:space="preserve"> </w:t>
      </w:r>
      <w:r w:rsidRPr="00B61E18">
        <w:rPr>
          <w:szCs w:val="20"/>
        </w:rPr>
        <w:t>file</w:t>
      </w:r>
      <w:r w:rsidR="00C64050">
        <w:rPr>
          <w:szCs w:val="20"/>
        </w:rPr>
        <w:t xml:space="preserve"> </w:t>
      </w:r>
      <w:r w:rsidRPr="00B61E18">
        <w:rPr>
          <w:szCs w:val="20"/>
        </w:rPr>
        <w:t>the</w:t>
      </w:r>
      <w:r w:rsidR="00C64050">
        <w:rPr>
          <w:szCs w:val="20"/>
        </w:rPr>
        <w:t xml:space="preserve"> </w:t>
      </w:r>
      <w:r w:rsidRPr="00B61E18">
        <w:rPr>
          <w:szCs w:val="20"/>
        </w:rPr>
        <w:t>return,</w:t>
      </w:r>
      <w:r w:rsidR="00C64050">
        <w:rPr>
          <w:szCs w:val="20"/>
        </w:rPr>
        <w:t xml:space="preserve"> </w:t>
      </w:r>
      <w:r w:rsidRPr="00B61E18">
        <w:rPr>
          <w:szCs w:val="20"/>
        </w:rPr>
        <w:t>the</w:t>
      </w:r>
      <w:r w:rsidR="00C64050">
        <w:rPr>
          <w:szCs w:val="20"/>
        </w:rPr>
        <w:t xml:space="preserve"> </w:t>
      </w:r>
      <w:r w:rsidRPr="00B61E18">
        <w:rPr>
          <w:szCs w:val="20"/>
        </w:rPr>
        <w:t>extension</w:t>
      </w:r>
      <w:r w:rsidR="00C64050">
        <w:rPr>
          <w:szCs w:val="20"/>
        </w:rPr>
        <w:t xml:space="preserve"> </w:t>
      </w:r>
      <w:r w:rsidRPr="00B61E18">
        <w:rPr>
          <w:szCs w:val="20"/>
        </w:rPr>
        <w:t>added</w:t>
      </w:r>
      <w:r w:rsidR="00C64050">
        <w:rPr>
          <w:szCs w:val="20"/>
        </w:rPr>
        <w:t xml:space="preserve"> </w:t>
      </w:r>
      <w:r w:rsidRPr="00B61E18">
        <w:rPr>
          <w:szCs w:val="20"/>
        </w:rPr>
        <w:t>six</w:t>
      </w:r>
      <w:r w:rsidR="00C64050">
        <w:rPr>
          <w:szCs w:val="20"/>
        </w:rPr>
        <w:t xml:space="preserve"> </w:t>
      </w:r>
      <w:r w:rsidRPr="00B61E18">
        <w:rPr>
          <w:szCs w:val="20"/>
        </w:rPr>
        <w:t>months,</w:t>
      </w:r>
      <w:r w:rsidR="00C64050">
        <w:rPr>
          <w:szCs w:val="20"/>
        </w:rPr>
        <w:t xml:space="preserve"> </w:t>
      </w:r>
      <w:r w:rsidRPr="00B61E18">
        <w:rPr>
          <w:szCs w:val="20"/>
        </w:rPr>
        <w:t>and</w:t>
      </w:r>
      <w:r w:rsidR="00C64050">
        <w:rPr>
          <w:szCs w:val="20"/>
        </w:rPr>
        <w:t xml:space="preserve"> </w:t>
      </w:r>
      <w:r w:rsidRPr="00B61E18">
        <w:rPr>
          <w:szCs w:val="20"/>
        </w:rPr>
        <w:t>Defendant</w:t>
      </w:r>
      <w:r w:rsidR="00C64050">
        <w:rPr>
          <w:szCs w:val="20"/>
        </w:rPr>
        <w:t xml:space="preserve"> </w:t>
      </w:r>
      <w:r w:rsidRPr="00B61E18">
        <w:rPr>
          <w:szCs w:val="20"/>
        </w:rPr>
        <w:t>unilaterally</w:t>
      </w:r>
      <w:r w:rsidR="00C64050">
        <w:rPr>
          <w:szCs w:val="20"/>
        </w:rPr>
        <w:t xml:space="preserve"> </w:t>
      </w:r>
      <w:r w:rsidRPr="00B61E18">
        <w:rPr>
          <w:szCs w:val="20"/>
        </w:rPr>
        <w:t>added</w:t>
      </w:r>
      <w:r w:rsidR="00C64050">
        <w:rPr>
          <w:szCs w:val="20"/>
        </w:rPr>
        <w:t xml:space="preserve"> </w:t>
      </w:r>
      <w:r w:rsidRPr="00B61E18">
        <w:rPr>
          <w:szCs w:val="20"/>
        </w:rPr>
        <w:t>another</w:t>
      </w:r>
      <w:r w:rsidR="00C64050">
        <w:rPr>
          <w:szCs w:val="20"/>
        </w:rPr>
        <w:t xml:space="preserve"> </w:t>
      </w:r>
      <w:r w:rsidRPr="00B61E18">
        <w:rPr>
          <w:szCs w:val="20"/>
        </w:rPr>
        <w:t>nine</w:t>
      </w:r>
      <w:r w:rsidR="00C64050">
        <w:rPr>
          <w:szCs w:val="20"/>
        </w:rPr>
        <w:t xml:space="preserve"> </w:t>
      </w:r>
      <w:r w:rsidRPr="00B61E18">
        <w:rPr>
          <w:szCs w:val="20"/>
        </w:rPr>
        <w:t>months</w:t>
      </w:r>
      <w:r w:rsidR="00C64050">
        <w:rPr>
          <w:szCs w:val="20"/>
        </w:rPr>
        <w:t xml:space="preserve"> </w:t>
      </w:r>
      <w:r w:rsidRPr="00B61E18">
        <w:rPr>
          <w:szCs w:val="20"/>
        </w:rPr>
        <w:t>to</w:t>
      </w:r>
      <w:r w:rsidR="00C64050">
        <w:rPr>
          <w:szCs w:val="20"/>
        </w:rPr>
        <w:t xml:space="preserve"> </w:t>
      </w:r>
      <w:r w:rsidRPr="00B61E18">
        <w:rPr>
          <w:szCs w:val="20"/>
        </w:rPr>
        <w:t>file</w:t>
      </w:r>
      <w:r w:rsidR="00C64050">
        <w:rPr>
          <w:szCs w:val="20"/>
        </w:rPr>
        <w:t xml:space="preserve"> </w:t>
      </w:r>
      <w:r w:rsidRPr="00B61E18">
        <w:rPr>
          <w:szCs w:val="20"/>
        </w:rPr>
        <w:t>the</w:t>
      </w:r>
      <w:r w:rsidR="00C64050">
        <w:rPr>
          <w:szCs w:val="20"/>
        </w:rPr>
        <w:t xml:space="preserve"> </w:t>
      </w:r>
      <w:r w:rsidRPr="00B61E18">
        <w:rPr>
          <w:szCs w:val="20"/>
        </w:rPr>
        <w:t>return.</w:t>
      </w:r>
      <w:r w:rsidR="00C64050">
        <w:rPr>
          <w:szCs w:val="20"/>
        </w:rPr>
        <w:t xml:space="preserve"> </w:t>
      </w:r>
      <w:r w:rsidRPr="00B61E18">
        <w:rPr>
          <w:szCs w:val="20"/>
        </w:rPr>
        <w:t>Although</w:t>
      </w:r>
      <w:r w:rsidR="00C64050">
        <w:rPr>
          <w:szCs w:val="20"/>
        </w:rPr>
        <w:t xml:space="preserve"> </w:t>
      </w:r>
      <w:r w:rsidRPr="00B61E18">
        <w:rPr>
          <w:szCs w:val="20"/>
        </w:rPr>
        <w:t>there</w:t>
      </w:r>
      <w:r w:rsidR="00C64050">
        <w:rPr>
          <w:szCs w:val="20"/>
        </w:rPr>
        <w:t xml:space="preserve"> </w:t>
      </w:r>
      <w:r w:rsidRPr="00B61E18">
        <w:rPr>
          <w:szCs w:val="20"/>
        </w:rPr>
        <w:t>was</w:t>
      </w:r>
      <w:r w:rsidR="00C64050">
        <w:rPr>
          <w:szCs w:val="20"/>
        </w:rPr>
        <w:t xml:space="preserve"> </w:t>
      </w:r>
      <w:r w:rsidRPr="00B61E18">
        <w:rPr>
          <w:szCs w:val="20"/>
        </w:rPr>
        <w:t>the</w:t>
      </w:r>
      <w:r w:rsidR="00C64050">
        <w:rPr>
          <w:szCs w:val="20"/>
        </w:rPr>
        <w:t xml:space="preserve"> </w:t>
      </w:r>
      <w:r w:rsidRPr="00B61E18">
        <w:rPr>
          <w:szCs w:val="20"/>
        </w:rPr>
        <w:t>timely</w:t>
      </w:r>
      <w:r w:rsidR="00C64050">
        <w:rPr>
          <w:szCs w:val="20"/>
        </w:rPr>
        <w:t xml:space="preserve"> </w:t>
      </w:r>
      <w:r w:rsidRPr="00B61E18">
        <w:rPr>
          <w:szCs w:val="20"/>
        </w:rPr>
        <w:t>payment</w:t>
      </w:r>
      <w:r w:rsidR="00C64050">
        <w:rPr>
          <w:szCs w:val="20"/>
        </w:rPr>
        <w:t xml:space="preserve"> </w:t>
      </w:r>
      <w:r w:rsidRPr="00B61E18">
        <w:rPr>
          <w:szCs w:val="20"/>
        </w:rPr>
        <w:t>of</w:t>
      </w:r>
      <w:r w:rsidR="00C64050">
        <w:rPr>
          <w:szCs w:val="20"/>
        </w:rPr>
        <w:t xml:space="preserve"> </w:t>
      </w:r>
      <w:r w:rsidRPr="00B61E18">
        <w:rPr>
          <w:szCs w:val="20"/>
        </w:rPr>
        <w:t>the</w:t>
      </w:r>
      <w:r w:rsidR="00C64050">
        <w:rPr>
          <w:szCs w:val="20"/>
        </w:rPr>
        <w:t xml:space="preserve"> </w:t>
      </w:r>
      <w:r w:rsidRPr="00B61E18">
        <w:rPr>
          <w:szCs w:val="20"/>
        </w:rPr>
        <w:t>estate</w:t>
      </w:r>
      <w:r w:rsidR="00C64050">
        <w:rPr>
          <w:szCs w:val="20"/>
        </w:rPr>
        <w:t xml:space="preserve"> </w:t>
      </w:r>
      <w:r w:rsidRPr="00B61E18">
        <w:rPr>
          <w:szCs w:val="20"/>
        </w:rPr>
        <w:t>taxes,</w:t>
      </w:r>
      <w:r w:rsidR="00C64050">
        <w:rPr>
          <w:szCs w:val="20"/>
        </w:rPr>
        <w:t xml:space="preserve"> </w:t>
      </w:r>
      <w:r w:rsidRPr="00B61E18">
        <w:rPr>
          <w:szCs w:val="20"/>
        </w:rPr>
        <w:t>the</w:t>
      </w:r>
      <w:r w:rsidR="00C64050">
        <w:rPr>
          <w:szCs w:val="20"/>
        </w:rPr>
        <w:t xml:space="preserve"> </w:t>
      </w:r>
      <w:r w:rsidRPr="00B61E18">
        <w:rPr>
          <w:szCs w:val="20"/>
        </w:rPr>
        <w:t>matter,</w:t>
      </w:r>
      <w:r w:rsidR="00C64050">
        <w:rPr>
          <w:szCs w:val="20"/>
        </w:rPr>
        <w:t xml:space="preserve"> </w:t>
      </w:r>
      <w:r w:rsidRPr="00B61E18">
        <w:rPr>
          <w:szCs w:val="20"/>
        </w:rPr>
        <w:t>in</w:t>
      </w:r>
      <w:r w:rsidR="00C64050">
        <w:rPr>
          <w:szCs w:val="20"/>
        </w:rPr>
        <w:t xml:space="preserve"> </w:t>
      </w:r>
      <w:r w:rsidRPr="00B61E18">
        <w:rPr>
          <w:szCs w:val="20"/>
        </w:rPr>
        <w:t>the</w:t>
      </w:r>
      <w:r w:rsidR="00C64050">
        <w:rPr>
          <w:szCs w:val="20"/>
        </w:rPr>
        <w:t xml:space="preserve"> </w:t>
      </w:r>
      <w:r w:rsidRPr="00B61E18">
        <w:rPr>
          <w:szCs w:val="20"/>
        </w:rPr>
        <w:t>Government's</w:t>
      </w:r>
      <w:r w:rsidR="00C64050">
        <w:rPr>
          <w:szCs w:val="20"/>
        </w:rPr>
        <w:t xml:space="preserve"> </w:t>
      </w:r>
      <w:r w:rsidRPr="00B61E18">
        <w:rPr>
          <w:szCs w:val="20"/>
        </w:rPr>
        <w:t>view,</w:t>
      </w:r>
      <w:r w:rsidR="00C64050">
        <w:rPr>
          <w:szCs w:val="20"/>
        </w:rPr>
        <w:t xml:space="preserve"> </w:t>
      </w:r>
      <w:r w:rsidRPr="00B61E18">
        <w:rPr>
          <w:szCs w:val="20"/>
        </w:rPr>
        <w:t>lingered</w:t>
      </w:r>
      <w:r w:rsidR="00C64050">
        <w:rPr>
          <w:szCs w:val="20"/>
        </w:rPr>
        <w:t xml:space="preserve"> </w:t>
      </w:r>
      <w:r w:rsidRPr="00B61E18">
        <w:rPr>
          <w:szCs w:val="20"/>
        </w:rPr>
        <w:t>and</w:t>
      </w:r>
      <w:r w:rsidR="00C64050">
        <w:rPr>
          <w:szCs w:val="20"/>
        </w:rPr>
        <w:t xml:space="preserve"> </w:t>
      </w:r>
      <w:r w:rsidRPr="00B61E18">
        <w:rPr>
          <w:szCs w:val="20"/>
        </w:rPr>
        <w:t>the</w:t>
      </w:r>
      <w:r w:rsidR="00C64050">
        <w:rPr>
          <w:szCs w:val="20"/>
        </w:rPr>
        <w:t xml:space="preserve"> </w:t>
      </w:r>
      <w:r w:rsidRPr="00B61E18">
        <w:rPr>
          <w:szCs w:val="20"/>
        </w:rPr>
        <w:t>administrative</w:t>
      </w:r>
      <w:r w:rsidR="00C64050">
        <w:rPr>
          <w:szCs w:val="20"/>
        </w:rPr>
        <w:t xml:space="preserve"> </w:t>
      </w:r>
      <w:r w:rsidRPr="00B61E18">
        <w:rPr>
          <w:szCs w:val="20"/>
        </w:rPr>
        <w:t>objective</w:t>
      </w:r>
      <w:r w:rsidR="00C64050">
        <w:rPr>
          <w:szCs w:val="20"/>
        </w:rPr>
        <w:t xml:space="preserve"> </w:t>
      </w:r>
      <w:r w:rsidRPr="00B61E18">
        <w:rPr>
          <w:szCs w:val="20"/>
        </w:rPr>
        <w:t>to</w:t>
      </w:r>
      <w:r w:rsidR="00C64050">
        <w:rPr>
          <w:szCs w:val="20"/>
        </w:rPr>
        <w:t xml:space="preserve"> </w:t>
      </w:r>
      <w:r w:rsidRPr="00B61E18">
        <w:rPr>
          <w:szCs w:val="20"/>
        </w:rPr>
        <w:t>timely</w:t>
      </w:r>
      <w:r w:rsidR="00C64050">
        <w:rPr>
          <w:szCs w:val="20"/>
        </w:rPr>
        <w:t xml:space="preserve"> </w:t>
      </w:r>
      <w:r w:rsidRPr="00B61E18">
        <w:rPr>
          <w:szCs w:val="20"/>
        </w:rPr>
        <w:t>close</w:t>
      </w:r>
      <w:r w:rsidR="00C64050">
        <w:rPr>
          <w:szCs w:val="20"/>
        </w:rPr>
        <w:t xml:space="preserve"> </w:t>
      </w:r>
      <w:r w:rsidRPr="00B61E18">
        <w:rPr>
          <w:szCs w:val="20"/>
        </w:rPr>
        <w:t>the</w:t>
      </w:r>
      <w:r w:rsidR="00C64050">
        <w:rPr>
          <w:szCs w:val="20"/>
        </w:rPr>
        <w:t xml:space="preserve"> </w:t>
      </w:r>
      <w:r w:rsidRPr="00B61E18">
        <w:rPr>
          <w:szCs w:val="20"/>
        </w:rPr>
        <w:t>file</w:t>
      </w:r>
      <w:r w:rsidR="00C64050">
        <w:rPr>
          <w:szCs w:val="20"/>
        </w:rPr>
        <w:t xml:space="preserve"> </w:t>
      </w:r>
      <w:r w:rsidRPr="00B61E18">
        <w:rPr>
          <w:szCs w:val="20"/>
        </w:rPr>
        <w:t>was</w:t>
      </w:r>
      <w:r w:rsidR="00C64050">
        <w:rPr>
          <w:szCs w:val="20"/>
        </w:rPr>
        <w:t xml:space="preserve"> </w:t>
      </w:r>
      <w:r w:rsidRPr="00B61E18">
        <w:rPr>
          <w:szCs w:val="20"/>
        </w:rPr>
        <w:t>not</w:t>
      </w:r>
      <w:r w:rsidR="00C64050">
        <w:rPr>
          <w:szCs w:val="20"/>
        </w:rPr>
        <w:t xml:space="preserve"> </w:t>
      </w:r>
      <w:r w:rsidRPr="00B61E18">
        <w:rPr>
          <w:szCs w:val="20"/>
        </w:rPr>
        <w:t>met.</w:t>
      </w:r>
      <w:r w:rsidR="00C64050">
        <w:rPr>
          <w:szCs w:val="20"/>
        </w:rPr>
        <w:t xml:space="preserve"> </w:t>
      </w:r>
      <w:r w:rsidRPr="00B61E18">
        <w:rPr>
          <w:rStyle w:val="Emphasis"/>
          <w:szCs w:val="20"/>
        </w:rPr>
        <w:t>See</w:t>
      </w:r>
      <w:r w:rsidR="00C64050">
        <w:rPr>
          <w:rStyle w:val="Emphasis"/>
          <w:szCs w:val="20"/>
        </w:rPr>
        <w:t xml:space="preserve"> </w:t>
      </w:r>
      <w:r w:rsidRPr="00B61E18">
        <w:rPr>
          <w:rStyle w:val="Emphasis"/>
          <w:szCs w:val="20"/>
        </w:rPr>
        <w:t>generally</w:t>
      </w:r>
      <w:r w:rsidR="00C64050">
        <w:rPr>
          <w:szCs w:val="20"/>
        </w:rPr>
        <w:t xml:space="preserve"> </w:t>
      </w:r>
      <w:r w:rsidRPr="00B61E18">
        <w:rPr>
          <w:rStyle w:val="Emphasis"/>
          <w:szCs w:val="20"/>
        </w:rPr>
        <w:t>Boyle</w:t>
      </w:r>
      <w:r w:rsidRPr="00B61E18">
        <w:rPr>
          <w:szCs w:val="20"/>
        </w:rPr>
        <w:t>,</w:t>
      </w:r>
      <w:r w:rsidR="00C64050">
        <w:rPr>
          <w:szCs w:val="20"/>
        </w:rPr>
        <w:t xml:space="preserve"> </w:t>
      </w:r>
      <w:r w:rsidRPr="00B61E18">
        <w:rPr>
          <w:szCs w:val="20"/>
        </w:rPr>
        <w:t>469</w:t>
      </w:r>
      <w:r w:rsidR="00C64050">
        <w:rPr>
          <w:szCs w:val="20"/>
        </w:rPr>
        <w:t xml:space="preserve"> </w:t>
      </w:r>
      <w:r w:rsidRPr="00B61E18">
        <w:rPr>
          <w:szCs w:val="20"/>
        </w:rPr>
        <w:t>U.S.</w:t>
      </w:r>
      <w:r w:rsidR="00C64050">
        <w:rPr>
          <w:szCs w:val="20"/>
        </w:rPr>
        <w:t xml:space="preserve"> </w:t>
      </w:r>
      <w:r w:rsidRPr="00B61E18">
        <w:rPr>
          <w:szCs w:val="20"/>
        </w:rPr>
        <w:t>at</w:t>
      </w:r>
      <w:r w:rsidR="00C64050">
        <w:rPr>
          <w:szCs w:val="20"/>
        </w:rPr>
        <w:t xml:space="preserve"> </w:t>
      </w:r>
      <w:r w:rsidRPr="00B61E18">
        <w:rPr>
          <w:szCs w:val="20"/>
        </w:rPr>
        <w:t>251,</w:t>
      </w:r>
      <w:r w:rsidR="00C64050">
        <w:rPr>
          <w:szCs w:val="20"/>
        </w:rPr>
        <w:t xml:space="preserve"> </w:t>
      </w:r>
      <w:r w:rsidRPr="00B61E18">
        <w:rPr>
          <w:szCs w:val="20"/>
        </w:rPr>
        <w:t>105</w:t>
      </w:r>
      <w:r w:rsidR="00C64050">
        <w:rPr>
          <w:szCs w:val="20"/>
        </w:rPr>
        <w:t xml:space="preserve"> </w:t>
      </w:r>
      <w:r w:rsidRPr="00B61E18">
        <w:rPr>
          <w:szCs w:val="20"/>
        </w:rPr>
        <w:t>S.Ct.</w:t>
      </w:r>
      <w:r w:rsidR="00C64050">
        <w:rPr>
          <w:szCs w:val="20"/>
        </w:rPr>
        <w:t xml:space="preserve"> </w:t>
      </w:r>
      <w:r w:rsidRPr="00B61E18">
        <w:rPr>
          <w:szCs w:val="20"/>
        </w:rPr>
        <w:t>687.</w:t>
      </w:r>
      <w:r w:rsidR="00C64050">
        <w:rPr>
          <w:szCs w:val="20"/>
        </w:rPr>
        <w:t xml:space="preserve"> </w:t>
      </w:r>
      <w:r w:rsidRPr="00B61E18">
        <w:rPr>
          <w:szCs w:val="20"/>
        </w:rPr>
        <w:t>There</w:t>
      </w:r>
      <w:r w:rsidR="00C64050">
        <w:rPr>
          <w:szCs w:val="20"/>
        </w:rPr>
        <w:t xml:space="preserve"> </w:t>
      </w:r>
      <w:r w:rsidRPr="00B61E18">
        <w:rPr>
          <w:szCs w:val="20"/>
        </w:rPr>
        <w:t>may</w:t>
      </w:r>
      <w:r w:rsidR="00C64050">
        <w:rPr>
          <w:szCs w:val="20"/>
        </w:rPr>
        <w:t xml:space="preserve"> </w:t>
      </w:r>
      <w:r w:rsidRPr="00B61E18">
        <w:rPr>
          <w:szCs w:val="20"/>
        </w:rPr>
        <w:t>be</w:t>
      </w:r>
      <w:r w:rsidR="00C64050">
        <w:rPr>
          <w:szCs w:val="20"/>
        </w:rPr>
        <w:t xml:space="preserve"> </w:t>
      </w:r>
      <w:r w:rsidRPr="00B61E18">
        <w:rPr>
          <w:szCs w:val="20"/>
        </w:rPr>
        <w:t>a</w:t>
      </w:r>
      <w:r w:rsidR="00C64050">
        <w:rPr>
          <w:szCs w:val="20"/>
        </w:rPr>
        <w:t xml:space="preserve"> </w:t>
      </w:r>
      <w:r w:rsidRPr="00B61E18">
        <w:rPr>
          <w:szCs w:val="20"/>
        </w:rPr>
        <w:t>need</w:t>
      </w:r>
      <w:r w:rsidR="00C64050">
        <w:rPr>
          <w:szCs w:val="20"/>
        </w:rPr>
        <w:t xml:space="preserve"> </w:t>
      </w:r>
      <w:r w:rsidRPr="00B61E18">
        <w:rPr>
          <w:szCs w:val="20"/>
        </w:rPr>
        <w:t>for</w:t>
      </w:r>
      <w:r w:rsidR="00C64050">
        <w:rPr>
          <w:szCs w:val="20"/>
        </w:rPr>
        <w:t xml:space="preserve"> </w:t>
      </w:r>
      <w:r w:rsidRPr="00B61E18">
        <w:rPr>
          <w:szCs w:val="20"/>
        </w:rPr>
        <w:t>some</w:t>
      </w:r>
      <w:r w:rsidR="00C64050">
        <w:rPr>
          <w:szCs w:val="20"/>
        </w:rPr>
        <w:t xml:space="preserve"> </w:t>
      </w:r>
      <w:r w:rsidRPr="00B61E18">
        <w:rPr>
          <w:szCs w:val="20"/>
        </w:rPr>
        <w:t>other</w:t>
      </w:r>
      <w:r w:rsidR="00C64050">
        <w:rPr>
          <w:szCs w:val="20"/>
        </w:rPr>
        <w:t xml:space="preserve"> </w:t>
      </w:r>
      <w:r w:rsidRPr="00B61E18">
        <w:rPr>
          <w:szCs w:val="20"/>
        </w:rPr>
        <w:t>penalty</w:t>
      </w:r>
      <w:r w:rsidR="00C64050">
        <w:rPr>
          <w:szCs w:val="20"/>
        </w:rPr>
        <w:t xml:space="preserve"> </w:t>
      </w:r>
      <w:r w:rsidRPr="00B61E18">
        <w:rPr>
          <w:szCs w:val="20"/>
        </w:rPr>
        <w:t>for</w:t>
      </w:r>
      <w:r w:rsidR="00C64050">
        <w:rPr>
          <w:szCs w:val="20"/>
        </w:rPr>
        <w:t xml:space="preserve"> </w:t>
      </w:r>
      <w:r w:rsidRPr="00B61E18">
        <w:rPr>
          <w:szCs w:val="20"/>
        </w:rPr>
        <w:t>failure</w:t>
      </w:r>
      <w:r w:rsidR="00C64050">
        <w:rPr>
          <w:szCs w:val="20"/>
        </w:rPr>
        <w:t xml:space="preserve"> </w:t>
      </w:r>
      <w:r w:rsidRPr="00B61E18">
        <w:rPr>
          <w:szCs w:val="20"/>
        </w:rPr>
        <w:t>to</w:t>
      </w:r>
      <w:r w:rsidR="00C64050">
        <w:rPr>
          <w:szCs w:val="20"/>
        </w:rPr>
        <w:t xml:space="preserve"> </w:t>
      </w:r>
      <w:r w:rsidRPr="00B61E18">
        <w:rPr>
          <w:szCs w:val="20"/>
        </w:rPr>
        <w:t>timely</w:t>
      </w:r>
      <w:r w:rsidR="00C64050">
        <w:rPr>
          <w:szCs w:val="20"/>
        </w:rPr>
        <w:t xml:space="preserve"> </w:t>
      </w:r>
      <w:r w:rsidRPr="00B61E18">
        <w:rPr>
          <w:szCs w:val="20"/>
        </w:rPr>
        <w:t>file</w:t>
      </w:r>
      <w:r w:rsidR="00C64050">
        <w:rPr>
          <w:szCs w:val="20"/>
        </w:rPr>
        <w:t xml:space="preserve"> </w:t>
      </w:r>
      <w:r w:rsidRPr="00B61E18">
        <w:rPr>
          <w:szCs w:val="20"/>
        </w:rPr>
        <w:t>a</w:t>
      </w:r>
      <w:r w:rsidR="00C64050">
        <w:rPr>
          <w:szCs w:val="20"/>
        </w:rPr>
        <w:t xml:space="preserve"> </w:t>
      </w:r>
      <w:r w:rsidRPr="00B61E18">
        <w:rPr>
          <w:szCs w:val="20"/>
        </w:rPr>
        <w:t>return,</w:t>
      </w:r>
      <w:r w:rsidR="00C64050">
        <w:rPr>
          <w:szCs w:val="20"/>
        </w:rPr>
        <w:t xml:space="preserve"> </w:t>
      </w:r>
      <w:r w:rsidRPr="00B61E18">
        <w:rPr>
          <w:szCs w:val="20"/>
        </w:rPr>
        <w:t>but</w:t>
      </w:r>
      <w:r w:rsidR="00C64050">
        <w:rPr>
          <w:szCs w:val="20"/>
        </w:rPr>
        <w:t xml:space="preserve"> </w:t>
      </w:r>
      <w:r w:rsidRPr="00B61E18">
        <w:rPr>
          <w:szCs w:val="20"/>
        </w:rPr>
        <w:t>Congress</w:t>
      </w:r>
      <w:r w:rsidR="00C64050">
        <w:rPr>
          <w:szCs w:val="20"/>
        </w:rPr>
        <w:t xml:space="preserve"> </w:t>
      </w:r>
      <w:r w:rsidRPr="00B61E18">
        <w:rPr>
          <w:szCs w:val="20"/>
        </w:rPr>
        <w:t>must</w:t>
      </w:r>
      <w:r w:rsidR="00C64050">
        <w:rPr>
          <w:szCs w:val="20"/>
        </w:rPr>
        <w:t xml:space="preserve"> </w:t>
      </w:r>
      <w:r w:rsidRPr="00B61E18">
        <w:rPr>
          <w:szCs w:val="20"/>
        </w:rPr>
        <w:t>enact</w:t>
      </w:r>
      <w:r w:rsidR="00C64050">
        <w:rPr>
          <w:szCs w:val="20"/>
        </w:rPr>
        <w:t xml:space="preserve"> </w:t>
      </w:r>
      <w:r w:rsidRPr="00B61E18">
        <w:rPr>
          <w:szCs w:val="20"/>
        </w:rPr>
        <w:t>same.</w:t>
      </w:r>
    </w:p>
    <w:p w:rsidR="0014561A" w:rsidRDefault="0014561A" w:rsidP="0014561A">
      <w:pPr>
        <w:pStyle w:val="Body15"/>
        <w:rPr>
          <w:lang w:eastAsia="en-GB"/>
        </w:rPr>
      </w:pPr>
      <w:r>
        <w:rPr>
          <w:lang w:eastAsia="en-GB"/>
        </w:rPr>
        <w:t>The</w:t>
      </w:r>
      <w:r w:rsidR="00C64050">
        <w:rPr>
          <w:lang w:eastAsia="en-GB"/>
        </w:rPr>
        <w:t xml:space="preserve"> </w:t>
      </w:r>
      <w:r>
        <w:rPr>
          <w:lang w:eastAsia="en-GB"/>
        </w:rPr>
        <w:t>op</w:t>
      </w:r>
      <w:r w:rsidR="00A4774D">
        <w:rPr>
          <w:lang w:eastAsia="en-GB"/>
        </w:rPr>
        <w:t>inion</w:t>
      </w:r>
      <w:r w:rsidR="00C64050">
        <w:rPr>
          <w:lang w:eastAsia="en-GB"/>
        </w:rPr>
        <w:t xml:space="preserve"> </w:t>
      </w:r>
      <w:r w:rsidR="00A4774D">
        <w:rPr>
          <w:lang w:eastAsia="en-GB"/>
        </w:rPr>
        <w:t>noted</w:t>
      </w:r>
      <w:r w:rsidR="00C64050">
        <w:rPr>
          <w:lang w:eastAsia="en-GB"/>
        </w:rPr>
        <w:t xml:space="preserve"> </w:t>
      </w:r>
      <w:r>
        <w:rPr>
          <w:lang w:eastAsia="en-GB"/>
        </w:rPr>
        <w:t>that</w:t>
      </w:r>
      <w:r w:rsidR="00C64050">
        <w:rPr>
          <w:lang w:eastAsia="en-GB"/>
        </w:rPr>
        <w:t xml:space="preserve"> </w:t>
      </w:r>
      <w:r>
        <w:rPr>
          <w:lang w:eastAsia="en-GB"/>
        </w:rPr>
        <w:t>the</w:t>
      </w:r>
      <w:r w:rsidR="00C64050">
        <w:rPr>
          <w:lang w:eastAsia="en-GB"/>
        </w:rPr>
        <w:t xml:space="preserve"> </w:t>
      </w:r>
      <w:r>
        <w:rPr>
          <w:lang w:eastAsia="en-GB"/>
        </w:rPr>
        <w:t>lawyer</w:t>
      </w:r>
      <w:r w:rsidR="00C64050">
        <w:rPr>
          <w:lang w:eastAsia="en-GB"/>
        </w:rPr>
        <w:t xml:space="preserve"> </w:t>
      </w:r>
      <w:r>
        <w:rPr>
          <w:lang w:eastAsia="en-GB"/>
        </w:rPr>
        <w:t>and</w:t>
      </w:r>
      <w:r w:rsidR="00C64050">
        <w:rPr>
          <w:lang w:eastAsia="en-GB"/>
        </w:rPr>
        <w:t xml:space="preserve"> </w:t>
      </w:r>
      <w:r>
        <w:rPr>
          <w:lang w:eastAsia="en-GB"/>
        </w:rPr>
        <w:t>CPA</w:t>
      </w:r>
      <w:r w:rsidR="00C64050">
        <w:rPr>
          <w:lang w:eastAsia="en-GB"/>
        </w:rPr>
        <w:t xml:space="preserve"> </w:t>
      </w:r>
      <w:r>
        <w:rPr>
          <w:lang w:eastAsia="en-GB"/>
        </w:rPr>
        <w:t>for</w:t>
      </w:r>
      <w:r w:rsidR="00C64050">
        <w:rPr>
          <w:lang w:eastAsia="en-GB"/>
        </w:rPr>
        <w:t xml:space="preserve"> </w:t>
      </w:r>
      <w:r>
        <w:rPr>
          <w:lang w:eastAsia="en-GB"/>
        </w:rPr>
        <w:t>the</w:t>
      </w:r>
      <w:r w:rsidR="00C64050">
        <w:rPr>
          <w:lang w:eastAsia="en-GB"/>
        </w:rPr>
        <w:t xml:space="preserve"> </w:t>
      </w:r>
      <w:r>
        <w:rPr>
          <w:lang w:eastAsia="en-GB"/>
        </w:rPr>
        <w:t>estate</w:t>
      </w:r>
      <w:r w:rsidR="00C64050">
        <w:rPr>
          <w:lang w:eastAsia="en-GB"/>
        </w:rPr>
        <w:t xml:space="preserve"> </w:t>
      </w:r>
      <w:r>
        <w:rPr>
          <w:lang w:eastAsia="en-GB"/>
        </w:rPr>
        <w:t>had</w:t>
      </w:r>
      <w:r w:rsidR="00C64050">
        <w:rPr>
          <w:lang w:eastAsia="en-GB"/>
        </w:rPr>
        <w:t xml:space="preserve"> </w:t>
      </w:r>
      <w:r>
        <w:rPr>
          <w:lang w:eastAsia="en-GB"/>
        </w:rPr>
        <w:t>been</w:t>
      </w:r>
      <w:r w:rsidR="00C64050">
        <w:rPr>
          <w:lang w:eastAsia="en-GB"/>
        </w:rPr>
        <w:t xml:space="preserve"> </w:t>
      </w:r>
      <w:r>
        <w:rPr>
          <w:lang w:eastAsia="en-GB"/>
        </w:rPr>
        <w:t>repeatedly</w:t>
      </w:r>
      <w:r w:rsidR="00C64050">
        <w:rPr>
          <w:lang w:eastAsia="en-GB"/>
        </w:rPr>
        <w:t xml:space="preserve"> </w:t>
      </w:r>
      <w:r>
        <w:rPr>
          <w:lang w:eastAsia="en-GB"/>
        </w:rPr>
        <w:t>assured</w:t>
      </w:r>
      <w:r w:rsidR="00C64050">
        <w:rPr>
          <w:lang w:eastAsia="en-GB"/>
        </w:rPr>
        <w:t xml:space="preserve"> </w:t>
      </w:r>
      <w:r>
        <w:rPr>
          <w:lang w:eastAsia="en-GB"/>
        </w:rPr>
        <w:t>that</w:t>
      </w:r>
      <w:r w:rsidR="00C64050">
        <w:rPr>
          <w:lang w:eastAsia="en-GB"/>
        </w:rPr>
        <w:t xml:space="preserve"> </w:t>
      </w:r>
      <w:r>
        <w:rPr>
          <w:lang w:eastAsia="en-GB"/>
        </w:rPr>
        <w:t>there</w:t>
      </w:r>
      <w:r w:rsidR="00C64050">
        <w:rPr>
          <w:lang w:eastAsia="en-GB"/>
        </w:rPr>
        <w:t xml:space="preserve"> </w:t>
      </w:r>
      <w:r>
        <w:rPr>
          <w:lang w:eastAsia="en-GB"/>
        </w:rPr>
        <w:t>would</w:t>
      </w:r>
      <w:r w:rsidR="00C64050">
        <w:rPr>
          <w:lang w:eastAsia="en-GB"/>
        </w:rPr>
        <w:t xml:space="preserve"> </w:t>
      </w:r>
      <w:r>
        <w:rPr>
          <w:lang w:eastAsia="en-GB"/>
        </w:rPr>
        <w:t>be</w:t>
      </w:r>
      <w:r w:rsidR="00C64050">
        <w:rPr>
          <w:lang w:eastAsia="en-GB"/>
        </w:rPr>
        <w:t xml:space="preserve"> </w:t>
      </w:r>
      <w:r>
        <w:rPr>
          <w:lang w:eastAsia="en-GB"/>
        </w:rPr>
        <w:t>no</w:t>
      </w:r>
      <w:r w:rsidR="00C64050">
        <w:rPr>
          <w:lang w:eastAsia="en-GB"/>
        </w:rPr>
        <w:t xml:space="preserve"> </w:t>
      </w:r>
      <w:r>
        <w:rPr>
          <w:lang w:eastAsia="en-GB"/>
        </w:rPr>
        <w:t>penalty,</w:t>
      </w:r>
      <w:r w:rsidR="00C64050">
        <w:rPr>
          <w:lang w:eastAsia="en-GB"/>
        </w:rPr>
        <w:t xml:space="preserve"> </w:t>
      </w:r>
      <w:r>
        <w:rPr>
          <w:lang w:eastAsia="en-GB"/>
        </w:rPr>
        <w:t>and</w:t>
      </w:r>
      <w:r w:rsidR="00C64050">
        <w:rPr>
          <w:lang w:eastAsia="en-GB"/>
        </w:rPr>
        <w:t xml:space="preserve"> </w:t>
      </w:r>
      <w:r>
        <w:rPr>
          <w:lang w:eastAsia="en-GB"/>
        </w:rPr>
        <w:t>then</w:t>
      </w:r>
      <w:r w:rsidR="00C64050">
        <w:rPr>
          <w:lang w:eastAsia="en-GB"/>
        </w:rPr>
        <w:t xml:space="preserve"> </w:t>
      </w:r>
      <w:r>
        <w:rPr>
          <w:lang w:eastAsia="en-GB"/>
        </w:rPr>
        <w:t>that</w:t>
      </w:r>
      <w:r w:rsidR="00C64050">
        <w:rPr>
          <w:lang w:eastAsia="en-GB"/>
        </w:rPr>
        <w:t xml:space="preserve"> </w:t>
      </w:r>
      <w:r>
        <w:rPr>
          <w:lang w:eastAsia="en-GB"/>
        </w:rPr>
        <w:t>the</w:t>
      </w:r>
      <w:r w:rsidR="00C64050">
        <w:rPr>
          <w:lang w:eastAsia="en-GB"/>
        </w:rPr>
        <w:t xml:space="preserve"> </w:t>
      </w:r>
      <w:r>
        <w:rPr>
          <w:lang w:eastAsia="en-GB"/>
        </w:rPr>
        <w:t>assessment</w:t>
      </w:r>
      <w:r w:rsidR="00C64050">
        <w:rPr>
          <w:lang w:eastAsia="en-GB"/>
        </w:rPr>
        <w:t xml:space="preserve"> </w:t>
      </w:r>
      <w:r>
        <w:rPr>
          <w:lang w:eastAsia="en-GB"/>
        </w:rPr>
        <w:t>was</w:t>
      </w:r>
      <w:r w:rsidR="00C64050">
        <w:rPr>
          <w:lang w:eastAsia="en-GB"/>
        </w:rPr>
        <w:t xml:space="preserve"> </w:t>
      </w:r>
      <w:r>
        <w:rPr>
          <w:lang w:eastAsia="en-GB"/>
        </w:rPr>
        <w:t>a</w:t>
      </w:r>
      <w:r w:rsidR="00C64050">
        <w:rPr>
          <w:lang w:eastAsia="en-GB"/>
        </w:rPr>
        <w:t xml:space="preserve"> </w:t>
      </w:r>
      <w:r>
        <w:rPr>
          <w:lang w:eastAsia="en-GB"/>
        </w:rPr>
        <w:t>mistake.</w:t>
      </w:r>
      <w:r w:rsidR="00C64050">
        <w:rPr>
          <w:lang w:eastAsia="en-GB"/>
        </w:rPr>
        <w:t xml:space="preserve">  </w:t>
      </w:r>
      <w:r>
        <w:rPr>
          <w:lang w:eastAsia="en-GB"/>
        </w:rPr>
        <w:t>The</w:t>
      </w:r>
      <w:r w:rsidR="00C64050">
        <w:rPr>
          <w:lang w:eastAsia="en-GB"/>
        </w:rPr>
        <w:t xml:space="preserve"> </w:t>
      </w:r>
      <w:r>
        <w:rPr>
          <w:lang w:eastAsia="en-GB"/>
        </w:rPr>
        <w:t>case</w:t>
      </w:r>
      <w:r w:rsidR="00C64050">
        <w:rPr>
          <w:lang w:eastAsia="en-GB"/>
        </w:rPr>
        <w:t xml:space="preserve"> </w:t>
      </w:r>
      <w:r>
        <w:rPr>
          <w:lang w:eastAsia="en-GB"/>
        </w:rPr>
        <w:t>shows</w:t>
      </w:r>
      <w:r w:rsidR="00C64050">
        <w:rPr>
          <w:lang w:eastAsia="en-GB"/>
        </w:rPr>
        <w:t xml:space="preserve"> </w:t>
      </w:r>
      <w:r>
        <w:rPr>
          <w:lang w:eastAsia="en-GB"/>
        </w:rPr>
        <w:t>the</w:t>
      </w:r>
      <w:r w:rsidR="00C64050">
        <w:rPr>
          <w:lang w:eastAsia="en-GB"/>
        </w:rPr>
        <w:t xml:space="preserve"> </w:t>
      </w:r>
      <w:r>
        <w:rPr>
          <w:lang w:eastAsia="en-GB"/>
        </w:rPr>
        <w:t>peril</w:t>
      </w:r>
      <w:r w:rsidR="00C64050">
        <w:rPr>
          <w:lang w:eastAsia="en-GB"/>
        </w:rPr>
        <w:t xml:space="preserve"> </w:t>
      </w:r>
      <w:r>
        <w:rPr>
          <w:lang w:eastAsia="en-GB"/>
        </w:rPr>
        <w:t>of</w:t>
      </w:r>
      <w:r w:rsidR="00C64050">
        <w:rPr>
          <w:lang w:eastAsia="en-GB"/>
        </w:rPr>
        <w:t xml:space="preserve"> </w:t>
      </w:r>
      <w:r>
        <w:rPr>
          <w:lang w:eastAsia="en-GB"/>
        </w:rPr>
        <w:t>relying</w:t>
      </w:r>
      <w:r w:rsidR="00C64050">
        <w:rPr>
          <w:lang w:eastAsia="en-GB"/>
        </w:rPr>
        <w:t xml:space="preserve"> </w:t>
      </w:r>
      <w:r>
        <w:rPr>
          <w:lang w:eastAsia="en-GB"/>
        </w:rPr>
        <w:t>on</w:t>
      </w:r>
      <w:r w:rsidR="00C64050">
        <w:rPr>
          <w:lang w:eastAsia="en-GB"/>
        </w:rPr>
        <w:t xml:space="preserve"> </w:t>
      </w:r>
      <w:r>
        <w:rPr>
          <w:lang w:eastAsia="en-GB"/>
        </w:rPr>
        <w:t>such</w:t>
      </w:r>
      <w:r w:rsidR="00C64050">
        <w:rPr>
          <w:lang w:eastAsia="en-GB"/>
        </w:rPr>
        <w:t xml:space="preserve"> </w:t>
      </w:r>
      <w:r>
        <w:rPr>
          <w:lang w:eastAsia="en-GB"/>
        </w:rPr>
        <w:t>assurances.</w:t>
      </w:r>
    </w:p>
    <w:p w:rsidR="0014561A" w:rsidRDefault="0014561A" w:rsidP="0014561A">
      <w:pPr>
        <w:pStyle w:val="Body15"/>
        <w:rPr>
          <w:lang w:eastAsia="en-GB"/>
        </w:rPr>
      </w:pPr>
      <w:r>
        <w:rPr>
          <w:lang w:eastAsia="en-GB"/>
        </w:rPr>
        <w:t>Rev.</w:t>
      </w:r>
      <w:r w:rsidR="00C64050">
        <w:rPr>
          <w:lang w:eastAsia="en-GB"/>
        </w:rPr>
        <w:t xml:space="preserve"> </w:t>
      </w:r>
      <w:r>
        <w:rPr>
          <w:lang w:eastAsia="en-GB"/>
        </w:rPr>
        <w:t>Rul.</w:t>
      </w:r>
      <w:r w:rsidR="00C64050">
        <w:rPr>
          <w:lang w:eastAsia="en-GB"/>
        </w:rPr>
        <w:t xml:space="preserve"> </w:t>
      </w:r>
      <w:r>
        <w:rPr>
          <w:lang w:eastAsia="en-GB"/>
        </w:rPr>
        <w:t>81-237</w:t>
      </w:r>
      <w:r w:rsidR="00C64050">
        <w:rPr>
          <w:lang w:eastAsia="en-GB"/>
        </w:rPr>
        <w:t xml:space="preserve"> </w:t>
      </w:r>
      <w:r>
        <w:rPr>
          <w:lang w:eastAsia="en-GB"/>
        </w:rPr>
        <w:t>appears</w:t>
      </w:r>
      <w:r w:rsidR="00C64050">
        <w:rPr>
          <w:lang w:eastAsia="en-GB"/>
        </w:rPr>
        <w:t xml:space="preserve"> </w:t>
      </w:r>
      <w:r>
        <w:rPr>
          <w:lang w:eastAsia="en-GB"/>
        </w:rPr>
        <w:t>to</w:t>
      </w:r>
      <w:r w:rsidR="00C64050">
        <w:rPr>
          <w:lang w:eastAsia="en-GB"/>
        </w:rPr>
        <w:t xml:space="preserve"> </w:t>
      </w:r>
      <w:r>
        <w:rPr>
          <w:lang w:eastAsia="en-GB"/>
        </w:rPr>
        <w:t>require</w:t>
      </w:r>
      <w:r w:rsidR="00C64050">
        <w:rPr>
          <w:lang w:eastAsia="en-GB"/>
        </w:rPr>
        <w:t xml:space="preserve"> </w:t>
      </w:r>
      <w:r>
        <w:rPr>
          <w:lang w:eastAsia="en-GB"/>
        </w:rPr>
        <w:t>always</w:t>
      </w:r>
      <w:r w:rsidR="00C64050">
        <w:rPr>
          <w:lang w:eastAsia="en-GB"/>
        </w:rPr>
        <w:t xml:space="preserve"> </w:t>
      </w:r>
      <w:r>
        <w:rPr>
          <w:lang w:eastAsia="en-GB"/>
        </w:rPr>
        <w:t>a</w:t>
      </w:r>
      <w:r w:rsidR="00C64050">
        <w:rPr>
          <w:lang w:eastAsia="en-GB"/>
        </w:rPr>
        <w:t xml:space="preserve"> </w:t>
      </w:r>
      <w:r>
        <w:rPr>
          <w:lang w:eastAsia="en-GB"/>
        </w:rPr>
        <w:t>minimum</w:t>
      </w:r>
      <w:r w:rsidR="00C64050">
        <w:rPr>
          <w:lang w:eastAsia="en-GB"/>
        </w:rPr>
        <w:t xml:space="preserve"> </w:t>
      </w:r>
      <w:r>
        <w:rPr>
          <w:lang w:eastAsia="en-GB"/>
        </w:rPr>
        <w:t>penalty</w:t>
      </w:r>
      <w:r w:rsidR="00C64050">
        <w:rPr>
          <w:lang w:eastAsia="en-GB"/>
        </w:rPr>
        <w:t xml:space="preserve"> </w:t>
      </w:r>
      <w:r>
        <w:rPr>
          <w:lang w:eastAsia="en-GB"/>
        </w:rPr>
        <w:t>of</w:t>
      </w:r>
      <w:r w:rsidR="00C64050">
        <w:rPr>
          <w:lang w:eastAsia="en-GB"/>
        </w:rPr>
        <w:t xml:space="preserve"> </w:t>
      </w:r>
      <w:r>
        <w:rPr>
          <w:lang w:eastAsia="en-GB"/>
        </w:rPr>
        <w:t>$100.</w:t>
      </w:r>
      <w:r w:rsidR="00C64050">
        <w:rPr>
          <w:lang w:eastAsia="en-GB"/>
        </w:rPr>
        <w:t xml:space="preserve">  </w:t>
      </w:r>
      <w:r>
        <w:rPr>
          <w:lang w:eastAsia="en-GB"/>
        </w:rPr>
        <w:t>There</w:t>
      </w:r>
      <w:r w:rsidR="00C64050">
        <w:rPr>
          <w:lang w:eastAsia="en-GB"/>
        </w:rPr>
        <w:t xml:space="preserve"> </w:t>
      </w:r>
      <w:r>
        <w:rPr>
          <w:lang w:eastAsia="en-GB"/>
        </w:rPr>
        <w:t>was</w:t>
      </w:r>
      <w:r w:rsidR="00C64050">
        <w:rPr>
          <w:lang w:eastAsia="en-GB"/>
        </w:rPr>
        <w:t xml:space="preserve"> </w:t>
      </w:r>
      <w:r>
        <w:rPr>
          <w:lang w:eastAsia="en-GB"/>
        </w:rPr>
        <w:t>no</w:t>
      </w:r>
      <w:r w:rsidR="00C64050">
        <w:rPr>
          <w:lang w:eastAsia="en-GB"/>
        </w:rPr>
        <w:t xml:space="preserve"> </w:t>
      </w:r>
      <w:r>
        <w:rPr>
          <w:lang w:eastAsia="en-GB"/>
        </w:rPr>
        <w:t>mention</w:t>
      </w:r>
      <w:r w:rsidR="00C64050">
        <w:rPr>
          <w:lang w:eastAsia="en-GB"/>
        </w:rPr>
        <w:t xml:space="preserve"> </w:t>
      </w:r>
      <w:r>
        <w:rPr>
          <w:lang w:eastAsia="en-GB"/>
        </w:rPr>
        <w:t>of</w:t>
      </w:r>
      <w:r w:rsidR="00C64050">
        <w:rPr>
          <w:lang w:eastAsia="en-GB"/>
        </w:rPr>
        <w:t xml:space="preserve"> </w:t>
      </w:r>
      <w:r>
        <w:rPr>
          <w:lang w:eastAsia="en-GB"/>
        </w:rPr>
        <w:t>th</w:t>
      </w:r>
      <w:r w:rsidR="00A4774D">
        <w:rPr>
          <w:lang w:eastAsia="en-GB"/>
        </w:rPr>
        <w:t>at</w:t>
      </w:r>
      <w:r w:rsidR="00C64050">
        <w:rPr>
          <w:lang w:eastAsia="en-GB"/>
        </w:rPr>
        <w:t xml:space="preserve"> </w:t>
      </w:r>
      <w:r w:rsidR="00A4774D">
        <w:rPr>
          <w:lang w:eastAsia="en-GB"/>
        </w:rPr>
        <w:t>ruling</w:t>
      </w:r>
      <w:r w:rsidR="00C64050">
        <w:rPr>
          <w:lang w:eastAsia="en-GB"/>
        </w:rPr>
        <w:t xml:space="preserve"> </w:t>
      </w:r>
      <w:r>
        <w:rPr>
          <w:lang w:eastAsia="en-GB"/>
        </w:rPr>
        <w:t>in</w:t>
      </w:r>
      <w:r w:rsidR="00C64050">
        <w:rPr>
          <w:lang w:eastAsia="en-GB"/>
        </w:rPr>
        <w:t xml:space="preserve"> </w:t>
      </w:r>
      <w:r>
        <w:rPr>
          <w:lang w:eastAsia="en-GB"/>
        </w:rPr>
        <w:t>the</w:t>
      </w:r>
      <w:r w:rsidR="00C64050">
        <w:rPr>
          <w:lang w:eastAsia="en-GB"/>
        </w:rPr>
        <w:t xml:space="preserve"> </w:t>
      </w:r>
      <w:r>
        <w:rPr>
          <w:lang w:eastAsia="en-GB"/>
        </w:rPr>
        <w:t>opinion.</w:t>
      </w:r>
      <w:r w:rsidR="000E0DC2">
        <w:rPr>
          <w:lang w:eastAsia="en-GB"/>
        </w:rPr>
        <w:t xml:space="preserve">  The United States has appealed to the Third Circuit.</w:t>
      </w:r>
    </w:p>
    <w:p w:rsidR="00A11937" w:rsidRPr="00A11937" w:rsidRDefault="00A11937" w:rsidP="00A11937">
      <w:pPr>
        <w:pStyle w:val="Heading20"/>
        <w:tabs>
          <w:tab w:val="clear" w:pos="2700"/>
        </w:tabs>
        <w:ind w:left="0"/>
        <w:rPr>
          <w:vanish/>
          <w:lang w:eastAsia="en-GB"/>
          <w:specVanish/>
        </w:rPr>
      </w:pPr>
      <w:bookmarkStart w:id="781" w:name="_Toc94704678"/>
      <w:r>
        <w:rPr>
          <w:b/>
          <w:u w:val="single"/>
          <w:lang w:eastAsia="en-GB"/>
        </w:rPr>
        <w:t>Trustee</w:t>
      </w:r>
      <w:r w:rsidR="00C64050">
        <w:rPr>
          <w:b/>
          <w:u w:val="single"/>
          <w:lang w:eastAsia="en-GB"/>
        </w:rPr>
        <w:t xml:space="preserve"> </w:t>
      </w:r>
      <w:r>
        <w:rPr>
          <w:b/>
          <w:u w:val="single"/>
          <w:lang w:eastAsia="en-GB"/>
        </w:rPr>
        <w:t>of</w:t>
      </w:r>
      <w:r w:rsidR="00C64050">
        <w:rPr>
          <w:b/>
          <w:u w:val="single"/>
          <w:lang w:eastAsia="en-GB"/>
        </w:rPr>
        <w:t xml:space="preserve"> </w:t>
      </w:r>
      <w:r>
        <w:rPr>
          <w:b/>
          <w:u w:val="single"/>
          <w:lang w:eastAsia="en-GB"/>
        </w:rPr>
        <w:t>Revocable</w:t>
      </w:r>
      <w:r w:rsidR="00C64050">
        <w:rPr>
          <w:b/>
          <w:u w:val="single"/>
          <w:lang w:eastAsia="en-GB"/>
        </w:rPr>
        <w:t xml:space="preserve"> </w:t>
      </w:r>
      <w:r>
        <w:rPr>
          <w:b/>
          <w:u w:val="single"/>
          <w:lang w:eastAsia="en-GB"/>
        </w:rPr>
        <w:t>Trust</w:t>
      </w:r>
      <w:r w:rsidR="00C64050">
        <w:rPr>
          <w:b/>
          <w:u w:val="single"/>
          <w:lang w:eastAsia="en-GB"/>
        </w:rPr>
        <w:t xml:space="preserve"> </w:t>
      </w:r>
      <w:r>
        <w:rPr>
          <w:b/>
          <w:u w:val="single"/>
          <w:lang w:eastAsia="en-GB"/>
        </w:rPr>
        <w:t>Discharged</w:t>
      </w:r>
      <w:r w:rsidR="00C64050">
        <w:rPr>
          <w:b/>
          <w:u w:val="single"/>
          <w:lang w:eastAsia="en-GB"/>
        </w:rPr>
        <w:t xml:space="preserve"> </w:t>
      </w:r>
      <w:r>
        <w:rPr>
          <w:b/>
          <w:u w:val="single"/>
          <w:lang w:eastAsia="en-GB"/>
        </w:rPr>
        <w:t>From</w:t>
      </w:r>
      <w:r w:rsidR="00C64050">
        <w:rPr>
          <w:b/>
          <w:u w:val="single"/>
          <w:lang w:eastAsia="en-GB"/>
        </w:rPr>
        <w:t xml:space="preserve"> </w:t>
      </w:r>
      <w:r>
        <w:rPr>
          <w:b/>
          <w:u w:val="single"/>
          <w:lang w:eastAsia="en-GB"/>
        </w:rPr>
        <w:t>Personal</w:t>
      </w:r>
      <w:r w:rsidR="00C64050">
        <w:rPr>
          <w:b/>
          <w:u w:val="single"/>
          <w:lang w:eastAsia="en-GB"/>
        </w:rPr>
        <w:t xml:space="preserve"> </w:t>
      </w:r>
      <w:r>
        <w:rPr>
          <w:b/>
          <w:u w:val="single"/>
          <w:lang w:eastAsia="en-GB"/>
        </w:rPr>
        <w:t>Liability</w:t>
      </w:r>
      <w:r w:rsidR="00C64050">
        <w:rPr>
          <w:b/>
          <w:u w:val="single"/>
          <w:lang w:eastAsia="en-GB"/>
        </w:rPr>
        <w:t xml:space="preserve"> </w:t>
      </w:r>
      <w:r>
        <w:rPr>
          <w:b/>
          <w:u w:val="single"/>
          <w:lang w:eastAsia="en-GB"/>
        </w:rPr>
        <w:t>for</w:t>
      </w:r>
      <w:r w:rsidR="00C64050">
        <w:rPr>
          <w:b/>
          <w:u w:val="single"/>
          <w:lang w:eastAsia="en-GB"/>
        </w:rPr>
        <w:t xml:space="preserve"> </w:t>
      </w:r>
      <w:r>
        <w:rPr>
          <w:b/>
          <w:u w:val="single"/>
          <w:lang w:eastAsia="en-GB"/>
        </w:rPr>
        <w:t>Estate</w:t>
      </w:r>
      <w:r w:rsidR="00C64050">
        <w:rPr>
          <w:b/>
          <w:u w:val="single"/>
          <w:lang w:eastAsia="en-GB"/>
        </w:rPr>
        <w:t xml:space="preserve"> </w:t>
      </w:r>
      <w:r>
        <w:rPr>
          <w:b/>
          <w:u w:val="single"/>
          <w:lang w:eastAsia="en-GB"/>
        </w:rPr>
        <w:t>Tax</w:t>
      </w:r>
      <w:bookmarkEnd w:id="781"/>
    </w:p>
    <w:p w:rsidR="0014561A" w:rsidRDefault="00A11937" w:rsidP="00A11937">
      <w:pPr>
        <w:pStyle w:val="Heading2Body"/>
      </w:pPr>
      <w:r>
        <w:t>.</w:t>
      </w:r>
      <w:r w:rsidR="00C64050">
        <w:t xml:space="preserve">  </w:t>
      </w:r>
      <w:r>
        <w:t>The</w:t>
      </w:r>
      <w:r w:rsidR="00C64050">
        <w:t xml:space="preserve"> </w:t>
      </w:r>
      <w:r>
        <w:t>facts</w:t>
      </w:r>
      <w:r w:rsidR="00C64050">
        <w:t xml:space="preserve"> </w:t>
      </w:r>
      <w:r>
        <w:t>of</w:t>
      </w:r>
      <w:r w:rsidR="00C64050">
        <w:t xml:space="preserve"> </w:t>
      </w:r>
      <w:r>
        <w:rPr>
          <w:u w:val="single"/>
        </w:rPr>
        <w:t>United</w:t>
      </w:r>
      <w:r w:rsidR="00C64050">
        <w:rPr>
          <w:u w:val="single"/>
        </w:rPr>
        <w:t xml:space="preserve"> </w:t>
      </w:r>
      <w:r>
        <w:rPr>
          <w:u w:val="single"/>
        </w:rPr>
        <w:t>States</w:t>
      </w:r>
      <w:r w:rsidR="00C64050">
        <w:rPr>
          <w:u w:val="single"/>
        </w:rPr>
        <w:t xml:space="preserve"> </w:t>
      </w:r>
      <w:r>
        <w:rPr>
          <w:u w:val="single"/>
        </w:rPr>
        <w:t>v.</w:t>
      </w:r>
      <w:r w:rsidR="00C64050">
        <w:rPr>
          <w:u w:val="single"/>
        </w:rPr>
        <w:t xml:space="preserve"> </w:t>
      </w:r>
      <w:r>
        <w:rPr>
          <w:u w:val="single"/>
        </w:rPr>
        <w:t>Paulson</w:t>
      </w:r>
      <w:r>
        <w:t>,</w:t>
      </w:r>
      <w:r w:rsidR="00C64050">
        <w:t xml:space="preserve"> </w:t>
      </w:r>
      <w:r w:rsidR="000E0DC2">
        <w:t>2020 WL 1821022</w:t>
      </w:r>
      <w:r w:rsidR="00C64050">
        <w:t xml:space="preserve"> </w:t>
      </w:r>
      <w:r>
        <w:t>(S</w:t>
      </w:r>
      <w:r w:rsidR="000E0DC2">
        <w:t>.</w:t>
      </w:r>
      <w:r>
        <w:t>D</w:t>
      </w:r>
      <w:r w:rsidR="000E0DC2">
        <w:t>.</w:t>
      </w:r>
      <w:r w:rsidR="00C64050">
        <w:t xml:space="preserve"> </w:t>
      </w:r>
      <w:r>
        <w:t>Cal.</w:t>
      </w:r>
      <w:r w:rsidR="00C64050">
        <w:t xml:space="preserve"> </w:t>
      </w:r>
      <w:r>
        <w:t>2020),</w:t>
      </w:r>
      <w:r w:rsidR="00C64050">
        <w:t xml:space="preserve"> </w:t>
      </w:r>
      <w:r>
        <w:t>were</w:t>
      </w:r>
      <w:r w:rsidR="00C64050">
        <w:t xml:space="preserve"> </w:t>
      </w:r>
      <w:r>
        <w:t>simple:</w:t>
      </w:r>
    </w:p>
    <w:p w:rsidR="006608A4" w:rsidRPr="00146A1C" w:rsidRDefault="006608A4" w:rsidP="00146A1C">
      <w:pPr>
        <w:pStyle w:val="QS10"/>
        <w:rPr>
          <w:szCs w:val="20"/>
        </w:rPr>
      </w:pPr>
      <w:r w:rsidRPr="00146A1C">
        <w:rPr>
          <w:szCs w:val="20"/>
        </w:rPr>
        <w:t>6.</w:t>
      </w:r>
      <w:r w:rsidR="00C64050">
        <w:rPr>
          <w:szCs w:val="20"/>
        </w:rPr>
        <w:t xml:space="preserve"> </w:t>
      </w:r>
      <w:r w:rsidRPr="00146A1C">
        <w:rPr>
          <w:szCs w:val="20"/>
        </w:rPr>
        <w:t>On</w:t>
      </w:r>
      <w:r w:rsidR="00C64050">
        <w:rPr>
          <w:szCs w:val="20"/>
        </w:rPr>
        <w:t xml:space="preserve"> </w:t>
      </w:r>
      <w:r w:rsidRPr="00146A1C">
        <w:rPr>
          <w:szCs w:val="20"/>
        </w:rPr>
        <w:t>July</w:t>
      </w:r>
      <w:r w:rsidR="00C64050">
        <w:rPr>
          <w:szCs w:val="20"/>
        </w:rPr>
        <w:t xml:space="preserve"> </w:t>
      </w:r>
      <w:r w:rsidRPr="00146A1C">
        <w:rPr>
          <w:szCs w:val="20"/>
        </w:rPr>
        <w:t>19,</w:t>
      </w:r>
      <w:r w:rsidR="00C64050">
        <w:rPr>
          <w:szCs w:val="20"/>
        </w:rPr>
        <w:t xml:space="preserve"> </w:t>
      </w:r>
      <w:r w:rsidRPr="00146A1C">
        <w:rPr>
          <w:szCs w:val="20"/>
        </w:rPr>
        <w:t>2000,</w:t>
      </w:r>
      <w:r w:rsidR="00C64050">
        <w:rPr>
          <w:szCs w:val="20"/>
        </w:rPr>
        <w:t xml:space="preserve"> </w:t>
      </w:r>
      <w:r w:rsidRPr="00146A1C">
        <w:rPr>
          <w:szCs w:val="20"/>
        </w:rPr>
        <w:t>Mr.</w:t>
      </w:r>
      <w:r w:rsidR="00C64050">
        <w:rPr>
          <w:szCs w:val="20"/>
        </w:rPr>
        <w:t xml:space="preserve"> </w:t>
      </w:r>
      <w:r w:rsidRPr="00146A1C">
        <w:rPr>
          <w:szCs w:val="20"/>
        </w:rPr>
        <w:t>Allen</w:t>
      </w:r>
      <w:r w:rsidR="00C64050">
        <w:rPr>
          <w:szCs w:val="20"/>
        </w:rPr>
        <w:t xml:space="preserve"> </w:t>
      </w:r>
      <w:r w:rsidRPr="00146A1C">
        <w:rPr>
          <w:szCs w:val="20"/>
        </w:rPr>
        <w:t>E.</w:t>
      </w:r>
      <w:r w:rsidR="00C64050">
        <w:rPr>
          <w:szCs w:val="20"/>
        </w:rPr>
        <w:t xml:space="preserve"> </w:t>
      </w:r>
      <w:r w:rsidRPr="00146A1C">
        <w:rPr>
          <w:szCs w:val="20"/>
        </w:rPr>
        <w:t>Paulson</w:t>
      </w:r>
      <w:r w:rsidR="00C64050">
        <w:rPr>
          <w:szCs w:val="20"/>
        </w:rPr>
        <w:t xml:space="preserve"> </w:t>
      </w:r>
      <w:r w:rsidRPr="00146A1C">
        <w:rPr>
          <w:szCs w:val="20"/>
        </w:rPr>
        <w:t>died.</w:t>
      </w:r>
      <w:r w:rsidR="00C64050">
        <w:rPr>
          <w:szCs w:val="20"/>
        </w:rPr>
        <w:t xml:space="preserve"> </w:t>
      </w:r>
      <w:r w:rsidRPr="00146A1C">
        <w:rPr>
          <w:szCs w:val="20"/>
        </w:rPr>
        <w:t>(</w:t>
      </w:r>
      <w:r w:rsidRPr="00146A1C">
        <w:rPr>
          <w:rStyle w:val="Emphasis"/>
          <w:color w:val="212121"/>
          <w:szCs w:val="20"/>
        </w:rPr>
        <w:t>Id.</w:t>
      </w:r>
      <w:r w:rsidRPr="00146A1C">
        <w:rPr>
          <w:szCs w:val="20"/>
        </w:rPr>
        <w:t>)</w:t>
      </w:r>
    </w:p>
    <w:p w:rsidR="006608A4" w:rsidRPr="00146A1C" w:rsidRDefault="006608A4" w:rsidP="00146A1C">
      <w:pPr>
        <w:pStyle w:val="QS10"/>
        <w:rPr>
          <w:szCs w:val="20"/>
        </w:rPr>
      </w:pPr>
      <w:r w:rsidRPr="00146A1C">
        <w:rPr>
          <w:szCs w:val="20"/>
        </w:rPr>
        <w:t>7.</w:t>
      </w:r>
      <w:r w:rsidR="00C64050">
        <w:rPr>
          <w:szCs w:val="20"/>
        </w:rPr>
        <w:t xml:space="preserve"> </w:t>
      </w:r>
      <w:r w:rsidRPr="00146A1C">
        <w:rPr>
          <w:szCs w:val="20"/>
        </w:rPr>
        <w:t>Mr.</w:t>
      </w:r>
      <w:r w:rsidR="00C64050">
        <w:rPr>
          <w:szCs w:val="20"/>
        </w:rPr>
        <w:t xml:space="preserve"> </w:t>
      </w:r>
      <w:r w:rsidRPr="00146A1C">
        <w:rPr>
          <w:szCs w:val="20"/>
        </w:rPr>
        <w:t>Allen</w:t>
      </w:r>
      <w:r w:rsidR="00C64050">
        <w:rPr>
          <w:szCs w:val="20"/>
        </w:rPr>
        <w:t xml:space="preserve"> </w:t>
      </w:r>
      <w:r w:rsidRPr="00146A1C">
        <w:rPr>
          <w:szCs w:val="20"/>
        </w:rPr>
        <w:t>E.</w:t>
      </w:r>
      <w:r w:rsidR="00C64050">
        <w:rPr>
          <w:szCs w:val="20"/>
        </w:rPr>
        <w:t xml:space="preserve"> </w:t>
      </w:r>
      <w:r w:rsidRPr="00146A1C">
        <w:rPr>
          <w:szCs w:val="20"/>
        </w:rPr>
        <w:t>Paulson's</w:t>
      </w:r>
      <w:r w:rsidR="00C64050">
        <w:rPr>
          <w:szCs w:val="20"/>
        </w:rPr>
        <w:t xml:space="preserve"> </w:t>
      </w:r>
      <w:r w:rsidRPr="00146A1C">
        <w:rPr>
          <w:szCs w:val="20"/>
        </w:rPr>
        <w:t>Will</w:t>
      </w:r>
      <w:r w:rsidR="00C64050">
        <w:rPr>
          <w:szCs w:val="20"/>
        </w:rPr>
        <w:t xml:space="preserve"> </w:t>
      </w:r>
      <w:r w:rsidRPr="00146A1C">
        <w:rPr>
          <w:szCs w:val="20"/>
        </w:rPr>
        <w:t>was</w:t>
      </w:r>
      <w:r w:rsidR="00C64050">
        <w:rPr>
          <w:szCs w:val="20"/>
        </w:rPr>
        <w:t xml:space="preserve"> </w:t>
      </w:r>
      <w:r w:rsidRPr="00146A1C">
        <w:rPr>
          <w:szCs w:val="20"/>
        </w:rPr>
        <w:t>filed</w:t>
      </w:r>
      <w:r w:rsidR="00C64050">
        <w:rPr>
          <w:szCs w:val="20"/>
        </w:rPr>
        <w:t xml:space="preserve"> </w:t>
      </w:r>
      <w:r w:rsidRPr="00146A1C">
        <w:rPr>
          <w:szCs w:val="20"/>
        </w:rPr>
        <w:t>with</w:t>
      </w:r>
      <w:r w:rsidR="00C64050">
        <w:rPr>
          <w:szCs w:val="20"/>
        </w:rPr>
        <w:t xml:space="preserve"> </w:t>
      </w:r>
      <w:r w:rsidRPr="00146A1C">
        <w:rPr>
          <w:szCs w:val="20"/>
        </w:rPr>
        <w:t>the</w:t>
      </w:r>
      <w:r w:rsidR="00C64050">
        <w:rPr>
          <w:szCs w:val="20"/>
        </w:rPr>
        <w:t xml:space="preserve"> </w:t>
      </w:r>
      <w:r w:rsidRPr="00146A1C">
        <w:rPr>
          <w:szCs w:val="20"/>
        </w:rPr>
        <w:t>Probate</w:t>
      </w:r>
      <w:r w:rsidR="00C64050">
        <w:rPr>
          <w:szCs w:val="20"/>
        </w:rPr>
        <w:t xml:space="preserve"> </w:t>
      </w:r>
      <w:r w:rsidRPr="00146A1C">
        <w:rPr>
          <w:szCs w:val="20"/>
        </w:rPr>
        <w:t>Court.</w:t>
      </w:r>
      <w:r w:rsidR="00C64050">
        <w:rPr>
          <w:szCs w:val="20"/>
        </w:rPr>
        <w:t xml:space="preserve"> </w:t>
      </w:r>
      <w:r w:rsidRPr="00146A1C">
        <w:rPr>
          <w:szCs w:val="20"/>
        </w:rPr>
        <w:t>(</w:t>
      </w:r>
      <w:r w:rsidRPr="00146A1C">
        <w:rPr>
          <w:rStyle w:val="Emphasis"/>
          <w:color w:val="212121"/>
          <w:szCs w:val="20"/>
        </w:rPr>
        <w:t>Id.</w:t>
      </w:r>
      <w:r w:rsidRPr="00146A1C">
        <w:rPr>
          <w:szCs w:val="20"/>
        </w:rPr>
        <w:t>)</w:t>
      </w:r>
      <w:r w:rsidR="00C64050">
        <w:rPr>
          <w:szCs w:val="20"/>
        </w:rPr>
        <w:t xml:space="preserve"> </w:t>
      </w:r>
      <w:r w:rsidRPr="00146A1C">
        <w:rPr>
          <w:szCs w:val="20"/>
        </w:rPr>
        <w:t>Michael</w:t>
      </w:r>
      <w:r w:rsidR="00C64050">
        <w:rPr>
          <w:szCs w:val="20"/>
        </w:rPr>
        <w:t xml:space="preserve"> </w:t>
      </w:r>
      <w:r w:rsidRPr="00146A1C">
        <w:rPr>
          <w:szCs w:val="20"/>
        </w:rPr>
        <w:t>Paulson</w:t>
      </w:r>
      <w:r w:rsidR="00C64050">
        <w:rPr>
          <w:szCs w:val="20"/>
        </w:rPr>
        <w:t xml:space="preserve"> </w:t>
      </w:r>
      <w:r w:rsidRPr="00146A1C">
        <w:rPr>
          <w:szCs w:val="20"/>
        </w:rPr>
        <w:t>and</w:t>
      </w:r>
      <w:r w:rsidR="00C64050">
        <w:rPr>
          <w:szCs w:val="20"/>
        </w:rPr>
        <w:t xml:space="preserve"> </w:t>
      </w:r>
      <w:r w:rsidRPr="00146A1C">
        <w:rPr>
          <w:szCs w:val="20"/>
        </w:rPr>
        <w:t>Edward</w:t>
      </w:r>
      <w:r w:rsidR="00C64050">
        <w:rPr>
          <w:szCs w:val="20"/>
        </w:rPr>
        <w:t xml:space="preserve"> </w:t>
      </w:r>
      <w:r w:rsidRPr="00146A1C">
        <w:rPr>
          <w:szCs w:val="20"/>
        </w:rPr>
        <w:t>White</w:t>
      </w:r>
      <w:r w:rsidR="00C64050">
        <w:rPr>
          <w:szCs w:val="20"/>
        </w:rPr>
        <w:t xml:space="preserve"> </w:t>
      </w:r>
      <w:r w:rsidRPr="00146A1C">
        <w:rPr>
          <w:szCs w:val="20"/>
        </w:rPr>
        <w:t>were</w:t>
      </w:r>
      <w:r w:rsidR="00C64050">
        <w:rPr>
          <w:szCs w:val="20"/>
        </w:rPr>
        <w:t xml:space="preserve"> </w:t>
      </w:r>
      <w:r w:rsidRPr="00146A1C">
        <w:rPr>
          <w:szCs w:val="20"/>
        </w:rPr>
        <w:t>appointed</w:t>
      </w:r>
      <w:r w:rsidR="00C64050">
        <w:rPr>
          <w:szCs w:val="20"/>
        </w:rPr>
        <w:t xml:space="preserve"> </w:t>
      </w:r>
      <w:r w:rsidRPr="00146A1C">
        <w:rPr>
          <w:szCs w:val="20"/>
        </w:rPr>
        <w:t>and</w:t>
      </w:r>
      <w:r w:rsidR="00C64050">
        <w:rPr>
          <w:szCs w:val="20"/>
        </w:rPr>
        <w:t xml:space="preserve"> </w:t>
      </w:r>
      <w:r w:rsidRPr="00146A1C">
        <w:rPr>
          <w:szCs w:val="20"/>
        </w:rPr>
        <w:t>served</w:t>
      </w:r>
      <w:r w:rsidR="00C64050">
        <w:rPr>
          <w:szCs w:val="20"/>
        </w:rPr>
        <w:t xml:space="preserve"> </w:t>
      </w:r>
      <w:r w:rsidRPr="00146A1C">
        <w:rPr>
          <w:szCs w:val="20"/>
        </w:rPr>
        <w:t>as</w:t>
      </w:r>
      <w:r w:rsidR="00C64050">
        <w:rPr>
          <w:szCs w:val="20"/>
        </w:rPr>
        <w:t xml:space="preserve"> </w:t>
      </w:r>
      <w:r w:rsidRPr="00146A1C">
        <w:rPr>
          <w:szCs w:val="20"/>
        </w:rPr>
        <w:t>Co-Executors</w:t>
      </w:r>
      <w:r w:rsidR="00C64050">
        <w:rPr>
          <w:szCs w:val="20"/>
        </w:rPr>
        <w:t xml:space="preserve"> </w:t>
      </w:r>
      <w:r w:rsidRPr="00146A1C">
        <w:rPr>
          <w:szCs w:val="20"/>
        </w:rPr>
        <w:t>of</w:t>
      </w:r>
      <w:r w:rsidR="00C64050">
        <w:rPr>
          <w:szCs w:val="20"/>
        </w:rPr>
        <w:t xml:space="preserve"> </w:t>
      </w:r>
      <w:r w:rsidRPr="00146A1C">
        <w:rPr>
          <w:szCs w:val="20"/>
        </w:rPr>
        <w:t>the</w:t>
      </w:r>
      <w:r w:rsidR="00C64050">
        <w:rPr>
          <w:szCs w:val="20"/>
        </w:rPr>
        <w:t xml:space="preserve"> </w:t>
      </w:r>
      <w:r w:rsidRPr="00146A1C">
        <w:rPr>
          <w:szCs w:val="20"/>
        </w:rPr>
        <w:t>Estate</w:t>
      </w:r>
      <w:r w:rsidR="00C64050">
        <w:rPr>
          <w:szCs w:val="20"/>
        </w:rPr>
        <w:t xml:space="preserve"> </w:t>
      </w:r>
      <w:r w:rsidRPr="00146A1C">
        <w:rPr>
          <w:szCs w:val="20"/>
        </w:rPr>
        <w:t>until</w:t>
      </w:r>
      <w:r w:rsidR="00C64050">
        <w:rPr>
          <w:szCs w:val="20"/>
        </w:rPr>
        <w:t xml:space="preserve"> </w:t>
      </w:r>
      <w:r w:rsidRPr="00146A1C">
        <w:rPr>
          <w:szCs w:val="20"/>
        </w:rPr>
        <w:t>Edward</w:t>
      </w:r>
      <w:r w:rsidR="00C64050">
        <w:rPr>
          <w:szCs w:val="20"/>
        </w:rPr>
        <w:t xml:space="preserve"> </w:t>
      </w:r>
      <w:r w:rsidRPr="00146A1C">
        <w:rPr>
          <w:szCs w:val="20"/>
        </w:rPr>
        <w:t>White's</w:t>
      </w:r>
      <w:r w:rsidR="00C64050">
        <w:rPr>
          <w:szCs w:val="20"/>
        </w:rPr>
        <w:t xml:space="preserve"> </w:t>
      </w:r>
      <w:r w:rsidRPr="00146A1C">
        <w:rPr>
          <w:szCs w:val="20"/>
        </w:rPr>
        <w:t>resignation</w:t>
      </w:r>
      <w:r w:rsidR="00C64050">
        <w:rPr>
          <w:szCs w:val="20"/>
        </w:rPr>
        <w:t xml:space="preserve"> </w:t>
      </w:r>
      <w:r w:rsidRPr="00146A1C">
        <w:rPr>
          <w:szCs w:val="20"/>
        </w:rPr>
        <w:t>effective</w:t>
      </w:r>
      <w:r w:rsidR="00C64050">
        <w:rPr>
          <w:szCs w:val="20"/>
        </w:rPr>
        <w:t xml:space="preserve"> </w:t>
      </w:r>
      <w:r w:rsidRPr="00146A1C">
        <w:rPr>
          <w:szCs w:val="20"/>
        </w:rPr>
        <w:t>October</w:t>
      </w:r>
      <w:r w:rsidR="00C64050">
        <w:rPr>
          <w:szCs w:val="20"/>
        </w:rPr>
        <w:t xml:space="preserve"> </w:t>
      </w:r>
      <w:r w:rsidRPr="00146A1C">
        <w:rPr>
          <w:szCs w:val="20"/>
        </w:rPr>
        <w:t>8,</w:t>
      </w:r>
      <w:r w:rsidR="00C64050">
        <w:rPr>
          <w:szCs w:val="20"/>
        </w:rPr>
        <w:t xml:space="preserve"> </w:t>
      </w:r>
      <w:r w:rsidRPr="00146A1C">
        <w:rPr>
          <w:szCs w:val="20"/>
        </w:rPr>
        <w:t>2001.</w:t>
      </w:r>
      <w:r w:rsidR="00C64050">
        <w:rPr>
          <w:szCs w:val="20"/>
        </w:rPr>
        <w:t xml:space="preserve"> </w:t>
      </w:r>
      <w:r w:rsidRPr="00146A1C">
        <w:rPr>
          <w:szCs w:val="20"/>
        </w:rPr>
        <w:t>(</w:t>
      </w:r>
      <w:r w:rsidRPr="00146A1C">
        <w:rPr>
          <w:rStyle w:val="Emphasis"/>
          <w:color w:val="212121"/>
          <w:szCs w:val="20"/>
        </w:rPr>
        <w:t>Id.</w:t>
      </w:r>
      <w:r w:rsidRPr="00146A1C">
        <w:rPr>
          <w:szCs w:val="20"/>
        </w:rPr>
        <w:t>)</w:t>
      </w:r>
      <w:r w:rsidR="00C64050">
        <w:rPr>
          <w:szCs w:val="20"/>
        </w:rPr>
        <w:t xml:space="preserve"> </w:t>
      </w:r>
      <w:r w:rsidRPr="00146A1C">
        <w:rPr>
          <w:szCs w:val="20"/>
        </w:rPr>
        <w:t>Thereafter,</w:t>
      </w:r>
      <w:r w:rsidR="00C64050">
        <w:rPr>
          <w:szCs w:val="20"/>
        </w:rPr>
        <w:t xml:space="preserve"> </w:t>
      </w:r>
      <w:r w:rsidRPr="00146A1C">
        <w:rPr>
          <w:szCs w:val="20"/>
        </w:rPr>
        <w:t>Michael</w:t>
      </w:r>
      <w:r w:rsidR="00C64050">
        <w:rPr>
          <w:szCs w:val="20"/>
        </w:rPr>
        <w:t xml:space="preserve"> </w:t>
      </w:r>
      <w:r w:rsidRPr="00146A1C">
        <w:rPr>
          <w:szCs w:val="20"/>
        </w:rPr>
        <w:t>Paulson</w:t>
      </w:r>
      <w:r w:rsidR="00C64050">
        <w:rPr>
          <w:szCs w:val="20"/>
        </w:rPr>
        <w:t xml:space="preserve"> </w:t>
      </w:r>
      <w:r w:rsidRPr="00146A1C">
        <w:rPr>
          <w:szCs w:val="20"/>
        </w:rPr>
        <w:t>served</w:t>
      </w:r>
      <w:r w:rsidR="00C64050">
        <w:rPr>
          <w:szCs w:val="20"/>
        </w:rPr>
        <w:t xml:space="preserve"> </w:t>
      </w:r>
      <w:r w:rsidRPr="00146A1C">
        <w:rPr>
          <w:szCs w:val="20"/>
        </w:rPr>
        <w:t>as</w:t>
      </w:r>
      <w:r w:rsidR="00C64050">
        <w:rPr>
          <w:szCs w:val="20"/>
        </w:rPr>
        <w:t xml:space="preserve"> </w:t>
      </w:r>
      <w:r w:rsidRPr="00146A1C">
        <w:rPr>
          <w:szCs w:val="20"/>
        </w:rPr>
        <w:t>a</w:t>
      </w:r>
      <w:r w:rsidR="00C64050">
        <w:rPr>
          <w:szCs w:val="20"/>
        </w:rPr>
        <w:t xml:space="preserve"> </w:t>
      </w:r>
      <w:r w:rsidRPr="00146A1C">
        <w:rPr>
          <w:szCs w:val="20"/>
        </w:rPr>
        <w:t>court</w:t>
      </w:r>
      <w:r w:rsidR="00C64050">
        <w:rPr>
          <w:szCs w:val="20"/>
        </w:rPr>
        <w:t xml:space="preserve"> </w:t>
      </w:r>
      <w:r w:rsidRPr="00146A1C">
        <w:rPr>
          <w:szCs w:val="20"/>
        </w:rPr>
        <w:t>appointed</w:t>
      </w:r>
      <w:r w:rsidR="00C64050">
        <w:rPr>
          <w:szCs w:val="20"/>
        </w:rPr>
        <w:t xml:space="preserve"> </w:t>
      </w:r>
      <w:r w:rsidRPr="00146A1C">
        <w:rPr>
          <w:szCs w:val="20"/>
        </w:rPr>
        <w:t>Executor</w:t>
      </w:r>
      <w:r w:rsidR="00C64050">
        <w:rPr>
          <w:szCs w:val="20"/>
        </w:rPr>
        <w:t xml:space="preserve"> </w:t>
      </w:r>
      <w:r w:rsidRPr="00146A1C">
        <w:rPr>
          <w:szCs w:val="20"/>
        </w:rPr>
        <w:t>until</w:t>
      </w:r>
      <w:r w:rsidR="00C64050">
        <w:rPr>
          <w:szCs w:val="20"/>
        </w:rPr>
        <w:t xml:space="preserve"> </w:t>
      </w:r>
      <w:r w:rsidRPr="00146A1C">
        <w:rPr>
          <w:szCs w:val="20"/>
        </w:rPr>
        <w:t>January</w:t>
      </w:r>
      <w:r w:rsidR="00C64050">
        <w:rPr>
          <w:szCs w:val="20"/>
        </w:rPr>
        <w:t xml:space="preserve"> </w:t>
      </w:r>
      <w:r w:rsidRPr="00146A1C">
        <w:rPr>
          <w:szCs w:val="20"/>
        </w:rPr>
        <w:t>15,</w:t>
      </w:r>
      <w:r w:rsidR="00C64050">
        <w:rPr>
          <w:szCs w:val="20"/>
        </w:rPr>
        <w:t xml:space="preserve"> </w:t>
      </w:r>
      <w:r w:rsidRPr="00146A1C">
        <w:rPr>
          <w:szCs w:val="20"/>
        </w:rPr>
        <w:t>2013</w:t>
      </w:r>
      <w:r w:rsidR="00C64050">
        <w:rPr>
          <w:szCs w:val="20"/>
        </w:rPr>
        <w:t xml:space="preserve"> </w:t>
      </w:r>
      <w:r w:rsidRPr="00146A1C">
        <w:rPr>
          <w:szCs w:val="20"/>
        </w:rPr>
        <w:t>and</w:t>
      </w:r>
      <w:r w:rsidR="00C64050">
        <w:rPr>
          <w:szCs w:val="20"/>
        </w:rPr>
        <w:t xml:space="preserve"> </w:t>
      </w:r>
      <w:r w:rsidRPr="00146A1C">
        <w:rPr>
          <w:szCs w:val="20"/>
        </w:rPr>
        <w:t>ceased</w:t>
      </w:r>
      <w:r w:rsidR="00C64050">
        <w:rPr>
          <w:szCs w:val="20"/>
        </w:rPr>
        <w:t xml:space="preserve"> </w:t>
      </w:r>
      <w:r w:rsidRPr="00146A1C">
        <w:rPr>
          <w:szCs w:val="20"/>
        </w:rPr>
        <w:t>performing</w:t>
      </w:r>
      <w:r w:rsidR="00C64050">
        <w:rPr>
          <w:szCs w:val="20"/>
        </w:rPr>
        <w:t xml:space="preserve"> </w:t>
      </w:r>
      <w:r w:rsidRPr="00146A1C">
        <w:rPr>
          <w:szCs w:val="20"/>
        </w:rPr>
        <w:t>those</w:t>
      </w:r>
      <w:r w:rsidR="00C64050">
        <w:rPr>
          <w:szCs w:val="20"/>
        </w:rPr>
        <w:t xml:space="preserve"> </w:t>
      </w:r>
      <w:r w:rsidRPr="00146A1C">
        <w:rPr>
          <w:szCs w:val="20"/>
        </w:rPr>
        <w:t>duties</w:t>
      </w:r>
      <w:r w:rsidR="00C64050">
        <w:rPr>
          <w:szCs w:val="20"/>
        </w:rPr>
        <w:t xml:space="preserve"> </w:t>
      </w:r>
      <w:r w:rsidRPr="00146A1C">
        <w:rPr>
          <w:szCs w:val="20"/>
        </w:rPr>
        <w:t>as</w:t>
      </w:r>
      <w:r w:rsidR="00C64050">
        <w:rPr>
          <w:szCs w:val="20"/>
        </w:rPr>
        <w:t xml:space="preserve"> </w:t>
      </w:r>
      <w:r w:rsidRPr="00146A1C">
        <w:rPr>
          <w:szCs w:val="20"/>
        </w:rPr>
        <w:t>part</w:t>
      </w:r>
      <w:r w:rsidR="00C64050">
        <w:rPr>
          <w:szCs w:val="20"/>
        </w:rPr>
        <w:t xml:space="preserve"> </w:t>
      </w:r>
      <w:r w:rsidRPr="00146A1C">
        <w:rPr>
          <w:szCs w:val="20"/>
        </w:rPr>
        <w:t>of</w:t>
      </w:r>
      <w:r w:rsidR="00C64050">
        <w:rPr>
          <w:szCs w:val="20"/>
        </w:rPr>
        <w:t xml:space="preserve"> </w:t>
      </w:r>
      <w:r w:rsidRPr="00146A1C">
        <w:rPr>
          <w:szCs w:val="20"/>
        </w:rPr>
        <w:t>the</w:t>
      </w:r>
      <w:r w:rsidR="00C64050">
        <w:rPr>
          <w:szCs w:val="20"/>
        </w:rPr>
        <w:t xml:space="preserve"> </w:t>
      </w:r>
      <w:r w:rsidRPr="00146A1C">
        <w:rPr>
          <w:szCs w:val="20"/>
        </w:rPr>
        <w:t>2013</w:t>
      </w:r>
      <w:r w:rsidR="00C64050">
        <w:rPr>
          <w:szCs w:val="20"/>
        </w:rPr>
        <w:t xml:space="preserve"> </w:t>
      </w:r>
      <w:r w:rsidRPr="00146A1C">
        <w:rPr>
          <w:szCs w:val="20"/>
        </w:rPr>
        <w:t>Settlement</w:t>
      </w:r>
      <w:r w:rsidR="00C64050">
        <w:rPr>
          <w:szCs w:val="20"/>
        </w:rPr>
        <w:t xml:space="preserve"> </w:t>
      </w:r>
      <w:r w:rsidRPr="00146A1C">
        <w:rPr>
          <w:szCs w:val="20"/>
        </w:rPr>
        <w:t>Agreement</w:t>
      </w:r>
      <w:r w:rsidR="00C64050">
        <w:rPr>
          <w:szCs w:val="20"/>
        </w:rPr>
        <w:t xml:space="preserve"> </w:t>
      </w:r>
      <w:r w:rsidRPr="00146A1C">
        <w:rPr>
          <w:szCs w:val="20"/>
        </w:rPr>
        <w:t>with</w:t>
      </w:r>
      <w:r w:rsidR="00C64050">
        <w:rPr>
          <w:szCs w:val="20"/>
        </w:rPr>
        <w:t xml:space="preserve"> </w:t>
      </w:r>
      <w:r w:rsidRPr="00146A1C">
        <w:rPr>
          <w:szCs w:val="20"/>
        </w:rPr>
        <w:t>the</w:t>
      </w:r>
      <w:r w:rsidR="00C64050">
        <w:rPr>
          <w:szCs w:val="20"/>
        </w:rPr>
        <w:t xml:space="preserve"> </w:t>
      </w:r>
      <w:r w:rsidRPr="00146A1C">
        <w:rPr>
          <w:szCs w:val="20"/>
        </w:rPr>
        <w:t>Co-Trustees.</w:t>
      </w:r>
      <w:r w:rsidR="00C64050">
        <w:rPr>
          <w:szCs w:val="20"/>
        </w:rPr>
        <w:t xml:space="preserve"> </w:t>
      </w:r>
      <w:r w:rsidRPr="00146A1C">
        <w:rPr>
          <w:szCs w:val="20"/>
        </w:rPr>
        <w:t>(</w:t>
      </w:r>
      <w:r w:rsidRPr="00146A1C">
        <w:rPr>
          <w:rStyle w:val="Emphasis"/>
          <w:color w:val="212121"/>
          <w:szCs w:val="20"/>
        </w:rPr>
        <w:t>Id.</w:t>
      </w:r>
      <w:r w:rsidRPr="00146A1C">
        <w:rPr>
          <w:szCs w:val="20"/>
        </w:rPr>
        <w:t>)</w:t>
      </w:r>
      <w:r w:rsidR="00C64050">
        <w:rPr>
          <w:szCs w:val="20"/>
        </w:rPr>
        <w:t xml:space="preserve"> </w:t>
      </w:r>
      <w:r w:rsidRPr="00146A1C">
        <w:rPr>
          <w:szCs w:val="20"/>
        </w:rPr>
        <w:t>The</w:t>
      </w:r>
      <w:r w:rsidR="00C64050">
        <w:rPr>
          <w:szCs w:val="20"/>
        </w:rPr>
        <w:t xml:space="preserve"> </w:t>
      </w:r>
      <w:r w:rsidRPr="00146A1C">
        <w:rPr>
          <w:szCs w:val="20"/>
        </w:rPr>
        <w:t>Court</w:t>
      </w:r>
      <w:r w:rsidR="00C64050">
        <w:rPr>
          <w:szCs w:val="20"/>
        </w:rPr>
        <w:t xml:space="preserve"> </w:t>
      </w:r>
      <w:r w:rsidRPr="00146A1C">
        <w:rPr>
          <w:szCs w:val="20"/>
        </w:rPr>
        <w:t>determined</w:t>
      </w:r>
      <w:r w:rsidR="00C64050">
        <w:rPr>
          <w:szCs w:val="20"/>
        </w:rPr>
        <w:t xml:space="preserve"> </w:t>
      </w:r>
      <w:r w:rsidRPr="00146A1C">
        <w:rPr>
          <w:szCs w:val="20"/>
        </w:rPr>
        <w:t>that</w:t>
      </w:r>
      <w:r w:rsidR="00C64050">
        <w:rPr>
          <w:szCs w:val="20"/>
        </w:rPr>
        <w:t xml:space="preserve"> </w:t>
      </w:r>
      <w:r w:rsidRPr="00146A1C">
        <w:rPr>
          <w:szCs w:val="20"/>
        </w:rPr>
        <w:t>because</w:t>
      </w:r>
      <w:r w:rsidR="00C64050">
        <w:rPr>
          <w:szCs w:val="20"/>
        </w:rPr>
        <w:t xml:space="preserve"> </w:t>
      </w:r>
      <w:r w:rsidRPr="00146A1C">
        <w:rPr>
          <w:szCs w:val="20"/>
        </w:rPr>
        <w:t>there</w:t>
      </w:r>
      <w:r w:rsidR="00C64050">
        <w:rPr>
          <w:szCs w:val="20"/>
        </w:rPr>
        <w:t xml:space="preserve"> </w:t>
      </w:r>
      <w:r w:rsidRPr="00146A1C">
        <w:rPr>
          <w:szCs w:val="20"/>
        </w:rPr>
        <w:t>was</w:t>
      </w:r>
      <w:r w:rsidR="00C64050">
        <w:rPr>
          <w:szCs w:val="20"/>
        </w:rPr>
        <w:t xml:space="preserve"> </w:t>
      </w:r>
      <w:r w:rsidRPr="00146A1C">
        <w:rPr>
          <w:szCs w:val="20"/>
        </w:rPr>
        <w:t>no</w:t>
      </w:r>
      <w:r w:rsidR="00C64050">
        <w:rPr>
          <w:szCs w:val="20"/>
        </w:rPr>
        <w:t xml:space="preserve"> </w:t>
      </w:r>
      <w:r w:rsidRPr="00146A1C">
        <w:rPr>
          <w:szCs w:val="20"/>
        </w:rPr>
        <w:t>executor</w:t>
      </w:r>
      <w:r w:rsidR="00C64050">
        <w:rPr>
          <w:szCs w:val="20"/>
        </w:rPr>
        <w:t xml:space="preserve"> </w:t>
      </w:r>
      <w:r w:rsidRPr="00146A1C">
        <w:rPr>
          <w:szCs w:val="20"/>
        </w:rPr>
        <w:t>appointed</w:t>
      </w:r>
      <w:r w:rsidR="00C64050">
        <w:rPr>
          <w:szCs w:val="20"/>
        </w:rPr>
        <w:t xml:space="preserve"> </w:t>
      </w:r>
      <w:r w:rsidRPr="00146A1C">
        <w:rPr>
          <w:szCs w:val="20"/>
        </w:rPr>
        <w:t>by</w:t>
      </w:r>
      <w:r w:rsidR="00C64050">
        <w:rPr>
          <w:szCs w:val="20"/>
        </w:rPr>
        <w:t xml:space="preserve"> </w:t>
      </w:r>
      <w:r w:rsidRPr="00146A1C">
        <w:rPr>
          <w:szCs w:val="20"/>
        </w:rPr>
        <w:t>the</w:t>
      </w:r>
      <w:r w:rsidR="00C64050">
        <w:rPr>
          <w:szCs w:val="20"/>
        </w:rPr>
        <w:t xml:space="preserve"> </w:t>
      </w:r>
      <w:r w:rsidRPr="00146A1C">
        <w:rPr>
          <w:szCs w:val="20"/>
        </w:rPr>
        <w:t>probate</w:t>
      </w:r>
      <w:r w:rsidR="00C64050">
        <w:rPr>
          <w:szCs w:val="20"/>
        </w:rPr>
        <w:t xml:space="preserve"> </w:t>
      </w:r>
      <w:r w:rsidRPr="00146A1C">
        <w:rPr>
          <w:szCs w:val="20"/>
        </w:rPr>
        <w:t>court</w:t>
      </w:r>
      <w:r w:rsidR="00C64050">
        <w:rPr>
          <w:szCs w:val="20"/>
        </w:rPr>
        <w:t xml:space="preserve"> </w:t>
      </w:r>
      <w:r w:rsidRPr="00146A1C">
        <w:rPr>
          <w:szCs w:val="20"/>
        </w:rPr>
        <w:t>after</w:t>
      </w:r>
      <w:r w:rsidR="00C64050">
        <w:rPr>
          <w:szCs w:val="20"/>
        </w:rPr>
        <w:t xml:space="preserve"> </w:t>
      </w:r>
      <w:r w:rsidRPr="00146A1C">
        <w:rPr>
          <w:szCs w:val="20"/>
        </w:rPr>
        <w:t>Michael</w:t>
      </w:r>
      <w:r w:rsidR="00C64050">
        <w:rPr>
          <w:szCs w:val="20"/>
        </w:rPr>
        <w:t xml:space="preserve"> </w:t>
      </w:r>
      <w:r w:rsidRPr="00146A1C">
        <w:rPr>
          <w:szCs w:val="20"/>
        </w:rPr>
        <w:t>Paulson's</w:t>
      </w:r>
      <w:r w:rsidR="00C64050">
        <w:rPr>
          <w:szCs w:val="20"/>
        </w:rPr>
        <w:t xml:space="preserve"> </w:t>
      </w:r>
      <w:r w:rsidRPr="00146A1C">
        <w:rPr>
          <w:szCs w:val="20"/>
        </w:rPr>
        <w:t>attempted</w:t>
      </w:r>
      <w:r w:rsidR="00C64050">
        <w:rPr>
          <w:szCs w:val="20"/>
        </w:rPr>
        <w:t xml:space="preserve"> </w:t>
      </w:r>
      <w:r w:rsidRPr="00146A1C">
        <w:rPr>
          <w:szCs w:val="20"/>
        </w:rPr>
        <w:t>resignation</w:t>
      </w:r>
      <w:r w:rsidR="00C64050">
        <w:rPr>
          <w:szCs w:val="20"/>
        </w:rPr>
        <w:t xml:space="preserve"> </w:t>
      </w:r>
      <w:r w:rsidRPr="00146A1C">
        <w:rPr>
          <w:szCs w:val="20"/>
        </w:rPr>
        <w:t>in</w:t>
      </w:r>
      <w:r w:rsidR="00C64050">
        <w:rPr>
          <w:szCs w:val="20"/>
        </w:rPr>
        <w:t xml:space="preserve"> </w:t>
      </w:r>
      <w:r w:rsidRPr="00146A1C">
        <w:rPr>
          <w:szCs w:val="20"/>
        </w:rPr>
        <w:t>2013,</w:t>
      </w:r>
      <w:r w:rsidR="00C64050">
        <w:rPr>
          <w:szCs w:val="20"/>
        </w:rPr>
        <w:t xml:space="preserve"> </w:t>
      </w:r>
      <w:r w:rsidRPr="00146A1C">
        <w:rPr>
          <w:szCs w:val="20"/>
        </w:rPr>
        <w:t>Michael</w:t>
      </w:r>
      <w:r w:rsidR="00C64050">
        <w:rPr>
          <w:szCs w:val="20"/>
        </w:rPr>
        <w:t xml:space="preserve"> </w:t>
      </w:r>
      <w:r w:rsidRPr="00146A1C">
        <w:rPr>
          <w:szCs w:val="20"/>
        </w:rPr>
        <w:t>Paulson</w:t>
      </w:r>
      <w:r w:rsidR="00C64050">
        <w:rPr>
          <w:szCs w:val="20"/>
        </w:rPr>
        <w:t xml:space="preserve"> </w:t>
      </w:r>
      <w:r w:rsidRPr="00146A1C">
        <w:rPr>
          <w:szCs w:val="20"/>
        </w:rPr>
        <w:t>is</w:t>
      </w:r>
      <w:r w:rsidR="00C64050">
        <w:rPr>
          <w:szCs w:val="20"/>
        </w:rPr>
        <w:t xml:space="preserve"> </w:t>
      </w:r>
      <w:r w:rsidRPr="00146A1C">
        <w:rPr>
          <w:szCs w:val="20"/>
        </w:rPr>
        <w:t>still</w:t>
      </w:r>
      <w:r w:rsidR="00C64050">
        <w:rPr>
          <w:szCs w:val="20"/>
        </w:rPr>
        <w:t xml:space="preserve"> </w:t>
      </w:r>
      <w:r w:rsidRPr="00146A1C">
        <w:rPr>
          <w:szCs w:val="20"/>
        </w:rPr>
        <w:t>the</w:t>
      </w:r>
      <w:r w:rsidR="00C64050">
        <w:rPr>
          <w:szCs w:val="20"/>
        </w:rPr>
        <w:t xml:space="preserve"> </w:t>
      </w:r>
      <w:r w:rsidRPr="00146A1C">
        <w:rPr>
          <w:szCs w:val="20"/>
        </w:rPr>
        <w:t>statutory</w:t>
      </w:r>
      <w:r w:rsidR="00C64050">
        <w:rPr>
          <w:szCs w:val="20"/>
        </w:rPr>
        <w:t xml:space="preserve"> </w:t>
      </w:r>
      <w:r w:rsidRPr="00146A1C">
        <w:rPr>
          <w:szCs w:val="20"/>
        </w:rPr>
        <w:t>executor,</w:t>
      </w:r>
      <w:r w:rsidR="00C64050">
        <w:rPr>
          <w:szCs w:val="20"/>
        </w:rPr>
        <w:t xml:space="preserve"> </w:t>
      </w:r>
      <w:r w:rsidRPr="00146A1C">
        <w:rPr>
          <w:szCs w:val="20"/>
        </w:rPr>
        <w:t>but</w:t>
      </w:r>
      <w:r w:rsidR="00C64050">
        <w:rPr>
          <w:szCs w:val="20"/>
        </w:rPr>
        <w:t xml:space="preserve"> </w:t>
      </w:r>
      <w:r w:rsidRPr="00146A1C">
        <w:rPr>
          <w:szCs w:val="20"/>
        </w:rPr>
        <w:t>not</w:t>
      </w:r>
      <w:r w:rsidR="00C64050">
        <w:rPr>
          <w:szCs w:val="20"/>
        </w:rPr>
        <w:t xml:space="preserve"> </w:t>
      </w:r>
      <w:r w:rsidRPr="00146A1C">
        <w:rPr>
          <w:szCs w:val="20"/>
        </w:rPr>
        <w:t>personally</w:t>
      </w:r>
      <w:r w:rsidR="00C64050">
        <w:rPr>
          <w:szCs w:val="20"/>
        </w:rPr>
        <w:t xml:space="preserve"> </w:t>
      </w:r>
      <w:r w:rsidRPr="00146A1C">
        <w:rPr>
          <w:szCs w:val="20"/>
        </w:rPr>
        <w:t>liable</w:t>
      </w:r>
      <w:r w:rsidR="00C64050">
        <w:rPr>
          <w:szCs w:val="20"/>
        </w:rPr>
        <w:t xml:space="preserve"> </w:t>
      </w:r>
      <w:r w:rsidRPr="00146A1C">
        <w:rPr>
          <w:szCs w:val="20"/>
        </w:rPr>
        <w:t>for</w:t>
      </w:r>
      <w:r w:rsidR="00C64050">
        <w:rPr>
          <w:szCs w:val="20"/>
        </w:rPr>
        <w:t xml:space="preserve"> </w:t>
      </w:r>
      <w:r w:rsidRPr="00146A1C">
        <w:rPr>
          <w:szCs w:val="20"/>
        </w:rPr>
        <w:t>any</w:t>
      </w:r>
      <w:r w:rsidR="00C64050">
        <w:rPr>
          <w:szCs w:val="20"/>
        </w:rPr>
        <w:t xml:space="preserve"> </w:t>
      </w:r>
      <w:r w:rsidRPr="00146A1C">
        <w:rPr>
          <w:szCs w:val="20"/>
        </w:rPr>
        <w:t>estate</w:t>
      </w:r>
      <w:r w:rsidR="00C64050">
        <w:rPr>
          <w:szCs w:val="20"/>
        </w:rPr>
        <w:t xml:space="preserve"> </w:t>
      </w:r>
      <w:r w:rsidRPr="00146A1C">
        <w:rPr>
          <w:szCs w:val="20"/>
        </w:rPr>
        <w:t>tax</w:t>
      </w:r>
      <w:r w:rsidR="00C64050">
        <w:rPr>
          <w:szCs w:val="20"/>
        </w:rPr>
        <w:t xml:space="preserve"> </w:t>
      </w:r>
      <w:r w:rsidRPr="00146A1C">
        <w:rPr>
          <w:szCs w:val="20"/>
        </w:rPr>
        <w:t>in</w:t>
      </w:r>
      <w:r w:rsidR="00C64050">
        <w:rPr>
          <w:szCs w:val="20"/>
        </w:rPr>
        <w:t xml:space="preserve"> </w:t>
      </w:r>
      <w:r w:rsidRPr="00146A1C">
        <w:rPr>
          <w:szCs w:val="20"/>
        </w:rPr>
        <w:t>that</w:t>
      </w:r>
      <w:r w:rsidR="00C64050">
        <w:rPr>
          <w:szCs w:val="20"/>
        </w:rPr>
        <w:t xml:space="preserve"> </w:t>
      </w:r>
      <w:r w:rsidRPr="00146A1C">
        <w:rPr>
          <w:szCs w:val="20"/>
        </w:rPr>
        <w:t>capacity.</w:t>
      </w:r>
      <w:r w:rsidR="00C64050">
        <w:rPr>
          <w:szCs w:val="20"/>
        </w:rPr>
        <w:t xml:space="preserve"> </w:t>
      </w:r>
      <w:r w:rsidRPr="00146A1C">
        <w:rPr>
          <w:szCs w:val="20"/>
        </w:rPr>
        <w:t>(</w:t>
      </w:r>
      <w:r w:rsidRPr="00146A1C">
        <w:rPr>
          <w:rStyle w:val="Emphasis"/>
          <w:color w:val="212121"/>
          <w:szCs w:val="20"/>
        </w:rPr>
        <w:t>Id.</w:t>
      </w:r>
      <w:r w:rsidR="00C64050">
        <w:rPr>
          <w:szCs w:val="20"/>
        </w:rPr>
        <w:t xml:space="preserve"> </w:t>
      </w:r>
      <w:r w:rsidRPr="00146A1C">
        <w:rPr>
          <w:szCs w:val="20"/>
        </w:rPr>
        <w:t>at</w:t>
      </w:r>
      <w:r w:rsidR="00C64050">
        <w:rPr>
          <w:szCs w:val="20"/>
        </w:rPr>
        <w:t xml:space="preserve"> </w:t>
      </w:r>
      <w:r w:rsidRPr="00146A1C">
        <w:rPr>
          <w:szCs w:val="20"/>
        </w:rPr>
        <w:t>3–4.)</w:t>
      </w:r>
    </w:p>
    <w:p w:rsidR="006608A4" w:rsidRPr="00146A1C" w:rsidRDefault="006608A4" w:rsidP="00146A1C">
      <w:pPr>
        <w:pStyle w:val="QS10"/>
        <w:rPr>
          <w:szCs w:val="20"/>
        </w:rPr>
      </w:pPr>
      <w:r w:rsidRPr="00146A1C">
        <w:rPr>
          <w:szCs w:val="20"/>
        </w:rPr>
        <w:t>8.</w:t>
      </w:r>
      <w:r w:rsidR="00C64050">
        <w:rPr>
          <w:szCs w:val="20"/>
        </w:rPr>
        <w:t xml:space="preserve"> </w:t>
      </w:r>
      <w:r w:rsidRPr="00146A1C">
        <w:rPr>
          <w:szCs w:val="20"/>
        </w:rPr>
        <w:t>At</w:t>
      </w:r>
      <w:r w:rsidR="00C64050">
        <w:rPr>
          <w:szCs w:val="20"/>
        </w:rPr>
        <w:t xml:space="preserve"> </w:t>
      </w:r>
      <w:r w:rsidRPr="00146A1C">
        <w:rPr>
          <w:szCs w:val="20"/>
        </w:rPr>
        <w:t>the</w:t>
      </w:r>
      <w:r w:rsidR="00C64050">
        <w:rPr>
          <w:szCs w:val="20"/>
        </w:rPr>
        <w:t xml:space="preserve"> </w:t>
      </w:r>
      <w:r w:rsidRPr="00146A1C">
        <w:rPr>
          <w:szCs w:val="20"/>
        </w:rPr>
        <w:t>time</w:t>
      </w:r>
      <w:r w:rsidR="00C64050">
        <w:rPr>
          <w:szCs w:val="20"/>
        </w:rPr>
        <w:t xml:space="preserve"> </w:t>
      </w:r>
      <w:r w:rsidRPr="00146A1C">
        <w:rPr>
          <w:szCs w:val="20"/>
        </w:rPr>
        <w:t>of</w:t>
      </w:r>
      <w:r w:rsidR="00C64050">
        <w:rPr>
          <w:szCs w:val="20"/>
        </w:rPr>
        <w:t xml:space="preserve"> </w:t>
      </w:r>
      <w:r w:rsidRPr="00146A1C">
        <w:rPr>
          <w:szCs w:val="20"/>
        </w:rPr>
        <w:t>Mr.</w:t>
      </w:r>
      <w:r w:rsidR="00C64050">
        <w:rPr>
          <w:szCs w:val="20"/>
        </w:rPr>
        <w:t xml:space="preserve"> </w:t>
      </w:r>
      <w:r w:rsidRPr="00146A1C">
        <w:rPr>
          <w:szCs w:val="20"/>
        </w:rPr>
        <w:t>Allen</w:t>
      </w:r>
      <w:r w:rsidR="00C64050">
        <w:rPr>
          <w:szCs w:val="20"/>
        </w:rPr>
        <w:t xml:space="preserve"> </w:t>
      </w:r>
      <w:r w:rsidRPr="00146A1C">
        <w:rPr>
          <w:szCs w:val="20"/>
        </w:rPr>
        <w:t>E.</w:t>
      </w:r>
      <w:r w:rsidR="00C64050">
        <w:rPr>
          <w:szCs w:val="20"/>
        </w:rPr>
        <w:t xml:space="preserve"> </w:t>
      </w:r>
      <w:r w:rsidRPr="00146A1C">
        <w:rPr>
          <w:szCs w:val="20"/>
        </w:rPr>
        <w:t>Paulson's</w:t>
      </w:r>
      <w:r w:rsidR="00C64050">
        <w:rPr>
          <w:szCs w:val="20"/>
        </w:rPr>
        <w:t xml:space="preserve"> </w:t>
      </w:r>
      <w:r w:rsidRPr="00146A1C">
        <w:rPr>
          <w:szCs w:val="20"/>
        </w:rPr>
        <w:t>death,</w:t>
      </w:r>
      <w:r w:rsidR="00C64050">
        <w:rPr>
          <w:szCs w:val="20"/>
        </w:rPr>
        <w:t xml:space="preserve"> </w:t>
      </w:r>
      <w:r w:rsidRPr="00146A1C">
        <w:rPr>
          <w:szCs w:val="20"/>
        </w:rPr>
        <w:t>the</w:t>
      </w:r>
      <w:r w:rsidR="00C64050">
        <w:rPr>
          <w:szCs w:val="20"/>
        </w:rPr>
        <w:t xml:space="preserve"> </w:t>
      </w:r>
      <w:r w:rsidRPr="00146A1C">
        <w:rPr>
          <w:szCs w:val="20"/>
        </w:rPr>
        <w:t>Living</w:t>
      </w:r>
      <w:r w:rsidR="00C64050">
        <w:rPr>
          <w:szCs w:val="20"/>
        </w:rPr>
        <w:t xml:space="preserve"> </w:t>
      </w:r>
      <w:r w:rsidRPr="00146A1C">
        <w:rPr>
          <w:szCs w:val="20"/>
        </w:rPr>
        <w:t>Trust</w:t>
      </w:r>
      <w:r w:rsidR="00C64050">
        <w:rPr>
          <w:szCs w:val="20"/>
        </w:rPr>
        <w:t xml:space="preserve"> </w:t>
      </w:r>
      <w:r w:rsidRPr="00146A1C">
        <w:rPr>
          <w:szCs w:val="20"/>
        </w:rPr>
        <w:t>held</w:t>
      </w:r>
      <w:r w:rsidR="00C64050">
        <w:rPr>
          <w:szCs w:val="20"/>
        </w:rPr>
        <w:t xml:space="preserve"> </w:t>
      </w:r>
      <w:r w:rsidRPr="00146A1C">
        <w:rPr>
          <w:szCs w:val="20"/>
        </w:rPr>
        <w:t>all</w:t>
      </w:r>
      <w:r w:rsidR="00C64050">
        <w:rPr>
          <w:szCs w:val="20"/>
        </w:rPr>
        <w:t xml:space="preserve"> </w:t>
      </w:r>
      <w:r w:rsidRPr="00146A1C">
        <w:rPr>
          <w:szCs w:val="20"/>
        </w:rPr>
        <w:t>of</w:t>
      </w:r>
      <w:r w:rsidR="00C64050">
        <w:rPr>
          <w:szCs w:val="20"/>
        </w:rPr>
        <w:t xml:space="preserve"> </w:t>
      </w:r>
      <w:r w:rsidRPr="00146A1C">
        <w:rPr>
          <w:szCs w:val="20"/>
        </w:rPr>
        <w:t>Mr.</w:t>
      </w:r>
      <w:r w:rsidR="00C64050">
        <w:rPr>
          <w:szCs w:val="20"/>
        </w:rPr>
        <w:t xml:space="preserve"> </w:t>
      </w:r>
      <w:r w:rsidRPr="00146A1C">
        <w:rPr>
          <w:szCs w:val="20"/>
        </w:rPr>
        <w:t>Allen</w:t>
      </w:r>
      <w:r w:rsidR="00C64050">
        <w:rPr>
          <w:szCs w:val="20"/>
        </w:rPr>
        <w:t xml:space="preserve"> </w:t>
      </w:r>
      <w:r w:rsidRPr="00146A1C">
        <w:rPr>
          <w:szCs w:val="20"/>
        </w:rPr>
        <w:t>E.</w:t>
      </w:r>
      <w:r w:rsidR="00C64050">
        <w:rPr>
          <w:szCs w:val="20"/>
        </w:rPr>
        <w:t xml:space="preserve"> </w:t>
      </w:r>
      <w:r w:rsidRPr="00146A1C">
        <w:rPr>
          <w:szCs w:val="20"/>
        </w:rPr>
        <w:t>Paulson's</w:t>
      </w:r>
      <w:r w:rsidR="00C64050">
        <w:rPr>
          <w:szCs w:val="20"/>
        </w:rPr>
        <w:t xml:space="preserve"> </w:t>
      </w:r>
      <w:r w:rsidRPr="00146A1C">
        <w:rPr>
          <w:szCs w:val="20"/>
        </w:rPr>
        <w:t>assets</w:t>
      </w:r>
      <w:r w:rsidR="00C64050">
        <w:rPr>
          <w:szCs w:val="20"/>
        </w:rPr>
        <w:t xml:space="preserve"> </w:t>
      </w:r>
      <w:r w:rsidRPr="00146A1C">
        <w:rPr>
          <w:szCs w:val="20"/>
        </w:rPr>
        <w:t>except</w:t>
      </w:r>
      <w:r w:rsidR="00C64050">
        <w:rPr>
          <w:szCs w:val="20"/>
        </w:rPr>
        <w:t xml:space="preserve"> </w:t>
      </w:r>
      <w:r w:rsidRPr="00146A1C">
        <w:rPr>
          <w:szCs w:val="20"/>
        </w:rPr>
        <w:t>for</w:t>
      </w:r>
      <w:r w:rsidR="00C64050">
        <w:rPr>
          <w:szCs w:val="20"/>
        </w:rPr>
        <w:t xml:space="preserve"> </w:t>
      </w:r>
      <w:r w:rsidRPr="00146A1C">
        <w:rPr>
          <w:szCs w:val="20"/>
        </w:rPr>
        <w:t>100%</w:t>
      </w:r>
      <w:r w:rsidR="00C64050">
        <w:rPr>
          <w:szCs w:val="20"/>
        </w:rPr>
        <w:t xml:space="preserve"> </w:t>
      </w:r>
      <w:r w:rsidRPr="00146A1C">
        <w:rPr>
          <w:szCs w:val="20"/>
        </w:rPr>
        <w:t>of</w:t>
      </w:r>
      <w:r w:rsidR="00C64050">
        <w:rPr>
          <w:szCs w:val="20"/>
        </w:rPr>
        <w:t xml:space="preserve"> </w:t>
      </w:r>
      <w:r w:rsidRPr="00146A1C">
        <w:rPr>
          <w:szCs w:val="20"/>
        </w:rPr>
        <w:t>the</w:t>
      </w:r>
      <w:r w:rsidR="00C64050">
        <w:rPr>
          <w:szCs w:val="20"/>
        </w:rPr>
        <w:t xml:space="preserve"> </w:t>
      </w:r>
      <w:r w:rsidRPr="00146A1C">
        <w:rPr>
          <w:szCs w:val="20"/>
        </w:rPr>
        <w:t>shares</w:t>
      </w:r>
      <w:r w:rsidR="00C64050">
        <w:rPr>
          <w:szCs w:val="20"/>
        </w:rPr>
        <w:t xml:space="preserve"> </w:t>
      </w:r>
      <w:r w:rsidRPr="00146A1C">
        <w:rPr>
          <w:szCs w:val="20"/>
        </w:rPr>
        <w:t>in</w:t>
      </w:r>
      <w:r w:rsidR="00C64050">
        <w:rPr>
          <w:szCs w:val="20"/>
        </w:rPr>
        <w:t xml:space="preserve"> </w:t>
      </w:r>
      <w:r w:rsidRPr="00146A1C">
        <w:rPr>
          <w:szCs w:val="20"/>
        </w:rPr>
        <w:t>the</w:t>
      </w:r>
      <w:r w:rsidR="00C64050">
        <w:rPr>
          <w:szCs w:val="20"/>
        </w:rPr>
        <w:t xml:space="preserve"> </w:t>
      </w:r>
      <w:r w:rsidRPr="00146A1C">
        <w:rPr>
          <w:szCs w:val="20"/>
        </w:rPr>
        <w:t>Gold</w:t>
      </w:r>
      <w:r w:rsidR="00C64050">
        <w:rPr>
          <w:szCs w:val="20"/>
        </w:rPr>
        <w:t xml:space="preserve"> </w:t>
      </w:r>
      <w:r w:rsidRPr="00146A1C">
        <w:rPr>
          <w:szCs w:val="20"/>
        </w:rPr>
        <w:t>River</w:t>
      </w:r>
      <w:r w:rsidR="00C64050">
        <w:rPr>
          <w:szCs w:val="20"/>
        </w:rPr>
        <w:t xml:space="preserve"> </w:t>
      </w:r>
      <w:r w:rsidRPr="00146A1C">
        <w:rPr>
          <w:szCs w:val="20"/>
        </w:rPr>
        <w:t>Hotel</w:t>
      </w:r>
      <w:r w:rsidR="00C64050">
        <w:rPr>
          <w:szCs w:val="20"/>
        </w:rPr>
        <w:t xml:space="preserve"> </w:t>
      </w:r>
      <w:r w:rsidRPr="00146A1C">
        <w:rPr>
          <w:szCs w:val="20"/>
        </w:rPr>
        <w:t>&amp;</w:t>
      </w:r>
      <w:r w:rsidR="00C64050">
        <w:rPr>
          <w:szCs w:val="20"/>
        </w:rPr>
        <w:t xml:space="preserve"> </w:t>
      </w:r>
      <w:r w:rsidRPr="00146A1C">
        <w:rPr>
          <w:szCs w:val="20"/>
        </w:rPr>
        <w:t>Casino</w:t>
      </w:r>
      <w:r w:rsidR="00C64050">
        <w:rPr>
          <w:szCs w:val="20"/>
        </w:rPr>
        <w:t xml:space="preserve"> </w:t>
      </w:r>
      <w:r w:rsidRPr="00146A1C">
        <w:rPr>
          <w:szCs w:val="20"/>
        </w:rPr>
        <w:t>Corporation</w:t>
      </w:r>
      <w:r w:rsidR="00C64050">
        <w:rPr>
          <w:szCs w:val="20"/>
        </w:rPr>
        <w:t xml:space="preserve"> </w:t>
      </w:r>
      <w:r w:rsidRPr="00146A1C">
        <w:rPr>
          <w:szCs w:val="20"/>
        </w:rPr>
        <w:t>(hereafter</w:t>
      </w:r>
      <w:r w:rsidR="00C64050">
        <w:rPr>
          <w:szCs w:val="20"/>
        </w:rPr>
        <w:t xml:space="preserve"> </w:t>
      </w:r>
      <w:r w:rsidRPr="00146A1C">
        <w:rPr>
          <w:szCs w:val="20"/>
        </w:rPr>
        <w:t>“Gold</w:t>
      </w:r>
      <w:r w:rsidR="00C64050">
        <w:rPr>
          <w:szCs w:val="20"/>
        </w:rPr>
        <w:t xml:space="preserve"> </w:t>
      </w:r>
      <w:r w:rsidRPr="00146A1C">
        <w:rPr>
          <w:szCs w:val="20"/>
        </w:rPr>
        <w:t>River</w:t>
      </w:r>
      <w:r w:rsidR="00C64050">
        <w:rPr>
          <w:szCs w:val="20"/>
        </w:rPr>
        <w:t xml:space="preserve"> </w:t>
      </w:r>
      <w:r w:rsidRPr="00146A1C">
        <w:rPr>
          <w:szCs w:val="20"/>
        </w:rPr>
        <w:t>shares”),</w:t>
      </w:r>
      <w:r w:rsidR="00C64050">
        <w:rPr>
          <w:szCs w:val="20"/>
        </w:rPr>
        <w:t xml:space="preserve"> </w:t>
      </w:r>
      <w:r w:rsidRPr="00146A1C">
        <w:rPr>
          <w:szCs w:val="20"/>
        </w:rPr>
        <w:t>which</w:t>
      </w:r>
      <w:r w:rsidR="00C64050">
        <w:rPr>
          <w:szCs w:val="20"/>
        </w:rPr>
        <w:t xml:space="preserve"> </w:t>
      </w:r>
      <w:r w:rsidRPr="00146A1C">
        <w:rPr>
          <w:szCs w:val="20"/>
        </w:rPr>
        <w:t>were</w:t>
      </w:r>
      <w:r w:rsidR="00C64050">
        <w:rPr>
          <w:szCs w:val="20"/>
        </w:rPr>
        <w:t xml:space="preserve"> </w:t>
      </w:r>
      <w:r w:rsidRPr="00146A1C">
        <w:rPr>
          <w:szCs w:val="20"/>
        </w:rPr>
        <w:t>valued</w:t>
      </w:r>
      <w:r w:rsidR="00C64050">
        <w:rPr>
          <w:szCs w:val="20"/>
        </w:rPr>
        <w:t xml:space="preserve"> </w:t>
      </w:r>
      <w:r w:rsidRPr="00146A1C">
        <w:rPr>
          <w:szCs w:val="20"/>
        </w:rPr>
        <w:t>at</w:t>
      </w:r>
      <w:r w:rsidR="00C64050">
        <w:rPr>
          <w:szCs w:val="20"/>
        </w:rPr>
        <w:t xml:space="preserve"> </w:t>
      </w:r>
      <w:r w:rsidRPr="00146A1C">
        <w:rPr>
          <w:szCs w:val="20"/>
        </w:rPr>
        <w:t>$0.</w:t>
      </w:r>
      <w:hyperlink r:id="rId369" w:anchor="co_footnote_B00012050754623" w:history="1">
        <w:r w:rsidRPr="00146A1C">
          <w:rPr>
            <w:rStyle w:val="Hyperlink"/>
            <w:color w:val="4778C2"/>
            <w:szCs w:val="20"/>
            <w:vertAlign w:val="superscript"/>
          </w:rPr>
          <w:t>1</w:t>
        </w:r>
      </w:hyperlink>
      <w:r w:rsidR="00C64050">
        <w:rPr>
          <w:szCs w:val="20"/>
        </w:rPr>
        <w:t xml:space="preserve"> </w:t>
      </w:r>
      <w:r w:rsidRPr="00146A1C">
        <w:rPr>
          <w:szCs w:val="20"/>
        </w:rPr>
        <w:t>(</w:t>
      </w:r>
      <w:r w:rsidRPr="00146A1C">
        <w:rPr>
          <w:rStyle w:val="Emphasis"/>
          <w:color w:val="212121"/>
          <w:szCs w:val="20"/>
        </w:rPr>
        <w:t>Id.</w:t>
      </w:r>
      <w:r w:rsidR="00C64050">
        <w:rPr>
          <w:szCs w:val="20"/>
        </w:rPr>
        <w:t xml:space="preserve"> </w:t>
      </w:r>
      <w:r w:rsidRPr="00146A1C">
        <w:rPr>
          <w:szCs w:val="20"/>
        </w:rPr>
        <w:t>at</w:t>
      </w:r>
      <w:r w:rsidR="00C64050">
        <w:rPr>
          <w:szCs w:val="20"/>
        </w:rPr>
        <w:t xml:space="preserve"> </w:t>
      </w:r>
      <w:r w:rsidRPr="00146A1C">
        <w:rPr>
          <w:szCs w:val="20"/>
        </w:rPr>
        <w:t>4.)</w:t>
      </w:r>
      <w:r w:rsidR="00C64050">
        <w:rPr>
          <w:szCs w:val="20"/>
        </w:rPr>
        <w:t xml:space="preserve"> </w:t>
      </w:r>
      <w:r w:rsidRPr="00146A1C">
        <w:rPr>
          <w:szCs w:val="20"/>
        </w:rPr>
        <w:t>The</w:t>
      </w:r>
      <w:r w:rsidR="00C64050">
        <w:rPr>
          <w:szCs w:val="20"/>
        </w:rPr>
        <w:t xml:space="preserve"> </w:t>
      </w:r>
      <w:r w:rsidRPr="00146A1C">
        <w:rPr>
          <w:szCs w:val="20"/>
        </w:rPr>
        <w:t>Living</w:t>
      </w:r>
      <w:r w:rsidR="00C64050">
        <w:rPr>
          <w:szCs w:val="20"/>
        </w:rPr>
        <w:t xml:space="preserve"> </w:t>
      </w:r>
      <w:r w:rsidRPr="00146A1C">
        <w:rPr>
          <w:szCs w:val="20"/>
        </w:rPr>
        <w:t>Trust's</w:t>
      </w:r>
      <w:r w:rsidR="00C64050">
        <w:rPr>
          <w:szCs w:val="20"/>
        </w:rPr>
        <w:t xml:space="preserve"> </w:t>
      </w:r>
      <w:r w:rsidRPr="00146A1C">
        <w:rPr>
          <w:szCs w:val="20"/>
        </w:rPr>
        <w:t>assets</w:t>
      </w:r>
      <w:r w:rsidR="00C64050">
        <w:rPr>
          <w:szCs w:val="20"/>
        </w:rPr>
        <w:t xml:space="preserve"> </w:t>
      </w:r>
      <w:r w:rsidRPr="00146A1C">
        <w:rPr>
          <w:szCs w:val="20"/>
        </w:rPr>
        <w:t>included</w:t>
      </w:r>
      <w:r w:rsidR="00C64050">
        <w:rPr>
          <w:szCs w:val="20"/>
        </w:rPr>
        <w:t xml:space="preserve"> </w:t>
      </w:r>
      <w:r w:rsidRPr="00146A1C">
        <w:rPr>
          <w:szCs w:val="20"/>
        </w:rPr>
        <w:t>real</w:t>
      </w:r>
      <w:r w:rsidR="00C64050">
        <w:rPr>
          <w:szCs w:val="20"/>
        </w:rPr>
        <w:t xml:space="preserve"> </w:t>
      </w:r>
      <w:r w:rsidRPr="00146A1C">
        <w:rPr>
          <w:szCs w:val="20"/>
        </w:rPr>
        <w:t>estate,</w:t>
      </w:r>
      <w:r w:rsidR="00C64050">
        <w:rPr>
          <w:szCs w:val="20"/>
        </w:rPr>
        <w:t xml:space="preserve"> </w:t>
      </w:r>
      <w:r w:rsidRPr="00146A1C">
        <w:rPr>
          <w:szCs w:val="20"/>
        </w:rPr>
        <w:t>stocks,</w:t>
      </w:r>
      <w:r w:rsidR="00C64050">
        <w:rPr>
          <w:szCs w:val="20"/>
        </w:rPr>
        <w:t xml:space="preserve"> </w:t>
      </w:r>
      <w:r w:rsidRPr="00146A1C">
        <w:rPr>
          <w:szCs w:val="20"/>
        </w:rPr>
        <w:t>bonds,</w:t>
      </w:r>
      <w:r w:rsidR="00C64050">
        <w:rPr>
          <w:szCs w:val="20"/>
        </w:rPr>
        <w:t xml:space="preserve"> </w:t>
      </w:r>
      <w:r w:rsidRPr="00146A1C">
        <w:rPr>
          <w:szCs w:val="20"/>
        </w:rPr>
        <w:t>cash,</w:t>
      </w:r>
      <w:r w:rsidR="00C64050">
        <w:rPr>
          <w:szCs w:val="20"/>
        </w:rPr>
        <w:t xml:space="preserve"> </w:t>
      </w:r>
      <w:r w:rsidRPr="00146A1C">
        <w:rPr>
          <w:szCs w:val="20"/>
        </w:rPr>
        <w:t>receivables</w:t>
      </w:r>
      <w:r w:rsidR="00C64050">
        <w:rPr>
          <w:szCs w:val="20"/>
        </w:rPr>
        <w:t xml:space="preserve"> </w:t>
      </w:r>
      <w:r w:rsidRPr="00146A1C">
        <w:rPr>
          <w:szCs w:val="20"/>
        </w:rPr>
        <w:t>and</w:t>
      </w:r>
      <w:r w:rsidR="00C64050">
        <w:rPr>
          <w:szCs w:val="20"/>
        </w:rPr>
        <w:t xml:space="preserve"> </w:t>
      </w:r>
      <w:r w:rsidRPr="00146A1C">
        <w:rPr>
          <w:szCs w:val="20"/>
        </w:rPr>
        <w:t>miscellaneous</w:t>
      </w:r>
      <w:r w:rsidR="00C64050">
        <w:rPr>
          <w:szCs w:val="20"/>
        </w:rPr>
        <w:t xml:space="preserve"> </w:t>
      </w:r>
      <w:r w:rsidRPr="00146A1C">
        <w:rPr>
          <w:szCs w:val="20"/>
        </w:rPr>
        <w:t>assets</w:t>
      </w:r>
      <w:r w:rsidR="00C64050">
        <w:rPr>
          <w:szCs w:val="20"/>
        </w:rPr>
        <w:t xml:space="preserve"> </w:t>
      </w:r>
      <w:r w:rsidRPr="00146A1C">
        <w:rPr>
          <w:szCs w:val="20"/>
        </w:rPr>
        <w:t>valued</w:t>
      </w:r>
      <w:r w:rsidR="00C64050">
        <w:rPr>
          <w:szCs w:val="20"/>
        </w:rPr>
        <w:t xml:space="preserve"> </w:t>
      </w:r>
      <w:r w:rsidRPr="00146A1C">
        <w:rPr>
          <w:szCs w:val="20"/>
        </w:rPr>
        <w:t>on</w:t>
      </w:r>
      <w:r w:rsidR="00C64050">
        <w:rPr>
          <w:szCs w:val="20"/>
        </w:rPr>
        <w:t xml:space="preserve"> </w:t>
      </w:r>
      <w:r w:rsidRPr="00146A1C">
        <w:rPr>
          <w:szCs w:val="20"/>
        </w:rPr>
        <w:t>the</w:t>
      </w:r>
      <w:r w:rsidR="00C64050">
        <w:rPr>
          <w:szCs w:val="20"/>
        </w:rPr>
        <w:t xml:space="preserve"> </w:t>
      </w:r>
      <w:r w:rsidRPr="00146A1C">
        <w:rPr>
          <w:szCs w:val="20"/>
        </w:rPr>
        <w:t>date</w:t>
      </w:r>
      <w:r w:rsidR="00C64050">
        <w:rPr>
          <w:szCs w:val="20"/>
        </w:rPr>
        <w:t xml:space="preserve"> </w:t>
      </w:r>
      <w:r w:rsidRPr="00146A1C">
        <w:rPr>
          <w:szCs w:val="20"/>
        </w:rPr>
        <w:t>of</w:t>
      </w:r>
      <w:r w:rsidR="00C64050">
        <w:rPr>
          <w:szCs w:val="20"/>
        </w:rPr>
        <w:t xml:space="preserve"> </w:t>
      </w:r>
      <w:r w:rsidRPr="00146A1C">
        <w:rPr>
          <w:szCs w:val="20"/>
        </w:rPr>
        <w:t>Mr.</w:t>
      </w:r>
      <w:r w:rsidR="00C64050">
        <w:rPr>
          <w:szCs w:val="20"/>
        </w:rPr>
        <w:t xml:space="preserve"> </w:t>
      </w:r>
      <w:r w:rsidRPr="00146A1C">
        <w:rPr>
          <w:szCs w:val="20"/>
        </w:rPr>
        <w:t>Allen</w:t>
      </w:r>
      <w:r w:rsidR="00C64050">
        <w:rPr>
          <w:szCs w:val="20"/>
        </w:rPr>
        <w:t xml:space="preserve"> </w:t>
      </w:r>
      <w:r w:rsidRPr="00146A1C">
        <w:rPr>
          <w:szCs w:val="20"/>
        </w:rPr>
        <w:t>E.</w:t>
      </w:r>
      <w:r w:rsidR="00C64050">
        <w:rPr>
          <w:szCs w:val="20"/>
        </w:rPr>
        <w:t xml:space="preserve"> </w:t>
      </w:r>
      <w:r w:rsidRPr="00146A1C">
        <w:rPr>
          <w:szCs w:val="20"/>
        </w:rPr>
        <w:t>Paulson's</w:t>
      </w:r>
      <w:r w:rsidR="00C64050">
        <w:rPr>
          <w:szCs w:val="20"/>
        </w:rPr>
        <w:t xml:space="preserve"> </w:t>
      </w:r>
      <w:r w:rsidRPr="00146A1C">
        <w:rPr>
          <w:szCs w:val="20"/>
        </w:rPr>
        <w:t>death</w:t>
      </w:r>
      <w:r w:rsidR="00C64050">
        <w:rPr>
          <w:szCs w:val="20"/>
        </w:rPr>
        <w:t xml:space="preserve"> </w:t>
      </w:r>
      <w:r w:rsidRPr="00146A1C">
        <w:rPr>
          <w:szCs w:val="20"/>
        </w:rPr>
        <w:t>at</w:t>
      </w:r>
      <w:r w:rsidR="00C64050">
        <w:rPr>
          <w:szCs w:val="20"/>
        </w:rPr>
        <w:t xml:space="preserve"> </w:t>
      </w:r>
      <w:r w:rsidRPr="00146A1C">
        <w:rPr>
          <w:szCs w:val="20"/>
        </w:rPr>
        <w:t>$193,434,344.</w:t>
      </w:r>
      <w:r w:rsidR="00C64050">
        <w:rPr>
          <w:szCs w:val="20"/>
        </w:rPr>
        <w:t xml:space="preserve"> </w:t>
      </w:r>
      <w:r w:rsidRPr="00146A1C">
        <w:rPr>
          <w:szCs w:val="20"/>
        </w:rPr>
        <w:t>(</w:t>
      </w:r>
      <w:r w:rsidRPr="00146A1C">
        <w:rPr>
          <w:rStyle w:val="Emphasis"/>
          <w:color w:val="212121"/>
          <w:szCs w:val="20"/>
        </w:rPr>
        <w:t>Id.</w:t>
      </w:r>
      <w:r w:rsidRPr="00146A1C">
        <w:rPr>
          <w:szCs w:val="20"/>
        </w:rPr>
        <w:t>)</w:t>
      </w:r>
      <w:r w:rsidR="00C64050">
        <w:rPr>
          <w:szCs w:val="20"/>
        </w:rPr>
        <w:t xml:space="preserve"> </w:t>
      </w:r>
      <w:r w:rsidRPr="00146A1C">
        <w:rPr>
          <w:szCs w:val="20"/>
        </w:rPr>
        <w:t>According</w:t>
      </w:r>
      <w:r w:rsidR="00C64050">
        <w:rPr>
          <w:szCs w:val="20"/>
        </w:rPr>
        <w:t xml:space="preserve"> </w:t>
      </w:r>
      <w:r w:rsidRPr="00146A1C">
        <w:rPr>
          <w:szCs w:val="20"/>
        </w:rPr>
        <w:t>to</w:t>
      </w:r>
      <w:r w:rsidR="00C64050">
        <w:rPr>
          <w:szCs w:val="20"/>
        </w:rPr>
        <w:t xml:space="preserve"> </w:t>
      </w:r>
      <w:r w:rsidRPr="00146A1C">
        <w:rPr>
          <w:szCs w:val="20"/>
        </w:rPr>
        <w:t>Form</w:t>
      </w:r>
      <w:r w:rsidR="00C64050">
        <w:rPr>
          <w:szCs w:val="20"/>
        </w:rPr>
        <w:t xml:space="preserve"> </w:t>
      </w:r>
      <w:r w:rsidRPr="00146A1C">
        <w:rPr>
          <w:szCs w:val="20"/>
        </w:rPr>
        <w:t>706,</w:t>
      </w:r>
      <w:r w:rsidR="00C64050">
        <w:rPr>
          <w:szCs w:val="20"/>
        </w:rPr>
        <w:t xml:space="preserve"> </w:t>
      </w:r>
      <w:r w:rsidRPr="00146A1C">
        <w:rPr>
          <w:szCs w:val="20"/>
        </w:rPr>
        <w:t>the</w:t>
      </w:r>
      <w:r w:rsidR="00C64050">
        <w:rPr>
          <w:szCs w:val="20"/>
        </w:rPr>
        <w:t xml:space="preserve"> </w:t>
      </w:r>
      <w:r w:rsidRPr="00146A1C">
        <w:rPr>
          <w:szCs w:val="20"/>
        </w:rPr>
        <w:t>deductions</w:t>
      </w:r>
      <w:hyperlink r:id="rId370" w:anchor="co_footnote_B00022050754623" w:history="1">
        <w:r w:rsidRPr="00146A1C">
          <w:rPr>
            <w:rStyle w:val="Hyperlink"/>
            <w:color w:val="4778C2"/>
            <w:szCs w:val="20"/>
            <w:vertAlign w:val="superscript"/>
          </w:rPr>
          <w:t>2</w:t>
        </w:r>
      </w:hyperlink>
      <w:r w:rsidR="00C64050">
        <w:rPr>
          <w:szCs w:val="20"/>
        </w:rPr>
        <w:t xml:space="preserve"> </w:t>
      </w:r>
      <w:r w:rsidRPr="00146A1C">
        <w:rPr>
          <w:szCs w:val="20"/>
        </w:rPr>
        <w:t>totaled</w:t>
      </w:r>
      <w:r w:rsidR="00C64050">
        <w:rPr>
          <w:szCs w:val="20"/>
        </w:rPr>
        <w:t xml:space="preserve"> </w:t>
      </w:r>
      <w:r w:rsidRPr="00146A1C">
        <w:rPr>
          <w:szCs w:val="20"/>
        </w:rPr>
        <w:t>$178,495,454.</w:t>
      </w:r>
      <w:r w:rsidR="00C64050">
        <w:rPr>
          <w:szCs w:val="20"/>
        </w:rPr>
        <w:t xml:space="preserve"> </w:t>
      </w:r>
      <w:r w:rsidRPr="00146A1C">
        <w:rPr>
          <w:szCs w:val="20"/>
        </w:rPr>
        <w:t>(</w:t>
      </w:r>
      <w:r w:rsidRPr="00146A1C">
        <w:rPr>
          <w:rStyle w:val="Emphasis"/>
          <w:color w:val="212121"/>
          <w:szCs w:val="20"/>
        </w:rPr>
        <w:t>Id.</w:t>
      </w:r>
      <w:r w:rsidRPr="00146A1C">
        <w:rPr>
          <w:szCs w:val="20"/>
        </w:rPr>
        <w:t>)</w:t>
      </w:r>
    </w:p>
    <w:p w:rsidR="006608A4" w:rsidRPr="00146A1C" w:rsidRDefault="006608A4" w:rsidP="00146A1C">
      <w:pPr>
        <w:pStyle w:val="QS10"/>
        <w:rPr>
          <w:szCs w:val="20"/>
        </w:rPr>
      </w:pPr>
      <w:r w:rsidRPr="00146A1C">
        <w:rPr>
          <w:szCs w:val="20"/>
        </w:rPr>
        <w:t>9.</w:t>
      </w:r>
      <w:r w:rsidR="00C64050">
        <w:rPr>
          <w:szCs w:val="20"/>
        </w:rPr>
        <w:t xml:space="preserve"> </w:t>
      </w:r>
      <w:r w:rsidRPr="00146A1C">
        <w:rPr>
          <w:szCs w:val="20"/>
        </w:rPr>
        <w:t>Following</w:t>
      </w:r>
      <w:r w:rsidR="00C64050">
        <w:rPr>
          <w:szCs w:val="20"/>
        </w:rPr>
        <w:t xml:space="preserve"> </w:t>
      </w:r>
      <w:r w:rsidRPr="00146A1C">
        <w:rPr>
          <w:szCs w:val="20"/>
        </w:rPr>
        <w:t>Mr.</w:t>
      </w:r>
      <w:r w:rsidR="00C64050">
        <w:rPr>
          <w:szCs w:val="20"/>
        </w:rPr>
        <w:t xml:space="preserve"> </w:t>
      </w:r>
      <w:r w:rsidRPr="00146A1C">
        <w:rPr>
          <w:szCs w:val="20"/>
        </w:rPr>
        <w:t>Allen</w:t>
      </w:r>
      <w:r w:rsidR="00C64050">
        <w:rPr>
          <w:szCs w:val="20"/>
        </w:rPr>
        <w:t xml:space="preserve"> </w:t>
      </w:r>
      <w:r w:rsidRPr="00146A1C">
        <w:rPr>
          <w:szCs w:val="20"/>
        </w:rPr>
        <w:t>E.</w:t>
      </w:r>
      <w:r w:rsidR="00C64050">
        <w:rPr>
          <w:szCs w:val="20"/>
        </w:rPr>
        <w:t xml:space="preserve"> </w:t>
      </w:r>
      <w:r w:rsidRPr="00146A1C">
        <w:rPr>
          <w:szCs w:val="20"/>
        </w:rPr>
        <w:t>Paulson's</w:t>
      </w:r>
      <w:r w:rsidR="00C64050">
        <w:rPr>
          <w:szCs w:val="20"/>
        </w:rPr>
        <w:t xml:space="preserve"> </w:t>
      </w:r>
      <w:r w:rsidRPr="00146A1C">
        <w:rPr>
          <w:szCs w:val="20"/>
        </w:rPr>
        <w:t>death,</w:t>
      </w:r>
      <w:r w:rsidR="00C64050">
        <w:rPr>
          <w:szCs w:val="20"/>
        </w:rPr>
        <w:t xml:space="preserve"> </w:t>
      </w:r>
      <w:r w:rsidRPr="00146A1C">
        <w:rPr>
          <w:szCs w:val="20"/>
        </w:rPr>
        <w:t>Michael</w:t>
      </w:r>
      <w:r w:rsidR="00C64050">
        <w:rPr>
          <w:szCs w:val="20"/>
        </w:rPr>
        <w:t xml:space="preserve"> </w:t>
      </w:r>
      <w:r w:rsidRPr="00146A1C">
        <w:rPr>
          <w:szCs w:val="20"/>
        </w:rPr>
        <w:t>Paulson</w:t>
      </w:r>
      <w:r w:rsidR="00C64050">
        <w:rPr>
          <w:szCs w:val="20"/>
        </w:rPr>
        <w:t xml:space="preserve"> </w:t>
      </w:r>
      <w:r w:rsidRPr="00146A1C">
        <w:rPr>
          <w:szCs w:val="20"/>
        </w:rPr>
        <w:t>and</w:t>
      </w:r>
      <w:r w:rsidR="00C64050">
        <w:rPr>
          <w:szCs w:val="20"/>
        </w:rPr>
        <w:t xml:space="preserve"> </w:t>
      </w:r>
      <w:r w:rsidRPr="00146A1C">
        <w:rPr>
          <w:szCs w:val="20"/>
        </w:rPr>
        <w:t>Edward</w:t>
      </w:r>
      <w:r w:rsidR="00C64050">
        <w:rPr>
          <w:szCs w:val="20"/>
        </w:rPr>
        <w:t xml:space="preserve"> </w:t>
      </w:r>
      <w:r w:rsidRPr="00146A1C">
        <w:rPr>
          <w:szCs w:val="20"/>
        </w:rPr>
        <w:t>White</w:t>
      </w:r>
      <w:r w:rsidR="00C64050">
        <w:rPr>
          <w:szCs w:val="20"/>
        </w:rPr>
        <w:t xml:space="preserve"> </w:t>
      </w:r>
      <w:r w:rsidRPr="00146A1C">
        <w:rPr>
          <w:szCs w:val="20"/>
        </w:rPr>
        <w:t>became</w:t>
      </w:r>
      <w:r w:rsidR="00C64050">
        <w:rPr>
          <w:szCs w:val="20"/>
        </w:rPr>
        <w:t xml:space="preserve"> </w:t>
      </w:r>
      <w:r w:rsidRPr="00146A1C">
        <w:rPr>
          <w:szCs w:val="20"/>
        </w:rPr>
        <w:t>co-trustees</w:t>
      </w:r>
      <w:r w:rsidR="00C64050">
        <w:rPr>
          <w:szCs w:val="20"/>
        </w:rPr>
        <w:t xml:space="preserve"> </w:t>
      </w:r>
      <w:r w:rsidRPr="00146A1C">
        <w:rPr>
          <w:szCs w:val="20"/>
        </w:rPr>
        <w:t>of</w:t>
      </w:r>
      <w:r w:rsidR="00C64050">
        <w:rPr>
          <w:szCs w:val="20"/>
        </w:rPr>
        <w:t xml:space="preserve"> </w:t>
      </w:r>
      <w:r w:rsidRPr="00146A1C">
        <w:rPr>
          <w:szCs w:val="20"/>
        </w:rPr>
        <w:t>the</w:t>
      </w:r>
      <w:r w:rsidR="00C64050">
        <w:rPr>
          <w:szCs w:val="20"/>
        </w:rPr>
        <w:t xml:space="preserve"> </w:t>
      </w:r>
      <w:r w:rsidRPr="00146A1C">
        <w:rPr>
          <w:szCs w:val="20"/>
        </w:rPr>
        <w:t>Living</w:t>
      </w:r>
      <w:r w:rsidR="00C64050">
        <w:rPr>
          <w:szCs w:val="20"/>
        </w:rPr>
        <w:t xml:space="preserve"> </w:t>
      </w:r>
      <w:r w:rsidRPr="00146A1C">
        <w:rPr>
          <w:szCs w:val="20"/>
        </w:rPr>
        <w:t>Trust</w:t>
      </w:r>
      <w:r w:rsidR="00C64050">
        <w:rPr>
          <w:szCs w:val="20"/>
        </w:rPr>
        <w:t xml:space="preserve"> </w:t>
      </w:r>
      <w:r w:rsidRPr="00146A1C">
        <w:rPr>
          <w:szCs w:val="20"/>
        </w:rPr>
        <w:t>until</w:t>
      </w:r>
      <w:r w:rsidR="00C64050">
        <w:rPr>
          <w:szCs w:val="20"/>
        </w:rPr>
        <w:t xml:space="preserve"> </w:t>
      </w:r>
      <w:r w:rsidRPr="00146A1C">
        <w:rPr>
          <w:szCs w:val="20"/>
        </w:rPr>
        <w:t>White's</w:t>
      </w:r>
      <w:r w:rsidR="00C64050">
        <w:rPr>
          <w:szCs w:val="20"/>
        </w:rPr>
        <w:t xml:space="preserve"> </w:t>
      </w:r>
      <w:r w:rsidRPr="00146A1C">
        <w:rPr>
          <w:szCs w:val="20"/>
        </w:rPr>
        <w:t>resignation</w:t>
      </w:r>
      <w:r w:rsidR="00C64050">
        <w:rPr>
          <w:szCs w:val="20"/>
        </w:rPr>
        <w:t xml:space="preserve"> </w:t>
      </w:r>
      <w:r w:rsidRPr="00146A1C">
        <w:rPr>
          <w:szCs w:val="20"/>
        </w:rPr>
        <w:t>effective</w:t>
      </w:r>
      <w:r w:rsidR="00C64050">
        <w:rPr>
          <w:szCs w:val="20"/>
        </w:rPr>
        <w:t xml:space="preserve"> </w:t>
      </w:r>
      <w:r w:rsidRPr="00146A1C">
        <w:rPr>
          <w:szCs w:val="20"/>
        </w:rPr>
        <w:t>October</w:t>
      </w:r>
      <w:r w:rsidR="00C64050">
        <w:rPr>
          <w:szCs w:val="20"/>
        </w:rPr>
        <w:t xml:space="preserve"> </w:t>
      </w:r>
      <w:r w:rsidRPr="00146A1C">
        <w:rPr>
          <w:szCs w:val="20"/>
        </w:rPr>
        <w:t>8,</w:t>
      </w:r>
      <w:r w:rsidR="00C64050">
        <w:rPr>
          <w:szCs w:val="20"/>
        </w:rPr>
        <w:t xml:space="preserve"> </w:t>
      </w:r>
      <w:r w:rsidRPr="00146A1C">
        <w:rPr>
          <w:szCs w:val="20"/>
        </w:rPr>
        <w:t>2001.</w:t>
      </w:r>
      <w:r w:rsidR="00C64050">
        <w:rPr>
          <w:szCs w:val="20"/>
        </w:rPr>
        <w:t xml:space="preserve"> </w:t>
      </w:r>
      <w:r w:rsidRPr="00146A1C">
        <w:rPr>
          <w:szCs w:val="20"/>
        </w:rPr>
        <w:t>(</w:t>
      </w:r>
      <w:r w:rsidRPr="00146A1C">
        <w:rPr>
          <w:rStyle w:val="Emphasis"/>
          <w:color w:val="212121"/>
          <w:szCs w:val="20"/>
        </w:rPr>
        <w:t>Id.</w:t>
      </w:r>
      <w:r w:rsidRPr="00146A1C">
        <w:rPr>
          <w:szCs w:val="20"/>
        </w:rPr>
        <w:t>)</w:t>
      </w:r>
    </w:p>
    <w:p w:rsidR="006608A4" w:rsidRPr="00146A1C" w:rsidRDefault="006608A4" w:rsidP="00146A1C">
      <w:pPr>
        <w:pStyle w:val="QS10"/>
        <w:rPr>
          <w:szCs w:val="20"/>
        </w:rPr>
      </w:pPr>
      <w:r w:rsidRPr="00146A1C">
        <w:rPr>
          <w:szCs w:val="20"/>
        </w:rPr>
        <w:t>10.</w:t>
      </w:r>
      <w:r w:rsidR="00C64050">
        <w:rPr>
          <w:szCs w:val="20"/>
        </w:rPr>
        <w:t xml:space="preserve"> </w:t>
      </w:r>
      <w:r w:rsidRPr="00146A1C">
        <w:rPr>
          <w:szCs w:val="20"/>
        </w:rPr>
        <w:t>On</w:t>
      </w:r>
      <w:r w:rsidR="00C64050">
        <w:rPr>
          <w:szCs w:val="20"/>
        </w:rPr>
        <w:t xml:space="preserve"> </w:t>
      </w:r>
      <w:r w:rsidRPr="00146A1C">
        <w:rPr>
          <w:szCs w:val="20"/>
        </w:rPr>
        <w:t>October</w:t>
      </w:r>
      <w:r w:rsidR="00C64050">
        <w:rPr>
          <w:szCs w:val="20"/>
        </w:rPr>
        <w:t xml:space="preserve"> </w:t>
      </w:r>
      <w:r w:rsidRPr="00146A1C">
        <w:rPr>
          <w:szCs w:val="20"/>
        </w:rPr>
        <w:t>11,</w:t>
      </w:r>
      <w:r w:rsidR="00C64050">
        <w:rPr>
          <w:szCs w:val="20"/>
        </w:rPr>
        <w:t xml:space="preserve"> </w:t>
      </w:r>
      <w:r w:rsidRPr="00146A1C">
        <w:rPr>
          <w:szCs w:val="20"/>
        </w:rPr>
        <w:t>2001,</w:t>
      </w:r>
      <w:r w:rsidR="00C64050">
        <w:rPr>
          <w:szCs w:val="20"/>
        </w:rPr>
        <w:t xml:space="preserve"> </w:t>
      </w:r>
      <w:r w:rsidRPr="00146A1C">
        <w:rPr>
          <w:szCs w:val="20"/>
        </w:rPr>
        <w:t>Nicholas</w:t>
      </w:r>
      <w:r w:rsidR="00C64050">
        <w:rPr>
          <w:szCs w:val="20"/>
        </w:rPr>
        <w:t xml:space="preserve"> </w:t>
      </w:r>
      <w:r w:rsidRPr="00146A1C">
        <w:rPr>
          <w:szCs w:val="20"/>
        </w:rPr>
        <w:t>V.</w:t>
      </w:r>
      <w:r w:rsidR="00C64050">
        <w:rPr>
          <w:szCs w:val="20"/>
        </w:rPr>
        <w:t xml:space="preserve"> </w:t>
      </w:r>
      <w:r w:rsidRPr="00146A1C">
        <w:rPr>
          <w:szCs w:val="20"/>
        </w:rPr>
        <w:t>Diaco,</w:t>
      </w:r>
      <w:r w:rsidR="00C64050">
        <w:rPr>
          <w:szCs w:val="20"/>
        </w:rPr>
        <w:t xml:space="preserve"> </w:t>
      </w:r>
      <w:r w:rsidRPr="00146A1C">
        <w:rPr>
          <w:szCs w:val="20"/>
        </w:rPr>
        <w:t>M.D.</w:t>
      </w:r>
      <w:r w:rsidR="00C64050">
        <w:rPr>
          <w:szCs w:val="20"/>
        </w:rPr>
        <w:t xml:space="preserve"> </w:t>
      </w:r>
      <w:r w:rsidRPr="00146A1C">
        <w:rPr>
          <w:szCs w:val="20"/>
        </w:rPr>
        <w:t>consented</w:t>
      </w:r>
      <w:r w:rsidR="00C64050">
        <w:rPr>
          <w:szCs w:val="20"/>
        </w:rPr>
        <w:t xml:space="preserve"> </w:t>
      </w:r>
      <w:r w:rsidRPr="00146A1C">
        <w:rPr>
          <w:szCs w:val="20"/>
        </w:rPr>
        <w:t>to</w:t>
      </w:r>
      <w:r w:rsidR="00C64050">
        <w:rPr>
          <w:szCs w:val="20"/>
        </w:rPr>
        <w:t xml:space="preserve"> </w:t>
      </w:r>
      <w:r w:rsidRPr="00146A1C">
        <w:rPr>
          <w:szCs w:val="20"/>
        </w:rPr>
        <w:t>act</w:t>
      </w:r>
      <w:r w:rsidR="00C64050">
        <w:rPr>
          <w:szCs w:val="20"/>
        </w:rPr>
        <w:t xml:space="preserve"> </w:t>
      </w:r>
      <w:r w:rsidRPr="00146A1C">
        <w:rPr>
          <w:szCs w:val="20"/>
        </w:rPr>
        <w:t>as</w:t>
      </w:r>
      <w:r w:rsidR="00C64050">
        <w:rPr>
          <w:szCs w:val="20"/>
        </w:rPr>
        <w:t xml:space="preserve"> </w:t>
      </w:r>
      <w:r w:rsidRPr="00146A1C">
        <w:rPr>
          <w:szCs w:val="20"/>
        </w:rPr>
        <w:t>co-trustee</w:t>
      </w:r>
      <w:r w:rsidR="00C64050">
        <w:rPr>
          <w:szCs w:val="20"/>
        </w:rPr>
        <w:t xml:space="preserve"> </w:t>
      </w:r>
      <w:r w:rsidRPr="00146A1C">
        <w:rPr>
          <w:szCs w:val="20"/>
        </w:rPr>
        <w:t>of</w:t>
      </w:r>
      <w:r w:rsidR="00C64050">
        <w:rPr>
          <w:szCs w:val="20"/>
        </w:rPr>
        <w:t xml:space="preserve"> </w:t>
      </w:r>
      <w:r w:rsidRPr="00146A1C">
        <w:rPr>
          <w:szCs w:val="20"/>
        </w:rPr>
        <w:t>the</w:t>
      </w:r>
      <w:r w:rsidR="00C64050">
        <w:rPr>
          <w:szCs w:val="20"/>
        </w:rPr>
        <w:t xml:space="preserve"> </w:t>
      </w:r>
      <w:r w:rsidRPr="00146A1C">
        <w:rPr>
          <w:szCs w:val="20"/>
        </w:rPr>
        <w:t>Living</w:t>
      </w:r>
      <w:r w:rsidR="00C64050">
        <w:rPr>
          <w:szCs w:val="20"/>
        </w:rPr>
        <w:t xml:space="preserve"> </w:t>
      </w:r>
      <w:r w:rsidRPr="00146A1C">
        <w:rPr>
          <w:szCs w:val="20"/>
        </w:rPr>
        <w:t>Trust</w:t>
      </w:r>
      <w:r w:rsidR="00C64050">
        <w:rPr>
          <w:szCs w:val="20"/>
        </w:rPr>
        <w:t xml:space="preserve"> </w:t>
      </w:r>
      <w:r w:rsidRPr="00146A1C">
        <w:rPr>
          <w:szCs w:val="20"/>
        </w:rPr>
        <w:t>with</w:t>
      </w:r>
      <w:r w:rsidR="00C64050">
        <w:rPr>
          <w:szCs w:val="20"/>
        </w:rPr>
        <w:t xml:space="preserve"> </w:t>
      </w:r>
      <w:r w:rsidRPr="00146A1C">
        <w:rPr>
          <w:szCs w:val="20"/>
        </w:rPr>
        <w:t>Michael</w:t>
      </w:r>
      <w:r w:rsidR="00C64050">
        <w:rPr>
          <w:szCs w:val="20"/>
        </w:rPr>
        <w:t xml:space="preserve"> </w:t>
      </w:r>
      <w:r w:rsidRPr="00146A1C">
        <w:rPr>
          <w:szCs w:val="20"/>
        </w:rPr>
        <w:t>Paulson.</w:t>
      </w:r>
      <w:r w:rsidR="00C64050">
        <w:rPr>
          <w:szCs w:val="20"/>
        </w:rPr>
        <w:t xml:space="preserve"> </w:t>
      </w:r>
      <w:r w:rsidRPr="00146A1C">
        <w:rPr>
          <w:szCs w:val="20"/>
        </w:rPr>
        <w:t>(</w:t>
      </w:r>
      <w:r w:rsidRPr="00146A1C">
        <w:rPr>
          <w:rStyle w:val="Emphasis"/>
          <w:color w:val="212121"/>
          <w:szCs w:val="20"/>
        </w:rPr>
        <w:t>Id.</w:t>
      </w:r>
      <w:r w:rsidRPr="00146A1C">
        <w:rPr>
          <w:szCs w:val="20"/>
        </w:rPr>
        <w:t>)</w:t>
      </w:r>
      <w:r w:rsidR="00C64050">
        <w:rPr>
          <w:szCs w:val="20"/>
        </w:rPr>
        <w:t xml:space="preserve"> </w:t>
      </w:r>
      <w:r w:rsidRPr="00146A1C">
        <w:rPr>
          <w:szCs w:val="20"/>
        </w:rPr>
        <w:t>Michael</w:t>
      </w:r>
      <w:r w:rsidR="00C64050">
        <w:rPr>
          <w:szCs w:val="20"/>
        </w:rPr>
        <w:t xml:space="preserve"> </w:t>
      </w:r>
      <w:r w:rsidRPr="00146A1C">
        <w:rPr>
          <w:szCs w:val="20"/>
        </w:rPr>
        <w:t>Paulson</w:t>
      </w:r>
      <w:r w:rsidR="00C64050">
        <w:rPr>
          <w:szCs w:val="20"/>
        </w:rPr>
        <w:t xml:space="preserve"> </w:t>
      </w:r>
      <w:r w:rsidRPr="00146A1C">
        <w:rPr>
          <w:szCs w:val="20"/>
        </w:rPr>
        <w:t>only</w:t>
      </w:r>
      <w:r w:rsidR="00C64050">
        <w:rPr>
          <w:szCs w:val="20"/>
        </w:rPr>
        <w:t xml:space="preserve"> </w:t>
      </w:r>
      <w:r w:rsidRPr="00146A1C">
        <w:rPr>
          <w:szCs w:val="20"/>
        </w:rPr>
        <w:t>served</w:t>
      </w:r>
      <w:r w:rsidR="00C64050">
        <w:rPr>
          <w:szCs w:val="20"/>
        </w:rPr>
        <w:t xml:space="preserve"> </w:t>
      </w:r>
      <w:r w:rsidRPr="00146A1C">
        <w:rPr>
          <w:szCs w:val="20"/>
        </w:rPr>
        <w:t>as</w:t>
      </w:r>
      <w:r w:rsidR="00C64050">
        <w:rPr>
          <w:szCs w:val="20"/>
        </w:rPr>
        <w:t xml:space="preserve"> </w:t>
      </w:r>
      <w:r w:rsidRPr="00146A1C">
        <w:rPr>
          <w:szCs w:val="20"/>
        </w:rPr>
        <w:t>trustee</w:t>
      </w:r>
      <w:r w:rsidR="00C64050">
        <w:rPr>
          <w:szCs w:val="20"/>
        </w:rPr>
        <w:t xml:space="preserve"> </w:t>
      </w:r>
      <w:r w:rsidRPr="00146A1C">
        <w:rPr>
          <w:szCs w:val="20"/>
        </w:rPr>
        <w:t>of</w:t>
      </w:r>
      <w:r w:rsidR="00C64050">
        <w:rPr>
          <w:szCs w:val="20"/>
        </w:rPr>
        <w:t xml:space="preserve"> </w:t>
      </w:r>
      <w:r w:rsidRPr="00146A1C">
        <w:rPr>
          <w:szCs w:val="20"/>
        </w:rPr>
        <w:t>the</w:t>
      </w:r>
      <w:r w:rsidR="00C64050">
        <w:rPr>
          <w:szCs w:val="20"/>
        </w:rPr>
        <w:t xml:space="preserve"> </w:t>
      </w:r>
      <w:r w:rsidRPr="00146A1C">
        <w:rPr>
          <w:szCs w:val="20"/>
        </w:rPr>
        <w:t>Living</w:t>
      </w:r>
      <w:r w:rsidR="00C64050">
        <w:rPr>
          <w:szCs w:val="20"/>
        </w:rPr>
        <w:t xml:space="preserve"> </w:t>
      </w:r>
      <w:r w:rsidRPr="00146A1C">
        <w:rPr>
          <w:szCs w:val="20"/>
        </w:rPr>
        <w:t>Trust</w:t>
      </w:r>
      <w:r w:rsidR="00C64050">
        <w:rPr>
          <w:szCs w:val="20"/>
        </w:rPr>
        <w:t xml:space="preserve"> </w:t>
      </w:r>
      <w:r w:rsidRPr="00146A1C">
        <w:rPr>
          <w:szCs w:val="20"/>
        </w:rPr>
        <w:t>until</w:t>
      </w:r>
      <w:r w:rsidR="00C64050">
        <w:rPr>
          <w:szCs w:val="20"/>
        </w:rPr>
        <w:t xml:space="preserve"> </w:t>
      </w:r>
      <w:r w:rsidRPr="00146A1C">
        <w:rPr>
          <w:szCs w:val="20"/>
        </w:rPr>
        <w:t>March</w:t>
      </w:r>
      <w:r w:rsidR="00C64050">
        <w:rPr>
          <w:szCs w:val="20"/>
        </w:rPr>
        <w:t xml:space="preserve"> </w:t>
      </w:r>
      <w:r w:rsidRPr="00146A1C">
        <w:rPr>
          <w:szCs w:val="20"/>
        </w:rPr>
        <w:t>24,</w:t>
      </w:r>
      <w:r w:rsidR="00C64050">
        <w:rPr>
          <w:szCs w:val="20"/>
        </w:rPr>
        <w:t xml:space="preserve"> </w:t>
      </w:r>
      <w:r w:rsidRPr="00146A1C">
        <w:rPr>
          <w:szCs w:val="20"/>
        </w:rPr>
        <w:t>2009,</w:t>
      </w:r>
      <w:r w:rsidR="00C64050">
        <w:rPr>
          <w:szCs w:val="20"/>
        </w:rPr>
        <w:t xml:space="preserve"> </w:t>
      </w:r>
      <w:r w:rsidRPr="00146A1C">
        <w:rPr>
          <w:szCs w:val="20"/>
        </w:rPr>
        <w:t>when</w:t>
      </w:r>
      <w:r w:rsidR="00C64050">
        <w:rPr>
          <w:szCs w:val="20"/>
        </w:rPr>
        <w:t xml:space="preserve"> </w:t>
      </w:r>
      <w:r w:rsidRPr="00146A1C">
        <w:rPr>
          <w:szCs w:val="20"/>
        </w:rPr>
        <w:t>he</w:t>
      </w:r>
      <w:r w:rsidR="00C64050">
        <w:rPr>
          <w:szCs w:val="20"/>
        </w:rPr>
        <w:t xml:space="preserve"> </w:t>
      </w:r>
      <w:r w:rsidRPr="00146A1C">
        <w:rPr>
          <w:szCs w:val="20"/>
        </w:rPr>
        <w:t>was</w:t>
      </w:r>
      <w:r w:rsidR="00C64050">
        <w:rPr>
          <w:szCs w:val="20"/>
        </w:rPr>
        <w:t xml:space="preserve"> </w:t>
      </w:r>
      <w:r w:rsidRPr="00146A1C">
        <w:rPr>
          <w:szCs w:val="20"/>
        </w:rPr>
        <w:t>removed.</w:t>
      </w:r>
      <w:r w:rsidR="00C64050">
        <w:rPr>
          <w:szCs w:val="20"/>
        </w:rPr>
        <w:t xml:space="preserve"> </w:t>
      </w:r>
      <w:r w:rsidRPr="00146A1C">
        <w:rPr>
          <w:szCs w:val="20"/>
        </w:rPr>
        <w:t>(</w:t>
      </w:r>
      <w:r w:rsidRPr="00146A1C">
        <w:rPr>
          <w:rStyle w:val="Emphasis"/>
          <w:color w:val="212121"/>
          <w:szCs w:val="20"/>
        </w:rPr>
        <w:t>Id.</w:t>
      </w:r>
      <w:r w:rsidRPr="00146A1C">
        <w:rPr>
          <w:szCs w:val="20"/>
        </w:rPr>
        <w:t>)</w:t>
      </w:r>
    </w:p>
    <w:p w:rsidR="006608A4" w:rsidRPr="00146A1C" w:rsidRDefault="006608A4" w:rsidP="00146A1C">
      <w:pPr>
        <w:pStyle w:val="QS10"/>
        <w:rPr>
          <w:szCs w:val="20"/>
        </w:rPr>
      </w:pPr>
      <w:r w:rsidRPr="00146A1C">
        <w:rPr>
          <w:szCs w:val="20"/>
        </w:rPr>
        <w:t>11.</w:t>
      </w:r>
      <w:r w:rsidR="00C64050">
        <w:rPr>
          <w:szCs w:val="20"/>
        </w:rPr>
        <w:t xml:space="preserve"> </w:t>
      </w:r>
      <w:r w:rsidRPr="00146A1C">
        <w:rPr>
          <w:szCs w:val="20"/>
        </w:rPr>
        <w:t>After</w:t>
      </w:r>
      <w:r w:rsidR="00C64050">
        <w:rPr>
          <w:szCs w:val="20"/>
        </w:rPr>
        <w:t xml:space="preserve"> </w:t>
      </w:r>
      <w:r w:rsidRPr="00146A1C">
        <w:rPr>
          <w:szCs w:val="20"/>
        </w:rPr>
        <w:t>an</w:t>
      </w:r>
      <w:r w:rsidR="00C64050">
        <w:rPr>
          <w:szCs w:val="20"/>
        </w:rPr>
        <w:t xml:space="preserve"> </w:t>
      </w:r>
      <w:r w:rsidRPr="00146A1C">
        <w:rPr>
          <w:szCs w:val="20"/>
        </w:rPr>
        <w:t>extension</w:t>
      </w:r>
      <w:r w:rsidR="00C64050">
        <w:rPr>
          <w:szCs w:val="20"/>
        </w:rPr>
        <w:t xml:space="preserve"> </w:t>
      </w:r>
      <w:r w:rsidRPr="00146A1C">
        <w:rPr>
          <w:szCs w:val="20"/>
        </w:rPr>
        <w:t>of</w:t>
      </w:r>
      <w:r w:rsidR="00C64050">
        <w:rPr>
          <w:szCs w:val="20"/>
        </w:rPr>
        <w:t xml:space="preserve"> </w:t>
      </w:r>
      <w:r w:rsidRPr="00146A1C">
        <w:rPr>
          <w:szCs w:val="20"/>
        </w:rPr>
        <w:t>time</w:t>
      </w:r>
      <w:r w:rsidR="00C64050">
        <w:rPr>
          <w:szCs w:val="20"/>
        </w:rPr>
        <w:t xml:space="preserve"> </w:t>
      </w:r>
      <w:r w:rsidRPr="00146A1C">
        <w:rPr>
          <w:szCs w:val="20"/>
        </w:rPr>
        <w:t>to</w:t>
      </w:r>
      <w:r w:rsidR="00C64050">
        <w:rPr>
          <w:szCs w:val="20"/>
        </w:rPr>
        <w:t xml:space="preserve"> </w:t>
      </w:r>
      <w:r w:rsidRPr="00146A1C">
        <w:rPr>
          <w:szCs w:val="20"/>
        </w:rPr>
        <w:t>file</w:t>
      </w:r>
      <w:r w:rsidR="00C64050">
        <w:rPr>
          <w:szCs w:val="20"/>
        </w:rPr>
        <w:t xml:space="preserve"> </w:t>
      </w:r>
      <w:r w:rsidRPr="00146A1C">
        <w:rPr>
          <w:szCs w:val="20"/>
        </w:rPr>
        <w:t>the</w:t>
      </w:r>
      <w:r w:rsidR="00C64050">
        <w:rPr>
          <w:szCs w:val="20"/>
        </w:rPr>
        <w:t xml:space="preserve"> </w:t>
      </w:r>
      <w:r w:rsidRPr="00146A1C">
        <w:rPr>
          <w:szCs w:val="20"/>
        </w:rPr>
        <w:t>return,</w:t>
      </w:r>
      <w:r w:rsidR="00C64050">
        <w:rPr>
          <w:szCs w:val="20"/>
        </w:rPr>
        <w:t xml:space="preserve"> </w:t>
      </w:r>
      <w:r w:rsidRPr="00146A1C">
        <w:rPr>
          <w:szCs w:val="20"/>
        </w:rPr>
        <w:t>on</w:t>
      </w:r>
      <w:r w:rsidR="00C64050">
        <w:rPr>
          <w:szCs w:val="20"/>
        </w:rPr>
        <w:t xml:space="preserve"> </w:t>
      </w:r>
      <w:r w:rsidRPr="00146A1C">
        <w:rPr>
          <w:szCs w:val="20"/>
        </w:rPr>
        <w:t>October</w:t>
      </w:r>
      <w:r w:rsidR="00C64050">
        <w:rPr>
          <w:szCs w:val="20"/>
        </w:rPr>
        <w:t xml:space="preserve"> </w:t>
      </w:r>
      <w:r w:rsidRPr="00146A1C">
        <w:rPr>
          <w:szCs w:val="20"/>
        </w:rPr>
        <w:t>23,</w:t>
      </w:r>
      <w:r w:rsidR="00C64050">
        <w:rPr>
          <w:szCs w:val="20"/>
        </w:rPr>
        <w:t xml:space="preserve"> </w:t>
      </w:r>
      <w:r w:rsidRPr="00146A1C">
        <w:rPr>
          <w:szCs w:val="20"/>
        </w:rPr>
        <w:t>2001,</w:t>
      </w:r>
      <w:r w:rsidR="00C64050">
        <w:rPr>
          <w:szCs w:val="20"/>
        </w:rPr>
        <w:t xml:space="preserve"> </w:t>
      </w:r>
      <w:r w:rsidRPr="00146A1C">
        <w:rPr>
          <w:szCs w:val="20"/>
        </w:rPr>
        <w:t>the</w:t>
      </w:r>
      <w:r w:rsidR="00C64050">
        <w:rPr>
          <w:szCs w:val="20"/>
        </w:rPr>
        <w:t xml:space="preserve"> </w:t>
      </w:r>
      <w:r w:rsidRPr="00146A1C">
        <w:rPr>
          <w:szCs w:val="20"/>
        </w:rPr>
        <w:t>IRS</w:t>
      </w:r>
      <w:r w:rsidR="00C64050">
        <w:rPr>
          <w:szCs w:val="20"/>
        </w:rPr>
        <w:t xml:space="preserve"> </w:t>
      </w:r>
      <w:r w:rsidRPr="00146A1C">
        <w:rPr>
          <w:szCs w:val="20"/>
        </w:rPr>
        <w:t>received</w:t>
      </w:r>
      <w:r w:rsidR="00C64050">
        <w:rPr>
          <w:szCs w:val="20"/>
        </w:rPr>
        <w:t xml:space="preserve"> </w:t>
      </w:r>
      <w:r w:rsidRPr="00146A1C">
        <w:rPr>
          <w:szCs w:val="20"/>
        </w:rPr>
        <w:t>the</w:t>
      </w:r>
      <w:r w:rsidR="00C64050">
        <w:rPr>
          <w:szCs w:val="20"/>
        </w:rPr>
        <w:t xml:space="preserve"> </w:t>
      </w:r>
      <w:r w:rsidRPr="00146A1C">
        <w:rPr>
          <w:szCs w:val="20"/>
        </w:rPr>
        <w:t>Estate's</w:t>
      </w:r>
      <w:r w:rsidR="00C64050">
        <w:rPr>
          <w:szCs w:val="20"/>
        </w:rPr>
        <w:t xml:space="preserve"> </w:t>
      </w:r>
      <w:r w:rsidRPr="00146A1C">
        <w:rPr>
          <w:szCs w:val="20"/>
        </w:rPr>
        <w:t>Form</w:t>
      </w:r>
      <w:r w:rsidR="00C64050">
        <w:rPr>
          <w:szCs w:val="20"/>
        </w:rPr>
        <w:t xml:space="preserve"> </w:t>
      </w:r>
      <w:r w:rsidRPr="00146A1C">
        <w:rPr>
          <w:szCs w:val="20"/>
        </w:rPr>
        <w:t>706</w:t>
      </w:r>
      <w:r w:rsidR="00C64050">
        <w:rPr>
          <w:szCs w:val="20"/>
        </w:rPr>
        <w:t xml:space="preserve"> </w:t>
      </w:r>
      <w:r w:rsidRPr="00146A1C">
        <w:rPr>
          <w:szCs w:val="20"/>
        </w:rPr>
        <w:t>Estate</w:t>
      </w:r>
      <w:r w:rsidR="00C64050">
        <w:rPr>
          <w:szCs w:val="20"/>
        </w:rPr>
        <w:t xml:space="preserve"> </w:t>
      </w:r>
      <w:r w:rsidRPr="00146A1C">
        <w:rPr>
          <w:szCs w:val="20"/>
        </w:rPr>
        <w:t>Tax</w:t>
      </w:r>
      <w:r w:rsidR="00C64050">
        <w:rPr>
          <w:szCs w:val="20"/>
        </w:rPr>
        <w:t xml:space="preserve"> </w:t>
      </w:r>
      <w:r w:rsidRPr="00146A1C">
        <w:rPr>
          <w:szCs w:val="20"/>
        </w:rPr>
        <w:t>Return.</w:t>
      </w:r>
      <w:r w:rsidR="00C64050">
        <w:rPr>
          <w:szCs w:val="20"/>
        </w:rPr>
        <w:t xml:space="preserve"> </w:t>
      </w:r>
      <w:r w:rsidRPr="00146A1C">
        <w:rPr>
          <w:szCs w:val="20"/>
        </w:rPr>
        <w:t>(</w:t>
      </w:r>
      <w:r w:rsidRPr="00146A1C">
        <w:rPr>
          <w:rStyle w:val="Emphasis"/>
          <w:color w:val="212121"/>
          <w:szCs w:val="20"/>
        </w:rPr>
        <w:t>Id.</w:t>
      </w:r>
      <w:r w:rsidR="00C64050">
        <w:rPr>
          <w:szCs w:val="20"/>
        </w:rPr>
        <w:t xml:space="preserve"> </w:t>
      </w:r>
      <w:r w:rsidRPr="00146A1C">
        <w:rPr>
          <w:szCs w:val="20"/>
        </w:rPr>
        <w:t>at</w:t>
      </w:r>
      <w:r w:rsidR="00C64050">
        <w:rPr>
          <w:szCs w:val="20"/>
        </w:rPr>
        <w:t xml:space="preserve"> </w:t>
      </w:r>
      <w:r w:rsidRPr="00146A1C">
        <w:rPr>
          <w:szCs w:val="20"/>
        </w:rPr>
        <w:t>5.)</w:t>
      </w:r>
      <w:r w:rsidR="00C64050">
        <w:rPr>
          <w:szCs w:val="20"/>
        </w:rPr>
        <w:t xml:space="preserve"> </w:t>
      </w:r>
      <w:r w:rsidRPr="00146A1C">
        <w:rPr>
          <w:szCs w:val="20"/>
        </w:rPr>
        <w:t>The</w:t>
      </w:r>
      <w:r w:rsidR="00C64050">
        <w:rPr>
          <w:szCs w:val="20"/>
        </w:rPr>
        <w:t xml:space="preserve"> </w:t>
      </w:r>
      <w:r w:rsidRPr="00146A1C">
        <w:rPr>
          <w:szCs w:val="20"/>
        </w:rPr>
        <w:t>return</w:t>
      </w:r>
      <w:r w:rsidR="00C64050">
        <w:rPr>
          <w:szCs w:val="20"/>
        </w:rPr>
        <w:t xml:space="preserve"> </w:t>
      </w:r>
      <w:r w:rsidRPr="00146A1C">
        <w:rPr>
          <w:szCs w:val="20"/>
        </w:rPr>
        <w:t>was</w:t>
      </w:r>
      <w:r w:rsidR="00C64050">
        <w:rPr>
          <w:szCs w:val="20"/>
        </w:rPr>
        <w:t xml:space="preserve"> </w:t>
      </w:r>
      <w:r w:rsidRPr="00146A1C">
        <w:rPr>
          <w:szCs w:val="20"/>
        </w:rPr>
        <w:t>signed</w:t>
      </w:r>
      <w:r w:rsidR="00C64050">
        <w:rPr>
          <w:szCs w:val="20"/>
        </w:rPr>
        <w:t xml:space="preserve"> </w:t>
      </w:r>
      <w:r w:rsidRPr="00146A1C">
        <w:rPr>
          <w:szCs w:val="20"/>
        </w:rPr>
        <w:t>by</w:t>
      </w:r>
      <w:r w:rsidR="00C64050">
        <w:rPr>
          <w:szCs w:val="20"/>
        </w:rPr>
        <w:t xml:space="preserve"> </w:t>
      </w:r>
      <w:r w:rsidRPr="00146A1C">
        <w:rPr>
          <w:szCs w:val="20"/>
        </w:rPr>
        <w:t>Michael</w:t>
      </w:r>
      <w:r w:rsidR="00C64050">
        <w:rPr>
          <w:szCs w:val="20"/>
        </w:rPr>
        <w:t xml:space="preserve"> </w:t>
      </w:r>
      <w:r w:rsidRPr="00146A1C">
        <w:rPr>
          <w:szCs w:val="20"/>
        </w:rPr>
        <w:t>Paulson</w:t>
      </w:r>
      <w:r w:rsidR="00C64050">
        <w:rPr>
          <w:szCs w:val="20"/>
        </w:rPr>
        <w:t xml:space="preserve"> </w:t>
      </w:r>
      <w:r w:rsidRPr="00146A1C">
        <w:rPr>
          <w:szCs w:val="20"/>
        </w:rPr>
        <w:t>as</w:t>
      </w:r>
      <w:r w:rsidR="00C64050">
        <w:rPr>
          <w:szCs w:val="20"/>
        </w:rPr>
        <w:t xml:space="preserve"> </w:t>
      </w:r>
      <w:r w:rsidRPr="00146A1C">
        <w:rPr>
          <w:szCs w:val="20"/>
        </w:rPr>
        <w:t>Co-Executor.</w:t>
      </w:r>
      <w:r w:rsidR="00C64050">
        <w:rPr>
          <w:szCs w:val="20"/>
        </w:rPr>
        <w:t xml:space="preserve"> </w:t>
      </w:r>
      <w:r w:rsidRPr="00146A1C">
        <w:rPr>
          <w:szCs w:val="20"/>
        </w:rPr>
        <w:t>(</w:t>
      </w:r>
      <w:r w:rsidRPr="00146A1C">
        <w:rPr>
          <w:rStyle w:val="Emphasis"/>
          <w:color w:val="212121"/>
          <w:szCs w:val="20"/>
        </w:rPr>
        <w:t>Id.</w:t>
      </w:r>
      <w:r w:rsidRPr="00146A1C">
        <w:rPr>
          <w:szCs w:val="20"/>
        </w:rPr>
        <w:t>)</w:t>
      </w:r>
      <w:r w:rsidR="00C64050">
        <w:rPr>
          <w:szCs w:val="20"/>
        </w:rPr>
        <w:t xml:space="preserve"> </w:t>
      </w:r>
      <w:r w:rsidRPr="00146A1C">
        <w:rPr>
          <w:szCs w:val="20"/>
        </w:rPr>
        <w:t>The</w:t>
      </w:r>
      <w:r w:rsidR="00C64050">
        <w:rPr>
          <w:szCs w:val="20"/>
        </w:rPr>
        <w:t xml:space="preserve"> </w:t>
      </w:r>
      <w:r w:rsidRPr="00146A1C">
        <w:rPr>
          <w:szCs w:val="20"/>
        </w:rPr>
        <w:t>Estate</w:t>
      </w:r>
      <w:r w:rsidR="00C64050">
        <w:rPr>
          <w:szCs w:val="20"/>
        </w:rPr>
        <w:t xml:space="preserve"> </w:t>
      </w:r>
      <w:r w:rsidRPr="00146A1C">
        <w:rPr>
          <w:szCs w:val="20"/>
        </w:rPr>
        <w:t>paid</w:t>
      </w:r>
      <w:r w:rsidR="00C64050">
        <w:rPr>
          <w:szCs w:val="20"/>
        </w:rPr>
        <w:t xml:space="preserve"> </w:t>
      </w:r>
      <w:r w:rsidRPr="00146A1C">
        <w:rPr>
          <w:szCs w:val="20"/>
        </w:rPr>
        <w:t>$706,296</w:t>
      </w:r>
      <w:r w:rsidR="00C64050">
        <w:rPr>
          <w:szCs w:val="20"/>
        </w:rPr>
        <w:t xml:space="preserve"> </w:t>
      </w:r>
      <w:r w:rsidRPr="00146A1C">
        <w:rPr>
          <w:szCs w:val="20"/>
        </w:rPr>
        <w:t>concurrently</w:t>
      </w:r>
      <w:r w:rsidR="00C64050">
        <w:rPr>
          <w:szCs w:val="20"/>
        </w:rPr>
        <w:t xml:space="preserve"> </w:t>
      </w:r>
      <w:r w:rsidRPr="00146A1C">
        <w:rPr>
          <w:szCs w:val="20"/>
        </w:rPr>
        <w:t>with</w:t>
      </w:r>
      <w:r w:rsidR="00C64050">
        <w:rPr>
          <w:szCs w:val="20"/>
        </w:rPr>
        <w:t xml:space="preserve"> </w:t>
      </w:r>
      <w:r w:rsidRPr="00146A1C">
        <w:rPr>
          <w:szCs w:val="20"/>
        </w:rPr>
        <w:t>its</w:t>
      </w:r>
      <w:r w:rsidR="00C64050">
        <w:rPr>
          <w:szCs w:val="20"/>
        </w:rPr>
        <w:t xml:space="preserve"> </w:t>
      </w:r>
      <w:r w:rsidRPr="00146A1C">
        <w:rPr>
          <w:szCs w:val="20"/>
        </w:rPr>
        <w:t>filing</w:t>
      </w:r>
      <w:r w:rsidR="00C64050">
        <w:rPr>
          <w:szCs w:val="20"/>
        </w:rPr>
        <w:t xml:space="preserve"> </w:t>
      </w:r>
      <w:r w:rsidRPr="00146A1C">
        <w:rPr>
          <w:szCs w:val="20"/>
        </w:rPr>
        <w:t>of</w:t>
      </w:r>
      <w:r w:rsidR="00C64050">
        <w:rPr>
          <w:szCs w:val="20"/>
        </w:rPr>
        <w:t xml:space="preserve"> </w:t>
      </w:r>
      <w:r w:rsidRPr="00146A1C">
        <w:rPr>
          <w:szCs w:val="20"/>
        </w:rPr>
        <w:t>the</w:t>
      </w:r>
      <w:r w:rsidR="00C64050">
        <w:rPr>
          <w:szCs w:val="20"/>
        </w:rPr>
        <w:t xml:space="preserve"> </w:t>
      </w:r>
      <w:r w:rsidRPr="00146A1C">
        <w:rPr>
          <w:szCs w:val="20"/>
        </w:rPr>
        <w:t>Estate</w:t>
      </w:r>
      <w:r w:rsidR="00C64050">
        <w:rPr>
          <w:szCs w:val="20"/>
        </w:rPr>
        <w:t xml:space="preserve"> </w:t>
      </w:r>
      <w:r w:rsidRPr="00146A1C">
        <w:rPr>
          <w:szCs w:val="20"/>
        </w:rPr>
        <w:t>Tax</w:t>
      </w:r>
      <w:r w:rsidR="00C64050">
        <w:rPr>
          <w:szCs w:val="20"/>
        </w:rPr>
        <w:t xml:space="preserve"> </w:t>
      </w:r>
      <w:r w:rsidRPr="00146A1C">
        <w:rPr>
          <w:szCs w:val="20"/>
        </w:rPr>
        <w:t>Return.</w:t>
      </w:r>
      <w:r w:rsidR="00C64050">
        <w:rPr>
          <w:szCs w:val="20"/>
        </w:rPr>
        <w:t xml:space="preserve"> </w:t>
      </w:r>
      <w:r w:rsidRPr="00146A1C">
        <w:rPr>
          <w:szCs w:val="20"/>
        </w:rPr>
        <w:t>(</w:t>
      </w:r>
      <w:r w:rsidRPr="00146A1C">
        <w:rPr>
          <w:rStyle w:val="Emphasis"/>
          <w:color w:val="212121"/>
          <w:szCs w:val="20"/>
        </w:rPr>
        <w:t>Id.</w:t>
      </w:r>
      <w:r w:rsidRPr="00146A1C">
        <w:rPr>
          <w:szCs w:val="20"/>
        </w:rPr>
        <w:t>)</w:t>
      </w:r>
      <w:r w:rsidR="00C64050">
        <w:rPr>
          <w:szCs w:val="20"/>
        </w:rPr>
        <w:t xml:space="preserve"> </w:t>
      </w:r>
      <w:r w:rsidRPr="00146A1C">
        <w:rPr>
          <w:szCs w:val="20"/>
        </w:rPr>
        <w:t>The</w:t>
      </w:r>
      <w:r w:rsidR="00C64050">
        <w:rPr>
          <w:szCs w:val="20"/>
        </w:rPr>
        <w:t xml:space="preserve"> </w:t>
      </w:r>
      <w:r w:rsidRPr="00146A1C">
        <w:rPr>
          <w:szCs w:val="20"/>
        </w:rPr>
        <w:t>Estate</w:t>
      </w:r>
      <w:r w:rsidR="00C64050">
        <w:rPr>
          <w:szCs w:val="20"/>
        </w:rPr>
        <w:t xml:space="preserve"> </w:t>
      </w:r>
      <w:r w:rsidRPr="00146A1C">
        <w:rPr>
          <w:szCs w:val="20"/>
        </w:rPr>
        <w:t>elected</w:t>
      </w:r>
      <w:r w:rsidR="00C64050">
        <w:rPr>
          <w:szCs w:val="20"/>
        </w:rPr>
        <w:t xml:space="preserve"> </w:t>
      </w:r>
      <w:r w:rsidRPr="00146A1C">
        <w:rPr>
          <w:szCs w:val="20"/>
        </w:rPr>
        <w:t>to</w:t>
      </w:r>
      <w:r w:rsidR="00C64050">
        <w:rPr>
          <w:szCs w:val="20"/>
        </w:rPr>
        <w:t xml:space="preserve"> </w:t>
      </w:r>
      <w:r w:rsidRPr="00146A1C">
        <w:rPr>
          <w:szCs w:val="20"/>
        </w:rPr>
        <w:t>defer</w:t>
      </w:r>
      <w:r w:rsidR="00C64050">
        <w:rPr>
          <w:szCs w:val="20"/>
        </w:rPr>
        <w:t xml:space="preserve"> </w:t>
      </w:r>
      <w:r w:rsidRPr="00146A1C">
        <w:rPr>
          <w:szCs w:val="20"/>
        </w:rPr>
        <w:t>the</w:t>
      </w:r>
      <w:r w:rsidR="00C64050">
        <w:rPr>
          <w:szCs w:val="20"/>
        </w:rPr>
        <w:t xml:space="preserve"> </w:t>
      </w:r>
      <w:r w:rsidRPr="00146A1C">
        <w:rPr>
          <w:szCs w:val="20"/>
        </w:rPr>
        <w:t>payment</w:t>
      </w:r>
      <w:r w:rsidR="00C64050">
        <w:rPr>
          <w:szCs w:val="20"/>
        </w:rPr>
        <w:t xml:space="preserve"> </w:t>
      </w:r>
      <w:r w:rsidRPr="00146A1C">
        <w:rPr>
          <w:szCs w:val="20"/>
        </w:rPr>
        <w:t>of</w:t>
      </w:r>
      <w:r w:rsidR="00C64050">
        <w:rPr>
          <w:szCs w:val="20"/>
        </w:rPr>
        <w:t xml:space="preserve"> </w:t>
      </w:r>
      <w:r w:rsidRPr="00146A1C">
        <w:rPr>
          <w:szCs w:val="20"/>
        </w:rPr>
        <w:t>the</w:t>
      </w:r>
      <w:r w:rsidR="00C64050">
        <w:rPr>
          <w:szCs w:val="20"/>
        </w:rPr>
        <w:t xml:space="preserve"> </w:t>
      </w:r>
      <w:r w:rsidRPr="00146A1C">
        <w:rPr>
          <w:szCs w:val="20"/>
        </w:rPr>
        <w:t>balance</w:t>
      </w:r>
      <w:r w:rsidR="00C64050">
        <w:rPr>
          <w:szCs w:val="20"/>
        </w:rPr>
        <w:t xml:space="preserve"> </w:t>
      </w:r>
      <w:r w:rsidRPr="00146A1C">
        <w:rPr>
          <w:szCs w:val="20"/>
        </w:rPr>
        <w:t>of</w:t>
      </w:r>
      <w:r w:rsidR="00C64050">
        <w:rPr>
          <w:szCs w:val="20"/>
        </w:rPr>
        <w:t xml:space="preserve"> </w:t>
      </w:r>
      <w:r w:rsidRPr="00146A1C">
        <w:rPr>
          <w:szCs w:val="20"/>
        </w:rPr>
        <w:t>its</w:t>
      </w:r>
      <w:r w:rsidR="00C64050">
        <w:rPr>
          <w:szCs w:val="20"/>
        </w:rPr>
        <w:t xml:space="preserve"> </w:t>
      </w:r>
      <w:r w:rsidRPr="00146A1C">
        <w:rPr>
          <w:szCs w:val="20"/>
        </w:rPr>
        <w:t>estate</w:t>
      </w:r>
      <w:r w:rsidR="00C64050">
        <w:rPr>
          <w:szCs w:val="20"/>
        </w:rPr>
        <w:t xml:space="preserve"> </w:t>
      </w:r>
      <w:r w:rsidRPr="00146A1C">
        <w:rPr>
          <w:szCs w:val="20"/>
        </w:rPr>
        <w:t>taxes</w:t>
      </w:r>
      <w:r w:rsidR="00C64050">
        <w:rPr>
          <w:szCs w:val="20"/>
        </w:rPr>
        <w:t xml:space="preserve"> </w:t>
      </w:r>
      <w:r w:rsidRPr="00146A1C">
        <w:rPr>
          <w:szCs w:val="20"/>
        </w:rPr>
        <w:t>under</w:t>
      </w:r>
      <w:r w:rsidR="00C64050">
        <w:rPr>
          <w:szCs w:val="20"/>
        </w:rPr>
        <w:t xml:space="preserve"> </w:t>
      </w:r>
      <w:r w:rsidRPr="00146A1C">
        <w:rPr>
          <w:szCs w:val="20"/>
        </w:rPr>
        <w:t>Section</w:t>
      </w:r>
      <w:r w:rsidR="00C64050">
        <w:rPr>
          <w:szCs w:val="20"/>
        </w:rPr>
        <w:t xml:space="preserve"> </w:t>
      </w:r>
      <w:r w:rsidRPr="00146A1C">
        <w:rPr>
          <w:szCs w:val="20"/>
        </w:rPr>
        <w:t>6166</w:t>
      </w:r>
      <w:r w:rsidR="00C64050">
        <w:rPr>
          <w:szCs w:val="20"/>
        </w:rPr>
        <w:t xml:space="preserve"> </w:t>
      </w:r>
      <w:r w:rsidRPr="00146A1C">
        <w:rPr>
          <w:szCs w:val="20"/>
        </w:rPr>
        <w:t>of</w:t>
      </w:r>
      <w:r w:rsidR="00C64050">
        <w:rPr>
          <w:szCs w:val="20"/>
        </w:rPr>
        <w:t xml:space="preserve"> </w:t>
      </w:r>
      <w:r w:rsidRPr="00146A1C">
        <w:rPr>
          <w:szCs w:val="20"/>
        </w:rPr>
        <w:t>the</w:t>
      </w:r>
      <w:r w:rsidR="00C64050">
        <w:rPr>
          <w:szCs w:val="20"/>
        </w:rPr>
        <w:t xml:space="preserve"> </w:t>
      </w:r>
      <w:r w:rsidRPr="00146A1C">
        <w:rPr>
          <w:szCs w:val="20"/>
        </w:rPr>
        <w:t>Internal</w:t>
      </w:r>
      <w:r w:rsidR="00C64050">
        <w:rPr>
          <w:szCs w:val="20"/>
        </w:rPr>
        <w:t xml:space="preserve"> </w:t>
      </w:r>
      <w:r w:rsidRPr="00146A1C">
        <w:rPr>
          <w:szCs w:val="20"/>
        </w:rPr>
        <w:t>Revenue</w:t>
      </w:r>
      <w:r w:rsidR="00C64050">
        <w:rPr>
          <w:szCs w:val="20"/>
        </w:rPr>
        <w:t xml:space="preserve"> </w:t>
      </w:r>
      <w:r w:rsidRPr="00146A1C">
        <w:rPr>
          <w:szCs w:val="20"/>
        </w:rPr>
        <w:t>Code</w:t>
      </w:r>
      <w:r w:rsidR="00C64050">
        <w:rPr>
          <w:szCs w:val="20"/>
        </w:rPr>
        <w:t xml:space="preserve"> </w:t>
      </w:r>
      <w:r w:rsidRPr="00146A1C">
        <w:rPr>
          <w:szCs w:val="20"/>
        </w:rPr>
        <w:t>over</w:t>
      </w:r>
      <w:r w:rsidR="00C64050">
        <w:rPr>
          <w:szCs w:val="20"/>
        </w:rPr>
        <w:t xml:space="preserve"> </w:t>
      </w:r>
      <w:r w:rsidRPr="00146A1C">
        <w:rPr>
          <w:szCs w:val="20"/>
        </w:rPr>
        <w:t>the</w:t>
      </w:r>
      <w:r w:rsidR="00C64050">
        <w:rPr>
          <w:szCs w:val="20"/>
        </w:rPr>
        <w:t xml:space="preserve"> </w:t>
      </w:r>
      <w:r w:rsidRPr="00146A1C">
        <w:rPr>
          <w:szCs w:val="20"/>
        </w:rPr>
        <w:t>next</w:t>
      </w:r>
      <w:r w:rsidR="00C64050">
        <w:rPr>
          <w:szCs w:val="20"/>
        </w:rPr>
        <w:t xml:space="preserve"> </w:t>
      </w:r>
      <w:r w:rsidRPr="00146A1C">
        <w:rPr>
          <w:szCs w:val="20"/>
        </w:rPr>
        <w:t>15</w:t>
      </w:r>
      <w:r w:rsidR="00C64050">
        <w:rPr>
          <w:szCs w:val="20"/>
        </w:rPr>
        <w:t xml:space="preserve"> </w:t>
      </w:r>
      <w:r w:rsidRPr="00146A1C">
        <w:rPr>
          <w:szCs w:val="20"/>
        </w:rPr>
        <w:t>years.</w:t>
      </w:r>
      <w:r w:rsidR="00C64050">
        <w:rPr>
          <w:szCs w:val="20"/>
        </w:rPr>
        <w:t xml:space="preserve"> </w:t>
      </w:r>
      <w:r w:rsidRPr="00146A1C">
        <w:rPr>
          <w:szCs w:val="20"/>
        </w:rPr>
        <w:t>(</w:t>
      </w:r>
      <w:r w:rsidRPr="00146A1C">
        <w:rPr>
          <w:rStyle w:val="Emphasis"/>
          <w:color w:val="212121"/>
          <w:szCs w:val="20"/>
        </w:rPr>
        <w:t>Id.</w:t>
      </w:r>
      <w:r w:rsidRPr="00146A1C">
        <w:rPr>
          <w:szCs w:val="20"/>
        </w:rPr>
        <w:t>)</w:t>
      </w:r>
      <w:r w:rsidR="00C64050">
        <w:rPr>
          <w:szCs w:val="20"/>
        </w:rPr>
        <w:t xml:space="preserve"> </w:t>
      </w:r>
      <w:r w:rsidRPr="00146A1C">
        <w:rPr>
          <w:szCs w:val="20"/>
        </w:rPr>
        <w:t>Although</w:t>
      </w:r>
      <w:r w:rsidR="00C64050">
        <w:rPr>
          <w:szCs w:val="20"/>
        </w:rPr>
        <w:t xml:space="preserve"> </w:t>
      </w:r>
      <w:r w:rsidRPr="00146A1C">
        <w:rPr>
          <w:szCs w:val="20"/>
        </w:rPr>
        <w:t>the</w:t>
      </w:r>
      <w:r w:rsidR="00C64050">
        <w:rPr>
          <w:szCs w:val="20"/>
        </w:rPr>
        <w:t xml:space="preserve"> </w:t>
      </w:r>
      <w:r w:rsidRPr="00146A1C">
        <w:rPr>
          <w:szCs w:val="20"/>
        </w:rPr>
        <w:t>original</w:t>
      </w:r>
      <w:r w:rsidR="00C64050">
        <w:rPr>
          <w:szCs w:val="20"/>
        </w:rPr>
        <w:t xml:space="preserve"> </w:t>
      </w:r>
      <w:r w:rsidRPr="00146A1C">
        <w:rPr>
          <w:szCs w:val="20"/>
        </w:rPr>
        <w:t>amount</w:t>
      </w:r>
      <w:r w:rsidR="00C64050">
        <w:rPr>
          <w:szCs w:val="20"/>
        </w:rPr>
        <w:t xml:space="preserve"> </w:t>
      </w:r>
      <w:r w:rsidRPr="00146A1C">
        <w:rPr>
          <w:szCs w:val="20"/>
        </w:rPr>
        <w:t>of</w:t>
      </w:r>
      <w:r w:rsidR="00C64050">
        <w:rPr>
          <w:szCs w:val="20"/>
        </w:rPr>
        <w:t xml:space="preserve"> </w:t>
      </w:r>
      <w:r w:rsidRPr="00146A1C">
        <w:rPr>
          <w:szCs w:val="20"/>
        </w:rPr>
        <w:t>estate</w:t>
      </w:r>
      <w:r w:rsidR="00C64050">
        <w:rPr>
          <w:szCs w:val="20"/>
        </w:rPr>
        <w:t xml:space="preserve"> </w:t>
      </w:r>
      <w:r w:rsidRPr="00146A1C">
        <w:rPr>
          <w:szCs w:val="20"/>
        </w:rPr>
        <w:t>tax</w:t>
      </w:r>
      <w:r w:rsidR="00C64050">
        <w:rPr>
          <w:szCs w:val="20"/>
        </w:rPr>
        <w:t xml:space="preserve"> </w:t>
      </w:r>
      <w:r w:rsidRPr="00146A1C">
        <w:rPr>
          <w:szCs w:val="20"/>
        </w:rPr>
        <w:t>shown</w:t>
      </w:r>
      <w:r w:rsidR="00C64050">
        <w:rPr>
          <w:szCs w:val="20"/>
        </w:rPr>
        <w:t xml:space="preserve"> </w:t>
      </w:r>
      <w:r w:rsidRPr="00146A1C">
        <w:rPr>
          <w:szCs w:val="20"/>
        </w:rPr>
        <w:t>due</w:t>
      </w:r>
      <w:r w:rsidR="00C64050">
        <w:rPr>
          <w:szCs w:val="20"/>
        </w:rPr>
        <w:t xml:space="preserve"> </w:t>
      </w:r>
      <w:r w:rsidRPr="00146A1C">
        <w:rPr>
          <w:szCs w:val="20"/>
        </w:rPr>
        <w:t>by</w:t>
      </w:r>
      <w:r w:rsidR="00C64050">
        <w:rPr>
          <w:szCs w:val="20"/>
        </w:rPr>
        <w:t xml:space="preserve"> </w:t>
      </w:r>
      <w:r w:rsidRPr="00146A1C">
        <w:rPr>
          <w:szCs w:val="20"/>
        </w:rPr>
        <w:t>the</w:t>
      </w:r>
      <w:r w:rsidR="00C64050">
        <w:rPr>
          <w:szCs w:val="20"/>
        </w:rPr>
        <w:t xml:space="preserve"> </w:t>
      </w:r>
      <w:r w:rsidRPr="00146A1C">
        <w:rPr>
          <w:szCs w:val="20"/>
        </w:rPr>
        <w:t>Estate</w:t>
      </w:r>
      <w:r w:rsidR="00C64050">
        <w:rPr>
          <w:szCs w:val="20"/>
        </w:rPr>
        <w:t xml:space="preserve"> </w:t>
      </w:r>
      <w:r w:rsidRPr="00146A1C">
        <w:rPr>
          <w:szCs w:val="20"/>
        </w:rPr>
        <w:t>Tax</w:t>
      </w:r>
      <w:r w:rsidR="00C64050">
        <w:rPr>
          <w:szCs w:val="20"/>
        </w:rPr>
        <w:t xml:space="preserve"> </w:t>
      </w:r>
      <w:r w:rsidRPr="00146A1C">
        <w:rPr>
          <w:szCs w:val="20"/>
        </w:rPr>
        <w:t>Return</w:t>
      </w:r>
      <w:r w:rsidR="00C64050">
        <w:rPr>
          <w:szCs w:val="20"/>
        </w:rPr>
        <w:t xml:space="preserve"> </w:t>
      </w:r>
      <w:r w:rsidRPr="00146A1C">
        <w:rPr>
          <w:szCs w:val="20"/>
        </w:rPr>
        <w:t>has</w:t>
      </w:r>
      <w:r w:rsidR="00C64050">
        <w:rPr>
          <w:szCs w:val="20"/>
        </w:rPr>
        <w:t xml:space="preserve"> </w:t>
      </w:r>
      <w:r w:rsidRPr="00146A1C">
        <w:rPr>
          <w:szCs w:val="20"/>
        </w:rPr>
        <w:t>been</w:t>
      </w:r>
      <w:r w:rsidR="00C64050">
        <w:rPr>
          <w:szCs w:val="20"/>
        </w:rPr>
        <w:t xml:space="preserve"> </w:t>
      </w:r>
      <w:r w:rsidRPr="00146A1C">
        <w:rPr>
          <w:szCs w:val="20"/>
        </w:rPr>
        <w:t>paid,</w:t>
      </w:r>
      <w:r w:rsidR="00C64050">
        <w:rPr>
          <w:szCs w:val="20"/>
        </w:rPr>
        <w:t xml:space="preserve"> </w:t>
      </w:r>
      <w:r w:rsidRPr="00146A1C">
        <w:rPr>
          <w:szCs w:val="20"/>
        </w:rPr>
        <w:t>the</w:t>
      </w:r>
      <w:r w:rsidR="00C64050">
        <w:rPr>
          <w:szCs w:val="20"/>
        </w:rPr>
        <w:t xml:space="preserve"> </w:t>
      </w:r>
      <w:r w:rsidRPr="00146A1C">
        <w:rPr>
          <w:szCs w:val="20"/>
        </w:rPr>
        <w:t>additional</w:t>
      </w:r>
      <w:r w:rsidR="00C64050">
        <w:rPr>
          <w:szCs w:val="20"/>
        </w:rPr>
        <w:t xml:space="preserve"> </w:t>
      </w:r>
      <w:r w:rsidRPr="00146A1C">
        <w:rPr>
          <w:szCs w:val="20"/>
        </w:rPr>
        <w:t>assessment</w:t>
      </w:r>
      <w:r w:rsidR="00C64050">
        <w:rPr>
          <w:szCs w:val="20"/>
        </w:rPr>
        <w:t xml:space="preserve"> </w:t>
      </w:r>
      <w:r w:rsidRPr="00146A1C">
        <w:rPr>
          <w:szCs w:val="20"/>
        </w:rPr>
        <w:t>of</w:t>
      </w:r>
      <w:r w:rsidR="00C64050">
        <w:rPr>
          <w:szCs w:val="20"/>
        </w:rPr>
        <w:t xml:space="preserve"> </w:t>
      </w:r>
      <w:r w:rsidRPr="00146A1C">
        <w:rPr>
          <w:szCs w:val="20"/>
        </w:rPr>
        <w:t>estate</w:t>
      </w:r>
      <w:r w:rsidR="00C64050">
        <w:rPr>
          <w:szCs w:val="20"/>
        </w:rPr>
        <w:t xml:space="preserve"> </w:t>
      </w:r>
      <w:r w:rsidRPr="00146A1C">
        <w:rPr>
          <w:szCs w:val="20"/>
        </w:rPr>
        <w:t>tax</w:t>
      </w:r>
      <w:r w:rsidR="00C64050">
        <w:rPr>
          <w:szCs w:val="20"/>
        </w:rPr>
        <w:t xml:space="preserve"> </w:t>
      </w:r>
      <w:r w:rsidRPr="00146A1C">
        <w:rPr>
          <w:szCs w:val="20"/>
        </w:rPr>
        <w:t>made</w:t>
      </w:r>
      <w:r w:rsidR="00C64050">
        <w:rPr>
          <w:szCs w:val="20"/>
        </w:rPr>
        <w:t xml:space="preserve"> </w:t>
      </w:r>
      <w:r w:rsidRPr="00146A1C">
        <w:rPr>
          <w:szCs w:val="20"/>
        </w:rPr>
        <w:t>by</w:t>
      </w:r>
      <w:r w:rsidR="00C64050">
        <w:rPr>
          <w:szCs w:val="20"/>
        </w:rPr>
        <w:t xml:space="preserve"> </w:t>
      </w:r>
      <w:r w:rsidRPr="00146A1C">
        <w:rPr>
          <w:szCs w:val="20"/>
        </w:rPr>
        <w:t>the</w:t>
      </w:r>
      <w:r w:rsidR="00C64050">
        <w:rPr>
          <w:szCs w:val="20"/>
        </w:rPr>
        <w:t xml:space="preserve"> </w:t>
      </w:r>
      <w:r w:rsidRPr="00146A1C">
        <w:rPr>
          <w:szCs w:val="20"/>
        </w:rPr>
        <w:t>IRS</w:t>
      </w:r>
      <w:r w:rsidR="00C64050">
        <w:rPr>
          <w:szCs w:val="20"/>
        </w:rPr>
        <w:t xml:space="preserve"> </w:t>
      </w:r>
      <w:r w:rsidRPr="00146A1C">
        <w:rPr>
          <w:szCs w:val="20"/>
        </w:rPr>
        <w:t>in</w:t>
      </w:r>
      <w:r w:rsidR="00C64050">
        <w:rPr>
          <w:szCs w:val="20"/>
        </w:rPr>
        <w:t xml:space="preserve"> </w:t>
      </w:r>
      <w:r w:rsidRPr="00146A1C">
        <w:rPr>
          <w:szCs w:val="20"/>
        </w:rPr>
        <w:t>2006</w:t>
      </w:r>
      <w:r w:rsidR="00C64050">
        <w:rPr>
          <w:szCs w:val="20"/>
        </w:rPr>
        <w:t xml:space="preserve"> </w:t>
      </w:r>
      <w:r w:rsidRPr="00146A1C">
        <w:rPr>
          <w:szCs w:val="20"/>
        </w:rPr>
        <w:t>remains</w:t>
      </w:r>
      <w:r w:rsidR="00C64050">
        <w:rPr>
          <w:szCs w:val="20"/>
        </w:rPr>
        <w:t xml:space="preserve"> </w:t>
      </w:r>
      <w:r w:rsidRPr="00146A1C">
        <w:rPr>
          <w:szCs w:val="20"/>
        </w:rPr>
        <w:t>unpaid.</w:t>
      </w:r>
      <w:r w:rsidR="00C64050">
        <w:rPr>
          <w:szCs w:val="20"/>
        </w:rPr>
        <w:t xml:space="preserve"> </w:t>
      </w:r>
      <w:r w:rsidRPr="00146A1C">
        <w:rPr>
          <w:szCs w:val="20"/>
        </w:rPr>
        <w:t>(</w:t>
      </w:r>
      <w:r w:rsidRPr="00146A1C">
        <w:rPr>
          <w:rStyle w:val="Emphasis"/>
          <w:color w:val="212121"/>
          <w:szCs w:val="20"/>
        </w:rPr>
        <w:t>Id.</w:t>
      </w:r>
      <w:r w:rsidRPr="00146A1C">
        <w:rPr>
          <w:szCs w:val="20"/>
        </w:rPr>
        <w:t>)</w:t>
      </w:r>
    </w:p>
    <w:p w:rsidR="00A4774D" w:rsidRDefault="006608A4" w:rsidP="00A4774D">
      <w:pPr>
        <w:pStyle w:val="QS10"/>
        <w:rPr>
          <w:szCs w:val="20"/>
          <w:u w:val="single"/>
        </w:rPr>
      </w:pPr>
      <w:r w:rsidRPr="00146A1C">
        <w:rPr>
          <w:szCs w:val="20"/>
        </w:rPr>
        <w:t>12.</w:t>
      </w:r>
      <w:r w:rsidR="00C64050">
        <w:rPr>
          <w:szCs w:val="20"/>
        </w:rPr>
        <w:t xml:space="preserve"> </w:t>
      </w:r>
      <w:r w:rsidRPr="00A4774D">
        <w:rPr>
          <w:szCs w:val="20"/>
          <w:u w:val="single"/>
        </w:rPr>
        <w:t>At</w:t>
      </w:r>
      <w:r w:rsidR="00C64050">
        <w:rPr>
          <w:szCs w:val="20"/>
          <w:u w:val="single"/>
        </w:rPr>
        <w:t xml:space="preserve"> </w:t>
      </w:r>
      <w:r w:rsidRPr="00A4774D">
        <w:rPr>
          <w:szCs w:val="20"/>
          <w:u w:val="single"/>
        </w:rPr>
        <w:t>the</w:t>
      </w:r>
      <w:r w:rsidR="00C64050">
        <w:rPr>
          <w:szCs w:val="20"/>
          <w:u w:val="single"/>
        </w:rPr>
        <w:t xml:space="preserve"> </w:t>
      </w:r>
      <w:r w:rsidRPr="00A4774D">
        <w:rPr>
          <w:szCs w:val="20"/>
          <w:u w:val="single"/>
        </w:rPr>
        <w:t>same</w:t>
      </w:r>
      <w:r w:rsidR="00C64050">
        <w:rPr>
          <w:szCs w:val="20"/>
          <w:u w:val="single"/>
        </w:rPr>
        <w:t xml:space="preserve"> </w:t>
      </w:r>
      <w:r w:rsidRPr="00A4774D">
        <w:rPr>
          <w:szCs w:val="20"/>
          <w:u w:val="single"/>
        </w:rPr>
        <w:t>time</w:t>
      </w:r>
      <w:r w:rsidR="00C64050">
        <w:rPr>
          <w:szCs w:val="20"/>
          <w:u w:val="single"/>
        </w:rPr>
        <w:t xml:space="preserve"> </w:t>
      </w:r>
      <w:r w:rsidRPr="00A4774D">
        <w:rPr>
          <w:szCs w:val="20"/>
          <w:u w:val="single"/>
        </w:rPr>
        <w:t>he</w:t>
      </w:r>
      <w:r w:rsidR="00C64050">
        <w:rPr>
          <w:szCs w:val="20"/>
          <w:u w:val="single"/>
        </w:rPr>
        <w:t xml:space="preserve"> </w:t>
      </w:r>
      <w:r w:rsidRPr="00A4774D">
        <w:rPr>
          <w:szCs w:val="20"/>
          <w:u w:val="single"/>
        </w:rPr>
        <w:t>filed</w:t>
      </w:r>
      <w:r w:rsidR="00C64050">
        <w:rPr>
          <w:szCs w:val="20"/>
          <w:u w:val="single"/>
        </w:rPr>
        <w:t xml:space="preserve"> </w:t>
      </w:r>
      <w:r w:rsidRPr="00A4774D">
        <w:rPr>
          <w:szCs w:val="20"/>
          <w:u w:val="single"/>
        </w:rPr>
        <w:t>the</w:t>
      </w:r>
      <w:r w:rsidR="00C64050">
        <w:rPr>
          <w:szCs w:val="20"/>
          <w:u w:val="single"/>
        </w:rPr>
        <w:t xml:space="preserve"> </w:t>
      </w:r>
      <w:r w:rsidRPr="00A4774D">
        <w:rPr>
          <w:szCs w:val="20"/>
          <w:u w:val="single"/>
        </w:rPr>
        <w:t>Estate</w:t>
      </w:r>
      <w:r w:rsidR="00C64050">
        <w:rPr>
          <w:szCs w:val="20"/>
          <w:u w:val="single"/>
        </w:rPr>
        <w:t xml:space="preserve"> </w:t>
      </w:r>
      <w:r w:rsidRPr="00A4774D">
        <w:rPr>
          <w:szCs w:val="20"/>
          <w:u w:val="single"/>
        </w:rPr>
        <w:t>Tax</w:t>
      </w:r>
      <w:r w:rsidR="00C64050">
        <w:rPr>
          <w:szCs w:val="20"/>
          <w:u w:val="single"/>
        </w:rPr>
        <w:t xml:space="preserve"> </w:t>
      </w:r>
      <w:r w:rsidRPr="00A4774D">
        <w:rPr>
          <w:szCs w:val="20"/>
          <w:u w:val="single"/>
        </w:rPr>
        <w:t>Return</w:t>
      </w:r>
      <w:r w:rsidR="00C64050">
        <w:rPr>
          <w:szCs w:val="20"/>
          <w:u w:val="single"/>
        </w:rPr>
        <w:t xml:space="preserve"> </w:t>
      </w:r>
      <w:r w:rsidRPr="00A4774D">
        <w:rPr>
          <w:szCs w:val="20"/>
          <w:u w:val="single"/>
        </w:rPr>
        <w:t>with</w:t>
      </w:r>
      <w:r w:rsidR="00C64050">
        <w:rPr>
          <w:szCs w:val="20"/>
          <w:u w:val="single"/>
        </w:rPr>
        <w:t xml:space="preserve"> </w:t>
      </w:r>
      <w:r w:rsidRPr="00A4774D">
        <w:rPr>
          <w:szCs w:val="20"/>
          <w:u w:val="single"/>
        </w:rPr>
        <w:t>the</w:t>
      </w:r>
      <w:r w:rsidR="00C64050">
        <w:rPr>
          <w:szCs w:val="20"/>
          <w:u w:val="single"/>
        </w:rPr>
        <w:t xml:space="preserve"> </w:t>
      </w:r>
      <w:r w:rsidRPr="00A4774D">
        <w:rPr>
          <w:szCs w:val="20"/>
          <w:u w:val="single"/>
        </w:rPr>
        <w:t>IRS,</w:t>
      </w:r>
      <w:r w:rsidR="00C64050">
        <w:rPr>
          <w:szCs w:val="20"/>
          <w:u w:val="single"/>
        </w:rPr>
        <w:t xml:space="preserve"> </w:t>
      </w:r>
      <w:r w:rsidRPr="00A4774D">
        <w:rPr>
          <w:szCs w:val="20"/>
          <w:u w:val="single"/>
        </w:rPr>
        <w:t>Michael</w:t>
      </w:r>
      <w:r w:rsidR="00C64050">
        <w:rPr>
          <w:szCs w:val="20"/>
          <w:u w:val="single"/>
        </w:rPr>
        <w:t xml:space="preserve"> </w:t>
      </w:r>
      <w:r w:rsidRPr="00A4774D">
        <w:rPr>
          <w:szCs w:val="20"/>
          <w:u w:val="single"/>
        </w:rPr>
        <w:t>Paulson</w:t>
      </w:r>
      <w:r w:rsidR="00C64050">
        <w:rPr>
          <w:szCs w:val="20"/>
          <w:u w:val="single"/>
        </w:rPr>
        <w:t xml:space="preserve"> </w:t>
      </w:r>
      <w:r w:rsidRPr="00A4774D">
        <w:rPr>
          <w:szCs w:val="20"/>
          <w:u w:val="single"/>
        </w:rPr>
        <w:t>filed</w:t>
      </w:r>
      <w:r w:rsidR="00C64050">
        <w:rPr>
          <w:szCs w:val="20"/>
          <w:u w:val="single"/>
        </w:rPr>
        <w:t xml:space="preserve"> </w:t>
      </w:r>
      <w:r w:rsidRPr="00A4774D">
        <w:rPr>
          <w:szCs w:val="20"/>
          <w:u w:val="single"/>
        </w:rPr>
        <w:t>a</w:t>
      </w:r>
      <w:r w:rsidR="00C64050">
        <w:rPr>
          <w:szCs w:val="20"/>
          <w:u w:val="single"/>
        </w:rPr>
        <w:t xml:space="preserve"> </w:t>
      </w:r>
      <w:r w:rsidRPr="00A4774D">
        <w:rPr>
          <w:szCs w:val="20"/>
          <w:u w:val="single"/>
        </w:rPr>
        <w:t>cover</w:t>
      </w:r>
      <w:r w:rsidR="00C64050">
        <w:rPr>
          <w:szCs w:val="20"/>
          <w:u w:val="single"/>
        </w:rPr>
        <w:t xml:space="preserve"> </w:t>
      </w:r>
      <w:r w:rsidRPr="00A4774D">
        <w:rPr>
          <w:szCs w:val="20"/>
          <w:u w:val="single"/>
        </w:rPr>
        <w:t>letter</w:t>
      </w:r>
      <w:r w:rsidR="00C64050">
        <w:rPr>
          <w:szCs w:val="20"/>
          <w:u w:val="single"/>
        </w:rPr>
        <w:t xml:space="preserve"> </w:t>
      </w:r>
      <w:r w:rsidRPr="00A4774D">
        <w:rPr>
          <w:szCs w:val="20"/>
          <w:u w:val="single"/>
        </w:rPr>
        <w:t>with</w:t>
      </w:r>
      <w:r w:rsidR="00C64050">
        <w:rPr>
          <w:szCs w:val="20"/>
          <w:u w:val="single"/>
        </w:rPr>
        <w:t xml:space="preserve"> </w:t>
      </w:r>
      <w:r w:rsidRPr="00A4774D">
        <w:rPr>
          <w:szCs w:val="20"/>
          <w:u w:val="single"/>
        </w:rPr>
        <w:t>the</w:t>
      </w:r>
      <w:r w:rsidR="00C64050">
        <w:rPr>
          <w:szCs w:val="20"/>
          <w:u w:val="single"/>
        </w:rPr>
        <w:t xml:space="preserve"> </w:t>
      </w:r>
      <w:r w:rsidRPr="00A4774D">
        <w:rPr>
          <w:szCs w:val="20"/>
          <w:u w:val="single"/>
        </w:rPr>
        <w:t>Return</w:t>
      </w:r>
      <w:r w:rsidR="00C64050">
        <w:rPr>
          <w:szCs w:val="20"/>
          <w:u w:val="single"/>
        </w:rPr>
        <w:t xml:space="preserve"> </w:t>
      </w:r>
      <w:r w:rsidRPr="00A4774D">
        <w:rPr>
          <w:szCs w:val="20"/>
          <w:u w:val="single"/>
        </w:rPr>
        <w:t>and</w:t>
      </w:r>
      <w:r w:rsidR="00C64050">
        <w:rPr>
          <w:szCs w:val="20"/>
          <w:u w:val="single"/>
        </w:rPr>
        <w:t xml:space="preserve"> </w:t>
      </w:r>
      <w:r w:rsidRPr="00A4774D">
        <w:rPr>
          <w:szCs w:val="20"/>
          <w:u w:val="single"/>
        </w:rPr>
        <w:t>also</w:t>
      </w:r>
      <w:r w:rsidR="00C64050">
        <w:rPr>
          <w:szCs w:val="20"/>
          <w:u w:val="single"/>
        </w:rPr>
        <w:t xml:space="preserve"> </w:t>
      </w:r>
      <w:r w:rsidRPr="00A4774D">
        <w:rPr>
          <w:szCs w:val="20"/>
          <w:u w:val="single"/>
        </w:rPr>
        <w:t>filed</w:t>
      </w:r>
      <w:r w:rsidR="00C64050">
        <w:rPr>
          <w:szCs w:val="20"/>
          <w:u w:val="single"/>
        </w:rPr>
        <w:t xml:space="preserve"> </w:t>
      </w:r>
      <w:r w:rsidRPr="00A4774D">
        <w:rPr>
          <w:szCs w:val="20"/>
          <w:u w:val="single"/>
        </w:rPr>
        <w:t>a</w:t>
      </w:r>
      <w:r w:rsidR="00C64050">
        <w:rPr>
          <w:szCs w:val="20"/>
          <w:u w:val="single"/>
        </w:rPr>
        <w:t xml:space="preserve"> </w:t>
      </w:r>
      <w:r w:rsidRPr="00A4774D">
        <w:rPr>
          <w:szCs w:val="20"/>
          <w:u w:val="single"/>
        </w:rPr>
        <w:t>letter</w:t>
      </w:r>
      <w:r w:rsidR="00C64050">
        <w:rPr>
          <w:szCs w:val="20"/>
          <w:u w:val="single"/>
        </w:rPr>
        <w:t xml:space="preserve"> </w:t>
      </w:r>
      <w:r w:rsidRPr="00A4774D">
        <w:rPr>
          <w:szCs w:val="20"/>
          <w:u w:val="single"/>
        </w:rPr>
        <w:t>dated</w:t>
      </w:r>
      <w:r w:rsidR="00C64050">
        <w:rPr>
          <w:szCs w:val="20"/>
          <w:u w:val="single"/>
        </w:rPr>
        <w:t xml:space="preserve"> </w:t>
      </w:r>
      <w:r w:rsidRPr="00A4774D">
        <w:rPr>
          <w:szCs w:val="20"/>
          <w:u w:val="single"/>
        </w:rPr>
        <w:t>October</w:t>
      </w:r>
      <w:r w:rsidR="00C64050">
        <w:rPr>
          <w:szCs w:val="20"/>
          <w:u w:val="single"/>
        </w:rPr>
        <w:t xml:space="preserve"> </w:t>
      </w:r>
      <w:r w:rsidRPr="00A4774D">
        <w:rPr>
          <w:szCs w:val="20"/>
          <w:u w:val="single"/>
        </w:rPr>
        <w:t>19,</w:t>
      </w:r>
      <w:r w:rsidR="00C64050">
        <w:rPr>
          <w:szCs w:val="20"/>
          <w:u w:val="single"/>
        </w:rPr>
        <w:t xml:space="preserve"> </w:t>
      </w:r>
      <w:r w:rsidRPr="00A4774D">
        <w:rPr>
          <w:szCs w:val="20"/>
          <w:u w:val="single"/>
        </w:rPr>
        <w:t>2001</w:t>
      </w:r>
      <w:r w:rsidR="00C64050">
        <w:rPr>
          <w:szCs w:val="20"/>
          <w:u w:val="single"/>
        </w:rPr>
        <w:t xml:space="preserve"> </w:t>
      </w:r>
      <w:r w:rsidRPr="00A4774D">
        <w:rPr>
          <w:szCs w:val="20"/>
          <w:u w:val="single"/>
        </w:rPr>
        <w:t>requesting</w:t>
      </w:r>
      <w:r w:rsidR="00C64050">
        <w:rPr>
          <w:szCs w:val="20"/>
          <w:u w:val="single"/>
        </w:rPr>
        <w:t xml:space="preserve"> </w:t>
      </w:r>
      <w:r w:rsidRPr="00A4774D">
        <w:rPr>
          <w:szCs w:val="20"/>
          <w:u w:val="single"/>
        </w:rPr>
        <w:t>a</w:t>
      </w:r>
      <w:r w:rsidR="00C64050">
        <w:rPr>
          <w:szCs w:val="20"/>
          <w:u w:val="single"/>
        </w:rPr>
        <w:t xml:space="preserve"> </w:t>
      </w:r>
      <w:r w:rsidRPr="00A4774D">
        <w:rPr>
          <w:szCs w:val="20"/>
          <w:u w:val="single"/>
        </w:rPr>
        <w:t>discharge</w:t>
      </w:r>
      <w:r w:rsidR="00C64050">
        <w:rPr>
          <w:szCs w:val="20"/>
          <w:u w:val="single"/>
        </w:rPr>
        <w:t xml:space="preserve"> </w:t>
      </w:r>
      <w:r w:rsidRPr="00A4774D">
        <w:rPr>
          <w:szCs w:val="20"/>
          <w:u w:val="single"/>
        </w:rPr>
        <w:t>under</w:t>
      </w:r>
      <w:r w:rsidR="00C64050">
        <w:rPr>
          <w:szCs w:val="20"/>
          <w:u w:val="single"/>
        </w:rPr>
        <w:t xml:space="preserve"> </w:t>
      </w:r>
      <w:r w:rsidRPr="00A4774D">
        <w:rPr>
          <w:szCs w:val="20"/>
          <w:u w:val="single"/>
        </w:rPr>
        <w:t>26</w:t>
      </w:r>
      <w:r w:rsidR="00C64050">
        <w:rPr>
          <w:szCs w:val="20"/>
          <w:u w:val="single"/>
        </w:rPr>
        <w:t xml:space="preserve"> </w:t>
      </w:r>
      <w:r w:rsidRPr="00A4774D">
        <w:rPr>
          <w:szCs w:val="20"/>
          <w:u w:val="single"/>
        </w:rPr>
        <w:t>U.S.C.</w:t>
      </w:r>
      <w:r w:rsidR="00C64050">
        <w:rPr>
          <w:szCs w:val="20"/>
          <w:u w:val="single"/>
        </w:rPr>
        <w:t xml:space="preserve"> </w:t>
      </w:r>
      <w:r w:rsidRPr="00A4774D">
        <w:rPr>
          <w:szCs w:val="20"/>
          <w:u w:val="single"/>
        </w:rPr>
        <w:t>§</w:t>
      </w:r>
      <w:r w:rsidR="00C64050">
        <w:rPr>
          <w:szCs w:val="20"/>
          <w:u w:val="single"/>
        </w:rPr>
        <w:t xml:space="preserve"> </w:t>
      </w:r>
      <w:r w:rsidRPr="00A4774D">
        <w:rPr>
          <w:szCs w:val="20"/>
          <w:u w:val="single"/>
        </w:rPr>
        <w:t>2204.</w:t>
      </w:r>
      <w:r w:rsidR="00C64050">
        <w:rPr>
          <w:szCs w:val="20"/>
          <w:u w:val="single"/>
        </w:rPr>
        <w:t xml:space="preserve"> </w:t>
      </w:r>
      <w:r w:rsidRPr="00A4774D">
        <w:rPr>
          <w:szCs w:val="20"/>
          <w:u w:val="single"/>
        </w:rPr>
        <w:t>(</w:t>
      </w:r>
      <w:r w:rsidRPr="00A4774D">
        <w:rPr>
          <w:rStyle w:val="Emphasis"/>
          <w:color w:val="212121"/>
          <w:szCs w:val="20"/>
          <w:u w:val="single"/>
        </w:rPr>
        <w:t>Id.</w:t>
      </w:r>
      <w:r w:rsidRPr="00A4774D">
        <w:rPr>
          <w:szCs w:val="20"/>
          <w:u w:val="single"/>
        </w:rPr>
        <w:t>)</w:t>
      </w:r>
    </w:p>
    <w:p w:rsidR="00A4774D" w:rsidRDefault="00A4774D" w:rsidP="00A4774D">
      <w:pPr>
        <w:pStyle w:val="QS10"/>
        <w:rPr>
          <w:lang w:eastAsia="en-GB"/>
        </w:rPr>
      </w:pPr>
      <w:r>
        <w:rPr>
          <w:lang w:eastAsia="en-GB"/>
        </w:rPr>
        <w:t>[emphasis</w:t>
      </w:r>
      <w:r w:rsidR="00C64050">
        <w:rPr>
          <w:lang w:eastAsia="en-GB"/>
        </w:rPr>
        <w:t xml:space="preserve"> </w:t>
      </w:r>
      <w:r>
        <w:rPr>
          <w:lang w:eastAsia="en-GB"/>
        </w:rPr>
        <w:t>added]</w:t>
      </w:r>
    </w:p>
    <w:p w:rsidR="00A11937" w:rsidRDefault="00A11937" w:rsidP="0014561A">
      <w:pPr>
        <w:pStyle w:val="Body15"/>
        <w:rPr>
          <w:lang w:eastAsia="en-GB"/>
        </w:rPr>
      </w:pPr>
      <w:r>
        <w:rPr>
          <w:lang w:eastAsia="en-GB"/>
        </w:rPr>
        <w:t>The</w:t>
      </w:r>
      <w:r w:rsidR="00C64050">
        <w:rPr>
          <w:lang w:eastAsia="en-GB"/>
        </w:rPr>
        <w:t xml:space="preserve"> </w:t>
      </w:r>
      <w:r>
        <w:rPr>
          <w:lang w:eastAsia="en-GB"/>
        </w:rPr>
        <w:t>issue</w:t>
      </w:r>
      <w:r w:rsidR="00C64050">
        <w:rPr>
          <w:lang w:eastAsia="en-GB"/>
        </w:rPr>
        <w:t xml:space="preserve"> </w:t>
      </w:r>
      <w:r>
        <w:rPr>
          <w:lang w:eastAsia="en-GB"/>
        </w:rPr>
        <w:t>was</w:t>
      </w:r>
      <w:r w:rsidR="00C64050">
        <w:rPr>
          <w:lang w:eastAsia="en-GB"/>
        </w:rPr>
        <w:t xml:space="preserve"> </w:t>
      </w:r>
      <w:r>
        <w:rPr>
          <w:lang w:eastAsia="en-GB"/>
        </w:rPr>
        <w:t>whether</w:t>
      </w:r>
      <w:r w:rsidR="00C64050">
        <w:rPr>
          <w:lang w:eastAsia="en-GB"/>
        </w:rPr>
        <w:t xml:space="preserve"> </w:t>
      </w:r>
      <w:r w:rsidR="00A4774D">
        <w:rPr>
          <w:lang w:eastAsia="en-GB"/>
        </w:rPr>
        <w:t>in</w:t>
      </w:r>
      <w:r w:rsidR="00C64050">
        <w:rPr>
          <w:lang w:eastAsia="en-GB"/>
        </w:rPr>
        <w:t xml:space="preserve"> </w:t>
      </w:r>
      <w:r w:rsidR="00A4774D">
        <w:rPr>
          <w:lang w:eastAsia="en-GB"/>
        </w:rPr>
        <w:t>the</w:t>
      </w:r>
      <w:r w:rsidR="00C64050">
        <w:rPr>
          <w:lang w:eastAsia="en-GB"/>
        </w:rPr>
        <w:t xml:space="preserve"> </w:t>
      </w:r>
      <w:r w:rsidR="00A4774D">
        <w:rPr>
          <w:lang w:eastAsia="en-GB"/>
        </w:rPr>
        <w:t>letter</w:t>
      </w:r>
      <w:r w:rsidR="00C64050">
        <w:rPr>
          <w:lang w:eastAsia="en-GB"/>
        </w:rPr>
        <w:t xml:space="preserve"> </w:t>
      </w:r>
      <w:r>
        <w:rPr>
          <w:lang w:eastAsia="en-GB"/>
        </w:rPr>
        <w:t>Paulson</w:t>
      </w:r>
      <w:r w:rsidR="00C64050">
        <w:rPr>
          <w:lang w:eastAsia="en-GB"/>
        </w:rPr>
        <w:t xml:space="preserve"> </w:t>
      </w:r>
      <w:r>
        <w:rPr>
          <w:lang w:eastAsia="en-GB"/>
        </w:rPr>
        <w:t>asked</w:t>
      </w:r>
      <w:r w:rsidR="00C64050">
        <w:rPr>
          <w:lang w:eastAsia="en-GB"/>
        </w:rPr>
        <w:t xml:space="preserve"> </w:t>
      </w:r>
      <w:r>
        <w:rPr>
          <w:lang w:eastAsia="en-GB"/>
        </w:rPr>
        <w:t>for</w:t>
      </w:r>
      <w:r w:rsidR="00C64050">
        <w:rPr>
          <w:lang w:eastAsia="en-GB"/>
        </w:rPr>
        <w:t xml:space="preserve"> </w:t>
      </w:r>
      <w:r>
        <w:rPr>
          <w:lang w:eastAsia="en-GB"/>
        </w:rPr>
        <w:t>discharge</w:t>
      </w:r>
      <w:r w:rsidR="00C64050">
        <w:rPr>
          <w:lang w:eastAsia="en-GB"/>
        </w:rPr>
        <w:t xml:space="preserve"> </w:t>
      </w:r>
      <w:r>
        <w:rPr>
          <w:u w:val="single"/>
          <w:lang w:eastAsia="en-GB"/>
        </w:rPr>
        <w:t>only</w:t>
      </w:r>
      <w:r w:rsidR="00C64050">
        <w:rPr>
          <w:lang w:eastAsia="en-GB"/>
        </w:rPr>
        <w:t xml:space="preserve"> </w:t>
      </w:r>
      <w:r>
        <w:rPr>
          <w:lang w:eastAsia="en-GB"/>
        </w:rPr>
        <w:t>as</w:t>
      </w:r>
      <w:r w:rsidR="00C64050">
        <w:rPr>
          <w:lang w:eastAsia="en-GB"/>
        </w:rPr>
        <w:t xml:space="preserve"> </w:t>
      </w:r>
      <w:r>
        <w:rPr>
          <w:lang w:eastAsia="en-GB"/>
        </w:rPr>
        <w:t>executor</w:t>
      </w:r>
      <w:r w:rsidR="00C64050">
        <w:rPr>
          <w:lang w:eastAsia="en-GB"/>
        </w:rPr>
        <w:t xml:space="preserve"> </w:t>
      </w:r>
      <w:r>
        <w:rPr>
          <w:lang w:eastAsia="en-GB"/>
        </w:rPr>
        <w:t>or</w:t>
      </w:r>
      <w:r w:rsidR="00C64050">
        <w:rPr>
          <w:lang w:eastAsia="en-GB"/>
        </w:rPr>
        <w:t xml:space="preserve"> </w:t>
      </w:r>
      <w:r>
        <w:rPr>
          <w:lang w:eastAsia="en-GB"/>
        </w:rPr>
        <w:t>as</w:t>
      </w:r>
      <w:r w:rsidR="00C64050">
        <w:rPr>
          <w:lang w:eastAsia="en-GB"/>
        </w:rPr>
        <w:t xml:space="preserve"> </w:t>
      </w:r>
      <w:r>
        <w:rPr>
          <w:lang w:eastAsia="en-GB"/>
        </w:rPr>
        <w:t>trustee</w:t>
      </w:r>
      <w:r w:rsidR="00C64050">
        <w:rPr>
          <w:lang w:eastAsia="en-GB"/>
        </w:rPr>
        <w:t xml:space="preserve"> </w:t>
      </w:r>
      <w:r>
        <w:rPr>
          <w:lang w:eastAsia="en-GB"/>
        </w:rPr>
        <w:t>too.</w:t>
      </w:r>
      <w:r w:rsidR="00C64050">
        <w:rPr>
          <w:lang w:eastAsia="en-GB"/>
        </w:rPr>
        <w:t xml:space="preserve">  </w:t>
      </w:r>
      <w:r>
        <w:rPr>
          <w:lang w:eastAsia="en-GB"/>
        </w:rPr>
        <w:t>The</w:t>
      </w:r>
      <w:r w:rsidR="00C64050">
        <w:rPr>
          <w:lang w:eastAsia="en-GB"/>
        </w:rPr>
        <w:t xml:space="preserve"> </w:t>
      </w:r>
      <w:r>
        <w:rPr>
          <w:lang w:eastAsia="en-GB"/>
        </w:rPr>
        <w:t>court</w:t>
      </w:r>
      <w:r w:rsidR="00C64050">
        <w:rPr>
          <w:lang w:eastAsia="en-GB"/>
        </w:rPr>
        <w:t xml:space="preserve"> </w:t>
      </w:r>
      <w:r>
        <w:rPr>
          <w:lang w:eastAsia="en-GB"/>
        </w:rPr>
        <w:t>found</w:t>
      </w:r>
      <w:r w:rsidR="00C64050">
        <w:rPr>
          <w:lang w:eastAsia="en-GB"/>
        </w:rPr>
        <w:t xml:space="preserve"> </w:t>
      </w:r>
      <w:r>
        <w:rPr>
          <w:lang w:eastAsia="en-GB"/>
        </w:rPr>
        <w:t>the</w:t>
      </w:r>
      <w:r w:rsidR="00C64050">
        <w:rPr>
          <w:lang w:eastAsia="en-GB"/>
        </w:rPr>
        <w:t xml:space="preserve"> </w:t>
      </w:r>
      <w:r w:rsidR="00482BD4">
        <w:rPr>
          <w:lang w:eastAsia="en-GB"/>
        </w:rPr>
        <w:t>request</w:t>
      </w:r>
      <w:r w:rsidR="00C64050">
        <w:rPr>
          <w:lang w:eastAsia="en-GB"/>
        </w:rPr>
        <w:t xml:space="preserve"> </w:t>
      </w:r>
      <w:r>
        <w:rPr>
          <w:lang w:eastAsia="en-GB"/>
        </w:rPr>
        <w:t>for</w:t>
      </w:r>
      <w:r w:rsidR="00C64050">
        <w:rPr>
          <w:lang w:eastAsia="en-GB"/>
        </w:rPr>
        <w:t xml:space="preserve"> </w:t>
      </w:r>
      <w:r>
        <w:rPr>
          <w:lang w:eastAsia="en-GB"/>
        </w:rPr>
        <w:t>discharge</w:t>
      </w:r>
      <w:r w:rsidR="00C64050">
        <w:rPr>
          <w:lang w:eastAsia="en-GB"/>
        </w:rPr>
        <w:t xml:space="preserve"> </w:t>
      </w:r>
      <w:r>
        <w:rPr>
          <w:lang w:eastAsia="en-GB"/>
        </w:rPr>
        <w:t>covered</w:t>
      </w:r>
      <w:r w:rsidR="00C64050">
        <w:rPr>
          <w:lang w:eastAsia="en-GB"/>
        </w:rPr>
        <w:t xml:space="preserve"> </w:t>
      </w:r>
      <w:r>
        <w:rPr>
          <w:lang w:eastAsia="en-GB"/>
        </w:rPr>
        <w:t>both:</w:t>
      </w:r>
    </w:p>
    <w:p w:rsidR="00146A1C" w:rsidRPr="00146A1C" w:rsidRDefault="00146A1C" w:rsidP="00146A1C">
      <w:pPr>
        <w:pStyle w:val="QS10"/>
        <w:rPr>
          <w:szCs w:val="20"/>
        </w:rPr>
      </w:pPr>
      <w:r w:rsidRPr="00146A1C">
        <w:rPr>
          <w:szCs w:val="20"/>
        </w:rPr>
        <w:t>As</w:t>
      </w:r>
      <w:r w:rsidR="00C64050">
        <w:rPr>
          <w:szCs w:val="20"/>
        </w:rPr>
        <w:t xml:space="preserve"> </w:t>
      </w:r>
      <w:r w:rsidRPr="00146A1C">
        <w:rPr>
          <w:szCs w:val="20"/>
        </w:rPr>
        <w:t>Michael</w:t>
      </w:r>
      <w:r w:rsidR="00C64050">
        <w:rPr>
          <w:szCs w:val="20"/>
        </w:rPr>
        <w:t xml:space="preserve"> </w:t>
      </w:r>
      <w:r w:rsidRPr="00146A1C">
        <w:rPr>
          <w:szCs w:val="20"/>
        </w:rPr>
        <w:t>Paulson</w:t>
      </w:r>
      <w:r w:rsidR="00C64050">
        <w:rPr>
          <w:szCs w:val="20"/>
        </w:rPr>
        <w:t xml:space="preserve"> </w:t>
      </w:r>
      <w:r w:rsidRPr="00146A1C">
        <w:rPr>
          <w:szCs w:val="20"/>
        </w:rPr>
        <w:t>points</w:t>
      </w:r>
      <w:r w:rsidR="00C64050">
        <w:rPr>
          <w:szCs w:val="20"/>
        </w:rPr>
        <w:t xml:space="preserve"> </w:t>
      </w:r>
      <w:r w:rsidRPr="00146A1C">
        <w:rPr>
          <w:szCs w:val="20"/>
        </w:rPr>
        <w:t>out,</w:t>
      </w:r>
      <w:r w:rsidR="00C64050">
        <w:rPr>
          <w:szCs w:val="20"/>
        </w:rPr>
        <w:t xml:space="preserve"> </w:t>
      </w:r>
      <w:r w:rsidRPr="00146A1C">
        <w:rPr>
          <w:szCs w:val="20"/>
        </w:rPr>
        <w:t>in</w:t>
      </w:r>
      <w:r w:rsidR="00C64050">
        <w:rPr>
          <w:szCs w:val="20"/>
        </w:rPr>
        <w:t xml:space="preserve"> </w:t>
      </w:r>
      <w:r w:rsidRPr="00146A1C">
        <w:rPr>
          <w:szCs w:val="20"/>
        </w:rPr>
        <w:t>contrast</w:t>
      </w:r>
      <w:r w:rsidR="00C64050">
        <w:rPr>
          <w:szCs w:val="20"/>
        </w:rPr>
        <w:t xml:space="preserve"> </w:t>
      </w:r>
      <w:r w:rsidRPr="00146A1C">
        <w:rPr>
          <w:szCs w:val="20"/>
        </w:rPr>
        <w:t>to</w:t>
      </w:r>
      <w:r w:rsidR="00C64050">
        <w:rPr>
          <w:szCs w:val="20"/>
        </w:rPr>
        <w:t xml:space="preserve"> </w:t>
      </w:r>
      <w:r w:rsidRPr="00146A1C">
        <w:rPr>
          <w:szCs w:val="20"/>
        </w:rPr>
        <w:t>Plaintiff's</w:t>
      </w:r>
      <w:r w:rsidR="00C64050">
        <w:rPr>
          <w:szCs w:val="20"/>
        </w:rPr>
        <w:t xml:space="preserve"> </w:t>
      </w:r>
      <w:r w:rsidRPr="00146A1C">
        <w:rPr>
          <w:szCs w:val="20"/>
        </w:rPr>
        <w:t>arguments</w:t>
      </w:r>
      <w:r w:rsidR="00C64050">
        <w:rPr>
          <w:szCs w:val="20"/>
        </w:rPr>
        <w:t xml:space="preserve"> </w:t>
      </w:r>
      <w:r w:rsidRPr="00146A1C">
        <w:rPr>
          <w:szCs w:val="20"/>
        </w:rPr>
        <w:t>that</w:t>
      </w:r>
      <w:r w:rsidR="00C64050">
        <w:rPr>
          <w:szCs w:val="20"/>
        </w:rPr>
        <w:t xml:space="preserve"> </w:t>
      </w:r>
      <w:r w:rsidRPr="00146A1C">
        <w:rPr>
          <w:szCs w:val="20"/>
        </w:rPr>
        <w:t>none</w:t>
      </w:r>
      <w:r w:rsidR="00C64050">
        <w:rPr>
          <w:szCs w:val="20"/>
        </w:rPr>
        <w:t xml:space="preserve"> </w:t>
      </w:r>
      <w:r w:rsidRPr="00146A1C">
        <w:rPr>
          <w:szCs w:val="20"/>
        </w:rPr>
        <w:t>of</w:t>
      </w:r>
      <w:r w:rsidR="00C64050">
        <w:rPr>
          <w:szCs w:val="20"/>
        </w:rPr>
        <w:t xml:space="preserve"> </w:t>
      </w:r>
      <w:r w:rsidRPr="00146A1C">
        <w:rPr>
          <w:szCs w:val="20"/>
        </w:rPr>
        <w:t>the</w:t>
      </w:r>
      <w:r w:rsidR="00C64050">
        <w:rPr>
          <w:szCs w:val="20"/>
        </w:rPr>
        <w:t xml:space="preserve"> </w:t>
      </w:r>
      <w:r w:rsidRPr="00146A1C">
        <w:rPr>
          <w:szCs w:val="20"/>
        </w:rPr>
        <w:t>procedures</w:t>
      </w:r>
      <w:r w:rsidR="00C64050">
        <w:rPr>
          <w:szCs w:val="20"/>
        </w:rPr>
        <w:t xml:space="preserve"> </w:t>
      </w:r>
      <w:r w:rsidRPr="00146A1C">
        <w:rPr>
          <w:szCs w:val="20"/>
        </w:rPr>
        <w:t>were</w:t>
      </w:r>
      <w:r w:rsidR="00C64050">
        <w:rPr>
          <w:szCs w:val="20"/>
        </w:rPr>
        <w:t xml:space="preserve"> </w:t>
      </w:r>
      <w:r w:rsidRPr="00146A1C">
        <w:rPr>
          <w:szCs w:val="20"/>
        </w:rPr>
        <w:t>followed,</w:t>
      </w:r>
      <w:r w:rsidR="00C64050">
        <w:rPr>
          <w:szCs w:val="20"/>
        </w:rPr>
        <w:t xml:space="preserve"> </w:t>
      </w:r>
      <w:r w:rsidRPr="00146A1C">
        <w:rPr>
          <w:szCs w:val="20"/>
        </w:rPr>
        <w:t>the</w:t>
      </w:r>
      <w:r w:rsidR="00C64050">
        <w:rPr>
          <w:szCs w:val="20"/>
        </w:rPr>
        <w:t xml:space="preserve"> </w:t>
      </w:r>
      <w:r w:rsidRPr="00146A1C">
        <w:rPr>
          <w:szCs w:val="20"/>
        </w:rPr>
        <w:t>letter</w:t>
      </w:r>
      <w:r w:rsidR="00C64050">
        <w:rPr>
          <w:szCs w:val="20"/>
        </w:rPr>
        <w:t xml:space="preserve"> </w:t>
      </w:r>
      <w:r w:rsidRPr="00146A1C">
        <w:rPr>
          <w:szCs w:val="20"/>
        </w:rPr>
        <w:t>sent</w:t>
      </w:r>
      <w:r w:rsidR="00C64050">
        <w:rPr>
          <w:szCs w:val="20"/>
        </w:rPr>
        <w:t xml:space="preserve"> </w:t>
      </w:r>
      <w:r w:rsidRPr="00146A1C">
        <w:rPr>
          <w:szCs w:val="20"/>
        </w:rPr>
        <w:t>to</w:t>
      </w:r>
      <w:r w:rsidR="00C64050">
        <w:rPr>
          <w:szCs w:val="20"/>
        </w:rPr>
        <w:t xml:space="preserve"> </w:t>
      </w:r>
      <w:r w:rsidRPr="00146A1C">
        <w:rPr>
          <w:szCs w:val="20"/>
        </w:rPr>
        <w:t>the</w:t>
      </w:r>
      <w:r w:rsidR="00C64050">
        <w:rPr>
          <w:szCs w:val="20"/>
        </w:rPr>
        <w:t xml:space="preserve"> </w:t>
      </w:r>
      <w:r w:rsidRPr="00146A1C">
        <w:rPr>
          <w:szCs w:val="20"/>
        </w:rPr>
        <w:t>IRS</w:t>
      </w:r>
      <w:r w:rsidR="00C64050">
        <w:rPr>
          <w:szCs w:val="20"/>
        </w:rPr>
        <w:t xml:space="preserve"> </w:t>
      </w:r>
      <w:r w:rsidRPr="00146A1C">
        <w:rPr>
          <w:szCs w:val="20"/>
        </w:rPr>
        <w:t>tells</w:t>
      </w:r>
      <w:r w:rsidR="00C64050">
        <w:rPr>
          <w:szCs w:val="20"/>
        </w:rPr>
        <w:t xml:space="preserve"> </w:t>
      </w:r>
      <w:r w:rsidRPr="00146A1C">
        <w:rPr>
          <w:szCs w:val="20"/>
        </w:rPr>
        <w:t>a</w:t>
      </w:r>
      <w:r w:rsidR="00C64050">
        <w:rPr>
          <w:szCs w:val="20"/>
        </w:rPr>
        <w:t xml:space="preserve"> </w:t>
      </w:r>
      <w:r w:rsidRPr="00146A1C">
        <w:rPr>
          <w:szCs w:val="20"/>
        </w:rPr>
        <w:t>different</w:t>
      </w:r>
      <w:r w:rsidR="00C64050">
        <w:rPr>
          <w:szCs w:val="20"/>
        </w:rPr>
        <w:t xml:space="preserve"> </w:t>
      </w:r>
      <w:r w:rsidRPr="00146A1C">
        <w:rPr>
          <w:szCs w:val="20"/>
        </w:rPr>
        <w:t>story.</w:t>
      </w:r>
      <w:r w:rsidR="00C64050">
        <w:rPr>
          <w:szCs w:val="20"/>
        </w:rPr>
        <w:t xml:space="preserve"> </w:t>
      </w:r>
      <w:r w:rsidRPr="00146A1C">
        <w:rPr>
          <w:szCs w:val="20"/>
        </w:rPr>
        <w:t>First,</w:t>
      </w:r>
      <w:r w:rsidR="00C64050">
        <w:rPr>
          <w:szCs w:val="20"/>
        </w:rPr>
        <w:t xml:space="preserve"> </w:t>
      </w:r>
      <w:r w:rsidRPr="00146A1C">
        <w:rPr>
          <w:szCs w:val="20"/>
        </w:rPr>
        <w:t>the</w:t>
      </w:r>
      <w:r w:rsidR="00C64050">
        <w:rPr>
          <w:szCs w:val="20"/>
        </w:rPr>
        <w:t xml:space="preserve"> </w:t>
      </w:r>
      <w:r w:rsidRPr="00146A1C">
        <w:rPr>
          <w:szCs w:val="20"/>
        </w:rPr>
        <w:t>title</w:t>
      </w:r>
      <w:r w:rsidR="00C64050">
        <w:rPr>
          <w:szCs w:val="20"/>
        </w:rPr>
        <w:t xml:space="preserve"> </w:t>
      </w:r>
      <w:r w:rsidRPr="00146A1C">
        <w:rPr>
          <w:szCs w:val="20"/>
        </w:rPr>
        <w:t>of</w:t>
      </w:r>
      <w:r w:rsidR="00C64050">
        <w:rPr>
          <w:szCs w:val="20"/>
        </w:rPr>
        <w:t xml:space="preserve"> </w:t>
      </w:r>
      <w:r w:rsidRPr="00146A1C">
        <w:rPr>
          <w:szCs w:val="20"/>
        </w:rPr>
        <w:t>the</w:t>
      </w:r>
      <w:r w:rsidR="00C64050">
        <w:rPr>
          <w:szCs w:val="20"/>
        </w:rPr>
        <w:t xml:space="preserve"> </w:t>
      </w:r>
      <w:r w:rsidRPr="00146A1C">
        <w:rPr>
          <w:szCs w:val="20"/>
        </w:rPr>
        <w:t>letter</w:t>
      </w:r>
      <w:r w:rsidR="00C64050">
        <w:rPr>
          <w:szCs w:val="20"/>
        </w:rPr>
        <w:t xml:space="preserve"> </w:t>
      </w:r>
      <w:r w:rsidRPr="00146A1C">
        <w:rPr>
          <w:szCs w:val="20"/>
        </w:rPr>
        <w:t>is</w:t>
      </w:r>
      <w:r w:rsidR="00C64050">
        <w:rPr>
          <w:szCs w:val="20"/>
        </w:rPr>
        <w:t xml:space="preserve"> </w:t>
      </w:r>
      <w:r w:rsidRPr="00146A1C">
        <w:rPr>
          <w:szCs w:val="20"/>
        </w:rPr>
        <w:t>“Request</w:t>
      </w:r>
      <w:r w:rsidR="00C64050">
        <w:rPr>
          <w:szCs w:val="20"/>
        </w:rPr>
        <w:t xml:space="preserve"> </w:t>
      </w:r>
      <w:r w:rsidRPr="00146A1C">
        <w:rPr>
          <w:szCs w:val="20"/>
        </w:rPr>
        <w:t>for</w:t>
      </w:r>
      <w:r w:rsidR="00C64050">
        <w:rPr>
          <w:szCs w:val="20"/>
        </w:rPr>
        <w:t xml:space="preserve"> </w:t>
      </w:r>
      <w:r w:rsidRPr="00146A1C">
        <w:rPr>
          <w:szCs w:val="20"/>
        </w:rPr>
        <w:t>discharge</w:t>
      </w:r>
      <w:r w:rsidR="00C64050">
        <w:rPr>
          <w:szCs w:val="20"/>
        </w:rPr>
        <w:t xml:space="preserve"> </w:t>
      </w:r>
      <w:r w:rsidRPr="00146A1C">
        <w:rPr>
          <w:szCs w:val="20"/>
        </w:rPr>
        <w:t>of</w:t>
      </w:r>
      <w:r w:rsidR="00C64050">
        <w:rPr>
          <w:szCs w:val="20"/>
        </w:rPr>
        <w:t xml:space="preserve"> </w:t>
      </w:r>
      <w:r w:rsidRPr="00146A1C">
        <w:rPr>
          <w:szCs w:val="20"/>
        </w:rPr>
        <w:t>fiduciaries</w:t>
      </w:r>
      <w:r w:rsidR="00C64050">
        <w:rPr>
          <w:szCs w:val="20"/>
        </w:rPr>
        <w:t xml:space="preserve"> </w:t>
      </w:r>
      <w:r w:rsidRPr="00146A1C">
        <w:rPr>
          <w:szCs w:val="20"/>
        </w:rPr>
        <w:t>from</w:t>
      </w:r>
      <w:r w:rsidR="00C64050">
        <w:rPr>
          <w:szCs w:val="20"/>
        </w:rPr>
        <w:t xml:space="preserve"> </w:t>
      </w:r>
      <w:r w:rsidRPr="00146A1C">
        <w:rPr>
          <w:szCs w:val="20"/>
        </w:rPr>
        <w:t>personal</w:t>
      </w:r>
      <w:r w:rsidR="00C64050">
        <w:rPr>
          <w:szCs w:val="20"/>
        </w:rPr>
        <w:t xml:space="preserve"> </w:t>
      </w:r>
      <w:r w:rsidRPr="00146A1C">
        <w:rPr>
          <w:szCs w:val="20"/>
        </w:rPr>
        <w:t>liability.”</w:t>
      </w:r>
      <w:r w:rsidR="00C64050">
        <w:rPr>
          <w:szCs w:val="20"/>
        </w:rPr>
        <w:t xml:space="preserve"> </w:t>
      </w:r>
      <w:r w:rsidRPr="00146A1C">
        <w:rPr>
          <w:szCs w:val="20"/>
        </w:rPr>
        <w:t>(Doc.</w:t>
      </w:r>
      <w:r w:rsidR="00C64050">
        <w:rPr>
          <w:szCs w:val="20"/>
        </w:rPr>
        <w:t xml:space="preserve"> </w:t>
      </w:r>
      <w:r w:rsidRPr="00146A1C">
        <w:rPr>
          <w:szCs w:val="20"/>
        </w:rPr>
        <w:t>No.</w:t>
      </w:r>
      <w:r w:rsidR="00C64050">
        <w:rPr>
          <w:szCs w:val="20"/>
        </w:rPr>
        <w:t xml:space="preserve"> </w:t>
      </w:r>
      <w:r w:rsidRPr="00146A1C">
        <w:rPr>
          <w:szCs w:val="20"/>
        </w:rPr>
        <w:t>189-1</w:t>
      </w:r>
      <w:r w:rsidR="00C64050">
        <w:rPr>
          <w:szCs w:val="20"/>
        </w:rPr>
        <w:t xml:space="preserve"> </w:t>
      </w:r>
      <w:r w:rsidRPr="00146A1C">
        <w:rPr>
          <w:szCs w:val="20"/>
        </w:rPr>
        <w:t>at</w:t>
      </w:r>
      <w:r w:rsidR="00C64050">
        <w:rPr>
          <w:szCs w:val="20"/>
        </w:rPr>
        <w:t xml:space="preserve"> </w:t>
      </w:r>
      <w:r w:rsidRPr="00146A1C">
        <w:rPr>
          <w:szCs w:val="20"/>
        </w:rPr>
        <w:t>8.)</w:t>
      </w:r>
      <w:r w:rsidR="00C64050">
        <w:rPr>
          <w:szCs w:val="20"/>
        </w:rPr>
        <w:t xml:space="preserve"> </w:t>
      </w:r>
      <w:r w:rsidRPr="00146A1C">
        <w:rPr>
          <w:szCs w:val="20"/>
        </w:rPr>
        <w:t>The</w:t>
      </w:r>
      <w:r w:rsidR="00C64050">
        <w:rPr>
          <w:szCs w:val="20"/>
        </w:rPr>
        <w:t xml:space="preserve"> </w:t>
      </w:r>
      <w:r w:rsidRPr="00146A1C">
        <w:rPr>
          <w:szCs w:val="20"/>
        </w:rPr>
        <w:t>plural</w:t>
      </w:r>
      <w:r w:rsidR="00C64050">
        <w:rPr>
          <w:szCs w:val="20"/>
        </w:rPr>
        <w:t xml:space="preserve"> </w:t>
      </w:r>
      <w:r w:rsidRPr="00146A1C">
        <w:rPr>
          <w:szCs w:val="20"/>
        </w:rPr>
        <w:t>form</w:t>
      </w:r>
      <w:r w:rsidR="00C64050">
        <w:rPr>
          <w:szCs w:val="20"/>
        </w:rPr>
        <w:t xml:space="preserve"> </w:t>
      </w:r>
      <w:r w:rsidRPr="00146A1C">
        <w:rPr>
          <w:szCs w:val="20"/>
        </w:rPr>
        <w:t>of</w:t>
      </w:r>
      <w:r w:rsidR="00C64050">
        <w:rPr>
          <w:szCs w:val="20"/>
        </w:rPr>
        <w:t xml:space="preserve"> </w:t>
      </w:r>
      <w:r w:rsidRPr="00146A1C">
        <w:rPr>
          <w:szCs w:val="20"/>
        </w:rPr>
        <w:t>fiduciary</w:t>
      </w:r>
      <w:r w:rsidR="00C64050">
        <w:rPr>
          <w:szCs w:val="20"/>
        </w:rPr>
        <w:t xml:space="preserve"> </w:t>
      </w:r>
      <w:r w:rsidRPr="00146A1C">
        <w:rPr>
          <w:szCs w:val="20"/>
        </w:rPr>
        <w:t>may</w:t>
      </w:r>
      <w:r w:rsidR="00C64050">
        <w:rPr>
          <w:szCs w:val="20"/>
        </w:rPr>
        <w:t xml:space="preserve"> </w:t>
      </w:r>
      <w:r w:rsidRPr="00146A1C">
        <w:rPr>
          <w:szCs w:val="20"/>
        </w:rPr>
        <w:t>indicate</w:t>
      </w:r>
      <w:r w:rsidR="00C64050">
        <w:rPr>
          <w:szCs w:val="20"/>
        </w:rPr>
        <w:t xml:space="preserve"> </w:t>
      </w:r>
      <w:r w:rsidRPr="00146A1C">
        <w:rPr>
          <w:szCs w:val="20"/>
        </w:rPr>
        <w:t>that</w:t>
      </w:r>
      <w:r w:rsidR="00C64050">
        <w:rPr>
          <w:szCs w:val="20"/>
        </w:rPr>
        <w:t xml:space="preserve"> </w:t>
      </w:r>
      <w:r w:rsidRPr="00146A1C">
        <w:rPr>
          <w:szCs w:val="20"/>
        </w:rPr>
        <w:t>Michael</w:t>
      </w:r>
      <w:r w:rsidR="00C64050">
        <w:rPr>
          <w:szCs w:val="20"/>
        </w:rPr>
        <w:t xml:space="preserve"> </w:t>
      </w:r>
      <w:r w:rsidRPr="00146A1C">
        <w:rPr>
          <w:szCs w:val="20"/>
        </w:rPr>
        <w:t>Paulson</w:t>
      </w:r>
      <w:r w:rsidR="00C64050">
        <w:rPr>
          <w:szCs w:val="20"/>
        </w:rPr>
        <w:t xml:space="preserve"> </w:t>
      </w:r>
      <w:r w:rsidRPr="00146A1C">
        <w:rPr>
          <w:szCs w:val="20"/>
        </w:rPr>
        <w:t>sought</w:t>
      </w:r>
      <w:r w:rsidR="00C64050">
        <w:rPr>
          <w:szCs w:val="20"/>
        </w:rPr>
        <w:t xml:space="preserve"> </w:t>
      </w:r>
      <w:r w:rsidRPr="00146A1C">
        <w:rPr>
          <w:szCs w:val="20"/>
        </w:rPr>
        <w:t>to</w:t>
      </w:r>
      <w:r w:rsidR="00C64050">
        <w:rPr>
          <w:szCs w:val="20"/>
        </w:rPr>
        <w:t xml:space="preserve"> </w:t>
      </w:r>
      <w:r w:rsidRPr="00146A1C">
        <w:rPr>
          <w:szCs w:val="20"/>
        </w:rPr>
        <w:t>be</w:t>
      </w:r>
      <w:r w:rsidR="00C64050">
        <w:rPr>
          <w:szCs w:val="20"/>
        </w:rPr>
        <w:t xml:space="preserve"> </w:t>
      </w:r>
      <w:r w:rsidRPr="00146A1C">
        <w:rPr>
          <w:szCs w:val="20"/>
        </w:rPr>
        <w:t>discharged</w:t>
      </w:r>
      <w:r w:rsidR="00C64050">
        <w:rPr>
          <w:szCs w:val="20"/>
        </w:rPr>
        <w:t xml:space="preserve"> </w:t>
      </w:r>
      <w:r w:rsidRPr="00146A1C">
        <w:rPr>
          <w:szCs w:val="20"/>
        </w:rPr>
        <w:t>as</w:t>
      </w:r>
      <w:r w:rsidR="00C64050">
        <w:rPr>
          <w:szCs w:val="20"/>
        </w:rPr>
        <w:t xml:space="preserve"> </w:t>
      </w:r>
      <w:r w:rsidRPr="00146A1C">
        <w:rPr>
          <w:szCs w:val="20"/>
        </w:rPr>
        <w:t>a</w:t>
      </w:r>
      <w:r w:rsidR="00C64050">
        <w:rPr>
          <w:szCs w:val="20"/>
        </w:rPr>
        <w:t xml:space="preserve"> </w:t>
      </w:r>
      <w:r w:rsidRPr="00146A1C">
        <w:rPr>
          <w:szCs w:val="20"/>
        </w:rPr>
        <w:t>trustee</w:t>
      </w:r>
      <w:r w:rsidR="00C64050">
        <w:rPr>
          <w:szCs w:val="20"/>
        </w:rPr>
        <w:t xml:space="preserve"> </w:t>
      </w:r>
      <w:r w:rsidRPr="00146A1C">
        <w:rPr>
          <w:szCs w:val="20"/>
        </w:rPr>
        <w:t>and</w:t>
      </w:r>
      <w:r w:rsidR="00C64050">
        <w:rPr>
          <w:szCs w:val="20"/>
        </w:rPr>
        <w:t xml:space="preserve"> </w:t>
      </w:r>
      <w:r w:rsidRPr="00146A1C">
        <w:rPr>
          <w:szCs w:val="20"/>
        </w:rPr>
        <w:t>executor.</w:t>
      </w:r>
      <w:r w:rsidR="00C64050">
        <w:rPr>
          <w:szCs w:val="20"/>
        </w:rPr>
        <w:t xml:space="preserve"> </w:t>
      </w:r>
      <w:r w:rsidRPr="00146A1C">
        <w:rPr>
          <w:szCs w:val="20"/>
        </w:rPr>
        <w:t>Second,</w:t>
      </w:r>
      <w:r w:rsidR="00C64050">
        <w:rPr>
          <w:szCs w:val="20"/>
        </w:rPr>
        <w:t xml:space="preserve"> </w:t>
      </w:r>
      <w:r w:rsidRPr="00146A1C">
        <w:rPr>
          <w:szCs w:val="20"/>
        </w:rPr>
        <w:t>the</w:t>
      </w:r>
      <w:r w:rsidR="00C64050">
        <w:rPr>
          <w:szCs w:val="20"/>
        </w:rPr>
        <w:t xml:space="preserve"> </w:t>
      </w:r>
      <w:r w:rsidRPr="00146A1C">
        <w:rPr>
          <w:szCs w:val="20"/>
        </w:rPr>
        <w:t>letter</w:t>
      </w:r>
      <w:r w:rsidR="00C64050">
        <w:rPr>
          <w:szCs w:val="20"/>
        </w:rPr>
        <w:t xml:space="preserve"> </w:t>
      </w:r>
      <w:r w:rsidRPr="00146A1C">
        <w:rPr>
          <w:szCs w:val="20"/>
        </w:rPr>
        <w:t>enclosed</w:t>
      </w:r>
      <w:r w:rsidR="00C64050">
        <w:rPr>
          <w:szCs w:val="20"/>
        </w:rPr>
        <w:t xml:space="preserve"> </w:t>
      </w:r>
      <w:r w:rsidRPr="00146A1C">
        <w:rPr>
          <w:szCs w:val="20"/>
        </w:rPr>
        <w:t>(1)</w:t>
      </w:r>
      <w:r w:rsidR="00C64050">
        <w:rPr>
          <w:szCs w:val="20"/>
        </w:rPr>
        <w:t xml:space="preserve"> </w:t>
      </w:r>
      <w:r w:rsidRPr="00146A1C">
        <w:rPr>
          <w:szCs w:val="20"/>
        </w:rPr>
        <w:t>a</w:t>
      </w:r>
      <w:r w:rsidR="00C64050">
        <w:rPr>
          <w:szCs w:val="20"/>
        </w:rPr>
        <w:t xml:space="preserve"> </w:t>
      </w:r>
      <w:r w:rsidRPr="00146A1C">
        <w:rPr>
          <w:szCs w:val="20"/>
        </w:rPr>
        <w:t>copy</w:t>
      </w:r>
      <w:r w:rsidR="00C64050">
        <w:rPr>
          <w:szCs w:val="20"/>
        </w:rPr>
        <w:t xml:space="preserve"> </w:t>
      </w:r>
      <w:r w:rsidRPr="00146A1C">
        <w:rPr>
          <w:szCs w:val="20"/>
        </w:rPr>
        <w:t>of</w:t>
      </w:r>
      <w:r w:rsidR="00C64050">
        <w:rPr>
          <w:szCs w:val="20"/>
        </w:rPr>
        <w:t xml:space="preserve"> </w:t>
      </w:r>
      <w:r w:rsidRPr="00146A1C">
        <w:rPr>
          <w:szCs w:val="20"/>
        </w:rPr>
        <w:t>Federal</w:t>
      </w:r>
      <w:r w:rsidR="00C64050">
        <w:rPr>
          <w:szCs w:val="20"/>
        </w:rPr>
        <w:t xml:space="preserve"> </w:t>
      </w:r>
      <w:r w:rsidRPr="00146A1C">
        <w:rPr>
          <w:szCs w:val="20"/>
        </w:rPr>
        <w:t>Form</w:t>
      </w:r>
      <w:r w:rsidR="00C64050">
        <w:rPr>
          <w:szCs w:val="20"/>
        </w:rPr>
        <w:t xml:space="preserve"> </w:t>
      </w:r>
      <w:r w:rsidRPr="00146A1C">
        <w:rPr>
          <w:szCs w:val="20"/>
        </w:rPr>
        <w:t>4768;</w:t>
      </w:r>
      <w:r w:rsidR="00C64050">
        <w:rPr>
          <w:szCs w:val="20"/>
        </w:rPr>
        <w:t xml:space="preserve"> </w:t>
      </w:r>
      <w:r w:rsidRPr="00146A1C">
        <w:rPr>
          <w:szCs w:val="20"/>
        </w:rPr>
        <w:t>(2)</w:t>
      </w:r>
      <w:r w:rsidR="00C64050">
        <w:rPr>
          <w:szCs w:val="20"/>
        </w:rPr>
        <w:t xml:space="preserve"> </w:t>
      </w:r>
      <w:r w:rsidRPr="00146A1C">
        <w:rPr>
          <w:szCs w:val="20"/>
        </w:rPr>
        <w:t>co-executor's</w:t>
      </w:r>
      <w:r w:rsidR="00C64050">
        <w:rPr>
          <w:szCs w:val="20"/>
        </w:rPr>
        <w:t xml:space="preserve"> </w:t>
      </w:r>
      <w:r w:rsidRPr="00146A1C">
        <w:rPr>
          <w:szCs w:val="20"/>
        </w:rPr>
        <w:t>Section</w:t>
      </w:r>
      <w:r w:rsidR="00C64050">
        <w:rPr>
          <w:szCs w:val="20"/>
        </w:rPr>
        <w:t xml:space="preserve"> </w:t>
      </w:r>
      <w:r w:rsidRPr="00146A1C">
        <w:rPr>
          <w:szCs w:val="20"/>
        </w:rPr>
        <w:t>6166</w:t>
      </w:r>
      <w:r w:rsidR="00C64050">
        <w:rPr>
          <w:szCs w:val="20"/>
        </w:rPr>
        <w:t xml:space="preserve"> </w:t>
      </w:r>
      <w:r w:rsidRPr="00146A1C">
        <w:rPr>
          <w:szCs w:val="20"/>
        </w:rPr>
        <w:t>election</w:t>
      </w:r>
      <w:r w:rsidR="00C64050">
        <w:rPr>
          <w:szCs w:val="20"/>
        </w:rPr>
        <w:t xml:space="preserve"> </w:t>
      </w:r>
      <w:r w:rsidRPr="00146A1C">
        <w:rPr>
          <w:szCs w:val="20"/>
        </w:rPr>
        <w:t>for</w:t>
      </w:r>
      <w:r w:rsidR="00C64050">
        <w:rPr>
          <w:szCs w:val="20"/>
        </w:rPr>
        <w:t xml:space="preserve"> </w:t>
      </w:r>
      <w:r w:rsidRPr="00146A1C">
        <w:rPr>
          <w:szCs w:val="20"/>
        </w:rPr>
        <w:t>deferral</w:t>
      </w:r>
      <w:r w:rsidR="00C64050">
        <w:rPr>
          <w:szCs w:val="20"/>
        </w:rPr>
        <w:t xml:space="preserve"> </w:t>
      </w:r>
      <w:r w:rsidRPr="00146A1C">
        <w:rPr>
          <w:szCs w:val="20"/>
        </w:rPr>
        <w:t>of</w:t>
      </w:r>
      <w:r w:rsidR="00C64050">
        <w:rPr>
          <w:szCs w:val="20"/>
        </w:rPr>
        <w:t xml:space="preserve"> </w:t>
      </w:r>
      <w:r w:rsidRPr="00146A1C">
        <w:rPr>
          <w:szCs w:val="20"/>
        </w:rPr>
        <w:t>federal</w:t>
      </w:r>
      <w:r w:rsidR="00C64050">
        <w:rPr>
          <w:szCs w:val="20"/>
        </w:rPr>
        <w:t xml:space="preserve"> </w:t>
      </w:r>
      <w:r w:rsidRPr="00146A1C">
        <w:rPr>
          <w:szCs w:val="20"/>
        </w:rPr>
        <w:t>estate</w:t>
      </w:r>
      <w:r w:rsidR="00C64050">
        <w:rPr>
          <w:szCs w:val="20"/>
        </w:rPr>
        <w:t xml:space="preserve"> </w:t>
      </w:r>
      <w:r w:rsidRPr="00146A1C">
        <w:rPr>
          <w:szCs w:val="20"/>
        </w:rPr>
        <w:t>tax;</w:t>
      </w:r>
      <w:r w:rsidR="00C64050">
        <w:rPr>
          <w:szCs w:val="20"/>
        </w:rPr>
        <w:t xml:space="preserve"> </w:t>
      </w:r>
      <w:r w:rsidRPr="00146A1C">
        <w:rPr>
          <w:szCs w:val="20"/>
        </w:rPr>
        <w:t>and</w:t>
      </w:r>
      <w:r w:rsidR="00C64050">
        <w:rPr>
          <w:szCs w:val="20"/>
        </w:rPr>
        <w:t xml:space="preserve"> </w:t>
      </w:r>
      <w:r w:rsidRPr="00146A1C">
        <w:rPr>
          <w:szCs w:val="20"/>
        </w:rPr>
        <w:t>(3)</w:t>
      </w:r>
      <w:r w:rsidR="00C64050">
        <w:rPr>
          <w:szCs w:val="20"/>
        </w:rPr>
        <w:t xml:space="preserve"> </w:t>
      </w:r>
      <w:r w:rsidRPr="00146A1C">
        <w:rPr>
          <w:szCs w:val="20"/>
        </w:rPr>
        <w:t>co-executor's</w:t>
      </w:r>
      <w:r w:rsidR="00C64050">
        <w:rPr>
          <w:szCs w:val="20"/>
        </w:rPr>
        <w:t xml:space="preserve"> </w:t>
      </w:r>
      <w:r w:rsidRPr="00146A1C">
        <w:rPr>
          <w:szCs w:val="20"/>
        </w:rPr>
        <w:t>request</w:t>
      </w:r>
      <w:r w:rsidR="00C64050">
        <w:rPr>
          <w:szCs w:val="20"/>
        </w:rPr>
        <w:t xml:space="preserve"> </w:t>
      </w:r>
      <w:r w:rsidRPr="00146A1C">
        <w:rPr>
          <w:szCs w:val="20"/>
        </w:rPr>
        <w:t>for</w:t>
      </w:r>
      <w:r w:rsidR="00C64050">
        <w:rPr>
          <w:szCs w:val="20"/>
        </w:rPr>
        <w:t xml:space="preserve"> </w:t>
      </w:r>
      <w:r w:rsidRPr="00146A1C">
        <w:rPr>
          <w:szCs w:val="20"/>
        </w:rPr>
        <w:t>discharge</w:t>
      </w:r>
      <w:r w:rsidR="00C64050">
        <w:rPr>
          <w:szCs w:val="20"/>
        </w:rPr>
        <w:t xml:space="preserve"> </w:t>
      </w:r>
      <w:r w:rsidRPr="00146A1C">
        <w:rPr>
          <w:szCs w:val="20"/>
        </w:rPr>
        <w:t>from</w:t>
      </w:r>
      <w:r w:rsidR="00C64050">
        <w:rPr>
          <w:szCs w:val="20"/>
        </w:rPr>
        <w:t xml:space="preserve"> </w:t>
      </w:r>
      <w:r w:rsidRPr="00146A1C">
        <w:rPr>
          <w:szCs w:val="20"/>
        </w:rPr>
        <w:t>personal</w:t>
      </w:r>
      <w:r w:rsidR="00C64050">
        <w:rPr>
          <w:szCs w:val="20"/>
        </w:rPr>
        <w:t xml:space="preserve"> </w:t>
      </w:r>
      <w:r w:rsidRPr="00146A1C">
        <w:rPr>
          <w:szCs w:val="20"/>
        </w:rPr>
        <w:t>liability</w:t>
      </w:r>
      <w:r w:rsidR="00C64050">
        <w:rPr>
          <w:szCs w:val="20"/>
        </w:rPr>
        <w:t xml:space="preserve"> </w:t>
      </w:r>
      <w:r w:rsidRPr="00146A1C">
        <w:rPr>
          <w:szCs w:val="20"/>
        </w:rPr>
        <w:t>pursuant</w:t>
      </w:r>
      <w:r w:rsidR="00C64050">
        <w:rPr>
          <w:szCs w:val="20"/>
        </w:rPr>
        <w:t xml:space="preserve"> </w:t>
      </w:r>
      <w:r w:rsidRPr="00146A1C">
        <w:rPr>
          <w:szCs w:val="20"/>
        </w:rPr>
        <w:t>to</w:t>
      </w:r>
      <w:r w:rsidR="00C64050">
        <w:rPr>
          <w:szCs w:val="20"/>
        </w:rPr>
        <w:t xml:space="preserve"> </w:t>
      </w:r>
      <w:r w:rsidRPr="00146A1C">
        <w:rPr>
          <w:szCs w:val="20"/>
        </w:rPr>
        <w:t>I.R.C.</w:t>
      </w:r>
      <w:r w:rsidR="00C64050">
        <w:rPr>
          <w:szCs w:val="20"/>
        </w:rPr>
        <w:t xml:space="preserve"> </w:t>
      </w:r>
      <w:r w:rsidRPr="00146A1C">
        <w:rPr>
          <w:szCs w:val="20"/>
        </w:rPr>
        <w:t>Section</w:t>
      </w:r>
      <w:r w:rsidR="00C64050">
        <w:rPr>
          <w:szCs w:val="20"/>
        </w:rPr>
        <w:t xml:space="preserve"> </w:t>
      </w:r>
      <w:r w:rsidRPr="00146A1C">
        <w:rPr>
          <w:szCs w:val="20"/>
        </w:rPr>
        <w:t>2204.</w:t>
      </w:r>
      <w:r w:rsidR="00C64050">
        <w:rPr>
          <w:szCs w:val="20"/>
        </w:rPr>
        <w:t xml:space="preserve"> </w:t>
      </w:r>
      <w:r w:rsidRPr="00146A1C">
        <w:rPr>
          <w:szCs w:val="20"/>
        </w:rPr>
        <w:t>(Doc.</w:t>
      </w:r>
      <w:r w:rsidR="00C64050">
        <w:rPr>
          <w:szCs w:val="20"/>
        </w:rPr>
        <w:t xml:space="preserve"> </w:t>
      </w:r>
      <w:r w:rsidRPr="00146A1C">
        <w:rPr>
          <w:szCs w:val="20"/>
        </w:rPr>
        <w:t>No.</w:t>
      </w:r>
      <w:r w:rsidR="00C64050">
        <w:rPr>
          <w:szCs w:val="20"/>
        </w:rPr>
        <w:t xml:space="preserve"> </w:t>
      </w:r>
      <w:r w:rsidRPr="00146A1C">
        <w:rPr>
          <w:szCs w:val="20"/>
        </w:rPr>
        <w:t>172</w:t>
      </w:r>
      <w:r w:rsidR="00C64050">
        <w:rPr>
          <w:szCs w:val="20"/>
        </w:rPr>
        <w:t xml:space="preserve"> </w:t>
      </w:r>
      <w:r w:rsidRPr="00146A1C">
        <w:rPr>
          <w:szCs w:val="20"/>
        </w:rPr>
        <w:t>at</w:t>
      </w:r>
      <w:r w:rsidR="00C64050">
        <w:rPr>
          <w:szCs w:val="20"/>
        </w:rPr>
        <w:t xml:space="preserve"> </w:t>
      </w:r>
      <w:r w:rsidRPr="00146A1C">
        <w:rPr>
          <w:szCs w:val="20"/>
        </w:rPr>
        <w:t>21.)</w:t>
      </w:r>
      <w:r w:rsidR="00C64050">
        <w:rPr>
          <w:szCs w:val="20"/>
        </w:rPr>
        <w:t xml:space="preserve"> </w:t>
      </w:r>
      <w:r w:rsidRPr="00146A1C">
        <w:rPr>
          <w:szCs w:val="20"/>
        </w:rPr>
        <w:t>As</w:t>
      </w:r>
      <w:r w:rsidR="00C64050">
        <w:rPr>
          <w:szCs w:val="20"/>
        </w:rPr>
        <w:t xml:space="preserve"> </w:t>
      </w:r>
      <w:r w:rsidRPr="00146A1C">
        <w:rPr>
          <w:szCs w:val="20"/>
        </w:rPr>
        <w:t>to</w:t>
      </w:r>
      <w:r w:rsidR="00C64050">
        <w:rPr>
          <w:szCs w:val="20"/>
        </w:rPr>
        <w:t xml:space="preserve"> </w:t>
      </w:r>
      <w:r w:rsidRPr="00146A1C">
        <w:rPr>
          <w:szCs w:val="20"/>
        </w:rPr>
        <w:t>the</w:t>
      </w:r>
      <w:r w:rsidR="00C64050">
        <w:rPr>
          <w:szCs w:val="20"/>
        </w:rPr>
        <w:t xml:space="preserve"> </w:t>
      </w:r>
      <w:r w:rsidRPr="00146A1C">
        <w:rPr>
          <w:szCs w:val="20"/>
        </w:rPr>
        <w:t>request</w:t>
      </w:r>
      <w:r w:rsidR="00C64050">
        <w:rPr>
          <w:szCs w:val="20"/>
        </w:rPr>
        <w:t xml:space="preserve"> </w:t>
      </w:r>
      <w:r w:rsidRPr="00146A1C">
        <w:rPr>
          <w:szCs w:val="20"/>
        </w:rPr>
        <w:t>for</w:t>
      </w:r>
      <w:r w:rsidR="00C64050">
        <w:rPr>
          <w:szCs w:val="20"/>
        </w:rPr>
        <w:t xml:space="preserve"> </w:t>
      </w:r>
      <w:r w:rsidRPr="00146A1C">
        <w:rPr>
          <w:szCs w:val="20"/>
        </w:rPr>
        <w:t>discharge,</w:t>
      </w:r>
      <w:r w:rsidR="00C64050">
        <w:rPr>
          <w:szCs w:val="20"/>
        </w:rPr>
        <w:t xml:space="preserve"> </w:t>
      </w:r>
      <w:r w:rsidRPr="00146A1C">
        <w:rPr>
          <w:szCs w:val="20"/>
        </w:rPr>
        <w:t>the</w:t>
      </w:r>
      <w:r w:rsidR="00C64050">
        <w:rPr>
          <w:szCs w:val="20"/>
        </w:rPr>
        <w:t xml:space="preserve"> </w:t>
      </w:r>
      <w:r w:rsidRPr="00146A1C">
        <w:rPr>
          <w:szCs w:val="20"/>
        </w:rPr>
        <w:t>letter</w:t>
      </w:r>
      <w:r w:rsidR="00C64050">
        <w:rPr>
          <w:szCs w:val="20"/>
        </w:rPr>
        <w:t xml:space="preserve"> </w:t>
      </w:r>
      <w:r w:rsidRPr="00146A1C">
        <w:rPr>
          <w:szCs w:val="20"/>
        </w:rPr>
        <w:t>is</w:t>
      </w:r>
      <w:r w:rsidR="00C64050">
        <w:rPr>
          <w:szCs w:val="20"/>
        </w:rPr>
        <w:t xml:space="preserve"> </w:t>
      </w:r>
      <w:r w:rsidRPr="00146A1C">
        <w:rPr>
          <w:szCs w:val="20"/>
        </w:rPr>
        <w:t>not</w:t>
      </w:r>
      <w:r w:rsidR="00C64050">
        <w:rPr>
          <w:szCs w:val="20"/>
        </w:rPr>
        <w:t xml:space="preserve"> </w:t>
      </w:r>
      <w:r w:rsidRPr="00146A1C">
        <w:rPr>
          <w:szCs w:val="20"/>
        </w:rPr>
        <w:t>specific</w:t>
      </w:r>
      <w:r w:rsidR="00C64050">
        <w:rPr>
          <w:szCs w:val="20"/>
        </w:rPr>
        <w:t xml:space="preserve"> </w:t>
      </w:r>
      <w:r w:rsidRPr="00146A1C">
        <w:rPr>
          <w:szCs w:val="20"/>
        </w:rPr>
        <w:t>as</w:t>
      </w:r>
      <w:r w:rsidR="00C64050">
        <w:rPr>
          <w:szCs w:val="20"/>
        </w:rPr>
        <w:t xml:space="preserve"> </w:t>
      </w:r>
      <w:r w:rsidRPr="00146A1C">
        <w:rPr>
          <w:szCs w:val="20"/>
        </w:rPr>
        <w:t>to</w:t>
      </w:r>
      <w:r w:rsidR="00C64050">
        <w:rPr>
          <w:szCs w:val="20"/>
        </w:rPr>
        <w:t xml:space="preserve"> </w:t>
      </w:r>
      <w:r w:rsidRPr="00146A1C">
        <w:rPr>
          <w:szCs w:val="20"/>
        </w:rPr>
        <w:t>whether</w:t>
      </w:r>
      <w:r w:rsidR="00C64050">
        <w:rPr>
          <w:szCs w:val="20"/>
        </w:rPr>
        <w:t xml:space="preserve"> </w:t>
      </w:r>
      <w:r w:rsidRPr="00146A1C">
        <w:rPr>
          <w:szCs w:val="20"/>
        </w:rPr>
        <w:t>Michael</w:t>
      </w:r>
      <w:r w:rsidR="00C64050">
        <w:rPr>
          <w:szCs w:val="20"/>
        </w:rPr>
        <w:t xml:space="preserve"> </w:t>
      </w:r>
      <w:r w:rsidRPr="00146A1C">
        <w:rPr>
          <w:szCs w:val="20"/>
        </w:rPr>
        <w:t>Paulson</w:t>
      </w:r>
      <w:r w:rsidR="00C64050">
        <w:rPr>
          <w:szCs w:val="20"/>
        </w:rPr>
        <w:t xml:space="preserve"> </w:t>
      </w:r>
      <w:r w:rsidRPr="00146A1C">
        <w:rPr>
          <w:szCs w:val="20"/>
        </w:rPr>
        <w:t>was</w:t>
      </w:r>
      <w:r w:rsidR="00C64050">
        <w:rPr>
          <w:szCs w:val="20"/>
        </w:rPr>
        <w:t xml:space="preserve"> </w:t>
      </w:r>
      <w:r w:rsidRPr="00146A1C">
        <w:rPr>
          <w:szCs w:val="20"/>
        </w:rPr>
        <w:t>requesting</w:t>
      </w:r>
      <w:r w:rsidR="00C64050">
        <w:rPr>
          <w:szCs w:val="20"/>
        </w:rPr>
        <w:t xml:space="preserve"> </w:t>
      </w:r>
      <w:r w:rsidRPr="00146A1C">
        <w:rPr>
          <w:szCs w:val="20"/>
        </w:rPr>
        <w:t>discharge</w:t>
      </w:r>
      <w:r w:rsidR="00C64050">
        <w:rPr>
          <w:szCs w:val="20"/>
        </w:rPr>
        <w:t xml:space="preserve"> </w:t>
      </w:r>
      <w:r w:rsidRPr="00146A1C">
        <w:rPr>
          <w:szCs w:val="20"/>
        </w:rPr>
        <w:t>under</w:t>
      </w:r>
      <w:r w:rsidR="00C64050">
        <w:rPr>
          <w:szCs w:val="20"/>
        </w:rPr>
        <w:t xml:space="preserve"> </w:t>
      </w:r>
      <w:r w:rsidRPr="00146A1C">
        <w:rPr>
          <w:szCs w:val="20"/>
        </w:rPr>
        <w:t>parts</w:t>
      </w:r>
      <w:r w:rsidR="00C64050">
        <w:rPr>
          <w:szCs w:val="20"/>
        </w:rPr>
        <w:t xml:space="preserve"> </w:t>
      </w:r>
      <w:r w:rsidRPr="00146A1C">
        <w:rPr>
          <w:szCs w:val="20"/>
        </w:rPr>
        <w:t>(a)</w:t>
      </w:r>
      <w:r w:rsidR="00C64050">
        <w:rPr>
          <w:szCs w:val="20"/>
        </w:rPr>
        <w:t xml:space="preserve"> </w:t>
      </w:r>
      <w:r w:rsidRPr="00146A1C">
        <w:rPr>
          <w:szCs w:val="20"/>
        </w:rPr>
        <w:t>or</w:t>
      </w:r>
      <w:r w:rsidR="00C64050">
        <w:rPr>
          <w:szCs w:val="20"/>
        </w:rPr>
        <w:t xml:space="preserve"> </w:t>
      </w:r>
      <w:r w:rsidRPr="00146A1C">
        <w:rPr>
          <w:szCs w:val="20"/>
        </w:rPr>
        <w:t>(b)</w:t>
      </w:r>
      <w:r w:rsidR="00C64050">
        <w:rPr>
          <w:szCs w:val="20"/>
        </w:rPr>
        <w:t xml:space="preserve"> </w:t>
      </w:r>
      <w:r w:rsidRPr="00146A1C">
        <w:rPr>
          <w:szCs w:val="20"/>
        </w:rPr>
        <w:t>or</w:t>
      </w:r>
      <w:r w:rsidR="00C64050">
        <w:rPr>
          <w:szCs w:val="20"/>
        </w:rPr>
        <w:t xml:space="preserve"> </w:t>
      </w:r>
      <w:r w:rsidRPr="00146A1C">
        <w:rPr>
          <w:szCs w:val="20"/>
        </w:rPr>
        <w:t>both</w:t>
      </w:r>
      <w:r w:rsidR="00C64050">
        <w:rPr>
          <w:szCs w:val="20"/>
        </w:rPr>
        <w:t xml:space="preserve"> </w:t>
      </w:r>
      <w:r w:rsidRPr="00146A1C">
        <w:rPr>
          <w:szCs w:val="20"/>
        </w:rPr>
        <w:t>of</w:t>
      </w:r>
      <w:r w:rsidR="00C64050">
        <w:rPr>
          <w:szCs w:val="20"/>
        </w:rPr>
        <w:t xml:space="preserve"> </w:t>
      </w:r>
      <w:r w:rsidRPr="00146A1C">
        <w:rPr>
          <w:szCs w:val="20"/>
        </w:rPr>
        <w:t>Section</w:t>
      </w:r>
      <w:r w:rsidR="00C64050">
        <w:rPr>
          <w:szCs w:val="20"/>
        </w:rPr>
        <w:t xml:space="preserve"> </w:t>
      </w:r>
      <w:r w:rsidRPr="00146A1C">
        <w:rPr>
          <w:szCs w:val="20"/>
        </w:rPr>
        <w:t>2204.</w:t>
      </w:r>
      <w:r w:rsidR="00C64050">
        <w:rPr>
          <w:szCs w:val="20"/>
        </w:rPr>
        <w:t xml:space="preserve"> </w:t>
      </w:r>
      <w:r w:rsidRPr="00146A1C">
        <w:rPr>
          <w:szCs w:val="20"/>
        </w:rPr>
        <w:t>(</w:t>
      </w:r>
      <w:r w:rsidRPr="00146A1C">
        <w:rPr>
          <w:rStyle w:val="Emphasis"/>
          <w:color w:val="212121"/>
          <w:szCs w:val="20"/>
        </w:rPr>
        <w:t>Id.</w:t>
      </w:r>
      <w:r w:rsidRPr="00146A1C">
        <w:rPr>
          <w:szCs w:val="20"/>
        </w:rPr>
        <w:t>)</w:t>
      </w:r>
      <w:r w:rsidR="00C64050">
        <w:rPr>
          <w:szCs w:val="20"/>
        </w:rPr>
        <w:t xml:space="preserve"> </w:t>
      </w:r>
      <w:r w:rsidRPr="00146A1C">
        <w:rPr>
          <w:szCs w:val="20"/>
        </w:rPr>
        <w:t>Further,</w:t>
      </w:r>
      <w:r w:rsidR="00C64050">
        <w:rPr>
          <w:szCs w:val="20"/>
        </w:rPr>
        <w:t xml:space="preserve"> </w:t>
      </w:r>
      <w:r w:rsidRPr="00146A1C">
        <w:rPr>
          <w:szCs w:val="20"/>
        </w:rPr>
        <w:t>requesting</w:t>
      </w:r>
      <w:r w:rsidR="00C64050">
        <w:rPr>
          <w:szCs w:val="20"/>
        </w:rPr>
        <w:t xml:space="preserve"> </w:t>
      </w:r>
      <w:r w:rsidRPr="00146A1C">
        <w:rPr>
          <w:szCs w:val="20"/>
        </w:rPr>
        <w:t>the</w:t>
      </w:r>
      <w:r w:rsidR="00C64050">
        <w:rPr>
          <w:szCs w:val="20"/>
        </w:rPr>
        <w:t xml:space="preserve"> </w:t>
      </w:r>
      <w:r w:rsidRPr="00146A1C">
        <w:rPr>
          <w:szCs w:val="20"/>
        </w:rPr>
        <w:t>longer</w:t>
      </w:r>
      <w:r w:rsidR="00C64050">
        <w:rPr>
          <w:szCs w:val="20"/>
        </w:rPr>
        <w:t xml:space="preserve"> </w:t>
      </w:r>
      <w:r w:rsidRPr="00146A1C">
        <w:rPr>
          <w:szCs w:val="20"/>
        </w:rPr>
        <w:t>time</w:t>
      </w:r>
      <w:r w:rsidR="00C64050">
        <w:rPr>
          <w:szCs w:val="20"/>
        </w:rPr>
        <w:t xml:space="preserve"> </w:t>
      </w:r>
      <w:r w:rsidRPr="00146A1C">
        <w:rPr>
          <w:szCs w:val="20"/>
        </w:rPr>
        <w:t>frame</w:t>
      </w:r>
      <w:r w:rsidR="00C64050">
        <w:rPr>
          <w:szCs w:val="20"/>
        </w:rPr>
        <w:t xml:space="preserve"> </w:t>
      </w:r>
      <w:r w:rsidRPr="00146A1C">
        <w:rPr>
          <w:szCs w:val="20"/>
        </w:rPr>
        <w:t>of</w:t>
      </w:r>
      <w:r w:rsidR="00C64050">
        <w:rPr>
          <w:szCs w:val="20"/>
        </w:rPr>
        <w:t xml:space="preserve"> </w:t>
      </w:r>
      <w:r w:rsidRPr="00146A1C">
        <w:rPr>
          <w:szCs w:val="20"/>
        </w:rPr>
        <w:t>nine</w:t>
      </w:r>
      <w:r w:rsidR="00C64050">
        <w:rPr>
          <w:szCs w:val="20"/>
        </w:rPr>
        <w:t xml:space="preserve"> </w:t>
      </w:r>
      <w:r w:rsidRPr="00146A1C">
        <w:rPr>
          <w:szCs w:val="20"/>
        </w:rPr>
        <w:t>months</w:t>
      </w:r>
      <w:r w:rsidR="00C64050">
        <w:rPr>
          <w:szCs w:val="20"/>
        </w:rPr>
        <w:t xml:space="preserve"> </w:t>
      </w:r>
      <w:r w:rsidRPr="00146A1C">
        <w:rPr>
          <w:szCs w:val="20"/>
        </w:rPr>
        <w:t>was</w:t>
      </w:r>
      <w:r w:rsidR="00C64050">
        <w:rPr>
          <w:szCs w:val="20"/>
        </w:rPr>
        <w:t xml:space="preserve"> </w:t>
      </w:r>
      <w:r w:rsidRPr="00146A1C">
        <w:rPr>
          <w:szCs w:val="20"/>
        </w:rPr>
        <w:t>likely</w:t>
      </w:r>
      <w:r w:rsidR="00C64050">
        <w:rPr>
          <w:szCs w:val="20"/>
        </w:rPr>
        <w:t xml:space="preserve"> </w:t>
      </w:r>
      <w:r w:rsidRPr="00146A1C">
        <w:rPr>
          <w:szCs w:val="20"/>
        </w:rPr>
        <w:t>appropriate</w:t>
      </w:r>
      <w:r w:rsidR="00C64050">
        <w:rPr>
          <w:szCs w:val="20"/>
        </w:rPr>
        <w:t xml:space="preserve"> </w:t>
      </w:r>
      <w:r w:rsidRPr="00146A1C">
        <w:rPr>
          <w:szCs w:val="20"/>
        </w:rPr>
        <w:t>as</w:t>
      </w:r>
      <w:r w:rsidR="00C64050">
        <w:rPr>
          <w:szCs w:val="20"/>
        </w:rPr>
        <w:t xml:space="preserve"> </w:t>
      </w:r>
      <w:r w:rsidRPr="00146A1C">
        <w:rPr>
          <w:szCs w:val="20"/>
        </w:rPr>
        <w:t>it</w:t>
      </w:r>
      <w:r w:rsidR="00C64050">
        <w:rPr>
          <w:szCs w:val="20"/>
        </w:rPr>
        <w:t xml:space="preserve"> </w:t>
      </w:r>
      <w:r w:rsidRPr="00146A1C">
        <w:rPr>
          <w:szCs w:val="20"/>
        </w:rPr>
        <w:t>encompassed</w:t>
      </w:r>
      <w:r w:rsidR="00C64050">
        <w:rPr>
          <w:szCs w:val="20"/>
        </w:rPr>
        <w:t xml:space="preserve"> </w:t>
      </w:r>
      <w:r w:rsidRPr="00146A1C">
        <w:rPr>
          <w:szCs w:val="20"/>
        </w:rPr>
        <w:t>both</w:t>
      </w:r>
      <w:r w:rsidR="00C64050">
        <w:rPr>
          <w:szCs w:val="20"/>
        </w:rPr>
        <w:t xml:space="preserve"> </w:t>
      </w:r>
      <w:r w:rsidRPr="00146A1C">
        <w:rPr>
          <w:szCs w:val="20"/>
        </w:rPr>
        <w:t>the</w:t>
      </w:r>
      <w:r w:rsidR="00C64050">
        <w:rPr>
          <w:szCs w:val="20"/>
        </w:rPr>
        <w:t xml:space="preserve"> </w:t>
      </w:r>
      <w:r w:rsidRPr="00146A1C">
        <w:rPr>
          <w:szCs w:val="20"/>
        </w:rPr>
        <w:t>time</w:t>
      </w:r>
      <w:r w:rsidR="00C64050">
        <w:rPr>
          <w:szCs w:val="20"/>
        </w:rPr>
        <w:t xml:space="preserve"> </w:t>
      </w:r>
      <w:r w:rsidRPr="00146A1C">
        <w:rPr>
          <w:szCs w:val="20"/>
        </w:rPr>
        <w:t>frame</w:t>
      </w:r>
      <w:r w:rsidR="00C64050">
        <w:rPr>
          <w:szCs w:val="20"/>
        </w:rPr>
        <w:t xml:space="preserve"> </w:t>
      </w:r>
      <w:r w:rsidRPr="00146A1C">
        <w:rPr>
          <w:szCs w:val="20"/>
        </w:rPr>
        <w:t>to</w:t>
      </w:r>
      <w:r w:rsidR="00C64050">
        <w:rPr>
          <w:szCs w:val="20"/>
        </w:rPr>
        <w:t xml:space="preserve"> </w:t>
      </w:r>
      <w:r w:rsidRPr="00146A1C">
        <w:rPr>
          <w:szCs w:val="20"/>
        </w:rPr>
        <w:t>be</w:t>
      </w:r>
      <w:r w:rsidR="00C64050">
        <w:rPr>
          <w:szCs w:val="20"/>
        </w:rPr>
        <w:t xml:space="preserve"> </w:t>
      </w:r>
      <w:r w:rsidRPr="00146A1C">
        <w:rPr>
          <w:szCs w:val="20"/>
        </w:rPr>
        <w:t>discharged</w:t>
      </w:r>
      <w:r w:rsidR="00C64050">
        <w:rPr>
          <w:szCs w:val="20"/>
        </w:rPr>
        <w:t xml:space="preserve"> </w:t>
      </w:r>
      <w:r w:rsidRPr="00146A1C">
        <w:rPr>
          <w:szCs w:val="20"/>
        </w:rPr>
        <w:t>as</w:t>
      </w:r>
      <w:r w:rsidR="00C64050">
        <w:rPr>
          <w:szCs w:val="20"/>
        </w:rPr>
        <w:t xml:space="preserve"> </w:t>
      </w:r>
      <w:r w:rsidRPr="00146A1C">
        <w:rPr>
          <w:szCs w:val="20"/>
        </w:rPr>
        <w:t>a</w:t>
      </w:r>
      <w:r w:rsidR="00C64050">
        <w:rPr>
          <w:szCs w:val="20"/>
        </w:rPr>
        <w:t xml:space="preserve"> </w:t>
      </w:r>
      <w:r w:rsidRPr="00146A1C">
        <w:rPr>
          <w:szCs w:val="20"/>
        </w:rPr>
        <w:t>fiduciary</w:t>
      </w:r>
      <w:r w:rsidR="00C64050">
        <w:rPr>
          <w:szCs w:val="20"/>
        </w:rPr>
        <w:t xml:space="preserve"> </w:t>
      </w:r>
      <w:r w:rsidRPr="00146A1C">
        <w:rPr>
          <w:szCs w:val="20"/>
        </w:rPr>
        <w:t>and</w:t>
      </w:r>
      <w:r w:rsidR="00C64050">
        <w:rPr>
          <w:szCs w:val="20"/>
        </w:rPr>
        <w:t xml:space="preserve"> </w:t>
      </w:r>
      <w:r w:rsidRPr="00146A1C">
        <w:rPr>
          <w:szCs w:val="20"/>
        </w:rPr>
        <w:t>as</w:t>
      </w:r>
      <w:r w:rsidR="00C64050">
        <w:rPr>
          <w:szCs w:val="20"/>
        </w:rPr>
        <w:t xml:space="preserve"> </w:t>
      </w:r>
      <w:r w:rsidRPr="00146A1C">
        <w:rPr>
          <w:szCs w:val="20"/>
        </w:rPr>
        <w:t>an</w:t>
      </w:r>
      <w:r w:rsidR="00C64050">
        <w:rPr>
          <w:szCs w:val="20"/>
        </w:rPr>
        <w:t xml:space="preserve"> </w:t>
      </w:r>
      <w:r w:rsidRPr="00146A1C">
        <w:rPr>
          <w:szCs w:val="20"/>
        </w:rPr>
        <w:t>executor.</w:t>
      </w:r>
    </w:p>
    <w:p w:rsidR="00146A1C" w:rsidRPr="00146A1C" w:rsidRDefault="00146A1C" w:rsidP="00146A1C">
      <w:pPr>
        <w:pStyle w:val="QS10"/>
        <w:rPr>
          <w:szCs w:val="20"/>
        </w:rPr>
      </w:pPr>
      <w:r w:rsidRPr="00146A1C">
        <w:rPr>
          <w:szCs w:val="20"/>
        </w:rPr>
        <w:t>226</w:t>
      </w:r>
      <w:r w:rsidR="00C64050">
        <w:rPr>
          <w:szCs w:val="20"/>
        </w:rPr>
        <w:t xml:space="preserve"> </w:t>
      </w:r>
      <w:r w:rsidRPr="00146A1C">
        <w:rPr>
          <w:szCs w:val="20"/>
        </w:rPr>
        <w:t>U.S.C.</w:t>
      </w:r>
      <w:r w:rsidR="00C64050">
        <w:rPr>
          <w:szCs w:val="20"/>
        </w:rPr>
        <w:t xml:space="preserve"> </w:t>
      </w:r>
      <w:r w:rsidRPr="00146A1C">
        <w:rPr>
          <w:szCs w:val="20"/>
        </w:rPr>
        <w:t>§</w:t>
      </w:r>
      <w:r w:rsidR="00C64050">
        <w:rPr>
          <w:szCs w:val="20"/>
        </w:rPr>
        <w:t xml:space="preserve"> </w:t>
      </w:r>
      <w:r w:rsidRPr="00146A1C">
        <w:rPr>
          <w:szCs w:val="20"/>
        </w:rPr>
        <w:t>2204</w:t>
      </w:r>
      <w:r w:rsidR="00C64050">
        <w:rPr>
          <w:szCs w:val="20"/>
        </w:rPr>
        <w:t xml:space="preserve"> </w:t>
      </w:r>
      <w:r w:rsidRPr="00146A1C">
        <w:rPr>
          <w:szCs w:val="20"/>
        </w:rPr>
        <w:t>does</w:t>
      </w:r>
      <w:r w:rsidR="00C64050">
        <w:rPr>
          <w:szCs w:val="20"/>
        </w:rPr>
        <w:t xml:space="preserve"> </w:t>
      </w:r>
      <w:r w:rsidRPr="00146A1C">
        <w:rPr>
          <w:szCs w:val="20"/>
        </w:rPr>
        <w:t>not</w:t>
      </w:r>
      <w:r w:rsidR="00C64050">
        <w:rPr>
          <w:szCs w:val="20"/>
        </w:rPr>
        <w:t xml:space="preserve"> </w:t>
      </w:r>
      <w:r w:rsidRPr="00146A1C">
        <w:rPr>
          <w:szCs w:val="20"/>
        </w:rPr>
        <w:t>specify</w:t>
      </w:r>
      <w:r w:rsidR="00C64050">
        <w:rPr>
          <w:szCs w:val="20"/>
        </w:rPr>
        <w:t xml:space="preserve"> </w:t>
      </w:r>
      <w:r w:rsidRPr="00146A1C">
        <w:rPr>
          <w:szCs w:val="20"/>
        </w:rPr>
        <w:t>how</w:t>
      </w:r>
      <w:r w:rsidR="00C64050">
        <w:rPr>
          <w:szCs w:val="20"/>
        </w:rPr>
        <w:t xml:space="preserve"> </w:t>
      </w:r>
      <w:r w:rsidRPr="00146A1C">
        <w:rPr>
          <w:szCs w:val="20"/>
        </w:rPr>
        <w:t>Michael</w:t>
      </w:r>
      <w:r w:rsidR="00C64050">
        <w:rPr>
          <w:szCs w:val="20"/>
        </w:rPr>
        <w:t xml:space="preserve"> </w:t>
      </w:r>
      <w:r w:rsidRPr="00146A1C">
        <w:rPr>
          <w:szCs w:val="20"/>
        </w:rPr>
        <w:t>Paulson</w:t>
      </w:r>
      <w:r w:rsidR="00C64050">
        <w:rPr>
          <w:szCs w:val="20"/>
        </w:rPr>
        <w:t xml:space="preserve"> </w:t>
      </w:r>
      <w:r w:rsidRPr="00146A1C">
        <w:rPr>
          <w:szCs w:val="20"/>
        </w:rPr>
        <w:t>was</w:t>
      </w:r>
      <w:r w:rsidR="00C64050">
        <w:rPr>
          <w:szCs w:val="20"/>
        </w:rPr>
        <w:t xml:space="preserve"> </w:t>
      </w:r>
      <w:r w:rsidRPr="00146A1C">
        <w:rPr>
          <w:szCs w:val="20"/>
        </w:rPr>
        <w:t>to</w:t>
      </w:r>
      <w:r w:rsidR="00C64050">
        <w:rPr>
          <w:szCs w:val="20"/>
        </w:rPr>
        <w:t xml:space="preserve"> </w:t>
      </w:r>
      <w:r w:rsidRPr="00146A1C">
        <w:rPr>
          <w:szCs w:val="20"/>
        </w:rPr>
        <w:t>sign</w:t>
      </w:r>
      <w:r w:rsidR="00C64050">
        <w:rPr>
          <w:szCs w:val="20"/>
        </w:rPr>
        <w:t xml:space="preserve"> </w:t>
      </w:r>
      <w:r w:rsidRPr="00146A1C">
        <w:rPr>
          <w:szCs w:val="20"/>
        </w:rPr>
        <w:t>the</w:t>
      </w:r>
      <w:r w:rsidR="00C64050">
        <w:rPr>
          <w:szCs w:val="20"/>
        </w:rPr>
        <w:t xml:space="preserve"> </w:t>
      </w:r>
      <w:r w:rsidRPr="00146A1C">
        <w:rPr>
          <w:szCs w:val="20"/>
        </w:rPr>
        <w:t>letter.</w:t>
      </w:r>
      <w:r w:rsidR="00C64050">
        <w:rPr>
          <w:szCs w:val="20"/>
        </w:rPr>
        <w:t xml:space="preserve"> </w:t>
      </w:r>
      <w:r w:rsidRPr="00146A1C">
        <w:rPr>
          <w:szCs w:val="20"/>
        </w:rPr>
        <w:t>Plaintiff</w:t>
      </w:r>
      <w:r w:rsidR="00C64050">
        <w:rPr>
          <w:szCs w:val="20"/>
        </w:rPr>
        <w:t xml:space="preserve"> </w:t>
      </w:r>
      <w:r w:rsidRPr="00146A1C">
        <w:rPr>
          <w:szCs w:val="20"/>
        </w:rPr>
        <w:t>produces</w:t>
      </w:r>
      <w:r w:rsidR="00C64050">
        <w:rPr>
          <w:szCs w:val="20"/>
        </w:rPr>
        <w:t xml:space="preserve"> </w:t>
      </w:r>
      <w:r w:rsidRPr="00146A1C">
        <w:rPr>
          <w:szCs w:val="20"/>
        </w:rPr>
        <w:t>no</w:t>
      </w:r>
      <w:r w:rsidR="00C64050">
        <w:rPr>
          <w:szCs w:val="20"/>
        </w:rPr>
        <w:t xml:space="preserve"> </w:t>
      </w:r>
      <w:r w:rsidRPr="00146A1C">
        <w:rPr>
          <w:szCs w:val="20"/>
        </w:rPr>
        <w:t>case</w:t>
      </w:r>
      <w:r w:rsidR="00C64050">
        <w:rPr>
          <w:szCs w:val="20"/>
        </w:rPr>
        <w:t xml:space="preserve"> </w:t>
      </w:r>
      <w:r w:rsidRPr="00146A1C">
        <w:rPr>
          <w:szCs w:val="20"/>
        </w:rPr>
        <w:t>law</w:t>
      </w:r>
      <w:r w:rsidR="00C64050">
        <w:rPr>
          <w:szCs w:val="20"/>
        </w:rPr>
        <w:t xml:space="preserve"> </w:t>
      </w:r>
      <w:r w:rsidRPr="00146A1C">
        <w:rPr>
          <w:szCs w:val="20"/>
        </w:rPr>
        <w:t>to</w:t>
      </w:r>
      <w:r w:rsidR="00C64050">
        <w:rPr>
          <w:szCs w:val="20"/>
        </w:rPr>
        <w:t xml:space="preserve"> </w:t>
      </w:r>
      <w:r w:rsidRPr="00146A1C">
        <w:rPr>
          <w:szCs w:val="20"/>
        </w:rPr>
        <w:t>support</w:t>
      </w:r>
      <w:r w:rsidR="00C64050">
        <w:rPr>
          <w:szCs w:val="20"/>
        </w:rPr>
        <w:t xml:space="preserve"> </w:t>
      </w:r>
      <w:r w:rsidRPr="00146A1C">
        <w:rPr>
          <w:szCs w:val="20"/>
        </w:rPr>
        <w:t>its</w:t>
      </w:r>
      <w:r w:rsidR="00C64050">
        <w:rPr>
          <w:szCs w:val="20"/>
        </w:rPr>
        <w:t xml:space="preserve"> </w:t>
      </w:r>
      <w:r w:rsidRPr="00146A1C">
        <w:rPr>
          <w:szCs w:val="20"/>
        </w:rPr>
        <w:t>position</w:t>
      </w:r>
      <w:r w:rsidR="00C64050">
        <w:rPr>
          <w:szCs w:val="20"/>
        </w:rPr>
        <w:t xml:space="preserve"> </w:t>
      </w:r>
      <w:r w:rsidRPr="00146A1C">
        <w:rPr>
          <w:szCs w:val="20"/>
        </w:rPr>
        <w:t>that</w:t>
      </w:r>
      <w:r w:rsidR="00C64050">
        <w:rPr>
          <w:szCs w:val="20"/>
        </w:rPr>
        <w:t xml:space="preserve"> </w:t>
      </w:r>
      <w:r w:rsidRPr="00146A1C">
        <w:rPr>
          <w:szCs w:val="20"/>
        </w:rPr>
        <w:t>the</w:t>
      </w:r>
      <w:r w:rsidR="00C64050">
        <w:rPr>
          <w:szCs w:val="20"/>
        </w:rPr>
        <w:t xml:space="preserve"> </w:t>
      </w:r>
      <w:r w:rsidRPr="00146A1C">
        <w:rPr>
          <w:szCs w:val="20"/>
        </w:rPr>
        <w:t>way</w:t>
      </w:r>
      <w:r w:rsidR="00C64050">
        <w:rPr>
          <w:szCs w:val="20"/>
        </w:rPr>
        <w:t xml:space="preserve"> </w:t>
      </w:r>
      <w:r w:rsidRPr="00146A1C">
        <w:rPr>
          <w:szCs w:val="20"/>
        </w:rPr>
        <w:t>in</w:t>
      </w:r>
      <w:r w:rsidR="00C64050">
        <w:rPr>
          <w:szCs w:val="20"/>
        </w:rPr>
        <w:t xml:space="preserve"> </w:t>
      </w:r>
      <w:r w:rsidRPr="00146A1C">
        <w:rPr>
          <w:szCs w:val="20"/>
        </w:rPr>
        <w:t>which</w:t>
      </w:r>
      <w:r w:rsidR="00C64050">
        <w:rPr>
          <w:szCs w:val="20"/>
        </w:rPr>
        <w:t xml:space="preserve"> </w:t>
      </w:r>
      <w:r w:rsidRPr="00146A1C">
        <w:rPr>
          <w:szCs w:val="20"/>
        </w:rPr>
        <w:t>Michael</w:t>
      </w:r>
      <w:r w:rsidR="00C64050">
        <w:rPr>
          <w:szCs w:val="20"/>
        </w:rPr>
        <w:t xml:space="preserve"> </w:t>
      </w:r>
      <w:r w:rsidRPr="00146A1C">
        <w:rPr>
          <w:szCs w:val="20"/>
        </w:rPr>
        <w:t>Paulson</w:t>
      </w:r>
      <w:r w:rsidR="00C64050">
        <w:rPr>
          <w:szCs w:val="20"/>
        </w:rPr>
        <w:t xml:space="preserve"> </w:t>
      </w:r>
      <w:r w:rsidRPr="00146A1C">
        <w:rPr>
          <w:szCs w:val="20"/>
        </w:rPr>
        <w:t>signed</w:t>
      </w:r>
      <w:r w:rsidR="00C64050">
        <w:rPr>
          <w:szCs w:val="20"/>
        </w:rPr>
        <w:t xml:space="preserve"> </w:t>
      </w:r>
      <w:r w:rsidRPr="00146A1C">
        <w:rPr>
          <w:szCs w:val="20"/>
        </w:rPr>
        <w:t>the</w:t>
      </w:r>
      <w:r w:rsidR="00C64050">
        <w:rPr>
          <w:szCs w:val="20"/>
        </w:rPr>
        <w:t xml:space="preserve"> </w:t>
      </w:r>
      <w:r w:rsidRPr="00146A1C">
        <w:rPr>
          <w:szCs w:val="20"/>
        </w:rPr>
        <w:t>letter</w:t>
      </w:r>
      <w:r w:rsidR="00C64050">
        <w:rPr>
          <w:szCs w:val="20"/>
        </w:rPr>
        <w:t xml:space="preserve"> </w:t>
      </w:r>
      <w:r w:rsidRPr="00146A1C">
        <w:rPr>
          <w:szCs w:val="20"/>
        </w:rPr>
        <w:t>only</w:t>
      </w:r>
      <w:r w:rsidR="00C64050">
        <w:rPr>
          <w:szCs w:val="20"/>
        </w:rPr>
        <w:t xml:space="preserve"> </w:t>
      </w:r>
      <w:r w:rsidRPr="00146A1C">
        <w:rPr>
          <w:szCs w:val="20"/>
        </w:rPr>
        <w:t>exhibits</w:t>
      </w:r>
      <w:r w:rsidR="00C64050">
        <w:rPr>
          <w:szCs w:val="20"/>
        </w:rPr>
        <w:t xml:space="preserve"> </w:t>
      </w:r>
      <w:r w:rsidRPr="00146A1C">
        <w:rPr>
          <w:szCs w:val="20"/>
        </w:rPr>
        <w:t>that</w:t>
      </w:r>
      <w:r w:rsidR="00C64050">
        <w:rPr>
          <w:szCs w:val="20"/>
        </w:rPr>
        <w:t xml:space="preserve"> </w:t>
      </w:r>
      <w:r w:rsidRPr="00146A1C">
        <w:rPr>
          <w:szCs w:val="20"/>
        </w:rPr>
        <w:t>he</w:t>
      </w:r>
      <w:r w:rsidR="00C64050">
        <w:rPr>
          <w:szCs w:val="20"/>
        </w:rPr>
        <w:t xml:space="preserve"> </w:t>
      </w:r>
      <w:r w:rsidRPr="00146A1C">
        <w:rPr>
          <w:szCs w:val="20"/>
        </w:rPr>
        <w:t>signed</w:t>
      </w:r>
      <w:r w:rsidR="00C64050">
        <w:rPr>
          <w:szCs w:val="20"/>
        </w:rPr>
        <w:t xml:space="preserve"> </w:t>
      </w:r>
      <w:r w:rsidRPr="00146A1C">
        <w:rPr>
          <w:szCs w:val="20"/>
        </w:rPr>
        <w:t>it</w:t>
      </w:r>
      <w:r w:rsidR="00C64050">
        <w:rPr>
          <w:szCs w:val="20"/>
        </w:rPr>
        <w:t xml:space="preserve"> </w:t>
      </w:r>
      <w:r w:rsidRPr="00146A1C">
        <w:rPr>
          <w:szCs w:val="20"/>
        </w:rPr>
        <w:t>only</w:t>
      </w:r>
      <w:r w:rsidR="00C64050">
        <w:rPr>
          <w:szCs w:val="20"/>
        </w:rPr>
        <w:t xml:space="preserve"> </w:t>
      </w:r>
      <w:r w:rsidRPr="00146A1C">
        <w:rPr>
          <w:szCs w:val="20"/>
        </w:rPr>
        <w:t>as</w:t>
      </w:r>
      <w:r w:rsidR="00C64050">
        <w:rPr>
          <w:szCs w:val="20"/>
        </w:rPr>
        <w:t xml:space="preserve"> </w:t>
      </w:r>
      <w:r w:rsidRPr="00146A1C">
        <w:rPr>
          <w:szCs w:val="20"/>
        </w:rPr>
        <w:t>an</w:t>
      </w:r>
      <w:r w:rsidR="00C64050">
        <w:rPr>
          <w:szCs w:val="20"/>
        </w:rPr>
        <w:t xml:space="preserve"> </w:t>
      </w:r>
      <w:r w:rsidRPr="00146A1C">
        <w:rPr>
          <w:szCs w:val="20"/>
        </w:rPr>
        <w:t>executor.</w:t>
      </w:r>
      <w:r w:rsidR="00C64050">
        <w:rPr>
          <w:szCs w:val="20"/>
        </w:rPr>
        <w:t xml:space="preserve"> </w:t>
      </w:r>
      <w:r w:rsidRPr="00146A1C">
        <w:rPr>
          <w:szCs w:val="20"/>
        </w:rPr>
        <w:t>Michael</w:t>
      </w:r>
      <w:r w:rsidR="00C64050">
        <w:rPr>
          <w:szCs w:val="20"/>
        </w:rPr>
        <w:t xml:space="preserve"> </w:t>
      </w:r>
      <w:r w:rsidRPr="00146A1C">
        <w:rPr>
          <w:szCs w:val="20"/>
        </w:rPr>
        <w:t>Paulson</w:t>
      </w:r>
      <w:r w:rsidR="00C64050">
        <w:rPr>
          <w:szCs w:val="20"/>
        </w:rPr>
        <w:t xml:space="preserve"> </w:t>
      </w:r>
      <w:r w:rsidRPr="00146A1C">
        <w:rPr>
          <w:szCs w:val="20"/>
        </w:rPr>
        <w:t>argues</w:t>
      </w:r>
      <w:r w:rsidR="00C64050">
        <w:rPr>
          <w:szCs w:val="20"/>
        </w:rPr>
        <w:t xml:space="preserve"> </w:t>
      </w:r>
      <w:r w:rsidRPr="00146A1C">
        <w:rPr>
          <w:szCs w:val="20"/>
        </w:rPr>
        <w:t>that</w:t>
      </w:r>
      <w:r w:rsidR="00C64050">
        <w:rPr>
          <w:szCs w:val="20"/>
        </w:rPr>
        <w:t xml:space="preserve"> </w:t>
      </w:r>
      <w:r w:rsidRPr="00146A1C">
        <w:rPr>
          <w:szCs w:val="20"/>
        </w:rPr>
        <w:t>he</w:t>
      </w:r>
      <w:r w:rsidR="00C64050">
        <w:rPr>
          <w:szCs w:val="20"/>
        </w:rPr>
        <w:t xml:space="preserve"> </w:t>
      </w:r>
      <w:r w:rsidRPr="00146A1C">
        <w:rPr>
          <w:szCs w:val="20"/>
        </w:rPr>
        <w:t>signed</w:t>
      </w:r>
      <w:r w:rsidR="00C64050">
        <w:rPr>
          <w:szCs w:val="20"/>
        </w:rPr>
        <w:t xml:space="preserve"> </w:t>
      </w:r>
      <w:r w:rsidRPr="00146A1C">
        <w:rPr>
          <w:szCs w:val="20"/>
        </w:rPr>
        <w:t>using</w:t>
      </w:r>
      <w:r w:rsidR="00C64050">
        <w:rPr>
          <w:szCs w:val="20"/>
        </w:rPr>
        <w:t xml:space="preserve"> </w:t>
      </w:r>
      <w:r w:rsidRPr="00146A1C">
        <w:rPr>
          <w:szCs w:val="20"/>
        </w:rPr>
        <w:t>the</w:t>
      </w:r>
      <w:r w:rsidR="00C64050">
        <w:rPr>
          <w:szCs w:val="20"/>
        </w:rPr>
        <w:t xml:space="preserve"> </w:t>
      </w:r>
      <w:r w:rsidRPr="00146A1C">
        <w:rPr>
          <w:szCs w:val="20"/>
        </w:rPr>
        <w:t>term</w:t>
      </w:r>
      <w:r w:rsidR="00C64050">
        <w:rPr>
          <w:szCs w:val="20"/>
        </w:rPr>
        <w:t xml:space="preserve"> </w:t>
      </w:r>
      <w:r w:rsidRPr="00146A1C">
        <w:rPr>
          <w:szCs w:val="20"/>
        </w:rPr>
        <w:t>“Co-Executor”</w:t>
      </w:r>
      <w:r w:rsidR="00C64050">
        <w:rPr>
          <w:szCs w:val="20"/>
        </w:rPr>
        <w:t xml:space="preserve"> </w:t>
      </w:r>
      <w:r w:rsidRPr="00146A1C">
        <w:rPr>
          <w:szCs w:val="20"/>
        </w:rPr>
        <w:t>as</w:t>
      </w:r>
      <w:r w:rsidR="00C64050">
        <w:rPr>
          <w:szCs w:val="20"/>
        </w:rPr>
        <w:t xml:space="preserve"> </w:t>
      </w:r>
      <w:r w:rsidRPr="00146A1C">
        <w:rPr>
          <w:szCs w:val="20"/>
        </w:rPr>
        <w:t>a</w:t>
      </w:r>
      <w:r w:rsidR="00C64050">
        <w:rPr>
          <w:szCs w:val="20"/>
        </w:rPr>
        <w:t xml:space="preserve"> </w:t>
      </w:r>
      <w:r w:rsidRPr="00146A1C">
        <w:rPr>
          <w:szCs w:val="20"/>
        </w:rPr>
        <w:t>way</w:t>
      </w:r>
      <w:r w:rsidR="00C64050">
        <w:rPr>
          <w:szCs w:val="20"/>
        </w:rPr>
        <w:t xml:space="preserve"> </w:t>
      </w:r>
      <w:r w:rsidRPr="00146A1C">
        <w:rPr>
          <w:szCs w:val="20"/>
        </w:rPr>
        <w:t>to</w:t>
      </w:r>
      <w:r w:rsidR="00C64050">
        <w:rPr>
          <w:szCs w:val="20"/>
        </w:rPr>
        <w:t xml:space="preserve"> </w:t>
      </w:r>
      <w:r w:rsidRPr="00146A1C">
        <w:rPr>
          <w:szCs w:val="20"/>
        </w:rPr>
        <w:t>identify</w:t>
      </w:r>
      <w:r w:rsidR="00C64050">
        <w:rPr>
          <w:szCs w:val="20"/>
        </w:rPr>
        <w:t xml:space="preserve"> </w:t>
      </w:r>
      <w:r w:rsidRPr="00146A1C">
        <w:rPr>
          <w:szCs w:val="20"/>
        </w:rPr>
        <w:t>Michael</w:t>
      </w:r>
      <w:r w:rsidR="00C64050">
        <w:rPr>
          <w:szCs w:val="20"/>
        </w:rPr>
        <w:t xml:space="preserve"> </w:t>
      </w:r>
      <w:r w:rsidRPr="00146A1C">
        <w:rPr>
          <w:szCs w:val="20"/>
        </w:rPr>
        <w:t>Paulson's</w:t>
      </w:r>
      <w:r w:rsidR="00C64050">
        <w:rPr>
          <w:szCs w:val="20"/>
        </w:rPr>
        <w:t xml:space="preserve"> </w:t>
      </w:r>
      <w:r w:rsidRPr="00146A1C">
        <w:rPr>
          <w:szCs w:val="20"/>
        </w:rPr>
        <w:t>title</w:t>
      </w:r>
      <w:r w:rsidR="00C64050">
        <w:rPr>
          <w:szCs w:val="20"/>
        </w:rPr>
        <w:t xml:space="preserve"> </w:t>
      </w:r>
      <w:r w:rsidRPr="00146A1C">
        <w:rPr>
          <w:szCs w:val="20"/>
        </w:rPr>
        <w:t>in</w:t>
      </w:r>
      <w:r w:rsidR="00C64050">
        <w:rPr>
          <w:szCs w:val="20"/>
        </w:rPr>
        <w:t xml:space="preserve"> </w:t>
      </w:r>
      <w:r w:rsidRPr="00146A1C">
        <w:rPr>
          <w:szCs w:val="20"/>
        </w:rPr>
        <w:t>a</w:t>
      </w:r>
      <w:r w:rsidR="00C64050">
        <w:rPr>
          <w:szCs w:val="20"/>
        </w:rPr>
        <w:t xml:space="preserve"> </w:t>
      </w:r>
      <w:r w:rsidRPr="00146A1C">
        <w:rPr>
          <w:szCs w:val="20"/>
        </w:rPr>
        <w:t>manner</w:t>
      </w:r>
      <w:r w:rsidR="00C64050">
        <w:rPr>
          <w:szCs w:val="20"/>
        </w:rPr>
        <w:t xml:space="preserve"> </w:t>
      </w:r>
      <w:r w:rsidRPr="00146A1C">
        <w:rPr>
          <w:szCs w:val="20"/>
        </w:rPr>
        <w:t>consistent</w:t>
      </w:r>
      <w:r w:rsidR="00C64050">
        <w:rPr>
          <w:szCs w:val="20"/>
        </w:rPr>
        <w:t xml:space="preserve"> </w:t>
      </w:r>
      <w:r w:rsidRPr="00146A1C">
        <w:rPr>
          <w:szCs w:val="20"/>
        </w:rPr>
        <w:t>with</w:t>
      </w:r>
      <w:r w:rsidR="00C64050">
        <w:rPr>
          <w:szCs w:val="20"/>
        </w:rPr>
        <w:t xml:space="preserve"> </w:t>
      </w:r>
      <w:r w:rsidRPr="00146A1C">
        <w:rPr>
          <w:szCs w:val="20"/>
        </w:rPr>
        <w:t>his</w:t>
      </w:r>
      <w:r w:rsidR="00C64050">
        <w:rPr>
          <w:szCs w:val="20"/>
        </w:rPr>
        <w:t xml:space="preserve"> </w:t>
      </w:r>
      <w:r w:rsidRPr="00146A1C">
        <w:rPr>
          <w:szCs w:val="20"/>
        </w:rPr>
        <w:t>title</w:t>
      </w:r>
      <w:r w:rsidR="00C64050">
        <w:rPr>
          <w:szCs w:val="20"/>
        </w:rPr>
        <w:t xml:space="preserve"> </w:t>
      </w:r>
      <w:r w:rsidRPr="00146A1C">
        <w:rPr>
          <w:szCs w:val="20"/>
        </w:rPr>
        <w:t>appearing</w:t>
      </w:r>
      <w:r w:rsidR="00C64050">
        <w:rPr>
          <w:szCs w:val="20"/>
        </w:rPr>
        <w:t xml:space="preserve"> </w:t>
      </w:r>
      <w:r w:rsidRPr="00146A1C">
        <w:rPr>
          <w:szCs w:val="20"/>
        </w:rPr>
        <w:t>on</w:t>
      </w:r>
      <w:r w:rsidR="00C64050">
        <w:rPr>
          <w:szCs w:val="20"/>
        </w:rPr>
        <w:t xml:space="preserve"> </w:t>
      </w:r>
      <w:r w:rsidRPr="00146A1C">
        <w:rPr>
          <w:szCs w:val="20"/>
        </w:rPr>
        <w:t>the</w:t>
      </w:r>
      <w:r w:rsidR="00C64050">
        <w:rPr>
          <w:szCs w:val="20"/>
        </w:rPr>
        <w:t xml:space="preserve"> </w:t>
      </w:r>
      <w:r w:rsidRPr="00146A1C">
        <w:rPr>
          <w:szCs w:val="20"/>
        </w:rPr>
        <w:t>federal</w:t>
      </w:r>
      <w:r w:rsidR="00C64050">
        <w:rPr>
          <w:szCs w:val="20"/>
        </w:rPr>
        <w:t xml:space="preserve"> </w:t>
      </w:r>
      <w:r w:rsidRPr="00146A1C">
        <w:rPr>
          <w:szCs w:val="20"/>
        </w:rPr>
        <w:t>estate</w:t>
      </w:r>
      <w:r w:rsidR="00C64050">
        <w:rPr>
          <w:szCs w:val="20"/>
        </w:rPr>
        <w:t xml:space="preserve"> </w:t>
      </w:r>
      <w:r w:rsidRPr="00146A1C">
        <w:rPr>
          <w:szCs w:val="20"/>
        </w:rPr>
        <w:t>tax</w:t>
      </w:r>
      <w:r w:rsidR="00C64050">
        <w:rPr>
          <w:szCs w:val="20"/>
        </w:rPr>
        <w:t xml:space="preserve"> </w:t>
      </w:r>
      <w:r w:rsidRPr="00146A1C">
        <w:rPr>
          <w:szCs w:val="20"/>
        </w:rPr>
        <w:t>return.</w:t>
      </w:r>
      <w:r w:rsidR="00C64050">
        <w:rPr>
          <w:szCs w:val="20"/>
        </w:rPr>
        <w:t xml:space="preserve"> </w:t>
      </w:r>
      <w:r w:rsidRPr="00146A1C">
        <w:rPr>
          <w:szCs w:val="20"/>
        </w:rPr>
        <w:t>(Doc.</w:t>
      </w:r>
      <w:r w:rsidR="00C64050">
        <w:rPr>
          <w:szCs w:val="20"/>
        </w:rPr>
        <w:t xml:space="preserve"> </w:t>
      </w:r>
      <w:r w:rsidRPr="00146A1C">
        <w:rPr>
          <w:szCs w:val="20"/>
        </w:rPr>
        <w:t>No.</w:t>
      </w:r>
      <w:r w:rsidR="00C64050">
        <w:rPr>
          <w:szCs w:val="20"/>
        </w:rPr>
        <w:t xml:space="preserve"> </w:t>
      </w:r>
      <w:r w:rsidRPr="00146A1C">
        <w:rPr>
          <w:szCs w:val="20"/>
        </w:rPr>
        <w:t>189-1</w:t>
      </w:r>
      <w:r w:rsidR="00C64050">
        <w:rPr>
          <w:szCs w:val="20"/>
        </w:rPr>
        <w:t xml:space="preserve"> </w:t>
      </w:r>
      <w:r w:rsidRPr="00146A1C">
        <w:rPr>
          <w:szCs w:val="20"/>
        </w:rPr>
        <w:t>at</w:t>
      </w:r>
      <w:r w:rsidR="00C64050">
        <w:rPr>
          <w:szCs w:val="20"/>
        </w:rPr>
        <w:t xml:space="preserve"> </w:t>
      </w:r>
      <w:r w:rsidRPr="00146A1C">
        <w:rPr>
          <w:szCs w:val="20"/>
        </w:rPr>
        <w:t>11.)</w:t>
      </w:r>
      <w:r w:rsidR="00C64050">
        <w:rPr>
          <w:szCs w:val="20"/>
        </w:rPr>
        <w:t xml:space="preserve"> </w:t>
      </w:r>
      <w:r w:rsidRPr="00146A1C">
        <w:rPr>
          <w:szCs w:val="20"/>
        </w:rPr>
        <w:t>Currently,</w:t>
      </w:r>
      <w:r w:rsidR="00C64050">
        <w:rPr>
          <w:szCs w:val="20"/>
        </w:rPr>
        <w:t xml:space="preserve"> </w:t>
      </w:r>
      <w:r w:rsidRPr="00146A1C">
        <w:rPr>
          <w:szCs w:val="20"/>
        </w:rPr>
        <w:t>there</w:t>
      </w:r>
      <w:r w:rsidR="00C64050">
        <w:rPr>
          <w:szCs w:val="20"/>
        </w:rPr>
        <w:t xml:space="preserve"> </w:t>
      </w:r>
      <w:r w:rsidRPr="00146A1C">
        <w:rPr>
          <w:szCs w:val="20"/>
        </w:rPr>
        <w:t>is</w:t>
      </w:r>
      <w:r w:rsidR="00C64050">
        <w:rPr>
          <w:szCs w:val="20"/>
        </w:rPr>
        <w:t xml:space="preserve"> </w:t>
      </w:r>
      <w:r w:rsidRPr="00146A1C">
        <w:rPr>
          <w:szCs w:val="20"/>
        </w:rPr>
        <w:t>no</w:t>
      </w:r>
      <w:r w:rsidR="00C64050">
        <w:rPr>
          <w:szCs w:val="20"/>
        </w:rPr>
        <w:t xml:space="preserve"> </w:t>
      </w:r>
      <w:r w:rsidRPr="00146A1C">
        <w:rPr>
          <w:szCs w:val="20"/>
        </w:rPr>
        <w:t>authority</w:t>
      </w:r>
      <w:r w:rsidR="00C64050">
        <w:rPr>
          <w:szCs w:val="20"/>
        </w:rPr>
        <w:t xml:space="preserve"> </w:t>
      </w:r>
      <w:r w:rsidRPr="00146A1C">
        <w:rPr>
          <w:szCs w:val="20"/>
        </w:rPr>
        <w:t>that</w:t>
      </w:r>
      <w:r w:rsidR="00C64050">
        <w:rPr>
          <w:szCs w:val="20"/>
        </w:rPr>
        <w:t xml:space="preserve"> </w:t>
      </w:r>
      <w:r w:rsidRPr="00146A1C">
        <w:rPr>
          <w:szCs w:val="20"/>
        </w:rPr>
        <w:t>requires</w:t>
      </w:r>
      <w:r w:rsidR="00C64050">
        <w:rPr>
          <w:szCs w:val="20"/>
        </w:rPr>
        <w:t xml:space="preserve"> </w:t>
      </w:r>
      <w:r w:rsidRPr="00146A1C">
        <w:rPr>
          <w:szCs w:val="20"/>
        </w:rPr>
        <w:t>specific</w:t>
      </w:r>
      <w:r w:rsidR="00C64050">
        <w:rPr>
          <w:szCs w:val="20"/>
        </w:rPr>
        <w:t xml:space="preserve"> </w:t>
      </w:r>
      <w:r w:rsidRPr="00146A1C">
        <w:rPr>
          <w:szCs w:val="20"/>
        </w:rPr>
        <w:t>format,</w:t>
      </w:r>
      <w:r w:rsidR="00C64050">
        <w:rPr>
          <w:szCs w:val="20"/>
        </w:rPr>
        <w:t xml:space="preserve"> </w:t>
      </w:r>
      <w:r w:rsidRPr="00146A1C">
        <w:rPr>
          <w:szCs w:val="20"/>
        </w:rPr>
        <w:t>form</w:t>
      </w:r>
      <w:r w:rsidR="00C64050">
        <w:rPr>
          <w:szCs w:val="20"/>
        </w:rPr>
        <w:t xml:space="preserve"> </w:t>
      </w:r>
      <w:r w:rsidRPr="00146A1C">
        <w:rPr>
          <w:szCs w:val="20"/>
        </w:rPr>
        <w:t>or</w:t>
      </w:r>
      <w:r w:rsidR="00C64050">
        <w:rPr>
          <w:szCs w:val="20"/>
        </w:rPr>
        <w:t xml:space="preserve"> </w:t>
      </w:r>
      <w:r w:rsidRPr="00146A1C">
        <w:rPr>
          <w:szCs w:val="20"/>
        </w:rPr>
        <w:t>wording</w:t>
      </w:r>
      <w:r w:rsidR="00C64050">
        <w:rPr>
          <w:szCs w:val="20"/>
        </w:rPr>
        <w:t xml:space="preserve"> </w:t>
      </w:r>
      <w:r w:rsidRPr="00146A1C">
        <w:rPr>
          <w:szCs w:val="20"/>
        </w:rPr>
        <w:t>to</w:t>
      </w:r>
      <w:r w:rsidR="00C64050">
        <w:rPr>
          <w:szCs w:val="20"/>
        </w:rPr>
        <w:t xml:space="preserve"> </w:t>
      </w:r>
      <w:r w:rsidRPr="00146A1C">
        <w:rPr>
          <w:szCs w:val="20"/>
        </w:rPr>
        <w:t>make</w:t>
      </w:r>
      <w:r w:rsidR="00C64050">
        <w:rPr>
          <w:szCs w:val="20"/>
        </w:rPr>
        <w:t xml:space="preserve"> </w:t>
      </w:r>
      <w:r w:rsidRPr="00146A1C">
        <w:rPr>
          <w:szCs w:val="20"/>
        </w:rPr>
        <w:t>an</w:t>
      </w:r>
      <w:r w:rsidR="00C64050">
        <w:rPr>
          <w:szCs w:val="20"/>
        </w:rPr>
        <w:t xml:space="preserve"> </w:t>
      </w:r>
      <w:r w:rsidRPr="00146A1C">
        <w:rPr>
          <w:szCs w:val="20"/>
        </w:rPr>
        <w:t>application</w:t>
      </w:r>
      <w:r w:rsidR="00C64050">
        <w:rPr>
          <w:szCs w:val="20"/>
        </w:rPr>
        <w:t xml:space="preserve"> </w:t>
      </w:r>
      <w:r w:rsidRPr="00146A1C">
        <w:rPr>
          <w:szCs w:val="20"/>
        </w:rPr>
        <w:t>for</w:t>
      </w:r>
      <w:r w:rsidR="00C64050">
        <w:rPr>
          <w:szCs w:val="20"/>
        </w:rPr>
        <w:t xml:space="preserve"> </w:t>
      </w:r>
      <w:r w:rsidRPr="00146A1C">
        <w:rPr>
          <w:szCs w:val="20"/>
        </w:rPr>
        <w:t>discharge.</w:t>
      </w:r>
      <w:r w:rsidR="00C64050">
        <w:rPr>
          <w:szCs w:val="20"/>
        </w:rPr>
        <w:t xml:space="preserve"> </w:t>
      </w:r>
      <w:r w:rsidRPr="00146A1C">
        <w:rPr>
          <w:rStyle w:val="Emphasis"/>
          <w:szCs w:val="20"/>
        </w:rPr>
        <w:t>See</w:t>
      </w:r>
      <w:r w:rsidR="00C64050">
        <w:rPr>
          <w:szCs w:val="20"/>
        </w:rPr>
        <w:t xml:space="preserve"> </w:t>
      </w:r>
      <w:r w:rsidRPr="00146A1C">
        <w:rPr>
          <w:rStyle w:val="Emphasis"/>
          <w:szCs w:val="20"/>
        </w:rPr>
        <w:t>United</w:t>
      </w:r>
      <w:r w:rsidR="00C64050">
        <w:rPr>
          <w:rStyle w:val="Emphasis"/>
          <w:szCs w:val="20"/>
        </w:rPr>
        <w:t xml:space="preserve"> </w:t>
      </w:r>
      <w:r w:rsidRPr="00146A1C">
        <w:rPr>
          <w:rStyle w:val="Emphasis"/>
          <w:szCs w:val="20"/>
        </w:rPr>
        <w:t>States</w:t>
      </w:r>
      <w:r w:rsidR="00C64050">
        <w:rPr>
          <w:rStyle w:val="Emphasis"/>
          <w:szCs w:val="20"/>
        </w:rPr>
        <w:t xml:space="preserve"> </w:t>
      </w:r>
      <w:r w:rsidRPr="00146A1C">
        <w:rPr>
          <w:rStyle w:val="Emphasis"/>
          <w:szCs w:val="20"/>
        </w:rPr>
        <w:t>v.</w:t>
      </w:r>
      <w:r w:rsidR="00C64050">
        <w:rPr>
          <w:rStyle w:val="Emphasis"/>
          <w:szCs w:val="20"/>
        </w:rPr>
        <w:t xml:space="preserve"> </w:t>
      </w:r>
      <w:r w:rsidRPr="00146A1C">
        <w:rPr>
          <w:rStyle w:val="Emphasis"/>
          <w:szCs w:val="20"/>
        </w:rPr>
        <w:t>Johnson</w:t>
      </w:r>
      <w:r w:rsidRPr="00146A1C">
        <w:rPr>
          <w:szCs w:val="20"/>
        </w:rPr>
        <w:t>,</w:t>
      </w:r>
      <w:r w:rsidR="00C64050">
        <w:rPr>
          <w:szCs w:val="20"/>
        </w:rPr>
        <w:t xml:space="preserve"> </w:t>
      </w:r>
      <w:r w:rsidRPr="00146A1C">
        <w:rPr>
          <w:szCs w:val="20"/>
        </w:rPr>
        <w:t>224</w:t>
      </w:r>
      <w:r w:rsidR="00C64050">
        <w:rPr>
          <w:szCs w:val="20"/>
        </w:rPr>
        <w:t xml:space="preserve"> </w:t>
      </w:r>
      <w:r w:rsidRPr="00146A1C">
        <w:rPr>
          <w:szCs w:val="20"/>
        </w:rPr>
        <w:t>F.</w:t>
      </w:r>
      <w:r w:rsidR="00C64050">
        <w:rPr>
          <w:szCs w:val="20"/>
        </w:rPr>
        <w:t xml:space="preserve"> </w:t>
      </w:r>
      <w:r w:rsidRPr="00146A1C">
        <w:rPr>
          <w:szCs w:val="20"/>
        </w:rPr>
        <w:t>Supp.</w:t>
      </w:r>
      <w:r w:rsidR="00C64050">
        <w:rPr>
          <w:szCs w:val="20"/>
        </w:rPr>
        <w:t xml:space="preserve"> </w:t>
      </w:r>
      <w:r w:rsidRPr="00146A1C">
        <w:rPr>
          <w:szCs w:val="20"/>
        </w:rPr>
        <w:t>3d</w:t>
      </w:r>
      <w:r w:rsidR="00C64050">
        <w:rPr>
          <w:szCs w:val="20"/>
        </w:rPr>
        <w:t xml:space="preserve"> </w:t>
      </w:r>
      <w:r w:rsidRPr="00146A1C">
        <w:rPr>
          <w:szCs w:val="20"/>
        </w:rPr>
        <w:t>1220,</w:t>
      </w:r>
      <w:r w:rsidR="00C64050">
        <w:rPr>
          <w:szCs w:val="20"/>
        </w:rPr>
        <w:t xml:space="preserve"> </w:t>
      </w:r>
      <w:r w:rsidRPr="00146A1C">
        <w:rPr>
          <w:szCs w:val="20"/>
        </w:rPr>
        <w:t>1237</w:t>
      </w:r>
      <w:r w:rsidR="00C64050">
        <w:rPr>
          <w:szCs w:val="20"/>
        </w:rPr>
        <w:t xml:space="preserve"> </w:t>
      </w:r>
      <w:r w:rsidRPr="00146A1C">
        <w:rPr>
          <w:szCs w:val="20"/>
        </w:rPr>
        <w:t>(D.</w:t>
      </w:r>
      <w:r w:rsidR="00C64050">
        <w:rPr>
          <w:szCs w:val="20"/>
        </w:rPr>
        <w:t xml:space="preserve"> </w:t>
      </w:r>
      <w:r w:rsidRPr="00146A1C">
        <w:rPr>
          <w:szCs w:val="20"/>
        </w:rPr>
        <w:t>Utah</w:t>
      </w:r>
      <w:r w:rsidR="00C64050">
        <w:rPr>
          <w:szCs w:val="20"/>
        </w:rPr>
        <w:t xml:space="preserve"> </w:t>
      </w:r>
      <w:r w:rsidRPr="00146A1C">
        <w:rPr>
          <w:szCs w:val="20"/>
        </w:rPr>
        <w:t>2016)</w:t>
      </w:r>
      <w:r w:rsidR="00C64050">
        <w:rPr>
          <w:szCs w:val="20"/>
        </w:rPr>
        <w:t xml:space="preserve"> </w:t>
      </w:r>
      <w:r w:rsidRPr="00146A1C">
        <w:rPr>
          <w:szCs w:val="20"/>
        </w:rPr>
        <w:t>(“</w:t>
      </w:r>
      <w:hyperlink r:id="rId371" w:history="1">
        <w:r w:rsidRPr="00146A1C">
          <w:rPr>
            <w:rStyle w:val="Emphasis"/>
            <w:szCs w:val="20"/>
          </w:rPr>
          <w:t>Johnson</w:t>
        </w:r>
        <w:r w:rsidR="00C64050">
          <w:rPr>
            <w:rStyle w:val="Emphasis"/>
            <w:szCs w:val="20"/>
          </w:rPr>
          <w:t xml:space="preserve"> </w:t>
        </w:r>
        <w:r w:rsidRPr="00146A1C">
          <w:rPr>
            <w:rStyle w:val="Emphasis"/>
            <w:szCs w:val="20"/>
          </w:rPr>
          <w:t>II</w:t>
        </w:r>
      </w:hyperlink>
      <w:r w:rsidRPr="00146A1C">
        <w:rPr>
          <w:szCs w:val="20"/>
        </w:rPr>
        <w:t>”),</w:t>
      </w:r>
      <w:r w:rsidR="00C64050">
        <w:rPr>
          <w:szCs w:val="20"/>
        </w:rPr>
        <w:t xml:space="preserve"> </w:t>
      </w:r>
      <w:r w:rsidRPr="00146A1C">
        <w:rPr>
          <w:rStyle w:val="Emphasis"/>
          <w:szCs w:val="20"/>
        </w:rPr>
        <w:t>reversed</w:t>
      </w:r>
      <w:r w:rsidR="00C64050">
        <w:rPr>
          <w:rStyle w:val="Emphasis"/>
          <w:szCs w:val="20"/>
        </w:rPr>
        <w:t xml:space="preserve"> </w:t>
      </w:r>
      <w:r w:rsidRPr="00146A1C">
        <w:rPr>
          <w:rStyle w:val="Emphasis"/>
          <w:szCs w:val="20"/>
        </w:rPr>
        <w:t>on</w:t>
      </w:r>
      <w:r w:rsidR="00C64050">
        <w:rPr>
          <w:rStyle w:val="Emphasis"/>
          <w:szCs w:val="20"/>
        </w:rPr>
        <w:t xml:space="preserve"> </w:t>
      </w:r>
      <w:r w:rsidRPr="00146A1C">
        <w:rPr>
          <w:rStyle w:val="Emphasis"/>
          <w:szCs w:val="20"/>
        </w:rPr>
        <w:t>other</w:t>
      </w:r>
      <w:r w:rsidR="00C64050">
        <w:rPr>
          <w:rStyle w:val="Emphasis"/>
          <w:szCs w:val="20"/>
        </w:rPr>
        <w:t xml:space="preserve"> </w:t>
      </w:r>
      <w:r w:rsidRPr="00146A1C">
        <w:rPr>
          <w:rStyle w:val="Emphasis"/>
          <w:szCs w:val="20"/>
        </w:rPr>
        <w:t>grounds</w:t>
      </w:r>
      <w:r w:rsidR="00C64050">
        <w:rPr>
          <w:szCs w:val="20"/>
        </w:rPr>
        <w:t xml:space="preserve"> </w:t>
      </w:r>
      <w:r w:rsidRPr="00146A1C">
        <w:rPr>
          <w:rStyle w:val="Emphasis"/>
          <w:szCs w:val="20"/>
        </w:rPr>
        <w:t>United</w:t>
      </w:r>
      <w:r w:rsidR="00C64050">
        <w:rPr>
          <w:rStyle w:val="Emphasis"/>
          <w:szCs w:val="20"/>
        </w:rPr>
        <w:t xml:space="preserve"> </w:t>
      </w:r>
      <w:r w:rsidRPr="00146A1C">
        <w:rPr>
          <w:rStyle w:val="Emphasis"/>
          <w:szCs w:val="20"/>
        </w:rPr>
        <w:t>States</w:t>
      </w:r>
      <w:r w:rsidR="00C64050">
        <w:rPr>
          <w:rStyle w:val="Emphasis"/>
          <w:szCs w:val="20"/>
        </w:rPr>
        <w:t xml:space="preserve"> </w:t>
      </w:r>
      <w:r w:rsidRPr="00146A1C">
        <w:rPr>
          <w:rStyle w:val="Emphasis"/>
          <w:szCs w:val="20"/>
        </w:rPr>
        <w:t>v.</w:t>
      </w:r>
      <w:r w:rsidR="00C64050">
        <w:rPr>
          <w:rStyle w:val="Emphasis"/>
          <w:szCs w:val="20"/>
        </w:rPr>
        <w:t xml:space="preserve"> </w:t>
      </w:r>
      <w:r w:rsidRPr="00146A1C">
        <w:rPr>
          <w:rStyle w:val="Emphasis"/>
          <w:szCs w:val="20"/>
        </w:rPr>
        <w:t>Johnson</w:t>
      </w:r>
      <w:r w:rsidRPr="00146A1C">
        <w:rPr>
          <w:szCs w:val="20"/>
        </w:rPr>
        <w:t>,</w:t>
      </w:r>
      <w:r w:rsidR="00C64050">
        <w:rPr>
          <w:szCs w:val="20"/>
        </w:rPr>
        <w:t xml:space="preserve"> </w:t>
      </w:r>
      <w:r w:rsidRPr="00146A1C">
        <w:rPr>
          <w:szCs w:val="20"/>
        </w:rPr>
        <w:t>920</w:t>
      </w:r>
      <w:r w:rsidR="00C64050">
        <w:rPr>
          <w:szCs w:val="20"/>
        </w:rPr>
        <w:t xml:space="preserve"> </w:t>
      </w:r>
      <w:r w:rsidRPr="00146A1C">
        <w:rPr>
          <w:szCs w:val="20"/>
        </w:rPr>
        <w:t>F.3d</w:t>
      </w:r>
      <w:r w:rsidR="00C64050">
        <w:rPr>
          <w:szCs w:val="20"/>
        </w:rPr>
        <w:t xml:space="preserve"> </w:t>
      </w:r>
      <w:r w:rsidRPr="00146A1C">
        <w:rPr>
          <w:szCs w:val="20"/>
        </w:rPr>
        <w:t>639</w:t>
      </w:r>
      <w:r w:rsidR="00C64050">
        <w:rPr>
          <w:szCs w:val="20"/>
        </w:rPr>
        <w:t xml:space="preserve"> </w:t>
      </w:r>
      <w:r w:rsidRPr="00146A1C">
        <w:rPr>
          <w:szCs w:val="20"/>
        </w:rPr>
        <w:t>(10th</w:t>
      </w:r>
      <w:r w:rsidR="00C64050">
        <w:rPr>
          <w:szCs w:val="20"/>
        </w:rPr>
        <w:t xml:space="preserve"> </w:t>
      </w:r>
      <w:r w:rsidRPr="00146A1C">
        <w:rPr>
          <w:szCs w:val="20"/>
        </w:rPr>
        <w:t>Cir.</w:t>
      </w:r>
      <w:r w:rsidR="00C64050">
        <w:rPr>
          <w:szCs w:val="20"/>
        </w:rPr>
        <w:t xml:space="preserve"> </w:t>
      </w:r>
      <w:r w:rsidRPr="00146A1C">
        <w:rPr>
          <w:szCs w:val="20"/>
        </w:rPr>
        <w:t>2019).</w:t>
      </w:r>
      <w:r w:rsidR="00C64050">
        <w:rPr>
          <w:szCs w:val="20"/>
        </w:rPr>
        <w:t xml:space="preserve"> </w:t>
      </w:r>
      <w:r w:rsidRPr="00146A1C">
        <w:rPr>
          <w:szCs w:val="20"/>
        </w:rPr>
        <w:t>However,</w:t>
      </w:r>
      <w:r w:rsidR="00C64050">
        <w:rPr>
          <w:szCs w:val="20"/>
        </w:rPr>
        <w:t xml:space="preserve"> </w:t>
      </w:r>
      <w:r w:rsidRPr="00146A1C">
        <w:rPr>
          <w:szCs w:val="20"/>
        </w:rPr>
        <w:t>Plaintiff</w:t>
      </w:r>
      <w:r w:rsidR="00C64050">
        <w:rPr>
          <w:szCs w:val="20"/>
        </w:rPr>
        <w:t xml:space="preserve"> </w:t>
      </w:r>
      <w:r w:rsidRPr="00146A1C">
        <w:rPr>
          <w:szCs w:val="20"/>
        </w:rPr>
        <w:t>argues</w:t>
      </w:r>
      <w:r w:rsidR="00C64050">
        <w:rPr>
          <w:szCs w:val="20"/>
        </w:rPr>
        <w:t xml:space="preserve"> </w:t>
      </w:r>
      <w:r w:rsidRPr="00146A1C">
        <w:rPr>
          <w:szCs w:val="20"/>
        </w:rPr>
        <w:t>that</w:t>
      </w:r>
      <w:r w:rsidR="00C64050">
        <w:rPr>
          <w:szCs w:val="20"/>
        </w:rPr>
        <w:t xml:space="preserve"> </w:t>
      </w:r>
      <w:r w:rsidRPr="00146A1C">
        <w:rPr>
          <w:szCs w:val="20"/>
        </w:rPr>
        <w:t>Michael</w:t>
      </w:r>
      <w:r w:rsidR="00C64050">
        <w:rPr>
          <w:szCs w:val="20"/>
        </w:rPr>
        <w:t xml:space="preserve"> </w:t>
      </w:r>
      <w:r w:rsidRPr="00146A1C">
        <w:rPr>
          <w:szCs w:val="20"/>
        </w:rPr>
        <w:t>Paulson</w:t>
      </w:r>
      <w:r w:rsidR="00C64050">
        <w:rPr>
          <w:szCs w:val="20"/>
        </w:rPr>
        <w:t xml:space="preserve"> </w:t>
      </w:r>
      <w:r w:rsidRPr="00146A1C">
        <w:rPr>
          <w:szCs w:val="20"/>
        </w:rPr>
        <w:t>signed</w:t>
      </w:r>
      <w:r w:rsidR="00C64050">
        <w:rPr>
          <w:szCs w:val="20"/>
        </w:rPr>
        <w:t xml:space="preserve"> </w:t>
      </w:r>
      <w:r w:rsidRPr="00146A1C">
        <w:rPr>
          <w:szCs w:val="20"/>
        </w:rPr>
        <w:t>various</w:t>
      </w:r>
      <w:r w:rsidR="00C64050">
        <w:rPr>
          <w:szCs w:val="20"/>
        </w:rPr>
        <w:t xml:space="preserve"> </w:t>
      </w:r>
      <w:r w:rsidRPr="00146A1C">
        <w:rPr>
          <w:szCs w:val="20"/>
        </w:rPr>
        <w:t>documents</w:t>
      </w:r>
      <w:r w:rsidR="00C64050">
        <w:rPr>
          <w:szCs w:val="20"/>
        </w:rPr>
        <w:t xml:space="preserve"> </w:t>
      </w:r>
      <w:r w:rsidRPr="00146A1C">
        <w:rPr>
          <w:szCs w:val="20"/>
        </w:rPr>
        <w:t>in</w:t>
      </w:r>
      <w:r w:rsidR="00C64050">
        <w:rPr>
          <w:szCs w:val="20"/>
        </w:rPr>
        <w:t xml:space="preserve"> </w:t>
      </w:r>
      <w:r w:rsidRPr="00146A1C">
        <w:rPr>
          <w:szCs w:val="20"/>
        </w:rPr>
        <w:t>different</w:t>
      </w:r>
      <w:r w:rsidR="00C64050">
        <w:rPr>
          <w:szCs w:val="20"/>
        </w:rPr>
        <w:t xml:space="preserve"> </w:t>
      </w:r>
      <w:r w:rsidRPr="00146A1C">
        <w:rPr>
          <w:szCs w:val="20"/>
        </w:rPr>
        <w:t>capacities</w:t>
      </w:r>
      <w:r w:rsidR="00C64050">
        <w:rPr>
          <w:szCs w:val="20"/>
        </w:rPr>
        <w:t xml:space="preserve"> </w:t>
      </w:r>
      <w:r w:rsidRPr="00146A1C">
        <w:rPr>
          <w:szCs w:val="20"/>
        </w:rPr>
        <w:t>and</w:t>
      </w:r>
      <w:r w:rsidR="00C64050">
        <w:rPr>
          <w:szCs w:val="20"/>
        </w:rPr>
        <w:t xml:space="preserve"> </w:t>
      </w:r>
      <w:r w:rsidRPr="00146A1C">
        <w:rPr>
          <w:szCs w:val="20"/>
        </w:rPr>
        <w:t>sometimes</w:t>
      </w:r>
      <w:r w:rsidR="00C64050">
        <w:rPr>
          <w:szCs w:val="20"/>
        </w:rPr>
        <w:t xml:space="preserve"> </w:t>
      </w:r>
      <w:r w:rsidRPr="00146A1C">
        <w:rPr>
          <w:szCs w:val="20"/>
        </w:rPr>
        <w:t>would</w:t>
      </w:r>
      <w:r w:rsidR="00C64050">
        <w:rPr>
          <w:szCs w:val="20"/>
        </w:rPr>
        <w:t xml:space="preserve"> </w:t>
      </w:r>
      <w:r w:rsidRPr="00146A1C">
        <w:rPr>
          <w:szCs w:val="20"/>
        </w:rPr>
        <w:t>sign</w:t>
      </w:r>
      <w:r w:rsidR="00C64050">
        <w:rPr>
          <w:szCs w:val="20"/>
        </w:rPr>
        <w:t xml:space="preserve"> </w:t>
      </w:r>
      <w:r w:rsidRPr="00146A1C">
        <w:rPr>
          <w:szCs w:val="20"/>
        </w:rPr>
        <w:t>the</w:t>
      </w:r>
      <w:r w:rsidR="00C64050">
        <w:rPr>
          <w:szCs w:val="20"/>
        </w:rPr>
        <w:t xml:space="preserve"> </w:t>
      </w:r>
      <w:r w:rsidRPr="00146A1C">
        <w:rPr>
          <w:szCs w:val="20"/>
        </w:rPr>
        <w:t>same</w:t>
      </w:r>
      <w:r w:rsidR="00C64050">
        <w:rPr>
          <w:szCs w:val="20"/>
        </w:rPr>
        <w:t xml:space="preserve"> </w:t>
      </w:r>
      <w:r w:rsidRPr="00146A1C">
        <w:rPr>
          <w:szCs w:val="20"/>
        </w:rPr>
        <w:t>document</w:t>
      </w:r>
      <w:r w:rsidR="00C64050">
        <w:rPr>
          <w:szCs w:val="20"/>
        </w:rPr>
        <w:t xml:space="preserve"> </w:t>
      </w:r>
      <w:r w:rsidRPr="00146A1C">
        <w:rPr>
          <w:szCs w:val="20"/>
        </w:rPr>
        <w:t>multiple</w:t>
      </w:r>
      <w:r w:rsidR="00C64050">
        <w:rPr>
          <w:szCs w:val="20"/>
        </w:rPr>
        <w:t xml:space="preserve"> </w:t>
      </w:r>
      <w:r w:rsidRPr="00146A1C">
        <w:rPr>
          <w:szCs w:val="20"/>
        </w:rPr>
        <w:t>times</w:t>
      </w:r>
      <w:r w:rsidR="00C64050">
        <w:rPr>
          <w:szCs w:val="20"/>
        </w:rPr>
        <w:t xml:space="preserve"> </w:t>
      </w:r>
      <w:r w:rsidRPr="00146A1C">
        <w:rPr>
          <w:szCs w:val="20"/>
        </w:rPr>
        <w:t>in</w:t>
      </w:r>
      <w:r w:rsidR="00C64050">
        <w:rPr>
          <w:szCs w:val="20"/>
        </w:rPr>
        <w:t xml:space="preserve"> </w:t>
      </w:r>
      <w:r w:rsidRPr="00146A1C">
        <w:rPr>
          <w:szCs w:val="20"/>
        </w:rPr>
        <w:t>his</w:t>
      </w:r>
      <w:r w:rsidR="00C64050">
        <w:rPr>
          <w:szCs w:val="20"/>
        </w:rPr>
        <w:t xml:space="preserve"> </w:t>
      </w:r>
      <w:r w:rsidRPr="00146A1C">
        <w:rPr>
          <w:szCs w:val="20"/>
        </w:rPr>
        <w:t>differing</w:t>
      </w:r>
      <w:r w:rsidR="00C64050">
        <w:rPr>
          <w:szCs w:val="20"/>
        </w:rPr>
        <w:t xml:space="preserve"> </w:t>
      </w:r>
      <w:r w:rsidRPr="00146A1C">
        <w:rPr>
          <w:szCs w:val="20"/>
        </w:rPr>
        <w:t>capacities.</w:t>
      </w:r>
      <w:r w:rsidR="00C64050">
        <w:rPr>
          <w:szCs w:val="20"/>
        </w:rPr>
        <w:t xml:space="preserve"> </w:t>
      </w:r>
      <w:r w:rsidRPr="00146A1C">
        <w:rPr>
          <w:szCs w:val="20"/>
        </w:rPr>
        <w:t>(Doc.</w:t>
      </w:r>
      <w:r w:rsidR="00C64050">
        <w:rPr>
          <w:szCs w:val="20"/>
        </w:rPr>
        <w:t xml:space="preserve"> </w:t>
      </w:r>
      <w:r w:rsidRPr="00146A1C">
        <w:rPr>
          <w:szCs w:val="20"/>
        </w:rPr>
        <w:t>No.</w:t>
      </w:r>
      <w:r w:rsidR="00C64050">
        <w:rPr>
          <w:szCs w:val="20"/>
        </w:rPr>
        <w:t xml:space="preserve"> </w:t>
      </w:r>
      <w:r w:rsidRPr="00146A1C">
        <w:rPr>
          <w:szCs w:val="20"/>
        </w:rPr>
        <w:t>191-1</w:t>
      </w:r>
      <w:r w:rsidR="00C64050">
        <w:rPr>
          <w:szCs w:val="20"/>
        </w:rPr>
        <w:t xml:space="preserve"> </w:t>
      </w:r>
      <w:r w:rsidRPr="00146A1C">
        <w:rPr>
          <w:szCs w:val="20"/>
        </w:rPr>
        <w:t>at</w:t>
      </w:r>
      <w:r w:rsidR="00C64050">
        <w:rPr>
          <w:szCs w:val="20"/>
        </w:rPr>
        <w:t xml:space="preserve"> </w:t>
      </w:r>
      <w:r w:rsidRPr="00146A1C">
        <w:rPr>
          <w:szCs w:val="20"/>
        </w:rPr>
        <w:t>19–21.)</w:t>
      </w:r>
      <w:r w:rsidR="00C64050">
        <w:rPr>
          <w:szCs w:val="20"/>
        </w:rPr>
        <w:t xml:space="preserve"> </w:t>
      </w:r>
      <w:r w:rsidRPr="00146A1C">
        <w:rPr>
          <w:szCs w:val="20"/>
        </w:rPr>
        <w:t>There</w:t>
      </w:r>
      <w:r w:rsidR="00C64050">
        <w:rPr>
          <w:szCs w:val="20"/>
        </w:rPr>
        <w:t xml:space="preserve"> </w:t>
      </w:r>
      <w:r w:rsidRPr="00146A1C">
        <w:rPr>
          <w:szCs w:val="20"/>
        </w:rPr>
        <w:t>is</w:t>
      </w:r>
      <w:r w:rsidR="00C64050">
        <w:rPr>
          <w:szCs w:val="20"/>
        </w:rPr>
        <w:t xml:space="preserve"> </w:t>
      </w:r>
      <w:r w:rsidRPr="00146A1C">
        <w:rPr>
          <w:szCs w:val="20"/>
        </w:rPr>
        <w:t>no</w:t>
      </w:r>
      <w:r w:rsidR="00C64050">
        <w:rPr>
          <w:szCs w:val="20"/>
        </w:rPr>
        <w:t xml:space="preserve"> </w:t>
      </w:r>
      <w:r w:rsidRPr="00146A1C">
        <w:rPr>
          <w:szCs w:val="20"/>
        </w:rPr>
        <w:t>such</w:t>
      </w:r>
      <w:r w:rsidR="00C64050">
        <w:rPr>
          <w:szCs w:val="20"/>
        </w:rPr>
        <w:t xml:space="preserve"> </w:t>
      </w:r>
      <w:r w:rsidRPr="00146A1C">
        <w:rPr>
          <w:szCs w:val="20"/>
        </w:rPr>
        <w:t>requirement,</w:t>
      </w:r>
      <w:r w:rsidR="00C64050">
        <w:rPr>
          <w:szCs w:val="20"/>
        </w:rPr>
        <w:t xml:space="preserve"> </w:t>
      </w:r>
      <w:r w:rsidRPr="00146A1C">
        <w:rPr>
          <w:szCs w:val="20"/>
        </w:rPr>
        <w:t>however,</w:t>
      </w:r>
      <w:r w:rsidR="00C64050">
        <w:rPr>
          <w:szCs w:val="20"/>
        </w:rPr>
        <w:t xml:space="preserve"> </w:t>
      </w:r>
      <w:r w:rsidRPr="00146A1C">
        <w:rPr>
          <w:szCs w:val="20"/>
        </w:rPr>
        <w:t>how</w:t>
      </w:r>
      <w:r w:rsidR="00C64050">
        <w:rPr>
          <w:szCs w:val="20"/>
        </w:rPr>
        <w:t xml:space="preserve"> </w:t>
      </w:r>
      <w:r w:rsidRPr="00146A1C">
        <w:rPr>
          <w:szCs w:val="20"/>
        </w:rPr>
        <w:t>to</w:t>
      </w:r>
      <w:r w:rsidR="00C64050">
        <w:rPr>
          <w:szCs w:val="20"/>
        </w:rPr>
        <w:t xml:space="preserve"> </w:t>
      </w:r>
      <w:r w:rsidRPr="00146A1C">
        <w:rPr>
          <w:szCs w:val="20"/>
        </w:rPr>
        <w:t>sign</w:t>
      </w:r>
      <w:r w:rsidR="00C64050">
        <w:rPr>
          <w:szCs w:val="20"/>
        </w:rPr>
        <w:t xml:space="preserve"> </w:t>
      </w:r>
      <w:r w:rsidRPr="00146A1C">
        <w:rPr>
          <w:szCs w:val="20"/>
        </w:rPr>
        <w:t>the</w:t>
      </w:r>
      <w:r w:rsidR="00C64050">
        <w:rPr>
          <w:szCs w:val="20"/>
        </w:rPr>
        <w:t xml:space="preserve"> </w:t>
      </w:r>
      <w:r w:rsidRPr="00146A1C">
        <w:rPr>
          <w:szCs w:val="20"/>
        </w:rPr>
        <w:t>letter</w:t>
      </w:r>
      <w:r w:rsidR="00C64050">
        <w:rPr>
          <w:szCs w:val="20"/>
        </w:rPr>
        <w:t xml:space="preserve"> </w:t>
      </w:r>
      <w:r w:rsidRPr="00146A1C">
        <w:rPr>
          <w:szCs w:val="20"/>
        </w:rPr>
        <w:t>nor</w:t>
      </w:r>
      <w:r w:rsidR="00C64050">
        <w:rPr>
          <w:szCs w:val="20"/>
        </w:rPr>
        <w:t xml:space="preserve"> </w:t>
      </w:r>
      <w:r w:rsidRPr="00146A1C">
        <w:rPr>
          <w:szCs w:val="20"/>
        </w:rPr>
        <w:t>is</w:t>
      </w:r>
      <w:r w:rsidR="00C64050">
        <w:rPr>
          <w:szCs w:val="20"/>
        </w:rPr>
        <w:t xml:space="preserve"> </w:t>
      </w:r>
      <w:r w:rsidRPr="00146A1C">
        <w:rPr>
          <w:szCs w:val="20"/>
        </w:rPr>
        <w:t>there</w:t>
      </w:r>
      <w:r w:rsidR="00C64050">
        <w:rPr>
          <w:szCs w:val="20"/>
        </w:rPr>
        <w:t xml:space="preserve"> </w:t>
      </w:r>
      <w:r w:rsidRPr="00146A1C">
        <w:rPr>
          <w:szCs w:val="20"/>
        </w:rPr>
        <w:t>a</w:t>
      </w:r>
      <w:r w:rsidR="00C64050">
        <w:rPr>
          <w:szCs w:val="20"/>
        </w:rPr>
        <w:t xml:space="preserve"> </w:t>
      </w:r>
      <w:r w:rsidRPr="00146A1C">
        <w:rPr>
          <w:szCs w:val="20"/>
        </w:rPr>
        <w:t>requirement</w:t>
      </w:r>
      <w:r w:rsidR="00C64050">
        <w:rPr>
          <w:szCs w:val="20"/>
        </w:rPr>
        <w:t xml:space="preserve"> </w:t>
      </w:r>
      <w:r w:rsidRPr="00146A1C">
        <w:rPr>
          <w:szCs w:val="20"/>
        </w:rPr>
        <w:t>that</w:t>
      </w:r>
      <w:r w:rsidR="00C64050">
        <w:rPr>
          <w:szCs w:val="20"/>
        </w:rPr>
        <w:t xml:space="preserve"> </w:t>
      </w:r>
      <w:r w:rsidRPr="00146A1C">
        <w:rPr>
          <w:szCs w:val="20"/>
        </w:rPr>
        <w:t>Michael</w:t>
      </w:r>
      <w:r w:rsidR="00C64050">
        <w:rPr>
          <w:szCs w:val="20"/>
        </w:rPr>
        <w:t xml:space="preserve"> </w:t>
      </w:r>
      <w:r w:rsidRPr="00146A1C">
        <w:rPr>
          <w:szCs w:val="20"/>
        </w:rPr>
        <w:t>Paulson</w:t>
      </w:r>
      <w:r w:rsidR="00C64050">
        <w:rPr>
          <w:szCs w:val="20"/>
        </w:rPr>
        <w:t xml:space="preserve"> </w:t>
      </w:r>
      <w:r w:rsidRPr="00146A1C">
        <w:rPr>
          <w:szCs w:val="20"/>
        </w:rPr>
        <w:t>was</w:t>
      </w:r>
      <w:r w:rsidR="00C64050">
        <w:rPr>
          <w:szCs w:val="20"/>
        </w:rPr>
        <w:t xml:space="preserve"> </w:t>
      </w:r>
      <w:r w:rsidRPr="00146A1C">
        <w:rPr>
          <w:szCs w:val="20"/>
        </w:rPr>
        <w:t>supposed</w:t>
      </w:r>
      <w:r w:rsidR="00C64050">
        <w:rPr>
          <w:szCs w:val="20"/>
        </w:rPr>
        <w:t xml:space="preserve"> </w:t>
      </w:r>
      <w:r w:rsidRPr="00146A1C">
        <w:rPr>
          <w:szCs w:val="20"/>
        </w:rPr>
        <w:t>to</w:t>
      </w:r>
      <w:r w:rsidR="00C64050">
        <w:rPr>
          <w:szCs w:val="20"/>
        </w:rPr>
        <w:t xml:space="preserve"> </w:t>
      </w:r>
      <w:r w:rsidRPr="00146A1C">
        <w:rPr>
          <w:szCs w:val="20"/>
        </w:rPr>
        <w:t>provide</w:t>
      </w:r>
      <w:r w:rsidR="00C64050">
        <w:rPr>
          <w:szCs w:val="20"/>
        </w:rPr>
        <w:t xml:space="preserve"> </w:t>
      </w:r>
      <w:r w:rsidRPr="00146A1C">
        <w:rPr>
          <w:szCs w:val="20"/>
        </w:rPr>
        <w:t>two</w:t>
      </w:r>
      <w:r w:rsidR="00C64050">
        <w:rPr>
          <w:szCs w:val="20"/>
        </w:rPr>
        <w:t xml:space="preserve"> </w:t>
      </w:r>
      <w:r w:rsidRPr="00146A1C">
        <w:rPr>
          <w:szCs w:val="20"/>
        </w:rPr>
        <w:t>letters</w:t>
      </w:r>
      <w:r w:rsidR="00C64050">
        <w:rPr>
          <w:szCs w:val="20"/>
        </w:rPr>
        <w:t xml:space="preserve"> </w:t>
      </w:r>
      <w:r w:rsidRPr="00146A1C">
        <w:rPr>
          <w:szCs w:val="20"/>
        </w:rPr>
        <w:t>to</w:t>
      </w:r>
      <w:r w:rsidR="00C64050">
        <w:rPr>
          <w:szCs w:val="20"/>
        </w:rPr>
        <w:t xml:space="preserve"> </w:t>
      </w:r>
      <w:r w:rsidRPr="00146A1C">
        <w:rPr>
          <w:szCs w:val="20"/>
        </w:rPr>
        <w:t>the</w:t>
      </w:r>
      <w:r w:rsidR="00C64050">
        <w:rPr>
          <w:szCs w:val="20"/>
        </w:rPr>
        <w:t xml:space="preserve"> </w:t>
      </w:r>
      <w:r w:rsidRPr="00146A1C">
        <w:rPr>
          <w:szCs w:val="20"/>
        </w:rPr>
        <w:t>IRS.</w:t>
      </w:r>
    </w:p>
    <w:p w:rsidR="00803A76" w:rsidRDefault="00803A76">
      <w:pPr>
        <w:rPr>
          <w:bCs w:val="0"/>
          <w:lang w:eastAsia="en-GB"/>
        </w:rPr>
      </w:pPr>
      <w:r>
        <w:rPr>
          <w:lang w:eastAsia="en-GB"/>
        </w:rPr>
        <w:br w:type="page"/>
      </w:r>
    </w:p>
    <w:p w:rsidR="00A11937" w:rsidRDefault="00A11937" w:rsidP="0014561A">
      <w:pPr>
        <w:pStyle w:val="Body15"/>
        <w:rPr>
          <w:lang w:eastAsia="en-GB"/>
        </w:rPr>
      </w:pPr>
      <w:r>
        <w:rPr>
          <w:lang w:eastAsia="en-GB"/>
        </w:rPr>
        <w:t>The</w:t>
      </w:r>
      <w:r w:rsidR="00C64050">
        <w:rPr>
          <w:lang w:eastAsia="en-GB"/>
        </w:rPr>
        <w:t xml:space="preserve"> </w:t>
      </w:r>
      <w:r>
        <w:rPr>
          <w:lang w:eastAsia="en-GB"/>
        </w:rPr>
        <w:t>court</w:t>
      </w:r>
      <w:r w:rsidR="00C64050">
        <w:rPr>
          <w:lang w:eastAsia="en-GB"/>
        </w:rPr>
        <w:t xml:space="preserve"> </w:t>
      </w:r>
      <w:r>
        <w:rPr>
          <w:lang w:eastAsia="en-GB"/>
        </w:rPr>
        <w:t>appeared</w:t>
      </w:r>
      <w:r w:rsidR="00C64050">
        <w:rPr>
          <w:lang w:eastAsia="en-GB"/>
        </w:rPr>
        <w:t xml:space="preserve"> </w:t>
      </w:r>
      <w:r>
        <w:rPr>
          <w:lang w:eastAsia="en-GB"/>
        </w:rPr>
        <w:t>offended</w:t>
      </w:r>
      <w:r w:rsidR="00C64050">
        <w:rPr>
          <w:lang w:eastAsia="en-GB"/>
        </w:rPr>
        <w:t xml:space="preserve"> </w:t>
      </w:r>
      <w:r>
        <w:rPr>
          <w:lang w:eastAsia="en-GB"/>
        </w:rPr>
        <w:t>that</w:t>
      </w:r>
      <w:r w:rsidR="00C64050">
        <w:rPr>
          <w:lang w:eastAsia="en-GB"/>
        </w:rPr>
        <w:t xml:space="preserve"> </w:t>
      </w:r>
      <w:r>
        <w:rPr>
          <w:lang w:eastAsia="en-GB"/>
        </w:rPr>
        <w:t>the</w:t>
      </w:r>
      <w:r w:rsidR="00C64050">
        <w:rPr>
          <w:lang w:eastAsia="en-GB"/>
        </w:rPr>
        <w:t xml:space="preserve"> </w:t>
      </w:r>
      <w:r>
        <w:rPr>
          <w:lang w:eastAsia="en-GB"/>
        </w:rPr>
        <w:t>IRS</w:t>
      </w:r>
      <w:r w:rsidR="00C64050">
        <w:rPr>
          <w:lang w:eastAsia="en-GB"/>
        </w:rPr>
        <w:t xml:space="preserve"> </w:t>
      </w:r>
      <w:r>
        <w:rPr>
          <w:lang w:eastAsia="en-GB"/>
        </w:rPr>
        <w:t>took</w:t>
      </w:r>
      <w:r w:rsidR="00C64050">
        <w:rPr>
          <w:lang w:eastAsia="en-GB"/>
        </w:rPr>
        <w:t xml:space="preserve"> </w:t>
      </w:r>
      <w:r>
        <w:rPr>
          <w:lang w:eastAsia="en-GB"/>
        </w:rPr>
        <w:t>12</w:t>
      </w:r>
      <w:r w:rsidR="00C64050">
        <w:rPr>
          <w:lang w:eastAsia="en-GB"/>
        </w:rPr>
        <w:t xml:space="preserve"> </w:t>
      </w:r>
      <w:r>
        <w:rPr>
          <w:lang w:eastAsia="en-GB"/>
        </w:rPr>
        <w:t>years</w:t>
      </w:r>
      <w:r w:rsidR="00C64050">
        <w:rPr>
          <w:lang w:eastAsia="en-GB"/>
        </w:rPr>
        <w:t xml:space="preserve"> </w:t>
      </w:r>
      <w:r>
        <w:rPr>
          <w:lang w:eastAsia="en-GB"/>
        </w:rPr>
        <w:t>to</w:t>
      </w:r>
      <w:r w:rsidR="00C64050">
        <w:rPr>
          <w:lang w:eastAsia="en-GB"/>
        </w:rPr>
        <w:t xml:space="preserve"> </w:t>
      </w:r>
      <w:r>
        <w:rPr>
          <w:lang w:eastAsia="en-GB"/>
        </w:rPr>
        <w:t>raise</w:t>
      </w:r>
      <w:r w:rsidR="00C64050">
        <w:rPr>
          <w:lang w:eastAsia="en-GB"/>
        </w:rPr>
        <w:t xml:space="preserve"> </w:t>
      </w:r>
      <w:r>
        <w:rPr>
          <w:lang w:eastAsia="en-GB"/>
        </w:rPr>
        <w:t>the</w:t>
      </w:r>
      <w:r w:rsidR="00C64050">
        <w:rPr>
          <w:lang w:eastAsia="en-GB"/>
        </w:rPr>
        <w:t xml:space="preserve"> </w:t>
      </w:r>
      <w:r>
        <w:rPr>
          <w:lang w:eastAsia="en-GB"/>
        </w:rPr>
        <w:t>issue:</w:t>
      </w:r>
    </w:p>
    <w:p w:rsidR="00A11937" w:rsidRPr="00146A1C" w:rsidRDefault="00146A1C" w:rsidP="00146A1C">
      <w:pPr>
        <w:pStyle w:val="QS10"/>
        <w:rPr>
          <w:szCs w:val="20"/>
          <w:lang w:eastAsia="en-GB"/>
        </w:rPr>
      </w:pPr>
      <w:r w:rsidRPr="00146A1C">
        <w:rPr>
          <w:szCs w:val="20"/>
        </w:rPr>
        <w:t>Further,</w:t>
      </w:r>
      <w:r w:rsidR="00C64050">
        <w:rPr>
          <w:szCs w:val="20"/>
        </w:rPr>
        <w:t xml:space="preserve"> </w:t>
      </w:r>
      <w:r w:rsidRPr="00146A1C">
        <w:rPr>
          <w:szCs w:val="20"/>
        </w:rPr>
        <w:t>the</w:t>
      </w:r>
      <w:r w:rsidR="00C64050">
        <w:rPr>
          <w:szCs w:val="20"/>
        </w:rPr>
        <w:t xml:space="preserve"> </w:t>
      </w:r>
      <w:r w:rsidRPr="00146A1C">
        <w:rPr>
          <w:szCs w:val="20"/>
        </w:rPr>
        <w:t>IRS</w:t>
      </w:r>
      <w:r w:rsidR="00C64050">
        <w:rPr>
          <w:szCs w:val="20"/>
        </w:rPr>
        <w:t xml:space="preserve"> </w:t>
      </w:r>
      <w:r w:rsidRPr="00146A1C">
        <w:rPr>
          <w:szCs w:val="20"/>
        </w:rPr>
        <w:t>never</w:t>
      </w:r>
      <w:r w:rsidR="00C64050">
        <w:rPr>
          <w:szCs w:val="20"/>
        </w:rPr>
        <w:t xml:space="preserve"> </w:t>
      </w:r>
      <w:r w:rsidRPr="00146A1C">
        <w:rPr>
          <w:szCs w:val="20"/>
        </w:rPr>
        <w:t>contacted</w:t>
      </w:r>
      <w:r w:rsidR="00C64050">
        <w:rPr>
          <w:szCs w:val="20"/>
        </w:rPr>
        <w:t xml:space="preserve"> </w:t>
      </w:r>
      <w:r w:rsidRPr="00146A1C">
        <w:rPr>
          <w:szCs w:val="20"/>
        </w:rPr>
        <w:t>Michael</w:t>
      </w:r>
      <w:r w:rsidR="00C64050">
        <w:rPr>
          <w:szCs w:val="20"/>
        </w:rPr>
        <w:t xml:space="preserve"> </w:t>
      </w:r>
      <w:r w:rsidRPr="00146A1C">
        <w:rPr>
          <w:szCs w:val="20"/>
        </w:rPr>
        <w:t>Paulson</w:t>
      </w:r>
      <w:r w:rsidR="00C64050">
        <w:rPr>
          <w:szCs w:val="20"/>
        </w:rPr>
        <w:t xml:space="preserve"> </w:t>
      </w:r>
      <w:r w:rsidRPr="00146A1C">
        <w:rPr>
          <w:szCs w:val="20"/>
        </w:rPr>
        <w:t>regarding</w:t>
      </w:r>
      <w:r w:rsidR="00C64050">
        <w:rPr>
          <w:szCs w:val="20"/>
        </w:rPr>
        <w:t xml:space="preserve"> </w:t>
      </w:r>
      <w:r w:rsidRPr="00146A1C">
        <w:rPr>
          <w:szCs w:val="20"/>
        </w:rPr>
        <w:t>any</w:t>
      </w:r>
      <w:r w:rsidR="00C64050">
        <w:rPr>
          <w:szCs w:val="20"/>
        </w:rPr>
        <w:t xml:space="preserve"> </w:t>
      </w:r>
      <w:r w:rsidRPr="00146A1C">
        <w:rPr>
          <w:szCs w:val="20"/>
        </w:rPr>
        <w:t>confusion</w:t>
      </w:r>
      <w:r w:rsidR="00C64050">
        <w:rPr>
          <w:szCs w:val="20"/>
        </w:rPr>
        <w:t xml:space="preserve"> </w:t>
      </w:r>
      <w:r w:rsidRPr="00146A1C">
        <w:rPr>
          <w:szCs w:val="20"/>
        </w:rPr>
        <w:t>over</w:t>
      </w:r>
      <w:r w:rsidR="00C64050">
        <w:rPr>
          <w:szCs w:val="20"/>
        </w:rPr>
        <w:t xml:space="preserve"> </w:t>
      </w:r>
      <w:r w:rsidRPr="00146A1C">
        <w:rPr>
          <w:szCs w:val="20"/>
        </w:rPr>
        <w:t>the</w:t>
      </w:r>
      <w:r w:rsidR="00C64050">
        <w:rPr>
          <w:szCs w:val="20"/>
        </w:rPr>
        <w:t xml:space="preserve"> </w:t>
      </w:r>
      <w:r w:rsidRPr="00146A1C">
        <w:rPr>
          <w:szCs w:val="20"/>
        </w:rPr>
        <w:t>letter.</w:t>
      </w:r>
      <w:r w:rsidR="00C64050">
        <w:rPr>
          <w:szCs w:val="20"/>
        </w:rPr>
        <w:t xml:space="preserve"> </w:t>
      </w:r>
      <w:r w:rsidRPr="00146A1C">
        <w:rPr>
          <w:szCs w:val="20"/>
        </w:rPr>
        <w:t>In</w:t>
      </w:r>
      <w:r w:rsidR="00C64050">
        <w:rPr>
          <w:szCs w:val="20"/>
        </w:rPr>
        <w:t xml:space="preserve"> </w:t>
      </w:r>
      <w:r w:rsidRPr="00146A1C">
        <w:rPr>
          <w:szCs w:val="20"/>
        </w:rPr>
        <w:t>fact,</w:t>
      </w:r>
      <w:r w:rsidR="00C64050">
        <w:rPr>
          <w:szCs w:val="20"/>
        </w:rPr>
        <w:t xml:space="preserve"> </w:t>
      </w:r>
      <w:r w:rsidRPr="00146A1C">
        <w:rPr>
          <w:szCs w:val="20"/>
        </w:rPr>
        <w:t>the</w:t>
      </w:r>
      <w:r w:rsidR="00C64050">
        <w:rPr>
          <w:szCs w:val="20"/>
        </w:rPr>
        <w:t xml:space="preserve"> </w:t>
      </w:r>
      <w:r w:rsidRPr="00146A1C">
        <w:rPr>
          <w:szCs w:val="20"/>
        </w:rPr>
        <w:t>IRS</w:t>
      </w:r>
      <w:r w:rsidR="00C64050">
        <w:rPr>
          <w:szCs w:val="20"/>
        </w:rPr>
        <w:t xml:space="preserve"> </w:t>
      </w:r>
      <w:r w:rsidRPr="00146A1C">
        <w:rPr>
          <w:szCs w:val="20"/>
        </w:rPr>
        <w:t>never</w:t>
      </w:r>
      <w:r w:rsidR="00C64050">
        <w:rPr>
          <w:szCs w:val="20"/>
        </w:rPr>
        <w:t xml:space="preserve"> </w:t>
      </w:r>
      <w:r w:rsidRPr="00146A1C">
        <w:rPr>
          <w:szCs w:val="20"/>
        </w:rPr>
        <w:t>responded</w:t>
      </w:r>
      <w:r w:rsidR="00C64050">
        <w:rPr>
          <w:szCs w:val="20"/>
        </w:rPr>
        <w:t xml:space="preserve"> </w:t>
      </w:r>
      <w:r w:rsidRPr="00146A1C">
        <w:rPr>
          <w:szCs w:val="20"/>
        </w:rPr>
        <w:t>to</w:t>
      </w:r>
      <w:r w:rsidR="00C64050">
        <w:rPr>
          <w:szCs w:val="20"/>
        </w:rPr>
        <w:t xml:space="preserve"> </w:t>
      </w:r>
      <w:r w:rsidRPr="00146A1C">
        <w:rPr>
          <w:szCs w:val="20"/>
        </w:rPr>
        <w:t>the</w:t>
      </w:r>
      <w:r w:rsidR="00C64050">
        <w:rPr>
          <w:szCs w:val="20"/>
        </w:rPr>
        <w:t xml:space="preserve"> </w:t>
      </w:r>
      <w:r w:rsidRPr="00146A1C">
        <w:rPr>
          <w:szCs w:val="20"/>
        </w:rPr>
        <w:t>letter.</w:t>
      </w:r>
      <w:r w:rsidR="00C64050">
        <w:rPr>
          <w:szCs w:val="20"/>
        </w:rPr>
        <w:t xml:space="preserve"> </w:t>
      </w:r>
      <w:r w:rsidRPr="00146A1C">
        <w:rPr>
          <w:szCs w:val="20"/>
        </w:rPr>
        <w:t>The</w:t>
      </w:r>
      <w:r w:rsidR="00C64050">
        <w:rPr>
          <w:szCs w:val="20"/>
        </w:rPr>
        <w:t xml:space="preserve"> </w:t>
      </w:r>
      <w:r w:rsidRPr="00146A1C">
        <w:rPr>
          <w:szCs w:val="20"/>
        </w:rPr>
        <w:t>IRS</w:t>
      </w:r>
      <w:r w:rsidR="00C64050">
        <w:rPr>
          <w:szCs w:val="20"/>
        </w:rPr>
        <w:t xml:space="preserve"> </w:t>
      </w:r>
      <w:r w:rsidRPr="00146A1C">
        <w:rPr>
          <w:szCs w:val="20"/>
        </w:rPr>
        <w:t>is</w:t>
      </w:r>
      <w:r w:rsidR="00C64050">
        <w:rPr>
          <w:szCs w:val="20"/>
        </w:rPr>
        <w:t xml:space="preserve"> </w:t>
      </w:r>
      <w:r w:rsidRPr="00146A1C">
        <w:rPr>
          <w:szCs w:val="20"/>
        </w:rPr>
        <w:t>“to</w:t>
      </w:r>
      <w:r w:rsidR="00C64050">
        <w:rPr>
          <w:szCs w:val="20"/>
        </w:rPr>
        <w:t xml:space="preserve"> </w:t>
      </w:r>
      <w:r w:rsidRPr="00146A1C">
        <w:rPr>
          <w:szCs w:val="20"/>
        </w:rPr>
        <w:t>notify</w:t>
      </w:r>
      <w:r w:rsidR="00C64050">
        <w:rPr>
          <w:szCs w:val="20"/>
        </w:rPr>
        <w:t xml:space="preserve"> </w:t>
      </w:r>
      <w:r w:rsidRPr="00146A1C">
        <w:rPr>
          <w:szCs w:val="20"/>
        </w:rPr>
        <w:t>the</w:t>
      </w:r>
      <w:r w:rsidR="00C64050">
        <w:rPr>
          <w:szCs w:val="20"/>
        </w:rPr>
        <w:t xml:space="preserve"> </w:t>
      </w:r>
      <w:r w:rsidRPr="00146A1C">
        <w:rPr>
          <w:szCs w:val="20"/>
        </w:rPr>
        <w:t>fiduciary</w:t>
      </w:r>
      <w:r w:rsidR="00C64050">
        <w:rPr>
          <w:szCs w:val="20"/>
        </w:rPr>
        <w:t xml:space="preserve"> </w:t>
      </w:r>
      <w:r w:rsidRPr="00146A1C">
        <w:rPr>
          <w:szCs w:val="20"/>
        </w:rPr>
        <w:t>(1)</w:t>
      </w:r>
      <w:r w:rsidR="00C64050">
        <w:rPr>
          <w:szCs w:val="20"/>
        </w:rPr>
        <w:t xml:space="preserve"> </w:t>
      </w:r>
      <w:r w:rsidRPr="00146A1C">
        <w:rPr>
          <w:szCs w:val="20"/>
        </w:rPr>
        <w:t>of</w:t>
      </w:r>
      <w:r w:rsidR="00C64050">
        <w:rPr>
          <w:szCs w:val="20"/>
        </w:rPr>
        <w:t xml:space="preserve"> </w:t>
      </w:r>
      <w:r w:rsidRPr="00146A1C">
        <w:rPr>
          <w:szCs w:val="20"/>
        </w:rPr>
        <w:t>the</w:t>
      </w:r>
      <w:r w:rsidR="00C64050">
        <w:rPr>
          <w:szCs w:val="20"/>
        </w:rPr>
        <w:t xml:space="preserve"> </w:t>
      </w:r>
      <w:r w:rsidRPr="00146A1C">
        <w:rPr>
          <w:szCs w:val="20"/>
        </w:rPr>
        <w:t>amount</w:t>
      </w:r>
      <w:r w:rsidR="00C64050">
        <w:rPr>
          <w:szCs w:val="20"/>
        </w:rPr>
        <w:t xml:space="preserve"> </w:t>
      </w:r>
      <w:r w:rsidRPr="00146A1C">
        <w:rPr>
          <w:szCs w:val="20"/>
        </w:rPr>
        <w:t>of</w:t>
      </w:r>
      <w:r w:rsidR="00C64050">
        <w:rPr>
          <w:szCs w:val="20"/>
        </w:rPr>
        <w:t xml:space="preserve"> </w:t>
      </w:r>
      <w:r w:rsidRPr="00146A1C">
        <w:rPr>
          <w:szCs w:val="20"/>
        </w:rPr>
        <w:t>such</w:t>
      </w:r>
      <w:r w:rsidR="00C64050">
        <w:rPr>
          <w:szCs w:val="20"/>
        </w:rPr>
        <w:t xml:space="preserve"> </w:t>
      </w:r>
      <w:r w:rsidRPr="00146A1C">
        <w:rPr>
          <w:szCs w:val="20"/>
        </w:rPr>
        <w:t>tax</w:t>
      </w:r>
      <w:r w:rsidR="00C64050">
        <w:rPr>
          <w:szCs w:val="20"/>
        </w:rPr>
        <w:t xml:space="preserve"> </w:t>
      </w:r>
      <w:r w:rsidRPr="00146A1C">
        <w:rPr>
          <w:szCs w:val="20"/>
        </w:rPr>
        <w:t>for</w:t>
      </w:r>
      <w:r w:rsidR="00C64050">
        <w:rPr>
          <w:szCs w:val="20"/>
        </w:rPr>
        <w:t xml:space="preserve"> </w:t>
      </w:r>
      <w:r w:rsidRPr="00146A1C">
        <w:rPr>
          <w:szCs w:val="20"/>
        </w:rPr>
        <w:t>which</w:t>
      </w:r>
      <w:r w:rsidR="00C64050">
        <w:rPr>
          <w:szCs w:val="20"/>
        </w:rPr>
        <w:t xml:space="preserve"> </w:t>
      </w:r>
      <w:r w:rsidRPr="00146A1C">
        <w:rPr>
          <w:szCs w:val="20"/>
        </w:rPr>
        <w:t>it</w:t>
      </w:r>
      <w:r w:rsidR="00C64050">
        <w:rPr>
          <w:szCs w:val="20"/>
        </w:rPr>
        <w:t xml:space="preserve"> </w:t>
      </w:r>
      <w:r w:rsidRPr="00146A1C">
        <w:rPr>
          <w:szCs w:val="20"/>
        </w:rPr>
        <w:t>has</w:t>
      </w:r>
      <w:r w:rsidR="00C64050">
        <w:rPr>
          <w:szCs w:val="20"/>
        </w:rPr>
        <w:t xml:space="preserve"> </w:t>
      </w:r>
      <w:r w:rsidRPr="00146A1C">
        <w:rPr>
          <w:szCs w:val="20"/>
        </w:rPr>
        <w:t>been</w:t>
      </w:r>
      <w:r w:rsidR="00C64050">
        <w:rPr>
          <w:szCs w:val="20"/>
        </w:rPr>
        <w:t xml:space="preserve"> </w:t>
      </w:r>
      <w:r w:rsidRPr="00146A1C">
        <w:rPr>
          <w:szCs w:val="20"/>
        </w:rPr>
        <w:t>determined</w:t>
      </w:r>
      <w:r w:rsidR="00C64050">
        <w:rPr>
          <w:szCs w:val="20"/>
        </w:rPr>
        <w:t xml:space="preserve"> </w:t>
      </w:r>
      <w:r w:rsidRPr="00146A1C">
        <w:rPr>
          <w:szCs w:val="20"/>
        </w:rPr>
        <w:t>the</w:t>
      </w:r>
      <w:r w:rsidR="00C64050">
        <w:rPr>
          <w:szCs w:val="20"/>
        </w:rPr>
        <w:t xml:space="preserve"> </w:t>
      </w:r>
      <w:r w:rsidRPr="00146A1C">
        <w:rPr>
          <w:szCs w:val="20"/>
        </w:rPr>
        <w:t>fiduciary</w:t>
      </w:r>
      <w:r w:rsidR="00C64050">
        <w:rPr>
          <w:szCs w:val="20"/>
        </w:rPr>
        <w:t xml:space="preserve"> </w:t>
      </w:r>
      <w:r w:rsidRPr="00146A1C">
        <w:rPr>
          <w:szCs w:val="20"/>
        </w:rPr>
        <w:t>is</w:t>
      </w:r>
      <w:r w:rsidR="00C64050">
        <w:rPr>
          <w:szCs w:val="20"/>
        </w:rPr>
        <w:t xml:space="preserve"> </w:t>
      </w:r>
      <w:r w:rsidRPr="00146A1C">
        <w:rPr>
          <w:szCs w:val="20"/>
        </w:rPr>
        <w:t>liable,</w:t>
      </w:r>
      <w:r w:rsidR="00C64050">
        <w:rPr>
          <w:szCs w:val="20"/>
        </w:rPr>
        <w:t xml:space="preserve"> </w:t>
      </w:r>
      <w:r w:rsidRPr="00146A1C">
        <w:rPr>
          <w:szCs w:val="20"/>
        </w:rPr>
        <w:t>or</w:t>
      </w:r>
      <w:r w:rsidR="00C64050">
        <w:rPr>
          <w:szCs w:val="20"/>
        </w:rPr>
        <w:t xml:space="preserve"> </w:t>
      </w:r>
      <w:r w:rsidRPr="00146A1C">
        <w:rPr>
          <w:szCs w:val="20"/>
        </w:rPr>
        <w:t>(2)</w:t>
      </w:r>
      <w:r w:rsidR="00C64050">
        <w:rPr>
          <w:szCs w:val="20"/>
        </w:rPr>
        <w:t xml:space="preserve"> </w:t>
      </w:r>
      <w:r w:rsidRPr="00146A1C">
        <w:rPr>
          <w:szCs w:val="20"/>
        </w:rPr>
        <w:t>that</w:t>
      </w:r>
      <w:r w:rsidR="00C64050">
        <w:rPr>
          <w:szCs w:val="20"/>
        </w:rPr>
        <w:t xml:space="preserve"> </w:t>
      </w:r>
      <w:r w:rsidRPr="00146A1C">
        <w:rPr>
          <w:szCs w:val="20"/>
        </w:rPr>
        <w:t>it</w:t>
      </w:r>
      <w:r w:rsidR="00C64050">
        <w:rPr>
          <w:szCs w:val="20"/>
        </w:rPr>
        <w:t xml:space="preserve"> </w:t>
      </w:r>
      <w:r w:rsidRPr="00146A1C">
        <w:rPr>
          <w:szCs w:val="20"/>
        </w:rPr>
        <w:t>has</w:t>
      </w:r>
      <w:r w:rsidR="00C64050">
        <w:rPr>
          <w:szCs w:val="20"/>
        </w:rPr>
        <w:t xml:space="preserve"> </w:t>
      </w:r>
      <w:r w:rsidRPr="00146A1C">
        <w:rPr>
          <w:szCs w:val="20"/>
        </w:rPr>
        <w:t>been</w:t>
      </w:r>
      <w:r w:rsidR="00C64050">
        <w:rPr>
          <w:szCs w:val="20"/>
        </w:rPr>
        <w:t xml:space="preserve"> </w:t>
      </w:r>
      <w:r w:rsidRPr="00146A1C">
        <w:rPr>
          <w:szCs w:val="20"/>
        </w:rPr>
        <w:t>determined</w:t>
      </w:r>
      <w:r w:rsidR="00C64050">
        <w:rPr>
          <w:szCs w:val="20"/>
        </w:rPr>
        <w:t xml:space="preserve"> </w:t>
      </w:r>
      <w:r w:rsidRPr="00146A1C">
        <w:rPr>
          <w:szCs w:val="20"/>
        </w:rPr>
        <w:t>that</w:t>
      </w:r>
      <w:r w:rsidR="00C64050">
        <w:rPr>
          <w:szCs w:val="20"/>
        </w:rPr>
        <w:t xml:space="preserve"> </w:t>
      </w:r>
      <w:r w:rsidRPr="00146A1C">
        <w:rPr>
          <w:szCs w:val="20"/>
        </w:rPr>
        <w:t>the</w:t>
      </w:r>
      <w:r w:rsidR="00C64050">
        <w:rPr>
          <w:szCs w:val="20"/>
        </w:rPr>
        <w:t xml:space="preserve"> </w:t>
      </w:r>
      <w:r w:rsidRPr="00146A1C">
        <w:rPr>
          <w:szCs w:val="20"/>
        </w:rPr>
        <w:t>fiduciary</w:t>
      </w:r>
      <w:r w:rsidR="00C64050">
        <w:rPr>
          <w:szCs w:val="20"/>
        </w:rPr>
        <w:t xml:space="preserve"> </w:t>
      </w:r>
      <w:r w:rsidRPr="00146A1C">
        <w:rPr>
          <w:szCs w:val="20"/>
        </w:rPr>
        <w:t>is</w:t>
      </w:r>
      <w:r w:rsidR="00C64050">
        <w:rPr>
          <w:szCs w:val="20"/>
        </w:rPr>
        <w:t xml:space="preserve"> </w:t>
      </w:r>
      <w:r w:rsidRPr="00146A1C">
        <w:rPr>
          <w:szCs w:val="20"/>
        </w:rPr>
        <w:t>not</w:t>
      </w:r>
      <w:r w:rsidR="00C64050">
        <w:rPr>
          <w:szCs w:val="20"/>
        </w:rPr>
        <w:t xml:space="preserve"> </w:t>
      </w:r>
      <w:r w:rsidRPr="00146A1C">
        <w:rPr>
          <w:szCs w:val="20"/>
        </w:rPr>
        <w:t>liable</w:t>
      </w:r>
      <w:r w:rsidR="00C64050">
        <w:rPr>
          <w:szCs w:val="20"/>
        </w:rPr>
        <w:t xml:space="preserve"> </w:t>
      </w:r>
      <w:r w:rsidRPr="00146A1C">
        <w:rPr>
          <w:szCs w:val="20"/>
        </w:rPr>
        <w:t>for</w:t>
      </w:r>
      <w:r w:rsidR="00C64050">
        <w:rPr>
          <w:szCs w:val="20"/>
        </w:rPr>
        <w:t xml:space="preserve"> </w:t>
      </w:r>
      <w:r w:rsidRPr="00146A1C">
        <w:rPr>
          <w:szCs w:val="20"/>
        </w:rPr>
        <w:t>any</w:t>
      </w:r>
      <w:r w:rsidR="00C64050">
        <w:rPr>
          <w:szCs w:val="20"/>
        </w:rPr>
        <w:t xml:space="preserve"> </w:t>
      </w:r>
      <w:r w:rsidRPr="00146A1C">
        <w:rPr>
          <w:szCs w:val="20"/>
        </w:rPr>
        <w:t>such</w:t>
      </w:r>
      <w:r w:rsidR="00C64050">
        <w:rPr>
          <w:szCs w:val="20"/>
        </w:rPr>
        <w:t xml:space="preserve"> </w:t>
      </w:r>
      <w:r w:rsidRPr="00146A1C">
        <w:rPr>
          <w:szCs w:val="20"/>
        </w:rPr>
        <w:t>tax.”</w:t>
      </w:r>
      <w:r w:rsidR="00C64050">
        <w:rPr>
          <w:szCs w:val="20"/>
        </w:rPr>
        <w:t xml:space="preserve"> </w:t>
      </w:r>
      <w:r w:rsidRPr="00146A1C">
        <w:rPr>
          <w:szCs w:val="20"/>
        </w:rPr>
        <w:t>26</w:t>
      </w:r>
      <w:r w:rsidR="00C64050">
        <w:rPr>
          <w:szCs w:val="20"/>
        </w:rPr>
        <w:t xml:space="preserve"> </w:t>
      </w:r>
      <w:r w:rsidRPr="00146A1C">
        <w:rPr>
          <w:szCs w:val="20"/>
        </w:rPr>
        <w:t>U.S.C.</w:t>
      </w:r>
      <w:r w:rsidR="00C64050">
        <w:rPr>
          <w:szCs w:val="20"/>
        </w:rPr>
        <w:t xml:space="preserve"> </w:t>
      </w:r>
      <w:r w:rsidRPr="00146A1C">
        <w:rPr>
          <w:szCs w:val="20"/>
        </w:rPr>
        <w:t>§</w:t>
      </w:r>
      <w:r w:rsidR="00C64050">
        <w:rPr>
          <w:szCs w:val="20"/>
        </w:rPr>
        <w:t xml:space="preserve"> </w:t>
      </w:r>
      <w:r w:rsidRPr="00146A1C">
        <w:rPr>
          <w:szCs w:val="20"/>
        </w:rPr>
        <w:t>2204.</w:t>
      </w:r>
      <w:r w:rsidR="00C64050">
        <w:rPr>
          <w:szCs w:val="20"/>
        </w:rPr>
        <w:t xml:space="preserve"> </w:t>
      </w:r>
      <w:r w:rsidRPr="00146A1C">
        <w:rPr>
          <w:szCs w:val="20"/>
        </w:rPr>
        <w:t>If</w:t>
      </w:r>
      <w:r w:rsidR="00C64050">
        <w:rPr>
          <w:szCs w:val="20"/>
        </w:rPr>
        <w:t xml:space="preserve"> </w:t>
      </w:r>
      <w:r w:rsidRPr="00146A1C">
        <w:rPr>
          <w:szCs w:val="20"/>
        </w:rPr>
        <w:t>there</w:t>
      </w:r>
      <w:r w:rsidR="00C64050">
        <w:rPr>
          <w:szCs w:val="20"/>
        </w:rPr>
        <w:t xml:space="preserve"> </w:t>
      </w:r>
      <w:r w:rsidRPr="00146A1C">
        <w:rPr>
          <w:szCs w:val="20"/>
        </w:rPr>
        <w:t>was</w:t>
      </w:r>
      <w:r w:rsidR="00C64050">
        <w:rPr>
          <w:szCs w:val="20"/>
        </w:rPr>
        <w:t xml:space="preserve"> </w:t>
      </w:r>
      <w:r w:rsidRPr="00146A1C">
        <w:rPr>
          <w:szCs w:val="20"/>
        </w:rPr>
        <w:t>any</w:t>
      </w:r>
      <w:r w:rsidR="00C64050">
        <w:rPr>
          <w:szCs w:val="20"/>
        </w:rPr>
        <w:t xml:space="preserve"> </w:t>
      </w:r>
      <w:r w:rsidRPr="00146A1C">
        <w:rPr>
          <w:szCs w:val="20"/>
        </w:rPr>
        <w:t>confusion,</w:t>
      </w:r>
      <w:r w:rsidR="00C64050">
        <w:rPr>
          <w:szCs w:val="20"/>
        </w:rPr>
        <w:t xml:space="preserve"> </w:t>
      </w:r>
      <w:r w:rsidRPr="00146A1C">
        <w:rPr>
          <w:szCs w:val="20"/>
        </w:rPr>
        <w:t>Plaintiff</w:t>
      </w:r>
      <w:r w:rsidR="00C64050">
        <w:rPr>
          <w:szCs w:val="20"/>
        </w:rPr>
        <w:t xml:space="preserve"> </w:t>
      </w:r>
      <w:r w:rsidRPr="00146A1C">
        <w:rPr>
          <w:szCs w:val="20"/>
        </w:rPr>
        <w:t>argues</w:t>
      </w:r>
      <w:r w:rsidR="00C64050">
        <w:rPr>
          <w:szCs w:val="20"/>
        </w:rPr>
        <w:t xml:space="preserve"> </w:t>
      </w:r>
      <w:r w:rsidRPr="00146A1C">
        <w:rPr>
          <w:szCs w:val="20"/>
        </w:rPr>
        <w:t>that</w:t>
      </w:r>
      <w:r w:rsidR="00C64050">
        <w:rPr>
          <w:szCs w:val="20"/>
        </w:rPr>
        <w:t xml:space="preserve"> </w:t>
      </w:r>
      <w:r w:rsidRPr="00146A1C">
        <w:rPr>
          <w:szCs w:val="20"/>
        </w:rPr>
        <w:t>the</w:t>
      </w:r>
      <w:r w:rsidR="00C64050">
        <w:rPr>
          <w:szCs w:val="20"/>
        </w:rPr>
        <w:t xml:space="preserve"> </w:t>
      </w:r>
      <w:r w:rsidRPr="00146A1C">
        <w:rPr>
          <w:szCs w:val="20"/>
        </w:rPr>
        <w:t>IRS</w:t>
      </w:r>
      <w:r w:rsidR="00C64050">
        <w:rPr>
          <w:szCs w:val="20"/>
        </w:rPr>
        <w:t xml:space="preserve"> </w:t>
      </w:r>
      <w:r w:rsidRPr="00146A1C">
        <w:rPr>
          <w:szCs w:val="20"/>
        </w:rPr>
        <w:t>should</w:t>
      </w:r>
      <w:r w:rsidR="00C64050">
        <w:rPr>
          <w:szCs w:val="20"/>
        </w:rPr>
        <w:t xml:space="preserve"> </w:t>
      </w:r>
      <w:r w:rsidRPr="00146A1C">
        <w:rPr>
          <w:szCs w:val="20"/>
        </w:rPr>
        <w:t>have</w:t>
      </w:r>
      <w:r w:rsidR="00C64050">
        <w:rPr>
          <w:szCs w:val="20"/>
        </w:rPr>
        <w:t xml:space="preserve"> </w:t>
      </w:r>
      <w:r w:rsidRPr="00146A1C">
        <w:rPr>
          <w:szCs w:val="20"/>
        </w:rPr>
        <w:t>alerted</w:t>
      </w:r>
      <w:r w:rsidR="00C64050">
        <w:rPr>
          <w:szCs w:val="20"/>
        </w:rPr>
        <w:t xml:space="preserve"> </w:t>
      </w:r>
      <w:r w:rsidRPr="00146A1C">
        <w:rPr>
          <w:szCs w:val="20"/>
        </w:rPr>
        <w:t>the</w:t>
      </w:r>
      <w:r w:rsidR="00C64050">
        <w:rPr>
          <w:szCs w:val="20"/>
        </w:rPr>
        <w:t xml:space="preserve"> </w:t>
      </w:r>
      <w:r w:rsidRPr="00146A1C">
        <w:rPr>
          <w:szCs w:val="20"/>
        </w:rPr>
        <w:t>fiduciary</w:t>
      </w:r>
      <w:r w:rsidR="00C64050">
        <w:rPr>
          <w:szCs w:val="20"/>
        </w:rPr>
        <w:t xml:space="preserve"> </w:t>
      </w:r>
      <w:r w:rsidRPr="00146A1C">
        <w:rPr>
          <w:szCs w:val="20"/>
        </w:rPr>
        <w:t>that</w:t>
      </w:r>
      <w:r w:rsidR="00C64050">
        <w:rPr>
          <w:szCs w:val="20"/>
        </w:rPr>
        <w:t xml:space="preserve"> </w:t>
      </w:r>
      <w:r w:rsidRPr="00146A1C">
        <w:rPr>
          <w:szCs w:val="20"/>
        </w:rPr>
        <w:t>he</w:t>
      </w:r>
      <w:r w:rsidR="00C64050">
        <w:rPr>
          <w:szCs w:val="20"/>
        </w:rPr>
        <w:t xml:space="preserve"> </w:t>
      </w:r>
      <w:r w:rsidRPr="00146A1C">
        <w:rPr>
          <w:szCs w:val="20"/>
        </w:rPr>
        <w:t>remained</w:t>
      </w:r>
      <w:r w:rsidR="00C64050">
        <w:rPr>
          <w:szCs w:val="20"/>
        </w:rPr>
        <w:t xml:space="preserve"> </w:t>
      </w:r>
      <w:r w:rsidRPr="00146A1C">
        <w:rPr>
          <w:szCs w:val="20"/>
        </w:rPr>
        <w:t>liable</w:t>
      </w:r>
      <w:r w:rsidR="00C64050">
        <w:rPr>
          <w:szCs w:val="20"/>
        </w:rPr>
        <w:t xml:space="preserve"> </w:t>
      </w:r>
      <w:r w:rsidRPr="00146A1C">
        <w:rPr>
          <w:szCs w:val="20"/>
        </w:rPr>
        <w:t>for</w:t>
      </w:r>
      <w:r w:rsidR="00C64050">
        <w:rPr>
          <w:szCs w:val="20"/>
        </w:rPr>
        <w:t xml:space="preserve"> </w:t>
      </w:r>
      <w:r w:rsidRPr="00146A1C">
        <w:rPr>
          <w:szCs w:val="20"/>
        </w:rPr>
        <w:t>the</w:t>
      </w:r>
      <w:r w:rsidR="00C64050">
        <w:rPr>
          <w:szCs w:val="20"/>
        </w:rPr>
        <w:t xml:space="preserve"> </w:t>
      </w:r>
      <w:r w:rsidRPr="00146A1C">
        <w:rPr>
          <w:szCs w:val="20"/>
        </w:rPr>
        <w:t>full</w:t>
      </w:r>
      <w:r w:rsidR="00C64050">
        <w:rPr>
          <w:szCs w:val="20"/>
        </w:rPr>
        <w:t xml:space="preserve"> </w:t>
      </w:r>
      <w:r w:rsidRPr="00146A1C">
        <w:rPr>
          <w:szCs w:val="20"/>
        </w:rPr>
        <w:t>amount</w:t>
      </w:r>
      <w:r w:rsidR="00C64050">
        <w:rPr>
          <w:szCs w:val="20"/>
        </w:rPr>
        <w:t xml:space="preserve"> </w:t>
      </w:r>
      <w:r w:rsidRPr="00146A1C">
        <w:rPr>
          <w:szCs w:val="20"/>
        </w:rPr>
        <w:t>of</w:t>
      </w:r>
      <w:r w:rsidR="00C64050">
        <w:rPr>
          <w:szCs w:val="20"/>
        </w:rPr>
        <w:t xml:space="preserve"> </w:t>
      </w:r>
      <w:r w:rsidRPr="00146A1C">
        <w:rPr>
          <w:szCs w:val="20"/>
        </w:rPr>
        <w:t>“any</w:t>
      </w:r>
      <w:r w:rsidR="00C64050">
        <w:rPr>
          <w:szCs w:val="20"/>
        </w:rPr>
        <w:t xml:space="preserve"> </w:t>
      </w:r>
      <w:r w:rsidRPr="00146A1C">
        <w:rPr>
          <w:szCs w:val="20"/>
        </w:rPr>
        <w:t>estate</w:t>
      </w:r>
      <w:r w:rsidR="00C64050">
        <w:rPr>
          <w:szCs w:val="20"/>
        </w:rPr>
        <w:t xml:space="preserve"> </w:t>
      </w:r>
      <w:r w:rsidRPr="00146A1C">
        <w:rPr>
          <w:szCs w:val="20"/>
        </w:rPr>
        <w:t>tax</w:t>
      </w:r>
      <w:r w:rsidR="00C64050">
        <w:rPr>
          <w:szCs w:val="20"/>
        </w:rPr>
        <w:t xml:space="preserve"> </w:t>
      </w:r>
      <w:r w:rsidRPr="00146A1C">
        <w:rPr>
          <w:szCs w:val="20"/>
        </w:rPr>
        <w:t>for</w:t>
      </w:r>
      <w:r w:rsidR="00C64050">
        <w:rPr>
          <w:szCs w:val="20"/>
        </w:rPr>
        <w:t xml:space="preserve"> </w:t>
      </w:r>
      <w:r w:rsidRPr="00146A1C">
        <w:rPr>
          <w:szCs w:val="20"/>
        </w:rPr>
        <w:t>which</w:t>
      </w:r>
      <w:r w:rsidR="00C64050">
        <w:rPr>
          <w:szCs w:val="20"/>
        </w:rPr>
        <w:t xml:space="preserve"> </w:t>
      </w:r>
      <w:r w:rsidRPr="00146A1C">
        <w:rPr>
          <w:szCs w:val="20"/>
        </w:rPr>
        <w:t>the</w:t>
      </w:r>
      <w:r w:rsidR="00C64050">
        <w:rPr>
          <w:szCs w:val="20"/>
        </w:rPr>
        <w:t xml:space="preserve"> </w:t>
      </w:r>
      <w:r w:rsidRPr="00146A1C">
        <w:rPr>
          <w:szCs w:val="20"/>
        </w:rPr>
        <w:t>fiduciary</w:t>
      </w:r>
      <w:r w:rsidR="00C64050">
        <w:rPr>
          <w:szCs w:val="20"/>
        </w:rPr>
        <w:t xml:space="preserve"> </w:t>
      </w:r>
      <w:r w:rsidRPr="00146A1C">
        <w:rPr>
          <w:szCs w:val="20"/>
        </w:rPr>
        <w:t>may</w:t>
      </w:r>
      <w:r w:rsidR="00C64050">
        <w:rPr>
          <w:szCs w:val="20"/>
        </w:rPr>
        <w:t xml:space="preserve"> </w:t>
      </w:r>
      <w:r w:rsidRPr="00146A1C">
        <w:rPr>
          <w:szCs w:val="20"/>
        </w:rPr>
        <w:t>be</w:t>
      </w:r>
      <w:r w:rsidR="00C64050">
        <w:rPr>
          <w:szCs w:val="20"/>
        </w:rPr>
        <w:t xml:space="preserve"> </w:t>
      </w:r>
      <w:r w:rsidRPr="00146A1C">
        <w:rPr>
          <w:szCs w:val="20"/>
        </w:rPr>
        <w:t>personally</w:t>
      </w:r>
      <w:r w:rsidR="00C64050">
        <w:rPr>
          <w:szCs w:val="20"/>
        </w:rPr>
        <w:t xml:space="preserve"> </w:t>
      </w:r>
      <w:r w:rsidRPr="00146A1C">
        <w:rPr>
          <w:szCs w:val="20"/>
        </w:rPr>
        <w:t>liable.”</w:t>
      </w:r>
      <w:r w:rsidR="00C64050">
        <w:rPr>
          <w:szCs w:val="20"/>
        </w:rPr>
        <w:t xml:space="preserve"> </w:t>
      </w:r>
      <w:r w:rsidRPr="00146A1C">
        <w:rPr>
          <w:szCs w:val="20"/>
        </w:rPr>
        <w:t>The</w:t>
      </w:r>
      <w:r w:rsidR="00C64050">
        <w:rPr>
          <w:szCs w:val="20"/>
        </w:rPr>
        <w:t xml:space="preserve"> </w:t>
      </w:r>
      <w:r w:rsidRPr="00146A1C">
        <w:rPr>
          <w:szCs w:val="20"/>
        </w:rPr>
        <w:t>Court</w:t>
      </w:r>
      <w:r w:rsidR="00C64050">
        <w:rPr>
          <w:szCs w:val="20"/>
        </w:rPr>
        <w:t xml:space="preserve"> </w:t>
      </w:r>
      <w:r w:rsidRPr="00146A1C">
        <w:rPr>
          <w:szCs w:val="20"/>
        </w:rPr>
        <w:t>agrees.</w:t>
      </w:r>
      <w:r w:rsidR="00C64050">
        <w:rPr>
          <w:szCs w:val="20"/>
        </w:rPr>
        <w:t xml:space="preserve"> </w:t>
      </w:r>
      <w:r w:rsidRPr="00146A1C">
        <w:rPr>
          <w:szCs w:val="20"/>
        </w:rPr>
        <w:t>Plaintiff</w:t>
      </w:r>
      <w:r w:rsidR="00C64050">
        <w:rPr>
          <w:szCs w:val="20"/>
        </w:rPr>
        <w:t xml:space="preserve"> </w:t>
      </w:r>
      <w:r w:rsidRPr="00146A1C">
        <w:rPr>
          <w:szCs w:val="20"/>
        </w:rPr>
        <w:t>should</w:t>
      </w:r>
      <w:r w:rsidR="00C64050">
        <w:rPr>
          <w:szCs w:val="20"/>
        </w:rPr>
        <w:t xml:space="preserve"> </w:t>
      </w:r>
      <w:r w:rsidRPr="00146A1C">
        <w:rPr>
          <w:szCs w:val="20"/>
        </w:rPr>
        <w:t>not</w:t>
      </w:r>
      <w:r w:rsidR="00C64050">
        <w:rPr>
          <w:szCs w:val="20"/>
        </w:rPr>
        <w:t xml:space="preserve"> </w:t>
      </w:r>
      <w:r w:rsidRPr="00146A1C">
        <w:rPr>
          <w:szCs w:val="20"/>
        </w:rPr>
        <w:t>have</w:t>
      </w:r>
      <w:r w:rsidR="00C64050">
        <w:rPr>
          <w:szCs w:val="20"/>
        </w:rPr>
        <w:t xml:space="preserve"> </w:t>
      </w:r>
      <w:r w:rsidRPr="00146A1C">
        <w:rPr>
          <w:szCs w:val="20"/>
        </w:rPr>
        <w:t>waited</w:t>
      </w:r>
      <w:r w:rsidR="00C64050">
        <w:rPr>
          <w:szCs w:val="20"/>
        </w:rPr>
        <w:t xml:space="preserve"> </w:t>
      </w:r>
      <w:r w:rsidRPr="00146A1C">
        <w:rPr>
          <w:szCs w:val="20"/>
        </w:rPr>
        <w:t>twelve</w:t>
      </w:r>
      <w:r w:rsidR="00C64050">
        <w:rPr>
          <w:szCs w:val="20"/>
        </w:rPr>
        <w:t xml:space="preserve"> </w:t>
      </w:r>
      <w:r w:rsidRPr="00146A1C">
        <w:rPr>
          <w:szCs w:val="20"/>
        </w:rPr>
        <w:t>years</w:t>
      </w:r>
      <w:r w:rsidR="00C64050">
        <w:rPr>
          <w:szCs w:val="20"/>
        </w:rPr>
        <w:t xml:space="preserve"> </w:t>
      </w:r>
      <w:r w:rsidRPr="00146A1C">
        <w:rPr>
          <w:szCs w:val="20"/>
        </w:rPr>
        <w:t>to</w:t>
      </w:r>
      <w:r w:rsidR="00C64050">
        <w:rPr>
          <w:szCs w:val="20"/>
        </w:rPr>
        <w:t xml:space="preserve"> </w:t>
      </w:r>
      <w:r w:rsidRPr="00146A1C">
        <w:rPr>
          <w:szCs w:val="20"/>
        </w:rPr>
        <w:t>raise</w:t>
      </w:r>
      <w:r w:rsidR="00C64050">
        <w:rPr>
          <w:szCs w:val="20"/>
        </w:rPr>
        <w:t xml:space="preserve"> </w:t>
      </w:r>
      <w:r w:rsidRPr="00146A1C">
        <w:rPr>
          <w:szCs w:val="20"/>
        </w:rPr>
        <w:t>this</w:t>
      </w:r>
      <w:r w:rsidR="00C64050">
        <w:rPr>
          <w:szCs w:val="20"/>
        </w:rPr>
        <w:t xml:space="preserve"> </w:t>
      </w:r>
      <w:r w:rsidRPr="00146A1C">
        <w:rPr>
          <w:szCs w:val="20"/>
        </w:rPr>
        <w:t>issue</w:t>
      </w:r>
      <w:r w:rsidR="00C64050">
        <w:rPr>
          <w:szCs w:val="20"/>
        </w:rPr>
        <w:t xml:space="preserve"> </w:t>
      </w:r>
      <w:r w:rsidRPr="00146A1C">
        <w:rPr>
          <w:szCs w:val="20"/>
        </w:rPr>
        <w:t>in</w:t>
      </w:r>
      <w:r w:rsidR="00C64050">
        <w:rPr>
          <w:szCs w:val="20"/>
        </w:rPr>
        <w:t xml:space="preserve"> </w:t>
      </w:r>
      <w:r w:rsidRPr="00146A1C">
        <w:rPr>
          <w:szCs w:val="20"/>
        </w:rPr>
        <w:t>litigation.</w:t>
      </w:r>
    </w:p>
    <w:p w:rsidR="003F72B1" w:rsidRPr="003F72B1" w:rsidRDefault="00146A1C" w:rsidP="00146A1C">
      <w:pPr>
        <w:pStyle w:val="Heading20"/>
        <w:tabs>
          <w:tab w:val="clear" w:pos="2700"/>
        </w:tabs>
        <w:ind w:left="0"/>
        <w:rPr>
          <w:vanish/>
          <w:lang w:eastAsia="en-GB"/>
          <w:specVanish/>
        </w:rPr>
      </w:pPr>
      <w:bookmarkStart w:id="782" w:name="_Toc94704679"/>
      <w:r>
        <w:rPr>
          <w:b/>
          <w:u w:val="single"/>
          <w:lang w:eastAsia="en-GB"/>
        </w:rPr>
        <w:t>Reminder</w:t>
      </w:r>
      <w:r w:rsidR="00C64050">
        <w:rPr>
          <w:b/>
          <w:u w:val="single"/>
          <w:lang w:eastAsia="en-GB"/>
        </w:rPr>
        <w:t xml:space="preserve"> </w:t>
      </w:r>
      <w:r>
        <w:rPr>
          <w:b/>
          <w:u w:val="single"/>
          <w:lang w:eastAsia="en-GB"/>
        </w:rPr>
        <w:t>That</w:t>
      </w:r>
      <w:r w:rsidR="00C64050">
        <w:rPr>
          <w:b/>
          <w:u w:val="single"/>
          <w:lang w:eastAsia="en-GB"/>
        </w:rPr>
        <w:t xml:space="preserve"> </w:t>
      </w:r>
      <w:r>
        <w:rPr>
          <w:b/>
          <w:u w:val="single"/>
          <w:lang w:eastAsia="en-GB"/>
        </w:rPr>
        <w:t>Private</w:t>
      </w:r>
      <w:r w:rsidR="00C64050">
        <w:rPr>
          <w:b/>
          <w:u w:val="single"/>
          <w:lang w:eastAsia="en-GB"/>
        </w:rPr>
        <w:t xml:space="preserve"> </w:t>
      </w:r>
      <w:r>
        <w:rPr>
          <w:b/>
          <w:u w:val="single"/>
          <w:lang w:eastAsia="en-GB"/>
        </w:rPr>
        <w:t>Postage</w:t>
      </w:r>
      <w:r w:rsidR="00C64050">
        <w:rPr>
          <w:b/>
          <w:u w:val="single"/>
          <w:lang w:eastAsia="en-GB"/>
        </w:rPr>
        <w:t xml:space="preserve"> </w:t>
      </w:r>
      <w:r>
        <w:rPr>
          <w:b/>
          <w:u w:val="single"/>
          <w:lang w:eastAsia="en-GB"/>
        </w:rPr>
        <w:t>Meter</w:t>
      </w:r>
      <w:r w:rsidR="00C64050">
        <w:rPr>
          <w:b/>
          <w:u w:val="single"/>
          <w:lang w:eastAsia="en-GB"/>
        </w:rPr>
        <w:t xml:space="preserve"> </w:t>
      </w:r>
      <w:r>
        <w:rPr>
          <w:b/>
          <w:u w:val="single"/>
          <w:lang w:eastAsia="en-GB"/>
        </w:rPr>
        <w:t>Yields</w:t>
      </w:r>
      <w:r w:rsidR="00C64050">
        <w:rPr>
          <w:b/>
          <w:u w:val="single"/>
          <w:lang w:eastAsia="en-GB"/>
        </w:rPr>
        <w:t xml:space="preserve"> </w:t>
      </w:r>
      <w:r>
        <w:rPr>
          <w:b/>
          <w:u w:val="single"/>
          <w:lang w:eastAsia="en-GB"/>
        </w:rPr>
        <w:t>To</w:t>
      </w:r>
      <w:r w:rsidR="00C64050">
        <w:rPr>
          <w:b/>
          <w:u w:val="single"/>
          <w:lang w:eastAsia="en-GB"/>
        </w:rPr>
        <w:t xml:space="preserve"> </w:t>
      </w:r>
      <w:r>
        <w:rPr>
          <w:b/>
          <w:u w:val="single"/>
          <w:lang w:eastAsia="en-GB"/>
        </w:rPr>
        <w:t>Official</w:t>
      </w:r>
      <w:r w:rsidR="00C64050">
        <w:rPr>
          <w:b/>
          <w:u w:val="single"/>
          <w:lang w:eastAsia="en-GB"/>
        </w:rPr>
        <w:t xml:space="preserve"> </w:t>
      </w:r>
      <w:r>
        <w:rPr>
          <w:b/>
          <w:u w:val="single"/>
          <w:lang w:eastAsia="en-GB"/>
        </w:rPr>
        <w:t>Post</w:t>
      </w:r>
      <w:r w:rsidR="00C64050">
        <w:rPr>
          <w:b/>
          <w:u w:val="single"/>
          <w:lang w:eastAsia="en-GB"/>
        </w:rPr>
        <w:t xml:space="preserve"> </w:t>
      </w:r>
      <w:r>
        <w:rPr>
          <w:b/>
          <w:u w:val="single"/>
          <w:lang w:eastAsia="en-GB"/>
        </w:rPr>
        <w:t>Office</w:t>
      </w:r>
      <w:r w:rsidR="00C64050">
        <w:rPr>
          <w:b/>
          <w:u w:val="single"/>
          <w:lang w:eastAsia="en-GB"/>
        </w:rPr>
        <w:t xml:space="preserve"> </w:t>
      </w:r>
      <w:r>
        <w:rPr>
          <w:b/>
          <w:u w:val="single"/>
          <w:lang w:eastAsia="en-GB"/>
        </w:rPr>
        <w:t>Time</w:t>
      </w:r>
      <w:r w:rsidR="00C64050">
        <w:rPr>
          <w:b/>
          <w:u w:val="single"/>
          <w:lang w:eastAsia="en-GB"/>
        </w:rPr>
        <w:t xml:space="preserve"> </w:t>
      </w:r>
      <w:r>
        <w:rPr>
          <w:b/>
          <w:u w:val="single"/>
          <w:lang w:eastAsia="en-GB"/>
        </w:rPr>
        <w:t>Stamp</w:t>
      </w:r>
      <w:bookmarkEnd w:id="782"/>
    </w:p>
    <w:p w:rsidR="0014561A" w:rsidRDefault="00146A1C" w:rsidP="003F72B1">
      <w:pPr>
        <w:pStyle w:val="Heading2Body"/>
      </w:pPr>
      <w:r>
        <w:t>.</w:t>
      </w:r>
      <w:r w:rsidR="00C64050">
        <w:t xml:space="preserve">  </w:t>
      </w:r>
      <w:r w:rsidR="003F72B1">
        <w:t>In</w:t>
      </w:r>
      <w:r w:rsidR="00C64050">
        <w:t xml:space="preserve"> </w:t>
      </w:r>
      <w:r w:rsidR="003F72B1">
        <w:rPr>
          <w:u w:val="single"/>
        </w:rPr>
        <w:t>Thomas</w:t>
      </w:r>
      <w:r w:rsidR="00C64050">
        <w:rPr>
          <w:u w:val="single"/>
        </w:rPr>
        <w:t xml:space="preserve"> </w:t>
      </w:r>
      <w:r w:rsidR="003F72B1">
        <w:rPr>
          <w:u w:val="single"/>
        </w:rPr>
        <w:t>v.</w:t>
      </w:r>
      <w:r w:rsidR="00C64050">
        <w:rPr>
          <w:u w:val="single"/>
        </w:rPr>
        <w:t xml:space="preserve"> </w:t>
      </w:r>
      <w:r w:rsidR="003F72B1">
        <w:rPr>
          <w:u w:val="single"/>
        </w:rPr>
        <w:t>Commissioner</w:t>
      </w:r>
      <w:r w:rsidR="003F72B1">
        <w:t>,</w:t>
      </w:r>
      <w:r w:rsidR="00C64050">
        <w:t xml:space="preserve"> </w:t>
      </w:r>
      <w:r w:rsidR="003F72B1">
        <w:t>T.C.</w:t>
      </w:r>
      <w:r w:rsidR="00C64050">
        <w:t xml:space="preserve"> </w:t>
      </w:r>
      <w:r w:rsidR="003F72B1">
        <w:t>Memo.</w:t>
      </w:r>
      <w:r w:rsidR="00C64050">
        <w:t xml:space="preserve"> </w:t>
      </w:r>
      <w:r w:rsidR="003F72B1">
        <w:t>2020-33,</w:t>
      </w:r>
      <w:r w:rsidR="00C64050">
        <w:t xml:space="preserve"> </w:t>
      </w:r>
      <w:r w:rsidR="003F72B1">
        <w:t>the</w:t>
      </w:r>
      <w:r w:rsidR="00C64050">
        <w:t xml:space="preserve"> </w:t>
      </w:r>
      <w:r w:rsidR="003F72B1">
        <w:t>taxpayer</w:t>
      </w:r>
      <w:r w:rsidR="003E0929">
        <w:t>’</w:t>
      </w:r>
      <w:r w:rsidR="003F72B1">
        <w:t>s</w:t>
      </w:r>
      <w:r w:rsidR="00C64050">
        <w:t xml:space="preserve"> </w:t>
      </w:r>
      <w:r w:rsidR="003F72B1">
        <w:t>Tax</w:t>
      </w:r>
      <w:r w:rsidR="00C64050">
        <w:t xml:space="preserve"> </w:t>
      </w:r>
      <w:r w:rsidR="003F72B1">
        <w:t>Court</w:t>
      </w:r>
      <w:r w:rsidR="00C64050">
        <w:t xml:space="preserve"> </w:t>
      </w:r>
      <w:r w:rsidR="003F72B1">
        <w:t>petition</w:t>
      </w:r>
      <w:r w:rsidR="00C64050">
        <w:t xml:space="preserve"> </w:t>
      </w:r>
      <w:r w:rsidR="003F72B1">
        <w:t>was</w:t>
      </w:r>
      <w:r w:rsidR="00C64050">
        <w:t xml:space="preserve"> </w:t>
      </w:r>
      <w:r w:rsidR="003F72B1">
        <w:t>required</w:t>
      </w:r>
      <w:r w:rsidR="00C64050">
        <w:t xml:space="preserve"> </w:t>
      </w:r>
      <w:r w:rsidR="003F72B1">
        <w:t>to</w:t>
      </w:r>
      <w:r w:rsidR="00C64050">
        <w:t xml:space="preserve"> </w:t>
      </w:r>
      <w:r w:rsidR="003F72B1">
        <w:t>be</w:t>
      </w:r>
      <w:r w:rsidR="00C64050">
        <w:t xml:space="preserve"> </w:t>
      </w:r>
      <w:r w:rsidR="003F72B1">
        <w:t>filed</w:t>
      </w:r>
      <w:r w:rsidR="00C64050">
        <w:t xml:space="preserve"> </w:t>
      </w:r>
      <w:r w:rsidR="003F72B1">
        <w:t>by</w:t>
      </w:r>
      <w:r w:rsidR="00C64050">
        <w:t xml:space="preserve"> </w:t>
      </w:r>
      <w:r w:rsidR="003F72B1">
        <w:t>March</w:t>
      </w:r>
      <w:r w:rsidR="00C64050">
        <w:t xml:space="preserve"> </w:t>
      </w:r>
      <w:r w:rsidR="003F72B1">
        <w:t>5,</w:t>
      </w:r>
      <w:r w:rsidR="00C64050">
        <w:t xml:space="preserve"> </w:t>
      </w:r>
      <w:r w:rsidR="003F72B1">
        <w:t>2018</w:t>
      </w:r>
      <w:r w:rsidR="00C64050">
        <w:t xml:space="preserve"> </w:t>
      </w:r>
      <w:r w:rsidR="003F72B1">
        <w:t>(90</w:t>
      </w:r>
      <w:r w:rsidR="00C64050">
        <w:t xml:space="preserve"> </w:t>
      </w:r>
      <w:r w:rsidR="003F72B1">
        <w:t>days</w:t>
      </w:r>
      <w:r w:rsidR="00C64050">
        <w:t xml:space="preserve"> </w:t>
      </w:r>
      <w:r w:rsidR="003F72B1">
        <w:t>after</w:t>
      </w:r>
      <w:r w:rsidR="00C64050">
        <w:t xml:space="preserve"> </w:t>
      </w:r>
      <w:r w:rsidR="00A4774D">
        <w:t>the</w:t>
      </w:r>
      <w:r w:rsidR="00C64050">
        <w:t xml:space="preserve"> </w:t>
      </w:r>
      <w:r w:rsidR="00A4774D">
        <w:t>issuance</w:t>
      </w:r>
      <w:r w:rsidR="00C64050">
        <w:t xml:space="preserve"> </w:t>
      </w:r>
      <w:r w:rsidR="00A4774D">
        <w:t>of</w:t>
      </w:r>
      <w:r w:rsidR="00C64050">
        <w:t xml:space="preserve"> </w:t>
      </w:r>
      <w:r w:rsidR="00A4774D">
        <w:t>the</w:t>
      </w:r>
      <w:r w:rsidR="00C64050">
        <w:t xml:space="preserve"> </w:t>
      </w:r>
      <w:r w:rsidR="00A4774D">
        <w:t>Notice</w:t>
      </w:r>
      <w:r w:rsidR="00C64050">
        <w:t xml:space="preserve"> </w:t>
      </w:r>
      <w:r w:rsidR="00A4774D">
        <w:t>of</w:t>
      </w:r>
      <w:r w:rsidR="00C64050">
        <w:t xml:space="preserve"> </w:t>
      </w:r>
      <w:r w:rsidR="00A4774D">
        <w:t>D</w:t>
      </w:r>
      <w:r w:rsidR="003F72B1">
        <w:t>eficiency</w:t>
      </w:r>
      <w:r w:rsidR="00576524">
        <w:t>)</w:t>
      </w:r>
      <w:r w:rsidR="003F72B1">
        <w:t>.</w:t>
      </w:r>
      <w:r w:rsidR="00C64050">
        <w:t xml:space="preserve">  </w:t>
      </w:r>
      <w:r w:rsidR="003F72B1">
        <w:t>The</w:t>
      </w:r>
      <w:r w:rsidR="00C64050">
        <w:t xml:space="preserve"> </w:t>
      </w:r>
      <w:r w:rsidR="003F72B1">
        <w:t>opinion</w:t>
      </w:r>
      <w:r w:rsidR="00C64050">
        <w:t xml:space="preserve"> </w:t>
      </w:r>
      <w:r w:rsidR="003F72B1">
        <w:t>states:</w:t>
      </w:r>
    </w:p>
    <w:p w:rsidR="003E0929" w:rsidRPr="003E0929" w:rsidRDefault="003E0929" w:rsidP="003E0929">
      <w:pPr>
        <w:pStyle w:val="QS10"/>
        <w:rPr>
          <w:szCs w:val="20"/>
        </w:rPr>
      </w:pPr>
      <w:r w:rsidRPr="003E0929">
        <w:rPr>
          <w:szCs w:val="20"/>
        </w:rPr>
        <w:t>Petitioners</w:t>
      </w:r>
      <w:r w:rsidR="00C64050">
        <w:rPr>
          <w:szCs w:val="20"/>
        </w:rPr>
        <w:t xml:space="preserve"> </w:t>
      </w:r>
      <w:r w:rsidRPr="003E0929">
        <w:rPr>
          <w:szCs w:val="20"/>
        </w:rPr>
        <w:t>assert</w:t>
      </w:r>
      <w:r w:rsidR="00C64050">
        <w:rPr>
          <w:szCs w:val="20"/>
        </w:rPr>
        <w:t xml:space="preserve"> </w:t>
      </w:r>
      <w:r w:rsidRPr="003E0929">
        <w:rPr>
          <w:szCs w:val="20"/>
        </w:rPr>
        <w:t>that</w:t>
      </w:r>
      <w:r w:rsidR="00C64050">
        <w:rPr>
          <w:szCs w:val="20"/>
        </w:rPr>
        <w:t xml:space="preserve"> </w:t>
      </w:r>
      <w:r w:rsidRPr="003E0929">
        <w:rPr>
          <w:szCs w:val="20"/>
        </w:rPr>
        <w:t>petitioner</w:t>
      </w:r>
      <w:r w:rsidR="00C64050">
        <w:rPr>
          <w:szCs w:val="20"/>
        </w:rPr>
        <w:t xml:space="preserve"> </w:t>
      </w:r>
      <w:r w:rsidRPr="003E0929">
        <w:rPr>
          <w:szCs w:val="20"/>
        </w:rPr>
        <w:t>husband</w:t>
      </w:r>
      <w:r w:rsidR="00C64050">
        <w:rPr>
          <w:szCs w:val="20"/>
        </w:rPr>
        <w:t xml:space="preserve"> </w:t>
      </w:r>
      <w:r w:rsidRPr="003E0929">
        <w:rPr>
          <w:szCs w:val="20"/>
        </w:rPr>
        <w:t>took</w:t>
      </w:r>
      <w:r w:rsidR="00C64050">
        <w:rPr>
          <w:szCs w:val="20"/>
        </w:rPr>
        <w:t xml:space="preserve"> </w:t>
      </w:r>
      <w:r w:rsidRPr="003E0929">
        <w:rPr>
          <w:szCs w:val="20"/>
        </w:rPr>
        <w:t>the</w:t>
      </w:r>
      <w:r w:rsidR="00C64050">
        <w:rPr>
          <w:szCs w:val="20"/>
        </w:rPr>
        <w:t xml:space="preserve"> </w:t>
      </w:r>
      <w:r w:rsidRPr="003E0929">
        <w:rPr>
          <w:szCs w:val="20"/>
        </w:rPr>
        <w:t>petition</w:t>
      </w:r>
      <w:r w:rsidR="00C64050">
        <w:rPr>
          <w:szCs w:val="20"/>
        </w:rPr>
        <w:t xml:space="preserve"> </w:t>
      </w:r>
      <w:r w:rsidRPr="003E0929">
        <w:rPr>
          <w:szCs w:val="20"/>
        </w:rPr>
        <w:t>to</w:t>
      </w:r>
      <w:r w:rsidR="00C64050">
        <w:rPr>
          <w:szCs w:val="20"/>
        </w:rPr>
        <w:t xml:space="preserve"> </w:t>
      </w:r>
      <w:r w:rsidRPr="003E0929">
        <w:rPr>
          <w:szCs w:val="20"/>
        </w:rPr>
        <w:t>the</w:t>
      </w:r>
      <w:r w:rsidR="00C64050">
        <w:rPr>
          <w:szCs w:val="20"/>
        </w:rPr>
        <w:t xml:space="preserve"> </w:t>
      </w:r>
      <w:r w:rsidRPr="003E0929">
        <w:rPr>
          <w:szCs w:val="20"/>
        </w:rPr>
        <w:t>Fernley</w:t>
      </w:r>
      <w:r w:rsidR="00C64050">
        <w:rPr>
          <w:szCs w:val="20"/>
        </w:rPr>
        <w:t xml:space="preserve"> </w:t>
      </w:r>
      <w:r>
        <w:rPr>
          <w:szCs w:val="20"/>
        </w:rPr>
        <w:t>[Nevada]</w:t>
      </w:r>
      <w:r w:rsidR="00C64050">
        <w:rPr>
          <w:szCs w:val="20"/>
        </w:rPr>
        <w:t xml:space="preserve"> </w:t>
      </w:r>
      <w:r w:rsidRPr="003E0929">
        <w:rPr>
          <w:szCs w:val="20"/>
        </w:rPr>
        <w:t>USPS</w:t>
      </w:r>
      <w:r w:rsidR="00C64050">
        <w:rPr>
          <w:szCs w:val="20"/>
        </w:rPr>
        <w:t xml:space="preserve"> </w:t>
      </w:r>
      <w:r w:rsidRPr="003E0929">
        <w:rPr>
          <w:szCs w:val="20"/>
        </w:rPr>
        <w:t>office</w:t>
      </w:r>
      <w:r w:rsidR="00C64050">
        <w:rPr>
          <w:szCs w:val="20"/>
        </w:rPr>
        <w:t xml:space="preserve"> </w:t>
      </w:r>
      <w:r w:rsidRPr="003E0929">
        <w:rPr>
          <w:szCs w:val="20"/>
        </w:rPr>
        <w:t>on</w:t>
      </w:r>
      <w:r w:rsidR="00C64050">
        <w:rPr>
          <w:szCs w:val="20"/>
        </w:rPr>
        <w:t xml:space="preserve"> </w:t>
      </w:r>
      <w:r w:rsidRPr="003E0929">
        <w:rPr>
          <w:szCs w:val="20"/>
        </w:rPr>
        <w:t>March</w:t>
      </w:r>
      <w:r w:rsidR="00C64050">
        <w:rPr>
          <w:szCs w:val="20"/>
        </w:rPr>
        <w:t xml:space="preserve"> </w:t>
      </w:r>
      <w:r w:rsidRPr="003E0929">
        <w:rPr>
          <w:szCs w:val="20"/>
        </w:rPr>
        <w:t>5,</w:t>
      </w:r>
      <w:r w:rsidR="00C64050">
        <w:rPr>
          <w:szCs w:val="20"/>
        </w:rPr>
        <w:t xml:space="preserve"> </w:t>
      </w:r>
      <w:r w:rsidRPr="003E0929">
        <w:rPr>
          <w:szCs w:val="20"/>
        </w:rPr>
        <w:t>2018,</w:t>
      </w:r>
      <w:r w:rsidR="00C64050">
        <w:rPr>
          <w:szCs w:val="20"/>
        </w:rPr>
        <w:t xml:space="preserve"> </w:t>
      </w:r>
      <w:r w:rsidRPr="003E0929">
        <w:rPr>
          <w:szCs w:val="20"/>
        </w:rPr>
        <w:t>and</w:t>
      </w:r>
      <w:r w:rsidR="00C64050">
        <w:rPr>
          <w:szCs w:val="20"/>
        </w:rPr>
        <w:t xml:space="preserve"> </w:t>
      </w:r>
      <w:r w:rsidRPr="003E0929">
        <w:rPr>
          <w:szCs w:val="20"/>
        </w:rPr>
        <w:t>placed</w:t>
      </w:r>
      <w:r w:rsidR="00C64050">
        <w:rPr>
          <w:szCs w:val="20"/>
        </w:rPr>
        <w:t xml:space="preserve"> </w:t>
      </w:r>
      <w:r w:rsidRPr="003E0929">
        <w:rPr>
          <w:szCs w:val="20"/>
        </w:rPr>
        <w:t>it</w:t>
      </w:r>
      <w:r w:rsidR="00C64050">
        <w:rPr>
          <w:szCs w:val="20"/>
        </w:rPr>
        <w:t xml:space="preserve"> </w:t>
      </w:r>
      <w:r w:rsidRPr="003E0929">
        <w:rPr>
          <w:szCs w:val="20"/>
        </w:rPr>
        <w:t>in</w:t>
      </w:r>
      <w:r w:rsidR="00C64050">
        <w:rPr>
          <w:szCs w:val="20"/>
        </w:rPr>
        <w:t xml:space="preserve"> </w:t>
      </w:r>
      <w:r w:rsidRPr="003E0929">
        <w:rPr>
          <w:szCs w:val="20"/>
        </w:rPr>
        <w:t>the</w:t>
      </w:r>
      <w:r w:rsidR="00C64050">
        <w:rPr>
          <w:szCs w:val="20"/>
        </w:rPr>
        <w:t xml:space="preserve"> </w:t>
      </w:r>
      <w:r w:rsidRPr="003E0929">
        <w:rPr>
          <w:szCs w:val="20"/>
        </w:rPr>
        <w:t>mailbox</w:t>
      </w:r>
      <w:r w:rsidR="00C64050">
        <w:rPr>
          <w:szCs w:val="20"/>
        </w:rPr>
        <w:t xml:space="preserve"> </w:t>
      </w:r>
      <w:r w:rsidRPr="003E0929">
        <w:rPr>
          <w:szCs w:val="20"/>
        </w:rPr>
        <w:t>before</w:t>
      </w:r>
      <w:r w:rsidR="00C64050">
        <w:rPr>
          <w:szCs w:val="20"/>
        </w:rPr>
        <w:t xml:space="preserve"> </w:t>
      </w:r>
      <w:r w:rsidRPr="003E0929">
        <w:rPr>
          <w:szCs w:val="20"/>
        </w:rPr>
        <w:t>5</w:t>
      </w:r>
      <w:r w:rsidR="00C64050">
        <w:rPr>
          <w:szCs w:val="20"/>
        </w:rPr>
        <w:t xml:space="preserve"> </w:t>
      </w:r>
      <w:r w:rsidRPr="003E0929">
        <w:rPr>
          <w:szCs w:val="20"/>
        </w:rPr>
        <w:t>p.m.,</w:t>
      </w:r>
      <w:r w:rsidR="00C64050">
        <w:rPr>
          <w:szCs w:val="20"/>
        </w:rPr>
        <w:t xml:space="preserve"> </w:t>
      </w:r>
      <w:r w:rsidRPr="003E0929">
        <w:rPr>
          <w:szCs w:val="20"/>
        </w:rPr>
        <w:t>the</w:t>
      </w:r>
      <w:r w:rsidR="00C64050">
        <w:rPr>
          <w:szCs w:val="20"/>
        </w:rPr>
        <w:t xml:space="preserve"> </w:t>
      </w:r>
      <w:r w:rsidRPr="003E0929">
        <w:rPr>
          <w:szCs w:val="20"/>
        </w:rPr>
        <w:t>last</w:t>
      </w:r>
      <w:r w:rsidR="00C64050">
        <w:rPr>
          <w:szCs w:val="20"/>
        </w:rPr>
        <w:t xml:space="preserve"> </w:t>
      </w:r>
      <w:r w:rsidRPr="003E0929">
        <w:rPr>
          <w:szCs w:val="20"/>
        </w:rPr>
        <w:t>mail</w:t>
      </w:r>
      <w:r w:rsidR="00C64050">
        <w:rPr>
          <w:szCs w:val="20"/>
        </w:rPr>
        <w:t xml:space="preserve"> </w:t>
      </w:r>
      <w:r w:rsidRPr="003E0929">
        <w:rPr>
          <w:szCs w:val="20"/>
        </w:rPr>
        <w:t>pickup</w:t>
      </w:r>
      <w:r w:rsidR="00C64050">
        <w:rPr>
          <w:szCs w:val="20"/>
        </w:rPr>
        <w:t xml:space="preserve"> </w:t>
      </w:r>
      <w:r w:rsidRPr="003E0929">
        <w:rPr>
          <w:szCs w:val="20"/>
        </w:rPr>
        <w:t>time</w:t>
      </w:r>
      <w:r w:rsidR="00C64050">
        <w:rPr>
          <w:szCs w:val="20"/>
        </w:rPr>
        <w:t xml:space="preserve"> </w:t>
      </w:r>
      <w:r w:rsidRPr="003E0929">
        <w:rPr>
          <w:szCs w:val="20"/>
        </w:rPr>
        <w:t>at</w:t>
      </w:r>
      <w:r w:rsidR="00C64050">
        <w:rPr>
          <w:szCs w:val="20"/>
        </w:rPr>
        <w:t xml:space="preserve"> </w:t>
      </w:r>
      <w:r w:rsidRPr="003E0929">
        <w:rPr>
          <w:szCs w:val="20"/>
        </w:rPr>
        <w:t>that</w:t>
      </w:r>
      <w:r w:rsidR="00C64050">
        <w:rPr>
          <w:szCs w:val="20"/>
        </w:rPr>
        <w:t xml:space="preserve"> </w:t>
      </w:r>
      <w:r w:rsidRPr="003E0929">
        <w:rPr>
          <w:szCs w:val="20"/>
        </w:rPr>
        <w:t>office.</w:t>
      </w:r>
      <w:r w:rsidR="00C64050">
        <w:rPr>
          <w:szCs w:val="20"/>
        </w:rPr>
        <w:t xml:space="preserve"> </w:t>
      </w:r>
      <w:r w:rsidRPr="003E0929">
        <w:rPr>
          <w:szCs w:val="20"/>
        </w:rPr>
        <w:t>The</w:t>
      </w:r>
      <w:r w:rsidR="00C64050">
        <w:rPr>
          <w:szCs w:val="20"/>
        </w:rPr>
        <w:t xml:space="preserve"> </w:t>
      </w:r>
      <w:r w:rsidRPr="003E0929">
        <w:rPr>
          <w:szCs w:val="20"/>
        </w:rPr>
        <w:t>Fernley</w:t>
      </w:r>
      <w:r w:rsidR="00C64050">
        <w:rPr>
          <w:szCs w:val="20"/>
        </w:rPr>
        <w:t xml:space="preserve"> </w:t>
      </w:r>
      <w:r w:rsidRPr="003E0929">
        <w:rPr>
          <w:szCs w:val="20"/>
        </w:rPr>
        <w:t>USPS</w:t>
      </w:r>
      <w:r w:rsidR="00C64050">
        <w:rPr>
          <w:szCs w:val="20"/>
        </w:rPr>
        <w:t xml:space="preserve"> </w:t>
      </w:r>
      <w:r w:rsidRPr="003E0929">
        <w:rPr>
          <w:szCs w:val="20"/>
        </w:rPr>
        <w:t>office,</w:t>
      </w:r>
      <w:r w:rsidR="00C64050">
        <w:rPr>
          <w:szCs w:val="20"/>
        </w:rPr>
        <w:t xml:space="preserve"> </w:t>
      </w:r>
      <w:r w:rsidRPr="003E0929">
        <w:rPr>
          <w:szCs w:val="20"/>
        </w:rPr>
        <w:t>however,</w:t>
      </w:r>
      <w:r w:rsidR="00C64050">
        <w:rPr>
          <w:szCs w:val="20"/>
        </w:rPr>
        <w:t xml:space="preserve"> </w:t>
      </w:r>
      <w:r w:rsidRPr="003E0929">
        <w:rPr>
          <w:szCs w:val="20"/>
        </w:rPr>
        <w:t>postmarked</w:t>
      </w:r>
      <w:r w:rsidR="00C64050">
        <w:rPr>
          <w:szCs w:val="20"/>
        </w:rPr>
        <w:t xml:space="preserve"> </w:t>
      </w:r>
      <w:r w:rsidRPr="003E0929">
        <w:rPr>
          <w:szCs w:val="20"/>
        </w:rPr>
        <w:t>the</w:t>
      </w:r>
      <w:r w:rsidR="00C64050">
        <w:rPr>
          <w:szCs w:val="20"/>
        </w:rPr>
        <w:t xml:space="preserve"> </w:t>
      </w:r>
      <w:r w:rsidRPr="003E0929">
        <w:rPr>
          <w:szCs w:val="20"/>
        </w:rPr>
        <w:t>envelope</w:t>
      </w:r>
      <w:r w:rsidR="00C64050">
        <w:rPr>
          <w:szCs w:val="20"/>
        </w:rPr>
        <w:t xml:space="preserve"> </w:t>
      </w:r>
      <w:r w:rsidRPr="003E0929">
        <w:rPr>
          <w:szCs w:val="20"/>
        </w:rPr>
        <w:t>on</w:t>
      </w:r>
      <w:r w:rsidR="00C64050">
        <w:rPr>
          <w:szCs w:val="20"/>
        </w:rPr>
        <w:t xml:space="preserve"> </w:t>
      </w:r>
      <w:r w:rsidRPr="003E0929">
        <w:rPr>
          <w:szCs w:val="20"/>
        </w:rPr>
        <w:t>March</w:t>
      </w:r>
      <w:r w:rsidR="00C64050">
        <w:rPr>
          <w:szCs w:val="20"/>
        </w:rPr>
        <w:t xml:space="preserve"> </w:t>
      </w:r>
      <w:r w:rsidRPr="003E0929">
        <w:rPr>
          <w:szCs w:val="20"/>
        </w:rPr>
        <w:t>6,</w:t>
      </w:r>
      <w:r w:rsidR="00C64050">
        <w:rPr>
          <w:szCs w:val="20"/>
        </w:rPr>
        <w:t xml:space="preserve"> </w:t>
      </w:r>
      <w:r w:rsidRPr="003E0929">
        <w:rPr>
          <w:szCs w:val="20"/>
        </w:rPr>
        <w:t>2018.</w:t>
      </w:r>
      <w:r w:rsidR="00C64050">
        <w:rPr>
          <w:szCs w:val="20"/>
        </w:rPr>
        <w:t xml:space="preserve"> </w:t>
      </w:r>
      <w:r w:rsidRPr="003E0929">
        <w:rPr>
          <w:szCs w:val="20"/>
        </w:rPr>
        <w:t>Respondent</w:t>
      </w:r>
      <w:r w:rsidR="00C64050">
        <w:rPr>
          <w:szCs w:val="20"/>
        </w:rPr>
        <w:t xml:space="preserve"> </w:t>
      </w:r>
      <w:r w:rsidRPr="003E0929">
        <w:rPr>
          <w:szCs w:val="20"/>
        </w:rPr>
        <w:t>speculates</w:t>
      </w:r>
      <w:r w:rsidR="00C64050">
        <w:rPr>
          <w:szCs w:val="20"/>
        </w:rPr>
        <w:t xml:space="preserve"> </w:t>
      </w:r>
      <w:r w:rsidRPr="003E0929">
        <w:rPr>
          <w:szCs w:val="20"/>
        </w:rPr>
        <w:t>that</w:t>
      </w:r>
      <w:r w:rsidR="00C64050">
        <w:rPr>
          <w:szCs w:val="20"/>
        </w:rPr>
        <w:t xml:space="preserve"> </w:t>
      </w:r>
      <w:r w:rsidRPr="003E0929">
        <w:rPr>
          <w:szCs w:val="20"/>
        </w:rPr>
        <w:t>the</w:t>
      </w:r>
      <w:r w:rsidR="00C64050">
        <w:rPr>
          <w:szCs w:val="20"/>
        </w:rPr>
        <w:t xml:space="preserve"> </w:t>
      </w:r>
      <w:r w:rsidRPr="003E0929">
        <w:rPr>
          <w:szCs w:val="20"/>
        </w:rPr>
        <w:t>USPS</w:t>
      </w:r>
      <w:r w:rsidR="00C64050">
        <w:rPr>
          <w:szCs w:val="20"/>
        </w:rPr>
        <w:t xml:space="preserve"> </w:t>
      </w:r>
      <w:r w:rsidRPr="003E0929">
        <w:rPr>
          <w:szCs w:val="20"/>
        </w:rPr>
        <w:t>office</w:t>
      </w:r>
      <w:r w:rsidR="00C64050">
        <w:rPr>
          <w:szCs w:val="20"/>
        </w:rPr>
        <w:t xml:space="preserve"> </w:t>
      </w:r>
      <w:r w:rsidRPr="003E0929">
        <w:rPr>
          <w:szCs w:val="20"/>
        </w:rPr>
        <w:t>may</w:t>
      </w:r>
      <w:r w:rsidR="00C64050">
        <w:rPr>
          <w:szCs w:val="20"/>
        </w:rPr>
        <w:t xml:space="preserve"> </w:t>
      </w:r>
      <w:r w:rsidRPr="003E0929">
        <w:rPr>
          <w:szCs w:val="20"/>
        </w:rPr>
        <w:t>have</w:t>
      </w:r>
      <w:r w:rsidR="00C64050">
        <w:rPr>
          <w:szCs w:val="20"/>
        </w:rPr>
        <w:t xml:space="preserve"> </w:t>
      </w:r>
      <w:r w:rsidRPr="003E0929">
        <w:rPr>
          <w:szCs w:val="20"/>
        </w:rPr>
        <w:t>already</w:t>
      </w:r>
      <w:r w:rsidR="00C64050">
        <w:rPr>
          <w:szCs w:val="20"/>
        </w:rPr>
        <w:t xml:space="preserve"> </w:t>
      </w:r>
      <w:r w:rsidRPr="003E0929">
        <w:rPr>
          <w:szCs w:val="20"/>
        </w:rPr>
        <w:t>been</w:t>
      </w:r>
      <w:r w:rsidR="00C64050">
        <w:rPr>
          <w:szCs w:val="20"/>
        </w:rPr>
        <w:t xml:space="preserve"> </w:t>
      </w:r>
      <w:r w:rsidRPr="003E0929">
        <w:rPr>
          <w:szCs w:val="20"/>
        </w:rPr>
        <w:t>closed</w:t>
      </w:r>
      <w:r w:rsidR="00C64050">
        <w:rPr>
          <w:szCs w:val="20"/>
        </w:rPr>
        <w:t xml:space="preserve"> </w:t>
      </w:r>
      <w:r w:rsidRPr="003E0929">
        <w:rPr>
          <w:szCs w:val="20"/>
        </w:rPr>
        <w:t>by</w:t>
      </w:r>
      <w:r w:rsidR="00C64050">
        <w:rPr>
          <w:szCs w:val="20"/>
        </w:rPr>
        <w:t xml:space="preserve"> </w:t>
      </w:r>
      <w:r w:rsidRPr="003E0929">
        <w:rPr>
          <w:szCs w:val="20"/>
        </w:rPr>
        <w:t>the</w:t>
      </w:r>
      <w:r w:rsidR="00C64050">
        <w:rPr>
          <w:szCs w:val="20"/>
        </w:rPr>
        <w:t xml:space="preserve"> </w:t>
      </w:r>
      <w:r w:rsidRPr="003E0929">
        <w:rPr>
          <w:szCs w:val="20"/>
        </w:rPr>
        <w:t>time</w:t>
      </w:r>
      <w:r w:rsidR="00C64050">
        <w:rPr>
          <w:szCs w:val="20"/>
        </w:rPr>
        <w:t xml:space="preserve"> </w:t>
      </w:r>
      <w:r w:rsidRPr="003E0929">
        <w:rPr>
          <w:szCs w:val="20"/>
        </w:rPr>
        <w:t>petitioner</w:t>
      </w:r>
      <w:r w:rsidR="00C64050">
        <w:rPr>
          <w:szCs w:val="20"/>
        </w:rPr>
        <w:t xml:space="preserve"> </w:t>
      </w:r>
      <w:r w:rsidRPr="003E0929">
        <w:rPr>
          <w:szCs w:val="20"/>
        </w:rPr>
        <w:t>husband</w:t>
      </w:r>
      <w:r w:rsidR="00C64050">
        <w:rPr>
          <w:szCs w:val="20"/>
        </w:rPr>
        <w:t xml:space="preserve"> </w:t>
      </w:r>
      <w:r w:rsidRPr="003E0929">
        <w:rPr>
          <w:szCs w:val="20"/>
        </w:rPr>
        <w:t>placed</w:t>
      </w:r>
      <w:r w:rsidR="00C64050">
        <w:rPr>
          <w:szCs w:val="20"/>
        </w:rPr>
        <w:t xml:space="preserve"> </w:t>
      </w:r>
      <w:r w:rsidRPr="003E0929">
        <w:rPr>
          <w:szCs w:val="20"/>
        </w:rPr>
        <w:t>the</w:t>
      </w:r>
      <w:r w:rsidR="00C64050">
        <w:rPr>
          <w:szCs w:val="20"/>
        </w:rPr>
        <w:t xml:space="preserve"> </w:t>
      </w:r>
      <w:r w:rsidRPr="003E0929">
        <w:rPr>
          <w:szCs w:val="20"/>
        </w:rPr>
        <w:t>petition</w:t>
      </w:r>
      <w:r w:rsidR="00C64050">
        <w:rPr>
          <w:szCs w:val="20"/>
        </w:rPr>
        <w:t xml:space="preserve"> </w:t>
      </w:r>
      <w:r w:rsidRPr="003E0929">
        <w:rPr>
          <w:szCs w:val="20"/>
        </w:rPr>
        <w:t>in</w:t>
      </w:r>
      <w:r w:rsidR="00C64050">
        <w:rPr>
          <w:szCs w:val="20"/>
        </w:rPr>
        <w:t xml:space="preserve"> </w:t>
      </w:r>
      <w:r w:rsidRPr="003E0929">
        <w:rPr>
          <w:szCs w:val="20"/>
        </w:rPr>
        <w:t>the</w:t>
      </w:r>
      <w:r w:rsidR="00C64050">
        <w:rPr>
          <w:szCs w:val="20"/>
        </w:rPr>
        <w:t xml:space="preserve"> </w:t>
      </w:r>
      <w:r w:rsidRPr="003E0929">
        <w:rPr>
          <w:szCs w:val="20"/>
        </w:rPr>
        <w:t>mailbox,</w:t>
      </w:r>
      <w:r w:rsidR="00C64050">
        <w:rPr>
          <w:szCs w:val="20"/>
        </w:rPr>
        <w:t xml:space="preserve"> </w:t>
      </w:r>
      <w:r w:rsidRPr="003E0929">
        <w:rPr>
          <w:szCs w:val="20"/>
        </w:rPr>
        <w:t>which</w:t>
      </w:r>
      <w:r w:rsidR="00C64050">
        <w:rPr>
          <w:szCs w:val="20"/>
        </w:rPr>
        <w:t xml:space="preserve"> </w:t>
      </w:r>
      <w:r w:rsidRPr="003E0929">
        <w:rPr>
          <w:szCs w:val="20"/>
        </w:rPr>
        <w:t>may</w:t>
      </w:r>
      <w:r w:rsidR="00C64050">
        <w:rPr>
          <w:szCs w:val="20"/>
        </w:rPr>
        <w:t xml:space="preserve"> </w:t>
      </w:r>
      <w:r w:rsidRPr="003E0929">
        <w:rPr>
          <w:szCs w:val="20"/>
        </w:rPr>
        <w:t>be</w:t>
      </w:r>
      <w:r w:rsidR="00C64050">
        <w:rPr>
          <w:szCs w:val="20"/>
        </w:rPr>
        <w:t xml:space="preserve"> </w:t>
      </w:r>
      <w:r w:rsidRPr="003E0929">
        <w:rPr>
          <w:szCs w:val="20"/>
        </w:rPr>
        <w:t>why</w:t>
      </w:r>
      <w:r w:rsidR="00C64050">
        <w:rPr>
          <w:szCs w:val="20"/>
        </w:rPr>
        <w:t xml:space="preserve"> </w:t>
      </w:r>
      <w:r w:rsidRPr="003E0929">
        <w:rPr>
          <w:szCs w:val="20"/>
        </w:rPr>
        <w:t>the</w:t>
      </w:r>
      <w:r w:rsidR="00C64050">
        <w:rPr>
          <w:szCs w:val="20"/>
        </w:rPr>
        <w:t xml:space="preserve"> </w:t>
      </w:r>
      <w:r w:rsidRPr="003E0929">
        <w:rPr>
          <w:szCs w:val="20"/>
        </w:rPr>
        <w:t>envelope</w:t>
      </w:r>
      <w:r w:rsidR="00C64050">
        <w:rPr>
          <w:szCs w:val="20"/>
        </w:rPr>
        <w:t xml:space="preserve"> </w:t>
      </w:r>
      <w:r w:rsidRPr="003E0929">
        <w:rPr>
          <w:szCs w:val="20"/>
        </w:rPr>
        <w:t>was</w:t>
      </w:r>
      <w:r w:rsidR="00C64050">
        <w:rPr>
          <w:szCs w:val="20"/>
        </w:rPr>
        <w:t xml:space="preserve"> </w:t>
      </w:r>
      <w:r w:rsidRPr="003E0929">
        <w:rPr>
          <w:szCs w:val="20"/>
        </w:rPr>
        <w:t>postmarked</w:t>
      </w:r>
      <w:r w:rsidR="00C64050">
        <w:rPr>
          <w:szCs w:val="20"/>
        </w:rPr>
        <w:t xml:space="preserve"> </w:t>
      </w:r>
      <w:r w:rsidRPr="003E0929">
        <w:rPr>
          <w:szCs w:val="20"/>
        </w:rPr>
        <w:t>the</w:t>
      </w:r>
      <w:r w:rsidR="00C64050">
        <w:rPr>
          <w:szCs w:val="20"/>
        </w:rPr>
        <w:t xml:space="preserve"> </w:t>
      </w:r>
      <w:r w:rsidRPr="003E0929">
        <w:rPr>
          <w:szCs w:val="20"/>
        </w:rPr>
        <w:t>day</w:t>
      </w:r>
      <w:r w:rsidR="00C64050">
        <w:rPr>
          <w:szCs w:val="20"/>
        </w:rPr>
        <w:t xml:space="preserve"> </w:t>
      </w:r>
      <w:r w:rsidRPr="003E0929">
        <w:rPr>
          <w:szCs w:val="20"/>
        </w:rPr>
        <w:t>after</w:t>
      </w:r>
      <w:r w:rsidR="00C64050">
        <w:rPr>
          <w:szCs w:val="20"/>
        </w:rPr>
        <w:t xml:space="preserve"> </w:t>
      </w:r>
      <w:r w:rsidRPr="003E0929">
        <w:rPr>
          <w:szCs w:val="20"/>
        </w:rPr>
        <w:t>the</w:t>
      </w:r>
      <w:r w:rsidR="00C64050">
        <w:rPr>
          <w:szCs w:val="20"/>
        </w:rPr>
        <w:t xml:space="preserve"> </w:t>
      </w:r>
      <w:r w:rsidRPr="003E0929">
        <w:rPr>
          <w:szCs w:val="20"/>
        </w:rPr>
        <w:t>alleged</w:t>
      </w:r>
      <w:r w:rsidR="00C64050">
        <w:rPr>
          <w:szCs w:val="20"/>
        </w:rPr>
        <w:t xml:space="preserve"> </w:t>
      </w:r>
      <w:r w:rsidRPr="003E0929">
        <w:rPr>
          <w:szCs w:val="20"/>
        </w:rPr>
        <w:t>mailing</w:t>
      </w:r>
      <w:r w:rsidR="00C64050">
        <w:rPr>
          <w:szCs w:val="20"/>
        </w:rPr>
        <w:t xml:space="preserve"> </w:t>
      </w:r>
      <w:r w:rsidRPr="003E0929">
        <w:rPr>
          <w:szCs w:val="20"/>
        </w:rPr>
        <w:t>date.</w:t>
      </w:r>
      <w:r w:rsidR="00C64050">
        <w:rPr>
          <w:szCs w:val="20"/>
        </w:rPr>
        <w:t xml:space="preserve"> </w:t>
      </w:r>
      <w:r w:rsidRPr="003E0929">
        <w:rPr>
          <w:szCs w:val="20"/>
        </w:rPr>
        <w:t>Respondent</w:t>
      </w:r>
      <w:r w:rsidR="00C64050">
        <w:rPr>
          <w:szCs w:val="20"/>
        </w:rPr>
        <w:t xml:space="preserve"> </w:t>
      </w:r>
      <w:r w:rsidRPr="003E0929">
        <w:rPr>
          <w:szCs w:val="20"/>
        </w:rPr>
        <w:t>also</w:t>
      </w:r>
      <w:r w:rsidR="00C64050">
        <w:rPr>
          <w:szCs w:val="20"/>
        </w:rPr>
        <w:t xml:space="preserve"> </w:t>
      </w:r>
      <w:r w:rsidRPr="003E0929">
        <w:rPr>
          <w:szCs w:val="20"/>
        </w:rPr>
        <w:t>notes</w:t>
      </w:r>
      <w:r w:rsidR="00C64050">
        <w:rPr>
          <w:szCs w:val="20"/>
        </w:rPr>
        <w:t xml:space="preserve"> </w:t>
      </w:r>
      <w:r w:rsidRPr="003E0929">
        <w:rPr>
          <w:szCs w:val="20"/>
        </w:rPr>
        <w:t>that</w:t>
      </w:r>
      <w:r w:rsidR="00C64050">
        <w:rPr>
          <w:szCs w:val="20"/>
        </w:rPr>
        <w:t xml:space="preserve"> </w:t>
      </w:r>
      <w:r w:rsidRPr="003E0929">
        <w:rPr>
          <w:szCs w:val="20"/>
        </w:rPr>
        <w:t>had</w:t>
      </w:r>
      <w:r w:rsidR="00C64050">
        <w:rPr>
          <w:szCs w:val="20"/>
        </w:rPr>
        <w:t xml:space="preserve"> </w:t>
      </w:r>
      <w:r w:rsidRPr="003E0929">
        <w:rPr>
          <w:szCs w:val="20"/>
        </w:rPr>
        <w:t>petitioner</w:t>
      </w:r>
      <w:r w:rsidR="00C64050">
        <w:rPr>
          <w:szCs w:val="20"/>
        </w:rPr>
        <w:t xml:space="preserve"> </w:t>
      </w:r>
      <w:r w:rsidRPr="003E0929">
        <w:rPr>
          <w:szCs w:val="20"/>
        </w:rPr>
        <w:t>husband</w:t>
      </w:r>
      <w:r w:rsidR="00C64050">
        <w:rPr>
          <w:szCs w:val="20"/>
        </w:rPr>
        <w:t xml:space="preserve"> </w:t>
      </w:r>
      <w:r w:rsidRPr="003E0929">
        <w:rPr>
          <w:szCs w:val="20"/>
        </w:rPr>
        <w:t>taken</w:t>
      </w:r>
      <w:r w:rsidR="00C64050">
        <w:rPr>
          <w:szCs w:val="20"/>
        </w:rPr>
        <w:t xml:space="preserve"> </w:t>
      </w:r>
      <w:r w:rsidRPr="003E0929">
        <w:rPr>
          <w:szCs w:val="20"/>
        </w:rPr>
        <w:t>the</w:t>
      </w:r>
      <w:r w:rsidR="00C64050">
        <w:rPr>
          <w:szCs w:val="20"/>
        </w:rPr>
        <w:t xml:space="preserve"> </w:t>
      </w:r>
      <w:r w:rsidRPr="003E0929">
        <w:rPr>
          <w:szCs w:val="20"/>
        </w:rPr>
        <w:t>petition</w:t>
      </w:r>
      <w:r w:rsidR="00C64050">
        <w:rPr>
          <w:szCs w:val="20"/>
        </w:rPr>
        <w:t xml:space="preserve"> </w:t>
      </w:r>
      <w:r w:rsidRPr="003E0929">
        <w:rPr>
          <w:szCs w:val="20"/>
        </w:rPr>
        <w:t>to</w:t>
      </w:r>
      <w:r w:rsidR="00C64050">
        <w:rPr>
          <w:szCs w:val="20"/>
        </w:rPr>
        <w:t xml:space="preserve"> </w:t>
      </w:r>
      <w:r w:rsidRPr="003E0929">
        <w:rPr>
          <w:szCs w:val="20"/>
        </w:rPr>
        <w:t>the</w:t>
      </w:r>
      <w:r w:rsidR="00C64050">
        <w:rPr>
          <w:szCs w:val="20"/>
        </w:rPr>
        <w:t xml:space="preserve"> </w:t>
      </w:r>
      <w:r w:rsidRPr="003E0929">
        <w:rPr>
          <w:szCs w:val="20"/>
        </w:rPr>
        <w:t>Reno</w:t>
      </w:r>
      <w:r w:rsidR="00C64050">
        <w:rPr>
          <w:szCs w:val="20"/>
        </w:rPr>
        <w:t xml:space="preserve"> </w:t>
      </w:r>
      <w:r w:rsidRPr="003E0929">
        <w:rPr>
          <w:szCs w:val="20"/>
        </w:rPr>
        <w:t>USPS</w:t>
      </w:r>
      <w:r w:rsidR="00C64050">
        <w:rPr>
          <w:szCs w:val="20"/>
        </w:rPr>
        <w:t xml:space="preserve"> </w:t>
      </w:r>
      <w:r w:rsidRPr="003E0929">
        <w:rPr>
          <w:szCs w:val="20"/>
        </w:rPr>
        <w:t>office</w:t>
      </w:r>
      <w:r w:rsidR="00C64050">
        <w:rPr>
          <w:szCs w:val="20"/>
        </w:rPr>
        <w:t xml:space="preserve"> </w:t>
      </w:r>
      <w:r w:rsidRPr="003E0929">
        <w:rPr>
          <w:szCs w:val="20"/>
        </w:rPr>
        <w:t>the</w:t>
      </w:r>
      <w:r w:rsidR="00C64050">
        <w:rPr>
          <w:szCs w:val="20"/>
        </w:rPr>
        <w:t xml:space="preserve"> </w:t>
      </w:r>
      <w:r w:rsidRPr="003E0929">
        <w:rPr>
          <w:szCs w:val="20"/>
        </w:rPr>
        <w:t>envelope</w:t>
      </w:r>
      <w:r w:rsidR="00C64050">
        <w:rPr>
          <w:szCs w:val="20"/>
        </w:rPr>
        <w:t xml:space="preserve"> </w:t>
      </w:r>
      <w:r w:rsidRPr="003E0929">
        <w:rPr>
          <w:szCs w:val="20"/>
        </w:rPr>
        <w:t>would</w:t>
      </w:r>
      <w:r w:rsidR="00C64050">
        <w:rPr>
          <w:szCs w:val="20"/>
        </w:rPr>
        <w:t xml:space="preserve"> </w:t>
      </w:r>
      <w:r w:rsidRPr="003E0929">
        <w:rPr>
          <w:szCs w:val="20"/>
        </w:rPr>
        <w:t>have</w:t>
      </w:r>
      <w:r w:rsidR="00C64050">
        <w:rPr>
          <w:szCs w:val="20"/>
        </w:rPr>
        <w:t xml:space="preserve"> </w:t>
      </w:r>
      <w:r w:rsidRPr="003E0929">
        <w:rPr>
          <w:szCs w:val="20"/>
        </w:rPr>
        <w:t>been</w:t>
      </w:r>
      <w:r w:rsidR="00C64050">
        <w:rPr>
          <w:szCs w:val="20"/>
        </w:rPr>
        <w:t xml:space="preserve"> </w:t>
      </w:r>
      <w:r w:rsidRPr="003E0929">
        <w:rPr>
          <w:szCs w:val="20"/>
        </w:rPr>
        <w:t>postmarked</w:t>
      </w:r>
      <w:r w:rsidR="00C64050">
        <w:rPr>
          <w:szCs w:val="20"/>
        </w:rPr>
        <w:t xml:space="preserve"> </w:t>
      </w:r>
      <w:r w:rsidRPr="003E0929">
        <w:rPr>
          <w:szCs w:val="20"/>
        </w:rPr>
        <w:t>on</w:t>
      </w:r>
      <w:r w:rsidR="00C64050">
        <w:rPr>
          <w:szCs w:val="20"/>
        </w:rPr>
        <w:t xml:space="preserve"> </w:t>
      </w:r>
      <w:r w:rsidRPr="003E0929">
        <w:rPr>
          <w:szCs w:val="20"/>
        </w:rPr>
        <w:t>that</w:t>
      </w:r>
      <w:r w:rsidR="00C64050">
        <w:rPr>
          <w:szCs w:val="20"/>
        </w:rPr>
        <w:t xml:space="preserve"> </w:t>
      </w:r>
      <w:r w:rsidRPr="003E0929">
        <w:rPr>
          <w:szCs w:val="20"/>
        </w:rPr>
        <w:t>same</w:t>
      </w:r>
      <w:r w:rsidR="00C64050">
        <w:rPr>
          <w:szCs w:val="20"/>
        </w:rPr>
        <w:t xml:space="preserve"> </w:t>
      </w:r>
      <w:r w:rsidRPr="003E0929">
        <w:rPr>
          <w:szCs w:val="20"/>
        </w:rPr>
        <w:t>day</w:t>
      </w:r>
      <w:r w:rsidR="00C64050">
        <w:rPr>
          <w:szCs w:val="20"/>
        </w:rPr>
        <w:t xml:space="preserve"> </w:t>
      </w:r>
      <w:r w:rsidRPr="003E0929">
        <w:rPr>
          <w:szCs w:val="20"/>
        </w:rPr>
        <w:t>because</w:t>
      </w:r>
      <w:r w:rsidR="00C64050">
        <w:rPr>
          <w:szCs w:val="20"/>
        </w:rPr>
        <w:t xml:space="preserve"> </w:t>
      </w:r>
      <w:r w:rsidRPr="003E0929">
        <w:rPr>
          <w:szCs w:val="20"/>
        </w:rPr>
        <w:t>that</w:t>
      </w:r>
      <w:r w:rsidR="00C64050">
        <w:rPr>
          <w:szCs w:val="20"/>
        </w:rPr>
        <w:t xml:space="preserve"> </w:t>
      </w:r>
      <w:r w:rsidRPr="003E0929">
        <w:rPr>
          <w:szCs w:val="20"/>
        </w:rPr>
        <w:t>office</w:t>
      </w:r>
      <w:r w:rsidR="00C64050">
        <w:rPr>
          <w:szCs w:val="20"/>
        </w:rPr>
        <w:t xml:space="preserve"> </w:t>
      </w:r>
      <w:r w:rsidRPr="003E0929">
        <w:rPr>
          <w:szCs w:val="20"/>
        </w:rPr>
        <w:t>postmarks</w:t>
      </w:r>
      <w:r w:rsidR="00C64050">
        <w:rPr>
          <w:szCs w:val="20"/>
        </w:rPr>
        <w:t xml:space="preserve"> </w:t>
      </w:r>
      <w:r w:rsidRPr="003E0929">
        <w:rPr>
          <w:szCs w:val="20"/>
        </w:rPr>
        <w:t>mail</w:t>
      </w:r>
      <w:r w:rsidR="00C64050">
        <w:rPr>
          <w:szCs w:val="20"/>
        </w:rPr>
        <w:t xml:space="preserve"> </w:t>
      </w:r>
      <w:r w:rsidRPr="003E0929">
        <w:rPr>
          <w:szCs w:val="20"/>
        </w:rPr>
        <w:t>pieces</w:t>
      </w:r>
      <w:r w:rsidR="00C64050">
        <w:rPr>
          <w:szCs w:val="20"/>
        </w:rPr>
        <w:t xml:space="preserve"> </w:t>
      </w:r>
      <w:r w:rsidRPr="003E0929">
        <w:rPr>
          <w:szCs w:val="20"/>
        </w:rPr>
        <w:t>until</w:t>
      </w:r>
      <w:r w:rsidR="00C64050">
        <w:rPr>
          <w:szCs w:val="20"/>
        </w:rPr>
        <w:t xml:space="preserve"> </w:t>
      </w:r>
      <w:r w:rsidRPr="003E0929">
        <w:rPr>
          <w:szCs w:val="20"/>
        </w:rPr>
        <w:t>11:59</w:t>
      </w:r>
      <w:r w:rsidR="00C64050">
        <w:rPr>
          <w:szCs w:val="20"/>
        </w:rPr>
        <w:t xml:space="preserve"> </w:t>
      </w:r>
      <w:r w:rsidRPr="003E0929">
        <w:rPr>
          <w:szCs w:val="20"/>
        </w:rPr>
        <w:t>p.m.</w:t>
      </w:r>
    </w:p>
    <w:p w:rsidR="003E0929" w:rsidRPr="003E0929" w:rsidRDefault="003E0929" w:rsidP="003E0929">
      <w:pPr>
        <w:pStyle w:val="QS10"/>
        <w:rPr>
          <w:szCs w:val="20"/>
        </w:rPr>
      </w:pPr>
      <w:r w:rsidRPr="003E0929">
        <w:rPr>
          <w:szCs w:val="20"/>
        </w:rPr>
        <w:t>We</w:t>
      </w:r>
      <w:r w:rsidR="00C64050">
        <w:rPr>
          <w:szCs w:val="20"/>
        </w:rPr>
        <w:t xml:space="preserve"> </w:t>
      </w:r>
      <w:r w:rsidRPr="003E0929">
        <w:rPr>
          <w:szCs w:val="20"/>
        </w:rPr>
        <w:t>follow</w:t>
      </w:r>
      <w:r w:rsidR="00C64050">
        <w:rPr>
          <w:szCs w:val="20"/>
        </w:rPr>
        <w:t xml:space="preserve"> </w:t>
      </w:r>
      <w:r w:rsidRPr="003E0929">
        <w:rPr>
          <w:szCs w:val="20"/>
        </w:rPr>
        <w:t>the</w:t>
      </w:r>
      <w:r w:rsidR="00C64050">
        <w:rPr>
          <w:szCs w:val="20"/>
        </w:rPr>
        <w:t xml:space="preserve"> </w:t>
      </w:r>
      <w:r w:rsidRPr="003E0929">
        <w:rPr>
          <w:szCs w:val="20"/>
        </w:rPr>
        <w:t>guidelines</w:t>
      </w:r>
      <w:r w:rsidR="00C64050">
        <w:rPr>
          <w:szCs w:val="20"/>
        </w:rPr>
        <w:t xml:space="preserve"> </w:t>
      </w:r>
      <w:r w:rsidRPr="003E0929">
        <w:rPr>
          <w:szCs w:val="20"/>
        </w:rPr>
        <w:t>the</w:t>
      </w:r>
      <w:r w:rsidR="00C64050">
        <w:rPr>
          <w:szCs w:val="20"/>
        </w:rPr>
        <w:t xml:space="preserve"> </w:t>
      </w:r>
      <w:r w:rsidRPr="003E0929">
        <w:rPr>
          <w:szCs w:val="20"/>
        </w:rPr>
        <w:t>regulations</w:t>
      </w:r>
      <w:r w:rsidR="00C64050">
        <w:rPr>
          <w:szCs w:val="20"/>
        </w:rPr>
        <w:t xml:space="preserve"> </w:t>
      </w:r>
      <w:r w:rsidRPr="003E0929">
        <w:rPr>
          <w:szCs w:val="20"/>
        </w:rPr>
        <w:t>provide</w:t>
      </w:r>
      <w:r w:rsidR="00C64050">
        <w:rPr>
          <w:szCs w:val="20"/>
        </w:rPr>
        <w:t xml:space="preserve"> </w:t>
      </w:r>
      <w:r w:rsidRPr="003E0929">
        <w:rPr>
          <w:szCs w:val="20"/>
        </w:rPr>
        <w:t>us.</w:t>
      </w:r>
      <w:r w:rsidR="00C64050">
        <w:rPr>
          <w:szCs w:val="20"/>
        </w:rPr>
        <w:t xml:space="preserve"> </w:t>
      </w:r>
      <w:r w:rsidRPr="003E0929">
        <w:rPr>
          <w:szCs w:val="20"/>
        </w:rPr>
        <w:t>In</w:t>
      </w:r>
      <w:r w:rsidR="00C64050">
        <w:rPr>
          <w:szCs w:val="20"/>
        </w:rPr>
        <w:t xml:space="preserve"> </w:t>
      </w:r>
      <w:r w:rsidRPr="003E0929">
        <w:rPr>
          <w:szCs w:val="20"/>
        </w:rPr>
        <w:t>this</w:t>
      </w:r>
      <w:r w:rsidR="00C64050">
        <w:rPr>
          <w:szCs w:val="20"/>
        </w:rPr>
        <w:t xml:space="preserve"> </w:t>
      </w:r>
      <w:r w:rsidRPr="003E0929">
        <w:rPr>
          <w:szCs w:val="20"/>
        </w:rPr>
        <w:t>instance</w:t>
      </w:r>
      <w:r w:rsidR="00C64050">
        <w:rPr>
          <w:szCs w:val="20"/>
        </w:rPr>
        <w:t xml:space="preserve"> </w:t>
      </w:r>
      <w:r w:rsidRPr="003E0929">
        <w:rPr>
          <w:szCs w:val="20"/>
        </w:rPr>
        <w:t>the</w:t>
      </w:r>
      <w:r w:rsidR="00C64050">
        <w:rPr>
          <w:szCs w:val="20"/>
        </w:rPr>
        <w:t xml:space="preserve"> </w:t>
      </w:r>
      <w:r w:rsidRPr="003E0929">
        <w:rPr>
          <w:szCs w:val="20"/>
        </w:rPr>
        <w:t>regulations</w:t>
      </w:r>
      <w:r w:rsidR="00C64050">
        <w:rPr>
          <w:szCs w:val="20"/>
        </w:rPr>
        <w:t xml:space="preserve"> </w:t>
      </w:r>
      <w:r w:rsidRPr="003E0929">
        <w:rPr>
          <w:szCs w:val="20"/>
        </w:rPr>
        <w:t>instruct</w:t>
      </w:r>
      <w:r w:rsidR="00C64050">
        <w:rPr>
          <w:szCs w:val="20"/>
        </w:rPr>
        <w:t xml:space="preserve"> </w:t>
      </w:r>
      <w:r w:rsidRPr="003E0929">
        <w:rPr>
          <w:szCs w:val="20"/>
        </w:rPr>
        <w:t>us</w:t>
      </w:r>
      <w:r w:rsidR="00C64050">
        <w:rPr>
          <w:szCs w:val="20"/>
        </w:rPr>
        <w:t xml:space="preserve"> </w:t>
      </w:r>
      <w:r w:rsidRPr="003E0929">
        <w:rPr>
          <w:szCs w:val="20"/>
        </w:rPr>
        <w:t>that</w:t>
      </w:r>
      <w:r w:rsidR="00C64050">
        <w:rPr>
          <w:szCs w:val="20"/>
        </w:rPr>
        <w:t xml:space="preserve"> </w:t>
      </w:r>
      <w:r w:rsidRPr="003E0929">
        <w:rPr>
          <w:szCs w:val="20"/>
        </w:rPr>
        <w:t>where</w:t>
      </w:r>
      <w:r w:rsidR="00C64050">
        <w:rPr>
          <w:szCs w:val="20"/>
        </w:rPr>
        <w:t xml:space="preserve"> </w:t>
      </w:r>
      <w:r w:rsidRPr="003E0929">
        <w:rPr>
          <w:szCs w:val="20"/>
        </w:rPr>
        <w:t>the</w:t>
      </w:r>
      <w:r w:rsidR="00C64050">
        <w:rPr>
          <w:szCs w:val="20"/>
        </w:rPr>
        <w:t xml:space="preserve"> </w:t>
      </w:r>
      <w:r w:rsidRPr="003E0929">
        <w:rPr>
          <w:szCs w:val="20"/>
        </w:rPr>
        <w:t>envelope</w:t>
      </w:r>
      <w:r w:rsidR="00C64050">
        <w:rPr>
          <w:szCs w:val="20"/>
        </w:rPr>
        <w:t xml:space="preserve"> </w:t>
      </w:r>
      <w:r w:rsidRPr="003E0929">
        <w:rPr>
          <w:szCs w:val="20"/>
        </w:rPr>
        <w:t>containing</w:t>
      </w:r>
      <w:r w:rsidR="00C64050">
        <w:rPr>
          <w:szCs w:val="20"/>
        </w:rPr>
        <w:t xml:space="preserve"> </w:t>
      </w:r>
      <w:r w:rsidRPr="003E0929">
        <w:rPr>
          <w:szCs w:val="20"/>
        </w:rPr>
        <w:t>the</w:t>
      </w:r>
      <w:r w:rsidR="00C64050">
        <w:rPr>
          <w:szCs w:val="20"/>
        </w:rPr>
        <w:t xml:space="preserve"> </w:t>
      </w:r>
      <w:r w:rsidRPr="003E0929">
        <w:rPr>
          <w:szCs w:val="20"/>
        </w:rPr>
        <w:t>petition</w:t>
      </w:r>
      <w:r w:rsidR="00C64050">
        <w:rPr>
          <w:szCs w:val="20"/>
        </w:rPr>
        <w:t xml:space="preserve"> </w:t>
      </w:r>
      <w:r w:rsidRPr="003E0929">
        <w:rPr>
          <w:szCs w:val="20"/>
        </w:rPr>
        <w:t>bears</w:t>
      </w:r>
      <w:r w:rsidR="00C64050">
        <w:rPr>
          <w:szCs w:val="20"/>
        </w:rPr>
        <w:t xml:space="preserve"> </w:t>
      </w:r>
      <w:r w:rsidRPr="003E0929">
        <w:rPr>
          <w:szCs w:val="20"/>
        </w:rPr>
        <w:t>a</w:t>
      </w:r>
      <w:r w:rsidR="00C64050">
        <w:rPr>
          <w:szCs w:val="20"/>
        </w:rPr>
        <w:t xml:space="preserve"> </w:t>
      </w:r>
      <w:r w:rsidRPr="003E0929">
        <w:rPr>
          <w:szCs w:val="20"/>
        </w:rPr>
        <w:t>legible</w:t>
      </w:r>
      <w:r w:rsidR="00C64050">
        <w:rPr>
          <w:szCs w:val="20"/>
        </w:rPr>
        <w:t xml:space="preserve"> </w:t>
      </w:r>
      <w:r w:rsidRPr="003E0929">
        <w:rPr>
          <w:szCs w:val="20"/>
        </w:rPr>
        <w:t>USPS</w:t>
      </w:r>
      <w:r w:rsidR="00C64050">
        <w:rPr>
          <w:szCs w:val="20"/>
        </w:rPr>
        <w:t xml:space="preserve"> </w:t>
      </w:r>
      <w:r w:rsidRPr="003E0929">
        <w:rPr>
          <w:szCs w:val="20"/>
        </w:rPr>
        <w:t>postmark,</w:t>
      </w:r>
      <w:r w:rsidR="00C64050">
        <w:rPr>
          <w:szCs w:val="20"/>
        </w:rPr>
        <w:t xml:space="preserve"> </w:t>
      </w:r>
      <w:r w:rsidRPr="003E0929">
        <w:rPr>
          <w:szCs w:val="20"/>
        </w:rPr>
        <w:t>the</w:t>
      </w:r>
      <w:r w:rsidR="00C64050">
        <w:rPr>
          <w:szCs w:val="20"/>
        </w:rPr>
        <w:t xml:space="preserve"> </w:t>
      </w:r>
      <w:r w:rsidRPr="003E0929">
        <w:rPr>
          <w:szCs w:val="20"/>
        </w:rPr>
        <w:t>postmark</w:t>
      </w:r>
      <w:r w:rsidR="00C64050">
        <w:rPr>
          <w:szCs w:val="20"/>
        </w:rPr>
        <w:t xml:space="preserve"> </w:t>
      </w:r>
      <w:r w:rsidRPr="003E0929">
        <w:rPr>
          <w:szCs w:val="20"/>
        </w:rPr>
        <w:t>must</w:t>
      </w:r>
      <w:r w:rsidR="00C64050">
        <w:rPr>
          <w:szCs w:val="20"/>
        </w:rPr>
        <w:t xml:space="preserve"> </w:t>
      </w:r>
      <w:r w:rsidRPr="003E0929">
        <w:rPr>
          <w:szCs w:val="20"/>
        </w:rPr>
        <w:t>bear</w:t>
      </w:r>
      <w:r w:rsidR="00C64050">
        <w:rPr>
          <w:szCs w:val="20"/>
        </w:rPr>
        <w:t xml:space="preserve"> </w:t>
      </w:r>
      <w:r w:rsidRPr="003E0929">
        <w:rPr>
          <w:szCs w:val="20"/>
        </w:rPr>
        <w:t>a</w:t>
      </w:r>
      <w:r w:rsidR="00C64050">
        <w:rPr>
          <w:szCs w:val="20"/>
        </w:rPr>
        <w:t xml:space="preserve"> </w:t>
      </w:r>
      <w:r w:rsidRPr="003E0929">
        <w:rPr>
          <w:szCs w:val="20"/>
        </w:rPr>
        <w:t>date</w:t>
      </w:r>
      <w:r w:rsidR="00C64050">
        <w:rPr>
          <w:szCs w:val="20"/>
        </w:rPr>
        <w:t xml:space="preserve"> </w:t>
      </w:r>
      <w:r w:rsidRPr="003E0929">
        <w:rPr>
          <w:szCs w:val="20"/>
        </w:rPr>
        <w:t>on</w:t>
      </w:r>
      <w:r w:rsidR="00C64050">
        <w:rPr>
          <w:szCs w:val="20"/>
        </w:rPr>
        <w:t xml:space="preserve"> </w:t>
      </w:r>
      <w:r w:rsidRPr="003E0929">
        <w:rPr>
          <w:szCs w:val="20"/>
        </w:rPr>
        <w:t>or</w:t>
      </w:r>
      <w:r w:rsidR="00C64050">
        <w:rPr>
          <w:szCs w:val="20"/>
        </w:rPr>
        <w:t xml:space="preserve"> </w:t>
      </w:r>
      <w:r w:rsidRPr="003E0929">
        <w:rPr>
          <w:szCs w:val="20"/>
        </w:rPr>
        <w:t>before</w:t>
      </w:r>
      <w:r w:rsidR="00C64050">
        <w:rPr>
          <w:szCs w:val="20"/>
        </w:rPr>
        <w:t xml:space="preserve"> </w:t>
      </w:r>
      <w:r w:rsidRPr="003E0929">
        <w:rPr>
          <w:szCs w:val="20"/>
        </w:rPr>
        <w:t>the</w:t>
      </w:r>
      <w:r w:rsidR="00C64050">
        <w:rPr>
          <w:szCs w:val="20"/>
        </w:rPr>
        <w:t xml:space="preserve"> </w:t>
      </w:r>
      <w:r w:rsidRPr="003E0929">
        <w:rPr>
          <w:szCs w:val="20"/>
        </w:rPr>
        <w:t>last</w:t>
      </w:r>
      <w:r w:rsidR="00C64050">
        <w:rPr>
          <w:szCs w:val="20"/>
        </w:rPr>
        <w:t xml:space="preserve"> </w:t>
      </w:r>
      <w:r w:rsidRPr="003E0929">
        <w:rPr>
          <w:szCs w:val="20"/>
        </w:rPr>
        <w:t>date</w:t>
      </w:r>
      <w:r w:rsidR="00C64050">
        <w:rPr>
          <w:szCs w:val="20"/>
        </w:rPr>
        <w:t xml:space="preserve"> </w:t>
      </w:r>
      <w:r w:rsidRPr="003E0929">
        <w:rPr>
          <w:szCs w:val="20"/>
        </w:rPr>
        <w:t>prescribed</w:t>
      </w:r>
      <w:r w:rsidR="00C64050">
        <w:rPr>
          <w:szCs w:val="20"/>
        </w:rPr>
        <w:t xml:space="preserve"> </w:t>
      </w:r>
      <w:r w:rsidRPr="003E0929">
        <w:rPr>
          <w:szCs w:val="20"/>
        </w:rPr>
        <w:t>for</w:t>
      </w:r>
      <w:r w:rsidR="00C64050">
        <w:rPr>
          <w:szCs w:val="20"/>
        </w:rPr>
        <w:t xml:space="preserve"> </w:t>
      </w:r>
      <w:r w:rsidRPr="003E0929">
        <w:rPr>
          <w:szCs w:val="20"/>
        </w:rPr>
        <w:t>filing</w:t>
      </w:r>
      <w:r w:rsidR="00C64050">
        <w:rPr>
          <w:szCs w:val="20"/>
        </w:rPr>
        <w:t xml:space="preserve"> </w:t>
      </w:r>
      <w:r w:rsidRPr="003E0929">
        <w:rPr>
          <w:szCs w:val="20"/>
        </w:rPr>
        <w:t>for</w:t>
      </w:r>
      <w:r w:rsidR="00C64050">
        <w:rPr>
          <w:szCs w:val="20"/>
        </w:rPr>
        <w:t xml:space="preserve"> </w:t>
      </w:r>
      <w:r w:rsidRPr="003E0929">
        <w:rPr>
          <w:szCs w:val="20"/>
        </w:rPr>
        <w:t>it</w:t>
      </w:r>
      <w:r w:rsidR="00C64050">
        <w:rPr>
          <w:szCs w:val="20"/>
        </w:rPr>
        <w:t xml:space="preserve"> </w:t>
      </w:r>
      <w:r w:rsidRPr="003E0929">
        <w:rPr>
          <w:szCs w:val="20"/>
        </w:rPr>
        <w:t>to</w:t>
      </w:r>
      <w:r w:rsidR="00C64050">
        <w:rPr>
          <w:szCs w:val="20"/>
        </w:rPr>
        <w:t xml:space="preserve"> </w:t>
      </w:r>
      <w:r w:rsidRPr="003E0929">
        <w:rPr>
          <w:szCs w:val="20"/>
        </w:rPr>
        <w:t>be</w:t>
      </w:r>
      <w:r w:rsidR="00C64050">
        <w:rPr>
          <w:szCs w:val="20"/>
        </w:rPr>
        <w:t xml:space="preserve"> </w:t>
      </w:r>
      <w:r w:rsidRPr="003E0929">
        <w:rPr>
          <w:szCs w:val="20"/>
        </w:rPr>
        <w:t>considered</w:t>
      </w:r>
      <w:r w:rsidR="00C64050">
        <w:rPr>
          <w:szCs w:val="20"/>
        </w:rPr>
        <w:t xml:space="preserve"> </w:t>
      </w:r>
      <w:r w:rsidRPr="003E0929">
        <w:rPr>
          <w:szCs w:val="20"/>
        </w:rPr>
        <w:t>timely</w:t>
      </w:r>
      <w:r w:rsidR="00C64050">
        <w:rPr>
          <w:szCs w:val="20"/>
        </w:rPr>
        <w:t xml:space="preserve"> </w:t>
      </w:r>
      <w:r w:rsidRPr="003E0929">
        <w:rPr>
          <w:szCs w:val="20"/>
        </w:rPr>
        <w:t>filed.</w:t>
      </w:r>
      <w:r w:rsidR="00C64050">
        <w:rPr>
          <w:szCs w:val="20"/>
        </w:rPr>
        <w:t xml:space="preserve"> </w:t>
      </w:r>
      <w:r w:rsidRPr="003E0929">
        <w:rPr>
          <w:szCs w:val="20"/>
          <w:u w:val="single"/>
        </w:rPr>
        <w:t>See</w:t>
      </w:r>
      <w:r w:rsidR="00C64050">
        <w:rPr>
          <w:szCs w:val="20"/>
        </w:rPr>
        <w:t xml:space="preserve"> </w:t>
      </w:r>
      <w:r w:rsidRPr="003E0929">
        <w:rPr>
          <w:szCs w:val="20"/>
        </w:rPr>
        <w:t>sec.</w:t>
      </w:r>
      <w:r w:rsidR="00C64050">
        <w:rPr>
          <w:szCs w:val="20"/>
        </w:rPr>
        <w:t xml:space="preserve"> </w:t>
      </w:r>
      <w:r w:rsidRPr="003E0929">
        <w:rPr>
          <w:szCs w:val="20"/>
        </w:rPr>
        <w:t>301.7502</w:t>
      </w:r>
      <w:r w:rsidR="00C64050">
        <w:rPr>
          <w:szCs w:val="20"/>
        </w:rPr>
        <w:t xml:space="preserve"> </w:t>
      </w:r>
      <w:r w:rsidRPr="003E0929">
        <w:rPr>
          <w:szCs w:val="20"/>
        </w:rPr>
        <w:t>-1(c)(1)(iii)(A),</w:t>
      </w:r>
      <w:r w:rsidR="00C64050">
        <w:rPr>
          <w:szCs w:val="20"/>
        </w:rPr>
        <w:t xml:space="preserve"> </w:t>
      </w:r>
      <w:r w:rsidRPr="003E0929">
        <w:rPr>
          <w:szCs w:val="20"/>
        </w:rPr>
        <w:t>Proced.</w:t>
      </w:r>
      <w:r w:rsidR="00C64050">
        <w:rPr>
          <w:szCs w:val="20"/>
        </w:rPr>
        <w:t xml:space="preserve"> </w:t>
      </w:r>
      <w:r w:rsidRPr="003E0929">
        <w:rPr>
          <w:szCs w:val="20"/>
        </w:rPr>
        <w:t>&amp;</w:t>
      </w:r>
      <w:r w:rsidR="00C64050">
        <w:rPr>
          <w:szCs w:val="20"/>
        </w:rPr>
        <w:t xml:space="preserve"> </w:t>
      </w:r>
      <w:r w:rsidRPr="003E0929">
        <w:rPr>
          <w:szCs w:val="20"/>
        </w:rPr>
        <w:t>Admin.</w:t>
      </w:r>
      <w:r w:rsidR="00C64050">
        <w:rPr>
          <w:szCs w:val="20"/>
        </w:rPr>
        <w:t xml:space="preserve"> </w:t>
      </w:r>
      <w:r w:rsidRPr="003E0929">
        <w:rPr>
          <w:szCs w:val="20"/>
        </w:rPr>
        <w:t>Regs.</w:t>
      </w:r>
      <w:r w:rsidR="00C64050">
        <w:rPr>
          <w:szCs w:val="20"/>
        </w:rPr>
        <w:t xml:space="preserve"> </w:t>
      </w:r>
      <w:r w:rsidRPr="003E0929">
        <w:rPr>
          <w:szCs w:val="20"/>
        </w:rPr>
        <w:t>Accordingly,</w:t>
      </w:r>
      <w:r w:rsidR="00C64050">
        <w:rPr>
          <w:szCs w:val="20"/>
        </w:rPr>
        <w:t xml:space="preserve"> </w:t>
      </w:r>
      <w:r w:rsidRPr="003E0929">
        <w:rPr>
          <w:szCs w:val="20"/>
        </w:rPr>
        <w:t>even</w:t>
      </w:r>
      <w:r w:rsidR="00C64050">
        <w:rPr>
          <w:szCs w:val="20"/>
        </w:rPr>
        <w:t xml:space="preserve"> </w:t>
      </w:r>
      <w:r w:rsidRPr="003E0929">
        <w:rPr>
          <w:szCs w:val="20"/>
        </w:rPr>
        <w:t>if</w:t>
      </w:r>
      <w:r w:rsidR="00C64050">
        <w:rPr>
          <w:szCs w:val="20"/>
        </w:rPr>
        <w:t xml:space="preserve"> </w:t>
      </w:r>
      <w:r w:rsidRPr="003E0929">
        <w:rPr>
          <w:szCs w:val="20"/>
        </w:rPr>
        <w:t>we</w:t>
      </w:r>
      <w:r w:rsidR="00C64050">
        <w:rPr>
          <w:szCs w:val="20"/>
        </w:rPr>
        <w:t xml:space="preserve"> </w:t>
      </w:r>
      <w:r w:rsidRPr="003E0929">
        <w:rPr>
          <w:szCs w:val="20"/>
        </w:rPr>
        <w:t>were</w:t>
      </w:r>
      <w:r w:rsidR="00C64050">
        <w:rPr>
          <w:szCs w:val="20"/>
        </w:rPr>
        <w:t xml:space="preserve"> </w:t>
      </w:r>
      <w:r w:rsidRPr="003E0929">
        <w:rPr>
          <w:szCs w:val="20"/>
        </w:rPr>
        <w:t>to</w:t>
      </w:r>
      <w:r w:rsidR="00C64050">
        <w:rPr>
          <w:szCs w:val="20"/>
        </w:rPr>
        <w:t xml:space="preserve"> </w:t>
      </w:r>
      <w:r w:rsidRPr="003E0929">
        <w:rPr>
          <w:szCs w:val="20"/>
        </w:rPr>
        <w:t>credit</w:t>
      </w:r>
      <w:r w:rsidR="00C64050">
        <w:rPr>
          <w:szCs w:val="20"/>
        </w:rPr>
        <w:t xml:space="preserve"> </w:t>
      </w:r>
      <w:r w:rsidRPr="003E0929">
        <w:rPr>
          <w:szCs w:val="20"/>
        </w:rPr>
        <w:t>petitioners’</w:t>
      </w:r>
      <w:r w:rsidR="00C64050">
        <w:rPr>
          <w:szCs w:val="20"/>
        </w:rPr>
        <w:t xml:space="preserve"> </w:t>
      </w:r>
      <w:r w:rsidRPr="003E0929">
        <w:rPr>
          <w:szCs w:val="20"/>
        </w:rPr>
        <w:t>assertions</w:t>
      </w:r>
      <w:r w:rsidR="00C64050">
        <w:rPr>
          <w:szCs w:val="20"/>
        </w:rPr>
        <w:t xml:space="preserve"> </w:t>
      </w:r>
      <w:r w:rsidRPr="003E0929">
        <w:rPr>
          <w:szCs w:val="20"/>
        </w:rPr>
        <w:t>that</w:t>
      </w:r>
      <w:r w:rsidR="00C64050">
        <w:rPr>
          <w:szCs w:val="20"/>
        </w:rPr>
        <w:t xml:space="preserve"> </w:t>
      </w:r>
      <w:r w:rsidRPr="003E0929">
        <w:rPr>
          <w:szCs w:val="20"/>
        </w:rPr>
        <w:t>they</w:t>
      </w:r>
      <w:r w:rsidR="00C64050">
        <w:rPr>
          <w:szCs w:val="20"/>
        </w:rPr>
        <w:t xml:space="preserve"> </w:t>
      </w:r>
      <w:r w:rsidRPr="003E0929">
        <w:rPr>
          <w:szCs w:val="20"/>
        </w:rPr>
        <w:t>timely</w:t>
      </w:r>
      <w:r w:rsidR="00C64050">
        <w:rPr>
          <w:szCs w:val="20"/>
        </w:rPr>
        <w:t xml:space="preserve"> </w:t>
      </w:r>
      <w:r w:rsidRPr="003E0929">
        <w:rPr>
          <w:szCs w:val="20"/>
        </w:rPr>
        <w:t>deposited</w:t>
      </w:r>
      <w:r w:rsidR="00C64050">
        <w:rPr>
          <w:szCs w:val="20"/>
        </w:rPr>
        <w:t xml:space="preserve"> </w:t>
      </w:r>
      <w:r w:rsidRPr="003E0929">
        <w:rPr>
          <w:szCs w:val="20"/>
        </w:rPr>
        <w:t>the</w:t>
      </w:r>
      <w:r w:rsidR="00C64050">
        <w:rPr>
          <w:szCs w:val="20"/>
        </w:rPr>
        <w:t xml:space="preserve"> </w:t>
      </w:r>
      <w:r w:rsidRPr="003E0929">
        <w:rPr>
          <w:szCs w:val="20"/>
        </w:rPr>
        <w:t>petition</w:t>
      </w:r>
      <w:r w:rsidR="00C64050">
        <w:rPr>
          <w:szCs w:val="20"/>
        </w:rPr>
        <w:t xml:space="preserve"> </w:t>
      </w:r>
      <w:r w:rsidRPr="003E0929">
        <w:rPr>
          <w:szCs w:val="20"/>
        </w:rPr>
        <w:t>in</w:t>
      </w:r>
      <w:r w:rsidR="00C64050">
        <w:rPr>
          <w:szCs w:val="20"/>
        </w:rPr>
        <w:t xml:space="preserve"> </w:t>
      </w:r>
      <w:r w:rsidRPr="003E0929">
        <w:rPr>
          <w:szCs w:val="20"/>
        </w:rPr>
        <w:t>the</w:t>
      </w:r>
      <w:r w:rsidR="00C64050">
        <w:rPr>
          <w:szCs w:val="20"/>
        </w:rPr>
        <w:t xml:space="preserve"> </w:t>
      </w:r>
      <w:r w:rsidRPr="003E0929">
        <w:rPr>
          <w:szCs w:val="20"/>
        </w:rPr>
        <w:t>mail,</w:t>
      </w:r>
      <w:r w:rsidR="00C64050">
        <w:rPr>
          <w:szCs w:val="20"/>
        </w:rPr>
        <w:t xml:space="preserve"> </w:t>
      </w:r>
      <w:r w:rsidRPr="003E0929">
        <w:rPr>
          <w:szCs w:val="20"/>
        </w:rPr>
        <w:t>the</w:t>
      </w:r>
      <w:r w:rsidR="00C64050">
        <w:rPr>
          <w:szCs w:val="20"/>
        </w:rPr>
        <w:t xml:space="preserve"> </w:t>
      </w:r>
      <w:r w:rsidRPr="003E0929">
        <w:rPr>
          <w:szCs w:val="20"/>
        </w:rPr>
        <w:t>petition</w:t>
      </w:r>
      <w:r w:rsidR="00C64050">
        <w:rPr>
          <w:szCs w:val="20"/>
        </w:rPr>
        <w:t xml:space="preserve"> </w:t>
      </w:r>
      <w:r w:rsidRPr="003E0929">
        <w:rPr>
          <w:szCs w:val="20"/>
        </w:rPr>
        <w:t>is</w:t>
      </w:r>
      <w:r w:rsidR="00C64050">
        <w:rPr>
          <w:szCs w:val="20"/>
        </w:rPr>
        <w:t xml:space="preserve"> </w:t>
      </w:r>
      <w:r w:rsidRPr="003E0929">
        <w:rPr>
          <w:szCs w:val="20"/>
        </w:rPr>
        <w:t>still</w:t>
      </w:r>
      <w:r w:rsidR="00C64050">
        <w:rPr>
          <w:szCs w:val="20"/>
        </w:rPr>
        <w:t xml:space="preserve"> </w:t>
      </w:r>
      <w:r w:rsidRPr="003E0929">
        <w:rPr>
          <w:szCs w:val="20"/>
        </w:rPr>
        <w:t>considered</w:t>
      </w:r>
      <w:r w:rsidR="00C64050">
        <w:rPr>
          <w:szCs w:val="20"/>
        </w:rPr>
        <w:t xml:space="preserve"> </w:t>
      </w:r>
      <w:r w:rsidRPr="003E0929">
        <w:rPr>
          <w:szCs w:val="20"/>
        </w:rPr>
        <w:t>not</w:t>
      </w:r>
      <w:r w:rsidR="00C64050">
        <w:rPr>
          <w:szCs w:val="20"/>
        </w:rPr>
        <w:t xml:space="preserve"> </w:t>
      </w:r>
      <w:r w:rsidRPr="003E0929">
        <w:rPr>
          <w:szCs w:val="20"/>
        </w:rPr>
        <w:t>timely</w:t>
      </w:r>
      <w:r w:rsidR="00C64050">
        <w:rPr>
          <w:szCs w:val="20"/>
        </w:rPr>
        <w:t xml:space="preserve"> </w:t>
      </w:r>
      <w:r w:rsidRPr="003E0929">
        <w:rPr>
          <w:szCs w:val="20"/>
        </w:rPr>
        <w:t>filed</w:t>
      </w:r>
      <w:r w:rsidR="00C64050">
        <w:rPr>
          <w:szCs w:val="20"/>
        </w:rPr>
        <w:t xml:space="preserve"> </w:t>
      </w:r>
      <w:r w:rsidRPr="003E0929">
        <w:rPr>
          <w:szCs w:val="20"/>
        </w:rPr>
        <w:t>because</w:t>
      </w:r>
      <w:r w:rsidR="00C64050">
        <w:rPr>
          <w:szCs w:val="20"/>
        </w:rPr>
        <w:t xml:space="preserve"> </w:t>
      </w:r>
      <w:r w:rsidRPr="003E0929">
        <w:rPr>
          <w:szCs w:val="20"/>
        </w:rPr>
        <w:t>the</w:t>
      </w:r>
      <w:r w:rsidR="00C64050">
        <w:rPr>
          <w:szCs w:val="20"/>
        </w:rPr>
        <w:t xml:space="preserve"> </w:t>
      </w:r>
      <w:r w:rsidRPr="003E0929">
        <w:rPr>
          <w:szCs w:val="20"/>
        </w:rPr>
        <w:t>USPS</w:t>
      </w:r>
      <w:r w:rsidR="00C64050">
        <w:rPr>
          <w:szCs w:val="20"/>
        </w:rPr>
        <w:t xml:space="preserve"> </w:t>
      </w:r>
      <w:r w:rsidRPr="003E0929">
        <w:rPr>
          <w:szCs w:val="20"/>
        </w:rPr>
        <w:t>postmark</w:t>
      </w:r>
      <w:r w:rsidR="00C64050">
        <w:rPr>
          <w:szCs w:val="20"/>
        </w:rPr>
        <w:t xml:space="preserve"> </w:t>
      </w:r>
      <w:r w:rsidRPr="003E0929">
        <w:rPr>
          <w:szCs w:val="20"/>
        </w:rPr>
        <w:t>on</w:t>
      </w:r>
      <w:r w:rsidR="00C64050">
        <w:rPr>
          <w:szCs w:val="20"/>
        </w:rPr>
        <w:t xml:space="preserve"> </w:t>
      </w:r>
      <w:r w:rsidRPr="003E0929">
        <w:rPr>
          <w:szCs w:val="20"/>
        </w:rPr>
        <w:t>the</w:t>
      </w:r>
      <w:r w:rsidR="00C64050">
        <w:rPr>
          <w:szCs w:val="20"/>
        </w:rPr>
        <w:t xml:space="preserve"> </w:t>
      </w:r>
      <w:r w:rsidRPr="003E0929">
        <w:rPr>
          <w:szCs w:val="20"/>
        </w:rPr>
        <w:t>envelope</w:t>
      </w:r>
      <w:r w:rsidR="00C64050">
        <w:rPr>
          <w:szCs w:val="20"/>
        </w:rPr>
        <w:t xml:space="preserve"> </w:t>
      </w:r>
      <w:r w:rsidRPr="003E0929">
        <w:rPr>
          <w:szCs w:val="20"/>
        </w:rPr>
        <w:t>does</w:t>
      </w:r>
      <w:r w:rsidR="00C64050">
        <w:rPr>
          <w:szCs w:val="20"/>
        </w:rPr>
        <w:t xml:space="preserve"> </w:t>
      </w:r>
      <w:r w:rsidRPr="003E0929">
        <w:rPr>
          <w:szCs w:val="20"/>
        </w:rPr>
        <w:t>not</w:t>
      </w:r>
      <w:r w:rsidR="00C64050">
        <w:rPr>
          <w:szCs w:val="20"/>
        </w:rPr>
        <w:t xml:space="preserve"> </w:t>
      </w:r>
      <w:r w:rsidRPr="003E0929">
        <w:rPr>
          <w:szCs w:val="20"/>
        </w:rPr>
        <w:t>bear</w:t>
      </w:r>
      <w:r w:rsidR="00C64050">
        <w:rPr>
          <w:szCs w:val="20"/>
        </w:rPr>
        <w:t xml:space="preserve"> </w:t>
      </w:r>
      <w:r w:rsidRPr="003E0929">
        <w:rPr>
          <w:szCs w:val="20"/>
        </w:rPr>
        <w:t>a</w:t>
      </w:r>
      <w:r w:rsidR="00C64050">
        <w:rPr>
          <w:szCs w:val="20"/>
        </w:rPr>
        <w:t xml:space="preserve"> </w:t>
      </w:r>
      <w:r w:rsidRPr="003E0929">
        <w:rPr>
          <w:szCs w:val="20"/>
        </w:rPr>
        <w:t>date</w:t>
      </w:r>
      <w:r w:rsidR="00C64050">
        <w:rPr>
          <w:szCs w:val="20"/>
        </w:rPr>
        <w:t xml:space="preserve"> </w:t>
      </w:r>
      <w:r w:rsidRPr="003E0929">
        <w:rPr>
          <w:szCs w:val="20"/>
        </w:rPr>
        <w:t>on</w:t>
      </w:r>
      <w:r w:rsidR="00C64050">
        <w:rPr>
          <w:szCs w:val="20"/>
        </w:rPr>
        <w:t xml:space="preserve"> </w:t>
      </w:r>
      <w:r w:rsidRPr="003E0929">
        <w:rPr>
          <w:szCs w:val="20"/>
        </w:rPr>
        <w:t>or</w:t>
      </w:r>
      <w:r w:rsidR="00C64050">
        <w:rPr>
          <w:szCs w:val="20"/>
        </w:rPr>
        <w:t xml:space="preserve"> </w:t>
      </w:r>
      <w:r w:rsidRPr="003E0929">
        <w:rPr>
          <w:szCs w:val="20"/>
        </w:rPr>
        <w:t>before</w:t>
      </w:r>
      <w:r w:rsidR="00C64050">
        <w:rPr>
          <w:szCs w:val="20"/>
        </w:rPr>
        <w:t xml:space="preserve"> </w:t>
      </w:r>
      <w:r w:rsidRPr="003E0929">
        <w:rPr>
          <w:szCs w:val="20"/>
        </w:rPr>
        <w:t>March</w:t>
      </w:r>
      <w:r w:rsidR="00C64050">
        <w:rPr>
          <w:szCs w:val="20"/>
        </w:rPr>
        <w:t xml:space="preserve"> </w:t>
      </w:r>
      <w:r w:rsidRPr="003E0929">
        <w:rPr>
          <w:szCs w:val="20"/>
        </w:rPr>
        <w:t>5,</w:t>
      </w:r>
      <w:r w:rsidR="00C64050">
        <w:rPr>
          <w:szCs w:val="20"/>
        </w:rPr>
        <w:t xml:space="preserve"> </w:t>
      </w:r>
      <w:r w:rsidRPr="003E0929">
        <w:rPr>
          <w:szCs w:val="20"/>
        </w:rPr>
        <w:t>2018.</w:t>
      </w:r>
      <w:r w:rsidR="00C64050">
        <w:rPr>
          <w:szCs w:val="20"/>
        </w:rPr>
        <w:t xml:space="preserve"> </w:t>
      </w:r>
      <w:r w:rsidRPr="003E0929">
        <w:rPr>
          <w:szCs w:val="20"/>
          <w:u w:val="single"/>
        </w:rPr>
        <w:t>See</w:t>
      </w:r>
      <w:r w:rsidR="00C64050">
        <w:rPr>
          <w:szCs w:val="20"/>
        </w:rPr>
        <w:t xml:space="preserve"> </w:t>
      </w:r>
      <w:r w:rsidRPr="003E0929">
        <w:rPr>
          <w:szCs w:val="20"/>
          <w:u w:val="single"/>
        </w:rPr>
        <w:t>id.</w:t>
      </w:r>
      <w:r w:rsidR="00C64050">
        <w:rPr>
          <w:szCs w:val="20"/>
        </w:rPr>
        <w:t xml:space="preserve"> </w:t>
      </w:r>
      <w:r w:rsidRPr="003E0929">
        <w:rPr>
          <w:szCs w:val="20"/>
        </w:rPr>
        <w:t>Further,</w:t>
      </w:r>
      <w:r w:rsidR="00C64050">
        <w:rPr>
          <w:szCs w:val="20"/>
        </w:rPr>
        <w:t xml:space="preserve"> </w:t>
      </w:r>
      <w:r w:rsidRPr="003E0929">
        <w:rPr>
          <w:szCs w:val="20"/>
        </w:rPr>
        <w:t>because</w:t>
      </w:r>
      <w:r w:rsidR="00C64050">
        <w:rPr>
          <w:szCs w:val="20"/>
        </w:rPr>
        <w:t xml:space="preserve"> </w:t>
      </w:r>
      <w:r w:rsidRPr="003E0929">
        <w:rPr>
          <w:szCs w:val="20"/>
        </w:rPr>
        <w:t>petitioners</w:t>
      </w:r>
      <w:r w:rsidR="00C64050">
        <w:rPr>
          <w:szCs w:val="20"/>
        </w:rPr>
        <w:t xml:space="preserve"> </w:t>
      </w:r>
      <w:r w:rsidRPr="003E0929">
        <w:rPr>
          <w:szCs w:val="20"/>
        </w:rPr>
        <w:t>mailed</w:t>
      </w:r>
      <w:r w:rsidR="00C64050">
        <w:rPr>
          <w:szCs w:val="20"/>
        </w:rPr>
        <w:t xml:space="preserve"> </w:t>
      </w:r>
      <w:r w:rsidRPr="003E0929">
        <w:rPr>
          <w:szCs w:val="20"/>
        </w:rPr>
        <w:t>the</w:t>
      </w:r>
      <w:r w:rsidR="00C64050">
        <w:rPr>
          <w:szCs w:val="20"/>
        </w:rPr>
        <w:t xml:space="preserve"> </w:t>
      </w:r>
      <w:r w:rsidRPr="003E0929">
        <w:rPr>
          <w:szCs w:val="20"/>
        </w:rPr>
        <w:t>petition</w:t>
      </w:r>
      <w:r w:rsidR="00C64050">
        <w:rPr>
          <w:szCs w:val="20"/>
        </w:rPr>
        <w:t xml:space="preserve"> </w:t>
      </w:r>
      <w:r w:rsidRPr="003E0929">
        <w:rPr>
          <w:szCs w:val="20"/>
        </w:rPr>
        <w:t>using</w:t>
      </w:r>
      <w:r w:rsidR="00C64050">
        <w:rPr>
          <w:szCs w:val="20"/>
        </w:rPr>
        <w:t xml:space="preserve"> </w:t>
      </w:r>
      <w:r w:rsidRPr="003E0929">
        <w:rPr>
          <w:szCs w:val="20"/>
        </w:rPr>
        <w:t>postage</w:t>
      </w:r>
      <w:r w:rsidR="00C64050">
        <w:rPr>
          <w:szCs w:val="20"/>
        </w:rPr>
        <w:t xml:space="preserve"> </w:t>
      </w:r>
      <w:r w:rsidRPr="003E0929">
        <w:rPr>
          <w:szCs w:val="20"/>
        </w:rPr>
        <w:t>printed</w:t>
      </w:r>
      <w:r w:rsidR="00C64050">
        <w:rPr>
          <w:szCs w:val="20"/>
        </w:rPr>
        <w:t xml:space="preserve"> </w:t>
      </w:r>
      <w:r w:rsidRPr="003E0929">
        <w:rPr>
          <w:szCs w:val="20"/>
        </w:rPr>
        <w:t>through</w:t>
      </w:r>
      <w:r w:rsidR="00C64050">
        <w:rPr>
          <w:szCs w:val="20"/>
        </w:rPr>
        <w:t xml:space="preserve"> </w:t>
      </w:r>
      <w:r w:rsidRPr="003E0929">
        <w:rPr>
          <w:szCs w:val="20"/>
        </w:rPr>
        <w:t>a</w:t>
      </w:r>
      <w:r w:rsidR="00C64050">
        <w:rPr>
          <w:szCs w:val="20"/>
        </w:rPr>
        <w:t xml:space="preserve"> </w:t>
      </w:r>
      <w:r w:rsidRPr="003E0929">
        <w:rPr>
          <w:szCs w:val="20"/>
        </w:rPr>
        <w:t>private</w:t>
      </w:r>
      <w:r w:rsidR="00C64050">
        <w:rPr>
          <w:szCs w:val="20"/>
        </w:rPr>
        <w:t xml:space="preserve"> </w:t>
      </w:r>
      <w:r w:rsidRPr="003E0929">
        <w:rPr>
          <w:szCs w:val="20"/>
        </w:rPr>
        <w:t>postage</w:t>
      </w:r>
      <w:r w:rsidR="00C64050">
        <w:rPr>
          <w:szCs w:val="20"/>
        </w:rPr>
        <w:t xml:space="preserve"> </w:t>
      </w:r>
      <w:r w:rsidRPr="003E0929">
        <w:rPr>
          <w:szCs w:val="20"/>
        </w:rPr>
        <w:t>meter</w:t>
      </w:r>
      <w:r w:rsidR="00C64050">
        <w:rPr>
          <w:szCs w:val="20"/>
        </w:rPr>
        <w:t xml:space="preserve"> </w:t>
      </w:r>
      <w:r w:rsidRPr="003E0929">
        <w:rPr>
          <w:szCs w:val="20"/>
        </w:rPr>
        <w:t>with</w:t>
      </w:r>
      <w:r w:rsidR="00C64050">
        <w:rPr>
          <w:szCs w:val="20"/>
        </w:rPr>
        <w:t xml:space="preserve"> </w:t>
      </w:r>
      <w:r w:rsidRPr="003E0929">
        <w:rPr>
          <w:szCs w:val="20"/>
        </w:rPr>
        <w:t>no</w:t>
      </w:r>
      <w:r w:rsidR="00C64050">
        <w:rPr>
          <w:szCs w:val="20"/>
        </w:rPr>
        <w:t xml:space="preserve"> </w:t>
      </w:r>
      <w:r w:rsidRPr="003E0929">
        <w:rPr>
          <w:szCs w:val="20"/>
        </w:rPr>
        <w:t>request</w:t>
      </w:r>
      <w:r w:rsidR="00C64050">
        <w:rPr>
          <w:szCs w:val="20"/>
        </w:rPr>
        <w:t xml:space="preserve"> </w:t>
      </w:r>
      <w:r w:rsidRPr="003E0929">
        <w:rPr>
          <w:szCs w:val="20"/>
        </w:rPr>
        <w:t>that</w:t>
      </w:r>
      <w:r w:rsidR="00C64050">
        <w:rPr>
          <w:szCs w:val="20"/>
        </w:rPr>
        <w:t xml:space="preserve"> </w:t>
      </w:r>
      <w:r w:rsidRPr="003E0929">
        <w:rPr>
          <w:szCs w:val="20"/>
        </w:rPr>
        <w:t>a</w:t>
      </w:r>
      <w:r w:rsidR="00C64050">
        <w:rPr>
          <w:szCs w:val="20"/>
        </w:rPr>
        <w:t xml:space="preserve"> </w:t>
      </w:r>
      <w:r w:rsidRPr="003E0929">
        <w:rPr>
          <w:szCs w:val="20"/>
        </w:rPr>
        <w:t>certified</w:t>
      </w:r>
      <w:r w:rsidR="00C64050">
        <w:rPr>
          <w:szCs w:val="20"/>
        </w:rPr>
        <w:t xml:space="preserve"> </w:t>
      </w:r>
      <w:r w:rsidRPr="003E0929">
        <w:rPr>
          <w:szCs w:val="20"/>
        </w:rPr>
        <w:t>mail</w:t>
      </w:r>
      <w:r w:rsidR="00C64050">
        <w:rPr>
          <w:szCs w:val="20"/>
        </w:rPr>
        <w:t xml:space="preserve"> </w:t>
      </w:r>
      <w:r w:rsidRPr="003E0929">
        <w:rPr>
          <w:szCs w:val="20"/>
        </w:rPr>
        <w:t>receipt</w:t>
      </w:r>
      <w:r w:rsidR="00C64050">
        <w:rPr>
          <w:szCs w:val="20"/>
        </w:rPr>
        <w:t xml:space="preserve"> </w:t>
      </w:r>
      <w:r w:rsidRPr="003E0929">
        <w:rPr>
          <w:szCs w:val="20"/>
        </w:rPr>
        <w:t>be</w:t>
      </w:r>
      <w:r w:rsidR="00C64050">
        <w:rPr>
          <w:szCs w:val="20"/>
        </w:rPr>
        <w:t xml:space="preserve"> </w:t>
      </w:r>
      <w:r w:rsidRPr="003E0929">
        <w:rPr>
          <w:szCs w:val="20"/>
        </w:rPr>
        <w:t>postmarked</w:t>
      </w:r>
      <w:r w:rsidR="00C64050">
        <w:rPr>
          <w:szCs w:val="20"/>
        </w:rPr>
        <w:t xml:space="preserve"> </w:t>
      </w:r>
      <w:r w:rsidRPr="003E0929">
        <w:rPr>
          <w:szCs w:val="20"/>
        </w:rPr>
        <w:t>by</w:t>
      </w:r>
      <w:r w:rsidR="00C64050">
        <w:rPr>
          <w:szCs w:val="20"/>
        </w:rPr>
        <w:t xml:space="preserve"> </w:t>
      </w:r>
      <w:r w:rsidRPr="003E0929">
        <w:rPr>
          <w:szCs w:val="20"/>
        </w:rPr>
        <w:t>a</w:t>
      </w:r>
      <w:r w:rsidR="00C64050">
        <w:rPr>
          <w:szCs w:val="20"/>
        </w:rPr>
        <w:t xml:space="preserve"> </w:t>
      </w:r>
      <w:r w:rsidRPr="003E0929">
        <w:rPr>
          <w:szCs w:val="20"/>
        </w:rPr>
        <w:t>USPS</w:t>
      </w:r>
      <w:r w:rsidR="00C64050">
        <w:rPr>
          <w:szCs w:val="20"/>
        </w:rPr>
        <w:t xml:space="preserve"> </w:t>
      </w:r>
      <w:r w:rsidRPr="003E0929">
        <w:rPr>
          <w:szCs w:val="20"/>
        </w:rPr>
        <w:t>employee,</w:t>
      </w:r>
      <w:r w:rsidR="00C64050">
        <w:rPr>
          <w:szCs w:val="20"/>
        </w:rPr>
        <w:t xml:space="preserve"> </w:t>
      </w:r>
      <w:r w:rsidRPr="003E0929">
        <w:rPr>
          <w:szCs w:val="20"/>
        </w:rPr>
        <w:t>they</w:t>
      </w:r>
      <w:r w:rsidR="00C64050">
        <w:rPr>
          <w:szCs w:val="20"/>
        </w:rPr>
        <w:t xml:space="preserve"> </w:t>
      </w:r>
      <w:r w:rsidRPr="003E0929">
        <w:rPr>
          <w:szCs w:val="20"/>
        </w:rPr>
        <w:t>are</w:t>
      </w:r>
      <w:r w:rsidR="00C64050">
        <w:rPr>
          <w:szCs w:val="20"/>
        </w:rPr>
        <w:t xml:space="preserve"> </w:t>
      </w:r>
      <w:r w:rsidRPr="003E0929">
        <w:rPr>
          <w:szCs w:val="20"/>
        </w:rPr>
        <w:t>not</w:t>
      </w:r>
      <w:r w:rsidR="00C64050">
        <w:rPr>
          <w:szCs w:val="20"/>
        </w:rPr>
        <w:t xml:space="preserve"> </w:t>
      </w:r>
      <w:r w:rsidRPr="003E0929">
        <w:rPr>
          <w:szCs w:val="20"/>
        </w:rPr>
        <w:t>entitled</w:t>
      </w:r>
      <w:r w:rsidR="00C64050">
        <w:rPr>
          <w:szCs w:val="20"/>
        </w:rPr>
        <w:t xml:space="preserve"> </w:t>
      </w:r>
      <w:r w:rsidRPr="003E0929">
        <w:rPr>
          <w:szCs w:val="20"/>
        </w:rPr>
        <w:t>to</w:t>
      </w:r>
      <w:r w:rsidR="00C64050">
        <w:rPr>
          <w:szCs w:val="20"/>
        </w:rPr>
        <w:t xml:space="preserve"> </w:t>
      </w:r>
      <w:r w:rsidRPr="003E0929">
        <w:rPr>
          <w:szCs w:val="20"/>
        </w:rPr>
        <w:t>any</w:t>
      </w:r>
      <w:r w:rsidR="00C64050">
        <w:rPr>
          <w:szCs w:val="20"/>
        </w:rPr>
        <w:t xml:space="preserve"> </w:t>
      </w:r>
      <w:r w:rsidRPr="003E0929">
        <w:rPr>
          <w:szCs w:val="20"/>
        </w:rPr>
        <w:t>relief</w:t>
      </w:r>
      <w:r w:rsidR="00C64050">
        <w:rPr>
          <w:szCs w:val="20"/>
        </w:rPr>
        <w:t xml:space="preserve"> </w:t>
      </w:r>
      <w:r w:rsidRPr="003E0929">
        <w:rPr>
          <w:szCs w:val="20"/>
        </w:rPr>
        <w:t>under</w:t>
      </w:r>
      <w:r w:rsidR="00C64050">
        <w:rPr>
          <w:szCs w:val="20"/>
        </w:rPr>
        <w:t xml:space="preserve"> </w:t>
      </w:r>
      <w:r w:rsidRPr="003E0929">
        <w:rPr>
          <w:szCs w:val="20"/>
        </w:rPr>
        <w:t>section</w:t>
      </w:r>
      <w:r w:rsidR="00C64050">
        <w:rPr>
          <w:szCs w:val="20"/>
        </w:rPr>
        <w:t xml:space="preserve"> </w:t>
      </w:r>
      <w:r w:rsidRPr="003E0929">
        <w:rPr>
          <w:szCs w:val="20"/>
        </w:rPr>
        <w:t>301.7502-1(c)(2),</w:t>
      </w:r>
      <w:r w:rsidR="00C64050">
        <w:rPr>
          <w:szCs w:val="20"/>
        </w:rPr>
        <w:t xml:space="preserve"> </w:t>
      </w:r>
      <w:r w:rsidRPr="003E0929">
        <w:rPr>
          <w:szCs w:val="20"/>
        </w:rPr>
        <w:t>Proced.</w:t>
      </w:r>
      <w:r w:rsidR="00C64050">
        <w:rPr>
          <w:szCs w:val="20"/>
        </w:rPr>
        <w:t xml:space="preserve"> </w:t>
      </w:r>
      <w:r w:rsidRPr="003E0929">
        <w:rPr>
          <w:szCs w:val="20"/>
        </w:rPr>
        <w:t>&amp;</w:t>
      </w:r>
      <w:r w:rsidR="00C64050">
        <w:rPr>
          <w:szCs w:val="20"/>
        </w:rPr>
        <w:t xml:space="preserve"> </w:t>
      </w:r>
      <w:r w:rsidRPr="003E0929">
        <w:rPr>
          <w:szCs w:val="20"/>
        </w:rPr>
        <w:t>Admin.</w:t>
      </w:r>
      <w:r w:rsidR="00C64050">
        <w:rPr>
          <w:szCs w:val="20"/>
        </w:rPr>
        <w:t xml:space="preserve"> </w:t>
      </w:r>
      <w:r w:rsidRPr="003E0929">
        <w:rPr>
          <w:szCs w:val="20"/>
        </w:rPr>
        <w:t>Regs.</w:t>
      </w:r>
      <w:r w:rsidR="00C64050">
        <w:rPr>
          <w:szCs w:val="20"/>
        </w:rPr>
        <w:t xml:space="preserve"> </w:t>
      </w:r>
      <w:r w:rsidRPr="003E0929">
        <w:rPr>
          <w:szCs w:val="20"/>
        </w:rPr>
        <w:t>Accordingly,</w:t>
      </w:r>
      <w:r w:rsidR="00C64050">
        <w:rPr>
          <w:szCs w:val="20"/>
        </w:rPr>
        <w:t xml:space="preserve"> </w:t>
      </w:r>
      <w:r w:rsidRPr="003E0929">
        <w:rPr>
          <w:szCs w:val="20"/>
        </w:rPr>
        <w:t>the</w:t>
      </w:r>
      <w:r w:rsidR="00C64050">
        <w:rPr>
          <w:szCs w:val="20"/>
        </w:rPr>
        <w:t xml:space="preserve"> </w:t>
      </w:r>
      <w:r w:rsidRPr="003E0929">
        <w:rPr>
          <w:szCs w:val="20"/>
        </w:rPr>
        <w:t>Court</w:t>
      </w:r>
      <w:r w:rsidR="00C64050">
        <w:rPr>
          <w:szCs w:val="20"/>
        </w:rPr>
        <w:t xml:space="preserve"> </w:t>
      </w:r>
      <w:r w:rsidRPr="003E0929">
        <w:rPr>
          <w:szCs w:val="20"/>
        </w:rPr>
        <w:t>lacks</w:t>
      </w:r>
      <w:r w:rsidR="00C64050">
        <w:rPr>
          <w:szCs w:val="20"/>
        </w:rPr>
        <w:t xml:space="preserve"> </w:t>
      </w:r>
      <w:r w:rsidRPr="003E0929">
        <w:rPr>
          <w:szCs w:val="20"/>
        </w:rPr>
        <w:t>jurisdiction</w:t>
      </w:r>
      <w:r w:rsidR="00C64050">
        <w:rPr>
          <w:szCs w:val="20"/>
        </w:rPr>
        <w:t xml:space="preserve"> </w:t>
      </w:r>
      <w:r w:rsidRPr="003E0929">
        <w:rPr>
          <w:szCs w:val="20"/>
        </w:rPr>
        <w:t>under</w:t>
      </w:r>
      <w:r w:rsidR="00C64050">
        <w:rPr>
          <w:szCs w:val="20"/>
        </w:rPr>
        <w:t xml:space="preserve"> </w:t>
      </w:r>
      <w:r w:rsidRPr="003E0929">
        <w:rPr>
          <w:szCs w:val="20"/>
        </w:rPr>
        <w:t>sections</w:t>
      </w:r>
      <w:r w:rsidR="00C64050">
        <w:rPr>
          <w:szCs w:val="20"/>
        </w:rPr>
        <w:t xml:space="preserve"> </w:t>
      </w:r>
      <w:r w:rsidRPr="003E0929">
        <w:rPr>
          <w:szCs w:val="20"/>
        </w:rPr>
        <w:t>6213(a)</w:t>
      </w:r>
      <w:r w:rsidR="00C64050">
        <w:rPr>
          <w:szCs w:val="20"/>
        </w:rPr>
        <w:t xml:space="preserve"> </w:t>
      </w:r>
      <w:r w:rsidRPr="003E0929">
        <w:rPr>
          <w:szCs w:val="20"/>
        </w:rPr>
        <w:t>and</w:t>
      </w:r>
      <w:r w:rsidR="00C64050">
        <w:rPr>
          <w:szCs w:val="20"/>
        </w:rPr>
        <w:t xml:space="preserve"> </w:t>
      </w:r>
      <w:r w:rsidRPr="003E0929">
        <w:rPr>
          <w:szCs w:val="20"/>
        </w:rPr>
        <w:t>7502</w:t>
      </w:r>
      <w:r w:rsidR="00C64050">
        <w:rPr>
          <w:szCs w:val="20"/>
        </w:rPr>
        <w:t xml:space="preserve"> </w:t>
      </w:r>
      <w:r w:rsidRPr="003E0929">
        <w:rPr>
          <w:szCs w:val="20"/>
        </w:rPr>
        <w:t>to</w:t>
      </w:r>
      <w:r w:rsidR="00C64050">
        <w:rPr>
          <w:szCs w:val="20"/>
        </w:rPr>
        <w:t xml:space="preserve"> </w:t>
      </w:r>
      <w:r w:rsidRPr="003E0929">
        <w:rPr>
          <w:szCs w:val="20"/>
        </w:rPr>
        <w:t>redetermine</w:t>
      </w:r>
      <w:r w:rsidR="00C64050">
        <w:rPr>
          <w:szCs w:val="20"/>
        </w:rPr>
        <w:t xml:space="preserve"> </w:t>
      </w:r>
      <w:r w:rsidRPr="003E0929">
        <w:rPr>
          <w:szCs w:val="20"/>
        </w:rPr>
        <w:t>the</w:t>
      </w:r>
      <w:r w:rsidR="00C64050">
        <w:rPr>
          <w:szCs w:val="20"/>
        </w:rPr>
        <w:t xml:space="preserve"> </w:t>
      </w:r>
      <w:r w:rsidRPr="003E0929">
        <w:rPr>
          <w:szCs w:val="20"/>
        </w:rPr>
        <w:t>deficiency,</w:t>
      </w:r>
      <w:r w:rsidR="00C64050">
        <w:rPr>
          <w:szCs w:val="20"/>
        </w:rPr>
        <w:t xml:space="preserve"> </w:t>
      </w:r>
      <w:r w:rsidRPr="003E0929">
        <w:rPr>
          <w:szCs w:val="20"/>
        </w:rPr>
        <w:t>and</w:t>
      </w:r>
      <w:r w:rsidR="00C64050">
        <w:rPr>
          <w:szCs w:val="20"/>
        </w:rPr>
        <w:t xml:space="preserve"> </w:t>
      </w:r>
      <w:r w:rsidRPr="003E0929">
        <w:rPr>
          <w:szCs w:val="20"/>
        </w:rPr>
        <w:t>we</w:t>
      </w:r>
      <w:r w:rsidR="00C64050">
        <w:rPr>
          <w:szCs w:val="20"/>
        </w:rPr>
        <w:t xml:space="preserve"> </w:t>
      </w:r>
      <w:r w:rsidRPr="003E0929">
        <w:rPr>
          <w:szCs w:val="20"/>
        </w:rPr>
        <w:t>are</w:t>
      </w:r>
      <w:r w:rsidR="00C64050">
        <w:rPr>
          <w:szCs w:val="20"/>
        </w:rPr>
        <w:t xml:space="preserve"> </w:t>
      </w:r>
      <w:r w:rsidRPr="003E0929">
        <w:rPr>
          <w:szCs w:val="20"/>
        </w:rPr>
        <w:t>obliged</w:t>
      </w:r>
      <w:r w:rsidR="00C64050">
        <w:rPr>
          <w:szCs w:val="20"/>
        </w:rPr>
        <w:t xml:space="preserve"> </w:t>
      </w:r>
      <w:r w:rsidRPr="003E0929">
        <w:rPr>
          <w:szCs w:val="20"/>
        </w:rPr>
        <w:t>to</w:t>
      </w:r>
      <w:r w:rsidR="00C64050">
        <w:rPr>
          <w:szCs w:val="20"/>
        </w:rPr>
        <w:t xml:space="preserve"> </w:t>
      </w:r>
      <w:r w:rsidRPr="003E0929">
        <w:rPr>
          <w:szCs w:val="20"/>
        </w:rPr>
        <w:t>grant</w:t>
      </w:r>
      <w:r w:rsidR="00C64050">
        <w:rPr>
          <w:szCs w:val="20"/>
        </w:rPr>
        <w:t xml:space="preserve"> </w:t>
      </w:r>
      <w:r w:rsidRPr="003E0929">
        <w:rPr>
          <w:szCs w:val="20"/>
        </w:rPr>
        <w:t>respondent’s</w:t>
      </w:r>
      <w:r w:rsidR="00C64050">
        <w:rPr>
          <w:szCs w:val="20"/>
        </w:rPr>
        <w:t xml:space="preserve"> </w:t>
      </w:r>
      <w:r w:rsidRPr="003E0929">
        <w:rPr>
          <w:szCs w:val="20"/>
        </w:rPr>
        <w:t>motion</w:t>
      </w:r>
      <w:r w:rsidR="00C64050">
        <w:rPr>
          <w:szCs w:val="20"/>
        </w:rPr>
        <w:t xml:space="preserve"> </w:t>
      </w:r>
      <w:r w:rsidRPr="003E0929">
        <w:rPr>
          <w:szCs w:val="20"/>
        </w:rPr>
        <w:t>to</w:t>
      </w:r>
      <w:r w:rsidR="00C64050">
        <w:rPr>
          <w:szCs w:val="20"/>
        </w:rPr>
        <w:t xml:space="preserve"> </w:t>
      </w:r>
      <w:r w:rsidRPr="003E0929">
        <w:rPr>
          <w:szCs w:val="20"/>
        </w:rPr>
        <w:t>dismiss.</w:t>
      </w:r>
    </w:p>
    <w:p w:rsidR="003F72B1" w:rsidRDefault="003F72B1" w:rsidP="00061318">
      <w:pPr>
        <w:pStyle w:val="Body15"/>
        <w:rPr>
          <w:lang w:eastAsia="en-GB"/>
        </w:rPr>
      </w:pPr>
      <w:r>
        <w:rPr>
          <w:lang w:eastAsia="en-GB"/>
        </w:rPr>
        <w:t>The</w:t>
      </w:r>
      <w:r w:rsidR="00C64050">
        <w:rPr>
          <w:lang w:eastAsia="en-GB"/>
        </w:rPr>
        <w:t xml:space="preserve"> </w:t>
      </w:r>
      <w:r>
        <w:rPr>
          <w:lang w:eastAsia="en-GB"/>
        </w:rPr>
        <w:t>administrative</w:t>
      </w:r>
      <w:r w:rsidR="00C64050">
        <w:rPr>
          <w:lang w:eastAsia="en-GB"/>
        </w:rPr>
        <w:t xml:space="preserve"> </w:t>
      </w:r>
      <w:r>
        <w:rPr>
          <w:lang w:eastAsia="en-GB"/>
        </w:rPr>
        <w:t>regulation</w:t>
      </w:r>
      <w:r w:rsidR="00C64050">
        <w:rPr>
          <w:lang w:eastAsia="en-GB"/>
        </w:rPr>
        <w:t xml:space="preserve"> </w:t>
      </w:r>
      <w:r>
        <w:rPr>
          <w:lang w:eastAsia="en-GB"/>
        </w:rPr>
        <w:t>is</w:t>
      </w:r>
      <w:r w:rsidR="00C64050">
        <w:rPr>
          <w:lang w:eastAsia="en-GB"/>
        </w:rPr>
        <w:t xml:space="preserve"> </w:t>
      </w:r>
      <w:r>
        <w:rPr>
          <w:lang w:eastAsia="en-GB"/>
        </w:rPr>
        <w:t>clear:</w:t>
      </w:r>
    </w:p>
    <w:p w:rsidR="003E0929" w:rsidRPr="003E0929" w:rsidRDefault="003E0929" w:rsidP="00061318">
      <w:pPr>
        <w:pStyle w:val="QS10"/>
        <w:rPr>
          <w:szCs w:val="20"/>
        </w:rPr>
      </w:pPr>
      <w:r w:rsidRPr="003E0929">
        <w:rPr>
          <w:szCs w:val="20"/>
        </w:rPr>
        <w:t>Section</w:t>
      </w:r>
      <w:r w:rsidR="00C64050">
        <w:rPr>
          <w:szCs w:val="20"/>
        </w:rPr>
        <w:t xml:space="preserve"> </w:t>
      </w:r>
      <w:r w:rsidRPr="003E0929">
        <w:rPr>
          <w:szCs w:val="20"/>
        </w:rPr>
        <w:t>301.7502-1(c)(1)(iii)(B)(</w:t>
      </w:r>
      <w:r w:rsidRPr="003E0929">
        <w:rPr>
          <w:szCs w:val="20"/>
          <w:u w:val="single"/>
        </w:rPr>
        <w:t>3</w:t>
      </w:r>
      <w:r w:rsidRPr="003E0929">
        <w:rPr>
          <w:szCs w:val="20"/>
        </w:rPr>
        <w:t>),</w:t>
      </w:r>
      <w:r w:rsidR="00C64050">
        <w:rPr>
          <w:szCs w:val="20"/>
        </w:rPr>
        <w:t xml:space="preserve"> </w:t>
      </w:r>
      <w:r w:rsidRPr="003E0929">
        <w:rPr>
          <w:szCs w:val="20"/>
        </w:rPr>
        <w:t>Proced.</w:t>
      </w:r>
      <w:r w:rsidR="00C64050">
        <w:rPr>
          <w:szCs w:val="20"/>
        </w:rPr>
        <w:t xml:space="preserve"> </w:t>
      </w:r>
      <w:r w:rsidRPr="003E0929">
        <w:rPr>
          <w:szCs w:val="20"/>
        </w:rPr>
        <w:t>&amp;</w:t>
      </w:r>
      <w:r w:rsidR="00C64050">
        <w:rPr>
          <w:szCs w:val="20"/>
        </w:rPr>
        <w:t xml:space="preserve"> </w:t>
      </w:r>
      <w:r w:rsidRPr="003E0929">
        <w:rPr>
          <w:szCs w:val="20"/>
        </w:rPr>
        <w:t>Admin.</w:t>
      </w:r>
      <w:r w:rsidR="00C64050">
        <w:rPr>
          <w:szCs w:val="20"/>
        </w:rPr>
        <w:t xml:space="preserve"> </w:t>
      </w:r>
      <w:r w:rsidRPr="003E0929">
        <w:rPr>
          <w:szCs w:val="20"/>
        </w:rPr>
        <w:t>Regs.,</w:t>
      </w:r>
      <w:r w:rsidR="00C64050">
        <w:rPr>
          <w:szCs w:val="20"/>
        </w:rPr>
        <w:t xml:space="preserve"> </w:t>
      </w:r>
      <w:r w:rsidRPr="003E0929">
        <w:rPr>
          <w:szCs w:val="20"/>
        </w:rPr>
        <w:t>provides</w:t>
      </w:r>
      <w:r w:rsidR="00C64050">
        <w:rPr>
          <w:szCs w:val="20"/>
        </w:rPr>
        <w:t xml:space="preserve"> </w:t>
      </w:r>
      <w:r w:rsidRPr="003E0929">
        <w:rPr>
          <w:szCs w:val="20"/>
        </w:rPr>
        <w:t>for</w:t>
      </w:r>
      <w:r w:rsidR="00C64050">
        <w:rPr>
          <w:szCs w:val="20"/>
        </w:rPr>
        <w:t xml:space="preserve"> </w:t>
      </w:r>
      <w:r w:rsidRPr="003E0929">
        <w:rPr>
          <w:szCs w:val="20"/>
        </w:rPr>
        <w:t>situations</w:t>
      </w:r>
      <w:r w:rsidR="00C64050">
        <w:rPr>
          <w:szCs w:val="20"/>
        </w:rPr>
        <w:t xml:space="preserve"> </w:t>
      </w:r>
      <w:r w:rsidRPr="003E0929">
        <w:rPr>
          <w:szCs w:val="20"/>
        </w:rPr>
        <w:t>in</w:t>
      </w:r>
      <w:r w:rsidR="00C64050">
        <w:rPr>
          <w:szCs w:val="20"/>
        </w:rPr>
        <w:t xml:space="preserve"> </w:t>
      </w:r>
      <w:r w:rsidRPr="003E0929">
        <w:rPr>
          <w:szCs w:val="20"/>
        </w:rPr>
        <w:t>which</w:t>
      </w:r>
      <w:r w:rsidR="00C64050">
        <w:rPr>
          <w:szCs w:val="20"/>
        </w:rPr>
        <w:t xml:space="preserve"> </w:t>
      </w:r>
      <w:r w:rsidRPr="003E0929">
        <w:rPr>
          <w:szCs w:val="20"/>
        </w:rPr>
        <w:t>a</w:t>
      </w:r>
      <w:r w:rsidR="00C64050">
        <w:rPr>
          <w:szCs w:val="20"/>
        </w:rPr>
        <w:t xml:space="preserve"> </w:t>
      </w:r>
      <w:r w:rsidRPr="003E0929">
        <w:rPr>
          <w:szCs w:val="20"/>
        </w:rPr>
        <w:t>mailpiece</w:t>
      </w:r>
      <w:r w:rsidR="00C64050">
        <w:rPr>
          <w:szCs w:val="20"/>
        </w:rPr>
        <w:t xml:space="preserve"> </w:t>
      </w:r>
      <w:r w:rsidRPr="003E0929">
        <w:rPr>
          <w:szCs w:val="20"/>
        </w:rPr>
        <w:t>has</w:t>
      </w:r>
      <w:r w:rsidR="00C64050">
        <w:rPr>
          <w:szCs w:val="20"/>
        </w:rPr>
        <w:t xml:space="preserve"> </w:t>
      </w:r>
      <w:r w:rsidRPr="003E0929">
        <w:rPr>
          <w:szCs w:val="20"/>
        </w:rPr>
        <w:t>both</w:t>
      </w:r>
      <w:r w:rsidR="00C64050">
        <w:rPr>
          <w:szCs w:val="20"/>
        </w:rPr>
        <w:t xml:space="preserve"> </w:t>
      </w:r>
      <w:r w:rsidRPr="003E0929">
        <w:rPr>
          <w:szCs w:val="20"/>
        </w:rPr>
        <w:t>a</w:t>
      </w:r>
      <w:r w:rsidR="00C64050">
        <w:rPr>
          <w:szCs w:val="20"/>
        </w:rPr>
        <w:t xml:space="preserve"> </w:t>
      </w:r>
      <w:r w:rsidRPr="003E0929">
        <w:rPr>
          <w:szCs w:val="20"/>
        </w:rPr>
        <w:t>USPS</w:t>
      </w:r>
      <w:r w:rsidR="00C64050">
        <w:rPr>
          <w:szCs w:val="20"/>
        </w:rPr>
        <w:t xml:space="preserve"> </w:t>
      </w:r>
      <w:r w:rsidRPr="003E0929">
        <w:rPr>
          <w:szCs w:val="20"/>
        </w:rPr>
        <w:t>postmark</w:t>
      </w:r>
      <w:r w:rsidR="00C64050">
        <w:rPr>
          <w:szCs w:val="20"/>
        </w:rPr>
        <w:t xml:space="preserve"> </w:t>
      </w:r>
      <w:r w:rsidRPr="003E0929">
        <w:rPr>
          <w:szCs w:val="20"/>
        </w:rPr>
        <w:t>and</w:t>
      </w:r>
      <w:r w:rsidR="00C64050">
        <w:rPr>
          <w:szCs w:val="20"/>
        </w:rPr>
        <w:t xml:space="preserve"> </w:t>
      </w:r>
      <w:r w:rsidRPr="003E0929">
        <w:rPr>
          <w:szCs w:val="20"/>
        </w:rPr>
        <w:t>a</w:t>
      </w:r>
      <w:r w:rsidR="00C64050">
        <w:rPr>
          <w:szCs w:val="20"/>
        </w:rPr>
        <w:t xml:space="preserve"> </w:t>
      </w:r>
      <w:r w:rsidRPr="003E0929">
        <w:rPr>
          <w:szCs w:val="20"/>
        </w:rPr>
        <w:t>non-USPS</w:t>
      </w:r>
      <w:r w:rsidR="00C64050">
        <w:rPr>
          <w:szCs w:val="20"/>
        </w:rPr>
        <w:t xml:space="preserve"> </w:t>
      </w:r>
      <w:r w:rsidRPr="003E0929">
        <w:rPr>
          <w:szCs w:val="20"/>
        </w:rPr>
        <w:t>mark.</w:t>
      </w:r>
      <w:r w:rsidR="00C64050">
        <w:rPr>
          <w:szCs w:val="20"/>
        </w:rPr>
        <w:t xml:space="preserve"> </w:t>
      </w:r>
      <w:r w:rsidRPr="003E0929">
        <w:rPr>
          <w:szCs w:val="20"/>
        </w:rPr>
        <w:t>That</w:t>
      </w:r>
      <w:r w:rsidR="00C64050">
        <w:rPr>
          <w:szCs w:val="20"/>
        </w:rPr>
        <w:t xml:space="preserve"> </w:t>
      </w:r>
      <w:r w:rsidRPr="003E0929">
        <w:rPr>
          <w:szCs w:val="20"/>
        </w:rPr>
        <w:t>section</w:t>
      </w:r>
      <w:r w:rsidR="00C64050">
        <w:rPr>
          <w:szCs w:val="20"/>
        </w:rPr>
        <w:t xml:space="preserve"> </w:t>
      </w:r>
      <w:r w:rsidRPr="003E0929">
        <w:rPr>
          <w:szCs w:val="20"/>
        </w:rPr>
        <w:t>provides</w:t>
      </w:r>
      <w:r w:rsidR="00C64050">
        <w:rPr>
          <w:szCs w:val="20"/>
        </w:rPr>
        <w:t xml:space="preserve"> </w:t>
      </w:r>
      <w:r w:rsidRPr="003E0929">
        <w:rPr>
          <w:szCs w:val="20"/>
        </w:rPr>
        <w:t>as</w:t>
      </w:r>
      <w:r w:rsidR="00C64050">
        <w:rPr>
          <w:szCs w:val="20"/>
        </w:rPr>
        <w:t xml:space="preserve"> </w:t>
      </w:r>
      <w:r w:rsidRPr="003E0929">
        <w:rPr>
          <w:szCs w:val="20"/>
        </w:rPr>
        <w:t>follows:</w:t>
      </w:r>
    </w:p>
    <w:p w:rsidR="003E0929" w:rsidRDefault="003E0929" w:rsidP="00061318">
      <w:pPr>
        <w:pStyle w:val="QS10"/>
        <w:rPr>
          <w:szCs w:val="20"/>
        </w:rPr>
      </w:pPr>
      <w:r w:rsidRPr="003E0929">
        <w:rPr>
          <w:szCs w:val="20"/>
        </w:rPr>
        <w:t>If</w:t>
      </w:r>
      <w:r w:rsidR="00C64050">
        <w:rPr>
          <w:szCs w:val="20"/>
        </w:rPr>
        <w:t xml:space="preserve"> </w:t>
      </w:r>
      <w:r w:rsidRPr="003E0929">
        <w:rPr>
          <w:szCs w:val="20"/>
        </w:rPr>
        <w:t>the</w:t>
      </w:r>
      <w:r w:rsidR="00C64050">
        <w:rPr>
          <w:szCs w:val="20"/>
        </w:rPr>
        <w:t xml:space="preserve"> </w:t>
      </w:r>
      <w:r w:rsidRPr="003E0929">
        <w:rPr>
          <w:szCs w:val="20"/>
        </w:rPr>
        <w:t>envelope</w:t>
      </w:r>
      <w:r w:rsidR="00C64050">
        <w:rPr>
          <w:szCs w:val="20"/>
        </w:rPr>
        <w:t xml:space="preserve"> </w:t>
      </w:r>
      <w:r w:rsidRPr="003E0929">
        <w:rPr>
          <w:szCs w:val="20"/>
        </w:rPr>
        <w:t>has</w:t>
      </w:r>
      <w:r w:rsidR="00C64050">
        <w:rPr>
          <w:szCs w:val="20"/>
        </w:rPr>
        <w:t xml:space="preserve"> </w:t>
      </w:r>
      <w:r w:rsidRPr="003E0929">
        <w:rPr>
          <w:szCs w:val="20"/>
        </w:rPr>
        <w:t>a</w:t>
      </w:r>
      <w:r w:rsidR="00C64050">
        <w:rPr>
          <w:szCs w:val="20"/>
        </w:rPr>
        <w:t xml:space="preserve"> </w:t>
      </w:r>
      <w:r w:rsidRPr="003E0929">
        <w:rPr>
          <w:szCs w:val="20"/>
        </w:rPr>
        <w:t>postmark</w:t>
      </w:r>
      <w:r w:rsidR="00C64050">
        <w:rPr>
          <w:szCs w:val="20"/>
        </w:rPr>
        <w:t xml:space="preserve"> </w:t>
      </w:r>
      <w:r w:rsidRPr="003E0929">
        <w:rPr>
          <w:szCs w:val="20"/>
        </w:rPr>
        <w:t>made</w:t>
      </w:r>
      <w:r w:rsidR="00C64050">
        <w:rPr>
          <w:szCs w:val="20"/>
        </w:rPr>
        <w:t xml:space="preserve"> </w:t>
      </w:r>
      <w:r w:rsidRPr="003E0929">
        <w:rPr>
          <w:szCs w:val="20"/>
        </w:rPr>
        <w:t>by</w:t>
      </w:r>
      <w:r w:rsidR="00C64050">
        <w:rPr>
          <w:szCs w:val="20"/>
        </w:rPr>
        <w:t xml:space="preserve"> </w:t>
      </w:r>
      <w:r w:rsidRPr="003E0929">
        <w:rPr>
          <w:szCs w:val="20"/>
        </w:rPr>
        <w:t>the</w:t>
      </w:r>
      <w:r w:rsidR="00C64050">
        <w:rPr>
          <w:szCs w:val="20"/>
        </w:rPr>
        <w:t xml:space="preserve"> </w:t>
      </w:r>
      <w:r w:rsidRPr="003E0929">
        <w:rPr>
          <w:szCs w:val="20"/>
        </w:rPr>
        <w:t>U.S.</w:t>
      </w:r>
      <w:r w:rsidR="00C64050">
        <w:rPr>
          <w:szCs w:val="20"/>
        </w:rPr>
        <w:t xml:space="preserve"> </w:t>
      </w:r>
      <w:r w:rsidRPr="003E0929">
        <w:rPr>
          <w:szCs w:val="20"/>
        </w:rPr>
        <w:t>Postal</w:t>
      </w:r>
      <w:r w:rsidR="00C64050">
        <w:rPr>
          <w:szCs w:val="20"/>
        </w:rPr>
        <w:t xml:space="preserve"> </w:t>
      </w:r>
      <w:r w:rsidRPr="003E0929">
        <w:rPr>
          <w:szCs w:val="20"/>
        </w:rPr>
        <w:t>Service</w:t>
      </w:r>
      <w:r w:rsidR="00C64050">
        <w:rPr>
          <w:szCs w:val="20"/>
        </w:rPr>
        <w:t xml:space="preserve"> </w:t>
      </w:r>
      <w:r w:rsidRPr="003E0929">
        <w:rPr>
          <w:szCs w:val="20"/>
        </w:rPr>
        <w:t>in</w:t>
      </w:r>
      <w:r w:rsidR="00C64050">
        <w:rPr>
          <w:szCs w:val="20"/>
        </w:rPr>
        <w:t xml:space="preserve"> </w:t>
      </w:r>
      <w:r w:rsidRPr="003E0929">
        <w:rPr>
          <w:szCs w:val="20"/>
        </w:rPr>
        <w:t>addition</w:t>
      </w:r>
      <w:r w:rsidR="00C64050">
        <w:rPr>
          <w:szCs w:val="20"/>
        </w:rPr>
        <w:t xml:space="preserve"> </w:t>
      </w:r>
      <w:r w:rsidRPr="003E0929">
        <w:rPr>
          <w:szCs w:val="20"/>
        </w:rPr>
        <w:t>to</w:t>
      </w:r>
      <w:r w:rsidR="00C64050">
        <w:rPr>
          <w:szCs w:val="20"/>
        </w:rPr>
        <w:t xml:space="preserve"> </w:t>
      </w:r>
      <w:r w:rsidRPr="003E0929">
        <w:rPr>
          <w:szCs w:val="20"/>
        </w:rPr>
        <w:t>a</w:t>
      </w:r>
      <w:r w:rsidR="00C64050">
        <w:rPr>
          <w:szCs w:val="20"/>
        </w:rPr>
        <w:t xml:space="preserve"> </w:t>
      </w:r>
      <w:r w:rsidRPr="003E0929">
        <w:rPr>
          <w:szCs w:val="20"/>
        </w:rPr>
        <w:t>postmark</w:t>
      </w:r>
      <w:r w:rsidR="00C64050">
        <w:rPr>
          <w:szCs w:val="20"/>
        </w:rPr>
        <w:t xml:space="preserve"> </w:t>
      </w:r>
      <w:r w:rsidRPr="003E0929">
        <w:rPr>
          <w:szCs w:val="20"/>
        </w:rPr>
        <w:t>not</w:t>
      </w:r>
      <w:r w:rsidR="00C64050">
        <w:rPr>
          <w:szCs w:val="20"/>
        </w:rPr>
        <w:t xml:space="preserve"> </w:t>
      </w:r>
      <w:r w:rsidRPr="003E0929">
        <w:rPr>
          <w:szCs w:val="20"/>
        </w:rPr>
        <w:t>so</w:t>
      </w:r>
      <w:r w:rsidR="00C64050">
        <w:rPr>
          <w:szCs w:val="20"/>
        </w:rPr>
        <w:t xml:space="preserve"> </w:t>
      </w:r>
      <w:r w:rsidRPr="003E0929">
        <w:rPr>
          <w:szCs w:val="20"/>
        </w:rPr>
        <w:t>made,</w:t>
      </w:r>
      <w:r w:rsidR="00C64050">
        <w:rPr>
          <w:szCs w:val="20"/>
        </w:rPr>
        <w:t xml:space="preserve"> </w:t>
      </w:r>
      <w:r w:rsidRPr="003E0929">
        <w:rPr>
          <w:szCs w:val="20"/>
        </w:rPr>
        <w:t>the</w:t>
      </w:r>
      <w:r w:rsidR="00C64050">
        <w:rPr>
          <w:szCs w:val="20"/>
        </w:rPr>
        <w:t xml:space="preserve"> </w:t>
      </w:r>
      <w:r w:rsidRPr="003E0929">
        <w:rPr>
          <w:szCs w:val="20"/>
        </w:rPr>
        <w:t>postmark</w:t>
      </w:r>
      <w:r w:rsidR="00C64050">
        <w:rPr>
          <w:szCs w:val="20"/>
        </w:rPr>
        <w:t xml:space="preserve"> </w:t>
      </w:r>
      <w:r w:rsidRPr="003E0929">
        <w:rPr>
          <w:szCs w:val="20"/>
        </w:rPr>
        <w:t>that</w:t>
      </w:r>
      <w:r w:rsidR="00C64050">
        <w:rPr>
          <w:szCs w:val="20"/>
        </w:rPr>
        <w:t xml:space="preserve"> </w:t>
      </w:r>
      <w:r w:rsidRPr="003E0929">
        <w:rPr>
          <w:szCs w:val="20"/>
        </w:rPr>
        <w:t>was</w:t>
      </w:r>
      <w:r w:rsidR="00C64050">
        <w:rPr>
          <w:szCs w:val="20"/>
        </w:rPr>
        <w:t xml:space="preserve"> </w:t>
      </w:r>
      <w:r w:rsidRPr="003E0929">
        <w:rPr>
          <w:szCs w:val="20"/>
        </w:rPr>
        <w:t>not</w:t>
      </w:r>
      <w:r w:rsidR="00C64050">
        <w:rPr>
          <w:szCs w:val="20"/>
        </w:rPr>
        <w:t xml:space="preserve"> </w:t>
      </w:r>
      <w:r w:rsidRPr="003E0929">
        <w:rPr>
          <w:szCs w:val="20"/>
        </w:rPr>
        <w:t>made</w:t>
      </w:r>
      <w:r w:rsidR="00C64050">
        <w:rPr>
          <w:szCs w:val="20"/>
        </w:rPr>
        <w:t xml:space="preserve"> </w:t>
      </w:r>
      <w:r w:rsidRPr="003E0929">
        <w:rPr>
          <w:szCs w:val="20"/>
        </w:rPr>
        <w:t>by</w:t>
      </w:r>
      <w:r w:rsidR="00C64050">
        <w:rPr>
          <w:szCs w:val="20"/>
        </w:rPr>
        <w:t xml:space="preserve"> </w:t>
      </w:r>
      <w:r w:rsidRPr="003E0929">
        <w:rPr>
          <w:szCs w:val="20"/>
        </w:rPr>
        <w:t>the</w:t>
      </w:r>
      <w:r w:rsidR="00C64050">
        <w:rPr>
          <w:szCs w:val="20"/>
        </w:rPr>
        <w:t xml:space="preserve"> </w:t>
      </w:r>
      <w:r w:rsidRPr="003E0929">
        <w:rPr>
          <w:szCs w:val="20"/>
        </w:rPr>
        <w:t>U.S.</w:t>
      </w:r>
      <w:r w:rsidR="00C64050">
        <w:rPr>
          <w:szCs w:val="20"/>
        </w:rPr>
        <w:t xml:space="preserve"> </w:t>
      </w:r>
      <w:r w:rsidRPr="003E0929">
        <w:rPr>
          <w:szCs w:val="20"/>
        </w:rPr>
        <w:t>Postal</w:t>
      </w:r>
      <w:r w:rsidR="00C64050">
        <w:rPr>
          <w:szCs w:val="20"/>
        </w:rPr>
        <w:t xml:space="preserve"> </w:t>
      </w:r>
      <w:r w:rsidRPr="003E0929">
        <w:rPr>
          <w:szCs w:val="20"/>
        </w:rPr>
        <w:t>Service</w:t>
      </w:r>
      <w:r w:rsidR="00C64050">
        <w:rPr>
          <w:szCs w:val="20"/>
        </w:rPr>
        <w:t xml:space="preserve"> </w:t>
      </w:r>
      <w:r w:rsidRPr="003E0929">
        <w:rPr>
          <w:szCs w:val="20"/>
        </w:rPr>
        <w:t>is</w:t>
      </w:r>
      <w:r w:rsidR="00C64050">
        <w:rPr>
          <w:szCs w:val="20"/>
        </w:rPr>
        <w:t xml:space="preserve"> </w:t>
      </w:r>
      <w:r w:rsidRPr="003E0929">
        <w:rPr>
          <w:szCs w:val="20"/>
        </w:rPr>
        <w:t>disregarded,</w:t>
      </w:r>
      <w:r w:rsidR="00C64050">
        <w:rPr>
          <w:szCs w:val="20"/>
        </w:rPr>
        <w:t xml:space="preserve"> </w:t>
      </w:r>
      <w:r w:rsidRPr="003E0929">
        <w:rPr>
          <w:szCs w:val="20"/>
        </w:rPr>
        <w:t>and</w:t>
      </w:r>
      <w:r w:rsidR="00C64050">
        <w:rPr>
          <w:szCs w:val="20"/>
        </w:rPr>
        <w:t xml:space="preserve"> </w:t>
      </w:r>
      <w:r w:rsidRPr="003E0929">
        <w:rPr>
          <w:szCs w:val="20"/>
        </w:rPr>
        <w:t>whether</w:t>
      </w:r>
      <w:r w:rsidR="00C64050">
        <w:rPr>
          <w:szCs w:val="20"/>
        </w:rPr>
        <w:t xml:space="preserve"> </w:t>
      </w:r>
      <w:r w:rsidRPr="003E0929">
        <w:rPr>
          <w:szCs w:val="20"/>
        </w:rPr>
        <w:t>the</w:t>
      </w:r>
      <w:r w:rsidR="00C64050">
        <w:rPr>
          <w:szCs w:val="20"/>
        </w:rPr>
        <w:t xml:space="preserve"> </w:t>
      </w:r>
      <w:r w:rsidRPr="003E0929">
        <w:rPr>
          <w:szCs w:val="20"/>
        </w:rPr>
        <w:t>envelope</w:t>
      </w:r>
      <w:r w:rsidR="00C64050">
        <w:rPr>
          <w:szCs w:val="20"/>
        </w:rPr>
        <w:t xml:space="preserve"> </w:t>
      </w:r>
      <w:r w:rsidRPr="003E0929">
        <w:rPr>
          <w:szCs w:val="20"/>
        </w:rPr>
        <w:t>was</w:t>
      </w:r>
      <w:r w:rsidR="00C64050">
        <w:rPr>
          <w:szCs w:val="20"/>
        </w:rPr>
        <w:t xml:space="preserve"> </w:t>
      </w:r>
      <w:r w:rsidRPr="003E0929">
        <w:rPr>
          <w:szCs w:val="20"/>
        </w:rPr>
        <w:t>mailed</w:t>
      </w:r>
      <w:r w:rsidR="00C64050">
        <w:rPr>
          <w:szCs w:val="20"/>
        </w:rPr>
        <w:t xml:space="preserve"> </w:t>
      </w:r>
      <w:r w:rsidRPr="003E0929">
        <w:rPr>
          <w:szCs w:val="20"/>
        </w:rPr>
        <w:t>in</w:t>
      </w:r>
      <w:r w:rsidR="00C64050">
        <w:rPr>
          <w:szCs w:val="20"/>
        </w:rPr>
        <w:t xml:space="preserve"> </w:t>
      </w:r>
      <w:r w:rsidRPr="003E0929">
        <w:rPr>
          <w:szCs w:val="20"/>
        </w:rPr>
        <w:t>accordance</w:t>
      </w:r>
      <w:r w:rsidR="00C64050">
        <w:rPr>
          <w:szCs w:val="20"/>
        </w:rPr>
        <w:t xml:space="preserve"> </w:t>
      </w:r>
      <w:r w:rsidRPr="003E0929">
        <w:rPr>
          <w:szCs w:val="20"/>
        </w:rPr>
        <w:t>with</w:t>
      </w:r>
      <w:r w:rsidR="00C64050">
        <w:rPr>
          <w:szCs w:val="20"/>
        </w:rPr>
        <w:t xml:space="preserve"> </w:t>
      </w:r>
      <w:r w:rsidRPr="003E0929">
        <w:rPr>
          <w:szCs w:val="20"/>
        </w:rPr>
        <w:t>this</w:t>
      </w:r>
      <w:r w:rsidR="00C64050">
        <w:rPr>
          <w:szCs w:val="20"/>
        </w:rPr>
        <w:t xml:space="preserve"> </w:t>
      </w:r>
      <w:r w:rsidRPr="003E0929">
        <w:rPr>
          <w:szCs w:val="20"/>
        </w:rPr>
        <w:t>paragraph</w:t>
      </w:r>
      <w:r w:rsidR="00C64050">
        <w:rPr>
          <w:szCs w:val="20"/>
        </w:rPr>
        <w:t xml:space="preserve"> </w:t>
      </w:r>
      <w:r w:rsidRPr="003E0929">
        <w:rPr>
          <w:szCs w:val="20"/>
        </w:rPr>
        <w:t>(c)(1)(iii)(B)</w:t>
      </w:r>
      <w:r w:rsidR="00C64050">
        <w:rPr>
          <w:szCs w:val="20"/>
        </w:rPr>
        <w:t xml:space="preserve"> </w:t>
      </w:r>
      <w:r w:rsidRPr="003E0929">
        <w:rPr>
          <w:szCs w:val="20"/>
        </w:rPr>
        <w:t>will</w:t>
      </w:r>
      <w:r w:rsidR="00C64050">
        <w:rPr>
          <w:szCs w:val="20"/>
        </w:rPr>
        <w:t xml:space="preserve"> </w:t>
      </w:r>
      <w:r w:rsidRPr="003E0929">
        <w:rPr>
          <w:szCs w:val="20"/>
        </w:rPr>
        <w:t>be</w:t>
      </w:r>
      <w:r w:rsidR="00C64050">
        <w:rPr>
          <w:szCs w:val="20"/>
        </w:rPr>
        <w:t xml:space="preserve"> </w:t>
      </w:r>
      <w:r w:rsidRPr="003E0929">
        <w:rPr>
          <w:szCs w:val="20"/>
        </w:rPr>
        <w:t>determined</w:t>
      </w:r>
      <w:r w:rsidR="00C64050">
        <w:rPr>
          <w:szCs w:val="20"/>
        </w:rPr>
        <w:t xml:space="preserve"> </w:t>
      </w:r>
      <w:r w:rsidRPr="003E0929">
        <w:rPr>
          <w:szCs w:val="20"/>
        </w:rPr>
        <w:t>solely</w:t>
      </w:r>
      <w:r w:rsidR="00C64050">
        <w:rPr>
          <w:szCs w:val="20"/>
        </w:rPr>
        <w:t xml:space="preserve"> </w:t>
      </w:r>
      <w:r w:rsidRPr="003E0929">
        <w:rPr>
          <w:szCs w:val="20"/>
        </w:rPr>
        <w:t>by</w:t>
      </w:r>
      <w:r w:rsidR="00C64050">
        <w:rPr>
          <w:szCs w:val="20"/>
        </w:rPr>
        <w:t xml:space="preserve"> </w:t>
      </w:r>
      <w:r w:rsidRPr="003E0929">
        <w:rPr>
          <w:szCs w:val="20"/>
        </w:rPr>
        <w:t>applying</w:t>
      </w:r>
      <w:r w:rsidR="00C64050">
        <w:rPr>
          <w:szCs w:val="20"/>
        </w:rPr>
        <w:t xml:space="preserve"> </w:t>
      </w:r>
      <w:r w:rsidRPr="003E0929">
        <w:rPr>
          <w:szCs w:val="20"/>
        </w:rPr>
        <w:t>the</w:t>
      </w:r>
      <w:r w:rsidR="00C64050">
        <w:rPr>
          <w:szCs w:val="20"/>
        </w:rPr>
        <w:t xml:space="preserve"> </w:t>
      </w:r>
      <w:r w:rsidRPr="003E0929">
        <w:rPr>
          <w:szCs w:val="20"/>
        </w:rPr>
        <w:t>rule</w:t>
      </w:r>
      <w:r w:rsidR="00C64050">
        <w:rPr>
          <w:szCs w:val="20"/>
        </w:rPr>
        <w:t xml:space="preserve"> </w:t>
      </w:r>
      <w:r w:rsidRPr="003E0929">
        <w:rPr>
          <w:szCs w:val="20"/>
        </w:rPr>
        <w:t>of</w:t>
      </w:r>
      <w:r w:rsidR="00C64050">
        <w:rPr>
          <w:szCs w:val="20"/>
        </w:rPr>
        <w:t xml:space="preserve"> </w:t>
      </w:r>
      <w:r w:rsidRPr="003E0929">
        <w:rPr>
          <w:szCs w:val="20"/>
        </w:rPr>
        <w:t>paragraph</w:t>
      </w:r>
      <w:r w:rsidR="00C64050">
        <w:rPr>
          <w:szCs w:val="20"/>
        </w:rPr>
        <w:t xml:space="preserve"> </w:t>
      </w:r>
      <w:r w:rsidRPr="003E0929">
        <w:rPr>
          <w:szCs w:val="20"/>
        </w:rPr>
        <w:t>(c)(1)(iii)(A)</w:t>
      </w:r>
      <w:r w:rsidR="00C64050">
        <w:rPr>
          <w:szCs w:val="20"/>
        </w:rPr>
        <w:t xml:space="preserve"> </w:t>
      </w:r>
      <w:r w:rsidRPr="003E0929">
        <w:rPr>
          <w:szCs w:val="20"/>
        </w:rPr>
        <w:t>of</w:t>
      </w:r>
      <w:r w:rsidR="00C64050">
        <w:rPr>
          <w:szCs w:val="20"/>
        </w:rPr>
        <w:t xml:space="preserve"> </w:t>
      </w:r>
      <w:r w:rsidRPr="003E0929">
        <w:rPr>
          <w:szCs w:val="20"/>
        </w:rPr>
        <w:t>this</w:t>
      </w:r>
      <w:r w:rsidR="00C64050">
        <w:rPr>
          <w:szCs w:val="20"/>
        </w:rPr>
        <w:t xml:space="preserve"> </w:t>
      </w:r>
      <w:r w:rsidRPr="003E0929">
        <w:rPr>
          <w:szCs w:val="20"/>
        </w:rPr>
        <w:t>section.</w:t>
      </w:r>
    </w:p>
    <w:p w:rsidR="00BA342E" w:rsidRPr="00BA342E" w:rsidRDefault="00724508" w:rsidP="00724508">
      <w:pPr>
        <w:pStyle w:val="Heading20"/>
        <w:tabs>
          <w:tab w:val="clear" w:pos="2700"/>
        </w:tabs>
        <w:ind w:left="0"/>
        <w:rPr>
          <w:vanish/>
          <w:szCs w:val="20"/>
          <w:specVanish/>
        </w:rPr>
      </w:pPr>
      <w:bookmarkStart w:id="783" w:name="_Toc94704680"/>
      <w:r>
        <w:rPr>
          <w:b/>
          <w:szCs w:val="20"/>
          <w:u w:val="single"/>
        </w:rPr>
        <w:t>Executor Personally Liable For Estate Tax</w:t>
      </w:r>
      <w:bookmarkEnd w:id="783"/>
    </w:p>
    <w:p w:rsidR="00724508" w:rsidRDefault="00724508" w:rsidP="00BA342E">
      <w:pPr>
        <w:pStyle w:val="Heading2Body"/>
      </w:pPr>
      <w:r>
        <w:t xml:space="preserve">.  In </w:t>
      </w:r>
      <w:r>
        <w:rPr>
          <w:u w:val="single"/>
        </w:rPr>
        <w:t>United States v. Kohls</w:t>
      </w:r>
      <w:r>
        <w:t xml:space="preserve">, </w:t>
      </w:r>
      <w:r w:rsidR="00AA3F91" w:rsidRPr="00AA3F91">
        <w:t>2020 WL 33410</w:t>
      </w:r>
      <w:r w:rsidR="007B2517">
        <w:t xml:space="preserve"> (S.D. Ohio 2020) the executor didn’t pay the estate tax owed, transferred the estate assets, and closed the estate.  </w:t>
      </w:r>
      <w:r w:rsidR="00D320B1">
        <w:t xml:space="preserve">At issue was the statute of limitations on the IRS.  </w:t>
      </w:r>
      <w:r w:rsidR="007B2517">
        <w:t>The opinion states:</w:t>
      </w:r>
    </w:p>
    <w:p w:rsidR="007B2517" w:rsidRDefault="00BA342E" w:rsidP="00BA342E">
      <w:pPr>
        <w:pStyle w:val="QS10"/>
        <w:rPr>
          <w:lang w:eastAsia="en-GB"/>
        </w:rPr>
      </w:pPr>
      <w:r w:rsidRPr="00BA342E">
        <w:rPr>
          <w:lang w:eastAsia="en-GB"/>
        </w:rPr>
        <w:t>Corwin J. Kohls died testate on September 10, 2001. On September 12, 2001, Douglas M. Kohls, his son, opened an estate in the Common Pleas Court of Montgomery County, Ohio, Probate Division ("Probate Court") and was named the executor.</w:t>
      </w:r>
    </w:p>
    <w:p w:rsidR="007B2517" w:rsidRDefault="007B2517" w:rsidP="00BA342E">
      <w:pPr>
        <w:pStyle w:val="QS10"/>
        <w:jc w:val="center"/>
        <w:rPr>
          <w:lang w:eastAsia="en-GB"/>
        </w:rPr>
      </w:pPr>
      <w:r>
        <w:rPr>
          <w:lang w:eastAsia="en-GB"/>
        </w:rPr>
        <w:t>***</w:t>
      </w:r>
    </w:p>
    <w:p w:rsidR="00BA342E" w:rsidRPr="00BA342E" w:rsidRDefault="00BA342E" w:rsidP="00BA342E">
      <w:pPr>
        <w:pStyle w:val="QS10"/>
        <w:rPr>
          <w:szCs w:val="20"/>
        </w:rPr>
      </w:pPr>
      <w:r>
        <w:t>The IRS audit of the 706 Return was completed and, on or about May 27, 2005, the executor signed a Form 890, Waiver of Restriction on Assessment and Collection of Deficiency and Acceptance of Overassessment - Estate Gift and Generation Skipping Transfer Tax ("Assessment Waiver"). In the Assessme</w:t>
      </w:r>
      <w:r w:rsidRPr="00BA342E">
        <w:rPr>
          <w:szCs w:val="20"/>
        </w:rPr>
        <w:t>nt  Waiver, the executor consented to the immediate assessment and the collection of a $199,077 estate tax deficiency. On that same date, the executor also signed a Form 4768, Application for Extension of Time to File a Return and/or Pay U.S. Estate (and Generation Skipping Transfer) -Taxes" ("Application for Extension"). Pursuant to 26 U.S.C. § 6161(b)(2). The IRS granted the Estate a one-year extension for payment so that the federal estate tax of $199,077, plus interest, was now due on or before May 27, 2006.</w:t>
      </w:r>
    </w:p>
    <w:p w:rsidR="00BA342E" w:rsidRPr="00BA342E" w:rsidRDefault="00BA342E" w:rsidP="00BA342E">
      <w:pPr>
        <w:pStyle w:val="QS10"/>
        <w:rPr>
          <w:szCs w:val="20"/>
        </w:rPr>
      </w:pPr>
      <w:r w:rsidRPr="00BA342E">
        <w:rPr>
          <w:szCs w:val="20"/>
        </w:rPr>
        <w:t>Pursuant to 26 U.S.C. § 6203, on July 4, 2005, the IRS made an assessment against the Estate of the $199,077 estate tax deficiency. Doc. #7-2, PAGEID##49-50; Doc. #7-1, PAGEID#35.</w:t>
      </w:r>
    </w:p>
    <w:p w:rsidR="00BA342E" w:rsidRDefault="00BA342E" w:rsidP="00BA342E">
      <w:pPr>
        <w:pStyle w:val="QS10"/>
      </w:pPr>
      <w:r w:rsidRPr="00BA342E">
        <w:rPr>
          <w:szCs w:val="20"/>
        </w:rPr>
        <w:t>On August 12, 2005, and October 12, 2005, the Estate, through the executor, transferred two properties for no consideration. Specifically, on August 12, 2005, the Estate transferred property located at 8305-8311 Woodgrove Drive in Centerville, Ohio, ("Woodgrove Drive Property") to Defendant's sister, Cynthia L. Rogers. On October 12, 2005, property in the Estate located at 4627-4629 Far Hills Avenue, Kettering, Ohio, ("Fa</w:t>
      </w:r>
      <w:r>
        <w:t>r Hills Avenue Property") was transferred to Defendant individually. Using the date of death values and subtracting the mortgages, the net equity of the Woodgrove Drive Property was $53,439 and the net equity of the Far Hills Avenue Property was $571,001. Doc. #7-1, PAGE</w:t>
      </w:r>
      <w:r w:rsidR="00E3225F">
        <w:t xml:space="preserve"> </w:t>
      </w:r>
      <w:r>
        <w:t>ID</w:t>
      </w:r>
      <w:r w:rsidR="00E3225F">
        <w:t xml:space="preserve"> </w:t>
      </w:r>
      <w:r>
        <w:t>#37.</w:t>
      </w:r>
    </w:p>
    <w:p w:rsidR="00BA342E" w:rsidRDefault="00BA342E" w:rsidP="00BA342E">
      <w:pPr>
        <w:pStyle w:val="QS10"/>
      </w:pPr>
      <w:r>
        <w:t>On May 27, 2006, the executor signed a second Application for Extension seeking another one-year extension to pay the Estate's taxes. This extension was also granted and payment of the tax deficiency was extended until May 27, 2007. </w:t>
      </w:r>
    </w:p>
    <w:p w:rsidR="00BA342E" w:rsidRDefault="00BA342E" w:rsidP="00BA342E">
      <w:pPr>
        <w:pStyle w:val="QS10"/>
      </w:pPr>
      <w:r>
        <w:t>Although the federal tax deficiency was unpaid, the Estate was closed in February 2007. On May 27, 2007, the third and final Application for Extension was signed by the executor and granted by the IRS. As a result, payment of the Estate's tax and interest was due on May 27, 2008.</w:t>
      </w:r>
    </w:p>
    <w:p w:rsidR="00BA342E" w:rsidRDefault="00BA342E" w:rsidP="00BA342E">
      <w:pPr>
        <w:pStyle w:val="QS10"/>
      </w:pPr>
      <w:r>
        <w:t>As of May 8, 2018, the amount of the Estate's federal estate tax liabilities, "taking into account the assessments of taxes, penalties and interest, and all payments, credits, abatements, and accruals" totaled $322,875.43. Doc. #7-5, PAGEID#166.</w:t>
      </w:r>
    </w:p>
    <w:p w:rsidR="00803A76" w:rsidRDefault="00803A76">
      <w:pPr>
        <w:rPr>
          <w:bCs w:val="0"/>
          <w:lang w:eastAsia="en-GB"/>
        </w:rPr>
      </w:pPr>
      <w:r>
        <w:rPr>
          <w:lang w:eastAsia="en-GB"/>
        </w:rPr>
        <w:br w:type="page"/>
      </w:r>
    </w:p>
    <w:p w:rsidR="007B2517" w:rsidRDefault="007B2517" w:rsidP="007B2517">
      <w:pPr>
        <w:pStyle w:val="Body15"/>
        <w:rPr>
          <w:lang w:eastAsia="en-GB"/>
        </w:rPr>
      </w:pPr>
      <w:r>
        <w:rPr>
          <w:lang w:eastAsia="en-GB"/>
        </w:rPr>
        <w:t>The IRS had 13 year</w:t>
      </w:r>
      <w:r w:rsidR="00D320B1">
        <w:rPr>
          <w:lang w:eastAsia="en-GB"/>
        </w:rPr>
        <w:t>s</w:t>
      </w:r>
      <w:r>
        <w:rPr>
          <w:lang w:eastAsia="en-GB"/>
        </w:rPr>
        <w:t xml:space="preserve"> to sue, but starting when?</w:t>
      </w:r>
    </w:p>
    <w:p w:rsidR="00BA342E" w:rsidRDefault="00BA342E" w:rsidP="00BA342E">
      <w:pPr>
        <w:pStyle w:val="QS10"/>
      </w:pPr>
      <w:r>
        <w:t>In addition to the ten years to file suit, Defendant concedes that because of the three one-year extensions that were granted by the IRS in the Applications for Extension, Fo</w:t>
      </w:r>
      <w:r w:rsidRPr="00BA342E">
        <w:rPr>
          <w:szCs w:val="20"/>
        </w:rPr>
        <w:t>rm 4768, 26 U.S.C. § 6161(b)(2) extend</w:t>
      </w:r>
      <w:r>
        <w:t>s the ten-year statute of limitations for an additional three years. According to Defendant, because he  signed the Assessment Waiver, also known as the Form 890, on May 27, 2005, the thirteen-year time period begins to run from this date. As such, the statute of limitations ran on May 27, 2018, and Defendant's Motion should be sustained. Doc. #8, PAGEID183.</w:t>
      </w:r>
    </w:p>
    <w:p w:rsidR="00BA342E" w:rsidRPr="00BA342E" w:rsidRDefault="00BA342E" w:rsidP="00BA342E">
      <w:pPr>
        <w:pStyle w:val="QS10"/>
        <w:rPr>
          <w:szCs w:val="20"/>
        </w:rPr>
      </w:pPr>
      <w:r>
        <w:t>Alternatively, Defendant argues that the l</w:t>
      </w:r>
      <w:r w:rsidRPr="00BA342E">
        <w:rPr>
          <w:szCs w:val="20"/>
        </w:rPr>
        <w:t>atest period of time to start the running of the ten-year statute of limitations under 26 U.S.C. § 6502 is the date when the IRS received the signed May 27, 2005, Assessment Waiver. Defendant asserts that the IRS's date of receipt of the Assessment Waiver was June 2, 2005. Based on this argument, Defendant asserts that under § 6502(d) and the three one-year extensions, the "alternate collection statute expiration date" is June 2, 2018, which is thirty days before the Complaint was filed. Doc. #8, PAGEID#183.</w:t>
      </w:r>
    </w:p>
    <w:p w:rsidR="00BA342E" w:rsidRPr="00BA342E" w:rsidRDefault="00BA342E" w:rsidP="00BA342E">
      <w:pPr>
        <w:pStyle w:val="QS10"/>
        <w:rPr>
          <w:szCs w:val="20"/>
        </w:rPr>
      </w:pPr>
      <w:r w:rsidRPr="00BA342E">
        <w:rPr>
          <w:szCs w:val="20"/>
        </w:rPr>
        <w:t>In response to Defendant's statute of limitations defense, although Plaintiff agrees that it had 13 years to file its Complaint, it disputes that the May 27, 2005, Assessment Waiver is the starting point. Specifically, the United States argues that the "assessment" referred to in 26 U.S.C. § 6502 is not the Assessment Waiver Defendant signed on May 27, 2005. According to Plaintiff, "[A]n assessment is made 'by recording the liability of the taxpayer in the office of the Secretary in accordance with rules and regulations prescribed by the Secretary.'" 26 U.S.C. § 6203. </w:t>
      </w:r>
      <w:r w:rsidRPr="00BA342E">
        <w:rPr>
          <w:i/>
          <w:iCs/>
          <w:szCs w:val="20"/>
        </w:rPr>
        <w:t>Laing v</w:t>
      </w:r>
      <w:r w:rsidRPr="00BA342E">
        <w:rPr>
          <w:szCs w:val="20"/>
        </w:rPr>
        <w:t>. </w:t>
      </w:r>
      <w:r w:rsidRPr="00BA342E">
        <w:rPr>
          <w:i/>
          <w:iCs/>
          <w:szCs w:val="20"/>
        </w:rPr>
        <w:t>United States</w:t>
      </w:r>
      <w:r w:rsidRPr="00BA342E">
        <w:rPr>
          <w:szCs w:val="20"/>
        </w:rPr>
        <w:t>, 423 U.S. 161, 170 n.13 (1976) ("The assessment is essentially a bookkeeping notation that is made when the Secretary or his delegate establishes an account against the taxpayer on the tax rolls."). As such, Plaintiff argues that its Complaint was timely filed. </w:t>
      </w:r>
    </w:p>
    <w:p w:rsidR="00BA342E" w:rsidRDefault="00BA342E" w:rsidP="00BA342E">
      <w:pPr>
        <w:pStyle w:val="QS10"/>
      </w:pPr>
      <w:r w:rsidRPr="00BA342E">
        <w:rPr>
          <w:szCs w:val="20"/>
        </w:rPr>
        <w:t>The Court finds that Defendant's reliance on the Assessment Waiver, Form 890, as the "assessment" referred to in 26 U.S.C. § 6502 is misplaced. A "Form 890 is a waiver of restriction on assessment and collection of the deficiency. It is not an assessment." </w:t>
      </w:r>
      <w:r w:rsidRPr="00BA342E">
        <w:rPr>
          <w:i/>
          <w:iCs/>
          <w:szCs w:val="20"/>
        </w:rPr>
        <w:t>Singleton v</w:t>
      </w:r>
      <w:r w:rsidRPr="00BA342E">
        <w:rPr>
          <w:szCs w:val="20"/>
        </w:rPr>
        <w:t>. </w:t>
      </w:r>
      <w:r w:rsidRPr="00BA342E">
        <w:rPr>
          <w:i/>
          <w:iCs/>
          <w:szCs w:val="20"/>
        </w:rPr>
        <w:t>C</w:t>
      </w:r>
      <w:r w:rsidRPr="00BA342E">
        <w:rPr>
          <w:szCs w:val="20"/>
        </w:rPr>
        <w:t>.</w:t>
      </w:r>
      <w:r w:rsidRPr="00BA342E">
        <w:rPr>
          <w:i/>
          <w:iCs/>
          <w:szCs w:val="20"/>
        </w:rPr>
        <w:t>I</w:t>
      </w:r>
      <w:r w:rsidRPr="00BA342E">
        <w:rPr>
          <w:szCs w:val="20"/>
        </w:rPr>
        <w:t>.</w:t>
      </w:r>
      <w:r w:rsidRPr="00BA342E">
        <w:rPr>
          <w:i/>
          <w:iCs/>
          <w:szCs w:val="20"/>
        </w:rPr>
        <w:t>R</w:t>
      </w:r>
      <w:r w:rsidRPr="00BA342E">
        <w:rPr>
          <w:szCs w:val="20"/>
        </w:rPr>
        <w:t>., 71 T.C.M</w:t>
      </w:r>
      <w:r>
        <w:t>. (CCH) 3127, *3, n. 3 (T.C. 1996).</w:t>
      </w:r>
    </w:p>
    <w:p w:rsidR="00BA342E" w:rsidRDefault="00BA342E" w:rsidP="00BA342E">
      <w:pPr>
        <w:pStyle w:val="QS10"/>
        <w:ind w:left="2160"/>
      </w:pPr>
      <w:r>
        <w:t>An assessment is made by recording the liability of a taxpayer in the office of the Secretary in accordance with prescribed rules or regulations. Sec. 6203. The date of assessment is the date the summary record of assessment is signed by the assessment officer. Sec. 301.6203-1, Proced. &amp; Admin.</w:t>
      </w:r>
    </w:p>
    <w:p w:rsidR="007B2517" w:rsidRDefault="00BA342E" w:rsidP="00BA342E">
      <w:pPr>
        <w:pStyle w:val="QS10"/>
        <w:rPr>
          <w:szCs w:val="20"/>
        </w:rPr>
      </w:pPr>
      <w:r w:rsidRPr="00D320B1">
        <w:rPr>
          <w:i/>
          <w:szCs w:val="20"/>
        </w:rPr>
        <w:t>Id</w:t>
      </w:r>
      <w:r w:rsidRPr="00D320B1">
        <w:rPr>
          <w:szCs w:val="20"/>
        </w:rPr>
        <w:t>.</w:t>
      </w:r>
    </w:p>
    <w:p w:rsidR="00654EF5" w:rsidRPr="00654EF5" w:rsidRDefault="006B2113" w:rsidP="006B2113">
      <w:pPr>
        <w:pStyle w:val="Heading20"/>
        <w:tabs>
          <w:tab w:val="clear" w:pos="2700"/>
        </w:tabs>
        <w:ind w:left="0"/>
        <w:rPr>
          <w:b/>
          <w:vanish/>
          <w:szCs w:val="20"/>
          <w:u w:val="single"/>
          <w:specVanish/>
        </w:rPr>
      </w:pPr>
      <w:bookmarkStart w:id="784" w:name="_Toc94704681"/>
      <w:r>
        <w:rPr>
          <w:b/>
          <w:szCs w:val="20"/>
          <w:u w:val="single"/>
        </w:rPr>
        <w:t>Meaning of Tax Reimbursement Clause</w:t>
      </w:r>
      <w:bookmarkEnd w:id="784"/>
    </w:p>
    <w:p w:rsidR="00C925FF" w:rsidRPr="006B2113" w:rsidRDefault="006B2113" w:rsidP="00654EF5">
      <w:pPr>
        <w:pStyle w:val="Heading2Body"/>
        <w:rPr>
          <w:b/>
          <w:u w:val="single"/>
          <w:lang w:eastAsia="en-US"/>
        </w:rPr>
      </w:pPr>
      <w:r>
        <w:t xml:space="preserve">.  At issue in </w:t>
      </w:r>
      <w:r>
        <w:rPr>
          <w:u w:val="single"/>
        </w:rPr>
        <w:t>Karimipour v. Karimipour (In re Davidson Magnifying Glass Non-Exempt Trust</w:t>
      </w:r>
      <w:r>
        <w:t xml:space="preserve">, </w:t>
      </w:r>
      <w:r w:rsidR="00EB19C7" w:rsidRPr="00EB19C7">
        <w:t>2021 WL 137262</w:t>
      </w:r>
      <w:r>
        <w:t xml:space="preserve"> (Mich. Ct. App. 2021)</w:t>
      </w:r>
      <w:r w:rsidR="00B72BAF">
        <w:t>,</w:t>
      </w:r>
      <w:r>
        <w:t xml:space="preserve"> was whether the tax reimbursement clause in a trust required the trustee to pay out the amount of the </w:t>
      </w:r>
      <w:r w:rsidR="00B72BAF">
        <w:t>“</w:t>
      </w:r>
      <w:r>
        <w:t>unified credits</w:t>
      </w:r>
      <w:r w:rsidR="00B72BAF">
        <w:t>”</w:t>
      </w:r>
      <w:r>
        <w:t xml:space="preserve"> used.  The opinion states:</w:t>
      </w:r>
    </w:p>
    <w:p w:rsidR="001B7A61" w:rsidRPr="001B7A61" w:rsidRDefault="001B7A61" w:rsidP="001B7A61">
      <w:pPr>
        <w:pStyle w:val="QS10"/>
      </w:pPr>
      <w:r w:rsidRPr="001B7A61">
        <w:t>Under Article IV(4)(e) of the trust agreements, if Marla or Ethan “exercises a power of appointment and Transfer Taxes are imposed” as a result of the transfer of trust property, the trustees are required to pay those “Transfer Taxes as provided in the Paragraph entitled Payment of Taxes.” In relevant part, Article X of the trust agreements provides the following:</w:t>
      </w:r>
    </w:p>
    <w:p w:rsidR="001B7A61" w:rsidRPr="001B7A61" w:rsidRDefault="001B7A61" w:rsidP="001B7A61">
      <w:pPr>
        <w:pStyle w:val="QS10"/>
        <w:ind w:left="1872"/>
      </w:pPr>
      <w:r>
        <w:t xml:space="preserve">1. </w:t>
      </w:r>
      <w:r w:rsidRPr="001B7A61">
        <w:rPr>
          <w:u w:val="single"/>
        </w:rPr>
        <w:t>Payment of Taxes</w:t>
      </w:r>
      <w:r w:rsidRPr="001B7A61">
        <w:t>. Following any transfer of Trust Property which results in any Transfer Taxes to the beneficiary of any trust created under this trust instrument, the Trustee shall reimburse such beneficiary or distribute trust property to such beneficiary in accordance with the following:</w:t>
      </w:r>
    </w:p>
    <w:p w:rsidR="001B7A61" w:rsidRDefault="001B7A61" w:rsidP="001B7A61">
      <w:pPr>
        <w:pStyle w:val="QS10"/>
        <w:ind w:left="1872"/>
      </w:pPr>
      <w:r w:rsidRPr="001B7A61">
        <w:t>a. If so directed by the beneficiary or the Personal Representative of the beneficiary's estate, the Trustee shall pay from the remaining property held in a trust for the beneficiary, directly to the appropriate governmental authority, to the beneficiary or to the Personal Representative of the beneficiary's estate, as the Trustee deems advisable, without seeking reimbursement or recovery from any Person, the amount by which the Transfer Taxes payable in any jurisdiction by reason of the transfer are increased.</w:t>
      </w:r>
    </w:p>
    <w:p w:rsidR="006B2113" w:rsidRDefault="006B2113" w:rsidP="001B7A61">
      <w:pPr>
        <w:pStyle w:val="QS10"/>
        <w:ind w:left="1872"/>
        <w:jc w:val="center"/>
        <w:rPr>
          <w:lang w:eastAsia="en-GB"/>
        </w:rPr>
      </w:pPr>
      <w:r>
        <w:rPr>
          <w:lang w:eastAsia="en-GB"/>
        </w:rPr>
        <w:t>* * *</w:t>
      </w:r>
    </w:p>
    <w:p w:rsidR="001B7A61" w:rsidRDefault="001B7A61" w:rsidP="001B7A61">
      <w:pPr>
        <w:pStyle w:val="QS10"/>
      </w:pPr>
      <w:r>
        <w:t xml:space="preserve">"Transfer Taxes" are defined in Article XVI of the trust agreements to "mean[] . . . any gift taxes, including taxes arising pursuant to , and any gift, transfer or other similar succession taxes imposed by any state resulting from a transfer subject to federal gift tax[.]" Although the definition of "Transfer Taxes" includes "any gift taxes," under Article X, paragraph (1)(a) of the trust agreements, the taxes must also be "payable." </w:t>
      </w:r>
    </w:p>
    <w:p w:rsidR="006B2113" w:rsidRDefault="006B2113" w:rsidP="006B2113">
      <w:pPr>
        <w:pStyle w:val="Body15"/>
        <w:rPr>
          <w:lang w:eastAsia="en-GB"/>
        </w:rPr>
      </w:pPr>
      <w:r>
        <w:rPr>
          <w:lang w:eastAsia="en-GB"/>
        </w:rPr>
        <w:t xml:space="preserve">Does gift taxes “payable” mean the total gift tax or the net, after the application of the donor’s </w:t>
      </w:r>
      <w:r w:rsidR="009A46E8">
        <w:rPr>
          <w:lang w:eastAsia="en-GB"/>
        </w:rPr>
        <w:t>unified</w:t>
      </w:r>
      <w:r>
        <w:rPr>
          <w:lang w:eastAsia="en-GB"/>
        </w:rPr>
        <w:t xml:space="preserve"> credit?  The court held that payable means the amounts actually paid:</w:t>
      </w:r>
    </w:p>
    <w:p w:rsidR="001B7A61" w:rsidRDefault="001B7A61" w:rsidP="001B7A61">
      <w:pPr>
        <w:pStyle w:val="QS10"/>
      </w:pPr>
      <w:r>
        <w:t>The sums of money that were required to be paid—and that were actually paid—to the Internal Revenue Service ("IRS") by Marla and Ethan were their respective gift taxes, which were calculated after the application of the unified credits. Marla and Ethan did not actually pay a sum of money with respect to the unified credits because a unified credit is not a tax that must be pa</w:t>
      </w:r>
      <w:r w:rsidRPr="001B7A61">
        <w:t>id to the IRS. See e.g., 26 USC 2505. Rather, as evidenced by the facts of this case, a unified credit is used to calculate the gift taxes that must be paid to the IRS, and the credits function to decrease the amount of money owed to the IRS. A</w:t>
      </w:r>
      <w:r>
        <w:t xml:space="preserve">ccordingly, under the terms of the trust agreements, the amount of gift taxes payable means the amount of gift taxes calculated after the application of the unified credits. Consequently, because the use of the unified credits does not constitute payment of a gift tax, the trustees were not required to reimburse Marla and Ethan for the value of the unified credits. </w:t>
      </w:r>
    </w:p>
    <w:p w:rsidR="006B2113" w:rsidRDefault="006B2113" w:rsidP="006B2113">
      <w:pPr>
        <w:pStyle w:val="Body15"/>
        <w:rPr>
          <w:lang w:eastAsia="en-GB"/>
        </w:rPr>
      </w:pPr>
      <w:r>
        <w:rPr>
          <w:lang w:eastAsia="en-GB"/>
        </w:rPr>
        <w:t xml:space="preserve">Although unusual, the case is a good illustration generally of the importance of carefully drafted tax clauses.  Who </w:t>
      </w:r>
      <w:r w:rsidR="00B72BAF">
        <w:rPr>
          <w:lang w:eastAsia="en-GB"/>
        </w:rPr>
        <w:t xml:space="preserve">ought to </w:t>
      </w:r>
      <w:r>
        <w:rPr>
          <w:lang w:eastAsia="en-GB"/>
        </w:rPr>
        <w:t>benefit from unified credits/exemption/applicable exclusio</w:t>
      </w:r>
      <w:r w:rsidR="00B72BAF">
        <w:rPr>
          <w:lang w:eastAsia="en-GB"/>
        </w:rPr>
        <w:t>n is not obvious in every case.</w:t>
      </w:r>
    </w:p>
    <w:p w:rsidR="00030B48" w:rsidRPr="00030B48" w:rsidRDefault="002769BE" w:rsidP="004242F2">
      <w:pPr>
        <w:pStyle w:val="Heading20"/>
        <w:tabs>
          <w:tab w:val="clear" w:pos="2700"/>
        </w:tabs>
        <w:ind w:left="0"/>
        <w:rPr>
          <w:vanish/>
          <w:lang w:eastAsia="en-GB"/>
          <w:specVanish/>
        </w:rPr>
      </w:pPr>
      <w:bookmarkStart w:id="785" w:name="_Toc94704682"/>
      <w:r w:rsidRPr="002769BE">
        <w:rPr>
          <w:b/>
          <w:szCs w:val="20"/>
          <w:u w:val="single"/>
        </w:rPr>
        <w:t>User Fee For Closing Letter</w:t>
      </w:r>
      <w:bookmarkEnd w:id="785"/>
    </w:p>
    <w:p w:rsidR="002769BE" w:rsidRDefault="002769BE" w:rsidP="00030B48">
      <w:pPr>
        <w:pStyle w:val="Heading2Body"/>
      </w:pPr>
      <w:r w:rsidRPr="002769BE">
        <w:rPr>
          <w:szCs w:val="20"/>
        </w:rPr>
        <w:t xml:space="preserve">.  </w:t>
      </w:r>
      <w:r>
        <w:t>On December 31, 2020 Treasury issued a proposed regulation allowing but requiring an estate to pay $67 to obtain an estate tax closing letter.  REG-114615-16.   In June, 2015 the IRS stopped issuing closing letters automatically, which had been the previous, long-time practice.  Because closing letters were regularly issued, state revenue authorities, probate courts, and others were accustomed to receiving them as evidence that “ almost certainly” — in colloquial language — the IRS exam of the estate was finished and the taxes paid.  With the change the IRS proposed a new system that allowed an estate to request a closing letter or for the taxpayer estate to receive a transcript of the audit.  The procedure never worked very well from the practitioner point of view and got much worse in the spring of 2020 during the pandemic.  Interestingly, the stated rationale for the change was the enormous increase in DSUE/portability returns; in 2016, 12,000 regular estate tax returns but 20,000 DSUE returns.</w:t>
      </w:r>
    </w:p>
    <w:p w:rsidR="002769BE" w:rsidRDefault="002769BE" w:rsidP="002769BE">
      <w:pPr>
        <w:pStyle w:val="Body15"/>
        <w:rPr>
          <w:lang w:eastAsia="en-GB"/>
        </w:rPr>
      </w:pPr>
      <w:r>
        <w:rPr>
          <w:lang w:eastAsia="en-GB"/>
        </w:rPr>
        <w:t>Payment of $67 to restore the former custom is an improvement (unless you are a taxpayer who thinks your taxes are already paying for a closing letter, described by the proposed regs as a “customer service convenience”).  However, the IRS has not simply added the fee as an option on the Form 706 but rather has a different procedure in mind:</w:t>
      </w:r>
    </w:p>
    <w:p w:rsidR="002769BE" w:rsidRDefault="002769BE" w:rsidP="002769BE">
      <w:pPr>
        <w:pStyle w:val="Body15"/>
        <w:rPr>
          <w:lang w:eastAsia="en-GB"/>
        </w:rPr>
      </w:pPr>
      <w:r>
        <w:rPr>
          <w:lang w:eastAsia="en-GB"/>
        </w:rPr>
        <w:t xml:space="preserve">Guidance on the procedure for requesting an estate tax closing letter and paying the associated user fee is not provided in these proposed regulations. The Treasury Department and the IRS expect to implement a procedure that will improve convenience and reduce burden for authorized persons requesting estate tax closing letters by initiating a one-step, web-based procedure to accomplish the request of the estate tax closing letter as well as the payment of the user fee. As presently contemplated, a Federal payment website, such as </w:t>
      </w:r>
      <w:r w:rsidR="004242F2" w:rsidRPr="004242F2">
        <w:rPr>
          <w:lang w:eastAsia="en-GB"/>
        </w:rPr>
        <w:t>http://www.pay.gov</w:t>
      </w:r>
      <w:r>
        <w:rPr>
          <w:lang w:eastAsia="en-GB"/>
        </w:rPr>
        <w:t>,</w:t>
      </w:r>
      <w:r w:rsidR="004242F2">
        <w:rPr>
          <w:lang w:eastAsia="en-GB"/>
        </w:rPr>
        <w:t xml:space="preserve"> </w:t>
      </w:r>
      <w:r>
        <w:rPr>
          <w:lang w:eastAsia="en-GB"/>
        </w:rPr>
        <w:t xml:space="preserve">will be used and multiple requests will not be necessary. The Treasury Department and the IRS believe implementing such a one-step procedure will reduce the current administrative burden on authorized persons in requesting estate tax closing letters and will limit the burden associated with the establishment of a user fee for providing such service. </w:t>
      </w:r>
    </w:p>
    <w:p w:rsidR="002769BE" w:rsidRDefault="002769BE" w:rsidP="002769BE">
      <w:pPr>
        <w:pStyle w:val="Body15"/>
        <w:rPr>
          <w:lang w:eastAsia="en-GB"/>
        </w:rPr>
      </w:pPr>
      <w:r>
        <w:rPr>
          <w:lang w:eastAsia="en-GB"/>
        </w:rPr>
        <w:t xml:space="preserve">The AICPA suggested payment with the 706 in a comment dated February 25, 2021, with a box to check on the 706 and until then the executor handwriting the request at the top of the return.  One hopes such common sense practices are adopted.  </w:t>
      </w:r>
    </w:p>
    <w:p w:rsidR="00D34A3A" w:rsidRPr="00D34A3A" w:rsidRDefault="00D34A3A" w:rsidP="00D34A3A">
      <w:pPr>
        <w:pStyle w:val="Heading20"/>
        <w:tabs>
          <w:tab w:val="clear" w:pos="2700"/>
        </w:tabs>
        <w:ind w:left="0"/>
        <w:rPr>
          <w:b/>
          <w:vanish/>
          <w:szCs w:val="20"/>
          <w:u w:val="single"/>
          <w:specVanish/>
        </w:rPr>
      </w:pPr>
      <w:bookmarkStart w:id="786" w:name="_Toc94704683"/>
      <w:r>
        <w:rPr>
          <w:b/>
          <w:szCs w:val="20"/>
          <w:u w:val="single"/>
        </w:rPr>
        <w:t>CBO Publication, Understanding Federal Estate and Gift Taxes</w:t>
      </w:r>
      <w:bookmarkEnd w:id="786"/>
    </w:p>
    <w:p w:rsidR="00D34A3A" w:rsidRPr="00D34A3A" w:rsidRDefault="00D34A3A" w:rsidP="00D34A3A">
      <w:pPr>
        <w:pStyle w:val="Heading2Body"/>
        <w:rPr>
          <w:b/>
          <w:u w:val="single"/>
          <w:lang w:eastAsia="en-US"/>
        </w:rPr>
      </w:pPr>
      <w:r>
        <w:t xml:space="preserve">.  The Congressional Budget Office has published </w:t>
      </w:r>
      <w:r>
        <w:rPr>
          <w:u w:val="single"/>
        </w:rPr>
        <w:t>Understanding Federal Estate and Gift Taxes</w:t>
      </w:r>
      <w:r>
        <w:t xml:space="preserve"> (June 2021) which contains interesting data, including:</w:t>
      </w:r>
    </w:p>
    <w:p w:rsidR="00F7650C" w:rsidRDefault="00F7650C" w:rsidP="00F7650C">
      <w:pPr>
        <w:pStyle w:val="QS10"/>
        <w:rPr>
          <w:bCs/>
          <w:szCs w:val="36"/>
        </w:rPr>
      </w:pPr>
      <w:r>
        <w:t>Who Pays Estate and Gift Taxes?</w:t>
      </w:r>
    </w:p>
    <w:p w:rsidR="00F7650C" w:rsidRDefault="00F7650C" w:rsidP="00F7650C">
      <w:pPr>
        <w:pStyle w:val="QS10"/>
      </w:pPr>
      <w:r>
        <w:t>Relatively few people pay estate and gift taxes. Among the 2.7 million decedents in 2016, about 13,000 estates were required to file a return—and of those, 5,500 estates owed taxes. CBO projects that the number of taxable estates will drop to 2,800 among 2021 decedents because of the higher exemption allowed by the 2017 tax act. In terms of gift taxes, about 236,000 gift tax returns were filed in 2018, but only 2,000 of those owed the tax. People who do not pay estate taxes may still be affected by them; that group includes heirs and people who engage in estate planning (the process of managing and allocating assets while a person is still alive) to avoid or lessen the tax.</w:t>
      </w:r>
    </w:p>
    <w:p w:rsidR="00F7650C" w:rsidRDefault="00F7650C" w:rsidP="00F7650C">
      <w:pPr>
        <w:pStyle w:val="QS10"/>
      </w:pPr>
      <w:r>
        <w:t>People Who Pay Estate and Gift Taxes</w:t>
      </w:r>
    </w:p>
    <w:p w:rsidR="00F7650C" w:rsidRDefault="00F7650C" w:rsidP="00F7650C">
      <w:pPr>
        <w:pStyle w:val="QS10"/>
      </w:pPr>
      <w:r>
        <w:t>Widowed decedents and people age 80 or older accounted for the majority of taxable returns filed and estate taxes paid among decedents in 2016.</w:t>
      </w:r>
      <w:hyperlink r:id="rId372" w:anchor="footnote-021" w:history="1">
        <w:r>
          <w:rPr>
            <w:rStyle w:val="Hyperlink"/>
            <w:rFonts w:ascii="Helvetica" w:hAnsi="Helvetica"/>
            <w:color w:val="0B59AD"/>
            <w:szCs w:val="20"/>
            <w:vertAlign w:val="superscript"/>
          </w:rPr>
          <w:t>9</w:t>
        </w:r>
      </w:hyperlink>
      <w:r>
        <w:t> Most estates that filed an estate tax return in that year belonged to widowed decedents who were 80 or older.</w:t>
      </w:r>
    </w:p>
    <w:p w:rsidR="00F7650C" w:rsidRDefault="00F7650C" w:rsidP="00F7650C">
      <w:pPr>
        <w:pStyle w:val="QS10"/>
        <w:numPr>
          <w:ilvl w:val="0"/>
          <w:numId w:val="47"/>
        </w:numPr>
      </w:pPr>
      <w:r>
        <w:t>About 64 percent of taxable returns were filed by the estates of widowed decedents, and those returns accounted for 54 percent of estate tax revenues.</w:t>
      </w:r>
    </w:p>
    <w:p w:rsidR="00F7650C" w:rsidRDefault="00F7650C" w:rsidP="00F7650C">
      <w:pPr>
        <w:pStyle w:val="QS10"/>
        <w:numPr>
          <w:ilvl w:val="0"/>
          <w:numId w:val="47"/>
        </w:numPr>
      </w:pPr>
      <w:r>
        <w:t>About 78 percent of taxable returns were filed by the estates of decedents age 80 or older, and those returns accounted for 80 percent of estate tax revenues.</w:t>
      </w:r>
    </w:p>
    <w:p w:rsidR="00F7650C" w:rsidRDefault="00F7650C" w:rsidP="00F7650C">
      <w:pPr>
        <w:pStyle w:val="QS10"/>
      </w:pPr>
      <w:r>
        <w:t>In addition, most taxable returns were filed by relatively small estates, even though most estate tax revenues came from the largest estates.</w:t>
      </w:r>
    </w:p>
    <w:p w:rsidR="00F7650C" w:rsidRDefault="00F7650C" w:rsidP="00F7650C">
      <w:pPr>
        <w:pStyle w:val="QS10"/>
        <w:numPr>
          <w:ilvl w:val="0"/>
          <w:numId w:val="48"/>
        </w:numPr>
      </w:pPr>
      <w:r>
        <w:t>In 2016, estates with a gross value of $10 million or less accounted for 57 percent of taxable returns but only 11 percent of estate tax revenues.</w:t>
      </w:r>
    </w:p>
    <w:p w:rsidR="00F7650C" w:rsidRDefault="00F7650C" w:rsidP="00F7650C">
      <w:pPr>
        <w:pStyle w:val="QS10"/>
        <w:numPr>
          <w:ilvl w:val="0"/>
          <w:numId w:val="48"/>
        </w:numPr>
      </w:pPr>
      <w:r>
        <w:t>Estates with a gross value of $50 million or more filed 5 percent of taxable returns but accounted for 46 percent of estate tax revenues.</w:t>
      </w:r>
    </w:p>
    <w:p w:rsidR="00F7650C" w:rsidRDefault="00F7650C" w:rsidP="00F7650C">
      <w:pPr>
        <w:pStyle w:val="QS10"/>
      </w:pPr>
      <w:r>
        <w:t>In 2018, 22 percent of taxable gifts were at least $1 million, and they accounted for 86 percent of gift tax revenues. Typically, filers must apply their estate tax exemption to the gift tax, which reduces their gift tax liability. The estate tax exemption available when those filers die, however, will be reduced by the amounts previously applied to the gift tax while they were alive.</w:t>
      </w:r>
    </w:p>
    <w:p w:rsidR="00F7650C" w:rsidRDefault="00F7650C" w:rsidP="00F7650C">
      <w:pPr>
        <w:pStyle w:val="QS10"/>
      </w:pPr>
      <w:r>
        <w:t>Other Affected People</w:t>
      </w:r>
    </w:p>
    <w:p w:rsidR="00F7650C" w:rsidRDefault="00F7650C" w:rsidP="00F7650C">
      <w:pPr>
        <w:pStyle w:val="QS10"/>
      </w:pPr>
      <w:r>
        <w:t>The estate tax affects people who do not pay it directly, such as heirs. Some people engage in estate planning to avoid paying the tax (or to reduce the amount that they owe), which may result in ownership arrangements for their assets that they would otherwise not choose. For example, people might transfer assets through a trust to their heirs earlier than they had intended so as to remove those assets from their estate.</w:t>
      </w:r>
      <w:hyperlink r:id="rId373" w:anchor="footnote-020" w:history="1">
        <w:r>
          <w:rPr>
            <w:rStyle w:val="Hyperlink"/>
            <w:rFonts w:ascii="Helvetica" w:hAnsi="Helvetica"/>
            <w:color w:val="0B59AD"/>
            <w:szCs w:val="20"/>
            <w:vertAlign w:val="superscript"/>
          </w:rPr>
          <w:t>10</w:t>
        </w:r>
      </w:hyperlink>
      <w:r>
        <w:t> Although the decedent’s estate is responsible for paying estate taxes, the tax reduces the amount that heirs may receive.</w:t>
      </w:r>
      <w:hyperlink r:id="rId374" w:anchor="footnote-019" w:history="1">
        <w:r>
          <w:rPr>
            <w:rStyle w:val="Hyperlink"/>
            <w:rFonts w:ascii="Helvetica" w:hAnsi="Helvetica"/>
            <w:color w:val="0B59AD"/>
            <w:szCs w:val="20"/>
            <w:vertAlign w:val="superscript"/>
          </w:rPr>
          <w:t>11</w:t>
        </w:r>
      </w:hyperlink>
    </w:p>
    <w:p w:rsidR="00F7650C" w:rsidRDefault="00F7650C" w:rsidP="00F7650C">
      <w:pPr>
        <w:pStyle w:val="QS10"/>
      </w:pPr>
      <w:r>
        <w:t>Heirs tend to have relatively high income. Families that received an inheritance in 2019—about 3 percent of all families according to the 2019 Survey of Consumer Finances—typically had a higher median income than other families ($92,000 compared with $58,000).</w:t>
      </w:r>
      <w:hyperlink r:id="rId375" w:anchor="footnote-018" w:history="1">
        <w:r>
          <w:rPr>
            <w:rStyle w:val="Hyperlink"/>
            <w:rFonts w:ascii="Helvetica" w:hAnsi="Helvetica"/>
            <w:color w:val="0B59AD"/>
            <w:szCs w:val="20"/>
            <w:vertAlign w:val="superscript"/>
          </w:rPr>
          <w:t>12</w:t>
        </w:r>
      </w:hyperlink>
      <w:r>
        <w:t> About half of the heirs were between the ages of 55 and 75, and most received inheritances from their parents. Those inheritances did not necessarily come from a taxable estate. The median inheritance was $50,000, and the average inheritance was $186,000 (because of a relatively small number of large inheritances).</w:t>
      </w:r>
    </w:p>
    <w:p w:rsidR="00F7650C" w:rsidRDefault="00F7650C" w:rsidP="00F7650C">
      <w:pPr>
        <w:pStyle w:val="QS10"/>
      </w:pPr>
      <w:r>
        <w:t>Do Estate and Gift Taxes Affect Saving?</w:t>
      </w:r>
    </w:p>
    <w:p w:rsidR="00F7650C" w:rsidRDefault="00F7650C" w:rsidP="00F7650C">
      <w:pPr>
        <w:pStyle w:val="QS10"/>
      </w:pPr>
      <w:r>
        <w:t>Because the estate tax is imposed on the transfer of assets, it in effect taxes people’s savings. The amount of estate tax that people pay varies—even among people with similar resources—depending on what they choose to do with their money. For instance, the tax on an estate left by someone who saves more will be higher than the tax on an estate left by someone who spends more. As a result, the estate tax could encourage people to save and invest less by making it more expensive for them to leave money to their heirs. Overall, however, the empirical evidence on the effect of the estate tax on saving is inconclusive.</w:t>
      </w:r>
      <w:hyperlink r:id="rId376" w:anchor="footnote-017" w:history="1">
        <w:r>
          <w:rPr>
            <w:rStyle w:val="Hyperlink"/>
            <w:rFonts w:ascii="Helvetica" w:hAnsi="Helvetica"/>
            <w:color w:val="0B59AD"/>
            <w:szCs w:val="20"/>
            <w:vertAlign w:val="superscript"/>
          </w:rPr>
          <w:t>13</w:t>
        </w:r>
      </w:hyperlink>
    </w:p>
    <w:p w:rsidR="00F7650C" w:rsidRDefault="00F7650C" w:rsidP="00F7650C">
      <w:pPr>
        <w:pStyle w:val="QS10"/>
      </w:pPr>
      <w:r>
        <w:t>The lack of consensus about the overall effect of the estate tax on saving stems from several factors. The smaller inheritances left to heirs because of the estate tax might induce people, or their heirs, to save more. Alternatively, estate taxes would have little effect on the saving behavior of people who do not intend to leave an inheritance. Another consideration is the way capital gains taxes apply to the value of inherited ass</w:t>
      </w:r>
      <w:r w:rsidRPr="00F7650C">
        <w:t>ets (see Box 1). Beca</w:t>
      </w:r>
      <w:r>
        <w:t>use of the step up in basis—upon inheritance, the cost basis of an asset is increased to its fair-market value—any appreciation in value while the decedent held the asset is not subject to capital gains taxes, which could motivate people to save more.</w:t>
      </w:r>
    </w:p>
    <w:p w:rsidR="00485DB9" w:rsidRPr="00454670" w:rsidRDefault="00856D6A" w:rsidP="00061318">
      <w:pPr>
        <w:pStyle w:val="Heading1"/>
        <w:keepNext w:val="0"/>
        <w:rPr>
          <w:color w:val="000000"/>
        </w:rPr>
      </w:pPr>
      <w:bookmarkStart w:id="787" w:name="_Toc94704684"/>
      <w:r w:rsidRPr="00454670">
        <w:rPr>
          <w:color w:val="000000"/>
        </w:rPr>
        <w:t>MISCELLANEOUS</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5"/>
      <w:bookmarkEnd w:id="776"/>
      <w:bookmarkEnd w:id="777"/>
      <w:bookmarkEnd w:id="778"/>
      <w:bookmarkEnd w:id="787"/>
    </w:p>
    <w:p w:rsidR="000451FC" w:rsidRPr="00454670" w:rsidRDefault="000451FC" w:rsidP="007E738C">
      <w:pPr>
        <w:pStyle w:val="TitlePart"/>
        <w:rPr>
          <w:vanish/>
          <w:specVanish/>
        </w:rPr>
      </w:pPr>
      <w:bookmarkStart w:id="788" w:name="_Toc376947658"/>
      <w:bookmarkStart w:id="789" w:name="_Toc376948452"/>
      <w:bookmarkStart w:id="790" w:name="_Toc376949246"/>
      <w:bookmarkStart w:id="791" w:name="_Toc94704685"/>
      <w:r w:rsidRPr="00454670">
        <w:t>PART</w:t>
      </w:r>
      <w:r w:rsidR="00C64050">
        <w:t xml:space="preserve"> </w:t>
      </w:r>
      <w:r w:rsidR="00D320B1">
        <w:t>4</w:t>
      </w:r>
      <w:r w:rsidR="00C64050">
        <w:t xml:space="preserve"> </w:t>
      </w:r>
      <w:r w:rsidRPr="00454670">
        <w:t>–</w:t>
      </w:r>
      <w:r w:rsidR="00C64050">
        <w:t xml:space="preserve"> </w:t>
      </w:r>
      <w:r w:rsidRPr="00454670">
        <w:t>STATE</w:t>
      </w:r>
      <w:r w:rsidR="00C64050">
        <w:t xml:space="preserve"> </w:t>
      </w:r>
      <w:r w:rsidRPr="00454670">
        <w:t>DEVELOPMENTS</w:t>
      </w:r>
      <w:bookmarkEnd w:id="788"/>
      <w:bookmarkEnd w:id="789"/>
      <w:bookmarkEnd w:id="790"/>
      <w:bookmarkEnd w:id="791"/>
    </w:p>
    <w:p w:rsidR="0023196F" w:rsidRDefault="0023196F" w:rsidP="000451FC">
      <w:pPr>
        <w:pStyle w:val="TitleBCU"/>
        <w:rPr>
          <w:szCs w:val="20"/>
        </w:rPr>
      </w:pPr>
    </w:p>
    <w:p w:rsidR="000A2816" w:rsidRDefault="000A2816" w:rsidP="0023196F">
      <w:pPr>
        <w:pStyle w:val="Heading1"/>
      </w:pPr>
      <w:bookmarkStart w:id="792" w:name="_Toc376946811"/>
      <w:bookmarkStart w:id="793" w:name="_Toc376947659"/>
      <w:bookmarkStart w:id="794" w:name="_Toc376948453"/>
      <w:bookmarkStart w:id="795" w:name="_Toc376949247"/>
      <w:bookmarkStart w:id="796" w:name="_Toc94704686"/>
      <w:r w:rsidRPr="00454670">
        <w:t>STATE</w:t>
      </w:r>
      <w:r w:rsidR="00C64050">
        <w:t xml:space="preserve"> </w:t>
      </w:r>
      <w:r w:rsidRPr="00454670">
        <w:t>DEVELOPMENTS</w:t>
      </w:r>
      <w:bookmarkEnd w:id="792"/>
      <w:bookmarkEnd w:id="793"/>
      <w:bookmarkEnd w:id="794"/>
      <w:bookmarkEnd w:id="795"/>
      <w:bookmarkEnd w:id="796"/>
    </w:p>
    <w:p w:rsidR="007109AE" w:rsidRPr="007109AE" w:rsidRDefault="007109AE" w:rsidP="00B66CCE">
      <w:pPr>
        <w:pStyle w:val="Heading20"/>
        <w:numPr>
          <w:ilvl w:val="1"/>
          <w:numId w:val="33"/>
        </w:numPr>
        <w:tabs>
          <w:tab w:val="clear" w:pos="2700"/>
        </w:tabs>
        <w:ind w:left="0"/>
        <w:rPr>
          <w:vanish/>
          <w:specVanish/>
        </w:rPr>
      </w:pPr>
      <w:bookmarkStart w:id="797" w:name="_Toc94704687"/>
      <w:r>
        <w:rPr>
          <w:b/>
          <w:u w:val="single"/>
        </w:rPr>
        <w:t>Child</w:t>
      </w:r>
      <w:r w:rsidR="00C64050">
        <w:rPr>
          <w:b/>
          <w:u w:val="single"/>
        </w:rPr>
        <w:t xml:space="preserve"> </w:t>
      </w:r>
      <w:r>
        <w:rPr>
          <w:b/>
          <w:u w:val="single"/>
        </w:rPr>
        <w:t>Support</w:t>
      </w:r>
      <w:r w:rsidR="00C64050">
        <w:rPr>
          <w:b/>
          <w:u w:val="single"/>
        </w:rPr>
        <w:t xml:space="preserve"> </w:t>
      </w:r>
      <w:r>
        <w:rPr>
          <w:b/>
          <w:u w:val="single"/>
        </w:rPr>
        <w:t>vs.</w:t>
      </w:r>
      <w:r w:rsidR="00C64050">
        <w:rPr>
          <w:b/>
          <w:u w:val="single"/>
        </w:rPr>
        <w:t xml:space="preserve"> </w:t>
      </w:r>
      <w:r>
        <w:rPr>
          <w:b/>
          <w:u w:val="single"/>
        </w:rPr>
        <w:t>Special</w:t>
      </w:r>
      <w:r w:rsidR="00C64050">
        <w:rPr>
          <w:b/>
          <w:u w:val="single"/>
        </w:rPr>
        <w:t xml:space="preserve"> </w:t>
      </w:r>
      <w:r>
        <w:rPr>
          <w:b/>
          <w:u w:val="single"/>
        </w:rPr>
        <w:t>Needs</w:t>
      </w:r>
      <w:bookmarkEnd w:id="797"/>
    </w:p>
    <w:p w:rsidR="00135BCE" w:rsidRPr="007109AE" w:rsidRDefault="007109AE" w:rsidP="007109AE">
      <w:pPr>
        <w:pStyle w:val="Heading2Body"/>
      </w:pPr>
      <w:r>
        <w:t>.</w:t>
      </w:r>
      <w:r w:rsidR="00C64050">
        <w:t xml:space="preserve">  </w:t>
      </w:r>
      <w:r>
        <w:rPr>
          <w:u w:val="single"/>
        </w:rPr>
        <w:t>Alexander</w:t>
      </w:r>
      <w:r w:rsidR="00C64050">
        <w:rPr>
          <w:u w:val="single"/>
        </w:rPr>
        <w:t xml:space="preserve"> </w:t>
      </w:r>
      <w:r>
        <w:rPr>
          <w:u w:val="single"/>
        </w:rPr>
        <w:t>v.</w:t>
      </w:r>
      <w:r w:rsidR="00C64050">
        <w:rPr>
          <w:u w:val="single"/>
        </w:rPr>
        <w:t xml:space="preserve"> </w:t>
      </w:r>
      <w:r>
        <w:rPr>
          <w:u w:val="single"/>
        </w:rPr>
        <w:t>Harris</w:t>
      </w:r>
      <w:r>
        <w:t>,</w:t>
      </w:r>
      <w:r w:rsidR="00C64050">
        <w:t xml:space="preserve"> </w:t>
      </w:r>
      <w:r w:rsidR="00B456EB">
        <w:t>2019</w:t>
      </w:r>
      <w:r w:rsidR="00C64050">
        <w:t xml:space="preserve"> </w:t>
      </w:r>
      <w:r w:rsidR="00B456EB">
        <w:t>WL</w:t>
      </w:r>
      <w:r w:rsidR="00C64050">
        <w:t xml:space="preserve"> </w:t>
      </w:r>
      <w:r w:rsidR="00B456EB">
        <w:t>2147281</w:t>
      </w:r>
      <w:r w:rsidR="00C64050">
        <w:t xml:space="preserve"> </w:t>
      </w:r>
      <w:r>
        <w:t>(Fl.</w:t>
      </w:r>
      <w:r w:rsidR="00C64050">
        <w:t xml:space="preserve"> </w:t>
      </w:r>
      <w:r>
        <w:t>App.</w:t>
      </w:r>
      <w:r w:rsidR="00C64050">
        <w:t xml:space="preserve"> </w:t>
      </w:r>
      <w:r>
        <w:t>2019)</w:t>
      </w:r>
      <w:r w:rsidR="00C64050">
        <w:t xml:space="preserve"> </w:t>
      </w:r>
      <w:r>
        <w:t>dealt</w:t>
      </w:r>
      <w:r w:rsidR="00C64050">
        <w:t xml:space="preserve"> </w:t>
      </w:r>
      <w:r>
        <w:t>with</w:t>
      </w:r>
      <w:r w:rsidR="00C64050">
        <w:t xml:space="preserve"> </w:t>
      </w:r>
      <w:r>
        <w:t>a</w:t>
      </w:r>
      <w:r w:rsidR="00C64050">
        <w:t xml:space="preserve"> </w:t>
      </w:r>
      <w:r>
        <w:t>fascinating</w:t>
      </w:r>
      <w:r w:rsidR="00C64050">
        <w:t xml:space="preserve"> </w:t>
      </w:r>
      <w:r>
        <w:t>policy</w:t>
      </w:r>
      <w:r w:rsidR="00C64050">
        <w:t xml:space="preserve"> </w:t>
      </w:r>
      <w:r>
        <w:t>issue.</w:t>
      </w:r>
      <w:r w:rsidR="00C64050">
        <w:t xml:space="preserve">  </w:t>
      </w:r>
      <w:r>
        <w:t>A</w:t>
      </w:r>
      <w:r w:rsidR="00C64050">
        <w:t xml:space="preserve"> </w:t>
      </w:r>
      <w:r>
        <w:t>father</w:t>
      </w:r>
      <w:r w:rsidR="00C64050">
        <w:t xml:space="preserve"> </w:t>
      </w:r>
      <w:r>
        <w:t>was</w:t>
      </w:r>
      <w:r w:rsidR="00C64050">
        <w:t xml:space="preserve"> </w:t>
      </w:r>
      <w:r>
        <w:t>the</w:t>
      </w:r>
      <w:r w:rsidR="00C64050">
        <w:t xml:space="preserve"> </w:t>
      </w:r>
      <w:r>
        <w:t>beneficiary</w:t>
      </w:r>
      <w:r w:rsidR="00C64050">
        <w:t xml:space="preserve"> </w:t>
      </w:r>
      <w:r>
        <w:t>of</w:t>
      </w:r>
      <w:r w:rsidR="00C64050">
        <w:t xml:space="preserve"> </w:t>
      </w:r>
      <w:r>
        <w:t>a</w:t>
      </w:r>
      <w:r w:rsidR="00C64050">
        <w:t xml:space="preserve"> </w:t>
      </w:r>
      <w:r>
        <w:t>special</w:t>
      </w:r>
      <w:r w:rsidR="00C64050">
        <w:t xml:space="preserve"> </w:t>
      </w:r>
      <w:r>
        <w:t>needs</w:t>
      </w:r>
      <w:r w:rsidR="00C64050">
        <w:t xml:space="preserve"> </w:t>
      </w:r>
      <w:r>
        <w:t>trust</w:t>
      </w:r>
      <w:r w:rsidR="00C64050">
        <w:t xml:space="preserve"> </w:t>
      </w:r>
      <w:r>
        <w:t>established</w:t>
      </w:r>
      <w:r w:rsidR="00C64050">
        <w:t xml:space="preserve"> </w:t>
      </w:r>
      <w:r>
        <w:t>when</w:t>
      </w:r>
      <w:r w:rsidR="00C64050">
        <w:t xml:space="preserve"> </w:t>
      </w:r>
      <w:r>
        <w:t>he</w:t>
      </w:r>
      <w:r w:rsidR="00C64050">
        <w:t xml:space="preserve"> </w:t>
      </w:r>
      <w:r>
        <w:t>was</w:t>
      </w:r>
      <w:r w:rsidR="00C64050">
        <w:t xml:space="preserve"> </w:t>
      </w:r>
      <w:r>
        <w:t>injured</w:t>
      </w:r>
      <w:r w:rsidR="00C64050">
        <w:t xml:space="preserve"> </w:t>
      </w:r>
      <w:r>
        <w:t>in</w:t>
      </w:r>
      <w:r w:rsidR="00C64050">
        <w:t xml:space="preserve"> </w:t>
      </w:r>
      <w:r>
        <w:t>a</w:t>
      </w:r>
      <w:r w:rsidR="00C64050">
        <w:t xml:space="preserve"> </w:t>
      </w:r>
      <w:r>
        <w:t>car</w:t>
      </w:r>
      <w:r w:rsidR="00C64050">
        <w:t xml:space="preserve"> </w:t>
      </w:r>
      <w:r>
        <w:t>acci</w:t>
      </w:r>
      <w:r w:rsidR="00D5161E">
        <w:t>dent.</w:t>
      </w:r>
      <w:r w:rsidR="00C64050">
        <w:t xml:space="preserve">  </w:t>
      </w:r>
      <w:r w:rsidR="00D5161E">
        <w:t>He</w:t>
      </w:r>
      <w:r w:rsidR="00C64050">
        <w:t xml:space="preserve"> </w:t>
      </w:r>
      <w:r w:rsidR="00D5161E">
        <w:t>owed</w:t>
      </w:r>
      <w:r w:rsidR="00C64050">
        <w:t xml:space="preserve"> </w:t>
      </w:r>
      <w:r w:rsidR="00D5161E">
        <w:t>about</w:t>
      </w:r>
      <w:r w:rsidR="00C64050">
        <w:t xml:space="preserve"> </w:t>
      </w:r>
      <w:r w:rsidR="00D5161E">
        <w:t>$92,000</w:t>
      </w:r>
      <w:r w:rsidR="00C64050">
        <w:t xml:space="preserve"> </w:t>
      </w:r>
      <w:r w:rsidR="00D5161E">
        <w:t>in</w:t>
      </w:r>
      <w:r w:rsidR="00C64050">
        <w:t xml:space="preserve"> </w:t>
      </w:r>
      <w:r>
        <w:t>child</w:t>
      </w:r>
      <w:r w:rsidR="00C64050">
        <w:t xml:space="preserve"> </w:t>
      </w:r>
      <w:r>
        <w:t>support.</w:t>
      </w:r>
      <w:r w:rsidR="00C64050">
        <w:t xml:space="preserve">  </w:t>
      </w:r>
      <w:r>
        <w:t>The</w:t>
      </w:r>
      <w:r w:rsidR="00C64050">
        <w:t xml:space="preserve"> </w:t>
      </w:r>
      <w:r>
        <w:t>special</w:t>
      </w:r>
      <w:r w:rsidR="00C64050">
        <w:t xml:space="preserve"> </w:t>
      </w:r>
      <w:r>
        <w:t>needs</w:t>
      </w:r>
      <w:r w:rsidR="00C64050">
        <w:t xml:space="preserve"> </w:t>
      </w:r>
      <w:r>
        <w:t>trust</w:t>
      </w:r>
      <w:r w:rsidR="00C64050">
        <w:t xml:space="preserve"> </w:t>
      </w:r>
      <w:r>
        <w:t>received</w:t>
      </w:r>
      <w:r w:rsidR="00C64050">
        <w:t xml:space="preserve"> </w:t>
      </w:r>
      <w:r>
        <w:t>more</w:t>
      </w:r>
      <w:r w:rsidR="00C64050">
        <w:t xml:space="preserve"> </w:t>
      </w:r>
      <w:r>
        <w:t>monthly</w:t>
      </w:r>
      <w:r w:rsidR="00C64050">
        <w:t xml:space="preserve"> </w:t>
      </w:r>
      <w:r>
        <w:t>than</w:t>
      </w:r>
      <w:r w:rsidR="00C64050">
        <w:t xml:space="preserve"> </w:t>
      </w:r>
      <w:r>
        <w:t>the</w:t>
      </w:r>
      <w:r w:rsidR="00C64050">
        <w:t xml:space="preserve"> </w:t>
      </w:r>
      <w:r>
        <w:t>father’s</w:t>
      </w:r>
      <w:r w:rsidR="00C64050">
        <w:t xml:space="preserve"> </w:t>
      </w:r>
      <w:r>
        <w:t>expenses</w:t>
      </w:r>
      <w:r w:rsidR="00C64050">
        <w:t xml:space="preserve"> </w:t>
      </w:r>
      <w:r>
        <w:t>and</w:t>
      </w:r>
      <w:r w:rsidR="00C64050">
        <w:t xml:space="preserve"> </w:t>
      </w:r>
      <w:r>
        <w:t>thus</w:t>
      </w:r>
      <w:r w:rsidR="00C64050">
        <w:t xml:space="preserve"> </w:t>
      </w:r>
      <w:r>
        <w:t>had</w:t>
      </w:r>
      <w:r w:rsidR="00C64050">
        <w:t xml:space="preserve"> </w:t>
      </w:r>
      <w:r>
        <w:t>accumulated</w:t>
      </w:r>
      <w:r w:rsidR="00C64050">
        <w:t xml:space="preserve"> </w:t>
      </w:r>
      <w:r>
        <w:t>about</w:t>
      </w:r>
      <w:r w:rsidR="00C64050">
        <w:t xml:space="preserve"> </w:t>
      </w:r>
      <w:r>
        <w:t>$142,000.</w:t>
      </w:r>
      <w:r w:rsidR="00C64050">
        <w:t xml:space="preserve">  </w:t>
      </w:r>
      <w:r>
        <w:t>Could</w:t>
      </w:r>
      <w:r w:rsidR="00C64050">
        <w:t xml:space="preserve"> </w:t>
      </w:r>
      <w:r>
        <w:t>the</w:t>
      </w:r>
      <w:r w:rsidR="00C64050">
        <w:t xml:space="preserve"> </w:t>
      </w:r>
      <w:r>
        <w:t>$92,000</w:t>
      </w:r>
      <w:r w:rsidR="00C64050">
        <w:t xml:space="preserve"> </w:t>
      </w:r>
      <w:r>
        <w:t>be</w:t>
      </w:r>
      <w:r w:rsidR="00C64050">
        <w:t xml:space="preserve"> </w:t>
      </w:r>
      <w:r>
        <w:t>paid</w:t>
      </w:r>
      <w:r w:rsidR="00C64050">
        <w:t xml:space="preserve"> </w:t>
      </w:r>
      <w:r>
        <w:t>from</w:t>
      </w:r>
      <w:r w:rsidR="00C64050">
        <w:t xml:space="preserve"> </w:t>
      </w:r>
      <w:r>
        <w:t>the</w:t>
      </w:r>
      <w:r w:rsidR="00C64050">
        <w:t xml:space="preserve"> </w:t>
      </w:r>
      <w:r>
        <w:t>trust.</w:t>
      </w:r>
      <w:r w:rsidR="00C64050">
        <w:t xml:space="preserve">  </w:t>
      </w:r>
      <w:r>
        <w:t>The</w:t>
      </w:r>
      <w:r w:rsidR="00C64050">
        <w:t xml:space="preserve"> </w:t>
      </w:r>
      <w:r>
        <w:t>court</w:t>
      </w:r>
      <w:r w:rsidR="00C64050">
        <w:t xml:space="preserve"> </w:t>
      </w:r>
      <w:r>
        <w:t>held</w:t>
      </w:r>
      <w:r w:rsidR="00C64050">
        <w:t xml:space="preserve"> </w:t>
      </w:r>
      <w:r>
        <w:t>yes</w:t>
      </w:r>
      <w:r w:rsidR="00C64050">
        <w:t xml:space="preserve"> </w:t>
      </w:r>
      <w:r>
        <w:t>stating:</w:t>
      </w:r>
    </w:p>
    <w:p w:rsidR="00D5161E" w:rsidRDefault="00D5161E" w:rsidP="00D5161E">
      <w:pPr>
        <w:pStyle w:val="QS10"/>
      </w:pPr>
      <w:r>
        <w:t>The</w:t>
      </w:r>
      <w:r w:rsidR="00C64050">
        <w:t xml:space="preserve"> </w:t>
      </w:r>
      <w:r>
        <w:t>father</w:t>
      </w:r>
      <w:r w:rsidR="00C64050">
        <w:t xml:space="preserve"> </w:t>
      </w:r>
      <w:r>
        <w:t>argues</w:t>
      </w:r>
      <w:r w:rsidR="00C64050">
        <w:t xml:space="preserve"> </w:t>
      </w:r>
      <w:r>
        <w:t>that</w:t>
      </w:r>
      <w:r w:rsidR="00C64050">
        <w:t xml:space="preserve"> </w:t>
      </w:r>
      <w:r>
        <w:t>using</w:t>
      </w:r>
      <w:r w:rsidR="00C64050">
        <w:t xml:space="preserve"> </w:t>
      </w:r>
      <w:r>
        <w:t>the</w:t>
      </w:r>
      <w:r w:rsidR="00C64050">
        <w:t xml:space="preserve"> </w:t>
      </w:r>
      <w:r>
        <w:t>trust's</w:t>
      </w:r>
      <w:r w:rsidR="00C64050">
        <w:t xml:space="preserve"> </w:t>
      </w:r>
      <w:r>
        <w:t>funds</w:t>
      </w:r>
      <w:r w:rsidR="00C64050">
        <w:t xml:space="preserve"> </w:t>
      </w:r>
      <w:r>
        <w:t>to</w:t>
      </w:r>
      <w:r w:rsidR="00C64050">
        <w:t xml:space="preserve"> </w:t>
      </w:r>
      <w:r>
        <w:t>satisfy</w:t>
      </w:r>
      <w:r w:rsidR="00C64050">
        <w:t xml:space="preserve"> </w:t>
      </w:r>
      <w:r>
        <w:t>his</w:t>
      </w:r>
      <w:r w:rsidR="00C64050">
        <w:t xml:space="preserve"> </w:t>
      </w:r>
      <w:r>
        <w:t>support</w:t>
      </w:r>
      <w:r w:rsidR="00C64050">
        <w:t xml:space="preserve"> </w:t>
      </w:r>
      <w:r>
        <w:t>obligations</w:t>
      </w:r>
      <w:r w:rsidR="00C64050">
        <w:t xml:space="preserve"> </w:t>
      </w:r>
      <w:r>
        <w:t>would</w:t>
      </w:r>
      <w:r w:rsidR="00C64050">
        <w:t xml:space="preserve"> </w:t>
      </w:r>
      <w:r>
        <w:t>jeopardize</w:t>
      </w:r>
      <w:r w:rsidR="00C64050">
        <w:t xml:space="preserve"> </w:t>
      </w:r>
      <w:r>
        <w:t>his</w:t>
      </w:r>
      <w:r w:rsidR="00C64050">
        <w:t xml:space="preserve"> </w:t>
      </w:r>
      <w:r>
        <w:t>eligibility</w:t>
      </w:r>
      <w:r w:rsidR="00C64050">
        <w:t xml:space="preserve"> </w:t>
      </w:r>
      <w:r>
        <w:t>for</w:t>
      </w:r>
      <w:r w:rsidR="00C64050">
        <w:t xml:space="preserve"> </w:t>
      </w:r>
      <w:r>
        <w:t>public</w:t>
      </w:r>
      <w:r w:rsidR="00C64050">
        <w:t xml:space="preserve"> </w:t>
      </w:r>
      <w:r>
        <w:t>assistance</w:t>
      </w:r>
      <w:r w:rsidR="00C64050">
        <w:t xml:space="preserve"> </w:t>
      </w:r>
      <w:r>
        <w:t>under</w:t>
      </w:r>
      <w:r w:rsidR="00C64050">
        <w:t xml:space="preserve"> </w:t>
      </w:r>
      <w:r>
        <w:t>federal</w:t>
      </w:r>
      <w:r w:rsidR="00C64050">
        <w:t xml:space="preserve"> </w:t>
      </w:r>
      <w:r>
        <w:t>law;</w:t>
      </w:r>
      <w:r w:rsidR="00C64050">
        <w:t xml:space="preserve"> </w:t>
      </w:r>
      <w:r>
        <w:t>however,</w:t>
      </w:r>
      <w:r w:rsidR="00C64050">
        <w:t xml:space="preserve"> </w:t>
      </w:r>
      <w:r>
        <w:t>he</w:t>
      </w:r>
      <w:r w:rsidR="00C64050">
        <w:t xml:space="preserve"> </w:t>
      </w:r>
      <w:r>
        <w:t>cannot</w:t>
      </w:r>
      <w:r w:rsidR="00C64050">
        <w:t xml:space="preserve"> </w:t>
      </w:r>
      <w:r>
        <w:t>identify</w:t>
      </w:r>
      <w:r w:rsidR="00C64050">
        <w:t xml:space="preserve"> </w:t>
      </w:r>
      <w:r>
        <w:t>any</w:t>
      </w:r>
      <w:r w:rsidR="00C64050">
        <w:t xml:space="preserve"> </w:t>
      </w:r>
      <w:r>
        <w:t>legal</w:t>
      </w:r>
      <w:r w:rsidR="00C64050">
        <w:t xml:space="preserve"> </w:t>
      </w:r>
      <w:r>
        <w:t>basis</w:t>
      </w:r>
      <w:r w:rsidR="00C64050">
        <w:t xml:space="preserve"> </w:t>
      </w:r>
      <w:r>
        <w:t>for</w:t>
      </w:r>
      <w:r w:rsidR="00C64050">
        <w:t xml:space="preserve"> </w:t>
      </w:r>
      <w:r>
        <w:t>this</w:t>
      </w:r>
      <w:r w:rsidR="00C64050">
        <w:t xml:space="preserve"> </w:t>
      </w:r>
      <w:r>
        <w:t>conclusion.</w:t>
      </w:r>
      <w:r w:rsidR="00C64050">
        <w:t xml:space="preserve"> </w:t>
      </w:r>
      <w:r>
        <w:t>We</w:t>
      </w:r>
      <w:r w:rsidR="00C64050">
        <w:t xml:space="preserve"> </w:t>
      </w:r>
      <w:r>
        <w:t>can</w:t>
      </w:r>
      <w:r w:rsidR="00C64050">
        <w:t xml:space="preserve"> </w:t>
      </w:r>
      <w:r>
        <w:t>find</w:t>
      </w:r>
      <w:r w:rsidR="00C64050">
        <w:t xml:space="preserve"> </w:t>
      </w:r>
      <w:r>
        <w:t>no</w:t>
      </w:r>
      <w:r w:rsidR="00C64050">
        <w:t xml:space="preserve"> </w:t>
      </w:r>
      <w:r>
        <w:t>federal</w:t>
      </w:r>
      <w:r w:rsidR="00C64050">
        <w:t xml:space="preserve"> </w:t>
      </w:r>
      <w:r>
        <w:t>law</w:t>
      </w:r>
      <w:r w:rsidR="00C64050">
        <w:t xml:space="preserve"> </w:t>
      </w:r>
      <w:r>
        <w:t>or</w:t>
      </w:r>
      <w:r w:rsidR="00C64050">
        <w:t xml:space="preserve"> </w:t>
      </w:r>
      <w:r>
        <w:t>regulation</w:t>
      </w:r>
      <w:r w:rsidR="00C64050">
        <w:t xml:space="preserve"> </w:t>
      </w:r>
      <w:r>
        <w:t>expressly</w:t>
      </w:r>
      <w:r w:rsidR="00C64050">
        <w:t xml:space="preserve"> </w:t>
      </w:r>
      <w:r>
        <w:t>addressing</w:t>
      </w:r>
      <w:r w:rsidR="00C64050">
        <w:t xml:space="preserve"> </w:t>
      </w:r>
      <w:r>
        <w:t>the</w:t>
      </w:r>
      <w:r w:rsidR="00C64050">
        <w:t xml:space="preserve"> </w:t>
      </w:r>
      <w:r>
        <w:t>garnishment</w:t>
      </w:r>
      <w:r w:rsidR="00C64050">
        <w:t xml:space="preserve"> </w:t>
      </w:r>
      <w:r>
        <w:t>of</w:t>
      </w:r>
      <w:r w:rsidR="00C64050">
        <w:t xml:space="preserve"> </w:t>
      </w:r>
      <w:r>
        <w:t>a</w:t>
      </w:r>
      <w:r w:rsidR="00C64050">
        <w:t xml:space="preserve"> </w:t>
      </w:r>
      <w:r>
        <w:t>special</w:t>
      </w:r>
      <w:r w:rsidR="00C64050">
        <w:t xml:space="preserve"> </w:t>
      </w:r>
      <w:r>
        <w:t>needs</w:t>
      </w:r>
      <w:r w:rsidR="00C64050">
        <w:t xml:space="preserve"> </w:t>
      </w:r>
      <w:r>
        <w:t>trust</w:t>
      </w:r>
      <w:r w:rsidR="00C64050">
        <w:t xml:space="preserve"> </w:t>
      </w:r>
      <w:r>
        <w:t>to</w:t>
      </w:r>
      <w:r w:rsidR="00C64050">
        <w:t xml:space="preserve"> </w:t>
      </w:r>
      <w:r>
        <w:t>satisfy</w:t>
      </w:r>
      <w:r w:rsidR="00C64050">
        <w:t xml:space="preserve"> </w:t>
      </w:r>
      <w:r>
        <w:t>a</w:t>
      </w:r>
      <w:r w:rsidR="00C64050">
        <w:t xml:space="preserve"> </w:t>
      </w:r>
      <w:r>
        <w:t>support</w:t>
      </w:r>
      <w:r w:rsidR="00C64050">
        <w:t xml:space="preserve"> </w:t>
      </w:r>
      <w:r>
        <w:t>obligation.</w:t>
      </w:r>
      <w:r w:rsidR="00C64050">
        <w:t xml:space="preserve"> </w:t>
      </w:r>
      <w:r>
        <w:t>To</w:t>
      </w:r>
      <w:r w:rsidR="00C64050">
        <w:t xml:space="preserve"> </w:t>
      </w:r>
      <w:r>
        <w:t>the</w:t>
      </w:r>
      <w:r w:rsidR="00C64050">
        <w:t xml:space="preserve"> </w:t>
      </w:r>
      <w:r>
        <w:t>extent</w:t>
      </w:r>
      <w:r w:rsidR="00C64050">
        <w:t xml:space="preserve"> </w:t>
      </w:r>
      <w:r>
        <w:t>that</w:t>
      </w:r>
      <w:r w:rsidR="00C64050">
        <w:t xml:space="preserve"> </w:t>
      </w:r>
      <w:r>
        <w:t>42</w:t>
      </w:r>
      <w:r w:rsidR="00C64050">
        <w:t xml:space="preserve"> </w:t>
      </w:r>
      <w:r>
        <w:t>U.S.C.</w:t>
      </w:r>
      <w:r w:rsidR="00C64050">
        <w:t xml:space="preserve"> </w:t>
      </w:r>
      <w:r>
        <w:t>§</w:t>
      </w:r>
      <w:r w:rsidR="00C64050">
        <w:t xml:space="preserve"> </w:t>
      </w:r>
      <w:r>
        <w:t>1396p</w:t>
      </w:r>
      <w:r w:rsidR="00C64050">
        <w:t xml:space="preserve"> </w:t>
      </w:r>
      <w:r>
        <w:t>discusses</w:t>
      </w:r>
      <w:r w:rsidR="00C64050">
        <w:t xml:space="preserve"> </w:t>
      </w:r>
      <w:r>
        <w:t>support</w:t>
      </w:r>
      <w:r w:rsidR="00C64050">
        <w:t xml:space="preserve"> </w:t>
      </w:r>
      <w:r>
        <w:t>payments</w:t>
      </w:r>
      <w:r w:rsidR="00C64050">
        <w:t xml:space="preserve"> </w:t>
      </w:r>
      <w:r>
        <w:t>and</w:t>
      </w:r>
      <w:r w:rsidR="00C64050">
        <w:t xml:space="preserve"> </w:t>
      </w:r>
      <w:r>
        <w:t>eligibility,</w:t>
      </w:r>
      <w:r w:rsidR="00C64050">
        <w:t xml:space="preserve"> </w:t>
      </w:r>
      <w:r>
        <w:t>subsection</w:t>
      </w:r>
      <w:r w:rsidR="00C64050">
        <w:t xml:space="preserve"> </w:t>
      </w:r>
      <w:r>
        <w:t>(c)(2)(B)(iii)</w:t>
      </w:r>
      <w:r w:rsidR="00C64050">
        <w:t xml:space="preserve"> </w:t>
      </w:r>
      <w:r>
        <w:t>states</w:t>
      </w:r>
      <w:r w:rsidR="00C64050">
        <w:t xml:space="preserve"> </w:t>
      </w:r>
      <w:r>
        <w:t>that</w:t>
      </w:r>
      <w:r w:rsidR="00C64050">
        <w:t xml:space="preserve"> </w:t>
      </w:r>
      <w:r>
        <w:t>"[a]n</w:t>
      </w:r>
      <w:r w:rsidR="00C64050">
        <w:t xml:space="preserve"> </w:t>
      </w:r>
      <w:r>
        <w:t>individual</w:t>
      </w:r>
      <w:r w:rsidR="00C64050">
        <w:t xml:space="preserve"> </w:t>
      </w:r>
      <w:r>
        <w:t>shall</w:t>
      </w:r>
      <w:r w:rsidR="00C64050">
        <w:t xml:space="preserve"> </w:t>
      </w:r>
      <w:r>
        <w:t>not</w:t>
      </w:r>
      <w:r w:rsidR="00C64050">
        <w:t xml:space="preserve"> </w:t>
      </w:r>
      <w:r>
        <w:t>be</w:t>
      </w:r>
      <w:r w:rsidR="00C64050">
        <w:t xml:space="preserve"> </w:t>
      </w:r>
      <w:r>
        <w:t>ineligible</w:t>
      </w:r>
      <w:r w:rsidR="00C64050">
        <w:t xml:space="preserve"> </w:t>
      </w:r>
      <w:r>
        <w:t>for</w:t>
      </w:r>
      <w:r w:rsidR="00C64050">
        <w:t xml:space="preserve"> </w:t>
      </w:r>
      <w:r>
        <w:t>medical</w:t>
      </w:r>
      <w:r w:rsidR="00C64050">
        <w:t xml:space="preserve"> </w:t>
      </w:r>
      <w:r>
        <w:t>assistance</w:t>
      </w:r>
      <w:r w:rsidR="00C64050">
        <w:t xml:space="preserve"> </w:t>
      </w:r>
      <w:r>
        <w:t>by</w:t>
      </w:r>
      <w:r w:rsidR="00C64050">
        <w:t xml:space="preserve"> </w:t>
      </w:r>
      <w:r>
        <w:t>reason</w:t>
      </w:r>
      <w:r w:rsidR="00C64050">
        <w:t xml:space="preserve"> </w:t>
      </w:r>
      <w:r>
        <w:t>of</w:t>
      </w:r>
      <w:r w:rsidR="00C64050">
        <w:t xml:space="preserve"> </w:t>
      </w:r>
      <w:r>
        <w:t>paragraph</w:t>
      </w:r>
      <w:r w:rsidR="00C64050">
        <w:t xml:space="preserve"> </w:t>
      </w:r>
      <w:r>
        <w:t>(1)</w:t>
      </w:r>
      <w:r w:rsidR="00C64050">
        <w:t xml:space="preserve"> </w:t>
      </w:r>
      <w:r>
        <w:t>to</w:t>
      </w:r>
      <w:r w:rsidR="00C64050">
        <w:t xml:space="preserve"> </w:t>
      </w:r>
      <w:r>
        <w:t>the</w:t>
      </w:r>
      <w:r w:rsidR="00C64050">
        <w:t xml:space="preserve"> </w:t>
      </w:r>
      <w:r>
        <w:t>extent</w:t>
      </w:r>
      <w:r w:rsidR="00C64050">
        <w:t xml:space="preserve"> </w:t>
      </w:r>
      <w:r>
        <w:t>that</w:t>
      </w:r>
      <w:r w:rsidR="00C64050">
        <w:t xml:space="preserve"> </w:t>
      </w:r>
      <w:r>
        <w:t>.</w:t>
      </w:r>
      <w:r w:rsidR="00C64050">
        <w:t xml:space="preserve"> </w:t>
      </w:r>
      <w:r>
        <w:t>.</w:t>
      </w:r>
      <w:r w:rsidR="00C64050">
        <w:t xml:space="preserve"> </w:t>
      </w:r>
      <w:r>
        <w:t>.</w:t>
      </w:r>
      <w:r w:rsidR="00C64050">
        <w:t xml:space="preserve"> </w:t>
      </w:r>
      <w:r>
        <w:t>the</w:t>
      </w:r>
      <w:r w:rsidR="00C64050">
        <w:t xml:space="preserve"> </w:t>
      </w:r>
      <w:r>
        <w:t>assets</w:t>
      </w:r>
      <w:r w:rsidR="00C64050">
        <w:t xml:space="preserve"> </w:t>
      </w:r>
      <w:r>
        <w:t>.</w:t>
      </w:r>
      <w:r w:rsidR="00C64050">
        <w:t xml:space="preserve"> </w:t>
      </w:r>
      <w:r>
        <w:t>.</w:t>
      </w:r>
      <w:r w:rsidR="00C64050">
        <w:t xml:space="preserve"> </w:t>
      </w:r>
      <w:r>
        <w:t>.</w:t>
      </w:r>
      <w:r w:rsidR="00C64050">
        <w:t xml:space="preserve"> </w:t>
      </w:r>
      <w:r>
        <w:t>were</w:t>
      </w:r>
      <w:r w:rsidR="00C64050">
        <w:t xml:space="preserve"> </w:t>
      </w:r>
      <w:r>
        <w:t>transferred</w:t>
      </w:r>
      <w:r w:rsidR="00C64050">
        <w:t xml:space="preserve"> </w:t>
      </w:r>
      <w:r>
        <w:t>to</w:t>
      </w:r>
      <w:r w:rsidR="00C64050">
        <w:t xml:space="preserve"> </w:t>
      </w:r>
      <w:r>
        <w:t>.</w:t>
      </w:r>
      <w:r w:rsidR="00C64050">
        <w:t xml:space="preserve"> </w:t>
      </w:r>
      <w:r>
        <w:t>.</w:t>
      </w:r>
      <w:r w:rsidR="00C64050">
        <w:t xml:space="preserve"> </w:t>
      </w:r>
      <w:r>
        <w:t>.</w:t>
      </w:r>
      <w:r w:rsidR="00C64050">
        <w:t xml:space="preserve"> </w:t>
      </w:r>
      <w:r>
        <w:t>the</w:t>
      </w:r>
      <w:r w:rsidR="00C64050">
        <w:t xml:space="preserve"> </w:t>
      </w:r>
      <w:r>
        <w:t>individual's</w:t>
      </w:r>
      <w:r w:rsidR="00C64050">
        <w:t xml:space="preserve"> </w:t>
      </w:r>
      <w:r>
        <w:t>child."</w:t>
      </w:r>
      <w:r w:rsidR="00C64050">
        <w:t xml:space="preserve"> </w:t>
      </w:r>
      <w:r>
        <w:t>Furthermore,</w:t>
      </w:r>
      <w:r w:rsidR="00C64050">
        <w:t xml:space="preserve"> </w:t>
      </w:r>
      <w:r>
        <w:t>federal</w:t>
      </w:r>
      <w:r w:rsidR="00C64050">
        <w:t xml:space="preserve"> </w:t>
      </w:r>
      <w:r>
        <w:t>law</w:t>
      </w:r>
      <w:r w:rsidR="00C64050">
        <w:t xml:space="preserve"> </w:t>
      </w:r>
      <w:r>
        <w:t>gives</w:t>
      </w:r>
      <w:r w:rsidR="00C64050">
        <w:t xml:space="preserve"> </w:t>
      </w:r>
      <w:r>
        <w:t>great</w:t>
      </w:r>
      <w:r w:rsidR="00C64050">
        <w:t xml:space="preserve"> </w:t>
      </w:r>
      <w:r>
        <w:t>deference</w:t>
      </w:r>
      <w:r w:rsidR="00C64050">
        <w:t xml:space="preserve"> </w:t>
      </w:r>
      <w:r>
        <w:t>to</w:t>
      </w:r>
      <w:r w:rsidR="00C64050">
        <w:t xml:space="preserve"> </w:t>
      </w:r>
      <w:r>
        <w:t>state</w:t>
      </w:r>
      <w:r w:rsidR="00C64050">
        <w:t xml:space="preserve"> </w:t>
      </w:r>
      <w:r>
        <w:t>courts</w:t>
      </w:r>
      <w:r w:rsidR="00C64050">
        <w:t xml:space="preserve"> </w:t>
      </w:r>
      <w:r>
        <w:t>in</w:t>
      </w:r>
      <w:r w:rsidR="00C64050">
        <w:t xml:space="preserve"> </w:t>
      </w:r>
      <w:r>
        <w:t>family</w:t>
      </w:r>
      <w:r w:rsidR="00C64050">
        <w:t xml:space="preserve"> </w:t>
      </w:r>
      <w:r>
        <w:t>law</w:t>
      </w:r>
      <w:r w:rsidR="00C64050">
        <w:t xml:space="preserve"> </w:t>
      </w:r>
      <w:r>
        <w:t>proceedings,</w:t>
      </w:r>
      <w:r w:rsidR="00C64050">
        <w:t xml:space="preserve"> </w:t>
      </w:r>
      <w:r>
        <w:t>and</w:t>
      </w:r>
      <w:r w:rsidR="00C64050">
        <w:t xml:space="preserve"> </w:t>
      </w:r>
      <w:r>
        <w:t>the</w:t>
      </w:r>
      <w:r w:rsidR="00C64050">
        <w:t xml:space="preserve"> </w:t>
      </w:r>
      <w:r>
        <w:t>Supreme</w:t>
      </w:r>
      <w:r w:rsidR="00C64050">
        <w:t xml:space="preserve"> </w:t>
      </w:r>
      <w:r>
        <w:t>Court</w:t>
      </w:r>
      <w:r w:rsidR="00C64050">
        <w:t xml:space="preserve"> </w:t>
      </w:r>
      <w:r>
        <w:t>has</w:t>
      </w:r>
      <w:r w:rsidR="00C64050">
        <w:t xml:space="preserve"> </w:t>
      </w:r>
      <w:r>
        <w:t>explained</w:t>
      </w:r>
      <w:r w:rsidR="00C64050">
        <w:t xml:space="preserve"> </w:t>
      </w:r>
      <w:r>
        <w:t>that</w:t>
      </w:r>
      <w:r w:rsidR="00C64050">
        <w:t xml:space="preserve"> </w:t>
      </w:r>
      <w:r>
        <w:t>"[s]tate</w:t>
      </w:r>
      <w:r w:rsidR="00C64050">
        <w:t xml:space="preserve"> </w:t>
      </w:r>
      <w:r>
        <w:t>family</w:t>
      </w:r>
      <w:r w:rsidR="00C64050">
        <w:t xml:space="preserve"> </w:t>
      </w:r>
      <w:r>
        <w:t>and</w:t>
      </w:r>
      <w:r w:rsidR="00C64050">
        <w:t xml:space="preserve"> </w:t>
      </w:r>
      <w:r>
        <w:t>family-property</w:t>
      </w:r>
      <w:r w:rsidR="00C64050">
        <w:t xml:space="preserve"> </w:t>
      </w:r>
      <w:r>
        <w:t>law</w:t>
      </w:r>
      <w:r w:rsidR="00C64050">
        <w:t xml:space="preserve"> </w:t>
      </w:r>
      <w:r>
        <w:t>must</w:t>
      </w:r>
      <w:r w:rsidR="00C64050">
        <w:t xml:space="preserve"> </w:t>
      </w:r>
      <w:r>
        <w:t>do</w:t>
      </w:r>
      <w:r w:rsidR="00C64050">
        <w:t xml:space="preserve"> </w:t>
      </w:r>
      <w:r>
        <w:t>'major</w:t>
      </w:r>
      <w:r w:rsidR="00C64050">
        <w:t xml:space="preserve"> </w:t>
      </w:r>
      <w:r>
        <w:t>damage'</w:t>
      </w:r>
      <w:r w:rsidR="00C64050">
        <w:t xml:space="preserve"> </w:t>
      </w:r>
      <w:r>
        <w:t>to</w:t>
      </w:r>
      <w:r w:rsidR="00C64050">
        <w:t xml:space="preserve"> </w:t>
      </w:r>
      <w:r>
        <w:t>'clear</w:t>
      </w:r>
      <w:r w:rsidR="00C64050">
        <w:t xml:space="preserve"> </w:t>
      </w:r>
      <w:r>
        <w:t>and</w:t>
      </w:r>
      <w:r w:rsidR="00C64050">
        <w:t xml:space="preserve"> </w:t>
      </w:r>
      <w:r>
        <w:t>substantial'</w:t>
      </w:r>
      <w:r w:rsidR="00C64050">
        <w:t xml:space="preserve"> </w:t>
      </w:r>
      <w:r>
        <w:t>federal</w:t>
      </w:r>
      <w:r w:rsidR="00C64050">
        <w:t xml:space="preserve"> </w:t>
      </w:r>
      <w:r>
        <w:t>interests</w:t>
      </w:r>
      <w:r w:rsidR="00C64050">
        <w:t xml:space="preserve"> </w:t>
      </w:r>
      <w:r>
        <w:t>before</w:t>
      </w:r>
      <w:r w:rsidR="00C64050">
        <w:t xml:space="preserve"> </w:t>
      </w:r>
      <w:r>
        <w:t>the</w:t>
      </w:r>
      <w:r w:rsidR="00C64050">
        <w:t xml:space="preserve"> </w:t>
      </w:r>
      <w:r>
        <w:t>Supremacy</w:t>
      </w:r>
      <w:r w:rsidR="00C64050">
        <w:t xml:space="preserve"> </w:t>
      </w:r>
      <w:r>
        <w:t>Clause</w:t>
      </w:r>
      <w:r w:rsidR="00C64050">
        <w:t xml:space="preserve"> </w:t>
      </w:r>
      <w:r>
        <w:t>will</w:t>
      </w:r>
      <w:r w:rsidR="00C64050">
        <w:t xml:space="preserve"> </w:t>
      </w:r>
      <w:r>
        <w:t>demand</w:t>
      </w:r>
      <w:r w:rsidR="00C64050">
        <w:t xml:space="preserve"> </w:t>
      </w:r>
      <w:r>
        <w:t>that</w:t>
      </w:r>
      <w:r w:rsidR="00C64050">
        <w:t xml:space="preserve"> </w:t>
      </w:r>
      <w:r>
        <w:t>state</w:t>
      </w:r>
      <w:r w:rsidR="00C64050">
        <w:t xml:space="preserve"> </w:t>
      </w:r>
      <w:r>
        <w:t>law</w:t>
      </w:r>
      <w:r w:rsidR="00C64050">
        <w:t xml:space="preserve"> </w:t>
      </w:r>
      <w:r>
        <w:t>be</w:t>
      </w:r>
      <w:r w:rsidR="00C64050">
        <w:t xml:space="preserve"> </w:t>
      </w:r>
      <w:r>
        <w:t>overridden."</w:t>
      </w:r>
      <w:r w:rsidR="00C64050">
        <w:t xml:space="preserve"> </w:t>
      </w:r>
      <w:r w:rsidRPr="00D5161E">
        <w:rPr>
          <w:i/>
        </w:rPr>
        <w:t>Hisquierdo</w:t>
      </w:r>
      <w:r w:rsidR="00C64050">
        <w:rPr>
          <w:i/>
        </w:rPr>
        <w:t xml:space="preserve"> </w:t>
      </w:r>
      <w:r w:rsidRPr="00D5161E">
        <w:rPr>
          <w:i/>
        </w:rPr>
        <w:t>v.</w:t>
      </w:r>
      <w:r w:rsidR="00C64050">
        <w:rPr>
          <w:i/>
        </w:rPr>
        <w:t xml:space="preserve"> </w:t>
      </w:r>
      <w:r w:rsidRPr="00D5161E">
        <w:rPr>
          <w:i/>
        </w:rPr>
        <w:t>Hisquierdo</w:t>
      </w:r>
      <w:r>
        <w:t>,</w:t>
      </w:r>
      <w:r w:rsidR="00C64050">
        <w:t xml:space="preserve"> </w:t>
      </w:r>
      <w:r>
        <w:t>439</w:t>
      </w:r>
      <w:r w:rsidR="00C64050">
        <w:t xml:space="preserve"> </w:t>
      </w:r>
      <w:r>
        <w:t>U.S.</w:t>
      </w:r>
      <w:r w:rsidR="00C64050">
        <w:t xml:space="preserve"> </w:t>
      </w:r>
      <w:r>
        <w:t>572,</w:t>
      </w:r>
      <w:r w:rsidR="00C64050">
        <w:t xml:space="preserve"> </w:t>
      </w:r>
      <w:r>
        <w:t>581</w:t>
      </w:r>
      <w:r w:rsidR="00C64050">
        <w:t xml:space="preserve"> </w:t>
      </w:r>
      <w:r>
        <w:t>(1979)</w:t>
      </w:r>
      <w:r w:rsidR="00C64050">
        <w:t xml:space="preserve"> </w:t>
      </w:r>
      <w:r>
        <w:t>(quoting</w:t>
      </w:r>
      <w:r w:rsidR="00C64050">
        <w:t xml:space="preserve"> </w:t>
      </w:r>
      <w:r w:rsidRPr="00D5161E">
        <w:rPr>
          <w:i/>
        </w:rPr>
        <w:t>United</w:t>
      </w:r>
      <w:r w:rsidR="00C64050">
        <w:rPr>
          <w:i/>
        </w:rPr>
        <w:t xml:space="preserve"> </w:t>
      </w:r>
      <w:r w:rsidRPr="00D5161E">
        <w:rPr>
          <w:i/>
        </w:rPr>
        <w:t>States</w:t>
      </w:r>
      <w:r w:rsidR="00C64050">
        <w:rPr>
          <w:i/>
        </w:rPr>
        <w:t xml:space="preserve"> </w:t>
      </w:r>
      <w:r w:rsidRPr="00D5161E">
        <w:rPr>
          <w:i/>
        </w:rPr>
        <w:t>v.</w:t>
      </w:r>
      <w:r w:rsidR="00C64050">
        <w:rPr>
          <w:i/>
        </w:rPr>
        <w:t xml:space="preserve"> </w:t>
      </w:r>
      <w:r w:rsidRPr="00D5161E">
        <w:rPr>
          <w:i/>
        </w:rPr>
        <w:t>Yazell</w:t>
      </w:r>
      <w:r>
        <w:t>,</w:t>
      </w:r>
      <w:r w:rsidR="00C64050">
        <w:t xml:space="preserve"> </w:t>
      </w:r>
      <w:r>
        <w:t>382</w:t>
      </w:r>
      <w:r w:rsidR="00C64050">
        <w:t xml:space="preserve"> </w:t>
      </w:r>
      <w:r>
        <w:t>U.S.</w:t>
      </w:r>
      <w:r w:rsidR="00C64050">
        <w:t xml:space="preserve"> </w:t>
      </w:r>
      <w:r>
        <w:t>341,</w:t>
      </w:r>
      <w:r w:rsidR="00C64050">
        <w:t xml:space="preserve"> </w:t>
      </w:r>
      <w:r>
        <w:t>352</w:t>
      </w:r>
      <w:r w:rsidR="00C64050">
        <w:t xml:space="preserve"> </w:t>
      </w:r>
      <w:r>
        <w:t>(1966)).</w:t>
      </w:r>
      <w:r w:rsidR="00C64050">
        <w:t xml:space="preserve"> </w:t>
      </w:r>
      <w:r>
        <w:t>In</w:t>
      </w:r>
      <w:r w:rsidR="00C64050">
        <w:t xml:space="preserve"> </w:t>
      </w:r>
      <w:r w:rsidRPr="00D5161E">
        <w:rPr>
          <w:i/>
        </w:rPr>
        <w:t>Rose</w:t>
      </w:r>
      <w:r w:rsidR="00C64050">
        <w:rPr>
          <w:i/>
        </w:rPr>
        <w:t xml:space="preserve"> </w:t>
      </w:r>
      <w:r w:rsidRPr="00D5161E">
        <w:rPr>
          <w:i/>
        </w:rPr>
        <w:t>v.</w:t>
      </w:r>
      <w:r w:rsidR="00C64050">
        <w:rPr>
          <w:i/>
        </w:rPr>
        <w:t xml:space="preserve"> </w:t>
      </w:r>
      <w:r w:rsidRPr="00D5161E">
        <w:rPr>
          <w:i/>
        </w:rPr>
        <w:t>Rose</w:t>
      </w:r>
      <w:r>
        <w:t>,</w:t>
      </w:r>
      <w:r w:rsidR="00C64050">
        <w:t xml:space="preserve"> </w:t>
      </w:r>
      <w:r>
        <w:t>481</w:t>
      </w:r>
      <w:r w:rsidR="00C64050">
        <w:t xml:space="preserve"> </w:t>
      </w:r>
      <w:r>
        <w:t>U.S.</w:t>
      </w:r>
      <w:r w:rsidR="00C64050">
        <w:t xml:space="preserve"> </w:t>
      </w:r>
      <w:r>
        <w:t>619,</w:t>
      </w:r>
      <w:r w:rsidR="00C64050">
        <w:t xml:space="preserve"> </w:t>
      </w:r>
      <w:r>
        <w:t>630</w:t>
      </w:r>
      <w:r w:rsidR="00C64050">
        <w:t xml:space="preserve"> </w:t>
      </w:r>
      <w:r>
        <w:t>(1987),</w:t>
      </w:r>
      <w:r w:rsidR="00C64050">
        <w:t xml:space="preserve"> </w:t>
      </w:r>
      <w:r>
        <w:t>the</w:t>
      </w:r>
      <w:r w:rsidR="00C64050">
        <w:t xml:space="preserve"> </w:t>
      </w:r>
      <w:r>
        <w:t>Supreme</w:t>
      </w:r>
      <w:r w:rsidR="00C64050">
        <w:t xml:space="preserve"> </w:t>
      </w:r>
      <w:r>
        <w:t>Court</w:t>
      </w:r>
      <w:r w:rsidR="00C64050">
        <w:t xml:space="preserve"> </w:t>
      </w:r>
      <w:r>
        <w:t>recognized</w:t>
      </w:r>
      <w:r w:rsidR="00C64050">
        <w:t xml:space="preserve"> </w:t>
      </w:r>
      <w:r>
        <w:t>that</w:t>
      </w:r>
      <w:r w:rsidR="00C64050">
        <w:t xml:space="preserve"> </w:t>
      </w:r>
      <w:r>
        <w:t>payment</w:t>
      </w:r>
      <w:r w:rsidR="00C64050">
        <w:t xml:space="preserve"> </w:t>
      </w:r>
      <w:r>
        <w:t>of</w:t>
      </w:r>
      <w:r w:rsidR="00C64050">
        <w:t xml:space="preserve"> </w:t>
      </w:r>
      <w:r>
        <w:t>child</w:t>
      </w:r>
      <w:r w:rsidR="00C64050">
        <w:t xml:space="preserve"> </w:t>
      </w:r>
      <w:r>
        <w:t>support</w:t>
      </w:r>
      <w:r w:rsidR="00C64050">
        <w:t xml:space="preserve"> </w:t>
      </w:r>
      <w:r>
        <w:t>is</w:t>
      </w:r>
      <w:r w:rsidR="00C64050">
        <w:t xml:space="preserve"> </w:t>
      </w:r>
      <w:r>
        <w:t>in</w:t>
      </w:r>
      <w:r w:rsidR="00C64050">
        <w:t xml:space="preserve"> </w:t>
      </w:r>
      <w:r>
        <w:t>the</w:t>
      </w:r>
      <w:r w:rsidR="00C64050">
        <w:t xml:space="preserve"> </w:t>
      </w:r>
      <w:r>
        <w:t>parent's</w:t>
      </w:r>
      <w:r w:rsidR="00C64050">
        <w:t xml:space="preserve"> </w:t>
      </w:r>
      <w:r>
        <w:t>best</w:t>
      </w:r>
      <w:r w:rsidR="00C64050">
        <w:t xml:space="preserve"> </w:t>
      </w:r>
      <w:r>
        <w:t>interest,</w:t>
      </w:r>
      <w:r w:rsidR="00C64050">
        <w:t xml:space="preserve"> </w:t>
      </w:r>
      <w:r>
        <w:t>explaining</w:t>
      </w:r>
      <w:r w:rsidR="00C64050">
        <w:t xml:space="preserve"> </w:t>
      </w:r>
      <w:r>
        <w:t>that</w:t>
      </w:r>
      <w:r w:rsidR="00C64050">
        <w:t xml:space="preserve"> </w:t>
      </w:r>
      <w:r>
        <w:t>federal</w:t>
      </w:r>
      <w:r w:rsidR="00C64050">
        <w:t xml:space="preserve"> </w:t>
      </w:r>
      <w:r>
        <w:t>"benefits</w:t>
      </w:r>
      <w:r w:rsidR="00C64050">
        <w:t xml:space="preserve"> </w:t>
      </w:r>
      <w:r>
        <w:t>are</w:t>
      </w:r>
      <w:r w:rsidR="00C64050">
        <w:t xml:space="preserve"> </w:t>
      </w:r>
      <w:r>
        <w:t>not</w:t>
      </w:r>
      <w:r w:rsidR="00C64050">
        <w:t xml:space="preserve"> </w:t>
      </w:r>
      <w:r>
        <w:t>provided</w:t>
      </w:r>
      <w:r w:rsidR="00C64050">
        <w:t xml:space="preserve"> </w:t>
      </w:r>
      <w:r>
        <w:t>to</w:t>
      </w:r>
      <w:r w:rsidR="00C64050">
        <w:t xml:space="preserve"> </w:t>
      </w:r>
      <w:r>
        <w:t>support</w:t>
      </w:r>
      <w:r w:rsidR="00C64050">
        <w:t xml:space="preserve"> </w:t>
      </w:r>
      <w:r>
        <w:t>[the</w:t>
      </w:r>
      <w:r w:rsidR="00C64050">
        <w:t xml:space="preserve"> </w:t>
      </w:r>
      <w:r>
        <w:t>beneficiary]</w:t>
      </w:r>
      <w:r w:rsidR="00C64050">
        <w:t xml:space="preserve"> </w:t>
      </w:r>
      <w:r>
        <w:t>alone."</w:t>
      </w:r>
      <w:r w:rsidR="00C64050">
        <w:t xml:space="preserve"> </w:t>
      </w:r>
      <w:r>
        <w:t>There</w:t>
      </w:r>
      <w:r w:rsidR="00C64050">
        <w:t xml:space="preserve"> </w:t>
      </w:r>
      <w:r>
        <w:t>is</w:t>
      </w:r>
      <w:r w:rsidR="00C64050">
        <w:t xml:space="preserve"> </w:t>
      </w:r>
      <w:r>
        <w:t>no</w:t>
      </w:r>
      <w:r w:rsidR="00C64050">
        <w:t xml:space="preserve"> </w:t>
      </w:r>
      <w:r>
        <w:t>indication</w:t>
      </w:r>
      <w:r w:rsidR="00C64050">
        <w:t xml:space="preserve"> </w:t>
      </w:r>
      <w:r>
        <w:t>in</w:t>
      </w:r>
      <w:r w:rsidR="00C64050">
        <w:t xml:space="preserve"> </w:t>
      </w:r>
      <w:r>
        <w:t>the</w:t>
      </w:r>
      <w:r w:rsidR="00C64050">
        <w:t xml:space="preserve"> </w:t>
      </w:r>
      <w:r>
        <w:t>federal</w:t>
      </w:r>
      <w:r w:rsidR="00C64050">
        <w:t xml:space="preserve"> </w:t>
      </w:r>
      <w:r>
        <w:t>statutes</w:t>
      </w:r>
      <w:r w:rsidR="00C64050">
        <w:t xml:space="preserve"> </w:t>
      </w:r>
      <w:r>
        <w:t>that</w:t>
      </w:r>
      <w:r w:rsidR="00C64050">
        <w:t xml:space="preserve"> </w:t>
      </w:r>
      <w:r>
        <w:t>Congress</w:t>
      </w:r>
      <w:r w:rsidR="00C64050">
        <w:t xml:space="preserve"> </w:t>
      </w:r>
      <w:r>
        <w:t>has</w:t>
      </w:r>
      <w:r w:rsidR="00C64050">
        <w:t xml:space="preserve"> </w:t>
      </w:r>
      <w:r>
        <w:t>expressed</w:t>
      </w:r>
      <w:r w:rsidR="00C64050">
        <w:t xml:space="preserve"> </w:t>
      </w:r>
      <w:r>
        <w:t>any</w:t>
      </w:r>
      <w:r w:rsidR="00C64050">
        <w:t xml:space="preserve"> </w:t>
      </w:r>
      <w:r>
        <w:t>intention</w:t>
      </w:r>
      <w:r w:rsidR="00C64050">
        <w:t xml:space="preserve"> </w:t>
      </w:r>
      <w:r>
        <w:t>to</w:t>
      </w:r>
      <w:r w:rsidR="00C64050">
        <w:t xml:space="preserve"> </w:t>
      </w:r>
      <w:r>
        <w:t>preempt</w:t>
      </w:r>
      <w:r w:rsidR="00C64050">
        <w:t xml:space="preserve"> </w:t>
      </w:r>
      <w:r>
        <w:t>state</w:t>
      </w:r>
      <w:r w:rsidR="00C64050">
        <w:t xml:space="preserve"> </w:t>
      </w:r>
      <w:r>
        <w:t>statutes,</w:t>
      </w:r>
      <w:r w:rsidR="00C64050">
        <w:t xml:space="preserve"> </w:t>
      </w:r>
      <w:r>
        <w:t>like</w:t>
      </w:r>
      <w:r w:rsidR="00C64050">
        <w:t xml:space="preserve"> </w:t>
      </w:r>
      <w:r>
        <w:t>section</w:t>
      </w:r>
      <w:r w:rsidR="00C64050">
        <w:t xml:space="preserve"> </w:t>
      </w:r>
      <w:r>
        <w:t>736.0503,</w:t>
      </w:r>
      <w:r w:rsidR="00C64050">
        <w:t xml:space="preserve"> </w:t>
      </w:r>
      <w:r>
        <w:t>that</w:t>
      </w:r>
      <w:r w:rsidR="00C64050">
        <w:t xml:space="preserve"> </w:t>
      </w:r>
      <w:r>
        <w:t>permit</w:t>
      </w:r>
      <w:r w:rsidR="00C64050">
        <w:t xml:space="preserve"> </w:t>
      </w:r>
      <w:r>
        <w:t>garnishment</w:t>
      </w:r>
      <w:r w:rsidR="00C64050">
        <w:t xml:space="preserve"> </w:t>
      </w:r>
      <w:r>
        <w:t>of</w:t>
      </w:r>
      <w:r w:rsidR="00C64050">
        <w:t xml:space="preserve"> </w:t>
      </w:r>
      <w:r>
        <w:t>spendthrift</w:t>
      </w:r>
      <w:r w:rsidR="00C64050">
        <w:t xml:space="preserve"> </w:t>
      </w:r>
      <w:r>
        <w:t>trusts</w:t>
      </w:r>
      <w:r w:rsidR="00C64050">
        <w:t xml:space="preserve"> </w:t>
      </w:r>
      <w:r>
        <w:t>to</w:t>
      </w:r>
      <w:r w:rsidR="00C64050">
        <w:t xml:space="preserve"> </w:t>
      </w:r>
      <w:r>
        <w:t>satisfy</w:t>
      </w:r>
      <w:r w:rsidR="00C64050">
        <w:t xml:space="preserve"> </w:t>
      </w:r>
      <w:r>
        <w:t>the</w:t>
      </w:r>
      <w:r w:rsidR="00C64050">
        <w:t xml:space="preserve"> </w:t>
      </w:r>
      <w:r>
        <w:t>child</w:t>
      </w:r>
      <w:r w:rsidR="00C64050">
        <w:t xml:space="preserve"> </w:t>
      </w:r>
      <w:r>
        <w:t>support</w:t>
      </w:r>
      <w:r w:rsidR="00C64050">
        <w:t xml:space="preserve"> </w:t>
      </w:r>
      <w:r>
        <w:t>obligations</w:t>
      </w:r>
      <w:r w:rsidR="00C64050">
        <w:t xml:space="preserve"> </w:t>
      </w:r>
      <w:r>
        <w:t>of</w:t>
      </w:r>
      <w:r w:rsidR="00C64050">
        <w:t xml:space="preserve"> </w:t>
      </w:r>
      <w:r>
        <w:t>the</w:t>
      </w:r>
      <w:r w:rsidR="00C64050">
        <w:t xml:space="preserve"> </w:t>
      </w:r>
      <w:r>
        <w:t>beneficiary.</w:t>
      </w:r>
      <w:r w:rsidR="00C64050">
        <w:t xml:space="preserve"> </w:t>
      </w:r>
      <w:r>
        <w:t>Id.</w:t>
      </w:r>
      <w:r w:rsidR="00C64050">
        <w:t xml:space="preserve"> </w:t>
      </w:r>
      <w:r>
        <w:t>at</w:t>
      </w:r>
      <w:r w:rsidR="00C64050">
        <w:t xml:space="preserve"> </w:t>
      </w:r>
      <w:r>
        <w:t>628</w:t>
      </w:r>
      <w:r w:rsidR="00C64050">
        <w:t xml:space="preserve"> </w:t>
      </w:r>
      <w:r>
        <w:t>("Given</w:t>
      </w:r>
      <w:r w:rsidR="00C64050">
        <w:t xml:space="preserve"> </w:t>
      </w:r>
      <w:r>
        <w:t>the</w:t>
      </w:r>
      <w:r w:rsidR="00C64050">
        <w:t xml:space="preserve"> </w:t>
      </w:r>
      <w:r>
        <w:t>traditional</w:t>
      </w:r>
      <w:r w:rsidR="00C64050">
        <w:t xml:space="preserve"> </w:t>
      </w:r>
      <w:r>
        <w:t>authority</w:t>
      </w:r>
      <w:r w:rsidR="00C64050">
        <w:t xml:space="preserve"> </w:t>
      </w:r>
      <w:r>
        <w:t>of</w:t>
      </w:r>
      <w:r w:rsidR="00C64050">
        <w:t xml:space="preserve"> </w:t>
      </w:r>
      <w:r>
        <w:t>state</w:t>
      </w:r>
      <w:r w:rsidR="00C64050">
        <w:t xml:space="preserve"> </w:t>
      </w:r>
      <w:r>
        <w:t>courts</w:t>
      </w:r>
      <w:r w:rsidR="00C64050">
        <w:t xml:space="preserve"> </w:t>
      </w:r>
      <w:r>
        <w:t>over</w:t>
      </w:r>
      <w:r w:rsidR="00C64050">
        <w:t xml:space="preserve"> </w:t>
      </w:r>
      <w:r>
        <w:t>the</w:t>
      </w:r>
      <w:r w:rsidR="00C64050">
        <w:t xml:space="preserve"> </w:t>
      </w:r>
      <w:r>
        <w:t>issue</w:t>
      </w:r>
      <w:r w:rsidR="00C64050">
        <w:t xml:space="preserve"> </w:t>
      </w:r>
      <w:r>
        <w:t>of</w:t>
      </w:r>
      <w:r w:rsidR="00C64050">
        <w:t xml:space="preserve"> </w:t>
      </w:r>
      <w:r>
        <w:t>child</w:t>
      </w:r>
      <w:r w:rsidR="00C64050">
        <w:t xml:space="preserve"> </w:t>
      </w:r>
      <w:r>
        <w:t>support,</w:t>
      </w:r>
      <w:r w:rsidR="00C64050">
        <w:t xml:space="preserve"> </w:t>
      </w:r>
      <w:r>
        <w:t>their</w:t>
      </w:r>
      <w:r w:rsidR="00C64050">
        <w:t xml:space="preserve"> </w:t>
      </w:r>
      <w:r>
        <w:t>unparalleled</w:t>
      </w:r>
      <w:r w:rsidR="00C64050">
        <w:t xml:space="preserve"> </w:t>
      </w:r>
      <w:r>
        <w:t>familiarity</w:t>
      </w:r>
      <w:r w:rsidR="00C64050">
        <w:t xml:space="preserve"> </w:t>
      </w:r>
      <w:r>
        <w:t>with</w:t>
      </w:r>
      <w:r w:rsidR="00C64050">
        <w:t xml:space="preserve"> </w:t>
      </w:r>
      <w:r>
        <w:t>local</w:t>
      </w:r>
      <w:r w:rsidR="00C64050">
        <w:t xml:space="preserve"> </w:t>
      </w:r>
      <w:r>
        <w:t>economic</w:t>
      </w:r>
      <w:r w:rsidR="00C64050">
        <w:t xml:space="preserve"> </w:t>
      </w:r>
      <w:r>
        <w:t>factors</w:t>
      </w:r>
      <w:r w:rsidR="00C64050">
        <w:t xml:space="preserve"> </w:t>
      </w:r>
      <w:r>
        <w:t>affecting</w:t>
      </w:r>
      <w:r w:rsidR="00C64050">
        <w:t xml:space="preserve"> </w:t>
      </w:r>
      <w:r>
        <w:t>divorced</w:t>
      </w:r>
      <w:r w:rsidR="00C64050">
        <w:t xml:space="preserve"> </w:t>
      </w:r>
      <w:r>
        <w:t>parents</w:t>
      </w:r>
      <w:r w:rsidR="00C64050">
        <w:t xml:space="preserve"> </w:t>
      </w:r>
      <w:r>
        <w:t>and</w:t>
      </w:r>
      <w:r w:rsidR="00C64050">
        <w:t xml:space="preserve"> </w:t>
      </w:r>
      <w:r>
        <w:t>children,</w:t>
      </w:r>
      <w:r w:rsidR="00C64050">
        <w:t xml:space="preserve"> </w:t>
      </w:r>
      <w:r>
        <w:t>and</w:t>
      </w:r>
      <w:r w:rsidR="00C64050">
        <w:t xml:space="preserve"> </w:t>
      </w:r>
      <w:r>
        <w:t>their</w:t>
      </w:r>
      <w:r w:rsidR="00C64050">
        <w:t xml:space="preserve"> </w:t>
      </w:r>
      <w:r>
        <w:t>experience</w:t>
      </w:r>
      <w:r w:rsidR="00C64050">
        <w:t xml:space="preserve"> </w:t>
      </w:r>
      <w:r>
        <w:t>in</w:t>
      </w:r>
      <w:r w:rsidR="00C64050">
        <w:t xml:space="preserve"> </w:t>
      </w:r>
      <w:r>
        <w:t>applying</w:t>
      </w:r>
      <w:r w:rsidR="00C64050">
        <w:t xml:space="preserve"> </w:t>
      </w:r>
      <w:r>
        <w:t>state</w:t>
      </w:r>
      <w:r w:rsidR="00C64050">
        <w:t xml:space="preserve"> </w:t>
      </w:r>
      <w:r>
        <w:t>statutes</w:t>
      </w:r>
      <w:r w:rsidR="00C64050">
        <w:t xml:space="preserve"> </w:t>
      </w:r>
      <w:r>
        <w:t>.</w:t>
      </w:r>
      <w:r w:rsidR="00C64050">
        <w:t xml:space="preserve"> </w:t>
      </w:r>
      <w:r>
        <w:t>.</w:t>
      </w:r>
      <w:r w:rsidR="00C64050">
        <w:t xml:space="preserve"> </w:t>
      </w:r>
      <w:r>
        <w:t>.</w:t>
      </w:r>
      <w:r w:rsidR="00C64050">
        <w:t xml:space="preserve"> </w:t>
      </w:r>
      <w:r>
        <w:t>that</w:t>
      </w:r>
      <w:r w:rsidR="00C64050">
        <w:t xml:space="preserve"> </w:t>
      </w:r>
      <w:r>
        <w:t>do</w:t>
      </w:r>
      <w:r w:rsidR="00C64050">
        <w:t xml:space="preserve"> </w:t>
      </w:r>
      <w:r>
        <w:t>contain</w:t>
      </w:r>
      <w:r w:rsidR="00C64050">
        <w:t xml:space="preserve"> </w:t>
      </w:r>
      <w:r>
        <w:t>detailed</w:t>
      </w:r>
      <w:r w:rsidR="00C64050">
        <w:t xml:space="preserve"> </w:t>
      </w:r>
      <w:r>
        <w:t>support</w:t>
      </w:r>
      <w:r w:rsidR="00C64050">
        <w:t xml:space="preserve"> </w:t>
      </w:r>
      <w:r>
        <w:t>guidelines</w:t>
      </w:r>
      <w:r w:rsidR="00C64050">
        <w:t xml:space="preserve"> </w:t>
      </w:r>
      <w:r>
        <w:t>and</w:t>
      </w:r>
      <w:r w:rsidR="00C64050">
        <w:t xml:space="preserve"> </w:t>
      </w:r>
      <w:r>
        <w:t>established</w:t>
      </w:r>
      <w:r w:rsidR="00C64050">
        <w:t xml:space="preserve"> </w:t>
      </w:r>
      <w:r>
        <w:t>procedures</w:t>
      </w:r>
      <w:r w:rsidR="00C64050">
        <w:t xml:space="preserve"> </w:t>
      </w:r>
      <w:r>
        <w:t>for</w:t>
      </w:r>
      <w:r w:rsidR="00C64050">
        <w:t xml:space="preserve"> </w:t>
      </w:r>
      <w:r>
        <w:t>allocating</w:t>
      </w:r>
      <w:r w:rsidR="00C64050">
        <w:t xml:space="preserve"> </w:t>
      </w:r>
      <w:r>
        <w:t>resources</w:t>
      </w:r>
      <w:r w:rsidR="00C64050">
        <w:t xml:space="preserve"> </w:t>
      </w:r>
      <w:r>
        <w:t>following</w:t>
      </w:r>
      <w:r w:rsidR="00C64050">
        <w:t xml:space="preserve"> </w:t>
      </w:r>
      <w:r>
        <w:t>divorce,</w:t>
      </w:r>
      <w:r w:rsidR="00C64050">
        <w:t xml:space="preserve"> </w:t>
      </w:r>
      <w:r>
        <w:t>we</w:t>
      </w:r>
      <w:r w:rsidR="00C64050">
        <w:t xml:space="preserve"> </w:t>
      </w:r>
      <w:r>
        <w:t>conclude</w:t>
      </w:r>
      <w:r w:rsidR="00C64050">
        <w:t xml:space="preserve"> </w:t>
      </w:r>
      <w:r>
        <w:t>that</w:t>
      </w:r>
      <w:r w:rsidR="00C64050">
        <w:t xml:space="preserve"> </w:t>
      </w:r>
      <w:r>
        <w:t>Congress</w:t>
      </w:r>
      <w:r w:rsidR="00C64050">
        <w:t xml:space="preserve"> </w:t>
      </w:r>
      <w:r>
        <w:t>would</w:t>
      </w:r>
      <w:r w:rsidR="00C64050">
        <w:t xml:space="preserve"> </w:t>
      </w:r>
      <w:r>
        <w:t>surely</w:t>
      </w:r>
      <w:r w:rsidR="00C64050">
        <w:t xml:space="preserve"> </w:t>
      </w:r>
      <w:r>
        <w:t>have</w:t>
      </w:r>
      <w:r w:rsidR="00C64050">
        <w:t xml:space="preserve"> </w:t>
      </w:r>
      <w:r>
        <w:t>been</w:t>
      </w:r>
      <w:r w:rsidR="00C64050">
        <w:t xml:space="preserve"> </w:t>
      </w:r>
      <w:r>
        <w:t>more</w:t>
      </w:r>
      <w:r w:rsidR="00C64050">
        <w:t xml:space="preserve"> </w:t>
      </w:r>
      <w:r>
        <w:t>explicit</w:t>
      </w:r>
      <w:r w:rsidR="00C64050">
        <w:t xml:space="preserve"> </w:t>
      </w:r>
      <w:r>
        <w:t>had</w:t>
      </w:r>
      <w:r w:rsidR="00C64050">
        <w:t xml:space="preserve"> </w:t>
      </w:r>
      <w:r>
        <w:t>it</w:t>
      </w:r>
      <w:r w:rsidR="00C64050">
        <w:t xml:space="preserve"> </w:t>
      </w:r>
      <w:r>
        <w:t>intended</w:t>
      </w:r>
      <w:r w:rsidR="00C64050">
        <w:t xml:space="preserve"> </w:t>
      </w:r>
      <w:r>
        <w:t>the</w:t>
      </w:r>
      <w:r w:rsidR="00C64050">
        <w:t xml:space="preserve"> </w:t>
      </w:r>
      <w:r>
        <w:t>Administrator's</w:t>
      </w:r>
      <w:r w:rsidR="00C64050">
        <w:t xml:space="preserve"> </w:t>
      </w:r>
      <w:r>
        <w:t>apportionment</w:t>
      </w:r>
      <w:r w:rsidR="00C64050">
        <w:t xml:space="preserve"> </w:t>
      </w:r>
      <w:r>
        <w:t>power</w:t>
      </w:r>
      <w:r w:rsidR="00C64050">
        <w:t xml:space="preserve"> </w:t>
      </w:r>
      <w:r>
        <w:t>to</w:t>
      </w:r>
      <w:r w:rsidR="00C64050">
        <w:t xml:space="preserve"> </w:t>
      </w:r>
      <w:r>
        <w:t>displace</w:t>
      </w:r>
      <w:r w:rsidR="00C64050">
        <w:t xml:space="preserve"> </w:t>
      </w:r>
      <w:r>
        <w:t>a</w:t>
      </w:r>
      <w:r w:rsidR="00C64050">
        <w:t xml:space="preserve"> </w:t>
      </w:r>
      <w:r>
        <w:t>state</w:t>
      </w:r>
      <w:r w:rsidR="00C64050">
        <w:t xml:space="preserve"> </w:t>
      </w:r>
      <w:r>
        <w:t>court's</w:t>
      </w:r>
      <w:r w:rsidR="00C64050">
        <w:t xml:space="preserve"> </w:t>
      </w:r>
      <w:r>
        <w:t>power</w:t>
      </w:r>
      <w:r w:rsidR="00C64050">
        <w:t xml:space="preserve"> </w:t>
      </w:r>
      <w:r>
        <w:t>to</w:t>
      </w:r>
      <w:r w:rsidR="00C64050">
        <w:t xml:space="preserve"> </w:t>
      </w:r>
      <w:r>
        <w:t>enforce</w:t>
      </w:r>
      <w:r w:rsidR="00C64050">
        <w:t xml:space="preserve"> </w:t>
      </w:r>
      <w:r>
        <w:t>an</w:t>
      </w:r>
      <w:r w:rsidR="00C64050">
        <w:t xml:space="preserve"> </w:t>
      </w:r>
      <w:r>
        <w:t>order</w:t>
      </w:r>
      <w:r w:rsidR="00C64050">
        <w:t xml:space="preserve"> </w:t>
      </w:r>
      <w:r>
        <w:t>of</w:t>
      </w:r>
      <w:r w:rsidR="00C64050">
        <w:t xml:space="preserve"> </w:t>
      </w:r>
      <w:r>
        <w:t>child</w:t>
      </w:r>
      <w:r w:rsidR="00C64050">
        <w:t xml:space="preserve"> </w:t>
      </w:r>
      <w:r>
        <w:t>support.").</w:t>
      </w:r>
      <w:r w:rsidR="00C64050">
        <w:t xml:space="preserve"> </w:t>
      </w:r>
    </w:p>
    <w:p w:rsidR="00D5161E" w:rsidRDefault="00D5161E" w:rsidP="00D5161E">
      <w:pPr>
        <w:pStyle w:val="QS10"/>
      </w:pPr>
      <w:r>
        <w:t>Resolution</w:t>
      </w:r>
      <w:r w:rsidR="00C64050">
        <w:t xml:space="preserve"> </w:t>
      </w:r>
      <w:r>
        <w:t>of</w:t>
      </w:r>
      <w:r w:rsidR="00C64050">
        <w:t xml:space="preserve"> </w:t>
      </w:r>
      <w:r>
        <w:t>this</w:t>
      </w:r>
      <w:r w:rsidR="00C64050">
        <w:t xml:space="preserve"> </w:t>
      </w:r>
      <w:r>
        <w:t>case</w:t>
      </w:r>
      <w:r w:rsidR="00C64050">
        <w:t xml:space="preserve"> </w:t>
      </w:r>
      <w:r>
        <w:t>requires</w:t>
      </w:r>
      <w:r w:rsidR="00C64050">
        <w:t xml:space="preserve"> </w:t>
      </w:r>
      <w:r>
        <w:t>consideration</w:t>
      </w:r>
      <w:r w:rsidR="00C64050">
        <w:t xml:space="preserve"> </w:t>
      </w:r>
      <w:r>
        <w:t>of</w:t>
      </w:r>
      <w:r w:rsidR="00C64050">
        <w:t xml:space="preserve"> </w:t>
      </w:r>
      <w:r>
        <w:t>the</w:t>
      </w:r>
      <w:r w:rsidR="00C64050">
        <w:t xml:space="preserve"> </w:t>
      </w:r>
      <w:r>
        <w:t>equities</w:t>
      </w:r>
      <w:r w:rsidR="00C64050">
        <w:t xml:space="preserve"> </w:t>
      </w:r>
      <w:r>
        <w:t>between</w:t>
      </w:r>
      <w:r w:rsidR="00C64050">
        <w:t xml:space="preserve"> </w:t>
      </w:r>
      <w:r>
        <w:t>these</w:t>
      </w:r>
      <w:r w:rsidR="00C64050">
        <w:t xml:space="preserve"> </w:t>
      </w:r>
      <w:r>
        <w:t>particular</w:t>
      </w:r>
      <w:r w:rsidR="00C64050">
        <w:t xml:space="preserve"> </w:t>
      </w:r>
      <w:r>
        <w:t>parties</w:t>
      </w:r>
      <w:r w:rsidR="00C64050">
        <w:t xml:space="preserve"> </w:t>
      </w:r>
      <w:r>
        <w:t>and</w:t>
      </w:r>
      <w:r w:rsidR="00C64050">
        <w:t xml:space="preserve"> </w:t>
      </w:r>
      <w:r>
        <w:t>resolution</w:t>
      </w:r>
      <w:r w:rsidR="00C64050">
        <w:t xml:space="preserve"> </w:t>
      </w:r>
      <w:r>
        <w:t>of</w:t>
      </w:r>
      <w:r w:rsidR="00C64050">
        <w:t xml:space="preserve"> </w:t>
      </w:r>
      <w:r>
        <w:t>competing</w:t>
      </w:r>
      <w:r w:rsidR="00C64050">
        <w:t xml:space="preserve"> </w:t>
      </w:r>
      <w:r>
        <w:t>public</w:t>
      </w:r>
      <w:r w:rsidR="00C64050">
        <w:t xml:space="preserve"> </w:t>
      </w:r>
      <w:r>
        <w:t>policies</w:t>
      </w:r>
      <w:r w:rsidR="00C64050">
        <w:t xml:space="preserve"> </w:t>
      </w:r>
      <w:r>
        <w:t>related</w:t>
      </w:r>
      <w:r w:rsidR="00C64050">
        <w:t xml:space="preserve"> </w:t>
      </w:r>
      <w:r>
        <w:t>to</w:t>
      </w:r>
      <w:r w:rsidR="00C64050">
        <w:t xml:space="preserve"> </w:t>
      </w:r>
      <w:r>
        <w:t>the</w:t>
      </w:r>
      <w:r w:rsidR="00C64050">
        <w:t xml:space="preserve"> </w:t>
      </w:r>
      <w:r>
        <w:t>enforceability</w:t>
      </w:r>
      <w:r w:rsidR="00C64050">
        <w:t xml:space="preserve"> </w:t>
      </w:r>
      <w:r>
        <w:t>of</w:t>
      </w:r>
      <w:r w:rsidR="00C64050">
        <w:t xml:space="preserve"> </w:t>
      </w:r>
      <w:r>
        <w:t>spendthrift</w:t>
      </w:r>
      <w:r w:rsidR="00C64050">
        <w:t xml:space="preserve"> </w:t>
      </w:r>
      <w:r>
        <w:t>provisions</w:t>
      </w:r>
      <w:r w:rsidR="00C64050">
        <w:t xml:space="preserve"> </w:t>
      </w:r>
      <w:r>
        <w:t>and</w:t>
      </w:r>
      <w:r w:rsidR="00C64050">
        <w:t xml:space="preserve"> </w:t>
      </w:r>
      <w:r>
        <w:t>the</w:t>
      </w:r>
      <w:r w:rsidR="00C64050">
        <w:t xml:space="preserve"> </w:t>
      </w:r>
      <w:r>
        <w:t>payment</w:t>
      </w:r>
      <w:r w:rsidR="00C64050">
        <w:t xml:space="preserve"> </w:t>
      </w:r>
      <w:r>
        <w:t>of</w:t>
      </w:r>
      <w:r w:rsidR="00C64050">
        <w:t xml:space="preserve"> </w:t>
      </w:r>
      <w:r>
        <w:t>support.</w:t>
      </w:r>
      <w:r w:rsidR="00C64050">
        <w:t xml:space="preserve"> </w:t>
      </w:r>
    </w:p>
    <w:p w:rsidR="00D5161E" w:rsidRDefault="00D5161E" w:rsidP="00D5161E">
      <w:pPr>
        <w:pStyle w:val="QS10"/>
        <w:ind w:left="2160"/>
      </w:pPr>
      <w:r>
        <w:t>On</w:t>
      </w:r>
      <w:r w:rsidR="00C64050">
        <w:t xml:space="preserve"> </w:t>
      </w:r>
      <w:r>
        <w:t>the</w:t>
      </w:r>
      <w:r w:rsidR="00C64050">
        <w:t xml:space="preserve"> </w:t>
      </w:r>
      <w:r>
        <w:t>one</w:t>
      </w:r>
      <w:r w:rsidR="00C64050">
        <w:t xml:space="preserve"> </w:t>
      </w:r>
      <w:r>
        <w:t>hand,</w:t>
      </w:r>
      <w:r w:rsidR="00C64050">
        <w:t xml:space="preserve"> </w:t>
      </w:r>
      <w:r>
        <w:t>there</w:t>
      </w:r>
      <w:r w:rsidR="00C64050">
        <w:t xml:space="preserve"> </w:t>
      </w:r>
      <w:r>
        <w:t>is</w:t>
      </w:r>
      <w:r w:rsidR="00C64050">
        <w:t xml:space="preserve"> </w:t>
      </w:r>
      <w:r>
        <w:t>the</w:t>
      </w:r>
      <w:r w:rsidR="00C64050">
        <w:t xml:space="preserve"> </w:t>
      </w:r>
      <w:r>
        <w:t>long</w:t>
      </w:r>
      <w:r w:rsidR="00C64050">
        <w:t xml:space="preserve"> </w:t>
      </w:r>
      <w:r>
        <w:t>held</w:t>
      </w:r>
      <w:r w:rsidR="00C64050">
        <w:t xml:space="preserve"> </w:t>
      </w:r>
      <w:r>
        <w:t>policy</w:t>
      </w:r>
      <w:r w:rsidR="00C64050">
        <w:t xml:space="preserve"> </w:t>
      </w:r>
      <w:r>
        <w:t>of</w:t>
      </w:r>
      <w:r w:rsidR="00C64050">
        <w:t xml:space="preserve"> </w:t>
      </w:r>
      <w:r>
        <w:t>this</w:t>
      </w:r>
      <w:r w:rsidR="00C64050">
        <w:t xml:space="preserve"> </w:t>
      </w:r>
      <w:r>
        <w:t>state</w:t>
      </w:r>
      <w:r w:rsidR="00C64050">
        <w:t xml:space="preserve"> </w:t>
      </w:r>
      <w:r>
        <w:t>that</w:t>
      </w:r>
      <w:r w:rsidR="00C64050">
        <w:t xml:space="preserve"> </w:t>
      </w:r>
      <w:r>
        <w:t>recognizes</w:t>
      </w:r>
      <w:r w:rsidR="00C64050">
        <w:t xml:space="preserve"> </w:t>
      </w:r>
      <w:r>
        <w:t>the</w:t>
      </w:r>
      <w:r w:rsidR="00C64050">
        <w:t xml:space="preserve"> </w:t>
      </w:r>
      <w:r>
        <w:t>validity</w:t>
      </w:r>
      <w:r w:rsidR="00C64050">
        <w:t xml:space="preserve"> </w:t>
      </w:r>
      <w:r>
        <w:t>of</w:t>
      </w:r>
      <w:r w:rsidR="00C64050">
        <w:t xml:space="preserve"> </w:t>
      </w:r>
      <w:r>
        <w:t>spendthrift</w:t>
      </w:r>
      <w:r w:rsidR="00C64050">
        <w:t xml:space="preserve"> </w:t>
      </w:r>
      <w:r>
        <w:t>trusts.</w:t>
      </w:r>
      <w:r w:rsidR="00C64050">
        <w:t xml:space="preserve"> </w:t>
      </w:r>
      <w:r>
        <w:t>On</w:t>
      </w:r>
      <w:r w:rsidR="00C64050">
        <w:t xml:space="preserve"> </w:t>
      </w:r>
      <w:r>
        <w:t>the</w:t>
      </w:r>
      <w:r w:rsidR="00C64050">
        <w:t xml:space="preserve"> </w:t>
      </w:r>
      <w:r>
        <w:t>other</w:t>
      </w:r>
      <w:r w:rsidR="00C64050">
        <w:t xml:space="preserve"> </w:t>
      </w:r>
      <w:r>
        <w:t>hand,</w:t>
      </w:r>
      <w:r w:rsidR="00C64050">
        <w:t xml:space="preserve"> </w:t>
      </w:r>
      <w:r>
        <w:t>there</w:t>
      </w:r>
      <w:r w:rsidR="00C64050">
        <w:t xml:space="preserve"> </w:t>
      </w:r>
      <w:r>
        <w:t>is</w:t>
      </w:r>
      <w:r w:rsidR="00C64050">
        <w:t xml:space="preserve"> </w:t>
      </w:r>
      <w:r>
        <w:t>the</w:t>
      </w:r>
      <w:r w:rsidR="00C64050">
        <w:t xml:space="preserve"> </w:t>
      </w:r>
      <w:r>
        <w:t>even</w:t>
      </w:r>
      <w:r w:rsidR="00C64050">
        <w:t xml:space="preserve"> </w:t>
      </w:r>
      <w:r>
        <w:t>longer</w:t>
      </w:r>
      <w:r w:rsidR="00C64050">
        <w:t xml:space="preserve"> </w:t>
      </w:r>
      <w:r>
        <w:t>held</w:t>
      </w:r>
      <w:r w:rsidR="00C64050">
        <w:t xml:space="preserve"> </w:t>
      </w:r>
      <w:r>
        <w:t>policy</w:t>
      </w:r>
      <w:r w:rsidR="00C64050">
        <w:t xml:space="preserve"> </w:t>
      </w:r>
      <w:r>
        <w:t>of</w:t>
      </w:r>
      <w:r w:rsidR="00C64050">
        <w:t xml:space="preserve"> </w:t>
      </w:r>
      <w:r>
        <w:t>this</w:t>
      </w:r>
      <w:r w:rsidR="00C64050">
        <w:t xml:space="preserve"> </w:t>
      </w:r>
      <w:r>
        <w:t>state</w:t>
      </w:r>
      <w:r w:rsidR="00C64050">
        <w:t xml:space="preserve"> </w:t>
      </w:r>
      <w:r>
        <w:t>that</w:t>
      </w:r>
      <w:r w:rsidR="00C64050">
        <w:t xml:space="preserve"> </w:t>
      </w:r>
      <w:r>
        <w:t>requires</w:t>
      </w:r>
      <w:r w:rsidR="00C64050">
        <w:t xml:space="preserve"> </w:t>
      </w:r>
      <w:r>
        <w:t>a</w:t>
      </w:r>
      <w:r w:rsidR="00C64050">
        <w:t xml:space="preserve"> </w:t>
      </w:r>
      <w:r>
        <w:t>former</w:t>
      </w:r>
      <w:r w:rsidR="00C64050">
        <w:t xml:space="preserve"> </w:t>
      </w:r>
      <w:r>
        <w:t>spouse</w:t>
      </w:r>
      <w:r w:rsidR="00C64050">
        <w:t xml:space="preserve"> </w:t>
      </w:r>
      <w:r>
        <w:t>or</w:t>
      </w:r>
      <w:r w:rsidR="00C64050">
        <w:t xml:space="preserve"> </w:t>
      </w:r>
      <w:r>
        <w:t>a</w:t>
      </w:r>
      <w:r w:rsidR="00C64050">
        <w:t xml:space="preserve"> </w:t>
      </w:r>
      <w:r>
        <w:t>parent</w:t>
      </w:r>
      <w:r w:rsidR="00C64050">
        <w:t xml:space="preserve"> </w:t>
      </w:r>
      <w:r>
        <w:t>to</w:t>
      </w:r>
      <w:r w:rsidR="00C64050">
        <w:t xml:space="preserve"> </w:t>
      </w:r>
      <w:r>
        <w:t>pay</w:t>
      </w:r>
      <w:r w:rsidR="00C64050">
        <w:t xml:space="preserve"> </w:t>
      </w:r>
      <w:r>
        <w:t>alimony</w:t>
      </w:r>
      <w:r w:rsidR="00C64050">
        <w:t xml:space="preserve"> </w:t>
      </w:r>
      <w:r>
        <w:t>or</w:t>
      </w:r>
      <w:r w:rsidR="00C64050">
        <w:t xml:space="preserve"> </w:t>
      </w:r>
      <w:r>
        <w:t>child</w:t>
      </w:r>
      <w:r w:rsidR="00C64050">
        <w:t xml:space="preserve"> </w:t>
      </w:r>
      <w:r>
        <w:t>support</w:t>
      </w:r>
      <w:r w:rsidR="00C64050">
        <w:t xml:space="preserve"> </w:t>
      </w:r>
      <w:r>
        <w:t>in</w:t>
      </w:r>
      <w:r w:rsidR="00C64050">
        <w:t xml:space="preserve"> </w:t>
      </w:r>
      <w:r>
        <w:t>accordance</w:t>
      </w:r>
      <w:r w:rsidR="00C64050">
        <w:t xml:space="preserve"> </w:t>
      </w:r>
      <w:r>
        <w:t>with</w:t>
      </w:r>
      <w:r w:rsidR="00C64050">
        <w:t xml:space="preserve"> </w:t>
      </w:r>
      <w:r>
        <w:t>court</w:t>
      </w:r>
      <w:r w:rsidR="00C64050">
        <w:t xml:space="preserve"> </w:t>
      </w:r>
      <w:r>
        <w:t>orders.</w:t>
      </w:r>
      <w:r w:rsidR="00C64050">
        <w:t xml:space="preserve"> </w:t>
      </w:r>
    </w:p>
    <w:p w:rsidR="007109AE" w:rsidRDefault="00D5161E" w:rsidP="00D5161E">
      <w:pPr>
        <w:pStyle w:val="QS10"/>
      </w:pPr>
      <w:r w:rsidRPr="00D5161E">
        <w:rPr>
          <w:i/>
        </w:rPr>
        <w:t>Bacardi</w:t>
      </w:r>
      <w:r>
        <w:t>,</w:t>
      </w:r>
      <w:r w:rsidR="00C64050">
        <w:t xml:space="preserve"> </w:t>
      </w:r>
      <w:r>
        <w:t>463</w:t>
      </w:r>
      <w:r w:rsidR="00C64050">
        <w:t xml:space="preserve"> </w:t>
      </w:r>
      <w:r>
        <w:t>So.</w:t>
      </w:r>
      <w:r w:rsidR="00C64050">
        <w:t xml:space="preserve"> </w:t>
      </w:r>
      <w:r>
        <w:t>2d</w:t>
      </w:r>
      <w:r w:rsidR="00C64050">
        <w:t xml:space="preserve"> </w:t>
      </w:r>
      <w:r>
        <w:t>at</w:t>
      </w:r>
      <w:r w:rsidR="00C64050">
        <w:t xml:space="preserve"> </w:t>
      </w:r>
      <w:r>
        <w:t>221.</w:t>
      </w:r>
      <w:r w:rsidR="00C64050">
        <w:t xml:space="preserve"> </w:t>
      </w:r>
      <w:r>
        <w:t>Where</w:t>
      </w:r>
      <w:r w:rsidR="00C64050">
        <w:t xml:space="preserve"> </w:t>
      </w:r>
      <w:r>
        <w:t>the</w:t>
      </w:r>
      <w:r w:rsidR="00C64050">
        <w:t xml:space="preserve"> </w:t>
      </w:r>
      <w:r>
        <w:t>two</w:t>
      </w:r>
      <w:r w:rsidR="00C64050">
        <w:t xml:space="preserve"> </w:t>
      </w:r>
      <w:r>
        <w:t>conflict,</w:t>
      </w:r>
      <w:r w:rsidR="00C64050">
        <w:t xml:space="preserve"> </w:t>
      </w:r>
      <w:r>
        <w:t>this</w:t>
      </w:r>
      <w:r w:rsidR="00C64050">
        <w:t xml:space="preserve"> </w:t>
      </w:r>
      <w:r>
        <w:t>court</w:t>
      </w:r>
      <w:r w:rsidR="00C64050">
        <w:t xml:space="preserve"> </w:t>
      </w:r>
      <w:r>
        <w:t>has</w:t>
      </w:r>
      <w:r w:rsidR="00C64050">
        <w:t xml:space="preserve"> </w:t>
      </w:r>
      <w:r>
        <w:t>held</w:t>
      </w:r>
      <w:r w:rsidR="00C64050">
        <w:t xml:space="preserve"> </w:t>
      </w:r>
      <w:r>
        <w:t>that</w:t>
      </w:r>
      <w:r w:rsidR="00C64050">
        <w:t xml:space="preserve"> </w:t>
      </w:r>
      <w:r>
        <w:t>Florida's</w:t>
      </w:r>
      <w:r w:rsidR="00C64050">
        <w:t xml:space="preserve"> </w:t>
      </w:r>
      <w:r>
        <w:t>public</w:t>
      </w:r>
      <w:r w:rsidR="00C64050">
        <w:t xml:space="preserve"> </w:t>
      </w:r>
      <w:r>
        <w:t>policy</w:t>
      </w:r>
      <w:r w:rsidR="00C64050">
        <w:t xml:space="preserve"> </w:t>
      </w:r>
      <w:r>
        <w:t>favoring</w:t>
      </w:r>
      <w:r w:rsidR="00C64050">
        <w:t xml:space="preserve"> </w:t>
      </w:r>
      <w:r>
        <w:t>enforcement</w:t>
      </w:r>
      <w:r w:rsidR="00C64050">
        <w:t xml:space="preserve"> </w:t>
      </w:r>
      <w:r>
        <w:t>of</w:t>
      </w:r>
      <w:r w:rsidR="00C64050">
        <w:t xml:space="preserve"> </w:t>
      </w:r>
      <w:r>
        <w:t>support</w:t>
      </w:r>
      <w:r w:rsidR="00C64050">
        <w:t xml:space="preserve"> </w:t>
      </w:r>
      <w:r>
        <w:t>orders</w:t>
      </w:r>
      <w:r w:rsidR="00C64050">
        <w:t xml:space="preserve"> </w:t>
      </w:r>
      <w:r>
        <w:t>takes</w:t>
      </w:r>
      <w:r w:rsidR="00C64050">
        <w:t xml:space="preserve"> </w:t>
      </w:r>
      <w:r>
        <w:t>precedence.</w:t>
      </w:r>
      <w:r w:rsidR="00C64050">
        <w:t xml:space="preserve"> </w:t>
      </w:r>
      <w:r w:rsidRPr="00D5161E">
        <w:rPr>
          <w:i/>
        </w:rPr>
        <w:t>Berlinger</w:t>
      </w:r>
      <w:r>
        <w:t>,</w:t>
      </w:r>
      <w:r w:rsidR="00C64050">
        <w:t xml:space="preserve"> </w:t>
      </w:r>
      <w:r>
        <w:t>133</w:t>
      </w:r>
      <w:r w:rsidR="00C64050">
        <w:t xml:space="preserve"> </w:t>
      </w:r>
      <w:r>
        <w:t>-</w:t>
      </w:r>
      <w:r w:rsidR="00C64050">
        <w:t xml:space="preserve"> </w:t>
      </w:r>
      <w:r>
        <w:t>6</w:t>
      </w:r>
      <w:r w:rsidR="00C64050">
        <w:t xml:space="preserve"> </w:t>
      </w:r>
      <w:r>
        <w:t>-</w:t>
      </w:r>
      <w:r w:rsidR="00C64050">
        <w:t xml:space="preserve"> </w:t>
      </w:r>
      <w:r>
        <w:t>So.</w:t>
      </w:r>
      <w:r w:rsidR="00C64050">
        <w:t xml:space="preserve"> </w:t>
      </w:r>
      <w:r>
        <w:t>3d</w:t>
      </w:r>
      <w:r w:rsidR="00C64050">
        <w:t xml:space="preserve"> </w:t>
      </w:r>
      <w:r>
        <w:t>at</w:t>
      </w:r>
      <w:r w:rsidR="00C64050">
        <w:t xml:space="preserve"> </w:t>
      </w:r>
      <w:r>
        <w:t>966</w:t>
      </w:r>
      <w:r w:rsidR="00C64050">
        <w:t xml:space="preserve"> </w:t>
      </w:r>
      <w:r>
        <w:t>("Florida</w:t>
      </w:r>
      <w:r w:rsidR="00C64050">
        <w:t xml:space="preserve"> </w:t>
      </w:r>
      <w:r>
        <w:t>has</w:t>
      </w:r>
      <w:r w:rsidR="00C64050">
        <w:t xml:space="preserve"> </w:t>
      </w:r>
      <w:r>
        <w:t>a</w:t>
      </w:r>
      <w:r w:rsidR="00C64050">
        <w:t xml:space="preserve"> </w:t>
      </w:r>
      <w:r>
        <w:t>public</w:t>
      </w:r>
      <w:r w:rsidR="00C64050">
        <w:t xml:space="preserve"> </w:t>
      </w:r>
      <w:r>
        <w:t>policy</w:t>
      </w:r>
      <w:r w:rsidR="00C64050">
        <w:t xml:space="preserve"> </w:t>
      </w:r>
      <w:r>
        <w:t>favoring</w:t>
      </w:r>
      <w:r w:rsidR="00C64050">
        <w:t xml:space="preserve"> </w:t>
      </w:r>
      <w:r>
        <w:t>spendthrift</w:t>
      </w:r>
      <w:r w:rsidR="00C64050">
        <w:t xml:space="preserve"> </w:t>
      </w:r>
      <w:r>
        <w:t>provisions</w:t>
      </w:r>
      <w:r w:rsidR="00C64050">
        <w:t xml:space="preserve"> </w:t>
      </w:r>
      <w:r>
        <w:t>in</w:t>
      </w:r>
      <w:r w:rsidR="00C64050">
        <w:t xml:space="preserve"> </w:t>
      </w:r>
      <w:r>
        <w:t>trusts</w:t>
      </w:r>
      <w:r w:rsidR="00C64050">
        <w:t xml:space="preserve"> </w:t>
      </w:r>
      <w:r>
        <w:t>and</w:t>
      </w:r>
      <w:r w:rsidR="00C64050">
        <w:t xml:space="preserve"> </w:t>
      </w:r>
      <w:r>
        <w:t>protecting</w:t>
      </w:r>
      <w:r w:rsidR="00C64050">
        <w:t xml:space="preserve"> </w:t>
      </w:r>
      <w:r>
        <w:t>a</w:t>
      </w:r>
      <w:r w:rsidR="00C64050">
        <w:t xml:space="preserve"> </w:t>
      </w:r>
      <w:r>
        <w:t>beneficiary's</w:t>
      </w:r>
      <w:r w:rsidR="00C64050">
        <w:t xml:space="preserve"> </w:t>
      </w:r>
      <w:r>
        <w:t>trust</w:t>
      </w:r>
      <w:r w:rsidR="00C64050">
        <w:t xml:space="preserve"> </w:t>
      </w:r>
      <w:r>
        <w:t>income;</w:t>
      </w:r>
      <w:r w:rsidR="00C64050">
        <w:t xml:space="preserve"> </w:t>
      </w:r>
      <w:r>
        <w:t>however</w:t>
      </w:r>
      <w:r w:rsidR="00C64050">
        <w:t xml:space="preserve"> </w:t>
      </w:r>
      <w:r>
        <w:t>it</w:t>
      </w:r>
      <w:r w:rsidR="00C64050">
        <w:t xml:space="preserve"> </w:t>
      </w:r>
      <w:r>
        <w:t>gives</w:t>
      </w:r>
      <w:r w:rsidR="00C64050">
        <w:t xml:space="preserve"> </w:t>
      </w:r>
      <w:r>
        <w:t>way</w:t>
      </w:r>
      <w:r w:rsidR="00C64050">
        <w:t xml:space="preserve"> </w:t>
      </w:r>
      <w:r>
        <w:t>to</w:t>
      </w:r>
      <w:r w:rsidR="00C64050">
        <w:t xml:space="preserve"> </w:t>
      </w:r>
      <w:r>
        <w:t>Florida's</w:t>
      </w:r>
      <w:r w:rsidR="00C64050">
        <w:t xml:space="preserve"> </w:t>
      </w:r>
      <w:r>
        <w:t>strong</w:t>
      </w:r>
      <w:r w:rsidR="00C64050">
        <w:t xml:space="preserve"> </w:t>
      </w:r>
      <w:r>
        <w:t>public</w:t>
      </w:r>
      <w:r w:rsidR="00C64050">
        <w:t xml:space="preserve"> </w:t>
      </w:r>
      <w:r>
        <w:t>policy</w:t>
      </w:r>
      <w:r w:rsidR="00C64050">
        <w:t xml:space="preserve"> </w:t>
      </w:r>
      <w:r>
        <w:t>favoring</w:t>
      </w:r>
      <w:r w:rsidR="00C64050">
        <w:t xml:space="preserve"> </w:t>
      </w:r>
      <w:r>
        <w:t>enforcement</w:t>
      </w:r>
      <w:r w:rsidR="00C64050">
        <w:t xml:space="preserve"> </w:t>
      </w:r>
      <w:r>
        <w:t>of</w:t>
      </w:r>
      <w:r w:rsidR="00C64050">
        <w:t xml:space="preserve"> </w:t>
      </w:r>
      <w:r>
        <w:t>alimony</w:t>
      </w:r>
      <w:r w:rsidR="00C64050">
        <w:t xml:space="preserve"> </w:t>
      </w:r>
      <w:r>
        <w:t>and</w:t>
      </w:r>
      <w:r w:rsidR="00C64050">
        <w:t xml:space="preserve"> </w:t>
      </w:r>
      <w:r>
        <w:t>support</w:t>
      </w:r>
      <w:r w:rsidR="00C64050">
        <w:t xml:space="preserve"> </w:t>
      </w:r>
      <w:r>
        <w:t>orders.").</w:t>
      </w:r>
      <w:r w:rsidR="00C64050">
        <w:t xml:space="preserve"> </w:t>
      </w:r>
      <w:r>
        <w:t>Thus,</w:t>
      </w:r>
      <w:r w:rsidR="00C64050">
        <w:t xml:space="preserve"> </w:t>
      </w:r>
      <w:r>
        <w:t>although</w:t>
      </w:r>
      <w:r w:rsidR="00C64050">
        <w:t xml:space="preserve"> </w:t>
      </w:r>
      <w:r>
        <w:t>the</w:t>
      </w:r>
      <w:r w:rsidR="00C64050">
        <w:t xml:space="preserve"> </w:t>
      </w:r>
      <w:r>
        <w:t>trial</w:t>
      </w:r>
      <w:r w:rsidR="00C64050">
        <w:t xml:space="preserve"> </w:t>
      </w:r>
      <w:r>
        <w:t>court</w:t>
      </w:r>
      <w:r w:rsidR="00C64050">
        <w:t xml:space="preserve"> </w:t>
      </w:r>
      <w:r>
        <w:t>correctly</w:t>
      </w:r>
      <w:r w:rsidR="00C64050">
        <w:t xml:space="preserve"> </w:t>
      </w:r>
      <w:r>
        <w:t>recognized</w:t>
      </w:r>
      <w:r w:rsidR="00C64050">
        <w:t xml:space="preserve"> </w:t>
      </w:r>
      <w:r>
        <w:t>the</w:t>
      </w:r>
      <w:r w:rsidR="00C64050">
        <w:t xml:space="preserve"> </w:t>
      </w:r>
      <w:r>
        <w:t>compelling</w:t>
      </w:r>
      <w:r w:rsidR="00C64050">
        <w:t xml:space="preserve"> </w:t>
      </w:r>
      <w:r>
        <w:t>equitable</w:t>
      </w:r>
      <w:r w:rsidR="00C64050">
        <w:t xml:space="preserve"> </w:t>
      </w:r>
      <w:r>
        <w:t>interests</w:t>
      </w:r>
      <w:r w:rsidR="00C64050">
        <w:t xml:space="preserve"> </w:t>
      </w:r>
      <w:r>
        <w:t>of</w:t>
      </w:r>
      <w:r w:rsidR="00C64050">
        <w:t xml:space="preserve"> </w:t>
      </w:r>
      <w:r>
        <w:t>the</w:t>
      </w:r>
      <w:r w:rsidR="00C64050">
        <w:t xml:space="preserve"> </w:t>
      </w:r>
      <w:r>
        <w:t>parties</w:t>
      </w:r>
      <w:r w:rsidR="00C64050">
        <w:t xml:space="preserve"> </w:t>
      </w:r>
      <w:r>
        <w:t>in</w:t>
      </w:r>
      <w:r w:rsidR="00C64050">
        <w:t xml:space="preserve"> </w:t>
      </w:r>
      <w:r>
        <w:t>this</w:t>
      </w:r>
      <w:r w:rsidR="00C64050">
        <w:t xml:space="preserve"> </w:t>
      </w:r>
      <w:r>
        <w:t>case,</w:t>
      </w:r>
      <w:r w:rsidR="00C64050">
        <w:t xml:space="preserve"> </w:t>
      </w:r>
      <w:r>
        <w:t>we</w:t>
      </w:r>
      <w:r w:rsidR="00C64050">
        <w:t xml:space="preserve"> </w:t>
      </w:r>
      <w:r>
        <w:t>must</w:t>
      </w:r>
      <w:r w:rsidR="00C64050">
        <w:t xml:space="preserve"> </w:t>
      </w:r>
      <w:r>
        <w:t>nevertheless</w:t>
      </w:r>
      <w:r w:rsidR="00C64050">
        <w:t xml:space="preserve"> </w:t>
      </w:r>
      <w:r>
        <w:t>reverse.</w:t>
      </w:r>
      <w:r w:rsidR="00C64050">
        <w:t xml:space="preserve"> </w:t>
      </w:r>
      <w:r>
        <w:t>The</w:t>
      </w:r>
      <w:r w:rsidR="00C64050">
        <w:t xml:space="preserve"> </w:t>
      </w:r>
      <w:r>
        <w:t>special</w:t>
      </w:r>
      <w:r w:rsidR="00C64050">
        <w:t xml:space="preserve"> </w:t>
      </w:r>
      <w:r>
        <w:t>needs</w:t>
      </w:r>
      <w:r w:rsidR="00C64050">
        <w:t xml:space="preserve"> </w:t>
      </w:r>
      <w:r>
        <w:t>trust</w:t>
      </w:r>
      <w:r w:rsidR="00C64050">
        <w:t xml:space="preserve"> </w:t>
      </w:r>
      <w:r>
        <w:t>does</w:t>
      </w:r>
      <w:r w:rsidR="00C64050">
        <w:t xml:space="preserve"> </w:t>
      </w:r>
      <w:r>
        <w:t>not</w:t>
      </w:r>
      <w:r w:rsidR="00C64050">
        <w:t xml:space="preserve"> </w:t>
      </w:r>
      <w:r>
        <w:t>protect</w:t>
      </w:r>
      <w:r w:rsidR="00C64050">
        <w:t xml:space="preserve"> </w:t>
      </w:r>
      <w:r>
        <w:t>the</w:t>
      </w:r>
      <w:r w:rsidR="00C64050">
        <w:t xml:space="preserve"> </w:t>
      </w:r>
      <w:r>
        <w:t>father</w:t>
      </w:r>
      <w:r w:rsidR="00C64050">
        <w:t xml:space="preserve"> </w:t>
      </w:r>
      <w:r>
        <w:t>from</w:t>
      </w:r>
      <w:r w:rsidR="00C64050">
        <w:t xml:space="preserve"> </w:t>
      </w:r>
      <w:r>
        <w:t>his</w:t>
      </w:r>
      <w:r w:rsidR="00C64050">
        <w:t xml:space="preserve"> </w:t>
      </w:r>
      <w:r>
        <w:t>legal</w:t>
      </w:r>
      <w:r w:rsidR="00C64050">
        <w:t xml:space="preserve"> </w:t>
      </w:r>
      <w:r>
        <w:t>obligation</w:t>
      </w:r>
      <w:r w:rsidR="00C64050">
        <w:t xml:space="preserve"> </w:t>
      </w:r>
      <w:r>
        <w:t>to</w:t>
      </w:r>
      <w:r w:rsidR="00C64050">
        <w:t xml:space="preserve"> </w:t>
      </w:r>
      <w:r>
        <w:t>support</w:t>
      </w:r>
      <w:r w:rsidR="00C64050">
        <w:t xml:space="preserve"> </w:t>
      </w:r>
      <w:r>
        <w:t>his</w:t>
      </w:r>
      <w:r w:rsidR="00C64050">
        <w:t xml:space="preserve"> </w:t>
      </w:r>
      <w:r>
        <w:t>child.</w:t>
      </w:r>
      <w:r w:rsidR="00C64050">
        <w:t xml:space="preserve"> </w:t>
      </w:r>
      <w:r>
        <w:t>A</w:t>
      </w:r>
      <w:r w:rsidR="00C64050">
        <w:t xml:space="preserve"> </w:t>
      </w:r>
      <w:r>
        <w:t>continuing</w:t>
      </w:r>
      <w:r w:rsidR="00C64050">
        <w:t xml:space="preserve"> </w:t>
      </w:r>
      <w:r>
        <w:t>writ</w:t>
      </w:r>
      <w:r w:rsidR="00C64050">
        <w:t xml:space="preserve"> </w:t>
      </w:r>
      <w:r>
        <w:t>of</w:t>
      </w:r>
      <w:r w:rsidR="00C64050">
        <w:t xml:space="preserve"> </w:t>
      </w:r>
      <w:r>
        <w:t>garnishment</w:t>
      </w:r>
      <w:r w:rsidR="00C64050">
        <w:t xml:space="preserve"> </w:t>
      </w:r>
      <w:r>
        <w:t>is</w:t>
      </w:r>
      <w:r w:rsidR="00C64050">
        <w:t xml:space="preserve"> </w:t>
      </w:r>
      <w:r>
        <w:t>appropriate</w:t>
      </w:r>
      <w:r w:rsidR="00C64050">
        <w:t xml:space="preserve"> </w:t>
      </w:r>
      <w:r>
        <w:t>in</w:t>
      </w:r>
      <w:r w:rsidR="00C64050">
        <w:t xml:space="preserve"> </w:t>
      </w:r>
      <w:r>
        <w:t>this</w:t>
      </w:r>
      <w:r w:rsidR="00C64050">
        <w:t xml:space="preserve"> </w:t>
      </w:r>
      <w:r>
        <w:t>case,</w:t>
      </w:r>
      <w:r w:rsidR="00C64050">
        <w:t xml:space="preserve"> </w:t>
      </w:r>
      <w:r>
        <w:t>and</w:t>
      </w:r>
      <w:r w:rsidR="00C64050">
        <w:t xml:space="preserve"> </w:t>
      </w:r>
      <w:r>
        <w:t>the</w:t>
      </w:r>
      <w:r w:rsidR="00C64050">
        <w:t xml:space="preserve"> </w:t>
      </w:r>
      <w:r>
        <w:t>court</w:t>
      </w:r>
      <w:r w:rsidR="00C64050">
        <w:t xml:space="preserve"> </w:t>
      </w:r>
      <w:r>
        <w:t>may</w:t>
      </w:r>
      <w:r w:rsidR="00C64050">
        <w:t xml:space="preserve"> </w:t>
      </w:r>
      <w:r>
        <w:t>limit</w:t>
      </w:r>
      <w:r w:rsidR="00C64050">
        <w:t xml:space="preserve"> </w:t>
      </w:r>
      <w:r>
        <w:t>the</w:t>
      </w:r>
      <w:r w:rsidR="00C64050">
        <w:t xml:space="preserve"> </w:t>
      </w:r>
      <w:r>
        <w:t>award</w:t>
      </w:r>
      <w:r w:rsidR="00C64050">
        <w:t xml:space="preserve"> </w:t>
      </w:r>
      <w:r>
        <w:t>to</w:t>
      </w:r>
      <w:r w:rsidR="00C64050">
        <w:t xml:space="preserve"> </w:t>
      </w:r>
      <w:r>
        <w:t>such</w:t>
      </w:r>
      <w:r w:rsidR="00C64050">
        <w:t xml:space="preserve"> </w:t>
      </w:r>
      <w:r>
        <w:t>relief</w:t>
      </w:r>
      <w:r w:rsidR="00C64050">
        <w:t xml:space="preserve"> </w:t>
      </w:r>
      <w:r>
        <w:t>as</w:t>
      </w:r>
      <w:r w:rsidR="00C64050">
        <w:t xml:space="preserve"> </w:t>
      </w:r>
      <w:r>
        <w:t>is</w:t>
      </w:r>
      <w:r w:rsidR="00C64050">
        <w:t xml:space="preserve"> </w:t>
      </w:r>
      <w:r>
        <w:t>appropriate</w:t>
      </w:r>
      <w:r w:rsidR="00C64050">
        <w:t xml:space="preserve"> </w:t>
      </w:r>
      <w:r>
        <w:t>under</w:t>
      </w:r>
      <w:r w:rsidR="00C64050">
        <w:t xml:space="preserve"> </w:t>
      </w:r>
      <w:r>
        <w:t>the</w:t>
      </w:r>
      <w:r w:rsidR="00C64050">
        <w:t xml:space="preserve"> </w:t>
      </w:r>
      <w:r>
        <w:t>circumstances.</w:t>
      </w:r>
      <w:r w:rsidR="00C64050">
        <w:t xml:space="preserve"> </w:t>
      </w:r>
      <w:r w:rsidRPr="00D5161E">
        <w:rPr>
          <w:i/>
        </w:rPr>
        <w:t>See</w:t>
      </w:r>
      <w:r w:rsidR="00C64050">
        <w:t xml:space="preserve"> </w:t>
      </w:r>
      <w:r>
        <w:t>§</w:t>
      </w:r>
      <w:r w:rsidR="00C64050">
        <w:t xml:space="preserve"> </w:t>
      </w:r>
      <w:r>
        <w:t>736.0503(3).</w:t>
      </w:r>
    </w:p>
    <w:p w:rsidR="005D53B6" w:rsidRPr="005D53B6" w:rsidRDefault="001C474F" w:rsidP="00B66CCE">
      <w:pPr>
        <w:pStyle w:val="Heading20"/>
        <w:numPr>
          <w:ilvl w:val="1"/>
          <w:numId w:val="33"/>
        </w:numPr>
        <w:tabs>
          <w:tab w:val="clear" w:pos="2700"/>
        </w:tabs>
        <w:ind w:left="0"/>
        <w:rPr>
          <w:vanish/>
          <w:specVanish/>
        </w:rPr>
      </w:pPr>
      <w:bookmarkStart w:id="798" w:name="_Toc94704688"/>
      <w:r w:rsidRPr="001B23CB">
        <w:rPr>
          <w:b/>
          <w:u w:val="single"/>
        </w:rPr>
        <w:t>South</w:t>
      </w:r>
      <w:r w:rsidR="00C64050">
        <w:rPr>
          <w:b/>
          <w:u w:val="single"/>
        </w:rPr>
        <w:t xml:space="preserve"> </w:t>
      </w:r>
      <w:r w:rsidRPr="001B23CB">
        <w:rPr>
          <w:b/>
          <w:u w:val="single"/>
        </w:rPr>
        <w:t>Dakota</w:t>
      </w:r>
      <w:r w:rsidR="00C64050">
        <w:rPr>
          <w:b/>
          <w:u w:val="single"/>
        </w:rPr>
        <w:t xml:space="preserve"> </w:t>
      </w:r>
      <w:r w:rsidRPr="001B23CB">
        <w:rPr>
          <w:b/>
          <w:u w:val="single"/>
        </w:rPr>
        <w:t>Refuses</w:t>
      </w:r>
      <w:r w:rsidR="00C64050">
        <w:rPr>
          <w:b/>
          <w:u w:val="single"/>
        </w:rPr>
        <w:t xml:space="preserve"> </w:t>
      </w:r>
      <w:r w:rsidRPr="001B23CB">
        <w:rPr>
          <w:b/>
          <w:u w:val="single"/>
        </w:rPr>
        <w:t>To</w:t>
      </w:r>
      <w:r w:rsidR="00C64050">
        <w:rPr>
          <w:b/>
          <w:u w:val="single"/>
        </w:rPr>
        <w:t xml:space="preserve"> </w:t>
      </w:r>
      <w:r w:rsidRPr="001B23CB">
        <w:rPr>
          <w:b/>
          <w:u w:val="single"/>
        </w:rPr>
        <w:t>Enforce</w:t>
      </w:r>
      <w:r w:rsidR="00C64050">
        <w:rPr>
          <w:b/>
          <w:u w:val="single"/>
        </w:rPr>
        <w:t xml:space="preserve"> </w:t>
      </w:r>
      <w:r w:rsidRPr="001B23CB">
        <w:rPr>
          <w:b/>
          <w:u w:val="single"/>
        </w:rPr>
        <w:t>California</w:t>
      </w:r>
      <w:r w:rsidR="00C64050">
        <w:rPr>
          <w:b/>
          <w:u w:val="single"/>
        </w:rPr>
        <w:t xml:space="preserve"> </w:t>
      </w:r>
      <w:r w:rsidRPr="001B23CB">
        <w:rPr>
          <w:b/>
          <w:u w:val="single"/>
        </w:rPr>
        <w:t>Child</w:t>
      </w:r>
      <w:r w:rsidR="00C64050">
        <w:rPr>
          <w:b/>
          <w:u w:val="single"/>
        </w:rPr>
        <w:t xml:space="preserve"> </w:t>
      </w:r>
      <w:r w:rsidRPr="001B23CB">
        <w:rPr>
          <w:b/>
          <w:u w:val="single"/>
        </w:rPr>
        <w:t>Support</w:t>
      </w:r>
      <w:r w:rsidR="00C64050">
        <w:rPr>
          <w:b/>
          <w:u w:val="single"/>
        </w:rPr>
        <w:t xml:space="preserve"> </w:t>
      </w:r>
      <w:r w:rsidRPr="001B23CB">
        <w:rPr>
          <w:b/>
          <w:u w:val="single"/>
        </w:rPr>
        <w:t>Order</w:t>
      </w:r>
      <w:bookmarkEnd w:id="798"/>
    </w:p>
    <w:p w:rsidR="001C474F" w:rsidRDefault="001C474F" w:rsidP="005D53B6">
      <w:pPr>
        <w:pStyle w:val="Heading2Body"/>
      </w:pPr>
      <w:r>
        <w:t>.</w:t>
      </w:r>
      <w:r w:rsidR="00C64050">
        <w:t xml:space="preserve">  </w:t>
      </w:r>
      <w:r>
        <w:t>In</w:t>
      </w:r>
      <w:r w:rsidR="00C64050">
        <w:t xml:space="preserve"> </w:t>
      </w:r>
      <w:r w:rsidRPr="001B23CB">
        <w:rPr>
          <w:u w:val="single"/>
        </w:rPr>
        <w:t>Matter</w:t>
      </w:r>
      <w:r w:rsidR="00C64050">
        <w:rPr>
          <w:u w:val="single"/>
        </w:rPr>
        <w:t xml:space="preserve"> </w:t>
      </w:r>
      <w:r w:rsidRPr="001B23CB">
        <w:rPr>
          <w:u w:val="single"/>
        </w:rPr>
        <w:t>Cleopatra</w:t>
      </w:r>
      <w:r w:rsidR="00C64050">
        <w:rPr>
          <w:u w:val="single"/>
        </w:rPr>
        <w:t xml:space="preserve"> </w:t>
      </w:r>
      <w:r w:rsidRPr="001B23CB">
        <w:rPr>
          <w:u w:val="single"/>
        </w:rPr>
        <w:t>Cameron</w:t>
      </w:r>
      <w:r w:rsidR="00C64050">
        <w:rPr>
          <w:u w:val="single"/>
        </w:rPr>
        <w:t xml:space="preserve"> </w:t>
      </w:r>
      <w:r w:rsidRPr="001B23CB">
        <w:rPr>
          <w:u w:val="single"/>
        </w:rPr>
        <w:t>Gift</w:t>
      </w:r>
      <w:r w:rsidR="00C64050">
        <w:rPr>
          <w:u w:val="single"/>
        </w:rPr>
        <w:t xml:space="preserve"> </w:t>
      </w:r>
      <w:r w:rsidRPr="001B23CB">
        <w:rPr>
          <w:u w:val="single"/>
        </w:rPr>
        <w:t>Trust,</w:t>
      </w:r>
      <w:r w:rsidR="00C64050">
        <w:rPr>
          <w:u w:val="single"/>
        </w:rPr>
        <w:t xml:space="preserve"> </w:t>
      </w:r>
      <w:r w:rsidRPr="001B23CB">
        <w:rPr>
          <w:u w:val="single"/>
        </w:rPr>
        <w:t>Dated</w:t>
      </w:r>
      <w:r w:rsidR="00C64050">
        <w:rPr>
          <w:u w:val="single"/>
        </w:rPr>
        <w:t xml:space="preserve"> </w:t>
      </w:r>
      <w:r w:rsidRPr="001B23CB">
        <w:rPr>
          <w:u w:val="single"/>
        </w:rPr>
        <w:t>May</w:t>
      </w:r>
      <w:r w:rsidR="00C64050">
        <w:rPr>
          <w:u w:val="single"/>
        </w:rPr>
        <w:t xml:space="preserve"> </w:t>
      </w:r>
      <w:r w:rsidRPr="001B23CB">
        <w:rPr>
          <w:u w:val="single"/>
        </w:rPr>
        <w:t>26,</w:t>
      </w:r>
      <w:r w:rsidR="00C64050">
        <w:rPr>
          <w:u w:val="single"/>
        </w:rPr>
        <w:t xml:space="preserve"> </w:t>
      </w:r>
      <w:r w:rsidRPr="001B23CB">
        <w:rPr>
          <w:u w:val="single"/>
        </w:rPr>
        <w:t>1998</w:t>
      </w:r>
      <w:r>
        <w:t>,</w:t>
      </w:r>
      <w:r w:rsidR="00C64050">
        <w:t xml:space="preserve"> </w:t>
      </w:r>
      <w:r w:rsidR="00244CEA" w:rsidRPr="00244CEA">
        <w:t>931</w:t>
      </w:r>
      <w:r w:rsidR="00C64050">
        <w:t xml:space="preserve"> </w:t>
      </w:r>
      <w:r w:rsidR="00244CEA" w:rsidRPr="00244CEA">
        <w:t>N.W.2d</w:t>
      </w:r>
      <w:r w:rsidR="00C64050">
        <w:t xml:space="preserve"> </w:t>
      </w:r>
      <w:r w:rsidR="00244CEA" w:rsidRPr="00244CEA">
        <w:t>244</w:t>
      </w:r>
      <w:r w:rsidR="00C64050">
        <w:t xml:space="preserve"> </w:t>
      </w:r>
      <w:r>
        <w:t>(SD.</w:t>
      </w:r>
      <w:r w:rsidR="00C64050">
        <w:t xml:space="preserve"> </w:t>
      </w:r>
      <w:r>
        <w:t>2019),</w:t>
      </w:r>
      <w:r w:rsidR="00C64050">
        <w:t xml:space="preserve"> </w:t>
      </w:r>
      <w:r>
        <w:t>the</w:t>
      </w:r>
      <w:r w:rsidR="00C64050">
        <w:t xml:space="preserve"> </w:t>
      </w:r>
      <w:r>
        <w:t>South</w:t>
      </w:r>
      <w:r w:rsidR="00C64050">
        <w:t xml:space="preserve"> </w:t>
      </w:r>
      <w:r>
        <w:t>Dakota</w:t>
      </w:r>
      <w:r w:rsidR="00C64050">
        <w:t xml:space="preserve"> </w:t>
      </w:r>
      <w:r>
        <w:t>Supreme</w:t>
      </w:r>
      <w:r w:rsidR="00C64050">
        <w:t xml:space="preserve"> </w:t>
      </w:r>
      <w:r>
        <w:t>Court</w:t>
      </w:r>
      <w:r w:rsidR="00C64050">
        <w:t xml:space="preserve"> </w:t>
      </w:r>
      <w:r>
        <w:t>held</w:t>
      </w:r>
      <w:r w:rsidR="00C64050">
        <w:t xml:space="preserve"> </w:t>
      </w:r>
      <w:r>
        <w:t>that</w:t>
      </w:r>
      <w:r w:rsidR="00C64050">
        <w:t xml:space="preserve"> </w:t>
      </w:r>
      <w:r>
        <w:t>a</w:t>
      </w:r>
      <w:r w:rsidR="00C64050">
        <w:t xml:space="preserve"> </w:t>
      </w:r>
      <w:r>
        <w:t>California</w:t>
      </w:r>
      <w:r w:rsidR="00C64050">
        <w:t xml:space="preserve"> </w:t>
      </w:r>
      <w:r>
        <w:t>order</w:t>
      </w:r>
      <w:r w:rsidR="00C64050">
        <w:t xml:space="preserve"> </w:t>
      </w:r>
      <w:r>
        <w:t>directing</w:t>
      </w:r>
      <w:r w:rsidR="00C64050">
        <w:t xml:space="preserve"> </w:t>
      </w:r>
      <w:r>
        <w:t>a</w:t>
      </w:r>
      <w:r w:rsidR="00C64050">
        <w:t xml:space="preserve"> </w:t>
      </w:r>
      <w:r>
        <w:t>trustee</w:t>
      </w:r>
      <w:r w:rsidR="00C64050">
        <w:t xml:space="preserve"> </w:t>
      </w:r>
      <w:r>
        <w:t>to</w:t>
      </w:r>
      <w:r w:rsidR="00C64050">
        <w:t xml:space="preserve"> </w:t>
      </w:r>
      <w:r>
        <w:t>pay</w:t>
      </w:r>
      <w:r w:rsidR="00C64050">
        <w:t xml:space="preserve"> </w:t>
      </w:r>
      <w:r>
        <w:t>child</w:t>
      </w:r>
      <w:r w:rsidR="00C64050">
        <w:t xml:space="preserve"> </w:t>
      </w:r>
      <w:r>
        <w:t>support</w:t>
      </w:r>
      <w:r w:rsidR="00C64050">
        <w:t xml:space="preserve"> </w:t>
      </w:r>
      <w:r>
        <w:t>for</w:t>
      </w:r>
      <w:r w:rsidR="00C64050">
        <w:t xml:space="preserve"> </w:t>
      </w:r>
      <w:r>
        <w:t>a</w:t>
      </w:r>
      <w:r w:rsidR="00C64050">
        <w:t xml:space="preserve"> </w:t>
      </w:r>
      <w:r>
        <w:t>beneficiary’s</w:t>
      </w:r>
      <w:r w:rsidR="00C64050">
        <w:t xml:space="preserve"> </w:t>
      </w:r>
      <w:r>
        <w:t>children</w:t>
      </w:r>
      <w:r w:rsidR="00C64050">
        <w:t xml:space="preserve"> </w:t>
      </w:r>
      <w:r>
        <w:t>was</w:t>
      </w:r>
      <w:r w:rsidR="00C64050">
        <w:t xml:space="preserve"> </w:t>
      </w:r>
      <w:r>
        <w:t>not</w:t>
      </w:r>
      <w:r w:rsidR="00C64050">
        <w:t xml:space="preserve"> </w:t>
      </w:r>
      <w:r>
        <w:t>entitled</w:t>
      </w:r>
      <w:r w:rsidR="00C64050">
        <w:t xml:space="preserve"> </w:t>
      </w:r>
      <w:r>
        <w:t>to</w:t>
      </w:r>
      <w:r w:rsidR="00C64050">
        <w:t xml:space="preserve"> </w:t>
      </w:r>
      <w:r>
        <w:t>full</w:t>
      </w:r>
      <w:r w:rsidR="00C64050">
        <w:t xml:space="preserve"> </w:t>
      </w:r>
      <w:r>
        <w:t>faith</w:t>
      </w:r>
      <w:r w:rsidR="00C64050">
        <w:t xml:space="preserve"> </w:t>
      </w:r>
      <w:r>
        <w:t>and</w:t>
      </w:r>
      <w:r w:rsidR="00C64050">
        <w:t xml:space="preserve"> </w:t>
      </w:r>
      <w:r>
        <w:t>credit</w:t>
      </w:r>
      <w:r w:rsidR="00C64050">
        <w:t xml:space="preserve"> </w:t>
      </w:r>
      <w:r>
        <w:t>in</w:t>
      </w:r>
      <w:r w:rsidR="00C64050">
        <w:t xml:space="preserve"> </w:t>
      </w:r>
      <w:r>
        <w:t>South</w:t>
      </w:r>
      <w:r w:rsidR="00C64050">
        <w:t xml:space="preserve"> </w:t>
      </w:r>
      <w:r>
        <w:t>Dakota</w:t>
      </w:r>
      <w:r w:rsidR="00C64050">
        <w:t xml:space="preserve"> </w:t>
      </w:r>
      <w:r>
        <w:t>because</w:t>
      </w:r>
      <w:r w:rsidR="00C64050">
        <w:t xml:space="preserve"> </w:t>
      </w:r>
      <w:r>
        <w:t>it</w:t>
      </w:r>
      <w:r w:rsidR="00C64050">
        <w:t xml:space="preserve"> </w:t>
      </w:r>
      <w:r>
        <w:t>was</w:t>
      </w:r>
      <w:r w:rsidR="00C64050">
        <w:t xml:space="preserve"> </w:t>
      </w:r>
      <w:r>
        <w:t>a</w:t>
      </w:r>
      <w:r w:rsidR="00C64050">
        <w:t xml:space="preserve"> </w:t>
      </w:r>
      <w:r>
        <w:t>method</w:t>
      </w:r>
      <w:r w:rsidR="00C64050">
        <w:t xml:space="preserve"> </w:t>
      </w:r>
      <w:r>
        <w:t>of</w:t>
      </w:r>
      <w:r w:rsidR="00C64050">
        <w:t xml:space="preserve"> </w:t>
      </w:r>
      <w:r w:rsidR="00987139">
        <w:t>enforcement</w:t>
      </w:r>
      <w:r w:rsidR="00C64050">
        <w:t xml:space="preserve"> </w:t>
      </w:r>
      <w:r>
        <w:t>only.</w:t>
      </w:r>
      <w:r w:rsidR="00C64050">
        <w:t xml:space="preserve">  </w:t>
      </w:r>
      <w:r>
        <w:t>The</w:t>
      </w:r>
      <w:r w:rsidR="00C64050">
        <w:t xml:space="preserve"> </w:t>
      </w:r>
      <w:r w:rsidR="00987139">
        <w:t>opinion</w:t>
      </w:r>
      <w:r w:rsidR="00C64050">
        <w:t xml:space="preserve"> </w:t>
      </w:r>
      <w:r>
        <w:t>states:</w:t>
      </w:r>
    </w:p>
    <w:p w:rsidR="001B23CB" w:rsidRPr="006B1CE0" w:rsidRDefault="001B23CB" w:rsidP="006B1CE0">
      <w:pPr>
        <w:pStyle w:val="QS10"/>
        <w:rPr>
          <w:color w:val="000000" w:themeColor="text1"/>
        </w:rPr>
      </w:pPr>
      <w:r w:rsidRPr="006B1CE0">
        <w:rPr>
          <w:color w:val="000000" w:themeColor="text1"/>
        </w:rPr>
        <w:t>The</w:t>
      </w:r>
      <w:r w:rsidR="00C64050">
        <w:rPr>
          <w:color w:val="000000" w:themeColor="text1"/>
        </w:rPr>
        <w:t xml:space="preserve"> </w:t>
      </w:r>
      <w:r w:rsidRPr="006B1CE0">
        <w:rPr>
          <w:color w:val="000000" w:themeColor="text1"/>
        </w:rPr>
        <w:t>Full</w:t>
      </w:r>
      <w:r w:rsidR="00C64050">
        <w:rPr>
          <w:color w:val="000000" w:themeColor="text1"/>
        </w:rPr>
        <w:t xml:space="preserve"> </w:t>
      </w:r>
      <w:r w:rsidRPr="006B1CE0">
        <w:rPr>
          <w:color w:val="000000" w:themeColor="text1"/>
        </w:rPr>
        <w:t>Faith</w:t>
      </w:r>
      <w:r w:rsidR="00C64050">
        <w:rPr>
          <w:color w:val="000000" w:themeColor="text1"/>
        </w:rPr>
        <w:t xml:space="preserve"> </w:t>
      </w:r>
      <w:r w:rsidRPr="006B1CE0">
        <w:rPr>
          <w:color w:val="000000" w:themeColor="text1"/>
        </w:rPr>
        <w:t>and</w:t>
      </w:r>
      <w:r w:rsidR="00C64050">
        <w:rPr>
          <w:color w:val="000000" w:themeColor="text1"/>
        </w:rPr>
        <w:t xml:space="preserve"> </w:t>
      </w:r>
      <w:r w:rsidRPr="006B1CE0">
        <w:rPr>
          <w:color w:val="000000" w:themeColor="text1"/>
        </w:rPr>
        <w:t>Credit</w:t>
      </w:r>
      <w:r w:rsidR="00C64050">
        <w:rPr>
          <w:color w:val="000000" w:themeColor="text1"/>
        </w:rPr>
        <w:t xml:space="preserve"> </w:t>
      </w:r>
      <w:r w:rsidRPr="006B1CE0">
        <w:rPr>
          <w:color w:val="000000" w:themeColor="text1"/>
        </w:rPr>
        <w:t>Clause</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United</w:t>
      </w:r>
      <w:r w:rsidR="00C64050">
        <w:rPr>
          <w:color w:val="000000" w:themeColor="text1"/>
        </w:rPr>
        <w:t xml:space="preserve"> </w:t>
      </w:r>
      <w:r w:rsidRPr="006B1CE0">
        <w:rPr>
          <w:color w:val="000000" w:themeColor="text1"/>
        </w:rPr>
        <w:t>States</w:t>
      </w:r>
      <w:r w:rsidR="00C64050">
        <w:rPr>
          <w:color w:val="000000" w:themeColor="text1"/>
        </w:rPr>
        <w:t xml:space="preserve"> </w:t>
      </w:r>
      <w:r w:rsidRPr="006B1CE0">
        <w:rPr>
          <w:color w:val="000000" w:themeColor="text1"/>
        </w:rPr>
        <w:t>Constitution</w:t>
      </w:r>
      <w:r w:rsidR="00C64050">
        <w:rPr>
          <w:color w:val="000000" w:themeColor="text1"/>
        </w:rPr>
        <w:t xml:space="preserve"> </w:t>
      </w:r>
      <w:r w:rsidRPr="006B1CE0">
        <w:rPr>
          <w:color w:val="000000" w:themeColor="text1"/>
        </w:rPr>
        <w:t>provides</w:t>
      </w:r>
      <w:r w:rsidR="00C64050">
        <w:rPr>
          <w:color w:val="000000" w:themeColor="text1"/>
        </w:rPr>
        <w:t xml:space="preserve"> </w:t>
      </w:r>
      <w:r w:rsidRPr="006B1CE0">
        <w:rPr>
          <w:color w:val="000000" w:themeColor="text1"/>
        </w:rPr>
        <w:t>that,</w:t>
      </w:r>
      <w:r w:rsidR="00C64050">
        <w:rPr>
          <w:color w:val="000000" w:themeColor="text1"/>
        </w:rPr>
        <w:t xml:space="preserve"> </w:t>
      </w:r>
      <w:r w:rsidRPr="006B1CE0">
        <w:rPr>
          <w:color w:val="000000" w:themeColor="text1"/>
        </w:rPr>
        <w:t>“Full</w:t>
      </w:r>
      <w:r w:rsidR="00C64050">
        <w:rPr>
          <w:color w:val="000000" w:themeColor="text1"/>
        </w:rPr>
        <w:t xml:space="preserve"> </w:t>
      </w:r>
      <w:r w:rsidRPr="006B1CE0">
        <w:rPr>
          <w:color w:val="000000" w:themeColor="text1"/>
        </w:rPr>
        <w:t>Faith</w:t>
      </w:r>
      <w:r w:rsidR="00C64050">
        <w:rPr>
          <w:color w:val="000000" w:themeColor="text1"/>
        </w:rPr>
        <w:t xml:space="preserve"> </w:t>
      </w:r>
      <w:r w:rsidRPr="006B1CE0">
        <w:rPr>
          <w:color w:val="000000" w:themeColor="text1"/>
        </w:rPr>
        <w:t>and</w:t>
      </w:r>
      <w:r w:rsidR="00C64050">
        <w:rPr>
          <w:color w:val="000000" w:themeColor="text1"/>
        </w:rPr>
        <w:t xml:space="preserve"> </w:t>
      </w:r>
      <w:r w:rsidRPr="006B1CE0">
        <w:rPr>
          <w:color w:val="000000" w:themeColor="text1"/>
        </w:rPr>
        <w:t>Credit</w:t>
      </w:r>
      <w:r w:rsidR="00C64050">
        <w:rPr>
          <w:color w:val="000000" w:themeColor="text1"/>
        </w:rPr>
        <w:t xml:space="preserve"> </w:t>
      </w:r>
      <w:r w:rsidRPr="006B1CE0">
        <w:rPr>
          <w:color w:val="000000" w:themeColor="text1"/>
        </w:rPr>
        <w:t>shall</w:t>
      </w:r>
      <w:r w:rsidR="00C64050">
        <w:rPr>
          <w:color w:val="000000" w:themeColor="text1"/>
        </w:rPr>
        <w:t xml:space="preserve"> </w:t>
      </w:r>
      <w:r w:rsidRPr="006B1CE0">
        <w:rPr>
          <w:color w:val="000000" w:themeColor="text1"/>
        </w:rPr>
        <w:t>be</w:t>
      </w:r>
      <w:r w:rsidR="00C64050">
        <w:rPr>
          <w:color w:val="000000" w:themeColor="text1"/>
        </w:rPr>
        <w:t xml:space="preserve"> </w:t>
      </w:r>
      <w:r w:rsidRPr="006B1CE0">
        <w:rPr>
          <w:color w:val="000000" w:themeColor="text1"/>
        </w:rPr>
        <w:t>given</w:t>
      </w:r>
      <w:r w:rsidR="00C64050">
        <w:rPr>
          <w:color w:val="000000" w:themeColor="text1"/>
        </w:rPr>
        <w:t xml:space="preserve"> </w:t>
      </w:r>
      <w:r w:rsidRPr="006B1CE0">
        <w:rPr>
          <w:color w:val="000000" w:themeColor="text1"/>
        </w:rPr>
        <w:t>in</w:t>
      </w:r>
      <w:r w:rsidR="00C64050">
        <w:rPr>
          <w:color w:val="000000" w:themeColor="text1"/>
        </w:rPr>
        <w:t xml:space="preserve"> </w:t>
      </w:r>
      <w:r w:rsidRPr="006B1CE0">
        <w:rPr>
          <w:color w:val="000000" w:themeColor="text1"/>
        </w:rPr>
        <w:t>each</w:t>
      </w:r>
      <w:r w:rsidR="00C64050">
        <w:rPr>
          <w:color w:val="000000" w:themeColor="text1"/>
        </w:rPr>
        <w:t xml:space="preserve"> </w:t>
      </w:r>
      <w:r w:rsidRPr="006B1CE0">
        <w:rPr>
          <w:color w:val="000000" w:themeColor="text1"/>
        </w:rPr>
        <w:t>State</w:t>
      </w:r>
      <w:r w:rsidR="00C64050">
        <w:rPr>
          <w:color w:val="000000" w:themeColor="text1"/>
        </w:rPr>
        <w:t xml:space="preserve"> </w:t>
      </w:r>
      <w:r w:rsidRPr="006B1CE0">
        <w:rPr>
          <w:color w:val="000000" w:themeColor="text1"/>
        </w:rPr>
        <w:t>to</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public</w:t>
      </w:r>
      <w:r w:rsidR="00C64050">
        <w:rPr>
          <w:color w:val="000000" w:themeColor="text1"/>
        </w:rPr>
        <w:t xml:space="preserve"> </w:t>
      </w:r>
      <w:r w:rsidRPr="006B1CE0">
        <w:rPr>
          <w:color w:val="000000" w:themeColor="text1"/>
        </w:rPr>
        <w:t>Acts,</w:t>
      </w:r>
      <w:r w:rsidR="00C64050">
        <w:rPr>
          <w:color w:val="000000" w:themeColor="text1"/>
        </w:rPr>
        <w:t xml:space="preserve"> </w:t>
      </w:r>
      <w:r w:rsidRPr="006B1CE0">
        <w:rPr>
          <w:color w:val="000000" w:themeColor="text1"/>
        </w:rPr>
        <w:t>Records,</w:t>
      </w:r>
      <w:r w:rsidR="00C64050">
        <w:rPr>
          <w:color w:val="000000" w:themeColor="text1"/>
        </w:rPr>
        <w:t xml:space="preserve"> </w:t>
      </w:r>
      <w:r w:rsidRPr="006B1CE0">
        <w:rPr>
          <w:color w:val="000000" w:themeColor="text1"/>
        </w:rPr>
        <w:t>and</w:t>
      </w:r>
      <w:r w:rsidR="00C64050">
        <w:rPr>
          <w:color w:val="000000" w:themeColor="text1"/>
        </w:rPr>
        <w:t xml:space="preserve"> </w:t>
      </w:r>
      <w:r w:rsidRPr="006B1CE0">
        <w:rPr>
          <w:color w:val="000000" w:themeColor="text1"/>
        </w:rPr>
        <w:t>judicial</w:t>
      </w:r>
      <w:r w:rsidR="00C64050">
        <w:rPr>
          <w:color w:val="000000" w:themeColor="text1"/>
        </w:rPr>
        <w:t xml:space="preserve"> </w:t>
      </w:r>
      <w:r w:rsidRPr="006B1CE0">
        <w:rPr>
          <w:color w:val="000000" w:themeColor="text1"/>
        </w:rPr>
        <w:t>Proceedings</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every</w:t>
      </w:r>
      <w:r w:rsidR="00C64050">
        <w:rPr>
          <w:color w:val="000000" w:themeColor="text1"/>
        </w:rPr>
        <w:t xml:space="preserve"> </w:t>
      </w:r>
      <w:r w:rsidRPr="006B1CE0">
        <w:rPr>
          <w:color w:val="000000" w:themeColor="text1"/>
        </w:rPr>
        <w:t>other</w:t>
      </w:r>
      <w:r w:rsidR="00C64050">
        <w:rPr>
          <w:color w:val="000000" w:themeColor="text1"/>
        </w:rPr>
        <w:t xml:space="preserve"> </w:t>
      </w:r>
      <w:r w:rsidRPr="006B1CE0">
        <w:rPr>
          <w:color w:val="000000" w:themeColor="text1"/>
        </w:rPr>
        <w:t>State.”</w:t>
      </w:r>
      <w:r w:rsidR="00C64050">
        <w:rPr>
          <w:color w:val="000000" w:themeColor="text1"/>
        </w:rPr>
        <w:t xml:space="preserve"> </w:t>
      </w:r>
      <w:hyperlink r:id="rId377" w:history="1">
        <w:r w:rsidRPr="006B1CE0">
          <w:rPr>
            <w:color w:val="000000" w:themeColor="text1"/>
          </w:rPr>
          <w:t>U.S.</w:t>
        </w:r>
        <w:r w:rsidR="00C64050">
          <w:rPr>
            <w:color w:val="000000" w:themeColor="text1"/>
          </w:rPr>
          <w:t xml:space="preserve"> </w:t>
        </w:r>
        <w:r w:rsidRPr="006B1CE0">
          <w:rPr>
            <w:color w:val="000000" w:themeColor="text1"/>
          </w:rPr>
          <w:t>Const.</w:t>
        </w:r>
        <w:r w:rsidR="00C64050">
          <w:rPr>
            <w:color w:val="000000" w:themeColor="text1"/>
          </w:rPr>
          <w:t xml:space="preserve"> </w:t>
        </w:r>
        <w:r w:rsidRPr="006B1CE0">
          <w:rPr>
            <w:color w:val="000000" w:themeColor="text1"/>
          </w:rPr>
          <w:t>art.</w:t>
        </w:r>
        <w:r w:rsidR="00C64050">
          <w:rPr>
            <w:color w:val="000000" w:themeColor="text1"/>
          </w:rPr>
          <w:t xml:space="preserve"> </w:t>
        </w:r>
        <w:r w:rsidRPr="006B1CE0">
          <w:rPr>
            <w:color w:val="000000" w:themeColor="text1"/>
          </w:rPr>
          <w:t>IV,</w:t>
        </w:r>
        <w:r w:rsidR="00C64050">
          <w:rPr>
            <w:color w:val="000000" w:themeColor="text1"/>
          </w:rPr>
          <w:t xml:space="preserve"> </w:t>
        </w:r>
        <w:r w:rsidRPr="006B1CE0">
          <w:rPr>
            <w:color w:val="000000" w:themeColor="text1"/>
          </w:rPr>
          <w:t>§</w:t>
        </w:r>
        <w:r w:rsidR="00C64050">
          <w:rPr>
            <w:color w:val="000000" w:themeColor="text1"/>
          </w:rPr>
          <w:t xml:space="preserve"> </w:t>
        </w:r>
        <w:r w:rsidRPr="006B1CE0">
          <w:rPr>
            <w:color w:val="000000" w:themeColor="text1"/>
          </w:rPr>
          <w:t>1</w:t>
        </w:r>
      </w:hyperlink>
      <w:r w:rsidRPr="006B1CE0">
        <w:rPr>
          <w:color w:val="000000" w:themeColor="text1"/>
        </w:rPr>
        <w:t>.</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command</w:t>
      </w:r>
      <w:r w:rsidR="00C64050">
        <w:rPr>
          <w:color w:val="000000" w:themeColor="text1"/>
        </w:rPr>
        <w:t xml:space="preserve"> </w:t>
      </w:r>
      <w:r w:rsidRPr="006B1CE0">
        <w:rPr>
          <w:color w:val="000000" w:themeColor="text1"/>
        </w:rPr>
        <w:t>to</w:t>
      </w:r>
      <w:r w:rsidR="00C64050">
        <w:rPr>
          <w:color w:val="000000" w:themeColor="text1"/>
        </w:rPr>
        <w:t xml:space="preserve"> </w:t>
      </w:r>
      <w:r w:rsidRPr="006B1CE0">
        <w:rPr>
          <w:color w:val="000000" w:themeColor="text1"/>
        </w:rPr>
        <w:t>afford</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judgments</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foreign</w:t>
      </w:r>
      <w:r w:rsidR="00C64050">
        <w:rPr>
          <w:color w:val="000000" w:themeColor="text1"/>
        </w:rPr>
        <w:t xml:space="preserve"> </w:t>
      </w:r>
      <w:r w:rsidRPr="006B1CE0">
        <w:rPr>
          <w:color w:val="000000" w:themeColor="text1"/>
        </w:rPr>
        <w:t>states</w:t>
      </w:r>
      <w:r w:rsidR="00C64050">
        <w:rPr>
          <w:color w:val="000000" w:themeColor="text1"/>
        </w:rPr>
        <w:t xml:space="preserve"> </w:t>
      </w:r>
      <w:r w:rsidRPr="006B1CE0">
        <w:rPr>
          <w:color w:val="000000" w:themeColor="text1"/>
        </w:rPr>
        <w:t>full</w:t>
      </w:r>
      <w:r w:rsidR="00C64050">
        <w:rPr>
          <w:color w:val="000000" w:themeColor="text1"/>
        </w:rPr>
        <w:t xml:space="preserve"> </w:t>
      </w:r>
      <w:r w:rsidRPr="006B1CE0">
        <w:rPr>
          <w:color w:val="000000" w:themeColor="text1"/>
        </w:rPr>
        <w:t>faith</w:t>
      </w:r>
      <w:r w:rsidR="00C64050">
        <w:rPr>
          <w:color w:val="000000" w:themeColor="text1"/>
        </w:rPr>
        <w:t xml:space="preserve"> </w:t>
      </w:r>
      <w:r w:rsidRPr="006B1CE0">
        <w:rPr>
          <w:color w:val="000000" w:themeColor="text1"/>
        </w:rPr>
        <w:t>and</w:t>
      </w:r>
      <w:r w:rsidR="00C64050">
        <w:rPr>
          <w:color w:val="000000" w:themeColor="text1"/>
        </w:rPr>
        <w:t xml:space="preserve"> </w:t>
      </w:r>
      <w:r w:rsidRPr="006B1CE0">
        <w:rPr>
          <w:color w:val="000000" w:themeColor="text1"/>
        </w:rPr>
        <w:t>credit</w:t>
      </w:r>
      <w:r w:rsidR="00C64050">
        <w:rPr>
          <w:color w:val="000000" w:themeColor="text1"/>
        </w:rPr>
        <w:t xml:space="preserve"> </w:t>
      </w:r>
      <w:r w:rsidRPr="006B1CE0">
        <w:rPr>
          <w:color w:val="000000" w:themeColor="text1"/>
        </w:rPr>
        <w:t>is</w:t>
      </w:r>
      <w:r w:rsidR="00C64050">
        <w:rPr>
          <w:color w:val="000000" w:themeColor="text1"/>
        </w:rPr>
        <w:t xml:space="preserve"> </w:t>
      </w:r>
      <w:r w:rsidRPr="006B1CE0">
        <w:rPr>
          <w:color w:val="000000" w:themeColor="text1"/>
        </w:rPr>
        <w:t>further</w:t>
      </w:r>
      <w:r w:rsidR="00C64050">
        <w:rPr>
          <w:color w:val="000000" w:themeColor="text1"/>
        </w:rPr>
        <w:t xml:space="preserve"> </w:t>
      </w:r>
      <w:r w:rsidRPr="006B1CE0">
        <w:rPr>
          <w:color w:val="000000" w:themeColor="text1"/>
        </w:rPr>
        <w:t>codified</w:t>
      </w:r>
      <w:r w:rsidR="00C64050">
        <w:rPr>
          <w:color w:val="000000" w:themeColor="text1"/>
        </w:rPr>
        <w:t xml:space="preserve"> </w:t>
      </w:r>
      <w:r w:rsidRPr="006B1CE0">
        <w:rPr>
          <w:color w:val="000000" w:themeColor="text1"/>
        </w:rPr>
        <w:t>at</w:t>
      </w:r>
      <w:r w:rsidR="00C64050">
        <w:rPr>
          <w:color w:val="000000" w:themeColor="text1"/>
        </w:rPr>
        <w:t xml:space="preserve"> </w:t>
      </w:r>
      <w:hyperlink r:id="rId378" w:history="1">
        <w:r w:rsidRPr="006B1CE0">
          <w:rPr>
            <w:color w:val="000000" w:themeColor="text1"/>
          </w:rPr>
          <w:t>28</w:t>
        </w:r>
        <w:r w:rsidR="00C64050">
          <w:rPr>
            <w:color w:val="000000" w:themeColor="text1"/>
          </w:rPr>
          <w:t xml:space="preserve"> </w:t>
        </w:r>
        <w:r w:rsidRPr="006B1CE0">
          <w:rPr>
            <w:color w:val="000000" w:themeColor="text1"/>
          </w:rPr>
          <w:t>U.S.C.</w:t>
        </w:r>
        <w:r w:rsidR="00C64050">
          <w:rPr>
            <w:color w:val="000000" w:themeColor="text1"/>
          </w:rPr>
          <w:t xml:space="preserve"> </w:t>
        </w:r>
        <w:r w:rsidRPr="006B1CE0">
          <w:rPr>
            <w:color w:val="000000" w:themeColor="text1"/>
          </w:rPr>
          <w:t>§</w:t>
        </w:r>
        <w:r w:rsidR="00C64050">
          <w:rPr>
            <w:color w:val="000000" w:themeColor="text1"/>
          </w:rPr>
          <w:t xml:space="preserve"> </w:t>
        </w:r>
        <w:r w:rsidRPr="006B1CE0">
          <w:rPr>
            <w:color w:val="000000" w:themeColor="text1"/>
          </w:rPr>
          <w:t>1738</w:t>
        </w:r>
        <w:r w:rsidR="00C64050">
          <w:rPr>
            <w:color w:val="000000" w:themeColor="text1"/>
          </w:rPr>
          <w:t xml:space="preserve"> </w:t>
        </w:r>
        <w:r w:rsidRPr="006B1CE0">
          <w:rPr>
            <w:color w:val="000000" w:themeColor="text1"/>
          </w:rPr>
          <w:t>(2013)</w:t>
        </w:r>
      </w:hyperlink>
      <w:r w:rsidRPr="006B1CE0">
        <w:rPr>
          <w:color w:val="000000" w:themeColor="text1"/>
        </w:rPr>
        <w:t>,</w:t>
      </w:r>
      <w:r w:rsidR="00C64050">
        <w:rPr>
          <w:color w:val="000000" w:themeColor="text1"/>
        </w:rPr>
        <w:t xml:space="preserve"> </w:t>
      </w:r>
      <w:r w:rsidRPr="006B1CE0">
        <w:rPr>
          <w:color w:val="000000" w:themeColor="text1"/>
        </w:rPr>
        <w:t>which</w:t>
      </w:r>
      <w:r w:rsidR="00C64050">
        <w:rPr>
          <w:color w:val="000000" w:themeColor="text1"/>
        </w:rPr>
        <w:t xml:space="preserve"> </w:t>
      </w:r>
      <w:r w:rsidRPr="006B1CE0">
        <w:rPr>
          <w:color w:val="000000" w:themeColor="text1"/>
        </w:rPr>
        <w:t>provides</w:t>
      </w:r>
      <w:r w:rsidR="00C64050">
        <w:rPr>
          <w:color w:val="000000" w:themeColor="text1"/>
        </w:rPr>
        <w:t xml:space="preserve"> </w:t>
      </w:r>
      <w:r w:rsidRPr="006B1CE0">
        <w:rPr>
          <w:color w:val="000000" w:themeColor="text1"/>
        </w:rPr>
        <w:t>that</w:t>
      </w:r>
      <w:r w:rsidR="00C64050">
        <w:rPr>
          <w:color w:val="000000" w:themeColor="text1"/>
        </w:rPr>
        <w:t xml:space="preserve"> </w:t>
      </w:r>
      <w:r w:rsidRPr="006B1CE0">
        <w:rPr>
          <w:color w:val="000000" w:themeColor="text1"/>
        </w:rPr>
        <w:t>authenticated</w:t>
      </w:r>
      <w:r w:rsidR="00C64050">
        <w:rPr>
          <w:color w:val="000000" w:themeColor="text1"/>
        </w:rPr>
        <w:t xml:space="preserve"> </w:t>
      </w:r>
      <w:r w:rsidRPr="006B1CE0">
        <w:rPr>
          <w:color w:val="000000" w:themeColor="text1"/>
        </w:rPr>
        <w:t>records</w:t>
      </w:r>
      <w:r w:rsidR="00C64050">
        <w:rPr>
          <w:color w:val="000000" w:themeColor="text1"/>
        </w:rPr>
        <w:t xml:space="preserve"> </w:t>
      </w:r>
      <w:r w:rsidRPr="006B1CE0">
        <w:rPr>
          <w:color w:val="000000" w:themeColor="text1"/>
        </w:rPr>
        <w:t>and</w:t>
      </w:r>
      <w:r w:rsidR="00C64050">
        <w:rPr>
          <w:color w:val="000000" w:themeColor="text1"/>
        </w:rPr>
        <w:t xml:space="preserve"> </w:t>
      </w:r>
      <w:r w:rsidRPr="006B1CE0">
        <w:rPr>
          <w:color w:val="000000" w:themeColor="text1"/>
        </w:rPr>
        <w:t>judicial</w:t>
      </w:r>
      <w:r w:rsidR="00C64050">
        <w:rPr>
          <w:color w:val="000000" w:themeColor="text1"/>
        </w:rPr>
        <w:t xml:space="preserve"> </w:t>
      </w:r>
      <w:r w:rsidRPr="006B1CE0">
        <w:rPr>
          <w:color w:val="000000" w:themeColor="text1"/>
        </w:rPr>
        <w:t>proceedings</w:t>
      </w:r>
      <w:r w:rsidR="00C64050">
        <w:rPr>
          <w:color w:val="000000" w:themeColor="text1"/>
        </w:rPr>
        <w:t xml:space="preserve"> </w:t>
      </w:r>
      <w:r w:rsidRPr="006B1CE0">
        <w:rPr>
          <w:color w:val="000000" w:themeColor="text1"/>
        </w:rPr>
        <w:t>“shall</w:t>
      </w:r>
      <w:r w:rsidR="00C64050">
        <w:rPr>
          <w:color w:val="000000" w:themeColor="text1"/>
        </w:rPr>
        <w:t xml:space="preserve"> </w:t>
      </w:r>
      <w:r w:rsidRPr="006B1CE0">
        <w:rPr>
          <w:color w:val="000000" w:themeColor="text1"/>
        </w:rPr>
        <w:t>have</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same</w:t>
      </w:r>
      <w:r w:rsidR="00C64050">
        <w:rPr>
          <w:color w:val="000000" w:themeColor="text1"/>
        </w:rPr>
        <w:t xml:space="preserve"> </w:t>
      </w:r>
      <w:r w:rsidRPr="006B1CE0">
        <w:rPr>
          <w:color w:val="000000" w:themeColor="text1"/>
        </w:rPr>
        <w:t>full</w:t>
      </w:r>
      <w:r w:rsidR="00C64050">
        <w:rPr>
          <w:color w:val="000000" w:themeColor="text1"/>
        </w:rPr>
        <w:t xml:space="preserve"> </w:t>
      </w:r>
      <w:r w:rsidRPr="006B1CE0">
        <w:rPr>
          <w:color w:val="000000" w:themeColor="text1"/>
        </w:rPr>
        <w:t>faith</w:t>
      </w:r>
      <w:r w:rsidR="00C64050">
        <w:rPr>
          <w:color w:val="000000" w:themeColor="text1"/>
        </w:rPr>
        <w:t xml:space="preserve"> </w:t>
      </w:r>
      <w:r w:rsidRPr="006B1CE0">
        <w:rPr>
          <w:color w:val="000000" w:themeColor="text1"/>
        </w:rPr>
        <w:t>and</w:t>
      </w:r>
      <w:r w:rsidR="00C64050">
        <w:rPr>
          <w:color w:val="000000" w:themeColor="text1"/>
        </w:rPr>
        <w:t xml:space="preserve"> </w:t>
      </w:r>
      <w:r w:rsidRPr="006B1CE0">
        <w:rPr>
          <w:color w:val="000000" w:themeColor="text1"/>
        </w:rPr>
        <w:t>credit</w:t>
      </w:r>
      <w:r w:rsidR="00C64050">
        <w:rPr>
          <w:color w:val="000000" w:themeColor="text1"/>
        </w:rPr>
        <w:t xml:space="preserve"> </w:t>
      </w:r>
      <w:r w:rsidRPr="006B1CE0">
        <w:rPr>
          <w:color w:val="000000" w:themeColor="text1"/>
        </w:rPr>
        <w:t>in</w:t>
      </w:r>
      <w:r w:rsidR="00C64050">
        <w:rPr>
          <w:color w:val="000000" w:themeColor="text1"/>
        </w:rPr>
        <w:t xml:space="preserve"> </w:t>
      </w:r>
      <w:r w:rsidRPr="006B1CE0">
        <w:rPr>
          <w:color w:val="000000" w:themeColor="text1"/>
        </w:rPr>
        <w:t>every</w:t>
      </w:r>
      <w:r w:rsidR="00C64050">
        <w:rPr>
          <w:color w:val="000000" w:themeColor="text1"/>
        </w:rPr>
        <w:t xml:space="preserve"> </w:t>
      </w:r>
      <w:r w:rsidRPr="006B1CE0">
        <w:rPr>
          <w:color w:val="000000" w:themeColor="text1"/>
        </w:rPr>
        <w:t>court</w:t>
      </w:r>
      <w:r w:rsidR="00C64050">
        <w:rPr>
          <w:color w:val="000000" w:themeColor="text1"/>
        </w:rPr>
        <w:t xml:space="preserve"> </w:t>
      </w:r>
      <w:r w:rsidRPr="006B1CE0">
        <w:rPr>
          <w:color w:val="000000" w:themeColor="text1"/>
        </w:rPr>
        <w:t>within</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United</w:t>
      </w:r>
      <w:r w:rsidR="00C64050">
        <w:rPr>
          <w:color w:val="000000" w:themeColor="text1"/>
        </w:rPr>
        <w:t xml:space="preserve"> </w:t>
      </w:r>
      <w:r w:rsidRPr="006B1CE0">
        <w:rPr>
          <w:color w:val="000000" w:themeColor="text1"/>
        </w:rPr>
        <w:t>States</w:t>
      </w:r>
      <w:r w:rsidR="00C64050">
        <w:rPr>
          <w:color w:val="000000" w:themeColor="text1"/>
        </w:rPr>
        <w:t xml:space="preserve"> </w:t>
      </w:r>
      <w:r w:rsidRPr="006B1CE0">
        <w:rPr>
          <w:color w:val="000000" w:themeColor="text1"/>
        </w:rPr>
        <w:t>and</w:t>
      </w:r>
      <w:r w:rsidR="00C64050">
        <w:rPr>
          <w:color w:val="000000" w:themeColor="text1"/>
        </w:rPr>
        <w:t xml:space="preserve"> </w:t>
      </w:r>
      <w:r w:rsidRPr="006B1CE0">
        <w:rPr>
          <w:color w:val="000000" w:themeColor="text1"/>
        </w:rPr>
        <w:t>its</w:t>
      </w:r>
      <w:r w:rsidR="00C64050">
        <w:rPr>
          <w:color w:val="000000" w:themeColor="text1"/>
        </w:rPr>
        <w:t xml:space="preserve"> </w:t>
      </w:r>
      <w:r w:rsidRPr="006B1CE0">
        <w:rPr>
          <w:color w:val="000000" w:themeColor="text1"/>
        </w:rPr>
        <w:t>Territories</w:t>
      </w:r>
      <w:r w:rsidR="00C64050">
        <w:rPr>
          <w:color w:val="000000" w:themeColor="text1"/>
        </w:rPr>
        <w:t xml:space="preserve"> </w:t>
      </w:r>
      <w:r w:rsidRPr="006B1CE0">
        <w:rPr>
          <w:color w:val="000000" w:themeColor="text1"/>
        </w:rPr>
        <w:t>and</w:t>
      </w:r>
      <w:r w:rsidR="00C64050">
        <w:rPr>
          <w:color w:val="000000" w:themeColor="text1"/>
        </w:rPr>
        <w:t xml:space="preserve"> </w:t>
      </w:r>
      <w:r w:rsidRPr="006B1CE0">
        <w:rPr>
          <w:color w:val="000000" w:themeColor="text1"/>
        </w:rPr>
        <w:t>Possessions</w:t>
      </w:r>
      <w:r w:rsidR="00C64050">
        <w:rPr>
          <w:color w:val="000000" w:themeColor="text1"/>
        </w:rPr>
        <w:t xml:space="preserve"> </w:t>
      </w:r>
      <w:r w:rsidRPr="006B1CE0">
        <w:rPr>
          <w:color w:val="000000" w:themeColor="text1"/>
        </w:rPr>
        <w:t>as</w:t>
      </w:r>
      <w:r w:rsidR="00C64050">
        <w:rPr>
          <w:color w:val="000000" w:themeColor="text1"/>
        </w:rPr>
        <w:t xml:space="preserve"> </w:t>
      </w:r>
      <w:r w:rsidRPr="006B1CE0">
        <w:rPr>
          <w:color w:val="000000" w:themeColor="text1"/>
        </w:rPr>
        <w:t>they</w:t>
      </w:r>
      <w:r w:rsidR="00C64050">
        <w:rPr>
          <w:color w:val="000000" w:themeColor="text1"/>
        </w:rPr>
        <w:t xml:space="preserve"> </w:t>
      </w:r>
      <w:r w:rsidRPr="006B1CE0">
        <w:rPr>
          <w:color w:val="000000" w:themeColor="text1"/>
        </w:rPr>
        <w:t>have</w:t>
      </w:r>
      <w:r w:rsidR="00C64050">
        <w:rPr>
          <w:color w:val="000000" w:themeColor="text1"/>
        </w:rPr>
        <w:t xml:space="preserve"> </w:t>
      </w:r>
      <w:r w:rsidRPr="006B1CE0">
        <w:rPr>
          <w:color w:val="000000" w:themeColor="text1"/>
        </w:rPr>
        <w:t>by</w:t>
      </w:r>
      <w:r w:rsidR="00C64050">
        <w:rPr>
          <w:color w:val="000000" w:themeColor="text1"/>
        </w:rPr>
        <w:t xml:space="preserve"> </w:t>
      </w:r>
      <w:r w:rsidRPr="006B1CE0">
        <w:rPr>
          <w:color w:val="000000" w:themeColor="text1"/>
        </w:rPr>
        <w:t>law</w:t>
      </w:r>
      <w:r w:rsidR="00C64050">
        <w:rPr>
          <w:color w:val="000000" w:themeColor="text1"/>
        </w:rPr>
        <w:t xml:space="preserve"> </w:t>
      </w:r>
      <w:r w:rsidRPr="006B1CE0">
        <w:rPr>
          <w:color w:val="000000" w:themeColor="text1"/>
        </w:rPr>
        <w:t>or</w:t>
      </w:r>
      <w:r w:rsidR="00C64050">
        <w:rPr>
          <w:color w:val="000000" w:themeColor="text1"/>
        </w:rPr>
        <w:t xml:space="preserve"> </w:t>
      </w:r>
      <w:r w:rsidRPr="006B1CE0">
        <w:rPr>
          <w:color w:val="000000" w:themeColor="text1"/>
        </w:rPr>
        <w:t>usage</w:t>
      </w:r>
      <w:r w:rsidR="00C64050">
        <w:rPr>
          <w:color w:val="000000" w:themeColor="text1"/>
        </w:rPr>
        <w:t xml:space="preserve"> </w:t>
      </w:r>
      <w:r w:rsidRPr="006B1CE0">
        <w:rPr>
          <w:color w:val="000000" w:themeColor="text1"/>
        </w:rPr>
        <w:t>in</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courts</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such</w:t>
      </w:r>
      <w:r w:rsidR="00C64050">
        <w:rPr>
          <w:color w:val="000000" w:themeColor="text1"/>
        </w:rPr>
        <w:t xml:space="preserve"> </w:t>
      </w:r>
      <w:r w:rsidRPr="006B1CE0">
        <w:rPr>
          <w:color w:val="000000" w:themeColor="text1"/>
        </w:rPr>
        <w:t>State[.]”</w:t>
      </w:r>
    </w:p>
    <w:p w:rsidR="001B23CB" w:rsidRPr="006B1CE0" w:rsidRDefault="001B23CB" w:rsidP="006B1CE0">
      <w:pPr>
        <w:pStyle w:val="QS10"/>
        <w:rPr>
          <w:color w:val="000000" w:themeColor="text1"/>
        </w:rPr>
      </w:pPr>
      <w:r w:rsidRPr="006B1CE0">
        <w:rPr>
          <w:color w:val="000000" w:themeColor="text1"/>
        </w:rPr>
        <w:t>The</w:t>
      </w:r>
      <w:r w:rsidR="00C64050">
        <w:rPr>
          <w:color w:val="000000" w:themeColor="text1"/>
        </w:rPr>
        <w:t xml:space="preserve"> </w:t>
      </w:r>
      <w:r w:rsidRPr="006B1CE0">
        <w:rPr>
          <w:color w:val="000000" w:themeColor="text1"/>
        </w:rPr>
        <w:t>United</w:t>
      </w:r>
      <w:r w:rsidR="00C64050">
        <w:rPr>
          <w:color w:val="000000" w:themeColor="text1"/>
        </w:rPr>
        <w:t xml:space="preserve"> </w:t>
      </w:r>
      <w:r w:rsidRPr="006B1CE0">
        <w:rPr>
          <w:color w:val="000000" w:themeColor="text1"/>
        </w:rPr>
        <w:t>States</w:t>
      </w:r>
      <w:r w:rsidR="00C64050">
        <w:rPr>
          <w:color w:val="000000" w:themeColor="text1"/>
        </w:rPr>
        <w:t xml:space="preserve"> </w:t>
      </w:r>
      <w:r w:rsidRPr="006B1CE0">
        <w:rPr>
          <w:color w:val="000000" w:themeColor="text1"/>
        </w:rPr>
        <w:t>Supreme</w:t>
      </w:r>
      <w:r w:rsidR="00C64050">
        <w:rPr>
          <w:color w:val="000000" w:themeColor="text1"/>
        </w:rPr>
        <w:t xml:space="preserve"> </w:t>
      </w:r>
      <w:r w:rsidRPr="006B1CE0">
        <w:rPr>
          <w:color w:val="000000" w:themeColor="text1"/>
        </w:rPr>
        <w:t>Court</w:t>
      </w:r>
      <w:r w:rsidR="00C64050">
        <w:rPr>
          <w:color w:val="000000" w:themeColor="text1"/>
        </w:rPr>
        <w:t xml:space="preserve"> </w:t>
      </w:r>
      <w:r w:rsidRPr="006B1CE0">
        <w:rPr>
          <w:color w:val="000000" w:themeColor="text1"/>
        </w:rPr>
        <w:t>has</w:t>
      </w:r>
      <w:r w:rsidR="00C64050">
        <w:rPr>
          <w:color w:val="000000" w:themeColor="text1"/>
        </w:rPr>
        <w:t xml:space="preserve"> </w:t>
      </w:r>
      <w:r w:rsidRPr="006B1CE0">
        <w:rPr>
          <w:color w:val="000000" w:themeColor="text1"/>
        </w:rPr>
        <w:t>recognized</w:t>
      </w:r>
      <w:r w:rsidR="00C64050">
        <w:rPr>
          <w:color w:val="000000" w:themeColor="text1"/>
        </w:rPr>
        <w:t xml:space="preserve"> </w:t>
      </w:r>
      <w:r w:rsidRPr="006B1CE0">
        <w:rPr>
          <w:color w:val="000000" w:themeColor="text1"/>
        </w:rPr>
        <w:t>that</w:t>
      </w:r>
      <w:r w:rsidR="00C64050">
        <w:rPr>
          <w:color w:val="000000" w:themeColor="text1"/>
        </w:rPr>
        <w:t xml:space="preserve"> </w:t>
      </w:r>
      <w:r w:rsidRPr="006B1CE0">
        <w:rPr>
          <w:color w:val="000000" w:themeColor="text1"/>
        </w:rPr>
        <w:t>providing</w:t>
      </w:r>
      <w:r w:rsidR="00C64050">
        <w:rPr>
          <w:color w:val="000000" w:themeColor="text1"/>
        </w:rPr>
        <w:t xml:space="preserve"> </w:t>
      </w:r>
      <w:r w:rsidRPr="006B1CE0">
        <w:rPr>
          <w:color w:val="000000" w:themeColor="text1"/>
        </w:rPr>
        <w:t>full</w:t>
      </w:r>
      <w:r w:rsidR="00C64050">
        <w:rPr>
          <w:color w:val="000000" w:themeColor="text1"/>
        </w:rPr>
        <w:t xml:space="preserve"> </w:t>
      </w:r>
      <w:r w:rsidRPr="006B1CE0">
        <w:rPr>
          <w:color w:val="000000" w:themeColor="text1"/>
        </w:rPr>
        <w:t>faith</w:t>
      </w:r>
      <w:r w:rsidR="00C64050">
        <w:rPr>
          <w:color w:val="000000" w:themeColor="text1"/>
        </w:rPr>
        <w:t xml:space="preserve"> </w:t>
      </w:r>
      <w:r w:rsidRPr="006B1CE0">
        <w:rPr>
          <w:color w:val="000000" w:themeColor="text1"/>
        </w:rPr>
        <w:t>and</w:t>
      </w:r>
      <w:r w:rsidR="00C64050">
        <w:rPr>
          <w:color w:val="000000" w:themeColor="text1"/>
        </w:rPr>
        <w:t xml:space="preserve"> </w:t>
      </w:r>
      <w:r w:rsidRPr="006B1CE0">
        <w:rPr>
          <w:color w:val="000000" w:themeColor="text1"/>
        </w:rPr>
        <w:t>credit</w:t>
      </w:r>
      <w:r w:rsidR="00C64050">
        <w:rPr>
          <w:color w:val="000000" w:themeColor="text1"/>
        </w:rPr>
        <w:t xml:space="preserve"> </w:t>
      </w:r>
      <w:r w:rsidRPr="006B1CE0">
        <w:rPr>
          <w:color w:val="000000" w:themeColor="text1"/>
        </w:rPr>
        <w:t>to</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judgments</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foreign</w:t>
      </w:r>
      <w:r w:rsidR="00C64050">
        <w:rPr>
          <w:color w:val="000000" w:themeColor="text1"/>
        </w:rPr>
        <w:t xml:space="preserve"> </w:t>
      </w:r>
      <w:r w:rsidRPr="006B1CE0">
        <w:rPr>
          <w:color w:val="000000" w:themeColor="text1"/>
        </w:rPr>
        <w:t>states</w:t>
      </w:r>
      <w:r w:rsidR="00C64050">
        <w:rPr>
          <w:color w:val="000000" w:themeColor="text1"/>
        </w:rPr>
        <w:t xml:space="preserve"> </w:t>
      </w:r>
      <w:r w:rsidRPr="006B1CE0">
        <w:rPr>
          <w:color w:val="000000" w:themeColor="text1"/>
        </w:rPr>
        <w:t>serves</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salutary</w:t>
      </w:r>
      <w:r w:rsidR="00C64050">
        <w:rPr>
          <w:color w:val="000000" w:themeColor="text1"/>
        </w:rPr>
        <w:t xml:space="preserve"> </w:t>
      </w:r>
      <w:r w:rsidRPr="006B1CE0">
        <w:rPr>
          <w:color w:val="000000" w:themeColor="text1"/>
        </w:rPr>
        <w:t>purpose</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limiting</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opportunity</w:t>
      </w:r>
      <w:r w:rsidR="00C64050">
        <w:rPr>
          <w:color w:val="000000" w:themeColor="text1"/>
        </w:rPr>
        <w:t xml:space="preserve"> </w:t>
      </w:r>
      <w:r w:rsidRPr="006B1CE0">
        <w:rPr>
          <w:color w:val="000000" w:themeColor="text1"/>
        </w:rPr>
        <w:t>to</w:t>
      </w:r>
      <w:r w:rsidR="00C64050">
        <w:rPr>
          <w:color w:val="000000" w:themeColor="text1"/>
        </w:rPr>
        <w:t xml:space="preserve"> </w:t>
      </w:r>
      <w:r w:rsidRPr="006B1CE0">
        <w:rPr>
          <w:color w:val="000000" w:themeColor="text1"/>
        </w:rPr>
        <w:t>relitigate</w:t>
      </w:r>
      <w:r w:rsidR="00C64050">
        <w:rPr>
          <w:color w:val="000000" w:themeColor="text1"/>
        </w:rPr>
        <w:t xml:space="preserve"> </w:t>
      </w:r>
      <w:r w:rsidRPr="006B1CE0">
        <w:rPr>
          <w:color w:val="000000" w:themeColor="text1"/>
        </w:rPr>
        <w:t>issues</w:t>
      </w:r>
      <w:r w:rsidR="00C64050">
        <w:rPr>
          <w:color w:val="000000" w:themeColor="text1"/>
        </w:rPr>
        <w:t xml:space="preserve"> </w:t>
      </w:r>
      <w:r w:rsidRPr="006B1CE0">
        <w:rPr>
          <w:color w:val="000000" w:themeColor="text1"/>
        </w:rPr>
        <w:t>that</w:t>
      </w:r>
      <w:r w:rsidR="00C64050">
        <w:rPr>
          <w:color w:val="000000" w:themeColor="text1"/>
        </w:rPr>
        <w:t xml:space="preserve"> </w:t>
      </w:r>
      <w:r w:rsidRPr="006B1CE0">
        <w:rPr>
          <w:color w:val="000000" w:themeColor="text1"/>
        </w:rPr>
        <w:t>have</w:t>
      </w:r>
      <w:r w:rsidR="00C64050">
        <w:rPr>
          <w:color w:val="000000" w:themeColor="text1"/>
        </w:rPr>
        <w:t xml:space="preserve"> </w:t>
      </w:r>
      <w:r w:rsidRPr="006B1CE0">
        <w:rPr>
          <w:color w:val="000000" w:themeColor="text1"/>
        </w:rPr>
        <w:t>been</w:t>
      </w:r>
      <w:r w:rsidR="00C64050">
        <w:rPr>
          <w:color w:val="000000" w:themeColor="text1"/>
        </w:rPr>
        <w:t xml:space="preserve"> </w:t>
      </w:r>
      <w:r w:rsidRPr="006B1CE0">
        <w:rPr>
          <w:color w:val="000000" w:themeColor="text1"/>
        </w:rPr>
        <w:t>resolved</w:t>
      </w:r>
      <w:r w:rsidR="00C64050">
        <w:rPr>
          <w:color w:val="000000" w:themeColor="text1"/>
        </w:rPr>
        <w:t xml:space="preserve"> </w:t>
      </w:r>
      <w:r w:rsidRPr="006B1CE0">
        <w:rPr>
          <w:color w:val="000000" w:themeColor="text1"/>
        </w:rPr>
        <w:t>previously</w:t>
      </w:r>
      <w:r w:rsidR="00C64050">
        <w:rPr>
          <w:color w:val="000000" w:themeColor="text1"/>
        </w:rPr>
        <w:t xml:space="preserve"> </w:t>
      </w:r>
      <w:r w:rsidRPr="006B1CE0">
        <w:rPr>
          <w:color w:val="000000" w:themeColor="text1"/>
        </w:rPr>
        <w:t>through</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judicial</w:t>
      </w:r>
      <w:r w:rsidR="00C64050">
        <w:rPr>
          <w:color w:val="000000" w:themeColor="text1"/>
        </w:rPr>
        <w:t xml:space="preserve"> </w:t>
      </w:r>
      <w:r w:rsidRPr="006B1CE0">
        <w:rPr>
          <w:color w:val="000000" w:themeColor="text1"/>
        </w:rPr>
        <w:t>process.</w:t>
      </w:r>
      <w:r w:rsidR="00C64050">
        <w:rPr>
          <w:color w:val="000000" w:themeColor="text1"/>
        </w:rPr>
        <w:t xml:space="preserve"> </w:t>
      </w:r>
      <w:hyperlink r:id="rId379" w:anchor="co_pp_sp_708_612" w:history="1">
        <w:r w:rsidRPr="006B1CE0">
          <w:rPr>
            <w:i/>
            <w:iCs/>
            <w:color w:val="000000" w:themeColor="text1"/>
          </w:rPr>
          <w:t>Riley</w:t>
        </w:r>
        <w:r w:rsidR="00C64050">
          <w:rPr>
            <w:i/>
            <w:iCs/>
            <w:color w:val="000000" w:themeColor="text1"/>
          </w:rPr>
          <w:t xml:space="preserve"> </w:t>
        </w:r>
        <w:r w:rsidRPr="006B1CE0">
          <w:rPr>
            <w:i/>
            <w:iCs/>
            <w:color w:val="000000" w:themeColor="text1"/>
          </w:rPr>
          <w:t>v.</w:t>
        </w:r>
        <w:r w:rsidR="00C64050">
          <w:rPr>
            <w:i/>
            <w:iCs/>
            <w:color w:val="000000" w:themeColor="text1"/>
          </w:rPr>
          <w:t xml:space="preserve"> </w:t>
        </w:r>
        <w:r w:rsidRPr="006B1CE0">
          <w:rPr>
            <w:i/>
            <w:iCs/>
            <w:color w:val="000000" w:themeColor="text1"/>
          </w:rPr>
          <w:t>New</w:t>
        </w:r>
        <w:r w:rsidR="00C64050">
          <w:rPr>
            <w:i/>
            <w:iCs/>
            <w:color w:val="000000" w:themeColor="text1"/>
          </w:rPr>
          <w:t xml:space="preserve"> </w:t>
        </w:r>
        <w:r w:rsidRPr="006B1CE0">
          <w:rPr>
            <w:i/>
            <w:iCs/>
            <w:color w:val="000000" w:themeColor="text1"/>
          </w:rPr>
          <w:t>York</w:t>
        </w:r>
        <w:r w:rsidR="00C64050">
          <w:rPr>
            <w:i/>
            <w:iCs/>
            <w:color w:val="000000" w:themeColor="text1"/>
          </w:rPr>
          <w:t xml:space="preserve"> </w:t>
        </w:r>
        <w:r w:rsidRPr="006B1CE0">
          <w:rPr>
            <w:i/>
            <w:iCs/>
            <w:color w:val="000000" w:themeColor="text1"/>
          </w:rPr>
          <w:t>Trust</w:t>
        </w:r>
        <w:r w:rsidR="00C64050">
          <w:rPr>
            <w:i/>
            <w:iCs/>
            <w:color w:val="000000" w:themeColor="text1"/>
          </w:rPr>
          <w:t xml:space="preserve"> </w:t>
        </w:r>
        <w:r w:rsidRPr="006B1CE0">
          <w:rPr>
            <w:i/>
            <w:iCs/>
            <w:color w:val="000000" w:themeColor="text1"/>
          </w:rPr>
          <w:t>Co.</w:t>
        </w:r>
        <w:r w:rsidRPr="006B1CE0">
          <w:rPr>
            <w:color w:val="000000" w:themeColor="text1"/>
          </w:rPr>
          <w:t>,</w:t>
        </w:r>
        <w:r w:rsidR="00C64050">
          <w:rPr>
            <w:color w:val="000000" w:themeColor="text1"/>
          </w:rPr>
          <w:t xml:space="preserve"> </w:t>
        </w:r>
        <w:r w:rsidRPr="006B1CE0">
          <w:rPr>
            <w:color w:val="000000" w:themeColor="text1"/>
          </w:rPr>
          <w:t>315</w:t>
        </w:r>
        <w:r w:rsidR="00C64050">
          <w:rPr>
            <w:color w:val="000000" w:themeColor="text1"/>
          </w:rPr>
          <w:t xml:space="preserve"> </w:t>
        </w:r>
        <w:r w:rsidRPr="006B1CE0">
          <w:rPr>
            <w:color w:val="000000" w:themeColor="text1"/>
          </w:rPr>
          <w:t>U.S.</w:t>
        </w:r>
        <w:r w:rsidR="00C64050">
          <w:rPr>
            <w:color w:val="000000" w:themeColor="text1"/>
          </w:rPr>
          <w:t xml:space="preserve"> </w:t>
        </w:r>
        <w:r w:rsidRPr="006B1CE0">
          <w:rPr>
            <w:color w:val="000000" w:themeColor="text1"/>
          </w:rPr>
          <w:t>343,</w:t>
        </w:r>
        <w:r w:rsidR="00C64050">
          <w:rPr>
            <w:color w:val="000000" w:themeColor="text1"/>
          </w:rPr>
          <w:t xml:space="preserve"> </w:t>
        </w:r>
        <w:r w:rsidRPr="006B1CE0">
          <w:rPr>
            <w:color w:val="000000" w:themeColor="text1"/>
          </w:rPr>
          <w:t>348-49,</w:t>
        </w:r>
        <w:r w:rsidR="00C64050">
          <w:rPr>
            <w:color w:val="000000" w:themeColor="text1"/>
          </w:rPr>
          <w:t xml:space="preserve"> </w:t>
        </w:r>
        <w:r w:rsidRPr="006B1CE0">
          <w:rPr>
            <w:color w:val="000000" w:themeColor="text1"/>
          </w:rPr>
          <w:t>62</w:t>
        </w:r>
        <w:r w:rsidR="00C64050">
          <w:rPr>
            <w:color w:val="000000" w:themeColor="text1"/>
          </w:rPr>
          <w:t xml:space="preserve"> </w:t>
        </w:r>
        <w:r w:rsidRPr="006B1CE0">
          <w:rPr>
            <w:color w:val="000000" w:themeColor="text1"/>
          </w:rPr>
          <w:t>S.</w:t>
        </w:r>
        <w:r w:rsidR="00C64050">
          <w:rPr>
            <w:color w:val="000000" w:themeColor="text1"/>
          </w:rPr>
          <w:t xml:space="preserve"> </w:t>
        </w:r>
        <w:r w:rsidRPr="006B1CE0">
          <w:rPr>
            <w:color w:val="000000" w:themeColor="text1"/>
          </w:rPr>
          <w:t>Ct.</w:t>
        </w:r>
        <w:r w:rsidR="00C64050">
          <w:rPr>
            <w:color w:val="000000" w:themeColor="text1"/>
          </w:rPr>
          <w:t xml:space="preserve"> </w:t>
        </w:r>
        <w:r w:rsidRPr="006B1CE0">
          <w:rPr>
            <w:color w:val="000000" w:themeColor="text1"/>
          </w:rPr>
          <w:t>608,</w:t>
        </w:r>
        <w:r w:rsidR="00C64050">
          <w:rPr>
            <w:color w:val="000000" w:themeColor="text1"/>
          </w:rPr>
          <w:t xml:space="preserve"> </w:t>
        </w:r>
        <w:r w:rsidRPr="006B1CE0">
          <w:rPr>
            <w:color w:val="000000" w:themeColor="text1"/>
          </w:rPr>
          <w:t>612,</w:t>
        </w:r>
        <w:r w:rsidR="00C64050">
          <w:rPr>
            <w:color w:val="000000" w:themeColor="text1"/>
          </w:rPr>
          <w:t xml:space="preserve"> </w:t>
        </w:r>
        <w:r w:rsidRPr="006B1CE0">
          <w:rPr>
            <w:color w:val="000000" w:themeColor="text1"/>
          </w:rPr>
          <w:t>86</w:t>
        </w:r>
        <w:r w:rsidR="00C64050">
          <w:rPr>
            <w:color w:val="000000" w:themeColor="text1"/>
          </w:rPr>
          <w:t xml:space="preserve"> </w:t>
        </w:r>
        <w:r w:rsidRPr="006B1CE0">
          <w:rPr>
            <w:color w:val="000000" w:themeColor="text1"/>
          </w:rPr>
          <w:t>L.</w:t>
        </w:r>
        <w:r w:rsidR="00C64050">
          <w:rPr>
            <w:color w:val="000000" w:themeColor="text1"/>
          </w:rPr>
          <w:t xml:space="preserve"> </w:t>
        </w:r>
        <w:r w:rsidRPr="006B1CE0">
          <w:rPr>
            <w:color w:val="000000" w:themeColor="text1"/>
          </w:rPr>
          <w:t>Ed.</w:t>
        </w:r>
        <w:r w:rsidR="00C64050">
          <w:rPr>
            <w:color w:val="000000" w:themeColor="text1"/>
          </w:rPr>
          <w:t xml:space="preserve"> </w:t>
        </w:r>
        <w:r w:rsidRPr="006B1CE0">
          <w:rPr>
            <w:color w:val="000000" w:themeColor="text1"/>
          </w:rPr>
          <w:t>885</w:t>
        </w:r>
        <w:r w:rsidR="00C64050">
          <w:rPr>
            <w:color w:val="000000" w:themeColor="text1"/>
          </w:rPr>
          <w:t xml:space="preserve"> </w:t>
        </w:r>
        <w:r w:rsidRPr="006B1CE0">
          <w:rPr>
            <w:color w:val="000000" w:themeColor="text1"/>
          </w:rPr>
          <w:t>(1942)</w:t>
        </w:r>
      </w:hyperlink>
      <w:r w:rsidRPr="006B1CE0">
        <w:rPr>
          <w:color w:val="000000" w:themeColor="text1"/>
        </w:rPr>
        <w:t>.</w:t>
      </w:r>
      <w:r w:rsidR="00C64050">
        <w:rPr>
          <w:color w:val="000000" w:themeColor="text1"/>
        </w:rPr>
        <w:t xml:space="preserve"> </w:t>
      </w:r>
      <w:r w:rsidRPr="006B1CE0">
        <w:rPr>
          <w:color w:val="000000" w:themeColor="text1"/>
        </w:rPr>
        <w:t>As</w:t>
      </w:r>
      <w:r w:rsidR="00C64050">
        <w:rPr>
          <w:color w:val="000000" w:themeColor="text1"/>
        </w:rPr>
        <w:t xml:space="preserve"> </w:t>
      </w:r>
      <w:r w:rsidRPr="006B1CE0">
        <w:rPr>
          <w:color w:val="000000" w:themeColor="text1"/>
        </w:rPr>
        <w:t>a</w:t>
      </w:r>
      <w:r w:rsidR="00C64050">
        <w:rPr>
          <w:color w:val="000000" w:themeColor="text1"/>
        </w:rPr>
        <w:t xml:space="preserve"> </w:t>
      </w:r>
      <w:r w:rsidRPr="006B1CE0">
        <w:rPr>
          <w:color w:val="000000" w:themeColor="text1"/>
        </w:rPr>
        <w:t>result,</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Full</w:t>
      </w:r>
      <w:r w:rsidR="00C64050">
        <w:rPr>
          <w:color w:val="000000" w:themeColor="text1"/>
        </w:rPr>
        <w:t xml:space="preserve"> </w:t>
      </w:r>
      <w:r w:rsidRPr="006B1CE0">
        <w:rPr>
          <w:color w:val="000000" w:themeColor="text1"/>
        </w:rPr>
        <w:t>Faith</w:t>
      </w:r>
      <w:r w:rsidR="00C64050">
        <w:rPr>
          <w:color w:val="000000" w:themeColor="text1"/>
        </w:rPr>
        <w:t xml:space="preserve"> </w:t>
      </w:r>
      <w:r w:rsidRPr="006B1CE0">
        <w:rPr>
          <w:color w:val="000000" w:themeColor="text1"/>
        </w:rPr>
        <w:t>and</w:t>
      </w:r>
      <w:r w:rsidR="00C64050">
        <w:rPr>
          <w:color w:val="000000" w:themeColor="text1"/>
        </w:rPr>
        <w:t xml:space="preserve"> </w:t>
      </w:r>
      <w:r w:rsidRPr="006B1CE0">
        <w:rPr>
          <w:color w:val="000000" w:themeColor="text1"/>
        </w:rPr>
        <w:t>Credit</w:t>
      </w:r>
      <w:r w:rsidR="00C64050">
        <w:rPr>
          <w:color w:val="000000" w:themeColor="text1"/>
        </w:rPr>
        <w:t xml:space="preserve"> </w:t>
      </w:r>
      <w:r w:rsidRPr="006B1CE0">
        <w:rPr>
          <w:color w:val="000000" w:themeColor="text1"/>
        </w:rPr>
        <w:t>Clause</w:t>
      </w:r>
      <w:r w:rsidR="00C64050">
        <w:rPr>
          <w:color w:val="000000" w:themeColor="text1"/>
        </w:rPr>
        <w:t xml:space="preserve"> </w:t>
      </w:r>
      <w:r w:rsidRPr="006B1CE0">
        <w:rPr>
          <w:color w:val="000000" w:themeColor="text1"/>
        </w:rPr>
        <w:t>“alter[s]</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status</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several</w:t>
      </w:r>
      <w:r w:rsidR="00C64050">
        <w:rPr>
          <w:color w:val="000000" w:themeColor="text1"/>
        </w:rPr>
        <w:t xml:space="preserve"> </w:t>
      </w:r>
      <w:r w:rsidRPr="006B1CE0">
        <w:rPr>
          <w:color w:val="000000" w:themeColor="text1"/>
        </w:rPr>
        <w:t>states</w:t>
      </w:r>
      <w:r w:rsidR="00C64050">
        <w:rPr>
          <w:color w:val="000000" w:themeColor="text1"/>
        </w:rPr>
        <w:t xml:space="preserve"> </w:t>
      </w:r>
      <w:r w:rsidRPr="006B1CE0">
        <w:rPr>
          <w:color w:val="000000" w:themeColor="text1"/>
        </w:rPr>
        <w:t>as</w:t>
      </w:r>
      <w:r w:rsidR="00C64050">
        <w:rPr>
          <w:color w:val="000000" w:themeColor="text1"/>
        </w:rPr>
        <w:t xml:space="preserve"> </w:t>
      </w:r>
      <w:r w:rsidRPr="006B1CE0">
        <w:rPr>
          <w:color w:val="000000" w:themeColor="text1"/>
        </w:rPr>
        <w:t>independent</w:t>
      </w:r>
      <w:r w:rsidR="00C64050">
        <w:rPr>
          <w:color w:val="000000" w:themeColor="text1"/>
        </w:rPr>
        <w:t xml:space="preserve"> </w:t>
      </w:r>
      <w:r w:rsidRPr="006B1CE0">
        <w:rPr>
          <w:color w:val="000000" w:themeColor="text1"/>
        </w:rPr>
        <w:t>foreign</w:t>
      </w:r>
      <w:r w:rsidR="00C64050">
        <w:rPr>
          <w:color w:val="000000" w:themeColor="text1"/>
        </w:rPr>
        <w:t xml:space="preserve"> </w:t>
      </w:r>
      <w:r w:rsidRPr="006B1CE0">
        <w:rPr>
          <w:color w:val="000000" w:themeColor="text1"/>
        </w:rPr>
        <w:t>sovereignties,</w:t>
      </w:r>
      <w:r w:rsidR="00C64050">
        <w:rPr>
          <w:color w:val="000000" w:themeColor="text1"/>
        </w:rPr>
        <w:t xml:space="preserve"> </w:t>
      </w:r>
      <w:r w:rsidRPr="006B1CE0">
        <w:rPr>
          <w:color w:val="000000" w:themeColor="text1"/>
        </w:rPr>
        <w:t>each</w:t>
      </w:r>
      <w:r w:rsidR="00C64050">
        <w:rPr>
          <w:color w:val="000000" w:themeColor="text1"/>
        </w:rPr>
        <w:t xml:space="preserve"> </w:t>
      </w:r>
      <w:r w:rsidRPr="006B1CE0">
        <w:rPr>
          <w:color w:val="000000" w:themeColor="text1"/>
        </w:rPr>
        <w:t>free</w:t>
      </w:r>
      <w:r w:rsidR="00C64050">
        <w:rPr>
          <w:color w:val="000000" w:themeColor="text1"/>
        </w:rPr>
        <w:t xml:space="preserve"> </w:t>
      </w:r>
      <w:r w:rsidRPr="006B1CE0">
        <w:rPr>
          <w:color w:val="000000" w:themeColor="text1"/>
        </w:rPr>
        <w:t>to</w:t>
      </w:r>
      <w:r w:rsidR="00C64050">
        <w:rPr>
          <w:color w:val="000000" w:themeColor="text1"/>
        </w:rPr>
        <w:t xml:space="preserve"> </w:t>
      </w:r>
      <w:r w:rsidRPr="006B1CE0">
        <w:rPr>
          <w:color w:val="000000" w:themeColor="text1"/>
        </w:rPr>
        <w:t>ignore</w:t>
      </w:r>
      <w:r w:rsidR="00C64050">
        <w:rPr>
          <w:color w:val="000000" w:themeColor="text1"/>
        </w:rPr>
        <w:t xml:space="preserve"> </w:t>
      </w:r>
      <w:r w:rsidRPr="006B1CE0">
        <w:rPr>
          <w:color w:val="000000" w:themeColor="text1"/>
        </w:rPr>
        <w:t>obligations</w:t>
      </w:r>
      <w:r w:rsidR="00C64050">
        <w:rPr>
          <w:color w:val="000000" w:themeColor="text1"/>
        </w:rPr>
        <w:t xml:space="preserve"> </w:t>
      </w:r>
      <w:r w:rsidRPr="006B1CE0">
        <w:rPr>
          <w:color w:val="000000" w:themeColor="text1"/>
        </w:rPr>
        <w:t>created</w:t>
      </w:r>
      <w:r w:rsidR="00C64050">
        <w:rPr>
          <w:color w:val="000000" w:themeColor="text1"/>
        </w:rPr>
        <w:t xml:space="preserve"> </w:t>
      </w:r>
      <w:r w:rsidRPr="006B1CE0">
        <w:rPr>
          <w:color w:val="000000" w:themeColor="text1"/>
        </w:rPr>
        <w:t>under</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laws</w:t>
      </w:r>
      <w:r w:rsidR="00C64050">
        <w:rPr>
          <w:color w:val="000000" w:themeColor="text1"/>
        </w:rPr>
        <w:t xml:space="preserve"> </w:t>
      </w:r>
      <w:r w:rsidRPr="006B1CE0">
        <w:rPr>
          <w:color w:val="000000" w:themeColor="text1"/>
        </w:rPr>
        <w:t>or</w:t>
      </w:r>
      <w:r w:rsidR="00C64050">
        <w:rPr>
          <w:color w:val="000000" w:themeColor="text1"/>
        </w:rPr>
        <w:t xml:space="preserve"> </w:t>
      </w:r>
      <w:r w:rsidRPr="006B1CE0">
        <w:rPr>
          <w:color w:val="000000" w:themeColor="text1"/>
        </w:rPr>
        <w:t>by</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judicial</w:t>
      </w:r>
      <w:r w:rsidR="00C64050">
        <w:rPr>
          <w:color w:val="000000" w:themeColor="text1"/>
        </w:rPr>
        <w:t xml:space="preserve"> </w:t>
      </w:r>
      <w:r w:rsidRPr="006B1CE0">
        <w:rPr>
          <w:color w:val="000000" w:themeColor="text1"/>
        </w:rPr>
        <w:t>proceedings</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others,</w:t>
      </w:r>
      <w:r w:rsidR="00C64050">
        <w:rPr>
          <w:color w:val="000000" w:themeColor="text1"/>
        </w:rPr>
        <w:t xml:space="preserve"> </w:t>
      </w:r>
      <w:r w:rsidRPr="006B1CE0">
        <w:rPr>
          <w:color w:val="000000" w:themeColor="text1"/>
        </w:rPr>
        <w:t>and</w:t>
      </w:r>
      <w:r w:rsidR="00C64050">
        <w:rPr>
          <w:color w:val="000000" w:themeColor="text1"/>
        </w:rPr>
        <w:t xml:space="preserve"> </w:t>
      </w:r>
      <w:r w:rsidRPr="006B1CE0">
        <w:rPr>
          <w:color w:val="000000" w:themeColor="text1"/>
        </w:rPr>
        <w:t>...</w:t>
      </w:r>
      <w:r w:rsidR="00C64050">
        <w:rPr>
          <w:color w:val="000000" w:themeColor="text1"/>
        </w:rPr>
        <w:t xml:space="preserve"> </w:t>
      </w:r>
      <w:r w:rsidRPr="006B1CE0">
        <w:rPr>
          <w:color w:val="000000" w:themeColor="text1"/>
        </w:rPr>
        <w:t>make[s]</w:t>
      </w:r>
      <w:r w:rsidR="00C64050">
        <w:rPr>
          <w:color w:val="000000" w:themeColor="text1"/>
        </w:rPr>
        <w:t xml:space="preserve"> </w:t>
      </w:r>
      <w:r w:rsidRPr="006B1CE0">
        <w:rPr>
          <w:color w:val="000000" w:themeColor="text1"/>
        </w:rPr>
        <w:t>them</w:t>
      </w:r>
      <w:r w:rsidR="00C64050">
        <w:rPr>
          <w:color w:val="000000" w:themeColor="text1"/>
        </w:rPr>
        <w:t xml:space="preserve"> </w:t>
      </w:r>
      <w:r w:rsidRPr="006B1CE0">
        <w:rPr>
          <w:color w:val="000000" w:themeColor="text1"/>
        </w:rPr>
        <w:t>integral</w:t>
      </w:r>
      <w:r w:rsidR="00C64050">
        <w:rPr>
          <w:color w:val="000000" w:themeColor="text1"/>
        </w:rPr>
        <w:t xml:space="preserve"> </w:t>
      </w:r>
      <w:r w:rsidRPr="006B1CE0">
        <w:rPr>
          <w:color w:val="000000" w:themeColor="text1"/>
        </w:rPr>
        <w:t>parts</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a</w:t>
      </w:r>
      <w:r w:rsidR="00C64050">
        <w:rPr>
          <w:color w:val="000000" w:themeColor="text1"/>
        </w:rPr>
        <w:t xml:space="preserve"> </w:t>
      </w:r>
      <w:r w:rsidRPr="006B1CE0">
        <w:rPr>
          <w:color w:val="000000" w:themeColor="text1"/>
        </w:rPr>
        <w:t>single</w:t>
      </w:r>
      <w:r w:rsidR="00C64050">
        <w:rPr>
          <w:color w:val="000000" w:themeColor="text1"/>
        </w:rPr>
        <w:t xml:space="preserve"> </w:t>
      </w:r>
      <w:r w:rsidRPr="006B1CE0">
        <w:rPr>
          <w:color w:val="000000" w:themeColor="text1"/>
        </w:rPr>
        <w:t>nation.”</w:t>
      </w:r>
      <w:r w:rsidR="00C64050">
        <w:rPr>
          <w:color w:val="000000" w:themeColor="text1"/>
        </w:rPr>
        <w:t xml:space="preserve"> </w:t>
      </w:r>
      <w:hyperlink r:id="rId380" w:anchor="co_pp_sp_708_1020" w:history="1">
        <w:r w:rsidRPr="006B1CE0">
          <w:rPr>
            <w:i/>
            <w:iCs/>
            <w:color w:val="000000" w:themeColor="text1"/>
          </w:rPr>
          <w:t>V.L.</w:t>
        </w:r>
        <w:r w:rsidR="00C64050">
          <w:rPr>
            <w:i/>
            <w:iCs/>
            <w:color w:val="000000" w:themeColor="text1"/>
          </w:rPr>
          <w:t xml:space="preserve"> </w:t>
        </w:r>
        <w:r w:rsidRPr="006B1CE0">
          <w:rPr>
            <w:i/>
            <w:iCs/>
            <w:color w:val="000000" w:themeColor="text1"/>
          </w:rPr>
          <w:t>v.</w:t>
        </w:r>
        <w:r w:rsidR="00C64050">
          <w:rPr>
            <w:i/>
            <w:iCs/>
            <w:color w:val="000000" w:themeColor="text1"/>
          </w:rPr>
          <w:t xml:space="preserve"> </w:t>
        </w:r>
        <w:r w:rsidRPr="006B1CE0">
          <w:rPr>
            <w:i/>
            <w:iCs/>
            <w:color w:val="000000" w:themeColor="text1"/>
          </w:rPr>
          <w:t>E.L.</w:t>
        </w:r>
        <w:r w:rsidRPr="006B1CE0">
          <w:rPr>
            <w:color w:val="000000" w:themeColor="text1"/>
          </w:rPr>
          <w:t>,</w:t>
        </w:r>
        <w:r w:rsidR="00C64050">
          <w:rPr>
            <w:color w:val="000000" w:themeColor="text1"/>
          </w:rPr>
          <w:t xml:space="preserve"> </w:t>
        </w:r>
        <w:r w:rsidRPr="006B1CE0">
          <w:rPr>
            <w:color w:val="000000" w:themeColor="text1"/>
          </w:rPr>
          <w:t>–––</w:t>
        </w:r>
        <w:r w:rsidR="00C64050">
          <w:rPr>
            <w:color w:val="000000" w:themeColor="text1"/>
          </w:rPr>
          <w:t xml:space="preserve"> </w:t>
        </w:r>
        <w:r w:rsidRPr="006B1CE0">
          <w:rPr>
            <w:color w:val="000000" w:themeColor="text1"/>
          </w:rPr>
          <w:t>U.S.</w:t>
        </w:r>
        <w:r w:rsidR="00C64050">
          <w:rPr>
            <w:color w:val="000000" w:themeColor="text1"/>
          </w:rPr>
          <w:t xml:space="preserve"> </w:t>
        </w:r>
        <w:r w:rsidRPr="006B1CE0">
          <w:rPr>
            <w:color w:val="000000" w:themeColor="text1"/>
          </w:rPr>
          <w:t>––––,</w:t>
        </w:r>
        <w:r w:rsidR="00C64050">
          <w:rPr>
            <w:color w:val="000000" w:themeColor="text1"/>
          </w:rPr>
          <w:t xml:space="preserve"> </w:t>
        </w:r>
        <w:r w:rsidRPr="006B1CE0">
          <w:rPr>
            <w:color w:val="000000" w:themeColor="text1"/>
          </w:rPr>
          <w:t>136</w:t>
        </w:r>
        <w:r w:rsidR="00C64050">
          <w:rPr>
            <w:color w:val="000000" w:themeColor="text1"/>
          </w:rPr>
          <w:t xml:space="preserve"> </w:t>
        </w:r>
        <w:r w:rsidRPr="006B1CE0">
          <w:rPr>
            <w:color w:val="000000" w:themeColor="text1"/>
          </w:rPr>
          <w:t>S.</w:t>
        </w:r>
        <w:r w:rsidR="00C64050">
          <w:rPr>
            <w:color w:val="000000" w:themeColor="text1"/>
          </w:rPr>
          <w:t xml:space="preserve"> </w:t>
        </w:r>
        <w:r w:rsidRPr="006B1CE0">
          <w:rPr>
            <w:color w:val="000000" w:themeColor="text1"/>
          </w:rPr>
          <w:t>Ct.</w:t>
        </w:r>
        <w:r w:rsidR="00C64050">
          <w:rPr>
            <w:color w:val="000000" w:themeColor="text1"/>
          </w:rPr>
          <w:t xml:space="preserve"> </w:t>
        </w:r>
        <w:r w:rsidRPr="006B1CE0">
          <w:rPr>
            <w:color w:val="000000" w:themeColor="text1"/>
          </w:rPr>
          <w:t>1017,</w:t>
        </w:r>
        <w:r w:rsidR="00C64050">
          <w:rPr>
            <w:color w:val="000000" w:themeColor="text1"/>
          </w:rPr>
          <w:t xml:space="preserve"> </w:t>
        </w:r>
        <w:r w:rsidRPr="006B1CE0">
          <w:rPr>
            <w:color w:val="000000" w:themeColor="text1"/>
          </w:rPr>
          <w:t>1020,</w:t>
        </w:r>
        <w:r w:rsidR="00C64050">
          <w:rPr>
            <w:color w:val="000000" w:themeColor="text1"/>
          </w:rPr>
          <w:t xml:space="preserve"> </w:t>
        </w:r>
        <w:r w:rsidRPr="006B1CE0">
          <w:rPr>
            <w:color w:val="000000" w:themeColor="text1"/>
          </w:rPr>
          <w:t>194</w:t>
        </w:r>
        <w:r w:rsidR="00C64050">
          <w:rPr>
            <w:color w:val="000000" w:themeColor="text1"/>
          </w:rPr>
          <w:t xml:space="preserve"> </w:t>
        </w:r>
        <w:r w:rsidRPr="006B1CE0">
          <w:rPr>
            <w:color w:val="000000" w:themeColor="text1"/>
          </w:rPr>
          <w:t>L.</w:t>
        </w:r>
        <w:r w:rsidR="00C64050">
          <w:rPr>
            <w:color w:val="000000" w:themeColor="text1"/>
          </w:rPr>
          <w:t xml:space="preserve"> </w:t>
        </w:r>
        <w:r w:rsidRPr="006B1CE0">
          <w:rPr>
            <w:color w:val="000000" w:themeColor="text1"/>
          </w:rPr>
          <w:t>Ed.</w:t>
        </w:r>
        <w:r w:rsidR="00C64050">
          <w:rPr>
            <w:color w:val="000000" w:themeColor="text1"/>
          </w:rPr>
          <w:t xml:space="preserve"> </w:t>
        </w:r>
        <w:r w:rsidRPr="006B1CE0">
          <w:rPr>
            <w:color w:val="000000" w:themeColor="text1"/>
          </w:rPr>
          <w:t>2d</w:t>
        </w:r>
        <w:r w:rsidR="00C64050">
          <w:rPr>
            <w:color w:val="000000" w:themeColor="text1"/>
          </w:rPr>
          <w:t xml:space="preserve"> </w:t>
        </w:r>
        <w:r w:rsidRPr="006B1CE0">
          <w:rPr>
            <w:color w:val="000000" w:themeColor="text1"/>
          </w:rPr>
          <w:t>92</w:t>
        </w:r>
        <w:r w:rsidR="00C64050">
          <w:rPr>
            <w:color w:val="000000" w:themeColor="text1"/>
          </w:rPr>
          <w:t xml:space="preserve"> </w:t>
        </w:r>
        <w:r w:rsidRPr="006B1CE0">
          <w:rPr>
            <w:color w:val="000000" w:themeColor="text1"/>
          </w:rPr>
          <w:t>(2016)</w:t>
        </w:r>
      </w:hyperlink>
      <w:r w:rsidR="00C64050">
        <w:rPr>
          <w:color w:val="000000" w:themeColor="text1"/>
        </w:rPr>
        <w:t xml:space="preserve"> </w:t>
      </w:r>
      <w:r w:rsidRPr="006B1CE0">
        <w:rPr>
          <w:color w:val="000000" w:themeColor="text1"/>
        </w:rPr>
        <w:t>(per</w:t>
      </w:r>
      <w:r w:rsidR="00C64050">
        <w:rPr>
          <w:color w:val="000000" w:themeColor="text1"/>
        </w:rPr>
        <w:t xml:space="preserve"> </w:t>
      </w:r>
      <w:r w:rsidRPr="006B1CE0">
        <w:rPr>
          <w:color w:val="000000" w:themeColor="text1"/>
        </w:rPr>
        <w:t>curiam)</w:t>
      </w:r>
      <w:r w:rsidR="00C64050">
        <w:rPr>
          <w:color w:val="000000" w:themeColor="text1"/>
        </w:rPr>
        <w:t xml:space="preserve"> </w:t>
      </w:r>
      <w:r w:rsidRPr="006B1CE0">
        <w:rPr>
          <w:color w:val="000000" w:themeColor="text1"/>
        </w:rPr>
        <w:t>(quoting</w:t>
      </w:r>
      <w:r w:rsidR="00C64050">
        <w:rPr>
          <w:color w:val="000000" w:themeColor="text1"/>
        </w:rPr>
        <w:t xml:space="preserve"> </w:t>
      </w:r>
      <w:hyperlink r:id="rId381" w:anchor="co_pp_sp_708_234" w:history="1">
        <w:r w:rsidRPr="006B1CE0">
          <w:rPr>
            <w:i/>
            <w:iCs/>
            <w:color w:val="000000" w:themeColor="text1"/>
          </w:rPr>
          <w:t>Milwaukee</w:t>
        </w:r>
        <w:r w:rsidR="00C64050">
          <w:rPr>
            <w:i/>
            <w:iCs/>
            <w:color w:val="000000" w:themeColor="text1"/>
          </w:rPr>
          <w:t xml:space="preserve"> </w:t>
        </w:r>
        <w:r w:rsidRPr="006B1CE0">
          <w:rPr>
            <w:i/>
            <w:iCs/>
            <w:color w:val="000000" w:themeColor="text1"/>
          </w:rPr>
          <w:t>County</w:t>
        </w:r>
        <w:r w:rsidR="00C64050">
          <w:rPr>
            <w:i/>
            <w:iCs/>
            <w:color w:val="000000" w:themeColor="text1"/>
          </w:rPr>
          <w:t xml:space="preserve"> </w:t>
        </w:r>
        <w:r w:rsidRPr="006B1CE0">
          <w:rPr>
            <w:i/>
            <w:iCs/>
            <w:color w:val="000000" w:themeColor="text1"/>
          </w:rPr>
          <w:t>v.</w:t>
        </w:r>
        <w:r w:rsidR="00C64050">
          <w:rPr>
            <w:i/>
            <w:iCs/>
            <w:color w:val="000000" w:themeColor="text1"/>
          </w:rPr>
          <w:t xml:space="preserve"> </w:t>
        </w:r>
        <w:r w:rsidRPr="006B1CE0">
          <w:rPr>
            <w:i/>
            <w:iCs/>
            <w:color w:val="000000" w:themeColor="text1"/>
          </w:rPr>
          <w:t>M.E.</w:t>
        </w:r>
        <w:r w:rsidR="00C64050">
          <w:rPr>
            <w:i/>
            <w:iCs/>
            <w:color w:val="000000" w:themeColor="text1"/>
          </w:rPr>
          <w:t xml:space="preserve"> </w:t>
        </w:r>
        <w:r w:rsidRPr="006B1CE0">
          <w:rPr>
            <w:i/>
            <w:iCs/>
            <w:color w:val="000000" w:themeColor="text1"/>
          </w:rPr>
          <w:t>White</w:t>
        </w:r>
        <w:r w:rsidR="00C64050">
          <w:rPr>
            <w:i/>
            <w:iCs/>
            <w:color w:val="000000" w:themeColor="text1"/>
          </w:rPr>
          <w:t xml:space="preserve"> </w:t>
        </w:r>
        <w:r w:rsidRPr="006B1CE0">
          <w:rPr>
            <w:i/>
            <w:iCs/>
            <w:color w:val="000000" w:themeColor="text1"/>
          </w:rPr>
          <w:t>Co.</w:t>
        </w:r>
        <w:r w:rsidRPr="006B1CE0">
          <w:rPr>
            <w:color w:val="000000" w:themeColor="text1"/>
          </w:rPr>
          <w:t>,</w:t>
        </w:r>
        <w:r w:rsidR="00C64050">
          <w:rPr>
            <w:color w:val="000000" w:themeColor="text1"/>
          </w:rPr>
          <w:t xml:space="preserve"> </w:t>
        </w:r>
        <w:r w:rsidRPr="006B1CE0">
          <w:rPr>
            <w:color w:val="000000" w:themeColor="text1"/>
          </w:rPr>
          <w:t>296</w:t>
        </w:r>
        <w:r w:rsidR="00C64050">
          <w:rPr>
            <w:color w:val="000000" w:themeColor="text1"/>
          </w:rPr>
          <w:t xml:space="preserve"> </w:t>
        </w:r>
        <w:r w:rsidRPr="006B1CE0">
          <w:rPr>
            <w:color w:val="000000" w:themeColor="text1"/>
          </w:rPr>
          <w:t>U.S.</w:t>
        </w:r>
        <w:r w:rsidR="00C64050">
          <w:rPr>
            <w:color w:val="000000" w:themeColor="text1"/>
          </w:rPr>
          <w:t xml:space="preserve"> </w:t>
        </w:r>
        <w:r w:rsidRPr="006B1CE0">
          <w:rPr>
            <w:color w:val="000000" w:themeColor="text1"/>
          </w:rPr>
          <w:t>268,</w:t>
        </w:r>
        <w:r w:rsidR="00C64050">
          <w:rPr>
            <w:color w:val="000000" w:themeColor="text1"/>
          </w:rPr>
          <w:t xml:space="preserve"> </w:t>
        </w:r>
        <w:r w:rsidRPr="006B1CE0">
          <w:rPr>
            <w:color w:val="000000" w:themeColor="text1"/>
          </w:rPr>
          <w:t>277,</w:t>
        </w:r>
        <w:r w:rsidR="00C64050">
          <w:rPr>
            <w:color w:val="000000" w:themeColor="text1"/>
          </w:rPr>
          <w:t xml:space="preserve"> </w:t>
        </w:r>
        <w:r w:rsidRPr="006B1CE0">
          <w:rPr>
            <w:color w:val="000000" w:themeColor="text1"/>
          </w:rPr>
          <w:t>56</w:t>
        </w:r>
        <w:r w:rsidR="00C64050">
          <w:rPr>
            <w:color w:val="000000" w:themeColor="text1"/>
          </w:rPr>
          <w:t xml:space="preserve"> </w:t>
        </w:r>
        <w:r w:rsidRPr="006B1CE0">
          <w:rPr>
            <w:color w:val="000000" w:themeColor="text1"/>
          </w:rPr>
          <w:t>S.</w:t>
        </w:r>
        <w:r w:rsidR="00C64050">
          <w:rPr>
            <w:color w:val="000000" w:themeColor="text1"/>
          </w:rPr>
          <w:t xml:space="preserve"> </w:t>
        </w:r>
        <w:r w:rsidRPr="006B1CE0">
          <w:rPr>
            <w:color w:val="000000" w:themeColor="text1"/>
          </w:rPr>
          <w:t>Ct.</w:t>
        </w:r>
        <w:r w:rsidR="00C64050">
          <w:rPr>
            <w:color w:val="000000" w:themeColor="text1"/>
          </w:rPr>
          <w:t xml:space="preserve"> </w:t>
        </w:r>
        <w:r w:rsidRPr="006B1CE0">
          <w:rPr>
            <w:color w:val="000000" w:themeColor="text1"/>
          </w:rPr>
          <w:t>229,</w:t>
        </w:r>
        <w:r w:rsidR="00C64050">
          <w:rPr>
            <w:color w:val="000000" w:themeColor="text1"/>
          </w:rPr>
          <w:t xml:space="preserve"> </w:t>
        </w:r>
        <w:r w:rsidRPr="006B1CE0">
          <w:rPr>
            <w:color w:val="000000" w:themeColor="text1"/>
          </w:rPr>
          <w:t>234,</w:t>
        </w:r>
        <w:r w:rsidR="00C64050">
          <w:rPr>
            <w:color w:val="000000" w:themeColor="text1"/>
          </w:rPr>
          <w:t xml:space="preserve"> </w:t>
        </w:r>
        <w:r w:rsidRPr="006B1CE0">
          <w:rPr>
            <w:color w:val="000000" w:themeColor="text1"/>
          </w:rPr>
          <w:t>80</w:t>
        </w:r>
        <w:r w:rsidR="00C64050">
          <w:rPr>
            <w:color w:val="000000" w:themeColor="text1"/>
          </w:rPr>
          <w:t xml:space="preserve"> </w:t>
        </w:r>
        <w:r w:rsidRPr="006B1CE0">
          <w:rPr>
            <w:color w:val="000000" w:themeColor="text1"/>
          </w:rPr>
          <w:t>L.</w:t>
        </w:r>
        <w:r w:rsidR="00C64050">
          <w:rPr>
            <w:color w:val="000000" w:themeColor="text1"/>
          </w:rPr>
          <w:t xml:space="preserve"> </w:t>
        </w:r>
        <w:r w:rsidRPr="006B1CE0">
          <w:rPr>
            <w:color w:val="000000" w:themeColor="text1"/>
          </w:rPr>
          <w:t>Ed.</w:t>
        </w:r>
        <w:r w:rsidR="00C64050">
          <w:rPr>
            <w:color w:val="000000" w:themeColor="text1"/>
          </w:rPr>
          <w:t xml:space="preserve"> </w:t>
        </w:r>
        <w:r w:rsidRPr="006B1CE0">
          <w:rPr>
            <w:color w:val="000000" w:themeColor="text1"/>
          </w:rPr>
          <w:t>220</w:t>
        </w:r>
        <w:r w:rsidR="00C64050">
          <w:rPr>
            <w:color w:val="000000" w:themeColor="text1"/>
          </w:rPr>
          <w:t xml:space="preserve"> </w:t>
        </w:r>
        <w:r w:rsidRPr="006B1CE0">
          <w:rPr>
            <w:color w:val="000000" w:themeColor="text1"/>
          </w:rPr>
          <w:t>(1935)</w:t>
        </w:r>
      </w:hyperlink>
      <w:r w:rsidRPr="006B1CE0">
        <w:rPr>
          <w:color w:val="000000" w:themeColor="text1"/>
        </w:rPr>
        <w:t>);</w:t>
      </w:r>
      <w:r w:rsidR="00C64050">
        <w:rPr>
          <w:color w:val="000000" w:themeColor="text1"/>
        </w:rPr>
        <w:t xml:space="preserve"> </w:t>
      </w:r>
      <w:r w:rsidRPr="006B1CE0">
        <w:rPr>
          <w:i/>
          <w:iCs/>
          <w:color w:val="000000" w:themeColor="text1"/>
        </w:rPr>
        <w:t>see</w:t>
      </w:r>
      <w:r w:rsidR="00C64050">
        <w:rPr>
          <w:i/>
          <w:iCs/>
          <w:color w:val="000000" w:themeColor="text1"/>
        </w:rPr>
        <w:t xml:space="preserve"> </w:t>
      </w:r>
      <w:r w:rsidRPr="006B1CE0">
        <w:rPr>
          <w:i/>
          <w:iCs/>
          <w:color w:val="000000" w:themeColor="text1"/>
        </w:rPr>
        <w:t>also</w:t>
      </w:r>
      <w:r w:rsidR="00C64050">
        <w:rPr>
          <w:color w:val="000000" w:themeColor="text1"/>
        </w:rPr>
        <w:t xml:space="preserve"> </w:t>
      </w:r>
      <w:hyperlink r:id="rId382" w:anchor="co_pp_sp_595_334" w:history="1">
        <w:r w:rsidRPr="006B1CE0">
          <w:rPr>
            <w:i/>
            <w:iCs/>
            <w:color w:val="000000" w:themeColor="text1"/>
          </w:rPr>
          <w:t>Wooster</w:t>
        </w:r>
        <w:r w:rsidR="00C64050">
          <w:rPr>
            <w:i/>
            <w:iCs/>
            <w:color w:val="000000" w:themeColor="text1"/>
          </w:rPr>
          <w:t xml:space="preserve"> </w:t>
        </w:r>
        <w:r w:rsidRPr="006B1CE0">
          <w:rPr>
            <w:i/>
            <w:iCs/>
            <w:color w:val="000000" w:themeColor="text1"/>
          </w:rPr>
          <w:t>v.</w:t>
        </w:r>
        <w:r w:rsidR="00C64050">
          <w:rPr>
            <w:i/>
            <w:iCs/>
            <w:color w:val="000000" w:themeColor="text1"/>
          </w:rPr>
          <w:t xml:space="preserve"> </w:t>
        </w:r>
        <w:r w:rsidRPr="006B1CE0">
          <w:rPr>
            <w:i/>
            <w:iCs/>
            <w:color w:val="000000" w:themeColor="text1"/>
          </w:rPr>
          <w:t>Wooster</w:t>
        </w:r>
        <w:r w:rsidRPr="006B1CE0">
          <w:rPr>
            <w:color w:val="000000" w:themeColor="text1"/>
          </w:rPr>
          <w:t>,</w:t>
        </w:r>
        <w:r w:rsidR="00C64050">
          <w:rPr>
            <w:color w:val="000000" w:themeColor="text1"/>
          </w:rPr>
          <w:t xml:space="preserve"> </w:t>
        </w:r>
        <w:r w:rsidRPr="006B1CE0">
          <w:rPr>
            <w:color w:val="000000" w:themeColor="text1"/>
          </w:rPr>
          <w:t>399</w:t>
        </w:r>
        <w:r w:rsidR="00C64050">
          <w:rPr>
            <w:color w:val="000000" w:themeColor="text1"/>
          </w:rPr>
          <w:t xml:space="preserve"> </w:t>
        </w:r>
        <w:r w:rsidRPr="006B1CE0">
          <w:rPr>
            <w:color w:val="000000" w:themeColor="text1"/>
          </w:rPr>
          <w:t>N.W.2d</w:t>
        </w:r>
        <w:r w:rsidR="00C64050">
          <w:rPr>
            <w:color w:val="000000" w:themeColor="text1"/>
          </w:rPr>
          <w:t xml:space="preserve"> </w:t>
        </w:r>
        <w:r w:rsidRPr="006B1CE0">
          <w:rPr>
            <w:color w:val="000000" w:themeColor="text1"/>
          </w:rPr>
          <w:t>330,</w:t>
        </w:r>
        <w:r w:rsidR="00C64050">
          <w:rPr>
            <w:color w:val="000000" w:themeColor="text1"/>
          </w:rPr>
          <w:t xml:space="preserve"> </w:t>
        </w:r>
        <w:r w:rsidRPr="006B1CE0">
          <w:rPr>
            <w:color w:val="000000" w:themeColor="text1"/>
          </w:rPr>
          <w:t>334</w:t>
        </w:r>
        <w:r w:rsidR="00C64050">
          <w:rPr>
            <w:color w:val="000000" w:themeColor="text1"/>
          </w:rPr>
          <w:t xml:space="preserve"> </w:t>
        </w:r>
        <w:r w:rsidRPr="006B1CE0">
          <w:rPr>
            <w:color w:val="000000" w:themeColor="text1"/>
          </w:rPr>
          <w:t>(S.D.</w:t>
        </w:r>
        <w:r w:rsidR="00C64050">
          <w:rPr>
            <w:color w:val="000000" w:themeColor="text1"/>
          </w:rPr>
          <w:t xml:space="preserve"> </w:t>
        </w:r>
        <w:r w:rsidRPr="006B1CE0">
          <w:rPr>
            <w:color w:val="000000" w:themeColor="text1"/>
          </w:rPr>
          <w:t>1987)</w:t>
        </w:r>
      </w:hyperlink>
      <w:r w:rsidR="00C64050">
        <w:rPr>
          <w:color w:val="000000" w:themeColor="text1"/>
        </w:rPr>
        <w:t xml:space="preserve"> </w:t>
      </w:r>
      <w:r w:rsidRPr="006B1CE0">
        <w:rPr>
          <w:color w:val="000000" w:themeColor="text1"/>
        </w:rPr>
        <w:t>(recognizing</w:t>
      </w:r>
      <w:r w:rsidR="00C64050">
        <w:rPr>
          <w:color w:val="000000" w:themeColor="text1"/>
        </w:rPr>
        <w:t xml:space="preserve"> </w:t>
      </w:r>
      <w:r w:rsidRPr="006B1CE0">
        <w:rPr>
          <w:color w:val="000000" w:themeColor="text1"/>
        </w:rPr>
        <w:t>that</w:t>
      </w:r>
      <w:r w:rsidR="00C64050">
        <w:rPr>
          <w:color w:val="000000" w:themeColor="text1"/>
        </w:rPr>
        <w:t xml:space="preserve"> </w:t>
      </w:r>
      <w:r w:rsidRPr="006B1CE0">
        <w:rPr>
          <w:color w:val="000000" w:themeColor="text1"/>
        </w:rPr>
        <w:t>valid</w:t>
      </w:r>
      <w:r w:rsidR="00C64050">
        <w:rPr>
          <w:color w:val="000000" w:themeColor="text1"/>
        </w:rPr>
        <w:t xml:space="preserve"> </w:t>
      </w:r>
      <w:r w:rsidRPr="006B1CE0">
        <w:rPr>
          <w:color w:val="000000" w:themeColor="text1"/>
        </w:rPr>
        <w:t>foreign</w:t>
      </w:r>
      <w:r w:rsidR="00C64050">
        <w:rPr>
          <w:color w:val="000000" w:themeColor="text1"/>
        </w:rPr>
        <w:t xml:space="preserve"> </w:t>
      </w:r>
      <w:r w:rsidRPr="006B1CE0">
        <w:rPr>
          <w:color w:val="000000" w:themeColor="text1"/>
        </w:rPr>
        <w:t>judgments</w:t>
      </w:r>
      <w:r w:rsidR="00C64050">
        <w:rPr>
          <w:color w:val="000000" w:themeColor="text1"/>
        </w:rPr>
        <w:t xml:space="preserve"> </w:t>
      </w:r>
      <w:r w:rsidRPr="006B1CE0">
        <w:rPr>
          <w:color w:val="000000" w:themeColor="text1"/>
        </w:rPr>
        <w:t>are</w:t>
      </w:r>
      <w:r w:rsidR="00C64050">
        <w:rPr>
          <w:color w:val="000000" w:themeColor="text1"/>
        </w:rPr>
        <w:t xml:space="preserve"> </w:t>
      </w:r>
      <w:r w:rsidRPr="006B1CE0">
        <w:rPr>
          <w:color w:val="000000" w:themeColor="text1"/>
        </w:rPr>
        <w:t>given</w:t>
      </w:r>
      <w:r w:rsidR="00C64050">
        <w:rPr>
          <w:color w:val="000000" w:themeColor="text1"/>
        </w:rPr>
        <w:t xml:space="preserve"> </w:t>
      </w:r>
      <w:r w:rsidRPr="006B1CE0">
        <w:rPr>
          <w:color w:val="000000" w:themeColor="text1"/>
        </w:rPr>
        <w:t>effect</w:t>
      </w:r>
      <w:r w:rsidR="00C64050">
        <w:rPr>
          <w:color w:val="000000" w:themeColor="text1"/>
        </w:rPr>
        <w:t xml:space="preserve"> </w:t>
      </w:r>
      <w:r w:rsidRPr="006B1CE0">
        <w:rPr>
          <w:color w:val="000000" w:themeColor="text1"/>
        </w:rPr>
        <w:t>in</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interests</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comity).</w:t>
      </w:r>
    </w:p>
    <w:p w:rsidR="001B23CB" w:rsidRPr="006B1CE0" w:rsidRDefault="001B23CB" w:rsidP="006B1CE0">
      <w:pPr>
        <w:pStyle w:val="QS10"/>
        <w:rPr>
          <w:color w:val="000000" w:themeColor="text1"/>
        </w:rPr>
      </w:pPr>
      <w:r w:rsidRPr="006B1CE0">
        <w:rPr>
          <w:color w:val="000000" w:themeColor="text1"/>
        </w:rPr>
        <w:t>Generally,</w:t>
      </w:r>
      <w:r w:rsidR="00C64050">
        <w:rPr>
          <w:color w:val="000000" w:themeColor="text1"/>
        </w:rPr>
        <w:t xml:space="preserve"> </w:t>
      </w:r>
      <w:r w:rsidRPr="006B1CE0">
        <w:rPr>
          <w:color w:val="000000" w:themeColor="text1"/>
        </w:rPr>
        <w:t>if</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judgment</w:t>
      </w:r>
      <w:r w:rsidR="00C64050">
        <w:rPr>
          <w:color w:val="000000" w:themeColor="text1"/>
        </w:rPr>
        <w:t xml:space="preserve"> </w:t>
      </w:r>
      <w:r w:rsidRPr="006B1CE0">
        <w:rPr>
          <w:color w:val="000000" w:themeColor="text1"/>
        </w:rPr>
        <w:t>was</w:t>
      </w:r>
      <w:r w:rsidR="00C64050">
        <w:rPr>
          <w:color w:val="000000" w:themeColor="text1"/>
        </w:rPr>
        <w:t xml:space="preserve"> </w:t>
      </w:r>
      <w:r w:rsidRPr="006B1CE0">
        <w:rPr>
          <w:color w:val="000000" w:themeColor="text1"/>
        </w:rPr>
        <w:t>“rendered</w:t>
      </w:r>
      <w:r w:rsidR="00C64050">
        <w:rPr>
          <w:color w:val="000000" w:themeColor="text1"/>
        </w:rPr>
        <w:t xml:space="preserve"> </w:t>
      </w:r>
      <w:r w:rsidRPr="006B1CE0">
        <w:rPr>
          <w:color w:val="000000" w:themeColor="text1"/>
        </w:rPr>
        <w:t>by</w:t>
      </w:r>
      <w:r w:rsidR="00C64050">
        <w:rPr>
          <w:color w:val="000000" w:themeColor="text1"/>
        </w:rPr>
        <w:t xml:space="preserve"> </w:t>
      </w:r>
      <w:r w:rsidRPr="006B1CE0">
        <w:rPr>
          <w:color w:val="000000" w:themeColor="text1"/>
        </w:rPr>
        <w:t>a</w:t>
      </w:r>
      <w:r w:rsidR="00C64050">
        <w:rPr>
          <w:color w:val="000000" w:themeColor="text1"/>
        </w:rPr>
        <w:t xml:space="preserve"> </w:t>
      </w:r>
      <w:r w:rsidRPr="006B1CE0">
        <w:rPr>
          <w:color w:val="000000" w:themeColor="text1"/>
        </w:rPr>
        <w:t>court</w:t>
      </w:r>
      <w:r w:rsidR="00C64050">
        <w:rPr>
          <w:color w:val="000000" w:themeColor="text1"/>
        </w:rPr>
        <w:t xml:space="preserve"> </w:t>
      </w:r>
      <w:r w:rsidRPr="006B1CE0">
        <w:rPr>
          <w:color w:val="000000" w:themeColor="text1"/>
        </w:rPr>
        <w:t>with</w:t>
      </w:r>
      <w:r w:rsidR="00C64050">
        <w:rPr>
          <w:color w:val="000000" w:themeColor="text1"/>
        </w:rPr>
        <w:t xml:space="preserve"> </w:t>
      </w:r>
      <w:r w:rsidRPr="006B1CE0">
        <w:rPr>
          <w:color w:val="000000" w:themeColor="text1"/>
        </w:rPr>
        <w:t>adjudicatory</w:t>
      </w:r>
      <w:r w:rsidR="00C64050">
        <w:rPr>
          <w:color w:val="000000" w:themeColor="text1"/>
        </w:rPr>
        <w:t xml:space="preserve"> </w:t>
      </w:r>
      <w:r w:rsidRPr="006B1CE0">
        <w:rPr>
          <w:color w:val="000000" w:themeColor="text1"/>
        </w:rPr>
        <w:t>authority</w:t>
      </w:r>
      <w:r w:rsidR="00C64050">
        <w:rPr>
          <w:color w:val="000000" w:themeColor="text1"/>
        </w:rPr>
        <w:t xml:space="preserve"> </w:t>
      </w:r>
      <w:r w:rsidRPr="006B1CE0">
        <w:rPr>
          <w:color w:val="000000" w:themeColor="text1"/>
        </w:rPr>
        <w:t>over</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subject</w:t>
      </w:r>
      <w:r w:rsidR="00C64050">
        <w:rPr>
          <w:color w:val="000000" w:themeColor="text1"/>
        </w:rPr>
        <w:t xml:space="preserve"> </w:t>
      </w:r>
      <w:r w:rsidRPr="006B1CE0">
        <w:rPr>
          <w:color w:val="000000" w:themeColor="text1"/>
        </w:rPr>
        <w:t>matter</w:t>
      </w:r>
      <w:r w:rsidR="00C64050">
        <w:rPr>
          <w:color w:val="000000" w:themeColor="text1"/>
        </w:rPr>
        <w:t xml:space="preserve"> </w:t>
      </w:r>
      <w:r w:rsidRPr="006B1CE0">
        <w:rPr>
          <w:color w:val="000000" w:themeColor="text1"/>
        </w:rPr>
        <w:t>and</w:t>
      </w:r>
      <w:r w:rsidR="00C64050">
        <w:rPr>
          <w:color w:val="000000" w:themeColor="text1"/>
        </w:rPr>
        <w:t xml:space="preserve"> </w:t>
      </w:r>
      <w:r w:rsidRPr="006B1CE0">
        <w:rPr>
          <w:color w:val="000000" w:themeColor="text1"/>
        </w:rPr>
        <w:t>persons</w:t>
      </w:r>
      <w:r w:rsidR="00C64050">
        <w:rPr>
          <w:color w:val="000000" w:themeColor="text1"/>
        </w:rPr>
        <w:t xml:space="preserve"> </w:t>
      </w:r>
      <w:r w:rsidRPr="006B1CE0">
        <w:rPr>
          <w:color w:val="000000" w:themeColor="text1"/>
        </w:rPr>
        <w:t>governed</w:t>
      </w:r>
      <w:r w:rsidR="00C64050">
        <w:rPr>
          <w:color w:val="000000" w:themeColor="text1"/>
        </w:rPr>
        <w:t xml:space="preserve"> </w:t>
      </w:r>
      <w:r w:rsidRPr="006B1CE0">
        <w:rPr>
          <w:color w:val="000000" w:themeColor="text1"/>
        </w:rPr>
        <w:t>by</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judgment,</w:t>
      </w:r>
      <w:r w:rsidR="00C64050">
        <w:rPr>
          <w:color w:val="000000" w:themeColor="text1"/>
        </w:rPr>
        <w:t xml:space="preserve"> </w:t>
      </w:r>
      <w:r w:rsidRPr="006B1CE0">
        <w:rPr>
          <w:color w:val="000000" w:themeColor="text1"/>
        </w:rPr>
        <w:t>[it]</w:t>
      </w:r>
      <w:r w:rsidR="00C64050">
        <w:rPr>
          <w:color w:val="000000" w:themeColor="text1"/>
        </w:rPr>
        <w:t xml:space="preserve"> </w:t>
      </w:r>
      <w:r w:rsidRPr="006B1CE0">
        <w:rPr>
          <w:color w:val="000000" w:themeColor="text1"/>
        </w:rPr>
        <w:t>qualifies</w:t>
      </w:r>
      <w:r w:rsidR="00C64050">
        <w:rPr>
          <w:color w:val="000000" w:themeColor="text1"/>
        </w:rPr>
        <w:t xml:space="preserve"> </w:t>
      </w:r>
      <w:r w:rsidRPr="006B1CE0">
        <w:rPr>
          <w:color w:val="000000" w:themeColor="text1"/>
        </w:rPr>
        <w:t>for</w:t>
      </w:r>
      <w:r w:rsidR="00C64050">
        <w:rPr>
          <w:color w:val="000000" w:themeColor="text1"/>
        </w:rPr>
        <w:t xml:space="preserve"> </w:t>
      </w:r>
      <w:r w:rsidRPr="006B1CE0">
        <w:rPr>
          <w:color w:val="000000" w:themeColor="text1"/>
        </w:rPr>
        <w:t>recognition</w:t>
      </w:r>
      <w:r w:rsidR="00C64050">
        <w:rPr>
          <w:color w:val="000000" w:themeColor="text1"/>
        </w:rPr>
        <w:t xml:space="preserve"> </w:t>
      </w:r>
      <w:r w:rsidRPr="006B1CE0">
        <w:rPr>
          <w:color w:val="000000" w:themeColor="text1"/>
        </w:rPr>
        <w:t>throughout</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land.”</w:t>
      </w:r>
      <w:r w:rsidR="00C64050">
        <w:rPr>
          <w:color w:val="000000" w:themeColor="text1"/>
        </w:rPr>
        <w:t xml:space="preserve"> </w:t>
      </w:r>
      <w:hyperlink r:id="rId383" w:history="1">
        <w:r w:rsidRPr="006B1CE0">
          <w:rPr>
            <w:i/>
            <w:iCs/>
            <w:color w:val="000000" w:themeColor="text1"/>
          </w:rPr>
          <w:t>Id.</w:t>
        </w:r>
      </w:hyperlink>
      <w:r w:rsidR="00C64050">
        <w:rPr>
          <w:color w:val="000000" w:themeColor="text1"/>
        </w:rPr>
        <w:t xml:space="preserve"> </w:t>
      </w:r>
      <w:r w:rsidRPr="006B1CE0">
        <w:rPr>
          <w:color w:val="000000" w:themeColor="text1"/>
        </w:rPr>
        <w:t>Furthermore,</w:t>
      </w:r>
      <w:r w:rsidR="00C64050">
        <w:rPr>
          <w:color w:val="000000" w:themeColor="text1"/>
        </w:rPr>
        <w:t xml:space="preserve"> </w:t>
      </w:r>
      <w:r w:rsidRPr="006B1CE0">
        <w:rPr>
          <w:color w:val="000000" w:themeColor="text1"/>
        </w:rPr>
        <w:t>“[a]</w:t>
      </w:r>
      <w:r w:rsidR="00C64050">
        <w:rPr>
          <w:color w:val="000000" w:themeColor="text1"/>
        </w:rPr>
        <w:t xml:space="preserve"> </w:t>
      </w:r>
      <w:r w:rsidRPr="006B1CE0">
        <w:rPr>
          <w:color w:val="000000" w:themeColor="text1"/>
        </w:rPr>
        <w:t>State</w:t>
      </w:r>
      <w:r w:rsidR="00C64050">
        <w:rPr>
          <w:color w:val="000000" w:themeColor="text1"/>
        </w:rPr>
        <w:t xml:space="preserve"> </w:t>
      </w:r>
      <w:r w:rsidRPr="006B1CE0">
        <w:rPr>
          <w:color w:val="000000" w:themeColor="text1"/>
        </w:rPr>
        <w:t>may</w:t>
      </w:r>
      <w:r w:rsidR="00C64050">
        <w:rPr>
          <w:color w:val="000000" w:themeColor="text1"/>
        </w:rPr>
        <w:t xml:space="preserve"> </w:t>
      </w:r>
      <w:r w:rsidRPr="006B1CE0">
        <w:rPr>
          <w:color w:val="000000" w:themeColor="text1"/>
        </w:rPr>
        <w:t>not</w:t>
      </w:r>
      <w:r w:rsidR="00C64050">
        <w:rPr>
          <w:color w:val="000000" w:themeColor="text1"/>
        </w:rPr>
        <w:t xml:space="preserve"> </w:t>
      </w:r>
      <w:r w:rsidRPr="006B1CE0">
        <w:rPr>
          <w:color w:val="000000" w:themeColor="text1"/>
        </w:rPr>
        <w:t>disregard</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judgment</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a</w:t>
      </w:r>
      <w:r w:rsidR="00C64050">
        <w:rPr>
          <w:color w:val="000000" w:themeColor="text1"/>
        </w:rPr>
        <w:t xml:space="preserve"> </w:t>
      </w:r>
      <w:r w:rsidRPr="006B1CE0">
        <w:rPr>
          <w:color w:val="000000" w:themeColor="text1"/>
        </w:rPr>
        <w:t>sister</w:t>
      </w:r>
      <w:r w:rsidR="00C64050">
        <w:rPr>
          <w:color w:val="000000" w:themeColor="text1"/>
        </w:rPr>
        <w:t xml:space="preserve"> </w:t>
      </w:r>
      <w:r w:rsidRPr="006B1CE0">
        <w:rPr>
          <w:color w:val="000000" w:themeColor="text1"/>
        </w:rPr>
        <w:t>State</w:t>
      </w:r>
      <w:r w:rsidR="00C64050">
        <w:rPr>
          <w:color w:val="000000" w:themeColor="text1"/>
        </w:rPr>
        <w:t xml:space="preserve"> </w:t>
      </w:r>
      <w:r w:rsidRPr="006B1CE0">
        <w:rPr>
          <w:color w:val="000000" w:themeColor="text1"/>
        </w:rPr>
        <w:t>because</w:t>
      </w:r>
      <w:r w:rsidR="00C64050">
        <w:rPr>
          <w:color w:val="000000" w:themeColor="text1"/>
        </w:rPr>
        <w:t xml:space="preserve"> </w:t>
      </w:r>
      <w:r w:rsidRPr="006B1CE0">
        <w:rPr>
          <w:color w:val="000000" w:themeColor="text1"/>
        </w:rPr>
        <w:t>it</w:t>
      </w:r>
      <w:r w:rsidR="00C64050">
        <w:rPr>
          <w:color w:val="000000" w:themeColor="text1"/>
        </w:rPr>
        <w:t xml:space="preserve"> </w:t>
      </w:r>
      <w:r w:rsidRPr="006B1CE0">
        <w:rPr>
          <w:color w:val="000000" w:themeColor="text1"/>
        </w:rPr>
        <w:t>disagrees</w:t>
      </w:r>
      <w:r w:rsidR="00C64050">
        <w:rPr>
          <w:color w:val="000000" w:themeColor="text1"/>
        </w:rPr>
        <w:t xml:space="preserve"> </w:t>
      </w:r>
      <w:r w:rsidRPr="006B1CE0">
        <w:rPr>
          <w:color w:val="000000" w:themeColor="text1"/>
        </w:rPr>
        <w:t>with</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reasoning</w:t>
      </w:r>
      <w:r w:rsidR="00C64050">
        <w:rPr>
          <w:color w:val="000000" w:themeColor="text1"/>
        </w:rPr>
        <w:t xml:space="preserve"> </w:t>
      </w:r>
      <w:r w:rsidRPr="006B1CE0">
        <w:rPr>
          <w:color w:val="000000" w:themeColor="text1"/>
        </w:rPr>
        <w:t>underlying</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judgment</w:t>
      </w:r>
      <w:r w:rsidR="00C64050">
        <w:rPr>
          <w:color w:val="000000" w:themeColor="text1"/>
        </w:rPr>
        <w:t xml:space="preserve"> </w:t>
      </w:r>
      <w:r w:rsidRPr="006B1CE0">
        <w:rPr>
          <w:color w:val="000000" w:themeColor="text1"/>
        </w:rPr>
        <w:t>or</w:t>
      </w:r>
      <w:r w:rsidR="00C64050">
        <w:rPr>
          <w:color w:val="000000" w:themeColor="text1"/>
        </w:rPr>
        <w:t xml:space="preserve"> </w:t>
      </w:r>
      <w:r w:rsidRPr="006B1CE0">
        <w:rPr>
          <w:color w:val="000000" w:themeColor="text1"/>
        </w:rPr>
        <w:t>deems</w:t>
      </w:r>
      <w:r w:rsidR="00C64050">
        <w:rPr>
          <w:color w:val="000000" w:themeColor="text1"/>
        </w:rPr>
        <w:t xml:space="preserve"> </w:t>
      </w:r>
      <w:r w:rsidRPr="006B1CE0">
        <w:rPr>
          <w:color w:val="000000" w:themeColor="text1"/>
        </w:rPr>
        <w:t>it</w:t>
      </w:r>
      <w:r w:rsidR="00C64050">
        <w:rPr>
          <w:color w:val="000000" w:themeColor="text1"/>
        </w:rPr>
        <w:t xml:space="preserve"> </w:t>
      </w:r>
      <w:r w:rsidRPr="006B1CE0">
        <w:rPr>
          <w:color w:val="000000" w:themeColor="text1"/>
        </w:rPr>
        <w:t>to</w:t>
      </w:r>
      <w:r w:rsidR="00C64050">
        <w:rPr>
          <w:color w:val="000000" w:themeColor="text1"/>
        </w:rPr>
        <w:t xml:space="preserve"> </w:t>
      </w:r>
      <w:r w:rsidRPr="006B1CE0">
        <w:rPr>
          <w:color w:val="000000" w:themeColor="text1"/>
        </w:rPr>
        <w:t>be</w:t>
      </w:r>
      <w:r w:rsidR="00C64050">
        <w:rPr>
          <w:color w:val="000000" w:themeColor="text1"/>
        </w:rPr>
        <w:t xml:space="preserve"> </w:t>
      </w:r>
      <w:r w:rsidRPr="006B1CE0">
        <w:rPr>
          <w:color w:val="000000" w:themeColor="text1"/>
        </w:rPr>
        <w:t>wrong</w:t>
      </w:r>
      <w:r w:rsidR="00C64050">
        <w:rPr>
          <w:color w:val="000000" w:themeColor="text1"/>
        </w:rPr>
        <w:t xml:space="preserve"> </w:t>
      </w:r>
      <w:r w:rsidRPr="006B1CE0">
        <w:rPr>
          <w:color w:val="000000" w:themeColor="text1"/>
        </w:rPr>
        <w:t>on</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merits.”</w:t>
      </w:r>
      <w:r w:rsidR="00C64050">
        <w:rPr>
          <w:color w:val="000000" w:themeColor="text1"/>
        </w:rPr>
        <w:t xml:space="preserve"> </w:t>
      </w:r>
      <w:hyperlink r:id="rId384" w:history="1">
        <w:r w:rsidRPr="006B1CE0">
          <w:rPr>
            <w:i/>
            <w:iCs/>
            <w:color w:val="000000" w:themeColor="text1"/>
          </w:rPr>
          <w:t>Id.</w:t>
        </w:r>
      </w:hyperlink>
      <w:r w:rsidRPr="006B1CE0">
        <w:rPr>
          <w:color w:val="000000" w:themeColor="text1"/>
        </w:rPr>
        <w:t>;</w:t>
      </w:r>
      <w:r w:rsidR="00C64050">
        <w:rPr>
          <w:color w:val="000000" w:themeColor="text1"/>
        </w:rPr>
        <w:t xml:space="preserve"> </w:t>
      </w:r>
      <w:r w:rsidRPr="006B1CE0">
        <w:rPr>
          <w:i/>
          <w:iCs/>
          <w:color w:val="000000" w:themeColor="text1"/>
        </w:rPr>
        <w:t>see</w:t>
      </w:r>
      <w:r w:rsidR="00C64050">
        <w:rPr>
          <w:i/>
          <w:iCs/>
          <w:color w:val="000000" w:themeColor="text1"/>
        </w:rPr>
        <w:t xml:space="preserve"> </w:t>
      </w:r>
      <w:r w:rsidRPr="006B1CE0">
        <w:rPr>
          <w:i/>
          <w:iCs/>
          <w:color w:val="000000" w:themeColor="text1"/>
        </w:rPr>
        <w:t>also</w:t>
      </w:r>
      <w:r w:rsidR="00C64050">
        <w:rPr>
          <w:color w:val="000000" w:themeColor="text1"/>
        </w:rPr>
        <w:t xml:space="preserve"> </w:t>
      </w:r>
      <w:hyperlink r:id="rId385" w:anchor="co_pp_sp_708_342" w:history="1">
        <w:r w:rsidRPr="006B1CE0">
          <w:rPr>
            <w:i/>
            <w:iCs/>
            <w:color w:val="000000" w:themeColor="text1"/>
          </w:rPr>
          <w:t>Milliken</w:t>
        </w:r>
        <w:r w:rsidR="00C64050">
          <w:rPr>
            <w:i/>
            <w:iCs/>
            <w:color w:val="000000" w:themeColor="text1"/>
          </w:rPr>
          <w:t xml:space="preserve"> </w:t>
        </w:r>
        <w:r w:rsidRPr="006B1CE0">
          <w:rPr>
            <w:i/>
            <w:iCs/>
            <w:color w:val="000000" w:themeColor="text1"/>
          </w:rPr>
          <w:t>v.</w:t>
        </w:r>
        <w:r w:rsidR="00C64050">
          <w:rPr>
            <w:i/>
            <w:iCs/>
            <w:color w:val="000000" w:themeColor="text1"/>
          </w:rPr>
          <w:t xml:space="preserve"> </w:t>
        </w:r>
        <w:r w:rsidRPr="006B1CE0">
          <w:rPr>
            <w:i/>
            <w:iCs/>
            <w:color w:val="000000" w:themeColor="text1"/>
          </w:rPr>
          <w:t>Meyer</w:t>
        </w:r>
        <w:r w:rsidRPr="006B1CE0">
          <w:rPr>
            <w:color w:val="000000" w:themeColor="text1"/>
          </w:rPr>
          <w:t>,</w:t>
        </w:r>
        <w:r w:rsidR="00C64050">
          <w:rPr>
            <w:color w:val="000000" w:themeColor="text1"/>
          </w:rPr>
          <w:t xml:space="preserve"> </w:t>
        </w:r>
        <w:r w:rsidRPr="006B1CE0">
          <w:rPr>
            <w:color w:val="000000" w:themeColor="text1"/>
          </w:rPr>
          <w:t>311</w:t>
        </w:r>
        <w:r w:rsidR="00C64050">
          <w:rPr>
            <w:color w:val="000000" w:themeColor="text1"/>
          </w:rPr>
          <w:t xml:space="preserve"> </w:t>
        </w:r>
        <w:r w:rsidRPr="006B1CE0">
          <w:rPr>
            <w:color w:val="000000" w:themeColor="text1"/>
          </w:rPr>
          <w:t>U.S.</w:t>
        </w:r>
        <w:r w:rsidR="00C64050">
          <w:rPr>
            <w:color w:val="000000" w:themeColor="text1"/>
          </w:rPr>
          <w:t xml:space="preserve"> </w:t>
        </w:r>
        <w:r w:rsidRPr="006B1CE0">
          <w:rPr>
            <w:color w:val="000000" w:themeColor="text1"/>
          </w:rPr>
          <w:t>457,</w:t>
        </w:r>
        <w:r w:rsidR="00C64050">
          <w:rPr>
            <w:color w:val="000000" w:themeColor="text1"/>
          </w:rPr>
          <w:t xml:space="preserve"> </w:t>
        </w:r>
        <w:r w:rsidRPr="006B1CE0">
          <w:rPr>
            <w:color w:val="000000" w:themeColor="text1"/>
          </w:rPr>
          <w:t>462,</w:t>
        </w:r>
        <w:r w:rsidR="00C64050">
          <w:rPr>
            <w:color w:val="000000" w:themeColor="text1"/>
          </w:rPr>
          <w:t xml:space="preserve"> </w:t>
        </w:r>
        <w:r w:rsidRPr="006B1CE0">
          <w:rPr>
            <w:color w:val="000000" w:themeColor="text1"/>
          </w:rPr>
          <w:t>61</w:t>
        </w:r>
        <w:r w:rsidR="00C64050">
          <w:rPr>
            <w:color w:val="000000" w:themeColor="text1"/>
          </w:rPr>
          <w:t xml:space="preserve"> </w:t>
        </w:r>
        <w:r w:rsidRPr="006B1CE0">
          <w:rPr>
            <w:color w:val="000000" w:themeColor="text1"/>
          </w:rPr>
          <w:t>S.</w:t>
        </w:r>
        <w:r w:rsidR="00C64050">
          <w:rPr>
            <w:color w:val="000000" w:themeColor="text1"/>
          </w:rPr>
          <w:t xml:space="preserve"> </w:t>
        </w:r>
        <w:r w:rsidRPr="006B1CE0">
          <w:rPr>
            <w:color w:val="000000" w:themeColor="text1"/>
          </w:rPr>
          <w:t>Ct.</w:t>
        </w:r>
        <w:r w:rsidR="00C64050">
          <w:rPr>
            <w:color w:val="000000" w:themeColor="text1"/>
          </w:rPr>
          <w:t xml:space="preserve"> </w:t>
        </w:r>
        <w:r w:rsidRPr="006B1CE0">
          <w:rPr>
            <w:color w:val="000000" w:themeColor="text1"/>
          </w:rPr>
          <w:t>339,</w:t>
        </w:r>
        <w:r w:rsidR="00C64050">
          <w:rPr>
            <w:color w:val="000000" w:themeColor="text1"/>
          </w:rPr>
          <w:t xml:space="preserve"> </w:t>
        </w:r>
        <w:r w:rsidRPr="006B1CE0">
          <w:rPr>
            <w:color w:val="000000" w:themeColor="text1"/>
          </w:rPr>
          <w:t>342,</w:t>
        </w:r>
        <w:r w:rsidR="00C64050">
          <w:rPr>
            <w:color w:val="000000" w:themeColor="text1"/>
          </w:rPr>
          <w:t xml:space="preserve"> </w:t>
        </w:r>
        <w:r w:rsidRPr="006B1CE0">
          <w:rPr>
            <w:color w:val="000000" w:themeColor="text1"/>
          </w:rPr>
          <w:t>85</w:t>
        </w:r>
        <w:r w:rsidR="00C64050">
          <w:rPr>
            <w:color w:val="000000" w:themeColor="text1"/>
          </w:rPr>
          <w:t xml:space="preserve"> </w:t>
        </w:r>
        <w:r w:rsidRPr="006B1CE0">
          <w:rPr>
            <w:color w:val="000000" w:themeColor="text1"/>
          </w:rPr>
          <w:t>L.</w:t>
        </w:r>
        <w:r w:rsidR="00C64050">
          <w:rPr>
            <w:color w:val="000000" w:themeColor="text1"/>
          </w:rPr>
          <w:t xml:space="preserve"> </w:t>
        </w:r>
        <w:r w:rsidRPr="006B1CE0">
          <w:rPr>
            <w:color w:val="000000" w:themeColor="text1"/>
          </w:rPr>
          <w:t>Ed.</w:t>
        </w:r>
        <w:r w:rsidR="00C64050">
          <w:rPr>
            <w:color w:val="000000" w:themeColor="text1"/>
          </w:rPr>
          <w:t xml:space="preserve"> </w:t>
        </w:r>
        <w:r w:rsidRPr="006B1CE0">
          <w:rPr>
            <w:color w:val="000000" w:themeColor="text1"/>
          </w:rPr>
          <w:t>278</w:t>
        </w:r>
        <w:r w:rsidR="00C64050">
          <w:rPr>
            <w:color w:val="000000" w:themeColor="text1"/>
          </w:rPr>
          <w:t xml:space="preserve"> </w:t>
        </w:r>
        <w:r w:rsidRPr="006B1CE0">
          <w:rPr>
            <w:color w:val="000000" w:themeColor="text1"/>
          </w:rPr>
          <w:t>(1940)</w:t>
        </w:r>
      </w:hyperlink>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full</w:t>
      </w:r>
      <w:r w:rsidR="00C64050">
        <w:rPr>
          <w:color w:val="000000" w:themeColor="text1"/>
        </w:rPr>
        <w:t xml:space="preserve"> </w:t>
      </w:r>
      <w:r w:rsidRPr="006B1CE0">
        <w:rPr>
          <w:color w:val="000000" w:themeColor="text1"/>
        </w:rPr>
        <w:t>faith</w:t>
      </w:r>
      <w:r w:rsidR="00C64050">
        <w:rPr>
          <w:color w:val="000000" w:themeColor="text1"/>
        </w:rPr>
        <w:t xml:space="preserve"> </w:t>
      </w:r>
      <w:r w:rsidRPr="006B1CE0">
        <w:rPr>
          <w:color w:val="000000" w:themeColor="text1"/>
        </w:rPr>
        <w:t>and</w:t>
      </w:r>
      <w:r w:rsidR="00C64050">
        <w:rPr>
          <w:color w:val="000000" w:themeColor="text1"/>
        </w:rPr>
        <w:t xml:space="preserve"> </w:t>
      </w:r>
      <w:r w:rsidRPr="006B1CE0">
        <w:rPr>
          <w:color w:val="000000" w:themeColor="text1"/>
        </w:rPr>
        <w:t>credit</w:t>
      </w:r>
      <w:r w:rsidR="00C64050">
        <w:rPr>
          <w:color w:val="000000" w:themeColor="text1"/>
        </w:rPr>
        <w:t xml:space="preserve"> </w:t>
      </w:r>
      <w:r w:rsidRPr="006B1CE0">
        <w:rPr>
          <w:color w:val="000000" w:themeColor="text1"/>
        </w:rPr>
        <w:t>clause</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Constitution</w:t>
      </w:r>
      <w:r w:rsidR="00C64050">
        <w:rPr>
          <w:color w:val="000000" w:themeColor="text1"/>
        </w:rPr>
        <w:t xml:space="preserve"> </w:t>
      </w:r>
      <w:r w:rsidRPr="006B1CE0">
        <w:rPr>
          <w:color w:val="000000" w:themeColor="text1"/>
        </w:rPr>
        <w:t>precludes</w:t>
      </w:r>
      <w:r w:rsidR="00C64050">
        <w:rPr>
          <w:color w:val="000000" w:themeColor="text1"/>
        </w:rPr>
        <w:t xml:space="preserve"> </w:t>
      </w:r>
      <w:r w:rsidRPr="006B1CE0">
        <w:rPr>
          <w:color w:val="000000" w:themeColor="text1"/>
        </w:rPr>
        <w:t>any</w:t>
      </w:r>
      <w:r w:rsidR="00C64050">
        <w:rPr>
          <w:color w:val="000000" w:themeColor="text1"/>
        </w:rPr>
        <w:t xml:space="preserve"> </w:t>
      </w:r>
      <w:r w:rsidRPr="006B1CE0">
        <w:rPr>
          <w:color w:val="000000" w:themeColor="text1"/>
        </w:rPr>
        <w:t>inquiry</w:t>
      </w:r>
      <w:r w:rsidR="00C64050">
        <w:rPr>
          <w:color w:val="000000" w:themeColor="text1"/>
        </w:rPr>
        <w:t xml:space="preserve"> </w:t>
      </w:r>
      <w:r w:rsidRPr="006B1CE0">
        <w:rPr>
          <w:color w:val="000000" w:themeColor="text1"/>
        </w:rPr>
        <w:t>into</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merits</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cause</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action,</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logic</w:t>
      </w:r>
      <w:r w:rsidR="00C64050">
        <w:rPr>
          <w:color w:val="000000" w:themeColor="text1"/>
        </w:rPr>
        <w:t xml:space="preserve"> </w:t>
      </w:r>
      <w:r w:rsidRPr="006B1CE0">
        <w:rPr>
          <w:color w:val="000000" w:themeColor="text1"/>
        </w:rPr>
        <w:t>or</w:t>
      </w:r>
      <w:r w:rsidR="00C64050">
        <w:rPr>
          <w:color w:val="000000" w:themeColor="text1"/>
        </w:rPr>
        <w:t xml:space="preserve"> </w:t>
      </w:r>
      <w:r w:rsidRPr="006B1CE0">
        <w:rPr>
          <w:color w:val="000000" w:themeColor="text1"/>
        </w:rPr>
        <w:t>consistency</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decision,</w:t>
      </w:r>
      <w:r w:rsidR="00C64050">
        <w:rPr>
          <w:color w:val="000000" w:themeColor="text1"/>
        </w:rPr>
        <w:t xml:space="preserve"> </w:t>
      </w:r>
      <w:r w:rsidRPr="006B1CE0">
        <w:rPr>
          <w:color w:val="000000" w:themeColor="text1"/>
        </w:rPr>
        <w:t>or</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validity</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legal</w:t>
      </w:r>
      <w:r w:rsidR="00C64050">
        <w:rPr>
          <w:color w:val="000000" w:themeColor="text1"/>
        </w:rPr>
        <w:t xml:space="preserve"> </w:t>
      </w:r>
      <w:r w:rsidRPr="006B1CE0">
        <w:rPr>
          <w:color w:val="000000" w:themeColor="text1"/>
        </w:rPr>
        <w:t>principles</w:t>
      </w:r>
      <w:r w:rsidR="00C64050">
        <w:rPr>
          <w:color w:val="000000" w:themeColor="text1"/>
        </w:rPr>
        <w:t xml:space="preserve"> </w:t>
      </w:r>
      <w:r w:rsidRPr="006B1CE0">
        <w:rPr>
          <w:color w:val="000000" w:themeColor="text1"/>
        </w:rPr>
        <w:t>on</w:t>
      </w:r>
      <w:r w:rsidR="00C64050">
        <w:rPr>
          <w:color w:val="000000" w:themeColor="text1"/>
        </w:rPr>
        <w:t xml:space="preserve"> </w:t>
      </w:r>
      <w:r w:rsidRPr="006B1CE0">
        <w:rPr>
          <w:color w:val="000000" w:themeColor="text1"/>
        </w:rPr>
        <w:t>which</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judgment</w:t>
      </w:r>
      <w:r w:rsidR="00C64050">
        <w:rPr>
          <w:color w:val="000000" w:themeColor="text1"/>
        </w:rPr>
        <w:t xml:space="preserve"> </w:t>
      </w:r>
      <w:r w:rsidRPr="006B1CE0">
        <w:rPr>
          <w:color w:val="000000" w:themeColor="text1"/>
        </w:rPr>
        <w:t>is</w:t>
      </w:r>
      <w:r w:rsidR="00C64050">
        <w:rPr>
          <w:color w:val="000000" w:themeColor="text1"/>
        </w:rPr>
        <w:t xml:space="preserve"> </w:t>
      </w:r>
      <w:r w:rsidRPr="006B1CE0">
        <w:rPr>
          <w:color w:val="000000" w:themeColor="text1"/>
        </w:rPr>
        <w:t>based.”).</w:t>
      </w:r>
    </w:p>
    <w:p w:rsidR="001B23CB" w:rsidRPr="006B1CE0" w:rsidRDefault="001B23CB" w:rsidP="006B1CE0">
      <w:pPr>
        <w:pStyle w:val="QS10"/>
        <w:rPr>
          <w:color w:val="000000" w:themeColor="text1"/>
        </w:rPr>
      </w:pPr>
      <w:r w:rsidRPr="006B1CE0">
        <w:rPr>
          <w:color w:val="000000" w:themeColor="text1"/>
        </w:rPr>
        <w:t>There</w:t>
      </w:r>
      <w:r w:rsidR="00C64050">
        <w:rPr>
          <w:color w:val="000000" w:themeColor="text1"/>
        </w:rPr>
        <w:t xml:space="preserve"> </w:t>
      </w:r>
      <w:r w:rsidRPr="006B1CE0">
        <w:rPr>
          <w:color w:val="000000" w:themeColor="text1"/>
        </w:rPr>
        <w:t>are,</w:t>
      </w:r>
      <w:r w:rsidR="00C64050">
        <w:rPr>
          <w:color w:val="000000" w:themeColor="text1"/>
        </w:rPr>
        <w:t xml:space="preserve"> </w:t>
      </w:r>
      <w:r w:rsidRPr="006B1CE0">
        <w:rPr>
          <w:color w:val="000000" w:themeColor="text1"/>
        </w:rPr>
        <w:t>however,</w:t>
      </w:r>
      <w:r w:rsidR="00C64050">
        <w:rPr>
          <w:color w:val="000000" w:themeColor="text1"/>
        </w:rPr>
        <w:t xml:space="preserve"> </w:t>
      </w:r>
      <w:r w:rsidRPr="006B1CE0">
        <w:rPr>
          <w:color w:val="000000" w:themeColor="text1"/>
        </w:rPr>
        <w:t>certain</w:t>
      </w:r>
      <w:r w:rsidR="00C64050">
        <w:rPr>
          <w:color w:val="000000" w:themeColor="text1"/>
        </w:rPr>
        <w:t xml:space="preserve"> </w:t>
      </w:r>
      <w:r w:rsidRPr="006B1CE0">
        <w:rPr>
          <w:color w:val="000000" w:themeColor="text1"/>
        </w:rPr>
        <w:t>limitations</w:t>
      </w:r>
      <w:r w:rsidR="00C64050">
        <w:rPr>
          <w:color w:val="000000" w:themeColor="text1"/>
        </w:rPr>
        <w:t xml:space="preserve"> </w:t>
      </w:r>
      <w:r w:rsidRPr="006B1CE0">
        <w:rPr>
          <w:color w:val="000000" w:themeColor="text1"/>
        </w:rPr>
        <w:t>upon</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requirements</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Full</w:t>
      </w:r>
      <w:r w:rsidR="00C64050">
        <w:rPr>
          <w:color w:val="000000" w:themeColor="text1"/>
        </w:rPr>
        <w:t xml:space="preserve"> </w:t>
      </w:r>
      <w:r w:rsidRPr="006B1CE0">
        <w:rPr>
          <w:color w:val="000000" w:themeColor="text1"/>
        </w:rPr>
        <w:t>Faith</w:t>
      </w:r>
      <w:r w:rsidR="00C64050">
        <w:rPr>
          <w:color w:val="000000" w:themeColor="text1"/>
        </w:rPr>
        <w:t xml:space="preserve"> </w:t>
      </w:r>
      <w:r w:rsidRPr="006B1CE0">
        <w:rPr>
          <w:color w:val="000000" w:themeColor="text1"/>
        </w:rPr>
        <w:t>and</w:t>
      </w:r>
      <w:r w:rsidR="00C64050">
        <w:rPr>
          <w:color w:val="000000" w:themeColor="text1"/>
        </w:rPr>
        <w:t xml:space="preserve"> </w:t>
      </w:r>
      <w:r w:rsidRPr="006B1CE0">
        <w:rPr>
          <w:color w:val="000000" w:themeColor="text1"/>
        </w:rPr>
        <w:t>Credit</w:t>
      </w:r>
      <w:r w:rsidR="00C64050">
        <w:rPr>
          <w:color w:val="000000" w:themeColor="text1"/>
        </w:rPr>
        <w:t xml:space="preserve"> </w:t>
      </w:r>
      <w:r w:rsidRPr="006B1CE0">
        <w:rPr>
          <w:color w:val="000000" w:themeColor="text1"/>
        </w:rPr>
        <w:t>Clause.</w:t>
      </w:r>
      <w:r w:rsidR="00C64050">
        <w:rPr>
          <w:color w:val="000000" w:themeColor="text1"/>
        </w:rPr>
        <w:t xml:space="preserve"> </w:t>
      </w:r>
      <w:r w:rsidRPr="006B1CE0">
        <w:rPr>
          <w:color w:val="000000" w:themeColor="text1"/>
        </w:rPr>
        <w:t>Providing</w:t>
      </w:r>
      <w:r w:rsidR="00C64050">
        <w:rPr>
          <w:color w:val="000000" w:themeColor="text1"/>
        </w:rPr>
        <w:t xml:space="preserve"> </w:t>
      </w:r>
      <w:r w:rsidRPr="006B1CE0">
        <w:rPr>
          <w:color w:val="000000" w:themeColor="text1"/>
        </w:rPr>
        <w:t>full</w:t>
      </w:r>
      <w:r w:rsidR="00C64050">
        <w:rPr>
          <w:color w:val="000000" w:themeColor="text1"/>
        </w:rPr>
        <w:t xml:space="preserve"> </w:t>
      </w:r>
      <w:r w:rsidRPr="006B1CE0">
        <w:rPr>
          <w:color w:val="000000" w:themeColor="text1"/>
        </w:rPr>
        <w:t>faith</w:t>
      </w:r>
      <w:r w:rsidR="00C64050">
        <w:rPr>
          <w:color w:val="000000" w:themeColor="text1"/>
        </w:rPr>
        <w:t xml:space="preserve"> </w:t>
      </w:r>
      <w:r w:rsidRPr="006B1CE0">
        <w:rPr>
          <w:color w:val="000000" w:themeColor="text1"/>
        </w:rPr>
        <w:t>and</w:t>
      </w:r>
      <w:r w:rsidR="00C64050">
        <w:rPr>
          <w:color w:val="000000" w:themeColor="text1"/>
        </w:rPr>
        <w:t xml:space="preserve"> </w:t>
      </w:r>
      <w:r w:rsidRPr="006B1CE0">
        <w:rPr>
          <w:color w:val="000000" w:themeColor="text1"/>
        </w:rPr>
        <w:t>credit</w:t>
      </w:r>
      <w:r w:rsidR="00C64050">
        <w:rPr>
          <w:color w:val="000000" w:themeColor="text1"/>
        </w:rPr>
        <w:t xml:space="preserve"> </w:t>
      </w:r>
      <w:r w:rsidRPr="006B1CE0">
        <w:rPr>
          <w:color w:val="000000" w:themeColor="text1"/>
        </w:rPr>
        <w:t>to</w:t>
      </w:r>
      <w:r w:rsidR="00C64050">
        <w:rPr>
          <w:color w:val="000000" w:themeColor="text1"/>
        </w:rPr>
        <w:t xml:space="preserve"> </w:t>
      </w:r>
      <w:r w:rsidRPr="006B1CE0">
        <w:rPr>
          <w:color w:val="000000" w:themeColor="text1"/>
        </w:rPr>
        <w:t>a</w:t>
      </w:r>
      <w:r w:rsidR="00C64050">
        <w:rPr>
          <w:color w:val="000000" w:themeColor="text1"/>
        </w:rPr>
        <w:t xml:space="preserve"> </w:t>
      </w:r>
      <w:r w:rsidRPr="006B1CE0">
        <w:rPr>
          <w:color w:val="000000" w:themeColor="text1"/>
        </w:rPr>
        <w:t>foreign</w:t>
      </w:r>
      <w:r w:rsidR="00C64050">
        <w:rPr>
          <w:color w:val="000000" w:themeColor="text1"/>
        </w:rPr>
        <w:t xml:space="preserve"> </w:t>
      </w:r>
      <w:r w:rsidRPr="006B1CE0">
        <w:rPr>
          <w:color w:val="000000" w:themeColor="text1"/>
        </w:rPr>
        <w:t>state’s</w:t>
      </w:r>
      <w:r w:rsidR="00C64050">
        <w:rPr>
          <w:color w:val="000000" w:themeColor="text1"/>
        </w:rPr>
        <w:t xml:space="preserve"> </w:t>
      </w:r>
      <w:r w:rsidRPr="006B1CE0">
        <w:rPr>
          <w:color w:val="000000" w:themeColor="text1"/>
        </w:rPr>
        <w:t>judgment</w:t>
      </w:r>
      <w:r w:rsidR="00C64050">
        <w:rPr>
          <w:color w:val="000000" w:themeColor="text1"/>
        </w:rPr>
        <w:t xml:space="preserve"> </w:t>
      </w:r>
      <w:r w:rsidRPr="006B1CE0">
        <w:rPr>
          <w:color w:val="000000" w:themeColor="text1"/>
        </w:rPr>
        <w:t>“does</w:t>
      </w:r>
      <w:r w:rsidR="00C64050">
        <w:rPr>
          <w:color w:val="000000" w:themeColor="text1"/>
        </w:rPr>
        <w:t xml:space="preserve"> </w:t>
      </w:r>
      <w:r w:rsidRPr="006B1CE0">
        <w:rPr>
          <w:color w:val="000000" w:themeColor="text1"/>
        </w:rPr>
        <w:t>not</w:t>
      </w:r>
      <w:r w:rsidR="00C64050">
        <w:rPr>
          <w:color w:val="000000" w:themeColor="text1"/>
        </w:rPr>
        <w:t xml:space="preserve"> </w:t>
      </w:r>
      <w:r w:rsidRPr="006B1CE0">
        <w:rPr>
          <w:color w:val="000000" w:themeColor="text1"/>
        </w:rPr>
        <w:t>mean</w:t>
      </w:r>
      <w:r w:rsidR="00C64050">
        <w:rPr>
          <w:color w:val="000000" w:themeColor="text1"/>
        </w:rPr>
        <w:t xml:space="preserve"> </w:t>
      </w:r>
      <w:r w:rsidRPr="006B1CE0">
        <w:rPr>
          <w:color w:val="000000" w:themeColor="text1"/>
        </w:rPr>
        <w:t>that</w:t>
      </w:r>
      <w:r w:rsidR="00C64050">
        <w:rPr>
          <w:color w:val="000000" w:themeColor="text1"/>
        </w:rPr>
        <w:t xml:space="preserve"> </w:t>
      </w:r>
      <w:r w:rsidRPr="006B1CE0">
        <w:rPr>
          <w:color w:val="000000" w:themeColor="text1"/>
        </w:rPr>
        <w:t>States</w:t>
      </w:r>
      <w:r w:rsidR="00C64050">
        <w:rPr>
          <w:color w:val="000000" w:themeColor="text1"/>
        </w:rPr>
        <w:t xml:space="preserve"> </w:t>
      </w:r>
      <w:r w:rsidRPr="006B1CE0">
        <w:rPr>
          <w:color w:val="000000" w:themeColor="text1"/>
        </w:rPr>
        <w:t>must</w:t>
      </w:r>
      <w:r w:rsidR="00C64050">
        <w:rPr>
          <w:color w:val="000000" w:themeColor="text1"/>
        </w:rPr>
        <w:t xml:space="preserve"> </w:t>
      </w:r>
      <w:r w:rsidRPr="006B1CE0">
        <w:rPr>
          <w:color w:val="000000" w:themeColor="text1"/>
        </w:rPr>
        <w:t>adopt</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practices</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other</w:t>
      </w:r>
      <w:r w:rsidR="00C64050">
        <w:rPr>
          <w:color w:val="000000" w:themeColor="text1"/>
        </w:rPr>
        <w:t xml:space="preserve"> </w:t>
      </w:r>
      <w:r w:rsidRPr="006B1CE0">
        <w:rPr>
          <w:color w:val="000000" w:themeColor="text1"/>
        </w:rPr>
        <w:t>States</w:t>
      </w:r>
      <w:r w:rsidR="00C64050">
        <w:rPr>
          <w:color w:val="000000" w:themeColor="text1"/>
        </w:rPr>
        <w:t xml:space="preserve"> </w:t>
      </w:r>
      <w:r w:rsidRPr="006B1CE0">
        <w:rPr>
          <w:color w:val="000000" w:themeColor="text1"/>
        </w:rPr>
        <w:t>regarding</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time,</w:t>
      </w:r>
      <w:r w:rsidR="00C64050">
        <w:rPr>
          <w:color w:val="000000" w:themeColor="text1"/>
        </w:rPr>
        <w:t xml:space="preserve"> </w:t>
      </w:r>
      <w:r w:rsidRPr="006B1CE0">
        <w:rPr>
          <w:color w:val="000000" w:themeColor="text1"/>
        </w:rPr>
        <w:t>manner,</w:t>
      </w:r>
      <w:r w:rsidR="00C64050">
        <w:rPr>
          <w:color w:val="000000" w:themeColor="text1"/>
        </w:rPr>
        <w:t xml:space="preserve"> </w:t>
      </w:r>
      <w:r w:rsidRPr="006B1CE0">
        <w:rPr>
          <w:color w:val="000000" w:themeColor="text1"/>
        </w:rPr>
        <w:t>and</w:t>
      </w:r>
      <w:r w:rsidR="00C64050">
        <w:rPr>
          <w:color w:val="000000" w:themeColor="text1"/>
        </w:rPr>
        <w:t xml:space="preserve"> </w:t>
      </w:r>
      <w:r w:rsidRPr="006B1CE0">
        <w:rPr>
          <w:color w:val="000000" w:themeColor="text1"/>
        </w:rPr>
        <w:t>mechanisms</w:t>
      </w:r>
      <w:r w:rsidR="00C64050">
        <w:rPr>
          <w:color w:val="000000" w:themeColor="text1"/>
        </w:rPr>
        <w:t xml:space="preserve"> </w:t>
      </w:r>
      <w:r w:rsidRPr="006B1CE0">
        <w:rPr>
          <w:color w:val="000000" w:themeColor="text1"/>
        </w:rPr>
        <w:t>for</w:t>
      </w:r>
      <w:r w:rsidR="00C64050">
        <w:rPr>
          <w:color w:val="000000" w:themeColor="text1"/>
        </w:rPr>
        <w:t xml:space="preserve"> </w:t>
      </w:r>
      <w:r w:rsidRPr="006B1CE0">
        <w:rPr>
          <w:color w:val="000000" w:themeColor="text1"/>
        </w:rPr>
        <w:t>enforcing</w:t>
      </w:r>
      <w:r w:rsidR="00C64050">
        <w:rPr>
          <w:color w:val="000000" w:themeColor="text1"/>
        </w:rPr>
        <w:t xml:space="preserve"> </w:t>
      </w:r>
      <w:r w:rsidRPr="006B1CE0">
        <w:rPr>
          <w:color w:val="000000" w:themeColor="text1"/>
        </w:rPr>
        <w:t>judgments.</w:t>
      </w:r>
      <w:r w:rsidR="00C64050">
        <w:rPr>
          <w:color w:val="000000" w:themeColor="text1"/>
        </w:rPr>
        <w:t xml:space="preserve"> </w:t>
      </w:r>
      <w:r w:rsidRPr="006B1CE0">
        <w:rPr>
          <w:color w:val="000000" w:themeColor="text1"/>
        </w:rPr>
        <w:t>Enforcement</w:t>
      </w:r>
      <w:r w:rsidR="00C64050">
        <w:rPr>
          <w:color w:val="000000" w:themeColor="text1"/>
        </w:rPr>
        <w:t xml:space="preserve"> </w:t>
      </w:r>
      <w:r w:rsidRPr="006B1CE0">
        <w:rPr>
          <w:color w:val="000000" w:themeColor="text1"/>
        </w:rPr>
        <w:t>measures</w:t>
      </w:r>
      <w:r w:rsidR="00C64050">
        <w:rPr>
          <w:color w:val="000000" w:themeColor="text1"/>
        </w:rPr>
        <w:t xml:space="preserve"> </w:t>
      </w:r>
      <w:r w:rsidRPr="006B1CE0">
        <w:rPr>
          <w:color w:val="000000" w:themeColor="text1"/>
        </w:rPr>
        <w:t>do</w:t>
      </w:r>
      <w:r w:rsidR="00C64050">
        <w:rPr>
          <w:color w:val="000000" w:themeColor="text1"/>
        </w:rPr>
        <w:t xml:space="preserve"> </w:t>
      </w:r>
      <w:r w:rsidRPr="006B1CE0">
        <w:rPr>
          <w:color w:val="000000" w:themeColor="text1"/>
        </w:rPr>
        <w:t>not</w:t>
      </w:r>
      <w:r w:rsidR="00C64050">
        <w:rPr>
          <w:color w:val="000000" w:themeColor="text1"/>
        </w:rPr>
        <w:t xml:space="preserve"> </w:t>
      </w:r>
      <w:r w:rsidRPr="006B1CE0">
        <w:rPr>
          <w:color w:val="000000" w:themeColor="text1"/>
        </w:rPr>
        <w:t>travel</w:t>
      </w:r>
      <w:r w:rsidR="00C64050">
        <w:rPr>
          <w:color w:val="000000" w:themeColor="text1"/>
        </w:rPr>
        <w:t xml:space="preserve"> </w:t>
      </w:r>
      <w:r w:rsidRPr="006B1CE0">
        <w:rPr>
          <w:color w:val="000000" w:themeColor="text1"/>
        </w:rPr>
        <w:t>with</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sister</w:t>
      </w:r>
      <w:r w:rsidR="00C64050">
        <w:rPr>
          <w:color w:val="000000" w:themeColor="text1"/>
        </w:rPr>
        <w:t xml:space="preserve"> </w:t>
      </w:r>
      <w:r w:rsidRPr="006B1CE0">
        <w:rPr>
          <w:color w:val="000000" w:themeColor="text1"/>
        </w:rPr>
        <w:t>state</w:t>
      </w:r>
      <w:r w:rsidR="00C64050">
        <w:rPr>
          <w:color w:val="000000" w:themeColor="text1"/>
        </w:rPr>
        <w:t xml:space="preserve"> </w:t>
      </w:r>
      <w:r w:rsidRPr="006B1CE0">
        <w:rPr>
          <w:color w:val="000000" w:themeColor="text1"/>
        </w:rPr>
        <w:t>judgment</w:t>
      </w:r>
      <w:r w:rsidR="00C64050">
        <w:rPr>
          <w:color w:val="000000" w:themeColor="text1"/>
        </w:rPr>
        <w:t xml:space="preserve"> </w:t>
      </w:r>
      <w:r w:rsidRPr="006B1CE0">
        <w:rPr>
          <w:color w:val="000000" w:themeColor="text1"/>
        </w:rPr>
        <w:t>as</w:t>
      </w:r>
      <w:r w:rsidR="00C64050">
        <w:rPr>
          <w:color w:val="000000" w:themeColor="text1"/>
        </w:rPr>
        <w:t xml:space="preserve"> </w:t>
      </w:r>
      <w:r w:rsidRPr="006B1CE0">
        <w:rPr>
          <w:color w:val="000000" w:themeColor="text1"/>
        </w:rPr>
        <w:t>preclusive</w:t>
      </w:r>
      <w:r w:rsidR="00C64050">
        <w:rPr>
          <w:color w:val="000000" w:themeColor="text1"/>
        </w:rPr>
        <w:t xml:space="preserve"> </w:t>
      </w:r>
      <w:r w:rsidRPr="006B1CE0">
        <w:rPr>
          <w:color w:val="000000" w:themeColor="text1"/>
        </w:rPr>
        <w:t>effects</w:t>
      </w:r>
      <w:r w:rsidR="00C64050">
        <w:rPr>
          <w:color w:val="000000" w:themeColor="text1"/>
        </w:rPr>
        <w:t xml:space="preserve"> </w:t>
      </w:r>
      <w:r w:rsidRPr="006B1CE0">
        <w:rPr>
          <w:color w:val="000000" w:themeColor="text1"/>
        </w:rPr>
        <w:t>do;</w:t>
      </w:r>
      <w:r w:rsidR="00C64050">
        <w:rPr>
          <w:color w:val="000000" w:themeColor="text1"/>
        </w:rPr>
        <w:t xml:space="preserve"> </w:t>
      </w:r>
      <w:r w:rsidRPr="006B1CE0">
        <w:rPr>
          <w:color w:val="000000" w:themeColor="text1"/>
        </w:rPr>
        <w:t>such</w:t>
      </w:r>
      <w:r w:rsidR="00C64050">
        <w:rPr>
          <w:color w:val="000000" w:themeColor="text1"/>
        </w:rPr>
        <w:t xml:space="preserve"> </w:t>
      </w:r>
      <w:r w:rsidRPr="006B1CE0">
        <w:rPr>
          <w:color w:val="000000" w:themeColor="text1"/>
        </w:rPr>
        <w:t>measures</w:t>
      </w:r>
      <w:r w:rsidR="00C64050">
        <w:rPr>
          <w:color w:val="000000" w:themeColor="text1"/>
        </w:rPr>
        <w:t xml:space="preserve"> </w:t>
      </w:r>
      <w:r w:rsidRPr="006B1CE0">
        <w:rPr>
          <w:color w:val="000000" w:themeColor="text1"/>
        </w:rPr>
        <w:t>remain</w:t>
      </w:r>
      <w:r w:rsidR="00C64050">
        <w:rPr>
          <w:color w:val="000000" w:themeColor="text1"/>
        </w:rPr>
        <w:t xml:space="preserve"> </w:t>
      </w:r>
      <w:r w:rsidRPr="006B1CE0">
        <w:rPr>
          <w:color w:val="000000" w:themeColor="text1"/>
        </w:rPr>
        <w:t>subject</w:t>
      </w:r>
      <w:r w:rsidR="00C64050">
        <w:rPr>
          <w:color w:val="000000" w:themeColor="text1"/>
        </w:rPr>
        <w:t xml:space="preserve"> </w:t>
      </w:r>
      <w:r w:rsidRPr="006B1CE0">
        <w:rPr>
          <w:color w:val="000000" w:themeColor="text1"/>
        </w:rPr>
        <w:t>to</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evenhanded</w:t>
      </w:r>
      <w:r w:rsidR="00C64050">
        <w:rPr>
          <w:color w:val="000000" w:themeColor="text1"/>
        </w:rPr>
        <w:t xml:space="preserve"> </w:t>
      </w:r>
      <w:r w:rsidRPr="006B1CE0">
        <w:rPr>
          <w:color w:val="000000" w:themeColor="text1"/>
        </w:rPr>
        <w:t>control</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forum</w:t>
      </w:r>
      <w:r w:rsidR="00C64050">
        <w:rPr>
          <w:color w:val="000000" w:themeColor="text1"/>
        </w:rPr>
        <w:t xml:space="preserve"> </w:t>
      </w:r>
      <w:r w:rsidRPr="006B1CE0">
        <w:rPr>
          <w:color w:val="000000" w:themeColor="text1"/>
        </w:rPr>
        <w:t>law.”</w:t>
      </w:r>
      <w:r w:rsidR="00C64050">
        <w:rPr>
          <w:color w:val="000000" w:themeColor="text1"/>
        </w:rPr>
        <w:t xml:space="preserve"> </w:t>
      </w:r>
      <w:hyperlink r:id="rId386" w:anchor="co_pp_sp_708_665" w:history="1">
        <w:r w:rsidRPr="006B1CE0">
          <w:rPr>
            <w:i/>
            <w:iCs/>
            <w:color w:val="000000" w:themeColor="text1"/>
          </w:rPr>
          <w:t>Baker</w:t>
        </w:r>
        <w:r w:rsidR="00C64050">
          <w:rPr>
            <w:i/>
            <w:iCs/>
            <w:color w:val="000000" w:themeColor="text1"/>
          </w:rPr>
          <w:t xml:space="preserve"> </w:t>
        </w:r>
        <w:r w:rsidRPr="006B1CE0">
          <w:rPr>
            <w:i/>
            <w:iCs/>
            <w:color w:val="000000" w:themeColor="text1"/>
          </w:rPr>
          <w:t>by</w:t>
        </w:r>
        <w:r w:rsidR="00C64050">
          <w:rPr>
            <w:i/>
            <w:iCs/>
            <w:color w:val="000000" w:themeColor="text1"/>
          </w:rPr>
          <w:t xml:space="preserve"> </w:t>
        </w:r>
        <w:r w:rsidRPr="006B1CE0">
          <w:rPr>
            <w:i/>
            <w:iCs/>
            <w:color w:val="000000" w:themeColor="text1"/>
          </w:rPr>
          <w:t>Thomas</w:t>
        </w:r>
        <w:r w:rsidR="00C64050">
          <w:rPr>
            <w:i/>
            <w:iCs/>
            <w:color w:val="000000" w:themeColor="text1"/>
          </w:rPr>
          <w:t xml:space="preserve"> </w:t>
        </w:r>
        <w:r w:rsidRPr="006B1CE0">
          <w:rPr>
            <w:i/>
            <w:iCs/>
            <w:color w:val="000000" w:themeColor="text1"/>
          </w:rPr>
          <w:t>v.</w:t>
        </w:r>
        <w:r w:rsidR="00C64050">
          <w:rPr>
            <w:i/>
            <w:iCs/>
            <w:color w:val="000000" w:themeColor="text1"/>
          </w:rPr>
          <w:t xml:space="preserve"> </w:t>
        </w:r>
        <w:r w:rsidRPr="006B1CE0">
          <w:rPr>
            <w:i/>
            <w:iCs/>
            <w:color w:val="000000" w:themeColor="text1"/>
          </w:rPr>
          <w:t>Gen.</w:t>
        </w:r>
        <w:r w:rsidR="00C64050">
          <w:rPr>
            <w:i/>
            <w:iCs/>
            <w:color w:val="000000" w:themeColor="text1"/>
          </w:rPr>
          <w:t xml:space="preserve"> </w:t>
        </w:r>
        <w:r w:rsidRPr="006B1CE0">
          <w:rPr>
            <w:i/>
            <w:iCs/>
            <w:color w:val="000000" w:themeColor="text1"/>
          </w:rPr>
          <w:t>Motors</w:t>
        </w:r>
        <w:r w:rsidR="00C64050">
          <w:rPr>
            <w:i/>
            <w:iCs/>
            <w:color w:val="000000" w:themeColor="text1"/>
          </w:rPr>
          <w:t xml:space="preserve"> </w:t>
        </w:r>
        <w:r w:rsidRPr="006B1CE0">
          <w:rPr>
            <w:i/>
            <w:iCs/>
            <w:color w:val="000000" w:themeColor="text1"/>
          </w:rPr>
          <w:t>Corp.</w:t>
        </w:r>
        <w:r w:rsidRPr="006B1CE0">
          <w:rPr>
            <w:color w:val="000000" w:themeColor="text1"/>
          </w:rPr>
          <w:t>,</w:t>
        </w:r>
        <w:r w:rsidR="00C64050">
          <w:rPr>
            <w:color w:val="000000" w:themeColor="text1"/>
          </w:rPr>
          <w:t xml:space="preserve"> </w:t>
        </w:r>
        <w:r w:rsidRPr="006B1CE0">
          <w:rPr>
            <w:color w:val="000000" w:themeColor="text1"/>
          </w:rPr>
          <w:t>522</w:t>
        </w:r>
        <w:r w:rsidR="00C64050">
          <w:rPr>
            <w:color w:val="000000" w:themeColor="text1"/>
          </w:rPr>
          <w:t xml:space="preserve"> </w:t>
        </w:r>
        <w:r w:rsidRPr="006B1CE0">
          <w:rPr>
            <w:color w:val="000000" w:themeColor="text1"/>
          </w:rPr>
          <w:t>U.S.</w:t>
        </w:r>
        <w:r w:rsidR="00C64050">
          <w:rPr>
            <w:color w:val="000000" w:themeColor="text1"/>
          </w:rPr>
          <w:t xml:space="preserve"> </w:t>
        </w:r>
        <w:r w:rsidRPr="006B1CE0">
          <w:rPr>
            <w:color w:val="000000" w:themeColor="text1"/>
          </w:rPr>
          <w:t>222,</w:t>
        </w:r>
        <w:r w:rsidR="00C64050">
          <w:rPr>
            <w:color w:val="000000" w:themeColor="text1"/>
          </w:rPr>
          <w:t xml:space="preserve"> </w:t>
        </w:r>
        <w:r w:rsidRPr="006B1CE0">
          <w:rPr>
            <w:color w:val="000000" w:themeColor="text1"/>
          </w:rPr>
          <w:t>235,</w:t>
        </w:r>
        <w:r w:rsidR="00C64050">
          <w:rPr>
            <w:color w:val="000000" w:themeColor="text1"/>
          </w:rPr>
          <w:t xml:space="preserve"> </w:t>
        </w:r>
        <w:r w:rsidRPr="006B1CE0">
          <w:rPr>
            <w:color w:val="000000" w:themeColor="text1"/>
          </w:rPr>
          <w:t>118</w:t>
        </w:r>
        <w:r w:rsidR="00C64050">
          <w:rPr>
            <w:color w:val="000000" w:themeColor="text1"/>
          </w:rPr>
          <w:t xml:space="preserve"> </w:t>
        </w:r>
        <w:r w:rsidRPr="006B1CE0">
          <w:rPr>
            <w:color w:val="000000" w:themeColor="text1"/>
          </w:rPr>
          <w:t>S.</w:t>
        </w:r>
        <w:r w:rsidR="00C64050">
          <w:rPr>
            <w:color w:val="000000" w:themeColor="text1"/>
          </w:rPr>
          <w:t xml:space="preserve"> </w:t>
        </w:r>
        <w:r w:rsidRPr="006B1CE0">
          <w:rPr>
            <w:color w:val="000000" w:themeColor="text1"/>
          </w:rPr>
          <w:t>Ct.</w:t>
        </w:r>
        <w:r w:rsidR="00C64050">
          <w:rPr>
            <w:color w:val="000000" w:themeColor="text1"/>
          </w:rPr>
          <w:t xml:space="preserve"> </w:t>
        </w:r>
        <w:r w:rsidRPr="006B1CE0">
          <w:rPr>
            <w:color w:val="000000" w:themeColor="text1"/>
          </w:rPr>
          <w:t>657,</w:t>
        </w:r>
        <w:r w:rsidR="00C64050">
          <w:rPr>
            <w:color w:val="000000" w:themeColor="text1"/>
          </w:rPr>
          <w:t xml:space="preserve"> </w:t>
        </w:r>
        <w:r w:rsidRPr="006B1CE0">
          <w:rPr>
            <w:color w:val="000000" w:themeColor="text1"/>
          </w:rPr>
          <w:t>665,</w:t>
        </w:r>
        <w:r w:rsidR="00C64050">
          <w:rPr>
            <w:color w:val="000000" w:themeColor="text1"/>
          </w:rPr>
          <w:t xml:space="preserve"> </w:t>
        </w:r>
        <w:r w:rsidRPr="006B1CE0">
          <w:rPr>
            <w:color w:val="000000" w:themeColor="text1"/>
          </w:rPr>
          <w:t>139</w:t>
        </w:r>
        <w:r w:rsidR="00C64050">
          <w:rPr>
            <w:color w:val="000000" w:themeColor="text1"/>
          </w:rPr>
          <w:t xml:space="preserve"> </w:t>
        </w:r>
        <w:r w:rsidRPr="006B1CE0">
          <w:rPr>
            <w:color w:val="000000" w:themeColor="text1"/>
          </w:rPr>
          <w:t>L.</w:t>
        </w:r>
        <w:r w:rsidR="00C64050">
          <w:rPr>
            <w:color w:val="000000" w:themeColor="text1"/>
          </w:rPr>
          <w:t xml:space="preserve"> </w:t>
        </w:r>
        <w:r w:rsidRPr="006B1CE0">
          <w:rPr>
            <w:color w:val="000000" w:themeColor="text1"/>
          </w:rPr>
          <w:t>Ed.</w:t>
        </w:r>
        <w:r w:rsidR="00C64050">
          <w:rPr>
            <w:color w:val="000000" w:themeColor="text1"/>
          </w:rPr>
          <w:t xml:space="preserve"> </w:t>
        </w:r>
        <w:r w:rsidRPr="006B1CE0">
          <w:rPr>
            <w:color w:val="000000" w:themeColor="text1"/>
          </w:rPr>
          <w:t>2d</w:t>
        </w:r>
        <w:r w:rsidR="00C64050">
          <w:rPr>
            <w:color w:val="000000" w:themeColor="text1"/>
          </w:rPr>
          <w:t xml:space="preserve"> </w:t>
        </w:r>
        <w:r w:rsidRPr="006B1CE0">
          <w:rPr>
            <w:color w:val="000000" w:themeColor="text1"/>
          </w:rPr>
          <w:t>580</w:t>
        </w:r>
        <w:r w:rsidR="00C64050">
          <w:rPr>
            <w:color w:val="000000" w:themeColor="text1"/>
          </w:rPr>
          <w:t xml:space="preserve"> </w:t>
        </w:r>
        <w:r w:rsidRPr="006B1CE0">
          <w:rPr>
            <w:color w:val="000000" w:themeColor="text1"/>
          </w:rPr>
          <w:t>(1998)</w:t>
        </w:r>
      </w:hyperlink>
      <w:r w:rsidRPr="006B1CE0">
        <w:rPr>
          <w:color w:val="000000" w:themeColor="text1"/>
        </w:rPr>
        <w:t>;</w:t>
      </w:r>
      <w:r w:rsidR="00C64050">
        <w:rPr>
          <w:color w:val="000000" w:themeColor="text1"/>
        </w:rPr>
        <w:t xml:space="preserve"> </w:t>
      </w:r>
      <w:r w:rsidRPr="006B1CE0">
        <w:rPr>
          <w:i/>
          <w:iCs/>
          <w:color w:val="000000" w:themeColor="text1"/>
        </w:rPr>
        <w:t>see</w:t>
      </w:r>
      <w:r w:rsidR="00C64050">
        <w:rPr>
          <w:i/>
          <w:iCs/>
          <w:color w:val="000000" w:themeColor="text1"/>
        </w:rPr>
        <w:t xml:space="preserve"> </w:t>
      </w:r>
      <w:r w:rsidRPr="006B1CE0">
        <w:rPr>
          <w:i/>
          <w:iCs/>
          <w:color w:val="000000" w:themeColor="text1"/>
        </w:rPr>
        <w:t>also</w:t>
      </w:r>
      <w:r w:rsidR="00C64050">
        <w:rPr>
          <w:color w:val="000000" w:themeColor="text1"/>
        </w:rPr>
        <w:t xml:space="preserve"> </w:t>
      </w:r>
      <w:hyperlink r:id="rId387" w:history="1">
        <w:r w:rsidRPr="006B1CE0">
          <w:rPr>
            <w:color w:val="000000" w:themeColor="text1"/>
          </w:rPr>
          <w:t>Restatement</w:t>
        </w:r>
        <w:r w:rsidR="00C64050">
          <w:rPr>
            <w:color w:val="000000" w:themeColor="text1"/>
          </w:rPr>
          <w:t xml:space="preserve"> </w:t>
        </w:r>
        <w:r w:rsidRPr="006B1CE0">
          <w:rPr>
            <w:color w:val="000000" w:themeColor="text1"/>
          </w:rPr>
          <w:t>(Second)</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Conflict</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Laws</w:t>
        </w:r>
        <w:r w:rsidR="00C64050">
          <w:rPr>
            <w:color w:val="000000" w:themeColor="text1"/>
          </w:rPr>
          <w:t xml:space="preserve"> </w:t>
        </w:r>
        <w:r w:rsidRPr="006B1CE0">
          <w:rPr>
            <w:color w:val="000000" w:themeColor="text1"/>
          </w:rPr>
          <w:t>§</w:t>
        </w:r>
        <w:r w:rsidR="00C64050">
          <w:rPr>
            <w:color w:val="000000" w:themeColor="text1"/>
          </w:rPr>
          <w:t xml:space="preserve"> </w:t>
        </w:r>
        <w:r w:rsidRPr="006B1CE0">
          <w:rPr>
            <w:color w:val="000000" w:themeColor="text1"/>
          </w:rPr>
          <w:t>99</w:t>
        </w:r>
        <w:r w:rsidR="00C64050">
          <w:rPr>
            <w:color w:val="000000" w:themeColor="text1"/>
          </w:rPr>
          <w:t xml:space="preserve"> </w:t>
        </w:r>
        <w:r w:rsidRPr="006B1CE0">
          <w:rPr>
            <w:color w:val="000000" w:themeColor="text1"/>
          </w:rPr>
          <w:t>(1971)</w:t>
        </w:r>
      </w:hyperlink>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local</w:t>
      </w:r>
      <w:r w:rsidR="00C64050">
        <w:rPr>
          <w:color w:val="000000" w:themeColor="text1"/>
        </w:rPr>
        <w:t xml:space="preserve"> </w:t>
      </w:r>
      <w:r w:rsidRPr="006B1CE0">
        <w:rPr>
          <w:color w:val="000000" w:themeColor="text1"/>
        </w:rPr>
        <w:t>law</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forum</w:t>
      </w:r>
      <w:r w:rsidR="00C64050">
        <w:rPr>
          <w:color w:val="000000" w:themeColor="text1"/>
        </w:rPr>
        <w:t xml:space="preserve"> </w:t>
      </w:r>
      <w:r w:rsidRPr="006B1CE0">
        <w:rPr>
          <w:color w:val="000000" w:themeColor="text1"/>
        </w:rPr>
        <w:t>determines</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methods</w:t>
      </w:r>
      <w:r w:rsidR="00C64050">
        <w:rPr>
          <w:color w:val="000000" w:themeColor="text1"/>
        </w:rPr>
        <w:t xml:space="preserve"> </w:t>
      </w:r>
      <w:r w:rsidRPr="006B1CE0">
        <w:rPr>
          <w:color w:val="000000" w:themeColor="text1"/>
        </w:rPr>
        <w:t>by</w:t>
      </w:r>
      <w:r w:rsidR="00C64050">
        <w:rPr>
          <w:color w:val="000000" w:themeColor="text1"/>
        </w:rPr>
        <w:t xml:space="preserve"> </w:t>
      </w:r>
      <w:r w:rsidRPr="006B1CE0">
        <w:rPr>
          <w:color w:val="000000" w:themeColor="text1"/>
        </w:rPr>
        <w:t>which</w:t>
      </w:r>
      <w:r w:rsidR="00C64050">
        <w:rPr>
          <w:color w:val="000000" w:themeColor="text1"/>
        </w:rPr>
        <w:t xml:space="preserve"> </w:t>
      </w:r>
      <w:r w:rsidRPr="006B1CE0">
        <w:rPr>
          <w:color w:val="000000" w:themeColor="text1"/>
        </w:rPr>
        <w:t>a</w:t>
      </w:r>
      <w:r w:rsidR="00C64050">
        <w:rPr>
          <w:color w:val="000000" w:themeColor="text1"/>
        </w:rPr>
        <w:t xml:space="preserve"> </w:t>
      </w:r>
      <w:r w:rsidRPr="006B1CE0">
        <w:rPr>
          <w:color w:val="000000" w:themeColor="text1"/>
        </w:rPr>
        <w:t>judgment</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another</w:t>
      </w:r>
      <w:r w:rsidR="00C64050">
        <w:rPr>
          <w:color w:val="000000" w:themeColor="text1"/>
        </w:rPr>
        <w:t xml:space="preserve"> </w:t>
      </w:r>
      <w:r w:rsidRPr="006B1CE0">
        <w:rPr>
          <w:color w:val="000000" w:themeColor="text1"/>
        </w:rPr>
        <w:t>state</w:t>
      </w:r>
      <w:r w:rsidR="00C64050">
        <w:rPr>
          <w:color w:val="000000" w:themeColor="text1"/>
        </w:rPr>
        <w:t xml:space="preserve"> </w:t>
      </w:r>
      <w:r w:rsidRPr="006B1CE0">
        <w:rPr>
          <w:color w:val="000000" w:themeColor="text1"/>
        </w:rPr>
        <w:t>is</w:t>
      </w:r>
      <w:r w:rsidR="00C64050">
        <w:rPr>
          <w:color w:val="000000" w:themeColor="text1"/>
        </w:rPr>
        <w:t xml:space="preserve"> </w:t>
      </w:r>
      <w:r w:rsidRPr="006B1CE0">
        <w:rPr>
          <w:color w:val="000000" w:themeColor="text1"/>
        </w:rPr>
        <w:t>enforced.”).</w:t>
      </w:r>
      <w:r w:rsidR="00C64050">
        <w:rPr>
          <w:color w:val="000000" w:themeColor="text1"/>
        </w:rPr>
        <w:t xml:space="preserve"> </w:t>
      </w:r>
      <w:r w:rsidRPr="006B1CE0">
        <w:rPr>
          <w:color w:val="000000" w:themeColor="text1"/>
        </w:rPr>
        <w:t>“</w:t>
      </w:r>
      <w:r w:rsidR="00C64050">
        <w:rPr>
          <w:color w:val="000000" w:themeColor="text1"/>
        </w:rPr>
        <w:t xml:space="preserve"> </w:t>
      </w:r>
      <w:r w:rsidRPr="006B1CE0">
        <w:rPr>
          <w:color w:val="000000" w:themeColor="text1"/>
        </w:rPr>
        <w:t>‘Evenhanded’</w:t>
      </w:r>
      <w:r w:rsidR="00C64050">
        <w:rPr>
          <w:color w:val="000000" w:themeColor="text1"/>
        </w:rPr>
        <w:t xml:space="preserve"> </w:t>
      </w:r>
      <w:r w:rsidRPr="006B1CE0">
        <w:rPr>
          <w:color w:val="000000" w:themeColor="text1"/>
        </w:rPr>
        <w:t>means</w:t>
      </w:r>
      <w:r w:rsidR="00C64050">
        <w:rPr>
          <w:color w:val="000000" w:themeColor="text1"/>
        </w:rPr>
        <w:t xml:space="preserve"> </w:t>
      </w:r>
      <w:r w:rsidRPr="006B1CE0">
        <w:rPr>
          <w:color w:val="000000" w:themeColor="text1"/>
        </w:rPr>
        <w:t>only</w:t>
      </w:r>
      <w:r w:rsidR="00C64050">
        <w:rPr>
          <w:color w:val="000000" w:themeColor="text1"/>
        </w:rPr>
        <w:t xml:space="preserve"> </w:t>
      </w:r>
      <w:r w:rsidRPr="006B1CE0">
        <w:rPr>
          <w:color w:val="000000" w:themeColor="text1"/>
        </w:rPr>
        <w:t>that</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state</w:t>
      </w:r>
      <w:r w:rsidR="00C64050">
        <w:rPr>
          <w:color w:val="000000" w:themeColor="text1"/>
        </w:rPr>
        <w:t xml:space="preserve"> </w:t>
      </w:r>
      <w:r w:rsidRPr="006B1CE0">
        <w:rPr>
          <w:color w:val="000000" w:themeColor="text1"/>
        </w:rPr>
        <w:t>executes</w:t>
      </w:r>
      <w:r w:rsidR="00C64050">
        <w:rPr>
          <w:color w:val="000000" w:themeColor="text1"/>
        </w:rPr>
        <w:t xml:space="preserve"> </w:t>
      </w:r>
      <w:r w:rsidRPr="006B1CE0">
        <w:rPr>
          <w:color w:val="000000" w:themeColor="text1"/>
        </w:rPr>
        <w:t>a</w:t>
      </w:r>
      <w:r w:rsidR="00C64050">
        <w:rPr>
          <w:color w:val="000000" w:themeColor="text1"/>
        </w:rPr>
        <w:t xml:space="preserve"> </w:t>
      </w:r>
      <w:r w:rsidRPr="006B1CE0">
        <w:rPr>
          <w:color w:val="000000" w:themeColor="text1"/>
        </w:rPr>
        <w:t>sister</w:t>
      </w:r>
      <w:r w:rsidR="00C64050">
        <w:rPr>
          <w:color w:val="000000" w:themeColor="text1"/>
        </w:rPr>
        <w:t xml:space="preserve"> </w:t>
      </w:r>
      <w:r w:rsidRPr="006B1CE0">
        <w:rPr>
          <w:color w:val="000000" w:themeColor="text1"/>
        </w:rPr>
        <w:t>state</w:t>
      </w:r>
      <w:r w:rsidR="00C64050">
        <w:rPr>
          <w:color w:val="000000" w:themeColor="text1"/>
        </w:rPr>
        <w:t xml:space="preserve"> </w:t>
      </w:r>
      <w:r w:rsidRPr="006B1CE0">
        <w:rPr>
          <w:color w:val="000000" w:themeColor="text1"/>
        </w:rPr>
        <w:t>judgment</w:t>
      </w:r>
      <w:r w:rsidR="00C64050">
        <w:rPr>
          <w:color w:val="000000" w:themeColor="text1"/>
        </w:rPr>
        <w:t xml:space="preserve"> </w:t>
      </w:r>
      <w:r w:rsidRPr="006B1CE0">
        <w:rPr>
          <w:color w:val="000000" w:themeColor="text1"/>
        </w:rPr>
        <w:t>in</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same</w:t>
      </w:r>
      <w:r w:rsidR="00C64050">
        <w:rPr>
          <w:color w:val="000000" w:themeColor="text1"/>
        </w:rPr>
        <w:t xml:space="preserve"> </w:t>
      </w:r>
      <w:r w:rsidRPr="006B1CE0">
        <w:rPr>
          <w:color w:val="000000" w:themeColor="text1"/>
        </w:rPr>
        <w:t>way</w:t>
      </w:r>
      <w:r w:rsidR="00C64050">
        <w:rPr>
          <w:color w:val="000000" w:themeColor="text1"/>
        </w:rPr>
        <w:t xml:space="preserve"> </w:t>
      </w:r>
      <w:r w:rsidRPr="006B1CE0">
        <w:rPr>
          <w:color w:val="000000" w:themeColor="text1"/>
        </w:rPr>
        <w:t>that</w:t>
      </w:r>
      <w:r w:rsidR="00C64050">
        <w:rPr>
          <w:color w:val="000000" w:themeColor="text1"/>
        </w:rPr>
        <w:t xml:space="preserve"> </w:t>
      </w:r>
      <w:r w:rsidRPr="006B1CE0">
        <w:rPr>
          <w:color w:val="000000" w:themeColor="text1"/>
        </w:rPr>
        <w:t>it</w:t>
      </w:r>
      <w:r w:rsidR="00C64050">
        <w:rPr>
          <w:color w:val="000000" w:themeColor="text1"/>
        </w:rPr>
        <w:t xml:space="preserve"> </w:t>
      </w:r>
      <w:r w:rsidRPr="006B1CE0">
        <w:rPr>
          <w:color w:val="000000" w:themeColor="text1"/>
        </w:rPr>
        <w:t>would</w:t>
      </w:r>
      <w:r w:rsidR="00C64050">
        <w:rPr>
          <w:color w:val="000000" w:themeColor="text1"/>
        </w:rPr>
        <w:t xml:space="preserve"> </w:t>
      </w:r>
      <w:r w:rsidRPr="006B1CE0">
        <w:rPr>
          <w:color w:val="000000" w:themeColor="text1"/>
        </w:rPr>
        <w:t>execute</w:t>
      </w:r>
      <w:r w:rsidR="00C64050">
        <w:rPr>
          <w:color w:val="000000" w:themeColor="text1"/>
        </w:rPr>
        <w:t xml:space="preserve"> </w:t>
      </w:r>
      <w:r w:rsidRPr="006B1CE0">
        <w:rPr>
          <w:color w:val="000000" w:themeColor="text1"/>
        </w:rPr>
        <w:t>judgments</w:t>
      </w:r>
      <w:r w:rsidR="00C64050">
        <w:rPr>
          <w:color w:val="000000" w:themeColor="text1"/>
        </w:rPr>
        <w:t xml:space="preserve"> </w:t>
      </w:r>
      <w:r w:rsidRPr="006B1CE0">
        <w:rPr>
          <w:color w:val="000000" w:themeColor="text1"/>
        </w:rPr>
        <w:t>in</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forum</w:t>
      </w:r>
      <w:r w:rsidR="00C64050">
        <w:rPr>
          <w:color w:val="000000" w:themeColor="text1"/>
        </w:rPr>
        <w:t xml:space="preserve"> </w:t>
      </w:r>
      <w:r w:rsidRPr="006B1CE0">
        <w:rPr>
          <w:color w:val="000000" w:themeColor="text1"/>
        </w:rPr>
        <w:t>court.”</w:t>
      </w:r>
      <w:r w:rsidR="00C64050">
        <w:rPr>
          <w:color w:val="000000" w:themeColor="text1"/>
        </w:rPr>
        <w:t xml:space="preserve"> </w:t>
      </w:r>
      <w:hyperlink r:id="rId388" w:anchor="co_pp_sp_506_159" w:history="1">
        <w:r w:rsidRPr="006B1CE0">
          <w:rPr>
            <w:i/>
            <w:iCs/>
            <w:color w:val="000000" w:themeColor="text1"/>
          </w:rPr>
          <w:t>Adar</w:t>
        </w:r>
        <w:r w:rsidR="00C64050">
          <w:rPr>
            <w:i/>
            <w:iCs/>
            <w:color w:val="000000" w:themeColor="text1"/>
          </w:rPr>
          <w:t xml:space="preserve"> </w:t>
        </w:r>
        <w:r w:rsidRPr="006B1CE0">
          <w:rPr>
            <w:i/>
            <w:iCs/>
            <w:color w:val="000000" w:themeColor="text1"/>
          </w:rPr>
          <w:t>v.</w:t>
        </w:r>
        <w:r w:rsidR="00C64050">
          <w:rPr>
            <w:i/>
            <w:iCs/>
            <w:color w:val="000000" w:themeColor="text1"/>
          </w:rPr>
          <w:t xml:space="preserve"> </w:t>
        </w:r>
        <w:r w:rsidRPr="006B1CE0">
          <w:rPr>
            <w:i/>
            <w:iCs/>
            <w:color w:val="000000" w:themeColor="text1"/>
          </w:rPr>
          <w:t>Smith</w:t>
        </w:r>
        <w:r w:rsidRPr="006B1CE0">
          <w:rPr>
            <w:color w:val="000000" w:themeColor="text1"/>
          </w:rPr>
          <w:t>,</w:t>
        </w:r>
        <w:r w:rsidR="00C64050">
          <w:rPr>
            <w:color w:val="000000" w:themeColor="text1"/>
          </w:rPr>
          <w:t xml:space="preserve"> </w:t>
        </w:r>
        <w:r w:rsidRPr="006B1CE0">
          <w:rPr>
            <w:color w:val="000000" w:themeColor="text1"/>
          </w:rPr>
          <w:t>639</w:t>
        </w:r>
        <w:r w:rsidR="00C64050">
          <w:rPr>
            <w:color w:val="000000" w:themeColor="text1"/>
          </w:rPr>
          <w:t xml:space="preserve"> </w:t>
        </w:r>
        <w:r w:rsidRPr="006B1CE0">
          <w:rPr>
            <w:color w:val="000000" w:themeColor="text1"/>
          </w:rPr>
          <w:t>F.3d</w:t>
        </w:r>
        <w:r w:rsidR="00C64050">
          <w:rPr>
            <w:color w:val="000000" w:themeColor="text1"/>
          </w:rPr>
          <w:t xml:space="preserve"> </w:t>
        </w:r>
        <w:r w:rsidRPr="006B1CE0">
          <w:rPr>
            <w:color w:val="000000" w:themeColor="text1"/>
          </w:rPr>
          <w:t>146,</w:t>
        </w:r>
        <w:r w:rsidR="00C64050">
          <w:rPr>
            <w:color w:val="000000" w:themeColor="text1"/>
          </w:rPr>
          <w:t xml:space="preserve"> </w:t>
        </w:r>
        <w:r w:rsidRPr="006B1CE0">
          <w:rPr>
            <w:color w:val="000000" w:themeColor="text1"/>
          </w:rPr>
          <w:t>159</w:t>
        </w:r>
        <w:r w:rsidR="00C64050">
          <w:rPr>
            <w:color w:val="000000" w:themeColor="text1"/>
          </w:rPr>
          <w:t xml:space="preserve"> </w:t>
        </w:r>
        <w:r w:rsidRPr="006B1CE0">
          <w:rPr>
            <w:color w:val="000000" w:themeColor="text1"/>
          </w:rPr>
          <w:t>(5th</w:t>
        </w:r>
        <w:r w:rsidR="00C64050">
          <w:rPr>
            <w:color w:val="000000" w:themeColor="text1"/>
          </w:rPr>
          <w:t xml:space="preserve"> </w:t>
        </w:r>
        <w:r w:rsidRPr="006B1CE0">
          <w:rPr>
            <w:color w:val="000000" w:themeColor="text1"/>
          </w:rPr>
          <w:t>Cir.</w:t>
        </w:r>
        <w:r w:rsidR="00C64050">
          <w:rPr>
            <w:color w:val="000000" w:themeColor="text1"/>
          </w:rPr>
          <w:t xml:space="preserve"> </w:t>
        </w:r>
        <w:r w:rsidRPr="006B1CE0">
          <w:rPr>
            <w:color w:val="000000" w:themeColor="text1"/>
          </w:rPr>
          <w:t>2011)</w:t>
        </w:r>
      </w:hyperlink>
      <w:r w:rsidRPr="006B1CE0">
        <w:rPr>
          <w:color w:val="000000" w:themeColor="text1"/>
        </w:rPr>
        <w:t>.</w:t>
      </w:r>
    </w:p>
    <w:p w:rsidR="001B23CB" w:rsidRPr="006B1CE0" w:rsidRDefault="001B23CB" w:rsidP="006B1CE0">
      <w:pPr>
        <w:pStyle w:val="QS10"/>
        <w:rPr>
          <w:color w:val="000000" w:themeColor="text1"/>
        </w:rPr>
      </w:pPr>
      <w:r w:rsidRPr="006B1CE0">
        <w:rPr>
          <w:color w:val="000000" w:themeColor="text1"/>
        </w:rPr>
        <w:t>Justice</w:t>
      </w:r>
      <w:r w:rsidR="00C64050">
        <w:rPr>
          <w:color w:val="000000" w:themeColor="text1"/>
        </w:rPr>
        <w:t xml:space="preserve"> </w:t>
      </w:r>
      <w:r w:rsidRPr="006B1CE0">
        <w:rPr>
          <w:color w:val="000000" w:themeColor="text1"/>
        </w:rPr>
        <w:t>Scalia,</w:t>
      </w:r>
      <w:r w:rsidR="00C64050">
        <w:rPr>
          <w:color w:val="000000" w:themeColor="text1"/>
        </w:rPr>
        <w:t xml:space="preserve"> </w:t>
      </w:r>
      <w:r w:rsidRPr="006B1CE0">
        <w:rPr>
          <w:color w:val="000000" w:themeColor="text1"/>
        </w:rPr>
        <w:t>in</w:t>
      </w:r>
      <w:r w:rsidR="00C64050">
        <w:rPr>
          <w:color w:val="000000" w:themeColor="text1"/>
        </w:rPr>
        <w:t xml:space="preserve"> </w:t>
      </w:r>
      <w:r w:rsidRPr="006B1CE0">
        <w:rPr>
          <w:color w:val="000000" w:themeColor="text1"/>
        </w:rPr>
        <w:t>his</w:t>
      </w:r>
      <w:r w:rsidR="00C64050">
        <w:rPr>
          <w:color w:val="000000" w:themeColor="text1"/>
        </w:rPr>
        <w:t xml:space="preserve"> </w:t>
      </w:r>
      <w:r w:rsidRPr="006B1CE0">
        <w:rPr>
          <w:color w:val="000000" w:themeColor="text1"/>
        </w:rPr>
        <w:t>concurring</w:t>
      </w:r>
      <w:r w:rsidR="00C64050">
        <w:rPr>
          <w:color w:val="000000" w:themeColor="text1"/>
        </w:rPr>
        <w:t xml:space="preserve"> </w:t>
      </w:r>
      <w:r w:rsidRPr="006B1CE0">
        <w:rPr>
          <w:color w:val="000000" w:themeColor="text1"/>
        </w:rPr>
        <w:t>opinion</w:t>
      </w:r>
      <w:r w:rsidR="00C64050">
        <w:rPr>
          <w:color w:val="000000" w:themeColor="text1"/>
        </w:rPr>
        <w:t xml:space="preserve"> </w:t>
      </w:r>
      <w:r w:rsidRPr="006B1CE0">
        <w:rPr>
          <w:color w:val="000000" w:themeColor="text1"/>
        </w:rPr>
        <w:t>in</w:t>
      </w:r>
      <w:r w:rsidR="00C64050">
        <w:rPr>
          <w:color w:val="000000" w:themeColor="text1"/>
        </w:rPr>
        <w:t xml:space="preserve"> </w:t>
      </w:r>
      <w:hyperlink r:id="rId389" w:history="1">
        <w:r w:rsidRPr="006B1CE0">
          <w:rPr>
            <w:i/>
            <w:iCs/>
            <w:color w:val="000000" w:themeColor="text1"/>
          </w:rPr>
          <w:t>Baker</w:t>
        </w:r>
      </w:hyperlink>
      <w:r w:rsidRPr="006B1CE0">
        <w:rPr>
          <w:color w:val="000000" w:themeColor="text1"/>
        </w:rPr>
        <w:t>,</w:t>
      </w:r>
      <w:r w:rsidR="00C64050">
        <w:rPr>
          <w:color w:val="000000" w:themeColor="text1"/>
        </w:rPr>
        <w:t xml:space="preserve"> </w:t>
      </w:r>
      <w:r w:rsidRPr="006B1CE0">
        <w:rPr>
          <w:color w:val="000000" w:themeColor="text1"/>
        </w:rPr>
        <w:t>noted</w:t>
      </w:r>
      <w:r w:rsidR="00C64050">
        <w:rPr>
          <w:color w:val="000000" w:themeColor="text1"/>
        </w:rPr>
        <w:t xml:space="preserve"> </w:t>
      </w:r>
      <w:r w:rsidRPr="006B1CE0">
        <w:rPr>
          <w:color w:val="000000" w:themeColor="text1"/>
        </w:rPr>
        <w:t>that</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power</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Full</w:t>
      </w:r>
      <w:r w:rsidR="00C64050">
        <w:rPr>
          <w:color w:val="000000" w:themeColor="text1"/>
        </w:rPr>
        <w:t xml:space="preserve"> </w:t>
      </w:r>
      <w:r w:rsidRPr="006B1CE0">
        <w:rPr>
          <w:color w:val="000000" w:themeColor="text1"/>
        </w:rPr>
        <w:t>Faith</w:t>
      </w:r>
      <w:r w:rsidR="00C64050">
        <w:rPr>
          <w:color w:val="000000" w:themeColor="text1"/>
        </w:rPr>
        <w:t xml:space="preserve"> </w:t>
      </w:r>
      <w:r w:rsidRPr="006B1CE0">
        <w:rPr>
          <w:color w:val="000000" w:themeColor="text1"/>
        </w:rPr>
        <w:t>and</w:t>
      </w:r>
      <w:r w:rsidR="00C64050">
        <w:rPr>
          <w:color w:val="000000" w:themeColor="text1"/>
        </w:rPr>
        <w:t xml:space="preserve"> </w:t>
      </w:r>
      <w:r w:rsidRPr="006B1CE0">
        <w:rPr>
          <w:color w:val="000000" w:themeColor="text1"/>
        </w:rPr>
        <w:t>Credit</w:t>
      </w:r>
      <w:r w:rsidR="00C64050">
        <w:rPr>
          <w:color w:val="000000" w:themeColor="text1"/>
        </w:rPr>
        <w:t xml:space="preserve"> </w:t>
      </w:r>
      <w:r w:rsidRPr="006B1CE0">
        <w:rPr>
          <w:color w:val="000000" w:themeColor="text1"/>
        </w:rPr>
        <w:t>Clause</w:t>
      </w:r>
      <w:r w:rsidR="00C64050">
        <w:rPr>
          <w:color w:val="000000" w:themeColor="text1"/>
        </w:rPr>
        <w:t xml:space="preserve"> </w:t>
      </w:r>
      <w:r w:rsidRPr="006B1CE0">
        <w:rPr>
          <w:color w:val="000000" w:themeColor="text1"/>
        </w:rPr>
        <w:t>is</w:t>
      </w:r>
      <w:r w:rsidR="00C64050">
        <w:rPr>
          <w:color w:val="000000" w:themeColor="text1"/>
        </w:rPr>
        <w:t xml:space="preserve"> </w:t>
      </w:r>
      <w:r w:rsidRPr="006B1CE0">
        <w:rPr>
          <w:color w:val="000000" w:themeColor="text1"/>
        </w:rPr>
        <w:t>to</w:t>
      </w:r>
      <w:r w:rsidR="00C64050">
        <w:rPr>
          <w:color w:val="000000" w:themeColor="text1"/>
        </w:rPr>
        <w:t xml:space="preserve"> </w:t>
      </w:r>
      <w:r w:rsidRPr="006B1CE0">
        <w:rPr>
          <w:color w:val="000000" w:themeColor="text1"/>
        </w:rPr>
        <w:t>make</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judgment</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“one</w:t>
      </w:r>
      <w:r w:rsidR="00C64050">
        <w:rPr>
          <w:color w:val="000000" w:themeColor="text1"/>
        </w:rPr>
        <w:t xml:space="preserve"> </w:t>
      </w:r>
      <w:r w:rsidRPr="006B1CE0">
        <w:rPr>
          <w:color w:val="000000" w:themeColor="text1"/>
        </w:rPr>
        <w:t>State[</w:t>
      </w:r>
      <w:r w:rsidR="00C64050">
        <w:rPr>
          <w:color w:val="000000" w:themeColor="text1"/>
        </w:rPr>
        <w:t xml:space="preserve"> </w:t>
      </w:r>
      <w:r w:rsidRPr="006B1CE0">
        <w:rPr>
          <w:color w:val="000000" w:themeColor="text1"/>
        </w:rPr>
        <w:t>]</w:t>
      </w:r>
      <w:r w:rsidR="00C64050">
        <w:rPr>
          <w:color w:val="000000" w:themeColor="text1"/>
        </w:rPr>
        <w:t xml:space="preserve"> </w:t>
      </w:r>
      <w:r w:rsidRPr="006B1CE0">
        <w:rPr>
          <w:color w:val="000000" w:themeColor="text1"/>
        </w:rPr>
        <w:t>conclusive</w:t>
      </w:r>
      <w:r w:rsidR="00C64050">
        <w:rPr>
          <w:color w:val="000000" w:themeColor="text1"/>
        </w:rPr>
        <w:t xml:space="preserve"> </w:t>
      </w:r>
      <w:r w:rsidRPr="006B1CE0">
        <w:rPr>
          <w:color w:val="000000" w:themeColor="text1"/>
        </w:rPr>
        <w:t>evidence</w:t>
      </w:r>
      <w:r w:rsidR="00C64050">
        <w:rPr>
          <w:color w:val="000000" w:themeColor="text1"/>
        </w:rPr>
        <w:t xml:space="preserve"> </w:t>
      </w:r>
      <w:r w:rsidRPr="006B1CE0">
        <w:rPr>
          <w:color w:val="000000" w:themeColor="text1"/>
        </w:rPr>
        <w:t>in</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courts</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another</w:t>
      </w:r>
      <w:r w:rsidR="00C64050">
        <w:rPr>
          <w:color w:val="000000" w:themeColor="text1"/>
        </w:rPr>
        <w:t xml:space="preserve"> </w:t>
      </w:r>
      <w:r w:rsidRPr="006B1CE0">
        <w:rPr>
          <w:color w:val="000000" w:themeColor="text1"/>
        </w:rPr>
        <w:t>State[.]”</w:t>
      </w:r>
      <w:r w:rsidR="00C64050">
        <w:rPr>
          <w:color w:val="000000" w:themeColor="text1"/>
        </w:rPr>
        <w:t xml:space="preserve"> </w:t>
      </w:r>
      <w:hyperlink r:id="rId390" w:anchor="co_pp_sp_708_668" w:history="1">
        <w:r w:rsidRPr="006B1CE0">
          <w:rPr>
            <w:color w:val="000000" w:themeColor="text1"/>
          </w:rPr>
          <w:t>522</w:t>
        </w:r>
        <w:r w:rsidR="00C64050">
          <w:rPr>
            <w:color w:val="000000" w:themeColor="text1"/>
          </w:rPr>
          <w:t xml:space="preserve"> </w:t>
        </w:r>
        <w:r w:rsidRPr="006B1CE0">
          <w:rPr>
            <w:color w:val="000000" w:themeColor="text1"/>
          </w:rPr>
          <w:t>U.S.</w:t>
        </w:r>
        <w:r w:rsidR="00C64050">
          <w:rPr>
            <w:color w:val="000000" w:themeColor="text1"/>
          </w:rPr>
          <w:t xml:space="preserve"> </w:t>
        </w:r>
        <w:r w:rsidRPr="006B1CE0">
          <w:rPr>
            <w:color w:val="000000" w:themeColor="text1"/>
          </w:rPr>
          <w:t>at</w:t>
        </w:r>
        <w:r w:rsidR="00C64050">
          <w:rPr>
            <w:color w:val="000000" w:themeColor="text1"/>
          </w:rPr>
          <w:t xml:space="preserve"> </w:t>
        </w:r>
        <w:r w:rsidRPr="006B1CE0">
          <w:rPr>
            <w:color w:val="000000" w:themeColor="text1"/>
          </w:rPr>
          <w:t>242,</w:t>
        </w:r>
        <w:r w:rsidR="00C64050">
          <w:rPr>
            <w:color w:val="000000" w:themeColor="text1"/>
          </w:rPr>
          <w:t xml:space="preserve"> </w:t>
        </w:r>
        <w:r w:rsidRPr="006B1CE0">
          <w:rPr>
            <w:color w:val="000000" w:themeColor="text1"/>
          </w:rPr>
          <w:t>118</w:t>
        </w:r>
        <w:r w:rsidR="00C64050">
          <w:rPr>
            <w:color w:val="000000" w:themeColor="text1"/>
          </w:rPr>
          <w:t xml:space="preserve"> </w:t>
        </w:r>
        <w:r w:rsidRPr="006B1CE0">
          <w:rPr>
            <w:color w:val="000000" w:themeColor="text1"/>
          </w:rPr>
          <w:t>S.</w:t>
        </w:r>
        <w:r w:rsidR="00C64050">
          <w:rPr>
            <w:color w:val="000000" w:themeColor="text1"/>
          </w:rPr>
          <w:t xml:space="preserve"> </w:t>
        </w:r>
        <w:r w:rsidRPr="006B1CE0">
          <w:rPr>
            <w:color w:val="000000" w:themeColor="text1"/>
          </w:rPr>
          <w:t>Ct.</w:t>
        </w:r>
        <w:r w:rsidR="00C64050">
          <w:rPr>
            <w:color w:val="000000" w:themeColor="text1"/>
          </w:rPr>
          <w:t xml:space="preserve"> </w:t>
        </w:r>
        <w:r w:rsidRPr="006B1CE0">
          <w:rPr>
            <w:color w:val="000000" w:themeColor="text1"/>
          </w:rPr>
          <w:t>at</w:t>
        </w:r>
        <w:r w:rsidR="00C64050">
          <w:rPr>
            <w:color w:val="000000" w:themeColor="text1"/>
          </w:rPr>
          <w:t xml:space="preserve"> </w:t>
        </w:r>
        <w:r w:rsidRPr="006B1CE0">
          <w:rPr>
            <w:color w:val="000000" w:themeColor="text1"/>
          </w:rPr>
          <w:t>668</w:t>
        </w:r>
      </w:hyperlink>
      <w:r w:rsidR="00C64050">
        <w:rPr>
          <w:color w:val="000000" w:themeColor="text1"/>
        </w:rPr>
        <w:t xml:space="preserve"> </w:t>
      </w:r>
      <w:r w:rsidRPr="006B1CE0">
        <w:rPr>
          <w:color w:val="000000" w:themeColor="text1"/>
        </w:rPr>
        <w:t>(Scalia,</w:t>
      </w:r>
      <w:r w:rsidR="00C64050">
        <w:rPr>
          <w:color w:val="000000" w:themeColor="text1"/>
        </w:rPr>
        <w:t xml:space="preserve"> </w:t>
      </w:r>
      <w:r w:rsidRPr="006B1CE0">
        <w:rPr>
          <w:color w:val="000000" w:themeColor="text1"/>
        </w:rPr>
        <w:t>J.</w:t>
      </w:r>
      <w:r w:rsidR="00C64050">
        <w:rPr>
          <w:color w:val="000000" w:themeColor="text1"/>
        </w:rPr>
        <w:t xml:space="preserve"> </w:t>
      </w:r>
      <w:r w:rsidRPr="006B1CE0">
        <w:rPr>
          <w:color w:val="000000" w:themeColor="text1"/>
        </w:rPr>
        <w:t>concurring)</w:t>
      </w:r>
      <w:r w:rsidR="00C64050">
        <w:rPr>
          <w:color w:val="000000" w:themeColor="text1"/>
        </w:rPr>
        <w:t xml:space="preserve"> </w:t>
      </w:r>
      <w:r w:rsidRPr="006B1CE0">
        <w:rPr>
          <w:color w:val="000000" w:themeColor="text1"/>
        </w:rPr>
        <w:t>(quoting</w:t>
      </w:r>
      <w:r w:rsidR="00C64050">
        <w:rPr>
          <w:color w:val="000000" w:themeColor="text1"/>
        </w:rPr>
        <w:t xml:space="preserve"> </w:t>
      </w:r>
      <w:hyperlink r:id="rId391" w:anchor="co_pp_sp_708_1375" w:history="1">
        <w:r w:rsidRPr="006B1CE0">
          <w:rPr>
            <w:i/>
            <w:iCs/>
            <w:color w:val="000000" w:themeColor="text1"/>
          </w:rPr>
          <w:t>Wisconsin</w:t>
        </w:r>
        <w:r w:rsidR="00C64050">
          <w:rPr>
            <w:i/>
            <w:iCs/>
            <w:color w:val="000000" w:themeColor="text1"/>
          </w:rPr>
          <w:t xml:space="preserve"> </w:t>
        </w:r>
        <w:r w:rsidRPr="006B1CE0">
          <w:rPr>
            <w:i/>
            <w:iCs/>
            <w:color w:val="000000" w:themeColor="text1"/>
          </w:rPr>
          <w:t>v.</w:t>
        </w:r>
        <w:r w:rsidR="00C64050">
          <w:rPr>
            <w:i/>
            <w:iCs/>
            <w:color w:val="000000" w:themeColor="text1"/>
          </w:rPr>
          <w:t xml:space="preserve"> </w:t>
        </w:r>
        <w:r w:rsidRPr="006B1CE0">
          <w:rPr>
            <w:i/>
            <w:iCs/>
            <w:color w:val="000000" w:themeColor="text1"/>
          </w:rPr>
          <w:t>Pelican</w:t>
        </w:r>
        <w:r w:rsidR="00C64050">
          <w:rPr>
            <w:i/>
            <w:iCs/>
            <w:color w:val="000000" w:themeColor="text1"/>
          </w:rPr>
          <w:t xml:space="preserve"> </w:t>
        </w:r>
        <w:r w:rsidRPr="006B1CE0">
          <w:rPr>
            <w:i/>
            <w:iCs/>
            <w:color w:val="000000" w:themeColor="text1"/>
          </w:rPr>
          <w:t>Ins.</w:t>
        </w:r>
        <w:r w:rsidR="00C64050">
          <w:rPr>
            <w:i/>
            <w:iCs/>
            <w:color w:val="000000" w:themeColor="text1"/>
          </w:rPr>
          <w:t xml:space="preserve"> </w:t>
        </w:r>
        <w:r w:rsidRPr="006B1CE0">
          <w:rPr>
            <w:i/>
            <w:iCs/>
            <w:color w:val="000000" w:themeColor="text1"/>
          </w:rPr>
          <w:t>Co.</w:t>
        </w:r>
        <w:r w:rsidRPr="006B1CE0">
          <w:rPr>
            <w:color w:val="000000" w:themeColor="text1"/>
          </w:rPr>
          <w:t>,</w:t>
        </w:r>
        <w:r w:rsidR="00C64050">
          <w:rPr>
            <w:color w:val="000000" w:themeColor="text1"/>
          </w:rPr>
          <w:t xml:space="preserve"> </w:t>
        </w:r>
        <w:r w:rsidRPr="006B1CE0">
          <w:rPr>
            <w:color w:val="000000" w:themeColor="text1"/>
          </w:rPr>
          <w:t>127</w:t>
        </w:r>
        <w:r w:rsidR="00C64050">
          <w:rPr>
            <w:color w:val="000000" w:themeColor="text1"/>
          </w:rPr>
          <w:t xml:space="preserve"> </w:t>
        </w:r>
        <w:r w:rsidRPr="006B1CE0">
          <w:rPr>
            <w:color w:val="000000" w:themeColor="text1"/>
          </w:rPr>
          <w:t>U.S.</w:t>
        </w:r>
        <w:r w:rsidR="00C64050">
          <w:rPr>
            <w:color w:val="000000" w:themeColor="text1"/>
          </w:rPr>
          <w:t xml:space="preserve"> </w:t>
        </w:r>
        <w:r w:rsidRPr="006B1CE0">
          <w:rPr>
            <w:color w:val="000000" w:themeColor="text1"/>
          </w:rPr>
          <w:t>265,</w:t>
        </w:r>
        <w:r w:rsidR="00C64050">
          <w:rPr>
            <w:color w:val="000000" w:themeColor="text1"/>
          </w:rPr>
          <w:t xml:space="preserve"> </w:t>
        </w:r>
        <w:r w:rsidRPr="006B1CE0">
          <w:rPr>
            <w:color w:val="000000" w:themeColor="text1"/>
          </w:rPr>
          <w:t>291-92,</w:t>
        </w:r>
        <w:r w:rsidR="00C64050">
          <w:rPr>
            <w:color w:val="000000" w:themeColor="text1"/>
          </w:rPr>
          <w:t xml:space="preserve"> </w:t>
        </w:r>
        <w:r w:rsidRPr="006B1CE0">
          <w:rPr>
            <w:color w:val="000000" w:themeColor="text1"/>
          </w:rPr>
          <w:t>8</w:t>
        </w:r>
        <w:r w:rsidR="00C64050">
          <w:rPr>
            <w:color w:val="000000" w:themeColor="text1"/>
          </w:rPr>
          <w:t xml:space="preserve"> </w:t>
        </w:r>
        <w:r w:rsidRPr="006B1CE0">
          <w:rPr>
            <w:color w:val="000000" w:themeColor="text1"/>
          </w:rPr>
          <w:t>S.</w:t>
        </w:r>
        <w:r w:rsidR="00C64050">
          <w:rPr>
            <w:color w:val="000000" w:themeColor="text1"/>
          </w:rPr>
          <w:t xml:space="preserve"> </w:t>
        </w:r>
        <w:r w:rsidRPr="006B1CE0">
          <w:rPr>
            <w:color w:val="000000" w:themeColor="text1"/>
          </w:rPr>
          <w:t>Ct.</w:t>
        </w:r>
        <w:r w:rsidR="00C64050">
          <w:rPr>
            <w:color w:val="000000" w:themeColor="text1"/>
          </w:rPr>
          <w:t xml:space="preserve"> </w:t>
        </w:r>
        <w:r w:rsidRPr="006B1CE0">
          <w:rPr>
            <w:color w:val="000000" w:themeColor="text1"/>
          </w:rPr>
          <w:t>1370,</w:t>
        </w:r>
        <w:r w:rsidR="00C64050">
          <w:rPr>
            <w:color w:val="000000" w:themeColor="text1"/>
          </w:rPr>
          <w:t xml:space="preserve"> </w:t>
        </w:r>
        <w:r w:rsidRPr="006B1CE0">
          <w:rPr>
            <w:color w:val="000000" w:themeColor="text1"/>
          </w:rPr>
          <w:t>1375,</w:t>
        </w:r>
        <w:r w:rsidR="00C64050">
          <w:rPr>
            <w:color w:val="000000" w:themeColor="text1"/>
          </w:rPr>
          <w:t xml:space="preserve"> </w:t>
        </w:r>
        <w:r w:rsidRPr="006B1CE0">
          <w:rPr>
            <w:color w:val="000000" w:themeColor="text1"/>
          </w:rPr>
          <w:t>32</w:t>
        </w:r>
        <w:r w:rsidR="00C64050">
          <w:rPr>
            <w:color w:val="000000" w:themeColor="text1"/>
          </w:rPr>
          <w:t xml:space="preserve"> </w:t>
        </w:r>
        <w:r w:rsidRPr="006B1CE0">
          <w:rPr>
            <w:color w:val="000000" w:themeColor="text1"/>
          </w:rPr>
          <w:t>L.</w:t>
        </w:r>
        <w:r w:rsidR="00C64050">
          <w:rPr>
            <w:color w:val="000000" w:themeColor="text1"/>
          </w:rPr>
          <w:t xml:space="preserve"> </w:t>
        </w:r>
        <w:r w:rsidRPr="006B1CE0">
          <w:rPr>
            <w:color w:val="000000" w:themeColor="text1"/>
          </w:rPr>
          <w:t>Ed.</w:t>
        </w:r>
        <w:r w:rsidR="00C64050">
          <w:rPr>
            <w:color w:val="000000" w:themeColor="text1"/>
          </w:rPr>
          <w:t xml:space="preserve"> </w:t>
        </w:r>
        <w:r w:rsidRPr="006B1CE0">
          <w:rPr>
            <w:color w:val="000000" w:themeColor="text1"/>
          </w:rPr>
          <w:t>239</w:t>
        </w:r>
        <w:r w:rsidR="00C64050">
          <w:rPr>
            <w:color w:val="000000" w:themeColor="text1"/>
          </w:rPr>
          <w:t xml:space="preserve"> </w:t>
        </w:r>
        <w:r w:rsidRPr="006B1CE0">
          <w:rPr>
            <w:color w:val="000000" w:themeColor="text1"/>
          </w:rPr>
          <w:t>(1888)</w:t>
        </w:r>
      </w:hyperlink>
      <w:r w:rsidRPr="006B1CE0">
        <w:rPr>
          <w:color w:val="000000" w:themeColor="text1"/>
        </w:rPr>
        <w:t>).</w:t>
      </w:r>
      <w:r w:rsidR="00C64050">
        <w:rPr>
          <w:color w:val="000000" w:themeColor="text1"/>
        </w:rPr>
        <w:t xml:space="preserve"> </w:t>
      </w:r>
      <w:r w:rsidRPr="006B1CE0">
        <w:rPr>
          <w:color w:val="000000" w:themeColor="text1"/>
        </w:rPr>
        <w:t>Yet</w:t>
      </w:r>
      <w:r w:rsidR="00C64050">
        <w:rPr>
          <w:color w:val="000000" w:themeColor="text1"/>
        </w:rPr>
        <w:t xml:space="preserve"> </w:t>
      </w:r>
      <w:r w:rsidRPr="006B1CE0">
        <w:rPr>
          <w:color w:val="000000" w:themeColor="text1"/>
        </w:rPr>
        <w:t>despite</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preclusive</w:t>
      </w:r>
      <w:r w:rsidR="00C64050">
        <w:rPr>
          <w:color w:val="000000" w:themeColor="text1"/>
        </w:rPr>
        <w:t xml:space="preserve"> </w:t>
      </w:r>
      <w:r w:rsidRPr="006B1CE0">
        <w:rPr>
          <w:color w:val="000000" w:themeColor="text1"/>
        </w:rPr>
        <w:t>power</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one</w:t>
      </w:r>
      <w:r w:rsidR="00C64050">
        <w:rPr>
          <w:color w:val="000000" w:themeColor="text1"/>
        </w:rPr>
        <w:t xml:space="preserve"> </w:t>
      </w:r>
      <w:r w:rsidRPr="006B1CE0">
        <w:rPr>
          <w:color w:val="000000" w:themeColor="text1"/>
        </w:rPr>
        <w:t>state’s</w:t>
      </w:r>
      <w:r w:rsidR="00C64050">
        <w:rPr>
          <w:color w:val="000000" w:themeColor="text1"/>
        </w:rPr>
        <w:t xml:space="preserve"> </w:t>
      </w:r>
      <w:r w:rsidRPr="006B1CE0">
        <w:rPr>
          <w:color w:val="000000" w:themeColor="text1"/>
        </w:rPr>
        <w:t>judgment,</w:t>
      </w:r>
      <w:r w:rsidR="00C64050">
        <w:rPr>
          <w:color w:val="000000" w:themeColor="text1"/>
        </w:rPr>
        <w:t xml:space="preserve"> </w:t>
      </w:r>
      <w:r w:rsidRPr="006B1CE0">
        <w:rPr>
          <w:color w:val="000000" w:themeColor="text1"/>
        </w:rPr>
        <w:t>it</w:t>
      </w:r>
      <w:r w:rsidR="00C64050">
        <w:rPr>
          <w:color w:val="000000" w:themeColor="text1"/>
        </w:rPr>
        <w:t xml:space="preserve"> </w:t>
      </w:r>
      <w:r w:rsidRPr="006B1CE0">
        <w:rPr>
          <w:color w:val="000000" w:themeColor="text1"/>
        </w:rPr>
        <w:t>“can</w:t>
      </w:r>
      <w:r w:rsidR="00C64050">
        <w:rPr>
          <w:color w:val="000000" w:themeColor="text1"/>
        </w:rPr>
        <w:t xml:space="preserve"> </w:t>
      </w:r>
      <w:r w:rsidRPr="006B1CE0">
        <w:rPr>
          <w:color w:val="000000" w:themeColor="text1"/>
        </w:rPr>
        <w:t>only</w:t>
      </w:r>
      <w:r w:rsidR="00C64050">
        <w:rPr>
          <w:color w:val="000000" w:themeColor="text1"/>
        </w:rPr>
        <w:t xml:space="preserve"> </w:t>
      </w:r>
      <w:r w:rsidRPr="006B1CE0">
        <w:rPr>
          <w:color w:val="000000" w:themeColor="text1"/>
        </w:rPr>
        <w:t>be</w:t>
      </w:r>
      <w:r w:rsidR="00C64050">
        <w:rPr>
          <w:color w:val="000000" w:themeColor="text1"/>
        </w:rPr>
        <w:t xml:space="preserve"> </w:t>
      </w:r>
      <w:r w:rsidRPr="006B1CE0">
        <w:rPr>
          <w:color w:val="000000" w:themeColor="text1"/>
        </w:rPr>
        <w:t>executed</w:t>
      </w:r>
      <w:r w:rsidR="00C64050">
        <w:rPr>
          <w:color w:val="000000" w:themeColor="text1"/>
        </w:rPr>
        <w:t xml:space="preserve"> </w:t>
      </w:r>
      <w:r w:rsidRPr="006B1CE0">
        <w:rPr>
          <w:color w:val="000000" w:themeColor="text1"/>
        </w:rPr>
        <w:t>in</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forum</w:t>
      </w:r>
      <w:r w:rsidR="00C64050">
        <w:rPr>
          <w:color w:val="000000" w:themeColor="text1"/>
        </w:rPr>
        <w:t xml:space="preserve"> </w:t>
      </w:r>
      <w:r w:rsidRPr="006B1CE0">
        <w:rPr>
          <w:color w:val="000000" w:themeColor="text1"/>
        </w:rPr>
        <w:t>state]</w:t>
      </w:r>
      <w:r w:rsidR="00C64050">
        <w:rPr>
          <w:color w:val="000000" w:themeColor="text1"/>
        </w:rPr>
        <w:t xml:space="preserve"> </w:t>
      </w:r>
      <w:r w:rsidRPr="006B1CE0">
        <w:rPr>
          <w:color w:val="000000" w:themeColor="text1"/>
        </w:rPr>
        <w:t>as</w:t>
      </w:r>
      <w:r w:rsidR="00C64050">
        <w:rPr>
          <w:color w:val="000000" w:themeColor="text1"/>
        </w:rPr>
        <w:t xml:space="preserve"> </w:t>
      </w:r>
      <w:r w:rsidRPr="006B1CE0">
        <w:rPr>
          <w:color w:val="000000" w:themeColor="text1"/>
        </w:rPr>
        <w:t>its</w:t>
      </w:r>
      <w:r w:rsidR="00C64050">
        <w:rPr>
          <w:color w:val="000000" w:themeColor="text1"/>
        </w:rPr>
        <w:t xml:space="preserve"> </w:t>
      </w:r>
      <w:r w:rsidRPr="006B1CE0">
        <w:rPr>
          <w:color w:val="000000" w:themeColor="text1"/>
        </w:rPr>
        <w:t>laws</w:t>
      </w:r>
      <w:r w:rsidR="00C64050">
        <w:rPr>
          <w:color w:val="000000" w:themeColor="text1"/>
        </w:rPr>
        <w:t xml:space="preserve"> </w:t>
      </w:r>
      <w:r w:rsidRPr="006B1CE0">
        <w:rPr>
          <w:color w:val="000000" w:themeColor="text1"/>
        </w:rPr>
        <w:t>may</w:t>
      </w:r>
      <w:r w:rsidR="00C64050">
        <w:rPr>
          <w:color w:val="000000" w:themeColor="text1"/>
        </w:rPr>
        <w:t xml:space="preserve"> </w:t>
      </w:r>
      <w:r w:rsidRPr="006B1CE0">
        <w:rPr>
          <w:color w:val="000000" w:themeColor="text1"/>
        </w:rPr>
        <w:t>permit.”</w:t>
      </w:r>
      <w:r w:rsidR="00C64050">
        <w:rPr>
          <w:color w:val="000000" w:themeColor="text1"/>
        </w:rPr>
        <w:t xml:space="preserve"> </w:t>
      </w:r>
      <w:hyperlink r:id="rId392" w:history="1">
        <w:r w:rsidRPr="006B1CE0">
          <w:rPr>
            <w:i/>
            <w:iCs/>
            <w:color w:val="000000" w:themeColor="text1"/>
          </w:rPr>
          <w:t>Id.</w:t>
        </w:r>
      </w:hyperlink>
      <w:r w:rsidR="00C64050">
        <w:rPr>
          <w:color w:val="000000" w:themeColor="text1"/>
        </w:rPr>
        <w:t xml:space="preserve"> </w:t>
      </w:r>
      <w:r w:rsidRPr="006B1CE0">
        <w:rPr>
          <w:color w:val="000000" w:themeColor="text1"/>
        </w:rPr>
        <w:t>(quoting</w:t>
      </w:r>
      <w:r w:rsidR="00C64050">
        <w:rPr>
          <w:color w:val="000000" w:themeColor="text1"/>
        </w:rPr>
        <w:t xml:space="preserve"> </w:t>
      </w:r>
      <w:hyperlink r:id="rId393" w:anchor="co_pp_sp_708_556" w:history="1">
        <w:r w:rsidRPr="006B1CE0">
          <w:rPr>
            <w:i/>
            <w:iCs/>
            <w:color w:val="000000" w:themeColor="text1"/>
          </w:rPr>
          <w:t>Lynde</w:t>
        </w:r>
        <w:r w:rsidR="00C64050">
          <w:rPr>
            <w:i/>
            <w:iCs/>
            <w:color w:val="000000" w:themeColor="text1"/>
          </w:rPr>
          <w:t xml:space="preserve"> </w:t>
        </w:r>
        <w:r w:rsidRPr="006B1CE0">
          <w:rPr>
            <w:i/>
            <w:iCs/>
            <w:color w:val="000000" w:themeColor="text1"/>
          </w:rPr>
          <w:t>v.</w:t>
        </w:r>
        <w:r w:rsidR="00C64050">
          <w:rPr>
            <w:i/>
            <w:iCs/>
            <w:color w:val="000000" w:themeColor="text1"/>
          </w:rPr>
          <w:t xml:space="preserve"> </w:t>
        </w:r>
        <w:r w:rsidRPr="006B1CE0">
          <w:rPr>
            <w:i/>
            <w:iCs/>
            <w:color w:val="000000" w:themeColor="text1"/>
          </w:rPr>
          <w:t>Lynde</w:t>
        </w:r>
        <w:r w:rsidRPr="006B1CE0">
          <w:rPr>
            <w:color w:val="000000" w:themeColor="text1"/>
          </w:rPr>
          <w:t>,</w:t>
        </w:r>
        <w:r w:rsidR="00C64050">
          <w:rPr>
            <w:color w:val="000000" w:themeColor="text1"/>
          </w:rPr>
          <w:t xml:space="preserve"> </w:t>
        </w:r>
        <w:r w:rsidRPr="006B1CE0">
          <w:rPr>
            <w:color w:val="000000" w:themeColor="text1"/>
          </w:rPr>
          <w:t>181</w:t>
        </w:r>
        <w:r w:rsidR="00C64050">
          <w:rPr>
            <w:color w:val="000000" w:themeColor="text1"/>
          </w:rPr>
          <w:t xml:space="preserve"> </w:t>
        </w:r>
        <w:r w:rsidRPr="006B1CE0">
          <w:rPr>
            <w:color w:val="000000" w:themeColor="text1"/>
          </w:rPr>
          <w:t>U.S.</w:t>
        </w:r>
        <w:r w:rsidR="00C64050">
          <w:rPr>
            <w:color w:val="000000" w:themeColor="text1"/>
          </w:rPr>
          <w:t xml:space="preserve"> </w:t>
        </w:r>
        <w:r w:rsidRPr="006B1CE0">
          <w:rPr>
            <w:color w:val="000000" w:themeColor="text1"/>
          </w:rPr>
          <w:t>183,</w:t>
        </w:r>
        <w:r w:rsidR="00C64050">
          <w:rPr>
            <w:color w:val="000000" w:themeColor="text1"/>
          </w:rPr>
          <w:t xml:space="preserve"> </w:t>
        </w:r>
        <w:r w:rsidRPr="006B1CE0">
          <w:rPr>
            <w:color w:val="000000" w:themeColor="text1"/>
          </w:rPr>
          <w:t>187,</w:t>
        </w:r>
        <w:r w:rsidR="00C64050">
          <w:rPr>
            <w:color w:val="000000" w:themeColor="text1"/>
          </w:rPr>
          <w:t xml:space="preserve"> </w:t>
        </w:r>
        <w:r w:rsidRPr="006B1CE0">
          <w:rPr>
            <w:color w:val="000000" w:themeColor="text1"/>
          </w:rPr>
          <w:t>21</w:t>
        </w:r>
        <w:r w:rsidR="00C64050">
          <w:rPr>
            <w:color w:val="000000" w:themeColor="text1"/>
          </w:rPr>
          <w:t xml:space="preserve"> </w:t>
        </w:r>
        <w:r w:rsidRPr="006B1CE0">
          <w:rPr>
            <w:color w:val="000000" w:themeColor="text1"/>
          </w:rPr>
          <w:t>S.</w:t>
        </w:r>
        <w:r w:rsidR="00C64050">
          <w:rPr>
            <w:color w:val="000000" w:themeColor="text1"/>
          </w:rPr>
          <w:t xml:space="preserve"> </w:t>
        </w:r>
        <w:r w:rsidRPr="006B1CE0">
          <w:rPr>
            <w:color w:val="000000" w:themeColor="text1"/>
          </w:rPr>
          <w:t>Ct.</w:t>
        </w:r>
        <w:r w:rsidR="00C64050">
          <w:rPr>
            <w:color w:val="000000" w:themeColor="text1"/>
          </w:rPr>
          <w:t xml:space="preserve"> </w:t>
        </w:r>
        <w:r w:rsidRPr="006B1CE0">
          <w:rPr>
            <w:color w:val="000000" w:themeColor="text1"/>
          </w:rPr>
          <w:t>555,</w:t>
        </w:r>
        <w:r w:rsidR="00C64050">
          <w:rPr>
            <w:color w:val="000000" w:themeColor="text1"/>
          </w:rPr>
          <w:t xml:space="preserve"> </w:t>
        </w:r>
        <w:r w:rsidRPr="006B1CE0">
          <w:rPr>
            <w:color w:val="000000" w:themeColor="text1"/>
          </w:rPr>
          <w:t>556,</w:t>
        </w:r>
        <w:r w:rsidR="00C64050">
          <w:rPr>
            <w:color w:val="000000" w:themeColor="text1"/>
          </w:rPr>
          <w:t xml:space="preserve"> </w:t>
        </w:r>
        <w:r w:rsidRPr="006B1CE0">
          <w:rPr>
            <w:color w:val="000000" w:themeColor="text1"/>
          </w:rPr>
          <w:t>45</w:t>
        </w:r>
        <w:r w:rsidR="00C64050">
          <w:rPr>
            <w:color w:val="000000" w:themeColor="text1"/>
          </w:rPr>
          <w:t xml:space="preserve"> </w:t>
        </w:r>
        <w:r w:rsidRPr="006B1CE0">
          <w:rPr>
            <w:color w:val="000000" w:themeColor="text1"/>
          </w:rPr>
          <w:t>L.</w:t>
        </w:r>
        <w:r w:rsidR="00C64050">
          <w:rPr>
            <w:color w:val="000000" w:themeColor="text1"/>
          </w:rPr>
          <w:t xml:space="preserve"> </w:t>
        </w:r>
        <w:r w:rsidRPr="006B1CE0">
          <w:rPr>
            <w:color w:val="000000" w:themeColor="text1"/>
          </w:rPr>
          <w:t>Ed.</w:t>
        </w:r>
        <w:r w:rsidR="00C64050">
          <w:rPr>
            <w:color w:val="000000" w:themeColor="text1"/>
          </w:rPr>
          <w:t xml:space="preserve"> </w:t>
        </w:r>
        <w:r w:rsidRPr="006B1CE0">
          <w:rPr>
            <w:color w:val="000000" w:themeColor="text1"/>
          </w:rPr>
          <w:t>810</w:t>
        </w:r>
        <w:r w:rsidR="00C64050">
          <w:rPr>
            <w:color w:val="000000" w:themeColor="text1"/>
          </w:rPr>
          <w:t xml:space="preserve"> </w:t>
        </w:r>
        <w:r w:rsidRPr="006B1CE0">
          <w:rPr>
            <w:color w:val="000000" w:themeColor="text1"/>
          </w:rPr>
          <w:t>(1901)</w:t>
        </w:r>
      </w:hyperlink>
      <w:r w:rsidRPr="006B1CE0">
        <w:rPr>
          <w:color w:val="000000" w:themeColor="text1"/>
        </w:rPr>
        <w:t>);</w:t>
      </w:r>
      <w:r w:rsidR="00C64050">
        <w:rPr>
          <w:color w:val="000000" w:themeColor="text1"/>
        </w:rPr>
        <w:t xml:space="preserve"> </w:t>
      </w:r>
      <w:r w:rsidRPr="006B1CE0">
        <w:rPr>
          <w:i/>
          <w:iCs/>
          <w:color w:val="000000" w:themeColor="text1"/>
        </w:rPr>
        <w:t>see</w:t>
      </w:r>
      <w:r w:rsidR="00C64050">
        <w:rPr>
          <w:i/>
          <w:iCs/>
          <w:color w:val="000000" w:themeColor="text1"/>
        </w:rPr>
        <w:t xml:space="preserve"> </w:t>
      </w:r>
      <w:r w:rsidRPr="006B1CE0">
        <w:rPr>
          <w:i/>
          <w:iCs/>
          <w:color w:val="000000" w:themeColor="text1"/>
        </w:rPr>
        <w:t>also</w:t>
      </w:r>
      <w:r w:rsidR="00C64050">
        <w:rPr>
          <w:color w:val="000000" w:themeColor="text1"/>
        </w:rPr>
        <w:t xml:space="preserve"> </w:t>
      </w:r>
      <w:hyperlink r:id="rId394" w:anchor="co_pp_sp_506_161" w:history="1">
        <w:r w:rsidRPr="006B1CE0">
          <w:rPr>
            <w:i/>
            <w:iCs/>
            <w:color w:val="000000" w:themeColor="text1"/>
          </w:rPr>
          <w:t>Adar</w:t>
        </w:r>
        <w:r w:rsidRPr="006B1CE0">
          <w:rPr>
            <w:color w:val="000000" w:themeColor="text1"/>
          </w:rPr>
          <w:t>,</w:t>
        </w:r>
        <w:r w:rsidR="00C64050">
          <w:rPr>
            <w:color w:val="000000" w:themeColor="text1"/>
          </w:rPr>
          <w:t xml:space="preserve"> </w:t>
        </w:r>
        <w:r w:rsidRPr="006B1CE0">
          <w:rPr>
            <w:color w:val="000000" w:themeColor="text1"/>
          </w:rPr>
          <w:t>639</w:t>
        </w:r>
        <w:r w:rsidR="00C64050">
          <w:rPr>
            <w:color w:val="000000" w:themeColor="text1"/>
          </w:rPr>
          <w:t xml:space="preserve"> </w:t>
        </w:r>
        <w:r w:rsidRPr="006B1CE0">
          <w:rPr>
            <w:color w:val="000000" w:themeColor="text1"/>
          </w:rPr>
          <w:t>F.3d</w:t>
        </w:r>
        <w:r w:rsidR="00C64050">
          <w:rPr>
            <w:color w:val="000000" w:themeColor="text1"/>
          </w:rPr>
          <w:t xml:space="preserve"> </w:t>
        </w:r>
        <w:r w:rsidRPr="006B1CE0">
          <w:rPr>
            <w:color w:val="000000" w:themeColor="text1"/>
          </w:rPr>
          <w:t>at</w:t>
        </w:r>
        <w:r w:rsidR="00C64050">
          <w:rPr>
            <w:color w:val="000000" w:themeColor="text1"/>
          </w:rPr>
          <w:t xml:space="preserve"> </w:t>
        </w:r>
        <w:r w:rsidRPr="006B1CE0">
          <w:rPr>
            <w:color w:val="000000" w:themeColor="text1"/>
          </w:rPr>
          <w:t>161</w:t>
        </w:r>
      </w:hyperlink>
      <w:r w:rsidR="00C64050">
        <w:rPr>
          <w:color w:val="000000" w:themeColor="text1"/>
        </w:rPr>
        <w:t xml:space="preserve"> </w:t>
      </w:r>
      <w:r w:rsidRPr="006B1CE0">
        <w:rPr>
          <w:color w:val="000000" w:themeColor="text1"/>
        </w:rPr>
        <w:t>(holding</w:t>
      </w:r>
      <w:r w:rsidR="00C64050">
        <w:rPr>
          <w:color w:val="000000" w:themeColor="text1"/>
        </w:rPr>
        <w:t xml:space="preserve"> </w:t>
      </w:r>
      <w:r w:rsidRPr="006B1CE0">
        <w:rPr>
          <w:color w:val="000000" w:themeColor="text1"/>
        </w:rPr>
        <w:t>there</w:t>
      </w:r>
      <w:r w:rsidR="00C64050">
        <w:rPr>
          <w:color w:val="000000" w:themeColor="text1"/>
        </w:rPr>
        <w:t xml:space="preserve"> </w:t>
      </w:r>
      <w:r w:rsidRPr="006B1CE0">
        <w:rPr>
          <w:color w:val="000000" w:themeColor="text1"/>
        </w:rPr>
        <w:t>was</w:t>
      </w:r>
      <w:r w:rsidR="00C64050">
        <w:rPr>
          <w:color w:val="000000" w:themeColor="text1"/>
        </w:rPr>
        <w:t xml:space="preserve"> </w:t>
      </w:r>
      <w:r w:rsidRPr="006B1CE0">
        <w:rPr>
          <w:color w:val="000000" w:themeColor="text1"/>
        </w:rPr>
        <w:t>no</w:t>
      </w:r>
      <w:r w:rsidR="00C64050">
        <w:rPr>
          <w:color w:val="000000" w:themeColor="text1"/>
        </w:rPr>
        <w:t xml:space="preserve"> </w:t>
      </w:r>
      <w:r w:rsidRPr="006B1CE0">
        <w:rPr>
          <w:color w:val="000000" w:themeColor="text1"/>
        </w:rPr>
        <w:t>violation</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Full</w:t>
      </w:r>
      <w:r w:rsidR="00C64050">
        <w:rPr>
          <w:color w:val="000000" w:themeColor="text1"/>
        </w:rPr>
        <w:t xml:space="preserve"> </w:t>
      </w:r>
      <w:r w:rsidRPr="006B1CE0">
        <w:rPr>
          <w:color w:val="000000" w:themeColor="text1"/>
        </w:rPr>
        <w:t>Faith</w:t>
      </w:r>
      <w:r w:rsidR="00C64050">
        <w:rPr>
          <w:color w:val="000000" w:themeColor="text1"/>
        </w:rPr>
        <w:t xml:space="preserve"> </w:t>
      </w:r>
      <w:r w:rsidRPr="006B1CE0">
        <w:rPr>
          <w:color w:val="000000" w:themeColor="text1"/>
        </w:rPr>
        <w:t>and</w:t>
      </w:r>
      <w:r w:rsidR="00C64050">
        <w:rPr>
          <w:color w:val="000000" w:themeColor="text1"/>
        </w:rPr>
        <w:t xml:space="preserve"> </w:t>
      </w:r>
      <w:r w:rsidRPr="006B1CE0">
        <w:rPr>
          <w:color w:val="000000" w:themeColor="text1"/>
        </w:rPr>
        <w:t>Credit</w:t>
      </w:r>
      <w:r w:rsidR="00C64050">
        <w:rPr>
          <w:color w:val="000000" w:themeColor="text1"/>
        </w:rPr>
        <w:t xml:space="preserve"> </w:t>
      </w:r>
      <w:r w:rsidRPr="006B1CE0">
        <w:rPr>
          <w:color w:val="000000" w:themeColor="text1"/>
        </w:rPr>
        <w:t>Clause</w:t>
      </w:r>
      <w:r w:rsidR="00C64050">
        <w:rPr>
          <w:color w:val="000000" w:themeColor="text1"/>
        </w:rPr>
        <w:t xml:space="preserve"> </w:t>
      </w:r>
      <w:r w:rsidRPr="006B1CE0">
        <w:rPr>
          <w:color w:val="000000" w:themeColor="text1"/>
        </w:rPr>
        <w:t>where</w:t>
      </w:r>
      <w:r w:rsidR="00C64050">
        <w:rPr>
          <w:color w:val="000000" w:themeColor="text1"/>
        </w:rPr>
        <w:t xml:space="preserve"> </w:t>
      </w:r>
      <w:r w:rsidRPr="006B1CE0">
        <w:rPr>
          <w:color w:val="000000" w:themeColor="text1"/>
        </w:rPr>
        <w:t>a</w:t>
      </w:r>
      <w:r w:rsidR="00C64050">
        <w:rPr>
          <w:color w:val="000000" w:themeColor="text1"/>
        </w:rPr>
        <w:t xml:space="preserve"> </w:t>
      </w:r>
      <w:r w:rsidRPr="006B1CE0">
        <w:rPr>
          <w:color w:val="000000" w:themeColor="text1"/>
        </w:rPr>
        <w:t>Louisiana</w:t>
      </w:r>
      <w:r w:rsidR="00C64050">
        <w:rPr>
          <w:color w:val="000000" w:themeColor="text1"/>
        </w:rPr>
        <w:t xml:space="preserve"> </w:t>
      </w:r>
      <w:r w:rsidRPr="006B1CE0">
        <w:rPr>
          <w:color w:val="000000" w:themeColor="text1"/>
        </w:rPr>
        <w:t>registrar</w:t>
      </w:r>
      <w:r w:rsidR="00C64050">
        <w:rPr>
          <w:color w:val="000000" w:themeColor="text1"/>
        </w:rPr>
        <w:t xml:space="preserve"> </w:t>
      </w:r>
      <w:r w:rsidRPr="006B1CE0">
        <w:rPr>
          <w:color w:val="000000" w:themeColor="text1"/>
        </w:rPr>
        <w:t>recognized</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validity</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a</w:t>
      </w:r>
      <w:r w:rsidR="00C64050">
        <w:rPr>
          <w:color w:val="000000" w:themeColor="text1"/>
        </w:rPr>
        <w:t xml:space="preserve"> </w:t>
      </w:r>
      <w:r w:rsidRPr="006B1CE0">
        <w:rPr>
          <w:color w:val="000000" w:themeColor="text1"/>
        </w:rPr>
        <w:t>New</w:t>
      </w:r>
      <w:r w:rsidR="00C64050">
        <w:rPr>
          <w:color w:val="000000" w:themeColor="text1"/>
        </w:rPr>
        <w:t xml:space="preserve"> </w:t>
      </w:r>
      <w:r w:rsidRPr="006B1CE0">
        <w:rPr>
          <w:color w:val="000000" w:themeColor="text1"/>
        </w:rPr>
        <w:t>York</w:t>
      </w:r>
      <w:r w:rsidR="00C64050">
        <w:rPr>
          <w:color w:val="000000" w:themeColor="text1"/>
        </w:rPr>
        <w:t xml:space="preserve"> </w:t>
      </w:r>
      <w:r w:rsidRPr="006B1CE0">
        <w:rPr>
          <w:color w:val="000000" w:themeColor="text1"/>
        </w:rPr>
        <w:t>adoption</w:t>
      </w:r>
      <w:r w:rsidR="00C64050">
        <w:rPr>
          <w:color w:val="000000" w:themeColor="text1"/>
        </w:rPr>
        <w:t xml:space="preserve"> </w:t>
      </w:r>
      <w:r w:rsidRPr="006B1CE0">
        <w:rPr>
          <w:color w:val="000000" w:themeColor="text1"/>
        </w:rPr>
        <w:t>decree,</w:t>
      </w:r>
      <w:r w:rsidR="00C64050">
        <w:rPr>
          <w:color w:val="000000" w:themeColor="text1"/>
        </w:rPr>
        <w:t xml:space="preserve"> </w:t>
      </w:r>
      <w:r w:rsidRPr="006B1CE0">
        <w:rPr>
          <w:color w:val="000000" w:themeColor="text1"/>
        </w:rPr>
        <w:t>but</w:t>
      </w:r>
      <w:r w:rsidR="00C64050">
        <w:rPr>
          <w:color w:val="000000" w:themeColor="text1"/>
        </w:rPr>
        <w:t xml:space="preserve"> </w:t>
      </w:r>
      <w:r w:rsidRPr="006B1CE0">
        <w:rPr>
          <w:color w:val="000000" w:themeColor="text1"/>
        </w:rPr>
        <w:t>only</w:t>
      </w:r>
      <w:r w:rsidR="00C64050">
        <w:rPr>
          <w:color w:val="000000" w:themeColor="text1"/>
        </w:rPr>
        <w:t xml:space="preserve"> </w:t>
      </w:r>
      <w:r w:rsidRPr="006B1CE0">
        <w:rPr>
          <w:color w:val="000000" w:themeColor="text1"/>
        </w:rPr>
        <w:t>allowed</w:t>
      </w:r>
      <w:r w:rsidR="00C64050">
        <w:rPr>
          <w:color w:val="000000" w:themeColor="text1"/>
        </w:rPr>
        <w:t xml:space="preserve"> </w:t>
      </w:r>
      <w:r w:rsidRPr="006B1CE0">
        <w:rPr>
          <w:color w:val="000000" w:themeColor="text1"/>
        </w:rPr>
        <w:t>one</w:t>
      </w:r>
      <w:r w:rsidR="00C64050">
        <w:rPr>
          <w:color w:val="000000" w:themeColor="text1"/>
        </w:rPr>
        <w:t xml:space="preserve"> </w:t>
      </w:r>
      <w:r w:rsidRPr="006B1CE0">
        <w:rPr>
          <w:color w:val="000000" w:themeColor="text1"/>
        </w:rPr>
        <w:t>unmarried</w:t>
      </w:r>
      <w:r w:rsidR="00C64050">
        <w:rPr>
          <w:color w:val="000000" w:themeColor="text1"/>
        </w:rPr>
        <w:t xml:space="preserve"> </w:t>
      </w:r>
      <w:r w:rsidRPr="006B1CE0">
        <w:rPr>
          <w:color w:val="000000" w:themeColor="text1"/>
        </w:rPr>
        <w:t>parent’s</w:t>
      </w:r>
      <w:r w:rsidR="00C64050">
        <w:rPr>
          <w:color w:val="000000" w:themeColor="text1"/>
        </w:rPr>
        <w:t xml:space="preserve"> </w:t>
      </w:r>
      <w:r w:rsidRPr="006B1CE0">
        <w:rPr>
          <w:color w:val="000000" w:themeColor="text1"/>
        </w:rPr>
        <w:t>name</w:t>
      </w:r>
      <w:r w:rsidR="00C64050">
        <w:rPr>
          <w:color w:val="000000" w:themeColor="text1"/>
        </w:rPr>
        <w:t xml:space="preserve"> </w:t>
      </w:r>
      <w:r w:rsidRPr="006B1CE0">
        <w:rPr>
          <w:color w:val="000000" w:themeColor="text1"/>
        </w:rPr>
        <w:t>on</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Louisiana</w:t>
      </w:r>
      <w:r w:rsidR="00C64050">
        <w:rPr>
          <w:color w:val="000000" w:themeColor="text1"/>
        </w:rPr>
        <w:t xml:space="preserve"> </w:t>
      </w:r>
      <w:r w:rsidRPr="006B1CE0">
        <w:rPr>
          <w:color w:val="000000" w:themeColor="text1"/>
        </w:rPr>
        <w:t>birth</w:t>
      </w:r>
      <w:r w:rsidR="00C64050">
        <w:rPr>
          <w:color w:val="000000" w:themeColor="text1"/>
        </w:rPr>
        <w:t xml:space="preserve"> </w:t>
      </w:r>
      <w:r w:rsidRPr="006B1CE0">
        <w:rPr>
          <w:color w:val="000000" w:themeColor="text1"/>
        </w:rPr>
        <w:t>certificate</w:t>
      </w:r>
      <w:r w:rsidR="00C64050">
        <w:rPr>
          <w:color w:val="000000" w:themeColor="text1"/>
        </w:rPr>
        <w:t xml:space="preserve"> </w:t>
      </w:r>
      <w:r w:rsidRPr="006B1CE0">
        <w:rPr>
          <w:color w:val="000000" w:themeColor="text1"/>
        </w:rPr>
        <w:t>because</w:t>
      </w:r>
      <w:r w:rsidR="00C64050">
        <w:rPr>
          <w:color w:val="000000" w:themeColor="text1"/>
        </w:rPr>
        <w:t xml:space="preserve"> </w:t>
      </w:r>
      <w:r w:rsidRPr="006B1CE0">
        <w:rPr>
          <w:color w:val="000000" w:themeColor="text1"/>
        </w:rPr>
        <w:t>under</w:t>
      </w:r>
      <w:r w:rsidR="00C64050">
        <w:rPr>
          <w:color w:val="000000" w:themeColor="text1"/>
        </w:rPr>
        <w:t xml:space="preserve"> </w:t>
      </w:r>
      <w:r w:rsidRPr="006B1CE0">
        <w:rPr>
          <w:color w:val="000000" w:themeColor="text1"/>
        </w:rPr>
        <w:t>Louisiana</w:t>
      </w:r>
      <w:r w:rsidR="00C64050">
        <w:rPr>
          <w:color w:val="000000" w:themeColor="text1"/>
        </w:rPr>
        <w:t xml:space="preserve"> </w:t>
      </w:r>
      <w:r w:rsidRPr="006B1CE0">
        <w:rPr>
          <w:color w:val="000000" w:themeColor="text1"/>
        </w:rPr>
        <w:t>law,</w:t>
      </w:r>
      <w:r w:rsidR="00C64050">
        <w:rPr>
          <w:color w:val="000000" w:themeColor="text1"/>
        </w:rPr>
        <w:t xml:space="preserve"> </w:t>
      </w:r>
      <w:r w:rsidRPr="006B1CE0">
        <w:rPr>
          <w:color w:val="000000" w:themeColor="text1"/>
        </w:rPr>
        <w:t>only</w:t>
      </w:r>
      <w:r w:rsidR="00C64050">
        <w:rPr>
          <w:color w:val="000000" w:themeColor="text1"/>
        </w:rPr>
        <w:t xml:space="preserve"> </w:t>
      </w:r>
      <w:r w:rsidRPr="006B1CE0">
        <w:rPr>
          <w:color w:val="000000" w:themeColor="text1"/>
        </w:rPr>
        <w:t>married</w:t>
      </w:r>
      <w:r w:rsidR="00C64050">
        <w:rPr>
          <w:color w:val="000000" w:themeColor="text1"/>
        </w:rPr>
        <w:t xml:space="preserve"> </w:t>
      </w:r>
      <w:r w:rsidRPr="006B1CE0">
        <w:rPr>
          <w:color w:val="000000" w:themeColor="text1"/>
        </w:rPr>
        <w:t>couples</w:t>
      </w:r>
      <w:r w:rsidR="00C64050">
        <w:rPr>
          <w:color w:val="000000" w:themeColor="text1"/>
        </w:rPr>
        <w:t xml:space="preserve"> </w:t>
      </w:r>
      <w:r w:rsidRPr="006B1CE0">
        <w:rPr>
          <w:color w:val="000000" w:themeColor="text1"/>
        </w:rPr>
        <w:t>could</w:t>
      </w:r>
      <w:r w:rsidR="00C64050">
        <w:rPr>
          <w:color w:val="000000" w:themeColor="text1"/>
        </w:rPr>
        <w:t xml:space="preserve"> </w:t>
      </w:r>
      <w:r w:rsidRPr="006B1CE0">
        <w:rPr>
          <w:color w:val="000000" w:themeColor="text1"/>
        </w:rPr>
        <w:t>jointly</w:t>
      </w:r>
      <w:r w:rsidR="00C64050">
        <w:rPr>
          <w:color w:val="000000" w:themeColor="text1"/>
        </w:rPr>
        <w:t xml:space="preserve"> </w:t>
      </w:r>
      <w:r w:rsidRPr="006B1CE0">
        <w:rPr>
          <w:color w:val="000000" w:themeColor="text1"/>
        </w:rPr>
        <w:t>adopt).</w:t>
      </w:r>
    </w:p>
    <w:p w:rsidR="001B23CB" w:rsidRPr="006B1CE0" w:rsidRDefault="001B23CB" w:rsidP="006B1CE0">
      <w:pPr>
        <w:pStyle w:val="QS10"/>
        <w:rPr>
          <w:color w:val="000000" w:themeColor="text1"/>
        </w:rPr>
      </w:pPr>
      <w:r w:rsidRPr="006B1CE0">
        <w:rPr>
          <w:color w:val="000000" w:themeColor="text1"/>
        </w:rPr>
        <w:t>Here,</w:t>
      </w:r>
      <w:r w:rsidR="00C64050">
        <w:rPr>
          <w:color w:val="000000" w:themeColor="text1"/>
        </w:rPr>
        <w:t xml:space="preserve"> </w:t>
      </w:r>
      <w:r w:rsidRPr="006B1CE0">
        <w:rPr>
          <w:color w:val="000000" w:themeColor="text1"/>
        </w:rPr>
        <w:t>an</w:t>
      </w:r>
      <w:r w:rsidR="00C64050">
        <w:rPr>
          <w:color w:val="000000" w:themeColor="text1"/>
        </w:rPr>
        <w:t xml:space="preserve"> </w:t>
      </w:r>
      <w:r w:rsidRPr="006B1CE0">
        <w:rPr>
          <w:color w:val="000000" w:themeColor="text1"/>
        </w:rPr>
        <w:t>examination</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statute</w:t>
      </w:r>
      <w:r w:rsidR="00C64050">
        <w:rPr>
          <w:color w:val="000000" w:themeColor="text1"/>
        </w:rPr>
        <w:t xml:space="preserve"> </w:t>
      </w:r>
      <w:r w:rsidRPr="006B1CE0">
        <w:rPr>
          <w:color w:val="000000" w:themeColor="text1"/>
        </w:rPr>
        <w:t>upon</w:t>
      </w:r>
      <w:r w:rsidR="00C64050">
        <w:rPr>
          <w:color w:val="000000" w:themeColor="text1"/>
        </w:rPr>
        <w:t xml:space="preserve"> </w:t>
      </w:r>
      <w:r w:rsidRPr="006B1CE0">
        <w:rPr>
          <w:color w:val="000000" w:themeColor="text1"/>
        </w:rPr>
        <w:t>which</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family</w:t>
      </w:r>
      <w:r w:rsidR="00C64050">
        <w:rPr>
          <w:color w:val="000000" w:themeColor="text1"/>
        </w:rPr>
        <w:t xml:space="preserve"> </w:t>
      </w:r>
      <w:r w:rsidRPr="006B1CE0">
        <w:rPr>
          <w:color w:val="000000" w:themeColor="text1"/>
        </w:rPr>
        <w:t>court</w:t>
      </w:r>
      <w:r w:rsidR="00C64050">
        <w:rPr>
          <w:color w:val="000000" w:themeColor="text1"/>
        </w:rPr>
        <w:t xml:space="preserve"> </w:t>
      </w:r>
      <w:r w:rsidRPr="006B1CE0">
        <w:rPr>
          <w:color w:val="000000" w:themeColor="text1"/>
        </w:rPr>
        <w:t>relied</w:t>
      </w:r>
      <w:r w:rsidR="00C64050">
        <w:rPr>
          <w:color w:val="000000" w:themeColor="text1"/>
        </w:rPr>
        <w:t xml:space="preserve"> </w:t>
      </w:r>
      <w:r w:rsidRPr="006B1CE0">
        <w:rPr>
          <w:color w:val="000000" w:themeColor="text1"/>
        </w:rPr>
        <w:t>to</w:t>
      </w:r>
      <w:r w:rsidR="00C64050">
        <w:rPr>
          <w:color w:val="000000" w:themeColor="text1"/>
        </w:rPr>
        <w:t xml:space="preserve"> </w:t>
      </w:r>
      <w:r w:rsidRPr="006B1CE0">
        <w:rPr>
          <w:color w:val="000000" w:themeColor="text1"/>
        </w:rPr>
        <w:t>order</w:t>
      </w:r>
      <w:r w:rsidR="00C64050">
        <w:rPr>
          <w:color w:val="000000" w:themeColor="text1"/>
        </w:rPr>
        <w:t xml:space="preserve"> </w:t>
      </w:r>
      <w:r w:rsidRPr="006B1CE0">
        <w:rPr>
          <w:color w:val="000000" w:themeColor="text1"/>
        </w:rPr>
        <w:t>direct</w:t>
      </w:r>
      <w:r w:rsidR="00C64050">
        <w:rPr>
          <w:color w:val="000000" w:themeColor="text1"/>
        </w:rPr>
        <w:t xml:space="preserve"> </w:t>
      </w:r>
      <w:r w:rsidRPr="006B1CE0">
        <w:rPr>
          <w:color w:val="000000" w:themeColor="text1"/>
        </w:rPr>
        <w:t>Trust</w:t>
      </w:r>
      <w:r w:rsidR="00C64050">
        <w:rPr>
          <w:color w:val="000000" w:themeColor="text1"/>
        </w:rPr>
        <w:t xml:space="preserve"> </w:t>
      </w:r>
      <w:r w:rsidRPr="006B1CE0">
        <w:rPr>
          <w:color w:val="000000" w:themeColor="text1"/>
        </w:rPr>
        <w:t>payments</w:t>
      </w:r>
      <w:r w:rsidR="00C64050">
        <w:rPr>
          <w:color w:val="000000" w:themeColor="text1"/>
        </w:rPr>
        <w:t xml:space="preserve"> </w:t>
      </w:r>
      <w:r w:rsidRPr="006B1CE0">
        <w:rPr>
          <w:color w:val="000000" w:themeColor="text1"/>
        </w:rPr>
        <w:t>to</w:t>
      </w:r>
      <w:r w:rsidR="00C64050">
        <w:rPr>
          <w:color w:val="000000" w:themeColor="text1"/>
        </w:rPr>
        <w:t xml:space="preserve"> </w:t>
      </w:r>
      <w:r w:rsidRPr="006B1CE0">
        <w:rPr>
          <w:color w:val="000000" w:themeColor="text1"/>
        </w:rPr>
        <w:t>Christopher</w:t>
      </w:r>
      <w:r w:rsidR="00C64050">
        <w:rPr>
          <w:color w:val="000000" w:themeColor="text1"/>
        </w:rPr>
        <w:t xml:space="preserve"> </w:t>
      </w:r>
      <w:r w:rsidRPr="006B1CE0">
        <w:rPr>
          <w:color w:val="000000" w:themeColor="text1"/>
        </w:rPr>
        <w:t>reveals</w:t>
      </w:r>
      <w:r w:rsidR="00C64050">
        <w:rPr>
          <w:color w:val="000000" w:themeColor="text1"/>
        </w:rPr>
        <w:t xml:space="preserve"> </w:t>
      </w:r>
      <w:r w:rsidRPr="006B1CE0">
        <w:rPr>
          <w:color w:val="000000" w:themeColor="text1"/>
        </w:rPr>
        <w:t>it</w:t>
      </w:r>
      <w:r w:rsidR="00C64050">
        <w:rPr>
          <w:color w:val="000000" w:themeColor="text1"/>
        </w:rPr>
        <w:t xml:space="preserve"> </w:t>
      </w:r>
      <w:r w:rsidRPr="006B1CE0">
        <w:rPr>
          <w:color w:val="000000" w:themeColor="text1"/>
        </w:rPr>
        <w:t>to</w:t>
      </w:r>
      <w:r w:rsidR="00C64050">
        <w:rPr>
          <w:color w:val="000000" w:themeColor="text1"/>
        </w:rPr>
        <w:t xml:space="preserve"> </w:t>
      </w:r>
      <w:r w:rsidRPr="006B1CE0">
        <w:rPr>
          <w:color w:val="000000" w:themeColor="text1"/>
        </w:rPr>
        <w:t>be</w:t>
      </w:r>
      <w:r w:rsidR="00C64050">
        <w:rPr>
          <w:color w:val="000000" w:themeColor="text1"/>
        </w:rPr>
        <w:t xml:space="preserve"> </w:t>
      </w:r>
      <w:r w:rsidRPr="006B1CE0">
        <w:rPr>
          <w:color w:val="000000" w:themeColor="text1"/>
        </w:rPr>
        <w:t>a</w:t>
      </w:r>
      <w:r w:rsidR="00C64050">
        <w:rPr>
          <w:color w:val="000000" w:themeColor="text1"/>
        </w:rPr>
        <w:t xml:space="preserve"> </w:t>
      </w:r>
      <w:r w:rsidRPr="006B1CE0">
        <w:rPr>
          <w:color w:val="000000" w:themeColor="text1"/>
        </w:rPr>
        <w:t>conspicuous</w:t>
      </w:r>
      <w:r w:rsidR="00C64050">
        <w:rPr>
          <w:color w:val="000000" w:themeColor="text1"/>
        </w:rPr>
        <w:t xml:space="preserve"> </w:t>
      </w:r>
      <w:r w:rsidRPr="006B1CE0">
        <w:rPr>
          <w:color w:val="000000" w:themeColor="text1"/>
        </w:rPr>
        <w:t>method</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enforcing</w:t>
      </w:r>
      <w:r w:rsidR="00C64050">
        <w:rPr>
          <w:color w:val="000000" w:themeColor="text1"/>
        </w:rPr>
        <w:t xml:space="preserve"> </w:t>
      </w:r>
      <w:r w:rsidRPr="006B1CE0">
        <w:rPr>
          <w:color w:val="000000" w:themeColor="text1"/>
        </w:rPr>
        <w:t>a</w:t>
      </w:r>
      <w:r w:rsidR="00C64050">
        <w:rPr>
          <w:color w:val="000000" w:themeColor="text1"/>
        </w:rPr>
        <w:t xml:space="preserve"> </w:t>
      </w:r>
      <w:r w:rsidRPr="006B1CE0">
        <w:rPr>
          <w:color w:val="000000" w:themeColor="text1"/>
        </w:rPr>
        <w:t>support</w:t>
      </w:r>
      <w:r w:rsidR="00C64050">
        <w:rPr>
          <w:color w:val="000000" w:themeColor="text1"/>
        </w:rPr>
        <w:t xml:space="preserve"> </w:t>
      </w:r>
      <w:r w:rsidRPr="006B1CE0">
        <w:rPr>
          <w:color w:val="000000" w:themeColor="text1"/>
        </w:rPr>
        <w:t>obligation</w:t>
      </w:r>
      <w:r w:rsidR="00C64050">
        <w:rPr>
          <w:color w:val="000000" w:themeColor="text1"/>
        </w:rPr>
        <w:t xml:space="preserve"> </w:t>
      </w:r>
      <w:r w:rsidRPr="006B1CE0">
        <w:rPr>
          <w:color w:val="000000" w:themeColor="text1"/>
        </w:rPr>
        <w:t>where</w:t>
      </w:r>
      <w:r w:rsidR="00C64050">
        <w:rPr>
          <w:color w:val="000000" w:themeColor="text1"/>
        </w:rPr>
        <w:t xml:space="preserve"> </w:t>
      </w:r>
      <w:r w:rsidRPr="006B1CE0">
        <w:rPr>
          <w:color w:val="000000" w:themeColor="text1"/>
        </w:rPr>
        <w:t>an</w:t>
      </w:r>
      <w:r w:rsidR="00C64050">
        <w:rPr>
          <w:color w:val="000000" w:themeColor="text1"/>
        </w:rPr>
        <w:t xml:space="preserve"> </w:t>
      </w:r>
      <w:r w:rsidRPr="006B1CE0">
        <w:rPr>
          <w:color w:val="000000" w:themeColor="text1"/>
        </w:rPr>
        <w:t>obligor</w:t>
      </w:r>
      <w:r w:rsidR="00C64050">
        <w:rPr>
          <w:color w:val="000000" w:themeColor="text1"/>
        </w:rPr>
        <w:t xml:space="preserve"> </w:t>
      </w:r>
      <w:r w:rsidRPr="006B1CE0">
        <w:rPr>
          <w:color w:val="000000" w:themeColor="text1"/>
        </w:rPr>
        <w:t>is</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beneficiary</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a</w:t>
      </w:r>
      <w:r w:rsidR="00C64050">
        <w:rPr>
          <w:color w:val="000000" w:themeColor="text1"/>
        </w:rPr>
        <w:t xml:space="preserve"> </w:t>
      </w:r>
      <w:r w:rsidRPr="006B1CE0">
        <w:rPr>
          <w:color w:val="000000" w:themeColor="text1"/>
        </w:rPr>
        <w:t>trust</w:t>
      </w:r>
      <w:r w:rsidR="00C64050">
        <w:rPr>
          <w:color w:val="000000" w:themeColor="text1"/>
        </w:rPr>
        <w:t xml:space="preserve"> </w:t>
      </w:r>
      <w:r w:rsidRPr="006B1CE0">
        <w:rPr>
          <w:color w:val="000000" w:themeColor="text1"/>
        </w:rPr>
        <w:t>protected</w:t>
      </w:r>
      <w:r w:rsidR="00C64050">
        <w:rPr>
          <w:color w:val="000000" w:themeColor="text1"/>
        </w:rPr>
        <w:t xml:space="preserve"> </w:t>
      </w:r>
      <w:r w:rsidRPr="006B1CE0">
        <w:rPr>
          <w:color w:val="000000" w:themeColor="text1"/>
        </w:rPr>
        <w:t>by</w:t>
      </w:r>
      <w:r w:rsidR="00C64050">
        <w:rPr>
          <w:color w:val="000000" w:themeColor="text1"/>
        </w:rPr>
        <w:t xml:space="preserve"> </w:t>
      </w:r>
      <w:r w:rsidRPr="006B1CE0">
        <w:rPr>
          <w:color w:val="000000" w:themeColor="text1"/>
        </w:rPr>
        <w:t>a</w:t>
      </w:r>
      <w:r w:rsidR="00C64050">
        <w:rPr>
          <w:color w:val="000000" w:themeColor="text1"/>
        </w:rPr>
        <w:t xml:space="preserve"> </w:t>
      </w:r>
      <w:r w:rsidRPr="006B1CE0">
        <w:rPr>
          <w:color w:val="000000" w:themeColor="text1"/>
        </w:rPr>
        <w:t>spendthrift</w:t>
      </w:r>
      <w:r w:rsidR="00C64050">
        <w:rPr>
          <w:color w:val="000000" w:themeColor="text1"/>
        </w:rPr>
        <w:t xml:space="preserve"> </w:t>
      </w:r>
      <w:r w:rsidRPr="006B1CE0">
        <w:rPr>
          <w:color w:val="000000" w:themeColor="text1"/>
        </w:rPr>
        <w:t>provision:</w:t>
      </w:r>
      <w:r w:rsidR="00C64050">
        <w:rPr>
          <w:color w:val="000000" w:themeColor="text1"/>
        </w:rPr>
        <w:t xml:space="preserve"> </w:t>
      </w:r>
    </w:p>
    <w:p w:rsidR="001B23CB" w:rsidRPr="006B1CE0" w:rsidRDefault="001B23CB" w:rsidP="006B1CE0">
      <w:pPr>
        <w:pStyle w:val="QS10"/>
        <w:rPr>
          <w:color w:val="000000" w:themeColor="text1"/>
        </w:rPr>
      </w:pPr>
      <w:r w:rsidRPr="006B1CE0">
        <w:rPr>
          <w:color w:val="000000" w:themeColor="text1"/>
        </w:rPr>
        <w:t>(c)</w:t>
      </w:r>
      <w:r w:rsidR="00C64050">
        <w:rPr>
          <w:color w:val="000000" w:themeColor="text1"/>
        </w:rPr>
        <w:t xml:space="preserve"> </w:t>
      </w:r>
      <w:r w:rsidRPr="006B1CE0">
        <w:rPr>
          <w:color w:val="000000" w:themeColor="text1"/>
        </w:rPr>
        <w:t>Whether</w:t>
      </w:r>
      <w:r w:rsidR="00C64050">
        <w:rPr>
          <w:color w:val="000000" w:themeColor="text1"/>
        </w:rPr>
        <w:t xml:space="preserve"> </w:t>
      </w:r>
      <w:r w:rsidRPr="006B1CE0">
        <w:rPr>
          <w:color w:val="000000" w:themeColor="text1"/>
        </w:rPr>
        <w:t>or</w:t>
      </w:r>
      <w:r w:rsidR="00C64050">
        <w:rPr>
          <w:color w:val="000000" w:themeColor="text1"/>
        </w:rPr>
        <w:t xml:space="preserve"> </w:t>
      </w:r>
      <w:r w:rsidRPr="006B1CE0">
        <w:rPr>
          <w:color w:val="000000" w:themeColor="text1"/>
        </w:rPr>
        <w:t>not</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beneficiary</w:t>
      </w:r>
      <w:r w:rsidR="00C64050">
        <w:rPr>
          <w:color w:val="000000" w:themeColor="text1"/>
        </w:rPr>
        <w:t xml:space="preserve"> </w:t>
      </w:r>
      <w:r w:rsidRPr="006B1CE0">
        <w:rPr>
          <w:color w:val="000000" w:themeColor="text1"/>
        </w:rPr>
        <w:t>has</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right</w:t>
      </w:r>
      <w:r w:rsidR="00C64050">
        <w:rPr>
          <w:color w:val="000000" w:themeColor="text1"/>
        </w:rPr>
        <w:t xml:space="preserve"> </w:t>
      </w:r>
      <w:r w:rsidRPr="006B1CE0">
        <w:rPr>
          <w:color w:val="000000" w:themeColor="text1"/>
        </w:rPr>
        <w:t>under</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trust</w:t>
      </w:r>
      <w:r w:rsidR="00C64050">
        <w:rPr>
          <w:color w:val="000000" w:themeColor="text1"/>
        </w:rPr>
        <w:t xml:space="preserve"> </w:t>
      </w:r>
      <w:r w:rsidRPr="006B1CE0">
        <w:rPr>
          <w:color w:val="000000" w:themeColor="text1"/>
        </w:rPr>
        <w:t>to</w:t>
      </w:r>
      <w:r w:rsidR="00C64050">
        <w:rPr>
          <w:color w:val="000000" w:themeColor="text1"/>
        </w:rPr>
        <w:t xml:space="preserve"> </w:t>
      </w:r>
      <w:r w:rsidRPr="006B1CE0">
        <w:rPr>
          <w:color w:val="000000" w:themeColor="text1"/>
        </w:rPr>
        <w:t>compel</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trustee</w:t>
      </w:r>
      <w:r w:rsidR="00C64050">
        <w:rPr>
          <w:color w:val="000000" w:themeColor="text1"/>
        </w:rPr>
        <w:t xml:space="preserve"> </w:t>
      </w:r>
      <w:r w:rsidRPr="006B1CE0">
        <w:rPr>
          <w:color w:val="000000" w:themeColor="text1"/>
        </w:rPr>
        <w:t>to</w:t>
      </w:r>
      <w:r w:rsidR="00C64050">
        <w:rPr>
          <w:color w:val="000000" w:themeColor="text1"/>
        </w:rPr>
        <w:t xml:space="preserve"> </w:t>
      </w:r>
      <w:r w:rsidRPr="006B1CE0">
        <w:rPr>
          <w:color w:val="000000" w:themeColor="text1"/>
        </w:rPr>
        <w:t>pay</w:t>
      </w:r>
      <w:r w:rsidR="00C64050">
        <w:rPr>
          <w:color w:val="000000" w:themeColor="text1"/>
        </w:rPr>
        <w:t xml:space="preserve"> </w:t>
      </w:r>
      <w:r w:rsidRPr="006B1CE0">
        <w:rPr>
          <w:color w:val="000000" w:themeColor="text1"/>
        </w:rPr>
        <w:t>income</w:t>
      </w:r>
      <w:r w:rsidR="00C64050">
        <w:rPr>
          <w:color w:val="000000" w:themeColor="text1"/>
        </w:rPr>
        <w:t xml:space="preserve"> </w:t>
      </w:r>
      <w:r w:rsidRPr="006B1CE0">
        <w:rPr>
          <w:color w:val="000000" w:themeColor="text1"/>
        </w:rPr>
        <w:t>or</w:t>
      </w:r>
      <w:r w:rsidR="00C64050">
        <w:rPr>
          <w:color w:val="000000" w:themeColor="text1"/>
        </w:rPr>
        <w:t xml:space="preserve"> </w:t>
      </w:r>
      <w:r w:rsidRPr="006B1CE0">
        <w:rPr>
          <w:color w:val="000000" w:themeColor="text1"/>
        </w:rPr>
        <w:t>principal</w:t>
      </w:r>
      <w:r w:rsidR="00C64050">
        <w:rPr>
          <w:color w:val="000000" w:themeColor="text1"/>
        </w:rPr>
        <w:t xml:space="preserve"> </w:t>
      </w:r>
      <w:r w:rsidRPr="006B1CE0">
        <w:rPr>
          <w:color w:val="000000" w:themeColor="text1"/>
        </w:rPr>
        <w:t>or</w:t>
      </w:r>
      <w:r w:rsidR="00C64050">
        <w:rPr>
          <w:color w:val="000000" w:themeColor="text1"/>
        </w:rPr>
        <w:t xml:space="preserve"> </w:t>
      </w:r>
      <w:r w:rsidRPr="006B1CE0">
        <w:rPr>
          <w:color w:val="000000" w:themeColor="text1"/>
        </w:rPr>
        <w:t>both</w:t>
      </w:r>
      <w:r w:rsidR="00C64050">
        <w:rPr>
          <w:color w:val="000000" w:themeColor="text1"/>
        </w:rPr>
        <w:t xml:space="preserve"> </w:t>
      </w:r>
      <w:r w:rsidRPr="006B1CE0">
        <w:rPr>
          <w:color w:val="000000" w:themeColor="text1"/>
        </w:rPr>
        <w:t>to</w:t>
      </w:r>
      <w:r w:rsidR="00C64050">
        <w:rPr>
          <w:color w:val="000000" w:themeColor="text1"/>
        </w:rPr>
        <w:t xml:space="preserve"> </w:t>
      </w:r>
      <w:r w:rsidRPr="006B1CE0">
        <w:rPr>
          <w:color w:val="000000" w:themeColor="text1"/>
        </w:rPr>
        <w:t>or</w:t>
      </w:r>
      <w:r w:rsidR="00C64050">
        <w:rPr>
          <w:color w:val="000000" w:themeColor="text1"/>
        </w:rPr>
        <w:t xml:space="preserve"> </w:t>
      </w:r>
      <w:r w:rsidRPr="006B1CE0">
        <w:rPr>
          <w:color w:val="000000" w:themeColor="text1"/>
        </w:rPr>
        <w:t>for</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benefit</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beneficiary,</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court</w:t>
      </w:r>
      <w:r w:rsidR="00C64050">
        <w:rPr>
          <w:color w:val="000000" w:themeColor="text1"/>
        </w:rPr>
        <w:t xml:space="preserve"> </w:t>
      </w:r>
      <w:r w:rsidRPr="006B1CE0">
        <w:rPr>
          <w:color w:val="000000" w:themeColor="text1"/>
        </w:rPr>
        <w:t>may,</w:t>
      </w:r>
      <w:r w:rsidR="00C64050">
        <w:rPr>
          <w:color w:val="000000" w:themeColor="text1"/>
        </w:rPr>
        <w:t xml:space="preserve"> </w:t>
      </w:r>
      <w:r w:rsidRPr="006B1CE0">
        <w:rPr>
          <w:color w:val="000000" w:themeColor="text1"/>
        </w:rPr>
        <w:t>to</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extent</w:t>
      </w:r>
      <w:r w:rsidR="00C64050">
        <w:rPr>
          <w:color w:val="000000" w:themeColor="text1"/>
        </w:rPr>
        <w:t xml:space="preserve"> </w:t>
      </w:r>
      <w:r w:rsidRPr="006B1CE0">
        <w:rPr>
          <w:color w:val="000000" w:themeColor="text1"/>
        </w:rPr>
        <w:t>that</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court</w:t>
      </w:r>
      <w:r w:rsidR="00C64050">
        <w:rPr>
          <w:color w:val="000000" w:themeColor="text1"/>
        </w:rPr>
        <w:t xml:space="preserve"> </w:t>
      </w:r>
      <w:r w:rsidRPr="006B1CE0">
        <w:rPr>
          <w:color w:val="000000" w:themeColor="text1"/>
        </w:rPr>
        <w:t>determines</w:t>
      </w:r>
      <w:r w:rsidR="00C64050">
        <w:rPr>
          <w:color w:val="000000" w:themeColor="text1"/>
        </w:rPr>
        <w:t xml:space="preserve"> </w:t>
      </w:r>
      <w:r w:rsidRPr="006B1CE0">
        <w:rPr>
          <w:color w:val="000000" w:themeColor="text1"/>
        </w:rPr>
        <w:t>it</w:t>
      </w:r>
      <w:r w:rsidR="00C64050">
        <w:rPr>
          <w:color w:val="000000" w:themeColor="text1"/>
        </w:rPr>
        <w:t xml:space="preserve"> </w:t>
      </w:r>
      <w:r w:rsidRPr="006B1CE0">
        <w:rPr>
          <w:color w:val="000000" w:themeColor="text1"/>
        </w:rPr>
        <w:t>is</w:t>
      </w:r>
      <w:r w:rsidR="00C64050">
        <w:rPr>
          <w:color w:val="000000" w:themeColor="text1"/>
        </w:rPr>
        <w:t xml:space="preserve"> </w:t>
      </w:r>
      <w:r w:rsidRPr="006B1CE0">
        <w:rPr>
          <w:color w:val="000000" w:themeColor="text1"/>
        </w:rPr>
        <w:t>equitable</w:t>
      </w:r>
      <w:r w:rsidR="00C64050">
        <w:rPr>
          <w:color w:val="000000" w:themeColor="text1"/>
        </w:rPr>
        <w:t xml:space="preserve"> </w:t>
      </w:r>
      <w:r w:rsidRPr="006B1CE0">
        <w:rPr>
          <w:color w:val="000000" w:themeColor="text1"/>
        </w:rPr>
        <w:t>and</w:t>
      </w:r>
      <w:r w:rsidR="00C64050">
        <w:rPr>
          <w:color w:val="000000" w:themeColor="text1"/>
        </w:rPr>
        <w:t xml:space="preserve"> </w:t>
      </w:r>
      <w:r w:rsidRPr="006B1CE0">
        <w:rPr>
          <w:color w:val="000000" w:themeColor="text1"/>
        </w:rPr>
        <w:t>reasonable</w:t>
      </w:r>
      <w:r w:rsidR="00C64050">
        <w:rPr>
          <w:color w:val="000000" w:themeColor="text1"/>
        </w:rPr>
        <w:t xml:space="preserve"> </w:t>
      </w:r>
      <w:r w:rsidRPr="006B1CE0">
        <w:rPr>
          <w:color w:val="000000" w:themeColor="text1"/>
        </w:rPr>
        <w:t>under</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circumstances</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particular</w:t>
      </w:r>
      <w:r w:rsidR="00C64050">
        <w:rPr>
          <w:color w:val="000000" w:themeColor="text1"/>
        </w:rPr>
        <w:t xml:space="preserve"> </w:t>
      </w:r>
      <w:r w:rsidRPr="006B1CE0">
        <w:rPr>
          <w:color w:val="000000" w:themeColor="text1"/>
        </w:rPr>
        <w:t>case,</w:t>
      </w:r>
      <w:r w:rsidR="00C64050">
        <w:rPr>
          <w:color w:val="000000" w:themeColor="text1"/>
        </w:rPr>
        <w:t xml:space="preserve"> </w:t>
      </w:r>
      <w:r w:rsidRPr="006B1CE0">
        <w:rPr>
          <w:i/>
          <w:iCs/>
          <w:color w:val="000000" w:themeColor="text1"/>
        </w:rPr>
        <w:t>order</w:t>
      </w:r>
      <w:r w:rsidR="00C64050">
        <w:rPr>
          <w:i/>
          <w:iCs/>
          <w:color w:val="000000" w:themeColor="text1"/>
        </w:rPr>
        <w:t xml:space="preserve"> </w:t>
      </w:r>
      <w:r w:rsidRPr="006B1CE0">
        <w:rPr>
          <w:i/>
          <w:iCs/>
          <w:color w:val="000000" w:themeColor="text1"/>
        </w:rPr>
        <w:t>the</w:t>
      </w:r>
      <w:r w:rsidR="00C64050">
        <w:rPr>
          <w:i/>
          <w:iCs/>
          <w:color w:val="000000" w:themeColor="text1"/>
        </w:rPr>
        <w:t xml:space="preserve"> </w:t>
      </w:r>
      <w:r w:rsidRPr="006B1CE0">
        <w:rPr>
          <w:i/>
          <w:iCs/>
          <w:color w:val="000000" w:themeColor="text1"/>
        </w:rPr>
        <w:t>trustee</w:t>
      </w:r>
      <w:r w:rsidR="00C64050">
        <w:rPr>
          <w:i/>
          <w:iCs/>
          <w:color w:val="000000" w:themeColor="text1"/>
        </w:rPr>
        <w:t xml:space="preserve"> </w:t>
      </w:r>
      <w:r w:rsidRPr="006B1CE0">
        <w:rPr>
          <w:i/>
          <w:iCs/>
          <w:color w:val="000000" w:themeColor="text1"/>
        </w:rPr>
        <w:t>to</w:t>
      </w:r>
      <w:r w:rsidR="00C64050">
        <w:rPr>
          <w:i/>
          <w:iCs/>
          <w:color w:val="000000" w:themeColor="text1"/>
        </w:rPr>
        <w:t xml:space="preserve"> </w:t>
      </w:r>
      <w:r w:rsidRPr="006B1CE0">
        <w:rPr>
          <w:i/>
          <w:iCs/>
          <w:color w:val="000000" w:themeColor="text1"/>
        </w:rPr>
        <w:t>satisfy</w:t>
      </w:r>
      <w:r w:rsidR="00C64050">
        <w:rPr>
          <w:i/>
          <w:iCs/>
          <w:color w:val="000000" w:themeColor="text1"/>
        </w:rPr>
        <w:t xml:space="preserve"> </w:t>
      </w:r>
      <w:r w:rsidRPr="006B1CE0">
        <w:rPr>
          <w:i/>
          <w:iCs/>
          <w:color w:val="000000" w:themeColor="text1"/>
        </w:rPr>
        <w:t>all</w:t>
      </w:r>
      <w:r w:rsidR="00C64050">
        <w:rPr>
          <w:i/>
          <w:iCs/>
          <w:color w:val="000000" w:themeColor="text1"/>
        </w:rPr>
        <w:t xml:space="preserve"> </w:t>
      </w:r>
      <w:r w:rsidRPr="006B1CE0">
        <w:rPr>
          <w:i/>
          <w:iCs/>
          <w:color w:val="000000" w:themeColor="text1"/>
        </w:rPr>
        <w:t>or</w:t>
      </w:r>
      <w:r w:rsidR="00C64050">
        <w:rPr>
          <w:i/>
          <w:iCs/>
          <w:color w:val="000000" w:themeColor="text1"/>
        </w:rPr>
        <w:t xml:space="preserve"> </w:t>
      </w:r>
      <w:r w:rsidRPr="006B1CE0">
        <w:rPr>
          <w:i/>
          <w:iCs/>
          <w:color w:val="000000" w:themeColor="text1"/>
        </w:rPr>
        <w:t>part</w:t>
      </w:r>
      <w:r w:rsidR="00C64050">
        <w:rPr>
          <w:i/>
          <w:iCs/>
          <w:color w:val="000000" w:themeColor="text1"/>
        </w:rPr>
        <w:t xml:space="preserve"> </w:t>
      </w:r>
      <w:r w:rsidRPr="006B1CE0">
        <w:rPr>
          <w:i/>
          <w:iCs/>
          <w:color w:val="000000" w:themeColor="text1"/>
        </w:rPr>
        <w:t>of</w:t>
      </w:r>
      <w:r w:rsidR="00C64050">
        <w:rPr>
          <w:i/>
          <w:iCs/>
          <w:color w:val="000000" w:themeColor="text1"/>
        </w:rPr>
        <w:t xml:space="preserve"> </w:t>
      </w:r>
      <w:r w:rsidRPr="006B1CE0">
        <w:rPr>
          <w:i/>
          <w:iCs/>
          <w:color w:val="000000" w:themeColor="text1"/>
        </w:rPr>
        <w:t>the</w:t>
      </w:r>
      <w:r w:rsidR="00C64050">
        <w:rPr>
          <w:i/>
          <w:iCs/>
          <w:color w:val="000000" w:themeColor="text1"/>
        </w:rPr>
        <w:t xml:space="preserve"> </w:t>
      </w:r>
      <w:r w:rsidRPr="006B1CE0">
        <w:rPr>
          <w:i/>
          <w:iCs/>
          <w:color w:val="000000" w:themeColor="text1"/>
        </w:rPr>
        <w:t>support</w:t>
      </w:r>
      <w:r w:rsidR="00C64050">
        <w:rPr>
          <w:i/>
          <w:iCs/>
          <w:color w:val="000000" w:themeColor="text1"/>
        </w:rPr>
        <w:t xml:space="preserve"> </w:t>
      </w:r>
      <w:r w:rsidRPr="006B1CE0">
        <w:rPr>
          <w:i/>
          <w:iCs/>
          <w:color w:val="000000" w:themeColor="text1"/>
        </w:rPr>
        <w:t>judgment</w:t>
      </w:r>
      <w:r w:rsidR="00C64050">
        <w:rPr>
          <w:color w:val="000000" w:themeColor="text1"/>
        </w:rPr>
        <w:t xml:space="preserve"> </w:t>
      </w:r>
      <w:r w:rsidRPr="006B1CE0">
        <w:rPr>
          <w:color w:val="000000" w:themeColor="text1"/>
        </w:rPr>
        <w:t>out</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all</w:t>
      </w:r>
      <w:r w:rsidR="00C64050">
        <w:rPr>
          <w:color w:val="000000" w:themeColor="text1"/>
        </w:rPr>
        <w:t xml:space="preserve"> </w:t>
      </w:r>
      <w:r w:rsidRPr="006B1CE0">
        <w:rPr>
          <w:color w:val="000000" w:themeColor="text1"/>
        </w:rPr>
        <w:t>or</w:t>
      </w:r>
      <w:r w:rsidR="00C64050">
        <w:rPr>
          <w:color w:val="000000" w:themeColor="text1"/>
        </w:rPr>
        <w:t xml:space="preserve"> </w:t>
      </w:r>
      <w:r w:rsidRPr="006B1CE0">
        <w:rPr>
          <w:color w:val="000000" w:themeColor="text1"/>
        </w:rPr>
        <w:t>part</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future</w:t>
      </w:r>
      <w:r w:rsidR="00C64050">
        <w:rPr>
          <w:color w:val="000000" w:themeColor="text1"/>
        </w:rPr>
        <w:t xml:space="preserve"> </w:t>
      </w:r>
      <w:r w:rsidRPr="006B1CE0">
        <w:rPr>
          <w:color w:val="000000" w:themeColor="text1"/>
        </w:rPr>
        <w:t>payments</w:t>
      </w:r>
      <w:r w:rsidR="00C64050">
        <w:rPr>
          <w:color w:val="000000" w:themeColor="text1"/>
        </w:rPr>
        <w:t xml:space="preserve"> </w:t>
      </w:r>
      <w:r w:rsidRPr="006B1CE0">
        <w:rPr>
          <w:color w:val="000000" w:themeColor="text1"/>
        </w:rPr>
        <w:t>that</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trustee,</w:t>
      </w:r>
      <w:r w:rsidR="00C64050">
        <w:rPr>
          <w:color w:val="000000" w:themeColor="text1"/>
        </w:rPr>
        <w:t xml:space="preserve"> </w:t>
      </w:r>
      <w:r w:rsidRPr="006B1CE0">
        <w:rPr>
          <w:color w:val="000000" w:themeColor="text1"/>
        </w:rPr>
        <w:t>pursuant</w:t>
      </w:r>
      <w:r w:rsidR="00C64050">
        <w:rPr>
          <w:color w:val="000000" w:themeColor="text1"/>
        </w:rPr>
        <w:t xml:space="preserve"> </w:t>
      </w:r>
      <w:r w:rsidRPr="006B1CE0">
        <w:rPr>
          <w:color w:val="000000" w:themeColor="text1"/>
        </w:rPr>
        <w:t>to</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exercise</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trustee’s</w:t>
      </w:r>
      <w:r w:rsidR="00C64050">
        <w:rPr>
          <w:color w:val="000000" w:themeColor="text1"/>
        </w:rPr>
        <w:t xml:space="preserve"> </w:t>
      </w:r>
      <w:r w:rsidRPr="006B1CE0">
        <w:rPr>
          <w:color w:val="000000" w:themeColor="text1"/>
        </w:rPr>
        <w:t>discretion,</w:t>
      </w:r>
      <w:r w:rsidR="00C64050">
        <w:rPr>
          <w:color w:val="000000" w:themeColor="text1"/>
        </w:rPr>
        <w:t xml:space="preserve"> </w:t>
      </w:r>
      <w:r w:rsidRPr="006B1CE0">
        <w:rPr>
          <w:color w:val="000000" w:themeColor="text1"/>
        </w:rPr>
        <w:t>determines</w:t>
      </w:r>
      <w:r w:rsidR="00C64050">
        <w:rPr>
          <w:color w:val="000000" w:themeColor="text1"/>
        </w:rPr>
        <w:t xml:space="preserve"> </w:t>
      </w:r>
      <w:r w:rsidRPr="006B1CE0">
        <w:rPr>
          <w:color w:val="000000" w:themeColor="text1"/>
        </w:rPr>
        <w:t>to</w:t>
      </w:r>
      <w:r w:rsidR="00C64050">
        <w:rPr>
          <w:color w:val="000000" w:themeColor="text1"/>
        </w:rPr>
        <w:t xml:space="preserve"> </w:t>
      </w:r>
      <w:r w:rsidRPr="006B1CE0">
        <w:rPr>
          <w:color w:val="000000" w:themeColor="text1"/>
        </w:rPr>
        <w:t>make</w:t>
      </w:r>
      <w:r w:rsidR="00C64050">
        <w:rPr>
          <w:color w:val="000000" w:themeColor="text1"/>
        </w:rPr>
        <w:t xml:space="preserve"> </w:t>
      </w:r>
      <w:r w:rsidRPr="006B1CE0">
        <w:rPr>
          <w:color w:val="000000" w:themeColor="text1"/>
        </w:rPr>
        <w:t>to</w:t>
      </w:r>
      <w:r w:rsidR="00C64050">
        <w:rPr>
          <w:color w:val="000000" w:themeColor="text1"/>
        </w:rPr>
        <w:t xml:space="preserve"> </w:t>
      </w:r>
      <w:r w:rsidRPr="006B1CE0">
        <w:rPr>
          <w:color w:val="000000" w:themeColor="text1"/>
        </w:rPr>
        <w:t>or</w:t>
      </w:r>
      <w:r w:rsidR="00C64050">
        <w:rPr>
          <w:color w:val="000000" w:themeColor="text1"/>
        </w:rPr>
        <w:t xml:space="preserve"> </w:t>
      </w:r>
      <w:r w:rsidRPr="006B1CE0">
        <w:rPr>
          <w:color w:val="000000" w:themeColor="text1"/>
        </w:rPr>
        <w:t>for</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benefit</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beneficiary.</w:t>
      </w:r>
    </w:p>
    <w:p w:rsidR="001B23CB" w:rsidRPr="006B1CE0" w:rsidRDefault="001B23CB" w:rsidP="006B1CE0">
      <w:pPr>
        <w:pStyle w:val="QS10"/>
        <w:rPr>
          <w:color w:val="000000" w:themeColor="text1"/>
        </w:rPr>
      </w:pPr>
      <w:r w:rsidRPr="006B1CE0">
        <w:rPr>
          <w:color w:val="000000" w:themeColor="text1"/>
        </w:rPr>
        <w:t>(d)</w:t>
      </w:r>
      <w:r w:rsidR="00C64050">
        <w:rPr>
          <w:color w:val="000000" w:themeColor="text1"/>
        </w:rPr>
        <w:t xml:space="preserve"> </w:t>
      </w:r>
      <w:r w:rsidRPr="006B1CE0">
        <w:rPr>
          <w:color w:val="000000" w:themeColor="text1"/>
        </w:rPr>
        <w:t>This</w:t>
      </w:r>
      <w:r w:rsidR="00C64050">
        <w:rPr>
          <w:color w:val="000000" w:themeColor="text1"/>
        </w:rPr>
        <w:t xml:space="preserve"> </w:t>
      </w:r>
      <w:r w:rsidRPr="006B1CE0">
        <w:rPr>
          <w:color w:val="000000" w:themeColor="text1"/>
        </w:rPr>
        <w:t>section</w:t>
      </w:r>
      <w:r w:rsidR="00C64050">
        <w:rPr>
          <w:color w:val="000000" w:themeColor="text1"/>
        </w:rPr>
        <w:t xml:space="preserve"> </w:t>
      </w:r>
      <w:r w:rsidRPr="006B1CE0">
        <w:rPr>
          <w:color w:val="000000" w:themeColor="text1"/>
        </w:rPr>
        <w:t>applies</w:t>
      </w:r>
      <w:r w:rsidR="00C64050">
        <w:rPr>
          <w:color w:val="000000" w:themeColor="text1"/>
        </w:rPr>
        <w:t xml:space="preserve"> </w:t>
      </w:r>
      <w:r w:rsidRPr="006B1CE0">
        <w:rPr>
          <w:color w:val="000000" w:themeColor="text1"/>
        </w:rPr>
        <w:t>to</w:t>
      </w:r>
      <w:r w:rsidR="00C64050">
        <w:rPr>
          <w:color w:val="000000" w:themeColor="text1"/>
        </w:rPr>
        <w:t xml:space="preserve"> </w:t>
      </w:r>
      <w:r w:rsidRPr="006B1CE0">
        <w:rPr>
          <w:color w:val="000000" w:themeColor="text1"/>
        </w:rPr>
        <w:t>a</w:t>
      </w:r>
      <w:r w:rsidR="00C64050">
        <w:rPr>
          <w:color w:val="000000" w:themeColor="text1"/>
        </w:rPr>
        <w:t xml:space="preserve"> </w:t>
      </w:r>
      <w:r w:rsidRPr="006B1CE0">
        <w:rPr>
          <w:color w:val="000000" w:themeColor="text1"/>
        </w:rPr>
        <w:t>support</w:t>
      </w:r>
      <w:r w:rsidR="00C64050">
        <w:rPr>
          <w:color w:val="000000" w:themeColor="text1"/>
        </w:rPr>
        <w:t xml:space="preserve"> </w:t>
      </w:r>
      <w:r w:rsidRPr="006B1CE0">
        <w:rPr>
          <w:color w:val="000000" w:themeColor="text1"/>
        </w:rPr>
        <w:t>judgment</w:t>
      </w:r>
      <w:r w:rsidR="00C64050">
        <w:rPr>
          <w:color w:val="000000" w:themeColor="text1"/>
        </w:rPr>
        <w:t xml:space="preserve"> </w:t>
      </w:r>
      <w:r w:rsidRPr="006B1CE0">
        <w:rPr>
          <w:color w:val="000000" w:themeColor="text1"/>
        </w:rPr>
        <w:t>notwithstanding</w:t>
      </w:r>
      <w:r w:rsidR="00C64050">
        <w:rPr>
          <w:color w:val="000000" w:themeColor="text1"/>
        </w:rPr>
        <w:t xml:space="preserve"> </w:t>
      </w:r>
      <w:r w:rsidRPr="006B1CE0">
        <w:rPr>
          <w:color w:val="000000" w:themeColor="text1"/>
        </w:rPr>
        <w:t>any</w:t>
      </w:r>
      <w:r w:rsidR="00C64050">
        <w:rPr>
          <w:color w:val="000000" w:themeColor="text1"/>
        </w:rPr>
        <w:t xml:space="preserve"> </w:t>
      </w:r>
      <w:r w:rsidRPr="006B1CE0">
        <w:rPr>
          <w:color w:val="000000" w:themeColor="text1"/>
        </w:rPr>
        <w:t>provision</w:t>
      </w:r>
      <w:r w:rsidR="00C64050">
        <w:rPr>
          <w:color w:val="000000" w:themeColor="text1"/>
        </w:rPr>
        <w:t xml:space="preserve"> </w:t>
      </w:r>
      <w:r w:rsidRPr="006B1CE0">
        <w:rPr>
          <w:color w:val="000000" w:themeColor="text1"/>
        </w:rPr>
        <w:t>in</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trust</w:t>
      </w:r>
      <w:r w:rsidR="00C64050">
        <w:rPr>
          <w:color w:val="000000" w:themeColor="text1"/>
        </w:rPr>
        <w:t xml:space="preserve"> </w:t>
      </w:r>
      <w:r w:rsidRPr="006B1CE0">
        <w:rPr>
          <w:color w:val="000000" w:themeColor="text1"/>
        </w:rPr>
        <w:t>instrument.</w:t>
      </w:r>
    </w:p>
    <w:p w:rsidR="001B23CB" w:rsidRPr="006B1CE0" w:rsidRDefault="00EA23AC" w:rsidP="006B1CE0">
      <w:pPr>
        <w:pStyle w:val="QS10"/>
        <w:rPr>
          <w:color w:val="000000" w:themeColor="text1"/>
        </w:rPr>
      </w:pPr>
      <w:hyperlink r:id="rId395" w:history="1">
        <w:r w:rsidR="001B23CB" w:rsidRPr="006B1CE0">
          <w:rPr>
            <w:color w:val="000000" w:themeColor="text1"/>
          </w:rPr>
          <w:t>Cal.</w:t>
        </w:r>
        <w:r w:rsidR="00C64050">
          <w:rPr>
            <w:color w:val="000000" w:themeColor="text1"/>
          </w:rPr>
          <w:t xml:space="preserve"> </w:t>
        </w:r>
        <w:r w:rsidR="001B23CB" w:rsidRPr="006B1CE0">
          <w:rPr>
            <w:color w:val="000000" w:themeColor="text1"/>
          </w:rPr>
          <w:t>Prob.</w:t>
        </w:r>
        <w:r w:rsidR="00C64050">
          <w:rPr>
            <w:color w:val="000000" w:themeColor="text1"/>
          </w:rPr>
          <w:t xml:space="preserve"> </w:t>
        </w:r>
        <w:r w:rsidR="001B23CB" w:rsidRPr="006B1CE0">
          <w:rPr>
            <w:color w:val="000000" w:themeColor="text1"/>
          </w:rPr>
          <w:t>Code</w:t>
        </w:r>
        <w:r w:rsidR="00C64050">
          <w:rPr>
            <w:color w:val="000000" w:themeColor="text1"/>
          </w:rPr>
          <w:t xml:space="preserve"> </w:t>
        </w:r>
        <w:r w:rsidR="001B23CB" w:rsidRPr="006B1CE0">
          <w:rPr>
            <w:color w:val="000000" w:themeColor="text1"/>
          </w:rPr>
          <w:t>§</w:t>
        </w:r>
        <w:r w:rsidR="00C64050">
          <w:rPr>
            <w:color w:val="000000" w:themeColor="text1"/>
          </w:rPr>
          <w:t xml:space="preserve"> </w:t>
        </w:r>
        <w:r w:rsidR="001B23CB" w:rsidRPr="006B1CE0">
          <w:rPr>
            <w:color w:val="000000" w:themeColor="text1"/>
          </w:rPr>
          <w:t>15305</w:t>
        </w:r>
      </w:hyperlink>
      <w:r w:rsidR="00C64050">
        <w:rPr>
          <w:color w:val="000000" w:themeColor="text1"/>
        </w:rPr>
        <w:t xml:space="preserve"> </w:t>
      </w:r>
      <w:r w:rsidR="001B23CB" w:rsidRPr="006B1CE0">
        <w:rPr>
          <w:color w:val="000000" w:themeColor="text1"/>
        </w:rPr>
        <w:t>(emphasis</w:t>
      </w:r>
      <w:r w:rsidR="00C64050">
        <w:rPr>
          <w:color w:val="000000" w:themeColor="text1"/>
        </w:rPr>
        <w:t xml:space="preserve"> </w:t>
      </w:r>
      <w:r w:rsidR="001B23CB" w:rsidRPr="006B1CE0">
        <w:rPr>
          <w:color w:val="000000" w:themeColor="text1"/>
        </w:rPr>
        <w:t>added.)</w:t>
      </w:r>
    </w:p>
    <w:p w:rsidR="001B23CB" w:rsidRPr="006B1CE0" w:rsidRDefault="001B23CB" w:rsidP="006B1CE0">
      <w:pPr>
        <w:pStyle w:val="QS10"/>
        <w:rPr>
          <w:color w:val="000000" w:themeColor="text1"/>
        </w:rPr>
      </w:pPr>
      <w:r w:rsidRPr="006B1CE0">
        <w:rPr>
          <w:color w:val="000000" w:themeColor="text1"/>
        </w:rPr>
        <w:t>It</w:t>
      </w:r>
      <w:r w:rsidR="00C64050">
        <w:rPr>
          <w:color w:val="000000" w:themeColor="text1"/>
        </w:rPr>
        <w:t xml:space="preserve"> </w:t>
      </w:r>
      <w:r w:rsidRPr="006B1CE0">
        <w:rPr>
          <w:color w:val="000000" w:themeColor="text1"/>
        </w:rPr>
        <w:t>is</w:t>
      </w:r>
      <w:r w:rsidR="00C64050">
        <w:rPr>
          <w:color w:val="000000" w:themeColor="text1"/>
        </w:rPr>
        <w:t xml:space="preserve"> </w:t>
      </w:r>
      <w:r w:rsidRPr="006B1CE0">
        <w:rPr>
          <w:color w:val="000000" w:themeColor="text1"/>
        </w:rPr>
        <w:t>equally</w:t>
      </w:r>
      <w:r w:rsidR="00C64050">
        <w:rPr>
          <w:color w:val="000000" w:themeColor="text1"/>
        </w:rPr>
        <w:t xml:space="preserve"> </w:t>
      </w:r>
      <w:r w:rsidRPr="006B1CE0">
        <w:rPr>
          <w:color w:val="000000" w:themeColor="text1"/>
        </w:rPr>
        <w:t>clear</w:t>
      </w:r>
      <w:r w:rsidR="00C64050">
        <w:rPr>
          <w:color w:val="000000" w:themeColor="text1"/>
        </w:rPr>
        <w:t xml:space="preserve"> </w:t>
      </w:r>
      <w:r w:rsidRPr="006B1CE0">
        <w:rPr>
          <w:color w:val="000000" w:themeColor="text1"/>
        </w:rPr>
        <w:t>that</w:t>
      </w:r>
      <w:r w:rsidR="00C64050">
        <w:rPr>
          <w:color w:val="000000" w:themeColor="text1"/>
        </w:rPr>
        <w:t xml:space="preserve"> </w:t>
      </w:r>
      <w:r w:rsidRPr="006B1CE0">
        <w:rPr>
          <w:color w:val="000000" w:themeColor="text1"/>
        </w:rPr>
        <w:t>the</w:t>
      </w:r>
      <w:r w:rsidR="00C64050">
        <w:rPr>
          <w:color w:val="000000" w:themeColor="text1"/>
        </w:rPr>
        <w:t xml:space="preserve"> </w:t>
      </w:r>
      <w:hyperlink r:id="rId396" w:history="1">
        <w:r w:rsidRPr="006B1CE0">
          <w:rPr>
            <w:i/>
            <w:iCs/>
            <w:color w:val="000000" w:themeColor="text1"/>
          </w:rPr>
          <w:t>Ventura</w:t>
        </w:r>
        <w:r w:rsidR="00C64050">
          <w:rPr>
            <w:i/>
            <w:iCs/>
            <w:color w:val="000000" w:themeColor="text1"/>
          </w:rPr>
          <w:t xml:space="preserve"> </w:t>
        </w:r>
        <w:r w:rsidRPr="006B1CE0">
          <w:rPr>
            <w:i/>
            <w:iCs/>
            <w:color w:val="000000" w:themeColor="text1"/>
          </w:rPr>
          <w:t>County</w:t>
        </w:r>
      </w:hyperlink>
      <w:r w:rsidR="00C64050">
        <w:rPr>
          <w:color w:val="000000" w:themeColor="text1"/>
        </w:rPr>
        <w:t xml:space="preserve"> </w:t>
      </w:r>
      <w:r w:rsidRPr="006B1CE0">
        <w:rPr>
          <w:color w:val="000000" w:themeColor="text1"/>
        </w:rPr>
        <w:t>court</w:t>
      </w:r>
      <w:r w:rsidR="00C64050">
        <w:rPr>
          <w:color w:val="000000" w:themeColor="text1"/>
        </w:rPr>
        <w:t xml:space="preserve"> </w:t>
      </w:r>
      <w:r w:rsidRPr="006B1CE0">
        <w:rPr>
          <w:color w:val="000000" w:themeColor="text1"/>
        </w:rPr>
        <w:t>also</w:t>
      </w:r>
      <w:r w:rsidR="00C64050">
        <w:rPr>
          <w:color w:val="000000" w:themeColor="text1"/>
        </w:rPr>
        <w:t xml:space="preserve"> </w:t>
      </w:r>
      <w:r w:rsidRPr="006B1CE0">
        <w:rPr>
          <w:color w:val="000000" w:themeColor="text1"/>
        </w:rPr>
        <w:t>perceived</w:t>
      </w:r>
      <w:r w:rsidR="00C64050">
        <w:rPr>
          <w:color w:val="000000" w:themeColor="text1"/>
        </w:rPr>
        <w:t xml:space="preserve"> </w:t>
      </w:r>
      <w:hyperlink r:id="rId397" w:history="1">
        <w:r w:rsidRPr="006B1CE0">
          <w:rPr>
            <w:color w:val="000000" w:themeColor="text1"/>
          </w:rPr>
          <w:t>Cal.</w:t>
        </w:r>
        <w:r w:rsidR="00C64050">
          <w:rPr>
            <w:color w:val="000000" w:themeColor="text1"/>
          </w:rPr>
          <w:t xml:space="preserve"> </w:t>
        </w:r>
        <w:r w:rsidRPr="006B1CE0">
          <w:rPr>
            <w:color w:val="000000" w:themeColor="text1"/>
          </w:rPr>
          <w:t>Prob.</w:t>
        </w:r>
        <w:r w:rsidR="00C64050">
          <w:rPr>
            <w:color w:val="000000" w:themeColor="text1"/>
          </w:rPr>
          <w:t xml:space="preserve"> </w:t>
        </w:r>
        <w:r w:rsidRPr="006B1CE0">
          <w:rPr>
            <w:color w:val="000000" w:themeColor="text1"/>
          </w:rPr>
          <w:t>Code</w:t>
        </w:r>
        <w:r w:rsidR="00C64050">
          <w:rPr>
            <w:color w:val="000000" w:themeColor="text1"/>
          </w:rPr>
          <w:t xml:space="preserve"> </w:t>
        </w:r>
        <w:r w:rsidRPr="006B1CE0">
          <w:rPr>
            <w:color w:val="000000" w:themeColor="text1"/>
          </w:rPr>
          <w:t>§</w:t>
        </w:r>
        <w:r w:rsidR="00C64050">
          <w:rPr>
            <w:color w:val="000000" w:themeColor="text1"/>
          </w:rPr>
          <w:t xml:space="preserve"> </w:t>
        </w:r>
        <w:r w:rsidRPr="006B1CE0">
          <w:rPr>
            <w:color w:val="000000" w:themeColor="text1"/>
          </w:rPr>
          <w:t>15305</w:t>
        </w:r>
      </w:hyperlink>
      <w:r w:rsidR="00C64050">
        <w:rPr>
          <w:color w:val="000000" w:themeColor="text1"/>
        </w:rPr>
        <w:t xml:space="preserve"> </w:t>
      </w:r>
      <w:r w:rsidRPr="006B1CE0">
        <w:rPr>
          <w:color w:val="000000" w:themeColor="text1"/>
        </w:rPr>
        <w:t>to</w:t>
      </w:r>
      <w:r w:rsidR="00C64050">
        <w:rPr>
          <w:color w:val="000000" w:themeColor="text1"/>
        </w:rPr>
        <w:t xml:space="preserve"> </w:t>
      </w:r>
      <w:r w:rsidRPr="006B1CE0">
        <w:rPr>
          <w:color w:val="000000" w:themeColor="text1"/>
        </w:rPr>
        <w:t>be</w:t>
      </w:r>
      <w:r w:rsidR="00C64050">
        <w:rPr>
          <w:color w:val="000000" w:themeColor="text1"/>
        </w:rPr>
        <w:t xml:space="preserve"> </w:t>
      </w:r>
      <w:r w:rsidRPr="006B1CE0">
        <w:rPr>
          <w:color w:val="000000" w:themeColor="text1"/>
        </w:rPr>
        <w:t>an</w:t>
      </w:r>
      <w:r w:rsidR="00C64050">
        <w:rPr>
          <w:color w:val="000000" w:themeColor="text1"/>
        </w:rPr>
        <w:t xml:space="preserve"> </w:t>
      </w:r>
      <w:r w:rsidRPr="006B1CE0">
        <w:rPr>
          <w:color w:val="000000" w:themeColor="text1"/>
        </w:rPr>
        <w:t>enforcement</w:t>
      </w:r>
      <w:r w:rsidR="00C64050">
        <w:rPr>
          <w:color w:val="000000" w:themeColor="text1"/>
        </w:rPr>
        <w:t xml:space="preserve"> </w:t>
      </w:r>
      <w:r w:rsidRPr="006B1CE0">
        <w:rPr>
          <w:color w:val="000000" w:themeColor="text1"/>
        </w:rPr>
        <w:t>provision.</w:t>
      </w:r>
      <w:r w:rsidR="00C64050">
        <w:rPr>
          <w:color w:val="000000" w:themeColor="text1"/>
        </w:rPr>
        <w:t xml:space="preserve"> </w:t>
      </w:r>
      <w:r w:rsidRPr="006B1CE0">
        <w:rPr>
          <w:color w:val="000000" w:themeColor="text1"/>
        </w:rPr>
        <w:t>The</w:t>
      </w:r>
      <w:r w:rsidR="00C64050">
        <w:rPr>
          <w:color w:val="000000" w:themeColor="text1"/>
        </w:rPr>
        <w:t xml:space="preserve"> </w:t>
      </w:r>
      <w:hyperlink r:id="rId398" w:history="1">
        <w:r w:rsidRPr="006B1CE0">
          <w:rPr>
            <w:i/>
            <w:iCs/>
            <w:color w:val="000000" w:themeColor="text1"/>
          </w:rPr>
          <w:t>Ventura</w:t>
        </w:r>
        <w:r w:rsidR="00C64050">
          <w:rPr>
            <w:i/>
            <w:iCs/>
            <w:color w:val="000000" w:themeColor="text1"/>
          </w:rPr>
          <w:t xml:space="preserve"> </w:t>
        </w:r>
        <w:r w:rsidRPr="006B1CE0">
          <w:rPr>
            <w:i/>
            <w:iCs/>
            <w:color w:val="000000" w:themeColor="text1"/>
          </w:rPr>
          <w:t>County</w:t>
        </w:r>
      </w:hyperlink>
      <w:r w:rsidR="00C64050">
        <w:rPr>
          <w:color w:val="000000" w:themeColor="text1"/>
        </w:rPr>
        <w:t xml:space="preserve"> </w:t>
      </w:r>
      <w:r w:rsidRPr="006B1CE0">
        <w:rPr>
          <w:color w:val="000000" w:themeColor="text1"/>
        </w:rPr>
        <w:t>court</w:t>
      </w:r>
      <w:r w:rsidR="00C64050">
        <w:rPr>
          <w:color w:val="000000" w:themeColor="text1"/>
        </w:rPr>
        <w:t xml:space="preserve"> </w:t>
      </w:r>
      <w:r w:rsidRPr="006B1CE0">
        <w:rPr>
          <w:color w:val="000000" w:themeColor="text1"/>
        </w:rPr>
        <w:t>broadened</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enforcement</w:t>
      </w:r>
      <w:r w:rsidR="00C64050">
        <w:rPr>
          <w:color w:val="000000" w:themeColor="text1"/>
        </w:rPr>
        <w:t xml:space="preserve"> </w:t>
      </w:r>
      <w:r w:rsidRPr="006B1CE0">
        <w:rPr>
          <w:color w:val="000000" w:themeColor="text1"/>
        </w:rPr>
        <w:t>authority</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California</w:t>
      </w:r>
      <w:r w:rsidR="00C64050">
        <w:rPr>
          <w:color w:val="000000" w:themeColor="text1"/>
        </w:rPr>
        <w:t xml:space="preserve"> </w:t>
      </w:r>
      <w:r w:rsidRPr="006B1CE0">
        <w:rPr>
          <w:color w:val="000000" w:themeColor="text1"/>
        </w:rPr>
        <w:t>trial</w:t>
      </w:r>
      <w:r w:rsidR="00C64050">
        <w:rPr>
          <w:color w:val="000000" w:themeColor="text1"/>
        </w:rPr>
        <w:t xml:space="preserve"> </w:t>
      </w:r>
      <w:r w:rsidRPr="006B1CE0">
        <w:rPr>
          <w:color w:val="000000" w:themeColor="text1"/>
        </w:rPr>
        <w:t>courts</w:t>
      </w:r>
      <w:r w:rsidR="00C64050">
        <w:rPr>
          <w:color w:val="000000" w:themeColor="text1"/>
        </w:rPr>
        <w:t xml:space="preserve"> </w:t>
      </w:r>
      <w:r w:rsidRPr="006B1CE0">
        <w:rPr>
          <w:color w:val="000000" w:themeColor="text1"/>
        </w:rPr>
        <w:t>to</w:t>
      </w:r>
      <w:r w:rsidR="00C64050">
        <w:rPr>
          <w:color w:val="000000" w:themeColor="text1"/>
        </w:rPr>
        <w:t xml:space="preserve"> </w:t>
      </w:r>
      <w:r w:rsidRPr="006B1CE0">
        <w:rPr>
          <w:color w:val="000000" w:themeColor="text1"/>
        </w:rPr>
        <w:t>order</w:t>
      </w:r>
      <w:r w:rsidR="00C64050">
        <w:rPr>
          <w:color w:val="000000" w:themeColor="text1"/>
        </w:rPr>
        <w:t xml:space="preserve"> </w:t>
      </w:r>
      <w:r w:rsidRPr="006B1CE0">
        <w:rPr>
          <w:color w:val="000000" w:themeColor="text1"/>
        </w:rPr>
        <w:t>direct</w:t>
      </w:r>
      <w:r w:rsidR="00C64050">
        <w:rPr>
          <w:color w:val="000000" w:themeColor="text1"/>
        </w:rPr>
        <w:t xml:space="preserve"> </w:t>
      </w:r>
      <w:r w:rsidRPr="006B1CE0">
        <w:rPr>
          <w:color w:val="000000" w:themeColor="text1"/>
        </w:rPr>
        <w:t>trust</w:t>
      </w:r>
      <w:r w:rsidR="00C64050">
        <w:rPr>
          <w:color w:val="000000" w:themeColor="text1"/>
        </w:rPr>
        <w:t xml:space="preserve"> </w:t>
      </w:r>
      <w:r w:rsidRPr="006B1CE0">
        <w:rPr>
          <w:color w:val="000000" w:themeColor="text1"/>
        </w:rPr>
        <w:t>payments,</w:t>
      </w:r>
      <w:r w:rsidR="00C64050">
        <w:rPr>
          <w:color w:val="000000" w:themeColor="text1"/>
        </w:rPr>
        <w:t xml:space="preserve"> </w:t>
      </w:r>
      <w:r w:rsidRPr="006B1CE0">
        <w:rPr>
          <w:color w:val="000000" w:themeColor="text1"/>
        </w:rPr>
        <w:t>notwithstanding</w:t>
      </w:r>
      <w:r w:rsidR="00C64050">
        <w:rPr>
          <w:color w:val="000000" w:themeColor="text1"/>
        </w:rPr>
        <w:t xml:space="preserve"> </w:t>
      </w:r>
      <w:r w:rsidRPr="006B1CE0">
        <w:rPr>
          <w:color w:val="000000" w:themeColor="text1"/>
        </w:rPr>
        <w:t>a</w:t>
      </w:r>
      <w:r w:rsidR="00C64050">
        <w:rPr>
          <w:color w:val="000000" w:themeColor="text1"/>
        </w:rPr>
        <w:t xml:space="preserve"> </w:t>
      </w:r>
      <w:r w:rsidRPr="006B1CE0">
        <w:rPr>
          <w:color w:val="000000" w:themeColor="text1"/>
        </w:rPr>
        <w:t>spendthrift</w:t>
      </w:r>
      <w:r w:rsidR="00C64050">
        <w:rPr>
          <w:color w:val="000000" w:themeColor="text1"/>
        </w:rPr>
        <w:t xml:space="preserve"> </w:t>
      </w:r>
      <w:r w:rsidRPr="006B1CE0">
        <w:rPr>
          <w:color w:val="000000" w:themeColor="text1"/>
        </w:rPr>
        <w:t>provision,</w:t>
      </w:r>
      <w:r w:rsidR="00C64050">
        <w:rPr>
          <w:color w:val="000000" w:themeColor="text1"/>
        </w:rPr>
        <w:t xml:space="preserve"> </w:t>
      </w:r>
      <w:r w:rsidRPr="006B1CE0">
        <w:rPr>
          <w:color w:val="000000" w:themeColor="text1"/>
        </w:rPr>
        <w:t>upon</w:t>
      </w:r>
      <w:r w:rsidR="00C64050">
        <w:rPr>
          <w:color w:val="000000" w:themeColor="text1"/>
        </w:rPr>
        <w:t xml:space="preserve"> </w:t>
      </w:r>
      <w:r w:rsidRPr="006B1CE0">
        <w:rPr>
          <w:color w:val="000000" w:themeColor="text1"/>
        </w:rPr>
        <w:t>a</w:t>
      </w:r>
      <w:r w:rsidR="00C64050">
        <w:rPr>
          <w:color w:val="000000" w:themeColor="text1"/>
        </w:rPr>
        <w:t xml:space="preserve"> </w:t>
      </w:r>
      <w:r w:rsidRPr="006B1CE0">
        <w:rPr>
          <w:color w:val="000000" w:themeColor="text1"/>
        </w:rPr>
        <w:t>finding</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trustee</w:t>
      </w:r>
      <w:r w:rsidR="00C64050">
        <w:rPr>
          <w:color w:val="000000" w:themeColor="text1"/>
        </w:rPr>
        <w:t xml:space="preserve"> </w:t>
      </w:r>
      <w:r w:rsidRPr="006B1CE0">
        <w:rPr>
          <w:color w:val="000000" w:themeColor="text1"/>
        </w:rPr>
        <w:t>acted</w:t>
      </w:r>
      <w:r w:rsidR="00C64050">
        <w:rPr>
          <w:color w:val="000000" w:themeColor="text1"/>
        </w:rPr>
        <w:t xml:space="preserve"> </w:t>
      </w:r>
      <w:r w:rsidRPr="006B1CE0">
        <w:rPr>
          <w:color w:val="000000" w:themeColor="text1"/>
        </w:rPr>
        <w:t>in</w:t>
      </w:r>
      <w:r w:rsidR="00C64050">
        <w:rPr>
          <w:color w:val="000000" w:themeColor="text1"/>
        </w:rPr>
        <w:t xml:space="preserve"> </w:t>
      </w:r>
      <w:r w:rsidRPr="006B1CE0">
        <w:rPr>
          <w:color w:val="000000" w:themeColor="text1"/>
        </w:rPr>
        <w:t>bad</w:t>
      </w:r>
      <w:r w:rsidR="00C64050">
        <w:rPr>
          <w:color w:val="000000" w:themeColor="text1"/>
        </w:rPr>
        <w:t xml:space="preserve"> </w:t>
      </w:r>
      <w:r w:rsidRPr="006B1CE0">
        <w:rPr>
          <w:color w:val="000000" w:themeColor="text1"/>
        </w:rPr>
        <w:t>faith</w:t>
      </w:r>
      <w:r w:rsidR="00C64050">
        <w:rPr>
          <w:color w:val="000000" w:themeColor="text1"/>
        </w:rPr>
        <w:t xml:space="preserve"> </w:t>
      </w:r>
      <w:r w:rsidRPr="006B1CE0">
        <w:rPr>
          <w:color w:val="000000" w:themeColor="text1"/>
        </w:rPr>
        <w:t>by</w:t>
      </w:r>
      <w:r w:rsidR="00C64050">
        <w:rPr>
          <w:color w:val="000000" w:themeColor="text1"/>
        </w:rPr>
        <w:t xml:space="preserve"> </w:t>
      </w:r>
      <w:r w:rsidRPr="006B1CE0">
        <w:rPr>
          <w:color w:val="000000" w:themeColor="text1"/>
        </w:rPr>
        <w:t>not</w:t>
      </w:r>
      <w:r w:rsidR="00C64050">
        <w:rPr>
          <w:color w:val="000000" w:themeColor="text1"/>
        </w:rPr>
        <w:t xml:space="preserve"> </w:t>
      </w:r>
      <w:r w:rsidRPr="006B1CE0">
        <w:rPr>
          <w:color w:val="000000" w:themeColor="text1"/>
        </w:rPr>
        <w:t>authorizing</w:t>
      </w:r>
      <w:r w:rsidR="00C64050">
        <w:rPr>
          <w:color w:val="000000" w:themeColor="text1"/>
        </w:rPr>
        <w:t xml:space="preserve"> </w:t>
      </w:r>
      <w:r w:rsidRPr="006B1CE0">
        <w:rPr>
          <w:color w:val="000000" w:themeColor="text1"/>
        </w:rPr>
        <w:t>a</w:t>
      </w:r>
      <w:r w:rsidR="00C64050">
        <w:rPr>
          <w:color w:val="000000" w:themeColor="text1"/>
        </w:rPr>
        <w:t xml:space="preserve"> </w:t>
      </w:r>
      <w:r w:rsidRPr="006B1CE0">
        <w:rPr>
          <w:color w:val="000000" w:themeColor="text1"/>
        </w:rPr>
        <w:t>distribution.</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court</w:t>
      </w:r>
      <w:r w:rsidR="00C64050">
        <w:rPr>
          <w:color w:val="000000" w:themeColor="text1"/>
        </w:rPr>
        <w:t xml:space="preserve"> </w:t>
      </w:r>
      <w:r w:rsidRPr="006B1CE0">
        <w:rPr>
          <w:color w:val="000000" w:themeColor="text1"/>
        </w:rPr>
        <w:t>described</w:t>
      </w:r>
      <w:r w:rsidR="00C64050">
        <w:rPr>
          <w:color w:val="000000" w:themeColor="text1"/>
        </w:rPr>
        <w:t xml:space="preserve"> </w:t>
      </w:r>
      <w:hyperlink r:id="rId399" w:history="1">
        <w:r w:rsidRPr="006B1CE0">
          <w:rPr>
            <w:color w:val="000000" w:themeColor="text1"/>
          </w:rPr>
          <w:t>Cal.</w:t>
        </w:r>
        <w:r w:rsidR="00C64050">
          <w:rPr>
            <w:color w:val="000000" w:themeColor="text1"/>
          </w:rPr>
          <w:t xml:space="preserve"> </w:t>
        </w:r>
        <w:r w:rsidRPr="006B1CE0">
          <w:rPr>
            <w:color w:val="000000" w:themeColor="text1"/>
          </w:rPr>
          <w:t>Prob.</w:t>
        </w:r>
        <w:r w:rsidR="00C64050">
          <w:rPr>
            <w:color w:val="000000" w:themeColor="text1"/>
          </w:rPr>
          <w:t xml:space="preserve"> </w:t>
        </w:r>
        <w:r w:rsidRPr="006B1CE0">
          <w:rPr>
            <w:color w:val="000000" w:themeColor="text1"/>
          </w:rPr>
          <w:t>Code</w:t>
        </w:r>
        <w:r w:rsidR="00C64050">
          <w:rPr>
            <w:color w:val="000000" w:themeColor="text1"/>
          </w:rPr>
          <w:t xml:space="preserve"> </w:t>
        </w:r>
        <w:r w:rsidRPr="006B1CE0">
          <w:rPr>
            <w:color w:val="000000" w:themeColor="text1"/>
          </w:rPr>
          <w:t>§</w:t>
        </w:r>
        <w:r w:rsidR="00C64050">
          <w:rPr>
            <w:color w:val="000000" w:themeColor="text1"/>
          </w:rPr>
          <w:t xml:space="preserve"> </w:t>
        </w:r>
        <w:r w:rsidRPr="006B1CE0">
          <w:rPr>
            <w:color w:val="000000" w:themeColor="text1"/>
          </w:rPr>
          <w:t>15305</w:t>
        </w:r>
      </w:hyperlink>
      <w:r w:rsidR="00C64050">
        <w:rPr>
          <w:color w:val="000000" w:themeColor="text1"/>
        </w:rPr>
        <w:t xml:space="preserve"> </w:t>
      </w:r>
      <w:r w:rsidRPr="006B1CE0">
        <w:rPr>
          <w:color w:val="000000" w:themeColor="text1"/>
        </w:rPr>
        <w:t>as</w:t>
      </w:r>
      <w:r w:rsidR="00C64050">
        <w:rPr>
          <w:color w:val="000000" w:themeColor="text1"/>
        </w:rPr>
        <w:t xml:space="preserve"> </w:t>
      </w:r>
      <w:r w:rsidRPr="006B1CE0">
        <w:rPr>
          <w:color w:val="000000" w:themeColor="text1"/>
        </w:rPr>
        <w:t>a</w:t>
      </w:r>
      <w:r w:rsidR="00C64050">
        <w:rPr>
          <w:color w:val="000000" w:themeColor="text1"/>
        </w:rPr>
        <w:t xml:space="preserve"> </w:t>
      </w:r>
      <w:r w:rsidRPr="006B1CE0">
        <w:rPr>
          <w:color w:val="000000" w:themeColor="text1"/>
        </w:rPr>
        <w:t>means</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enforcing</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support</w:t>
      </w:r>
      <w:r w:rsidR="00C64050">
        <w:rPr>
          <w:color w:val="000000" w:themeColor="text1"/>
        </w:rPr>
        <w:t xml:space="preserve"> </w:t>
      </w:r>
      <w:r w:rsidRPr="006B1CE0">
        <w:rPr>
          <w:color w:val="000000" w:themeColor="text1"/>
        </w:rPr>
        <w:t>order,</w:t>
      </w:r>
      <w:r w:rsidR="00C64050">
        <w:rPr>
          <w:color w:val="000000" w:themeColor="text1"/>
        </w:rPr>
        <w:t xml:space="preserve"> </w:t>
      </w:r>
      <w:r w:rsidRPr="006B1CE0">
        <w:rPr>
          <w:color w:val="000000" w:themeColor="text1"/>
        </w:rPr>
        <w:t>observing,</w:t>
      </w:r>
      <w:r w:rsidR="00C64050">
        <w:rPr>
          <w:color w:val="000000" w:themeColor="text1"/>
        </w:rPr>
        <w:t xml:space="preserve"> </w:t>
      </w:r>
      <w:r w:rsidRPr="006B1CE0">
        <w:rPr>
          <w:color w:val="000000" w:themeColor="text1"/>
        </w:rPr>
        <w:t>“A</w:t>
      </w:r>
      <w:r w:rsidR="00C64050">
        <w:rPr>
          <w:color w:val="000000" w:themeColor="text1"/>
        </w:rPr>
        <w:t xml:space="preserve"> </w:t>
      </w:r>
      <w:r w:rsidRPr="006B1CE0">
        <w:rPr>
          <w:color w:val="000000" w:themeColor="text1"/>
        </w:rPr>
        <w:t>spendthrift</w:t>
      </w:r>
      <w:r w:rsidR="00C64050">
        <w:rPr>
          <w:color w:val="000000" w:themeColor="text1"/>
        </w:rPr>
        <w:t xml:space="preserve"> </w:t>
      </w:r>
      <w:r w:rsidRPr="006B1CE0">
        <w:rPr>
          <w:color w:val="000000" w:themeColor="text1"/>
        </w:rPr>
        <w:t>provision</w:t>
      </w:r>
      <w:r w:rsidR="00C64050">
        <w:rPr>
          <w:color w:val="000000" w:themeColor="text1"/>
        </w:rPr>
        <w:t xml:space="preserve"> </w:t>
      </w:r>
      <w:r w:rsidRPr="006B1CE0">
        <w:rPr>
          <w:color w:val="000000" w:themeColor="text1"/>
        </w:rPr>
        <w:t>‘is</w:t>
      </w:r>
      <w:r w:rsidR="00C64050">
        <w:rPr>
          <w:color w:val="000000" w:themeColor="text1"/>
        </w:rPr>
        <w:t xml:space="preserve"> </w:t>
      </w:r>
      <w:r w:rsidRPr="006B1CE0">
        <w:rPr>
          <w:color w:val="000000" w:themeColor="text1"/>
        </w:rPr>
        <w:t>not</w:t>
      </w:r>
      <w:r w:rsidR="00C64050">
        <w:rPr>
          <w:color w:val="000000" w:themeColor="text1"/>
        </w:rPr>
        <w:t xml:space="preserve"> </w:t>
      </w:r>
      <w:r w:rsidRPr="006B1CE0">
        <w:rPr>
          <w:color w:val="000000" w:themeColor="text1"/>
        </w:rPr>
        <w:t>effective</w:t>
      </w:r>
      <w:r w:rsidR="00C64050">
        <w:rPr>
          <w:color w:val="000000" w:themeColor="text1"/>
        </w:rPr>
        <w:t xml:space="preserve"> </w:t>
      </w:r>
      <w:r w:rsidRPr="006B1CE0">
        <w:rPr>
          <w:color w:val="000000" w:themeColor="text1"/>
        </w:rPr>
        <w:t>to</w:t>
      </w:r>
      <w:r w:rsidR="00C64050">
        <w:rPr>
          <w:color w:val="000000" w:themeColor="text1"/>
        </w:rPr>
        <w:t xml:space="preserve"> </w:t>
      </w:r>
      <w:r w:rsidRPr="006B1CE0">
        <w:rPr>
          <w:color w:val="000000" w:themeColor="text1"/>
        </w:rPr>
        <w:t>exempt</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trust</w:t>
      </w:r>
      <w:r w:rsidR="00C64050">
        <w:rPr>
          <w:color w:val="000000" w:themeColor="text1"/>
        </w:rPr>
        <w:t xml:space="preserve"> </w:t>
      </w:r>
      <w:r w:rsidRPr="006B1CE0">
        <w:rPr>
          <w:color w:val="000000" w:themeColor="text1"/>
        </w:rPr>
        <w:t>from</w:t>
      </w:r>
      <w:r w:rsidR="00C64050">
        <w:rPr>
          <w:color w:val="000000" w:themeColor="text1"/>
        </w:rPr>
        <w:t xml:space="preserve"> </w:t>
      </w:r>
      <w:r w:rsidRPr="006B1CE0">
        <w:rPr>
          <w:i/>
          <w:iCs/>
          <w:color w:val="000000" w:themeColor="text1"/>
        </w:rPr>
        <w:t>enforcement</w:t>
      </w:r>
      <w:r w:rsidR="00C64050">
        <w:rPr>
          <w:i/>
          <w:iCs/>
          <w:color w:val="000000" w:themeColor="text1"/>
        </w:rPr>
        <w:t xml:space="preserve"> </w:t>
      </w:r>
      <w:r w:rsidRPr="006B1CE0">
        <w:rPr>
          <w:i/>
          <w:iCs/>
          <w:color w:val="000000" w:themeColor="text1"/>
        </w:rPr>
        <w:t>of</w:t>
      </w:r>
      <w:r w:rsidR="00C64050">
        <w:rPr>
          <w:i/>
          <w:iCs/>
          <w:color w:val="000000" w:themeColor="text1"/>
        </w:rPr>
        <w:t xml:space="preserve"> </w:t>
      </w:r>
      <w:r w:rsidRPr="006B1CE0">
        <w:rPr>
          <w:i/>
          <w:iCs/>
          <w:color w:val="000000" w:themeColor="text1"/>
        </w:rPr>
        <w:t>a</w:t>
      </w:r>
      <w:r w:rsidR="00C64050">
        <w:rPr>
          <w:i/>
          <w:iCs/>
          <w:color w:val="000000" w:themeColor="text1"/>
        </w:rPr>
        <w:t xml:space="preserve"> </w:t>
      </w:r>
      <w:r w:rsidRPr="006B1CE0">
        <w:rPr>
          <w:i/>
          <w:iCs/>
          <w:color w:val="000000" w:themeColor="text1"/>
        </w:rPr>
        <w:t>judgment</w:t>
      </w:r>
      <w:r w:rsidR="00C64050">
        <w:rPr>
          <w:i/>
          <w:iCs/>
          <w:color w:val="000000" w:themeColor="text1"/>
        </w:rPr>
        <w:t xml:space="preserve"> </w:t>
      </w:r>
      <w:r w:rsidRPr="006B1CE0">
        <w:rPr>
          <w:i/>
          <w:iCs/>
          <w:color w:val="000000" w:themeColor="text1"/>
        </w:rPr>
        <w:t>for</w:t>
      </w:r>
      <w:r w:rsidR="00C64050">
        <w:rPr>
          <w:i/>
          <w:iCs/>
          <w:color w:val="000000" w:themeColor="text1"/>
        </w:rPr>
        <w:t xml:space="preserve"> </w:t>
      </w:r>
      <w:r w:rsidRPr="006B1CE0">
        <w:rPr>
          <w:i/>
          <w:iCs/>
          <w:color w:val="000000" w:themeColor="text1"/>
        </w:rPr>
        <w:t>support</w:t>
      </w:r>
      <w:r w:rsidR="00C64050">
        <w:rPr>
          <w:i/>
          <w:iCs/>
          <w:color w:val="000000" w:themeColor="text1"/>
        </w:rPr>
        <w:t xml:space="preserve"> </w:t>
      </w:r>
      <w:r w:rsidRPr="006B1CE0">
        <w:rPr>
          <w:i/>
          <w:iCs/>
          <w:color w:val="000000" w:themeColor="text1"/>
        </w:rPr>
        <w:t>of</w:t>
      </w:r>
      <w:r w:rsidR="00C64050">
        <w:rPr>
          <w:i/>
          <w:iCs/>
          <w:color w:val="000000" w:themeColor="text1"/>
        </w:rPr>
        <w:t xml:space="preserve"> </w:t>
      </w:r>
      <w:r w:rsidRPr="006B1CE0">
        <w:rPr>
          <w:i/>
          <w:iCs/>
          <w:color w:val="000000" w:themeColor="text1"/>
        </w:rPr>
        <w:t>a</w:t>
      </w:r>
      <w:r w:rsidR="00C64050">
        <w:rPr>
          <w:i/>
          <w:iCs/>
          <w:color w:val="000000" w:themeColor="text1"/>
        </w:rPr>
        <w:t xml:space="preserve"> </w:t>
      </w:r>
      <w:r w:rsidRPr="006B1CE0">
        <w:rPr>
          <w:i/>
          <w:iCs/>
          <w:color w:val="000000" w:themeColor="text1"/>
        </w:rPr>
        <w:t>minor</w:t>
      </w:r>
      <w:r w:rsidR="00C64050">
        <w:rPr>
          <w:i/>
          <w:iCs/>
          <w:color w:val="000000" w:themeColor="text1"/>
        </w:rPr>
        <w:t xml:space="preserve"> </w:t>
      </w:r>
      <w:r w:rsidRPr="006B1CE0">
        <w:rPr>
          <w:i/>
          <w:iCs/>
          <w:color w:val="000000" w:themeColor="text1"/>
        </w:rPr>
        <w:t>child</w:t>
      </w:r>
      <w:r w:rsidR="00C64050">
        <w:rPr>
          <w:color w:val="000000" w:themeColor="text1"/>
        </w:rPr>
        <w:t xml:space="preserve"> </w:t>
      </w:r>
      <w:r w:rsidRPr="006B1CE0">
        <w:rPr>
          <w:color w:val="000000" w:themeColor="text1"/>
        </w:rPr>
        <w:t>....’</w:t>
      </w:r>
      <w:r w:rsidR="00C64050">
        <w:rPr>
          <w:color w:val="000000" w:themeColor="text1"/>
        </w:rPr>
        <w:t xml:space="preserve"> </w:t>
      </w:r>
      <w:r w:rsidRPr="006B1CE0">
        <w:rPr>
          <w:color w:val="000000" w:themeColor="text1"/>
        </w:rPr>
        <w:t>”</w:t>
      </w:r>
      <w:r w:rsidR="00C64050">
        <w:rPr>
          <w:color w:val="000000" w:themeColor="text1"/>
        </w:rPr>
        <w:t xml:space="preserve"> </w:t>
      </w:r>
      <w:hyperlink r:id="rId400" w:anchor="co_pp_sp_7047_495" w:history="1">
        <w:r w:rsidRPr="006B1CE0">
          <w:rPr>
            <w:i/>
            <w:iCs/>
            <w:color w:val="000000" w:themeColor="text1"/>
          </w:rPr>
          <w:t>Ventura</w:t>
        </w:r>
        <w:r w:rsidR="00C64050">
          <w:rPr>
            <w:i/>
            <w:iCs/>
            <w:color w:val="000000" w:themeColor="text1"/>
          </w:rPr>
          <w:t xml:space="preserve"> </w:t>
        </w:r>
        <w:r w:rsidRPr="006B1CE0">
          <w:rPr>
            <w:i/>
            <w:iCs/>
            <w:color w:val="000000" w:themeColor="text1"/>
          </w:rPr>
          <w:t>Cty.</w:t>
        </w:r>
        <w:r w:rsidRPr="006B1CE0">
          <w:rPr>
            <w:color w:val="000000" w:themeColor="text1"/>
          </w:rPr>
          <w:t>,</w:t>
        </w:r>
        <w:r w:rsidR="00C64050">
          <w:rPr>
            <w:color w:val="000000" w:themeColor="text1"/>
          </w:rPr>
          <w:t xml:space="preserve"> </w:t>
        </w:r>
        <w:r w:rsidRPr="006B1CE0">
          <w:rPr>
            <w:color w:val="000000" w:themeColor="text1"/>
          </w:rPr>
          <w:t>11</w:t>
        </w:r>
        <w:r w:rsidR="00C64050">
          <w:rPr>
            <w:color w:val="000000" w:themeColor="text1"/>
          </w:rPr>
          <w:t xml:space="preserve"> </w:t>
        </w:r>
        <w:r w:rsidRPr="006B1CE0">
          <w:rPr>
            <w:color w:val="000000" w:themeColor="text1"/>
          </w:rPr>
          <w:t>Cal.</w:t>
        </w:r>
        <w:r w:rsidR="00C64050">
          <w:rPr>
            <w:color w:val="000000" w:themeColor="text1"/>
          </w:rPr>
          <w:t xml:space="preserve"> </w:t>
        </w:r>
        <w:r w:rsidRPr="006B1CE0">
          <w:rPr>
            <w:color w:val="000000" w:themeColor="text1"/>
          </w:rPr>
          <w:t>Rptr.</w:t>
        </w:r>
        <w:r w:rsidR="00C64050">
          <w:rPr>
            <w:color w:val="000000" w:themeColor="text1"/>
          </w:rPr>
          <w:t xml:space="preserve"> </w:t>
        </w:r>
        <w:r w:rsidRPr="006B1CE0">
          <w:rPr>
            <w:color w:val="000000" w:themeColor="text1"/>
          </w:rPr>
          <w:t>3d</w:t>
        </w:r>
        <w:r w:rsidR="00C64050">
          <w:rPr>
            <w:color w:val="000000" w:themeColor="text1"/>
          </w:rPr>
          <w:t xml:space="preserve"> </w:t>
        </w:r>
        <w:r w:rsidRPr="006B1CE0">
          <w:rPr>
            <w:color w:val="000000" w:themeColor="text1"/>
          </w:rPr>
          <w:t>at</w:t>
        </w:r>
        <w:r w:rsidR="00C64050">
          <w:rPr>
            <w:color w:val="000000" w:themeColor="text1"/>
          </w:rPr>
          <w:t xml:space="preserve"> </w:t>
        </w:r>
        <w:r w:rsidRPr="006B1CE0">
          <w:rPr>
            <w:color w:val="000000" w:themeColor="text1"/>
          </w:rPr>
          <w:t>495</w:t>
        </w:r>
      </w:hyperlink>
      <w:r w:rsidR="00C64050">
        <w:rPr>
          <w:color w:val="000000" w:themeColor="text1"/>
        </w:rPr>
        <w:t xml:space="preserve"> </w:t>
      </w:r>
      <w:r w:rsidRPr="006B1CE0">
        <w:rPr>
          <w:color w:val="000000" w:themeColor="text1"/>
        </w:rPr>
        <w:t>(emphasis</w:t>
      </w:r>
      <w:r w:rsidR="00C64050">
        <w:rPr>
          <w:color w:val="000000" w:themeColor="text1"/>
        </w:rPr>
        <w:t xml:space="preserve"> </w:t>
      </w:r>
      <w:r w:rsidRPr="006B1CE0">
        <w:rPr>
          <w:color w:val="000000" w:themeColor="text1"/>
        </w:rPr>
        <w:t>added)</w:t>
      </w:r>
      <w:r w:rsidR="00C64050">
        <w:rPr>
          <w:color w:val="000000" w:themeColor="text1"/>
        </w:rPr>
        <w:t xml:space="preserve"> </w:t>
      </w:r>
      <w:r w:rsidRPr="006B1CE0">
        <w:rPr>
          <w:color w:val="000000" w:themeColor="text1"/>
        </w:rPr>
        <w:t>(quoting</w:t>
      </w:r>
      <w:r w:rsidR="00C64050">
        <w:rPr>
          <w:color w:val="000000" w:themeColor="text1"/>
        </w:rPr>
        <w:t xml:space="preserve"> </w:t>
      </w:r>
      <w:hyperlink r:id="rId401" w:history="1">
        <w:r w:rsidRPr="006B1CE0">
          <w:rPr>
            <w:color w:val="000000" w:themeColor="text1"/>
          </w:rPr>
          <w:t>Cal.</w:t>
        </w:r>
        <w:r w:rsidR="00C64050">
          <w:rPr>
            <w:color w:val="000000" w:themeColor="text1"/>
          </w:rPr>
          <w:t xml:space="preserve"> </w:t>
        </w:r>
        <w:r w:rsidRPr="006B1CE0">
          <w:rPr>
            <w:color w:val="000000" w:themeColor="text1"/>
          </w:rPr>
          <w:t>Prob.</w:t>
        </w:r>
        <w:r w:rsidR="00C64050">
          <w:rPr>
            <w:color w:val="000000" w:themeColor="text1"/>
          </w:rPr>
          <w:t xml:space="preserve"> </w:t>
        </w:r>
        <w:r w:rsidRPr="006B1CE0">
          <w:rPr>
            <w:color w:val="000000" w:themeColor="text1"/>
          </w:rPr>
          <w:t>Code</w:t>
        </w:r>
        <w:r w:rsidR="00C64050">
          <w:rPr>
            <w:color w:val="000000" w:themeColor="text1"/>
          </w:rPr>
          <w:t xml:space="preserve"> </w:t>
        </w:r>
        <w:r w:rsidRPr="006B1CE0">
          <w:rPr>
            <w:color w:val="000000" w:themeColor="text1"/>
          </w:rPr>
          <w:t>§</w:t>
        </w:r>
        <w:r w:rsidR="00C64050">
          <w:rPr>
            <w:color w:val="000000" w:themeColor="text1"/>
          </w:rPr>
          <w:t xml:space="preserve"> </w:t>
        </w:r>
        <w:r w:rsidRPr="006B1CE0">
          <w:rPr>
            <w:color w:val="000000" w:themeColor="text1"/>
          </w:rPr>
          <w:t>15305</w:t>
        </w:r>
      </w:hyperlink>
      <w:r w:rsidRPr="006B1CE0">
        <w:rPr>
          <w:color w:val="000000" w:themeColor="text1"/>
        </w:rPr>
        <w:t>,</w:t>
      </w:r>
      <w:r w:rsidR="00C64050">
        <w:rPr>
          <w:color w:val="000000" w:themeColor="text1"/>
        </w:rPr>
        <w:t xml:space="preserve"> </w:t>
      </w:r>
      <w:r w:rsidRPr="006B1CE0">
        <w:rPr>
          <w:color w:val="000000" w:themeColor="text1"/>
        </w:rPr>
        <w:t>cmt.).</w:t>
      </w:r>
    </w:p>
    <w:p w:rsidR="001B23CB" w:rsidRPr="006B1CE0" w:rsidRDefault="001B23CB" w:rsidP="006B1CE0">
      <w:pPr>
        <w:pStyle w:val="QS10"/>
        <w:rPr>
          <w:color w:val="000000" w:themeColor="text1"/>
        </w:rPr>
      </w:pPr>
      <w:r w:rsidRPr="006B1CE0">
        <w:rPr>
          <w:color w:val="000000" w:themeColor="text1"/>
        </w:rPr>
        <w:t>Viewed</w:t>
      </w:r>
      <w:r w:rsidR="00C64050">
        <w:rPr>
          <w:color w:val="000000" w:themeColor="text1"/>
        </w:rPr>
        <w:t xml:space="preserve"> </w:t>
      </w:r>
      <w:r w:rsidRPr="006B1CE0">
        <w:rPr>
          <w:color w:val="000000" w:themeColor="text1"/>
        </w:rPr>
        <w:t>in</w:t>
      </w:r>
      <w:r w:rsidR="00C64050">
        <w:rPr>
          <w:color w:val="000000" w:themeColor="text1"/>
        </w:rPr>
        <w:t xml:space="preserve"> </w:t>
      </w:r>
      <w:r w:rsidRPr="006B1CE0">
        <w:rPr>
          <w:color w:val="000000" w:themeColor="text1"/>
        </w:rPr>
        <w:t>this</w:t>
      </w:r>
      <w:r w:rsidR="00C64050">
        <w:rPr>
          <w:color w:val="000000" w:themeColor="text1"/>
        </w:rPr>
        <w:t xml:space="preserve"> </w:t>
      </w:r>
      <w:r w:rsidRPr="006B1CE0">
        <w:rPr>
          <w:color w:val="000000" w:themeColor="text1"/>
        </w:rPr>
        <w:t>context,</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family</w:t>
      </w:r>
      <w:r w:rsidR="00C64050">
        <w:rPr>
          <w:color w:val="000000" w:themeColor="text1"/>
        </w:rPr>
        <w:t xml:space="preserve"> </w:t>
      </w:r>
      <w:r w:rsidRPr="006B1CE0">
        <w:rPr>
          <w:color w:val="000000" w:themeColor="text1"/>
        </w:rPr>
        <w:t>court’s</w:t>
      </w:r>
      <w:r w:rsidR="00C64050">
        <w:rPr>
          <w:color w:val="000000" w:themeColor="text1"/>
        </w:rPr>
        <w:t xml:space="preserve"> </w:t>
      </w:r>
      <w:r w:rsidRPr="006B1CE0">
        <w:rPr>
          <w:color w:val="000000" w:themeColor="text1"/>
        </w:rPr>
        <w:t>order</w:t>
      </w:r>
      <w:r w:rsidR="00C64050">
        <w:rPr>
          <w:color w:val="000000" w:themeColor="text1"/>
        </w:rPr>
        <w:t xml:space="preserve"> </w:t>
      </w:r>
      <w:r w:rsidRPr="006B1CE0">
        <w:rPr>
          <w:color w:val="000000" w:themeColor="text1"/>
        </w:rPr>
        <w:t>compelling</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direct</w:t>
      </w:r>
      <w:r w:rsidR="00C64050">
        <w:rPr>
          <w:color w:val="000000" w:themeColor="text1"/>
        </w:rPr>
        <w:t xml:space="preserve"> </w:t>
      </w:r>
      <w:r w:rsidRPr="006B1CE0">
        <w:rPr>
          <w:color w:val="000000" w:themeColor="text1"/>
        </w:rPr>
        <w:t>payment</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child</w:t>
      </w:r>
      <w:r w:rsidR="00C64050">
        <w:rPr>
          <w:color w:val="000000" w:themeColor="text1"/>
        </w:rPr>
        <w:t xml:space="preserve"> </w:t>
      </w:r>
      <w:r w:rsidRPr="006B1CE0">
        <w:rPr>
          <w:color w:val="000000" w:themeColor="text1"/>
        </w:rPr>
        <w:t>support</w:t>
      </w:r>
      <w:r w:rsidR="00C64050">
        <w:rPr>
          <w:color w:val="000000" w:themeColor="text1"/>
        </w:rPr>
        <w:t xml:space="preserve"> </w:t>
      </w:r>
      <w:r w:rsidRPr="006B1CE0">
        <w:rPr>
          <w:color w:val="000000" w:themeColor="text1"/>
        </w:rPr>
        <w:t>from</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Trust</w:t>
      </w:r>
      <w:r w:rsidR="00C64050">
        <w:rPr>
          <w:color w:val="000000" w:themeColor="text1"/>
        </w:rPr>
        <w:t xml:space="preserve"> </w:t>
      </w:r>
      <w:r w:rsidRPr="006B1CE0">
        <w:rPr>
          <w:color w:val="000000" w:themeColor="text1"/>
        </w:rPr>
        <w:t>was</w:t>
      </w:r>
      <w:r w:rsidR="00C64050">
        <w:rPr>
          <w:color w:val="000000" w:themeColor="text1"/>
        </w:rPr>
        <w:t xml:space="preserve"> </w:t>
      </w:r>
      <w:r w:rsidRPr="006B1CE0">
        <w:rPr>
          <w:color w:val="000000" w:themeColor="text1"/>
        </w:rPr>
        <w:t>an</w:t>
      </w:r>
      <w:r w:rsidR="00C64050">
        <w:rPr>
          <w:color w:val="000000" w:themeColor="text1"/>
        </w:rPr>
        <w:t xml:space="preserve"> </w:t>
      </w:r>
      <w:r w:rsidRPr="006B1CE0">
        <w:rPr>
          <w:color w:val="000000" w:themeColor="text1"/>
        </w:rPr>
        <w:t>unmistakable</w:t>
      </w:r>
      <w:r w:rsidR="00C64050">
        <w:rPr>
          <w:color w:val="000000" w:themeColor="text1"/>
        </w:rPr>
        <w:t xml:space="preserve"> </w:t>
      </w:r>
      <w:r w:rsidRPr="006B1CE0">
        <w:rPr>
          <w:color w:val="000000" w:themeColor="text1"/>
        </w:rPr>
        <w:t>means</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enforcing</w:t>
      </w:r>
      <w:r w:rsidR="00C64050">
        <w:rPr>
          <w:color w:val="000000" w:themeColor="text1"/>
        </w:rPr>
        <w:t xml:space="preserve"> </w:t>
      </w:r>
      <w:r w:rsidRPr="006B1CE0">
        <w:rPr>
          <w:color w:val="000000" w:themeColor="text1"/>
        </w:rPr>
        <w:t>Cleopatra’s</w:t>
      </w:r>
      <w:r w:rsidR="00C64050">
        <w:rPr>
          <w:color w:val="000000" w:themeColor="text1"/>
        </w:rPr>
        <w:t xml:space="preserve"> </w:t>
      </w:r>
      <w:r w:rsidRPr="006B1CE0">
        <w:rPr>
          <w:color w:val="000000" w:themeColor="text1"/>
        </w:rPr>
        <w:t>obligation.</w:t>
      </w:r>
      <w:r w:rsidR="00C64050">
        <w:rPr>
          <w:color w:val="000000" w:themeColor="text1"/>
        </w:rPr>
        <w:t xml:space="preserve"> </w:t>
      </w:r>
      <w:r w:rsidRPr="006B1CE0">
        <w:rPr>
          <w:color w:val="000000" w:themeColor="text1"/>
        </w:rPr>
        <w:t>Christopher’s</w:t>
      </w:r>
      <w:r w:rsidR="00C64050">
        <w:rPr>
          <w:color w:val="000000" w:themeColor="text1"/>
        </w:rPr>
        <w:t xml:space="preserve"> </w:t>
      </w:r>
      <w:r w:rsidRPr="006B1CE0">
        <w:rPr>
          <w:color w:val="000000" w:themeColor="text1"/>
        </w:rPr>
        <w:t>counsel</w:t>
      </w:r>
      <w:r w:rsidR="00C64050">
        <w:rPr>
          <w:color w:val="000000" w:themeColor="text1"/>
        </w:rPr>
        <w:t xml:space="preserve"> </w:t>
      </w:r>
      <w:r w:rsidRPr="006B1CE0">
        <w:rPr>
          <w:color w:val="000000" w:themeColor="text1"/>
        </w:rPr>
        <w:t>acknowledged</w:t>
      </w:r>
      <w:r w:rsidR="00C64050">
        <w:rPr>
          <w:color w:val="000000" w:themeColor="text1"/>
        </w:rPr>
        <w:t xml:space="preserve"> </w:t>
      </w:r>
      <w:r w:rsidRPr="006B1CE0">
        <w:rPr>
          <w:color w:val="000000" w:themeColor="text1"/>
        </w:rPr>
        <w:t>at</w:t>
      </w:r>
      <w:r w:rsidR="00C64050">
        <w:rPr>
          <w:color w:val="000000" w:themeColor="text1"/>
        </w:rPr>
        <w:t xml:space="preserve"> </w:t>
      </w:r>
      <w:r w:rsidRPr="006B1CE0">
        <w:rPr>
          <w:color w:val="000000" w:themeColor="text1"/>
        </w:rPr>
        <w:t>oral</w:t>
      </w:r>
      <w:r w:rsidR="00C64050">
        <w:rPr>
          <w:color w:val="000000" w:themeColor="text1"/>
        </w:rPr>
        <w:t xml:space="preserve"> </w:t>
      </w:r>
      <w:r w:rsidRPr="006B1CE0">
        <w:rPr>
          <w:color w:val="000000" w:themeColor="text1"/>
        </w:rPr>
        <w:t>argument</w:t>
      </w:r>
      <w:r w:rsidR="00C64050">
        <w:rPr>
          <w:color w:val="000000" w:themeColor="text1"/>
        </w:rPr>
        <w:t xml:space="preserve"> </w:t>
      </w:r>
      <w:r w:rsidRPr="006B1CE0">
        <w:rPr>
          <w:color w:val="000000" w:themeColor="text1"/>
        </w:rPr>
        <w:t>that</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direct</w:t>
      </w:r>
      <w:r w:rsidR="00C64050">
        <w:rPr>
          <w:color w:val="000000" w:themeColor="text1"/>
        </w:rPr>
        <w:t xml:space="preserve"> </w:t>
      </w:r>
      <w:r w:rsidRPr="006B1CE0">
        <w:rPr>
          <w:color w:val="000000" w:themeColor="text1"/>
        </w:rPr>
        <w:t>payment</w:t>
      </w:r>
      <w:r w:rsidR="00C64050">
        <w:rPr>
          <w:color w:val="000000" w:themeColor="text1"/>
        </w:rPr>
        <w:t xml:space="preserve"> </w:t>
      </w:r>
      <w:r w:rsidRPr="006B1CE0">
        <w:rPr>
          <w:color w:val="000000" w:themeColor="text1"/>
        </w:rPr>
        <w:t>order</w:t>
      </w:r>
      <w:r w:rsidR="00C64050">
        <w:rPr>
          <w:color w:val="000000" w:themeColor="text1"/>
        </w:rPr>
        <w:t xml:space="preserve"> </w:t>
      </w:r>
      <w:r w:rsidRPr="006B1CE0">
        <w:rPr>
          <w:color w:val="000000" w:themeColor="text1"/>
        </w:rPr>
        <w:t>was,</w:t>
      </w:r>
      <w:r w:rsidR="00C64050">
        <w:rPr>
          <w:color w:val="000000" w:themeColor="text1"/>
        </w:rPr>
        <w:t xml:space="preserve"> </w:t>
      </w:r>
      <w:r w:rsidRPr="006B1CE0">
        <w:rPr>
          <w:color w:val="000000" w:themeColor="text1"/>
        </w:rPr>
        <w:t>in</w:t>
      </w:r>
      <w:r w:rsidR="00C64050">
        <w:rPr>
          <w:color w:val="000000" w:themeColor="text1"/>
        </w:rPr>
        <w:t xml:space="preserve"> </w:t>
      </w:r>
      <w:r w:rsidRPr="006B1CE0">
        <w:rPr>
          <w:color w:val="000000" w:themeColor="text1"/>
        </w:rPr>
        <w:t>truth,</w:t>
      </w:r>
      <w:r w:rsidR="00C64050">
        <w:rPr>
          <w:color w:val="000000" w:themeColor="text1"/>
        </w:rPr>
        <w:t xml:space="preserve"> </w:t>
      </w:r>
      <w:r w:rsidRPr="006B1CE0">
        <w:rPr>
          <w:color w:val="000000" w:themeColor="text1"/>
        </w:rPr>
        <w:t>an</w:t>
      </w:r>
      <w:r w:rsidR="00C64050">
        <w:rPr>
          <w:color w:val="000000" w:themeColor="text1"/>
        </w:rPr>
        <w:t xml:space="preserve"> </w:t>
      </w:r>
      <w:r w:rsidRPr="006B1CE0">
        <w:rPr>
          <w:color w:val="000000" w:themeColor="text1"/>
        </w:rPr>
        <w:t>enforcement</w:t>
      </w:r>
      <w:r w:rsidR="00C64050">
        <w:rPr>
          <w:color w:val="000000" w:themeColor="text1"/>
        </w:rPr>
        <w:t xml:space="preserve"> </w:t>
      </w:r>
      <w:r w:rsidRPr="006B1CE0">
        <w:rPr>
          <w:color w:val="000000" w:themeColor="text1"/>
        </w:rPr>
        <w:t>method.</w:t>
      </w:r>
      <w:r w:rsidR="00C64050">
        <w:rPr>
          <w:color w:val="000000" w:themeColor="text1"/>
        </w:rPr>
        <w:t xml:space="preserve"> </w:t>
      </w:r>
      <w:r w:rsidRPr="006B1CE0">
        <w:rPr>
          <w:color w:val="000000" w:themeColor="text1"/>
        </w:rPr>
        <w:t>In</w:t>
      </w:r>
      <w:r w:rsidR="00C64050">
        <w:rPr>
          <w:color w:val="000000" w:themeColor="text1"/>
        </w:rPr>
        <w:t xml:space="preserve"> </w:t>
      </w:r>
      <w:r w:rsidRPr="006B1CE0">
        <w:rPr>
          <w:color w:val="000000" w:themeColor="text1"/>
        </w:rPr>
        <w:t>our</w:t>
      </w:r>
      <w:r w:rsidR="00C64050">
        <w:rPr>
          <w:color w:val="000000" w:themeColor="text1"/>
        </w:rPr>
        <w:t xml:space="preserve"> </w:t>
      </w:r>
      <w:r w:rsidRPr="006B1CE0">
        <w:rPr>
          <w:color w:val="000000" w:themeColor="text1"/>
        </w:rPr>
        <w:t>view,</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trustee</w:t>
      </w:r>
      <w:r w:rsidR="00C64050">
        <w:rPr>
          <w:color w:val="000000" w:themeColor="text1"/>
        </w:rPr>
        <w:t xml:space="preserve"> </w:t>
      </w:r>
      <w:r w:rsidRPr="006B1CE0">
        <w:rPr>
          <w:color w:val="000000" w:themeColor="text1"/>
        </w:rPr>
        <w:t>was</w:t>
      </w:r>
      <w:r w:rsidR="00C64050">
        <w:rPr>
          <w:color w:val="000000" w:themeColor="text1"/>
        </w:rPr>
        <w:t xml:space="preserve"> </w:t>
      </w:r>
      <w:r w:rsidRPr="006B1CE0">
        <w:rPr>
          <w:color w:val="000000" w:themeColor="text1"/>
        </w:rPr>
        <w:t>not</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child</w:t>
      </w:r>
      <w:r w:rsidR="00C64050">
        <w:rPr>
          <w:color w:val="000000" w:themeColor="text1"/>
        </w:rPr>
        <w:t xml:space="preserve"> </w:t>
      </w:r>
      <w:r w:rsidRPr="006B1CE0">
        <w:rPr>
          <w:color w:val="000000" w:themeColor="text1"/>
        </w:rPr>
        <w:t>support</w:t>
      </w:r>
      <w:r w:rsidR="00C64050">
        <w:rPr>
          <w:color w:val="000000" w:themeColor="text1"/>
        </w:rPr>
        <w:t xml:space="preserve"> </w:t>
      </w:r>
      <w:r w:rsidRPr="006B1CE0">
        <w:rPr>
          <w:color w:val="000000" w:themeColor="text1"/>
        </w:rPr>
        <w:t>obligor</w:t>
      </w:r>
      <w:r w:rsidR="00C64050">
        <w:rPr>
          <w:color w:val="000000" w:themeColor="text1"/>
        </w:rPr>
        <w:t xml:space="preserve"> </w:t>
      </w:r>
      <w:r w:rsidRPr="006B1CE0">
        <w:rPr>
          <w:color w:val="000000" w:themeColor="text1"/>
        </w:rPr>
        <w:t>and</w:t>
      </w:r>
      <w:r w:rsidR="00C64050">
        <w:rPr>
          <w:color w:val="000000" w:themeColor="text1"/>
        </w:rPr>
        <w:t xml:space="preserve"> </w:t>
      </w:r>
      <w:r w:rsidRPr="006B1CE0">
        <w:rPr>
          <w:color w:val="000000" w:themeColor="text1"/>
        </w:rPr>
        <w:t>was</w:t>
      </w:r>
      <w:r w:rsidR="00C64050">
        <w:rPr>
          <w:color w:val="000000" w:themeColor="text1"/>
        </w:rPr>
        <w:t xml:space="preserve"> </w:t>
      </w:r>
      <w:r w:rsidRPr="006B1CE0">
        <w:rPr>
          <w:color w:val="000000" w:themeColor="text1"/>
        </w:rPr>
        <w:t>only</w:t>
      </w:r>
      <w:r w:rsidR="00C64050">
        <w:rPr>
          <w:color w:val="000000" w:themeColor="text1"/>
        </w:rPr>
        <w:t xml:space="preserve"> </w:t>
      </w:r>
      <w:r w:rsidRPr="006B1CE0">
        <w:rPr>
          <w:color w:val="000000" w:themeColor="text1"/>
        </w:rPr>
        <w:t>nominally</w:t>
      </w:r>
      <w:r w:rsidR="00C64050">
        <w:rPr>
          <w:color w:val="000000" w:themeColor="text1"/>
        </w:rPr>
        <w:t xml:space="preserve"> </w:t>
      </w:r>
      <w:r w:rsidRPr="006B1CE0">
        <w:rPr>
          <w:color w:val="000000" w:themeColor="text1"/>
        </w:rPr>
        <w:t>joined</w:t>
      </w:r>
      <w:r w:rsidR="00C64050">
        <w:rPr>
          <w:color w:val="000000" w:themeColor="text1"/>
        </w:rPr>
        <w:t xml:space="preserve"> </w:t>
      </w:r>
      <w:r w:rsidRPr="006B1CE0">
        <w:rPr>
          <w:color w:val="000000" w:themeColor="text1"/>
        </w:rPr>
        <w:t>in</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divorce</w:t>
      </w:r>
      <w:r w:rsidR="00C64050">
        <w:rPr>
          <w:color w:val="000000" w:themeColor="text1"/>
        </w:rPr>
        <w:t xml:space="preserve"> </w:t>
      </w:r>
      <w:r w:rsidRPr="006B1CE0">
        <w:rPr>
          <w:color w:val="000000" w:themeColor="text1"/>
        </w:rPr>
        <w:t>action</w:t>
      </w:r>
      <w:r w:rsidR="00C64050">
        <w:rPr>
          <w:color w:val="000000" w:themeColor="text1"/>
        </w:rPr>
        <w:t xml:space="preserve"> </w:t>
      </w:r>
      <w:r w:rsidRPr="006B1CE0">
        <w:rPr>
          <w:color w:val="000000" w:themeColor="text1"/>
        </w:rPr>
        <w:t>to</w:t>
      </w:r>
      <w:r w:rsidR="00C64050">
        <w:rPr>
          <w:color w:val="000000" w:themeColor="text1"/>
        </w:rPr>
        <w:t xml:space="preserve"> </w:t>
      </w:r>
      <w:r w:rsidRPr="006B1CE0">
        <w:rPr>
          <w:color w:val="000000" w:themeColor="text1"/>
        </w:rPr>
        <w:t>enforce</w:t>
      </w:r>
      <w:r w:rsidR="00C64050">
        <w:rPr>
          <w:color w:val="000000" w:themeColor="text1"/>
        </w:rPr>
        <w:t xml:space="preserve"> </w:t>
      </w:r>
      <w:r w:rsidRPr="006B1CE0">
        <w:rPr>
          <w:color w:val="000000" w:themeColor="text1"/>
        </w:rPr>
        <w:t>Cleopatra’s</w:t>
      </w:r>
      <w:r w:rsidR="00C64050">
        <w:rPr>
          <w:color w:val="000000" w:themeColor="text1"/>
        </w:rPr>
        <w:t xml:space="preserve"> </w:t>
      </w:r>
      <w:r w:rsidRPr="006B1CE0">
        <w:rPr>
          <w:color w:val="000000" w:themeColor="text1"/>
        </w:rPr>
        <w:t>obligation.</w:t>
      </w:r>
      <w:r w:rsidR="00C64050">
        <w:rPr>
          <w:color w:val="000000" w:themeColor="text1"/>
        </w:rPr>
        <w:t xml:space="preserve"> </w:t>
      </w:r>
      <w:r w:rsidRPr="006B1CE0">
        <w:rPr>
          <w:color w:val="000000" w:themeColor="text1"/>
        </w:rPr>
        <w:t>Because</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means</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enforcing</w:t>
      </w:r>
      <w:r w:rsidR="00C64050">
        <w:rPr>
          <w:color w:val="000000" w:themeColor="text1"/>
        </w:rPr>
        <w:t xml:space="preserve"> </w:t>
      </w:r>
      <w:r w:rsidRPr="006B1CE0">
        <w:rPr>
          <w:color w:val="000000" w:themeColor="text1"/>
        </w:rPr>
        <w:t>judgments</w:t>
      </w:r>
      <w:r w:rsidR="00C64050">
        <w:rPr>
          <w:color w:val="000000" w:themeColor="text1"/>
        </w:rPr>
        <w:t xml:space="preserve"> </w:t>
      </w:r>
      <w:r w:rsidRPr="006B1CE0">
        <w:rPr>
          <w:color w:val="000000" w:themeColor="text1"/>
        </w:rPr>
        <w:t>does</w:t>
      </w:r>
      <w:r w:rsidR="00C64050">
        <w:rPr>
          <w:color w:val="000000" w:themeColor="text1"/>
        </w:rPr>
        <w:t xml:space="preserve"> </w:t>
      </w:r>
      <w:r w:rsidRPr="006B1CE0">
        <w:rPr>
          <w:color w:val="000000" w:themeColor="text1"/>
        </w:rPr>
        <w:t>not</w:t>
      </w:r>
      <w:r w:rsidR="00C64050">
        <w:rPr>
          <w:color w:val="000000" w:themeColor="text1"/>
        </w:rPr>
        <w:t xml:space="preserve"> </w:t>
      </w:r>
      <w:r w:rsidRPr="006B1CE0">
        <w:rPr>
          <w:color w:val="000000" w:themeColor="text1"/>
        </w:rPr>
        <w:t>implicate</w:t>
      </w:r>
      <w:r w:rsidR="00C64050">
        <w:rPr>
          <w:color w:val="000000" w:themeColor="text1"/>
        </w:rPr>
        <w:t xml:space="preserve"> </w:t>
      </w:r>
      <w:r w:rsidRPr="006B1CE0">
        <w:rPr>
          <w:color w:val="000000" w:themeColor="text1"/>
        </w:rPr>
        <w:t>full</w:t>
      </w:r>
      <w:r w:rsidR="00C64050">
        <w:rPr>
          <w:color w:val="000000" w:themeColor="text1"/>
        </w:rPr>
        <w:t xml:space="preserve"> </w:t>
      </w:r>
      <w:r w:rsidRPr="006B1CE0">
        <w:rPr>
          <w:color w:val="000000" w:themeColor="text1"/>
        </w:rPr>
        <w:t>faith</w:t>
      </w:r>
      <w:r w:rsidR="00C64050">
        <w:rPr>
          <w:color w:val="000000" w:themeColor="text1"/>
        </w:rPr>
        <w:t xml:space="preserve"> </w:t>
      </w:r>
      <w:r w:rsidRPr="006B1CE0">
        <w:rPr>
          <w:color w:val="000000" w:themeColor="text1"/>
        </w:rPr>
        <w:t>and</w:t>
      </w:r>
      <w:r w:rsidR="00C64050">
        <w:rPr>
          <w:color w:val="000000" w:themeColor="text1"/>
        </w:rPr>
        <w:t xml:space="preserve"> </w:t>
      </w:r>
      <w:r w:rsidRPr="006B1CE0">
        <w:rPr>
          <w:color w:val="000000" w:themeColor="text1"/>
        </w:rPr>
        <w:t>credit</w:t>
      </w:r>
      <w:r w:rsidR="00C64050">
        <w:rPr>
          <w:color w:val="000000" w:themeColor="text1"/>
        </w:rPr>
        <w:t xml:space="preserve"> </w:t>
      </w:r>
      <w:r w:rsidRPr="006B1CE0">
        <w:rPr>
          <w:color w:val="000000" w:themeColor="text1"/>
        </w:rPr>
        <w:t>considerations,</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circuit</w:t>
      </w:r>
      <w:r w:rsidR="00C64050">
        <w:rPr>
          <w:color w:val="000000" w:themeColor="text1"/>
        </w:rPr>
        <w:t xml:space="preserve"> </w:t>
      </w:r>
      <w:r w:rsidRPr="006B1CE0">
        <w:rPr>
          <w:color w:val="000000" w:themeColor="text1"/>
        </w:rPr>
        <w:t>court</w:t>
      </w:r>
      <w:r w:rsidR="00C64050">
        <w:rPr>
          <w:color w:val="000000" w:themeColor="text1"/>
        </w:rPr>
        <w:t xml:space="preserve"> </w:t>
      </w:r>
      <w:r w:rsidRPr="006B1CE0">
        <w:rPr>
          <w:color w:val="000000" w:themeColor="text1"/>
        </w:rPr>
        <w:t>here</w:t>
      </w:r>
      <w:r w:rsidR="00C64050">
        <w:rPr>
          <w:color w:val="000000" w:themeColor="text1"/>
        </w:rPr>
        <w:t xml:space="preserve"> </w:t>
      </w:r>
      <w:r w:rsidRPr="006B1CE0">
        <w:rPr>
          <w:color w:val="000000" w:themeColor="text1"/>
        </w:rPr>
        <w:t>was</w:t>
      </w:r>
      <w:r w:rsidR="00C64050">
        <w:rPr>
          <w:color w:val="000000" w:themeColor="text1"/>
        </w:rPr>
        <w:t xml:space="preserve"> </w:t>
      </w:r>
      <w:r w:rsidRPr="006B1CE0">
        <w:rPr>
          <w:color w:val="000000" w:themeColor="text1"/>
        </w:rPr>
        <w:t>not</w:t>
      </w:r>
      <w:r w:rsidR="00C64050">
        <w:rPr>
          <w:color w:val="000000" w:themeColor="text1"/>
        </w:rPr>
        <w:t xml:space="preserve"> </w:t>
      </w:r>
      <w:r w:rsidRPr="006B1CE0">
        <w:rPr>
          <w:color w:val="000000" w:themeColor="text1"/>
        </w:rPr>
        <w:t>required</w:t>
      </w:r>
      <w:r w:rsidR="00C64050">
        <w:rPr>
          <w:color w:val="000000" w:themeColor="text1"/>
        </w:rPr>
        <w:t xml:space="preserve"> </w:t>
      </w:r>
      <w:r w:rsidRPr="006B1CE0">
        <w:rPr>
          <w:color w:val="000000" w:themeColor="text1"/>
        </w:rPr>
        <w:t>to</w:t>
      </w:r>
      <w:r w:rsidR="00C64050">
        <w:rPr>
          <w:color w:val="000000" w:themeColor="text1"/>
        </w:rPr>
        <w:t xml:space="preserve"> </w:t>
      </w:r>
      <w:r w:rsidRPr="006B1CE0">
        <w:rPr>
          <w:color w:val="000000" w:themeColor="text1"/>
        </w:rPr>
        <w:t>submit</w:t>
      </w:r>
      <w:r w:rsidR="00C64050">
        <w:rPr>
          <w:color w:val="000000" w:themeColor="text1"/>
        </w:rPr>
        <w:t xml:space="preserve"> </w:t>
      </w:r>
      <w:r w:rsidRPr="006B1CE0">
        <w:rPr>
          <w:color w:val="000000" w:themeColor="text1"/>
        </w:rPr>
        <w:t>to</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California</w:t>
      </w:r>
      <w:r w:rsidR="00C64050">
        <w:rPr>
          <w:color w:val="000000" w:themeColor="text1"/>
        </w:rPr>
        <w:t xml:space="preserve"> </w:t>
      </w:r>
      <w:r w:rsidRPr="006B1CE0">
        <w:rPr>
          <w:color w:val="000000" w:themeColor="text1"/>
        </w:rPr>
        <w:t>order</w:t>
      </w:r>
      <w:r w:rsidR="00C64050">
        <w:rPr>
          <w:color w:val="000000" w:themeColor="text1"/>
        </w:rPr>
        <w:t xml:space="preserve"> </w:t>
      </w:r>
      <w:r w:rsidRPr="006B1CE0">
        <w:rPr>
          <w:color w:val="000000" w:themeColor="text1"/>
        </w:rPr>
        <w:t>compelling</w:t>
      </w:r>
      <w:r w:rsidR="00C64050">
        <w:rPr>
          <w:color w:val="000000" w:themeColor="text1"/>
        </w:rPr>
        <w:t xml:space="preserve"> </w:t>
      </w:r>
      <w:r w:rsidRPr="006B1CE0">
        <w:rPr>
          <w:color w:val="000000" w:themeColor="text1"/>
        </w:rPr>
        <w:t>direct</w:t>
      </w:r>
      <w:r w:rsidR="00C64050">
        <w:rPr>
          <w:color w:val="000000" w:themeColor="text1"/>
        </w:rPr>
        <w:t xml:space="preserve"> </w:t>
      </w:r>
      <w:r w:rsidRPr="006B1CE0">
        <w:rPr>
          <w:color w:val="000000" w:themeColor="text1"/>
        </w:rPr>
        <w:t>payments</w:t>
      </w:r>
      <w:r w:rsidR="00C64050">
        <w:rPr>
          <w:color w:val="000000" w:themeColor="text1"/>
        </w:rPr>
        <w:t xml:space="preserve"> </w:t>
      </w:r>
      <w:r w:rsidRPr="006B1CE0">
        <w:rPr>
          <w:color w:val="000000" w:themeColor="text1"/>
        </w:rPr>
        <w:t>from</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Trust</w:t>
      </w:r>
      <w:r w:rsidR="00C64050">
        <w:rPr>
          <w:color w:val="000000" w:themeColor="text1"/>
        </w:rPr>
        <w:t xml:space="preserve"> </w:t>
      </w:r>
      <w:r w:rsidRPr="006B1CE0">
        <w:rPr>
          <w:color w:val="000000" w:themeColor="text1"/>
        </w:rPr>
        <w:t>if</w:t>
      </w:r>
      <w:r w:rsidR="00C64050">
        <w:rPr>
          <w:color w:val="000000" w:themeColor="text1"/>
        </w:rPr>
        <w:t xml:space="preserve"> </w:t>
      </w:r>
      <w:r w:rsidRPr="006B1CE0">
        <w:rPr>
          <w:color w:val="000000" w:themeColor="text1"/>
        </w:rPr>
        <w:t>this</w:t>
      </w:r>
      <w:r w:rsidR="00C64050">
        <w:rPr>
          <w:color w:val="000000" w:themeColor="text1"/>
        </w:rPr>
        <w:t xml:space="preserve"> </w:t>
      </w:r>
      <w:r w:rsidRPr="006B1CE0">
        <w:rPr>
          <w:color w:val="000000" w:themeColor="text1"/>
        </w:rPr>
        <w:t>method</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self-executing</w:t>
      </w:r>
      <w:r w:rsidR="00C64050">
        <w:rPr>
          <w:color w:val="000000" w:themeColor="text1"/>
        </w:rPr>
        <w:t xml:space="preserve"> </w:t>
      </w:r>
      <w:r w:rsidRPr="006B1CE0">
        <w:rPr>
          <w:color w:val="000000" w:themeColor="text1"/>
        </w:rPr>
        <w:t>enforcement</w:t>
      </w:r>
      <w:r w:rsidR="00C64050">
        <w:rPr>
          <w:color w:val="000000" w:themeColor="text1"/>
        </w:rPr>
        <w:t xml:space="preserve"> </w:t>
      </w:r>
      <w:r w:rsidRPr="006B1CE0">
        <w:rPr>
          <w:color w:val="000000" w:themeColor="text1"/>
        </w:rPr>
        <w:t>is</w:t>
      </w:r>
      <w:r w:rsidR="00C64050">
        <w:rPr>
          <w:color w:val="000000" w:themeColor="text1"/>
        </w:rPr>
        <w:t xml:space="preserve"> </w:t>
      </w:r>
      <w:r w:rsidRPr="006B1CE0">
        <w:rPr>
          <w:color w:val="000000" w:themeColor="text1"/>
        </w:rPr>
        <w:t>not</w:t>
      </w:r>
      <w:r w:rsidR="00C64050">
        <w:rPr>
          <w:color w:val="000000" w:themeColor="text1"/>
        </w:rPr>
        <w:t xml:space="preserve"> </w:t>
      </w:r>
      <w:r w:rsidRPr="006B1CE0">
        <w:rPr>
          <w:color w:val="000000" w:themeColor="text1"/>
        </w:rPr>
        <w:t>authorized</w:t>
      </w:r>
      <w:r w:rsidR="00C64050">
        <w:rPr>
          <w:color w:val="000000" w:themeColor="text1"/>
        </w:rPr>
        <w:t xml:space="preserve"> </w:t>
      </w:r>
      <w:r w:rsidRPr="006B1CE0">
        <w:rPr>
          <w:color w:val="000000" w:themeColor="text1"/>
        </w:rPr>
        <w:t>by</w:t>
      </w:r>
      <w:r w:rsidR="00C64050">
        <w:rPr>
          <w:color w:val="000000" w:themeColor="text1"/>
        </w:rPr>
        <w:t xml:space="preserve"> </w:t>
      </w:r>
      <w:r w:rsidRPr="006B1CE0">
        <w:rPr>
          <w:color w:val="000000" w:themeColor="text1"/>
        </w:rPr>
        <w:t>South</w:t>
      </w:r>
      <w:r w:rsidR="00C64050">
        <w:rPr>
          <w:color w:val="000000" w:themeColor="text1"/>
        </w:rPr>
        <w:t xml:space="preserve"> </w:t>
      </w:r>
      <w:r w:rsidRPr="006B1CE0">
        <w:rPr>
          <w:color w:val="000000" w:themeColor="text1"/>
        </w:rPr>
        <w:t>Dakota</w:t>
      </w:r>
      <w:r w:rsidR="00C64050">
        <w:rPr>
          <w:color w:val="000000" w:themeColor="text1"/>
        </w:rPr>
        <w:t xml:space="preserve"> </w:t>
      </w:r>
      <w:r w:rsidRPr="006B1CE0">
        <w:rPr>
          <w:color w:val="000000" w:themeColor="text1"/>
        </w:rPr>
        <w:t>law.</w:t>
      </w:r>
      <w:r w:rsidR="00C64050">
        <w:rPr>
          <w:color w:val="000000" w:themeColor="text1"/>
        </w:rPr>
        <w:t xml:space="preserve"> </w:t>
      </w:r>
      <w:r w:rsidRPr="006B1CE0">
        <w:rPr>
          <w:color w:val="000000" w:themeColor="text1"/>
        </w:rPr>
        <w:t>Based</w:t>
      </w:r>
      <w:r w:rsidR="00C64050">
        <w:rPr>
          <w:color w:val="000000" w:themeColor="text1"/>
        </w:rPr>
        <w:t xml:space="preserve"> </w:t>
      </w:r>
      <w:r w:rsidRPr="006B1CE0">
        <w:rPr>
          <w:color w:val="000000" w:themeColor="text1"/>
        </w:rPr>
        <w:t>upon</w:t>
      </w:r>
      <w:r w:rsidR="00C64050">
        <w:rPr>
          <w:color w:val="000000" w:themeColor="text1"/>
        </w:rPr>
        <w:t xml:space="preserve"> </w:t>
      </w:r>
      <w:r w:rsidRPr="006B1CE0">
        <w:rPr>
          <w:color w:val="000000" w:themeColor="text1"/>
        </w:rPr>
        <w:t>a</w:t>
      </w:r>
      <w:r w:rsidR="00C64050">
        <w:rPr>
          <w:color w:val="000000" w:themeColor="text1"/>
        </w:rPr>
        <w:t xml:space="preserve"> </w:t>
      </w:r>
      <w:r w:rsidRPr="006B1CE0">
        <w:rPr>
          <w:color w:val="000000" w:themeColor="text1"/>
        </w:rPr>
        <w:t>review</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our</w:t>
      </w:r>
      <w:r w:rsidR="00C64050">
        <w:rPr>
          <w:color w:val="000000" w:themeColor="text1"/>
        </w:rPr>
        <w:t xml:space="preserve"> </w:t>
      </w:r>
      <w:r w:rsidRPr="006B1CE0">
        <w:rPr>
          <w:color w:val="000000" w:themeColor="text1"/>
        </w:rPr>
        <w:t>relevant</w:t>
      </w:r>
      <w:r w:rsidR="00C64050">
        <w:rPr>
          <w:color w:val="000000" w:themeColor="text1"/>
        </w:rPr>
        <w:t xml:space="preserve"> </w:t>
      </w:r>
      <w:r w:rsidRPr="006B1CE0">
        <w:rPr>
          <w:color w:val="000000" w:themeColor="text1"/>
        </w:rPr>
        <w:t>statutes,</w:t>
      </w:r>
      <w:r w:rsidR="00C64050">
        <w:rPr>
          <w:color w:val="000000" w:themeColor="text1"/>
        </w:rPr>
        <w:t xml:space="preserve"> </w:t>
      </w:r>
      <w:r w:rsidRPr="006B1CE0">
        <w:rPr>
          <w:color w:val="000000" w:themeColor="text1"/>
        </w:rPr>
        <w:t>it</w:t>
      </w:r>
      <w:r w:rsidR="00C64050">
        <w:rPr>
          <w:color w:val="000000" w:themeColor="text1"/>
        </w:rPr>
        <w:t xml:space="preserve"> </w:t>
      </w:r>
      <w:r w:rsidRPr="006B1CE0">
        <w:rPr>
          <w:color w:val="000000" w:themeColor="text1"/>
        </w:rPr>
        <w:t>is</w:t>
      </w:r>
      <w:r w:rsidR="00C64050">
        <w:rPr>
          <w:color w:val="000000" w:themeColor="text1"/>
        </w:rPr>
        <w:t xml:space="preserve"> </w:t>
      </w:r>
      <w:r w:rsidRPr="006B1CE0">
        <w:rPr>
          <w:color w:val="000000" w:themeColor="text1"/>
        </w:rPr>
        <w:t>not</w:t>
      </w:r>
      <w:r w:rsidR="00C64050">
        <w:rPr>
          <w:color w:val="000000" w:themeColor="text1"/>
        </w:rPr>
        <w:t xml:space="preserve"> </w:t>
      </w:r>
      <w:r w:rsidRPr="006B1CE0">
        <w:rPr>
          <w:color w:val="000000" w:themeColor="text1"/>
        </w:rPr>
        <w:t>authorized</w:t>
      </w:r>
      <w:r w:rsidR="00C64050">
        <w:rPr>
          <w:color w:val="000000" w:themeColor="text1"/>
        </w:rPr>
        <w:t xml:space="preserve"> </w:t>
      </w:r>
      <w:r w:rsidRPr="006B1CE0">
        <w:rPr>
          <w:color w:val="000000" w:themeColor="text1"/>
        </w:rPr>
        <w:t>and</w:t>
      </w:r>
      <w:r w:rsidR="00C64050">
        <w:rPr>
          <w:color w:val="000000" w:themeColor="text1"/>
        </w:rPr>
        <w:t xml:space="preserve"> </w:t>
      </w:r>
      <w:r w:rsidRPr="006B1CE0">
        <w:rPr>
          <w:color w:val="000000" w:themeColor="text1"/>
        </w:rPr>
        <w:t>is,</w:t>
      </w:r>
      <w:r w:rsidR="00C64050">
        <w:rPr>
          <w:color w:val="000000" w:themeColor="text1"/>
        </w:rPr>
        <w:t xml:space="preserve"> </w:t>
      </w:r>
      <w:r w:rsidRPr="006B1CE0">
        <w:rPr>
          <w:color w:val="000000" w:themeColor="text1"/>
        </w:rPr>
        <w:t>in</w:t>
      </w:r>
      <w:r w:rsidR="00C64050">
        <w:rPr>
          <w:color w:val="000000" w:themeColor="text1"/>
        </w:rPr>
        <w:t xml:space="preserve"> </w:t>
      </w:r>
      <w:r w:rsidRPr="006B1CE0">
        <w:rPr>
          <w:color w:val="000000" w:themeColor="text1"/>
        </w:rPr>
        <w:t>fact,</w:t>
      </w:r>
      <w:r w:rsidR="00C64050">
        <w:rPr>
          <w:color w:val="000000" w:themeColor="text1"/>
        </w:rPr>
        <w:t xml:space="preserve"> </w:t>
      </w:r>
      <w:r w:rsidRPr="006B1CE0">
        <w:rPr>
          <w:color w:val="000000" w:themeColor="text1"/>
        </w:rPr>
        <w:t>expressly</w:t>
      </w:r>
      <w:r w:rsidR="00C64050">
        <w:rPr>
          <w:color w:val="000000" w:themeColor="text1"/>
        </w:rPr>
        <w:t xml:space="preserve"> </w:t>
      </w:r>
      <w:r w:rsidRPr="006B1CE0">
        <w:rPr>
          <w:color w:val="000000" w:themeColor="text1"/>
        </w:rPr>
        <w:t>prohibited.</w:t>
      </w:r>
    </w:p>
    <w:p w:rsidR="001B23CB" w:rsidRPr="006B1CE0" w:rsidRDefault="001B23CB" w:rsidP="006B1CE0">
      <w:pPr>
        <w:pStyle w:val="QS10"/>
        <w:rPr>
          <w:color w:val="000000" w:themeColor="text1"/>
        </w:rPr>
      </w:pPr>
      <w:r w:rsidRPr="006B1CE0">
        <w:rPr>
          <w:color w:val="000000" w:themeColor="text1"/>
        </w:rPr>
        <w:t>Our</w:t>
      </w:r>
      <w:r w:rsidR="00C64050">
        <w:rPr>
          <w:color w:val="000000" w:themeColor="text1"/>
        </w:rPr>
        <w:t xml:space="preserve"> </w:t>
      </w:r>
      <w:r w:rsidRPr="006B1CE0">
        <w:rPr>
          <w:color w:val="000000" w:themeColor="text1"/>
        </w:rPr>
        <w:t>Legislature</w:t>
      </w:r>
      <w:r w:rsidR="00C64050">
        <w:rPr>
          <w:color w:val="000000" w:themeColor="text1"/>
        </w:rPr>
        <w:t xml:space="preserve"> </w:t>
      </w:r>
      <w:r w:rsidRPr="006B1CE0">
        <w:rPr>
          <w:color w:val="000000" w:themeColor="text1"/>
        </w:rPr>
        <w:t>has</w:t>
      </w:r>
      <w:r w:rsidR="00C64050">
        <w:rPr>
          <w:color w:val="000000" w:themeColor="text1"/>
        </w:rPr>
        <w:t xml:space="preserve"> </w:t>
      </w:r>
      <w:r w:rsidRPr="006B1CE0">
        <w:rPr>
          <w:color w:val="000000" w:themeColor="text1"/>
        </w:rPr>
        <w:t>placed</w:t>
      </w:r>
      <w:r w:rsidR="00C64050">
        <w:rPr>
          <w:color w:val="000000" w:themeColor="text1"/>
        </w:rPr>
        <w:t xml:space="preserve"> </w:t>
      </w:r>
      <w:r w:rsidRPr="006B1CE0">
        <w:rPr>
          <w:color w:val="000000" w:themeColor="text1"/>
        </w:rPr>
        <w:t>formidable</w:t>
      </w:r>
      <w:r w:rsidR="00C64050">
        <w:rPr>
          <w:color w:val="000000" w:themeColor="text1"/>
        </w:rPr>
        <w:t xml:space="preserve"> </w:t>
      </w:r>
      <w:r w:rsidRPr="006B1CE0">
        <w:rPr>
          <w:color w:val="000000" w:themeColor="text1"/>
        </w:rPr>
        <w:t>barriers</w:t>
      </w:r>
      <w:r w:rsidR="00C64050">
        <w:rPr>
          <w:color w:val="000000" w:themeColor="text1"/>
        </w:rPr>
        <w:t xml:space="preserve"> </w:t>
      </w:r>
      <w:r w:rsidRPr="006B1CE0">
        <w:rPr>
          <w:color w:val="000000" w:themeColor="text1"/>
        </w:rPr>
        <w:t>between</w:t>
      </w:r>
      <w:r w:rsidR="00C64050">
        <w:rPr>
          <w:color w:val="000000" w:themeColor="text1"/>
        </w:rPr>
        <w:t xml:space="preserve"> </w:t>
      </w:r>
      <w:r w:rsidRPr="006B1CE0">
        <w:rPr>
          <w:color w:val="000000" w:themeColor="text1"/>
        </w:rPr>
        <w:t>creditor</w:t>
      </w:r>
      <w:r w:rsidR="00C64050">
        <w:rPr>
          <w:color w:val="000000" w:themeColor="text1"/>
        </w:rPr>
        <w:t xml:space="preserve"> </w:t>
      </w:r>
      <w:r w:rsidRPr="006B1CE0">
        <w:rPr>
          <w:color w:val="000000" w:themeColor="text1"/>
        </w:rPr>
        <w:t>claims</w:t>
      </w:r>
      <w:r w:rsidR="00C64050">
        <w:rPr>
          <w:color w:val="000000" w:themeColor="text1"/>
        </w:rPr>
        <w:t xml:space="preserve"> </w:t>
      </w:r>
      <w:r w:rsidRPr="006B1CE0">
        <w:rPr>
          <w:color w:val="000000" w:themeColor="text1"/>
        </w:rPr>
        <w:t>and</w:t>
      </w:r>
      <w:r w:rsidR="00C64050">
        <w:rPr>
          <w:color w:val="000000" w:themeColor="text1"/>
        </w:rPr>
        <w:t xml:space="preserve"> </w:t>
      </w:r>
      <w:r w:rsidRPr="006B1CE0">
        <w:rPr>
          <w:color w:val="000000" w:themeColor="text1"/>
        </w:rPr>
        <w:t>trust</w:t>
      </w:r>
      <w:r w:rsidR="00C64050">
        <w:rPr>
          <w:color w:val="000000" w:themeColor="text1"/>
        </w:rPr>
        <w:t xml:space="preserve"> </w:t>
      </w:r>
      <w:r w:rsidRPr="006B1CE0">
        <w:rPr>
          <w:color w:val="000000" w:themeColor="text1"/>
        </w:rPr>
        <w:t>funds</w:t>
      </w:r>
      <w:r w:rsidR="00C64050">
        <w:rPr>
          <w:color w:val="000000" w:themeColor="text1"/>
        </w:rPr>
        <w:t xml:space="preserve"> </w:t>
      </w:r>
      <w:r w:rsidRPr="006B1CE0">
        <w:rPr>
          <w:color w:val="000000" w:themeColor="text1"/>
        </w:rPr>
        <w:t>protected</w:t>
      </w:r>
      <w:r w:rsidR="00C64050">
        <w:rPr>
          <w:color w:val="000000" w:themeColor="text1"/>
        </w:rPr>
        <w:t xml:space="preserve"> </w:t>
      </w:r>
      <w:r w:rsidRPr="006B1CE0">
        <w:rPr>
          <w:color w:val="000000" w:themeColor="text1"/>
        </w:rPr>
        <w:t>by</w:t>
      </w:r>
      <w:r w:rsidR="00C64050">
        <w:rPr>
          <w:color w:val="000000" w:themeColor="text1"/>
        </w:rPr>
        <w:t xml:space="preserve"> </w:t>
      </w:r>
      <w:r w:rsidRPr="006B1CE0">
        <w:rPr>
          <w:color w:val="000000" w:themeColor="text1"/>
        </w:rPr>
        <w:t>a</w:t>
      </w:r>
      <w:r w:rsidR="00C64050">
        <w:rPr>
          <w:color w:val="000000" w:themeColor="text1"/>
        </w:rPr>
        <w:t xml:space="preserve"> </w:t>
      </w:r>
      <w:r w:rsidRPr="006B1CE0">
        <w:rPr>
          <w:color w:val="000000" w:themeColor="text1"/>
        </w:rPr>
        <w:t>spendthrift</w:t>
      </w:r>
      <w:r w:rsidR="00C64050">
        <w:rPr>
          <w:color w:val="000000" w:themeColor="text1"/>
        </w:rPr>
        <w:t xml:space="preserve"> </w:t>
      </w:r>
      <w:r w:rsidRPr="006B1CE0">
        <w:rPr>
          <w:color w:val="000000" w:themeColor="text1"/>
        </w:rPr>
        <w:t>provision.</w:t>
      </w:r>
      <w:r w:rsidR="00C64050">
        <w:rPr>
          <w:color w:val="000000" w:themeColor="text1"/>
        </w:rPr>
        <w:t xml:space="preserve"> </w:t>
      </w:r>
      <w:r w:rsidRPr="006B1CE0">
        <w:rPr>
          <w:i/>
          <w:iCs/>
          <w:color w:val="000000" w:themeColor="text1"/>
        </w:rPr>
        <w:t>See</w:t>
      </w:r>
      <w:r w:rsidR="00C64050">
        <w:rPr>
          <w:color w:val="000000" w:themeColor="text1"/>
        </w:rPr>
        <w:t xml:space="preserve"> </w:t>
      </w:r>
      <w:hyperlink r:id="rId402" w:history="1">
        <w:r w:rsidRPr="006B1CE0">
          <w:rPr>
            <w:color w:val="000000" w:themeColor="text1"/>
          </w:rPr>
          <w:t>SDCL</w:t>
        </w:r>
        <w:r w:rsidR="00C64050">
          <w:rPr>
            <w:color w:val="000000" w:themeColor="text1"/>
          </w:rPr>
          <w:t xml:space="preserve"> </w:t>
        </w:r>
        <w:r w:rsidRPr="006B1CE0">
          <w:rPr>
            <w:color w:val="000000" w:themeColor="text1"/>
          </w:rPr>
          <w:t>55-1-41</w:t>
        </w:r>
      </w:hyperlink>
      <w:r w:rsidR="00C64050">
        <w:rPr>
          <w:color w:val="000000" w:themeColor="text1"/>
        </w:rPr>
        <w:t xml:space="preserve"> </w:t>
      </w:r>
      <w:r w:rsidRPr="006B1CE0">
        <w:rPr>
          <w:color w:val="000000" w:themeColor="text1"/>
        </w:rPr>
        <w:t>(“If</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trust</w:t>
      </w:r>
      <w:r w:rsidR="00C64050">
        <w:rPr>
          <w:color w:val="000000" w:themeColor="text1"/>
        </w:rPr>
        <w:t xml:space="preserve"> </w:t>
      </w:r>
      <w:r w:rsidRPr="006B1CE0">
        <w:rPr>
          <w:color w:val="000000" w:themeColor="text1"/>
        </w:rPr>
        <w:t>contains</w:t>
      </w:r>
      <w:r w:rsidR="00C64050">
        <w:rPr>
          <w:color w:val="000000" w:themeColor="text1"/>
        </w:rPr>
        <w:t xml:space="preserve"> </w:t>
      </w:r>
      <w:r w:rsidRPr="006B1CE0">
        <w:rPr>
          <w:color w:val="000000" w:themeColor="text1"/>
        </w:rPr>
        <w:t>a</w:t>
      </w:r>
      <w:r w:rsidR="00C64050">
        <w:rPr>
          <w:color w:val="000000" w:themeColor="text1"/>
        </w:rPr>
        <w:t xml:space="preserve"> </w:t>
      </w:r>
      <w:r w:rsidRPr="006B1CE0">
        <w:rPr>
          <w:color w:val="000000" w:themeColor="text1"/>
        </w:rPr>
        <w:t>spendthrift</w:t>
      </w:r>
      <w:r w:rsidR="00C64050">
        <w:rPr>
          <w:color w:val="000000" w:themeColor="text1"/>
        </w:rPr>
        <w:t xml:space="preserve"> </w:t>
      </w:r>
      <w:r w:rsidRPr="006B1CE0">
        <w:rPr>
          <w:color w:val="000000" w:themeColor="text1"/>
        </w:rPr>
        <w:t>provision,</w:t>
      </w:r>
      <w:r w:rsidR="00C64050">
        <w:rPr>
          <w:color w:val="000000" w:themeColor="text1"/>
        </w:rPr>
        <w:t xml:space="preserve"> </w:t>
      </w:r>
      <w:r w:rsidRPr="006B1CE0">
        <w:rPr>
          <w:color w:val="000000" w:themeColor="text1"/>
        </w:rPr>
        <w:t>no</w:t>
      </w:r>
      <w:r w:rsidR="00C64050">
        <w:rPr>
          <w:color w:val="000000" w:themeColor="text1"/>
        </w:rPr>
        <w:t xml:space="preserve"> </w:t>
      </w:r>
      <w:r w:rsidRPr="006B1CE0">
        <w:rPr>
          <w:color w:val="000000" w:themeColor="text1"/>
        </w:rPr>
        <w:t>creditor</w:t>
      </w:r>
      <w:r w:rsidR="00C64050">
        <w:rPr>
          <w:color w:val="000000" w:themeColor="text1"/>
        </w:rPr>
        <w:t xml:space="preserve"> </w:t>
      </w:r>
      <w:r w:rsidRPr="006B1CE0">
        <w:rPr>
          <w:color w:val="000000" w:themeColor="text1"/>
        </w:rPr>
        <w:t>may</w:t>
      </w:r>
      <w:r w:rsidR="00C64050">
        <w:rPr>
          <w:color w:val="000000" w:themeColor="text1"/>
        </w:rPr>
        <w:t xml:space="preserve"> </w:t>
      </w:r>
      <w:r w:rsidRPr="006B1CE0">
        <w:rPr>
          <w:color w:val="000000" w:themeColor="text1"/>
        </w:rPr>
        <w:t>reach</w:t>
      </w:r>
      <w:r w:rsidR="00C64050">
        <w:rPr>
          <w:color w:val="000000" w:themeColor="text1"/>
        </w:rPr>
        <w:t xml:space="preserve"> </w:t>
      </w:r>
      <w:r w:rsidRPr="006B1CE0">
        <w:rPr>
          <w:color w:val="000000" w:themeColor="text1"/>
        </w:rPr>
        <w:t>present</w:t>
      </w:r>
      <w:r w:rsidR="00C64050">
        <w:rPr>
          <w:color w:val="000000" w:themeColor="text1"/>
        </w:rPr>
        <w:t xml:space="preserve"> </w:t>
      </w:r>
      <w:r w:rsidRPr="006B1CE0">
        <w:rPr>
          <w:color w:val="000000" w:themeColor="text1"/>
        </w:rPr>
        <w:t>or</w:t>
      </w:r>
      <w:r w:rsidR="00C64050">
        <w:rPr>
          <w:color w:val="000000" w:themeColor="text1"/>
        </w:rPr>
        <w:t xml:space="preserve"> </w:t>
      </w:r>
      <w:r w:rsidRPr="006B1CE0">
        <w:rPr>
          <w:color w:val="000000" w:themeColor="text1"/>
        </w:rPr>
        <w:t>future</w:t>
      </w:r>
      <w:r w:rsidR="00C64050">
        <w:rPr>
          <w:color w:val="000000" w:themeColor="text1"/>
        </w:rPr>
        <w:t xml:space="preserve"> </w:t>
      </w:r>
      <w:r w:rsidRPr="006B1CE0">
        <w:rPr>
          <w:color w:val="000000" w:themeColor="text1"/>
        </w:rPr>
        <w:t>mandatory</w:t>
      </w:r>
      <w:r w:rsidR="00C64050">
        <w:rPr>
          <w:color w:val="000000" w:themeColor="text1"/>
        </w:rPr>
        <w:t xml:space="preserve"> </w:t>
      </w:r>
      <w:r w:rsidRPr="006B1CE0">
        <w:rPr>
          <w:color w:val="000000" w:themeColor="text1"/>
        </w:rPr>
        <w:t>distributions</w:t>
      </w:r>
      <w:r w:rsidR="00C64050">
        <w:rPr>
          <w:color w:val="000000" w:themeColor="text1"/>
        </w:rPr>
        <w:t xml:space="preserve"> </w:t>
      </w:r>
      <w:r w:rsidRPr="006B1CE0">
        <w:rPr>
          <w:color w:val="000000" w:themeColor="text1"/>
        </w:rPr>
        <w:t>from</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trust</w:t>
      </w:r>
      <w:r w:rsidR="00C64050">
        <w:rPr>
          <w:color w:val="000000" w:themeColor="text1"/>
        </w:rPr>
        <w:t xml:space="preserve"> </w:t>
      </w:r>
      <w:r w:rsidRPr="006B1CE0">
        <w:rPr>
          <w:color w:val="000000" w:themeColor="text1"/>
        </w:rPr>
        <w:t>at</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trust</w:t>
      </w:r>
      <w:r w:rsidR="00C64050">
        <w:rPr>
          <w:color w:val="000000" w:themeColor="text1"/>
        </w:rPr>
        <w:t xml:space="preserve"> </w:t>
      </w:r>
      <w:r w:rsidRPr="006B1CE0">
        <w:rPr>
          <w:color w:val="000000" w:themeColor="text1"/>
        </w:rPr>
        <w:t>level.”);</w:t>
      </w:r>
      <w:r w:rsidR="00C64050">
        <w:rPr>
          <w:color w:val="000000" w:themeColor="text1"/>
        </w:rPr>
        <w:t xml:space="preserve"> </w:t>
      </w:r>
      <w:hyperlink r:id="rId403" w:history="1">
        <w:r w:rsidRPr="006B1CE0">
          <w:rPr>
            <w:color w:val="000000" w:themeColor="text1"/>
          </w:rPr>
          <w:t>SDCL</w:t>
        </w:r>
        <w:r w:rsidR="00C64050">
          <w:rPr>
            <w:color w:val="000000" w:themeColor="text1"/>
          </w:rPr>
          <w:t xml:space="preserve"> </w:t>
        </w:r>
        <w:r w:rsidRPr="006B1CE0">
          <w:rPr>
            <w:color w:val="000000" w:themeColor="text1"/>
          </w:rPr>
          <w:t>55-1-35</w:t>
        </w:r>
      </w:hyperlink>
      <w:r w:rsidR="00C64050">
        <w:rPr>
          <w:color w:val="000000" w:themeColor="text1"/>
        </w:rPr>
        <w:t xml:space="preserve"> </w:t>
      </w:r>
      <w:r w:rsidRPr="006B1CE0">
        <w:rPr>
          <w:color w:val="000000" w:themeColor="text1"/>
        </w:rPr>
        <w:t>(“No</w:t>
      </w:r>
      <w:r w:rsidR="00C64050">
        <w:rPr>
          <w:color w:val="000000" w:themeColor="text1"/>
        </w:rPr>
        <w:t xml:space="preserve"> </w:t>
      </w:r>
      <w:r w:rsidRPr="006B1CE0">
        <w:rPr>
          <w:color w:val="000000" w:themeColor="text1"/>
        </w:rPr>
        <w:t>trustee</w:t>
      </w:r>
      <w:r w:rsidR="00C64050">
        <w:rPr>
          <w:color w:val="000000" w:themeColor="text1"/>
        </w:rPr>
        <w:t xml:space="preserve"> </w:t>
      </w:r>
      <w:r w:rsidRPr="006B1CE0">
        <w:rPr>
          <w:color w:val="000000" w:themeColor="text1"/>
        </w:rPr>
        <w:t>is</w:t>
      </w:r>
      <w:r w:rsidR="00C64050">
        <w:rPr>
          <w:color w:val="000000" w:themeColor="text1"/>
        </w:rPr>
        <w:t xml:space="preserve"> </w:t>
      </w:r>
      <w:r w:rsidRPr="006B1CE0">
        <w:rPr>
          <w:color w:val="000000" w:themeColor="text1"/>
        </w:rPr>
        <w:t>liable</w:t>
      </w:r>
      <w:r w:rsidR="00C64050">
        <w:rPr>
          <w:color w:val="000000" w:themeColor="text1"/>
        </w:rPr>
        <w:t xml:space="preserve"> </w:t>
      </w:r>
      <w:r w:rsidRPr="006B1CE0">
        <w:rPr>
          <w:color w:val="000000" w:themeColor="text1"/>
        </w:rPr>
        <w:t>to</w:t>
      </w:r>
      <w:r w:rsidR="00C64050">
        <w:rPr>
          <w:color w:val="000000" w:themeColor="text1"/>
        </w:rPr>
        <w:t xml:space="preserve"> </w:t>
      </w:r>
      <w:r w:rsidRPr="006B1CE0">
        <w:rPr>
          <w:color w:val="000000" w:themeColor="text1"/>
        </w:rPr>
        <w:t>any</w:t>
      </w:r>
      <w:r w:rsidR="00C64050">
        <w:rPr>
          <w:color w:val="000000" w:themeColor="text1"/>
        </w:rPr>
        <w:t xml:space="preserve"> </w:t>
      </w:r>
      <w:r w:rsidRPr="006B1CE0">
        <w:rPr>
          <w:color w:val="000000" w:themeColor="text1"/>
        </w:rPr>
        <w:t>creditor</w:t>
      </w:r>
      <w:r w:rsidR="00C64050">
        <w:rPr>
          <w:color w:val="000000" w:themeColor="text1"/>
        </w:rPr>
        <w:t xml:space="preserve"> </w:t>
      </w:r>
      <w:r w:rsidRPr="006B1CE0">
        <w:rPr>
          <w:color w:val="000000" w:themeColor="text1"/>
        </w:rPr>
        <w:t>for</w:t>
      </w:r>
      <w:r w:rsidR="00C64050">
        <w:rPr>
          <w:color w:val="000000" w:themeColor="text1"/>
        </w:rPr>
        <w:t xml:space="preserve"> </w:t>
      </w:r>
      <w:r w:rsidRPr="006B1CE0">
        <w:rPr>
          <w:color w:val="000000" w:themeColor="text1"/>
        </w:rPr>
        <w:t>paying</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expenses</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a</w:t>
      </w:r>
      <w:r w:rsidR="00C64050">
        <w:rPr>
          <w:color w:val="000000" w:themeColor="text1"/>
        </w:rPr>
        <w:t xml:space="preserve"> </w:t>
      </w:r>
      <w:r w:rsidRPr="006B1CE0">
        <w:rPr>
          <w:color w:val="000000" w:themeColor="text1"/>
        </w:rPr>
        <w:t>spendthrift</w:t>
      </w:r>
      <w:r w:rsidR="00C64050">
        <w:rPr>
          <w:color w:val="000000" w:themeColor="text1"/>
        </w:rPr>
        <w:t xml:space="preserve"> </w:t>
      </w:r>
      <w:r w:rsidRPr="006B1CE0">
        <w:rPr>
          <w:color w:val="000000" w:themeColor="text1"/>
        </w:rPr>
        <w:t>trust.”).</w:t>
      </w:r>
      <w:r w:rsidR="00C64050">
        <w:rPr>
          <w:color w:val="000000" w:themeColor="text1"/>
        </w:rPr>
        <w:t xml:space="preserve"> </w:t>
      </w:r>
      <w:r w:rsidRPr="006B1CE0">
        <w:rPr>
          <w:color w:val="000000" w:themeColor="text1"/>
        </w:rPr>
        <w:t>More</w:t>
      </w:r>
      <w:r w:rsidR="00C64050">
        <w:rPr>
          <w:color w:val="000000" w:themeColor="text1"/>
        </w:rPr>
        <w:t xml:space="preserve"> </w:t>
      </w:r>
      <w:r w:rsidRPr="006B1CE0">
        <w:rPr>
          <w:color w:val="000000" w:themeColor="text1"/>
        </w:rPr>
        <w:t>to</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point,</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Legislature</w:t>
      </w:r>
      <w:r w:rsidR="00C64050">
        <w:rPr>
          <w:color w:val="000000" w:themeColor="text1"/>
        </w:rPr>
        <w:t xml:space="preserve"> </w:t>
      </w:r>
      <w:r w:rsidRPr="006B1CE0">
        <w:rPr>
          <w:color w:val="000000" w:themeColor="text1"/>
        </w:rPr>
        <w:t>has</w:t>
      </w:r>
      <w:r w:rsidR="00C64050">
        <w:rPr>
          <w:color w:val="000000" w:themeColor="text1"/>
        </w:rPr>
        <w:t xml:space="preserve"> </w:t>
      </w:r>
      <w:r w:rsidRPr="006B1CE0">
        <w:rPr>
          <w:color w:val="000000" w:themeColor="text1"/>
        </w:rPr>
        <w:t>emphatically</w:t>
      </w:r>
      <w:r w:rsidR="00C64050">
        <w:rPr>
          <w:color w:val="000000" w:themeColor="text1"/>
        </w:rPr>
        <w:t xml:space="preserve"> </w:t>
      </w:r>
      <w:r w:rsidRPr="006B1CE0">
        <w:rPr>
          <w:color w:val="000000" w:themeColor="text1"/>
        </w:rPr>
        <w:t>rejected</w:t>
      </w:r>
      <w:r w:rsidR="00C64050">
        <w:rPr>
          <w:color w:val="000000" w:themeColor="text1"/>
        </w:rPr>
        <w:t xml:space="preserve"> </w:t>
      </w:r>
      <w:r w:rsidRPr="006B1CE0">
        <w:rPr>
          <w:color w:val="000000" w:themeColor="text1"/>
        </w:rPr>
        <w:t>even</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specter</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an</w:t>
      </w:r>
      <w:r w:rsidR="00C64050">
        <w:rPr>
          <w:color w:val="000000" w:themeColor="text1"/>
        </w:rPr>
        <w:t xml:space="preserve"> </w:t>
      </w:r>
      <w:r w:rsidRPr="006B1CE0">
        <w:rPr>
          <w:color w:val="000000" w:themeColor="text1"/>
        </w:rPr>
        <w:t>argument</w:t>
      </w:r>
      <w:r w:rsidR="00C64050">
        <w:rPr>
          <w:color w:val="000000" w:themeColor="text1"/>
        </w:rPr>
        <w:t xml:space="preserve"> </w:t>
      </w:r>
      <w:r w:rsidRPr="006B1CE0">
        <w:rPr>
          <w:color w:val="000000" w:themeColor="text1"/>
        </w:rPr>
        <w:t>that</w:t>
      </w:r>
      <w:r w:rsidR="00C64050">
        <w:rPr>
          <w:color w:val="000000" w:themeColor="text1"/>
        </w:rPr>
        <w:t xml:space="preserve"> </w:t>
      </w:r>
      <w:r w:rsidRPr="006B1CE0">
        <w:rPr>
          <w:color w:val="000000" w:themeColor="text1"/>
        </w:rPr>
        <w:t>would</w:t>
      </w:r>
      <w:r w:rsidR="00C64050">
        <w:rPr>
          <w:color w:val="000000" w:themeColor="text1"/>
        </w:rPr>
        <w:t xml:space="preserve"> </w:t>
      </w:r>
      <w:r w:rsidRPr="006B1CE0">
        <w:rPr>
          <w:color w:val="000000" w:themeColor="text1"/>
        </w:rPr>
        <w:t>allow</w:t>
      </w:r>
      <w:r w:rsidR="00C64050">
        <w:rPr>
          <w:color w:val="000000" w:themeColor="text1"/>
        </w:rPr>
        <w:t xml:space="preserve"> </w:t>
      </w:r>
      <w:r w:rsidRPr="006B1CE0">
        <w:rPr>
          <w:color w:val="000000" w:themeColor="text1"/>
        </w:rPr>
        <w:t>a</w:t>
      </w:r>
      <w:r w:rsidR="00C64050">
        <w:rPr>
          <w:color w:val="000000" w:themeColor="text1"/>
        </w:rPr>
        <w:t xml:space="preserve"> </w:t>
      </w:r>
      <w:r w:rsidRPr="006B1CE0">
        <w:rPr>
          <w:color w:val="000000" w:themeColor="text1"/>
        </w:rPr>
        <w:t>child</w:t>
      </w:r>
      <w:r w:rsidR="00C64050">
        <w:rPr>
          <w:color w:val="000000" w:themeColor="text1"/>
        </w:rPr>
        <w:t xml:space="preserve"> </w:t>
      </w:r>
      <w:r w:rsidRPr="006B1CE0">
        <w:rPr>
          <w:color w:val="000000" w:themeColor="text1"/>
        </w:rPr>
        <w:t>support</w:t>
      </w:r>
      <w:r w:rsidR="00C64050">
        <w:rPr>
          <w:color w:val="000000" w:themeColor="text1"/>
        </w:rPr>
        <w:t xml:space="preserve"> </w:t>
      </w:r>
      <w:r w:rsidRPr="006B1CE0">
        <w:rPr>
          <w:color w:val="000000" w:themeColor="text1"/>
        </w:rPr>
        <w:t>creditor</w:t>
      </w:r>
      <w:r w:rsidR="00C64050">
        <w:rPr>
          <w:color w:val="000000" w:themeColor="text1"/>
        </w:rPr>
        <w:t xml:space="preserve"> </w:t>
      </w:r>
      <w:r w:rsidRPr="006B1CE0">
        <w:rPr>
          <w:color w:val="000000" w:themeColor="text1"/>
        </w:rPr>
        <w:t>to</w:t>
      </w:r>
      <w:r w:rsidR="00C64050">
        <w:rPr>
          <w:color w:val="000000" w:themeColor="text1"/>
        </w:rPr>
        <w:t xml:space="preserve"> </w:t>
      </w:r>
      <w:r w:rsidRPr="006B1CE0">
        <w:rPr>
          <w:color w:val="000000" w:themeColor="text1"/>
        </w:rPr>
        <w:t>reach</w:t>
      </w:r>
      <w:r w:rsidR="00C64050">
        <w:rPr>
          <w:color w:val="000000" w:themeColor="text1"/>
        </w:rPr>
        <w:t xml:space="preserve"> </w:t>
      </w:r>
      <w:r w:rsidRPr="006B1CE0">
        <w:rPr>
          <w:color w:val="000000" w:themeColor="text1"/>
        </w:rPr>
        <w:t>trust</w:t>
      </w:r>
      <w:r w:rsidR="00C64050">
        <w:rPr>
          <w:color w:val="000000" w:themeColor="text1"/>
        </w:rPr>
        <w:t xml:space="preserve"> </w:t>
      </w:r>
      <w:r w:rsidRPr="006B1CE0">
        <w:rPr>
          <w:color w:val="000000" w:themeColor="text1"/>
        </w:rPr>
        <w:t>funds</w:t>
      </w:r>
      <w:r w:rsidR="00C64050">
        <w:rPr>
          <w:color w:val="000000" w:themeColor="text1"/>
        </w:rPr>
        <w:t xml:space="preserve"> </w:t>
      </w:r>
      <w:r w:rsidRPr="006B1CE0">
        <w:rPr>
          <w:color w:val="000000" w:themeColor="text1"/>
        </w:rPr>
        <w:t>protected</w:t>
      </w:r>
      <w:r w:rsidR="00C64050">
        <w:rPr>
          <w:color w:val="000000" w:themeColor="text1"/>
        </w:rPr>
        <w:t xml:space="preserve"> </w:t>
      </w:r>
      <w:r w:rsidRPr="006B1CE0">
        <w:rPr>
          <w:color w:val="000000" w:themeColor="text1"/>
        </w:rPr>
        <w:t>by</w:t>
      </w:r>
      <w:r w:rsidR="00C64050">
        <w:rPr>
          <w:color w:val="000000" w:themeColor="text1"/>
        </w:rPr>
        <w:t xml:space="preserve"> </w:t>
      </w:r>
      <w:r w:rsidRPr="006B1CE0">
        <w:rPr>
          <w:color w:val="000000" w:themeColor="text1"/>
        </w:rPr>
        <w:t>a</w:t>
      </w:r>
      <w:r w:rsidR="00C64050">
        <w:rPr>
          <w:color w:val="000000" w:themeColor="text1"/>
        </w:rPr>
        <w:t xml:space="preserve"> </w:t>
      </w:r>
      <w:r w:rsidRPr="006B1CE0">
        <w:rPr>
          <w:color w:val="000000" w:themeColor="text1"/>
        </w:rPr>
        <w:t>spendthrift</w:t>
      </w:r>
      <w:r w:rsidR="00C64050">
        <w:rPr>
          <w:color w:val="000000" w:themeColor="text1"/>
        </w:rPr>
        <w:t xml:space="preserve"> </w:t>
      </w:r>
      <w:r w:rsidRPr="006B1CE0">
        <w:rPr>
          <w:color w:val="000000" w:themeColor="text1"/>
        </w:rPr>
        <w:t>provision.</w:t>
      </w:r>
      <w:r w:rsidR="00C64050">
        <w:rPr>
          <w:color w:val="000000" w:themeColor="text1"/>
        </w:rPr>
        <w:t xml:space="preserve"> </w:t>
      </w:r>
      <w:r w:rsidRPr="006B1CE0">
        <w:rPr>
          <w:color w:val="000000" w:themeColor="text1"/>
        </w:rPr>
        <w:t>Indeed,</w:t>
      </w:r>
      <w:r w:rsidR="00C64050">
        <w:rPr>
          <w:color w:val="000000" w:themeColor="text1"/>
        </w:rPr>
        <w:t xml:space="preserve"> </w:t>
      </w:r>
      <w:r w:rsidRPr="006B1CE0">
        <w:rPr>
          <w:color w:val="000000" w:themeColor="text1"/>
        </w:rPr>
        <w:t>this</w:t>
      </w:r>
      <w:r w:rsidR="00C64050">
        <w:rPr>
          <w:color w:val="000000" w:themeColor="text1"/>
        </w:rPr>
        <w:t xml:space="preserve"> </w:t>
      </w:r>
      <w:r w:rsidRPr="006B1CE0">
        <w:rPr>
          <w:color w:val="000000" w:themeColor="text1"/>
        </w:rPr>
        <w:t>precise</w:t>
      </w:r>
      <w:r w:rsidR="00C64050">
        <w:rPr>
          <w:color w:val="000000" w:themeColor="text1"/>
        </w:rPr>
        <w:t xml:space="preserve"> </w:t>
      </w:r>
      <w:r w:rsidRPr="006B1CE0">
        <w:rPr>
          <w:color w:val="000000" w:themeColor="text1"/>
        </w:rPr>
        <w:t>legal</w:t>
      </w:r>
      <w:r w:rsidR="00C64050">
        <w:rPr>
          <w:color w:val="000000" w:themeColor="text1"/>
        </w:rPr>
        <w:t xml:space="preserve"> </w:t>
      </w:r>
      <w:r w:rsidRPr="006B1CE0">
        <w:rPr>
          <w:color w:val="000000" w:themeColor="text1"/>
        </w:rPr>
        <w:t>theory</w:t>
      </w:r>
      <w:r w:rsidR="00C64050">
        <w:rPr>
          <w:color w:val="000000" w:themeColor="text1"/>
        </w:rPr>
        <w:t xml:space="preserve"> </w:t>
      </w:r>
      <w:r w:rsidRPr="006B1CE0">
        <w:rPr>
          <w:color w:val="000000" w:themeColor="text1"/>
        </w:rPr>
        <w:t>is</w:t>
      </w:r>
      <w:r w:rsidR="00C64050">
        <w:rPr>
          <w:color w:val="000000" w:themeColor="text1"/>
        </w:rPr>
        <w:t xml:space="preserve"> </w:t>
      </w:r>
      <w:r w:rsidRPr="006B1CE0">
        <w:rPr>
          <w:color w:val="000000" w:themeColor="text1"/>
        </w:rPr>
        <w:t>identified</w:t>
      </w:r>
      <w:r w:rsidR="00C64050">
        <w:rPr>
          <w:color w:val="000000" w:themeColor="text1"/>
        </w:rPr>
        <w:t xml:space="preserve"> </w:t>
      </w:r>
      <w:r w:rsidRPr="006B1CE0">
        <w:rPr>
          <w:color w:val="000000" w:themeColor="text1"/>
        </w:rPr>
        <w:t>in</w:t>
      </w:r>
      <w:r w:rsidR="00C64050">
        <w:rPr>
          <w:color w:val="000000" w:themeColor="text1"/>
        </w:rPr>
        <w:t xml:space="preserve"> </w:t>
      </w:r>
      <w:r w:rsidRPr="006B1CE0">
        <w:rPr>
          <w:color w:val="000000" w:themeColor="text1"/>
        </w:rPr>
        <w:t>§</w:t>
      </w:r>
      <w:r w:rsidR="00C64050">
        <w:rPr>
          <w:color w:val="000000" w:themeColor="text1"/>
        </w:rPr>
        <w:t xml:space="preserve"> </w:t>
      </w:r>
      <w:r w:rsidRPr="006B1CE0">
        <w:rPr>
          <w:color w:val="000000" w:themeColor="text1"/>
        </w:rPr>
        <w:t>59</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Restatement</w:t>
      </w:r>
      <w:r w:rsidR="00C64050">
        <w:rPr>
          <w:color w:val="000000" w:themeColor="text1"/>
        </w:rPr>
        <w:t xml:space="preserve"> </w:t>
      </w:r>
      <w:r w:rsidRPr="006B1CE0">
        <w:rPr>
          <w:color w:val="000000" w:themeColor="text1"/>
        </w:rPr>
        <w:t>(Third)</w:t>
      </w:r>
      <w:r w:rsidR="00C64050">
        <w:rPr>
          <w:color w:val="000000" w:themeColor="text1"/>
        </w:rPr>
        <w:t xml:space="preserve"> </w:t>
      </w:r>
      <w:r w:rsidRPr="006B1CE0">
        <w:rPr>
          <w:color w:val="000000" w:themeColor="text1"/>
        </w:rPr>
        <w:t>Trusts</w:t>
      </w:r>
      <w:r w:rsidR="00C64050">
        <w:rPr>
          <w:color w:val="000000" w:themeColor="text1"/>
        </w:rPr>
        <w:t xml:space="preserve"> </w:t>
      </w:r>
      <w:r w:rsidRPr="006B1CE0">
        <w:rPr>
          <w:color w:val="000000" w:themeColor="text1"/>
        </w:rPr>
        <w:t>(2003)</w:t>
      </w:r>
      <w:r w:rsidR="00C64050">
        <w:rPr>
          <w:color w:val="000000" w:themeColor="text1"/>
        </w:rPr>
        <w:t xml:space="preserve"> </w:t>
      </w:r>
      <w:r w:rsidRPr="006B1CE0">
        <w:rPr>
          <w:color w:val="000000" w:themeColor="text1"/>
        </w:rPr>
        <w:t>which</w:t>
      </w:r>
      <w:r w:rsidR="00C64050">
        <w:rPr>
          <w:color w:val="000000" w:themeColor="text1"/>
        </w:rPr>
        <w:t xml:space="preserve"> </w:t>
      </w:r>
      <w:r w:rsidRPr="006B1CE0">
        <w:rPr>
          <w:color w:val="000000" w:themeColor="text1"/>
        </w:rPr>
        <w:t>states</w:t>
      </w:r>
      <w:r w:rsidR="00C64050">
        <w:rPr>
          <w:color w:val="000000" w:themeColor="text1"/>
        </w:rPr>
        <w:t xml:space="preserve"> </w:t>
      </w:r>
      <w:r w:rsidRPr="006B1CE0">
        <w:rPr>
          <w:color w:val="000000" w:themeColor="text1"/>
        </w:rPr>
        <w:t>that</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interest</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a</w:t>
      </w:r>
      <w:r w:rsidR="00C64050">
        <w:rPr>
          <w:color w:val="000000" w:themeColor="text1"/>
        </w:rPr>
        <w:t xml:space="preserve"> </w:t>
      </w:r>
      <w:r w:rsidRPr="006B1CE0">
        <w:rPr>
          <w:color w:val="000000" w:themeColor="text1"/>
        </w:rPr>
        <w:t>beneficiary</w:t>
      </w:r>
      <w:r w:rsidR="00C64050">
        <w:rPr>
          <w:color w:val="000000" w:themeColor="text1"/>
        </w:rPr>
        <w:t xml:space="preserve"> </w:t>
      </w:r>
      <w:r w:rsidRPr="006B1CE0">
        <w:rPr>
          <w:color w:val="000000" w:themeColor="text1"/>
        </w:rPr>
        <w:t>in</w:t>
      </w:r>
      <w:r w:rsidR="00C64050">
        <w:rPr>
          <w:color w:val="000000" w:themeColor="text1"/>
        </w:rPr>
        <w:t xml:space="preserve"> </w:t>
      </w:r>
      <w:r w:rsidRPr="006B1CE0">
        <w:rPr>
          <w:color w:val="000000" w:themeColor="text1"/>
        </w:rPr>
        <w:t>a</w:t>
      </w:r>
      <w:r w:rsidR="00C64050">
        <w:rPr>
          <w:color w:val="000000" w:themeColor="text1"/>
        </w:rPr>
        <w:t xml:space="preserve"> </w:t>
      </w:r>
      <w:r w:rsidRPr="006B1CE0">
        <w:rPr>
          <w:color w:val="000000" w:themeColor="text1"/>
        </w:rPr>
        <w:t>valid</w:t>
      </w:r>
      <w:r w:rsidR="00C64050">
        <w:rPr>
          <w:color w:val="000000" w:themeColor="text1"/>
        </w:rPr>
        <w:t xml:space="preserve"> </w:t>
      </w:r>
      <w:r w:rsidRPr="006B1CE0">
        <w:rPr>
          <w:color w:val="000000" w:themeColor="text1"/>
        </w:rPr>
        <w:t>spendthrift</w:t>
      </w:r>
      <w:r w:rsidR="00C64050">
        <w:rPr>
          <w:color w:val="000000" w:themeColor="text1"/>
        </w:rPr>
        <w:t xml:space="preserve"> </w:t>
      </w:r>
      <w:r w:rsidRPr="006B1CE0">
        <w:rPr>
          <w:color w:val="000000" w:themeColor="text1"/>
        </w:rPr>
        <w:t>trust</w:t>
      </w:r>
      <w:r w:rsidR="00C64050">
        <w:rPr>
          <w:color w:val="000000" w:themeColor="text1"/>
        </w:rPr>
        <w:t xml:space="preserve"> </w:t>
      </w:r>
      <w:r w:rsidRPr="006B1CE0">
        <w:rPr>
          <w:color w:val="000000" w:themeColor="text1"/>
        </w:rPr>
        <w:t>can</w:t>
      </w:r>
      <w:r w:rsidR="00C64050">
        <w:rPr>
          <w:color w:val="000000" w:themeColor="text1"/>
        </w:rPr>
        <w:t xml:space="preserve"> </w:t>
      </w:r>
      <w:r w:rsidRPr="006B1CE0">
        <w:rPr>
          <w:color w:val="000000" w:themeColor="text1"/>
        </w:rPr>
        <w:t>be</w:t>
      </w:r>
      <w:r w:rsidR="00C64050">
        <w:rPr>
          <w:color w:val="000000" w:themeColor="text1"/>
        </w:rPr>
        <w:t xml:space="preserve"> </w:t>
      </w:r>
      <w:r w:rsidRPr="006B1CE0">
        <w:rPr>
          <w:color w:val="000000" w:themeColor="text1"/>
        </w:rPr>
        <w:t>reached</w:t>
      </w:r>
      <w:r w:rsidR="00C64050">
        <w:rPr>
          <w:color w:val="000000" w:themeColor="text1"/>
        </w:rPr>
        <w:t xml:space="preserve"> </w:t>
      </w:r>
      <w:r w:rsidRPr="006B1CE0">
        <w:rPr>
          <w:color w:val="000000" w:themeColor="text1"/>
        </w:rPr>
        <w:t>in</w:t>
      </w:r>
      <w:r w:rsidR="00C64050">
        <w:rPr>
          <w:color w:val="000000" w:themeColor="text1"/>
        </w:rPr>
        <w:t xml:space="preserve"> </w:t>
      </w:r>
      <w:r w:rsidRPr="006B1CE0">
        <w:rPr>
          <w:color w:val="000000" w:themeColor="text1"/>
        </w:rPr>
        <w:t>satisfaction</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an</w:t>
      </w:r>
      <w:r w:rsidR="00C64050">
        <w:rPr>
          <w:color w:val="000000" w:themeColor="text1"/>
        </w:rPr>
        <w:t xml:space="preserve"> </w:t>
      </w:r>
      <w:r w:rsidRPr="006B1CE0">
        <w:rPr>
          <w:color w:val="000000" w:themeColor="text1"/>
        </w:rPr>
        <w:t>enforceable</w:t>
      </w:r>
      <w:r w:rsidR="00C64050">
        <w:rPr>
          <w:color w:val="000000" w:themeColor="text1"/>
        </w:rPr>
        <w:t xml:space="preserve"> </w:t>
      </w:r>
      <w:r w:rsidRPr="006B1CE0">
        <w:rPr>
          <w:color w:val="000000" w:themeColor="text1"/>
        </w:rPr>
        <w:t>claim</w:t>
      </w:r>
      <w:r w:rsidR="00C64050">
        <w:rPr>
          <w:color w:val="000000" w:themeColor="text1"/>
        </w:rPr>
        <w:t xml:space="preserve"> </w:t>
      </w:r>
      <w:r w:rsidRPr="006B1CE0">
        <w:rPr>
          <w:color w:val="000000" w:themeColor="text1"/>
        </w:rPr>
        <w:t>against</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beneficiary</w:t>
      </w:r>
      <w:r w:rsidR="00C64050">
        <w:rPr>
          <w:color w:val="000000" w:themeColor="text1"/>
        </w:rPr>
        <w:t xml:space="preserve"> </w:t>
      </w:r>
      <w:r w:rsidRPr="006B1CE0">
        <w:rPr>
          <w:color w:val="000000" w:themeColor="text1"/>
        </w:rPr>
        <w:t>for</w:t>
      </w:r>
      <w:r w:rsidR="00C64050">
        <w:rPr>
          <w:color w:val="000000" w:themeColor="text1"/>
        </w:rPr>
        <w:t xml:space="preserve"> </w:t>
      </w:r>
      <w:r w:rsidRPr="006B1CE0">
        <w:rPr>
          <w:color w:val="000000" w:themeColor="text1"/>
        </w:rPr>
        <w:t>...</w:t>
      </w:r>
      <w:r w:rsidR="00C64050">
        <w:rPr>
          <w:color w:val="000000" w:themeColor="text1"/>
        </w:rPr>
        <w:t xml:space="preserve"> </w:t>
      </w:r>
      <w:r w:rsidRPr="006B1CE0">
        <w:rPr>
          <w:color w:val="000000" w:themeColor="text1"/>
        </w:rPr>
        <w:t>support</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a</w:t>
      </w:r>
      <w:r w:rsidR="00C64050">
        <w:rPr>
          <w:color w:val="000000" w:themeColor="text1"/>
        </w:rPr>
        <w:t xml:space="preserve"> </w:t>
      </w:r>
      <w:r w:rsidRPr="006B1CE0">
        <w:rPr>
          <w:color w:val="000000" w:themeColor="text1"/>
        </w:rPr>
        <w:t>child</w:t>
      </w:r>
      <w:r w:rsidR="00C64050">
        <w:rPr>
          <w:color w:val="000000" w:themeColor="text1"/>
        </w:rPr>
        <w:t xml:space="preserve"> </w:t>
      </w:r>
      <w:r w:rsidRPr="006B1CE0">
        <w:rPr>
          <w:color w:val="000000" w:themeColor="text1"/>
        </w:rPr>
        <w:t>....”</w:t>
      </w:r>
      <w:r w:rsidR="00C64050">
        <w:rPr>
          <w:color w:val="000000" w:themeColor="text1"/>
        </w:rPr>
        <w:t xml:space="preserve"> </w:t>
      </w:r>
      <w:r w:rsidRPr="006B1CE0">
        <w:rPr>
          <w:color w:val="000000" w:themeColor="text1"/>
        </w:rPr>
        <w:t>However,</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Legislature</w:t>
      </w:r>
      <w:r w:rsidR="00C64050">
        <w:rPr>
          <w:color w:val="000000" w:themeColor="text1"/>
        </w:rPr>
        <w:t xml:space="preserve"> </w:t>
      </w:r>
      <w:r w:rsidRPr="006B1CE0">
        <w:rPr>
          <w:color w:val="000000" w:themeColor="text1"/>
        </w:rPr>
        <w:t>anticipated</w:t>
      </w:r>
      <w:r w:rsidR="00C64050">
        <w:rPr>
          <w:color w:val="000000" w:themeColor="text1"/>
        </w:rPr>
        <w:t xml:space="preserve"> </w:t>
      </w:r>
      <w:r w:rsidRPr="006B1CE0">
        <w:rPr>
          <w:color w:val="000000" w:themeColor="text1"/>
        </w:rPr>
        <w:t>such</w:t>
      </w:r>
      <w:r w:rsidR="00C64050">
        <w:rPr>
          <w:color w:val="000000" w:themeColor="text1"/>
        </w:rPr>
        <w:t xml:space="preserve"> </w:t>
      </w:r>
      <w:r w:rsidRPr="006B1CE0">
        <w:rPr>
          <w:color w:val="000000" w:themeColor="text1"/>
        </w:rPr>
        <w:t>an</w:t>
      </w:r>
      <w:r w:rsidR="00C64050">
        <w:rPr>
          <w:color w:val="000000" w:themeColor="text1"/>
        </w:rPr>
        <w:t xml:space="preserve"> </w:t>
      </w:r>
      <w:r w:rsidRPr="006B1CE0">
        <w:rPr>
          <w:color w:val="000000" w:themeColor="text1"/>
        </w:rPr>
        <w:t>argument</w:t>
      </w:r>
      <w:r w:rsidR="00C64050">
        <w:rPr>
          <w:color w:val="000000" w:themeColor="text1"/>
        </w:rPr>
        <w:t xml:space="preserve"> </w:t>
      </w:r>
      <w:r w:rsidRPr="006B1CE0">
        <w:rPr>
          <w:color w:val="000000" w:themeColor="text1"/>
        </w:rPr>
        <w:t>in</w:t>
      </w:r>
      <w:r w:rsidR="00C64050">
        <w:rPr>
          <w:color w:val="000000" w:themeColor="text1"/>
        </w:rPr>
        <w:t xml:space="preserve"> </w:t>
      </w:r>
      <w:r w:rsidRPr="006B1CE0">
        <w:rPr>
          <w:color w:val="000000" w:themeColor="text1"/>
        </w:rPr>
        <w:t>South</w:t>
      </w:r>
      <w:r w:rsidR="00C64050">
        <w:rPr>
          <w:color w:val="000000" w:themeColor="text1"/>
        </w:rPr>
        <w:t xml:space="preserve"> </w:t>
      </w:r>
      <w:r w:rsidRPr="006B1CE0">
        <w:rPr>
          <w:color w:val="000000" w:themeColor="text1"/>
        </w:rPr>
        <w:t>Dakota</w:t>
      </w:r>
      <w:r w:rsidR="00C64050">
        <w:rPr>
          <w:color w:val="000000" w:themeColor="text1"/>
        </w:rPr>
        <w:t xml:space="preserve"> </w:t>
      </w:r>
      <w:r w:rsidRPr="006B1CE0">
        <w:rPr>
          <w:color w:val="000000" w:themeColor="text1"/>
        </w:rPr>
        <w:t>courts</w:t>
      </w:r>
      <w:r w:rsidR="00C64050">
        <w:rPr>
          <w:color w:val="000000" w:themeColor="text1"/>
        </w:rPr>
        <w:t xml:space="preserve"> </w:t>
      </w:r>
      <w:r w:rsidRPr="006B1CE0">
        <w:rPr>
          <w:color w:val="000000" w:themeColor="text1"/>
        </w:rPr>
        <w:t>and</w:t>
      </w:r>
      <w:r w:rsidR="00C64050">
        <w:rPr>
          <w:color w:val="000000" w:themeColor="text1"/>
        </w:rPr>
        <w:t xml:space="preserve"> </w:t>
      </w:r>
      <w:r w:rsidRPr="006B1CE0">
        <w:rPr>
          <w:color w:val="000000" w:themeColor="text1"/>
        </w:rPr>
        <w:t>definitively</w:t>
      </w:r>
      <w:r w:rsidR="00C64050">
        <w:rPr>
          <w:color w:val="000000" w:themeColor="text1"/>
        </w:rPr>
        <w:t xml:space="preserve"> </w:t>
      </w:r>
      <w:r w:rsidRPr="006B1CE0">
        <w:rPr>
          <w:color w:val="000000" w:themeColor="text1"/>
        </w:rPr>
        <w:t>foreclosed</w:t>
      </w:r>
      <w:r w:rsidR="00C64050">
        <w:rPr>
          <w:color w:val="000000" w:themeColor="text1"/>
        </w:rPr>
        <w:t xml:space="preserve"> </w:t>
      </w:r>
      <w:r w:rsidRPr="006B1CE0">
        <w:rPr>
          <w:color w:val="000000" w:themeColor="text1"/>
        </w:rPr>
        <w:t>it</w:t>
      </w:r>
      <w:r w:rsidR="00C64050">
        <w:rPr>
          <w:color w:val="000000" w:themeColor="text1"/>
        </w:rPr>
        <w:t xml:space="preserve"> </w:t>
      </w:r>
      <w:r w:rsidRPr="006B1CE0">
        <w:rPr>
          <w:color w:val="000000" w:themeColor="text1"/>
        </w:rPr>
        <w:t>with</w:t>
      </w:r>
      <w:r w:rsidR="00C64050">
        <w:rPr>
          <w:color w:val="000000" w:themeColor="text1"/>
        </w:rPr>
        <w:t xml:space="preserve"> </w:t>
      </w:r>
      <w:r w:rsidRPr="006B1CE0">
        <w:rPr>
          <w:color w:val="000000" w:themeColor="text1"/>
        </w:rPr>
        <w:t>its</w:t>
      </w:r>
      <w:r w:rsidR="00C64050">
        <w:rPr>
          <w:color w:val="000000" w:themeColor="text1"/>
        </w:rPr>
        <w:t xml:space="preserve"> </w:t>
      </w:r>
      <w:r w:rsidRPr="006B1CE0">
        <w:rPr>
          <w:color w:val="000000" w:themeColor="text1"/>
        </w:rPr>
        <w:t>2007</w:t>
      </w:r>
      <w:r w:rsidR="00C64050">
        <w:rPr>
          <w:color w:val="000000" w:themeColor="text1"/>
        </w:rPr>
        <w:t xml:space="preserve"> </w:t>
      </w:r>
      <w:r w:rsidRPr="006B1CE0">
        <w:rPr>
          <w:color w:val="000000" w:themeColor="text1"/>
        </w:rPr>
        <w:t>enactment</w:t>
      </w:r>
      <w:r w:rsidR="00C64050">
        <w:rPr>
          <w:color w:val="000000" w:themeColor="text1"/>
        </w:rPr>
        <w:t xml:space="preserve"> </w:t>
      </w:r>
      <w:r w:rsidRPr="006B1CE0">
        <w:rPr>
          <w:color w:val="000000" w:themeColor="text1"/>
        </w:rPr>
        <w:t>of</w:t>
      </w:r>
      <w:r w:rsidR="00C64050">
        <w:rPr>
          <w:color w:val="000000" w:themeColor="text1"/>
        </w:rPr>
        <w:t xml:space="preserve"> </w:t>
      </w:r>
      <w:hyperlink r:id="rId404" w:history="1">
        <w:r w:rsidRPr="006B1CE0">
          <w:rPr>
            <w:color w:val="000000" w:themeColor="text1"/>
          </w:rPr>
          <w:t>SDCL</w:t>
        </w:r>
        <w:r w:rsidR="00C64050">
          <w:rPr>
            <w:color w:val="000000" w:themeColor="text1"/>
          </w:rPr>
          <w:t xml:space="preserve"> </w:t>
        </w:r>
        <w:r w:rsidRPr="006B1CE0">
          <w:rPr>
            <w:color w:val="000000" w:themeColor="text1"/>
          </w:rPr>
          <w:t>55-1-25</w:t>
        </w:r>
      </w:hyperlink>
      <w:r w:rsidR="00C64050">
        <w:rPr>
          <w:color w:val="000000" w:themeColor="text1"/>
        </w:rPr>
        <w:t xml:space="preserve"> </w:t>
      </w:r>
      <w:r w:rsidRPr="006B1CE0">
        <w:rPr>
          <w:color w:val="000000" w:themeColor="text1"/>
        </w:rPr>
        <w:t>which</w:t>
      </w:r>
      <w:r w:rsidR="00C64050">
        <w:rPr>
          <w:color w:val="000000" w:themeColor="text1"/>
        </w:rPr>
        <w:t xml:space="preserve"> </w:t>
      </w:r>
      <w:r w:rsidRPr="006B1CE0">
        <w:rPr>
          <w:color w:val="000000" w:themeColor="text1"/>
        </w:rPr>
        <w:t>provides</w:t>
      </w:r>
      <w:r w:rsidR="00C64050">
        <w:rPr>
          <w:color w:val="000000" w:themeColor="text1"/>
        </w:rPr>
        <w:t xml:space="preserve"> </w:t>
      </w:r>
      <w:r w:rsidRPr="006B1CE0">
        <w:rPr>
          <w:color w:val="000000" w:themeColor="text1"/>
        </w:rPr>
        <w:t>in</w:t>
      </w:r>
      <w:r w:rsidR="00C64050">
        <w:rPr>
          <w:color w:val="000000" w:themeColor="text1"/>
        </w:rPr>
        <w:t xml:space="preserve"> </w:t>
      </w:r>
      <w:r w:rsidRPr="006B1CE0">
        <w:rPr>
          <w:color w:val="000000" w:themeColor="text1"/>
        </w:rPr>
        <w:t>part:</w:t>
      </w:r>
    </w:p>
    <w:p w:rsidR="001B23CB" w:rsidRPr="006B1CE0" w:rsidRDefault="001B23CB" w:rsidP="006B1CE0">
      <w:pPr>
        <w:pStyle w:val="QS10"/>
        <w:rPr>
          <w:color w:val="000000" w:themeColor="text1"/>
        </w:rPr>
      </w:pPr>
      <w:r w:rsidRPr="006B1CE0">
        <w:rPr>
          <w:color w:val="000000" w:themeColor="text1"/>
        </w:rPr>
        <w:t>In</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area</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creditor</w:t>
      </w:r>
      <w:r w:rsidR="00C64050">
        <w:rPr>
          <w:color w:val="000000" w:themeColor="text1"/>
        </w:rPr>
        <w:t xml:space="preserve"> </w:t>
      </w:r>
      <w:r w:rsidRPr="006B1CE0">
        <w:rPr>
          <w:color w:val="000000" w:themeColor="text1"/>
        </w:rPr>
        <w:t>rights,</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Restatement</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Trusts</w:t>
      </w:r>
      <w:r w:rsidR="00C64050">
        <w:rPr>
          <w:color w:val="000000" w:themeColor="text1"/>
        </w:rPr>
        <w:t xml:space="preserve"> </w:t>
      </w:r>
      <w:r w:rsidRPr="006B1CE0">
        <w:rPr>
          <w:color w:val="000000" w:themeColor="text1"/>
        </w:rPr>
        <w:t>(Third)</w:t>
      </w:r>
      <w:r w:rsidR="00C64050">
        <w:rPr>
          <w:color w:val="000000" w:themeColor="text1"/>
        </w:rPr>
        <w:t xml:space="preserve"> </w:t>
      </w:r>
      <w:r w:rsidRPr="006B1CE0">
        <w:rPr>
          <w:color w:val="000000" w:themeColor="text1"/>
        </w:rPr>
        <w:t>and</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Uniform</w:t>
      </w:r>
      <w:r w:rsidR="00C64050">
        <w:rPr>
          <w:color w:val="000000" w:themeColor="text1"/>
        </w:rPr>
        <w:t xml:space="preserve"> </w:t>
      </w:r>
      <w:r w:rsidRPr="006B1CE0">
        <w:rPr>
          <w:color w:val="000000" w:themeColor="text1"/>
        </w:rPr>
        <w:t>Trust</w:t>
      </w:r>
      <w:r w:rsidR="00C64050">
        <w:rPr>
          <w:color w:val="000000" w:themeColor="text1"/>
        </w:rPr>
        <w:t xml:space="preserve"> </w:t>
      </w:r>
      <w:r w:rsidRPr="006B1CE0">
        <w:rPr>
          <w:color w:val="000000" w:themeColor="text1"/>
        </w:rPr>
        <w:t>Code</w:t>
      </w:r>
      <w:r w:rsidR="00C64050">
        <w:rPr>
          <w:color w:val="000000" w:themeColor="text1"/>
        </w:rPr>
        <w:t xml:space="preserve"> </w:t>
      </w:r>
      <w:r w:rsidRPr="006B1CE0">
        <w:rPr>
          <w:color w:val="000000" w:themeColor="text1"/>
        </w:rPr>
        <w:t>create</w:t>
      </w:r>
      <w:r w:rsidR="00C64050">
        <w:rPr>
          <w:color w:val="000000" w:themeColor="text1"/>
        </w:rPr>
        <w:t xml:space="preserve"> </w:t>
      </w:r>
      <w:r w:rsidRPr="006B1CE0">
        <w:rPr>
          <w:color w:val="000000" w:themeColor="text1"/>
        </w:rPr>
        <w:t>many</w:t>
      </w:r>
      <w:r w:rsidR="00C64050">
        <w:rPr>
          <w:color w:val="000000" w:themeColor="text1"/>
        </w:rPr>
        <w:t xml:space="preserve"> </w:t>
      </w:r>
      <w:r w:rsidRPr="006B1CE0">
        <w:rPr>
          <w:color w:val="000000" w:themeColor="text1"/>
        </w:rPr>
        <w:t>new</w:t>
      </w:r>
      <w:r w:rsidR="00C64050">
        <w:rPr>
          <w:color w:val="000000" w:themeColor="text1"/>
        </w:rPr>
        <w:t xml:space="preserve"> </w:t>
      </w:r>
      <w:r w:rsidRPr="006B1CE0">
        <w:rPr>
          <w:color w:val="000000" w:themeColor="text1"/>
        </w:rPr>
        <w:t>positions</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law</w:t>
      </w:r>
      <w:r w:rsidR="00C64050">
        <w:rPr>
          <w:color w:val="000000" w:themeColor="text1"/>
        </w:rPr>
        <w:t xml:space="preserve"> </w:t>
      </w:r>
      <w:r w:rsidRPr="006B1CE0">
        <w:rPr>
          <w:color w:val="000000" w:themeColor="text1"/>
        </w:rPr>
        <w:t>as</w:t>
      </w:r>
      <w:r w:rsidR="00C64050">
        <w:rPr>
          <w:color w:val="000000" w:themeColor="text1"/>
        </w:rPr>
        <w:t xml:space="preserve"> </w:t>
      </w:r>
      <w:r w:rsidRPr="006B1CE0">
        <w:rPr>
          <w:color w:val="000000" w:themeColor="text1"/>
        </w:rPr>
        <w:t>well</w:t>
      </w:r>
      <w:r w:rsidR="00C64050">
        <w:rPr>
          <w:color w:val="000000" w:themeColor="text1"/>
        </w:rPr>
        <w:t xml:space="preserve"> </w:t>
      </w:r>
      <w:r w:rsidRPr="006B1CE0">
        <w:rPr>
          <w:color w:val="000000" w:themeColor="text1"/>
        </w:rPr>
        <w:t>as</w:t>
      </w:r>
      <w:r w:rsidR="00C64050">
        <w:rPr>
          <w:color w:val="000000" w:themeColor="text1"/>
        </w:rPr>
        <w:t xml:space="preserve"> </w:t>
      </w:r>
      <w:r w:rsidRPr="006B1CE0">
        <w:rPr>
          <w:color w:val="000000" w:themeColor="text1"/>
        </w:rPr>
        <w:t>adopts</w:t>
      </w:r>
      <w:r w:rsidR="00C64050">
        <w:rPr>
          <w:color w:val="000000" w:themeColor="text1"/>
        </w:rPr>
        <w:t xml:space="preserve"> </w:t>
      </w:r>
      <w:r w:rsidRPr="006B1CE0">
        <w:rPr>
          <w:color w:val="000000" w:themeColor="text1"/>
        </w:rPr>
        <w:t>many</w:t>
      </w:r>
      <w:r w:rsidR="00C64050">
        <w:rPr>
          <w:color w:val="000000" w:themeColor="text1"/>
        </w:rPr>
        <w:t xml:space="preserve"> </w:t>
      </w:r>
      <w:r w:rsidRPr="006B1CE0">
        <w:rPr>
          <w:color w:val="000000" w:themeColor="text1"/>
        </w:rPr>
        <w:t>minority</w:t>
      </w:r>
      <w:r w:rsidR="00C64050">
        <w:rPr>
          <w:color w:val="000000" w:themeColor="text1"/>
        </w:rPr>
        <w:t xml:space="preserve"> </w:t>
      </w:r>
      <w:r w:rsidRPr="006B1CE0">
        <w:rPr>
          <w:color w:val="000000" w:themeColor="text1"/>
        </w:rPr>
        <w:t>positions</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law.</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provisions</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w:t>
      </w:r>
      <w:r w:rsidR="00C64050">
        <w:rPr>
          <w:color w:val="000000" w:themeColor="text1"/>
        </w:rPr>
        <w:t xml:space="preserve"> </w:t>
      </w:r>
      <w:r w:rsidRPr="006B1CE0">
        <w:rPr>
          <w:color w:val="000000" w:themeColor="text1"/>
        </w:rPr>
        <w:t>55-1-24</w:t>
      </w:r>
      <w:r w:rsidR="00C64050">
        <w:rPr>
          <w:color w:val="000000" w:themeColor="text1"/>
        </w:rPr>
        <w:t xml:space="preserve"> </w:t>
      </w:r>
      <w:r w:rsidRPr="006B1CE0">
        <w:rPr>
          <w:color w:val="000000" w:themeColor="text1"/>
        </w:rPr>
        <w:t>to</w:t>
      </w:r>
      <w:r w:rsidR="00C64050">
        <w:rPr>
          <w:color w:val="000000" w:themeColor="text1"/>
        </w:rPr>
        <w:t xml:space="preserve"> </w:t>
      </w:r>
      <w:r w:rsidRPr="006B1CE0">
        <w:rPr>
          <w:color w:val="000000" w:themeColor="text1"/>
        </w:rPr>
        <w:t>55-1-43,</w:t>
      </w:r>
      <w:r w:rsidR="00C64050">
        <w:rPr>
          <w:color w:val="000000" w:themeColor="text1"/>
        </w:rPr>
        <w:t xml:space="preserve"> </w:t>
      </w:r>
      <w:r w:rsidRPr="006B1CE0">
        <w:rPr>
          <w:color w:val="000000" w:themeColor="text1"/>
        </w:rPr>
        <w:t>inclusive,</w:t>
      </w:r>
      <w:r w:rsidR="00C64050">
        <w:rPr>
          <w:color w:val="000000" w:themeColor="text1"/>
        </w:rPr>
        <w:t xml:space="preserve"> </w:t>
      </w:r>
      <w:r w:rsidRPr="006B1CE0">
        <w:rPr>
          <w:color w:val="000000" w:themeColor="text1"/>
        </w:rPr>
        <w:t>affirmatively</w:t>
      </w:r>
      <w:r w:rsidR="00C64050">
        <w:rPr>
          <w:color w:val="000000" w:themeColor="text1"/>
        </w:rPr>
        <w:t xml:space="preserve"> </w:t>
      </w:r>
      <w:r w:rsidRPr="006B1CE0">
        <w:rPr>
          <w:color w:val="000000" w:themeColor="text1"/>
        </w:rPr>
        <w:t>reject</w:t>
      </w:r>
      <w:r w:rsidR="00C64050">
        <w:rPr>
          <w:color w:val="000000" w:themeColor="text1"/>
        </w:rPr>
        <w:t xml:space="preserve"> </w:t>
      </w:r>
      <w:r w:rsidRPr="006B1CE0">
        <w:rPr>
          <w:color w:val="000000" w:themeColor="text1"/>
        </w:rPr>
        <w:t>many</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these</w:t>
      </w:r>
      <w:r w:rsidR="00C64050">
        <w:rPr>
          <w:color w:val="000000" w:themeColor="text1"/>
        </w:rPr>
        <w:t xml:space="preserve"> </w:t>
      </w:r>
      <w:r w:rsidRPr="006B1CE0">
        <w:rPr>
          <w:color w:val="000000" w:themeColor="text1"/>
        </w:rPr>
        <w:t>positions.</w:t>
      </w:r>
      <w:r w:rsidR="00C64050">
        <w:rPr>
          <w:color w:val="000000" w:themeColor="text1"/>
        </w:rPr>
        <w:t xml:space="preserve"> </w:t>
      </w:r>
      <w:r w:rsidRPr="006B1CE0">
        <w:rPr>
          <w:i/>
          <w:iCs/>
          <w:color w:val="000000" w:themeColor="text1"/>
        </w:rPr>
        <w:t>Therefore,</w:t>
      </w:r>
      <w:r w:rsidR="00C64050">
        <w:rPr>
          <w:i/>
          <w:iCs/>
          <w:color w:val="000000" w:themeColor="text1"/>
        </w:rPr>
        <w:t xml:space="preserve"> </w:t>
      </w:r>
      <w:r w:rsidRPr="006B1CE0">
        <w:rPr>
          <w:i/>
          <w:iCs/>
          <w:color w:val="000000" w:themeColor="text1"/>
        </w:rPr>
        <w:t>the</w:t>
      </w:r>
      <w:r w:rsidR="00C64050">
        <w:rPr>
          <w:i/>
          <w:iCs/>
          <w:color w:val="000000" w:themeColor="text1"/>
        </w:rPr>
        <w:t xml:space="preserve"> </w:t>
      </w:r>
      <w:r w:rsidRPr="006B1CE0">
        <w:rPr>
          <w:i/>
          <w:iCs/>
          <w:color w:val="000000" w:themeColor="text1"/>
        </w:rPr>
        <w:t>Legislature</w:t>
      </w:r>
      <w:r w:rsidR="00C64050">
        <w:rPr>
          <w:i/>
          <w:iCs/>
          <w:color w:val="000000" w:themeColor="text1"/>
        </w:rPr>
        <w:t xml:space="preserve"> </w:t>
      </w:r>
      <w:r w:rsidRPr="006B1CE0">
        <w:rPr>
          <w:i/>
          <w:iCs/>
          <w:color w:val="000000" w:themeColor="text1"/>
        </w:rPr>
        <w:t>does</w:t>
      </w:r>
      <w:r w:rsidR="00C64050">
        <w:rPr>
          <w:i/>
          <w:iCs/>
          <w:color w:val="000000" w:themeColor="text1"/>
        </w:rPr>
        <w:t xml:space="preserve"> </w:t>
      </w:r>
      <w:r w:rsidRPr="006B1CE0">
        <w:rPr>
          <w:i/>
          <w:iCs/>
          <w:color w:val="000000" w:themeColor="text1"/>
        </w:rPr>
        <w:t>not</w:t>
      </w:r>
      <w:r w:rsidR="00C64050">
        <w:rPr>
          <w:i/>
          <w:iCs/>
          <w:color w:val="000000" w:themeColor="text1"/>
        </w:rPr>
        <w:t xml:space="preserve"> </w:t>
      </w:r>
      <w:r w:rsidRPr="006B1CE0">
        <w:rPr>
          <w:i/>
          <w:iCs/>
          <w:color w:val="000000" w:themeColor="text1"/>
        </w:rPr>
        <w:t>intend</w:t>
      </w:r>
      <w:r w:rsidR="00C64050">
        <w:rPr>
          <w:i/>
          <w:iCs/>
          <w:color w:val="000000" w:themeColor="text1"/>
        </w:rPr>
        <w:t xml:space="preserve"> </w:t>
      </w:r>
      <w:r w:rsidRPr="006B1CE0">
        <w:rPr>
          <w:i/>
          <w:iCs/>
          <w:color w:val="000000" w:themeColor="text1"/>
        </w:rPr>
        <w:t>the</w:t>
      </w:r>
      <w:r w:rsidR="00C64050">
        <w:rPr>
          <w:i/>
          <w:iCs/>
          <w:color w:val="000000" w:themeColor="text1"/>
        </w:rPr>
        <w:t xml:space="preserve"> </w:t>
      </w:r>
      <w:r w:rsidRPr="006B1CE0">
        <w:rPr>
          <w:i/>
          <w:iCs/>
          <w:color w:val="000000" w:themeColor="text1"/>
        </w:rPr>
        <w:t>courts</w:t>
      </w:r>
      <w:r w:rsidR="00C64050">
        <w:rPr>
          <w:i/>
          <w:iCs/>
          <w:color w:val="000000" w:themeColor="text1"/>
        </w:rPr>
        <w:t xml:space="preserve"> </w:t>
      </w:r>
      <w:r w:rsidRPr="006B1CE0">
        <w:rPr>
          <w:i/>
          <w:iCs/>
          <w:color w:val="000000" w:themeColor="text1"/>
        </w:rPr>
        <w:t>to</w:t>
      </w:r>
      <w:r w:rsidR="00C64050">
        <w:rPr>
          <w:i/>
          <w:iCs/>
          <w:color w:val="000000" w:themeColor="text1"/>
        </w:rPr>
        <w:t xml:space="preserve"> </w:t>
      </w:r>
      <w:r w:rsidRPr="006B1CE0">
        <w:rPr>
          <w:i/>
          <w:iCs/>
          <w:color w:val="000000" w:themeColor="text1"/>
        </w:rPr>
        <w:t>consult</w:t>
      </w:r>
      <w:r w:rsidR="00C64050">
        <w:rPr>
          <w:i/>
          <w:iCs/>
          <w:color w:val="000000" w:themeColor="text1"/>
        </w:rPr>
        <w:t xml:space="preserve"> </w:t>
      </w:r>
      <w:r w:rsidRPr="006B1CE0">
        <w:rPr>
          <w:i/>
          <w:iCs/>
          <w:color w:val="000000" w:themeColor="text1"/>
        </w:rPr>
        <w:t>the</w:t>
      </w:r>
      <w:r w:rsidR="00C64050">
        <w:rPr>
          <w:i/>
          <w:iCs/>
          <w:color w:val="000000" w:themeColor="text1"/>
        </w:rPr>
        <w:t xml:space="preserve"> </w:t>
      </w:r>
      <w:hyperlink r:id="rId405" w:history="1">
        <w:r w:rsidRPr="006B1CE0">
          <w:rPr>
            <w:i/>
            <w:iCs/>
            <w:color w:val="000000" w:themeColor="text1"/>
          </w:rPr>
          <w:t>Restatement</w:t>
        </w:r>
        <w:r w:rsidR="00C64050">
          <w:rPr>
            <w:i/>
            <w:iCs/>
            <w:color w:val="000000" w:themeColor="text1"/>
          </w:rPr>
          <w:t xml:space="preserve"> </w:t>
        </w:r>
        <w:r w:rsidRPr="006B1CE0">
          <w:rPr>
            <w:i/>
            <w:iCs/>
            <w:color w:val="000000" w:themeColor="text1"/>
          </w:rPr>
          <w:t>(Third)</w:t>
        </w:r>
        <w:r w:rsidR="00C64050">
          <w:rPr>
            <w:i/>
            <w:iCs/>
            <w:color w:val="000000" w:themeColor="text1"/>
          </w:rPr>
          <w:t xml:space="preserve"> </w:t>
        </w:r>
        <w:r w:rsidRPr="006B1CE0">
          <w:rPr>
            <w:i/>
            <w:iCs/>
            <w:color w:val="000000" w:themeColor="text1"/>
          </w:rPr>
          <w:t>of</w:t>
        </w:r>
        <w:r w:rsidR="00C64050">
          <w:rPr>
            <w:i/>
            <w:iCs/>
            <w:color w:val="000000" w:themeColor="text1"/>
          </w:rPr>
          <w:t xml:space="preserve"> </w:t>
        </w:r>
        <w:r w:rsidRPr="006B1CE0">
          <w:rPr>
            <w:i/>
            <w:iCs/>
            <w:color w:val="000000" w:themeColor="text1"/>
          </w:rPr>
          <w:t>the</w:t>
        </w:r>
        <w:r w:rsidR="00C64050">
          <w:rPr>
            <w:i/>
            <w:iCs/>
            <w:color w:val="000000" w:themeColor="text1"/>
          </w:rPr>
          <w:t xml:space="preserve"> </w:t>
        </w:r>
        <w:r w:rsidRPr="006B1CE0">
          <w:rPr>
            <w:i/>
            <w:iCs/>
            <w:color w:val="000000" w:themeColor="text1"/>
          </w:rPr>
          <w:t>Law</w:t>
        </w:r>
        <w:r w:rsidR="00C64050">
          <w:rPr>
            <w:i/>
            <w:iCs/>
            <w:color w:val="000000" w:themeColor="text1"/>
          </w:rPr>
          <w:t xml:space="preserve"> </w:t>
        </w:r>
        <w:r w:rsidRPr="006B1CE0">
          <w:rPr>
            <w:i/>
            <w:iCs/>
            <w:color w:val="000000" w:themeColor="text1"/>
          </w:rPr>
          <w:t>of</w:t>
        </w:r>
        <w:r w:rsidR="00C64050">
          <w:rPr>
            <w:i/>
            <w:iCs/>
            <w:color w:val="000000" w:themeColor="text1"/>
          </w:rPr>
          <w:t xml:space="preserve"> </w:t>
        </w:r>
        <w:r w:rsidRPr="006B1CE0">
          <w:rPr>
            <w:i/>
            <w:iCs/>
            <w:color w:val="000000" w:themeColor="text1"/>
          </w:rPr>
          <w:t>Trusts</w:t>
        </w:r>
        <w:r w:rsidR="00C64050">
          <w:rPr>
            <w:i/>
            <w:iCs/>
            <w:color w:val="000000" w:themeColor="text1"/>
          </w:rPr>
          <w:t xml:space="preserve"> </w:t>
        </w:r>
        <w:r w:rsidRPr="006B1CE0">
          <w:rPr>
            <w:i/>
            <w:iCs/>
            <w:color w:val="000000" w:themeColor="text1"/>
          </w:rPr>
          <w:t>...</w:t>
        </w:r>
        <w:r w:rsidR="00C64050">
          <w:rPr>
            <w:i/>
            <w:iCs/>
            <w:color w:val="000000" w:themeColor="text1"/>
          </w:rPr>
          <w:t xml:space="preserve"> </w:t>
        </w:r>
        <w:r w:rsidRPr="006B1CE0">
          <w:rPr>
            <w:i/>
            <w:iCs/>
            <w:color w:val="000000" w:themeColor="text1"/>
          </w:rPr>
          <w:t>§</w:t>
        </w:r>
        <w:r w:rsidR="00C64050">
          <w:rPr>
            <w:i/>
            <w:iCs/>
            <w:color w:val="000000" w:themeColor="text1"/>
          </w:rPr>
          <w:t xml:space="preserve"> </w:t>
        </w:r>
        <w:r w:rsidRPr="006B1CE0">
          <w:rPr>
            <w:i/>
            <w:iCs/>
            <w:color w:val="000000" w:themeColor="text1"/>
          </w:rPr>
          <w:t>59</w:t>
        </w:r>
      </w:hyperlink>
      <w:r w:rsidR="00C64050">
        <w:rPr>
          <w:i/>
          <w:iCs/>
          <w:color w:val="000000" w:themeColor="text1"/>
        </w:rPr>
        <w:t xml:space="preserve"> </w:t>
      </w:r>
      <w:r w:rsidRPr="006B1CE0">
        <w:rPr>
          <w:i/>
          <w:iCs/>
          <w:color w:val="000000" w:themeColor="text1"/>
        </w:rPr>
        <w:t>...</w:t>
      </w:r>
      <w:r w:rsidR="00C64050">
        <w:rPr>
          <w:i/>
          <w:iCs/>
          <w:color w:val="000000" w:themeColor="text1"/>
        </w:rPr>
        <w:t xml:space="preserve"> </w:t>
      </w:r>
      <w:r w:rsidRPr="006B1CE0">
        <w:rPr>
          <w:i/>
          <w:iCs/>
          <w:color w:val="000000" w:themeColor="text1"/>
        </w:rPr>
        <w:t>with</w:t>
      </w:r>
      <w:r w:rsidR="00C64050">
        <w:rPr>
          <w:i/>
          <w:iCs/>
          <w:color w:val="000000" w:themeColor="text1"/>
        </w:rPr>
        <w:t xml:space="preserve"> </w:t>
      </w:r>
      <w:r w:rsidRPr="006B1CE0">
        <w:rPr>
          <w:i/>
          <w:iCs/>
          <w:color w:val="000000" w:themeColor="text1"/>
        </w:rPr>
        <w:t>respect</w:t>
      </w:r>
      <w:r w:rsidR="00C64050">
        <w:rPr>
          <w:i/>
          <w:iCs/>
          <w:color w:val="000000" w:themeColor="text1"/>
        </w:rPr>
        <w:t xml:space="preserve"> </w:t>
      </w:r>
      <w:r w:rsidRPr="006B1CE0">
        <w:rPr>
          <w:i/>
          <w:iCs/>
          <w:color w:val="000000" w:themeColor="text1"/>
        </w:rPr>
        <w:t>to</w:t>
      </w:r>
      <w:r w:rsidR="00C64050">
        <w:rPr>
          <w:i/>
          <w:iCs/>
          <w:color w:val="000000" w:themeColor="text1"/>
        </w:rPr>
        <w:t xml:space="preserve"> </w:t>
      </w:r>
      <w:r w:rsidRPr="006B1CE0">
        <w:rPr>
          <w:i/>
          <w:iCs/>
          <w:color w:val="000000" w:themeColor="text1"/>
        </w:rPr>
        <w:t>subject</w:t>
      </w:r>
      <w:r w:rsidR="00C64050">
        <w:rPr>
          <w:i/>
          <w:iCs/>
          <w:color w:val="000000" w:themeColor="text1"/>
        </w:rPr>
        <w:t xml:space="preserve"> </w:t>
      </w:r>
      <w:r w:rsidRPr="006B1CE0">
        <w:rPr>
          <w:i/>
          <w:iCs/>
          <w:color w:val="000000" w:themeColor="text1"/>
        </w:rPr>
        <w:t>matters</w:t>
      </w:r>
      <w:r w:rsidR="00C64050">
        <w:rPr>
          <w:i/>
          <w:iCs/>
          <w:color w:val="000000" w:themeColor="text1"/>
        </w:rPr>
        <w:t xml:space="preserve"> </w:t>
      </w:r>
      <w:r w:rsidRPr="006B1CE0">
        <w:rPr>
          <w:i/>
          <w:iCs/>
          <w:color w:val="000000" w:themeColor="text1"/>
        </w:rPr>
        <w:t>addressed</w:t>
      </w:r>
      <w:r w:rsidR="00C64050">
        <w:rPr>
          <w:i/>
          <w:iCs/>
          <w:color w:val="000000" w:themeColor="text1"/>
        </w:rPr>
        <w:t xml:space="preserve"> </w:t>
      </w:r>
      <w:r w:rsidRPr="006B1CE0">
        <w:rPr>
          <w:i/>
          <w:iCs/>
          <w:color w:val="000000" w:themeColor="text1"/>
        </w:rPr>
        <w:t>by</w:t>
      </w:r>
      <w:r w:rsidR="00C64050">
        <w:rPr>
          <w:i/>
          <w:iCs/>
          <w:color w:val="000000" w:themeColor="text1"/>
        </w:rPr>
        <w:t xml:space="preserve"> </w:t>
      </w:r>
      <w:r w:rsidRPr="006B1CE0">
        <w:rPr>
          <w:i/>
          <w:iCs/>
          <w:color w:val="000000" w:themeColor="text1"/>
        </w:rPr>
        <w:t>the</w:t>
      </w:r>
      <w:r w:rsidR="00C64050">
        <w:rPr>
          <w:i/>
          <w:iCs/>
          <w:color w:val="000000" w:themeColor="text1"/>
        </w:rPr>
        <w:t xml:space="preserve"> </w:t>
      </w:r>
      <w:r w:rsidRPr="006B1CE0">
        <w:rPr>
          <w:i/>
          <w:iCs/>
          <w:color w:val="000000" w:themeColor="text1"/>
        </w:rPr>
        <w:t>provisions</w:t>
      </w:r>
      <w:r w:rsidR="00C64050">
        <w:rPr>
          <w:i/>
          <w:iCs/>
          <w:color w:val="000000" w:themeColor="text1"/>
        </w:rPr>
        <w:t xml:space="preserve"> </w:t>
      </w:r>
      <w:r w:rsidRPr="006B1CE0">
        <w:rPr>
          <w:i/>
          <w:iCs/>
          <w:color w:val="000000" w:themeColor="text1"/>
        </w:rPr>
        <w:t>of</w:t>
      </w:r>
      <w:r w:rsidR="00C64050">
        <w:rPr>
          <w:i/>
          <w:iCs/>
          <w:color w:val="000000" w:themeColor="text1"/>
        </w:rPr>
        <w:t xml:space="preserve"> </w:t>
      </w:r>
      <w:r w:rsidRPr="006B1CE0">
        <w:rPr>
          <w:i/>
          <w:iCs/>
          <w:color w:val="000000" w:themeColor="text1"/>
        </w:rPr>
        <w:t>§§</w:t>
      </w:r>
      <w:r w:rsidR="00C64050">
        <w:rPr>
          <w:i/>
          <w:iCs/>
          <w:color w:val="000000" w:themeColor="text1"/>
        </w:rPr>
        <w:t xml:space="preserve"> </w:t>
      </w:r>
      <w:r w:rsidRPr="006B1CE0">
        <w:rPr>
          <w:i/>
          <w:iCs/>
          <w:color w:val="000000" w:themeColor="text1"/>
        </w:rPr>
        <w:t>55-1-24</w:t>
      </w:r>
      <w:r w:rsidR="00C64050">
        <w:rPr>
          <w:i/>
          <w:iCs/>
          <w:color w:val="000000" w:themeColor="text1"/>
        </w:rPr>
        <w:t xml:space="preserve"> </w:t>
      </w:r>
      <w:r w:rsidRPr="006B1CE0">
        <w:rPr>
          <w:i/>
          <w:iCs/>
          <w:color w:val="000000" w:themeColor="text1"/>
        </w:rPr>
        <w:t>to</w:t>
      </w:r>
      <w:r w:rsidR="00C64050">
        <w:rPr>
          <w:i/>
          <w:iCs/>
          <w:color w:val="000000" w:themeColor="text1"/>
        </w:rPr>
        <w:t xml:space="preserve"> </w:t>
      </w:r>
      <w:r w:rsidRPr="006B1CE0">
        <w:rPr>
          <w:i/>
          <w:iCs/>
          <w:color w:val="000000" w:themeColor="text1"/>
        </w:rPr>
        <w:t>55-1-43,</w:t>
      </w:r>
      <w:r w:rsidR="00C64050">
        <w:rPr>
          <w:i/>
          <w:iCs/>
          <w:color w:val="000000" w:themeColor="text1"/>
        </w:rPr>
        <w:t xml:space="preserve"> </w:t>
      </w:r>
      <w:r w:rsidRPr="006B1CE0">
        <w:rPr>
          <w:i/>
          <w:iCs/>
          <w:color w:val="000000" w:themeColor="text1"/>
        </w:rPr>
        <w:t>inclusive.</w:t>
      </w:r>
    </w:p>
    <w:p w:rsidR="001B23CB" w:rsidRPr="006B1CE0" w:rsidRDefault="001B23CB" w:rsidP="006B1CE0">
      <w:pPr>
        <w:pStyle w:val="QS10"/>
        <w:rPr>
          <w:color w:val="000000" w:themeColor="text1"/>
        </w:rPr>
      </w:pPr>
      <w:r w:rsidRPr="006B1CE0">
        <w:rPr>
          <w:color w:val="000000" w:themeColor="text1"/>
        </w:rPr>
        <w:t>(Emphasis</w:t>
      </w:r>
      <w:r w:rsidR="00C64050">
        <w:rPr>
          <w:color w:val="000000" w:themeColor="text1"/>
        </w:rPr>
        <w:t xml:space="preserve"> </w:t>
      </w:r>
      <w:r w:rsidRPr="006B1CE0">
        <w:rPr>
          <w:color w:val="000000" w:themeColor="text1"/>
        </w:rPr>
        <w:t>added);</w:t>
      </w:r>
      <w:r w:rsidR="00C64050">
        <w:rPr>
          <w:color w:val="000000" w:themeColor="text1"/>
        </w:rPr>
        <w:t xml:space="preserve"> </w:t>
      </w:r>
      <w:r w:rsidRPr="006B1CE0">
        <w:rPr>
          <w:i/>
          <w:iCs/>
          <w:color w:val="000000" w:themeColor="text1"/>
        </w:rPr>
        <w:t>see</w:t>
      </w:r>
      <w:r w:rsidR="00C64050">
        <w:rPr>
          <w:i/>
          <w:iCs/>
          <w:color w:val="000000" w:themeColor="text1"/>
        </w:rPr>
        <w:t xml:space="preserve"> </w:t>
      </w:r>
      <w:r w:rsidRPr="006B1CE0">
        <w:rPr>
          <w:i/>
          <w:iCs/>
          <w:color w:val="000000" w:themeColor="text1"/>
        </w:rPr>
        <w:t>also</w:t>
      </w:r>
      <w:r w:rsidR="00C64050">
        <w:rPr>
          <w:color w:val="000000" w:themeColor="text1"/>
        </w:rPr>
        <w:t xml:space="preserve"> </w:t>
      </w:r>
      <w:hyperlink r:id="rId406" w:anchor="co_pp_sp_595_374" w:history="1">
        <w:r w:rsidRPr="006B1CE0">
          <w:rPr>
            <w:i/>
            <w:iCs/>
            <w:color w:val="000000" w:themeColor="text1"/>
          </w:rPr>
          <w:t>Richardson</w:t>
        </w:r>
        <w:r w:rsidR="00C64050">
          <w:rPr>
            <w:i/>
            <w:iCs/>
            <w:color w:val="000000" w:themeColor="text1"/>
          </w:rPr>
          <w:t xml:space="preserve"> </w:t>
        </w:r>
        <w:r w:rsidRPr="006B1CE0">
          <w:rPr>
            <w:i/>
            <w:iCs/>
            <w:color w:val="000000" w:themeColor="text1"/>
          </w:rPr>
          <w:t>v.</w:t>
        </w:r>
        <w:r w:rsidR="00C64050">
          <w:rPr>
            <w:i/>
            <w:iCs/>
            <w:color w:val="000000" w:themeColor="text1"/>
          </w:rPr>
          <w:t xml:space="preserve"> </w:t>
        </w:r>
        <w:r w:rsidRPr="006B1CE0">
          <w:rPr>
            <w:i/>
            <w:iCs/>
            <w:color w:val="000000" w:themeColor="text1"/>
          </w:rPr>
          <w:t>Richardson</w:t>
        </w:r>
        <w:r w:rsidRPr="006B1CE0">
          <w:rPr>
            <w:color w:val="000000" w:themeColor="text1"/>
          </w:rPr>
          <w:t>,</w:t>
        </w:r>
        <w:r w:rsidR="00C64050">
          <w:rPr>
            <w:color w:val="000000" w:themeColor="text1"/>
          </w:rPr>
          <w:t xml:space="preserve"> </w:t>
        </w:r>
        <w:r w:rsidRPr="006B1CE0">
          <w:rPr>
            <w:color w:val="000000" w:themeColor="text1"/>
          </w:rPr>
          <w:t>2017</w:t>
        </w:r>
        <w:r w:rsidR="00C64050">
          <w:rPr>
            <w:color w:val="000000" w:themeColor="text1"/>
          </w:rPr>
          <w:t xml:space="preserve"> </w:t>
        </w:r>
        <w:r w:rsidRPr="006B1CE0">
          <w:rPr>
            <w:color w:val="000000" w:themeColor="text1"/>
          </w:rPr>
          <w:t>S.D.</w:t>
        </w:r>
        <w:r w:rsidR="00C64050">
          <w:rPr>
            <w:color w:val="000000" w:themeColor="text1"/>
          </w:rPr>
          <w:t xml:space="preserve"> </w:t>
        </w:r>
        <w:r w:rsidRPr="006B1CE0">
          <w:rPr>
            <w:color w:val="000000" w:themeColor="text1"/>
          </w:rPr>
          <w:t>92,</w:t>
        </w:r>
        <w:r w:rsidR="00C64050">
          <w:rPr>
            <w:color w:val="000000" w:themeColor="text1"/>
          </w:rPr>
          <w:t xml:space="preserve"> </w:t>
        </w:r>
        <w:r w:rsidRPr="006B1CE0">
          <w:rPr>
            <w:color w:val="000000" w:themeColor="text1"/>
          </w:rPr>
          <w:t>¶</w:t>
        </w:r>
        <w:r w:rsidR="00C64050">
          <w:rPr>
            <w:color w:val="000000" w:themeColor="text1"/>
          </w:rPr>
          <w:t xml:space="preserve"> </w:t>
        </w:r>
        <w:r w:rsidRPr="006B1CE0">
          <w:rPr>
            <w:color w:val="000000" w:themeColor="text1"/>
          </w:rPr>
          <w:t>16,</w:t>
        </w:r>
        <w:r w:rsidR="00C64050">
          <w:rPr>
            <w:color w:val="000000" w:themeColor="text1"/>
          </w:rPr>
          <w:t xml:space="preserve"> </w:t>
        </w:r>
        <w:r w:rsidRPr="006B1CE0">
          <w:rPr>
            <w:color w:val="000000" w:themeColor="text1"/>
          </w:rPr>
          <w:t>906</w:t>
        </w:r>
        <w:r w:rsidR="00C64050">
          <w:rPr>
            <w:color w:val="000000" w:themeColor="text1"/>
          </w:rPr>
          <w:t xml:space="preserve"> </w:t>
        </w:r>
        <w:r w:rsidRPr="006B1CE0">
          <w:rPr>
            <w:color w:val="000000" w:themeColor="text1"/>
          </w:rPr>
          <w:t>N.W.2d</w:t>
        </w:r>
        <w:r w:rsidR="00C64050">
          <w:rPr>
            <w:color w:val="000000" w:themeColor="text1"/>
          </w:rPr>
          <w:t xml:space="preserve"> </w:t>
        </w:r>
        <w:r w:rsidRPr="006B1CE0">
          <w:rPr>
            <w:color w:val="000000" w:themeColor="text1"/>
          </w:rPr>
          <w:t>369,</w:t>
        </w:r>
        <w:r w:rsidR="00C64050">
          <w:rPr>
            <w:color w:val="000000" w:themeColor="text1"/>
          </w:rPr>
          <w:t xml:space="preserve"> </w:t>
        </w:r>
        <w:r w:rsidRPr="006B1CE0">
          <w:rPr>
            <w:color w:val="000000" w:themeColor="text1"/>
          </w:rPr>
          <w:t>374</w:t>
        </w:r>
      </w:hyperlink>
      <w:r w:rsidR="00C64050">
        <w:rPr>
          <w:color w:val="000000" w:themeColor="text1"/>
        </w:rPr>
        <w:t xml:space="preserve"> </w:t>
      </w:r>
      <w:r w:rsidRPr="006B1CE0">
        <w:rPr>
          <w:color w:val="000000" w:themeColor="text1"/>
        </w:rPr>
        <w:t>(stating</w:t>
      </w:r>
      <w:r w:rsidR="00C64050">
        <w:rPr>
          <w:color w:val="000000" w:themeColor="text1"/>
        </w:rPr>
        <w:t xml:space="preserve"> </w:t>
      </w:r>
      <w:r w:rsidRPr="006B1CE0">
        <w:rPr>
          <w:color w:val="000000" w:themeColor="text1"/>
        </w:rPr>
        <w:t>that</w:t>
      </w:r>
      <w:r w:rsidR="00C64050">
        <w:rPr>
          <w:color w:val="000000" w:themeColor="text1"/>
        </w:rPr>
        <w:t xml:space="preserve"> </w:t>
      </w:r>
      <w:r w:rsidRPr="006B1CE0">
        <w:rPr>
          <w:color w:val="000000" w:themeColor="text1"/>
        </w:rPr>
        <w:t>courts</w:t>
      </w:r>
      <w:r w:rsidR="00C64050">
        <w:rPr>
          <w:color w:val="000000" w:themeColor="text1"/>
        </w:rPr>
        <w:t xml:space="preserve"> </w:t>
      </w:r>
      <w:r w:rsidRPr="006B1CE0">
        <w:rPr>
          <w:color w:val="000000" w:themeColor="text1"/>
        </w:rPr>
        <w:t>“must</w:t>
      </w:r>
      <w:r w:rsidR="00C64050">
        <w:rPr>
          <w:color w:val="000000" w:themeColor="text1"/>
        </w:rPr>
        <w:t xml:space="preserve"> </w:t>
      </w:r>
      <w:r w:rsidRPr="006B1CE0">
        <w:rPr>
          <w:color w:val="000000" w:themeColor="text1"/>
        </w:rPr>
        <w:t>be</w:t>
      </w:r>
      <w:r w:rsidR="00C64050">
        <w:rPr>
          <w:color w:val="000000" w:themeColor="text1"/>
        </w:rPr>
        <w:t xml:space="preserve"> </w:t>
      </w:r>
      <w:r w:rsidRPr="006B1CE0">
        <w:rPr>
          <w:color w:val="000000" w:themeColor="text1"/>
        </w:rPr>
        <w:t>mindful</w:t>
      </w:r>
      <w:r w:rsidR="00C64050">
        <w:rPr>
          <w:color w:val="000000" w:themeColor="text1"/>
        </w:rPr>
        <w:t xml:space="preserve"> </w:t>
      </w:r>
      <w:r w:rsidRPr="006B1CE0">
        <w:rPr>
          <w:color w:val="000000" w:themeColor="text1"/>
        </w:rPr>
        <w:t>of</w:t>
      </w:r>
      <w:r w:rsidR="00C64050">
        <w:rPr>
          <w:color w:val="000000" w:themeColor="text1"/>
        </w:rPr>
        <w:t xml:space="preserve"> </w:t>
      </w:r>
      <w:r w:rsidRPr="006B1CE0">
        <w:rPr>
          <w:color w:val="000000" w:themeColor="text1"/>
        </w:rPr>
        <w:t>the</w:t>
      </w:r>
      <w:r w:rsidR="00C64050">
        <w:rPr>
          <w:color w:val="000000" w:themeColor="text1"/>
        </w:rPr>
        <w:t xml:space="preserve"> </w:t>
      </w:r>
      <w:r w:rsidRPr="006B1CE0">
        <w:rPr>
          <w:color w:val="000000" w:themeColor="text1"/>
        </w:rPr>
        <w:t>Legislature’s</w:t>
      </w:r>
      <w:r w:rsidR="00C64050">
        <w:rPr>
          <w:color w:val="000000" w:themeColor="text1"/>
        </w:rPr>
        <w:t xml:space="preserve"> </w:t>
      </w:r>
      <w:r w:rsidRPr="006B1CE0">
        <w:rPr>
          <w:color w:val="000000" w:themeColor="text1"/>
        </w:rPr>
        <w:t>public</w:t>
      </w:r>
      <w:r w:rsidR="00C64050">
        <w:rPr>
          <w:color w:val="000000" w:themeColor="text1"/>
        </w:rPr>
        <w:t xml:space="preserve"> </w:t>
      </w:r>
      <w:r w:rsidRPr="006B1CE0">
        <w:rPr>
          <w:color w:val="000000" w:themeColor="text1"/>
        </w:rPr>
        <w:t>policy</w:t>
      </w:r>
      <w:r w:rsidR="00C64050">
        <w:rPr>
          <w:color w:val="000000" w:themeColor="text1"/>
        </w:rPr>
        <w:t xml:space="preserve"> </w:t>
      </w:r>
      <w:r w:rsidRPr="006B1CE0">
        <w:rPr>
          <w:color w:val="000000" w:themeColor="text1"/>
        </w:rPr>
        <w:t>determinations</w:t>
      </w:r>
      <w:r w:rsidR="00C64050">
        <w:rPr>
          <w:color w:val="000000" w:themeColor="text1"/>
        </w:rPr>
        <w:t xml:space="preserve"> </w:t>
      </w:r>
      <w:r w:rsidRPr="006B1CE0">
        <w:rPr>
          <w:color w:val="000000" w:themeColor="text1"/>
        </w:rPr>
        <w:t>....”).</w:t>
      </w:r>
    </w:p>
    <w:p w:rsidR="001B23CB" w:rsidRDefault="001B23CB" w:rsidP="00AD7DA2">
      <w:pPr>
        <w:pStyle w:val="Body15"/>
      </w:pPr>
      <w:r>
        <w:t>The</w:t>
      </w:r>
      <w:r w:rsidR="00C64050">
        <w:t xml:space="preserve"> </w:t>
      </w:r>
      <w:r>
        <w:t>trust</w:t>
      </w:r>
      <w:r w:rsidR="00C64050">
        <w:t xml:space="preserve"> </w:t>
      </w:r>
      <w:r>
        <w:t>had</w:t>
      </w:r>
      <w:r w:rsidR="00C64050">
        <w:t xml:space="preserve"> </w:t>
      </w:r>
      <w:r>
        <w:t>been</w:t>
      </w:r>
      <w:r w:rsidR="00C64050">
        <w:t xml:space="preserve"> </w:t>
      </w:r>
      <w:r>
        <w:t>subject</w:t>
      </w:r>
      <w:r w:rsidR="00C64050">
        <w:t xml:space="preserve"> </w:t>
      </w:r>
      <w:r>
        <w:t>to</w:t>
      </w:r>
      <w:r w:rsidR="00C64050">
        <w:t xml:space="preserve"> </w:t>
      </w:r>
      <w:r>
        <w:t>various</w:t>
      </w:r>
      <w:r w:rsidR="00C64050">
        <w:t xml:space="preserve"> </w:t>
      </w:r>
      <w:r>
        <w:t>courts</w:t>
      </w:r>
      <w:r w:rsidR="00C64050">
        <w:t xml:space="preserve"> </w:t>
      </w:r>
      <w:r>
        <w:t>in</w:t>
      </w:r>
      <w:r w:rsidR="00C64050">
        <w:t xml:space="preserve"> </w:t>
      </w:r>
      <w:r>
        <w:t>California</w:t>
      </w:r>
      <w:r w:rsidR="00C64050">
        <w:t xml:space="preserve"> </w:t>
      </w:r>
      <w:r>
        <w:t>during</w:t>
      </w:r>
      <w:r w:rsidR="00C64050">
        <w:t xml:space="preserve"> </w:t>
      </w:r>
      <w:r>
        <w:t>the</w:t>
      </w:r>
      <w:r w:rsidR="00C64050">
        <w:t xml:space="preserve"> </w:t>
      </w:r>
      <w:r>
        <w:t>divorce</w:t>
      </w:r>
      <w:r w:rsidR="00C64050">
        <w:t xml:space="preserve"> </w:t>
      </w:r>
      <w:r>
        <w:t>of</w:t>
      </w:r>
      <w:r w:rsidR="00C64050">
        <w:t xml:space="preserve"> </w:t>
      </w:r>
      <w:r>
        <w:t>a</w:t>
      </w:r>
      <w:r w:rsidR="00C64050">
        <w:t xml:space="preserve"> </w:t>
      </w:r>
      <w:r>
        <w:t>beneficiary,</w:t>
      </w:r>
      <w:r w:rsidR="00C64050">
        <w:t xml:space="preserve"> </w:t>
      </w:r>
      <w:r>
        <w:t>Cleopatra.</w:t>
      </w:r>
      <w:r w:rsidR="00C64050">
        <w:t xml:space="preserve">  </w:t>
      </w:r>
      <w:r>
        <w:t>Cleopatra</w:t>
      </w:r>
      <w:r w:rsidR="00C64050">
        <w:t xml:space="preserve"> </w:t>
      </w:r>
      <w:r>
        <w:t>was</w:t>
      </w:r>
      <w:r w:rsidR="00C64050">
        <w:t xml:space="preserve"> </w:t>
      </w:r>
      <w:r>
        <w:t>at</w:t>
      </w:r>
      <w:r w:rsidR="00C64050">
        <w:t xml:space="preserve"> </w:t>
      </w:r>
      <w:r>
        <w:t>that</w:t>
      </w:r>
      <w:r w:rsidR="00C64050">
        <w:t xml:space="preserve"> </w:t>
      </w:r>
      <w:r>
        <w:t>time</w:t>
      </w:r>
      <w:r w:rsidR="00C64050">
        <w:t xml:space="preserve"> </w:t>
      </w:r>
      <w:r>
        <w:t>a</w:t>
      </w:r>
      <w:r w:rsidR="00C64050">
        <w:t xml:space="preserve"> </w:t>
      </w:r>
      <w:r>
        <w:t>co-trustee</w:t>
      </w:r>
      <w:r w:rsidR="00C64050">
        <w:t xml:space="preserve"> </w:t>
      </w:r>
      <w:r>
        <w:t>with</w:t>
      </w:r>
      <w:r w:rsidR="00C64050">
        <w:t xml:space="preserve"> </w:t>
      </w:r>
      <w:r>
        <w:t>a</w:t>
      </w:r>
      <w:r w:rsidR="00C64050">
        <w:t xml:space="preserve"> </w:t>
      </w:r>
      <w:r>
        <w:t>corporate</w:t>
      </w:r>
      <w:r w:rsidR="00C64050">
        <w:t xml:space="preserve"> </w:t>
      </w:r>
      <w:r>
        <w:t>fiduciary.</w:t>
      </w:r>
      <w:r w:rsidR="00C64050">
        <w:t xml:space="preserve">  </w:t>
      </w:r>
      <w:r>
        <w:t>Ultimately</w:t>
      </w:r>
      <w:r w:rsidR="00C64050">
        <w:t xml:space="preserve"> </w:t>
      </w:r>
      <w:r>
        <w:t>Cleopatra</w:t>
      </w:r>
      <w:r w:rsidR="00C64050">
        <w:t xml:space="preserve"> </w:t>
      </w:r>
      <w:r>
        <w:t>changed</w:t>
      </w:r>
      <w:r w:rsidR="00C64050">
        <w:t xml:space="preserve"> </w:t>
      </w:r>
      <w:r>
        <w:t>situs</w:t>
      </w:r>
      <w:r w:rsidR="00C64050">
        <w:t xml:space="preserve"> </w:t>
      </w:r>
      <w:r>
        <w:t>to</w:t>
      </w:r>
      <w:r w:rsidR="00C64050">
        <w:t xml:space="preserve"> </w:t>
      </w:r>
      <w:r>
        <w:t>South</w:t>
      </w:r>
      <w:r w:rsidR="00C64050">
        <w:t xml:space="preserve"> </w:t>
      </w:r>
      <w:r>
        <w:t>Dakota,</w:t>
      </w:r>
      <w:r w:rsidR="00C64050">
        <w:t xml:space="preserve"> </w:t>
      </w:r>
      <w:r>
        <w:t>with</w:t>
      </w:r>
      <w:r w:rsidR="00C64050">
        <w:t xml:space="preserve"> </w:t>
      </w:r>
      <w:r>
        <w:t>positive</w:t>
      </w:r>
      <w:r w:rsidR="00C64050">
        <w:t xml:space="preserve"> </w:t>
      </w:r>
      <w:r>
        <w:t>results</w:t>
      </w:r>
      <w:r w:rsidR="00C64050">
        <w:t xml:space="preserve"> </w:t>
      </w:r>
      <w:r>
        <w:t>(assuming</w:t>
      </w:r>
      <w:r w:rsidR="00C64050">
        <w:t xml:space="preserve"> </w:t>
      </w:r>
      <w:r>
        <w:t>she</w:t>
      </w:r>
      <w:r w:rsidR="00C64050">
        <w:t xml:space="preserve"> </w:t>
      </w:r>
      <w:r>
        <w:t>didn’t</w:t>
      </w:r>
      <w:r w:rsidR="00C64050">
        <w:t xml:space="preserve"> </w:t>
      </w:r>
      <w:r>
        <w:t>want</w:t>
      </w:r>
      <w:r w:rsidR="00C64050">
        <w:t xml:space="preserve"> </w:t>
      </w:r>
      <w:r>
        <w:t>to</w:t>
      </w:r>
      <w:r w:rsidR="00C64050">
        <w:t xml:space="preserve"> </w:t>
      </w:r>
      <w:r>
        <w:t>pay</w:t>
      </w:r>
      <w:r w:rsidR="00C64050">
        <w:t xml:space="preserve"> </w:t>
      </w:r>
      <w:r>
        <w:t>continuing</w:t>
      </w:r>
      <w:r w:rsidR="00C64050">
        <w:t xml:space="preserve"> </w:t>
      </w:r>
      <w:r>
        <w:t>child</w:t>
      </w:r>
      <w:r w:rsidR="00C64050">
        <w:t xml:space="preserve"> </w:t>
      </w:r>
      <w:r>
        <w:t>support).</w:t>
      </w:r>
    </w:p>
    <w:p w:rsidR="00785DCB" w:rsidRPr="00785DCB" w:rsidRDefault="00785DCB" w:rsidP="00B66CCE">
      <w:pPr>
        <w:pStyle w:val="Heading20"/>
        <w:numPr>
          <w:ilvl w:val="1"/>
          <w:numId w:val="33"/>
        </w:numPr>
        <w:tabs>
          <w:tab w:val="clear" w:pos="2700"/>
        </w:tabs>
        <w:ind w:left="0"/>
        <w:rPr>
          <w:vanish/>
          <w:specVanish/>
        </w:rPr>
      </w:pPr>
      <w:bookmarkStart w:id="799" w:name="_Toc94704689"/>
      <w:r>
        <w:rPr>
          <w:b/>
          <w:u w:val="single"/>
        </w:rPr>
        <w:t>Failure</w:t>
      </w:r>
      <w:r w:rsidR="00C64050">
        <w:rPr>
          <w:b/>
          <w:u w:val="single"/>
        </w:rPr>
        <w:t xml:space="preserve"> </w:t>
      </w:r>
      <w:r>
        <w:rPr>
          <w:b/>
          <w:u w:val="single"/>
        </w:rPr>
        <w:t>to</w:t>
      </w:r>
      <w:r w:rsidR="00C64050">
        <w:rPr>
          <w:b/>
          <w:u w:val="single"/>
        </w:rPr>
        <w:t xml:space="preserve"> </w:t>
      </w:r>
      <w:r>
        <w:rPr>
          <w:b/>
          <w:u w:val="single"/>
        </w:rPr>
        <w:t>Discuss</w:t>
      </w:r>
      <w:r w:rsidR="00C64050">
        <w:rPr>
          <w:b/>
          <w:u w:val="single"/>
        </w:rPr>
        <w:t xml:space="preserve"> </w:t>
      </w:r>
      <w:r>
        <w:rPr>
          <w:b/>
          <w:u w:val="single"/>
        </w:rPr>
        <w:t>Basis</w:t>
      </w:r>
      <w:r w:rsidR="00C64050">
        <w:rPr>
          <w:b/>
          <w:u w:val="single"/>
        </w:rPr>
        <w:t xml:space="preserve"> </w:t>
      </w:r>
      <w:r>
        <w:rPr>
          <w:b/>
          <w:u w:val="single"/>
        </w:rPr>
        <w:t>Planning</w:t>
      </w:r>
      <w:bookmarkEnd w:id="799"/>
    </w:p>
    <w:p w:rsidR="00785DCB" w:rsidRDefault="00785DCB" w:rsidP="00785DCB">
      <w:pPr>
        <w:pStyle w:val="Heading2Body"/>
      </w:pPr>
      <w:r>
        <w:t>.</w:t>
      </w:r>
      <w:r w:rsidR="00C64050">
        <w:t xml:space="preserve">  </w:t>
      </w:r>
      <w:r w:rsidRPr="00F014DF">
        <w:rPr>
          <w:u w:val="single"/>
        </w:rPr>
        <w:t>Stevenson</w:t>
      </w:r>
      <w:r w:rsidR="00C64050">
        <w:rPr>
          <w:u w:val="single"/>
        </w:rPr>
        <w:t xml:space="preserve"> </w:t>
      </w:r>
      <w:r w:rsidRPr="00F014DF">
        <w:rPr>
          <w:u w:val="single"/>
        </w:rPr>
        <w:t>v.</w:t>
      </w:r>
      <w:r w:rsidR="00C64050">
        <w:rPr>
          <w:u w:val="single"/>
        </w:rPr>
        <w:t xml:space="preserve"> </w:t>
      </w:r>
      <w:r w:rsidRPr="00F014DF">
        <w:rPr>
          <w:u w:val="single"/>
        </w:rPr>
        <w:t>Stanyer</w:t>
      </w:r>
      <w:r>
        <w:t>,</w:t>
      </w:r>
      <w:r w:rsidR="00C64050">
        <w:t xml:space="preserve"> </w:t>
      </w:r>
      <w:r>
        <w:t>2019</w:t>
      </w:r>
      <w:r w:rsidR="00C64050">
        <w:t xml:space="preserve"> </w:t>
      </w:r>
      <w:r>
        <w:t>WL</w:t>
      </w:r>
      <w:r w:rsidR="00C64050">
        <w:t xml:space="preserve"> </w:t>
      </w:r>
      <w:r>
        <w:t>2895378</w:t>
      </w:r>
      <w:r w:rsidR="00C64050">
        <w:t xml:space="preserve"> </w:t>
      </w:r>
      <w:r>
        <w:t>(Wa.</w:t>
      </w:r>
      <w:r w:rsidR="00C64050">
        <w:t xml:space="preserve"> </w:t>
      </w:r>
      <w:r>
        <w:t>Ct.</w:t>
      </w:r>
      <w:r w:rsidR="00C64050">
        <w:t xml:space="preserve"> </w:t>
      </w:r>
      <w:r>
        <w:t>App.,</w:t>
      </w:r>
      <w:r w:rsidR="00C64050">
        <w:t xml:space="preserve"> </w:t>
      </w:r>
      <w:r>
        <w:t>Div.</w:t>
      </w:r>
      <w:r w:rsidR="00E30904">
        <w:t xml:space="preserve"> </w:t>
      </w:r>
      <w:r>
        <w:t>3)(unreported).</w:t>
      </w:r>
    </w:p>
    <w:p w:rsidR="00785DCB" w:rsidRDefault="00785DCB" w:rsidP="00785DCB">
      <w:pPr>
        <w:pStyle w:val="Body15"/>
      </w:pPr>
      <w:r>
        <w:t>Income</w:t>
      </w:r>
      <w:r w:rsidR="00C64050">
        <w:t xml:space="preserve"> </w:t>
      </w:r>
      <w:r>
        <w:t>tax</w:t>
      </w:r>
      <w:r w:rsidR="00C64050">
        <w:t xml:space="preserve"> </w:t>
      </w:r>
      <w:r>
        <w:t>basis</w:t>
      </w:r>
      <w:r w:rsidR="00C64050">
        <w:t xml:space="preserve"> </w:t>
      </w:r>
      <w:r>
        <w:t>planning</w:t>
      </w:r>
      <w:r w:rsidR="00C64050">
        <w:t xml:space="preserve"> </w:t>
      </w:r>
      <w:r>
        <w:t>is</w:t>
      </w:r>
      <w:r w:rsidR="00C64050">
        <w:t xml:space="preserve"> </w:t>
      </w:r>
      <w:r>
        <w:t>increasingly</w:t>
      </w:r>
      <w:r w:rsidR="00C64050">
        <w:t xml:space="preserve"> </w:t>
      </w:r>
      <w:r>
        <w:t>a</w:t>
      </w:r>
      <w:r w:rsidR="00C64050">
        <w:t xml:space="preserve"> </w:t>
      </w:r>
      <w:r>
        <w:t>part</w:t>
      </w:r>
      <w:r w:rsidR="00C64050">
        <w:t xml:space="preserve"> </w:t>
      </w:r>
      <w:r>
        <w:t>of</w:t>
      </w:r>
      <w:r w:rsidR="00C64050">
        <w:t xml:space="preserve"> </w:t>
      </w:r>
      <w:r>
        <w:t>estate</w:t>
      </w:r>
      <w:r w:rsidR="00C64050">
        <w:t xml:space="preserve"> </w:t>
      </w:r>
      <w:r>
        <w:t>planning</w:t>
      </w:r>
      <w:r w:rsidR="00C64050">
        <w:t xml:space="preserve"> </w:t>
      </w:r>
      <w:r>
        <w:t>and</w:t>
      </w:r>
      <w:r w:rsidR="00C64050">
        <w:t xml:space="preserve"> </w:t>
      </w:r>
      <w:r>
        <w:t>became</w:t>
      </w:r>
      <w:r w:rsidR="00C64050">
        <w:t xml:space="preserve"> </w:t>
      </w:r>
      <w:r>
        <w:t>the</w:t>
      </w:r>
      <w:r w:rsidR="00C64050">
        <w:t xml:space="preserve"> </w:t>
      </w:r>
      <w:r>
        <w:t>subject</w:t>
      </w:r>
      <w:r w:rsidR="00C64050">
        <w:t xml:space="preserve"> </w:t>
      </w:r>
      <w:r>
        <w:t>of</w:t>
      </w:r>
      <w:r w:rsidR="00C64050">
        <w:t xml:space="preserve"> </w:t>
      </w:r>
      <w:r>
        <w:t>a</w:t>
      </w:r>
      <w:r w:rsidR="00C64050">
        <w:t xml:space="preserve"> </w:t>
      </w:r>
      <w:r>
        <w:t>malpractice</w:t>
      </w:r>
      <w:r w:rsidR="00C64050">
        <w:t xml:space="preserve"> </w:t>
      </w:r>
      <w:r>
        <w:t>claim</w:t>
      </w:r>
      <w:r w:rsidR="00C64050">
        <w:t xml:space="preserve"> </w:t>
      </w:r>
      <w:r>
        <w:t>in</w:t>
      </w:r>
      <w:r w:rsidR="00C64050">
        <w:t xml:space="preserve"> </w:t>
      </w:r>
      <w:r>
        <w:t>Spokane,</w:t>
      </w:r>
      <w:r w:rsidR="00C64050">
        <w:t xml:space="preserve"> </w:t>
      </w:r>
      <w:r>
        <w:t>Washington.</w:t>
      </w:r>
      <w:r w:rsidR="00C64050">
        <w:t xml:space="preserve">  </w:t>
      </w:r>
      <w:r>
        <w:t>Many</w:t>
      </w:r>
      <w:r w:rsidR="00C64050">
        <w:t xml:space="preserve"> </w:t>
      </w:r>
      <w:r>
        <w:t>years</w:t>
      </w:r>
      <w:r w:rsidR="00C64050">
        <w:t xml:space="preserve"> </w:t>
      </w:r>
      <w:r>
        <w:t>ago,</w:t>
      </w:r>
      <w:r w:rsidR="00C64050">
        <w:t xml:space="preserve"> </w:t>
      </w:r>
      <w:r>
        <w:t>Dr.</w:t>
      </w:r>
      <w:r w:rsidR="00C64050">
        <w:t xml:space="preserve"> </w:t>
      </w:r>
      <w:r>
        <w:t>and</w:t>
      </w:r>
      <w:r w:rsidR="00C64050">
        <w:t xml:space="preserve"> </w:t>
      </w:r>
      <w:r>
        <w:t>Mrs.</w:t>
      </w:r>
      <w:r w:rsidR="00C64050">
        <w:t xml:space="preserve"> </w:t>
      </w:r>
      <w:r>
        <w:t>Richard</w:t>
      </w:r>
      <w:r w:rsidR="00C64050">
        <w:t xml:space="preserve"> </w:t>
      </w:r>
      <w:r>
        <w:t>Stevenson</w:t>
      </w:r>
      <w:r w:rsidR="00C64050">
        <w:t xml:space="preserve"> </w:t>
      </w:r>
      <w:r>
        <w:t>transferred</w:t>
      </w:r>
      <w:r w:rsidR="00C64050">
        <w:t xml:space="preserve"> </w:t>
      </w:r>
      <w:r>
        <w:t>a</w:t>
      </w:r>
      <w:r w:rsidR="00C64050">
        <w:t xml:space="preserve"> </w:t>
      </w:r>
      <w:r>
        <w:t>lake</w:t>
      </w:r>
      <w:r w:rsidR="00C64050">
        <w:t xml:space="preserve"> </w:t>
      </w:r>
      <w:r>
        <w:t>house</w:t>
      </w:r>
      <w:r w:rsidR="00C64050">
        <w:t xml:space="preserve"> </w:t>
      </w:r>
      <w:r>
        <w:t>in</w:t>
      </w:r>
      <w:r w:rsidR="00C64050">
        <w:t xml:space="preserve"> </w:t>
      </w:r>
      <w:r>
        <w:t>Idaho</w:t>
      </w:r>
      <w:r w:rsidR="00C64050">
        <w:t xml:space="preserve"> </w:t>
      </w:r>
      <w:r>
        <w:t>into</w:t>
      </w:r>
      <w:r w:rsidR="00C64050">
        <w:t xml:space="preserve"> </w:t>
      </w:r>
      <w:r>
        <w:t>a</w:t>
      </w:r>
      <w:r w:rsidR="00C64050">
        <w:t xml:space="preserve"> </w:t>
      </w:r>
      <w:r>
        <w:t>trust</w:t>
      </w:r>
      <w:r w:rsidR="00C64050">
        <w:t xml:space="preserve"> </w:t>
      </w:r>
      <w:r>
        <w:t>to</w:t>
      </w:r>
      <w:r w:rsidR="00C64050">
        <w:t xml:space="preserve"> </w:t>
      </w:r>
      <w:r>
        <w:t>avoid</w:t>
      </w:r>
      <w:r w:rsidR="00C64050">
        <w:t xml:space="preserve"> </w:t>
      </w:r>
      <w:r>
        <w:t>estate</w:t>
      </w:r>
      <w:r w:rsidR="00C64050">
        <w:t xml:space="preserve"> </w:t>
      </w:r>
      <w:r>
        <w:t>tax</w:t>
      </w:r>
      <w:r w:rsidR="00C64050">
        <w:t xml:space="preserve"> </w:t>
      </w:r>
      <w:r>
        <w:t>on</w:t>
      </w:r>
      <w:r w:rsidR="00C64050">
        <w:t xml:space="preserve"> </w:t>
      </w:r>
      <w:r>
        <w:t>the</w:t>
      </w:r>
      <w:r w:rsidR="00C64050">
        <w:t xml:space="preserve"> </w:t>
      </w:r>
      <w:r>
        <w:t>property.</w:t>
      </w:r>
      <w:r w:rsidR="00C64050">
        <w:t xml:space="preserve">  </w:t>
      </w:r>
      <w:r>
        <w:t>Dr.</w:t>
      </w:r>
      <w:r w:rsidR="00C64050">
        <w:t xml:space="preserve"> </w:t>
      </w:r>
      <w:r>
        <w:t>Stevenson</w:t>
      </w:r>
      <w:r w:rsidR="00C64050">
        <w:t xml:space="preserve"> </w:t>
      </w:r>
      <w:r>
        <w:t>died</w:t>
      </w:r>
      <w:r w:rsidR="00C64050">
        <w:t xml:space="preserve"> </w:t>
      </w:r>
      <w:r>
        <w:t>in</w:t>
      </w:r>
      <w:r w:rsidR="00C64050">
        <w:t xml:space="preserve"> </w:t>
      </w:r>
      <w:r>
        <w:t>1989</w:t>
      </w:r>
      <w:r w:rsidR="00C64050">
        <w:t xml:space="preserve"> </w:t>
      </w:r>
      <w:r>
        <w:t>and</w:t>
      </w:r>
      <w:r w:rsidR="00C64050">
        <w:t xml:space="preserve"> </w:t>
      </w:r>
      <w:r>
        <w:t>the</w:t>
      </w:r>
      <w:r w:rsidR="00C64050">
        <w:t xml:space="preserve"> </w:t>
      </w:r>
      <w:r>
        <w:t>trust</w:t>
      </w:r>
      <w:r w:rsidR="00C64050">
        <w:t xml:space="preserve"> </w:t>
      </w:r>
      <w:r>
        <w:t>worked</w:t>
      </w:r>
      <w:r w:rsidR="00C64050">
        <w:t xml:space="preserve"> </w:t>
      </w:r>
      <w:r>
        <w:t>as</w:t>
      </w:r>
      <w:r w:rsidR="00C64050">
        <w:t xml:space="preserve"> </w:t>
      </w:r>
      <w:r>
        <w:t>intended</w:t>
      </w:r>
      <w:r w:rsidR="00C64050">
        <w:t xml:space="preserve"> </w:t>
      </w:r>
      <w:r>
        <w:t>with</w:t>
      </w:r>
      <w:r w:rsidR="00C64050">
        <w:t xml:space="preserve"> </w:t>
      </w:r>
      <w:r>
        <w:t>the</w:t>
      </w:r>
      <w:r w:rsidR="00C64050">
        <w:t xml:space="preserve"> </w:t>
      </w:r>
      <w:r>
        <w:t>property</w:t>
      </w:r>
      <w:r w:rsidR="00C64050">
        <w:t xml:space="preserve"> </w:t>
      </w:r>
      <w:r>
        <w:t>remaining</w:t>
      </w:r>
      <w:r w:rsidR="00C64050">
        <w:t xml:space="preserve"> </w:t>
      </w:r>
      <w:r>
        <w:t>in</w:t>
      </w:r>
      <w:r w:rsidR="00C64050">
        <w:t xml:space="preserve"> </w:t>
      </w:r>
      <w:r>
        <w:t>the</w:t>
      </w:r>
      <w:r w:rsidR="00C64050">
        <w:t xml:space="preserve"> </w:t>
      </w:r>
      <w:r>
        <w:t>trust</w:t>
      </w:r>
      <w:r w:rsidR="00C64050">
        <w:t xml:space="preserve"> </w:t>
      </w:r>
      <w:r>
        <w:t>for</w:t>
      </w:r>
      <w:r w:rsidR="00C64050">
        <w:t xml:space="preserve"> </w:t>
      </w:r>
      <w:r>
        <w:t>Mrs.</w:t>
      </w:r>
      <w:r w:rsidR="00C64050">
        <w:t xml:space="preserve"> </w:t>
      </w:r>
      <w:r>
        <w:t>Stevenson’s</w:t>
      </w:r>
      <w:r w:rsidR="00C64050">
        <w:t xml:space="preserve"> </w:t>
      </w:r>
      <w:r>
        <w:t>benefit</w:t>
      </w:r>
      <w:r w:rsidR="00C64050">
        <w:t xml:space="preserve"> </w:t>
      </w:r>
      <w:r>
        <w:t>until</w:t>
      </w:r>
      <w:r w:rsidR="00C64050">
        <w:t xml:space="preserve"> </w:t>
      </w:r>
      <w:r>
        <w:t>her</w:t>
      </w:r>
      <w:r w:rsidR="00C64050">
        <w:t xml:space="preserve"> </w:t>
      </w:r>
      <w:r>
        <w:t>death</w:t>
      </w:r>
      <w:r w:rsidR="00C64050">
        <w:t xml:space="preserve"> </w:t>
      </w:r>
      <w:r>
        <w:t>in</w:t>
      </w:r>
      <w:r w:rsidR="00C64050">
        <w:t xml:space="preserve"> </w:t>
      </w:r>
      <w:r>
        <w:t>2016.</w:t>
      </w:r>
      <w:r w:rsidR="00C64050">
        <w:t xml:space="preserve">  </w:t>
      </w:r>
      <w:r>
        <w:t>Mrs.</w:t>
      </w:r>
      <w:r w:rsidR="00C64050">
        <w:t xml:space="preserve"> </w:t>
      </w:r>
      <w:r>
        <w:t>Stevenson’s</w:t>
      </w:r>
      <w:r w:rsidR="00C64050">
        <w:t xml:space="preserve"> </w:t>
      </w:r>
      <w:r>
        <w:t>children</w:t>
      </w:r>
      <w:r w:rsidR="00C64050">
        <w:t xml:space="preserve"> </w:t>
      </w:r>
      <w:r>
        <w:t>decided</w:t>
      </w:r>
      <w:r w:rsidR="00C64050">
        <w:t xml:space="preserve"> </w:t>
      </w:r>
      <w:r>
        <w:t>to</w:t>
      </w:r>
      <w:r w:rsidR="00C64050">
        <w:t xml:space="preserve"> </w:t>
      </w:r>
      <w:r>
        <w:t>sell</w:t>
      </w:r>
      <w:r w:rsidR="00C64050">
        <w:t xml:space="preserve"> </w:t>
      </w:r>
      <w:r>
        <w:t>the</w:t>
      </w:r>
      <w:r w:rsidR="00C64050">
        <w:t xml:space="preserve"> </w:t>
      </w:r>
      <w:r>
        <w:t>lake</w:t>
      </w:r>
      <w:r w:rsidR="00C64050">
        <w:t xml:space="preserve"> </w:t>
      </w:r>
      <w:r>
        <w:t>house</w:t>
      </w:r>
      <w:r w:rsidR="00C64050">
        <w:t xml:space="preserve"> </w:t>
      </w:r>
      <w:r>
        <w:t>and</w:t>
      </w:r>
      <w:r w:rsidR="00C64050">
        <w:t xml:space="preserve"> </w:t>
      </w:r>
      <w:r>
        <w:t>learned</w:t>
      </w:r>
      <w:r w:rsidR="00C64050">
        <w:t xml:space="preserve"> </w:t>
      </w:r>
      <w:r>
        <w:t>they</w:t>
      </w:r>
      <w:r w:rsidR="00C64050">
        <w:t xml:space="preserve"> </w:t>
      </w:r>
      <w:r>
        <w:t>would</w:t>
      </w:r>
      <w:r w:rsidR="00C64050">
        <w:t xml:space="preserve"> </w:t>
      </w:r>
      <w:r>
        <w:t>owe</w:t>
      </w:r>
      <w:r w:rsidR="00C64050">
        <w:t xml:space="preserve"> </w:t>
      </w:r>
      <w:r>
        <w:t>capital</w:t>
      </w:r>
      <w:r w:rsidR="00C64050">
        <w:t xml:space="preserve"> </w:t>
      </w:r>
      <w:r>
        <w:t>gains</w:t>
      </w:r>
      <w:r w:rsidR="00C64050">
        <w:t xml:space="preserve"> </w:t>
      </w:r>
      <w:r>
        <w:t>taxes</w:t>
      </w:r>
      <w:r w:rsidR="00C64050">
        <w:t xml:space="preserve"> </w:t>
      </w:r>
      <w:r>
        <w:t>whereupon</w:t>
      </w:r>
      <w:r w:rsidR="00C64050">
        <w:t xml:space="preserve"> </w:t>
      </w:r>
      <w:r>
        <w:t>Mrs.</w:t>
      </w:r>
      <w:r w:rsidR="00C64050">
        <w:t xml:space="preserve"> </w:t>
      </w:r>
      <w:r>
        <w:t>Stevenson’s</w:t>
      </w:r>
      <w:r w:rsidR="00C64050">
        <w:t xml:space="preserve"> </w:t>
      </w:r>
      <w:r>
        <w:t>son,</w:t>
      </w:r>
      <w:r w:rsidR="00C64050">
        <w:t xml:space="preserve"> </w:t>
      </w:r>
      <w:r>
        <w:t>as</w:t>
      </w:r>
      <w:r w:rsidR="00C64050">
        <w:t xml:space="preserve"> </w:t>
      </w:r>
      <w:r>
        <w:t>executor,</w:t>
      </w:r>
      <w:r w:rsidR="00C64050">
        <w:t xml:space="preserve"> </w:t>
      </w:r>
      <w:r>
        <w:t>sued</w:t>
      </w:r>
      <w:r w:rsidR="00C64050">
        <w:t xml:space="preserve"> </w:t>
      </w:r>
      <w:r>
        <w:t>the</w:t>
      </w:r>
      <w:r w:rsidR="00C64050">
        <w:t xml:space="preserve"> </w:t>
      </w:r>
      <w:r>
        <w:t>lawyer</w:t>
      </w:r>
      <w:r w:rsidR="00C64050">
        <w:t xml:space="preserve"> </w:t>
      </w:r>
      <w:r>
        <w:t>who</w:t>
      </w:r>
      <w:r w:rsidR="00C64050">
        <w:t xml:space="preserve"> </w:t>
      </w:r>
      <w:r>
        <w:t>had</w:t>
      </w:r>
      <w:r w:rsidR="00C64050">
        <w:t xml:space="preserve"> </w:t>
      </w:r>
      <w:r>
        <w:t>updated</w:t>
      </w:r>
      <w:r w:rsidR="00C64050">
        <w:t xml:space="preserve"> </w:t>
      </w:r>
      <w:r>
        <w:t>Mrs.</w:t>
      </w:r>
      <w:r w:rsidR="00C64050">
        <w:t xml:space="preserve"> </w:t>
      </w:r>
      <w:r>
        <w:t>Stevenson’s</w:t>
      </w:r>
      <w:r w:rsidR="00C64050">
        <w:t xml:space="preserve"> </w:t>
      </w:r>
      <w:r>
        <w:t>will,</w:t>
      </w:r>
      <w:r w:rsidR="00C64050">
        <w:t xml:space="preserve"> </w:t>
      </w:r>
      <w:r>
        <w:t>power</w:t>
      </w:r>
      <w:r w:rsidR="00C64050">
        <w:t xml:space="preserve"> </w:t>
      </w:r>
      <w:r>
        <w:t>of</w:t>
      </w:r>
      <w:r w:rsidR="00C64050">
        <w:t xml:space="preserve"> </w:t>
      </w:r>
      <w:r>
        <w:t>attorney,</w:t>
      </w:r>
      <w:r w:rsidR="00C64050">
        <w:t xml:space="preserve"> </w:t>
      </w:r>
      <w:r>
        <w:t>and</w:t>
      </w:r>
      <w:r w:rsidR="00C64050">
        <w:t xml:space="preserve"> </w:t>
      </w:r>
      <w:r>
        <w:t>health</w:t>
      </w:r>
      <w:r w:rsidR="00C64050">
        <w:t xml:space="preserve"> </w:t>
      </w:r>
      <w:r>
        <w:t>care</w:t>
      </w:r>
      <w:r w:rsidR="00C64050">
        <w:t xml:space="preserve"> </w:t>
      </w:r>
      <w:r>
        <w:t>directive</w:t>
      </w:r>
      <w:r w:rsidR="00C64050">
        <w:t xml:space="preserve"> </w:t>
      </w:r>
      <w:r>
        <w:t>some</w:t>
      </w:r>
      <w:r w:rsidR="00C64050">
        <w:t xml:space="preserve"> </w:t>
      </w:r>
      <w:r>
        <w:t>six</w:t>
      </w:r>
      <w:r w:rsidR="00C64050">
        <w:t xml:space="preserve"> </w:t>
      </w:r>
      <w:r>
        <w:t>months</w:t>
      </w:r>
      <w:r w:rsidR="00C64050">
        <w:t xml:space="preserve"> </w:t>
      </w:r>
      <w:r>
        <w:t>before</w:t>
      </w:r>
      <w:r w:rsidR="00C64050">
        <w:t xml:space="preserve"> </w:t>
      </w:r>
      <w:r>
        <w:t>she</w:t>
      </w:r>
      <w:r w:rsidR="00C64050">
        <w:t xml:space="preserve"> </w:t>
      </w:r>
      <w:r>
        <w:t>died.</w:t>
      </w:r>
      <w:r w:rsidR="00C64050">
        <w:t xml:space="preserve">  </w:t>
      </w:r>
      <w:r>
        <w:t>The</w:t>
      </w:r>
      <w:r w:rsidR="00C64050">
        <w:t xml:space="preserve"> </w:t>
      </w:r>
      <w:r>
        <w:t>opinion</w:t>
      </w:r>
      <w:r w:rsidR="00C64050">
        <w:t xml:space="preserve"> </w:t>
      </w:r>
      <w:r>
        <w:t>states</w:t>
      </w:r>
      <w:r w:rsidR="00C64050">
        <w:t xml:space="preserve"> </w:t>
      </w:r>
      <w:r>
        <w:t>that</w:t>
      </w:r>
      <w:r w:rsidR="00C64050">
        <w:t xml:space="preserve"> </w:t>
      </w:r>
      <w:r>
        <w:t>the</w:t>
      </w:r>
      <w:r w:rsidR="00C64050">
        <w:t xml:space="preserve"> </w:t>
      </w:r>
      <w:r>
        <w:t>“essence</w:t>
      </w:r>
      <w:r w:rsidR="00C64050">
        <w:t xml:space="preserve"> </w:t>
      </w:r>
      <w:r>
        <w:t>of</w:t>
      </w:r>
      <w:r w:rsidR="00C64050">
        <w:t xml:space="preserve"> </w:t>
      </w:r>
      <w:r>
        <w:t>the</w:t>
      </w:r>
      <w:r w:rsidR="00C64050">
        <w:t xml:space="preserve"> </w:t>
      </w:r>
      <w:r>
        <w:t>complaint”</w:t>
      </w:r>
      <w:r w:rsidR="00C64050">
        <w:t xml:space="preserve"> </w:t>
      </w:r>
      <w:r>
        <w:t>was</w:t>
      </w:r>
      <w:r w:rsidR="00C64050">
        <w:t xml:space="preserve"> </w:t>
      </w:r>
      <w:r>
        <w:t>that</w:t>
      </w:r>
      <w:r w:rsidR="00C64050">
        <w:t xml:space="preserve"> </w:t>
      </w:r>
      <w:r>
        <w:t>the</w:t>
      </w:r>
      <w:r w:rsidR="00C64050">
        <w:t xml:space="preserve"> </w:t>
      </w:r>
      <w:r>
        <w:t>lawyer</w:t>
      </w:r>
      <w:r w:rsidR="00C64050">
        <w:t xml:space="preserve"> </w:t>
      </w:r>
      <w:r>
        <w:t>should</w:t>
      </w:r>
      <w:r w:rsidR="00C64050">
        <w:t xml:space="preserve"> </w:t>
      </w:r>
      <w:r>
        <w:t>have</w:t>
      </w:r>
      <w:r w:rsidR="00C64050">
        <w:t xml:space="preserve"> </w:t>
      </w:r>
      <w:r>
        <w:t>advised</w:t>
      </w:r>
      <w:r w:rsidR="00C64050">
        <w:t xml:space="preserve"> </w:t>
      </w:r>
      <w:r>
        <w:t>Mrs.</w:t>
      </w:r>
      <w:r w:rsidR="00C64050">
        <w:t xml:space="preserve"> </w:t>
      </w:r>
      <w:r>
        <w:t>Stevenson</w:t>
      </w:r>
      <w:r w:rsidR="00C64050">
        <w:t xml:space="preserve"> </w:t>
      </w:r>
      <w:r>
        <w:t>to</w:t>
      </w:r>
      <w:r w:rsidR="00C64050">
        <w:t xml:space="preserve"> </w:t>
      </w:r>
      <w:r>
        <w:t>have</w:t>
      </w:r>
      <w:r w:rsidR="00C64050">
        <w:t xml:space="preserve"> </w:t>
      </w:r>
      <w:r>
        <w:t>entered</w:t>
      </w:r>
      <w:r w:rsidR="00C64050">
        <w:t xml:space="preserve"> </w:t>
      </w:r>
      <w:r>
        <w:t>into</w:t>
      </w:r>
      <w:r w:rsidR="00C64050">
        <w:t xml:space="preserve"> </w:t>
      </w:r>
      <w:r>
        <w:t>an</w:t>
      </w:r>
      <w:r w:rsidR="00C64050">
        <w:t xml:space="preserve"> </w:t>
      </w:r>
      <w:r>
        <w:t>agreement</w:t>
      </w:r>
      <w:r w:rsidR="00C64050">
        <w:t xml:space="preserve"> </w:t>
      </w:r>
      <w:r>
        <w:t>with</w:t>
      </w:r>
      <w:r w:rsidR="00C64050">
        <w:t xml:space="preserve"> </w:t>
      </w:r>
      <w:r>
        <w:t>the</w:t>
      </w:r>
      <w:r w:rsidR="00C64050">
        <w:t xml:space="preserve"> </w:t>
      </w:r>
      <w:r>
        <w:t>trust</w:t>
      </w:r>
      <w:r w:rsidR="00C64050">
        <w:t xml:space="preserve"> </w:t>
      </w:r>
      <w:r>
        <w:t>beneficiaries</w:t>
      </w:r>
      <w:r w:rsidR="00C64050">
        <w:t xml:space="preserve"> </w:t>
      </w:r>
      <w:r>
        <w:t>to</w:t>
      </w:r>
      <w:r w:rsidR="00C64050">
        <w:t xml:space="preserve"> </w:t>
      </w:r>
      <w:r>
        <w:t>dissolve</w:t>
      </w:r>
      <w:r w:rsidR="00C64050">
        <w:t xml:space="preserve"> </w:t>
      </w:r>
      <w:r>
        <w:t>the</w:t>
      </w:r>
      <w:r w:rsidR="00C64050">
        <w:t xml:space="preserve"> </w:t>
      </w:r>
      <w:r>
        <w:t>trust,</w:t>
      </w:r>
      <w:r w:rsidR="00C64050">
        <w:t xml:space="preserve"> </w:t>
      </w:r>
      <w:r>
        <w:t>take</w:t>
      </w:r>
      <w:r w:rsidR="00C64050">
        <w:t xml:space="preserve"> </w:t>
      </w:r>
      <w:r>
        <w:t>the</w:t>
      </w:r>
      <w:r w:rsidR="00C64050">
        <w:t xml:space="preserve"> </w:t>
      </w:r>
      <w:r>
        <w:t>lake</w:t>
      </w:r>
      <w:r w:rsidR="00C64050">
        <w:t xml:space="preserve"> </w:t>
      </w:r>
      <w:r>
        <w:t>house</w:t>
      </w:r>
      <w:r w:rsidR="00C64050">
        <w:t xml:space="preserve"> </w:t>
      </w:r>
      <w:r>
        <w:t>into</w:t>
      </w:r>
      <w:r w:rsidR="00C64050">
        <w:t xml:space="preserve"> </w:t>
      </w:r>
      <w:r>
        <w:t>her</w:t>
      </w:r>
      <w:r w:rsidR="00C64050">
        <w:t xml:space="preserve"> </w:t>
      </w:r>
      <w:r>
        <w:t>personal</w:t>
      </w:r>
      <w:r w:rsidR="00C64050">
        <w:t xml:space="preserve"> </w:t>
      </w:r>
      <w:r>
        <w:t>name,</w:t>
      </w:r>
      <w:r w:rsidR="00C64050">
        <w:t xml:space="preserve"> </w:t>
      </w:r>
      <w:r>
        <w:t>and</w:t>
      </w:r>
      <w:r w:rsidR="00C64050">
        <w:t xml:space="preserve"> </w:t>
      </w:r>
      <w:r>
        <w:t>receive</w:t>
      </w:r>
      <w:r w:rsidR="00C64050">
        <w:t xml:space="preserve"> </w:t>
      </w:r>
      <w:r>
        <w:t>increased</w:t>
      </w:r>
      <w:r w:rsidR="00C64050">
        <w:t xml:space="preserve"> </w:t>
      </w:r>
      <w:r>
        <w:t>basis,</w:t>
      </w:r>
      <w:r w:rsidR="00C64050">
        <w:t xml:space="preserve"> </w:t>
      </w:r>
      <w:r>
        <w:t>none</w:t>
      </w:r>
      <w:r w:rsidR="00C64050">
        <w:t xml:space="preserve"> </w:t>
      </w:r>
      <w:r>
        <w:t>of</w:t>
      </w:r>
      <w:r w:rsidR="00C64050">
        <w:t xml:space="preserve"> </w:t>
      </w:r>
      <w:r>
        <w:t>which</w:t>
      </w:r>
      <w:r w:rsidR="00C64050">
        <w:t xml:space="preserve"> </w:t>
      </w:r>
      <w:r>
        <w:t>would</w:t>
      </w:r>
      <w:r w:rsidR="00C64050">
        <w:t xml:space="preserve"> </w:t>
      </w:r>
      <w:r>
        <w:t>cause</w:t>
      </w:r>
      <w:r w:rsidR="00C64050">
        <w:t xml:space="preserve"> </w:t>
      </w:r>
      <w:r>
        <w:t>any</w:t>
      </w:r>
      <w:r w:rsidR="00C64050">
        <w:t xml:space="preserve"> </w:t>
      </w:r>
      <w:r>
        <w:t>estate</w:t>
      </w:r>
      <w:r w:rsidR="00C64050">
        <w:t xml:space="preserve"> </w:t>
      </w:r>
      <w:r>
        <w:t>tax</w:t>
      </w:r>
      <w:r w:rsidR="00C64050">
        <w:t xml:space="preserve"> </w:t>
      </w:r>
      <w:r>
        <w:t>to</w:t>
      </w:r>
      <w:r w:rsidR="00C64050">
        <w:t xml:space="preserve"> </w:t>
      </w:r>
      <w:r>
        <w:t>be</w:t>
      </w:r>
      <w:r w:rsidR="00C64050">
        <w:t xml:space="preserve"> </w:t>
      </w:r>
      <w:r>
        <w:t>owed</w:t>
      </w:r>
      <w:r w:rsidR="00C64050">
        <w:t xml:space="preserve"> </w:t>
      </w:r>
      <w:r>
        <w:t>because</w:t>
      </w:r>
      <w:r w:rsidR="00C64050">
        <w:t xml:space="preserve"> </w:t>
      </w:r>
      <w:r>
        <w:t>of</w:t>
      </w:r>
      <w:r w:rsidR="00C64050">
        <w:t xml:space="preserve"> </w:t>
      </w:r>
      <w:r>
        <w:t>the</w:t>
      </w:r>
      <w:r w:rsidR="00C64050">
        <w:t xml:space="preserve"> </w:t>
      </w:r>
      <w:r>
        <w:t>increased</w:t>
      </w:r>
      <w:r w:rsidR="00C64050">
        <w:t xml:space="preserve"> </w:t>
      </w:r>
      <w:r>
        <w:t>estate</w:t>
      </w:r>
      <w:r w:rsidR="00C64050">
        <w:t xml:space="preserve"> </w:t>
      </w:r>
      <w:r>
        <w:t>exemption.</w:t>
      </w:r>
      <w:r w:rsidR="00C64050">
        <w:t xml:space="preserve">  </w:t>
      </w:r>
      <w:r>
        <w:t>The</w:t>
      </w:r>
      <w:r w:rsidR="00C64050">
        <w:t xml:space="preserve"> </w:t>
      </w:r>
      <w:r>
        <w:t>damages</w:t>
      </w:r>
      <w:r w:rsidR="00C64050">
        <w:t xml:space="preserve"> </w:t>
      </w:r>
      <w:r>
        <w:t>were</w:t>
      </w:r>
      <w:r w:rsidR="00C64050">
        <w:t xml:space="preserve"> </w:t>
      </w:r>
      <w:r>
        <w:t>$159,000</w:t>
      </w:r>
      <w:r w:rsidR="00C64050">
        <w:t xml:space="preserve"> </w:t>
      </w:r>
      <w:r>
        <w:t>in</w:t>
      </w:r>
      <w:r w:rsidR="00C64050">
        <w:t xml:space="preserve"> </w:t>
      </w:r>
      <w:r>
        <w:t>capital</w:t>
      </w:r>
      <w:r w:rsidR="00C64050">
        <w:t xml:space="preserve"> </w:t>
      </w:r>
      <w:r>
        <w:t>gains</w:t>
      </w:r>
      <w:r w:rsidR="00C64050">
        <w:t xml:space="preserve"> </w:t>
      </w:r>
      <w:r>
        <w:t>taxes.</w:t>
      </w:r>
    </w:p>
    <w:p w:rsidR="00785DCB" w:rsidRDefault="00785DCB" w:rsidP="00785DCB">
      <w:pPr>
        <w:pStyle w:val="Body15"/>
      </w:pPr>
      <w:r>
        <w:t>The</w:t>
      </w:r>
      <w:r w:rsidR="00C64050">
        <w:t xml:space="preserve"> </w:t>
      </w:r>
      <w:r>
        <w:t>lawyer</w:t>
      </w:r>
      <w:r w:rsidR="00C64050">
        <w:t xml:space="preserve"> </w:t>
      </w:r>
      <w:r>
        <w:t>defended</w:t>
      </w:r>
      <w:r w:rsidR="00C64050">
        <w:t xml:space="preserve"> </w:t>
      </w:r>
      <w:r>
        <w:t>on</w:t>
      </w:r>
      <w:r w:rsidR="00C64050">
        <w:t xml:space="preserve"> </w:t>
      </w:r>
      <w:r>
        <w:t>the</w:t>
      </w:r>
      <w:r w:rsidR="00C64050">
        <w:t xml:space="preserve"> </w:t>
      </w:r>
      <w:r>
        <w:t>grounds</w:t>
      </w:r>
      <w:r w:rsidR="00C64050">
        <w:t xml:space="preserve"> </w:t>
      </w:r>
      <w:r>
        <w:t>that</w:t>
      </w:r>
      <w:r w:rsidR="00C64050">
        <w:t xml:space="preserve"> </w:t>
      </w:r>
      <w:r>
        <w:t>he</w:t>
      </w:r>
      <w:r w:rsidR="00C64050">
        <w:t xml:space="preserve"> </w:t>
      </w:r>
      <w:r>
        <w:t>was</w:t>
      </w:r>
      <w:r w:rsidR="00C64050">
        <w:t xml:space="preserve"> </w:t>
      </w:r>
      <w:r>
        <w:t>not</w:t>
      </w:r>
      <w:r w:rsidR="00C64050">
        <w:t xml:space="preserve"> </w:t>
      </w:r>
      <w:r>
        <w:t>asked</w:t>
      </w:r>
      <w:r w:rsidR="00C64050">
        <w:t xml:space="preserve"> </w:t>
      </w:r>
      <w:r>
        <w:t>to</w:t>
      </w:r>
      <w:r w:rsidR="00C64050">
        <w:t xml:space="preserve"> </w:t>
      </w:r>
      <w:r>
        <w:t>do</w:t>
      </w:r>
      <w:r w:rsidR="00C64050">
        <w:t xml:space="preserve"> </w:t>
      </w:r>
      <w:r>
        <w:t>any</w:t>
      </w:r>
      <w:r w:rsidR="00C64050">
        <w:t xml:space="preserve"> </w:t>
      </w:r>
      <w:r>
        <w:t>tax</w:t>
      </w:r>
      <w:r w:rsidR="00C64050">
        <w:t xml:space="preserve"> </w:t>
      </w:r>
      <w:r>
        <w:t>work</w:t>
      </w:r>
      <w:r w:rsidR="00C64050">
        <w:t xml:space="preserve"> </w:t>
      </w:r>
      <w:r>
        <w:t>on</w:t>
      </w:r>
      <w:r w:rsidR="00C64050">
        <w:t xml:space="preserve"> </w:t>
      </w:r>
      <w:r>
        <w:t>behalf</w:t>
      </w:r>
      <w:r w:rsidR="00C64050">
        <w:t xml:space="preserve"> </w:t>
      </w:r>
      <w:r>
        <w:t>of</w:t>
      </w:r>
      <w:r w:rsidR="00C64050">
        <w:t xml:space="preserve"> </w:t>
      </w:r>
      <w:r>
        <w:t>the</w:t>
      </w:r>
      <w:r w:rsidR="00C64050">
        <w:t xml:space="preserve"> </w:t>
      </w:r>
      <w:r>
        <w:t>beneficiaries.</w:t>
      </w:r>
      <w:r w:rsidR="00C64050">
        <w:t xml:space="preserve">  </w:t>
      </w:r>
      <w:r>
        <w:t>The</w:t>
      </w:r>
      <w:r w:rsidR="00C64050">
        <w:t xml:space="preserve"> </w:t>
      </w:r>
      <w:r>
        <w:t>decedent’s</w:t>
      </w:r>
      <w:r w:rsidR="00C64050">
        <w:t xml:space="preserve"> </w:t>
      </w:r>
      <w:r>
        <w:t>son</w:t>
      </w:r>
      <w:r w:rsidR="00C64050">
        <w:t xml:space="preserve"> </w:t>
      </w:r>
      <w:r>
        <w:t>remembered</w:t>
      </w:r>
      <w:r w:rsidR="00C64050">
        <w:t xml:space="preserve"> </w:t>
      </w:r>
      <w:r>
        <w:t>his</w:t>
      </w:r>
      <w:r w:rsidR="00C64050">
        <w:t xml:space="preserve"> </w:t>
      </w:r>
      <w:r>
        <w:t>mother’s</w:t>
      </w:r>
      <w:r w:rsidR="00C64050">
        <w:t xml:space="preserve"> </w:t>
      </w:r>
      <w:r>
        <w:t>“clear</w:t>
      </w:r>
      <w:r w:rsidR="00C64050">
        <w:t xml:space="preserve"> </w:t>
      </w:r>
      <w:r>
        <w:t>intention”</w:t>
      </w:r>
      <w:r w:rsidR="00C64050">
        <w:t xml:space="preserve"> </w:t>
      </w:r>
      <w:r>
        <w:t>that</w:t>
      </w:r>
      <w:r w:rsidR="00C64050">
        <w:t xml:space="preserve"> </w:t>
      </w:r>
      <w:r>
        <w:t>her</w:t>
      </w:r>
      <w:r w:rsidR="00C64050">
        <w:t xml:space="preserve"> </w:t>
      </w:r>
      <w:r>
        <w:t>death</w:t>
      </w:r>
      <w:r w:rsidR="00C64050">
        <w:t xml:space="preserve"> </w:t>
      </w:r>
      <w:r>
        <w:t>not</w:t>
      </w:r>
      <w:r w:rsidR="00C64050">
        <w:t xml:space="preserve"> </w:t>
      </w:r>
      <w:r>
        <w:t>result</w:t>
      </w:r>
      <w:r w:rsidR="00C64050">
        <w:t xml:space="preserve"> </w:t>
      </w:r>
      <w:r>
        <w:t>in</w:t>
      </w:r>
      <w:r w:rsidR="00C64050">
        <w:t xml:space="preserve"> </w:t>
      </w:r>
      <w:r>
        <w:t>a</w:t>
      </w:r>
      <w:r w:rsidR="00C64050">
        <w:t xml:space="preserve"> </w:t>
      </w:r>
      <w:r>
        <w:t>taxable</w:t>
      </w:r>
      <w:r w:rsidR="00C64050">
        <w:t xml:space="preserve"> </w:t>
      </w:r>
      <w:r>
        <w:t>event</w:t>
      </w:r>
      <w:r w:rsidR="00C64050">
        <w:t xml:space="preserve"> </w:t>
      </w:r>
      <w:r>
        <w:t>to</w:t>
      </w:r>
      <w:r w:rsidR="00C64050">
        <w:t xml:space="preserve"> </w:t>
      </w:r>
      <w:r>
        <w:t>her</w:t>
      </w:r>
      <w:r w:rsidR="00C64050">
        <w:t xml:space="preserve"> </w:t>
      </w:r>
      <w:r>
        <w:t>estate</w:t>
      </w:r>
      <w:r w:rsidR="00C64050">
        <w:t xml:space="preserve"> </w:t>
      </w:r>
      <w:r>
        <w:t>or</w:t>
      </w:r>
      <w:r w:rsidR="00C64050">
        <w:t xml:space="preserve"> </w:t>
      </w:r>
      <w:r>
        <w:t>her</w:t>
      </w:r>
      <w:r w:rsidR="00C64050">
        <w:t xml:space="preserve"> </w:t>
      </w:r>
      <w:r>
        <w:t>beneficiaries</w:t>
      </w:r>
      <w:r w:rsidR="00C64050">
        <w:t xml:space="preserve"> </w:t>
      </w:r>
      <w:r>
        <w:t>but</w:t>
      </w:r>
      <w:r w:rsidR="00C64050">
        <w:t xml:space="preserve"> </w:t>
      </w:r>
      <w:r>
        <w:t>the</w:t>
      </w:r>
      <w:r w:rsidR="00C64050">
        <w:t xml:space="preserve"> </w:t>
      </w:r>
      <w:r>
        <w:t>court</w:t>
      </w:r>
      <w:r w:rsidR="00C64050">
        <w:t xml:space="preserve"> </w:t>
      </w:r>
      <w:r>
        <w:t>found</w:t>
      </w:r>
      <w:r w:rsidR="00C64050">
        <w:t xml:space="preserve"> </w:t>
      </w:r>
      <w:r>
        <w:t>that</w:t>
      </w:r>
      <w:r w:rsidR="00C64050">
        <w:t xml:space="preserve"> </w:t>
      </w:r>
      <w:r>
        <w:t>there</w:t>
      </w:r>
      <w:r w:rsidR="00C64050">
        <w:t xml:space="preserve"> </w:t>
      </w:r>
      <w:r>
        <w:t>was</w:t>
      </w:r>
      <w:r w:rsidR="00C64050">
        <w:t xml:space="preserve"> </w:t>
      </w:r>
      <w:r>
        <w:t>no</w:t>
      </w:r>
      <w:r w:rsidR="00C64050">
        <w:t xml:space="preserve"> </w:t>
      </w:r>
      <w:r>
        <w:t>evidence</w:t>
      </w:r>
      <w:r w:rsidR="00C64050">
        <w:t xml:space="preserve"> </w:t>
      </w:r>
      <w:r>
        <w:t>such</w:t>
      </w:r>
      <w:r w:rsidR="00C64050">
        <w:t xml:space="preserve"> </w:t>
      </w:r>
      <w:r>
        <w:t>intent</w:t>
      </w:r>
      <w:r w:rsidR="00C64050">
        <w:t xml:space="preserve"> </w:t>
      </w:r>
      <w:r>
        <w:t>was</w:t>
      </w:r>
      <w:r w:rsidR="00C64050">
        <w:t xml:space="preserve"> </w:t>
      </w:r>
      <w:r>
        <w:t>ever</w:t>
      </w:r>
      <w:r w:rsidR="00C64050">
        <w:t xml:space="preserve"> </w:t>
      </w:r>
      <w:r>
        <w:t>expressed</w:t>
      </w:r>
      <w:r w:rsidR="00C64050">
        <w:t xml:space="preserve"> </w:t>
      </w:r>
      <w:r>
        <w:t>to</w:t>
      </w:r>
      <w:r w:rsidR="00C64050">
        <w:t xml:space="preserve"> </w:t>
      </w:r>
      <w:r>
        <w:t>the</w:t>
      </w:r>
      <w:r w:rsidR="00C64050">
        <w:t xml:space="preserve"> </w:t>
      </w:r>
      <w:r>
        <w:t>lawyer.</w:t>
      </w:r>
      <w:r w:rsidR="00C64050">
        <w:t xml:space="preserve">  </w:t>
      </w:r>
      <w:r>
        <w:t>The</w:t>
      </w:r>
      <w:r w:rsidR="00C64050">
        <w:t xml:space="preserve"> </w:t>
      </w:r>
      <w:r>
        <w:t>opinion</w:t>
      </w:r>
      <w:r w:rsidR="00C64050">
        <w:t xml:space="preserve"> </w:t>
      </w:r>
      <w:r>
        <w:t>notes</w:t>
      </w:r>
      <w:r w:rsidR="00C64050">
        <w:t xml:space="preserve"> </w:t>
      </w:r>
      <w:r>
        <w:t>that</w:t>
      </w:r>
      <w:r w:rsidR="00C64050">
        <w:t xml:space="preserve"> </w:t>
      </w:r>
      <w:r>
        <w:t>“[t]here</w:t>
      </w:r>
      <w:r w:rsidR="00C64050">
        <w:t xml:space="preserve"> </w:t>
      </w:r>
      <w:r>
        <w:t>is</w:t>
      </w:r>
      <w:r w:rsidR="00C64050">
        <w:t xml:space="preserve"> </w:t>
      </w:r>
      <w:r>
        <w:t>simply</w:t>
      </w:r>
      <w:r w:rsidR="00C64050">
        <w:t xml:space="preserve"> </w:t>
      </w:r>
      <w:r>
        <w:t>no</w:t>
      </w:r>
      <w:r w:rsidR="00C64050">
        <w:t xml:space="preserve"> </w:t>
      </w:r>
      <w:r>
        <w:t>indication</w:t>
      </w:r>
      <w:r w:rsidR="00C64050">
        <w:t xml:space="preserve"> </w:t>
      </w:r>
      <w:r>
        <w:t>that</w:t>
      </w:r>
      <w:r w:rsidR="00C64050">
        <w:t xml:space="preserve"> </w:t>
      </w:r>
      <w:r>
        <w:t>her</w:t>
      </w:r>
      <w:r w:rsidR="00C64050">
        <w:t xml:space="preserve"> </w:t>
      </w:r>
      <w:r>
        <w:t>desire</w:t>
      </w:r>
      <w:r w:rsidR="00C64050">
        <w:t xml:space="preserve"> </w:t>
      </w:r>
      <w:r>
        <w:t>to</w:t>
      </w:r>
      <w:r w:rsidR="00C64050">
        <w:t xml:space="preserve"> </w:t>
      </w:r>
      <w:r>
        <w:t>avoid</w:t>
      </w:r>
      <w:r w:rsidR="00C64050">
        <w:t xml:space="preserve"> </w:t>
      </w:r>
      <w:r>
        <w:t>tax</w:t>
      </w:r>
      <w:r w:rsidR="00C64050">
        <w:t xml:space="preserve"> </w:t>
      </w:r>
      <w:r>
        <w:t>consequences</w:t>
      </w:r>
      <w:r w:rsidR="00C64050">
        <w:t xml:space="preserve"> </w:t>
      </w:r>
      <w:r>
        <w:t>for</w:t>
      </w:r>
      <w:r w:rsidR="00C64050">
        <w:t xml:space="preserve"> </w:t>
      </w:r>
      <w:r>
        <w:t>the</w:t>
      </w:r>
      <w:r w:rsidR="00C64050">
        <w:t xml:space="preserve"> </w:t>
      </w:r>
      <w:r>
        <w:t>children</w:t>
      </w:r>
      <w:r w:rsidR="00C64050">
        <w:t xml:space="preserve"> </w:t>
      </w:r>
      <w:r>
        <w:t>was</w:t>
      </w:r>
      <w:r w:rsidR="00C64050">
        <w:t xml:space="preserve"> </w:t>
      </w:r>
      <w:r>
        <w:t>ever</w:t>
      </w:r>
      <w:r w:rsidR="00C64050">
        <w:t xml:space="preserve"> </w:t>
      </w:r>
      <w:r>
        <w:t>communicated</w:t>
      </w:r>
      <w:r w:rsidR="00C64050">
        <w:t xml:space="preserve"> </w:t>
      </w:r>
      <w:r>
        <w:t>to</w:t>
      </w:r>
      <w:r w:rsidR="00C64050">
        <w:t xml:space="preserve"> </w:t>
      </w:r>
      <w:r>
        <w:t>Mr.</w:t>
      </w:r>
      <w:r w:rsidR="00C64050">
        <w:t xml:space="preserve"> </w:t>
      </w:r>
      <w:r>
        <w:t>Stanyer.</w:t>
      </w:r>
      <w:r w:rsidR="00C64050">
        <w:t xml:space="preserve">  </w:t>
      </w:r>
      <w:r>
        <w:t>Similarly,</w:t>
      </w:r>
      <w:r w:rsidR="00C64050">
        <w:t xml:space="preserve"> </w:t>
      </w:r>
      <w:r>
        <w:t>the</w:t>
      </w:r>
      <w:r w:rsidR="00C64050">
        <w:t xml:space="preserve"> </w:t>
      </w:r>
      <w:r>
        <w:t>e-mail</w:t>
      </w:r>
      <w:r w:rsidR="00C64050">
        <w:t xml:space="preserve"> </w:t>
      </w:r>
      <w:r>
        <w:t>communications</w:t>
      </w:r>
      <w:r w:rsidR="00C64050">
        <w:t xml:space="preserve"> </w:t>
      </w:r>
      <w:r>
        <w:t>between</w:t>
      </w:r>
      <w:r w:rsidR="00C64050">
        <w:t xml:space="preserve"> </w:t>
      </w:r>
      <w:r>
        <w:t>Stanyer</w:t>
      </w:r>
      <w:r w:rsidR="00C64050">
        <w:t xml:space="preserve"> </w:t>
      </w:r>
      <w:r>
        <w:t>and</w:t>
      </w:r>
      <w:r w:rsidR="00C64050">
        <w:t xml:space="preserve"> </w:t>
      </w:r>
      <w:r>
        <w:t>Stevenson,</w:t>
      </w:r>
      <w:r w:rsidR="00C64050">
        <w:t xml:space="preserve"> </w:t>
      </w:r>
      <w:r>
        <w:t>offered</w:t>
      </w:r>
      <w:r w:rsidR="00C64050">
        <w:t xml:space="preserve"> </w:t>
      </w:r>
      <w:r>
        <w:t>into</w:t>
      </w:r>
      <w:r w:rsidR="00C64050">
        <w:t xml:space="preserve"> </w:t>
      </w:r>
      <w:r>
        <w:t>the</w:t>
      </w:r>
      <w:r w:rsidR="00C64050">
        <w:t xml:space="preserve"> </w:t>
      </w:r>
      <w:r>
        <w:t>record</w:t>
      </w:r>
      <w:r w:rsidR="00C64050">
        <w:t xml:space="preserve"> </w:t>
      </w:r>
      <w:r>
        <w:t>by</w:t>
      </w:r>
      <w:r w:rsidR="00C64050">
        <w:t xml:space="preserve"> </w:t>
      </w:r>
      <w:r>
        <w:t>both</w:t>
      </w:r>
      <w:r w:rsidR="00C64050">
        <w:t xml:space="preserve"> </w:t>
      </w:r>
      <w:r>
        <w:t>parties,</w:t>
      </w:r>
      <w:r w:rsidR="00C64050">
        <w:t xml:space="preserve"> </w:t>
      </w:r>
      <w:r>
        <w:t>do</w:t>
      </w:r>
      <w:r w:rsidR="00C64050">
        <w:t xml:space="preserve"> </w:t>
      </w:r>
      <w:r>
        <w:t>not</w:t>
      </w:r>
      <w:r w:rsidR="00C64050">
        <w:t xml:space="preserve"> </w:t>
      </w:r>
      <w:r>
        <w:t>mention</w:t>
      </w:r>
      <w:r w:rsidR="00C64050">
        <w:t xml:space="preserve"> </w:t>
      </w:r>
      <w:r>
        <w:t>the</w:t>
      </w:r>
      <w:r w:rsidR="00C64050">
        <w:t xml:space="preserve"> </w:t>
      </w:r>
      <w:r>
        <w:t>issue</w:t>
      </w:r>
      <w:r w:rsidR="00C64050">
        <w:t xml:space="preserve"> </w:t>
      </w:r>
      <w:r>
        <w:t>of</w:t>
      </w:r>
      <w:r w:rsidR="00C64050">
        <w:t xml:space="preserve"> </w:t>
      </w:r>
      <w:r>
        <w:t>tax</w:t>
      </w:r>
      <w:r w:rsidR="00C64050">
        <w:t xml:space="preserve"> </w:t>
      </w:r>
      <w:r>
        <w:t>advice.”</w:t>
      </w:r>
      <w:r w:rsidR="00C64050">
        <w:t xml:space="preserve">  </w:t>
      </w:r>
      <w:r>
        <w:t>The</w:t>
      </w:r>
      <w:r w:rsidR="00C64050">
        <w:t xml:space="preserve"> </w:t>
      </w:r>
      <w:r>
        <w:t>court</w:t>
      </w:r>
      <w:r w:rsidR="00C64050">
        <w:t xml:space="preserve"> </w:t>
      </w:r>
      <w:r>
        <w:t>concluded</w:t>
      </w:r>
      <w:r w:rsidR="00C64050">
        <w:t xml:space="preserve"> </w:t>
      </w:r>
      <w:r>
        <w:t>that</w:t>
      </w:r>
      <w:r w:rsidR="00C64050">
        <w:t xml:space="preserve"> </w:t>
      </w:r>
      <w:r>
        <w:t>it</w:t>
      </w:r>
      <w:r w:rsidR="00C64050">
        <w:t xml:space="preserve"> </w:t>
      </w:r>
      <w:r>
        <w:t>“is</w:t>
      </w:r>
      <w:r w:rsidR="00C64050">
        <w:t xml:space="preserve"> </w:t>
      </w:r>
      <w:r>
        <w:t>difficult</w:t>
      </w:r>
      <w:r w:rsidR="00C64050">
        <w:t xml:space="preserve"> </w:t>
      </w:r>
      <w:r>
        <w:t>to</w:t>
      </w:r>
      <w:r w:rsidR="00C64050">
        <w:t xml:space="preserve"> </w:t>
      </w:r>
      <w:r>
        <w:t>see</w:t>
      </w:r>
      <w:r w:rsidR="00C64050">
        <w:t xml:space="preserve"> </w:t>
      </w:r>
      <w:r>
        <w:t>how</w:t>
      </w:r>
      <w:r w:rsidR="00C64050">
        <w:t xml:space="preserve"> </w:t>
      </w:r>
      <w:r>
        <w:t>any</w:t>
      </w:r>
      <w:r w:rsidR="00C64050">
        <w:t xml:space="preserve"> </w:t>
      </w:r>
      <w:r>
        <w:t>general</w:t>
      </w:r>
      <w:r w:rsidR="00C64050">
        <w:t xml:space="preserve"> </w:t>
      </w:r>
      <w:r>
        <w:t>duty</w:t>
      </w:r>
      <w:r w:rsidR="00C64050">
        <w:t xml:space="preserve"> </w:t>
      </w:r>
      <w:r>
        <w:t>to</w:t>
      </w:r>
      <w:r w:rsidR="00C64050">
        <w:t xml:space="preserve"> </w:t>
      </w:r>
      <w:r>
        <w:t>provide</w:t>
      </w:r>
      <w:r w:rsidR="00C64050">
        <w:t xml:space="preserve"> </w:t>
      </w:r>
      <w:r>
        <w:t>tax</w:t>
      </w:r>
      <w:r w:rsidR="00C64050">
        <w:t xml:space="preserve"> </w:t>
      </w:r>
      <w:r>
        <w:t>advice</w:t>
      </w:r>
      <w:r w:rsidR="00C64050">
        <w:t xml:space="preserve"> </w:t>
      </w:r>
      <w:r>
        <w:t>for</w:t>
      </w:r>
      <w:r w:rsidR="00C64050">
        <w:t xml:space="preserve"> </w:t>
      </w:r>
      <w:r>
        <w:t>her</w:t>
      </w:r>
      <w:r w:rsidR="00C64050">
        <w:t xml:space="preserve"> </w:t>
      </w:r>
      <w:r>
        <w:t>estate</w:t>
      </w:r>
      <w:r w:rsidR="00C64050">
        <w:t xml:space="preserve"> </w:t>
      </w:r>
      <w:r>
        <w:t>would</w:t>
      </w:r>
      <w:r w:rsidR="00C64050">
        <w:t xml:space="preserve"> </w:t>
      </w:r>
      <w:r>
        <w:t>encompass</w:t>
      </w:r>
      <w:r w:rsidR="00C64050">
        <w:t xml:space="preserve"> </w:t>
      </w:r>
      <w:r>
        <w:t>tax</w:t>
      </w:r>
      <w:r w:rsidR="00C64050">
        <w:t xml:space="preserve"> </w:t>
      </w:r>
      <w:r>
        <w:t>advice</w:t>
      </w:r>
      <w:r w:rsidR="00C64050">
        <w:t xml:space="preserve"> </w:t>
      </w:r>
      <w:r>
        <w:t>for</w:t>
      </w:r>
      <w:r w:rsidR="00C64050">
        <w:t xml:space="preserve"> </w:t>
      </w:r>
      <w:r>
        <w:t>the</w:t>
      </w:r>
      <w:r w:rsidR="00C64050">
        <w:t xml:space="preserve"> </w:t>
      </w:r>
      <w:r>
        <w:t>beneficiaries</w:t>
      </w:r>
      <w:r w:rsidR="00C64050">
        <w:t xml:space="preserve"> </w:t>
      </w:r>
      <w:r>
        <w:t>of</w:t>
      </w:r>
      <w:r w:rsidR="00C64050">
        <w:t xml:space="preserve"> </w:t>
      </w:r>
      <w:r>
        <w:t>the</w:t>
      </w:r>
      <w:r w:rsidR="00C64050">
        <w:t xml:space="preserve"> </w:t>
      </w:r>
      <w:r>
        <w:t>trust</w:t>
      </w:r>
      <w:r w:rsidR="00C64050">
        <w:t xml:space="preserve"> </w:t>
      </w:r>
      <w:r>
        <w:t>she</w:t>
      </w:r>
      <w:r w:rsidR="00C64050">
        <w:t xml:space="preserve"> </w:t>
      </w:r>
      <w:r>
        <w:t>controlled.”</w:t>
      </w:r>
    </w:p>
    <w:p w:rsidR="00F014DF" w:rsidRDefault="00785DCB" w:rsidP="00785DCB">
      <w:pPr>
        <w:pStyle w:val="Body15"/>
      </w:pPr>
      <w:r>
        <w:t>Many</w:t>
      </w:r>
      <w:r w:rsidR="00C64050">
        <w:t xml:space="preserve"> </w:t>
      </w:r>
      <w:r>
        <w:t>lawyers</w:t>
      </w:r>
      <w:r w:rsidR="00C64050">
        <w:t xml:space="preserve"> </w:t>
      </w:r>
      <w:r>
        <w:t>make</w:t>
      </w:r>
      <w:r w:rsidR="00C64050">
        <w:t xml:space="preserve"> </w:t>
      </w:r>
      <w:r>
        <w:t>more</w:t>
      </w:r>
      <w:r w:rsidR="00C64050">
        <w:t xml:space="preserve"> </w:t>
      </w:r>
      <w:r>
        <w:t>expansive</w:t>
      </w:r>
      <w:r w:rsidR="00C64050">
        <w:t xml:space="preserve"> </w:t>
      </w:r>
      <w:r>
        <w:t>claims</w:t>
      </w:r>
      <w:r w:rsidR="00C64050">
        <w:t xml:space="preserve"> </w:t>
      </w:r>
      <w:r>
        <w:t>for</w:t>
      </w:r>
      <w:r w:rsidR="00C64050">
        <w:t xml:space="preserve"> </w:t>
      </w:r>
      <w:r>
        <w:t>the</w:t>
      </w:r>
      <w:r w:rsidR="00C64050">
        <w:t xml:space="preserve"> </w:t>
      </w:r>
      <w:r>
        <w:t>sort</w:t>
      </w:r>
      <w:r w:rsidR="00C64050">
        <w:t xml:space="preserve"> </w:t>
      </w:r>
      <w:r>
        <w:t>of</w:t>
      </w:r>
      <w:r w:rsidR="00C64050">
        <w:t xml:space="preserve"> </w:t>
      </w:r>
      <w:r>
        <w:t>advice</w:t>
      </w:r>
      <w:r w:rsidR="00C64050">
        <w:t xml:space="preserve"> </w:t>
      </w:r>
      <w:r>
        <w:t>we</w:t>
      </w:r>
      <w:r w:rsidR="00C64050">
        <w:t xml:space="preserve"> </w:t>
      </w:r>
      <w:r>
        <w:t>are</w:t>
      </w:r>
      <w:r w:rsidR="00C64050">
        <w:t xml:space="preserve"> </w:t>
      </w:r>
      <w:r>
        <w:t>providing</w:t>
      </w:r>
      <w:r w:rsidR="00C64050">
        <w:t xml:space="preserve"> </w:t>
      </w:r>
      <w:r>
        <w:t>to</w:t>
      </w:r>
      <w:r w:rsidR="00C64050">
        <w:t xml:space="preserve"> </w:t>
      </w:r>
      <w:r>
        <w:t>a</w:t>
      </w:r>
      <w:r w:rsidR="00C64050">
        <w:t xml:space="preserve"> </w:t>
      </w:r>
      <w:r>
        <w:t>client,</w:t>
      </w:r>
      <w:r w:rsidR="00C64050">
        <w:t xml:space="preserve"> </w:t>
      </w:r>
      <w:r>
        <w:t>and</w:t>
      </w:r>
      <w:r w:rsidR="00C64050">
        <w:t xml:space="preserve"> </w:t>
      </w:r>
      <w:r>
        <w:t>in</w:t>
      </w:r>
      <w:r w:rsidR="00C64050">
        <w:t xml:space="preserve"> </w:t>
      </w:r>
      <w:r>
        <w:t>many</w:t>
      </w:r>
      <w:r w:rsidR="00C64050">
        <w:t xml:space="preserve"> </w:t>
      </w:r>
      <w:r>
        <w:t>instances</w:t>
      </w:r>
      <w:r w:rsidR="00C64050">
        <w:t xml:space="preserve"> </w:t>
      </w:r>
      <w:r>
        <w:t>actually</w:t>
      </w:r>
      <w:r w:rsidR="00C64050">
        <w:t xml:space="preserve"> </w:t>
      </w:r>
      <w:r>
        <w:t>represent</w:t>
      </w:r>
      <w:r w:rsidR="00C64050">
        <w:t xml:space="preserve"> </w:t>
      </w:r>
      <w:r>
        <w:t>both</w:t>
      </w:r>
      <w:r w:rsidR="00C64050">
        <w:t xml:space="preserve"> </w:t>
      </w:r>
      <w:r>
        <w:t>the</w:t>
      </w:r>
      <w:r w:rsidR="00C64050">
        <w:t xml:space="preserve"> </w:t>
      </w:r>
      <w:r>
        <w:t>parents</w:t>
      </w:r>
      <w:r w:rsidR="00C64050">
        <w:t xml:space="preserve"> </w:t>
      </w:r>
      <w:r>
        <w:t>and</w:t>
      </w:r>
      <w:r w:rsidR="00C64050">
        <w:t xml:space="preserve"> </w:t>
      </w:r>
      <w:r>
        <w:t>children</w:t>
      </w:r>
      <w:r w:rsidR="00C64050">
        <w:t xml:space="preserve"> </w:t>
      </w:r>
      <w:r>
        <w:t>or</w:t>
      </w:r>
      <w:r w:rsidR="00C64050">
        <w:t xml:space="preserve"> </w:t>
      </w:r>
      <w:r>
        <w:t>at</w:t>
      </w:r>
      <w:r w:rsidR="00C64050">
        <w:t xml:space="preserve"> </w:t>
      </w:r>
      <w:r>
        <w:t>least</w:t>
      </w:r>
      <w:r w:rsidR="00C64050">
        <w:t xml:space="preserve"> </w:t>
      </w:r>
      <w:r>
        <w:t>some</w:t>
      </w:r>
      <w:r w:rsidR="00C64050">
        <w:t xml:space="preserve"> </w:t>
      </w:r>
      <w:r>
        <w:t>of</w:t>
      </w:r>
      <w:r w:rsidR="00C64050">
        <w:t xml:space="preserve"> </w:t>
      </w:r>
      <w:r>
        <w:t>the</w:t>
      </w:r>
      <w:r w:rsidR="00C64050">
        <w:t xml:space="preserve"> </w:t>
      </w:r>
      <w:r>
        <w:t>children.</w:t>
      </w:r>
      <w:r w:rsidR="00C64050">
        <w:t xml:space="preserve">  </w:t>
      </w:r>
      <w:r>
        <w:t>Arguably</w:t>
      </w:r>
      <w:r w:rsidR="00C64050">
        <w:t xml:space="preserve"> </w:t>
      </w:r>
      <w:r>
        <w:t>the</w:t>
      </w:r>
      <w:r w:rsidR="00C64050">
        <w:t xml:space="preserve"> </w:t>
      </w:r>
      <w:r>
        <w:t>successful</w:t>
      </w:r>
      <w:r w:rsidR="00C64050">
        <w:t xml:space="preserve"> </w:t>
      </w:r>
      <w:r>
        <w:t>defense</w:t>
      </w:r>
      <w:r w:rsidR="00C64050">
        <w:t xml:space="preserve"> </w:t>
      </w:r>
      <w:r>
        <w:t>made</w:t>
      </w:r>
      <w:r w:rsidR="00C64050">
        <w:t xml:space="preserve"> </w:t>
      </w:r>
      <w:r>
        <w:t>by</w:t>
      </w:r>
      <w:r w:rsidR="00C64050">
        <w:t xml:space="preserve"> </w:t>
      </w:r>
      <w:r>
        <w:t>the</w:t>
      </w:r>
      <w:r w:rsidR="00C64050">
        <w:t xml:space="preserve"> </w:t>
      </w:r>
      <w:r>
        <w:t>lawyer</w:t>
      </w:r>
      <w:r w:rsidR="00C64050">
        <w:t xml:space="preserve"> </w:t>
      </w:r>
      <w:r>
        <w:t>here</w:t>
      </w:r>
      <w:r w:rsidR="00C64050">
        <w:t xml:space="preserve"> </w:t>
      </w:r>
      <w:r>
        <w:t>would</w:t>
      </w:r>
      <w:r w:rsidR="00C64050">
        <w:t xml:space="preserve"> </w:t>
      </w:r>
      <w:r>
        <w:t>be</w:t>
      </w:r>
      <w:r w:rsidR="00C64050">
        <w:t xml:space="preserve"> </w:t>
      </w:r>
      <w:r>
        <w:t>more</w:t>
      </w:r>
      <w:r w:rsidR="00C64050">
        <w:t xml:space="preserve"> </w:t>
      </w:r>
      <w:r>
        <w:t>difficult</w:t>
      </w:r>
      <w:r w:rsidR="00C64050">
        <w:t xml:space="preserve"> </w:t>
      </w:r>
      <w:r>
        <w:t>in</w:t>
      </w:r>
      <w:r w:rsidR="00C64050">
        <w:t xml:space="preserve"> </w:t>
      </w:r>
      <w:r>
        <w:t>such</w:t>
      </w:r>
      <w:r w:rsidR="00C64050">
        <w:t xml:space="preserve"> </w:t>
      </w:r>
      <w:r>
        <w:t>instances.</w:t>
      </w:r>
      <w:r w:rsidR="00C64050">
        <w:t xml:space="preserve">  </w:t>
      </w:r>
    </w:p>
    <w:p w:rsidR="00C00B84" w:rsidRPr="00C00B84" w:rsidRDefault="00B00674" w:rsidP="00A324EF">
      <w:pPr>
        <w:pStyle w:val="Heading20"/>
        <w:numPr>
          <w:ilvl w:val="1"/>
          <w:numId w:val="33"/>
        </w:numPr>
        <w:tabs>
          <w:tab w:val="clear" w:pos="2700"/>
        </w:tabs>
        <w:ind w:left="0"/>
        <w:rPr>
          <w:vanish/>
          <w:specVanish/>
        </w:rPr>
      </w:pPr>
      <w:bookmarkStart w:id="800" w:name="_Toc94704690"/>
      <w:r w:rsidRPr="00C00B84">
        <w:rPr>
          <w:b/>
          <w:u w:val="single"/>
        </w:rPr>
        <w:t>Trust</w:t>
      </w:r>
      <w:r w:rsidR="00C64050" w:rsidRPr="00C00B84">
        <w:rPr>
          <w:b/>
          <w:u w:val="single"/>
        </w:rPr>
        <w:t xml:space="preserve"> </w:t>
      </w:r>
      <w:r w:rsidRPr="00C00B84">
        <w:rPr>
          <w:b/>
          <w:u w:val="single"/>
        </w:rPr>
        <w:t>Protector</w:t>
      </w:r>
      <w:r w:rsidR="00C64050" w:rsidRPr="00C00B84">
        <w:rPr>
          <w:b/>
          <w:u w:val="single"/>
        </w:rPr>
        <w:t xml:space="preserve"> </w:t>
      </w:r>
      <w:r w:rsidRPr="00C00B84">
        <w:rPr>
          <w:b/>
          <w:u w:val="single"/>
        </w:rPr>
        <w:t>As</w:t>
      </w:r>
      <w:r w:rsidR="00C64050" w:rsidRPr="00C00B84">
        <w:rPr>
          <w:b/>
          <w:u w:val="single"/>
        </w:rPr>
        <w:t xml:space="preserve"> </w:t>
      </w:r>
      <w:r w:rsidRPr="00C00B84">
        <w:rPr>
          <w:b/>
          <w:u w:val="single"/>
        </w:rPr>
        <w:t>Fiduciary</w:t>
      </w:r>
      <w:r w:rsidR="00C64050" w:rsidRPr="00C00B84">
        <w:rPr>
          <w:b/>
          <w:u w:val="single"/>
        </w:rPr>
        <w:t xml:space="preserve"> </w:t>
      </w:r>
      <w:r w:rsidRPr="00C00B84">
        <w:rPr>
          <w:b/>
          <w:u w:val="single"/>
        </w:rPr>
        <w:t>With</w:t>
      </w:r>
      <w:r w:rsidR="00C64050" w:rsidRPr="00C00B84">
        <w:rPr>
          <w:b/>
          <w:u w:val="single"/>
        </w:rPr>
        <w:t xml:space="preserve"> </w:t>
      </w:r>
      <w:r w:rsidRPr="00C00B84">
        <w:rPr>
          <w:b/>
          <w:u w:val="single"/>
        </w:rPr>
        <w:t>A</w:t>
      </w:r>
      <w:r w:rsidR="00C64050" w:rsidRPr="00C00B84">
        <w:rPr>
          <w:b/>
          <w:u w:val="single"/>
        </w:rPr>
        <w:t xml:space="preserve"> </w:t>
      </w:r>
      <w:r w:rsidRPr="00C00B84">
        <w:rPr>
          <w:b/>
          <w:u w:val="single"/>
        </w:rPr>
        <w:t>Duty</w:t>
      </w:r>
      <w:r w:rsidR="00C64050" w:rsidRPr="00C00B84">
        <w:rPr>
          <w:b/>
          <w:u w:val="single"/>
        </w:rPr>
        <w:t xml:space="preserve"> </w:t>
      </w:r>
      <w:r w:rsidRPr="00C00B84">
        <w:rPr>
          <w:b/>
          <w:u w:val="single"/>
        </w:rPr>
        <w:t>To</w:t>
      </w:r>
      <w:r w:rsidR="00C64050" w:rsidRPr="00C00B84">
        <w:rPr>
          <w:b/>
          <w:u w:val="single"/>
        </w:rPr>
        <w:t xml:space="preserve"> </w:t>
      </w:r>
      <w:r w:rsidRPr="00C00B84">
        <w:rPr>
          <w:b/>
          <w:u w:val="single"/>
        </w:rPr>
        <w:t>Whom</w:t>
      </w:r>
      <w:r w:rsidR="00C00B84">
        <w:rPr>
          <w:b/>
          <w:u w:val="single"/>
        </w:rPr>
        <w:t>?</w:t>
      </w:r>
      <w:bookmarkEnd w:id="800"/>
    </w:p>
    <w:p w:rsidR="00B00674" w:rsidRDefault="00C00B84" w:rsidP="00C00B84">
      <w:pPr>
        <w:pStyle w:val="Heading2Body"/>
      </w:pPr>
      <w:r>
        <w:t xml:space="preserve">  </w:t>
      </w:r>
      <w:r w:rsidR="00B00674" w:rsidRPr="00C00B84">
        <w:rPr>
          <w:u w:val="single"/>
        </w:rPr>
        <w:t>Ron</w:t>
      </w:r>
      <w:r w:rsidR="00C64050" w:rsidRPr="00C00B84">
        <w:rPr>
          <w:u w:val="single"/>
        </w:rPr>
        <w:t xml:space="preserve"> </w:t>
      </w:r>
      <w:r w:rsidR="00B00674" w:rsidRPr="00C00B84">
        <w:rPr>
          <w:u w:val="single"/>
        </w:rPr>
        <w:t>v.</w:t>
      </w:r>
      <w:r w:rsidR="00C64050" w:rsidRPr="00C00B84">
        <w:rPr>
          <w:u w:val="single"/>
        </w:rPr>
        <w:t xml:space="preserve"> </w:t>
      </w:r>
      <w:r w:rsidR="00B00674" w:rsidRPr="00C00B84">
        <w:rPr>
          <w:u w:val="single"/>
        </w:rPr>
        <w:t>Ron</w:t>
      </w:r>
      <w:r w:rsidR="00B00674">
        <w:t>,</w:t>
      </w:r>
      <w:r w:rsidR="00C64050">
        <w:t xml:space="preserve"> </w:t>
      </w:r>
      <w:r w:rsidR="007324C2" w:rsidRPr="007324C2">
        <w:t>2020 WL 1426392</w:t>
      </w:r>
      <w:r w:rsidR="00C64050">
        <w:t xml:space="preserve"> </w:t>
      </w:r>
      <w:r w:rsidR="00B00674">
        <w:t>(S.D.</w:t>
      </w:r>
      <w:r w:rsidR="00C64050">
        <w:t xml:space="preserve"> </w:t>
      </w:r>
      <w:r w:rsidR="00B00674">
        <w:t>Tx.</w:t>
      </w:r>
      <w:r w:rsidR="00C64050">
        <w:t xml:space="preserve"> </w:t>
      </w:r>
      <w:r w:rsidR="00B00674">
        <w:t>2020),</w:t>
      </w:r>
      <w:r w:rsidR="00C64050">
        <w:t xml:space="preserve"> </w:t>
      </w:r>
      <w:r w:rsidR="00B00674">
        <w:t>deals</w:t>
      </w:r>
      <w:r w:rsidR="00C64050">
        <w:t xml:space="preserve"> </w:t>
      </w:r>
      <w:r w:rsidR="00434F55">
        <w:t>w</w:t>
      </w:r>
      <w:r w:rsidR="00B00674">
        <w:t>ith</w:t>
      </w:r>
      <w:r w:rsidR="00C64050">
        <w:t xml:space="preserve"> </w:t>
      </w:r>
      <w:r w:rsidR="00B00674">
        <w:t>the</w:t>
      </w:r>
      <w:r w:rsidR="00C64050">
        <w:t xml:space="preserve"> </w:t>
      </w:r>
      <w:r w:rsidR="00B00674">
        <w:t>alleged</w:t>
      </w:r>
      <w:r w:rsidR="00C64050">
        <w:t xml:space="preserve"> </w:t>
      </w:r>
      <w:r w:rsidR="00B00674">
        <w:t>dissipation</w:t>
      </w:r>
      <w:r w:rsidR="00C64050">
        <w:t xml:space="preserve"> </w:t>
      </w:r>
      <w:r w:rsidR="00B00674">
        <w:t>of</w:t>
      </w:r>
      <w:r w:rsidR="00C64050">
        <w:t xml:space="preserve"> </w:t>
      </w:r>
      <w:r w:rsidR="00B00674">
        <w:t>assets</w:t>
      </w:r>
      <w:r w:rsidR="00C64050">
        <w:t xml:space="preserve"> </w:t>
      </w:r>
      <w:r w:rsidR="00B00674">
        <w:t>in</w:t>
      </w:r>
      <w:r w:rsidR="00C64050">
        <w:t xml:space="preserve"> </w:t>
      </w:r>
      <w:r w:rsidR="00B00674">
        <w:t>connection</w:t>
      </w:r>
      <w:r w:rsidR="00C64050">
        <w:t xml:space="preserve"> </w:t>
      </w:r>
      <w:r w:rsidR="00B00674">
        <w:t>with</w:t>
      </w:r>
      <w:r w:rsidR="00C64050">
        <w:t xml:space="preserve"> </w:t>
      </w:r>
      <w:r w:rsidR="00B00674">
        <w:t>a</w:t>
      </w:r>
      <w:r w:rsidR="00C64050">
        <w:t xml:space="preserve"> </w:t>
      </w:r>
      <w:r w:rsidR="00B00674">
        <w:t>divorce.</w:t>
      </w:r>
      <w:r w:rsidR="00C64050">
        <w:t xml:space="preserve">  </w:t>
      </w:r>
      <w:r w:rsidR="00B00674">
        <w:t>Directly</w:t>
      </w:r>
      <w:r w:rsidR="00C64050">
        <w:t xml:space="preserve"> </w:t>
      </w:r>
      <w:r w:rsidR="00B00674">
        <w:t>pertinent</w:t>
      </w:r>
      <w:r w:rsidR="00C64050">
        <w:t xml:space="preserve"> </w:t>
      </w:r>
      <w:r w:rsidR="00B00674">
        <w:t>to</w:t>
      </w:r>
      <w:r w:rsidR="00C64050">
        <w:t xml:space="preserve"> </w:t>
      </w:r>
      <w:r w:rsidR="00B00674">
        <w:t>estate</w:t>
      </w:r>
      <w:r w:rsidR="00C64050">
        <w:t xml:space="preserve"> </w:t>
      </w:r>
      <w:r w:rsidR="00B00674">
        <w:t>planners</w:t>
      </w:r>
      <w:r w:rsidR="00C64050">
        <w:t xml:space="preserve"> </w:t>
      </w:r>
      <w:r w:rsidR="00B00674">
        <w:t>is</w:t>
      </w:r>
      <w:r w:rsidR="00C64050">
        <w:t xml:space="preserve"> </w:t>
      </w:r>
      <w:r w:rsidR="00B00674">
        <w:t>a</w:t>
      </w:r>
      <w:r w:rsidR="00C64050">
        <w:t xml:space="preserve"> </w:t>
      </w:r>
      <w:r w:rsidR="00B00674">
        <w:t>question</w:t>
      </w:r>
      <w:r w:rsidR="00C64050">
        <w:t xml:space="preserve"> </w:t>
      </w:r>
      <w:r w:rsidR="00B00674">
        <w:t>addressed</w:t>
      </w:r>
      <w:r w:rsidR="00C64050">
        <w:t xml:space="preserve"> </w:t>
      </w:r>
      <w:r w:rsidR="00B00674">
        <w:t>by</w:t>
      </w:r>
      <w:r w:rsidR="00C64050">
        <w:t xml:space="preserve"> </w:t>
      </w:r>
      <w:r w:rsidR="00B00674">
        <w:t>the</w:t>
      </w:r>
      <w:r w:rsidR="00C64050">
        <w:t xml:space="preserve"> </w:t>
      </w:r>
      <w:r w:rsidR="00B00674">
        <w:t>court</w:t>
      </w:r>
      <w:r w:rsidR="00C64050">
        <w:t xml:space="preserve"> </w:t>
      </w:r>
      <w:r w:rsidR="00B00674">
        <w:t>regarding</w:t>
      </w:r>
      <w:r w:rsidR="00C64050">
        <w:t xml:space="preserve"> </w:t>
      </w:r>
      <w:r w:rsidR="00B00674">
        <w:t>a</w:t>
      </w:r>
      <w:r w:rsidR="00C64050">
        <w:t xml:space="preserve"> </w:t>
      </w:r>
      <w:r w:rsidR="00B00674">
        <w:t>trust</w:t>
      </w:r>
      <w:r w:rsidR="00C64050">
        <w:t xml:space="preserve"> </w:t>
      </w:r>
      <w:r w:rsidR="00B00674">
        <w:t>protector</w:t>
      </w:r>
      <w:r w:rsidR="00C64050">
        <w:t xml:space="preserve"> </w:t>
      </w:r>
      <w:r w:rsidR="00B00674">
        <w:t>in</w:t>
      </w:r>
      <w:r w:rsidR="00C64050">
        <w:t xml:space="preserve"> </w:t>
      </w:r>
      <w:r w:rsidR="00B00674">
        <w:t>a</w:t>
      </w:r>
      <w:r w:rsidR="00C64050">
        <w:t xml:space="preserve"> </w:t>
      </w:r>
      <w:r w:rsidR="00B00674">
        <w:t>children’s</w:t>
      </w:r>
      <w:r w:rsidR="00C64050">
        <w:t xml:space="preserve"> </w:t>
      </w:r>
      <w:r w:rsidR="00B00674">
        <w:t>trust,</w:t>
      </w:r>
      <w:r w:rsidR="00C64050">
        <w:t xml:space="preserve"> </w:t>
      </w:r>
      <w:r w:rsidR="00B00674">
        <w:t>the</w:t>
      </w:r>
      <w:r w:rsidR="00C64050">
        <w:t xml:space="preserve"> </w:t>
      </w:r>
      <w:r w:rsidR="00576524">
        <w:t>recipient</w:t>
      </w:r>
      <w:r w:rsidR="00C64050">
        <w:t xml:space="preserve"> </w:t>
      </w:r>
      <w:r w:rsidR="00B00674">
        <w:t>of</w:t>
      </w:r>
      <w:r w:rsidR="00C64050">
        <w:t xml:space="preserve"> </w:t>
      </w:r>
      <w:r w:rsidR="00B00674">
        <w:t>some</w:t>
      </w:r>
      <w:r w:rsidR="00C64050">
        <w:t xml:space="preserve"> </w:t>
      </w:r>
      <w:r w:rsidR="00B00674">
        <w:t>of</w:t>
      </w:r>
      <w:r w:rsidR="00C64050">
        <w:t xml:space="preserve"> </w:t>
      </w:r>
      <w:r w:rsidR="00B00674">
        <w:t>the</w:t>
      </w:r>
      <w:r w:rsidR="00C64050">
        <w:t xml:space="preserve"> </w:t>
      </w:r>
      <w:r w:rsidR="00B00674">
        <w:t>alleged</w:t>
      </w:r>
      <w:r w:rsidR="00C64050">
        <w:t xml:space="preserve"> </w:t>
      </w:r>
      <w:r w:rsidR="00B00674">
        <w:t>dissipation.</w:t>
      </w:r>
      <w:r w:rsidR="00C64050">
        <w:t xml:space="preserve">  </w:t>
      </w:r>
      <w:r w:rsidR="00B00674">
        <w:t>The</w:t>
      </w:r>
      <w:r w:rsidR="00C64050">
        <w:t xml:space="preserve"> </w:t>
      </w:r>
      <w:r w:rsidR="00576524">
        <w:t>relevant</w:t>
      </w:r>
      <w:r w:rsidR="00C64050">
        <w:t xml:space="preserve"> </w:t>
      </w:r>
      <w:r w:rsidR="00576524">
        <w:t>language</w:t>
      </w:r>
      <w:r w:rsidR="00C64050">
        <w:t xml:space="preserve"> </w:t>
      </w:r>
      <w:r w:rsidR="00576524">
        <w:t>of</w:t>
      </w:r>
      <w:r w:rsidR="00C64050">
        <w:t xml:space="preserve"> </w:t>
      </w:r>
      <w:r w:rsidR="00576524">
        <w:t>the</w:t>
      </w:r>
      <w:r w:rsidR="00C64050">
        <w:t xml:space="preserve"> </w:t>
      </w:r>
      <w:r w:rsidR="00576524">
        <w:t>children’s</w:t>
      </w:r>
      <w:r w:rsidR="00C64050">
        <w:t xml:space="preserve"> </w:t>
      </w:r>
      <w:r w:rsidR="00576524">
        <w:t>trust</w:t>
      </w:r>
      <w:r w:rsidR="00C64050">
        <w:t xml:space="preserve"> </w:t>
      </w:r>
      <w:r w:rsidR="00576524">
        <w:t>was</w:t>
      </w:r>
      <w:r w:rsidR="00B00674">
        <w:t>:</w:t>
      </w:r>
    </w:p>
    <w:p w:rsidR="003049DA" w:rsidRDefault="003049DA" w:rsidP="003049DA">
      <w:pPr>
        <w:pStyle w:val="QS10"/>
      </w:pPr>
      <w:r>
        <w:t>The</w:t>
      </w:r>
      <w:r w:rsidR="00C64050">
        <w:t xml:space="preserve"> </w:t>
      </w:r>
      <w:r>
        <w:t>Trust</w:t>
      </w:r>
      <w:r w:rsidR="00C64050">
        <w:t xml:space="preserve"> </w:t>
      </w:r>
      <w:r>
        <w:t>states:</w:t>
      </w:r>
      <w:r w:rsidR="00C64050">
        <w:t xml:space="preserve"> </w:t>
      </w:r>
      <w:r>
        <w:t>“The</w:t>
      </w:r>
      <w:r w:rsidR="00C64050">
        <w:t xml:space="preserve"> </w:t>
      </w:r>
      <w:r>
        <w:t>purpose</w:t>
      </w:r>
      <w:r w:rsidR="00C64050">
        <w:t xml:space="preserve"> </w:t>
      </w:r>
      <w:r>
        <w:t>of</w:t>
      </w:r>
      <w:r w:rsidR="00C64050">
        <w:t xml:space="preserve"> </w:t>
      </w:r>
      <w:r>
        <w:t>a</w:t>
      </w:r>
      <w:r w:rsidR="00C64050">
        <w:t xml:space="preserve"> </w:t>
      </w:r>
      <w:r>
        <w:t>Trust</w:t>
      </w:r>
      <w:r w:rsidR="00C64050">
        <w:t xml:space="preserve"> </w:t>
      </w:r>
      <w:r>
        <w:t>Protector</w:t>
      </w:r>
      <w:r w:rsidR="00C64050">
        <w:t xml:space="preserve"> </w:t>
      </w:r>
      <w:r>
        <w:t>is</w:t>
      </w:r>
      <w:r w:rsidR="00C64050">
        <w:t xml:space="preserve"> </w:t>
      </w:r>
      <w:r>
        <w:t>to</w:t>
      </w:r>
      <w:r w:rsidR="00C64050">
        <w:t xml:space="preserve"> </w:t>
      </w:r>
      <w:r>
        <w:t>direct</w:t>
      </w:r>
      <w:r w:rsidR="00C64050">
        <w:t xml:space="preserve"> </w:t>
      </w:r>
      <w:r>
        <w:t>my</w:t>
      </w:r>
      <w:r w:rsidR="00C64050">
        <w:t xml:space="preserve"> </w:t>
      </w:r>
      <w:r>
        <w:t>Trustee</w:t>
      </w:r>
      <w:r w:rsidR="00C64050">
        <w:t xml:space="preserve"> </w:t>
      </w:r>
      <w:r>
        <w:t>in</w:t>
      </w:r>
      <w:r w:rsidR="00C64050">
        <w:t xml:space="preserve"> </w:t>
      </w:r>
      <w:r>
        <w:t>certain</w:t>
      </w:r>
      <w:r w:rsidR="00C64050">
        <w:t xml:space="preserve"> </w:t>
      </w:r>
      <w:r>
        <w:t>matters</w:t>
      </w:r>
      <w:r w:rsidR="00C64050">
        <w:t xml:space="preserve"> </w:t>
      </w:r>
      <w:r>
        <w:t>concerning</w:t>
      </w:r>
      <w:r w:rsidR="00C64050">
        <w:t xml:space="preserve"> </w:t>
      </w:r>
      <w:r>
        <w:t>the</w:t>
      </w:r>
      <w:r w:rsidR="00C64050">
        <w:t xml:space="preserve"> </w:t>
      </w:r>
      <w:r>
        <w:t>trust,</w:t>
      </w:r>
      <w:r w:rsidR="00C64050">
        <w:t xml:space="preserve"> </w:t>
      </w:r>
      <w:r>
        <w:t>and</w:t>
      </w:r>
      <w:r w:rsidR="00C64050">
        <w:t xml:space="preserve"> </w:t>
      </w:r>
      <w:r>
        <w:t>to</w:t>
      </w:r>
      <w:r w:rsidR="00C64050">
        <w:t xml:space="preserve"> </w:t>
      </w:r>
      <w:r>
        <w:t>assist,</w:t>
      </w:r>
      <w:r w:rsidR="00C64050">
        <w:t xml:space="preserve"> </w:t>
      </w:r>
      <w:r>
        <w:t>if</w:t>
      </w:r>
      <w:r w:rsidR="00C64050">
        <w:t xml:space="preserve"> </w:t>
      </w:r>
      <w:r>
        <w:t>needed,</w:t>
      </w:r>
      <w:r w:rsidR="00C64050">
        <w:t xml:space="preserve"> </w:t>
      </w:r>
      <w:r>
        <w:t>in</w:t>
      </w:r>
      <w:r w:rsidR="00C64050">
        <w:t xml:space="preserve"> </w:t>
      </w:r>
      <w:r>
        <w:t>achieving</w:t>
      </w:r>
      <w:r w:rsidR="00C64050">
        <w:t xml:space="preserve"> </w:t>
      </w:r>
      <w:r>
        <w:t>my</w:t>
      </w:r>
      <w:r w:rsidR="00C64050">
        <w:t xml:space="preserve"> </w:t>
      </w:r>
      <w:r>
        <w:t>objectives</w:t>
      </w:r>
      <w:r w:rsidR="00C64050">
        <w:t xml:space="preserve"> </w:t>
      </w:r>
      <w:r>
        <w:t>as</w:t>
      </w:r>
      <w:r w:rsidR="00C64050">
        <w:t xml:space="preserve"> </w:t>
      </w:r>
      <w:r>
        <w:t>expressed</w:t>
      </w:r>
      <w:r w:rsidR="00C64050">
        <w:t xml:space="preserve"> </w:t>
      </w:r>
      <w:r>
        <w:t>by</w:t>
      </w:r>
      <w:r w:rsidR="00C64050">
        <w:t xml:space="preserve"> </w:t>
      </w:r>
      <w:r>
        <w:t>the</w:t>
      </w:r>
      <w:r w:rsidR="00C64050">
        <w:t xml:space="preserve"> </w:t>
      </w:r>
      <w:r>
        <w:t>other</w:t>
      </w:r>
      <w:r w:rsidR="00C64050">
        <w:t xml:space="preserve"> </w:t>
      </w:r>
      <w:r>
        <w:t>provisions</w:t>
      </w:r>
      <w:r w:rsidR="00C64050">
        <w:t xml:space="preserve"> </w:t>
      </w:r>
      <w:r>
        <w:t>of</w:t>
      </w:r>
      <w:r w:rsidR="00C64050">
        <w:t xml:space="preserve"> </w:t>
      </w:r>
      <w:r>
        <w:t>my</w:t>
      </w:r>
      <w:r w:rsidR="00C64050">
        <w:t xml:space="preserve"> </w:t>
      </w:r>
      <w:r>
        <w:t>estate</w:t>
      </w:r>
      <w:r w:rsidR="00C64050">
        <w:t xml:space="preserve"> </w:t>
      </w:r>
      <w:r>
        <w:t>plan</w:t>
      </w:r>
      <w:r w:rsidR="00C64050">
        <w:t xml:space="preserve"> </w:t>
      </w:r>
      <w:r>
        <w:t>hereunder.”</w:t>
      </w:r>
      <w:r w:rsidR="00C64050">
        <w:t xml:space="preserve"> </w:t>
      </w:r>
      <w:r w:rsidRPr="003049DA">
        <w:rPr>
          <w:u w:val="single"/>
        </w:rPr>
        <w:t>Id</w:t>
      </w:r>
      <w:r>
        <w:t>.</w:t>
      </w:r>
      <w:r w:rsidR="00C64050">
        <w:t xml:space="preserve"> </w:t>
      </w:r>
      <w:r>
        <w:t>at</w:t>
      </w:r>
      <w:r w:rsidR="00C64050">
        <w:t xml:space="preserve"> </w:t>
      </w:r>
      <w:r>
        <w:t>17.</w:t>
      </w:r>
      <w:r w:rsidR="00C64050">
        <w:t xml:space="preserve"> </w:t>
      </w:r>
      <w:r>
        <w:t>The</w:t>
      </w:r>
      <w:r w:rsidR="00C64050">
        <w:t xml:space="preserve"> </w:t>
      </w:r>
      <w:r>
        <w:t>Trust</w:t>
      </w:r>
      <w:r w:rsidR="00C64050">
        <w:t xml:space="preserve"> </w:t>
      </w:r>
      <w:r>
        <w:t>explicitly</w:t>
      </w:r>
      <w:r w:rsidR="00C64050">
        <w:t xml:space="preserve"> </w:t>
      </w:r>
      <w:r>
        <w:t>empowers</w:t>
      </w:r>
      <w:r w:rsidR="00C64050">
        <w:t xml:space="preserve"> </w:t>
      </w:r>
      <w:r>
        <w:t>the</w:t>
      </w:r>
      <w:r w:rsidR="00C64050">
        <w:t xml:space="preserve"> </w:t>
      </w:r>
      <w:r>
        <w:t>Trust</w:t>
      </w:r>
      <w:r w:rsidR="00C64050">
        <w:t xml:space="preserve"> </w:t>
      </w:r>
      <w:r>
        <w:t>Protector</w:t>
      </w:r>
      <w:r w:rsidR="00C64050">
        <w:t xml:space="preserve"> </w:t>
      </w:r>
      <w:r>
        <w:t>to</w:t>
      </w:r>
      <w:r w:rsidR="00C64050">
        <w:t xml:space="preserve"> </w:t>
      </w:r>
      <w:r>
        <w:t>carry</w:t>
      </w:r>
      <w:r w:rsidR="00C64050">
        <w:t xml:space="preserve"> </w:t>
      </w:r>
      <w:r>
        <w:t>out</w:t>
      </w:r>
      <w:r w:rsidR="00C64050">
        <w:t xml:space="preserve"> </w:t>
      </w:r>
      <w:r>
        <w:t>several</w:t>
      </w:r>
      <w:r w:rsidR="00C64050">
        <w:t xml:space="preserve"> </w:t>
      </w:r>
      <w:r>
        <w:t>duties.</w:t>
      </w:r>
      <w:r w:rsidR="00C64050">
        <w:t xml:space="preserve"> </w:t>
      </w:r>
      <w:r>
        <w:t>Relevant</w:t>
      </w:r>
      <w:r w:rsidR="00C64050">
        <w:t xml:space="preserve"> </w:t>
      </w:r>
      <w:r>
        <w:t>here,</w:t>
      </w:r>
      <w:r w:rsidR="00C64050">
        <w:t xml:space="preserve"> </w:t>
      </w:r>
      <w:r>
        <w:t>the</w:t>
      </w:r>
      <w:r w:rsidR="00C64050">
        <w:t xml:space="preserve"> </w:t>
      </w:r>
      <w:r>
        <w:t>Trust</w:t>
      </w:r>
      <w:r w:rsidR="00C64050">
        <w:t xml:space="preserve"> </w:t>
      </w:r>
      <w:r>
        <w:t>provides:</w:t>
      </w:r>
      <w:r w:rsidR="00C64050">
        <w:t xml:space="preserve"> </w:t>
      </w:r>
    </w:p>
    <w:p w:rsidR="00B00674" w:rsidRDefault="003049DA" w:rsidP="003049DA">
      <w:pPr>
        <w:pStyle w:val="QS10"/>
        <w:ind w:left="2160"/>
      </w:pPr>
      <w:r>
        <w:t>The</w:t>
      </w:r>
      <w:r w:rsidR="00C64050">
        <w:t xml:space="preserve"> </w:t>
      </w:r>
      <w:r>
        <w:t>Trust</w:t>
      </w:r>
      <w:r w:rsidR="00C64050">
        <w:t xml:space="preserve"> </w:t>
      </w:r>
      <w:r>
        <w:t>Protector</w:t>
      </w:r>
      <w:r w:rsidR="00C64050">
        <w:t xml:space="preserve"> </w:t>
      </w:r>
      <w:r>
        <w:t>may</w:t>
      </w:r>
      <w:r w:rsidR="00C64050">
        <w:t xml:space="preserve"> </w:t>
      </w:r>
      <w:r>
        <w:t>add</w:t>
      </w:r>
      <w:r w:rsidR="00C64050">
        <w:t xml:space="preserve"> </w:t>
      </w:r>
      <w:r>
        <w:t>as</w:t>
      </w:r>
      <w:r w:rsidR="00C64050">
        <w:t xml:space="preserve"> </w:t>
      </w:r>
      <w:r>
        <w:t>a</w:t>
      </w:r>
      <w:r w:rsidR="00C64050">
        <w:t xml:space="preserve"> </w:t>
      </w:r>
      <w:r>
        <w:t>beneficiary</w:t>
      </w:r>
      <w:r w:rsidR="00C64050">
        <w:t xml:space="preserve"> </w:t>
      </w:r>
      <w:r>
        <w:t>of</w:t>
      </w:r>
      <w:r w:rsidR="00C64050">
        <w:t xml:space="preserve"> </w:t>
      </w:r>
      <w:r>
        <w:t>any</w:t>
      </w:r>
      <w:r w:rsidR="00C64050">
        <w:t xml:space="preserve"> </w:t>
      </w:r>
      <w:r>
        <w:t>trust</w:t>
      </w:r>
      <w:r w:rsidR="00C64050">
        <w:t xml:space="preserve"> </w:t>
      </w:r>
      <w:r>
        <w:t>established</w:t>
      </w:r>
      <w:r w:rsidR="00C64050">
        <w:t xml:space="preserve"> </w:t>
      </w:r>
      <w:r>
        <w:t>hereunder</w:t>
      </w:r>
      <w:r w:rsidR="00C64050">
        <w:t xml:space="preserve"> </w:t>
      </w:r>
      <w:r>
        <w:t>(i)</w:t>
      </w:r>
      <w:r w:rsidR="00C64050">
        <w:t xml:space="preserve"> </w:t>
      </w:r>
      <w:r>
        <w:t>any</w:t>
      </w:r>
      <w:r w:rsidR="00C64050">
        <w:t xml:space="preserve"> </w:t>
      </w:r>
      <w:r>
        <w:t>descendant</w:t>
      </w:r>
      <w:r w:rsidR="00C64050">
        <w:t xml:space="preserve"> </w:t>
      </w:r>
      <w:r>
        <w:t>of</w:t>
      </w:r>
      <w:r w:rsidR="00C64050">
        <w:t xml:space="preserve"> </w:t>
      </w:r>
      <w:r>
        <w:t>my</w:t>
      </w:r>
      <w:r w:rsidR="00C64050">
        <w:t xml:space="preserve"> </w:t>
      </w:r>
      <w:r>
        <w:t>husband’s</w:t>
      </w:r>
      <w:r w:rsidR="00C64050">
        <w:t xml:space="preserve"> </w:t>
      </w:r>
      <w:r>
        <w:t>parents;</w:t>
      </w:r>
      <w:r w:rsidR="00C64050">
        <w:t xml:space="preserve"> </w:t>
      </w:r>
      <w:r>
        <w:t>(ii)</w:t>
      </w:r>
      <w:r w:rsidR="00C64050">
        <w:t xml:space="preserve"> </w:t>
      </w:r>
      <w:r>
        <w:t>any</w:t>
      </w:r>
      <w:r w:rsidR="00C64050">
        <w:t xml:space="preserve"> </w:t>
      </w:r>
      <w:r>
        <w:t>spouse</w:t>
      </w:r>
      <w:r w:rsidR="00C64050">
        <w:t xml:space="preserve"> </w:t>
      </w:r>
      <w:r>
        <w:t>or</w:t>
      </w:r>
      <w:r w:rsidR="00C64050">
        <w:t xml:space="preserve"> </w:t>
      </w:r>
      <w:r>
        <w:t>surviving</w:t>
      </w:r>
      <w:r w:rsidR="00C64050">
        <w:t xml:space="preserve"> </w:t>
      </w:r>
      <w:r>
        <w:t>spouse</w:t>
      </w:r>
      <w:r w:rsidR="00C64050">
        <w:t xml:space="preserve"> </w:t>
      </w:r>
      <w:r>
        <w:t>of</w:t>
      </w:r>
      <w:r w:rsidR="00C64050">
        <w:t xml:space="preserve"> </w:t>
      </w:r>
      <w:r>
        <w:t>any</w:t>
      </w:r>
      <w:r w:rsidR="00C64050">
        <w:t xml:space="preserve"> </w:t>
      </w:r>
      <w:r>
        <w:t>such</w:t>
      </w:r>
      <w:r w:rsidR="00C64050">
        <w:t xml:space="preserve"> </w:t>
      </w:r>
      <w:r>
        <w:t>descendant</w:t>
      </w:r>
      <w:r w:rsidR="00C64050">
        <w:t xml:space="preserve"> </w:t>
      </w:r>
      <w:r>
        <w:t>(other</w:t>
      </w:r>
      <w:r w:rsidR="00C64050">
        <w:t xml:space="preserve"> </w:t>
      </w:r>
      <w:r>
        <w:t>than</w:t>
      </w:r>
      <w:r w:rsidR="00C64050">
        <w:t xml:space="preserve"> </w:t>
      </w:r>
      <w:r>
        <w:t>me);</w:t>
      </w:r>
      <w:r w:rsidR="00C64050">
        <w:t xml:space="preserve"> </w:t>
      </w:r>
      <w:r>
        <w:t>and</w:t>
      </w:r>
      <w:r w:rsidR="00C64050">
        <w:t xml:space="preserve"> </w:t>
      </w:r>
      <w:r>
        <w:t>(iii)</w:t>
      </w:r>
      <w:r w:rsidR="00C64050">
        <w:t xml:space="preserve"> </w:t>
      </w:r>
      <w:r>
        <w:t>any</w:t>
      </w:r>
      <w:r w:rsidR="00C64050">
        <w:t xml:space="preserve"> </w:t>
      </w:r>
      <w:r>
        <w:t>charity,</w:t>
      </w:r>
      <w:r w:rsidR="00C64050">
        <w:t xml:space="preserve"> </w:t>
      </w:r>
      <w:r>
        <w:t>subject</w:t>
      </w:r>
      <w:r w:rsidR="00C64050">
        <w:t xml:space="preserve"> </w:t>
      </w:r>
      <w:r>
        <w:t>to</w:t>
      </w:r>
      <w:r w:rsidR="00C64050">
        <w:t xml:space="preserve"> </w:t>
      </w:r>
      <w:r>
        <w:t>any</w:t>
      </w:r>
      <w:r w:rsidR="00C64050">
        <w:t xml:space="preserve"> </w:t>
      </w:r>
      <w:r>
        <w:t>limitations</w:t>
      </w:r>
      <w:r w:rsidR="00C64050">
        <w:t xml:space="preserve"> </w:t>
      </w:r>
      <w:r>
        <w:t>the</w:t>
      </w:r>
      <w:r w:rsidR="00C64050">
        <w:t xml:space="preserve"> </w:t>
      </w:r>
      <w:r>
        <w:t>Trust</w:t>
      </w:r>
      <w:r w:rsidR="00C64050">
        <w:t xml:space="preserve"> </w:t>
      </w:r>
      <w:r>
        <w:t>Protector</w:t>
      </w:r>
      <w:r w:rsidR="00C64050">
        <w:t xml:space="preserve"> </w:t>
      </w:r>
      <w:r>
        <w:t>determine</w:t>
      </w:r>
      <w:r w:rsidR="00C64050">
        <w:t xml:space="preserve"> </w:t>
      </w:r>
      <w:r>
        <w:t>appropriate.</w:t>
      </w:r>
      <w:r w:rsidR="00C64050">
        <w:t xml:space="preserve"> </w:t>
      </w:r>
      <w:r>
        <w:t>The</w:t>
      </w:r>
      <w:r w:rsidR="00C64050">
        <w:t xml:space="preserve"> </w:t>
      </w:r>
      <w:r>
        <w:t>Trust</w:t>
      </w:r>
      <w:r w:rsidR="00C64050">
        <w:t xml:space="preserve"> </w:t>
      </w:r>
      <w:r>
        <w:t>Protector</w:t>
      </w:r>
      <w:r w:rsidR="00C64050">
        <w:t xml:space="preserve"> </w:t>
      </w:r>
      <w:r>
        <w:t>may</w:t>
      </w:r>
      <w:r w:rsidR="00C64050">
        <w:t xml:space="preserve"> </w:t>
      </w:r>
      <w:r>
        <w:t>also</w:t>
      </w:r>
      <w:r w:rsidR="00C64050">
        <w:t xml:space="preserve"> </w:t>
      </w:r>
      <w:r>
        <w:t>remove</w:t>
      </w:r>
      <w:r w:rsidR="00C64050">
        <w:t xml:space="preserve"> </w:t>
      </w:r>
      <w:r>
        <w:t>any</w:t>
      </w:r>
      <w:r w:rsidR="00C64050">
        <w:t xml:space="preserve"> </w:t>
      </w:r>
      <w:r>
        <w:t>beneficiary</w:t>
      </w:r>
      <w:r w:rsidR="00C64050">
        <w:t xml:space="preserve"> </w:t>
      </w:r>
      <w:r>
        <w:t>who</w:t>
      </w:r>
      <w:r w:rsidR="00C64050">
        <w:t xml:space="preserve"> </w:t>
      </w:r>
      <w:r>
        <w:t>was</w:t>
      </w:r>
      <w:r w:rsidR="00C64050">
        <w:t xml:space="preserve"> </w:t>
      </w:r>
      <w:r>
        <w:t>added</w:t>
      </w:r>
      <w:r w:rsidR="00C64050">
        <w:t xml:space="preserve"> </w:t>
      </w:r>
      <w:r>
        <w:t>under</w:t>
      </w:r>
      <w:r w:rsidR="00C64050">
        <w:t xml:space="preserve"> </w:t>
      </w:r>
      <w:r>
        <w:t>this</w:t>
      </w:r>
      <w:r w:rsidR="00C64050">
        <w:t xml:space="preserve"> </w:t>
      </w:r>
      <w:r>
        <w:t>subsection.</w:t>
      </w:r>
    </w:p>
    <w:p w:rsidR="00B00674" w:rsidRDefault="00B00674" w:rsidP="00F014DF">
      <w:pPr>
        <w:pStyle w:val="Body15"/>
      </w:pPr>
      <w:r>
        <w:t>The</w:t>
      </w:r>
      <w:r w:rsidR="00C64050">
        <w:t xml:space="preserve"> </w:t>
      </w:r>
      <w:r>
        <w:t>wife</w:t>
      </w:r>
      <w:r w:rsidR="00C64050">
        <w:t xml:space="preserve"> </w:t>
      </w:r>
      <w:r>
        <w:t>was</w:t>
      </w:r>
      <w:r w:rsidR="00C64050">
        <w:t xml:space="preserve"> </w:t>
      </w:r>
      <w:r>
        <w:t>upset</w:t>
      </w:r>
      <w:r w:rsidR="00C64050">
        <w:t xml:space="preserve"> </w:t>
      </w:r>
      <w:r>
        <w:t>because</w:t>
      </w:r>
      <w:r w:rsidR="00C64050">
        <w:t xml:space="preserve"> </w:t>
      </w:r>
      <w:r>
        <w:t>the</w:t>
      </w:r>
      <w:r w:rsidR="00C64050">
        <w:t xml:space="preserve"> </w:t>
      </w:r>
      <w:r>
        <w:t>trust</w:t>
      </w:r>
      <w:r w:rsidR="00C64050">
        <w:t xml:space="preserve"> </w:t>
      </w:r>
      <w:r>
        <w:t>protector</w:t>
      </w:r>
      <w:r w:rsidR="00C64050">
        <w:t xml:space="preserve"> </w:t>
      </w:r>
      <w:r>
        <w:t>added</w:t>
      </w:r>
      <w:r w:rsidR="00C64050">
        <w:t xml:space="preserve"> </w:t>
      </w:r>
      <w:r>
        <w:t>husband</w:t>
      </w:r>
      <w:r w:rsidR="00C64050">
        <w:t xml:space="preserve"> </w:t>
      </w:r>
      <w:r>
        <w:t>as</w:t>
      </w:r>
      <w:r w:rsidR="00C64050">
        <w:t xml:space="preserve"> </w:t>
      </w:r>
      <w:r>
        <w:t>a</w:t>
      </w:r>
      <w:r w:rsidR="00C64050">
        <w:t xml:space="preserve"> </w:t>
      </w:r>
      <w:r>
        <w:t>beneficiary</w:t>
      </w:r>
      <w:r w:rsidR="00C64050">
        <w:t xml:space="preserve"> </w:t>
      </w:r>
      <w:r>
        <w:t>of</w:t>
      </w:r>
      <w:r w:rsidR="00C64050">
        <w:t xml:space="preserve"> </w:t>
      </w:r>
      <w:r>
        <w:t>a</w:t>
      </w:r>
      <w:r w:rsidR="00C64050">
        <w:t xml:space="preserve"> </w:t>
      </w:r>
      <w:r>
        <w:t>trust</w:t>
      </w:r>
      <w:r w:rsidR="00C64050">
        <w:t xml:space="preserve"> </w:t>
      </w:r>
      <w:r>
        <w:t>she</w:t>
      </w:r>
      <w:r w:rsidR="00C64050">
        <w:t xml:space="preserve"> </w:t>
      </w:r>
      <w:r>
        <w:t>had</w:t>
      </w:r>
      <w:r w:rsidR="00C64050">
        <w:t xml:space="preserve"> </w:t>
      </w:r>
      <w:r>
        <w:t>created</w:t>
      </w:r>
      <w:r w:rsidR="00C64050">
        <w:t xml:space="preserve"> </w:t>
      </w:r>
      <w:r>
        <w:t>(to</w:t>
      </w:r>
      <w:r w:rsidR="00C64050">
        <w:t xml:space="preserve"> </w:t>
      </w:r>
      <w:r>
        <w:t>which</w:t>
      </w:r>
      <w:r w:rsidR="00C64050">
        <w:t xml:space="preserve"> </w:t>
      </w:r>
      <w:r>
        <w:t>husband</w:t>
      </w:r>
      <w:r w:rsidR="00C64050">
        <w:t xml:space="preserve"> </w:t>
      </w:r>
      <w:r>
        <w:t>had</w:t>
      </w:r>
      <w:r w:rsidR="00C64050">
        <w:t xml:space="preserve"> </w:t>
      </w:r>
      <w:r>
        <w:t>transferred</w:t>
      </w:r>
      <w:r w:rsidR="00C64050">
        <w:t xml:space="preserve"> </w:t>
      </w:r>
      <w:r>
        <w:t>assets).</w:t>
      </w:r>
      <w:r w:rsidR="00C64050">
        <w:t xml:space="preserve">  </w:t>
      </w:r>
      <w:r>
        <w:t>Wife,</w:t>
      </w:r>
      <w:r w:rsidR="00C64050">
        <w:t xml:space="preserve"> </w:t>
      </w:r>
      <w:r>
        <w:t>Suzanne,</w:t>
      </w:r>
      <w:r w:rsidR="00C64050">
        <w:t xml:space="preserve"> </w:t>
      </w:r>
      <w:r>
        <w:t>claimed</w:t>
      </w:r>
      <w:r w:rsidR="00C64050">
        <w:t xml:space="preserve"> </w:t>
      </w:r>
      <w:r>
        <w:t>the</w:t>
      </w:r>
      <w:r w:rsidR="00C64050">
        <w:t xml:space="preserve"> </w:t>
      </w:r>
      <w:r>
        <w:t>trust</w:t>
      </w:r>
      <w:r w:rsidR="00C64050">
        <w:t xml:space="preserve"> </w:t>
      </w:r>
      <w:r>
        <w:t>protector,</w:t>
      </w:r>
      <w:r w:rsidR="00C64050">
        <w:t xml:space="preserve"> </w:t>
      </w:r>
      <w:r>
        <w:t>Stein,</w:t>
      </w:r>
      <w:r w:rsidR="00C64050">
        <w:t xml:space="preserve"> </w:t>
      </w:r>
      <w:r>
        <w:t>had</w:t>
      </w:r>
      <w:r w:rsidR="00C64050">
        <w:t xml:space="preserve"> </w:t>
      </w:r>
      <w:r>
        <w:t>a</w:t>
      </w:r>
      <w:r w:rsidR="00C64050">
        <w:t xml:space="preserve"> </w:t>
      </w:r>
      <w:r>
        <w:t>fiduciary</w:t>
      </w:r>
      <w:r w:rsidR="00C64050">
        <w:t xml:space="preserve"> </w:t>
      </w:r>
      <w:r>
        <w:t>duty</w:t>
      </w:r>
      <w:r w:rsidR="00C64050">
        <w:t xml:space="preserve"> </w:t>
      </w:r>
      <w:r>
        <w:t>to</w:t>
      </w:r>
      <w:r w:rsidR="00C64050">
        <w:t xml:space="preserve"> </w:t>
      </w:r>
      <w:r>
        <w:t>her.</w:t>
      </w:r>
      <w:r w:rsidR="00C64050">
        <w:t xml:space="preserve">  </w:t>
      </w:r>
      <w:r>
        <w:t>The</w:t>
      </w:r>
      <w:r w:rsidR="00C64050">
        <w:t xml:space="preserve"> </w:t>
      </w:r>
      <w:r>
        <w:t>court</w:t>
      </w:r>
      <w:r w:rsidR="00C64050">
        <w:t xml:space="preserve"> </w:t>
      </w:r>
      <w:r>
        <w:t>held</w:t>
      </w:r>
      <w:r w:rsidR="00C64050">
        <w:t xml:space="preserve"> </w:t>
      </w:r>
      <w:r>
        <w:t>that</w:t>
      </w:r>
      <w:r w:rsidR="00C64050">
        <w:t xml:space="preserve"> </w:t>
      </w:r>
      <w:r>
        <w:t>neither</w:t>
      </w:r>
      <w:r w:rsidR="00C64050">
        <w:t xml:space="preserve"> </w:t>
      </w:r>
      <w:r>
        <w:t>the</w:t>
      </w:r>
      <w:r w:rsidR="00C64050">
        <w:t xml:space="preserve"> </w:t>
      </w:r>
      <w:r>
        <w:t>trust</w:t>
      </w:r>
      <w:r w:rsidR="00C64050">
        <w:t xml:space="preserve"> </w:t>
      </w:r>
      <w:r>
        <w:t>nor</w:t>
      </w:r>
      <w:r w:rsidR="00C64050">
        <w:t xml:space="preserve"> </w:t>
      </w:r>
      <w:r>
        <w:t>Texas</w:t>
      </w:r>
      <w:r w:rsidR="00C64050">
        <w:t xml:space="preserve"> </w:t>
      </w:r>
      <w:r>
        <w:t>law</w:t>
      </w:r>
      <w:r w:rsidR="00C64050">
        <w:t xml:space="preserve"> </w:t>
      </w:r>
      <w:r>
        <w:t>created</w:t>
      </w:r>
      <w:r w:rsidR="00C64050">
        <w:t xml:space="preserve"> </w:t>
      </w:r>
      <w:r>
        <w:t>such</w:t>
      </w:r>
      <w:r w:rsidR="00C64050">
        <w:t xml:space="preserve"> </w:t>
      </w:r>
      <w:r>
        <w:t>a</w:t>
      </w:r>
      <w:r w:rsidR="00C64050">
        <w:t xml:space="preserve"> </w:t>
      </w:r>
      <w:r>
        <w:t>fiduciary</w:t>
      </w:r>
      <w:r w:rsidR="00C64050">
        <w:t xml:space="preserve"> </w:t>
      </w:r>
      <w:r>
        <w:t>relationship:</w:t>
      </w:r>
    </w:p>
    <w:p w:rsidR="00B00674" w:rsidRDefault="003049DA" w:rsidP="003049DA">
      <w:pPr>
        <w:pStyle w:val="QS10"/>
      </w:pPr>
      <w:r>
        <w:t>In</w:t>
      </w:r>
      <w:r w:rsidR="00C64050">
        <w:t xml:space="preserve"> </w:t>
      </w:r>
      <w:r>
        <w:t>my</w:t>
      </w:r>
      <w:r w:rsidR="00C64050">
        <w:t xml:space="preserve"> </w:t>
      </w:r>
      <w:r>
        <w:t>view,</w:t>
      </w:r>
      <w:r w:rsidR="00C64050">
        <w:t xml:space="preserve"> </w:t>
      </w:r>
      <w:r>
        <w:t>nothing</w:t>
      </w:r>
      <w:r w:rsidR="00C64050">
        <w:t xml:space="preserve"> </w:t>
      </w:r>
      <w:r>
        <w:t>in</w:t>
      </w:r>
      <w:r w:rsidR="00C64050">
        <w:t xml:space="preserve"> </w:t>
      </w:r>
      <w:r>
        <w:t>Section</w:t>
      </w:r>
      <w:r w:rsidR="00C64050">
        <w:t xml:space="preserve"> </w:t>
      </w:r>
      <w:r>
        <w:t>4.01</w:t>
      </w:r>
      <w:r w:rsidR="00C64050">
        <w:t xml:space="preserve"> </w:t>
      </w:r>
      <w:r>
        <w:t>of</w:t>
      </w:r>
      <w:r w:rsidR="00C64050">
        <w:t xml:space="preserve"> </w:t>
      </w:r>
      <w:r>
        <w:t>the</w:t>
      </w:r>
      <w:r w:rsidR="00C64050">
        <w:t xml:space="preserve"> </w:t>
      </w:r>
      <w:r>
        <w:t>Trust</w:t>
      </w:r>
      <w:r w:rsidR="00C64050">
        <w:t xml:space="preserve"> </w:t>
      </w:r>
      <w:r>
        <w:t>creates</w:t>
      </w:r>
      <w:r w:rsidR="00C64050">
        <w:t xml:space="preserve"> </w:t>
      </w:r>
      <w:r>
        <w:t>a</w:t>
      </w:r>
      <w:r w:rsidR="00C64050">
        <w:t xml:space="preserve"> </w:t>
      </w:r>
      <w:r>
        <w:t>fiduciary</w:t>
      </w:r>
      <w:r w:rsidR="00C64050">
        <w:t xml:space="preserve"> </w:t>
      </w:r>
      <w:r>
        <w:t>relationship</w:t>
      </w:r>
      <w:r w:rsidR="00C64050">
        <w:t xml:space="preserve"> </w:t>
      </w:r>
      <w:r>
        <w:t>between</w:t>
      </w:r>
      <w:r w:rsidR="00C64050">
        <w:t xml:space="preserve"> </w:t>
      </w:r>
      <w:r>
        <w:t>Stein</w:t>
      </w:r>
      <w:r w:rsidR="00C64050">
        <w:t xml:space="preserve"> </w:t>
      </w:r>
      <w:r>
        <w:t>and</w:t>
      </w:r>
      <w:r w:rsidR="00C64050">
        <w:t xml:space="preserve"> </w:t>
      </w:r>
      <w:r>
        <w:t>Suzanne.</w:t>
      </w:r>
      <w:r w:rsidR="00C64050">
        <w:t xml:space="preserve"> </w:t>
      </w:r>
      <w:r>
        <w:t>If</w:t>
      </w:r>
      <w:r w:rsidR="00C64050">
        <w:t xml:space="preserve"> </w:t>
      </w:r>
      <w:r>
        <w:t>anything,</w:t>
      </w:r>
      <w:r w:rsidR="00C64050">
        <w:t xml:space="preserve"> </w:t>
      </w:r>
      <w:r>
        <w:t>the</w:t>
      </w:r>
      <w:r w:rsidR="00C64050">
        <w:t xml:space="preserve"> </w:t>
      </w:r>
      <w:r>
        <w:t>provision</w:t>
      </w:r>
      <w:r w:rsidR="00C64050">
        <w:t xml:space="preserve"> </w:t>
      </w:r>
      <w:r>
        <w:t>strongly</w:t>
      </w:r>
      <w:r w:rsidR="00C64050">
        <w:t xml:space="preserve"> </w:t>
      </w:r>
      <w:r>
        <w:t>suggests</w:t>
      </w:r>
      <w:r w:rsidR="00C64050">
        <w:t xml:space="preserve"> </w:t>
      </w:r>
      <w:r>
        <w:t>that</w:t>
      </w:r>
      <w:r w:rsidR="00C64050">
        <w:t xml:space="preserve"> </w:t>
      </w:r>
      <w:r>
        <w:t>the</w:t>
      </w:r>
      <w:r w:rsidR="00C64050">
        <w:t xml:space="preserve"> </w:t>
      </w:r>
      <w:r>
        <w:t>fiduciary</w:t>
      </w:r>
      <w:r w:rsidR="00C64050">
        <w:t xml:space="preserve"> </w:t>
      </w:r>
      <w:r>
        <w:t>relationship</w:t>
      </w:r>
      <w:r w:rsidR="00C64050">
        <w:t xml:space="preserve"> </w:t>
      </w:r>
      <w:r>
        <w:t>is</w:t>
      </w:r>
      <w:r w:rsidR="00C64050">
        <w:t xml:space="preserve"> </w:t>
      </w:r>
      <w:r>
        <w:t>between</w:t>
      </w:r>
      <w:r w:rsidR="00C64050">
        <w:t xml:space="preserve"> </w:t>
      </w:r>
      <w:r>
        <w:t>Stein</w:t>
      </w:r>
      <w:r w:rsidR="00C64050">
        <w:t xml:space="preserve"> </w:t>
      </w:r>
      <w:r>
        <w:t>and</w:t>
      </w:r>
      <w:r w:rsidR="00C64050">
        <w:t xml:space="preserve"> </w:t>
      </w:r>
      <w:r>
        <w:t>the</w:t>
      </w:r>
      <w:r w:rsidR="00C64050">
        <w:t xml:space="preserve"> </w:t>
      </w:r>
      <w:r>
        <w:t>Trustee—who</w:t>
      </w:r>
      <w:r w:rsidR="00C64050">
        <w:t xml:space="preserve"> </w:t>
      </w:r>
      <w:r>
        <w:t>Stein</w:t>
      </w:r>
      <w:r w:rsidR="00C64050">
        <w:t xml:space="preserve"> </w:t>
      </w:r>
      <w:r>
        <w:t>is</w:t>
      </w:r>
      <w:r w:rsidR="00C64050">
        <w:t xml:space="preserve"> </w:t>
      </w:r>
      <w:r>
        <w:t>to</w:t>
      </w:r>
      <w:r w:rsidR="00C64050">
        <w:t xml:space="preserve"> </w:t>
      </w:r>
      <w:r>
        <w:t>“direct”</w:t>
      </w:r>
      <w:r w:rsidR="00C64050">
        <w:t xml:space="preserve"> </w:t>
      </w:r>
      <w:r>
        <w:t>and</w:t>
      </w:r>
      <w:r w:rsidR="00C64050">
        <w:t xml:space="preserve"> </w:t>
      </w:r>
      <w:r>
        <w:t>“assist”—or</w:t>
      </w:r>
      <w:r w:rsidR="00C64050">
        <w:t xml:space="preserve"> </w:t>
      </w:r>
      <w:r>
        <w:t>perhaps,</w:t>
      </w:r>
      <w:r w:rsidR="00C64050">
        <w:t xml:space="preserve"> </w:t>
      </w:r>
      <w:r>
        <w:t>between</w:t>
      </w:r>
      <w:r w:rsidR="00C64050">
        <w:t xml:space="preserve"> </w:t>
      </w:r>
      <w:r>
        <w:t>Stein</w:t>
      </w:r>
      <w:r w:rsidR="00C64050">
        <w:t xml:space="preserve"> </w:t>
      </w:r>
      <w:r>
        <w:t>and</w:t>
      </w:r>
      <w:r w:rsidR="00C64050">
        <w:t xml:space="preserve"> </w:t>
      </w:r>
      <w:r>
        <w:t>the</w:t>
      </w:r>
      <w:r w:rsidR="00C64050">
        <w:t xml:space="preserve"> </w:t>
      </w:r>
      <w:r>
        <w:t>Trust—which</w:t>
      </w:r>
      <w:r w:rsidR="00C64050">
        <w:t xml:space="preserve"> </w:t>
      </w:r>
      <w:r>
        <w:t>contains</w:t>
      </w:r>
      <w:r w:rsidR="00C64050">
        <w:t xml:space="preserve"> </w:t>
      </w:r>
      <w:r>
        <w:t>Suzanne’s</w:t>
      </w:r>
      <w:r w:rsidR="00C64050">
        <w:t xml:space="preserve"> </w:t>
      </w:r>
      <w:r>
        <w:t>memorialized</w:t>
      </w:r>
      <w:r w:rsidR="00C64050">
        <w:t xml:space="preserve"> </w:t>
      </w:r>
      <w:r>
        <w:t>objectives.</w:t>
      </w:r>
      <w:r w:rsidR="00C64050">
        <w:t xml:space="preserve"> </w:t>
      </w:r>
      <w:r w:rsidRPr="003049DA">
        <w:rPr>
          <w:i/>
        </w:rPr>
        <w:t>Id</w:t>
      </w:r>
      <w:r>
        <w:t>.</w:t>
      </w:r>
      <w:r w:rsidR="00C64050">
        <w:t xml:space="preserve"> </w:t>
      </w:r>
      <w:r>
        <w:t>The</w:t>
      </w:r>
      <w:r w:rsidR="00C64050">
        <w:t xml:space="preserve"> </w:t>
      </w:r>
      <w:r>
        <w:t>mere</w:t>
      </w:r>
      <w:r w:rsidR="00C64050">
        <w:t xml:space="preserve"> </w:t>
      </w:r>
      <w:r>
        <w:t>fact</w:t>
      </w:r>
      <w:r w:rsidR="00C64050">
        <w:t xml:space="preserve"> </w:t>
      </w:r>
      <w:r>
        <w:t>that</w:t>
      </w:r>
      <w:r w:rsidR="00C64050">
        <w:t xml:space="preserve"> </w:t>
      </w:r>
      <w:r>
        <w:t>Section</w:t>
      </w:r>
      <w:r w:rsidR="00C64050">
        <w:t xml:space="preserve"> </w:t>
      </w:r>
      <w:r>
        <w:t>4.01</w:t>
      </w:r>
      <w:r w:rsidR="00C64050">
        <w:t xml:space="preserve"> </w:t>
      </w:r>
      <w:r>
        <w:t>references</w:t>
      </w:r>
      <w:r w:rsidR="00C64050">
        <w:t xml:space="preserve"> </w:t>
      </w:r>
      <w:r>
        <w:t>Suzanne’s</w:t>
      </w:r>
      <w:r w:rsidR="00C64050">
        <w:t xml:space="preserve"> </w:t>
      </w:r>
      <w:r>
        <w:t>objectives</w:t>
      </w:r>
      <w:r w:rsidR="00C64050">
        <w:t xml:space="preserve"> </w:t>
      </w:r>
      <w:r>
        <w:t>means</w:t>
      </w:r>
      <w:r w:rsidR="00C64050">
        <w:t xml:space="preserve"> </w:t>
      </w:r>
      <w:r>
        <w:t>nothing</w:t>
      </w:r>
      <w:r w:rsidR="00C64050">
        <w:t xml:space="preserve"> </w:t>
      </w:r>
      <w:r>
        <w:t>when</w:t>
      </w:r>
      <w:r w:rsidR="00C64050">
        <w:t xml:space="preserve"> </w:t>
      </w:r>
      <w:r>
        <w:t>the</w:t>
      </w:r>
      <w:r w:rsidR="00C64050">
        <w:t xml:space="preserve"> </w:t>
      </w:r>
      <w:r>
        <w:t>Trust</w:t>
      </w:r>
      <w:r w:rsidR="00C64050">
        <w:t xml:space="preserve"> </w:t>
      </w:r>
      <w:r>
        <w:t>explicitly</w:t>
      </w:r>
      <w:r w:rsidR="00C64050">
        <w:t xml:space="preserve"> </w:t>
      </w:r>
      <w:r>
        <w:t>states</w:t>
      </w:r>
      <w:r w:rsidR="00C64050">
        <w:t xml:space="preserve"> </w:t>
      </w:r>
      <w:r>
        <w:t>that</w:t>
      </w:r>
      <w:r w:rsidR="00C64050">
        <w:t xml:space="preserve"> </w:t>
      </w:r>
      <w:r>
        <w:t>“[a]ll</w:t>
      </w:r>
      <w:r w:rsidR="00C64050">
        <w:t xml:space="preserve"> </w:t>
      </w:r>
      <w:r>
        <w:t>provisions</w:t>
      </w:r>
      <w:r w:rsidR="00C64050">
        <w:t xml:space="preserve"> </w:t>
      </w:r>
      <w:r>
        <w:t>of</w:t>
      </w:r>
      <w:r w:rsidR="00C64050">
        <w:t xml:space="preserve"> </w:t>
      </w:r>
      <w:r>
        <w:t>this</w:t>
      </w:r>
      <w:r w:rsidR="00C64050">
        <w:t xml:space="preserve"> </w:t>
      </w:r>
      <w:r>
        <w:t>agreement</w:t>
      </w:r>
      <w:r w:rsidR="00C64050">
        <w:t xml:space="preserve"> </w:t>
      </w:r>
      <w:r>
        <w:t>are</w:t>
      </w:r>
      <w:r w:rsidR="00C64050">
        <w:t xml:space="preserve"> </w:t>
      </w:r>
      <w:r>
        <w:t>to</w:t>
      </w:r>
      <w:r w:rsidR="00C64050">
        <w:t xml:space="preserve"> </w:t>
      </w:r>
      <w:r>
        <w:t>be</w:t>
      </w:r>
      <w:r w:rsidR="00C64050">
        <w:t xml:space="preserve"> </w:t>
      </w:r>
      <w:r>
        <w:t>construed</w:t>
      </w:r>
      <w:r w:rsidR="00C64050">
        <w:t xml:space="preserve"> </w:t>
      </w:r>
      <w:r>
        <w:t>to</w:t>
      </w:r>
      <w:r w:rsidR="00C64050">
        <w:t xml:space="preserve"> </w:t>
      </w:r>
      <w:r>
        <w:t>accomplish</w:t>
      </w:r>
      <w:r w:rsidR="00C64050">
        <w:t xml:space="preserve"> </w:t>
      </w:r>
      <w:r>
        <w:t>these</w:t>
      </w:r>
      <w:r w:rsidR="00C64050">
        <w:t xml:space="preserve"> </w:t>
      </w:r>
      <w:r>
        <w:t>objectives.”</w:t>
      </w:r>
      <w:r w:rsidR="00C64050">
        <w:t xml:space="preserve"> </w:t>
      </w:r>
      <w:r w:rsidRPr="003049DA">
        <w:rPr>
          <w:i/>
        </w:rPr>
        <w:t>Id</w:t>
      </w:r>
      <w:r>
        <w:t>.</w:t>
      </w:r>
      <w:r w:rsidR="00C64050">
        <w:t xml:space="preserve"> </w:t>
      </w:r>
      <w:r>
        <w:t>at</w:t>
      </w:r>
      <w:r w:rsidR="00C64050">
        <w:t xml:space="preserve"> </w:t>
      </w:r>
      <w:r>
        <w:t>10.</w:t>
      </w:r>
      <w:r w:rsidR="00C64050">
        <w:t xml:space="preserve"> </w:t>
      </w:r>
      <w:r>
        <w:t>Given</w:t>
      </w:r>
      <w:r w:rsidR="00C64050">
        <w:t xml:space="preserve"> </w:t>
      </w:r>
      <w:r>
        <w:t>this</w:t>
      </w:r>
      <w:r w:rsidR="00C64050">
        <w:t xml:space="preserve"> </w:t>
      </w:r>
      <w:r>
        <w:t>reality,</w:t>
      </w:r>
      <w:r w:rsidR="00C64050">
        <w:t xml:space="preserve"> </w:t>
      </w:r>
      <w:r>
        <w:t>literally</w:t>
      </w:r>
      <w:r w:rsidR="00C64050">
        <w:t xml:space="preserve"> </w:t>
      </w:r>
      <w:r>
        <w:t>every</w:t>
      </w:r>
      <w:r w:rsidR="00C64050">
        <w:t xml:space="preserve"> </w:t>
      </w:r>
      <w:r>
        <w:t>provision</w:t>
      </w:r>
      <w:r w:rsidR="00C64050">
        <w:t xml:space="preserve"> </w:t>
      </w:r>
      <w:r>
        <w:t>in</w:t>
      </w:r>
      <w:r w:rsidR="00C64050">
        <w:t xml:space="preserve"> </w:t>
      </w:r>
      <w:r>
        <w:t>the</w:t>
      </w:r>
      <w:r w:rsidR="00C64050">
        <w:t xml:space="preserve"> </w:t>
      </w:r>
      <w:r>
        <w:t>Trust</w:t>
      </w:r>
      <w:r w:rsidR="00C64050">
        <w:t xml:space="preserve"> </w:t>
      </w:r>
      <w:r>
        <w:t>is</w:t>
      </w:r>
      <w:r w:rsidR="00C64050">
        <w:t xml:space="preserve"> </w:t>
      </w:r>
      <w:r>
        <w:t>expressly</w:t>
      </w:r>
      <w:r w:rsidR="00C64050">
        <w:t xml:space="preserve"> </w:t>
      </w:r>
      <w:r>
        <w:t>intended</w:t>
      </w:r>
      <w:r w:rsidR="00C64050">
        <w:t xml:space="preserve"> </w:t>
      </w:r>
      <w:r>
        <w:t>to</w:t>
      </w:r>
      <w:r w:rsidR="00C64050">
        <w:t xml:space="preserve"> </w:t>
      </w:r>
      <w:r>
        <w:t>achieve</w:t>
      </w:r>
      <w:r w:rsidR="00C64050">
        <w:t xml:space="preserve"> </w:t>
      </w:r>
      <w:r>
        <w:t>Suzanne’s</w:t>
      </w:r>
      <w:r w:rsidR="00C64050">
        <w:t xml:space="preserve"> </w:t>
      </w:r>
      <w:r>
        <w:t>objectives.</w:t>
      </w:r>
      <w:r w:rsidR="00C64050">
        <w:t xml:space="preserve"> </w:t>
      </w:r>
      <w:r>
        <w:t>Surely,</w:t>
      </w:r>
      <w:r w:rsidR="00C64050">
        <w:t xml:space="preserve"> </w:t>
      </w:r>
      <w:r>
        <w:t>this</w:t>
      </w:r>
      <w:r w:rsidR="00C64050">
        <w:t xml:space="preserve"> </w:t>
      </w:r>
      <w:r>
        <w:t>does</w:t>
      </w:r>
      <w:r w:rsidR="00C64050">
        <w:t xml:space="preserve"> </w:t>
      </w:r>
      <w:r>
        <w:t>not</w:t>
      </w:r>
      <w:r w:rsidR="00C64050">
        <w:t xml:space="preserve"> </w:t>
      </w:r>
      <w:r>
        <w:t>mean</w:t>
      </w:r>
      <w:r w:rsidR="00C64050">
        <w:t xml:space="preserve"> </w:t>
      </w:r>
      <w:r>
        <w:t>that</w:t>
      </w:r>
      <w:r w:rsidR="00C64050">
        <w:t xml:space="preserve"> </w:t>
      </w:r>
      <w:r>
        <w:t>every</w:t>
      </w:r>
      <w:r w:rsidR="00C64050">
        <w:t xml:space="preserve"> </w:t>
      </w:r>
      <w:r>
        <w:t>individual</w:t>
      </w:r>
      <w:r w:rsidR="00C64050">
        <w:t xml:space="preserve"> </w:t>
      </w:r>
      <w:r>
        <w:t>implicated</w:t>
      </w:r>
      <w:r w:rsidR="00C64050">
        <w:t xml:space="preserve"> </w:t>
      </w:r>
      <w:r>
        <w:t>by</w:t>
      </w:r>
      <w:r w:rsidR="00C64050">
        <w:t xml:space="preserve"> </w:t>
      </w:r>
      <w:r>
        <w:t>a</w:t>
      </w:r>
      <w:r w:rsidR="00C64050">
        <w:t xml:space="preserve"> </w:t>
      </w:r>
      <w:r>
        <w:t>given</w:t>
      </w:r>
      <w:r w:rsidR="00C64050">
        <w:t xml:space="preserve"> </w:t>
      </w:r>
      <w:r>
        <w:t>provision</w:t>
      </w:r>
      <w:r w:rsidR="00C64050">
        <w:t xml:space="preserve"> </w:t>
      </w:r>
      <w:r>
        <w:t>has</w:t>
      </w:r>
      <w:r w:rsidR="00C64050">
        <w:t xml:space="preserve"> </w:t>
      </w:r>
      <w:r>
        <w:t>entered</w:t>
      </w:r>
      <w:r w:rsidR="00C64050">
        <w:t xml:space="preserve"> </w:t>
      </w:r>
      <w:r>
        <w:t>a</w:t>
      </w:r>
      <w:r w:rsidR="00C64050">
        <w:t xml:space="preserve"> </w:t>
      </w:r>
      <w:r>
        <w:t>fiduciary</w:t>
      </w:r>
      <w:r w:rsidR="00C64050">
        <w:t xml:space="preserve"> </w:t>
      </w:r>
      <w:r>
        <w:t>relationship</w:t>
      </w:r>
      <w:r w:rsidR="00C64050">
        <w:t xml:space="preserve"> </w:t>
      </w:r>
      <w:r>
        <w:t>with</w:t>
      </w:r>
      <w:r w:rsidR="00C64050">
        <w:t xml:space="preserve"> </w:t>
      </w:r>
      <w:r>
        <w:t>Suzanne.</w:t>
      </w:r>
    </w:p>
    <w:p w:rsidR="00B00674" w:rsidRDefault="00B00674" w:rsidP="003049DA">
      <w:pPr>
        <w:pStyle w:val="QS10"/>
        <w:jc w:val="center"/>
      </w:pPr>
      <w:r>
        <w:t>***</w:t>
      </w:r>
    </w:p>
    <w:p w:rsidR="003049DA" w:rsidRDefault="003049DA" w:rsidP="003049DA">
      <w:pPr>
        <w:pStyle w:val="QS10"/>
      </w:pPr>
      <w:r>
        <w:t>Though</w:t>
      </w:r>
      <w:r w:rsidR="00C64050">
        <w:t xml:space="preserve"> </w:t>
      </w:r>
      <w:r>
        <w:t>not</w:t>
      </w:r>
      <w:r w:rsidR="00C64050">
        <w:t xml:space="preserve"> </w:t>
      </w:r>
      <w:r>
        <w:t>argued</w:t>
      </w:r>
      <w:r w:rsidR="00C64050">
        <w:t xml:space="preserve"> </w:t>
      </w:r>
      <w:r>
        <w:t>by</w:t>
      </w:r>
      <w:r w:rsidR="00C64050">
        <w:t xml:space="preserve"> </w:t>
      </w:r>
      <w:r>
        <w:t>the</w:t>
      </w:r>
      <w:r w:rsidR="00C64050">
        <w:t xml:space="preserve"> </w:t>
      </w:r>
      <w:r>
        <w:t>parties,</w:t>
      </w:r>
      <w:r w:rsidR="00C64050">
        <w:t xml:space="preserve"> </w:t>
      </w:r>
      <w:r>
        <w:t>I</w:t>
      </w:r>
      <w:r w:rsidR="00C64050">
        <w:t xml:space="preserve"> </w:t>
      </w:r>
      <w:r>
        <w:t>also</w:t>
      </w:r>
      <w:r w:rsidR="00C64050">
        <w:t xml:space="preserve"> </w:t>
      </w:r>
      <w:r>
        <w:t>considered</w:t>
      </w:r>
      <w:r w:rsidR="00C64050">
        <w:t xml:space="preserve"> </w:t>
      </w:r>
      <w:r>
        <w:t>the</w:t>
      </w:r>
      <w:r w:rsidR="00C64050">
        <w:t xml:space="preserve"> </w:t>
      </w:r>
      <w:r>
        <w:t>provision</w:t>
      </w:r>
      <w:r w:rsidR="00C64050">
        <w:t xml:space="preserve"> </w:t>
      </w:r>
      <w:r>
        <w:t>of</w:t>
      </w:r>
      <w:r w:rsidR="00C64050">
        <w:t xml:space="preserve"> </w:t>
      </w:r>
      <w:r>
        <w:t>the</w:t>
      </w:r>
      <w:r w:rsidR="00C64050">
        <w:t xml:space="preserve"> </w:t>
      </w:r>
      <w:r>
        <w:t>Texas</w:t>
      </w:r>
      <w:r w:rsidR="00C64050">
        <w:t xml:space="preserve"> </w:t>
      </w:r>
      <w:r>
        <w:t>Trust</w:t>
      </w:r>
      <w:r w:rsidR="00C64050">
        <w:t xml:space="preserve"> </w:t>
      </w:r>
      <w:r>
        <w:t>Code</w:t>
      </w:r>
      <w:r w:rsidR="00C64050">
        <w:t xml:space="preserve"> </w:t>
      </w:r>
      <w:r>
        <w:t>that</w:t>
      </w:r>
      <w:r w:rsidR="00C64050">
        <w:t xml:space="preserve"> </w:t>
      </w:r>
      <w:r>
        <w:t>mentions</w:t>
      </w:r>
      <w:r w:rsidR="00C64050">
        <w:t xml:space="preserve"> </w:t>
      </w:r>
      <w:r>
        <w:t>trust</w:t>
      </w:r>
      <w:r w:rsidR="00C64050">
        <w:t xml:space="preserve"> </w:t>
      </w:r>
      <w:r>
        <w:t>protectors</w:t>
      </w:r>
      <w:r w:rsidR="00C64050">
        <w:t xml:space="preserve"> </w:t>
      </w:r>
      <w:r>
        <w:t>and</w:t>
      </w:r>
      <w:r w:rsidR="00C64050">
        <w:t xml:space="preserve"> </w:t>
      </w:r>
      <w:r>
        <w:t>their</w:t>
      </w:r>
      <w:r w:rsidR="00C64050">
        <w:t xml:space="preserve"> </w:t>
      </w:r>
      <w:r>
        <w:t>fiduciary</w:t>
      </w:r>
      <w:r w:rsidR="00C64050">
        <w:t xml:space="preserve"> </w:t>
      </w:r>
      <w:r>
        <w:t>duty.</w:t>
      </w:r>
      <w:r w:rsidR="00C64050">
        <w:t xml:space="preserve"> </w:t>
      </w:r>
      <w:r>
        <w:t>Section</w:t>
      </w:r>
      <w:r w:rsidR="00C64050">
        <w:t xml:space="preserve"> </w:t>
      </w:r>
      <w:r>
        <w:t>114.0031(a)(1)</w:t>
      </w:r>
      <w:r w:rsidR="00C64050">
        <w:t xml:space="preserve"> </w:t>
      </w:r>
      <w:r>
        <w:t>of</w:t>
      </w:r>
      <w:r w:rsidR="00C64050">
        <w:t xml:space="preserve"> </w:t>
      </w:r>
      <w:r>
        <w:t>the</w:t>
      </w:r>
      <w:r w:rsidR="00C64050">
        <w:t xml:space="preserve"> </w:t>
      </w:r>
      <w:r>
        <w:t>Texas</w:t>
      </w:r>
      <w:r w:rsidR="00C64050">
        <w:t xml:space="preserve"> </w:t>
      </w:r>
      <w:r>
        <w:t>Trust</w:t>
      </w:r>
      <w:r w:rsidR="00C64050">
        <w:t xml:space="preserve"> </w:t>
      </w:r>
      <w:r>
        <w:t>Code</w:t>
      </w:r>
      <w:r w:rsidR="00C64050">
        <w:t xml:space="preserve"> </w:t>
      </w:r>
      <w:r>
        <w:t>states:</w:t>
      </w:r>
      <w:r w:rsidR="00C64050">
        <w:t xml:space="preserve"> </w:t>
      </w:r>
      <w:r>
        <w:t>“‘Advisor’</w:t>
      </w:r>
      <w:r w:rsidR="00C64050">
        <w:t xml:space="preserve"> </w:t>
      </w:r>
      <w:r>
        <w:t>includes</w:t>
      </w:r>
      <w:r w:rsidR="00C64050">
        <w:t xml:space="preserve"> </w:t>
      </w:r>
      <w:r>
        <w:t>protector.”</w:t>
      </w:r>
      <w:r w:rsidR="00C64050">
        <w:t xml:space="preserve"> </w:t>
      </w:r>
      <w:r>
        <w:t>TEX.</w:t>
      </w:r>
      <w:r w:rsidR="00C64050">
        <w:t xml:space="preserve"> </w:t>
      </w:r>
      <w:r>
        <w:t>PROP.</w:t>
      </w:r>
      <w:r w:rsidR="00C64050">
        <w:t xml:space="preserve"> </w:t>
      </w:r>
      <w:r>
        <w:t>CODE</w:t>
      </w:r>
      <w:r w:rsidR="00C64050">
        <w:t xml:space="preserve"> </w:t>
      </w:r>
      <w:r>
        <w:t>§</w:t>
      </w:r>
      <w:r w:rsidR="00C64050">
        <w:t xml:space="preserve"> </w:t>
      </w:r>
      <w:r>
        <w:t>114.0031(a)(1).</w:t>
      </w:r>
      <w:r w:rsidR="00C64050">
        <w:t xml:space="preserve"> </w:t>
      </w:r>
      <w:r>
        <w:t>Section</w:t>
      </w:r>
      <w:r w:rsidR="00C64050">
        <w:t xml:space="preserve"> </w:t>
      </w:r>
      <w:r>
        <w:t>114.0031(e)</w:t>
      </w:r>
      <w:r w:rsidR="00C64050">
        <w:t xml:space="preserve"> </w:t>
      </w:r>
      <w:r>
        <w:t>then</w:t>
      </w:r>
      <w:r w:rsidR="00C64050">
        <w:t xml:space="preserve"> </w:t>
      </w:r>
      <w:r>
        <w:t>provides:</w:t>
      </w:r>
      <w:r w:rsidR="00C64050">
        <w:t xml:space="preserve"> </w:t>
      </w:r>
    </w:p>
    <w:p w:rsidR="003049DA" w:rsidRDefault="003049DA" w:rsidP="003049DA">
      <w:pPr>
        <w:pStyle w:val="QS10"/>
      </w:pPr>
      <w:r>
        <w:t>If</w:t>
      </w:r>
      <w:r w:rsidR="00C64050">
        <w:t xml:space="preserve"> </w:t>
      </w:r>
      <w:r>
        <w:t>the</w:t>
      </w:r>
      <w:r w:rsidR="00C64050">
        <w:t xml:space="preserve"> </w:t>
      </w:r>
      <w:r>
        <w:t>terms</w:t>
      </w:r>
      <w:r w:rsidR="00C64050">
        <w:t xml:space="preserve"> </w:t>
      </w:r>
      <w:r>
        <w:t>of</w:t>
      </w:r>
      <w:r w:rsidR="00C64050">
        <w:t xml:space="preserve"> </w:t>
      </w:r>
      <w:r>
        <w:t>a</w:t>
      </w:r>
      <w:r w:rsidR="00C64050">
        <w:t xml:space="preserve"> </w:t>
      </w:r>
      <w:r>
        <w:t>trust</w:t>
      </w:r>
      <w:r w:rsidR="00C64050">
        <w:t xml:space="preserve"> </w:t>
      </w:r>
      <w:r>
        <w:t>give</w:t>
      </w:r>
      <w:r w:rsidR="00C64050">
        <w:t xml:space="preserve"> </w:t>
      </w:r>
      <w:r>
        <w:t>a</w:t>
      </w:r>
      <w:r w:rsidR="00C64050">
        <w:t xml:space="preserve"> </w:t>
      </w:r>
      <w:r>
        <w:t>person</w:t>
      </w:r>
      <w:r w:rsidR="00C64050">
        <w:t xml:space="preserve"> </w:t>
      </w:r>
      <w:r>
        <w:t>the</w:t>
      </w:r>
      <w:r w:rsidR="00C64050">
        <w:t xml:space="preserve"> </w:t>
      </w:r>
      <w:r>
        <w:t>authority</w:t>
      </w:r>
      <w:r w:rsidR="00C64050">
        <w:t xml:space="preserve"> </w:t>
      </w:r>
      <w:r>
        <w:t>to</w:t>
      </w:r>
      <w:r w:rsidR="00C64050">
        <w:t xml:space="preserve"> </w:t>
      </w:r>
      <w:r>
        <w:t>direct,</w:t>
      </w:r>
      <w:r w:rsidR="00C64050">
        <w:t xml:space="preserve"> </w:t>
      </w:r>
      <w:r>
        <w:t>consent</w:t>
      </w:r>
      <w:r w:rsidR="00C64050">
        <w:t xml:space="preserve"> </w:t>
      </w:r>
      <w:r>
        <w:t>to,</w:t>
      </w:r>
      <w:r w:rsidR="00C64050">
        <w:t xml:space="preserve"> </w:t>
      </w:r>
      <w:r>
        <w:t>or</w:t>
      </w:r>
      <w:r w:rsidR="00C64050">
        <w:t xml:space="preserve"> </w:t>
      </w:r>
      <w:r>
        <w:t>disapprove</w:t>
      </w:r>
      <w:r w:rsidR="00C64050">
        <w:t xml:space="preserve"> </w:t>
      </w:r>
      <w:r>
        <w:t>a</w:t>
      </w:r>
      <w:r w:rsidR="00C64050">
        <w:t xml:space="preserve"> </w:t>
      </w:r>
      <w:r>
        <w:t>trustee’s</w:t>
      </w:r>
      <w:r w:rsidR="00C64050">
        <w:t xml:space="preserve"> </w:t>
      </w:r>
      <w:r>
        <w:t>actual</w:t>
      </w:r>
      <w:r w:rsidR="00C64050">
        <w:t xml:space="preserve"> </w:t>
      </w:r>
      <w:r>
        <w:t>or</w:t>
      </w:r>
      <w:r w:rsidR="00C64050">
        <w:t xml:space="preserve"> </w:t>
      </w:r>
      <w:r>
        <w:t>proposed</w:t>
      </w:r>
      <w:r w:rsidR="00C64050">
        <w:t xml:space="preserve"> </w:t>
      </w:r>
      <w:r>
        <w:t>investment</w:t>
      </w:r>
      <w:r w:rsidR="00C64050">
        <w:t xml:space="preserve"> </w:t>
      </w:r>
      <w:r>
        <w:t>decisions,</w:t>
      </w:r>
      <w:r w:rsidR="00C64050">
        <w:t xml:space="preserve"> </w:t>
      </w:r>
      <w:r>
        <w:t>distribution</w:t>
      </w:r>
      <w:r w:rsidR="00C64050">
        <w:t xml:space="preserve"> </w:t>
      </w:r>
      <w:r>
        <w:t>decisions,</w:t>
      </w:r>
      <w:r w:rsidR="00C64050">
        <w:t xml:space="preserve"> </w:t>
      </w:r>
      <w:r>
        <w:t>or</w:t>
      </w:r>
      <w:r w:rsidR="00C64050">
        <w:t xml:space="preserve"> </w:t>
      </w:r>
      <w:r>
        <w:t>other</w:t>
      </w:r>
      <w:r w:rsidR="00C64050">
        <w:t xml:space="preserve"> </w:t>
      </w:r>
      <w:r>
        <w:t>decisions,</w:t>
      </w:r>
      <w:r w:rsidR="00C64050">
        <w:t xml:space="preserve"> </w:t>
      </w:r>
      <w:r>
        <w:t>the</w:t>
      </w:r>
      <w:r w:rsidR="00C64050">
        <w:t xml:space="preserve"> </w:t>
      </w:r>
      <w:r>
        <w:t>person</w:t>
      </w:r>
      <w:r w:rsidR="00C64050">
        <w:t xml:space="preserve"> </w:t>
      </w:r>
      <w:r>
        <w:t>is</w:t>
      </w:r>
      <w:r w:rsidR="00C64050">
        <w:t xml:space="preserve"> </w:t>
      </w:r>
      <w:r>
        <w:t>an</w:t>
      </w:r>
      <w:r w:rsidR="00C64050">
        <w:t xml:space="preserve"> </w:t>
      </w:r>
      <w:r>
        <w:t>advisor.</w:t>
      </w:r>
      <w:r w:rsidR="00C64050">
        <w:t xml:space="preserve"> </w:t>
      </w:r>
      <w:r>
        <w:t>An</w:t>
      </w:r>
      <w:r w:rsidR="00C64050">
        <w:t xml:space="preserve"> </w:t>
      </w:r>
      <w:r>
        <w:t>advisor</w:t>
      </w:r>
      <w:r w:rsidR="00C64050">
        <w:t xml:space="preserve"> </w:t>
      </w:r>
      <w:r>
        <w:t>is</w:t>
      </w:r>
      <w:r w:rsidR="00C64050">
        <w:t xml:space="preserve"> </w:t>
      </w:r>
      <w:r>
        <w:t>a</w:t>
      </w:r>
      <w:r w:rsidR="00C64050">
        <w:t xml:space="preserve"> </w:t>
      </w:r>
      <w:r>
        <w:t>fiduciary</w:t>
      </w:r>
      <w:r w:rsidR="00C64050">
        <w:t xml:space="preserve"> </w:t>
      </w:r>
      <w:r>
        <w:t>regardless</w:t>
      </w:r>
      <w:r w:rsidR="00C64050">
        <w:t xml:space="preserve"> </w:t>
      </w:r>
      <w:r>
        <w:t>of</w:t>
      </w:r>
      <w:r w:rsidR="00C64050">
        <w:t xml:space="preserve"> </w:t>
      </w:r>
      <w:r>
        <w:t>trust</w:t>
      </w:r>
      <w:r w:rsidR="00C64050">
        <w:t xml:space="preserve"> </w:t>
      </w:r>
      <w:r>
        <w:t>terms</w:t>
      </w:r>
      <w:r w:rsidR="00C64050">
        <w:t xml:space="preserve"> </w:t>
      </w:r>
      <w:r>
        <w:t>to</w:t>
      </w:r>
      <w:r w:rsidR="00C64050">
        <w:t xml:space="preserve"> </w:t>
      </w:r>
      <w:r>
        <w:t>the</w:t>
      </w:r>
      <w:r w:rsidR="00C64050">
        <w:t xml:space="preserve"> </w:t>
      </w:r>
      <w:r>
        <w:t>contrary</w:t>
      </w:r>
      <w:r w:rsidR="00C64050">
        <w:t xml:space="preserve"> </w:t>
      </w:r>
      <w:r>
        <w:t>except</w:t>
      </w:r>
      <w:r w:rsidR="00C64050">
        <w:t xml:space="preserve"> </w:t>
      </w:r>
      <w:r>
        <w:t>that</w:t>
      </w:r>
      <w:r w:rsidR="00C64050">
        <w:t xml:space="preserve"> </w:t>
      </w:r>
      <w:r>
        <w:t>the</w:t>
      </w:r>
      <w:r w:rsidR="00C64050">
        <w:t xml:space="preserve"> </w:t>
      </w:r>
      <w:r>
        <w:t>trust</w:t>
      </w:r>
      <w:r w:rsidR="00C64050">
        <w:t xml:space="preserve"> </w:t>
      </w:r>
      <w:r>
        <w:t>terms</w:t>
      </w:r>
      <w:r w:rsidR="00C64050">
        <w:t xml:space="preserve"> </w:t>
      </w:r>
      <w:r>
        <w:t>may</w:t>
      </w:r>
      <w:r w:rsidR="00C64050">
        <w:t xml:space="preserve"> </w:t>
      </w:r>
      <w:r>
        <w:t>provide</w:t>
      </w:r>
      <w:r w:rsidR="00C64050">
        <w:t xml:space="preserve"> </w:t>
      </w:r>
      <w:r>
        <w:t>that</w:t>
      </w:r>
      <w:r w:rsidR="00C64050">
        <w:t xml:space="preserve"> </w:t>
      </w:r>
      <w:r>
        <w:t>an</w:t>
      </w:r>
      <w:r w:rsidR="00C64050">
        <w:t xml:space="preserve"> </w:t>
      </w:r>
      <w:r>
        <w:t>advisor</w:t>
      </w:r>
      <w:r w:rsidR="00C64050">
        <w:t xml:space="preserve"> </w:t>
      </w:r>
      <w:r>
        <w:t>acts</w:t>
      </w:r>
      <w:r w:rsidR="00C64050">
        <w:t xml:space="preserve"> </w:t>
      </w:r>
      <w:r>
        <w:t>in</w:t>
      </w:r>
      <w:r w:rsidR="00C64050">
        <w:t xml:space="preserve"> </w:t>
      </w:r>
      <w:r>
        <w:t>a</w:t>
      </w:r>
      <w:r w:rsidR="00C64050">
        <w:t xml:space="preserve"> </w:t>
      </w:r>
      <w:r>
        <w:t>nonfiduciary</w:t>
      </w:r>
      <w:r w:rsidR="00C64050">
        <w:t xml:space="preserve"> </w:t>
      </w:r>
      <w:r>
        <w:t>capacity</w:t>
      </w:r>
      <w:r w:rsidR="00C64050">
        <w:t xml:space="preserve"> </w:t>
      </w:r>
      <w:r>
        <w:t>if:</w:t>
      </w:r>
      <w:r w:rsidR="00C64050">
        <w:t xml:space="preserve"> </w:t>
      </w:r>
    </w:p>
    <w:p w:rsidR="003049DA" w:rsidRDefault="003049DA" w:rsidP="003049DA">
      <w:pPr>
        <w:pStyle w:val="QS10"/>
        <w:ind w:left="2160"/>
      </w:pPr>
      <w:r>
        <w:t>(1)</w:t>
      </w:r>
      <w:r w:rsidR="00C64050">
        <w:t xml:space="preserve"> </w:t>
      </w:r>
      <w:r>
        <w:t>the</w:t>
      </w:r>
      <w:r w:rsidR="00C64050">
        <w:t xml:space="preserve"> </w:t>
      </w:r>
      <w:r>
        <w:t>advisor’s</w:t>
      </w:r>
      <w:r w:rsidR="00C64050">
        <w:t xml:space="preserve"> </w:t>
      </w:r>
      <w:r>
        <w:t>only</w:t>
      </w:r>
      <w:r w:rsidR="00C64050">
        <w:t xml:space="preserve"> </w:t>
      </w:r>
      <w:r>
        <w:t>power</w:t>
      </w:r>
      <w:r w:rsidR="00C64050">
        <w:t xml:space="preserve"> </w:t>
      </w:r>
      <w:r>
        <w:t>is</w:t>
      </w:r>
      <w:r w:rsidR="00C64050">
        <w:t xml:space="preserve"> </w:t>
      </w:r>
      <w:r>
        <w:t>to</w:t>
      </w:r>
      <w:r w:rsidR="00C64050">
        <w:t xml:space="preserve"> </w:t>
      </w:r>
      <w:r>
        <w:t>remove</w:t>
      </w:r>
      <w:r w:rsidR="00C64050">
        <w:t xml:space="preserve"> </w:t>
      </w:r>
      <w:r>
        <w:t>and</w:t>
      </w:r>
      <w:r w:rsidR="00C64050">
        <w:t xml:space="preserve"> </w:t>
      </w:r>
      <w:r>
        <w:t>appoint</w:t>
      </w:r>
      <w:r w:rsidR="00C64050">
        <w:t xml:space="preserve"> </w:t>
      </w:r>
      <w:r>
        <w:t>trustees,</w:t>
      </w:r>
      <w:r w:rsidR="00C64050">
        <w:t xml:space="preserve"> </w:t>
      </w:r>
      <w:r>
        <w:t>advisors,</w:t>
      </w:r>
      <w:r w:rsidR="00C64050">
        <w:t xml:space="preserve"> </w:t>
      </w:r>
      <w:r>
        <w:t>trust</w:t>
      </w:r>
      <w:r w:rsidR="00C64050">
        <w:t xml:space="preserve"> </w:t>
      </w:r>
      <w:r>
        <w:t>committee</w:t>
      </w:r>
      <w:r w:rsidR="00C64050">
        <w:t xml:space="preserve"> </w:t>
      </w:r>
      <w:r>
        <w:t>members,</w:t>
      </w:r>
      <w:r w:rsidR="00C64050">
        <w:t xml:space="preserve"> </w:t>
      </w:r>
      <w:r>
        <w:t>or</w:t>
      </w:r>
      <w:r w:rsidR="00C64050">
        <w:t xml:space="preserve"> </w:t>
      </w:r>
      <w:r>
        <w:t>other</w:t>
      </w:r>
      <w:r w:rsidR="00C64050">
        <w:t xml:space="preserve"> </w:t>
      </w:r>
      <w:r>
        <w:t>protectors;</w:t>
      </w:r>
      <w:r w:rsidR="00C64050">
        <w:t xml:space="preserve"> </w:t>
      </w:r>
      <w:r>
        <w:t>and</w:t>
      </w:r>
      <w:r w:rsidR="00C64050">
        <w:t xml:space="preserve"> </w:t>
      </w:r>
    </w:p>
    <w:p w:rsidR="003049DA" w:rsidRDefault="003049DA" w:rsidP="003049DA">
      <w:pPr>
        <w:pStyle w:val="QS10"/>
        <w:ind w:left="2160"/>
      </w:pPr>
      <w:r>
        <w:t>(2)</w:t>
      </w:r>
      <w:r w:rsidR="00C64050">
        <w:t xml:space="preserve"> </w:t>
      </w:r>
      <w:r>
        <w:t>the</w:t>
      </w:r>
      <w:r w:rsidR="00C64050">
        <w:t xml:space="preserve"> </w:t>
      </w:r>
      <w:r>
        <w:t>advisor</w:t>
      </w:r>
      <w:r w:rsidR="00C64050">
        <w:t xml:space="preserve"> </w:t>
      </w:r>
      <w:r>
        <w:t>does</w:t>
      </w:r>
      <w:r w:rsidR="00C64050">
        <w:t xml:space="preserve"> </w:t>
      </w:r>
      <w:r>
        <w:t>not</w:t>
      </w:r>
      <w:r w:rsidR="00C64050">
        <w:t xml:space="preserve"> </w:t>
      </w:r>
      <w:r>
        <w:t>exercise</w:t>
      </w:r>
      <w:r w:rsidR="00C64050">
        <w:t xml:space="preserve"> </w:t>
      </w:r>
      <w:r>
        <w:t>that</w:t>
      </w:r>
      <w:r w:rsidR="00C64050">
        <w:t xml:space="preserve"> </w:t>
      </w:r>
      <w:r>
        <w:t>power</w:t>
      </w:r>
      <w:r w:rsidR="00C64050">
        <w:t xml:space="preserve"> </w:t>
      </w:r>
      <w:r>
        <w:t>to</w:t>
      </w:r>
      <w:r w:rsidR="00C64050">
        <w:t xml:space="preserve"> </w:t>
      </w:r>
      <w:r>
        <w:t>appoint</w:t>
      </w:r>
      <w:r w:rsidR="00C64050">
        <w:t xml:space="preserve"> </w:t>
      </w:r>
      <w:r>
        <w:t>the</w:t>
      </w:r>
      <w:r w:rsidR="00C64050">
        <w:t xml:space="preserve"> </w:t>
      </w:r>
      <w:r>
        <w:t>advisor’s</w:t>
      </w:r>
      <w:r w:rsidR="00C64050">
        <w:t xml:space="preserve"> </w:t>
      </w:r>
      <w:r>
        <w:t>self</w:t>
      </w:r>
      <w:r w:rsidR="00C64050">
        <w:t xml:space="preserve"> </w:t>
      </w:r>
      <w:r>
        <w:t>to</w:t>
      </w:r>
      <w:r w:rsidR="00C64050">
        <w:t xml:space="preserve"> </w:t>
      </w:r>
      <w:r>
        <w:t>a</w:t>
      </w:r>
      <w:r w:rsidR="00C64050">
        <w:t xml:space="preserve"> </w:t>
      </w:r>
      <w:r>
        <w:t>position</w:t>
      </w:r>
      <w:r w:rsidR="00C64050">
        <w:t xml:space="preserve"> </w:t>
      </w:r>
      <w:r>
        <w:t>described</w:t>
      </w:r>
      <w:r w:rsidR="00C64050">
        <w:t xml:space="preserve"> </w:t>
      </w:r>
      <w:r>
        <w:t>by</w:t>
      </w:r>
      <w:r w:rsidR="00C64050">
        <w:t xml:space="preserve"> </w:t>
      </w:r>
      <w:r>
        <w:t>Subdivision.</w:t>
      </w:r>
      <w:r w:rsidR="00C64050">
        <w:t xml:space="preserve"> </w:t>
      </w:r>
    </w:p>
    <w:p w:rsidR="00B00674" w:rsidRDefault="003049DA" w:rsidP="003049DA">
      <w:pPr>
        <w:pStyle w:val="QS10"/>
      </w:pPr>
      <w:r w:rsidRPr="003049DA">
        <w:rPr>
          <w:i/>
        </w:rPr>
        <w:t>See</w:t>
      </w:r>
      <w:r w:rsidR="00C64050">
        <w:t xml:space="preserve"> </w:t>
      </w:r>
      <w:r>
        <w:t>TEX.</w:t>
      </w:r>
      <w:r w:rsidR="00C64050">
        <w:t xml:space="preserve"> </w:t>
      </w:r>
      <w:r>
        <w:t>PROP.</w:t>
      </w:r>
      <w:r w:rsidR="00C64050">
        <w:t xml:space="preserve"> </w:t>
      </w:r>
      <w:r>
        <w:t>CODE</w:t>
      </w:r>
      <w:r w:rsidR="00C64050">
        <w:t xml:space="preserve"> </w:t>
      </w:r>
      <w:r>
        <w:t>§</w:t>
      </w:r>
      <w:r w:rsidR="00C64050">
        <w:t xml:space="preserve"> </w:t>
      </w:r>
      <w:r>
        <w:t>114.0031(e).</w:t>
      </w:r>
      <w:r w:rsidR="00C64050">
        <w:t xml:space="preserve"> </w:t>
      </w:r>
      <w:r>
        <w:t>This</w:t>
      </w:r>
      <w:r w:rsidR="00C64050">
        <w:t xml:space="preserve"> </w:t>
      </w:r>
      <w:r>
        <w:t>seems</w:t>
      </w:r>
      <w:r w:rsidR="00C64050">
        <w:t xml:space="preserve"> </w:t>
      </w:r>
      <w:r>
        <w:t>to</w:t>
      </w:r>
      <w:r w:rsidR="00C64050">
        <w:t xml:space="preserve"> </w:t>
      </w:r>
      <w:r>
        <w:t>be</w:t>
      </w:r>
      <w:r w:rsidR="00C64050">
        <w:t xml:space="preserve"> </w:t>
      </w:r>
      <w:r>
        <w:t>the</w:t>
      </w:r>
      <w:r w:rsidR="00C64050">
        <w:t xml:space="preserve"> </w:t>
      </w:r>
      <w:r>
        <w:t>only</w:t>
      </w:r>
      <w:r w:rsidR="00C64050">
        <w:t xml:space="preserve"> </w:t>
      </w:r>
      <w:r>
        <w:t>provision</w:t>
      </w:r>
      <w:r w:rsidR="00C64050">
        <w:t xml:space="preserve"> </w:t>
      </w:r>
      <w:r>
        <w:t>in</w:t>
      </w:r>
      <w:r w:rsidR="00C64050">
        <w:t xml:space="preserve"> </w:t>
      </w:r>
      <w:r>
        <w:t>the</w:t>
      </w:r>
      <w:r w:rsidR="00C64050">
        <w:t xml:space="preserve"> </w:t>
      </w:r>
      <w:r>
        <w:t>Texas</w:t>
      </w:r>
      <w:r w:rsidR="00C64050">
        <w:t xml:space="preserve"> </w:t>
      </w:r>
      <w:r>
        <w:t>Trust</w:t>
      </w:r>
      <w:r w:rsidR="00C64050">
        <w:t xml:space="preserve"> </w:t>
      </w:r>
      <w:r>
        <w:t>Code</w:t>
      </w:r>
      <w:r w:rsidR="00C64050">
        <w:t xml:space="preserve"> </w:t>
      </w:r>
      <w:r>
        <w:t>that</w:t>
      </w:r>
      <w:r w:rsidR="00C64050">
        <w:t xml:space="preserve"> </w:t>
      </w:r>
      <w:r>
        <w:t>discusses</w:t>
      </w:r>
      <w:r w:rsidR="00C64050">
        <w:t xml:space="preserve"> </w:t>
      </w:r>
      <w:r>
        <w:t>the</w:t>
      </w:r>
      <w:r w:rsidR="00C64050">
        <w:t xml:space="preserve"> </w:t>
      </w:r>
      <w:r>
        <w:t>fiduciary</w:t>
      </w:r>
      <w:r w:rsidR="00C64050">
        <w:t xml:space="preserve"> </w:t>
      </w:r>
      <w:r>
        <w:t>duty</w:t>
      </w:r>
      <w:r w:rsidR="00C64050">
        <w:t xml:space="preserve"> </w:t>
      </w:r>
      <w:r>
        <w:t>owed</w:t>
      </w:r>
      <w:r w:rsidR="00C64050">
        <w:t xml:space="preserve"> </w:t>
      </w:r>
      <w:r>
        <w:t>by</w:t>
      </w:r>
      <w:r w:rsidR="00C64050">
        <w:t xml:space="preserve"> </w:t>
      </w:r>
      <w:r>
        <w:t>a</w:t>
      </w:r>
      <w:r w:rsidR="00C64050">
        <w:t xml:space="preserve"> </w:t>
      </w:r>
      <w:r>
        <w:t>trust</w:t>
      </w:r>
      <w:r w:rsidR="00C64050">
        <w:t xml:space="preserve"> </w:t>
      </w:r>
      <w:r>
        <w:t>protector.</w:t>
      </w:r>
      <w:r w:rsidR="00C64050">
        <w:t xml:space="preserve"> </w:t>
      </w:r>
      <w:r>
        <w:t>Notably,</w:t>
      </w:r>
      <w:r w:rsidR="00C64050">
        <w:t xml:space="preserve"> </w:t>
      </w:r>
      <w:r>
        <w:t>the</w:t>
      </w:r>
      <w:r w:rsidR="00C64050">
        <w:t xml:space="preserve"> </w:t>
      </w:r>
      <w:r>
        <w:t>section</w:t>
      </w:r>
      <w:r w:rsidR="00C64050">
        <w:t xml:space="preserve"> </w:t>
      </w:r>
      <w:r>
        <w:t>discusses</w:t>
      </w:r>
      <w:r w:rsidR="00C64050">
        <w:t xml:space="preserve"> </w:t>
      </w:r>
      <w:r>
        <w:t>the</w:t>
      </w:r>
      <w:r w:rsidR="00C64050">
        <w:t xml:space="preserve"> </w:t>
      </w:r>
      <w:r>
        <w:t>trust</w:t>
      </w:r>
      <w:r w:rsidR="00C64050">
        <w:t xml:space="preserve"> </w:t>
      </w:r>
      <w:r>
        <w:t>protector</w:t>
      </w:r>
      <w:r w:rsidR="00C64050">
        <w:t xml:space="preserve"> </w:t>
      </w:r>
      <w:r>
        <w:t>in</w:t>
      </w:r>
      <w:r w:rsidR="00C64050">
        <w:t xml:space="preserve"> </w:t>
      </w:r>
      <w:r>
        <w:t>his</w:t>
      </w:r>
      <w:r w:rsidR="00C64050">
        <w:t xml:space="preserve"> </w:t>
      </w:r>
      <w:r>
        <w:t>role</w:t>
      </w:r>
      <w:r w:rsidR="00C64050">
        <w:t xml:space="preserve"> </w:t>
      </w:r>
      <w:r>
        <w:t>as</w:t>
      </w:r>
      <w:r w:rsidR="00C64050">
        <w:t xml:space="preserve"> </w:t>
      </w:r>
      <w:r>
        <w:t>advisor</w:t>
      </w:r>
      <w:r w:rsidR="00C64050">
        <w:t xml:space="preserve"> </w:t>
      </w:r>
      <w:r>
        <w:t>to</w:t>
      </w:r>
      <w:r w:rsidR="00C64050">
        <w:t xml:space="preserve"> </w:t>
      </w:r>
      <w:r>
        <w:t>the</w:t>
      </w:r>
      <w:r w:rsidR="00C64050">
        <w:t xml:space="preserve"> </w:t>
      </w:r>
      <w:r>
        <w:t>trustee.</w:t>
      </w:r>
      <w:r w:rsidR="00C64050">
        <w:t xml:space="preserve"> </w:t>
      </w:r>
      <w:r>
        <w:t>This</w:t>
      </w:r>
      <w:r w:rsidR="00C64050">
        <w:t xml:space="preserve"> </w:t>
      </w:r>
      <w:r>
        <w:t>suggests</w:t>
      </w:r>
      <w:r w:rsidR="00C64050">
        <w:t xml:space="preserve"> </w:t>
      </w:r>
      <w:r>
        <w:t>that</w:t>
      </w:r>
      <w:r w:rsidR="00C64050">
        <w:t xml:space="preserve"> </w:t>
      </w:r>
      <w:r>
        <w:t>the</w:t>
      </w:r>
      <w:r w:rsidR="00C64050">
        <w:t xml:space="preserve"> </w:t>
      </w:r>
      <w:r>
        <w:t>fiduciary</w:t>
      </w:r>
      <w:r w:rsidR="00C64050">
        <w:t xml:space="preserve"> </w:t>
      </w:r>
      <w:r>
        <w:t>relationship</w:t>
      </w:r>
      <w:r w:rsidR="00C64050">
        <w:t xml:space="preserve"> </w:t>
      </w:r>
      <w:r>
        <w:t>is</w:t>
      </w:r>
      <w:r w:rsidR="00C64050">
        <w:t xml:space="preserve"> </w:t>
      </w:r>
      <w:r>
        <w:t>between</w:t>
      </w:r>
      <w:r w:rsidR="00C64050">
        <w:t xml:space="preserve"> </w:t>
      </w:r>
      <w:r>
        <w:t>Stein</w:t>
      </w:r>
      <w:r w:rsidR="00C64050">
        <w:t xml:space="preserve"> </w:t>
      </w:r>
      <w:r>
        <w:t>(Trust</w:t>
      </w:r>
      <w:r w:rsidR="00C64050">
        <w:t xml:space="preserve"> </w:t>
      </w:r>
      <w:r>
        <w:t>Protector)</w:t>
      </w:r>
      <w:r w:rsidR="00C64050">
        <w:t xml:space="preserve"> </w:t>
      </w:r>
      <w:r>
        <w:t>and</w:t>
      </w:r>
      <w:r w:rsidR="00C64050">
        <w:t xml:space="preserve"> </w:t>
      </w:r>
      <w:r>
        <w:t>Avi</w:t>
      </w:r>
      <w:r w:rsidR="00C64050">
        <w:t xml:space="preserve"> </w:t>
      </w:r>
      <w:r>
        <w:t>(Trustee)—</w:t>
      </w:r>
      <w:r w:rsidR="00C64050">
        <w:t xml:space="preserve"> </w:t>
      </w:r>
      <w:r>
        <w:t>again,</w:t>
      </w:r>
      <w:r w:rsidR="00C64050">
        <w:t xml:space="preserve"> </w:t>
      </w:r>
      <w:r>
        <w:t>or</w:t>
      </w:r>
      <w:r w:rsidR="00C64050">
        <w:t xml:space="preserve"> </w:t>
      </w:r>
      <w:r>
        <w:t>perhaps,</w:t>
      </w:r>
      <w:r w:rsidR="00C64050">
        <w:t xml:space="preserve"> </w:t>
      </w:r>
      <w:r>
        <w:t>between</w:t>
      </w:r>
      <w:r w:rsidR="00C64050">
        <w:t xml:space="preserve"> </w:t>
      </w:r>
      <w:r>
        <w:t>Stein</w:t>
      </w:r>
      <w:r w:rsidR="00C64050">
        <w:t xml:space="preserve"> </w:t>
      </w:r>
      <w:r>
        <w:t>(Trust</w:t>
      </w:r>
      <w:r w:rsidR="00C64050">
        <w:t xml:space="preserve"> </w:t>
      </w:r>
      <w:r>
        <w:t>Protector)</w:t>
      </w:r>
      <w:r w:rsidR="00C64050">
        <w:t xml:space="preserve"> </w:t>
      </w:r>
      <w:r>
        <w:t>and</w:t>
      </w:r>
      <w:r w:rsidR="00C64050">
        <w:t xml:space="preserve"> </w:t>
      </w:r>
      <w:r>
        <w:t>the</w:t>
      </w:r>
      <w:r w:rsidR="00C64050">
        <w:t xml:space="preserve"> </w:t>
      </w:r>
      <w:r>
        <w:t>Trust</w:t>
      </w:r>
      <w:r w:rsidR="00C64050">
        <w:t xml:space="preserve"> </w:t>
      </w:r>
      <w:r>
        <w:t>itself.</w:t>
      </w:r>
      <w:r w:rsidR="00C64050">
        <w:t xml:space="preserve"> </w:t>
      </w:r>
      <w:r>
        <w:t>In</w:t>
      </w:r>
      <w:r w:rsidR="00C64050">
        <w:t xml:space="preserve"> </w:t>
      </w:r>
      <w:r>
        <w:t>other</w:t>
      </w:r>
      <w:r w:rsidR="00C64050">
        <w:t xml:space="preserve"> </w:t>
      </w:r>
      <w:r>
        <w:t>words,</w:t>
      </w:r>
      <w:r w:rsidR="00C64050">
        <w:t xml:space="preserve"> </w:t>
      </w:r>
      <w:r>
        <w:t>Texas</w:t>
      </w:r>
      <w:r w:rsidR="00C64050">
        <w:t xml:space="preserve"> </w:t>
      </w:r>
      <w:r>
        <w:t>law</w:t>
      </w:r>
      <w:r w:rsidR="00C64050">
        <w:t xml:space="preserve"> </w:t>
      </w:r>
      <w:r>
        <w:t>does</w:t>
      </w:r>
      <w:r w:rsidR="00C64050">
        <w:t xml:space="preserve"> </w:t>
      </w:r>
      <w:r>
        <w:t>not</w:t>
      </w:r>
      <w:r w:rsidR="00C64050">
        <w:t xml:space="preserve"> </w:t>
      </w:r>
      <w:r>
        <w:t>create</w:t>
      </w:r>
      <w:r w:rsidR="00C64050">
        <w:t xml:space="preserve"> </w:t>
      </w:r>
      <w:r>
        <w:t>a</w:t>
      </w:r>
      <w:r w:rsidR="00C64050">
        <w:t xml:space="preserve"> </w:t>
      </w:r>
      <w:r>
        <w:t>formal</w:t>
      </w:r>
      <w:r w:rsidR="00C64050">
        <w:t xml:space="preserve"> </w:t>
      </w:r>
      <w:r>
        <w:t>fiduciary</w:t>
      </w:r>
      <w:r w:rsidR="00C64050">
        <w:t xml:space="preserve"> </w:t>
      </w:r>
      <w:r>
        <w:t>relationship</w:t>
      </w:r>
      <w:r w:rsidR="00C64050">
        <w:t xml:space="preserve"> </w:t>
      </w:r>
      <w:r>
        <w:t>between</w:t>
      </w:r>
      <w:r w:rsidR="00C64050">
        <w:t xml:space="preserve"> </w:t>
      </w:r>
      <w:r>
        <w:t>Stein</w:t>
      </w:r>
      <w:r w:rsidR="00C64050">
        <w:t xml:space="preserve"> </w:t>
      </w:r>
      <w:r>
        <w:t>and</w:t>
      </w:r>
      <w:r w:rsidR="00C64050">
        <w:t xml:space="preserve"> </w:t>
      </w:r>
      <w:r>
        <w:t>Suzanne.</w:t>
      </w:r>
    </w:p>
    <w:p w:rsidR="00190CC2" w:rsidRPr="00190CC2" w:rsidRDefault="00B72BAF" w:rsidP="00B66CCE">
      <w:pPr>
        <w:pStyle w:val="Heading20"/>
        <w:numPr>
          <w:ilvl w:val="1"/>
          <w:numId w:val="33"/>
        </w:numPr>
        <w:tabs>
          <w:tab w:val="clear" w:pos="2700"/>
        </w:tabs>
        <w:ind w:left="0"/>
        <w:rPr>
          <w:vanish/>
          <w:specVanish/>
        </w:rPr>
      </w:pPr>
      <w:bookmarkStart w:id="801" w:name="_Toc94704691"/>
      <w:r>
        <w:rPr>
          <w:b/>
          <w:u w:val="single"/>
        </w:rPr>
        <w:t>Restrictions</w:t>
      </w:r>
      <w:r w:rsidR="00C64050">
        <w:rPr>
          <w:b/>
          <w:u w:val="single"/>
        </w:rPr>
        <w:t xml:space="preserve"> </w:t>
      </w:r>
      <w:r w:rsidR="00ED795A">
        <w:rPr>
          <w:b/>
          <w:u w:val="single"/>
        </w:rPr>
        <w:t>On</w:t>
      </w:r>
      <w:r w:rsidR="00C64050">
        <w:rPr>
          <w:b/>
          <w:u w:val="single"/>
        </w:rPr>
        <w:t xml:space="preserve"> </w:t>
      </w:r>
      <w:r w:rsidR="00ED795A">
        <w:rPr>
          <w:b/>
          <w:u w:val="single"/>
        </w:rPr>
        <w:t>Marriage</w:t>
      </w:r>
      <w:bookmarkEnd w:id="801"/>
    </w:p>
    <w:p w:rsidR="00777B02" w:rsidRDefault="00ED795A" w:rsidP="00190CC2">
      <w:pPr>
        <w:pStyle w:val="Heading2Body"/>
      </w:pPr>
      <w:r>
        <w:t>.</w:t>
      </w:r>
      <w:r w:rsidR="00C64050">
        <w:t xml:space="preserve">  </w:t>
      </w:r>
      <w:r>
        <w:t>Parents</w:t>
      </w:r>
      <w:r w:rsidR="00C64050">
        <w:t xml:space="preserve"> </w:t>
      </w:r>
      <w:r>
        <w:t>do</w:t>
      </w:r>
      <w:r w:rsidR="00C64050">
        <w:t xml:space="preserve"> </w:t>
      </w:r>
      <w:r>
        <w:t>not</w:t>
      </w:r>
      <w:r w:rsidR="00C64050">
        <w:t xml:space="preserve"> </w:t>
      </w:r>
      <w:r>
        <w:t>always</w:t>
      </w:r>
      <w:r w:rsidR="00C64050">
        <w:t xml:space="preserve"> </w:t>
      </w:r>
      <w:r>
        <w:t>approve</w:t>
      </w:r>
      <w:r w:rsidR="00C64050">
        <w:t xml:space="preserve"> </w:t>
      </w:r>
      <w:r>
        <w:t>of</w:t>
      </w:r>
      <w:r w:rsidR="00C64050">
        <w:t xml:space="preserve"> </w:t>
      </w:r>
      <w:r>
        <w:t>a</w:t>
      </w:r>
      <w:r w:rsidR="00C64050">
        <w:t xml:space="preserve"> </w:t>
      </w:r>
      <w:r>
        <w:t>child’s</w:t>
      </w:r>
      <w:r w:rsidR="00C64050">
        <w:t xml:space="preserve"> </w:t>
      </w:r>
      <w:r>
        <w:t>choice</w:t>
      </w:r>
      <w:r w:rsidR="00C64050">
        <w:t xml:space="preserve"> </w:t>
      </w:r>
      <w:r>
        <w:t>of</w:t>
      </w:r>
      <w:r w:rsidR="00C64050">
        <w:t xml:space="preserve"> </w:t>
      </w:r>
      <w:r>
        <w:t>spouse.</w:t>
      </w:r>
      <w:r w:rsidR="00C64050">
        <w:t xml:space="preserve">  </w:t>
      </w:r>
      <w:r>
        <w:t>Such</w:t>
      </w:r>
      <w:r w:rsidR="00C64050">
        <w:t xml:space="preserve"> </w:t>
      </w:r>
      <w:r>
        <w:t>was</w:t>
      </w:r>
      <w:r w:rsidR="00C64050">
        <w:t xml:space="preserve"> </w:t>
      </w:r>
      <w:r>
        <w:t>the</w:t>
      </w:r>
      <w:r w:rsidR="00C64050">
        <w:t xml:space="preserve"> </w:t>
      </w:r>
      <w:r>
        <w:t>case</w:t>
      </w:r>
      <w:r w:rsidR="00C64050">
        <w:t xml:space="preserve"> </w:t>
      </w:r>
      <w:r>
        <w:t>in</w:t>
      </w:r>
      <w:r w:rsidR="00C64050">
        <w:t xml:space="preserve"> </w:t>
      </w:r>
      <w:r>
        <w:rPr>
          <w:u w:val="single"/>
        </w:rPr>
        <w:t>In</w:t>
      </w:r>
      <w:r w:rsidR="00C64050">
        <w:rPr>
          <w:u w:val="single"/>
        </w:rPr>
        <w:t xml:space="preserve"> </w:t>
      </w:r>
      <w:r>
        <w:rPr>
          <w:u w:val="single"/>
        </w:rPr>
        <w:t>re</w:t>
      </w:r>
      <w:r w:rsidR="00C64050">
        <w:rPr>
          <w:u w:val="single"/>
        </w:rPr>
        <w:t xml:space="preserve"> </w:t>
      </w:r>
      <w:r>
        <w:rPr>
          <w:u w:val="single"/>
        </w:rPr>
        <w:t>Estate</w:t>
      </w:r>
      <w:r w:rsidR="00C64050">
        <w:rPr>
          <w:u w:val="single"/>
        </w:rPr>
        <w:t xml:space="preserve"> </w:t>
      </w:r>
      <w:r>
        <w:rPr>
          <w:u w:val="single"/>
        </w:rPr>
        <w:t>of</w:t>
      </w:r>
      <w:r w:rsidR="00C64050">
        <w:rPr>
          <w:u w:val="single"/>
        </w:rPr>
        <w:t xml:space="preserve"> </w:t>
      </w:r>
      <w:r>
        <w:rPr>
          <w:u w:val="single"/>
        </w:rPr>
        <w:t>Connolly</w:t>
      </w:r>
      <w:r>
        <w:t>,</w:t>
      </w:r>
      <w:r w:rsidR="00C64050">
        <w:t xml:space="preserve"> </w:t>
      </w:r>
      <w:r>
        <w:t>2019</w:t>
      </w:r>
      <w:r w:rsidR="00C64050">
        <w:t xml:space="preserve"> </w:t>
      </w:r>
      <w:r>
        <w:t>WL</w:t>
      </w:r>
      <w:r w:rsidR="00C64050">
        <w:t xml:space="preserve"> </w:t>
      </w:r>
      <w:r>
        <w:t>1643856</w:t>
      </w:r>
      <w:r w:rsidR="00C64050">
        <w:t xml:space="preserve"> </w:t>
      </w:r>
      <w:r>
        <w:t>(Va.</w:t>
      </w:r>
      <w:r w:rsidR="00C64050">
        <w:t xml:space="preserve"> </w:t>
      </w:r>
      <w:r>
        <w:t>Cir.</w:t>
      </w:r>
      <w:r w:rsidR="00C64050">
        <w:t xml:space="preserve"> </w:t>
      </w:r>
      <w:r>
        <w:t>Ct.</w:t>
      </w:r>
      <w:r w:rsidR="00C64050">
        <w:t xml:space="preserve"> </w:t>
      </w:r>
      <w:r>
        <w:t>April</w:t>
      </w:r>
      <w:r w:rsidR="00C64050">
        <w:t xml:space="preserve"> </w:t>
      </w:r>
      <w:r>
        <w:t>16,</w:t>
      </w:r>
      <w:r w:rsidR="00C64050">
        <w:t xml:space="preserve"> </w:t>
      </w:r>
      <w:r>
        <w:t>2019)</w:t>
      </w:r>
      <w:r w:rsidR="00C64050">
        <w:t xml:space="preserve"> </w:t>
      </w:r>
      <w:r>
        <w:t>where:</w:t>
      </w:r>
    </w:p>
    <w:p w:rsidR="008D75A6" w:rsidRPr="008D75A6" w:rsidRDefault="008D75A6" w:rsidP="008D75A6">
      <w:pPr>
        <w:pStyle w:val="QS10"/>
      </w:pPr>
      <w:r w:rsidRPr="008D75A6">
        <w:t>Mr.</w:t>
      </w:r>
      <w:r w:rsidR="00C64050">
        <w:t xml:space="preserve"> </w:t>
      </w:r>
      <w:r w:rsidRPr="008D75A6">
        <w:t>Connolly,</w:t>
      </w:r>
      <w:r w:rsidR="00C64050">
        <w:t xml:space="preserve"> </w:t>
      </w:r>
      <w:r w:rsidRPr="008D75A6">
        <w:t>predeceased</w:t>
      </w:r>
      <w:r w:rsidR="00C64050">
        <w:t xml:space="preserve"> </w:t>
      </w:r>
      <w:r w:rsidRPr="008D75A6">
        <w:t>by</w:t>
      </w:r>
      <w:r w:rsidR="00C64050">
        <w:t xml:space="preserve"> </w:t>
      </w:r>
      <w:r w:rsidRPr="008D75A6">
        <w:t>Mrs.</w:t>
      </w:r>
      <w:r w:rsidR="00C64050">
        <w:t xml:space="preserve"> </w:t>
      </w:r>
      <w:r w:rsidRPr="008D75A6">
        <w:t>Connolly,</w:t>
      </w:r>
      <w:r w:rsidR="00C64050">
        <w:t xml:space="preserve"> </w:t>
      </w:r>
      <w:r w:rsidRPr="008D75A6">
        <w:t>executed</w:t>
      </w:r>
      <w:r w:rsidR="00C64050">
        <w:t xml:space="preserve"> </w:t>
      </w:r>
      <w:r w:rsidRPr="008D75A6">
        <w:t>his</w:t>
      </w:r>
      <w:r w:rsidR="00C64050">
        <w:t xml:space="preserve"> </w:t>
      </w:r>
      <w:r w:rsidRPr="008D75A6">
        <w:t>Last</w:t>
      </w:r>
      <w:r w:rsidR="00C64050">
        <w:t xml:space="preserve"> </w:t>
      </w:r>
      <w:r w:rsidRPr="008D75A6">
        <w:t>Will</w:t>
      </w:r>
      <w:r w:rsidR="00C64050">
        <w:t xml:space="preserve"> </w:t>
      </w:r>
      <w:r w:rsidRPr="008D75A6">
        <w:t>and</w:t>
      </w:r>
      <w:r w:rsidR="00C64050">
        <w:t xml:space="preserve"> </w:t>
      </w:r>
      <w:r w:rsidRPr="008D75A6">
        <w:t>Testament</w:t>
      </w:r>
      <w:r w:rsidR="00C64050">
        <w:t xml:space="preserve"> </w:t>
      </w:r>
      <w:r w:rsidRPr="008D75A6">
        <w:t>on</w:t>
      </w:r>
      <w:r w:rsidR="00C64050">
        <w:t xml:space="preserve"> </w:t>
      </w:r>
      <w:r w:rsidRPr="008D75A6">
        <w:t>September</w:t>
      </w:r>
      <w:r w:rsidR="00C64050">
        <w:t xml:space="preserve"> </w:t>
      </w:r>
      <w:r w:rsidRPr="008D75A6">
        <w:t>29,</w:t>
      </w:r>
      <w:r w:rsidR="00C64050">
        <w:t xml:space="preserve"> </w:t>
      </w:r>
      <w:r w:rsidRPr="008D75A6">
        <w:t>1998</w:t>
      </w:r>
      <w:r w:rsidR="00C64050">
        <w:t xml:space="preserve"> </w:t>
      </w:r>
      <w:r w:rsidRPr="008D75A6">
        <w:t>(“the</w:t>
      </w:r>
      <w:r w:rsidR="00C64050">
        <w:t xml:space="preserve"> </w:t>
      </w:r>
      <w:r w:rsidRPr="008D75A6">
        <w:t>Will”),</w:t>
      </w:r>
      <w:r w:rsidR="00C64050">
        <w:t xml:space="preserve"> </w:t>
      </w:r>
      <w:r w:rsidRPr="008D75A6">
        <w:t>Mr.</w:t>
      </w:r>
      <w:r w:rsidR="00C64050">
        <w:t xml:space="preserve"> </w:t>
      </w:r>
      <w:r w:rsidRPr="008D75A6">
        <w:t>Connolly</w:t>
      </w:r>
      <w:r w:rsidR="00C64050">
        <w:t xml:space="preserve"> </w:t>
      </w:r>
      <w:r w:rsidRPr="008D75A6">
        <w:t>owned</w:t>
      </w:r>
      <w:r w:rsidR="00C64050">
        <w:t xml:space="preserve"> </w:t>
      </w:r>
      <w:r w:rsidRPr="008D75A6">
        <w:t>and</w:t>
      </w:r>
      <w:r w:rsidR="00C64050">
        <w:t xml:space="preserve"> </w:t>
      </w:r>
      <w:r w:rsidRPr="008D75A6">
        <w:t>resided</w:t>
      </w:r>
      <w:r w:rsidR="00C64050">
        <w:t xml:space="preserve"> </w:t>
      </w:r>
      <w:r w:rsidRPr="008D75A6">
        <w:t>in</w:t>
      </w:r>
      <w:r w:rsidR="00C64050">
        <w:t xml:space="preserve"> </w:t>
      </w:r>
      <w:r w:rsidRPr="008D75A6">
        <w:t>a</w:t>
      </w:r>
      <w:r w:rsidR="00C64050">
        <w:t xml:space="preserve"> </w:t>
      </w:r>
      <w:r w:rsidRPr="008D75A6">
        <w:t>house</w:t>
      </w:r>
      <w:r w:rsidR="00C64050">
        <w:t xml:space="preserve"> </w:t>
      </w:r>
      <w:r w:rsidRPr="008D75A6">
        <w:t>located</w:t>
      </w:r>
      <w:r w:rsidR="00C64050">
        <w:t xml:space="preserve"> </w:t>
      </w:r>
      <w:r w:rsidRPr="008D75A6">
        <w:t>in</w:t>
      </w:r>
      <w:r w:rsidR="00C64050">
        <w:t xml:space="preserve"> </w:t>
      </w:r>
      <w:r w:rsidRPr="008D75A6">
        <w:t>Alexandria</w:t>
      </w:r>
      <w:r w:rsidR="00C64050">
        <w:t xml:space="preserve"> </w:t>
      </w:r>
      <w:r w:rsidRPr="008D75A6">
        <w:t>and</w:t>
      </w:r>
      <w:r w:rsidR="00C64050">
        <w:t xml:space="preserve"> </w:t>
      </w:r>
      <w:r w:rsidRPr="008D75A6">
        <w:t>devised</w:t>
      </w:r>
      <w:r w:rsidR="00C64050">
        <w:t xml:space="preserve"> </w:t>
      </w:r>
      <w:r w:rsidRPr="008D75A6">
        <w:t>this</w:t>
      </w:r>
      <w:r w:rsidR="00C64050">
        <w:t xml:space="preserve"> </w:t>
      </w:r>
      <w:r w:rsidRPr="008D75A6">
        <w:t>house</w:t>
      </w:r>
      <w:r w:rsidR="00C64050">
        <w:t xml:space="preserve"> </w:t>
      </w:r>
      <w:r w:rsidRPr="008D75A6">
        <w:t>to</w:t>
      </w:r>
      <w:r w:rsidR="00C64050">
        <w:t xml:space="preserve"> </w:t>
      </w:r>
      <w:r w:rsidRPr="008D75A6">
        <w:t>his</w:t>
      </w:r>
      <w:r w:rsidR="00C64050">
        <w:t xml:space="preserve"> </w:t>
      </w:r>
      <w:r w:rsidRPr="008D75A6">
        <w:t>daughter</w:t>
      </w:r>
      <w:r w:rsidR="00C64050">
        <w:t xml:space="preserve"> </w:t>
      </w:r>
      <w:r w:rsidRPr="008D75A6">
        <w:t>Susan</w:t>
      </w:r>
      <w:r w:rsidR="00C64050">
        <w:t xml:space="preserve"> </w:t>
      </w:r>
      <w:r w:rsidRPr="008D75A6">
        <w:t>“for</w:t>
      </w:r>
      <w:r w:rsidR="00C64050">
        <w:t xml:space="preserve"> </w:t>
      </w:r>
      <w:r w:rsidRPr="008D75A6">
        <w:t>as</w:t>
      </w:r>
      <w:r w:rsidR="00C64050">
        <w:t xml:space="preserve"> </w:t>
      </w:r>
      <w:r w:rsidRPr="008D75A6">
        <w:t>long</w:t>
      </w:r>
      <w:r w:rsidR="00C64050">
        <w:t xml:space="preserve"> </w:t>
      </w:r>
      <w:r w:rsidRPr="008D75A6">
        <w:t>as</w:t>
      </w:r>
      <w:r w:rsidR="00C64050">
        <w:t xml:space="preserve"> </w:t>
      </w:r>
      <w:r w:rsidRPr="008D75A6">
        <w:t>she</w:t>
      </w:r>
      <w:r w:rsidR="00C64050">
        <w:t xml:space="preserve"> </w:t>
      </w:r>
      <w:r w:rsidRPr="008D75A6">
        <w:t>desires</w:t>
      </w:r>
      <w:r w:rsidR="00C64050">
        <w:t xml:space="preserve"> </w:t>
      </w:r>
      <w:r w:rsidRPr="008D75A6">
        <w:t>to</w:t>
      </w:r>
      <w:r w:rsidR="00C64050">
        <w:t xml:space="preserve"> </w:t>
      </w:r>
      <w:r w:rsidRPr="008D75A6">
        <w:t>live</w:t>
      </w:r>
      <w:r w:rsidR="00C64050">
        <w:t xml:space="preserve"> </w:t>
      </w:r>
      <w:r w:rsidRPr="008D75A6">
        <w:t>there”</w:t>
      </w:r>
      <w:r w:rsidR="00C64050">
        <w:t xml:space="preserve"> </w:t>
      </w:r>
      <w:r w:rsidRPr="008D75A6">
        <w:t>and</w:t>
      </w:r>
      <w:r w:rsidR="00C64050">
        <w:t xml:space="preserve"> </w:t>
      </w:r>
      <w:r w:rsidRPr="008D75A6">
        <w:t>further</w:t>
      </w:r>
      <w:r w:rsidR="00C64050">
        <w:t xml:space="preserve"> </w:t>
      </w:r>
      <w:r w:rsidRPr="008D75A6">
        <w:t>provided:</w:t>
      </w:r>
    </w:p>
    <w:p w:rsidR="008D75A6" w:rsidRPr="008D75A6" w:rsidRDefault="008D75A6" w:rsidP="008D75A6">
      <w:pPr>
        <w:pStyle w:val="QS10"/>
        <w:ind w:left="2160"/>
      </w:pPr>
      <w:r w:rsidRPr="008D75A6">
        <w:t>Upon</w:t>
      </w:r>
      <w:r w:rsidR="00C64050">
        <w:t xml:space="preserve"> </w:t>
      </w:r>
      <w:r w:rsidRPr="008D75A6">
        <w:t>[Susan's]</w:t>
      </w:r>
      <w:r w:rsidR="00C64050">
        <w:t xml:space="preserve"> </w:t>
      </w:r>
      <w:r w:rsidRPr="008D75A6">
        <w:t>death</w:t>
      </w:r>
      <w:r w:rsidR="00C64050">
        <w:t xml:space="preserve"> </w:t>
      </w:r>
      <w:r w:rsidRPr="008D75A6">
        <w:t>or</w:t>
      </w:r>
      <w:r w:rsidR="00C64050">
        <w:t xml:space="preserve"> </w:t>
      </w:r>
      <w:r w:rsidRPr="008D75A6">
        <w:t>upon</w:t>
      </w:r>
      <w:r w:rsidR="00C64050">
        <w:t xml:space="preserve"> </w:t>
      </w:r>
      <w:r w:rsidRPr="008D75A6">
        <w:t>her</w:t>
      </w:r>
      <w:r w:rsidR="00C64050">
        <w:t xml:space="preserve"> </w:t>
      </w:r>
      <w:r w:rsidRPr="008D75A6">
        <w:t>cessation</w:t>
      </w:r>
      <w:r w:rsidR="00C64050">
        <w:t xml:space="preserve"> </w:t>
      </w:r>
      <w:r w:rsidRPr="008D75A6">
        <w:t>of</w:t>
      </w:r>
      <w:r w:rsidR="00C64050">
        <w:t xml:space="preserve"> </w:t>
      </w:r>
      <w:r w:rsidRPr="008D75A6">
        <w:t>living</w:t>
      </w:r>
      <w:r w:rsidR="00C64050">
        <w:t xml:space="preserve"> </w:t>
      </w:r>
      <w:r w:rsidRPr="008D75A6">
        <w:t>on</w:t>
      </w:r>
      <w:r w:rsidR="00C64050">
        <w:t xml:space="preserve"> </w:t>
      </w:r>
      <w:r w:rsidRPr="008D75A6">
        <w:t>the</w:t>
      </w:r>
      <w:r w:rsidR="00C64050">
        <w:t xml:space="preserve"> </w:t>
      </w:r>
      <w:r w:rsidRPr="008D75A6">
        <w:t>premises</w:t>
      </w:r>
      <w:r w:rsidR="00C64050">
        <w:t xml:space="preserve"> </w:t>
      </w:r>
      <w:r w:rsidRPr="008D75A6">
        <w:t>or</w:t>
      </w:r>
      <w:r w:rsidR="00C64050">
        <w:t xml:space="preserve"> </w:t>
      </w:r>
      <w:r w:rsidRPr="008D75A6">
        <w:t>any</w:t>
      </w:r>
      <w:r w:rsidR="00C64050">
        <w:t xml:space="preserve"> </w:t>
      </w:r>
      <w:r w:rsidRPr="008D75A6">
        <w:t>time</w:t>
      </w:r>
      <w:r w:rsidR="00C64050">
        <w:t xml:space="preserve"> </w:t>
      </w:r>
      <w:r w:rsidRPr="008D75A6">
        <w:t>she</w:t>
      </w:r>
      <w:r w:rsidR="00C64050">
        <w:t xml:space="preserve"> </w:t>
      </w:r>
      <w:r w:rsidRPr="008D75A6">
        <w:t>chooses</w:t>
      </w:r>
      <w:r w:rsidR="00C64050">
        <w:t xml:space="preserve"> </w:t>
      </w:r>
      <w:r w:rsidRPr="008D75A6">
        <w:t>to</w:t>
      </w:r>
      <w:r w:rsidR="00C64050">
        <w:t xml:space="preserve"> </w:t>
      </w:r>
      <w:r w:rsidRPr="008D75A6">
        <w:t>sell</w:t>
      </w:r>
      <w:r w:rsidR="00C64050">
        <w:t xml:space="preserve"> </w:t>
      </w:r>
      <w:r w:rsidRPr="008D75A6">
        <w:t>the</w:t>
      </w:r>
      <w:r w:rsidR="00C64050">
        <w:t xml:space="preserve"> </w:t>
      </w:r>
      <w:r w:rsidRPr="008D75A6">
        <w:t>house,</w:t>
      </w:r>
      <w:r w:rsidR="00C64050">
        <w:t xml:space="preserve"> </w:t>
      </w:r>
      <w:r w:rsidRPr="008D75A6">
        <w:t>the</w:t>
      </w:r>
      <w:r w:rsidR="00C64050">
        <w:t xml:space="preserve"> </w:t>
      </w:r>
      <w:r w:rsidRPr="008D75A6">
        <w:t>house</w:t>
      </w:r>
      <w:r w:rsidR="00C64050">
        <w:t xml:space="preserve"> </w:t>
      </w:r>
      <w:r w:rsidRPr="008D75A6">
        <w:t>shall</w:t>
      </w:r>
      <w:r w:rsidR="00C64050">
        <w:t xml:space="preserve"> </w:t>
      </w:r>
      <w:r w:rsidRPr="008D75A6">
        <w:t>be</w:t>
      </w:r>
      <w:r w:rsidR="00C64050">
        <w:t xml:space="preserve"> </w:t>
      </w:r>
      <w:r w:rsidRPr="008D75A6">
        <w:t>sold</w:t>
      </w:r>
      <w:r w:rsidR="00C64050">
        <w:t xml:space="preserve"> </w:t>
      </w:r>
      <w:r w:rsidRPr="008D75A6">
        <w:t>and</w:t>
      </w:r>
      <w:r w:rsidR="00C64050">
        <w:t xml:space="preserve"> </w:t>
      </w:r>
      <w:r w:rsidRPr="008D75A6">
        <w:t>the</w:t>
      </w:r>
      <w:r w:rsidR="00C64050">
        <w:t xml:space="preserve"> </w:t>
      </w:r>
      <w:r w:rsidRPr="008D75A6">
        <w:t>net</w:t>
      </w:r>
      <w:r w:rsidR="00C64050">
        <w:t xml:space="preserve"> </w:t>
      </w:r>
      <w:r w:rsidRPr="008D75A6">
        <w:t>proceeds</w:t>
      </w:r>
      <w:r w:rsidR="00C64050">
        <w:t xml:space="preserve"> </w:t>
      </w:r>
      <w:r w:rsidRPr="008D75A6">
        <w:t>of</w:t>
      </w:r>
      <w:r w:rsidR="00C64050">
        <w:t xml:space="preserve"> </w:t>
      </w:r>
      <w:r w:rsidRPr="008D75A6">
        <w:t>such</w:t>
      </w:r>
      <w:r w:rsidR="00C64050">
        <w:t xml:space="preserve"> </w:t>
      </w:r>
      <w:r w:rsidRPr="008D75A6">
        <w:t>sale</w:t>
      </w:r>
      <w:r w:rsidR="00C64050">
        <w:t xml:space="preserve"> </w:t>
      </w:r>
      <w:r w:rsidRPr="008D75A6">
        <w:t>shall</w:t>
      </w:r>
      <w:r w:rsidR="00C64050">
        <w:t xml:space="preserve"> </w:t>
      </w:r>
      <w:r w:rsidRPr="008D75A6">
        <w:t>be</w:t>
      </w:r>
      <w:r w:rsidR="00C64050">
        <w:t xml:space="preserve"> </w:t>
      </w:r>
      <w:r w:rsidRPr="008D75A6">
        <w:t>divided</w:t>
      </w:r>
      <w:r w:rsidR="00C64050">
        <w:t xml:space="preserve"> </w:t>
      </w:r>
      <w:r w:rsidRPr="008D75A6">
        <w:t>equally</w:t>
      </w:r>
      <w:r w:rsidR="00C64050">
        <w:t xml:space="preserve"> </w:t>
      </w:r>
      <w:r w:rsidRPr="008D75A6">
        <w:t>among</w:t>
      </w:r>
      <w:r w:rsidR="00C64050">
        <w:t xml:space="preserve"> </w:t>
      </w:r>
      <w:r w:rsidRPr="008D75A6">
        <w:t>my</w:t>
      </w:r>
      <w:r w:rsidR="00C64050">
        <w:t xml:space="preserve"> </w:t>
      </w:r>
      <w:r w:rsidRPr="008D75A6">
        <w:t>surviving</w:t>
      </w:r>
      <w:r w:rsidR="00C64050">
        <w:t xml:space="preserve"> </w:t>
      </w:r>
      <w:r w:rsidRPr="008D75A6">
        <w:t>children,</w:t>
      </w:r>
      <w:r w:rsidR="00C64050">
        <w:t xml:space="preserve"> </w:t>
      </w:r>
      <w:r w:rsidRPr="008D75A6">
        <w:t>except</w:t>
      </w:r>
      <w:r w:rsidR="00C64050">
        <w:t xml:space="preserve"> </w:t>
      </w:r>
      <w:r w:rsidRPr="008D75A6">
        <w:t>that</w:t>
      </w:r>
      <w:r w:rsidR="00C64050">
        <w:t xml:space="preserve"> </w:t>
      </w:r>
      <w:r w:rsidRPr="008D75A6">
        <w:t>the</w:t>
      </w:r>
      <w:r w:rsidR="00C64050">
        <w:t xml:space="preserve"> </w:t>
      </w:r>
      <w:r w:rsidRPr="008D75A6">
        <w:t>share</w:t>
      </w:r>
      <w:r w:rsidR="00C64050">
        <w:t xml:space="preserve"> </w:t>
      </w:r>
      <w:r w:rsidRPr="008D75A6">
        <w:t>which</w:t>
      </w:r>
      <w:r w:rsidR="00C64050">
        <w:t xml:space="preserve"> </w:t>
      </w:r>
      <w:r w:rsidRPr="008D75A6">
        <w:t>I</w:t>
      </w:r>
      <w:r w:rsidR="00C64050">
        <w:t xml:space="preserve"> </w:t>
      </w:r>
      <w:r w:rsidRPr="008D75A6">
        <w:t>bequeath</w:t>
      </w:r>
      <w:r w:rsidR="00C64050">
        <w:t xml:space="preserve"> </w:t>
      </w:r>
      <w:r w:rsidRPr="008D75A6">
        <w:t>to</w:t>
      </w:r>
      <w:r w:rsidR="00C64050">
        <w:t xml:space="preserve"> </w:t>
      </w:r>
      <w:r w:rsidRPr="008D75A6">
        <w:t>my</w:t>
      </w:r>
      <w:r w:rsidR="00C64050">
        <w:t xml:space="preserve"> </w:t>
      </w:r>
      <w:r w:rsidRPr="008D75A6">
        <w:t>son,</w:t>
      </w:r>
      <w:r w:rsidR="00C64050">
        <w:t xml:space="preserve"> </w:t>
      </w:r>
      <w:r w:rsidRPr="008D75A6">
        <w:t>Kevin</w:t>
      </w:r>
      <w:r w:rsidR="00C64050">
        <w:t xml:space="preserve"> </w:t>
      </w:r>
      <w:r w:rsidRPr="008D75A6">
        <w:t>Brian</w:t>
      </w:r>
      <w:r w:rsidR="00C64050">
        <w:t xml:space="preserve"> </w:t>
      </w:r>
      <w:r w:rsidRPr="008D75A6">
        <w:t>Connolly,</w:t>
      </w:r>
      <w:r w:rsidR="00C64050">
        <w:t xml:space="preserve"> </w:t>
      </w:r>
      <w:r w:rsidRPr="008D75A6">
        <w:t>shall</w:t>
      </w:r>
      <w:r w:rsidR="00C64050">
        <w:t xml:space="preserve"> </w:t>
      </w:r>
      <w:r w:rsidRPr="008D75A6">
        <w:t>not</w:t>
      </w:r>
      <w:r w:rsidR="00C64050">
        <w:t xml:space="preserve"> </w:t>
      </w:r>
      <w:r w:rsidRPr="008D75A6">
        <w:t>be</w:t>
      </w:r>
      <w:r w:rsidR="00C64050">
        <w:t xml:space="preserve"> </w:t>
      </w:r>
      <w:r w:rsidRPr="008D75A6">
        <w:t>distributed</w:t>
      </w:r>
      <w:r w:rsidR="00C64050">
        <w:t xml:space="preserve"> </w:t>
      </w:r>
      <w:r w:rsidRPr="008D75A6">
        <w:t>to</w:t>
      </w:r>
      <w:r w:rsidR="00C64050">
        <w:t xml:space="preserve"> </w:t>
      </w:r>
      <w:r w:rsidRPr="008D75A6">
        <w:t>him</w:t>
      </w:r>
      <w:r w:rsidR="00C64050">
        <w:t xml:space="preserve"> </w:t>
      </w:r>
      <w:r w:rsidRPr="008D75A6">
        <w:t>if</w:t>
      </w:r>
      <w:r w:rsidR="00C64050">
        <w:t xml:space="preserve"> </w:t>
      </w:r>
      <w:r w:rsidRPr="008D75A6">
        <w:t>he</w:t>
      </w:r>
      <w:r w:rsidR="00C64050">
        <w:t xml:space="preserve"> </w:t>
      </w:r>
      <w:r w:rsidRPr="008D75A6">
        <w:t>is</w:t>
      </w:r>
      <w:r w:rsidR="00C64050">
        <w:t xml:space="preserve"> </w:t>
      </w:r>
      <w:r w:rsidRPr="008D75A6">
        <w:t>married</w:t>
      </w:r>
      <w:r w:rsidR="00C64050">
        <w:t xml:space="preserve"> </w:t>
      </w:r>
      <w:r w:rsidRPr="008D75A6">
        <w:t>to</w:t>
      </w:r>
      <w:r w:rsidR="00C64050">
        <w:t xml:space="preserve"> </w:t>
      </w:r>
      <w:r w:rsidRPr="008D75A6">
        <w:t>the</w:t>
      </w:r>
      <w:r w:rsidR="00C64050">
        <w:t xml:space="preserve"> </w:t>
      </w:r>
      <w:r w:rsidRPr="008D75A6">
        <w:t>same</w:t>
      </w:r>
      <w:r w:rsidR="00C64050">
        <w:t xml:space="preserve"> </w:t>
      </w:r>
      <w:r w:rsidRPr="008D75A6">
        <w:t>person</w:t>
      </w:r>
      <w:r w:rsidR="00C64050">
        <w:t xml:space="preserve"> </w:t>
      </w:r>
      <w:r w:rsidRPr="008D75A6">
        <w:t>he</w:t>
      </w:r>
      <w:r w:rsidR="00C64050">
        <w:t xml:space="preserve"> </w:t>
      </w:r>
      <w:r w:rsidRPr="008D75A6">
        <w:t>is</w:t>
      </w:r>
      <w:r w:rsidR="00C64050">
        <w:t xml:space="preserve"> </w:t>
      </w:r>
      <w:r w:rsidRPr="008D75A6">
        <w:t>married</w:t>
      </w:r>
      <w:r w:rsidR="00C64050">
        <w:t xml:space="preserve"> </w:t>
      </w:r>
      <w:r w:rsidRPr="008D75A6">
        <w:t>to</w:t>
      </w:r>
      <w:r w:rsidR="00C64050">
        <w:t xml:space="preserve"> </w:t>
      </w:r>
      <w:r w:rsidRPr="008D75A6">
        <w:t>on</w:t>
      </w:r>
      <w:r w:rsidR="00C64050">
        <w:t xml:space="preserve"> </w:t>
      </w:r>
      <w:r w:rsidRPr="008D75A6">
        <w:t>the</w:t>
      </w:r>
      <w:r w:rsidR="00C64050">
        <w:t xml:space="preserve"> </w:t>
      </w:r>
      <w:r w:rsidRPr="008D75A6">
        <w:t>date</w:t>
      </w:r>
      <w:r w:rsidR="00C64050">
        <w:t xml:space="preserve"> </w:t>
      </w:r>
      <w:r w:rsidRPr="008D75A6">
        <w:t>of</w:t>
      </w:r>
      <w:r w:rsidR="00C64050">
        <w:t xml:space="preserve"> </w:t>
      </w:r>
      <w:r w:rsidRPr="008D75A6">
        <w:t>the</w:t>
      </w:r>
      <w:r w:rsidR="00C64050">
        <w:t xml:space="preserve"> </w:t>
      </w:r>
      <w:r w:rsidRPr="008D75A6">
        <w:t>execution</w:t>
      </w:r>
      <w:r w:rsidR="00C64050">
        <w:t xml:space="preserve"> </w:t>
      </w:r>
      <w:r w:rsidRPr="008D75A6">
        <w:t>of</w:t>
      </w:r>
      <w:r w:rsidR="00C64050">
        <w:t xml:space="preserve"> </w:t>
      </w:r>
      <w:r w:rsidRPr="008D75A6">
        <w:t>this</w:t>
      </w:r>
      <w:r w:rsidR="00C64050">
        <w:t xml:space="preserve"> </w:t>
      </w:r>
      <w:r w:rsidRPr="008D75A6">
        <w:t>will.</w:t>
      </w:r>
      <w:r w:rsidR="00C64050">
        <w:t xml:space="preserve"> </w:t>
      </w:r>
      <w:r w:rsidRPr="008D75A6">
        <w:t>Said</w:t>
      </w:r>
      <w:r w:rsidR="00C64050">
        <w:t xml:space="preserve"> </w:t>
      </w:r>
      <w:r w:rsidRPr="008D75A6">
        <w:t>share</w:t>
      </w:r>
      <w:r w:rsidR="00C64050">
        <w:t xml:space="preserve"> </w:t>
      </w:r>
      <w:r w:rsidRPr="008D75A6">
        <w:t>shall</w:t>
      </w:r>
      <w:r w:rsidR="00C64050">
        <w:t xml:space="preserve"> </w:t>
      </w:r>
      <w:r w:rsidRPr="008D75A6">
        <w:t>be</w:t>
      </w:r>
      <w:r w:rsidR="00C64050">
        <w:t xml:space="preserve"> </w:t>
      </w:r>
      <w:r w:rsidRPr="008D75A6">
        <w:t>divided</w:t>
      </w:r>
      <w:r w:rsidR="00C64050">
        <w:t xml:space="preserve"> </w:t>
      </w:r>
      <w:r w:rsidRPr="008D75A6">
        <w:t>equally</w:t>
      </w:r>
      <w:r w:rsidR="00C64050">
        <w:t xml:space="preserve"> </w:t>
      </w:r>
      <w:r w:rsidRPr="008D75A6">
        <w:t>among</w:t>
      </w:r>
      <w:r w:rsidR="00C64050">
        <w:t xml:space="preserve"> </w:t>
      </w:r>
      <w:r w:rsidRPr="008D75A6">
        <w:t>my</w:t>
      </w:r>
      <w:r w:rsidR="00C64050">
        <w:t xml:space="preserve"> </w:t>
      </w:r>
      <w:r w:rsidRPr="008D75A6">
        <w:t>surviving</w:t>
      </w:r>
      <w:r w:rsidR="00C64050">
        <w:t xml:space="preserve"> </w:t>
      </w:r>
      <w:r w:rsidRPr="008D75A6">
        <w:t>children.</w:t>
      </w:r>
    </w:p>
    <w:p w:rsidR="00ED795A" w:rsidRDefault="00ED795A" w:rsidP="005420BF">
      <w:pPr>
        <w:pStyle w:val="Body15"/>
      </w:pPr>
      <w:r>
        <w:t>The</w:t>
      </w:r>
      <w:r w:rsidR="00C64050">
        <w:t xml:space="preserve"> </w:t>
      </w:r>
      <w:r>
        <w:t>court</w:t>
      </w:r>
      <w:r w:rsidR="00C64050">
        <w:t xml:space="preserve"> </w:t>
      </w:r>
      <w:r>
        <w:t>had</w:t>
      </w:r>
      <w:r w:rsidR="00C64050">
        <w:t xml:space="preserve"> </w:t>
      </w:r>
      <w:r>
        <w:t>no</w:t>
      </w:r>
      <w:r w:rsidR="00C64050">
        <w:t xml:space="preserve"> </w:t>
      </w:r>
      <w:r>
        <w:t>trouble</w:t>
      </w:r>
      <w:r w:rsidR="00C64050">
        <w:t xml:space="preserve"> </w:t>
      </w:r>
      <w:r>
        <w:t>ascertaining</w:t>
      </w:r>
      <w:r w:rsidR="00C64050">
        <w:t xml:space="preserve"> </w:t>
      </w:r>
      <w:r>
        <w:t>the</w:t>
      </w:r>
      <w:r w:rsidR="00C64050">
        <w:t xml:space="preserve"> </w:t>
      </w:r>
      <w:r>
        <w:t>intent</w:t>
      </w:r>
      <w:r w:rsidR="00C64050">
        <w:t xml:space="preserve"> </w:t>
      </w:r>
      <w:r>
        <w:t>of</w:t>
      </w:r>
      <w:r w:rsidR="00C64050">
        <w:t xml:space="preserve"> </w:t>
      </w:r>
      <w:r>
        <w:t>the</w:t>
      </w:r>
      <w:r w:rsidR="00C64050">
        <w:t xml:space="preserve"> </w:t>
      </w:r>
      <w:r>
        <w:t>provision:</w:t>
      </w:r>
    </w:p>
    <w:p w:rsidR="00ED795A" w:rsidRDefault="008D75A6" w:rsidP="008D75A6">
      <w:pPr>
        <w:pStyle w:val="QS10"/>
      </w:pPr>
      <w:r>
        <w:t>The</w:t>
      </w:r>
      <w:r w:rsidR="00C64050">
        <w:t xml:space="preserve"> </w:t>
      </w:r>
      <w:r>
        <w:t>language</w:t>
      </w:r>
      <w:r w:rsidR="00C64050">
        <w:t xml:space="preserve"> </w:t>
      </w:r>
      <w:r>
        <w:t>of</w:t>
      </w:r>
      <w:r w:rsidR="00C64050">
        <w:t xml:space="preserve"> </w:t>
      </w:r>
      <w:r>
        <w:t>the</w:t>
      </w:r>
      <w:r w:rsidR="00C64050">
        <w:t xml:space="preserve"> </w:t>
      </w:r>
      <w:r>
        <w:t>Will</w:t>
      </w:r>
      <w:r w:rsidR="00C64050">
        <w:t xml:space="preserve"> </w:t>
      </w:r>
      <w:r>
        <w:t>conclusively</w:t>
      </w:r>
      <w:r w:rsidR="00C64050">
        <w:t xml:space="preserve"> </w:t>
      </w:r>
      <w:r>
        <w:t>shows</w:t>
      </w:r>
      <w:r w:rsidR="00C64050">
        <w:t xml:space="preserve"> </w:t>
      </w:r>
      <w:r>
        <w:t>Mr.</w:t>
      </w:r>
      <w:r w:rsidR="00C64050">
        <w:t xml:space="preserve"> </w:t>
      </w:r>
      <w:r>
        <w:t>Connolly's</w:t>
      </w:r>
      <w:r w:rsidR="00C64050">
        <w:t xml:space="preserve"> </w:t>
      </w:r>
      <w:r>
        <w:t>intent</w:t>
      </w:r>
      <w:r w:rsidR="00C64050">
        <w:t xml:space="preserve"> </w:t>
      </w:r>
      <w:r>
        <w:t>for</w:t>
      </w:r>
      <w:r w:rsidR="00C64050">
        <w:t xml:space="preserve"> </w:t>
      </w:r>
      <w:r>
        <w:t>Kevin</w:t>
      </w:r>
      <w:r w:rsidR="00C64050">
        <w:t xml:space="preserve"> </w:t>
      </w:r>
      <w:r>
        <w:t>to</w:t>
      </w:r>
      <w:r w:rsidR="00C64050">
        <w:t xml:space="preserve"> </w:t>
      </w:r>
      <w:r>
        <w:t>divorce</w:t>
      </w:r>
      <w:r w:rsidR="00C64050">
        <w:t xml:space="preserve"> </w:t>
      </w:r>
      <w:r>
        <w:t>Francine.</w:t>
      </w:r>
      <w:r w:rsidR="00C64050">
        <w:t xml:space="preserve"> </w:t>
      </w:r>
      <w:r>
        <w:t>First,</w:t>
      </w:r>
      <w:r w:rsidR="00C64050">
        <w:t xml:space="preserve"> </w:t>
      </w:r>
      <w:r>
        <w:t>Mr.</w:t>
      </w:r>
      <w:r w:rsidR="00C64050">
        <w:t xml:space="preserve"> </w:t>
      </w:r>
      <w:r>
        <w:t>Connolly</w:t>
      </w:r>
      <w:r w:rsidR="00C64050">
        <w:t xml:space="preserve"> </w:t>
      </w:r>
      <w:r>
        <w:t>clearly</w:t>
      </w:r>
      <w:r w:rsidR="00C64050">
        <w:t xml:space="preserve"> </w:t>
      </w:r>
      <w:r>
        <w:t>refers</w:t>
      </w:r>
      <w:r w:rsidR="00C64050">
        <w:t xml:space="preserve"> </w:t>
      </w:r>
      <w:r>
        <w:t>to</w:t>
      </w:r>
      <w:r w:rsidR="00C64050">
        <w:t xml:space="preserve"> </w:t>
      </w:r>
      <w:r>
        <w:t>Francine</w:t>
      </w:r>
      <w:r w:rsidR="00C64050">
        <w:t xml:space="preserve"> </w:t>
      </w:r>
      <w:r>
        <w:t>when</w:t>
      </w:r>
      <w:r w:rsidR="00C64050">
        <w:t xml:space="preserve"> </w:t>
      </w:r>
      <w:r>
        <w:t>he</w:t>
      </w:r>
      <w:r w:rsidR="00C64050">
        <w:t xml:space="preserve"> </w:t>
      </w:r>
      <w:r>
        <w:t>writes:</w:t>
      </w:r>
      <w:r w:rsidR="00C64050">
        <w:t xml:space="preserve"> </w:t>
      </w:r>
      <w:r>
        <w:t>“if</w:t>
      </w:r>
      <w:r w:rsidR="00C64050">
        <w:t xml:space="preserve"> </w:t>
      </w:r>
      <w:r>
        <w:t>[Kevin]</w:t>
      </w:r>
      <w:r w:rsidR="00C64050">
        <w:t xml:space="preserve"> </w:t>
      </w:r>
      <w:r>
        <w:t>is</w:t>
      </w:r>
      <w:r w:rsidR="00C64050">
        <w:t xml:space="preserve"> </w:t>
      </w:r>
      <w:r>
        <w:t>married</w:t>
      </w:r>
      <w:r w:rsidR="00C64050">
        <w:t xml:space="preserve"> </w:t>
      </w:r>
      <w:r>
        <w:t>to</w:t>
      </w:r>
      <w:r w:rsidR="00C64050">
        <w:t xml:space="preserve"> </w:t>
      </w:r>
      <w:r>
        <w:t>the</w:t>
      </w:r>
      <w:r w:rsidR="00C64050">
        <w:t xml:space="preserve"> </w:t>
      </w:r>
      <w:r>
        <w:t>same</w:t>
      </w:r>
      <w:r w:rsidR="00C64050">
        <w:t xml:space="preserve"> </w:t>
      </w:r>
      <w:r>
        <w:t>person</w:t>
      </w:r>
      <w:r w:rsidR="00C64050">
        <w:t xml:space="preserve"> </w:t>
      </w:r>
      <w:r>
        <w:t>he</w:t>
      </w:r>
      <w:r w:rsidR="00C64050">
        <w:t xml:space="preserve"> </w:t>
      </w:r>
      <w:r>
        <w:t>is</w:t>
      </w:r>
      <w:r w:rsidR="00C64050">
        <w:t xml:space="preserve"> </w:t>
      </w:r>
      <w:r>
        <w:t>married</w:t>
      </w:r>
      <w:r w:rsidR="00C64050">
        <w:t xml:space="preserve"> </w:t>
      </w:r>
      <w:r>
        <w:t>to</w:t>
      </w:r>
      <w:r w:rsidR="00C64050">
        <w:t xml:space="preserve"> </w:t>
      </w:r>
      <w:r>
        <w:t>on</w:t>
      </w:r>
      <w:r w:rsidR="00C64050">
        <w:t xml:space="preserve"> </w:t>
      </w:r>
      <w:r>
        <w:t>the</w:t>
      </w:r>
      <w:r w:rsidR="00C64050">
        <w:t xml:space="preserve"> </w:t>
      </w:r>
      <w:r>
        <w:t>date</w:t>
      </w:r>
      <w:r w:rsidR="00C64050">
        <w:t xml:space="preserve"> </w:t>
      </w:r>
      <w:r>
        <w:t>of</w:t>
      </w:r>
      <w:r w:rsidR="00C64050">
        <w:t xml:space="preserve"> </w:t>
      </w:r>
      <w:r>
        <w:t>the</w:t>
      </w:r>
      <w:r w:rsidR="00C64050">
        <w:t xml:space="preserve"> </w:t>
      </w:r>
      <w:r>
        <w:t>execution</w:t>
      </w:r>
      <w:r w:rsidR="00C64050">
        <w:t xml:space="preserve"> </w:t>
      </w:r>
      <w:r>
        <w:t>of</w:t>
      </w:r>
      <w:r w:rsidR="00C64050">
        <w:t xml:space="preserve"> </w:t>
      </w:r>
      <w:r>
        <w:t>this</w:t>
      </w:r>
      <w:r w:rsidR="00C64050">
        <w:t xml:space="preserve"> </w:t>
      </w:r>
      <w:r>
        <w:t>will”</w:t>
      </w:r>
      <w:r w:rsidR="00C64050">
        <w:t xml:space="preserve"> </w:t>
      </w:r>
      <w:r>
        <w:t>because</w:t>
      </w:r>
      <w:r w:rsidR="00C64050">
        <w:t xml:space="preserve"> </w:t>
      </w:r>
      <w:r>
        <w:t>Kevin</w:t>
      </w:r>
      <w:r w:rsidR="00C64050">
        <w:t xml:space="preserve"> </w:t>
      </w:r>
      <w:r>
        <w:t>was</w:t>
      </w:r>
      <w:r w:rsidR="00C64050">
        <w:t xml:space="preserve"> </w:t>
      </w:r>
      <w:r>
        <w:t>married</w:t>
      </w:r>
      <w:r w:rsidR="00C64050">
        <w:t xml:space="preserve"> </w:t>
      </w:r>
      <w:r>
        <w:t>to</w:t>
      </w:r>
      <w:r w:rsidR="00C64050">
        <w:t xml:space="preserve"> </w:t>
      </w:r>
      <w:r>
        <w:t>Francine</w:t>
      </w:r>
      <w:r w:rsidR="00C64050">
        <w:t xml:space="preserve"> </w:t>
      </w:r>
      <w:r>
        <w:t>at</w:t>
      </w:r>
      <w:r w:rsidR="00C64050">
        <w:t xml:space="preserve"> </w:t>
      </w:r>
      <w:r>
        <w:t>the</w:t>
      </w:r>
      <w:r w:rsidR="00C64050">
        <w:t xml:space="preserve"> </w:t>
      </w:r>
      <w:r>
        <w:t>time</w:t>
      </w:r>
      <w:r w:rsidR="00C64050">
        <w:t xml:space="preserve"> </w:t>
      </w:r>
      <w:r>
        <w:t>Mr.</w:t>
      </w:r>
      <w:r w:rsidR="00C64050">
        <w:t xml:space="preserve"> </w:t>
      </w:r>
      <w:r>
        <w:t>Connolly</w:t>
      </w:r>
      <w:r w:rsidR="00C64050">
        <w:t xml:space="preserve"> </w:t>
      </w:r>
      <w:r>
        <w:t>signed</w:t>
      </w:r>
      <w:r w:rsidR="00C64050">
        <w:t xml:space="preserve"> </w:t>
      </w:r>
      <w:r>
        <w:t>the</w:t>
      </w:r>
      <w:r w:rsidR="00C64050">
        <w:t xml:space="preserve"> </w:t>
      </w:r>
      <w:r>
        <w:t>Will</w:t>
      </w:r>
      <w:r w:rsidR="00C64050">
        <w:t xml:space="preserve"> </w:t>
      </w:r>
      <w:r>
        <w:t>and</w:t>
      </w:r>
      <w:r w:rsidR="00C64050">
        <w:t xml:space="preserve"> </w:t>
      </w:r>
      <w:r>
        <w:t>the</w:t>
      </w:r>
      <w:r w:rsidR="00C64050">
        <w:t xml:space="preserve"> </w:t>
      </w:r>
      <w:r>
        <w:t>evidence</w:t>
      </w:r>
      <w:r w:rsidR="00C64050">
        <w:t xml:space="preserve"> </w:t>
      </w:r>
      <w:r>
        <w:t>presented</w:t>
      </w:r>
      <w:r w:rsidR="00C64050">
        <w:t xml:space="preserve"> </w:t>
      </w:r>
      <w:r>
        <w:t>showed</w:t>
      </w:r>
      <w:r w:rsidR="00C64050">
        <w:t xml:space="preserve"> </w:t>
      </w:r>
      <w:r>
        <w:t>that</w:t>
      </w:r>
      <w:r w:rsidR="00C64050">
        <w:t xml:space="preserve"> </w:t>
      </w:r>
      <w:r>
        <w:t>Mr.</w:t>
      </w:r>
      <w:r w:rsidR="00C64050">
        <w:t xml:space="preserve"> </w:t>
      </w:r>
      <w:r>
        <w:t>Connolly</w:t>
      </w:r>
      <w:r w:rsidR="00C64050">
        <w:t xml:space="preserve"> </w:t>
      </w:r>
      <w:r>
        <w:t>was</w:t>
      </w:r>
      <w:r w:rsidR="00C64050">
        <w:t xml:space="preserve"> </w:t>
      </w:r>
      <w:r>
        <w:t>aware</w:t>
      </w:r>
      <w:r w:rsidR="00C64050">
        <w:t xml:space="preserve"> </w:t>
      </w:r>
      <w:r>
        <w:t>of</w:t>
      </w:r>
      <w:r w:rsidR="00C64050">
        <w:t xml:space="preserve"> </w:t>
      </w:r>
      <w:r>
        <w:t>their</w:t>
      </w:r>
      <w:r w:rsidR="00C64050">
        <w:t xml:space="preserve"> </w:t>
      </w:r>
      <w:r>
        <w:t>marriage</w:t>
      </w:r>
      <w:r w:rsidR="00C64050">
        <w:t xml:space="preserve"> </w:t>
      </w:r>
      <w:r>
        <w:t>at</w:t>
      </w:r>
      <w:r w:rsidR="00C64050">
        <w:t xml:space="preserve"> </w:t>
      </w:r>
      <w:r>
        <w:t>this</w:t>
      </w:r>
      <w:r w:rsidR="00C64050">
        <w:t xml:space="preserve"> </w:t>
      </w:r>
      <w:r>
        <w:t>time.</w:t>
      </w:r>
      <w:r w:rsidR="00C64050">
        <w:t xml:space="preserve"> </w:t>
      </w:r>
      <w:r>
        <w:t>Second,</w:t>
      </w:r>
      <w:r w:rsidR="00C64050">
        <w:t xml:space="preserve"> </w:t>
      </w:r>
      <w:r>
        <w:t>“no</w:t>
      </w:r>
      <w:r w:rsidR="00C64050">
        <w:t xml:space="preserve"> </w:t>
      </w:r>
      <w:r>
        <w:t>longer</w:t>
      </w:r>
      <w:r w:rsidR="00C64050">
        <w:t xml:space="preserve"> </w:t>
      </w:r>
      <w:r>
        <w:t>married”</w:t>
      </w:r>
      <w:r w:rsidR="00C64050">
        <w:t xml:space="preserve"> </w:t>
      </w:r>
      <w:r>
        <w:t>clearly</w:t>
      </w:r>
      <w:r w:rsidR="00C64050">
        <w:t xml:space="preserve"> </w:t>
      </w:r>
      <w:r>
        <w:t>expresses</w:t>
      </w:r>
      <w:r w:rsidR="00C64050">
        <w:t xml:space="preserve"> </w:t>
      </w:r>
      <w:r>
        <w:t>his</w:t>
      </w:r>
      <w:r w:rsidR="00C64050">
        <w:t xml:space="preserve"> </w:t>
      </w:r>
      <w:r>
        <w:t>intent</w:t>
      </w:r>
      <w:r w:rsidR="00C64050">
        <w:t xml:space="preserve"> </w:t>
      </w:r>
      <w:r>
        <w:t>for</w:t>
      </w:r>
      <w:r w:rsidR="00C64050">
        <w:t xml:space="preserve"> </w:t>
      </w:r>
      <w:r>
        <w:t>them</w:t>
      </w:r>
      <w:r w:rsidR="00C64050">
        <w:t xml:space="preserve"> </w:t>
      </w:r>
      <w:r>
        <w:t>to</w:t>
      </w:r>
      <w:r w:rsidR="00C64050">
        <w:t xml:space="preserve"> </w:t>
      </w:r>
      <w:r>
        <w:t>divorce.</w:t>
      </w:r>
      <w:r w:rsidR="00C64050">
        <w:t xml:space="preserve"> </w:t>
      </w:r>
      <w:r>
        <w:t>Further,</w:t>
      </w:r>
      <w:r w:rsidR="00C64050">
        <w:t xml:space="preserve"> </w:t>
      </w:r>
      <w:r>
        <w:t>the</w:t>
      </w:r>
      <w:r w:rsidR="00C64050">
        <w:t xml:space="preserve"> </w:t>
      </w:r>
      <w:r>
        <w:t>depositions</w:t>
      </w:r>
      <w:r w:rsidR="00C64050">
        <w:t xml:space="preserve"> </w:t>
      </w:r>
      <w:r>
        <w:t>of</w:t>
      </w:r>
      <w:r w:rsidR="00C64050">
        <w:t xml:space="preserve"> </w:t>
      </w:r>
      <w:r>
        <w:t>Kevin</w:t>
      </w:r>
      <w:r w:rsidR="00C64050">
        <w:t xml:space="preserve"> </w:t>
      </w:r>
      <w:r>
        <w:t>and</w:t>
      </w:r>
      <w:r w:rsidR="00C64050">
        <w:t xml:space="preserve"> </w:t>
      </w:r>
      <w:r>
        <w:t>Father</w:t>
      </w:r>
      <w:r w:rsidR="00C64050">
        <w:t xml:space="preserve"> </w:t>
      </w:r>
      <w:r>
        <w:t>Donahue,</w:t>
      </w:r>
      <w:r w:rsidR="00C64050">
        <w:t xml:space="preserve"> </w:t>
      </w:r>
      <w:r>
        <w:t>the</w:t>
      </w:r>
      <w:r w:rsidR="00C64050">
        <w:t xml:space="preserve"> </w:t>
      </w:r>
      <w:r>
        <w:t>family's</w:t>
      </w:r>
      <w:r w:rsidR="00C64050">
        <w:t xml:space="preserve"> </w:t>
      </w:r>
      <w:r>
        <w:t>priest,</w:t>
      </w:r>
      <w:r w:rsidR="00C64050">
        <w:t xml:space="preserve"> </w:t>
      </w:r>
      <w:r>
        <w:t>show</w:t>
      </w:r>
      <w:r w:rsidR="00C64050">
        <w:t xml:space="preserve"> </w:t>
      </w:r>
      <w:r>
        <w:t>that</w:t>
      </w:r>
      <w:r w:rsidR="00C64050">
        <w:t xml:space="preserve"> </w:t>
      </w:r>
      <w:r>
        <w:t>Mr.</w:t>
      </w:r>
      <w:r w:rsidR="00C64050">
        <w:t xml:space="preserve"> </w:t>
      </w:r>
      <w:r>
        <w:t>Connolly</w:t>
      </w:r>
      <w:r w:rsidR="00C64050">
        <w:t xml:space="preserve"> </w:t>
      </w:r>
      <w:r>
        <w:t>adamantly</w:t>
      </w:r>
      <w:r w:rsidR="00C64050">
        <w:t xml:space="preserve"> </w:t>
      </w:r>
      <w:r>
        <w:t>opposed</w:t>
      </w:r>
      <w:r w:rsidR="00C64050">
        <w:t xml:space="preserve"> </w:t>
      </w:r>
      <w:r>
        <w:t>Kevin's</w:t>
      </w:r>
      <w:r w:rsidR="00C64050">
        <w:t xml:space="preserve"> </w:t>
      </w:r>
      <w:r>
        <w:t>marriage</w:t>
      </w:r>
      <w:r w:rsidR="00C64050">
        <w:t xml:space="preserve"> </w:t>
      </w:r>
      <w:r>
        <w:t>to</w:t>
      </w:r>
      <w:r w:rsidR="00C64050">
        <w:t xml:space="preserve"> </w:t>
      </w:r>
      <w:r>
        <w:t>Francine</w:t>
      </w:r>
      <w:r w:rsidR="00C64050">
        <w:t xml:space="preserve"> </w:t>
      </w:r>
      <w:r>
        <w:t>because</w:t>
      </w:r>
      <w:r w:rsidR="00C64050">
        <w:t xml:space="preserve"> </w:t>
      </w:r>
      <w:r>
        <w:t>he</w:t>
      </w:r>
      <w:r w:rsidR="00C64050">
        <w:t xml:space="preserve"> </w:t>
      </w:r>
      <w:r>
        <w:t>did</w:t>
      </w:r>
      <w:r w:rsidR="00C64050">
        <w:t xml:space="preserve"> </w:t>
      </w:r>
      <w:r>
        <w:t>not</w:t>
      </w:r>
      <w:r w:rsidR="00C64050">
        <w:t xml:space="preserve"> </w:t>
      </w:r>
      <w:r>
        <w:t>attend</w:t>
      </w:r>
      <w:r w:rsidR="00C64050">
        <w:t xml:space="preserve"> </w:t>
      </w:r>
      <w:r>
        <w:t>their</w:t>
      </w:r>
      <w:r w:rsidR="00C64050">
        <w:t xml:space="preserve"> </w:t>
      </w:r>
      <w:r>
        <w:t>wedding</w:t>
      </w:r>
      <w:r w:rsidR="00C64050">
        <w:t xml:space="preserve"> </w:t>
      </w:r>
      <w:r>
        <w:t>and</w:t>
      </w:r>
      <w:r w:rsidR="00C64050">
        <w:t xml:space="preserve"> </w:t>
      </w:r>
      <w:r>
        <w:t>repeatedly</w:t>
      </w:r>
      <w:r w:rsidR="00C64050">
        <w:t xml:space="preserve"> </w:t>
      </w:r>
      <w:r>
        <w:t>expressed</w:t>
      </w:r>
      <w:r w:rsidR="00C64050">
        <w:t xml:space="preserve"> </w:t>
      </w:r>
      <w:r>
        <w:t>his</w:t>
      </w:r>
      <w:r w:rsidR="00C64050">
        <w:t xml:space="preserve"> </w:t>
      </w:r>
      <w:r>
        <w:t>contempt</w:t>
      </w:r>
      <w:r w:rsidR="00C64050">
        <w:t xml:space="preserve"> </w:t>
      </w:r>
      <w:r>
        <w:t>for</w:t>
      </w:r>
      <w:r w:rsidR="00C64050">
        <w:t xml:space="preserve"> </w:t>
      </w:r>
      <w:r>
        <w:t>Francine</w:t>
      </w:r>
      <w:r w:rsidR="00C64050">
        <w:t xml:space="preserve"> </w:t>
      </w:r>
      <w:r>
        <w:t>after</w:t>
      </w:r>
      <w:r w:rsidR="00C64050">
        <w:t xml:space="preserve"> </w:t>
      </w:r>
      <w:r>
        <w:t>they</w:t>
      </w:r>
      <w:r w:rsidR="00C64050">
        <w:t xml:space="preserve"> </w:t>
      </w:r>
      <w:r>
        <w:t>married.</w:t>
      </w:r>
      <w:r w:rsidR="00C64050">
        <w:t xml:space="preserve"> </w:t>
      </w:r>
      <w:r>
        <w:t>Therefore,</w:t>
      </w:r>
      <w:r w:rsidR="00C64050">
        <w:t xml:space="preserve"> </w:t>
      </w:r>
      <w:r>
        <w:t>under</w:t>
      </w:r>
      <w:r w:rsidR="00C64050">
        <w:t xml:space="preserve"> </w:t>
      </w:r>
      <w:r>
        <w:t>the</w:t>
      </w:r>
      <w:r w:rsidR="00C64050">
        <w:t xml:space="preserve"> </w:t>
      </w:r>
      <w:r>
        <w:t>facts</w:t>
      </w:r>
      <w:r w:rsidR="00C64050">
        <w:t xml:space="preserve"> </w:t>
      </w:r>
      <w:r>
        <w:t>of</w:t>
      </w:r>
      <w:r w:rsidR="00C64050">
        <w:t xml:space="preserve"> </w:t>
      </w:r>
      <w:r>
        <w:t>this</w:t>
      </w:r>
      <w:r w:rsidR="00C64050">
        <w:t xml:space="preserve"> </w:t>
      </w:r>
      <w:r>
        <w:t>case,</w:t>
      </w:r>
      <w:r w:rsidR="00C64050">
        <w:t xml:space="preserve"> </w:t>
      </w:r>
      <w:r>
        <w:t>I</w:t>
      </w:r>
      <w:r w:rsidR="00C64050">
        <w:t xml:space="preserve"> </w:t>
      </w:r>
      <w:r>
        <w:t>find</w:t>
      </w:r>
      <w:r w:rsidR="00C64050">
        <w:t xml:space="preserve"> </w:t>
      </w:r>
      <w:r>
        <w:t>that</w:t>
      </w:r>
      <w:r w:rsidR="00C64050">
        <w:t xml:space="preserve"> </w:t>
      </w:r>
      <w:r>
        <w:t>Mr.</w:t>
      </w:r>
      <w:r w:rsidR="00C64050">
        <w:t xml:space="preserve"> </w:t>
      </w:r>
      <w:r>
        <w:t>Connolly,</w:t>
      </w:r>
      <w:r w:rsidR="00C64050">
        <w:t xml:space="preserve"> </w:t>
      </w:r>
      <w:r>
        <w:t>through</w:t>
      </w:r>
      <w:r w:rsidR="00C64050">
        <w:t xml:space="preserve"> </w:t>
      </w:r>
      <w:r>
        <w:t>his</w:t>
      </w:r>
      <w:r w:rsidR="00C64050">
        <w:t xml:space="preserve"> </w:t>
      </w:r>
      <w:r>
        <w:t>Will,</w:t>
      </w:r>
      <w:r w:rsidR="00C64050">
        <w:t xml:space="preserve"> </w:t>
      </w:r>
      <w:r>
        <w:t>explicitly</w:t>
      </w:r>
      <w:r w:rsidR="00C64050">
        <w:t xml:space="preserve"> </w:t>
      </w:r>
      <w:r>
        <w:t>encouraged</w:t>
      </w:r>
      <w:r w:rsidR="00C64050">
        <w:t xml:space="preserve"> </w:t>
      </w:r>
      <w:r>
        <w:t>Kevin</w:t>
      </w:r>
      <w:r w:rsidR="00C64050">
        <w:t xml:space="preserve"> </w:t>
      </w:r>
      <w:r>
        <w:t>to</w:t>
      </w:r>
      <w:r w:rsidR="00C64050">
        <w:t xml:space="preserve"> </w:t>
      </w:r>
      <w:r>
        <w:t>divorce</w:t>
      </w:r>
      <w:r w:rsidR="00C64050">
        <w:t xml:space="preserve"> </w:t>
      </w:r>
      <w:r>
        <w:t>his</w:t>
      </w:r>
      <w:r w:rsidR="00C64050">
        <w:t xml:space="preserve"> </w:t>
      </w:r>
      <w:r>
        <w:t>wife.</w:t>
      </w:r>
    </w:p>
    <w:p w:rsidR="008D75A6" w:rsidRDefault="008D75A6" w:rsidP="005420BF">
      <w:pPr>
        <w:pStyle w:val="Body15"/>
      </w:pPr>
      <w:r>
        <w:t>Accordingly,</w:t>
      </w:r>
      <w:r w:rsidR="00C64050">
        <w:t xml:space="preserve"> </w:t>
      </w:r>
      <w:r>
        <w:t>the</w:t>
      </w:r>
      <w:r w:rsidR="00C64050">
        <w:t xml:space="preserve"> </w:t>
      </w:r>
      <w:r>
        <w:t>provision</w:t>
      </w:r>
      <w:r w:rsidR="00C64050">
        <w:t xml:space="preserve"> </w:t>
      </w:r>
      <w:r>
        <w:t>was</w:t>
      </w:r>
      <w:r w:rsidR="00C64050">
        <w:t xml:space="preserve"> </w:t>
      </w:r>
      <w:r>
        <w:t>invalid:</w:t>
      </w:r>
    </w:p>
    <w:p w:rsidR="008D75A6" w:rsidRDefault="008D75A6" w:rsidP="008D75A6">
      <w:pPr>
        <w:pStyle w:val="QS10"/>
        <w:rPr>
          <w:szCs w:val="20"/>
        </w:rPr>
      </w:pPr>
      <w:r w:rsidRPr="008D75A6">
        <w:rPr>
          <w:szCs w:val="20"/>
        </w:rPr>
        <w:t>While</w:t>
      </w:r>
      <w:r w:rsidR="00C64050">
        <w:rPr>
          <w:szCs w:val="20"/>
        </w:rPr>
        <w:t xml:space="preserve"> </w:t>
      </w:r>
      <w:r w:rsidRPr="008D75A6">
        <w:rPr>
          <w:szCs w:val="20"/>
        </w:rPr>
        <w:t>there</w:t>
      </w:r>
      <w:r w:rsidR="00C64050">
        <w:rPr>
          <w:szCs w:val="20"/>
        </w:rPr>
        <w:t xml:space="preserve"> </w:t>
      </w:r>
      <w:r w:rsidRPr="008D75A6">
        <w:rPr>
          <w:szCs w:val="20"/>
        </w:rPr>
        <w:t>is</w:t>
      </w:r>
      <w:r w:rsidR="00C64050">
        <w:rPr>
          <w:szCs w:val="20"/>
        </w:rPr>
        <w:t xml:space="preserve"> </w:t>
      </w:r>
      <w:r w:rsidRPr="008D75A6">
        <w:rPr>
          <w:szCs w:val="20"/>
        </w:rPr>
        <w:t>no</w:t>
      </w:r>
      <w:r w:rsidR="00C64050">
        <w:rPr>
          <w:szCs w:val="20"/>
        </w:rPr>
        <w:t xml:space="preserve"> </w:t>
      </w:r>
      <w:r w:rsidRPr="008D75A6">
        <w:rPr>
          <w:szCs w:val="20"/>
        </w:rPr>
        <w:t>Virginia</w:t>
      </w:r>
      <w:r w:rsidR="00C64050">
        <w:rPr>
          <w:szCs w:val="20"/>
        </w:rPr>
        <w:t xml:space="preserve"> </w:t>
      </w:r>
      <w:r w:rsidRPr="008D75A6">
        <w:rPr>
          <w:szCs w:val="20"/>
        </w:rPr>
        <w:t>common</w:t>
      </w:r>
      <w:r w:rsidR="00C64050">
        <w:rPr>
          <w:szCs w:val="20"/>
        </w:rPr>
        <w:t xml:space="preserve"> </w:t>
      </w:r>
      <w:r w:rsidRPr="008D75A6">
        <w:rPr>
          <w:szCs w:val="20"/>
        </w:rPr>
        <w:t>law</w:t>
      </w:r>
      <w:r w:rsidR="00C64050">
        <w:rPr>
          <w:szCs w:val="20"/>
        </w:rPr>
        <w:t xml:space="preserve"> </w:t>
      </w:r>
      <w:r w:rsidRPr="008D75A6">
        <w:rPr>
          <w:szCs w:val="20"/>
        </w:rPr>
        <w:t>addressing</w:t>
      </w:r>
      <w:r w:rsidR="00C64050">
        <w:rPr>
          <w:szCs w:val="20"/>
        </w:rPr>
        <w:t xml:space="preserve"> </w:t>
      </w:r>
      <w:r w:rsidRPr="008D75A6">
        <w:rPr>
          <w:szCs w:val="20"/>
        </w:rPr>
        <w:t>the</w:t>
      </w:r>
      <w:r w:rsidR="00C64050">
        <w:rPr>
          <w:szCs w:val="20"/>
        </w:rPr>
        <w:t xml:space="preserve"> </w:t>
      </w:r>
      <w:r w:rsidRPr="008D75A6">
        <w:rPr>
          <w:szCs w:val="20"/>
        </w:rPr>
        <w:t>validity</w:t>
      </w:r>
      <w:r w:rsidR="00C64050">
        <w:rPr>
          <w:szCs w:val="20"/>
        </w:rPr>
        <w:t xml:space="preserve"> </w:t>
      </w:r>
      <w:r w:rsidRPr="008D75A6">
        <w:rPr>
          <w:szCs w:val="20"/>
        </w:rPr>
        <w:t>of</w:t>
      </w:r>
      <w:r w:rsidR="00C64050">
        <w:rPr>
          <w:szCs w:val="20"/>
        </w:rPr>
        <w:t xml:space="preserve"> </w:t>
      </w:r>
      <w:r w:rsidRPr="008D75A6">
        <w:rPr>
          <w:szCs w:val="20"/>
        </w:rPr>
        <w:t>will</w:t>
      </w:r>
      <w:r w:rsidR="00C64050">
        <w:rPr>
          <w:szCs w:val="20"/>
        </w:rPr>
        <w:t xml:space="preserve"> </w:t>
      </w:r>
      <w:r w:rsidRPr="008D75A6">
        <w:rPr>
          <w:szCs w:val="20"/>
        </w:rPr>
        <w:t>provisions</w:t>
      </w:r>
      <w:r w:rsidR="00C64050">
        <w:rPr>
          <w:szCs w:val="20"/>
        </w:rPr>
        <w:t xml:space="preserve"> </w:t>
      </w:r>
      <w:r w:rsidRPr="008D75A6">
        <w:rPr>
          <w:szCs w:val="20"/>
        </w:rPr>
        <w:t>that</w:t>
      </w:r>
      <w:r w:rsidR="00C64050">
        <w:rPr>
          <w:szCs w:val="20"/>
        </w:rPr>
        <w:t xml:space="preserve"> </w:t>
      </w:r>
      <w:r w:rsidRPr="008D75A6">
        <w:rPr>
          <w:szCs w:val="20"/>
        </w:rPr>
        <w:t>encourage</w:t>
      </w:r>
      <w:r w:rsidR="00C64050">
        <w:rPr>
          <w:szCs w:val="20"/>
        </w:rPr>
        <w:t xml:space="preserve"> </w:t>
      </w:r>
      <w:r w:rsidRPr="008D75A6">
        <w:rPr>
          <w:szCs w:val="20"/>
        </w:rPr>
        <w:t>divorce,</w:t>
      </w:r>
      <w:r w:rsidR="00C64050">
        <w:rPr>
          <w:szCs w:val="20"/>
        </w:rPr>
        <w:t xml:space="preserve"> </w:t>
      </w:r>
      <w:r w:rsidRPr="008D75A6">
        <w:rPr>
          <w:szCs w:val="20"/>
        </w:rPr>
        <w:t>there</w:t>
      </w:r>
      <w:r w:rsidR="00C64050">
        <w:rPr>
          <w:szCs w:val="20"/>
        </w:rPr>
        <w:t xml:space="preserve"> </w:t>
      </w:r>
      <w:r w:rsidRPr="008D75A6">
        <w:rPr>
          <w:szCs w:val="20"/>
        </w:rPr>
        <w:t>exists</w:t>
      </w:r>
      <w:r w:rsidR="00C64050">
        <w:rPr>
          <w:szCs w:val="20"/>
        </w:rPr>
        <w:t xml:space="preserve"> </w:t>
      </w:r>
      <w:r w:rsidRPr="008D75A6">
        <w:rPr>
          <w:szCs w:val="20"/>
        </w:rPr>
        <w:t>strong</w:t>
      </w:r>
      <w:r w:rsidR="00C64050">
        <w:rPr>
          <w:szCs w:val="20"/>
        </w:rPr>
        <w:t xml:space="preserve"> </w:t>
      </w:r>
      <w:r w:rsidRPr="008D75A6">
        <w:rPr>
          <w:szCs w:val="20"/>
        </w:rPr>
        <w:t>precedent</w:t>
      </w:r>
      <w:r w:rsidR="00C64050">
        <w:rPr>
          <w:szCs w:val="20"/>
        </w:rPr>
        <w:t xml:space="preserve"> </w:t>
      </w:r>
      <w:r w:rsidRPr="008D75A6">
        <w:rPr>
          <w:szCs w:val="20"/>
        </w:rPr>
        <w:t>against</w:t>
      </w:r>
      <w:r w:rsidR="00C64050">
        <w:rPr>
          <w:szCs w:val="20"/>
        </w:rPr>
        <w:t xml:space="preserve"> </w:t>
      </w:r>
      <w:r w:rsidRPr="008D75A6">
        <w:rPr>
          <w:szCs w:val="20"/>
        </w:rPr>
        <w:t>wills</w:t>
      </w:r>
      <w:r w:rsidR="00C64050">
        <w:rPr>
          <w:szCs w:val="20"/>
        </w:rPr>
        <w:t xml:space="preserve"> </w:t>
      </w:r>
      <w:r w:rsidRPr="008D75A6">
        <w:rPr>
          <w:szCs w:val="20"/>
        </w:rPr>
        <w:t>containing</w:t>
      </w:r>
      <w:r w:rsidR="00C64050">
        <w:rPr>
          <w:szCs w:val="20"/>
        </w:rPr>
        <w:t xml:space="preserve"> </w:t>
      </w:r>
      <w:r w:rsidRPr="008D75A6">
        <w:rPr>
          <w:szCs w:val="20"/>
        </w:rPr>
        <w:t>absolute</w:t>
      </w:r>
      <w:r w:rsidR="00C64050">
        <w:rPr>
          <w:szCs w:val="20"/>
        </w:rPr>
        <w:t xml:space="preserve"> </w:t>
      </w:r>
      <w:r w:rsidRPr="008D75A6">
        <w:rPr>
          <w:szCs w:val="20"/>
        </w:rPr>
        <w:t>prohibitions</w:t>
      </w:r>
      <w:r w:rsidR="00C64050">
        <w:rPr>
          <w:szCs w:val="20"/>
        </w:rPr>
        <w:t xml:space="preserve"> </w:t>
      </w:r>
      <w:r w:rsidRPr="008D75A6">
        <w:rPr>
          <w:szCs w:val="20"/>
        </w:rPr>
        <w:t>of</w:t>
      </w:r>
      <w:r w:rsidR="00C64050">
        <w:rPr>
          <w:szCs w:val="20"/>
        </w:rPr>
        <w:t xml:space="preserve"> </w:t>
      </w:r>
      <w:r w:rsidRPr="008D75A6">
        <w:rPr>
          <w:szCs w:val="20"/>
        </w:rPr>
        <w:t>marriage.</w:t>
      </w:r>
      <w:r w:rsidR="00C64050">
        <w:rPr>
          <w:szCs w:val="20"/>
        </w:rPr>
        <w:t xml:space="preserve"> </w:t>
      </w:r>
      <w:r w:rsidRPr="008D75A6">
        <w:rPr>
          <w:rStyle w:val="Emphasis"/>
          <w:szCs w:val="20"/>
        </w:rPr>
        <w:t>See,</w:t>
      </w:r>
      <w:r w:rsidR="00C64050">
        <w:rPr>
          <w:rStyle w:val="Emphasis"/>
          <w:szCs w:val="20"/>
        </w:rPr>
        <w:t xml:space="preserve"> </w:t>
      </w:r>
      <w:r w:rsidRPr="008D75A6">
        <w:rPr>
          <w:rStyle w:val="Emphasis"/>
          <w:szCs w:val="20"/>
        </w:rPr>
        <w:t>e.g.</w:t>
      </w:r>
      <w:r w:rsidRPr="008D75A6">
        <w:rPr>
          <w:szCs w:val="20"/>
        </w:rPr>
        <w:t>,</w:t>
      </w:r>
      <w:r w:rsidR="00C64050">
        <w:rPr>
          <w:szCs w:val="20"/>
        </w:rPr>
        <w:t xml:space="preserve"> </w:t>
      </w:r>
      <w:r w:rsidRPr="008D75A6">
        <w:rPr>
          <w:rStyle w:val="Emphasis"/>
          <w:szCs w:val="20"/>
        </w:rPr>
        <w:t>Meek</w:t>
      </w:r>
      <w:r w:rsidR="00C64050">
        <w:rPr>
          <w:rStyle w:val="Emphasis"/>
          <w:szCs w:val="20"/>
        </w:rPr>
        <w:t xml:space="preserve"> </w:t>
      </w:r>
      <w:r w:rsidRPr="008D75A6">
        <w:rPr>
          <w:rStyle w:val="Emphasis"/>
          <w:szCs w:val="20"/>
        </w:rPr>
        <w:t>v.</w:t>
      </w:r>
      <w:r w:rsidR="00C64050">
        <w:rPr>
          <w:szCs w:val="20"/>
        </w:rPr>
        <w:t xml:space="preserve"> </w:t>
      </w:r>
      <w:r w:rsidRPr="008D75A6">
        <w:rPr>
          <w:szCs w:val="20"/>
        </w:rPr>
        <w:t>Fox,</w:t>
      </w:r>
      <w:r w:rsidR="00C64050">
        <w:rPr>
          <w:szCs w:val="20"/>
        </w:rPr>
        <w:t xml:space="preserve"> </w:t>
      </w:r>
      <w:r w:rsidRPr="008D75A6">
        <w:rPr>
          <w:szCs w:val="20"/>
        </w:rPr>
        <w:t>88</w:t>
      </w:r>
      <w:r w:rsidR="00C64050">
        <w:rPr>
          <w:szCs w:val="20"/>
        </w:rPr>
        <w:t xml:space="preserve"> </w:t>
      </w:r>
      <w:r w:rsidRPr="008D75A6">
        <w:rPr>
          <w:szCs w:val="20"/>
        </w:rPr>
        <w:t>S.E.</w:t>
      </w:r>
      <w:r w:rsidR="00C64050">
        <w:rPr>
          <w:szCs w:val="20"/>
        </w:rPr>
        <w:t xml:space="preserve"> </w:t>
      </w:r>
      <w:r w:rsidRPr="008D75A6">
        <w:rPr>
          <w:szCs w:val="20"/>
        </w:rPr>
        <w:t>161,</w:t>
      </w:r>
      <w:r w:rsidR="00C64050">
        <w:rPr>
          <w:szCs w:val="20"/>
        </w:rPr>
        <w:t xml:space="preserve"> </w:t>
      </w:r>
      <w:r w:rsidRPr="008D75A6">
        <w:rPr>
          <w:szCs w:val="20"/>
        </w:rPr>
        <w:t>163</w:t>
      </w:r>
      <w:r w:rsidR="00C64050">
        <w:rPr>
          <w:szCs w:val="20"/>
        </w:rPr>
        <w:t xml:space="preserve"> </w:t>
      </w:r>
      <w:r w:rsidRPr="008D75A6">
        <w:rPr>
          <w:szCs w:val="20"/>
        </w:rPr>
        <w:t>(Va.</w:t>
      </w:r>
      <w:r w:rsidR="00C64050">
        <w:rPr>
          <w:szCs w:val="20"/>
        </w:rPr>
        <w:t xml:space="preserve"> </w:t>
      </w:r>
      <w:r w:rsidRPr="008D75A6">
        <w:rPr>
          <w:szCs w:val="20"/>
        </w:rPr>
        <w:t>1916)</w:t>
      </w:r>
      <w:r w:rsidR="00C64050">
        <w:rPr>
          <w:szCs w:val="20"/>
        </w:rPr>
        <w:t xml:space="preserve"> </w:t>
      </w:r>
      <w:r w:rsidRPr="008D75A6">
        <w:rPr>
          <w:szCs w:val="20"/>
        </w:rPr>
        <w:t>(“It</w:t>
      </w:r>
      <w:r w:rsidR="00C64050">
        <w:rPr>
          <w:szCs w:val="20"/>
        </w:rPr>
        <w:t xml:space="preserve"> </w:t>
      </w:r>
      <w:r w:rsidRPr="008D75A6">
        <w:rPr>
          <w:szCs w:val="20"/>
        </w:rPr>
        <w:t>has,</w:t>
      </w:r>
      <w:r w:rsidR="00C64050">
        <w:rPr>
          <w:szCs w:val="20"/>
        </w:rPr>
        <w:t xml:space="preserve"> </w:t>
      </w:r>
      <w:r w:rsidRPr="008D75A6">
        <w:rPr>
          <w:szCs w:val="20"/>
        </w:rPr>
        <w:t>by</w:t>
      </w:r>
      <w:r w:rsidR="00C64050">
        <w:rPr>
          <w:szCs w:val="20"/>
        </w:rPr>
        <w:t xml:space="preserve"> </w:t>
      </w:r>
      <w:r w:rsidRPr="008D75A6">
        <w:rPr>
          <w:szCs w:val="20"/>
        </w:rPr>
        <w:t>numerous</w:t>
      </w:r>
      <w:r w:rsidR="00C64050">
        <w:rPr>
          <w:szCs w:val="20"/>
        </w:rPr>
        <w:t xml:space="preserve"> </w:t>
      </w:r>
      <w:r w:rsidRPr="008D75A6">
        <w:rPr>
          <w:szCs w:val="20"/>
        </w:rPr>
        <w:t>decisions</w:t>
      </w:r>
      <w:r w:rsidR="00C64050">
        <w:rPr>
          <w:szCs w:val="20"/>
        </w:rPr>
        <w:t xml:space="preserve"> </w:t>
      </w:r>
      <w:r w:rsidRPr="008D75A6">
        <w:rPr>
          <w:szCs w:val="20"/>
        </w:rPr>
        <w:t>of</w:t>
      </w:r>
      <w:r w:rsidR="00C64050">
        <w:rPr>
          <w:szCs w:val="20"/>
        </w:rPr>
        <w:t xml:space="preserve"> </w:t>
      </w:r>
      <w:r w:rsidRPr="008D75A6">
        <w:rPr>
          <w:szCs w:val="20"/>
        </w:rPr>
        <w:t>this</w:t>
      </w:r>
      <w:r w:rsidR="00C64050">
        <w:rPr>
          <w:szCs w:val="20"/>
        </w:rPr>
        <w:t xml:space="preserve"> </w:t>
      </w:r>
      <w:r w:rsidRPr="008D75A6">
        <w:rPr>
          <w:szCs w:val="20"/>
        </w:rPr>
        <w:t>court,</w:t>
      </w:r>
      <w:r w:rsidR="00C64050">
        <w:rPr>
          <w:szCs w:val="20"/>
        </w:rPr>
        <w:t xml:space="preserve"> </w:t>
      </w:r>
      <w:r w:rsidRPr="008D75A6">
        <w:rPr>
          <w:szCs w:val="20"/>
        </w:rPr>
        <w:t>been</w:t>
      </w:r>
      <w:r w:rsidR="00C64050">
        <w:rPr>
          <w:szCs w:val="20"/>
        </w:rPr>
        <w:t xml:space="preserve"> </w:t>
      </w:r>
      <w:r w:rsidRPr="008D75A6">
        <w:rPr>
          <w:szCs w:val="20"/>
        </w:rPr>
        <w:t>held</w:t>
      </w:r>
      <w:r w:rsidR="00C64050">
        <w:rPr>
          <w:szCs w:val="20"/>
        </w:rPr>
        <w:t xml:space="preserve"> </w:t>
      </w:r>
      <w:r w:rsidRPr="008D75A6">
        <w:rPr>
          <w:szCs w:val="20"/>
        </w:rPr>
        <w:t>that</w:t>
      </w:r>
      <w:r w:rsidR="00C64050">
        <w:rPr>
          <w:szCs w:val="20"/>
        </w:rPr>
        <w:t xml:space="preserve"> </w:t>
      </w:r>
      <w:r w:rsidRPr="008D75A6">
        <w:rPr>
          <w:szCs w:val="20"/>
        </w:rPr>
        <w:t>any</w:t>
      </w:r>
      <w:r w:rsidR="00C64050">
        <w:rPr>
          <w:szCs w:val="20"/>
        </w:rPr>
        <w:t xml:space="preserve"> </w:t>
      </w:r>
      <w:r w:rsidRPr="008D75A6">
        <w:rPr>
          <w:szCs w:val="20"/>
        </w:rPr>
        <w:t>contract</w:t>
      </w:r>
      <w:r w:rsidR="00C64050">
        <w:rPr>
          <w:szCs w:val="20"/>
        </w:rPr>
        <w:t xml:space="preserve"> </w:t>
      </w:r>
      <w:r w:rsidRPr="008D75A6">
        <w:rPr>
          <w:szCs w:val="20"/>
        </w:rPr>
        <w:t>or</w:t>
      </w:r>
      <w:r w:rsidR="00C64050">
        <w:rPr>
          <w:szCs w:val="20"/>
        </w:rPr>
        <w:t xml:space="preserve"> </w:t>
      </w:r>
      <w:r w:rsidRPr="008D75A6">
        <w:rPr>
          <w:szCs w:val="20"/>
        </w:rPr>
        <w:t>provision</w:t>
      </w:r>
      <w:r w:rsidR="00C64050">
        <w:rPr>
          <w:szCs w:val="20"/>
        </w:rPr>
        <w:t xml:space="preserve"> </w:t>
      </w:r>
      <w:r w:rsidRPr="008D75A6">
        <w:rPr>
          <w:szCs w:val="20"/>
        </w:rPr>
        <w:t>in</w:t>
      </w:r>
      <w:r w:rsidR="00C64050">
        <w:rPr>
          <w:szCs w:val="20"/>
        </w:rPr>
        <w:t xml:space="preserve"> </w:t>
      </w:r>
      <w:r w:rsidRPr="008D75A6">
        <w:rPr>
          <w:szCs w:val="20"/>
        </w:rPr>
        <w:t>general</w:t>
      </w:r>
      <w:r w:rsidR="00C64050">
        <w:rPr>
          <w:szCs w:val="20"/>
        </w:rPr>
        <w:t xml:space="preserve"> </w:t>
      </w:r>
      <w:r w:rsidRPr="008D75A6">
        <w:rPr>
          <w:szCs w:val="20"/>
        </w:rPr>
        <w:t>or</w:t>
      </w:r>
      <w:r w:rsidR="00C64050">
        <w:rPr>
          <w:szCs w:val="20"/>
        </w:rPr>
        <w:t xml:space="preserve"> </w:t>
      </w:r>
      <w:r w:rsidRPr="008D75A6">
        <w:rPr>
          <w:szCs w:val="20"/>
        </w:rPr>
        <w:t>total</w:t>
      </w:r>
      <w:r w:rsidR="00C64050">
        <w:rPr>
          <w:szCs w:val="20"/>
        </w:rPr>
        <w:t xml:space="preserve"> </w:t>
      </w:r>
      <w:r w:rsidRPr="008D75A6">
        <w:rPr>
          <w:szCs w:val="20"/>
        </w:rPr>
        <w:t>restraint</w:t>
      </w:r>
      <w:r w:rsidR="00C64050">
        <w:rPr>
          <w:szCs w:val="20"/>
        </w:rPr>
        <w:t xml:space="preserve"> </w:t>
      </w:r>
      <w:r w:rsidRPr="008D75A6">
        <w:rPr>
          <w:szCs w:val="20"/>
        </w:rPr>
        <w:t>of</w:t>
      </w:r>
      <w:r w:rsidR="00C64050">
        <w:rPr>
          <w:szCs w:val="20"/>
        </w:rPr>
        <w:t xml:space="preserve"> </w:t>
      </w:r>
      <w:r w:rsidRPr="008D75A6">
        <w:rPr>
          <w:szCs w:val="20"/>
        </w:rPr>
        <w:t>marriage</w:t>
      </w:r>
      <w:r w:rsidR="00C64050">
        <w:rPr>
          <w:szCs w:val="20"/>
        </w:rPr>
        <w:t xml:space="preserve"> </w:t>
      </w:r>
      <w:r w:rsidRPr="008D75A6">
        <w:rPr>
          <w:szCs w:val="20"/>
        </w:rPr>
        <w:t>is</w:t>
      </w:r>
      <w:r w:rsidR="00C64050">
        <w:rPr>
          <w:szCs w:val="20"/>
        </w:rPr>
        <w:t xml:space="preserve"> </w:t>
      </w:r>
      <w:r w:rsidRPr="008D75A6">
        <w:rPr>
          <w:szCs w:val="20"/>
        </w:rPr>
        <w:t>against</w:t>
      </w:r>
      <w:r w:rsidR="00C64050">
        <w:rPr>
          <w:szCs w:val="20"/>
        </w:rPr>
        <w:t xml:space="preserve"> </w:t>
      </w:r>
      <w:r w:rsidRPr="008D75A6">
        <w:rPr>
          <w:szCs w:val="20"/>
        </w:rPr>
        <w:t>the</w:t>
      </w:r>
      <w:r w:rsidR="00C64050">
        <w:rPr>
          <w:szCs w:val="20"/>
        </w:rPr>
        <w:t xml:space="preserve"> </w:t>
      </w:r>
      <w:r w:rsidRPr="008D75A6">
        <w:rPr>
          <w:szCs w:val="20"/>
        </w:rPr>
        <w:t>policy</w:t>
      </w:r>
      <w:r w:rsidR="00C64050">
        <w:rPr>
          <w:szCs w:val="20"/>
        </w:rPr>
        <w:t xml:space="preserve"> </w:t>
      </w:r>
      <w:r w:rsidRPr="008D75A6">
        <w:rPr>
          <w:szCs w:val="20"/>
        </w:rPr>
        <w:t>of</w:t>
      </w:r>
      <w:r w:rsidR="00C64050">
        <w:rPr>
          <w:szCs w:val="20"/>
        </w:rPr>
        <w:t xml:space="preserve"> </w:t>
      </w:r>
      <w:r w:rsidRPr="008D75A6">
        <w:rPr>
          <w:szCs w:val="20"/>
        </w:rPr>
        <w:t>the</w:t>
      </w:r>
      <w:r w:rsidR="00C64050">
        <w:rPr>
          <w:szCs w:val="20"/>
        </w:rPr>
        <w:t xml:space="preserve"> </w:t>
      </w:r>
      <w:r w:rsidRPr="008D75A6">
        <w:rPr>
          <w:szCs w:val="20"/>
        </w:rPr>
        <w:t>laws</w:t>
      </w:r>
      <w:r w:rsidR="00C64050">
        <w:rPr>
          <w:szCs w:val="20"/>
        </w:rPr>
        <w:t xml:space="preserve"> </w:t>
      </w:r>
      <w:r w:rsidRPr="008D75A6">
        <w:rPr>
          <w:szCs w:val="20"/>
        </w:rPr>
        <w:t>of</w:t>
      </w:r>
      <w:r w:rsidR="00C64050">
        <w:rPr>
          <w:szCs w:val="20"/>
        </w:rPr>
        <w:t xml:space="preserve"> </w:t>
      </w:r>
      <w:r w:rsidRPr="008D75A6">
        <w:rPr>
          <w:szCs w:val="20"/>
        </w:rPr>
        <w:t>this</w:t>
      </w:r>
      <w:r w:rsidR="00C64050">
        <w:rPr>
          <w:szCs w:val="20"/>
        </w:rPr>
        <w:t xml:space="preserve"> </w:t>
      </w:r>
      <w:r w:rsidRPr="008D75A6">
        <w:rPr>
          <w:szCs w:val="20"/>
        </w:rPr>
        <w:t>state,</w:t>
      </w:r>
      <w:r w:rsidR="00C64050">
        <w:rPr>
          <w:szCs w:val="20"/>
        </w:rPr>
        <w:t xml:space="preserve"> </w:t>
      </w:r>
      <w:r w:rsidRPr="008D75A6">
        <w:rPr>
          <w:szCs w:val="20"/>
        </w:rPr>
        <w:t>and</w:t>
      </w:r>
      <w:r w:rsidR="00C64050">
        <w:rPr>
          <w:szCs w:val="20"/>
        </w:rPr>
        <w:t xml:space="preserve"> </w:t>
      </w:r>
      <w:r w:rsidRPr="008D75A6">
        <w:rPr>
          <w:szCs w:val="20"/>
        </w:rPr>
        <w:t>this</w:t>
      </w:r>
      <w:r w:rsidR="00C64050">
        <w:rPr>
          <w:szCs w:val="20"/>
        </w:rPr>
        <w:t xml:space="preserve"> </w:t>
      </w:r>
      <w:r w:rsidRPr="008D75A6">
        <w:rPr>
          <w:szCs w:val="20"/>
        </w:rPr>
        <w:t>view,</w:t>
      </w:r>
      <w:r w:rsidR="00C64050">
        <w:rPr>
          <w:szCs w:val="20"/>
        </w:rPr>
        <w:t xml:space="preserve"> </w:t>
      </w:r>
      <w:r w:rsidRPr="008D75A6">
        <w:rPr>
          <w:szCs w:val="20"/>
        </w:rPr>
        <w:t>it</w:t>
      </w:r>
      <w:r w:rsidR="00C64050">
        <w:rPr>
          <w:szCs w:val="20"/>
        </w:rPr>
        <w:t xml:space="preserve"> </w:t>
      </w:r>
      <w:r w:rsidRPr="008D75A6">
        <w:rPr>
          <w:szCs w:val="20"/>
        </w:rPr>
        <w:t>appears,</w:t>
      </w:r>
      <w:r w:rsidR="00C64050">
        <w:rPr>
          <w:szCs w:val="20"/>
        </w:rPr>
        <w:t xml:space="preserve"> </w:t>
      </w:r>
      <w:r w:rsidRPr="008D75A6">
        <w:rPr>
          <w:szCs w:val="20"/>
        </w:rPr>
        <w:t>has</w:t>
      </w:r>
      <w:r w:rsidR="00C64050">
        <w:rPr>
          <w:szCs w:val="20"/>
        </w:rPr>
        <w:t xml:space="preserve"> </w:t>
      </w:r>
      <w:r w:rsidRPr="008D75A6">
        <w:rPr>
          <w:szCs w:val="20"/>
        </w:rPr>
        <w:t>been</w:t>
      </w:r>
      <w:r w:rsidR="00C64050">
        <w:rPr>
          <w:szCs w:val="20"/>
        </w:rPr>
        <w:t xml:space="preserve"> </w:t>
      </w:r>
      <w:r w:rsidRPr="008D75A6">
        <w:rPr>
          <w:szCs w:val="20"/>
        </w:rPr>
        <w:t>uniformly</w:t>
      </w:r>
      <w:r w:rsidR="00C64050">
        <w:rPr>
          <w:szCs w:val="20"/>
        </w:rPr>
        <w:t xml:space="preserve"> </w:t>
      </w:r>
      <w:r w:rsidRPr="008D75A6">
        <w:rPr>
          <w:szCs w:val="20"/>
        </w:rPr>
        <w:t>taken</w:t>
      </w:r>
      <w:r w:rsidR="00C64050">
        <w:rPr>
          <w:szCs w:val="20"/>
        </w:rPr>
        <w:t xml:space="preserve"> </w:t>
      </w:r>
      <w:r w:rsidRPr="008D75A6">
        <w:rPr>
          <w:szCs w:val="20"/>
        </w:rPr>
        <w:t>wherever</w:t>
      </w:r>
      <w:r w:rsidR="00C64050">
        <w:rPr>
          <w:szCs w:val="20"/>
        </w:rPr>
        <w:t xml:space="preserve"> </w:t>
      </w:r>
      <w:r w:rsidRPr="008D75A6">
        <w:rPr>
          <w:szCs w:val="20"/>
        </w:rPr>
        <w:t>the</w:t>
      </w:r>
      <w:r w:rsidR="00C64050">
        <w:rPr>
          <w:szCs w:val="20"/>
        </w:rPr>
        <w:t xml:space="preserve"> </w:t>
      </w:r>
      <w:r w:rsidRPr="008D75A6">
        <w:rPr>
          <w:szCs w:val="20"/>
        </w:rPr>
        <w:t>question</w:t>
      </w:r>
      <w:r w:rsidR="00C64050">
        <w:rPr>
          <w:szCs w:val="20"/>
        </w:rPr>
        <w:t xml:space="preserve"> </w:t>
      </w:r>
      <w:r w:rsidRPr="008D75A6">
        <w:rPr>
          <w:szCs w:val="20"/>
        </w:rPr>
        <w:t>has</w:t>
      </w:r>
      <w:r w:rsidR="00C64050">
        <w:rPr>
          <w:szCs w:val="20"/>
        </w:rPr>
        <w:t xml:space="preserve"> </w:t>
      </w:r>
      <w:r w:rsidRPr="008D75A6">
        <w:rPr>
          <w:szCs w:val="20"/>
        </w:rPr>
        <w:t>arisen.”);</w:t>
      </w:r>
      <w:r w:rsidR="00C64050">
        <w:rPr>
          <w:szCs w:val="20"/>
        </w:rPr>
        <w:t xml:space="preserve"> </w:t>
      </w:r>
      <w:r w:rsidRPr="008D75A6">
        <w:rPr>
          <w:rStyle w:val="Emphasis"/>
          <w:szCs w:val="20"/>
        </w:rPr>
        <w:t>Maddox</w:t>
      </w:r>
      <w:r w:rsidR="00C64050">
        <w:rPr>
          <w:rStyle w:val="Emphasis"/>
          <w:szCs w:val="20"/>
        </w:rPr>
        <w:t xml:space="preserve"> </w:t>
      </w:r>
      <w:r w:rsidRPr="008D75A6">
        <w:rPr>
          <w:rStyle w:val="Emphasis"/>
          <w:szCs w:val="20"/>
        </w:rPr>
        <w:t>v.</w:t>
      </w:r>
      <w:r w:rsidR="00C64050">
        <w:rPr>
          <w:rStyle w:val="Emphasis"/>
          <w:szCs w:val="20"/>
        </w:rPr>
        <w:t xml:space="preserve"> </w:t>
      </w:r>
      <w:r w:rsidRPr="008D75A6">
        <w:rPr>
          <w:rStyle w:val="Emphasis"/>
          <w:szCs w:val="20"/>
        </w:rPr>
        <w:t>Maddox</w:t>
      </w:r>
      <w:r w:rsidRPr="008D75A6">
        <w:rPr>
          <w:szCs w:val="20"/>
        </w:rPr>
        <w:t>,</w:t>
      </w:r>
      <w:r w:rsidR="00C64050">
        <w:rPr>
          <w:szCs w:val="20"/>
        </w:rPr>
        <w:t xml:space="preserve"> </w:t>
      </w:r>
      <w:r w:rsidRPr="008D75A6">
        <w:rPr>
          <w:szCs w:val="20"/>
        </w:rPr>
        <w:t>52</w:t>
      </w:r>
      <w:r w:rsidR="00C64050">
        <w:rPr>
          <w:szCs w:val="20"/>
        </w:rPr>
        <w:t xml:space="preserve"> </w:t>
      </w:r>
      <w:r w:rsidRPr="008D75A6">
        <w:rPr>
          <w:szCs w:val="20"/>
        </w:rPr>
        <w:t>Va.</w:t>
      </w:r>
      <w:r w:rsidR="00C64050">
        <w:rPr>
          <w:szCs w:val="20"/>
        </w:rPr>
        <w:t xml:space="preserve"> </w:t>
      </w:r>
      <w:r w:rsidRPr="008D75A6">
        <w:rPr>
          <w:szCs w:val="20"/>
        </w:rPr>
        <w:t>(11</w:t>
      </w:r>
      <w:r w:rsidR="00C64050">
        <w:rPr>
          <w:szCs w:val="20"/>
        </w:rPr>
        <w:t xml:space="preserve"> </w:t>
      </w:r>
      <w:r w:rsidRPr="008D75A6">
        <w:rPr>
          <w:szCs w:val="20"/>
        </w:rPr>
        <w:t>Gratt.)</w:t>
      </w:r>
      <w:r w:rsidR="00C64050">
        <w:rPr>
          <w:szCs w:val="20"/>
        </w:rPr>
        <w:t xml:space="preserve"> </w:t>
      </w:r>
      <w:r w:rsidRPr="008D75A6">
        <w:rPr>
          <w:szCs w:val="20"/>
        </w:rPr>
        <w:t>804,</w:t>
      </w:r>
      <w:r w:rsidR="00C64050">
        <w:rPr>
          <w:szCs w:val="20"/>
        </w:rPr>
        <w:t xml:space="preserve"> </w:t>
      </w:r>
      <w:r w:rsidRPr="008D75A6">
        <w:rPr>
          <w:szCs w:val="20"/>
        </w:rPr>
        <w:t>807</w:t>
      </w:r>
      <w:r w:rsidR="00C64050">
        <w:rPr>
          <w:szCs w:val="20"/>
        </w:rPr>
        <w:t xml:space="preserve"> </w:t>
      </w:r>
      <w:r w:rsidRPr="008D75A6">
        <w:rPr>
          <w:szCs w:val="20"/>
        </w:rPr>
        <w:t>(1854)</w:t>
      </w:r>
      <w:r w:rsidR="00C64050">
        <w:rPr>
          <w:szCs w:val="20"/>
        </w:rPr>
        <w:t xml:space="preserve"> </w:t>
      </w:r>
      <w:r w:rsidRPr="008D75A6">
        <w:rPr>
          <w:szCs w:val="20"/>
        </w:rPr>
        <w:t>(“[N]ot</w:t>
      </w:r>
      <w:r w:rsidR="00C64050">
        <w:rPr>
          <w:szCs w:val="20"/>
        </w:rPr>
        <w:t xml:space="preserve"> </w:t>
      </w:r>
      <w:r w:rsidRPr="008D75A6">
        <w:rPr>
          <w:szCs w:val="20"/>
        </w:rPr>
        <w:t>only</w:t>
      </w:r>
      <w:r w:rsidR="00C64050">
        <w:rPr>
          <w:szCs w:val="20"/>
        </w:rPr>
        <w:t xml:space="preserve"> </w:t>
      </w:r>
      <w:r w:rsidRPr="008D75A6">
        <w:rPr>
          <w:szCs w:val="20"/>
        </w:rPr>
        <w:t>should</w:t>
      </w:r>
      <w:r w:rsidR="00C64050">
        <w:rPr>
          <w:szCs w:val="20"/>
        </w:rPr>
        <w:t xml:space="preserve"> </w:t>
      </w:r>
      <w:r w:rsidRPr="008D75A6">
        <w:rPr>
          <w:szCs w:val="20"/>
        </w:rPr>
        <w:t>all</w:t>
      </w:r>
      <w:r w:rsidR="00C64050">
        <w:rPr>
          <w:szCs w:val="20"/>
        </w:rPr>
        <w:t xml:space="preserve"> </w:t>
      </w:r>
      <w:r w:rsidRPr="008D75A6">
        <w:rPr>
          <w:szCs w:val="20"/>
        </w:rPr>
        <w:t>positive</w:t>
      </w:r>
      <w:r w:rsidR="00C64050">
        <w:rPr>
          <w:szCs w:val="20"/>
        </w:rPr>
        <w:t xml:space="preserve"> </w:t>
      </w:r>
      <w:r w:rsidRPr="008D75A6">
        <w:rPr>
          <w:szCs w:val="20"/>
        </w:rPr>
        <w:t>prohibitions</w:t>
      </w:r>
      <w:r w:rsidR="00C64050">
        <w:rPr>
          <w:szCs w:val="20"/>
        </w:rPr>
        <w:t xml:space="preserve"> </w:t>
      </w:r>
      <w:r w:rsidRPr="008D75A6">
        <w:rPr>
          <w:szCs w:val="20"/>
        </w:rPr>
        <w:t>of</w:t>
      </w:r>
      <w:r w:rsidR="00C64050">
        <w:rPr>
          <w:szCs w:val="20"/>
        </w:rPr>
        <w:t xml:space="preserve"> </w:t>
      </w:r>
      <w:r w:rsidRPr="008D75A6">
        <w:rPr>
          <w:szCs w:val="20"/>
        </w:rPr>
        <w:t>marriage</w:t>
      </w:r>
      <w:r w:rsidR="00C64050">
        <w:rPr>
          <w:szCs w:val="20"/>
        </w:rPr>
        <w:t xml:space="preserve"> </w:t>
      </w:r>
      <w:r w:rsidRPr="008D75A6">
        <w:rPr>
          <w:szCs w:val="20"/>
        </w:rPr>
        <w:t>be</w:t>
      </w:r>
      <w:r w:rsidR="00C64050">
        <w:rPr>
          <w:szCs w:val="20"/>
        </w:rPr>
        <w:t xml:space="preserve"> </w:t>
      </w:r>
      <w:r w:rsidRPr="008D75A6">
        <w:rPr>
          <w:szCs w:val="20"/>
        </w:rPr>
        <w:t>rendered</w:t>
      </w:r>
      <w:r w:rsidR="00C64050">
        <w:rPr>
          <w:szCs w:val="20"/>
        </w:rPr>
        <w:t xml:space="preserve"> </w:t>
      </w:r>
      <w:r w:rsidRPr="008D75A6">
        <w:rPr>
          <w:szCs w:val="20"/>
        </w:rPr>
        <w:t>nugatory,</w:t>
      </w:r>
      <w:r w:rsidR="00C64050">
        <w:rPr>
          <w:szCs w:val="20"/>
        </w:rPr>
        <w:t xml:space="preserve"> </w:t>
      </w:r>
      <w:r w:rsidRPr="008D75A6">
        <w:rPr>
          <w:szCs w:val="20"/>
        </w:rPr>
        <w:t>but</w:t>
      </w:r>
      <w:r w:rsidR="00C64050">
        <w:rPr>
          <w:szCs w:val="20"/>
        </w:rPr>
        <w:t xml:space="preserve"> </w:t>
      </w:r>
      <w:r w:rsidRPr="008D75A6">
        <w:rPr>
          <w:szCs w:val="20"/>
        </w:rPr>
        <w:t>all</w:t>
      </w:r>
      <w:r w:rsidR="00C64050">
        <w:rPr>
          <w:szCs w:val="20"/>
        </w:rPr>
        <w:t xml:space="preserve"> </w:t>
      </w:r>
      <w:r w:rsidRPr="008D75A6">
        <w:rPr>
          <w:szCs w:val="20"/>
        </w:rPr>
        <w:t>unjust</w:t>
      </w:r>
      <w:r w:rsidR="00C64050">
        <w:rPr>
          <w:szCs w:val="20"/>
        </w:rPr>
        <w:t xml:space="preserve"> </w:t>
      </w:r>
      <w:r w:rsidRPr="008D75A6">
        <w:rPr>
          <w:szCs w:val="20"/>
        </w:rPr>
        <w:t>and</w:t>
      </w:r>
      <w:r w:rsidR="00C64050">
        <w:rPr>
          <w:szCs w:val="20"/>
        </w:rPr>
        <w:t xml:space="preserve"> </w:t>
      </w:r>
      <w:r w:rsidRPr="008D75A6">
        <w:rPr>
          <w:szCs w:val="20"/>
        </w:rPr>
        <w:t>improper</w:t>
      </w:r>
      <w:r w:rsidR="00C64050">
        <w:rPr>
          <w:szCs w:val="20"/>
        </w:rPr>
        <w:t xml:space="preserve"> </w:t>
      </w:r>
      <w:r w:rsidRPr="008D75A6">
        <w:rPr>
          <w:szCs w:val="20"/>
        </w:rPr>
        <w:t>restrictions</w:t>
      </w:r>
      <w:r w:rsidR="00C64050">
        <w:rPr>
          <w:szCs w:val="20"/>
        </w:rPr>
        <w:t xml:space="preserve"> </w:t>
      </w:r>
      <w:r w:rsidRPr="008D75A6">
        <w:rPr>
          <w:szCs w:val="20"/>
        </w:rPr>
        <w:t>upon</w:t>
      </w:r>
      <w:r w:rsidR="00C64050">
        <w:rPr>
          <w:szCs w:val="20"/>
        </w:rPr>
        <w:t xml:space="preserve"> </w:t>
      </w:r>
      <w:r w:rsidRPr="008D75A6">
        <w:rPr>
          <w:szCs w:val="20"/>
        </w:rPr>
        <w:t>it</w:t>
      </w:r>
      <w:r w:rsidR="00C64050">
        <w:rPr>
          <w:szCs w:val="20"/>
        </w:rPr>
        <w:t xml:space="preserve"> </w:t>
      </w:r>
      <w:r w:rsidRPr="008D75A6">
        <w:rPr>
          <w:szCs w:val="20"/>
        </w:rPr>
        <w:t>should</w:t>
      </w:r>
      <w:r w:rsidR="00C64050">
        <w:rPr>
          <w:szCs w:val="20"/>
        </w:rPr>
        <w:t xml:space="preserve"> </w:t>
      </w:r>
      <w:r w:rsidRPr="008D75A6">
        <w:rPr>
          <w:szCs w:val="20"/>
        </w:rPr>
        <w:t>be</w:t>
      </w:r>
      <w:r w:rsidR="00C64050">
        <w:rPr>
          <w:szCs w:val="20"/>
        </w:rPr>
        <w:t xml:space="preserve"> </w:t>
      </w:r>
      <w:r w:rsidRPr="008D75A6">
        <w:rPr>
          <w:szCs w:val="20"/>
        </w:rPr>
        <w:t>removed,</w:t>
      </w:r>
      <w:r w:rsidR="00C64050">
        <w:rPr>
          <w:szCs w:val="20"/>
        </w:rPr>
        <w:t xml:space="preserve"> </w:t>
      </w:r>
      <w:r w:rsidRPr="008D75A6">
        <w:rPr>
          <w:szCs w:val="20"/>
        </w:rPr>
        <w:t>and</w:t>
      </w:r>
      <w:r w:rsidR="00C64050">
        <w:rPr>
          <w:szCs w:val="20"/>
        </w:rPr>
        <w:t xml:space="preserve"> </w:t>
      </w:r>
      <w:r w:rsidRPr="008D75A6">
        <w:rPr>
          <w:szCs w:val="20"/>
        </w:rPr>
        <w:t>all</w:t>
      </w:r>
      <w:r w:rsidR="00C64050">
        <w:rPr>
          <w:szCs w:val="20"/>
        </w:rPr>
        <w:t xml:space="preserve"> </w:t>
      </w:r>
      <w:r w:rsidRPr="008D75A6">
        <w:rPr>
          <w:szCs w:val="20"/>
        </w:rPr>
        <w:t>undue</w:t>
      </w:r>
      <w:r w:rsidR="00C64050">
        <w:rPr>
          <w:szCs w:val="20"/>
        </w:rPr>
        <w:t xml:space="preserve"> </w:t>
      </w:r>
      <w:r w:rsidRPr="008D75A6">
        <w:rPr>
          <w:szCs w:val="20"/>
        </w:rPr>
        <w:t>influences</w:t>
      </w:r>
      <w:r w:rsidR="00C64050">
        <w:rPr>
          <w:szCs w:val="20"/>
        </w:rPr>
        <w:t xml:space="preserve"> </w:t>
      </w:r>
      <w:r w:rsidRPr="008D75A6">
        <w:rPr>
          <w:szCs w:val="20"/>
        </w:rPr>
        <w:t>in</w:t>
      </w:r>
      <w:r w:rsidR="00C64050">
        <w:rPr>
          <w:szCs w:val="20"/>
        </w:rPr>
        <w:t xml:space="preserve"> </w:t>
      </w:r>
      <w:r w:rsidRPr="008D75A6">
        <w:rPr>
          <w:szCs w:val="20"/>
        </w:rPr>
        <w:t>determining</w:t>
      </w:r>
      <w:r w:rsidR="00C64050">
        <w:rPr>
          <w:szCs w:val="20"/>
        </w:rPr>
        <w:t xml:space="preserve"> </w:t>
      </w:r>
      <w:r w:rsidRPr="008D75A6">
        <w:rPr>
          <w:szCs w:val="20"/>
        </w:rPr>
        <w:t>the</w:t>
      </w:r>
      <w:r w:rsidR="00C64050">
        <w:rPr>
          <w:szCs w:val="20"/>
        </w:rPr>
        <w:t xml:space="preserve"> </w:t>
      </w:r>
      <w:r w:rsidRPr="008D75A6">
        <w:rPr>
          <w:szCs w:val="20"/>
        </w:rPr>
        <w:t>choice</w:t>
      </w:r>
      <w:r w:rsidR="00C64050">
        <w:rPr>
          <w:szCs w:val="20"/>
        </w:rPr>
        <w:t xml:space="preserve"> </w:t>
      </w:r>
      <w:r w:rsidRPr="008D75A6">
        <w:rPr>
          <w:szCs w:val="20"/>
        </w:rPr>
        <w:t>of</w:t>
      </w:r>
      <w:r w:rsidR="00C64050">
        <w:rPr>
          <w:szCs w:val="20"/>
        </w:rPr>
        <w:t xml:space="preserve"> </w:t>
      </w:r>
      <w:r w:rsidRPr="008D75A6">
        <w:rPr>
          <w:szCs w:val="20"/>
        </w:rPr>
        <w:t>the</w:t>
      </w:r>
      <w:r w:rsidR="00C64050">
        <w:rPr>
          <w:szCs w:val="20"/>
        </w:rPr>
        <w:t xml:space="preserve"> </w:t>
      </w:r>
      <w:r w:rsidRPr="008D75A6">
        <w:rPr>
          <w:szCs w:val="20"/>
        </w:rPr>
        <w:t>parties</w:t>
      </w:r>
      <w:r w:rsidR="00C64050">
        <w:rPr>
          <w:szCs w:val="20"/>
        </w:rPr>
        <w:t xml:space="preserve"> </w:t>
      </w:r>
      <w:r w:rsidRPr="008D75A6">
        <w:rPr>
          <w:szCs w:val="20"/>
        </w:rPr>
        <w:t>should</w:t>
      </w:r>
      <w:r w:rsidR="00C64050">
        <w:rPr>
          <w:szCs w:val="20"/>
        </w:rPr>
        <w:t xml:space="preserve"> </w:t>
      </w:r>
      <w:r w:rsidRPr="008D75A6">
        <w:rPr>
          <w:szCs w:val="20"/>
        </w:rPr>
        <w:t>be</w:t>
      </w:r>
      <w:r w:rsidR="00C64050">
        <w:rPr>
          <w:szCs w:val="20"/>
        </w:rPr>
        <w:t xml:space="preserve"> </w:t>
      </w:r>
      <w:r w:rsidRPr="008D75A6">
        <w:rPr>
          <w:szCs w:val="20"/>
        </w:rPr>
        <w:t>carefully</w:t>
      </w:r>
      <w:r w:rsidR="00C64050">
        <w:rPr>
          <w:szCs w:val="20"/>
        </w:rPr>
        <w:t xml:space="preserve"> </w:t>
      </w:r>
      <w:r w:rsidRPr="008D75A6">
        <w:rPr>
          <w:szCs w:val="20"/>
        </w:rPr>
        <w:t>suppressed.”).</w:t>
      </w:r>
      <w:r w:rsidR="00C64050">
        <w:rPr>
          <w:szCs w:val="20"/>
        </w:rPr>
        <w:t xml:space="preserve"> </w:t>
      </w:r>
      <w:r w:rsidRPr="008D75A6">
        <w:rPr>
          <w:szCs w:val="20"/>
        </w:rPr>
        <w:t>Further,</w:t>
      </w:r>
      <w:r w:rsidR="00C64050">
        <w:rPr>
          <w:szCs w:val="20"/>
        </w:rPr>
        <w:t xml:space="preserve"> </w:t>
      </w:r>
      <w:r w:rsidRPr="008D75A6">
        <w:rPr>
          <w:szCs w:val="20"/>
        </w:rPr>
        <w:t>Virginia</w:t>
      </w:r>
      <w:r w:rsidR="00C64050">
        <w:rPr>
          <w:szCs w:val="20"/>
        </w:rPr>
        <w:t xml:space="preserve"> </w:t>
      </w:r>
      <w:r w:rsidRPr="008D75A6">
        <w:rPr>
          <w:szCs w:val="20"/>
        </w:rPr>
        <w:t>courts</w:t>
      </w:r>
      <w:r w:rsidR="00C64050">
        <w:rPr>
          <w:szCs w:val="20"/>
        </w:rPr>
        <w:t xml:space="preserve"> </w:t>
      </w:r>
      <w:r w:rsidRPr="008D75A6">
        <w:rPr>
          <w:szCs w:val="20"/>
        </w:rPr>
        <w:t>have</w:t>
      </w:r>
      <w:r w:rsidR="00C64050">
        <w:rPr>
          <w:szCs w:val="20"/>
        </w:rPr>
        <w:t xml:space="preserve"> </w:t>
      </w:r>
      <w:r w:rsidRPr="008D75A6">
        <w:rPr>
          <w:szCs w:val="20"/>
        </w:rPr>
        <w:t>long</w:t>
      </w:r>
      <w:r w:rsidR="00C64050">
        <w:rPr>
          <w:szCs w:val="20"/>
        </w:rPr>
        <w:t xml:space="preserve"> </w:t>
      </w:r>
      <w:r w:rsidRPr="008D75A6">
        <w:rPr>
          <w:szCs w:val="20"/>
        </w:rPr>
        <w:t>held</w:t>
      </w:r>
      <w:r w:rsidR="00C64050">
        <w:rPr>
          <w:szCs w:val="20"/>
        </w:rPr>
        <w:t xml:space="preserve"> </w:t>
      </w:r>
      <w:r w:rsidRPr="008D75A6">
        <w:rPr>
          <w:szCs w:val="20"/>
        </w:rPr>
        <w:t>that</w:t>
      </w:r>
      <w:r w:rsidR="00C64050">
        <w:rPr>
          <w:szCs w:val="20"/>
        </w:rPr>
        <w:t xml:space="preserve"> </w:t>
      </w:r>
      <w:r w:rsidRPr="008D75A6">
        <w:rPr>
          <w:szCs w:val="20"/>
        </w:rPr>
        <w:t>provisions</w:t>
      </w:r>
      <w:r w:rsidR="00C64050">
        <w:rPr>
          <w:szCs w:val="20"/>
        </w:rPr>
        <w:t xml:space="preserve"> </w:t>
      </w:r>
      <w:r w:rsidRPr="008D75A6">
        <w:rPr>
          <w:szCs w:val="20"/>
        </w:rPr>
        <w:t>in</w:t>
      </w:r>
      <w:r w:rsidR="00C64050">
        <w:rPr>
          <w:szCs w:val="20"/>
        </w:rPr>
        <w:t xml:space="preserve"> </w:t>
      </w:r>
      <w:r w:rsidRPr="008D75A6">
        <w:rPr>
          <w:szCs w:val="20"/>
        </w:rPr>
        <w:t>contracts</w:t>
      </w:r>
      <w:r w:rsidR="00C64050">
        <w:rPr>
          <w:szCs w:val="20"/>
        </w:rPr>
        <w:t xml:space="preserve"> </w:t>
      </w:r>
      <w:r w:rsidRPr="008D75A6">
        <w:rPr>
          <w:szCs w:val="20"/>
        </w:rPr>
        <w:t>that</w:t>
      </w:r>
      <w:r w:rsidR="00C64050">
        <w:rPr>
          <w:szCs w:val="20"/>
        </w:rPr>
        <w:t xml:space="preserve"> </w:t>
      </w:r>
      <w:r w:rsidRPr="008D75A6">
        <w:rPr>
          <w:szCs w:val="20"/>
        </w:rPr>
        <w:t>encourage</w:t>
      </w:r>
      <w:r w:rsidR="00C64050">
        <w:rPr>
          <w:szCs w:val="20"/>
        </w:rPr>
        <w:t xml:space="preserve"> </w:t>
      </w:r>
      <w:r w:rsidRPr="008D75A6">
        <w:rPr>
          <w:szCs w:val="20"/>
        </w:rPr>
        <w:t>divorce</w:t>
      </w:r>
      <w:r w:rsidR="00C64050">
        <w:rPr>
          <w:szCs w:val="20"/>
        </w:rPr>
        <w:t xml:space="preserve"> </w:t>
      </w:r>
      <w:r w:rsidRPr="008D75A6">
        <w:rPr>
          <w:szCs w:val="20"/>
        </w:rPr>
        <w:t>are</w:t>
      </w:r>
      <w:r w:rsidR="00C64050">
        <w:rPr>
          <w:szCs w:val="20"/>
        </w:rPr>
        <w:t xml:space="preserve"> </w:t>
      </w:r>
      <w:r w:rsidRPr="008D75A6">
        <w:rPr>
          <w:szCs w:val="20"/>
        </w:rPr>
        <w:t>prohibited</w:t>
      </w:r>
      <w:r w:rsidR="00C64050">
        <w:rPr>
          <w:szCs w:val="20"/>
        </w:rPr>
        <w:t xml:space="preserve"> </w:t>
      </w:r>
      <w:r w:rsidRPr="008D75A6">
        <w:rPr>
          <w:szCs w:val="20"/>
        </w:rPr>
        <w:t>as</w:t>
      </w:r>
      <w:r w:rsidR="00C64050">
        <w:rPr>
          <w:szCs w:val="20"/>
        </w:rPr>
        <w:t xml:space="preserve"> </w:t>
      </w:r>
      <w:r w:rsidRPr="008D75A6">
        <w:rPr>
          <w:szCs w:val="20"/>
        </w:rPr>
        <w:t>against</w:t>
      </w:r>
      <w:r w:rsidR="00C64050">
        <w:rPr>
          <w:szCs w:val="20"/>
        </w:rPr>
        <w:t xml:space="preserve"> </w:t>
      </w:r>
      <w:r w:rsidRPr="008D75A6">
        <w:rPr>
          <w:szCs w:val="20"/>
        </w:rPr>
        <w:t>public</w:t>
      </w:r>
      <w:r w:rsidR="00C64050">
        <w:rPr>
          <w:szCs w:val="20"/>
        </w:rPr>
        <w:t xml:space="preserve"> </w:t>
      </w:r>
      <w:r w:rsidRPr="008D75A6">
        <w:rPr>
          <w:szCs w:val="20"/>
        </w:rPr>
        <w:t>policy.</w:t>
      </w:r>
      <w:r w:rsidR="00C64050">
        <w:rPr>
          <w:szCs w:val="20"/>
        </w:rPr>
        <w:t xml:space="preserve"> </w:t>
      </w:r>
      <w:r w:rsidRPr="008D75A6">
        <w:rPr>
          <w:rStyle w:val="Emphasis"/>
          <w:szCs w:val="20"/>
        </w:rPr>
        <w:t>See,</w:t>
      </w:r>
      <w:r w:rsidR="00C64050">
        <w:rPr>
          <w:rStyle w:val="Emphasis"/>
          <w:szCs w:val="20"/>
        </w:rPr>
        <w:t xml:space="preserve"> </w:t>
      </w:r>
      <w:r w:rsidRPr="008D75A6">
        <w:rPr>
          <w:rStyle w:val="Emphasis"/>
          <w:szCs w:val="20"/>
        </w:rPr>
        <w:t>e.g.</w:t>
      </w:r>
      <w:r w:rsidRPr="008D75A6">
        <w:rPr>
          <w:szCs w:val="20"/>
        </w:rPr>
        <w:t>,</w:t>
      </w:r>
      <w:r w:rsidR="00C64050">
        <w:rPr>
          <w:szCs w:val="20"/>
        </w:rPr>
        <w:t xml:space="preserve"> </w:t>
      </w:r>
      <w:r w:rsidRPr="008D75A6">
        <w:rPr>
          <w:rStyle w:val="Emphasis"/>
          <w:szCs w:val="20"/>
        </w:rPr>
        <w:t>Capps</w:t>
      </w:r>
      <w:r w:rsidR="00C64050">
        <w:rPr>
          <w:rStyle w:val="Emphasis"/>
          <w:szCs w:val="20"/>
        </w:rPr>
        <w:t xml:space="preserve"> </w:t>
      </w:r>
      <w:r w:rsidRPr="008D75A6">
        <w:rPr>
          <w:rStyle w:val="Emphasis"/>
          <w:szCs w:val="20"/>
        </w:rPr>
        <w:t>v.</w:t>
      </w:r>
      <w:r w:rsidR="00C64050">
        <w:rPr>
          <w:rStyle w:val="Emphasis"/>
          <w:szCs w:val="20"/>
        </w:rPr>
        <w:t xml:space="preserve"> </w:t>
      </w:r>
      <w:r w:rsidRPr="008D75A6">
        <w:rPr>
          <w:rStyle w:val="Emphasis"/>
          <w:szCs w:val="20"/>
        </w:rPr>
        <w:t>Capps</w:t>
      </w:r>
      <w:r w:rsidRPr="008D75A6">
        <w:rPr>
          <w:szCs w:val="20"/>
        </w:rPr>
        <w:t>,</w:t>
      </w:r>
      <w:r w:rsidR="00C64050">
        <w:rPr>
          <w:szCs w:val="20"/>
        </w:rPr>
        <w:t xml:space="preserve"> </w:t>
      </w:r>
      <w:r w:rsidRPr="008D75A6">
        <w:rPr>
          <w:szCs w:val="20"/>
        </w:rPr>
        <w:t>216</w:t>
      </w:r>
      <w:r w:rsidR="00C64050">
        <w:rPr>
          <w:szCs w:val="20"/>
        </w:rPr>
        <w:t xml:space="preserve"> </w:t>
      </w:r>
      <w:r w:rsidRPr="008D75A6">
        <w:rPr>
          <w:szCs w:val="20"/>
        </w:rPr>
        <w:t>Va.</w:t>
      </w:r>
      <w:r w:rsidR="00C64050">
        <w:rPr>
          <w:szCs w:val="20"/>
        </w:rPr>
        <w:t xml:space="preserve"> </w:t>
      </w:r>
      <w:r w:rsidRPr="008D75A6">
        <w:rPr>
          <w:szCs w:val="20"/>
        </w:rPr>
        <w:t>378</w:t>
      </w:r>
      <w:r w:rsidR="00C64050">
        <w:rPr>
          <w:szCs w:val="20"/>
        </w:rPr>
        <w:t xml:space="preserve"> </w:t>
      </w:r>
      <w:r w:rsidRPr="008D75A6">
        <w:rPr>
          <w:szCs w:val="20"/>
        </w:rPr>
        <w:t>(1975);</w:t>
      </w:r>
      <w:r w:rsidR="00C64050">
        <w:rPr>
          <w:szCs w:val="20"/>
        </w:rPr>
        <w:t xml:space="preserve"> </w:t>
      </w:r>
      <w:r w:rsidRPr="008D75A6">
        <w:rPr>
          <w:rStyle w:val="Emphasis"/>
          <w:szCs w:val="20"/>
        </w:rPr>
        <w:t>Shelton</w:t>
      </w:r>
      <w:r w:rsidR="00C64050">
        <w:rPr>
          <w:rStyle w:val="Emphasis"/>
          <w:szCs w:val="20"/>
        </w:rPr>
        <w:t xml:space="preserve"> </w:t>
      </w:r>
      <w:r w:rsidRPr="008D75A6">
        <w:rPr>
          <w:rStyle w:val="Emphasis"/>
          <w:szCs w:val="20"/>
        </w:rPr>
        <w:t>v.</w:t>
      </w:r>
      <w:r w:rsidR="00C64050">
        <w:rPr>
          <w:rStyle w:val="Emphasis"/>
          <w:szCs w:val="20"/>
        </w:rPr>
        <w:t xml:space="preserve"> </w:t>
      </w:r>
      <w:r w:rsidRPr="008D75A6">
        <w:rPr>
          <w:rStyle w:val="Emphasis"/>
          <w:szCs w:val="20"/>
        </w:rPr>
        <w:t>Stewart</w:t>
      </w:r>
      <w:r w:rsidRPr="008D75A6">
        <w:rPr>
          <w:szCs w:val="20"/>
        </w:rPr>
        <w:t>,</w:t>
      </w:r>
      <w:r w:rsidR="00C64050">
        <w:rPr>
          <w:szCs w:val="20"/>
        </w:rPr>
        <w:t xml:space="preserve"> </w:t>
      </w:r>
      <w:r w:rsidRPr="008D75A6">
        <w:rPr>
          <w:szCs w:val="20"/>
        </w:rPr>
        <w:t>193</w:t>
      </w:r>
      <w:r w:rsidR="00C64050">
        <w:rPr>
          <w:szCs w:val="20"/>
        </w:rPr>
        <w:t xml:space="preserve"> </w:t>
      </w:r>
      <w:r w:rsidRPr="008D75A6">
        <w:rPr>
          <w:szCs w:val="20"/>
        </w:rPr>
        <w:t>Va.</w:t>
      </w:r>
      <w:r w:rsidR="00C64050">
        <w:rPr>
          <w:szCs w:val="20"/>
        </w:rPr>
        <w:t xml:space="preserve"> </w:t>
      </w:r>
      <w:r w:rsidRPr="008D75A6">
        <w:rPr>
          <w:szCs w:val="20"/>
        </w:rPr>
        <w:t>162</w:t>
      </w:r>
      <w:r w:rsidR="00C64050">
        <w:rPr>
          <w:szCs w:val="20"/>
        </w:rPr>
        <w:t xml:space="preserve"> </w:t>
      </w:r>
      <w:r w:rsidRPr="008D75A6">
        <w:rPr>
          <w:szCs w:val="20"/>
        </w:rPr>
        <w:t>(1951).</w:t>
      </w:r>
      <w:r w:rsidR="00C64050">
        <w:rPr>
          <w:szCs w:val="20"/>
        </w:rPr>
        <w:t xml:space="preserve"> </w:t>
      </w:r>
      <w:r w:rsidRPr="008D75A6">
        <w:rPr>
          <w:szCs w:val="20"/>
        </w:rPr>
        <w:t>Courts</w:t>
      </w:r>
      <w:r w:rsidR="00C64050">
        <w:rPr>
          <w:szCs w:val="20"/>
        </w:rPr>
        <w:t xml:space="preserve"> </w:t>
      </w:r>
      <w:r w:rsidRPr="008D75A6">
        <w:rPr>
          <w:szCs w:val="20"/>
        </w:rPr>
        <w:t>in</w:t>
      </w:r>
      <w:r w:rsidR="00C64050">
        <w:rPr>
          <w:szCs w:val="20"/>
        </w:rPr>
        <w:t xml:space="preserve"> </w:t>
      </w:r>
      <w:r w:rsidRPr="008D75A6">
        <w:rPr>
          <w:szCs w:val="20"/>
        </w:rPr>
        <w:t>other</w:t>
      </w:r>
      <w:r w:rsidR="00C64050">
        <w:rPr>
          <w:szCs w:val="20"/>
        </w:rPr>
        <w:t xml:space="preserve"> </w:t>
      </w:r>
      <w:r w:rsidRPr="008D75A6">
        <w:rPr>
          <w:szCs w:val="20"/>
        </w:rPr>
        <w:t>states</w:t>
      </w:r>
      <w:r w:rsidR="00C64050">
        <w:rPr>
          <w:szCs w:val="20"/>
        </w:rPr>
        <w:t xml:space="preserve"> </w:t>
      </w:r>
      <w:r w:rsidRPr="008D75A6">
        <w:rPr>
          <w:szCs w:val="20"/>
        </w:rPr>
        <w:t>have</w:t>
      </w:r>
      <w:r w:rsidR="00C64050">
        <w:rPr>
          <w:szCs w:val="20"/>
        </w:rPr>
        <w:t xml:space="preserve"> </w:t>
      </w:r>
      <w:r w:rsidRPr="008D75A6">
        <w:rPr>
          <w:szCs w:val="20"/>
        </w:rPr>
        <w:t>also</w:t>
      </w:r>
      <w:r w:rsidR="00C64050">
        <w:rPr>
          <w:szCs w:val="20"/>
        </w:rPr>
        <w:t xml:space="preserve"> </w:t>
      </w:r>
      <w:r w:rsidRPr="008D75A6">
        <w:rPr>
          <w:szCs w:val="20"/>
        </w:rPr>
        <w:t>deemed</w:t>
      </w:r>
      <w:r w:rsidR="00C64050">
        <w:rPr>
          <w:szCs w:val="20"/>
        </w:rPr>
        <w:t xml:space="preserve"> </w:t>
      </w:r>
      <w:r w:rsidRPr="008D75A6">
        <w:rPr>
          <w:szCs w:val="20"/>
        </w:rPr>
        <w:t>that</w:t>
      </w:r>
      <w:r w:rsidR="00C64050">
        <w:rPr>
          <w:szCs w:val="20"/>
        </w:rPr>
        <w:t xml:space="preserve"> </w:t>
      </w:r>
      <w:r w:rsidRPr="008D75A6">
        <w:rPr>
          <w:szCs w:val="20"/>
        </w:rPr>
        <w:t>absent</w:t>
      </w:r>
      <w:r w:rsidR="00C64050">
        <w:rPr>
          <w:szCs w:val="20"/>
        </w:rPr>
        <w:t xml:space="preserve"> </w:t>
      </w:r>
      <w:r w:rsidRPr="008D75A6">
        <w:rPr>
          <w:szCs w:val="20"/>
        </w:rPr>
        <w:t>a</w:t>
      </w:r>
      <w:r w:rsidR="00C64050">
        <w:rPr>
          <w:szCs w:val="20"/>
        </w:rPr>
        <w:t xml:space="preserve"> </w:t>
      </w:r>
      <w:r w:rsidRPr="008D75A6">
        <w:rPr>
          <w:szCs w:val="20"/>
        </w:rPr>
        <w:t>testator's</w:t>
      </w:r>
      <w:r w:rsidR="00C64050">
        <w:rPr>
          <w:szCs w:val="20"/>
        </w:rPr>
        <w:t xml:space="preserve"> </w:t>
      </w:r>
      <w:r w:rsidRPr="008D75A6">
        <w:rPr>
          <w:szCs w:val="20"/>
        </w:rPr>
        <w:t>intent</w:t>
      </w:r>
      <w:r w:rsidR="00C64050">
        <w:rPr>
          <w:szCs w:val="20"/>
        </w:rPr>
        <w:t xml:space="preserve"> </w:t>
      </w:r>
      <w:r w:rsidRPr="008D75A6">
        <w:rPr>
          <w:szCs w:val="20"/>
        </w:rPr>
        <w:t>to</w:t>
      </w:r>
      <w:r w:rsidR="00C64050">
        <w:rPr>
          <w:szCs w:val="20"/>
        </w:rPr>
        <w:t xml:space="preserve"> </w:t>
      </w:r>
      <w:r w:rsidRPr="008D75A6">
        <w:rPr>
          <w:szCs w:val="20"/>
        </w:rPr>
        <w:t>protect</w:t>
      </w:r>
      <w:r w:rsidR="00C64050">
        <w:rPr>
          <w:szCs w:val="20"/>
        </w:rPr>
        <w:t xml:space="preserve"> </w:t>
      </w:r>
      <w:r w:rsidRPr="008D75A6">
        <w:rPr>
          <w:szCs w:val="20"/>
        </w:rPr>
        <w:t>the</w:t>
      </w:r>
      <w:r w:rsidR="00C64050">
        <w:rPr>
          <w:szCs w:val="20"/>
        </w:rPr>
        <w:t xml:space="preserve"> </w:t>
      </w:r>
      <w:r w:rsidRPr="008D75A6">
        <w:rPr>
          <w:szCs w:val="20"/>
        </w:rPr>
        <w:t>beneficiary,</w:t>
      </w:r>
      <w:r w:rsidR="00C64050">
        <w:rPr>
          <w:szCs w:val="20"/>
        </w:rPr>
        <w:t xml:space="preserve"> </w:t>
      </w:r>
      <w:r w:rsidRPr="008D75A6">
        <w:rPr>
          <w:szCs w:val="20"/>
        </w:rPr>
        <w:t>a</w:t>
      </w:r>
      <w:r w:rsidR="00C64050">
        <w:rPr>
          <w:szCs w:val="20"/>
        </w:rPr>
        <w:t xml:space="preserve"> </w:t>
      </w:r>
      <w:r w:rsidRPr="008D75A6">
        <w:rPr>
          <w:szCs w:val="20"/>
        </w:rPr>
        <w:t>provision</w:t>
      </w:r>
      <w:r w:rsidR="00C64050">
        <w:rPr>
          <w:szCs w:val="20"/>
        </w:rPr>
        <w:t xml:space="preserve"> </w:t>
      </w:r>
      <w:r w:rsidRPr="008D75A6">
        <w:rPr>
          <w:szCs w:val="20"/>
        </w:rPr>
        <w:t>in</w:t>
      </w:r>
      <w:r w:rsidR="00C64050">
        <w:rPr>
          <w:szCs w:val="20"/>
        </w:rPr>
        <w:t xml:space="preserve"> </w:t>
      </w:r>
      <w:r w:rsidRPr="008D75A6">
        <w:rPr>
          <w:szCs w:val="20"/>
        </w:rPr>
        <w:t>a</w:t>
      </w:r>
      <w:r w:rsidR="00C64050">
        <w:rPr>
          <w:szCs w:val="20"/>
        </w:rPr>
        <w:t xml:space="preserve"> </w:t>
      </w:r>
      <w:r w:rsidRPr="008D75A6">
        <w:rPr>
          <w:szCs w:val="20"/>
        </w:rPr>
        <w:t>will</w:t>
      </w:r>
      <w:r w:rsidR="00C64050">
        <w:rPr>
          <w:szCs w:val="20"/>
        </w:rPr>
        <w:t xml:space="preserve"> </w:t>
      </w:r>
      <w:r w:rsidRPr="008D75A6">
        <w:rPr>
          <w:szCs w:val="20"/>
        </w:rPr>
        <w:t>encouraging</w:t>
      </w:r>
      <w:r w:rsidR="00C64050">
        <w:rPr>
          <w:szCs w:val="20"/>
        </w:rPr>
        <w:t xml:space="preserve"> </w:t>
      </w:r>
      <w:r w:rsidRPr="008D75A6">
        <w:rPr>
          <w:szCs w:val="20"/>
        </w:rPr>
        <w:t>divorce</w:t>
      </w:r>
      <w:r w:rsidR="00C64050">
        <w:rPr>
          <w:szCs w:val="20"/>
        </w:rPr>
        <w:t xml:space="preserve"> </w:t>
      </w:r>
      <w:r w:rsidRPr="008D75A6">
        <w:rPr>
          <w:szCs w:val="20"/>
        </w:rPr>
        <w:t>violates</w:t>
      </w:r>
      <w:r w:rsidR="00C64050">
        <w:rPr>
          <w:szCs w:val="20"/>
        </w:rPr>
        <w:t xml:space="preserve"> </w:t>
      </w:r>
      <w:r w:rsidRPr="008D75A6">
        <w:rPr>
          <w:szCs w:val="20"/>
        </w:rPr>
        <w:t>public</w:t>
      </w:r>
      <w:r w:rsidR="00C64050">
        <w:rPr>
          <w:szCs w:val="20"/>
        </w:rPr>
        <w:t xml:space="preserve"> </w:t>
      </w:r>
      <w:r w:rsidRPr="008D75A6">
        <w:rPr>
          <w:szCs w:val="20"/>
        </w:rPr>
        <w:t>policy.</w:t>
      </w:r>
      <w:r w:rsidR="00C64050">
        <w:rPr>
          <w:szCs w:val="20"/>
        </w:rPr>
        <w:t xml:space="preserve"> </w:t>
      </w:r>
      <w:r w:rsidRPr="008D75A6">
        <w:rPr>
          <w:rStyle w:val="Emphasis"/>
          <w:szCs w:val="20"/>
        </w:rPr>
        <w:t>See,</w:t>
      </w:r>
      <w:r w:rsidR="00C64050">
        <w:rPr>
          <w:rStyle w:val="Emphasis"/>
          <w:szCs w:val="20"/>
        </w:rPr>
        <w:t xml:space="preserve"> </w:t>
      </w:r>
      <w:r w:rsidRPr="008D75A6">
        <w:rPr>
          <w:rStyle w:val="Emphasis"/>
          <w:szCs w:val="20"/>
        </w:rPr>
        <w:t>e.g.</w:t>
      </w:r>
      <w:r w:rsidRPr="008D75A6">
        <w:rPr>
          <w:szCs w:val="20"/>
        </w:rPr>
        <w:t>,</w:t>
      </w:r>
      <w:r w:rsidR="00C64050">
        <w:rPr>
          <w:szCs w:val="20"/>
        </w:rPr>
        <w:t xml:space="preserve"> </w:t>
      </w:r>
      <w:r w:rsidRPr="008D75A6">
        <w:rPr>
          <w:rStyle w:val="Emphasis"/>
          <w:szCs w:val="20"/>
        </w:rPr>
        <w:t>Hall</w:t>
      </w:r>
      <w:r w:rsidR="00C64050">
        <w:rPr>
          <w:rStyle w:val="Emphasis"/>
          <w:szCs w:val="20"/>
        </w:rPr>
        <w:t xml:space="preserve"> </w:t>
      </w:r>
      <w:r w:rsidRPr="008D75A6">
        <w:rPr>
          <w:rStyle w:val="Emphasis"/>
          <w:szCs w:val="20"/>
        </w:rPr>
        <w:t>v.</w:t>
      </w:r>
      <w:r w:rsidR="00C64050">
        <w:rPr>
          <w:rStyle w:val="Emphasis"/>
          <w:szCs w:val="20"/>
        </w:rPr>
        <w:t xml:space="preserve"> </w:t>
      </w:r>
      <w:r w:rsidRPr="008D75A6">
        <w:rPr>
          <w:rStyle w:val="Emphasis"/>
          <w:szCs w:val="20"/>
        </w:rPr>
        <w:t>Eaton</w:t>
      </w:r>
      <w:r w:rsidRPr="008D75A6">
        <w:rPr>
          <w:szCs w:val="20"/>
        </w:rPr>
        <w:t>,</w:t>
      </w:r>
      <w:r w:rsidR="00C64050">
        <w:rPr>
          <w:szCs w:val="20"/>
        </w:rPr>
        <w:t xml:space="preserve"> </w:t>
      </w:r>
      <w:r w:rsidRPr="008D75A6">
        <w:rPr>
          <w:szCs w:val="20"/>
        </w:rPr>
        <w:t>259</w:t>
      </w:r>
      <w:r w:rsidR="00C64050">
        <w:rPr>
          <w:szCs w:val="20"/>
        </w:rPr>
        <w:t xml:space="preserve"> </w:t>
      </w:r>
      <w:r w:rsidRPr="008D75A6">
        <w:rPr>
          <w:szCs w:val="20"/>
        </w:rPr>
        <w:t>Ill.</w:t>
      </w:r>
      <w:r w:rsidR="00C64050">
        <w:rPr>
          <w:szCs w:val="20"/>
        </w:rPr>
        <w:t xml:space="preserve"> </w:t>
      </w:r>
      <w:r w:rsidRPr="008D75A6">
        <w:rPr>
          <w:szCs w:val="20"/>
        </w:rPr>
        <w:t>App.</w:t>
      </w:r>
      <w:r w:rsidR="00C64050">
        <w:rPr>
          <w:szCs w:val="20"/>
        </w:rPr>
        <w:t xml:space="preserve"> </w:t>
      </w:r>
      <w:r w:rsidRPr="008D75A6">
        <w:rPr>
          <w:szCs w:val="20"/>
        </w:rPr>
        <w:t>3d</w:t>
      </w:r>
      <w:r w:rsidR="00C64050">
        <w:rPr>
          <w:szCs w:val="20"/>
        </w:rPr>
        <w:t xml:space="preserve"> </w:t>
      </w:r>
      <w:r w:rsidRPr="008D75A6">
        <w:rPr>
          <w:szCs w:val="20"/>
        </w:rPr>
        <w:t>319</w:t>
      </w:r>
      <w:r w:rsidR="00C64050">
        <w:rPr>
          <w:szCs w:val="20"/>
        </w:rPr>
        <w:t xml:space="preserve"> </w:t>
      </w:r>
      <w:r w:rsidRPr="008D75A6">
        <w:rPr>
          <w:szCs w:val="20"/>
        </w:rPr>
        <w:t>(4th</w:t>
      </w:r>
      <w:r w:rsidR="00C64050">
        <w:rPr>
          <w:szCs w:val="20"/>
        </w:rPr>
        <w:t xml:space="preserve"> </w:t>
      </w:r>
      <w:r w:rsidRPr="008D75A6">
        <w:rPr>
          <w:szCs w:val="20"/>
        </w:rPr>
        <w:t>Dist.</w:t>
      </w:r>
      <w:r w:rsidR="00C64050">
        <w:rPr>
          <w:szCs w:val="20"/>
        </w:rPr>
        <w:t xml:space="preserve"> </w:t>
      </w:r>
      <w:r w:rsidRPr="008D75A6">
        <w:rPr>
          <w:szCs w:val="20"/>
        </w:rPr>
        <w:t>1994).</w:t>
      </w:r>
      <w:r w:rsidR="00C64050">
        <w:rPr>
          <w:szCs w:val="20"/>
        </w:rPr>
        <w:t xml:space="preserve"> </w:t>
      </w:r>
      <w:r w:rsidRPr="008D75A6">
        <w:rPr>
          <w:szCs w:val="20"/>
        </w:rPr>
        <w:t>Taking</w:t>
      </w:r>
      <w:r w:rsidR="00C64050">
        <w:rPr>
          <w:szCs w:val="20"/>
        </w:rPr>
        <w:t xml:space="preserve"> </w:t>
      </w:r>
      <w:r w:rsidRPr="008D75A6">
        <w:rPr>
          <w:szCs w:val="20"/>
        </w:rPr>
        <w:t>the</w:t>
      </w:r>
      <w:r w:rsidR="00C64050">
        <w:rPr>
          <w:szCs w:val="20"/>
        </w:rPr>
        <w:t xml:space="preserve"> </w:t>
      </w:r>
      <w:r w:rsidRPr="008D75A6">
        <w:rPr>
          <w:szCs w:val="20"/>
        </w:rPr>
        <w:t>next</w:t>
      </w:r>
      <w:r w:rsidR="00C64050">
        <w:rPr>
          <w:szCs w:val="20"/>
        </w:rPr>
        <w:t xml:space="preserve"> </w:t>
      </w:r>
      <w:r w:rsidRPr="008D75A6">
        <w:rPr>
          <w:szCs w:val="20"/>
        </w:rPr>
        <w:t>logical</w:t>
      </w:r>
      <w:r w:rsidR="00C64050">
        <w:rPr>
          <w:szCs w:val="20"/>
        </w:rPr>
        <w:t xml:space="preserve"> </w:t>
      </w:r>
      <w:r w:rsidRPr="008D75A6">
        <w:rPr>
          <w:szCs w:val="20"/>
        </w:rPr>
        <w:t>step,</w:t>
      </w:r>
      <w:r w:rsidR="00C64050">
        <w:rPr>
          <w:szCs w:val="20"/>
        </w:rPr>
        <w:t xml:space="preserve"> </w:t>
      </w:r>
      <w:r w:rsidRPr="008D75A6">
        <w:rPr>
          <w:szCs w:val="20"/>
        </w:rPr>
        <w:t>this</w:t>
      </w:r>
      <w:r w:rsidR="00C64050">
        <w:rPr>
          <w:szCs w:val="20"/>
        </w:rPr>
        <w:t xml:space="preserve"> </w:t>
      </w:r>
      <w:r w:rsidRPr="008D75A6">
        <w:rPr>
          <w:szCs w:val="20"/>
        </w:rPr>
        <w:t>Court</w:t>
      </w:r>
      <w:r w:rsidR="00C64050">
        <w:rPr>
          <w:szCs w:val="20"/>
        </w:rPr>
        <w:t xml:space="preserve"> </w:t>
      </w:r>
      <w:r w:rsidRPr="008D75A6">
        <w:rPr>
          <w:szCs w:val="20"/>
        </w:rPr>
        <w:t>finds</w:t>
      </w:r>
      <w:r w:rsidR="00C64050">
        <w:rPr>
          <w:szCs w:val="20"/>
        </w:rPr>
        <w:t xml:space="preserve"> </w:t>
      </w:r>
      <w:r w:rsidRPr="008D75A6">
        <w:rPr>
          <w:szCs w:val="20"/>
        </w:rPr>
        <w:t>that</w:t>
      </w:r>
      <w:r w:rsidR="00C64050">
        <w:rPr>
          <w:szCs w:val="20"/>
        </w:rPr>
        <w:t xml:space="preserve"> </w:t>
      </w:r>
      <w:r w:rsidRPr="008D75A6">
        <w:rPr>
          <w:szCs w:val="20"/>
        </w:rPr>
        <w:t>a</w:t>
      </w:r>
      <w:r w:rsidR="00C64050">
        <w:rPr>
          <w:szCs w:val="20"/>
        </w:rPr>
        <w:t xml:space="preserve"> </w:t>
      </w:r>
      <w:r w:rsidRPr="008D75A6">
        <w:rPr>
          <w:szCs w:val="20"/>
        </w:rPr>
        <w:t>stipulation</w:t>
      </w:r>
      <w:r w:rsidR="00C64050">
        <w:rPr>
          <w:szCs w:val="20"/>
        </w:rPr>
        <w:t xml:space="preserve"> </w:t>
      </w:r>
      <w:r w:rsidRPr="008D75A6">
        <w:rPr>
          <w:szCs w:val="20"/>
        </w:rPr>
        <w:t>in</w:t>
      </w:r>
      <w:r w:rsidR="00C64050">
        <w:rPr>
          <w:szCs w:val="20"/>
        </w:rPr>
        <w:t xml:space="preserve"> </w:t>
      </w:r>
      <w:r w:rsidRPr="008D75A6">
        <w:rPr>
          <w:szCs w:val="20"/>
        </w:rPr>
        <w:t>a</w:t>
      </w:r>
      <w:r w:rsidR="00C64050">
        <w:rPr>
          <w:szCs w:val="20"/>
        </w:rPr>
        <w:t xml:space="preserve"> </w:t>
      </w:r>
      <w:r w:rsidRPr="008D75A6">
        <w:rPr>
          <w:szCs w:val="20"/>
        </w:rPr>
        <w:t>will</w:t>
      </w:r>
      <w:r w:rsidR="00C64050">
        <w:rPr>
          <w:szCs w:val="20"/>
        </w:rPr>
        <w:t xml:space="preserve"> </w:t>
      </w:r>
      <w:r w:rsidRPr="008D75A6">
        <w:rPr>
          <w:szCs w:val="20"/>
        </w:rPr>
        <w:t>that</w:t>
      </w:r>
      <w:r w:rsidR="00C64050">
        <w:rPr>
          <w:szCs w:val="20"/>
        </w:rPr>
        <w:t xml:space="preserve"> </w:t>
      </w:r>
      <w:r w:rsidRPr="008D75A6">
        <w:rPr>
          <w:szCs w:val="20"/>
        </w:rPr>
        <w:t>encourages</w:t>
      </w:r>
      <w:r w:rsidR="00C64050">
        <w:rPr>
          <w:szCs w:val="20"/>
        </w:rPr>
        <w:t xml:space="preserve"> </w:t>
      </w:r>
      <w:r w:rsidRPr="008D75A6">
        <w:rPr>
          <w:szCs w:val="20"/>
        </w:rPr>
        <w:t>a</w:t>
      </w:r>
      <w:r w:rsidR="00C64050">
        <w:rPr>
          <w:szCs w:val="20"/>
        </w:rPr>
        <w:t xml:space="preserve"> </w:t>
      </w:r>
      <w:r w:rsidRPr="008D75A6">
        <w:rPr>
          <w:szCs w:val="20"/>
        </w:rPr>
        <w:t>devisee</w:t>
      </w:r>
      <w:r w:rsidR="00C64050">
        <w:rPr>
          <w:szCs w:val="20"/>
        </w:rPr>
        <w:t xml:space="preserve"> </w:t>
      </w:r>
      <w:r w:rsidRPr="008D75A6">
        <w:rPr>
          <w:szCs w:val="20"/>
        </w:rPr>
        <w:t>to</w:t>
      </w:r>
      <w:r w:rsidR="00C64050">
        <w:rPr>
          <w:szCs w:val="20"/>
        </w:rPr>
        <w:t xml:space="preserve"> </w:t>
      </w:r>
      <w:r w:rsidRPr="008D75A6">
        <w:rPr>
          <w:szCs w:val="20"/>
        </w:rPr>
        <w:t>divorce</w:t>
      </w:r>
      <w:r w:rsidR="00C64050">
        <w:rPr>
          <w:szCs w:val="20"/>
        </w:rPr>
        <w:t xml:space="preserve"> </w:t>
      </w:r>
      <w:r w:rsidRPr="008D75A6">
        <w:rPr>
          <w:szCs w:val="20"/>
        </w:rPr>
        <w:t>his</w:t>
      </w:r>
      <w:r w:rsidR="00C64050">
        <w:rPr>
          <w:szCs w:val="20"/>
        </w:rPr>
        <w:t xml:space="preserve"> </w:t>
      </w:r>
      <w:r w:rsidRPr="008D75A6">
        <w:rPr>
          <w:szCs w:val="20"/>
        </w:rPr>
        <w:t>or</w:t>
      </w:r>
      <w:r w:rsidR="00C64050">
        <w:rPr>
          <w:szCs w:val="20"/>
        </w:rPr>
        <w:t xml:space="preserve"> </w:t>
      </w:r>
      <w:r w:rsidRPr="008D75A6">
        <w:rPr>
          <w:szCs w:val="20"/>
        </w:rPr>
        <w:t>her</w:t>
      </w:r>
      <w:r w:rsidR="00C64050">
        <w:rPr>
          <w:szCs w:val="20"/>
        </w:rPr>
        <w:t xml:space="preserve"> </w:t>
      </w:r>
      <w:r w:rsidRPr="008D75A6">
        <w:rPr>
          <w:szCs w:val="20"/>
        </w:rPr>
        <w:t>spouse,</w:t>
      </w:r>
      <w:r w:rsidR="00C64050">
        <w:rPr>
          <w:szCs w:val="20"/>
        </w:rPr>
        <w:t xml:space="preserve"> </w:t>
      </w:r>
      <w:r w:rsidRPr="008D75A6">
        <w:rPr>
          <w:szCs w:val="20"/>
        </w:rPr>
        <w:t>absent</w:t>
      </w:r>
      <w:r w:rsidR="00C64050">
        <w:rPr>
          <w:szCs w:val="20"/>
        </w:rPr>
        <w:t xml:space="preserve"> </w:t>
      </w:r>
      <w:r w:rsidRPr="008D75A6">
        <w:rPr>
          <w:szCs w:val="20"/>
        </w:rPr>
        <w:t>an</w:t>
      </w:r>
      <w:r w:rsidR="00C64050">
        <w:rPr>
          <w:szCs w:val="20"/>
        </w:rPr>
        <w:t xml:space="preserve"> </w:t>
      </w:r>
      <w:r w:rsidRPr="008D75A6">
        <w:rPr>
          <w:szCs w:val="20"/>
        </w:rPr>
        <w:t>intent</w:t>
      </w:r>
      <w:r w:rsidR="00C64050">
        <w:rPr>
          <w:szCs w:val="20"/>
        </w:rPr>
        <w:t xml:space="preserve"> </w:t>
      </w:r>
      <w:r w:rsidRPr="008D75A6">
        <w:rPr>
          <w:szCs w:val="20"/>
        </w:rPr>
        <w:t>to</w:t>
      </w:r>
      <w:r w:rsidR="00C64050">
        <w:rPr>
          <w:szCs w:val="20"/>
        </w:rPr>
        <w:t xml:space="preserve"> </w:t>
      </w:r>
      <w:r w:rsidRPr="008D75A6">
        <w:rPr>
          <w:szCs w:val="20"/>
        </w:rPr>
        <w:t>financially</w:t>
      </w:r>
      <w:r w:rsidR="00C64050">
        <w:rPr>
          <w:szCs w:val="20"/>
        </w:rPr>
        <w:t xml:space="preserve"> </w:t>
      </w:r>
      <w:r w:rsidRPr="008D75A6">
        <w:rPr>
          <w:szCs w:val="20"/>
        </w:rPr>
        <w:t>protect</w:t>
      </w:r>
      <w:r w:rsidR="00C64050">
        <w:rPr>
          <w:szCs w:val="20"/>
        </w:rPr>
        <w:t xml:space="preserve"> </w:t>
      </w:r>
      <w:r w:rsidRPr="008D75A6">
        <w:rPr>
          <w:szCs w:val="20"/>
        </w:rPr>
        <w:t>the</w:t>
      </w:r>
      <w:r w:rsidR="00C64050">
        <w:rPr>
          <w:szCs w:val="20"/>
        </w:rPr>
        <w:t xml:space="preserve"> </w:t>
      </w:r>
      <w:r w:rsidRPr="008D75A6">
        <w:rPr>
          <w:szCs w:val="20"/>
        </w:rPr>
        <w:t>devisee,</w:t>
      </w:r>
      <w:r w:rsidR="00C64050">
        <w:rPr>
          <w:szCs w:val="20"/>
        </w:rPr>
        <w:t xml:space="preserve"> </w:t>
      </w:r>
      <w:r w:rsidRPr="008D75A6">
        <w:rPr>
          <w:szCs w:val="20"/>
        </w:rPr>
        <w:t>is</w:t>
      </w:r>
      <w:r w:rsidR="00C64050">
        <w:rPr>
          <w:szCs w:val="20"/>
        </w:rPr>
        <w:t xml:space="preserve"> </w:t>
      </w:r>
      <w:r w:rsidRPr="008D75A6">
        <w:rPr>
          <w:szCs w:val="20"/>
        </w:rPr>
        <w:t>as</w:t>
      </w:r>
      <w:r w:rsidR="00C64050">
        <w:rPr>
          <w:szCs w:val="20"/>
        </w:rPr>
        <w:t xml:space="preserve"> </w:t>
      </w:r>
      <w:r w:rsidRPr="008D75A6">
        <w:rPr>
          <w:szCs w:val="20"/>
        </w:rPr>
        <w:t>loathsome</w:t>
      </w:r>
      <w:r w:rsidR="00C64050">
        <w:rPr>
          <w:szCs w:val="20"/>
        </w:rPr>
        <w:t xml:space="preserve"> </w:t>
      </w:r>
      <w:r w:rsidRPr="008D75A6">
        <w:rPr>
          <w:szCs w:val="20"/>
        </w:rPr>
        <w:t>as</w:t>
      </w:r>
      <w:r w:rsidR="00C64050">
        <w:rPr>
          <w:szCs w:val="20"/>
        </w:rPr>
        <w:t xml:space="preserve"> </w:t>
      </w:r>
      <w:r w:rsidRPr="008D75A6">
        <w:rPr>
          <w:szCs w:val="20"/>
        </w:rPr>
        <w:t>an</w:t>
      </w:r>
      <w:r w:rsidR="00C64050">
        <w:rPr>
          <w:szCs w:val="20"/>
        </w:rPr>
        <w:t xml:space="preserve"> </w:t>
      </w:r>
      <w:r w:rsidRPr="008D75A6">
        <w:rPr>
          <w:szCs w:val="20"/>
        </w:rPr>
        <w:t>absolute</w:t>
      </w:r>
      <w:r w:rsidR="00C64050">
        <w:rPr>
          <w:szCs w:val="20"/>
        </w:rPr>
        <w:t xml:space="preserve"> </w:t>
      </w:r>
      <w:r w:rsidRPr="008D75A6">
        <w:rPr>
          <w:szCs w:val="20"/>
        </w:rPr>
        <w:t>prohibition</w:t>
      </w:r>
      <w:r w:rsidR="00C64050">
        <w:rPr>
          <w:szCs w:val="20"/>
        </w:rPr>
        <w:t xml:space="preserve"> </w:t>
      </w:r>
      <w:r w:rsidRPr="008D75A6">
        <w:rPr>
          <w:szCs w:val="20"/>
        </w:rPr>
        <w:t>on</w:t>
      </w:r>
      <w:r w:rsidR="00C64050">
        <w:rPr>
          <w:szCs w:val="20"/>
        </w:rPr>
        <w:t xml:space="preserve"> </w:t>
      </w:r>
      <w:r w:rsidRPr="008D75A6">
        <w:rPr>
          <w:szCs w:val="20"/>
        </w:rPr>
        <w:t>marriage</w:t>
      </w:r>
      <w:r w:rsidR="00C64050">
        <w:rPr>
          <w:szCs w:val="20"/>
        </w:rPr>
        <w:t xml:space="preserve"> </w:t>
      </w:r>
      <w:r w:rsidRPr="008D75A6">
        <w:rPr>
          <w:szCs w:val="20"/>
        </w:rPr>
        <w:t>and</w:t>
      </w:r>
      <w:r w:rsidR="00C64050">
        <w:rPr>
          <w:szCs w:val="20"/>
        </w:rPr>
        <w:t xml:space="preserve"> </w:t>
      </w:r>
      <w:r w:rsidRPr="008D75A6">
        <w:rPr>
          <w:szCs w:val="20"/>
        </w:rPr>
        <w:t>therefore</w:t>
      </w:r>
      <w:r w:rsidR="00C64050">
        <w:rPr>
          <w:szCs w:val="20"/>
        </w:rPr>
        <w:t xml:space="preserve"> </w:t>
      </w:r>
      <w:r w:rsidRPr="008D75A6">
        <w:rPr>
          <w:szCs w:val="20"/>
        </w:rPr>
        <w:t>violates</w:t>
      </w:r>
      <w:r w:rsidR="00C64050">
        <w:rPr>
          <w:szCs w:val="20"/>
        </w:rPr>
        <w:t xml:space="preserve"> </w:t>
      </w:r>
      <w:r w:rsidRPr="008D75A6">
        <w:rPr>
          <w:szCs w:val="20"/>
        </w:rPr>
        <w:t>public</w:t>
      </w:r>
      <w:r w:rsidR="00C64050">
        <w:rPr>
          <w:szCs w:val="20"/>
        </w:rPr>
        <w:t xml:space="preserve"> </w:t>
      </w:r>
      <w:r w:rsidRPr="008D75A6">
        <w:rPr>
          <w:szCs w:val="20"/>
        </w:rPr>
        <w:t>policy.</w:t>
      </w:r>
    </w:p>
    <w:p w:rsidR="00E16141" w:rsidRPr="006C4881" w:rsidRDefault="00E16141" w:rsidP="00E16141">
      <w:pPr>
        <w:pStyle w:val="Heading2Body"/>
        <w:rPr>
          <w:b/>
          <w:u w:val="single"/>
        </w:rPr>
      </w:pPr>
      <w:r>
        <w:t xml:space="preserve">In </w:t>
      </w:r>
      <w:r>
        <w:rPr>
          <w:u w:val="single"/>
        </w:rPr>
        <w:t>Rotert v. Stiles</w:t>
      </w:r>
      <w:r>
        <w:t>, 159 N.E.3d 46 (In. App. 2020), mom left the share to her son, Roger Rotert, outright if he were unmarried at her death, but in trust if her were married.  He was married.  The court held that the provision was void as a condition restraining marriage.</w:t>
      </w:r>
    </w:p>
    <w:p w:rsidR="00E16141" w:rsidRDefault="00E16141" w:rsidP="00E16141">
      <w:pPr>
        <w:pStyle w:val="Body15"/>
      </w:pPr>
      <w:r>
        <w:t xml:space="preserve">Interestingly, the opinion suggests another formulation might have altered the result.  Suppose mom’s share for Rotert went in trust but distributions would only be made to him when he was unmarried.  Perhaps that would be a limitation, not a condition.  The opinion notes: </w:t>
      </w:r>
    </w:p>
    <w:p w:rsidR="00E16141" w:rsidRPr="000645DC" w:rsidRDefault="00E16141" w:rsidP="00E16141">
      <w:pPr>
        <w:pStyle w:val="QS10"/>
      </w:pPr>
      <w:r w:rsidRPr="000645DC">
        <w:t>However, Indiana's jurisprudence has distinguished a “condition” restraining marriage from a “limitation” of a bequest or devise on the basis of the recipient's marriage status. </w:t>
      </w:r>
      <w:hyperlink r:id="rId407" w:anchor="co_pp_sp_578_777" w:history="1">
        <w:r w:rsidRPr="000645DC">
          <w:rPr>
            <w:rStyle w:val="Emphasis"/>
            <w:iCs w:val="0"/>
          </w:rPr>
          <w:t>Id.</w:t>
        </w:r>
        <w:r w:rsidRPr="000645DC">
          <w:rPr>
            <w:rStyle w:val="Hyperlink"/>
            <w:color w:val="auto"/>
            <w:u w:val="none"/>
          </w:rPr>
          <w:t> at 777</w:t>
        </w:r>
      </w:hyperlink>
      <w:r w:rsidRPr="000645DC">
        <w:t>. In </w:t>
      </w:r>
      <w:hyperlink r:id="rId408" w:anchor="co_pp_sp_440_577" w:history="1">
        <w:r w:rsidRPr="000645DC">
          <w:rPr>
            <w:rStyle w:val="Emphasis"/>
            <w:iCs w:val="0"/>
          </w:rPr>
          <w:t>Hibbits v. Jack</w:t>
        </w:r>
        <w:r w:rsidRPr="000645DC">
          <w:rPr>
            <w:rStyle w:val="Hyperlink"/>
            <w:color w:val="auto"/>
            <w:u w:val="none"/>
          </w:rPr>
          <w:t>, 97 Ind. 570, 577 (Ind. 1884)</w:t>
        </w:r>
      </w:hyperlink>
      <w:r w:rsidRPr="000645DC">
        <w:t>, our supreme court held that a devise of land to the testator's wife “so long as she shall remain my widow” did not contain a condition in restraint of marriage, but rather a mere limitation. Prior to arriving at this conclusion, the court discussed the differences between conditions in restraint of marriage, which are void, and mere limitations, which are not void:</w:t>
      </w:r>
    </w:p>
    <w:p w:rsidR="00E16141" w:rsidRPr="000645DC" w:rsidRDefault="00E16141" w:rsidP="00E16141">
      <w:pPr>
        <w:pStyle w:val="QS10"/>
        <w:ind w:left="1872"/>
      </w:pPr>
      <w:r w:rsidRPr="000645DC">
        <w:t>The only general rule, perhaps, in determining whether words are words of condition or of limitation, is that, where they circumscribe the continuance of the estate, and mark the period which is to determine it, they are words of limitation; when they render the estate liable to be defeated, in case the event expressed should arise before the determination of the estate, they are words of condition.</w:t>
      </w:r>
    </w:p>
    <w:p w:rsidR="00E16141" w:rsidRPr="000645DC" w:rsidRDefault="00EA23AC" w:rsidP="00E16141">
      <w:pPr>
        <w:pStyle w:val="QS10"/>
      </w:pPr>
      <w:hyperlink r:id="rId409" w:anchor="co_pp_sp_440_575" w:history="1">
        <w:r w:rsidR="00E16141" w:rsidRPr="000645DC">
          <w:rPr>
            <w:rStyle w:val="Emphasis"/>
            <w:i w:val="0"/>
            <w:iCs w:val="0"/>
          </w:rPr>
          <w:t>Id.</w:t>
        </w:r>
        <w:r w:rsidR="00E16141" w:rsidRPr="000645DC">
          <w:rPr>
            <w:rStyle w:val="Hyperlink"/>
            <w:color w:val="auto"/>
            <w:u w:val="none"/>
          </w:rPr>
          <w:t> at 575</w:t>
        </w:r>
      </w:hyperlink>
      <w:r w:rsidR="00E16141" w:rsidRPr="000645DC">
        <w:t>.</w:t>
      </w:r>
    </w:p>
    <w:p w:rsidR="00E16141" w:rsidRPr="000645DC" w:rsidRDefault="00E16141" w:rsidP="00E16141">
      <w:pPr>
        <w:pStyle w:val="QS10"/>
      </w:pPr>
      <w:r w:rsidRPr="000645DC">
        <w:t>In </w:t>
      </w:r>
      <w:hyperlink r:id="rId410" w:anchor="co_pp_sp_577_583" w:history="1">
        <w:r w:rsidRPr="000645DC">
          <w:rPr>
            <w:rStyle w:val="Emphasis"/>
            <w:iCs w:val="0"/>
          </w:rPr>
          <w:t>Summit</w:t>
        </w:r>
        <w:r w:rsidRPr="000645DC">
          <w:rPr>
            <w:rStyle w:val="Hyperlink"/>
            <w:color w:val="auto"/>
            <w:u w:val="none"/>
          </w:rPr>
          <w:t>, 9 N.E. at 583-84</w:t>
        </w:r>
      </w:hyperlink>
      <w:r w:rsidRPr="000645DC">
        <w:t>, the supreme court concluded that a devise in which the husband willed to his wife “all [his] estate, both real and personal, as long as she remain[ed] [his] widow,” involved words of limitation, not words of condition which would have been treated as a void restraint of marriage. In arriving at this conclusion, the court considered the following:</w:t>
      </w:r>
    </w:p>
    <w:p w:rsidR="00E16141" w:rsidRPr="000645DC" w:rsidRDefault="00E16141" w:rsidP="00E16141">
      <w:pPr>
        <w:pStyle w:val="QS10"/>
        <w:ind w:left="1872"/>
      </w:pPr>
      <w:r w:rsidRPr="000645DC">
        <w:t>Words of limitation mark the period which is to determine the estate; but words of condition render the estate liable to be defeated in the intermediate time, if the event expressed in the condition arises before the determination of the estate, or completion of the period described by the limitation. The one specifies the utmost time of continuance, and the other makes some event, which, if it takes place in the course of that time, will defeat the estate.</w:t>
      </w:r>
    </w:p>
    <w:p w:rsidR="00E16141" w:rsidRPr="000645DC" w:rsidRDefault="00EA23AC" w:rsidP="00E16141">
      <w:pPr>
        <w:pStyle w:val="QS10"/>
      </w:pPr>
      <w:hyperlink r:id="rId411" w:anchor="co_pp_sp_577_583" w:history="1">
        <w:r w:rsidR="00E16141" w:rsidRPr="000645DC">
          <w:rPr>
            <w:rStyle w:val="Emphasis"/>
            <w:iCs w:val="0"/>
          </w:rPr>
          <w:t>Id</w:t>
        </w:r>
        <w:r w:rsidR="00E16141" w:rsidRPr="000645DC">
          <w:rPr>
            <w:rStyle w:val="Emphasis"/>
            <w:i w:val="0"/>
            <w:iCs w:val="0"/>
          </w:rPr>
          <w:t>.</w:t>
        </w:r>
        <w:r w:rsidR="00E16141" w:rsidRPr="000645DC">
          <w:rPr>
            <w:rStyle w:val="Hyperlink"/>
            <w:color w:val="auto"/>
            <w:u w:val="none"/>
          </w:rPr>
          <w:t> at 583</w:t>
        </w:r>
      </w:hyperlink>
      <w:r w:rsidR="00E16141" w:rsidRPr="000645DC">
        <w:t>. In reliance on </w:t>
      </w:r>
      <w:hyperlink r:id="rId412" w:history="1">
        <w:r w:rsidR="00E16141" w:rsidRPr="000645DC">
          <w:rPr>
            <w:rStyle w:val="Emphasis"/>
            <w:iCs w:val="0"/>
          </w:rPr>
          <w:t>Hibbits</w:t>
        </w:r>
      </w:hyperlink>
      <w:r w:rsidR="00E16141" w:rsidRPr="000645DC">
        <w:t> and </w:t>
      </w:r>
      <w:hyperlink r:id="rId413" w:history="1">
        <w:r w:rsidR="00E16141" w:rsidRPr="000645DC">
          <w:rPr>
            <w:rStyle w:val="Emphasis"/>
            <w:i w:val="0"/>
            <w:iCs w:val="0"/>
          </w:rPr>
          <w:t>Summit</w:t>
        </w:r>
      </w:hyperlink>
      <w:r w:rsidR="00E16141" w:rsidRPr="000645DC">
        <w:t>, the court held in </w:t>
      </w:r>
      <w:hyperlink r:id="rId414" w:history="1">
        <w:r w:rsidR="00E16141" w:rsidRPr="000645DC">
          <w:rPr>
            <w:rStyle w:val="Emphasis"/>
            <w:iCs w:val="0"/>
          </w:rPr>
          <w:t>Thompson v. Patten</w:t>
        </w:r>
        <w:r w:rsidR="00E16141" w:rsidRPr="000645DC">
          <w:rPr>
            <w:rStyle w:val="Hyperlink"/>
            <w:color w:val="auto"/>
            <w:u w:val="none"/>
          </w:rPr>
          <w:t>, 70 Ind.App. 490, 123 N.E. 705, 705-06 (1919)</w:t>
        </w:r>
      </w:hyperlink>
      <w:r w:rsidR="00E16141" w:rsidRPr="000645DC">
        <w:t>, that, the provision, stating with respect to a devise of land to the testator's wife “to be and remain her absolute property as long as she remains my widow,” was a limitation, not a condition in restraint of marriage.</w:t>
      </w:r>
    </w:p>
    <w:p w:rsidR="00E16141" w:rsidRPr="000645DC" w:rsidRDefault="00E16141" w:rsidP="00E16141">
      <w:pPr>
        <w:pStyle w:val="QS10"/>
      </w:pPr>
      <w:r w:rsidRPr="000645DC">
        <w:t>Subsequently, in </w:t>
      </w:r>
      <w:hyperlink r:id="rId415" w:anchor="co_pp_sp_577_652" w:history="1">
        <w:r w:rsidRPr="000645DC">
          <w:rPr>
            <w:rStyle w:val="Emphasis"/>
            <w:iCs w:val="0"/>
          </w:rPr>
          <w:t>Stauffer v. Kessler</w:t>
        </w:r>
        <w:r w:rsidRPr="000645DC">
          <w:rPr>
            <w:rStyle w:val="Hyperlink"/>
            <w:color w:val="auto"/>
            <w:u w:val="none"/>
          </w:rPr>
          <w:t>, 81 Ind.App. 436, 130 N.E. 651, 652 (1921)</w:t>
        </w:r>
      </w:hyperlink>
      <w:r w:rsidRPr="000645DC">
        <w:t>, the court again addressed the validity of a provision which stated that the defendant was to receive “real estate for and during the term of natural life; provided, however, that if the said [defendant], who is now a widower, shall marry, then such marriage shall terminate this estate.” Although the court found the provision was valid upon the apparent basis that the condition was contained in a deed of conveyance rather than in a will, all parties in the case conceded that the relevant provision was a condition rather than a limitation. </w:t>
      </w:r>
      <w:hyperlink r:id="rId416" w:anchor="co_pp_sp_577_652" w:history="1">
        <w:r w:rsidRPr="000645DC">
          <w:rPr>
            <w:rStyle w:val="Emphasis"/>
            <w:iCs w:val="0"/>
          </w:rPr>
          <w:t>Id</w:t>
        </w:r>
        <w:r w:rsidRPr="000645DC">
          <w:rPr>
            <w:rStyle w:val="Emphasis"/>
            <w:i w:val="0"/>
            <w:iCs w:val="0"/>
          </w:rPr>
          <w:t>.</w:t>
        </w:r>
        <w:r w:rsidRPr="000645DC">
          <w:rPr>
            <w:rStyle w:val="Hyperlink"/>
            <w:color w:val="auto"/>
            <w:u w:val="none"/>
          </w:rPr>
          <w:t> at 652</w:t>
        </w:r>
      </w:hyperlink>
      <w:r w:rsidRPr="000645DC">
        <w:t>.</w:t>
      </w:r>
    </w:p>
    <w:p w:rsidR="00E16141" w:rsidRDefault="00E16141" w:rsidP="00E16141">
      <w:pPr>
        <w:pStyle w:val="Body15"/>
      </w:pPr>
      <w:r>
        <w:t>The dissent would have gone the other way because either son was married, or not, when mom died, so the Will provision could not have restrained his behavior:</w:t>
      </w:r>
    </w:p>
    <w:p w:rsidR="00E16141" w:rsidRPr="00EB0648" w:rsidRDefault="00E16141" w:rsidP="00E16141">
      <w:pPr>
        <w:pStyle w:val="QS10"/>
      </w:pPr>
      <w:r w:rsidRPr="00EB0648">
        <w:t>By the very terms of that devise, any action Rotert might take with regard to his marriage after the opening of the estate would be inconsequential to the form of his inheritance. Thus, the provision cannot be said to encourage or discourage any behavior from Rotert in a manner that could violate public policy regarding marriage. </w:t>
      </w:r>
      <w:r w:rsidRPr="00EB0648">
        <w:rPr>
          <w:rStyle w:val="Emphasis"/>
          <w:iCs w:val="0"/>
        </w:rPr>
        <w:t>See</w:t>
      </w:r>
      <w:r w:rsidRPr="00EB0648">
        <w:t> </w:t>
      </w:r>
      <w:hyperlink r:id="rId417" w:history="1">
        <w:r w:rsidRPr="00EB0648">
          <w:rPr>
            <w:rStyle w:val="Hyperlink"/>
            <w:color w:val="auto"/>
            <w:u w:val="none"/>
          </w:rPr>
          <w:t>Restatement (Second) of Property, Don. Trans. § 6.1 (1983)</w:t>
        </w:r>
      </w:hyperlink>
      <w:r w:rsidRPr="00EB0648">
        <w:t> (Oct. 2020 Update) (“A devise conditioned on the devisee being unmarried at the time of the testator's death is not an illegal restraint on marriage.”). </w:t>
      </w:r>
      <w:r w:rsidRPr="00EB0648">
        <w:rPr>
          <w:rStyle w:val="Emphasis"/>
          <w:iCs w:val="0"/>
        </w:rPr>
        <w:t>And cf.</w:t>
      </w:r>
      <w:r w:rsidRPr="00EB0648">
        <w:t> </w:t>
      </w:r>
      <w:r w:rsidRPr="00EB0648">
        <w:rPr>
          <w:rStyle w:val="Emphasis"/>
          <w:iCs w:val="0"/>
        </w:rPr>
        <w:t>Estate of Owen</w:t>
      </w:r>
      <w:r w:rsidRPr="00EB0648">
        <w:t>, 855 N.E.2d at 611-12 (invalidating as condition encouraging divorce a </w:t>
      </w:r>
      <w:r w:rsidRPr="00EB0648">
        <w:rPr>
          <w:rStyle w:val="Emphasis"/>
          <w:i w:val="0"/>
          <w:iCs w:val="0"/>
        </w:rPr>
        <w:t>perpetual</w:t>
      </w:r>
      <w:r w:rsidRPr="00EB0648">
        <w:t> rental restriction conditioned on daughter not being married to her husband at whatever time in the future that she wished to rent). I, therefore, cannot agree with the Majority that this Trust provision “simply cannot be interpreted as anything other than an encouragement for Rotert to divorce his wife of almost twenty years upon the opening of the estate ....”</w:t>
      </w:r>
    </w:p>
    <w:p w:rsidR="00190CC2" w:rsidRPr="00190CC2" w:rsidRDefault="008D75A6" w:rsidP="00B66CCE">
      <w:pPr>
        <w:pStyle w:val="Heading20"/>
        <w:numPr>
          <w:ilvl w:val="1"/>
          <w:numId w:val="33"/>
        </w:numPr>
        <w:tabs>
          <w:tab w:val="clear" w:pos="2700"/>
        </w:tabs>
        <w:ind w:left="0"/>
        <w:rPr>
          <w:vanish/>
          <w:specVanish/>
        </w:rPr>
      </w:pPr>
      <w:bookmarkStart w:id="802" w:name="_Toc94704692"/>
      <w:r>
        <w:rPr>
          <w:b/>
          <w:u w:val="single"/>
        </w:rPr>
        <w:t>Former</w:t>
      </w:r>
      <w:r w:rsidR="00C64050">
        <w:rPr>
          <w:b/>
          <w:u w:val="single"/>
        </w:rPr>
        <w:t xml:space="preserve"> </w:t>
      </w:r>
      <w:r>
        <w:rPr>
          <w:b/>
          <w:u w:val="single"/>
        </w:rPr>
        <w:t>Beneficiary</w:t>
      </w:r>
      <w:r w:rsidR="00C64050">
        <w:rPr>
          <w:b/>
          <w:u w:val="single"/>
        </w:rPr>
        <w:t xml:space="preserve"> </w:t>
      </w:r>
      <w:r>
        <w:rPr>
          <w:b/>
          <w:u w:val="single"/>
        </w:rPr>
        <w:t>Has</w:t>
      </w:r>
      <w:r w:rsidR="00C64050">
        <w:rPr>
          <w:b/>
          <w:u w:val="single"/>
        </w:rPr>
        <w:t xml:space="preserve"> </w:t>
      </w:r>
      <w:r>
        <w:rPr>
          <w:b/>
          <w:u w:val="single"/>
        </w:rPr>
        <w:t>Standing</w:t>
      </w:r>
      <w:r w:rsidR="00C64050">
        <w:rPr>
          <w:b/>
          <w:u w:val="single"/>
        </w:rPr>
        <w:t xml:space="preserve"> </w:t>
      </w:r>
      <w:r>
        <w:rPr>
          <w:b/>
          <w:u w:val="single"/>
        </w:rPr>
        <w:t>To</w:t>
      </w:r>
      <w:r w:rsidR="00C64050">
        <w:rPr>
          <w:b/>
          <w:u w:val="single"/>
        </w:rPr>
        <w:t xml:space="preserve"> </w:t>
      </w:r>
      <w:r>
        <w:rPr>
          <w:b/>
          <w:u w:val="single"/>
        </w:rPr>
        <w:t>Challenge</w:t>
      </w:r>
      <w:r w:rsidR="00C64050">
        <w:rPr>
          <w:b/>
          <w:u w:val="single"/>
        </w:rPr>
        <w:t xml:space="preserve"> </w:t>
      </w:r>
      <w:r>
        <w:rPr>
          <w:b/>
          <w:u w:val="single"/>
        </w:rPr>
        <w:t>a</w:t>
      </w:r>
      <w:r w:rsidR="00C64050">
        <w:rPr>
          <w:b/>
          <w:u w:val="single"/>
        </w:rPr>
        <w:t xml:space="preserve"> </w:t>
      </w:r>
      <w:r>
        <w:rPr>
          <w:b/>
          <w:u w:val="single"/>
        </w:rPr>
        <w:t>Revocable</w:t>
      </w:r>
      <w:r w:rsidR="00C64050">
        <w:rPr>
          <w:b/>
          <w:u w:val="single"/>
        </w:rPr>
        <w:t xml:space="preserve"> </w:t>
      </w:r>
      <w:r>
        <w:rPr>
          <w:b/>
          <w:u w:val="single"/>
        </w:rPr>
        <w:t>Trust</w:t>
      </w:r>
      <w:r w:rsidR="00C64050">
        <w:rPr>
          <w:b/>
          <w:u w:val="single"/>
        </w:rPr>
        <w:t xml:space="preserve"> </w:t>
      </w:r>
      <w:r>
        <w:rPr>
          <w:b/>
          <w:u w:val="single"/>
        </w:rPr>
        <w:t>Under</w:t>
      </w:r>
      <w:r w:rsidR="00C64050">
        <w:rPr>
          <w:b/>
          <w:u w:val="single"/>
        </w:rPr>
        <w:t xml:space="preserve"> </w:t>
      </w:r>
      <w:r>
        <w:rPr>
          <w:b/>
          <w:u w:val="single"/>
        </w:rPr>
        <w:t>California</w:t>
      </w:r>
      <w:r w:rsidR="00C64050">
        <w:rPr>
          <w:b/>
          <w:u w:val="single"/>
        </w:rPr>
        <w:t xml:space="preserve"> </w:t>
      </w:r>
      <w:r>
        <w:rPr>
          <w:b/>
          <w:u w:val="single"/>
        </w:rPr>
        <w:t>Law</w:t>
      </w:r>
      <w:bookmarkEnd w:id="802"/>
    </w:p>
    <w:p w:rsidR="00777B02" w:rsidRDefault="008D75A6" w:rsidP="00190CC2">
      <w:pPr>
        <w:pStyle w:val="Heading2Body"/>
      </w:pPr>
      <w:r>
        <w:t>.</w:t>
      </w:r>
      <w:r w:rsidR="00C64050">
        <w:t xml:space="preserve"> </w:t>
      </w:r>
      <w:r w:rsidRPr="008D75A6">
        <w:t>If</w:t>
      </w:r>
      <w:r w:rsidR="00C64050">
        <w:t xml:space="preserve"> </w:t>
      </w:r>
      <w:r w:rsidRPr="008D75A6">
        <w:t>amendments</w:t>
      </w:r>
      <w:r w:rsidR="00C64050">
        <w:t xml:space="preserve"> </w:t>
      </w:r>
      <w:r w:rsidRPr="008D75A6">
        <w:t>to</w:t>
      </w:r>
      <w:r w:rsidR="00C64050">
        <w:t xml:space="preserve"> </w:t>
      </w:r>
      <w:r w:rsidRPr="008D75A6">
        <w:t>a</w:t>
      </w:r>
      <w:r w:rsidR="00C64050">
        <w:t xml:space="preserve"> </w:t>
      </w:r>
      <w:r w:rsidRPr="008D75A6">
        <w:t>revocable</w:t>
      </w:r>
      <w:r w:rsidR="00C64050">
        <w:t xml:space="preserve"> </w:t>
      </w:r>
      <w:r w:rsidRPr="008D75A6">
        <w:t>trust</w:t>
      </w:r>
      <w:r w:rsidR="00C64050">
        <w:t xml:space="preserve"> </w:t>
      </w:r>
      <w:r w:rsidRPr="008D75A6">
        <w:t>made</w:t>
      </w:r>
      <w:r w:rsidR="00C64050">
        <w:t xml:space="preserve"> </w:t>
      </w:r>
      <w:r w:rsidRPr="008D75A6">
        <w:t>shortly</w:t>
      </w:r>
      <w:r w:rsidR="00C64050">
        <w:t xml:space="preserve"> </w:t>
      </w:r>
      <w:r w:rsidRPr="008D75A6">
        <w:t>before</w:t>
      </w:r>
      <w:r w:rsidR="00C64050">
        <w:t xml:space="preserve"> </w:t>
      </w:r>
      <w:r w:rsidRPr="008D75A6">
        <w:t>the</w:t>
      </w:r>
      <w:r w:rsidR="00C64050">
        <w:t xml:space="preserve"> </w:t>
      </w:r>
      <w:r w:rsidRPr="008D75A6">
        <w:t>settlor</w:t>
      </w:r>
      <w:r w:rsidR="00C64050">
        <w:t xml:space="preserve"> </w:t>
      </w:r>
      <w:r w:rsidRPr="008D75A6">
        <w:t>dies</w:t>
      </w:r>
      <w:r w:rsidR="00C64050">
        <w:t xml:space="preserve"> </w:t>
      </w:r>
      <w:r w:rsidRPr="008D75A6">
        <w:t>disinherit</w:t>
      </w:r>
      <w:r w:rsidR="00C64050">
        <w:t xml:space="preserve"> </w:t>
      </w:r>
      <w:r w:rsidRPr="008D75A6">
        <w:t>a</w:t>
      </w:r>
      <w:r w:rsidR="00C64050">
        <w:t xml:space="preserve"> </w:t>
      </w:r>
      <w:r w:rsidRPr="008D75A6">
        <w:t>beneficiary,</w:t>
      </w:r>
      <w:r w:rsidR="00C64050">
        <w:t xml:space="preserve"> </w:t>
      </w:r>
      <w:r w:rsidRPr="008D75A6">
        <w:t>does</w:t>
      </w:r>
      <w:r w:rsidR="00C64050">
        <w:t xml:space="preserve"> </w:t>
      </w:r>
      <w:r w:rsidRPr="008D75A6">
        <w:t>that</w:t>
      </w:r>
      <w:r w:rsidR="00C64050">
        <w:t xml:space="preserve"> </w:t>
      </w:r>
      <w:r w:rsidRPr="008D75A6">
        <w:t>individual,</w:t>
      </w:r>
      <w:r w:rsidR="00C64050">
        <w:t xml:space="preserve"> </w:t>
      </w:r>
      <w:r w:rsidRPr="008D75A6">
        <w:t>as</w:t>
      </w:r>
      <w:r w:rsidR="00C64050">
        <w:t xml:space="preserve"> </w:t>
      </w:r>
      <w:r w:rsidRPr="008D75A6">
        <w:t>one</w:t>
      </w:r>
      <w:r w:rsidR="00C64050">
        <w:t xml:space="preserve"> </w:t>
      </w:r>
      <w:r w:rsidRPr="008D75A6">
        <w:t>who</w:t>
      </w:r>
      <w:r w:rsidR="00C64050">
        <w:t xml:space="preserve"> </w:t>
      </w:r>
      <w:r w:rsidRPr="008D75A6">
        <w:t>is</w:t>
      </w:r>
      <w:r w:rsidR="00C64050">
        <w:t xml:space="preserve"> </w:t>
      </w:r>
      <w:r w:rsidRPr="008D75A6">
        <w:t>not</w:t>
      </w:r>
      <w:r w:rsidR="00C64050">
        <w:t xml:space="preserve"> </w:t>
      </w:r>
      <w:r w:rsidRPr="008D75A6">
        <w:t>named</w:t>
      </w:r>
      <w:r w:rsidR="00C64050">
        <w:t xml:space="preserve"> </w:t>
      </w:r>
      <w:r w:rsidRPr="008D75A6">
        <w:t>in</w:t>
      </w:r>
      <w:r w:rsidR="00C64050">
        <w:t xml:space="preserve"> </w:t>
      </w:r>
      <w:r w:rsidRPr="008D75A6">
        <w:t>the</w:t>
      </w:r>
      <w:r w:rsidR="00C64050">
        <w:t xml:space="preserve"> </w:t>
      </w:r>
      <w:r w:rsidRPr="008D75A6">
        <w:t>trust’s</w:t>
      </w:r>
      <w:r w:rsidR="00C64050">
        <w:t xml:space="preserve"> </w:t>
      </w:r>
      <w:r w:rsidRPr="008D75A6">
        <w:t>final</w:t>
      </w:r>
      <w:r w:rsidR="00C64050">
        <w:t xml:space="preserve"> </w:t>
      </w:r>
      <w:r w:rsidRPr="008D75A6">
        <w:t>iteration,</w:t>
      </w:r>
      <w:r w:rsidR="00C64050">
        <w:t xml:space="preserve"> </w:t>
      </w:r>
      <w:r w:rsidRPr="008D75A6">
        <w:t>have</w:t>
      </w:r>
      <w:r w:rsidR="00C64050">
        <w:t xml:space="preserve"> </w:t>
      </w:r>
      <w:r w:rsidRPr="008D75A6">
        <w:t>standing</w:t>
      </w:r>
      <w:r w:rsidR="00C64050">
        <w:t xml:space="preserve"> </w:t>
      </w:r>
      <w:r w:rsidRPr="008D75A6">
        <w:t>to</w:t>
      </w:r>
      <w:r w:rsidR="00C64050">
        <w:t xml:space="preserve"> </w:t>
      </w:r>
      <w:r w:rsidRPr="008D75A6">
        <w:t>challenge</w:t>
      </w:r>
      <w:r w:rsidR="00C64050">
        <w:t xml:space="preserve"> </w:t>
      </w:r>
      <w:r w:rsidRPr="008D75A6">
        <w:t>the</w:t>
      </w:r>
      <w:r w:rsidR="00C64050">
        <w:t xml:space="preserve"> </w:t>
      </w:r>
      <w:r w:rsidRPr="008D75A6">
        <w:t>validity</w:t>
      </w:r>
      <w:r w:rsidR="00C64050">
        <w:t xml:space="preserve"> </w:t>
      </w:r>
      <w:r w:rsidRPr="008D75A6">
        <w:t>of</w:t>
      </w:r>
      <w:r w:rsidR="00C64050">
        <w:t xml:space="preserve"> </w:t>
      </w:r>
      <w:r w:rsidRPr="008D75A6">
        <w:t>the</w:t>
      </w:r>
      <w:r w:rsidR="00C64050">
        <w:t xml:space="preserve"> </w:t>
      </w:r>
      <w:r w:rsidRPr="008D75A6">
        <w:t>disinheriting</w:t>
      </w:r>
      <w:r w:rsidR="00C64050">
        <w:t xml:space="preserve"> </w:t>
      </w:r>
      <w:r w:rsidRPr="008D75A6">
        <w:t>amendments</w:t>
      </w:r>
      <w:r w:rsidR="00C64050">
        <w:t xml:space="preserve"> </w:t>
      </w:r>
      <w:r w:rsidRPr="008D75A6">
        <w:t>in</w:t>
      </w:r>
      <w:r w:rsidR="00C64050">
        <w:t xml:space="preserve"> </w:t>
      </w:r>
      <w:r w:rsidRPr="008D75A6">
        <w:t>probate</w:t>
      </w:r>
      <w:r w:rsidR="00C64050">
        <w:t xml:space="preserve"> </w:t>
      </w:r>
      <w:r w:rsidRPr="008D75A6">
        <w:t>court</w:t>
      </w:r>
      <w:r w:rsidR="00C64050">
        <w:t xml:space="preserve"> </w:t>
      </w:r>
      <w:r w:rsidRPr="008D75A6">
        <w:t>on</w:t>
      </w:r>
      <w:r w:rsidR="00C64050">
        <w:t xml:space="preserve"> </w:t>
      </w:r>
      <w:r w:rsidRPr="008D75A6">
        <w:t>grounds</w:t>
      </w:r>
      <w:r w:rsidR="00C64050">
        <w:t xml:space="preserve"> </w:t>
      </w:r>
      <w:r w:rsidRPr="008D75A6">
        <w:t>such</w:t>
      </w:r>
      <w:r w:rsidR="00C64050">
        <w:t xml:space="preserve"> </w:t>
      </w:r>
      <w:r w:rsidRPr="008D75A6">
        <w:t>as</w:t>
      </w:r>
      <w:r w:rsidR="00C64050">
        <w:t xml:space="preserve"> </w:t>
      </w:r>
      <w:r w:rsidRPr="008D75A6">
        <w:t>incompetence,</w:t>
      </w:r>
      <w:r w:rsidR="00C64050">
        <w:t xml:space="preserve"> </w:t>
      </w:r>
      <w:r w:rsidRPr="008D75A6">
        <w:t>undue</w:t>
      </w:r>
      <w:r w:rsidR="00C64050">
        <w:t xml:space="preserve"> </w:t>
      </w:r>
      <w:r w:rsidRPr="008D75A6">
        <w:t>influence,</w:t>
      </w:r>
      <w:r w:rsidR="00C64050">
        <w:t xml:space="preserve"> </w:t>
      </w:r>
      <w:r w:rsidRPr="008D75A6">
        <w:t>or</w:t>
      </w:r>
      <w:r w:rsidR="00C64050">
        <w:t xml:space="preserve"> </w:t>
      </w:r>
      <w:r w:rsidRPr="008D75A6">
        <w:t>fraud?</w:t>
      </w:r>
      <w:r w:rsidR="00C64050">
        <w:t xml:space="preserve">  </w:t>
      </w:r>
      <w:r>
        <w:t>That</w:t>
      </w:r>
      <w:r w:rsidR="00C64050">
        <w:t xml:space="preserve"> </w:t>
      </w:r>
      <w:r>
        <w:t>was</w:t>
      </w:r>
      <w:r w:rsidR="00C64050">
        <w:t xml:space="preserve"> </w:t>
      </w:r>
      <w:r>
        <w:t>the</w:t>
      </w:r>
      <w:r w:rsidR="00C64050">
        <w:t xml:space="preserve"> </w:t>
      </w:r>
      <w:r>
        <w:t>question</w:t>
      </w:r>
      <w:r w:rsidR="00C64050">
        <w:t xml:space="preserve"> </w:t>
      </w:r>
      <w:r>
        <w:t>before</w:t>
      </w:r>
      <w:r w:rsidR="00C64050">
        <w:t xml:space="preserve"> </w:t>
      </w:r>
      <w:r>
        <w:t>the</w:t>
      </w:r>
      <w:r w:rsidR="00C64050">
        <w:t xml:space="preserve"> </w:t>
      </w:r>
      <w:r>
        <w:t>court</w:t>
      </w:r>
      <w:r w:rsidR="00C64050">
        <w:t xml:space="preserve"> </w:t>
      </w:r>
      <w:r>
        <w:t>in</w:t>
      </w:r>
      <w:r w:rsidR="00C64050">
        <w:t xml:space="preserve"> </w:t>
      </w:r>
      <w:r>
        <w:rPr>
          <w:u w:val="single"/>
        </w:rPr>
        <w:t>Barefoot</w:t>
      </w:r>
      <w:r w:rsidR="00C64050">
        <w:rPr>
          <w:u w:val="single"/>
        </w:rPr>
        <w:t xml:space="preserve"> </w:t>
      </w:r>
      <w:r>
        <w:rPr>
          <w:u w:val="single"/>
        </w:rPr>
        <w:t>v.</w:t>
      </w:r>
      <w:r w:rsidR="00C64050">
        <w:rPr>
          <w:u w:val="single"/>
        </w:rPr>
        <w:t xml:space="preserve"> </w:t>
      </w:r>
      <w:r>
        <w:rPr>
          <w:u w:val="single"/>
        </w:rPr>
        <w:t>Jennings</w:t>
      </w:r>
      <w:r>
        <w:t>,</w:t>
      </w:r>
      <w:r w:rsidR="00E30904">
        <w:t xml:space="preserve"> </w:t>
      </w:r>
      <w:r w:rsidR="00041CAB">
        <w:t>456</w:t>
      </w:r>
      <w:r w:rsidR="00C64050">
        <w:t xml:space="preserve"> </w:t>
      </w:r>
      <w:r w:rsidR="00041CAB">
        <w:t>P.3d</w:t>
      </w:r>
      <w:r w:rsidR="00C64050">
        <w:t xml:space="preserve"> </w:t>
      </w:r>
      <w:r w:rsidR="00041CAB">
        <w:t>447</w:t>
      </w:r>
      <w:r w:rsidR="00C64050">
        <w:t xml:space="preserve"> </w:t>
      </w:r>
      <w:r w:rsidR="00041CAB">
        <w:t>(Ca.</w:t>
      </w:r>
      <w:r w:rsidR="00C64050">
        <w:t xml:space="preserve"> </w:t>
      </w:r>
      <w:r w:rsidR="00041CAB">
        <w:t>2020).</w:t>
      </w:r>
      <w:r w:rsidR="00C64050">
        <w:t xml:space="preserve">  </w:t>
      </w:r>
      <w:r w:rsidR="00041CAB">
        <w:t>The</w:t>
      </w:r>
      <w:r w:rsidR="00C64050">
        <w:t xml:space="preserve"> </w:t>
      </w:r>
      <w:r w:rsidR="00041CAB">
        <w:t>California</w:t>
      </w:r>
      <w:r w:rsidR="00C64050">
        <w:t xml:space="preserve"> </w:t>
      </w:r>
      <w:r w:rsidR="00041CAB">
        <w:t>appellate</w:t>
      </w:r>
      <w:r w:rsidR="00C64050">
        <w:t xml:space="preserve"> </w:t>
      </w:r>
      <w:r w:rsidR="00041CAB">
        <w:t>court</w:t>
      </w:r>
      <w:r w:rsidR="00C64050">
        <w:t xml:space="preserve"> </w:t>
      </w:r>
      <w:r w:rsidR="00041CAB">
        <w:t>had</w:t>
      </w:r>
      <w:r w:rsidR="00C64050">
        <w:t xml:space="preserve"> </w:t>
      </w:r>
      <w:r w:rsidR="00041CAB">
        <w:t>concluded</w:t>
      </w:r>
      <w:r w:rsidR="00C64050">
        <w:t xml:space="preserve"> </w:t>
      </w:r>
      <w:r w:rsidR="00041CAB">
        <w:t>that</w:t>
      </w:r>
      <w:r w:rsidR="00C64050">
        <w:t xml:space="preserve"> </w:t>
      </w:r>
      <w:r w:rsidR="00041CAB">
        <w:t>only</w:t>
      </w:r>
      <w:r w:rsidR="00C64050">
        <w:t xml:space="preserve"> </w:t>
      </w:r>
      <w:r w:rsidR="00041CAB">
        <w:t>a</w:t>
      </w:r>
      <w:r w:rsidR="00C64050">
        <w:t xml:space="preserve"> </w:t>
      </w:r>
      <w:r w:rsidR="00041CAB">
        <w:t>currently</w:t>
      </w:r>
      <w:r w:rsidR="00C64050">
        <w:t xml:space="preserve"> </w:t>
      </w:r>
      <w:r w:rsidR="00041CAB">
        <w:t>named</w:t>
      </w:r>
      <w:r w:rsidR="00C64050">
        <w:t xml:space="preserve"> </w:t>
      </w:r>
      <w:r w:rsidR="00041CAB">
        <w:t>beneficiary</w:t>
      </w:r>
      <w:r w:rsidR="00C64050">
        <w:t xml:space="preserve"> </w:t>
      </w:r>
      <w:r w:rsidR="00041CAB">
        <w:t>could</w:t>
      </w:r>
      <w:r w:rsidR="00C64050">
        <w:t xml:space="preserve"> </w:t>
      </w:r>
      <w:r w:rsidR="00041CAB">
        <w:t>petition</w:t>
      </w:r>
      <w:r w:rsidR="00C64050">
        <w:t xml:space="preserve"> </w:t>
      </w:r>
      <w:r w:rsidR="00041CAB">
        <w:t>a</w:t>
      </w:r>
      <w:r w:rsidR="00C64050">
        <w:t xml:space="preserve"> </w:t>
      </w:r>
      <w:r w:rsidR="00041CAB">
        <w:t>court</w:t>
      </w:r>
      <w:r w:rsidR="00C64050">
        <w:t xml:space="preserve"> </w:t>
      </w:r>
      <w:r w:rsidR="00041CAB">
        <w:t>regarding</w:t>
      </w:r>
      <w:r w:rsidR="00C64050">
        <w:t xml:space="preserve"> </w:t>
      </w:r>
      <w:r w:rsidR="00041CAB">
        <w:t>the</w:t>
      </w:r>
      <w:r w:rsidR="00C64050">
        <w:t xml:space="preserve"> </w:t>
      </w:r>
      <w:r w:rsidR="00041CAB">
        <w:t>existence</w:t>
      </w:r>
      <w:r w:rsidR="00C64050">
        <w:t xml:space="preserve"> </w:t>
      </w:r>
      <w:r w:rsidR="00041CAB">
        <w:t>or</w:t>
      </w:r>
      <w:r w:rsidR="00C64050">
        <w:t xml:space="preserve"> </w:t>
      </w:r>
      <w:r w:rsidR="00041CAB">
        <w:t>“internal</w:t>
      </w:r>
      <w:r w:rsidR="00C64050">
        <w:t xml:space="preserve"> </w:t>
      </w:r>
      <w:r w:rsidR="00041CAB">
        <w:t>affairs”</w:t>
      </w:r>
      <w:r w:rsidR="00C64050">
        <w:t xml:space="preserve"> </w:t>
      </w:r>
      <w:r w:rsidR="00041CAB">
        <w:t>of</w:t>
      </w:r>
      <w:r w:rsidR="00C64050">
        <w:t xml:space="preserve"> </w:t>
      </w:r>
      <w:r w:rsidR="00041CAB">
        <w:t>a</w:t>
      </w:r>
      <w:r w:rsidR="00C64050">
        <w:t xml:space="preserve"> </w:t>
      </w:r>
      <w:r w:rsidR="00041CAB">
        <w:t>trust</w:t>
      </w:r>
      <w:r w:rsidR="00C64050">
        <w:t xml:space="preserve"> </w:t>
      </w:r>
      <w:r w:rsidR="00041CAB">
        <w:t>but</w:t>
      </w:r>
      <w:r w:rsidR="00C64050">
        <w:t xml:space="preserve"> </w:t>
      </w:r>
      <w:r w:rsidR="00041CAB">
        <w:t>the</w:t>
      </w:r>
      <w:r w:rsidR="00C64050">
        <w:t xml:space="preserve"> </w:t>
      </w:r>
      <w:r w:rsidR="00041CAB">
        <w:t>Supreme</w:t>
      </w:r>
      <w:r w:rsidR="00C64050">
        <w:t xml:space="preserve"> </w:t>
      </w:r>
      <w:r w:rsidR="00041CAB">
        <w:t>Court</w:t>
      </w:r>
      <w:r w:rsidR="00C64050">
        <w:t xml:space="preserve"> </w:t>
      </w:r>
      <w:r w:rsidR="00041CAB">
        <w:t>disagreed:</w:t>
      </w:r>
    </w:p>
    <w:p w:rsidR="00777B02" w:rsidRPr="00041CAB" w:rsidRDefault="00041CAB" w:rsidP="00041CAB">
      <w:pPr>
        <w:pStyle w:val="QS10"/>
        <w:rPr>
          <w:szCs w:val="20"/>
        </w:rPr>
      </w:pPr>
      <w:r w:rsidRPr="00041CAB">
        <w:rPr>
          <w:szCs w:val="20"/>
        </w:rPr>
        <w:t>Our</w:t>
      </w:r>
      <w:r w:rsidR="00C64050">
        <w:rPr>
          <w:szCs w:val="20"/>
        </w:rPr>
        <w:t xml:space="preserve"> </w:t>
      </w:r>
      <w:r w:rsidRPr="00041CAB">
        <w:rPr>
          <w:szCs w:val="20"/>
        </w:rPr>
        <w:t>review</w:t>
      </w:r>
      <w:r w:rsidR="00C64050">
        <w:rPr>
          <w:szCs w:val="20"/>
        </w:rPr>
        <w:t xml:space="preserve"> </w:t>
      </w:r>
      <w:r w:rsidRPr="00041CAB">
        <w:rPr>
          <w:szCs w:val="20"/>
        </w:rPr>
        <w:t>concerns</w:t>
      </w:r>
      <w:r w:rsidR="00C64050">
        <w:rPr>
          <w:szCs w:val="20"/>
        </w:rPr>
        <w:t xml:space="preserve"> </w:t>
      </w:r>
      <w:r w:rsidRPr="00041CAB">
        <w:rPr>
          <w:szCs w:val="20"/>
        </w:rPr>
        <w:t>whether</w:t>
      </w:r>
      <w:r w:rsidR="00C64050">
        <w:rPr>
          <w:szCs w:val="20"/>
        </w:rPr>
        <w:t xml:space="preserve"> </w:t>
      </w:r>
      <w:r w:rsidRPr="00041CAB">
        <w:rPr>
          <w:szCs w:val="20"/>
        </w:rPr>
        <w:t>plaintiff</w:t>
      </w:r>
      <w:r w:rsidR="00C64050">
        <w:rPr>
          <w:szCs w:val="20"/>
        </w:rPr>
        <w:t xml:space="preserve"> </w:t>
      </w:r>
      <w:r w:rsidRPr="00041CAB">
        <w:rPr>
          <w:szCs w:val="20"/>
        </w:rPr>
        <w:t>has</w:t>
      </w:r>
      <w:r w:rsidR="00C64050">
        <w:rPr>
          <w:szCs w:val="20"/>
        </w:rPr>
        <w:t xml:space="preserve"> </w:t>
      </w:r>
      <w:r w:rsidRPr="00041CAB">
        <w:rPr>
          <w:szCs w:val="20"/>
        </w:rPr>
        <w:t>standing</w:t>
      </w:r>
      <w:r w:rsidR="00C64050">
        <w:rPr>
          <w:szCs w:val="20"/>
        </w:rPr>
        <w:t xml:space="preserve"> </w:t>
      </w:r>
      <w:r w:rsidRPr="00041CAB">
        <w:rPr>
          <w:szCs w:val="20"/>
        </w:rPr>
        <w:t>to</w:t>
      </w:r>
      <w:r w:rsidR="00C64050">
        <w:rPr>
          <w:szCs w:val="20"/>
        </w:rPr>
        <w:t xml:space="preserve"> </w:t>
      </w:r>
      <w:r w:rsidRPr="00041CAB">
        <w:rPr>
          <w:szCs w:val="20"/>
        </w:rPr>
        <w:t>assert</w:t>
      </w:r>
      <w:r w:rsidR="00C64050">
        <w:rPr>
          <w:szCs w:val="20"/>
        </w:rPr>
        <w:t xml:space="preserve"> </w:t>
      </w:r>
      <w:r w:rsidRPr="00041CAB">
        <w:rPr>
          <w:szCs w:val="20"/>
        </w:rPr>
        <w:t>the</w:t>
      </w:r>
      <w:r w:rsidR="00C64050">
        <w:rPr>
          <w:szCs w:val="20"/>
        </w:rPr>
        <w:t xml:space="preserve"> </w:t>
      </w:r>
      <w:r w:rsidRPr="00041CAB">
        <w:rPr>
          <w:szCs w:val="20"/>
        </w:rPr>
        <w:t>invalidity</w:t>
      </w:r>
      <w:r w:rsidR="00C64050">
        <w:rPr>
          <w:szCs w:val="20"/>
        </w:rPr>
        <w:t xml:space="preserve"> </w:t>
      </w:r>
      <w:r w:rsidRPr="00041CAB">
        <w:rPr>
          <w:szCs w:val="20"/>
        </w:rPr>
        <w:t>of</w:t>
      </w:r>
      <w:r w:rsidR="00C64050">
        <w:rPr>
          <w:szCs w:val="20"/>
        </w:rPr>
        <w:t xml:space="preserve"> </w:t>
      </w:r>
      <w:r w:rsidRPr="00041CAB">
        <w:rPr>
          <w:szCs w:val="20"/>
        </w:rPr>
        <w:t>the</w:t>
      </w:r>
      <w:r w:rsidR="00C64050">
        <w:rPr>
          <w:szCs w:val="20"/>
        </w:rPr>
        <w:t xml:space="preserve"> </w:t>
      </w:r>
      <w:r w:rsidRPr="00041CAB">
        <w:rPr>
          <w:szCs w:val="20"/>
        </w:rPr>
        <w:t>Trust</w:t>
      </w:r>
      <w:r w:rsidR="00C64050">
        <w:rPr>
          <w:szCs w:val="20"/>
        </w:rPr>
        <w:t xml:space="preserve"> </w:t>
      </w:r>
      <w:r w:rsidRPr="00041CAB">
        <w:rPr>
          <w:szCs w:val="20"/>
        </w:rPr>
        <w:t>amendments</w:t>
      </w:r>
      <w:r w:rsidR="00C64050">
        <w:rPr>
          <w:szCs w:val="20"/>
        </w:rPr>
        <w:t xml:space="preserve"> </w:t>
      </w:r>
      <w:r w:rsidRPr="00041CAB">
        <w:rPr>
          <w:szCs w:val="20"/>
        </w:rPr>
        <w:t>that</w:t>
      </w:r>
      <w:r w:rsidR="00C64050">
        <w:rPr>
          <w:szCs w:val="20"/>
        </w:rPr>
        <w:t xml:space="preserve"> </w:t>
      </w:r>
      <w:r w:rsidRPr="00041CAB">
        <w:rPr>
          <w:szCs w:val="20"/>
        </w:rPr>
        <w:t>left</w:t>
      </w:r>
      <w:r w:rsidR="00C64050">
        <w:rPr>
          <w:szCs w:val="20"/>
        </w:rPr>
        <w:t xml:space="preserve"> </w:t>
      </w:r>
      <w:r w:rsidRPr="00041CAB">
        <w:rPr>
          <w:szCs w:val="20"/>
        </w:rPr>
        <w:t>her</w:t>
      </w:r>
      <w:r w:rsidR="00C64050">
        <w:rPr>
          <w:szCs w:val="20"/>
        </w:rPr>
        <w:t xml:space="preserve"> </w:t>
      </w:r>
      <w:r w:rsidRPr="00041CAB">
        <w:rPr>
          <w:szCs w:val="20"/>
        </w:rPr>
        <w:t>without</w:t>
      </w:r>
      <w:r w:rsidR="00C64050">
        <w:rPr>
          <w:szCs w:val="20"/>
        </w:rPr>
        <w:t xml:space="preserve"> </w:t>
      </w:r>
      <w:r w:rsidRPr="00041CAB">
        <w:rPr>
          <w:szCs w:val="20"/>
        </w:rPr>
        <w:t>an</w:t>
      </w:r>
      <w:r w:rsidR="00C64050">
        <w:rPr>
          <w:szCs w:val="20"/>
        </w:rPr>
        <w:t xml:space="preserve"> </w:t>
      </w:r>
      <w:r w:rsidRPr="00041CAB">
        <w:rPr>
          <w:szCs w:val="20"/>
        </w:rPr>
        <w:t>interest</w:t>
      </w:r>
      <w:r w:rsidR="00C64050">
        <w:rPr>
          <w:szCs w:val="20"/>
        </w:rPr>
        <w:t xml:space="preserve"> </w:t>
      </w:r>
      <w:r w:rsidRPr="00041CAB">
        <w:rPr>
          <w:szCs w:val="20"/>
        </w:rPr>
        <w:t>in</w:t>
      </w:r>
      <w:r w:rsidR="00C64050">
        <w:rPr>
          <w:szCs w:val="20"/>
        </w:rPr>
        <w:t xml:space="preserve"> </w:t>
      </w:r>
      <w:r w:rsidRPr="00041CAB">
        <w:rPr>
          <w:szCs w:val="20"/>
        </w:rPr>
        <w:t>her</w:t>
      </w:r>
      <w:r w:rsidR="00C64050">
        <w:rPr>
          <w:szCs w:val="20"/>
        </w:rPr>
        <w:t xml:space="preserve"> </w:t>
      </w:r>
      <w:r w:rsidRPr="00041CAB">
        <w:rPr>
          <w:szCs w:val="20"/>
        </w:rPr>
        <w:t>mother’s</w:t>
      </w:r>
      <w:r w:rsidR="00C64050">
        <w:rPr>
          <w:szCs w:val="20"/>
        </w:rPr>
        <w:t xml:space="preserve"> </w:t>
      </w:r>
      <w:r w:rsidRPr="00041CAB">
        <w:rPr>
          <w:szCs w:val="20"/>
        </w:rPr>
        <w:t>trust</w:t>
      </w:r>
      <w:r w:rsidR="00C64050">
        <w:rPr>
          <w:szCs w:val="20"/>
        </w:rPr>
        <w:t xml:space="preserve"> </w:t>
      </w:r>
      <w:r w:rsidRPr="00041CAB">
        <w:rPr>
          <w:szCs w:val="20"/>
        </w:rPr>
        <w:t>estate.</w:t>
      </w:r>
      <w:r w:rsidR="00C64050">
        <w:rPr>
          <w:szCs w:val="20"/>
        </w:rPr>
        <w:t xml:space="preserve"> </w:t>
      </w:r>
      <w:r w:rsidRPr="00041CAB">
        <w:rPr>
          <w:szCs w:val="20"/>
        </w:rPr>
        <w:t>In</w:t>
      </w:r>
      <w:r w:rsidR="00C64050">
        <w:rPr>
          <w:szCs w:val="20"/>
        </w:rPr>
        <w:t xml:space="preserve"> </w:t>
      </w:r>
      <w:r w:rsidRPr="00041CAB">
        <w:rPr>
          <w:szCs w:val="20"/>
        </w:rPr>
        <w:t>concluding</w:t>
      </w:r>
      <w:r w:rsidR="00C64050">
        <w:rPr>
          <w:szCs w:val="20"/>
        </w:rPr>
        <w:t xml:space="preserve"> </w:t>
      </w:r>
      <w:r w:rsidRPr="00041CAB">
        <w:rPr>
          <w:szCs w:val="20"/>
        </w:rPr>
        <w:t>that</w:t>
      </w:r>
      <w:r w:rsidR="00C64050">
        <w:rPr>
          <w:szCs w:val="20"/>
        </w:rPr>
        <w:t xml:space="preserve"> </w:t>
      </w:r>
      <w:r w:rsidRPr="00041CAB">
        <w:rPr>
          <w:szCs w:val="20"/>
        </w:rPr>
        <w:t>plaintiff</w:t>
      </w:r>
      <w:r w:rsidR="00C64050">
        <w:rPr>
          <w:szCs w:val="20"/>
        </w:rPr>
        <w:t xml:space="preserve"> </w:t>
      </w:r>
      <w:r w:rsidRPr="00041CAB">
        <w:rPr>
          <w:szCs w:val="20"/>
        </w:rPr>
        <w:t>does</w:t>
      </w:r>
      <w:r w:rsidR="00C64050">
        <w:rPr>
          <w:szCs w:val="20"/>
        </w:rPr>
        <w:t xml:space="preserve"> </w:t>
      </w:r>
      <w:r w:rsidRPr="00041CAB">
        <w:rPr>
          <w:szCs w:val="20"/>
        </w:rPr>
        <w:t>not</w:t>
      </w:r>
      <w:r w:rsidR="00C64050">
        <w:rPr>
          <w:szCs w:val="20"/>
        </w:rPr>
        <w:t xml:space="preserve"> </w:t>
      </w:r>
      <w:r w:rsidRPr="00041CAB">
        <w:rPr>
          <w:szCs w:val="20"/>
        </w:rPr>
        <w:t>have</w:t>
      </w:r>
      <w:r w:rsidR="00C64050">
        <w:rPr>
          <w:szCs w:val="20"/>
        </w:rPr>
        <w:t xml:space="preserve"> </w:t>
      </w:r>
      <w:r w:rsidRPr="00041CAB">
        <w:rPr>
          <w:szCs w:val="20"/>
        </w:rPr>
        <w:t>standing</w:t>
      </w:r>
      <w:r w:rsidR="00C64050">
        <w:rPr>
          <w:szCs w:val="20"/>
        </w:rPr>
        <w:t xml:space="preserve"> </w:t>
      </w:r>
      <w:r w:rsidRPr="00041CAB">
        <w:rPr>
          <w:szCs w:val="20"/>
        </w:rPr>
        <w:t>to</w:t>
      </w:r>
      <w:r w:rsidR="00C64050">
        <w:rPr>
          <w:szCs w:val="20"/>
        </w:rPr>
        <w:t xml:space="preserve"> </w:t>
      </w:r>
      <w:r w:rsidRPr="00041CAB">
        <w:rPr>
          <w:szCs w:val="20"/>
        </w:rPr>
        <w:t>challenge</w:t>
      </w:r>
      <w:r w:rsidR="00C64050">
        <w:rPr>
          <w:szCs w:val="20"/>
        </w:rPr>
        <w:t xml:space="preserve"> </w:t>
      </w:r>
      <w:r w:rsidRPr="00041CAB">
        <w:rPr>
          <w:szCs w:val="20"/>
        </w:rPr>
        <w:t>the</w:t>
      </w:r>
      <w:r w:rsidR="00C64050">
        <w:rPr>
          <w:szCs w:val="20"/>
        </w:rPr>
        <w:t xml:space="preserve"> </w:t>
      </w:r>
      <w:r w:rsidRPr="00041CAB">
        <w:rPr>
          <w:szCs w:val="20"/>
        </w:rPr>
        <w:t>amendments</w:t>
      </w:r>
      <w:r w:rsidR="00C64050">
        <w:rPr>
          <w:szCs w:val="20"/>
        </w:rPr>
        <w:t xml:space="preserve"> </w:t>
      </w:r>
      <w:r w:rsidRPr="00041CAB">
        <w:rPr>
          <w:szCs w:val="20"/>
        </w:rPr>
        <w:t>to</w:t>
      </w:r>
      <w:r w:rsidR="00C64050">
        <w:rPr>
          <w:szCs w:val="20"/>
        </w:rPr>
        <w:t xml:space="preserve"> </w:t>
      </w:r>
      <w:r w:rsidRPr="00041CAB">
        <w:rPr>
          <w:szCs w:val="20"/>
        </w:rPr>
        <w:t>the</w:t>
      </w:r>
      <w:r w:rsidR="00C64050">
        <w:rPr>
          <w:szCs w:val="20"/>
        </w:rPr>
        <w:t xml:space="preserve"> </w:t>
      </w:r>
      <w:r w:rsidRPr="00041CAB">
        <w:rPr>
          <w:szCs w:val="20"/>
        </w:rPr>
        <w:t>Trust,</w:t>
      </w:r>
      <w:r w:rsidR="00C64050">
        <w:rPr>
          <w:szCs w:val="20"/>
        </w:rPr>
        <w:t xml:space="preserve"> </w:t>
      </w:r>
      <w:r w:rsidRPr="00041CAB">
        <w:rPr>
          <w:szCs w:val="20"/>
        </w:rPr>
        <w:t>the</w:t>
      </w:r>
      <w:r w:rsidR="00C64050">
        <w:rPr>
          <w:szCs w:val="20"/>
        </w:rPr>
        <w:t xml:space="preserve"> </w:t>
      </w:r>
      <w:r w:rsidRPr="00041CAB">
        <w:rPr>
          <w:szCs w:val="20"/>
        </w:rPr>
        <w:t>Court</w:t>
      </w:r>
      <w:r w:rsidR="00C64050">
        <w:rPr>
          <w:szCs w:val="20"/>
        </w:rPr>
        <w:t xml:space="preserve"> </w:t>
      </w:r>
      <w:r w:rsidRPr="00041CAB">
        <w:rPr>
          <w:szCs w:val="20"/>
        </w:rPr>
        <w:t>of</w:t>
      </w:r>
      <w:r w:rsidR="00C64050">
        <w:rPr>
          <w:szCs w:val="20"/>
        </w:rPr>
        <w:t xml:space="preserve"> </w:t>
      </w:r>
      <w:r w:rsidRPr="00041CAB">
        <w:rPr>
          <w:szCs w:val="20"/>
        </w:rPr>
        <w:t>Appeal</w:t>
      </w:r>
      <w:r w:rsidR="00C64050">
        <w:rPr>
          <w:szCs w:val="20"/>
        </w:rPr>
        <w:t xml:space="preserve"> </w:t>
      </w:r>
      <w:r w:rsidRPr="00041CAB">
        <w:rPr>
          <w:szCs w:val="20"/>
        </w:rPr>
        <w:t>suggested</w:t>
      </w:r>
      <w:r w:rsidR="00C64050">
        <w:rPr>
          <w:szCs w:val="20"/>
        </w:rPr>
        <w:t xml:space="preserve"> </w:t>
      </w:r>
      <w:r w:rsidRPr="00041CAB">
        <w:rPr>
          <w:szCs w:val="20"/>
        </w:rPr>
        <w:t>that</w:t>
      </w:r>
      <w:r w:rsidR="00C64050">
        <w:rPr>
          <w:szCs w:val="20"/>
        </w:rPr>
        <w:t xml:space="preserve"> </w:t>
      </w:r>
      <w:r w:rsidRPr="00041CAB">
        <w:rPr>
          <w:szCs w:val="20"/>
        </w:rPr>
        <w:t>plaintiff</w:t>
      </w:r>
      <w:r w:rsidR="00C64050">
        <w:rPr>
          <w:szCs w:val="20"/>
        </w:rPr>
        <w:t xml:space="preserve"> </w:t>
      </w:r>
      <w:r w:rsidRPr="00041CAB">
        <w:rPr>
          <w:szCs w:val="20"/>
        </w:rPr>
        <w:t>relied</w:t>
      </w:r>
      <w:r w:rsidR="00C64050">
        <w:rPr>
          <w:szCs w:val="20"/>
        </w:rPr>
        <w:t xml:space="preserve"> </w:t>
      </w:r>
      <w:r w:rsidRPr="00041CAB">
        <w:rPr>
          <w:szCs w:val="20"/>
        </w:rPr>
        <w:t>exclusively</w:t>
      </w:r>
      <w:r w:rsidR="00C64050">
        <w:rPr>
          <w:szCs w:val="20"/>
        </w:rPr>
        <w:t xml:space="preserve"> </w:t>
      </w:r>
      <w:r w:rsidRPr="00041CAB">
        <w:rPr>
          <w:szCs w:val="20"/>
        </w:rPr>
        <w:t>on</w:t>
      </w:r>
      <w:r w:rsidR="00C64050">
        <w:rPr>
          <w:szCs w:val="20"/>
        </w:rPr>
        <w:t xml:space="preserve"> </w:t>
      </w:r>
      <w:r w:rsidRPr="00041CAB">
        <w:rPr>
          <w:szCs w:val="20"/>
        </w:rPr>
        <w:t>section</w:t>
      </w:r>
      <w:r w:rsidR="00C64050">
        <w:rPr>
          <w:szCs w:val="20"/>
        </w:rPr>
        <w:t xml:space="preserve"> </w:t>
      </w:r>
      <w:r w:rsidRPr="00041CAB">
        <w:rPr>
          <w:szCs w:val="20"/>
        </w:rPr>
        <w:t>17200,</w:t>
      </w:r>
      <w:r w:rsidR="00C64050">
        <w:rPr>
          <w:szCs w:val="20"/>
        </w:rPr>
        <w:t xml:space="preserve"> </w:t>
      </w:r>
      <w:r w:rsidRPr="00041CAB">
        <w:rPr>
          <w:szCs w:val="20"/>
        </w:rPr>
        <w:t>subdivision</w:t>
      </w:r>
      <w:r w:rsidR="00C64050">
        <w:rPr>
          <w:szCs w:val="20"/>
        </w:rPr>
        <w:t xml:space="preserve"> </w:t>
      </w:r>
      <w:r w:rsidRPr="00041CAB">
        <w:rPr>
          <w:szCs w:val="20"/>
        </w:rPr>
        <w:t>(a),</w:t>
      </w:r>
      <w:r w:rsidR="00C64050">
        <w:rPr>
          <w:szCs w:val="20"/>
        </w:rPr>
        <w:t xml:space="preserve"> </w:t>
      </w:r>
      <w:r w:rsidRPr="00041CAB">
        <w:rPr>
          <w:szCs w:val="20"/>
        </w:rPr>
        <w:t>which</w:t>
      </w:r>
      <w:r w:rsidR="00C64050">
        <w:rPr>
          <w:szCs w:val="20"/>
        </w:rPr>
        <w:t xml:space="preserve"> </w:t>
      </w:r>
      <w:r w:rsidRPr="00041CAB">
        <w:rPr>
          <w:szCs w:val="20"/>
        </w:rPr>
        <w:t>provides:</w:t>
      </w:r>
      <w:r w:rsidR="00C64050">
        <w:rPr>
          <w:szCs w:val="20"/>
        </w:rPr>
        <w:t xml:space="preserve"> </w:t>
      </w:r>
      <w:r w:rsidRPr="00041CAB">
        <w:rPr>
          <w:szCs w:val="20"/>
        </w:rPr>
        <w:t>“Except</w:t>
      </w:r>
      <w:r w:rsidR="00C64050">
        <w:rPr>
          <w:szCs w:val="20"/>
        </w:rPr>
        <w:t xml:space="preserve"> </w:t>
      </w:r>
      <w:r w:rsidRPr="00041CAB">
        <w:rPr>
          <w:szCs w:val="20"/>
        </w:rPr>
        <w:t>as</w:t>
      </w:r>
      <w:r w:rsidR="00C64050">
        <w:rPr>
          <w:szCs w:val="20"/>
        </w:rPr>
        <w:t xml:space="preserve"> </w:t>
      </w:r>
      <w:r w:rsidRPr="00041CAB">
        <w:rPr>
          <w:szCs w:val="20"/>
        </w:rPr>
        <w:t>provided</w:t>
      </w:r>
      <w:r w:rsidR="00C64050">
        <w:rPr>
          <w:szCs w:val="20"/>
        </w:rPr>
        <w:t xml:space="preserve"> </w:t>
      </w:r>
      <w:r w:rsidRPr="00041CAB">
        <w:rPr>
          <w:szCs w:val="20"/>
        </w:rPr>
        <w:t>in</w:t>
      </w:r>
      <w:r w:rsidR="00C64050">
        <w:rPr>
          <w:szCs w:val="20"/>
        </w:rPr>
        <w:t xml:space="preserve"> </w:t>
      </w:r>
      <w:r w:rsidRPr="00041CAB">
        <w:rPr>
          <w:szCs w:val="20"/>
        </w:rPr>
        <w:t>Section</w:t>
      </w:r>
      <w:r w:rsidR="00C64050">
        <w:rPr>
          <w:szCs w:val="20"/>
        </w:rPr>
        <w:t xml:space="preserve"> </w:t>
      </w:r>
      <w:r w:rsidRPr="00041CAB">
        <w:rPr>
          <w:szCs w:val="20"/>
        </w:rPr>
        <w:t>15800,</w:t>
      </w:r>
      <w:r w:rsidR="00C64050">
        <w:rPr>
          <w:szCs w:val="20"/>
        </w:rPr>
        <w:t xml:space="preserve"> </w:t>
      </w:r>
      <w:r w:rsidRPr="00041CAB">
        <w:rPr>
          <w:szCs w:val="20"/>
        </w:rPr>
        <w:t>a</w:t>
      </w:r>
      <w:r w:rsidR="00C64050">
        <w:rPr>
          <w:szCs w:val="20"/>
        </w:rPr>
        <w:t xml:space="preserve"> </w:t>
      </w:r>
      <w:r w:rsidRPr="00041CAB">
        <w:rPr>
          <w:szCs w:val="20"/>
        </w:rPr>
        <w:t>trustee</w:t>
      </w:r>
      <w:r w:rsidR="00C64050">
        <w:rPr>
          <w:szCs w:val="20"/>
        </w:rPr>
        <w:t xml:space="preserve"> </w:t>
      </w:r>
      <w:r w:rsidRPr="00041CAB">
        <w:rPr>
          <w:szCs w:val="20"/>
        </w:rPr>
        <w:t>or</w:t>
      </w:r>
      <w:r w:rsidR="00C64050">
        <w:rPr>
          <w:szCs w:val="20"/>
        </w:rPr>
        <w:t xml:space="preserve"> </w:t>
      </w:r>
      <w:r w:rsidRPr="00041CAB">
        <w:rPr>
          <w:szCs w:val="20"/>
        </w:rPr>
        <w:t>beneficiary</w:t>
      </w:r>
      <w:r w:rsidR="00C64050">
        <w:rPr>
          <w:szCs w:val="20"/>
        </w:rPr>
        <w:t xml:space="preserve"> </w:t>
      </w:r>
      <w:r w:rsidRPr="00041CAB">
        <w:rPr>
          <w:szCs w:val="20"/>
        </w:rPr>
        <w:t>of</w:t>
      </w:r>
      <w:r w:rsidR="00C64050">
        <w:rPr>
          <w:szCs w:val="20"/>
        </w:rPr>
        <w:t xml:space="preserve"> </w:t>
      </w:r>
      <w:r w:rsidRPr="00041CAB">
        <w:rPr>
          <w:szCs w:val="20"/>
        </w:rPr>
        <w:t>a</w:t>
      </w:r>
      <w:r w:rsidR="00C64050">
        <w:rPr>
          <w:szCs w:val="20"/>
        </w:rPr>
        <w:t xml:space="preserve"> </w:t>
      </w:r>
      <w:r w:rsidRPr="00041CAB">
        <w:rPr>
          <w:szCs w:val="20"/>
        </w:rPr>
        <w:t>trust</w:t>
      </w:r>
      <w:r w:rsidR="00C64050">
        <w:rPr>
          <w:szCs w:val="20"/>
        </w:rPr>
        <w:t xml:space="preserve"> </w:t>
      </w:r>
      <w:r w:rsidRPr="00041CAB">
        <w:rPr>
          <w:szCs w:val="20"/>
        </w:rPr>
        <w:t>may</w:t>
      </w:r>
      <w:r w:rsidR="00C64050">
        <w:rPr>
          <w:szCs w:val="20"/>
        </w:rPr>
        <w:t xml:space="preserve"> </w:t>
      </w:r>
      <w:r w:rsidRPr="00041CAB">
        <w:rPr>
          <w:szCs w:val="20"/>
        </w:rPr>
        <w:t>petition</w:t>
      </w:r>
      <w:r w:rsidR="00C64050">
        <w:rPr>
          <w:szCs w:val="20"/>
        </w:rPr>
        <w:t xml:space="preserve"> </w:t>
      </w:r>
      <w:r w:rsidRPr="00041CAB">
        <w:rPr>
          <w:szCs w:val="20"/>
        </w:rPr>
        <w:t>the</w:t>
      </w:r>
      <w:r w:rsidR="00C64050">
        <w:rPr>
          <w:szCs w:val="20"/>
        </w:rPr>
        <w:t xml:space="preserve"> </w:t>
      </w:r>
      <w:r w:rsidRPr="00041CAB">
        <w:rPr>
          <w:szCs w:val="20"/>
        </w:rPr>
        <w:t>court</w:t>
      </w:r>
      <w:r w:rsidR="00C64050">
        <w:rPr>
          <w:szCs w:val="20"/>
        </w:rPr>
        <w:t xml:space="preserve"> </w:t>
      </w:r>
      <w:r w:rsidRPr="00041CAB">
        <w:rPr>
          <w:szCs w:val="20"/>
        </w:rPr>
        <w:t>under</w:t>
      </w:r>
      <w:r w:rsidR="00C64050">
        <w:rPr>
          <w:szCs w:val="20"/>
        </w:rPr>
        <w:t xml:space="preserve"> </w:t>
      </w:r>
      <w:r w:rsidRPr="00041CAB">
        <w:rPr>
          <w:szCs w:val="20"/>
        </w:rPr>
        <w:t>this</w:t>
      </w:r>
      <w:r w:rsidR="00C64050">
        <w:rPr>
          <w:szCs w:val="20"/>
        </w:rPr>
        <w:t xml:space="preserve"> </w:t>
      </w:r>
      <w:r w:rsidRPr="00041CAB">
        <w:rPr>
          <w:szCs w:val="20"/>
        </w:rPr>
        <w:t>chapter</w:t>
      </w:r>
      <w:r w:rsidR="00C64050">
        <w:rPr>
          <w:szCs w:val="20"/>
        </w:rPr>
        <w:t xml:space="preserve"> </w:t>
      </w:r>
      <w:r w:rsidRPr="00041CAB">
        <w:rPr>
          <w:szCs w:val="20"/>
        </w:rPr>
        <w:t>concerning</w:t>
      </w:r>
      <w:r w:rsidR="00C64050">
        <w:rPr>
          <w:szCs w:val="20"/>
        </w:rPr>
        <w:t xml:space="preserve"> </w:t>
      </w:r>
      <w:r w:rsidRPr="00041CAB">
        <w:rPr>
          <w:szCs w:val="20"/>
        </w:rPr>
        <w:t>the</w:t>
      </w:r>
      <w:r w:rsidR="00C64050">
        <w:rPr>
          <w:szCs w:val="20"/>
        </w:rPr>
        <w:t xml:space="preserve"> </w:t>
      </w:r>
      <w:r w:rsidRPr="00041CAB">
        <w:rPr>
          <w:szCs w:val="20"/>
        </w:rPr>
        <w:t>internal</w:t>
      </w:r>
      <w:r w:rsidR="00C64050">
        <w:rPr>
          <w:szCs w:val="20"/>
        </w:rPr>
        <w:t xml:space="preserve"> </w:t>
      </w:r>
      <w:r w:rsidRPr="00041CAB">
        <w:rPr>
          <w:szCs w:val="20"/>
        </w:rPr>
        <w:t>affairs</w:t>
      </w:r>
      <w:r w:rsidR="00C64050">
        <w:rPr>
          <w:szCs w:val="20"/>
        </w:rPr>
        <w:t xml:space="preserve"> </w:t>
      </w:r>
      <w:r w:rsidRPr="00041CAB">
        <w:rPr>
          <w:szCs w:val="20"/>
        </w:rPr>
        <w:t>of</w:t>
      </w:r>
      <w:r w:rsidR="00C64050">
        <w:rPr>
          <w:szCs w:val="20"/>
        </w:rPr>
        <w:t xml:space="preserve"> </w:t>
      </w:r>
      <w:r w:rsidRPr="00041CAB">
        <w:rPr>
          <w:szCs w:val="20"/>
        </w:rPr>
        <w:t>the</w:t>
      </w:r>
      <w:r w:rsidR="00C64050">
        <w:rPr>
          <w:szCs w:val="20"/>
        </w:rPr>
        <w:t xml:space="preserve"> </w:t>
      </w:r>
      <w:r w:rsidRPr="00041CAB">
        <w:rPr>
          <w:szCs w:val="20"/>
        </w:rPr>
        <w:t>trust</w:t>
      </w:r>
      <w:r w:rsidR="00C64050">
        <w:rPr>
          <w:szCs w:val="20"/>
        </w:rPr>
        <w:t xml:space="preserve"> </w:t>
      </w:r>
      <w:r w:rsidRPr="00041CAB">
        <w:rPr>
          <w:szCs w:val="20"/>
        </w:rPr>
        <w:t>or</w:t>
      </w:r>
      <w:r w:rsidR="00C64050">
        <w:rPr>
          <w:szCs w:val="20"/>
        </w:rPr>
        <w:t xml:space="preserve"> </w:t>
      </w:r>
      <w:r w:rsidRPr="00041CAB">
        <w:rPr>
          <w:szCs w:val="20"/>
        </w:rPr>
        <w:t>to</w:t>
      </w:r>
      <w:r w:rsidR="00C64050">
        <w:rPr>
          <w:szCs w:val="20"/>
        </w:rPr>
        <w:t xml:space="preserve"> </w:t>
      </w:r>
      <w:r w:rsidRPr="00041CAB">
        <w:rPr>
          <w:szCs w:val="20"/>
        </w:rPr>
        <w:t>determine</w:t>
      </w:r>
      <w:r w:rsidR="00C64050">
        <w:rPr>
          <w:szCs w:val="20"/>
        </w:rPr>
        <w:t xml:space="preserve"> </w:t>
      </w:r>
      <w:r w:rsidRPr="00041CAB">
        <w:rPr>
          <w:szCs w:val="20"/>
        </w:rPr>
        <w:t>the</w:t>
      </w:r>
      <w:r w:rsidR="00C64050">
        <w:rPr>
          <w:szCs w:val="20"/>
        </w:rPr>
        <w:t xml:space="preserve"> </w:t>
      </w:r>
      <w:r w:rsidRPr="00041CAB">
        <w:rPr>
          <w:szCs w:val="20"/>
        </w:rPr>
        <w:t>existence</w:t>
      </w:r>
      <w:r w:rsidR="00C64050">
        <w:rPr>
          <w:szCs w:val="20"/>
        </w:rPr>
        <w:t xml:space="preserve"> </w:t>
      </w:r>
      <w:r w:rsidRPr="00041CAB">
        <w:rPr>
          <w:szCs w:val="20"/>
        </w:rPr>
        <w:t>of</w:t>
      </w:r>
      <w:r w:rsidR="00C64050">
        <w:rPr>
          <w:szCs w:val="20"/>
        </w:rPr>
        <w:t xml:space="preserve"> </w:t>
      </w:r>
      <w:r w:rsidRPr="00041CAB">
        <w:rPr>
          <w:szCs w:val="20"/>
        </w:rPr>
        <w:t>the</w:t>
      </w:r>
      <w:r w:rsidR="00C64050">
        <w:rPr>
          <w:szCs w:val="20"/>
        </w:rPr>
        <w:t xml:space="preserve"> </w:t>
      </w:r>
      <w:r w:rsidRPr="00041CAB">
        <w:rPr>
          <w:szCs w:val="20"/>
        </w:rPr>
        <w:t>trust.”</w:t>
      </w:r>
      <w:r w:rsidR="00C64050">
        <w:rPr>
          <w:szCs w:val="20"/>
        </w:rPr>
        <w:t xml:space="preserve"> </w:t>
      </w:r>
      <w:r w:rsidRPr="00041CAB">
        <w:rPr>
          <w:szCs w:val="20"/>
        </w:rPr>
        <w:t>Section</w:t>
      </w:r>
      <w:r w:rsidR="00C64050">
        <w:rPr>
          <w:szCs w:val="20"/>
        </w:rPr>
        <w:t xml:space="preserve"> </w:t>
      </w:r>
      <w:r w:rsidRPr="00041CAB">
        <w:rPr>
          <w:szCs w:val="20"/>
        </w:rPr>
        <w:t>15800</w:t>
      </w:r>
      <w:r w:rsidR="00C64050">
        <w:rPr>
          <w:szCs w:val="20"/>
        </w:rPr>
        <w:t xml:space="preserve"> </w:t>
      </w:r>
      <w:r w:rsidRPr="00041CAB">
        <w:rPr>
          <w:szCs w:val="20"/>
        </w:rPr>
        <w:t>generally</w:t>
      </w:r>
      <w:r w:rsidR="00C64050">
        <w:rPr>
          <w:szCs w:val="20"/>
        </w:rPr>
        <w:t xml:space="preserve"> </w:t>
      </w:r>
      <w:r w:rsidRPr="00041CAB">
        <w:rPr>
          <w:szCs w:val="20"/>
        </w:rPr>
        <w:t>provides</w:t>
      </w:r>
      <w:r w:rsidR="00C64050">
        <w:rPr>
          <w:szCs w:val="20"/>
        </w:rPr>
        <w:t xml:space="preserve"> </w:t>
      </w:r>
      <w:r w:rsidRPr="00041CAB">
        <w:rPr>
          <w:szCs w:val="20"/>
        </w:rPr>
        <w:t>that</w:t>
      </w:r>
      <w:r w:rsidR="00C64050">
        <w:rPr>
          <w:szCs w:val="20"/>
        </w:rPr>
        <w:t xml:space="preserve"> </w:t>
      </w:r>
      <w:r w:rsidRPr="00041CAB">
        <w:rPr>
          <w:szCs w:val="20"/>
        </w:rPr>
        <w:t>so</w:t>
      </w:r>
      <w:r w:rsidR="00C64050">
        <w:rPr>
          <w:szCs w:val="20"/>
        </w:rPr>
        <w:t xml:space="preserve"> </w:t>
      </w:r>
      <w:r w:rsidRPr="00041CAB">
        <w:rPr>
          <w:szCs w:val="20"/>
        </w:rPr>
        <w:t>long</w:t>
      </w:r>
      <w:r w:rsidR="00C64050">
        <w:rPr>
          <w:szCs w:val="20"/>
        </w:rPr>
        <w:t xml:space="preserve"> </w:t>
      </w:r>
      <w:r w:rsidRPr="00041CAB">
        <w:rPr>
          <w:szCs w:val="20"/>
        </w:rPr>
        <w:t>as</w:t>
      </w:r>
      <w:r w:rsidR="00C64050">
        <w:rPr>
          <w:szCs w:val="20"/>
        </w:rPr>
        <w:t xml:space="preserve"> </w:t>
      </w:r>
      <w:r w:rsidRPr="00041CAB">
        <w:rPr>
          <w:szCs w:val="20"/>
        </w:rPr>
        <w:t>the</w:t>
      </w:r>
      <w:r w:rsidR="00C64050">
        <w:rPr>
          <w:szCs w:val="20"/>
        </w:rPr>
        <w:t xml:space="preserve"> </w:t>
      </w:r>
      <w:r w:rsidRPr="00041CAB">
        <w:rPr>
          <w:szCs w:val="20"/>
        </w:rPr>
        <w:t>trust</w:t>
      </w:r>
      <w:r w:rsidR="00C64050">
        <w:rPr>
          <w:szCs w:val="20"/>
        </w:rPr>
        <w:t xml:space="preserve"> </w:t>
      </w:r>
      <w:r w:rsidRPr="00041CAB">
        <w:rPr>
          <w:szCs w:val="20"/>
        </w:rPr>
        <w:t>remains</w:t>
      </w:r>
      <w:r w:rsidR="00C64050">
        <w:rPr>
          <w:szCs w:val="20"/>
        </w:rPr>
        <w:t xml:space="preserve"> </w:t>
      </w:r>
      <w:r w:rsidRPr="00041CAB">
        <w:rPr>
          <w:szCs w:val="20"/>
        </w:rPr>
        <w:t>revocable</w:t>
      </w:r>
      <w:r w:rsidR="00C64050">
        <w:rPr>
          <w:szCs w:val="20"/>
        </w:rPr>
        <w:t xml:space="preserve"> </w:t>
      </w:r>
      <w:r w:rsidRPr="00041CAB">
        <w:rPr>
          <w:szCs w:val="20"/>
        </w:rPr>
        <w:t>(that</w:t>
      </w:r>
      <w:r w:rsidR="00C64050">
        <w:rPr>
          <w:szCs w:val="20"/>
        </w:rPr>
        <w:t xml:space="preserve"> </w:t>
      </w:r>
      <w:r w:rsidRPr="00041CAB">
        <w:rPr>
          <w:szCs w:val="20"/>
        </w:rPr>
        <w:t>is,</w:t>
      </w:r>
      <w:r w:rsidR="00C64050">
        <w:rPr>
          <w:szCs w:val="20"/>
        </w:rPr>
        <w:t xml:space="preserve"> </w:t>
      </w:r>
      <w:r w:rsidRPr="00041CAB">
        <w:rPr>
          <w:szCs w:val="20"/>
        </w:rPr>
        <w:t>as</w:t>
      </w:r>
      <w:r w:rsidR="00C64050">
        <w:rPr>
          <w:szCs w:val="20"/>
        </w:rPr>
        <w:t xml:space="preserve"> </w:t>
      </w:r>
      <w:r w:rsidRPr="00041CAB">
        <w:rPr>
          <w:szCs w:val="20"/>
        </w:rPr>
        <w:t>long</w:t>
      </w:r>
      <w:r w:rsidR="00C64050">
        <w:rPr>
          <w:szCs w:val="20"/>
        </w:rPr>
        <w:t xml:space="preserve"> </w:t>
      </w:r>
      <w:r w:rsidRPr="00041CAB">
        <w:rPr>
          <w:szCs w:val="20"/>
        </w:rPr>
        <w:t>as</w:t>
      </w:r>
      <w:r w:rsidR="00C64050">
        <w:rPr>
          <w:szCs w:val="20"/>
        </w:rPr>
        <w:t xml:space="preserve"> </w:t>
      </w:r>
      <w:r w:rsidRPr="00041CAB">
        <w:rPr>
          <w:szCs w:val="20"/>
        </w:rPr>
        <w:t>the</w:t>
      </w:r>
      <w:r w:rsidR="00C64050">
        <w:rPr>
          <w:szCs w:val="20"/>
        </w:rPr>
        <w:t xml:space="preserve"> </w:t>
      </w:r>
      <w:r w:rsidRPr="00041CAB">
        <w:rPr>
          <w:szCs w:val="20"/>
        </w:rPr>
        <w:t>settlor</w:t>
      </w:r>
      <w:r w:rsidR="00C64050">
        <w:rPr>
          <w:szCs w:val="20"/>
        </w:rPr>
        <w:t xml:space="preserve"> </w:t>
      </w:r>
      <w:r w:rsidRPr="00041CAB">
        <w:rPr>
          <w:szCs w:val="20"/>
        </w:rPr>
        <w:t>is</w:t>
      </w:r>
      <w:r w:rsidR="00C64050">
        <w:rPr>
          <w:szCs w:val="20"/>
        </w:rPr>
        <w:t xml:space="preserve"> </w:t>
      </w:r>
      <w:r w:rsidRPr="00041CAB">
        <w:rPr>
          <w:szCs w:val="20"/>
        </w:rPr>
        <w:t>alive)</w:t>
      </w:r>
      <w:r w:rsidR="00C64050">
        <w:rPr>
          <w:szCs w:val="20"/>
        </w:rPr>
        <w:t xml:space="preserve"> </w:t>
      </w:r>
      <w:r w:rsidRPr="00041CAB">
        <w:rPr>
          <w:szCs w:val="20"/>
        </w:rPr>
        <w:t>and</w:t>
      </w:r>
      <w:r w:rsidR="00C64050">
        <w:rPr>
          <w:szCs w:val="20"/>
        </w:rPr>
        <w:t xml:space="preserve"> </w:t>
      </w:r>
      <w:r w:rsidRPr="00041CAB">
        <w:rPr>
          <w:szCs w:val="20"/>
        </w:rPr>
        <w:t>the</w:t>
      </w:r>
      <w:r w:rsidR="00C64050">
        <w:rPr>
          <w:szCs w:val="20"/>
        </w:rPr>
        <w:t xml:space="preserve"> </w:t>
      </w:r>
      <w:r w:rsidRPr="00041CAB">
        <w:rPr>
          <w:szCs w:val="20"/>
        </w:rPr>
        <w:t>settlor</w:t>
      </w:r>
      <w:r w:rsidR="00C64050">
        <w:rPr>
          <w:szCs w:val="20"/>
        </w:rPr>
        <w:t xml:space="preserve"> </w:t>
      </w:r>
      <w:r w:rsidRPr="00041CAB">
        <w:rPr>
          <w:szCs w:val="20"/>
        </w:rPr>
        <w:t>is</w:t>
      </w:r>
      <w:r w:rsidR="00C64050">
        <w:rPr>
          <w:szCs w:val="20"/>
        </w:rPr>
        <w:t xml:space="preserve"> </w:t>
      </w:r>
      <w:r w:rsidRPr="00041CAB">
        <w:rPr>
          <w:szCs w:val="20"/>
        </w:rPr>
        <w:t>competent,</w:t>
      </w:r>
      <w:r w:rsidR="00C64050">
        <w:rPr>
          <w:szCs w:val="20"/>
        </w:rPr>
        <w:t xml:space="preserve"> </w:t>
      </w:r>
      <w:r w:rsidRPr="00041CAB">
        <w:rPr>
          <w:szCs w:val="20"/>
        </w:rPr>
        <w:t>the</w:t>
      </w:r>
      <w:r w:rsidR="00C64050">
        <w:rPr>
          <w:szCs w:val="20"/>
        </w:rPr>
        <w:t xml:space="preserve"> </w:t>
      </w:r>
      <w:r w:rsidRPr="00041CAB">
        <w:rPr>
          <w:szCs w:val="20"/>
        </w:rPr>
        <w:t>settlor,</w:t>
      </w:r>
      <w:r w:rsidR="00C64050">
        <w:rPr>
          <w:szCs w:val="20"/>
        </w:rPr>
        <w:t xml:space="preserve"> </w:t>
      </w:r>
      <w:r w:rsidRPr="00041CAB">
        <w:rPr>
          <w:szCs w:val="20"/>
        </w:rPr>
        <w:t>“and</w:t>
      </w:r>
      <w:r w:rsidR="00C64050">
        <w:rPr>
          <w:szCs w:val="20"/>
        </w:rPr>
        <w:t xml:space="preserve"> </w:t>
      </w:r>
      <w:r w:rsidRPr="00041CAB">
        <w:rPr>
          <w:szCs w:val="20"/>
        </w:rPr>
        <w:t>not</w:t>
      </w:r>
      <w:r w:rsidR="00C64050">
        <w:rPr>
          <w:szCs w:val="20"/>
        </w:rPr>
        <w:t xml:space="preserve"> </w:t>
      </w:r>
      <w:r w:rsidRPr="00041CAB">
        <w:rPr>
          <w:szCs w:val="20"/>
        </w:rPr>
        <w:t>the</w:t>
      </w:r>
      <w:r w:rsidR="00C64050">
        <w:rPr>
          <w:szCs w:val="20"/>
        </w:rPr>
        <w:t xml:space="preserve"> </w:t>
      </w:r>
      <w:r w:rsidRPr="00041CAB">
        <w:rPr>
          <w:szCs w:val="20"/>
        </w:rPr>
        <w:t>beneficiary,</w:t>
      </w:r>
      <w:r w:rsidR="00C64050">
        <w:rPr>
          <w:szCs w:val="20"/>
        </w:rPr>
        <w:t xml:space="preserve"> </w:t>
      </w:r>
      <w:r w:rsidRPr="00041CAB">
        <w:rPr>
          <w:szCs w:val="20"/>
        </w:rPr>
        <w:t>has</w:t>
      </w:r>
      <w:r w:rsidR="00C64050">
        <w:rPr>
          <w:szCs w:val="20"/>
        </w:rPr>
        <w:t xml:space="preserve"> </w:t>
      </w:r>
      <w:r w:rsidRPr="00041CAB">
        <w:rPr>
          <w:szCs w:val="20"/>
        </w:rPr>
        <w:t>the</w:t>
      </w:r>
      <w:r w:rsidR="00C64050">
        <w:rPr>
          <w:szCs w:val="20"/>
        </w:rPr>
        <w:t xml:space="preserve"> </w:t>
      </w:r>
      <w:r w:rsidRPr="00041CAB">
        <w:rPr>
          <w:szCs w:val="20"/>
        </w:rPr>
        <w:t>rights</w:t>
      </w:r>
      <w:r w:rsidR="00C64050">
        <w:rPr>
          <w:szCs w:val="20"/>
        </w:rPr>
        <w:t xml:space="preserve"> </w:t>
      </w:r>
      <w:r w:rsidRPr="00041CAB">
        <w:rPr>
          <w:szCs w:val="20"/>
        </w:rPr>
        <w:t>afforded</w:t>
      </w:r>
      <w:r w:rsidR="00C64050">
        <w:rPr>
          <w:szCs w:val="20"/>
        </w:rPr>
        <w:t xml:space="preserve"> </w:t>
      </w:r>
      <w:r w:rsidRPr="00041CAB">
        <w:rPr>
          <w:szCs w:val="20"/>
        </w:rPr>
        <w:t>beneficiaries</w:t>
      </w:r>
      <w:r w:rsidR="00C64050">
        <w:rPr>
          <w:szCs w:val="20"/>
        </w:rPr>
        <w:t xml:space="preserve"> </w:t>
      </w:r>
      <w:r w:rsidRPr="00041CAB">
        <w:rPr>
          <w:szCs w:val="20"/>
        </w:rPr>
        <w:t>under</w:t>
      </w:r>
      <w:r w:rsidR="00C64050">
        <w:rPr>
          <w:szCs w:val="20"/>
        </w:rPr>
        <w:t xml:space="preserve"> </w:t>
      </w:r>
      <w:r w:rsidRPr="00041CAB">
        <w:rPr>
          <w:szCs w:val="20"/>
        </w:rPr>
        <w:t>this</w:t>
      </w:r>
      <w:r w:rsidR="00C64050">
        <w:rPr>
          <w:szCs w:val="20"/>
        </w:rPr>
        <w:t xml:space="preserve"> </w:t>
      </w:r>
      <w:r w:rsidRPr="00041CAB">
        <w:rPr>
          <w:szCs w:val="20"/>
        </w:rPr>
        <w:t>division.”</w:t>
      </w:r>
      <w:r w:rsidR="00C64050">
        <w:rPr>
          <w:szCs w:val="20"/>
        </w:rPr>
        <w:t xml:space="preserve"> </w:t>
      </w:r>
      <w:r w:rsidRPr="00041CAB">
        <w:rPr>
          <w:szCs w:val="20"/>
        </w:rPr>
        <w:t>(</w:t>
      </w:r>
      <w:r w:rsidRPr="00041CAB">
        <w:rPr>
          <w:rStyle w:val="Emphasis"/>
          <w:szCs w:val="20"/>
        </w:rPr>
        <w:t>Id</w:t>
      </w:r>
      <w:r w:rsidRPr="00041CAB">
        <w:rPr>
          <w:szCs w:val="20"/>
        </w:rPr>
        <w:t>.,</w:t>
      </w:r>
      <w:r w:rsidR="00C64050">
        <w:rPr>
          <w:szCs w:val="20"/>
        </w:rPr>
        <w:t xml:space="preserve"> </w:t>
      </w:r>
      <w:r w:rsidRPr="00041CAB">
        <w:rPr>
          <w:szCs w:val="20"/>
        </w:rPr>
        <w:t>subd.</w:t>
      </w:r>
      <w:r w:rsidR="00C64050">
        <w:rPr>
          <w:szCs w:val="20"/>
        </w:rPr>
        <w:t xml:space="preserve"> </w:t>
      </w:r>
      <w:r w:rsidRPr="00041CAB">
        <w:rPr>
          <w:szCs w:val="20"/>
        </w:rPr>
        <w:t>(a);</w:t>
      </w:r>
      <w:r w:rsidR="00C64050">
        <w:rPr>
          <w:szCs w:val="20"/>
        </w:rPr>
        <w:t xml:space="preserve"> </w:t>
      </w:r>
      <w:r w:rsidRPr="00041CAB">
        <w:rPr>
          <w:szCs w:val="20"/>
        </w:rPr>
        <w:t>see</w:t>
      </w:r>
      <w:r w:rsidR="00C64050">
        <w:rPr>
          <w:szCs w:val="20"/>
        </w:rPr>
        <w:t xml:space="preserve"> </w:t>
      </w:r>
      <w:r w:rsidRPr="00041CAB">
        <w:rPr>
          <w:rStyle w:val="Emphasis"/>
          <w:szCs w:val="20"/>
        </w:rPr>
        <w:t>Estate</w:t>
      </w:r>
      <w:r w:rsidR="00C64050">
        <w:rPr>
          <w:rStyle w:val="Emphasis"/>
          <w:szCs w:val="20"/>
        </w:rPr>
        <w:t xml:space="preserve"> </w:t>
      </w:r>
      <w:r w:rsidRPr="00041CAB">
        <w:rPr>
          <w:rStyle w:val="Emphasis"/>
          <w:szCs w:val="20"/>
        </w:rPr>
        <w:t>of</w:t>
      </w:r>
      <w:r w:rsidR="00C64050">
        <w:rPr>
          <w:rStyle w:val="Emphasis"/>
          <w:szCs w:val="20"/>
        </w:rPr>
        <w:t xml:space="preserve"> </w:t>
      </w:r>
      <w:r w:rsidRPr="00041CAB">
        <w:rPr>
          <w:rStyle w:val="Emphasis"/>
          <w:szCs w:val="20"/>
        </w:rPr>
        <w:t>Giraldin</w:t>
      </w:r>
      <w:r w:rsidRPr="00041CAB">
        <w:rPr>
          <w:szCs w:val="20"/>
        </w:rPr>
        <w:t>,</w:t>
      </w:r>
      <w:r w:rsidR="00C64050">
        <w:rPr>
          <w:szCs w:val="20"/>
        </w:rPr>
        <w:t xml:space="preserve"> </w:t>
      </w:r>
      <w:r w:rsidRPr="00041CAB">
        <w:rPr>
          <w:rStyle w:val="Emphasis"/>
          <w:szCs w:val="20"/>
        </w:rPr>
        <w:t>supra</w:t>
      </w:r>
      <w:r w:rsidRPr="00041CAB">
        <w:rPr>
          <w:szCs w:val="20"/>
        </w:rPr>
        <w:t>,</w:t>
      </w:r>
      <w:r w:rsidR="00C64050">
        <w:rPr>
          <w:szCs w:val="20"/>
        </w:rPr>
        <w:t xml:space="preserve"> </w:t>
      </w:r>
      <w:r w:rsidRPr="00041CAB">
        <w:rPr>
          <w:szCs w:val="20"/>
        </w:rPr>
        <w:t>55</w:t>
      </w:r>
      <w:r w:rsidR="00C64050">
        <w:rPr>
          <w:szCs w:val="20"/>
        </w:rPr>
        <w:t xml:space="preserve"> </w:t>
      </w:r>
      <w:r w:rsidRPr="00041CAB">
        <w:rPr>
          <w:szCs w:val="20"/>
        </w:rPr>
        <w:t>Cal.4th</w:t>
      </w:r>
      <w:r w:rsidR="00C64050">
        <w:rPr>
          <w:szCs w:val="20"/>
        </w:rPr>
        <w:t xml:space="preserve"> </w:t>
      </w:r>
      <w:r w:rsidRPr="00041CAB">
        <w:rPr>
          <w:szCs w:val="20"/>
        </w:rPr>
        <w:t>at</w:t>
      </w:r>
      <w:r w:rsidR="00C64050">
        <w:rPr>
          <w:szCs w:val="20"/>
        </w:rPr>
        <w:t xml:space="preserve"> </w:t>
      </w:r>
      <w:r w:rsidRPr="00041CAB">
        <w:rPr>
          <w:szCs w:val="20"/>
        </w:rPr>
        <w:t>p.</w:t>
      </w:r>
      <w:r w:rsidR="00C64050">
        <w:rPr>
          <w:szCs w:val="20"/>
        </w:rPr>
        <w:t xml:space="preserve"> </w:t>
      </w:r>
      <w:r w:rsidRPr="00041CAB">
        <w:rPr>
          <w:szCs w:val="20"/>
        </w:rPr>
        <w:t>1066,</w:t>
      </w:r>
      <w:r w:rsidR="00C64050">
        <w:rPr>
          <w:szCs w:val="20"/>
        </w:rPr>
        <w:t xml:space="preserve"> </w:t>
      </w:r>
      <w:r w:rsidRPr="00041CAB">
        <w:rPr>
          <w:szCs w:val="20"/>
        </w:rPr>
        <w:t>150</w:t>
      </w:r>
      <w:r w:rsidR="00C64050">
        <w:rPr>
          <w:szCs w:val="20"/>
        </w:rPr>
        <w:t xml:space="preserve"> </w:t>
      </w:r>
      <w:r w:rsidRPr="00041CAB">
        <w:rPr>
          <w:szCs w:val="20"/>
        </w:rPr>
        <w:t>Cal.Rptr.3d</w:t>
      </w:r>
      <w:r w:rsidR="00C64050">
        <w:rPr>
          <w:szCs w:val="20"/>
        </w:rPr>
        <w:t xml:space="preserve"> </w:t>
      </w:r>
      <w:r w:rsidRPr="00041CAB">
        <w:rPr>
          <w:szCs w:val="20"/>
        </w:rPr>
        <w:t>205,</w:t>
      </w:r>
      <w:r w:rsidR="00C64050">
        <w:rPr>
          <w:szCs w:val="20"/>
        </w:rPr>
        <w:t xml:space="preserve"> </w:t>
      </w:r>
      <w:r w:rsidRPr="00041CAB">
        <w:rPr>
          <w:szCs w:val="20"/>
        </w:rPr>
        <w:t>290</w:t>
      </w:r>
      <w:r w:rsidR="00C64050">
        <w:rPr>
          <w:szCs w:val="20"/>
        </w:rPr>
        <w:t xml:space="preserve"> </w:t>
      </w:r>
      <w:r w:rsidRPr="00041CAB">
        <w:rPr>
          <w:szCs w:val="20"/>
        </w:rPr>
        <w:t>P.3d</w:t>
      </w:r>
      <w:r w:rsidR="00C64050">
        <w:rPr>
          <w:szCs w:val="20"/>
        </w:rPr>
        <w:t xml:space="preserve"> </w:t>
      </w:r>
      <w:r w:rsidRPr="00041CAB">
        <w:rPr>
          <w:szCs w:val="20"/>
        </w:rPr>
        <w:t>199.)</w:t>
      </w:r>
      <w:r w:rsidR="00C64050">
        <w:rPr>
          <w:szCs w:val="20"/>
        </w:rPr>
        <w:t xml:space="preserve"> </w:t>
      </w:r>
      <w:r w:rsidRPr="00041CAB">
        <w:rPr>
          <w:szCs w:val="20"/>
        </w:rPr>
        <w:t>Here,</w:t>
      </w:r>
      <w:r w:rsidR="00C64050">
        <w:rPr>
          <w:szCs w:val="20"/>
        </w:rPr>
        <w:t xml:space="preserve"> </w:t>
      </w:r>
      <w:r w:rsidRPr="00041CAB">
        <w:rPr>
          <w:szCs w:val="20"/>
        </w:rPr>
        <w:t>the</w:t>
      </w:r>
      <w:r w:rsidR="00C64050">
        <w:rPr>
          <w:szCs w:val="20"/>
        </w:rPr>
        <w:t xml:space="preserve"> </w:t>
      </w:r>
      <w:r w:rsidRPr="00041CAB">
        <w:rPr>
          <w:szCs w:val="20"/>
        </w:rPr>
        <w:t>settlor</w:t>
      </w:r>
      <w:r w:rsidR="00C64050">
        <w:rPr>
          <w:szCs w:val="20"/>
        </w:rPr>
        <w:t xml:space="preserve"> </w:t>
      </w:r>
      <w:r w:rsidRPr="00041CAB">
        <w:rPr>
          <w:szCs w:val="20"/>
        </w:rPr>
        <w:t>(Maynord)</w:t>
      </w:r>
      <w:r w:rsidR="00C64050">
        <w:rPr>
          <w:szCs w:val="20"/>
        </w:rPr>
        <w:t xml:space="preserve"> </w:t>
      </w:r>
      <w:r w:rsidRPr="00041CAB">
        <w:rPr>
          <w:szCs w:val="20"/>
        </w:rPr>
        <w:t>has</w:t>
      </w:r>
      <w:r w:rsidR="00C64050">
        <w:rPr>
          <w:szCs w:val="20"/>
        </w:rPr>
        <w:t xml:space="preserve"> </w:t>
      </w:r>
      <w:r w:rsidRPr="00041CAB">
        <w:rPr>
          <w:szCs w:val="20"/>
        </w:rPr>
        <w:t>died,</w:t>
      </w:r>
      <w:r w:rsidR="00C64050">
        <w:rPr>
          <w:szCs w:val="20"/>
        </w:rPr>
        <w:t xml:space="preserve"> </w:t>
      </w:r>
      <w:r w:rsidRPr="00041CAB">
        <w:rPr>
          <w:szCs w:val="20"/>
        </w:rPr>
        <w:t>so</w:t>
      </w:r>
      <w:r w:rsidR="00C64050">
        <w:rPr>
          <w:szCs w:val="20"/>
        </w:rPr>
        <w:t xml:space="preserve"> </w:t>
      </w:r>
      <w:r w:rsidRPr="00041CAB">
        <w:rPr>
          <w:szCs w:val="20"/>
        </w:rPr>
        <w:t>section</w:t>
      </w:r>
      <w:r w:rsidR="00C64050">
        <w:rPr>
          <w:szCs w:val="20"/>
        </w:rPr>
        <w:t xml:space="preserve"> </w:t>
      </w:r>
      <w:r w:rsidRPr="00041CAB">
        <w:rPr>
          <w:szCs w:val="20"/>
        </w:rPr>
        <w:t>15800</w:t>
      </w:r>
      <w:r w:rsidR="00C64050">
        <w:rPr>
          <w:szCs w:val="20"/>
        </w:rPr>
        <w:t xml:space="preserve"> </w:t>
      </w:r>
      <w:r w:rsidRPr="00041CAB">
        <w:rPr>
          <w:szCs w:val="20"/>
        </w:rPr>
        <w:t>is</w:t>
      </w:r>
      <w:r w:rsidR="00C64050">
        <w:rPr>
          <w:szCs w:val="20"/>
        </w:rPr>
        <w:t xml:space="preserve"> </w:t>
      </w:r>
      <w:r w:rsidRPr="00041CAB">
        <w:rPr>
          <w:szCs w:val="20"/>
        </w:rPr>
        <w:t>no</w:t>
      </w:r>
      <w:r w:rsidR="00C64050">
        <w:rPr>
          <w:szCs w:val="20"/>
        </w:rPr>
        <w:t xml:space="preserve"> </w:t>
      </w:r>
      <w:r w:rsidRPr="00041CAB">
        <w:rPr>
          <w:szCs w:val="20"/>
        </w:rPr>
        <w:t>longer</w:t>
      </w:r>
      <w:r w:rsidR="00C64050">
        <w:rPr>
          <w:szCs w:val="20"/>
        </w:rPr>
        <w:t xml:space="preserve"> </w:t>
      </w:r>
      <w:r w:rsidRPr="00041CAB">
        <w:rPr>
          <w:szCs w:val="20"/>
        </w:rPr>
        <w:t>relevant.</w:t>
      </w:r>
    </w:p>
    <w:p w:rsidR="00041CAB" w:rsidRPr="00041CAB" w:rsidRDefault="00041CAB" w:rsidP="00041CAB">
      <w:pPr>
        <w:pStyle w:val="QS10"/>
        <w:jc w:val="center"/>
        <w:rPr>
          <w:szCs w:val="20"/>
        </w:rPr>
      </w:pPr>
      <w:r w:rsidRPr="00041CAB">
        <w:rPr>
          <w:szCs w:val="20"/>
        </w:rPr>
        <w:t>***</w:t>
      </w:r>
    </w:p>
    <w:p w:rsidR="00041CAB" w:rsidRPr="00041CAB" w:rsidRDefault="00041CAB" w:rsidP="00041CAB">
      <w:pPr>
        <w:pStyle w:val="QS10"/>
        <w:rPr>
          <w:szCs w:val="20"/>
        </w:rPr>
      </w:pPr>
      <w:r w:rsidRPr="00041CAB">
        <w:rPr>
          <w:szCs w:val="20"/>
        </w:rPr>
        <w:t>The</w:t>
      </w:r>
      <w:r w:rsidR="00C64050">
        <w:rPr>
          <w:szCs w:val="20"/>
        </w:rPr>
        <w:t xml:space="preserve"> </w:t>
      </w:r>
      <w:r w:rsidRPr="00041CAB">
        <w:rPr>
          <w:szCs w:val="20"/>
        </w:rPr>
        <w:t>applicable</w:t>
      </w:r>
      <w:r w:rsidR="00C64050">
        <w:rPr>
          <w:szCs w:val="20"/>
        </w:rPr>
        <w:t xml:space="preserve"> </w:t>
      </w:r>
      <w:r w:rsidRPr="00041CAB">
        <w:rPr>
          <w:szCs w:val="20"/>
        </w:rPr>
        <w:t>Probate</w:t>
      </w:r>
      <w:r w:rsidR="00C64050">
        <w:rPr>
          <w:szCs w:val="20"/>
        </w:rPr>
        <w:t xml:space="preserve"> </w:t>
      </w:r>
      <w:r w:rsidRPr="00041CAB">
        <w:rPr>
          <w:szCs w:val="20"/>
        </w:rPr>
        <w:t>Code</w:t>
      </w:r>
      <w:r w:rsidR="00C64050">
        <w:rPr>
          <w:szCs w:val="20"/>
        </w:rPr>
        <w:t xml:space="preserve"> </w:t>
      </w:r>
      <w:r w:rsidRPr="00041CAB">
        <w:rPr>
          <w:szCs w:val="20"/>
        </w:rPr>
        <w:t>provisions</w:t>
      </w:r>
      <w:r w:rsidR="00C64050">
        <w:rPr>
          <w:szCs w:val="20"/>
        </w:rPr>
        <w:t xml:space="preserve"> </w:t>
      </w:r>
      <w:r w:rsidRPr="00041CAB">
        <w:rPr>
          <w:szCs w:val="20"/>
        </w:rPr>
        <w:t>support</w:t>
      </w:r>
      <w:r w:rsidR="00C64050">
        <w:rPr>
          <w:szCs w:val="20"/>
        </w:rPr>
        <w:t xml:space="preserve"> </w:t>
      </w:r>
      <w:r w:rsidRPr="00041CAB">
        <w:rPr>
          <w:szCs w:val="20"/>
        </w:rPr>
        <w:t>plaintiff’s</w:t>
      </w:r>
      <w:r w:rsidR="00C64050">
        <w:rPr>
          <w:szCs w:val="20"/>
        </w:rPr>
        <w:t xml:space="preserve"> </w:t>
      </w:r>
      <w:r w:rsidRPr="00041CAB">
        <w:rPr>
          <w:szCs w:val="20"/>
        </w:rPr>
        <w:t>standing</w:t>
      </w:r>
      <w:r w:rsidR="00C64050">
        <w:rPr>
          <w:szCs w:val="20"/>
        </w:rPr>
        <w:t xml:space="preserve"> </w:t>
      </w:r>
      <w:r w:rsidRPr="00041CAB">
        <w:rPr>
          <w:szCs w:val="20"/>
        </w:rPr>
        <w:t>to</w:t>
      </w:r>
      <w:r w:rsidR="00C64050">
        <w:rPr>
          <w:szCs w:val="20"/>
        </w:rPr>
        <w:t xml:space="preserve"> </w:t>
      </w:r>
      <w:r w:rsidRPr="00041CAB">
        <w:rPr>
          <w:szCs w:val="20"/>
        </w:rPr>
        <w:t>challenge</w:t>
      </w:r>
      <w:r w:rsidR="00C64050">
        <w:rPr>
          <w:szCs w:val="20"/>
        </w:rPr>
        <w:t xml:space="preserve"> </w:t>
      </w:r>
      <w:r w:rsidRPr="00041CAB">
        <w:rPr>
          <w:szCs w:val="20"/>
        </w:rPr>
        <w:t>the</w:t>
      </w:r>
      <w:r w:rsidR="00C64050">
        <w:rPr>
          <w:szCs w:val="20"/>
        </w:rPr>
        <w:t xml:space="preserve"> </w:t>
      </w:r>
      <w:r w:rsidRPr="00041CAB">
        <w:rPr>
          <w:szCs w:val="20"/>
        </w:rPr>
        <w:t>merits</w:t>
      </w:r>
      <w:r w:rsidR="00C64050">
        <w:rPr>
          <w:szCs w:val="20"/>
        </w:rPr>
        <w:t xml:space="preserve"> </w:t>
      </w:r>
      <w:r w:rsidRPr="00041CAB">
        <w:rPr>
          <w:szCs w:val="20"/>
        </w:rPr>
        <w:t>of</w:t>
      </w:r>
      <w:r w:rsidR="00C64050">
        <w:rPr>
          <w:szCs w:val="20"/>
        </w:rPr>
        <w:t xml:space="preserve"> </w:t>
      </w:r>
      <w:r w:rsidRPr="00041CAB">
        <w:rPr>
          <w:szCs w:val="20"/>
        </w:rPr>
        <w:t>the</w:t>
      </w:r>
      <w:r w:rsidR="00C64050">
        <w:rPr>
          <w:szCs w:val="20"/>
        </w:rPr>
        <w:t xml:space="preserve"> </w:t>
      </w:r>
      <w:r w:rsidRPr="00041CAB">
        <w:rPr>
          <w:szCs w:val="20"/>
        </w:rPr>
        <w:t>Trust</w:t>
      </w:r>
      <w:r w:rsidR="00C64050">
        <w:rPr>
          <w:szCs w:val="20"/>
        </w:rPr>
        <w:t xml:space="preserve"> </w:t>
      </w:r>
      <w:r w:rsidRPr="00041CAB">
        <w:rPr>
          <w:szCs w:val="20"/>
        </w:rPr>
        <w:t>amendments</w:t>
      </w:r>
      <w:r w:rsidR="00C64050">
        <w:rPr>
          <w:szCs w:val="20"/>
        </w:rPr>
        <w:t xml:space="preserve"> </w:t>
      </w:r>
      <w:r w:rsidRPr="00041CAB">
        <w:rPr>
          <w:szCs w:val="20"/>
        </w:rPr>
        <w:t>on</w:t>
      </w:r>
      <w:r w:rsidR="00C64050">
        <w:rPr>
          <w:szCs w:val="20"/>
        </w:rPr>
        <w:t xml:space="preserve"> </w:t>
      </w:r>
      <w:r w:rsidRPr="00041CAB">
        <w:rPr>
          <w:szCs w:val="20"/>
        </w:rPr>
        <w:t>the</w:t>
      </w:r>
      <w:r w:rsidR="00C64050">
        <w:rPr>
          <w:szCs w:val="20"/>
        </w:rPr>
        <w:t xml:space="preserve"> </w:t>
      </w:r>
      <w:r w:rsidRPr="00041CAB">
        <w:rPr>
          <w:szCs w:val="20"/>
        </w:rPr>
        <w:t>grounds</w:t>
      </w:r>
      <w:r w:rsidR="00C64050">
        <w:rPr>
          <w:szCs w:val="20"/>
        </w:rPr>
        <w:t xml:space="preserve"> </w:t>
      </w:r>
      <w:r w:rsidRPr="00041CAB">
        <w:rPr>
          <w:szCs w:val="20"/>
        </w:rPr>
        <w:t>of</w:t>
      </w:r>
      <w:r w:rsidR="00C64050">
        <w:rPr>
          <w:szCs w:val="20"/>
        </w:rPr>
        <w:t xml:space="preserve"> </w:t>
      </w:r>
      <w:r w:rsidRPr="00041CAB">
        <w:rPr>
          <w:szCs w:val="20"/>
        </w:rPr>
        <w:t>incompetence,</w:t>
      </w:r>
      <w:r w:rsidR="00C64050">
        <w:rPr>
          <w:szCs w:val="20"/>
        </w:rPr>
        <w:t xml:space="preserve"> </w:t>
      </w:r>
      <w:r w:rsidRPr="00041CAB">
        <w:rPr>
          <w:szCs w:val="20"/>
        </w:rPr>
        <w:t>undue</w:t>
      </w:r>
      <w:r w:rsidR="00C64050">
        <w:rPr>
          <w:szCs w:val="20"/>
        </w:rPr>
        <w:t xml:space="preserve"> </w:t>
      </w:r>
      <w:r w:rsidRPr="00041CAB">
        <w:rPr>
          <w:szCs w:val="20"/>
        </w:rPr>
        <w:t>influence,</w:t>
      </w:r>
      <w:r w:rsidR="00C64050">
        <w:rPr>
          <w:szCs w:val="20"/>
        </w:rPr>
        <w:t xml:space="preserve"> </w:t>
      </w:r>
      <w:r w:rsidRPr="00041CAB">
        <w:rPr>
          <w:szCs w:val="20"/>
        </w:rPr>
        <w:t>or</w:t>
      </w:r>
      <w:r w:rsidR="00C64050">
        <w:rPr>
          <w:szCs w:val="20"/>
        </w:rPr>
        <w:t xml:space="preserve"> </w:t>
      </w:r>
      <w:r w:rsidRPr="00041CAB">
        <w:rPr>
          <w:szCs w:val="20"/>
        </w:rPr>
        <w:t>fraud.</w:t>
      </w:r>
      <w:r w:rsidR="00C64050">
        <w:rPr>
          <w:szCs w:val="20"/>
        </w:rPr>
        <w:t xml:space="preserve"> </w:t>
      </w:r>
      <w:r w:rsidRPr="00041CAB">
        <w:rPr>
          <w:szCs w:val="20"/>
        </w:rPr>
        <w:t>Section</w:t>
      </w:r>
      <w:r w:rsidR="00C64050">
        <w:rPr>
          <w:szCs w:val="20"/>
        </w:rPr>
        <w:t xml:space="preserve"> </w:t>
      </w:r>
      <w:r w:rsidRPr="00041CAB">
        <w:rPr>
          <w:szCs w:val="20"/>
        </w:rPr>
        <w:t>17200,</w:t>
      </w:r>
      <w:r w:rsidR="00C64050">
        <w:rPr>
          <w:szCs w:val="20"/>
        </w:rPr>
        <w:t xml:space="preserve"> </w:t>
      </w:r>
      <w:r w:rsidRPr="00041CAB">
        <w:rPr>
          <w:szCs w:val="20"/>
        </w:rPr>
        <w:t>subdivision</w:t>
      </w:r>
      <w:r w:rsidR="00C64050">
        <w:rPr>
          <w:szCs w:val="20"/>
        </w:rPr>
        <w:t xml:space="preserve"> </w:t>
      </w:r>
      <w:r w:rsidRPr="00041CAB">
        <w:rPr>
          <w:szCs w:val="20"/>
        </w:rPr>
        <w:t>(a),</w:t>
      </w:r>
      <w:r w:rsidR="00C64050">
        <w:rPr>
          <w:szCs w:val="20"/>
        </w:rPr>
        <w:t xml:space="preserve"> </w:t>
      </w:r>
      <w:r w:rsidRPr="00041CAB">
        <w:rPr>
          <w:szCs w:val="20"/>
        </w:rPr>
        <w:t>authorizes</w:t>
      </w:r>
      <w:r w:rsidR="00C64050">
        <w:rPr>
          <w:szCs w:val="20"/>
        </w:rPr>
        <w:t xml:space="preserve"> </w:t>
      </w:r>
      <w:r w:rsidRPr="00041CAB">
        <w:rPr>
          <w:szCs w:val="20"/>
        </w:rPr>
        <w:t>a</w:t>
      </w:r>
      <w:r w:rsidR="00C64050">
        <w:rPr>
          <w:szCs w:val="20"/>
        </w:rPr>
        <w:t xml:space="preserve"> </w:t>
      </w:r>
      <w:r w:rsidRPr="00041CAB">
        <w:rPr>
          <w:szCs w:val="20"/>
        </w:rPr>
        <w:t>beneficiary</w:t>
      </w:r>
      <w:r w:rsidR="00C64050">
        <w:rPr>
          <w:szCs w:val="20"/>
        </w:rPr>
        <w:t xml:space="preserve"> </w:t>
      </w:r>
      <w:r w:rsidRPr="00041CAB">
        <w:rPr>
          <w:szCs w:val="20"/>
        </w:rPr>
        <w:t>to</w:t>
      </w:r>
      <w:r w:rsidR="00C64050">
        <w:rPr>
          <w:szCs w:val="20"/>
        </w:rPr>
        <w:t xml:space="preserve"> </w:t>
      </w:r>
      <w:r w:rsidRPr="00041CAB">
        <w:rPr>
          <w:szCs w:val="20"/>
        </w:rPr>
        <w:t>petition</w:t>
      </w:r>
      <w:r w:rsidR="00C64050">
        <w:rPr>
          <w:szCs w:val="20"/>
        </w:rPr>
        <w:t xml:space="preserve"> </w:t>
      </w:r>
      <w:r w:rsidRPr="00041CAB">
        <w:rPr>
          <w:szCs w:val="20"/>
        </w:rPr>
        <w:t>the</w:t>
      </w:r>
      <w:r w:rsidR="00C64050">
        <w:rPr>
          <w:szCs w:val="20"/>
        </w:rPr>
        <w:t xml:space="preserve"> </w:t>
      </w:r>
      <w:r w:rsidRPr="00041CAB">
        <w:rPr>
          <w:szCs w:val="20"/>
        </w:rPr>
        <w:t>court</w:t>
      </w:r>
      <w:r w:rsidR="00C64050">
        <w:rPr>
          <w:szCs w:val="20"/>
        </w:rPr>
        <w:t xml:space="preserve"> </w:t>
      </w:r>
      <w:r w:rsidRPr="00041CAB">
        <w:rPr>
          <w:szCs w:val="20"/>
        </w:rPr>
        <w:t>concerning</w:t>
      </w:r>
      <w:r w:rsidR="00C64050">
        <w:rPr>
          <w:szCs w:val="20"/>
        </w:rPr>
        <w:t xml:space="preserve"> </w:t>
      </w:r>
      <w:r w:rsidRPr="00041CAB">
        <w:rPr>
          <w:szCs w:val="20"/>
        </w:rPr>
        <w:t>the</w:t>
      </w:r>
      <w:r w:rsidR="00C64050">
        <w:rPr>
          <w:szCs w:val="20"/>
        </w:rPr>
        <w:t xml:space="preserve"> </w:t>
      </w:r>
      <w:r w:rsidRPr="00041CAB">
        <w:rPr>
          <w:szCs w:val="20"/>
        </w:rPr>
        <w:t>trust’s</w:t>
      </w:r>
      <w:r w:rsidR="00C64050">
        <w:rPr>
          <w:szCs w:val="20"/>
        </w:rPr>
        <w:t xml:space="preserve"> </w:t>
      </w:r>
      <w:r w:rsidRPr="00041CAB">
        <w:rPr>
          <w:szCs w:val="20"/>
        </w:rPr>
        <w:t>affairs</w:t>
      </w:r>
      <w:r w:rsidR="00C64050">
        <w:rPr>
          <w:szCs w:val="20"/>
        </w:rPr>
        <w:t xml:space="preserve"> </w:t>
      </w:r>
      <w:r w:rsidRPr="00041CAB">
        <w:rPr>
          <w:szCs w:val="20"/>
        </w:rPr>
        <w:t>“or</w:t>
      </w:r>
      <w:r w:rsidR="00C64050">
        <w:rPr>
          <w:szCs w:val="20"/>
        </w:rPr>
        <w:t xml:space="preserve"> </w:t>
      </w:r>
      <w:r w:rsidRPr="00041CAB">
        <w:rPr>
          <w:szCs w:val="20"/>
        </w:rPr>
        <w:t>to</w:t>
      </w:r>
      <w:r w:rsidR="00C64050">
        <w:rPr>
          <w:szCs w:val="20"/>
        </w:rPr>
        <w:t xml:space="preserve"> </w:t>
      </w:r>
      <w:r w:rsidRPr="00041CAB">
        <w:rPr>
          <w:szCs w:val="20"/>
        </w:rPr>
        <w:t>determine</w:t>
      </w:r>
      <w:r w:rsidR="00C64050">
        <w:rPr>
          <w:szCs w:val="20"/>
        </w:rPr>
        <w:t xml:space="preserve"> </w:t>
      </w:r>
      <w:r w:rsidRPr="00041CAB">
        <w:rPr>
          <w:szCs w:val="20"/>
        </w:rPr>
        <w:t>[its]</w:t>
      </w:r>
      <w:r w:rsidR="00C64050">
        <w:rPr>
          <w:szCs w:val="20"/>
        </w:rPr>
        <w:t xml:space="preserve"> </w:t>
      </w:r>
      <w:r w:rsidRPr="00041CAB">
        <w:rPr>
          <w:szCs w:val="20"/>
        </w:rPr>
        <w:t>existence.”</w:t>
      </w:r>
      <w:r w:rsidR="00C64050">
        <w:rPr>
          <w:szCs w:val="20"/>
        </w:rPr>
        <w:t xml:space="preserve"> </w:t>
      </w:r>
      <w:r w:rsidRPr="00041CAB">
        <w:rPr>
          <w:szCs w:val="20"/>
        </w:rPr>
        <w:t>Section</w:t>
      </w:r>
      <w:r w:rsidR="00C64050">
        <w:rPr>
          <w:szCs w:val="20"/>
        </w:rPr>
        <w:t xml:space="preserve"> </w:t>
      </w:r>
      <w:r w:rsidRPr="00041CAB">
        <w:rPr>
          <w:szCs w:val="20"/>
        </w:rPr>
        <w:t>17200,</w:t>
      </w:r>
      <w:r w:rsidR="00C64050">
        <w:rPr>
          <w:szCs w:val="20"/>
        </w:rPr>
        <w:t xml:space="preserve"> </w:t>
      </w:r>
      <w:r w:rsidRPr="00041CAB">
        <w:rPr>
          <w:szCs w:val="20"/>
        </w:rPr>
        <w:t>subdivision</w:t>
      </w:r>
      <w:r w:rsidR="00C64050">
        <w:rPr>
          <w:szCs w:val="20"/>
        </w:rPr>
        <w:t xml:space="preserve"> </w:t>
      </w:r>
      <w:r w:rsidRPr="00041CAB">
        <w:rPr>
          <w:szCs w:val="20"/>
        </w:rPr>
        <w:t>(b)(3)</w:t>
      </w:r>
      <w:r w:rsidR="00C64050">
        <w:rPr>
          <w:szCs w:val="20"/>
        </w:rPr>
        <w:t xml:space="preserve"> </w:t>
      </w:r>
      <w:r w:rsidRPr="00041CAB">
        <w:rPr>
          <w:szCs w:val="20"/>
        </w:rPr>
        <w:t>contemplates</w:t>
      </w:r>
      <w:r w:rsidR="00C64050">
        <w:rPr>
          <w:szCs w:val="20"/>
        </w:rPr>
        <w:t xml:space="preserve"> </w:t>
      </w:r>
      <w:r w:rsidRPr="00041CAB">
        <w:rPr>
          <w:szCs w:val="20"/>
        </w:rPr>
        <w:t>the</w:t>
      </w:r>
      <w:r w:rsidR="00C64050">
        <w:rPr>
          <w:szCs w:val="20"/>
        </w:rPr>
        <w:t xml:space="preserve"> </w:t>
      </w:r>
      <w:r w:rsidRPr="00041CAB">
        <w:rPr>
          <w:szCs w:val="20"/>
        </w:rPr>
        <w:t>court’s</w:t>
      </w:r>
      <w:r w:rsidR="00C64050">
        <w:rPr>
          <w:szCs w:val="20"/>
        </w:rPr>
        <w:t xml:space="preserve"> </w:t>
      </w:r>
      <w:r w:rsidRPr="00041CAB">
        <w:rPr>
          <w:szCs w:val="20"/>
        </w:rPr>
        <w:t>determination</w:t>
      </w:r>
      <w:r w:rsidR="00C64050">
        <w:rPr>
          <w:szCs w:val="20"/>
        </w:rPr>
        <w:t xml:space="preserve"> </w:t>
      </w:r>
      <w:r w:rsidRPr="00041CAB">
        <w:rPr>
          <w:szCs w:val="20"/>
        </w:rPr>
        <w:t>of</w:t>
      </w:r>
      <w:r w:rsidR="00C64050">
        <w:rPr>
          <w:szCs w:val="20"/>
        </w:rPr>
        <w:t xml:space="preserve"> </w:t>
      </w:r>
      <w:r w:rsidRPr="00041CAB">
        <w:rPr>
          <w:szCs w:val="20"/>
        </w:rPr>
        <w:t>“the</w:t>
      </w:r>
      <w:r w:rsidR="00C64050">
        <w:rPr>
          <w:szCs w:val="20"/>
        </w:rPr>
        <w:t xml:space="preserve"> </w:t>
      </w:r>
      <w:r w:rsidRPr="00041CAB">
        <w:rPr>
          <w:szCs w:val="20"/>
        </w:rPr>
        <w:t>validity</w:t>
      </w:r>
      <w:r w:rsidR="00C64050">
        <w:rPr>
          <w:szCs w:val="20"/>
        </w:rPr>
        <w:t xml:space="preserve"> </w:t>
      </w:r>
      <w:r w:rsidRPr="00041CAB">
        <w:rPr>
          <w:szCs w:val="20"/>
        </w:rPr>
        <w:t>of</w:t>
      </w:r>
      <w:r w:rsidR="00C64050">
        <w:rPr>
          <w:szCs w:val="20"/>
        </w:rPr>
        <w:t xml:space="preserve"> </w:t>
      </w:r>
      <w:r w:rsidRPr="00041CAB">
        <w:rPr>
          <w:szCs w:val="20"/>
        </w:rPr>
        <w:t>a</w:t>
      </w:r>
      <w:r w:rsidR="00C64050">
        <w:rPr>
          <w:szCs w:val="20"/>
        </w:rPr>
        <w:t xml:space="preserve"> </w:t>
      </w:r>
      <w:r w:rsidRPr="00041CAB">
        <w:rPr>
          <w:szCs w:val="20"/>
        </w:rPr>
        <w:t>trust</w:t>
      </w:r>
      <w:r w:rsidR="00C64050">
        <w:rPr>
          <w:szCs w:val="20"/>
        </w:rPr>
        <w:t xml:space="preserve"> </w:t>
      </w:r>
      <w:r w:rsidRPr="00041CAB">
        <w:rPr>
          <w:szCs w:val="20"/>
        </w:rPr>
        <w:t>provision.”</w:t>
      </w:r>
      <w:r w:rsidR="00C64050">
        <w:rPr>
          <w:szCs w:val="20"/>
        </w:rPr>
        <w:t xml:space="preserve"> </w:t>
      </w:r>
      <w:r w:rsidRPr="00041CAB">
        <w:rPr>
          <w:szCs w:val="20"/>
        </w:rPr>
        <w:t>Plainly,</w:t>
      </w:r>
      <w:r w:rsidR="00C64050">
        <w:rPr>
          <w:szCs w:val="20"/>
        </w:rPr>
        <w:t xml:space="preserve"> </w:t>
      </w:r>
      <w:r w:rsidRPr="00041CAB">
        <w:rPr>
          <w:szCs w:val="20"/>
        </w:rPr>
        <w:t>the</w:t>
      </w:r>
      <w:r w:rsidR="00C64050">
        <w:rPr>
          <w:szCs w:val="20"/>
        </w:rPr>
        <w:t xml:space="preserve"> </w:t>
      </w:r>
      <w:r w:rsidRPr="00041CAB">
        <w:rPr>
          <w:szCs w:val="20"/>
        </w:rPr>
        <w:t>term</w:t>
      </w:r>
      <w:r w:rsidR="00C64050">
        <w:rPr>
          <w:szCs w:val="20"/>
        </w:rPr>
        <w:t xml:space="preserve"> </w:t>
      </w:r>
      <w:r w:rsidRPr="00041CAB">
        <w:rPr>
          <w:szCs w:val="20"/>
        </w:rPr>
        <w:t>“trust</w:t>
      </w:r>
      <w:r w:rsidR="00C64050">
        <w:rPr>
          <w:szCs w:val="20"/>
        </w:rPr>
        <w:t xml:space="preserve"> </w:t>
      </w:r>
      <w:r w:rsidRPr="00041CAB">
        <w:rPr>
          <w:szCs w:val="20"/>
        </w:rPr>
        <w:t>provision”</w:t>
      </w:r>
      <w:r w:rsidR="00C64050">
        <w:rPr>
          <w:szCs w:val="20"/>
        </w:rPr>
        <w:t xml:space="preserve"> </w:t>
      </w:r>
      <w:r w:rsidRPr="00041CAB">
        <w:rPr>
          <w:szCs w:val="20"/>
        </w:rPr>
        <w:t>incorporates</w:t>
      </w:r>
      <w:r w:rsidR="00C64050">
        <w:rPr>
          <w:szCs w:val="20"/>
        </w:rPr>
        <w:t xml:space="preserve"> </w:t>
      </w:r>
      <w:r w:rsidRPr="00041CAB">
        <w:rPr>
          <w:szCs w:val="20"/>
        </w:rPr>
        <w:t>any</w:t>
      </w:r>
      <w:r w:rsidR="00C64050">
        <w:rPr>
          <w:szCs w:val="20"/>
        </w:rPr>
        <w:t xml:space="preserve"> </w:t>
      </w:r>
      <w:r w:rsidRPr="00041CAB">
        <w:rPr>
          <w:szCs w:val="20"/>
        </w:rPr>
        <w:t>amendments</w:t>
      </w:r>
      <w:r w:rsidR="00C64050">
        <w:rPr>
          <w:szCs w:val="20"/>
        </w:rPr>
        <w:t xml:space="preserve"> </w:t>
      </w:r>
      <w:r w:rsidRPr="00041CAB">
        <w:rPr>
          <w:szCs w:val="20"/>
        </w:rPr>
        <w:t>to</w:t>
      </w:r>
      <w:r w:rsidR="00C64050">
        <w:rPr>
          <w:szCs w:val="20"/>
        </w:rPr>
        <w:t xml:space="preserve"> </w:t>
      </w:r>
      <w:r w:rsidRPr="00041CAB">
        <w:rPr>
          <w:szCs w:val="20"/>
        </w:rPr>
        <w:t>a</w:t>
      </w:r>
      <w:r w:rsidR="00C64050">
        <w:rPr>
          <w:szCs w:val="20"/>
        </w:rPr>
        <w:t xml:space="preserve"> </w:t>
      </w:r>
      <w:r w:rsidRPr="00041CAB">
        <w:rPr>
          <w:szCs w:val="20"/>
        </w:rPr>
        <w:t>trust.</w:t>
      </w:r>
      <w:r w:rsidR="00C64050">
        <w:rPr>
          <w:szCs w:val="20"/>
        </w:rPr>
        <w:t xml:space="preserve"> </w:t>
      </w:r>
      <w:r w:rsidRPr="00041CAB">
        <w:rPr>
          <w:szCs w:val="20"/>
        </w:rPr>
        <w:t>Section</w:t>
      </w:r>
      <w:r w:rsidR="00C64050">
        <w:rPr>
          <w:szCs w:val="20"/>
        </w:rPr>
        <w:t xml:space="preserve"> </w:t>
      </w:r>
      <w:r w:rsidRPr="00041CAB">
        <w:rPr>
          <w:szCs w:val="20"/>
        </w:rPr>
        <w:t>24,</w:t>
      </w:r>
      <w:r w:rsidR="00C64050">
        <w:rPr>
          <w:szCs w:val="20"/>
        </w:rPr>
        <w:t xml:space="preserve"> </w:t>
      </w:r>
      <w:r w:rsidRPr="00041CAB">
        <w:rPr>
          <w:szCs w:val="20"/>
        </w:rPr>
        <w:t>subdivision</w:t>
      </w:r>
      <w:r w:rsidR="00C64050">
        <w:rPr>
          <w:szCs w:val="20"/>
        </w:rPr>
        <w:t xml:space="preserve"> </w:t>
      </w:r>
      <w:r w:rsidRPr="00041CAB">
        <w:rPr>
          <w:szCs w:val="20"/>
        </w:rPr>
        <w:t>(c)</w:t>
      </w:r>
      <w:r w:rsidR="00C64050">
        <w:rPr>
          <w:szCs w:val="20"/>
        </w:rPr>
        <w:t xml:space="preserve"> </w:t>
      </w:r>
      <w:r w:rsidRPr="00041CAB">
        <w:rPr>
          <w:szCs w:val="20"/>
        </w:rPr>
        <w:t>defines</w:t>
      </w:r>
      <w:r w:rsidR="00C64050">
        <w:rPr>
          <w:szCs w:val="20"/>
        </w:rPr>
        <w:t xml:space="preserve"> </w:t>
      </w:r>
      <w:r w:rsidRPr="00041CAB">
        <w:rPr>
          <w:szCs w:val="20"/>
        </w:rPr>
        <w:t>a</w:t>
      </w:r>
      <w:r w:rsidR="00C64050">
        <w:rPr>
          <w:szCs w:val="20"/>
        </w:rPr>
        <w:t xml:space="preserve"> </w:t>
      </w:r>
      <w:r w:rsidRPr="00041CAB">
        <w:rPr>
          <w:szCs w:val="20"/>
        </w:rPr>
        <w:t>“beneficiary”</w:t>
      </w:r>
      <w:r w:rsidR="00C64050">
        <w:rPr>
          <w:szCs w:val="20"/>
        </w:rPr>
        <w:t xml:space="preserve"> </w:t>
      </w:r>
      <w:r w:rsidRPr="00041CAB">
        <w:rPr>
          <w:szCs w:val="20"/>
        </w:rPr>
        <w:t>for</w:t>
      </w:r>
      <w:r w:rsidR="00C64050">
        <w:rPr>
          <w:szCs w:val="20"/>
        </w:rPr>
        <w:t xml:space="preserve"> </w:t>
      </w:r>
      <w:r w:rsidRPr="00041CAB">
        <w:rPr>
          <w:szCs w:val="20"/>
        </w:rPr>
        <w:t>trust</w:t>
      </w:r>
      <w:r w:rsidR="00C64050">
        <w:rPr>
          <w:szCs w:val="20"/>
        </w:rPr>
        <w:t xml:space="preserve"> </w:t>
      </w:r>
      <w:r w:rsidRPr="00041CAB">
        <w:rPr>
          <w:szCs w:val="20"/>
        </w:rPr>
        <w:t>purposes,</w:t>
      </w:r>
      <w:r w:rsidR="00C64050">
        <w:rPr>
          <w:szCs w:val="20"/>
        </w:rPr>
        <w:t xml:space="preserve"> </w:t>
      </w:r>
      <w:r w:rsidRPr="00041CAB">
        <w:rPr>
          <w:szCs w:val="20"/>
        </w:rPr>
        <w:t>as</w:t>
      </w:r>
      <w:r w:rsidR="00C64050">
        <w:rPr>
          <w:szCs w:val="20"/>
        </w:rPr>
        <w:t xml:space="preserve"> </w:t>
      </w:r>
      <w:r w:rsidRPr="00041CAB">
        <w:rPr>
          <w:szCs w:val="20"/>
        </w:rPr>
        <w:t>“a</w:t>
      </w:r>
      <w:r w:rsidR="00C64050">
        <w:rPr>
          <w:szCs w:val="20"/>
        </w:rPr>
        <w:t xml:space="preserve"> </w:t>
      </w:r>
      <w:r w:rsidRPr="00041CAB">
        <w:rPr>
          <w:szCs w:val="20"/>
        </w:rPr>
        <w:t>person</w:t>
      </w:r>
      <w:r w:rsidR="00C64050">
        <w:rPr>
          <w:szCs w:val="20"/>
        </w:rPr>
        <w:t xml:space="preserve"> </w:t>
      </w:r>
      <w:r w:rsidRPr="00041CAB">
        <w:rPr>
          <w:szCs w:val="20"/>
        </w:rPr>
        <w:t>who</w:t>
      </w:r>
      <w:r w:rsidR="00C64050">
        <w:rPr>
          <w:szCs w:val="20"/>
        </w:rPr>
        <w:t xml:space="preserve"> </w:t>
      </w:r>
      <w:r w:rsidRPr="00041CAB">
        <w:rPr>
          <w:szCs w:val="20"/>
        </w:rPr>
        <w:t>has</w:t>
      </w:r>
      <w:r w:rsidR="00C64050">
        <w:rPr>
          <w:szCs w:val="20"/>
        </w:rPr>
        <w:t xml:space="preserve"> </w:t>
      </w:r>
      <w:r w:rsidRPr="00041CAB">
        <w:rPr>
          <w:szCs w:val="20"/>
        </w:rPr>
        <w:t>any</w:t>
      </w:r>
      <w:r w:rsidR="00C64050">
        <w:rPr>
          <w:szCs w:val="20"/>
        </w:rPr>
        <w:t xml:space="preserve"> </w:t>
      </w:r>
      <w:r w:rsidRPr="00041CAB">
        <w:rPr>
          <w:szCs w:val="20"/>
        </w:rPr>
        <w:t>present</w:t>
      </w:r>
      <w:r w:rsidR="00C64050">
        <w:rPr>
          <w:szCs w:val="20"/>
        </w:rPr>
        <w:t xml:space="preserve"> </w:t>
      </w:r>
      <w:r w:rsidRPr="00041CAB">
        <w:rPr>
          <w:szCs w:val="20"/>
        </w:rPr>
        <w:t>or</w:t>
      </w:r>
      <w:r w:rsidR="00C64050">
        <w:rPr>
          <w:szCs w:val="20"/>
        </w:rPr>
        <w:t xml:space="preserve"> </w:t>
      </w:r>
      <w:r w:rsidRPr="00041CAB">
        <w:rPr>
          <w:szCs w:val="20"/>
        </w:rPr>
        <w:t>future</w:t>
      </w:r>
      <w:r w:rsidR="00C64050">
        <w:rPr>
          <w:szCs w:val="20"/>
        </w:rPr>
        <w:t xml:space="preserve"> </w:t>
      </w:r>
      <w:r w:rsidRPr="00041CAB">
        <w:rPr>
          <w:szCs w:val="20"/>
        </w:rPr>
        <w:t>interest,</w:t>
      </w:r>
      <w:r w:rsidR="00C64050">
        <w:rPr>
          <w:szCs w:val="20"/>
        </w:rPr>
        <w:t xml:space="preserve"> </w:t>
      </w:r>
      <w:r w:rsidRPr="00041CAB">
        <w:rPr>
          <w:szCs w:val="20"/>
        </w:rPr>
        <w:t>vested</w:t>
      </w:r>
      <w:r w:rsidR="00C64050">
        <w:rPr>
          <w:szCs w:val="20"/>
        </w:rPr>
        <w:t xml:space="preserve"> </w:t>
      </w:r>
      <w:r w:rsidRPr="00041CAB">
        <w:rPr>
          <w:szCs w:val="20"/>
        </w:rPr>
        <w:t>or</w:t>
      </w:r>
      <w:r w:rsidR="00C64050">
        <w:rPr>
          <w:szCs w:val="20"/>
        </w:rPr>
        <w:t xml:space="preserve"> </w:t>
      </w:r>
      <w:r w:rsidRPr="00041CAB">
        <w:rPr>
          <w:szCs w:val="20"/>
        </w:rPr>
        <w:t>contingent.”</w:t>
      </w:r>
      <w:r w:rsidR="00C64050">
        <w:rPr>
          <w:szCs w:val="20"/>
        </w:rPr>
        <w:t xml:space="preserve"> </w:t>
      </w:r>
      <w:r w:rsidRPr="00041CAB">
        <w:rPr>
          <w:szCs w:val="20"/>
        </w:rPr>
        <w:t>Assuming</w:t>
      </w:r>
      <w:r w:rsidR="00C64050">
        <w:rPr>
          <w:szCs w:val="20"/>
        </w:rPr>
        <w:t xml:space="preserve"> </w:t>
      </w:r>
      <w:r w:rsidRPr="00041CAB">
        <w:rPr>
          <w:szCs w:val="20"/>
        </w:rPr>
        <w:t>plaintiff’s</w:t>
      </w:r>
      <w:r w:rsidR="00C64050">
        <w:rPr>
          <w:szCs w:val="20"/>
        </w:rPr>
        <w:t xml:space="preserve"> </w:t>
      </w:r>
      <w:r w:rsidRPr="00041CAB">
        <w:rPr>
          <w:szCs w:val="20"/>
        </w:rPr>
        <w:t>allegations</w:t>
      </w:r>
      <w:r w:rsidR="00C64050">
        <w:rPr>
          <w:szCs w:val="20"/>
        </w:rPr>
        <w:t xml:space="preserve"> </w:t>
      </w:r>
      <w:r w:rsidRPr="00041CAB">
        <w:rPr>
          <w:szCs w:val="20"/>
        </w:rPr>
        <w:t>are</w:t>
      </w:r>
      <w:r w:rsidR="00C64050">
        <w:rPr>
          <w:szCs w:val="20"/>
        </w:rPr>
        <w:t xml:space="preserve"> </w:t>
      </w:r>
      <w:r w:rsidRPr="00041CAB">
        <w:rPr>
          <w:szCs w:val="20"/>
        </w:rPr>
        <w:t>true,</w:t>
      </w:r>
      <w:r w:rsidR="00C64050">
        <w:rPr>
          <w:szCs w:val="20"/>
        </w:rPr>
        <w:t xml:space="preserve"> </w:t>
      </w:r>
      <w:r w:rsidRPr="00041CAB">
        <w:rPr>
          <w:szCs w:val="20"/>
        </w:rPr>
        <w:t>she</w:t>
      </w:r>
      <w:r w:rsidR="00C64050">
        <w:rPr>
          <w:szCs w:val="20"/>
        </w:rPr>
        <w:t xml:space="preserve"> </w:t>
      </w:r>
      <w:r w:rsidRPr="00041CAB">
        <w:rPr>
          <w:szCs w:val="20"/>
        </w:rPr>
        <w:t>has</w:t>
      </w:r>
      <w:r w:rsidR="00C64050">
        <w:rPr>
          <w:szCs w:val="20"/>
        </w:rPr>
        <w:t xml:space="preserve"> </w:t>
      </w:r>
      <w:r w:rsidRPr="00041CAB">
        <w:rPr>
          <w:szCs w:val="20"/>
        </w:rPr>
        <w:t>a</w:t>
      </w:r>
      <w:r w:rsidR="00C64050">
        <w:rPr>
          <w:szCs w:val="20"/>
        </w:rPr>
        <w:t xml:space="preserve"> </w:t>
      </w:r>
      <w:r w:rsidRPr="00041CAB">
        <w:rPr>
          <w:szCs w:val="20"/>
        </w:rPr>
        <w:t>present</w:t>
      </w:r>
      <w:r w:rsidR="00C64050">
        <w:rPr>
          <w:szCs w:val="20"/>
        </w:rPr>
        <w:t xml:space="preserve"> </w:t>
      </w:r>
      <w:r w:rsidRPr="00041CAB">
        <w:rPr>
          <w:szCs w:val="20"/>
        </w:rPr>
        <w:t>or</w:t>
      </w:r>
      <w:r w:rsidR="00C64050">
        <w:rPr>
          <w:szCs w:val="20"/>
        </w:rPr>
        <w:t xml:space="preserve"> </w:t>
      </w:r>
      <w:r w:rsidRPr="00041CAB">
        <w:rPr>
          <w:szCs w:val="20"/>
        </w:rPr>
        <w:t>future</w:t>
      </w:r>
      <w:r w:rsidR="00C64050">
        <w:rPr>
          <w:szCs w:val="20"/>
        </w:rPr>
        <w:t xml:space="preserve"> </w:t>
      </w:r>
      <w:r w:rsidRPr="00041CAB">
        <w:rPr>
          <w:szCs w:val="20"/>
        </w:rPr>
        <w:t>interest,</w:t>
      </w:r>
      <w:r w:rsidR="00C64050">
        <w:rPr>
          <w:szCs w:val="20"/>
        </w:rPr>
        <w:t xml:space="preserve"> </w:t>
      </w:r>
      <w:r w:rsidRPr="00041CAB">
        <w:rPr>
          <w:szCs w:val="20"/>
        </w:rPr>
        <w:t>making</w:t>
      </w:r>
      <w:r w:rsidR="00C64050">
        <w:rPr>
          <w:szCs w:val="20"/>
        </w:rPr>
        <w:t xml:space="preserve"> </w:t>
      </w:r>
      <w:r w:rsidRPr="00041CAB">
        <w:rPr>
          <w:szCs w:val="20"/>
        </w:rPr>
        <w:t>her</w:t>
      </w:r>
      <w:r w:rsidR="00C64050">
        <w:rPr>
          <w:szCs w:val="20"/>
        </w:rPr>
        <w:t xml:space="preserve"> </w:t>
      </w:r>
      <w:r w:rsidRPr="00041CAB">
        <w:rPr>
          <w:szCs w:val="20"/>
        </w:rPr>
        <w:t>a</w:t>
      </w:r>
      <w:r w:rsidR="00C64050">
        <w:rPr>
          <w:szCs w:val="20"/>
        </w:rPr>
        <w:t xml:space="preserve"> </w:t>
      </w:r>
      <w:r w:rsidRPr="00041CAB">
        <w:rPr>
          <w:szCs w:val="20"/>
        </w:rPr>
        <w:t>beneficiary</w:t>
      </w:r>
      <w:r w:rsidR="00C64050">
        <w:rPr>
          <w:szCs w:val="20"/>
        </w:rPr>
        <w:t xml:space="preserve"> </w:t>
      </w:r>
      <w:r w:rsidRPr="00041CAB">
        <w:rPr>
          <w:szCs w:val="20"/>
        </w:rPr>
        <w:t>permitted</w:t>
      </w:r>
      <w:r w:rsidR="00C64050">
        <w:rPr>
          <w:szCs w:val="20"/>
        </w:rPr>
        <w:t xml:space="preserve"> </w:t>
      </w:r>
      <w:r w:rsidRPr="00041CAB">
        <w:rPr>
          <w:szCs w:val="20"/>
        </w:rPr>
        <w:t>to</w:t>
      </w:r>
      <w:r w:rsidR="00C64050">
        <w:rPr>
          <w:szCs w:val="20"/>
        </w:rPr>
        <w:t xml:space="preserve"> </w:t>
      </w:r>
      <w:r w:rsidRPr="00041CAB">
        <w:rPr>
          <w:szCs w:val="20"/>
        </w:rPr>
        <w:t>petition</w:t>
      </w:r>
      <w:r w:rsidR="00C64050">
        <w:rPr>
          <w:szCs w:val="20"/>
        </w:rPr>
        <w:t xml:space="preserve"> </w:t>
      </w:r>
      <w:r w:rsidRPr="00041CAB">
        <w:rPr>
          <w:szCs w:val="20"/>
        </w:rPr>
        <w:t>the</w:t>
      </w:r>
      <w:r w:rsidR="00C64050">
        <w:rPr>
          <w:szCs w:val="20"/>
        </w:rPr>
        <w:t xml:space="preserve"> </w:t>
      </w:r>
      <w:r w:rsidRPr="00041CAB">
        <w:rPr>
          <w:szCs w:val="20"/>
        </w:rPr>
        <w:t>probate</w:t>
      </w:r>
      <w:r w:rsidR="00C64050">
        <w:rPr>
          <w:szCs w:val="20"/>
        </w:rPr>
        <w:t xml:space="preserve"> </w:t>
      </w:r>
      <w:r w:rsidRPr="00041CAB">
        <w:rPr>
          <w:szCs w:val="20"/>
        </w:rPr>
        <w:t>court</w:t>
      </w:r>
      <w:r w:rsidR="00C64050">
        <w:rPr>
          <w:szCs w:val="20"/>
        </w:rPr>
        <w:t xml:space="preserve"> </w:t>
      </w:r>
      <w:r w:rsidRPr="00041CAB">
        <w:rPr>
          <w:szCs w:val="20"/>
        </w:rPr>
        <w:t>under</w:t>
      </w:r>
      <w:r w:rsidR="00C64050">
        <w:rPr>
          <w:szCs w:val="20"/>
        </w:rPr>
        <w:t xml:space="preserve"> </w:t>
      </w:r>
      <w:r w:rsidRPr="00041CAB">
        <w:rPr>
          <w:szCs w:val="20"/>
        </w:rPr>
        <w:t>section</w:t>
      </w:r>
      <w:r w:rsidR="00C64050">
        <w:rPr>
          <w:szCs w:val="20"/>
        </w:rPr>
        <w:t xml:space="preserve"> </w:t>
      </w:r>
      <w:r w:rsidRPr="00041CAB">
        <w:rPr>
          <w:szCs w:val="20"/>
        </w:rPr>
        <w:t>17200.</w:t>
      </w:r>
    </w:p>
    <w:p w:rsidR="00041CAB" w:rsidRPr="00041CAB" w:rsidRDefault="00041CAB" w:rsidP="00041CAB">
      <w:pPr>
        <w:pStyle w:val="QS10"/>
        <w:jc w:val="center"/>
        <w:rPr>
          <w:szCs w:val="20"/>
        </w:rPr>
      </w:pPr>
      <w:r w:rsidRPr="00041CAB">
        <w:rPr>
          <w:szCs w:val="20"/>
        </w:rPr>
        <w:t>***</w:t>
      </w:r>
    </w:p>
    <w:p w:rsidR="00041CAB" w:rsidRPr="00041CAB" w:rsidRDefault="00041CAB" w:rsidP="00041CAB">
      <w:pPr>
        <w:pStyle w:val="QS10"/>
        <w:rPr>
          <w:szCs w:val="20"/>
        </w:rPr>
      </w:pPr>
      <w:r w:rsidRPr="00041CAB">
        <w:rPr>
          <w:szCs w:val="20"/>
        </w:rPr>
        <w:t>Reading</w:t>
      </w:r>
      <w:r w:rsidR="00C64050">
        <w:rPr>
          <w:szCs w:val="20"/>
        </w:rPr>
        <w:t xml:space="preserve"> </w:t>
      </w:r>
      <w:r w:rsidRPr="00041CAB">
        <w:rPr>
          <w:szCs w:val="20"/>
        </w:rPr>
        <w:t>the</w:t>
      </w:r>
      <w:r w:rsidR="00C64050">
        <w:rPr>
          <w:szCs w:val="20"/>
        </w:rPr>
        <w:t xml:space="preserve"> </w:t>
      </w:r>
      <w:r w:rsidRPr="00041CAB">
        <w:rPr>
          <w:szCs w:val="20"/>
        </w:rPr>
        <w:t>Probate</w:t>
      </w:r>
      <w:r w:rsidR="00C64050">
        <w:rPr>
          <w:szCs w:val="20"/>
        </w:rPr>
        <w:t xml:space="preserve"> </w:t>
      </w:r>
      <w:r w:rsidRPr="00041CAB">
        <w:rPr>
          <w:szCs w:val="20"/>
        </w:rPr>
        <w:t>Code</w:t>
      </w:r>
      <w:r w:rsidR="00C64050">
        <w:rPr>
          <w:szCs w:val="20"/>
        </w:rPr>
        <w:t xml:space="preserve"> </w:t>
      </w:r>
      <w:r w:rsidRPr="00041CAB">
        <w:rPr>
          <w:szCs w:val="20"/>
        </w:rPr>
        <w:t>section</w:t>
      </w:r>
      <w:r w:rsidR="00C64050">
        <w:rPr>
          <w:szCs w:val="20"/>
        </w:rPr>
        <w:t xml:space="preserve"> </w:t>
      </w:r>
      <w:r w:rsidRPr="00041CAB">
        <w:rPr>
          <w:szCs w:val="20"/>
        </w:rPr>
        <w:t>consistent</w:t>
      </w:r>
      <w:r w:rsidR="00C64050">
        <w:rPr>
          <w:szCs w:val="20"/>
        </w:rPr>
        <w:t xml:space="preserve"> </w:t>
      </w:r>
      <w:r w:rsidRPr="00041CAB">
        <w:rPr>
          <w:szCs w:val="20"/>
        </w:rPr>
        <w:t>with</w:t>
      </w:r>
      <w:r w:rsidR="00C64050">
        <w:rPr>
          <w:szCs w:val="20"/>
        </w:rPr>
        <w:t xml:space="preserve"> </w:t>
      </w:r>
      <w:r w:rsidRPr="00041CAB">
        <w:rPr>
          <w:szCs w:val="20"/>
        </w:rPr>
        <w:t>the</w:t>
      </w:r>
      <w:r w:rsidR="00C64050">
        <w:rPr>
          <w:szCs w:val="20"/>
        </w:rPr>
        <w:t xml:space="preserve"> </w:t>
      </w:r>
      <w:r w:rsidRPr="00041CAB">
        <w:rPr>
          <w:szCs w:val="20"/>
        </w:rPr>
        <w:t>statutory</w:t>
      </w:r>
      <w:r w:rsidR="00C64050">
        <w:rPr>
          <w:szCs w:val="20"/>
        </w:rPr>
        <w:t xml:space="preserve"> </w:t>
      </w:r>
      <w:r w:rsidRPr="00041CAB">
        <w:rPr>
          <w:szCs w:val="20"/>
        </w:rPr>
        <w:t>scheme</w:t>
      </w:r>
      <w:r w:rsidR="00C64050">
        <w:rPr>
          <w:szCs w:val="20"/>
        </w:rPr>
        <w:t xml:space="preserve"> </w:t>
      </w:r>
      <w:r w:rsidRPr="00041CAB">
        <w:rPr>
          <w:szCs w:val="20"/>
        </w:rPr>
        <w:t>as</w:t>
      </w:r>
      <w:r w:rsidR="00C64050">
        <w:rPr>
          <w:szCs w:val="20"/>
        </w:rPr>
        <w:t xml:space="preserve"> </w:t>
      </w:r>
      <w:r w:rsidRPr="00041CAB">
        <w:rPr>
          <w:szCs w:val="20"/>
        </w:rPr>
        <w:t>a</w:t>
      </w:r>
      <w:r w:rsidR="00C64050">
        <w:rPr>
          <w:szCs w:val="20"/>
        </w:rPr>
        <w:t xml:space="preserve"> </w:t>
      </w:r>
      <w:r w:rsidRPr="00041CAB">
        <w:rPr>
          <w:szCs w:val="20"/>
        </w:rPr>
        <w:t>whole,</w:t>
      </w:r>
      <w:r w:rsidR="00C64050">
        <w:rPr>
          <w:szCs w:val="20"/>
        </w:rPr>
        <w:t xml:space="preserve"> </w:t>
      </w:r>
      <w:r w:rsidRPr="00041CAB">
        <w:rPr>
          <w:szCs w:val="20"/>
        </w:rPr>
        <w:t>and</w:t>
      </w:r>
      <w:r w:rsidR="00C64050">
        <w:rPr>
          <w:szCs w:val="20"/>
        </w:rPr>
        <w:t xml:space="preserve"> </w:t>
      </w:r>
      <w:r w:rsidRPr="00041CAB">
        <w:rPr>
          <w:szCs w:val="20"/>
        </w:rPr>
        <w:t>examining</w:t>
      </w:r>
      <w:r w:rsidR="00C64050">
        <w:rPr>
          <w:szCs w:val="20"/>
        </w:rPr>
        <w:t xml:space="preserve"> </w:t>
      </w:r>
      <w:r w:rsidRPr="00041CAB">
        <w:rPr>
          <w:szCs w:val="20"/>
        </w:rPr>
        <w:t>the</w:t>
      </w:r>
      <w:r w:rsidR="00C64050">
        <w:rPr>
          <w:szCs w:val="20"/>
        </w:rPr>
        <w:t xml:space="preserve"> </w:t>
      </w:r>
      <w:r w:rsidRPr="00041CAB">
        <w:rPr>
          <w:szCs w:val="20"/>
        </w:rPr>
        <w:t>statutory</w:t>
      </w:r>
      <w:r w:rsidR="00C64050">
        <w:rPr>
          <w:szCs w:val="20"/>
        </w:rPr>
        <w:t xml:space="preserve"> </w:t>
      </w:r>
      <w:r w:rsidRPr="00041CAB">
        <w:rPr>
          <w:szCs w:val="20"/>
        </w:rPr>
        <w:t>language</w:t>
      </w:r>
      <w:r w:rsidR="00C64050">
        <w:rPr>
          <w:szCs w:val="20"/>
        </w:rPr>
        <w:t xml:space="preserve"> </w:t>
      </w:r>
      <w:r w:rsidRPr="00041CAB">
        <w:rPr>
          <w:szCs w:val="20"/>
        </w:rPr>
        <w:t>to</w:t>
      </w:r>
      <w:r w:rsidR="00C64050">
        <w:rPr>
          <w:szCs w:val="20"/>
        </w:rPr>
        <w:t xml:space="preserve"> </w:t>
      </w:r>
      <w:r w:rsidRPr="00041CAB">
        <w:rPr>
          <w:szCs w:val="20"/>
        </w:rPr>
        <w:t>give</w:t>
      </w:r>
      <w:r w:rsidR="00C64050">
        <w:rPr>
          <w:szCs w:val="20"/>
        </w:rPr>
        <w:t xml:space="preserve"> </w:t>
      </w:r>
      <w:r w:rsidRPr="00041CAB">
        <w:rPr>
          <w:szCs w:val="20"/>
        </w:rPr>
        <w:t>it</w:t>
      </w:r>
      <w:r w:rsidR="00C64050">
        <w:rPr>
          <w:szCs w:val="20"/>
        </w:rPr>
        <w:t xml:space="preserve"> </w:t>
      </w:r>
      <w:r w:rsidRPr="00041CAB">
        <w:rPr>
          <w:szCs w:val="20"/>
        </w:rPr>
        <w:t>commonsense</w:t>
      </w:r>
      <w:r w:rsidR="00C64050">
        <w:rPr>
          <w:szCs w:val="20"/>
        </w:rPr>
        <w:t xml:space="preserve"> </w:t>
      </w:r>
      <w:r w:rsidRPr="00041CAB">
        <w:rPr>
          <w:szCs w:val="20"/>
        </w:rPr>
        <w:t>meaning,</w:t>
      </w:r>
      <w:r w:rsidR="00C64050">
        <w:rPr>
          <w:szCs w:val="20"/>
        </w:rPr>
        <w:t xml:space="preserve"> </w:t>
      </w:r>
      <w:r w:rsidRPr="00041CAB">
        <w:rPr>
          <w:szCs w:val="20"/>
        </w:rPr>
        <w:t>we</w:t>
      </w:r>
      <w:r w:rsidR="00C64050">
        <w:rPr>
          <w:szCs w:val="20"/>
        </w:rPr>
        <w:t xml:space="preserve"> </w:t>
      </w:r>
      <w:r w:rsidRPr="00041CAB">
        <w:rPr>
          <w:szCs w:val="20"/>
        </w:rPr>
        <w:t>conclude</w:t>
      </w:r>
      <w:r w:rsidR="00C64050">
        <w:rPr>
          <w:szCs w:val="20"/>
        </w:rPr>
        <w:t xml:space="preserve"> </w:t>
      </w:r>
      <w:r w:rsidRPr="00041CAB">
        <w:rPr>
          <w:szCs w:val="20"/>
        </w:rPr>
        <w:t>that</w:t>
      </w:r>
      <w:r w:rsidR="00C64050">
        <w:rPr>
          <w:szCs w:val="20"/>
        </w:rPr>
        <w:t xml:space="preserve"> </w:t>
      </w:r>
      <w:r w:rsidRPr="00041CAB">
        <w:rPr>
          <w:szCs w:val="20"/>
        </w:rPr>
        <w:t>claims</w:t>
      </w:r>
      <w:r w:rsidR="00C64050">
        <w:rPr>
          <w:szCs w:val="20"/>
        </w:rPr>
        <w:t xml:space="preserve"> </w:t>
      </w:r>
      <w:r w:rsidRPr="00041CAB">
        <w:rPr>
          <w:szCs w:val="20"/>
        </w:rPr>
        <w:t>that</w:t>
      </w:r>
      <w:r w:rsidR="00C64050">
        <w:rPr>
          <w:szCs w:val="20"/>
        </w:rPr>
        <w:t xml:space="preserve"> </w:t>
      </w:r>
      <w:r w:rsidRPr="00041CAB">
        <w:rPr>
          <w:szCs w:val="20"/>
        </w:rPr>
        <w:t>trust</w:t>
      </w:r>
      <w:r w:rsidR="00C64050">
        <w:rPr>
          <w:szCs w:val="20"/>
        </w:rPr>
        <w:t xml:space="preserve"> </w:t>
      </w:r>
      <w:r w:rsidRPr="00041CAB">
        <w:rPr>
          <w:szCs w:val="20"/>
        </w:rPr>
        <w:t>provisions</w:t>
      </w:r>
      <w:r w:rsidR="00C64050">
        <w:rPr>
          <w:szCs w:val="20"/>
        </w:rPr>
        <w:t xml:space="preserve"> </w:t>
      </w:r>
      <w:r w:rsidRPr="00041CAB">
        <w:rPr>
          <w:szCs w:val="20"/>
        </w:rPr>
        <w:t>or</w:t>
      </w:r>
      <w:r w:rsidR="00C64050">
        <w:rPr>
          <w:szCs w:val="20"/>
        </w:rPr>
        <w:t xml:space="preserve"> </w:t>
      </w:r>
      <w:r w:rsidRPr="00041CAB">
        <w:rPr>
          <w:szCs w:val="20"/>
        </w:rPr>
        <w:t>amendments</w:t>
      </w:r>
      <w:r w:rsidR="00C64050">
        <w:rPr>
          <w:szCs w:val="20"/>
        </w:rPr>
        <w:t xml:space="preserve"> </w:t>
      </w:r>
      <w:r w:rsidRPr="00041CAB">
        <w:rPr>
          <w:szCs w:val="20"/>
        </w:rPr>
        <w:t>are</w:t>
      </w:r>
      <w:r w:rsidR="00C64050">
        <w:rPr>
          <w:szCs w:val="20"/>
        </w:rPr>
        <w:t xml:space="preserve"> </w:t>
      </w:r>
      <w:r w:rsidRPr="00041CAB">
        <w:rPr>
          <w:szCs w:val="20"/>
        </w:rPr>
        <w:t>the</w:t>
      </w:r>
      <w:r w:rsidR="00C64050">
        <w:rPr>
          <w:szCs w:val="20"/>
        </w:rPr>
        <w:t xml:space="preserve"> </w:t>
      </w:r>
      <w:r w:rsidRPr="00041CAB">
        <w:rPr>
          <w:szCs w:val="20"/>
        </w:rPr>
        <w:t>product</w:t>
      </w:r>
      <w:r w:rsidR="00C64050">
        <w:rPr>
          <w:szCs w:val="20"/>
        </w:rPr>
        <w:t xml:space="preserve"> </w:t>
      </w:r>
      <w:r w:rsidRPr="00041CAB">
        <w:rPr>
          <w:szCs w:val="20"/>
        </w:rPr>
        <w:t>of</w:t>
      </w:r>
      <w:r w:rsidR="00C64050">
        <w:rPr>
          <w:szCs w:val="20"/>
        </w:rPr>
        <w:t xml:space="preserve"> </w:t>
      </w:r>
      <w:r w:rsidRPr="00041CAB">
        <w:rPr>
          <w:szCs w:val="20"/>
        </w:rPr>
        <w:t>incompetence,</w:t>
      </w:r>
      <w:r w:rsidR="00C64050">
        <w:rPr>
          <w:szCs w:val="20"/>
        </w:rPr>
        <w:t xml:space="preserve"> </w:t>
      </w:r>
      <w:r w:rsidRPr="00041CAB">
        <w:rPr>
          <w:szCs w:val="20"/>
        </w:rPr>
        <w:t>undue</w:t>
      </w:r>
      <w:r w:rsidR="00C64050">
        <w:rPr>
          <w:szCs w:val="20"/>
        </w:rPr>
        <w:t xml:space="preserve"> </w:t>
      </w:r>
      <w:r w:rsidRPr="00041CAB">
        <w:rPr>
          <w:szCs w:val="20"/>
        </w:rPr>
        <w:t>influence,</w:t>
      </w:r>
      <w:r w:rsidR="00C64050">
        <w:rPr>
          <w:szCs w:val="20"/>
        </w:rPr>
        <w:t xml:space="preserve"> </w:t>
      </w:r>
      <w:r w:rsidRPr="00041CAB">
        <w:rPr>
          <w:szCs w:val="20"/>
        </w:rPr>
        <w:t>or</w:t>
      </w:r>
      <w:r w:rsidR="00C64050">
        <w:rPr>
          <w:szCs w:val="20"/>
        </w:rPr>
        <w:t xml:space="preserve"> </w:t>
      </w:r>
      <w:r w:rsidRPr="00041CAB">
        <w:rPr>
          <w:szCs w:val="20"/>
        </w:rPr>
        <w:t>fraud,</w:t>
      </w:r>
      <w:r w:rsidR="00C64050">
        <w:rPr>
          <w:szCs w:val="20"/>
        </w:rPr>
        <w:t xml:space="preserve"> </w:t>
      </w:r>
      <w:r w:rsidRPr="00041CAB">
        <w:rPr>
          <w:szCs w:val="20"/>
        </w:rPr>
        <w:t>as</w:t>
      </w:r>
      <w:r w:rsidR="00C64050">
        <w:rPr>
          <w:szCs w:val="20"/>
        </w:rPr>
        <w:t xml:space="preserve"> </w:t>
      </w:r>
      <w:r w:rsidRPr="00041CAB">
        <w:rPr>
          <w:szCs w:val="20"/>
        </w:rPr>
        <w:t>is</w:t>
      </w:r>
      <w:r w:rsidR="00C64050">
        <w:rPr>
          <w:szCs w:val="20"/>
        </w:rPr>
        <w:t xml:space="preserve"> </w:t>
      </w:r>
      <w:r w:rsidRPr="00041CAB">
        <w:rPr>
          <w:szCs w:val="20"/>
        </w:rPr>
        <w:t>alleged</w:t>
      </w:r>
      <w:r w:rsidR="00C64050">
        <w:rPr>
          <w:szCs w:val="20"/>
        </w:rPr>
        <w:t xml:space="preserve"> </w:t>
      </w:r>
      <w:r w:rsidRPr="00041CAB">
        <w:rPr>
          <w:szCs w:val="20"/>
        </w:rPr>
        <w:t>here,</w:t>
      </w:r>
      <w:r w:rsidR="00C64050">
        <w:rPr>
          <w:szCs w:val="20"/>
        </w:rPr>
        <w:t xml:space="preserve"> </w:t>
      </w:r>
      <w:r w:rsidRPr="00041CAB">
        <w:rPr>
          <w:szCs w:val="20"/>
        </w:rPr>
        <w:t>should</w:t>
      </w:r>
      <w:r w:rsidR="00C64050">
        <w:rPr>
          <w:szCs w:val="20"/>
        </w:rPr>
        <w:t xml:space="preserve"> </w:t>
      </w:r>
      <w:r w:rsidRPr="00041CAB">
        <w:rPr>
          <w:szCs w:val="20"/>
        </w:rPr>
        <w:t>be</w:t>
      </w:r>
      <w:r w:rsidR="00C64050">
        <w:rPr>
          <w:szCs w:val="20"/>
        </w:rPr>
        <w:t xml:space="preserve"> </w:t>
      </w:r>
      <w:r w:rsidRPr="00041CAB">
        <w:rPr>
          <w:szCs w:val="20"/>
        </w:rPr>
        <w:t>decided</w:t>
      </w:r>
      <w:r w:rsidR="00C64050">
        <w:rPr>
          <w:szCs w:val="20"/>
        </w:rPr>
        <w:t xml:space="preserve"> </w:t>
      </w:r>
      <w:r w:rsidRPr="00041CAB">
        <w:rPr>
          <w:szCs w:val="20"/>
        </w:rPr>
        <w:t>by</w:t>
      </w:r>
      <w:r w:rsidR="00C64050">
        <w:rPr>
          <w:szCs w:val="20"/>
        </w:rPr>
        <w:t xml:space="preserve"> </w:t>
      </w:r>
      <w:r w:rsidRPr="00041CAB">
        <w:rPr>
          <w:szCs w:val="20"/>
        </w:rPr>
        <w:t>the</w:t>
      </w:r>
      <w:r w:rsidR="00C64050">
        <w:rPr>
          <w:szCs w:val="20"/>
        </w:rPr>
        <w:t xml:space="preserve"> </w:t>
      </w:r>
      <w:r w:rsidRPr="00041CAB">
        <w:rPr>
          <w:szCs w:val="20"/>
        </w:rPr>
        <w:t>probate</w:t>
      </w:r>
      <w:r w:rsidR="00C64050">
        <w:rPr>
          <w:szCs w:val="20"/>
        </w:rPr>
        <w:t xml:space="preserve"> </w:t>
      </w:r>
      <w:r w:rsidRPr="00041CAB">
        <w:rPr>
          <w:szCs w:val="20"/>
        </w:rPr>
        <w:t>court,</w:t>
      </w:r>
      <w:r w:rsidR="00C64050">
        <w:rPr>
          <w:szCs w:val="20"/>
        </w:rPr>
        <w:t xml:space="preserve"> </w:t>
      </w:r>
      <w:r w:rsidRPr="00041CAB">
        <w:rPr>
          <w:szCs w:val="20"/>
        </w:rPr>
        <w:t>if</w:t>
      </w:r>
      <w:r w:rsidR="00C64050">
        <w:rPr>
          <w:szCs w:val="20"/>
        </w:rPr>
        <w:t xml:space="preserve"> </w:t>
      </w:r>
      <w:r w:rsidRPr="00041CAB">
        <w:rPr>
          <w:szCs w:val="20"/>
        </w:rPr>
        <w:t>the</w:t>
      </w:r>
      <w:r w:rsidR="00C64050">
        <w:rPr>
          <w:szCs w:val="20"/>
        </w:rPr>
        <w:t xml:space="preserve"> </w:t>
      </w:r>
      <w:r w:rsidRPr="00041CAB">
        <w:rPr>
          <w:szCs w:val="20"/>
        </w:rPr>
        <w:t>invalidity</w:t>
      </w:r>
      <w:r w:rsidR="00C64050">
        <w:rPr>
          <w:szCs w:val="20"/>
        </w:rPr>
        <w:t xml:space="preserve"> </w:t>
      </w:r>
      <w:r w:rsidRPr="00041CAB">
        <w:rPr>
          <w:szCs w:val="20"/>
        </w:rPr>
        <w:t>of</w:t>
      </w:r>
      <w:r w:rsidR="00C64050">
        <w:rPr>
          <w:szCs w:val="20"/>
        </w:rPr>
        <w:t xml:space="preserve"> </w:t>
      </w:r>
      <w:r w:rsidRPr="00041CAB">
        <w:rPr>
          <w:szCs w:val="20"/>
        </w:rPr>
        <w:t>those</w:t>
      </w:r>
      <w:r w:rsidR="00C64050">
        <w:rPr>
          <w:szCs w:val="20"/>
        </w:rPr>
        <w:t xml:space="preserve"> </w:t>
      </w:r>
      <w:r w:rsidRPr="00041CAB">
        <w:rPr>
          <w:szCs w:val="20"/>
        </w:rPr>
        <w:t>provisions</w:t>
      </w:r>
      <w:r w:rsidR="00C64050">
        <w:rPr>
          <w:szCs w:val="20"/>
        </w:rPr>
        <w:t xml:space="preserve"> </w:t>
      </w:r>
      <w:r w:rsidRPr="00041CAB">
        <w:rPr>
          <w:szCs w:val="20"/>
        </w:rPr>
        <w:t>or</w:t>
      </w:r>
      <w:r w:rsidR="00C64050">
        <w:rPr>
          <w:szCs w:val="20"/>
        </w:rPr>
        <w:t xml:space="preserve"> </w:t>
      </w:r>
      <w:r w:rsidRPr="00041CAB">
        <w:rPr>
          <w:szCs w:val="20"/>
        </w:rPr>
        <w:t>amendments</w:t>
      </w:r>
      <w:r w:rsidR="00C64050">
        <w:rPr>
          <w:szCs w:val="20"/>
        </w:rPr>
        <w:t xml:space="preserve"> </w:t>
      </w:r>
      <w:r w:rsidRPr="00041CAB">
        <w:rPr>
          <w:szCs w:val="20"/>
        </w:rPr>
        <w:t>would</w:t>
      </w:r>
      <w:r w:rsidR="00C64050">
        <w:rPr>
          <w:szCs w:val="20"/>
        </w:rPr>
        <w:t xml:space="preserve"> </w:t>
      </w:r>
      <w:r w:rsidRPr="00041CAB">
        <w:rPr>
          <w:szCs w:val="20"/>
        </w:rPr>
        <w:t>render</w:t>
      </w:r>
      <w:r w:rsidR="00C64050">
        <w:rPr>
          <w:szCs w:val="20"/>
        </w:rPr>
        <w:t xml:space="preserve"> </w:t>
      </w:r>
      <w:r w:rsidRPr="00041CAB">
        <w:rPr>
          <w:szCs w:val="20"/>
        </w:rPr>
        <w:t>the</w:t>
      </w:r>
      <w:r w:rsidR="00C64050">
        <w:rPr>
          <w:szCs w:val="20"/>
        </w:rPr>
        <w:t xml:space="preserve"> </w:t>
      </w:r>
      <w:r w:rsidRPr="00041CAB">
        <w:rPr>
          <w:szCs w:val="20"/>
        </w:rPr>
        <w:t>challenger</w:t>
      </w:r>
      <w:r w:rsidR="00C64050">
        <w:rPr>
          <w:szCs w:val="20"/>
        </w:rPr>
        <w:t xml:space="preserve"> </w:t>
      </w:r>
      <w:r w:rsidRPr="00041CAB">
        <w:rPr>
          <w:szCs w:val="20"/>
        </w:rPr>
        <w:t>a</w:t>
      </w:r>
      <w:r w:rsidR="00C64050">
        <w:rPr>
          <w:szCs w:val="20"/>
        </w:rPr>
        <w:t xml:space="preserve"> </w:t>
      </w:r>
      <w:r w:rsidRPr="00041CAB">
        <w:rPr>
          <w:szCs w:val="20"/>
        </w:rPr>
        <w:t>beneficiary</w:t>
      </w:r>
      <w:r w:rsidR="00C64050">
        <w:rPr>
          <w:szCs w:val="20"/>
        </w:rPr>
        <w:t xml:space="preserve"> </w:t>
      </w:r>
      <w:r w:rsidRPr="00041CAB">
        <w:rPr>
          <w:szCs w:val="20"/>
        </w:rPr>
        <w:t>of</w:t>
      </w:r>
      <w:r w:rsidR="00C64050">
        <w:rPr>
          <w:szCs w:val="20"/>
        </w:rPr>
        <w:t xml:space="preserve"> </w:t>
      </w:r>
      <w:r w:rsidRPr="00041CAB">
        <w:rPr>
          <w:szCs w:val="20"/>
        </w:rPr>
        <w:t>the</w:t>
      </w:r>
      <w:r w:rsidR="00C64050">
        <w:rPr>
          <w:szCs w:val="20"/>
        </w:rPr>
        <w:t xml:space="preserve"> </w:t>
      </w:r>
      <w:r w:rsidRPr="00041CAB">
        <w:rPr>
          <w:szCs w:val="20"/>
        </w:rPr>
        <w:t>trust.</w:t>
      </w:r>
      <w:r w:rsidR="00C64050">
        <w:rPr>
          <w:szCs w:val="20"/>
        </w:rPr>
        <w:t xml:space="preserve"> </w:t>
      </w:r>
      <w:r w:rsidRPr="00041CAB">
        <w:rPr>
          <w:szCs w:val="20"/>
        </w:rPr>
        <w:t>(See</w:t>
      </w:r>
      <w:r w:rsidR="00C64050">
        <w:rPr>
          <w:szCs w:val="20"/>
        </w:rPr>
        <w:t xml:space="preserve"> </w:t>
      </w:r>
      <w:r w:rsidRPr="00041CAB">
        <w:rPr>
          <w:rStyle w:val="Emphasis"/>
          <w:szCs w:val="20"/>
        </w:rPr>
        <w:t>Coalition</w:t>
      </w:r>
      <w:r w:rsidR="00C64050">
        <w:rPr>
          <w:rStyle w:val="Emphasis"/>
          <w:szCs w:val="20"/>
        </w:rPr>
        <w:t xml:space="preserve"> </w:t>
      </w:r>
      <w:r w:rsidRPr="00041CAB">
        <w:rPr>
          <w:rStyle w:val="Emphasis"/>
          <w:szCs w:val="20"/>
        </w:rPr>
        <w:t>of</w:t>
      </w:r>
      <w:r w:rsidR="00C64050">
        <w:rPr>
          <w:rStyle w:val="Emphasis"/>
          <w:szCs w:val="20"/>
        </w:rPr>
        <w:t xml:space="preserve"> </w:t>
      </w:r>
      <w:r w:rsidRPr="00041CAB">
        <w:rPr>
          <w:rStyle w:val="Emphasis"/>
          <w:szCs w:val="20"/>
        </w:rPr>
        <w:t>Concerned</w:t>
      </w:r>
      <w:r w:rsidR="00C64050">
        <w:rPr>
          <w:rStyle w:val="Emphasis"/>
          <w:szCs w:val="20"/>
        </w:rPr>
        <w:t xml:space="preserve"> </w:t>
      </w:r>
      <w:r w:rsidRPr="00041CAB">
        <w:rPr>
          <w:rStyle w:val="Emphasis"/>
          <w:szCs w:val="20"/>
        </w:rPr>
        <w:t>Communities,</w:t>
      </w:r>
      <w:r w:rsidR="00C64050">
        <w:rPr>
          <w:rStyle w:val="Emphasis"/>
          <w:szCs w:val="20"/>
        </w:rPr>
        <w:t xml:space="preserve"> </w:t>
      </w:r>
      <w:r w:rsidRPr="00041CAB">
        <w:rPr>
          <w:rStyle w:val="Emphasis"/>
          <w:szCs w:val="20"/>
        </w:rPr>
        <w:t>Inc.</w:t>
      </w:r>
      <w:r w:rsidR="00C64050">
        <w:rPr>
          <w:rStyle w:val="Emphasis"/>
          <w:szCs w:val="20"/>
        </w:rPr>
        <w:t xml:space="preserve"> </w:t>
      </w:r>
      <w:r w:rsidRPr="00041CAB">
        <w:rPr>
          <w:rStyle w:val="Emphasis"/>
          <w:szCs w:val="20"/>
        </w:rPr>
        <w:t>v.</w:t>
      </w:r>
      <w:r w:rsidR="00C64050">
        <w:rPr>
          <w:rStyle w:val="Emphasis"/>
          <w:szCs w:val="20"/>
        </w:rPr>
        <w:t xml:space="preserve"> </w:t>
      </w:r>
      <w:r w:rsidRPr="00041CAB">
        <w:rPr>
          <w:rStyle w:val="Emphasis"/>
          <w:szCs w:val="20"/>
        </w:rPr>
        <w:t>City</w:t>
      </w:r>
      <w:r w:rsidR="00C64050">
        <w:rPr>
          <w:rStyle w:val="Emphasis"/>
          <w:szCs w:val="20"/>
        </w:rPr>
        <w:t xml:space="preserve"> </w:t>
      </w:r>
      <w:r w:rsidRPr="00041CAB">
        <w:rPr>
          <w:rStyle w:val="Emphasis"/>
          <w:szCs w:val="20"/>
        </w:rPr>
        <w:t>of</w:t>
      </w:r>
      <w:r w:rsidR="00C64050">
        <w:rPr>
          <w:rStyle w:val="Emphasis"/>
          <w:szCs w:val="20"/>
        </w:rPr>
        <w:t xml:space="preserve"> </w:t>
      </w:r>
      <w:r w:rsidRPr="00041CAB">
        <w:rPr>
          <w:rStyle w:val="Emphasis"/>
          <w:szCs w:val="20"/>
        </w:rPr>
        <w:t>Los</w:t>
      </w:r>
      <w:r w:rsidR="00C64050">
        <w:rPr>
          <w:rStyle w:val="Emphasis"/>
          <w:szCs w:val="20"/>
        </w:rPr>
        <w:t xml:space="preserve"> </w:t>
      </w:r>
      <w:r w:rsidRPr="00041CAB">
        <w:rPr>
          <w:rStyle w:val="Emphasis"/>
          <w:szCs w:val="20"/>
        </w:rPr>
        <w:t>Angeles</w:t>
      </w:r>
      <w:r w:rsidR="00C64050">
        <w:rPr>
          <w:szCs w:val="20"/>
        </w:rPr>
        <w:t xml:space="preserve"> </w:t>
      </w:r>
      <w:r w:rsidRPr="00041CAB">
        <w:rPr>
          <w:szCs w:val="20"/>
        </w:rPr>
        <w:t>(2004)</w:t>
      </w:r>
      <w:r w:rsidR="00C64050">
        <w:rPr>
          <w:szCs w:val="20"/>
        </w:rPr>
        <w:t xml:space="preserve"> </w:t>
      </w:r>
      <w:r w:rsidRPr="00041CAB">
        <w:rPr>
          <w:szCs w:val="20"/>
        </w:rPr>
        <w:t>34</w:t>
      </w:r>
      <w:r w:rsidR="00C64050">
        <w:rPr>
          <w:szCs w:val="20"/>
        </w:rPr>
        <w:t xml:space="preserve"> </w:t>
      </w:r>
      <w:r w:rsidRPr="00041CAB">
        <w:rPr>
          <w:szCs w:val="20"/>
        </w:rPr>
        <w:t>Cal.4th</w:t>
      </w:r>
      <w:r w:rsidR="00C64050">
        <w:rPr>
          <w:szCs w:val="20"/>
        </w:rPr>
        <w:t xml:space="preserve"> </w:t>
      </w:r>
      <w:r w:rsidRPr="00041CAB">
        <w:rPr>
          <w:szCs w:val="20"/>
        </w:rPr>
        <w:t>733,</w:t>
      </w:r>
      <w:r w:rsidR="00C64050">
        <w:rPr>
          <w:szCs w:val="20"/>
        </w:rPr>
        <w:t xml:space="preserve"> </w:t>
      </w:r>
      <w:r w:rsidRPr="00041CAB">
        <w:rPr>
          <w:szCs w:val="20"/>
        </w:rPr>
        <w:t>737,</w:t>
      </w:r>
      <w:r w:rsidR="00C64050">
        <w:rPr>
          <w:szCs w:val="20"/>
        </w:rPr>
        <w:t xml:space="preserve"> </w:t>
      </w:r>
      <w:r w:rsidRPr="00041CAB">
        <w:rPr>
          <w:szCs w:val="20"/>
        </w:rPr>
        <w:t>21</w:t>
      </w:r>
      <w:r w:rsidR="00C64050">
        <w:rPr>
          <w:szCs w:val="20"/>
        </w:rPr>
        <w:t xml:space="preserve"> </w:t>
      </w:r>
      <w:r w:rsidRPr="00041CAB">
        <w:rPr>
          <w:szCs w:val="20"/>
        </w:rPr>
        <w:t>Cal.Rptr.3d</w:t>
      </w:r>
      <w:r w:rsidR="00C64050">
        <w:rPr>
          <w:szCs w:val="20"/>
        </w:rPr>
        <w:t xml:space="preserve"> </w:t>
      </w:r>
      <w:r w:rsidRPr="00041CAB">
        <w:rPr>
          <w:szCs w:val="20"/>
        </w:rPr>
        <w:t>676,</w:t>
      </w:r>
      <w:r w:rsidR="00C64050">
        <w:rPr>
          <w:szCs w:val="20"/>
        </w:rPr>
        <w:t xml:space="preserve"> </w:t>
      </w:r>
      <w:r w:rsidRPr="00041CAB">
        <w:rPr>
          <w:szCs w:val="20"/>
        </w:rPr>
        <w:t>101</w:t>
      </w:r>
      <w:r w:rsidR="00C64050">
        <w:rPr>
          <w:szCs w:val="20"/>
        </w:rPr>
        <w:t xml:space="preserve"> </w:t>
      </w:r>
      <w:r w:rsidRPr="00041CAB">
        <w:rPr>
          <w:szCs w:val="20"/>
        </w:rPr>
        <w:t>P.3d</w:t>
      </w:r>
      <w:r w:rsidR="00C64050">
        <w:rPr>
          <w:szCs w:val="20"/>
        </w:rPr>
        <w:t xml:space="preserve"> </w:t>
      </w:r>
      <w:r w:rsidRPr="00041CAB">
        <w:rPr>
          <w:szCs w:val="20"/>
        </w:rPr>
        <w:t>563</w:t>
      </w:r>
      <w:r w:rsidR="00C64050">
        <w:rPr>
          <w:szCs w:val="20"/>
        </w:rPr>
        <w:t xml:space="preserve"> </w:t>
      </w:r>
      <w:r w:rsidRPr="00041CAB">
        <w:rPr>
          <w:szCs w:val="20"/>
        </w:rPr>
        <w:t>[courts</w:t>
      </w:r>
      <w:r w:rsidR="00C64050">
        <w:rPr>
          <w:szCs w:val="20"/>
        </w:rPr>
        <w:t xml:space="preserve"> </w:t>
      </w:r>
      <w:r w:rsidRPr="00041CAB">
        <w:rPr>
          <w:szCs w:val="20"/>
        </w:rPr>
        <w:t>should</w:t>
      </w:r>
      <w:r w:rsidR="00C64050">
        <w:rPr>
          <w:szCs w:val="20"/>
        </w:rPr>
        <w:t xml:space="preserve"> </w:t>
      </w:r>
      <w:r w:rsidRPr="00041CAB">
        <w:rPr>
          <w:szCs w:val="20"/>
        </w:rPr>
        <w:t>not</w:t>
      </w:r>
      <w:r w:rsidR="00C64050">
        <w:rPr>
          <w:szCs w:val="20"/>
        </w:rPr>
        <w:t xml:space="preserve"> </w:t>
      </w:r>
      <w:r w:rsidRPr="00041CAB">
        <w:rPr>
          <w:szCs w:val="20"/>
        </w:rPr>
        <w:t>examine</w:t>
      </w:r>
      <w:r w:rsidR="00C64050">
        <w:rPr>
          <w:szCs w:val="20"/>
        </w:rPr>
        <w:t xml:space="preserve"> </w:t>
      </w:r>
      <w:r w:rsidRPr="00041CAB">
        <w:rPr>
          <w:szCs w:val="20"/>
        </w:rPr>
        <w:t>statutory</w:t>
      </w:r>
      <w:r w:rsidR="00C64050">
        <w:rPr>
          <w:szCs w:val="20"/>
        </w:rPr>
        <w:t xml:space="preserve"> </w:t>
      </w:r>
      <w:r w:rsidRPr="00041CAB">
        <w:rPr>
          <w:szCs w:val="20"/>
        </w:rPr>
        <w:t>language</w:t>
      </w:r>
      <w:r w:rsidR="00C64050">
        <w:rPr>
          <w:szCs w:val="20"/>
        </w:rPr>
        <w:t xml:space="preserve"> </w:t>
      </w:r>
      <w:r w:rsidRPr="00041CAB">
        <w:rPr>
          <w:szCs w:val="20"/>
        </w:rPr>
        <w:t>in</w:t>
      </w:r>
      <w:r w:rsidR="00C64050">
        <w:rPr>
          <w:szCs w:val="20"/>
        </w:rPr>
        <w:t xml:space="preserve"> </w:t>
      </w:r>
      <w:r w:rsidRPr="00041CAB">
        <w:rPr>
          <w:szCs w:val="20"/>
        </w:rPr>
        <w:t>isolation].)</w:t>
      </w:r>
      <w:r w:rsidR="00C64050">
        <w:rPr>
          <w:szCs w:val="20"/>
        </w:rPr>
        <w:t xml:space="preserve"> </w:t>
      </w:r>
      <w:r w:rsidRPr="00041CAB">
        <w:rPr>
          <w:szCs w:val="20"/>
        </w:rPr>
        <w:t>So</w:t>
      </w:r>
      <w:r w:rsidR="00C64050">
        <w:rPr>
          <w:szCs w:val="20"/>
        </w:rPr>
        <w:t xml:space="preserve"> </w:t>
      </w:r>
      <w:r w:rsidRPr="00041CAB">
        <w:rPr>
          <w:szCs w:val="20"/>
        </w:rPr>
        <w:t>when</w:t>
      </w:r>
      <w:r w:rsidR="00C64050">
        <w:rPr>
          <w:szCs w:val="20"/>
        </w:rPr>
        <w:t xml:space="preserve"> </w:t>
      </w:r>
      <w:r w:rsidRPr="00041CAB">
        <w:rPr>
          <w:szCs w:val="20"/>
        </w:rPr>
        <w:t>a</w:t>
      </w:r>
      <w:r w:rsidR="00C64050">
        <w:rPr>
          <w:szCs w:val="20"/>
        </w:rPr>
        <w:t xml:space="preserve"> </w:t>
      </w:r>
      <w:r w:rsidRPr="00041CAB">
        <w:rPr>
          <w:szCs w:val="20"/>
        </w:rPr>
        <w:t>plaintiff</w:t>
      </w:r>
      <w:r w:rsidR="00C64050">
        <w:rPr>
          <w:szCs w:val="20"/>
        </w:rPr>
        <w:t xml:space="preserve"> </w:t>
      </w:r>
      <w:r w:rsidRPr="00041CAB">
        <w:rPr>
          <w:szCs w:val="20"/>
        </w:rPr>
        <w:t>claims</w:t>
      </w:r>
      <w:r w:rsidR="00C64050">
        <w:rPr>
          <w:szCs w:val="20"/>
        </w:rPr>
        <w:t xml:space="preserve"> </w:t>
      </w:r>
      <w:r w:rsidRPr="00041CAB">
        <w:rPr>
          <w:szCs w:val="20"/>
        </w:rPr>
        <w:t>to</w:t>
      </w:r>
      <w:r w:rsidR="00C64050">
        <w:rPr>
          <w:szCs w:val="20"/>
        </w:rPr>
        <w:t xml:space="preserve"> </w:t>
      </w:r>
      <w:r w:rsidRPr="00041CAB">
        <w:rPr>
          <w:szCs w:val="20"/>
        </w:rPr>
        <w:t>be</w:t>
      </w:r>
      <w:r w:rsidR="00C64050">
        <w:rPr>
          <w:szCs w:val="20"/>
        </w:rPr>
        <w:t xml:space="preserve"> </w:t>
      </w:r>
      <w:r w:rsidRPr="00041CAB">
        <w:rPr>
          <w:szCs w:val="20"/>
        </w:rPr>
        <w:t>a</w:t>
      </w:r>
      <w:r w:rsidR="00C64050">
        <w:rPr>
          <w:szCs w:val="20"/>
        </w:rPr>
        <w:t xml:space="preserve"> </w:t>
      </w:r>
      <w:r w:rsidRPr="00041CAB">
        <w:rPr>
          <w:szCs w:val="20"/>
        </w:rPr>
        <w:t>rightful</w:t>
      </w:r>
      <w:r w:rsidR="00C64050">
        <w:rPr>
          <w:szCs w:val="20"/>
        </w:rPr>
        <w:t xml:space="preserve"> </w:t>
      </w:r>
      <w:r w:rsidRPr="00041CAB">
        <w:rPr>
          <w:szCs w:val="20"/>
        </w:rPr>
        <w:t>beneficiary</w:t>
      </w:r>
      <w:r w:rsidR="00C64050">
        <w:rPr>
          <w:szCs w:val="20"/>
        </w:rPr>
        <w:t xml:space="preserve"> </w:t>
      </w:r>
      <w:r w:rsidRPr="00041CAB">
        <w:rPr>
          <w:szCs w:val="20"/>
        </w:rPr>
        <w:t>of</w:t>
      </w:r>
      <w:r w:rsidR="00C64050">
        <w:rPr>
          <w:szCs w:val="20"/>
        </w:rPr>
        <w:t xml:space="preserve"> </w:t>
      </w:r>
      <w:r w:rsidRPr="00041CAB">
        <w:rPr>
          <w:szCs w:val="20"/>
        </w:rPr>
        <w:t>a</w:t>
      </w:r>
      <w:r w:rsidR="00C64050">
        <w:rPr>
          <w:szCs w:val="20"/>
        </w:rPr>
        <w:t xml:space="preserve"> </w:t>
      </w:r>
      <w:r w:rsidRPr="00041CAB">
        <w:rPr>
          <w:szCs w:val="20"/>
        </w:rPr>
        <w:t>trust</w:t>
      </w:r>
      <w:r w:rsidR="00C64050">
        <w:rPr>
          <w:szCs w:val="20"/>
        </w:rPr>
        <w:t xml:space="preserve"> </w:t>
      </w:r>
      <w:r w:rsidRPr="00041CAB">
        <w:rPr>
          <w:szCs w:val="20"/>
        </w:rPr>
        <w:t>if</w:t>
      </w:r>
      <w:r w:rsidR="00C64050">
        <w:rPr>
          <w:szCs w:val="20"/>
        </w:rPr>
        <w:t xml:space="preserve"> </w:t>
      </w:r>
      <w:r w:rsidRPr="00041CAB">
        <w:rPr>
          <w:szCs w:val="20"/>
        </w:rPr>
        <w:t>challenged</w:t>
      </w:r>
      <w:r w:rsidR="00C64050">
        <w:rPr>
          <w:szCs w:val="20"/>
        </w:rPr>
        <w:t xml:space="preserve"> </w:t>
      </w:r>
      <w:r w:rsidRPr="00041CAB">
        <w:rPr>
          <w:szCs w:val="20"/>
        </w:rPr>
        <w:t>amendments</w:t>
      </w:r>
      <w:r w:rsidR="00C64050">
        <w:rPr>
          <w:szCs w:val="20"/>
        </w:rPr>
        <w:t xml:space="preserve"> </w:t>
      </w:r>
      <w:r w:rsidRPr="00041CAB">
        <w:rPr>
          <w:szCs w:val="20"/>
        </w:rPr>
        <w:t>are</w:t>
      </w:r>
      <w:r w:rsidR="00C64050">
        <w:rPr>
          <w:szCs w:val="20"/>
        </w:rPr>
        <w:t xml:space="preserve"> </w:t>
      </w:r>
      <w:r w:rsidRPr="00041CAB">
        <w:rPr>
          <w:szCs w:val="20"/>
        </w:rPr>
        <w:t>deemed</w:t>
      </w:r>
      <w:r w:rsidR="00C64050">
        <w:rPr>
          <w:szCs w:val="20"/>
        </w:rPr>
        <w:t xml:space="preserve"> </w:t>
      </w:r>
      <w:r w:rsidRPr="00041CAB">
        <w:rPr>
          <w:szCs w:val="20"/>
        </w:rPr>
        <w:t>invalid,</w:t>
      </w:r>
      <w:r w:rsidR="00C64050">
        <w:rPr>
          <w:szCs w:val="20"/>
        </w:rPr>
        <w:t xml:space="preserve"> </w:t>
      </w:r>
      <w:r w:rsidRPr="00041CAB">
        <w:rPr>
          <w:szCs w:val="20"/>
        </w:rPr>
        <w:t>she</w:t>
      </w:r>
      <w:r w:rsidR="00C64050">
        <w:rPr>
          <w:szCs w:val="20"/>
        </w:rPr>
        <w:t xml:space="preserve"> </w:t>
      </w:r>
      <w:r w:rsidRPr="00041CAB">
        <w:rPr>
          <w:szCs w:val="20"/>
        </w:rPr>
        <w:t>has</w:t>
      </w:r>
      <w:r w:rsidR="00C64050">
        <w:rPr>
          <w:szCs w:val="20"/>
        </w:rPr>
        <w:t xml:space="preserve"> </w:t>
      </w:r>
      <w:r w:rsidRPr="00041CAB">
        <w:rPr>
          <w:szCs w:val="20"/>
        </w:rPr>
        <w:t>standing</w:t>
      </w:r>
      <w:r w:rsidR="00C64050">
        <w:rPr>
          <w:szCs w:val="20"/>
        </w:rPr>
        <w:t xml:space="preserve"> </w:t>
      </w:r>
      <w:r w:rsidRPr="00041CAB">
        <w:rPr>
          <w:szCs w:val="20"/>
        </w:rPr>
        <w:t>to</w:t>
      </w:r>
      <w:r w:rsidR="00C64050">
        <w:rPr>
          <w:szCs w:val="20"/>
        </w:rPr>
        <w:t xml:space="preserve"> </w:t>
      </w:r>
      <w:r w:rsidRPr="00041CAB">
        <w:rPr>
          <w:szCs w:val="20"/>
        </w:rPr>
        <w:t>petition</w:t>
      </w:r>
      <w:r w:rsidR="00C64050">
        <w:rPr>
          <w:szCs w:val="20"/>
        </w:rPr>
        <w:t xml:space="preserve"> </w:t>
      </w:r>
      <w:r w:rsidRPr="00041CAB">
        <w:rPr>
          <w:szCs w:val="20"/>
        </w:rPr>
        <w:t>the</w:t>
      </w:r>
      <w:r w:rsidR="00C64050">
        <w:rPr>
          <w:szCs w:val="20"/>
        </w:rPr>
        <w:t xml:space="preserve"> </w:t>
      </w:r>
      <w:r w:rsidRPr="00041CAB">
        <w:rPr>
          <w:szCs w:val="20"/>
        </w:rPr>
        <w:t>probate</w:t>
      </w:r>
      <w:r w:rsidR="00C64050">
        <w:rPr>
          <w:szCs w:val="20"/>
        </w:rPr>
        <w:t xml:space="preserve"> </w:t>
      </w:r>
      <w:r w:rsidRPr="00041CAB">
        <w:rPr>
          <w:szCs w:val="20"/>
        </w:rPr>
        <w:t>court</w:t>
      </w:r>
      <w:r w:rsidR="00C64050">
        <w:rPr>
          <w:szCs w:val="20"/>
        </w:rPr>
        <w:t xml:space="preserve"> </w:t>
      </w:r>
      <w:r w:rsidRPr="00041CAB">
        <w:rPr>
          <w:szCs w:val="20"/>
        </w:rPr>
        <w:t>under</w:t>
      </w:r>
      <w:r w:rsidR="00C64050">
        <w:rPr>
          <w:szCs w:val="20"/>
        </w:rPr>
        <w:t xml:space="preserve"> </w:t>
      </w:r>
      <w:r w:rsidRPr="00041CAB">
        <w:rPr>
          <w:szCs w:val="20"/>
        </w:rPr>
        <w:t>section</w:t>
      </w:r>
      <w:r w:rsidR="00C64050">
        <w:rPr>
          <w:szCs w:val="20"/>
        </w:rPr>
        <w:t xml:space="preserve"> </w:t>
      </w:r>
      <w:r w:rsidRPr="00041CAB">
        <w:rPr>
          <w:szCs w:val="20"/>
        </w:rPr>
        <w:t>17200.</w:t>
      </w:r>
    </w:p>
    <w:p w:rsidR="00041CAB" w:rsidRDefault="00041CAB" w:rsidP="00041CAB">
      <w:pPr>
        <w:pStyle w:val="QS10"/>
        <w:rPr>
          <w:szCs w:val="20"/>
        </w:rPr>
      </w:pPr>
      <w:r w:rsidRPr="00041CAB">
        <w:rPr>
          <w:szCs w:val="20"/>
        </w:rPr>
        <w:t>Defendants</w:t>
      </w:r>
      <w:r w:rsidR="00C64050">
        <w:rPr>
          <w:szCs w:val="20"/>
        </w:rPr>
        <w:t xml:space="preserve"> </w:t>
      </w:r>
      <w:r w:rsidRPr="00041CAB">
        <w:rPr>
          <w:szCs w:val="20"/>
        </w:rPr>
        <w:t>argue</w:t>
      </w:r>
      <w:r w:rsidR="00C64050">
        <w:rPr>
          <w:szCs w:val="20"/>
        </w:rPr>
        <w:t xml:space="preserve"> </w:t>
      </w:r>
      <w:r w:rsidRPr="00041CAB">
        <w:rPr>
          <w:szCs w:val="20"/>
        </w:rPr>
        <w:t>that</w:t>
      </w:r>
      <w:r w:rsidR="00C64050">
        <w:rPr>
          <w:szCs w:val="20"/>
        </w:rPr>
        <w:t xml:space="preserve"> </w:t>
      </w:r>
      <w:r w:rsidRPr="00041CAB">
        <w:rPr>
          <w:szCs w:val="20"/>
        </w:rPr>
        <w:t>interpreting</w:t>
      </w:r>
      <w:r w:rsidR="00C64050">
        <w:rPr>
          <w:szCs w:val="20"/>
        </w:rPr>
        <w:t xml:space="preserve"> </w:t>
      </w:r>
      <w:r w:rsidRPr="00041CAB">
        <w:rPr>
          <w:szCs w:val="20"/>
        </w:rPr>
        <w:t>section</w:t>
      </w:r>
      <w:r w:rsidR="00C64050">
        <w:rPr>
          <w:szCs w:val="20"/>
        </w:rPr>
        <w:t xml:space="preserve"> </w:t>
      </w:r>
      <w:r w:rsidRPr="00041CAB">
        <w:rPr>
          <w:szCs w:val="20"/>
        </w:rPr>
        <w:t>17200</w:t>
      </w:r>
      <w:r w:rsidR="00C64050">
        <w:rPr>
          <w:szCs w:val="20"/>
        </w:rPr>
        <w:t xml:space="preserve"> </w:t>
      </w:r>
      <w:r w:rsidRPr="00041CAB">
        <w:rPr>
          <w:szCs w:val="20"/>
        </w:rPr>
        <w:t>to</w:t>
      </w:r>
      <w:r w:rsidR="00C64050">
        <w:rPr>
          <w:szCs w:val="20"/>
        </w:rPr>
        <w:t xml:space="preserve"> </w:t>
      </w:r>
      <w:r w:rsidRPr="00041CAB">
        <w:rPr>
          <w:szCs w:val="20"/>
        </w:rPr>
        <w:t>permit</w:t>
      </w:r>
      <w:r w:rsidR="00C64050">
        <w:rPr>
          <w:szCs w:val="20"/>
        </w:rPr>
        <w:t xml:space="preserve"> </w:t>
      </w:r>
      <w:r w:rsidRPr="00041CAB">
        <w:rPr>
          <w:szCs w:val="20"/>
        </w:rPr>
        <w:t>purported</w:t>
      </w:r>
      <w:r w:rsidR="00C64050">
        <w:rPr>
          <w:szCs w:val="20"/>
        </w:rPr>
        <w:t xml:space="preserve"> </w:t>
      </w:r>
      <w:r w:rsidRPr="00041CAB">
        <w:rPr>
          <w:szCs w:val="20"/>
        </w:rPr>
        <w:t>beneficiaries</w:t>
      </w:r>
      <w:r w:rsidR="00C64050">
        <w:rPr>
          <w:szCs w:val="20"/>
        </w:rPr>
        <w:t xml:space="preserve"> </w:t>
      </w:r>
      <w:r w:rsidRPr="00041CAB">
        <w:rPr>
          <w:szCs w:val="20"/>
        </w:rPr>
        <w:t>to</w:t>
      </w:r>
      <w:r w:rsidR="00C64050">
        <w:rPr>
          <w:szCs w:val="20"/>
        </w:rPr>
        <w:t xml:space="preserve"> </w:t>
      </w:r>
      <w:r w:rsidRPr="00041CAB">
        <w:rPr>
          <w:szCs w:val="20"/>
        </w:rPr>
        <w:t>challenge</w:t>
      </w:r>
      <w:r w:rsidR="00C64050">
        <w:rPr>
          <w:szCs w:val="20"/>
        </w:rPr>
        <w:t xml:space="preserve"> </w:t>
      </w:r>
      <w:r w:rsidRPr="00041CAB">
        <w:rPr>
          <w:szCs w:val="20"/>
        </w:rPr>
        <w:t>a</w:t>
      </w:r>
      <w:r w:rsidR="00C64050">
        <w:rPr>
          <w:szCs w:val="20"/>
        </w:rPr>
        <w:t xml:space="preserve"> </w:t>
      </w:r>
      <w:r w:rsidRPr="00041CAB">
        <w:rPr>
          <w:szCs w:val="20"/>
        </w:rPr>
        <w:t>trust</w:t>
      </w:r>
      <w:r w:rsidR="00C64050">
        <w:rPr>
          <w:szCs w:val="20"/>
        </w:rPr>
        <w:t xml:space="preserve"> </w:t>
      </w:r>
      <w:r w:rsidRPr="00041CAB">
        <w:rPr>
          <w:szCs w:val="20"/>
        </w:rPr>
        <w:t>or</w:t>
      </w:r>
      <w:r w:rsidR="00C64050">
        <w:rPr>
          <w:szCs w:val="20"/>
        </w:rPr>
        <w:t xml:space="preserve"> </w:t>
      </w:r>
      <w:r w:rsidRPr="00041CAB">
        <w:rPr>
          <w:szCs w:val="20"/>
        </w:rPr>
        <w:t>its</w:t>
      </w:r>
      <w:r w:rsidR="00C64050">
        <w:rPr>
          <w:szCs w:val="20"/>
        </w:rPr>
        <w:t xml:space="preserve"> </w:t>
      </w:r>
      <w:r w:rsidRPr="00041CAB">
        <w:rPr>
          <w:szCs w:val="20"/>
        </w:rPr>
        <w:t>amendments</w:t>
      </w:r>
      <w:r w:rsidR="00C64050">
        <w:rPr>
          <w:szCs w:val="20"/>
        </w:rPr>
        <w:t xml:space="preserve"> </w:t>
      </w:r>
      <w:r w:rsidRPr="00041CAB">
        <w:rPr>
          <w:szCs w:val="20"/>
        </w:rPr>
        <w:t>would</w:t>
      </w:r>
      <w:r w:rsidR="00C64050">
        <w:rPr>
          <w:szCs w:val="20"/>
        </w:rPr>
        <w:t xml:space="preserve"> </w:t>
      </w:r>
      <w:r w:rsidRPr="00041CAB">
        <w:rPr>
          <w:szCs w:val="20"/>
        </w:rPr>
        <w:t>“invite</w:t>
      </w:r>
      <w:r w:rsidR="00C64050">
        <w:rPr>
          <w:szCs w:val="20"/>
        </w:rPr>
        <w:t xml:space="preserve"> </w:t>
      </w:r>
      <w:r w:rsidRPr="00041CAB">
        <w:rPr>
          <w:szCs w:val="20"/>
        </w:rPr>
        <w:t>chaos”</w:t>
      </w:r>
      <w:r w:rsidR="00C64050">
        <w:rPr>
          <w:szCs w:val="20"/>
        </w:rPr>
        <w:t xml:space="preserve"> </w:t>
      </w:r>
      <w:r w:rsidRPr="00041CAB">
        <w:rPr>
          <w:szCs w:val="20"/>
        </w:rPr>
        <w:t>because</w:t>
      </w:r>
      <w:r w:rsidR="00C64050">
        <w:rPr>
          <w:szCs w:val="20"/>
        </w:rPr>
        <w:t xml:space="preserve"> </w:t>
      </w:r>
      <w:r w:rsidRPr="00041CAB">
        <w:rPr>
          <w:szCs w:val="20"/>
        </w:rPr>
        <w:t>it</w:t>
      </w:r>
      <w:r w:rsidR="00C64050">
        <w:rPr>
          <w:szCs w:val="20"/>
        </w:rPr>
        <w:t xml:space="preserve"> </w:t>
      </w:r>
      <w:r w:rsidRPr="00041CAB">
        <w:rPr>
          <w:szCs w:val="20"/>
        </w:rPr>
        <w:t>would</w:t>
      </w:r>
      <w:r w:rsidR="00C64050">
        <w:rPr>
          <w:szCs w:val="20"/>
        </w:rPr>
        <w:t xml:space="preserve"> </w:t>
      </w:r>
      <w:r w:rsidRPr="00041CAB">
        <w:rPr>
          <w:szCs w:val="20"/>
        </w:rPr>
        <w:t>permit</w:t>
      </w:r>
      <w:r w:rsidR="00C64050">
        <w:rPr>
          <w:szCs w:val="20"/>
        </w:rPr>
        <w:t xml:space="preserve"> </w:t>
      </w:r>
      <w:r w:rsidRPr="00041CAB">
        <w:rPr>
          <w:szCs w:val="20"/>
        </w:rPr>
        <w:t>individuals</w:t>
      </w:r>
      <w:r w:rsidR="00C64050">
        <w:rPr>
          <w:szCs w:val="20"/>
        </w:rPr>
        <w:t xml:space="preserve"> </w:t>
      </w:r>
      <w:r w:rsidRPr="00041CAB">
        <w:rPr>
          <w:szCs w:val="20"/>
        </w:rPr>
        <w:t>with</w:t>
      </w:r>
      <w:r w:rsidR="00C64050">
        <w:rPr>
          <w:szCs w:val="20"/>
        </w:rPr>
        <w:t xml:space="preserve"> </w:t>
      </w:r>
      <w:r w:rsidRPr="00041CAB">
        <w:rPr>
          <w:szCs w:val="20"/>
        </w:rPr>
        <w:t>no</w:t>
      </w:r>
      <w:r w:rsidR="00C64050">
        <w:rPr>
          <w:szCs w:val="20"/>
        </w:rPr>
        <w:t xml:space="preserve"> </w:t>
      </w:r>
      <w:r w:rsidRPr="00041CAB">
        <w:rPr>
          <w:szCs w:val="20"/>
        </w:rPr>
        <w:t>present</w:t>
      </w:r>
      <w:r w:rsidR="00C64050">
        <w:rPr>
          <w:szCs w:val="20"/>
        </w:rPr>
        <w:t xml:space="preserve"> </w:t>
      </w:r>
      <w:r w:rsidRPr="00041CAB">
        <w:rPr>
          <w:szCs w:val="20"/>
        </w:rPr>
        <w:t>interest</w:t>
      </w:r>
      <w:r w:rsidR="00C64050">
        <w:rPr>
          <w:szCs w:val="20"/>
        </w:rPr>
        <w:t xml:space="preserve"> </w:t>
      </w:r>
      <w:r w:rsidRPr="00041CAB">
        <w:rPr>
          <w:szCs w:val="20"/>
        </w:rPr>
        <w:t>in</w:t>
      </w:r>
      <w:r w:rsidR="00C64050">
        <w:rPr>
          <w:szCs w:val="20"/>
        </w:rPr>
        <w:t xml:space="preserve"> </w:t>
      </w:r>
      <w:r w:rsidRPr="00041CAB">
        <w:rPr>
          <w:szCs w:val="20"/>
        </w:rPr>
        <w:t>the</w:t>
      </w:r>
      <w:r w:rsidR="00C64050">
        <w:rPr>
          <w:szCs w:val="20"/>
        </w:rPr>
        <w:t xml:space="preserve"> </w:t>
      </w:r>
      <w:r w:rsidRPr="00041CAB">
        <w:rPr>
          <w:szCs w:val="20"/>
        </w:rPr>
        <w:t>trust</w:t>
      </w:r>
      <w:r w:rsidR="00C64050">
        <w:rPr>
          <w:szCs w:val="20"/>
        </w:rPr>
        <w:t xml:space="preserve"> </w:t>
      </w:r>
      <w:r w:rsidRPr="00041CAB">
        <w:rPr>
          <w:szCs w:val="20"/>
        </w:rPr>
        <w:t>to</w:t>
      </w:r>
      <w:r w:rsidR="00C64050">
        <w:rPr>
          <w:szCs w:val="20"/>
        </w:rPr>
        <w:t xml:space="preserve"> </w:t>
      </w:r>
      <w:r w:rsidRPr="00041CAB">
        <w:rPr>
          <w:szCs w:val="20"/>
        </w:rPr>
        <w:t>“meddle”</w:t>
      </w:r>
      <w:r w:rsidR="00C64050">
        <w:rPr>
          <w:szCs w:val="20"/>
        </w:rPr>
        <w:t xml:space="preserve"> </w:t>
      </w:r>
      <w:r w:rsidRPr="00041CAB">
        <w:rPr>
          <w:szCs w:val="20"/>
        </w:rPr>
        <w:t>with</w:t>
      </w:r>
      <w:r w:rsidR="00C64050">
        <w:rPr>
          <w:szCs w:val="20"/>
        </w:rPr>
        <w:t xml:space="preserve"> </w:t>
      </w:r>
      <w:r w:rsidRPr="00041CAB">
        <w:rPr>
          <w:szCs w:val="20"/>
        </w:rPr>
        <w:t>its</w:t>
      </w:r>
      <w:r w:rsidR="00C64050">
        <w:rPr>
          <w:szCs w:val="20"/>
        </w:rPr>
        <w:t xml:space="preserve"> </w:t>
      </w:r>
      <w:r w:rsidRPr="00041CAB">
        <w:rPr>
          <w:szCs w:val="20"/>
        </w:rPr>
        <w:t>administration.</w:t>
      </w:r>
      <w:r w:rsidR="00C64050">
        <w:rPr>
          <w:szCs w:val="20"/>
        </w:rPr>
        <w:t xml:space="preserve"> </w:t>
      </w:r>
      <w:r w:rsidRPr="00041CAB">
        <w:rPr>
          <w:szCs w:val="20"/>
        </w:rPr>
        <w:t>We</w:t>
      </w:r>
      <w:r w:rsidR="00C64050">
        <w:rPr>
          <w:szCs w:val="20"/>
        </w:rPr>
        <w:t xml:space="preserve"> </w:t>
      </w:r>
      <w:r w:rsidRPr="00041CAB">
        <w:rPr>
          <w:szCs w:val="20"/>
        </w:rPr>
        <w:t>think</w:t>
      </w:r>
      <w:r w:rsidR="00C64050">
        <w:rPr>
          <w:szCs w:val="20"/>
        </w:rPr>
        <w:t xml:space="preserve"> </w:t>
      </w:r>
      <w:r w:rsidRPr="00041CAB">
        <w:rPr>
          <w:szCs w:val="20"/>
        </w:rPr>
        <w:t>defendants</w:t>
      </w:r>
      <w:r w:rsidR="00C64050">
        <w:rPr>
          <w:szCs w:val="20"/>
        </w:rPr>
        <w:t xml:space="preserve"> </w:t>
      </w:r>
      <w:r w:rsidRPr="00041CAB">
        <w:rPr>
          <w:szCs w:val="20"/>
        </w:rPr>
        <w:t>overstate</w:t>
      </w:r>
      <w:r w:rsidR="00C64050">
        <w:rPr>
          <w:szCs w:val="20"/>
        </w:rPr>
        <w:t xml:space="preserve"> </w:t>
      </w:r>
      <w:r w:rsidRPr="00041CAB">
        <w:rPr>
          <w:szCs w:val="20"/>
        </w:rPr>
        <w:t>the</w:t>
      </w:r>
      <w:r w:rsidR="00C64050">
        <w:rPr>
          <w:szCs w:val="20"/>
        </w:rPr>
        <w:t xml:space="preserve"> </w:t>
      </w:r>
      <w:r w:rsidRPr="00041CAB">
        <w:rPr>
          <w:szCs w:val="20"/>
        </w:rPr>
        <w:t>matter.</w:t>
      </w:r>
      <w:r w:rsidR="00C64050">
        <w:rPr>
          <w:szCs w:val="20"/>
        </w:rPr>
        <w:t xml:space="preserve"> </w:t>
      </w:r>
      <w:r w:rsidRPr="00041CAB">
        <w:rPr>
          <w:szCs w:val="20"/>
        </w:rPr>
        <w:t>Our</w:t>
      </w:r>
      <w:r w:rsidR="00C64050">
        <w:rPr>
          <w:szCs w:val="20"/>
        </w:rPr>
        <w:t xml:space="preserve"> </w:t>
      </w:r>
      <w:r w:rsidRPr="00041CAB">
        <w:rPr>
          <w:szCs w:val="20"/>
        </w:rPr>
        <w:t>holding</w:t>
      </w:r>
      <w:r w:rsidR="00C64050">
        <w:rPr>
          <w:szCs w:val="20"/>
        </w:rPr>
        <w:t xml:space="preserve"> </w:t>
      </w:r>
      <w:r w:rsidRPr="00041CAB">
        <w:rPr>
          <w:szCs w:val="20"/>
        </w:rPr>
        <w:t>does</w:t>
      </w:r>
      <w:r w:rsidR="00C64050">
        <w:rPr>
          <w:szCs w:val="20"/>
        </w:rPr>
        <w:t xml:space="preserve"> </w:t>
      </w:r>
      <w:r w:rsidRPr="00041CAB">
        <w:rPr>
          <w:szCs w:val="20"/>
        </w:rPr>
        <w:t>not</w:t>
      </w:r>
      <w:r w:rsidR="00C64050">
        <w:rPr>
          <w:szCs w:val="20"/>
        </w:rPr>
        <w:t xml:space="preserve"> </w:t>
      </w:r>
      <w:r w:rsidRPr="00041CAB">
        <w:rPr>
          <w:szCs w:val="20"/>
        </w:rPr>
        <w:t>allow</w:t>
      </w:r>
      <w:r w:rsidR="00C64050">
        <w:rPr>
          <w:szCs w:val="20"/>
        </w:rPr>
        <w:t xml:space="preserve"> </w:t>
      </w:r>
      <w:r w:rsidRPr="00041CAB">
        <w:rPr>
          <w:szCs w:val="20"/>
        </w:rPr>
        <w:t>individuals</w:t>
      </w:r>
      <w:r w:rsidR="00C64050">
        <w:rPr>
          <w:szCs w:val="20"/>
        </w:rPr>
        <w:t xml:space="preserve"> </w:t>
      </w:r>
      <w:r w:rsidRPr="00041CAB">
        <w:rPr>
          <w:szCs w:val="20"/>
        </w:rPr>
        <w:t>with</w:t>
      </w:r>
      <w:r w:rsidR="00C64050">
        <w:rPr>
          <w:szCs w:val="20"/>
        </w:rPr>
        <w:t xml:space="preserve"> </w:t>
      </w:r>
      <w:r w:rsidRPr="00041CAB">
        <w:rPr>
          <w:szCs w:val="20"/>
        </w:rPr>
        <w:t>no</w:t>
      </w:r>
      <w:r w:rsidR="00C64050">
        <w:rPr>
          <w:szCs w:val="20"/>
        </w:rPr>
        <w:t xml:space="preserve"> </w:t>
      </w:r>
      <w:r w:rsidRPr="00041CAB">
        <w:rPr>
          <w:szCs w:val="20"/>
        </w:rPr>
        <w:t>interest</w:t>
      </w:r>
      <w:r w:rsidR="00C64050">
        <w:rPr>
          <w:szCs w:val="20"/>
        </w:rPr>
        <w:t xml:space="preserve"> </w:t>
      </w:r>
      <w:r w:rsidRPr="00041CAB">
        <w:rPr>
          <w:szCs w:val="20"/>
        </w:rPr>
        <w:t>in</w:t>
      </w:r>
      <w:r w:rsidR="00C64050">
        <w:rPr>
          <w:szCs w:val="20"/>
        </w:rPr>
        <w:t xml:space="preserve"> </w:t>
      </w:r>
      <w:r w:rsidRPr="00041CAB">
        <w:rPr>
          <w:szCs w:val="20"/>
        </w:rPr>
        <w:t>a</w:t>
      </w:r>
      <w:r w:rsidR="00C64050">
        <w:rPr>
          <w:szCs w:val="20"/>
        </w:rPr>
        <w:t xml:space="preserve"> </w:t>
      </w:r>
      <w:r w:rsidRPr="00041CAB">
        <w:rPr>
          <w:szCs w:val="20"/>
        </w:rPr>
        <w:t>trust</w:t>
      </w:r>
      <w:r w:rsidR="00C64050">
        <w:rPr>
          <w:szCs w:val="20"/>
        </w:rPr>
        <w:t xml:space="preserve"> </w:t>
      </w:r>
      <w:r w:rsidRPr="00041CAB">
        <w:rPr>
          <w:szCs w:val="20"/>
        </w:rPr>
        <w:t>to</w:t>
      </w:r>
      <w:r w:rsidR="00C64050">
        <w:rPr>
          <w:szCs w:val="20"/>
        </w:rPr>
        <w:t xml:space="preserve"> </w:t>
      </w:r>
      <w:r w:rsidRPr="00041CAB">
        <w:rPr>
          <w:szCs w:val="20"/>
        </w:rPr>
        <w:t>bring</w:t>
      </w:r>
      <w:r w:rsidR="00C64050">
        <w:rPr>
          <w:szCs w:val="20"/>
        </w:rPr>
        <w:t xml:space="preserve"> </w:t>
      </w:r>
      <w:r w:rsidRPr="00041CAB">
        <w:rPr>
          <w:szCs w:val="20"/>
        </w:rPr>
        <w:t>a</w:t>
      </w:r>
      <w:r w:rsidR="00C64050">
        <w:rPr>
          <w:szCs w:val="20"/>
        </w:rPr>
        <w:t xml:space="preserve"> </w:t>
      </w:r>
      <w:r w:rsidRPr="00041CAB">
        <w:rPr>
          <w:szCs w:val="20"/>
        </w:rPr>
        <w:t>claim</w:t>
      </w:r>
      <w:r w:rsidR="00C64050">
        <w:rPr>
          <w:szCs w:val="20"/>
        </w:rPr>
        <w:t xml:space="preserve"> </w:t>
      </w:r>
      <w:r w:rsidRPr="00041CAB">
        <w:rPr>
          <w:szCs w:val="20"/>
        </w:rPr>
        <w:t>against</w:t>
      </w:r>
      <w:r w:rsidR="00C64050">
        <w:rPr>
          <w:szCs w:val="20"/>
        </w:rPr>
        <w:t xml:space="preserve"> </w:t>
      </w:r>
      <w:r w:rsidRPr="00041CAB">
        <w:rPr>
          <w:szCs w:val="20"/>
        </w:rPr>
        <w:t>the</w:t>
      </w:r>
      <w:r w:rsidR="00C64050">
        <w:rPr>
          <w:szCs w:val="20"/>
        </w:rPr>
        <w:t xml:space="preserve"> </w:t>
      </w:r>
      <w:r w:rsidRPr="00041CAB">
        <w:rPr>
          <w:szCs w:val="20"/>
        </w:rPr>
        <w:t>trust.</w:t>
      </w:r>
      <w:r w:rsidR="00C64050">
        <w:rPr>
          <w:szCs w:val="20"/>
        </w:rPr>
        <w:t xml:space="preserve"> </w:t>
      </w:r>
      <w:r w:rsidRPr="00041CAB">
        <w:rPr>
          <w:szCs w:val="20"/>
        </w:rPr>
        <w:t>Instead,</w:t>
      </w:r>
      <w:r w:rsidR="00C64050">
        <w:rPr>
          <w:szCs w:val="20"/>
        </w:rPr>
        <w:t xml:space="preserve"> </w:t>
      </w:r>
      <w:r w:rsidRPr="00041CAB">
        <w:rPr>
          <w:szCs w:val="20"/>
        </w:rPr>
        <w:t>we</w:t>
      </w:r>
      <w:r w:rsidR="00C64050">
        <w:rPr>
          <w:szCs w:val="20"/>
        </w:rPr>
        <w:t xml:space="preserve"> </w:t>
      </w:r>
      <w:r w:rsidRPr="00041CAB">
        <w:rPr>
          <w:szCs w:val="20"/>
        </w:rPr>
        <w:t>permit</w:t>
      </w:r>
      <w:r w:rsidR="00C64050">
        <w:rPr>
          <w:szCs w:val="20"/>
        </w:rPr>
        <w:t xml:space="preserve"> </w:t>
      </w:r>
      <w:r w:rsidRPr="00041CAB">
        <w:rPr>
          <w:szCs w:val="20"/>
        </w:rPr>
        <w:t>those</w:t>
      </w:r>
      <w:r w:rsidR="00C64050">
        <w:rPr>
          <w:szCs w:val="20"/>
        </w:rPr>
        <w:t xml:space="preserve"> </w:t>
      </w:r>
      <w:r w:rsidRPr="00041CAB">
        <w:rPr>
          <w:szCs w:val="20"/>
        </w:rPr>
        <w:t>whose</w:t>
      </w:r>
      <w:r w:rsidR="00C64050">
        <w:rPr>
          <w:szCs w:val="20"/>
        </w:rPr>
        <w:t xml:space="preserve"> </w:t>
      </w:r>
      <w:r w:rsidRPr="00041CAB">
        <w:rPr>
          <w:szCs w:val="20"/>
        </w:rPr>
        <w:t>well-pleaded</w:t>
      </w:r>
      <w:r w:rsidR="00C64050">
        <w:rPr>
          <w:szCs w:val="20"/>
        </w:rPr>
        <w:t xml:space="preserve"> </w:t>
      </w:r>
      <w:r w:rsidRPr="00041CAB">
        <w:rPr>
          <w:szCs w:val="20"/>
        </w:rPr>
        <w:t>allegations</w:t>
      </w:r>
      <w:r w:rsidR="00C64050">
        <w:rPr>
          <w:szCs w:val="20"/>
        </w:rPr>
        <w:t xml:space="preserve"> </w:t>
      </w:r>
      <w:r w:rsidRPr="00041CAB">
        <w:rPr>
          <w:szCs w:val="20"/>
        </w:rPr>
        <w:t>show</w:t>
      </w:r>
      <w:r w:rsidR="00C64050">
        <w:rPr>
          <w:szCs w:val="20"/>
        </w:rPr>
        <w:t xml:space="preserve"> </w:t>
      </w:r>
      <w:r w:rsidRPr="00041CAB">
        <w:rPr>
          <w:szCs w:val="20"/>
        </w:rPr>
        <w:t>that</w:t>
      </w:r>
      <w:r w:rsidR="00C64050">
        <w:rPr>
          <w:szCs w:val="20"/>
        </w:rPr>
        <w:t xml:space="preserve"> </w:t>
      </w:r>
      <w:r w:rsidRPr="00041CAB">
        <w:rPr>
          <w:szCs w:val="20"/>
        </w:rPr>
        <w:t>they</w:t>
      </w:r>
      <w:r w:rsidR="00C64050">
        <w:rPr>
          <w:szCs w:val="20"/>
        </w:rPr>
        <w:t xml:space="preserve"> </w:t>
      </w:r>
      <w:r w:rsidRPr="00041CAB">
        <w:rPr>
          <w:szCs w:val="20"/>
        </w:rPr>
        <w:t>have</w:t>
      </w:r>
      <w:r w:rsidR="00C64050">
        <w:rPr>
          <w:szCs w:val="20"/>
        </w:rPr>
        <w:t xml:space="preserve"> </w:t>
      </w:r>
      <w:r w:rsidRPr="00041CAB">
        <w:rPr>
          <w:szCs w:val="20"/>
        </w:rPr>
        <w:t>an</w:t>
      </w:r>
      <w:r w:rsidR="00C64050">
        <w:rPr>
          <w:szCs w:val="20"/>
        </w:rPr>
        <w:t xml:space="preserve"> </w:t>
      </w:r>
      <w:r w:rsidRPr="00041CAB">
        <w:rPr>
          <w:szCs w:val="20"/>
        </w:rPr>
        <w:t>interest</w:t>
      </w:r>
      <w:r w:rsidR="00C64050">
        <w:rPr>
          <w:szCs w:val="20"/>
        </w:rPr>
        <w:t xml:space="preserve"> </w:t>
      </w:r>
      <w:r w:rsidRPr="00041CAB">
        <w:rPr>
          <w:szCs w:val="20"/>
        </w:rPr>
        <w:t>in</w:t>
      </w:r>
      <w:r w:rsidR="00C64050">
        <w:rPr>
          <w:szCs w:val="20"/>
        </w:rPr>
        <w:t xml:space="preserve"> </w:t>
      </w:r>
      <w:r w:rsidRPr="00041CAB">
        <w:rPr>
          <w:szCs w:val="20"/>
        </w:rPr>
        <w:t>a</w:t>
      </w:r>
      <w:r w:rsidR="00C64050">
        <w:rPr>
          <w:szCs w:val="20"/>
        </w:rPr>
        <w:t xml:space="preserve"> </w:t>
      </w:r>
      <w:r w:rsidRPr="00041CAB">
        <w:rPr>
          <w:szCs w:val="20"/>
        </w:rPr>
        <w:t>trust</w:t>
      </w:r>
      <w:r w:rsidR="00C64050">
        <w:rPr>
          <w:szCs w:val="20"/>
        </w:rPr>
        <w:t xml:space="preserve"> </w:t>
      </w:r>
      <w:r w:rsidRPr="00041CAB">
        <w:rPr>
          <w:szCs w:val="20"/>
        </w:rPr>
        <w:t>—</w:t>
      </w:r>
      <w:r w:rsidR="00C64050">
        <w:rPr>
          <w:szCs w:val="20"/>
        </w:rPr>
        <w:t xml:space="preserve"> </w:t>
      </w:r>
      <w:r w:rsidRPr="00041CAB">
        <w:rPr>
          <w:szCs w:val="20"/>
        </w:rPr>
        <w:t>because</w:t>
      </w:r>
      <w:r w:rsidR="00C64050">
        <w:rPr>
          <w:szCs w:val="20"/>
        </w:rPr>
        <w:t xml:space="preserve"> </w:t>
      </w:r>
      <w:r w:rsidRPr="00041CAB">
        <w:rPr>
          <w:szCs w:val="20"/>
        </w:rPr>
        <w:t>the</w:t>
      </w:r>
      <w:r w:rsidR="00C64050">
        <w:rPr>
          <w:szCs w:val="20"/>
        </w:rPr>
        <w:t xml:space="preserve"> </w:t>
      </w:r>
      <w:r w:rsidRPr="00041CAB">
        <w:rPr>
          <w:szCs w:val="20"/>
        </w:rPr>
        <w:t>amendments</w:t>
      </w:r>
      <w:r w:rsidR="00C64050">
        <w:rPr>
          <w:szCs w:val="20"/>
        </w:rPr>
        <w:t xml:space="preserve"> </w:t>
      </w:r>
      <w:r w:rsidRPr="00041CAB">
        <w:rPr>
          <w:szCs w:val="20"/>
        </w:rPr>
        <w:t>purporting</w:t>
      </w:r>
      <w:r w:rsidR="00C64050">
        <w:rPr>
          <w:szCs w:val="20"/>
        </w:rPr>
        <w:t xml:space="preserve"> </w:t>
      </w:r>
      <w:r w:rsidRPr="00041CAB">
        <w:rPr>
          <w:szCs w:val="20"/>
        </w:rPr>
        <w:t>to</w:t>
      </w:r>
      <w:r w:rsidR="00C64050">
        <w:rPr>
          <w:szCs w:val="20"/>
        </w:rPr>
        <w:t xml:space="preserve"> </w:t>
      </w:r>
      <w:r w:rsidRPr="00041CAB">
        <w:rPr>
          <w:szCs w:val="20"/>
        </w:rPr>
        <w:t>disinherit</w:t>
      </w:r>
      <w:r w:rsidR="00C64050">
        <w:rPr>
          <w:szCs w:val="20"/>
        </w:rPr>
        <w:t xml:space="preserve"> </w:t>
      </w:r>
      <w:r w:rsidRPr="00041CAB">
        <w:rPr>
          <w:szCs w:val="20"/>
        </w:rPr>
        <w:t>them</w:t>
      </w:r>
      <w:r w:rsidR="00C64050">
        <w:rPr>
          <w:szCs w:val="20"/>
        </w:rPr>
        <w:t xml:space="preserve"> </w:t>
      </w:r>
      <w:r w:rsidRPr="00041CAB">
        <w:rPr>
          <w:szCs w:val="20"/>
        </w:rPr>
        <w:t>are</w:t>
      </w:r>
      <w:r w:rsidR="00C64050">
        <w:rPr>
          <w:szCs w:val="20"/>
        </w:rPr>
        <w:t xml:space="preserve"> </w:t>
      </w:r>
      <w:r w:rsidRPr="00041CAB">
        <w:rPr>
          <w:szCs w:val="20"/>
        </w:rPr>
        <w:t>invalid</w:t>
      </w:r>
      <w:r w:rsidR="00C64050">
        <w:rPr>
          <w:szCs w:val="20"/>
        </w:rPr>
        <w:t xml:space="preserve"> </w:t>
      </w:r>
      <w:r w:rsidRPr="00041CAB">
        <w:rPr>
          <w:szCs w:val="20"/>
        </w:rPr>
        <w:t>—</w:t>
      </w:r>
      <w:r w:rsidR="00C64050">
        <w:rPr>
          <w:szCs w:val="20"/>
        </w:rPr>
        <w:t xml:space="preserve"> </w:t>
      </w:r>
      <w:r w:rsidRPr="00041CAB">
        <w:rPr>
          <w:szCs w:val="20"/>
        </w:rPr>
        <w:t>to</w:t>
      </w:r>
      <w:r w:rsidR="00C64050">
        <w:rPr>
          <w:szCs w:val="20"/>
        </w:rPr>
        <w:t xml:space="preserve"> </w:t>
      </w:r>
      <w:r w:rsidRPr="00041CAB">
        <w:rPr>
          <w:szCs w:val="20"/>
        </w:rPr>
        <w:t>petition</w:t>
      </w:r>
      <w:r w:rsidR="00C64050">
        <w:rPr>
          <w:szCs w:val="20"/>
        </w:rPr>
        <w:t xml:space="preserve"> </w:t>
      </w:r>
      <w:r w:rsidRPr="00041CAB">
        <w:rPr>
          <w:szCs w:val="20"/>
        </w:rPr>
        <w:t>the</w:t>
      </w:r>
      <w:r w:rsidR="00C64050">
        <w:rPr>
          <w:szCs w:val="20"/>
        </w:rPr>
        <w:t xml:space="preserve"> </w:t>
      </w:r>
      <w:r w:rsidRPr="00041CAB">
        <w:rPr>
          <w:szCs w:val="20"/>
        </w:rPr>
        <w:t>probate</w:t>
      </w:r>
      <w:r w:rsidR="00C64050">
        <w:rPr>
          <w:szCs w:val="20"/>
        </w:rPr>
        <w:t xml:space="preserve"> </w:t>
      </w:r>
      <w:r w:rsidRPr="00041CAB">
        <w:rPr>
          <w:szCs w:val="20"/>
        </w:rPr>
        <w:t>court.</w:t>
      </w:r>
    </w:p>
    <w:p w:rsidR="00886683" w:rsidRDefault="00886683" w:rsidP="00886683">
      <w:pPr>
        <w:pStyle w:val="Body15"/>
        <w:rPr>
          <w:szCs w:val="20"/>
        </w:rPr>
      </w:pPr>
      <w:r>
        <w:rPr>
          <w:szCs w:val="20"/>
        </w:rPr>
        <w:t xml:space="preserve">A somewhat similar issue was presented in </w:t>
      </w:r>
      <w:r>
        <w:rPr>
          <w:szCs w:val="20"/>
          <w:u w:val="single"/>
        </w:rPr>
        <w:t>Ferguson v. Ferguson</w:t>
      </w:r>
      <w:r>
        <w:rPr>
          <w:szCs w:val="20"/>
        </w:rPr>
        <w:t>, 167 Idaho 495 (Id. 2020), which the opinion describes as follows:</w:t>
      </w:r>
    </w:p>
    <w:p w:rsidR="00886683" w:rsidRPr="000E5B7D" w:rsidRDefault="000E5B7D" w:rsidP="000E5B7D">
      <w:pPr>
        <w:pStyle w:val="QS10"/>
        <w:rPr>
          <w:color w:val="000000" w:themeColor="text1"/>
          <w:szCs w:val="20"/>
        </w:rPr>
      </w:pPr>
      <w:r w:rsidRPr="000E5B7D">
        <w:rPr>
          <w:color w:val="000000" w:themeColor="text1"/>
          <w:szCs w:val="20"/>
        </w:rPr>
        <w:t>This case addresses the fiduciary duties of a trustee who has discretion to spend the trust's principal, the scope of records available to a trust beneficiary under Idaho Code section 15-7-303, and the enforceability of a trust instrument's no-contest provision. Michael D. Ferguson was initially excluded as a beneficiary from his parents’ marital trust (the Original Trust). Years later, Michael Ferguson's mother, Sybil Ferguson, essentially reversed Michael Ferguson's exclusion by exercising a power of appointment in her will, designating Michael Ferguson as a beneficiary of the Survivor's Trust—a sub-trust of the Original Trust. When Sybil Ferguson died, Michael Ferguson petitioned the magistrate court for financial records, including records from the Original Trust, to determine whether he would receive his full share of the Survivor's Trust. The parties filed cross-motions for summary judgment, which the magistrate court denied in part and granted in part. Both parties appealed to the district court. The district court affirmed the magistrate court's decision in part and reversed in part. The district court held that the magistrate court erred in concluding that Michael Ferguson did not become a beneficiary of the Survivor's Trust until his mother's death, concluding that he became a beneficiary the moment his mother named him as a beneficiary more than one year before her death. Further, the district court held that the magistrate court erred in refusing to apply the Original Trust's no-contest provision, removing Michael Ferguson as a beneficiary. We reverse the district court's decision.</w:t>
      </w:r>
    </w:p>
    <w:p w:rsidR="00886683" w:rsidRDefault="00886683" w:rsidP="00886683">
      <w:pPr>
        <w:pStyle w:val="Body15"/>
        <w:rPr>
          <w:szCs w:val="20"/>
        </w:rPr>
      </w:pPr>
      <w:r>
        <w:rPr>
          <w:szCs w:val="20"/>
        </w:rPr>
        <w:t>Interestingly, the power of appointment was exercised in Sybil Ferguson’s Will; the court held that Michael became a beneficiary when the Will was executed not when it was probated or at Sybil’s death.  The opinion states:</w:t>
      </w:r>
    </w:p>
    <w:p w:rsidR="00886683" w:rsidRPr="00EA2720" w:rsidRDefault="00EA2720" w:rsidP="00EA2720">
      <w:pPr>
        <w:pStyle w:val="QS10"/>
        <w:rPr>
          <w:color w:val="000000" w:themeColor="text1"/>
          <w:szCs w:val="20"/>
        </w:rPr>
      </w:pPr>
      <w:r w:rsidRPr="00EA2720">
        <w:rPr>
          <w:color w:val="000000" w:themeColor="text1"/>
          <w:szCs w:val="20"/>
        </w:rPr>
        <w:t>The district court failed to consider the implications of its prior holding regarding </w:t>
      </w:r>
      <w:r w:rsidRPr="00EA2720">
        <w:rPr>
          <w:i/>
          <w:iCs/>
          <w:color w:val="000000" w:themeColor="text1"/>
          <w:szCs w:val="20"/>
        </w:rPr>
        <w:t>when</w:t>
      </w:r>
      <w:r w:rsidRPr="00EA2720">
        <w:rPr>
          <w:color w:val="000000" w:themeColor="text1"/>
          <w:szCs w:val="20"/>
        </w:rPr>
        <w:t> Michael Ferguson became a beneficiary of the Survivor's Trust. The district court held that Michael Ferguson became a beneficiary of the Survivor's Trust on October 3, 2013, when Sybil Ferguson exercised the power of appointment in her Will. Based on that holding, Michael Ferguson was a beneficiary of the Survivor's Trust for approximately eighteen months before Sybil Ferguson's death on May 23, 2015. During this eighteen-month period, Michael Ferguson had the same rights as other beneficiaries in the Survivor's Trust, including the right to seek relevant records and information about the assets and particulars of the Survivor's Trust's administration. </w:t>
      </w:r>
      <w:r w:rsidRPr="00EA2720">
        <w:rPr>
          <w:i/>
          <w:iCs/>
          <w:color w:val="000000" w:themeColor="text1"/>
          <w:szCs w:val="20"/>
        </w:rPr>
        <w:t>See</w:t>
      </w:r>
      <w:r w:rsidRPr="00EA2720">
        <w:rPr>
          <w:color w:val="000000" w:themeColor="text1"/>
          <w:szCs w:val="20"/>
        </w:rPr>
        <w:t> I.C. § 15-7-303(b). “[A]ny beneficiary can maintain a suit against the trustee to enforce the duties of the trustee to him[.]”</w:t>
      </w:r>
      <w:r>
        <w:rPr>
          <w:color w:val="000000" w:themeColor="text1"/>
          <w:szCs w:val="20"/>
        </w:rPr>
        <w:t xml:space="preserve"> </w:t>
      </w:r>
      <w:r w:rsidRPr="00EA2720">
        <w:rPr>
          <w:i/>
          <w:iCs/>
          <w:color w:val="000000" w:themeColor="text1"/>
          <w:szCs w:val="20"/>
        </w:rPr>
        <w:t>Beaudoin</w:t>
      </w:r>
      <w:r w:rsidRPr="00EA2720">
        <w:rPr>
          <w:color w:val="000000" w:themeColor="text1"/>
          <w:szCs w:val="20"/>
          <w:u w:val="single"/>
        </w:rPr>
        <w:t>,</w:t>
      </w:r>
      <w:r w:rsidRPr="00EA2720">
        <w:rPr>
          <w:color w:val="000000" w:themeColor="text1"/>
          <w:szCs w:val="20"/>
        </w:rPr>
        <w:t xml:space="preserve"> 151 Idaho at 705, 263 P.3d at 759 (quoting</w:t>
      </w:r>
      <w:r>
        <w:rPr>
          <w:color w:val="000000" w:themeColor="text1"/>
          <w:szCs w:val="20"/>
        </w:rPr>
        <w:t xml:space="preserve"> </w:t>
      </w:r>
      <w:r w:rsidRPr="00EA2720">
        <w:rPr>
          <w:i/>
          <w:iCs/>
          <w:color w:val="000000" w:themeColor="text1"/>
          <w:szCs w:val="20"/>
        </w:rPr>
        <w:t>Restatement of Trusts</w:t>
      </w:r>
      <w:r>
        <w:rPr>
          <w:i/>
          <w:iCs/>
          <w:color w:val="000000" w:themeColor="text1"/>
          <w:szCs w:val="20"/>
        </w:rPr>
        <w:t xml:space="preserve"> </w:t>
      </w:r>
      <w:r w:rsidRPr="00EA2720">
        <w:rPr>
          <w:color w:val="000000" w:themeColor="text1"/>
          <w:szCs w:val="20"/>
        </w:rPr>
        <w:t>§ 214</w:t>
      </w:r>
      <w:r>
        <w:rPr>
          <w:color w:val="000000" w:themeColor="text1"/>
          <w:szCs w:val="20"/>
        </w:rPr>
        <w:t xml:space="preserve"> </w:t>
      </w:r>
      <w:r w:rsidRPr="00EA2720">
        <w:rPr>
          <w:color w:val="000000" w:themeColor="text1"/>
          <w:szCs w:val="20"/>
        </w:rPr>
        <w:t>cmt. a). Thus, Michael Ferguson </w:t>
      </w:r>
      <w:r w:rsidRPr="00EA2720">
        <w:rPr>
          <w:i/>
          <w:iCs/>
          <w:color w:val="000000" w:themeColor="text1"/>
          <w:szCs w:val="20"/>
        </w:rPr>
        <w:t>did</w:t>
      </w:r>
      <w:r w:rsidRPr="00EA2720">
        <w:rPr>
          <w:color w:val="000000" w:themeColor="text1"/>
          <w:szCs w:val="20"/>
        </w:rPr>
        <w:t> have rights that he could enforce in the Survivor's Trust before Sybil Ferguson's death. We acknowledge that Sybil Ferguson had the discretion to spend Survivor's Trust's assets as she pleased, however, that did not relieve her of fiduciary duties imposed on her by statute, nor did it diminish Michael Ferguson's rights as a beneficiary. Thus, the district court erred in concluding that Michael Ferguson had no rights in Sybil Ferguson's estate before Sybil Ferguson's death.</w:t>
      </w:r>
    </w:p>
    <w:p w:rsidR="00886683" w:rsidRDefault="00886683" w:rsidP="00886683">
      <w:pPr>
        <w:pStyle w:val="Body15"/>
        <w:rPr>
          <w:szCs w:val="20"/>
        </w:rPr>
      </w:pPr>
      <w:r>
        <w:rPr>
          <w:szCs w:val="20"/>
        </w:rPr>
        <w:t>More generally, the court held that a beneficiary has rights throughout the term of a trust:</w:t>
      </w:r>
    </w:p>
    <w:p w:rsidR="000E5B7D" w:rsidRPr="000E5B7D" w:rsidRDefault="000E5B7D" w:rsidP="00EA2720">
      <w:pPr>
        <w:pStyle w:val="QS10"/>
      </w:pPr>
      <w:r w:rsidRPr="000E5B7D">
        <w:t>To begin with, it is important to understand that the Survivor's Trust became irrevocable upon the death of Roger Ferguson. Section 5.01 of the Trust Agreement stated: “Upon the death of the first Grantor to die, the Trust shall become irrevocable.” Article I of the Trust Agreement defined the term “Trust” to mean the Ferguson Family Revocable Trust as a whole, which included the Survivor's Trust as one of the sub-trusts that was created. With this understanding in mind, we turn to the district court's decisions.</w:t>
      </w:r>
    </w:p>
    <w:p w:rsidR="000E5B7D" w:rsidRPr="000E5B7D" w:rsidRDefault="000E5B7D" w:rsidP="00EA2720">
      <w:pPr>
        <w:pStyle w:val="QS10"/>
      </w:pPr>
      <w:r w:rsidRPr="000E5B7D">
        <w:t>The district court erred in concluding that Sybil Ferguson's discretion to spend Survivor's Trust assets during her lifetime meant that she owed no fiduciary duties to beneficiaries. The Trust Agreement gave Sybil Ferguson discretion to distribute and use the Survivor's Trust principal for “any reason.” However, even where a trustee maintains discretion to spend the trust's assets, like Sybil Ferguson in this case, the trustee, is still subject to basic fiduciary duties.</w:t>
      </w:r>
    </w:p>
    <w:p w:rsidR="000E5B7D" w:rsidRPr="000E5B7D" w:rsidRDefault="000E5B7D" w:rsidP="00EA2720">
      <w:pPr>
        <w:pStyle w:val="QS10"/>
      </w:pPr>
      <w:r w:rsidRPr="000E5B7D">
        <w:t>The Restatement (Third) of Trusts contemplates this scenario when analyzing the enforcement and construction of “discretionary interests.” </w:t>
      </w:r>
      <w:r w:rsidRPr="000E5B7D">
        <w:rPr>
          <w:rStyle w:val="Emphasis"/>
          <w:color w:val="000000" w:themeColor="text1"/>
          <w:szCs w:val="20"/>
        </w:rPr>
        <w:t>Restatement (Third) of Trusts</w:t>
      </w:r>
      <w:r w:rsidRPr="000E5B7D">
        <w:t> § 50 (2003). Courts will not interfere with a trustee's exercise of discretionary power when that exercise is reasonable and based on a proper interpretation of a trust's terms. </w:t>
      </w:r>
      <w:r w:rsidRPr="000E5B7D">
        <w:rPr>
          <w:rStyle w:val="Emphasis"/>
          <w:color w:val="000000" w:themeColor="text1"/>
          <w:szCs w:val="20"/>
        </w:rPr>
        <w:t>Id.</w:t>
      </w:r>
      <w:r w:rsidRPr="000E5B7D">
        <w:t> § 50 cmt. b. However, courts will not permit abuse of discretion by the trustee. </w:t>
      </w:r>
      <w:r w:rsidRPr="000E5B7D">
        <w:rPr>
          <w:rStyle w:val="Emphasis"/>
          <w:color w:val="000000" w:themeColor="text1"/>
          <w:szCs w:val="20"/>
        </w:rPr>
        <w:t>Id.</w:t>
      </w:r>
      <w:r w:rsidRPr="000E5B7D">
        <w:t> “What constitutes an abuse depends on the terms of the trust, as well as on </w:t>
      </w:r>
      <w:r w:rsidRPr="000E5B7D">
        <w:rPr>
          <w:rStyle w:val="Emphasis"/>
          <w:color w:val="000000" w:themeColor="text1"/>
          <w:szCs w:val="20"/>
        </w:rPr>
        <w:t>basic fiduciary duties</w:t>
      </w:r>
      <w:r w:rsidRPr="000E5B7D">
        <w:t> and principles.” </w:t>
      </w:r>
      <w:r w:rsidRPr="000E5B7D">
        <w:rPr>
          <w:rStyle w:val="Emphasis"/>
          <w:color w:val="000000" w:themeColor="text1"/>
          <w:szCs w:val="20"/>
        </w:rPr>
        <w:t>Id.</w:t>
      </w:r>
      <w:r w:rsidRPr="000E5B7D">
        <w:t> (emphasis added). The Restatement suggests that the basic fiduciary duties relevant to abuse of trustee discretion include, “(i) the general duty to act, reasonably informed, with impartiality among the various beneficiaries and interests and (ii) the </w:t>
      </w:r>
      <w:r w:rsidRPr="000E5B7D">
        <w:rPr>
          <w:rStyle w:val="Emphasis"/>
          <w:color w:val="000000" w:themeColor="text1"/>
          <w:szCs w:val="20"/>
        </w:rPr>
        <w:t>duty to provide the beneficiaries with information concerning the trust and its administration</w:t>
      </w:r>
      <w:r w:rsidRPr="000E5B7D">
        <w:t>.” </w:t>
      </w:r>
      <w:r w:rsidRPr="000E5B7D">
        <w:rPr>
          <w:rStyle w:val="Emphasis"/>
          <w:color w:val="000000" w:themeColor="text1"/>
          <w:szCs w:val="20"/>
        </w:rPr>
        <w:t>Id.</w:t>
      </w:r>
      <w:r w:rsidRPr="000E5B7D">
        <w:t> (emphasis added and internal citations omitted). Even under the broadest grant of trustee discretion—giving trustees “absolute,” “unlimited,” or “sole” discretion—the trustee must act honestly and avoid acting in bad faith for a purpose other than to accomplish the purposes of the discretionary power. </w:t>
      </w:r>
      <w:r w:rsidRPr="000E5B7D">
        <w:rPr>
          <w:rStyle w:val="Emphasis"/>
          <w:color w:val="000000" w:themeColor="text1"/>
          <w:szCs w:val="20"/>
        </w:rPr>
        <w:t>Id.</w:t>
      </w:r>
      <w:r w:rsidRPr="000E5B7D">
        <w:t> § 50 cmt. c. Thus, while the Restatement generally permits trustees to operate with wide discretionary authority—even where the trustee is also a beneficiary—that discretion does not absolve a trustee of </w:t>
      </w:r>
      <w:r w:rsidRPr="000E5B7D">
        <w:rPr>
          <w:rStyle w:val="Emphasis"/>
          <w:color w:val="000000" w:themeColor="text1"/>
          <w:szCs w:val="20"/>
        </w:rPr>
        <w:t>all</w:t>
      </w:r>
      <w:r w:rsidRPr="000E5B7D">
        <w:t> basic fiduciary duties. Thus, the district court erred in concluding that Sybil Ferguson's “significant discretion” to spend Survivor's Trust assets relieved her of all fiduciary duties.</w:t>
      </w:r>
    </w:p>
    <w:p w:rsidR="000E5B7D" w:rsidRPr="000E5B7D" w:rsidRDefault="000E5B7D" w:rsidP="00EA2720">
      <w:pPr>
        <w:pStyle w:val="QS10"/>
      </w:pPr>
      <w:r w:rsidRPr="000E5B7D">
        <w:t>Second, the district court improperly narrowed Sybil Ferguson's fiduciary duties to those provided in the Trust Agreement. When analyzing Sybil Ferguson's fiduciary duties, the district court only considered her duties under the Trust Agreement. The district court failed to consider the full scope of Sybil Ferguson's fiduciary duties under Idaho trust law.</w:t>
      </w:r>
    </w:p>
    <w:p w:rsidR="000E5B7D" w:rsidRPr="000E5B7D" w:rsidRDefault="000E5B7D" w:rsidP="00EA2720">
      <w:pPr>
        <w:pStyle w:val="QS10"/>
      </w:pPr>
      <w:r w:rsidRPr="000E5B7D">
        <w:t>Whether a fiduciary relationship exists is a question of law, over which this Court exercises free review. </w:t>
      </w:r>
      <w:r w:rsidRPr="000E5B7D">
        <w:rPr>
          <w:rStyle w:val="Emphasis"/>
          <w:color w:val="000000" w:themeColor="text1"/>
          <w:szCs w:val="20"/>
        </w:rPr>
        <w:t>Beaudoin v. Davidson Trust Co</w:t>
      </w:r>
      <w:r w:rsidRPr="00EA2720">
        <w:t>., 151 Idaho 701, 705, 263 P.3d 755, 759 (2011)</w:t>
      </w:r>
      <w:r w:rsidRPr="000E5B7D">
        <w:t>. It is contrary to sound public policy to permit a grantor to relieve a trustee of all accountability. </w:t>
      </w:r>
      <w:r w:rsidRPr="000E5B7D">
        <w:rPr>
          <w:rStyle w:val="Emphasis"/>
          <w:color w:val="000000" w:themeColor="text1"/>
          <w:szCs w:val="20"/>
        </w:rPr>
        <w:t>Restatement (Third) of Trusts</w:t>
      </w:r>
      <w:r w:rsidRPr="00EA2720">
        <w:t> § 50</w:t>
      </w:r>
      <w:r w:rsidRPr="000E5B7D">
        <w:t> cmt. c. Generally, a “trustee has a duty to administer the trust diligently and in good faith, in accordance with the terms of the trust </w:t>
      </w:r>
      <w:r w:rsidRPr="000E5B7D">
        <w:rPr>
          <w:rStyle w:val="Emphasis"/>
          <w:color w:val="000000" w:themeColor="text1"/>
          <w:szCs w:val="20"/>
        </w:rPr>
        <w:t>and applicable law.” Restatement (Third) of Trusts</w:t>
      </w:r>
      <w:r w:rsidRPr="00EA2720">
        <w:t> § 76 (2007)</w:t>
      </w:r>
      <w:r w:rsidRPr="000E5B7D">
        <w:t> (emphasis added). “A trustee has both (i) a duty generally to comply with the terms of the trust and (ii) a duty to comply with the </w:t>
      </w:r>
      <w:r w:rsidRPr="000E5B7D">
        <w:rPr>
          <w:rStyle w:val="Emphasis"/>
          <w:color w:val="000000" w:themeColor="text1"/>
          <w:szCs w:val="20"/>
        </w:rPr>
        <w:t>mandates of trust law</w:t>
      </w:r>
      <w:r w:rsidRPr="000E5B7D">
        <w:t> except as permissibly modified by the terms of the trust.” </w:t>
      </w:r>
      <w:r w:rsidRPr="000E5B7D">
        <w:rPr>
          <w:rStyle w:val="Emphasis"/>
          <w:color w:val="000000" w:themeColor="text1"/>
          <w:szCs w:val="20"/>
        </w:rPr>
        <w:t>Id.</w:t>
      </w:r>
      <w:r w:rsidRPr="000E5B7D">
        <w:t> </w:t>
      </w:r>
      <w:r w:rsidRPr="00EA2720">
        <w:t>§ 76</w:t>
      </w:r>
      <w:r w:rsidRPr="000E5B7D">
        <w:t> cmt. b (emphasis added). Thus, when analyzing Sybil Ferguson's potential duties in administering the Survivor's Trust, we consider: (1) the terms of the Trust Agreement; </w:t>
      </w:r>
      <w:r w:rsidRPr="000E5B7D">
        <w:rPr>
          <w:rStyle w:val="Emphasis"/>
          <w:color w:val="000000" w:themeColor="text1"/>
          <w:szCs w:val="20"/>
        </w:rPr>
        <w:t>and</w:t>
      </w:r>
      <w:r w:rsidRPr="000E5B7D">
        <w:t> (2) the mandates of Idaho trust law.</w:t>
      </w:r>
    </w:p>
    <w:p w:rsidR="000E5B7D" w:rsidRPr="000E5B7D" w:rsidRDefault="000E5B7D" w:rsidP="00EA2720">
      <w:pPr>
        <w:pStyle w:val="QS10"/>
      </w:pPr>
      <w:r w:rsidRPr="000E5B7D">
        <w:t>In Idaho, trustee duties are not limited to those stated in a trust agreement. Idaho trust law recognizes trustee duties in statute and the common law. While Sybil Ferguson enjoyed broad discretion under the Trust Agreement, she was still required to adhere to statutory and common law duties as the Survivor's Trust's sole trustee. For example, </w:t>
      </w:r>
      <w:r w:rsidRPr="00EA2720">
        <w:t>Idaho Code section 15-7-303</w:t>
      </w:r>
      <w:r w:rsidRPr="000E5B7D">
        <w:t> imposes a duty on trustees to keep the beneficiaries of the trust reasonably informed of the trust and its administration. Upon reasonable request, trustees are required to provide beneficiaries with “relevant information” about the assets of the trust or a “statement of the accounts” of the trust. </w:t>
      </w:r>
      <w:r w:rsidRPr="00EA2720">
        <w:t>I.C. § 15-7-303(b)</w:t>
      </w:r>
      <w:r w:rsidRPr="000E5B7D">
        <w:t>, </w:t>
      </w:r>
      <w:hyperlink r:id="rId418" w:anchor="co_pp_4b24000003ba5" w:history="1">
        <w:r w:rsidRPr="000E5B7D">
          <w:rPr>
            <w:rStyle w:val="Hyperlink"/>
            <w:color w:val="000000" w:themeColor="text1"/>
            <w:szCs w:val="20"/>
          </w:rPr>
          <w:t>(c)</w:t>
        </w:r>
      </w:hyperlink>
      <w:r w:rsidRPr="000E5B7D">
        <w:t>. Further, at common law, this Court has recognized that a “trustee owes a duty to the beneficiary to administer the trust in the interest of the beneficiaries alone, and to exclude from consideration his own advantages and the welfare of third persons. This duty is called the duty of loyalty.” </w:t>
      </w:r>
      <w:r w:rsidRPr="000E5B7D">
        <w:rPr>
          <w:rStyle w:val="Emphasis"/>
          <w:color w:val="000000" w:themeColor="text1"/>
          <w:szCs w:val="20"/>
        </w:rPr>
        <w:t>Taylor v. Maile,</w:t>
      </w:r>
      <w:r w:rsidRPr="00EA2720">
        <w:t> 142 Idaho 253, 260, 127 P.3d 156, 163 (2005)</w:t>
      </w:r>
      <w:r w:rsidRPr="000E5B7D">
        <w:t> (quoting </w:t>
      </w:r>
      <w:r w:rsidRPr="000E5B7D">
        <w:rPr>
          <w:rStyle w:val="Emphasis"/>
          <w:color w:val="000000" w:themeColor="text1"/>
          <w:szCs w:val="20"/>
        </w:rPr>
        <w:t>Edwards v. Edwards</w:t>
      </w:r>
      <w:r w:rsidRPr="00EA2720">
        <w:t>, 122 Idaho 963, 969, 842 P.2d 299, 305 (Ct. App. 1992)</w:t>
      </w:r>
      <w:r w:rsidRPr="000E5B7D">
        <w:t>) (internal quotation marks omitted). Thus, Sybil Ferguson still owed the beneficiaries statutory and common law duties, even though those duties were not spelled out in the Trust Agreement. Accordingly, the district court erred by examining Sybil Ferguson's duties solely through the lens of the Trust Agreement.</w:t>
      </w:r>
    </w:p>
    <w:p w:rsidR="000E5B7D" w:rsidRPr="000E5B7D" w:rsidRDefault="000E5B7D" w:rsidP="00EA2720">
      <w:pPr>
        <w:pStyle w:val="QS10"/>
      </w:pPr>
      <w:r w:rsidRPr="000E5B7D">
        <w:t>Third, the district court erroneously concluded that Michael Ferguson had no rights in Sybil Ferguson's estate before her death. The district court cited </w:t>
      </w:r>
      <w:hyperlink r:id="rId419" w:history="1">
        <w:r w:rsidRPr="000E5B7D">
          <w:rPr>
            <w:rStyle w:val="Emphasis"/>
            <w:color w:val="000000" w:themeColor="text1"/>
            <w:szCs w:val="20"/>
          </w:rPr>
          <w:t>Beaudoin</w:t>
        </w:r>
      </w:hyperlink>
      <w:r w:rsidRPr="000E5B7D">
        <w:t> for the proposition that although a beneficiary can maintain a suit against the trustee to enforce the duties that a trustee owes him, it does not </w:t>
      </w:r>
      <w:r w:rsidRPr="000E5B7D">
        <w:rPr>
          <w:rStyle w:val="Emphasis"/>
          <w:color w:val="000000" w:themeColor="text1"/>
          <w:szCs w:val="20"/>
        </w:rPr>
        <w:t>impose</w:t>
      </w:r>
      <w:r w:rsidRPr="000E5B7D">
        <w:t> specific duties upon a trustee. Because the Trust Agreement did not impose a duty on Sybil Ferguson to preserve the Survivor's Trust assets during her lifetime, the district court held that Michael Ferguson's status as a beneficiary did not afford him any rights to enforce from </w:t>
      </w:r>
      <w:r w:rsidRPr="000E5B7D">
        <w:rPr>
          <w:rStyle w:val="Emphasis"/>
          <w:color w:val="000000" w:themeColor="text1"/>
          <w:szCs w:val="20"/>
        </w:rPr>
        <w:t>before</w:t>
      </w:r>
      <w:r w:rsidRPr="000E5B7D">
        <w:t> Sybil Ferguson's death. We disagree.</w:t>
      </w:r>
    </w:p>
    <w:p w:rsidR="00886683" w:rsidRDefault="00886683" w:rsidP="00886683">
      <w:pPr>
        <w:pStyle w:val="Body15"/>
        <w:rPr>
          <w:szCs w:val="20"/>
        </w:rPr>
      </w:pPr>
      <w:r>
        <w:rPr>
          <w:szCs w:val="20"/>
        </w:rPr>
        <w:t>So, a beneficiary of a marital trust or a credit shelter trust may sue a surviving spouse’s estate for t</w:t>
      </w:r>
      <w:r w:rsidR="000E5B7D">
        <w:rPr>
          <w:szCs w:val="20"/>
        </w:rPr>
        <w:t>h</w:t>
      </w:r>
      <w:r>
        <w:rPr>
          <w:szCs w:val="20"/>
        </w:rPr>
        <w:t>e actions taken as trustee after the surviving spouse’s death.  At such time, the surviving spouse may not exercise a power of appointment as might be likely if such a suit were brought during lifetime.  W</w:t>
      </w:r>
      <w:r w:rsidR="00F70DA0">
        <w:rPr>
          <w:szCs w:val="20"/>
        </w:rPr>
        <w:t>ill an in terrorem clause suffice?  Perhaps not.  Here, the opinion notes:</w:t>
      </w:r>
    </w:p>
    <w:p w:rsidR="00EA2720" w:rsidRPr="00EA2720" w:rsidRDefault="00EA2720" w:rsidP="00EA2720">
      <w:pPr>
        <w:pStyle w:val="QS10"/>
        <w:rPr>
          <w:color w:val="000000" w:themeColor="text1"/>
          <w:szCs w:val="20"/>
        </w:rPr>
      </w:pPr>
      <w:r w:rsidRPr="00EA2720">
        <w:rPr>
          <w:color w:val="000000" w:themeColor="text1"/>
          <w:szCs w:val="20"/>
        </w:rPr>
        <w:t>Michael Ferguson contends that the district court erred in applying and enforcing the Trust Agreement's forfeiture provision. Section 20.03 of the Trust Agreement contains a forfeiture provision that lists various impermissible legal challenges to the sub-trusts and Trust Agreement that would result in a beneficiary forfeiting his interest. The provision reads:</w:t>
      </w:r>
    </w:p>
    <w:p w:rsidR="00EA2720" w:rsidRPr="00EA2720" w:rsidRDefault="00EA2720" w:rsidP="00EA2720">
      <w:pPr>
        <w:pStyle w:val="QS10"/>
        <w:rPr>
          <w:color w:val="000000" w:themeColor="text1"/>
          <w:szCs w:val="20"/>
        </w:rPr>
      </w:pPr>
      <w:r w:rsidRPr="00EA2720">
        <w:rPr>
          <w:color w:val="000000" w:themeColor="text1"/>
          <w:szCs w:val="20"/>
        </w:rPr>
        <w:t>If any beneficiary of this Trust or any trust created under this Trust Agreement, alone or in conjunction with any other person or entity, engages in any of the following actions, the right of the beneficiary to take any interest given to the beneficiary under this Trust or any trust created under this Trust Agreement shall be determined as it would have been determined as if the beneficiary predeceased the last Grantor to die without leaving any surviving descendants: ... (c) </w:t>
      </w:r>
      <w:r w:rsidRPr="00EA2720">
        <w:rPr>
          <w:rStyle w:val="Emphasis"/>
          <w:color w:val="000000" w:themeColor="text1"/>
          <w:szCs w:val="20"/>
        </w:rPr>
        <w:t>files suit on a creditor's claim filed by the beneficiary in a probate</w:t>
      </w:r>
      <w:r w:rsidRPr="00EA2720">
        <w:rPr>
          <w:color w:val="000000" w:themeColor="text1"/>
          <w:szCs w:val="20"/>
        </w:rPr>
        <w:t> [sic] </w:t>
      </w:r>
      <w:r w:rsidRPr="00EA2720">
        <w:rPr>
          <w:rStyle w:val="Emphasis"/>
          <w:color w:val="000000" w:themeColor="text1"/>
          <w:szCs w:val="20"/>
        </w:rPr>
        <w:t>of the estate of either Grantor, against the Trust estate or any Document, after rejection or lack of action by the applicable fiduciary</w:t>
      </w:r>
      <w:r w:rsidRPr="00EA2720">
        <w:rPr>
          <w:color w:val="000000" w:themeColor="text1"/>
          <w:szCs w:val="20"/>
        </w:rPr>
        <w:t>[.]</w:t>
      </w:r>
    </w:p>
    <w:p w:rsidR="00EA2720" w:rsidRPr="00EA2720" w:rsidRDefault="00EA2720" w:rsidP="00EA2720">
      <w:pPr>
        <w:pStyle w:val="QS10"/>
        <w:rPr>
          <w:color w:val="000000" w:themeColor="text1"/>
          <w:szCs w:val="20"/>
        </w:rPr>
      </w:pPr>
      <w:r w:rsidRPr="00EA2720">
        <w:rPr>
          <w:color w:val="000000" w:themeColor="text1"/>
          <w:szCs w:val="20"/>
        </w:rPr>
        <w:t>This type of provision is commonly referred to as a “no-contest” provision. </w:t>
      </w:r>
      <w:r w:rsidRPr="00EA2720">
        <w:rPr>
          <w:rStyle w:val="Emphasis"/>
          <w:color w:val="000000" w:themeColor="text1"/>
          <w:szCs w:val="20"/>
        </w:rPr>
        <w:t>Restatement (Third) of Trusts</w:t>
      </w:r>
      <w:r w:rsidRPr="00EA2720">
        <w:rPr>
          <w:color w:val="000000" w:themeColor="text1"/>
          <w:szCs w:val="20"/>
        </w:rPr>
        <w:t> § 96 cmt. a (2012).</w:t>
      </w:r>
    </w:p>
    <w:p w:rsidR="00EA2720" w:rsidRDefault="00EA2720" w:rsidP="00EA2720">
      <w:pPr>
        <w:pStyle w:val="QS10"/>
        <w:rPr>
          <w:color w:val="000000" w:themeColor="text1"/>
          <w:szCs w:val="20"/>
        </w:rPr>
      </w:pPr>
      <w:r w:rsidRPr="00EA2720">
        <w:rPr>
          <w:color w:val="000000" w:themeColor="text1"/>
          <w:szCs w:val="20"/>
        </w:rPr>
        <w:t>When Michael Ferguson filed his Petition for Allowance of Claim and for Stay against Sybil Ferguson's estate in Arizona probate court, the Successor Trustees filed a counterclaim for declaratory judgment in this case, arguing that Michael Ferguson's Arizona petition triggered the Trust Agreement's forfeiture provision. In other words, the Successor Trustee argued that Michael Ferguson forfeited his interest in the Survivor's Trust by filing the Arizona petition. The magistrate court held that the forfeiture provision was not triggered by Michael Ferguson's Arizona petition because Michael Ferguson only filed the claim as a “placeholder,” rather than as a challenge to the validity of the Original Trust. Relying on its erroneous prior conclusion that Sybil Ferguson did not owe Michael Ferguson any fiduciary duties, the district court reversed the magistrate court. Specifically, the district court held that because Sybil Ferguson owed no fiduciary duty, it would not be reasonable for Michael Ferguson to conclude he was entitled to an accounting from before Sybil Ferguson's death or that she breached any fiduciary duties as sole trustee of the Survivor's Trust. As such, the district court held that Michael Ferguson lacked “probable cause” to bring his Arizona petition, meaning that he forfeited his interest as a beneficiary in the Survivor's Trust.</w:t>
      </w:r>
    </w:p>
    <w:p w:rsidR="00F70DA0" w:rsidRDefault="00F70DA0" w:rsidP="00EA2720">
      <w:pPr>
        <w:pStyle w:val="QS10"/>
        <w:jc w:val="center"/>
        <w:rPr>
          <w:szCs w:val="20"/>
        </w:rPr>
      </w:pPr>
      <w:r>
        <w:rPr>
          <w:szCs w:val="20"/>
        </w:rPr>
        <w:t>* * *</w:t>
      </w:r>
    </w:p>
    <w:p w:rsidR="00EA2720" w:rsidRDefault="00EA2720" w:rsidP="00EA2720">
      <w:pPr>
        <w:pStyle w:val="QS10"/>
      </w:pPr>
      <w:r w:rsidRPr="00EA2720">
        <w:t>Accordingly, we adopt the majority position identified in the Restatement, and hold that no-contest provisions are generally enforceable in Idaho trust instruments. Further, alt</w:t>
      </w:r>
      <w:r>
        <w:t xml:space="preserve">hough no-contest provisions are </w:t>
      </w:r>
      <w:r w:rsidRPr="00EA2720">
        <w:t>generally enforceable, their enforceability is subject to various common law limitations.</w:t>
      </w:r>
    </w:p>
    <w:p w:rsidR="00F70DA0" w:rsidRDefault="00F70DA0" w:rsidP="00EA2720">
      <w:pPr>
        <w:pStyle w:val="QS10"/>
        <w:jc w:val="center"/>
        <w:rPr>
          <w:szCs w:val="20"/>
        </w:rPr>
      </w:pPr>
      <w:r>
        <w:rPr>
          <w:szCs w:val="20"/>
        </w:rPr>
        <w:t>* * *</w:t>
      </w:r>
    </w:p>
    <w:p w:rsidR="003233B7" w:rsidRPr="003233B7" w:rsidRDefault="003233B7" w:rsidP="003233B7">
      <w:pPr>
        <w:pStyle w:val="QS10"/>
        <w:rPr>
          <w:color w:val="000000" w:themeColor="text1"/>
          <w:szCs w:val="20"/>
        </w:rPr>
      </w:pPr>
      <w:r w:rsidRPr="003233B7">
        <w:rPr>
          <w:color w:val="000000" w:themeColor="text1"/>
          <w:szCs w:val="20"/>
        </w:rPr>
        <w:t>At the outset, Michael Ferguson's Arizona petition does fall within the scope of the Trust Agreement's forfeiture provision. Sub-section (c) of the forfeiture provision is triggered when a beneficiary files suit on a creditor's claim in a Grantor's probate estate. Michael Ferguson's Arizona petition sought to litigate his creditor's claim against Sybil Ferguson's (an original Grantor) estate in Arizona probate court. Thus, on its face, Michael Ferguson's creditor's claim falls within the scope of sub-section (c) of the Trust Agreement's forfeiture provision.</w:t>
      </w:r>
    </w:p>
    <w:p w:rsidR="003233B7" w:rsidRPr="003233B7" w:rsidRDefault="003233B7" w:rsidP="003233B7">
      <w:pPr>
        <w:pStyle w:val="QS10"/>
        <w:rPr>
          <w:color w:val="000000" w:themeColor="text1"/>
          <w:szCs w:val="20"/>
        </w:rPr>
      </w:pPr>
      <w:r w:rsidRPr="003233B7">
        <w:rPr>
          <w:color w:val="000000" w:themeColor="text1"/>
          <w:szCs w:val="20"/>
        </w:rPr>
        <w:t>Notwithstanding, the forfeiture provision is not enforceable because it interferes with the enforcement and proper administration of the trust. </w:t>
      </w:r>
      <w:r w:rsidRPr="003233B7">
        <w:rPr>
          <w:rStyle w:val="Emphasis"/>
          <w:color w:val="000000" w:themeColor="text1"/>
          <w:szCs w:val="20"/>
        </w:rPr>
        <w:t>See Restatement (Third) of Trusts</w:t>
      </w:r>
      <w:r w:rsidRPr="003233B7">
        <w:rPr>
          <w:color w:val="000000" w:themeColor="text1"/>
          <w:szCs w:val="20"/>
        </w:rPr>
        <w:t> § 96(2). As trustees of the Survivor's Trust, the Successor Trustees have a duty to keep the Survivor's Trust beneficiaries reasonably informed of the trust and its administration. </w:t>
      </w:r>
      <w:r w:rsidRPr="003233B7">
        <w:rPr>
          <w:rStyle w:val="Emphasis"/>
          <w:color w:val="000000" w:themeColor="text1"/>
          <w:szCs w:val="20"/>
        </w:rPr>
        <w:t>See</w:t>
      </w:r>
      <w:r w:rsidRPr="003233B7">
        <w:rPr>
          <w:color w:val="000000" w:themeColor="text1"/>
          <w:szCs w:val="20"/>
        </w:rPr>
        <w:t> I.C. § 15-7-303. Upon reasonable request, the Successor Trustees must provide beneficiaries with relevant information about the assets of the trust and particulars relating to its administration. </w:t>
      </w:r>
      <w:r w:rsidRPr="003233B7">
        <w:rPr>
          <w:rStyle w:val="Emphasis"/>
          <w:color w:val="000000" w:themeColor="text1"/>
          <w:szCs w:val="20"/>
        </w:rPr>
        <w:t>Id.</w:t>
      </w:r>
      <w:r w:rsidRPr="003233B7">
        <w:rPr>
          <w:color w:val="000000" w:themeColor="text1"/>
          <w:szCs w:val="20"/>
        </w:rPr>
        <w:t> § 303(b). Here, the Successor Trustees refused to provide Michael Ferguson with relevant information that he requested pursuant to his rights as a beneficiary under Idaho Code section 15-7-303(b). Instead of producing the information, the Successor Trustees sought to prevent Michael Ferguson from obtaining the information through the forfeiture provision. Put differently, the Successor Trustees are attempting to use the forfeiture provision to remove Michael Ferguson as a beneficiary as a penalty for his seeking records pertaining to the manner in which the Survivor's Trust has been administered. Such a result is inconsistent with the proper administration of the Survivor's Trust under Idaho law, and interferes with Michael Ferguson's rights as a beneficiary in the Survivor's Trust. Accordingly, the district court erred in enforcing the forfeiture provision.</w:t>
      </w:r>
    </w:p>
    <w:p w:rsidR="003233B7" w:rsidRPr="003233B7" w:rsidRDefault="003233B7" w:rsidP="003233B7">
      <w:pPr>
        <w:pStyle w:val="QS10"/>
        <w:rPr>
          <w:color w:val="000000" w:themeColor="text1"/>
          <w:szCs w:val="20"/>
        </w:rPr>
      </w:pPr>
      <w:r w:rsidRPr="003233B7">
        <w:rPr>
          <w:color w:val="000000" w:themeColor="text1"/>
          <w:szCs w:val="20"/>
        </w:rPr>
        <w:t>The Successor Trustees argue that the forfeiture provision cannot interfere with the proper administration of the Survivor's Trust because Michael Ferguson's argument overlooks Article Eight and section 18.05 of the Trust Agreement. Further, the Successor Trustees argue that the forfeiture provision should be enforced because Michael Ferguson failed to demonstrate probable cause for filing the Arizona petition. We address these arguments in turn.</w:t>
      </w:r>
    </w:p>
    <w:p w:rsidR="003233B7" w:rsidRPr="003233B7" w:rsidRDefault="003233B7" w:rsidP="003233B7">
      <w:pPr>
        <w:pStyle w:val="QS10"/>
        <w:rPr>
          <w:color w:val="000000" w:themeColor="text1"/>
          <w:szCs w:val="20"/>
        </w:rPr>
      </w:pPr>
      <w:r w:rsidRPr="003233B7">
        <w:rPr>
          <w:color w:val="000000" w:themeColor="text1"/>
          <w:szCs w:val="20"/>
        </w:rPr>
        <w:t>The Successor Trustees argue that the forfeiture provision cannot interfere with administration of the Survivor's Trust because Article Eight granted Sybil Ferguson “virtually unlimited discretion” in using Survivor's Trust assets. The Successor Trustees further argue, because Sybil Ferguson enjoyed unlimited discretion, she did not owe Michael Ferguson any fiduciary duties. Essentially, the Successor Trustees argue that the forfeiture provision cannot interfere with the Survivor's Trust administration because Michael Ferguson is not entitled to the records he seeks. This argument misses the mark. First, as stated above, Sybil Ferguson did owe some limited fiduciary duties as sole trustee of the Survivor's Trust. Second, Sybil Ferguson's discretion to spend Survivor's Trust assets during her lifetime has no bearing on the Successor Trustees’ </w:t>
      </w:r>
      <w:r w:rsidRPr="003233B7">
        <w:rPr>
          <w:rStyle w:val="Emphasis"/>
          <w:color w:val="000000" w:themeColor="text1"/>
          <w:szCs w:val="20"/>
        </w:rPr>
        <w:t>current</w:t>
      </w:r>
      <w:r w:rsidRPr="003233B7">
        <w:rPr>
          <w:color w:val="000000" w:themeColor="text1"/>
          <w:szCs w:val="20"/>
        </w:rPr>
        <w:t> fiduciary duties to Survivor's Trust beneficiaries. Thus, Sybil Ferguson's discretion to spend Survivor's Trust assets during her lifetime did not alter or impact the Survivor's Trust's current administration.</w:t>
      </w:r>
    </w:p>
    <w:p w:rsidR="003233B7" w:rsidRPr="003233B7" w:rsidRDefault="003233B7" w:rsidP="003233B7">
      <w:pPr>
        <w:pStyle w:val="QS10"/>
        <w:rPr>
          <w:color w:val="000000" w:themeColor="text1"/>
          <w:szCs w:val="20"/>
        </w:rPr>
      </w:pPr>
      <w:r w:rsidRPr="003233B7">
        <w:rPr>
          <w:color w:val="000000" w:themeColor="text1"/>
          <w:szCs w:val="20"/>
        </w:rPr>
        <w:t>Further, the Successor Trustees argue that the forfeiture provision cannot interfere with proper administration of the Survivor's Trust because section 18.05 of the Trust Agreement relieves any successor trustees</w:t>
      </w:r>
      <w:r>
        <w:rPr>
          <w:color w:val="000000" w:themeColor="text1"/>
          <w:szCs w:val="20"/>
        </w:rPr>
        <w:t xml:space="preserve"> </w:t>
      </w:r>
      <w:r w:rsidRPr="003233B7">
        <w:rPr>
          <w:color w:val="000000" w:themeColor="text1"/>
          <w:szCs w:val="20"/>
        </w:rPr>
        <w:t>from liability for previous trustees’ acts, omissions, or forbearance. Section 18.05 provides:</w:t>
      </w:r>
    </w:p>
    <w:p w:rsidR="003233B7" w:rsidRPr="003233B7" w:rsidRDefault="003233B7" w:rsidP="003233B7">
      <w:pPr>
        <w:pStyle w:val="QS10"/>
        <w:rPr>
          <w:color w:val="000000" w:themeColor="text1"/>
          <w:szCs w:val="20"/>
        </w:rPr>
      </w:pPr>
      <w:r w:rsidRPr="003233B7">
        <w:rPr>
          <w:color w:val="000000" w:themeColor="text1"/>
          <w:szCs w:val="20"/>
        </w:rPr>
        <w:t>No successor [t]rustee is obligated to examine the accounts, records, or actions of any previous [t]rustee, the personal representative of the estate of a deceased Grantor, or any other previous fiduciary. No successor [t]rustee shall be held responsible for any act, omission, or forbearance by any previous [t]rustee or by the personal representative of the estate of a deceased Grantor or any other previous fiduciary.</w:t>
      </w:r>
    </w:p>
    <w:p w:rsidR="003233B7" w:rsidRPr="003233B7" w:rsidRDefault="003233B7" w:rsidP="003233B7">
      <w:pPr>
        <w:pStyle w:val="QS10"/>
        <w:rPr>
          <w:color w:val="000000" w:themeColor="text1"/>
          <w:szCs w:val="20"/>
        </w:rPr>
      </w:pPr>
      <w:r w:rsidRPr="003233B7">
        <w:rPr>
          <w:color w:val="000000" w:themeColor="text1"/>
          <w:szCs w:val="20"/>
        </w:rPr>
        <w:t>Section 18.05 is an exculpatory provision that relieves the Successor Trustees from liability for Sybil Ferguson's actions as trustee. However, this exculpatory provision does not relieve the Successor Trustees from their </w:t>
      </w:r>
      <w:r w:rsidRPr="003233B7">
        <w:rPr>
          <w:rStyle w:val="Emphasis"/>
          <w:color w:val="000000" w:themeColor="text1"/>
          <w:szCs w:val="20"/>
        </w:rPr>
        <w:t>current</w:t>
      </w:r>
      <w:r w:rsidRPr="003233B7">
        <w:rPr>
          <w:color w:val="000000" w:themeColor="text1"/>
          <w:szCs w:val="20"/>
        </w:rPr>
        <w:t> fiduciary duties, nor does it mean that they can ignore a beneficiary's request for relevant records pursuant to Idaho Code section 15-7-303(b).</w:t>
      </w:r>
    </w:p>
    <w:p w:rsidR="003233B7" w:rsidRPr="003233B7" w:rsidRDefault="003233B7" w:rsidP="003233B7">
      <w:pPr>
        <w:pStyle w:val="QS10"/>
        <w:rPr>
          <w:color w:val="000000" w:themeColor="text1"/>
          <w:szCs w:val="20"/>
        </w:rPr>
      </w:pPr>
      <w:r w:rsidRPr="003233B7">
        <w:rPr>
          <w:color w:val="000000" w:themeColor="text1"/>
          <w:szCs w:val="20"/>
        </w:rPr>
        <w:t>Additionally, the Successor Trustees argue that the forfeiture provision is enforceable because Michael Ferguson lacked probable cause in filing his creditor's claim in Arizona probate court. The probable cause requirement is a limitation on the enforceability of no-contest provisions. </w:t>
      </w:r>
      <w:r w:rsidRPr="003233B7">
        <w:rPr>
          <w:rStyle w:val="Emphasis"/>
          <w:color w:val="000000" w:themeColor="text1"/>
          <w:szCs w:val="20"/>
        </w:rPr>
        <w:t>Restatement (Third) of Trusts</w:t>
      </w:r>
      <w:r w:rsidRPr="003233B7">
        <w:rPr>
          <w:color w:val="000000" w:themeColor="text1"/>
          <w:szCs w:val="20"/>
        </w:rPr>
        <w:t> § 96 cmt. e. The Restatement provides that no-contest provisions are enforceable “unless probable cause existed for instituting the proceeding.” </w:t>
      </w:r>
      <w:r w:rsidRPr="003233B7">
        <w:rPr>
          <w:rStyle w:val="Emphasis"/>
          <w:color w:val="000000" w:themeColor="text1"/>
          <w:szCs w:val="20"/>
        </w:rPr>
        <w:t>Id.</w:t>
      </w:r>
      <w:r w:rsidRPr="003233B7">
        <w:rPr>
          <w:color w:val="000000" w:themeColor="text1"/>
          <w:szCs w:val="20"/>
        </w:rPr>
        <w:t> The Restatement defines probable cause as evidence that, at the time of instituting the proceeding, “would lead a reasonable person, properly informed and advised, to conclude that there was a substantial likelihood that the challenge would be successful.” </w:t>
      </w:r>
      <w:r w:rsidRPr="003233B7">
        <w:rPr>
          <w:rStyle w:val="Emphasis"/>
          <w:color w:val="000000" w:themeColor="text1"/>
          <w:szCs w:val="20"/>
        </w:rPr>
        <w:t>Restatement (Third) of Property (Wills and Donative Transfers)</w:t>
      </w:r>
      <w:r w:rsidRPr="003233B7">
        <w:rPr>
          <w:color w:val="000000" w:themeColor="text1"/>
          <w:szCs w:val="20"/>
        </w:rPr>
        <w:t> § 8.5 cmt. c. Like no-contest provisions, Idaho has never considered whether lack of probable cause is a requirement to enforce a no-contest provision.</w:t>
      </w:r>
    </w:p>
    <w:p w:rsidR="003233B7" w:rsidRPr="003233B7" w:rsidRDefault="003233B7" w:rsidP="003233B7">
      <w:pPr>
        <w:pStyle w:val="QS10"/>
        <w:rPr>
          <w:color w:val="000000" w:themeColor="text1"/>
          <w:szCs w:val="20"/>
        </w:rPr>
      </w:pPr>
      <w:r w:rsidRPr="003233B7">
        <w:rPr>
          <w:color w:val="000000" w:themeColor="text1"/>
          <w:szCs w:val="20"/>
        </w:rPr>
        <w:t>Because the forfeiture provision interferes with the proper administration of the Survivor's Trust, we decline to consider whether Michael Ferguson had probable cause to bring the Arizona petition. Two facts from the record support our decision. First, Michael Ferguson filed the Arizona petition approximately ten months after filing his initial petition here. In that ten-month period, the Successor Trustees refused to provide </w:t>
      </w:r>
      <w:r w:rsidRPr="003233B7">
        <w:rPr>
          <w:rStyle w:val="Emphasis"/>
          <w:color w:val="000000" w:themeColor="text1"/>
          <w:szCs w:val="20"/>
        </w:rPr>
        <w:t>any</w:t>
      </w:r>
      <w:r w:rsidRPr="003233B7">
        <w:rPr>
          <w:color w:val="000000" w:themeColor="text1"/>
          <w:szCs w:val="20"/>
        </w:rPr>
        <w:t> information regarding Survivor's Trust allocations that would allow Michael Ferguson to determine whether the Survivor's Trust received an appropriate share of the available assets. Thus, the Successor Trustees attempted to enforce the forfeiture provision while withholding critical information in determining the proper administration of the Survivor's Trust. Second, Michael Ferguson's Arizona petition was necessary to preserve his creditor's claim in Arizona probate court. Arizona has a two-year statute of limitations for claims against a decedent's estate. </w:t>
      </w:r>
      <w:r w:rsidRPr="003233B7">
        <w:rPr>
          <w:caps/>
          <w:color w:val="000000" w:themeColor="text1"/>
          <w:szCs w:val="20"/>
        </w:rPr>
        <w:t>ARIZ. REV. STAT.</w:t>
      </w:r>
      <w:r w:rsidRPr="003233B7">
        <w:rPr>
          <w:color w:val="000000" w:themeColor="text1"/>
          <w:szCs w:val="20"/>
        </w:rPr>
        <w:t> § 14-3803(A)(1). A claimant must file his claim within two years after the decedent's death. </w:t>
      </w:r>
      <w:r w:rsidRPr="003233B7">
        <w:rPr>
          <w:rStyle w:val="Emphasis"/>
          <w:color w:val="000000" w:themeColor="text1"/>
          <w:szCs w:val="20"/>
        </w:rPr>
        <w:t>Id.</w:t>
      </w:r>
      <w:r w:rsidRPr="003233B7">
        <w:rPr>
          <w:color w:val="000000" w:themeColor="text1"/>
          <w:szCs w:val="20"/>
        </w:rPr>
        <w:t> Sybil Ferguson died on May 23, 2015, and Michael Ferguson first notified Sybil Ferguson's estate of his claim on March 16, 2017. At that point, Michael Ferguson had approximately two months to file his claim to comply with the Arizona statute. Further, once a claim is disallowed by the personal representatives of the estate, the claimant has sixty days to file a petition in the probate court to preserve his claim. </w:t>
      </w:r>
      <w:r w:rsidRPr="003233B7">
        <w:rPr>
          <w:caps/>
          <w:color w:val="000000" w:themeColor="text1"/>
          <w:szCs w:val="20"/>
        </w:rPr>
        <w:t>ARIZ. REV. STAT.</w:t>
      </w:r>
      <w:r w:rsidRPr="003233B7">
        <w:rPr>
          <w:color w:val="000000" w:themeColor="text1"/>
          <w:szCs w:val="20"/>
        </w:rPr>
        <w:t> § 14-3806(A). The co-representatives disallowed Michael Ferguson's initial claim on May 4, 2017. Thus, Michael Ferguson had to petition the probate court within sixty days, or risk losing any potential claim against Sybil Ferguson's estate.</w:t>
      </w:r>
    </w:p>
    <w:p w:rsidR="00190CC2" w:rsidRPr="00190CC2" w:rsidRDefault="00041CAB" w:rsidP="00B66CCE">
      <w:pPr>
        <w:pStyle w:val="Heading20"/>
        <w:numPr>
          <w:ilvl w:val="1"/>
          <w:numId w:val="33"/>
        </w:numPr>
        <w:tabs>
          <w:tab w:val="clear" w:pos="2700"/>
        </w:tabs>
        <w:ind w:left="0"/>
        <w:rPr>
          <w:vanish/>
          <w:specVanish/>
        </w:rPr>
      </w:pPr>
      <w:bookmarkStart w:id="803" w:name="_Toc94704693"/>
      <w:r>
        <w:rPr>
          <w:b/>
          <w:u w:val="single"/>
        </w:rPr>
        <w:t>Charitable</w:t>
      </w:r>
      <w:r w:rsidR="00C64050">
        <w:rPr>
          <w:b/>
          <w:u w:val="single"/>
        </w:rPr>
        <w:t xml:space="preserve"> </w:t>
      </w:r>
      <w:r>
        <w:rPr>
          <w:b/>
          <w:u w:val="single"/>
        </w:rPr>
        <w:t>Trust</w:t>
      </w:r>
      <w:r w:rsidR="00C64050">
        <w:rPr>
          <w:b/>
          <w:u w:val="single"/>
        </w:rPr>
        <w:t xml:space="preserve"> </w:t>
      </w:r>
      <w:r>
        <w:rPr>
          <w:b/>
          <w:u w:val="single"/>
        </w:rPr>
        <w:t>Beneficiary</w:t>
      </w:r>
      <w:r w:rsidR="00C64050">
        <w:rPr>
          <w:b/>
          <w:u w:val="single"/>
        </w:rPr>
        <w:t xml:space="preserve"> </w:t>
      </w:r>
      <w:r>
        <w:rPr>
          <w:b/>
          <w:u w:val="single"/>
        </w:rPr>
        <w:t>Standing</w:t>
      </w:r>
      <w:bookmarkEnd w:id="803"/>
    </w:p>
    <w:p w:rsidR="00777B02" w:rsidRDefault="00041CAB" w:rsidP="00190CC2">
      <w:pPr>
        <w:pStyle w:val="Heading2Body"/>
      </w:pPr>
      <w:r>
        <w:t>.</w:t>
      </w:r>
      <w:r w:rsidR="00C64050">
        <w:t xml:space="preserve">  </w:t>
      </w:r>
      <w:r>
        <w:t>The</w:t>
      </w:r>
      <w:r w:rsidR="00C64050">
        <w:t xml:space="preserve"> </w:t>
      </w:r>
      <w:r>
        <w:t>Maine</w:t>
      </w:r>
      <w:r w:rsidR="00C64050">
        <w:t xml:space="preserve"> </w:t>
      </w:r>
      <w:r>
        <w:t>version</w:t>
      </w:r>
      <w:r w:rsidR="00C64050">
        <w:t xml:space="preserve"> </w:t>
      </w:r>
      <w:r>
        <w:t>of</w:t>
      </w:r>
      <w:r w:rsidR="00C64050">
        <w:t xml:space="preserve"> </w:t>
      </w:r>
      <w:r>
        <w:t>the</w:t>
      </w:r>
      <w:r w:rsidR="00C64050">
        <w:t xml:space="preserve"> </w:t>
      </w:r>
      <w:r>
        <w:t>Uniform</w:t>
      </w:r>
      <w:r w:rsidR="00C64050">
        <w:t xml:space="preserve"> </w:t>
      </w:r>
      <w:r>
        <w:t>Trust</w:t>
      </w:r>
      <w:r w:rsidR="00C64050">
        <w:t xml:space="preserve"> </w:t>
      </w:r>
      <w:r>
        <w:t>Code</w:t>
      </w:r>
      <w:r w:rsidR="00C64050">
        <w:t xml:space="preserve"> </w:t>
      </w:r>
      <w:r>
        <w:t>grants</w:t>
      </w:r>
      <w:r w:rsidR="00C64050">
        <w:t xml:space="preserve"> </w:t>
      </w:r>
      <w:r>
        <w:t>standing</w:t>
      </w:r>
      <w:r w:rsidR="00C64050">
        <w:t xml:space="preserve"> </w:t>
      </w:r>
      <w:r>
        <w:t>to</w:t>
      </w:r>
      <w:r w:rsidR="00C64050">
        <w:t xml:space="preserve"> </w:t>
      </w:r>
      <w:r>
        <w:t>a</w:t>
      </w:r>
      <w:r w:rsidR="00C64050">
        <w:t xml:space="preserve"> </w:t>
      </w:r>
      <w:r>
        <w:t>charitable</w:t>
      </w:r>
      <w:r w:rsidR="00C64050">
        <w:t xml:space="preserve"> </w:t>
      </w:r>
      <w:r>
        <w:t>beneficiary</w:t>
      </w:r>
      <w:r w:rsidR="00C64050">
        <w:t xml:space="preserve"> </w:t>
      </w:r>
      <w:r>
        <w:t>that</w:t>
      </w:r>
      <w:r w:rsidR="00C64050">
        <w:t xml:space="preserve"> </w:t>
      </w:r>
      <w:r>
        <w:t>is</w:t>
      </w:r>
      <w:r w:rsidR="00C64050">
        <w:t xml:space="preserve"> </w:t>
      </w:r>
      <w:r>
        <w:t>a</w:t>
      </w:r>
      <w:r w:rsidR="00C64050">
        <w:t xml:space="preserve"> </w:t>
      </w:r>
      <w:r>
        <w:t>“qualified</w:t>
      </w:r>
      <w:r w:rsidR="00C64050">
        <w:t xml:space="preserve"> </w:t>
      </w:r>
      <w:r>
        <w:t>beneficiary.”</w:t>
      </w:r>
      <w:r w:rsidR="00C64050">
        <w:t xml:space="preserve">  </w:t>
      </w:r>
      <w:r>
        <w:t>A</w:t>
      </w:r>
      <w:r w:rsidR="00C64050">
        <w:t xml:space="preserve"> </w:t>
      </w:r>
      <w:r>
        <w:t>charity</w:t>
      </w:r>
      <w:r w:rsidR="00C64050">
        <w:t xml:space="preserve"> </w:t>
      </w:r>
      <w:r>
        <w:t>is</w:t>
      </w:r>
      <w:r w:rsidR="00C64050">
        <w:t xml:space="preserve"> </w:t>
      </w:r>
      <w:r>
        <w:t>a</w:t>
      </w:r>
      <w:r w:rsidR="00C64050">
        <w:t xml:space="preserve"> </w:t>
      </w:r>
      <w:r>
        <w:t>designated</w:t>
      </w:r>
      <w:r w:rsidR="00C64050">
        <w:t xml:space="preserve"> </w:t>
      </w:r>
      <w:r>
        <w:t>beneficiary</w:t>
      </w:r>
      <w:r w:rsidR="00C64050">
        <w:t xml:space="preserve"> </w:t>
      </w:r>
      <w:r>
        <w:t>if</w:t>
      </w:r>
      <w:r w:rsidR="00C64050">
        <w:t xml:space="preserve"> </w:t>
      </w:r>
      <w:r>
        <w:t>it</w:t>
      </w:r>
      <w:r w:rsidR="00C64050">
        <w:t xml:space="preserve"> </w:t>
      </w:r>
      <w:r>
        <w:t>is</w:t>
      </w:r>
      <w:r w:rsidR="00C64050">
        <w:t xml:space="preserve"> </w:t>
      </w:r>
      <w:r>
        <w:t>“</w:t>
      </w:r>
      <w:r w:rsidR="00E013AC">
        <w:t>express</w:t>
      </w:r>
      <w:r>
        <w:t>ly</w:t>
      </w:r>
      <w:r w:rsidR="00C64050">
        <w:t xml:space="preserve"> </w:t>
      </w:r>
      <w:r>
        <w:t>designated</w:t>
      </w:r>
      <w:r w:rsidR="00C64050">
        <w:t xml:space="preserve"> </w:t>
      </w:r>
      <w:r>
        <w:t>to</w:t>
      </w:r>
      <w:r w:rsidR="00C64050">
        <w:t xml:space="preserve"> </w:t>
      </w:r>
      <w:r>
        <w:t>receive</w:t>
      </w:r>
      <w:r w:rsidR="00C64050">
        <w:t xml:space="preserve"> </w:t>
      </w:r>
      <w:r w:rsidR="00DC1D28">
        <w:t>distributions</w:t>
      </w:r>
      <w:r>
        <w:t>”</w:t>
      </w:r>
      <w:r w:rsidR="00C64050">
        <w:t xml:space="preserve"> </w:t>
      </w:r>
      <w:r>
        <w:t>under</w:t>
      </w:r>
      <w:r w:rsidR="00C64050">
        <w:t xml:space="preserve"> </w:t>
      </w:r>
      <w:r>
        <w:t>the</w:t>
      </w:r>
      <w:r w:rsidR="00C64050">
        <w:t xml:space="preserve"> </w:t>
      </w:r>
      <w:r>
        <w:t>trust</w:t>
      </w:r>
      <w:r w:rsidR="00C64050">
        <w:t xml:space="preserve"> </w:t>
      </w:r>
      <w:r>
        <w:t>and,</w:t>
      </w:r>
      <w:r w:rsidR="00C64050">
        <w:t xml:space="preserve"> </w:t>
      </w:r>
      <w:r>
        <w:t>on</w:t>
      </w:r>
      <w:r w:rsidR="00C64050">
        <w:t xml:space="preserve"> </w:t>
      </w:r>
      <w:r>
        <w:t>the</w:t>
      </w:r>
      <w:r w:rsidR="00C64050">
        <w:t xml:space="preserve"> </w:t>
      </w:r>
      <w:r>
        <w:t>relevant</w:t>
      </w:r>
      <w:r w:rsidR="00C64050">
        <w:t xml:space="preserve"> </w:t>
      </w:r>
      <w:r>
        <w:t>date</w:t>
      </w:r>
      <w:r w:rsidR="00C64050">
        <w:t xml:space="preserve"> </w:t>
      </w:r>
      <w:r w:rsidR="00E013AC">
        <w:t>is</w:t>
      </w:r>
      <w:r w:rsidR="00C64050">
        <w:t xml:space="preserve"> </w:t>
      </w:r>
      <w:r w:rsidR="00E013AC">
        <w:t>a</w:t>
      </w:r>
      <w:r w:rsidR="00C64050">
        <w:t xml:space="preserve"> </w:t>
      </w:r>
      <w:r w:rsidR="00E013AC">
        <w:t>distributee</w:t>
      </w:r>
      <w:r w:rsidR="00C64050">
        <w:t xml:space="preserve"> </w:t>
      </w:r>
      <w:r w:rsidR="00E013AC">
        <w:t>or</w:t>
      </w:r>
      <w:r w:rsidR="00C64050">
        <w:t xml:space="preserve"> </w:t>
      </w:r>
      <w:r w:rsidR="00E013AC">
        <w:t>permissible</w:t>
      </w:r>
      <w:r w:rsidR="00C64050">
        <w:t xml:space="preserve"> </w:t>
      </w:r>
      <w:r w:rsidR="00E013AC">
        <w:t>distributee</w:t>
      </w:r>
      <w:r w:rsidR="00C64050">
        <w:t xml:space="preserve"> </w:t>
      </w:r>
      <w:r w:rsidR="00E013AC">
        <w:t>of</w:t>
      </w:r>
      <w:r w:rsidR="00C64050">
        <w:t xml:space="preserve"> </w:t>
      </w:r>
      <w:r w:rsidR="00E013AC">
        <w:t>income</w:t>
      </w:r>
      <w:r w:rsidR="00C64050">
        <w:t xml:space="preserve"> </w:t>
      </w:r>
      <w:r w:rsidR="00E013AC">
        <w:t>or</w:t>
      </w:r>
      <w:r w:rsidR="00C64050">
        <w:t xml:space="preserve"> </w:t>
      </w:r>
      <w:r w:rsidR="00E013AC">
        <w:t>principal.</w:t>
      </w:r>
      <w:r w:rsidR="00C64050">
        <w:t xml:space="preserve">  </w:t>
      </w:r>
      <w:r w:rsidR="00E013AC">
        <w:t>At</w:t>
      </w:r>
      <w:r w:rsidR="00C64050">
        <w:t xml:space="preserve"> </w:t>
      </w:r>
      <w:r w:rsidR="00E013AC">
        <w:t>issue</w:t>
      </w:r>
      <w:r w:rsidR="00C64050">
        <w:t xml:space="preserve"> </w:t>
      </w:r>
      <w:r w:rsidR="00E013AC">
        <w:t>in</w:t>
      </w:r>
      <w:r w:rsidR="00C64050">
        <w:t xml:space="preserve"> </w:t>
      </w:r>
      <w:r w:rsidR="00E013AC">
        <w:rPr>
          <w:u w:val="single"/>
        </w:rPr>
        <w:t>Attorney</w:t>
      </w:r>
      <w:r w:rsidR="00C64050">
        <w:rPr>
          <w:u w:val="single"/>
        </w:rPr>
        <w:t xml:space="preserve"> </w:t>
      </w:r>
      <w:r w:rsidR="00E013AC">
        <w:rPr>
          <w:u w:val="single"/>
        </w:rPr>
        <w:t>General</w:t>
      </w:r>
      <w:r w:rsidR="00C64050">
        <w:rPr>
          <w:u w:val="single"/>
        </w:rPr>
        <w:t xml:space="preserve"> </w:t>
      </w:r>
      <w:r w:rsidR="00E013AC">
        <w:rPr>
          <w:u w:val="single"/>
        </w:rPr>
        <w:t>v.</w:t>
      </w:r>
      <w:r w:rsidR="00C64050">
        <w:rPr>
          <w:u w:val="single"/>
        </w:rPr>
        <w:t xml:space="preserve"> </w:t>
      </w:r>
      <w:r w:rsidR="00E013AC">
        <w:rPr>
          <w:u w:val="single"/>
        </w:rPr>
        <w:t>Sanford</w:t>
      </w:r>
      <w:r w:rsidR="00E013AC">
        <w:t>,</w:t>
      </w:r>
      <w:r w:rsidR="00C64050">
        <w:t xml:space="preserve"> </w:t>
      </w:r>
      <w:r w:rsidR="00E013AC">
        <w:t>225</w:t>
      </w:r>
      <w:r w:rsidR="00C64050">
        <w:t xml:space="preserve"> </w:t>
      </w:r>
      <w:r w:rsidR="00E013AC">
        <w:t>A.3d</w:t>
      </w:r>
      <w:r w:rsidR="00C64050">
        <w:t xml:space="preserve"> </w:t>
      </w:r>
      <w:r w:rsidR="00E013AC">
        <w:t>1026</w:t>
      </w:r>
      <w:r w:rsidR="00C64050">
        <w:t xml:space="preserve"> </w:t>
      </w:r>
      <w:r w:rsidR="00E013AC">
        <w:t>(Me.</w:t>
      </w:r>
      <w:r w:rsidR="00C64050">
        <w:t xml:space="preserve"> </w:t>
      </w:r>
      <w:r w:rsidR="00E013AC">
        <w:t>2020),</w:t>
      </w:r>
      <w:r w:rsidR="00C64050">
        <w:t xml:space="preserve"> </w:t>
      </w:r>
      <w:r w:rsidR="00E013AC">
        <w:t>was</w:t>
      </w:r>
      <w:r w:rsidR="00C64050">
        <w:t xml:space="preserve"> </w:t>
      </w:r>
      <w:r w:rsidR="00E013AC">
        <w:t>whether</w:t>
      </w:r>
      <w:r w:rsidR="00C64050">
        <w:t xml:space="preserve"> </w:t>
      </w:r>
      <w:r w:rsidR="00E013AC">
        <w:t>this</w:t>
      </w:r>
      <w:r w:rsidR="00C64050">
        <w:t xml:space="preserve"> </w:t>
      </w:r>
      <w:r w:rsidR="00E013AC">
        <w:t>permissive</w:t>
      </w:r>
      <w:r w:rsidR="00C64050">
        <w:t xml:space="preserve"> </w:t>
      </w:r>
      <w:r w:rsidR="00E013AC">
        <w:t>language</w:t>
      </w:r>
      <w:r w:rsidR="00C64050">
        <w:t xml:space="preserve"> </w:t>
      </w:r>
      <w:r w:rsidR="00E013AC">
        <w:t>made</w:t>
      </w:r>
      <w:r w:rsidR="00C64050">
        <w:t xml:space="preserve"> </w:t>
      </w:r>
      <w:r w:rsidR="00E013AC">
        <w:t>the</w:t>
      </w:r>
      <w:r w:rsidR="00C64050">
        <w:t xml:space="preserve"> </w:t>
      </w:r>
      <w:r w:rsidR="00E013AC">
        <w:t>charity</w:t>
      </w:r>
      <w:r w:rsidR="00C64050">
        <w:t xml:space="preserve"> </w:t>
      </w:r>
      <w:r w:rsidR="00E16141">
        <w:t>“</w:t>
      </w:r>
      <w:r w:rsidR="00E013AC">
        <w:t>expressly</w:t>
      </w:r>
      <w:r w:rsidR="00C64050">
        <w:t xml:space="preserve"> </w:t>
      </w:r>
      <w:r w:rsidR="00E013AC">
        <w:t>designated</w:t>
      </w:r>
      <w:r w:rsidR="00E16141">
        <w:t>”</w:t>
      </w:r>
      <w:r w:rsidR="00E013AC">
        <w:t>:</w:t>
      </w:r>
    </w:p>
    <w:p w:rsidR="00E013AC" w:rsidRPr="00E013AC" w:rsidRDefault="00E013AC" w:rsidP="00E013AC">
      <w:pPr>
        <w:pStyle w:val="QS10"/>
        <w:ind w:left="2160"/>
        <w:rPr>
          <w:szCs w:val="20"/>
        </w:rPr>
      </w:pPr>
      <w:r w:rsidRPr="00E013AC">
        <w:rPr>
          <w:szCs w:val="20"/>
        </w:rPr>
        <w:t>All</w:t>
      </w:r>
      <w:r w:rsidR="00C64050">
        <w:rPr>
          <w:szCs w:val="20"/>
        </w:rPr>
        <w:t xml:space="preserve"> </w:t>
      </w:r>
      <w:r w:rsidRPr="00E013AC">
        <w:rPr>
          <w:szCs w:val="20"/>
        </w:rPr>
        <w:t>or</w:t>
      </w:r>
      <w:r w:rsidR="00C64050">
        <w:rPr>
          <w:szCs w:val="20"/>
        </w:rPr>
        <w:t xml:space="preserve"> </w:t>
      </w:r>
      <w:r w:rsidRPr="00E013AC">
        <w:rPr>
          <w:szCs w:val="20"/>
        </w:rPr>
        <w:t>any</w:t>
      </w:r>
      <w:r w:rsidR="00C64050">
        <w:rPr>
          <w:szCs w:val="20"/>
        </w:rPr>
        <w:t xml:space="preserve"> </w:t>
      </w:r>
      <w:r w:rsidRPr="00E013AC">
        <w:rPr>
          <w:szCs w:val="20"/>
        </w:rPr>
        <w:t>part</w:t>
      </w:r>
      <w:r w:rsidR="00C64050">
        <w:rPr>
          <w:szCs w:val="20"/>
        </w:rPr>
        <w:t xml:space="preserve"> </w:t>
      </w:r>
      <w:r w:rsidRPr="00E013AC">
        <w:rPr>
          <w:szCs w:val="20"/>
        </w:rPr>
        <w:t>of</w:t>
      </w:r>
      <w:r w:rsidR="00C64050">
        <w:rPr>
          <w:szCs w:val="20"/>
        </w:rPr>
        <w:t xml:space="preserve"> </w:t>
      </w:r>
      <w:r w:rsidRPr="00E013AC">
        <w:rPr>
          <w:szCs w:val="20"/>
        </w:rPr>
        <w:t>the</w:t>
      </w:r>
      <w:r w:rsidR="00C64050">
        <w:rPr>
          <w:szCs w:val="20"/>
        </w:rPr>
        <w:t xml:space="preserve"> </w:t>
      </w:r>
      <w:r w:rsidRPr="00E013AC">
        <w:rPr>
          <w:szCs w:val="20"/>
        </w:rPr>
        <w:t>net</w:t>
      </w:r>
      <w:r w:rsidR="00C64050">
        <w:rPr>
          <w:szCs w:val="20"/>
        </w:rPr>
        <w:t xml:space="preserve"> </w:t>
      </w:r>
      <w:r w:rsidRPr="00E013AC">
        <w:rPr>
          <w:szCs w:val="20"/>
        </w:rPr>
        <w:t>income</w:t>
      </w:r>
      <w:r w:rsidR="00C64050">
        <w:rPr>
          <w:szCs w:val="20"/>
        </w:rPr>
        <w:t xml:space="preserve"> </w:t>
      </w:r>
      <w:r w:rsidRPr="00E013AC">
        <w:rPr>
          <w:szCs w:val="20"/>
        </w:rPr>
        <w:t>and</w:t>
      </w:r>
      <w:r w:rsidR="00C64050">
        <w:rPr>
          <w:szCs w:val="20"/>
        </w:rPr>
        <w:t xml:space="preserve"> </w:t>
      </w:r>
      <w:r w:rsidRPr="00E013AC">
        <w:rPr>
          <w:szCs w:val="20"/>
        </w:rPr>
        <w:t>principal</w:t>
      </w:r>
      <w:r w:rsidR="00C64050">
        <w:rPr>
          <w:szCs w:val="20"/>
        </w:rPr>
        <w:t xml:space="preserve"> </w:t>
      </w:r>
      <w:r w:rsidRPr="00E013AC">
        <w:rPr>
          <w:szCs w:val="20"/>
        </w:rPr>
        <w:t>may</w:t>
      </w:r>
      <w:r w:rsidR="00C64050">
        <w:rPr>
          <w:szCs w:val="20"/>
        </w:rPr>
        <w:t xml:space="preserve"> </w:t>
      </w:r>
      <w:r w:rsidRPr="00E013AC">
        <w:rPr>
          <w:szCs w:val="20"/>
        </w:rPr>
        <w:t>be</w:t>
      </w:r>
      <w:r w:rsidR="00C64050">
        <w:rPr>
          <w:szCs w:val="20"/>
        </w:rPr>
        <w:t xml:space="preserve"> </w:t>
      </w:r>
      <w:r w:rsidRPr="00E013AC">
        <w:rPr>
          <w:szCs w:val="20"/>
        </w:rPr>
        <w:t>paid</w:t>
      </w:r>
      <w:r w:rsidR="00C64050">
        <w:rPr>
          <w:szCs w:val="20"/>
        </w:rPr>
        <w:t xml:space="preserve"> </w:t>
      </w:r>
      <w:r w:rsidRPr="00E013AC">
        <w:rPr>
          <w:szCs w:val="20"/>
        </w:rPr>
        <w:t>for</w:t>
      </w:r>
      <w:r w:rsidR="00C64050">
        <w:rPr>
          <w:szCs w:val="20"/>
        </w:rPr>
        <w:t xml:space="preserve"> </w:t>
      </w:r>
      <w:r w:rsidRPr="00E013AC">
        <w:rPr>
          <w:szCs w:val="20"/>
        </w:rPr>
        <w:t>the</w:t>
      </w:r>
      <w:r w:rsidR="00C64050">
        <w:rPr>
          <w:szCs w:val="20"/>
        </w:rPr>
        <w:t xml:space="preserve"> </w:t>
      </w:r>
      <w:r w:rsidRPr="00E013AC">
        <w:rPr>
          <w:szCs w:val="20"/>
        </w:rPr>
        <w:t>charitable</w:t>
      </w:r>
      <w:r w:rsidR="00C64050">
        <w:rPr>
          <w:szCs w:val="20"/>
        </w:rPr>
        <w:t xml:space="preserve"> </w:t>
      </w:r>
      <w:r w:rsidRPr="00E013AC">
        <w:rPr>
          <w:szCs w:val="20"/>
        </w:rPr>
        <w:t>purposes</w:t>
      </w:r>
      <w:r w:rsidR="00C64050">
        <w:rPr>
          <w:szCs w:val="20"/>
        </w:rPr>
        <w:t xml:space="preserve"> </w:t>
      </w:r>
      <w:r w:rsidRPr="00E013AC">
        <w:rPr>
          <w:szCs w:val="20"/>
        </w:rPr>
        <w:t>of</w:t>
      </w:r>
      <w:r w:rsidR="00C64050">
        <w:rPr>
          <w:szCs w:val="20"/>
        </w:rPr>
        <w:t xml:space="preserve"> </w:t>
      </w:r>
      <w:r w:rsidRPr="00E013AC">
        <w:rPr>
          <w:szCs w:val="20"/>
        </w:rPr>
        <w:t>1)</w:t>
      </w:r>
      <w:r w:rsidR="00C64050">
        <w:rPr>
          <w:szCs w:val="20"/>
        </w:rPr>
        <w:t xml:space="preserve"> </w:t>
      </w:r>
      <w:r w:rsidRPr="00E013AC">
        <w:rPr>
          <w:szCs w:val="20"/>
        </w:rPr>
        <w:t>providing</w:t>
      </w:r>
      <w:r w:rsidR="00C64050">
        <w:rPr>
          <w:szCs w:val="20"/>
        </w:rPr>
        <w:t xml:space="preserve"> </w:t>
      </w:r>
      <w:r w:rsidRPr="00E013AC">
        <w:rPr>
          <w:szCs w:val="20"/>
        </w:rPr>
        <w:t>educational</w:t>
      </w:r>
      <w:r w:rsidR="00C64050">
        <w:rPr>
          <w:szCs w:val="20"/>
        </w:rPr>
        <w:t xml:space="preserve"> </w:t>
      </w:r>
      <w:r w:rsidRPr="00E013AC">
        <w:rPr>
          <w:szCs w:val="20"/>
        </w:rPr>
        <w:t>and</w:t>
      </w:r>
      <w:r w:rsidR="00C64050">
        <w:rPr>
          <w:szCs w:val="20"/>
        </w:rPr>
        <w:t xml:space="preserve"> </w:t>
      </w:r>
      <w:r w:rsidRPr="00E013AC">
        <w:rPr>
          <w:szCs w:val="20"/>
        </w:rPr>
        <w:t>scientific</w:t>
      </w:r>
      <w:r w:rsidR="00C64050">
        <w:rPr>
          <w:szCs w:val="20"/>
        </w:rPr>
        <w:t xml:space="preserve"> </w:t>
      </w:r>
      <w:r w:rsidRPr="00E013AC">
        <w:rPr>
          <w:szCs w:val="20"/>
        </w:rPr>
        <w:t>study</w:t>
      </w:r>
      <w:r w:rsidR="00C64050">
        <w:rPr>
          <w:szCs w:val="20"/>
        </w:rPr>
        <w:t xml:space="preserve"> </w:t>
      </w:r>
      <w:r w:rsidRPr="00E013AC">
        <w:rPr>
          <w:szCs w:val="20"/>
        </w:rPr>
        <w:t>of</w:t>
      </w:r>
      <w:r w:rsidR="00C64050">
        <w:rPr>
          <w:szCs w:val="20"/>
        </w:rPr>
        <w:t xml:space="preserve"> </w:t>
      </w:r>
      <w:r w:rsidRPr="00E013AC">
        <w:rPr>
          <w:szCs w:val="20"/>
        </w:rPr>
        <w:t>ant[iq]ue</w:t>
      </w:r>
      <w:r w:rsidR="00C64050">
        <w:rPr>
          <w:szCs w:val="20"/>
        </w:rPr>
        <w:t xml:space="preserve"> </w:t>
      </w:r>
      <w:r w:rsidRPr="00E013AC">
        <w:rPr>
          <w:szCs w:val="20"/>
        </w:rPr>
        <w:t>automobiles,</w:t>
      </w:r>
      <w:r w:rsidR="00C64050">
        <w:rPr>
          <w:szCs w:val="20"/>
        </w:rPr>
        <w:t xml:space="preserve"> </w:t>
      </w:r>
      <w:r w:rsidRPr="00E013AC">
        <w:rPr>
          <w:szCs w:val="20"/>
        </w:rPr>
        <w:t>whether</w:t>
      </w:r>
      <w:r w:rsidR="00C64050">
        <w:rPr>
          <w:szCs w:val="20"/>
        </w:rPr>
        <w:t xml:space="preserve"> </w:t>
      </w:r>
      <w:r w:rsidRPr="00E013AC">
        <w:rPr>
          <w:szCs w:val="20"/>
        </w:rPr>
        <w:t>owned</w:t>
      </w:r>
      <w:r w:rsidR="00C64050">
        <w:rPr>
          <w:szCs w:val="20"/>
        </w:rPr>
        <w:t xml:space="preserve"> </w:t>
      </w:r>
      <w:r w:rsidRPr="00E013AC">
        <w:rPr>
          <w:szCs w:val="20"/>
        </w:rPr>
        <w:t>by</w:t>
      </w:r>
      <w:r w:rsidR="00C64050">
        <w:rPr>
          <w:szCs w:val="20"/>
        </w:rPr>
        <w:t xml:space="preserve"> </w:t>
      </w:r>
      <w:r w:rsidRPr="00E013AC">
        <w:rPr>
          <w:szCs w:val="20"/>
        </w:rPr>
        <w:t>the</w:t>
      </w:r>
      <w:r w:rsidR="00C64050">
        <w:rPr>
          <w:szCs w:val="20"/>
        </w:rPr>
        <w:t xml:space="preserve"> </w:t>
      </w:r>
      <w:r w:rsidRPr="00E013AC">
        <w:rPr>
          <w:szCs w:val="20"/>
        </w:rPr>
        <w:t>trust</w:t>
      </w:r>
      <w:r w:rsidR="00C64050">
        <w:rPr>
          <w:szCs w:val="20"/>
        </w:rPr>
        <w:t xml:space="preserve"> </w:t>
      </w:r>
      <w:r w:rsidRPr="00E013AC">
        <w:rPr>
          <w:szCs w:val="20"/>
        </w:rPr>
        <w:t>or</w:t>
      </w:r>
      <w:r w:rsidR="00C64050">
        <w:rPr>
          <w:szCs w:val="20"/>
        </w:rPr>
        <w:t xml:space="preserve"> </w:t>
      </w:r>
      <w:r w:rsidRPr="00E013AC">
        <w:rPr>
          <w:szCs w:val="20"/>
        </w:rPr>
        <w:t>any</w:t>
      </w:r>
      <w:r w:rsidR="00C64050">
        <w:rPr>
          <w:szCs w:val="20"/>
        </w:rPr>
        <w:t xml:space="preserve"> </w:t>
      </w:r>
      <w:r w:rsidRPr="00E013AC">
        <w:rPr>
          <w:szCs w:val="20"/>
        </w:rPr>
        <w:t>other</w:t>
      </w:r>
      <w:r w:rsidR="00C64050">
        <w:rPr>
          <w:szCs w:val="20"/>
        </w:rPr>
        <w:t xml:space="preserve"> </w:t>
      </w:r>
      <w:r w:rsidRPr="00E013AC">
        <w:rPr>
          <w:szCs w:val="20"/>
        </w:rPr>
        <w:t>charitable</w:t>
      </w:r>
      <w:r w:rsidR="00C64050">
        <w:rPr>
          <w:szCs w:val="20"/>
        </w:rPr>
        <w:t xml:space="preserve"> </w:t>
      </w:r>
      <w:r w:rsidRPr="00E013AC">
        <w:rPr>
          <w:szCs w:val="20"/>
        </w:rPr>
        <w:t>organization,</w:t>
      </w:r>
      <w:r w:rsidR="00C64050">
        <w:rPr>
          <w:szCs w:val="20"/>
        </w:rPr>
        <w:t xml:space="preserve"> </w:t>
      </w:r>
      <w:r w:rsidRPr="00E013AC">
        <w:rPr>
          <w:szCs w:val="20"/>
        </w:rPr>
        <w:t>and</w:t>
      </w:r>
      <w:r w:rsidR="00C64050">
        <w:rPr>
          <w:szCs w:val="20"/>
        </w:rPr>
        <w:t xml:space="preserve"> </w:t>
      </w:r>
      <w:r w:rsidRPr="00E013AC">
        <w:rPr>
          <w:szCs w:val="20"/>
        </w:rPr>
        <w:t>other</w:t>
      </w:r>
      <w:r w:rsidR="00C64050">
        <w:rPr>
          <w:szCs w:val="20"/>
        </w:rPr>
        <w:t xml:space="preserve"> </w:t>
      </w:r>
      <w:r w:rsidRPr="00E013AC">
        <w:rPr>
          <w:szCs w:val="20"/>
        </w:rPr>
        <w:t>methods</w:t>
      </w:r>
      <w:r w:rsidR="00C64050">
        <w:rPr>
          <w:szCs w:val="20"/>
        </w:rPr>
        <w:t xml:space="preserve"> </w:t>
      </w:r>
      <w:r w:rsidRPr="00E013AC">
        <w:rPr>
          <w:szCs w:val="20"/>
        </w:rPr>
        <w:t>of</w:t>
      </w:r>
      <w:r w:rsidR="00C64050">
        <w:rPr>
          <w:szCs w:val="20"/>
        </w:rPr>
        <w:t xml:space="preserve"> </w:t>
      </w:r>
      <w:r w:rsidRPr="00E013AC">
        <w:rPr>
          <w:szCs w:val="20"/>
        </w:rPr>
        <w:t>transportation,</w:t>
      </w:r>
      <w:r w:rsidR="00C64050">
        <w:rPr>
          <w:szCs w:val="20"/>
        </w:rPr>
        <w:t xml:space="preserve"> </w:t>
      </w:r>
      <w:r w:rsidRPr="00E013AC">
        <w:rPr>
          <w:szCs w:val="20"/>
        </w:rPr>
        <w:t>2)</w:t>
      </w:r>
      <w:r w:rsidR="00C64050">
        <w:rPr>
          <w:szCs w:val="20"/>
        </w:rPr>
        <w:t xml:space="preserve"> </w:t>
      </w:r>
      <w:r w:rsidRPr="00E013AC">
        <w:rPr>
          <w:szCs w:val="20"/>
        </w:rPr>
        <w:t>providing</w:t>
      </w:r>
      <w:r w:rsidR="00C64050">
        <w:rPr>
          <w:szCs w:val="20"/>
        </w:rPr>
        <w:t xml:space="preserve"> </w:t>
      </w:r>
      <w:r w:rsidRPr="00E013AC">
        <w:rPr>
          <w:szCs w:val="20"/>
        </w:rPr>
        <w:t>for</w:t>
      </w:r>
      <w:r w:rsidR="00C64050">
        <w:rPr>
          <w:szCs w:val="20"/>
        </w:rPr>
        <w:t xml:space="preserve"> </w:t>
      </w:r>
      <w:r w:rsidRPr="00E013AC">
        <w:rPr>
          <w:szCs w:val="20"/>
        </w:rPr>
        <w:t>the</w:t>
      </w:r>
      <w:r w:rsidR="00C64050">
        <w:rPr>
          <w:szCs w:val="20"/>
        </w:rPr>
        <w:t xml:space="preserve"> </w:t>
      </w:r>
      <w:r w:rsidRPr="00E013AC">
        <w:rPr>
          <w:szCs w:val="20"/>
        </w:rPr>
        <w:t>display</w:t>
      </w:r>
      <w:r w:rsidR="00C64050">
        <w:rPr>
          <w:szCs w:val="20"/>
        </w:rPr>
        <w:t xml:space="preserve"> </w:t>
      </w:r>
      <w:r w:rsidRPr="00E013AC">
        <w:rPr>
          <w:szCs w:val="20"/>
        </w:rPr>
        <w:t>to</w:t>
      </w:r>
      <w:r w:rsidR="00C64050">
        <w:rPr>
          <w:szCs w:val="20"/>
        </w:rPr>
        <w:t xml:space="preserve"> </w:t>
      </w:r>
      <w:r w:rsidRPr="00E013AC">
        <w:rPr>
          <w:szCs w:val="20"/>
        </w:rPr>
        <w:t>the</w:t>
      </w:r>
      <w:r w:rsidR="00C64050">
        <w:rPr>
          <w:szCs w:val="20"/>
        </w:rPr>
        <w:t xml:space="preserve"> </w:t>
      </w:r>
      <w:r w:rsidRPr="00E013AC">
        <w:rPr>
          <w:szCs w:val="20"/>
        </w:rPr>
        <w:t>public</w:t>
      </w:r>
      <w:r w:rsidR="00C64050">
        <w:rPr>
          <w:szCs w:val="20"/>
        </w:rPr>
        <w:t xml:space="preserve"> </w:t>
      </w:r>
      <w:r w:rsidRPr="00E013AC">
        <w:rPr>
          <w:szCs w:val="20"/>
        </w:rPr>
        <w:t>of</w:t>
      </w:r>
      <w:r w:rsidR="00C64050">
        <w:rPr>
          <w:szCs w:val="20"/>
        </w:rPr>
        <w:t xml:space="preserve"> </w:t>
      </w:r>
      <w:r w:rsidRPr="00E013AC">
        <w:rPr>
          <w:szCs w:val="20"/>
        </w:rPr>
        <w:t>antique</w:t>
      </w:r>
      <w:r w:rsidR="00C64050">
        <w:rPr>
          <w:szCs w:val="20"/>
        </w:rPr>
        <w:t xml:space="preserve"> </w:t>
      </w:r>
      <w:r w:rsidRPr="00E013AC">
        <w:rPr>
          <w:szCs w:val="20"/>
        </w:rPr>
        <w:t>automobiles,</w:t>
      </w:r>
      <w:r w:rsidR="00C64050">
        <w:rPr>
          <w:szCs w:val="20"/>
        </w:rPr>
        <w:t xml:space="preserve"> </w:t>
      </w:r>
      <w:r w:rsidRPr="00E013AC">
        <w:rPr>
          <w:szCs w:val="20"/>
        </w:rPr>
        <w:t>whether</w:t>
      </w:r>
      <w:r w:rsidR="00C64050">
        <w:rPr>
          <w:szCs w:val="20"/>
        </w:rPr>
        <w:t xml:space="preserve"> </w:t>
      </w:r>
      <w:r w:rsidRPr="00E013AC">
        <w:rPr>
          <w:szCs w:val="20"/>
        </w:rPr>
        <w:t>owned</w:t>
      </w:r>
      <w:r w:rsidR="00C64050">
        <w:rPr>
          <w:szCs w:val="20"/>
        </w:rPr>
        <w:t xml:space="preserve"> </w:t>
      </w:r>
      <w:r w:rsidRPr="00E013AC">
        <w:rPr>
          <w:szCs w:val="20"/>
        </w:rPr>
        <w:t>by</w:t>
      </w:r>
      <w:r w:rsidR="00C64050">
        <w:rPr>
          <w:szCs w:val="20"/>
        </w:rPr>
        <w:t xml:space="preserve"> </w:t>
      </w:r>
      <w:r w:rsidRPr="00E013AC">
        <w:rPr>
          <w:szCs w:val="20"/>
        </w:rPr>
        <w:t>the</w:t>
      </w:r>
      <w:r w:rsidR="00C64050">
        <w:rPr>
          <w:szCs w:val="20"/>
        </w:rPr>
        <w:t xml:space="preserve"> </w:t>
      </w:r>
      <w:r w:rsidRPr="00E013AC">
        <w:rPr>
          <w:szCs w:val="20"/>
        </w:rPr>
        <w:t>trust</w:t>
      </w:r>
      <w:r w:rsidR="00C64050">
        <w:rPr>
          <w:szCs w:val="20"/>
        </w:rPr>
        <w:t xml:space="preserve"> </w:t>
      </w:r>
      <w:r w:rsidRPr="00E013AC">
        <w:rPr>
          <w:szCs w:val="20"/>
        </w:rPr>
        <w:t>or</w:t>
      </w:r>
      <w:r w:rsidR="00C64050">
        <w:rPr>
          <w:szCs w:val="20"/>
        </w:rPr>
        <w:t xml:space="preserve"> </w:t>
      </w:r>
      <w:r w:rsidRPr="00E013AC">
        <w:rPr>
          <w:szCs w:val="20"/>
        </w:rPr>
        <w:t>any</w:t>
      </w:r>
      <w:r w:rsidR="00C64050">
        <w:rPr>
          <w:szCs w:val="20"/>
        </w:rPr>
        <w:t xml:space="preserve"> </w:t>
      </w:r>
      <w:r w:rsidRPr="00E013AC">
        <w:rPr>
          <w:szCs w:val="20"/>
        </w:rPr>
        <w:t>other</w:t>
      </w:r>
      <w:r w:rsidR="00C64050">
        <w:rPr>
          <w:szCs w:val="20"/>
        </w:rPr>
        <w:t xml:space="preserve"> </w:t>
      </w:r>
      <w:r w:rsidRPr="00E013AC">
        <w:rPr>
          <w:szCs w:val="20"/>
        </w:rPr>
        <w:t>charitable</w:t>
      </w:r>
      <w:r w:rsidR="00C64050">
        <w:rPr>
          <w:szCs w:val="20"/>
        </w:rPr>
        <w:t xml:space="preserve"> </w:t>
      </w:r>
      <w:r w:rsidRPr="00E013AC">
        <w:rPr>
          <w:szCs w:val="20"/>
        </w:rPr>
        <w:t>organization,</w:t>
      </w:r>
      <w:r w:rsidR="00C64050">
        <w:rPr>
          <w:szCs w:val="20"/>
        </w:rPr>
        <w:t xml:space="preserve"> </w:t>
      </w:r>
      <w:r w:rsidRPr="00E013AC">
        <w:rPr>
          <w:szCs w:val="20"/>
        </w:rPr>
        <w:t>and</w:t>
      </w:r>
      <w:r w:rsidR="00C64050">
        <w:rPr>
          <w:szCs w:val="20"/>
        </w:rPr>
        <w:t xml:space="preserve"> </w:t>
      </w:r>
      <w:r w:rsidRPr="00E013AC">
        <w:rPr>
          <w:szCs w:val="20"/>
        </w:rPr>
        <w:t>3)</w:t>
      </w:r>
      <w:r w:rsidR="00C64050">
        <w:rPr>
          <w:szCs w:val="20"/>
        </w:rPr>
        <w:t xml:space="preserve"> </w:t>
      </w:r>
      <w:r w:rsidRPr="00E013AC">
        <w:rPr>
          <w:szCs w:val="20"/>
        </w:rPr>
        <w:t>maintaining</w:t>
      </w:r>
      <w:r w:rsidR="00C64050">
        <w:rPr>
          <w:szCs w:val="20"/>
        </w:rPr>
        <w:t xml:space="preserve"> </w:t>
      </w:r>
      <w:r w:rsidRPr="00E013AC">
        <w:rPr>
          <w:szCs w:val="20"/>
        </w:rPr>
        <w:t>in</w:t>
      </w:r>
      <w:r w:rsidR="00C64050">
        <w:rPr>
          <w:szCs w:val="20"/>
        </w:rPr>
        <w:t xml:space="preserve"> </w:t>
      </w:r>
      <w:r w:rsidRPr="00E013AC">
        <w:rPr>
          <w:szCs w:val="20"/>
        </w:rPr>
        <w:t>suitable</w:t>
      </w:r>
      <w:r w:rsidR="00C64050">
        <w:rPr>
          <w:szCs w:val="20"/>
        </w:rPr>
        <w:t xml:space="preserve"> </w:t>
      </w:r>
      <w:r w:rsidRPr="00E013AC">
        <w:rPr>
          <w:szCs w:val="20"/>
        </w:rPr>
        <w:t>condition</w:t>
      </w:r>
      <w:r w:rsidR="00C64050">
        <w:rPr>
          <w:szCs w:val="20"/>
        </w:rPr>
        <w:t xml:space="preserve"> </w:t>
      </w:r>
      <w:r w:rsidRPr="00E013AC">
        <w:rPr>
          <w:szCs w:val="20"/>
        </w:rPr>
        <w:t>for</w:t>
      </w:r>
      <w:r w:rsidR="00C64050">
        <w:rPr>
          <w:szCs w:val="20"/>
        </w:rPr>
        <w:t xml:space="preserve"> </w:t>
      </w:r>
      <w:r w:rsidRPr="00E013AC">
        <w:rPr>
          <w:szCs w:val="20"/>
        </w:rPr>
        <w:t>public</w:t>
      </w:r>
      <w:r w:rsidR="00C64050">
        <w:rPr>
          <w:szCs w:val="20"/>
        </w:rPr>
        <w:t xml:space="preserve"> </w:t>
      </w:r>
      <w:r w:rsidRPr="00E013AC">
        <w:rPr>
          <w:szCs w:val="20"/>
        </w:rPr>
        <w:t>display</w:t>
      </w:r>
      <w:r w:rsidR="00C64050">
        <w:rPr>
          <w:szCs w:val="20"/>
        </w:rPr>
        <w:t xml:space="preserve"> </w:t>
      </w:r>
      <w:r w:rsidRPr="00E013AC">
        <w:rPr>
          <w:szCs w:val="20"/>
        </w:rPr>
        <w:t>and</w:t>
      </w:r>
      <w:r w:rsidR="00C64050">
        <w:rPr>
          <w:szCs w:val="20"/>
        </w:rPr>
        <w:t xml:space="preserve"> </w:t>
      </w:r>
      <w:r w:rsidRPr="00E013AC">
        <w:rPr>
          <w:szCs w:val="20"/>
        </w:rPr>
        <w:t>study</w:t>
      </w:r>
      <w:r w:rsidR="00C64050">
        <w:rPr>
          <w:szCs w:val="20"/>
        </w:rPr>
        <w:t xml:space="preserve"> </w:t>
      </w:r>
      <w:r w:rsidRPr="00E013AC">
        <w:rPr>
          <w:szCs w:val="20"/>
        </w:rPr>
        <w:t>any</w:t>
      </w:r>
      <w:r w:rsidR="00C64050">
        <w:rPr>
          <w:szCs w:val="20"/>
        </w:rPr>
        <w:t xml:space="preserve"> </w:t>
      </w:r>
      <w:r w:rsidRPr="00E013AC">
        <w:rPr>
          <w:szCs w:val="20"/>
        </w:rPr>
        <w:t>antique</w:t>
      </w:r>
      <w:r w:rsidR="00C64050">
        <w:rPr>
          <w:szCs w:val="20"/>
        </w:rPr>
        <w:t xml:space="preserve"> </w:t>
      </w:r>
      <w:r w:rsidRPr="00E013AC">
        <w:rPr>
          <w:szCs w:val="20"/>
        </w:rPr>
        <w:t>automobiles</w:t>
      </w:r>
      <w:r w:rsidR="00C64050">
        <w:rPr>
          <w:szCs w:val="20"/>
        </w:rPr>
        <w:t xml:space="preserve"> </w:t>
      </w:r>
      <w:r w:rsidRPr="00E013AC">
        <w:rPr>
          <w:szCs w:val="20"/>
        </w:rPr>
        <w:t>owned</w:t>
      </w:r>
      <w:r w:rsidR="00C64050">
        <w:rPr>
          <w:szCs w:val="20"/>
        </w:rPr>
        <w:t xml:space="preserve"> </w:t>
      </w:r>
      <w:r w:rsidRPr="00E013AC">
        <w:rPr>
          <w:szCs w:val="20"/>
        </w:rPr>
        <w:t>by</w:t>
      </w:r>
      <w:r w:rsidR="00C64050">
        <w:rPr>
          <w:szCs w:val="20"/>
        </w:rPr>
        <w:t xml:space="preserve"> </w:t>
      </w:r>
      <w:r w:rsidRPr="00E013AC">
        <w:rPr>
          <w:szCs w:val="20"/>
        </w:rPr>
        <w:t>the</w:t>
      </w:r>
      <w:r w:rsidR="00C64050">
        <w:rPr>
          <w:szCs w:val="20"/>
        </w:rPr>
        <w:t xml:space="preserve"> </w:t>
      </w:r>
      <w:r w:rsidRPr="00E013AC">
        <w:rPr>
          <w:szCs w:val="20"/>
        </w:rPr>
        <w:t>trust</w:t>
      </w:r>
      <w:r w:rsidR="00C64050">
        <w:rPr>
          <w:szCs w:val="20"/>
        </w:rPr>
        <w:t xml:space="preserve"> </w:t>
      </w:r>
      <w:r w:rsidRPr="00E013AC">
        <w:rPr>
          <w:szCs w:val="20"/>
        </w:rPr>
        <w:t>or</w:t>
      </w:r>
      <w:r w:rsidR="00C64050">
        <w:rPr>
          <w:szCs w:val="20"/>
        </w:rPr>
        <w:t xml:space="preserve"> </w:t>
      </w:r>
      <w:r w:rsidRPr="00E013AC">
        <w:rPr>
          <w:szCs w:val="20"/>
        </w:rPr>
        <w:t>any</w:t>
      </w:r>
      <w:r w:rsidR="00C64050">
        <w:rPr>
          <w:szCs w:val="20"/>
        </w:rPr>
        <w:t xml:space="preserve"> </w:t>
      </w:r>
      <w:r w:rsidRPr="00E013AC">
        <w:rPr>
          <w:szCs w:val="20"/>
        </w:rPr>
        <w:t>other</w:t>
      </w:r>
      <w:r w:rsidR="00C64050">
        <w:rPr>
          <w:szCs w:val="20"/>
        </w:rPr>
        <w:t xml:space="preserve"> </w:t>
      </w:r>
      <w:r w:rsidRPr="00E013AC">
        <w:rPr>
          <w:szCs w:val="20"/>
        </w:rPr>
        <w:t>charitable</w:t>
      </w:r>
      <w:r w:rsidR="00C64050">
        <w:rPr>
          <w:szCs w:val="20"/>
        </w:rPr>
        <w:t xml:space="preserve"> </w:t>
      </w:r>
      <w:r w:rsidRPr="00E013AC">
        <w:rPr>
          <w:szCs w:val="20"/>
        </w:rPr>
        <w:t>organization.</w:t>
      </w:r>
    </w:p>
    <w:p w:rsidR="00E013AC" w:rsidRPr="00E013AC" w:rsidRDefault="00E013AC" w:rsidP="00E013AC">
      <w:pPr>
        <w:pStyle w:val="QS10"/>
        <w:ind w:left="2160"/>
        <w:rPr>
          <w:szCs w:val="20"/>
        </w:rPr>
      </w:pPr>
      <w:r w:rsidRPr="00E013AC">
        <w:rPr>
          <w:szCs w:val="20"/>
        </w:rPr>
        <w:t>In</w:t>
      </w:r>
      <w:r w:rsidR="00C64050">
        <w:rPr>
          <w:szCs w:val="20"/>
        </w:rPr>
        <w:t xml:space="preserve"> </w:t>
      </w:r>
      <w:r w:rsidRPr="00E013AC">
        <w:rPr>
          <w:szCs w:val="20"/>
        </w:rPr>
        <w:t>furtherance</w:t>
      </w:r>
      <w:r w:rsidR="00C64050">
        <w:rPr>
          <w:szCs w:val="20"/>
        </w:rPr>
        <w:t xml:space="preserve"> </w:t>
      </w:r>
      <w:r w:rsidRPr="00E013AC">
        <w:rPr>
          <w:szCs w:val="20"/>
        </w:rPr>
        <w:t>of</w:t>
      </w:r>
      <w:r w:rsidR="00C64050">
        <w:rPr>
          <w:szCs w:val="20"/>
        </w:rPr>
        <w:t xml:space="preserve"> </w:t>
      </w:r>
      <w:r w:rsidRPr="00E013AC">
        <w:rPr>
          <w:szCs w:val="20"/>
        </w:rPr>
        <w:t>the</w:t>
      </w:r>
      <w:r w:rsidR="00C64050">
        <w:rPr>
          <w:szCs w:val="20"/>
        </w:rPr>
        <w:t xml:space="preserve"> </w:t>
      </w:r>
      <w:r w:rsidRPr="00E013AC">
        <w:rPr>
          <w:szCs w:val="20"/>
        </w:rPr>
        <w:t>foregoing</w:t>
      </w:r>
      <w:r w:rsidR="00C64050">
        <w:rPr>
          <w:szCs w:val="20"/>
        </w:rPr>
        <w:t xml:space="preserve"> </w:t>
      </w:r>
      <w:r w:rsidRPr="00E013AC">
        <w:rPr>
          <w:szCs w:val="20"/>
        </w:rPr>
        <w:t>purposes</w:t>
      </w:r>
      <w:r w:rsidR="00C64050">
        <w:rPr>
          <w:szCs w:val="20"/>
        </w:rPr>
        <w:t xml:space="preserve"> </w:t>
      </w:r>
      <w:r w:rsidRPr="00E013AC">
        <w:rPr>
          <w:szCs w:val="20"/>
        </w:rPr>
        <w:t>the</w:t>
      </w:r>
      <w:r w:rsidR="00C64050">
        <w:rPr>
          <w:szCs w:val="20"/>
        </w:rPr>
        <w:t xml:space="preserve"> </w:t>
      </w:r>
      <w:r w:rsidRPr="00E013AC">
        <w:rPr>
          <w:szCs w:val="20"/>
        </w:rPr>
        <w:t>Trustee</w:t>
      </w:r>
      <w:r w:rsidR="00C64050">
        <w:rPr>
          <w:szCs w:val="20"/>
        </w:rPr>
        <w:t xml:space="preserve"> </w:t>
      </w:r>
      <w:r w:rsidRPr="00E013AC">
        <w:rPr>
          <w:szCs w:val="20"/>
        </w:rPr>
        <w:t>may,</w:t>
      </w:r>
      <w:r w:rsidR="00C64050">
        <w:rPr>
          <w:szCs w:val="20"/>
        </w:rPr>
        <w:t xml:space="preserve"> </w:t>
      </w:r>
      <w:r w:rsidRPr="00E013AC">
        <w:rPr>
          <w:szCs w:val="20"/>
        </w:rPr>
        <w:t>without</w:t>
      </w:r>
      <w:r w:rsidR="00C64050">
        <w:rPr>
          <w:szCs w:val="20"/>
        </w:rPr>
        <w:t xml:space="preserve"> </w:t>
      </w:r>
      <w:r w:rsidRPr="00E013AC">
        <w:rPr>
          <w:szCs w:val="20"/>
        </w:rPr>
        <w:t>limitation,</w:t>
      </w:r>
      <w:r w:rsidR="00C64050">
        <w:rPr>
          <w:szCs w:val="20"/>
        </w:rPr>
        <w:t xml:space="preserve"> </w:t>
      </w:r>
      <w:r w:rsidRPr="00E013AC">
        <w:rPr>
          <w:szCs w:val="20"/>
        </w:rPr>
        <w:t>sell</w:t>
      </w:r>
      <w:r w:rsidR="00C64050">
        <w:rPr>
          <w:szCs w:val="20"/>
        </w:rPr>
        <w:t xml:space="preserve"> </w:t>
      </w:r>
      <w:r w:rsidRPr="00E013AC">
        <w:rPr>
          <w:szCs w:val="20"/>
        </w:rPr>
        <w:t>such</w:t>
      </w:r>
      <w:r w:rsidR="00C64050">
        <w:rPr>
          <w:szCs w:val="20"/>
        </w:rPr>
        <w:t xml:space="preserve"> </w:t>
      </w:r>
      <w:r w:rsidRPr="00E013AC">
        <w:rPr>
          <w:szCs w:val="20"/>
        </w:rPr>
        <w:t>automobiles</w:t>
      </w:r>
      <w:r w:rsidR="00C64050">
        <w:rPr>
          <w:szCs w:val="20"/>
        </w:rPr>
        <w:t xml:space="preserve"> </w:t>
      </w:r>
      <w:r w:rsidRPr="00E013AC">
        <w:rPr>
          <w:szCs w:val="20"/>
        </w:rPr>
        <w:t>as</w:t>
      </w:r>
      <w:r w:rsidR="00C64050">
        <w:rPr>
          <w:szCs w:val="20"/>
        </w:rPr>
        <w:t xml:space="preserve"> </w:t>
      </w:r>
      <w:r w:rsidRPr="00E013AC">
        <w:rPr>
          <w:szCs w:val="20"/>
        </w:rPr>
        <w:t>he</w:t>
      </w:r>
      <w:r w:rsidR="00C64050">
        <w:rPr>
          <w:szCs w:val="20"/>
        </w:rPr>
        <w:t xml:space="preserve"> </w:t>
      </w:r>
      <w:r w:rsidRPr="00E013AC">
        <w:rPr>
          <w:szCs w:val="20"/>
        </w:rPr>
        <w:t>from</w:t>
      </w:r>
      <w:r w:rsidR="00C64050">
        <w:rPr>
          <w:szCs w:val="20"/>
        </w:rPr>
        <w:t xml:space="preserve"> </w:t>
      </w:r>
      <w:r w:rsidRPr="00E013AC">
        <w:rPr>
          <w:szCs w:val="20"/>
        </w:rPr>
        <w:t>time</w:t>
      </w:r>
      <w:r w:rsidR="00C64050">
        <w:rPr>
          <w:szCs w:val="20"/>
        </w:rPr>
        <w:t xml:space="preserve"> </w:t>
      </w:r>
      <w:r w:rsidRPr="00E013AC">
        <w:rPr>
          <w:szCs w:val="20"/>
        </w:rPr>
        <w:t>to</w:t>
      </w:r>
      <w:r w:rsidR="00C64050">
        <w:rPr>
          <w:szCs w:val="20"/>
        </w:rPr>
        <w:t xml:space="preserve"> </w:t>
      </w:r>
      <w:r w:rsidRPr="00E013AC">
        <w:rPr>
          <w:szCs w:val="20"/>
        </w:rPr>
        <w:t>time</w:t>
      </w:r>
      <w:r w:rsidR="00C64050">
        <w:rPr>
          <w:szCs w:val="20"/>
        </w:rPr>
        <w:t xml:space="preserve"> </w:t>
      </w:r>
      <w:r w:rsidRPr="00E013AC">
        <w:rPr>
          <w:szCs w:val="20"/>
        </w:rPr>
        <w:t>deems</w:t>
      </w:r>
      <w:r w:rsidR="00C64050">
        <w:rPr>
          <w:szCs w:val="20"/>
        </w:rPr>
        <w:t xml:space="preserve"> </w:t>
      </w:r>
      <w:r w:rsidRPr="00E013AC">
        <w:rPr>
          <w:szCs w:val="20"/>
        </w:rPr>
        <w:t>necessary</w:t>
      </w:r>
      <w:r w:rsidR="00C64050">
        <w:rPr>
          <w:szCs w:val="20"/>
        </w:rPr>
        <w:t xml:space="preserve"> </w:t>
      </w:r>
      <w:r w:rsidRPr="00E013AC">
        <w:rPr>
          <w:szCs w:val="20"/>
        </w:rPr>
        <w:t>or</w:t>
      </w:r>
      <w:r w:rsidR="00C64050">
        <w:rPr>
          <w:szCs w:val="20"/>
        </w:rPr>
        <w:t xml:space="preserve"> </w:t>
      </w:r>
      <w:r w:rsidRPr="00E013AC">
        <w:rPr>
          <w:szCs w:val="20"/>
        </w:rPr>
        <w:t>advisable,</w:t>
      </w:r>
      <w:r w:rsidR="00C64050">
        <w:rPr>
          <w:szCs w:val="20"/>
        </w:rPr>
        <w:t xml:space="preserve"> </w:t>
      </w:r>
      <w:r w:rsidRPr="00E013AC">
        <w:rPr>
          <w:szCs w:val="20"/>
        </w:rPr>
        <w:t>whether</w:t>
      </w:r>
      <w:r w:rsidR="00C64050">
        <w:rPr>
          <w:szCs w:val="20"/>
        </w:rPr>
        <w:t xml:space="preserve"> </w:t>
      </w:r>
      <w:r w:rsidRPr="00E013AC">
        <w:rPr>
          <w:szCs w:val="20"/>
        </w:rPr>
        <w:t>to</w:t>
      </w:r>
      <w:r w:rsidR="00C64050">
        <w:rPr>
          <w:szCs w:val="20"/>
        </w:rPr>
        <w:t xml:space="preserve"> </w:t>
      </w:r>
      <w:r w:rsidRPr="00E013AC">
        <w:rPr>
          <w:szCs w:val="20"/>
        </w:rPr>
        <w:t>provide</w:t>
      </w:r>
      <w:r w:rsidR="00C64050">
        <w:rPr>
          <w:szCs w:val="20"/>
        </w:rPr>
        <w:t xml:space="preserve"> </w:t>
      </w:r>
      <w:r w:rsidRPr="00E013AC">
        <w:rPr>
          <w:szCs w:val="20"/>
        </w:rPr>
        <w:t>a</w:t>
      </w:r>
      <w:r w:rsidR="00C64050">
        <w:rPr>
          <w:szCs w:val="20"/>
        </w:rPr>
        <w:t xml:space="preserve"> </w:t>
      </w:r>
      <w:r w:rsidRPr="00E013AC">
        <w:rPr>
          <w:szCs w:val="20"/>
        </w:rPr>
        <w:t>suitable</w:t>
      </w:r>
      <w:r w:rsidR="00C64050">
        <w:rPr>
          <w:szCs w:val="20"/>
        </w:rPr>
        <w:t xml:space="preserve"> </w:t>
      </w:r>
      <w:r w:rsidRPr="00E013AC">
        <w:rPr>
          <w:szCs w:val="20"/>
        </w:rPr>
        <w:t>endowment</w:t>
      </w:r>
      <w:r w:rsidR="00C64050">
        <w:rPr>
          <w:szCs w:val="20"/>
        </w:rPr>
        <w:t xml:space="preserve"> </w:t>
      </w:r>
      <w:r w:rsidRPr="00E013AC">
        <w:rPr>
          <w:szCs w:val="20"/>
        </w:rPr>
        <w:t>to</w:t>
      </w:r>
      <w:r w:rsidR="00C64050">
        <w:rPr>
          <w:szCs w:val="20"/>
        </w:rPr>
        <w:t xml:space="preserve"> </w:t>
      </w:r>
      <w:r w:rsidRPr="00E013AC">
        <w:rPr>
          <w:szCs w:val="20"/>
        </w:rPr>
        <w:t>maintain</w:t>
      </w:r>
      <w:r w:rsidR="00C64050">
        <w:rPr>
          <w:szCs w:val="20"/>
        </w:rPr>
        <w:t xml:space="preserve"> </w:t>
      </w:r>
      <w:r w:rsidRPr="00E013AC">
        <w:rPr>
          <w:szCs w:val="20"/>
        </w:rPr>
        <w:t>the</w:t>
      </w:r>
      <w:r w:rsidR="00C64050">
        <w:rPr>
          <w:szCs w:val="20"/>
        </w:rPr>
        <w:t xml:space="preserve"> </w:t>
      </w:r>
      <w:r w:rsidRPr="00E013AC">
        <w:rPr>
          <w:szCs w:val="20"/>
        </w:rPr>
        <w:t>Collection</w:t>
      </w:r>
      <w:r w:rsidR="00C64050">
        <w:rPr>
          <w:szCs w:val="20"/>
        </w:rPr>
        <w:t xml:space="preserve"> </w:t>
      </w:r>
      <w:r w:rsidRPr="00E013AC">
        <w:rPr>
          <w:szCs w:val="20"/>
        </w:rPr>
        <w:t>or</w:t>
      </w:r>
      <w:r w:rsidR="00C64050">
        <w:rPr>
          <w:szCs w:val="20"/>
        </w:rPr>
        <w:t xml:space="preserve"> </w:t>
      </w:r>
      <w:r w:rsidRPr="00E013AC">
        <w:rPr>
          <w:szCs w:val="20"/>
        </w:rPr>
        <w:t>to</w:t>
      </w:r>
      <w:r w:rsidR="00C64050">
        <w:rPr>
          <w:szCs w:val="20"/>
        </w:rPr>
        <w:t xml:space="preserve"> </w:t>
      </w:r>
      <w:r w:rsidRPr="00E013AC">
        <w:rPr>
          <w:szCs w:val="20"/>
        </w:rPr>
        <w:t>permit</w:t>
      </w:r>
      <w:r w:rsidR="00C64050">
        <w:rPr>
          <w:szCs w:val="20"/>
        </w:rPr>
        <w:t xml:space="preserve"> </w:t>
      </w:r>
      <w:r w:rsidRPr="00E013AC">
        <w:rPr>
          <w:szCs w:val="20"/>
        </w:rPr>
        <w:t>the</w:t>
      </w:r>
      <w:r w:rsidR="00C64050">
        <w:rPr>
          <w:szCs w:val="20"/>
        </w:rPr>
        <w:t xml:space="preserve"> </w:t>
      </w:r>
      <w:r w:rsidRPr="00E013AC">
        <w:rPr>
          <w:szCs w:val="20"/>
        </w:rPr>
        <w:t>continued</w:t>
      </w:r>
      <w:r w:rsidR="00C64050">
        <w:rPr>
          <w:szCs w:val="20"/>
        </w:rPr>
        <w:t xml:space="preserve"> </w:t>
      </w:r>
      <w:r w:rsidRPr="00E013AC">
        <w:rPr>
          <w:szCs w:val="20"/>
        </w:rPr>
        <w:t>display</w:t>
      </w:r>
      <w:r w:rsidR="00C64050">
        <w:rPr>
          <w:szCs w:val="20"/>
        </w:rPr>
        <w:t xml:space="preserve"> </w:t>
      </w:r>
      <w:r w:rsidRPr="00E013AC">
        <w:rPr>
          <w:szCs w:val="20"/>
        </w:rPr>
        <w:t>of</w:t>
      </w:r>
      <w:r w:rsidR="00C64050">
        <w:rPr>
          <w:szCs w:val="20"/>
        </w:rPr>
        <w:t xml:space="preserve"> </w:t>
      </w:r>
      <w:r w:rsidRPr="00E013AC">
        <w:rPr>
          <w:szCs w:val="20"/>
        </w:rPr>
        <w:t>antique</w:t>
      </w:r>
      <w:r w:rsidR="00C64050">
        <w:rPr>
          <w:szCs w:val="20"/>
        </w:rPr>
        <w:t xml:space="preserve"> </w:t>
      </w:r>
      <w:r w:rsidRPr="00E013AC">
        <w:rPr>
          <w:szCs w:val="20"/>
        </w:rPr>
        <w:t>automobiles</w:t>
      </w:r>
      <w:r w:rsidR="00C64050">
        <w:rPr>
          <w:szCs w:val="20"/>
        </w:rPr>
        <w:t xml:space="preserve"> </w:t>
      </w:r>
      <w:r w:rsidRPr="00E013AC">
        <w:rPr>
          <w:szCs w:val="20"/>
        </w:rPr>
        <w:t>by</w:t>
      </w:r>
      <w:r w:rsidR="00C64050">
        <w:rPr>
          <w:szCs w:val="20"/>
        </w:rPr>
        <w:t xml:space="preserve"> </w:t>
      </w:r>
      <w:r w:rsidRPr="00E013AC">
        <w:rPr>
          <w:szCs w:val="20"/>
        </w:rPr>
        <w:t>Seal</w:t>
      </w:r>
      <w:r w:rsidR="00C64050">
        <w:rPr>
          <w:szCs w:val="20"/>
        </w:rPr>
        <w:t xml:space="preserve"> </w:t>
      </w:r>
      <w:r w:rsidRPr="00E013AC">
        <w:rPr>
          <w:szCs w:val="20"/>
        </w:rPr>
        <w:t>Cove</w:t>
      </w:r>
      <w:r w:rsidR="00C64050">
        <w:rPr>
          <w:szCs w:val="20"/>
        </w:rPr>
        <w:t xml:space="preserve"> </w:t>
      </w:r>
      <w:r w:rsidRPr="00E013AC">
        <w:rPr>
          <w:szCs w:val="20"/>
        </w:rPr>
        <w:t>Auto</w:t>
      </w:r>
      <w:r w:rsidR="00C64050">
        <w:rPr>
          <w:szCs w:val="20"/>
        </w:rPr>
        <w:t xml:space="preserve"> </w:t>
      </w:r>
      <w:r w:rsidRPr="00E013AC">
        <w:rPr>
          <w:szCs w:val="20"/>
        </w:rPr>
        <w:t>Museum</w:t>
      </w:r>
      <w:r w:rsidR="00C64050">
        <w:rPr>
          <w:szCs w:val="20"/>
        </w:rPr>
        <w:t xml:space="preserve"> </w:t>
      </w:r>
      <w:r w:rsidRPr="00E013AC">
        <w:rPr>
          <w:szCs w:val="20"/>
        </w:rPr>
        <w:t>or</w:t>
      </w:r>
      <w:r w:rsidR="00C64050">
        <w:rPr>
          <w:szCs w:val="20"/>
        </w:rPr>
        <w:t xml:space="preserve"> </w:t>
      </w:r>
      <w:r w:rsidRPr="00E013AC">
        <w:rPr>
          <w:szCs w:val="20"/>
        </w:rPr>
        <w:t>by</w:t>
      </w:r>
      <w:r w:rsidR="00C64050">
        <w:rPr>
          <w:szCs w:val="20"/>
        </w:rPr>
        <w:t xml:space="preserve"> </w:t>
      </w:r>
      <w:r w:rsidRPr="00E013AC">
        <w:rPr>
          <w:szCs w:val="20"/>
        </w:rPr>
        <w:t>any</w:t>
      </w:r>
      <w:r w:rsidR="00C64050">
        <w:rPr>
          <w:szCs w:val="20"/>
        </w:rPr>
        <w:t xml:space="preserve"> </w:t>
      </w:r>
      <w:r w:rsidRPr="00E013AC">
        <w:rPr>
          <w:szCs w:val="20"/>
        </w:rPr>
        <w:t>other</w:t>
      </w:r>
      <w:r w:rsidR="00C64050">
        <w:rPr>
          <w:szCs w:val="20"/>
        </w:rPr>
        <w:t xml:space="preserve"> </w:t>
      </w:r>
      <w:r w:rsidRPr="00E013AC">
        <w:rPr>
          <w:szCs w:val="20"/>
        </w:rPr>
        <w:t>museum[;]</w:t>
      </w:r>
      <w:r w:rsidR="00C64050">
        <w:rPr>
          <w:szCs w:val="20"/>
        </w:rPr>
        <w:t xml:space="preserve"> </w:t>
      </w:r>
      <w:r w:rsidRPr="00E013AC">
        <w:rPr>
          <w:szCs w:val="20"/>
        </w:rPr>
        <w:t>...</w:t>
      </w:r>
      <w:r w:rsidR="00C64050">
        <w:rPr>
          <w:szCs w:val="20"/>
        </w:rPr>
        <w:t xml:space="preserve"> </w:t>
      </w:r>
      <w:r w:rsidRPr="00E013AC">
        <w:rPr>
          <w:szCs w:val="20"/>
        </w:rPr>
        <w:t>loan</w:t>
      </w:r>
      <w:r w:rsidR="00C64050">
        <w:rPr>
          <w:szCs w:val="20"/>
        </w:rPr>
        <w:t xml:space="preserve"> </w:t>
      </w:r>
      <w:r w:rsidRPr="00E013AC">
        <w:rPr>
          <w:szCs w:val="20"/>
        </w:rPr>
        <w:t>all</w:t>
      </w:r>
      <w:r w:rsidR="00C64050">
        <w:rPr>
          <w:szCs w:val="20"/>
        </w:rPr>
        <w:t xml:space="preserve"> </w:t>
      </w:r>
      <w:r w:rsidRPr="00E013AC">
        <w:rPr>
          <w:szCs w:val="20"/>
        </w:rPr>
        <w:t>or</w:t>
      </w:r>
      <w:r w:rsidR="00C64050">
        <w:rPr>
          <w:szCs w:val="20"/>
        </w:rPr>
        <w:t xml:space="preserve"> </w:t>
      </w:r>
      <w:r w:rsidRPr="00E013AC">
        <w:rPr>
          <w:szCs w:val="20"/>
        </w:rPr>
        <w:t>any</w:t>
      </w:r>
      <w:r w:rsidR="00C64050">
        <w:rPr>
          <w:szCs w:val="20"/>
        </w:rPr>
        <w:t xml:space="preserve"> </w:t>
      </w:r>
      <w:r w:rsidRPr="00E013AC">
        <w:rPr>
          <w:szCs w:val="20"/>
        </w:rPr>
        <w:t>part</w:t>
      </w:r>
      <w:r w:rsidR="00C64050">
        <w:rPr>
          <w:szCs w:val="20"/>
        </w:rPr>
        <w:t xml:space="preserve"> </w:t>
      </w:r>
      <w:r w:rsidRPr="00E013AC">
        <w:rPr>
          <w:szCs w:val="20"/>
        </w:rPr>
        <w:t>of</w:t>
      </w:r>
      <w:r w:rsidR="00C64050">
        <w:rPr>
          <w:szCs w:val="20"/>
        </w:rPr>
        <w:t xml:space="preserve"> </w:t>
      </w:r>
      <w:r w:rsidRPr="00E013AC">
        <w:rPr>
          <w:szCs w:val="20"/>
        </w:rPr>
        <w:t>the</w:t>
      </w:r>
      <w:r w:rsidR="00C64050">
        <w:rPr>
          <w:szCs w:val="20"/>
        </w:rPr>
        <w:t xml:space="preserve"> </w:t>
      </w:r>
      <w:r w:rsidRPr="00E013AC">
        <w:rPr>
          <w:szCs w:val="20"/>
        </w:rPr>
        <w:t>Collection</w:t>
      </w:r>
      <w:r w:rsidR="00C64050">
        <w:rPr>
          <w:szCs w:val="20"/>
        </w:rPr>
        <w:t xml:space="preserve"> </w:t>
      </w:r>
      <w:r w:rsidRPr="00E013AC">
        <w:rPr>
          <w:szCs w:val="20"/>
        </w:rPr>
        <w:t>to</w:t>
      </w:r>
      <w:r w:rsidR="00C64050">
        <w:rPr>
          <w:szCs w:val="20"/>
        </w:rPr>
        <w:t xml:space="preserve"> </w:t>
      </w:r>
      <w:r w:rsidRPr="00E013AC">
        <w:rPr>
          <w:szCs w:val="20"/>
        </w:rPr>
        <w:t>museums,</w:t>
      </w:r>
      <w:r w:rsidR="00C64050">
        <w:rPr>
          <w:szCs w:val="20"/>
        </w:rPr>
        <w:t xml:space="preserve"> </w:t>
      </w:r>
      <w:r w:rsidRPr="00E013AC">
        <w:rPr>
          <w:szCs w:val="20"/>
        </w:rPr>
        <w:t>including</w:t>
      </w:r>
      <w:r w:rsidR="00C64050">
        <w:rPr>
          <w:szCs w:val="20"/>
        </w:rPr>
        <w:t xml:space="preserve"> </w:t>
      </w:r>
      <w:r w:rsidRPr="00E013AC">
        <w:rPr>
          <w:szCs w:val="20"/>
        </w:rPr>
        <w:t>without</w:t>
      </w:r>
      <w:r w:rsidR="00C64050">
        <w:rPr>
          <w:szCs w:val="20"/>
        </w:rPr>
        <w:t xml:space="preserve"> </w:t>
      </w:r>
      <w:r w:rsidRPr="00E013AC">
        <w:rPr>
          <w:szCs w:val="20"/>
        </w:rPr>
        <w:t>limitation</w:t>
      </w:r>
      <w:r w:rsidR="00C64050">
        <w:rPr>
          <w:szCs w:val="20"/>
        </w:rPr>
        <w:t xml:space="preserve"> </w:t>
      </w:r>
      <w:r w:rsidRPr="00E013AC">
        <w:rPr>
          <w:szCs w:val="20"/>
        </w:rPr>
        <w:t>Seal</w:t>
      </w:r>
      <w:r w:rsidR="00C64050">
        <w:rPr>
          <w:szCs w:val="20"/>
        </w:rPr>
        <w:t xml:space="preserve"> </w:t>
      </w:r>
      <w:r w:rsidRPr="00E013AC">
        <w:rPr>
          <w:szCs w:val="20"/>
        </w:rPr>
        <w:t>Cove</w:t>
      </w:r>
      <w:r w:rsidR="00C64050">
        <w:rPr>
          <w:szCs w:val="20"/>
        </w:rPr>
        <w:t xml:space="preserve"> </w:t>
      </w:r>
      <w:r w:rsidRPr="00E013AC">
        <w:rPr>
          <w:szCs w:val="20"/>
        </w:rPr>
        <w:t>Auto</w:t>
      </w:r>
      <w:r w:rsidR="00C64050">
        <w:rPr>
          <w:szCs w:val="20"/>
        </w:rPr>
        <w:t xml:space="preserve"> </w:t>
      </w:r>
      <w:r w:rsidRPr="00E013AC">
        <w:rPr>
          <w:szCs w:val="20"/>
        </w:rPr>
        <w:t>Museum,</w:t>
      </w:r>
      <w:r w:rsidR="00C64050">
        <w:rPr>
          <w:szCs w:val="20"/>
        </w:rPr>
        <w:t xml:space="preserve"> </w:t>
      </w:r>
      <w:r w:rsidRPr="00E013AC">
        <w:rPr>
          <w:szCs w:val="20"/>
        </w:rPr>
        <w:t>or</w:t>
      </w:r>
      <w:r w:rsidR="00C64050">
        <w:rPr>
          <w:szCs w:val="20"/>
        </w:rPr>
        <w:t xml:space="preserve"> </w:t>
      </w:r>
      <w:r w:rsidRPr="00E013AC">
        <w:rPr>
          <w:szCs w:val="20"/>
        </w:rPr>
        <w:t>other</w:t>
      </w:r>
      <w:r w:rsidR="00C64050">
        <w:rPr>
          <w:szCs w:val="20"/>
        </w:rPr>
        <w:t xml:space="preserve"> </w:t>
      </w:r>
      <w:r w:rsidRPr="00E013AC">
        <w:rPr>
          <w:szCs w:val="20"/>
        </w:rPr>
        <w:t>charitable</w:t>
      </w:r>
      <w:r w:rsidR="00C64050">
        <w:rPr>
          <w:szCs w:val="20"/>
        </w:rPr>
        <w:t xml:space="preserve"> </w:t>
      </w:r>
      <w:r w:rsidRPr="00E013AC">
        <w:rPr>
          <w:szCs w:val="20"/>
        </w:rPr>
        <w:t>organizations</w:t>
      </w:r>
      <w:r w:rsidR="00C64050">
        <w:rPr>
          <w:szCs w:val="20"/>
        </w:rPr>
        <w:t xml:space="preserve"> </w:t>
      </w:r>
      <w:r w:rsidRPr="00E013AC">
        <w:rPr>
          <w:szCs w:val="20"/>
        </w:rPr>
        <w:t>...</w:t>
      </w:r>
      <w:r w:rsidR="00C64050">
        <w:rPr>
          <w:szCs w:val="20"/>
        </w:rPr>
        <w:t xml:space="preserve"> </w:t>
      </w:r>
      <w:r w:rsidRPr="00E013AC">
        <w:rPr>
          <w:szCs w:val="20"/>
        </w:rPr>
        <w:t>for</w:t>
      </w:r>
      <w:r w:rsidR="00C64050">
        <w:rPr>
          <w:szCs w:val="20"/>
        </w:rPr>
        <w:t xml:space="preserve"> </w:t>
      </w:r>
      <w:r w:rsidRPr="00E013AC">
        <w:rPr>
          <w:szCs w:val="20"/>
        </w:rPr>
        <w:t>public</w:t>
      </w:r>
      <w:r w:rsidR="00C64050">
        <w:rPr>
          <w:szCs w:val="20"/>
        </w:rPr>
        <w:t xml:space="preserve"> </w:t>
      </w:r>
      <w:r w:rsidRPr="00E013AC">
        <w:rPr>
          <w:szCs w:val="20"/>
        </w:rPr>
        <w:t>display</w:t>
      </w:r>
      <w:r w:rsidR="00C64050">
        <w:rPr>
          <w:szCs w:val="20"/>
        </w:rPr>
        <w:t xml:space="preserve"> </w:t>
      </w:r>
      <w:r w:rsidRPr="00E013AC">
        <w:rPr>
          <w:szCs w:val="20"/>
        </w:rPr>
        <w:t>or</w:t>
      </w:r>
      <w:r w:rsidR="00C64050">
        <w:rPr>
          <w:szCs w:val="20"/>
        </w:rPr>
        <w:t xml:space="preserve"> </w:t>
      </w:r>
      <w:r w:rsidRPr="00E013AC">
        <w:rPr>
          <w:szCs w:val="20"/>
        </w:rPr>
        <w:t>study;</w:t>
      </w:r>
      <w:r w:rsidR="00C64050">
        <w:rPr>
          <w:szCs w:val="20"/>
        </w:rPr>
        <w:t xml:space="preserve"> </w:t>
      </w:r>
      <w:r w:rsidRPr="00E013AC">
        <w:rPr>
          <w:szCs w:val="20"/>
        </w:rPr>
        <w:t>permit</w:t>
      </w:r>
      <w:r w:rsidR="00C64050">
        <w:rPr>
          <w:szCs w:val="20"/>
        </w:rPr>
        <w:t xml:space="preserve"> </w:t>
      </w:r>
      <w:r w:rsidRPr="00E013AC">
        <w:rPr>
          <w:szCs w:val="20"/>
        </w:rPr>
        <w:t>access</w:t>
      </w:r>
      <w:r w:rsidR="00C64050">
        <w:rPr>
          <w:szCs w:val="20"/>
        </w:rPr>
        <w:t xml:space="preserve"> </w:t>
      </w:r>
      <w:r w:rsidRPr="00E013AC">
        <w:rPr>
          <w:szCs w:val="20"/>
        </w:rPr>
        <w:t>to</w:t>
      </w:r>
      <w:r w:rsidR="00C64050">
        <w:rPr>
          <w:szCs w:val="20"/>
        </w:rPr>
        <w:t xml:space="preserve"> </w:t>
      </w:r>
      <w:r w:rsidRPr="00E013AC">
        <w:rPr>
          <w:szCs w:val="20"/>
        </w:rPr>
        <w:t>the</w:t>
      </w:r>
      <w:r w:rsidR="00C64050">
        <w:rPr>
          <w:szCs w:val="20"/>
        </w:rPr>
        <w:t xml:space="preserve"> </w:t>
      </w:r>
      <w:r w:rsidRPr="00E013AC">
        <w:rPr>
          <w:szCs w:val="20"/>
        </w:rPr>
        <w:t>Collection</w:t>
      </w:r>
      <w:r w:rsidR="00C64050">
        <w:rPr>
          <w:szCs w:val="20"/>
        </w:rPr>
        <w:t xml:space="preserve"> </w:t>
      </w:r>
      <w:r w:rsidRPr="00E013AC">
        <w:rPr>
          <w:szCs w:val="20"/>
        </w:rPr>
        <w:t>for</w:t>
      </w:r>
      <w:r w:rsidR="00C64050">
        <w:rPr>
          <w:szCs w:val="20"/>
        </w:rPr>
        <w:t xml:space="preserve"> </w:t>
      </w:r>
      <w:r w:rsidRPr="00E013AC">
        <w:rPr>
          <w:szCs w:val="20"/>
        </w:rPr>
        <w:t>educational</w:t>
      </w:r>
      <w:r w:rsidR="00C64050">
        <w:rPr>
          <w:szCs w:val="20"/>
        </w:rPr>
        <w:t xml:space="preserve"> </w:t>
      </w:r>
      <w:r w:rsidRPr="00E013AC">
        <w:rPr>
          <w:szCs w:val="20"/>
        </w:rPr>
        <w:t>purposes</w:t>
      </w:r>
      <w:r w:rsidR="00C64050">
        <w:rPr>
          <w:szCs w:val="20"/>
        </w:rPr>
        <w:t xml:space="preserve"> </w:t>
      </w:r>
      <w:r w:rsidRPr="00E013AC">
        <w:rPr>
          <w:szCs w:val="20"/>
        </w:rPr>
        <w:t>by</w:t>
      </w:r>
      <w:r w:rsidR="00C64050">
        <w:rPr>
          <w:szCs w:val="20"/>
        </w:rPr>
        <w:t xml:space="preserve"> </w:t>
      </w:r>
      <w:r w:rsidRPr="00E013AC">
        <w:rPr>
          <w:szCs w:val="20"/>
        </w:rPr>
        <w:t>scholars</w:t>
      </w:r>
      <w:r w:rsidR="00C64050">
        <w:rPr>
          <w:szCs w:val="20"/>
        </w:rPr>
        <w:t xml:space="preserve"> </w:t>
      </w:r>
      <w:r w:rsidRPr="00E013AC">
        <w:rPr>
          <w:szCs w:val="20"/>
        </w:rPr>
        <w:t>or</w:t>
      </w:r>
      <w:r w:rsidR="00C64050">
        <w:rPr>
          <w:szCs w:val="20"/>
        </w:rPr>
        <w:t xml:space="preserve"> </w:t>
      </w:r>
      <w:r w:rsidRPr="00E013AC">
        <w:rPr>
          <w:szCs w:val="20"/>
        </w:rPr>
        <w:t>students;</w:t>
      </w:r>
      <w:r w:rsidR="00C64050">
        <w:rPr>
          <w:szCs w:val="20"/>
        </w:rPr>
        <w:t xml:space="preserve"> </w:t>
      </w:r>
      <w:r w:rsidRPr="00E013AC">
        <w:rPr>
          <w:szCs w:val="20"/>
        </w:rPr>
        <w:t>and</w:t>
      </w:r>
      <w:r w:rsidR="00C64050">
        <w:rPr>
          <w:szCs w:val="20"/>
        </w:rPr>
        <w:t xml:space="preserve"> </w:t>
      </w:r>
      <w:r w:rsidRPr="00E013AC">
        <w:rPr>
          <w:szCs w:val="20"/>
        </w:rPr>
        <w:t>generally</w:t>
      </w:r>
      <w:r w:rsidR="00C64050">
        <w:rPr>
          <w:szCs w:val="20"/>
        </w:rPr>
        <w:t xml:space="preserve"> </w:t>
      </w:r>
      <w:r w:rsidRPr="00E013AC">
        <w:rPr>
          <w:szCs w:val="20"/>
        </w:rPr>
        <w:t>do</w:t>
      </w:r>
      <w:r w:rsidR="00C64050">
        <w:rPr>
          <w:szCs w:val="20"/>
        </w:rPr>
        <w:t xml:space="preserve"> </w:t>
      </w:r>
      <w:r w:rsidRPr="00E013AC">
        <w:rPr>
          <w:szCs w:val="20"/>
        </w:rPr>
        <w:t>all</w:t>
      </w:r>
      <w:r w:rsidR="00C64050">
        <w:rPr>
          <w:szCs w:val="20"/>
        </w:rPr>
        <w:t xml:space="preserve"> </w:t>
      </w:r>
      <w:r w:rsidRPr="00E013AC">
        <w:rPr>
          <w:szCs w:val="20"/>
        </w:rPr>
        <w:t>such</w:t>
      </w:r>
      <w:r w:rsidR="00C64050">
        <w:rPr>
          <w:szCs w:val="20"/>
        </w:rPr>
        <w:t xml:space="preserve"> </w:t>
      </w:r>
      <w:r w:rsidRPr="00E013AC">
        <w:rPr>
          <w:szCs w:val="20"/>
        </w:rPr>
        <w:t>acts</w:t>
      </w:r>
      <w:r w:rsidR="00C64050">
        <w:rPr>
          <w:szCs w:val="20"/>
        </w:rPr>
        <w:t xml:space="preserve"> </w:t>
      </w:r>
      <w:r w:rsidRPr="00E013AC">
        <w:rPr>
          <w:szCs w:val="20"/>
        </w:rPr>
        <w:t>as</w:t>
      </w:r>
      <w:r w:rsidR="00C64050">
        <w:rPr>
          <w:szCs w:val="20"/>
        </w:rPr>
        <w:t xml:space="preserve"> </w:t>
      </w:r>
      <w:r w:rsidRPr="00E013AC">
        <w:rPr>
          <w:szCs w:val="20"/>
        </w:rPr>
        <w:t>may</w:t>
      </w:r>
      <w:r w:rsidR="00C64050">
        <w:rPr>
          <w:szCs w:val="20"/>
        </w:rPr>
        <w:t xml:space="preserve"> </w:t>
      </w:r>
      <w:r w:rsidRPr="00E013AC">
        <w:rPr>
          <w:szCs w:val="20"/>
        </w:rPr>
        <w:t>be</w:t>
      </w:r>
      <w:r w:rsidR="00C64050">
        <w:rPr>
          <w:szCs w:val="20"/>
        </w:rPr>
        <w:t xml:space="preserve"> </w:t>
      </w:r>
      <w:r w:rsidRPr="00E013AC">
        <w:rPr>
          <w:szCs w:val="20"/>
        </w:rPr>
        <w:t>necessary</w:t>
      </w:r>
      <w:r w:rsidR="00C64050">
        <w:rPr>
          <w:szCs w:val="20"/>
        </w:rPr>
        <w:t xml:space="preserve"> </w:t>
      </w:r>
      <w:r w:rsidRPr="00E013AC">
        <w:rPr>
          <w:szCs w:val="20"/>
        </w:rPr>
        <w:t>or</w:t>
      </w:r>
      <w:r w:rsidR="00C64050">
        <w:rPr>
          <w:szCs w:val="20"/>
        </w:rPr>
        <w:t xml:space="preserve"> </w:t>
      </w:r>
      <w:r w:rsidRPr="00E013AC">
        <w:rPr>
          <w:szCs w:val="20"/>
        </w:rPr>
        <w:t>appropriate</w:t>
      </w:r>
      <w:r w:rsidR="00C64050">
        <w:rPr>
          <w:szCs w:val="20"/>
        </w:rPr>
        <w:t xml:space="preserve"> </w:t>
      </w:r>
      <w:r w:rsidRPr="00E013AC">
        <w:rPr>
          <w:szCs w:val="20"/>
        </w:rPr>
        <w:t>to</w:t>
      </w:r>
      <w:r w:rsidR="00C64050">
        <w:rPr>
          <w:szCs w:val="20"/>
        </w:rPr>
        <w:t xml:space="preserve"> </w:t>
      </w:r>
      <w:r w:rsidRPr="00E013AC">
        <w:rPr>
          <w:szCs w:val="20"/>
        </w:rPr>
        <w:t>educate</w:t>
      </w:r>
      <w:r w:rsidR="00C64050">
        <w:rPr>
          <w:szCs w:val="20"/>
        </w:rPr>
        <w:t xml:space="preserve"> </w:t>
      </w:r>
      <w:r w:rsidRPr="00E013AC">
        <w:rPr>
          <w:szCs w:val="20"/>
        </w:rPr>
        <w:t>the</w:t>
      </w:r>
      <w:r w:rsidR="00C64050">
        <w:rPr>
          <w:szCs w:val="20"/>
        </w:rPr>
        <w:t xml:space="preserve"> </w:t>
      </w:r>
      <w:r w:rsidRPr="00E013AC">
        <w:rPr>
          <w:szCs w:val="20"/>
        </w:rPr>
        <w:t>public</w:t>
      </w:r>
      <w:r w:rsidR="00C64050">
        <w:rPr>
          <w:szCs w:val="20"/>
        </w:rPr>
        <w:t xml:space="preserve"> </w:t>
      </w:r>
      <w:r w:rsidRPr="00E013AC">
        <w:rPr>
          <w:szCs w:val="20"/>
        </w:rPr>
        <w:t>with</w:t>
      </w:r>
      <w:r w:rsidR="00C64050">
        <w:rPr>
          <w:szCs w:val="20"/>
        </w:rPr>
        <w:t xml:space="preserve"> </w:t>
      </w:r>
      <w:r w:rsidRPr="00E013AC">
        <w:rPr>
          <w:szCs w:val="20"/>
        </w:rPr>
        <w:t>respect</w:t>
      </w:r>
      <w:r w:rsidR="00C64050">
        <w:rPr>
          <w:szCs w:val="20"/>
        </w:rPr>
        <w:t xml:space="preserve"> </w:t>
      </w:r>
      <w:r w:rsidRPr="00E013AC">
        <w:rPr>
          <w:szCs w:val="20"/>
        </w:rPr>
        <w:t>to</w:t>
      </w:r>
      <w:r w:rsidR="00C64050">
        <w:rPr>
          <w:szCs w:val="20"/>
        </w:rPr>
        <w:t xml:space="preserve"> </w:t>
      </w:r>
      <w:r w:rsidRPr="00E013AC">
        <w:rPr>
          <w:szCs w:val="20"/>
        </w:rPr>
        <w:t>antique</w:t>
      </w:r>
      <w:r w:rsidR="00C64050">
        <w:rPr>
          <w:szCs w:val="20"/>
        </w:rPr>
        <w:t xml:space="preserve"> </w:t>
      </w:r>
      <w:r w:rsidRPr="00E013AC">
        <w:rPr>
          <w:szCs w:val="20"/>
        </w:rPr>
        <w:t>automobiles</w:t>
      </w:r>
      <w:r w:rsidR="00C64050">
        <w:rPr>
          <w:szCs w:val="20"/>
        </w:rPr>
        <w:t xml:space="preserve"> </w:t>
      </w:r>
      <w:r w:rsidRPr="00E013AC">
        <w:rPr>
          <w:szCs w:val="20"/>
        </w:rPr>
        <w:t>and</w:t>
      </w:r>
      <w:r w:rsidR="00C64050">
        <w:rPr>
          <w:szCs w:val="20"/>
        </w:rPr>
        <w:t xml:space="preserve"> </w:t>
      </w:r>
      <w:r w:rsidRPr="00E013AC">
        <w:rPr>
          <w:szCs w:val="20"/>
        </w:rPr>
        <w:t>to</w:t>
      </w:r>
      <w:r w:rsidR="00C64050">
        <w:rPr>
          <w:szCs w:val="20"/>
        </w:rPr>
        <w:t xml:space="preserve"> </w:t>
      </w:r>
      <w:r w:rsidRPr="00E013AC">
        <w:rPr>
          <w:szCs w:val="20"/>
        </w:rPr>
        <w:t>make</w:t>
      </w:r>
      <w:r w:rsidR="00C64050">
        <w:rPr>
          <w:szCs w:val="20"/>
        </w:rPr>
        <w:t xml:space="preserve"> </w:t>
      </w:r>
      <w:r w:rsidRPr="00E013AC">
        <w:rPr>
          <w:szCs w:val="20"/>
        </w:rPr>
        <w:t>the</w:t>
      </w:r>
      <w:r w:rsidR="00C64050">
        <w:rPr>
          <w:szCs w:val="20"/>
        </w:rPr>
        <w:t xml:space="preserve"> </w:t>
      </w:r>
      <w:r w:rsidRPr="00E013AC">
        <w:rPr>
          <w:szCs w:val="20"/>
        </w:rPr>
        <w:t>Collection</w:t>
      </w:r>
      <w:r w:rsidR="00C64050">
        <w:rPr>
          <w:szCs w:val="20"/>
        </w:rPr>
        <w:t xml:space="preserve"> </w:t>
      </w:r>
      <w:r w:rsidRPr="00E013AC">
        <w:rPr>
          <w:szCs w:val="20"/>
        </w:rPr>
        <w:t>available</w:t>
      </w:r>
      <w:r w:rsidR="00C64050">
        <w:rPr>
          <w:szCs w:val="20"/>
        </w:rPr>
        <w:t xml:space="preserve"> </w:t>
      </w:r>
      <w:r w:rsidRPr="00E013AC">
        <w:rPr>
          <w:szCs w:val="20"/>
        </w:rPr>
        <w:t>for</w:t>
      </w:r>
      <w:r w:rsidR="00C64050">
        <w:rPr>
          <w:szCs w:val="20"/>
        </w:rPr>
        <w:t xml:space="preserve"> </w:t>
      </w:r>
      <w:r w:rsidRPr="00E013AC">
        <w:rPr>
          <w:szCs w:val="20"/>
        </w:rPr>
        <w:t>public</w:t>
      </w:r>
      <w:r w:rsidR="00C64050">
        <w:rPr>
          <w:szCs w:val="20"/>
        </w:rPr>
        <w:t xml:space="preserve"> </w:t>
      </w:r>
      <w:r w:rsidRPr="00E013AC">
        <w:rPr>
          <w:szCs w:val="20"/>
        </w:rPr>
        <w:t>viewing.</w:t>
      </w:r>
    </w:p>
    <w:p w:rsidR="00803A76" w:rsidRDefault="00803A76">
      <w:pPr>
        <w:rPr>
          <w:bCs w:val="0"/>
        </w:rPr>
      </w:pPr>
      <w:r>
        <w:br w:type="page"/>
      </w:r>
    </w:p>
    <w:p w:rsidR="00E013AC" w:rsidRDefault="00E16141" w:rsidP="005420BF">
      <w:pPr>
        <w:pStyle w:val="Body15"/>
      </w:pPr>
      <w:r>
        <w:t>Holding that “expressly designated” does not mean “mandatory,” th</w:t>
      </w:r>
      <w:r w:rsidR="00E013AC">
        <w:t>e</w:t>
      </w:r>
      <w:r w:rsidR="00C64050">
        <w:t xml:space="preserve"> </w:t>
      </w:r>
      <w:r w:rsidR="00E013AC">
        <w:t>opinion</w:t>
      </w:r>
      <w:r w:rsidR="00C64050">
        <w:t xml:space="preserve"> </w:t>
      </w:r>
      <w:r w:rsidR="00E013AC">
        <w:t>states:</w:t>
      </w:r>
    </w:p>
    <w:p w:rsidR="00E013AC" w:rsidRPr="00E013AC" w:rsidRDefault="00E013AC" w:rsidP="00E013AC">
      <w:pPr>
        <w:pStyle w:val="QS10"/>
        <w:rPr>
          <w:szCs w:val="20"/>
        </w:rPr>
      </w:pPr>
      <w:r w:rsidRPr="00E013AC">
        <w:rPr>
          <w:szCs w:val="20"/>
        </w:rPr>
        <w:t>We</w:t>
      </w:r>
      <w:r w:rsidR="00C64050">
        <w:rPr>
          <w:szCs w:val="20"/>
        </w:rPr>
        <w:t xml:space="preserve"> </w:t>
      </w:r>
      <w:r w:rsidRPr="00E013AC">
        <w:rPr>
          <w:szCs w:val="20"/>
        </w:rPr>
        <w:t>now</w:t>
      </w:r>
      <w:r w:rsidR="00C64050">
        <w:rPr>
          <w:szCs w:val="20"/>
        </w:rPr>
        <w:t xml:space="preserve"> </w:t>
      </w:r>
      <w:r w:rsidRPr="00E013AC">
        <w:rPr>
          <w:szCs w:val="20"/>
        </w:rPr>
        <w:t>consider</w:t>
      </w:r>
      <w:r w:rsidR="00C64050">
        <w:rPr>
          <w:szCs w:val="20"/>
        </w:rPr>
        <w:t xml:space="preserve"> </w:t>
      </w:r>
      <w:r w:rsidRPr="00E013AC">
        <w:rPr>
          <w:szCs w:val="20"/>
        </w:rPr>
        <w:t>whether</w:t>
      </w:r>
      <w:r w:rsidR="00C64050">
        <w:rPr>
          <w:szCs w:val="20"/>
        </w:rPr>
        <w:t xml:space="preserve"> </w:t>
      </w:r>
      <w:r w:rsidRPr="00E013AC">
        <w:rPr>
          <w:szCs w:val="20"/>
        </w:rPr>
        <w:t>Seal</w:t>
      </w:r>
      <w:r w:rsidR="00C64050">
        <w:rPr>
          <w:szCs w:val="20"/>
        </w:rPr>
        <w:t xml:space="preserve"> </w:t>
      </w:r>
      <w:r w:rsidRPr="00E013AC">
        <w:rPr>
          <w:szCs w:val="20"/>
        </w:rPr>
        <w:t>Cove</w:t>
      </w:r>
      <w:r w:rsidR="00C64050">
        <w:rPr>
          <w:szCs w:val="20"/>
        </w:rPr>
        <w:t xml:space="preserve"> </w:t>
      </w:r>
      <w:r w:rsidRPr="00E013AC">
        <w:rPr>
          <w:szCs w:val="20"/>
        </w:rPr>
        <w:t>is</w:t>
      </w:r>
      <w:r w:rsidR="00C64050">
        <w:rPr>
          <w:szCs w:val="20"/>
        </w:rPr>
        <w:t xml:space="preserve"> </w:t>
      </w:r>
      <w:r w:rsidRPr="00E013AC">
        <w:rPr>
          <w:szCs w:val="20"/>
        </w:rPr>
        <w:t>“expressly</w:t>
      </w:r>
      <w:r w:rsidR="00C64050">
        <w:rPr>
          <w:szCs w:val="20"/>
        </w:rPr>
        <w:t xml:space="preserve"> </w:t>
      </w:r>
      <w:r w:rsidRPr="00E013AC">
        <w:rPr>
          <w:szCs w:val="20"/>
        </w:rPr>
        <w:t>designated</w:t>
      </w:r>
      <w:r w:rsidR="00C64050">
        <w:rPr>
          <w:szCs w:val="20"/>
        </w:rPr>
        <w:t xml:space="preserve"> </w:t>
      </w:r>
      <w:r w:rsidRPr="00E013AC">
        <w:rPr>
          <w:szCs w:val="20"/>
        </w:rPr>
        <w:t>to</w:t>
      </w:r>
      <w:r w:rsidR="00C64050">
        <w:rPr>
          <w:szCs w:val="20"/>
        </w:rPr>
        <w:t xml:space="preserve"> </w:t>
      </w:r>
      <w:r w:rsidRPr="00E013AC">
        <w:rPr>
          <w:szCs w:val="20"/>
        </w:rPr>
        <w:t>receive</w:t>
      </w:r>
      <w:r w:rsidR="00C64050">
        <w:rPr>
          <w:szCs w:val="20"/>
        </w:rPr>
        <w:t xml:space="preserve"> </w:t>
      </w:r>
      <w:r w:rsidRPr="00E013AC">
        <w:rPr>
          <w:szCs w:val="20"/>
        </w:rPr>
        <w:t>distributions</w:t>
      </w:r>
      <w:r w:rsidR="00C64050">
        <w:rPr>
          <w:szCs w:val="20"/>
        </w:rPr>
        <w:t xml:space="preserve"> </w:t>
      </w:r>
      <w:r w:rsidRPr="00E013AC">
        <w:rPr>
          <w:szCs w:val="20"/>
        </w:rPr>
        <w:t>under</w:t>
      </w:r>
      <w:r w:rsidR="00C64050">
        <w:rPr>
          <w:szCs w:val="20"/>
        </w:rPr>
        <w:t xml:space="preserve"> </w:t>
      </w:r>
      <w:r w:rsidRPr="00E013AC">
        <w:rPr>
          <w:szCs w:val="20"/>
        </w:rPr>
        <w:t>the</w:t>
      </w:r>
      <w:r w:rsidR="00C64050">
        <w:rPr>
          <w:szCs w:val="20"/>
        </w:rPr>
        <w:t xml:space="preserve"> </w:t>
      </w:r>
      <w:r w:rsidRPr="00E013AC">
        <w:rPr>
          <w:szCs w:val="20"/>
        </w:rPr>
        <w:t>terms</w:t>
      </w:r>
      <w:r w:rsidR="00C64050">
        <w:rPr>
          <w:szCs w:val="20"/>
        </w:rPr>
        <w:t xml:space="preserve"> </w:t>
      </w:r>
      <w:r w:rsidRPr="00E013AC">
        <w:rPr>
          <w:szCs w:val="20"/>
        </w:rPr>
        <w:t>of”</w:t>
      </w:r>
      <w:r w:rsidR="00C64050">
        <w:rPr>
          <w:szCs w:val="20"/>
        </w:rPr>
        <w:t xml:space="preserve"> </w:t>
      </w:r>
      <w:r w:rsidRPr="00E013AC">
        <w:rPr>
          <w:szCs w:val="20"/>
        </w:rPr>
        <w:t>the</w:t>
      </w:r>
      <w:r w:rsidR="00C64050">
        <w:rPr>
          <w:szCs w:val="20"/>
        </w:rPr>
        <w:t xml:space="preserve"> </w:t>
      </w:r>
      <w:r w:rsidRPr="00E013AC">
        <w:rPr>
          <w:szCs w:val="20"/>
        </w:rPr>
        <w:t>Trust.</w:t>
      </w:r>
      <w:r w:rsidR="00C64050">
        <w:rPr>
          <w:szCs w:val="20"/>
        </w:rPr>
        <w:t xml:space="preserve"> </w:t>
      </w:r>
      <w:r w:rsidRPr="00E013AC">
        <w:rPr>
          <w:rStyle w:val="Emphasis"/>
          <w:szCs w:val="20"/>
        </w:rPr>
        <w:t>Id.</w:t>
      </w:r>
      <w:r w:rsidR="00C64050">
        <w:rPr>
          <w:szCs w:val="20"/>
        </w:rPr>
        <w:t xml:space="preserve"> </w:t>
      </w:r>
      <w:r w:rsidRPr="00E013AC">
        <w:rPr>
          <w:szCs w:val="20"/>
        </w:rPr>
        <w:t>§</w:t>
      </w:r>
      <w:r w:rsidR="00C64050">
        <w:rPr>
          <w:szCs w:val="20"/>
        </w:rPr>
        <w:t xml:space="preserve"> </w:t>
      </w:r>
      <w:r w:rsidRPr="00E013AC">
        <w:rPr>
          <w:szCs w:val="20"/>
        </w:rPr>
        <w:t>110(1).</w:t>
      </w:r>
      <w:r w:rsidR="00C64050">
        <w:rPr>
          <w:szCs w:val="20"/>
        </w:rPr>
        <w:t xml:space="preserve"> </w:t>
      </w:r>
      <w:r w:rsidRPr="00E013AC">
        <w:rPr>
          <w:szCs w:val="20"/>
        </w:rPr>
        <w:t>In</w:t>
      </w:r>
      <w:r w:rsidR="00C64050">
        <w:rPr>
          <w:szCs w:val="20"/>
        </w:rPr>
        <w:t xml:space="preserve"> </w:t>
      </w:r>
      <w:r w:rsidRPr="00E013AC">
        <w:rPr>
          <w:szCs w:val="20"/>
        </w:rPr>
        <w:t>particular,</w:t>
      </w:r>
      <w:r w:rsidR="00C64050">
        <w:rPr>
          <w:szCs w:val="20"/>
        </w:rPr>
        <w:t xml:space="preserve"> </w:t>
      </w:r>
      <w:r w:rsidRPr="00E013AC">
        <w:rPr>
          <w:szCs w:val="20"/>
        </w:rPr>
        <w:t>we</w:t>
      </w:r>
      <w:r w:rsidR="00C64050">
        <w:rPr>
          <w:szCs w:val="20"/>
        </w:rPr>
        <w:t xml:space="preserve"> </w:t>
      </w:r>
      <w:r w:rsidRPr="00E013AC">
        <w:rPr>
          <w:szCs w:val="20"/>
        </w:rPr>
        <w:t>must</w:t>
      </w:r>
      <w:r w:rsidR="00C64050">
        <w:rPr>
          <w:szCs w:val="20"/>
        </w:rPr>
        <w:t xml:space="preserve"> </w:t>
      </w:r>
      <w:r w:rsidRPr="00E013AC">
        <w:rPr>
          <w:szCs w:val="20"/>
        </w:rPr>
        <w:t>determine</w:t>
      </w:r>
      <w:r w:rsidR="00C64050">
        <w:rPr>
          <w:szCs w:val="20"/>
        </w:rPr>
        <w:t xml:space="preserve"> </w:t>
      </w:r>
      <w:r w:rsidRPr="00E013AC">
        <w:rPr>
          <w:szCs w:val="20"/>
        </w:rPr>
        <w:t>whether</w:t>
      </w:r>
      <w:r w:rsidR="00C64050">
        <w:rPr>
          <w:szCs w:val="20"/>
        </w:rPr>
        <w:t xml:space="preserve"> </w:t>
      </w:r>
      <w:r w:rsidRPr="00E013AC">
        <w:rPr>
          <w:szCs w:val="20"/>
        </w:rPr>
        <w:t>a</w:t>
      </w:r>
      <w:r w:rsidR="00C64050">
        <w:rPr>
          <w:szCs w:val="20"/>
        </w:rPr>
        <w:t xml:space="preserve"> </w:t>
      </w:r>
      <w:r w:rsidRPr="00E013AC">
        <w:rPr>
          <w:szCs w:val="20"/>
        </w:rPr>
        <w:t>charitable</w:t>
      </w:r>
      <w:r w:rsidR="00C64050">
        <w:rPr>
          <w:szCs w:val="20"/>
        </w:rPr>
        <w:t xml:space="preserve"> </w:t>
      </w:r>
      <w:r w:rsidRPr="00E013AC">
        <w:rPr>
          <w:szCs w:val="20"/>
        </w:rPr>
        <w:t>organization</w:t>
      </w:r>
      <w:r w:rsidR="00C64050">
        <w:rPr>
          <w:szCs w:val="20"/>
        </w:rPr>
        <w:t xml:space="preserve"> </w:t>
      </w:r>
      <w:r w:rsidRPr="00E013AC">
        <w:rPr>
          <w:szCs w:val="20"/>
        </w:rPr>
        <w:t>satisfies</w:t>
      </w:r>
      <w:r w:rsidR="00C64050">
        <w:rPr>
          <w:szCs w:val="20"/>
        </w:rPr>
        <w:t xml:space="preserve"> </w:t>
      </w:r>
      <w:r w:rsidRPr="00E013AC">
        <w:rPr>
          <w:szCs w:val="20"/>
        </w:rPr>
        <w:t>this</w:t>
      </w:r>
      <w:r w:rsidR="00C64050">
        <w:rPr>
          <w:szCs w:val="20"/>
        </w:rPr>
        <w:t xml:space="preserve"> </w:t>
      </w:r>
      <w:r w:rsidRPr="00E013AC">
        <w:rPr>
          <w:szCs w:val="20"/>
        </w:rPr>
        <w:t>requirement</w:t>
      </w:r>
      <w:r w:rsidR="00C64050">
        <w:rPr>
          <w:szCs w:val="20"/>
        </w:rPr>
        <w:t xml:space="preserve"> </w:t>
      </w:r>
      <w:r w:rsidRPr="00E013AC">
        <w:rPr>
          <w:szCs w:val="20"/>
        </w:rPr>
        <w:t>by</w:t>
      </w:r>
      <w:r w:rsidR="00C64050">
        <w:rPr>
          <w:szCs w:val="20"/>
        </w:rPr>
        <w:t xml:space="preserve"> </w:t>
      </w:r>
      <w:r w:rsidRPr="00E013AC">
        <w:rPr>
          <w:szCs w:val="20"/>
        </w:rPr>
        <w:t>showing</w:t>
      </w:r>
      <w:r w:rsidR="00C64050">
        <w:rPr>
          <w:szCs w:val="20"/>
        </w:rPr>
        <w:t xml:space="preserve"> </w:t>
      </w:r>
      <w:r w:rsidRPr="00E013AC">
        <w:rPr>
          <w:szCs w:val="20"/>
        </w:rPr>
        <w:t>that</w:t>
      </w:r>
      <w:r w:rsidR="00C64050">
        <w:rPr>
          <w:szCs w:val="20"/>
        </w:rPr>
        <w:t xml:space="preserve"> </w:t>
      </w:r>
      <w:r w:rsidRPr="00E013AC">
        <w:rPr>
          <w:szCs w:val="20"/>
        </w:rPr>
        <w:t>it</w:t>
      </w:r>
      <w:r w:rsidR="00C64050">
        <w:rPr>
          <w:szCs w:val="20"/>
        </w:rPr>
        <w:t xml:space="preserve"> </w:t>
      </w:r>
      <w:r w:rsidRPr="00E013AC">
        <w:rPr>
          <w:szCs w:val="20"/>
        </w:rPr>
        <w:t>is</w:t>
      </w:r>
      <w:r w:rsidR="00C64050">
        <w:rPr>
          <w:szCs w:val="20"/>
        </w:rPr>
        <w:t xml:space="preserve"> </w:t>
      </w:r>
      <w:r w:rsidRPr="00E013AC">
        <w:rPr>
          <w:szCs w:val="20"/>
        </w:rPr>
        <w:t>expressly</w:t>
      </w:r>
      <w:r w:rsidR="00C64050">
        <w:rPr>
          <w:szCs w:val="20"/>
        </w:rPr>
        <w:t xml:space="preserve"> </w:t>
      </w:r>
      <w:r w:rsidRPr="00E013AC">
        <w:rPr>
          <w:rStyle w:val="Emphasis"/>
          <w:szCs w:val="20"/>
        </w:rPr>
        <w:t>permitted</w:t>
      </w:r>
      <w:r w:rsidR="00C64050">
        <w:rPr>
          <w:szCs w:val="20"/>
        </w:rPr>
        <w:t xml:space="preserve"> </w:t>
      </w:r>
      <w:r w:rsidRPr="00E013AC">
        <w:rPr>
          <w:szCs w:val="20"/>
        </w:rPr>
        <w:t>to</w:t>
      </w:r>
      <w:r w:rsidR="00C64050">
        <w:rPr>
          <w:szCs w:val="20"/>
        </w:rPr>
        <w:t xml:space="preserve"> </w:t>
      </w:r>
      <w:r w:rsidRPr="00E013AC">
        <w:rPr>
          <w:szCs w:val="20"/>
        </w:rPr>
        <w:t>receive</w:t>
      </w:r>
      <w:r w:rsidR="00C64050">
        <w:rPr>
          <w:szCs w:val="20"/>
        </w:rPr>
        <w:t xml:space="preserve"> </w:t>
      </w:r>
      <w:r w:rsidRPr="00E013AC">
        <w:rPr>
          <w:szCs w:val="20"/>
        </w:rPr>
        <w:t>distributions</w:t>
      </w:r>
      <w:r w:rsidR="00C64050">
        <w:rPr>
          <w:szCs w:val="20"/>
        </w:rPr>
        <w:t xml:space="preserve"> </w:t>
      </w:r>
      <w:r w:rsidRPr="00E013AC">
        <w:rPr>
          <w:szCs w:val="20"/>
        </w:rPr>
        <w:t>from</w:t>
      </w:r>
      <w:r w:rsidR="00C64050">
        <w:rPr>
          <w:szCs w:val="20"/>
        </w:rPr>
        <w:t xml:space="preserve"> </w:t>
      </w:r>
      <w:r w:rsidRPr="00E013AC">
        <w:rPr>
          <w:szCs w:val="20"/>
        </w:rPr>
        <w:t>the</w:t>
      </w:r>
      <w:r w:rsidR="00C64050">
        <w:rPr>
          <w:szCs w:val="20"/>
        </w:rPr>
        <w:t xml:space="preserve"> </w:t>
      </w:r>
      <w:r w:rsidRPr="00E013AC">
        <w:rPr>
          <w:szCs w:val="20"/>
        </w:rPr>
        <w:t>trust</w:t>
      </w:r>
      <w:r w:rsidR="00C64050">
        <w:rPr>
          <w:szCs w:val="20"/>
        </w:rPr>
        <w:t xml:space="preserve"> </w:t>
      </w:r>
      <w:r w:rsidRPr="00E013AC">
        <w:rPr>
          <w:szCs w:val="20"/>
        </w:rPr>
        <w:t>or</w:t>
      </w:r>
      <w:r w:rsidR="00C64050">
        <w:rPr>
          <w:szCs w:val="20"/>
        </w:rPr>
        <w:t xml:space="preserve"> </w:t>
      </w:r>
      <w:r w:rsidRPr="00E013AC">
        <w:rPr>
          <w:szCs w:val="20"/>
        </w:rPr>
        <w:t>whether</w:t>
      </w:r>
      <w:r w:rsidR="00C64050">
        <w:rPr>
          <w:szCs w:val="20"/>
        </w:rPr>
        <w:t xml:space="preserve"> </w:t>
      </w:r>
      <w:r w:rsidRPr="00E013AC">
        <w:rPr>
          <w:szCs w:val="20"/>
        </w:rPr>
        <w:t>a</w:t>
      </w:r>
      <w:r w:rsidR="00C64050">
        <w:rPr>
          <w:szCs w:val="20"/>
        </w:rPr>
        <w:t xml:space="preserve"> </w:t>
      </w:r>
      <w:r w:rsidRPr="00E013AC">
        <w:rPr>
          <w:szCs w:val="20"/>
        </w:rPr>
        <w:t>charitable</w:t>
      </w:r>
      <w:r w:rsidR="00C64050">
        <w:rPr>
          <w:szCs w:val="20"/>
        </w:rPr>
        <w:t xml:space="preserve"> </w:t>
      </w:r>
      <w:r w:rsidRPr="00E013AC">
        <w:rPr>
          <w:szCs w:val="20"/>
        </w:rPr>
        <w:t>organization</w:t>
      </w:r>
      <w:r w:rsidR="00C64050">
        <w:rPr>
          <w:szCs w:val="20"/>
        </w:rPr>
        <w:t xml:space="preserve"> </w:t>
      </w:r>
      <w:r w:rsidRPr="00E013AC">
        <w:rPr>
          <w:szCs w:val="20"/>
        </w:rPr>
        <w:t>must</w:t>
      </w:r>
      <w:r w:rsidR="00C64050">
        <w:rPr>
          <w:szCs w:val="20"/>
        </w:rPr>
        <w:t xml:space="preserve"> </w:t>
      </w:r>
      <w:r w:rsidRPr="00E013AC">
        <w:rPr>
          <w:szCs w:val="20"/>
        </w:rPr>
        <w:t>show</w:t>
      </w:r>
      <w:r w:rsidR="00C64050">
        <w:rPr>
          <w:szCs w:val="20"/>
        </w:rPr>
        <w:t xml:space="preserve"> </w:t>
      </w:r>
      <w:r w:rsidRPr="00E013AC">
        <w:rPr>
          <w:szCs w:val="20"/>
        </w:rPr>
        <w:t>that</w:t>
      </w:r>
      <w:r w:rsidR="00C64050">
        <w:rPr>
          <w:szCs w:val="20"/>
        </w:rPr>
        <w:t xml:space="preserve"> </w:t>
      </w:r>
      <w:r w:rsidRPr="00E013AC">
        <w:rPr>
          <w:szCs w:val="20"/>
        </w:rPr>
        <w:t>it</w:t>
      </w:r>
      <w:r w:rsidR="00C64050">
        <w:rPr>
          <w:szCs w:val="20"/>
        </w:rPr>
        <w:t xml:space="preserve"> </w:t>
      </w:r>
      <w:r w:rsidRPr="00E013AC">
        <w:rPr>
          <w:szCs w:val="20"/>
        </w:rPr>
        <w:t>is</w:t>
      </w:r>
      <w:r w:rsidR="00C64050">
        <w:rPr>
          <w:szCs w:val="20"/>
        </w:rPr>
        <w:t xml:space="preserve"> </w:t>
      </w:r>
      <w:r w:rsidRPr="00E013AC">
        <w:rPr>
          <w:szCs w:val="20"/>
        </w:rPr>
        <w:t>expressly</w:t>
      </w:r>
      <w:r w:rsidR="00C64050">
        <w:rPr>
          <w:szCs w:val="20"/>
        </w:rPr>
        <w:t xml:space="preserve"> </w:t>
      </w:r>
      <w:r w:rsidRPr="00E013AC">
        <w:rPr>
          <w:rStyle w:val="Emphasis"/>
          <w:szCs w:val="20"/>
        </w:rPr>
        <w:t>mandated</w:t>
      </w:r>
      <w:r w:rsidR="00C64050">
        <w:rPr>
          <w:szCs w:val="20"/>
        </w:rPr>
        <w:t xml:space="preserve"> </w:t>
      </w:r>
      <w:r w:rsidRPr="00E013AC">
        <w:rPr>
          <w:szCs w:val="20"/>
        </w:rPr>
        <w:t>to</w:t>
      </w:r>
      <w:r w:rsidR="00C64050">
        <w:rPr>
          <w:szCs w:val="20"/>
        </w:rPr>
        <w:t xml:space="preserve"> </w:t>
      </w:r>
      <w:r w:rsidRPr="00E013AC">
        <w:rPr>
          <w:szCs w:val="20"/>
        </w:rPr>
        <w:t>receive</w:t>
      </w:r>
      <w:r w:rsidR="00C64050">
        <w:rPr>
          <w:szCs w:val="20"/>
        </w:rPr>
        <w:t xml:space="preserve"> </w:t>
      </w:r>
      <w:r w:rsidRPr="00E013AC">
        <w:rPr>
          <w:szCs w:val="20"/>
        </w:rPr>
        <w:t>distributions</w:t>
      </w:r>
      <w:r w:rsidR="00C64050">
        <w:rPr>
          <w:szCs w:val="20"/>
        </w:rPr>
        <w:t xml:space="preserve"> </w:t>
      </w:r>
      <w:r w:rsidRPr="00E013AC">
        <w:rPr>
          <w:szCs w:val="20"/>
        </w:rPr>
        <w:t>from</w:t>
      </w:r>
      <w:r w:rsidR="00C64050">
        <w:rPr>
          <w:szCs w:val="20"/>
        </w:rPr>
        <w:t xml:space="preserve"> </w:t>
      </w:r>
      <w:r w:rsidRPr="00E013AC">
        <w:rPr>
          <w:szCs w:val="20"/>
        </w:rPr>
        <w:t>the</w:t>
      </w:r>
      <w:r w:rsidR="00C64050">
        <w:rPr>
          <w:szCs w:val="20"/>
        </w:rPr>
        <w:t xml:space="preserve"> </w:t>
      </w:r>
      <w:r w:rsidRPr="00E013AC">
        <w:rPr>
          <w:szCs w:val="20"/>
        </w:rPr>
        <w:t>trust.</w:t>
      </w:r>
      <w:r w:rsidR="00C64050">
        <w:rPr>
          <w:szCs w:val="20"/>
        </w:rPr>
        <w:t xml:space="preserve"> </w:t>
      </w:r>
      <w:r w:rsidRPr="00E013AC">
        <w:rPr>
          <w:szCs w:val="20"/>
        </w:rPr>
        <w:t>Because</w:t>
      </w:r>
      <w:r w:rsidR="00C64050">
        <w:rPr>
          <w:szCs w:val="20"/>
        </w:rPr>
        <w:t xml:space="preserve"> </w:t>
      </w:r>
      <w:r w:rsidRPr="00E013AC">
        <w:rPr>
          <w:szCs w:val="20"/>
        </w:rPr>
        <w:t>the</w:t>
      </w:r>
      <w:r w:rsidR="00C64050">
        <w:rPr>
          <w:szCs w:val="20"/>
        </w:rPr>
        <w:t xml:space="preserve"> </w:t>
      </w:r>
      <w:r w:rsidRPr="00E013AC">
        <w:rPr>
          <w:szCs w:val="20"/>
        </w:rPr>
        <w:t>Declaration</w:t>
      </w:r>
      <w:r w:rsidR="00C64050">
        <w:rPr>
          <w:szCs w:val="20"/>
        </w:rPr>
        <w:t xml:space="preserve"> </w:t>
      </w:r>
      <w:r w:rsidRPr="00E013AC">
        <w:rPr>
          <w:szCs w:val="20"/>
        </w:rPr>
        <w:t>of</w:t>
      </w:r>
      <w:r w:rsidR="00C64050">
        <w:rPr>
          <w:szCs w:val="20"/>
        </w:rPr>
        <w:t xml:space="preserve"> </w:t>
      </w:r>
      <w:r w:rsidRPr="00E013AC">
        <w:rPr>
          <w:szCs w:val="20"/>
        </w:rPr>
        <w:t>Trust</w:t>
      </w:r>
      <w:r w:rsidR="00C64050">
        <w:rPr>
          <w:szCs w:val="20"/>
        </w:rPr>
        <w:t xml:space="preserve"> </w:t>
      </w:r>
      <w:r w:rsidRPr="00E013AC">
        <w:rPr>
          <w:szCs w:val="20"/>
        </w:rPr>
        <w:t>expressly</w:t>
      </w:r>
      <w:r w:rsidR="00C64050">
        <w:rPr>
          <w:szCs w:val="20"/>
        </w:rPr>
        <w:t xml:space="preserve"> </w:t>
      </w:r>
      <w:r w:rsidRPr="00E013AC">
        <w:rPr>
          <w:szCs w:val="20"/>
        </w:rPr>
        <w:t>authorizes</w:t>
      </w:r>
      <w:r w:rsidR="00C64050">
        <w:rPr>
          <w:szCs w:val="20"/>
        </w:rPr>
        <w:t xml:space="preserve"> </w:t>
      </w:r>
      <w:r w:rsidRPr="00E013AC">
        <w:rPr>
          <w:szCs w:val="20"/>
        </w:rPr>
        <w:t>the</w:t>
      </w:r>
      <w:r w:rsidR="00C64050">
        <w:rPr>
          <w:szCs w:val="20"/>
        </w:rPr>
        <w:t xml:space="preserve"> </w:t>
      </w:r>
      <w:r w:rsidRPr="00E013AC">
        <w:rPr>
          <w:szCs w:val="20"/>
        </w:rPr>
        <w:t>Trustees</w:t>
      </w:r>
      <w:r w:rsidR="00C64050">
        <w:rPr>
          <w:szCs w:val="20"/>
        </w:rPr>
        <w:t xml:space="preserve"> </w:t>
      </w:r>
      <w:r w:rsidRPr="00E013AC">
        <w:rPr>
          <w:szCs w:val="20"/>
        </w:rPr>
        <w:t>to</w:t>
      </w:r>
      <w:r w:rsidR="00C64050">
        <w:rPr>
          <w:szCs w:val="20"/>
        </w:rPr>
        <w:t xml:space="preserve"> </w:t>
      </w:r>
      <w:r w:rsidRPr="00E013AC">
        <w:rPr>
          <w:szCs w:val="20"/>
        </w:rPr>
        <w:t>make</w:t>
      </w:r>
      <w:r w:rsidR="00C64050">
        <w:rPr>
          <w:szCs w:val="20"/>
        </w:rPr>
        <w:t xml:space="preserve"> </w:t>
      </w:r>
      <w:r w:rsidRPr="00E013AC">
        <w:rPr>
          <w:szCs w:val="20"/>
        </w:rPr>
        <w:t>distributions</w:t>
      </w:r>
      <w:r w:rsidR="00C64050">
        <w:rPr>
          <w:szCs w:val="20"/>
        </w:rPr>
        <w:t xml:space="preserve"> </w:t>
      </w:r>
      <w:r w:rsidRPr="00E013AC">
        <w:rPr>
          <w:szCs w:val="20"/>
        </w:rPr>
        <w:t>to</w:t>
      </w:r>
      <w:r w:rsidR="00C64050">
        <w:rPr>
          <w:szCs w:val="20"/>
        </w:rPr>
        <w:t xml:space="preserve"> </w:t>
      </w:r>
      <w:r w:rsidRPr="00E013AC">
        <w:rPr>
          <w:szCs w:val="20"/>
        </w:rPr>
        <w:t>Seal</w:t>
      </w:r>
      <w:r w:rsidR="00C64050">
        <w:rPr>
          <w:szCs w:val="20"/>
        </w:rPr>
        <w:t xml:space="preserve"> </w:t>
      </w:r>
      <w:r w:rsidRPr="00E013AC">
        <w:rPr>
          <w:szCs w:val="20"/>
        </w:rPr>
        <w:t>Cove,</w:t>
      </w:r>
      <w:r w:rsidR="00C64050">
        <w:rPr>
          <w:szCs w:val="20"/>
        </w:rPr>
        <w:t xml:space="preserve"> </w:t>
      </w:r>
      <w:r w:rsidRPr="00E013AC">
        <w:rPr>
          <w:szCs w:val="20"/>
        </w:rPr>
        <w:t>but</w:t>
      </w:r>
      <w:r w:rsidR="00C64050">
        <w:rPr>
          <w:szCs w:val="20"/>
        </w:rPr>
        <w:t xml:space="preserve"> </w:t>
      </w:r>
      <w:r w:rsidRPr="00E013AC">
        <w:rPr>
          <w:szCs w:val="20"/>
        </w:rPr>
        <w:t>does</w:t>
      </w:r>
      <w:r w:rsidR="00C64050">
        <w:rPr>
          <w:szCs w:val="20"/>
        </w:rPr>
        <w:t xml:space="preserve"> </w:t>
      </w:r>
      <w:r w:rsidRPr="00E013AC">
        <w:rPr>
          <w:szCs w:val="20"/>
        </w:rPr>
        <w:t>not</w:t>
      </w:r>
      <w:r w:rsidR="00C64050">
        <w:rPr>
          <w:szCs w:val="20"/>
        </w:rPr>
        <w:t xml:space="preserve"> </w:t>
      </w:r>
      <w:r w:rsidRPr="00E013AC">
        <w:rPr>
          <w:szCs w:val="20"/>
        </w:rPr>
        <w:t>require</w:t>
      </w:r>
      <w:r w:rsidR="00C64050">
        <w:rPr>
          <w:szCs w:val="20"/>
        </w:rPr>
        <w:t xml:space="preserve"> </w:t>
      </w:r>
      <w:r w:rsidRPr="00E013AC">
        <w:rPr>
          <w:szCs w:val="20"/>
        </w:rPr>
        <w:t>them</w:t>
      </w:r>
      <w:r w:rsidR="00C64050">
        <w:rPr>
          <w:szCs w:val="20"/>
        </w:rPr>
        <w:t xml:space="preserve"> </w:t>
      </w:r>
      <w:r w:rsidRPr="00E013AC">
        <w:rPr>
          <w:szCs w:val="20"/>
        </w:rPr>
        <w:t>to</w:t>
      </w:r>
      <w:r w:rsidR="00C64050">
        <w:rPr>
          <w:szCs w:val="20"/>
        </w:rPr>
        <w:t xml:space="preserve"> </w:t>
      </w:r>
      <w:r w:rsidRPr="00E013AC">
        <w:rPr>
          <w:szCs w:val="20"/>
        </w:rPr>
        <w:t>do</w:t>
      </w:r>
      <w:r w:rsidR="00C64050">
        <w:rPr>
          <w:szCs w:val="20"/>
        </w:rPr>
        <w:t xml:space="preserve"> </w:t>
      </w:r>
      <w:r w:rsidRPr="00E013AC">
        <w:rPr>
          <w:szCs w:val="20"/>
        </w:rPr>
        <w:t>so,</w:t>
      </w:r>
      <w:r w:rsidR="00C64050">
        <w:rPr>
          <w:szCs w:val="20"/>
        </w:rPr>
        <w:t xml:space="preserve"> </w:t>
      </w:r>
      <w:r w:rsidRPr="00E013AC">
        <w:rPr>
          <w:szCs w:val="20"/>
        </w:rPr>
        <w:t>the</w:t>
      </w:r>
      <w:r w:rsidR="00C64050">
        <w:rPr>
          <w:szCs w:val="20"/>
        </w:rPr>
        <w:t xml:space="preserve"> </w:t>
      </w:r>
      <w:r w:rsidRPr="00E013AC">
        <w:rPr>
          <w:szCs w:val="20"/>
        </w:rPr>
        <w:t>resolution</w:t>
      </w:r>
      <w:r w:rsidR="00C64050">
        <w:rPr>
          <w:szCs w:val="20"/>
        </w:rPr>
        <w:t xml:space="preserve"> </w:t>
      </w:r>
      <w:r w:rsidRPr="00E013AC">
        <w:rPr>
          <w:szCs w:val="20"/>
        </w:rPr>
        <w:t>of</w:t>
      </w:r>
      <w:r w:rsidR="00C64050">
        <w:rPr>
          <w:szCs w:val="20"/>
        </w:rPr>
        <w:t xml:space="preserve"> </w:t>
      </w:r>
      <w:r w:rsidRPr="00E013AC">
        <w:rPr>
          <w:szCs w:val="20"/>
        </w:rPr>
        <w:t>this</w:t>
      </w:r>
      <w:r w:rsidR="00C64050">
        <w:rPr>
          <w:szCs w:val="20"/>
        </w:rPr>
        <w:t xml:space="preserve"> </w:t>
      </w:r>
      <w:r w:rsidRPr="00E013AC">
        <w:rPr>
          <w:szCs w:val="20"/>
        </w:rPr>
        <w:t>appeal</w:t>
      </w:r>
      <w:r w:rsidR="00C64050">
        <w:rPr>
          <w:szCs w:val="20"/>
        </w:rPr>
        <w:t xml:space="preserve"> </w:t>
      </w:r>
      <w:r w:rsidRPr="00E013AC">
        <w:rPr>
          <w:szCs w:val="20"/>
        </w:rPr>
        <w:t>turns</w:t>
      </w:r>
      <w:r w:rsidR="00C64050">
        <w:rPr>
          <w:szCs w:val="20"/>
        </w:rPr>
        <w:t xml:space="preserve"> </w:t>
      </w:r>
      <w:r w:rsidRPr="00E013AC">
        <w:rPr>
          <w:szCs w:val="20"/>
        </w:rPr>
        <w:t>on</w:t>
      </w:r>
      <w:r w:rsidR="00C64050">
        <w:rPr>
          <w:szCs w:val="20"/>
        </w:rPr>
        <w:t xml:space="preserve"> </w:t>
      </w:r>
      <w:r w:rsidRPr="00E013AC">
        <w:rPr>
          <w:szCs w:val="20"/>
        </w:rPr>
        <w:t>the</w:t>
      </w:r>
      <w:r w:rsidR="00C64050">
        <w:rPr>
          <w:szCs w:val="20"/>
        </w:rPr>
        <w:t xml:space="preserve"> </w:t>
      </w:r>
      <w:r w:rsidRPr="00E013AC">
        <w:rPr>
          <w:szCs w:val="20"/>
        </w:rPr>
        <w:t>meaning</w:t>
      </w:r>
      <w:r w:rsidR="00C64050">
        <w:rPr>
          <w:szCs w:val="20"/>
        </w:rPr>
        <w:t xml:space="preserve"> </w:t>
      </w:r>
      <w:r w:rsidRPr="00E013AC">
        <w:rPr>
          <w:szCs w:val="20"/>
        </w:rPr>
        <w:t>of</w:t>
      </w:r>
      <w:r w:rsidR="00C64050">
        <w:rPr>
          <w:szCs w:val="20"/>
        </w:rPr>
        <w:t xml:space="preserve"> </w:t>
      </w:r>
      <w:r w:rsidRPr="00E013AC">
        <w:rPr>
          <w:szCs w:val="20"/>
        </w:rPr>
        <w:t>the</w:t>
      </w:r>
      <w:r w:rsidR="00C64050">
        <w:rPr>
          <w:szCs w:val="20"/>
        </w:rPr>
        <w:t xml:space="preserve"> </w:t>
      </w:r>
      <w:r w:rsidRPr="00E013AC">
        <w:rPr>
          <w:szCs w:val="20"/>
        </w:rPr>
        <w:t>word</w:t>
      </w:r>
      <w:r w:rsidR="00C64050">
        <w:rPr>
          <w:szCs w:val="20"/>
        </w:rPr>
        <w:t xml:space="preserve"> </w:t>
      </w:r>
      <w:r w:rsidRPr="00E013AC">
        <w:rPr>
          <w:szCs w:val="20"/>
        </w:rPr>
        <w:t>“designated.”</w:t>
      </w:r>
    </w:p>
    <w:p w:rsidR="00E013AC" w:rsidRPr="00E013AC" w:rsidRDefault="00E013AC" w:rsidP="00E013AC">
      <w:pPr>
        <w:pStyle w:val="QS10"/>
        <w:rPr>
          <w:szCs w:val="20"/>
        </w:rPr>
      </w:pPr>
      <w:r w:rsidRPr="00E013AC">
        <w:rPr>
          <w:szCs w:val="20"/>
        </w:rPr>
        <w:t>In</w:t>
      </w:r>
      <w:r w:rsidR="00C64050">
        <w:rPr>
          <w:szCs w:val="20"/>
        </w:rPr>
        <w:t xml:space="preserve"> </w:t>
      </w:r>
      <w:r w:rsidRPr="00E013AC">
        <w:rPr>
          <w:szCs w:val="20"/>
        </w:rPr>
        <w:t>statutory</w:t>
      </w:r>
      <w:r w:rsidR="00C64050">
        <w:rPr>
          <w:szCs w:val="20"/>
        </w:rPr>
        <w:t xml:space="preserve"> </w:t>
      </w:r>
      <w:r w:rsidRPr="00E013AC">
        <w:rPr>
          <w:szCs w:val="20"/>
        </w:rPr>
        <w:t>interpretation,</w:t>
      </w:r>
      <w:r w:rsidR="00C64050">
        <w:rPr>
          <w:szCs w:val="20"/>
        </w:rPr>
        <w:t xml:space="preserve"> </w:t>
      </w:r>
      <w:r w:rsidRPr="00E013AC">
        <w:rPr>
          <w:szCs w:val="20"/>
        </w:rPr>
        <w:t>we</w:t>
      </w:r>
      <w:r w:rsidR="00C64050">
        <w:rPr>
          <w:szCs w:val="20"/>
        </w:rPr>
        <w:t xml:space="preserve"> </w:t>
      </w:r>
      <w:r w:rsidRPr="00E013AC">
        <w:rPr>
          <w:szCs w:val="20"/>
        </w:rPr>
        <w:t>first</w:t>
      </w:r>
      <w:r w:rsidR="00C64050">
        <w:rPr>
          <w:szCs w:val="20"/>
        </w:rPr>
        <w:t xml:space="preserve"> </w:t>
      </w:r>
      <w:r w:rsidRPr="00E013AC">
        <w:rPr>
          <w:szCs w:val="20"/>
        </w:rPr>
        <w:t>examine</w:t>
      </w:r>
      <w:r w:rsidR="00C64050">
        <w:rPr>
          <w:szCs w:val="20"/>
        </w:rPr>
        <w:t xml:space="preserve"> </w:t>
      </w:r>
      <w:r w:rsidRPr="00E013AC">
        <w:rPr>
          <w:szCs w:val="20"/>
        </w:rPr>
        <w:t>“the</w:t>
      </w:r>
      <w:r w:rsidR="00C64050">
        <w:rPr>
          <w:szCs w:val="20"/>
        </w:rPr>
        <w:t xml:space="preserve"> </w:t>
      </w:r>
      <w:r w:rsidRPr="00E013AC">
        <w:rPr>
          <w:szCs w:val="20"/>
        </w:rPr>
        <w:t>plain</w:t>
      </w:r>
      <w:r w:rsidR="00C64050">
        <w:rPr>
          <w:szCs w:val="20"/>
        </w:rPr>
        <w:t xml:space="preserve"> </w:t>
      </w:r>
      <w:r w:rsidRPr="00E013AC">
        <w:rPr>
          <w:szCs w:val="20"/>
        </w:rPr>
        <w:t>meaning</w:t>
      </w:r>
      <w:r w:rsidR="00C64050">
        <w:rPr>
          <w:szCs w:val="20"/>
        </w:rPr>
        <w:t xml:space="preserve"> </w:t>
      </w:r>
      <w:r w:rsidRPr="00E013AC">
        <w:rPr>
          <w:szCs w:val="20"/>
        </w:rPr>
        <w:t>of</w:t>
      </w:r>
      <w:r w:rsidR="00C64050">
        <w:rPr>
          <w:szCs w:val="20"/>
        </w:rPr>
        <w:t xml:space="preserve"> </w:t>
      </w:r>
      <w:r w:rsidRPr="00E013AC">
        <w:rPr>
          <w:szCs w:val="20"/>
        </w:rPr>
        <w:t>the</w:t>
      </w:r>
      <w:r w:rsidR="00C64050">
        <w:rPr>
          <w:szCs w:val="20"/>
        </w:rPr>
        <w:t xml:space="preserve"> </w:t>
      </w:r>
      <w:r w:rsidRPr="00E013AC">
        <w:rPr>
          <w:szCs w:val="20"/>
        </w:rPr>
        <w:t>statutory</w:t>
      </w:r>
      <w:r w:rsidR="00C64050">
        <w:rPr>
          <w:szCs w:val="20"/>
        </w:rPr>
        <w:t xml:space="preserve"> </w:t>
      </w:r>
      <w:r w:rsidRPr="00E013AC">
        <w:rPr>
          <w:szCs w:val="20"/>
        </w:rPr>
        <w:t>language</w:t>
      </w:r>
      <w:r w:rsidR="00C64050">
        <w:rPr>
          <w:szCs w:val="20"/>
        </w:rPr>
        <w:t xml:space="preserve"> </w:t>
      </w:r>
      <w:r w:rsidRPr="00E013AC">
        <w:rPr>
          <w:szCs w:val="20"/>
        </w:rPr>
        <w:t>in</w:t>
      </w:r>
      <w:r w:rsidR="00C64050">
        <w:rPr>
          <w:szCs w:val="20"/>
        </w:rPr>
        <w:t xml:space="preserve"> </w:t>
      </w:r>
      <w:r w:rsidRPr="00E013AC">
        <w:rPr>
          <w:szCs w:val="20"/>
        </w:rPr>
        <w:t>the</w:t>
      </w:r>
      <w:r w:rsidR="00C64050">
        <w:rPr>
          <w:szCs w:val="20"/>
        </w:rPr>
        <w:t xml:space="preserve"> </w:t>
      </w:r>
      <w:r w:rsidRPr="00E013AC">
        <w:rPr>
          <w:szCs w:val="20"/>
        </w:rPr>
        <w:t>context</w:t>
      </w:r>
      <w:r w:rsidR="00C64050">
        <w:rPr>
          <w:szCs w:val="20"/>
        </w:rPr>
        <w:t xml:space="preserve"> </w:t>
      </w:r>
      <w:r w:rsidRPr="00E013AC">
        <w:rPr>
          <w:szCs w:val="20"/>
        </w:rPr>
        <w:t>of</w:t>
      </w:r>
      <w:r w:rsidR="00C64050">
        <w:rPr>
          <w:szCs w:val="20"/>
        </w:rPr>
        <w:t xml:space="preserve"> </w:t>
      </w:r>
      <w:r w:rsidRPr="00E013AC">
        <w:rPr>
          <w:szCs w:val="20"/>
        </w:rPr>
        <w:t>the</w:t>
      </w:r>
      <w:r w:rsidR="00C64050">
        <w:rPr>
          <w:szCs w:val="20"/>
        </w:rPr>
        <w:t xml:space="preserve"> </w:t>
      </w:r>
      <w:r w:rsidRPr="00E013AC">
        <w:rPr>
          <w:szCs w:val="20"/>
        </w:rPr>
        <w:t>whole</w:t>
      </w:r>
      <w:r w:rsidR="00C64050">
        <w:rPr>
          <w:szCs w:val="20"/>
        </w:rPr>
        <w:t xml:space="preserve"> </w:t>
      </w:r>
      <w:r w:rsidRPr="00E013AC">
        <w:rPr>
          <w:szCs w:val="20"/>
        </w:rPr>
        <w:t>statutory</w:t>
      </w:r>
      <w:r w:rsidR="00C64050">
        <w:rPr>
          <w:szCs w:val="20"/>
        </w:rPr>
        <w:t xml:space="preserve"> </w:t>
      </w:r>
      <w:r w:rsidRPr="00E013AC">
        <w:rPr>
          <w:szCs w:val="20"/>
        </w:rPr>
        <w:t>scheme.”</w:t>
      </w:r>
      <w:r w:rsidR="00C64050">
        <w:rPr>
          <w:szCs w:val="20"/>
        </w:rPr>
        <w:t xml:space="preserve"> </w:t>
      </w:r>
      <w:r w:rsidRPr="00E013AC">
        <w:rPr>
          <w:rStyle w:val="Emphasis"/>
          <w:szCs w:val="20"/>
        </w:rPr>
        <w:t>Sunshine</w:t>
      </w:r>
      <w:r w:rsidR="00C64050">
        <w:rPr>
          <w:rStyle w:val="Emphasis"/>
          <w:szCs w:val="20"/>
        </w:rPr>
        <w:t xml:space="preserve"> </w:t>
      </w:r>
      <w:r w:rsidRPr="00E013AC">
        <w:rPr>
          <w:rStyle w:val="Emphasis"/>
          <w:szCs w:val="20"/>
        </w:rPr>
        <w:t>v.</w:t>
      </w:r>
      <w:r w:rsidR="00C64050">
        <w:rPr>
          <w:rStyle w:val="Emphasis"/>
          <w:szCs w:val="20"/>
        </w:rPr>
        <w:t xml:space="preserve"> </w:t>
      </w:r>
      <w:r w:rsidRPr="00E013AC">
        <w:rPr>
          <w:rStyle w:val="Emphasis"/>
          <w:szCs w:val="20"/>
        </w:rPr>
        <w:t>Brett</w:t>
      </w:r>
      <w:r w:rsidRPr="00E013AC">
        <w:rPr>
          <w:szCs w:val="20"/>
        </w:rPr>
        <w:t>,</w:t>
      </w:r>
      <w:r w:rsidR="00C64050">
        <w:rPr>
          <w:szCs w:val="20"/>
        </w:rPr>
        <w:t xml:space="preserve"> </w:t>
      </w:r>
      <w:r w:rsidRPr="00E013AC">
        <w:rPr>
          <w:szCs w:val="20"/>
        </w:rPr>
        <w:t>2014</w:t>
      </w:r>
      <w:r w:rsidR="00C64050">
        <w:rPr>
          <w:szCs w:val="20"/>
        </w:rPr>
        <w:t xml:space="preserve"> </w:t>
      </w:r>
      <w:r w:rsidRPr="00E013AC">
        <w:rPr>
          <w:szCs w:val="20"/>
        </w:rPr>
        <w:t>ME</w:t>
      </w:r>
      <w:r w:rsidR="00C64050">
        <w:rPr>
          <w:szCs w:val="20"/>
        </w:rPr>
        <w:t xml:space="preserve"> </w:t>
      </w:r>
      <w:r w:rsidRPr="00E013AC">
        <w:rPr>
          <w:szCs w:val="20"/>
        </w:rPr>
        <w:t>146,</w:t>
      </w:r>
      <w:r w:rsidR="00C64050">
        <w:rPr>
          <w:szCs w:val="20"/>
        </w:rPr>
        <w:t xml:space="preserve"> </w:t>
      </w:r>
      <w:r w:rsidRPr="00E013AC">
        <w:rPr>
          <w:szCs w:val="20"/>
        </w:rPr>
        <w:t>¶</w:t>
      </w:r>
      <w:r w:rsidR="00C64050">
        <w:rPr>
          <w:szCs w:val="20"/>
        </w:rPr>
        <w:t xml:space="preserve"> </w:t>
      </w:r>
      <w:r w:rsidRPr="00E013AC">
        <w:rPr>
          <w:szCs w:val="20"/>
        </w:rPr>
        <w:t>13,</w:t>
      </w:r>
      <w:r w:rsidR="00C64050">
        <w:rPr>
          <w:szCs w:val="20"/>
        </w:rPr>
        <w:t xml:space="preserve"> </w:t>
      </w:r>
      <w:r w:rsidRPr="00E013AC">
        <w:rPr>
          <w:szCs w:val="20"/>
        </w:rPr>
        <w:t>106</w:t>
      </w:r>
      <w:r w:rsidR="00C64050">
        <w:rPr>
          <w:szCs w:val="20"/>
        </w:rPr>
        <w:t xml:space="preserve"> </w:t>
      </w:r>
      <w:r w:rsidRPr="00E013AC">
        <w:rPr>
          <w:szCs w:val="20"/>
        </w:rPr>
        <w:t>A.3d</w:t>
      </w:r>
      <w:r w:rsidR="00C64050">
        <w:rPr>
          <w:szCs w:val="20"/>
        </w:rPr>
        <w:t xml:space="preserve"> </w:t>
      </w:r>
      <w:r w:rsidRPr="00E013AC">
        <w:rPr>
          <w:szCs w:val="20"/>
        </w:rPr>
        <w:t>1123.</w:t>
      </w:r>
      <w:r w:rsidR="00C64050">
        <w:rPr>
          <w:szCs w:val="20"/>
        </w:rPr>
        <w:t xml:space="preserve"> </w:t>
      </w:r>
      <w:r w:rsidRPr="00E013AC">
        <w:rPr>
          <w:szCs w:val="20"/>
        </w:rPr>
        <w:t>“Only</w:t>
      </w:r>
      <w:r w:rsidR="00C64050">
        <w:rPr>
          <w:szCs w:val="20"/>
        </w:rPr>
        <w:t xml:space="preserve"> </w:t>
      </w:r>
      <w:r w:rsidRPr="00E013AC">
        <w:rPr>
          <w:szCs w:val="20"/>
        </w:rPr>
        <w:t>if</w:t>
      </w:r>
      <w:r w:rsidR="00C64050">
        <w:rPr>
          <w:szCs w:val="20"/>
        </w:rPr>
        <w:t xml:space="preserve"> </w:t>
      </w:r>
      <w:r w:rsidRPr="00E013AC">
        <w:rPr>
          <w:szCs w:val="20"/>
        </w:rPr>
        <w:t>the</w:t>
      </w:r>
      <w:r w:rsidR="00C64050">
        <w:rPr>
          <w:szCs w:val="20"/>
        </w:rPr>
        <w:t xml:space="preserve"> </w:t>
      </w:r>
      <w:r w:rsidRPr="00E013AC">
        <w:rPr>
          <w:szCs w:val="20"/>
        </w:rPr>
        <w:t>statutory</w:t>
      </w:r>
      <w:r w:rsidR="00C64050">
        <w:rPr>
          <w:szCs w:val="20"/>
        </w:rPr>
        <w:t xml:space="preserve"> </w:t>
      </w:r>
      <w:r w:rsidRPr="00E013AC">
        <w:rPr>
          <w:szCs w:val="20"/>
        </w:rPr>
        <w:t>language</w:t>
      </w:r>
      <w:r w:rsidR="00C64050">
        <w:rPr>
          <w:szCs w:val="20"/>
        </w:rPr>
        <w:t xml:space="preserve"> </w:t>
      </w:r>
      <w:r w:rsidRPr="00E013AC">
        <w:rPr>
          <w:szCs w:val="20"/>
        </w:rPr>
        <w:t>is</w:t>
      </w:r>
      <w:r w:rsidR="00C64050">
        <w:rPr>
          <w:szCs w:val="20"/>
        </w:rPr>
        <w:t xml:space="preserve"> </w:t>
      </w:r>
      <w:r w:rsidRPr="00E013AC">
        <w:rPr>
          <w:szCs w:val="20"/>
        </w:rPr>
        <w:t>ambiguous—that</w:t>
      </w:r>
      <w:r w:rsidR="00C64050">
        <w:rPr>
          <w:szCs w:val="20"/>
        </w:rPr>
        <w:t xml:space="preserve"> </w:t>
      </w:r>
      <w:r w:rsidRPr="00E013AC">
        <w:rPr>
          <w:szCs w:val="20"/>
        </w:rPr>
        <w:t>is,</w:t>
      </w:r>
      <w:r w:rsidR="00C64050">
        <w:rPr>
          <w:szCs w:val="20"/>
        </w:rPr>
        <w:t xml:space="preserve"> </w:t>
      </w:r>
      <w:r w:rsidRPr="00E013AC">
        <w:rPr>
          <w:szCs w:val="20"/>
        </w:rPr>
        <w:t>reasonably</w:t>
      </w:r>
      <w:r w:rsidR="00C64050">
        <w:rPr>
          <w:szCs w:val="20"/>
        </w:rPr>
        <w:t xml:space="preserve"> </w:t>
      </w:r>
      <w:r w:rsidRPr="00E013AC">
        <w:rPr>
          <w:szCs w:val="20"/>
        </w:rPr>
        <w:t>susceptible</w:t>
      </w:r>
      <w:r w:rsidR="00C64050">
        <w:rPr>
          <w:szCs w:val="20"/>
        </w:rPr>
        <w:t xml:space="preserve"> </w:t>
      </w:r>
      <w:r w:rsidRPr="00E013AC">
        <w:rPr>
          <w:szCs w:val="20"/>
        </w:rPr>
        <w:t>to</w:t>
      </w:r>
      <w:r w:rsidR="00C64050">
        <w:rPr>
          <w:szCs w:val="20"/>
        </w:rPr>
        <w:t xml:space="preserve"> </w:t>
      </w:r>
      <w:r w:rsidRPr="00E013AC">
        <w:rPr>
          <w:szCs w:val="20"/>
        </w:rPr>
        <w:t>more</w:t>
      </w:r>
      <w:r w:rsidR="00C64050">
        <w:rPr>
          <w:szCs w:val="20"/>
        </w:rPr>
        <w:t xml:space="preserve"> </w:t>
      </w:r>
      <w:r w:rsidRPr="00E013AC">
        <w:rPr>
          <w:szCs w:val="20"/>
        </w:rPr>
        <w:t>than</w:t>
      </w:r>
      <w:r w:rsidR="00C64050">
        <w:rPr>
          <w:szCs w:val="20"/>
        </w:rPr>
        <w:t xml:space="preserve"> </w:t>
      </w:r>
      <w:r w:rsidRPr="00E013AC">
        <w:rPr>
          <w:szCs w:val="20"/>
        </w:rPr>
        <w:t>one</w:t>
      </w:r>
      <w:r w:rsidR="00C64050">
        <w:rPr>
          <w:szCs w:val="20"/>
        </w:rPr>
        <w:t xml:space="preserve"> </w:t>
      </w:r>
      <w:r w:rsidRPr="00E013AC">
        <w:rPr>
          <w:szCs w:val="20"/>
        </w:rPr>
        <w:t>interpretation—will</w:t>
      </w:r>
      <w:r w:rsidR="00C64050">
        <w:rPr>
          <w:szCs w:val="20"/>
        </w:rPr>
        <w:t xml:space="preserve"> </w:t>
      </w:r>
      <w:r w:rsidRPr="00E013AC">
        <w:rPr>
          <w:szCs w:val="20"/>
        </w:rPr>
        <w:t>we</w:t>
      </w:r>
      <w:r w:rsidR="00C64050">
        <w:rPr>
          <w:szCs w:val="20"/>
        </w:rPr>
        <w:t xml:space="preserve"> </w:t>
      </w:r>
      <w:r w:rsidRPr="00E013AC">
        <w:rPr>
          <w:szCs w:val="20"/>
        </w:rPr>
        <w:t>consider</w:t>
      </w:r>
      <w:r w:rsidR="00C64050">
        <w:rPr>
          <w:szCs w:val="20"/>
        </w:rPr>
        <w:t xml:space="preserve"> </w:t>
      </w:r>
      <w:r w:rsidRPr="00E013AC">
        <w:rPr>
          <w:szCs w:val="20"/>
        </w:rPr>
        <w:t>other</w:t>
      </w:r>
      <w:r w:rsidR="00C64050">
        <w:rPr>
          <w:szCs w:val="20"/>
        </w:rPr>
        <w:t xml:space="preserve"> </w:t>
      </w:r>
      <w:r w:rsidRPr="00E013AC">
        <w:rPr>
          <w:szCs w:val="20"/>
        </w:rPr>
        <w:t>indicia</w:t>
      </w:r>
      <w:r w:rsidR="00C64050">
        <w:rPr>
          <w:szCs w:val="20"/>
        </w:rPr>
        <w:t xml:space="preserve"> </w:t>
      </w:r>
      <w:r w:rsidRPr="00E013AC">
        <w:rPr>
          <w:szCs w:val="20"/>
        </w:rPr>
        <w:t>of</w:t>
      </w:r>
      <w:r w:rsidR="00C64050">
        <w:rPr>
          <w:szCs w:val="20"/>
        </w:rPr>
        <w:t xml:space="preserve"> </w:t>
      </w:r>
      <w:r w:rsidRPr="00E013AC">
        <w:rPr>
          <w:szCs w:val="20"/>
        </w:rPr>
        <w:t>legislative</w:t>
      </w:r>
      <w:r w:rsidR="00C64050">
        <w:rPr>
          <w:szCs w:val="20"/>
        </w:rPr>
        <w:t xml:space="preserve"> </w:t>
      </w:r>
      <w:r w:rsidRPr="00E013AC">
        <w:rPr>
          <w:szCs w:val="20"/>
        </w:rPr>
        <w:t>intent.”</w:t>
      </w:r>
      <w:r w:rsidR="00C64050">
        <w:rPr>
          <w:szCs w:val="20"/>
        </w:rPr>
        <w:t xml:space="preserve"> </w:t>
      </w:r>
      <w:hyperlink r:id="rId420" w:history="1">
        <w:r w:rsidRPr="00E013AC">
          <w:rPr>
            <w:rStyle w:val="Emphasis"/>
            <w:szCs w:val="20"/>
          </w:rPr>
          <w:t>Id.</w:t>
        </w:r>
      </w:hyperlink>
    </w:p>
    <w:p w:rsidR="00E013AC" w:rsidRPr="00E013AC" w:rsidRDefault="00E013AC" w:rsidP="00E013AC">
      <w:pPr>
        <w:pStyle w:val="QS10"/>
        <w:rPr>
          <w:szCs w:val="20"/>
        </w:rPr>
      </w:pPr>
      <w:r w:rsidRPr="00E013AC">
        <w:rPr>
          <w:szCs w:val="20"/>
        </w:rPr>
        <w:t>The</w:t>
      </w:r>
      <w:r w:rsidR="00C64050">
        <w:rPr>
          <w:szCs w:val="20"/>
        </w:rPr>
        <w:t xml:space="preserve"> </w:t>
      </w:r>
      <w:r w:rsidRPr="00E013AC">
        <w:rPr>
          <w:szCs w:val="20"/>
        </w:rPr>
        <w:t>meaning</w:t>
      </w:r>
      <w:r w:rsidR="00C64050">
        <w:rPr>
          <w:szCs w:val="20"/>
        </w:rPr>
        <w:t xml:space="preserve"> </w:t>
      </w:r>
      <w:r w:rsidRPr="00E013AC">
        <w:rPr>
          <w:szCs w:val="20"/>
        </w:rPr>
        <w:t>of</w:t>
      </w:r>
      <w:r w:rsidR="00C64050">
        <w:rPr>
          <w:szCs w:val="20"/>
        </w:rPr>
        <w:t xml:space="preserve"> </w:t>
      </w:r>
      <w:r w:rsidRPr="00E013AC">
        <w:rPr>
          <w:szCs w:val="20"/>
        </w:rPr>
        <w:t>18-B</w:t>
      </w:r>
      <w:r w:rsidR="00C64050">
        <w:rPr>
          <w:szCs w:val="20"/>
        </w:rPr>
        <w:t xml:space="preserve"> </w:t>
      </w:r>
      <w:r w:rsidRPr="00E013AC">
        <w:rPr>
          <w:szCs w:val="20"/>
        </w:rPr>
        <w:t>M.R.S.</w:t>
      </w:r>
      <w:r w:rsidR="00C64050">
        <w:rPr>
          <w:szCs w:val="20"/>
        </w:rPr>
        <w:t xml:space="preserve"> </w:t>
      </w:r>
      <w:r w:rsidRPr="00E013AC">
        <w:rPr>
          <w:szCs w:val="20"/>
        </w:rPr>
        <w:t>§</w:t>
      </w:r>
      <w:r w:rsidR="00C64050">
        <w:rPr>
          <w:szCs w:val="20"/>
        </w:rPr>
        <w:t xml:space="preserve"> </w:t>
      </w:r>
      <w:r w:rsidRPr="00E013AC">
        <w:rPr>
          <w:szCs w:val="20"/>
        </w:rPr>
        <w:t>110(1)</w:t>
      </w:r>
      <w:r w:rsidR="00C64050">
        <w:rPr>
          <w:szCs w:val="20"/>
        </w:rPr>
        <w:t xml:space="preserve"> </w:t>
      </w:r>
      <w:r w:rsidRPr="00E013AC">
        <w:rPr>
          <w:szCs w:val="20"/>
        </w:rPr>
        <w:t>is</w:t>
      </w:r>
      <w:r w:rsidR="00C64050">
        <w:rPr>
          <w:szCs w:val="20"/>
        </w:rPr>
        <w:t xml:space="preserve"> </w:t>
      </w:r>
      <w:r w:rsidRPr="00E013AC">
        <w:rPr>
          <w:szCs w:val="20"/>
        </w:rPr>
        <w:t>established</w:t>
      </w:r>
      <w:r w:rsidR="00C64050">
        <w:rPr>
          <w:szCs w:val="20"/>
        </w:rPr>
        <w:t xml:space="preserve"> </w:t>
      </w:r>
      <w:r w:rsidRPr="00E013AC">
        <w:rPr>
          <w:szCs w:val="20"/>
        </w:rPr>
        <w:t>when</w:t>
      </w:r>
      <w:r w:rsidR="00C64050">
        <w:rPr>
          <w:szCs w:val="20"/>
        </w:rPr>
        <w:t xml:space="preserve"> </w:t>
      </w:r>
      <w:r w:rsidRPr="00E013AC">
        <w:rPr>
          <w:szCs w:val="20"/>
        </w:rPr>
        <w:t>it</w:t>
      </w:r>
      <w:r w:rsidR="00C64050">
        <w:rPr>
          <w:szCs w:val="20"/>
        </w:rPr>
        <w:t xml:space="preserve"> </w:t>
      </w:r>
      <w:r w:rsidRPr="00E013AC">
        <w:rPr>
          <w:szCs w:val="20"/>
        </w:rPr>
        <w:t>is</w:t>
      </w:r>
      <w:r w:rsidR="00C64050">
        <w:rPr>
          <w:szCs w:val="20"/>
        </w:rPr>
        <w:t xml:space="preserve"> </w:t>
      </w:r>
      <w:r w:rsidRPr="00E013AC">
        <w:rPr>
          <w:szCs w:val="20"/>
        </w:rPr>
        <w:t>compared</w:t>
      </w:r>
      <w:r w:rsidR="00C64050">
        <w:rPr>
          <w:szCs w:val="20"/>
        </w:rPr>
        <w:t xml:space="preserve"> </w:t>
      </w:r>
      <w:r w:rsidRPr="00E013AC">
        <w:rPr>
          <w:szCs w:val="20"/>
        </w:rPr>
        <w:t>to</w:t>
      </w:r>
      <w:r w:rsidR="00C64050">
        <w:rPr>
          <w:szCs w:val="20"/>
        </w:rPr>
        <w:t xml:space="preserve"> </w:t>
      </w:r>
      <w:r w:rsidRPr="00E013AC">
        <w:rPr>
          <w:szCs w:val="20"/>
        </w:rPr>
        <w:t>section</w:t>
      </w:r>
      <w:r w:rsidR="00C64050">
        <w:rPr>
          <w:szCs w:val="20"/>
        </w:rPr>
        <w:t xml:space="preserve"> </w:t>
      </w:r>
      <w:r w:rsidRPr="00E013AC">
        <w:rPr>
          <w:szCs w:val="20"/>
        </w:rPr>
        <w:t>103(12),</w:t>
      </w:r>
      <w:r w:rsidR="00C64050">
        <w:rPr>
          <w:szCs w:val="20"/>
        </w:rPr>
        <w:t xml:space="preserve"> </w:t>
      </w:r>
      <w:r w:rsidRPr="00E013AC">
        <w:rPr>
          <w:szCs w:val="20"/>
        </w:rPr>
        <w:t>which</w:t>
      </w:r>
      <w:r w:rsidR="00C64050">
        <w:rPr>
          <w:szCs w:val="20"/>
        </w:rPr>
        <w:t xml:space="preserve"> </w:t>
      </w:r>
      <w:r w:rsidRPr="00E013AC">
        <w:rPr>
          <w:szCs w:val="20"/>
        </w:rPr>
        <w:t>articulates</w:t>
      </w:r>
      <w:r w:rsidR="00C64050">
        <w:rPr>
          <w:szCs w:val="20"/>
        </w:rPr>
        <w:t xml:space="preserve"> </w:t>
      </w:r>
      <w:r w:rsidRPr="00E013AC">
        <w:rPr>
          <w:szCs w:val="20"/>
        </w:rPr>
        <w:t>the</w:t>
      </w:r>
      <w:r w:rsidR="00C64050">
        <w:rPr>
          <w:szCs w:val="20"/>
        </w:rPr>
        <w:t xml:space="preserve"> </w:t>
      </w:r>
      <w:r w:rsidRPr="00E013AC">
        <w:rPr>
          <w:szCs w:val="20"/>
        </w:rPr>
        <w:t>definition</w:t>
      </w:r>
      <w:r w:rsidR="00C64050">
        <w:rPr>
          <w:szCs w:val="20"/>
        </w:rPr>
        <w:t xml:space="preserve"> </w:t>
      </w:r>
      <w:r w:rsidRPr="00E013AC">
        <w:rPr>
          <w:szCs w:val="20"/>
        </w:rPr>
        <w:t>of</w:t>
      </w:r>
      <w:r w:rsidR="00C64050">
        <w:rPr>
          <w:szCs w:val="20"/>
        </w:rPr>
        <w:t xml:space="preserve"> </w:t>
      </w:r>
      <w:r w:rsidRPr="00E013AC">
        <w:rPr>
          <w:szCs w:val="20"/>
        </w:rPr>
        <w:t>a</w:t>
      </w:r>
      <w:r w:rsidR="00C64050">
        <w:rPr>
          <w:szCs w:val="20"/>
        </w:rPr>
        <w:t xml:space="preserve"> </w:t>
      </w:r>
      <w:r w:rsidRPr="00E013AC">
        <w:rPr>
          <w:szCs w:val="20"/>
        </w:rPr>
        <w:t>qualified</w:t>
      </w:r>
      <w:r w:rsidR="00C64050">
        <w:rPr>
          <w:szCs w:val="20"/>
        </w:rPr>
        <w:t xml:space="preserve"> </w:t>
      </w:r>
      <w:r w:rsidRPr="00E013AC">
        <w:rPr>
          <w:szCs w:val="20"/>
        </w:rPr>
        <w:t>beneficiary</w:t>
      </w:r>
      <w:r w:rsidR="00C64050">
        <w:rPr>
          <w:szCs w:val="20"/>
        </w:rPr>
        <w:t xml:space="preserve"> </w:t>
      </w:r>
      <w:r w:rsidRPr="00E013AC">
        <w:rPr>
          <w:szCs w:val="20"/>
        </w:rPr>
        <w:t>of</w:t>
      </w:r>
      <w:r w:rsidR="00C64050">
        <w:rPr>
          <w:szCs w:val="20"/>
        </w:rPr>
        <w:t xml:space="preserve"> </w:t>
      </w:r>
      <w:r w:rsidRPr="00E013AC">
        <w:rPr>
          <w:szCs w:val="20"/>
        </w:rPr>
        <w:t>a</w:t>
      </w:r>
      <w:r w:rsidR="00C64050">
        <w:rPr>
          <w:szCs w:val="20"/>
        </w:rPr>
        <w:t xml:space="preserve"> </w:t>
      </w:r>
      <w:r w:rsidRPr="00E013AC">
        <w:rPr>
          <w:szCs w:val="20"/>
        </w:rPr>
        <w:t>private</w:t>
      </w:r>
      <w:r w:rsidR="00C64050">
        <w:rPr>
          <w:szCs w:val="20"/>
        </w:rPr>
        <w:t xml:space="preserve"> </w:t>
      </w:r>
      <w:r w:rsidRPr="00E013AC">
        <w:rPr>
          <w:szCs w:val="20"/>
        </w:rPr>
        <w:t>trust.</w:t>
      </w:r>
      <w:r w:rsidR="00C64050">
        <w:rPr>
          <w:szCs w:val="20"/>
        </w:rPr>
        <w:t xml:space="preserve"> </w:t>
      </w:r>
      <w:r w:rsidRPr="00E013AC">
        <w:rPr>
          <w:szCs w:val="20"/>
        </w:rPr>
        <w:t>Title</w:t>
      </w:r>
      <w:r w:rsidR="00C64050">
        <w:rPr>
          <w:szCs w:val="20"/>
        </w:rPr>
        <w:t xml:space="preserve"> </w:t>
      </w:r>
      <w:r w:rsidRPr="00E013AC">
        <w:rPr>
          <w:szCs w:val="20"/>
        </w:rPr>
        <w:t>18-B</w:t>
      </w:r>
      <w:r w:rsidR="00C64050">
        <w:rPr>
          <w:szCs w:val="20"/>
        </w:rPr>
        <w:t xml:space="preserve"> </w:t>
      </w:r>
      <w:r w:rsidRPr="00E013AC">
        <w:rPr>
          <w:szCs w:val="20"/>
        </w:rPr>
        <w:t>M.R.S.</w:t>
      </w:r>
      <w:r w:rsidR="00C64050">
        <w:rPr>
          <w:szCs w:val="20"/>
        </w:rPr>
        <w:t xml:space="preserve"> </w:t>
      </w:r>
      <w:r w:rsidRPr="00E013AC">
        <w:rPr>
          <w:szCs w:val="20"/>
        </w:rPr>
        <w:t>§</w:t>
      </w:r>
      <w:r w:rsidR="00C64050">
        <w:rPr>
          <w:szCs w:val="20"/>
        </w:rPr>
        <w:t xml:space="preserve"> </w:t>
      </w:r>
      <w:r w:rsidRPr="00E013AC">
        <w:rPr>
          <w:szCs w:val="20"/>
        </w:rPr>
        <w:t>103(12)</w:t>
      </w:r>
      <w:r w:rsidR="00C64050">
        <w:rPr>
          <w:szCs w:val="20"/>
        </w:rPr>
        <w:t xml:space="preserve"> </w:t>
      </w:r>
      <w:r w:rsidRPr="00E013AC">
        <w:rPr>
          <w:szCs w:val="20"/>
        </w:rPr>
        <w:t>states:</w:t>
      </w:r>
    </w:p>
    <w:p w:rsidR="00E013AC" w:rsidRPr="00E013AC" w:rsidRDefault="00E013AC" w:rsidP="00F90618">
      <w:pPr>
        <w:pStyle w:val="QS10"/>
        <w:ind w:left="2160"/>
        <w:rPr>
          <w:szCs w:val="20"/>
        </w:rPr>
      </w:pPr>
      <w:r w:rsidRPr="00E013AC">
        <w:rPr>
          <w:szCs w:val="20"/>
        </w:rPr>
        <w:t>“Qualified</w:t>
      </w:r>
      <w:r w:rsidR="00C64050">
        <w:rPr>
          <w:szCs w:val="20"/>
        </w:rPr>
        <w:t xml:space="preserve"> </w:t>
      </w:r>
      <w:r w:rsidRPr="00E013AC">
        <w:rPr>
          <w:szCs w:val="20"/>
        </w:rPr>
        <w:t>beneficiary”</w:t>
      </w:r>
      <w:r w:rsidR="00C64050">
        <w:rPr>
          <w:szCs w:val="20"/>
        </w:rPr>
        <w:t xml:space="preserve"> </w:t>
      </w:r>
      <w:r w:rsidRPr="00E013AC">
        <w:rPr>
          <w:szCs w:val="20"/>
        </w:rPr>
        <w:t>means</w:t>
      </w:r>
      <w:r w:rsidR="00C64050">
        <w:rPr>
          <w:szCs w:val="20"/>
        </w:rPr>
        <w:t xml:space="preserve"> </w:t>
      </w:r>
      <w:r w:rsidRPr="00E013AC">
        <w:rPr>
          <w:szCs w:val="20"/>
        </w:rPr>
        <w:t>a</w:t>
      </w:r>
      <w:r w:rsidR="00C64050">
        <w:rPr>
          <w:szCs w:val="20"/>
        </w:rPr>
        <w:t xml:space="preserve"> </w:t>
      </w:r>
      <w:r w:rsidRPr="00E013AC">
        <w:rPr>
          <w:szCs w:val="20"/>
        </w:rPr>
        <w:t>living</w:t>
      </w:r>
      <w:r w:rsidR="00C64050">
        <w:rPr>
          <w:szCs w:val="20"/>
        </w:rPr>
        <w:t xml:space="preserve"> </w:t>
      </w:r>
      <w:r w:rsidRPr="00E013AC">
        <w:rPr>
          <w:szCs w:val="20"/>
        </w:rPr>
        <w:t>beneficiary</w:t>
      </w:r>
      <w:r w:rsidR="00C64050">
        <w:rPr>
          <w:szCs w:val="20"/>
        </w:rPr>
        <w:t xml:space="preserve"> </w:t>
      </w:r>
      <w:r w:rsidRPr="00E013AC">
        <w:rPr>
          <w:szCs w:val="20"/>
        </w:rPr>
        <w:t>who</w:t>
      </w:r>
      <w:r w:rsidR="00C64050">
        <w:rPr>
          <w:szCs w:val="20"/>
        </w:rPr>
        <w:t xml:space="preserve"> </w:t>
      </w:r>
      <w:r w:rsidRPr="00E013AC">
        <w:rPr>
          <w:szCs w:val="20"/>
        </w:rPr>
        <w:t>on</w:t>
      </w:r>
      <w:r w:rsidR="00C64050">
        <w:rPr>
          <w:szCs w:val="20"/>
        </w:rPr>
        <w:t xml:space="preserve"> </w:t>
      </w:r>
      <w:r w:rsidRPr="00E013AC">
        <w:rPr>
          <w:szCs w:val="20"/>
        </w:rPr>
        <w:t>the</w:t>
      </w:r>
      <w:r w:rsidR="00C64050">
        <w:rPr>
          <w:szCs w:val="20"/>
        </w:rPr>
        <w:t xml:space="preserve"> </w:t>
      </w:r>
      <w:r w:rsidRPr="00E013AC">
        <w:rPr>
          <w:szCs w:val="20"/>
        </w:rPr>
        <w:t>date</w:t>
      </w:r>
      <w:r w:rsidR="00C64050">
        <w:rPr>
          <w:szCs w:val="20"/>
        </w:rPr>
        <w:t xml:space="preserve"> </w:t>
      </w:r>
      <w:r w:rsidRPr="00E013AC">
        <w:rPr>
          <w:szCs w:val="20"/>
        </w:rPr>
        <w:t>the</w:t>
      </w:r>
      <w:r w:rsidR="00C64050">
        <w:rPr>
          <w:szCs w:val="20"/>
        </w:rPr>
        <w:t xml:space="preserve"> </w:t>
      </w:r>
      <w:r w:rsidRPr="00E013AC">
        <w:rPr>
          <w:szCs w:val="20"/>
        </w:rPr>
        <w:t>beneficiary's</w:t>
      </w:r>
      <w:r w:rsidR="00C64050">
        <w:rPr>
          <w:szCs w:val="20"/>
        </w:rPr>
        <w:t xml:space="preserve"> </w:t>
      </w:r>
      <w:r w:rsidRPr="00E013AC">
        <w:rPr>
          <w:szCs w:val="20"/>
        </w:rPr>
        <w:t>qualification</w:t>
      </w:r>
      <w:r w:rsidR="00C64050">
        <w:rPr>
          <w:szCs w:val="20"/>
        </w:rPr>
        <w:t xml:space="preserve"> </w:t>
      </w:r>
      <w:r w:rsidRPr="00E013AC">
        <w:rPr>
          <w:szCs w:val="20"/>
        </w:rPr>
        <w:t>is</w:t>
      </w:r>
      <w:r w:rsidR="00C64050">
        <w:rPr>
          <w:szCs w:val="20"/>
        </w:rPr>
        <w:t xml:space="preserve"> </w:t>
      </w:r>
      <w:r w:rsidRPr="00E013AC">
        <w:rPr>
          <w:szCs w:val="20"/>
        </w:rPr>
        <w:t>being</w:t>
      </w:r>
      <w:r w:rsidR="00C64050">
        <w:rPr>
          <w:szCs w:val="20"/>
        </w:rPr>
        <w:t xml:space="preserve"> </w:t>
      </w:r>
      <w:r w:rsidRPr="00E013AC">
        <w:rPr>
          <w:szCs w:val="20"/>
        </w:rPr>
        <w:t>determined:</w:t>
      </w:r>
    </w:p>
    <w:p w:rsidR="00E013AC" w:rsidRPr="00E013AC" w:rsidRDefault="00E013AC" w:rsidP="00F90618">
      <w:pPr>
        <w:pStyle w:val="QS10"/>
        <w:ind w:left="2160"/>
        <w:rPr>
          <w:szCs w:val="20"/>
        </w:rPr>
      </w:pPr>
      <w:r w:rsidRPr="00E013AC">
        <w:rPr>
          <w:rStyle w:val="Strong"/>
          <w:szCs w:val="20"/>
        </w:rPr>
        <w:t>A.</w:t>
      </w:r>
      <w:r w:rsidR="00C64050">
        <w:rPr>
          <w:szCs w:val="20"/>
        </w:rPr>
        <w:t xml:space="preserve"> </w:t>
      </w:r>
      <w:r w:rsidRPr="00E013AC">
        <w:rPr>
          <w:szCs w:val="20"/>
        </w:rPr>
        <w:t>Is</w:t>
      </w:r>
      <w:r w:rsidR="00C64050">
        <w:rPr>
          <w:szCs w:val="20"/>
        </w:rPr>
        <w:t xml:space="preserve"> </w:t>
      </w:r>
      <w:r w:rsidRPr="00E013AC">
        <w:rPr>
          <w:szCs w:val="20"/>
        </w:rPr>
        <w:t>a</w:t>
      </w:r>
      <w:r w:rsidR="00C64050">
        <w:rPr>
          <w:szCs w:val="20"/>
        </w:rPr>
        <w:t xml:space="preserve"> </w:t>
      </w:r>
      <w:r w:rsidRPr="00E013AC">
        <w:rPr>
          <w:szCs w:val="20"/>
        </w:rPr>
        <w:t>distributee</w:t>
      </w:r>
      <w:r w:rsidR="00C64050">
        <w:rPr>
          <w:szCs w:val="20"/>
        </w:rPr>
        <w:t xml:space="preserve"> </w:t>
      </w:r>
      <w:r w:rsidRPr="00E013AC">
        <w:rPr>
          <w:szCs w:val="20"/>
        </w:rPr>
        <w:t>or</w:t>
      </w:r>
      <w:r w:rsidR="00C64050">
        <w:rPr>
          <w:szCs w:val="20"/>
        </w:rPr>
        <w:t xml:space="preserve"> </w:t>
      </w:r>
      <w:r w:rsidRPr="00E013AC">
        <w:rPr>
          <w:szCs w:val="20"/>
        </w:rPr>
        <w:t>permissible</w:t>
      </w:r>
      <w:r w:rsidR="00C64050">
        <w:rPr>
          <w:szCs w:val="20"/>
        </w:rPr>
        <w:t xml:space="preserve"> </w:t>
      </w:r>
      <w:r w:rsidRPr="00E013AC">
        <w:rPr>
          <w:szCs w:val="20"/>
        </w:rPr>
        <w:t>distributee</w:t>
      </w:r>
      <w:r w:rsidR="00C64050">
        <w:rPr>
          <w:szCs w:val="20"/>
        </w:rPr>
        <w:t xml:space="preserve"> </w:t>
      </w:r>
      <w:r w:rsidRPr="00E013AC">
        <w:rPr>
          <w:szCs w:val="20"/>
        </w:rPr>
        <w:t>of</w:t>
      </w:r>
      <w:r w:rsidR="00C64050">
        <w:rPr>
          <w:szCs w:val="20"/>
        </w:rPr>
        <w:t xml:space="preserve"> </w:t>
      </w:r>
      <w:r w:rsidRPr="00E013AC">
        <w:rPr>
          <w:szCs w:val="20"/>
        </w:rPr>
        <w:t>trust</w:t>
      </w:r>
      <w:r w:rsidR="00C64050">
        <w:rPr>
          <w:szCs w:val="20"/>
        </w:rPr>
        <w:t xml:space="preserve"> </w:t>
      </w:r>
      <w:r w:rsidRPr="00E013AC">
        <w:rPr>
          <w:szCs w:val="20"/>
        </w:rPr>
        <w:t>income</w:t>
      </w:r>
      <w:r w:rsidR="00C64050">
        <w:rPr>
          <w:szCs w:val="20"/>
        </w:rPr>
        <w:t xml:space="preserve"> </w:t>
      </w:r>
      <w:r w:rsidRPr="00E013AC">
        <w:rPr>
          <w:szCs w:val="20"/>
        </w:rPr>
        <w:t>or</w:t>
      </w:r>
      <w:r w:rsidR="00C64050">
        <w:rPr>
          <w:szCs w:val="20"/>
        </w:rPr>
        <w:t xml:space="preserve"> </w:t>
      </w:r>
      <w:r w:rsidRPr="00E013AC">
        <w:rPr>
          <w:szCs w:val="20"/>
        </w:rPr>
        <w:t>principal;</w:t>
      </w:r>
    </w:p>
    <w:p w:rsidR="00E013AC" w:rsidRPr="00E013AC" w:rsidRDefault="00E013AC" w:rsidP="00F90618">
      <w:pPr>
        <w:pStyle w:val="QS10"/>
        <w:ind w:left="2160"/>
        <w:rPr>
          <w:szCs w:val="20"/>
        </w:rPr>
      </w:pPr>
      <w:r w:rsidRPr="00E013AC">
        <w:rPr>
          <w:rStyle w:val="Strong"/>
          <w:szCs w:val="20"/>
        </w:rPr>
        <w:t>B.</w:t>
      </w:r>
      <w:r w:rsidR="00C64050">
        <w:rPr>
          <w:szCs w:val="20"/>
        </w:rPr>
        <w:t xml:space="preserve"> </w:t>
      </w:r>
      <w:r w:rsidRPr="00E013AC">
        <w:rPr>
          <w:szCs w:val="20"/>
        </w:rPr>
        <w:t>Would</w:t>
      </w:r>
      <w:r w:rsidR="00C64050">
        <w:rPr>
          <w:szCs w:val="20"/>
        </w:rPr>
        <w:t xml:space="preserve"> </w:t>
      </w:r>
      <w:r w:rsidRPr="00E013AC">
        <w:rPr>
          <w:szCs w:val="20"/>
        </w:rPr>
        <w:t>be</w:t>
      </w:r>
      <w:r w:rsidR="00C64050">
        <w:rPr>
          <w:szCs w:val="20"/>
        </w:rPr>
        <w:t xml:space="preserve"> </w:t>
      </w:r>
      <w:r w:rsidRPr="00E013AC">
        <w:rPr>
          <w:szCs w:val="20"/>
        </w:rPr>
        <w:t>a</w:t>
      </w:r>
      <w:r w:rsidR="00C64050">
        <w:rPr>
          <w:szCs w:val="20"/>
        </w:rPr>
        <w:t xml:space="preserve"> </w:t>
      </w:r>
      <w:r w:rsidRPr="00E013AC">
        <w:rPr>
          <w:szCs w:val="20"/>
        </w:rPr>
        <w:t>distributee</w:t>
      </w:r>
      <w:r w:rsidR="00C64050">
        <w:rPr>
          <w:szCs w:val="20"/>
        </w:rPr>
        <w:t xml:space="preserve"> </w:t>
      </w:r>
      <w:r w:rsidRPr="00E013AC">
        <w:rPr>
          <w:szCs w:val="20"/>
        </w:rPr>
        <w:t>or</w:t>
      </w:r>
      <w:r w:rsidR="00C64050">
        <w:rPr>
          <w:szCs w:val="20"/>
        </w:rPr>
        <w:t xml:space="preserve"> </w:t>
      </w:r>
      <w:r w:rsidRPr="00E013AC">
        <w:rPr>
          <w:szCs w:val="20"/>
        </w:rPr>
        <w:t>permissible</w:t>
      </w:r>
      <w:r w:rsidR="00C64050">
        <w:rPr>
          <w:szCs w:val="20"/>
        </w:rPr>
        <w:t xml:space="preserve"> </w:t>
      </w:r>
      <w:r w:rsidRPr="00E013AC">
        <w:rPr>
          <w:szCs w:val="20"/>
        </w:rPr>
        <w:t>distributee</w:t>
      </w:r>
      <w:r w:rsidR="00C64050">
        <w:rPr>
          <w:szCs w:val="20"/>
        </w:rPr>
        <w:t xml:space="preserve"> </w:t>
      </w:r>
      <w:r w:rsidRPr="00E013AC">
        <w:rPr>
          <w:szCs w:val="20"/>
        </w:rPr>
        <w:t>of</w:t>
      </w:r>
      <w:r w:rsidR="00C64050">
        <w:rPr>
          <w:szCs w:val="20"/>
        </w:rPr>
        <w:t xml:space="preserve"> </w:t>
      </w:r>
      <w:r w:rsidRPr="00E013AC">
        <w:rPr>
          <w:szCs w:val="20"/>
        </w:rPr>
        <w:t>trust</w:t>
      </w:r>
      <w:r w:rsidR="00C64050">
        <w:rPr>
          <w:szCs w:val="20"/>
        </w:rPr>
        <w:t xml:space="preserve"> </w:t>
      </w:r>
      <w:r w:rsidRPr="00E013AC">
        <w:rPr>
          <w:szCs w:val="20"/>
        </w:rPr>
        <w:t>income</w:t>
      </w:r>
      <w:r w:rsidR="00C64050">
        <w:rPr>
          <w:szCs w:val="20"/>
        </w:rPr>
        <w:t xml:space="preserve"> </w:t>
      </w:r>
      <w:r w:rsidRPr="00E013AC">
        <w:rPr>
          <w:szCs w:val="20"/>
        </w:rPr>
        <w:t>or</w:t>
      </w:r>
      <w:r w:rsidR="00C64050">
        <w:rPr>
          <w:szCs w:val="20"/>
        </w:rPr>
        <w:t xml:space="preserve"> </w:t>
      </w:r>
      <w:r w:rsidRPr="00E013AC">
        <w:rPr>
          <w:szCs w:val="20"/>
        </w:rPr>
        <w:t>principal</w:t>
      </w:r>
      <w:r w:rsidR="00C64050">
        <w:rPr>
          <w:szCs w:val="20"/>
        </w:rPr>
        <w:t xml:space="preserve"> </w:t>
      </w:r>
      <w:r w:rsidRPr="00E013AC">
        <w:rPr>
          <w:szCs w:val="20"/>
        </w:rPr>
        <w:t>if</w:t>
      </w:r>
      <w:r w:rsidR="00C64050">
        <w:rPr>
          <w:szCs w:val="20"/>
        </w:rPr>
        <w:t xml:space="preserve"> </w:t>
      </w:r>
      <w:r w:rsidRPr="00E013AC">
        <w:rPr>
          <w:szCs w:val="20"/>
        </w:rPr>
        <w:t>the</w:t>
      </w:r>
      <w:r w:rsidR="00C64050">
        <w:rPr>
          <w:szCs w:val="20"/>
        </w:rPr>
        <w:t xml:space="preserve"> </w:t>
      </w:r>
      <w:r w:rsidRPr="00E013AC">
        <w:rPr>
          <w:szCs w:val="20"/>
        </w:rPr>
        <w:t>interests</w:t>
      </w:r>
      <w:r w:rsidR="00C64050">
        <w:rPr>
          <w:szCs w:val="20"/>
        </w:rPr>
        <w:t xml:space="preserve"> </w:t>
      </w:r>
      <w:r w:rsidRPr="00E013AC">
        <w:rPr>
          <w:szCs w:val="20"/>
        </w:rPr>
        <w:t>of</w:t>
      </w:r>
      <w:r w:rsidR="00C64050">
        <w:rPr>
          <w:szCs w:val="20"/>
        </w:rPr>
        <w:t xml:space="preserve"> </w:t>
      </w:r>
      <w:r w:rsidRPr="00E013AC">
        <w:rPr>
          <w:szCs w:val="20"/>
        </w:rPr>
        <w:t>the</w:t>
      </w:r>
      <w:r w:rsidR="00C64050">
        <w:rPr>
          <w:szCs w:val="20"/>
        </w:rPr>
        <w:t xml:space="preserve"> </w:t>
      </w:r>
      <w:r w:rsidRPr="00E013AC">
        <w:rPr>
          <w:szCs w:val="20"/>
        </w:rPr>
        <w:t>distributees</w:t>
      </w:r>
      <w:r w:rsidR="00C64050">
        <w:rPr>
          <w:szCs w:val="20"/>
        </w:rPr>
        <w:t xml:space="preserve"> </w:t>
      </w:r>
      <w:r w:rsidRPr="00E013AC">
        <w:rPr>
          <w:szCs w:val="20"/>
        </w:rPr>
        <w:t>described</w:t>
      </w:r>
      <w:r w:rsidR="00C64050">
        <w:rPr>
          <w:szCs w:val="20"/>
        </w:rPr>
        <w:t xml:space="preserve"> </w:t>
      </w:r>
      <w:r w:rsidRPr="00E013AC">
        <w:rPr>
          <w:szCs w:val="20"/>
        </w:rPr>
        <w:t>in</w:t>
      </w:r>
      <w:r w:rsidR="00C64050">
        <w:rPr>
          <w:szCs w:val="20"/>
        </w:rPr>
        <w:t xml:space="preserve"> </w:t>
      </w:r>
      <w:r w:rsidRPr="00E013AC">
        <w:rPr>
          <w:szCs w:val="20"/>
        </w:rPr>
        <w:t>paragraph</w:t>
      </w:r>
      <w:r w:rsidR="00C64050">
        <w:rPr>
          <w:szCs w:val="20"/>
        </w:rPr>
        <w:t xml:space="preserve"> </w:t>
      </w:r>
      <w:r w:rsidRPr="00E013AC">
        <w:rPr>
          <w:szCs w:val="20"/>
        </w:rPr>
        <w:t>A</w:t>
      </w:r>
      <w:r w:rsidR="00C64050">
        <w:rPr>
          <w:szCs w:val="20"/>
        </w:rPr>
        <w:t xml:space="preserve"> </w:t>
      </w:r>
      <w:r w:rsidRPr="00E013AC">
        <w:rPr>
          <w:szCs w:val="20"/>
        </w:rPr>
        <w:t>terminated</w:t>
      </w:r>
      <w:r w:rsidR="00C64050">
        <w:rPr>
          <w:szCs w:val="20"/>
        </w:rPr>
        <w:t xml:space="preserve"> </w:t>
      </w:r>
      <w:r w:rsidRPr="00E013AC">
        <w:rPr>
          <w:szCs w:val="20"/>
        </w:rPr>
        <w:t>on</w:t>
      </w:r>
      <w:r w:rsidR="00C64050">
        <w:rPr>
          <w:szCs w:val="20"/>
        </w:rPr>
        <w:t xml:space="preserve"> </w:t>
      </w:r>
      <w:r w:rsidRPr="00E013AC">
        <w:rPr>
          <w:szCs w:val="20"/>
        </w:rPr>
        <w:t>that</w:t>
      </w:r>
      <w:r w:rsidR="00C64050">
        <w:rPr>
          <w:szCs w:val="20"/>
        </w:rPr>
        <w:t xml:space="preserve"> </w:t>
      </w:r>
      <w:r w:rsidRPr="00E013AC">
        <w:rPr>
          <w:szCs w:val="20"/>
        </w:rPr>
        <w:t>date,</w:t>
      </w:r>
      <w:r w:rsidR="00C64050">
        <w:rPr>
          <w:szCs w:val="20"/>
        </w:rPr>
        <w:t xml:space="preserve"> </w:t>
      </w:r>
      <w:r w:rsidRPr="00E013AC">
        <w:rPr>
          <w:szCs w:val="20"/>
        </w:rPr>
        <w:t>but</w:t>
      </w:r>
      <w:r w:rsidR="00C64050">
        <w:rPr>
          <w:szCs w:val="20"/>
        </w:rPr>
        <w:t xml:space="preserve"> </w:t>
      </w:r>
      <w:r w:rsidRPr="00E013AC">
        <w:rPr>
          <w:szCs w:val="20"/>
        </w:rPr>
        <w:t>the</w:t>
      </w:r>
      <w:r w:rsidR="00C64050">
        <w:rPr>
          <w:szCs w:val="20"/>
        </w:rPr>
        <w:t xml:space="preserve"> </w:t>
      </w:r>
      <w:r w:rsidRPr="00E013AC">
        <w:rPr>
          <w:szCs w:val="20"/>
        </w:rPr>
        <w:t>termination</w:t>
      </w:r>
      <w:r w:rsidR="00C64050">
        <w:rPr>
          <w:szCs w:val="20"/>
        </w:rPr>
        <w:t xml:space="preserve"> </w:t>
      </w:r>
      <w:r w:rsidRPr="00E013AC">
        <w:rPr>
          <w:szCs w:val="20"/>
        </w:rPr>
        <w:t>of</w:t>
      </w:r>
      <w:r w:rsidR="00C64050">
        <w:rPr>
          <w:szCs w:val="20"/>
        </w:rPr>
        <w:t xml:space="preserve"> </w:t>
      </w:r>
      <w:r w:rsidRPr="00E013AC">
        <w:rPr>
          <w:szCs w:val="20"/>
        </w:rPr>
        <w:t>those</w:t>
      </w:r>
      <w:r w:rsidR="00C64050">
        <w:rPr>
          <w:szCs w:val="20"/>
        </w:rPr>
        <w:t xml:space="preserve"> </w:t>
      </w:r>
      <w:r w:rsidRPr="00E013AC">
        <w:rPr>
          <w:szCs w:val="20"/>
        </w:rPr>
        <w:t>interests</w:t>
      </w:r>
      <w:r w:rsidR="00C64050">
        <w:rPr>
          <w:szCs w:val="20"/>
        </w:rPr>
        <w:t xml:space="preserve"> </w:t>
      </w:r>
      <w:r w:rsidRPr="00E013AC">
        <w:rPr>
          <w:szCs w:val="20"/>
        </w:rPr>
        <w:t>would</w:t>
      </w:r>
      <w:r w:rsidR="00C64050">
        <w:rPr>
          <w:szCs w:val="20"/>
        </w:rPr>
        <w:t xml:space="preserve"> </w:t>
      </w:r>
      <w:r w:rsidRPr="00E013AC">
        <w:rPr>
          <w:szCs w:val="20"/>
        </w:rPr>
        <w:t>not</w:t>
      </w:r>
      <w:r w:rsidR="00C64050">
        <w:rPr>
          <w:szCs w:val="20"/>
        </w:rPr>
        <w:t xml:space="preserve"> </w:t>
      </w:r>
      <w:r w:rsidRPr="00E013AC">
        <w:rPr>
          <w:szCs w:val="20"/>
        </w:rPr>
        <w:t>cause</w:t>
      </w:r>
      <w:r w:rsidR="00C64050">
        <w:rPr>
          <w:szCs w:val="20"/>
        </w:rPr>
        <w:t xml:space="preserve"> </w:t>
      </w:r>
      <w:r w:rsidRPr="00E013AC">
        <w:rPr>
          <w:szCs w:val="20"/>
        </w:rPr>
        <w:t>the</w:t>
      </w:r>
      <w:r w:rsidR="00C64050">
        <w:rPr>
          <w:szCs w:val="20"/>
        </w:rPr>
        <w:t xml:space="preserve"> </w:t>
      </w:r>
      <w:r w:rsidRPr="00E013AC">
        <w:rPr>
          <w:szCs w:val="20"/>
        </w:rPr>
        <w:t>trust</w:t>
      </w:r>
      <w:r w:rsidR="00C64050">
        <w:rPr>
          <w:szCs w:val="20"/>
        </w:rPr>
        <w:t xml:space="preserve"> </w:t>
      </w:r>
      <w:r w:rsidRPr="00E013AC">
        <w:rPr>
          <w:szCs w:val="20"/>
        </w:rPr>
        <w:t>to</w:t>
      </w:r>
      <w:r w:rsidR="00C64050">
        <w:rPr>
          <w:szCs w:val="20"/>
        </w:rPr>
        <w:t xml:space="preserve"> </w:t>
      </w:r>
      <w:r w:rsidRPr="00E013AC">
        <w:rPr>
          <w:szCs w:val="20"/>
        </w:rPr>
        <w:t>terminate;</w:t>
      </w:r>
      <w:r w:rsidR="00C64050">
        <w:rPr>
          <w:szCs w:val="20"/>
        </w:rPr>
        <w:t xml:space="preserve"> </w:t>
      </w:r>
      <w:r w:rsidRPr="00E013AC">
        <w:rPr>
          <w:szCs w:val="20"/>
        </w:rPr>
        <w:t>or</w:t>
      </w:r>
    </w:p>
    <w:p w:rsidR="00E013AC" w:rsidRPr="00E013AC" w:rsidRDefault="00E013AC" w:rsidP="00F90618">
      <w:pPr>
        <w:pStyle w:val="QS10"/>
        <w:ind w:left="2160"/>
        <w:rPr>
          <w:szCs w:val="20"/>
        </w:rPr>
      </w:pPr>
      <w:r w:rsidRPr="00E013AC">
        <w:rPr>
          <w:rStyle w:val="Strong"/>
          <w:szCs w:val="20"/>
        </w:rPr>
        <w:t>C.</w:t>
      </w:r>
      <w:r w:rsidR="00C64050">
        <w:rPr>
          <w:szCs w:val="20"/>
        </w:rPr>
        <w:t xml:space="preserve"> </w:t>
      </w:r>
      <w:r w:rsidRPr="00E013AC">
        <w:rPr>
          <w:szCs w:val="20"/>
        </w:rPr>
        <w:t>Would</w:t>
      </w:r>
      <w:r w:rsidR="00C64050">
        <w:rPr>
          <w:szCs w:val="20"/>
        </w:rPr>
        <w:t xml:space="preserve"> </w:t>
      </w:r>
      <w:r w:rsidRPr="00E013AC">
        <w:rPr>
          <w:szCs w:val="20"/>
        </w:rPr>
        <w:t>be</w:t>
      </w:r>
      <w:r w:rsidR="00C64050">
        <w:rPr>
          <w:szCs w:val="20"/>
        </w:rPr>
        <w:t xml:space="preserve"> </w:t>
      </w:r>
      <w:r w:rsidRPr="00E013AC">
        <w:rPr>
          <w:szCs w:val="20"/>
        </w:rPr>
        <w:t>a</w:t>
      </w:r>
      <w:r w:rsidR="00C64050">
        <w:rPr>
          <w:szCs w:val="20"/>
        </w:rPr>
        <w:t xml:space="preserve"> </w:t>
      </w:r>
      <w:r w:rsidRPr="00E013AC">
        <w:rPr>
          <w:szCs w:val="20"/>
        </w:rPr>
        <w:t>distributee</w:t>
      </w:r>
      <w:r w:rsidR="00C64050">
        <w:rPr>
          <w:szCs w:val="20"/>
        </w:rPr>
        <w:t xml:space="preserve"> </w:t>
      </w:r>
      <w:r w:rsidRPr="00E013AC">
        <w:rPr>
          <w:szCs w:val="20"/>
        </w:rPr>
        <w:t>or</w:t>
      </w:r>
      <w:r w:rsidR="00C64050">
        <w:rPr>
          <w:szCs w:val="20"/>
        </w:rPr>
        <w:t xml:space="preserve"> </w:t>
      </w:r>
      <w:r w:rsidRPr="00E013AC">
        <w:rPr>
          <w:szCs w:val="20"/>
        </w:rPr>
        <w:t>permissible</w:t>
      </w:r>
      <w:r w:rsidR="00C64050">
        <w:rPr>
          <w:szCs w:val="20"/>
        </w:rPr>
        <w:t xml:space="preserve"> </w:t>
      </w:r>
      <w:r w:rsidRPr="00E013AC">
        <w:rPr>
          <w:szCs w:val="20"/>
        </w:rPr>
        <w:t>distributee</w:t>
      </w:r>
      <w:r w:rsidR="00C64050">
        <w:rPr>
          <w:szCs w:val="20"/>
        </w:rPr>
        <w:t xml:space="preserve"> </w:t>
      </w:r>
      <w:r w:rsidRPr="00E013AC">
        <w:rPr>
          <w:szCs w:val="20"/>
        </w:rPr>
        <w:t>of</w:t>
      </w:r>
      <w:r w:rsidR="00C64050">
        <w:rPr>
          <w:szCs w:val="20"/>
        </w:rPr>
        <w:t xml:space="preserve"> </w:t>
      </w:r>
      <w:r w:rsidRPr="00E013AC">
        <w:rPr>
          <w:szCs w:val="20"/>
        </w:rPr>
        <w:t>trust</w:t>
      </w:r>
      <w:r w:rsidR="00C64050">
        <w:rPr>
          <w:szCs w:val="20"/>
        </w:rPr>
        <w:t xml:space="preserve"> </w:t>
      </w:r>
      <w:r w:rsidRPr="00E013AC">
        <w:rPr>
          <w:szCs w:val="20"/>
        </w:rPr>
        <w:t>income</w:t>
      </w:r>
      <w:r w:rsidR="00C64050">
        <w:rPr>
          <w:szCs w:val="20"/>
        </w:rPr>
        <w:t xml:space="preserve"> </w:t>
      </w:r>
      <w:r w:rsidRPr="00E013AC">
        <w:rPr>
          <w:szCs w:val="20"/>
        </w:rPr>
        <w:t>or</w:t>
      </w:r>
      <w:r w:rsidR="00C64050">
        <w:rPr>
          <w:szCs w:val="20"/>
        </w:rPr>
        <w:t xml:space="preserve"> </w:t>
      </w:r>
      <w:r w:rsidRPr="00E013AC">
        <w:rPr>
          <w:szCs w:val="20"/>
        </w:rPr>
        <w:t>principal</w:t>
      </w:r>
      <w:r w:rsidR="00C64050">
        <w:rPr>
          <w:szCs w:val="20"/>
        </w:rPr>
        <w:t xml:space="preserve"> </w:t>
      </w:r>
      <w:r w:rsidRPr="00E013AC">
        <w:rPr>
          <w:szCs w:val="20"/>
        </w:rPr>
        <w:t>if</w:t>
      </w:r>
      <w:r w:rsidR="00C64050">
        <w:rPr>
          <w:szCs w:val="20"/>
        </w:rPr>
        <w:t xml:space="preserve"> </w:t>
      </w:r>
      <w:r w:rsidRPr="00E013AC">
        <w:rPr>
          <w:szCs w:val="20"/>
        </w:rPr>
        <w:t>the</w:t>
      </w:r>
      <w:r w:rsidR="00C64050">
        <w:rPr>
          <w:szCs w:val="20"/>
        </w:rPr>
        <w:t xml:space="preserve"> </w:t>
      </w:r>
      <w:r w:rsidRPr="00E013AC">
        <w:rPr>
          <w:szCs w:val="20"/>
        </w:rPr>
        <w:t>trust</w:t>
      </w:r>
      <w:r w:rsidR="00C64050">
        <w:rPr>
          <w:szCs w:val="20"/>
        </w:rPr>
        <w:t xml:space="preserve"> </w:t>
      </w:r>
      <w:r w:rsidRPr="00E013AC">
        <w:rPr>
          <w:szCs w:val="20"/>
        </w:rPr>
        <w:t>terminated</w:t>
      </w:r>
      <w:r w:rsidR="00C64050">
        <w:rPr>
          <w:szCs w:val="20"/>
        </w:rPr>
        <w:t xml:space="preserve"> </w:t>
      </w:r>
      <w:r w:rsidRPr="00E013AC">
        <w:rPr>
          <w:szCs w:val="20"/>
        </w:rPr>
        <w:t>on</w:t>
      </w:r>
      <w:r w:rsidR="00C64050">
        <w:rPr>
          <w:szCs w:val="20"/>
        </w:rPr>
        <w:t xml:space="preserve"> </w:t>
      </w:r>
      <w:r w:rsidRPr="00E013AC">
        <w:rPr>
          <w:szCs w:val="20"/>
        </w:rPr>
        <w:t>that</w:t>
      </w:r>
      <w:r w:rsidR="00C64050">
        <w:rPr>
          <w:szCs w:val="20"/>
        </w:rPr>
        <w:t xml:space="preserve"> </w:t>
      </w:r>
      <w:r w:rsidRPr="00E013AC">
        <w:rPr>
          <w:szCs w:val="20"/>
        </w:rPr>
        <w:t>date.</w:t>
      </w:r>
    </w:p>
    <w:p w:rsidR="00E013AC" w:rsidRPr="00E013AC" w:rsidRDefault="00E013AC" w:rsidP="00E013AC">
      <w:pPr>
        <w:pStyle w:val="QS10"/>
        <w:rPr>
          <w:szCs w:val="20"/>
        </w:rPr>
      </w:pPr>
      <w:r w:rsidRPr="00E013AC">
        <w:rPr>
          <w:szCs w:val="20"/>
        </w:rPr>
        <w:t>Title</w:t>
      </w:r>
      <w:r w:rsidR="00C64050">
        <w:rPr>
          <w:szCs w:val="20"/>
        </w:rPr>
        <w:t xml:space="preserve"> </w:t>
      </w:r>
      <w:r w:rsidRPr="00E013AC">
        <w:rPr>
          <w:szCs w:val="20"/>
        </w:rPr>
        <w:t>18-B</w:t>
      </w:r>
      <w:r w:rsidR="00C64050">
        <w:rPr>
          <w:szCs w:val="20"/>
        </w:rPr>
        <w:t xml:space="preserve"> </w:t>
      </w:r>
      <w:r w:rsidRPr="00E013AC">
        <w:rPr>
          <w:szCs w:val="20"/>
        </w:rPr>
        <w:t>M.R.S.</w:t>
      </w:r>
      <w:r w:rsidR="00C64050">
        <w:rPr>
          <w:szCs w:val="20"/>
        </w:rPr>
        <w:t xml:space="preserve"> </w:t>
      </w:r>
      <w:r w:rsidRPr="00E013AC">
        <w:rPr>
          <w:szCs w:val="20"/>
        </w:rPr>
        <w:t>§</w:t>
      </w:r>
      <w:r w:rsidR="00C64050">
        <w:rPr>
          <w:szCs w:val="20"/>
        </w:rPr>
        <w:t xml:space="preserve"> </w:t>
      </w:r>
      <w:r w:rsidRPr="00E013AC">
        <w:rPr>
          <w:szCs w:val="20"/>
        </w:rPr>
        <w:t>110(1)</w:t>
      </w:r>
      <w:r w:rsidR="00C64050">
        <w:rPr>
          <w:szCs w:val="20"/>
        </w:rPr>
        <w:t xml:space="preserve"> </w:t>
      </w:r>
      <w:r w:rsidRPr="00E013AC">
        <w:rPr>
          <w:szCs w:val="20"/>
        </w:rPr>
        <w:t>similarly</w:t>
      </w:r>
      <w:r w:rsidR="00C64050">
        <w:rPr>
          <w:szCs w:val="20"/>
        </w:rPr>
        <w:t xml:space="preserve"> </w:t>
      </w:r>
      <w:r w:rsidRPr="00E013AC">
        <w:rPr>
          <w:szCs w:val="20"/>
        </w:rPr>
        <w:t>provides:</w:t>
      </w:r>
    </w:p>
    <w:p w:rsidR="00E013AC" w:rsidRPr="00E013AC" w:rsidRDefault="00E013AC" w:rsidP="00E013AC">
      <w:pPr>
        <w:pStyle w:val="QS10"/>
        <w:rPr>
          <w:szCs w:val="20"/>
        </w:rPr>
      </w:pPr>
      <w:r w:rsidRPr="00E013AC">
        <w:rPr>
          <w:szCs w:val="20"/>
        </w:rPr>
        <w:t>A</w:t>
      </w:r>
      <w:r w:rsidR="00C64050">
        <w:rPr>
          <w:szCs w:val="20"/>
        </w:rPr>
        <w:t xml:space="preserve"> </w:t>
      </w:r>
      <w:r w:rsidRPr="00E013AC">
        <w:rPr>
          <w:szCs w:val="20"/>
        </w:rPr>
        <w:t>charitable</w:t>
      </w:r>
      <w:r w:rsidR="00C64050">
        <w:rPr>
          <w:szCs w:val="20"/>
        </w:rPr>
        <w:t xml:space="preserve"> </w:t>
      </w:r>
      <w:r w:rsidRPr="00E013AC">
        <w:rPr>
          <w:szCs w:val="20"/>
        </w:rPr>
        <w:t>organization</w:t>
      </w:r>
      <w:r w:rsidR="00C64050">
        <w:rPr>
          <w:szCs w:val="20"/>
        </w:rPr>
        <w:t xml:space="preserve"> </w:t>
      </w:r>
      <w:r w:rsidRPr="00E013AC">
        <w:rPr>
          <w:szCs w:val="20"/>
        </w:rPr>
        <w:t>expressly</w:t>
      </w:r>
      <w:r w:rsidR="00C64050">
        <w:rPr>
          <w:szCs w:val="20"/>
        </w:rPr>
        <w:t xml:space="preserve"> </w:t>
      </w:r>
      <w:r w:rsidRPr="00E013AC">
        <w:rPr>
          <w:szCs w:val="20"/>
        </w:rPr>
        <w:t>designated</w:t>
      </w:r>
      <w:r w:rsidR="00C64050">
        <w:rPr>
          <w:szCs w:val="20"/>
        </w:rPr>
        <w:t xml:space="preserve"> </w:t>
      </w:r>
      <w:r w:rsidRPr="00E013AC">
        <w:rPr>
          <w:szCs w:val="20"/>
        </w:rPr>
        <w:t>to</w:t>
      </w:r>
      <w:r w:rsidR="00C64050">
        <w:rPr>
          <w:szCs w:val="20"/>
        </w:rPr>
        <w:t xml:space="preserve"> </w:t>
      </w:r>
      <w:r w:rsidRPr="00E013AC">
        <w:rPr>
          <w:szCs w:val="20"/>
        </w:rPr>
        <w:t>receive</w:t>
      </w:r>
      <w:r w:rsidR="00C64050">
        <w:rPr>
          <w:szCs w:val="20"/>
        </w:rPr>
        <w:t xml:space="preserve"> </w:t>
      </w:r>
      <w:r w:rsidRPr="00E013AC">
        <w:rPr>
          <w:szCs w:val="20"/>
        </w:rPr>
        <w:t>distributions</w:t>
      </w:r>
      <w:r w:rsidR="00C64050">
        <w:rPr>
          <w:szCs w:val="20"/>
        </w:rPr>
        <w:t xml:space="preserve"> </w:t>
      </w:r>
      <w:r w:rsidRPr="00E013AC">
        <w:rPr>
          <w:szCs w:val="20"/>
        </w:rPr>
        <w:t>under</w:t>
      </w:r>
      <w:r w:rsidR="00C64050">
        <w:rPr>
          <w:szCs w:val="20"/>
        </w:rPr>
        <w:t xml:space="preserve"> </w:t>
      </w:r>
      <w:r w:rsidRPr="00E013AC">
        <w:rPr>
          <w:szCs w:val="20"/>
        </w:rPr>
        <w:t>the</w:t>
      </w:r>
      <w:r w:rsidR="00C64050">
        <w:rPr>
          <w:szCs w:val="20"/>
        </w:rPr>
        <w:t xml:space="preserve"> </w:t>
      </w:r>
      <w:r w:rsidRPr="00E013AC">
        <w:rPr>
          <w:szCs w:val="20"/>
        </w:rPr>
        <w:t>terms</w:t>
      </w:r>
      <w:r w:rsidR="00C64050">
        <w:rPr>
          <w:szCs w:val="20"/>
        </w:rPr>
        <w:t xml:space="preserve"> </w:t>
      </w:r>
      <w:r w:rsidRPr="00E013AC">
        <w:rPr>
          <w:szCs w:val="20"/>
        </w:rPr>
        <w:t>of</w:t>
      </w:r>
      <w:r w:rsidR="00C64050">
        <w:rPr>
          <w:szCs w:val="20"/>
        </w:rPr>
        <w:t xml:space="preserve"> </w:t>
      </w:r>
      <w:r w:rsidRPr="00E013AC">
        <w:rPr>
          <w:szCs w:val="20"/>
        </w:rPr>
        <w:t>a</w:t>
      </w:r>
      <w:r w:rsidR="00C64050">
        <w:rPr>
          <w:szCs w:val="20"/>
        </w:rPr>
        <w:t xml:space="preserve"> </w:t>
      </w:r>
      <w:r w:rsidRPr="00E013AC">
        <w:rPr>
          <w:szCs w:val="20"/>
        </w:rPr>
        <w:t>charitable</w:t>
      </w:r>
      <w:r w:rsidR="00C64050">
        <w:rPr>
          <w:szCs w:val="20"/>
        </w:rPr>
        <w:t xml:space="preserve"> </w:t>
      </w:r>
      <w:r w:rsidRPr="00E013AC">
        <w:rPr>
          <w:szCs w:val="20"/>
        </w:rPr>
        <w:t>trust</w:t>
      </w:r>
      <w:r w:rsidR="00C64050">
        <w:rPr>
          <w:szCs w:val="20"/>
        </w:rPr>
        <w:t xml:space="preserve"> </w:t>
      </w:r>
      <w:r w:rsidRPr="00E013AC">
        <w:rPr>
          <w:szCs w:val="20"/>
        </w:rPr>
        <w:t>has</w:t>
      </w:r>
      <w:r w:rsidR="00C64050">
        <w:rPr>
          <w:szCs w:val="20"/>
        </w:rPr>
        <w:t xml:space="preserve"> </w:t>
      </w:r>
      <w:r w:rsidRPr="00E013AC">
        <w:rPr>
          <w:szCs w:val="20"/>
        </w:rPr>
        <w:t>the</w:t>
      </w:r>
      <w:r w:rsidR="00C64050">
        <w:rPr>
          <w:szCs w:val="20"/>
        </w:rPr>
        <w:t xml:space="preserve"> </w:t>
      </w:r>
      <w:r w:rsidRPr="00E013AC">
        <w:rPr>
          <w:szCs w:val="20"/>
        </w:rPr>
        <w:t>rights</w:t>
      </w:r>
      <w:r w:rsidR="00C64050">
        <w:rPr>
          <w:szCs w:val="20"/>
        </w:rPr>
        <w:t xml:space="preserve"> </w:t>
      </w:r>
      <w:r w:rsidRPr="00E013AC">
        <w:rPr>
          <w:szCs w:val="20"/>
        </w:rPr>
        <w:t>of</w:t>
      </w:r>
      <w:r w:rsidR="00C64050">
        <w:rPr>
          <w:szCs w:val="20"/>
        </w:rPr>
        <w:t xml:space="preserve"> </w:t>
      </w:r>
      <w:r w:rsidRPr="00E013AC">
        <w:rPr>
          <w:szCs w:val="20"/>
        </w:rPr>
        <w:t>a</w:t>
      </w:r>
      <w:r w:rsidR="00C64050">
        <w:rPr>
          <w:szCs w:val="20"/>
        </w:rPr>
        <w:t xml:space="preserve"> </w:t>
      </w:r>
      <w:r w:rsidRPr="00E013AC">
        <w:rPr>
          <w:szCs w:val="20"/>
        </w:rPr>
        <w:t>qualified</w:t>
      </w:r>
      <w:r w:rsidR="00C64050">
        <w:rPr>
          <w:szCs w:val="20"/>
        </w:rPr>
        <w:t xml:space="preserve"> </w:t>
      </w:r>
      <w:r w:rsidRPr="00E013AC">
        <w:rPr>
          <w:szCs w:val="20"/>
        </w:rPr>
        <w:t>beneficiary</w:t>
      </w:r>
      <w:r w:rsidR="00C64050">
        <w:rPr>
          <w:szCs w:val="20"/>
        </w:rPr>
        <w:t xml:space="preserve"> </w:t>
      </w:r>
      <w:r w:rsidRPr="00E013AC">
        <w:rPr>
          <w:szCs w:val="20"/>
        </w:rPr>
        <w:t>under</w:t>
      </w:r>
      <w:r w:rsidR="00C64050">
        <w:rPr>
          <w:szCs w:val="20"/>
        </w:rPr>
        <w:t xml:space="preserve"> </w:t>
      </w:r>
      <w:r w:rsidRPr="00E013AC">
        <w:rPr>
          <w:szCs w:val="20"/>
        </w:rPr>
        <w:t>this</w:t>
      </w:r>
      <w:r w:rsidR="00C64050">
        <w:rPr>
          <w:szCs w:val="20"/>
        </w:rPr>
        <w:t xml:space="preserve"> </w:t>
      </w:r>
      <w:r w:rsidRPr="00E013AC">
        <w:rPr>
          <w:szCs w:val="20"/>
        </w:rPr>
        <w:t>Code</w:t>
      </w:r>
      <w:r w:rsidR="00C64050">
        <w:rPr>
          <w:szCs w:val="20"/>
        </w:rPr>
        <w:t xml:space="preserve"> </w:t>
      </w:r>
      <w:r w:rsidRPr="00E013AC">
        <w:rPr>
          <w:szCs w:val="20"/>
        </w:rPr>
        <w:t>if</w:t>
      </w:r>
      <w:r w:rsidR="00C64050">
        <w:rPr>
          <w:szCs w:val="20"/>
        </w:rPr>
        <w:t xml:space="preserve"> </w:t>
      </w:r>
      <w:r w:rsidRPr="00E013AC">
        <w:rPr>
          <w:szCs w:val="20"/>
        </w:rPr>
        <w:t>the</w:t>
      </w:r>
      <w:r w:rsidR="00C64050">
        <w:rPr>
          <w:szCs w:val="20"/>
        </w:rPr>
        <w:t xml:space="preserve"> </w:t>
      </w:r>
      <w:r w:rsidRPr="00E013AC">
        <w:rPr>
          <w:szCs w:val="20"/>
        </w:rPr>
        <w:t>charitable</w:t>
      </w:r>
      <w:r w:rsidR="00C64050">
        <w:rPr>
          <w:szCs w:val="20"/>
        </w:rPr>
        <w:t xml:space="preserve"> </w:t>
      </w:r>
      <w:r w:rsidRPr="00E013AC">
        <w:rPr>
          <w:szCs w:val="20"/>
        </w:rPr>
        <w:t>organization,</w:t>
      </w:r>
      <w:r w:rsidR="00C64050">
        <w:rPr>
          <w:szCs w:val="20"/>
        </w:rPr>
        <w:t xml:space="preserve"> </w:t>
      </w:r>
      <w:r w:rsidRPr="00E013AC">
        <w:rPr>
          <w:szCs w:val="20"/>
        </w:rPr>
        <w:t>on</w:t>
      </w:r>
      <w:r w:rsidR="00C64050">
        <w:rPr>
          <w:szCs w:val="20"/>
        </w:rPr>
        <w:t xml:space="preserve"> </w:t>
      </w:r>
      <w:r w:rsidRPr="00E013AC">
        <w:rPr>
          <w:szCs w:val="20"/>
        </w:rPr>
        <w:t>the</w:t>
      </w:r>
      <w:r w:rsidR="00C64050">
        <w:rPr>
          <w:szCs w:val="20"/>
        </w:rPr>
        <w:t xml:space="preserve"> </w:t>
      </w:r>
      <w:r w:rsidRPr="00E013AC">
        <w:rPr>
          <w:szCs w:val="20"/>
        </w:rPr>
        <w:t>date</w:t>
      </w:r>
      <w:r w:rsidR="00C64050">
        <w:rPr>
          <w:szCs w:val="20"/>
        </w:rPr>
        <w:t xml:space="preserve"> </w:t>
      </w:r>
      <w:r w:rsidRPr="00E013AC">
        <w:rPr>
          <w:szCs w:val="20"/>
        </w:rPr>
        <w:t>the</w:t>
      </w:r>
      <w:r w:rsidR="00C64050">
        <w:rPr>
          <w:szCs w:val="20"/>
        </w:rPr>
        <w:t xml:space="preserve"> </w:t>
      </w:r>
      <w:r w:rsidRPr="00E013AC">
        <w:rPr>
          <w:szCs w:val="20"/>
        </w:rPr>
        <w:t>charitable</w:t>
      </w:r>
      <w:r w:rsidR="00C64050">
        <w:rPr>
          <w:szCs w:val="20"/>
        </w:rPr>
        <w:t xml:space="preserve"> </w:t>
      </w:r>
      <w:r w:rsidRPr="00E013AC">
        <w:rPr>
          <w:szCs w:val="20"/>
        </w:rPr>
        <w:t>organization's</w:t>
      </w:r>
      <w:r w:rsidR="00C64050">
        <w:rPr>
          <w:szCs w:val="20"/>
        </w:rPr>
        <w:t xml:space="preserve"> </w:t>
      </w:r>
      <w:r w:rsidRPr="00E013AC">
        <w:rPr>
          <w:szCs w:val="20"/>
        </w:rPr>
        <w:t>qualification</w:t>
      </w:r>
      <w:r w:rsidR="00C64050">
        <w:rPr>
          <w:szCs w:val="20"/>
        </w:rPr>
        <w:t xml:space="preserve"> </w:t>
      </w:r>
      <w:r w:rsidRPr="00E013AC">
        <w:rPr>
          <w:szCs w:val="20"/>
        </w:rPr>
        <w:t>is</w:t>
      </w:r>
      <w:r w:rsidR="00C64050">
        <w:rPr>
          <w:szCs w:val="20"/>
        </w:rPr>
        <w:t xml:space="preserve"> </w:t>
      </w:r>
      <w:r w:rsidRPr="00E013AC">
        <w:rPr>
          <w:szCs w:val="20"/>
        </w:rPr>
        <w:t>being</w:t>
      </w:r>
      <w:r w:rsidR="00C64050">
        <w:rPr>
          <w:szCs w:val="20"/>
        </w:rPr>
        <w:t xml:space="preserve"> </w:t>
      </w:r>
      <w:r w:rsidRPr="00E013AC">
        <w:rPr>
          <w:szCs w:val="20"/>
        </w:rPr>
        <w:t>determined:</w:t>
      </w:r>
    </w:p>
    <w:p w:rsidR="00E013AC" w:rsidRPr="00E013AC" w:rsidRDefault="00E013AC" w:rsidP="00F90618">
      <w:pPr>
        <w:pStyle w:val="QS10"/>
        <w:ind w:left="2160"/>
        <w:rPr>
          <w:szCs w:val="20"/>
        </w:rPr>
      </w:pPr>
      <w:r w:rsidRPr="00E013AC">
        <w:rPr>
          <w:rStyle w:val="Strong"/>
          <w:szCs w:val="20"/>
        </w:rPr>
        <w:t>A.</w:t>
      </w:r>
      <w:r w:rsidR="00C64050">
        <w:rPr>
          <w:szCs w:val="20"/>
        </w:rPr>
        <w:t xml:space="preserve"> </w:t>
      </w:r>
      <w:r w:rsidRPr="00E013AC">
        <w:rPr>
          <w:szCs w:val="20"/>
        </w:rPr>
        <w:t>Is</w:t>
      </w:r>
      <w:r w:rsidR="00C64050">
        <w:rPr>
          <w:szCs w:val="20"/>
        </w:rPr>
        <w:t xml:space="preserve"> </w:t>
      </w:r>
      <w:r w:rsidRPr="00E013AC">
        <w:rPr>
          <w:szCs w:val="20"/>
        </w:rPr>
        <w:t>a</w:t>
      </w:r>
      <w:r w:rsidR="00C64050">
        <w:rPr>
          <w:szCs w:val="20"/>
        </w:rPr>
        <w:t xml:space="preserve"> </w:t>
      </w:r>
      <w:r w:rsidRPr="00E013AC">
        <w:rPr>
          <w:szCs w:val="20"/>
        </w:rPr>
        <w:t>distributee</w:t>
      </w:r>
      <w:r w:rsidR="00C64050">
        <w:rPr>
          <w:szCs w:val="20"/>
        </w:rPr>
        <w:t xml:space="preserve"> </w:t>
      </w:r>
      <w:r w:rsidRPr="00E013AC">
        <w:rPr>
          <w:szCs w:val="20"/>
        </w:rPr>
        <w:t>or</w:t>
      </w:r>
      <w:r w:rsidR="00C64050">
        <w:rPr>
          <w:szCs w:val="20"/>
        </w:rPr>
        <w:t xml:space="preserve"> </w:t>
      </w:r>
      <w:r w:rsidRPr="00E013AC">
        <w:rPr>
          <w:szCs w:val="20"/>
        </w:rPr>
        <w:t>permissible</w:t>
      </w:r>
      <w:r w:rsidR="00C64050">
        <w:rPr>
          <w:szCs w:val="20"/>
        </w:rPr>
        <w:t xml:space="preserve"> </w:t>
      </w:r>
      <w:r w:rsidRPr="00E013AC">
        <w:rPr>
          <w:szCs w:val="20"/>
        </w:rPr>
        <w:t>distributee</w:t>
      </w:r>
      <w:r w:rsidR="00C64050">
        <w:rPr>
          <w:szCs w:val="20"/>
        </w:rPr>
        <w:t xml:space="preserve"> </w:t>
      </w:r>
      <w:r w:rsidRPr="00E013AC">
        <w:rPr>
          <w:szCs w:val="20"/>
        </w:rPr>
        <w:t>of</w:t>
      </w:r>
      <w:r w:rsidR="00C64050">
        <w:rPr>
          <w:szCs w:val="20"/>
        </w:rPr>
        <w:t xml:space="preserve"> </w:t>
      </w:r>
      <w:r w:rsidRPr="00E013AC">
        <w:rPr>
          <w:szCs w:val="20"/>
        </w:rPr>
        <w:t>trust</w:t>
      </w:r>
      <w:r w:rsidR="00C64050">
        <w:rPr>
          <w:szCs w:val="20"/>
        </w:rPr>
        <w:t xml:space="preserve"> </w:t>
      </w:r>
      <w:r w:rsidRPr="00E013AC">
        <w:rPr>
          <w:szCs w:val="20"/>
        </w:rPr>
        <w:t>income</w:t>
      </w:r>
      <w:r w:rsidR="00C64050">
        <w:rPr>
          <w:szCs w:val="20"/>
        </w:rPr>
        <w:t xml:space="preserve"> </w:t>
      </w:r>
      <w:r w:rsidRPr="00E013AC">
        <w:rPr>
          <w:szCs w:val="20"/>
        </w:rPr>
        <w:t>or</w:t>
      </w:r>
      <w:r w:rsidR="00C64050">
        <w:rPr>
          <w:szCs w:val="20"/>
        </w:rPr>
        <w:t xml:space="preserve"> </w:t>
      </w:r>
      <w:r w:rsidRPr="00E013AC">
        <w:rPr>
          <w:szCs w:val="20"/>
        </w:rPr>
        <w:t>principal;</w:t>
      </w:r>
    </w:p>
    <w:p w:rsidR="00E013AC" w:rsidRPr="00E013AC" w:rsidRDefault="00E013AC" w:rsidP="00F90618">
      <w:pPr>
        <w:pStyle w:val="QS10"/>
        <w:ind w:left="2160"/>
        <w:rPr>
          <w:szCs w:val="20"/>
        </w:rPr>
      </w:pPr>
      <w:r w:rsidRPr="00E013AC">
        <w:rPr>
          <w:rStyle w:val="Strong"/>
          <w:szCs w:val="20"/>
        </w:rPr>
        <w:t>B.</w:t>
      </w:r>
      <w:r w:rsidR="00C64050">
        <w:rPr>
          <w:szCs w:val="20"/>
        </w:rPr>
        <w:t xml:space="preserve"> </w:t>
      </w:r>
      <w:r w:rsidRPr="00E013AC">
        <w:rPr>
          <w:szCs w:val="20"/>
        </w:rPr>
        <w:t>Would</w:t>
      </w:r>
      <w:r w:rsidR="00C64050">
        <w:rPr>
          <w:szCs w:val="20"/>
        </w:rPr>
        <w:t xml:space="preserve"> </w:t>
      </w:r>
      <w:r w:rsidRPr="00E013AC">
        <w:rPr>
          <w:szCs w:val="20"/>
        </w:rPr>
        <w:t>be</w:t>
      </w:r>
      <w:r w:rsidR="00C64050">
        <w:rPr>
          <w:szCs w:val="20"/>
        </w:rPr>
        <w:t xml:space="preserve"> </w:t>
      </w:r>
      <w:r w:rsidRPr="00E013AC">
        <w:rPr>
          <w:szCs w:val="20"/>
        </w:rPr>
        <w:t>a</w:t>
      </w:r>
      <w:r w:rsidR="00C64050">
        <w:rPr>
          <w:szCs w:val="20"/>
        </w:rPr>
        <w:t xml:space="preserve"> </w:t>
      </w:r>
      <w:r w:rsidRPr="00E013AC">
        <w:rPr>
          <w:szCs w:val="20"/>
        </w:rPr>
        <w:t>distributee</w:t>
      </w:r>
      <w:r w:rsidR="00C64050">
        <w:rPr>
          <w:szCs w:val="20"/>
        </w:rPr>
        <w:t xml:space="preserve"> </w:t>
      </w:r>
      <w:r w:rsidRPr="00E013AC">
        <w:rPr>
          <w:szCs w:val="20"/>
        </w:rPr>
        <w:t>or</w:t>
      </w:r>
      <w:r w:rsidR="00C64050">
        <w:rPr>
          <w:szCs w:val="20"/>
        </w:rPr>
        <w:t xml:space="preserve"> </w:t>
      </w:r>
      <w:r w:rsidRPr="00E013AC">
        <w:rPr>
          <w:szCs w:val="20"/>
        </w:rPr>
        <w:t>a</w:t>
      </w:r>
      <w:r w:rsidR="00C64050">
        <w:rPr>
          <w:szCs w:val="20"/>
        </w:rPr>
        <w:t xml:space="preserve"> </w:t>
      </w:r>
      <w:r w:rsidRPr="00E013AC">
        <w:rPr>
          <w:szCs w:val="20"/>
        </w:rPr>
        <w:t>permissible</w:t>
      </w:r>
      <w:r w:rsidR="00C64050">
        <w:rPr>
          <w:szCs w:val="20"/>
        </w:rPr>
        <w:t xml:space="preserve"> </w:t>
      </w:r>
      <w:r w:rsidRPr="00E013AC">
        <w:rPr>
          <w:szCs w:val="20"/>
        </w:rPr>
        <w:t>distributee</w:t>
      </w:r>
      <w:r w:rsidR="00C64050">
        <w:rPr>
          <w:szCs w:val="20"/>
        </w:rPr>
        <w:t xml:space="preserve"> </w:t>
      </w:r>
      <w:r w:rsidRPr="00E013AC">
        <w:rPr>
          <w:szCs w:val="20"/>
        </w:rPr>
        <w:t>of</w:t>
      </w:r>
      <w:r w:rsidR="00C64050">
        <w:rPr>
          <w:szCs w:val="20"/>
        </w:rPr>
        <w:t xml:space="preserve"> </w:t>
      </w:r>
      <w:r w:rsidRPr="00E013AC">
        <w:rPr>
          <w:szCs w:val="20"/>
        </w:rPr>
        <w:t>trust</w:t>
      </w:r>
      <w:r w:rsidR="00C64050">
        <w:rPr>
          <w:szCs w:val="20"/>
        </w:rPr>
        <w:t xml:space="preserve"> </w:t>
      </w:r>
      <w:r w:rsidRPr="00E013AC">
        <w:rPr>
          <w:szCs w:val="20"/>
        </w:rPr>
        <w:t>income</w:t>
      </w:r>
      <w:r w:rsidR="00C64050">
        <w:rPr>
          <w:szCs w:val="20"/>
        </w:rPr>
        <w:t xml:space="preserve"> </w:t>
      </w:r>
      <w:r w:rsidRPr="00E013AC">
        <w:rPr>
          <w:szCs w:val="20"/>
        </w:rPr>
        <w:t>or</w:t>
      </w:r>
      <w:r w:rsidR="00C64050">
        <w:rPr>
          <w:szCs w:val="20"/>
        </w:rPr>
        <w:t xml:space="preserve"> </w:t>
      </w:r>
      <w:r w:rsidRPr="00E013AC">
        <w:rPr>
          <w:szCs w:val="20"/>
        </w:rPr>
        <w:t>principal</w:t>
      </w:r>
      <w:r w:rsidR="00C64050">
        <w:rPr>
          <w:szCs w:val="20"/>
        </w:rPr>
        <w:t xml:space="preserve"> </w:t>
      </w:r>
      <w:r w:rsidRPr="00E013AC">
        <w:rPr>
          <w:szCs w:val="20"/>
        </w:rPr>
        <w:t>upon</w:t>
      </w:r>
      <w:r w:rsidR="00C64050">
        <w:rPr>
          <w:szCs w:val="20"/>
        </w:rPr>
        <w:t xml:space="preserve"> </w:t>
      </w:r>
      <w:r w:rsidRPr="00E013AC">
        <w:rPr>
          <w:szCs w:val="20"/>
        </w:rPr>
        <w:t>the</w:t>
      </w:r>
      <w:r w:rsidR="00C64050">
        <w:rPr>
          <w:szCs w:val="20"/>
        </w:rPr>
        <w:t xml:space="preserve"> </w:t>
      </w:r>
      <w:r w:rsidRPr="00E013AC">
        <w:rPr>
          <w:szCs w:val="20"/>
        </w:rPr>
        <w:t>termination</w:t>
      </w:r>
      <w:r w:rsidR="00C64050">
        <w:rPr>
          <w:szCs w:val="20"/>
        </w:rPr>
        <w:t xml:space="preserve"> </w:t>
      </w:r>
      <w:r w:rsidRPr="00E013AC">
        <w:rPr>
          <w:szCs w:val="20"/>
        </w:rPr>
        <w:t>of</w:t>
      </w:r>
      <w:r w:rsidR="00C64050">
        <w:rPr>
          <w:szCs w:val="20"/>
        </w:rPr>
        <w:t xml:space="preserve"> </w:t>
      </w:r>
      <w:r w:rsidRPr="00E013AC">
        <w:rPr>
          <w:szCs w:val="20"/>
        </w:rPr>
        <w:t>the</w:t>
      </w:r>
      <w:r w:rsidR="00C64050">
        <w:rPr>
          <w:szCs w:val="20"/>
        </w:rPr>
        <w:t xml:space="preserve"> </w:t>
      </w:r>
      <w:r w:rsidRPr="00E013AC">
        <w:rPr>
          <w:szCs w:val="20"/>
        </w:rPr>
        <w:t>interests</w:t>
      </w:r>
      <w:r w:rsidR="00C64050">
        <w:rPr>
          <w:szCs w:val="20"/>
        </w:rPr>
        <w:t xml:space="preserve"> </w:t>
      </w:r>
      <w:r w:rsidRPr="00E013AC">
        <w:rPr>
          <w:szCs w:val="20"/>
        </w:rPr>
        <w:t>of</w:t>
      </w:r>
      <w:r w:rsidR="00C64050">
        <w:rPr>
          <w:szCs w:val="20"/>
        </w:rPr>
        <w:t xml:space="preserve"> </w:t>
      </w:r>
      <w:r w:rsidRPr="00E013AC">
        <w:rPr>
          <w:szCs w:val="20"/>
        </w:rPr>
        <w:t>other</w:t>
      </w:r>
      <w:r w:rsidR="00C64050">
        <w:rPr>
          <w:szCs w:val="20"/>
        </w:rPr>
        <w:t xml:space="preserve"> </w:t>
      </w:r>
      <w:r w:rsidRPr="00E013AC">
        <w:rPr>
          <w:szCs w:val="20"/>
        </w:rPr>
        <w:t>distributees</w:t>
      </w:r>
      <w:r w:rsidR="00C64050">
        <w:rPr>
          <w:szCs w:val="20"/>
        </w:rPr>
        <w:t xml:space="preserve"> </w:t>
      </w:r>
      <w:r w:rsidRPr="00E013AC">
        <w:rPr>
          <w:szCs w:val="20"/>
        </w:rPr>
        <w:t>or</w:t>
      </w:r>
      <w:r w:rsidR="00C64050">
        <w:rPr>
          <w:szCs w:val="20"/>
        </w:rPr>
        <w:t xml:space="preserve"> </w:t>
      </w:r>
      <w:r w:rsidRPr="00E013AC">
        <w:rPr>
          <w:szCs w:val="20"/>
        </w:rPr>
        <w:t>permissible</w:t>
      </w:r>
      <w:r w:rsidR="00C64050">
        <w:rPr>
          <w:szCs w:val="20"/>
        </w:rPr>
        <w:t xml:space="preserve"> </w:t>
      </w:r>
      <w:r w:rsidRPr="00E013AC">
        <w:rPr>
          <w:szCs w:val="20"/>
        </w:rPr>
        <w:t>distributees</w:t>
      </w:r>
      <w:r w:rsidR="00C64050">
        <w:rPr>
          <w:szCs w:val="20"/>
        </w:rPr>
        <w:t xml:space="preserve"> </w:t>
      </w:r>
      <w:r w:rsidRPr="00E013AC">
        <w:rPr>
          <w:szCs w:val="20"/>
        </w:rPr>
        <w:t>then</w:t>
      </w:r>
      <w:r w:rsidR="00C64050">
        <w:rPr>
          <w:szCs w:val="20"/>
        </w:rPr>
        <w:t xml:space="preserve"> </w:t>
      </w:r>
      <w:r w:rsidRPr="00E013AC">
        <w:rPr>
          <w:szCs w:val="20"/>
        </w:rPr>
        <w:t>receiving</w:t>
      </w:r>
      <w:r w:rsidR="00C64050">
        <w:rPr>
          <w:szCs w:val="20"/>
        </w:rPr>
        <w:t xml:space="preserve"> </w:t>
      </w:r>
      <w:r w:rsidRPr="00E013AC">
        <w:rPr>
          <w:szCs w:val="20"/>
        </w:rPr>
        <w:t>or</w:t>
      </w:r>
      <w:r w:rsidR="00C64050">
        <w:rPr>
          <w:szCs w:val="20"/>
        </w:rPr>
        <w:t xml:space="preserve"> </w:t>
      </w:r>
      <w:r w:rsidRPr="00E013AC">
        <w:rPr>
          <w:szCs w:val="20"/>
        </w:rPr>
        <w:t>eligible</w:t>
      </w:r>
      <w:r w:rsidR="00C64050">
        <w:rPr>
          <w:szCs w:val="20"/>
        </w:rPr>
        <w:t xml:space="preserve"> </w:t>
      </w:r>
      <w:r w:rsidRPr="00E013AC">
        <w:rPr>
          <w:szCs w:val="20"/>
        </w:rPr>
        <w:t>to</w:t>
      </w:r>
      <w:r w:rsidR="00C64050">
        <w:rPr>
          <w:szCs w:val="20"/>
        </w:rPr>
        <w:t xml:space="preserve"> </w:t>
      </w:r>
      <w:r w:rsidRPr="00E013AC">
        <w:rPr>
          <w:szCs w:val="20"/>
        </w:rPr>
        <w:t>receive</w:t>
      </w:r>
      <w:r w:rsidR="00C64050">
        <w:rPr>
          <w:szCs w:val="20"/>
        </w:rPr>
        <w:t xml:space="preserve"> </w:t>
      </w:r>
      <w:r w:rsidRPr="00E013AC">
        <w:rPr>
          <w:szCs w:val="20"/>
        </w:rPr>
        <w:t>distributions;</w:t>
      </w:r>
      <w:r w:rsidR="00C64050">
        <w:rPr>
          <w:szCs w:val="20"/>
        </w:rPr>
        <w:t xml:space="preserve"> </w:t>
      </w:r>
      <w:r w:rsidRPr="00E013AC">
        <w:rPr>
          <w:szCs w:val="20"/>
        </w:rPr>
        <w:t>or</w:t>
      </w:r>
    </w:p>
    <w:p w:rsidR="00E013AC" w:rsidRPr="00E013AC" w:rsidRDefault="00E013AC" w:rsidP="00F90618">
      <w:pPr>
        <w:pStyle w:val="QS10"/>
        <w:ind w:left="2160"/>
        <w:rPr>
          <w:szCs w:val="20"/>
        </w:rPr>
      </w:pPr>
      <w:r w:rsidRPr="00E013AC">
        <w:rPr>
          <w:rStyle w:val="Strong"/>
          <w:szCs w:val="20"/>
        </w:rPr>
        <w:t>C.</w:t>
      </w:r>
      <w:r w:rsidR="00C64050">
        <w:rPr>
          <w:szCs w:val="20"/>
        </w:rPr>
        <w:t xml:space="preserve"> </w:t>
      </w:r>
      <w:r w:rsidRPr="00E013AC">
        <w:rPr>
          <w:szCs w:val="20"/>
        </w:rPr>
        <w:t>Would</w:t>
      </w:r>
      <w:r w:rsidR="00C64050">
        <w:rPr>
          <w:szCs w:val="20"/>
        </w:rPr>
        <w:t xml:space="preserve"> </w:t>
      </w:r>
      <w:r w:rsidRPr="00E013AC">
        <w:rPr>
          <w:szCs w:val="20"/>
        </w:rPr>
        <w:t>be</w:t>
      </w:r>
      <w:r w:rsidR="00C64050">
        <w:rPr>
          <w:szCs w:val="20"/>
        </w:rPr>
        <w:t xml:space="preserve"> </w:t>
      </w:r>
      <w:r w:rsidRPr="00E013AC">
        <w:rPr>
          <w:szCs w:val="20"/>
        </w:rPr>
        <w:t>a</w:t>
      </w:r>
      <w:r w:rsidR="00C64050">
        <w:rPr>
          <w:szCs w:val="20"/>
        </w:rPr>
        <w:t xml:space="preserve"> </w:t>
      </w:r>
      <w:r w:rsidRPr="00E013AC">
        <w:rPr>
          <w:szCs w:val="20"/>
        </w:rPr>
        <w:t>distributee</w:t>
      </w:r>
      <w:r w:rsidR="00C64050">
        <w:rPr>
          <w:szCs w:val="20"/>
        </w:rPr>
        <w:t xml:space="preserve"> </w:t>
      </w:r>
      <w:r w:rsidRPr="00E013AC">
        <w:rPr>
          <w:szCs w:val="20"/>
        </w:rPr>
        <w:t>or</w:t>
      </w:r>
      <w:r w:rsidR="00C64050">
        <w:rPr>
          <w:szCs w:val="20"/>
        </w:rPr>
        <w:t xml:space="preserve"> </w:t>
      </w:r>
      <w:r w:rsidRPr="00E013AC">
        <w:rPr>
          <w:szCs w:val="20"/>
        </w:rPr>
        <w:t>permissible</w:t>
      </w:r>
      <w:r w:rsidR="00C64050">
        <w:rPr>
          <w:szCs w:val="20"/>
        </w:rPr>
        <w:t xml:space="preserve"> </w:t>
      </w:r>
      <w:r w:rsidRPr="00E013AC">
        <w:rPr>
          <w:szCs w:val="20"/>
        </w:rPr>
        <w:t>distributee</w:t>
      </w:r>
      <w:r w:rsidR="00C64050">
        <w:rPr>
          <w:szCs w:val="20"/>
        </w:rPr>
        <w:t xml:space="preserve"> </w:t>
      </w:r>
      <w:r w:rsidRPr="00E013AC">
        <w:rPr>
          <w:szCs w:val="20"/>
        </w:rPr>
        <w:t>of</w:t>
      </w:r>
      <w:r w:rsidR="00C64050">
        <w:rPr>
          <w:szCs w:val="20"/>
        </w:rPr>
        <w:t xml:space="preserve"> </w:t>
      </w:r>
      <w:r w:rsidRPr="00E013AC">
        <w:rPr>
          <w:szCs w:val="20"/>
        </w:rPr>
        <w:t>trust</w:t>
      </w:r>
      <w:r w:rsidR="00C64050">
        <w:rPr>
          <w:szCs w:val="20"/>
        </w:rPr>
        <w:t xml:space="preserve"> </w:t>
      </w:r>
      <w:r w:rsidRPr="00E013AC">
        <w:rPr>
          <w:szCs w:val="20"/>
        </w:rPr>
        <w:t>income</w:t>
      </w:r>
      <w:r w:rsidR="00C64050">
        <w:rPr>
          <w:szCs w:val="20"/>
        </w:rPr>
        <w:t xml:space="preserve"> </w:t>
      </w:r>
      <w:r w:rsidRPr="00E013AC">
        <w:rPr>
          <w:szCs w:val="20"/>
        </w:rPr>
        <w:t>or</w:t>
      </w:r>
      <w:r w:rsidR="00C64050">
        <w:rPr>
          <w:szCs w:val="20"/>
        </w:rPr>
        <w:t xml:space="preserve"> </w:t>
      </w:r>
      <w:r w:rsidRPr="00E013AC">
        <w:rPr>
          <w:szCs w:val="20"/>
        </w:rPr>
        <w:t>principal</w:t>
      </w:r>
      <w:r w:rsidR="00C64050">
        <w:rPr>
          <w:szCs w:val="20"/>
        </w:rPr>
        <w:t xml:space="preserve"> </w:t>
      </w:r>
      <w:r w:rsidRPr="00E013AC">
        <w:rPr>
          <w:szCs w:val="20"/>
        </w:rPr>
        <w:t>if</w:t>
      </w:r>
      <w:r w:rsidR="00C64050">
        <w:rPr>
          <w:szCs w:val="20"/>
        </w:rPr>
        <w:t xml:space="preserve"> </w:t>
      </w:r>
      <w:r w:rsidRPr="00E013AC">
        <w:rPr>
          <w:szCs w:val="20"/>
        </w:rPr>
        <w:t>the</w:t>
      </w:r>
      <w:r w:rsidR="00C64050">
        <w:rPr>
          <w:szCs w:val="20"/>
        </w:rPr>
        <w:t xml:space="preserve"> </w:t>
      </w:r>
      <w:r w:rsidRPr="00E013AC">
        <w:rPr>
          <w:szCs w:val="20"/>
        </w:rPr>
        <w:t>trust</w:t>
      </w:r>
      <w:r w:rsidR="00C64050">
        <w:rPr>
          <w:szCs w:val="20"/>
        </w:rPr>
        <w:t xml:space="preserve"> </w:t>
      </w:r>
      <w:r w:rsidRPr="00E013AC">
        <w:rPr>
          <w:szCs w:val="20"/>
        </w:rPr>
        <w:t>terminated</w:t>
      </w:r>
      <w:r w:rsidR="00C64050">
        <w:rPr>
          <w:szCs w:val="20"/>
        </w:rPr>
        <w:t xml:space="preserve"> </w:t>
      </w:r>
      <w:r w:rsidRPr="00E013AC">
        <w:rPr>
          <w:szCs w:val="20"/>
        </w:rPr>
        <w:t>on</w:t>
      </w:r>
      <w:r w:rsidR="00C64050">
        <w:rPr>
          <w:szCs w:val="20"/>
        </w:rPr>
        <w:t xml:space="preserve"> </w:t>
      </w:r>
      <w:r w:rsidRPr="00E013AC">
        <w:rPr>
          <w:szCs w:val="20"/>
        </w:rPr>
        <w:t>that</w:t>
      </w:r>
      <w:r w:rsidR="00C64050">
        <w:rPr>
          <w:szCs w:val="20"/>
        </w:rPr>
        <w:t xml:space="preserve"> </w:t>
      </w:r>
      <w:r w:rsidRPr="00E013AC">
        <w:rPr>
          <w:szCs w:val="20"/>
        </w:rPr>
        <w:t>date.</w:t>
      </w:r>
    </w:p>
    <w:p w:rsidR="00E013AC" w:rsidRPr="00E013AC" w:rsidRDefault="00E013AC" w:rsidP="00E013AC">
      <w:pPr>
        <w:pStyle w:val="QS10"/>
        <w:rPr>
          <w:szCs w:val="20"/>
        </w:rPr>
      </w:pPr>
      <w:r w:rsidRPr="00E013AC">
        <w:rPr>
          <w:szCs w:val="20"/>
        </w:rPr>
        <w:t>The</w:t>
      </w:r>
      <w:r w:rsidR="00C64050">
        <w:rPr>
          <w:szCs w:val="20"/>
        </w:rPr>
        <w:t xml:space="preserve"> </w:t>
      </w:r>
      <w:r w:rsidRPr="00E013AC">
        <w:rPr>
          <w:szCs w:val="20"/>
        </w:rPr>
        <w:t>Legislature's</w:t>
      </w:r>
      <w:r w:rsidR="00C64050">
        <w:rPr>
          <w:szCs w:val="20"/>
        </w:rPr>
        <w:t xml:space="preserve"> </w:t>
      </w:r>
      <w:r w:rsidRPr="00E013AC">
        <w:rPr>
          <w:szCs w:val="20"/>
        </w:rPr>
        <w:t>use</w:t>
      </w:r>
      <w:r w:rsidR="00C64050">
        <w:rPr>
          <w:szCs w:val="20"/>
        </w:rPr>
        <w:t xml:space="preserve"> </w:t>
      </w:r>
      <w:r w:rsidRPr="00E013AC">
        <w:rPr>
          <w:szCs w:val="20"/>
        </w:rPr>
        <w:t>of</w:t>
      </w:r>
      <w:r w:rsidR="00C64050">
        <w:rPr>
          <w:szCs w:val="20"/>
        </w:rPr>
        <w:t xml:space="preserve"> </w:t>
      </w:r>
      <w:r w:rsidRPr="00E013AC">
        <w:rPr>
          <w:szCs w:val="20"/>
        </w:rPr>
        <w:t>nearly</w:t>
      </w:r>
      <w:r w:rsidR="00C64050">
        <w:rPr>
          <w:szCs w:val="20"/>
        </w:rPr>
        <w:t xml:space="preserve"> </w:t>
      </w:r>
      <w:r w:rsidRPr="00E013AC">
        <w:rPr>
          <w:szCs w:val="20"/>
        </w:rPr>
        <w:t>identical</w:t>
      </w:r>
      <w:r w:rsidR="00C64050">
        <w:rPr>
          <w:szCs w:val="20"/>
        </w:rPr>
        <w:t xml:space="preserve"> </w:t>
      </w:r>
      <w:r w:rsidRPr="00E013AC">
        <w:rPr>
          <w:szCs w:val="20"/>
        </w:rPr>
        <w:t>language</w:t>
      </w:r>
      <w:r w:rsidR="00C64050">
        <w:rPr>
          <w:szCs w:val="20"/>
        </w:rPr>
        <w:t xml:space="preserve"> </w:t>
      </w:r>
      <w:r w:rsidRPr="00E013AC">
        <w:rPr>
          <w:szCs w:val="20"/>
        </w:rPr>
        <w:t>in</w:t>
      </w:r>
      <w:r w:rsidR="00C64050">
        <w:rPr>
          <w:szCs w:val="20"/>
        </w:rPr>
        <w:t xml:space="preserve"> </w:t>
      </w:r>
      <w:r w:rsidRPr="00E013AC">
        <w:rPr>
          <w:szCs w:val="20"/>
        </w:rPr>
        <w:t>sections</w:t>
      </w:r>
      <w:r w:rsidR="00C64050">
        <w:rPr>
          <w:szCs w:val="20"/>
        </w:rPr>
        <w:t xml:space="preserve"> </w:t>
      </w:r>
      <w:r w:rsidRPr="00E013AC">
        <w:rPr>
          <w:szCs w:val="20"/>
        </w:rPr>
        <w:t>103(12)(A)-(C)</w:t>
      </w:r>
      <w:r w:rsidR="00C64050">
        <w:rPr>
          <w:szCs w:val="20"/>
        </w:rPr>
        <w:t xml:space="preserve"> </w:t>
      </w:r>
      <w:r w:rsidRPr="00E013AC">
        <w:rPr>
          <w:szCs w:val="20"/>
        </w:rPr>
        <w:t>and</w:t>
      </w:r>
      <w:r w:rsidR="00C64050">
        <w:rPr>
          <w:szCs w:val="20"/>
        </w:rPr>
        <w:t xml:space="preserve"> </w:t>
      </w:r>
      <w:r w:rsidRPr="00E013AC">
        <w:rPr>
          <w:szCs w:val="20"/>
        </w:rPr>
        <w:t>110(1)(A)-(C)</w:t>
      </w:r>
      <w:r w:rsidR="00C64050">
        <w:rPr>
          <w:szCs w:val="20"/>
        </w:rPr>
        <w:t xml:space="preserve"> </w:t>
      </w:r>
      <w:r w:rsidRPr="00E013AC">
        <w:rPr>
          <w:szCs w:val="20"/>
        </w:rPr>
        <w:t>demonstrates</w:t>
      </w:r>
      <w:r w:rsidR="00C64050">
        <w:rPr>
          <w:szCs w:val="20"/>
        </w:rPr>
        <w:t xml:space="preserve"> </w:t>
      </w:r>
      <w:r w:rsidRPr="00E013AC">
        <w:rPr>
          <w:szCs w:val="20"/>
        </w:rPr>
        <w:t>its</w:t>
      </w:r>
      <w:r w:rsidR="00C64050">
        <w:rPr>
          <w:szCs w:val="20"/>
        </w:rPr>
        <w:t xml:space="preserve"> </w:t>
      </w:r>
      <w:r w:rsidRPr="00E013AC">
        <w:rPr>
          <w:szCs w:val="20"/>
        </w:rPr>
        <w:t>intent</w:t>
      </w:r>
      <w:r w:rsidR="00C64050">
        <w:rPr>
          <w:szCs w:val="20"/>
        </w:rPr>
        <w:t xml:space="preserve"> </w:t>
      </w:r>
      <w:r w:rsidRPr="00E013AC">
        <w:rPr>
          <w:szCs w:val="20"/>
        </w:rPr>
        <w:t>that</w:t>
      </w:r>
      <w:r w:rsidR="00C64050">
        <w:rPr>
          <w:szCs w:val="20"/>
        </w:rPr>
        <w:t xml:space="preserve"> </w:t>
      </w:r>
      <w:r w:rsidRPr="00E013AC">
        <w:rPr>
          <w:szCs w:val="20"/>
        </w:rPr>
        <w:t>a</w:t>
      </w:r>
      <w:r w:rsidR="00C64050">
        <w:rPr>
          <w:szCs w:val="20"/>
        </w:rPr>
        <w:t xml:space="preserve"> </w:t>
      </w:r>
      <w:r w:rsidRPr="00E013AC">
        <w:rPr>
          <w:szCs w:val="20"/>
        </w:rPr>
        <w:t>charitable</w:t>
      </w:r>
      <w:r w:rsidR="00C64050">
        <w:rPr>
          <w:szCs w:val="20"/>
        </w:rPr>
        <w:t xml:space="preserve"> </w:t>
      </w:r>
      <w:r w:rsidRPr="00E013AC">
        <w:rPr>
          <w:szCs w:val="20"/>
        </w:rPr>
        <w:t>organization</w:t>
      </w:r>
      <w:r w:rsidR="00C64050">
        <w:rPr>
          <w:szCs w:val="20"/>
        </w:rPr>
        <w:t xml:space="preserve"> </w:t>
      </w:r>
      <w:r w:rsidRPr="00E013AC">
        <w:rPr>
          <w:szCs w:val="20"/>
        </w:rPr>
        <w:t>may</w:t>
      </w:r>
      <w:r w:rsidR="00C64050">
        <w:rPr>
          <w:szCs w:val="20"/>
        </w:rPr>
        <w:t xml:space="preserve"> </w:t>
      </w:r>
      <w:r w:rsidRPr="00E013AC">
        <w:rPr>
          <w:szCs w:val="20"/>
        </w:rPr>
        <w:t>assert</w:t>
      </w:r>
      <w:r w:rsidR="00C64050">
        <w:rPr>
          <w:szCs w:val="20"/>
        </w:rPr>
        <w:t xml:space="preserve"> </w:t>
      </w:r>
      <w:r w:rsidRPr="00E013AC">
        <w:rPr>
          <w:szCs w:val="20"/>
        </w:rPr>
        <w:t>the</w:t>
      </w:r>
      <w:r w:rsidR="00C64050">
        <w:rPr>
          <w:szCs w:val="20"/>
        </w:rPr>
        <w:t xml:space="preserve"> </w:t>
      </w:r>
      <w:r w:rsidRPr="00E013AC">
        <w:rPr>
          <w:szCs w:val="20"/>
        </w:rPr>
        <w:t>rights</w:t>
      </w:r>
      <w:r w:rsidR="00C64050">
        <w:rPr>
          <w:szCs w:val="20"/>
        </w:rPr>
        <w:t xml:space="preserve"> </w:t>
      </w:r>
      <w:r w:rsidRPr="00E013AC">
        <w:rPr>
          <w:szCs w:val="20"/>
        </w:rPr>
        <w:t>of</w:t>
      </w:r>
      <w:r w:rsidR="00C64050">
        <w:rPr>
          <w:szCs w:val="20"/>
        </w:rPr>
        <w:t xml:space="preserve"> </w:t>
      </w:r>
      <w:r w:rsidRPr="00E013AC">
        <w:rPr>
          <w:szCs w:val="20"/>
        </w:rPr>
        <w:t>a</w:t>
      </w:r>
      <w:r w:rsidR="00C64050">
        <w:rPr>
          <w:szCs w:val="20"/>
        </w:rPr>
        <w:t xml:space="preserve"> </w:t>
      </w:r>
      <w:r w:rsidRPr="00E013AC">
        <w:rPr>
          <w:szCs w:val="20"/>
        </w:rPr>
        <w:t>qualified</w:t>
      </w:r>
      <w:r w:rsidR="00C64050">
        <w:rPr>
          <w:szCs w:val="20"/>
        </w:rPr>
        <w:t xml:space="preserve"> </w:t>
      </w:r>
      <w:r w:rsidRPr="00E013AC">
        <w:rPr>
          <w:szCs w:val="20"/>
        </w:rPr>
        <w:t>beneficiary</w:t>
      </w:r>
      <w:r w:rsidR="00C64050">
        <w:rPr>
          <w:szCs w:val="20"/>
        </w:rPr>
        <w:t xml:space="preserve"> </w:t>
      </w:r>
      <w:r w:rsidRPr="00E013AC">
        <w:rPr>
          <w:szCs w:val="20"/>
        </w:rPr>
        <w:t>only</w:t>
      </w:r>
      <w:r w:rsidR="00C64050">
        <w:rPr>
          <w:szCs w:val="20"/>
        </w:rPr>
        <w:t xml:space="preserve"> </w:t>
      </w:r>
      <w:r w:rsidRPr="00E013AC">
        <w:rPr>
          <w:szCs w:val="20"/>
        </w:rPr>
        <w:t>if</w:t>
      </w:r>
      <w:r w:rsidR="00C64050">
        <w:rPr>
          <w:szCs w:val="20"/>
        </w:rPr>
        <w:t xml:space="preserve"> </w:t>
      </w:r>
      <w:r w:rsidRPr="00E013AC">
        <w:rPr>
          <w:szCs w:val="20"/>
        </w:rPr>
        <w:t>it</w:t>
      </w:r>
      <w:r w:rsidR="00C64050">
        <w:rPr>
          <w:szCs w:val="20"/>
        </w:rPr>
        <w:t xml:space="preserve"> </w:t>
      </w:r>
      <w:r w:rsidRPr="00E013AC">
        <w:rPr>
          <w:szCs w:val="20"/>
        </w:rPr>
        <w:t>has</w:t>
      </w:r>
      <w:r w:rsidR="00C64050">
        <w:rPr>
          <w:szCs w:val="20"/>
        </w:rPr>
        <w:t xml:space="preserve"> </w:t>
      </w:r>
      <w:r w:rsidRPr="00E013AC">
        <w:rPr>
          <w:szCs w:val="20"/>
        </w:rPr>
        <w:t>a</w:t>
      </w:r>
      <w:r w:rsidR="00C64050">
        <w:rPr>
          <w:szCs w:val="20"/>
        </w:rPr>
        <w:t xml:space="preserve"> </w:t>
      </w:r>
      <w:r w:rsidRPr="00E013AC">
        <w:rPr>
          <w:szCs w:val="20"/>
        </w:rPr>
        <w:t>beneficial</w:t>
      </w:r>
      <w:r w:rsidR="00C64050">
        <w:rPr>
          <w:szCs w:val="20"/>
        </w:rPr>
        <w:t xml:space="preserve"> </w:t>
      </w:r>
      <w:r w:rsidRPr="00E013AC">
        <w:rPr>
          <w:szCs w:val="20"/>
        </w:rPr>
        <w:t>interest</w:t>
      </w:r>
      <w:r w:rsidR="00C64050">
        <w:rPr>
          <w:szCs w:val="20"/>
        </w:rPr>
        <w:t xml:space="preserve"> </w:t>
      </w:r>
      <w:r w:rsidRPr="00E013AC">
        <w:rPr>
          <w:szCs w:val="20"/>
        </w:rPr>
        <w:t>in</w:t>
      </w:r>
      <w:r w:rsidR="00C64050">
        <w:rPr>
          <w:szCs w:val="20"/>
        </w:rPr>
        <w:t xml:space="preserve"> </w:t>
      </w:r>
      <w:r w:rsidRPr="00E013AC">
        <w:rPr>
          <w:szCs w:val="20"/>
        </w:rPr>
        <w:t>a</w:t>
      </w:r>
      <w:r w:rsidR="00C64050">
        <w:rPr>
          <w:szCs w:val="20"/>
        </w:rPr>
        <w:t xml:space="preserve"> </w:t>
      </w:r>
      <w:r w:rsidRPr="00E013AC">
        <w:rPr>
          <w:szCs w:val="20"/>
        </w:rPr>
        <w:t>charitable</w:t>
      </w:r>
      <w:r w:rsidR="00C64050">
        <w:rPr>
          <w:szCs w:val="20"/>
        </w:rPr>
        <w:t xml:space="preserve"> </w:t>
      </w:r>
      <w:r w:rsidRPr="00E013AC">
        <w:rPr>
          <w:szCs w:val="20"/>
        </w:rPr>
        <w:t>trust</w:t>
      </w:r>
      <w:r w:rsidR="00C64050">
        <w:rPr>
          <w:szCs w:val="20"/>
        </w:rPr>
        <w:t xml:space="preserve"> </w:t>
      </w:r>
      <w:r w:rsidRPr="00E013AC">
        <w:rPr>
          <w:rStyle w:val="Emphasis"/>
          <w:szCs w:val="20"/>
        </w:rPr>
        <w:t>equal</w:t>
      </w:r>
      <w:r w:rsidR="00C64050">
        <w:rPr>
          <w:szCs w:val="20"/>
        </w:rPr>
        <w:t xml:space="preserve"> </w:t>
      </w:r>
      <w:r w:rsidRPr="00E013AC">
        <w:rPr>
          <w:szCs w:val="20"/>
        </w:rPr>
        <w:t>to</w:t>
      </w:r>
      <w:r w:rsidR="00C64050">
        <w:rPr>
          <w:szCs w:val="20"/>
        </w:rPr>
        <w:t xml:space="preserve"> </w:t>
      </w:r>
      <w:r w:rsidRPr="00E013AC">
        <w:rPr>
          <w:szCs w:val="20"/>
        </w:rPr>
        <w:t>that</w:t>
      </w:r>
      <w:r w:rsidR="00C64050">
        <w:rPr>
          <w:szCs w:val="20"/>
        </w:rPr>
        <w:t xml:space="preserve"> </w:t>
      </w:r>
      <w:r w:rsidRPr="00E013AC">
        <w:rPr>
          <w:szCs w:val="20"/>
        </w:rPr>
        <w:t>of</w:t>
      </w:r>
      <w:r w:rsidR="00C64050">
        <w:rPr>
          <w:szCs w:val="20"/>
        </w:rPr>
        <w:t xml:space="preserve"> </w:t>
      </w:r>
      <w:r w:rsidRPr="00E013AC">
        <w:rPr>
          <w:szCs w:val="20"/>
        </w:rPr>
        <w:t>a</w:t>
      </w:r>
      <w:r w:rsidR="00C64050">
        <w:rPr>
          <w:szCs w:val="20"/>
        </w:rPr>
        <w:t xml:space="preserve"> </w:t>
      </w:r>
      <w:r w:rsidRPr="00E013AC">
        <w:rPr>
          <w:szCs w:val="20"/>
        </w:rPr>
        <w:t>qualified</w:t>
      </w:r>
      <w:r w:rsidR="00C64050">
        <w:rPr>
          <w:szCs w:val="20"/>
        </w:rPr>
        <w:t xml:space="preserve"> </w:t>
      </w:r>
      <w:r w:rsidRPr="00E013AC">
        <w:rPr>
          <w:szCs w:val="20"/>
        </w:rPr>
        <w:t>beneficiary</w:t>
      </w:r>
      <w:r w:rsidR="00C64050">
        <w:rPr>
          <w:szCs w:val="20"/>
        </w:rPr>
        <w:t xml:space="preserve"> </w:t>
      </w:r>
      <w:r w:rsidRPr="00E013AC">
        <w:rPr>
          <w:szCs w:val="20"/>
        </w:rPr>
        <w:t>of</w:t>
      </w:r>
      <w:r w:rsidR="00C64050">
        <w:rPr>
          <w:szCs w:val="20"/>
        </w:rPr>
        <w:t xml:space="preserve"> </w:t>
      </w:r>
      <w:r w:rsidRPr="00E013AC">
        <w:rPr>
          <w:szCs w:val="20"/>
        </w:rPr>
        <w:t>a</w:t>
      </w:r>
      <w:r w:rsidR="00C64050">
        <w:rPr>
          <w:szCs w:val="20"/>
        </w:rPr>
        <w:t xml:space="preserve"> </w:t>
      </w:r>
      <w:r w:rsidRPr="00E013AC">
        <w:rPr>
          <w:szCs w:val="20"/>
        </w:rPr>
        <w:t>private</w:t>
      </w:r>
      <w:r w:rsidR="00C64050">
        <w:rPr>
          <w:szCs w:val="20"/>
        </w:rPr>
        <w:t xml:space="preserve"> </w:t>
      </w:r>
      <w:r w:rsidRPr="00E013AC">
        <w:rPr>
          <w:szCs w:val="20"/>
        </w:rPr>
        <w:t>trust.</w:t>
      </w:r>
      <w:r w:rsidR="00C64050">
        <w:rPr>
          <w:szCs w:val="20"/>
        </w:rPr>
        <w:t xml:space="preserve"> </w:t>
      </w:r>
      <w:r w:rsidRPr="00E013AC">
        <w:rPr>
          <w:rStyle w:val="Emphasis"/>
          <w:szCs w:val="20"/>
        </w:rPr>
        <w:t>Cf.</w:t>
      </w:r>
      <w:r w:rsidR="00C64050">
        <w:rPr>
          <w:szCs w:val="20"/>
        </w:rPr>
        <w:t xml:space="preserve"> </w:t>
      </w:r>
      <w:r w:rsidRPr="00E013AC">
        <w:rPr>
          <w:rStyle w:val="Emphasis"/>
          <w:szCs w:val="20"/>
        </w:rPr>
        <w:t>Great</w:t>
      </w:r>
      <w:r w:rsidR="00C64050">
        <w:rPr>
          <w:rStyle w:val="Emphasis"/>
          <w:szCs w:val="20"/>
        </w:rPr>
        <w:t xml:space="preserve"> </w:t>
      </w:r>
      <w:r w:rsidRPr="00E013AC">
        <w:rPr>
          <w:rStyle w:val="Emphasis"/>
          <w:szCs w:val="20"/>
        </w:rPr>
        <w:t>N.</w:t>
      </w:r>
      <w:r w:rsidR="00C64050">
        <w:rPr>
          <w:rStyle w:val="Emphasis"/>
          <w:szCs w:val="20"/>
        </w:rPr>
        <w:t xml:space="preserve"> </w:t>
      </w:r>
      <w:r w:rsidRPr="00E013AC">
        <w:rPr>
          <w:rStyle w:val="Emphasis"/>
          <w:szCs w:val="20"/>
        </w:rPr>
        <w:t>Nekoosa</w:t>
      </w:r>
      <w:r w:rsidR="00C64050">
        <w:rPr>
          <w:rStyle w:val="Emphasis"/>
          <w:szCs w:val="20"/>
        </w:rPr>
        <w:t xml:space="preserve"> </w:t>
      </w:r>
      <w:r w:rsidRPr="00E013AC">
        <w:rPr>
          <w:rStyle w:val="Emphasis"/>
          <w:szCs w:val="20"/>
        </w:rPr>
        <w:t>Corp.</w:t>
      </w:r>
      <w:r w:rsidR="00C64050">
        <w:rPr>
          <w:rStyle w:val="Emphasis"/>
          <w:szCs w:val="20"/>
        </w:rPr>
        <w:t xml:space="preserve"> </w:t>
      </w:r>
      <w:r w:rsidRPr="00E013AC">
        <w:rPr>
          <w:rStyle w:val="Emphasis"/>
          <w:szCs w:val="20"/>
        </w:rPr>
        <w:t>v.</w:t>
      </w:r>
      <w:r w:rsidR="00C64050">
        <w:rPr>
          <w:rStyle w:val="Emphasis"/>
          <w:szCs w:val="20"/>
        </w:rPr>
        <w:t xml:space="preserve"> </w:t>
      </w:r>
      <w:r w:rsidRPr="00E013AC">
        <w:rPr>
          <w:rStyle w:val="Emphasis"/>
          <w:szCs w:val="20"/>
        </w:rPr>
        <w:t>State</w:t>
      </w:r>
      <w:r w:rsidR="00C64050">
        <w:rPr>
          <w:rStyle w:val="Emphasis"/>
          <w:szCs w:val="20"/>
        </w:rPr>
        <w:t xml:space="preserve"> </w:t>
      </w:r>
      <w:r w:rsidRPr="00E013AC">
        <w:rPr>
          <w:rStyle w:val="Emphasis"/>
          <w:szCs w:val="20"/>
        </w:rPr>
        <w:t>Tax</w:t>
      </w:r>
      <w:r w:rsidR="00C64050">
        <w:rPr>
          <w:rStyle w:val="Emphasis"/>
          <w:szCs w:val="20"/>
        </w:rPr>
        <w:t xml:space="preserve"> </w:t>
      </w:r>
      <w:r w:rsidRPr="00E013AC">
        <w:rPr>
          <w:rStyle w:val="Emphasis"/>
          <w:szCs w:val="20"/>
        </w:rPr>
        <w:t>Assessor</w:t>
      </w:r>
      <w:r w:rsidRPr="00E013AC">
        <w:rPr>
          <w:szCs w:val="20"/>
        </w:rPr>
        <w:t>,</w:t>
      </w:r>
      <w:r w:rsidR="00C64050">
        <w:rPr>
          <w:szCs w:val="20"/>
        </w:rPr>
        <w:t xml:space="preserve"> </w:t>
      </w:r>
      <w:r w:rsidRPr="00E013AC">
        <w:rPr>
          <w:szCs w:val="20"/>
        </w:rPr>
        <w:t>675</w:t>
      </w:r>
      <w:r w:rsidR="00C64050">
        <w:rPr>
          <w:szCs w:val="20"/>
        </w:rPr>
        <w:t xml:space="preserve"> </w:t>
      </w:r>
      <w:r w:rsidRPr="00E013AC">
        <w:rPr>
          <w:szCs w:val="20"/>
        </w:rPr>
        <w:t>A.2d</w:t>
      </w:r>
      <w:r w:rsidR="00C64050">
        <w:rPr>
          <w:szCs w:val="20"/>
        </w:rPr>
        <w:t xml:space="preserve"> </w:t>
      </w:r>
      <w:r w:rsidRPr="00E013AC">
        <w:rPr>
          <w:szCs w:val="20"/>
        </w:rPr>
        <w:t>963,</w:t>
      </w:r>
      <w:r w:rsidR="00C64050">
        <w:rPr>
          <w:szCs w:val="20"/>
        </w:rPr>
        <w:t xml:space="preserve"> </w:t>
      </w:r>
      <w:r w:rsidRPr="00E013AC">
        <w:rPr>
          <w:szCs w:val="20"/>
        </w:rPr>
        <w:t>967-68</w:t>
      </w:r>
      <w:r w:rsidR="00C64050">
        <w:rPr>
          <w:szCs w:val="20"/>
        </w:rPr>
        <w:t xml:space="preserve"> </w:t>
      </w:r>
      <w:r w:rsidRPr="00E013AC">
        <w:rPr>
          <w:szCs w:val="20"/>
        </w:rPr>
        <w:t>(Me.</w:t>
      </w:r>
      <w:r w:rsidR="00C64050">
        <w:rPr>
          <w:szCs w:val="20"/>
        </w:rPr>
        <w:t xml:space="preserve"> </w:t>
      </w:r>
      <w:r w:rsidRPr="00E013AC">
        <w:rPr>
          <w:szCs w:val="20"/>
        </w:rPr>
        <w:t>1996)(Clifford,</w:t>
      </w:r>
      <w:r w:rsidR="00C64050">
        <w:rPr>
          <w:szCs w:val="20"/>
        </w:rPr>
        <w:t xml:space="preserve"> </w:t>
      </w:r>
      <w:r w:rsidRPr="00E013AC">
        <w:rPr>
          <w:szCs w:val="20"/>
        </w:rPr>
        <w:t>J.,</w:t>
      </w:r>
      <w:r w:rsidR="00C64050">
        <w:rPr>
          <w:szCs w:val="20"/>
        </w:rPr>
        <w:t xml:space="preserve"> </w:t>
      </w:r>
      <w:r w:rsidRPr="00E013AC">
        <w:rPr>
          <w:szCs w:val="20"/>
        </w:rPr>
        <w:t>dissenting)</w:t>
      </w:r>
      <w:r w:rsidR="00C64050">
        <w:rPr>
          <w:szCs w:val="20"/>
        </w:rPr>
        <w:t xml:space="preserve"> </w:t>
      </w:r>
      <w:r w:rsidRPr="00E013AC">
        <w:rPr>
          <w:szCs w:val="20"/>
        </w:rPr>
        <w:t>(citing</w:t>
      </w:r>
      <w:r w:rsidR="00C64050">
        <w:rPr>
          <w:szCs w:val="20"/>
        </w:rPr>
        <w:t xml:space="preserve"> </w:t>
      </w:r>
      <w:r w:rsidRPr="00E013AC">
        <w:rPr>
          <w:rStyle w:val="Emphasis"/>
          <w:szCs w:val="20"/>
        </w:rPr>
        <w:t>Sullivan</w:t>
      </w:r>
      <w:r w:rsidR="00C64050">
        <w:rPr>
          <w:rStyle w:val="Emphasis"/>
          <w:szCs w:val="20"/>
        </w:rPr>
        <w:t xml:space="preserve"> </w:t>
      </w:r>
      <w:r w:rsidRPr="00E013AC">
        <w:rPr>
          <w:rStyle w:val="Emphasis"/>
          <w:szCs w:val="20"/>
        </w:rPr>
        <w:t>v.</w:t>
      </w:r>
      <w:r w:rsidR="00C64050">
        <w:rPr>
          <w:rStyle w:val="Emphasis"/>
          <w:szCs w:val="20"/>
        </w:rPr>
        <w:t xml:space="preserve"> </w:t>
      </w:r>
      <w:r w:rsidRPr="00E013AC">
        <w:rPr>
          <w:rStyle w:val="Emphasis"/>
          <w:szCs w:val="20"/>
        </w:rPr>
        <w:t>Stroop</w:t>
      </w:r>
      <w:r w:rsidRPr="00E013AC">
        <w:rPr>
          <w:szCs w:val="20"/>
        </w:rPr>
        <w:t>,</w:t>
      </w:r>
      <w:r w:rsidR="00C64050">
        <w:rPr>
          <w:szCs w:val="20"/>
        </w:rPr>
        <w:t xml:space="preserve"> </w:t>
      </w:r>
      <w:r w:rsidRPr="00E013AC">
        <w:rPr>
          <w:szCs w:val="20"/>
        </w:rPr>
        <w:t>496</w:t>
      </w:r>
      <w:r w:rsidR="00C64050">
        <w:rPr>
          <w:szCs w:val="20"/>
        </w:rPr>
        <w:t xml:space="preserve"> </w:t>
      </w:r>
      <w:r w:rsidRPr="00E013AC">
        <w:rPr>
          <w:szCs w:val="20"/>
        </w:rPr>
        <w:t>U.S.</w:t>
      </w:r>
      <w:r w:rsidR="00C64050">
        <w:rPr>
          <w:szCs w:val="20"/>
        </w:rPr>
        <w:t xml:space="preserve"> </w:t>
      </w:r>
      <w:r w:rsidRPr="00E013AC">
        <w:rPr>
          <w:szCs w:val="20"/>
        </w:rPr>
        <w:t>478,</w:t>
      </w:r>
      <w:r w:rsidR="00C64050">
        <w:rPr>
          <w:szCs w:val="20"/>
        </w:rPr>
        <w:t xml:space="preserve"> </w:t>
      </w:r>
      <w:r w:rsidRPr="00E013AC">
        <w:rPr>
          <w:szCs w:val="20"/>
        </w:rPr>
        <w:t>484,</w:t>
      </w:r>
      <w:r w:rsidR="00C64050">
        <w:rPr>
          <w:szCs w:val="20"/>
        </w:rPr>
        <w:t xml:space="preserve"> </w:t>
      </w:r>
      <w:r w:rsidRPr="00E013AC">
        <w:rPr>
          <w:szCs w:val="20"/>
        </w:rPr>
        <w:t>110</w:t>
      </w:r>
      <w:r w:rsidR="00C64050">
        <w:rPr>
          <w:szCs w:val="20"/>
        </w:rPr>
        <w:t xml:space="preserve"> </w:t>
      </w:r>
      <w:r w:rsidRPr="00E013AC">
        <w:rPr>
          <w:szCs w:val="20"/>
        </w:rPr>
        <w:t>S.Ct.</w:t>
      </w:r>
      <w:r w:rsidR="00C64050">
        <w:rPr>
          <w:szCs w:val="20"/>
        </w:rPr>
        <w:t xml:space="preserve"> </w:t>
      </w:r>
      <w:r w:rsidRPr="00E013AC">
        <w:rPr>
          <w:szCs w:val="20"/>
        </w:rPr>
        <w:t>2499,</w:t>
      </w:r>
      <w:r w:rsidR="00C64050">
        <w:rPr>
          <w:szCs w:val="20"/>
        </w:rPr>
        <w:t xml:space="preserve"> </w:t>
      </w:r>
      <w:r w:rsidRPr="00E013AC">
        <w:rPr>
          <w:szCs w:val="20"/>
        </w:rPr>
        <w:t>110</w:t>
      </w:r>
      <w:r w:rsidR="00C64050">
        <w:rPr>
          <w:szCs w:val="20"/>
        </w:rPr>
        <w:t xml:space="preserve"> </w:t>
      </w:r>
      <w:r w:rsidRPr="00E013AC">
        <w:rPr>
          <w:szCs w:val="20"/>
        </w:rPr>
        <w:t>L.Ed.2d</w:t>
      </w:r>
      <w:r w:rsidR="00C64050">
        <w:rPr>
          <w:szCs w:val="20"/>
        </w:rPr>
        <w:t xml:space="preserve"> </w:t>
      </w:r>
      <w:r w:rsidRPr="00E013AC">
        <w:rPr>
          <w:szCs w:val="20"/>
        </w:rPr>
        <w:t>438</w:t>
      </w:r>
      <w:r w:rsidR="00C64050">
        <w:rPr>
          <w:szCs w:val="20"/>
        </w:rPr>
        <w:t xml:space="preserve"> </w:t>
      </w:r>
      <w:r w:rsidRPr="00E013AC">
        <w:rPr>
          <w:szCs w:val="20"/>
        </w:rPr>
        <w:t>(1990))</w:t>
      </w:r>
      <w:r w:rsidR="00C64050">
        <w:rPr>
          <w:szCs w:val="20"/>
        </w:rPr>
        <w:t xml:space="preserve"> </w:t>
      </w:r>
      <w:r w:rsidRPr="00E013AC">
        <w:rPr>
          <w:szCs w:val="20"/>
        </w:rPr>
        <w:t>(“Identical</w:t>
      </w:r>
      <w:r w:rsidR="00C64050">
        <w:rPr>
          <w:szCs w:val="20"/>
        </w:rPr>
        <w:t xml:space="preserve"> </w:t>
      </w:r>
      <w:r w:rsidRPr="00E013AC">
        <w:rPr>
          <w:szCs w:val="20"/>
        </w:rPr>
        <w:t>words</w:t>
      </w:r>
      <w:r w:rsidR="00C64050">
        <w:rPr>
          <w:szCs w:val="20"/>
        </w:rPr>
        <w:t xml:space="preserve"> </w:t>
      </w:r>
      <w:r w:rsidRPr="00E013AC">
        <w:rPr>
          <w:szCs w:val="20"/>
        </w:rPr>
        <w:t>in</w:t>
      </w:r>
      <w:r w:rsidR="00C64050">
        <w:rPr>
          <w:szCs w:val="20"/>
        </w:rPr>
        <w:t xml:space="preserve"> </w:t>
      </w:r>
      <w:r w:rsidRPr="00E013AC">
        <w:rPr>
          <w:szCs w:val="20"/>
        </w:rPr>
        <w:t>different</w:t>
      </w:r>
      <w:r w:rsidR="00C64050">
        <w:rPr>
          <w:szCs w:val="20"/>
        </w:rPr>
        <w:t xml:space="preserve"> </w:t>
      </w:r>
      <w:r w:rsidRPr="00E013AC">
        <w:rPr>
          <w:szCs w:val="20"/>
        </w:rPr>
        <w:t>parts</w:t>
      </w:r>
      <w:r w:rsidR="00C64050">
        <w:rPr>
          <w:szCs w:val="20"/>
        </w:rPr>
        <w:t xml:space="preserve"> </w:t>
      </w:r>
      <w:r w:rsidRPr="00E013AC">
        <w:rPr>
          <w:szCs w:val="20"/>
        </w:rPr>
        <w:t>of</w:t>
      </w:r>
      <w:r w:rsidR="00C64050">
        <w:rPr>
          <w:szCs w:val="20"/>
        </w:rPr>
        <w:t xml:space="preserve"> </w:t>
      </w:r>
      <w:r w:rsidRPr="00E013AC">
        <w:rPr>
          <w:szCs w:val="20"/>
        </w:rPr>
        <w:t>the</w:t>
      </w:r>
      <w:r w:rsidR="00C64050">
        <w:rPr>
          <w:szCs w:val="20"/>
        </w:rPr>
        <w:t xml:space="preserve"> </w:t>
      </w:r>
      <w:r w:rsidRPr="00E013AC">
        <w:rPr>
          <w:szCs w:val="20"/>
        </w:rPr>
        <w:t>same</w:t>
      </w:r>
      <w:r w:rsidR="00C64050">
        <w:rPr>
          <w:szCs w:val="20"/>
        </w:rPr>
        <w:t xml:space="preserve"> </w:t>
      </w:r>
      <w:r w:rsidRPr="00E013AC">
        <w:rPr>
          <w:szCs w:val="20"/>
        </w:rPr>
        <w:t>statute</w:t>
      </w:r>
      <w:r w:rsidR="00C64050">
        <w:rPr>
          <w:szCs w:val="20"/>
        </w:rPr>
        <w:t xml:space="preserve"> </w:t>
      </w:r>
      <w:r w:rsidRPr="00E013AC">
        <w:rPr>
          <w:szCs w:val="20"/>
        </w:rPr>
        <w:t>are</w:t>
      </w:r>
      <w:r w:rsidR="00C64050">
        <w:rPr>
          <w:szCs w:val="20"/>
        </w:rPr>
        <w:t xml:space="preserve"> </w:t>
      </w:r>
      <w:r w:rsidRPr="00E013AC">
        <w:rPr>
          <w:szCs w:val="20"/>
        </w:rPr>
        <w:t>presumed</w:t>
      </w:r>
      <w:r w:rsidR="00C64050">
        <w:rPr>
          <w:szCs w:val="20"/>
        </w:rPr>
        <w:t xml:space="preserve"> </w:t>
      </w:r>
      <w:r w:rsidRPr="00E013AC">
        <w:rPr>
          <w:szCs w:val="20"/>
        </w:rPr>
        <w:t>to</w:t>
      </w:r>
      <w:r w:rsidR="00C64050">
        <w:rPr>
          <w:szCs w:val="20"/>
        </w:rPr>
        <w:t xml:space="preserve"> </w:t>
      </w:r>
      <w:r w:rsidRPr="00E013AC">
        <w:rPr>
          <w:szCs w:val="20"/>
        </w:rPr>
        <w:t>have</w:t>
      </w:r>
      <w:r w:rsidR="00C64050">
        <w:rPr>
          <w:szCs w:val="20"/>
        </w:rPr>
        <w:t xml:space="preserve"> </w:t>
      </w:r>
      <w:r w:rsidRPr="00E013AC">
        <w:rPr>
          <w:szCs w:val="20"/>
        </w:rPr>
        <w:t>the</w:t>
      </w:r>
      <w:r w:rsidR="00C64050">
        <w:rPr>
          <w:szCs w:val="20"/>
        </w:rPr>
        <w:t xml:space="preserve"> </w:t>
      </w:r>
      <w:r w:rsidRPr="00E013AC">
        <w:rPr>
          <w:szCs w:val="20"/>
        </w:rPr>
        <w:t>same</w:t>
      </w:r>
      <w:r w:rsidR="00C64050">
        <w:rPr>
          <w:szCs w:val="20"/>
        </w:rPr>
        <w:t xml:space="preserve"> </w:t>
      </w:r>
      <w:r w:rsidRPr="00E013AC">
        <w:rPr>
          <w:szCs w:val="20"/>
        </w:rPr>
        <w:t>meaning.”</w:t>
      </w:r>
      <w:r w:rsidR="00C64050">
        <w:rPr>
          <w:szCs w:val="20"/>
        </w:rPr>
        <w:t xml:space="preserve"> </w:t>
      </w:r>
      <w:r w:rsidRPr="00E013AC">
        <w:rPr>
          <w:szCs w:val="20"/>
        </w:rPr>
        <w:t>(emphasis</w:t>
      </w:r>
      <w:r w:rsidR="00C64050">
        <w:rPr>
          <w:szCs w:val="20"/>
        </w:rPr>
        <w:t xml:space="preserve"> </w:t>
      </w:r>
      <w:r w:rsidRPr="00E013AC">
        <w:rPr>
          <w:szCs w:val="20"/>
        </w:rPr>
        <w:t>omitted)).</w:t>
      </w:r>
      <w:r w:rsidR="00C64050">
        <w:rPr>
          <w:szCs w:val="20"/>
        </w:rPr>
        <w:t xml:space="preserve"> </w:t>
      </w:r>
      <w:r w:rsidRPr="00E013AC">
        <w:rPr>
          <w:szCs w:val="20"/>
        </w:rPr>
        <w:t>Thus,</w:t>
      </w:r>
      <w:r w:rsidR="00C64050">
        <w:rPr>
          <w:szCs w:val="20"/>
        </w:rPr>
        <w:t xml:space="preserve"> </w:t>
      </w:r>
      <w:r w:rsidRPr="00E013AC">
        <w:rPr>
          <w:szCs w:val="20"/>
        </w:rPr>
        <w:t>a</w:t>
      </w:r>
      <w:r w:rsidR="00C64050">
        <w:rPr>
          <w:szCs w:val="20"/>
        </w:rPr>
        <w:t xml:space="preserve"> </w:t>
      </w:r>
      <w:r w:rsidRPr="00E013AC">
        <w:rPr>
          <w:szCs w:val="20"/>
        </w:rPr>
        <w:t>charitable</w:t>
      </w:r>
      <w:r w:rsidR="00C64050">
        <w:rPr>
          <w:szCs w:val="20"/>
        </w:rPr>
        <w:t xml:space="preserve"> </w:t>
      </w:r>
      <w:r w:rsidRPr="00E013AC">
        <w:rPr>
          <w:szCs w:val="20"/>
        </w:rPr>
        <w:t>organization</w:t>
      </w:r>
      <w:r w:rsidR="00C64050">
        <w:rPr>
          <w:szCs w:val="20"/>
        </w:rPr>
        <w:t xml:space="preserve"> </w:t>
      </w:r>
      <w:r w:rsidRPr="00E013AC">
        <w:rPr>
          <w:szCs w:val="20"/>
        </w:rPr>
        <w:t>does</w:t>
      </w:r>
      <w:r w:rsidR="00C64050">
        <w:rPr>
          <w:szCs w:val="20"/>
        </w:rPr>
        <w:t xml:space="preserve"> </w:t>
      </w:r>
      <w:r w:rsidRPr="00E013AC">
        <w:rPr>
          <w:szCs w:val="20"/>
        </w:rPr>
        <w:t>not</w:t>
      </w:r>
      <w:r w:rsidR="00C64050">
        <w:rPr>
          <w:szCs w:val="20"/>
        </w:rPr>
        <w:t xml:space="preserve"> </w:t>
      </w:r>
      <w:r w:rsidRPr="00E013AC">
        <w:rPr>
          <w:szCs w:val="20"/>
        </w:rPr>
        <w:t>need</w:t>
      </w:r>
      <w:r w:rsidR="00C64050">
        <w:rPr>
          <w:szCs w:val="20"/>
        </w:rPr>
        <w:t xml:space="preserve"> </w:t>
      </w:r>
      <w:r w:rsidRPr="00E013AC">
        <w:rPr>
          <w:szCs w:val="20"/>
        </w:rPr>
        <w:t>to</w:t>
      </w:r>
      <w:r w:rsidR="00C64050">
        <w:rPr>
          <w:szCs w:val="20"/>
        </w:rPr>
        <w:t xml:space="preserve"> </w:t>
      </w:r>
      <w:r w:rsidRPr="00E013AC">
        <w:rPr>
          <w:szCs w:val="20"/>
        </w:rPr>
        <w:t>show</w:t>
      </w:r>
      <w:r w:rsidR="00C64050">
        <w:rPr>
          <w:szCs w:val="20"/>
        </w:rPr>
        <w:t xml:space="preserve"> </w:t>
      </w:r>
      <w:r w:rsidRPr="00E013AC">
        <w:rPr>
          <w:szCs w:val="20"/>
        </w:rPr>
        <w:t>that</w:t>
      </w:r>
      <w:r w:rsidR="00C64050">
        <w:rPr>
          <w:szCs w:val="20"/>
        </w:rPr>
        <w:t xml:space="preserve"> </w:t>
      </w:r>
      <w:r w:rsidRPr="00E013AC">
        <w:rPr>
          <w:szCs w:val="20"/>
        </w:rPr>
        <w:t>the</w:t>
      </w:r>
      <w:r w:rsidR="00C64050">
        <w:rPr>
          <w:szCs w:val="20"/>
        </w:rPr>
        <w:t xml:space="preserve"> </w:t>
      </w:r>
      <w:r w:rsidRPr="00E013AC">
        <w:rPr>
          <w:szCs w:val="20"/>
        </w:rPr>
        <w:t>terms</w:t>
      </w:r>
      <w:r w:rsidR="00C64050">
        <w:rPr>
          <w:szCs w:val="20"/>
        </w:rPr>
        <w:t xml:space="preserve"> </w:t>
      </w:r>
      <w:r w:rsidRPr="00E013AC">
        <w:rPr>
          <w:szCs w:val="20"/>
        </w:rPr>
        <w:t>of</w:t>
      </w:r>
      <w:r w:rsidR="00C64050">
        <w:rPr>
          <w:szCs w:val="20"/>
        </w:rPr>
        <w:t xml:space="preserve"> </w:t>
      </w:r>
      <w:r w:rsidRPr="00E013AC">
        <w:rPr>
          <w:szCs w:val="20"/>
        </w:rPr>
        <w:t>the</w:t>
      </w:r>
      <w:r w:rsidR="00C64050">
        <w:rPr>
          <w:szCs w:val="20"/>
        </w:rPr>
        <w:t xml:space="preserve"> </w:t>
      </w:r>
      <w:r w:rsidRPr="00E013AC">
        <w:rPr>
          <w:szCs w:val="20"/>
        </w:rPr>
        <w:t>trust</w:t>
      </w:r>
      <w:r w:rsidR="00C64050">
        <w:rPr>
          <w:szCs w:val="20"/>
        </w:rPr>
        <w:t xml:space="preserve"> </w:t>
      </w:r>
      <w:r w:rsidRPr="00E013AC">
        <w:rPr>
          <w:szCs w:val="20"/>
        </w:rPr>
        <w:t>make</w:t>
      </w:r>
      <w:r w:rsidR="00C64050">
        <w:rPr>
          <w:szCs w:val="20"/>
        </w:rPr>
        <w:t xml:space="preserve"> </w:t>
      </w:r>
      <w:r w:rsidRPr="00E013AC">
        <w:rPr>
          <w:szCs w:val="20"/>
        </w:rPr>
        <w:t>it</w:t>
      </w:r>
      <w:r w:rsidR="00C64050">
        <w:rPr>
          <w:szCs w:val="20"/>
        </w:rPr>
        <w:t xml:space="preserve"> </w:t>
      </w:r>
      <w:r w:rsidRPr="00E013AC">
        <w:rPr>
          <w:szCs w:val="20"/>
        </w:rPr>
        <w:t>a</w:t>
      </w:r>
      <w:r w:rsidR="00C64050">
        <w:rPr>
          <w:szCs w:val="20"/>
        </w:rPr>
        <w:t xml:space="preserve"> </w:t>
      </w:r>
      <w:r w:rsidRPr="00E013AC">
        <w:rPr>
          <w:szCs w:val="20"/>
        </w:rPr>
        <w:t>mandatory</w:t>
      </w:r>
      <w:r w:rsidR="00C64050">
        <w:rPr>
          <w:szCs w:val="20"/>
        </w:rPr>
        <w:t xml:space="preserve"> </w:t>
      </w:r>
      <w:r w:rsidRPr="00E013AC">
        <w:rPr>
          <w:szCs w:val="20"/>
        </w:rPr>
        <w:t>distributee</w:t>
      </w:r>
      <w:r w:rsidR="00C64050">
        <w:rPr>
          <w:szCs w:val="20"/>
        </w:rPr>
        <w:t xml:space="preserve"> </w:t>
      </w:r>
      <w:r w:rsidRPr="00E013AC">
        <w:rPr>
          <w:szCs w:val="20"/>
        </w:rPr>
        <w:t>in</w:t>
      </w:r>
      <w:r w:rsidR="00C64050">
        <w:rPr>
          <w:szCs w:val="20"/>
        </w:rPr>
        <w:t xml:space="preserve"> </w:t>
      </w:r>
      <w:r w:rsidRPr="00E013AC">
        <w:rPr>
          <w:szCs w:val="20"/>
        </w:rPr>
        <w:t>order</w:t>
      </w:r>
      <w:r w:rsidR="00C64050">
        <w:rPr>
          <w:szCs w:val="20"/>
        </w:rPr>
        <w:t xml:space="preserve"> </w:t>
      </w:r>
      <w:r w:rsidRPr="00E013AC">
        <w:rPr>
          <w:szCs w:val="20"/>
        </w:rPr>
        <w:t>to</w:t>
      </w:r>
      <w:r w:rsidR="00C64050">
        <w:rPr>
          <w:szCs w:val="20"/>
        </w:rPr>
        <w:t xml:space="preserve"> </w:t>
      </w:r>
      <w:r w:rsidRPr="00E013AC">
        <w:rPr>
          <w:szCs w:val="20"/>
        </w:rPr>
        <w:t>satisfy</w:t>
      </w:r>
      <w:r w:rsidR="00C64050">
        <w:rPr>
          <w:szCs w:val="20"/>
        </w:rPr>
        <w:t xml:space="preserve"> </w:t>
      </w:r>
      <w:r w:rsidRPr="00E013AC">
        <w:rPr>
          <w:szCs w:val="20"/>
        </w:rPr>
        <w:t>the</w:t>
      </w:r>
      <w:r w:rsidR="00C64050">
        <w:rPr>
          <w:szCs w:val="20"/>
        </w:rPr>
        <w:t xml:space="preserve"> </w:t>
      </w:r>
      <w:r w:rsidRPr="00E013AC">
        <w:rPr>
          <w:szCs w:val="20"/>
        </w:rPr>
        <w:t>“expressly</w:t>
      </w:r>
      <w:r w:rsidR="00C64050">
        <w:rPr>
          <w:szCs w:val="20"/>
        </w:rPr>
        <w:t xml:space="preserve"> </w:t>
      </w:r>
      <w:r w:rsidRPr="00E013AC">
        <w:rPr>
          <w:szCs w:val="20"/>
        </w:rPr>
        <w:t>designated”</w:t>
      </w:r>
      <w:r w:rsidR="00C64050">
        <w:rPr>
          <w:szCs w:val="20"/>
        </w:rPr>
        <w:t xml:space="preserve"> </w:t>
      </w:r>
      <w:r w:rsidRPr="00E013AC">
        <w:rPr>
          <w:szCs w:val="20"/>
        </w:rPr>
        <w:t>requirement.</w:t>
      </w:r>
    </w:p>
    <w:p w:rsidR="00E013AC" w:rsidRPr="00E013AC" w:rsidRDefault="00E013AC" w:rsidP="00E013AC">
      <w:pPr>
        <w:pStyle w:val="QS10"/>
        <w:rPr>
          <w:szCs w:val="20"/>
        </w:rPr>
      </w:pPr>
      <w:r w:rsidRPr="00E013AC">
        <w:rPr>
          <w:szCs w:val="20"/>
        </w:rPr>
        <w:t>Our</w:t>
      </w:r>
      <w:r w:rsidR="00C64050">
        <w:rPr>
          <w:szCs w:val="20"/>
        </w:rPr>
        <w:t xml:space="preserve"> </w:t>
      </w:r>
      <w:r w:rsidRPr="00E013AC">
        <w:rPr>
          <w:szCs w:val="20"/>
        </w:rPr>
        <w:t>reading</w:t>
      </w:r>
      <w:r w:rsidR="00C64050">
        <w:rPr>
          <w:szCs w:val="20"/>
        </w:rPr>
        <w:t xml:space="preserve"> </w:t>
      </w:r>
      <w:r w:rsidRPr="00E013AC">
        <w:rPr>
          <w:szCs w:val="20"/>
        </w:rPr>
        <w:t>of</w:t>
      </w:r>
      <w:r w:rsidR="00C64050">
        <w:rPr>
          <w:szCs w:val="20"/>
        </w:rPr>
        <w:t xml:space="preserve"> </w:t>
      </w:r>
      <w:r w:rsidRPr="00E013AC">
        <w:rPr>
          <w:szCs w:val="20"/>
        </w:rPr>
        <w:t>section</w:t>
      </w:r>
      <w:r w:rsidR="00C64050">
        <w:rPr>
          <w:szCs w:val="20"/>
        </w:rPr>
        <w:t xml:space="preserve"> </w:t>
      </w:r>
      <w:r w:rsidRPr="00E013AC">
        <w:rPr>
          <w:szCs w:val="20"/>
        </w:rPr>
        <w:t>110(1)</w:t>
      </w:r>
      <w:r w:rsidR="00C64050">
        <w:rPr>
          <w:szCs w:val="20"/>
        </w:rPr>
        <w:t xml:space="preserve"> </w:t>
      </w:r>
      <w:r w:rsidRPr="00E013AC">
        <w:rPr>
          <w:szCs w:val="20"/>
        </w:rPr>
        <w:t>comports</w:t>
      </w:r>
      <w:r w:rsidR="00C64050">
        <w:rPr>
          <w:szCs w:val="20"/>
        </w:rPr>
        <w:t xml:space="preserve"> </w:t>
      </w:r>
      <w:r w:rsidRPr="00E013AC">
        <w:rPr>
          <w:szCs w:val="20"/>
        </w:rPr>
        <w:t>with</w:t>
      </w:r>
      <w:r w:rsidR="00C64050">
        <w:rPr>
          <w:szCs w:val="20"/>
        </w:rPr>
        <w:t xml:space="preserve"> </w:t>
      </w:r>
      <w:r w:rsidRPr="00E013AC">
        <w:rPr>
          <w:szCs w:val="20"/>
        </w:rPr>
        <w:t>the</w:t>
      </w:r>
      <w:r w:rsidR="00C64050">
        <w:rPr>
          <w:szCs w:val="20"/>
        </w:rPr>
        <w:t xml:space="preserve"> </w:t>
      </w:r>
      <w:r w:rsidRPr="00E013AC">
        <w:rPr>
          <w:szCs w:val="20"/>
        </w:rPr>
        <w:t>canon</w:t>
      </w:r>
      <w:r w:rsidR="00C64050">
        <w:rPr>
          <w:szCs w:val="20"/>
        </w:rPr>
        <w:t xml:space="preserve"> </w:t>
      </w:r>
      <w:r w:rsidRPr="00E013AC">
        <w:rPr>
          <w:szCs w:val="20"/>
        </w:rPr>
        <w:t>of</w:t>
      </w:r>
      <w:r w:rsidR="00C64050">
        <w:rPr>
          <w:szCs w:val="20"/>
        </w:rPr>
        <w:t xml:space="preserve"> </w:t>
      </w:r>
      <w:r w:rsidRPr="00E013AC">
        <w:rPr>
          <w:szCs w:val="20"/>
        </w:rPr>
        <w:t>statutory</w:t>
      </w:r>
      <w:r w:rsidR="00C64050">
        <w:rPr>
          <w:szCs w:val="20"/>
        </w:rPr>
        <w:t xml:space="preserve"> </w:t>
      </w:r>
      <w:r w:rsidRPr="00E013AC">
        <w:rPr>
          <w:szCs w:val="20"/>
        </w:rPr>
        <w:t>interpretation</w:t>
      </w:r>
      <w:r w:rsidR="00C64050">
        <w:rPr>
          <w:szCs w:val="20"/>
        </w:rPr>
        <w:t xml:space="preserve"> </w:t>
      </w:r>
      <w:r w:rsidRPr="00E013AC">
        <w:rPr>
          <w:szCs w:val="20"/>
        </w:rPr>
        <w:t>that</w:t>
      </w:r>
      <w:r w:rsidR="00C64050">
        <w:rPr>
          <w:szCs w:val="20"/>
        </w:rPr>
        <w:t xml:space="preserve"> </w:t>
      </w:r>
      <w:r w:rsidRPr="00E013AC">
        <w:rPr>
          <w:szCs w:val="20"/>
        </w:rPr>
        <w:t>“[w]ords</w:t>
      </w:r>
      <w:r w:rsidR="00C64050">
        <w:rPr>
          <w:szCs w:val="20"/>
        </w:rPr>
        <w:t xml:space="preserve"> </w:t>
      </w:r>
      <w:r w:rsidRPr="00E013AC">
        <w:rPr>
          <w:szCs w:val="20"/>
        </w:rPr>
        <w:t>in</w:t>
      </w:r>
      <w:r w:rsidR="00C64050">
        <w:rPr>
          <w:szCs w:val="20"/>
        </w:rPr>
        <w:t xml:space="preserve"> </w:t>
      </w:r>
      <w:r w:rsidRPr="00E013AC">
        <w:rPr>
          <w:szCs w:val="20"/>
        </w:rPr>
        <w:t>a</w:t>
      </w:r>
      <w:r w:rsidR="00C64050">
        <w:rPr>
          <w:szCs w:val="20"/>
        </w:rPr>
        <w:t xml:space="preserve"> </w:t>
      </w:r>
      <w:r w:rsidRPr="00E013AC">
        <w:rPr>
          <w:szCs w:val="20"/>
        </w:rPr>
        <w:t>statute</w:t>
      </w:r>
      <w:r w:rsidR="00C64050">
        <w:rPr>
          <w:szCs w:val="20"/>
        </w:rPr>
        <w:t xml:space="preserve"> </w:t>
      </w:r>
      <w:r w:rsidRPr="00E013AC">
        <w:rPr>
          <w:szCs w:val="20"/>
        </w:rPr>
        <w:t>...</w:t>
      </w:r>
      <w:r w:rsidR="00C64050">
        <w:rPr>
          <w:szCs w:val="20"/>
        </w:rPr>
        <w:t xml:space="preserve"> </w:t>
      </w:r>
      <w:r w:rsidRPr="00E013AC">
        <w:rPr>
          <w:szCs w:val="20"/>
        </w:rPr>
        <w:t>be</w:t>
      </w:r>
      <w:r w:rsidR="00C64050">
        <w:rPr>
          <w:szCs w:val="20"/>
        </w:rPr>
        <w:t xml:space="preserve"> </w:t>
      </w:r>
      <w:r w:rsidRPr="00E013AC">
        <w:rPr>
          <w:szCs w:val="20"/>
        </w:rPr>
        <w:t>given</w:t>
      </w:r>
      <w:r w:rsidR="00C64050">
        <w:rPr>
          <w:szCs w:val="20"/>
        </w:rPr>
        <w:t xml:space="preserve"> </w:t>
      </w:r>
      <w:r w:rsidRPr="00E013AC">
        <w:rPr>
          <w:szCs w:val="20"/>
        </w:rPr>
        <w:t>meaning</w:t>
      </w:r>
      <w:r w:rsidR="00C64050">
        <w:rPr>
          <w:szCs w:val="20"/>
        </w:rPr>
        <w:t xml:space="preserve"> </w:t>
      </w:r>
      <w:r w:rsidRPr="00E013AC">
        <w:rPr>
          <w:szCs w:val="20"/>
        </w:rPr>
        <w:t>and</w:t>
      </w:r>
      <w:r w:rsidR="00C64050">
        <w:rPr>
          <w:szCs w:val="20"/>
        </w:rPr>
        <w:t xml:space="preserve"> </w:t>
      </w:r>
      <w:r w:rsidRPr="00E013AC">
        <w:rPr>
          <w:szCs w:val="20"/>
        </w:rPr>
        <w:t>not</w:t>
      </w:r>
      <w:r w:rsidR="00C64050">
        <w:rPr>
          <w:szCs w:val="20"/>
        </w:rPr>
        <w:t xml:space="preserve"> </w:t>
      </w:r>
      <w:r w:rsidRPr="00E013AC">
        <w:rPr>
          <w:szCs w:val="20"/>
        </w:rPr>
        <w:t>treated</w:t>
      </w:r>
      <w:r w:rsidR="00C64050">
        <w:rPr>
          <w:szCs w:val="20"/>
        </w:rPr>
        <w:t xml:space="preserve"> </w:t>
      </w:r>
      <w:r w:rsidRPr="00E013AC">
        <w:rPr>
          <w:szCs w:val="20"/>
        </w:rPr>
        <w:t>as</w:t>
      </w:r>
      <w:r w:rsidR="00C64050">
        <w:rPr>
          <w:szCs w:val="20"/>
        </w:rPr>
        <w:t xml:space="preserve"> </w:t>
      </w:r>
      <w:r w:rsidRPr="00E013AC">
        <w:rPr>
          <w:szCs w:val="20"/>
        </w:rPr>
        <w:t>meaningless</w:t>
      </w:r>
      <w:r w:rsidR="00C64050">
        <w:rPr>
          <w:szCs w:val="20"/>
        </w:rPr>
        <w:t xml:space="preserve"> </w:t>
      </w:r>
      <w:r w:rsidRPr="00E013AC">
        <w:rPr>
          <w:szCs w:val="20"/>
        </w:rPr>
        <w:t>and</w:t>
      </w:r>
      <w:r w:rsidR="00C64050">
        <w:rPr>
          <w:szCs w:val="20"/>
        </w:rPr>
        <w:t xml:space="preserve"> </w:t>
      </w:r>
      <w:r w:rsidRPr="00E013AC">
        <w:rPr>
          <w:szCs w:val="20"/>
        </w:rPr>
        <w:t>superfluous.”</w:t>
      </w:r>
      <w:r w:rsidR="00C64050">
        <w:rPr>
          <w:szCs w:val="20"/>
        </w:rPr>
        <w:t xml:space="preserve"> </w:t>
      </w:r>
      <w:r w:rsidRPr="00E013AC">
        <w:rPr>
          <w:rStyle w:val="Emphasis"/>
          <w:szCs w:val="20"/>
        </w:rPr>
        <w:t>Wong</w:t>
      </w:r>
      <w:r w:rsidR="00C64050">
        <w:rPr>
          <w:rStyle w:val="Emphasis"/>
          <w:szCs w:val="20"/>
        </w:rPr>
        <w:t xml:space="preserve"> </w:t>
      </w:r>
      <w:r w:rsidRPr="00E013AC">
        <w:rPr>
          <w:rStyle w:val="Emphasis"/>
          <w:szCs w:val="20"/>
        </w:rPr>
        <w:t>v.</w:t>
      </w:r>
      <w:r w:rsidR="00C64050">
        <w:rPr>
          <w:rStyle w:val="Emphasis"/>
          <w:szCs w:val="20"/>
        </w:rPr>
        <w:t xml:space="preserve"> </w:t>
      </w:r>
      <w:r w:rsidRPr="00E013AC">
        <w:rPr>
          <w:rStyle w:val="Emphasis"/>
          <w:szCs w:val="20"/>
        </w:rPr>
        <w:t>Hawk</w:t>
      </w:r>
      <w:r w:rsidRPr="00E013AC">
        <w:rPr>
          <w:szCs w:val="20"/>
        </w:rPr>
        <w:t>,</w:t>
      </w:r>
      <w:r w:rsidR="00C64050">
        <w:rPr>
          <w:szCs w:val="20"/>
        </w:rPr>
        <w:t xml:space="preserve"> </w:t>
      </w:r>
      <w:r w:rsidRPr="00E013AC">
        <w:rPr>
          <w:szCs w:val="20"/>
        </w:rPr>
        <w:t>2012</w:t>
      </w:r>
      <w:r w:rsidR="00C64050">
        <w:rPr>
          <w:szCs w:val="20"/>
        </w:rPr>
        <w:t xml:space="preserve"> </w:t>
      </w:r>
      <w:r w:rsidRPr="00E013AC">
        <w:rPr>
          <w:szCs w:val="20"/>
        </w:rPr>
        <w:t>ME</w:t>
      </w:r>
      <w:r w:rsidR="00C64050">
        <w:rPr>
          <w:szCs w:val="20"/>
        </w:rPr>
        <w:t xml:space="preserve"> </w:t>
      </w:r>
      <w:r w:rsidRPr="00E013AC">
        <w:rPr>
          <w:szCs w:val="20"/>
        </w:rPr>
        <w:t>125,</w:t>
      </w:r>
      <w:r w:rsidR="00C64050">
        <w:rPr>
          <w:szCs w:val="20"/>
        </w:rPr>
        <w:t xml:space="preserve"> </w:t>
      </w:r>
      <w:r w:rsidRPr="00E013AC">
        <w:rPr>
          <w:szCs w:val="20"/>
        </w:rPr>
        <w:t>¶</w:t>
      </w:r>
      <w:r w:rsidR="00C64050">
        <w:rPr>
          <w:szCs w:val="20"/>
        </w:rPr>
        <w:t xml:space="preserve"> </w:t>
      </w:r>
      <w:r w:rsidRPr="00E013AC">
        <w:rPr>
          <w:szCs w:val="20"/>
        </w:rPr>
        <w:t>8,</w:t>
      </w:r>
      <w:r w:rsidR="00C64050">
        <w:rPr>
          <w:szCs w:val="20"/>
        </w:rPr>
        <w:t xml:space="preserve"> </w:t>
      </w:r>
      <w:r w:rsidRPr="00E013AC">
        <w:rPr>
          <w:szCs w:val="20"/>
        </w:rPr>
        <w:t>55</w:t>
      </w:r>
      <w:r w:rsidR="00C64050">
        <w:rPr>
          <w:szCs w:val="20"/>
        </w:rPr>
        <w:t xml:space="preserve"> </w:t>
      </w:r>
      <w:r w:rsidRPr="00E013AC">
        <w:rPr>
          <w:szCs w:val="20"/>
        </w:rPr>
        <w:t>A.3d</w:t>
      </w:r>
      <w:r w:rsidR="00C64050">
        <w:rPr>
          <w:szCs w:val="20"/>
        </w:rPr>
        <w:t xml:space="preserve"> </w:t>
      </w:r>
      <w:r w:rsidRPr="00E013AC">
        <w:rPr>
          <w:szCs w:val="20"/>
        </w:rPr>
        <w:t>425.</w:t>
      </w:r>
      <w:r w:rsidR="00C64050">
        <w:rPr>
          <w:szCs w:val="20"/>
        </w:rPr>
        <w:t xml:space="preserve"> </w:t>
      </w:r>
      <w:r w:rsidRPr="00E013AC">
        <w:rPr>
          <w:szCs w:val="20"/>
        </w:rPr>
        <w:t>Reading</w:t>
      </w:r>
      <w:r w:rsidR="00C64050">
        <w:rPr>
          <w:szCs w:val="20"/>
        </w:rPr>
        <w:t xml:space="preserve"> </w:t>
      </w:r>
      <w:r w:rsidRPr="00E013AC">
        <w:rPr>
          <w:szCs w:val="20"/>
        </w:rPr>
        <w:t>the</w:t>
      </w:r>
      <w:r w:rsidR="00C64050">
        <w:rPr>
          <w:szCs w:val="20"/>
        </w:rPr>
        <w:t xml:space="preserve"> </w:t>
      </w:r>
      <w:r w:rsidRPr="00E013AC">
        <w:rPr>
          <w:szCs w:val="20"/>
        </w:rPr>
        <w:t>word</w:t>
      </w:r>
      <w:r w:rsidR="00C64050">
        <w:rPr>
          <w:szCs w:val="20"/>
        </w:rPr>
        <w:t xml:space="preserve"> </w:t>
      </w:r>
      <w:r w:rsidRPr="00E013AC">
        <w:rPr>
          <w:szCs w:val="20"/>
        </w:rPr>
        <w:t>“designated”</w:t>
      </w:r>
      <w:r w:rsidR="00C64050">
        <w:rPr>
          <w:szCs w:val="20"/>
        </w:rPr>
        <w:t xml:space="preserve"> </w:t>
      </w:r>
      <w:r w:rsidRPr="00E013AC">
        <w:rPr>
          <w:szCs w:val="20"/>
        </w:rPr>
        <w:t>as</w:t>
      </w:r>
      <w:r w:rsidR="00C64050">
        <w:rPr>
          <w:szCs w:val="20"/>
        </w:rPr>
        <w:t xml:space="preserve"> </w:t>
      </w:r>
      <w:r w:rsidRPr="00E013AC">
        <w:rPr>
          <w:szCs w:val="20"/>
        </w:rPr>
        <w:t>“mandated”</w:t>
      </w:r>
      <w:r w:rsidR="00C64050">
        <w:rPr>
          <w:szCs w:val="20"/>
        </w:rPr>
        <w:t xml:space="preserve"> </w:t>
      </w:r>
      <w:r w:rsidRPr="00E013AC">
        <w:rPr>
          <w:szCs w:val="20"/>
        </w:rPr>
        <w:t>would</w:t>
      </w:r>
      <w:r w:rsidR="00C64050">
        <w:rPr>
          <w:szCs w:val="20"/>
        </w:rPr>
        <w:t xml:space="preserve"> </w:t>
      </w:r>
      <w:r w:rsidRPr="00E013AC">
        <w:rPr>
          <w:szCs w:val="20"/>
        </w:rPr>
        <w:t>eviscerate</w:t>
      </w:r>
      <w:r w:rsidR="00C64050">
        <w:rPr>
          <w:szCs w:val="20"/>
        </w:rPr>
        <w:t xml:space="preserve"> </w:t>
      </w:r>
      <w:r w:rsidRPr="00E013AC">
        <w:rPr>
          <w:szCs w:val="20"/>
        </w:rPr>
        <w:t>the</w:t>
      </w:r>
      <w:r w:rsidR="00C64050">
        <w:rPr>
          <w:szCs w:val="20"/>
        </w:rPr>
        <w:t xml:space="preserve"> </w:t>
      </w:r>
      <w:r w:rsidRPr="00E013AC">
        <w:rPr>
          <w:szCs w:val="20"/>
        </w:rPr>
        <w:t>phrase</w:t>
      </w:r>
      <w:r w:rsidR="00C64050">
        <w:rPr>
          <w:szCs w:val="20"/>
        </w:rPr>
        <w:t xml:space="preserve"> </w:t>
      </w:r>
      <w:r w:rsidRPr="00E013AC">
        <w:rPr>
          <w:szCs w:val="20"/>
        </w:rPr>
        <w:t>“or</w:t>
      </w:r>
      <w:r w:rsidR="00C64050">
        <w:rPr>
          <w:szCs w:val="20"/>
        </w:rPr>
        <w:t xml:space="preserve"> </w:t>
      </w:r>
      <w:r w:rsidRPr="00E013AC">
        <w:rPr>
          <w:szCs w:val="20"/>
        </w:rPr>
        <w:t>permissible</w:t>
      </w:r>
      <w:r w:rsidR="00C64050">
        <w:rPr>
          <w:szCs w:val="20"/>
        </w:rPr>
        <w:t xml:space="preserve"> </w:t>
      </w:r>
      <w:r w:rsidRPr="00E013AC">
        <w:rPr>
          <w:szCs w:val="20"/>
        </w:rPr>
        <w:t>distributee”</w:t>
      </w:r>
      <w:r w:rsidR="00C64050">
        <w:rPr>
          <w:szCs w:val="20"/>
        </w:rPr>
        <w:t xml:space="preserve"> </w:t>
      </w:r>
      <w:r w:rsidRPr="00E013AC">
        <w:rPr>
          <w:szCs w:val="20"/>
        </w:rPr>
        <w:t>as</w:t>
      </w:r>
      <w:r w:rsidR="00C64050">
        <w:rPr>
          <w:szCs w:val="20"/>
        </w:rPr>
        <w:t xml:space="preserve"> </w:t>
      </w:r>
      <w:r w:rsidRPr="00E013AC">
        <w:rPr>
          <w:szCs w:val="20"/>
        </w:rPr>
        <w:t>it</w:t>
      </w:r>
      <w:r w:rsidR="00C64050">
        <w:rPr>
          <w:szCs w:val="20"/>
        </w:rPr>
        <w:t xml:space="preserve"> </w:t>
      </w:r>
      <w:r w:rsidRPr="00E013AC">
        <w:rPr>
          <w:szCs w:val="20"/>
        </w:rPr>
        <w:t>is</w:t>
      </w:r>
      <w:r w:rsidR="00C64050">
        <w:rPr>
          <w:szCs w:val="20"/>
        </w:rPr>
        <w:t xml:space="preserve"> </w:t>
      </w:r>
      <w:r w:rsidRPr="00E013AC">
        <w:rPr>
          <w:szCs w:val="20"/>
        </w:rPr>
        <w:t>used</w:t>
      </w:r>
      <w:r w:rsidR="00C64050">
        <w:rPr>
          <w:szCs w:val="20"/>
        </w:rPr>
        <w:t xml:space="preserve"> </w:t>
      </w:r>
      <w:r w:rsidRPr="00E013AC">
        <w:rPr>
          <w:szCs w:val="20"/>
        </w:rPr>
        <w:t>in</w:t>
      </w:r>
      <w:r w:rsidR="00C64050">
        <w:rPr>
          <w:szCs w:val="20"/>
        </w:rPr>
        <w:t xml:space="preserve"> </w:t>
      </w:r>
      <w:r w:rsidRPr="00E013AC">
        <w:rPr>
          <w:szCs w:val="20"/>
        </w:rPr>
        <w:t>section</w:t>
      </w:r>
      <w:r w:rsidR="00C64050">
        <w:rPr>
          <w:szCs w:val="20"/>
        </w:rPr>
        <w:t xml:space="preserve"> </w:t>
      </w:r>
      <w:r w:rsidRPr="00E013AC">
        <w:rPr>
          <w:szCs w:val="20"/>
        </w:rPr>
        <w:t>110(1)(A)</w:t>
      </w:r>
      <w:r w:rsidR="00C64050">
        <w:rPr>
          <w:szCs w:val="20"/>
        </w:rPr>
        <w:t xml:space="preserve"> </w:t>
      </w:r>
      <w:r w:rsidRPr="00E013AC">
        <w:rPr>
          <w:szCs w:val="20"/>
        </w:rPr>
        <w:t>because</w:t>
      </w:r>
      <w:r w:rsidR="00C64050">
        <w:rPr>
          <w:szCs w:val="20"/>
        </w:rPr>
        <w:t xml:space="preserve"> </w:t>
      </w:r>
      <w:r w:rsidRPr="00E013AC">
        <w:rPr>
          <w:szCs w:val="20"/>
        </w:rPr>
        <w:t>a</w:t>
      </w:r>
      <w:r w:rsidR="00C64050">
        <w:rPr>
          <w:szCs w:val="20"/>
        </w:rPr>
        <w:t xml:space="preserve"> </w:t>
      </w:r>
      <w:r w:rsidRPr="00E013AC">
        <w:rPr>
          <w:szCs w:val="20"/>
        </w:rPr>
        <w:t>charitable</w:t>
      </w:r>
      <w:r w:rsidR="00C64050">
        <w:rPr>
          <w:szCs w:val="20"/>
        </w:rPr>
        <w:t xml:space="preserve"> </w:t>
      </w:r>
      <w:r w:rsidRPr="00E013AC">
        <w:rPr>
          <w:szCs w:val="20"/>
        </w:rPr>
        <w:t>organization</w:t>
      </w:r>
      <w:r w:rsidR="00C64050">
        <w:rPr>
          <w:szCs w:val="20"/>
        </w:rPr>
        <w:t xml:space="preserve"> </w:t>
      </w:r>
      <w:r w:rsidRPr="00E013AC">
        <w:rPr>
          <w:szCs w:val="20"/>
        </w:rPr>
        <w:t>that</w:t>
      </w:r>
      <w:r w:rsidR="00C64050">
        <w:rPr>
          <w:szCs w:val="20"/>
        </w:rPr>
        <w:t xml:space="preserve"> </w:t>
      </w:r>
      <w:r w:rsidRPr="00E013AC">
        <w:rPr>
          <w:szCs w:val="20"/>
        </w:rPr>
        <w:t>is</w:t>
      </w:r>
      <w:r w:rsidR="00C64050">
        <w:rPr>
          <w:szCs w:val="20"/>
        </w:rPr>
        <w:t xml:space="preserve"> </w:t>
      </w:r>
      <w:r w:rsidRPr="00E013AC">
        <w:rPr>
          <w:szCs w:val="20"/>
        </w:rPr>
        <w:t>expressly</w:t>
      </w:r>
      <w:r w:rsidR="00C64050">
        <w:rPr>
          <w:szCs w:val="20"/>
        </w:rPr>
        <w:t xml:space="preserve"> </w:t>
      </w:r>
      <w:r w:rsidRPr="00E013AC">
        <w:rPr>
          <w:szCs w:val="20"/>
        </w:rPr>
        <w:t>mandated</w:t>
      </w:r>
      <w:r w:rsidR="00C64050">
        <w:rPr>
          <w:szCs w:val="20"/>
        </w:rPr>
        <w:t xml:space="preserve"> </w:t>
      </w:r>
      <w:r w:rsidRPr="00E013AC">
        <w:rPr>
          <w:szCs w:val="20"/>
        </w:rPr>
        <w:t>to</w:t>
      </w:r>
      <w:r w:rsidR="00C64050">
        <w:rPr>
          <w:szCs w:val="20"/>
        </w:rPr>
        <w:t xml:space="preserve"> </w:t>
      </w:r>
      <w:r w:rsidRPr="00E013AC">
        <w:rPr>
          <w:szCs w:val="20"/>
        </w:rPr>
        <w:t>receive</w:t>
      </w:r>
      <w:r w:rsidR="00C64050">
        <w:rPr>
          <w:szCs w:val="20"/>
        </w:rPr>
        <w:t xml:space="preserve"> </w:t>
      </w:r>
      <w:r w:rsidRPr="00E013AC">
        <w:rPr>
          <w:szCs w:val="20"/>
        </w:rPr>
        <w:t>distributions</w:t>
      </w:r>
      <w:r w:rsidR="00C64050">
        <w:rPr>
          <w:szCs w:val="20"/>
        </w:rPr>
        <w:t xml:space="preserve"> </w:t>
      </w:r>
      <w:r w:rsidRPr="00E013AC">
        <w:rPr>
          <w:szCs w:val="20"/>
        </w:rPr>
        <w:t>under</w:t>
      </w:r>
      <w:r w:rsidR="00C64050">
        <w:rPr>
          <w:szCs w:val="20"/>
        </w:rPr>
        <w:t xml:space="preserve"> </w:t>
      </w:r>
      <w:r w:rsidRPr="00E013AC">
        <w:rPr>
          <w:szCs w:val="20"/>
        </w:rPr>
        <w:t>the</w:t>
      </w:r>
      <w:r w:rsidR="00C64050">
        <w:rPr>
          <w:szCs w:val="20"/>
        </w:rPr>
        <w:t xml:space="preserve"> </w:t>
      </w:r>
      <w:r w:rsidRPr="00E013AC">
        <w:rPr>
          <w:szCs w:val="20"/>
        </w:rPr>
        <w:t>terms</w:t>
      </w:r>
      <w:r w:rsidR="00C64050">
        <w:rPr>
          <w:szCs w:val="20"/>
        </w:rPr>
        <w:t xml:space="preserve"> </w:t>
      </w:r>
      <w:r w:rsidRPr="00E013AC">
        <w:rPr>
          <w:szCs w:val="20"/>
        </w:rPr>
        <w:t>of</w:t>
      </w:r>
      <w:r w:rsidR="00C64050">
        <w:rPr>
          <w:szCs w:val="20"/>
        </w:rPr>
        <w:t xml:space="preserve"> </w:t>
      </w:r>
      <w:r w:rsidRPr="00E013AC">
        <w:rPr>
          <w:szCs w:val="20"/>
        </w:rPr>
        <w:t>the</w:t>
      </w:r>
      <w:r w:rsidR="00C64050">
        <w:rPr>
          <w:szCs w:val="20"/>
        </w:rPr>
        <w:t xml:space="preserve"> </w:t>
      </w:r>
      <w:r w:rsidRPr="00E013AC">
        <w:rPr>
          <w:szCs w:val="20"/>
        </w:rPr>
        <w:t>trust</w:t>
      </w:r>
      <w:r w:rsidR="00C64050">
        <w:rPr>
          <w:szCs w:val="20"/>
        </w:rPr>
        <w:t xml:space="preserve"> </w:t>
      </w:r>
      <w:r w:rsidRPr="00E013AC">
        <w:rPr>
          <w:szCs w:val="20"/>
        </w:rPr>
        <w:t>would</w:t>
      </w:r>
      <w:r w:rsidR="00C64050">
        <w:rPr>
          <w:szCs w:val="20"/>
        </w:rPr>
        <w:t xml:space="preserve"> </w:t>
      </w:r>
      <w:r w:rsidRPr="00E013AC">
        <w:rPr>
          <w:szCs w:val="20"/>
        </w:rPr>
        <w:t>not</w:t>
      </w:r>
      <w:r w:rsidR="00C64050">
        <w:rPr>
          <w:szCs w:val="20"/>
        </w:rPr>
        <w:t xml:space="preserve"> </w:t>
      </w:r>
      <w:r w:rsidRPr="00E013AC">
        <w:rPr>
          <w:szCs w:val="20"/>
        </w:rPr>
        <w:t>be</w:t>
      </w:r>
      <w:r w:rsidR="00C64050">
        <w:rPr>
          <w:szCs w:val="20"/>
        </w:rPr>
        <w:t xml:space="preserve"> </w:t>
      </w:r>
      <w:r w:rsidRPr="00E013AC">
        <w:rPr>
          <w:szCs w:val="20"/>
        </w:rPr>
        <w:t>a</w:t>
      </w:r>
      <w:r w:rsidR="00C64050">
        <w:rPr>
          <w:szCs w:val="20"/>
        </w:rPr>
        <w:t xml:space="preserve"> </w:t>
      </w:r>
      <w:r w:rsidRPr="00E013AC">
        <w:rPr>
          <w:szCs w:val="20"/>
        </w:rPr>
        <w:t>“permissible</w:t>
      </w:r>
      <w:r w:rsidR="00C64050">
        <w:rPr>
          <w:szCs w:val="20"/>
        </w:rPr>
        <w:t xml:space="preserve"> </w:t>
      </w:r>
      <w:r w:rsidRPr="00E013AC">
        <w:rPr>
          <w:szCs w:val="20"/>
        </w:rPr>
        <w:t>distributee,”</w:t>
      </w:r>
      <w:r w:rsidR="00C64050">
        <w:rPr>
          <w:szCs w:val="20"/>
        </w:rPr>
        <w:t xml:space="preserve"> </w:t>
      </w:r>
      <w:r w:rsidRPr="00E013AC">
        <w:rPr>
          <w:szCs w:val="20"/>
        </w:rPr>
        <w:t>but</w:t>
      </w:r>
      <w:r w:rsidR="00C64050">
        <w:rPr>
          <w:szCs w:val="20"/>
        </w:rPr>
        <w:t xml:space="preserve"> </w:t>
      </w:r>
      <w:r w:rsidRPr="00E013AC">
        <w:rPr>
          <w:szCs w:val="20"/>
        </w:rPr>
        <w:t>simply</w:t>
      </w:r>
      <w:r w:rsidR="00C64050">
        <w:rPr>
          <w:szCs w:val="20"/>
        </w:rPr>
        <w:t xml:space="preserve"> </w:t>
      </w:r>
      <w:r w:rsidRPr="00E013AC">
        <w:rPr>
          <w:szCs w:val="20"/>
        </w:rPr>
        <w:t>a</w:t>
      </w:r>
      <w:r w:rsidR="00C64050">
        <w:rPr>
          <w:szCs w:val="20"/>
        </w:rPr>
        <w:t xml:space="preserve"> </w:t>
      </w:r>
      <w:r w:rsidRPr="00E013AC">
        <w:rPr>
          <w:szCs w:val="20"/>
        </w:rPr>
        <w:t>“distributee.”</w:t>
      </w:r>
      <w:r w:rsidR="00C64050">
        <w:rPr>
          <w:szCs w:val="20"/>
        </w:rPr>
        <w:t xml:space="preserve"> </w:t>
      </w:r>
      <w:r w:rsidRPr="00E013AC">
        <w:rPr>
          <w:szCs w:val="20"/>
        </w:rPr>
        <w:t>We</w:t>
      </w:r>
      <w:r w:rsidR="00C64050">
        <w:rPr>
          <w:szCs w:val="20"/>
        </w:rPr>
        <w:t xml:space="preserve"> </w:t>
      </w:r>
      <w:r w:rsidRPr="00E013AC">
        <w:rPr>
          <w:szCs w:val="20"/>
        </w:rPr>
        <w:t>will</w:t>
      </w:r>
      <w:r w:rsidR="00C64050">
        <w:rPr>
          <w:szCs w:val="20"/>
        </w:rPr>
        <w:t xml:space="preserve"> </w:t>
      </w:r>
      <w:r w:rsidRPr="00E013AC">
        <w:rPr>
          <w:szCs w:val="20"/>
        </w:rPr>
        <w:t>not</w:t>
      </w:r>
      <w:r w:rsidR="00C64050">
        <w:rPr>
          <w:szCs w:val="20"/>
        </w:rPr>
        <w:t xml:space="preserve"> </w:t>
      </w:r>
      <w:r w:rsidRPr="00E013AC">
        <w:rPr>
          <w:szCs w:val="20"/>
        </w:rPr>
        <w:t>interpret</w:t>
      </w:r>
      <w:r w:rsidR="00C64050">
        <w:rPr>
          <w:szCs w:val="20"/>
        </w:rPr>
        <w:t xml:space="preserve"> </w:t>
      </w:r>
      <w:r w:rsidRPr="00E013AC">
        <w:rPr>
          <w:szCs w:val="20"/>
        </w:rPr>
        <w:t>a</w:t>
      </w:r>
      <w:r w:rsidR="00C64050">
        <w:rPr>
          <w:szCs w:val="20"/>
        </w:rPr>
        <w:t xml:space="preserve"> </w:t>
      </w:r>
      <w:r w:rsidRPr="00E013AC">
        <w:rPr>
          <w:szCs w:val="20"/>
        </w:rPr>
        <w:t>statute</w:t>
      </w:r>
      <w:r w:rsidR="00C64050">
        <w:rPr>
          <w:szCs w:val="20"/>
        </w:rPr>
        <w:t xml:space="preserve"> </w:t>
      </w:r>
      <w:r w:rsidRPr="00E013AC">
        <w:rPr>
          <w:szCs w:val="20"/>
        </w:rPr>
        <w:t>in</w:t>
      </w:r>
      <w:r w:rsidR="00C64050">
        <w:rPr>
          <w:szCs w:val="20"/>
        </w:rPr>
        <w:t xml:space="preserve"> </w:t>
      </w:r>
      <w:r w:rsidRPr="00E013AC">
        <w:rPr>
          <w:szCs w:val="20"/>
        </w:rPr>
        <w:t>such</w:t>
      </w:r>
      <w:r w:rsidR="00C64050">
        <w:rPr>
          <w:szCs w:val="20"/>
        </w:rPr>
        <w:t xml:space="preserve"> </w:t>
      </w:r>
      <w:r w:rsidRPr="00E013AC">
        <w:rPr>
          <w:szCs w:val="20"/>
        </w:rPr>
        <w:t>a</w:t>
      </w:r>
      <w:r w:rsidR="00C64050">
        <w:rPr>
          <w:szCs w:val="20"/>
        </w:rPr>
        <w:t xml:space="preserve"> </w:t>
      </w:r>
      <w:r w:rsidRPr="00E013AC">
        <w:rPr>
          <w:szCs w:val="20"/>
        </w:rPr>
        <w:t>way</w:t>
      </w:r>
      <w:r w:rsidR="00C64050">
        <w:rPr>
          <w:szCs w:val="20"/>
        </w:rPr>
        <w:t xml:space="preserve"> </w:t>
      </w:r>
      <w:r w:rsidRPr="00E013AC">
        <w:rPr>
          <w:szCs w:val="20"/>
        </w:rPr>
        <w:t>as</w:t>
      </w:r>
      <w:r w:rsidR="00C64050">
        <w:rPr>
          <w:szCs w:val="20"/>
        </w:rPr>
        <w:t xml:space="preserve"> </w:t>
      </w:r>
      <w:r w:rsidRPr="00E013AC">
        <w:rPr>
          <w:szCs w:val="20"/>
        </w:rPr>
        <w:t>to</w:t>
      </w:r>
      <w:r w:rsidR="00C64050">
        <w:rPr>
          <w:szCs w:val="20"/>
        </w:rPr>
        <w:t xml:space="preserve"> </w:t>
      </w:r>
      <w:r w:rsidRPr="00E013AC">
        <w:rPr>
          <w:szCs w:val="20"/>
        </w:rPr>
        <w:t>render</w:t>
      </w:r>
      <w:r w:rsidR="00C64050">
        <w:rPr>
          <w:szCs w:val="20"/>
        </w:rPr>
        <w:t xml:space="preserve"> </w:t>
      </w:r>
      <w:r w:rsidRPr="00E013AC">
        <w:rPr>
          <w:szCs w:val="20"/>
        </w:rPr>
        <w:t>some</w:t>
      </w:r>
      <w:r w:rsidR="00C64050">
        <w:rPr>
          <w:szCs w:val="20"/>
        </w:rPr>
        <w:t xml:space="preserve"> </w:t>
      </w:r>
      <w:r w:rsidRPr="00E013AC">
        <w:rPr>
          <w:szCs w:val="20"/>
        </w:rPr>
        <w:t>words</w:t>
      </w:r>
      <w:r w:rsidR="00C64050">
        <w:rPr>
          <w:szCs w:val="20"/>
        </w:rPr>
        <w:t xml:space="preserve"> </w:t>
      </w:r>
      <w:r w:rsidRPr="00E013AC">
        <w:rPr>
          <w:szCs w:val="20"/>
        </w:rPr>
        <w:t>meaningless.</w:t>
      </w:r>
      <w:r w:rsidR="00C64050">
        <w:rPr>
          <w:szCs w:val="20"/>
        </w:rPr>
        <w:t xml:space="preserve"> </w:t>
      </w:r>
      <w:r w:rsidRPr="00E013AC">
        <w:rPr>
          <w:rStyle w:val="Emphasis"/>
          <w:szCs w:val="20"/>
        </w:rPr>
        <w:t>See</w:t>
      </w:r>
      <w:r w:rsidR="00C64050">
        <w:rPr>
          <w:rStyle w:val="Emphasis"/>
          <w:szCs w:val="20"/>
        </w:rPr>
        <w:t xml:space="preserve"> </w:t>
      </w:r>
      <w:r w:rsidRPr="00E013AC">
        <w:rPr>
          <w:rStyle w:val="Emphasis"/>
          <w:szCs w:val="20"/>
        </w:rPr>
        <w:t>id.</w:t>
      </w:r>
    </w:p>
    <w:p w:rsidR="00E013AC" w:rsidRDefault="00E013AC" w:rsidP="005420BF">
      <w:pPr>
        <w:pStyle w:val="Body15"/>
      </w:pPr>
      <w:r>
        <w:t>The</w:t>
      </w:r>
      <w:r w:rsidR="00C64050">
        <w:t xml:space="preserve"> </w:t>
      </w:r>
      <w:r>
        <w:t>Commentary</w:t>
      </w:r>
      <w:r w:rsidR="00C64050">
        <w:t xml:space="preserve"> </w:t>
      </w:r>
      <w:r>
        <w:t>to</w:t>
      </w:r>
      <w:r w:rsidR="00C64050">
        <w:t xml:space="preserve"> </w:t>
      </w:r>
      <w:r>
        <w:t>the</w:t>
      </w:r>
      <w:r w:rsidR="00C64050">
        <w:t xml:space="preserve"> </w:t>
      </w:r>
      <w:r>
        <w:t>UTC</w:t>
      </w:r>
      <w:r w:rsidR="00C64050">
        <w:t xml:space="preserve"> </w:t>
      </w:r>
      <w:r>
        <w:t>suggests</w:t>
      </w:r>
      <w:r w:rsidR="00C64050">
        <w:t xml:space="preserve"> </w:t>
      </w:r>
      <w:r>
        <w:t>the</w:t>
      </w:r>
      <w:r w:rsidR="00C64050">
        <w:t xml:space="preserve"> </w:t>
      </w:r>
      <w:r>
        <w:t>opposite</w:t>
      </w:r>
      <w:r w:rsidR="00C64050">
        <w:t xml:space="preserve"> </w:t>
      </w:r>
      <w:r>
        <w:t>result</w:t>
      </w:r>
      <w:r w:rsidR="00C64050">
        <w:t xml:space="preserve"> </w:t>
      </w:r>
      <w:r>
        <w:t>but</w:t>
      </w:r>
      <w:r w:rsidR="00C64050">
        <w:t xml:space="preserve"> </w:t>
      </w:r>
      <w:r>
        <w:t>the</w:t>
      </w:r>
      <w:r w:rsidR="00C64050">
        <w:t xml:space="preserve"> </w:t>
      </w:r>
      <w:r>
        <w:t>court</w:t>
      </w:r>
      <w:r w:rsidR="00C64050">
        <w:t xml:space="preserve"> </w:t>
      </w:r>
      <w:r>
        <w:t>expressly</w:t>
      </w:r>
      <w:r w:rsidR="00C64050">
        <w:t xml:space="preserve"> </w:t>
      </w:r>
      <w:r>
        <w:t>ignored</w:t>
      </w:r>
      <w:r w:rsidR="00C64050">
        <w:t xml:space="preserve"> </w:t>
      </w:r>
      <w:r>
        <w:t>it:</w:t>
      </w:r>
    </w:p>
    <w:p w:rsidR="00F90618" w:rsidRPr="00F90618" w:rsidRDefault="00F90618" w:rsidP="00F90618">
      <w:pPr>
        <w:pStyle w:val="QS10"/>
        <w:rPr>
          <w:szCs w:val="20"/>
        </w:rPr>
      </w:pPr>
      <w:r w:rsidRPr="00F90618">
        <w:rPr>
          <w:szCs w:val="20"/>
        </w:rPr>
        <w:t>The</w:t>
      </w:r>
      <w:r w:rsidR="00C64050">
        <w:rPr>
          <w:szCs w:val="20"/>
        </w:rPr>
        <w:t xml:space="preserve"> </w:t>
      </w:r>
      <w:r w:rsidRPr="00F90618">
        <w:rPr>
          <w:szCs w:val="20"/>
        </w:rPr>
        <w:t>Trustees</w:t>
      </w:r>
      <w:r w:rsidR="00C64050">
        <w:rPr>
          <w:szCs w:val="20"/>
        </w:rPr>
        <w:t xml:space="preserve"> </w:t>
      </w:r>
      <w:r w:rsidRPr="00F90618">
        <w:rPr>
          <w:szCs w:val="20"/>
        </w:rPr>
        <w:t>argue</w:t>
      </w:r>
      <w:r w:rsidR="00C64050">
        <w:rPr>
          <w:szCs w:val="20"/>
        </w:rPr>
        <w:t xml:space="preserve"> </w:t>
      </w:r>
      <w:r w:rsidRPr="00F90618">
        <w:rPr>
          <w:szCs w:val="20"/>
        </w:rPr>
        <w:t>that</w:t>
      </w:r>
      <w:r w:rsidR="00C64050">
        <w:rPr>
          <w:szCs w:val="20"/>
        </w:rPr>
        <w:t xml:space="preserve"> </w:t>
      </w:r>
      <w:r w:rsidRPr="00F90618">
        <w:rPr>
          <w:szCs w:val="20"/>
        </w:rPr>
        <w:t>Uniform</w:t>
      </w:r>
      <w:r w:rsidR="00C64050">
        <w:rPr>
          <w:szCs w:val="20"/>
        </w:rPr>
        <w:t xml:space="preserve"> </w:t>
      </w:r>
      <w:r w:rsidRPr="00F90618">
        <w:rPr>
          <w:szCs w:val="20"/>
        </w:rPr>
        <w:t>Trust</w:t>
      </w:r>
      <w:r w:rsidR="00C64050">
        <w:rPr>
          <w:szCs w:val="20"/>
        </w:rPr>
        <w:t xml:space="preserve"> </w:t>
      </w:r>
      <w:r w:rsidRPr="00F90618">
        <w:rPr>
          <w:szCs w:val="20"/>
        </w:rPr>
        <w:t>Code</w:t>
      </w:r>
      <w:r w:rsidR="00C64050">
        <w:rPr>
          <w:szCs w:val="20"/>
        </w:rPr>
        <w:t xml:space="preserve"> </w:t>
      </w:r>
      <w:r w:rsidRPr="00F90618">
        <w:rPr>
          <w:szCs w:val="20"/>
        </w:rPr>
        <w:t>commentary</w:t>
      </w:r>
      <w:r w:rsidR="00C64050">
        <w:rPr>
          <w:szCs w:val="20"/>
        </w:rPr>
        <w:t xml:space="preserve"> </w:t>
      </w:r>
      <w:r w:rsidRPr="00F90618">
        <w:rPr>
          <w:szCs w:val="20"/>
        </w:rPr>
        <w:t>to</w:t>
      </w:r>
      <w:r w:rsidR="00C64050">
        <w:rPr>
          <w:szCs w:val="20"/>
        </w:rPr>
        <w:t xml:space="preserve"> </w:t>
      </w:r>
      <w:r w:rsidRPr="00F90618">
        <w:rPr>
          <w:szCs w:val="20"/>
        </w:rPr>
        <w:t>section</w:t>
      </w:r>
      <w:r w:rsidR="00C64050">
        <w:rPr>
          <w:szCs w:val="20"/>
        </w:rPr>
        <w:t xml:space="preserve"> </w:t>
      </w:r>
      <w:r w:rsidRPr="00F90618">
        <w:rPr>
          <w:szCs w:val="20"/>
        </w:rPr>
        <w:t>110</w:t>
      </w:r>
      <w:r w:rsidR="00C64050">
        <w:rPr>
          <w:szCs w:val="20"/>
        </w:rPr>
        <w:t xml:space="preserve"> </w:t>
      </w:r>
      <w:r w:rsidRPr="00F90618">
        <w:rPr>
          <w:szCs w:val="20"/>
        </w:rPr>
        <w:t>supports</w:t>
      </w:r>
      <w:r w:rsidR="00C64050">
        <w:rPr>
          <w:szCs w:val="20"/>
        </w:rPr>
        <w:t xml:space="preserve"> </w:t>
      </w:r>
      <w:r w:rsidRPr="00F90618">
        <w:rPr>
          <w:szCs w:val="20"/>
        </w:rPr>
        <w:t>their</w:t>
      </w:r>
      <w:r w:rsidR="00C64050">
        <w:rPr>
          <w:szCs w:val="20"/>
        </w:rPr>
        <w:t xml:space="preserve"> </w:t>
      </w:r>
      <w:r w:rsidRPr="00F90618">
        <w:rPr>
          <w:szCs w:val="20"/>
        </w:rPr>
        <w:t>interpretation</w:t>
      </w:r>
      <w:r w:rsidR="00C64050">
        <w:rPr>
          <w:szCs w:val="20"/>
        </w:rPr>
        <w:t xml:space="preserve"> </w:t>
      </w:r>
      <w:r w:rsidRPr="00F90618">
        <w:rPr>
          <w:szCs w:val="20"/>
        </w:rPr>
        <w:t>of</w:t>
      </w:r>
      <w:r w:rsidR="00C64050">
        <w:rPr>
          <w:szCs w:val="20"/>
        </w:rPr>
        <w:t xml:space="preserve"> </w:t>
      </w:r>
      <w:r w:rsidRPr="00F90618">
        <w:rPr>
          <w:szCs w:val="20"/>
        </w:rPr>
        <w:t>the</w:t>
      </w:r>
      <w:r w:rsidR="00C64050">
        <w:rPr>
          <w:szCs w:val="20"/>
        </w:rPr>
        <w:t xml:space="preserve"> </w:t>
      </w:r>
      <w:r w:rsidRPr="00F90618">
        <w:rPr>
          <w:szCs w:val="20"/>
        </w:rPr>
        <w:t>word</w:t>
      </w:r>
      <w:r w:rsidR="00C64050">
        <w:rPr>
          <w:szCs w:val="20"/>
        </w:rPr>
        <w:t xml:space="preserve"> </w:t>
      </w:r>
      <w:r w:rsidRPr="00F90618">
        <w:rPr>
          <w:szCs w:val="20"/>
        </w:rPr>
        <w:t>“designated.”</w:t>
      </w:r>
      <w:r w:rsidR="00C64050">
        <w:rPr>
          <w:szCs w:val="20"/>
        </w:rPr>
        <w:t xml:space="preserve"> </w:t>
      </w:r>
      <w:r w:rsidRPr="00F90618">
        <w:rPr>
          <w:szCs w:val="20"/>
        </w:rPr>
        <w:t>That</w:t>
      </w:r>
      <w:r w:rsidR="00C64050">
        <w:rPr>
          <w:szCs w:val="20"/>
        </w:rPr>
        <w:t xml:space="preserve"> </w:t>
      </w:r>
      <w:r w:rsidRPr="00F90618">
        <w:rPr>
          <w:szCs w:val="20"/>
        </w:rPr>
        <w:t>commentary</w:t>
      </w:r>
      <w:r w:rsidR="00C64050">
        <w:rPr>
          <w:szCs w:val="20"/>
        </w:rPr>
        <w:t xml:space="preserve"> </w:t>
      </w:r>
      <w:r w:rsidRPr="00F90618">
        <w:rPr>
          <w:szCs w:val="20"/>
        </w:rPr>
        <w:t>states</w:t>
      </w:r>
      <w:r w:rsidR="00C64050">
        <w:rPr>
          <w:szCs w:val="20"/>
        </w:rPr>
        <w:t xml:space="preserve"> </w:t>
      </w:r>
      <w:r w:rsidRPr="00F90618">
        <w:rPr>
          <w:szCs w:val="20"/>
        </w:rPr>
        <w:t>that</w:t>
      </w:r>
      <w:r w:rsidR="00C64050">
        <w:rPr>
          <w:szCs w:val="20"/>
        </w:rPr>
        <w:t xml:space="preserve"> </w:t>
      </w:r>
      <w:r w:rsidRPr="00F90618">
        <w:rPr>
          <w:szCs w:val="20"/>
        </w:rPr>
        <w:t>to</w:t>
      </w:r>
      <w:r w:rsidR="00C64050">
        <w:rPr>
          <w:szCs w:val="20"/>
        </w:rPr>
        <w:t xml:space="preserve"> </w:t>
      </w:r>
      <w:r w:rsidRPr="00F90618">
        <w:rPr>
          <w:szCs w:val="20"/>
        </w:rPr>
        <w:t>have</w:t>
      </w:r>
      <w:r w:rsidR="00C64050">
        <w:rPr>
          <w:szCs w:val="20"/>
        </w:rPr>
        <w:t xml:space="preserve"> </w:t>
      </w:r>
      <w:r w:rsidRPr="00F90618">
        <w:rPr>
          <w:szCs w:val="20"/>
        </w:rPr>
        <w:t>the</w:t>
      </w:r>
      <w:r w:rsidR="00C64050">
        <w:rPr>
          <w:szCs w:val="20"/>
        </w:rPr>
        <w:t xml:space="preserve"> </w:t>
      </w:r>
      <w:r w:rsidRPr="00F90618">
        <w:rPr>
          <w:szCs w:val="20"/>
        </w:rPr>
        <w:t>rights</w:t>
      </w:r>
      <w:r w:rsidR="00C64050">
        <w:rPr>
          <w:szCs w:val="20"/>
        </w:rPr>
        <w:t xml:space="preserve"> </w:t>
      </w:r>
      <w:r w:rsidRPr="00F90618">
        <w:rPr>
          <w:szCs w:val="20"/>
        </w:rPr>
        <w:t>of</w:t>
      </w:r>
      <w:r w:rsidR="00C64050">
        <w:rPr>
          <w:szCs w:val="20"/>
        </w:rPr>
        <w:t xml:space="preserve"> </w:t>
      </w:r>
      <w:r w:rsidRPr="00F90618">
        <w:rPr>
          <w:szCs w:val="20"/>
        </w:rPr>
        <w:t>a</w:t>
      </w:r>
      <w:r w:rsidR="00C64050">
        <w:rPr>
          <w:szCs w:val="20"/>
        </w:rPr>
        <w:t xml:space="preserve"> </w:t>
      </w:r>
      <w:r w:rsidRPr="00F90618">
        <w:rPr>
          <w:szCs w:val="20"/>
        </w:rPr>
        <w:t>qualified</w:t>
      </w:r>
      <w:r w:rsidR="00C64050">
        <w:rPr>
          <w:szCs w:val="20"/>
        </w:rPr>
        <w:t xml:space="preserve"> </w:t>
      </w:r>
      <w:r w:rsidRPr="00F90618">
        <w:rPr>
          <w:szCs w:val="20"/>
        </w:rPr>
        <w:t>beneficiary,</w:t>
      </w:r>
      <w:r w:rsidR="00C64050">
        <w:rPr>
          <w:szCs w:val="20"/>
        </w:rPr>
        <w:t xml:space="preserve"> </w:t>
      </w:r>
      <w:r w:rsidRPr="00F90618">
        <w:rPr>
          <w:szCs w:val="20"/>
        </w:rPr>
        <w:t>a</w:t>
      </w:r>
      <w:r w:rsidR="00C64050">
        <w:rPr>
          <w:szCs w:val="20"/>
        </w:rPr>
        <w:t xml:space="preserve"> </w:t>
      </w:r>
      <w:r w:rsidRPr="00F90618">
        <w:rPr>
          <w:szCs w:val="20"/>
        </w:rPr>
        <w:t>charitable</w:t>
      </w:r>
      <w:r w:rsidR="00C64050">
        <w:rPr>
          <w:szCs w:val="20"/>
        </w:rPr>
        <w:t xml:space="preserve"> </w:t>
      </w:r>
      <w:r w:rsidRPr="00F90618">
        <w:rPr>
          <w:szCs w:val="20"/>
        </w:rPr>
        <w:t>organization</w:t>
      </w:r>
      <w:r w:rsidR="00C64050">
        <w:rPr>
          <w:szCs w:val="20"/>
        </w:rPr>
        <w:t xml:space="preserve"> </w:t>
      </w:r>
      <w:r w:rsidRPr="00F90618">
        <w:rPr>
          <w:szCs w:val="20"/>
        </w:rPr>
        <w:t>“must</w:t>
      </w:r>
      <w:r w:rsidR="00C64050">
        <w:rPr>
          <w:szCs w:val="20"/>
        </w:rPr>
        <w:t xml:space="preserve"> </w:t>
      </w:r>
      <w:r w:rsidRPr="00F90618">
        <w:rPr>
          <w:szCs w:val="20"/>
        </w:rPr>
        <w:t>be</w:t>
      </w:r>
      <w:r w:rsidR="00C64050">
        <w:rPr>
          <w:szCs w:val="20"/>
        </w:rPr>
        <w:t xml:space="preserve"> </w:t>
      </w:r>
      <w:r w:rsidRPr="00F90618">
        <w:rPr>
          <w:szCs w:val="20"/>
        </w:rPr>
        <w:t>named</w:t>
      </w:r>
      <w:r w:rsidR="00C64050">
        <w:rPr>
          <w:szCs w:val="20"/>
        </w:rPr>
        <w:t xml:space="preserve"> </w:t>
      </w:r>
      <w:r w:rsidRPr="00F90618">
        <w:rPr>
          <w:szCs w:val="20"/>
        </w:rPr>
        <w:t>in</w:t>
      </w:r>
      <w:r w:rsidR="00C64050">
        <w:rPr>
          <w:szCs w:val="20"/>
        </w:rPr>
        <w:t xml:space="preserve"> </w:t>
      </w:r>
      <w:r w:rsidRPr="00F90618">
        <w:rPr>
          <w:szCs w:val="20"/>
        </w:rPr>
        <w:t>the</w:t>
      </w:r>
      <w:r w:rsidR="00C64050">
        <w:rPr>
          <w:szCs w:val="20"/>
        </w:rPr>
        <w:t xml:space="preserve"> </w:t>
      </w:r>
      <w:r w:rsidRPr="00F90618">
        <w:rPr>
          <w:szCs w:val="20"/>
        </w:rPr>
        <w:t>terms</w:t>
      </w:r>
      <w:r w:rsidR="00C64050">
        <w:rPr>
          <w:szCs w:val="20"/>
        </w:rPr>
        <w:t xml:space="preserve"> </w:t>
      </w:r>
      <w:r w:rsidRPr="00F90618">
        <w:rPr>
          <w:szCs w:val="20"/>
        </w:rPr>
        <w:t>of</w:t>
      </w:r>
      <w:r w:rsidR="00C64050">
        <w:rPr>
          <w:szCs w:val="20"/>
        </w:rPr>
        <w:t xml:space="preserve"> </w:t>
      </w:r>
      <w:r w:rsidRPr="00F90618">
        <w:rPr>
          <w:szCs w:val="20"/>
        </w:rPr>
        <w:t>the</w:t>
      </w:r>
      <w:r w:rsidR="00C64050">
        <w:rPr>
          <w:szCs w:val="20"/>
        </w:rPr>
        <w:t xml:space="preserve"> </w:t>
      </w:r>
      <w:r w:rsidRPr="00F90618">
        <w:rPr>
          <w:szCs w:val="20"/>
        </w:rPr>
        <w:t>trust</w:t>
      </w:r>
      <w:r w:rsidR="00C64050">
        <w:rPr>
          <w:szCs w:val="20"/>
        </w:rPr>
        <w:t xml:space="preserve"> </w:t>
      </w:r>
      <w:r w:rsidRPr="00F90618">
        <w:rPr>
          <w:szCs w:val="20"/>
        </w:rPr>
        <w:t>and</w:t>
      </w:r>
      <w:r w:rsidR="00C64050">
        <w:rPr>
          <w:szCs w:val="20"/>
        </w:rPr>
        <w:t xml:space="preserve"> </w:t>
      </w:r>
      <w:r w:rsidRPr="00F90618">
        <w:rPr>
          <w:szCs w:val="20"/>
        </w:rPr>
        <w:t>must</w:t>
      </w:r>
      <w:r w:rsidR="00C64050">
        <w:rPr>
          <w:szCs w:val="20"/>
        </w:rPr>
        <w:t xml:space="preserve"> </w:t>
      </w:r>
      <w:r w:rsidRPr="00F90618">
        <w:rPr>
          <w:szCs w:val="20"/>
        </w:rPr>
        <w:t>be</w:t>
      </w:r>
      <w:r w:rsidR="00C64050">
        <w:rPr>
          <w:szCs w:val="20"/>
        </w:rPr>
        <w:t xml:space="preserve"> </w:t>
      </w:r>
      <w:r w:rsidRPr="00F90618">
        <w:rPr>
          <w:szCs w:val="20"/>
        </w:rPr>
        <w:t>designated</w:t>
      </w:r>
      <w:r w:rsidR="00C64050">
        <w:rPr>
          <w:szCs w:val="20"/>
        </w:rPr>
        <w:t xml:space="preserve"> </w:t>
      </w:r>
      <w:r w:rsidRPr="00F90618">
        <w:rPr>
          <w:szCs w:val="20"/>
        </w:rPr>
        <w:t>to</w:t>
      </w:r>
      <w:r w:rsidR="00C64050">
        <w:rPr>
          <w:szCs w:val="20"/>
        </w:rPr>
        <w:t xml:space="preserve"> </w:t>
      </w:r>
      <w:r w:rsidRPr="00F90618">
        <w:rPr>
          <w:szCs w:val="20"/>
        </w:rPr>
        <w:t>receive</w:t>
      </w:r>
      <w:r w:rsidR="00C64050">
        <w:rPr>
          <w:szCs w:val="20"/>
        </w:rPr>
        <w:t xml:space="preserve"> </w:t>
      </w:r>
      <w:r w:rsidRPr="00F90618">
        <w:rPr>
          <w:szCs w:val="20"/>
        </w:rPr>
        <w:t>distributions,”</w:t>
      </w:r>
      <w:r w:rsidR="00C64050">
        <w:rPr>
          <w:szCs w:val="20"/>
        </w:rPr>
        <w:t xml:space="preserve"> </w:t>
      </w:r>
      <w:r w:rsidRPr="00F90618">
        <w:rPr>
          <w:szCs w:val="20"/>
        </w:rPr>
        <w:t>and</w:t>
      </w:r>
      <w:r w:rsidR="00C64050">
        <w:rPr>
          <w:szCs w:val="20"/>
        </w:rPr>
        <w:t xml:space="preserve"> </w:t>
      </w:r>
      <w:r w:rsidRPr="00F90618">
        <w:rPr>
          <w:szCs w:val="20"/>
        </w:rPr>
        <w:t>therefore</w:t>
      </w:r>
      <w:r w:rsidR="00C64050">
        <w:rPr>
          <w:szCs w:val="20"/>
        </w:rPr>
        <w:t xml:space="preserve"> </w:t>
      </w:r>
      <w:r w:rsidRPr="00F90618">
        <w:rPr>
          <w:szCs w:val="20"/>
        </w:rPr>
        <w:t>“excluded</w:t>
      </w:r>
      <w:r w:rsidR="00C64050">
        <w:rPr>
          <w:szCs w:val="20"/>
        </w:rPr>
        <w:t xml:space="preserve"> </w:t>
      </w:r>
      <w:r w:rsidRPr="00F90618">
        <w:rPr>
          <w:szCs w:val="20"/>
        </w:rPr>
        <w:t>are</w:t>
      </w:r>
      <w:r w:rsidR="00C64050">
        <w:rPr>
          <w:szCs w:val="20"/>
        </w:rPr>
        <w:t xml:space="preserve"> </w:t>
      </w:r>
      <w:r w:rsidRPr="00F90618">
        <w:rPr>
          <w:szCs w:val="20"/>
        </w:rPr>
        <w:t>organizations</w:t>
      </w:r>
      <w:r w:rsidR="00C64050">
        <w:rPr>
          <w:szCs w:val="20"/>
        </w:rPr>
        <w:t xml:space="preserve"> </w:t>
      </w:r>
      <w:r w:rsidRPr="00F90618">
        <w:rPr>
          <w:szCs w:val="20"/>
        </w:rPr>
        <w:t>who</w:t>
      </w:r>
      <w:r w:rsidR="00C64050">
        <w:rPr>
          <w:szCs w:val="20"/>
        </w:rPr>
        <w:t xml:space="preserve"> </w:t>
      </w:r>
      <w:r w:rsidRPr="00F90618">
        <w:rPr>
          <w:szCs w:val="20"/>
        </w:rPr>
        <w:t>may</w:t>
      </w:r>
      <w:r w:rsidR="00C64050">
        <w:rPr>
          <w:szCs w:val="20"/>
        </w:rPr>
        <w:t xml:space="preserve"> </w:t>
      </w:r>
      <w:r w:rsidRPr="00F90618">
        <w:rPr>
          <w:szCs w:val="20"/>
        </w:rPr>
        <w:t>receive</w:t>
      </w:r>
      <w:r w:rsidR="00C64050">
        <w:rPr>
          <w:szCs w:val="20"/>
        </w:rPr>
        <w:t xml:space="preserve"> </w:t>
      </w:r>
      <w:r w:rsidRPr="00F90618">
        <w:rPr>
          <w:szCs w:val="20"/>
        </w:rPr>
        <w:t>distributions</w:t>
      </w:r>
      <w:r w:rsidR="00C64050">
        <w:rPr>
          <w:szCs w:val="20"/>
        </w:rPr>
        <w:t xml:space="preserve"> </w:t>
      </w:r>
      <w:r w:rsidRPr="00F90618">
        <w:rPr>
          <w:szCs w:val="20"/>
        </w:rPr>
        <w:t>only</w:t>
      </w:r>
      <w:r w:rsidR="00C64050">
        <w:rPr>
          <w:szCs w:val="20"/>
        </w:rPr>
        <w:t xml:space="preserve"> </w:t>
      </w:r>
      <w:r w:rsidRPr="00F90618">
        <w:rPr>
          <w:szCs w:val="20"/>
        </w:rPr>
        <w:t>in</w:t>
      </w:r>
      <w:r w:rsidR="00C64050">
        <w:rPr>
          <w:szCs w:val="20"/>
        </w:rPr>
        <w:t xml:space="preserve"> </w:t>
      </w:r>
      <w:r w:rsidRPr="00F90618">
        <w:rPr>
          <w:szCs w:val="20"/>
        </w:rPr>
        <w:t>the</w:t>
      </w:r>
      <w:r w:rsidR="00C64050">
        <w:rPr>
          <w:szCs w:val="20"/>
        </w:rPr>
        <w:t xml:space="preserve"> </w:t>
      </w:r>
      <w:r w:rsidRPr="00F90618">
        <w:rPr>
          <w:szCs w:val="20"/>
        </w:rPr>
        <w:t>trustee's</w:t>
      </w:r>
      <w:r w:rsidR="00C64050">
        <w:rPr>
          <w:szCs w:val="20"/>
        </w:rPr>
        <w:t xml:space="preserve"> </w:t>
      </w:r>
      <w:r w:rsidRPr="00F90618">
        <w:rPr>
          <w:szCs w:val="20"/>
        </w:rPr>
        <w:t>discretion</w:t>
      </w:r>
      <w:r w:rsidR="00C64050">
        <w:rPr>
          <w:szCs w:val="20"/>
        </w:rPr>
        <w:t xml:space="preserve"> </w:t>
      </w:r>
      <w:r w:rsidRPr="00F90618">
        <w:rPr>
          <w:szCs w:val="20"/>
        </w:rPr>
        <w:t>....”</w:t>
      </w:r>
      <w:r w:rsidR="00C64050">
        <w:rPr>
          <w:szCs w:val="20"/>
        </w:rPr>
        <w:t xml:space="preserve"> </w:t>
      </w:r>
      <w:r w:rsidRPr="00F90618">
        <w:rPr>
          <w:szCs w:val="20"/>
        </w:rPr>
        <w:t>18-B</w:t>
      </w:r>
      <w:r w:rsidR="00C64050">
        <w:rPr>
          <w:szCs w:val="20"/>
        </w:rPr>
        <w:t xml:space="preserve"> </w:t>
      </w:r>
      <w:r w:rsidRPr="00F90618">
        <w:rPr>
          <w:szCs w:val="20"/>
        </w:rPr>
        <w:t>M.R.S.A.</w:t>
      </w:r>
      <w:r w:rsidR="00C64050">
        <w:rPr>
          <w:szCs w:val="20"/>
        </w:rPr>
        <w:t xml:space="preserve"> </w:t>
      </w:r>
      <w:r w:rsidRPr="00F90618">
        <w:rPr>
          <w:szCs w:val="20"/>
        </w:rPr>
        <w:t>§</w:t>
      </w:r>
      <w:r w:rsidR="00C64050">
        <w:rPr>
          <w:szCs w:val="20"/>
        </w:rPr>
        <w:t xml:space="preserve"> </w:t>
      </w:r>
      <w:r w:rsidRPr="00F90618">
        <w:rPr>
          <w:szCs w:val="20"/>
        </w:rPr>
        <w:t>110</w:t>
      </w:r>
      <w:r w:rsidR="00C64050">
        <w:rPr>
          <w:szCs w:val="20"/>
        </w:rPr>
        <w:t xml:space="preserve"> </w:t>
      </w:r>
      <w:r w:rsidRPr="00F90618">
        <w:rPr>
          <w:szCs w:val="20"/>
        </w:rPr>
        <w:t>Unif.</w:t>
      </w:r>
      <w:r w:rsidR="00C64050">
        <w:rPr>
          <w:szCs w:val="20"/>
        </w:rPr>
        <w:t xml:space="preserve"> </w:t>
      </w:r>
      <w:r w:rsidRPr="00F90618">
        <w:rPr>
          <w:szCs w:val="20"/>
        </w:rPr>
        <w:t>Trust</w:t>
      </w:r>
      <w:r w:rsidR="00C64050">
        <w:rPr>
          <w:szCs w:val="20"/>
        </w:rPr>
        <w:t xml:space="preserve"> </w:t>
      </w:r>
      <w:r w:rsidRPr="00F90618">
        <w:rPr>
          <w:szCs w:val="20"/>
        </w:rPr>
        <w:t>Code</w:t>
      </w:r>
      <w:r w:rsidR="00C64050">
        <w:rPr>
          <w:szCs w:val="20"/>
        </w:rPr>
        <w:t xml:space="preserve"> </w:t>
      </w:r>
      <w:r w:rsidRPr="00F90618">
        <w:rPr>
          <w:szCs w:val="20"/>
        </w:rPr>
        <w:t>cmt.</w:t>
      </w:r>
      <w:r w:rsidR="00C64050">
        <w:rPr>
          <w:szCs w:val="20"/>
        </w:rPr>
        <w:t xml:space="preserve"> </w:t>
      </w:r>
      <w:r w:rsidRPr="00F90618">
        <w:rPr>
          <w:szCs w:val="20"/>
        </w:rPr>
        <w:t>(2012).</w:t>
      </w:r>
      <w:r w:rsidR="00C64050">
        <w:rPr>
          <w:szCs w:val="20"/>
        </w:rPr>
        <w:t xml:space="preserve"> </w:t>
      </w:r>
      <w:r w:rsidRPr="00F90618">
        <w:rPr>
          <w:szCs w:val="20"/>
        </w:rPr>
        <w:t>The</w:t>
      </w:r>
      <w:r w:rsidR="00C64050">
        <w:rPr>
          <w:szCs w:val="20"/>
        </w:rPr>
        <w:t xml:space="preserve"> </w:t>
      </w:r>
      <w:r w:rsidRPr="00F90618">
        <w:rPr>
          <w:szCs w:val="20"/>
        </w:rPr>
        <w:t>Trustees</w:t>
      </w:r>
      <w:r w:rsidR="00C64050">
        <w:rPr>
          <w:szCs w:val="20"/>
        </w:rPr>
        <w:t xml:space="preserve"> </w:t>
      </w:r>
      <w:r w:rsidRPr="00F90618">
        <w:rPr>
          <w:szCs w:val="20"/>
        </w:rPr>
        <w:t>argue</w:t>
      </w:r>
      <w:r w:rsidR="00C64050">
        <w:rPr>
          <w:szCs w:val="20"/>
        </w:rPr>
        <w:t xml:space="preserve"> </w:t>
      </w:r>
      <w:r w:rsidRPr="00F90618">
        <w:rPr>
          <w:szCs w:val="20"/>
        </w:rPr>
        <w:t>that</w:t>
      </w:r>
      <w:r w:rsidR="00C64050">
        <w:rPr>
          <w:szCs w:val="20"/>
        </w:rPr>
        <w:t xml:space="preserve"> </w:t>
      </w:r>
      <w:r w:rsidRPr="00F90618">
        <w:rPr>
          <w:szCs w:val="20"/>
        </w:rPr>
        <w:t>this</w:t>
      </w:r>
      <w:r w:rsidR="00C64050">
        <w:rPr>
          <w:szCs w:val="20"/>
        </w:rPr>
        <w:t xml:space="preserve"> </w:t>
      </w:r>
      <w:r w:rsidRPr="00F90618">
        <w:rPr>
          <w:szCs w:val="20"/>
        </w:rPr>
        <w:t>shows</w:t>
      </w:r>
      <w:r w:rsidR="00C64050">
        <w:rPr>
          <w:szCs w:val="20"/>
        </w:rPr>
        <w:t xml:space="preserve"> </w:t>
      </w:r>
      <w:r w:rsidRPr="00F90618">
        <w:rPr>
          <w:szCs w:val="20"/>
        </w:rPr>
        <w:t>that</w:t>
      </w:r>
      <w:r w:rsidR="00C64050">
        <w:rPr>
          <w:szCs w:val="20"/>
        </w:rPr>
        <w:t xml:space="preserve"> </w:t>
      </w:r>
      <w:r w:rsidRPr="00F90618">
        <w:rPr>
          <w:szCs w:val="20"/>
        </w:rPr>
        <w:t>the</w:t>
      </w:r>
      <w:r w:rsidR="00C64050">
        <w:rPr>
          <w:szCs w:val="20"/>
        </w:rPr>
        <w:t xml:space="preserve"> </w:t>
      </w:r>
      <w:r w:rsidRPr="00F90618">
        <w:rPr>
          <w:szCs w:val="20"/>
        </w:rPr>
        <w:t>word</w:t>
      </w:r>
      <w:r w:rsidR="00C64050">
        <w:rPr>
          <w:szCs w:val="20"/>
        </w:rPr>
        <w:t xml:space="preserve"> </w:t>
      </w:r>
      <w:r w:rsidRPr="00F90618">
        <w:rPr>
          <w:szCs w:val="20"/>
        </w:rPr>
        <w:t>“designated”</w:t>
      </w:r>
      <w:r w:rsidR="00C64050">
        <w:rPr>
          <w:szCs w:val="20"/>
        </w:rPr>
        <w:t xml:space="preserve"> </w:t>
      </w:r>
      <w:r w:rsidRPr="00F90618">
        <w:rPr>
          <w:szCs w:val="20"/>
        </w:rPr>
        <w:t>must</w:t>
      </w:r>
      <w:r w:rsidR="00C64050">
        <w:rPr>
          <w:szCs w:val="20"/>
        </w:rPr>
        <w:t xml:space="preserve"> </w:t>
      </w:r>
      <w:r w:rsidRPr="00F90618">
        <w:rPr>
          <w:szCs w:val="20"/>
        </w:rPr>
        <w:t>be</w:t>
      </w:r>
      <w:r w:rsidR="00C64050">
        <w:rPr>
          <w:szCs w:val="20"/>
        </w:rPr>
        <w:t xml:space="preserve"> </w:t>
      </w:r>
      <w:r w:rsidRPr="00F90618">
        <w:rPr>
          <w:szCs w:val="20"/>
        </w:rPr>
        <w:t>read</w:t>
      </w:r>
      <w:r w:rsidR="00C64050">
        <w:rPr>
          <w:szCs w:val="20"/>
        </w:rPr>
        <w:t xml:space="preserve"> </w:t>
      </w:r>
      <w:r w:rsidRPr="00F90618">
        <w:rPr>
          <w:szCs w:val="20"/>
        </w:rPr>
        <w:t>to</w:t>
      </w:r>
      <w:r w:rsidR="00C64050">
        <w:rPr>
          <w:szCs w:val="20"/>
        </w:rPr>
        <w:t xml:space="preserve"> </w:t>
      </w:r>
      <w:r w:rsidRPr="00F90618">
        <w:rPr>
          <w:szCs w:val="20"/>
        </w:rPr>
        <w:t>mean</w:t>
      </w:r>
      <w:r w:rsidR="00C64050">
        <w:rPr>
          <w:szCs w:val="20"/>
        </w:rPr>
        <w:t xml:space="preserve"> </w:t>
      </w:r>
      <w:r w:rsidRPr="00F90618">
        <w:rPr>
          <w:szCs w:val="20"/>
        </w:rPr>
        <w:t>“mandated.”</w:t>
      </w:r>
    </w:p>
    <w:p w:rsidR="00F90618" w:rsidRDefault="00F90618" w:rsidP="00F90618">
      <w:pPr>
        <w:pStyle w:val="QS10"/>
        <w:rPr>
          <w:szCs w:val="20"/>
        </w:rPr>
      </w:pPr>
      <w:r w:rsidRPr="00F90618">
        <w:rPr>
          <w:szCs w:val="20"/>
        </w:rPr>
        <w:t>This</w:t>
      </w:r>
      <w:r w:rsidR="00C64050">
        <w:rPr>
          <w:szCs w:val="20"/>
        </w:rPr>
        <w:t xml:space="preserve"> </w:t>
      </w:r>
      <w:r w:rsidRPr="00F90618">
        <w:rPr>
          <w:szCs w:val="20"/>
        </w:rPr>
        <w:t>argument</w:t>
      </w:r>
      <w:r w:rsidR="00C64050">
        <w:rPr>
          <w:szCs w:val="20"/>
        </w:rPr>
        <w:t xml:space="preserve"> </w:t>
      </w:r>
      <w:r w:rsidRPr="00F90618">
        <w:rPr>
          <w:szCs w:val="20"/>
        </w:rPr>
        <w:t>fails</w:t>
      </w:r>
      <w:r w:rsidR="00C64050">
        <w:rPr>
          <w:szCs w:val="20"/>
        </w:rPr>
        <w:t xml:space="preserve"> </w:t>
      </w:r>
      <w:r w:rsidRPr="00F90618">
        <w:rPr>
          <w:szCs w:val="20"/>
        </w:rPr>
        <w:t>because</w:t>
      </w:r>
      <w:r w:rsidR="00C64050">
        <w:rPr>
          <w:szCs w:val="20"/>
        </w:rPr>
        <w:t xml:space="preserve"> </w:t>
      </w:r>
      <w:r w:rsidRPr="00F90618">
        <w:rPr>
          <w:szCs w:val="20"/>
        </w:rPr>
        <w:t>the</w:t>
      </w:r>
      <w:r w:rsidR="00C64050">
        <w:rPr>
          <w:szCs w:val="20"/>
        </w:rPr>
        <w:t xml:space="preserve"> </w:t>
      </w:r>
      <w:r w:rsidRPr="00F90618">
        <w:rPr>
          <w:szCs w:val="20"/>
        </w:rPr>
        <w:t>plain</w:t>
      </w:r>
      <w:r w:rsidR="00C64050">
        <w:rPr>
          <w:szCs w:val="20"/>
        </w:rPr>
        <w:t xml:space="preserve"> </w:t>
      </w:r>
      <w:r w:rsidRPr="00F90618">
        <w:rPr>
          <w:szCs w:val="20"/>
        </w:rPr>
        <w:t>language</w:t>
      </w:r>
      <w:r w:rsidR="00C64050">
        <w:rPr>
          <w:szCs w:val="20"/>
        </w:rPr>
        <w:t xml:space="preserve"> </w:t>
      </w:r>
      <w:r w:rsidRPr="00F90618">
        <w:rPr>
          <w:szCs w:val="20"/>
        </w:rPr>
        <w:t>of</w:t>
      </w:r>
      <w:r w:rsidR="00C64050">
        <w:rPr>
          <w:szCs w:val="20"/>
        </w:rPr>
        <w:t xml:space="preserve"> </w:t>
      </w:r>
      <w:r w:rsidRPr="00F90618">
        <w:rPr>
          <w:szCs w:val="20"/>
        </w:rPr>
        <w:t>section</w:t>
      </w:r>
      <w:r w:rsidR="00C64050">
        <w:rPr>
          <w:szCs w:val="20"/>
        </w:rPr>
        <w:t xml:space="preserve"> </w:t>
      </w:r>
      <w:r w:rsidRPr="00F90618">
        <w:rPr>
          <w:szCs w:val="20"/>
        </w:rPr>
        <w:t>110(1),</w:t>
      </w:r>
      <w:r w:rsidR="00C64050">
        <w:rPr>
          <w:szCs w:val="20"/>
        </w:rPr>
        <w:t xml:space="preserve"> </w:t>
      </w:r>
      <w:r w:rsidRPr="00F90618">
        <w:rPr>
          <w:szCs w:val="20"/>
        </w:rPr>
        <w:t>as</w:t>
      </w:r>
      <w:r w:rsidR="00C64050">
        <w:rPr>
          <w:szCs w:val="20"/>
        </w:rPr>
        <w:t xml:space="preserve"> </w:t>
      </w:r>
      <w:r w:rsidRPr="00F90618">
        <w:rPr>
          <w:szCs w:val="20"/>
        </w:rPr>
        <w:t>adopted</w:t>
      </w:r>
      <w:r w:rsidR="00C64050">
        <w:rPr>
          <w:szCs w:val="20"/>
        </w:rPr>
        <w:t xml:space="preserve"> </w:t>
      </w:r>
      <w:r w:rsidRPr="00F90618">
        <w:rPr>
          <w:szCs w:val="20"/>
        </w:rPr>
        <w:t>by</w:t>
      </w:r>
      <w:r w:rsidR="00C64050">
        <w:rPr>
          <w:szCs w:val="20"/>
        </w:rPr>
        <w:t xml:space="preserve"> </w:t>
      </w:r>
      <w:r w:rsidRPr="00F90618">
        <w:rPr>
          <w:szCs w:val="20"/>
        </w:rPr>
        <w:t>the</w:t>
      </w:r>
      <w:r w:rsidR="00C64050">
        <w:rPr>
          <w:szCs w:val="20"/>
        </w:rPr>
        <w:t xml:space="preserve"> </w:t>
      </w:r>
      <w:r w:rsidRPr="00F90618">
        <w:rPr>
          <w:szCs w:val="20"/>
        </w:rPr>
        <w:t>Legislature,</w:t>
      </w:r>
      <w:r w:rsidR="00C64050">
        <w:rPr>
          <w:szCs w:val="20"/>
        </w:rPr>
        <w:t xml:space="preserve"> </w:t>
      </w:r>
      <w:r w:rsidRPr="00F90618">
        <w:rPr>
          <w:szCs w:val="20"/>
        </w:rPr>
        <w:t>unambiguously</w:t>
      </w:r>
      <w:r w:rsidR="00C64050">
        <w:rPr>
          <w:szCs w:val="20"/>
        </w:rPr>
        <w:t xml:space="preserve"> </w:t>
      </w:r>
      <w:r w:rsidRPr="00F90618">
        <w:rPr>
          <w:szCs w:val="20"/>
        </w:rPr>
        <w:t>provides</w:t>
      </w:r>
      <w:r w:rsidR="00C64050">
        <w:rPr>
          <w:szCs w:val="20"/>
        </w:rPr>
        <w:t xml:space="preserve"> </w:t>
      </w:r>
      <w:r w:rsidRPr="00F90618">
        <w:rPr>
          <w:szCs w:val="20"/>
        </w:rPr>
        <w:t>a</w:t>
      </w:r>
      <w:r w:rsidR="00C64050">
        <w:rPr>
          <w:szCs w:val="20"/>
        </w:rPr>
        <w:t xml:space="preserve"> </w:t>
      </w:r>
      <w:r w:rsidRPr="00F90618">
        <w:rPr>
          <w:szCs w:val="20"/>
        </w:rPr>
        <w:t>different</w:t>
      </w:r>
      <w:r w:rsidR="00C64050">
        <w:rPr>
          <w:szCs w:val="20"/>
        </w:rPr>
        <w:t xml:space="preserve"> </w:t>
      </w:r>
      <w:r w:rsidRPr="00F90618">
        <w:rPr>
          <w:szCs w:val="20"/>
        </w:rPr>
        <w:t>directive.</w:t>
      </w:r>
      <w:r w:rsidR="00C64050">
        <w:rPr>
          <w:szCs w:val="20"/>
        </w:rPr>
        <w:t xml:space="preserve"> </w:t>
      </w:r>
      <w:r w:rsidRPr="00F90618">
        <w:rPr>
          <w:szCs w:val="20"/>
        </w:rPr>
        <w:t>The</w:t>
      </w:r>
      <w:r w:rsidR="00C64050">
        <w:rPr>
          <w:szCs w:val="20"/>
        </w:rPr>
        <w:t xml:space="preserve"> </w:t>
      </w:r>
      <w:r w:rsidRPr="00F90618">
        <w:rPr>
          <w:szCs w:val="20"/>
        </w:rPr>
        <w:t>language</w:t>
      </w:r>
      <w:r w:rsidR="00C64050">
        <w:rPr>
          <w:szCs w:val="20"/>
        </w:rPr>
        <w:t xml:space="preserve"> </w:t>
      </w:r>
      <w:r w:rsidRPr="00F90618">
        <w:rPr>
          <w:szCs w:val="20"/>
        </w:rPr>
        <w:t>used</w:t>
      </w:r>
      <w:r w:rsidR="00C64050">
        <w:rPr>
          <w:szCs w:val="20"/>
        </w:rPr>
        <w:t xml:space="preserve"> </w:t>
      </w:r>
      <w:r w:rsidRPr="00F90618">
        <w:rPr>
          <w:szCs w:val="20"/>
        </w:rPr>
        <w:t>by</w:t>
      </w:r>
      <w:r w:rsidR="00C64050">
        <w:rPr>
          <w:szCs w:val="20"/>
        </w:rPr>
        <w:t xml:space="preserve"> </w:t>
      </w:r>
      <w:r w:rsidRPr="00F90618">
        <w:rPr>
          <w:szCs w:val="20"/>
        </w:rPr>
        <w:t>the</w:t>
      </w:r>
      <w:r w:rsidR="00C64050">
        <w:rPr>
          <w:szCs w:val="20"/>
        </w:rPr>
        <w:t xml:space="preserve"> </w:t>
      </w:r>
      <w:r w:rsidRPr="00F90618">
        <w:rPr>
          <w:szCs w:val="20"/>
        </w:rPr>
        <w:t>Legislature</w:t>
      </w:r>
      <w:r w:rsidR="00C64050">
        <w:rPr>
          <w:szCs w:val="20"/>
        </w:rPr>
        <w:t xml:space="preserve"> </w:t>
      </w:r>
      <w:r w:rsidRPr="00F90618">
        <w:rPr>
          <w:szCs w:val="20"/>
        </w:rPr>
        <w:t>gives</w:t>
      </w:r>
      <w:r w:rsidR="00C64050">
        <w:rPr>
          <w:szCs w:val="20"/>
        </w:rPr>
        <w:t xml:space="preserve"> </w:t>
      </w:r>
      <w:r w:rsidRPr="00F90618">
        <w:rPr>
          <w:szCs w:val="20"/>
        </w:rPr>
        <w:t>Seal</w:t>
      </w:r>
      <w:r w:rsidR="00C64050">
        <w:rPr>
          <w:szCs w:val="20"/>
        </w:rPr>
        <w:t xml:space="preserve"> </w:t>
      </w:r>
      <w:r w:rsidRPr="00F90618">
        <w:rPr>
          <w:szCs w:val="20"/>
        </w:rPr>
        <w:t>Cove</w:t>
      </w:r>
      <w:r w:rsidR="00C64050">
        <w:rPr>
          <w:szCs w:val="20"/>
        </w:rPr>
        <w:t xml:space="preserve"> </w:t>
      </w:r>
      <w:r w:rsidRPr="00F90618">
        <w:rPr>
          <w:szCs w:val="20"/>
        </w:rPr>
        <w:t>the</w:t>
      </w:r>
      <w:r w:rsidR="00C64050">
        <w:rPr>
          <w:szCs w:val="20"/>
        </w:rPr>
        <w:t xml:space="preserve"> </w:t>
      </w:r>
      <w:r w:rsidRPr="00F90618">
        <w:rPr>
          <w:szCs w:val="20"/>
        </w:rPr>
        <w:t>rights</w:t>
      </w:r>
      <w:r w:rsidR="00C64050">
        <w:rPr>
          <w:szCs w:val="20"/>
        </w:rPr>
        <w:t xml:space="preserve"> </w:t>
      </w:r>
      <w:r w:rsidRPr="00F90618">
        <w:rPr>
          <w:szCs w:val="20"/>
        </w:rPr>
        <w:t>of</w:t>
      </w:r>
      <w:r w:rsidR="00C64050">
        <w:rPr>
          <w:szCs w:val="20"/>
        </w:rPr>
        <w:t xml:space="preserve"> </w:t>
      </w:r>
      <w:r w:rsidRPr="00F90618">
        <w:rPr>
          <w:szCs w:val="20"/>
        </w:rPr>
        <w:t>a</w:t>
      </w:r>
      <w:r w:rsidR="00C64050">
        <w:rPr>
          <w:szCs w:val="20"/>
        </w:rPr>
        <w:t xml:space="preserve"> </w:t>
      </w:r>
      <w:r w:rsidRPr="00F90618">
        <w:rPr>
          <w:szCs w:val="20"/>
        </w:rPr>
        <w:t>qualified</w:t>
      </w:r>
      <w:r w:rsidR="00C64050">
        <w:rPr>
          <w:szCs w:val="20"/>
        </w:rPr>
        <w:t xml:space="preserve"> </w:t>
      </w:r>
      <w:r w:rsidRPr="00F90618">
        <w:rPr>
          <w:szCs w:val="20"/>
        </w:rPr>
        <w:t>beneficiary.</w:t>
      </w:r>
      <w:r w:rsidR="00C64050">
        <w:rPr>
          <w:szCs w:val="20"/>
        </w:rPr>
        <w:t xml:space="preserve"> </w:t>
      </w:r>
      <w:r w:rsidRPr="00F90618">
        <w:rPr>
          <w:szCs w:val="20"/>
        </w:rPr>
        <w:t>The</w:t>
      </w:r>
      <w:r w:rsidR="00C64050">
        <w:rPr>
          <w:szCs w:val="20"/>
        </w:rPr>
        <w:t xml:space="preserve"> </w:t>
      </w:r>
      <w:r w:rsidRPr="00F90618">
        <w:rPr>
          <w:szCs w:val="20"/>
        </w:rPr>
        <w:t>commentary</w:t>
      </w:r>
      <w:r w:rsidR="00C64050">
        <w:rPr>
          <w:szCs w:val="20"/>
        </w:rPr>
        <w:t xml:space="preserve"> </w:t>
      </w:r>
      <w:r w:rsidRPr="00F90618">
        <w:rPr>
          <w:szCs w:val="20"/>
        </w:rPr>
        <w:t>to</w:t>
      </w:r>
      <w:r w:rsidR="00C64050">
        <w:rPr>
          <w:szCs w:val="20"/>
        </w:rPr>
        <w:t xml:space="preserve"> </w:t>
      </w:r>
      <w:r w:rsidRPr="00F90618">
        <w:rPr>
          <w:szCs w:val="20"/>
        </w:rPr>
        <w:t>the</w:t>
      </w:r>
      <w:r w:rsidR="00C64050">
        <w:rPr>
          <w:szCs w:val="20"/>
        </w:rPr>
        <w:t xml:space="preserve"> </w:t>
      </w:r>
      <w:r w:rsidRPr="00F90618">
        <w:rPr>
          <w:szCs w:val="20"/>
        </w:rPr>
        <w:t>UTC</w:t>
      </w:r>
      <w:r w:rsidR="00C64050">
        <w:rPr>
          <w:szCs w:val="20"/>
        </w:rPr>
        <w:t xml:space="preserve"> </w:t>
      </w:r>
      <w:r w:rsidRPr="00F90618">
        <w:rPr>
          <w:szCs w:val="20"/>
        </w:rPr>
        <w:t>is</w:t>
      </w:r>
      <w:r w:rsidR="00C64050">
        <w:rPr>
          <w:szCs w:val="20"/>
        </w:rPr>
        <w:t xml:space="preserve"> </w:t>
      </w:r>
      <w:r w:rsidRPr="00F90618">
        <w:rPr>
          <w:szCs w:val="20"/>
        </w:rPr>
        <w:t>not</w:t>
      </w:r>
      <w:r w:rsidR="00C64050">
        <w:rPr>
          <w:szCs w:val="20"/>
        </w:rPr>
        <w:t xml:space="preserve"> </w:t>
      </w:r>
      <w:r w:rsidRPr="00F90618">
        <w:rPr>
          <w:szCs w:val="20"/>
        </w:rPr>
        <w:t>part</w:t>
      </w:r>
      <w:r w:rsidR="00C64050">
        <w:rPr>
          <w:szCs w:val="20"/>
        </w:rPr>
        <w:t xml:space="preserve"> </w:t>
      </w:r>
      <w:r w:rsidRPr="00F90618">
        <w:rPr>
          <w:szCs w:val="20"/>
        </w:rPr>
        <w:t>of</w:t>
      </w:r>
      <w:r w:rsidR="00C64050">
        <w:rPr>
          <w:szCs w:val="20"/>
        </w:rPr>
        <w:t xml:space="preserve"> </w:t>
      </w:r>
      <w:r w:rsidRPr="00F90618">
        <w:rPr>
          <w:szCs w:val="20"/>
        </w:rPr>
        <w:t>the</w:t>
      </w:r>
      <w:r w:rsidR="00C64050">
        <w:rPr>
          <w:szCs w:val="20"/>
        </w:rPr>
        <w:t xml:space="preserve"> </w:t>
      </w:r>
      <w:r w:rsidRPr="00F90618">
        <w:rPr>
          <w:szCs w:val="20"/>
        </w:rPr>
        <w:t>statute</w:t>
      </w:r>
      <w:r w:rsidR="00C64050">
        <w:rPr>
          <w:szCs w:val="20"/>
        </w:rPr>
        <w:t xml:space="preserve"> </w:t>
      </w:r>
      <w:r w:rsidRPr="00F90618">
        <w:rPr>
          <w:szCs w:val="20"/>
        </w:rPr>
        <w:t>and</w:t>
      </w:r>
      <w:r w:rsidR="00C64050">
        <w:rPr>
          <w:szCs w:val="20"/>
        </w:rPr>
        <w:t xml:space="preserve"> </w:t>
      </w:r>
      <w:r w:rsidRPr="00F90618">
        <w:rPr>
          <w:szCs w:val="20"/>
        </w:rPr>
        <w:t>cannot</w:t>
      </w:r>
      <w:r w:rsidR="00C64050">
        <w:rPr>
          <w:szCs w:val="20"/>
        </w:rPr>
        <w:t xml:space="preserve"> </w:t>
      </w:r>
      <w:r w:rsidRPr="00F90618">
        <w:rPr>
          <w:szCs w:val="20"/>
        </w:rPr>
        <w:t>create</w:t>
      </w:r>
      <w:r w:rsidR="00C64050">
        <w:rPr>
          <w:szCs w:val="20"/>
        </w:rPr>
        <w:t xml:space="preserve"> </w:t>
      </w:r>
      <w:r w:rsidRPr="00F90618">
        <w:rPr>
          <w:szCs w:val="20"/>
        </w:rPr>
        <w:t>an</w:t>
      </w:r>
      <w:r w:rsidR="00C64050">
        <w:rPr>
          <w:szCs w:val="20"/>
        </w:rPr>
        <w:t xml:space="preserve"> </w:t>
      </w:r>
      <w:r w:rsidRPr="00F90618">
        <w:rPr>
          <w:szCs w:val="20"/>
        </w:rPr>
        <w:t>ambiguity</w:t>
      </w:r>
      <w:r w:rsidR="00C64050">
        <w:rPr>
          <w:szCs w:val="20"/>
        </w:rPr>
        <w:t xml:space="preserve"> </w:t>
      </w:r>
      <w:r w:rsidRPr="00F90618">
        <w:rPr>
          <w:szCs w:val="20"/>
        </w:rPr>
        <w:t>where</w:t>
      </w:r>
      <w:r w:rsidR="00C64050">
        <w:rPr>
          <w:szCs w:val="20"/>
        </w:rPr>
        <w:t xml:space="preserve"> </w:t>
      </w:r>
      <w:r w:rsidRPr="00F90618">
        <w:rPr>
          <w:szCs w:val="20"/>
        </w:rPr>
        <w:t>none</w:t>
      </w:r>
      <w:r w:rsidR="00C64050">
        <w:rPr>
          <w:szCs w:val="20"/>
        </w:rPr>
        <w:t xml:space="preserve"> </w:t>
      </w:r>
      <w:r w:rsidRPr="00F90618">
        <w:rPr>
          <w:szCs w:val="20"/>
        </w:rPr>
        <w:t>exists.</w:t>
      </w:r>
      <w:r w:rsidR="00C64050">
        <w:rPr>
          <w:szCs w:val="20"/>
        </w:rPr>
        <w:t xml:space="preserve"> </w:t>
      </w:r>
      <w:r w:rsidRPr="00F90618">
        <w:rPr>
          <w:rStyle w:val="Emphasis"/>
          <w:szCs w:val="20"/>
        </w:rPr>
        <w:t>See</w:t>
      </w:r>
      <w:r w:rsidR="00C64050">
        <w:rPr>
          <w:szCs w:val="20"/>
        </w:rPr>
        <w:t xml:space="preserve"> </w:t>
      </w:r>
      <w:r w:rsidRPr="00F90618">
        <w:rPr>
          <w:rStyle w:val="Emphasis"/>
          <w:szCs w:val="20"/>
          <w:u w:val="single"/>
        </w:rPr>
        <w:t>Sunshine</w:t>
      </w:r>
      <w:r w:rsidRPr="00F90618">
        <w:rPr>
          <w:szCs w:val="20"/>
        </w:rPr>
        <w:t>,</w:t>
      </w:r>
      <w:r w:rsidR="00C64050">
        <w:rPr>
          <w:szCs w:val="20"/>
        </w:rPr>
        <w:t xml:space="preserve"> </w:t>
      </w:r>
      <w:r w:rsidRPr="00F90618">
        <w:rPr>
          <w:szCs w:val="20"/>
        </w:rPr>
        <w:t>2014</w:t>
      </w:r>
      <w:r w:rsidR="00C64050">
        <w:rPr>
          <w:szCs w:val="20"/>
        </w:rPr>
        <w:t xml:space="preserve"> </w:t>
      </w:r>
      <w:r w:rsidRPr="00F90618">
        <w:rPr>
          <w:szCs w:val="20"/>
        </w:rPr>
        <w:t>ME</w:t>
      </w:r>
      <w:r w:rsidR="00C64050">
        <w:rPr>
          <w:szCs w:val="20"/>
        </w:rPr>
        <w:t xml:space="preserve"> </w:t>
      </w:r>
      <w:r w:rsidRPr="00F90618">
        <w:rPr>
          <w:szCs w:val="20"/>
        </w:rPr>
        <w:t>146,</w:t>
      </w:r>
      <w:r w:rsidR="00C64050">
        <w:rPr>
          <w:szCs w:val="20"/>
        </w:rPr>
        <w:t xml:space="preserve"> </w:t>
      </w:r>
      <w:r w:rsidRPr="00F90618">
        <w:rPr>
          <w:szCs w:val="20"/>
        </w:rPr>
        <w:t>¶</w:t>
      </w:r>
      <w:r w:rsidR="00C64050">
        <w:rPr>
          <w:szCs w:val="20"/>
        </w:rPr>
        <w:t xml:space="preserve"> </w:t>
      </w:r>
      <w:r w:rsidRPr="00F90618">
        <w:rPr>
          <w:szCs w:val="20"/>
        </w:rPr>
        <w:t>13,</w:t>
      </w:r>
      <w:r w:rsidR="00C64050">
        <w:rPr>
          <w:szCs w:val="20"/>
        </w:rPr>
        <w:t xml:space="preserve"> </w:t>
      </w:r>
      <w:r w:rsidRPr="00F90618">
        <w:rPr>
          <w:szCs w:val="20"/>
        </w:rPr>
        <w:t>106</w:t>
      </w:r>
      <w:r w:rsidR="00C64050">
        <w:rPr>
          <w:szCs w:val="20"/>
        </w:rPr>
        <w:t xml:space="preserve"> </w:t>
      </w:r>
      <w:r w:rsidRPr="00F90618">
        <w:rPr>
          <w:szCs w:val="20"/>
        </w:rPr>
        <w:t>A.3d</w:t>
      </w:r>
      <w:r w:rsidR="00C64050">
        <w:rPr>
          <w:szCs w:val="20"/>
        </w:rPr>
        <w:t xml:space="preserve"> </w:t>
      </w:r>
      <w:r w:rsidRPr="00F90618">
        <w:rPr>
          <w:szCs w:val="20"/>
        </w:rPr>
        <w:t>1123.</w:t>
      </w:r>
    </w:p>
    <w:p w:rsidR="00F90618" w:rsidRPr="00F90618" w:rsidRDefault="00F90618" w:rsidP="00F90618">
      <w:pPr>
        <w:pStyle w:val="Body15"/>
      </w:pPr>
      <w:r>
        <w:t>In</w:t>
      </w:r>
      <w:r w:rsidR="00C64050">
        <w:t xml:space="preserve"> </w:t>
      </w:r>
      <w:r>
        <w:rPr>
          <w:u w:val="single"/>
        </w:rPr>
        <w:t>Hadassah</w:t>
      </w:r>
      <w:r w:rsidR="00C64050">
        <w:rPr>
          <w:u w:val="single"/>
        </w:rPr>
        <w:t xml:space="preserve"> </w:t>
      </w:r>
      <w:r>
        <w:rPr>
          <w:u w:val="single"/>
        </w:rPr>
        <w:t>v.</w:t>
      </w:r>
      <w:r w:rsidR="00C64050">
        <w:rPr>
          <w:u w:val="single"/>
        </w:rPr>
        <w:t xml:space="preserve"> </w:t>
      </w:r>
      <w:r>
        <w:rPr>
          <w:u w:val="single"/>
        </w:rPr>
        <w:t>Melcer</w:t>
      </w:r>
      <w:r>
        <w:t>,</w:t>
      </w:r>
      <w:r w:rsidR="00C64050">
        <w:t xml:space="preserve"> </w:t>
      </w:r>
      <w:r>
        <w:t>268</w:t>
      </w:r>
      <w:r w:rsidR="00C64050">
        <w:t xml:space="preserve"> </w:t>
      </w:r>
      <w:r>
        <w:t>So.3d</w:t>
      </w:r>
      <w:r w:rsidR="00C64050">
        <w:t xml:space="preserve"> </w:t>
      </w:r>
      <w:r>
        <w:t>759</w:t>
      </w:r>
      <w:r w:rsidR="00C64050">
        <w:t xml:space="preserve"> </w:t>
      </w:r>
      <w:r>
        <w:t>(Fl.</w:t>
      </w:r>
      <w:r w:rsidR="00C64050">
        <w:t xml:space="preserve"> </w:t>
      </w:r>
      <w:r>
        <w:t>App.</w:t>
      </w:r>
      <w:r w:rsidR="00C64050">
        <w:t xml:space="preserve"> </w:t>
      </w:r>
      <w:r>
        <w:t>2019),</w:t>
      </w:r>
      <w:r w:rsidR="00C64050">
        <w:t xml:space="preserve"> </w:t>
      </w:r>
      <w:r>
        <w:t>the</w:t>
      </w:r>
      <w:r w:rsidR="00C64050">
        <w:t xml:space="preserve"> </w:t>
      </w:r>
      <w:r>
        <w:t>court</w:t>
      </w:r>
      <w:r w:rsidR="00C64050">
        <w:t xml:space="preserve"> </w:t>
      </w:r>
      <w:r>
        <w:t>found</w:t>
      </w:r>
      <w:r w:rsidR="00C64050">
        <w:t xml:space="preserve"> </w:t>
      </w:r>
      <w:r>
        <w:t>that</w:t>
      </w:r>
      <w:r w:rsidR="00C64050">
        <w:t xml:space="preserve"> </w:t>
      </w:r>
      <w:r>
        <w:t>Hadassah</w:t>
      </w:r>
      <w:r w:rsidR="00C64050">
        <w:t xml:space="preserve"> </w:t>
      </w:r>
      <w:r>
        <w:t>was</w:t>
      </w:r>
      <w:r w:rsidR="00C64050">
        <w:t xml:space="preserve"> </w:t>
      </w:r>
      <w:r>
        <w:t>a</w:t>
      </w:r>
      <w:r w:rsidR="00C64050">
        <w:t xml:space="preserve"> </w:t>
      </w:r>
      <w:r>
        <w:t>qualified</w:t>
      </w:r>
      <w:r w:rsidR="00C64050">
        <w:t xml:space="preserve"> </w:t>
      </w:r>
      <w:r>
        <w:t>beneficiary</w:t>
      </w:r>
      <w:r w:rsidR="00C64050">
        <w:t xml:space="preserve"> </w:t>
      </w:r>
      <w:r>
        <w:t>where</w:t>
      </w:r>
      <w:r w:rsidR="00C64050">
        <w:t xml:space="preserve"> </w:t>
      </w:r>
      <w:r>
        <w:t>the</w:t>
      </w:r>
      <w:r w:rsidR="00C64050">
        <w:t xml:space="preserve"> </w:t>
      </w:r>
      <w:r>
        <w:t>trust</w:t>
      </w:r>
      <w:r w:rsidR="00C64050">
        <w:t xml:space="preserve"> </w:t>
      </w:r>
      <w:r>
        <w:t>provided:</w:t>
      </w:r>
    </w:p>
    <w:p w:rsidR="00F90618" w:rsidRPr="00F90618" w:rsidRDefault="00F90618" w:rsidP="00F90618">
      <w:pPr>
        <w:pStyle w:val="QS10"/>
      </w:pPr>
      <w:r w:rsidRPr="00F90618">
        <w:t>The</w:t>
      </w:r>
      <w:r w:rsidR="00C64050">
        <w:t xml:space="preserve"> </w:t>
      </w:r>
      <w:r w:rsidRPr="00F90618">
        <w:t>trust</w:t>
      </w:r>
      <w:r w:rsidR="00C64050">
        <w:t xml:space="preserve"> </w:t>
      </w:r>
      <w:r w:rsidRPr="00F90618">
        <w:t>was</w:t>
      </w:r>
      <w:r w:rsidR="00C64050">
        <w:t xml:space="preserve"> </w:t>
      </w:r>
      <w:r w:rsidRPr="00F90618">
        <w:t>created</w:t>
      </w:r>
      <w:r w:rsidR="00C64050">
        <w:t xml:space="preserve"> </w:t>
      </w:r>
      <w:r w:rsidRPr="00F90618">
        <w:t>in</w:t>
      </w:r>
      <w:r w:rsidR="00C64050">
        <w:t xml:space="preserve"> </w:t>
      </w:r>
      <w:r w:rsidRPr="00F90618">
        <w:t>1989</w:t>
      </w:r>
      <w:r w:rsidR="00C64050">
        <w:t xml:space="preserve"> </w:t>
      </w:r>
      <w:r w:rsidRPr="00F90618">
        <w:t>by</w:t>
      </w:r>
      <w:r w:rsidR="00C64050">
        <w:t xml:space="preserve"> </w:t>
      </w:r>
      <w:r w:rsidRPr="00F90618">
        <w:t>Sylvia</w:t>
      </w:r>
      <w:r w:rsidR="00C64050">
        <w:t xml:space="preserve"> </w:t>
      </w:r>
      <w:r w:rsidRPr="00F90618">
        <w:t>Gelt.</w:t>
      </w:r>
      <w:r w:rsidR="00C64050">
        <w:t xml:space="preserve"> </w:t>
      </w:r>
      <w:r w:rsidRPr="00F90618">
        <w:t>The</w:t>
      </w:r>
      <w:r w:rsidR="00C64050">
        <w:t xml:space="preserve"> </w:t>
      </w:r>
      <w:r w:rsidRPr="00F90618">
        <w:t>trust</w:t>
      </w:r>
      <w:r w:rsidR="00C64050">
        <w:t xml:space="preserve"> </w:t>
      </w:r>
      <w:r w:rsidRPr="00F90618">
        <w:t>instrument</w:t>
      </w:r>
      <w:r w:rsidR="00C64050">
        <w:t xml:space="preserve"> </w:t>
      </w:r>
      <w:r w:rsidRPr="00F90618">
        <w:t>provided</w:t>
      </w:r>
      <w:r w:rsidR="00C64050">
        <w:t xml:space="preserve"> </w:t>
      </w:r>
      <w:r w:rsidRPr="00F90618">
        <w:t>that</w:t>
      </w:r>
      <w:r w:rsidR="00C64050">
        <w:t xml:space="preserve"> </w:t>
      </w:r>
      <w:r w:rsidRPr="00F90618">
        <w:t>upon</w:t>
      </w:r>
      <w:r w:rsidR="00C64050">
        <w:t xml:space="preserve"> </w:t>
      </w:r>
      <w:r w:rsidRPr="00F90618">
        <w:t>her</w:t>
      </w:r>
      <w:r w:rsidR="00C64050">
        <w:t xml:space="preserve"> </w:t>
      </w:r>
      <w:r w:rsidRPr="00F90618">
        <w:t>death,</w:t>
      </w:r>
      <w:r w:rsidR="00C64050">
        <w:t xml:space="preserve"> </w:t>
      </w:r>
      <w:r w:rsidRPr="00F90618">
        <w:t>a</w:t>
      </w:r>
      <w:r w:rsidR="00C64050">
        <w:t xml:space="preserve"> </w:t>
      </w:r>
      <w:r w:rsidRPr="00F90618">
        <w:t>portion</w:t>
      </w:r>
      <w:r w:rsidR="00C64050">
        <w:t xml:space="preserve"> </w:t>
      </w:r>
      <w:r w:rsidRPr="00F90618">
        <w:t>of</w:t>
      </w:r>
      <w:r w:rsidR="00C64050">
        <w:t xml:space="preserve"> </w:t>
      </w:r>
      <w:r w:rsidRPr="00F90618">
        <w:t>the</w:t>
      </w:r>
      <w:r w:rsidR="00C64050">
        <w:t xml:space="preserve"> </w:t>
      </w:r>
      <w:r w:rsidRPr="00F90618">
        <w:t>trust</w:t>
      </w:r>
      <w:r w:rsidR="00C64050">
        <w:t xml:space="preserve"> </w:t>
      </w:r>
      <w:r w:rsidRPr="00F90618">
        <w:t>fund</w:t>
      </w:r>
      <w:r w:rsidR="00C64050">
        <w:t xml:space="preserve"> </w:t>
      </w:r>
      <w:r w:rsidRPr="00F90618">
        <w:t>was</w:t>
      </w:r>
      <w:r w:rsidR="00C64050">
        <w:t xml:space="preserve"> </w:t>
      </w:r>
      <w:r w:rsidRPr="00F90618">
        <w:t>to</w:t>
      </w:r>
      <w:r w:rsidR="00C64050">
        <w:t xml:space="preserve"> </w:t>
      </w:r>
      <w:r w:rsidRPr="00F90618">
        <w:t>be</w:t>
      </w:r>
      <w:r w:rsidR="00C64050">
        <w:t xml:space="preserve"> </w:t>
      </w:r>
      <w:r w:rsidRPr="00F90618">
        <w:t>placed</w:t>
      </w:r>
      <w:r w:rsidR="00C64050">
        <w:t xml:space="preserve"> </w:t>
      </w:r>
      <w:r w:rsidRPr="00F90618">
        <w:t>in</w:t>
      </w:r>
      <w:r w:rsidR="00C64050">
        <w:t xml:space="preserve"> </w:t>
      </w:r>
      <w:r w:rsidRPr="00F90618">
        <w:t>a</w:t>
      </w:r>
      <w:r w:rsidR="00C64050">
        <w:t xml:space="preserve"> </w:t>
      </w:r>
      <w:r w:rsidRPr="00F90618">
        <w:t>Credit</w:t>
      </w:r>
      <w:r w:rsidR="00C64050">
        <w:t xml:space="preserve"> </w:t>
      </w:r>
      <w:r w:rsidRPr="00F90618">
        <w:t>Shelter</w:t>
      </w:r>
      <w:r w:rsidR="00C64050">
        <w:t xml:space="preserve"> </w:t>
      </w:r>
      <w:r w:rsidRPr="00F90618">
        <w:t>Trust</w:t>
      </w:r>
      <w:r w:rsidR="00C64050">
        <w:t xml:space="preserve"> </w:t>
      </w:r>
      <w:r w:rsidRPr="00F90618">
        <w:t>for</w:t>
      </w:r>
      <w:r w:rsidR="00C64050">
        <w:t xml:space="preserve"> </w:t>
      </w:r>
      <w:r w:rsidRPr="00F90618">
        <w:t>her</w:t>
      </w:r>
      <w:r w:rsidR="00C64050">
        <w:t xml:space="preserve"> </w:t>
      </w:r>
      <w:r w:rsidRPr="00F90618">
        <w:t>husband,</w:t>
      </w:r>
      <w:r w:rsidR="00C64050">
        <w:t xml:space="preserve"> </w:t>
      </w:r>
      <w:r w:rsidRPr="00F90618">
        <w:t>Samuel.</w:t>
      </w:r>
      <w:r w:rsidR="00C64050">
        <w:t xml:space="preserve"> </w:t>
      </w:r>
      <w:r w:rsidRPr="00F90618">
        <w:t>Upon</w:t>
      </w:r>
      <w:r w:rsidR="00C64050">
        <w:t xml:space="preserve"> </w:t>
      </w:r>
      <w:r w:rsidRPr="00F90618">
        <w:t>his</w:t>
      </w:r>
      <w:r w:rsidR="00C64050">
        <w:t xml:space="preserve"> </w:t>
      </w:r>
      <w:r w:rsidRPr="00F90618">
        <w:t>death,</w:t>
      </w:r>
      <w:r w:rsidR="00C64050">
        <w:t xml:space="preserve"> </w:t>
      </w:r>
      <w:r w:rsidRPr="00F90618">
        <w:t>the</w:t>
      </w:r>
      <w:r w:rsidR="00C64050">
        <w:t xml:space="preserve"> </w:t>
      </w:r>
      <w:r w:rsidRPr="00F90618">
        <w:t>balance</w:t>
      </w:r>
      <w:r w:rsidR="00C64050">
        <w:t xml:space="preserve"> </w:t>
      </w:r>
      <w:r w:rsidRPr="00F90618">
        <w:t>of</w:t>
      </w:r>
      <w:r w:rsidR="00C64050">
        <w:t xml:space="preserve"> </w:t>
      </w:r>
      <w:r w:rsidRPr="00F90618">
        <w:t>the</w:t>
      </w:r>
      <w:r w:rsidR="00C64050">
        <w:t xml:space="preserve"> </w:t>
      </w:r>
      <w:r w:rsidRPr="00F90618">
        <w:t>Credit</w:t>
      </w:r>
      <w:r w:rsidR="00C64050">
        <w:t xml:space="preserve"> </w:t>
      </w:r>
      <w:r w:rsidRPr="00F90618">
        <w:t>Shelter</w:t>
      </w:r>
      <w:r w:rsidR="00C64050">
        <w:t xml:space="preserve"> </w:t>
      </w:r>
      <w:r w:rsidRPr="00F90618">
        <w:t>Trust</w:t>
      </w:r>
      <w:r w:rsidR="00C64050">
        <w:t xml:space="preserve"> </w:t>
      </w:r>
      <w:r w:rsidRPr="00F90618">
        <w:t>was</w:t>
      </w:r>
      <w:r w:rsidR="00C64050">
        <w:t xml:space="preserve"> </w:t>
      </w:r>
      <w:r w:rsidRPr="00F90618">
        <w:t>to</w:t>
      </w:r>
      <w:r w:rsidR="00C64050">
        <w:t xml:space="preserve"> </w:t>
      </w:r>
      <w:r w:rsidRPr="00F90618">
        <w:t>be</w:t>
      </w:r>
      <w:r w:rsidR="00C64050">
        <w:t xml:space="preserve"> </w:t>
      </w:r>
      <w:r w:rsidRPr="00F90618">
        <w:t>divided</w:t>
      </w:r>
      <w:r w:rsidR="00C64050">
        <w:t xml:space="preserve"> </w:t>
      </w:r>
      <w:r w:rsidRPr="00F90618">
        <w:t>into</w:t>
      </w:r>
      <w:r w:rsidR="00C64050">
        <w:t xml:space="preserve"> </w:t>
      </w:r>
      <w:r w:rsidRPr="00F90618">
        <w:t>three</w:t>
      </w:r>
      <w:r w:rsidR="00C64050">
        <w:t xml:space="preserve"> </w:t>
      </w:r>
      <w:r w:rsidRPr="00F90618">
        <w:t>separate</w:t>
      </w:r>
      <w:r w:rsidR="00C64050">
        <w:t xml:space="preserve"> </w:t>
      </w:r>
      <w:r w:rsidRPr="00F90618">
        <w:t>trusts</w:t>
      </w:r>
      <w:r w:rsidR="00C64050">
        <w:t xml:space="preserve"> </w:t>
      </w:r>
      <w:r w:rsidRPr="00F90618">
        <w:t>for</w:t>
      </w:r>
      <w:r w:rsidR="00C64050">
        <w:t xml:space="preserve"> </w:t>
      </w:r>
      <w:r w:rsidRPr="00F90618">
        <w:t>the</w:t>
      </w:r>
      <w:r w:rsidR="00C64050">
        <w:t xml:space="preserve"> </w:t>
      </w:r>
      <w:r w:rsidRPr="00F90618">
        <w:t>benefit</w:t>
      </w:r>
      <w:r w:rsidR="00C64050">
        <w:t xml:space="preserve"> </w:t>
      </w:r>
      <w:r w:rsidRPr="00F90618">
        <w:t>of</w:t>
      </w:r>
      <w:r w:rsidR="00C64050">
        <w:t xml:space="preserve"> </w:t>
      </w:r>
      <w:r w:rsidRPr="00F90618">
        <w:t>their</w:t>
      </w:r>
      <w:r w:rsidR="00C64050">
        <w:t xml:space="preserve"> </w:t>
      </w:r>
      <w:r w:rsidRPr="00F90618">
        <w:t>daughters.</w:t>
      </w:r>
    </w:p>
    <w:p w:rsidR="00F90618" w:rsidRPr="00F90618" w:rsidRDefault="00F90618" w:rsidP="00F90618">
      <w:pPr>
        <w:pStyle w:val="QS10"/>
      </w:pPr>
      <w:r w:rsidRPr="00F90618">
        <w:t>During</w:t>
      </w:r>
      <w:r w:rsidR="00C64050">
        <w:t xml:space="preserve"> </w:t>
      </w:r>
      <w:r w:rsidRPr="00F90618">
        <w:t>their</w:t>
      </w:r>
      <w:r w:rsidR="00C64050">
        <w:t xml:space="preserve"> </w:t>
      </w:r>
      <w:r w:rsidRPr="00F90618">
        <w:t>lifetimes,</w:t>
      </w:r>
      <w:r w:rsidR="00C64050">
        <w:t xml:space="preserve"> </w:t>
      </w:r>
      <w:r w:rsidRPr="00F90618">
        <w:t>the</w:t>
      </w:r>
      <w:r w:rsidR="00C64050">
        <w:t xml:space="preserve"> </w:t>
      </w:r>
      <w:r w:rsidRPr="00F90618">
        <w:t>daughters</w:t>
      </w:r>
      <w:r w:rsidR="00C64050">
        <w:t xml:space="preserve"> </w:t>
      </w:r>
      <w:r w:rsidRPr="00F90618">
        <w:t>have</w:t>
      </w:r>
      <w:r w:rsidR="00C64050">
        <w:t xml:space="preserve"> </w:t>
      </w:r>
      <w:r w:rsidRPr="00F90618">
        <w:t>the</w:t>
      </w:r>
      <w:r w:rsidR="00C64050">
        <w:t xml:space="preserve"> </w:t>
      </w:r>
      <w:r w:rsidRPr="00F90618">
        <w:t>right</w:t>
      </w:r>
      <w:r w:rsidR="00C64050">
        <w:t xml:space="preserve"> </w:t>
      </w:r>
      <w:r w:rsidRPr="00F90618">
        <w:t>to</w:t>
      </w:r>
      <w:r w:rsidR="00C64050">
        <w:t xml:space="preserve"> </w:t>
      </w:r>
      <w:r w:rsidRPr="00F90618">
        <w:t>receive</w:t>
      </w:r>
      <w:r w:rsidR="00C64050">
        <w:t xml:space="preserve"> </w:t>
      </w:r>
      <w:r w:rsidRPr="00F90618">
        <w:t>income</w:t>
      </w:r>
      <w:r w:rsidR="00C64050">
        <w:t xml:space="preserve"> </w:t>
      </w:r>
      <w:r w:rsidRPr="00F90618">
        <w:t>and</w:t>
      </w:r>
      <w:r w:rsidR="00C64050">
        <w:t xml:space="preserve"> </w:t>
      </w:r>
      <w:r w:rsidRPr="00F90618">
        <w:t>principal</w:t>
      </w:r>
      <w:r w:rsidR="00C64050">
        <w:t xml:space="preserve"> </w:t>
      </w:r>
      <w:r w:rsidRPr="00F90618">
        <w:t>distributions</w:t>
      </w:r>
      <w:r w:rsidR="00C64050">
        <w:t xml:space="preserve"> </w:t>
      </w:r>
      <w:r w:rsidRPr="00F90618">
        <w:t>from</w:t>
      </w:r>
      <w:r w:rsidR="00C64050">
        <w:t xml:space="preserve"> </w:t>
      </w:r>
      <w:r w:rsidRPr="00F90618">
        <w:t>their</w:t>
      </w:r>
      <w:r w:rsidR="00C64050">
        <w:t xml:space="preserve"> </w:t>
      </w:r>
      <w:r w:rsidRPr="00F90618">
        <w:t>respective</w:t>
      </w:r>
      <w:r w:rsidR="00C64050">
        <w:t xml:space="preserve"> </w:t>
      </w:r>
      <w:r w:rsidRPr="00F90618">
        <w:t>trusts.</w:t>
      </w:r>
      <w:r w:rsidR="00C64050">
        <w:t xml:space="preserve"> </w:t>
      </w:r>
      <w:r w:rsidRPr="00F90618">
        <w:t>They</w:t>
      </w:r>
      <w:r w:rsidR="00C64050">
        <w:t xml:space="preserve"> </w:t>
      </w:r>
      <w:r w:rsidRPr="00F90618">
        <w:t>do</w:t>
      </w:r>
      <w:r w:rsidR="00C64050">
        <w:t xml:space="preserve"> </w:t>
      </w:r>
      <w:r w:rsidRPr="00F90618">
        <w:t>not</w:t>
      </w:r>
      <w:r w:rsidR="00C64050">
        <w:t xml:space="preserve"> </w:t>
      </w:r>
      <w:r w:rsidRPr="00F90618">
        <w:t>have</w:t>
      </w:r>
      <w:r w:rsidR="00C64050">
        <w:t xml:space="preserve"> </w:t>
      </w:r>
      <w:r w:rsidRPr="00F90618">
        <w:t>general</w:t>
      </w:r>
      <w:r w:rsidR="00C64050">
        <w:t xml:space="preserve"> </w:t>
      </w:r>
      <w:r w:rsidRPr="00F90618">
        <w:t>or</w:t>
      </w:r>
      <w:r w:rsidR="00C64050">
        <w:t xml:space="preserve"> </w:t>
      </w:r>
      <w:r w:rsidRPr="00F90618">
        <w:t>testamentary</w:t>
      </w:r>
      <w:r w:rsidR="00C64050">
        <w:t xml:space="preserve"> </w:t>
      </w:r>
      <w:r w:rsidRPr="00F90618">
        <w:t>powers</w:t>
      </w:r>
      <w:r w:rsidR="00C64050">
        <w:t xml:space="preserve"> </w:t>
      </w:r>
      <w:r w:rsidRPr="00F90618">
        <w:t>of</w:t>
      </w:r>
      <w:r w:rsidR="00C64050">
        <w:t xml:space="preserve"> </w:t>
      </w:r>
      <w:r w:rsidRPr="00F90618">
        <w:t>appointment</w:t>
      </w:r>
      <w:r w:rsidR="00C64050">
        <w:t xml:space="preserve"> </w:t>
      </w:r>
      <w:r w:rsidRPr="00F90618">
        <w:t>over</w:t>
      </w:r>
      <w:r w:rsidR="00C64050">
        <w:t xml:space="preserve"> </w:t>
      </w:r>
      <w:r w:rsidRPr="00F90618">
        <w:t>any</w:t>
      </w:r>
      <w:r w:rsidR="00C64050">
        <w:t xml:space="preserve"> </w:t>
      </w:r>
      <w:r w:rsidRPr="00F90618">
        <w:t>portion</w:t>
      </w:r>
      <w:r w:rsidR="00C64050">
        <w:t xml:space="preserve"> </w:t>
      </w:r>
      <w:r w:rsidRPr="00F90618">
        <w:t>of</w:t>
      </w:r>
      <w:r w:rsidR="00C64050">
        <w:t xml:space="preserve"> </w:t>
      </w:r>
      <w:r w:rsidRPr="00F90618">
        <w:t>the</w:t>
      </w:r>
      <w:r w:rsidR="00C64050">
        <w:t xml:space="preserve"> </w:t>
      </w:r>
      <w:r w:rsidRPr="00F90618">
        <w:t>principal</w:t>
      </w:r>
      <w:r w:rsidR="00C64050">
        <w:t xml:space="preserve"> </w:t>
      </w:r>
      <w:r w:rsidRPr="00F90618">
        <w:t>or</w:t>
      </w:r>
      <w:r w:rsidR="00C64050">
        <w:t xml:space="preserve"> </w:t>
      </w:r>
      <w:r w:rsidRPr="00F90618">
        <w:t>undistributed</w:t>
      </w:r>
      <w:r w:rsidR="00C64050">
        <w:t xml:space="preserve"> </w:t>
      </w:r>
      <w:r w:rsidRPr="00F90618">
        <w:t>income</w:t>
      </w:r>
      <w:r w:rsidR="00C64050">
        <w:t xml:space="preserve"> </w:t>
      </w:r>
      <w:r w:rsidRPr="00F90618">
        <w:t>of</w:t>
      </w:r>
      <w:r w:rsidR="00C64050">
        <w:t xml:space="preserve"> </w:t>
      </w:r>
      <w:r w:rsidRPr="00F90618">
        <w:t>their</w:t>
      </w:r>
      <w:r w:rsidR="00C64050">
        <w:t xml:space="preserve"> </w:t>
      </w:r>
      <w:r w:rsidRPr="00F90618">
        <w:t>respective</w:t>
      </w:r>
      <w:r w:rsidR="00C64050">
        <w:t xml:space="preserve"> </w:t>
      </w:r>
      <w:r w:rsidRPr="00F90618">
        <w:t>trusts.</w:t>
      </w:r>
    </w:p>
    <w:p w:rsidR="00F90618" w:rsidRPr="00F90618" w:rsidRDefault="00F90618" w:rsidP="00F90618">
      <w:pPr>
        <w:pStyle w:val="QS10"/>
      </w:pPr>
      <w:r w:rsidRPr="00F90618">
        <w:t>The</w:t>
      </w:r>
      <w:r w:rsidR="00C64050">
        <w:t xml:space="preserve"> </w:t>
      </w:r>
      <w:r w:rsidRPr="00F90618">
        <w:t>trust</w:t>
      </w:r>
      <w:r w:rsidR="00C64050">
        <w:t xml:space="preserve"> </w:t>
      </w:r>
      <w:r w:rsidRPr="00F90618">
        <w:t>instrument</w:t>
      </w:r>
      <w:r w:rsidR="00C64050">
        <w:t xml:space="preserve"> </w:t>
      </w:r>
      <w:r w:rsidRPr="00F90618">
        <w:t>provides</w:t>
      </w:r>
      <w:r w:rsidR="00C64050">
        <w:t xml:space="preserve"> </w:t>
      </w:r>
      <w:r w:rsidRPr="00F90618">
        <w:t>that</w:t>
      </w:r>
      <w:r w:rsidR="00C64050">
        <w:t xml:space="preserve"> </w:t>
      </w:r>
      <w:r w:rsidRPr="00F90618">
        <w:t>upon</w:t>
      </w:r>
      <w:r w:rsidR="00C64050">
        <w:t xml:space="preserve"> </w:t>
      </w:r>
      <w:r w:rsidRPr="00F90618">
        <w:t>the</w:t>
      </w:r>
      <w:r w:rsidR="00C64050">
        <w:t xml:space="preserve"> </w:t>
      </w:r>
      <w:r w:rsidRPr="00F90618">
        <w:t>death</w:t>
      </w:r>
      <w:r w:rsidR="00C64050">
        <w:t xml:space="preserve"> </w:t>
      </w:r>
      <w:r w:rsidRPr="00F90618">
        <w:t>of</w:t>
      </w:r>
      <w:r w:rsidR="00C64050">
        <w:t xml:space="preserve"> </w:t>
      </w:r>
      <w:r w:rsidRPr="00F90618">
        <w:t>each</w:t>
      </w:r>
      <w:r w:rsidR="00C64050">
        <w:t xml:space="preserve"> </w:t>
      </w:r>
      <w:r w:rsidRPr="00F90618">
        <w:t>daughter,</w:t>
      </w:r>
      <w:r w:rsidR="00C64050">
        <w:t xml:space="preserve"> </w:t>
      </w:r>
      <w:r w:rsidRPr="00F90618">
        <w:t>her</w:t>
      </w:r>
      <w:r w:rsidR="00C64050">
        <w:t xml:space="preserve"> </w:t>
      </w:r>
      <w:r w:rsidRPr="00F90618">
        <w:t>trust</w:t>
      </w:r>
      <w:r w:rsidR="00C64050">
        <w:t xml:space="preserve"> </w:t>
      </w:r>
      <w:r w:rsidRPr="00F90618">
        <w:t>terminates</w:t>
      </w:r>
      <w:r w:rsidR="00C64050">
        <w:t xml:space="preserve"> </w:t>
      </w:r>
      <w:r w:rsidRPr="00F90618">
        <w:t>and</w:t>
      </w:r>
      <w:r w:rsidR="00C64050">
        <w:t xml:space="preserve"> </w:t>
      </w:r>
      <w:r w:rsidRPr="00F90618">
        <w:t>the</w:t>
      </w:r>
      <w:r w:rsidR="00C64050">
        <w:t xml:space="preserve"> </w:t>
      </w:r>
      <w:r w:rsidRPr="00F90618">
        <w:t>balance</w:t>
      </w:r>
      <w:r w:rsidR="00C64050">
        <w:t xml:space="preserve"> </w:t>
      </w:r>
      <w:r w:rsidRPr="00F90618">
        <w:t>of</w:t>
      </w:r>
      <w:r w:rsidR="00C64050">
        <w:t xml:space="preserve"> </w:t>
      </w:r>
      <w:r w:rsidRPr="00F90618">
        <w:t>the</w:t>
      </w:r>
      <w:r w:rsidR="00C64050">
        <w:t xml:space="preserve"> </w:t>
      </w:r>
      <w:r w:rsidRPr="00F90618">
        <w:t>principal</w:t>
      </w:r>
      <w:r w:rsidR="00C64050">
        <w:t xml:space="preserve"> </w:t>
      </w:r>
      <w:r w:rsidRPr="00F90618">
        <w:t>and</w:t>
      </w:r>
      <w:r w:rsidR="00C64050">
        <w:t xml:space="preserve"> </w:t>
      </w:r>
      <w:r w:rsidRPr="00F90618">
        <w:t>any</w:t>
      </w:r>
      <w:r w:rsidR="00C64050">
        <w:t xml:space="preserve"> </w:t>
      </w:r>
      <w:r w:rsidRPr="00F90618">
        <w:t>undistributed</w:t>
      </w:r>
      <w:r w:rsidR="00C64050">
        <w:t xml:space="preserve"> </w:t>
      </w:r>
      <w:r w:rsidRPr="00F90618">
        <w:t>income</w:t>
      </w:r>
      <w:r w:rsidR="00C64050">
        <w:t xml:space="preserve"> </w:t>
      </w:r>
      <w:r w:rsidRPr="00F90618">
        <w:t>is</w:t>
      </w:r>
      <w:r w:rsidR="00C64050">
        <w:t xml:space="preserve"> </w:t>
      </w:r>
      <w:r w:rsidRPr="00F90618">
        <w:t>redistributed</w:t>
      </w:r>
      <w:r w:rsidR="00C64050">
        <w:t xml:space="preserve"> </w:t>
      </w:r>
      <w:r w:rsidRPr="00F90618">
        <w:t>to</w:t>
      </w:r>
      <w:r w:rsidR="00C64050">
        <w:t xml:space="preserve"> </w:t>
      </w:r>
      <w:r w:rsidRPr="00F90618">
        <w:t>the</w:t>
      </w:r>
      <w:r w:rsidR="00C64050">
        <w:t xml:space="preserve"> </w:t>
      </w:r>
      <w:r w:rsidRPr="00F90618">
        <w:t>trust(s)</w:t>
      </w:r>
      <w:r w:rsidR="00C64050">
        <w:t xml:space="preserve"> </w:t>
      </w:r>
      <w:r w:rsidRPr="00F90618">
        <w:t>of</w:t>
      </w:r>
      <w:r w:rsidR="00C64050">
        <w:t xml:space="preserve"> </w:t>
      </w:r>
      <w:r w:rsidRPr="00F90618">
        <w:t>the</w:t>
      </w:r>
      <w:r w:rsidR="00C64050">
        <w:t xml:space="preserve"> </w:t>
      </w:r>
      <w:r w:rsidRPr="00F90618">
        <w:t>remaining</w:t>
      </w:r>
      <w:r w:rsidR="00C64050">
        <w:t xml:space="preserve"> </w:t>
      </w:r>
      <w:r w:rsidRPr="00F90618">
        <w:t>living</w:t>
      </w:r>
      <w:r w:rsidR="00C64050">
        <w:t xml:space="preserve"> </w:t>
      </w:r>
      <w:r w:rsidRPr="00F90618">
        <w:t>daughter(s).</w:t>
      </w:r>
      <w:r w:rsidR="00C64050">
        <w:t xml:space="preserve"> </w:t>
      </w:r>
      <w:r w:rsidRPr="00F90618">
        <w:t>When</w:t>
      </w:r>
      <w:r w:rsidR="00C64050">
        <w:t xml:space="preserve"> </w:t>
      </w:r>
      <w:r w:rsidRPr="00F90618">
        <w:t>the</w:t>
      </w:r>
      <w:r w:rsidR="00C64050">
        <w:t xml:space="preserve"> </w:t>
      </w:r>
      <w:r w:rsidRPr="00F90618">
        <w:t>last</w:t>
      </w:r>
      <w:r w:rsidR="00C64050">
        <w:t xml:space="preserve"> </w:t>
      </w:r>
      <w:r w:rsidRPr="00F90618">
        <w:t>daughter</w:t>
      </w:r>
      <w:r w:rsidR="00C64050">
        <w:t xml:space="preserve"> </w:t>
      </w:r>
      <w:r w:rsidRPr="00F90618">
        <w:t>dies,</w:t>
      </w:r>
      <w:r w:rsidR="00C64050">
        <w:t xml:space="preserve"> </w:t>
      </w:r>
      <w:r w:rsidRPr="00F90618">
        <w:t>the</w:t>
      </w:r>
      <w:r w:rsidR="00C64050">
        <w:t xml:space="preserve"> </w:t>
      </w:r>
      <w:r w:rsidRPr="00F90618">
        <w:t>trust</w:t>
      </w:r>
      <w:r w:rsidR="00C64050">
        <w:t xml:space="preserve"> </w:t>
      </w:r>
      <w:r w:rsidRPr="00F90618">
        <w:t>terminates</w:t>
      </w:r>
      <w:r w:rsidR="00C64050">
        <w:t xml:space="preserve"> </w:t>
      </w:r>
      <w:r w:rsidRPr="00F90618">
        <w:t>and</w:t>
      </w:r>
      <w:r w:rsidR="00C64050">
        <w:t xml:space="preserve"> </w:t>
      </w:r>
      <w:r w:rsidRPr="00F90618">
        <w:t>the</w:t>
      </w:r>
      <w:r w:rsidR="00C64050">
        <w:t xml:space="preserve"> </w:t>
      </w:r>
      <w:r w:rsidRPr="00F90618">
        <w:t>trustee</w:t>
      </w:r>
      <w:r w:rsidR="00C64050">
        <w:t xml:space="preserve"> </w:t>
      </w:r>
      <w:r w:rsidRPr="00F90618">
        <w:t>is</w:t>
      </w:r>
      <w:r w:rsidR="00C64050">
        <w:t xml:space="preserve"> </w:t>
      </w:r>
      <w:r w:rsidRPr="00F90618">
        <w:t>instructed</w:t>
      </w:r>
      <w:r w:rsidR="00C64050">
        <w:t xml:space="preserve"> </w:t>
      </w:r>
      <w:r w:rsidRPr="00F90618">
        <w:t>to</w:t>
      </w:r>
      <w:r w:rsidR="00C64050">
        <w:t xml:space="preserve"> </w:t>
      </w:r>
      <w:r w:rsidRPr="00F90618">
        <w:t>distribute</w:t>
      </w:r>
      <w:r w:rsidR="00C64050">
        <w:t xml:space="preserve"> </w:t>
      </w:r>
      <w:r w:rsidRPr="00F90618">
        <w:t>the</w:t>
      </w:r>
      <w:r w:rsidR="00C64050">
        <w:t xml:space="preserve"> </w:t>
      </w:r>
      <w:r w:rsidRPr="00F90618">
        <w:t>remaining</w:t>
      </w:r>
      <w:r w:rsidR="00C64050">
        <w:t xml:space="preserve"> </w:t>
      </w:r>
      <w:r w:rsidRPr="00F90618">
        <w:t>principal</w:t>
      </w:r>
      <w:r w:rsidR="00C64050">
        <w:t xml:space="preserve"> </w:t>
      </w:r>
      <w:r w:rsidRPr="00F90618">
        <w:t>and</w:t>
      </w:r>
      <w:r w:rsidR="00C64050">
        <w:t xml:space="preserve"> </w:t>
      </w:r>
      <w:r w:rsidRPr="00F90618">
        <w:t>undistributed</w:t>
      </w:r>
      <w:r w:rsidR="00C64050">
        <w:t xml:space="preserve"> </w:t>
      </w:r>
      <w:r w:rsidRPr="00F90618">
        <w:t>income</w:t>
      </w:r>
      <w:r w:rsidR="00C64050">
        <w:t xml:space="preserve"> </w:t>
      </w:r>
      <w:r w:rsidRPr="00F90618">
        <w:t>to</w:t>
      </w:r>
      <w:r w:rsidR="00C64050">
        <w:t xml:space="preserve"> </w:t>
      </w:r>
      <w:r w:rsidRPr="00F90618">
        <w:t>three</w:t>
      </w:r>
      <w:r w:rsidR="00C64050">
        <w:t xml:space="preserve"> </w:t>
      </w:r>
      <w:r w:rsidRPr="00F90618">
        <w:t>named</w:t>
      </w:r>
      <w:r w:rsidR="00C64050">
        <w:t xml:space="preserve"> </w:t>
      </w:r>
      <w:r w:rsidRPr="00F90618">
        <w:t>charities.</w:t>
      </w:r>
    </w:p>
    <w:p w:rsidR="00190CC2" w:rsidRPr="00190CC2" w:rsidRDefault="00EF48A0" w:rsidP="00B66CCE">
      <w:pPr>
        <w:pStyle w:val="Heading20"/>
        <w:numPr>
          <w:ilvl w:val="1"/>
          <w:numId w:val="33"/>
        </w:numPr>
        <w:tabs>
          <w:tab w:val="clear" w:pos="2700"/>
        </w:tabs>
        <w:ind w:left="0"/>
        <w:rPr>
          <w:vanish/>
          <w:specVanish/>
        </w:rPr>
      </w:pPr>
      <w:bookmarkStart w:id="804" w:name="_Toc94704694"/>
      <w:r>
        <w:rPr>
          <w:b/>
          <w:u w:val="single"/>
        </w:rPr>
        <w:t>Declaratory</w:t>
      </w:r>
      <w:r w:rsidR="00C64050">
        <w:rPr>
          <w:b/>
          <w:u w:val="single"/>
        </w:rPr>
        <w:t xml:space="preserve"> </w:t>
      </w:r>
      <w:r>
        <w:rPr>
          <w:b/>
          <w:u w:val="single"/>
        </w:rPr>
        <w:t>Judgment</w:t>
      </w:r>
      <w:r w:rsidR="00C64050">
        <w:rPr>
          <w:b/>
          <w:u w:val="single"/>
        </w:rPr>
        <w:t xml:space="preserve"> </w:t>
      </w:r>
      <w:r>
        <w:rPr>
          <w:b/>
          <w:u w:val="single"/>
        </w:rPr>
        <w:t>Action</w:t>
      </w:r>
      <w:r w:rsidR="00C64050">
        <w:rPr>
          <w:b/>
          <w:u w:val="single"/>
        </w:rPr>
        <w:t xml:space="preserve"> </w:t>
      </w:r>
      <w:r>
        <w:rPr>
          <w:b/>
          <w:u w:val="single"/>
        </w:rPr>
        <w:t>Does</w:t>
      </w:r>
      <w:r w:rsidR="00C64050">
        <w:rPr>
          <w:b/>
          <w:u w:val="single"/>
        </w:rPr>
        <w:t xml:space="preserve"> </w:t>
      </w:r>
      <w:r>
        <w:rPr>
          <w:b/>
          <w:u w:val="single"/>
        </w:rPr>
        <w:t>Not</w:t>
      </w:r>
      <w:r w:rsidR="00C64050">
        <w:rPr>
          <w:b/>
          <w:u w:val="single"/>
        </w:rPr>
        <w:t xml:space="preserve"> </w:t>
      </w:r>
      <w:r>
        <w:rPr>
          <w:b/>
          <w:u w:val="single"/>
        </w:rPr>
        <w:t>Trigger</w:t>
      </w:r>
      <w:r w:rsidR="00C64050">
        <w:rPr>
          <w:b/>
          <w:u w:val="single"/>
        </w:rPr>
        <w:t xml:space="preserve"> </w:t>
      </w:r>
      <w:r>
        <w:rPr>
          <w:b/>
          <w:u w:val="single"/>
        </w:rPr>
        <w:t>No</w:t>
      </w:r>
      <w:r w:rsidR="00C64050">
        <w:rPr>
          <w:b/>
          <w:u w:val="single"/>
        </w:rPr>
        <w:t xml:space="preserve"> </w:t>
      </w:r>
      <w:r>
        <w:rPr>
          <w:b/>
          <w:u w:val="single"/>
        </w:rPr>
        <w:t>Contest</w:t>
      </w:r>
      <w:r w:rsidR="00C64050">
        <w:rPr>
          <w:b/>
          <w:u w:val="single"/>
        </w:rPr>
        <w:t xml:space="preserve"> </w:t>
      </w:r>
      <w:r>
        <w:rPr>
          <w:b/>
          <w:u w:val="single"/>
        </w:rPr>
        <w:t>Clause</w:t>
      </w:r>
      <w:bookmarkEnd w:id="804"/>
    </w:p>
    <w:p w:rsidR="00A95336" w:rsidRDefault="00EF48A0" w:rsidP="00190CC2">
      <w:pPr>
        <w:pStyle w:val="Heading2Body"/>
      </w:pPr>
      <w:r>
        <w:t>.</w:t>
      </w:r>
      <w:r w:rsidR="00C64050">
        <w:t xml:space="preserve">  </w:t>
      </w:r>
      <w:r>
        <w:t>At</w:t>
      </w:r>
      <w:r w:rsidR="00C64050">
        <w:t xml:space="preserve"> </w:t>
      </w:r>
      <w:r>
        <w:t>issue</w:t>
      </w:r>
      <w:r w:rsidR="00C64050">
        <w:t xml:space="preserve"> </w:t>
      </w:r>
      <w:r>
        <w:t>in</w:t>
      </w:r>
      <w:r w:rsidR="00C64050">
        <w:t xml:space="preserve"> </w:t>
      </w:r>
      <w:r>
        <w:rPr>
          <w:u w:val="single"/>
        </w:rPr>
        <w:t>Hunter</w:t>
      </w:r>
      <w:r w:rsidR="00C64050">
        <w:rPr>
          <w:u w:val="single"/>
        </w:rPr>
        <w:t xml:space="preserve"> </w:t>
      </w:r>
      <w:r>
        <w:rPr>
          <w:u w:val="single"/>
        </w:rPr>
        <w:t>v.</w:t>
      </w:r>
      <w:r w:rsidR="00C64050">
        <w:rPr>
          <w:u w:val="single"/>
        </w:rPr>
        <w:t xml:space="preserve"> </w:t>
      </w:r>
      <w:r>
        <w:rPr>
          <w:u w:val="single"/>
        </w:rPr>
        <w:t>Hunter</w:t>
      </w:r>
      <w:r>
        <w:t>,</w:t>
      </w:r>
      <w:r w:rsidR="00C64050">
        <w:t xml:space="preserve"> </w:t>
      </w:r>
      <w:r>
        <w:t>838</w:t>
      </w:r>
      <w:r w:rsidR="00C64050">
        <w:t xml:space="preserve"> </w:t>
      </w:r>
      <w:r>
        <w:t>S.E.2d</w:t>
      </w:r>
      <w:r w:rsidR="00C64050">
        <w:t xml:space="preserve"> </w:t>
      </w:r>
      <w:r>
        <w:t>721</w:t>
      </w:r>
      <w:r w:rsidR="00C64050">
        <w:t xml:space="preserve"> </w:t>
      </w:r>
      <w:r>
        <w:t>(Va.</w:t>
      </w:r>
      <w:r w:rsidR="00C64050">
        <w:t xml:space="preserve"> </w:t>
      </w:r>
      <w:r>
        <w:t>2020),</w:t>
      </w:r>
      <w:r w:rsidR="00C64050">
        <w:t xml:space="preserve"> </w:t>
      </w:r>
      <w:r>
        <w:t>was</w:t>
      </w:r>
      <w:r w:rsidR="00C64050">
        <w:t xml:space="preserve"> </w:t>
      </w:r>
      <w:r>
        <w:t>whether</w:t>
      </w:r>
      <w:r w:rsidR="00C64050">
        <w:t xml:space="preserve"> </w:t>
      </w:r>
      <w:r>
        <w:t>Chip,</w:t>
      </w:r>
      <w:r w:rsidR="00C64050">
        <w:t xml:space="preserve"> </w:t>
      </w:r>
      <w:r>
        <w:t>a</w:t>
      </w:r>
      <w:r w:rsidR="00C64050">
        <w:t xml:space="preserve"> </w:t>
      </w:r>
      <w:r>
        <w:t>beneficiary</w:t>
      </w:r>
      <w:r w:rsidR="00C64050">
        <w:t xml:space="preserve"> </w:t>
      </w:r>
      <w:r>
        <w:t>of</w:t>
      </w:r>
      <w:r w:rsidR="00C64050">
        <w:t xml:space="preserve"> </w:t>
      </w:r>
      <w:r>
        <w:t>a</w:t>
      </w:r>
      <w:r w:rsidR="00C64050">
        <w:t xml:space="preserve"> </w:t>
      </w:r>
      <w:r>
        <w:t>trust</w:t>
      </w:r>
      <w:r w:rsidR="00C64050">
        <w:t xml:space="preserve"> </w:t>
      </w:r>
      <w:r>
        <w:t>known</w:t>
      </w:r>
      <w:r w:rsidR="00C64050">
        <w:t xml:space="preserve"> </w:t>
      </w:r>
      <w:r>
        <w:t>as</w:t>
      </w:r>
      <w:r w:rsidR="00C64050">
        <w:t xml:space="preserve"> </w:t>
      </w:r>
      <w:r>
        <w:t>Theresa’s</w:t>
      </w:r>
      <w:r w:rsidR="00C64050">
        <w:t xml:space="preserve"> </w:t>
      </w:r>
      <w:r>
        <w:t>Trust,</w:t>
      </w:r>
      <w:r w:rsidR="00C64050">
        <w:t xml:space="preserve"> </w:t>
      </w:r>
      <w:r>
        <w:t>triggered</w:t>
      </w:r>
      <w:r w:rsidR="00C64050">
        <w:t xml:space="preserve"> </w:t>
      </w:r>
      <w:r>
        <w:t>a</w:t>
      </w:r>
      <w:r w:rsidR="00C64050">
        <w:t xml:space="preserve"> </w:t>
      </w:r>
      <w:r>
        <w:t>no</w:t>
      </w:r>
      <w:r w:rsidR="00C64050">
        <w:t xml:space="preserve"> </w:t>
      </w:r>
      <w:r>
        <w:t>contest</w:t>
      </w:r>
      <w:r w:rsidR="00C64050">
        <w:t xml:space="preserve"> </w:t>
      </w:r>
      <w:r>
        <w:t>clause</w:t>
      </w:r>
      <w:r w:rsidR="00C64050">
        <w:t xml:space="preserve"> </w:t>
      </w:r>
      <w:r>
        <w:t>by</w:t>
      </w:r>
      <w:r w:rsidR="00C64050">
        <w:t xml:space="preserve"> </w:t>
      </w:r>
      <w:r>
        <w:t>filing</w:t>
      </w:r>
      <w:r w:rsidR="00C64050">
        <w:t xml:space="preserve"> </w:t>
      </w:r>
      <w:r>
        <w:t>an</w:t>
      </w:r>
      <w:r w:rsidR="00C64050">
        <w:t xml:space="preserve"> </w:t>
      </w:r>
      <w:r>
        <w:t>action</w:t>
      </w:r>
      <w:r w:rsidR="00C64050">
        <w:t xml:space="preserve"> </w:t>
      </w:r>
      <w:r>
        <w:t>questioning</w:t>
      </w:r>
      <w:r w:rsidR="00C64050">
        <w:t xml:space="preserve"> </w:t>
      </w:r>
      <w:r>
        <w:t>the</w:t>
      </w:r>
      <w:r w:rsidR="00C64050">
        <w:t xml:space="preserve"> </w:t>
      </w:r>
      <w:r>
        <w:t>inform</w:t>
      </w:r>
      <w:r w:rsidR="00C64050">
        <w:t xml:space="preserve"> </w:t>
      </w:r>
      <w:r>
        <w:t>and</w:t>
      </w:r>
      <w:r w:rsidR="00C64050">
        <w:t xml:space="preserve"> </w:t>
      </w:r>
      <w:r>
        <w:t>report</w:t>
      </w:r>
      <w:r w:rsidR="00C64050">
        <w:t xml:space="preserve"> </w:t>
      </w:r>
      <w:r>
        <w:t>provisions</w:t>
      </w:r>
      <w:r w:rsidR="00C64050">
        <w:t xml:space="preserve"> </w:t>
      </w:r>
      <w:r>
        <w:t>of</w:t>
      </w:r>
      <w:r w:rsidR="00C64050">
        <w:t xml:space="preserve"> </w:t>
      </w:r>
      <w:r>
        <w:t>the</w:t>
      </w:r>
      <w:r w:rsidR="00C64050">
        <w:t xml:space="preserve"> </w:t>
      </w:r>
      <w:r>
        <w:t>trust.</w:t>
      </w:r>
      <w:r w:rsidR="00C64050">
        <w:t xml:space="preserve">  </w:t>
      </w:r>
      <w:r>
        <w:t>Eleanor,</w:t>
      </w:r>
      <w:r w:rsidR="00C64050">
        <w:t xml:space="preserve"> </w:t>
      </w:r>
      <w:r>
        <w:t>the</w:t>
      </w:r>
      <w:r w:rsidR="00C64050">
        <w:t xml:space="preserve"> </w:t>
      </w:r>
      <w:r>
        <w:t>trustee,</w:t>
      </w:r>
      <w:r w:rsidR="00C64050">
        <w:t xml:space="preserve"> </w:t>
      </w:r>
      <w:r>
        <w:t>argued</w:t>
      </w:r>
      <w:r w:rsidR="00C64050">
        <w:t xml:space="preserve"> </w:t>
      </w:r>
      <w:r>
        <w:t>yes.</w:t>
      </w:r>
      <w:r w:rsidR="00C64050">
        <w:t xml:space="preserve">  </w:t>
      </w:r>
      <w:r>
        <w:t>The</w:t>
      </w:r>
      <w:r w:rsidR="00C64050">
        <w:t xml:space="preserve"> </w:t>
      </w:r>
      <w:r>
        <w:t>complaint</w:t>
      </w:r>
      <w:r w:rsidR="00C64050">
        <w:t xml:space="preserve"> </w:t>
      </w:r>
      <w:r>
        <w:t>that</w:t>
      </w:r>
      <w:r w:rsidR="00C64050">
        <w:t xml:space="preserve"> </w:t>
      </w:r>
      <w:r>
        <w:t>Chip</w:t>
      </w:r>
      <w:r w:rsidR="00C64050">
        <w:t xml:space="preserve"> </w:t>
      </w:r>
      <w:r>
        <w:t>filed</w:t>
      </w:r>
      <w:r w:rsidR="00C64050">
        <w:t xml:space="preserve"> </w:t>
      </w:r>
      <w:r>
        <w:t>had</w:t>
      </w:r>
      <w:r w:rsidR="00C64050">
        <w:t xml:space="preserve"> </w:t>
      </w:r>
      <w:r>
        <w:t>two</w:t>
      </w:r>
      <w:r w:rsidR="00C64050">
        <w:t xml:space="preserve"> </w:t>
      </w:r>
      <w:r>
        <w:t>counts</w:t>
      </w:r>
      <w:r w:rsidR="00C64050">
        <w:t xml:space="preserve"> </w:t>
      </w:r>
      <w:r>
        <w:t>the</w:t>
      </w:r>
      <w:r w:rsidR="00C64050">
        <w:t xml:space="preserve"> </w:t>
      </w:r>
      <w:r>
        <w:t>court</w:t>
      </w:r>
      <w:r w:rsidR="00C64050">
        <w:t xml:space="preserve"> </w:t>
      </w:r>
      <w:r>
        <w:t>described</w:t>
      </w:r>
      <w:r w:rsidR="00C64050">
        <w:t xml:space="preserve"> </w:t>
      </w:r>
      <w:r>
        <w:t>as</w:t>
      </w:r>
      <w:r w:rsidR="00C64050">
        <w:t xml:space="preserve"> </w:t>
      </w:r>
      <w:r>
        <w:t>follows:</w:t>
      </w:r>
    </w:p>
    <w:p w:rsidR="00E74C28" w:rsidRPr="00E74C28" w:rsidRDefault="00E74C28" w:rsidP="00E74C28">
      <w:pPr>
        <w:pStyle w:val="QS10"/>
        <w:rPr>
          <w:szCs w:val="20"/>
        </w:rPr>
      </w:pPr>
      <w:r w:rsidRPr="00E74C28">
        <w:rPr>
          <w:szCs w:val="20"/>
        </w:rPr>
        <w:t>Chip</w:t>
      </w:r>
      <w:r w:rsidR="00C64050">
        <w:rPr>
          <w:szCs w:val="20"/>
        </w:rPr>
        <w:t xml:space="preserve"> </w:t>
      </w:r>
      <w:r w:rsidRPr="00E74C28">
        <w:rPr>
          <w:szCs w:val="20"/>
        </w:rPr>
        <w:t>filed</w:t>
      </w:r>
      <w:r w:rsidR="00C64050">
        <w:rPr>
          <w:szCs w:val="20"/>
        </w:rPr>
        <w:t xml:space="preserve"> </w:t>
      </w:r>
      <w:r w:rsidRPr="00E74C28">
        <w:rPr>
          <w:szCs w:val="20"/>
        </w:rPr>
        <w:t>this</w:t>
      </w:r>
      <w:r w:rsidR="00C64050">
        <w:rPr>
          <w:szCs w:val="20"/>
        </w:rPr>
        <w:t xml:space="preserve"> </w:t>
      </w:r>
      <w:r w:rsidRPr="00E74C28">
        <w:rPr>
          <w:szCs w:val="20"/>
        </w:rPr>
        <w:t>declaratory</w:t>
      </w:r>
      <w:r w:rsidR="00C64050">
        <w:rPr>
          <w:szCs w:val="20"/>
        </w:rPr>
        <w:t xml:space="preserve"> </w:t>
      </w:r>
      <w:r w:rsidRPr="00E74C28">
        <w:rPr>
          <w:szCs w:val="20"/>
        </w:rPr>
        <w:t>judgment</w:t>
      </w:r>
      <w:r w:rsidR="00C64050">
        <w:rPr>
          <w:szCs w:val="20"/>
        </w:rPr>
        <w:t xml:space="preserve"> </w:t>
      </w:r>
      <w:r w:rsidRPr="00E74C28">
        <w:rPr>
          <w:szCs w:val="20"/>
        </w:rPr>
        <w:t>action,</w:t>
      </w:r>
      <w:r w:rsidR="00C64050">
        <w:rPr>
          <w:szCs w:val="20"/>
        </w:rPr>
        <w:t xml:space="preserve"> </w:t>
      </w:r>
      <w:r w:rsidRPr="00E74C28">
        <w:rPr>
          <w:szCs w:val="20"/>
        </w:rPr>
        <w:t>seeking</w:t>
      </w:r>
      <w:r w:rsidR="00C64050">
        <w:rPr>
          <w:szCs w:val="20"/>
        </w:rPr>
        <w:t xml:space="preserve"> </w:t>
      </w:r>
      <w:r w:rsidRPr="00E74C28">
        <w:rPr>
          <w:szCs w:val="20"/>
        </w:rPr>
        <w:t>a</w:t>
      </w:r>
      <w:r w:rsidR="00C64050">
        <w:rPr>
          <w:szCs w:val="20"/>
        </w:rPr>
        <w:t xml:space="preserve"> </w:t>
      </w:r>
      <w:r w:rsidRPr="00E74C28">
        <w:rPr>
          <w:szCs w:val="20"/>
        </w:rPr>
        <w:t>favorable</w:t>
      </w:r>
      <w:r w:rsidR="00C64050">
        <w:rPr>
          <w:szCs w:val="20"/>
        </w:rPr>
        <w:t xml:space="preserve"> </w:t>
      </w:r>
      <w:r w:rsidRPr="00E74C28">
        <w:rPr>
          <w:szCs w:val="20"/>
        </w:rPr>
        <w:t>interpretation</w:t>
      </w:r>
      <w:r w:rsidR="00C64050">
        <w:rPr>
          <w:szCs w:val="20"/>
        </w:rPr>
        <w:t xml:space="preserve"> </w:t>
      </w:r>
      <w:r w:rsidRPr="00E74C28">
        <w:rPr>
          <w:szCs w:val="20"/>
        </w:rPr>
        <w:t>of</w:t>
      </w:r>
      <w:r w:rsidR="00C64050">
        <w:rPr>
          <w:szCs w:val="20"/>
        </w:rPr>
        <w:t xml:space="preserve"> </w:t>
      </w:r>
      <w:r w:rsidRPr="00E74C28">
        <w:rPr>
          <w:szCs w:val="20"/>
        </w:rPr>
        <w:t>the</w:t>
      </w:r>
      <w:r w:rsidR="00C64050">
        <w:rPr>
          <w:szCs w:val="20"/>
        </w:rPr>
        <w:t xml:space="preserve"> </w:t>
      </w:r>
      <w:r w:rsidRPr="00E74C28">
        <w:rPr>
          <w:szCs w:val="20"/>
        </w:rPr>
        <w:t>trust</w:t>
      </w:r>
      <w:r w:rsidR="00C64050">
        <w:rPr>
          <w:szCs w:val="20"/>
        </w:rPr>
        <w:t xml:space="preserve"> </w:t>
      </w:r>
      <w:r w:rsidRPr="00E74C28">
        <w:rPr>
          <w:szCs w:val="20"/>
        </w:rPr>
        <w:t>that</w:t>
      </w:r>
      <w:r w:rsidR="00C64050">
        <w:rPr>
          <w:szCs w:val="20"/>
        </w:rPr>
        <w:t xml:space="preserve"> </w:t>
      </w:r>
      <w:r w:rsidRPr="00E74C28">
        <w:rPr>
          <w:szCs w:val="20"/>
        </w:rPr>
        <w:t>would</w:t>
      </w:r>
      <w:r w:rsidR="00C64050">
        <w:rPr>
          <w:szCs w:val="20"/>
        </w:rPr>
        <w:t xml:space="preserve"> </w:t>
      </w:r>
      <w:r w:rsidRPr="00E74C28">
        <w:rPr>
          <w:szCs w:val="20"/>
        </w:rPr>
        <w:t>require</w:t>
      </w:r>
      <w:r w:rsidR="00C64050">
        <w:rPr>
          <w:szCs w:val="20"/>
        </w:rPr>
        <w:t xml:space="preserve"> </w:t>
      </w:r>
      <w:r w:rsidRPr="00E74C28">
        <w:rPr>
          <w:szCs w:val="20"/>
        </w:rPr>
        <w:t>Eleanor</w:t>
      </w:r>
      <w:r w:rsidR="00C64050">
        <w:rPr>
          <w:szCs w:val="20"/>
        </w:rPr>
        <w:t xml:space="preserve"> </w:t>
      </w:r>
      <w:r w:rsidRPr="00E74C28">
        <w:rPr>
          <w:szCs w:val="20"/>
        </w:rPr>
        <w:t>to</w:t>
      </w:r>
      <w:r w:rsidR="00C64050">
        <w:rPr>
          <w:szCs w:val="20"/>
        </w:rPr>
        <w:t xml:space="preserve"> </w:t>
      </w:r>
      <w:r w:rsidRPr="00E74C28">
        <w:rPr>
          <w:szCs w:val="20"/>
        </w:rPr>
        <w:t>provide</w:t>
      </w:r>
      <w:r w:rsidR="00C64050">
        <w:rPr>
          <w:szCs w:val="20"/>
        </w:rPr>
        <w:t xml:space="preserve"> </w:t>
      </w:r>
      <w:r w:rsidRPr="00E74C28">
        <w:rPr>
          <w:szCs w:val="20"/>
        </w:rPr>
        <w:t>Chip</w:t>
      </w:r>
      <w:r w:rsidR="00C64050">
        <w:rPr>
          <w:szCs w:val="20"/>
        </w:rPr>
        <w:t xml:space="preserve"> </w:t>
      </w:r>
      <w:r w:rsidRPr="00E74C28">
        <w:rPr>
          <w:szCs w:val="20"/>
        </w:rPr>
        <w:t>with</w:t>
      </w:r>
      <w:r w:rsidR="00C64050">
        <w:rPr>
          <w:szCs w:val="20"/>
        </w:rPr>
        <w:t xml:space="preserve"> </w:t>
      </w:r>
      <w:r w:rsidRPr="00E74C28">
        <w:rPr>
          <w:szCs w:val="20"/>
        </w:rPr>
        <w:t>information</w:t>
      </w:r>
      <w:r w:rsidR="00C64050">
        <w:rPr>
          <w:szCs w:val="20"/>
        </w:rPr>
        <w:t xml:space="preserve"> </w:t>
      </w:r>
      <w:r w:rsidRPr="00E74C28">
        <w:rPr>
          <w:szCs w:val="20"/>
        </w:rPr>
        <w:t>and</w:t>
      </w:r>
      <w:r w:rsidR="00C64050">
        <w:rPr>
          <w:szCs w:val="20"/>
        </w:rPr>
        <w:t xml:space="preserve"> </w:t>
      </w:r>
      <w:r w:rsidRPr="00E74C28">
        <w:rPr>
          <w:szCs w:val="20"/>
        </w:rPr>
        <w:t>documents</w:t>
      </w:r>
      <w:r w:rsidR="00C64050">
        <w:rPr>
          <w:szCs w:val="20"/>
        </w:rPr>
        <w:t xml:space="preserve"> </w:t>
      </w:r>
      <w:r w:rsidRPr="00E74C28">
        <w:rPr>
          <w:szCs w:val="20"/>
        </w:rPr>
        <w:t>related</w:t>
      </w:r>
      <w:r w:rsidR="00C64050">
        <w:rPr>
          <w:szCs w:val="20"/>
        </w:rPr>
        <w:t xml:space="preserve"> </w:t>
      </w:r>
      <w:r w:rsidRPr="00E74C28">
        <w:rPr>
          <w:szCs w:val="20"/>
        </w:rPr>
        <w:t>to</w:t>
      </w:r>
      <w:r w:rsidR="00C64050">
        <w:rPr>
          <w:szCs w:val="20"/>
        </w:rPr>
        <w:t xml:space="preserve"> </w:t>
      </w:r>
      <w:r w:rsidRPr="00E74C28">
        <w:rPr>
          <w:szCs w:val="20"/>
        </w:rPr>
        <w:t>the</w:t>
      </w:r>
      <w:r w:rsidR="00C64050">
        <w:rPr>
          <w:szCs w:val="20"/>
        </w:rPr>
        <w:t xml:space="preserve"> </w:t>
      </w:r>
      <w:r w:rsidRPr="00E74C28">
        <w:rPr>
          <w:szCs w:val="20"/>
        </w:rPr>
        <w:t>trust.</w:t>
      </w:r>
      <w:r w:rsidR="00C64050">
        <w:rPr>
          <w:szCs w:val="20"/>
        </w:rPr>
        <w:t xml:space="preserve"> </w:t>
      </w:r>
      <w:r w:rsidRPr="00E74C28">
        <w:rPr>
          <w:szCs w:val="20"/>
        </w:rPr>
        <w:t>Aware</w:t>
      </w:r>
      <w:r w:rsidR="00C64050">
        <w:rPr>
          <w:szCs w:val="20"/>
        </w:rPr>
        <w:t xml:space="preserve"> </w:t>
      </w:r>
      <w:r w:rsidRPr="00E74C28">
        <w:rPr>
          <w:szCs w:val="20"/>
        </w:rPr>
        <w:t>of</w:t>
      </w:r>
      <w:r w:rsidR="00C64050">
        <w:rPr>
          <w:szCs w:val="20"/>
        </w:rPr>
        <w:t xml:space="preserve"> </w:t>
      </w:r>
      <w:r w:rsidRPr="00E74C28">
        <w:rPr>
          <w:szCs w:val="20"/>
        </w:rPr>
        <w:t>the</w:t>
      </w:r>
      <w:r w:rsidR="00C64050">
        <w:rPr>
          <w:szCs w:val="20"/>
        </w:rPr>
        <w:t xml:space="preserve"> </w:t>
      </w:r>
      <w:r w:rsidRPr="00E74C28">
        <w:rPr>
          <w:szCs w:val="20"/>
        </w:rPr>
        <w:t>no-contest</w:t>
      </w:r>
      <w:r w:rsidR="00C64050">
        <w:rPr>
          <w:szCs w:val="20"/>
        </w:rPr>
        <w:t xml:space="preserve"> </w:t>
      </w:r>
      <w:r w:rsidRPr="00E74C28">
        <w:rPr>
          <w:szCs w:val="20"/>
        </w:rPr>
        <w:t>provision</w:t>
      </w:r>
      <w:r w:rsidR="00C64050">
        <w:rPr>
          <w:szCs w:val="20"/>
        </w:rPr>
        <w:t xml:space="preserve"> </w:t>
      </w:r>
      <w:r w:rsidRPr="00E74C28">
        <w:rPr>
          <w:szCs w:val="20"/>
        </w:rPr>
        <w:t>in</w:t>
      </w:r>
      <w:r w:rsidR="00C64050">
        <w:rPr>
          <w:szCs w:val="20"/>
        </w:rPr>
        <w:t xml:space="preserve"> </w:t>
      </w:r>
      <w:r w:rsidRPr="00E74C28">
        <w:rPr>
          <w:szCs w:val="20"/>
        </w:rPr>
        <w:t>the</w:t>
      </w:r>
      <w:r w:rsidR="00C64050">
        <w:rPr>
          <w:szCs w:val="20"/>
        </w:rPr>
        <w:t xml:space="preserve"> </w:t>
      </w:r>
      <w:r w:rsidRPr="00E74C28">
        <w:rPr>
          <w:szCs w:val="20"/>
        </w:rPr>
        <w:t>Theresa</w:t>
      </w:r>
      <w:r w:rsidR="00C64050">
        <w:rPr>
          <w:szCs w:val="20"/>
        </w:rPr>
        <w:t xml:space="preserve"> </w:t>
      </w:r>
      <w:r w:rsidRPr="00E74C28">
        <w:rPr>
          <w:szCs w:val="20"/>
        </w:rPr>
        <w:t>Trust,</w:t>
      </w:r>
      <w:r w:rsidR="00C64050">
        <w:rPr>
          <w:szCs w:val="20"/>
        </w:rPr>
        <w:t xml:space="preserve"> </w:t>
      </w:r>
      <w:r w:rsidRPr="00E74C28">
        <w:rPr>
          <w:szCs w:val="20"/>
        </w:rPr>
        <w:t>Chip</w:t>
      </w:r>
      <w:r w:rsidR="00C64050">
        <w:rPr>
          <w:szCs w:val="20"/>
        </w:rPr>
        <w:t xml:space="preserve"> </w:t>
      </w:r>
      <w:r w:rsidRPr="00E74C28">
        <w:rPr>
          <w:szCs w:val="20"/>
        </w:rPr>
        <w:t>divided</w:t>
      </w:r>
      <w:r w:rsidR="00C64050">
        <w:rPr>
          <w:szCs w:val="20"/>
        </w:rPr>
        <w:t xml:space="preserve"> </w:t>
      </w:r>
      <w:r w:rsidRPr="00E74C28">
        <w:rPr>
          <w:szCs w:val="20"/>
        </w:rPr>
        <w:t>his</w:t>
      </w:r>
      <w:r w:rsidR="00C64050">
        <w:rPr>
          <w:szCs w:val="20"/>
        </w:rPr>
        <w:t xml:space="preserve"> </w:t>
      </w:r>
      <w:r w:rsidRPr="00E74C28">
        <w:rPr>
          <w:szCs w:val="20"/>
        </w:rPr>
        <w:t>declaratory</w:t>
      </w:r>
      <w:r w:rsidR="00C64050">
        <w:rPr>
          <w:szCs w:val="20"/>
        </w:rPr>
        <w:t xml:space="preserve"> </w:t>
      </w:r>
      <w:r w:rsidRPr="00E74C28">
        <w:rPr>
          <w:szCs w:val="20"/>
        </w:rPr>
        <w:t>judgment</w:t>
      </w:r>
      <w:r w:rsidR="00C64050">
        <w:rPr>
          <w:szCs w:val="20"/>
        </w:rPr>
        <w:t xml:space="preserve"> </w:t>
      </w:r>
      <w:r w:rsidRPr="00E74C28">
        <w:rPr>
          <w:szCs w:val="20"/>
        </w:rPr>
        <w:t>complaint</w:t>
      </w:r>
      <w:r w:rsidR="00C64050">
        <w:rPr>
          <w:szCs w:val="20"/>
        </w:rPr>
        <w:t xml:space="preserve"> </w:t>
      </w:r>
      <w:r w:rsidRPr="00E74C28">
        <w:rPr>
          <w:szCs w:val="20"/>
        </w:rPr>
        <w:t>into</w:t>
      </w:r>
      <w:r w:rsidR="00C64050">
        <w:rPr>
          <w:szCs w:val="20"/>
        </w:rPr>
        <w:t xml:space="preserve"> </w:t>
      </w:r>
      <w:r w:rsidRPr="00E74C28">
        <w:rPr>
          <w:szCs w:val="20"/>
        </w:rPr>
        <w:t>two</w:t>
      </w:r>
      <w:r w:rsidR="00C64050">
        <w:rPr>
          <w:szCs w:val="20"/>
        </w:rPr>
        <w:t xml:space="preserve"> </w:t>
      </w:r>
      <w:r w:rsidRPr="00E74C28">
        <w:rPr>
          <w:szCs w:val="20"/>
        </w:rPr>
        <w:t>carefully</w:t>
      </w:r>
      <w:r w:rsidR="00C64050">
        <w:rPr>
          <w:szCs w:val="20"/>
        </w:rPr>
        <w:t xml:space="preserve"> </w:t>
      </w:r>
      <w:r w:rsidRPr="00E74C28">
        <w:rPr>
          <w:szCs w:val="20"/>
        </w:rPr>
        <w:t>worded</w:t>
      </w:r>
      <w:r w:rsidR="00C64050">
        <w:rPr>
          <w:szCs w:val="20"/>
        </w:rPr>
        <w:t xml:space="preserve"> </w:t>
      </w:r>
      <w:r w:rsidRPr="00E74C28">
        <w:rPr>
          <w:szCs w:val="20"/>
        </w:rPr>
        <w:t>counts.</w:t>
      </w:r>
      <w:r w:rsidR="00C64050">
        <w:rPr>
          <w:szCs w:val="20"/>
        </w:rPr>
        <w:t xml:space="preserve"> </w:t>
      </w:r>
      <w:r w:rsidRPr="00E74C28">
        <w:rPr>
          <w:szCs w:val="20"/>
        </w:rPr>
        <w:t>Count</w:t>
      </w:r>
      <w:r w:rsidR="00C64050">
        <w:rPr>
          <w:szCs w:val="20"/>
        </w:rPr>
        <w:t xml:space="preserve"> </w:t>
      </w:r>
      <w:r w:rsidRPr="00E74C28">
        <w:rPr>
          <w:szCs w:val="20"/>
        </w:rPr>
        <w:t>II</w:t>
      </w:r>
      <w:r w:rsidR="00C64050">
        <w:rPr>
          <w:szCs w:val="20"/>
        </w:rPr>
        <w:t xml:space="preserve"> </w:t>
      </w:r>
      <w:r w:rsidRPr="00E74C28">
        <w:rPr>
          <w:szCs w:val="20"/>
        </w:rPr>
        <w:t>acknowledged</w:t>
      </w:r>
      <w:r w:rsidR="00C64050">
        <w:rPr>
          <w:szCs w:val="20"/>
        </w:rPr>
        <w:t xml:space="preserve"> </w:t>
      </w:r>
      <w:r w:rsidRPr="00E74C28">
        <w:rPr>
          <w:szCs w:val="20"/>
        </w:rPr>
        <w:t>the</w:t>
      </w:r>
      <w:r w:rsidR="00C64050">
        <w:rPr>
          <w:szCs w:val="20"/>
        </w:rPr>
        <w:t xml:space="preserve"> </w:t>
      </w:r>
      <w:r w:rsidRPr="00E74C28">
        <w:rPr>
          <w:szCs w:val="20"/>
        </w:rPr>
        <w:t>ultimate</w:t>
      </w:r>
      <w:r w:rsidR="00C64050">
        <w:rPr>
          <w:szCs w:val="20"/>
        </w:rPr>
        <w:t xml:space="preserve"> </w:t>
      </w:r>
      <w:r w:rsidRPr="00E74C28">
        <w:rPr>
          <w:szCs w:val="20"/>
        </w:rPr>
        <w:t>goal</w:t>
      </w:r>
      <w:r w:rsidR="00C64050">
        <w:rPr>
          <w:szCs w:val="20"/>
        </w:rPr>
        <w:t xml:space="preserve"> </w:t>
      </w:r>
      <w:r w:rsidRPr="00E74C28">
        <w:rPr>
          <w:szCs w:val="20"/>
        </w:rPr>
        <w:t>of</w:t>
      </w:r>
      <w:r w:rsidR="00C64050">
        <w:rPr>
          <w:szCs w:val="20"/>
        </w:rPr>
        <w:t xml:space="preserve"> </w:t>
      </w:r>
      <w:r w:rsidRPr="00E74C28">
        <w:rPr>
          <w:szCs w:val="20"/>
        </w:rPr>
        <w:t>the</w:t>
      </w:r>
      <w:r w:rsidR="00C64050">
        <w:rPr>
          <w:szCs w:val="20"/>
        </w:rPr>
        <w:t xml:space="preserve"> </w:t>
      </w:r>
      <w:r w:rsidRPr="00E74C28">
        <w:rPr>
          <w:szCs w:val="20"/>
        </w:rPr>
        <w:t>litigation</w:t>
      </w:r>
      <w:r w:rsidR="00C64050">
        <w:rPr>
          <w:szCs w:val="20"/>
        </w:rPr>
        <w:t xml:space="preserve"> </w:t>
      </w:r>
      <w:r w:rsidRPr="00E74C28">
        <w:rPr>
          <w:szCs w:val="20"/>
        </w:rPr>
        <w:t>by</w:t>
      </w:r>
      <w:r w:rsidR="00C64050">
        <w:rPr>
          <w:szCs w:val="20"/>
        </w:rPr>
        <w:t xml:space="preserve"> </w:t>
      </w:r>
      <w:r w:rsidRPr="00E74C28">
        <w:rPr>
          <w:szCs w:val="20"/>
        </w:rPr>
        <w:t>asserting</w:t>
      </w:r>
      <w:r w:rsidR="00C64050">
        <w:rPr>
          <w:szCs w:val="20"/>
        </w:rPr>
        <w:t xml:space="preserve"> </w:t>
      </w:r>
      <w:r w:rsidRPr="00E74C28">
        <w:rPr>
          <w:szCs w:val="20"/>
        </w:rPr>
        <w:t>that</w:t>
      </w:r>
      <w:r w:rsidR="00C64050">
        <w:rPr>
          <w:szCs w:val="20"/>
        </w:rPr>
        <w:t xml:space="preserve"> </w:t>
      </w:r>
      <w:r w:rsidRPr="00E74C28">
        <w:rPr>
          <w:szCs w:val="20"/>
        </w:rPr>
        <w:t>Chip</w:t>
      </w:r>
      <w:r w:rsidR="00C64050">
        <w:rPr>
          <w:szCs w:val="20"/>
        </w:rPr>
        <w:t xml:space="preserve"> </w:t>
      </w:r>
      <w:r w:rsidRPr="00E74C28">
        <w:rPr>
          <w:szCs w:val="20"/>
        </w:rPr>
        <w:t>sought</w:t>
      </w:r>
      <w:r w:rsidR="00C64050">
        <w:rPr>
          <w:szCs w:val="20"/>
        </w:rPr>
        <w:t xml:space="preserve"> </w:t>
      </w:r>
      <w:r w:rsidRPr="00E74C28">
        <w:rPr>
          <w:szCs w:val="20"/>
        </w:rPr>
        <w:t>the</w:t>
      </w:r>
      <w:r w:rsidR="00C64050">
        <w:rPr>
          <w:szCs w:val="20"/>
        </w:rPr>
        <w:t xml:space="preserve"> </w:t>
      </w:r>
      <w:r w:rsidRPr="00E74C28">
        <w:rPr>
          <w:szCs w:val="20"/>
        </w:rPr>
        <w:t>“determination</w:t>
      </w:r>
      <w:r w:rsidR="00C64050">
        <w:rPr>
          <w:szCs w:val="20"/>
        </w:rPr>
        <w:t xml:space="preserve"> </w:t>
      </w:r>
      <w:r w:rsidRPr="00E74C28">
        <w:rPr>
          <w:szCs w:val="20"/>
        </w:rPr>
        <w:t>of</w:t>
      </w:r>
      <w:r w:rsidR="00C64050">
        <w:rPr>
          <w:szCs w:val="20"/>
        </w:rPr>
        <w:t xml:space="preserve"> </w:t>
      </w:r>
      <w:r w:rsidRPr="00E74C28">
        <w:rPr>
          <w:szCs w:val="20"/>
        </w:rPr>
        <w:t>the</w:t>
      </w:r>
      <w:r w:rsidR="00C64050">
        <w:rPr>
          <w:szCs w:val="20"/>
        </w:rPr>
        <w:t xml:space="preserve"> </w:t>
      </w:r>
      <w:r w:rsidRPr="00E74C28">
        <w:rPr>
          <w:szCs w:val="20"/>
        </w:rPr>
        <w:t>rights</w:t>
      </w:r>
      <w:r w:rsidR="00C64050">
        <w:rPr>
          <w:szCs w:val="20"/>
        </w:rPr>
        <w:t xml:space="preserve"> </w:t>
      </w:r>
      <w:r w:rsidRPr="00E74C28">
        <w:rPr>
          <w:szCs w:val="20"/>
        </w:rPr>
        <w:t>of</w:t>
      </w:r>
      <w:r w:rsidR="00C64050">
        <w:rPr>
          <w:szCs w:val="20"/>
        </w:rPr>
        <w:t xml:space="preserve"> </w:t>
      </w:r>
      <w:r w:rsidRPr="00E74C28">
        <w:rPr>
          <w:szCs w:val="20"/>
        </w:rPr>
        <w:t>Chip</w:t>
      </w:r>
      <w:r w:rsidR="00C64050">
        <w:rPr>
          <w:szCs w:val="20"/>
        </w:rPr>
        <w:t xml:space="preserve"> </w:t>
      </w:r>
      <w:r w:rsidRPr="00E74C28">
        <w:rPr>
          <w:szCs w:val="20"/>
        </w:rPr>
        <w:t>and</w:t>
      </w:r>
      <w:r w:rsidR="00C64050">
        <w:rPr>
          <w:szCs w:val="20"/>
        </w:rPr>
        <w:t xml:space="preserve"> </w:t>
      </w:r>
      <w:r w:rsidRPr="00E74C28">
        <w:rPr>
          <w:szCs w:val="20"/>
        </w:rPr>
        <w:t>Eleanor”</w:t>
      </w:r>
      <w:r w:rsidR="00C64050">
        <w:rPr>
          <w:szCs w:val="20"/>
        </w:rPr>
        <w:t xml:space="preserve"> </w:t>
      </w:r>
      <w:r w:rsidRPr="00E74C28">
        <w:rPr>
          <w:szCs w:val="20"/>
        </w:rPr>
        <w:t>under</w:t>
      </w:r>
      <w:r w:rsidR="00C64050">
        <w:rPr>
          <w:szCs w:val="20"/>
        </w:rPr>
        <w:t xml:space="preserve"> </w:t>
      </w:r>
      <w:r w:rsidRPr="00E74C28">
        <w:rPr>
          <w:szCs w:val="20"/>
        </w:rPr>
        <w:t>the</w:t>
      </w:r>
      <w:r w:rsidR="00C64050">
        <w:rPr>
          <w:szCs w:val="20"/>
        </w:rPr>
        <w:t xml:space="preserve"> </w:t>
      </w:r>
      <w:r w:rsidRPr="00E74C28">
        <w:rPr>
          <w:szCs w:val="20"/>
        </w:rPr>
        <w:t>terms</w:t>
      </w:r>
      <w:r w:rsidR="00C64050">
        <w:rPr>
          <w:szCs w:val="20"/>
        </w:rPr>
        <w:t xml:space="preserve"> </w:t>
      </w:r>
      <w:r w:rsidRPr="00E74C28">
        <w:rPr>
          <w:szCs w:val="20"/>
        </w:rPr>
        <w:t>of</w:t>
      </w:r>
      <w:r w:rsidR="00C64050">
        <w:rPr>
          <w:szCs w:val="20"/>
        </w:rPr>
        <w:t xml:space="preserve"> </w:t>
      </w:r>
      <w:r w:rsidRPr="00E74C28">
        <w:rPr>
          <w:szCs w:val="20"/>
        </w:rPr>
        <w:t>the</w:t>
      </w:r>
      <w:r w:rsidR="00C64050">
        <w:rPr>
          <w:szCs w:val="20"/>
        </w:rPr>
        <w:t xml:space="preserve"> </w:t>
      </w:r>
      <w:r w:rsidRPr="00E74C28">
        <w:rPr>
          <w:szCs w:val="20"/>
        </w:rPr>
        <w:t>Theresa</w:t>
      </w:r>
      <w:r w:rsidR="00C64050">
        <w:rPr>
          <w:szCs w:val="20"/>
        </w:rPr>
        <w:t xml:space="preserve"> </w:t>
      </w:r>
      <w:r w:rsidRPr="00E74C28">
        <w:rPr>
          <w:szCs w:val="20"/>
        </w:rPr>
        <w:t>Trust</w:t>
      </w:r>
      <w:r w:rsidR="00C64050">
        <w:rPr>
          <w:szCs w:val="20"/>
        </w:rPr>
        <w:t xml:space="preserve"> </w:t>
      </w:r>
      <w:r w:rsidRPr="00E74C28">
        <w:rPr>
          <w:szCs w:val="20"/>
        </w:rPr>
        <w:t>to</w:t>
      </w:r>
      <w:r w:rsidR="00C64050">
        <w:rPr>
          <w:szCs w:val="20"/>
        </w:rPr>
        <w:t xml:space="preserve"> </w:t>
      </w:r>
      <w:r w:rsidRPr="00E74C28">
        <w:rPr>
          <w:szCs w:val="20"/>
        </w:rPr>
        <w:t>require</w:t>
      </w:r>
      <w:r w:rsidR="00C64050">
        <w:rPr>
          <w:szCs w:val="20"/>
        </w:rPr>
        <w:t xml:space="preserve"> </w:t>
      </w:r>
      <w:r w:rsidRPr="00E74C28">
        <w:rPr>
          <w:szCs w:val="20"/>
        </w:rPr>
        <w:t>the</w:t>
      </w:r>
      <w:r w:rsidR="00C64050">
        <w:rPr>
          <w:szCs w:val="20"/>
        </w:rPr>
        <w:t xml:space="preserve"> </w:t>
      </w:r>
      <w:r w:rsidRPr="00E74C28">
        <w:rPr>
          <w:szCs w:val="20"/>
        </w:rPr>
        <w:t>trustee</w:t>
      </w:r>
      <w:r w:rsidR="00C64050">
        <w:rPr>
          <w:szCs w:val="20"/>
        </w:rPr>
        <w:t xml:space="preserve"> </w:t>
      </w:r>
      <w:r w:rsidRPr="00E74C28">
        <w:rPr>
          <w:szCs w:val="20"/>
        </w:rPr>
        <w:t>to</w:t>
      </w:r>
      <w:r w:rsidR="00C64050">
        <w:rPr>
          <w:szCs w:val="20"/>
        </w:rPr>
        <w:t xml:space="preserve"> </w:t>
      </w:r>
      <w:r w:rsidRPr="00E74C28">
        <w:rPr>
          <w:szCs w:val="20"/>
        </w:rPr>
        <w:t>inform</w:t>
      </w:r>
      <w:r w:rsidR="00C64050">
        <w:rPr>
          <w:szCs w:val="20"/>
        </w:rPr>
        <w:t xml:space="preserve"> </w:t>
      </w:r>
      <w:r w:rsidRPr="00E74C28">
        <w:rPr>
          <w:szCs w:val="20"/>
        </w:rPr>
        <w:t>and</w:t>
      </w:r>
      <w:r w:rsidR="00C64050">
        <w:rPr>
          <w:szCs w:val="20"/>
        </w:rPr>
        <w:t xml:space="preserve"> </w:t>
      </w:r>
      <w:r w:rsidRPr="00E74C28">
        <w:rPr>
          <w:szCs w:val="20"/>
        </w:rPr>
        <w:t>report</w:t>
      </w:r>
      <w:r w:rsidR="00C64050">
        <w:rPr>
          <w:szCs w:val="20"/>
        </w:rPr>
        <w:t xml:space="preserve"> </w:t>
      </w:r>
      <w:r w:rsidRPr="00E74C28">
        <w:rPr>
          <w:szCs w:val="20"/>
        </w:rPr>
        <w:t>under</w:t>
      </w:r>
      <w:r w:rsidR="00C64050">
        <w:rPr>
          <w:szCs w:val="20"/>
        </w:rPr>
        <w:t xml:space="preserve"> </w:t>
      </w:r>
      <w:r w:rsidRPr="00E74C28">
        <w:rPr>
          <w:szCs w:val="20"/>
        </w:rPr>
        <w:t>Code</w:t>
      </w:r>
      <w:r w:rsidR="00C64050">
        <w:rPr>
          <w:szCs w:val="20"/>
        </w:rPr>
        <w:t xml:space="preserve"> </w:t>
      </w:r>
      <w:r w:rsidRPr="00E74C28">
        <w:rPr>
          <w:szCs w:val="20"/>
        </w:rPr>
        <w:t>§</w:t>
      </w:r>
      <w:r w:rsidR="00C64050">
        <w:rPr>
          <w:szCs w:val="20"/>
        </w:rPr>
        <w:t xml:space="preserve"> </w:t>
      </w:r>
      <w:r w:rsidRPr="00E74C28">
        <w:rPr>
          <w:szCs w:val="20"/>
        </w:rPr>
        <w:t>64.2-775,</w:t>
      </w:r>
      <w:r w:rsidR="00C64050">
        <w:rPr>
          <w:szCs w:val="20"/>
        </w:rPr>
        <w:t xml:space="preserve"> </w:t>
      </w:r>
      <w:r w:rsidRPr="00E74C28">
        <w:rPr>
          <w:szCs w:val="20"/>
        </w:rPr>
        <w:t>other</w:t>
      </w:r>
      <w:r w:rsidR="00C64050">
        <w:rPr>
          <w:szCs w:val="20"/>
        </w:rPr>
        <w:t xml:space="preserve"> </w:t>
      </w:r>
      <w:r w:rsidRPr="00E74C28">
        <w:rPr>
          <w:szCs w:val="20"/>
        </w:rPr>
        <w:t>various</w:t>
      </w:r>
      <w:r w:rsidR="00C64050">
        <w:rPr>
          <w:szCs w:val="20"/>
        </w:rPr>
        <w:t xml:space="preserve"> </w:t>
      </w:r>
      <w:r w:rsidRPr="00E74C28">
        <w:rPr>
          <w:szCs w:val="20"/>
        </w:rPr>
        <w:t>provisions</w:t>
      </w:r>
      <w:r w:rsidR="00C64050">
        <w:rPr>
          <w:szCs w:val="20"/>
        </w:rPr>
        <w:t xml:space="preserve"> </w:t>
      </w:r>
      <w:r w:rsidRPr="00E74C28">
        <w:rPr>
          <w:szCs w:val="20"/>
        </w:rPr>
        <w:t>of</w:t>
      </w:r>
      <w:r w:rsidR="00C64050">
        <w:rPr>
          <w:szCs w:val="20"/>
        </w:rPr>
        <w:t xml:space="preserve"> </w:t>
      </w:r>
      <w:r w:rsidRPr="00E74C28">
        <w:rPr>
          <w:szCs w:val="20"/>
        </w:rPr>
        <w:t>the</w:t>
      </w:r>
      <w:r w:rsidR="00C64050">
        <w:rPr>
          <w:szCs w:val="20"/>
        </w:rPr>
        <w:t xml:space="preserve"> </w:t>
      </w:r>
      <w:r w:rsidRPr="00E74C28">
        <w:rPr>
          <w:szCs w:val="20"/>
        </w:rPr>
        <w:t>Virginia</w:t>
      </w:r>
      <w:r w:rsidR="00C64050">
        <w:rPr>
          <w:szCs w:val="20"/>
        </w:rPr>
        <w:t xml:space="preserve"> </w:t>
      </w:r>
      <w:r w:rsidRPr="00E74C28">
        <w:rPr>
          <w:szCs w:val="20"/>
        </w:rPr>
        <w:t>Uniform</w:t>
      </w:r>
      <w:r w:rsidR="00C64050">
        <w:rPr>
          <w:szCs w:val="20"/>
        </w:rPr>
        <w:t xml:space="preserve"> </w:t>
      </w:r>
      <w:r w:rsidRPr="00E74C28">
        <w:rPr>
          <w:szCs w:val="20"/>
        </w:rPr>
        <w:t>Trust</w:t>
      </w:r>
      <w:r w:rsidR="00C64050">
        <w:rPr>
          <w:szCs w:val="20"/>
        </w:rPr>
        <w:t xml:space="preserve"> </w:t>
      </w:r>
      <w:r w:rsidRPr="00E74C28">
        <w:rPr>
          <w:szCs w:val="20"/>
        </w:rPr>
        <w:t>Code,</w:t>
      </w:r>
      <w:r w:rsidR="00C64050">
        <w:rPr>
          <w:szCs w:val="20"/>
        </w:rPr>
        <w:t xml:space="preserve"> </w:t>
      </w:r>
      <w:r w:rsidRPr="00E74C28">
        <w:rPr>
          <w:szCs w:val="20"/>
        </w:rPr>
        <w:t>or</w:t>
      </w:r>
      <w:r w:rsidR="00C64050">
        <w:rPr>
          <w:szCs w:val="20"/>
        </w:rPr>
        <w:t xml:space="preserve"> </w:t>
      </w:r>
      <w:r w:rsidRPr="00E74C28">
        <w:rPr>
          <w:szCs w:val="20"/>
        </w:rPr>
        <w:t>stand-alone</w:t>
      </w:r>
      <w:r w:rsidR="00C64050">
        <w:rPr>
          <w:szCs w:val="20"/>
        </w:rPr>
        <w:t xml:space="preserve"> </w:t>
      </w:r>
      <w:r w:rsidRPr="00E74C28">
        <w:rPr>
          <w:szCs w:val="20"/>
        </w:rPr>
        <w:t>principles</w:t>
      </w:r>
      <w:r w:rsidR="00C64050">
        <w:rPr>
          <w:szCs w:val="20"/>
        </w:rPr>
        <w:t xml:space="preserve"> </w:t>
      </w:r>
      <w:r w:rsidRPr="00E74C28">
        <w:rPr>
          <w:szCs w:val="20"/>
        </w:rPr>
        <w:t>of</w:t>
      </w:r>
      <w:r w:rsidR="00C64050">
        <w:rPr>
          <w:szCs w:val="20"/>
        </w:rPr>
        <w:t xml:space="preserve"> </w:t>
      </w:r>
      <w:r w:rsidRPr="00E74C28">
        <w:rPr>
          <w:szCs w:val="20"/>
        </w:rPr>
        <w:t>common</w:t>
      </w:r>
      <w:r w:rsidR="00C64050">
        <w:rPr>
          <w:szCs w:val="20"/>
        </w:rPr>
        <w:t xml:space="preserve"> </w:t>
      </w:r>
      <w:r w:rsidRPr="00E74C28">
        <w:rPr>
          <w:szCs w:val="20"/>
        </w:rPr>
        <w:t>law</w:t>
      </w:r>
      <w:r w:rsidR="00C64050">
        <w:rPr>
          <w:szCs w:val="20"/>
        </w:rPr>
        <w:t xml:space="preserve"> </w:t>
      </w:r>
      <w:r w:rsidRPr="00E74C28">
        <w:rPr>
          <w:szCs w:val="20"/>
        </w:rPr>
        <w:t>and</w:t>
      </w:r>
      <w:r w:rsidR="00C64050">
        <w:rPr>
          <w:szCs w:val="20"/>
        </w:rPr>
        <w:t xml:space="preserve"> </w:t>
      </w:r>
      <w:r w:rsidRPr="00E74C28">
        <w:rPr>
          <w:szCs w:val="20"/>
        </w:rPr>
        <w:t>equity</w:t>
      </w:r>
      <w:r w:rsidR="00C64050">
        <w:rPr>
          <w:szCs w:val="20"/>
        </w:rPr>
        <w:t xml:space="preserve"> </w:t>
      </w:r>
      <w:r w:rsidRPr="00E74C28">
        <w:rPr>
          <w:szCs w:val="20"/>
        </w:rPr>
        <w:t>jurisprudence.</w:t>
      </w:r>
      <w:r w:rsidR="00C64050">
        <w:rPr>
          <w:szCs w:val="20"/>
        </w:rPr>
        <w:t xml:space="preserve"> </w:t>
      </w:r>
      <w:r w:rsidRPr="00E74C28">
        <w:rPr>
          <w:szCs w:val="20"/>
        </w:rPr>
        <w:t>The</w:t>
      </w:r>
      <w:r w:rsidR="00C64050">
        <w:rPr>
          <w:szCs w:val="20"/>
        </w:rPr>
        <w:t xml:space="preserve"> </w:t>
      </w:r>
      <w:r w:rsidRPr="00E74C28">
        <w:rPr>
          <w:szCs w:val="20"/>
        </w:rPr>
        <w:t>rationale</w:t>
      </w:r>
      <w:r w:rsidR="00C64050">
        <w:rPr>
          <w:szCs w:val="20"/>
        </w:rPr>
        <w:t xml:space="preserve"> </w:t>
      </w:r>
      <w:r w:rsidRPr="00E74C28">
        <w:rPr>
          <w:szCs w:val="20"/>
        </w:rPr>
        <w:t>behind</w:t>
      </w:r>
      <w:r w:rsidR="00C64050">
        <w:rPr>
          <w:szCs w:val="20"/>
        </w:rPr>
        <w:t xml:space="preserve"> </w:t>
      </w:r>
      <w:r w:rsidRPr="00E74C28">
        <w:rPr>
          <w:szCs w:val="20"/>
        </w:rPr>
        <w:t>Count</w:t>
      </w:r>
      <w:r w:rsidR="00C64050">
        <w:rPr>
          <w:szCs w:val="20"/>
        </w:rPr>
        <w:t xml:space="preserve"> </w:t>
      </w:r>
      <w:r w:rsidRPr="00E74C28">
        <w:rPr>
          <w:szCs w:val="20"/>
        </w:rPr>
        <w:t>II,</w:t>
      </w:r>
      <w:r w:rsidR="00C64050">
        <w:rPr>
          <w:szCs w:val="20"/>
        </w:rPr>
        <w:t xml:space="preserve"> </w:t>
      </w:r>
      <w:r w:rsidRPr="00E74C28">
        <w:rPr>
          <w:szCs w:val="20"/>
        </w:rPr>
        <w:t>as</w:t>
      </w:r>
      <w:r w:rsidR="00C64050">
        <w:rPr>
          <w:szCs w:val="20"/>
        </w:rPr>
        <w:t xml:space="preserve"> </w:t>
      </w:r>
      <w:r w:rsidRPr="00E74C28">
        <w:rPr>
          <w:szCs w:val="20"/>
        </w:rPr>
        <w:t>Chip</w:t>
      </w:r>
      <w:r w:rsidR="00C64050">
        <w:rPr>
          <w:szCs w:val="20"/>
        </w:rPr>
        <w:t xml:space="preserve"> </w:t>
      </w:r>
      <w:r w:rsidRPr="00E74C28">
        <w:rPr>
          <w:szCs w:val="20"/>
        </w:rPr>
        <w:t>explained</w:t>
      </w:r>
      <w:r w:rsidR="00C64050">
        <w:rPr>
          <w:szCs w:val="20"/>
        </w:rPr>
        <w:t xml:space="preserve"> </w:t>
      </w:r>
      <w:r w:rsidRPr="00E74C28">
        <w:rPr>
          <w:szCs w:val="20"/>
        </w:rPr>
        <w:t>to</w:t>
      </w:r>
      <w:r w:rsidR="00C64050">
        <w:rPr>
          <w:szCs w:val="20"/>
        </w:rPr>
        <w:t xml:space="preserve"> </w:t>
      </w:r>
      <w:r w:rsidRPr="00E74C28">
        <w:rPr>
          <w:szCs w:val="20"/>
        </w:rPr>
        <w:t>the</w:t>
      </w:r>
      <w:r w:rsidR="00C64050">
        <w:rPr>
          <w:szCs w:val="20"/>
        </w:rPr>
        <w:t xml:space="preserve"> </w:t>
      </w:r>
      <w:r w:rsidRPr="00E74C28">
        <w:rPr>
          <w:szCs w:val="20"/>
        </w:rPr>
        <w:t>circuit</w:t>
      </w:r>
      <w:r w:rsidR="00C64050">
        <w:rPr>
          <w:szCs w:val="20"/>
        </w:rPr>
        <w:t xml:space="preserve"> </w:t>
      </w:r>
      <w:r w:rsidRPr="00E74C28">
        <w:rPr>
          <w:szCs w:val="20"/>
        </w:rPr>
        <w:t>court</w:t>
      </w:r>
      <w:r w:rsidR="00C64050">
        <w:rPr>
          <w:szCs w:val="20"/>
        </w:rPr>
        <w:t xml:space="preserve"> </w:t>
      </w:r>
      <w:r w:rsidRPr="00E74C28">
        <w:rPr>
          <w:szCs w:val="20"/>
        </w:rPr>
        <w:t>in</w:t>
      </w:r>
      <w:r w:rsidR="00C64050">
        <w:rPr>
          <w:szCs w:val="20"/>
        </w:rPr>
        <w:t xml:space="preserve"> </w:t>
      </w:r>
      <w:r w:rsidRPr="00E74C28">
        <w:rPr>
          <w:szCs w:val="20"/>
        </w:rPr>
        <w:t>a</w:t>
      </w:r>
      <w:r w:rsidR="00C64050">
        <w:rPr>
          <w:szCs w:val="20"/>
        </w:rPr>
        <w:t xml:space="preserve"> </w:t>
      </w:r>
      <w:r w:rsidRPr="00E74C28">
        <w:rPr>
          <w:szCs w:val="20"/>
        </w:rPr>
        <w:t>subsequent</w:t>
      </w:r>
      <w:r w:rsidR="00C64050">
        <w:rPr>
          <w:szCs w:val="20"/>
        </w:rPr>
        <w:t xml:space="preserve"> </w:t>
      </w:r>
      <w:r w:rsidRPr="00E74C28">
        <w:rPr>
          <w:szCs w:val="20"/>
        </w:rPr>
        <w:t>brief,</w:t>
      </w:r>
      <w:r w:rsidR="00C64050">
        <w:rPr>
          <w:szCs w:val="20"/>
        </w:rPr>
        <w:t xml:space="preserve"> </w:t>
      </w:r>
      <w:r w:rsidRPr="00E74C28">
        <w:rPr>
          <w:szCs w:val="20"/>
        </w:rPr>
        <w:t>was</w:t>
      </w:r>
      <w:r w:rsidR="00C64050">
        <w:rPr>
          <w:szCs w:val="20"/>
        </w:rPr>
        <w:t xml:space="preserve"> </w:t>
      </w:r>
      <w:r w:rsidRPr="00E74C28">
        <w:rPr>
          <w:szCs w:val="20"/>
        </w:rPr>
        <w:t>that</w:t>
      </w:r>
      <w:r w:rsidR="00C64050">
        <w:rPr>
          <w:szCs w:val="20"/>
        </w:rPr>
        <w:t xml:space="preserve"> </w:t>
      </w:r>
      <w:r w:rsidRPr="00E74C28">
        <w:rPr>
          <w:szCs w:val="20"/>
        </w:rPr>
        <w:t>he</w:t>
      </w:r>
      <w:r w:rsidR="00C64050">
        <w:rPr>
          <w:szCs w:val="20"/>
        </w:rPr>
        <w:t xml:space="preserve"> </w:t>
      </w:r>
      <w:r w:rsidRPr="00E74C28">
        <w:rPr>
          <w:szCs w:val="20"/>
        </w:rPr>
        <w:t>interpreted</w:t>
      </w:r>
      <w:r w:rsidR="00C64050">
        <w:rPr>
          <w:szCs w:val="20"/>
        </w:rPr>
        <w:t xml:space="preserve"> </w:t>
      </w:r>
      <w:r w:rsidRPr="00E74C28">
        <w:rPr>
          <w:szCs w:val="20"/>
        </w:rPr>
        <w:t>the</w:t>
      </w:r>
      <w:r w:rsidR="00C64050">
        <w:rPr>
          <w:szCs w:val="20"/>
        </w:rPr>
        <w:t xml:space="preserve"> </w:t>
      </w:r>
      <w:r w:rsidRPr="00E74C28">
        <w:rPr>
          <w:szCs w:val="20"/>
        </w:rPr>
        <w:t>language</w:t>
      </w:r>
      <w:r w:rsidR="00C64050">
        <w:rPr>
          <w:szCs w:val="20"/>
        </w:rPr>
        <w:t xml:space="preserve"> </w:t>
      </w:r>
      <w:r w:rsidRPr="00E74C28">
        <w:rPr>
          <w:szCs w:val="20"/>
        </w:rPr>
        <w:t>of</w:t>
      </w:r>
      <w:r w:rsidR="00C64050">
        <w:rPr>
          <w:szCs w:val="20"/>
        </w:rPr>
        <w:t xml:space="preserve"> </w:t>
      </w:r>
      <w:r w:rsidRPr="00E74C28">
        <w:rPr>
          <w:szCs w:val="20"/>
        </w:rPr>
        <w:t>the</w:t>
      </w:r>
      <w:r w:rsidR="00C64050">
        <w:rPr>
          <w:szCs w:val="20"/>
        </w:rPr>
        <w:t xml:space="preserve"> </w:t>
      </w:r>
      <w:r w:rsidRPr="00E74C28">
        <w:rPr>
          <w:szCs w:val="20"/>
        </w:rPr>
        <w:t>inform-and-report</w:t>
      </w:r>
      <w:r w:rsidR="00C64050">
        <w:rPr>
          <w:szCs w:val="20"/>
        </w:rPr>
        <w:t xml:space="preserve"> </w:t>
      </w:r>
      <w:r w:rsidRPr="00E74C28">
        <w:rPr>
          <w:szCs w:val="20"/>
        </w:rPr>
        <w:t>waiver</w:t>
      </w:r>
      <w:r w:rsidR="00C64050">
        <w:rPr>
          <w:szCs w:val="20"/>
        </w:rPr>
        <w:t xml:space="preserve"> </w:t>
      </w:r>
      <w:r w:rsidRPr="00E74C28">
        <w:rPr>
          <w:szCs w:val="20"/>
        </w:rPr>
        <w:t>provision</w:t>
      </w:r>
      <w:r w:rsidR="00C64050">
        <w:rPr>
          <w:szCs w:val="20"/>
        </w:rPr>
        <w:t xml:space="preserve"> </w:t>
      </w:r>
      <w:r w:rsidRPr="00E74C28">
        <w:rPr>
          <w:szCs w:val="20"/>
        </w:rPr>
        <w:t>to</w:t>
      </w:r>
      <w:r w:rsidR="00C64050">
        <w:rPr>
          <w:szCs w:val="20"/>
        </w:rPr>
        <w:t xml:space="preserve"> </w:t>
      </w:r>
      <w:r w:rsidRPr="00E74C28">
        <w:rPr>
          <w:szCs w:val="20"/>
        </w:rPr>
        <w:t>only</w:t>
      </w:r>
      <w:r w:rsidR="00C64050">
        <w:rPr>
          <w:szCs w:val="20"/>
        </w:rPr>
        <w:t xml:space="preserve"> </w:t>
      </w:r>
      <w:r w:rsidRPr="00E74C28">
        <w:rPr>
          <w:szCs w:val="20"/>
        </w:rPr>
        <w:t>apply</w:t>
      </w:r>
      <w:r w:rsidR="00C64050">
        <w:rPr>
          <w:szCs w:val="20"/>
        </w:rPr>
        <w:t xml:space="preserve"> </w:t>
      </w:r>
      <w:r w:rsidRPr="00E74C28">
        <w:rPr>
          <w:szCs w:val="20"/>
        </w:rPr>
        <w:t>to</w:t>
      </w:r>
      <w:r w:rsidR="00C64050">
        <w:rPr>
          <w:szCs w:val="20"/>
        </w:rPr>
        <w:t xml:space="preserve"> </w:t>
      </w:r>
      <w:r w:rsidRPr="00E74C28">
        <w:rPr>
          <w:szCs w:val="20"/>
        </w:rPr>
        <w:t>the</w:t>
      </w:r>
      <w:r w:rsidR="00C64050">
        <w:rPr>
          <w:szCs w:val="20"/>
        </w:rPr>
        <w:t xml:space="preserve"> </w:t>
      </w:r>
      <w:r w:rsidRPr="00E74C28">
        <w:rPr>
          <w:szCs w:val="20"/>
        </w:rPr>
        <w:t>duty</w:t>
      </w:r>
      <w:r w:rsidR="00C64050">
        <w:rPr>
          <w:szCs w:val="20"/>
        </w:rPr>
        <w:t xml:space="preserve"> </w:t>
      </w:r>
      <w:r w:rsidRPr="00E74C28">
        <w:rPr>
          <w:szCs w:val="20"/>
        </w:rPr>
        <w:t>to</w:t>
      </w:r>
      <w:r w:rsidR="00C64050">
        <w:rPr>
          <w:szCs w:val="20"/>
        </w:rPr>
        <w:t xml:space="preserve"> </w:t>
      </w:r>
      <w:r w:rsidRPr="00E74C28">
        <w:rPr>
          <w:szCs w:val="20"/>
        </w:rPr>
        <w:t>inform</w:t>
      </w:r>
      <w:r w:rsidR="00C64050">
        <w:rPr>
          <w:szCs w:val="20"/>
        </w:rPr>
        <w:t xml:space="preserve"> </w:t>
      </w:r>
      <w:r w:rsidRPr="00E74C28">
        <w:rPr>
          <w:szCs w:val="20"/>
        </w:rPr>
        <w:t>and</w:t>
      </w:r>
      <w:r w:rsidR="00C64050">
        <w:rPr>
          <w:szCs w:val="20"/>
        </w:rPr>
        <w:t xml:space="preserve"> </w:t>
      </w:r>
      <w:r w:rsidRPr="00E74C28">
        <w:rPr>
          <w:szCs w:val="20"/>
        </w:rPr>
        <w:t>report</w:t>
      </w:r>
      <w:r w:rsidR="00C64050">
        <w:rPr>
          <w:szCs w:val="20"/>
        </w:rPr>
        <w:t xml:space="preserve"> </w:t>
      </w:r>
      <w:r w:rsidRPr="00E74C28">
        <w:rPr>
          <w:szCs w:val="20"/>
        </w:rPr>
        <w:t>under</w:t>
      </w:r>
      <w:r w:rsidR="00C64050">
        <w:rPr>
          <w:szCs w:val="20"/>
        </w:rPr>
        <w:t xml:space="preserve"> </w:t>
      </w:r>
      <w:r w:rsidRPr="00E74C28">
        <w:rPr>
          <w:szCs w:val="20"/>
        </w:rPr>
        <w:t>former</w:t>
      </w:r>
      <w:r w:rsidR="00C64050">
        <w:rPr>
          <w:szCs w:val="20"/>
        </w:rPr>
        <w:t xml:space="preserve"> </w:t>
      </w:r>
      <w:r w:rsidRPr="00E74C28">
        <w:rPr>
          <w:szCs w:val="20"/>
        </w:rPr>
        <w:t>Code</w:t>
      </w:r>
      <w:r w:rsidR="00C64050">
        <w:rPr>
          <w:szCs w:val="20"/>
        </w:rPr>
        <w:t xml:space="preserve"> </w:t>
      </w:r>
      <w:r w:rsidRPr="00E74C28">
        <w:rPr>
          <w:szCs w:val="20"/>
        </w:rPr>
        <w:t>§</w:t>
      </w:r>
      <w:r w:rsidR="00C64050">
        <w:rPr>
          <w:szCs w:val="20"/>
        </w:rPr>
        <w:t xml:space="preserve"> </w:t>
      </w:r>
      <w:r w:rsidRPr="00E74C28">
        <w:rPr>
          <w:szCs w:val="20"/>
        </w:rPr>
        <w:t>55-548.13</w:t>
      </w:r>
      <w:r w:rsidR="00C64050">
        <w:rPr>
          <w:szCs w:val="20"/>
        </w:rPr>
        <w:t xml:space="preserve"> </w:t>
      </w:r>
      <w:r w:rsidRPr="00E74C28">
        <w:rPr>
          <w:szCs w:val="20"/>
        </w:rPr>
        <w:t>and</w:t>
      </w:r>
      <w:r w:rsidR="00C64050">
        <w:rPr>
          <w:szCs w:val="20"/>
        </w:rPr>
        <w:t xml:space="preserve"> </w:t>
      </w:r>
      <w:r w:rsidRPr="00E74C28">
        <w:rPr>
          <w:szCs w:val="20"/>
        </w:rPr>
        <w:t>to</w:t>
      </w:r>
      <w:r w:rsidR="00C64050">
        <w:rPr>
          <w:szCs w:val="20"/>
        </w:rPr>
        <w:t xml:space="preserve"> </w:t>
      </w:r>
      <w:r w:rsidRPr="00E74C28">
        <w:rPr>
          <w:szCs w:val="20"/>
        </w:rPr>
        <w:t>have</w:t>
      </w:r>
      <w:r w:rsidR="00C64050">
        <w:rPr>
          <w:szCs w:val="20"/>
        </w:rPr>
        <w:t xml:space="preserve"> </w:t>
      </w:r>
      <w:r w:rsidRPr="00E74C28">
        <w:rPr>
          <w:szCs w:val="20"/>
        </w:rPr>
        <w:t>no</w:t>
      </w:r>
      <w:r w:rsidR="00C64050">
        <w:rPr>
          <w:szCs w:val="20"/>
        </w:rPr>
        <w:t xml:space="preserve"> </w:t>
      </w:r>
      <w:r w:rsidRPr="00E74C28">
        <w:rPr>
          <w:szCs w:val="20"/>
        </w:rPr>
        <w:t>effect</w:t>
      </w:r>
      <w:r w:rsidR="00C64050">
        <w:rPr>
          <w:szCs w:val="20"/>
        </w:rPr>
        <w:t xml:space="preserve"> </w:t>
      </w:r>
      <w:r w:rsidRPr="00E74C28">
        <w:rPr>
          <w:szCs w:val="20"/>
        </w:rPr>
        <w:t>on</w:t>
      </w:r>
      <w:r w:rsidR="00C64050">
        <w:rPr>
          <w:szCs w:val="20"/>
        </w:rPr>
        <w:t xml:space="preserve"> </w:t>
      </w:r>
      <w:r w:rsidRPr="00E74C28">
        <w:rPr>
          <w:szCs w:val="20"/>
        </w:rPr>
        <w:t>what</w:t>
      </w:r>
      <w:r w:rsidR="00C64050">
        <w:rPr>
          <w:szCs w:val="20"/>
        </w:rPr>
        <w:t xml:space="preserve"> </w:t>
      </w:r>
      <w:r w:rsidRPr="00E74C28">
        <w:rPr>
          <w:szCs w:val="20"/>
        </w:rPr>
        <w:t>he</w:t>
      </w:r>
      <w:r w:rsidR="00C64050">
        <w:rPr>
          <w:szCs w:val="20"/>
        </w:rPr>
        <w:t xml:space="preserve"> </w:t>
      </w:r>
      <w:r w:rsidRPr="00E74C28">
        <w:rPr>
          <w:szCs w:val="20"/>
        </w:rPr>
        <w:t>interpreted</w:t>
      </w:r>
      <w:r w:rsidR="00C64050">
        <w:rPr>
          <w:szCs w:val="20"/>
        </w:rPr>
        <w:t xml:space="preserve"> </w:t>
      </w:r>
      <w:r w:rsidRPr="00E74C28">
        <w:rPr>
          <w:szCs w:val="20"/>
        </w:rPr>
        <w:t>as</w:t>
      </w:r>
      <w:r w:rsidR="00C64050">
        <w:rPr>
          <w:szCs w:val="20"/>
        </w:rPr>
        <w:t xml:space="preserve"> </w:t>
      </w:r>
      <w:r w:rsidRPr="00E74C28">
        <w:rPr>
          <w:szCs w:val="20"/>
        </w:rPr>
        <w:t>freestanding</w:t>
      </w:r>
      <w:r w:rsidR="00C64050">
        <w:rPr>
          <w:szCs w:val="20"/>
        </w:rPr>
        <w:t xml:space="preserve"> </w:t>
      </w:r>
      <w:r w:rsidRPr="00E74C28">
        <w:rPr>
          <w:szCs w:val="20"/>
        </w:rPr>
        <w:t>inform-and-report</w:t>
      </w:r>
      <w:r w:rsidR="00C64050">
        <w:rPr>
          <w:szCs w:val="20"/>
        </w:rPr>
        <w:t xml:space="preserve"> </w:t>
      </w:r>
      <w:r w:rsidRPr="00E74C28">
        <w:rPr>
          <w:szCs w:val="20"/>
        </w:rPr>
        <w:t>duties</w:t>
      </w:r>
      <w:r w:rsidR="00C64050">
        <w:rPr>
          <w:szCs w:val="20"/>
        </w:rPr>
        <w:t xml:space="preserve"> </w:t>
      </w:r>
      <w:r w:rsidRPr="00E74C28">
        <w:rPr>
          <w:szCs w:val="20"/>
        </w:rPr>
        <w:t>arising</w:t>
      </w:r>
      <w:r w:rsidR="00C64050">
        <w:rPr>
          <w:szCs w:val="20"/>
        </w:rPr>
        <w:t xml:space="preserve"> </w:t>
      </w:r>
      <w:r w:rsidRPr="00E74C28">
        <w:rPr>
          <w:szCs w:val="20"/>
        </w:rPr>
        <w:t>under</w:t>
      </w:r>
      <w:r w:rsidR="00C64050">
        <w:rPr>
          <w:szCs w:val="20"/>
        </w:rPr>
        <w:t xml:space="preserve"> </w:t>
      </w:r>
      <w:r w:rsidRPr="00E74C28">
        <w:rPr>
          <w:szCs w:val="20"/>
        </w:rPr>
        <w:t>other</w:t>
      </w:r>
      <w:r w:rsidR="00C64050">
        <w:rPr>
          <w:szCs w:val="20"/>
        </w:rPr>
        <w:t xml:space="preserve"> </w:t>
      </w:r>
      <w:r w:rsidRPr="00E74C28">
        <w:rPr>
          <w:szCs w:val="20"/>
        </w:rPr>
        <w:t>sources</w:t>
      </w:r>
      <w:r w:rsidR="00C64050">
        <w:rPr>
          <w:szCs w:val="20"/>
        </w:rPr>
        <w:t xml:space="preserve"> </w:t>
      </w:r>
      <w:r w:rsidRPr="00E74C28">
        <w:rPr>
          <w:szCs w:val="20"/>
        </w:rPr>
        <w:t>of</w:t>
      </w:r>
      <w:r w:rsidR="00C64050">
        <w:rPr>
          <w:szCs w:val="20"/>
        </w:rPr>
        <w:t xml:space="preserve"> </w:t>
      </w:r>
      <w:r w:rsidRPr="00E74C28">
        <w:rPr>
          <w:szCs w:val="20"/>
        </w:rPr>
        <w:t>law.</w:t>
      </w:r>
      <w:r w:rsidR="00C64050">
        <w:rPr>
          <w:szCs w:val="20"/>
        </w:rPr>
        <w:t xml:space="preserve"> </w:t>
      </w:r>
      <w:r w:rsidRPr="00E74C28">
        <w:rPr>
          <w:rStyle w:val="Emphasis"/>
          <w:szCs w:val="20"/>
        </w:rPr>
        <w:t>See</w:t>
      </w:r>
      <w:r w:rsidR="00C64050">
        <w:rPr>
          <w:szCs w:val="20"/>
        </w:rPr>
        <w:t xml:space="preserve"> </w:t>
      </w:r>
      <w:r w:rsidRPr="00E74C28">
        <w:rPr>
          <w:szCs w:val="20"/>
        </w:rPr>
        <w:t>R.</w:t>
      </w:r>
      <w:r w:rsidR="00C64050">
        <w:rPr>
          <w:szCs w:val="20"/>
        </w:rPr>
        <w:t xml:space="preserve"> </w:t>
      </w:r>
      <w:r w:rsidRPr="00E74C28">
        <w:rPr>
          <w:szCs w:val="20"/>
        </w:rPr>
        <w:t>at</w:t>
      </w:r>
      <w:r w:rsidR="00C64050">
        <w:rPr>
          <w:szCs w:val="20"/>
        </w:rPr>
        <w:t xml:space="preserve"> </w:t>
      </w:r>
      <w:r w:rsidRPr="00E74C28">
        <w:rPr>
          <w:szCs w:val="20"/>
        </w:rPr>
        <w:t>177-85.</w:t>
      </w:r>
      <w:r w:rsidR="00C64050">
        <w:rPr>
          <w:szCs w:val="20"/>
        </w:rPr>
        <w:t xml:space="preserve"> </w:t>
      </w:r>
      <w:r w:rsidRPr="00E74C28">
        <w:rPr>
          <w:szCs w:val="20"/>
        </w:rPr>
        <w:t>Based</w:t>
      </w:r>
      <w:r w:rsidR="00C64050">
        <w:rPr>
          <w:szCs w:val="20"/>
        </w:rPr>
        <w:t xml:space="preserve"> </w:t>
      </w:r>
      <w:r w:rsidRPr="00E74C28">
        <w:rPr>
          <w:szCs w:val="20"/>
        </w:rPr>
        <w:t>upon</w:t>
      </w:r>
      <w:r w:rsidR="00C64050">
        <w:rPr>
          <w:szCs w:val="20"/>
        </w:rPr>
        <w:t xml:space="preserve"> </w:t>
      </w:r>
      <w:r w:rsidRPr="00E74C28">
        <w:rPr>
          <w:szCs w:val="20"/>
        </w:rPr>
        <w:t>prior</w:t>
      </w:r>
      <w:r w:rsidR="00C64050">
        <w:rPr>
          <w:szCs w:val="20"/>
        </w:rPr>
        <w:t xml:space="preserve"> </w:t>
      </w:r>
      <w:r w:rsidRPr="00E74C28">
        <w:rPr>
          <w:szCs w:val="20"/>
        </w:rPr>
        <w:t>communications</w:t>
      </w:r>
      <w:r w:rsidR="00C64050">
        <w:rPr>
          <w:szCs w:val="20"/>
        </w:rPr>
        <w:t xml:space="preserve"> </w:t>
      </w:r>
      <w:r w:rsidRPr="00E74C28">
        <w:rPr>
          <w:szCs w:val="20"/>
        </w:rPr>
        <w:t>with</w:t>
      </w:r>
      <w:r w:rsidR="00C64050">
        <w:rPr>
          <w:szCs w:val="20"/>
        </w:rPr>
        <w:t xml:space="preserve"> </w:t>
      </w:r>
      <w:r w:rsidRPr="00E74C28">
        <w:rPr>
          <w:szCs w:val="20"/>
        </w:rPr>
        <w:t>Eleanor’s</w:t>
      </w:r>
      <w:r w:rsidR="00C64050">
        <w:rPr>
          <w:szCs w:val="20"/>
        </w:rPr>
        <w:t xml:space="preserve"> </w:t>
      </w:r>
      <w:r w:rsidRPr="00E74C28">
        <w:rPr>
          <w:szCs w:val="20"/>
        </w:rPr>
        <w:t>counsel,</w:t>
      </w:r>
      <w:r w:rsidR="00C64050">
        <w:rPr>
          <w:szCs w:val="20"/>
        </w:rPr>
        <w:t xml:space="preserve"> </w:t>
      </w:r>
      <w:r w:rsidRPr="00E74C28">
        <w:rPr>
          <w:szCs w:val="20"/>
        </w:rPr>
        <w:t>Chip</w:t>
      </w:r>
      <w:r w:rsidR="00C64050">
        <w:rPr>
          <w:szCs w:val="20"/>
        </w:rPr>
        <w:t xml:space="preserve"> </w:t>
      </w:r>
      <w:r w:rsidRPr="00E74C28">
        <w:rPr>
          <w:szCs w:val="20"/>
        </w:rPr>
        <w:t>understood</w:t>
      </w:r>
      <w:r w:rsidR="00C64050">
        <w:rPr>
          <w:szCs w:val="20"/>
        </w:rPr>
        <w:t xml:space="preserve"> </w:t>
      </w:r>
      <w:r w:rsidRPr="00E74C28">
        <w:rPr>
          <w:szCs w:val="20"/>
        </w:rPr>
        <w:t>Eleanor’s</w:t>
      </w:r>
      <w:r w:rsidR="00C64050">
        <w:rPr>
          <w:szCs w:val="20"/>
        </w:rPr>
        <w:t xml:space="preserve"> </w:t>
      </w:r>
      <w:r w:rsidRPr="00E74C28">
        <w:rPr>
          <w:szCs w:val="20"/>
        </w:rPr>
        <w:t>position</w:t>
      </w:r>
      <w:r w:rsidR="00C64050">
        <w:rPr>
          <w:szCs w:val="20"/>
        </w:rPr>
        <w:t xml:space="preserve"> </w:t>
      </w:r>
      <w:r w:rsidRPr="00E74C28">
        <w:rPr>
          <w:szCs w:val="20"/>
        </w:rPr>
        <w:t>to</w:t>
      </w:r>
      <w:r w:rsidR="00C64050">
        <w:rPr>
          <w:szCs w:val="20"/>
        </w:rPr>
        <w:t xml:space="preserve"> </w:t>
      </w:r>
      <w:r w:rsidRPr="00E74C28">
        <w:rPr>
          <w:szCs w:val="20"/>
        </w:rPr>
        <w:t>be</w:t>
      </w:r>
      <w:r w:rsidR="00C64050">
        <w:rPr>
          <w:szCs w:val="20"/>
        </w:rPr>
        <w:t xml:space="preserve"> </w:t>
      </w:r>
      <w:r w:rsidRPr="00E74C28">
        <w:rPr>
          <w:szCs w:val="20"/>
        </w:rPr>
        <w:t>that</w:t>
      </w:r>
      <w:r w:rsidR="00C64050">
        <w:rPr>
          <w:szCs w:val="20"/>
        </w:rPr>
        <w:t xml:space="preserve"> </w:t>
      </w:r>
      <w:r w:rsidRPr="00E74C28">
        <w:rPr>
          <w:szCs w:val="20"/>
        </w:rPr>
        <w:t>the</w:t>
      </w:r>
      <w:r w:rsidR="00C64050">
        <w:rPr>
          <w:szCs w:val="20"/>
        </w:rPr>
        <w:t xml:space="preserve"> </w:t>
      </w:r>
      <w:r w:rsidRPr="00E74C28">
        <w:rPr>
          <w:szCs w:val="20"/>
        </w:rPr>
        <w:t>waiver</w:t>
      </w:r>
      <w:r w:rsidR="00C64050">
        <w:rPr>
          <w:szCs w:val="20"/>
        </w:rPr>
        <w:t xml:space="preserve"> </w:t>
      </w:r>
      <w:r w:rsidRPr="00E74C28">
        <w:rPr>
          <w:szCs w:val="20"/>
        </w:rPr>
        <w:t>provision</w:t>
      </w:r>
      <w:r w:rsidR="00C64050">
        <w:rPr>
          <w:szCs w:val="20"/>
        </w:rPr>
        <w:t xml:space="preserve"> </w:t>
      </w:r>
      <w:r w:rsidRPr="00E74C28">
        <w:rPr>
          <w:szCs w:val="20"/>
        </w:rPr>
        <w:t>relieved</w:t>
      </w:r>
      <w:r w:rsidR="00C64050">
        <w:rPr>
          <w:szCs w:val="20"/>
        </w:rPr>
        <w:t xml:space="preserve"> </w:t>
      </w:r>
      <w:r w:rsidRPr="00E74C28">
        <w:rPr>
          <w:szCs w:val="20"/>
        </w:rPr>
        <w:t>her</w:t>
      </w:r>
      <w:r w:rsidR="00C64050">
        <w:rPr>
          <w:szCs w:val="20"/>
        </w:rPr>
        <w:t xml:space="preserve"> </w:t>
      </w:r>
      <w:r w:rsidRPr="00E74C28">
        <w:rPr>
          <w:szCs w:val="20"/>
        </w:rPr>
        <w:t>of</w:t>
      </w:r>
      <w:r w:rsidR="00C64050">
        <w:rPr>
          <w:szCs w:val="20"/>
        </w:rPr>
        <w:t xml:space="preserve"> </w:t>
      </w:r>
      <w:r w:rsidRPr="00E74C28">
        <w:rPr>
          <w:szCs w:val="20"/>
        </w:rPr>
        <w:t>any</w:t>
      </w:r>
      <w:r w:rsidR="00C64050">
        <w:rPr>
          <w:szCs w:val="20"/>
        </w:rPr>
        <w:t xml:space="preserve"> </w:t>
      </w:r>
      <w:r w:rsidRPr="00E74C28">
        <w:rPr>
          <w:szCs w:val="20"/>
        </w:rPr>
        <w:t>and</w:t>
      </w:r>
      <w:r w:rsidR="00C64050">
        <w:rPr>
          <w:szCs w:val="20"/>
        </w:rPr>
        <w:t xml:space="preserve"> </w:t>
      </w:r>
      <w:r w:rsidRPr="00E74C28">
        <w:rPr>
          <w:szCs w:val="20"/>
        </w:rPr>
        <w:t>all</w:t>
      </w:r>
      <w:r w:rsidR="00C64050">
        <w:rPr>
          <w:szCs w:val="20"/>
        </w:rPr>
        <w:t xml:space="preserve"> </w:t>
      </w:r>
      <w:r w:rsidRPr="00E74C28">
        <w:rPr>
          <w:szCs w:val="20"/>
        </w:rPr>
        <w:t>inform-and-report</w:t>
      </w:r>
      <w:r w:rsidR="00C64050">
        <w:rPr>
          <w:szCs w:val="20"/>
        </w:rPr>
        <w:t xml:space="preserve"> </w:t>
      </w:r>
      <w:r w:rsidRPr="00E74C28">
        <w:rPr>
          <w:szCs w:val="20"/>
        </w:rPr>
        <w:t>duties.</w:t>
      </w:r>
    </w:p>
    <w:p w:rsidR="00E74C28" w:rsidRPr="00E74C28" w:rsidRDefault="00E74C28" w:rsidP="00E74C28">
      <w:pPr>
        <w:pStyle w:val="QS10"/>
        <w:rPr>
          <w:szCs w:val="20"/>
        </w:rPr>
      </w:pPr>
      <w:r w:rsidRPr="00E74C28">
        <w:rPr>
          <w:szCs w:val="20"/>
        </w:rPr>
        <w:t>The</w:t>
      </w:r>
      <w:r w:rsidR="00C64050">
        <w:rPr>
          <w:szCs w:val="20"/>
        </w:rPr>
        <w:t xml:space="preserve"> </w:t>
      </w:r>
      <w:r w:rsidRPr="00E74C28">
        <w:rPr>
          <w:szCs w:val="20"/>
        </w:rPr>
        <w:t>complaint</w:t>
      </w:r>
      <w:r w:rsidR="00C64050">
        <w:rPr>
          <w:szCs w:val="20"/>
        </w:rPr>
        <w:t xml:space="preserve"> </w:t>
      </w:r>
      <w:r w:rsidRPr="00E74C28">
        <w:rPr>
          <w:szCs w:val="20"/>
        </w:rPr>
        <w:t>expressly</w:t>
      </w:r>
      <w:r w:rsidR="00C64050">
        <w:rPr>
          <w:szCs w:val="20"/>
        </w:rPr>
        <w:t xml:space="preserve"> </w:t>
      </w:r>
      <w:r w:rsidRPr="00E74C28">
        <w:rPr>
          <w:szCs w:val="20"/>
        </w:rPr>
        <w:t>sought</w:t>
      </w:r>
      <w:r w:rsidR="00C64050">
        <w:rPr>
          <w:szCs w:val="20"/>
        </w:rPr>
        <w:t xml:space="preserve"> </w:t>
      </w:r>
      <w:r w:rsidRPr="00E74C28">
        <w:rPr>
          <w:szCs w:val="20"/>
        </w:rPr>
        <w:t>to</w:t>
      </w:r>
      <w:r w:rsidR="00C64050">
        <w:rPr>
          <w:szCs w:val="20"/>
        </w:rPr>
        <w:t xml:space="preserve"> </w:t>
      </w:r>
      <w:r w:rsidRPr="00E74C28">
        <w:rPr>
          <w:szCs w:val="20"/>
        </w:rPr>
        <w:t>create</w:t>
      </w:r>
      <w:r w:rsidR="00C64050">
        <w:rPr>
          <w:szCs w:val="20"/>
        </w:rPr>
        <w:t xml:space="preserve"> </w:t>
      </w:r>
      <w:r w:rsidRPr="00E74C28">
        <w:rPr>
          <w:szCs w:val="20"/>
        </w:rPr>
        <w:t>a</w:t>
      </w:r>
      <w:r w:rsidR="00C64050">
        <w:rPr>
          <w:szCs w:val="20"/>
        </w:rPr>
        <w:t xml:space="preserve"> </w:t>
      </w:r>
      <w:r w:rsidRPr="00E74C28">
        <w:rPr>
          <w:szCs w:val="20"/>
        </w:rPr>
        <w:t>firewall</w:t>
      </w:r>
      <w:r w:rsidR="00C64050">
        <w:rPr>
          <w:szCs w:val="20"/>
        </w:rPr>
        <w:t xml:space="preserve"> </w:t>
      </w:r>
      <w:r w:rsidRPr="00E74C28">
        <w:rPr>
          <w:szCs w:val="20"/>
        </w:rPr>
        <w:t>protecting</w:t>
      </w:r>
      <w:r w:rsidR="00C64050">
        <w:rPr>
          <w:szCs w:val="20"/>
        </w:rPr>
        <w:t xml:space="preserve"> </w:t>
      </w:r>
      <w:r w:rsidRPr="00E74C28">
        <w:rPr>
          <w:szCs w:val="20"/>
        </w:rPr>
        <w:t>Count</w:t>
      </w:r>
      <w:r w:rsidR="00C64050">
        <w:rPr>
          <w:szCs w:val="20"/>
        </w:rPr>
        <w:t xml:space="preserve"> </w:t>
      </w:r>
      <w:r w:rsidRPr="00E74C28">
        <w:rPr>
          <w:szCs w:val="20"/>
        </w:rPr>
        <w:t>I</w:t>
      </w:r>
      <w:r w:rsidR="00C64050">
        <w:rPr>
          <w:szCs w:val="20"/>
        </w:rPr>
        <w:t xml:space="preserve"> </w:t>
      </w:r>
      <w:r w:rsidRPr="00E74C28">
        <w:rPr>
          <w:szCs w:val="20"/>
        </w:rPr>
        <w:t>from</w:t>
      </w:r>
      <w:r w:rsidR="00C64050">
        <w:rPr>
          <w:szCs w:val="20"/>
        </w:rPr>
        <w:t xml:space="preserve"> </w:t>
      </w:r>
      <w:r w:rsidRPr="00E74C28">
        <w:rPr>
          <w:szCs w:val="20"/>
        </w:rPr>
        <w:t>any</w:t>
      </w:r>
      <w:r w:rsidR="00C64050">
        <w:rPr>
          <w:szCs w:val="20"/>
        </w:rPr>
        <w:t xml:space="preserve"> </w:t>
      </w:r>
      <w:r w:rsidRPr="00E74C28">
        <w:rPr>
          <w:szCs w:val="20"/>
        </w:rPr>
        <w:t>uninvited,</w:t>
      </w:r>
      <w:r w:rsidR="00C64050">
        <w:rPr>
          <w:szCs w:val="20"/>
        </w:rPr>
        <w:t xml:space="preserve"> </w:t>
      </w:r>
      <w:r w:rsidRPr="00E74C28">
        <w:rPr>
          <w:szCs w:val="20"/>
        </w:rPr>
        <w:t>premature</w:t>
      </w:r>
      <w:r w:rsidR="00C64050">
        <w:rPr>
          <w:szCs w:val="20"/>
        </w:rPr>
        <w:t xml:space="preserve"> </w:t>
      </w:r>
      <w:r w:rsidRPr="00E74C28">
        <w:rPr>
          <w:szCs w:val="20"/>
        </w:rPr>
        <w:t>consideration</w:t>
      </w:r>
      <w:r w:rsidR="00C64050">
        <w:rPr>
          <w:szCs w:val="20"/>
        </w:rPr>
        <w:t xml:space="preserve"> </w:t>
      </w:r>
      <w:r w:rsidRPr="00E74C28">
        <w:rPr>
          <w:szCs w:val="20"/>
        </w:rPr>
        <w:t>of</w:t>
      </w:r>
      <w:r w:rsidR="00C64050">
        <w:rPr>
          <w:szCs w:val="20"/>
        </w:rPr>
        <w:t xml:space="preserve"> </w:t>
      </w:r>
      <w:r w:rsidRPr="00E74C28">
        <w:rPr>
          <w:szCs w:val="20"/>
        </w:rPr>
        <w:t>Count</w:t>
      </w:r>
      <w:r w:rsidR="00C64050">
        <w:rPr>
          <w:szCs w:val="20"/>
        </w:rPr>
        <w:t xml:space="preserve"> </w:t>
      </w:r>
      <w:r w:rsidRPr="00E74C28">
        <w:rPr>
          <w:szCs w:val="20"/>
        </w:rPr>
        <w:t>II.</w:t>
      </w:r>
      <w:r w:rsidR="00C64050">
        <w:rPr>
          <w:szCs w:val="20"/>
        </w:rPr>
        <w:t xml:space="preserve"> </w:t>
      </w:r>
      <w:r w:rsidRPr="00E74C28">
        <w:rPr>
          <w:szCs w:val="20"/>
        </w:rPr>
        <w:t>Prior</w:t>
      </w:r>
      <w:r w:rsidR="00C64050">
        <w:rPr>
          <w:szCs w:val="20"/>
        </w:rPr>
        <w:t xml:space="preserve"> </w:t>
      </w:r>
      <w:r w:rsidRPr="00E74C28">
        <w:rPr>
          <w:szCs w:val="20"/>
        </w:rPr>
        <w:t>to</w:t>
      </w:r>
      <w:r w:rsidR="00C64050">
        <w:rPr>
          <w:szCs w:val="20"/>
        </w:rPr>
        <w:t xml:space="preserve"> </w:t>
      </w:r>
      <w:r w:rsidRPr="00E74C28">
        <w:rPr>
          <w:szCs w:val="20"/>
        </w:rPr>
        <w:t>the</w:t>
      </w:r>
      <w:r w:rsidR="00C64050">
        <w:rPr>
          <w:szCs w:val="20"/>
        </w:rPr>
        <w:t xml:space="preserve"> </w:t>
      </w:r>
      <w:r w:rsidRPr="00E74C28">
        <w:rPr>
          <w:szCs w:val="20"/>
        </w:rPr>
        <w:t>complaint’s</w:t>
      </w:r>
      <w:r w:rsidR="00C64050">
        <w:rPr>
          <w:szCs w:val="20"/>
        </w:rPr>
        <w:t xml:space="preserve"> </w:t>
      </w:r>
      <w:r w:rsidRPr="00E74C28">
        <w:rPr>
          <w:szCs w:val="20"/>
        </w:rPr>
        <w:t>allusion</w:t>
      </w:r>
      <w:r w:rsidR="00C64050">
        <w:rPr>
          <w:szCs w:val="20"/>
        </w:rPr>
        <w:t xml:space="preserve"> </w:t>
      </w:r>
      <w:r w:rsidRPr="00E74C28">
        <w:rPr>
          <w:szCs w:val="20"/>
        </w:rPr>
        <w:t>to</w:t>
      </w:r>
      <w:r w:rsidR="00C64050">
        <w:rPr>
          <w:szCs w:val="20"/>
        </w:rPr>
        <w:t xml:space="preserve"> </w:t>
      </w:r>
      <w:r w:rsidRPr="00E74C28">
        <w:rPr>
          <w:szCs w:val="20"/>
        </w:rPr>
        <w:t>the</w:t>
      </w:r>
      <w:r w:rsidR="00C64050">
        <w:rPr>
          <w:szCs w:val="20"/>
        </w:rPr>
        <w:t xml:space="preserve"> </w:t>
      </w:r>
      <w:r w:rsidRPr="00E74C28">
        <w:rPr>
          <w:szCs w:val="20"/>
        </w:rPr>
        <w:t>competing</w:t>
      </w:r>
      <w:r w:rsidR="00C64050">
        <w:rPr>
          <w:szCs w:val="20"/>
        </w:rPr>
        <w:t xml:space="preserve"> </w:t>
      </w:r>
      <w:r w:rsidRPr="00E74C28">
        <w:rPr>
          <w:szCs w:val="20"/>
        </w:rPr>
        <w:t>interpretations</w:t>
      </w:r>
      <w:r w:rsidR="00C64050">
        <w:rPr>
          <w:szCs w:val="20"/>
        </w:rPr>
        <w:t xml:space="preserve"> </w:t>
      </w:r>
      <w:r w:rsidRPr="00E74C28">
        <w:rPr>
          <w:szCs w:val="20"/>
        </w:rPr>
        <w:t>of</w:t>
      </w:r>
      <w:r w:rsidR="00C64050">
        <w:rPr>
          <w:szCs w:val="20"/>
        </w:rPr>
        <w:t xml:space="preserve"> </w:t>
      </w:r>
      <w:r w:rsidRPr="00E74C28">
        <w:rPr>
          <w:szCs w:val="20"/>
        </w:rPr>
        <w:t>the</w:t>
      </w:r>
      <w:r w:rsidR="00C64050">
        <w:rPr>
          <w:szCs w:val="20"/>
        </w:rPr>
        <w:t xml:space="preserve"> </w:t>
      </w:r>
      <w:r w:rsidRPr="00E74C28">
        <w:rPr>
          <w:szCs w:val="20"/>
        </w:rPr>
        <w:t>inform-and-report</w:t>
      </w:r>
      <w:r w:rsidR="00C64050">
        <w:rPr>
          <w:szCs w:val="20"/>
        </w:rPr>
        <w:t xml:space="preserve"> </w:t>
      </w:r>
      <w:r w:rsidRPr="00E74C28">
        <w:rPr>
          <w:szCs w:val="20"/>
        </w:rPr>
        <w:t>waiver</w:t>
      </w:r>
      <w:r w:rsidR="00C64050">
        <w:rPr>
          <w:szCs w:val="20"/>
        </w:rPr>
        <w:t xml:space="preserve"> </w:t>
      </w:r>
      <w:r w:rsidRPr="00E74C28">
        <w:rPr>
          <w:szCs w:val="20"/>
        </w:rPr>
        <w:t>provision,</w:t>
      </w:r>
      <w:r w:rsidR="00C64050">
        <w:rPr>
          <w:szCs w:val="20"/>
        </w:rPr>
        <w:t xml:space="preserve"> </w:t>
      </w:r>
      <w:r w:rsidRPr="00E74C28">
        <w:rPr>
          <w:szCs w:val="20"/>
        </w:rPr>
        <w:t>Count</w:t>
      </w:r>
      <w:r w:rsidR="00C64050">
        <w:rPr>
          <w:szCs w:val="20"/>
        </w:rPr>
        <w:t xml:space="preserve"> </w:t>
      </w:r>
      <w:r w:rsidRPr="00E74C28">
        <w:rPr>
          <w:szCs w:val="20"/>
        </w:rPr>
        <w:t>I</w:t>
      </w:r>
      <w:r w:rsidR="00C64050">
        <w:rPr>
          <w:szCs w:val="20"/>
        </w:rPr>
        <w:t xml:space="preserve"> </w:t>
      </w:r>
      <w:r w:rsidRPr="00E74C28">
        <w:rPr>
          <w:szCs w:val="20"/>
        </w:rPr>
        <w:t>requested</w:t>
      </w:r>
      <w:r w:rsidR="00C64050">
        <w:rPr>
          <w:szCs w:val="20"/>
        </w:rPr>
        <w:t xml:space="preserve"> </w:t>
      </w:r>
      <w:r w:rsidRPr="00E74C28">
        <w:rPr>
          <w:szCs w:val="20"/>
        </w:rPr>
        <w:t>that</w:t>
      </w:r>
      <w:r w:rsidR="00C64050">
        <w:rPr>
          <w:szCs w:val="20"/>
        </w:rPr>
        <w:t xml:space="preserve"> </w:t>
      </w:r>
      <w:r w:rsidRPr="00E74C28">
        <w:rPr>
          <w:szCs w:val="20"/>
        </w:rPr>
        <w:t>the</w:t>
      </w:r>
      <w:r w:rsidR="00C64050">
        <w:rPr>
          <w:szCs w:val="20"/>
        </w:rPr>
        <w:t xml:space="preserve"> </w:t>
      </w:r>
      <w:r w:rsidRPr="00E74C28">
        <w:rPr>
          <w:szCs w:val="20"/>
        </w:rPr>
        <w:t>circuit</w:t>
      </w:r>
      <w:r w:rsidR="00C64050">
        <w:rPr>
          <w:szCs w:val="20"/>
        </w:rPr>
        <w:t xml:space="preserve"> </w:t>
      </w:r>
      <w:r w:rsidRPr="00E74C28">
        <w:rPr>
          <w:szCs w:val="20"/>
        </w:rPr>
        <w:t>court</w:t>
      </w:r>
      <w:r w:rsidR="00C64050">
        <w:rPr>
          <w:szCs w:val="20"/>
        </w:rPr>
        <w:t xml:space="preserve"> </w:t>
      </w:r>
      <w:r w:rsidRPr="00E74C28">
        <w:rPr>
          <w:szCs w:val="20"/>
        </w:rPr>
        <w:t>“initially</w:t>
      </w:r>
      <w:r w:rsidR="00C64050">
        <w:rPr>
          <w:szCs w:val="20"/>
        </w:rPr>
        <w:t xml:space="preserve"> </w:t>
      </w:r>
      <w:r w:rsidRPr="00E74C28">
        <w:rPr>
          <w:szCs w:val="20"/>
        </w:rPr>
        <w:t>determine”</w:t>
      </w:r>
      <w:r w:rsidR="00C64050">
        <w:rPr>
          <w:szCs w:val="20"/>
        </w:rPr>
        <w:t xml:space="preserve"> </w:t>
      </w:r>
      <w:r w:rsidRPr="00E74C28">
        <w:rPr>
          <w:szCs w:val="20"/>
        </w:rPr>
        <w:t>whether</w:t>
      </w:r>
      <w:r w:rsidR="00C64050">
        <w:rPr>
          <w:szCs w:val="20"/>
        </w:rPr>
        <w:t xml:space="preserve"> </w:t>
      </w:r>
      <w:r w:rsidRPr="00E74C28">
        <w:rPr>
          <w:szCs w:val="20"/>
        </w:rPr>
        <w:t>determining</w:t>
      </w:r>
      <w:r w:rsidR="00C64050">
        <w:rPr>
          <w:szCs w:val="20"/>
        </w:rPr>
        <w:t xml:space="preserve"> </w:t>
      </w:r>
      <w:r w:rsidRPr="00E74C28">
        <w:rPr>
          <w:szCs w:val="20"/>
        </w:rPr>
        <w:t>Chip’s</w:t>
      </w:r>
      <w:r w:rsidR="00C64050">
        <w:rPr>
          <w:szCs w:val="20"/>
        </w:rPr>
        <w:t xml:space="preserve"> </w:t>
      </w:r>
      <w:r w:rsidRPr="00E74C28">
        <w:rPr>
          <w:szCs w:val="20"/>
        </w:rPr>
        <w:t>and</w:t>
      </w:r>
      <w:r w:rsidR="00C64050">
        <w:rPr>
          <w:szCs w:val="20"/>
        </w:rPr>
        <w:t xml:space="preserve"> </w:t>
      </w:r>
      <w:r w:rsidRPr="00E74C28">
        <w:rPr>
          <w:szCs w:val="20"/>
        </w:rPr>
        <w:t>Eleanor’s</w:t>
      </w:r>
      <w:r w:rsidR="00C64050">
        <w:rPr>
          <w:szCs w:val="20"/>
        </w:rPr>
        <w:t xml:space="preserve"> </w:t>
      </w:r>
      <w:r w:rsidRPr="00E74C28">
        <w:rPr>
          <w:szCs w:val="20"/>
        </w:rPr>
        <w:t>rights</w:t>
      </w:r>
      <w:r w:rsidR="00C64050">
        <w:rPr>
          <w:szCs w:val="20"/>
        </w:rPr>
        <w:t xml:space="preserve"> </w:t>
      </w:r>
      <w:r w:rsidRPr="00E74C28">
        <w:rPr>
          <w:szCs w:val="20"/>
        </w:rPr>
        <w:t>and</w:t>
      </w:r>
      <w:r w:rsidR="00C64050">
        <w:rPr>
          <w:szCs w:val="20"/>
        </w:rPr>
        <w:t xml:space="preserve"> </w:t>
      </w:r>
      <w:r w:rsidRPr="00E74C28">
        <w:rPr>
          <w:szCs w:val="20"/>
        </w:rPr>
        <w:t>duties</w:t>
      </w:r>
      <w:r w:rsidR="00C64050">
        <w:rPr>
          <w:szCs w:val="20"/>
        </w:rPr>
        <w:t xml:space="preserve"> </w:t>
      </w:r>
      <w:r w:rsidRPr="00E74C28">
        <w:rPr>
          <w:szCs w:val="20"/>
        </w:rPr>
        <w:t>under</w:t>
      </w:r>
      <w:r w:rsidR="00C64050">
        <w:rPr>
          <w:szCs w:val="20"/>
        </w:rPr>
        <w:t xml:space="preserve"> </w:t>
      </w:r>
      <w:r w:rsidRPr="00E74C28">
        <w:rPr>
          <w:szCs w:val="20"/>
        </w:rPr>
        <w:t>the</w:t>
      </w:r>
      <w:r w:rsidR="00C64050">
        <w:rPr>
          <w:szCs w:val="20"/>
        </w:rPr>
        <w:t xml:space="preserve"> </w:t>
      </w:r>
      <w:r w:rsidRPr="00E74C28">
        <w:rPr>
          <w:szCs w:val="20"/>
        </w:rPr>
        <w:t>trust</w:t>
      </w:r>
      <w:r w:rsidR="00C64050">
        <w:rPr>
          <w:szCs w:val="20"/>
        </w:rPr>
        <w:t xml:space="preserve"> </w:t>
      </w:r>
      <w:r w:rsidRPr="00E74C28">
        <w:rPr>
          <w:szCs w:val="20"/>
        </w:rPr>
        <w:t>“would</w:t>
      </w:r>
      <w:r w:rsidR="00C64050">
        <w:rPr>
          <w:szCs w:val="20"/>
        </w:rPr>
        <w:t xml:space="preserve"> </w:t>
      </w:r>
      <w:r w:rsidRPr="00E74C28">
        <w:rPr>
          <w:szCs w:val="20"/>
        </w:rPr>
        <w:t>constitute</w:t>
      </w:r>
      <w:r w:rsidR="00C64050">
        <w:rPr>
          <w:szCs w:val="20"/>
        </w:rPr>
        <w:t xml:space="preserve"> </w:t>
      </w:r>
      <w:r w:rsidRPr="00E74C28">
        <w:rPr>
          <w:szCs w:val="20"/>
        </w:rPr>
        <w:t>a</w:t>
      </w:r>
      <w:r w:rsidR="00C64050">
        <w:rPr>
          <w:szCs w:val="20"/>
        </w:rPr>
        <w:t xml:space="preserve"> </w:t>
      </w:r>
      <w:r w:rsidRPr="00E74C28">
        <w:rPr>
          <w:szCs w:val="20"/>
        </w:rPr>
        <w:t>‘contest’</w:t>
      </w:r>
      <w:r w:rsidR="00C64050">
        <w:rPr>
          <w:szCs w:val="20"/>
        </w:rPr>
        <w:t xml:space="preserve"> </w:t>
      </w:r>
      <w:r w:rsidRPr="00E74C28">
        <w:rPr>
          <w:szCs w:val="20"/>
        </w:rPr>
        <w:t>”</w:t>
      </w:r>
      <w:r w:rsidR="00C64050">
        <w:rPr>
          <w:szCs w:val="20"/>
        </w:rPr>
        <w:t xml:space="preserve"> </w:t>
      </w:r>
      <w:r w:rsidRPr="00E74C28">
        <w:rPr>
          <w:szCs w:val="20"/>
        </w:rPr>
        <w:t>under</w:t>
      </w:r>
      <w:r w:rsidR="00C64050">
        <w:rPr>
          <w:szCs w:val="20"/>
        </w:rPr>
        <w:t xml:space="preserve"> </w:t>
      </w:r>
      <w:r w:rsidRPr="00E74C28">
        <w:rPr>
          <w:szCs w:val="20"/>
        </w:rPr>
        <w:t>the</w:t>
      </w:r>
      <w:r w:rsidR="00C64050">
        <w:rPr>
          <w:szCs w:val="20"/>
        </w:rPr>
        <w:t xml:space="preserve"> </w:t>
      </w:r>
      <w:r w:rsidRPr="00E74C28">
        <w:rPr>
          <w:szCs w:val="20"/>
        </w:rPr>
        <w:t>no-contest</w:t>
      </w:r>
      <w:r w:rsidR="00C64050">
        <w:rPr>
          <w:szCs w:val="20"/>
        </w:rPr>
        <w:t xml:space="preserve"> </w:t>
      </w:r>
      <w:r w:rsidRPr="00E74C28">
        <w:rPr>
          <w:szCs w:val="20"/>
        </w:rPr>
        <w:t>provision,</w:t>
      </w:r>
      <w:r w:rsidR="00C64050">
        <w:rPr>
          <w:szCs w:val="20"/>
        </w:rPr>
        <w:t xml:space="preserve"> </w:t>
      </w:r>
      <w:r w:rsidRPr="00E74C28">
        <w:rPr>
          <w:szCs w:val="20"/>
        </w:rPr>
        <w:t>thereby</w:t>
      </w:r>
      <w:r w:rsidR="00C64050">
        <w:rPr>
          <w:szCs w:val="20"/>
        </w:rPr>
        <w:t xml:space="preserve"> </w:t>
      </w:r>
      <w:r w:rsidRPr="00E74C28">
        <w:rPr>
          <w:szCs w:val="20"/>
        </w:rPr>
        <w:t>triggering</w:t>
      </w:r>
      <w:r w:rsidR="00C64050">
        <w:rPr>
          <w:szCs w:val="20"/>
        </w:rPr>
        <w:t xml:space="preserve"> </w:t>
      </w:r>
      <w:r w:rsidRPr="00E74C28">
        <w:rPr>
          <w:szCs w:val="20"/>
        </w:rPr>
        <w:t>the</w:t>
      </w:r>
      <w:r w:rsidR="00C64050">
        <w:rPr>
          <w:szCs w:val="20"/>
        </w:rPr>
        <w:t xml:space="preserve"> </w:t>
      </w:r>
      <w:r w:rsidRPr="00E74C28">
        <w:rPr>
          <w:szCs w:val="20"/>
        </w:rPr>
        <w:t>forfeiture</w:t>
      </w:r>
      <w:r w:rsidR="00C64050">
        <w:rPr>
          <w:szCs w:val="20"/>
        </w:rPr>
        <w:t xml:space="preserve"> </w:t>
      </w:r>
      <w:r w:rsidRPr="00E74C28">
        <w:rPr>
          <w:szCs w:val="20"/>
        </w:rPr>
        <w:t>of</w:t>
      </w:r>
      <w:r w:rsidR="00C64050">
        <w:rPr>
          <w:szCs w:val="20"/>
        </w:rPr>
        <w:t xml:space="preserve"> </w:t>
      </w:r>
      <w:r w:rsidRPr="00E74C28">
        <w:rPr>
          <w:szCs w:val="20"/>
        </w:rPr>
        <w:t>Chip’s</w:t>
      </w:r>
      <w:r w:rsidR="00C64050">
        <w:rPr>
          <w:szCs w:val="20"/>
        </w:rPr>
        <w:t xml:space="preserve"> </w:t>
      </w:r>
      <w:r w:rsidRPr="00E74C28">
        <w:rPr>
          <w:szCs w:val="20"/>
        </w:rPr>
        <w:t>beneficial</w:t>
      </w:r>
      <w:r w:rsidR="00C64050">
        <w:rPr>
          <w:szCs w:val="20"/>
        </w:rPr>
        <w:t xml:space="preserve"> </w:t>
      </w:r>
      <w:r w:rsidRPr="00E74C28">
        <w:rPr>
          <w:szCs w:val="20"/>
        </w:rPr>
        <w:t>interest</w:t>
      </w:r>
      <w:r w:rsidR="00C64050">
        <w:rPr>
          <w:szCs w:val="20"/>
        </w:rPr>
        <w:t xml:space="preserve"> </w:t>
      </w:r>
      <w:r w:rsidRPr="00E74C28">
        <w:rPr>
          <w:szCs w:val="20"/>
        </w:rPr>
        <w:t>in</w:t>
      </w:r>
      <w:r w:rsidR="00C64050">
        <w:rPr>
          <w:szCs w:val="20"/>
        </w:rPr>
        <w:t xml:space="preserve"> </w:t>
      </w:r>
      <w:r w:rsidRPr="00E74C28">
        <w:rPr>
          <w:szCs w:val="20"/>
        </w:rPr>
        <w:t>the</w:t>
      </w:r>
      <w:r w:rsidR="00C64050">
        <w:rPr>
          <w:szCs w:val="20"/>
        </w:rPr>
        <w:t xml:space="preserve"> </w:t>
      </w:r>
      <w:r w:rsidRPr="00E74C28">
        <w:rPr>
          <w:szCs w:val="20"/>
        </w:rPr>
        <w:t>trust.</w:t>
      </w:r>
      <w:r w:rsidR="00C64050">
        <w:rPr>
          <w:szCs w:val="20"/>
        </w:rPr>
        <w:t xml:space="preserve"> </w:t>
      </w:r>
      <w:r w:rsidRPr="00E74C28">
        <w:rPr>
          <w:szCs w:val="20"/>
        </w:rPr>
        <w:t>J.A.</w:t>
      </w:r>
      <w:r w:rsidR="00C64050">
        <w:rPr>
          <w:szCs w:val="20"/>
        </w:rPr>
        <w:t xml:space="preserve"> </w:t>
      </w:r>
      <w:r w:rsidRPr="00E74C28">
        <w:rPr>
          <w:szCs w:val="20"/>
        </w:rPr>
        <w:t>at</w:t>
      </w:r>
      <w:r w:rsidR="00C64050">
        <w:rPr>
          <w:szCs w:val="20"/>
        </w:rPr>
        <w:t xml:space="preserve"> </w:t>
      </w:r>
      <w:r w:rsidRPr="00E74C28">
        <w:rPr>
          <w:szCs w:val="20"/>
        </w:rPr>
        <w:t>3.</w:t>
      </w:r>
      <w:r w:rsidR="00C64050">
        <w:rPr>
          <w:szCs w:val="20"/>
        </w:rPr>
        <w:t xml:space="preserve"> </w:t>
      </w:r>
      <w:r w:rsidRPr="00E74C28">
        <w:rPr>
          <w:szCs w:val="20"/>
        </w:rPr>
        <w:t>Count</w:t>
      </w:r>
      <w:r w:rsidR="00C64050">
        <w:rPr>
          <w:szCs w:val="20"/>
        </w:rPr>
        <w:t xml:space="preserve"> </w:t>
      </w:r>
      <w:r w:rsidRPr="00E74C28">
        <w:rPr>
          <w:szCs w:val="20"/>
        </w:rPr>
        <w:t>I</w:t>
      </w:r>
      <w:r w:rsidR="00C64050">
        <w:rPr>
          <w:szCs w:val="20"/>
        </w:rPr>
        <w:t xml:space="preserve"> </w:t>
      </w:r>
      <w:r w:rsidRPr="00E74C28">
        <w:rPr>
          <w:szCs w:val="20"/>
        </w:rPr>
        <w:t>stated</w:t>
      </w:r>
      <w:r w:rsidR="00C64050">
        <w:rPr>
          <w:szCs w:val="20"/>
        </w:rPr>
        <w:t xml:space="preserve"> </w:t>
      </w:r>
      <w:r w:rsidRPr="00E74C28">
        <w:rPr>
          <w:szCs w:val="20"/>
        </w:rPr>
        <w:t>that</w:t>
      </w:r>
      <w:r w:rsidR="00C64050">
        <w:rPr>
          <w:szCs w:val="20"/>
        </w:rPr>
        <w:t xml:space="preserve"> </w:t>
      </w:r>
      <w:r w:rsidRPr="00E74C28">
        <w:rPr>
          <w:szCs w:val="20"/>
        </w:rPr>
        <w:t>the</w:t>
      </w:r>
      <w:r w:rsidR="00C64050">
        <w:rPr>
          <w:szCs w:val="20"/>
        </w:rPr>
        <w:t xml:space="preserve"> </w:t>
      </w:r>
      <w:r w:rsidRPr="00E74C28">
        <w:rPr>
          <w:szCs w:val="20"/>
        </w:rPr>
        <w:t>court</w:t>
      </w:r>
      <w:r w:rsidR="00C64050">
        <w:rPr>
          <w:szCs w:val="20"/>
        </w:rPr>
        <w:t xml:space="preserve"> </w:t>
      </w:r>
      <w:r w:rsidRPr="00E74C28">
        <w:rPr>
          <w:szCs w:val="20"/>
        </w:rPr>
        <w:t>should</w:t>
      </w:r>
      <w:r w:rsidR="00C64050">
        <w:rPr>
          <w:szCs w:val="20"/>
        </w:rPr>
        <w:t xml:space="preserve"> </w:t>
      </w:r>
      <w:r w:rsidRPr="00E74C28">
        <w:rPr>
          <w:szCs w:val="20"/>
        </w:rPr>
        <w:t>consider</w:t>
      </w:r>
      <w:r w:rsidR="00C64050">
        <w:rPr>
          <w:szCs w:val="20"/>
        </w:rPr>
        <w:t xml:space="preserve"> </w:t>
      </w:r>
      <w:r w:rsidRPr="00E74C28">
        <w:rPr>
          <w:szCs w:val="20"/>
        </w:rPr>
        <w:t>the</w:t>
      </w:r>
      <w:r w:rsidR="00C64050">
        <w:rPr>
          <w:szCs w:val="20"/>
        </w:rPr>
        <w:t xml:space="preserve"> </w:t>
      </w:r>
      <w:r w:rsidRPr="00E74C28">
        <w:rPr>
          <w:szCs w:val="20"/>
        </w:rPr>
        <w:t>request</w:t>
      </w:r>
      <w:r w:rsidR="00C64050">
        <w:rPr>
          <w:szCs w:val="20"/>
        </w:rPr>
        <w:t xml:space="preserve"> </w:t>
      </w:r>
      <w:r w:rsidRPr="00E74C28">
        <w:rPr>
          <w:szCs w:val="20"/>
        </w:rPr>
        <w:t>in</w:t>
      </w:r>
      <w:r w:rsidR="00C64050">
        <w:rPr>
          <w:szCs w:val="20"/>
        </w:rPr>
        <w:t xml:space="preserve"> </w:t>
      </w:r>
      <w:r w:rsidRPr="00E74C28">
        <w:rPr>
          <w:szCs w:val="20"/>
        </w:rPr>
        <w:t>Count</w:t>
      </w:r>
      <w:r w:rsidR="00C64050">
        <w:rPr>
          <w:szCs w:val="20"/>
        </w:rPr>
        <w:t xml:space="preserve"> </w:t>
      </w:r>
      <w:r w:rsidRPr="00E74C28">
        <w:rPr>
          <w:szCs w:val="20"/>
        </w:rPr>
        <w:t>II</w:t>
      </w:r>
      <w:r w:rsidR="00C64050">
        <w:rPr>
          <w:szCs w:val="20"/>
        </w:rPr>
        <w:t xml:space="preserve"> </w:t>
      </w:r>
      <w:r w:rsidRPr="00E74C28">
        <w:rPr>
          <w:szCs w:val="20"/>
        </w:rPr>
        <w:t>“if,</w:t>
      </w:r>
      <w:r w:rsidR="00C64050">
        <w:rPr>
          <w:szCs w:val="20"/>
        </w:rPr>
        <w:t xml:space="preserve"> </w:t>
      </w:r>
      <w:r w:rsidRPr="00E74C28">
        <w:rPr>
          <w:szCs w:val="20"/>
        </w:rPr>
        <w:t>and</w:t>
      </w:r>
      <w:r w:rsidR="00C64050">
        <w:rPr>
          <w:szCs w:val="20"/>
        </w:rPr>
        <w:t xml:space="preserve"> </w:t>
      </w:r>
      <w:r w:rsidRPr="00E74C28">
        <w:rPr>
          <w:szCs w:val="20"/>
        </w:rPr>
        <w:t>only</w:t>
      </w:r>
      <w:r w:rsidR="00C64050">
        <w:rPr>
          <w:szCs w:val="20"/>
        </w:rPr>
        <w:t xml:space="preserve"> </w:t>
      </w:r>
      <w:r w:rsidRPr="00E74C28">
        <w:rPr>
          <w:szCs w:val="20"/>
        </w:rPr>
        <w:t>if,”</w:t>
      </w:r>
      <w:r w:rsidR="00C64050">
        <w:rPr>
          <w:szCs w:val="20"/>
        </w:rPr>
        <w:t xml:space="preserve"> </w:t>
      </w:r>
      <w:r w:rsidRPr="00E74C28">
        <w:rPr>
          <w:szCs w:val="20"/>
        </w:rPr>
        <w:t>the</w:t>
      </w:r>
      <w:r w:rsidR="00C64050">
        <w:rPr>
          <w:szCs w:val="20"/>
        </w:rPr>
        <w:t xml:space="preserve"> </w:t>
      </w:r>
      <w:r w:rsidRPr="00E74C28">
        <w:rPr>
          <w:szCs w:val="20"/>
        </w:rPr>
        <w:t>court</w:t>
      </w:r>
      <w:r w:rsidR="00C64050">
        <w:rPr>
          <w:szCs w:val="20"/>
        </w:rPr>
        <w:t xml:space="preserve"> </w:t>
      </w:r>
      <w:r w:rsidRPr="00E74C28">
        <w:rPr>
          <w:szCs w:val="20"/>
        </w:rPr>
        <w:t>interpreted</w:t>
      </w:r>
      <w:r w:rsidR="00C64050">
        <w:rPr>
          <w:szCs w:val="20"/>
        </w:rPr>
        <w:t xml:space="preserve"> </w:t>
      </w:r>
      <w:r w:rsidRPr="00E74C28">
        <w:rPr>
          <w:szCs w:val="20"/>
        </w:rPr>
        <w:t>the</w:t>
      </w:r>
      <w:r w:rsidR="00C64050">
        <w:rPr>
          <w:szCs w:val="20"/>
        </w:rPr>
        <w:t xml:space="preserve"> </w:t>
      </w:r>
      <w:r w:rsidRPr="00E74C28">
        <w:rPr>
          <w:szCs w:val="20"/>
        </w:rPr>
        <w:t>no-contest</w:t>
      </w:r>
      <w:r w:rsidR="00C64050">
        <w:rPr>
          <w:szCs w:val="20"/>
        </w:rPr>
        <w:t xml:space="preserve"> </w:t>
      </w:r>
      <w:r w:rsidRPr="00E74C28">
        <w:rPr>
          <w:szCs w:val="20"/>
        </w:rPr>
        <w:t>provision</w:t>
      </w:r>
      <w:r w:rsidR="00C64050">
        <w:rPr>
          <w:szCs w:val="20"/>
        </w:rPr>
        <w:t xml:space="preserve"> </w:t>
      </w:r>
      <w:r w:rsidRPr="00E74C28">
        <w:rPr>
          <w:szCs w:val="20"/>
        </w:rPr>
        <w:t>to</w:t>
      </w:r>
      <w:r w:rsidR="00C64050">
        <w:rPr>
          <w:szCs w:val="20"/>
        </w:rPr>
        <w:t xml:space="preserve"> </w:t>
      </w:r>
      <w:r w:rsidRPr="00E74C28">
        <w:rPr>
          <w:szCs w:val="20"/>
        </w:rPr>
        <w:t>be</w:t>
      </w:r>
      <w:r w:rsidR="00C64050">
        <w:rPr>
          <w:szCs w:val="20"/>
        </w:rPr>
        <w:t xml:space="preserve"> </w:t>
      </w:r>
      <w:r w:rsidRPr="00E74C28">
        <w:rPr>
          <w:szCs w:val="20"/>
        </w:rPr>
        <w:t>inapplicable.</w:t>
      </w:r>
      <w:r w:rsidR="00C64050">
        <w:rPr>
          <w:szCs w:val="20"/>
        </w:rPr>
        <w:t xml:space="preserve"> </w:t>
      </w:r>
      <w:r w:rsidRPr="00E74C28">
        <w:rPr>
          <w:rStyle w:val="Emphasis"/>
          <w:szCs w:val="20"/>
        </w:rPr>
        <w:t>Id.</w:t>
      </w:r>
      <w:r w:rsidR="00DC1D28">
        <w:rPr>
          <w:rStyle w:val="Emphasis"/>
          <w:szCs w:val="20"/>
        </w:rPr>
        <w:t xml:space="preserve"> </w:t>
      </w:r>
      <w:r w:rsidRPr="00E74C28">
        <w:rPr>
          <w:szCs w:val="20"/>
        </w:rPr>
        <w:t>Relying</w:t>
      </w:r>
      <w:r w:rsidR="00C64050">
        <w:rPr>
          <w:szCs w:val="20"/>
        </w:rPr>
        <w:t xml:space="preserve"> </w:t>
      </w:r>
      <w:r w:rsidRPr="00E74C28">
        <w:rPr>
          <w:szCs w:val="20"/>
        </w:rPr>
        <w:t>on</w:t>
      </w:r>
      <w:r w:rsidR="00C64050">
        <w:rPr>
          <w:szCs w:val="20"/>
        </w:rPr>
        <w:t xml:space="preserve"> </w:t>
      </w:r>
      <w:r w:rsidRPr="00E74C28">
        <w:rPr>
          <w:szCs w:val="20"/>
        </w:rPr>
        <w:t>our</w:t>
      </w:r>
      <w:r w:rsidR="00C64050">
        <w:rPr>
          <w:szCs w:val="20"/>
        </w:rPr>
        <w:t xml:space="preserve"> </w:t>
      </w:r>
      <w:r w:rsidRPr="00E74C28">
        <w:rPr>
          <w:szCs w:val="20"/>
        </w:rPr>
        <w:t>decision</w:t>
      </w:r>
      <w:r w:rsidR="00C64050">
        <w:rPr>
          <w:szCs w:val="20"/>
        </w:rPr>
        <w:t xml:space="preserve"> </w:t>
      </w:r>
      <w:r w:rsidRPr="00E74C28">
        <w:rPr>
          <w:szCs w:val="20"/>
        </w:rPr>
        <w:t>in</w:t>
      </w:r>
      <w:r w:rsidR="00C64050">
        <w:rPr>
          <w:szCs w:val="20"/>
        </w:rPr>
        <w:t xml:space="preserve"> </w:t>
      </w:r>
      <w:r w:rsidRPr="00E74C28">
        <w:rPr>
          <w:rStyle w:val="Emphasis"/>
          <w:szCs w:val="20"/>
        </w:rPr>
        <w:t>Virginia</w:t>
      </w:r>
      <w:r w:rsidR="00C64050">
        <w:rPr>
          <w:rStyle w:val="Emphasis"/>
          <w:szCs w:val="20"/>
        </w:rPr>
        <w:t xml:space="preserve"> </w:t>
      </w:r>
      <w:r w:rsidRPr="00E74C28">
        <w:rPr>
          <w:rStyle w:val="Emphasis"/>
          <w:szCs w:val="20"/>
        </w:rPr>
        <w:t>Foundation</w:t>
      </w:r>
      <w:r w:rsidR="00C64050">
        <w:rPr>
          <w:rStyle w:val="Emphasis"/>
          <w:szCs w:val="20"/>
        </w:rPr>
        <w:t xml:space="preserve"> </w:t>
      </w:r>
      <w:r w:rsidRPr="00E74C28">
        <w:rPr>
          <w:rStyle w:val="Emphasis"/>
          <w:szCs w:val="20"/>
        </w:rPr>
        <w:t>of</w:t>
      </w:r>
      <w:r w:rsidR="00C64050">
        <w:rPr>
          <w:rStyle w:val="Emphasis"/>
          <w:szCs w:val="20"/>
        </w:rPr>
        <w:t xml:space="preserve"> </w:t>
      </w:r>
      <w:r w:rsidRPr="00E74C28">
        <w:rPr>
          <w:rStyle w:val="Emphasis"/>
          <w:szCs w:val="20"/>
        </w:rPr>
        <w:t>Independent</w:t>
      </w:r>
      <w:r w:rsidR="00C64050">
        <w:rPr>
          <w:rStyle w:val="Emphasis"/>
          <w:szCs w:val="20"/>
        </w:rPr>
        <w:t xml:space="preserve"> </w:t>
      </w:r>
      <w:r w:rsidRPr="00E74C28">
        <w:rPr>
          <w:rStyle w:val="Emphasis"/>
          <w:szCs w:val="20"/>
        </w:rPr>
        <w:t>Colleges</w:t>
      </w:r>
      <w:r w:rsidR="00C64050">
        <w:rPr>
          <w:rStyle w:val="Emphasis"/>
          <w:szCs w:val="20"/>
        </w:rPr>
        <w:t xml:space="preserve"> </w:t>
      </w:r>
      <w:r w:rsidRPr="00E74C28">
        <w:rPr>
          <w:rStyle w:val="Emphasis"/>
          <w:szCs w:val="20"/>
        </w:rPr>
        <w:t>v.</w:t>
      </w:r>
      <w:r w:rsidR="00C64050">
        <w:rPr>
          <w:rStyle w:val="Emphasis"/>
          <w:szCs w:val="20"/>
        </w:rPr>
        <w:t xml:space="preserve"> </w:t>
      </w:r>
      <w:r w:rsidRPr="00E74C28">
        <w:rPr>
          <w:rStyle w:val="Emphasis"/>
          <w:szCs w:val="20"/>
        </w:rPr>
        <w:t>Goodrich</w:t>
      </w:r>
      <w:r w:rsidRPr="00E74C28">
        <w:rPr>
          <w:szCs w:val="20"/>
        </w:rPr>
        <w:t>,</w:t>
      </w:r>
      <w:r w:rsidR="00C64050">
        <w:rPr>
          <w:szCs w:val="20"/>
        </w:rPr>
        <w:t xml:space="preserve"> </w:t>
      </w:r>
      <w:r w:rsidRPr="00E74C28">
        <w:rPr>
          <w:szCs w:val="20"/>
        </w:rPr>
        <w:t>246</w:t>
      </w:r>
      <w:r w:rsidR="00C64050">
        <w:rPr>
          <w:szCs w:val="20"/>
        </w:rPr>
        <w:t xml:space="preserve"> </w:t>
      </w:r>
      <w:r w:rsidRPr="00E74C28">
        <w:rPr>
          <w:szCs w:val="20"/>
        </w:rPr>
        <w:t>Va.</w:t>
      </w:r>
      <w:r w:rsidR="00C64050">
        <w:rPr>
          <w:szCs w:val="20"/>
        </w:rPr>
        <w:t xml:space="preserve"> </w:t>
      </w:r>
      <w:r w:rsidRPr="00E74C28">
        <w:rPr>
          <w:szCs w:val="20"/>
        </w:rPr>
        <w:t>435,</w:t>
      </w:r>
      <w:r w:rsidR="00C64050">
        <w:rPr>
          <w:szCs w:val="20"/>
        </w:rPr>
        <w:t xml:space="preserve"> </w:t>
      </w:r>
      <w:r w:rsidRPr="00E74C28">
        <w:rPr>
          <w:szCs w:val="20"/>
        </w:rPr>
        <w:t>436</w:t>
      </w:r>
      <w:r w:rsidR="00C64050">
        <w:rPr>
          <w:szCs w:val="20"/>
        </w:rPr>
        <w:t xml:space="preserve"> </w:t>
      </w:r>
      <w:r w:rsidRPr="00E74C28">
        <w:rPr>
          <w:szCs w:val="20"/>
        </w:rPr>
        <w:t>S.E.2d</w:t>
      </w:r>
      <w:r w:rsidR="00C64050">
        <w:rPr>
          <w:szCs w:val="20"/>
        </w:rPr>
        <w:t xml:space="preserve"> </w:t>
      </w:r>
      <w:r w:rsidRPr="00E74C28">
        <w:rPr>
          <w:szCs w:val="20"/>
        </w:rPr>
        <w:t>418</w:t>
      </w:r>
      <w:r w:rsidR="00C64050">
        <w:rPr>
          <w:szCs w:val="20"/>
        </w:rPr>
        <w:t xml:space="preserve"> </w:t>
      </w:r>
      <w:r w:rsidRPr="00E74C28">
        <w:rPr>
          <w:szCs w:val="20"/>
        </w:rPr>
        <w:t>(1993),</w:t>
      </w:r>
      <w:r w:rsidR="00C64050">
        <w:rPr>
          <w:szCs w:val="20"/>
        </w:rPr>
        <w:t xml:space="preserve"> </w:t>
      </w:r>
      <w:r w:rsidRPr="00E74C28">
        <w:rPr>
          <w:szCs w:val="20"/>
        </w:rPr>
        <w:t>the</w:t>
      </w:r>
      <w:r w:rsidR="00C64050">
        <w:rPr>
          <w:szCs w:val="20"/>
        </w:rPr>
        <w:t xml:space="preserve"> </w:t>
      </w:r>
      <w:r w:rsidRPr="00E74C28">
        <w:rPr>
          <w:szCs w:val="20"/>
        </w:rPr>
        <w:t>complaint</w:t>
      </w:r>
      <w:r w:rsidR="00C64050">
        <w:rPr>
          <w:szCs w:val="20"/>
        </w:rPr>
        <w:t xml:space="preserve"> </w:t>
      </w:r>
      <w:r w:rsidRPr="00E74C28">
        <w:rPr>
          <w:szCs w:val="20"/>
        </w:rPr>
        <w:t>insisted</w:t>
      </w:r>
      <w:r w:rsidR="00C64050">
        <w:rPr>
          <w:szCs w:val="20"/>
        </w:rPr>
        <w:t xml:space="preserve"> </w:t>
      </w:r>
      <w:r w:rsidRPr="00E74C28">
        <w:rPr>
          <w:szCs w:val="20"/>
        </w:rPr>
        <w:t>that</w:t>
      </w:r>
      <w:r w:rsidR="00C64050">
        <w:rPr>
          <w:szCs w:val="20"/>
        </w:rPr>
        <w:t xml:space="preserve"> </w:t>
      </w:r>
      <w:r w:rsidRPr="00E74C28">
        <w:rPr>
          <w:szCs w:val="20"/>
        </w:rPr>
        <w:t>it</w:t>
      </w:r>
      <w:r w:rsidR="00C64050">
        <w:rPr>
          <w:szCs w:val="20"/>
        </w:rPr>
        <w:t xml:space="preserve"> </w:t>
      </w:r>
      <w:r w:rsidRPr="00E74C28">
        <w:rPr>
          <w:szCs w:val="20"/>
        </w:rPr>
        <w:t>sought</w:t>
      </w:r>
      <w:r w:rsidR="00C64050">
        <w:rPr>
          <w:szCs w:val="20"/>
        </w:rPr>
        <w:t xml:space="preserve"> </w:t>
      </w:r>
      <w:r w:rsidRPr="00E74C28">
        <w:rPr>
          <w:szCs w:val="20"/>
        </w:rPr>
        <w:t>“no</w:t>
      </w:r>
      <w:r w:rsidR="00C64050">
        <w:rPr>
          <w:szCs w:val="20"/>
        </w:rPr>
        <w:t xml:space="preserve"> </w:t>
      </w:r>
      <w:r w:rsidRPr="00E74C28">
        <w:rPr>
          <w:szCs w:val="20"/>
        </w:rPr>
        <w:t>further</w:t>
      </w:r>
      <w:r w:rsidR="00C64050">
        <w:rPr>
          <w:szCs w:val="20"/>
        </w:rPr>
        <w:t xml:space="preserve"> </w:t>
      </w:r>
      <w:r w:rsidRPr="00E74C28">
        <w:rPr>
          <w:szCs w:val="20"/>
        </w:rPr>
        <w:t>relief</w:t>
      </w:r>
      <w:r w:rsidR="00C64050">
        <w:rPr>
          <w:szCs w:val="20"/>
        </w:rPr>
        <w:t xml:space="preserve"> </w:t>
      </w:r>
      <w:r w:rsidRPr="00E74C28">
        <w:rPr>
          <w:szCs w:val="20"/>
        </w:rPr>
        <w:t>than</w:t>
      </w:r>
      <w:r w:rsidR="00C64050">
        <w:rPr>
          <w:szCs w:val="20"/>
        </w:rPr>
        <w:t xml:space="preserve"> </w:t>
      </w:r>
      <w:r w:rsidRPr="00E74C28">
        <w:rPr>
          <w:szCs w:val="20"/>
        </w:rPr>
        <w:t>that</w:t>
      </w:r>
      <w:r w:rsidR="00C64050">
        <w:rPr>
          <w:szCs w:val="20"/>
        </w:rPr>
        <w:t xml:space="preserve"> </w:t>
      </w:r>
      <w:r w:rsidRPr="00E74C28">
        <w:rPr>
          <w:szCs w:val="20"/>
        </w:rPr>
        <w:t>which</w:t>
      </w:r>
      <w:r w:rsidR="00C64050">
        <w:rPr>
          <w:szCs w:val="20"/>
        </w:rPr>
        <w:t xml:space="preserve"> </w:t>
      </w:r>
      <w:r w:rsidRPr="00E74C28">
        <w:rPr>
          <w:szCs w:val="20"/>
        </w:rPr>
        <w:t>has</w:t>
      </w:r>
      <w:r w:rsidR="00C64050">
        <w:rPr>
          <w:szCs w:val="20"/>
        </w:rPr>
        <w:t xml:space="preserve"> </w:t>
      </w:r>
      <w:r w:rsidRPr="00E74C28">
        <w:rPr>
          <w:szCs w:val="20"/>
        </w:rPr>
        <w:t>been</w:t>
      </w:r>
      <w:r w:rsidR="00C64050">
        <w:rPr>
          <w:szCs w:val="20"/>
        </w:rPr>
        <w:t xml:space="preserve"> </w:t>
      </w:r>
      <w:r w:rsidRPr="00E74C28">
        <w:rPr>
          <w:szCs w:val="20"/>
        </w:rPr>
        <w:t>held</w:t>
      </w:r>
      <w:r w:rsidR="00C64050">
        <w:rPr>
          <w:szCs w:val="20"/>
        </w:rPr>
        <w:t xml:space="preserve"> </w:t>
      </w:r>
      <w:r w:rsidRPr="00E74C28">
        <w:rPr>
          <w:szCs w:val="20"/>
        </w:rPr>
        <w:t>by</w:t>
      </w:r>
      <w:r w:rsidR="00C64050">
        <w:rPr>
          <w:szCs w:val="20"/>
        </w:rPr>
        <w:t xml:space="preserve"> </w:t>
      </w:r>
      <w:r w:rsidRPr="00E74C28">
        <w:rPr>
          <w:szCs w:val="20"/>
        </w:rPr>
        <w:t>the</w:t>
      </w:r>
      <w:r w:rsidR="00C64050">
        <w:rPr>
          <w:szCs w:val="20"/>
        </w:rPr>
        <w:t xml:space="preserve"> </w:t>
      </w:r>
      <w:r w:rsidRPr="00E74C28">
        <w:rPr>
          <w:szCs w:val="20"/>
        </w:rPr>
        <w:t>Virginia</w:t>
      </w:r>
      <w:r w:rsidR="00C64050">
        <w:rPr>
          <w:szCs w:val="20"/>
        </w:rPr>
        <w:t xml:space="preserve"> </w:t>
      </w:r>
      <w:r w:rsidRPr="00E74C28">
        <w:rPr>
          <w:szCs w:val="20"/>
        </w:rPr>
        <w:t>Supreme</w:t>
      </w:r>
      <w:r w:rsidR="00C64050">
        <w:rPr>
          <w:szCs w:val="20"/>
        </w:rPr>
        <w:t xml:space="preserve"> </w:t>
      </w:r>
      <w:r w:rsidRPr="00E74C28">
        <w:rPr>
          <w:szCs w:val="20"/>
        </w:rPr>
        <w:t>Court</w:t>
      </w:r>
      <w:r w:rsidR="00C64050">
        <w:rPr>
          <w:szCs w:val="20"/>
        </w:rPr>
        <w:t xml:space="preserve"> </w:t>
      </w:r>
      <w:r w:rsidRPr="00E74C28">
        <w:rPr>
          <w:szCs w:val="20"/>
        </w:rPr>
        <w:t>...</w:t>
      </w:r>
      <w:r w:rsidR="00C64050">
        <w:rPr>
          <w:szCs w:val="20"/>
        </w:rPr>
        <w:t xml:space="preserve"> </w:t>
      </w:r>
      <w:r w:rsidRPr="00E74C28">
        <w:rPr>
          <w:szCs w:val="20"/>
        </w:rPr>
        <w:t>to</w:t>
      </w:r>
      <w:r w:rsidR="00C64050">
        <w:rPr>
          <w:szCs w:val="20"/>
        </w:rPr>
        <w:t xml:space="preserve"> </w:t>
      </w:r>
      <w:r w:rsidRPr="00E74C28">
        <w:rPr>
          <w:szCs w:val="20"/>
        </w:rPr>
        <w:t>permit</w:t>
      </w:r>
      <w:r w:rsidR="00C64050">
        <w:rPr>
          <w:szCs w:val="20"/>
        </w:rPr>
        <w:t xml:space="preserve"> </w:t>
      </w:r>
      <w:r w:rsidRPr="00E74C28">
        <w:rPr>
          <w:szCs w:val="20"/>
        </w:rPr>
        <w:t>a</w:t>
      </w:r>
      <w:r w:rsidR="00C64050">
        <w:rPr>
          <w:szCs w:val="20"/>
        </w:rPr>
        <w:t xml:space="preserve"> </w:t>
      </w:r>
      <w:r w:rsidRPr="00E74C28">
        <w:rPr>
          <w:szCs w:val="20"/>
        </w:rPr>
        <w:t>beneficiary</w:t>
      </w:r>
      <w:r w:rsidR="00C64050">
        <w:rPr>
          <w:szCs w:val="20"/>
        </w:rPr>
        <w:t xml:space="preserve"> </w:t>
      </w:r>
      <w:r w:rsidRPr="00E74C28">
        <w:rPr>
          <w:szCs w:val="20"/>
        </w:rPr>
        <w:t>to</w:t>
      </w:r>
      <w:r w:rsidR="00C64050">
        <w:rPr>
          <w:szCs w:val="20"/>
        </w:rPr>
        <w:t xml:space="preserve"> </w:t>
      </w:r>
      <w:r w:rsidRPr="00E74C28">
        <w:rPr>
          <w:szCs w:val="20"/>
        </w:rPr>
        <w:t>file</w:t>
      </w:r>
      <w:r w:rsidR="00C64050">
        <w:rPr>
          <w:szCs w:val="20"/>
        </w:rPr>
        <w:t xml:space="preserve"> </w:t>
      </w:r>
      <w:r w:rsidRPr="00E74C28">
        <w:rPr>
          <w:szCs w:val="20"/>
        </w:rPr>
        <w:t>a</w:t>
      </w:r>
      <w:r w:rsidR="00C64050">
        <w:rPr>
          <w:szCs w:val="20"/>
        </w:rPr>
        <w:t xml:space="preserve"> </w:t>
      </w:r>
      <w:r w:rsidRPr="00E74C28">
        <w:rPr>
          <w:szCs w:val="20"/>
        </w:rPr>
        <w:t>declaratory</w:t>
      </w:r>
      <w:r w:rsidR="00C64050">
        <w:rPr>
          <w:szCs w:val="20"/>
        </w:rPr>
        <w:t xml:space="preserve"> </w:t>
      </w:r>
      <w:r w:rsidRPr="00E74C28">
        <w:rPr>
          <w:szCs w:val="20"/>
        </w:rPr>
        <w:t>judgment</w:t>
      </w:r>
      <w:r w:rsidR="00C64050">
        <w:rPr>
          <w:szCs w:val="20"/>
        </w:rPr>
        <w:t xml:space="preserve"> </w:t>
      </w:r>
      <w:r w:rsidRPr="00E74C28">
        <w:rPr>
          <w:szCs w:val="20"/>
        </w:rPr>
        <w:t>action</w:t>
      </w:r>
      <w:r w:rsidR="00C64050">
        <w:rPr>
          <w:szCs w:val="20"/>
        </w:rPr>
        <w:t xml:space="preserve"> </w:t>
      </w:r>
      <w:r w:rsidRPr="00E74C28">
        <w:rPr>
          <w:szCs w:val="20"/>
        </w:rPr>
        <w:t>seeking</w:t>
      </w:r>
      <w:r w:rsidR="00C64050">
        <w:rPr>
          <w:szCs w:val="20"/>
        </w:rPr>
        <w:t xml:space="preserve"> </w:t>
      </w:r>
      <w:r w:rsidRPr="00E74C28">
        <w:rPr>
          <w:szCs w:val="20"/>
        </w:rPr>
        <w:t>an</w:t>
      </w:r>
      <w:r w:rsidR="00C64050">
        <w:rPr>
          <w:szCs w:val="20"/>
        </w:rPr>
        <w:t xml:space="preserve"> </w:t>
      </w:r>
      <w:r w:rsidRPr="00E74C28">
        <w:rPr>
          <w:szCs w:val="20"/>
        </w:rPr>
        <w:t>interpretation</w:t>
      </w:r>
      <w:r w:rsidR="00C64050">
        <w:rPr>
          <w:szCs w:val="20"/>
        </w:rPr>
        <w:t xml:space="preserve"> </w:t>
      </w:r>
      <w:r w:rsidRPr="00E74C28">
        <w:rPr>
          <w:szCs w:val="20"/>
        </w:rPr>
        <w:t>...</w:t>
      </w:r>
      <w:r w:rsidR="00C64050">
        <w:rPr>
          <w:szCs w:val="20"/>
        </w:rPr>
        <w:t xml:space="preserve"> </w:t>
      </w:r>
      <w:r w:rsidRPr="00E74C28">
        <w:rPr>
          <w:szCs w:val="20"/>
        </w:rPr>
        <w:t>without</w:t>
      </w:r>
      <w:r w:rsidR="00C64050">
        <w:rPr>
          <w:szCs w:val="20"/>
        </w:rPr>
        <w:t xml:space="preserve"> </w:t>
      </w:r>
      <w:r w:rsidRPr="00E74C28">
        <w:rPr>
          <w:szCs w:val="20"/>
        </w:rPr>
        <w:t>such</w:t>
      </w:r>
      <w:r w:rsidR="00C64050">
        <w:rPr>
          <w:szCs w:val="20"/>
        </w:rPr>
        <w:t xml:space="preserve"> </w:t>
      </w:r>
      <w:r w:rsidRPr="00E74C28">
        <w:rPr>
          <w:szCs w:val="20"/>
        </w:rPr>
        <w:t>conduct</w:t>
      </w:r>
      <w:r w:rsidR="00C64050">
        <w:rPr>
          <w:szCs w:val="20"/>
        </w:rPr>
        <w:t xml:space="preserve"> </w:t>
      </w:r>
      <w:r w:rsidRPr="00E74C28">
        <w:rPr>
          <w:szCs w:val="20"/>
        </w:rPr>
        <w:t>being</w:t>
      </w:r>
      <w:r w:rsidR="00C64050">
        <w:rPr>
          <w:szCs w:val="20"/>
        </w:rPr>
        <w:t xml:space="preserve"> </w:t>
      </w:r>
      <w:r w:rsidRPr="00E74C28">
        <w:rPr>
          <w:szCs w:val="20"/>
        </w:rPr>
        <w:t>held</w:t>
      </w:r>
      <w:r w:rsidR="00C64050">
        <w:rPr>
          <w:szCs w:val="20"/>
        </w:rPr>
        <w:t xml:space="preserve"> </w:t>
      </w:r>
      <w:r w:rsidRPr="00E74C28">
        <w:rPr>
          <w:szCs w:val="20"/>
        </w:rPr>
        <w:t>to</w:t>
      </w:r>
      <w:r w:rsidR="00C64050">
        <w:rPr>
          <w:szCs w:val="20"/>
        </w:rPr>
        <w:t xml:space="preserve"> </w:t>
      </w:r>
      <w:r w:rsidRPr="00E74C28">
        <w:rPr>
          <w:szCs w:val="20"/>
        </w:rPr>
        <w:t>fall</w:t>
      </w:r>
      <w:r w:rsidR="00C64050">
        <w:rPr>
          <w:szCs w:val="20"/>
        </w:rPr>
        <w:t xml:space="preserve"> </w:t>
      </w:r>
      <w:r w:rsidRPr="00E74C28">
        <w:rPr>
          <w:szCs w:val="20"/>
        </w:rPr>
        <w:t>within</w:t>
      </w:r>
      <w:r w:rsidR="00C64050">
        <w:rPr>
          <w:szCs w:val="20"/>
        </w:rPr>
        <w:t xml:space="preserve"> </w:t>
      </w:r>
      <w:r w:rsidRPr="00E74C28">
        <w:rPr>
          <w:szCs w:val="20"/>
        </w:rPr>
        <w:t>the</w:t>
      </w:r>
      <w:r w:rsidR="00C64050">
        <w:rPr>
          <w:szCs w:val="20"/>
        </w:rPr>
        <w:t xml:space="preserve"> </w:t>
      </w:r>
      <w:r w:rsidRPr="00E74C28">
        <w:rPr>
          <w:szCs w:val="20"/>
        </w:rPr>
        <w:t>scope</w:t>
      </w:r>
      <w:r w:rsidR="00C64050">
        <w:rPr>
          <w:szCs w:val="20"/>
        </w:rPr>
        <w:t xml:space="preserve"> </w:t>
      </w:r>
      <w:r w:rsidRPr="00E74C28">
        <w:rPr>
          <w:szCs w:val="20"/>
        </w:rPr>
        <w:t>of</w:t>
      </w:r>
      <w:r w:rsidR="00C64050">
        <w:rPr>
          <w:szCs w:val="20"/>
        </w:rPr>
        <w:t xml:space="preserve"> </w:t>
      </w:r>
      <w:r w:rsidRPr="00E74C28">
        <w:rPr>
          <w:szCs w:val="20"/>
        </w:rPr>
        <w:t>a</w:t>
      </w:r>
      <w:r w:rsidR="00C64050">
        <w:rPr>
          <w:szCs w:val="20"/>
        </w:rPr>
        <w:t xml:space="preserve"> </w:t>
      </w:r>
      <w:r w:rsidRPr="00E74C28">
        <w:rPr>
          <w:szCs w:val="20"/>
        </w:rPr>
        <w:t>no</w:t>
      </w:r>
      <w:r w:rsidR="00C64050">
        <w:rPr>
          <w:szCs w:val="20"/>
        </w:rPr>
        <w:t xml:space="preserve"> </w:t>
      </w:r>
      <w:r w:rsidRPr="00E74C28">
        <w:rPr>
          <w:szCs w:val="20"/>
        </w:rPr>
        <w:t>contest</w:t>
      </w:r>
      <w:r w:rsidR="00C64050">
        <w:rPr>
          <w:szCs w:val="20"/>
        </w:rPr>
        <w:t xml:space="preserve"> </w:t>
      </w:r>
      <w:r w:rsidRPr="00E74C28">
        <w:rPr>
          <w:szCs w:val="20"/>
        </w:rPr>
        <w:t>clause</w:t>
      </w:r>
      <w:r w:rsidR="00C64050">
        <w:rPr>
          <w:szCs w:val="20"/>
        </w:rPr>
        <w:t xml:space="preserve"> </w:t>
      </w:r>
      <w:r w:rsidRPr="00E74C28">
        <w:rPr>
          <w:szCs w:val="20"/>
        </w:rPr>
        <w:t>and/or</w:t>
      </w:r>
      <w:r w:rsidR="00C64050">
        <w:rPr>
          <w:szCs w:val="20"/>
        </w:rPr>
        <w:t xml:space="preserve"> </w:t>
      </w:r>
      <w:r w:rsidRPr="00E74C28">
        <w:rPr>
          <w:szCs w:val="20"/>
        </w:rPr>
        <w:t>actuating</w:t>
      </w:r>
      <w:r w:rsidR="00C64050">
        <w:rPr>
          <w:szCs w:val="20"/>
        </w:rPr>
        <w:t xml:space="preserve"> </w:t>
      </w:r>
      <w:r w:rsidRPr="00E74C28">
        <w:rPr>
          <w:szCs w:val="20"/>
        </w:rPr>
        <w:t>a</w:t>
      </w:r>
      <w:r w:rsidR="00C64050">
        <w:rPr>
          <w:szCs w:val="20"/>
        </w:rPr>
        <w:t xml:space="preserve"> </w:t>
      </w:r>
      <w:r w:rsidRPr="00E74C28">
        <w:rPr>
          <w:szCs w:val="20"/>
        </w:rPr>
        <w:t>no</w:t>
      </w:r>
      <w:r w:rsidR="00C64050">
        <w:rPr>
          <w:szCs w:val="20"/>
        </w:rPr>
        <w:t xml:space="preserve"> </w:t>
      </w:r>
      <w:r w:rsidRPr="00E74C28">
        <w:rPr>
          <w:szCs w:val="20"/>
        </w:rPr>
        <w:t>contest</w:t>
      </w:r>
      <w:r w:rsidR="00C64050">
        <w:rPr>
          <w:szCs w:val="20"/>
        </w:rPr>
        <w:t xml:space="preserve"> </w:t>
      </w:r>
      <w:r w:rsidRPr="00E74C28">
        <w:rPr>
          <w:szCs w:val="20"/>
        </w:rPr>
        <w:t>clause.”</w:t>
      </w:r>
      <w:r w:rsidR="00C64050">
        <w:rPr>
          <w:szCs w:val="20"/>
        </w:rPr>
        <w:t xml:space="preserve"> </w:t>
      </w:r>
      <w:r w:rsidRPr="00E74C28">
        <w:rPr>
          <w:szCs w:val="20"/>
        </w:rPr>
        <w:t>J.A.</w:t>
      </w:r>
      <w:r w:rsidR="00C64050">
        <w:rPr>
          <w:szCs w:val="20"/>
        </w:rPr>
        <w:t xml:space="preserve"> </w:t>
      </w:r>
      <w:r w:rsidRPr="00E74C28">
        <w:rPr>
          <w:szCs w:val="20"/>
        </w:rPr>
        <w:t>at</w:t>
      </w:r>
      <w:r w:rsidR="00C64050">
        <w:rPr>
          <w:szCs w:val="20"/>
        </w:rPr>
        <w:t xml:space="preserve"> </w:t>
      </w:r>
      <w:r w:rsidRPr="00E74C28">
        <w:rPr>
          <w:szCs w:val="20"/>
        </w:rPr>
        <w:t>3.</w:t>
      </w:r>
      <w:r w:rsidR="00C64050">
        <w:rPr>
          <w:szCs w:val="20"/>
        </w:rPr>
        <w:t xml:space="preserve"> </w:t>
      </w:r>
      <w:r w:rsidRPr="00E74C28">
        <w:rPr>
          <w:szCs w:val="20"/>
        </w:rPr>
        <w:t>In</w:t>
      </w:r>
      <w:r w:rsidR="00C64050">
        <w:rPr>
          <w:szCs w:val="20"/>
        </w:rPr>
        <w:t xml:space="preserve"> </w:t>
      </w:r>
      <w:r w:rsidRPr="00E74C28">
        <w:rPr>
          <w:szCs w:val="20"/>
        </w:rPr>
        <w:t>Count</w:t>
      </w:r>
      <w:r w:rsidR="00C64050">
        <w:rPr>
          <w:szCs w:val="20"/>
        </w:rPr>
        <w:t xml:space="preserve"> </w:t>
      </w:r>
      <w:r w:rsidRPr="00E74C28">
        <w:rPr>
          <w:szCs w:val="20"/>
        </w:rPr>
        <w:t>I,</w:t>
      </w:r>
      <w:r w:rsidR="00C64050">
        <w:rPr>
          <w:szCs w:val="20"/>
        </w:rPr>
        <w:t xml:space="preserve"> </w:t>
      </w:r>
      <w:r w:rsidRPr="00E74C28">
        <w:rPr>
          <w:szCs w:val="20"/>
        </w:rPr>
        <w:t>Chip</w:t>
      </w:r>
      <w:r w:rsidR="00C64050">
        <w:rPr>
          <w:szCs w:val="20"/>
        </w:rPr>
        <w:t xml:space="preserve"> </w:t>
      </w:r>
      <w:r w:rsidRPr="00E74C28">
        <w:rPr>
          <w:szCs w:val="20"/>
        </w:rPr>
        <w:t>contended</w:t>
      </w:r>
      <w:r w:rsidR="00C64050">
        <w:rPr>
          <w:szCs w:val="20"/>
        </w:rPr>
        <w:t xml:space="preserve"> </w:t>
      </w:r>
      <w:r w:rsidRPr="00E74C28">
        <w:rPr>
          <w:szCs w:val="20"/>
        </w:rPr>
        <w:t>that</w:t>
      </w:r>
      <w:r w:rsidR="00C64050">
        <w:rPr>
          <w:szCs w:val="20"/>
        </w:rPr>
        <w:t xml:space="preserve"> </w:t>
      </w:r>
      <w:r w:rsidRPr="00E74C28">
        <w:rPr>
          <w:szCs w:val="20"/>
        </w:rPr>
        <w:t>he</w:t>
      </w:r>
      <w:r w:rsidR="00C64050">
        <w:rPr>
          <w:szCs w:val="20"/>
        </w:rPr>
        <w:t xml:space="preserve"> </w:t>
      </w:r>
      <w:r w:rsidRPr="00E74C28">
        <w:rPr>
          <w:szCs w:val="20"/>
        </w:rPr>
        <w:t>“merely</w:t>
      </w:r>
      <w:r w:rsidR="00C64050">
        <w:rPr>
          <w:szCs w:val="20"/>
        </w:rPr>
        <w:t xml:space="preserve"> </w:t>
      </w:r>
      <w:r w:rsidRPr="00E74C28">
        <w:rPr>
          <w:szCs w:val="20"/>
        </w:rPr>
        <w:t>[sought]</w:t>
      </w:r>
      <w:r w:rsidR="00C64050">
        <w:rPr>
          <w:szCs w:val="20"/>
        </w:rPr>
        <w:t xml:space="preserve"> </w:t>
      </w:r>
      <w:r w:rsidRPr="00E74C28">
        <w:rPr>
          <w:szCs w:val="20"/>
        </w:rPr>
        <w:t>an</w:t>
      </w:r>
      <w:r w:rsidR="00C64050">
        <w:rPr>
          <w:szCs w:val="20"/>
        </w:rPr>
        <w:t xml:space="preserve"> </w:t>
      </w:r>
      <w:r w:rsidRPr="00E74C28">
        <w:rPr>
          <w:szCs w:val="20"/>
        </w:rPr>
        <w:t>interpretation</w:t>
      </w:r>
      <w:r w:rsidR="00C64050">
        <w:rPr>
          <w:szCs w:val="20"/>
        </w:rPr>
        <w:t xml:space="preserve"> </w:t>
      </w:r>
      <w:r w:rsidRPr="00E74C28">
        <w:rPr>
          <w:szCs w:val="20"/>
        </w:rPr>
        <w:t>of</w:t>
      </w:r>
      <w:r w:rsidR="00C64050">
        <w:rPr>
          <w:szCs w:val="20"/>
        </w:rPr>
        <w:t xml:space="preserve"> </w:t>
      </w:r>
      <w:r w:rsidRPr="00E74C28">
        <w:rPr>
          <w:szCs w:val="20"/>
        </w:rPr>
        <w:t>the</w:t>
      </w:r>
      <w:r w:rsidR="00C64050">
        <w:rPr>
          <w:szCs w:val="20"/>
        </w:rPr>
        <w:t xml:space="preserve"> </w:t>
      </w:r>
      <w:r w:rsidRPr="00E74C28">
        <w:rPr>
          <w:szCs w:val="20"/>
        </w:rPr>
        <w:t>language</w:t>
      </w:r>
      <w:r w:rsidR="00C64050">
        <w:rPr>
          <w:szCs w:val="20"/>
        </w:rPr>
        <w:t xml:space="preserve"> </w:t>
      </w:r>
      <w:r w:rsidRPr="00E74C28">
        <w:rPr>
          <w:szCs w:val="20"/>
        </w:rPr>
        <w:t>of</w:t>
      </w:r>
      <w:r w:rsidR="00C64050">
        <w:rPr>
          <w:szCs w:val="20"/>
        </w:rPr>
        <w:t xml:space="preserve"> </w:t>
      </w:r>
      <w:r w:rsidRPr="00E74C28">
        <w:rPr>
          <w:szCs w:val="20"/>
        </w:rPr>
        <w:t>the</w:t>
      </w:r>
      <w:r w:rsidR="00C64050">
        <w:rPr>
          <w:szCs w:val="20"/>
        </w:rPr>
        <w:t xml:space="preserve"> </w:t>
      </w:r>
      <w:r w:rsidRPr="00E74C28">
        <w:rPr>
          <w:szCs w:val="20"/>
        </w:rPr>
        <w:t>Trusts</w:t>
      </w:r>
      <w:r w:rsidR="00C64050">
        <w:rPr>
          <w:szCs w:val="20"/>
        </w:rPr>
        <w:t xml:space="preserve"> </w:t>
      </w:r>
      <w:r w:rsidRPr="00E74C28">
        <w:rPr>
          <w:szCs w:val="20"/>
        </w:rPr>
        <w:t>with</w:t>
      </w:r>
      <w:r w:rsidR="00C64050">
        <w:rPr>
          <w:szCs w:val="20"/>
        </w:rPr>
        <w:t xml:space="preserve"> </w:t>
      </w:r>
      <w:r w:rsidRPr="00E74C28">
        <w:rPr>
          <w:szCs w:val="20"/>
        </w:rPr>
        <w:t>respect</w:t>
      </w:r>
      <w:r w:rsidR="00C64050">
        <w:rPr>
          <w:szCs w:val="20"/>
        </w:rPr>
        <w:t xml:space="preserve"> </w:t>
      </w:r>
      <w:r w:rsidRPr="00E74C28">
        <w:rPr>
          <w:szCs w:val="20"/>
        </w:rPr>
        <w:t>to</w:t>
      </w:r>
      <w:r w:rsidR="00C64050">
        <w:rPr>
          <w:szCs w:val="20"/>
        </w:rPr>
        <w:t xml:space="preserve"> </w:t>
      </w:r>
      <w:r w:rsidRPr="00E74C28">
        <w:rPr>
          <w:szCs w:val="20"/>
        </w:rPr>
        <w:t>the</w:t>
      </w:r>
      <w:r w:rsidR="00C64050">
        <w:rPr>
          <w:szCs w:val="20"/>
        </w:rPr>
        <w:t xml:space="preserve"> </w:t>
      </w:r>
      <w:r w:rsidRPr="00E74C28">
        <w:rPr>
          <w:szCs w:val="20"/>
        </w:rPr>
        <w:t>rights</w:t>
      </w:r>
      <w:r w:rsidR="00C64050">
        <w:rPr>
          <w:szCs w:val="20"/>
        </w:rPr>
        <w:t xml:space="preserve"> </w:t>
      </w:r>
      <w:r w:rsidRPr="00E74C28">
        <w:rPr>
          <w:szCs w:val="20"/>
        </w:rPr>
        <w:t>and</w:t>
      </w:r>
      <w:r w:rsidR="00C64050">
        <w:rPr>
          <w:szCs w:val="20"/>
        </w:rPr>
        <w:t xml:space="preserve"> </w:t>
      </w:r>
      <w:r w:rsidRPr="00E74C28">
        <w:rPr>
          <w:szCs w:val="20"/>
        </w:rPr>
        <w:t>duties</w:t>
      </w:r>
      <w:r w:rsidR="00C64050">
        <w:rPr>
          <w:szCs w:val="20"/>
        </w:rPr>
        <w:t xml:space="preserve"> </w:t>
      </w:r>
      <w:r w:rsidRPr="00E74C28">
        <w:rPr>
          <w:szCs w:val="20"/>
        </w:rPr>
        <w:t>of</w:t>
      </w:r>
      <w:r w:rsidR="00C64050">
        <w:rPr>
          <w:szCs w:val="20"/>
        </w:rPr>
        <w:t xml:space="preserve"> </w:t>
      </w:r>
      <w:r w:rsidRPr="00E74C28">
        <w:rPr>
          <w:szCs w:val="20"/>
        </w:rPr>
        <w:t>Chip</w:t>
      </w:r>
      <w:r w:rsidR="00C64050">
        <w:rPr>
          <w:szCs w:val="20"/>
        </w:rPr>
        <w:t xml:space="preserve"> </w:t>
      </w:r>
      <w:r w:rsidRPr="00E74C28">
        <w:rPr>
          <w:szCs w:val="20"/>
        </w:rPr>
        <w:t>and</w:t>
      </w:r>
      <w:r w:rsidR="00C64050">
        <w:rPr>
          <w:szCs w:val="20"/>
        </w:rPr>
        <w:t xml:space="preserve"> </w:t>
      </w:r>
      <w:r w:rsidRPr="00E74C28">
        <w:rPr>
          <w:szCs w:val="20"/>
        </w:rPr>
        <w:t>Eleanor,”</w:t>
      </w:r>
      <w:r w:rsidR="00C64050">
        <w:rPr>
          <w:szCs w:val="20"/>
        </w:rPr>
        <w:t xml:space="preserve"> </w:t>
      </w:r>
      <w:r w:rsidRPr="00E74C28">
        <w:rPr>
          <w:szCs w:val="20"/>
        </w:rPr>
        <w:t>and</w:t>
      </w:r>
      <w:r w:rsidR="00C64050">
        <w:rPr>
          <w:szCs w:val="20"/>
        </w:rPr>
        <w:t xml:space="preserve"> </w:t>
      </w:r>
      <w:r w:rsidRPr="00E74C28">
        <w:rPr>
          <w:szCs w:val="20"/>
        </w:rPr>
        <w:t>thus,</w:t>
      </w:r>
      <w:r w:rsidR="00C64050">
        <w:rPr>
          <w:szCs w:val="20"/>
        </w:rPr>
        <w:t xml:space="preserve"> </w:t>
      </w:r>
      <w:r w:rsidRPr="00E74C28">
        <w:rPr>
          <w:szCs w:val="20"/>
        </w:rPr>
        <w:t>Count</w:t>
      </w:r>
      <w:r w:rsidR="00C64050">
        <w:rPr>
          <w:szCs w:val="20"/>
        </w:rPr>
        <w:t xml:space="preserve"> </w:t>
      </w:r>
      <w:r w:rsidRPr="00E74C28">
        <w:rPr>
          <w:szCs w:val="20"/>
        </w:rPr>
        <w:t>II</w:t>
      </w:r>
      <w:r w:rsidR="00C64050">
        <w:rPr>
          <w:szCs w:val="20"/>
        </w:rPr>
        <w:t xml:space="preserve"> </w:t>
      </w:r>
      <w:r w:rsidRPr="00E74C28">
        <w:rPr>
          <w:szCs w:val="20"/>
        </w:rPr>
        <w:t>did</w:t>
      </w:r>
      <w:r w:rsidR="00C64050">
        <w:rPr>
          <w:szCs w:val="20"/>
        </w:rPr>
        <w:t xml:space="preserve"> </w:t>
      </w:r>
      <w:r w:rsidRPr="00E74C28">
        <w:rPr>
          <w:szCs w:val="20"/>
        </w:rPr>
        <w:t>not</w:t>
      </w:r>
      <w:r w:rsidR="00C64050">
        <w:rPr>
          <w:szCs w:val="20"/>
        </w:rPr>
        <w:t xml:space="preserve"> </w:t>
      </w:r>
      <w:r w:rsidRPr="00E74C28">
        <w:rPr>
          <w:szCs w:val="20"/>
        </w:rPr>
        <w:t>trigger</w:t>
      </w:r>
      <w:r w:rsidR="00C64050">
        <w:rPr>
          <w:szCs w:val="20"/>
        </w:rPr>
        <w:t xml:space="preserve"> </w:t>
      </w:r>
      <w:r w:rsidRPr="00E74C28">
        <w:rPr>
          <w:szCs w:val="20"/>
        </w:rPr>
        <w:t>the</w:t>
      </w:r>
      <w:r w:rsidR="00C64050">
        <w:rPr>
          <w:szCs w:val="20"/>
        </w:rPr>
        <w:t xml:space="preserve"> </w:t>
      </w:r>
      <w:r w:rsidRPr="00E74C28">
        <w:rPr>
          <w:szCs w:val="20"/>
        </w:rPr>
        <w:t>application</w:t>
      </w:r>
      <w:r w:rsidR="00C64050">
        <w:rPr>
          <w:szCs w:val="20"/>
        </w:rPr>
        <w:t xml:space="preserve"> </w:t>
      </w:r>
      <w:r w:rsidRPr="00E74C28">
        <w:rPr>
          <w:szCs w:val="20"/>
        </w:rPr>
        <w:t>of</w:t>
      </w:r>
      <w:r w:rsidR="00C64050">
        <w:rPr>
          <w:szCs w:val="20"/>
        </w:rPr>
        <w:t xml:space="preserve"> </w:t>
      </w:r>
      <w:r w:rsidRPr="00E74C28">
        <w:rPr>
          <w:szCs w:val="20"/>
        </w:rPr>
        <w:t>the</w:t>
      </w:r>
      <w:r w:rsidR="00C64050">
        <w:rPr>
          <w:szCs w:val="20"/>
        </w:rPr>
        <w:t xml:space="preserve"> </w:t>
      </w:r>
      <w:r w:rsidRPr="00E74C28">
        <w:rPr>
          <w:szCs w:val="20"/>
        </w:rPr>
        <w:t>no-contest</w:t>
      </w:r>
      <w:r w:rsidR="00C64050">
        <w:rPr>
          <w:szCs w:val="20"/>
        </w:rPr>
        <w:t xml:space="preserve"> </w:t>
      </w:r>
      <w:r w:rsidRPr="00E74C28">
        <w:rPr>
          <w:szCs w:val="20"/>
        </w:rPr>
        <w:t>clause.</w:t>
      </w:r>
      <w:r w:rsidR="00C64050">
        <w:rPr>
          <w:szCs w:val="20"/>
        </w:rPr>
        <w:t xml:space="preserve"> </w:t>
      </w:r>
      <w:r w:rsidRPr="00E74C28">
        <w:rPr>
          <w:rStyle w:val="Emphasis"/>
          <w:szCs w:val="20"/>
        </w:rPr>
        <w:t>Id.</w:t>
      </w:r>
      <w:r w:rsidR="00C64050">
        <w:rPr>
          <w:szCs w:val="20"/>
        </w:rPr>
        <w:t xml:space="preserve"> </w:t>
      </w:r>
      <w:r w:rsidRPr="00E74C28">
        <w:rPr>
          <w:szCs w:val="20"/>
        </w:rPr>
        <w:t>at</w:t>
      </w:r>
      <w:r w:rsidR="00C64050">
        <w:rPr>
          <w:szCs w:val="20"/>
        </w:rPr>
        <w:t xml:space="preserve"> </w:t>
      </w:r>
      <w:r w:rsidRPr="00E74C28">
        <w:rPr>
          <w:szCs w:val="20"/>
        </w:rPr>
        <w:t>11.</w:t>
      </w:r>
    </w:p>
    <w:p w:rsidR="00EF48A0" w:rsidRDefault="00EF48A0" w:rsidP="005420BF">
      <w:pPr>
        <w:pStyle w:val="Body15"/>
      </w:pPr>
      <w:r>
        <w:t>The</w:t>
      </w:r>
      <w:r w:rsidR="00C64050">
        <w:t xml:space="preserve"> </w:t>
      </w:r>
      <w:r>
        <w:t>no</w:t>
      </w:r>
      <w:r w:rsidR="00C64050">
        <w:t xml:space="preserve"> </w:t>
      </w:r>
      <w:r>
        <w:t>contest</w:t>
      </w:r>
      <w:r w:rsidR="00C64050">
        <w:t xml:space="preserve"> </w:t>
      </w:r>
      <w:r>
        <w:t>clause</w:t>
      </w:r>
      <w:r w:rsidR="00C64050">
        <w:t xml:space="preserve"> </w:t>
      </w:r>
      <w:r>
        <w:t>and</w:t>
      </w:r>
      <w:r w:rsidR="00C64050">
        <w:t xml:space="preserve"> </w:t>
      </w:r>
      <w:r>
        <w:t>the</w:t>
      </w:r>
      <w:r w:rsidR="00C64050">
        <w:t xml:space="preserve"> </w:t>
      </w:r>
      <w:r>
        <w:t>reasoning</w:t>
      </w:r>
      <w:r w:rsidR="00C64050">
        <w:t xml:space="preserve"> </w:t>
      </w:r>
      <w:r>
        <w:t>of</w:t>
      </w:r>
      <w:r w:rsidR="00C64050">
        <w:t xml:space="preserve"> </w:t>
      </w:r>
      <w:r>
        <w:t>the</w:t>
      </w:r>
      <w:r w:rsidR="00C64050">
        <w:t xml:space="preserve"> </w:t>
      </w:r>
      <w:r>
        <w:t>lower</w:t>
      </w:r>
      <w:r w:rsidR="00C64050">
        <w:t xml:space="preserve"> </w:t>
      </w:r>
      <w:r>
        <w:t>court,</w:t>
      </w:r>
      <w:r w:rsidR="00C64050">
        <w:t xml:space="preserve"> </w:t>
      </w:r>
      <w:r>
        <w:t>the</w:t>
      </w:r>
      <w:r w:rsidR="00C64050">
        <w:t xml:space="preserve"> </w:t>
      </w:r>
      <w:r>
        <w:t>opinion</w:t>
      </w:r>
      <w:r w:rsidR="00C64050">
        <w:t xml:space="preserve"> </w:t>
      </w:r>
      <w:r>
        <w:t>summarized</w:t>
      </w:r>
      <w:r w:rsidR="00C64050">
        <w:t xml:space="preserve"> </w:t>
      </w:r>
      <w:r>
        <w:t>this</w:t>
      </w:r>
      <w:r w:rsidR="00C64050">
        <w:t xml:space="preserve"> </w:t>
      </w:r>
      <w:r>
        <w:t>way:</w:t>
      </w:r>
    </w:p>
    <w:p w:rsidR="00E74C28" w:rsidRPr="00E74C28" w:rsidRDefault="00E74C28" w:rsidP="00E74C28">
      <w:pPr>
        <w:pStyle w:val="QS10"/>
        <w:rPr>
          <w:szCs w:val="20"/>
        </w:rPr>
      </w:pPr>
      <w:r w:rsidRPr="00E74C28">
        <w:rPr>
          <w:szCs w:val="20"/>
        </w:rPr>
        <w:t>The</w:t>
      </w:r>
      <w:r w:rsidR="00C64050">
        <w:rPr>
          <w:szCs w:val="20"/>
        </w:rPr>
        <w:t xml:space="preserve"> </w:t>
      </w:r>
      <w:r w:rsidRPr="00E74C28">
        <w:rPr>
          <w:szCs w:val="20"/>
        </w:rPr>
        <w:t>circuit</w:t>
      </w:r>
      <w:r w:rsidR="00C64050">
        <w:rPr>
          <w:szCs w:val="20"/>
        </w:rPr>
        <w:t xml:space="preserve"> </w:t>
      </w:r>
      <w:r w:rsidRPr="00E74C28">
        <w:rPr>
          <w:szCs w:val="20"/>
        </w:rPr>
        <w:t>court</w:t>
      </w:r>
      <w:r w:rsidR="00C64050">
        <w:rPr>
          <w:szCs w:val="20"/>
        </w:rPr>
        <w:t xml:space="preserve"> </w:t>
      </w:r>
      <w:r w:rsidRPr="00E74C28">
        <w:rPr>
          <w:szCs w:val="20"/>
        </w:rPr>
        <w:t>held</w:t>
      </w:r>
      <w:r w:rsidR="00C64050">
        <w:rPr>
          <w:szCs w:val="20"/>
        </w:rPr>
        <w:t xml:space="preserve"> </w:t>
      </w:r>
      <w:r w:rsidRPr="00E74C28">
        <w:rPr>
          <w:szCs w:val="20"/>
        </w:rPr>
        <w:t>that</w:t>
      </w:r>
      <w:r w:rsidR="00C64050">
        <w:rPr>
          <w:szCs w:val="20"/>
        </w:rPr>
        <w:t xml:space="preserve"> </w:t>
      </w:r>
      <w:r w:rsidRPr="00E74C28">
        <w:rPr>
          <w:szCs w:val="20"/>
        </w:rPr>
        <w:t>Count</w:t>
      </w:r>
      <w:r w:rsidR="00C64050">
        <w:rPr>
          <w:szCs w:val="20"/>
        </w:rPr>
        <w:t xml:space="preserve"> </w:t>
      </w:r>
      <w:r w:rsidRPr="00E74C28">
        <w:rPr>
          <w:szCs w:val="20"/>
        </w:rPr>
        <w:t>II</w:t>
      </w:r>
      <w:r w:rsidR="00C64050">
        <w:rPr>
          <w:szCs w:val="20"/>
        </w:rPr>
        <w:t xml:space="preserve"> </w:t>
      </w:r>
      <w:r w:rsidRPr="00E74C28">
        <w:rPr>
          <w:szCs w:val="20"/>
        </w:rPr>
        <w:t>of</w:t>
      </w:r>
      <w:r w:rsidR="00C64050">
        <w:rPr>
          <w:szCs w:val="20"/>
        </w:rPr>
        <w:t xml:space="preserve"> </w:t>
      </w:r>
      <w:r w:rsidRPr="00E74C28">
        <w:rPr>
          <w:szCs w:val="20"/>
        </w:rPr>
        <w:t>the</w:t>
      </w:r>
      <w:r w:rsidR="00C64050">
        <w:rPr>
          <w:szCs w:val="20"/>
        </w:rPr>
        <w:t xml:space="preserve"> </w:t>
      </w:r>
      <w:r w:rsidRPr="00E74C28">
        <w:rPr>
          <w:szCs w:val="20"/>
        </w:rPr>
        <w:t>complaint</w:t>
      </w:r>
      <w:r w:rsidR="00C64050">
        <w:rPr>
          <w:szCs w:val="20"/>
        </w:rPr>
        <w:t xml:space="preserve"> </w:t>
      </w:r>
      <w:r w:rsidRPr="00E74C28">
        <w:rPr>
          <w:szCs w:val="20"/>
        </w:rPr>
        <w:t>had</w:t>
      </w:r>
      <w:r w:rsidR="00C64050">
        <w:rPr>
          <w:szCs w:val="20"/>
        </w:rPr>
        <w:t xml:space="preserve"> </w:t>
      </w:r>
      <w:r w:rsidRPr="00E74C28">
        <w:rPr>
          <w:szCs w:val="20"/>
        </w:rPr>
        <w:t>triggered</w:t>
      </w:r>
      <w:r w:rsidR="00C64050">
        <w:rPr>
          <w:szCs w:val="20"/>
        </w:rPr>
        <w:t xml:space="preserve"> </w:t>
      </w:r>
      <w:r w:rsidRPr="00E74C28">
        <w:rPr>
          <w:szCs w:val="20"/>
        </w:rPr>
        <w:t>the</w:t>
      </w:r>
      <w:r w:rsidR="00C64050">
        <w:rPr>
          <w:szCs w:val="20"/>
        </w:rPr>
        <w:t xml:space="preserve"> </w:t>
      </w:r>
      <w:r w:rsidRPr="00E74C28">
        <w:rPr>
          <w:szCs w:val="20"/>
        </w:rPr>
        <w:t>no-contest</w:t>
      </w:r>
      <w:r w:rsidR="00C64050">
        <w:rPr>
          <w:szCs w:val="20"/>
        </w:rPr>
        <w:t xml:space="preserve"> </w:t>
      </w:r>
      <w:r w:rsidRPr="00E74C28">
        <w:rPr>
          <w:szCs w:val="20"/>
        </w:rPr>
        <w:t>provision</w:t>
      </w:r>
      <w:r w:rsidR="00C64050">
        <w:rPr>
          <w:szCs w:val="20"/>
        </w:rPr>
        <w:t xml:space="preserve"> </w:t>
      </w:r>
      <w:r w:rsidRPr="00E74C28">
        <w:rPr>
          <w:szCs w:val="20"/>
        </w:rPr>
        <w:t>and,</w:t>
      </w:r>
      <w:r w:rsidR="00C64050">
        <w:rPr>
          <w:szCs w:val="20"/>
        </w:rPr>
        <w:t xml:space="preserve"> </w:t>
      </w:r>
      <w:r w:rsidRPr="00E74C28">
        <w:rPr>
          <w:szCs w:val="20"/>
        </w:rPr>
        <w:t>on</w:t>
      </w:r>
      <w:r w:rsidR="00C64050">
        <w:rPr>
          <w:szCs w:val="20"/>
        </w:rPr>
        <w:t xml:space="preserve"> </w:t>
      </w:r>
      <w:r w:rsidRPr="00E74C28">
        <w:rPr>
          <w:szCs w:val="20"/>
        </w:rPr>
        <w:t>this</w:t>
      </w:r>
      <w:r w:rsidR="00C64050">
        <w:rPr>
          <w:szCs w:val="20"/>
        </w:rPr>
        <w:t xml:space="preserve"> </w:t>
      </w:r>
      <w:r w:rsidRPr="00E74C28">
        <w:rPr>
          <w:szCs w:val="20"/>
        </w:rPr>
        <w:t>basis,</w:t>
      </w:r>
      <w:r w:rsidR="00C64050">
        <w:rPr>
          <w:szCs w:val="20"/>
        </w:rPr>
        <w:t xml:space="preserve"> </w:t>
      </w:r>
      <w:r w:rsidRPr="00E74C28">
        <w:rPr>
          <w:szCs w:val="20"/>
        </w:rPr>
        <w:t>ordered</w:t>
      </w:r>
      <w:r w:rsidR="00C64050">
        <w:rPr>
          <w:szCs w:val="20"/>
        </w:rPr>
        <w:t xml:space="preserve"> </w:t>
      </w:r>
      <w:r w:rsidRPr="00E74C28">
        <w:rPr>
          <w:szCs w:val="20"/>
        </w:rPr>
        <w:t>the</w:t>
      </w:r>
      <w:r w:rsidR="00C64050">
        <w:rPr>
          <w:szCs w:val="20"/>
        </w:rPr>
        <w:t xml:space="preserve"> </w:t>
      </w:r>
      <w:r w:rsidRPr="00E74C28">
        <w:rPr>
          <w:szCs w:val="20"/>
        </w:rPr>
        <w:t>forfeiture</w:t>
      </w:r>
      <w:r w:rsidR="00C64050">
        <w:rPr>
          <w:szCs w:val="20"/>
        </w:rPr>
        <w:t xml:space="preserve"> </w:t>
      </w:r>
      <w:r w:rsidRPr="00E74C28">
        <w:rPr>
          <w:szCs w:val="20"/>
        </w:rPr>
        <w:t>of</w:t>
      </w:r>
      <w:r w:rsidR="00C64050">
        <w:rPr>
          <w:szCs w:val="20"/>
        </w:rPr>
        <w:t xml:space="preserve"> </w:t>
      </w:r>
      <w:r w:rsidRPr="00E74C28">
        <w:rPr>
          <w:szCs w:val="20"/>
        </w:rPr>
        <w:t>Chip’s</w:t>
      </w:r>
      <w:r w:rsidR="00C64050">
        <w:rPr>
          <w:szCs w:val="20"/>
        </w:rPr>
        <w:t xml:space="preserve"> </w:t>
      </w:r>
      <w:r w:rsidRPr="00E74C28">
        <w:rPr>
          <w:szCs w:val="20"/>
        </w:rPr>
        <w:t>interest</w:t>
      </w:r>
      <w:r w:rsidR="00C64050">
        <w:rPr>
          <w:szCs w:val="20"/>
        </w:rPr>
        <w:t xml:space="preserve"> </w:t>
      </w:r>
      <w:r w:rsidRPr="00E74C28">
        <w:rPr>
          <w:szCs w:val="20"/>
        </w:rPr>
        <w:t>in</w:t>
      </w:r>
      <w:r w:rsidR="00C64050">
        <w:rPr>
          <w:szCs w:val="20"/>
        </w:rPr>
        <w:t xml:space="preserve"> </w:t>
      </w:r>
      <w:r w:rsidRPr="00E74C28">
        <w:rPr>
          <w:szCs w:val="20"/>
        </w:rPr>
        <w:t>the</w:t>
      </w:r>
      <w:r w:rsidR="00C64050">
        <w:rPr>
          <w:szCs w:val="20"/>
        </w:rPr>
        <w:t xml:space="preserve"> </w:t>
      </w:r>
      <w:r w:rsidRPr="00E74C28">
        <w:rPr>
          <w:szCs w:val="20"/>
        </w:rPr>
        <w:t>Theresa</w:t>
      </w:r>
      <w:r w:rsidR="00C64050">
        <w:rPr>
          <w:szCs w:val="20"/>
        </w:rPr>
        <w:t xml:space="preserve"> </w:t>
      </w:r>
      <w:r w:rsidRPr="00E74C28">
        <w:rPr>
          <w:szCs w:val="20"/>
        </w:rPr>
        <w:t>Trust.</w:t>
      </w:r>
      <w:r w:rsidR="00C64050">
        <w:rPr>
          <w:szCs w:val="20"/>
        </w:rPr>
        <w:t xml:space="preserve"> </w:t>
      </w:r>
      <w:r w:rsidRPr="00E74C28">
        <w:rPr>
          <w:szCs w:val="20"/>
        </w:rPr>
        <w:t>Even</w:t>
      </w:r>
      <w:r w:rsidR="00C64050">
        <w:rPr>
          <w:szCs w:val="20"/>
        </w:rPr>
        <w:t xml:space="preserve"> </w:t>
      </w:r>
      <w:r w:rsidRPr="00E74C28">
        <w:rPr>
          <w:szCs w:val="20"/>
        </w:rPr>
        <w:t>if</w:t>
      </w:r>
      <w:r w:rsidR="00C64050">
        <w:rPr>
          <w:szCs w:val="20"/>
        </w:rPr>
        <w:t xml:space="preserve"> </w:t>
      </w:r>
      <w:r w:rsidRPr="00E74C28">
        <w:rPr>
          <w:szCs w:val="20"/>
        </w:rPr>
        <w:t>it</w:t>
      </w:r>
      <w:r w:rsidR="00C64050">
        <w:rPr>
          <w:szCs w:val="20"/>
        </w:rPr>
        <w:t xml:space="preserve"> </w:t>
      </w:r>
      <w:r w:rsidRPr="00E74C28">
        <w:rPr>
          <w:szCs w:val="20"/>
        </w:rPr>
        <w:t>were</w:t>
      </w:r>
      <w:r w:rsidR="00C64050">
        <w:rPr>
          <w:szCs w:val="20"/>
        </w:rPr>
        <w:t xml:space="preserve"> </w:t>
      </w:r>
      <w:r w:rsidRPr="00E74C28">
        <w:rPr>
          <w:szCs w:val="20"/>
        </w:rPr>
        <w:t>true</w:t>
      </w:r>
      <w:r w:rsidR="00C64050">
        <w:rPr>
          <w:szCs w:val="20"/>
        </w:rPr>
        <w:t xml:space="preserve"> </w:t>
      </w:r>
      <w:r w:rsidRPr="00E74C28">
        <w:rPr>
          <w:szCs w:val="20"/>
        </w:rPr>
        <w:t>that</w:t>
      </w:r>
      <w:r w:rsidR="00C64050">
        <w:rPr>
          <w:szCs w:val="20"/>
        </w:rPr>
        <w:t xml:space="preserve"> </w:t>
      </w:r>
      <w:r w:rsidRPr="00E74C28">
        <w:rPr>
          <w:szCs w:val="20"/>
        </w:rPr>
        <w:t>Count</w:t>
      </w:r>
      <w:r w:rsidR="00C64050">
        <w:rPr>
          <w:szCs w:val="20"/>
        </w:rPr>
        <w:t xml:space="preserve"> </w:t>
      </w:r>
      <w:r w:rsidRPr="00E74C28">
        <w:rPr>
          <w:szCs w:val="20"/>
        </w:rPr>
        <w:t>II</w:t>
      </w:r>
      <w:r w:rsidR="00C64050">
        <w:rPr>
          <w:szCs w:val="20"/>
        </w:rPr>
        <w:t xml:space="preserve"> </w:t>
      </w:r>
      <w:r w:rsidRPr="00E74C28">
        <w:rPr>
          <w:szCs w:val="20"/>
        </w:rPr>
        <w:t>had</w:t>
      </w:r>
      <w:r w:rsidR="00C64050">
        <w:rPr>
          <w:szCs w:val="20"/>
        </w:rPr>
        <w:t xml:space="preserve"> </w:t>
      </w:r>
      <w:r w:rsidRPr="00E74C28">
        <w:rPr>
          <w:szCs w:val="20"/>
        </w:rPr>
        <w:t>violated</w:t>
      </w:r>
      <w:r w:rsidR="00C64050">
        <w:rPr>
          <w:szCs w:val="20"/>
        </w:rPr>
        <w:t xml:space="preserve"> </w:t>
      </w:r>
      <w:r w:rsidRPr="00E74C28">
        <w:rPr>
          <w:szCs w:val="20"/>
        </w:rPr>
        <w:t>the</w:t>
      </w:r>
      <w:r w:rsidR="00C64050">
        <w:rPr>
          <w:szCs w:val="20"/>
        </w:rPr>
        <w:t xml:space="preserve"> </w:t>
      </w:r>
      <w:r w:rsidRPr="00E74C28">
        <w:rPr>
          <w:szCs w:val="20"/>
        </w:rPr>
        <w:t>no-contest</w:t>
      </w:r>
      <w:r w:rsidR="00C64050">
        <w:rPr>
          <w:szCs w:val="20"/>
        </w:rPr>
        <w:t xml:space="preserve"> </w:t>
      </w:r>
      <w:r w:rsidRPr="00E74C28">
        <w:rPr>
          <w:szCs w:val="20"/>
        </w:rPr>
        <w:t>provision,</w:t>
      </w:r>
      <w:r w:rsidR="00C64050">
        <w:rPr>
          <w:szCs w:val="20"/>
        </w:rPr>
        <w:t xml:space="preserve"> </w:t>
      </w:r>
      <w:r w:rsidRPr="00E74C28">
        <w:rPr>
          <w:szCs w:val="20"/>
        </w:rPr>
        <w:t>the</w:t>
      </w:r>
      <w:r w:rsidR="00C64050">
        <w:rPr>
          <w:szCs w:val="20"/>
        </w:rPr>
        <w:t xml:space="preserve"> </w:t>
      </w:r>
      <w:r w:rsidRPr="00E74C28">
        <w:rPr>
          <w:szCs w:val="20"/>
        </w:rPr>
        <w:t>court</w:t>
      </w:r>
      <w:r w:rsidR="00C64050">
        <w:rPr>
          <w:szCs w:val="20"/>
        </w:rPr>
        <w:t xml:space="preserve"> </w:t>
      </w:r>
      <w:r w:rsidRPr="00E74C28">
        <w:rPr>
          <w:szCs w:val="20"/>
        </w:rPr>
        <w:t>erred</w:t>
      </w:r>
      <w:r w:rsidR="00C64050">
        <w:rPr>
          <w:szCs w:val="20"/>
        </w:rPr>
        <w:t xml:space="preserve"> </w:t>
      </w:r>
      <w:r w:rsidRPr="00E74C28">
        <w:rPr>
          <w:szCs w:val="20"/>
        </w:rPr>
        <w:t>by</w:t>
      </w:r>
      <w:r w:rsidR="00C64050">
        <w:rPr>
          <w:szCs w:val="20"/>
        </w:rPr>
        <w:t xml:space="preserve"> </w:t>
      </w:r>
      <w:r w:rsidRPr="00E74C28">
        <w:rPr>
          <w:szCs w:val="20"/>
        </w:rPr>
        <w:t>disregarding</w:t>
      </w:r>
      <w:r w:rsidR="00C64050">
        <w:rPr>
          <w:szCs w:val="20"/>
        </w:rPr>
        <w:t xml:space="preserve"> </w:t>
      </w:r>
      <w:r w:rsidRPr="00E74C28">
        <w:rPr>
          <w:szCs w:val="20"/>
        </w:rPr>
        <w:t>the</w:t>
      </w:r>
      <w:r w:rsidR="00C64050">
        <w:rPr>
          <w:szCs w:val="20"/>
        </w:rPr>
        <w:t xml:space="preserve"> </w:t>
      </w:r>
      <w:r w:rsidRPr="00E74C28">
        <w:rPr>
          <w:szCs w:val="20"/>
        </w:rPr>
        <w:t>if-and-only-if</w:t>
      </w:r>
      <w:r w:rsidR="00C64050">
        <w:rPr>
          <w:szCs w:val="20"/>
        </w:rPr>
        <w:t xml:space="preserve"> </w:t>
      </w:r>
      <w:r w:rsidRPr="00E74C28">
        <w:rPr>
          <w:szCs w:val="20"/>
        </w:rPr>
        <w:t>proviso</w:t>
      </w:r>
      <w:r w:rsidR="00C64050">
        <w:rPr>
          <w:szCs w:val="20"/>
        </w:rPr>
        <w:t xml:space="preserve"> </w:t>
      </w:r>
      <w:r w:rsidRPr="00E74C28">
        <w:rPr>
          <w:szCs w:val="20"/>
        </w:rPr>
        <w:t>of</w:t>
      </w:r>
      <w:r w:rsidR="00C64050">
        <w:rPr>
          <w:szCs w:val="20"/>
        </w:rPr>
        <w:t xml:space="preserve"> </w:t>
      </w:r>
      <w:r w:rsidRPr="00E74C28">
        <w:rPr>
          <w:szCs w:val="20"/>
        </w:rPr>
        <w:t>Count</w:t>
      </w:r>
      <w:r w:rsidR="00C64050">
        <w:rPr>
          <w:szCs w:val="20"/>
        </w:rPr>
        <w:t xml:space="preserve"> </w:t>
      </w:r>
      <w:r w:rsidRPr="00E74C28">
        <w:rPr>
          <w:szCs w:val="20"/>
        </w:rPr>
        <w:t>I</w:t>
      </w:r>
      <w:r w:rsidR="00C64050">
        <w:rPr>
          <w:szCs w:val="20"/>
        </w:rPr>
        <w:t xml:space="preserve"> </w:t>
      </w:r>
      <w:r w:rsidRPr="00E74C28">
        <w:rPr>
          <w:szCs w:val="20"/>
        </w:rPr>
        <w:t>and</w:t>
      </w:r>
      <w:r w:rsidR="00C64050">
        <w:rPr>
          <w:szCs w:val="20"/>
        </w:rPr>
        <w:t xml:space="preserve"> </w:t>
      </w:r>
      <w:r w:rsidRPr="00E74C28">
        <w:rPr>
          <w:szCs w:val="20"/>
        </w:rPr>
        <w:t>ordering</w:t>
      </w:r>
      <w:r w:rsidR="00C64050">
        <w:rPr>
          <w:szCs w:val="20"/>
        </w:rPr>
        <w:t xml:space="preserve"> </w:t>
      </w:r>
      <w:r w:rsidRPr="00E74C28">
        <w:rPr>
          <w:szCs w:val="20"/>
        </w:rPr>
        <w:t>a</w:t>
      </w:r>
      <w:r w:rsidR="00C64050">
        <w:rPr>
          <w:szCs w:val="20"/>
        </w:rPr>
        <w:t xml:space="preserve"> </w:t>
      </w:r>
      <w:r w:rsidRPr="00E74C28">
        <w:rPr>
          <w:szCs w:val="20"/>
        </w:rPr>
        <w:t>forfeiture</w:t>
      </w:r>
      <w:r w:rsidR="00C64050">
        <w:rPr>
          <w:szCs w:val="20"/>
        </w:rPr>
        <w:t xml:space="preserve"> </w:t>
      </w:r>
      <w:r w:rsidRPr="00E74C28">
        <w:rPr>
          <w:szCs w:val="20"/>
        </w:rPr>
        <w:t>based</w:t>
      </w:r>
      <w:r w:rsidR="00C64050">
        <w:rPr>
          <w:szCs w:val="20"/>
        </w:rPr>
        <w:t xml:space="preserve"> </w:t>
      </w:r>
      <w:r w:rsidRPr="00E74C28">
        <w:rPr>
          <w:szCs w:val="20"/>
        </w:rPr>
        <w:t>upon</w:t>
      </w:r>
      <w:r w:rsidR="00C64050">
        <w:rPr>
          <w:szCs w:val="20"/>
        </w:rPr>
        <w:t xml:space="preserve"> </w:t>
      </w:r>
      <w:r w:rsidRPr="00E74C28">
        <w:rPr>
          <w:szCs w:val="20"/>
        </w:rPr>
        <w:t>Count</w:t>
      </w:r>
      <w:r w:rsidR="00C64050">
        <w:rPr>
          <w:szCs w:val="20"/>
        </w:rPr>
        <w:t xml:space="preserve"> </w:t>
      </w:r>
      <w:r w:rsidRPr="00E74C28">
        <w:rPr>
          <w:szCs w:val="20"/>
        </w:rPr>
        <w:t>II.</w:t>
      </w:r>
      <w:r w:rsidR="00C64050">
        <w:rPr>
          <w:szCs w:val="20"/>
        </w:rPr>
        <w:t xml:space="preserve"> </w:t>
      </w:r>
      <w:r w:rsidRPr="00E74C28">
        <w:rPr>
          <w:szCs w:val="20"/>
        </w:rPr>
        <w:t>Instead,</w:t>
      </w:r>
      <w:r w:rsidR="00C64050">
        <w:rPr>
          <w:szCs w:val="20"/>
        </w:rPr>
        <w:t xml:space="preserve"> </w:t>
      </w:r>
      <w:r w:rsidRPr="00E74C28">
        <w:rPr>
          <w:szCs w:val="20"/>
        </w:rPr>
        <w:t>in</w:t>
      </w:r>
      <w:r w:rsidR="00C64050">
        <w:rPr>
          <w:szCs w:val="20"/>
        </w:rPr>
        <w:t xml:space="preserve"> </w:t>
      </w:r>
      <w:r w:rsidRPr="00E74C28">
        <w:rPr>
          <w:szCs w:val="20"/>
        </w:rPr>
        <w:t>such</w:t>
      </w:r>
      <w:r w:rsidR="00C64050">
        <w:rPr>
          <w:szCs w:val="20"/>
        </w:rPr>
        <w:t xml:space="preserve"> </w:t>
      </w:r>
      <w:r w:rsidRPr="00E74C28">
        <w:rPr>
          <w:szCs w:val="20"/>
        </w:rPr>
        <w:t>a</w:t>
      </w:r>
      <w:r w:rsidR="00C64050">
        <w:rPr>
          <w:szCs w:val="20"/>
        </w:rPr>
        <w:t xml:space="preserve"> </w:t>
      </w:r>
      <w:r w:rsidRPr="00E74C28">
        <w:rPr>
          <w:szCs w:val="20"/>
        </w:rPr>
        <w:t>scenario,</w:t>
      </w:r>
      <w:r w:rsidR="00C64050">
        <w:rPr>
          <w:szCs w:val="20"/>
        </w:rPr>
        <w:t xml:space="preserve"> </w:t>
      </w:r>
      <w:r w:rsidRPr="00E74C28">
        <w:rPr>
          <w:szCs w:val="20"/>
        </w:rPr>
        <w:t>the</w:t>
      </w:r>
      <w:r w:rsidR="00C64050">
        <w:rPr>
          <w:szCs w:val="20"/>
        </w:rPr>
        <w:t xml:space="preserve"> </w:t>
      </w:r>
      <w:r w:rsidRPr="00E74C28">
        <w:rPr>
          <w:szCs w:val="20"/>
        </w:rPr>
        <w:t>circuit</w:t>
      </w:r>
      <w:r w:rsidR="00C64050">
        <w:rPr>
          <w:szCs w:val="20"/>
        </w:rPr>
        <w:t xml:space="preserve"> </w:t>
      </w:r>
      <w:r w:rsidRPr="00E74C28">
        <w:rPr>
          <w:szCs w:val="20"/>
        </w:rPr>
        <w:t>court</w:t>
      </w:r>
      <w:r w:rsidR="00C64050">
        <w:rPr>
          <w:szCs w:val="20"/>
        </w:rPr>
        <w:t xml:space="preserve"> </w:t>
      </w:r>
      <w:r w:rsidRPr="00E74C28">
        <w:rPr>
          <w:szCs w:val="20"/>
        </w:rPr>
        <w:t>should</w:t>
      </w:r>
      <w:r w:rsidR="00C64050">
        <w:rPr>
          <w:szCs w:val="20"/>
        </w:rPr>
        <w:t xml:space="preserve"> </w:t>
      </w:r>
      <w:r w:rsidRPr="00E74C28">
        <w:rPr>
          <w:szCs w:val="20"/>
        </w:rPr>
        <w:t>have</w:t>
      </w:r>
      <w:r w:rsidR="00C64050">
        <w:rPr>
          <w:szCs w:val="20"/>
        </w:rPr>
        <w:t xml:space="preserve"> </w:t>
      </w:r>
      <w:r w:rsidRPr="00E74C28">
        <w:rPr>
          <w:szCs w:val="20"/>
        </w:rPr>
        <w:t>entered</w:t>
      </w:r>
      <w:r w:rsidR="00C64050">
        <w:rPr>
          <w:szCs w:val="20"/>
        </w:rPr>
        <w:t xml:space="preserve"> </w:t>
      </w:r>
      <w:r w:rsidRPr="00E74C28">
        <w:rPr>
          <w:szCs w:val="20"/>
        </w:rPr>
        <w:t>judgment</w:t>
      </w:r>
      <w:r w:rsidR="00C64050">
        <w:rPr>
          <w:szCs w:val="20"/>
        </w:rPr>
        <w:t xml:space="preserve"> </w:t>
      </w:r>
      <w:r w:rsidRPr="00E74C28">
        <w:rPr>
          <w:szCs w:val="20"/>
        </w:rPr>
        <w:t>on</w:t>
      </w:r>
      <w:r w:rsidR="00C64050">
        <w:rPr>
          <w:szCs w:val="20"/>
        </w:rPr>
        <w:t xml:space="preserve"> </w:t>
      </w:r>
      <w:r w:rsidRPr="00E74C28">
        <w:rPr>
          <w:szCs w:val="20"/>
        </w:rPr>
        <w:t>Count</w:t>
      </w:r>
      <w:r w:rsidR="00C64050">
        <w:rPr>
          <w:szCs w:val="20"/>
        </w:rPr>
        <w:t xml:space="preserve"> </w:t>
      </w:r>
      <w:r w:rsidRPr="00E74C28">
        <w:rPr>
          <w:szCs w:val="20"/>
        </w:rPr>
        <w:t>I</w:t>
      </w:r>
      <w:r w:rsidR="00C64050">
        <w:rPr>
          <w:szCs w:val="20"/>
        </w:rPr>
        <w:t xml:space="preserve"> </w:t>
      </w:r>
      <w:r w:rsidRPr="00E74C28">
        <w:rPr>
          <w:szCs w:val="20"/>
        </w:rPr>
        <w:t>in</w:t>
      </w:r>
      <w:r w:rsidR="00C64050">
        <w:rPr>
          <w:szCs w:val="20"/>
        </w:rPr>
        <w:t xml:space="preserve"> </w:t>
      </w:r>
      <w:r w:rsidRPr="00E74C28">
        <w:rPr>
          <w:szCs w:val="20"/>
        </w:rPr>
        <w:t>Eleanor’s</w:t>
      </w:r>
      <w:r w:rsidR="00C64050">
        <w:rPr>
          <w:szCs w:val="20"/>
        </w:rPr>
        <w:t xml:space="preserve"> </w:t>
      </w:r>
      <w:r w:rsidRPr="00E74C28">
        <w:rPr>
          <w:szCs w:val="20"/>
        </w:rPr>
        <w:t>favor</w:t>
      </w:r>
      <w:r w:rsidR="00C64050">
        <w:rPr>
          <w:szCs w:val="20"/>
        </w:rPr>
        <w:t xml:space="preserve"> </w:t>
      </w:r>
      <w:r w:rsidRPr="00E74C28">
        <w:rPr>
          <w:szCs w:val="20"/>
        </w:rPr>
        <w:t>and</w:t>
      </w:r>
      <w:r w:rsidR="00C64050">
        <w:rPr>
          <w:szCs w:val="20"/>
        </w:rPr>
        <w:t xml:space="preserve"> </w:t>
      </w:r>
      <w:r w:rsidRPr="00E74C28">
        <w:rPr>
          <w:szCs w:val="20"/>
        </w:rPr>
        <w:t>dismissed</w:t>
      </w:r>
      <w:r w:rsidR="00C64050">
        <w:rPr>
          <w:szCs w:val="20"/>
        </w:rPr>
        <w:t xml:space="preserve"> </w:t>
      </w:r>
      <w:r w:rsidRPr="00E74C28">
        <w:rPr>
          <w:szCs w:val="20"/>
        </w:rPr>
        <w:t>Count</w:t>
      </w:r>
      <w:r w:rsidR="00C64050">
        <w:rPr>
          <w:szCs w:val="20"/>
        </w:rPr>
        <w:t xml:space="preserve"> </w:t>
      </w:r>
      <w:r w:rsidRPr="00E74C28">
        <w:rPr>
          <w:szCs w:val="20"/>
        </w:rPr>
        <w:t>II</w:t>
      </w:r>
      <w:r w:rsidR="00C64050">
        <w:rPr>
          <w:szCs w:val="20"/>
        </w:rPr>
        <w:t xml:space="preserve"> </w:t>
      </w:r>
      <w:r w:rsidRPr="00E74C28">
        <w:rPr>
          <w:szCs w:val="20"/>
        </w:rPr>
        <w:t>as</w:t>
      </w:r>
      <w:r w:rsidR="00C64050">
        <w:rPr>
          <w:szCs w:val="20"/>
        </w:rPr>
        <w:t xml:space="preserve"> </w:t>
      </w:r>
      <w:r w:rsidRPr="00E74C28">
        <w:rPr>
          <w:szCs w:val="20"/>
        </w:rPr>
        <w:t>moot.</w:t>
      </w:r>
    </w:p>
    <w:p w:rsidR="00E74C28" w:rsidRPr="00E74C28" w:rsidRDefault="00EA23AC" w:rsidP="00E74C28">
      <w:pPr>
        <w:pStyle w:val="QS10"/>
        <w:rPr>
          <w:szCs w:val="20"/>
        </w:rPr>
      </w:pPr>
      <w:hyperlink r:id="rId421" w:anchor="co_anchor_F102050561435" w:history="1"/>
      <w:r w:rsidR="00E74C28" w:rsidRPr="00E74C28">
        <w:rPr>
          <w:szCs w:val="20"/>
        </w:rPr>
        <w:t>That</w:t>
      </w:r>
      <w:r w:rsidR="00C64050">
        <w:rPr>
          <w:szCs w:val="20"/>
        </w:rPr>
        <w:t xml:space="preserve"> </w:t>
      </w:r>
      <w:r w:rsidR="00E74C28" w:rsidRPr="00E74C28">
        <w:rPr>
          <w:szCs w:val="20"/>
        </w:rPr>
        <w:t>said,</w:t>
      </w:r>
      <w:r w:rsidR="00C64050">
        <w:rPr>
          <w:szCs w:val="20"/>
        </w:rPr>
        <w:t xml:space="preserve"> </w:t>
      </w:r>
      <w:r w:rsidR="00E74C28" w:rsidRPr="00E74C28">
        <w:rPr>
          <w:szCs w:val="20"/>
        </w:rPr>
        <w:t>we</w:t>
      </w:r>
      <w:r w:rsidR="00C64050">
        <w:rPr>
          <w:szCs w:val="20"/>
        </w:rPr>
        <w:t xml:space="preserve"> </w:t>
      </w:r>
      <w:r w:rsidR="00E74C28" w:rsidRPr="00E74C28">
        <w:rPr>
          <w:szCs w:val="20"/>
        </w:rPr>
        <w:t>do</w:t>
      </w:r>
      <w:r w:rsidR="00C64050">
        <w:rPr>
          <w:szCs w:val="20"/>
        </w:rPr>
        <w:t xml:space="preserve"> </w:t>
      </w:r>
      <w:r w:rsidR="00E74C28" w:rsidRPr="00E74C28">
        <w:rPr>
          <w:szCs w:val="20"/>
        </w:rPr>
        <w:t>not</w:t>
      </w:r>
      <w:r w:rsidR="00C64050">
        <w:rPr>
          <w:szCs w:val="20"/>
        </w:rPr>
        <w:t xml:space="preserve"> </w:t>
      </w:r>
      <w:r w:rsidR="00E74C28" w:rsidRPr="00E74C28">
        <w:rPr>
          <w:szCs w:val="20"/>
        </w:rPr>
        <w:t>accept</w:t>
      </w:r>
      <w:r w:rsidR="00C64050">
        <w:rPr>
          <w:szCs w:val="20"/>
        </w:rPr>
        <w:t xml:space="preserve"> </w:t>
      </w:r>
      <w:r w:rsidR="00E74C28" w:rsidRPr="00E74C28">
        <w:rPr>
          <w:szCs w:val="20"/>
        </w:rPr>
        <w:t>the</w:t>
      </w:r>
      <w:r w:rsidR="00C64050">
        <w:rPr>
          <w:szCs w:val="20"/>
        </w:rPr>
        <w:t xml:space="preserve"> </w:t>
      </w:r>
      <w:r w:rsidR="00E74C28" w:rsidRPr="00E74C28">
        <w:rPr>
          <w:szCs w:val="20"/>
        </w:rPr>
        <w:t>first</w:t>
      </w:r>
      <w:r w:rsidR="00C64050">
        <w:rPr>
          <w:szCs w:val="20"/>
        </w:rPr>
        <w:t xml:space="preserve"> </w:t>
      </w:r>
      <w:r w:rsidR="00E74C28" w:rsidRPr="00E74C28">
        <w:rPr>
          <w:szCs w:val="20"/>
        </w:rPr>
        <w:t>premise</w:t>
      </w:r>
      <w:r w:rsidR="00C64050">
        <w:rPr>
          <w:szCs w:val="20"/>
        </w:rPr>
        <w:t xml:space="preserve"> </w:t>
      </w:r>
      <w:r w:rsidR="00E74C28" w:rsidRPr="00E74C28">
        <w:rPr>
          <w:szCs w:val="20"/>
        </w:rPr>
        <w:t>of</w:t>
      </w:r>
      <w:r w:rsidR="00C64050">
        <w:rPr>
          <w:szCs w:val="20"/>
        </w:rPr>
        <w:t xml:space="preserve"> </w:t>
      </w:r>
      <w:r w:rsidR="00E74C28" w:rsidRPr="00E74C28">
        <w:rPr>
          <w:szCs w:val="20"/>
        </w:rPr>
        <w:t>the</w:t>
      </w:r>
      <w:r w:rsidR="00C64050">
        <w:rPr>
          <w:szCs w:val="20"/>
        </w:rPr>
        <w:t xml:space="preserve"> </w:t>
      </w:r>
      <w:r w:rsidR="00E74C28" w:rsidRPr="00E74C28">
        <w:rPr>
          <w:szCs w:val="20"/>
        </w:rPr>
        <w:t>circuit</w:t>
      </w:r>
      <w:r w:rsidR="00C64050">
        <w:rPr>
          <w:szCs w:val="20"/>
        </w:rPr>
        <w:t xml:space="preserve"> </w:t>
      </w:r>
      <w:r w:rsidR="00E74C28" w:rsidRPr="00E74C28">
        <w:rPr>
          <w:szCs w:val="20"/>
        </w:rPr>
        <w:t>court’s</w:t>
      </w:r>
      <w:r w:rsidR="00C64050">
        <w:rPr>
          <w:szCs w:val="20"/>
        </w:rPr>
        <w:t xml:space="preserve"> </w:t>
      </w:r>
      <w:r w:rsidR="00E74C28" w:rsidRPr="00E74C28">
        <w:rPr>
          <w:szCs w:val="20"/>
        </w:rPr>
        <w:t>reasoning</w:t>
      </w:r>
      <w:r w:rsidR="00C64050">
        <w:rPr>
          <w:szCs w:val="20"/>
        </w:rPr>
        <w:t xml:space="preserve"> </w:t>
      </w:r>
      <w:r w:rsidR="00E74C28" w:rsidRPr="00E74C28">
        <w:rPr>
          <w:szCs w:val="20"/>
        </w:rPr>
        <w:t>that</w:t>
      </w:r>
      <w:r w:rsidR="00C64050">
        <w:rPr>
          <w:szCs w:val="20"/>
        </w:rPr>
        <w:t xml:space="preserve"> </w:t>
      </w:r>
      <w:r w:rsidR="00E74C28" w:rsidRPr="00E74C28">
        <w:rPr>
          <w:szCs w:val="20"/>
        </w:rPr>
        <w:t>Count</w:t>
      </w:r>
      <w:r w:rsidR="00C64050">
        <w:rPr>
          <w:szCs w:val="20"/>
        </w:rPr>
        <w:t xml:space="preserve"> </w:t>
      </w:r>
      <w:r w:rsidR="00E74C28" w:rsidRPr="00E74C28">
        <w:rPr>
          <w:szCs w:val="20"/>
        </w:rPr>
        <w:t>II</w:t>
      </w:r>
      <w:r w:rsidR="00C64050">
        <w:rPr>
          <w:szCs w:val="20"/>
        </w:rPr>
        <w:t xml:space="preserve"> </w:t>
      </w:r>
      <w:r w:rsidR="00E74C28" w:rsidRPr="00E74C28">
        <w:rPr>
          <w:szCs w:val="20"/>
        </w:rPr>
        <w:t>violated</w:t>
      </w:r>
      <w:r w:rsidR="00C64050">
        <w:rPr>
          <w:szCs w:val="20"/>
        </w:rPr>
        <w:t xml:space="preserve"> </w:t>
      </w:r>
      <w:r w:rsidR="00E74C28" w:rsidRPr="00E74C28">
        <w:rPr>
          <w:szCs w:val="20"/>
        </w:rPr>
        <w:t>the</w:t>
      </w:r>
      <w:r w:rsidR="00C64050">
        <w:rPr>
          <w:szCs w:val="20"/>
        </w:rPr>
        <w:t xml:space="preserve"> </w:t>
      </w:r>
      <w:r w:rsidR="00E74C28" w:rsidRPr="00E74C28">
        <w:rPr>
          <w:szCs w:val="20"/>
        </w:rPr>
        <w:t>no-contest</w:t>
      </w:r>
      <w:r w:rsidR="00C64050">
        <w:rPr>
          <w:szCs w:val="20"/>
        </w:rPr>
        <w:t xml:space="preserve"> </w:t>
      </w:r>
      <w:r w:rsidR="00E74C28" w:rsidRPr="00E74C28">
        <w:rPr>
          <w:szCs w:val="20"/>
        </w:rPr>
        <w:t>provision.</w:t>
      </w:r>
      <w:r w:rsidR="00C64050">
        <w:rPr>
          <w:szCs w:val="20"/>
        </w:rPr>
        <w:t xml:space="preserve"> </w:t>
      </w:r>
      <w:r w:rsidR="00E74C28" w:rsidRPr="00E74C28">
        <w:rPr>
          <w:szCs w:val="20"/>
        </w:rPr>
        <w:t>Whether</w:t>
      </w:r>
      <w:r w:rsidR="00C64050">
        <w:rPr>
          <w:szCs w:val="20"/>
        </w:rPr>
        <w:t xml:space="preserve"> </w:t>
      </w:r>
      <w:r w:rsidR="00E74C28" w:rsidRPr="00E74C28">
        <w:rPr>
          <w:szCs w:val="20"/>
        </w:rPr>
        <w:t>such</w:t>
      </w:r>
      <w:r w:rsidR="00C64050">
        <w:rPr>
          <w:szCs w:val="20"/>
        </w:rPr>
        <w:t xml:space="preserve"> </w:t>
      </w:r>
      <w:r w:rsidR="00E74C28" w:rsidRPr="00E74C28">
        <w:rPr>
          <w:szCs w:val="20"/>
        </w:rPr>
        <w:t>a</w:t>
      </w:r>
      <w:r w:rsidR="00C64050">
        <w:rPr>
          <w:szCs w:val="20"/>
        </w:rPr>
        <w:t xml:space="preserve"> </w:t>
      </w:r>
      <w:r w:rsidR="00E74C28" w:rsidRPr="00E74C28">
        <w:rPr>
          <w:szCs w:val="20"/>
        </w:rPr>
        <w:t>violation</w:t>
      </w:r>
      <w:r w:rsidR="00C64050">
        <w:rPr>
          <w:szCs w:val="20"/>
        </w:rPr>
        <w:t xml:space="preserve"> </w:t>
      </w:r>
      <w:r w:rsidR="00E74C28" w:rsidRPr="00E74C28">
        <w:rPr>
          <w:szCs w:val="20"/>
        </w:rPr>
        <w:t>has</w:t>
      </w:r>
      <w:r w:rsidR="00C64050">
        <w:rPr>
          <w:szCs w:val="20"/>
        </w:rPr>
        <w:t xml:space="preserve"> </w:t>
      </w:r>
      <w:r w:rsidR="00E74C28" w:rsidRPr="00E74C28">
        <w:rPr>
          <w:szCs w:val="20"/>
        </w:rPr>
        <w:t>occurred</w:t>
      </w:r>
      <w:r w:rsidR="00C64050">
        <w:rPr>
          <w:szCs w:val="20"/>
        </w:rPr>
        <w:t xml:space="preserve"> </w:t>
      </w:r>
      <w:r w:rsidR="00E74C28" w:rsidRPr="00E74C28">
        <w:rPr>
          <w:szCs w:val="20"/>
        </w:rPr>
        <w:t>“depends</w:t>
      </w:r>
      <w:r w:rsidR="00C64050">
        <w:rPr>
          <w:szCs w:val="20"/>
        </w:rPr>
        <w:t xml:space="preserve"> </w:t>
      </w:r>
      <w:r w:rsidR="00E74C28" w:rsidRPr="00E74C28">
        <w:rPr>
          <w:szCs w:val="20"/>
        </w:rPr>
        <w:t>upon</w:t>
      </w:r>
      <w:r w:rsidR="00C64050">
        <w:rPr>
          <w:szCs w:val="20"/>
        </w:rPr>
        <w:t xml:space="preserve"> </w:t>
      </w:r>
      <w:r w:rsidR="00E74C28" w:rsidRPr="00E74C28">
        <w:rPr>
          <w:szCs w:val="20"/>
        </w:rPr>
        <w:t>the</w:t>
      </w:r>
      <w:r w:rsidR="00C64050">
        <w:rPr>
          <w:szCs w:val="20"/>
        </w:rPr>
        <w:t xml:space="preserve"> </w:t>
      </w:r>
      <w:r w:rsidR="00E74C28" w:rsidRPr="00E74C28">
        <w:rPr>
          <w:szCs w:val="20"/>
        </w:rPr>
        <w:t>wording</w:t>
      </w:r>
      <w:r w:rsidR="00C64050">
        <w:rPr>
          <w:szCs w:val="20"/>
        </w:rPr>
        <w:t xml:space="preserve"> </w:t>
      </w:r>
      <w:r w:rsidR="00E74C28" w:rsidRPr="00E74C28">
        <w:rPr>
          <w:szCs w:val="20"/>
        </w:rPr>
        <w:t>of</w:t>
      </w:r>
      <w:r w:rsidR="00C64050">
        <w:rPr>
          <w:szCs w:val="20"/>
        </w:rPr>
        <w:t xml:space="preserve"> </w:t>
      </w:r>
      <w:r w:rsidR="00E74C28" w:rsidRPr="00E74C28">
        <w:rPr>
          <w:szCs w:val="20"/>
        </w:rPr>
        <w:t>the</w:t>
      </w:r>
      <w:r w:rsidR="00C64050">
        <w:rPr>
          <w:szCs w:val="20"/>
        </w:rPr>
        <w:t xml:space="preserve"> </w:t>
      </w:r>
      <w:r w:rsidR="00E74C28" w:rsidRPr="00E74C28">
        <w:rPr>
          <w:szCs w:val="20"/>
        </w:rPr>
        <w:t>‘no</w:t>
      </w:r>
      <w:r w:rsidR="00C64050">
        <w:rPr>
          <w:szCs w:val="20"/>
        </w:rPr>
        <w:t xml:space="preserve"> </w:t>
      </w:r>
      <w:r w:rsidR="00E74C28" w:rsidRPr="00E74C28">
        <w:rPr>
          <w:szCs w:val="20"/>
        </w:rPr>
        <w:t>contest’</w:t>
      </w:r>
      <w:r w:rsidR="00C64050">
        <w:rPr>
          <w:szCs w:val="20"/>
        </w:rPr>
        <w:t xml:space="preserve"> </w:t>
      </w:r>
      <w:r w:rsidR="00E74C28" w:rsidRPr="00E74C28">
        <w:rPr>
          <w:szCs w:val="20"/>
        </w:rPr>
        <w:t>provision</w:t>
      </w:r>
      <w:r w:rsidR="00C64050">
        <w:rPr>
          <w:szCs w:val="20"/>
        </w:rPr>
        <w:t xml:space="preserve"> </w:t>
      </w:r>
      <w:r w:rsidR="00E74C28" w:rsidRPr="00E74C28">
        <w:rPr>
          <w:szCs w:val="20"/>
        </w:rPr>
        <w:t>and</w:t>
      </w:r>
      <w:r w:rsidR="00C64050">
        <w:rPr>
          <w:szCs w:val="20"/>
        </w:rPr>
        <w:t xml:space="preserve"> </w:t>
      </w:r>
      <w:r w:rsidR="00E74C28" w:rsidRPr="00E74C28">
        <w:rPr>
          <w:szCs w:val="20"/>
        </w:rPr>
        <w:t>the</w:t>
      </w:r>
      <w:r w:rsidR="00C64050">
        <w:rPr>
          <w:szCs w:val="20"/>
        </w:rPr>
        <w:t xml:space="preserve"> </w:t>
      </w:r>
      <w:r w:rsidR="00E74C28" w:rsidRPr="00E74C28">
        <w:rPr>
          <w:szCs w:val="20"/>
        </w:rPr>
        <w:t>facts</w:t>
      </w:r>
      <w:r w:rsidR="00C64050">
        <w:rPr>
          <w:szCs w:val="20"/>
        </w:rPr>
        <w:t xml:space="preserve"> </w:t>
      </w:r>
      <w:r w:rsidR="00E74C28" w:rsidRPr="00E74C28">
        <w:rPr>
          <w:szCs w:val="20"/>
        </w:rPr>
        <w:t>and</w:t>
      </w:r>
      <w:r w:rsidR="00C64050">
        <w:rPr>
          <w:szCs w:val="20"/>
        </w:rPr>
        <w:t xml:space="preserve"> </w:t>
      </w:r>
      <w:r w:rsidR="00E74C28" w:rsidRPr="00E74C28">
        <w:rPr>
          <w:szCs w:val="20"/>
        </w:rPr>
        <w:t>circumstances</w:t>
      </w:r>
      <w:r w:rsidR="00C64050">
        <w:rPr>
          <w:szCs w:val="20"/>
        </w:rPr>
        <w:t xml:space="preserve"> </w:t>
      </w:r>
      <w:r w:rsidR="00E74C28" w:rsidRPr="00E74C28">
        <w:rPr>
          <w:szCs w:val="20"/>
        </w:rPr>
        <w:t>of</w:t>
      </w:r>
      <w:r w:rsidR="00C64050">
        <w:rPr>
          <w:szCs w:val="20"/>
        </w:rPr>
        <w:t xml:space="preserve"> </w:t>
      </w:r>
      <w:r w:rsidR="00E74C28" w:rsidRPr="00E74C28">
        <w:rPr>
          <w:szCs w:val="20"/>
        </w:rPr>
        <w:t>each</w:t>
      </w:r>
      <w:r w:rsidR="00C64050">
        <w:rPr>
          <w:szCs w:val="20"/>
        </w:rPr>
        <w:t xml:space="preserve"> </w:t>
      </w:r>
      <w:r w:rsidR="00E74C28" w:rsidRPr="00E74C28">
        <w:rPr>
          <w:szCs w:val="20"/>
        </w:rPr>
        <w:t>particular</w:t>
      </w:r>
      <w:r w:rsidR="00C64050">
        <w:rPr>
          <w:szCs w:val="20"/>
        </w:rPr>
        <w:t xml:space="preserve"> </w:t>
      </w:r>
      <w:r w:rsidR="00E74C28" w:rsidRPr="00E74C28">
        <w:rPr>
          <w:szCs w:val="20"/>
        </w:rPr>
        <w:t>case.”</w:t>
      </w:r>
      <w:r w:rsidR="00C64050">
        <w:rPr>
          <w:szCs w:val="20"/>
        </w:rPr>
        <w:t xml:space="preserve"> </w:t>
      </w:r>
      <w:r w:rsidR="00E74C28" w:rsidRPr="00E74C28">
        <w:rPr>
          <w:rStyle w:val="Emphasis"/>
          <w:szCs w:val="20"/>
        </w:rPr>
        <w:t>Womble</w:t>
      </w:r>
      <w:r w:rsidR="00E74C28" w:rsidRPr="00E74C28">
        <w:rPr>
          <w:szCs w:val="20"/>
        </w:rPr>
        <w:t>,</w:t>
      </w:r>
      <w:r w:rsidR="00C64050">
        <w:rPr>
          <w:szCs w:val="20"/>
        </w:rPr>
        <w:t xml:space="preserve"> </w:t>
      </w:r>
      <w:r w:rsidR="00E74C28" w:rsidRPr="00E74C28">
        <w:rPr>
          <w:szCs w:val="20"/>
        </w:rPr>
        <w:t>198</w:t>
      </w:r>
      <w:r w:rsidR="00C64050">
        <w:rPr>
          <w:szCs w:val="20"/>
        </w:rPr>
        <w:t xml:space="preserve"> </w:t>
      </w:r>
      <w:r w:rsidR="00E74C28" w:rsidRPr="00E74C28">
        <w:rPr>
          <w:szCs w:val="20"/>
        </w:rPr>
        <w:t>Va.</w:t>
      </w:r>
      <w:r w:rsidR="00C64050">
        <w:rPr>
          <w:szCs w:val="20"/>
        </w:rPr>
        <w:t xml:space="preserve"> </w:t>
      </w:r>
      <w:r w:rsidR="00E74C28" w:rsidRPr="00E74C28">
        <w:rPr>
          <w:szCs w:val="20"/>
        </w:rPr>
        <w:t>at</w:t>
      </w:r>
      <w:r w:rsidR="00C64050">
        <w:rPr>
          <w:szCs w:val="20"/>
        </w:rPr>
        <w:t xml:space="preserve"> </w:t>
      </w:r>
      <w:r w:rsidR="00E74C28" w:rsidRPr="00E74C28">
        <w:rPr>
          <w:szCs w:val="20"/>
        </w:rPr>
        <w:t>529,</w:t>
      </w:r>
      <w:r w:rsidR="00C64050">
        <w:rPr>
          <w:szCs w:val="20"/>
        </w:rPr>
        <w:t xml:space="preserve"> </w:t>
      </w:r>
      <w:r w:rsidR="00E74C28" w:rsidRPr="00E74C28">
        <w:rPr>
          <w:szCs w:val="20"/>
        </w:rPr>
        <w:t>95</w:t>
      </w:r>
      <w:r w:rsidR="00C64050">
        <w:rPr>
          <w:szCs w:val="20"/>
        </w:rPr>
        <w:t xml:space="preserve"> </w:t>
      </w:r>
      <w:r w:rsidR="00E74C28" w:rsidRPr="00E74C28">
        <w:rPr>
          <w:szCs w:val="20"/>
        </w:rPr>
        <w:t>S.E.2d</w:t>
      </w:r>
      <w:r w:rsidR="00C64050">
        <w:rPr>
          <w:szCs w:val="20"/>
        </w:rPr>
        <w:t xml:space="preserve"> </w:t>
      </w:r>
      <w:r w:rsidR="00E74C28" w:rsidRPr="00E74C28">
        <w:rPr>
          <w:szCs w:val="20"/>
        </w:rPr>
        <w:t>213;</w:t>
      </w:r>
      <w:r w:rsidR="00C64050">
        <w:rPr>
          <w:szCs w:val="20"/>
        </w:rPr>
        <w:t xml:space="preserve"> </w:t>
      </w:r>
      <w:r w:rsidR="00E74C28" w:rsidRPr="00E74C28">
        <w:rPr>
          <w:rStyle w:val="Emphasis"/>
          <w:szCs w:val="20"/>
        </w:rPr>
        <w:t>see</w:t>
      </w:r>
      <w:r w:rsidR="00C64050">
        <w:rPr>
          <w:rStyle w:val="Emphasis"/>
          <w:szCs w:val="20"/>
        </w:rPr>
        <w:t xml:space="preserve"> </w:t>
      </w:r>
      <w:r w:rsidR="00E74C28" w:rsidRPr="00E74C28">
        <w:rPr>
          <w:rStyle w:val="Emphasis"/>
          <w:szCs w:val="20"/>
        </w:rPr>
        <w:t>also</w:t>
      </w:r>
      <w:r w:rsidR="00C64050">
        <w:rPr>
          <w:rStyle w:val="Emphasis"/>
          <w:szCs w:val="20"/>
        </w:rPr>
        <w:t xml:space="preserve"> </w:t>
      </w:r>
      <w:r w:rsidR="00E74C28" w:rsidRPr="00E74C28">
        <w:rPr>
          <w:rStyle w:val="Emphasis"/>
          <w:szCs w:val="20"/>
        </w:rPr>
        <w:t>Goodrich</w:t>
      </w:r>
      <w:r w:rsidR="00E74C28" w:rsidRPr="00E74C28">
        <w:rPr>
          <w:szCs w:val="20"/>
        </w:rPr>
        <w:t>,</w:t>
      </w:r>
      <w:r w:rsidR="00C64050">
        <w:rPr>
          <w:szCs w:val="20"/>
        </w:rPr>
        <w:t xml:space="preserve"> </w:t>
      </w:r>
      <w:r w:rsidR="00E74C28" w:rsidRPr="00E74C28">
        <w:rPr>
          <w:szCs w:val="20"/>
        </w:rPr>
        <w:t>246</w:t>
      </w:r>
      <w:r w:rsidR="00C64050">
        <w:rPr>
          <w:szCs w:val="20"/>
        </w:rPr>
        <w:t xml:space="preserve"> </w:t>
      </w:r>
      <w:r w:rsidR="00E74C28" w:rsidRPr="00E74C28">
        <w:rPr>
          <w:szCs w:val="20"/>
        </w:rPr>
        <w:t>Va.</w:t>
      </w:r>
      <w:r w:rsidR="00C64050">
        <w:rPr>
          <w:szCs w:val="20"/>
        </w:rPr>
        <w:t xml:space="preserve"> </w:t>
      </w:r>
      <w:r w:rsidR="00E74C28" w:rsidRPr="00E74C28">
        <w:rPr>
          <w:szCs w:val="20"/>
        </w:rPr>
        <w:t>at</w:t>
      </w:r>
      <w:r w:rsidR="00C64050">
        <w:rPr>
          <w:szCs w:val="20"/>
        </w:rPr>
        <w:t xml:space="preserve"> </w:t>
      </w:r>
      <w:r w:rsidR="00E74C28" w:rsidRPr="00E74C28">
        <w:rPr>
          <w:szCs w:val="20"/>
        </w:rPr>
        <w:t>439,</w:t>
      </w:r>
      <w:r w:rsidR="00C64050">
        <w:rPr>
          <w:szCs w:val="20"/>
        </w:rPr>
        <w:t xml:space="preserve"> </w:t>
      </w:r>
      <w:r w:rsidR="00E74C28" w:rsidRPr="00E74C28">
        <w:rPr>
          <w:szCs w:val="20"/>
        </w:rPr>
        <w:t>436</w:t>
      </w:r>
      <w:r w:rsidR="00C64050">
        <w:rPr>
          <w:szCs w:val="20"/>
        </w:rPr>
        <w:t xml:space="preserve"> </w:t>
      </w:r>
      <w:r w:rsidR="00E74C28" w:rsidRPr="00E74C28">
        <w:rPr>
          <w:szCs w:val="20"/>
        </w:rPr>
        <w:t>S.E.2d</w:t>
      </w:r>
      <w:r w:rsidR="00C64050">
        <w:rPr>
          <w:szCs w:val="20"/>
        </w:rPr>
        <w:t xml:space="preserve"> </w:t>
      </w:r>
      <w:r w:rsidR="00E74C28" w:rsidRPr="00E74C28">
        <w:rPr>
          <w:szCs w:val="20"/>
        </w:rPr>
        <w:t>418.</w:t>
      </w:r>
      <w:r w:rsidR="00C64050">
        <w:rPr>
          <w:szCs w:val="20"/>
        </w:rPr>
        <w:t xml:space="preserve"> </w:t>
      </w:r>
      <w:r w:rsidR="00E74C28" w:rsidRPr="00E74C28">
        <w:rPr>
          <w:szCs w:val="20"/>
        </w:rPr>
        <w:t>In</w:t>
      </w:r>
      <w:r w:rsidR="00C64050">
        <w:rPr>
          <w:szCs w:val="20"/>
        </w:rPr>
        <w:t xml:space="preserve"> </w:t>
      </w:r>
      <w:r w:rsidR="00E74C28" w:rsidRPr="00E74C28">
        <w:rPr>
          <w:szCs w:val="20"/>
        </w:rPr>
        <w:t>the</w:t>
      </w:r>
      <w:r w:rsidR="00C64050">
        <w:rPr>
          <w:szCs w:val="20"/>
        </w:rPr>
        <w:t xml:space="preserve"> </w:t>
      </w:r>
      <w:r w:rsidR="00E74C28" w:rsidRPr="00E74C28">
        <w:rPr>
          <w:szCs w:val="20"/>
        </w:rPr>
        <w:t>first</w:t>
      </w:r>
      <w:r w:rsidR="00C64050">
        <w:rPr>
          <w:szCs w:val="20"/>
        </w:rPr>
        <w:t xml:space="preserve"> </w:t>
      </w:r>
      <w:r w:rsidR="00E74C28" w:rsidRPr="00E74C28">
        <w:rPr>
          <w:szCs w:val="20"/>
        </w:rPr>
        <w:t>paragraph</w:t>
      </w:r>
      <w:r w:rsidR="00C64050">
        <w:rPr>
          <w:szCs w:val="20"/>
        </w:rPr>
        <w:t xml:space="preserve"> </w:t>
      </w:r>
      <w:r w:rsidR="00E74C28" w:rsidRPr="00E74C28">
        <w:rPr>
          <w:szCs w:val="20"/>
        </w:rPr>
        <w:t>of</w:t>
      </w:r>
      <w:r w:rsidR="00C64050">
        <w:rPr>
          <w:szCs w:val="20"/>
        </w:rPr>
        <w:t xml:space="preserve"> </w:t>
      </w:r>
      <w:r w:rsidR="00E74C28" w:rsidRPr="00E74C28">
        <w:rPr>
          <w:szCs w:val="20"/>
        </w:rPr>
        <w:t>the</w:t>
      </w:r>
      <w:r w:rsidR="00C64050">
        <w:rPr>
          <w:szCs w:val="20"/>
        </w:rPr>
        <w:t xml:space="preserve"> </w:t>
      </w:r>
      <w:r w:rsidR="00E74C28" w:rsidRPr="00E74C28">
        <w:rPr>
          <w:szCs w:val="20"/>
        </w:rPr>
        <w:t>self-styled</w:t>
      </w:r>
      <w:r w:rsidR="00C64050">
        <w:rPr>
          <w:szCs w:val="20"/>
        </w:rPr>
        <w:t xml:space="preserve"> </w:t>
      </w:r>
      <w:r w:rsidR="00E74C28" w:rsidRPr="00E74C28">
        <w:rPr>
          <w:szCs w:val="20"/>
        </w:rPr>
        <w:t>“</w:t>
      </w:r>
      <w:r w:rsidR="00E74C28" w:rsidRPr="00E74C28">
        <w:rPr>
          <w:caps/>
          <w:szCs w:val="20"/>
        </w:rPr>
        <w:t>IN</w:t>
      </w:r>
      <w:r w:rsidR="00C64050">
        <w:rPr>
          <w:caps/>
          <w:szCs w:val="20"/>
        </w:rPr>
        <w:t xml:space="preserve"> </w:t>
      </w:r>
      <w:r w:rsidR="00E74C28" w:rsidRPr="00E74C28">
        <w:rPr>
          <w:caps/>
          <w:szCs w:val="20"/>
        </w:rPr>
        <w:t>TERROREM</w:t>
      </w:r>
      <w:r w:rsidR="00C64050">
        <w:rPr>
          <w:caps/>
          <w:szCs w:val="20"/>
        </w:rPr>
        <w:t xml:space="preserve"> </w:t>
      </w:r>
      <w:r w:rsidR="00E74C28" w:rsidRPr="00E74C28">
        <w:rPr>
          <w:caps/>
          <w:szCs w:val="20"/>
        </w:rPr>
        <w:t>PROVISION</w:t>
      </w:r>
      <w:r w:rsidR="00E74C28" w:rsidRPr="00E74C28">
        <w:rPr>
          <w:szCs w:val="20"/>
        </w:rPr>
        <w:t>”</w:t>
      </w:r>
      <w:r w:rsidR="00C64050">
        <w:rPr>
          <w:szCs w:val="20"/>
        </w:rPr>
        <w:t xml:space="preserve"> </w:t>
      </w:r>
      <w:r w:rsidR="00E74C28" w:rsidRPr="00E74C28">
        <w:rPr>
          <w:szCs w:val="20"/>
        </w:rPr>
        <w:t>of</w:t>
      </w:r>
      <w:r w:rsidR="00C64050">
        <w:rPr>
          <w:szCs w:val="20"/>
        </w:rPr>
        <w:t xml:space="preserve"> </w:t>
      </w:r>
      <w:r w:rsidR="00E74C28" w:rsidRPr="00E74C28">
        <w:rPr>
          <w:szCs w:val="20"/>
        </w:rPr>
        <w:t>the</w:t>
      </w:r>
      <w:r w:rsidR="00C64050">
        <w:rPr>
          <w:szCs w:val="20"/>
        </w:rPr>
        <w:t xml:space="preserve"> </w:t>
      </w:r>
      <w:r w:rsidR="00E74C28" w:rsidRPr="00E74C28">
        <w:rPr>
          <w:szCs w:val="20"/>
        </w:rPr>
        <w:t>trust,</w:t>
      </w:r>
      <w:r w:rsidR="00C64050">
        <w:rPr>
          <w:szCs w:val="20"/>
        </w:rPr>
        <w:t xml:space="preserve"> </w:t>
      </w:r>
      <w:r w:rsidR="00E74C28" w:rsidRPr="00E74C28">
        <w:rPr>
          <w:szCs w:val="20"/>
        </w:rPr>
        <w:t>Theresa</w:t>
      </w:r>
      <w:r w:rsidR="00C64050">
        <w:rPr>
          <w:szCs w:val="20"/>
        </w:rPr>
        <w:t xml:space="preserve"> </w:t>
      </w:r>
      <w:r w:rsidR="00E74C28" w:rsidRPr="00E74C28">
        <w:rPr>
          <w:szCs w:val="20"/>
        </w:rPr>
        <w:t>provided</w:t>
      </w:r>
      <w:r w:rsidR="00C64050">
        <w:rPr>
          <w:szCs w:val="20"/>
        </w:rPr>
        <w:t xml:space="preserve"> </w:t>
      </w:r>
      <w:r w:rsidR="00E74C28" w:rsidRPr="00E74C28">
        <w:rPr>
          <w:szCs w:val="20"/>
        </w:rPr>
        <w:t>background</w:t>
      </w:r>
      <w:r w:rsidR="00C64050">
        <w:rPr>
          <w:szCs w:val="20"/>
        </w:rPr>
        <w:t xml:space="preserve"> </w:t>
      </w:r>
      <w:r w:rsidR="00E74C28" w:rsidRPr="00E74C28">
        <w:rPr>
          <w:szCs w:val="20"/>
        </w:rPr>
        <w:t>context</w:t>
      </w:r>
      <w:r w:rsidR="00C64050">
        <w:rPr>
          <w:szCs w:val="20"/>
        </w:rPr>
        <w:t xml:space="preserve"> </w:t>
      </w:r>
      <w:r w:rsidR="00E74C28" w:rsidRPr="00E74C28">
        <w:rPr>
          <w:szCs w:val="20"/>
        </w:rPr>
        <w:t>explaining</w:t>
      </w:r>
      <w:r w:rsidR="00C64050">
        <w:rPr>
          <w:szCs w:val="20"/>
        </w:rPr>
        <w:t xml:space="preserve"> </w:t>
      </w:r>
      <w:r w:rsidR="00E74C28" w:rsidRPr="00E74C28">
        <w:rPr>
          <w:szCs w:val="20"/>
        </w:rPr>
        <w:t>her</w:t>
      </w:r>
      <w:r w:rsidR="00C64050">
        <w:rPr>
          <w:szCs w:val="20"/>
        </w:rPr>
        <w:t xml:space="preserve"> </w:t>
      </w:r>
      <w:r w:rsidR="00E74C28" w:rsidRPr="00E74C28">
        <w:rPr>
          <w:szCs w:val="20"/>
        </w:rPr>
        <w:t>intent:</w:t>
      </w:r>
    </w:p>
    <w:p w:rsidR="00E74C28" w:rsidRPr="00E74C28" w:rsidRDefault="00E74C28" w:rsidP="00E74C28">
      <w:pPr>
        <w:pStyle w:val="QS10"/>
        <w:ind w:left="2160"/>
        <w:rPr>
          <w:szCs w:val="20"/>
        </w:rPr>
      </w:pPr>
      <w:r w:rsidRPr="00E74C28">
        <w:rPr>
          <w:szCs w:val="20"/>
        </w:rPr>
        <w:t>I</w:t>
      </w:r>
      <w:r w:rsidR="00C64050">
        <w:rPr>
          <w:szCs w:val="20"/>
        </w:rPr>
        <w:t xml:space="preserve"> </w:t>
      </w:r>
      <w:r w:rsidRPr="00E74C28">
        <w:rPr>
          <w:szCs w:val="20"/>
        </w:rPr>
        <w:t>have</w:t>
      </w:r>
      <w:r w:rsidR="00C64050">
        <w:rPr>
          <w:szCs w:val="20"/>
        </w:rPr>
        <w:t xml:space="preserve"> </w:t>
      </w:r>
      <w:r w:rsidRPr="00E74C28">
        <w:rPr>
          <w:szCs w:val="20"/>
        </w:rPr>
        <w:t>from</w:t>
      </w:r>
      <w:r w:rsidR="00C64050">
        <w:rPr>
          <w:szCs w:val="20"/>
        </w:rPr>
        <w:t xml:space="preserve"> </w:t>
      </w:r>
      <w:r w:rsidRPr="00E74C28">
        <w:rPr>
          <w:szCs w:val="20"/>
        </w:rPr>
        <w:t>time</w:t>
      </w:r>
      <w:r w:rsidR="00C64050">
        <w:rPr>
          <w:szCs w:val="20"/>
        </w:rPr>
        <w:t xml:space="preserve"> </w:t>
      </w:r>
      <w:r w:rsidRPr="00E74C28">
        <w:rPr>
          <w:szCs w:val="20"/>
        </w:rPr>
        <w:t>to</w:t>
      </w:r>
      <w:r w:rsidR="00C64050">
        <w:rPr>
          <w:szCs w:val="20"/>
        </w:rPr>
        <w:t xml:space="preserve"> </w:t>
      </w:r>
      <w:r w:rsidRPr="00E74C28">
        <w:rPr>
          <w:szCs w:val="20"/>
        </w:rPr>
        <w:t>time</w:t>
      </w:r>
      <w:r w:rsidR="00C64050">
        <w:rPr>
          <w:szCs w:val="20"/>
        </w:rPr>
        <w:t xml:space="preserve"> </w:t>
      </w:r>
      <w:r w:rsidRPr="00E74C28">
        <w:rPr>
          <w:szCs w:val="20"/>
        </w:rPr>
        <w:t>made</w:t>
      </w:r>
      <w:r w:rsidR="00C64050">
        <w:rPr>
          <w:szCs w:val="20"/>
        </w:rPr>
        <w:t xml:space="preserve"> </w:t>
      </w:r>
      <w:r w:rsidRPr="00E74C28">
        <w:rPr>
          <w:szCs w:val="20"/>
        </w:rPr>
        <w:t>gifts</w:t>
      </w:r>
      <w:r w:rsidR="00C64050">
        <w:rPr>
          <w:szCs w:val="20"/>
        </w:rPr>
        <w:t xml:space="preserve"> </w:t>
      </w:r>
      <w:r w:rsidRPr="00E74C28">
        <w:rPr>
          <w:szCs w:val="20"/>
        </w:rPr>
        <w:t>and</w:t>
      </w:r>
      <w:r w:rsidR="00C64050">
        <w:rPr>
          <w:szCs w:val="20"/>
        </w:rPr>
        <w:t xml:space="preserve"> </w:t>
      </w:r>
      <w:r w:rsidRPr="00E74C28">
        <w:rPr>
          <w:szCs w:val="20"/>
        </w:rPr>
        <w:t>provided</w:t>
      </w:r>
      <w:r w:rsidR="00C64050">
        <w:rPr>
          <w:szCs w:val="20"/>
        </w:rPr>
        <w:t xml:space="preserve"> </w:t>
      </w:r>
      <w:r w:rsidRPr="00E74C28">
        <w:rPr>
          <w:szCs w:val="20"/>
        </w:rPr>
        <w:t>financial</w:t>
      </w:r>
      <w:r w:rsidR="00C64050">
        <w:rPr>
          <w:szCs w:val="20"/>
        </w:rPr>
        <w:t xml:space="preserve"> </w:t>
      </w:r>
      <w:r w:rsidRPr="00E74C28">
        <w:rPr>
          <w:szCs w:val="20"/>
        </w:rPr>
        <w:t>support</w:t>
      </w:r>
      <w:r w:rsidR="00C64050">
        <w:rPr>
          <w:szCs w:val="20"/>
        </w:rPr>
        <w:t xml:space="preserve"> </w:t>
      </w:r>
      <w:r w:rsidRPr="00E74C28">
        <w:rPr>
          <w:szCs w:val="20"/>
        </w:rPr>
        <w:t>to</w:t>
      </w:r>
      <w:r w:rsidR="00C64050">
        <w:rPr>
          <w:szCs w:val="20"/>
        </w:rPr>
        <w:t xml:space="preserve"> </w:t>
      </w:r>
      <w:r w:rsidRPr="00E74C28">
        <w:rPr>
          <w:szCs w:val="20"/>
        </w:rPr>
        <w:t>each</w:t>
      </w:r>
      <w:r w:rsidR="00C64050">
        <w:rPr>
          <w:szCs w:val="20"/>
        </w:rPr>
        <w:t xml:space="preserve"> </w:t>
      </w:r>
      <w:r w:rsidRPr="00E74C28">
        <w:rPr>
          <w:szCs w:val="20"/>
        </w:rPr>
        <w:t>of</w:t>
      </w:r>
      <w:r w:rsidR="00C64050">
        <w:rPr>
          <w:szCs w:val="20"/>
        </w:rPr>
        <w:t xml:space="preserve"> </w:t>
      </w:r>
      <w:r w:rsidRPr="00E74C28">
        <w:rPr>
          <w:szCs w:val="20"/>
        </w:rPr>
        <w:t>my</w:t>
      </w:r>
      <w:r w:rsidR="00C64050">
        <w:rPr>
          <w:szCs w:val="20"/>
        </w:rPr>
        <w:t xml:space="preserve"> </w:t>
      </w:r>
      <w:r w:rsidRPr="00E74C28">
        <w:rPr>
          <w:szCs w:val="20"/>
        </w:rPr>
        <w:t>children</w:t>
      </w:r>
      <w:r w:rsidR="00C64050">
        <w:rPr>
          <w:szCs w:val="20"/>
        </w:rPr>
        <w:t xml:space="preserve"> </w:t>
      </w:r>
      <w:r w:rsidRPr="00E74C28">
        <w:rPr>
          <w:szCs w:val="20"/>
        </w:rPr>
        <w:t>and</w:t>
      </w:r>
      <w:r w:rsidR="00C64050">
        <w:rPr>
          <w:szCs w:val="20"/>
        </w:rPr>
        <w:t xml:space="preserve"> </w:t>
      </w:r>
      <w:r w:rsidRPr="00E74C28">
        <w:rPr>
          <w:szCs w:val="20"/>
        </w:rPr>
        <w:t>to</w:t>
      </w:r>
      <w:r w:rsidR="00C64050">
        <w:rPr>
          <w:szCs w:val="20"/>
        </w:rPr>
        <w:t xml:space="preserve"> </w:t>
      </w:r>
      <w:r w:rsidRPr="00E74C28">
        <w:rPr>
          <w:szCs w:val="20"/>
        </w:rPr>
        <w:t>my</w:t>
      </w:r>
      <w:r w:rsidR="00C64050">
        <w:rPr>
          <w:szCs w:val="20"/>
        </w:rPr>
        <w:t xml:space="preserve"> </w:t>
      </w:r>
      <w:r w:rsidRPr="00E74C28">
        <w:rPr>
          <w:szCs w:val="20"/>
        </w:rPr>
        <w:t>grandchild</w:t>
      </w:r>
      <w:r w:rsidR="00C64050">
        <w:rPr>
          <w:szCs w:val="20"/>
        </w:rPr>
        <w:t xml:space="preserve"> </w:t>
      </w:r>
      <w:r w:rsidRPr="00E74C28">
        <w:rPr>
          <w:szCs w:val="20"/>
        </w:rPr>
        <w:t>as</w:t>
      </w:r>
      <w:r w:rsidR="00C64050">
        <w:rPr>
          <w:szCs w:val="20"/>
        </w:rPr>
        <w:t xml:space="preserve"> </w:t>
      </w:r>
      <w:r w:rsidRPr="00E74C28">
        <w:rPr>
          <w:szCs w:val="20"/>
        </w:rPr>
        <w:t>I</w:t>
      </w:r>
      <w:r w:rsidR="00C64050">
        <w:rPr>
          <w:szCs w:val="20"/>
        </w:rPr>
        <w:t xml:space="preserve"> </w:t>
      </w:r>
      <w:r w:rsidRPr="00E74C28">
        <w:rPr>
          <w:szCs w:val="20"/>
        </w:rPr>
        <w:t>wished,</w:t>
      </w:r>
      <w:r w:rsidR="00C64050">
        <w:rPr>
          <w:szCs w:val="20"/>
        </w:rPr>
        <w:t xml:space="preserve"> </w:t>
      </w:r>
      <w:r w:rsidRPr="00E74C28">
        <w:rPr>
          <w:szCs w:val="20"/>
        </w:rPr>
        <w:t>and</w:t>
      </w:r>
      <w:r w:rsidR="00C64050">
        <w:rPr>
          <w:szCs w:val="20"/>
        </w:rPr>
        <w:t xml:space="preserve"> </w:t>
      </w:r>
      <w:r w:rsidRPr="00E74C28">
        <w:rPr>
          <w:szCs w:val="20"/>
        </w:rPr>
        <w:t>as</w:t>
      </w:r>
      <w:r w:rsidR="00C64050">
        <w:rPr>
          <w:szCs w:val="20"/>
        </w:rPr>
        <w:t xml:space="preserve"> </w:t>
      </w:r>
      <w:r w:rsidRPr="00E74C28">
        <w:rPr>
          <w:szCs w:val="20"/>
        </w:rPr>
        <w:t>my</w:t>
      </w:r>
      <w:r w:rsidR="00C64050">
        <w:rPr>
          <w:szCs w:val="20"/>
        </w:rPr>
        <w:t xml:space="preserve"> </w:t>
      </w:r>
      <w:r w:rsidRPr="00E74C28">
        <w:rPr>
          <w:szCs w:val="20"/>
        </w:rPr>
        <w:t>husband</w:t>
      </w:r>
      <w:r w:rsidR="00C64050">
        <w:rPr>
          <w:szCs w:val="20"/>
        </w:rPr>
        <w:t xml:space="preserve"> </w:t>
      </w:r>
      <w:r w:rsidRPr="00E74C28">
        <w:rPr>
          <w:szCs w:val="20"/>
        </w:rPr>
        <w:t>and</w:t>
      </w:r>
      <w:r w:rsidR="00C64050">
        <w:rPr>
          <w:szCs w:val="20"/>
        </w:rPr>
        <w:t xml:space="preserve"> </w:t>
      </w:r>
      <w:r w:rsidRPr="00E74C28">
        <w:rPr>
          <w:szCs w:val="20"/>
        </w:rPr>
        <w:t>I</w:t>
      </w:r>
      <w:r w:rsidR="00C64050">
        <w:rPr>
          <w:szCs w:val="20"/>
        </w:rPr>
        <w:t xml:space="preserve"> </w:t>
      </w:r>
      <w:r w:rsidRPr="00E74C28">
        <w:rPr>
          <w:szCs w:val="20"/>
        </w:rPr>
        <w:t>determined</w:t>
      </w:r>
      <w:r w:rsidR="00C64050">
        <w:rPr>
          <w:szCs w:val="20"/>
        </w:rPr>
        <w:t xml:space="preserve"> </w:t>
      </w:r>
      <w:r w:rsidRPr="00E74C28">
        <w:rPr>
          <w:szCs w:val="20"/>
        </w:rPr>
        <w:t>to</w:t>
      </w:r>
      <w:r w:rsidR="00C64050">
        <w:rPr>
          <w:szCs w:val="20"/>
        </w:rPr>
        <w:t xml:space="preserve"> </w:t>
      </w:r>
      <w:r w:rsidRPr="00E74C28">
        <w:rPr>
          <w:szCs w:val="20"/>
        </w:rPr>
        <w:t>be</w:t>
      </w:r>
      <w:r w:rsidR="00C64050">
        <w:rPr>
          <w:szCs w:val="20"/>
        </w:rPr>
        <w:t xml:space="preserve"> </w:t>
      </w:r>
      <w:r w:rsidRPr="00E74C28">
        <w:rPr>
          <w:szCs w:val="20"/>
        </w:rPr>
        <w:t>necessary</w:t>
      </w:r>
      <w:r w:rsidR="00C64050">
        <w:rPr>
          <w:szCs w:val="20"/>
        </w:rPr>
        <w:t xml:space="preserve"> </w:t>
      </w:r>
      <w:r w:rsidRPr="00E74C28">
        <w:rPr>
          <w:szCs w:val="20"/>
        </w:rPr>
        <w:t>to</w:t>
      </w:r>
      <w:r w:rsidR="00C64050">
        <w:rPr>
          <w:szCs w:val="20"/>
        </w:rPr>
        <w:t xml:space="preserve"> </w:t>
      </w:r>
      <w:r w:rsidRPr="00E74C28">
        <w:rPr>
          <w:szCs w:val="20"/>
        </w:rPr>
        <w:t>their</w:t>
      </w:r>
      <w:r w:rsidR="00C64050">
        <w:rPr>
          <w:szCs w:val="20"/>
        </w:rPr>
        <w:t xml:space="preserve"> </w:t>
      </w:r>
      <w:r w:rsidRPr="00E74C28">
        <w:rPr>
          <w:szCs w:val="20"/>
        </w:rPr>
        <w:t>circumstances.</w:t>
      </w:r>
      <w:r w:rsidR="00C64050">
        <w:rPr>
          <w:szCs w:val="20"/>
        </w:rPr>
        <w:t xml:space="preserve"> </w:t>
      </w:r>
      <w:r w:rsidRPr="00E74C28">
        <w:rPr>
          <w:szCs w:val="20"/>
        </w:rPr>
        <w:t>Except</w:t>
      </w:r>
      <w:r w:rsidR="00C64050">
        <w:rPr>
          <w:szCs w:val="20"/>
        </w:rPr>
        <w:t xml:space="preserve"> </w:t>
      </w:r>
      <w:r w:rsidRPr="00E74C28">
        <w:rPr>
          <w:szCs w:val="20"/>
        </w:rPr>
        <w:t>as</w:t>
      </w:r>
      <w:r w:rsidR="00C64050">
        <w:rPr>
          <w:szCs w:val="20"/>
        </w:rPr>
        <w:t xml:space="preserve"> </w:t>
      </w:r>
      <w:r w:rsidRPr="00E74C28">
        <w:rPr>
          <w:szCs w:val="20"/>
        </w:rPr>
        <w:t>otherwise</w:t>
      </w:r>
      <w:r w:rsidR="00C64050">
        <w:rPr>
          <w:szCs w:val="20"/>
        </w:rPr>
        <w:t xml:space="preserve"> </w:t>
      </w:r>
      <w:r w:rsidRPr="00E74C28">
        <w:rPr>
          <w:szCs w:val="20"/>
        </w:rPr>
        <w:t>expressly</w:t>
      </w:r>
      <w:r w:rsidR="00C64050">
        <w:rPr>
          <w:szCs w:val="20"/>
        </w:rPr>
        <w:t xml:space="preserve"> </w:t>
      </w:r>
      <w:r w:rsidRPr="00E74C28">
        <w:rPr>
          <w:szCs w:val="20"/>
        </w:rPr>
        <w:t>set</w:t>
      </w:r>
      <w:r w:rsidR="00C64050">
        <w:rPr>
          <w:szCs w:val="20"/>
        </w:rPr>
        <w:t xml:space="preserve"> </w:t>
      </w:r>
      <w:r w:rsidRPr="00E74C28">
        <w:rPr>
          <w:szCs w:val="20"/>
        </w:rPr>
        <w:t>forth</w:t>
      </w:r>
      <w:r w:rsidR="00C64050">
        <w:rPr>
          <w:szCs w:val="20"/>
        </w:rPr>
        <w:t xml:space="preserve"> </w:t>
      </w:r>
      <w:r w:rsidRPr="00E74C28">
        <w:rPr>
          <w:szCs w:val="20"/>
        </w:rPr>
        <w:t>in</w:t>
      </w:r>
      <w:r w:rsidR="00C64050">
        <w:rPr>
          <w:szCs w:val="20"/>
        </w:rPr>
        <w:t xml:space="preserve"> </w:t>
      </w:r>
      <w:r w:rsidRPr="00E74C28">
        <w:rPr>
          <w:szCs w:val="20"/>
        </w:rPr>
        <w:t>this</w:t>
      </w:r>
      <w:r w:rsidR="00C64050">
        <w:rPr>
          <w:szCs w:val="20"/>
        </w:rPr>
        <w:t xml:space="preserve"> </w:t>
      </w:r>
      <w:r w:rsidRPr="00E74C28">
        <w:rPr>
          <w:szCs w:val="20"/>
        </w:rPr>
        <w:t>document,</w:t>
      </w:r>
      <w:r w:rsidR="00C64050">
        <w:rPr>
          <w:szCs w:val="20"/>
        </w:rPr>
        <w:t xml:space="preserve"> </w:t>
      </w:r>
      <w:r w:rsidRPr="00E74C28">
        <w:rPr>
          <w:szCs w:val="20"/>
        </w:rPr>
        <w:t>the</w:t>
      </w:r>
      <w:r w:rsidR="00C64050">
        <w:rPr>
          <w:szCs w:val="20"/>
        </w:rPr>
        <w:t xml:space="preserve"> </w:t>
      </w:r>
      <w:r w:rsidRPr="00E74C28">
        <w:rPr>
          <w:szCs w:val="20"/>
        </w:rPr>
        <w:t>share</w:t>
      </w:r>
      <w:r w:rsidR="00C64050">
        <w:rPr>
          <w:szCs w:val="20"/>
        </w:rPr>
        <w:t xml:space="preserve"> </w:t>
      </w:r>
      <w:r w:rsidRPr="00E74C28">
        <w:rPr>
          <w:szCs w:val="20"/>
        </w:rPr>
        <w:t>for</w:t>
      </w:r>
      <w:r w:rsidR="00C64050">
        <w:rPr>
          <w:szCs w:val="20"/>
        </w:rPr>
        <w:t xml:space="preserve"> </w:t>
      </w:r>
      <w:r w:rsidRPr="00E74C28">
        <w:rPr>
          <w:szCs w:val="20"/>
        </w:rPr>
        <w:t>any</w:t>
      </w:r>
      <w:r w:rsidR="00C64050">
        <w:rPr>
          <w:szCs w:val="20"/>
        </w:rPr>
        <w:t xml:space="preserve"> </w:t>
      </w:r>
      <w:r w:rsidRPr="00E74C28">
        <w:rPr>
          <w:szCs w:val="20"/>
        </w:rPr>
        <w:t>beneficiary</w:t>
      </w:r>
      <w:r w:rsidR="00C64050">
        <w:rPr>
          <w:szCs w:val="20"/>
        </w:rPr>
        <w:t xml:space="preserve"> </w:t>
      </w:r>
      <w:r w:rsidRPr="00E74C28">
        <w:rPr>
          <w:szCs w:val="20"/>
        </w:rPr>
        <w:t>hereunder</w:t>
      </w:r>
      <w:r w:rsidR="00C64050">
        <w:rPr>
          <w:szCs w:val="20"/>
        </w:rPr>
        <w:t xml:space="preserve"> </w:t>
      </w:r>
      <w:r w:rsidRPr="00E74C28">
        <w:rPr>
          <w:szCs w:val="20"/>
        </w:rPr>
        <w:t>shall</w:t>
      </w:r>
      <w:r w:rsidR="00C64050">
        <w:rPr>
          <w:szCs w:val="20"/>
        </w:rPr>
        <w:t xml:space="preserve"> </w:t>
      </w:r>
      <w:r w:rsidRPr="00E74C28">
        <w:rPr>
          <w:szCs w:val="20"/>
        </w:rPr>
        <w:t>not</w:t>
      </w:r>
      <w:r w:rsidR="00C64050">
        <w:rPr>
          <w:szCs w:val="20"/>
        </w:rPr>
        <w:t xml:space="preserve"> </w:t>
      </w:r>
      <w:r w:rsidRPr="00E74C28">
        <w:rPr>
          <w:szCs w:val="20"/>
        </w:rPr>
        <w:t>be</w:t>
      </w:r>
      <w:r w:rsidR="00C64050">
        <w:rPr>
          <w:szCs w:val="20"/>
        </w:rPr>
        <w:t xml:space="preserve"> </w:t>
      </w:r>
      <w:r w:rsidRPr="00E74C28">
        <w:rPr>
          <w:szCs w:val="20"/>
        </w:rPr>
        <w:t>affected</w:t>
      </w:r>
      <w:r w:rsidR="00C64050">
        <w:rPr>
          <w:szCs w:val="20"/>
        </w:rPr>
        <w:t xml:space="preserve"> </w:t>
      </w:r>
      <w:r w:rsidRPr="00E74C28">
        <w:rPr>
          <w:szCs w:val="20"/>
        </w:rPr>
        <w:t>by</w:t>
      </w:r>
      <w:r w:rsidR="00C64050">
        <w:rPr>
          <w:szCs w:val="20"/>
        </w:rPr>
        <w:t xml:space="preserve"> </w:t>
      </w:r>
      <w:r w:rsidRPr="00E74C28">
        <w:rPr>
          <w:szCs w:val="20"/>
        </w:rPr>
        <w:t>any</w:t>
      </w:r>
      <w:r w:rsidR="00C64050">
        <w:rPr>
          <w:szCs w:val="20"/>
        </w:rPr>
        <w:t xml:space="preserve"> </w:t>
      </w:r>
      <w:r w:rsidRPr="00E74C28">
        <w:rPr>
          <w:szCs w:val="20"/>
        </w:rPr>
        <w:t>gifts</w:t>
      </w:r>
      <w:r w:rsidR="00C64050">
        <w:rPr>
          <w:szCs w:val="20"/>
        </w:rPr>
        <w:t xml:space="preserve"> </w:t>
      </w:r>
      <w:r w:rsidRPr="00E74C28">
        <w:rPr>
          <w:szCs w:val="20"/>
        </w:rPr>
        <w:t>or</w:t>
      </w:r>
      <w:r w:rsidR="00C64050">
        <w:rPr>
          <w:szCs w:val="20"/>
        </w:rPr>
        <w:t xml:space="preserve"> </w:t>
      </w:r>
      <w:r w:rsidRPr="00E74C28">
        <w:rPr>
          <w:szCs w:val="20"/>
        </w:rPr>
        <w:t>loans</w:t>
      </w:r>
      <w:r w:rsidR="00C64050">
        <w:rPr>
          <w:szCs w:val="20"/>
        </w:rPr>
        <w:t xml:space="preserve"> </w:t>
      </w:r>
      <w:r w:rsidRPr="00E74C28">
        <w:rPr>
          <w:szCs w:val="20"/>
        </w:rPr>
        <w:t>to</w:t>
      </w:r>
      <w:r w:rsidR="00C64050">
        <w:rPr>
          <w:szCs w:val="20"/>
        </w:rPr>
        <w:t xml:space="preserve"> </w:t>
      </w:r>
      <w:r w:rsidRPr="00E74C28">
        <w:rPr>
          <w:szCs w:val="20"/>
        </w:rPr>
        <w:t>any</w:t>
      </w:r>
      <w:r w:rsidR="00C64050">
        <w:rPr>
          <w:szCs w:val="20"/>
        </w:rPr>
        <w:t xml:space="preserve"> </w:t>
      </w:r>
      <w:r w:rsidRPr="00E74C28">
        <w:rPr>
          <w:szCs w:val="20"/>
        </w:rPr>
        <w:t>beneficiary</w:t>
      </w:r>
      <w:r w:rsidR="00C64050">
        <w:rPr>
          <w:szCs w:val="20"/>
        </w:rPr>
        <w:t xml:space="preserve"> </w:t>
      </w:r>
      <w:r w:rsidRPr="00E74C28">
        <w:rPr>
          <w:szCs w:val="20"/>
        </w:rPr>
        <w:t>hereunder.</w:t>
      </w:r>
    </w:p>
    <w:p w:rsidR="00E74C28" w:rsidRPr="00E74C28" w:rsidRDefault="00E74C28" w:rsidP="00E74C28">
      <w:pPr>
        <w:pStyle w:val="QS10"/>
        <w:rPr>
          <w:szCs w:val="20"/>
        </w:rPr>
      </w:pPr>
      <w:r w:rsidRPr="00E74C28">
        <w:rPr>
          <w:szCs w:val="20"/>
        </w:rPr>
        <w:t>J.A.</w:t>
      </w:r>
      <w:r w:rsidR="00C64050">
        <w:rPr>
          <w:szCs w:val="20"/>
        </w:rPr>
        <w:t xml:space="preserve"> </w:t>
      </w:r>
      <w:r w:rsidRPr="00E74C28">
        <w:rPr>
          <w:szCs w:val="20"/>
        </w:rPr>
        <w:t>at</w:t>
      </w:r>
      <w:r w:rsidR="00C64050">
        <w:rPr>
          <w:szCs w:val="20"/>
        </w:rPr>
        <w:t xml:space="preserve"> </w:t>
      </w:r>
      <w:r w:rsidRPr="00E74C28">
        <w:rPr>
          <w:szCs w:val="20"/>
        </w:rPr>
        <w:t>254.</w:t>
      </w:r>
      <w:r w:rsidR="00C64050">
        <w:rPr>
          <w:szCs w:val="20"/>
        </w:rPr>
        <w:t xml:space="preserve"> </w:t>
      </w:r>
      <w:r w:rsidRPr="00E74C28">
        <w:rPr>
          <w:szCs w:val="20"/>
        </w:rPr>
        <w:t>The</w:t>
      </w:r>
      <w:r w:rsidR="00C64050">
        <w:rPr>
          <w:szCs w:val="20"/>
        </w:rPr>
        <w:t xml:space="preserve"> </w:t>
      </w:r>
      <w:r w:rsidRPr="00E74C28">
        <w:rPr>
          <w:szCs w:val="20"/>
        </w:rPr>
        <w:t>next</w:t>
      </w:r>
      <w:r w:rsidR="00C64050">
        <w:rPr>
          <w:szCs w:val="20"/>
        </w:rPr>
        <w:t xml:space="preserve"> </w:t>
      </w:r>
      <w:r w:rsidRPr="00E74C28">
        <w:rPr>
          <w:szCs w:val="20"/>
        </w:rPr>
        <w:t>paragraph</w:t>
      </w:r>
      <w:r w:rsidR="00C64050">
        <w:rPr>
          <w:szCs w:val="20"/>
        </w:rPr>
        <w:t xml:space="preserve"> </w:t>
      </w:r>
      <w:r w:rsidRPr="00E74C28">
        <w:rPr>
          <w:szCs w:val="20"/>
        </w:rPr>
        <w:t>of</w:t>
      </w:r>
      <w:r w:rsidR="00C64050">
        <w:rPr>
          <w:szCs w:val="20"/>
        </w:rPr>
        <w:t xml:space="preserve"> </w:t>
      </w:r>
      <w:r w:rsidRPr="00E74C28">
        <w:rPr>
          <w:szCs w:val="20"/>
        </w:rPr>
        <w:t>the</w:t>
      </w:r>
      <w:r w:rsidR="00C64050">
        <w:rPr>
          <w:szCs w:val="20"/>
        </w:rPr>
        <w:t xml:space="preserve"> </w:t>
      </w:r>
      <w:r w:rsidRPr="00E74C28">
        <w:rPr>
          <w:szCs w:val="20"/>
        </w:rPr>
        <w:t>no-contest</w:t>
      </w:r>
      <w:r w:rsidR="00C64050">
        <w:rPr>
          <w:szCs w:val="20"/>
        </w:rPr>
        <w:t xml:space="preserve"> </w:t>
      </w:r>
      <w:r w:rsidRPr="00E74C28">
        <w:rPr>
          <w:szCs w:val="20"/>
        </w:rPr>
        <w:t>provision</w:t>
      </w:r>
      <w:r w:rsidR="00C64050">
        <w:rPr>
          <w:szCs w:val="20"/>
        </w:rPr>
        <w:t xml:space="preserve"> </w:t>
      </w:r>
      <w:r w:rsidRPr="00E74C28">
        <w:rPr>
          <w:szCs w:val="20"/>
        </w:rPr>
        <w:t>begins:</w:t>
      </w:r>
      <w:r w:rsidR="00C64050">
        <w:rPr>
          <w:szCs w:val="20"/>
        </w:rPr>
        <w:t xml:space="preserve"> </w:t>
      </w:r>
      <w:r w:rsidRPr="00E74C28">
        <w:rPr>
          <w:szCs w:val="20"/>
        </w:rPr>
        <w:t>“I</w:t>
      </w:r>
      <w:r w:rsidR="00C64050">
        <w:rPr>
          <w:szCs w:val="20"/>
        </w:rPr>
        <w:t xml:space="preserve"> </w:t>
      </w:r>
      <w:r w:rsidRPr="00E74C28">
        <w:rPr>
          <w:szCs w:val="20"/>
        </w:rPr>
        <w:t>desire</w:t>
      </w:r>
      <w:r w:rsidR="00C64050">
        <w:rPr>
          <w:szCs w:val="20"/>
        </w:rPr>
        <w:t xml:space="preserve"> </w:t>
      </w:r>
      <w:r w:rsidRPr="00E74C28">
        <w:rPr>
          <w:szCs w:val="20"/>
        </w:rPr>
        <w:t>that</w:t>
      </w:r>
      <w:r w:rsidR="00C64050">
        <w:rPr>
          <w:szCs w:val="20"/>
        </w:rPr>
        <w:t xml:space="preserve"> </w:t>
      </w:r>
      <w:r w:rsidRPr="00E74C28">
        <w:rPr>
          <w:szCs w:val="20"/>
        </w:rPr>
        <w:t>my</w:t>
      </w:r>
      <w:r w:rsidR="00C64050">
        <w:rPr>
          <w:szCs w:val="20"/>
        </w:rPr>
        <w:t xml:space="preserve"> </w:t>
      </w:r>
      <w:r w:rsidRPr="00E74C28">
        <w:rPr>
          <w:szCs w:val="20"/>
        </w:rPr>
        <w:t>children</w:t>
      </w:r>
      <w:r w:rsidR="00C64050">
        <w:rPr>
          <w:szCs w:val="20"/>
        </w:rPr>
        <w:t xml:space="preserve"> </w:t>
      </w:r>
      <w:r w:rsidRPr="00E74C28">
        <w:rPr>
          <w:szCs w:val="20"/>
        </w:rPr>
        <w:t>and</w:t>
      </w:r>
      <w:r w:rsidR="00C64050">
        <w:rPr>
          <w:szCs w:val="20"/>
        </w:rPr>
        <w:t xml:space="preserve"> </w:t>
      </w:r>
      <w:r w:rsidRPr="00E74C28">
        <w:rPr>
          <w:szCs w:val="20"/>
        </w:rPr>
        <w:t>grandchild</w:t>
      </w:r>
      <w:r w:rsidR="00C64050">
        <w:rPr>
          <w:szCs w:val="20"/>
        </w:rPr>
        <w:t xml:space="preserve"> </w:t>
      </w:r>
      <w:r w:rsidRPr="00E74C28">
        <w:rPr>
          <w:szCs w:val="20"/>
        </w:rPr>
        <w:t>not</w:t>
      </w:r>
      <w:r w:rsidR="00C64050">
        <w:rPr>
          <w:szCs w:val="20"/>
        </w:rPr>
        <w:t xml:space="preserve"> </w:t>
      </w:r>
      <w:r w:rsidRPr="00E74C28">
        <w:rPr>
          <w:szCs w:val="20"/>
        </w:rPr>
        <w:t>expend</w:t>
      </w:r>
      <w:r w:rsidR="00C64050">
        <w:rPr>
          <w:szCs w:val="20"/>
        </w:rPr>
        <w:t xml:space="preserve"> </w:t>
      </w:r>
      <w:r w:rsidRPr="00E74C28">
        <w:rPr>
          <w:szCs w:val="20"/>
        </w:rPr>
        <w:t>resources</w:t>
      </w:r>
      <w:r w:rsidR="00C64050">
        <w:rPr>
          <w:szCs w:val="20"/>
        </w:rPr>
        <w:t xml:space="preserve"> </w:t>
      </w:r>
      <w:r w:rsidRPr="00E74C28">
        <w:rPr>
          <w:rStyle w:val="Emphasis"/>
          <w:szCs w:val="20"/>
        </w:rPr>
        <w:t>disputing</w:t>
      </w:r>
      <w:r w:rsidR="00C64050">
        <w:rPr>
          <w:rStyle w:val="Emphasis"/>
          <w:szCs w:val="20"/>
        </w:rPr>
        <w:t xml:space="preserve"> </w:t>
      </w:r>
      <w:r w:rsidRPr="00E74C28">
        <w:rPr>
          <w:rStyle w:val="Emphasis"/>
          <w:szCs w:val="20"/>
        </w:rPr>
        <w:t>loans,</w:t>
      </w:r>
      <w:r w:rsidR="00C64050">
        <w:rPr>
          <w:rStyle w:val="Emphasis"/>
          <w:szCs w:val="20"/>
        </w:rPr>
        <w:t xml:space="preserve"> </w:t>
      </w:r>
      <w:r w:rsidRPr="00E74C28">
        <w:rPr>
          <w:rStyle w:val="Emphasis"/>
          <w:szCs w:val="20"/>
        </w:rPr>
        <w:t>gifts</w:t>
      </w:r>
      <w:r w:rsidR="00C64050">
        <w:rPr>
          <w:rStyle w:val="Emphasis"/>
          <w:szCs w:val="20"/>
        </w:rPr>
        <w:t xml:space="preserve"> </w:t>
      </w:r>
      <w:r w:rsidRPr="00E74C28">
        <w:rPr>
          <w:rStyle w:val="Emphasis"/>
          <w:szCs w:val="20"/>
        </w:rPr>
        <w:t>or</w:t>
      </w:r>
      <w:r w:rsidR="00C64050">
        <w:rPr>
          <w:rStyle w:val="Emphasis"/>
          <w:szCs w:val="20"/>
        </w:rPr>
        <w:t xml:space="preserve"> </w:t>
      </w:r>
      <w:r w:rsidRPr="00E74C28">
        <w:rPr>
          <w:rStyle w:val="Emphasis"/>
          <w:szCs w:val="20"/>
        </w:rPr>
        <w:t>bequests</w:t>
      </w:r>
      <w:r w:rsidR="00C64050">
        <w:rPr>
          <w:rStyle w:val="Emphasis"/>
          <w:szCs w:val="20"/>
        </w:rPr>
        <w:t xml:space="preserve"> </w:t>
      </w:r>
      <w:r w:rsidRPr="00E74C28">
        <w:rPr>
          <w:rStyle w:val="Emphasis"/>
          <w:szCs w:val="20"/>
        </w:rPr>
        <w:t>that</w:t>
      </w:r>
      <w:r w:rsidR="00C64050">
        <w:rPr>
          <w:rStyle w:val="Emphasis"/>
          <w:szCs w:val="20"/>
        </w:rPr>
        <w:t xml:space="preserve"> </w:t>
      </w:r>
      <w:r w:rsidRPr="00E74C28">
        <w:rPr>
          <w:rStyle w:val="Emphasis"/>
          <w:szCs w:val="20"/>
        </w:rPr>
        <w:t>I</w:t>
      </w:r>
      <w:r w:rsidR="00C64050">
        <w:rPr>
          <w:rStyle w:val="Emphasis"/>
          <w:szCs w:val="20"/>
        </w:rPr>
        <w:t xml:space="preserve"> </w:t>
      </w:r>
      <w:r w:rsidRPr="00E74C28">
        <w:rPr>
          <w:rStyle w:val="Emphasis"/>
          <w:szCs w:val="20"/>
        </w:rPr>
        <w:t>have</w:t>
      </w:r>
      <w:r w:rsidR="00C64050">
        <w:rPr>
          <w:rStyle w:val="Emphasis"/>
          <w:szCs w:val="20"/>
        </w:rPr>
        <w:t xml:space="preserve"> </w:t>
      </w:r>
      <w:r w:rsidRPr="00E74C28">
        <w:rPr>
          <w:rStyle w:val="Emphasis"/>
          <w:szCs w:val="20"/>
        </w:rPr>
        <w:t>made</w:t>
      </w:r>
      <w:r w:rsidRPr="00E74C28">
        <w:rPr>
          <w:szCs w:val="20"/>
        </w:rPr>
        <w:t>.”</w:t>
      </w:r>
      <w:r w:rsidR="00C64050">
        <w:rPr>
          <w:szCs w:val="20"/>
        </w:rPr>
        <w:t xml:space="preserve"> </w:t>
      </w:r>
      <w:r w:rsidRPr="00E74C28">
        <w:rPr>
          <w:rStyle w:val="Emphasis"/>
          <w:szCs w:val="20"/>
        </w:rPr>
        <w:t>Id.</w:t>
      </w:r>
      <w:r w:rsidR="00C64050">
        <w:rPr>
          <w:szCs w:val="20"/>
        </w:rPr>
        <w:t xml:space="preserve"> </w:t>
      </w:r>
      <w:r w:rsidRPr="00E74C28">
        <w:rPr>
          <w:szCs w:val="20"/>
        </w:rPr>
        <w:t>(emphasis</w:t>
      </w:r>
      <w:r w:rsidR="00C64050">
        <w:rPr>
          <w:szCs w:val="20"/>
        </w:rPr>
        <w:t xml:space="preserve"> </w:t>
      </w:r>
      <w:r w:rsidRPr="00E74C28">
        <w:rPr>
          <w:szCs w:val="20"/>
        </w:rPr>
        <w:t>added).</w:t>
      </w:r>
      <w:r w:rsidR="00C64050">
        <w:rPr>
          <w:szCs w:val="20"/>
        </w:rPr>
        <w:t xml:space="preserve"> </w:t>
      </w:r>
      <w:r w:rsidRPr="00E74C28">
        <w:rPr>
          <w:szCs w:val="20"/>
        </w:rPr>
        <w:t>Theresa</w:t>
      </w:r>
      <w:r w:rsidR="00C64050">
        <w:rPr>
          <w:szCs w:val="20"/>
        </w:rPr>
        <w:t xml:space="preserve"> </w:t>
      </w:r>
      <w:r w:rsidRPr="00E74C28">
        <w:rPr>
          <w:szCs w:val="20"/>
        </w:rPr>
        <w:t>then</w:t>
      </w:r>
      <w:r w:rsidR="00C64050">
        <w:rPr>
          <w:szCs w:val="20"/>
        </w:rPr>
        <w:t xml:space="preserve"> </w:t>
      </w:r>
      <w:r w:rsidRPr="00E74C28">
        <w:rPr>
          <w:szCs w:val="20"/>
        </w:rPr>
        <w:t>sought</w:t>
      </w:r>
      <w:r w:rsidR="00C64050">
        <w:rPr>
          <w:szCs w:val="20"/>
        </w:rPr>
        <w:t xml:space="preserve"> </w:t>
      </w:r>
      <w:r w:rsidRPr="00E74C28">
        <w:rPr>
          <w:szCs w:val="20"/>
        </w:rPr>
        <w:t>to</w:t>
      </w:r>
      <w:r w:rsidR="00C64050">
        <w:rPr>
          <w:szCs w:val="20"/>
        </w:rPr>
        <w:t xml:space="preserve"> </w:t>
      </w:r>
      <w:r w:rsidRPr="00E74C28">
        <w:rPr>
          <w:szCs w:val="20"/>
        </w:rPr>
        <w:t>enforce</w:t>
      </w:r>
      <w:r w:rsidR="00C64050">
        <w:rPr>
          <w:szCs w:val="20"/>
        </w:rPr>
        <w:t xml:space="preserve"> </w:t>
      </w:r>
      <w:r w:rsidRPr="00E74C28">
        <w:rPr>
          <w:szCs w:val="20"/>
        </w:rPr>
        <w:t>that</w:t>
      </w:r>
      <w:r w:rsidR="00C64050">
        <w:rPr>
          <w:szCs w:val="20"/>
        </w:rPr>
        <w:t xml:space="preserve"> </w:t>
      </w:r>
      <w:r w:rsidRPr="00E74C28">
        <w:rPr>
          <w:szCs w:val="20"/>
        </w:rPr>
        <w:t>desire</w:t>
      </w:r>
      <w:r w:rsidR="00C64050">
        <w:rPr>
          <w:szCs w:val="20"/>
        </w:rPr>
        <w:t xml:space="preserve"> </w:t>
      </w:r>
      <w:r w:rsidRPr="00E74C28">
        <w:rPr>
          <w:szCs w:val="20"/>
        </w:rPr>
        <w:t>by</w:t>
      </w:r>
      <w:r w:rsidR="00C64050">
        <w:rPr>
          <w:szCs w:val="20"/>
        </w:rPr>
        <w:t xml:space="preserve"> </w:t>
      </w:r>
      <w:r w:rsidRPr="00E74C28">
        <w:rPr>
          <w:szCs w:val="20"/>
        </w:rPr>
        <w:t>declaring:</w:t>
      </w:r>
    </w:p>
    <w:p w:rsidR="00E74C28" w:rsidRPr="00E74C28" w:rsidRDefault="00E74C28" w:rsidP="00E74C28">
      <w:pPr>
        <w:pStyle w:val="QS10"/>
        <w:ind w:left="2160"/>
        <w:rPr>
          <w:szCs w:val="20"/>
        </w:rPr>
      </w:pPr>
      <w:r w:rsidRPr="00E74C28">
        <w:rPr>
          <w:szCs w:val="20"/>
        </w:rPr>
        <w:t>Therefore,</w:t>
      </w:r>
      <w:r w:rsidR="00C64050">
        <w:rPr>
          <w:szCs w:val="20"/>
        </w:rPr>
        <w:t xml:space="preserve"> </w:t>
      </w:r>
      <w:r w:rsidRPr="00E74C28">
        <w:rPr>
          <w:szCs w:val="20"/>
        </w:rPr>
        <w:t>if</w:t>
      </w:r>
      <w:r w:rsidR="00C64050">
        <w:rPr>
          <w:szCs w:val="20"/>
        </w:rPr>
        <w:t xml:space="preserve"> </w:t>
      </w:r>
      <w:r w:rsidRPr="00E74C28">
        <w:rPr>
          <w:szCs w:val="20"/>
        </w:rPr>
        <w:t>any</w:t>
      </w:r>
      <w:r w:rsidR="00C64050">
        <w:rPr>
          <w:szCs w:val="20"/>
        </w:rPr>
        <w:t xml:space="preserve"> </w:t>
      </w:r>
      <w:r w:rsidRPr="00E74C28">
        <w:rPr>
          <w:szCs w:val="20"/>
        </w:rPr>
        <w:t>beneficiary</w:t>
      </w:r>
      <w:r w:rsidR="00C64050">
        <w:rPr>
          <w:szCs w:val="20"/>
        </w:rPr>
        <w:t xml:space="preserve"> </w:t>
      </w:r>
      <w:r w:rsidRPr="00E74C28">
        <w:rPr>
          <w:szCs w:val="20"/>
        </w:rPr>
        <w:t>under</w:t>
      </w:r>
      <w:r w:rsidR="00C64050">
        <w:rPr>
          <w:szCs w:val="20"/>
        </w:rPr>
        <w:t xml:space="preserve"> </w:t>
      </w:r>
      <w:r w:rsidRPr="00E74C28">
        <w:rPr>
          <w:szCs w:val="20"/>
        </w:rPr>
        <w:t>this</w:t>
      </w:r>
      <w:r w:rsidR="00C64050">
        <w:rPr>
          <w:szCs w:val="20"/>
        </w:rPr>
        <w:t xml:space="preserve"> </w:t>
      </w:r>
      <w:r w:rsidRPr="00E74C28">
        <w:rPr>
          <w:szCs w:val="20"/>
        </w:rPr>
        <w:t>Trust</w:t>
      </w:r>
      <w:r w:rsidR="00C64050">
        <w:rPr>
          <w:szCs w:val="20"/>
        </w:rPr>
        <w:t xml:space="preserve"> </w:t>
      </w:r>
      <w:r w:rsidRPr="00E74C28">
        <w:rPr>
          <w:szCs w:val="20"/>
        </w:rPr>
        <w:t>Agreement</w:t>
      </w:r>
      <w:r w:rsidR="00C64050">
        <w:rPr>
          <w:szCs w:val="20"/>
        </w:rPr>
        <w:t xml:space="preserve"> </w:t>
      </w:r>
      <w:r w:rsidRPr="00E74C28">
        <w:rPr>
          <w:szCs w:val="20"/>
        </w:rPr>
        <w:t>takes</w:t>
      </w:r>
      <w:r w:rsidR="00C64050">
        <w:rPr>
          <w:szCs w:val="20"/>
        </w:rPr>
        <w:t xml:space="preserve"> </w:t>
      </w:r>
      <w:r w:rsidRPr="00E74C28">
        <w:rPr>
          <w:szCs w:val="20"/>
        </w:rPr>
        <w:t>any</w:t>
      </w:r>
      <w:r w:rsidR="00C64050">
        <w:rPr>
          <w:szCs w:val="20"/>
        </w:rPr>
        <w:t xml:space="preserve"> </w:t>
      </w:r>
      <w:r w:rsidRPr="00E74C28">
        <w:rPr>
          <w:szCs w:val="20"/>
        </w:rPr>
        <w:t>one</w:t>
      </w:r>
      <w:r w:rsidR="00C64050">
        <w:rPr>
          <w:szCs w:val="20"/>
        </w:rPr>
        <w:t xml:space="preserve"> </w:t>
      </w:r>
      <w:r w:rsidRPr="00E74C28">
        <w:rPr>
          <w:szCs w:val="20"/>
        </w:rPr>
        <w:t>or</w:t>
      </w:r>
      <w:r w:rsidR="00C64050">
        <w:rPr>
          <w:szCs w:val="20"/>
        </w:rPr>
        <w:t xml:space="preserve"> </w:t>
      </w:r>
      <w:r w:rsidRPr="00E74C28">
        <w:rPr>
          <w:szCs w:val="20"/>
        </w:rPr>
        <w:t>more</w:t>
      </w:r>
      <w:r w:rsidR="00C64050">
        <w:rPr>
          <w:szCs w:val="20"/>
        </w:rPr>
        <w:t xml:space="preserve"> </w:t>
      </w:r>
      <w:r w:rsidRPr="00E74C28">
        <w:rPr>
          <w:szCs w:val="20"/>
        </w:rPr>
        <w:t>actions</w:t>
      </w:r>
      <w:r w:rsidR="00C64050">
        <w:rPr>
          <w:szCs w:val="20"/>
        </w:rPr>
        <w:t xml:space="preserve"> </w:t>
      </w:r>
      <w:r w:rsidRPr="00E74C28">
        <w:rPr>
          <w:szCs w:val="20"/>
        </w:rPr>
        <w:t>described</w:t>
      </w:r>
      <w:r w:rsidR="00C64050">
        <w:rPr>
          <w:szCs w:val="20"/>
        </w:rPr>
        <w:t xml:space="preserve"> </w:t>
      </w:r>
      <w:r w:rsidRPr="00E74C28">
        <w:rPr>
          <w:szCs w:val="20"/>
        </w:rPr>
        <w:t>in</w:t>
      </w:r>
      <w:r w:rsidR="00C64050">
        <w:rPr>
          <w:szCs w:val="20"/>
        </w:rPr>
        <w:t xml:space="preserve"> </w:t>
      </w:r>
      <w:r w:rsidRPr="00E74C28">
        <w:rPr>
          <w:szCs w:val="20"/>
        </w:rPr>
        <w:t>this</w:t>
      </w:r>
      <w:r w:rsidR="00C64050">
        <w:rPr>
          <w:szCs w:val="20"/>
        </w:rPr>
        <w:t xml:space="preserve"> </w:t>
      </w:r>
      <w:r w:rsidRPr="00E74C28">
        <w:rPr>
          <w:szCs w:val="20"/>
        </w:rPr>
        <w:t>paragraph,</w:t>
      </w:r>
      <w:r w:rsidR="00C64050">
        <w:rPr>
          <w:szCs w:val="20"/>
        </w:rPr>
        <w:t xml:space="preserve"> </w:t>
      </w:r>
      <w:r w:rsidRPr="00E74C28">
        <w:rPr>
          <w:szCs w:val="20"/>
        </w:rPr>
        <w:t>then</w:t>
      </w:r>
      <w:r w:rsidR="00C64050">
        <w:rPr>
          <w:szCs w:val="20"/>
        </w:rPr>
        <w:t xml:space="preserve"> </w:t>
      </w:r>
      <w:r w:rsidRPr="00E74C28">
        <w:rPr>
          <w:szCs w:val="20"/>
        </w:rPr>
        <w:t>the</w:t>
      </w:r>
      <w:r w:rsidR="00C64050">
        <w:rPr>
          <w:szCs w:val="20"/>
        </w:rPr>
        <w:t xml:space="preserve"> </w:t>
      </w:r>
      <w:r w:rsidRPr="00E74C28">
        <w:rPr>
          <w:szCs w:val="20"/>
        </w:rPr>
        <w:t>interest</w:t>
      </w:r>
      <w:r w:rsidR="00C64050">
        <w:rPr>
          <w:szCs w:val="20"/>
        </w:rPr>
        <w:t xml:space="preserve"> </w:t>
      </w:r>
      <w:r w:rsidRPr="00E74C28">
        <w:rPr>
          <w:szCs w:val="20"/>
        </w:rPr>
        <w:t>of</w:t>
      </w:r>
      <w:r w:rsidR="00C64050">
        <w:rPr>
          <w:szCs w:val="20"/>
        </w:rPr>
        <w:t xml:space="preserve"> </w:t>
      </w:r>
      <w:r w:rsidRPr="00E74C28">
        <w:rPr>
          <w:szCs w:val="20"/>
        </w:rPr>
        <w:t>such</w:t>
      </w:r>
      <w:r w:rsidR="00C64050">
        <w:rPr>
          <w:szCs w:val="20"/>
        </w:rPr>
        <w:t xml:space="preserve"> </w:t>
      </w:r>
      <w:r w:rsidRPr="00E74C28">
        <w:rPr>
          <w:szCs w:val="20"/>
        </w:rPr>
        <w:t>beneficiary</w:t>
      </w:r>
      <w:r w:rsidR="00C64050">
        <w:rPr>
          <w:szCs w:val="20"/>
        </w:rPr>
        <w:t xml:space="preserve"> </w:t>
      </w:r>
      <w:r w:rsidRPr="00E74C28">
        <w:rPr>
          <w:szCs w:val="20"/>
        </w:rPr>
        <w:t>under</w:t>
      </w:r>
      <w:r w:rsidR="00C64050">
        <w:rPr>
          <w:szCs w:val="20"/>
        </w:rPr>
        <w:t xml:space="preserve"> </w:t>
      </w:r>
      <w:r w:rsidRPr="00E74C28">
        <w:rPr>
          <w:szCs w:val="20"/>
        </w:rPr>
        <w:t>this</w:t>
      </w:r>
      <w:r w:rsidR="00C64050">
        <w:rPr>
          <w:szCs w:val="20"/>
        </w:rPr>
        <w:t xml:space="preserve"> </w:t>
      </w:r>
      <w:r w:rsidRPr="00E74C28">
        <w:rPr>
          <w:szCs w:val="20"/>
        </w:rPr>
        <w:t>Trust</w:t>
      </w:r>
      <w:r w:rsidR="00C64050">
        <w:rPr>
          <w:szCs w:val="20"/>
        </w:rPr>
        <w:t xml:space="preserve"> </w:t>
      </w:r>
      <w:r w:rsidRPr="00E74C28">
        <w:rPr>
          <w:szCs w:val="20"/>
        </w:rPr>
        <w:t>Agreement</w:t>
      </w:r>
      <w:r w:rsidR="00C64050">
        <w:rPr>
          <w:szCs w:val="20"/>
        </w:rPr>
        <w:t xml:space="preserve"> </w:t>
      </w:r>
      <w:r w:rsidRPr="00E74C28">
        <w:rPr>
          <w:szCs w:val="20"/>
        </w:rPr>
        <w:t>shall</w:t>
      </w:r>
      <w:r w:rsidR="00C64050">
        <w:rPr>
          <w:szCs w:val="20"/>
        </w:rPr>
        <w:t xml:space="preserve"> </w:t>
      </w:r>
      <w:r w:rsidRPr="00E74C28">
        <w:rPr>
          <w:szCs w:val="20"/>
        </w:rPr>
        <w:t>be</w:t>
      </w:r>
      <w:r w:rsidR="00C64050">
        <w:rPr>
          <w:szCs w:val="20"/>
        </w:rPr>
        <w:t xml:space="preserve"> </w:t>
      </w:r>
      <w:r w:rsidRPr="00E74C28">
        <w:rPr>
          <w:szCs w:val="20"/>
        </w:rPr>
        <w:t>revoked,</w:t>
      </w:r>
      <w:r w:rsidR="00C64050">
        <w:rPr>
          <w:szCs w:val="20"/>
        </w:rPr>
        <w:t xml:space="preserve"> </w:t>
      </w:r>
      <w:r w:rsidRPr="00E74C28">
        <w:rPr>
          <w:szCs w:val="20"/>
        </w:rPr>
        <w:t>and</w:t>
      </w:r>
      <w:r w:rsidR="00C64050">
        <w:rPr>
          <w:szCs w:val="20"/>
        </w:rPr>
        <w:t xml:space="preserve"> </w:t>
      </w:r>
      <w:r w:rsidRPr="00E74C28">
        <w:rPr>
          <w:szCs w:val="20"/>
        </w:rPr>
        <w:t>such</w:t>
      </w:r>
      <w:r w:rsidR="00C64050">
        <w:rPr>
          <w:szCs w:val="20"/>
        </w:rPr>
        <w:t xml:space="preserve"> </w:t>
      </w:r>
      <w:r w:rsidRPr="00E74C28">
        <w:rPr>
          <w:szCs w:val="20"/>
        </w:rPr>
        <w:t>beneficiary</w:t>
      </w:r>
      <w:r w:rsidR="00C64050">
        <w:rPr>
          <w:szCs w:val="20"/>
        </w:rPr>
        <w:t xml:space="preserve"> </w:t>
      </w:r>
      <w:r w:rsidRPr="00E74C28">
        <w:rPr>
          <w:szCs w:val="20"/>
        </w:rPr>
        <w:t>shall</w:t>
      </w:r>
      <w:r w:rsidR="00C64050">
        <w:rPr>
          <w:szCs w:val="20"/>
        </w:rPr>
        <w:t xml:space="preserve"> </w:t>
      </w:r>
      <w:r w:rsidRPr="00E74C28">
        <w:rPr>
          <w:szCs w:val="20"/>
        </w:rPr>
        <w:t>be</w:t>
      </w:r>
      <w:r w:rsidR="00C64050">
        <w:rPr>
          <w:szCs w:val="20"/>
        </w:rPr>
        <w:t xml:space="preserve"> </w:t>
      </w:r>
      <w:r w:rsidRPr="00E74C28">
        <w:rPr>
          <w:szCs w:val="20"/>
        </w:rPr>
        <w:t>deemed</w:t>
      </w:r>
      <w:r w:rsidR="00C64050">
        <w:rPr>
          <w:szCs w:val="20"/>
        </w:rPr>
        <w:t xml:space="preserve"> </w:t>
      </w:r>
      <w:r w:rsidRPr="00E74C28">
        <w:rPr>
          <w:szCs w:val="20"/>
        </w:rPr>
        <w:t>to</w:t>
      </w:r>
      <w:r w:rsidR="00C64050">
        <w:rPr>
          <w:szCs w:val="20"/>
        </w:rPr>
        <w:t xml:space="preserve"> </w:t>
      </w:r>
      <w:r w:rsidRPr="00E74C28">
        <w:rPr>
          <w:szCs w:val="20"/>
        </w:rPr>
        <w:t>have</w:t>
      </w:r>
      <w:r w:rsidR="00C64050">
        <w:rPr>
          <w:szCs w:val="20"/>
        </w:rPr>
        <w:t xml:space="preserve"> </w:t>
      </w:r>
      <w:r w:rsidRPr="00E74C28">
        <w:rPr>
          <w:szCs w:val="20"/>
        </w:rPr>
        <w:t>predeceased</w:t>
      </w:r>
      <w:r w:rsidR="00C64050">
        <w:rPr>
          <w:szCs w:val="20"/>
        </w:rPr>
        <w:t xml:space="preserve"> </w:t>
      </w:r>
      <w:r w:rsidRPr="00E74C28">
        <w:rPr>
          <w:szCs w:val="20"/>
        </w:rPr>
        <w:t>me</w:t>
      </w:r>
      <w:r w:rsidR="00C64050">
        <w:rPr>
          <w:szCs w:val="20"/>
        </w:rPr>
        <w:t xml:space="preserve"> </w:t>
      </w:r>
      <w:r w:rsidRPr="00E74C28">
        <w:rPr>
          <w:szCs w:val="20"/>
        </w:rPr>
        <w:t>without</w:t>
      </w:r>
      <w:r w:rsidR="00C64050">
        <w:rPr>
          <w:szCs w:val="20"/>
        </w:rPr>
        <w:t xml:space="preserve"> </w:t>
      </w:r>
      <w:r w:rsidRPr="00E74C28">
        <w:rPr>
          <w:szCs w:val="20"/>
        </w:rPr>
        <w:t>surviving</w:t>
      </w:r>
      <w:r w:rsidR="00C64050">
        <w:rPr>
          <w:szCs w:val="20"/>
        </w:rPr>
        <w:t xml:space="preserve"> </w:t>
      </w:r>
      <w:r w:rsidRPr="00E74C28">
        <w:rPr>
          <w:szCs w:val="20"/>
        </w:rPr>
        <w:t>descendants</w:t>
      </w:r>
      <w:r w:rsidR="00C64050">
        <w:rPr>
          <w:szCs w:val="20"/>
        </w:rPr>
        <w:t xml:space="preserve"> </w:t>
      </w:r>
      <w:r w:rsidRPr="00E74C28">
        <w:rPr>
          <w:szCs w:val="20"/>
        </w:rPr>
        <w:t>for</w:t>
      </w:r>
      <w:r w:rsidR="00C64050">
        <w:rPr>
          <w:szCs w:val="20"/>
        </w:rPr>
        <w:t xml:space="preserve"> </w:t>
      </w:r>
      <w:r w:rsidRPr="00E74C28">
        <w:rPr>
          <w:szCs w:val="20"/>
        </w:rPr>
        <w:t>all</w:t>
      </w:r>
      <w:r w:rsidR="00C64050">
        <w:rPr>
          <w:szCs w:val="20"/>
        </w:rPr>
        <w:t xml:space="preserve"> </w:t>
      </w:r>
      <w:r w:rsidRPr="00E74C28">
        <w:rPr>
          <w:szCs w:val="20"/>
        </w:rPr>
        <w:t>purposes</w:t>
      </w:r>
      <w:r w:rsidR="00C64050">
        <w:rPr>
          <w:szCs w:val="20"/>
        </w:rPr>
        <w:t xml:space="preserve"> </w:t>
      </w:r>
      <w:r w:rsidRPr="00E74C28">
        <w:rPr>
          <w:szCs w:val="20"/>
        </w:rPr>
        <w:t>under</w:t>
      </w:r>
      <w:r w:rsidR="00C64050">
        <w:rPr>
          <w:szCs w:val="20"/>
        </w:rPr>
        <w:t xml:space="preserve"> </w:t>
      </w:r>
      <w:r w:rsidRPr="00E74C28">
        <w:rPr>
          <w:szCs w:val="20"/>
        </w:rPr>
        <w:t>this</w:t>
      </w:r>
      <w:r w:rsidR="00C64050">
        <w:rPr>
          <w:szCs w:val="20"/>
        </w:rPr>
        <w:t xml:space="preserve"> </w:t>
      </w:r>
      <w:r w:rsidRPr="00E74C28">
        <w:rPr>
          <w:szCs w:val="20"/>
        </w:rPr>
        <w:t>Trust</w:t>
      </w:r>
      <w:r w:rsidR="00C64050">
        <w:rPr>
          <w:szCs w:val="20"/>
        </w:rPr>
        <w:t xml:space="preserve"> </w:t>
      </w:r>
      <w:r w:rsidRPr="00E74C28">
        <w:rPr>
          <w:szCs w:val="20"/>
        </w:rPr>
        <w:t>Agreement,</w:t>
      </w:r>
      <w:r w:rsidR="00C64050">
        <w:rPr>
          <w:szCs w:val="20"/>
        </w:rPr>
        <w:t xml:space="preserve"> </w:t>
      </w:r>
      <w:r w:rsidRPr="00E74C28">
        <w:rPr>
          <w:szCs w:val="20"/>
        </w:rPr>
        <w:t>effective</w:t>
      </w:r>
      <w:r w:rsidR="00C64050">
        <w:rPr>
          <w:szCs w:val="20"/>
        </w:rPr>
        <w:t xml:space="preserve"> </w:t>
      </w:r>
      <w:r w:rsidRPr="00E74C28">
        <w:rPr>
          <w:szCs w:val="20"/>
        </w:rPr>
        <w:t>as</w:t>
      </w:r>
      <w:r w:rsidR="00C64050">
        <w:rPr>
          <w:szCs w:val="20"/>
        </w:rPr>
        <w:t xml:space="preserve"> </w:t>
      </w:r>
      <w:r w:rsidRPr="00E74C28">
        <w:rPr>
          <w:szCs w:val="20"/>
        </w:rPr>
        <w:t>of</w:t>
      </w:r>
      <w:r w:rsidR="00C64050">
        <w:rPr>
          <w:szCs w:val="20"/>
        </w:rPr>
        <w:t xml:space="preserve"> </w:t>
      </w:r>
      <w:r w:rsidRPr="00E74C28">
        <w:rPr>
          <w:szCs w:val="20"/>
        </w:rPr>
        <w:t>the</w:t>
      </w:r>
      <w:r w:rsidR="00C64050">
        <w:rPr>
          <w:szCs w:val="20"/>
        </w:rPr>
        <w:t xml:space="preserve"> </w:t>
      </w:r>
      <w:r w:rsidRPr="00E74C28">
        <w:rPr>
          <w:szCs w:val="20"/>
        </w:rPr>
        <w:t>date</w:t>
      </w:r>
      <w:r w:rsidR="00C64050">
        <w:rPr>
          <w:szCs w:val="20"/>
        </w:rPr>
        <w:t xml:space="preserve"> </w:t>
      </w:r>
      <w:r w:rsidRPr="00E74C28">
        <w:rPr>
          <w:szCs w:val="20"/>
        </w:rPr>
        <w:t>such</w:t>
      </w:r>
      <w:r w:rsidR="00C64050">
        <w:rPr>
          <w:szCs w:val="20"/>
        </w:rPr>
        <w:t xml:space="preserve"> </w:t>
      </w:r>
      <w:r w:rsidRPr="00E74C28">
        <w:rPr>
          <w:szCs w:val="20"/>
        </w:rPr>
        <w:t>action</w:t>
      </w:r>
      <w:r w:rsidR="00C64050">
        <w:rPr>
          <w:szCs w:val="20"/>
        </w:rPr>
        <w:t xml:space="preserve"> </w:t>
      </w:r>
      <w:r w:rsidRPr="00E74C28">
        <w:rPr>
          <w:szCs w:val="20"/>
        </w:rPr>
        <w:t>is</w:t>
      </w:r>
      <w:r w:rsidR="00C64050">
        <w:rPr>
          <w:szCs w:val="20"/>
        </w:rPr>
        <w:t xml:space="preserve"> </w:t>
      </w:r>
      <w:r w:rsidRPr="00E74C28">
        <w:rPr>
          <w:szCs w:val="20"/>
        </w:rPr>
        <w:t>taken.</w:t>
      </w:r>
    </w:p>
    <w:p w:rsidR="00E74C28" w:rsidRPr="00E74C28" w:rsidRDefault="00E74C28" w:rsidP="00E74C28">
      <w:pPr>
        <w:pStyle w:val="QS10"/>
        <w:rPr>
          <w:szCs w:val="20"/>
        </w:rPr>
      </w:pPr>
      <w:r w:rsidRPr="00E74C28">
        <w:rPr>
          <w:rStyle w:val="Emphasis"/>
          <w:szCs w:val="20"/>
        </w:rPr>
        <w:t>Id.</w:t>
      </w:r>
      <w:r w:rsidR="00C64050">
        <w:rPr>
          <w:szCs w:val="20"/>
        </w:rPr>
        <w:t xml:space="preserve"> </w:t>
      </w:r>
      <w:r w:rsidRPr="00E74C28">
        <w:rPr>
          <w:szCs w:val="20"/>
        </w:rPr>
        <w:t>One</w:t>
      </w:r>
      <w:r w:rsidR="00C64050">
        <w:rPr>
          <w:szCs w:val="20"/>
        </w:rPr>
        <w:t xml:space="preserve"> </w:t>
      </w:r>
      <w:r w:rsidRPr="00E74C28">
        <w:rPr>
          <w:szCs w:val="20"/>
        </w:rPr>
        <w:t>of</w:t>
      </w:r>
      <w:r w:rsidR="00C64050">
        <w:rPr>
          <w:szCs w:val="20"/>
        </w:rPr>
        <w:t xml:space="preserve"> </w:t>
      </w:r>
      <w:r w:rsidRPr="00E74C28">
        <w:rPr>
          <w:szCs w:val="20"/>
        </w:rPr>
        <w:t>the</w:t>
      </w:r>
      <w:r w:rsidR="00C64050">
        <w:rPr>
          <w:szCs w:val="20"/>
        </w:rPr>
        <w:t xml:space="preserve"> </w:t>
      </w:r>
      <w:r w:rsidRPr="00E74C28">
        <w:rPr>
          <w:szCs w:val="20"/>
        </w:rPr>
        <w:t>“actions”</w:t>
      </w:r>
      <w:r w:rsidR="00C64050">
        <w:rPr>
          <w:szCs w:val="20"/>
        </w:rPr>
        <w:t xml:space="preserve"> </w:t>
      </w:r>
      <w:r w:rsidRPr="00E74C28">
        <w:rPr>
          <w:szCs w:val="20"/>
        </w:rPr>
        <w:t>triggering</w:t>
      </w:r>
      <w:r w:rsidR="00C64050">
        <w:rPr>
          <w:szCs w:val="20"/>
        </w:rPr>
        <w:t xml:space="preserve"> </w:t>
      </w:r>
      <w:r w:rsidRPr="00E74C28">
        <w:rPr>
          <w:szCs w:val="20"/>
        </w:rPr>
        <w:t>the</w:t>
      </w:r>
      <w:r w:rsidR="00C64050">
        <w:rPr>
          <w:szCs w:val="20"/>
        </w:rPr>
        <w:t xml:space="preserve"> </w:t>
      </w:r>
      <w:r w:rsidRPr="00E74C28">
        <w:rPr>
          <w:szCs w:val="20"/>
        </w:rPr>
        <w:t>forfeiture</w:t>
      </w:r>
      <w:r w:rsidR="00C64050">
        <w:rPr>
          <w:szCs w:val="20"/>
        </w:rPr>
        <w:t xml:space="preserve"> </w:t>
      </w:r>
      <w:r w:rsidRPr="00E74C28">
        <w:rPr>
          <w:szCs w:val="20"/>
        </w:rPr>
        <w:t>was</w:t>
      </w:r>
      <w:r w:rsidR="00C64050">
        <w:rPr>
          <w:szCs w:val="20"/>
        </w:rPr>
        <w:t xml:space="preserve"> </w:t>
      </w:r>
      <w:r w:rsidRPr="00E74C28">
        <w:rPr>
          <w:szCs w:val="20"/>
        </w:rPr>
        <w:t>“[c]ontest[ing]</w:t>
      </w:r>
      <w:r w:rsidR="00C64050">
        <w:rPr>
          <w:szCs w:val="20"/>
        </w:rPr>
        <w:t xml:space="preserve"> </w:t>
      </w:r>
      <w:r w:rsidRPr="00E74C28">
        <w:rPr>
          <w:szCs w:val="20"/>
        </w:rPr>
        <w:t>any</w:t>
      </w:r>
      <w:r w:rsidR="00C64050">
        <w:rPr>
          <w:szCs w:val="20"/>
        </w:rPr>
        <w:t xml:space="preserve"> </w:t>
      </w:r>
      <w:r w:rsidRPr="00E74C28">
        <w:rPr>
          <w:szCs w:val="20"/>
        </w:rPr>
        <w:t>provision</w:t>
      </w:r>
      <w:r w:rsidR="00C64050">
        <w:rPr>
          <w:szCs w:val="20"/>
        </w:rPr>
        <w:t xml:space="preserve"> </w:t>
      </w:r>
      <w:r w:rsidRPr="00E74C28">
        <w:rPr>
          <w:szCs w:val="20"/>
        </w:rPr>
        <w:t>of</w:t>
      </w:r>
      <w:r w:rsidR="00C64050">
        <w:rPr>
          <w:szCs w:val="20"/>
        </w:rPr>
        <w:t xml:space="preserve"> </w:t>
      </w:r>
      <w:r w:rsidRPr="00E74C28">
        <w:rPr>
          <w:szCs w:val="20"/>
        </w:rPr>
        <w:t>this</w:t>
      </w:r>
      <w:r w:rsidR="00C64050">
        <w:rPr>
          <w:szCs w:val="20"/>
        </w:rPr>
        <w:t xml:space="preserve"> </w:t>
      </w:r>
      <w:r w:rsidRPr="00E74C28">
        <w:rPr>
          <w:szCs w:val="20"/>
        </w:rPr>
        <w:t>Trust</w:t>
      </w:r>
      <w:r w:rsidR="00C64050">
        <w:rPr>
          <w:szCs w:val="20"/>
        </w:rPr>
        <w:t xml:space="preserve"> </w:t>
      </w:r>
      <w:r w:rsidRPr="00E74C28">
        <w:rPr>
          <w:szCs w:val="20"/>
        </w:rPr>
        <w:t>Agreement.”</w:t>
      </w:r>
      <w:r w:rsidR="00C64050">
        <w:rPr>
          <w:szCs w:val="20"/>
        </w:rPr>
        <w:t xml:space="preserve"> </w:t>
      </w:r>
      <w:r w:rsidRPr="00E74C28">
        <w:rPr>
          <w:rStyle w:val="Emphasis"/>
          <w:szCs w:val="20"/>
        </w:rPr>
        <w:t>Id.</w:t>
      </w:r>
    </w:p>
    <w:p w:rsidR="00E74C28" w:rsidRPr="00E74C28" w:rsidRDefault="00E74C28" w:rsidP="00E74C28">
      <w:pPr>
        <w:pStyle w:val="QS10"/>
        <w:rPr>
          <w:szCs w:val="20"/>
        </w:rPr>
      </w:pPr>
      <w:r w:rsidRPr="00E74C28">
        <w:rPr>
          <w:szCs w:val="20"/>
        </w:rPr>
        <w:t>The</w:t>
      </w:r>
      <w:r w:rsidR="00C64050">
        <w:rPr>
          <w:szCs w:val="20"/>
        </w:rPr>
        <w:t xml:space="preserve"> </w:t>
      </w:r>
      <w:r w:rsidRPr="00E74C28">
        <w:rPr>
          <w:szCs w:val="20"/>
        </w:rPr>
        <w:t>no-contest</w:t>
      </w:r>
      <w:r w:rsidR="00C64050">
        <w:rPr>
          <w:szCs w:val="20"/>
        </w:rPr>
        <w:t xml:space="preserve"> </w:t>
      </w:r>
      <w:r w:rsidRPr="00E74C28">
        <w:rPr>
          <w:szCs w:val="20"/>
        </w:rPr>
        <w:t>provision</w:t>
      </w:r>
      <w:r w:rsidR="00C64050">
        <w:rPr>
          <w:szCs w:val="20"/>
        </w:rPr>
        <w:t xml:space="preserve"> </w:t>
      </w:r>
      <w:r w:rsidRPr="00E74C28">
        <w:rPr>
          <w:szCs w:val="20"/>
        </w:rPr>
        <w:t>provided</w:t>
      </w:r>
      <w:r w:rsidR="00C64050">
        <w:rPr>
          <w:szCs w:val="20"/>
        </w:rPr>
        <w:t xml:space="preserve"> </w:t>
      </w:r>
      <w:r w:rsidRPr="00E74C28">
        <w:rPr>
          <w:szCs w:val="20"/>
        </w:rPr>
        <w:t>a</w:t>
      </w:r>
      <w:r w:rsidR="00C64050">
        <w:rPr>
          <w:szCs w:val="20"/>
        </w:rPr>
        <w:t xml:space="preserve"> </w:t>
      </w:r>
      <w:r w:rsidRPr="00E74C28">
        <w:rPr>
          <w:szCs w:val="20"/>
        </w:rPr>
        <w:t>specific</w:t>
      </w:r>
      <w:r w:rsidR="00C64050">
        <w:rPr>
          <w:szCs w:val="20"/>
        </w:rPr>
        <w:t xml:space="preserve"> </w:t>
      </w:r>
      <w:r w:rsidRPr="00E74C28">
        <w:rPr>
          <w:szCs w:val="20"/>
        </w:rPr>
        <w:t>definition</w:t>
      </w:r>
      <w:r w:rsidR="00C64050">
        <w:rPr>
          <w:szCs w:val="20"/>
        </w:rPr>
        <w:t xml:space="preserve"> </w:t>
      </w:r>
      <w:r w:rsidRPr="00E74C28">
        <w:rPr>
          <w:szCs w:val="20"/>
        </w:rPr>
        <w:t>for</w:t>
      </w:r>
      <w:r w:rsidR="00C64050">
        <w:rPr>
          <w:szCs w:val="20"/>
        </w:rPr>
        <w:t xml:space="preserve"> </w:t>
      </w:r>
      <w:r w:rsidRPr="00E74C28">
        <w:rPr>
          <w:szCs w:val="20"/>
        </w:rPr>
        <w:t>a</w:t>
      </w:r>
      <w:r w:rsidR="00C64050">
        <w:rPr>
          <w:szCs w:val="20"/>
        </w:rPr>
        <w:t xml:space="preserve"> </w:t>
      </w:r>
      <w:r w:rsidRPr="00E74C28">
        <w:rPr>
          <w:szCs w:val="20"/>
        </w:rPr>
        <w:t>prohibited</w:t>
      </w:r>
      <w:r w:rsidR="00C64050">
        <w:rPr>
          <w:szCs w:val="20"/>
        </w:rPr>
        <w:t xml:space="preserve"> </w:t>
      </w:r>
      <w:r w:rsidRPr="00E74C28">
        <w:rPr>
          <w:szCs w:val="20"/>
        </w:rPr>
        <w:t>“contest”</w:t>
      </w:r>
      <w:r w:rsidR="00C64050">
        <w:rPr>
          <w:szCs w:val="20"/>
        </w:rPr>
        <w:t xml:space="preserve"> </w:t>
      </w:r>
      <w:r w:rsidRPr="00E74C28">
        <w:rPr>
          <w:szCs w:val="20"/>
        </w:rPr>
        <w:t>of</w:t>
      </w:r>
      <w:r w:rsidR="00C64050">
        <w:rPr>
          <w:szCs w:val="20"/>
        </w:rPr>
        <w:t xml:space="preserve"> </w:t>
      </w:r>
      <w:r w:rsidRPr="00E74C28">
        <w:rPr>
          <w:szCs w:val="20"/>
        </w:rPr>
        <w:t>the</w:t>
      </w:r>
      <w:r w:rsidR="00C64050">
        <w:rPr>
          <w:szCs w:val="20"/>
        </w:rPr>
        <w:t xml:space="preserve"> </w:t>
      </w:r>
      <w:r w:rsidRPr="00E74C28">
        <w:rPr>
          <w:szCs w:val="20"/>
        </w:rPr>
        <w:t>trust:</w:t>
      </w:r>
      <w:r w:rsidR="00C64050">
        <w:rPr>
          <w:szCs w:val="20"/>
        </w:rPr>
        <w:t xml:space="preserve"> </w:t>
      </w:r>
      <w:r w:rsidRPr="00E74C28">
        <w:rPr>
          <w:szCs w:val="20"/>
        </w:rPr>
        <w:t>“For</w:t>
      </w:r>
      <w:r w:rsidR="00C64050">
        <w:rPr>
          <w:szCs w:val="20"/>
        </w:rPr>
        <w:t xml:space="preserve"> </w:t>
      </w:r>
      <w:r w:rsidRPr="00E74C28">
        <w:rPr>
          <w:szCs w:val="20"/>
        </w:rPr>
        <w:t>purposes</w:t>
      </w:r>
      <w:r w:rsidR="00C64050">
        <w:rPr>
          <w:szCs w:val="20"/>
        </w:rPr>
        <w:t xml:space="preserve"> </w:t>
      </w:r>
      <w:r w:rsidRPr="00E74C28">
        <w:rPr>
          <w:szCs w:val="20"/>
        </w:rPr>
        <w:t>of</w:t>
      </w:r>
      <w:r w:rsidR="00C64050">
        <w:rPr>
          <w:szCs w:val="20"/>
        </w:rPr>
        <w:t xml:space="preserve"> </w:t>
      </w:r>
      <w:r w:rsidRPr="00E74C28">
        <w:rPr>
          <w:szCs w:val="20"/>
        </w:rPr>
        <w:t>this</w:t>
      </w:r>
      <w:r w:rsidR="00C64050">
        <w:rPr>
          <w:szCs w:val="20"/>
        </w:rPr>
        <w:t xml:space="preserve"> </w:t>
      </w:r>
      <w:r w:rsidRPr="00E74C28">
        <w:rPr>
          <w:szCs w:val="20"/>
        </w:rPr>
        <w:t>Article,</w:t>
      </w:r>
      <w:r w:rsidR="00C64050">
        <w:rPr>
          <w:szCs w:val="20"/>
        </w:rPr>
        <w:t xml:space="preserve"> </w:t>
      </w:r>
      <w:r w:rsidRPr="00E74C28">
        <w:rPr>
          <w:szCs w:val="20"/>
        </w:rPr>
        <w:t>a</w:t>
      </w:r>
      <w:r w:rsidR="00C64050">
        <w:rPr>
          <w:szCs w:val="20"/>
        </w:rPr>
        <w:t xml:space="preserve"> </w:t>
      </w:r>
      <w:r w:rsidRPr="00E74C28">
        <w:rPr>
          <w:szCs w:val="20"/>
        </w:rPr>
        <w:t>person</w:t>
      </w:r>
      <w:r w:rsidR="00C64050">
        <w:rPr>
          <w:szCs w:val="20"/>
        </w:rPr>
        <w:t xml:space="preserve"> </w:t>
      </w:r>
      <w:r w:rsidRPr="00E74C28">
        <w:rPr>
          <w:szCs w:val="20"/>
        </w:rPr>
        <w:t>shall</w:t>
      </w:r>
      <w:r w:rsidR="00C64050">
        <w:rPr>
          <w:szCs w:val="20"/>
        </w:rPr>
        <w:t xml:space="preserve"> </w:t>
      </w:r>
      <w:r w:rsidRPr="00E74C28">
        <w:rPr>
          <w:szCs w:val="20"/>
        </w:rPr>
        <w:t>be</w:t>
      </w:r>
      <w:r w:rsidR="00C64050">
        <w:rPr>
          <w:szCs w:val="20"/>
        </w:rPr>
        <w:t xml:space="preserve"> </w:t>
      </w:r>
      <w:r w:rsidRPr="00E74C28">
        <w:rPr>
          <w:szCs w:val="20"/>
        </w:rPr>
        <w:t>deemed</w:t>
      </w:r>
      <w:r w:rsidR="00C64050">
        <w:rPr>
          <w:szCs w:val="20"/>
        </w:rPr>
        <w:t xml:space="preserve"> </w:t>
      </w:r>
      <w:r w:rsidRPr="00E74C28">
        <w:rPr>
          <w:szCs w:val="20"/>
        </w:rPr>
        <w:t>to</w:t>
      </w:r>
      <w:r w:rsidR="00C64050">
        <w:rPr>
          <w:szCs w:val="20"/>
        </w:rPr>
        <w:t xml:space="preserve"> </w:t>
      </w:r>
      <w:r w:rsidRPr="00E74C28">
        <w:rPr>
          <w:szCs w:val="20"/>
        </w:rPr>
        <w:t>contest</w:t>
      </w:r>
      <w:r w:rsidR="00C64050">
        <w:rPr>
          <w:szCs w:val="20"/>
        </w:rPr>
        <w:t xml:space="preserve"> </w:t>
      </w:r>
      <w:r w:rsidRPr="00E74C28">
        <w:rPr>
          <w:szCs w:val="20"/>
        </w:rPr>
        <w:t>an</w:t>
      </w:r>
      <w:r w:rsidR="00C64050">
        <w:rPr>
          <w:szCs w:val="20"/>
        </w:rPr>
        <w:t xml:space="preserve"> </w:t>
      </w:r>
      <w:r w:rsidRPr="00E74C28">
        <w:rPr>
          <w:szCs w:val="20"/>
        </w:rPr>
        <w:t>instrument</w:t>
      </w:r>
      <w:r w:rsidR="00C64050">
        <w:rPr>
          <w:szCs w:val="20"/>
        </w:rPr>
        <w:t xml:space="preserve"> </w:t>
      </w:r>
      <w:r w:rsidRPr="00E74C28">
        <w:rPr>
          <w:szCs w:val="20"/>
        </w:rPr>
        <w:t>or</w:t>
      </w:r>
      <w:r w:rsidR="00C64050">
        <w:rPr>
          <w:szCs w:val="20"/>
        </w:rPr>
        <w:t xml:space="preserve"> </w:t>
      </w:r>
      <w:r w:rsidRPr="00E74C28">
        <w:rPr>
          <w:szCs w:val="20"/>
        </w:rPr>
        <w:t>action,</w:t>
      </w:r>
      <w:r w:rsidR="00C64050">
        <w:rPr>
          <w:szCs w:val="20"/>
        </w:rPr>
        <w:t xml:space="preserve"> </w:t>
      </w:r>
      <w:r w:rsidRPr="00E74C28">
        <w:rPr>
          <w:szCs w:val="20"/>
        </w:rPr>
        <w:t>if</w:t>
      </w:r>
      <w:r w:rsidR="00C64050">
        <w:rPr>
          <w:szCs w:val="20"/>
        </w:rPr>
        <w:t xml:space="preserve"> </w:t>
      </w:r>
      <w:r w:rsidRPr="00E74C28">
        <w:rPr>
          <w:szCs w:val="20"/>
        </w:rPr>
        <w:t>he</w:t>
      </w:r>
      <w:r w:rsidR="00C64050">
        <w:rPr>
          <w:szCs w:val="20"/>
        </w:rPr>
        <w:t xml:space="preserve"> </w:t>
      </w:r>
      <w:r w:rsidRPr="00E74C28">
        <w:rPr>
          <w:szCs w:val="20"/>
        </w:rPr>
        <w:t>or</w:t>
      </w:r>
      <w:r w:rsidR="00C64050">
        <w:rPr>
          <w:szCs w:val="20"/>
        </w:rPr>
        <w:t xml:space="preserve"> </w:t>
      </w:r>
      <w:r w:rsidRPr="00E74C28">
        <w:rPr>
          <w:szCs w:val="20"/>
        </w:rPr>
        <w:t>she</w:t>
      </w:r>
      <w:r w:rsidR="00C64050">
        <w:rPr>
          <w:szCs w:val="20"/>
        </w:rPr>
        <w:t xml:space="preserve"> </w:t>
      </w:r>
      <w:r w:rsidRPr="00E74C28">
        <w:rPr>
          <w:szCs w:val="20"/>
        </w:rPr>
        <w:t>takes</w:t>
      </w:r>
      <w:r w:rsidR="00C64050">
        <w:rPr>
          <w:szCs w:val="20"/>
        </w:rPr>
        <w:t xml:space="preserve"> </w:t>
      </w:r>
      <w:r w:rsidRPr="00E74C28">
        <w:rPr>
          <w:szCs w:val="20"/>
        </w:rPr>
        <w:t>any</w:t>
      </w:r>
      <w:r w:rsidR="00C64050">
        <w:rPr>
          <w:szCs w:val="20"/>
        </w:rPr>
        <w:t xml:space="preserve"> </w:t>
      </w:r>
      <w:r w:rsidRPr="00E74C28">
        <w:rPr>
          <w:szCs w:val="20"/>
        </w:rPr>
        <w:t>action</w:t>
      </w:r>
      <w:r w:rsidR="00C64050">
        <w:rPr>
          <w:szCs w:val="20"/>
        </w:rPr>
        <w:t xml:space="preserve"> </w:t>
      </w:r>
      <w:r w:rsidRPr="00E74C28">
        <w:rPr>
          <w:szCs w:val="20"/>
        </w:rPr>
        <w:t>seeking</w:t>
      </w:r>
      <w:r w:rsidR="00C64050">
        <w:rPr>
          <w:szCs w:val="20"/>
        </w:rPr>
        <w:t xml:space="preserve"> </w:t>
      </w:r>
      <w:r w:rsidRPr="00E74C28">
        <w:rPr>
          <w:szCs w:val="20"/>
        </w:rPr>
        <w:t>to</w:t>
      </w:r>
      <w:r w:rsidR="00C64050">
        <w:rPr>
          <w:szCs w:val="20"/>
        </w:rPr>
        <w:t xml:space="preserve"> </w:t>
      </w:r>
      <w:r w:rsidRPr="00E74C28">
        <w:rPr>
          <w:szCs w:val="20"/>
        </w:rPr>
        <w:t>invalidate,</w:t>
      </w:r>
      <w:r w:rsidR="00C64050">
        <w:rPr>
          <w:szCs w:val="20"/>
        </w:rPr>
        <w:t xml:space="preserve"> </w:t>
      </w:r>
      <w:r w:rsidRPr="00E74C28">
        <w:rPr>
          <w:szCs w:val="20"/>
        </w:rPr>
        <w:t>nullify,</w:t>
      </w:r>
      <w:r w:rsidR="00C64050">
        <w:rPr>
          <w:szCs w:val="20"/>
        </w:rPr>
        <w:t xml:space="preserve"> </w:t>
      </w:r>
      <w:r w:rsidRPr="00E74C28">
        <w:rPr>
          <w:szCs w:val="20"/>
        </w:rPr>
        <w:t>set</w:t>
      </w:r>
      <w:r w:rsidR="00C64050">
        <w:rPr>
          <w:szCs w:val="20"/>
        </w:rPr>
        <w:t xml:space="preserve"> </w:t>
      </w:r>
      <w:r w:rsidRPr="00E74C28">
        <w:rPr>
          <w:szCs w:val="20"/>
        </w:rPr>
        <w:t>aside,</w:t>
      </w:r>
      <w:r w:rsidR="00C64050">
        <w:rPr>
          <w:szCs w:val="20"/>
        </w:rPr>
        <w:t xml:space="preserve"> </w:t>
      </w:r>
      <w:r w:rsidRPr="00E74C28">
        <w:rPr>
          <w:szCs w:val="20"/>
        </w:rPr>
        <w:t>render</w:t>
      </w:r>
      <w:r w:rsidR="00C64050">
        <w:rPr>
          <w:szCs w:val="20"/>
        </w:rPr>
        <w:t xml:space="preserve"> </w:t>
      </w:r>
      <w:r w:rsidRPr="00E74C28">
        <w:rPr>
          <w:szCs w:val="20"/>
        </w:rPr>
        <w:t>unenforceable,</w:t>
      </w:r>
      <w:r w:rsidR="00C64050">
        <w:rPr>
          <w:szCs w:val="20"/>
        </w:rPr>
        <w:t xml:space="preserve"> </w:t>
      </w:r>
      <w:r w:rsidRPr="00E74C28">
        <w:rPr>
          <w:szCs w:val="20"/>
        </w:rPr>
        <w:t>or</w:t>
      </w:r>
      <w:r w:rsidR="00C64050">
        <w:rPr>
          <w:szCs w:val="20"/>
        </w:rPr>
        <w:t xml:space="preserve"> </w:t>
      </w:r>
      <w:r w:rsidRPr="00E74C28">
        <w:rPr>
          <w:szCs w:val="20"/>
        </w:rPr>
        <w:t>otherwise</w:t>
      </w:r>
      <w:r w:rsidR="00C64050">
        <w:rPr>
          <w:szCs w:val="20"/>
        </w:rPr>
        <w:t xml:space="preserve"> </w:t>
      </w:r>
      <w:r w:rsidRPr="00E74C28">
        <w:rPr>
          <w:szCs w:val="20"/>
        </w:rPr>
        <w:t>avoid</w:t>
      </w:r>
      <w:r w:rsidR="00C64050">
        <w:rPr>
          <w:szCs w:val="20"/>
        </w:rPr>
        <w:t xml:space="preserve"> </w:t>
      </w:r>
      <w:r w:rsidRPr="00E74C28">
        <w:rPr>
          <w:szCs w:val="20"/>
        </w:rPr>
        <w:t>the</w:t>
      </w:r>
      <w:r w:rsidR="00C64050">
        <w:rPr>
          <w:szCs w:val="20"/>
        </w:rPr>
        <w:t xml:space="preserve"> </w:t>
      </w:r>
      <w:r w:rsidRPr="00E74C28">
        <w:rPr>
          <w:szCs w:val="20"/>
        </w:rPr>
        <w:t>effect</w:t>
      </w:r>
      <w:r w:rsidR="00C64050">
        <w:rPr>
          <w:szCs w:val="20"/>
        </w:rPr>
        <w:t xml:space="preserve"> </w:t>
      </w:r>
      <w:r w:rsidRPr="00E74C28">
        <w:rPr>
          <w:szCs w:val="20"/>
        </w:rPr>
        <w:t>of</w:t>
      </w:r>
      <w:r w:rsidR="00C64050">
        <w:rPr>
          <w:szCs w:val="20"/>
        </w:rPr>
        <w:t xml:space="preserve"> </w:t>
      </w:r>
      <w:r w:rsidRPr="00E74C28">
        <w:rPr>
          <w:szCs w:val="20"/>
        </w:rPr>
        <w:t>such</w:t>
      </w:r>
      <w:r w:rsidR="00C64050">
        <w:rPr>
          <w:szCs w:val="20"/>
        </w:rPr>
        <w:t xml:space="preserve"> </w:t>
      </w:r>
      <w:r w:rsidRPr="00E74C28">
        <w:rPr>
          <w:szCs w:val="20"/>
        </w:rPr>
        <w:t>instrument,</w:t>
      </w:r>
      <w:r w:rsidR="00C64050">
        <w:rPr>
          <w:szCs w:val="20"/>
        </w:rPr>
        <w:t xml:space="preserve"> </w:t>
      </w:r>
      <w:r w:rsidRPr="00E74C28">
        <w:rPr>
          <w:szCs w:val="20"/>
        </w:rPr>
        <w:t>action</w:t>
      </w:r>
      <w:r w:rsidR="00C64050">
        <w:rPr>
          <w:szCs w:val="20"/>
        </w:rPr>
        <w:t xml:space="preserve"> </w:t>
      </w:r>
      <w:r w:rsidRPr="00E74C28">
        <w:rPr>
          <w:szCs w:val="20"/>
        </w:rPr>
        <w:t>or</w:t>
      </w:r>
      <w:r w:rsidR="00C64050">
        <w:rPr>
          <w:szCs w:val="20"/>
        </w:rPr>
        <w:t xml:space="preserve"> </w:t>
      </w:r>
      <w:r w:rsidRPr="00E74C28">
        <w:rPr>
          <w:szCs w:val="20"/>
        </w:rPr>
        <w:t>transaction.”</w:t>
      </w:r>
      <w:r w:rsidR="00C64050">
        <w:rPr>
          <w:szCs w:val="20"/>
        </w:rPr>
        <w:t xml:space="preserve"> </w:t>
      </w:r>
      <w:r w:rsidRPr="00E74C28">
        <w:rPr>
          <w:rStyle w:val="Emphasis"/>
          <w:szCs w:val="20"/>
        </w:rPr>
        <w:t>Id.</w:t>
      </w:r>
      <w:r w:rsidR="00C64050">
        <w:rPr>
          <w:szCs w:val="20"/>
        </w:rPr>
        <w:t xml:space="preserve"> </w:t>
      </w:r>
      <w:r w:rsidRPr="00E74C28">
        <w:rPr>
          <w:szCs w:val="20"/>
        </w:rPr>
        <w:t>at</w:t>
      </w:r>
      <w:r w:rsidR="00C64050">
        <w:rPr>
          <w:szCs w:val="20"/>
        </w:rPr>
        <w:t xml:space="preserve"> </w:t>
      </w:r>
      <w:r w:rsidRPr="00E74C28">
        <w:rPr>
          <w:szCs w:val="20"/>
        </w:rPr>
        <w:t>255.</w:t>
      </w:r>
      <w:r w:rsidR="00C64050">
        <w:rPr>
          <w:szCs w:val="20"/>
        </w:rPr>
        <w:t xml:space="preserve"> </w:t>
      </w:r>
      <w:r w:rsidRPr="00E74C28">
        <w:rPr>
          <w:szCs w:val="20"/>
        </w:rPr>
        <w:t>A</w:t>
      </w:r>
      <w:r w:rsidR="00C64050">
        <w:rPr>
          <w:szCs w:val="20"/>
        </w:rPr>
        <w:t xml:space="preserve"> </w:t>
      </w:r>
      <w:r w:rsidRPr="00E74C28">
        <w:rPr>
          <w:szCs w:val="20"/>
        </w:rPr>
        <w:t>caveat,</w:t>
      </w:r>
      <w:r w:rsidR="00C64050">
        <w:rPr>
          <w:szCs w:val="20"/>
        </w:rPr>
        <w:t xml:space="preserve"> </w:t>
      </w:r>
      <w:r w:rsidRPr="00E74C28">
        <w:rPr>
          <w:szCs w:val="20"/>
        </w:rPr>
        <w:t>however,</w:t>
      </w:r>
      <w:r w:rsidR="00C64050">
        <w:rPr>
          <w:szCs w:val="20"/>
        </w:rPr>
        <w:t xml:space="preserve"> </w:t>
      </w:r>
      <w:r w:rsidRPr="00E74C28">
        <w:rPr>
          <w:szCs w:val="20"/>
        </w:rPr>
        <w:t>followed</w:t>
      </w:r>
      <w:r w:rsidR="00C64050">
        <w:rPr>
          <w:szCs w:val="20"/>
        </w:rPr>
        <w:t xml:space="preserve"> </w:t>
      </w:r>
      <w:r w:rsidRPr="00E74C28">
        <w:rPr>
          <w:szCs w:val="20"/>
        </w:rPr>
        <w:t>this</w:t>
      </w:r>
      <w:r w:rsidR="00C64050">
        <w:rPr>
          <w:szCs w:val="20"/>
        </w:rPr>
        <w:t xml:space="preserve"> </w:t>
      </w:r>
      <w:r w:rsidRPr="00E74C28">
        <w:rPr>
          <w:szCs w:val="20"/>
        </w:rPr>
        <w:t>definition:</w:t>
      </w:r>
    </w:p>
    <w:p w:rsidR="00E74C28" w:rsidRPr="00E74C28" w:rsidRDefault="00E74C28" w:rsidP="00E74C28">
      <w:pPr>
        <w:pStyle w:val="QS10"/>
        <w:ind w:left="2160"/>
        <w:rPr>
          <w:szCs w:val="20"/>
        </w:rPr>
      </w:pPr>
      <w:r w:rsidRPr="00E74C28">
        <w:rPr>
          <w:szCs w:val="20"/>
        </w:rPr>
        <w:t>The</w:t>
      </w:r>
      <w:r w:rsidR="00C64050">
        <w:rPr>
          <w:szCs w:val="20"/>
        </w:rPr>
        <w:t xml:space="preserve"> </w:t>
      </w:r>
      <w:r w:rsidRPr="00E74C28">
        <w:rPr>
          <w:szCs w:val="20"/>
        </w:rPr>
        <w:t>preceding</w:t>
      </w:r>
      <w:r w:rsidR="00C64050">
        <w:rPr>
          <w:szCs w:val="20"/>
        </w:rPr>
        <w:t xml:space="preserve"> </w:t>
      </w:r>
      <w:r w:rsidRPr="00E74C28">
        <w:rPr>
          <w:szCs w:val="20"/>
        </w:rPr>
        <w:t>paragraph</w:t>
      </w:r>
      <w:r w:rsidR="00C64050">
        <w:rPr>
          <w:szCs w:val="20"/>
        </w:rPr>
        <w:t xml:space="preserve"> </w:t>
      </w:r>
      <w:r w:rsidRPr="00E74C28">
        <w:rPr>
          <w:szCs w:val="20"/>
        </w:rPr>
        <w:t>shall</w:t>
      </w:r>
      <w:r w:rsidR="00C64050">
        <w:rPr>
          <w:szCs w:val="20"/>
        </w:rPr>
        <w:t xml:space="preserve"> </w:t>
      </w:r>
      <w:r w:rsidRPr="00E74C28">
        <w:rPr>
          <w:szCs w:val="20"/>
        </w:rPr>
        <w:t>take</w:t>
      </w:r>
      <w:r w:rsidR="00C64050">
        <w:rPr>
          <w:szCs w:val="20"/>
        </w:rPr>
        <w:t xml:space="preserve"> </w:t>
      </w:r>
      <w:r w:rsidRPr="00E74C28">
        <w:rPr>
          <w:szCs w:val="20"/>
        </w:rPr>
        <w:t>effect</w:t>
      </w:r>
      <w:r w:rsidR="00C64050">
        <w:rPr>
          <w:szCs w:val="20"/>
        </w:rPr>
        <w:t xml:space="preserve"> </w:t>
      </w:r>
      <w:r w:rsidRPr="00E74C28">
        <w:rPr>
          <w:szCs w:val="20"/>
        </w:rPr>
        <w:t>regardless</w:t>
      </w:r>
      <w:r w:rsidR="00C64050">
        <w:rPr>
          <w:szCs w:val="20"/>
        </w:rPr>
        <w:t xml:space="preserve"> </w:t>
      </w:r>
      <w:r w:rsidRPr="00E74C28">
        <w:rPr>
          <w:szCs w:val="20"/>
        </w:rPr>
        <w:t>of</w:t>
      </w:r>
      <w:r w:rsidR="00C64050">
        <w:rPr>
          <w:szCs w:val="20"/>
        </w:rPr>
        <w:t xml:space="preserve"> </w:t>
      </w:r>
      <w:r w:rsidRPr="00E74C28">
        <w:rPr>
          <w:szCs w:val="20"/>
        </w:rPr>
        <w:t>whether</w:t>
      </w:r>
      <w:r w:rsidR="00C64050">
        <w:rPr>
          <w:szCs w:val="20"/>
        </w:rPr>
        <w:t xml:space="preserve"> </w:t>
      </w:r>
      <w:r w:rsidRPr="00E74C28">
        <w:rPr>
          <w:szCs w:val="20"/>
        </w:rPr>
        <w:t>such</w:t>
      </w:r>
      <w:r w:rsidR="00C64050">
        <w:rPr>
          <w:szCs w:val="20"/>
        </w:rPr>
        <w:t xml:space="preserve"> </w:t>
      </w:r>
      <w:r w:rsidRPr="00E74C28">
        <w:rPr>
          <w:szCs w:val="20"/>
        </w:rPr>
        <w:t>contest</w:t>
      </w:r>
      <w:r w:rsidR="00C64050">
        <w:rPr>
          <w:szCs w:val="20"/>
        </w:rPr>
        <w:t xml:space="preserve"> </w:t>
      </w:r>
      <w:r w:rsidRPr="00E74C28">
        <w:rPr>
          <w:szCs w:val="20"/>
        </w:rPr>
        <w:t>is</w:t>
      </w:r>
      <w:r w:rsidR="00C64050">
        <w:rPr>
          <w:szCs w:val="20"/>
        </w:rPr>
        <w:t xml:space="preserve"> </w:t>
      </w:r>
      <w:r w:rsidRPr="00E74C28">
        <w:rPr>
          <w:szCs w:val="20"/>
        </w:rPr>
        <w:t>made</w:t>
      </w:r>
      <w:r w:rsidR="00C64050">
        <w:rPr>
          <w:szCs w:val="20"/>
        </w:rPr>
        <w:t xml:space="preserve"> </w:t>
      </w:r>
      <w:r w:rsidRPr="00E74C28">
        <w:rPr>
          <w:szCs w:val="20"/>
        </w:rPr>
        <w:t>in</w:t>
      </w:r>
      <w:r w:rsidR="00C64050">
        <w:rPr>
          <w:szCs w:val="20"/>
        </w:rPr>
        <w:t xml:space="preserve"> </w:t>
      </w:r>
      <w:r w:rsidRPr="00E74C28">
        <w:rPr>
          <w:szCs w:val="20"/>
        </w:rPr>
        <w:t>good</w:t>
      </w:r>
      <w:r w:rsidR="00C64050">
        <w:rPr>
          <w:szCs w:val="20"/>
        </w:rPr>
        <w:t xml:space="preserve"> </w:t>
      </w:r>
      <w:r w:rsidRPr="00E74C28">
        <w:rPr>
          <w:szCs w:val="20"/>
        </w:rPr>
        <w:t>faith</w:t>
      </w:r>
      <w:r w:rsidR="00C64050">
        <w:rPr>
          <w:szCs w:val="20"/>
        </w:rPr>
        <w:t xml:space="preserve"> </w:t>
      </w:r>
      <w:r w:rsidRPr="00E74C28">
        <w:rPr>
          <w:szCs w:val="20"/>
        </w:rPr>
        <w:t>or</w:t>
      </w:r>
      <w:r w:rsidR="00C64050">
        <w:rPr>
          <w:szCs w:val="20"/>
        </w:rPr>
        <w:t xml:space="preserve"> </w:t>
      </w:r>
      <w:r w:rsidRPr="00E74C28">
        <w:rPr>
          <w:szCs w:val="20"/>
        </w:rPr>
        <w:t>is</w:t>
      </w:r>
      <w:r w:rsidR="00C64050">
        <w:rPr>
          <w:szCs w:val="20"/>
        </w:rPr>
        <w:t xml:space="preserve"> </w:t>
      </w:r>
      <w:r w:rsidRPr="00E74C28">
        <w:rPr>
          <w:szCs w:val="20"/>
        </w:rPr>
        <w:t>ultimately</w:t>
      </w:r>
      <w:r w:rsidR="00C64050">
        <w:rPr>
          <w:szCs w:val="20"/>
        </w:rPr>
        <w:t xml:space="preserve"> </w:t>
      </w:r>
      <w:r w:rsidRPr="00E74C28">
        <w:rPr>
          <w:szCs w:val="20"/>
        </w:rPr>
        <w:t>successful,</w:t>
      </w:r>
      <w:r w:rsidR="00C64050">
        <w:rPr>
          <w:szCs w:val="20"/>
        </w:rPr>
        <w:t xml:space="preserve"> </w:t>
      </w:r>
      <w:r w:rsidRPr="00E74C28">
        <w:rPr>
          <w:szCs w:val="20"/>
        </w:rPr>
        <w:t>provided,</w:t>
      </w:r>
      <w:r w:rsidR="00C64050">
        <w:rPr>
          <w:szCs w:val="20"/>
        </w:rPr>
        <w:t xml:space="preserve"> </w:t>
      </w:r>
      <w:r w:rsidRPr="00E74C28">
        <w:rPr>
          <w:szCs w:val="20"/>
        </w:rPr>
        <w:t>however</w:t>
      </w:r>
      <w:r w:rsidR="00C64050">
        <w:rPr>
          <w:szCs w:val="20"/>
        </w:rPr>
        <w:t xml:space="preserve"> </w:t>
      </w:r>
      <w:r w:rsidRPr="00E74C28">
        <w:rPr>
          <w:szCs w:val="20"/>
        </w:rPr>
        <w:t>that</w:t>
      </w:r>
      <w:r w:rsidR="00C64050">
        <w:rPr>
          <w:szCs w:val="20"/>
        </w:rPr>
        <w:t xml:space="preserve"> </w:t>
      </w:r>
      <w:r w:rsidRPr="00E74C28">
        <w:rPr>
          <w:szCs w:val="20"/>
        </w:rPr>
        <w:t>a</w:t>
      </w:r>
      <w:r w:rsidR="00C64050">
        <w:rPr>
          <w:szCs w:val="20"/>
        </w:rPr>
        <w:t xml:space="preserve"> </w:t>
      </w:r>
      <w:r w:rsidRPr="00E74C28">
        <w:rPr>
          <w:szCs w:val="20"/>
        </w:rPr>
        <w:t>petition</w:t>
      </w:r>
      <w:r w:rsidR="00C64050">
        <w:rPr>
          <w:szCs w:val="20"/>
        </w:rPr>
        <w:t xml:space="preserve"> </w:t>
      </w:r>
      <w:r w:rsidRPr="00E74C28">
        <w:rPr>
          <w:szCs w:val="20"/>
        </w:rPr>
        <w:t>made</w:t>
      </w:r>
      <w:r w:rsidR="00C64050">
        <w:rPr>
          <w:szCs w:val="20"/>
        </w:rPr>
        <w:t xml:space="preserve"> </w:t>
      </w:r>
      <w:r w:rsidRPr="00E74C28">
        <w:rPr>
          <w:szCs w:val="20"/>
        </w:rPr>
        <w:t>in</w:t>
      </w:r>
      <w:r w:rsidR="00C64050">
        <w:rPr>
          <w:szCs w:val="20"/>
        </w:rPr>
        <w:t xml:space="preserve"> </w:t>
      </w:r>
      <w:r w:rsidRPr="00E74C28">
        <w:rPr>
          <w:szCs w:val="20"/>
        </w:rPr>
        <w:t>good</w:t>
      </w:r>
      <w:r w:rsidR="00C64050">
        <w:rPr>
          <w:szCs w:val="20"/>
        </w:rPr>
        <w:t xml:space="preserve"> </w:t>
      </w:r>
      <w:r w:rsidRPr="00E74C28">
        <w:rPr>
          <w:szCs w:val="20"/>
        </w:rPr>
        <w:t>faith</w:t>
      </w:r>
      <w:r w:rsidR="00C64050">
        <w:rPr>
          <w:szCs w:val="20"/>
        </w:rPr>
        <w:t xml:space="preserve"> </w:t>
      </w:r>
      <w:r w:rsidRPr="00E74C28">
        <w:rPr>
          <w:szCs w:val="20"/>
        </w:rPr>
        <w:t>and</w:t>
      </w:r>
      <w:r w:rsidR="00C64050">
        <w:rPr>
          <w:szCs w:val="20"/>
        </w:rPr>
        <w:t xml:space="preserve"> </w:t>
      </w:r>
      <w:r w:rsidRPr="00E74C28">
        <w:rPr>
          <w:szCs w:val="20"/>
        </w:rPr>
        <w:t>not</w:t>
      </w:r>
      <w:r w:rsidR="00C64050">
        <w:rPr>
          <w:szCs w:val="20"/>
        </w:rPr>
        <w:t xml:space="preserve"> </w:t>
      </w:r>
      <w:r w:rsidRPr="00E74C28">
        <w:rPr>
          <w:szCs w:val="20"/>
        </w:rPr>
        <w:t>objected</w:t>
      </w:r>
      <w:r w:rsidR="00C64050">
        <w:rPr>
          <w:szCs w:val="20"/>
        </w:rPr>
        <w:t xml:space="preserve"> </w:t>
      </w:r>
      <w:r w:rsidRPr="00E74C28">
        <w:rPr>
          <w:szCs w:val="20"/>
        </w:rPr>
        <w:t>to</w:t>
      </w:r>
      <w:r w:rsidR="00C64050">
        <w:rPr>
          <w:szCs w:val="20"/>
        </w:rPr>
        <w:t xml:space="preserve"> </w:t>
      </w:r>
      <w:r w:rsidRPr="00E74C28">
        <w:rPr>
          <w:szCs w:val="20"/>
        </w:rPr>
        <w:t>by</w:t>
      </w:r>
      <w:r w:rsidR="00C64050">
        <w:rPr>
          <w:szCs w:val="20"/>
        </w:rPr>
        <w:t xml:space="preserve"> </w:t>
      </w:r>
      <w:r w:rsidRPr="00E74C28">
        <w:rPr>
          <w:szCs w:val="20"/>
        </w:rPr>
        <w:t>my</w:t>
      </w:r>
      <w:r w:rsidR="00C64050">
        <w:rPr>
          <w:szCs w:val="20"/>
        </w:rPr>
        <w:t xml:space="preserve"> </w:t>
      </w:r>
      <w:r w:rsidRPr="00E74C28">
        <w:rPr>
          <w:szCs w:val="20"/>
        </w:rPr>
        <w:t>Trustee</w:t>
      </w:r>
      <w:r w:rsidR="00C64050">
        <w:rPr>
          <w:szCs w:val="20"/>
        </w:rPr>
        <w:t xml:space="preserve"> </w:t>
      </w:r>
      <w:r w:rsidRPr="00E74C28">
        <w:rPr>
          <w:szCs w:val="20"/>
        </w:rPr>
        <w:t>hereunder,</w:t>
      </w:r>
      <w:r w:rsidR="00C64050">
        <w:rPr>
          <w:szCs w:val="20"/>
        </w:rPr>
        <w:t xml:space="preserve"> </w:t>
      </w:r>
      <w:r w:rsidRPr="00E74C28">
        <w:rPr>
          <w:szCs w:val="20"/>
        </w:rPr>
        <w:t>seeking</w:t>
      </w:r>
      <w:r w:rsidR="00C64050">
        <w:rPr>
          <w:szCs w:val="20"/>
        </w:rPr>
        <w:t xml:space="preserve"> </w:t>
      </w:r>
      <w:r w:rsidRPr="00E74C28">
        <w:rPr>
          <w:szCs w:val="20"/>
        </w:rPr>
        <w:t>an</w:t>
      </w:r>
      <w:r w:rsidR="00C64050">
        <w:rPr>
          <w:szCs w:val="20"/>
        </w:rPr>
        <w:t xml:space="preserve"> </w:t>
      </w:r>
      <w:r w:rsidRPr="00E74C28">
        <w:rPr>
          <w:szCs w:val="20"/>
        </w:rPr>
        <w:t>interpretation</w:t>
      </w:r>
      <w:r w:rsidR="00C64050">
        <w:rPr>
          <w:szCs w:val="20"/>
        </w:rPr>
        <w:t xml:space="preserve"> </w:t>
      </w:r>
      <w:r w:rsidRPr="00E74C28">
        <w:rPr>
          <w:szCs w:val="20"/>
        </w:rPr>
        <w:t>of</w:t>
      </w:r>
      <w:r w:rsidR="00C64050">
        <w:rPr>
          <w:szCs w:val="20"/>
        </w:rPr>
        <w:t xml:space="preserve"> </w:t>
      </w:r>
      <w:r w:rsidRPr="00E74C28">
        <w:rPr>
          <w:szCs w:val="20"/>
        </w:rPr>
        <w:t>this</w:t>
      </w:r>
      <w:r w:rsidR="00C64050">
        <w:rPr>
          <w:szCs w:val="20"/>
        </w:rPr>
        <w:t xml:space="preserve"> </w:t>
      </w:r>
      <w:r w:rsidRPr="00E74C28">
        <w:rPr>
          <w:szCs w:val="20"/>
        </w:rPr>
        <w:t>or</w:t>
      </w:r>
      <w:r w:rsidR="00C64050">
        <w:rPr>
          <w:szCs w:val="20"/>
        </w:rPr>
        <w:t xml:space="preserve"> </w:t>
      </w:r>
      <w:r w:rsidRPr="00E74C28">
        <w:rPr>
          <w:szCs w:val="20"/>
        </w:rPr>
        <w:t>any</w:t>
      </w:r>
      <w:r w:rsidR="00C64050">
        <w:rPr>
          <w:szCs w:val="20"/>
        </w:rPr>
        <w:t xml:space="preserve"> </w:t>
      </w:r>
      <w:r w:rsidRPr="00E74C28">
        <w:rPr>
          <w:szCs w:val="20"/>
        </w:rPr>
        <w:t>other</w:t>
      </w:r>
      <w:r w:rsidR="00C64050">
        <w:rPr>
          <w:szCs w:val="20"/>
        </w:rPr>
        <w:t xml:space="preserve"> </w:t>
      </w:r>
      <w:r w:rsidRPr="00E74C28">
        <w:rPr>
          <w:szCs w:val="20"/>
        </w:rPr>
        <w:t>instrument,</w:t>
      </w:r>
      <w:r w:rsidR="00C64050">
        <w:rPr>
          <w:szCs w:val="20"/>
        </w:rPr>
        <w:t xml:space="preserve"> </w:t>
      </w:r>
      <w:r w:rsidRPr="00E74C28">
        <w:rPr>
          <w:szCs w:val="20"/>
        </w:rPr>
        <w:t>shall</w:t>
      </w:r>
      <w:r w:rsidR="00C64050">
        <w:rPr>
          <w:szCs w:val="20"/>
        </w:rPr>
        <w:t xml:space="preserve"> </w:t>
      </w:r>
      <w:r w:rsidRPr="00E74C28">
        <w:rPr>
          <w:szCs w:val="20"/>
        </w:rPr>
        <w:t>not</w:t>
      </w:r>
      <w:r w:rsidR="00C64050">
        <w:rPr>
          <w:szCs w:val="20"/>
        </w:rPr>
        <w:t xml:space="preserve"> </w:t>
      </w:r>
      <w:r w:rsidRPr="00E74C28">
        <w:rPr>
          <w:szCs w:val="20"/>
        </w:rPr>
        <w:t>be</w:t>
      </w:r>
      <w:r w:rsidR="00C64050">
        <w:rPr>
          <w:szCs w:val="20"/>
        </w:rPr>
        <w:t xml:space="preserve"> </w:t>
      </w:r>
      <w:r w:rsidRPr="00E74C28">
        <w:rPr>
          <w:szCs w:val="20"/>
        </w:rPr>
        <w:t>considered</w:t>
      </w:r>
      <w:r w:rsidR="00C64050">
        <w:rPr>
          <w:szCs w:val="20"/>
        </w:rPr>
        <w:t xml:space="preserve"> </w:t>
      </w:r>
      <w:r w:rsidRPr="00E74C28">
        <w:rPr>
          <w:szCs w:val="20"/>
        </w:rPr>
        <w:t>a</w:t>
      </w:r>
      <w:r w:rsidR="00C64050">
        <w:rPr>
          <w:szCs w:val="20"/>
        </w:rPr>
        <w:t xml:space="preserve"> </w:t>
      </w:r>
      <w:r w:rsidRPr="00E74C28">
        <w:rPr>
          <w:szCs w:val="20"/>
        </w:rPr>
        <w:t>contest</w:t>
      </w:r>
      <w:r w:rsidR="00C64050">
        <w:rPr>
          <w:szCs w:val="20"/>
        </w:rPr>
        <w:t xml:space="preserve"> </w:t>
      </w:r>
      <w:r w:rsidRPr="00E74C28">
        <w:rPr>
          <w:szCs w:val="20"/>
        </w:rPr>
        <w:t>of</w:t>
      </w:r>
      <w:r w:rsidR="00C64050">
        <w:rPr>
          <w:szCs w:val="20"/>
        </w:rPr>
        <w:t xml:space="preserve"> </w:t>
      </w:r>
      <w:r w:rsidRPr="00E74C28">
        <w:rPr>
          <w:szCs w:val="20"/>
        </w:rPr>
        <w:t>such</w:t>
      </w:r>
      <w:r w:rsidR="00C64050">
        <w:rPr>
          <w:szCs w:val="20"/>
        </w:rPr>
        <w:t xml:space="preserve"> </w:t>
      </w:r>
      <w:r w:rsidRPr="00E74C28">
        <w:rPr>
          <w:szCs w:val="20"/>
        </w:rPr>
        <w:t>instrument.</w:t>
      </w:r>
    </w:p>
    <w:p w:rsidR="00E74C28" w:rsidRPr="00E74C28" w:rsidRDefault="00E74C28" w:rsidP="00E74C28">
      <w:pPr>
        <w:pStyle w:val="QS10"/>
        <w:rPr>
          <w:szCs w:val="20"/>
        </w:rPr>
      </w:pPr>
      <w:r w:rsidRPr="00E74C28">
        <w:rPr>
          <w:rStyle w:val="Emphasis"/>
          <w:szCs w:val="20"/>
        </w:rPr>
        <w:t>Id.</w:t>
      </w:r>
    </w:p>
    <w:p w:rsidR="00E74C28" w:rsidRPr="00E74C28" w:rsidRDefault="00E74C28" w:rsidP="00E74C28">
      <w:pPr>
        <w:pStyle w:val="QS10"/>
        <w:rPr>
          <w:szCs w:val="20"/>
        </w:rPr>
      </w:pPr>
      <w:r w:rsidRPr="00E74C28">
        <w:rPr>
          <w:szCs w:val="20"/>
        </w:rPr>
        <w:t>Focusing</w:t>
      </w:r>
      <w:r w:rsidR="00C64050">
        <w:rPr>
          <w:szCs w:val="20"/>
        </w:rPr>
        <w:t xml:space="preserve"> </w:t>
      </w:r>
      <w:r w:rsidRPr="00E74C28">
        <w:rPr>
          <w:szCs w:val="20"/>
        </w:rPr>
        <w:t>on</w:t>
      </w:r>
      <w:r w:rsidR="00C64050">
        <w:rPr>
          <w:szCs w:val="20"/>
        </w:rPr>
        <w:t xml:space="preserve"> </w:t>
      </w:r>
      <w:r w:rsidRPr="00E74C28">
        <w:rPr>
          <w:szCs w:val="20"/>
        </w:rPr>
        <w:t>the</w:t>
      </w:r>
      <w:r w:rsidR="00C64050">
        <w:rPr>
          <w:szCs w:val="20"/>
        </w:rPr>
        <w:t xml:space="preserve"> </w:t>
      </w:r>
      <w:r w:rsidRPr="00E74C28">
        <w:rPr>
          <w:szCs w:val="20"/>
        </w:rPr>
        <w:t>sentence</w:t>
      </w:r>
      <w:r w:rsidR="00C64050">
        <w:rPr>
          <w:szCs w:val="20"/>
        </w:rPr>
        <w:t xml:space="preserve"> </w:t>
      </w:r>
      <w:r w:rsidRPr="00E74C28">
        <w:rPr>
          <w:szCs w:val="20"/>
        </w:rPr>
        <w:t>defining</w:t>
      </w:r>
      <w:r w:rsidR="00C64050">
        <w:rPr>
          <w:szCs w:val="20"/>
        </w:rPr>
        <w:t xml:space="preserve"> </w:t>
      </w:r>
      <w:r w:rsidRPr="00E74C28">
        <w:rPr>
          <w:szCs w:val="20"/>
        </w:rPr>
        <w:t>“contest,”</w:t>
      </w:r>
      <w:r w:rsidR="00C64050">
        <w:rPr>
          <w:szCs w:val="20"/>
        </w:rPr>
        <w:t xml:space="preserve"> </w:t>
      </w:r>
      <w:r w:rsidRPr="00E74C28">
        <w:rPr>
          <w:szCs w:val="20"/>
        </w:rPr>
        <w:t>Chip</w:t>
      </w:r>
      <w:r w:rsidR="00C64050">
        <w:rPr>
          <w:szCs w:val="20"/>
        </w:rPr>
        <w:t xml:space="preserve"> </w:t>
      </w:r>
      <w:r w:rsidRPr="00E74C28">
        <w:rPr>
          <w:szCs w:val="20"/>
        </w:rPr>
        <w:t>asserts</w:t>
      </w:r>
      <w:r w:rsidR="00C64050">
        <w:rPr>
          <w:szCs w:val="20"/>
        </w:rPr>
        <w:t xml:space="preserve"> </w:t>
      </w:r>
      <w:r w:rsidRPr="00E74C28">
        <w:rPr>
          <w:szCs w:val="20"/>
        </w:rPr>
        <w:t>that</w:t>
      </w:r>
      <w:r w:rsidR="00C64050">
        <w:rPr>
          <w:szCs w:val="20"/>
        </w:rPr>
        <w:t xml:space="preserve"> </w:t>
      </w:r>
      <w:r w:rsidRPr="00E74C28">
        <w:rPr>
          <w:szCs w:val="20"/>
        </w:rPr>
        <w:t>Count</w:t>
      </w:r>
      <w:r w:rsidR="00C64050">
        <w:rPr>
          <w:szCs w:val="20"/>
        </w:rPr>
        <w:t xml:space="preserve"> </w:t>
      </w:r>
      <w:r w:rsidRPr="00E74C28">
        <w:rPr>
          <w:szCs w:val="20"/>
        </w:rPr>
        <w:t>II</w:t>
      </w:r>
      <w:r w:rsidR="00C64050">
        <w:rPr>
          <w:szCs w:val="20"/>
        </w:rPr>
        <w:t xml:space="preserve"> </w:t>
      </w:r>
      <w:r w:rsidRPr="00E74C28">
        <w:rPr>
          <w:szCs w:val="20"/>
        </w:rPr>
        <w:t>never</w:t>
      </w:r>
      <w:r w:rsidR="00C64050">
        <w:rPr>
          <w:szCs w:val="20"/>
        </w:rPr>
        <w:t xml:space="preserve"> </w:t>
      </w:r>
      <w:r w:rsidRPr="00E74C28">
        <w:rPr>
          <w:szCs w:val="20"/>
        </w:rPr>
        <w:t>sought</w:t>
      </w:r>
      <w:r w:rsidR="00C64050">
        <w:rPr>
          <w:szCs w:val="20"/>
        </w:rPr>
        <w:t xml:space="preserve"> </w:t>
      </w:r>
      <w:r w:rsidRPr="00E74C28">
        <w:rPr>
          <w:szCs w:val="20"/>
        </w:rPr>
        <w:t>to</w:t>
      </w:r>
      <w:r w:rsidR="00C64050">
        <w:rPr>
          <w:szCs w:val="20"/>
        </w:rPr>
        <w:t xml:space="preserve"> </w:t>
      </w:r>
      <w:r w:rsidRPr="00E74C28">
        <w:rPr>
          <w:szCs w:val="20"/>
        </w:rPr>
        <w:t>“invalidate,</w:t>
      </w:r>
      <w:r w:rsidR="00C64050">
        <w:rPr>
          <w:szCs w:val="20"/>
        </w:rPr>
        <w:t xml:space="preserve"> </w:t>
      </w:r>
      <w:r w:rsidRPr="00E74C28">
        <w:rPr>
          <w:szCs w:val="20"/>
        </w:rPr>
        <w:t>nullify,</w:t>
      </w:r>
      <w:r w:rsidR="00C64050">
        <w:rPr>
          <w:szCs w:val="20"/>
        </w:rPr>
        <w:t xml:space="preserve"> </w:t>
      </w:r>
      <w:r w:rsidRPr="00E74C28">
        <w:rPr>
          <w:szCs w:val="20"/>
        </w:rPr>
        <w:t>set</w:t>
      </w:r>
      <w:r w:rsidR="00C64050">
        <w:rPr>
          <w:szCs w:val="20"/>
        </w:rPr>
        <w:t xml:space="preserve"> </w:t>
      </w:r>
      <w:r w:rsidRPr="00E74C28">
        <w:rPr>
          <w:szCs w:val="20"/>
        </w:rPr>
        <w:t>aside,</w:t>
      </w:r>
      <w:r w:rsidR="00C64050">
        <w:rPr>
          <w:szCs w:val="20"/>
        </w:rPr>
        <w:t xml:space="preserve"> </w:t>
      </w:r>
      <w:r w:rsidRPr="00E74C28">
        <w:rPr>
          <w:szCs w:val="20"/>
        </w:rPr>
        <w:t>render</w:t>
      </w:r>
      <w:r w:rsidR="00C64050">
        <w:rPr>
          <w:szCs w:val="20"/>
        </w:rPr>
        <w:t xml:space="preserve"> </w:t>
      </w:r>
      <w:r w:rsidRPr="00E74C28">
        <w:rPr>
          <w:szCs w:val="20"/>
        </w:rPr>
        <w:t>unenforceable,</w:t>
      </w:r>
      <w:r w:rsidR="00C64050">
        <w:rPr>
          <w:szCs w:val="20"/>
        </w:rPr>
        <w:t xml:space="preserve"> </w:t>
      </w:r>
      <w:r w:rsidRPr="00E74C28">
        <w:rPr>
          <w:szCs w:val="20"/>
        </w:rPr>
        <w:t>or</w:t>
      </w:r>
      <w:r w:rsidR="00C64050">
        <w:rPr>
          <w:szCs w:val="20"/>
        </w:rPr>
        <w:t xml:space="preserve"> </w:t>
      </w:r>
      <w:r w:rsidRPr="00E74C28">
        <w:rPr>
          <w:szCs w:val="20"/>
        </w:rPr>
        <w:t>otherwise</w:t>
      </w:r>
      <w:r w:rsidR="00C64050">
        <w:rPr>
          <w:szCs w:val="20"/>
        </w:rPr>
        <w:t xml:space="preserve"> </w:t>
      </w:r>
      <w:r w:rsidRPr="00E74C28">
        <w:rPr>
          <w:szCs w:val="20"/>
        </w:rPr>
        <w:t>avoid”</w:t>
      </w:r>
      <w:r w:rsidR="00C64050">
        <w:rPr>
          <w:szCs w:val="20"/>
        </w:rPr>
        <w:t xml:space="preserve"> </w:t>
      </w:r>
      <w:r w:rsidRPr="00E74C28">
        <w:rPr>
          <w:szCs w:val="20"/>
        </w:rPr>
        <w:t>any</w:t>
      </w:r>
      <w:r w:rsidR="00C64050">
        <w:rPr>
          <w:szCs w:val="20"/>
        </w:rPr>
        <w:t xml:space="preserve"> </w:t>
      </w:r>
      <w:r w:rsidRPr="00E74C28">
        <w:rPr>
          <w:szCs w:val="20"/>
        </w:rPr>
        <w:t>provision</w:t>
      </w:r>
      <w:r w:rsidR="00C64050">
        <w:rPr>
          <w:szCs w:val="20"/>
        </w:rPr>
        <w:t xml:space="preserve"> </w:t>
      </w:r>
      <w:r w:rsidRPr="00E74C28">
        <w:rPr>
          <w:szCs w:val="20"/>
        </w:rPr>
        <w:t>of</w:t>
      </w:r>
      <w:r w:rsidR="00C64050">
        <w:rPr>
          <w:szCs w:val="20"/>
        </w:rPr>
        <w:t xml:space="preserve"> </w:t>
      </w:r>
      <w:r w:rsidRPr="00E74C28">
        <w:rPr>
          <w:szCs w:val="20"/>
        </w:rPr>
        <w:t>the</w:t>
      </w:r>
      <w:r w:rsidR="00C64050">
        <w:rPr>
          <w:szCs w:val="20"/>
        </w:rPr>
        <w:t xml:space="preserve"> </w:t>
      </w:r>
      <w:r w:rsidRPr="00E74C28">
        <w:rPr>
          <w:szCs w:val="20"/>
        </w:rPr>
        <w:t>Theresa</w:t>
      </w:r>
      <w:r w:rsidR="00C64050">
        <w:rPr>
          <w:szCs w:val="20"/>
        </w:rPr>
        <w:t xml:space="preserve"> </w:t>
      </w:r>
      <w:r w:rsidRPr="00E74C28">
        <w:rPr>
          <w:szCs w:val="20"/>
        </w:rPr>
        <w:t>Trust.</w:t>
      </w:r>
      <w:r w:rsidR="00C64050">
        <w:rPr>
          <w:szCs w:val="20"/>
        </w:rPr>
        <w:t xml:space="preserve"> </w:t>
      </w:r>
      <w:r w:rsidRPr="00E74C28">
        <w:rPr>
          <w:rStyle w:val="Emphasis"/>
          <w:szCs w:val="20"/>
        </w:rPr>
        <w:t>Id.</w:t>
      </w:r>
      <w:r w:rsidR="00C64050">
        <w:rPr>
          <w:szCs w:val="20"/>
        </w:rPr>
        <w:t xml:space="preserve"> </w:t>
      </w:r>
      <w:r w:rsidRPr="00E74C28">
        <w:rPr>
          <w:szCs w:val="20"/>
        </w:rPr>
        <w:t>Nor</w:t>
      </w:r>
      <w:r w:rsidR="00C64050">
        <w:rPr>
          <w:szCs w:val="20"/>
        </w:rPr>
        <w:t xml:space="preserve"> </w:t>
      </w:r>
      <w:r w:rsidRPr="00E74C28">
        <w:rPr>
          <w:szCs w:val="20"/>
        </w:rPr>
        <w:t>did</w:t>
      </w:r>
      <w:r w:rsidR="00C64050">
        <w:rPr>
          <w:szCs w:val="20"/>
        </w:rPr>
        <w:t xml:space="preserve"> </w:t>
      </w:r>
      <w:r w:rsidRPr="00E74C28">
        <w:rPr>
          <w:szCs w:val="20"/>
        </w:rPr>
        <w:t>he</w:t>
      </w:r>
      <w:r w:rsidR="00C64050">
        <w:rPr>
          <w:szCs w:val="20"/>
        </w:rPr>
        <w:t xml:space="preserve"> </w:t>
      </w:r>
      <w:r w:rsidRPr="00E74C28">
        <w:rPr>
          <w:szCs w:val="20"/>
        </w:rPr>
        <w:t>violate</w:t>
      </w:r>
      <w:r w:rsidR="00C64050">
        <w:rPr>
          <w:szCs w:val="20"/>
        </w:rPr>
        <w:t xml:space="preserve"> </w:t>
      </w:r>
      <w:r w:rsidRPr="00E74C28">
        <w:rPr>
          <w:szCs w:val="20"/>
        </w:rPr>
        <w:t>his</w:t>
      </w:r>
      <w:r w:rsidR="00C64050">
        <w:rPr>
          <w:szCs w:val="20"/>
        </w:rPr>
        <w:t xml:space="preserve"> </w:t>
      </w:r>
      <w:r w:rsidRPr="00E74C28">
        <w:rPr>
          <w:szCs w:val="20"/>
        </w:rPr>
        <w:t>mother’s</w:t>
      </w:r>
      <w:r w:rsidR="00C64050">
        <w:rPr>
          <w:szCs w:val="20"/>
        </w:rPr>
        <w:t xml:space="preserve"> </w:t>
      </w:r>
      <w:r w:rsidRPr="00E74C28">
        <w:rPr>
          <w:szCs w:val="20"/>
        </w:rPr>
        <w:t>“desire”</w:t>
      </w:r>
      <w:r w:rsidR="00C64050">
        <w:rPr>
          <w:szCs w:val="20"/>
        </w:rPr>
        <w:t xml:space="preserve"> </w:t>
      </w:r>
      <w:r w:rsidRPr="00E74C28">
        <w:rPr>
          <w:szCs w:val="20"/>
        </w:rPr>
        <w:t>that</w:t>
      </w:r>
      <w:r w:rsidR="00C64050">
        <w:rPr>
          <w:szCs w:val="20"/>
        </w:rPr>
        <w:t xml:space="preserve"> </w:t>
      </w:r>
      <w:r w:rsidRPr="00E74C28">
        <w:rPr>
          <w:szCs w:val="20"/>
        </w:rPr>
        <w:t>no</w:t>
      </w:r>
      <w:r w:rsidR="00C64050">
        <w:rPr>
          <w:szCs w:val="20"/>
        </w:rPr>
        <w:t xml:space="preserve"> </w:t>
      </w:r>
      <w:r w:rsidRPr="00E74C28">
        <w:rPr>
          <w:szCs w:val="20"/>
        </w:rPr>
        <w:t>beneficiary</w:t>
      </w:r>
      <w:r w:rsidR="00C64050">
        <w:rPr>
          <w:szCs w:val="20"/>
        </w:rPr>
        <w:t xml:space="preserve"> </w:t>
      </w:r>
      <w:r w:rsidRPr="00E74C28">
        <w:rPr>
          <w:szCs w:val="20"/>
        </w:rPr>
        <w:t>should</w:t>
      </w:r>
      <w:r w:rsidR="00C64050">
        <w:rPr>
          <w:szCs w:val="20"/>
        </w:rPr>
        <w:t xml:space="preserve"> </w:t>
      </w:r>
      <w:r w:rsidRPr="00E74C28">
        <w:rPr>
          <w:szCs w:val="20"/>
        </w:rPr>
        <w:t>“expend</w:t>
      </w:r>
      <w:r w:rsidR="00C64050">
        <w:rPr>
          <w:szCs w:val="20"/>
        </w:rPr>
        <w:t xml:space="preserve"> </w:t>
      </w:r>
      <w:r w:rsidRPr="00E74C28">
        <w:rPr>
          <w:szCs w:val="20"/>
        </w:rPr>
        <w:t>resources</w:t>
      </w:r>
      <w:r w:rsidR="00C64050">
        <w:rPr>
          <w:szCs w:val="20"/>
        </w:rPr>
        <w:t xml:space="preserve"> </w:t>
      </w:r>
      <w:r w:rsidRPr="00E74C28">
        <w:rPr>
          <w:szCs w:val="20"/>
        </w:rPr>
        <w:t>disputing</w:t>
      </w:r>
      <w:r w:rsidR="00C64050">
        <w:rPr>
          <w:szCs w:val="20"/>
        </w:rPr>
        <w:t xml:space="preserve"> </w:t>
      </w:r>
      <w:r w:rsidRPr="00E74C28">
        <w:rPr>
          <w:szCs w:val="20"/>
        </w:rPr>
        <w:t>loans,</w:t>
      </w:r>
      <w:r w:rsidR="00C64050">
        <w:rPr>
          <w:szCs w:val="20"/>
        </w:rPr>
        <w:t xml:space="preserve"> </w:t>
      </w:r>
      <w:r w:rsidRPr="00E74C28">
        <w:rPr>
          <w:szCs w:val="20"/>
        </w:rPr>
        <w:t>gifts</w:t>
      </w:r>
      <w:r w:rsidR="00C64050">
        <w:rPr>
          <w:szCs w:val="20"/>
        </w:rPr>
        <w:t xml:space="preserve"> </w:t>
      </w:r>
      <w:r w:rsidRPr="00E74C28">
        <w:rPr>
          <w:szCs w:val="20"/>
        </w:rPr>
        <w:t>or</w:t>
      </w:r>
      <w:r w:rsidR="00C64050">
        <w:rPr>
          <w:szCs w:val="20"/>
        </w:rPr>
        <w:t xml:space="preserve"> </w:t>
      </w:r>
      <w:r w:rsidRPr="00E74C28">
        <w:rPr>
          <w:szCs w:val="20"/>
        </w:rPr>
        <w:t>bequests”</w:t>
      </w:r>
      <w:r w:rsidR="00C64050">
        <w:rPr>
          <w:szCs w:val="20"/>
        </w:rPr>
        <w:t xml:space="preserve"> </w:t>
      </w:r>
      <w:r w:rsidRPr="00E74C28">
        <w:rPr>
          <w:szCs w:val="20"/>
        </w:rPr>
        <w:t>that</w:t>
      </w:r>
      <w:r w:rsidR="00C64050">
        <w:rPr>
          <w:szCs w:val="20"/>
        </w:rPr>
        <w:t xml:space="preserve"> </w:t>
      </w:r>
      <w:r w:rsidRPr="00E74C28">
        <w:rPr>
          <w:szCs w:val="20"/>
        </w:rPr>
        <w:t>she</w:t>
      </w:r>
      <w:r w:rsidR="00C64050">
        <w:rPr>
          <w:szCs w:val="20"/>
        </w:rPr>
        <w:t xml:space="preserve"> </w:t>
      </w:r>
      <w:r w:rsidRPr="00E74C28">
        <w:rPr>
          <w:szCs w:val="20"/>
        </w:rPr>
        <w:t>had</w:t>
      </w:r>
      <w:r w:rsidR="00C64050">
        <w:rPr>
          <w:szCs w:val="20"/>
        </w:rPr>
        <w:t xml:space="preserve"> </w:t>
      </w:r>
      <w:r w:rsidRPr="00E74C28">
        <w:rPr>
          <w:szCs w:val="20"/>
        </w:rPr>
        <w:t>previously</w:t>
      </w:r>
      <w:r w:rsidR="00C64050">
        <w:rPr>
          <w:szCs w:val="20"/>
        </w:rPr>
        <w:t xml:space="preserve"> </w:t>
      </w:r>
      <w:r w:rsidRPr="00E74C28">
        <w:rPr>
          <w:szCs w:val="20"/>
        </w:rPr>
        <w:t>made.</w:t>
      </w:r>
      <w:r w:rsidR="00C64050">
        <w:rPr>
          <w:szCs w:val="20"/>
        </w:rPr>
        <w:t xml:space="preserve"> </w:t>
      </w:r>
      <w:r w:rsidRPr="00E74C28">
        <w:rPr>
          <w:rStyle w:val="Emphasis"/>
          <w:szCs w:val="20"/>
        </w:rPr>
        <w:t>Id.</w:t>
      </w:r>
      <w:r w:rsidR="00C64050">
        <w:rPr>
          <w:szCs w:val="20"/>
        </w:rPr>
        <w:t xml:space="preserve"> </w:t>
      </w:r>
      <w:r w:rsidRPr="00E74C28">
        <w:rPr>
          <w:szCs w:val="20"/>
        </w:rPr>
        <w:t>at</w:t>
      </w:r>
      <w:r w:rsidR="00C64050">
        <w:rPr>
          <w:szCs w:val="20"/>
        </w:rPr>
        <w:t xml:space="preserve"> </w:t>
      </w:r>
      <w:r w:rsidRPr="00E74C28">
        <w:rPr>
          <w:szCs w:val="20"/>
        </w:rPr>
        <w:t>254.</w:t>
      </w:r>
      <w:r w:rsidR="00C64050">
        <w:rPr>
          <w:szCs w:val="20"/>
        </w:rPr>
        <w:t xml:space="preserve"> </w:t>
      </w:r>
      <w:r w:rsidRPr="00E74C28">
        <w:rPr>
          <w:szCs w:val="20"/>
        </w:rPr>
        <w:t>Instead,</w:t>
      </w:r>
      <w:r w:rsidR="00C64050">
        <w:rPr>
          <w:szCs w:val="20"/>
        </w:rPr>
        <w:t xml:space="preserve"> </w:t>
      </w:r>
      <w:r w:rsidRPr="00E74C28">
        <w:rPr>
          <w:szCs w:val="20"/>
        </w:rPr>
        <w:t>when</w:t>
      </w:r>
      <w:r w:rsidR="00C64050">
        <w:rPr>
          <w:szCs w:val="20"/>
        </w:rPr>
        <w:t xml:space="preserve"> </w:t>
      </w:r>
      <w:r w:rsidRPr="00E74C28">
        <w:rPr>
          <w:szCs w:val="20"/>
        </w:rPr>
        <w:t>properly</w:t>
      </w:r>
      <w:r w:rsidR="00C64050">
        <w:rPr>
          <w:szCs w:val="20"/>
        </w:rPr>
        <w:t xml:space="preserve"> </w:t>
      </w:r>
      <w:r w:rsidRPr="00E74C28">
        <w:rPr>
          <w:szCs w:val="20"/>
        </w:rPr>
        <w:t>construed,</w:t>
      </w:r>
      <w:r w:rsidR="00C64050">
        <w:rPr>
          <w:szCs w:val="20"/>
        </w:rPr>
        <w:t xml:space="preserve"> </w:t>
      </w:r>
      <w:r w:rsidRPr="00E74C28">
        <w:rPr>
          <w:szCs w:val="20"/>
        </w:rPr>
        <w:t>Count</w:t>
      </w:r>
      <w:r w:rsidR="00C64050">
        <w:rPr>
          <w:szCs w:val="20"/>
        </w:rPr>
        <w:t xml:space="preserve"> </w:t>
      </w:r>
      <w:r w:rsidRPr="00E74C28">
        <w:rPr>
          <w:szCs w:val="20"/>
        </w:rPr>
        <w:t>II</w:t>
      </w:r>
      <w:r w:rsidR="00C64050">
        <w:rPr>
          <w:szCs w:val="20"/>
        </w:rPr>
        <w:t xml:space="preserve"> </w:t>
      </w:r>
      <w:r w:rsidRPr="00E74C28">
        <w:rPr>
          <w:szCs w:val="20"/>
        </w:rPr>
        <w:t>merely</w:t>
      </w:r>
      <w:r w:rsidR="00C64050">
        <w:rPr>
          <w:szCs w:val="20"/>
        </w:rPr>
        <w:t xml:space="preserve"> </w:t>
      </w:r>
      <w:r w:rsidRPr="00E74C28">
        <w:rPr>
          <w:szCs w:val="20"/>
        </w:rPr>
        <w:t>sought</w:t>
      </w:r>
      <w:r w:rsidR="00C64050">
        <w:rPr>
          <w:szCs w:val="20"/>
        </w:rPr>
        <w:t xml:space="preserve"> </w:t>
      </w:r>
      <w:r w:rsidRPr="00E74C28">
        <w:rPr>
          <w:szCs w:val="20"/>
        </w:rPr>
        <w:t>an</w:t>
      </w:r>
      <w:r w:rsidR="00C64050">
        <w:rPr>
          <w:szCs w:val="20"/>
        </w:rPr>
        <w:t xml:space="preserve"> </w:t>
      </w:r>
      <w:r w:rsidRPr="00E74C28">
        <w:rPr>
          <w:szCs w:val="20"/>
        </w:rPr>
        <w:t>interpretation</w:t>
      </w:r>
      <w:r w:rsidR="00C64050">
        <w:rPr>
          <w:szCs w:val="20"/>
        </w:rPr>
        <w:t xml:space="preserve"> </w:t>
      </w:r>
      <w:r w:rsidRPr="00E74C28">
        <w:rPr>
          <w:szCs w:val="20"/>
        </w:rPr>
        <w:t>of</w:t>
      </w:r>
      <w:r w:rsidR="00C64050">
        <w:rPr>
          <w:szCs w:val="20"/>
        </w:rPr>
        <w:t xml:space="preserve"> </w:t>
      </w:r>
      <w:r w:rsidRPr="00E74C28">
        <w:rPr>
          <w:szCs w:val="20"/>
        </w:rPr>
        <w:t>the</w:t>
      </w:r>
      <w:r w:rsidR="00C64050">
        <w:rPr>
          <w:szCs w:val="20"/>
        </w:rPr>
        <w:t xml:space="preserve"> </w:t>
      </w:r>
      <w:r w:rsidRPr="00E74C28">
        <w:rPr>
          <w:szCs w:val="20"/>
        </w:rPr>
        <w:t>trustee’s</w:t>
      </w:r>
      <w:r w:rsidR="00C64050">
        <w:rPr>
          <w:szCs w:val="20"/>
        </w:rPr>
        <w:t xml:space="preserve"> </w:t>
      </w:r>
      <w:r w:rsidRPr="00E74C28">
        <w:rPr>
          <w:szCs w:val="20"/>
        </w:rPr>
        <w:t>inform-and-report</w:t>
      </w:r>
      <w:r w:rsidR="00C64050">
        <w:rPr>
          <w:szCs w:val="20"/>
        </w:rPr>
        <w:t xml:space="preserve"> </w:t>
      </w:r>
      <w:r w:rsidRPr="00E74C28">
        <w:rPr>
          <w:szCs w:val="20"/>
        </w:rPr>
        <w:t>duties</w:t>
      </w:r>
      <w:r w:rsidR="00C64050">
        <w:rPr>
          <w:szCs w:val="20"/>
        </w:rPr>
        <w:t xml:space="preserve"> </w:t>
      </w:r>
      <w:r w:rsidRPr="00E74C28">
        <w:rPr>
          <w:szCs w:val="20"/>
        </w:rPr>
        <w:t>under</w:t>
      </w:r>
      <w:r w:rsidR="00C64050">
        <w:rPr>
          <w:szCs w:val="20"/>
        </w:rPr>
        <w:t xml:space="preserve"> </w:t>
      </w:r>
      <w:r w:rsidRPr="00E74C28">
        <w:rPr>
          <w:szCs w:val="20"/>
        </w:rPr>
        <w:t>other</w:t>
      </w:r>
      <w:r w:rsidR="00C64050">
        <w:rPr>
          <w:szCs w:val="20"/>
        </w:rPr>
        <w:t xml:space="preserve"> </w:t>
      </w:r>
      <w:r w:rsidRPr="00E74C28">
        <w:rPr>
          <w:szCs w:val="20"/>
        </w:rPr>
        <w:t>sources</w:t>
      </w:r>
      <w:r w:rsidR="00C64050">
        <w:rPr>
          <w:szCs w:val="20"/>
        </w:rPr>
        <w:t xml:space="preserve"> </w:t>
      </w:r>
      <w:r w:rsidRPr="00E74C28">
        <w:rPr>
          <w:szCs w:val="20"/>
        </w:rPr>
        <w:t>of</w:t>
      </w:r>
      <w:r w:rsidR="00C64050">
        <w:rPr>
          <w:szCs w:val="20"/>
        </w:rPr>
        <w:t xml:space="preserve"> </w:t>
      </w:r>
      <w:r w:rsidRPr="00E74C28">
        <w:rPr>
          <w:szCs w:val="20"/>
        </w:rPr>
        <w:t>law</w:t>
      </w:r>
      <w:r w:rsidR="00C64050">
        <w:rPr>
          <w:szCs w:val="20"/>
        </w:rPr>
        <w:t xml:space="preserve"> </w:t>
      </w:r>
      <w:r w:rsidRPr="00E74C28">
        <w:rPr>
          <w:szCs w:val="20"/>
        </w:rPr>
        <w:t>that</w:t>
      </w:r>
      <w:r w:rsidR="00C64050">
        <w:rPr>
          <w:szCs w:val="20"/>
        </w:rPr>
        <w:t xml:space="preserve"> </w:t>
      </w:r>
      <w:r w:rsidRPr="00E74C28">
        <w:rPr>
          <w:szCs w:val="20"/>
        </w:rPr>
        <w:t>would</w:t>
      </w:r>
      <w:r w:rsidR="00C64050">
        <w:rPr>
          <w:szCs w:val="20"/>
        </w:rPr>
        <w:t xml:space="preserve"> </w:t>
      </w:r>
      <w:r w:rsidRPr="00E74C28">
        <w:rPr>
          <w:szCs w:val="20"/>
        </w:rPr>
        <w:t>be</w:t>
      </w:r>
      <w:r w:rsidR="00C64050">
        <w:rPr>
          <w:szCs w:val="20"/>
        </w:rPr>
        <w:t xml:space="preserve"> </w:t>
      </w:r>
      <w:r w:rsidRPr="00E74C28">
        <w:rPr>
          <w:szCs w:val="20"/>
        </w:rPr>
        <w:t>wholly</w:t>
      </w:r>
      <w:r w:rsidR="00C64050">
        <w:rPr>
          <w:szCs w:val="20"/>
        </w:rPr>
        <w:t xml:space="preserve"> </w:t>
      </w:r>
      <w:r w:rsidRPr="00E74C28">
        <w:rPr>
          <w:szCs w:val="20"/>
        </w:rPr>
        <w:t>unaffected</w:t>
      </w:r>
      <w:r w:rsidR="00C64050">
        <w:rPr>
          <w:szCs w:val="20"/>
        </w:rPr>
        <w:t xml:space="preserve"> </w:t>
      </w:r>
      <w:r w:rsidRPr="00E74C28">
        <w:rPr>
          <w:szCs w:val="20"/>
        </w:rPr>
        <w:t>by</w:t>
      </w:r>
      <w:r w:rsidR="00C64050">
        <w:rPr>
          <w:szCs w:val="20"/>
        </w:rPr>
        <w:t xml:space="preserve"> </w:t>
      </w:r>
      <w:r w:rsidRPr="00E74C28">
        <w:rPr>
          <w:szCs w:val="20"/>
        </w:rPr>
        <w:t>the</w:t>
      </w:r>
      <w:r w:rsidR="00C64050">
        <w:rPr>
          <w:szCs w:val="20"/>
        </w:rPr>
        <w:t xml:space="preserve"> </w:t>
      </w:r>
      <w:r w:rsidRPr="00E74C28">
        <w:rPr>
          <w:szCs w:val="20"/>
        </w:rPr>
        <w:t>waiver</w:t>
      </w:r>
      <w:r w:rsidR="00C64050">
        <w:rPr>
          <w:szCs w:val="20"/>
        </w:rPr>
        <w:t xml:space="preserve"> </w:t>
      </w:r>
      <w:r w:rsidRPr="00E74C28">
        <w:rPr>
          <w:szCs w:val="20"/>
        </w:rPr>
        <w:t>provision.</w:t>
      </w:r>
      <w:r w:rsidR="00C64050">
        <w:rPr>
          <w:szCs w:val="20"/>
        </w:rPr>
        <w:t xml:space="preserve"> </w:t>
      </w:r>
      <w:r w:rsidRPr="00E74C28">
        <w:rPr>
          <w:szCs w:val="20"/>
        </w:rPr>
        <w:t>The</w:t>
      </w:r>
      <w:r w:rsidR="00C64050">
        <w:rPr>
          <w:szCs w:val="20"/>
        </w:rPr>
        <w:t xml:space="preserve"> </w:t>
      </w:r>
      <w:r w:rsidRPr="00E74C28">
        <w:rPr>
          <w:szCs w:val="20"/>
        </w:rPr>
        <w:t>circuit</w:t>
      </w:r>
      <w:r w:rsidR="00C64050">
        <w:rPr>
          <w:szCs w:val="20"/>
        </w:rPr>
        <w:t xml:space="preserve"> </w:t>
      </w:r>
      <w:r w:rsidRPr="00E74C28">
        <w:rPr>
          <w:szCs w:val="20"/>
        </w:rPr>
        <w:t>court</w:t>
      </w:r>
      <w:r w:rsidR="00C64050">
        <w:rPr>
          <w:szCs w:val="20"/>
        </w:rPr>
        <w:t xml:space="preserve"> </w:t>
      </w:r>
      <w:r w:rsidRPr="00E74C28">
        <w:rPr>
          <w:szCs w:val="20"/>
        </w:rPr>
        <w:t>disagreed</w:t>
      </w:r>
      <w:r w:rsidR="00C64050">
        <w:rPr>
          <w:szCs w:val="20"/>
        </w:rPr>
        <w:t xml:space="preserve"> </w:t>
      </w:r>
      <w:r w:rsidRPr="00E74C28">
        <w:rPr>
          <w:szCs w:val="20"/>
        </w:rPr>
        <w:t>with</w:t>
      </w:r>
      <w:r w:rsidR="00C64050">
        <w:rPr>
          <w:szCs w:val="20"/>
        </w:rPr>
        <w:t xml:space="preserve"> </w:t>
      </w:r>
      <w:r w:rsidRPr="00E74C28">
        <w:rPr>
          <w:szCs w:val="20"/>
        </w:rPr>
        <w:t>Chip</w:t>
      </w:r>
      <w:r w:rsidR="00C64050">
        <w:rPr>
          <w:szCs w:val="20"/>
        </w:rPr>
        <w:t xml:space="preserve"> </w:t>
      </w:r>
      <w:r w:rsidRPr="00E74C28">
        <w:rPr>
          <w:szCs w:val="20"/>
        </w:rPr>
        <w:t>and</w:t>
      </w:r>
      <w:r w:rsidR="00C64050">
        <w:rPr>
          <w:szCs w:val="20"/>
        </w:rPr>
        <w:t xml:space="preserve"> </w:t>
      </w:r>
      <w:r w:rsidRPr="00E74C28">
        <w:rPr>
          <w:szCs w:val="20"/>
        </w:rPr>
        <w:t>ordered</w:t>
      </w:r>
      <w:r w:rsidR="00C64050">
        <w:rPr>
          <w:szCs w:val="20"/>
        </w:rPr>
        <w:t xml:space="preserve"> </w:t>
      </w:r>
      <w:r w:rsidRPr="00E74C28">
        <w:rPr>
          <w:szCs w:val="20"/>
        </w:rPr>
        <w:t>the</w:t>
      </w:r>
      <w:r w:rsidR="00C64050">
        <w:rPr>
          <w:szCs w:val="20"/>
        </w:rPr>
        <w:t xml:space="preserve"> </w:t>
      </w:r>
      <w:r w:rsidRPr="00E74C28">
        <w:rPr>
          <w:szCs w:val="20"/>
        </w:rPr>
        <w:t>forfeiture</w:t>
      </w:r>
      <w:r w:rsidR="00C64050">
        <w:rPr>
          <w:szCs w:val="20"/>
        </w:rPr>
        <w:t xml:space="preserve"> </w:t>
      </w:r>
      <w:r w:rsidRPr="00E74C28">
        <w:rPr>
          <w:szCs w:val="20"/>
        </w:rPr>
        <w:t>of</w:t>
      </w:r>
      <w:r w:rsidR="00C64050">
        <w:rPr>
          <w:szCs w:val="20"/>
        </w:rPr>
        <w:t xml:space="preserve"> </w:t>
      </w:r>
      <w:r w:rsidRPr="00E74C28">
        <w:rPr>
          <w:szCs w:val="20"/>
        </w:rPr>
        <w:t>his</w:t>
      </w:r>
      <w:r w:rsidR="00C64050">
        <w:rPr>
          <w:szCs w:val="20"/>
        </w:rPr>
        <w:t xml:space="preserve"> </w:t>
      </w:r>
      <w:r w:rsidRPr="00E74C28">
        <w:rPr>
          <w:szCs w:val="20"/>
        </w:rPr>
        <w:t>interest</w:t>
      </w:r>
      <w:r w:rsidR="00C64050">
        <w:rPr>
          <w:szCs w:val="20"/>
        </w:rPr>
        <w:t xml:space="preserve"> </w:t>
      </w:r>
      <w:r w:rsidRPr="00E74C28">
        <w:rPr>
          <w:szCs w:val="20"/>
        </w:rPr>
        <w:t>in</w:t>
      </w:r>
      <w:r w:rsidR="00C64050">
        <w:rPr>
          <w:szCs w:val="20"/>
        </w:rPr>
        <w:t xml:space="preserve"> </w:t>
      </w:r>
      <w:r w:rsidRPr="00E74C28">
        <w:rPr>
          <w:szCs w:val="20"/>
        </w:rPr>
        <w:t>the</w:t>
      </w:r>
      <w:r w:rsidR="00C64050">
        <w:rPr>
          <w:szCs w:val="20"/>
        </w:rPr>
        <w:t xml:space="preserve"> </w:t>
      </w:r>
      <w:r w:rsidRPr="00E74C28">
        <w:rPr>
          <w:szCs w:val="20"/>
        </w:rPr>
        <w:t>trust.</w:t>
      </w:r>
      <w:r w:rsidR="00C64050">
        <w:rPr>
          <w:szCs w:val="20"/>
        </w:rPr>
        <w:t xml:space="preserve"> </w:t>
      </w:r>
      <w:r w:rsidRPr="00E74C28">
        <w:rPr>
          <w:szCs w:val="20"/>
        </w:rPr>
        <w:t>We</w:t>
      </w:r>
      <w:r w:rsidR="00C64050">
        <w:rPr>
          <w:szCs w:val="20"/>
        </w:rPr>
        <w:t xml:space="preserve"> </w:t>
      </w:r>
      <w:r w:rsidRPr="00E74C28">
        <w:rPr>
          <w:szCs w:val="20"/>
        </w:rPr>
        <w:t>believe</w:t>
      </w:r>
      <w:r w:rsidR="00C64050">
        <w:rPr>
          <w:szCs w:val="20"/>
        </w:rPr>
        <w:t xml:space="preserve"> </w:t>
      </w:r>
      <w:r w:rsidRPr="00E74C28">
        <w:rPr>
          <w:szCs w:val="20"/>
        </w:rPr>
        <w:t>the</w:t>
      </w:r>
      <w:r w:rsidR="00C64050">
        <w:rPr>
          <w:szCs w:val="20"/>
        </w:rPr>
        <w:t xml:space="preserve"> </w:t>
      </w:r>
      <w:r w:rsidRPr="00E74C28">
        <w:rPr>
          <w:szCs w:val="20"/>
        </w:rPr>
        <w:t>court</w:t>
      </w:r>
      <w:r w:rsidR="00C64050">
        <w:rPr>
          <w:szCs w:val="20"/>
        </w:rPr>
        <w:t xml:space="preserve"> </w:t>
      </w:r>
      <w:r w:rsidRPr="00E74C28">
        <w:rPr>
          <w:szCs w:val="20"/>
        </w:rPr>
        <w:t>erred</w:t>
      </w:r>
      <w:r w:rsidR="00C64050">
        <w:rPr>
          <w:szCs w:val="20"/>
        </w:rPr>
        <w:t xml:space="preserve"> </w:t>
      </w:r>
      <w:r w:rsidRPr="00E74C28">
        <w:rPr>
          <w:szCs w:val="20"/>
        </w:rPr>
        <w:t>in</w:t>
      </w:r>
      <w:r w:rsidR="00C64050">
        <w:rPr>
          <w:szCs w:val="20"/>
        </w:rPr>
        <w:t xml:space="preserve"> </w:t>
      </w:r>
      <w:r w:rsidRPr="00E74C28">
        <w:rPr>
          <w:szCs w:val="20"/>
        </w:rPr>
        <w:t>doing</w:t>
      </w:r>
      <w:r w:rsidR="00C64050">
        <w:rPr>
          <w:szCs w:val="20"/>
        </w:rPr>
        <w:t xml:space="preserve"> </w:t>
      </w:r>
      <w:r w:rsidRPr="00E74C28">
        <w:rPr>
          <w:szCs w:val="20"/>
        </w:rPr>
        <w:t>so.</w:t>
      </w:r>
    </w:p>
    <w:p w:rsidR="00803A76" w:rsidRDefault="00803A76">
      <w:pPr>
        <w:rPr>
          <w:bCs w:val="0"/>
        </w:rPr>
      </w:pPr>
      <w:r>
        <w:br w:type="page"/>
      </w:r>
    </w:p>
    <w:p w:rsidR="00EF48A0" w:rsidRDefault="00EF48A0" w:rsidP="005420BF">
      <w:pPr>
        <w:pStyle w:val="Body15"/>
      </w:pPr>
      <w:r>
        <w:t>Eleanor,</w:t>
      </w:r>
      <w:r w:rsidR="00C64050">
        <w:t xml:space="preserve"> </w:t>
      </w:r>
      <w:r>
        <w:t>the</w:t>
      </w:r>
      <w:r w:rsidR="00C64050">
        <w:t xml:space="preserve"> </w:t>
      </w:r>
      <w:r>
        <w:t>trustee,</w:t>
      </w:r>
      <w:r w:rsidR="00C64050">
        <w:t xml:space="preserve"> </w:t>
      </w:r>
      <w:r>
        <w:t>argued</w:t>
      </w:r>
      <w:r w:rsidR="00C64050">
        <w:t xml:space="preserve"> </w:t>
      </w:r>
      <w:r>
        <w:t>that</w:t>
      </w:r>
      <w:r w:rsidR="00C64050">
        <w:t xml:space="preserve"> </w:t>
      </w:r>
      <w:r>
        <w:t>the</w:t>
      </w:r>
      <w:r w:rsidR="00C64050">
        <w:t xml:space="preserve"> </w:t>
      </w:r>
      <w:r>
        <w:t>no</w:t>
      </w:r>
      <w:r w:rsidR="00C64050">
        <w:t xml:space="preserve"> </w:t>
      </w:r>
      <w:r>
        <w:t>contest</w:t>
      </w:r>
      <w:r w:rsidR="00C64050">
        <w:t xml:space="preserve"> </w:t>
      </w:r>
      <w:r>
        <w:t>cause</w:t>
      </w:r>
      <w:r w:rsidR="00C64050">
        <w:t xml:space="preserve"> </w:t>
      </w:r>
      <w:r>
        <w:t>was</w:t>
      </w:r>
      <w:r w:rsidR="00C64050">
        <w:t xml:space="preserve"> </w:t>
      </w:r>
      <w:r>
        <w:t>triggered</w:t>
      </w:r>
      <w:r w:rsidR="00C64050">
        <w:t xml:space="preserve"> </w:t>
      </w:r>
      <w:r>
        <w:t>because</w:t>
      </w:r>
      <w:r w:rsidR="00C64050">
        <w:t xml:space="preserve"> </w:t>
      </w:r>
      <w:r>
        <w:t>she</w:t>
      </w:r>
      <w:r w:rsidR="00C64050">
        <w:t xml:space="preserve"> </w:t>
      </w:r>
      <w:r>
        <w:t>did</w:t>
      </w:r>
      <w:r w:rsidR="00C64050">
        <w:t xml:space="preserve"> </w:t>
      </w:r>
      <w:r>
        <w:t>not</w:t>
      </w:r>
      <w:r w:rsidR="00C64050">
        <w:t xml:space="preserve"> </w:t>
      </w:r>
      <w:r>
        <w:t>agree</w:t>
      </w:r>
      <w:r w:rsidR="00C64050">
        <w:t xml:space="preserve"> </w:t>
      </w:r>
      <w:r>
        <w:t>to</w:t>
      </w:r>
      <w:r w:rsidR="00C64050">
        <w:t xml:space="preserve"> </w:t>
      </w:r>
      <w:r>
        <w:t>the</w:t>
      </w:r>
      <w:r w:rsidR="00C64050">
        <w:t xml:space="preserve"> </w:t>
      </w:r>
      <w:r>
        <w:t>petition.</w:t>
      </w:r>
      <w:r w:rsidR="00C64050">
        <w:t xml:space="preserve">  </w:t>
      </w:r>
      <w:r>
        <w:t>The</w:t>
      </w:r>
      <w:r w:rsidR="00C64050">
        <w:t xml:space="preserve"> </w:t>
      </w:r>
      <w:r>
        <w:t>court</w:t>
      </w:r>
      <w:r w:rsidR="00C64050">
        <w:t xml:space="preserve"> </w:t>
      </w:r>
      <w:r>
        <w:t>flatly</w:t>
      </w:r>
      <w:r w:rsidR="00C64050">
        <w:t xml:space="preserve"> </w:t>
      </w:r>
      <w:r>
        <w:t>rejected</w:t>
      </w:r>
      <w:r w:rsidR="00C64050">
        <w:t xml:space="preserve"> </w:t>
      </w:r>
      <w:r>
        <w:t>that</w:t>
      </w:r>
      <w:r w:rsidR="00C64050">
        <w:t xml:space="preserve"> </w:t>
      </w:r>
      <w:r>
        <w:t>argument</w:t>
      </w:r>
      <w:r w:rsidR="00C64050">
        <w:t xml:space="preserve"> </w:t>
      </w:r>
      <w:r>
        <w:t>stating:</w:t>
      </w:r>
    </w:p>
    <w:p w:rsidR="00E74C28" w:rsidRPr="00E74C28" w:rsidRDefault="00E74C28" w:rsidP="00E74C28">
      <w:pPr>
        <w:pStyle w:val="QS10"/>
        <w:rPr>
          <w:szCs w:val="20"/>
        </w:rPr>
      </w:pPr>
      <w:r w:rsidRPr="00E74C28">
        <w:rPr>
          <w:szCs w:val="20"/>
        </w:rPr>
        <w:t>Eleanor</w:t>
      </w:r>
      <w:r w:rsidR="00C64050">
        <w:rPr>
          <w:szCs w:val="20"/>
        </w:rPr>
        <w:t xml:space="preserve"> </w:t>
      </w:r>
      <w:r w:rsidRPr="00E74C28">
        <w:rPr>
          <w:szCs w:val="20"/>
        </w:rPr>
        <w:t>acknowledges</w:t>
      </w:r>
      <w:r w:rsidR="00C64050">
        <w:rPr>
          <w:szCs w:val="20"/>
        </w:rPr>
        <w:t xml:space="preserve"> </w:t>
      </w:r>
      <w:r w:rsidRPr="00E74C28">
        <w:rPr>
          <w:szCs w:val="20"/>
        </w:rPr>
        <w:t>this</w:t>
      </w:r>
      <w:r w:rsidR="00C64050">
        <w:rPr>
          <w:szCs w:val="20"/>
        </w:rPr>
        <w:t xml:space="preserve"> </w:t>
      </w:r>
      <w:r w:rsidRPr="00E74C28">
        <w:rPr>
          <w:szCs w:val="20"/>
        </w:rPr>
        <w:t>general</w:t>
      </w:r>
      <w:r w:rsidR="00C64050">
        <w:rPr>
          <w:szCs w:val="20"/>
        </w:rPr>
        <w:t xml:space="preserve"> </w:t>
      </w:r>
      <w:r w:rsidRPr="00E74C28">
        <w:rPr>
          <w:szCs w:val="20"/>
        </w:rPr>
        <w:t>rule</w:t>
      </w:r>
      <w:r w:rsidR="00C64050">
        <w:rPr>
          <w:szCs w:val="20"/>
        </w:rPr>
        <w:t xml:space="preserve"> </w:t>
      </w:r>
      <w:r w:rsidRPr="00E74C28">
        <w:rPr>
          <w:szCs w:val="20"/>
        </w:rPr>
        <w:t>but</w:t>
      </w:r>
      <w:r w:rsidR="00C64050">
        <w:rPr>
          <w:szCs w:val="20"/>
        </w:rPr>
        <w:t xml:space="preserve"> </w:t>
      </w:r>
      <w:r w:rsidRPr="00E74C28">
        <w:rPr>
          <w:szCs w:val="20"/>
        </w:rPr>
        <w:t>argues</w:t>
      </w:r>
      <w:r w:rsidR="00C64050">
        <w:rPr>
          <w:szCs w:val="20"/>
        </w:rPr>
        <w:t xml:space="preserve"> </w:t>
      </w:r>
      <w:r w:rsidRPr="00E74C28">
        <w:rPr>
          <w:szCs w:val="20"/>
        </w:rPr>
        <w:t>that</w:t>
      </w:r>
      <w:r w:rsidR="00C64050">
        <w:rPr>
          <w:szCs w:val="20"/>
        </w:rPr>
        <w:t xml:space="preserve"> </w:t>
      </w:r>
      <w:r w:rsidRPr="00E74C28">
        <w:rPr>
          <w:szCs w:val="20"/>
        </w:rPr>
        <w:t>the</w:t>
      </w:r>
      <w:r w:rsidR="00C64050">
        <w:rPr>
          <w:szCs w:val="20"/>
        </w:rPr>
        <w:t xml:space="preserve"> </w:t>
      </w:r>
      <w:r w:rsidRPr="00E74C28">
        <w:rPr>
          <w:szCs w:val="20"/>
        </w:rPr>
        <w:t>no-contest</w:t>
      </w:r>
      <w:r w:rsidR="00C64050">
        <w:rPr>
          <w:szCs w:val="20"/>
        </w:rPr>
        <w:t xml:space="preserve"> </w:t>
      </w:r>
      <w:r w:rsidRPr="00E74C28">
        <w:rPr>
          <w:szCs w:val="20"/>
        </w:rPr>
        <w:t>provision</w:t>
      </w:r>
      <w:r w:rsidR="00C64050">
        <w:rPr>
          <w:szCs w:val="20"/>
        </w:rPr>
        <w:t xml:space="preserve"> </w:t>
      </w:r>
      <w:r w:rsidRPr="00E74C28">
        <w:rPr>
          <w:szCs w:val="20"/>
        </w:rPr>
        <w:t>in</w:t>
      </w:r>
      <w:r w:rsidR="00C64050">
        <w:rPr>
          <w:szCs w:val="20"/>
        </w:rPr>
        <w:t xml:space="preserve"> </w:t>
      </w:r>
      <w:r w:rsidRPr="00E74C28">
        <w:rPr>
          <w:szCs w:val="20"/>
        </w:rPr>
        <w:t>the</w:t>
      </w:r>
      <w:r w:rsidR="00C64050">
        <w:rPr>
          <w:szCs w:val="20"/>
        </w:rPr>
        <w:t xml:space="preserve"> </w:t>
      </w:r>
      <w:r w:rsidRPr="00E74C28">
        <w:rPr>
          <w:szCs w:val="20"/>
        </w:rPr>
        <w:t>Theresa</w:t>
      </w:r>
      <w:r w:rsidR="00C64050">
        <w:rPr>
          <w:szCs w:val="20"/>
        </w:rPr>
        <w:t xml:space="preserve"> </w:t>
      </w:r>
      <w:r w:rsidRPr="00E74C28">
        <w:rPr>
          <w:szCs w:val="20"/>
        </w:rPr>
        <w:t>Trust</w:t>
      </w:r>
      <w:r w:rsidR="00C64050">
        <w:rPr>
          <w:szCs w:val="20"/>
        </w:rPr>
        <w:t xml:space="preserve"> </w:t>
      </w:r>
      <w:r w:rsidRPr="00E74C28">
        <w:rPr>
          <w:szCs w:val="20"/>
        </w:rPr>
        <w:t>required</w:t>
      </w:r>
      <w:r w:rsidR="00C64050">
        <w:rPr>
          <w:szCs w:val="20"/>
        </w:rPr>
        <w:t xml:space="preserve"> </w:t>
      </w:r>
      <w:r w:rsidRPr="00E74C28">
        <w:rPr>
          <w:szCs w:val="20"/>
        </w:rPr>
        <w:t>forfeiture</w:t>
      </w:r>
      <w:r w:rsidR="00C64050">
        <w:rPr>
          <w:szCs w:val="20"/>
        </w:rPr>
        <w:t xml:space="preserve"> </w:t>
      </w:r>
      <w:r w:rsidRPr="00E74C28">
        <w:rPr>
          <w:szCs w:val="20"/>
        </w:rPr>
        <w:t>even</w:t>
      </w:r>
      <w:r w:rsidR="00C64050">
        <w:rPr>
          <w:szCs w:val="20"/>
        </w:rPr>
        <w:t xml:space="preserve"> </w:t>
      </w:r>
      <w:r w:rsidRPr="00E74C28">
        <w:rPr>
          <w:szCs w:val="20"/>
        </w:rPr>
        <w:t>if</w:t>
      </w:r>
      <w:r w:rsidR="00C64050">
        <w:rPr>
          <w:szCs w:val="20"/>
        </w:rPr>
        <w:t xml:space="preserve"> </w:t>
      </w:r>
      <w:r w:rsidRPr="00E74C28">
        <w:rPr>
          <w:szCs w:val="20"/>
        </w:rPr>
        <w:t>Chip</w:t>
      </w:r>
      <w:r w:rsidR="00C64050">
        <w:rPr>
          <w:szCs w:val="20"/>
        </w:rPr>
        <w:t xml:space="preserve"> </w:t>
      </w:r>
      <w:r w:rsidRPr="00E74C28">
        <w:rPr>
          <w:szCs w:val="20"/>
        </w:rPr>
        <w:t>sought</w:t>
      </w:r>
      <w:r w:rsidR="00C64050">
        <w:rPr>
          <w:szCs w:val="20"/>
        </w:rPr>
        <w:t xml:space="preserve"> </w:t>
      </w:r>
      <w:r w:rsidRPr="00E74C28">
        <w:rPr>
          <w:szCs w:val="20"/>
        </w:rPr>
        <w:t>only</w:t>
      </w:r>
      <w:r w:rsidR="00C64050">
        <w:rPr>
          <w:szCs w:val="20"/>
        </w:rPr>
        <w:t xml:space="preserve"> </w:t>
      </w:r>
      <w:r w:rsidRPr="00E74C28">
        <w:rPr>
          <w:szCs w:val="20"/>
        </w:rPr>
        <w:t>a</w:t>
      </w:r>
      <w:r w:rsidR="00C64050">
        <w:rPr>
          <w:szCs w:val="20"/>
        </w:rPr>
        <w:t xml:space="preserve"> </w:t>
      </w:r>
      <w:r w:rsidRPr="00E74C28">
        <w:rPr>
          <w:szCs w:val="20"/>
        </w:rPr>
        <w:t>judicial</w:t>
      </w:r>
      <w:r w:rsidR="00C64050">
        <w:rPr>
          <w:szCs w:val="20"/>
        </w:rPr>
        <w:t xml:space="preserve"> </w:t>
      </w:r>
      <w:r w:rsidRPr="00E74C28">
        <w:rPr>
          <w:szCs w:val="20"/>
        </w:rPr>
        <w:t>interpretation</w:t>
      </w:r>
      <w:r w:rsidR="00C64050">
        <w:rPr>
          <w:szCs w:val="20"/>
        </w:rPr>
        <w:t xml:space="preserve"> </w:t>
      </w:r>
      <w:r w:rsidRPr="00E74C28">
        <w:rPr>
          <w:szCs w:val="20"/>
        </w:rPr>
        <w:t>of</w:t>
      </w:r>
      <w:r w:rsidR="00C64050">
        <w:rPr>
          <w:szCs w:val="20"/>
        </w:rPr>
        <w:t xml:space="preserve"> </w:t>
      </w:r>
      <w:r w:rsidRPr="00E74C28">
        <w:rPr>
          <w:szCs w:val="20"/>
        </w:rPr>
        <w:t>its</w:t>
      </w:r>
      <w:r w:rsidR="00C64050">
        <w:rPr>
          <w:szCs w:val="20"/>
        </w:rPr>
        <w:t xml:space="preserve"> </w:t>
      </w:r>
      <w:r w:rsidRPr="00E74C28">
        <w:rPr>
          <w:szCs w:val="20"/>
        </w:rPr>
        <w:t>provisions.</w:t>
      </w:r>
      <w:r w:rsidR="00C64050">
        <w:rPr>
          <w:szCs w:val="20"/>
        </w:rPr>
        <w:t xml:space="preserve"> </w:t>
      </w:r>
      <w:r w:rsidRPr="00E74C28">
        <w:rPr>
          <w:szCs w:val="20"/>
        </w:rPr>
        <w:t>Skipping</w:t>
      </w:r>
      <w:r w:rsidR="00C64050">
        <w:rPr>
          <w:szCs w:val="20"/>
        </w:rPr>
        <w:t xml:space="preserve"> </w:t>
      </w:r>
      <w:r w:rsidRPr="00E74C28">
        <w:rPr>
          <w:szCs w:val="20"/>
        </w:rPr>
        <w:t>over</w:t>
      </w:r>
      <w:r w:rsidR="00C64050">
        <w:rPr>
          <w:szCs w:val="20"/>
        </w:rPr>
        <w:t xml:space="preserve"> </w:t>
      </w:r>
      <w:r w:rsidRPr="00E74C28">
        <w:rPr>
          <w:szCs w:val="20"/>
        </w:rPr>
        <w:t>the</w:t>
      </w:r>
      <w:r w:rsidR="00C64050">
        <w:rPr>
          <w:szCs w:val="20"/>
        </w:rPr>
        <w:t xml:space="preserve"> </w:t>
      </w:r>
      <w:r w:rsidRPr="00E74C28">
        <w:rPr>
          <w:szCs w:val="20"/>
        </w:rPr>
        <w:t>sentence</w:t>
      </w:r>
      <w:r w:rsidR="00C64050">
        <w:rPr>
          <w:szCs w:val="20"/>
        </w:rPr>
        <w:t xml:space="preserve"> </w:t>
      </w:r>
      <w:r w:rsidRPr="00E74C28">
        <w:rPr>
          <w:szCs w:val="20"/>
        </w:rPr>
        <w:t>defining</w:t>
      </w:r>
      <w:r w:rsidR="00C64050">
        <w:rPr>
          <w:szCs w:val="20"/>
        </w:rPr>
        <w:t xml:space="preserve"> </w:t>
      </w:r>
      <w:r w:rsidRPr="00E74C28">
        <w:rPr>
          <w:szCs w:val="20"/>
        </w:rPr>
        <w:t>“contest,”</w:t>
      </w:r>
      <w:r w:rsidR="00C64050">
        <w:rPr>
          <w:szCs w:val="20"/>
        </w:rPr>
        <w:t xml:space="preserve"> </w:t>
      </w:r>
      <w:r w:rsidRPr="00E74C28">
        <w:rPr>
          <w:szCs w:val="20"/>
        </w:rPr>
        <w:t>Eleanor</w:t>
      </w:r>
      <w:r w:rsidR="00C64050">
        <w:rPr>
          <w:szCs w:val="20"/>
        </w:rPr>
        <w:t xml:space="preserve"> </w:t>
      </w:r>
      <w:r w:rsidRPr="00E74C28">
        <w:rPr>
          <w:szCs w:val="20"/>
        </w:rPr>
        <w:t>lays</w:t>
      </w:r>
      <w:r w:rsidR="00C64050">
        <w:rPr>
          <w:szCs w:val="20"/>
        </w:rPr>
        <w:t xml:space="preserve"> </w:t>
      </w:r>
      <w:r w:rsidRPr="00E74C28">
        <w:rPr>
          <w:szCs w:val="20"/>
        </w:rPr>
        <w:t>emphasis</w:t>
      </w:r>
      <w:r w:rsidR="00C64050">
        <w:rPr>
          <w:szCs w:val="20"/>
        </w:rPr>
        <w:t xml:space="preserve"> </w:t>
      </w:r>
      <w:r w:rsidRPr="00E74C28">
        <w:rPr>
          <w:szCs w:val="20"/>
        </w:rPr>
        <w:t>on</w:t>
      </w:r>
      <w:r w:rsidR="00C64050">
        <w:rPr>
          <w:szCs w:val="20"/>
        </w:rPr>
        <w:t xml:space="preserve"> </w:t>
      </w:r>
      <w:r w:rsidRPr="00E74C28">
        <w:rPr>
          <w:szCs w:val="20"/>
        </w:rPr>
        <w:t>the</w:t>
      </w:r>
      <w:r w:rsidR="00C64050">
        <w:rPr>
          <w:szCs w:val="20"/>
        </w:rPr>
        <w:t xml:space="preserve"> </w:t>
      </w:r>
      <w:r w:rsidRPr="00E74C28">
        <w:rPr>
          <w:szCs w:val="20"/>
        </w:rPr>
        <w:t>proviso</w:t>
      </w:r>
      <w:r w:rsidR="00C64050">
        <w:rPr>
          <w:szCs w:val="20"/>
        </w:rPr>
        <w:t xml:space="preserve"> </w:t>
      </w:r>
      <w:r w:rsidRPr="00E74C28">
        <w:rPr>
          <w:szCs w:val="20"/>
        </w:rPr>
        <w:t>that</w:t>
      </w:r>
      <w:r w:rsidR="00C64050">
        <w:rPr>
          <w:szCs w:val="20"/>
        </w:rPr>
        <w:t xml:space="preserve"> </w:t>
      </w:r>
      <w:r w:rsidRPr="00E74C28">
        <w:rPr>
          <w:szCs w:val="20"/>
        </w:rPr>
        <w:t>follows.</w:t>
      </w:r>
      <w:r w:rsidR="00C64050">
        <w:rPr>
          <w:szCs w:val="20"/>
        </w:rPr>
        <w:t xml:space="preserve"> </w:t>
      </w:r>
      <w:r w:rsidRPr="00E74C28">
        <w:rPr>
          <w:szCs w:val="20"/>
        </w:rPr>
        <w:t>That</w:t>
      </w:r>
      <w:r w:rsidR="00C64050">
        <w:rPr>
          <w:szCs w:val="20"/>
        </w:rPr>
        <w:t xml:space="preserve"> </w:t>
      </w:r>
      <w:r w:rsidRPr="00E74C28">
        <w:rPr>
          <w:szCs w:val="20"/>
        </w:rPr>
        <w:t>proviso,</w:t>
      </w:r>
      <w:r w:rsidR="00C64050">
        <w:rPr>
          <w:szCs w:val="20"/>
        </w:rPr>
        <w:t xml:space="preserve"> </w:t>
      </w:r>
      <w:r w:rsidRPr="00E74C28">
        <w:rPr>
          <w:szCs w:val="20"/>
        </w:rPr>
        <w:t>broken</w:t>
      </w:r>
      <w:r w:rsidR="00C64050">
        <w:rPr>
          <w:szCs w:val="20"/>
        </w:rPr>
        <w:t xml:space="preserve"> </w:t>
      </w:r>
      <w:r w:rsidRPr="00E74C28">
        <w:rPr>
          <w:szCs w:val="20"/>
        </w:rPr>
        <w:t>out</w:t>
      </w:r>
      <w:r w:rsidR="00C64050">
        <w:rPr>
          <w:szCs w:val="20"/>
        </w:rPr>
        <w:t xml:space="preserve"> </w:t>
      </w:r>
      <w:r w:rsidRPr="00E74C28">
        <w:rPr>
          <w:szCs w:val="20"/>
        </w:rPr>
        <w:t>below</w:t>
      </w:r>
      <w:r w:rsidR="00C64050">
        <w:rPr>
          <w:szCs w:val="20"/>
        </w:rPr>
        <w:t xml:space="preserve"> </w:t>
      </w:r>
      <w:r w:rsidRPr="00E74C28">
        <w:rPr>
          <w:szCs w:val="20"/>
        </w:rPr>
        <w:t>for</w:t>
      </w:r>
      <w:r w:rsidR="00C64050">
        <w:rPr>
          <w:szCs w:val="20"/>
        </w:rPr>
        <w:t xml:space="preserve"> </w:t>
      </w:r>
      <w:r w:rsidRPr="00E74C28">
        <w:rPr>
          <w:szCs w:val="20"/>
        </w:rPr>
        <w:t>clarity,</w:t>
      </w:r>
      <w:r w:rsidR="00C64050">
        <w:rPr>
          <w:szCs w:val="20"/>
        </w:rPr>
        <w:t xml:space="preserve"> </w:t>
      </w:r>
      <w:r w:rsidRPr="00E74C28">
        <w:rPr>
          <w:szCs w:val="20"/>
        </w:rPr>
        <w:t>purports</w:t>
      </w:r>
      <w:r w:rsidR="00C64050">
        <w:rPr>
          <w:szCs w:val="20"/>
        </w:rPr>
        <w:t xml:space="preserve"> </w:t>
      </w:r>
      <w:r w:rsidRPr="00E74C28">
        <w:rPr>
          <w:szCs w:val="20"/>
        </w:rPr>
        <w:t>to</w:t>
      </w:r>
      <w:r w:rsidR="00C64050">
        <w:rPr>
          <w:szCs w:val="20"/>
        </w:rPr>
        <w:t xml:space="preserve"> </w:t>
      </w:r>
      <w:r w:rsidRPr="00E74C28">
        <w:rPr>
          <w:szCs w:val="20"/>
        </w:rPr>
        <w:t>recognize</w:t>
      </w:r>
      <w:r w:rsidR="00C64050">
        <w:rPr>
          <w:szCs w:val="20"/>
        </w:rPr>
        <w:t xml:space="preserve"> </w:t>
      </w:r>
      <w:r w:rsidRPr="00E74C28">
        <w:rPr>
          <w:szCs w:val="20"/>
        </w:rPr>
        <w:t>an</w:t>
      </w:r>
      <w:r w:rsidR="00C64050">
        <w:rPr>
          <w:szCs w:val="20"/>
        </w:rPr>
        <w:t xml:space="preserve"> </w:t>
      </w:r>
      <w:r w:rsidRPr="00E74C28">
        <w:rPr>
          <w:szCs w:val="20"/>
        </w:rPr>
        <w:t>exception</w:t>
      </w:r>
      <w:r w:rsidR="00C64050">
        <w:rPr>
          <w:szCs w:val="20"/>
        </w:rPr>
        <w:t xml:space="preserve"> </w:t>
      </w:r>
      <w:r w:rsidRPr="00E74C28">
        <w:rPr>
          <w:szCs w:val="20"/>
        </w:rPr>
        <w:t>to</w:t>
      </w:r>
      <w:r w:rsidR="00C64050">
        <w:rPr>
          <w:szCs w:val="20"/>
        </w:rPr>
        <w:t xml:space="preserve"> </w:t>
      </w:r>
      <w:r w:rsidRPr="00E74C28">
        <w:rPr>
          <w:szCs w:val="20"/>
        </w:rPr>
        <w:t>the</w:t>
      </w:r>
      <w:r w:rsidR="00C64050">
        <w:rPr>
          <w:szCs w:val="20"/>
        </w:rPr>
        <w:t xml:space="preserve"> </w:t>
      </w:r>
      <w:r w:rsidRPr="00E74C28">
        <w:rPr>
          <w:szCs w:val="20"/>
        </w:rPr>
        <w:t>no-contest</w:t>
      </w:r>
      <w:r w:rsidR="00C64050">
        <w:rPr>
          <w:szCs w:val="20"/>
        </w:rPr>
        <w:t xml:space="preserve"> </w:t>
      </w:r>
      <w:r w:rsidRPr="00E74C28">
        <w:rPr>
          <w:szCs w:val="20"/>
        </w:rPr>
        <w:t>provision:</w:t>
      </w:r>
    </w:p>
    <w:p w:rsidR="00E74C28" w:rsidRPr="00E74C28" w:rsidRDefault="00E74C28" w:rsidP="00E74C28">
      <w:pPr>
        <w:pStyle w:val="QS10"/>
        <w:ind w:left="2160"/>
        <w:rPr>
          <w:szCs w:val="20"/>
        </w:rPr>
      </w:pPr>
      <w:r w:rsidRPr="00E74C28">
        <w:rPr>
          <w:szCs w:val="20"/>
        </w:rPr>
        <w:t>•</w:t>
      </w:r>
      <w:r w:rsidR="00C64050">
        <w:rPr>
          <w:szCs w:val="20"/>
        </w:rPr>
        <w:t xml:space="preserve"> </w:t>
      </w:r>
      <w:r w:rsidRPr="00E74C28">
        <w:rPr>
          <w:rStyle w:val="Emphasis"/>
          <w:szCs w:val="20"/>
        </w:rPr>
        <w:t>provided</w:t>
      </w:r>
      <w:r w:rsidRPr="00E74C28">
        <w:rPr>
          <w:szCs w:val="20"/>
        </w:rPr>
        <w:t>,</w:t>
      </w:r>
      <w:r w:rsidR="00C64050">
        <w:rPr>
          <w:szCs w:val="20"/>
        </w:rPr>
        <w:t xml:space="preserve"> </w:t>
      </w:r>
      <w:r w:rsidRPr="00E74C28">
        <w:rPr>
          <w:szCs w:val="20"/>
        </w:rPr>
        <w:t>however</w:t>
      </w:r>
      <w:r w:rsidR="00C64050">
        <w:rPr>
          <w:szCs w:val="20"/>
        </w:rPr>
        <w:t xml:space="preserve"> </w:t>
      </w:r>
      <w:r w:rsidRPr="00E74C28">
        <w:rPr>
          <w:szCs w:val="20"/>
        </w:rPr>
        <w:t>that</w:t>
      </w:r>
      <w:r w:rsidR="00C64050">
        <w:rPr>
          <w:szCs w:val="20"/>
        </w:rPr>
        <w:t xml:space="preserve"> </w:t>
      </w:r>
      <w:r w:rsidRPr="00E74C28">
        <w:rPr>
          <w:szCs w:val="20"/>
        </w:rPr>
        <w:t>a</w:t>
      </w:r>
      <w:r w:rsidR="00C64050">
        <w:rPr>
          <w:szCs w:val="20"/>
        </w:rPr>
        <w:t xml:space="preserve"> </w:t>
      </w:r>
      <w:r w:rsidRPr="00E74C28">
        <w:rPr>
          <w:szCs w:val="20"/>
        </w:rPr>
        <w:t>petition</w:t>
      </w:r>
    </w:p>
    <w:p w:rsidR="00E74C28" w:rsidRPr="00E74C28" w:rsidRDefault="00E74C28" w:rsidP="00E74C28">
      <w:pPr>
        <w:pStyle w:val="QS10"/>
        <w:ind w:left="2592"/>
        <w:rPr>
          <w:szCs w:val="20"/>
        </w:rPr>
      </w:pPr>
      <w:r w:rsidRPr="00E74C28">
        <w:rPr>
          <w:szCs w:val="20"/>
        </w:rPr>
        <w:t>•</w:t>
      </w:r>
      <w:r w:rsidR="00C64050">
        <w:rPr>
          <w:szCs w:val="20"/>
        </w:rPr>
        <w:t xml:space="preserve"> </w:t>
      </w:r>
      <w:r w:rsidRPr="00E74C28">
        <w:rPr>
          <w:szCs w:val="20"/>
        </w:rPr>
        <w:t>made</w:t>
      </w:r>
      <w:r w:rsidR="00C64050">
        <w:rPr>
          <w:szCs w:val="20"/>
        </w:rPr>
        <w:t xml:space="preserve"> </w:t>
      </w:r>
      <w:r w:rsidRPr="00E74C28">
        <w:rPr>
          <w:szCs w:val="20"/>
        </w:rPr>
        <w:t>in</w:t>
      </w:r>
      <w:r w:rsidR="00C64050">
        <w:rPr>
          <w:szCs w:val="20"/>
        </w:rPr>
        <w:t xml:space="preserve"> </w:t>
      </w:r>
      <w:r w:rsidRPr="00E74C28">
        <w:rPr>
          <w:rStyle w:val="Emphasis"/>
          <w:szCs w:val="20"/>
        </w:rPr>
        <w:t>good</w:t>
      </w:r>
      <w:r w:rsidR="00C64050">
        <w:rPr>
          <w:rStyle w:val="Emphasis"/>
          <w:szCs w:val="20"/>
        </w:rPr>
        <w:t xml:space="preserve"> </w:t>
      </w:r>
      <w:r w:rsidRPr="00E74C28">
        <w:rPr>
          <w:rStyle w:val="Emphasis"/>
          <w:szCs w:val="20"/>
        </w:rPr>
        <w:t>faith</w:t>
      </w:r>
      <w:r w:rsidR="00C64050">
        <w:rPr>
          <w:szCs w:val="20"/>
        </w:rPr>
        <w:t xml:space="preserve"> </w:t>
      </w:r>
      <w:r w:rsidRPr="00E74C28">
        <w:rPr>
          <w:szCs w:val="20"/>
        </w:rPr>
        <w:t>and</w:t>
      </w:r>
    </w:p>
    <w:p w:rsidR="00E74C28" w:rsidRPr="00E74C28" w:rsidRDefault="00E74C28" w:rsidP="00E74C28">
      <w:pPr>
        <w:pStyle w:val="QS10"/>
        <w:ind w:left="2592"/>
        <w:rPr>
          <w:szCs w:val="20"/>
        </w:rPr>
      </w:pPr>
      <w:r w:rsidRPr="00E74C28">
        <w:rPr>
          <w:szCs w:val="20"/>
        </w:rPr>
        <w:t>•</w:t>
      </w:r>
      <w:r w:rsidR="00C64050">
        <w:rPr>
          <w:szCs w:val="20"/>
        </w:rPr>
        <w:t xml:space="preserve"> </w:t>
      </w:r>
      <w:r w:rsidRPr="00E74C28">
        <w:rPr>
          <w:rStyle w:val="Emphasis"/>
          <w:szCs w:val="20"/>
        </w:rPr>
        <w:t>not</w:t>
      </w:r>
      <w:r w:rsidR="00C64050">
        <w:rPr>
          <w:rStyle w:val="Emphasis"/>
          <w:szCs w:val="20"/>
        </w:rPr>
        <w:t xml:space="preserve"> </w:t>
      </w:r>
      <w:r w:rsidRPr="00E74C28">
        <w:rPr>
          <w:rStyle w:val="Emphasis"/>
          <w:szCs w:val="20"/>
        </w:rPr>
        <w:t>objected</w:t>
      </w:r>
      <w:r w:rsidR="00C64050">
        <w:rPr>
          <w:rStyle w:val="Emphasis"/>
          <w:szCs w:val="20"/>
        </w:rPr>
        <w:t xml:space="preserve"> </w:t>
      </w:r>
      <w:r w:rsidRPr="00E74C28">
        <w:rPr>
          <w:rStyle w:val="Emphasis"/>
          <w:szCs w:val="20"/>
        </w:rPr>
        <w:t>to</w:t>
      </w:r>
      <w:r w:rsidR="00C64050">
        <w:rPr>
          <w:rStyle w:val="Emphasis"/>
          <w:szCs w:val="20"/>
        </w:rPr>
        <w:t xml:space="preserve"> </w:t>
      </w:r>
      <w:r w:rsidRPr="00E74C28">
        <w:rPr>
          <w:rStyle w:val="Emphasis"/>
          <w:szCs w:val="20"/>
        </w:rPr>
        <w:t>by</w:t>
      </w:r>
      <w:r w:rsidR="00C64050">
        <w:rPr>
          <w:rStyle w:val="Emphasis"/>
          <w:szCs w:val="20"/>
        </w:rPr>
        <w:t xml:space="preserve"> </w:t>
      </w:r>
      <w:r w:rsidRPr="00E74C28">
        <w:rPr>
          <w:rStyle w:val="Emphasis"/>
          <w:szCs w:val="20"/>
        </w:rPr>
        <w:t>my</w:t>
      </w:r>
      <w:r w:rsidR="00C64050">
        <w:rPr>
          <w:rStyle w:val="Emphasis"/>
          <w:szCs w:val="20"/>
        </w:rPr>
        <w:t xml:space="preserve"> </w:t>
      </w:r>
      <w:r w:rsidRPr="00E74C28">
        <w:rPr>
          <w:rStyle w:val="Emphasis"/>
          <w:szCs w:val="20"/>
        </w:rPr>
        <w:t>Trustee</w:t>
      </w:r>
      <w:r w:rsidR="00C64050">
        <w:rPr>
          <w:szCs w:val="20"/>
        </w:rPr>
        <w:t xml:space="preserve"> </w:t>
      </w:r>
      <w:r w:rsidRPr="00E74C28">
        <w:rPr>
          <w:szCs w:val="20"/>
        </w:rPr>
        <w:t>hereunder,</w:t>
      </w:r>
    </w:p>
    <w:p w:rsidR="00E74C28" w:rsidRPr="00E74C28" w:rsidRDefault="00E74C28" w:rsidP="00E74C28">
      <w:pPr>
        <w:pStyle w:val="QS10"/>
        <w:ind w:left="2592"/>
        <w:rPr>
          <w:szCs w:val="20"/>
        </w:rPr>
      </w:pPr>
      <w:r w:rsidRPr="00E74C28">
        <w:rPr>
          <w:szCs w:val="20"/>
        </w:rPr>
        <w:t>•</w:t>
      </w:r>
      <w:r w:rsidR="00C64050">
        <w:rPr>
          <w:szCs w:val="20"/>
        </w:rPr>
        <w:t xml:space="preserve"> </w:t>
      </w:r>
      <w:r w:rsidRPr="00E74C28">
        <w:rPr>
          <w:szCs w:val="20"/>
        </w:rPr>
        <w:t>seeking</w:t>
      </w:r>
      <w:r w:rsidR="00C64050">
        <w:rPr>
          <w:szCs w:val="20"/>
        </w:rPr>
        <w:t xml:space="preserve"> </w:t>
      </w:r>
      <w:r w:rsidRPr="00E74C28">
        <w:rPr>
          <w:szCs w:val="20"/>
        </w:rPr>
        <w:t>an</w:t>
      </w:r>
      <w:r w:rsidR="00C64050">
        <w:rPr>
          <w:szCs w:val="20"/>
        </w:rPr>
        <w:t xml:space="preserve"> </w:t>
      </w:r>
      <w:r w:rsidRPr="00E74C28">
        <w:rPr>
          <w:rStyle w:val="Emphasis"/>
          <w:szCs w:val="20"/>
        </w:rPr>
        <w:t>interpretation</w:t>
      </w:r>
      <w:r w:rsidR="00C64050">
        <w:rPr>
          <w:szCs w:val="20"/>
        </w:rPr>
        <w:t xml:space="preserve"> </w:t>
      </w:r>
      <w:r w:rsidRPr="00E74C28">
        <w:rPr>
          <w:szCs w:val="20"/>
        </w:rPr>
        <w:t>of</w:t>
      </w:r>
      <w:r w:rsidR="00C64050">
        <w:rPr>
          <w:szCs w:val="20"/>
        </w:rPr>
        <w:t xml:space="preserve"> </w:t>
      </w:r>
      <w:r w:rsidRPr="00E74C28">
        <w:rPr>
          <w:szCs w:val="20"/>
        </w:rPr>
        <w:t>this</w:t>
      </w:r>
      <w:r w:rsidR="00C64050">
        <w:rPr>
          <w:szCs w:val="20"/>
        </w:rPr>
        <w:t xml:space="preserve"> </w:t>
      </w:r>
      <w:r w:rsidRPr="00E74C28">
        <w:rPr>
          <w:szCs w:val="20"/>
        </w:rPr>
        <w:t>or</w:t>
      </w:r>
      <w:r w:rsidR="00C64050">
        <w:rPr>
          <w:szCs w:val="20"/>
        </w:rPr>
        <w:t xml:space="preserve"> </w:t>
      </w:r>
      <w:r w:rsidRPr="00E74C28">
        <w:rPr>
          <w:szCs w:val="20"/>
        </w:rPr>
        <w:t>any</w:t>
      </w:r>
      <w:r w:rsidR="00C64050">
        <w:rPr>
          <w:szCs w:val="20"/>
        </w:rPr>
        <w:t xml:space="preserve"> </w:t>
      </w:r>
      <w:r w:rsidRPr="00E74C28">
        <w:rPr>
          <w:szCs w:val="20"/>
        </w:rPr>
        <w:t>other</w:t>
      </w:r>
      <w:r w:rsidR="00C64050">
        <w:rPr>
          <w:szCs w:val="20"/>
        </w:rPr>
        <w:t xml:space="preserve"> </w:t>
      </w:r>
      <w:r w:rsidRPr="00E74C28">
        <w:rPr>
          <w:szCs w:val="20"/>
        </w:rPr>
        <w:t>instrument,</w:t>
      </w:r>
    </w:p>
    <w:p w:rsidR="00E74C28" w:rsidRPr="00E74C28" w:rsidRDefault="00E74C28" w:rsidP="00E74C28">
      <w:pPr>
        <w:pStyle w:val="QS10"/>
        <w:ind w:left="2160"/>
        <w:rPr>
          <w:szCs w:val="20"/>
        </w:rPr>
      </w:pPr>
      <w:r w:rsidRPr="00E74C28">
        <w:rPr>
          <w:szCs w:val="20"/>
        </w:rPr>
        <w:t>•</w:t>
      </w:r>
      <w:r w:rsidR="00C64050">
        <w:rPr>
          <w:szCs w:val="20"/>
        </w:rPr>
        <w:t xml:space="preserve"> </w:t>
      </w:r>
      <w:r w:rsidRPr="00E74C28">
        <w:rPr>
          <w:szCs w:val="20"/>
        </w:rPr>
        <w:t>shall</w:t>
      </w:r>
      <w:r w:rsidR="00C64050">
        <w:rPr>
          <w:szCs w:val="20"/>
        </w:rPr>
        <w:t xml:space="preserve"> </w:t>
      </w:r>
      <w:r w:rsidRPr="00E74C28">
        <w:rPr>
          <w:szCs w:val="20"/>
        </w:rPr>
        <w:t>not</w:t>
      </w:r>
      <w:r w:rsidR="00C64050">
        <w:rPr>
          <w:szCs w:val="20"/>
        </w:rPr>
        <w:t xml:space="preserve"> </w:t>
      </w:r>
      <w:r w:rsidRPr="00E74C28">
        <w:rPr>
          <w:szCs w:val="20"/>
        </w:rPr>
        <w:t>be</w:t>
      </w:r>
      <w:r w:rsidR="00C64050">
        <w:rPr>
          <w:szCs w:val="20"/>
        </w:rPr>
        <w:t xml:space="preserve"> </w:t>
      </w:r>
      <w:r w:rsidRPr="00E74C28">
        <w:rPr>
          <w:szCs w:val="20"/>
        </w:rPr>
        <w:t>considered</w:t>
      </w:r>
      <w:r w:rsidR="00C64050">
        <w:rPr>
          <w:szCs w:val="20"/>
        </w:rPr>
        <w:t xml:space="preserve"> </w:t>
      </w:r>
      <w:r w:rsidRPr="00E74C28">
        <w:rPr>
          <w:szCs w:val="20"/>
        </w:rPr>
        <w:t>a</w:t>
      </w:r>
      <w:r w:rsidR="00C64050">
        <w:rPr>
          <w:szCs w:val="20"/>
        </w:rPr>
        <w:t xml:space="preserve"> </w:t>
      </w:r>
      <w:r w:rsidRPr="00E74C28">
        <w:rPr>
          <w:szCs w:val="20"/>
        </w:rPr>
        <w:t>contest</w:t>
      </w:r>
      <w:r w:rsidR="00C64050">
        <w:rPr>
          <w:szCs w:val="20"/>
        </w:rPr>
        <w:t xml:space="preserve"> </w:t>
      </w:r>
      <w:r w:rsidRPr="00E74C28">
        <w:rPr>
          <w:szCs w:val="20"/>
        </w:rPr>
        <w:t>of</w:t>
      </w:r>
      <w:r w:rsidR="00C64050">
        <w:rPr>
          <w:szCs w:val="20"/>
        </w:rPr>
        <w:t xml:space="preserve"> </w:t>
      </w:r>
      <w:r w:rsidRPr="00E74C28">
        <w:rPr>
          <w:szCs w:val="20"/>
        </w:rPr>
        <w:t>such</w:t>
      </w:r>
      <w:r w:rsidR="00C64050">
        <w:rPr>
          <w:szCs w:val="20"/>
        </w:rPr>
        <w:t xml:space="preserve"> </w:t>
      </w:r>
      <w:r w:rsidRPr="00E74C28">
        <w:rPr>
          <w:szCs w:val="20"/>
        </w:rPr>
        <w:t>instrument.</w:t>
      </w:r>
    </w:p>
    <w:p w:rsidR="00E74C28" w:rsidRPr="00E74C28" w:rsidRDefault="00E74C28" w:rsidP="00E74C28">
      <w:pPr>
        <w:pStyle w:val="QS10"/>
        <w:rPr>
          <w:szCs w:val="20"/>
        </w:rPr>
      </w:pPr>
      <w:r w:rsidRPr="00E74C28">
        <w:rPr>
          <w:rStyle w:val="Emphasis"/>
          <w:szCs w:val="20"/>
        </w:rPr>
        <w:t>See</w:t>
      </w:r>
      <w:r w:rsidR="00C64050">
        <w:rPr>
          <w:szCs w:val="20"/>
        </w:rPr>
        <w:t xml:space="preserve"> </w:t>
      </w:r>
      <w:r w:rsidRPr="00E74C28">
        <w:rPr>
          <w:szCs w:val="20"/>
        </w:rPr>
        <w:t>J.A.</w:t>
      </w:r>
      <w:r w:rsidR="00C64050">
        <w:rPr>
          <w:szCs w:val="20"/>
        </w:rPr>
        <w:t xml:space="preserve"> </w:t>
      </w:r>
      <w:r w:rsidRPr="00E74C28">
        <w:rPr>
          <w:szCs w:val="20"/>
        </w:rPr>
        <w:t>at</w:t>
      </w:r>
      <w:r w:rsidR="00C64050">
        <w:rPr>
          <w:szCs w:val="20"/>
        </w:rPr>
        <w:t xml:space="preserve"> </w:t>
      </w:r>
      <w:r w:rsidRPr="00E74C28">
        <w:rPr>
          <w:szCs w:val="20"/>
        </w:rPr>
        <w:t>255</w:t>
      </w:r>
      <w:r w:rsidR="00C64050">
        <w:rPr>
          <w:szCs w:val="20"/>
        </w:rPr>
        <w:t xml:space="preserve"> </w:t>
      </w:r>
      <w:r w:rsidRPr="00E74C28">
        <w:rPr>
          <w:szCs w:val="20"/>
        </w:rPr>
        <w:t>(emphases</w:t>
      </w:r>
      <w:r w:rsidR="00C64050">
        <w:rPr>
          <w:szCs w:val="20"/>
        </w:rPr>
        <w:t xml:space="preserve"> </w:t>
      </w:r>
      <w:r w:rsidRPr="00E74C28">
        <w:rPr>
          <w:szCs w:val="20"/>
        </w:rPr>
        <w:t>added).</w:t>
      </w:r>
      <w:r w:rsidR="00C64050">
        <w:rPr>
          <w:szCs w:val="20"/>
        </w:rPr>
        <w:t xml:space="preserve"> </w:t>
      </w:r>
      <w:r w:rsidRPr="00E74C28">
        <w:rPr>
          <w:szCs w:val="20"/>
        </w:rPr>
        <w:t>Eleanor</w:t>
      </w:r>
      <w:r w:rsidR="00C64050">
        <w:rPr>
          <w:szCs w:val="20"/>
        </w:rPr>
        <w:t xml:space="preserve"> </w:t>
      </w:r>
      <w:r w:rsidRPr="00E74C28">
        <w:rPr>
          <w:szCs w:val="20"/>
        </w:rPr>
        <w:t>argues</w:t>
      </w:r>
      <w:r w:rsidR="00C64050">
        <w:rPr>
          <w:szCs w:val="20"/>
        </w:rPr>
        <w:t xml:space="preserve"> </w:t>
      </w:r>
      <w:r w:rsidRPr="00E74C28">
        <w:rPr>
          <w:szCs w:val="20"/>
        </w:rPr>
        <w:t>that</w:t>
      </w:r>
      <w:r w:rsidR="00C64050">
        <w:rPr>
          <w:szCs w:val="20"/>
        </w:rPr>
        <w:t xml:space="preserve"> </w:t>
      </w:r>
      <w:r w:rsidRPr="00E74C28">
        <w:rPr>
          <w:szCs w:val="20"/>
        </w:rPr>
        <w:t>this</w:t>
      </w:r>
      <w:r w:rsidR="00C64050">
        <w:rPr>
          <w:szCs w:val="20"/>
        </w:rPr>
        <w:t xml:space="preserve"> </w:t>
      </w:r>
      <w:r w:rsidRPr="00E74C28">
        <w:rPr>
          <w:szCs w:val="20"/>
        </w:rPr>
        <w:t>proviso</w:t>
      </w:r>
      <w:r w:rsidR="00C64050">
        <w:rPr>
          <w:szCs w:val="20"/>
        </w:rPr>
        <w:t xml:space="preserve"> </w:t>
      </w:r>
      <w:r w:rsidRPr="00E74C28">
        <w:rPr>
          <w:szCs w:val="20"/>
        </w:rPr>
        <w:t>extends</w:t>
      </w:r>
      <w:r w:rsidR="00C64050">
        <w:rPr>
          <w:szCs w:val="20"/>
        </w:rPr>
        <w:t xml:space="preserve"> </w:t>
      </w:r>
      <w:r w:rsidRPr="00E74C28">
        <w:rPr>
          <w:szCs w:val="20"/>
        </w:rPr>
        <w:t>the</w:t>
      </w:r>
      <w:r w:rsidR="00C64050">
        <w:rPr>
          <w:szCs w:val="20"/>
        </w:rPr>
        <w:t xml:space="preserve"> </w:t>
      </w:r>
      <w:r w:rsidRPr="00E74C28">
        <w:rPr>
          <w:szCs w:val="20"/>
        </w:rPr>
        <w:t>no-contest</w:t>
      </w:r>
      <w:r w:rsidR="00C64050">
        <w:rPr>
          <w:szCs w:val="20"/>
        </w:rPr>
        <w:t xml:space="preserve"> </w:t>
      </w:r>
      <w:r w:rsidRPr="00E74C28">
        <w:rPr>
          <w:szCs w:val="20"/>
        </w:rPr>
        <w:t>provision</w:t>
      </w:r>
      <w:r w:rsidR="00C64050">
        <w:rPr>
          <w:szCs w:val="20"/>
        </w:rPr>
        <w:t xml:space="preserve"> </w:t>
      </w:r>
      <w:r w:rsidRPr="00E74C28">
        <w:rPr>
          <w:szCs w:val="20"/>
        </w:rPr>
        <w:t>to</w:t>
      </w:r>
      <w:r w:rsidR="00C64050">
        <w:rPr>
          <w:szCs w:val="20"/>
        </w:rPr>
        <w:t xml:space="preserve"> </w:t>
      </w:r>
      <w:r w:rsidRPr="00E74C28">
        <w:rPr>
          <w:szCs w:val="20"/>
        </w:rPr>
        <w:t>a</w:t>
      </w:r>
      <w:r w:rsidR="00C64050">
        <w:rPr>
          <w:szCs w:val="20"/>
        </w:rPr>
        <w:t xml:space="preserve"> </w:t>
      </w:r>
      <w:r w:rsidRPr="00E74C28">
        <w:rPr>
          <w:szCs w:val="20"/>
        </w:rPr>
        <w:t>beneficiary’s</w:t>
      </w:r>
      <w:r w:rsidR="00C64050">
        <w:rPr>
          <w:szCs w:val="20"/>
        </w:rPr>
        <w:t xml:space="preserve"> </w:t>
      </w:r>
      <w:r w:rsidRPr="00E74C28">
        <w:rPr>
          <w:szCs w:val="20"/>
        </w:rPr>
        <w:t>good</w:t>
      </w:r>
      <w:r w:rsidR="00C64050">
        <w:rPr>
          <w:szCs w:val="20"/>
        </w:rPr>
        <w:t xml:space="preserve"> </w:t>
      </w:r>
      <w:r w:rsidRPr="00E74C28">
        <w:rPr>
          <w:szCs w:val="20"/>
        </w:rPr>
        <w:t>faith</w:t>
      </w:r>
      <w:r w:rsidR="00C64050">
        <w:rPr>
          <w:szCs w:val="20"/>
        </w:rPr>
        <w:t xml:space="preserve"> </w:t>
      </w:r>
      <w:r w:rsidRPr="00E74C28">
        <w:rPr>
          <w:szCs w:val="20"/>
        </w:rPr>
        <w:t>petition</w:t>
      </w:r>
      <w:r w:rsidR="00C64050">
        <w:rPr>
          <w:szCs w:val="20"/>
        </w:rPr>
        <w:t xml:space="preserve"> </w:t>
      </w:r>
      <w:r w:rsidRPr="00E74C28">
        <w:rPr>
          <w:szCs w:val="20"/>
        </w:rPr>
        <w:t>for</w:t>
      </w:r>
      <w:r w:rsidR="00C64050">
        <w:rPr>
          <w:szCs w:val="20"/>
        </w:rPr>
        <w:t xml:space="preserve"> </w:t>
      </w:r>
      <w:r w:rsidRPr="00E74C28">
        <w:rPr>
          <w:szCs w:val="20"/>
        </w:rPr>
        <w:t>a</w:t>
      </w:r>
      <w:r w:rsidR="00C64050">
        <w:rPr>
          <w:szCs w:val="20"/>
        </w:rPr>
        <w:t xml:space="preserve"> </w:t>
      </w:r>
      <w:r w:rsidRPr="00E74C28">
        <w:rPr>
          <w:szCs w:val="20"/>
        </w:rPr>
        <w:t>judicial</w:t>
      </w:r>
      <w:r w:rsidR="00C64050">
        <w:rPr>
          <w:szCs w:val="20"/>
        </w:rPr>
        <w:t xml:space="preserve"> </w:t>
      </w:r>
      <w:r w:rsidRPr="00E74C28">
        <w:rPr>
          <w:szCs w:val="20"/>
        </w:rPr>
        <w:t>interpretation</w:t>
      </w:r>
      <w:r w:rsidR="00C64050">
        <w:rPr>
          <w:szCs w:val="20"/>
        </w:rPr>
        <w:t xml:space="preserve"> </w:t>
      </w:r>
      <w:r w:rsidRPr="00E74C28">
        <w:rPr>
          <w:szCs w:val="20"/>
        </w:rPr>
        <w:t>of</w:t>
      </w:r>
      <w:r w:rsidR="00C64050">
        <w:rPr>
          <w:szCs w:val="20"/>
        </w:rPr>
        <w:t xml:space="preserve"> </w:t>
      </w:r>
      <w:r w:rsidRPr="00E74C28">
        <w:rPr>
          <w:szCs w:val="20"/>
        </w:rPr>
        <w:t>the</w:t>
      </w:r>
      <w:r w:rsidR="00C64050">
        <w:rPr>
          <w:szCs w:val="20"/>
        </w:rPr>
        <w:t xml:space="preserve"> </w:t>
      </w:r>
      <w:r w:rsidRPr="00E74C28">
        <w:rPr>
          <w:szCs w:val="20"/>
        </w:rPr>
        <w:t>trust</w:t>
      </w:r>
      <w:r w:rsidR="00C64050">
        <w:rPr>
          <w:szCs w:val="20"/>
        </w:rPr>
        <w:t xml:space="preserve"> </w:t>
      </w:r>
      <w:r w:rsidRPr="00E74C28">
        <w:rPr>
          <w:szCs w:val="20"/>
        </w:rPr>
        <w:t>if</w:t>
      </w:r>
      <w:r w:rsidR="00C64050">
        <w:rPr>
          <w:szCs w:val="20"/>
        </w:rPr>
        <w:t xml:space="preserve"> </w:t>
      </w:r>
      <w:r w:rsidRPr="00E74C28">
        <w:rPr>
          <w:szCs w:val="20"/>
        </w:rPr>
        <w:t>she,</w:t>
      </w:r>
      <w:r w:rsidR="00C64050">
        <w:rPr>
          <w:szCs w:val="20"/>
        </w:rPr>
        <w:t xml:space="preserve"> </w:t>
      </w:r>
      <w:r w:rsidRPr="00E74C28">
        <w:rPr>
          <w:szCs w:val="20"/>
        </w:rPr>
        <w:t>as</w:t>
      </w:r>
      <w:r w:rsidR="00C64050">
        <w:rPr>
          <w:szCs w:val="20"/>
        </w:rPr>
        <w:t xml:space="preserve"> </w:t>
      </w:r>
      <w:r w:rsidRPr="00E74C28">
        <w:rPr>
          <w:szCs w:val="20"/>
        </w:rPr>
        <w:t>trustee,</w:t>
      </w:r>
      <w:r w:rsidR="00C64050">
        <w:rPr>
          <w:szCs w:val="20"/>
        </w:rPr>
        <w:t xml:space="preserve"> </w:t>
      </w:r>
      <w:r w:rsidRPr="00E74C28">
        <w:rPr>
          <w:szCs w:val="20"/>
        </w:rPr>
        <w:t>objects</w:t>
      </w:r>
      <w:r w:rsidR="00C64050">
        <w:rPr>
          <w:szCs w:val="20"/>
        </w:rPr>
        <w:t xml:space="preserve"> </w:t>
      </w:r>
      <w:r w:rsidRPr="00E74C28">
        <w:rPr>
          <w:szCs w:val="20"/>
        </w:rPr>
        <w:t>to</w:t>
      </w:r>
      <w:r w:rsidR="00C64050">
        <w:rPr>
          <w:szCs w:val="20"/>
        </w:rPr>
        <w:t xml:space="preserve"> </w:t>
      </w:r>
      <w:r w:rsidRPr="00E74C28">
        <w:rPr>
          <w:szCs w:val="20"/>
        </w:rPr>
        <w:t>the</w:t>
      </w:r>
      <w:r w:rsidR="00C64050">
        <w:rPr>
          <w:szCs w:val="20"/>
        </w:rPr>
        <w:t xml:space="preserve"> </w:t>
      </w:r>
      <w:r w:rsidRPr="00E74C28">
        <w:rPr>
          <w:szCs w:val="20"/>
        </w:rPr>
        <w:t>request.</w:t>
      </w:r>
      <w:r w:rsidR="00C64050">
        <w:rPr>
          <w:szCs w:val="20"/>
        </w:rPr>
        <w:t xml:space="preserve"> </w:t>
      </w:r>
      <w:r w:rsidRPr="00E74C28">
        <w:rPr>
          <w:szCs w:val="20"/>
        </w:rPr>
        <w:t>To</w:t>
      </w:r>
      <w:r w:rsidR="00C64050">
        <w:rPr>
          <w:szCs w:val="20"/>
        </w:rPr>
        <w:t xml:space="preserve"> </w:t>
      </w:r>
      <w:r w:rsidRPr="00E74C28">
        <w:rPr>
          <w:szCs w:val="20"/>
        </w:rPr>
        <w:t>her,</w:t>
      </w:r>
      <w:r w:rsidR="00C64050">
        <w:rPr>
          <w:szCs w:val="20"/>
        </w:rPr>
        <w:t xml:space="preserve"> </w:t>
      </w:r>
      <w:r w:rsidRPr="00E74C28">
        <w:rPr>
          <w:szCs w:val="20"/>
        </w:rPr>
        <w:t>the</w:t>
      </w:r>
      <w:r w:rsidR="00C64050">
        <w:rPr>
          <w:szCs w:val="20"/>
        </w:rPr>
        <w:t xml:space="preserve"> </w:t>
      </w:r>
      <w:r w:rsidRPr="00E74C28">
        <w:rPr>
          <w:szCs w:val="20"/>
        </w:rPr>
        <w:t>meaning</w:t>
      </w:r>
      <w:r w:rsidR="00C64050">
        <w:rPr>
          <w:szCs w:val="20"/>
        </w:rPr>
        <w:t xml:space="preserve"> </w:t>
      </w:r>
      <w:r w:rsidRPr="00E74C28">
        <w:rPr>
          <w:szCs w:val="20"/>
        </w:rPr>
        <w:t>of</w:t>
      </w:r>
      <w:r w:rsidR="00C64050">
        <w:rPr>
          <w:szCs w:val="20"/>
        </w:rPr>
        <w:t xml:space="preserve"> </w:t>
      </w:r>
      <w:r w:rsidRPr="00E74C28">
        <w:rPr>
          <w:szCs w:val="20"/>
        </w:rPr>
        <w:t>the</w:t>
      </w:r>
      <w:r w:rsidR="00C64050">
        <w:rPr>
          <w:szCs w:val="20"/>
        </w:rPr>
        <w:t xml:space="preserve"> </w:t>
      </w:r>
      <w:r w:rsidRPr="00E74C28">
        <w:rPr>
          <w:szCs w:val="20"/>
        </w:rPr>
        <w:t>provision</w:t>
      </w:r>
      <w:r w:rsidR="00C64050">
        <w:rPr>
          <w:szCs w:val="20"/>
        </w:rPr>
        <w:t xml:space="preserve"> </w:t>
      </w:r>
      <w:r w:rsidRPr="00E74C28">
        <w:rPr>
          <w:szCs w:val="20"/>
        </w:rPr>
        <w:t>is</w:t>
      </w:r>
      <w:r w:rsidR="00C64050">
        <w:rPr>
          <w:szCs w:val="20"/>
        </w:rPr>
        <w:t xml:space="preserve"> </w:t>
      </w:r>
      <w:r w:rsidRPr="00E74C28">
        <w:rPr>
          <w:szCs w:val="20"/>
        </w:rPr>
        <w:t>quite</w:t>
      </w:r>
      <w:r w:rsidR="00C64050">
        <w:rPr>
          <w:szCs w:val="20"/>
        </w:rPr>
        <w:t xml:space="preserve"> </w:t>
      </w:r>
      <w:r w:rsidRPr="00E74C28">
        <w:rPr>
          <w:szCs w:val="20"/>
        </w:rPr>
        <w:t>clear:</w:t>
      </w:r>
      <w:r w:rsidR="00C64050">
        <w:rPr>
          <w:szCs w:val="20"/>
        </w:rPr>
        <w:t xml:space="preserve"> </w:t>
      </w:r>
      <w:r w:rsidRPr="00E74C28">
        <w:rPr>
          <w:szCs w:val="20"/>
        </w:rPr>
        <w:t>A</w:t>
      </w:r>
      <w:r w:rsidR="00C64050">
        <w:rPr>
          <w:szCs w:val="20"/>
        </w:rPr>
        <w:t xml:space="preserve"> </w:t>
      </w:r>
      <w:r w:rsidRPr="00E74C28">
        <w:rPr>
          <w:szCs w:val="20"/>
        </w:rPr>
        <w:t>request</w:t>
      </w:r>
      <w:r w:rsidR="00C64050">
        <w:rPr>
          <w:szCs w:val="20"/>
        </w:rPr>
        <w:t xml:space="preserve"> </w:t>
      </w:r>
      <w:r w:rsidRPr="00E74C28">
        <w:rPr>
          <w:szCs w:val="20"/>
        </w:rPr>
        <w:t>for</w:t>
      </w:r>
      <w:r w:rsidR="00C64050">
        <w:rPr>
          <w:szCs w:val="20"/>
        </w:rPr>
        <w:t xml:space="preserve"> </w:t>
      </w:r>
      <w:r w:rsidRPr="00E74C28">
        <w:rPr>
          <w:szCs w:val="20"/>
        </w:rPr>
        <w:t>a</w:t>
      </w:r>
      <w:r w:rsidR="00C64050">
        <w:rPr>
          <w:szCs w:val="20"/>
        </w:rPr>
        <w:t xml:space="preserve"> </w:t>
      </w:r>
      <w:r w:rsidRPr="00E74C28">
        <w:rPr>
          <w:szCs w:val="20"/>
        </w:rPr>
        <w:t>judicial</w:t>
      </w:r>
      <w:r w:rsidR="00C64050">
        <w:rPr>
          <w:szCs w:val="20"/>
        </w:rPr>
        <w:t xml:space="preserve"> </w:t>
      </w:r>
      <w:r w:rsidRPr="00E74C28">
        <w:rPr>
          <w:szCs w:val="20"/>
        </w:rPr>
        <w:t>interpretation</w:t>
      </w:r>
      <w:r w:rsidR="00C64050">
        <w:rPr>
          <w:szCs w:val="20"/>
        </w:rPr>
        <w:t xml:space="preserve"> </w:t>
      </w:r>
      <w:r w:rsidRPr="00E74C28">
        <w:rPr>
          <w:szCs w:val="20"/>
        </w:rPr>
        <w:t>of</w:t>
      </w:r>
      <w:r w:rsidR="00C64050">
        <w:rPr>
          <w:szCs w:val="20"/>
        </w:rPr>
        <w:t xml:space="preserve"> </w:t>
      </w:r>
      <w:r w:rsidRPr="00E74C28">
        <w:rPr>
          <w:szCs w:val="20"/>
        </w:rPr>
        <w:t>the</w:t>
      </w:r>
      <w:r w:rsidR="00C64050">
        <w:rPr>
          <w:szCs w:val="20"/>
        </w:rPr>
        <w:t xml:space="preserve"> </w:t>
      </w:r>
      <w:r w:rsidRPr="00E74C28">
        <w:rPr>
          <w:szCs w:val="20"/>
        </w:rPr>
        <w:t>trust</w:t>
      </w:r>
      <w:r w:rsidR="00C64050">
        <w:rPr>
          <w:szCs w:val="20"/>
        </w:rPr>
        <w:t xml:space="preserve"> </w:t>
      </w:r>
      <w:r w:rsidRPr="00E74C28">
        <w:rPr>
          <w:szCs w:val="20"/>
        </w:rPr>
        <w:t>constitutes</w:t>
      </w:r>
      <w:r w:rsidR="00C64050">
        <w:rPr>
          <w:szCs w:val="20"/>
        </w:rPr>
        <w:t xml:space="preserve"> </w:t>
      </w:r>
      <w:r w:rsidRPr="00E74C28">
        <w:rPr>
          <w:szCs w:val="20"/>
        </w:rPr>
        <w:t>a</w:t>
      </w:r>
      <w:r w:rsidR="00C64050">
        <w:rPr>
          <w:szCs w:val="20"/>
        </w:rPr>
        <w:t xml:space="preserve"> </w:t>
      </w:r>
      <w:r w:rsidRPr="00E74C28">
        <w:rPr>
          <w:szCs w:val="20"/>
        </w:rPr>
        <w:t>contest</w:t>
      </w:r>
      <w:r w:rsidR="00C64050">
        <w:rPr>
          <w:szCs w:val="20"/>
        </w:rPr>
        <w:t xml:space="preserve"> </w:t>
      </w:r>
      <w:r w:rsidRPr="00E74C28">
        <w:rPr>
          <w:szCs w:val="20"/>
        </w:rPr>
        <w:t>triggering</w:t>
      </w:r>
      <w:r w:rsidR="00C64050">
        <w:rPr>
          <w:szCs w:val="20"/>
        </w:rPr>
        <w:t xml:space="preserve"> </w:t>
      </w:r>
      <w:r w:rsidRPr="00E74C28">
        <w:rPr>
          <w:szCs w:val="20"/>
        </w:rPr>
        <w:t>forfeiture</w:t>
      </w:r>
      <w:r w:rsidR="00C64050">
        <w:rPr>
          <w:szCs w:val="20"/>
        </w:rPr>
        <w:t xml:space="preserve"> </w:t>
      </w:r>
      <w:r w:rsidRPr="00E74C28">
        <w:rPr>
          <w:szCs w:val="20"/>
        </w:rPr>
        <w:t>so</w:t>
      </w:r>
      <w:r w:rsidR="00C64050">
        <w:rPr>
          <w:szCs w:val="20"/>
        </w:rPr>
        <w:t xml:space="preserve"> </w:t>
      </w:r>
      <w:r w:rsidRPr="00E74C28">
        <w:rPr>
          <w:szCs w:val="20"/>
        </w:rPr>
        <w:t>long</w:t>
      </w:r>
      <w:r w:rsidR="00C64050">
        <w:rPr>
          <w:szCs w:val="20"/>
        </w:rPr>
        <w:t xml:space="preserve"> </w:t>
      </w:r>
      <w:r w:rsidRPr="00E74C28">
        <w:rPr>
          <w:szCs w:val="20"/>
        </w:rPr>
        <w:t>as</w:t>
      </w:r>
      <w:r w:rsidR="00C64050">
        <w:rPr>
          <w:szCs w:val="20"/>
        </w:rPr>
        <w:t xml:space="preserve"> </w:t>
      </w:r>
      <w:r w:rsidRPr="00E74C28">
        <w:rPr>
          <w:szCs w:val="20"/>
        </w:rPr>
        <w:t>she</w:t>
      </w:r>
      <w:r w:rsidR="00C64050">
        <w:rPr>
          <w:szCs w:val="20"/>
        </w:rPr>
        <w:t xml:space="preserve"> </w:t>
      </w:r>
      <w:r w:rsidRPr="00E74C28">
        <w:rPr>
          <w:szCs w:val="20"/>
        </w:rPr>
        <w:t>says</w:t>
      </w:r>
      <w:r w:rsidR="00C64050">
        <w:rPr>
          <w:szCs w:val="20"/>
        </w:rPr>
        <w:t xml:space="preserve"> </w:t>
      </w:r>
      <w:r w:rsidRPr="00E74C28">
        <w:rPr>
          <w:szCs w:val="20"/>
        </w:rPr>
        <w:t>so.</w:t>
      </w:r>
      <w:r w:rsidR="00C64050">
        <w:rPr>
          <w:szCs w:val="20"/>
        </w:rPr>
        <w:t xml:space="preserve"> </w:t>
      </w:r>
      <w:r w:rsidRPr="00E74C28">
        <w:rPr>
          <w:szCs w:val="20"/>
        </w:rPr>
        <w:t>We</w:t>
      </w:r>
      <w:r w:rsidR="00C64050">
        <w:rPr>
          <w:szCs w:val="20"/>
        </w:rPr>
        <w:t xml:space="preserve"> </w:t>
      </w:r>
      <w:r w:rsidRPr="00E74C28">
        <w:rPr>
          <w:szCs w:val="20"/>
        </w:rPr>
        <w:t>have</w:t>
      </w:r>
      <w:r w:rsidR="00C64050">
        <w:rPr>
          <w:szCs w:val="20"/>
        </w:rPr>
        <w:t xml:space="preserve"> </w:t>
      </w:r>
      <w:r w:rsidRPr="00E74C28">
        <w:rPr>
          <w:szCs w:val="20"/>
        </w:rPr>
        <w:t>several</w:t>
      </w:r>
      <w:r w:rsidR="00C64050">
        <w:rPr>
          <w:szCs w:val="20"/>
        </w:rPr>
        <w:t xml:space="preserve"> </w:t>
      </w:r>
      <w:r w:rsidRPr="00E74C28">
        <w:rPr>
          <w:szCs w:val="20"/>
        </w:rPr>
        <w:t>concerns</w:t>
      </w:r>
      <w:r w:rsidR="00C64050">
        <w:rPr>
          <w:szCs w:val="20"/>
        </w:rPr>
        <w:t xml:space="preserve"> </w:t>
      </w:r>
      <w:r w:rsidRPr="00E74C28">
        <w:rPr>
          <w:szCs w:val="20"/>
        </w:rPr>
        <w:t>about</w:t>
      </w:r>
      <w:r w:rsidR="00C64050">
        <w:rPr>
          <w:szCs w:val="20"/>
        </w:rPr>
        <w:t xml:space="preserve"> </w:t>
      </w:r>
      <w:r w:rsidRPr="00E74C28">
        <w:rPr>
          <w:szCs w:val="20"/>
        </w:rPr>
        <w:t>this</w:t>
      </w:r>
      <w:r w:rsidR="00C64050">
        <w:rPr>
          <w:szCs w:val="20"/>
        </w:rPr>
        <w:t xml:space="preserve"> </w:t>
      </w:r>
      <w:r w:rsidRPr="00E74C28">
        <w:rPr>
          <w:szCs w:val="20"/>
        </w:rPr>
        <w:t>argument.</w:t>
      </w:r>
    </w:p>
    <w:p w:rsidR="00E74C28" w:rsidRPr="00E74C28" w:rsidRDefault="00E74C28" w:rsidP="00E74C28">
      <w:pPr>
        <w:pStyle w:val="QS10"/>
        <w:rPr>
          <w:szCs w:val="20"/>
        </w:rPr>
      </w:pPr>
      <w:r w:rsidRPr="00E74C28">
        <w:rPr>
          <w:szCs w:val="20"/>
        </w:rPr>
        <w:t>To</w:t>
      </w:r>
      <w:r w:rsidR="00C64050">
        <w:rPr>
          <w:szCs w:val="20"/>
        </w:rPr>
        <w:t xml:space="preserve"> </w:t>
      </w:r>
      <w:r w:rsidRPr="00E74C28">
        <w:rPr>
          <w:szCs w:val="20"/>
        </w:rPr>
        <w:t>begin,</w:t>
      </w:r>
      <w:r w:rsidR="00C64050">
        <w:rPr>
          <w:szCs w:val="20"/>
        </w:rPr>
        <w:t xml:space="preserve"> </w:t>
      </w:r>
      <w:r w:rsidRPr="00E74C28">
        <w:rPr>
          <w:szCs w:val="20"/>
        </w:rPr>
        <w:t>we</w:t>
      </w:r>
      <w:r w:rsidR="00C64050">
        <w:rPr>
          <w:szCs w:val="20"/>
        </w:rPr>
        <w:t xml:space="preserve"> </w:t>
      </w:r>
      <w:r w:rsidRPr="00E74C28">
        <w:rPr>
          <w:szCs w:val="20"/>
        </w:rPr>
        <w:t>have</w:t>
      </w:r>
      <w:r w:rsidR="00C64050">
        <w:rPr>
          <w:szCs w:val="20"/>
        </w:rPr>
        <w:t xml:space="preserve"> </w:t>
      </w:r>
      <w:r w:rsidRPr="00E74C28">
        <w:rPr>
          <w:szCs w:val="20"/>
        </w:rPr>
        <w:t>never</w:t>
      </w:r>
      <w:r w:rsidR="00C64050">
        <w:rPr>
          <w:szCs w:val="20"/>
        </w:rPr>
        <w:t xml:space="preserve"> </w:t>
      </w:r>
      <w:r w:rsidRPr="00E74C28">
        <w:rPr>
          <w:szCs w:val="20"/>
        </w:rPr>
        <w:t>addressed</w:t>
      </w:r>
      <w:r w:rsidR="00C64050">
        <w:rPr>
          <w:szCs w:val="20"/>
        </w:rPr>
        <w:t xml:space="preserve"> </w:t>
      </w:r>
      <w:r w:rsidRPr="00E74C28">
        <w:rPr>
          <w:szCs w:val="20"/>
        </w:rPr>
        <w:t>(much</w:t>
      </w:r>
      <w:r w:rsidR="00C64050">
        <w:rPr>
          <w:szCs w:val="20"/>
        </w:rPr>
        <w:t xml:space="preserve"> </w:t>
      </w:r>
      <w:r w:rsidRPr="00E74C28">
        <w:rPr>
          <w:szCs w:val="20"/>
        </w:rPr>
        <w:t>less</w:t>
      </w:r>
      <w:r w:rsidR="00C64050">
        <w:rPr>
          <w:szCs w:val="20"/>
        </w:rPr>
        <w:t xml:space="preserve"> </w:t>
      </w:r>
      <w:r w:rsidRPr="00E74C28">
        <w:rPr>
          <w:szCs w:val="20"/>
        </w:rPr>
        <w:t>approved)</w:t>
      </w:r>
      <w:r w:rsidR="00C64050">
        <w:rPr>
          <w:szCs w:val="20"/>
        </w:rPr>
        <w:t xml:space="preserve"> </w:t>
      </w:r>
      <w:r w:rsidRPr="00E74C28">
        <w:rPr>
          <w:szCs w:val="20"/>
        </w:rPr>
        <w:t>a</w:t>
      </w:r>
      <w:r w:rsidR="00C64050">
        <w:rPr>
          <w:szCs w:val="20"/>
        </w:rPr>
        <w:t xml:space="preserve"> </w:t>
      </w:r>
      <w:r w:rsidRPr="00E74C28">
        <w:rPr>
          <w:szCs w:val="20"/>
        </w:rPr>
        <w:t>no-contest</w:t>
      </w:r>
      <w:r w:rsidR="00C64050">
        <w:rPr>
          <w:szCs w:val="20"/>
        </w:rPr>
        <w:t xml:space="preserve"> </w:t>
      </w:r>
      <w:r w:rsidRPr="00E74C28">
        <w:rPr>
          <w:szCs w:val="20"/>
        </w:rPr>
        <w:t>provision</w:t>
      </w:r>
      <w:r w:rsidR="00C64050">
        <w:rPr>
          <w:szCs w:val="20"/>
        </w:rPr>
        <w:t xml:space="preserve"> </w:t>
      </w:r>
      <w:r w:rsidRPr="00E74C28">
        <w:rPr>
          <w:szCs w:val="20"/>
        </w:rPr>
        <w:t>seeking</w:t>
      </w:r>
      <w:r w:rsidR="00C64050">
        <w:rPr>
          <w:szCs w:val="20"/>
        </w:rPr>
        <w:t xml:space="preserve"> </w:t>
      </w:r>
      <w:r w:rsidRPr="00E74C28">
        <w:rPr>
          <w:szCs w:val="20"/>
        </w:rPr>
        <w:t>to</w:t>
      </w:r>
      <w:r w:rsidR="00C64050">
        <w:rPr>
          <w:szCs w:val="20"/>
        </w:rPr>
        <w:t xml:space="preserve"> </w:t>
      </w:r>
      <w:r w:rsidRPr="00E74C28">
        <w:rPr>
          <w:szCs w:val="20"/>
        </w:rPr>
        <w:t>seal</w:t>
      </w:r>
      <w:r w:rsidR="00C64050">
        <w:rPr>
          <w:szCs w:val="20"/>
        </w:rPr>
        <w:t xml:space="preserve"> </w:t>
      </w:r>
      <w:r w:rsidRPr="00E74C28">
        <w:rPr>
          <w:szCs w:val="20"/>
        </w:rPr>
        <w:t>the</w:t>
      </w:r>
      <w:r w:rsidR="00C64050">
        <w:rPr>
          <w:szCs w:val="20"/>
        </w:rPr>
        <w:t xml:space="preserve"> </w:t>
      </w:r>
      <w:r w:rsidRPr="00E74C28">
        <w:rPr>
          <w:szCs w:val="20"/>
        </w:rPr>
        <w:t>courthouse</w:t>
      </w:r>
      <w:r w:rsidR="00C64050">
        <w:rPr>
          <w:szCs w:val="20"/>
        </w:rPr>
        <w:t xml:space="preserve"> </w:t>
      </w:r>
      <w:r w:rsidRPr="00E74C28">
        <w:rPr>
          <w:szCs w:val="20"/>
        </w:rPr>
        <w:t>doors</w:t>
      </w:r>
      <w:r w:rsidR="00C64050">
        <w:rPr>
          <w:szCs w:val="20"/>
        </w:rPr>
        <w:t xml:space="preserve"> </w:t>
      </w:r>
      <w:r w:rsidRPr="00E74C28">
        <w:rPr>
          <w:szCs w:val="20"/>
        </w:rPr>
        <w:t>to</w:t>
      </w:r>
      <w:r w:rsidR="00C64050">
        <w:rPr>
          <w:szCs w:val="20"/>
        </w:rPr>
        <w:t xml:space="preserve"> </w:t>
      </w:r>
      <w:r w:rsidRPr="00E74C28">
        <w:rPr>
          <w:szCs w:val="20"/>
        </w:rPr>
        <w:t>a</w:t>
      </w:r>
      <w:r w:rsidR="00C64050">
        <w:rPr>
          <w:szCs w:val="20"/>
        </w:rPr>
        <w:t xml:space="preserve"> </w:t>
      </w:r>
      <w:r w:rsidRPr="00E74C28">
        <w:rPr>
          <w:szCs w:val="20"/>
        </w:rPr>
        <w:t>litigant</w:t>
      </w:r>
      <w:r w:rsidR="00C64050">
        <w:rPr>
          <w:szCs w:val="20"/>
        </w:rPr>
        <w:t xml:space="preserve"> </w:t>
      </w:r>
      <w:r w:rsidRPr="00E74C28">
        <w:rPr>
          <w:szCs w:val="20"/>
        </w:rPr>
        <w:t>seeking</w:t>
      </w:r>
      <w:r w:rsidR="00C64050">
        <w:rPr>
          <w:szCs w:val="20"/>
        </w:rPr>
        <w:t xml:space="preserve"> </w:t>
      </w:r>
      <w:r w:rsidRPr="00E74C28">
        <w:rPr>
          <w:szCs w:val="20"/>
        </w:rPr>
        <w:t>an</w:t>
      </w:r>
      <w:r w:rsidR="00C64050">
        <w:rPr>
          <w:szCs w:val="20"/>
        </w:rPr>
        <w:t xml:space="preserve"> </w:t>
      </w:r>
      <w:r w:rsidRPr="00E74C28">
        <w:rPr>
          <w:szCs w:val="20"/>
        </w:rPr>
        <w:t>interpretation</w:t>
      </w:r>
      <w:r w:rsidR="00C64050">
        <w:rPr>
          <w:szCs w:val="20"/>
        </w:rPr>
        <w:t xml:space="preserve"> </w:t>
      </w:r>
      <w:r w:rsidRPr="00E74C28">
        <w:rPr>
          <w:szCs w:val="20"/>
        </w:rPr>
        <w:t>(rather</w:t>
      </w:r>
      <w:r w:rsidR="00C64050">
        <w:rPr>
          <w:szCs w:val="20"/>
        </w:rPr>
        <w:t xml:space="preserve"> </w:t>
      </w:r>
      <w:r w:rsidRPr="00E74C28">
        <w:rPr>
          <w:szCs w:val="20"/>
        </w:rPr>
        <w:t>than</w:t>
      </w:r>
      <w:r w:rsidR="00C64050">
        <w:rPr>
          <w:szCs w:val="20"/>
        </w:rPr>
        <w:t xml:space="preserve"> </w:t>
      </w:r>
      <w:r w:rsidRPr="00E74C28">
        <w:rPr>
          <w:szCs w:val="20"/>
        </w:rPr>
        <w:t>an</w:t>
      </w:r>
      <w:r w:rsidR="00C64050">
        <w:rPr>
          <w:szCs w:val="20"/>
        </w:rPr>
        <w:t xml:space="preserve"> </w:t>
      </w:r>
      <w:r w:rsidRPr="00E74C28">
        <w:rPr>
          <w:szCs w:val="20"/>
        </w:rPr>
        <w:t>invalidation)</w:t>
      </w:r>
      <w:r w:rsidR="00C64050">
        <w:rPr>
          <w:szCs w:val="20"/>
        </w:rPr>
        <w:t xml:space="preserve"> </w:t>
      </w:r>
      <w:r w:rsidRPr="00E74C28">
        <w:rPr>
          <w:szCs w:val="20"/>
        </w:rPr>
        <w:t>of</w:t>
      </w:r>
      <w:r w:rsidR="00C64050">
        <w:rPr>
          <w:szCs w:val="20"/>
        </w:rPr>
        <w:t xml:space="preserve"> </w:t>
      </w:r>
      <w:r w:rsidRPr="00E74C28">
        <w:rPr>
          <w:szCs w:val="20"/>
        </w:rPr>
        <w:t>a</w:t>
      </w:r>
      <w:r w:rsidR="00C64050">
        <w:rPr>
          <w:szCs w:val="20"/>
        </w:rPr>
        <w:t xml:space="preserve"> </w:t>
      </w:r>
      <w:r w:rsidRPr="00E74C28">
        <w:rPr>
          <w:szCs w:val="20"/>
        </w:rPr>
        <w:t>trust</w:t>
      </w:r>
      <w:r w:rsidR="00C64050">
        <w:rPr>
          <w:szCs w:val="20"/>
        </w:rPr>
        <w:t xml:space="preserve"> </w:t>
      </w:r>
      <w:r w:rsidRPr="00E74C28">
        <w:rPr>
          <w:szCs w:val="20"/>
        </w:rPr>
        <w:t>or</w:t>
      </w:r>
      <w:r w:rsidR="00C64050">
        <w:rPr>
          <w:szCs w:val="20"/>
        </w:rPr>
        <w:t xml:space="preserve"> </w:t>
      </w:r>
      <w:r w:rsidRPr="00E74C28">
        <w:rPr>
          <w:szCs w:val="20"/>
        </w:rPr>
        <w:t>will</w:t>
      </w:r>
      <w:r w:rsidR="00C64050">
        <w:rPr>
          <w:szCs w:val="20"/>
        </w:rPr>
        <w:t xml:space="preserve"> </w:t>
      </w:r>
      <w:r w:rsidRPr="00E74C28">
        <w:rPr>
          <w:szCs w:val="20"/>
        </w:rPr>
        <w:t>provision.</w:t>
      </w:r>
      <w:r w:rsidR="00C64050">
        <w:rPr>
          <w:szCs w:val="20"/>
        </w:rPr>
        <w:t xml:space="preserve"> </w:t>
      </w:r>
      <w:r w:rsidRPr="00E74C28">
        <w:rPr>
          <w:szCs w:val="20"/>
        </w:rPr>
        <w:t>Several</w:t>
      </w:r>
      <w:r w:rsidR="00C64050">
        <w:rPr>
          <w:szCs w:val="20"/>
        </w:rPr>
        <w:t xml:space="preserve"> </w:t>
      </w:r>
      <w:r w:rsidRPr="00E74C28">
        <w:rPr>
          <w:szCs w:val="20"/>
        </w:rPr>
        <w:t>courts</w:t>
      </w:r>
      <w:r w:rsidR="00C64050">
        <w:rPr>
          <w:szCs w:val="20"/>
        </w:rPr>
        <w:t xml:space="preserve"> </w:t>
      </w:r>
      <w:r w:rsidRPr="00E74C28">
        <w:rPr>
          <w:szCs w:val="20"/>
        </w:rPr>
        <w:t>have</w:t>
      </w:r>
      <w:r w:rsidR="00C64050">
        <w:rPr>
          <w:szCs w:val="20"/>
        </w:rPr>
        <w:t xml:space="preserve"> </w:t>
      </w:r>
      <w:r w:rsidRPr="00E74C28">
        <w:rPr>
          <w:szCs w:val="20"/>
        </w:rPr>
        <w:t>criticized</w:t>
      </w:r>
      <w:r w:rsidR="00C64050">
        <w:rPr>
          <w:szCs w:val="20"/>
        </w:rPr>
        <w:t xml:space="preserve"> </w:t>
      </w:r>
      <w:r w:rsidRPr="00E74C28">
        <w:rPr>
          <w:szCs w:val="20"/>
        </w:rPr>
        <w:t>such</w:t>
      </w:r>
      <w:r w:rsidR="00C64050">
        <w:rPr>
          <w:szCs w:val="20"/>
        </w:rPr>
        <w:t xml:space="preserve"> </w:t>
      </w:r>
      <w:r w:rsidRPr="00E74C28">
        <w:rPr>
          <w:szCs w:val="20"/>
        </w:rPr>
        <w:t>an</w:t>
      </w:r>
      <w:r w:rsidR="00C64050">
        <w:rPr>
          <w:szCs w:val="20"/>
        </w:rPr>
        <w:t xml:space="preserve"> </w:t>
      </w:r>
      <w:r w:rsidRPr="00E74C28">
        <w:rPr>
          <w:szCs w:val="20"/>
        </w:rPr>
        <w:t>effort</w:t>
      </w:r>
      <w:r w:rsidR="00C64050">
        <w:rPr>
          <w:szCs w:val="20"/>
        </w:rPr>
        <w:t xml:space="preserve"> </w:t>
      </w:r>
      <w:r w:rsidRPr="00E74C28">
        <w:rPr>
          <w:szCs w:val="20"/>
        </w:rPr>
        <w:t>as</w:t>
      </w:r>
      <w:r w:rsidR="00C64050">
        <w:rPr>
          <w:szCs w:val="20"/>
        </w:rPr>
        <w:t xml:space="preserve"> </w:t>
      </w:r>
      <w:r w:rsidRPr="00E74C28">
        <w:rPr>
          <w:szCs w:val="20"/>
        </w:rPr>
        <w:t>an</w:t>
      </w:r>
      <w:r w:rsidR="00C64050">
        <w:rPr>
          <w:szCs w:val="20"/>
        </w:rPr>
        <w:t xml:space="preserve"> </w:t>
      </w:r>
      <w:r w:rsidRPr="00E74C28">
        <w:rPr>
          <w:szCs w:val="20"/>
        </w:rPr>
        <w:t>impermissible</w:t>
      </w:r>
      <w:r w:rsidR="00C64050">
        <w:rPr>
          <w:szCs w:val="20"/>
        </w:rPr>
        <w:t xml:space="preserve"> </w:t>
      </w:r>
      <w:r w:rsidRPr="00E74C28">
        <w:rPr>
          <w:szCs w:val="20"/>
        </w:rPr>
        <w:t>overreach</w:t>
      </w:r>
      <w:r w:rsidR="00C64050">
        <w:rPr>
          <w:szCs w:val="20"/>
        </w:rPr>
        <w:t xml:space="preserve"> </w:t>
      </w:r>
      <w:r w:rsidRPr="00E74C28">
        <w:rPr>
          <w:szCs w:val="20"/>
        </w:rPr>
        <w:t>inconsistent</w:t>
      </w:r>
      <w:r w:rsidR="00C64050">
        <w:rPr>
          <w:szCs w:val="20"/>
        </w:rPr>
        <w:t xml:space="preserve"> </w:t>
      </w:r>
      <w:r w:rsidRPr="00E74C28">
        <w:rPr>
          <w:szCs w:val="20"/>
        </w:rPr>
        <w:t>with</w:t>
      </w:r>
      <w:r w:rsidR="00C64050">
        <w:rPr>
          <w:szCs w:val="20"/>
        </w:rPr>
        <w:t xml:space="preserve"> </w:t>
      </w:r>
      <w:r w:rsidRPr="00E74C28">
        <w:rPr>
          <w:szCs w:val="20"/>
        </w:rPr>
        <w:t>the</w:t>
      </w:r>
      <w:r w:rsidR="00C64050">
        <w:rPr>
          <w:szCs w:val="20"/>
        </w:rPr>
        <w:t xml:space="preserve"> </w:t>
      </w:r>
      <w:r w:rsidRPr="00E74C28">
        <w:rPr>
          <w:szCs w:val="20"/>
        </w:rPr>
        <w:t>traditional</w:t>
      </w:r>
      <w:r w:rsidR="00C64050">
        <w:rPr>
          <w:szCs w:val="20"/>
        </w:rPr>
        <w:t xml:space="preserve"> </w:t>
      </w:r>
      <w:r w:rsidRPr="00E74C28">
        <w:rPr>
          <w:szCs w:val="20"/>
        </w:rPr>
        <w:t>boundaries</w:t>
      </w:r>
      <w:r w:rsidR="00C64050">
        <w:rPr>
          <w:szCs w:val="20"/>
        </w:rPr>
        <w:t xml:space="preserve"> </w:t>
      </w:r>
      <w:r w:rsidRPr="00E74C28">
        <w:rPr>
          <w:szCs w:val="20"/>
        </w:rPr>
        <w:t>of</w:t>
      </w:r>
      <w:r w:rsidR="00C64050">
        <w:rPr>
          <w:szCs w:val="20"/>
        </w:rPr>
        <w:t xml:space="preserve"> </w:t>
      </w:r>
      <w:r w:rsidRPr="00E74C28">
        <w:rPr>
          <w:szCs w:val="20"/>
        </w:rPr>
        <w:t>no-contest</w:t>
      </w:r>
      <w:r w:rsidR="00C64050">
        <w:rPr>
          <w:szCs w:val="20"/>
        </w:rPr>
        <w:t xml:space="preserve"> </w:t>
      </w:r>
      <w:r w:rsidRPr="00E74C28">
        <w:rPr>
          <w:szCs w:val="20"/>
        </w:rPr>
        <w:t>provisions.</w:t>
      </w:r>
      <w:r w:rsidR="00C64050">
        <w:rPr>
          <w:szCs w:val="20"/>
        </w:rPr>
        <w:t xml:space="preserve"> </w:t>
      </w:r>
      <w:r w:rsidRPr="00E74C28">
        <w:rPr>
          <w:szCs w:val="20"/>
        </w:rPr>
        <w:t>Leading</w:t>
      </w:r>
      <w:r w:rsidR="00C64050">
        <w:rPr>
          <w:szCs w:val="20"/>
        </w:rPr>
        <w:t xml:space="preserve"> </w:t>
      </w:r>
      <w:r w:rsidRPr="00E74C28">
        <w:rPr>
          <w:szCs w:val="20"/>
        </w:rPr>
        <w:t>commentators</w:t>
      </w:r>
      <w:r w:rsidR="00C64050">
        <w:rPr>
          <w:szCs w:val="20"/>
        </w:rPr>
        <w:t xml:space="preserve"> </w:t>
      </w:r>
      <w:r w:rsidRPr="00E74C28">
        <w:rPr>
          <w:szCs w:val="20"/>
        </w:rPr>
        <w:t>have</w:t>
      </w:r>
      <w:r w:rsidR="00C64050">
        <w:rPr>
          <w:szCs w:val="20"/>
        </w:rPr>
        <w:t xml:space="preserve"> </w:t>
      </w:r>
      <w:r w:rsidRPr="00E74C28">
        <w:rPr>
          <w:szCs w:val="20"/>
        </w:rPr>
        <w:t>taken</w:t>
      </w:r>
      <w:r w:rsidR="00C64050">
        <w:rPr>
          <w:szCs w:val="20"/>
        </w:rPr>
        <w:t xml:space="preserve"> </w:t>
      </w:r>
      <w:r w:rsidRPr="00E74C28">
        <w:rPr>
          <w:szCs w:val="20"/>
        </w:rPr>
        <w:t>a</w:t>
      </w:r>
      <w:r w:rsidR="00C64050">
        <w:rPr>
          <w:szCs w:val="20"/>
        </w:rPr>
        <w:t xml:space="preserve"> </w:t>
      </w:r>
      <w:r w:rsidRPr="00E74C28">
        <w:rPr>
          <w:szCs w:val="20"/>
        </w:rPr>
        <w:t>similar</w:t>
      </w:r>
      <w:r w:rsidR="00C64050">
        <w:rPr>
          <w:szCs w:val="20"/>
        </w:rPr>
        <w:t xml:space="preserve"> </w:t>
      </w:r>
      <w:r w:rsidRPr="00E74C28">
        <w:rPr>
          <w:szCs w:val="20"/>
        </w:rPr>
        <w:t>view.</w:t>
      </w:r>
      <w:hyperlink r:id="rId422" w:anchor="co_footnote_B00112050561435" w:history="1">
        <w:r w:rsidRPr="00E74C28">
          <w:rPr>
            <w:rStyle w:val="Hyperlink"/>
            <w:color w:val="auto"/>
            <w:szCs w:val="20"/>
            <w:vertAlign w:val="superscript"/>
          </w:rPr>
          <w:t>11</w:t>
        </w:r>
      </w:hyperlink>
      <w:r w:rsidR="00C64050">
        <w:rPr>
          <w:szCs w:val="20"/>
        </w:rPr>
        <w:t xml:space="preserve"> </w:t>
      </w:r>
      <w:r w:rsidRPr="00E74C28">
        <w:rPr>
          <w:szCs w:val="20"/>
        </w:rPr>
        <w:t>We</w:t>
      </w:r>
      <w:r w:rsidR="00C64050">
        <w:rPr>
          <w:szCs w:val="20"/>
        </w:rPr>
        <w:t xml:space="preserve"> </w:t>
      </w:r>
      <w:r w:rsidRPr="00E74C28">
        <w:rPr>
          <w:szCs w:val="20"/>
        </w:rPr>
        <w:t>need</w:t>
      </w:r>
      <w:r w:rsidR="00C64050">
        <w:rPr>
          <w:szCs w:val="20"/>
        </w:rPr>
        <w:t xml:space="preserve"> </w:t>
      </w:r>
      <w:r w:rsidRPr="00E74C28">
        <w:rPr>
          <w:szCs w:val="20"/>
        </w:rPr>
        <w:t>not</w:t>
      </w:r>
      <w:r w:rsidR="00C64050">
        <w:rPr>
          <w:szCs w:val="20"/>
        </w:rPr>
        <w:t xml:space="preserve"> </w:t>
      </w:r>
      <w:r w:rsidRPr="00E74C28">
        <w:rPr>
          <w:szCs w:val="20"/>
        </w:rPr>
        <w:t>resolve</w:t>
      </w:r>
      <w:r w:rsidR="00C64050">
        <w:rPr>
          <w:szCs w:val="20"/>
        </w:rPr>
        <w:t xml:space="preserve"> </w:t>
      </w:r>
      <w:r w:rsidRPr="00E74C28">
        <w:rPr>
          <w:szCs w:val="20"/>
        </w:rPr>
        <w:t>that</w:t>
      </w:r>
      <w:r w:rsidR="00C64050">
        <w:rPr>
          <w:szCs w:val="20"/>
        </w:rPr>
        <w:t xml:space="preserve"> </w:t>
      </w:r>
      <w:r w:rsidRPr="00E74C28">
        <w:rPr>
          <w:szCs w:val="20"/>
        </w:rPr>
        <w:t>question</w:t>
      </w:r>
      <w:r w:rsidR="00C64050">
        <w:rPr>
          <w:szCs w:val="20"/>
        </w:rPr>
        <w:t xml:space="preserve"> </w:t>
      </w:r>
      <w:r w:rsidRPr="00E74C28">
        <w:rPr>
          <w:szCs w:val="20"/>
        </w:rPr>
        <w:t>in</w:t>
      </w:r>
      <w:r w:rsidR="00C64050">
        <w:rPr>
          <w:szCs w:val="20"/>
        </w:rPr>
        <w:t xml:space="preserve"> </w:t>
      </w:r>
      <w:r w:rsidRPr="00E74C28">
        <w:rPr>
          <w:szCs w:val="20"/>
        </w:rPr>
        <w:t>this</w:t>
      </w:r>
      <w:r w:rsidR="00C64050">
        <w:rPr>
          <w:szCs w:val="20"/>
        </w:rPr>
        <w:t xml:space="preserve"> </w:t>
      </w:r>
      <w:r w:rsidRPr="00E74C28">
        <w:rPr>
          <w:szCs w:val="20"/>
        </w:rPr>
        <w:t>case,</w:t>
      </w:r>
      <w:r w:rsidR="00C64050">
        <w:rPr>
          <w:szCs w:val="20"/>
        </w:rPr>
        <w:t xml:space="preserve"> </w:t>
      </w:r>
      <w:r w:rsidRPr="00E74C28">
        <w:rPr>
          <w:szCs w:val="20"/>
        </w:rPr>
        <w:t>however,</w:t>
      </w:r>
      <w:r w:rsidR="00C64050">
        <w:rPr>
          <w:szCs w:val="20"/>
        </w:rPr>
        <w:t xml:space="preserve"> </w:t>
      </w:r>
      <w:r w:rsidRPr="00E74C28">
        <w:rPr>
          <w:szCs w:val="20"/>
        </w:rPr>
        <w:t>because</w:t>
      </w:r>
      <w:r w:rsidR="00C64050">
        <w:rPr>
          <w:szCs w:val="20"/>
        </w:rPr>
        <w:t xml:space="preserve"> </w:t>
      </w:r>
      <w:r w:rsidRPr="00E74C28">
        <w:rPr>
          <w:szCs w:val="20"/>
        </w:rPr>
        <w:t>the</w:t>
      </w:r>
      <w:r w:rsidR="00C64050">
        <w:rPr>
          <w:szCs w:val="20"/>
        </w:rPr>
        <w:t xml:space="preserve"> </w:t>
      </w:r>
      <w:r w:rsidRPr="00E74C28">
        <w:rPr>
          <w:szCs w:val="20"/>
        </w:rPr>
        <w:t>proviso</w:t>
      </w:r>
      <w:r w:rsidR="00C64050">
        <w:rPr>
          <w:szCs w:val="20"/>
        </w:rPr>
        <w:t xml:space="preserve"> </w:t>
      </w:r>
      <w:r w:rsidRPr="00E74C28">
        <w:rPr>
          <w:szCs w:val="20"/>
        </w:rPr>
        <w:t>Eleanor</w:t>
      </w:r>
      <w:r w:rsidR="00C64050">
        <w:rPr>
          <w:szCs w:val="20"/>
        </w:rPr>
        <w:t xml:space="preserve"> </w:t>
      </w:r>
      <w:r w:rsidRPr="00E74C28">
        <w:rPr>
          <w:szCs w:val="20"/>
        </w:rPr>
        <w:t>relies</w:t>
      </w:r>
      <w:r w:rsidR="00C64050">
        <w:rPr>
          <w:szCs w:val="20"/>
        </w:rPr>
        <w:t xml:space="preserve"> </w:t>
      </w:r>
      <w:r w:rsidRPr="00E74C28">
        <w:rPr>
          <w:szCs w:val="20"/>
        </w:rPr>
        <w:t>upon</w:t>
      </w:r>
      <w:r w:rsidR="00C64050">
        <w:rPr>
          <w:szCs w:val="20"/>
        </w:rPr>
        <w:t xml:space="preserve"> </w:t>
      </w:r>
      <w:r w:rsidRPr="00E74C28">
        <w:rPr>
          <w:szCs w:val="20"/>
        </w:rPr>
        <w:t>merely</w:t>
      </w:r>
      <w:r w:rsidR="00C64050">
        <w:rPr>
          <w:szCs w:val="20"/>
        </w:rPr>
        <w:t xml:space="preserve"> </w:t>
      </w:r>
      <w:r w:rsidRPr="00E74C28">
        <w:rPr>
          <w:szCs w:val="20"/>
        </w:rPr>
        <w:t>implies,</w:t>
      </w:r>
      <w:r w:rsidR="00C64050">
        <w:rPr>
          <w:szCs w:val="20"/>
        </w:rPr>
        <w:t xml:space="preserve"> </w:t>
      </w:r>
      <w:r w:rsidRPr="00E74C28">
        <w:rPr>
          <w:szCs w:val="20"/>
        </w:rPr>
        <w:t>but</w:t>
      </w:r>
      <w:r w:rsidR="00C64050">
        <w:rPr>
          <w:szCs w:val="20"/>
        </w:rPr>
        <w:t xml:space="preserve"> </w:t>
      </w:r>
      <w:r w:rsidRPr="00E74C28">
        <w:rPr>
          <w:szCs w:val="20"/>
        </w:rPr>
        <w:t>does</w:t>
      </w:r>
      <w:r w:rsidR="00C64050">
        <w:rPr>
          <w:szCs w:val="20"/>
        </w:rPr>
        <w:t xml:space="preserve"> </w:t>
      </w:r>
      <w:r w:rsidRPr="00E74C28">
        <w:rPr>
          <w:szCs w:val="20"/>
        </w:rPr>
        <w:t>not</w:t>
      </w:r>
      <w:r w:rsidR="00C64050">
        <w:rPr>
          <w:szCs w:val="20"/>
        </w:rPr>
        <w:t xml:space="preserve"> </w:t>
      </w:r>
      <w:r w:rsidRPr="00E74C28">
        <w:rPr>
          <w:szCs w:val="20"/>
        </w:rPr>
        <w:t>expressly</w:t>
      </w:r>
      <w:r w:rsidR="00C64050">
        <w:rPr>
          <w:szCs w:val="20"/>
        </w:rPr>
        <w:t xml:space="preserve"> </w:t>
      </w:r>
      <w:r w:rsidRPr="00E74C28">
        <w:rPr>
          <w:szCs w:val="20"/>
        </w:rPr>
        <w:t>state,</w:t>
      </w:r>
      <w:r w:rsidR="00C64050">
        <w:rPr>
          <w:szCs w:val="20"/>
        </w:rPr>
        <w:t xml:space="preserve"> </w:t>
      </w:r>
      <w:r w:rsidRPr="00E74C28">
        <w:rPr>
          <w:szCs w:val="20"/>
        </w:rPr>
        <w:t>that</w:t>
      </w:r>
      <w:r w:rsidR="00C64050">
        <w:rPr>
          <w:szCs w:val="20"/>
        </w:rPr>
        <w:t xml:space="preserve"> </w:t>
      </w:r>
      <w:r w:rsidRPr="00E74C28">
        <w:rPr>
          <w:szCs w:val="20"/>
        </w:rPr>
        <w:t>her</w:t>
      </w:r>
      <w:r w:rsidR="00C64050">
        <w:rPr>
          <w:szCs w:val="20"/>
        </w:rPr>
        <w:t xml:space="preserve"> </w:t>
      </w:r>
      <w:r w:rsidRPr="00E74C28">
        <w:rPr>
          <w:szCs w:val="20"/>
        </w:rPr>
        <w:t>mother</w:t>
      </w:r>
      <w:r w:rsidR="00C64050">
        <w:rPr>
          <w:szCs w:val="20"/>
        </w:rPr>
        <w:t xml:space="preserve"> </w:t>
      </w:r>
      <w:r w:rsidRPr="00E74C28">
        <w:rPr>
          <w:szCs w:val="20"/>
        </w:rPr>
        <w:t>intended</w:t>
      </w:r>
      <w:r w:rsidR="00C64050">
        <w:rPr>
          <w:szCs w:val="20"/>
        </w:rPr>
        <w:t xml:space="preserve"> </w:t>
      </w:r>
      <w:r w:rsidRPr="00E74C28">
        <w:rPr>
          <w:szCs w:val="20"/>
        </w:rPr>
        <w:t>to</w:t>
      </w:r>
      <w:r w:rsidR="00C64050">
        <w:rPr>
          <w:szCs w:val="20"/>
        </w:rPr>
        <w:t xml:space="preserve"> </w:t>
      </w:r>
      <w:r w:rsidRPr="00E74C28">
        <w:rPr>
          <w:szCs w:val="20"/>
        </w:rPr>
        <w:t>include</w:t>
      </w:r>
      <w:r w:rsidR="00C64050">
        <w:rPr>
          <w:szCs w:val="20"/>
        </w:rPr>
        <w:t xml:space="preserve"> </w:t>
      </w:r>
      <w:r w:rsidRPr="00E74C28">
        <w:rPr>
          <w:szCs w:val="20"/>
        </w:rPr>
        <w:t>a</w:t>
      </w:r>
      <w:r w:rsidR="00C64050">
        <w:rPr>
          <w:szCs w:val="20"/>
        </w:rPr>
        <w:t xml:space="preserve"> </w:t>
      </w:r>
      <w:r w:rsidRPr="00E74C28">
        <w:rPr>
          <w:szCs w:val="20"/>
        </w:rPr>
        <w:t>request</w:t>
      </w:r>
      <w:r w:rsidR="00C64050">
        <w:rPr>
          <w:szCs w:val="20"/>
        </w:rPr>
        <w:t xml:space="preserve"> </w:t>
      </w:r>
      <w:r w:rsidRPr="00E74C28">
        <w:rPr>
          <w:szCs w:val="20"/>
        </w:rPr>
        <w:t>for</w:t>
      </w:r>
      <w:r w:rsidR="00C64050">
        <w:rPr>
          <w:szCs w:val="20"/>
        </w:rPr>
        <w:t xml:space="preserve"> </w:t>
      </w:r>
      <w:r w:rsidRPr="00E74C28">
        <w:rPr>
          <w:szCs w:val="20"/>
        </w:rPr>
        <w:t>judicial</w:t>
      </w:r>
      <w:r w:rsidR="00C64050">
        <w:rPr>
          <w:szCs w:val="20"/>
        </w:rPr>
        <w:t xml:space="preserve"> </w:t>
      </w:r>
      <w:r w:rsidRPr="00E74C28">
        <w:rPr>
          <w:szCs w:val="20"/>
        </w:rPr>
        <w:t>interpretation</w:t>
      </w:r>
      <w:r w:rsidR="00C64050">
        <w:rPr>
          <w:szCs w:val="20"/>
        </w:rPr>
        <w:t xml:space="preserve"> </w:t>
      </w:r>
      <w:r w:rsidRPr="00E74C28">
        <w:rPr>
          <w:szCs w:val="20"/>
        </w:rPr>
        <w:t>within</w:t>
      </w:r>
      <w:r w:rsidR="00C64050">
        <w:rPr>
          <w:szCs w:val="20"/>
        </w:rPr>
        <w:t xml:space="preserve"> </w:t>
      </w:r>
      <w:r w:rsidRPr="00E74C28">
        <w:rPr>
          <w:szCs w:val="20"/>
        </w:rPr>
        <w:t>the</w:t>
      </w:r>
      <w:r w:rsidR="00C64050">
        <w:rPr>
          <w:szCs w:val="20"/>
        </w:rPr>
        <w:t xml:space="preserve"> </w:t>
      </w:r>
      <w:r w:rsidRPr="00E74C28">
        <w:rPr>
          <w:szCs w:val="20"/>
        </w:rPr>
        <w:t>definition</w:t>
      </w:r>
      <w:r w:rsidR="00C64050">
        <w:rPr>
          <w:szCs w:val="20"/>
        </w:rPr>
        <w:t xml:space="preserve"> </w:t>
      </w:r>
      <w:r w:rsidRPr="00E74C28">
        <w:rPr>
          <w:szCs w:val="20"/>
        </w:rPr>
        <w:t>of</w:t>
      </w:r>
      <w:r w:rsidR="00C64050">
        <w:rPr>
          <w:szCs w:val="20"/>
        </w:rPr>
        <w:t xml:space="preserve"> </w:t>
      </w:r>
      <w:r w:rsidRPr="00E74C28">
        <w:rPr>
          <w:szCs w:val="20"/>
        </w:rPr>
        <w:t>a</w:t>
      </w:r>
      <w:r w:rsidR="00C64050">
        <w:rPr>
          <w:szCs w:val="20"/>
        </w:rPr>
        <w:t xml:space="preserve"> </w:t>
      </w:r>
      <w:r w:rsidRPr="00E74C28">
        <w:rPr>
          <w:szCs w:val="20"/>
        </w:rPr>
        <w:t>contest,</w:t>
      </w:r>
      <w:r w:rsidR="00C64050">
        <w:rPr>
          <w:szCs w:val="20"/>
        </w:rPr>
        <w:t xml:space="preserve"> </w:t>
      </w:r>
      <w:r w:rsidRPr="00E74C28">
        <w:rPr>
          <w:szCs w:val="20"/>
        </w:rPr>
        <w:t>thus</w:t>
      </w:r>
      <w:r w:rsidR="00C64050">
        <w:rPr>
          <w:szCs w:val="20"/>
        </w:rPr>
        <w:t xml:space="preserve"> </w:t>
      </w:r>
      <w:r w:rsidRPr="00E74C28">
        <w:rPr>
          <w:szCs w:val="20"/>
        </w:rPr>
        <w:t>warranting</w:t>
      </w:r>
      <w:r w:rsidR="00C64050">
        <w:rPr>
          <w:szCs w:val="20"/>
        </w:rPr>
        <w:t xml:space="preserve"> </w:t>
      </w:r>
      <w:r w:rsidRPr="00E74C28">
        <w:rPr>
          <w:szCs w:val="20"/>
        </w:rPr>
        <w:t>a</w:t>
      </w:r>
      <w:r w:rsidR="00C64050">
        <w:rPr>
          <w:szCs w:val="20"/>
        </w:rPr>
        <w:t xml:space="preserve"> </w:t>
      </w:r>
      <w:r w:rsidRPr="00E74C28">
        <w:rPr>
          <w:szCs w:val="20"/>
        </w:rPr>
        <w:t>forfeiture.</w:t>
      </w:r>
      <w:r w:rsidR="00C64050">
        <w:rPr>
          <w:szCs w:val="20"/>
        </w:rPr>
        <w:t xml:space="preserve"> </w:t>
      </w:r>
      <w:r w:rsidRPr="00E74C28">
        <w:rPr>
          <w:szCs w:val="20"/>
        </w:rPr>
        <w:t>In</w:t>
      </w:r>
      <w:r w:rsidR="00C64050">
        <w:rPr>
          <w:szCs w:val="20"/>
        </w:rPr>
        <w:t xml:space="preserve"> </w:t>
      </w:r>
      <w:r w:rsidRPr="00E74C28">
        <w:rPr>
          <w:szCs w:val="20"/>
        </w:rPr>
        <w:t>this</w:t>
      </w:r>
      <w:r w:rsidR="00C64050">
        <w:rPr>
          <w:szCs w:val="20"/>
        </w:rPr>
        <w:t xml:space="preserve"> </w:t>
      </w:r>
      <w:r w:rsidRPr="00E74C28">
        <w:rPr>
          <w:szCs w:val="20"/>
        </w:rPr>
        <w:t>area</w:t>
      </w:r>
      <w:r w:rsidR="00C64050">
        <w:rPr>
          <w:szCs w:val="20"/>
        </w:rPr>
        <w:t xml:space="preserve"> </w:t>
      </w:r>
      <w:r w:rsidRPr="00E74C28">
        <w:rPr>
          <w:szCs w:val="20"/>
        </w:rPr>
        <w:t>of</w:t>
      </w:r>
      <w:r w:rsidR="00C64050">
        <w:rPr>
          <w:szCs w:val="20"/>
        </w:rPr>
        <w:t xml:space="preserve"> </w:t>
      </w:r>
      <w:r w:rsidRPr="00E74C28">
        <w:rPr>
          <w:szCs w:val="20"/>
        </w:rPr>
        <w:t>legal</w:t>
      </w:r>
      <w:r w:rsidR="00C64050">
        <w:rPr>
          <w:szCs w:val="20"/>
        </w:rPr>
        <w:t xml:space="preserve"> </w:t>
      </w:r>
      <w:r w:rsidRPr="00E74C28">
        <w:rPr>
          <w:szCs w:val="20"/>
        </w:rPr>
        <w:t>draftsmanship,</w:t>
      </w:r>
      <w:r w:rsidR="00C64050">
        <w:rPr>
          <w:szCs w:val="20"/>
        </w:rPr>
        <w:t xml:space="preserve"> </w:t>
      </w:r>
      <w:r w:rsidRPr="00E74C28">
        <w:rPr>
          <w:szCs w:val="20"/>
        </w:rPr>
        <w:t>mere</w:t>
      </w:r>
      <w:r w:rsidR="00C64050">
        <w:rPr>
          <w:szCs w:val="20"/>
        </w:rPr>
        <w:t xml:space="preserve"> </w:t>
      </w:r>
      <w:r w:rsidRPr="00E74C28">
        <w:rPr>
          <w:szCs w:val="20"/>
        </w:rPr>
        <w:t>implications</w:t>
      </w:r>
      <w:r w:rsidR="00C64050">
        <w:rPr>
          <w:szCs w:val="20"/>
        </w:rPr>
        <w:t xml:space="preserve"> </w:t>
      </w:r>
      <w:r w:rsidRPr="00E74C28">
        <w:rPr>
          <w:szCs w:val="20"/>
        </w:rPr>
        <w:t>will</w:t>
      </w:r>
      <w:r w:rsidR="00C64050">
        <w:rPr>
          <w:szCs w:val="20"/>
        </w:rPr>
        <w:t xml:space="preserve"> </w:t>
      </w:r>
      <w:r w:rsidRPr="00E74C28">
        <w:rPr>
          <w:szCs w:val="20"/>
        </w:rPr>
        <w:t>not</w:t>
      </w:r>
      <w:r w:rsidR="00C64050">
        <w:rPr>
          <w:szCs w:val="20"/>
        </w:rPr>
        <w:t xml:space="preserve"> </w:t>
      </w:r>
      <w:r w:rsidRPr="00E74C28">
        <w:rPr>
          <w:szCs w:val="20"/>
        </w:rPr>
        <w:t>suffice.</w:t>
      </w:r>
    </w:p>
    <w:p w:rsidR="00E74C28" w:rsidRPr="00E74C28" w:rsidRDefault="00E74C28" w:rsidP="00E74C28">
      <w:pPr>
        <w:pStyle w:val="QS10"/>
        <w:rPr>
          <w:szCs w:val="20"/>
        </w:rPr>
      </w:pPr>
      <w:r w:rsidRPr="00E74C28">
        <w:rPr>
          <w:szCs w:val="20"/>
        </w:rPr>
        <w:t>As</w:t>
      </w:r>
      <w:r w:rsidR="00C64050">
        <w:rPr>
          <w:szCs w:val="20"/>
        </w:rPr>
        <w:t xml:space="preserve"> </w:t>
      </w:r>
      <w:r w:rsidRPr="00E74C28">
        <w:rPr>
          <w:szCs w:val="20"/>
        </w:rPr>
        <w:t>we</w:t>
      </w:r>
      <w:r w:rsidR="00C64050">
        <w:rPr>
          <w:szCs w:val="20"/>
        </w:rPr>
        <w:t xml:space="preserve"> </w:t>
      </w:r>
      <w:r w:rsidRPr="00E74C28">
        <w:rPr>
          <w:szCs w:val="20"/>
        </w:rPr>
        <w:t>noted</w:t>
      </w:r>
      <w:r w:rsidR="00C64050">
        <w:rPr>
          <w:szCs w:val="20"/>
        </w:rPr>
        <w:t xml:space="preserve"> </w:t>
      </w:r>
      <w:r w:rsidRPr="00E74C28">
        <w:rPr>
          <w:szCs w:val="20"/>
        </w:rPr>
        <w:t>earlier,</w:t>
      </w:r>
      <w:r w:rsidR="00C64050">
        <w:rPr>
          <w:szCs w:val="20"/>
        </w:rPr>
        <w:t xml:space="preserve"> </w:t>
      </w:r>
      <w:r w:rsidRPr="00E74C28">
        <w:rPr>
          <w:szCs w:val="20"/>
        </w:rPr>
        <w:t>forfeiture</w:t>
      </w:r>
      <w:r w:rsidR="00C64050">
        <w:rPr>
          <w:szCs w:val="20"/>
        </w:rPr>
        <w:t xml:space="preserve"> </w:t>
      </w:r>
      <w:r w:rsidRPr="00E74C28">
        <w:rPr>
          <w:szCs w:val="20"/>
        </w:rPr>
        <w:t>provisions</w:t>
      </w:r>
      <w:r w:rsidR="00C64050">
        <w:rPr>
          <w:szCs w:val="20"/>
        </w:rPr>
        <w:t xml:space="preserve"> </w:t>
      </w:r>
      <w:r w:rsidRPr="00E74C28">
        <w:rPr>
          <w:szCs w:val="20"/>
        </w:rPr>
        <w:t>are</w:t>
      </w:r>
      <w:r w:rsidR="00C64050">
        <w:rPr>
          <w:szCs w:val="20"/>
        </w:rPr>
        <w:t xml:space="preserve"> </w:t>
      </w:r>
      <w:r w:rsidRPr="00E74C28">
        <w:rPr>
          <w:szCs w:val="20"/>
        </w:rPr>
        <w:t>“strictly</w:t>
      </w:r>
      <w:r w:rsidR="00C64050">
        <w:rPr>
          <w:szCs w:val="20"/>
        </w:rPr>
        <w:t xml:space="preserve"> </w:t>
      </w:r>
      <w:r w:rsidRPr="00E74C28">
        <w:rPr>
          <w:szCs w:val="20"/>
        </w:rPr>
        <w:t>construed,”</w:t>
      </w:r>
      <w:r w:rsidR="00C64050">
        <w:rPr>
          <w:szCs w:val="20"/>
        </w:rPr>
        <w:t xml:space="preserve"> </w:t>
      </w:r>
      <w:r w:rsidRPr="00E74C28">
        <w:rPr>
          <w:rStyle w:val="Emphasis"/>
          <w:szCs w:val="20"/>
        </w:rPr>
        <w:t>Rafalko</w:t>
      </w:r>
      <w:r w:rsidRPr="00E74C28">
        <w:rPr>
          <w:szCs w:val="20"/>
        </w:rPr>
        <w:t>,</w:t>
      </w:r>
      <w:r w:rsidR="00C64050">
        <w:rPr>
          <w:szCs w:val="20"/>
        </w:rPr>
        <w:t xml:space="preserve"> </w:t>
      </w:r>
      <w:r w:rsidRPr="00E74C28">
        <w:rPr>
          <w:szCs w:val="20"/>
        </w:rPr>
        <w:t>290</w:t>
      </w:r>
      <w:r w:rsidR="00C64050">
        <w:rPr>
          <w:szCs w:val="20"/>
        </w:rPr>
        <w:t xml:space="preserve"> </w:t>
      </w:r>
      <w:r w:rsidRPr="00E74C28">
        <w:rPr>
          <w:szCs w:val="20"/>
        </w:rPr>
        <w:t>Va.</w:t>
      </w:r>
      <w:r w:rsidR="00C64050">
        <w:rPr>
          <w:szCs w:val="20"/>
        </w:rPr>
        <w:t xml:space="preserve"> </w:t>
      </w:r>
      <w:r w:rsidRPr="00E74C28">
        <w:rPr>
          <w:szCs w:val="20"/>
        </w:rPr>
        <w:t>at</w:t>
      </w:r>
      <w:r w:rsidR="00C64050">
        <w:rPr>
          <w:szCs w:val="20"/>
        </w:rPr>
        <w:t xml:space="preserve"> </w:t>
      </w:r>
      <w:r w:rsidRPr="00E74C28">
        <w:rPr>
          <w:szCs w:val="20"/>
        </w:rPr>
        <w:t>395,</w:t>
      </w:r>
      <w:r w:rsidR="00C64050">
        <w:rPr>
          <w:szCs w:val="20"/>
        </w:rPr>
        <w:t xml:space="preserve"> </w:t>
      </w:r>
      <w:r w:rsidRPr="00E74C28">
        <w:rPr>
          <w:szCs w:val="20"/>
        </w:rPr>
        <w:t>777</w:t>
      </w:r>
      <w:r w:rsidR="00C64050">
        <w:rPr>
          <w:szCs w:val="20"/>
        </w:rPr>
        <w:t xml:space="preserve"> </w:t>
      </w:r>
      <w:r w:rsidRPr="00E74C28">
        <w:rPr>
          <w:szCs w:val="20"/>
        </w:rPr>
        <w:t>S.E.2d</w:t>
      </w:r>
      <w:r w:rsidR="00C64050">
        <w:rPr>
          <w:szCs w:val="20"/>
        </w:rPr>
        <w:t xml:space="preserve"> </w:t>
      </w:r>
      <w:r w:rsidRPr="00E74C28">
        <w:rPr>
          <w:szCs w:val="20"/>
        </w:rPr>
        <w:t>870,</w:t>
      </w:r>
      <w:r w:rsidR="00C64050">
        <w:rPr>
          <w:szCs w:val="20"/>
        </w:rPr>
        <w:t xml:space="preserve"> </w:t>
      </w:r>
      <w:r w:rsidRPr="00E74C28">
        <w:rPr>
          <w:szCs w:val="20"/>
        </w:rPr>
        <w:t>because</w:t>
      </w:r>
      <w:r w:rsidR="00C64050">
        <w:rPr>
          <w:szCs w:val="20"/>
        </w:rPr>
        <w:t xml:space="preserve"> </w:t>
      </w:r>
      <w:r w:rsidRPr="00E74C28">
        <w:rPr>
          <w:szCs w:val="20"/>
        </w:rPr>
        <w:t>“equity</w:t>
      </w:r>
      <w:r w:rsidR="00C64050">
        <w:rPr>
          <w:szCs w:val="20"/>
        </w:rPr>
        <w:t xml:space="preserve"> </w:t>
      </w:r>
      <w:r w:rsidRPr="00E74C28">
        <w:rPr>
          <w:szCs w:val="20"/>
        </w:rPr>
        <w:t>abhors</w:t>
      </w:r>
      <w:r w:rsidR="00C64050">
        <w:rPr>
          <w:szCs w:val="20"/>
        </w:rPr>
        <w:t xml:space="preserve"> </w:t>
      </w:r>
      <w:r w:rsidRPr="00E74C28">
        <w:rPr>
          <w:szCs w:val="20"/>
        </w:rPr>
        <w:t>forfeitures,”</w:t>
      </w:r>
      <w:r w:rsidR="00C64050">
        <w:rPr>
          <w:szCs w:val="20"/>
        </w:rPr>
        <w:t xml:space="preserve"> </w:t>
      </w:r>
      <w:r w:rsidRPr="00E74C28">
        <w:rPr>
          <w:rStyle w:val="Emphasis"/>
          <w:szCs w:val="20"/>
        </w:rPr>
        <w:t>Jones</w:t>
      </w:r>
      <w:r w:rsidRPr="00E74C28">
        <w:rPr>
          <w:szCs w:val="20"/>
        </w:rPr>
        <w:t>,</w:t>
      </w:r>
      <w:r w:rsidR="00C64050">
        <w:rPr>
          <w:szCs w:val="20"/>
        </w:rPr>
        <w:t xml:space="preserve"> </w:t>
      </w:r>
      <w:r w:rsidRPr="00E74C28">
        <w:rPr>
          <w:szCs w:val="20"/>
        </w:rPr>
        <w:t>101</w:t>
      </w:r>
      <w:r w:rsidR="00C64050">
        <w:rPr>
          <w:szCs w:val="20"/>
        </w:rPr>
        <w:t xml:space="preserve"> </w:t>
      </w:r>
      <w:r w:rsidRPr="00E74C28">
        <w:rPr>
          <w:szCs w:val="20"/>
        </w:rPr>
        <w:t>U.S.</w:t>
      </w:r>
      <w:r w:rsidR="00C64050">
        <w:rPr>
          <w:szCs w:val="20"/>
        </w:rPr>
        <w:t xml:space="preserve"> </w:t>
      </w:r>
      <w:r w:rsidRPr="00E74C28">
        <w:rPr>
          <w:szCs w:val="20"/>
        </w:rPr>
        <w:t>at</w:t>
      </w:r>
      <w:r w:rsidR="00C64050">
        <w:rPr>
          <w:szCs w:val="20"/>
        </w:rPr>
        <w:t xml:space="preserve"> </w:t>
      </w:r>
      <w:r w:rsidRPr="00E74C28">
        <w:rPr>
          <w:szCs w:val="20"/>
        </w:rPr>
        <w:t>628,</w:t>
      </w:r>
      <w:r w:rsidR="00C64050">
        <w:rPr>
          <w:szCs w:val="20"/>
        </w:rPr>
        <w:t xml:space="preserve"> </w:t>
      </w:r>
      <w:r w:rsidRPr="00E74C28">
        <w:rPr>
          <w:szCs w:val="20"/>
        </w:rPr>
        <w:t>and</w:t>
      </w:r>
      <w:r w:rsidR="00C64050">
        <w:rPr>
          <w:szCs w:val="20"/>
        </w:rPr>
        <w:t xml:space="preserve"> </w:t>
      </w:r>
      <w:r w:rsidRPr="00E74C28">
        <w:rPr>
          <w:szCs w:val="20"/>
        </w:rPr>
        <w:t>because</w:t>
      </w:r>
      <w:r w:rsidR="00C64050">
        <w:rPr>
          <w:szCs w:val="20"/>
        </w:rPr>
        <w:t xml:space="preserve"> </w:t>
      </w:r>
      <w:r w:rsidRPr="00E74C28">
        <w:rPr>
          <w:szCs w:val="20"/>
        </w:rPr>
        <w:t>“provisions</w:t>
      </w:r>
      <w:r w:rsidR="00C64050">
        <w:rPr>
          <w:szCs w:val="20"/>
        </w:rPr>
        <w:t xml:space="preserve"> </w:t>
      </w:r>
      <w:r w:rsidRPr="00E74C28">
        <w:rPr>
          <w:szCs w:val="20"/>
        </w:rPr>
        <w:t>that</w:t>
      </w:r>
      <w:r w:rsidR="00C64050">
        <w:rPr>
          <w:szCs w:val="20"/>
        </w:rPr>
        <w:t xml:space="preserve"> </w:t>
      </w:r>
      <w:r w:rsidRPr="00E74C28">
        <w:rPr>
          <w:szCs w:val="20"/>
        </w:rPr>
        <w:t>require</w:t>
      </w:r>
      <w:r w:rsidR="00C64050">
        <w:rPr>
          <w:szCs w:val="20"/>
        </w:rPr>
        <w:t xml:space="preserve"> </w:t>
      </w:r>
      <w:r w:rsidRPr="00E74C28">
        <w:rPr>
          <w:szCs w:val="20"/>
        </w:rPr>
        <w:t>forfeiture</w:t>
      </w:r>
      <w:r w:rsidR="00C64050">
        <w:rPr>
          <w:szCs w:val="20"/>
        </w:rPr>
        <w:t xml:space="preserve"> </w:t>
      </w:r>
      <w:r w:rsidRPr="00E74C28">
        <w:rPr>
          <w:szCs w:val="20"/>
        </w:rPr>
        <w:t>are</w:t>
      </w:r>
      <w:r w:rsidR="00C64050">
        <w:rPr>
          <w:szCs w:val="20"/>
        </w:rPr>
        <w:t xml:space="preserve"> </w:t>
      </w:r>
      <w:r w:rsidRPr="00E74C28">
        <w:rPr>
          <w:szCs w:val="20"/>
        </w:rPr>
        <w:t>not</w:t>
      </w:r>
      <w:r w:rsidR="00C64050">
        <w:rPr>
          <w:szCs w:val="20"/>
        </w:rPr>
        <w:t xml:space="preserve"> </w:t>
      </w:r>
      <w:r w:rsidRPr="00E74C28">
        <w:rPr>
          <w:szCs w:val="20"/>
        </w:rPr>
        <w:t>favored</w:t>
      </w:r>
      <w:r w:rsidR="00C64050">
        <w:rPr>
          <w:szCs w:val="20"/>
        </w:rPr>
        <w:t xml:space="preserve"> </w:t>
      </w:r>
      <w:r w:rsidRPr="00E74C28">
        <w:rPr>
          <w:szCs w:val="20"/>
        </w:rPr>
        <w:t>in</w:t>
      </w:r>
      <w:r w:rsidR="00C64050">
        <w:rPr>
          <w:szCs w:val="20"/>
        </w:rPr>
        <w:t xml:space="preserve"> </w:t>
      </w:r>
      <w:r w:rsidRPr="00E74C28">
        <w:rPr>
          <w:szCs w:val="20"/>
        </w:rPr>
        <w:t>the</w:t>
      </w:r>
      <w:r w:rsidR="00C64050">
        <w:rPr>
          <w:szCs w:val="20"/>
        </w:rPr>
        <w:t xml:space="preserve"> </w:t>
      </w:r>
      <w:r w:rsidRPr="00E74C28">
        <w:rPr>
          <w:szCs w:val="20"/>
        </w:rPr>
        <w:t>law</w:t>
      </w:r>
      <w:r w:rsidR="00C64050">
        <w:rPr>
          <w:szCs w:val="20"/>
        </w:rPr>
        <w:t xml:space="preserve"> </w:t>
      </w:r>
      <w:r w:rsidRPr="00E74C28">
        <w:rPr>
          <w:szCs w:val="20"/>
        </w:rPr>
        <w:t>and</w:t>
      </w:r>
      <w:r w:rsidR="00C64050">
        <w:rPr>
          <w:szCs w:val="20"/>
        </w:rPr>
        <w:t xml:space="preserve"> </w:t>
      </w:r>
      <w:r w:rsidRPr="00E74C28">
        <w:rPr>
          <w:szCs w:val="20"/>
        </w:rPr>
        <w:t>will</w:t>
      </w:r>
      <w:r w:rsidR="00C64050">
        <w:rPr>
          <w:szCs w:val="20"/>
        </w:rPr>
        <w:t xml:space="preserve"> </w:t>
      </w:r>
      <w:r w:rsidRPr="00E74C28">
        <w:rPr>
          <w:szCs w:val="20"/>
        </w:rPr>
        <w:t>not</w:t>
      </w:r>
      <w:r w:rsidR="00C64050">
        <w:rPr>
          <w:szCs w:val="20"/>
        </w:rPr>
        <w:t xml:space="preserve"> </w:t>
      </w:r>
      <w:r w:rsidRPr="00E74C28">
        <w:rPr>
          <w:szCs w:val="20"/>
        </w:rPr>
        <w:t>be</w:t>
      </w:r>
      <w:r w:rsidR="00C64050">
        <w:rPr>
          <w:szCs w:val="20"/>
        </w:rPr>
        <w:t xml:space="preserve"> </w:t>
      </w:r>
      <w:r w:rsidRPr="00E74C28">
        <w:rPr>
          <w:szCs w:val="20"/>
        </w:rPr>
        <w:t>enforced</w:t>
      </w:r>
      <w:r w:rsidR="00C64050">
        <w:rPr>
          <w:szCs w:val="20"/>
        </w:rPr>
        <w:t xml:space="preserve"> </w:t>
      </w:r>
      <w:r w:rsidRPr="00E74C28">
        <w:rPr>
          <w:szCs w:val="20"/>
        </w:rPr>
        <w:t>except</w:t>
      </w:r>
      <w:r w:rsidR="00C64050">
        <w:rPr>
          <w:szCs w:val="20"/>
        </w:rPr>
        <w:t xml:space="preserve"> </w:t>
      </w:r>
      <w:r w:rsidRPr="00E74C28">
        <w:rPr>
          <w:szCs w:val="20"/>
        </w:rPr>
        <w:t>according</w:t>
      </w:r>
      <w:r w:rsidR="00C64050">
        <w:rPr>
          <w:szCs w:val="20"/>
        </w:rPr>
        <w:t xml:space="preserve"> </w:t>
      </w:r>
      <w:r w:rsidRPr="00E74C28">
        <w:rPr>
          <w:szCs w:val="20"/>
        </w:rPr>
        <w:t>to</w:t>
      </w:r>
      <w:r w:rsidR="00C64050">
        <w:rPr>
          <w:szCs w:val="20"/>
        </w:rPr>
        <w:t xml:space="preserve"> </w:t>
      </w:r>
      <w:r w:rsidRPr="00E74C28">
        <w:rPr>
          <w:szCs w:val="20"/>
        </w:rPr>
        <w:t>their</w:t>
      </w:r>
      <w:r w:rsidR="00C64050">
        <w:rPr>
          <w:szCs w:val="20"/>
        </w:rPr>
        <w:t xml:space="preserve"> </w:t>
      </w:r>
      <w:r w:rsidRPr="00E74C28">
        <w:rPr>
          <w:szCs w:val="20"/>
        </w:rPr>
        <w:t>clear</w:t>
      </w:r>
      <w:r w:rsidR="00C64050">
        <w:rPr>
          <w:szCs w:val="20"/>
        </w:rPr>
        <w:t xml:space="preserve"> </w:t>
      </w:r>
      <w:r w:rsidRPr="00E74C28">
        <w:rPr>
          <w:szCs w:val="20"/>
        </w:rPr>
        <w:t>terms,”</w:t>
      </w:r>
      <w:r w:rsidR="00C64050">
        <w:rPr>
          <w:szCs w:val="20"/>
        </w:rPr>
        <w:t xml:space="preserve"> </w:t>
      </w:r>
      <w:r w:rsidRPr="00E74C28">
        <w:rPr>
          <w:rStyle w:val="Emphasis"/>
          <w:szCs w:val="20"/>
        </w:rPr>
        <w:t>Rafalko</w:t>
      </w:r>
      <w:r w:rsidRPr="00E74C28">
        <w:rPr>
          <w:szCs w:val="20"/>
        </w:rPr>
        <w:t>,</w:t>
      </w:r>
      <w:r w:rsidR="00C64050">
        <w:rPr>
          <w:szCs w:val="20"/>
        </w:rPr>
        <w:t xml:space="preserve"> </w:t>
      </w:r>
      <w:r w:rsidRPr="00E74C28">
        <w:rPr>
          <w:szCs w:val="20"/>
        </w:rPr>
        <w:t>290</w:t>
      </w:r>
      <w:r w:rsidR="00C64050">
        <w:rPr>
          <w:szCs w:val="20"/>
        </w:rPr>
        <w:t xml:space="preserve"> </w:t>
      </w:r>
      <w:r w:rsidRPr="00E74C28">
        <w:rPr>
          <w:szCs w:val="20"/>
        </w:rPr>
        <w:t>Va.</w:t>
      </w:r>
      <w:r w:rsidR="00C64050">
        <w:rPr>
          <w:szCs w:val="20"/>
        </w:rPr>
        <w:t xml:space="preserve"> </w:t>
      </w:r>
      <w:r w:rsidRPr="00E74C28">
        <w:rPr>
          <w:szCs w:val="20"/>
        </w:rPr>
        <w:t>at</w:t>
      </w:r>
      <w:r w:rsidR="00C64050">
        <w:rPr>
          <w:szCs w:val="20"/>
        </w:rPr>
        <w:t xml:space="preserve"> </w:t>
      </w:r>
      <w:r w:rsidRPr="00E74C28">
        <w:rPr>
          <w:szCs w:val="20"/>
        </w:rPr>
        <w:t>402,</w:t>
      </w:r>
      <w:r w:rsidR="00C64050">
        <w:rPr>
          <w:szCs w:val="20"/>
        </w:rPr>
        <w:t xml:space="preserve"> </w:t>
      </w:r>
      <w:r w:rsidRPr="00E74C28">
        <w:rPr>
          <w:szCs w:val="20"/>
        </w:rPr>
        <w:t>777</w:t>
      </w:r>
      <w:r w:rsidR="00C64050">
        <w:rPr>
          <w:szCs w:val="20"/>
        </w:rPr>
        <w:t xml:space="preserve"> </w:t>
      </w:r>
      <w:r w:rsidRPr="00E74C28">
        <w:rPr>
          <w:szCs w:val="20"/>
        </w:rPr>
        <w:t>S.E.2d</w:t>
      </w:r>
      <w:r w:rsidR="00C64050">
        <w:rPr>
          <w:szCs w:val="20"/>
        </w:rPr>
        <w:t xml:space="preserve"> </w:t>
      </w:r>
      <w:r w:rsidRPr="00E74C28">
        <w:rPr>
          <w:szCs w:val="20"/>
        </w:rPr>
        <w:t>870.</w:t>
      </w:r>
      <w:r w:rsidR="00C64050">
        <w:rPr>
          <w:szCs w:val="20"/>
        </w:rPr>
        <w:t xml:space="preserve"> </w:t>
      </w:r>
      <w:r w:rsidRPr="00E74C28">
        <w:rPr>
          <w:szCs w:val="20"/>
        </w:rPr>
        <w:t>To</w:t>
      </w:r>
      <w:r w:rsidR="00C64050">
        <w:rPr>
          <w:szCs w:val="20"/>
        </w:rPr>
        <w:t xml:space="preserve"> </w:t>
      </w:r>
      <w:r w:rsidRPr="00E74C28">
        <w:rPr>
          <w:szCs w:val="20"/>
        </w:rPr>
        <w:t>be</w:t>
      </w:r>
      <w:r w:rsidR="00C64050">
        <w:rPr>
          <w:szCs w:val="20"/>
        </w:rPr>
        <w:t xml:space="preserve"> </w:t>
      </w:r>
      <w:r w:rsidRPr="00E74C28">
        <w:rPr>
          <w:szCs w:val="20"/>
        </w:rPr>
        <w:t>effective,</w:t>
      </w:r>
      <w:r w:rsidR="00C64050">
        <w:rPr>
          <w:szCs w:val="20"/>
        </w:rPr>
        <w:t xml:space="preserve"> </w:t>
      </w:r>
      <w:r w:rsidRPr="00E74C28">
        <w:rPr>
          <w:szCs w:val="20"/>
        </w:rPr>
        <w:t>the</w:t>
      </w:r>
      <w:r w:rsidR="00C64050">
        <w:rPr>
          <w:szCs w:val="20"/>
        </w:rPr>
        <w:t xml:space="preserve"> </w:t>
      </w:r>
      <w:r w:rsidRPr="00E74C28">
        <w:rPr>
          <w:szCs w:val="20"/>
        </w:rPr>
        <w:t>provision</w:t>
      </w:r>
      <w:r w:rsidR="00C64050">
        <w:rPr>
          <w:szCs w:val="20"/>
        </w:rPr>
        <w:t xml:space="preserve"> </w:t>
      </w:r>
      <w:r w:rsidRPr="00E74C28">
        <w:rPr>
          <w:szCs w:val="20"/>
        </w:rPr>
        <w:t>must</w:t>
      </w:r>
      <w:r w:rsidR="00C64050">
        <w:rPr>
          <w:szCs w:val="20"/>
        </w:rPr>
        <w:t xml:space="preserve"> </w:t>
      </w:r>
      <w:r w:rsidRPr="00E74C28">
        <w:rPr>
          <w:szCs w:val="20"/>
        </w:rPr>
        <w:t>“precisely</w:t>
      </w:r>
      <w:r w:rsidR="00C64050">
        <w:rPr>
          <w:szCs w:val="20"/>
        </w:rPr>
        <w:t xml:space="preserve"> </w:t>
      </w:r>
      <w:r w:rsidRPr="00E74C28">
        <w:rPr>
          <w:szCs w:val="20"/>
        </w:rPr>
        <w:t>express”</w:t>
      </w:r>
      <w:r w:rsidR="00C64050">
        <w:rPr>
          <w:szCs w:val="20"/>
        </w:rPr>
        <w:t xml:space="preserve"> </w:t>
      </w:r>
      <w:r w:rsidRPr="00E74C28">
        <w:rPr>
          <w:szCs w:val="20"/>
        </w:rPr>
        <w:t>an</w:t>
      </w:r>
      <w:r w:rsidR="00C64050">
        <w:rPr>
          <w:szCs w:val="20"/>
        </w:rPr>
        <w:t xml:space="preserve"> </w:t>
      </w:r>
      <w:r w:rsidRPr="00E74C28">
        <w:rPr>
          <w:szCs w:val="20"/>
        </w:rPr>
        <w:t>intent</w:t>
      </w:r>
      <w:r w:rsidR="00C64050">
        <w:rPr>
          <w:szCs w:val="20"/>
        </w:rPr>
        <w:t xml:space="preserve"> </w:t>
      </w:r>
      <w:r w:rsidRPr="00E74C28">
        <w:rPr>
          <w:szCs w:val="20"/>
        </w:rPr>
        <w:t>to</w:t>
      </w:r>
      <w:r w:rsidR="00C64050">
        <w:rPr>
          <w:szCs w:val="20"/>
        </w:rPr>
        <w:t xml:space="preserve"> </w:t>
      </w:r>
      <w:r w:rsidRPr="00E74C28">
        <w:rPr>
          <w:szCs w:val="20"/>
        </w:rPr>
        <w:t>cause</w:t>
      </w:r>
      <w:r w:rsidR="00C64050">
        <w:rPr>
          <w:szCs w:val="20"/>
        </w:rPr>
        <w:t xml:space="preserve"> </w:t>
      </w:r>
      <w:r w:rsidRPr="00E74C28">
        <w:rPr>
          <w:szCs w:val="20"/>
        </w:rPr>
        <w:t>a</w:t>
      </w:r>
      <w:r w:rsidR="00C64050">
        <w:rPr>
          <w:szCs w:val="20"/>
        </w:rPr>
        <w:t xml:space="preserve"> </w:t>
      </w:r>
      <w:r w:rsidRPr="00E74C28">
        <w:rPr>
          <w:szCs w:val="20"/>
        </w:rPr>
        <w:t>forfeiture.</w:t>
      </w:r>
      <w:r w:rsidR="00C64050">
        <w:rPr>
          <w:szCs w:val="20"/>
        </w:rPr>
        <w:t xml:space="preserve"> </w:t>
      </w:r>
      <w:r w:rsidRPr="00E74C28">
        <w:rPr>
          <w:rStyle w:val="Emphasis"/>
          <w:szCs w:val="20"/>
        </w:rPr>
        <w:t>Keener</w:t>
      </w:r>
      <w:r w:rsidRPr="00E74C28">
        <w:rPr>
          <w:szCs w:val="20"/>
        </w:rPr>
        <w:t>,</w:t>
      </w:r>
      <w:r w:rsidR="00C64050">
        <w:rPr>
          <w:szCs w:val="20"/>
        </w:rPr>
        <w:t xml:space="preserve"> </w:t>
      </w:r>
      <w:r w:rsidRPr="00E74C28">
        <w:rPr>
          <w:szCs w:val="20"/>
        </w:rPr>
        <w:t>278</w:t>
      </w:r>
      <w:r w:rsidR="00C64050">
        <w:rPr>
          <w:szCs w:val="20"/>
        </w:rPr>
        <w:t xml:space="preserve"> </w:t>
      </w:r>
      <w:r w:rsidRPr="00E74C28">
        <w:rPr>
          <w:szCs w:val="20"/>
        </w:rPr>
        <w:t>Va.</w:t>
      </w:r>
      <w:r w:rsidR="00C64050">
        <w:rPr>
          <w:szCs w:val="20"/>
        </w:rPr>
        <w:t xml:space="preserve"> </w:t>
      </w:r>
      <w:r w:rsidRPr="00E74C28">
        <w:rPr>
          <w:szCs w:val="20"/>
        </w:rPr>
        <w:t>at</w:t>
      </w:r>
      <w:r w:rsidR="00C64050">
        <w:rPr>
          <w:szCs w:val="20"/>
        </w:rPr>
        <w:t xml:space="preserve"> </w:t>
      </w:r>
      <w:r w:rsidRPr="00E74C28">
        <w:rPr>
          <w:szCs w:val="20"/>
        </w:rPr>
        <w:t>443,</w:t>
      </w:r>
      <w:r w:rsidR="00C64050">
        <w:rPr>
          <w:szCs w:val="20"/>
        </w:rPr>
        <w:t xml:space="preserve"> </w:t>
      </w:r>
      <w:r w:rsidRPr="00E74C28">
        <w:rPr>
          <w:szCs w:val="20"/>
        </w:rPr>
        <w:t>682</w:t>
      </w:r>
      <w:r w:rsidR="00C64050">
        <w:rPr>
          <w:szCs w:val="20"/>
        </w:rPr>
        <w:t xml:space="preserve"> </w:t>
      </w:r>
      <w:r w:rsidRPr="00E74C28">
        <w:rPr>
          <w:szCs w:val="20"/>
        </w:rPr>
        <w:t>S.E.2d</w:t>
      </w:r>
      <w:r w:rsidR="00C64050">
        <w:rPr>
          <w:szCs w:val="20"/>
        </w:rPr>
        <w:t xml:space="preserve"> </w:t>
      </w:r>
      <w:r w:rsidRPr="00E74C28">
        <w:rPr>
          <w:szCs w:val="20"/>
        </w:rPr>
        <w:t>545.</w:t>
      </w:r>
      <w:r w:rsidR="00C64050">
        <w:rPr>
          <w:szCs w:val="20"/>
        </w:rPr>
        <w:t xml:space="preserve"> </w:t>
      </w:r>
      <w:r w:rsidRPr="00E74C28">
        <w:rPr>
          <w:szCs w:val="20"/>
        </w:rPr>
        <w:t>“The</w:t>
      </w:r>
      <w:r w:rsidR="00C64050">
        <w:rPr>
          <w:szCs w:val="20"/>
        </w:rPr>
        <w:t xml:space="preserve"> </w:t>
      </w:r>
      <w:r w:rsidRPr="00E74C28">
        <w:rPr>
          <w:szCs w:val="20"/>
        </w:rPr>
        <w:t>instrument</w:t>
      </w:r>
      <w:r w:rsidR="00C64050">
        <w:rPr>
          <w:szCs w:val="20"/>
        </w:rPr>
        <w:t xml:space="preserve"> </w:t>
      </w:r>
      <w:r w:rsidRPr="00E74C28">
        <w:rPr>
          <w:szCs w:val="20"/>
        </w:rPr>
        <w:t>must</w:t>
      </w:r>
      <w:r w:rsidR="00C64050">
        <w:rPr>
          <w:szCs w:val="20"/>
        </w:rPr>
        <w:t xml:space="preserve"> </w:t>
      </w:r>
      <w:r w:rsidRPr="00E74C28">
        <w:rPr>
          <w:szCs w:val="20"/>
        </w:rPr>
        <w:t>give</w:t>
      </w:r>
      <w:r w:rsidR="00C64050">
        <w:rPr>
          <w:szCs w:val="20"/>
        </w:rPr>
        <w:t xml:space="preserve"> </w:t>
      </w:r>
      <w:r w:rsidRPr="00E74C28">
        <w:rPr>
          <w:szCs w:val="20"/>
        </w:rPr>
        <w:t>the</w:t>
      </w:r>
      <w:r w:rsidR="00C64050">
        <w:rPr>
          <w:szCs w:val="20"/>
        </w:rPr>
        <w:t xml:space="preserve"> </w:t>
      </w:r>
      <w:r w:rsidRPr="00E74C28">
        <w:rPr>
          <w:szCs w:val="20"/>
        </w:rPr>
        <w:t>right</w:t>
      </w:r>
      <w:r w:rsidR="00C64050">
        <w:rPr>
          <w:szCs w:val="20"/>
        </w:rPr>
        <w:t xml:space="preserve"> </w:t>
      </w:r>
      <w:r w:rsidRPr="00E74C28">
        <w:rPr>
          <w:szCs w:val="20"/>
        </w:rPr>
        <w:t>of</w:t>
      </w:r>
      <w:r w:rsidR="00C64050">
        <w:rPr>
          <w:szCs w:val="20"/>
        </w:rPr>
        <w:t xml:space="preserve"> </w:t>
      </w:r>
      <w:r w:rsidRPr="00E74C28">
        <w:rPr>
          <w:szCs w:val="20"/>
        </w:rPr>
        <w:t>forfeiture</w:t>
      </w:r>
      <w:r w:rsidR="00C64050">
        <w:rPr>
          <w:szCs w:val="20"/>
        </w:rPr>
        <w:t xml:space="preserve"> </w:t>
      </w:r>
      <w:r w:rsidRPr="00E74C28">
        <w:rPr>
          <w:szCs w:val="20"/>
        </w:rPr>
        <w:t>in</w:t>
      </w:r>
      <w:r w:rsidR="00C64050">
        <w:rPr>
          <w:szCs w:val="20"/>
        </w:rPr>
        <w:t xml:space="preserve"> </w:t>
      </w:r>
      <w:r w:rsidRPr="00E74C28">
        <w:rPr>
          <w:szCs w:val="20"/>
        </w:rPr>
        <w:t>terms</w:t>
      </w:r>
      <w:r w:rsidR="00C64050">
        <w:rPr>
          <w:szCs w:val="20"/>
        </w:rPr>
        <w:t xml:space="preserve"> </w:t>
      </w:r>
      <w:r w:rsidRPr="00E74C28">
        <w:rPr>
          <w:szCs w:val="20"/>
        </w:rPr>
        <w:t>so</w:t>
      </w:r>
      <w:r w:rsidR="00C64050">
        <w:rPr>
          <w:szCs w:val="20"/>
        </w:rPr>
        <w:t xml:space="preserve"> </w:t>
      </w:r>
      <w:r w:rsidRPr="00E74C28">
        <w:rPr>
          <w:szCs w:val="20"/>
        </w:rPr>
        <w:t>clear</w:t>
      </w:r>
      <w:r w:rsidR="00C64050">
        <w:rPr>
          <w:szCs w:val="20"/>
        </w:rPr>
        <w:t xml:space="preserve"> </w:t>
      </w:r>
      <w:r w:rsidRPr="00E74C28">
        <w:rPr>
          <w:szCs w:val="20"/>
        </w:rPr>
        <w:t>and</w:t>
      </w:r>
      <w:r w:rsidR="00C64050">
        <w:rPr>
          <w:szCs w:val="20"/>
        </w:rPr>
        <w:t xml:space="preserve"> </w:t>
      </w:r>
      <w:r w:rsidRPr="00E74C28">
        <w:rPr>
          <w:szCs w:val="20"/>
        </w:rPr>
        <w:t>explicit</w:t>
      </w:r>
      <w:r w:rsidR="00C64050">
        <w:rPr>
          <w:szCs w:val="20"/>
        </w:rPr>
        <w:t xml:space="preserve"> </w:t>
      </w:r>
      <w:r w:rsidRPr="00E74C28">
        <w:rPr>
          <w:szCs w:val="20"/>
        </w:rPr>
        <w:t>as</w:t>
      </w:r>
      <w:r w:rsidR="00C64050">
        <w:rPr>
          <w:szCs w:val="20"/>
        </w:rPr>
        <w:t xml:space="preserve"> </w:t>
      </w:r>
      <w:r w:rsidRPr="00E74C28">
        <w:rPr>
          <w:szCs w:val="20"/>
        </w:rPr>
        <w:t>to</w:t>
      </w:r>
      <w:r w:rsidR="00C64050">
        <w:rPr>
          <w:szCs w:val="20"/>
        </w:rPr>
        <w:t xml:space="preserve"> </w:t>
      </w:r>
      <w:r w:rsidRPr="00E74C28">
        <w:rPr>
          <w:szCs w:val="20"/>
        </w:rPr>
        <w:t>leave</w:t>
      </w:r>
      <w:r w:rsidR="00C64050">
        <w:rPr>
          <w:szCs w:val="20"/>
        </w:rPr>
        <w:t xml:space="preserve"> </w:t>
      </w:r>
      <w:r w:rsidRPr="00E74C28">
        <w:rPr>
          <w:szCs w:val="20"/>
        </w:rPr>
        <w:t>no</w:t>
      </w:r>
      <w:r w:rsidR="00C64050">
        <w:rPr>
          <w:szCs w:val="20"/>
        </w:rPr>
        <w:t xml:space="preserve"> </w:t>
      </w:r>
      <w:r w:rsidRPr="00E74C28">
        <w:rPr>
          <w:szCs w:val="20"/>
        </w:rPr>
        <w:t>room</w:t>
      </w:r>
      <w:r w:rsidR="00C64050">
        <w:rPr>
          <w:szCs w:val="20"/>
        </w:rPr>
        <w:t xml:space="preserve"> </w:t>
      </w:r>
      <w:r w:rsidRPr="00E74C28">
        <w:rPr>
          <w:szCs w:val="20"/>
        </w:rPr>
        <w:t>for</w:t>
      </w:r>
      <w:r w:rsidR="00C64050">
        <w:rPr>
          <w:szCs w:val="20"/>
        </w:rPr>
        <w:t xml:space="preserve"> </w:t>
      </w:r>
      <w:r w:rsidRPr="00E74C28">
        <w:rPr>
          <w:szCs w:val="20"/>
        </w:rPr>
        <w:t>any</w:t>
      </w:r>
      <w:r w:rsidR="00C64050">
        <w:rPr>
          <w:szCs w:val="20"/>
        </w:rPr>
        <w:t xml:space="preserve"> </w:t>
      </w:r>
      <w:r w:rsidRPr="00E74C28">
        <w:rPr>
          <w:szCs w:val="20"/>
        </w:rPr>
        <w:t>other</w:t>
      </w:r>
      <w:r w:rsidR="00C64050">
        <w:rPr>
          <w:szCs w:val="20"/>
        </w:rPr>
        <w:t xml:space="preserve"> </w:t>
      </w:r>
      <w:r w:rsidRPr="00E74C28">
        <w:rPr>
          <w:szCs w:val="20"/>
        </w:rPr>
        <w:t>construction.”</w:t>
      </w:r>
      <w:r w:rsidR="00C64050">
        <w:rPr>
          <w:szCs w:val="20"/>
        </w:rPr>
        <w:t xml:space="preserve"> </w:t>
      </w:r>
      <w:r w:rsidRPr="00E74C28">
        <w:rPr>
          <w:rStyle w:val="Emphasis"/>
          <w:szCs w:val="20"/>
        </w:rPr>
        <w:t>Davis</w:t>
      </w:r>
      <w:r w:rsidRPr="00E74C28">
        <w:rPr>
          <w:szCs w:val="20"/>
        </w:rPr>
        <w:t>,</w:t>
      </w:r>
      <w:r w:rsidR="00C64050">
        <w:rPr>
          <w:szCs w:val="20"/>
        </w:rPr>
        <w:t xml:space="preserve"> </w:t>
      </w:r>
      <w:r w:rsidRPr="00E74C28">
        <w:rPr>
          <w:szCs w:val="20"/>
        </w:rPr>
        <w:t>205</w:t>
      </w:r>
      <w:r w:rsidR="00C64050">
        <w:rPr>
          <w:szCs w:val="20"/>
        </w:rPr>
        <w:t xml:space="preserve"> </w:t>
      </w:r>
      <w:r w:rsidRPr="00E74C28">
        <w:rPr>
          <w:szCs w:val="20"/>
        </w:rPr>
        <w:t>Va.</w:t>
      </w:r>
      <w:r w:rsidR="00C64050">
        <w:rPr>
          <w:szCs w:val="20"/>
        </w:rPr>
        <w:t xml:space="preserve"> </w:t>
      </w:r>
      <w:r w:rsidRPr="00E74C28">
        <w:rPr>
          <w:szCs w:val="20"/>
        </w:rPr>
        <w:t>at</w:t>
      </w:r>
      <w:r w:rsidR="00C64050">
        <w:rPr>
          <w:szCs w:val="20"/>
        </w:rPr>
        <w:t xml:space="preserve"> </w:t>
      </w:r>
      <w:r w:rsidRPr="00E74C28">
        <w:rPr>
          <w:szCs w:val="20"/>
        </w:rPr>
        <w:t>169,</w:t>
      </w:r>
      <w:r w:rsidR="00C64050">
        <w:rPr>
          <w:szCs w:val="20"/>
        </w:rPr>
        <w:t xml:space="preserve"> </w:t>
      </w:r>
      <w:r w:rsidRPr="00E74C28">
        <w:rPr>
          <w:szCs w:val="20"/>
        </w:rPr>
        <w:t>135</w:t>
      </w:r>
      <w:r w:rsidR="00C64050">
        <w:rPr>
          <w:szCs w:val="20"/>
        </w:rPr>
        <w:t xml:space="preserve"> </w:t>
      </w:r>
      <w:r w:rsidRPr="00E74C28">
        <w:rPr>
          <w:szCs w:val="20"/>
        </w:rPr>
        <w:t>S.E.2d</w:t>
      </w:r>
      <w:r w:rsidR="00C64050">
        <w:rPr>
          <w:szCs w:val="20"/>
        </w:rPr>
        <w:t xml:space="preserve"> </w:t>
      </w:r>
      <w:r w:rsidRPr="00E74C28">
        <w:rPr>
          <w:szCs w:val="20"/>
        </w:rPr>
        <w:t>812.</w:t>
      </w:r>
      <w:r w:rsidR="00C64050">
        <w:rPr>
          <w:szCs w:val="20"/>
        </w:rPr>
        <w:t xml:space="preserve"> </w:t>
      </w:r>
      <w:r w:rsidRPr="00E74C28">
        <w:rPr>
          <w:szCs w:val="20"/>
        </w:rPr>
        <w:t>These</w:t>
      </w:r>
      <w:r w:rsidR="00C64050">
        <w:rPr>
          <w:szCs w:val="20"/>
        </w:rPr>
        <w:t xml:space="preserve"> </w:t>
      </w:r>
      <w:r w:rsidRPr="00E74C28">
        <w:rPr>
          <w:szCs w:val="20"/>
        </w:rPr>
        <w:t>canons</w:t>
      </w:r>
      <w:r w:rsidR="00C64050">
        <w:rPr>
          <w:szCs w:val="20"/>
        </w:rPr>
        <w:t xml:space="preserve"> </w:t>
      </w:r>
      <w:r w:rsidRPr="00E74C28">
        <w:rPr>
          <w:szCs w:val="20"/>
        </w:rPr>
        <w:t>of</w:t>
      </w:r>
      <w:r w:rsidR="00C64050">
        <w:rPr>
          <w:szCs w:val="20"/>
        </w:rPr>
        <w:t xml:space="preserve"> </w:t>
      </w:r>
      <w:r w:rsidRPr="00E74C28">
        <w:rPr>
          <w:szCs w:val="20"/>
        </w:rPr>
        <w:t>construction</w:t>
      </w:r>
      <w:r w:rsidR="00C64050">
        <w:rPr>
          <w:szCs w:val="20"/>
        </w:rPr>
        <w:t xml:space="preserve"> </w:t>
      </w:r>
      <w:r w:rsidRPr="00E74C28">
        <w:rPr>
          <w:szCs w:val="20"/>
        </w:rPr>
        <w:t>have</w:t>
      </w:r>
      <w:r w:rsidR="00C64050">
        <w:rPr>
          <w:szCs w:val="20"/>
        </w:rPr>
        <w:t xml:space="preserve"> </w:t>
      </w:r>
      <w:r w:rsidRPr="00E74C28">
        <w:rPr>
          <w:szCs w:val="20"/>
        </w:rPr>
        <w:t>great</w:t>
      </w:r>
      <w:r w:rsidR="00C64050">
        <w:rPr>
          <w:szCs w:val="20"/>
        </w:rPr>
        <w:t xml:space="preserve"> </w:t>
      </w:r>
      <w:r w:rsidRPr="00E74C28">
        <w:rPr>
          <w:szCs w:val="20"/>
        </w:rPr>
        <w:t>weight</w:t>
      </w:r>
      <w:r w:rsidR="00C64050">
        <w:rPr>
          <w:szCs w:val="20"/>
        </w:rPr>
        <w:t xml:space="preserve"> </w:t>
      </w:r>
      <w:r w:rsidRPr="00E74C28">
        <w:rPr>
          <w:szCs w:val="20"/>
        </w:rPr>
        <w:t>in</w:t>
      </w:r>
      <w:r w:rsidR="00C64050">
        <w:rPr>
          <w:szCs w:val="20"/>
        </w:rPr>
        <w:t xml:space="preserve"> </w:t>
      </w:r>
      <w:r w:rsidRPr="00E74C28">
        <w:rPr>
          <w:szCs w:val="20"/>
        </w:rPr>
        <w:t>the</w:t>
      </w:r>
      <w:r w:rsidR="00C64050">
        <w:rPr>
          <w:szCs w:val="20"/>
        </w:rPr>
        <w:t xml:space="preserve"> </w:t>
      </w:r>
      <w:r w:rsidRPr="00E74C28">
        <w:rPr>
          <w:szCs w:val="20"/>
        </w:rPr>
        <w:t>context</w:t>
      </w:r>
      <w:r w:rsidR="00C64050">
        <w:rPr>
          <w:szCs w:val="20"/>
        </w:rPr>
        <w:t xml:space="preserve"> </w:t>
      </w:r>
      <w:r w:rsidRPr="00E74C28">
        <w:rPr>
          <w:szCs w:val="20"/>
        </w:rPr>
        <w:t>of</w:t>
      </w:r>
      <w:r w:rsidR="00C64050">
        <w:rPr>
          <w:szCs w:val="20"/>
        </w:rPr>
        <w:t xml:space="preserve"> </w:t>
      </w:r>
      <w:r w:rsidRPr="00E74C28">
        <w:rPr>
          <w:szCs w:val="20"/>
        </w:rPr>
        <w:t>a</w:t>
      </w:r>
      <w:r w:rsidR="00C64050">
        <w:rPr>
          <w:szCs w:val="20"/>
        </w:rPr>
        <w:t xml:space="preserve"> </w:t>
      </w:r>
      <w:r w:rsidRPr="00E74C28">
        <w:rPr>
          <w:szCs w:val="20"/>
        </w:rPr>
        <w:t>no-contest</w:t>
      </w:r>
      <w:r w:rsidR="00C64050">
        <w:rPr>
          <w:szCs w:val="20"/>
        </w:rPr>
        <w:t xml:space="preserve"> </w:t>
      </w:r>
      <w:r w:rsidRPr="00E74C28">
        <w:rPr>
          <w:szCs w:val="20"/>
        </w:rPr>
        <w:t>provision</w:t>
      </w:r>
      <w:r w:rsidR="00C64050">
        <w:rPr>
          <w:szCs w:val="20"/>
        </w:rPr>
        <w:t xml:space="preserve"> </w:t>
      </w:r>
      <w:r w:rsidRPr="00E74C28">
        <w:rPr>
          <w:szCs w:val="20"/>
        </w:rPr>
        <w:t>in</w:t>
      </w:r>
      <w:r w:rsidR="00C64050">
        <w:rPr>
          <w:szCs w:val="20"/>
        </w:rPr>
        <w:t xml:space="preserve"> </w:t>
      </w:r>
      <w:r w:rsidRPr="00E74C28">
        <w:rPr>
          <w:szCs w:val="20"/>
        </w:rPr>
        <w:t>a</w:t>
      </w:r>
      <w:r w:rsidR="00C64050">
        <w:rPr>
          <w:szCs w:val="20"/>
        </w:rPr>
        <w:t xml:space="preserve"> </w:t>
      </w:r>
      <w:r w:rsidRPr="00E74C28">
        <w:rPr>
          <w:szCs w:val="20"/>
        </w:rPr>
        <w:t>trust</w:t>
      </w:r>
      <w:r w:rsidR="00C64050">
        <w:rPr>
          <w:szCs w:val="20"/>
        </w:rPr>
        <w:t xml:space="preserve"> </w:t>
      </w:r>
      <w:r w:rsidRPr="00E74C28">
        <w:rPr>
          <w:szCs w:val="20"/>
        </w:rPr>
        <w:t>instrument</w:t>
      </w:r>
      <w:r w:rsidR="00C64050">
        <w:rPr>
          <w:szCs w:val="20"/>
        </w:rPr>
        <w:t xml:space="preserve"> </w:t>
      </w:r>
      <w:r w:rsidRPr="00E74C28">
        <w:rPr>
          <w:szCs w:val="20"/>
        </w:rPr>
        <w:t>since</w:t>
      </w:r>
      <w:r w:rsidR="00C64050">
        <w:rPr>
          <w:szCs w:val="20"/>
        </w:rPr>
        <w:t xml:space="preserve"> </w:t>
      </w:r>
      <w:r w:rsidRPr="00E74C28">
        <w:rPr>
          <w:szCs w:val="20"/>
        </w:rPr>
        <w:t>a</w:t>
      </w:r>
      <w:r w:rsidR="00C64050">
        <w:rPr>
          <w:szCs w:val="20"/>
        </w:rPr>
        <w:t xml:space="preserve"> </w:t>
      </w:r>
      <w:r w:rsidRPr="00E74C28">
        <w:rPr>
          <w:szCs w:val="20"/>
        </w:rPr>
        <w:t>trust’s</w:t>
      </w:r>
      <w:r w:rsidR="00C64050">
        <w:rPr>
          <w:szCs w:val="20"/>
        </w:rPr>
        <w:t xml:space="preserve"> </w:t>
      </w:r>
      <w:r w:rsidRPr="00E74C28">
        <w:rPr>
          <w:szCs w:val="20"/>
        </w:rPr>
        <w:t>very</w:t>
      </w:r>
      <w:r w:rsidR="00C64050">
        <w:rPr>
          <w:szCs w:val="20"/>
        </w:rPr>
        <w:t xml:space="preserve"> </w:t>
      </w:r>
      <w:r w:rsidRPr="00E74C28">
        <w:rPr>
          <w:szCs w:val="20"/>
        </w:rPr>
        <w:t>identity</w:t>
      </w:r>
      <w:r w:rsidR="00C64050">
        <w:rPr>
          <w:szCs w:val="20"/>
        </w:rPr>
        <w:t xml:space="preserve"> </w:t>
      </w:r>
      <w:r w:rsidRPr="00E74C28">
        <w:rPr>
          <w:szCs w:val="20"/>
        </w:rPr>
        <w:t>as</w:t>
      </w:r>
      <w:r w:rsidR="00C64050">
        <w:rPr>
          <w:szCs w:val="20"/>
        </w:rPr>
        <w:t xml:space="preserve"> </w:t>
      </w:r>
      <w:r w:rsidRPr="00E74C28">
        <w:rPr>
          <w:szCs w:val="20"/>
        </w:rPr>
        <w:t>a</w:t>
      </w:r>
      <w:r w:rsidR="00C64050">
        <w:rPr>
          <w:szCs w:val="20"/>
        </w:rPr>
        <w:t xml:space="preserve"> </w:t>
      </w:r>
      <w:r w:rsidRPr="00E74C28">
        <w:rPr>
          <w:szCs w:val="20"/>
        </w:rPr>
        <w:t>creature</w:t>
      </w:r>
      <w:r w:rsidR="00C64050">
        <w:rPr>
          <w:szCs w:val="20"/>
        </w:rPr>
        <w:t xml:space="preserve"> </w:t>
      </w:r>
      <w:r w:rsidRPr="00E74C28">
        <w:rPr>
          <w:szCs w:val="20"/>
        </w:rPr>
        <w:t>of</w:t>
      </w:r>
      <w:r w:rsidR="00C64050">
        <w:rPr>
          <w:szCs w:val="20"/>
        </w:rPr>
        <w:t xml:space="preserve"> </w:t>
      </w:r>
      <w:r w:rsidRPr="00E74C28">
        <w:rPr>
          <w:szCs w:val="20"/>
        </w:rPr>
        <w:t>equity</w:t>
      </w:r>
      <w:r w:rsidR="00C64050">
        <w:rPr>
          <w:szCs w:val="20"/>
        </w:rPr>
        <w:t xml:space="preserve"> </w:t>
      </w:r>
      <w:r w:rsidRPr="00E74C28">
        <w:rPr>
          <w:szCs w:val="20"/>
        </w:rPr>
        <w:t>presupposes</w:t>
      </w:r>
      <w:r w:rsidR="00C64050">
        <w:rPr>
          <w:szCs w:val="20"/>
        </w:rPr>
        <w:t xml:space="preserve"> </w:t>
      </w:r>
      <w:r w:rsidRPr="00E74C28">
        <w:rPr>
          <w:szCs w:val="20"/>
        </w:rPr>
        <w:t>the</w:t>
      </w:r>
      <w:r w:rsidR="00C64050">
        <w:rPr>
          <w:szCs w:val="20"/>
        </w:rPr>
        <w:t xml:space="preserve"> </w:t>
      </w:r>
      <w:r w:rsidRPr="00E74C28">
        <w:rPr>
          <w:szCs w:val="20"/>
        </w:rPr>
        <w:t>possibility</w:t>
      </w:r>
      <w:r w:rsidR="00C64050">
        <w:rPr>
          <w:szCs w:val="20"/>
        </w:rPr>
        <w:t xml:space="preserve"> </w:t>
      </w:r>
      <w:r w:rsidRPr="00E74C28">
        <w:rPr>
          <w:szCs w:val="20"/>
        </w:rPr>
        <w:t>of</w:t>
      </w:r>
      <w:r w:rsidR="00C64050">
        <w:rPr>
          <w:szCs w:val="20"/>
        </w:rPr>
        <w:t xml:space="preserve"> </w:t>
      </w:r>
      <w:r w:rsidRPr="00E74C28">
        <w:rPr>
          <w:szCs w:val="20"/>
        </w:rPr>
        <w:t>oversight</w:t>
      </w:r>
      <w:r w:rsidR="00C64050">
        <w:rPr>
          <w:szCs w:val="20"/>
        </w:rPr>
        <w:t xml:space="preserve"> </w:t>
      </w:r>
      <w:r w:rsidRPr="00E74C28">
        <w:rPr>
          <w:szCs w:val="20"/>
        </w:rPr>
        <w:t>of</w:t>
      </w:r>
      <w:r w:rsidR="00C64050">
        <w:rPr>
          <w:szCs w:val="20"/>
        </w:rPr>
        <w:t xml:space="preserve"> </w:t>
      </w:r>
      <w:r w:rsidRPr="00E74C28">
        <w:rPr>
          <w:szCs w:val="20"/>
        </w:rPr>
        <w:t>the</w:t>
      </w:r>
      <w:r w:rsidR="00C64050">
        <w:rPr>
          <w:szCs w:val="20"/>
        </w:rPr>
        <w:t xml:space="preserve"> </w:t>
      </w:r>
      <w:r w:rsidRPr="00E74C28">
        <w:rPr>
          <w:szCs w:val="20"/>
        </w:rPr>
        <w:t>trustee</w:t>
      </w:r>
      <w:r w:rsidR="00C64050">
        <w:rPr>
          <w:szCs w:val="20"/>
        </w:rPr>
        <w:t xml:space="preserve"> </w:t>
      </w:r>
      <w:r w:rsidRPr="00E74C28">
        <w:rPr>
          <w:szCs w:val="20"/>
        </w:rPr>
        <w:t>by</w:t>
      </w:r>
      <w:r w:rsidR="00C64050">
        <w:rPr>
          <w:szCs w:val="20"/>
        </w:rPr>
        <w:t xml:space="preserve"> </w:t>
      </w:r>
      <w:r w:rsidRPr="00E74C28">
        <w:rPr>
          <w:szCs w:val="20"/>
        </w:rPr>
        <w:t>a</w:t>
      </w:r>
      <w:r w:rsidR="00C64050">
        <w:rPr>
          <w:szCs w:val="20"/>
        </w:rPr>
        <w:t xml:space="preserve"> </w:t>
      </w:r>
      <w:r w:rsidRPr="00E74C28">
        <w:rPr>
          <w:szCs w:val="20"/>
        </w:rPr>
        <w:t>chancellor</w:t>
      </w:r>
      <w:r w:rsidR="00C64050">
        <w:rPr>
          <w:szCs w:val="20"/>
        </w:rPr>
        <w:t xml:space="preserve"> </w:t>
      </w:r>
      <w:r w:rsidRPr="00E74C28">
        <w:rPr>
          <w:szCs w:val="20"/>
        </w:rPr>
        <w:t>jealous</w:t>
      </w:r>
      <w:r w:rsidR="00C64050">
        <w:rPr>
          <w:szCs w:val="20"/>
        </w:rPr>
        <w:t xml:space="preserve"> </w:t>
      </w:r>
      <w:r w:rsidRPr="00E74C28">
        <w:rPr>
          <w:szCs w:val="20"/>
        </w:rPr>
        <w:t>of</w:t>
      </w:r>
      <w:r w:rsidR="00C64050">
        <w:rPr>
          <w:szCs w:val="20"/>
        </w:rPr>
        <w:t xml:space="preserve"> </w:t>
      </w:r>
      <w:r w:rsidRPr="00E74C28">
        <w:rPr>
          <w:szCs w:val="20"/>
        </w:rPr>
        <w:t>safeguarding</w:t>
      </w:r>
      <w:r w:rsidR="00C64050">
        <w:rPr>
          <w:szCs w:val="20"/>
        </w:rPr>
        <w:t xml:space="preserve"> </w:t>
      </w:r>
      <w:r w:rsidRPr="00E74C28">
        <w:rPr>
          <w:szCs w:val="20"/>
        </w:rPr>
        <w:t>the</w:t>
      </w:r>
      <w:r w:rsidR="00C64050">
        <w:rPr>
          <w:szCs w:val="20"/>
        </w:rPr>
        <w:t xml:space="preserve"> </w:t>
      </w:r>
      <w:r w:rsidRPr="00E74C28">
        <w:rPr>
          <w:szCs w:val="20"/>
        </w:rPr>
        <w:t>rights</w:t>
      </w:r>
      <w:r w:rsidR="00C64050">
        <w:rPr>
          <w:szCs w:val="20"/>
        </w:rPr>
        <w:t xml:space="preserve"> </w:t>
      </w:r>
      <w:r w:rsidRPr="00E74C28">
        <w:rPr>
          <w:szCs w:val="20"/>
        </w:rPr>
        <w:t>of</w:t>
      </w:r>
      <w:r w:rsidR="00C64050">
        <w:rPr>
          <w:szCs w:val="20"/>
        </w:rPr>
        <w:t xml:space="preserve"> </w:t>
      </w:r>
      <w:r w:rsidRPr="00E74C28">
        <w:rPr>
          <w:szCs w:val="20"/>
        </w:rPr>
        <w:t>all</w:t>
      </w:r>
      <w:r w:rsidR="00C64050">
        <w:rPr>
          <w:szCs w:val="20"/>
        </w:rPr>
        <w:t xml:space="preserve"> </w:t>
      </w:r>
      <w:r w:rsidRPr="00E74C28">
        <w:rPr>
          <w:szCs w:val="20"/>
        </w:rPr>
        <w:t>parties</w:t>
      </w:r>
      <w:r w:rsidR="00C64050">
        <w:rPr>
          <w:szCs w:val="20"/>
        </w:rPr>
        <w:t xml:space="preserve"> </w:t>
      </w:r>
      <w:r w:rsidRPr="00E74C28">
        <w:rPr>
          <w:szCs w:val="20"/>
        </w:rPr>
        <w:t>with</w:t>
      </w:r>
      <w:r w:rsidR="00C64050">
        <w:rPr>
          <w:szCs w:val="20"/>
        </w:rPr>
        <w:t xml:space="preserve"> </w:t>
      </w:r>
      <w:r w:rsidRPr="00E74C28">
        <w:rPr>
          <w:szCs w:val="20"/>
        </w:rPr>
        <w:t>an</w:t>
      </w:r>
      <w:r w:rsidR="00C64050">
        <w:rPr>
          <w:szCs w:val="20"/>
        </w:rPr>
        <w:t xml:space="preserve"> </w:t>
      </w:r>
      <w:r w:rsidRPr="00E74C28">
        <w:rPr>
          <w:szCs w:val="20"/>
        </w:rPr>
        <w:t>interest</w:t>
      </w:r>
      <w:r w:rsidR="00C64050">
        <w:rPr>
          <w:szCs w:val="20"/>
        </w:rPr>
        <w:t xml:space="preserve"> </w:t>
      </w:r>
      <w:r w:rsidRPr="00E74C28">
        <w:rPr>
          <w:szCs w:val="20"/>
        </w:rPr>
        <w:t>in</w:t>
      </w:r>
      <w:r w:rsidR="00C64050">
        <w:rPr>
          <w:szCs w:val="20"/>
        </w:rPr>
        <w:t xml:space="preserve"> </w:t>
      </w:r>
      <w:r w:rsidRPr="00E74C28">
        <w:rPr>
          <w:szCs w:val="20"/>
        </w:rPr>
        <w:t>the</w:t>
      </w:r>
      <w:r w:rsidR="00C64050">
        <w:rPr>
          <w:szCs w:val="20"/>
        </w:rPr>
        <w:t xml:space="preserve"> </w:t>
      </w:r>
      <w:r w:rsidRPr="00E74C28">
        <w:rPr>
          <w:szCs w:val="20"/>
        </w:rPr>
        <w:t>trust.</w:t>
      </w:r>
    </w:p>
    <w:p w:rsidR="00E74C28" w:rsidRPr="00E74C28" w:rsidRDefault="00E74C28" w:rsidP="00E74C28">
      <w:pPr>
        <w:pStyle w:val="QS10"/>
        <w:rPr>
          <w:szCs w:val="20"/>
        </w:rPr>
      </w:pPr>
      <w:r w:rsidRPr="00E74C28">
        <w:rPr>
          <w:szCs w:val="20"/>
        </w:rPr>
        <w:t>Strictly</w:t>
      </w:r>
      <w:r w:rsidR="00C64050">
        <w:rPr>
          <w:szCs w:val="20"/>
        </w:rPr>
        <w:t xml:space="preserve"> </w:t>
      </w:r>
      <w:r w:rsidRPr="00E74C28">
        <w:rPr>
          <w:szCs w:val="20"/>
        </w:rPr>
        <w:t>construed,</w:t>
      </w:r>
      <w:r w:rsidR="00C64050">
        <w:rPr>
          <w:szCs w:val="20"/>
        </w:rPr>
        <w:t xml:space="preserve"> </w:t>
      </w:r>
      <w:r w:rsidRPr="00E74C28">
        <w:rPr>
          <w:szCs w:val="20"/>
        </w:rPr>
        <w:t>the</w:t>
      </w:r>
      <w:r w:rsidR="00C64050">
        <w:rPr>
          <w:szCs w:val="20"/>
        </w:rPr>
        <w:t xml:space="preserve"> </w:t>
      </w:r>
      <w:r w:rsidRPr="00E74C28">
        <w:rPr>
          <w:szCs w:val="20"/>
        </w:rPr>
        <w:t>proviso</w:t>
      </w:r>
      <w:r w:rsidR="00C64050">
        <w:rPr>
          <w:szCs w:val="20"/>
        </w:rPr>
        <w:t xml:space="preserve"> </w:t>
      </w:r>
      <w:r w:rsidRPr="00E74C28">
        <w:rPr>
          <w:szCs w:val="20"/>
        </w:rPr>
        <w:t>in</w:t>
      </w:r>
      <w:r w:rsidR="00C64050">
        <w:rPr>
          <w:szCs w:val="20"/>
        </w:rPr>
        <w:t xml:space="preserve"> </w:t>
      </w:r>
      <w:r w:rsidRPr="00E74C28">
        <w:rPr>
          <w:szCs w:val="20"/>
        </w:rPr>
        <w:t>the</w:t>
      </w:r>
      <w:r w:rsidR="00C64050">
        <w:rPr>
          <w:szCs w:val="20"/>
        </w:rPr>
        <w:t xml:space="preserve"> </w:t>
      </w:r>
      <w:r w:rsidRPr="00E74C28">
        <w:rPr>
          <w:szCs w:val="20"/>
        </w:rPr>
        <w:t>no-contest</w:t>
      </w:r>
      <w:r w:rsidR="00C64050">
        <w:rPr>
          <w:szCs w:val="20"/>
        </w:rPr>
        <w:t xml:space="preserve"> </w:t>
      </w:r>
      <w:r w:rsidRPr="00E74C28">
        <w:rPr>
          <w:szCs w:val="20"/>
        </w:rPr>
        <w:t>provision</w:t>
      </w:r>
      <w:r w:rsidR="00C64050">
        <w:rPr>
          <w:szCs w:val="20"/>
        </w:rPr>
        <w:t xml:space="preserve"> </w:t>
      </w:r>
      <w:r w:rsidRPr="00E74C28">
        <w:rPr>
          <w:szCs w:val="20"/>
        </w:rPr>
        <w:t>of</w:t>
      </w:r>
      <w:r w:rsidR="00C64050">
        <w:rPr>
          <w:szCs w:val="20"/>
        </w:rPr>
        <w:t xml:space="preserve"> </w:t>
      </w:r>
      <w:r w:rsidRPr="00E74C28">
        <w:rPr>
          <w:szCs w:val="20"/>
        </w:rPr>
        <w:t>the</w:t>
      </w:r>
      <w:r w:rsidR="00C64050">
        <w:rPr>
          <w:szCs w:val="20"/>
        </w:rPr>
        <w:t xml:space="preserve"> </w:t>
      </w:r>
      <w:r w:rsidRPr="00E74C28">
        <w:rPr>
          <w:szCs w:val="20"/>
        </w:rPr>
        <w:t>Theresa</w:t>
      </w:r>
      <w:r w:rsidR="00C64050">
        <w:rPr>
          <w:szCs w:val="20"/>
        </w:rPr>
        <w:t xml:space="preserve"> </w:t>
      </w:r>
      <w:r w:rsidRPr="00E74C28">
        <w:rPr>
          <w:szCs w:val="20"/>
        </w:rPr>
        <w:t>Trust</w:t>
      </w:r>
      <w:r w:rsidR="00C64050">
        <w:rPr>
          <w:szCs w:val="20"/>
        </w:rPr>
        <w:t xml:space="preserve"> </w:t>
      </w:r>
      <w:r w:rsidRPr="00E74C28">
        <w:rPr>
          <w:szCs w:val="20"/>
        </w:rPr>
        <w:t>does</w:t>
      </w:r>
      <w:r w:rsidR="00C64050">
        <w:rPr>
          <w:szCs w:val="20"/>
        </w:rPr>
        <w:t xml:space="preserve"> </w:t>
      </w:r>
      <w:r w:rsidRPr="00E74C28">
        <w:rPr>
          <w:szCs w:val="20"/>
        </w:rPr>
        <w:t>not</w:t>
      </w:r>
      <w:r w:rsidR="00C64050">
        <w:rPr>
          <w:szCs w:val="20"/>
        </w:rPr>
        <w:t xml:space="preserve"> </w:t>
      </w:r>
      <w:r w:rsidRPr="00E74C28">
        <w:rPr>
          <w:szCs w:val="20"/>
        </w:rPr>
        <w:t>equate</w:t>
      </w:r>
      <w:r w:rsidR="00C64050">
        <w:rPr>
          <w:szCs w:val="20"/>
        </w:rPr>
        <w:t xml:space="preserve"> </w:t>
      </w:r>
      <w:r w:rsidRPr="00E74C28">
        <w:rPr>
          <w:szCs w:val="20"/>
        </w:rPr>
        <w:t>a</w:t>
      </w:r>
      <w:r w:rsidR="00C64050">
        <w:rPr>
          <w:szCs w:val="20"/>
        </w:rPr>
        <w:t xml:space="preserve"> </w:t>
      </w:r>
      <w:r w:rsidRPr="00E74C28">
        <w:rPr>
          <w:szCs w:val="20"/>
        </w:rPr>
        <w:t>request</w:t>
      </w:r>
      <w:r w:rsidR="00C64050">
        <w:rPr>
          <w:szCs w:val="20"/>
        </w:rPr>
        <w:t xml:space="preserve"> </w:t>
      </w:r>
      <w:r w:rsidRPr="00E74C28">
        <w:rPr>
          <w:szCs w:val="20"/>
        </w:rPr>
        <w:t>for</w:t>
      </w:r>
      <w:r w:rsidR="00C64050">
        <w:rPr>
          <w:szCs w:val="20"/>
        </w:rPr>
        <w:t xml:space="preserve"> </w:t>
      </w:r>
      <w:r w:rsidRPr="00E74C28">
        <w:rPr>
          <w:szCs w:val="20"/>
        </w:rPr>
        <w:t>an</w:t>
      </w:r>
      <w:r w:rsidR="00C64050">
        <w:rPr>
          <w:szCs w:val="20"/>
        </w:rPr>
        <w:t xml:space="preserve"> </w:t>
      </w:r>
      <w:r w:rsidRPr="00E74C28">
        <w:rPr>
          <w:rStyle w:val="Emphasis"/>
          <w:szCs w:val="20"/>
        </w:rPr>
        <w:t>interpretation</w:t>
      </w:r>
      <w:r w:rsidR="00C64050">
        <w:rPr>
          <w:szCs w:val="20"/>
        </w:rPr>
        <w:t xml:space="preserve"> </w:t>
      </w:r>
      <w:r w:rsidRPr="00E74C28">
        <w:rPr>
          <w:szCs w:val="20"/>
        </w:rPr>
        <w:t>of</w:t>
      </w:r>
      <w:r w:rsidR="00C64050">
        <w:rPr>
          <w:szCs w:val="20"/>
        </w:rPr>
        <w:t xml:space="preserve"> </w:t>
      </w:r>
      <w:r w:rsidRPr="00E74C28">
        <w:rPr>
          <w:szCs w:val="20"/>
        </w:rPr>
        <w:t>the</w:t>
      </w:r>
      <w:r w:rsidR="00C64050">
        <w:rPr>
          <w:szCs w:val="20"/>
        </w:rPr>
        <w:t xml:space="preserve"> </w:t>
      </w:r>
      <w:r w:rsidRPr="00E74C28">
        <w:rPr>
          <w:szCs w:val="20"/>
        </w:rPr>
        <w:t>trust’s</w:t>
      </w:r>
      <w:r w:rsidR="00C64050">
        <w:rPr>
          <w:szCs w:val="20"/>
        </w:rPr>
        <w:t xml:space="preserve"> </w:t>
      </w:r>
      <w:r w:rsidRPr="00E74C28">
        <w:rPr>
          <w:szCs w:val="20"/>
        </w:rPr>
        <w:t>provisions</w:t>
      </w:r>
      <w:r w:rsidR="00C64050">
        <w:rPr>
          <w:szCs w:val="20"/>
        </w:rPr>
        <w:t xml:space="preserve"> </w:t>
      </w:r>
      <w:r w:rsidRPr="00E74C28">
        <w:rPr>
          <w:szCs w:val="20"/>
        </w:rPr>
        <w:t>with</w:t>
      </w:r>
      <w:r w:rsidR="00C64050">
        <w:rPr>
          <w:szCs w:val="20"/>
        </w:rPr>
        <w:t xml:space="preserve"> </w:t>
      </w:r>
      <w:r w:rsidRPr="00E74C28">
        <w:rPr>
          <w:szCs w:val="20"/>
        </w:rPr>
        <w:t>a</w:t>
      </w:r>
      <w:r w:rsidR="00C64050">
        <w:rPr>
          <w:szCs w:val="20"/>
        </w:rPr>
        <w:t xml:space="preserve"> </w:t>
      </w:r>
      <w:r w:rsidRPr="00E74C28">
        <w:rPr>
          <w:rStyle w:val="Emphasis"/>
          <w:szCs w:val="20"/>
        </w:rPr>
        <w:t>contest</w:t>
      </w:r>
      <w:r w:rsidR="00C64050">
        <w:rPr>
          <w:szCs w:val="20"/>
        </w:rPr>
        <w:t xml:space="preserve"> </w:t>
      </w:r>
      <w:r w:rsidRPr="00E74C28">
        <w:rPr>
          <w:szCs w:val="20"/>
        </w:rPr>
        <w:t>of</w:t>
      </w:r>
      <w:r w:rsidR="00C64050">
        <w:rPr>
          <w:szCs w:val="20"/>
        </w:rPr>
        <w:t xml:space="preserve"> </w:t>
      </w:r>
      <w:r w:rsidRPr="00E74C28">
        <w:rPr>
          <w:szCs w:val="20"/>
        </w:rPr>
        <w:t>the</w:t>
      </w:r>
      <w:r w:rsidR="00C64050">
        <w:rPr>
          <w:szCs w:val="20"/>
        </w:rPr>
        <w:t xml:space="preserve"> </w:t>
      </w:r>
      <w:r w:rsidRPr="00E74C28">
        <w:rPr>
          <w:szCs w:val="20"/>
        </w:rPr>
        <w:t>trust.</w:t>
      </w:r>
      <w:r w:rsidR="00C64050">
        <w:rPr>
          <w:szCs w:val="20"/>
        </w:rPr>
        <w:t xml:space="preserve"> </w:t>
      </w:r>
      <w:r w:rsidRPr="00E74C28">
        <w:rPr>
          <w:szCs w:val="20"/>
        </w:rPr>
        <w:t>Instead,</w:t>
      </w:r>
      <w:r w:rsidR="00C64050">
        <w:rPr>
          <w:szCs w:val="20"/>
        </w:rPr>
        <w:t xml:space="preserve"> </w:t>
      </w:r>
      <w:r w:rsidRPr="00E74C28">
        <w:rPr>
          <w:szCs w:val="20"/>
        </w:rPr>
        <w:t>the</w:t>
      </w:r>
      <w:r w:rsidR="00C64050">
        <w:rPr>
          <w:szCs w:val="20"/>
        </w:rPr>
        <w:t xml:space="preserve"> </w:t>
      </w:r>
      <w:r w:rsidRPr="00E74C28">
        <w:rPr>
          <w:szCs w:val="20"/>
        </w:rPr>
        <w:t>no-contest</w:t>
      </w:r>
      <w:r w:rsidR="00C64050">
        <w:rPr>
          <w:szCs w:val="20"/>
        </w:rPr>
        <w:t xml:space="preserve"> </w:t>
      </w:r>
      <w:r w:rsidRPr="00E74C28">
        <w:rPr>
          <w:szCs w:val="20"/>
        </w:rPr>
        <w:t>provision</w:t>
      </w:r>
      <w:r w:rsidR="00C64050">
        <w:rPr>
          <w:szCs w:val="20"/>
        </w:rPr>
        <w:t xml:space="preserve"> </w:t>
      </w:r>
      <w:r w:rsidRPr="00E74C28">
        <w:rPr>
          <w:szCs w:val="20"/>
        </w:rPr>
        <w:t>enumerates</w:t>
      </w:r>
      <w:r w:rsidR="00C64050">
        <w:rPr>
          <w:szCs w:val="20"/>
        </w:rPr>
        <w:t xml:space="preserve"> </w:t>
      </w:r>
      <w:r w:rsidRPr="00E74C28">
        <w:rPr>
          <w:szCs w:val="20"/>
        </w:rPr>
        <w:t>the</w:t>
      </w:r>
      <w:r w:rsidR="00C64050">
        <w:rPr>
          <w:szCs w:val="20"/>
        </w:rPr>
        <w:t xml:space="preserve"> </w:t>
      </w:r>
      <w:r w:rsidRPr="00E74C28">
        <w:rPr>
          <w:szCs w:val="20"/>
        </w:rPr>
        <w:t>actions</w:t>
      </w:r>
      <w:r w:rsidR="00C64050">
        <w:rPr>
          <w:szCs w:val="20"/>
        </w:rPr>
        <w:t xml:space="preserve"> </w:t>
      </w:r>
      <w:r w:rsidRPr="00E74C28">
        <w:rPr>
          <w:szCs w:val="20"/>
        </w:rPr>
        <w:t>constituting</w:t>
      </w:r>
      <w:r w:rsidR="00C64050">
        <w:rPr>
          <w:szCs w:val="20"/>
        </w:rPr>
        <w:t xml:space="preserve"> </w:t>
      </w:r>
      <w:r w:rsidRPr="00E74C28">
        <w:rPr>
          <w:szCs w:val="20"/>
        </w:rPr>
        <w:t>a</w:t>
      </w:r>
      <w:r w:rsidR="00C64050">
        <w:rPr>
          <w:szCs w:val="20"/>
        </w:rPr>
        <w:t xml:space="preserve"> </w:t>
      </w:r>
      <w:r w:rsidRPr="00E74C28">
        <w:rPr>
          <w:szCs w:val="20"/>
        </w:rPr>
        <w:t>“contest”</w:t>
      </w:r>
      <w:r w:rsidR="00C64050">
        <w:rPr>
          <w:szCs w:val="20"/>
        </w:rPr>
        <w:t xml:space="preserve"> </w:t>
      </w:r>
      <w:r w:rsidRPr="00E74C28">
        <w:rPr>
          <w:szCs w:val="20"/>
        </w:rPr>
        <w:t>as</w:t>
      </w:r>
      <w:r w:rsidR="00C64050">
        <w:rPr>
          <w:szCs w:val="20"/>
        </w:rPr>
        <w:t xml:space="preserve"> </w:t>
      </w:r>
      <w:r w:rsidRPr="00E74C28">
        <w:rPr>
          <w:szCs w:val="20"/>
        </w:rPr>
        <w:t>“any</w:t>
      </w:r>
      <w:r w:rsidR="00C64050">
        <w:rPr>
          <w:szCs w:val="20"/>
        </w:rPr>
        <w:t xml:space="preserve"> </w:t>
      </w:r>
      <w:r w:rsidRPr="00E74C28">
        <w:rPr>
          <w:szCs w:val="20"/>
        </w:rPr>
        <w:t>action</w:t>
      </w:r>
      <w:r w:rsidR="00C64050">
        <w:rPr>
          <w:szCs w:val="20"/>
        </w:rPr>
        <w:t xml:space="preserve"> </w:t>
      </w:r>
      <w:r w:rsidRPr="00E74C28">
        <w:rPr>
          <w:szCs w:val="20"/>
        </w:rPr>
        <w:t>seeking</w:t>
      </w:r>
      <w:r w:rsidR="00C64050">
        <w:rPr>
          <w:szCs w:val="20"/>
        </w:rPr>
        <w:t xml:space="preserve"> </w:t>
      </w:r>
      <w:r w:rsidRPr="00E74C28">
        <w:rPr>
          <w:szCs w:val="20"/>
        </w:rPr>
        <w:t>to</w:t>
      </w:r>
      <w:r w:rsidR="00C64050">
        <w:rPr>
          <w:szCs w:val="20"/>
        </w:rPr>
        <w:t xml:space="preserve"> </w:t>
      </w:r>
      <w:r w:rsidRPr="00E74C28">
        <w:rPr>
          <w:szCs w:val="20"/>
        </w:rPr>
        <w:t>invalidate,</w:t>
      </w:r>
      <w:r w:rsidR="00C64050">
        <w:rPr>
          <w:szCs w:val="20"/>
        </w:rPr>
        <w:t xml:space="preserve"> </w:t>
      </w:r>
      <w:r w:rsidRPr="00E74C28">
        <w:rPr>
          <w:szCs w:val="20"/>
        </w:rPr>
        <w:t>nullify,</w:t>
      </w:r>
      <w:r w:rsidR="00C64050">
        <w:rPr>
          <w:szCs w:val="20"/>
        </w:rPr>
        <w:t xml:space="preserve"> </w:t>
      </w:r>
      <w:r w:rsidRPr="00E74C28">
        <w:rPr>
          <w:szCs w:val="20"/>
        </w:rPr>
        <w:t>set</w:t>
      </w:r>
      <w:r w:rsidR="00C64050">
        <w:rPr>
          <w:szCs w:val="20"/>
        </w:rPr>
        <w:t xml:space="preserve"> </w:t>
      </w:r>
      <w:r w:rsidRPr="00E74C28">
        <w:rPr>
          <w:szCs w:val="20"/>
        </w:rPr>
        <w:t>aside,</w:t>
      </w:r>
      <w:r w:rsidR="00C64050">
        <w:rPr>
          <w:szCs w:val="20"/>
        </w:rPr>
        <w:t xml:space="preserve"> </w:t>
      </w:r>
      <w:r w:rsidRPr="00E74C28">
        <w:rPr>
          <w:szCs w:val="20"/>
        </w:rPr>
        <w:t>render</w:t>
      </w:r>
      <w:r w:rsidR="00C64050">
        <w:rPr>
          <w:szCs w:val="20"/>
        </w:rPr>
        <w:t xml:space="preserve"> </w:t>
      </w:r>
      <w:r w:rsidRPr="00E74C28">
        <w:rPr>
          <w:szCs w:val="20"/>
        </w:rPr>
        <w:t>unenforceable,</w:t>
      </w:r>
      <w:r w:rsidR="00C64050">
        <w:rPr>
          <w:szCs w:val="20"/>
        </w:rPr>
        <w:t xml:space="preserve"> </w:t>
      </w:r>
      <w:r w:rsidRPr="00E74C28">
        <w:rPr>
          <w:szCs w:val="20"/>
        </w:rPr>
        <w:t>or</w:t>
      </w:r>
      <w:r w:rsidR="00C64050">
        <w:rPr>
          <w:szCs w:val="20"/>
        </w:rPr>
        <w:t xml:space="preserve"> </w:t>
      </w:r>
      <w:r w:rsidRPr="00E74C28">
        <w:rPr>
          <w:szCs w:val="20"/>
        </w:rPr>
        <w:t>otherwise</w:t>
      </w:r>
      <w:r w:rsidR="00C64050">
        <w:rPr>
          <w:szCs w:val="20"/>
        </w:rPr>
        <w:t xml:space="preserve"> </w:t>
      </w:r>
      <w:r w:rsidRPr="00E74C28">
        <w:rPr>
          <w:szCs w:val="20"/>
        </w:rPr>
        <w:t>avoid</w:t>
      </w:r>
      <w:r w:rsidR="00C64050">
        <w:rPr>
          <w:szCs w:val="20"/>
        </w:rPr>
        <w:t xml:space="preserve"> </w:t>
      </w:r>
      <w:r w:rsidRPr="00E74C28">
        <w:rPr>
          <w:szCs w:val="20"/>
        </w:rPr>
        <w:t>the</w:t>
      </w:r>
      <w:r w:rsidR="00C64050">
        <w:rPr>
          <w:szCs w:val="20"/>
        </w:rPr>
        <w:t xml:space="preserve"> </w:t>
      </w:r>
      <w:r w:rsidRPr="00E74C28">
        <w:rPr>
          <w:szCs w:val="20"/>
        </w:rPr>
        <w:t>effect</w:t>
      </w:r>
      <w:r w:rsidR="00C64050">
        <w:rPr>
          <w:szCs w:val="20"/>
        </w:rPr>
        <w:t xml:space="preserve"> </w:t>
      </w:r>
      <w:r w:rsidRPr="00E74C28">
        <w:rPr>
          <w:szCs w:val="20"/>
        </w:rPr>
        <w:t>of</w:t>
      </w:r>
      <w:r w:rsidR="00C64050">
        <w:rPr>
          <w:szCs w:val="20"/>
        </w:rPr>
        <w:t xml:space="preserve"> </w:t>
      </w:r>
      <w:r w:rsidRPr="00E74C28">
        <w:rPr>
          <w:szCs w:val="20"/>
        </w:rPr>
        <w:t>such</w:t>
      </w:r>
      <w:r w:rsidR="00C64050">
        <w:rPr>
          <w:szCs w:val="20"/>
        </w:rPr>
        <w:t xml:space="preserve"> </w:t>
      </w:r>
      <w:r w:rsidRPr="00E74C28">
        <w:rPr>
          <w:szCs w:val="20"/>
        </w:rPr>
        <w:t>instrument,</w:t>
      </w:r>
      <w:r w:rsidR="00C64050">
        <w:rPr>
          <w:szCs w:val="20"/>
        </w:rPr>
        <w:t xml:space="preserve"> </w:t>
      </w:r>
      <w:r w:rsidRPr="00E74C28">
        <w:rPr>
          <w:szCs w:val="20"/>
        </w:rPr>
        <w:t>action</w:t>
      </w:r>
      <w:r w:rsidR="00C64050">
        <w:rPr>
          <w:szCs w:val="20"/>
        </w:rPr>
        <w:t xml:space="preserve"> </w:t>
      </w:r>
      <w:r w:rsidRPr="00E74C28">
        <w:rPr>
          <w:szCs w:val="20"/>
        </w:rPr>
        <w:t>or</w:t>
      </w:r>
      <w:r w:rsidR="00C64050">
        <w:rPr>
          <w:szCs w:val="20"/>
        </w:rPr>
        <w:t xml:space="preserve"> </w:t>
      </w:r>
      <w:r w:rsidRPr="00E74C28">
        <w:rPr>
          <w:szCs w:val="20"/>
        </w:rPr>
        <w:t>transaction.”</w:t>
      </w:r>
      <w:r w:rsidR="00C64050">
        <w:rPr>
          <w:szCs w:val="20"/>
        </w:rPr>
        <w:t xml:space="preserve"> </w:t>
      </w:r>
      <w:r w:rsidRPr="00E74C28">
        <w:rPr>
          <w:szCs w:val="20"/>
        </w:rPr>
        <w:t>J.A.</w:t>
      </w:r>
      <w:r w:rsidR="00C64050">
        <w:rPr>
          <w:szCs w:val="20"/>
        </w:rPr>
        <w:t xml:space="preserve"> </w:t>
      </w:r>
      <w:r w:rsidRPr="00E74C28">
        <w:rPr>
          <w:szCs w:val="20"/>
        </w:rPr>
        <w:t>at</w:t>
      </w:r>
      <w:r w:rsidR="00C64050">
        <w:rPr>
          <w:szCs w:val="20"/>
        </w:rPr>
        <w:t xml:space="preserve"> </w:t>
      </w:r>
      <w:r w:rsidRPr="00E74C28">
        <w:rPr>
          <w:szCs w:val="20"/>
        </w:rPr>
        <w:t>255.</w:t>
      </w:r>
      <w:r w:rsidR="00C64050">
        <w:rPr>
          <w:szCs w:val="20"/>
        </w:rPr>
        <w:t xml:space="preserve"> </w:t>
      </w:r>
      <w:r w:rsidRPr="00E74C28">
        <w:rPr>
          <w:szCs w:val="20"/>
        </w:rPr>
        <w:t>These</w:t>
      </w:r>
      <w:r w:rsidR="00C64050">
        <w:rPr>
          <w:szCs w:val="20"/>
        </w:rPr>
        <w:t xml:space="preserve"> </w:t>
      </w:r>
      <w:r w:rsidRPr="00E74C28">
        <w:rPr>
          <w:szCs w:val="20"/>
        </w:rPr>
        <w:t>verbs</w:t>
      </w:r>
      <w:r w:rsidR="00C64050">
        <w:rPr>
          <w:szCs w:val="20"/>
        </w:rPr>
        <w:t xml:space="preserve"> </w:t>
      </w:r>
      <w:r w:rsidRPr="00E74C28">
        <w:rPr>
          <w:szCs w:val="20"/>
        </w:rPr>
        <w:t>—</w:t>
      </w:r>
      <w:r w:rsidR="00C64050">
        <w:rPr>
          <w:szCs w:val="20"/>
        </w:rPr>
        <w:t xml:space="preserve"> </w:t>
      </w:r>
      <w:r w:rsidRPr="00E74C28">
        <w:rPr>
          <w:szCs w:val="20"/>
        </w:rPr>
        <w:t>invalidate,</w:t>
      </w:r>
      <w:r w:rsidR="00C64050">
        <w:rPr>
          <w:szCs w:val="20"/>
        </w:rPr>
        <w:t xml:space="preserve"> </w:t>
      </w:r>
      <w:r w:rsidRPr="00E74C28">
        <w:rPr>
          <w:szCs w:val="20"/>
        </w:rPr>
        <w:t>nullify,</w:t>
      </w:r>
      <w:r w:rsidR="00C64050">
        <w:rPr>
          <w:szCs w:val="20"/>
        </w:rPr>
        <w:t xml:space="preserve"> </w:t>
      </w:r>
      <w:r w:rsidRPr="00E74C28">
        <w:rPr>
          <w:szCs w:val="20"/>
        </w:rPr>
        <w:t>set</w:t>
      </w:r>
      <w:r w:rsidR="00C64050">
        <w:rPr>
          <w:szCs w:val="20"/>
        </w:rPr>
        <w:t xml:space="preserve"> </w:t>
      </w:r>
      <w:r w:rsidRPr="00E74C28">
        <w:rPr>
          <w:szCs w:val="20"/>
        </w:rPr>
        <w:t>aside,</w:t>
      </w:r>
      <w:r w:rsidR="00C64050">
        <w:rPr>
          <w:szCs w:val="20"/>
        </w:rPr>
        <w:t xml:space="preserve"> </w:t>
      </w:r>
      <w:r w:rsidRPr="00E74C28">
        <w:rPr>
          <w:szCs w:val="20"/>
        </w:rPr>
        <w:t>render</w:t>
      </w:r>
      <w:r w:rsidR="00C64050">
        <w:rPr>
          <w:szCs w:val="20"/>
        </w:rPr>
        <w:t xml:space="preserve"> </w:t>
      </w:r>
      <w:r w:rsidRPr="00E74C28">
        <w:rPr>
          <w:szCs w:val="20"/>
        </w:rPr>
        <w:t>unenforceable,</w:t>
      </w:r>
      <w:r w:rsidR="00C64050">
        <w:rPr>
          <w:szCs w:val="20"/>
        </w:rPr>
        <w:t xml:space="preserve"> </w:t>
      </w:r>
      <w:r w:rsidRPr="00E74C28">
        <w:rPr>
          <w:szCs w:val="20"/>
        </w:rPr>
        <w:t>and</w:t>
      </w:r>
      <w:r w:rsidR="00C64050">
        <w:rPr>
          <w:szCs w:val="20"/>
        </w:rPr>
        <w:t xml:space="preserve"> </w:t>
      </w:r>
      <w:r w:rsidRPr="00E74C28">
        <w:rPr>
          <w:szCs w:val="20"/>
        </w:rPr>
        <w:t>avoid</w:t>
      </w:r>
      <w:r w:rsidR="00C64050">
        <w:rPr>
          <w:szCs w:val="20"/>
        </w:rPr>
        <w:t xml:space="preserve"> </w:t>
      </w:r>
      <w:r w:rsidRPr="00E74C28">
        <w:rPr>
          <w:szCs w:val="20"/>
        </w:rPr>
        <w:t>the</w:t>
      </w:r>
      <w:r w:rsidR="00C64050">
        <w:rPr>
          <w:szCs w:val="20"/>
        </w:rPr>
        <w:t xml:space="preserve"> </w:t>
      </w:r>
      <w:r w:rsidRPr="00E74C28">
        <w:rPr>
          <w:szCs w:val="20"/>
        </w:rPr>
        <w:t>effect</w:t>
      </w:r>
      <w:r w:rsidR="00C64050">
        <w:rPr>
          <w:szCs w:val="20"/>
        </w:rPr>
        <w:t xml:space="preserve"> </w:t>
      </w:r>
      <w:r w:rsidRPr="00E74C28">
        <w:rPr>
          <w:szCs w:val="20"/>
        </w:rPr>
        <w:t>of</w:t>
      </w:r>
      <w:r w:rsidR="00C64050">
        <w:rPr>
          <w:szCs w:val="20"/>
        </w:rPr>
        <w:t xml:space="preserve"> </w:t>
      </w:r>
      <w:r w:rsidRPr="00E74C28">
        <w:rPr>
          <w:szCs w:val="20"/>
        </w:rPr>
        <w:t>—</w:t>
      </w:r>
      <w:r w:rsidR="00C64050">
        <w:rPr>
          <w:szCs w:val="20"/>
        </w:rPr>
        <w:t xml:space="preserve"> </w:t>
      </w:r>
      <w:r w:rsidRPr="00E74C28">
        <w:rPr>
          <w:szCs w:val="20"/>
        </w:rPr>
        <w:t>are</w:t>
      </w:r>
      <w:r w:rsidR="00C64050">
        <w:rPr>
          <w:szCs w:val="20"/>
        </w:rPr>
        <w:t xml:space="preserve"> </w:t>
      </w:r>
      <w:r w:rsidRPr="00E74C28">
        <w:rPr>
          <w:szCs w:val="20"/>
        </w:rPr>
        <w:t>not</w:t>
      </w:r>
      <w:r w:rsidR="00C64050">
        <w:rPr>
          <w:szCs w:val="20"/>
        </w:rPr>
        <w:t xml:space="preserve"> </w:t>
      </w:r>
      <w:r w:rsidRPr="00E74C28">
        <w:rPr>
          <w:szCs w:val="20"/>
        </w:rPr>
        <w:t>synonyms</w:t>
      </w:r>
      <w:r w:rsidR="00C64050">
        <w:rPr>
          <w:szCs w:val="20"/>
        </w:rPr>
        <w:t xml:space="preserve"> </w:t>
      </w:r>
      <w:r w:rsidRPr="00E74C28">
        <w:rPr>
          <w:szCs w:val="20"/>
        </w:rPr>
        <w:t>for</w:t>
      </w:r>
      <w:r w:rsidR="00C64050">
        <w:rPr>
          <w:szCs w:val="20"/>
        </w:rPr>
        <w:t xml:space="preserve"> </w:t>
      </w:r>
      <w:r w:rsidRPr="00E74C28">
        <w:rPr>
          <w:szCs w:val="20"/>
        </w:rPr>
        <w:t>interpret.</w:t>
      </w:r>
    </w:p>
    <w:p w:rsidR="00E74C28" w:rsidRPr="00E74C28" w:rsidRDefault="00E74C28" w:rsidP="00E74C28">
      <w:pPr>
        <w:pStyle w:val="QS10"/>
        <w:rPr>
          <w:szCs w:val="20"/>
        </w:rPr>
      </w:pPr>
      <w:r w:rsidRPr="00E74C28">
        <w:rPr>
          <w:szCs w:val="20"/>
        </w:rPr>
        <w:t>The</w:t>
      </w:r>
      <w:r w:rsidR="00C64050">
        <w:rPr>
          <w:szCs w:val="20"/>
        </w:rPr>
        <w:t xml:space="preserve"> </w:t>
      </w:r>
      <w:r w:rsidRPr="00E74C28">
        <w:rPr>
          <w:szCs w:val="20"/>
        </w:rPr>
        <w:t>proviso</w:t>
      </w:r>
      <w:r w:rsidR="00C64050">
        <w:rPr>
          <w:szCs w:val="20"/>
        </w:rPr>
        <w:t xml:space="preserve"> </w:t>
      </w:r>
      <w:r w:rsidRPr="00E74C28">
        <w:rPr>
          <w:szCs w:val="20"/>
        </w:rPr>
        <w:t>purports</w:t>
      </w:r>
      <w:r w:rsidR="00C64050">
        <w:rPr>
          <w:szCs w:val="20"/>
        </w:rPr>
        <w:t xml:space="preserve"> </w:t>
      </w:r>
      <w:r w:rsidRPr="00E74C28">
        <w:rPr>
          <w:szCs w:val="20"/>
        </w:rPr>
        <w:t>to</w:t>
      </w:r>
      <w:r w:rsidR="00C64050">
        <w:rPr>
          <w:szCs w:val="20"/>
        </w:rPr>
        <w:t xml:space="preserve"> </w:t>
      </w:r>
      <w:r w:rsidRPr="00E74C28">
        <w:rPr>
          <w:szCs w:val="20"/>
        </w:rPr>
        <w:t>remove</w:t>
      </w:r>
      <w:r w:rsidR="00C64050">
        <w:rPr>
          <w:szCs w:val="20"/>
        </w:rPr>
        <w:t xml:space="preserve"> </w:t>
      </w:r>
      <w:r w:rsidRPr="00E74C28">
        <w:rPr>
          <w:szCs w:val="20"/>
        </w:rPr>
        <w:t>an</w:t>
      </w:r>
      <w:r w:rsidR="00C64050">
        <w:rPr>
          <w:szCs w:val="20"/>
        </w:rPr>
        <w:t xml:space="preserve"> </w:t>
      </w:r>
      <w:r w:rsidRPr="00E74C28">
        <w:rPr>
          <w:szCs w:val="20"/>
        </w:rPr>
        <w:t>action</w:t>
      </w:r>
      <w:r w:rsidR="00C64050">
        <w:rPr>
          <w:szCs w:val="20"/>
        </w:rPr>
        <w:t xml:space="preserve"> </w:t>
      </w:r>
      <w:r w:rsidRPr="00E74C28">
        <w:rPr>
          <w:szCs w:val="20"/>
        </w:rPr>
        <w:t>(a</w:t>
      </w:r>
      <w:r w:rsidR="00C64050">
        <w:rPr>
          <w:szCs w:val="20"/>
        </w:rPr>
        <w:t xml:space="preserve"> </w:t>
      </w:r>
      <w:r w:rsidRPr="00E74C28">
        <w:rPr>
          <w:szCs w:val="20"/>
        </w:rPr>
        <w:t>request</w:t>
      </w:r>
      <w:r w:rsidR="00C64050">
        <w:rPr>
          <w:szCs w:val="20"/>
        </w:rPr>
        <w:t xml:space="preserve"> </w:t>
      </w:r>
      <w:r w:rsidRPr="00E74C28">
        <w:rPr>
          <w:szCs w:val="20"/>
        </w:rPr>
        <w:t>for</w:t>
      </w:r>
      <w:r w:rsidR="00C64050">
        <w:rPr>
          <w:szCs w:val="20"/>
        </w:rPr>
        <w:t xml:space="preserve"> </w:t>
      </w:r>
      <w:r w:rsidRPr="00E74C28">
        <w:rPr>
          <w:szCs w:val="20"/>
        </w:rPr>
        <w:t>judicial</w:t>
      </w:r>
      <w:r w:rsidR="00C64050">
        <w:rPr>
          <w:szCs w:val="20"/>
        </w:rPr>
        <w:t xml:space="preserve"> </w:t>
      </w:r>
      <w:r w:rsidRPr="00E74C28">
        <w:rPr>
          <w:szCs w:val="20"/>
        </w:rPr>
        <w:t>interpretation)</w:t>
      </w:r>
      <w:r w:rsidR="00C64050">
        <w:rPr>
          <w:szCs w:val="20"/>
        </w:rPr>
        <w:t xml:space="preserve"> </w:t>
      </w:r>
      <w:r w:rsidRPr="00E74C28">
        <w:rPr>
          <w:szCs w:val="20"/>
        </w:rPr>
        <w:t>from</w:t>
      </w:r>
      <w:r w:rsidR="00C64050">
        <w:rPr>
          <w:szCs w:val="20"/>
        </w:rPr>
        <w:t xml:space="preserve"> </w:t>
      </w:r>
      <w:r w:rsidRPr="00E74C28">
        <w:rPr>
          <w:szCs w:val="20"/>
        </w:rPr>
        <w:t>a</w:t>
      </w:r>
      <w:r w:rsidR="00C64050">
        <w:rPr>
          <w:szCs w:val="20"/>
        </w:rPr>
        <w:t xml:space="preserve"> </w:t>
      </w:r>
      <w:r w:rsidRPr="00E74C28">
        <w:rPr>
          <w:szCs w:val="20"/>
        </w:rPr>
        <w:t>list</w:t>
      </w:r>
      <w:r w:rsidR="00C64050">
        <w:rPr>
          <w:szCs w:val="20"/>
        </w:rPr>
        <w:t xml:space="preserve"> </w:t>
      </w:r>
      <w:r w:rsidRPr="00E74C28">
        <w:rPr>
          <w:szCs w:val="20"/>
        </w:rPr>
        <w:t>in</w:t>
      </w:r>
      <w:r w:rsidR="00C64050">
        <w:rPr>
          <w:szCs w:val="20"/>
        </w:rPr>
        <w:t xml:space="preserve"> </w:t>
      </w:r>
      <w:r w:rsidRPr="00E74C28">
        <w:rPr>
          <w:szCs w:val="20"/>
        </w:rPr>
        <w:t>which</w:t>
      </w:r>
      <w:r w:rsidR="00C64050">
        <w:rPr>
          <w:szCs w:val="20"/>
        </w:rPr>
        <w:t xml:space="preserve"> </w:t>
      </w:r>
      <w:r w:rsidRPr="00E74C28">
        <w:rPr>
          <w:szCs w:val="20"/>
        </w:rPr>
        <w:t>the</w:t>
      </w:r>
      <w:r w:rsidR="00C64050">
        <w:rPr>
          <w:szCs w:val="20"/>
        </w:rPr>
        <w:t xml:space="preserve"> </w:t>
      </w:r>
      <w:r w:rsidRPr="00E74C28">
        <w:rPr>
          <w:szCs w:val="20"/>
        </w:rPr>
        <w:t>action</w:t>
      </w:r>
      <w:r w:rsidR="00C64050">
        <w:rPr>
          <w:szCs w:val="20"/>
        </w:rPr>
        <w:t xml:space="preserve"> </w:t>
      </w:r>
      <w:r w:rsidRPr="00E74C28">
        <w:rPr>
          <w:szCs w:val="20"/>
        </w:rPr>
        <w:t>never</w:t>
      </w:r>
      <w:r w:rsidR="00C64050">
        <w:rPr>
          <w:szCs w:val="20"/>
        </w:rPr>
        <w:t xml:space="preserve"> </w:t>
      </w:r>
      <w:r w:rsidRPr="00E74C28">
        <w:rPr>
          <w:szCs w:val="20"/>
        </w:rPr>
        <w:t>appeared</w:t>
      </w:r>
      <w:r w:rsidR="00C64050">
        <w:rPr>
          <w:szCs w:val="20"/>
        </w:rPr>
        <w:t xml:space="preserve"> </w:t>
      </w:r>
      <w:r w:rsidRPr="00E74C28">
        <w:rPr>
          <w:szCs w:val="20"/>
        </w:rPr>
        <w:t>in</w:t>
      </w:r>
      <w:r w:rsidR="00C64050">
        <w:rPr>
          <w:szCs w:val="20"/>
        </w:rPr>
        <w:t xml:space="preserve"> </w:t>
      </w:r>
      <w:r w:rsidRPr="00E74C28">
        <w:rPr>
          <w:szCs w:val="20"/>
        </w:rPr>
        <w:t>the</w:t>
      </w:r>
      <w:r w:rsidR="00C64050">
        <w:rPr>
          <w:szCs w:val="20"/>
        </w:rPr>
        <w:t xml:space="preserve"> </w:t>
      </w:r>
      <w:r w:rsidRPr="00E74C28">
        <w:rPr>
          <w:szCs w:val="20"/>
        </w:rPr>
        <w:t>first</w:t>
      </w:r>
      <w:r w:rsidR="00C64050">
        <w:rPr>
          <w:szCs w:val="20"/>
        </w:rPr>
        <w:t xml:space="preserve"> </w:t>
      </w:r>
      <w:r w:rsidRPr="00E74C28">
        <w:rPr>
          <w:szCs w:val="20"/>
        </w:rPr>
        <w:t>place.</w:t>
      </w:r>
      <w:r w:rsidR="00C64050">
        <w:rPr>
          <w:szCs w:val="20"/>
        </w:rPr>
        <w:t xml:space="preserve"> </w:t>
      </w:r>
      <w:r w:rsidRPr="00E74C28">
        <w:rPr>
          <w:szCs w:val="20"/>
        </w:rPr>
        <w:t>The</w:t>
      </w:r>
      <w:r w:rsidR="00C64050">
        <w:rPr>
          <w:szCs w:val="20"/>
        </w:rPr>
        <w:t xml:space="preserve"> </w:t>
      </w:r>
      <w:r w:rsidRPr="00E74C28">
        <w:rPr>
          <w:szCs w:val="20"/>
        </w:rPr>
        <w:t>proviso</w:t>
      </w:r>
      <w:r w:rsidR="00C64050">
        <w:rPr>
          <w:szCs w:val="20"/>
        </w:rPr>
        <w:t xml:space="preserve"> </w:t>
      </w:r>
      <w:r w:rsidRPr="00E74C28">
        <w:rPr>
          <w:szCs w:val="20"/>
        </w:rPr>
        <w:t>states</w:t>
      </w:r>
      <w:r w:rsidR="00C64050">
        <w:rPr>
          <w:szCs w:val="20"/>
        </w:rPr>
        <w:t xml:space="preserve"> </w:t>
      </w:r>
      <w:r w:rsidRPr="00E74C28">
        <w:rPr>
          <w:szCs w:val="20"/>
        </w:rPr>
        <w:t>that</w:t>
      </w:r>
      <w:r w:rsidR="00C64050">
        <w:rPr>
          <w:szCs w:val="20"/>
        </w:rPr>
        <w:t xml:space="preserve"> </w:t>
      </w:r>
      <w:r w:rsidRPr="00E74C28">
        <w:rPr>
          <w:szCs w:val="20"/>
        </w:rPr>
        <w:t>Eleanor,</w:t>
      </w:r>
      <w:r w:rsidR="00C64050">
        <w:rPr>
          <w:szCs w:val="20"/>
        </w:rPr>
        <w:t xml:space="preserve"> </w:t>
      </w:r>
      <w:r w:rsidRPr="00E74C28">
        <w:rPr>
          <w:szCs w:val="20"/>
        </w:rPr>
        <w:t>as</w:t>
      </w:r>
      <w:r w:rsidR="00C64050">
        <w:rPr>
          <w:szCs w:val="20"/>
        </w:rPr>
        <w:t xml:space="preserve"> </w:t>
      </w:r>
      <w:r w:rsidRPr="00E74C28">
        <w:rPr>
          <w:szCs w:val="20"/>
        </w:rPr>
        <w:t>trustee,</w:t>
      </w:r>
      <w:r w:rsidR="00C64050">
        <w:rPr>
          <w:szCs w:val="20"/>
        </w:rPr>
        <w:t xml:space="preserve"> </w:t>
      </w:r>
      <w:r w:rsidRPr="00E74C28">
        <w:rPr>
          <w:szCs w:val="20"/>
        </w:rPr>
        <w:t>can</w:t>
      </w:r>
      <w:r w:rsidR="00C64050">
        <w:rPr>
          <w:szCs w:val="20"/>
        </w:rPr>
        <w:t xml:space="preserve"> </w:t>
      </w:r>
      <w:r w:rsidRPr="00E74C28">
        <w:rPr>
          <w:szCs w:val="20"/>
        </w:rPr>
        <w:t>agree</w:t>
      </w:r>
      <w:r w:rsidR="00C64050">
        <w:rPr>
          <w:szCs w:val="20"/>
        </w:rPr>
        <w:t xml:space="preserve"> </w:t>
      </w:r>
      <w:r w:rsidRPr="00E74C28">
        <w:rPr>
          <w:szCs w:val="20"/>
        </w:rPr>
        <w:t>that</w:t>
      </w:r>
      <w:r w:rsidR="00C64050">
        <w:rPr>
          <w:szCs w:val="20"/>
        </w:rPr>
        <w:t xml:space="preserve"> </w:t>
      </w:r>
      <w:r w:rsidRPr="00E74C28">
        <w:rPr>
          <w:szCs w:val="20"/>
        </w:rPr>
        <w:t>a</w:t>
      </w:r>
      <w:r w:rsidR="00C64050">
        <w:rPr>
          <w:szCs w:val="20"/>
        </w:rPr>
        <w:t xml:space="preserve"> </w:t>
      </w:r>
      <w:r w:rsidRPr="00E74C28">
        <w:rPr>
          <w:szCs w:val="20"/>
        </w:rPr>
        <w:t>request</w:t>
      </w:r>
      <w:r w:rsidR="00C64050">
        <w:rPr>
          <w:szCs w:val="20"/>
        </w:rPr>
        <w:t xml:space="preserve"> </w:t>
      </w:r>
      <w:r w:rsidRPr="00E74C28">
        <w:rPr>
          <w:szCs w:val="20"/>
        </w:rPr>
        <w:t>for</w:t>
      </w:r>
      <w:r w:rsidR="00C64050">
        <w:rPr>
          <w:szCs w:val="20"/>
        </w:rPr>
        <w:t xml:space="preserve"> </w:t>
      </w:r>
      <w:r w:rsidRPr="00E74C28">
        <w:rPr>
          <w:szCs w:val="20"/>
        </w:rPr>
        <w:t>an</w:t>
      </w:r>
      <w:r w:rsidR="00C64050">
        <w:rPr>
          <w:szCs w:val="20"/>
        </w:rPr>
        <w:t xml:space="preserve"> </w:t>
      </w:r>
      <w:r w:rsidRPr="00E74C28">
        <w:rPr>
          <w:szCs w:val="20"/>
        </w:rPr>
        <w:t>interpretation</w:t>
      </w:r>
      <w:r w:rsidR="00C64050">
        <w:rPr>
          <w:szCs w:val="20"/>
        </w:rPr>
        <w:t xml:space="preserve"> </w:t>
      </w:r>
      <w:r w:rsidRPr="00E74C28">
        <w:rPr>
          <w:szCs w:val="20"/>
        </w:rPr>
        <w:t>is</w:t>
      </w:r>
      <w:r w:rsidR="00C64050">
        <w:rPr>
          <w:szCs w:val="20"/>
        </w:rPr>
        <w:t xml:space="preserve"> </w:t>
      </w:r>
      <w:r w:rsidRPr="00E74C28">
        <w:rPr>
          <w:szCs w:val="20"/>
        </w:rPr>
        <w:t>not</w:t>
      </w:r>
      <w:r w:rsidR="00C64050">
        <w:rPr>
          <w:szCs w:val="20"/>
        </w:rPr>
        <w:t xml:space="preserve"> </w:t>
      </w:r>
      <w:r w:rsidRPr="00E74C28">
        <w:rPr>
          <w:szCs w:val="20"/>
        </w:rPr>
        <w:t>a</w:t>
      </w:r>
      <w:r w:rsidR="00C64050">
        <w:rPr>
          <w:szCs w:val="20"/>
        </w:rPr>
        <w:t xml:space="preserve"> </w:t>
      </w:r>
      <w:r w:rsidRPr="00E74C28">
        <w:rPr>
          <w:szCs w:val="20"/>
        </w:rPr>
        <w:t>contest.</w:t>
      </w:r>
      <w:r w:rsidR="00C64050">
        <w:rPr>
          <w:szCs w:val="20"/>
        </w:rPr>
        <w:t xml:space="preserve"> </w:t>
      </w:r>
      <w:r w:rsidRPr="00E74C28">
        <w:rPr>
          <w:szCs w:val="20"/>
        </w:rPr>
        <w:t>The</w:t>
      </w:r>
      <w:r w:rsidR="00C64050">
        <w:rPr>
          <w:szCs w:val="20"/>
        </w:rPr>
        <w:t xml:space="preserve"> </w:t>
      </w:r>
      <w:r w:rsidRPr="00E74C28">
        <w:rPr>
          <w:szCs w:val="20"/>
        </w:rPr>
        <w:t>proviso</w:t>
      </w:r>
      <w:r w:rsidR="00C64050">
        <w:rPr>
          <w:szCs w:val="20"/>
        </w:rPr>
        <w:t xml:space="preserve"> </w:t>
      </w:r>
      <w:r w:rsidRPr="00E74C28">
        <w:rPr>
          <w:szCs w:val="20"/>
        </w:rPr>
        <w:t>thus</w:t>
      </w:r>
      <w:r w:rsidR="00C64050">
        <w:rPr>
          <w:szCs w:val="20"/>
        </w:rPr>
        <w:t xml:space="preserve"> </w:t>
      </w:r>
      <w:r w:rsidRPr="00E74C28">
        <w:rPr>
          <w:szCs w:val="20"/>
        </w:rPr>
        <w:t>assumes</w:t>
      </w:r>
      <w:r w:rsidR="00C64050">
        <w:rPr>
          <w:szCs w:val="20"/>
        </w:rPr>
        <w:t xml:space="preserve"> </w:t>
      </w:r>
      <w:r w:rsidRPr="00E74C28">
        <w:rPr>
          <w:szCs w:val="20"/>
        </w:rPr>
        <w:t>that</w:t>
      </w:r>
      <w:r w:rsidR="00C64050">
        <w:rPr>
          <w:szCs w:val="20"/>
        </w:rPr>
        <w:t xml:space="preserve"> </w:t>
      </w:r>
      <w:r w:rsidRPr="00E74C28">
        <w:rPr>
          <w:szCs w:val="20"/>
        </w:rPr>
        <w:t>a</w:t>
      </w:r>
      <w:r w:rsidR="00C64050">
        <w:rPr>
          <w:szCs w:val="20"/>
        </w:rPr>
        <w:t xml:space="preserve"> </w:t>
      </w:r>
      <w:r w:rsidRPr="00E74C28">
        <w:rPr>
          <w:szCs w:val="20"/>
        </w:rPr>
        <w:t>request</w:t>
      </w:r>
      <w:r w:rsidR="00C64050">
        <w:rPr>
          <w:szCs w:val="20"/>
        </w:rPr>
        <w:t xml:space="preserve"> </w:t>
      </w:r>
      <w:r w:rsidRPr="00E74C28">
        <w:rPr>
          <w:szCs w:val="20"/>
        </w:rPr>
        <w:t>for</w:t>
      </w:r>
      <w:r w:rsidR="00C64050">
        <w:rPr>
          <w:szCs w:val="20"/>
        </w:rPr>
        <w:t xml:space="preserve"> </w:t>
      </w:r>
      <w:r w:rsidRPr="00E74C28">
        <w:rPr>
          <w:szCs w:val="20"/>
        </w:rPr>
        <w:t>an</w:t>
      </w:r>
      <w:r w:rsidR="00C64050">
        <w:rPr>
          <w:szCs w:val="20"/>
        </w:rPr>
        <w:t xml:space="preserve"> </w:t>
      </w:r>
      <w:r w:rsidRPr="00E74C28">
        <w:rPr>
          <w:szCs w:val="20"/>
        </w:rPr>
        <w:t>interpretation</w:t>
      </w:r>
      <w:r w:rsidR="00C64050">
        <w:rPr>
          <w:szCs w:val="20"/>
        </w:rPr>
        <w:t xml:space="preserve"> </w:t>
      </w:r>
      <w:r w:rsidRPr="00E74C28">
        <w:rPr>
          <w:szCs w:val="20"/>
        </w:rPr>
        <w:t>has</w:t>
      </w:r>
      <w:r w:rsidR="00C64050">
        <w:rPr>
          <w:szCs w:val="20"/>
        </w:rPr>
        <w:t xml:space="preserve"> </w:t>
      </w:r>
      <w:r w:rsidRPr="00E74C28">
        <w:rPr>
          <w:szCs w:val="20"/>
        </w:rPr>
        <w:t>already</w:t>
      </w:r>
      <w:r w:rsidR="00C64050">
        <w:rPr>
          <w:szCs w:val="20"/>
        </w:rPr>
        <w:t xml:space="preserve"> </w:t>
      </w:r>
      <w:r w:rsidRPr="00E74C28">
        <w:rPr>
          <w:szCs w:val="20"/>
        </w:rPr>
        <w:t>been</w:t>
      </w:r>
      <w:r w:rsidR="00C64050">
        <w:rPr>
          <w:szCs w:val="20"/>
        </w:rPr>
        <w:t xml:space="preserve"> </w:t>
      </w:r>
      <w:r w:rsidRPr="00E74C28">
        <w:rPr>
          <w:szCs w:val="20"/>
        </w:rPr>
        <w:t>defined</w:t>
      </w:r>
      <w:r w:rsidR="00C64050">
        <w:rPr>
          <w:szCs w:val="20"/>
        </w:rPr>
        <w:t xml:space="preserve"> </w:t>
      </w:r>
      <w:r w:rsidRPr="00E74C28">
        <w:rPr>
          <w:szCs w:val="20"/>
        </w:rPr>
        <w:t>as</w:t>
      </w:r>
      <w:r w:rsidR="00C64050">
        <w:rPr>
          <w:szCs w:val="20"/>
        </w:rPr>
        <w:t xml:space="preserve"> </w:t>
      </w:r>
      <w:r w:rsidRPr="00E74C28">
        <w:rPr>
          <w:szCs w:val="20"/>
        </w:rPr>
        <w:t>a</w:t>
      </w:r>
      <w:r w:rsidR="00C64050">
        <w:rPr>
          <w:szCs w:val="20"/>
        </w:rPr>
        <w:t xml:space="preserve"> </w:t>
      </w:r>
      <w:r w:rsidRPr="00E74C28">
        <w:rPr>
          <w:szCs w:val="20"/>
        </w:rPr>
        <w:t>“contest”</w:t>
      </w:r>
      <w:r w:rsidR="00C64050">
        <w:rPr>
          <w:szCs w:val="20"/>
        </w:rPr>
        <w:t xml:space="preserve"> </w:t>
      </w:r>
      <w:r w:rsidRPr="00E74C28">
        <w:rPr>
          <w:szCs w:val="20"/>
        </w:rPr>
        <w:t>by</w:t>
      </w:r>
      <w:r w:rsidR="00C64050">
        <w:rPr>
          <w:szCs w:val="20"/>
        </w:rPr>
        <w:t xml:space="preserve"> </w:t>
      </w:r>
      <w:r w:rsidRPr="00E74C28">
        <w:rPr>
          <w:szCs w:val="20"/>
        </w:rPr>
        <w:t>the</w:t>
      </w:r>
      <w:r w:rsidR="00C64050">
        <w:rPr>
          <w:szCs w:val="20"/>
        </w:rPr>
        <w:t xml:space="preserve"> </w:t>
      </w:r>
      <w:r w:rsidRPr="00E74C28">
        <w:rPr>
          <w:szCs w:val="20"/>
        </w:rPr>
        <w:t>no-contest</w:t>
      </w:r>
      <w:r w:rsidR="00C64050">
        <w:rPr>
          <w:szCs w:val="20"/>
        </w:rPr>
        <w:t xml:space="preserve"> </w:t>
      </w:r>
      <w:r w:rsidRPr="00E74C28">
        <w:rPr>
          <w:szCs w:val="20"/>
        </w:rPr>
        <w:t>clause</w:t>
      </w:r>
      <w:r w:rsidR="00C64050">
        <w:rPr>
          <w:szCs w:val="20"/>
        </w:rPr>
        <w:t xml:space="preserve"> </w:t>
      </w:r>
      <w:r w:rsidRPr="00E74C28">
        <w:rPr>
          <w:szCs w:val="20"/>
        </w:rPr>
        <w:t>—</w:t>
      </w:r>
      <w:r w:rsidR="00C64050">
        <w:rPr>
          <w:szCs w:val="20"/>
        </w:rPr>
        <w:t xml:space="preserve"> </w:t>
      </w:r>
      <w:r w:rsidRPr="00E74C28">
        <w:rPr>
          <w:szCs w:val="20"/>
        </w:rPr>
        <w:t>thus</w:t>
      </w:r>
      <w:r w:rsidR="00C64050">
        <w:rPr>
          <w:szCs w:val="20"/>
        </w:rPr>
        <w:t xml:space="preserve"> </w:t>
      </w:r>
      <w:r w:rsidRPr="00E74C28">
        <w:rPr>
          <w:szCs w:val="20"/>
        </w:rPr>
        <w:t>creating</w:t>
      </w:r>
      <w:r w:rsidR="00C64050">
        <w:rPr>
          <w:szCs w:val="20"/>
        </w:rPr>
        <w:t xml:space="preserve"> </w:t>
      </w:r>
      <w:r w:rsidRPr="00E74C28">
        <w:rPr>
          <w:szCs w:val="20"/>
        </w:rPr>
        <w:t>the</w:t>
      </w:r>
      <w:r w:rsidR="00C64050">
        <w:rPr>
          <w:szCs w:val="20"/>
        </w:rPr>
        <w:t xml:space="preserve"> </w:t>
      </w:r>
      <w:r w:rsidRPr="00E74C28">
        <w:rPr>
          <w:szCs w:val="20"/>
        </w:rPr>
        <w:t>need</w:t>
      </w:r>
      <w:r w:rsidR="00C64050">
        <w:rPr>
          <w:szCs w:val="20"/>
        </w:rPr>
        <w:t xml:space="preserve"> </w:t>
      </w:r>
      <w:r w:rsidRPr="00E74C28">
        <w:rPr>
          <w:szCs w:val="20"/>
        </w:rPr>
        <w:t>for</w:t>
      </w:r>
      <w:r w:rsidR="00C64050">
        <w:rPr>
          <w:szCs w:val="20"/>
        </w:rPr>
        <w:t xml:space="preserve"> </w:t>
      </w:r>
      <w:r w:rsidRPr="00E74C28">
        <w:rPr>
          <w:szCs w:val="20"/>
        </w:rPr>
        <w:t>a</w:t>
      </w:r>
      <w:r w:rsidR="00C64050">
        <w:rPr>
          <w:szCs w:val="20"/>
        </w:rPr>
        <w:t xml:space="preserve"> </w:t>
      </w:r>
      <w:r w:rsidRPr="00E74C28">
        <w:rPr>
          <w:szCs w:val="20"/>
        </w:rPr>
        <w:t>proviso</w:t>
      </w:r>
      <w:r w:rsidR="00C64050">
        <w:rPr>
          <w:szCs w:val="20"/>
        </w:rPr>
        <w:t xml:space="preserve"> </w:t>
      </w:r>
      <w:r w:rsidRPr="00E74C28">
        <w:rPr>
          <w:szCs w:val="20"/>
        </w:rPr>
        <w:t>that</w:t>
      </w:r>
      <w:r w:rsidR="00C64050">
        <w:rPr>
          <w:szCs w:val="20"/>
        </w:rPr>
        <w:t xml:space="preserve"> </w:t>
      </w:r>
      <w:r w:rsidRPr="00E74C28">
        <w:rPr>
          <w:szCs w:val="20"/>
        </w:rPr>
        <w:t>excises</w:t>
      </w:r>
      <w:r w:rsidR="00C64050">
        <w:rPr>
          <w:szCs w:val="20"/>
        </w:rPr>
        <w:t xml:space="preserve"> </w:t>
      </w:r>
      <w:r w:rsidRPr="00E74C28">
        <w:rPr>
          <w:szCs w:val="20"/>
        </w:rPr>
        <w:t>“interpretation”</w:t>
      </w:r>
      <w:r w:rsidR="00C64050">
        <w:rPr>
          <w:szCs w:val="20"/>
        </w:rPr>
        <w:t xml:space="preserve"> </w:t>
      </w:r>
      <w:r w:rsidRPr="00E74C28">
        <w:rPr>
          <w:szCs w:val="20"/>
        </w:rPr>
        <w:t>from</w:t>
      </w:r>
      <w:r w:rsidR="00C64050">
        <w:rPr>
          <w:szCs w:val="20"/>
        </w:rPr>
        <w:t xml:space="preserve"> </w:t>
      </w:r>
      <w:r w:rsidRPr="00E74C28">
        <w:rPr>
          <w:szCs w:val="20"/>
        </w:rPr>
        <w:t>that</w:t>
      </w:r>
      <w:r w:rsidR="00C64050">
        <w:rPr>
          <w:szCs w:val="20"/>
        </w:rPr>
        <w:t xml:space="preserve"> </w:t>
      </w:r>
      <w:r w:rsidRPr="00E74C28">
        <w:rPr>
          <w:szCs w:val="20"/>
        </w:rPr>
        <w:t>definition</w:t>
      </w:r>
      <w:r w:rsidR="00C64050">
        <w:rPr>
          <w:szCs w:val="20"/>
        </w:rPr>
        <w:t xml:space="preserve"> </w:t>
      </w:r>
      <w:r w:rsidRPr="00E74C28">
        <w:rPr>
          <w:szCs w:val="20"/>
        </w:rPr>
        <w:t>in</w:t>
      </w:r>
      <w:r w:rsidR="00C64050">
        <w:rPr>
          <w:szCs w:val="20"/>
        </w:rPr>
        <w:t xml:space="preserve"> </w:t>
      </w:r>
      <w:r w:rsidRPr="00E74C28">
        <w:rPr>
          <w:szCs w:val="20"/>
        </w:rPr>
        <w:t>certain</w:t>
      </w:r>
      <w:r w:rsidR="00C64050">
        <w:rPr>
          <w:szCs w:val="20"/>
        </w:rPr>
        <w:t xml:space="preserve"> </w:t>
      </w:r>
      <w:r w:rsidRPr="00E74C28">
        <w:rPr>
          <w:szCs w:val="20"/>
        </w:rPr>
        <w:t>circumstances.</w:t>
      </w:r>
      <w:r w:rsidR="00C64050">
        <w:rPr>
          <w:szCs w:val="20"/>
        </w:rPr>
        <w:t xml:space="preserve"> </w:t>
      </w:r>
      <w:r w:rsidRPr="00E74C28">
        <w:rPr>
          <w:szCs w:val="20"/>
        </w:rPr>
        <w:t>By</w:t>
      </w:r>
      <w:r w:rsidR="00C64050">
        <w:rPr>
          <w:szCs w:val="20"/>
        </w:rPr>
        <w:t xml:space="preserve"> </w:t>
      </w:r>
      <w:r w:rsidRPr="00E74C28">
        <w:rPr>
          <w:szCs w:val="20"/>
        </w:rPr>
        <w:t>doing</w:t>
      </w:r>
      <w:r w:rsidR="00C64050">
        <w:rPr>
          <w:szCs w:val="20"/>
        </w:rPr>
        <w:t xml:space="preserve"> </w:t>
      </w:r>
      <w:r w:rsidRPr="00E74C28">
        <w:rPr>
          <w:szCs w:val="20"/>
        </w:rPr>
        <w:t>so,</w:t>
      </w:r>
      <w:r w:rsidR="00C64050">
        <w:rPr>
          <w:szCs w:val="20"/>
        </w:rPr>
        <w:t xml:space="preserve"> </w:t>
      </w:r>
      <w:r w:rsidRPr="00E74C28">
        <w:rPr>
          <w:szCs w:val="20"/>
        </w:rPr>
        <w:t>the</w:t>
      </w:r>
      <w:r w:rsidR="00C64050">
        <w:rPr>
          <w:szCs w:val="20"/>
        </w:rPr>
        <w:t xml:space="preserve"> </w:t>
      </w:r>
      <w:r w:rsidRPr="00E74C28">
        <w:rPr>
          <w:szCs w:val="20"/>
        </w:rPr>
        <w:t>proviso</w:t>
      </w:r>
      <w:r w:rsidR="00C64050">
        <w:rPr>
          <w:szCs w:val="20"/>
        </w:rPr>
        <w:t xml:space="preserve"> </w:t>
      </w:r>
      <w:r w:rsidRPr="00E74C28">
        <w:rPr>
          <w:szCs w:val="20"/>
        </w:rPr>
        <w:t>makes</w:t>
      </w:r>
      <w:r w:rsidR="00C64050">
        <w:rPr>
          <w:szCs w:val="20"/>
        </w:rPr>
        <w:t xml:space="preserve"> </w:t>
      </w:r>
      <w:r w:rsidRPr="00E74C28">
        <w:rPr>
          <w:szCs w:val="20"/>
        </w:rPr>
        <w:t>a</w:t>
      </w:r>
      <w:r w:rsidR="00C64050">
        <w:rPr>
          <w:szCs w:val="20"/>
        </w:rPr>
        <w:t xml:space="preserve"> </w:t>
      </w:r>
      <w:r w:rsidRPr="00E74C28">
        <w:rPr>
          <w:szCs w:val="20"/>
        </w:rPr>
        <w:t>tautological</w:t>
      </w:r>
      <w:r w:rsidR="00C64050">
        <w:rPr>
          <w:szCs w:val="20"/>
        </w:rPr>
        <w:t xml:space="preserve"> </w:t>
      </w:r>
      <w:r w:rsidRPr="00E74C28">
        <w:rPr>
          <w:szCs w:val="20"/>
        </w:rPr>
        <w:t>assertion</w:t>
      </w:r>
      <w:r w:rsidR="00C64050">
        <w:rPr>
          <w:szCs w:val="20"/>
        </w:rPr>
        <w:t xml:space="preserve"> </w:t>
      </w:r>
      <w:r w:rsidRPr="00E74C28">
        <w:rPr>
          <w:szCs w:val="20"/>
        </w:rPr>
        <w:t>“in</w:t>
      </w:r>
      <w:r w:rsidR="00C64050">
        <w:rPr>
          <w:szCs w:val="20"/>
        </w:rPr>
        <w:t xml:space="preserve"> </w:t>
      </w:r>
      <w:r w:rsidRPr="00E74C28">
        <w:rPr>
          <w:szCs w:val="20"/>
        </w:rPr>
        <w:t>which</w:t>
      </w:r>
      <w:r w:rsidR="00C64050">
        <w:rPr>
          <w:szCs w:val="20"/>
        </w:rPr>
        <w:t xml:space="preserve"> </w:t>
      </w:r>
      <w:r w:rsidRPr="00E74C28">
        <w:rPr>
          <w:szCs w:val="20"/>
        </w:rPr>
        <w:t>the</w:t>
      </w:r>
      <w:r w:rsidR="00C64050">
        <w:rPr>
          <w:szCs w:val="20"/>
        </w:rPr>
        <w:t xml:space="preserve"> </w:t>
      </w:r>
      <w:r w:rsidRPr="00E74C28">
        <w:rPr>
          <w:szCs w:val="20"/>
        </w:rPr>
        <w:t>point</w:t>
      </w:r>
      <w:r w:rsidR="00C64050">
        <w:rPr>
          <w:szCs w:val="20"/>
        </w:rPr>
        <w:t xml:space="preserve"> </w:t>
      </w:r>
      <w:r w:rsidRPr="00E74C28">
        <w:rPr>
          <w:szCs w:val="20"/>
        </w:rPr>
        <w:t>to</w:t>
      </w:r>
      <w:r w:rsidR="00C64050">
        <w:rPr>
          <w:szCs w:val="20"/>
        </w:rPr>
        <w:t xml:space="preserve"> </w:t>
      </w:r>
      <w:r w:rsidRPr="00E74C28">
        <w:rPr>
          <w:szCs w:val="20"/>
        </w:rPr>
        <w:t>be</w:t>
      </w:r>
      <w:r w:rsidR="00C64050">
        <w:rPr>
          <w:szCs w:val="20"/>
        </w:rPr>
        <w:t xml:space="preserve"> </w:t>
      </w:r>
      <w:r w:rsidRPr="00E74C28">
        <w:rPr>
          <w:szCs w:val="20"/>
        </w:rPr>
        <w:t>proved</w:t>
      </w:r>
      <w:r w:rsidR="00C64050">
        <w:rPr>
          <w:szCs w:val="20"/>
        </w:rPr>
        <w:t xml:space="preserve"> </w:t>
      </w:r>
      <w:r w:rsidRPr="00E74C28">
        <w:rPr>
          <w:szCs w:val="20"/>
        </w:rPr>
        <w:t>is</w:t>
      </w:r>
      <w:r w:rsidR="00C64050">
        <w:rPr>
          <w:szCs w:val="20"/>
        </w:rPr>
        <w:t xml:space="preserve"> </w:t>
      </w:r>
      <w:r w:rsidRPr="00E74C28">
        <w:rPr>
          <w:szCs w:val="20"/>
        </w:rPr>
        <w:t>implicitly</w:t>
      </w:r>
      <w:r w:rsidR="00C64050">
        <w:rPr>
          <w:szCs w:val="20"/>
        </w:rPr>
        <w:t xml:space="preserve"> </w:t>
      </w:r>
      <w:r w:rsidRPr="00E74C28">
        <w:rPr>
          <w:szCs w:val="20"/>
        </w:rPr>
        <w:t>taken</w:t>
      </w:r>
      <w:r w:rsidR="00C64050">
        <w:rPr>
          <w:szCs w:val="20"/>
        </w:rPr>
        <w:t xml:space="preserve"> </w:t>
      </w:r>
      <w:r w:rsidRPr="00E74C28">
        <w:rPr>
          <w:szCs w:val="20"/>
        </w:rPr>
        <w:t>for</w:t>
      </w:r>
      <w:r w:rsidR="00C64050">
        <w:rPr>
          <w:szCs w:val="20"/>
        </w:rPr>
        <w:t xml:space="preserve"> </w:t>
      </w:r>
      <w:r w:rsidRPr="00E74C28">
        <w:rPr>
          <w:szCs w:val="20"/>
        </w:rPr>
        <w:t>granted,”</w:t>
      </w:r>
      <w:r w:rsidR="00C64050">
        <w:rPr>
          <w:szCs w:val="20"/>
        </w:rPr>
        <w:t xml:space="preserve"> </w:t>
      </w:r>
      <w:r w:rsidRPr="00E74C28">
        <w:rPr>
          <w:szCs w:val="20"/>
        </w:rPr>
        <w:t>Black’s</w:t>
      </w:r>
      <w:r w:rsidR="00C64050">
        <w:rPr>
          <w:szCs w:val="20"/>
        </w:rPr>
        <w:t xml:space="preserve"> </w:t>
      </w:r>
      <w:r w:rsidRPr="00E74C28">
        <w:rPr>
          <w:szCs w:val="20"/>
        </w:rPr>
        <w:t>Law</w:t>
      </w:r>
      <w:r w:rsidR="00C64050">
        <w:rPr>
          <w:szCs w:val="20"/>
        </w:rPr>
        <w:t xml:space="preserve"> </w:t>
      </w:r>
      <w:r w:rsidRPr="00E74C28">
        <w:rPr>
          <w:szCs w:val="20"/>
        </w:rPr>
        <w:t>Dictionary</w:t>
      </w:r>
      <w:r w:rsidR="00C64050">
        <w:rPr>
          <w:szCs w:val="20"/>
        </w:rPr>
        <w:t xml:space="preserve"> </w:t>
      </w:r>
      <w:r w:rsidRPr="00E74C28">
        <w:rPr>
          <w:szCs w:val="20"/>
        </w:rPr>
        <w:t>189</w:t>
      </w:r>
      <w:r w:rsidR="00C64050">
        <w:rPr>
          <w:szCs w:val="20"/>
        </w:rPr>
        <w:t xml:space="preserve"> </w:t>
      </w:r>
      <w:r w:rsidRPr="00E74C28">
        <w:rPr>
          <w:szCs w:val="20"/>
        </w:rPr>
        <w:t>(11th</w:t>
      </w:r>
      <w:r w:rsidR="00C64050">
        <w:rPr>
          <w:szCs w:val="20"/>
        </w:rPr>
        <w:t xml:space="preserve"> </w:t>
      </w:r>
      <w:r w:rsidRPr="00E74C28">
        <w:rPr>
          <w:szCs w:val="20"/>
        </w:rPr>
        <w:t>ed.</w:t>
      </w:r>
      <w:r w:rsidR="00C64050">
        <w:rPr>
          <w:szCs w:val="20"/>
        </w:rPr>
        <w:t xml:space="preserve"> </w:t>
      </w:r>
      <w:r w:rsidRPr="00E74C28">
        <w:rPr>
          <w:szCs w:val="20"/>
        </w:rPr>
        <w:t>2019),</w:t>
      </w:r>
      <w:r w:rsidR="00C64050">
        <w:rPr>
          <w:szCs w:val="20"/>
        </w:rPr>
        <w:t xml:space="preserve"> </w:t>
      </w:r>
      <w:r w:rsidRPr="00E74C28">
        <w:rPr>
          <w:szCs w:val="20"/>
        </w:rPr>
        <w:t>a</w:t>
      </w:r>
      <w:r w:rsidR="00C64050">
        <w:rPr>
          <w:szCs w:val="20"/>
        </w:rPr>
        <w:t xml:space="preserve"> </w:t>
      </w:r>
      <w:r w:rsidRPr="00E74C28">
        <w:rPr>
          <w:szCs w:val="20"/>
        </w:rPr>
        <w:t>classic</w:t>
      </w:r>
      <w:r w:rsidR="00C64050">
        <w:rPr>
          <w:szCs w:val="20"/>
        </w:rPr>
        <w:t xml:space="preserve"> </w:t>
      </w:r>
      <w:r w:rsidRPr="00E74C28">
        <w:rPr>
          <w:szCs w:val="20"/>
        </w:rPr>
        <w:t>example</w:t>
      </w:r>
      <w:r w:rsidR="00C64050">
        <w:rPr>
          <w:szCs w:val="20"/>
        </w:rPr>
        <w:t xml:space="preserve"> </w:t>
      </w:r>
      <w:r w:rsidRPr="00E74C28">
        <w:rPr>
          <w:szCs w:val="20"/>
        </w:rPr>
        <w:t>of</w:t>
      </w:r>
      <w:r w:rsidR="00C64050">
        <w:rPr>
          <w:szCs w:val="20"/>
        </w:rPr>
        <w:t xml:space="preserve"> </w:t>
      </w:r>
      <w:r w:rsidRPr="00E74C28">
        <w:rPr>
          <w:szCs w:val="20"/>
        </w:rPr>
        <w:t>begging</w:t>
      </w:r>
      <w:r w:rsidR="00C64050">
        <w:rPr>
          <w:szCs w:val="20"/>
        </w:rPr>
        <w:t xml:space="preserve"> </w:t>
      </w:r>
      <w:r w:rsidRPr="00E74C28">
        <w:rPr>
          <w:szCs w:val="20"/>
        </w:rPr>
        <w:t>the</w:t>
      </w:r>
      <w:r w:rsidR="00C64050">
        <w:rPr>
          <w:szCs w:val="20"/>
        </w:rPr>
        <w:t xml:space="preserve"> </w:t>
      </w:r>
      <w:r w:rsidRPr="00E74C28">
        <w:rPr>
          <w:szCs w:val="20"/>
        </w:rPr>
        <w:t>question.</w:t>
      </w:r>
      <w:r w:rsidR="00C64050">
        <w:rPr>
          <w:szCs w:val="20"/>
        </w:rPr>
        <w:t xml:space="preserve"> </w:t>
      </w:r>
      <w:r w:rsidRPr="00E74C28">
        <w:rPr>
          <w:szCs w:val="20"/>
        </w:rPr>
        <w:t>One</w:t>
      </w:r>
      <w:r w:rsidR="00C64050">
        <w:rPr>
          <w:szCs w:val="20"/>
        </w:rPr>
        <w:t xml:space="preserve"> </w:t>
      </w:r>
      <w:r w:rsidRPr="00E74C28">
        <w:rPr>
          <w:szCs w:val="20"/>
        </w:rPr>
        <w:t>does</w:t>
      </w:r>
      <w:r w:rsidR="00C64050">
        <w:rPr>
          <w:szCs w:val="20"/>
        </w:rPr>
        <w:t xml:space="preserve"> </w:t>
      </w:r>
      <w:r w:rsidRPr="00E74C28">
        <w:rPr>
          <w:szCs w:val="20"/>
        </w:rPr>
        <w:t>not</w:t>
      </w:r>
      <w:r w:rsidR="00C64050">
        <w:rPr>
          <w:szCs w:val="20"/>
        </w:rPr>
        <w:t xml:space="preserve"> </w:t>
      </w:r>
      <w:r w:rsidRPr="00E74C28">
        <w:rPr>
          <w:szCs w:val="20"/>
        </w:rPr>
        <w:t>need</w:t>
      </w:r>
      <w:r w:rsidR="00C64050">
        <w:rPr>
          <w:szCs w:val="20"/>
        </w:rPr>
        <w:t xml:space="preserve"> </w:t>
      </w:r>
      <w:r w:rsidRPr="00E74C28">
        <w:rPr>
          <w:szCs w:val="20"/>
        </w:rPr>
        <w:t>an</w:t>
      </w:r>
      <w:r w:rsidR="00C64050">
        <w:rPr>
          <w:szCs w:val="20"/>
        </w:rPr>
        <w:t xml:space="preserve"> </w:t>
      </w:r>
      <w:r w:rsidRPr="00E74C28">
        <w:rPr>
          <w:szCs w:val="20"/>
        </w:rPr>
        <w:t>exception</w:t>
      </w:r>
      <w:r w:rsidR="00C64050">
        <w:rPr>
          <w:szCs w:val="20"/>
        </w:rPr>
        <w:t xml:space="preserve"> </w:t>
      </w:r>
      <w:r w:rsidRPr="00E74C28">
        <w:rPr>
          <w:szCs w:val="20"/>
        </w:rPr>
        <w:t>to</w:t>
      </w:r>
      <w:r w:rsidR="00C64050">
        <w:rPr>
          <w:szCs w:val="20"/>
        </w:rPr>
        <w:t xml:space="preserve"> </w:t>
      </w:r>
      <w:r w:rsidRPr="00E74C28">
        <w:rPr>
          <w:szCs w:val="20"/>
        </w:rPr>
        <w:t>a</w:t>
      </w:r>
      <w:r w:rsidR="00C64050">
        <w:rPr>
          <w:szCs w:val="20"/>
        </w:rPr>
        <w:t xml:space="preserve"> </w:t>
      </w:r>
      <w:r w:rsidRPr="00E74C28">
        <w:rPr>
          <w:szCs w:val="20"/>
        </w:rPr>
        <w:t>rule</w:t>
      </w:r>
      <w:r w:rsidR="00C64050">
        <w:rPr>
          <w:szCs w:val="20"/>
        </w:rPr>
        <w:t xml:space="preserve"> </w:t>
      </w:r>
      <w:r w:rsidRPr="00E74C28">
        <w:rPr>
          <w:szCs w:val="20"/>
        </w:rPr>
        <w:t>to</w:t>
      </w:r>
      <w:r w:rsidR="00C64050">
        <w:rPr>
          <w:szCs w:val="20"/>
        </w:rPr>
        <w:t xml:space="preserve"> </w:t>
      </w:r>
      <w:r w:rsidRPr="00E74C28">
        <w:rPr>
          <w:szCs w:val="20"/>
        </w:rPr>
        <w:t>do</w:t>
      </w:r>
      <w:r w:rsidR="00C64050">
        <w:rPr>
          <w:szCs w:val="20"/>
        </w:rPr>
        <w:t xml:space="preserve"> </w:t>
      </w:r>
      <w:r w:rsidRPr="00E74C28">
        <w:rPr>
          <w:szCs w:val="20"/>
        </w:rPr>
        <w:t>something</w:t>
      </w:r>
      <w:r w:rsidR="00C64050">
        <w:rPr>
          <w:szCs w:val="20"/>
        </w:rPr>
        <w:t xml:space="preserve"> </w:t>
      </w:r>
      <w:r w:rsidRPr="00E74C28">
        <w:rPr>
          <w:szCs w:val="20"/>
        </w:rPr>
        <w:t>the</w:t>
      </w:r>
      <w:r w:rsidR="00C64050">
        <w:rPr>
          <w:szCs w:val="20"/>
        </w:rPr>
        <w:t xml:space="preserve"> </w:t>
      </w:r>
      <w:r w:rsidRPr="00E74C28">
        <w:rPr>
          <w:szCs w:val="20"/>
        </w:rPr>
        <w:t>rule</w:t>
      </w:r>
      <w:r w:rsidR="00C64050">
        <w:rPr>
          <w:szCs w:val="20"/>
        </w:rPr>
        <w:t xml:space="preserve"> </w:t>
      </w:r>
      <w:r w:rsidRPr="00E74C28">
        <w:rPr>
          <w:szCs w:val="20"/>
        </w:rPr>
        <w:t>does</w:t>
      </w:r>
      <w:r w:rsidR="00C64050">
        <w:rPr>
          <w:szCs w:val="20"/>
        </w:rPr>
        <w:t xml:space="preserve"> </w:t>
      </w:r>
      <w:r w:rsidRPr="00E74C28">
        <w:rPr>
          <w:szCs w:val="20"/>
        </w:rPr>
        <w:t>not</w:t>
      </w:r>
      <w:r w:rsidR="00C64050">
        <w:rPr>
          <w:szCs w:val="20"/>
        </w:rPr>
        <w:t xml:space="preserve"> </w:t>
      </w:r>
      <w:r w:rsidRPr="00E74C28">
        <w:rPr>
          <w:szCs w:val="20"/>
        </w:rPr>
        <w:t>prohibit.</w:t>
      </w:r>
    </w:p>
    <w:p w:rsidR="00E74C28" w:rsidRPr="00E74C28" w:rsidRDefault="00E74C28" w:rsidP="00E74C28">
      <w:pPr>
        <w:pStyle w:val="QS10"/>
        <w:rPr>
          <w:szCs w:val="20"/>
        </w:rPr>
      </w:pPr>
      <w:r w:rsidRPr="00E74C28">
        <w:rPr>
          <w:szCs w:val="20"/>
        </w:rPr>
        <w:t>For</w:t>
      </w:r>
      <w:r w:rsidR="00C64050">
        <w:rPr>
          <w:szCs w:val="20"/>
        </w:rPr>
        <w:t xml:space="preserve"> </w:t>
      </w:r>
      <w:r w:rsidRPr="00E74C28">
        <w:rPr>
          <w:szCs w:val="20"/>
        </w:rPr>
        <w:t>these</w:t>
      </w:r>
      <w:r w:rsidR="00C64050">
        <w:rPr>
          <w:szCs w:val="20"/>
        </w:rPr>
        <w:t xml:space="preserve"> </w:t>
      </w:r>
      <w:r w:rsidRPr="00E74C28">
        <w:rPr>
          <w:szCs w:val="20"/>
        </w:rPr>
        <w:t>reasons,</w:t>
      </w:r>
      <w:r w:rsidR="00C64050">
        <w:rPr>
          <w:szCs w:val="20"/>
        </w:rPr>
        <w:t xml:space="preserve"> </w:t>
      </w:r>
      <w:r w:rsidRPr="00E74C28">
        <w:rPr>
          <w:szCs w:val="20"/>
        </w:rPr>
        <w:t>the</w:t>
      </w:r>
      <w:r w:rsidR="00C64050">
        <w:rPr>
          <w:szCs w:val="20"/>
        </w:rPr>
        <w:t xml:space="preserve"> </w:t>
      </w:r>
      <w:r w:rsidRPr="00E74C28">
        <w:rPr>
          <w:szCs w:val="20"/>
        </w:rPr>
        <w:t>principles</w:t>
      </w:r>
      <w:r w:rsidR="00C64050">
        <w:rPr>
          <w:szCs w:val="20"/>
        </w:rPr>
        <w:t xml:space="preserve"> </w:t>
      </w:r>
      <w:r w:rsidRPr="00E74C28">
        <w:rPr>
          <w:szCs w:val="20"/>
        </w:rPr>
        <w:t>of</w:t>
      </w:r>
      <w:r w:rsidR="00C64050">
        <w:rPr>
          <w:szCs w:val="20"/>
        </w:rPr>
        <w:t xml:space="preserve"> </w:t>
      </w:r>
      <w:r w:rsidRPr="00E74C28">
        <w:rPr>
          <w:szCs w:val="20"/>
        </w:rPr>
        <w:t>strict</w:t>
      </w:r>
      <w:r w:rsidR="00C64050">
        <w:rPr>
          <w:szCs w:val="20"/>
        </w:rPr>
        <w:t xml:space="preserve"> </w:t>
      </w:r>
      <w:r w:rsidRPr="00E74C28">
        <w:rPr>
          <w:szCs w:val="20"/>
        </w:rPr>
        <w:t>construction</w:t>
      </w:r>
      <w:r w:rsidR="00C64050">
        <w:rPr>
          <w:szCs w:val="20"/>
        </w:rPr>
        <w:t xml:space="preserve"> </w:t>
      </w:r>
      <w:r w:rsidRPr="00E74C28">
        <w:rPr>
          <w:szCs w:val="20"/>
        </w:rPr>
        <w:t>dictate</w:t>
      </w:r>
      <w:r w:rsidR="00C64050">
        <w:rPr>
          <w:szCs w:val="20"/>
        </w:rPr>
        <w:t xml:space="preserve"> </w:t>
      </w:r>
      <w:r w:rsidRPr="00E74C28">
        <w:rPr>
          <w:szCs w:val="20"/>
        </w:rPr>
        <w:t>that</w:t>
      </w:r>
      <w:r w:rsidR="00C64050">
        <w:rPr>
          <w:szCs w:val="20"/>
        </w:rPr>
        <w:t xml:space="preserve"> </w:t>
      </w:r>
      <w:r w:rsidRPr="00E74C28">
        <w:rPr>
          <w:szCs w:val="20"/>
        </w:rPr>
        <w:t>neither</w:t>
      </w:r>
      <w:r w:rsidR="00C64050">
        <w:rPr>
          <w:szCs w:val="20"/>
        </w:rPr>
        <w:t xml:space="preserve"> </w:t>
      </w:r>
      <w:r w:rsidRPr="00E74C28">
        <w:rPr>
          <w:szCs w:val="20"/>
        </w:rPr>
        <w:t>the</w:t>
      </w:r>
      <w:r w:rsidR="00C64050">
        <w:rPr>
          <w:szCs w:val="20"/>
        </w:rPr>
        <w:t xml:space="preserve"> </w:t>
      </w:r>
      <w:r w:rsidRPr="00E74C28">
        <w:rPr>
          <w:szCs w:val="20"/>
        </w:rPr>
        <w:t>definition</w:t>
      </w:r>
      <w:r w:rsidR="00C64050">
        <w:rPr>
          <w:szCs w:val="20"/>
        </w:rPr>
        <w:t xml:space="preserve"> </w:t>
      </w:r>
      <w:r w:rsidRPr="00E74C28">
        <w:rPr>
          <w:szCs w:val="20"/>
        </w:rPr>
        <w:t>of</w:t>
      </w:r>
      <w:r w:rsidR="00C64050">
        <w:rPr>
          <w:szCs w:val="20"/>
        </w:rPr>
        <w:t xml:space="preserve"> </w:t>
      </w:r>
      <w:r w:rsidRPr="00E74C28">
        <w:rPr>
          <w:szCs w:val="20"/>
        </w:rPr>
        <w:t>“contest”</w:t>
      </w:r>
      <w:r w:rsidR="00C64050">
        <w:rPr>
          <w:szCs w:val="20"/>
        </w:rPr>
        <w:t xml:space="preserve"> </w:t>
      </w:r>
      <w:r w:rsidRPr="00E74C28">
        <w:rPr>
          <w:szCs w:val="20"/>
        </w:rPr>
        <w:t>nor</w:t>
      </w:r>
      <w:r w:rsidR="00C64050">
        <w:rPr>
          <w:szCs w:val="20"/>
        </w:rPr>
        <w:t xml:space="preserve"> </w:t>
      </w:r>
      <w:r w:rsidRPr="00E74C28">
        <w:rPr>
          <w:szCs w:val="20"/>
        </w:rPr>
        <w:t>the</w:t>
      </w:r>
      <w:r w:rsidR="00C64050">
        <w:rPr>
          <w:szCs w:val="20"/>
        </w:rPr>
        <w:t xml:space="preserve"> </w:t>
      </w:r>
      <w:r w:rsidRPr="00E74C28">
        <w:rPr>
          <w:szCs w:val="20"/>
        </w:rPr>
        <w:t>proviso’s</w:t>
      </w:r>
      <w:r w:rsidR="00C64050">
        <w:rPr>
          <w:szCs w:val="20"/>
        </w:rPr>
        <w:t xml:space="preserve"> </w:t>
      </w:r>
      <w:r w:rsidRPr="00E74C28">
        <w:rPr>
          <w:szCs w:val="20"/>
        </w:rPr>
        <w:t>attempted</w:t>
      </w:r>
      <w:r w:rsidR="00C64050">
        <w:rPr>
          <w:szCs w:val="20"/>
        </w:rPr>
        <w:t xml:space="preserve"> </w:t>
      </w:r>
      <w:r w:rsidRPr="00E74C28">
        <w:rPr>
          <w:szCs w:val="20"/>
        </w:rPr>
        <w:t>exception</w:t>
      </w:r>
      <w:r w:rsidR="00C64050">
        <w:rPr>
          <w:szCs w:val="20"/>
        </w:rPr>
        <w:t xml:space="preserve"> </w:t>
      </w:r>
      <w:r w:rsidRPr="00E74C28">
        <w:rPr>
          <w:szCs w:val="20"/>
        </w:rPr>
        <w:t>from</w:t>
      </w:r>
      <w:r w:rsidR="00C64050">
        <w:rPr>
          <w:szCs w:val="20"/>
        </w:rPr>
        <w:t xml:space="preserve"> </w:t>
      </w:r>
      <w:r w:rsidRPr="00E74C28">
        <w:rPr>
          <w:szCs w:val="20"/>
        </w:rPr>
        <w:t>that</w:t>
      </w:r>
      <w:r w:rsidR="00C64050">
        <w:rPr>
          <w:szCs w:val="20"/>
        </w:rPr>
        <w:t xml:space="preserve"> </w:t>
      </w:r>
      <w:r w:rsidRPr="00E74C28">
        <w:rPr>
          <w:szCs w:val="20"/>
        </w:rPr>
        <w:t>definition</w:t>
      </w:r>
      <w:r w:rsidR="00C64050">
        <w:rPr>
          <w:szCs w:val="20"/>
        </w:rPr>
        <w:t xml:space="preserve"> </w:t>
      </w:r>
      <w:r w:rsidRPr="00E74C28">
        <w:rPr>
          <w:szCs w:val="20"/>
        </w:rPr>
        <w:t>clearly</w:t>
      </w:r>
      <w:r w:rsidR="00C64050">
        <w:rPr>
          <w:szCs w:val="20"/>
        </w:rPr>
        <w:t xml:space="preserve"> </w:t>
      </w:r>
      <w:r w:rsidRPr="00E74C28">
        <w:rPr>
          <w:szCs w:val="20"/>
        </w:rPr>
        <w:t>and</w:t>
      </w:r>
      <w:r w:rsidR="00C64050">
        <w:rPr>
          <w:szCs w:val="20"/>
        </w:rPr>
        <w:t xml:space="preserve"> </w:t>
      </w:r>
      <w:r w:rsidRPr="00E74C28">
        <w:rPr>
          <w:szCs w:val="20"/>
        </w:rPr>
        <w:t>unmistakably</w:t>
      </w:r>
      <w:r w:rsidR="00C64050">
        <w:rPr>
          <w:szCs w:val="20"/>
        </w:rPr>
        <w:t xml:space="preserve"> </w:t>
      </w:r>
      <w:r w:rsidRPr="00E74C28">
        <w:rPr>
          <w:szCs w:val="20"/>
        </w:rPr>
        <w:t>states</w:t>
      </w:r>
      <w:r w:rsidR="00C64050">
        <w:rPr>
          <w:szCs w:val="20"/>
        </w:rPr>
        <w:t xml:space="preserve"> </w:t>
      </w:r>
      <w:r w:rsidRPr="00E74C28">
        <w:rPr>
          <w:szCs w:val="20"/>
        </w:rPr>
        <w:t>that</w:t>
      </w:r>
      <w:r w:rsidR="00C64050">
        <w:rPr>
          <w:szCs w:val="20"/>
        </w:rPr>
        <w:t xml:space="preserve"> </w:t>
      </w:r>
      <w:r w:rsidRPr="00E74C28">
        <w:rPr>
          <w:szCs w:val="20"/>
        </w:rPr>
        <w:t>either</w:t>
      </w:r>
      <w:r w:rsidR="00C64050">
        <w:rPr>
          <w:szCs w:val="20"/>
        </w:rPr>
        <w:t xml:space="preserve"> </w:t>
      </w:r>
      <w:r w:rsidRPr="00E74C28">
        <w:rPr>
          <w:szCs w:val="20"/>
        </w:rPr>
        <w:t>count</w:t>
      </w:r>
      <w:r w:rsidR="00C64050">
        <w:rPr>
          <w:szCs w:val="20"/>
        </w:rPr>
        <w:t xml:space="preserve"> </w:t>
      </w:r>
      <w:r w:rsidRPr="00E74C28">
        <w:rPr>
          <w:szCs w:val="20"/>
        </w:rPr>
        <w:t>of</w:t>
      </w:r>
      <w:r w:rsidR="00C64050">
        <w:rPr>
          <w:szCs w:val="20"/>
        </w:rPr>
        <w:t xml:space="preserve"> </w:t>
      </w:r>
      <w:r w:rsidRPr="00E74C28">
        <w:rPr>
          <w:szCs w:val="20"/>
        </w:rPr>
        <w:t>Chip’s</w:t>
      </w:r>
      <w:r w:rsidR="00C64050">
        <w:rPr>
          <w:szCs w:val="20"/>
        </w:rPr>
        <w:t xml:space="preserve"> </w:t>
      </w:r>
      <w:r w:rsidRPr="00E74C28">
        <w:rPr>
          <w:szCs w:val="20"/>
        </w:rPr>
        <w:t>declaratory</w:t>
      </w:r>
      <w:r w:rsidR="00C64050">
        <w:rPr>
          <w:szCs w:val="20"/>
        </w:rPr>
        <w:t xml:space="preserve"> </w:t>
      </w:r>
      <w:r w:rsidRPr="00E74C28">
        <w:rPr>
          <w:szCs w:val="20"/>
        </w:rPr>
        <w:t>judgment</w:t>
      </w:r>
      <w:r w:rsidR="00C64050">
        <w:rPr>
          <w:szCs w:val="20"/>
        </w:rPr>
        <w:t xml:space="preserve"> </w:t>
      </w:r>
      <w:r w:rsidRPr="00E74C28">
        <w:rPr>
          <w:szCs w:val="20"/>
        </w:rPr>
        <w:t>action</w:t>
      </w:r>
      <w:r w:rsidR="00C64050">
        <w:rPr>
          <w:szCs w:val="20"/>
        </w:rPr>
        <w:t xml:space="preserve"> </w:t>
      </w:r>
      <w:r w:rsidRPr="00E74C28">
        <w:rPr>
          <w:szCs w:val="20"/>
        </w:rPr>
        <w:t>violates</w:t>
      </w:r>
      <w:r w:rsidR="00C64050">
        <w:rPr>
          <w:szCs w:val="20"/>
        </w:rPr>
        <w:t xml:space="preserve"> </w:t>
      </w:r>
      <w:r w:rsidRPr="00E74C28">
        <w:rPr>
          <w:szCs w:val="20"/>
        </w:rPr>
        <w:t>the</w:t>
      </w:r>
      <w:r w:rsidR="00C64050">
        <w:rPr>
          <w:szCs w:val="20"/>
        </w:rPr>
        <w:t xml:space="preserve"> </w:t>
      </w:r>
      <w:r w:rsidRPr="00E74C28">
        <w:rPr>
          <w:szCs w:val="20"/>
        </w:rPr>
        <w:t>no-contest</w:t>
      </w:r>
      <w:r w:rsidR="00C64050">
        <w:rPr>
          <w:szCs w:val="20"/>
        </w:rPr>
        <w:t xml:space="preserve"> </w:t>
      </w:r>
      <w:r w:rsidRPr="00E74C28">
        <w:rPr>
          <w:szCs w:val="20"/>
        </w:rPr>
        <w:t>provision</w:t>
      </w:r>
      <w:r w:rsidR="00C64050">
        <w:rPr>
          <w:szCs w:val="20"/>
        </w:rPr>
        <w:t xml:space="preserve"> </w:t>
      </w:r>
      <w:r w:rsidRPr="00E74C28">
        <w:rPr>
          <w:szCs w:val="20"/>
        </w:rPr>
        <w:t>by</w:t>
      </w:r>
      <w:r w:rsidR="00C64050">
        <w:rPr>
          <w:szCs w:val="20"/>
        </w:rPr>
        <w:t xml:space="preserve"> </w:t>
      </w:r>
      <w:r w:rsidRPr="00E74C28">
        <w:rPr>
          <w:szCs w:val="20"/>
        </w:rPr>
        <w:t>seeking</w:t>
      </w:r>
      <w:r w:rsidR="00C64050">
        <w:rPr>
          <w:szCs w:val="20"/>
        </w:rPr>
        <w:t xml:space="preserve"> </w:t>
      </w:r>
      <w:r w:rsidRPr="00E74C28">
        <w:rPr>
          <w:szCs w:val="20"/>
        </w:rPr>
        <w:t>an</w:t>
      </w:r>
      <w:r w:rsidR="00C64050">
        <w:rPr>
          <w:szCs w:val="20"/>
        </w:rPr>
        <w:t xml:space="preserve"> </w:t>
      </w:r>
      <w:r w:rsidRPr="00E74C28">
        <w:rPr>
          <w:szCs w:val="20"/>
        </w:rPr>
        <w:t>interpretation</w:t>
      </w:r>
      <w:r w:rsidR="00C64050">
        <w:rPr>
          <w:szCs w:val="20"/>
        </w:rPr>
        <w:t xml:space="preserve"> </w:t>
      </w:r>
      <w:r w:rsidRPr="00E74C28">
        <w:rPr>
          <w:szCs w:val="20"/>
        </w:rPr>
        <w:t>of</w:t>
      </w:r>
      <w:r w:rsidR="00C64050">
        <w:rPr>
          <w:szCs w:val="20"/>
        </w:rPr>
        <w:t xml:space="preserve"> </w:t>
      </w:r>
      <w:r w:rsidRPr="00E74C28">
        <w:rPr>
          <w:szCs w:val="20"/>
        </w:rPr>
        <w:t>the</w:t>
      </w:r>
      <w:r w:rsidR="00C64050">
        <w:rPr>
          <w:szCs w:val="20"/>
        </w:rPr>
        <w:t xml:space="preserve"> </w:t>
      </w:r>
      <w:r w:rsidRPr="00E74C28">
        <w:rPr>
          <w:szCs w:val="20"/>
        </w:rPr>
        <w:t>trust</w:t>
      </w:r>
      <w:r w:rsidR="00C64050">
        <w:rPr>
          <w:szCs w:val="20"/>
        </w:rPr>
        <w:t xml:space="preserve"> </w:t>
      </w:r>
      <w:r w:rsidRPr="00E74C28">
        <w:rPr>
          <w:szCs w:val="20"/>
        </w:rPr>
        <w:t>and,</w:t>
      </w:r>
      <w:r w:rsidR="00C64050">
        <w:rPr>
          <w:szCs w:val="20"/>
        </w:rPr>
        <w:t xml:space="preserve"> </w:t>
      </w:r>
      <w:r w:rsidRPr="00E74C28">
        <w:rPr>
          <w:szCs w:val="20"/>
        </w:rPr>
        <w:t>based</w:t>
      </w:r>
      <w:r w:rsidR="00C64050">
        <w:rPr>
          <w:szCs w:val="20"/>
        </w:rPr>
        <w:t xml:space="preserve"> </w:t>
      </w:r>
      <w:r w:rsidRPr="00E74C28">
        <w:rPr>
          <w:szCs w:val="20"/>
        </w:rPr>
        <w:t>thereon,</w:t>
      </w:r>
      <w:r w:rsidR="00C64050">
        <w:rPr>
          <w:szCs w:val="20"/>
        </w:rPr>
        <w:t xml:space="preserve"> </w:t>
      </w:r>
      <w:r w:rsidRPr="00E74C28">
        <w:rPr>
          <w:szCs w:val="20"/>
        </w:rPr>
        <w:t>a</w:t>
      </w:r>
      <w:r w:rsidR="00C64050">
        <w:rPr>
          <w:szCs w:val="20"/>
        </w:rPr>
        <w:t xml:space="preserve"> </w:t>
      </w:r>
      <w:r w:rsidRPr="00E74C28">
        <w:rPr>
          <w:szCs w:val="20"/>
        </w:rPr>
        <w:t>declaration</w:t>
      </w:r>
      <w:r w:rsidR="00C64050">
        <w:rPr>
          <w:szCs w:val="20"/>
        </w:rPr>
        <w:t xml:space="preserve"> </w:t>
      </w:r>
      <w:r w:rsidRPr="00E74C28">
        <w:rPr>
          <w:szCs w:val="20"/>
        </w:rPr>
        <w:t>of</w:t>
      </w:r>
      <w:r w:rsidR="00C64050">
        <w:rPr>
          <w:szCs w:val="20"/>
        </w:rPr>
        <w:t xml:space="preserve"> </w:t>
      </w:r>
      <w:r w:rsidRPr="00E74C28">
        <w:rPr>
          <w:szCs w:val="20"/>
        </w:rPr>
        <w:t>the</w:t>
      </w:r>
      <w:r w:rsidR="00C64050">
        <w:rPr>
          <w:szCs w:val="20"/>
        </w:rPr>
        <w:t xml:space="preserve"> </w:t>
      </w:r>
      <w:r w:rsidRPr="00E74C28">
        <w:rPr>
          <w:szCs w:val="20"/>
        </w:rPr>
        <w:t>trustee’s</w:t>
      </w:r>
      <w:r w:rsidR="00C64050">
        <w:rPr>
          <w:szCs w:val="20"/>
        </w:rPr>
        <w:t xml:space="preserve"> </w:t>
      </w:r>
      <w:r w:rsidRPr="00E74C28">
        <w:rPr>
          <w:szCs w:val="20"/>
        </w:rPr>
        <w:t>duties.</w:t>
      </w:r>
      <w:r w:rsidR="00C64050">
        <w:rPr>
          <w:szCs w:val="20"/>
        </w:rPr>
        <w:t xml:space="preserve"> </w:t>
      </w:r>
      <w:r w:rsidRPr="00E74C28">
        <w:rPr>
          <w:szCs w:val="20"/>
        </w:rPr>
        <w:t>The</w:t>
      </w:r>
      <w:r w:rsidR="00C64050">
        <w:rPr>
          <w:szCs w:val="20"/>
        </w:rPr>
        <w:t xml:space="preserve"> </w:t>
      </w:r>
      <w:r w:rsidRPr="00E74C28">
        <w:rPr>
          <w:szCs w:val="20"/>
        </w:rPr>
        <w:t>circuit</w:t>
      </w:r>
      <w:r w:rsidR="00C64050">
        <w:rPr>
          <w:szCs w:val="20"/>
        </w:rPr>
        <w:t xml:space="preserve"> </w:t>
      </w:r>
      <w:r w:rsidRPr="00E74C28">
        <w:rPr>
          <w:szCs w:val="20"/>
        </w:rPr>
        <w:t>court</w:t>
      </w:r>
      <w:r w:rsidR="00C64050">
        <w:rPr>
          <w:szCs w:val="20"/>
        </w:rPr>
        <w:t xml:space="preserve"> </w:t>
      </w:r>
      <w:r w:rsidRPr="00E74C28">
        <w:rPr>
          <w:szCs w:val="20"/>
        </w:rPr>
        <w:t>erred</w:t>
      </w:r>
      <w:r w:rsidR="00C64050">
        <w:rPr>
          <w:szCs w:val="20"/>
        </w:rPr>
        <w:t xml:space="preserve"> </w:t>
      </w:r>
      <w:r w:rsidRPr="00E74C28">
        <w:rPr>
          <w:szCs w:val="20"/>
        </w:rPr>
        <w:t>in</w:t>
      </w:r>
      <w:r w:rsidR="00C64050">
        <w:rPr>
          <w:szCs w:val="20"/>
        </w:rPr>
        <w:t xml:space="preserve"> </w:t>
      </w:r>
      <w:r w:rsidRPr="00E74C28">
        <w:rPr>
          <w:szCs w:val="20"/>
        </w:rPr>
        <w:t>concluding</w:t>
      </w:r>
      <w:r w:rsidR="00C64050">
        <w:rPr>
          <w:szCs w:val="20"/>
        </w:rPr>
        <w:t xml:space="preserve"> </w:t>
      </w:r>
      <w:r w:rsidRPr="00E74C28">
        <w:rPr>
          <w:szCs w:val="20"/>
        </w:rPr>
        <w:t>otherwise.</w:t>
      </w:r>
    </w:p>
    <w:p w:rsidR="008C5D9A" w:rsidRPr="008C5D9A" w:rsidRDefault="00E74C28" w:rsidP="00B66CCE">
      <w:pPr>
        <w:pStyle w:val="Heading20"/>
        <w:numPr>
          <w:ilvl w:val="1"/>
          <w:numId w:val="33"/>
        </w:numPr>
        <w:tabs>
          <w:tab w:val="clear" w:pos="2700"/>
        </w:tabs>
        <w:ind w:left="0"/>
        <w:rPr>
          <w:vanish/>
          <w:specVanish/>
        </w:rPr>
      </w:pPr>
      <w:bookmarkStart w:id="805" w:name="_Toc94704695"/>
      <w:r>
        <w:rPr>
          <w:b/>
          <w:u w:val="single"/>
        </w:rPr>
        <w:t>Settlement</w:t>
      </w:r>
      <w:r w:rsidR="00C64050">
        <w:rPr>
          <w:b/>
          <w:u w:val="single"/>
        </w:rPr>
        <w:t xml:space="preserve"> </w:t>
      </w:r>
      <w:r>
        <w:rPr>
          <w:b/>
          <w:u w:val="single"/>
        </w:rPr>
        <w:t>Agreement</w:t>
      </w:r>
      <w:r w:rsidR="00C64050">
        <w:rPr>
          <w:b/>
          <w:u w:val="single"/>
        </w:rPr>
        <w:t xml:space="preserve"> </w:t>
      </w:r>
      <w:r>
        <w:rPr>
          <w:b/>
          <w:u w:val="single"/>
        </w:rPr>
        <w:t>Among</w:t>
      </w:r>
      <w:r w:rsidR="00C64050">
        <w:rPr>
          <w:b/>
          <w:u w:val="single"/>
        </w:rPr>
        <w:t xml:space="preserve"> </w:t>
      </w:r>
      <w:r>
        <w:rPr>
          <w:b/>
          <w:u w:val="single"/>
        </w:rPr>
        <w:t>Trust</w:t>
      </w:r>
      <w:r w:rsidR="00C64050">
        <w:rPr>
          <w:b/>
          <w:u w:val="single"/>
        </w:rPr>
        <w:t xml:space="preserve"> </w:t>
      </w:r>
      <w:r>
        <w:rPr>
          <w:b/>
          <w:u w:val="single"/>
        </w:rPr>
        <w:t>Beneficiaries</w:t>
      </w:r>
      <w:r w:rsidR="00C64050">
        <w:rPr>
          <w:b/>
          <w:u w:val="single"/>
        </w:rPr>
        <w:t xml:space="preserve"> </w:t>
      </w:r>
      <w:r>
        <w:rPr>
          <w:b/>
          <w:u w:val="single"/>
        </w:rPr>
        <w:t>Void</w:t>
      </w:r>
      <w:bookmarkEnd w:id="805"/>
    </w:p>
    <w:p w:rsidR="00A95336" w:rsidRDefault="00BA4A3F" w:rsidP="008C5D9A">
      <w:pPr>
        <w:pStyle w:val="Heading2Body"/>
      </w:pPr>
      <w:r>
        <w:t>.</w:t>
      </w:r>
      <w:r w:rsidR="00C64050">
        <w:t xml:space="preserve">  </w:t>
      </w:r>
      <w:r>
        <w:rPr>
          <w:u w:val="single"/>
        </w:rPr>
        <w:t>Roth</w:t>
      </w:r>
      <w:r w:rsidR="00C64050">
        <w:rPr>
          <w:u w:val="single"/>
        </w:rPr>
        <w:t xml:space="preserve"> </w:t>
      </w:r>
      <w:r>
        <w:rPr>
          <w:u w:val="single"/>
        </w:rPr>
        <w:t>v.</w:t>
      </w:r>
      <w:r w:rsidR="00C64050">
        <w:rPr>
          <w:u w:val="single"/>
        </w:rPr>
        <w:t xml:space="preserve"> </w:t>
      </w:r>
      <w:r>
        <w:rPr>
          <w:u w:val="single"/>
        </w:rPr>
        <w:t>Jelley</w:t>
      </w:r>
      <w:r>
        <w:t>,</w:t>
      </w:r>
      <w:r w:rsidR="00C64050">
        <w:t xml:space="preserve"> </w:t>
      </w:r>
      <w:r>
        <w:t>45</w:t>
      </w:r>
      <w:r w:rsidR="00C64050">
        <w:t xml:space="preserve"> </w:t>
      </w:r>
      <w:r>
        <w:t>Cal.App.5</w:t>
      </w:r>
      <w:r w:rsidRPr="00BA4A3F">
        <w:rPr>
          <w:vertAlign w:val="superscript"/>
        </w:rPr>
        <w:t>th</w:t>
      </w:r>
      <w:r w:rsidR="00C64050">
        <w:t xml:space="preserve"> </w:t>
      </w:r>
      <w:r>
        <w:t>655</w:t>
      </w:r>
      <w:r w:rsidR="00C64050">
        <w:t xml:space="preserve"> </w:t>
      </w:r>
      <w:r>
        <w:t>(Ca.App.</w:t>
      </w:r>
      <w:r w:rsidR="00C64050">
        <w:t xml:space="preserve"> </w:t>
      </w:r>
      <w:r>
        <w:t>2020),</w:t>
      </w:r>
      <w:r w:rsidR="00C64050">
        <w:t xml:space="preserve"> </w:t>
      </w:r>
      <w:r>
        <w:t>involved</w:t>
      </w:r>
      <w:r w:rsidR="00C64050">
        <w:t xml:space="preserve"> </w:t>
      </w:r>
      <w:r>
        <w:t>a</w:t>
      </w:r>
      <w:r w:rsidR="00C64050">
        <w:t xml:space="preserve"> </w:t>
      </w:r>
      <w:r>
        <w:t>settlement</w:t>
      </w:r>
      <w:r w:rsidR="00C64050">
        <w:t xml:space="preserve"> </w:t>
      </w:r>
      <w:r>
        <w:t>among</w:t>
      </w:r>
      <w:r w:rsidR="00C64050">
        <w:t xml:space="preserve"> </w:t>
      </w:r>
      <w:r>
        <w:t>some,</w:t>
      </w:r>
      <w:r w:rsidR="00C64050">
        <w:t xml:space="preserve"> </w:t>
      </w:r>
      <w:r>
        <w:t>but,</w:t>
      </w:r>
      <w:r w:rsidR="00C64050">
        <w:t xml:space="preserve"> </w:t>
      </w:r>
      <w:r>
        <w:t>crucially,</w:t>
      </w:r>
      <w:r w:rsidR="00C64050">
        <w:t xml:space="preserve"> </w:t>
      </w:r>
      <w:r>
        <w:t>not</w:t>
      </w:r>
      <w:r w:rsidR="00C64050">
        <w:t xml:space="preserve"> </w:t>
      </w:r>
      <w:r>
        <w:t>all</w:t>
      </w:r>
      <w:r w:rsidR="00C64050">
        <w:t xml:space="preserve"> </w:t>
      </w:r>
      <w:r>
        <w:t>of</w:t>
      </w:r>
      <w:r w:rsidR="00C64050">
        <w:t xml:space="preserve"> </w:t>
      </w:r>
      <w:r>
        <w:t>the</w:t>
      </w:r>
      <w:r w:rsidR="00C64050">
        <w:t xml:space="preserve"> </w:t>
      </w:r>
      <w:r>
        <w:t>trust</w:t>
      </w:r>
      <w:r w:rsidR="00C64050">
        <w:t xml:space="preserve"> </w:t>
      </w:r>
      <w:r>
        <w:t>beneficiaries.</w:t>
      </w:r>
      <w:r w:rsidR="00C64050">
        <w:t xml:space="preserve">  </w:t>
      </w:r>
      <w:r>
        <w:t>The</w:t>
      </w:r>
      <w:r w:rsidR="00C64050">
        <w:t xml:space="preserve"> </w:t>
      </w:r>
      <w:r>
        <w:t>opinion</w:t>
      </w:r>
      <w:r w:rsidR="00C64050">
        <w:t xml:space="preserve"> </w:t>
      </w:r>
      <w:r>
        <w:t>reviews</w:t>
      </w:r>
      <w:r w:rsidR="00C64050">
        <w:t xml:space="preserve"> </w:t>
      </w:r>
      <w:r>
        <w:t>the</w:t>
      </w:r>
      <w:r w:rsidR="00C64050">
        <w:t xml:space="preserve"> </w:t>
      </w:r>
      <w:r>
        <w:t>factual</w:t>
      </w:r>
      <w:r w:rsidR="00C64050">
        <w:t xml:space="preserve"> </w:t>
      </w:r>
      <w:r>
        <w:t>background:</w:t>
      </w:r>
    </w:p>
    <w:p w:rsidR="00BA4A3F" w:rsidRPr="00BA4A3F" w:rsidRDefault="00BA4A3F" w:rsidP="00BA4A3F">
      <w:pPr>
        <w:pStyle w:val="QS10"/>
      </w:pPr>
      <w:r w:rsidRPr="00BA4A3F">
        <w:t>Petitioner</w:t>
      </w:r>
      <w:r w:rsidR="00C64050">
        <w:t xml:space="preserve"> </w:t>
      </w:r>
      <w:r w:rsidRPr="00BA4A3F">
        <w:t>Mark</w:t>
      </w:r>
      <w:r w:rsidR="00C64050">
        <w:t xml:space="preserve"> </w:t>
      </w:r>
      <w:r w:rsidRPr="00BA4A3F">
        <w:t>Roth</w:t>
      </w:r>
      <w:r w:rsidR="00C64050">
        <w:t xml:space="preserve"> </w:t>
      </w:r>
      <w:r w:rsidRPr="00BA4A3F">
        <w:t>(Mark)</w:t>
      </w:r>
      <w:r w:rsidR="00C64050">
        <w:t xml:space="preserve"> </w:t>
      </w:r>
      <w:r w:rsidRPr="00BA4A3F">
        <w:t>petitioned</w:t>
      </w:r>
      <w:r w:rsidR="00C64050">
        <w:t xml:space="preserve"> </w:t>
      </w:r>
      <w:r w:rsidRPr="00BA4A3F">
        <w:t>the</w:t>
      </w:r>
      <w:r w:rsidR="00C64050">
        <w:t xml:space="preserve"> </w:t>
      </w:r>
      <w:r w:rsidRPr="00BA4A3F">
        <w:t>probate</w:t>
      </w:r>
      <w:r w:rsidR="00C64050">
        <w:t xml:space="preserve"> </w:t>
      </w:r>
      <w:r w:rsidRPr="00BA4A3F">
        <w:t>court</w:t>
      </w:r>
      <w:r w:rsidR="00C64050">
        <w:t xml:space="preserve"> </w:t>
      </w:r>
      <w:r w:rsidRPr="00BA4A3F">
        <w:t>to</w:t>
      </w:r>
      <w:r w:rsidR="00C64050">
        <w:t xml:space="preserve"> </w:t>
      </w:r>
      <w:r w:rsidRPr="00BA4A3F">
        <w:t>be</w:t>
      </w:r>
      <w:r w:rsidR="00C64050">
        <w:t xml:space="preserve"> </w:t>
      </w:r>
      <w:r w:rsidRPr="00BA4A3F">
        <w:t>recognized</w:t>
      </w:r>
      <w:r w:rsidR="00C64050">
        <w:t xml:space="preserve"> </w:t>
      </w:r>
      <w:r w:rsidRPr="00BA4A3F">
        <w:t>as</w:t>
      </w:r>
      <w:r w:rsidR="00C64050">
        <w:t xml:space="preserve"> </w:t>
      </w:r>
      <w:r w:rsidRPr="00BA4A3F">
        <w:t>the</w:t>
      </w:r>
      <w:r w:rsidR="00C64050">
        <w:t xml:space="preserve"> </w:t>
      </w:r>
      <w:r w:rsidRPr="00BA4A3F">
        <w:t>beneficiary</w:t>
      </w:r>
      <w:r w:rsidR="00C64050">
        <w:t xml:space="preserve"> </w:t>
      </w:r>
      <w:r w:rsidRPr="00BA4A3F">
        <w:t>of</w:t>
      </w:r>
      <w:r w:rsidR="00C64050">
        <w:t xml:space="preserve"> </w:t>
      </w:r>
      <w:r w:rsidRPr="00BA4A3F">
        <w:t>a</w:t>
      </w:r>
      <w:r w:rsidR="00C64050">
        <w:t xml:space="preserve"> </w:t>
      </w:r>
      <w:r w:rsidRPr="00BA4A3F">
        <w:t>trust</w:t>
      </w:r>
      <w:r w:rsidR="00C64050">
        <w:t xml:space="preserve"> </w:t>
      </w:r>
      <w:r w:rsidRPr="00BA4A3F">
        <w:t>created</w:t>
      </w:r>
      <w:r w:rsidR="00C64050">
        <w:t xml:space="preserve"> </w:t>
      </w:r>
      <w:r w:rsidRPr="00BA4A3F">
        <w:t>by</w:t>
      </w:r>
      <w:r w:rsidR="00C64050">
        <w:t xml:space="preserve"> </w:t>
      </w:r>
      <w:r w:rsidRPr="00BA4A3F">
        <w:t>his</w:t>
      </w:r>
      <w:r w:rsidR="00C64050">
        <w:t xml:space="preserve"> </w:t>
      </w:r>
      <w:r w:rsidRPr="00BA4A3F">
        <w:t>grandfather</w:t>
      </w:r>
      <w:r w:rsidR="00C64050">
        <w:t xml:space="preserve"> </w:t>
      </w:r>
      <w:r w:rsidRPr="00BA4A3F">
        <w:t>pursuant</w:t>
      </w:r>
      <w:r w:rsidR="00C64050">
        <w:t xml:space="preserve"> </w:t>
      </w:r>
      <w:r w:rsidRPr="00BA4A3F">
        <w:t>to</w:t>
      </w:r>
      <w:r w:rsidR="00C64050">
        <w:t xml:space="preserve"> </w:t>
      </w:r>
      <w:r w:rsidRPr="00BA4A3F">
        <w:t>the</w:t>
      </w:r>
      <w:r w:rsidR="00C64050">
        <w:t xml:space="preserve"> </w:t>
      </w:r>
      <w:r w:rsidRPr="00BA4A3F">
        <w:t>default</w:t>
      </w:r>
      <w:r w:rsidR="00C64050">
        <w:t xml:space="preserve"> </w:t>
      </w:r>
      <w:r w:rsidRPr="00BA4A3F">
        <w:t>distribution</w:t>
      </w:r>
      <w:r w:rsidR="00C64050">
        <w:t xml:space="preserve"> </w:t>
      </w:r>
      <w:r w:rsidRPr="00BA4A3F">
        <w:t>provision</w:t>
      </w:r>
      <w:r w:rsidR="00C64050">
        <w:t xml:space="preserve"> </w:t>
      </w:r>
      <w:r w:rsidRPr="00BA4A3F">
        <w:t>of</w:t>
      </w:r>
      <w:r w:rsidR="00C64050">
        <w:t xml:space="preserve"> </w:t>
      </w:r>
      <w:r w:rsidRPr="00BA4A3F">
        <w:t>his</w:t>
      </w:r>
      <w:r w:rsidR="00C64050">
        <w:t xml:space="preserve"> </w:t>
      </w:r>
      <w:r w:rsidRPr="00BA4A3F">
        <w:t>grandfather’</w:t>
      </w:r>
      <w:r w:rsidR="00C64050">
        <w:t xml:space="preserve"> </w:t>
      </w:r>
      <w:r w:rsidRPr="00BA4A3F">
        <w:t>will.</w:t>
      </w:r>
      <w:r w:rsidR="00C64050">
        <w:t xml:space="preserve"> </w:t>
      </w:r>
      <w:r w:rsidRPr="00BA4A3F">
        <w:t>The</w:t>
      </w:r>
      <w:r w:rsidR="00C64050">
        <w:t xml:space="preserve"> </w:t>
      </w:r>
      <w:r w:rsidRPr="00BA4A3F">
        <w:t>probate</w:t>
      </w:r>
      <w:r w:rsidR="00C64050">
        <w:t xml:space="preserve"> </w:t>
      </w:r>
      <w:r w:rsidRPr="00BA4A3F">
        <w:t>court</w:t>
      </w:r>
      <w:r w:rsidR="00C64050">
        <w:t xml:space="preserve"> </w:t>
      </w:r>
      <w:r w:rsidRPr="00BA4A3F">
        <w:t>rejected</w:t>
      </w:r>
      <w:r w:rsidR="00C64050">
        <w:t xml:space="preserve"> </w:t>
      </w:r>
      <w:r w:rsidRPr="00BA4A3F">
        <w:t>the</w:t>
      </w:r>
      <w:r w:rsidR="00C64050">
        <w:t xml:space="preserve"> </w:t>
      </w:r>
      <w:r w:rsidRPr="00BA4A3F">
        <w:t>petition</w:t>
      </w:r>
      <w:r w:rsidR="00C64050">
        <w:t xml:space="preserve"> </w:t>
      </w:r>
      <w:r w:rsidRPr="00BA4A3F">
        <w:t>on</w:t>
      </w:r>
      <w:r w:rsidR="00C64050">
        <w:t xml:space="preserve"> </w:t>
      </w:r>
      <w:r w:rsidRPr="00BA4A3F">
        <w:t>the</w:t>
      </w:r>
      <w:r w:rsidR="00C64050">
        <w:t xml:space="preserve"> </w:t>
      </w:r>
      <w:r w:rsidRPr="00BA4A3F">
        <w:t>ground</w:t>
      </w:r>
      <w:r w:rsidR="00C64050">
        <w:t xml:space="preserve"> </w:t>
      </w:r>
      <w:r w:rsidRPr="00BA4A3F">
        <w:t>that</w:t>
      </w:r>
      <w:r w:rsidR="00C64050">
        <w:t xml:space="preserve"> </w:t>
      </w:r>
      <w:r w:rsidRPr="00BA4A3F">
        <w:t>an</w:t>
      </w:r>
      <w:r w:rsidR="00C64050">
        <w:t xml:space="preserve"> </w:t>
      </w:r>
      <w:r w:rsidRPr="00BA4A3F">
        <w:t>order</w:t>
      </w:r>
      <w:r w:rsidR="00C64050">
        <w:t xml:space="preserve"> </w:t>
      </w:r>
      <w:r w:rsidRPr="00BA4A3F">
        <w:t>made</w:t>
      </w:r>
      <w:r w:rsidR="00C64050">
        <w:t xml:space="preserve"> </w:t>
      </w:r>
      <w:r w:rsidRPr="00BA4A3F">
        <w:t>in</w:t>
      </w:r>
      <w:r w:rsidR="00C64050">
        <w:t xml:space="preserve"> </w:t>
      </w:r>
      <w:r w:rsidRPr="00BA4A3F">
        <w:t>the</w:t>
      </w:r>
      <w:r w:rsidR="00C64050">
        <w:t xml:space="preserve"> </w:t>
      </w:r>
      <w:r w:rsidRPr="00BA4A3F">
        <w:t>probate</w:t>
      </w:r>
      <w:r w:rsidR="00C64050">
        <w:t xml:space="preserve"> </w:t>
      </w:r>
      <w:r w:rsidRPr="00BA4A3F">
        <w:t>of</w:t>
      </w:r>
      <w:r w:rsidR="00C64050">
        <w:t xml:space="preserve"> </w:t>
      </w:r>
      <w:r w:rsidRPr="00BA4A3F">
        <w:t>the</w:t>
      </w:r>
      <w:r w:rsidR="00C64050">
        <w:t xml:space="preserve"> </w:t>
      </w:r>
      <w:r w:rsidRPr="00BA4A3F">
        <w:t>grandfather’s</w:t>
      </w:r>
      <w:r w:rsidR="00C64050">
        <w:t xml:space="preserve"> </w:t>
      </w:r>
      <w:r w:rsidRPr="00BA4A3F">
        <w:t>estate</w:t>
      </w:r>
      <w:r w:rsidR="00C64050">
        <w:t xml:space="preserve"> </w:t>
      </w:r>
      <w:r w:rsidRPr="00BA4A3F">
        <w:t>in</w:t>
      </w:r>
      <w:r w:rsidR="00C64050">
        <w:t xml:space="preserve"> </w:t>
      </w:r>
      <w:r w:rsidRPr="00BA4A3F">
        <w:t>1991</w:t>
      </w:r>
      <w:r w:rsidR="00C64050">
        <w:t xml:space="preserve"> </w:t>
      </w:r>
      <w:r w:rsidRPr="00BA4A3F">
        <w:t>(which</w:t>
      </w:r>
      <w:r w:rsidR="00C64050">
        <w:t xml:space="preserve"> </w:t>
      </w:r>
      <w:r w:rsidRPr="00BA4A3F">
        <w:t>we</w:t>
      </w:r>
      <w:r w:rsidR="00C64050">
        <w:t xml:space="preserve"> </w:t>
      </w:r>
      <w:r w:rsidRPr="00BA4A3F">
        <w:t>refer</w:t>
      </w:r>
      <w:r w:rsidR="00C64050">
        <w:t xml:space="preserve"> </w:t>
      </w:r>
      <w:r w:rsidRPr="00BA4A3F">
        <w:t>to</w:t>
      </w:r>
      <w:r w:rsidR="00C64050">
        <w:t xml:space="preserve"> </w:t>
      </w:r>
      <w:r w:rsidRPr="00BA4A3F">
        <w:t>as</w:t>
      </w:r>
      <w:r w:rsidR="00C64050">
        <w:t xml:space="preserve"> </w:t>
      </w:r>
      <w:r w:rsidRPr="00BA4A3F">
        <w:t>the</w:t>
      </w:r>
      <w:r w:rsidR="00C64050">
        <w:t xml:space="preserve"> </w:t>
      </w:r>
      <w:r w:rsidRPr="00BA4A3F">
        <w:t>“1991</w:t>
      </w:r>
      <w:r w:rsidR="00C64050">
        <w:t xml:space="preserve"> </w:t>
      </w:r>
      <w:r w:rsidRPr="00BA4A3F">
        <w:t>Decree”)</w:t>
      </w:r>
      <w:r w:rsidR="00C64050">
        <w:t xml:space="preserve"> </w:t>
      </w:r>
      <w:r w:rsidRPr="00BA4A3F">
        <w:t>eliminated</w:t>
      </w:r>
      <w:r w:rsidR="00C64050">
        <w:t xml:space="preserve"> </w:t>
      </w:r>
      <w:r w:rsidRPr="00BA4A3F">
        <w:t>Mark’s</w:t>
      </w:r>
      <w:r w:rsidR="00C64050">
        <w:t xml:space="preserve"> </w:t>
      </w:r>
      <w:r w:rsidRPr="00BA4A3F">
        <w:t>interest</w:t>
      </w:r>
      <w:r w:rsidR="00C64050">
        <w:t xml:space="preserve"> </w:t>
      </w:r>
      <w:r w:rsidRPr="00BA4A3F">
        <w:t>in</w:t>
      </w:r>
      <w:r w:rsidR="00C64050">
        <w:t xml:space="preserve"> </w:t>
      </w:r>
      <w:r w:rsidRPr="00BA4A3F">
        <w:t>the</w:t>
      </w:r>
      <w:r w:rsidR="00C64050">
        <w:t xml:space="preserve"> </w:t>
      </w:r>
      <w:r w:rsidRPr="00BA4A3F">
        <w:t>trust</w:t>
      </w:r>
      <w:r w:rsidR="00C64050">
        <w:t xml:space="preserve"> </w:t>
      </w:r>
      <w:r w:rsidRPr="00BA4A3F">
        <w:t>and</w:t>
      </w:r>
      <w:r w:rsidR="00C64050">
        <w:t xml:space="preserve"> </w:t>
      </w:r>
      <w:r w:rsidRPr="00BA4A3F">
        <w:t>was</w:t>
      </w:r>
      <w:r w:rsidR="00C64050">
        <w:t xml:space="preserve"> </w:t>
      </w:r>
      <w:r w:rsidRPr="00BA4A3F">
        <w:t>binding</w:t>
      </w:r>
      <w:r w:rsidR="00C64050">
        <w:t xml:space="preserve"> </w:t>
      </w:r>
      <w:r w:rsidRPr="00BA4A3F">
        <w:t>on</w:t>
      </w:r>
      <w:r w:rsidR="00C64050">
        <w:t xml:space="preserve"> </w:t>
      </w:r>
      <w:r w:rsidRPr="00BA4A3F">
        <w:t>him,</w:t>
      </w:r>
      <w:r w:rsidR="00C64050">
        <w:t xml:space="preserve"> </w:t>
      </w:r>
      <w:r w:rsidRPr="00BA4A3F">
        <w:t>even</w:t>
      </w:r>
      <w:r w:rsidR="00C64050">
        <w:t xml:space="preserve"> </w:t>
      </w:r>
      <w:r w:rsidRPr="00BA4A3F">
        <w:t>though</w:t>
      </w:r>
      <w:r w:rsidR="00C64050">
        <w:t xml:space="preserve"> </w:t>
      </w:r>
      <w:r w:rsidRPr="00BA4A3F">
        <w:t>he</w:t>
      </w:r>
      <w:r w:rsidR="00C64050">
        <w:t xml:space="preserve"> </w:t>
      </w:r>
      <w:r w:rsidRPr="00BA4A3F">
        <w:t>received</w:t>
      </w:r>
      <w:r w:rsidR="00C64050">
        <w:t xml:space="preserve"> </w:t>
      </w:r>
      <w:r w:rsidRPr="00BA4A3F">
        <w:t>no</w:t>
      </w:r>
      <w:r w:rsidR="00C64050">
        <w:t xml:space="preserve"> </w:t>
      </w:r>
      <w:r w:rsidRPr="00BA4A3F">
        <w:t>notice</w:t>
      </w:r>
      <w:r w:rsidR="00C64050">
        <w:t xml:space="preserve"> </w:t>
      </w:r>
      <w:r w:rsidRPr="00BA4A3F">
        <w:t>of</w:t>
      </w:r>
      <w:r w:rsidR="00C64050">
        <w:t xml:space="preserve"> </w:t>
      </w:r>
      <w:r w:rsidRPr="00BA4A3F">
        <w:t>the</w:t>
      </w:r>
      <w:r w:rsidR="00C64050">
        <w:t xml:space="preserve"> </w:t>
      </w:r>
      <w:r w:rsidRPr="00BA4A3F">
        <w:t>court</w:t>
      </w:r>
      <w:r w:rsidR="00C64050">
        <w:t xml:space="preserve"> </w:t>
      </w:r>
      <w:r w:rsidRPr="00BA4A3F">
        <w:t>proceeding</w:t>
      </w:r>
      <w:r w:rsidR="00C64050">
        <w:t xml:space="preserve"> </w:t>
      </w:r>
      <w:r w:rsidRPr="00BA4A3F">
        <w:t>that</w:t>
      </w:r>
      <w:r w:rsidR="00C64050">
        <w:t xml:space="preserve"> </w:t>
      </w:r>
      <w:r w:rsidRPr="00BA4A3F">
        <w:t>resulted</w:t>
      </w:r>
      <w:r w:rsidR="00C64050">
        <w:t xml:space="preserve"> </w:t>
      </w:r>
      <w:r w:rsidRPr="00BA4A3F">
        <w:t>in</w:t>
      </w:r>
      <w:r w:rsidR="00C64050">
        <w:t xml:space="preserve"> </w:t>
      </w:r>
      <w:r w:rsidRPr="00BA4A3F">
        <w:t>the</w:t>
      </w:r>
      <w:r w:rsidR="00C64050">
        <w:t xml:space="preserve"> </w:t>
      </w:r>
      <w:r w:rsidRPr="00BA4A3F">
        <w:t>1991</w:t>
      </w:r>
      <w:r w:rsidR="00C64050">
        <w:t xml:space="preserve"> </w:t>
      </w:r>
      <w:r w:rsidRPr="00BA4A3F">
        <w:t>Decree.</w:t>
      </w:r>
      <w:r w:rsidR="00C64050">
        <w:t xml:space="preserve"> </w:t>
      </w:r>
      <w:r w:rsidRPr="00BA4A3F">
        <w:t>This</w:t>
      </w:r>
      <w:r w:rsidR="00C64050">
        <w:t xml:space="preserve"> </w:t>
      </w:r>
      <w:r w:rsidRPr="00BA4A3F">
        <w:t>appeal</w:t>
      </w:r>
      <w:r w:rsidR="00C64050">
        <w:t xml:space="preserve"> </w:t>
      </w:r>
      <w:r w:rsidRPr="00BA4A3F">
        <w:t>presents</w:t>
      </w:r>
      <w:r w:rsidR="00C64050">
        <w:t xml:space="preserve"> </w:t>
      </w:r>
      <w:r w:rsidRPr="00BA4A3F">
        <w:t>the</w:t>
      </w:r>
      <w:r w:rsidR="00C64050">
        <w:t xml:space="preserve"> </w:t>
      </w:r>
      <w:r w:rsidRPr="00BA4A3F">
        <w:t>question</w:t>
      </w:r>
      <w:r w:rsidR="00C64050">
        <w:t xml:space="preserve"> </w:t>
      </w:r>
      <w:r w:rsidRPr="00BA4A3F">
        <w:t>whether</w:t>
      </w:r>
      <w:r w:rsidR="00C64050">
        <w:t xml:space="preserve"> </w:t>
      </w:r>
      <w:r w:rsidRPr="00BA4A3F">
        <w:t>Mark</w:t>
      </w:r>
      <w:r w:rsidR="00C64050">
        <w:t xml:space="preserve"> </w:t>
      </w:r>
      <w:r w:rsidRPr="00BA4A3F">
        <w:t>had</w:t>
      </w:r>
      <w:r w:rsidR="00C64050">
        <w:t xml:space="preserve"> </w:t>
      </w:r>
      <w:r w:rsidRPr="00BA4A3F">
        <w:t>a</w:t>
      </w:r>
      <w:r w:rsidR="00C64050">
        <w:t xml:space="preserve"> </w:t>
      </w:r>
      <w:r w:rsidRPr="00BA4A3F">
        <w:t>property</w:t>
      </w:r>
      <w:r w:rsidR="00C64050">
        <w:t xml:space="preserve"> </w:t>
      </w:r>
      <w:r w:rsidRPr="00BA4A3F">
        <w:t>interest</w:t>
      </w:r>
      <w:r w:rsidR="00C64050">
        <w:t xml:space="preserve"> </w:t>
      </w:r>
      <w:r w:rsidRPr="00BA4A3F">
        <w:t>in</w:t>
      </w:r>
      <w:r w:rsidR="00C64050">
        <w:t xml:space="preserve"> </w:t>
      </w:r>
      <w:r w:rsidRPr="00BA4A3F">
        <w:t>the</w:t>
      </w:r>
      <w:r w:rsidR="00C64050">
        <w:t xml:space="preserve"> </w:t>
      </w:r>
      <w:r w:rsidRPr="00BA4A3F">
        <w:t>testamentary</w:t>
      </w:r>
      <w:r w:rsidR="00C64050">
        <w:t xml:space="preserve"> </w:t>
      </w:r>
      <w:r w:rsidRPr="00BA4A3F">
        <w:t>trust</w:t>
      </w:r>
      <w:r w:rsidR="00C64050">
        <w:t xml:space="preserve"> </w:t>
      </w:r>
      <w:r w:rsidRPr="00BA4A3F">
        <w:t>created</w:t>
      </w:r>
      <w:r w:rsidR="00C64050">
        <w:t xml:space="preserve"> </w:t>
      </w:r>
      <w:r w:rsidRPr="00BA4A3F">
        <w:t>by</w:t>
      </w:r>
      <w:r w:rsidR="00C64050">
        <w:t xml:space="preserve"> </w:t>
      </w:r>
      <w:r w:rsidRPr="00BA4A3F">
        <w:t>his</w:t>
      </w:r>
      <w:r w:rsidR="00C64050">
        <w:t xml:space="preserve"> </w:t>
      </w:r>
      <w:r w:rsidRPr="00BA4A3F">
        <w:t>grandfather</w:t>
      </w:r>
      <w:r w:rsidR="00C64050">
        <w:t xml:space="preserve"> </w:t>
      </w:r>
      <w:r w:rsidRPr="00BA4A3F">
        <w:t>such</w:t>
      </w:r>
      <w:r w:rsidR="00C64050">
        <w:t xml:space="preserve"> </w:t>
      </w:r>
      <w:r w:rsidRPr="00BA4A3F">
        <w:t>that</w:t>
      </w:r>
      <w:r w:rsidR="00C64050">
        <w:t xml:space="preserve"> </w:t>
      </w:r>
      <w:r w:rsidRPr="00BA4A3F">
        <w:t>he</w:t>
      </w:r>
      <w:r w:rsidR="00C64050">
        <w:t xml:space="preserve"> </w:t>
      </w:r>
      <w:r w:rsidRPr="00BA4A3F">
        <w:t>had</w:t>
      </w:r>
      <w:r w:rsidR="00C64050">
        <w:t xml:space="preserve"> </w:t>
      </w:r>
      <w:r w:rsidRPr="00BA4A3F">
        <w:t>a</w:t>
      </w:r>
      <w:r w:rsidR="00C64050">
        <w:t xml:space="preserve"> </w:t>
      </w:r>
      <w:r w:rsidRPr="00BA4A3F">
        <w:t>due</w:t>
      </w:r>
      <w:r w:rsidR="00C64050">
        <w:t xml:space="preserve"> </w:t>
      </w:r>
      <w:r w:rsidRPr="00BA4A3F">
        <w:t>process</w:t>
      </w:r>
      <w:r w:rsidR="00C64050">
        <w:t xml:space="preserve"> </w:t>
      </w:r>
      <w:r w:rsidRPr="00BA4A3F">
        <w:t>right</w:t>
      </w:r>
      <w:r w:rsidR="00C64050">
        <w:t xml:space="preserve"> </w:t>
      </w:r>
      <w:r w:rsidRPr="00BA4A3F">
        <w:t>to</w:t>
      </w:r>
      <w:r w:rsidR="00C64050">
        <w:t xml:space="preserve"> </w:t>
      </w:r>
      <w:r w:rsidRPr="00BA4A3F">
        <w:t>notice</w:t>
      </w:r>
      <w:r w:rsidR="00C64050">
        <w:t xml:space="preserve"> </w:t>
      </w:r>
      <w:r w:rsidRPr="00BA4A3F">
        <w:t>and</w:t>
      </w:r>
      <w:r w:rsidR="00C64050">
        <w:t xml:space="preserve"> </w:t>
      </w:r>
      <w:r w:rsidRPr="00BA4A3F">
        <w:t>an</w:t>
      </w:r>
      <w:r w:rsidR="00C64050">
        <w:t xml:space="preserve"> </w:t>
      </w:r>
      <w:r w:rsidRPr="00BA4A3F">
        <w:t>opportunity</w:t>
      </w:r>
      <w:r w:rsidR="00C64050">
        <w:t xml:space="preserve"> </w:t>
      </w:r>
      <w:r w:rsidRPr="00BA4A3F">
        <w:t>to</w:t>
      </w:r>
      <w:r w:rsidR="00C64050">
        <w:t xml:space="preserve"> </w:t>
      </w:r>
      <w:r w:rsidRPr="00BA4A3F">
        <w:t>be</w:t>
      </w:r>
      <w:r w:rsidR="00C64050">
        <w:t xml:space="preserve"> </w:t>
      </w:r>
      <w:r w:rsidRPr="00BA4A3F">
        <w:t>heard</w:t>
      </w:r>
      <w:r w:rsidR="00C64050">
        <w:t xml:space="preserve"> </w:t>
      </w:r>
      <w:r w:rsidRPr="00BA4A3F">
        <w:t>before</w:t>
      </w:r>
      <w:r w:rsidR="00C64050">
        <w:t xml:space="preserve"> </w:t>
      </w:r>
      <w:r w:rsidRPr="00BA4A3F">
        <w:t>the</w:t>
      </w:r>
      <w:r w:rsidR="00C64050">
        <w:t xml:space="preserve"> </w:t>
      </w:r>
      <w:r w:rsidRPr="00BA4A3F">
        <w:t>probate</w:t>
      </w:r>
      <w:r w:rsidR="00C64050">
        <w:t xml:space="preserve"> </w:t>
      </w:r>
      <w:r w:rsidRPr="00BA4A3F">
        <w:t>court</w:t>
      </w:r>
      <w:r w:rsidR="00C64050">
        <w:t xml:space="preserve"> </w:t>
      </w:r>
      <w:r w:rsidRPr="00BA4A3F">
        <w:t>could</w:t>
      </w:r>
      <w:r w:rsidR="00C64050">
        <w:t xml:space="preserve"> </w:t>
      </w:r>
      <w:r w:rsidRPr="00BA4A3F">
        <w:t>enter</w:t>
      </w:r>
      <w:r w:rsidR="00C64050">
        <w:t xml:space="preserve"> </w:t>
      </w:r>
      <w:r w:rsidRPr="00BA4A3F">
        <w:t>the</w:t>
      </w:r>
      <w:r w:rsidR="00C64050">
        <w:t xml:space="preserve"> </w:t>
      </w:r>
      <w:r w:rsidRPr="00BA4A3F">
        <w:t>1991</w:t>
      </w:r>
      <w:r w:rsidR="00C64050">
        <w:t xml:space="preserve"> </w:t>
      </w:r>
      <w:r w:rsidRPr="00BA4A3F">
        <w:t>Decree</w:t>
      </w:r>
      <w:r w:rsidR="00C64050">
        <w:t xml:space="preserve"> </w:t>
      </w:r>
      <w:r w:rsidRPr="00BA4A3F">
        <w:t>that</w:t>
      </w:r>
      <w:r w:rsidR="00C64050">
        <w:t xml:space="preserve"> </w:t>
      </w:r>
      <w:r w:rsidRPr="00BA4A3F">
        <w:t>eliminated</w:t>
      </w:r>
      <w:r w:rsidR="00C64050">
        <w:t xml:space="preserve"> </w:t>
      </w:r>
      <w:r w:rsidRPr="00BA4A3F">
        <w:t>his</w:t>
      </w:r>
      <w:r w:rsidR="00C64050">
        <w:t xml:space="preserve"> </w:t>
      </w:r>
      <w:r w:rsidRPr="00BA4A3F">
        <w:t>interest</w:t>
      </w:r>
      <w:r w:rsidR="00C64050">
        <w:t xml:space="preserve"> </w:t>
      </w:r>
      <w:r w:rsidRPr="00BA4A3F">
        <w:t>in</w:t>
      </w:r>
      <w:r w:rsidR="00C64050">
        <w:t xml:space="preserve"> </w:t>
      </w:r>
      <w:r w:rsidRPr="00BA4A3F">
        <w:t>the</w:t>
      </w:r>
      <w:r w:rsidR="00C64050">
        <w:t xml:space="preserve"> </w:t>
      </w:r>
      <w:r w:rsidRPr="00BA4A3F">
        <w:t>trust.</w:t>
      </w:r>
    </w:p>
    <w:p w:rsidR="00BA4A3F" w:rsidRPr="00BA4A3F" w:rsidRDefault="00BA4A3F" w:rsidP="00BA4A3F">
      <w:pPr>
        <w:pStyle w:val="QS10"/>
      </w:pPr>
      <w:r w:rsidRPr="00BA4A3F">
        <w:t>Mark’s</w:t>
      </w:r>
      <w:r w:rsidR="00C64050">
        <w:t xml:space="preserve"> </w:t>
      </w:r>
      <w:r w:rsidRPr="00BA4A3F">
        <w:t>grandfather,</w:t>
      </w:r>
      <w:r w:rsidR="00C64050">
        <w:t xml:space="preserve"> </w:t>
      </w:r>
      <w:r w:rsidRPr="00BA4A3F">
        <w:t>McKie</w:t>
      </w:r>
      <w:r w:rsidR="00C64050">
        <w:t xml:space="preserve"> </w:t>
      </w:r>
      <w:r w:rsidRPr="00BA4A3F">
        <w:t>Roth</w:t>
      </w:r>
      <w:r w:rsidR="00C64050">
        <w:t xml:space="preserve"> </w:t>
      </w:r>
      <w:r w:rsidRPr="00BA4A3F">
        <w:t>Sr.</w:t>
      </w:r>
      <w:r w:rsidR="00C64050">
        <w:t xml:space="preserve"> </w:t>
      </w:r>
      <w:r w:rsidRPr="00BA4A3F">
        <w:t>(McKie</w:t>
      </w:r>
      <w:r w:rsidR="00C64050">
        <w:t xml:space="preserve"> </w:t>
      </w:r>
      <w:r w:rsidRPr="00BA4A3F">
        <w:t>Sr.)</w:t>
      </w:r>
      <w:r w:rsidR="00C64050">
        <w:t xml:space="preserve"> </w:t>
      </w:r>
      <w:r w:rsidRPr="00BA4A3F">
        <w:t>created</w:t>
      </w:r>
      <w:r w:rsidR="00C64050">
        <w:t xml:space="preserve"> </w:t>
      </w:r>
      <w:r w:rsidRPr="00BA4A3F">
        <w:t>a</w:t>
      </w:r>
      <w:r w:rsidR="00C64050">
        <w:t xml:space="preserve"> </w:t>
      </w:r>
      <w:r w:rsidRPr="00BA4A3F">
        <w:t>trust</w:t>
      </w:r>
      <w:r w:rsidR="00C64050">
        <w:t xml:space="preserve"> </w:t>
      </w:r>
      <w:r w:rsidRPr="00BA4A3F">
        <w:t>in</w:t>
      </w:r>
      <w:r w:rsidR="00C64050">
        <w:t xml:space="preserve"> </w:t>
      </w:r>
      <w:r w:rsidRPr="00BA4A3F">
        <w:t>his</w:t>
      </w:r>
      <w:r w:rsidR="00C64050">
        <w:t xml:space="preserve"> </w:t>
      </w:r>
      <w:r w:rsidRPr="00BA4A3F">
        <w:t>will</w:t>
      </w:r>
      <w:r w:rsidR="00C64050">
        <w:t xml:space="preserve"> </w:t>
      </w:r>
      <w:r w:rsidRPr="00BA4A3F">
        <w:t>for</w:t>
      </w:r>
      <w:r w:rsidR="00C64050">
        <w:t xml:space="preserve"> </w:t>
      </w:r>
      <w:r w:rsidRPr="00BA4A3F">
        <w:t>the</w:t>
      </w:r>
      <w:r w:rsidR="00C64050">
        <w:t xml:space="preserve"> </w:t>
      </w:r>
      <w:r w:rsidRPr="00BA4A3F">
        <w:t>benefit</w:t>
      </w:r>
      <w:r w:rsidR="00C64050">
        <w:t xml:space="preserve"> </w:t>
      </w:r>
      <w:r w:rsidRPr="00BA4A3F">
        <w:t>of</w:t>
      </w:r>
      <w:r w:rsidR="00C64050">
        <w:t xml:space="preserve"> </w:t>
      </w:r>
      <w:r w:rsidRPr="00BA4A3F">
        <w:t>his</w:t>
      </w:r>
      <w:r w:rsidR="00C64050">
        <w:t xml:space="preserve"> </w:t>
      </w:r>
      <w:r w:rsidRPr="00BA4A3F">
        <w:t>wife</w:t>
      </w:r>
      <w:r w:rsidR="00C64050">
        <w:t xml:space="preserve"> </w:t>
      </w:r>
      <w:r w:rsidRPr="00BA4A3F">
        <w:t>Yvonne</w:t>
      </w:r>
      <w:r w:rsidR="00C64050">
        <w:t xml:space="preserve"> </w:t>
      </w:r>
      <w:r w:rsidRPr="00BA4A3F">
        <w:t>Roth</w:t>
      </w:r>
      <w:r w:rsidR="00C64050">
        <w:t xml:space="preserve"> </w:t>
      </w:r>
      <w:r w:rsidRPr="00BA4A3F">
        <w:t>(Yvonne)</w:t>
      </w:r>
      <w:r w:rsidR="00C64050">
        <w:t xml:space="preserve"> </w:t>
      </w:r>
      <w:r w:rsidRPr="00BA4A3F">
        <w:t>during</w:t>
      </w:r>
      <w:r w:rsidR="00C64050">
        <w:t xml:space="preserve"> </w:t>
      </w:r>
      <w:r w:rsidRPr="00BA4A3F">
        <w:t>her</w:t>
      </w:r>
      <w:r w:rsidR="00C64050">
        <w:t xml:space="preserve"> </w:t>
      </w:r>
      <w:r w:rsidRPr="00BA4A3F">
        <w:t>life</w:t>
      </w:r>
      <w:r w:rsidR="00C64050">
        <w:t xml:space="preserve"> </w:t>
      </w:r>
      <w:r w:rsidRPr="00BA4A3F">
        <w:t>and</w:t>
      </w:r>
      <w:r w:rsidR="00C64050">
        <w:t xml:space="preserve"> </w:t>
      </w:r>
      <w:r w:rsidRPr="00BA4A3F">
        <w:t>granted</w:t>
      </w:r>
      <w:r w:rsidR="00C64050">
        <w:t xml:space="preserve"> </w:t>
      </w:r>
      <w:r w:rsidRPr="00BA4A3F">
        <w:t>her</w:t>
      </w:r>
      <w:r w:rsidR="00C64050">
        <w:t xml:space="preserve"> </w:t>
      </w:r>
      <w:r w:rsidRPr="00BA4A3F">
        <w:t>a</w:t>
      </w:r>
      <w:r w:rsidR="00C64050">
        <w:t xml:space="preserve"> </w:t>
      </w:r>
      <w:r w:rsidRPr="00BA4A3F">
        <w:t>testamentary</w:t>
      </w:r>
      <w:r w:rsidR="00C64050">
        <w:t xml:space="preserve"> </w:t>
      </w:r>
      <w:r w:rsidRPr="00BA4A3F">
        <w:t>power</w:t>
      </w:r>
      <w:r w:rsidR="00C64050">
        <w:t xml:space="preserve"> </w:t>
      </w:r>
      <w:r w:rsidRPr="00BA4A3F">
        <w:t>of</w:t>
      </w:r>
      <w:r w:rsidR="00C64050">
        <w:t xml:space="preserve"> </w:t>
      </w:r>
      <w:r w:rsidRPr="00BA4A3F">
        <w:t>appointment</w:t>
      </w:r>
      <w:r w:rsidR="00C64050">
        <w:t xml:space="preserve"> </w:t>
      </w:r>
      <w:r w:rsidRPr="00BA4A3F">
        <w:t>over</w:t>
      </w:r>
      <w:r w:rsidR="00C64050">
        <w:t xml:space="preserve"> </w:t>
      </w:r>
      <w:r w:rsidRPr="00BA4A3F">
        <w:t>the</w:t>
      </w:r>
      <w:r w:rsidR="00C64050">
        <w:t xml:space="preserve"> </w:t>
      </w:r>
      <w:r w:rsidRPr="00BA4A3F">
        <w:t>remainder.</w:t>
      </w:r>
      <w:r w:rsidR="00C64050">
        <w:t xml:space="preserve"> </w:t>
      </w:r>
      <w:r w:rsidRPr="00BA4A3F">
        <w:t>The</w:t>
      </w:r>
      <w:r w:rsidR="00C64050">
        <w:t xml:space="preserve"> </w:t>
      </w:r>
      <w:r w:rsidRPr="00BA4A3F">
        <w:t>will</w:t>
      </w:r>
      <w:r w:rsidR="00C64050">
        <w:t xml:space="preserve"> </w:t>
      </w:r>
      <w:r w:rsidRPr="00BA4A3F">
        <w:t>provided</w:t>
      </w:r>
      <w:r w:rsidR="00C64050">
        <w:t xml:space="preserve"> </w:t>
      </w:r>
      <w:r w:rsidRPr="00BA4A3F">
        <w:t>a</w:t>
      </w:r>
      <w:r w:rsidR="00C64050">
        <w:t xml:space="preserve"> </w:t>
      </w:r>
      <w:r w:rsidRPr="00BA4A3F">
        <w:t>default</w:t>
      </w:r>
      <w:r w:rsidR="00C64050">
        <w:t xml:space="preserve"> </w:t>
      </w:r>
      <w:r w:rsidRPr="00BA4A3F">
        <w:t>distribution</w:t>
      </w:r>
      <w:r w:rsidR="00C64050">
        <w:t xml:space="preserve"> </w:t>
      </w:r>
      <w:r w:rsidRPr="00BA4A3F">
        <w:t>scheme</w:t>
      </w:r>
      <w:r w:rsidR="00C64050">
        <w:t xml:space="preserve"> </w:t>
      </w:r>
      <w:r w:rsidRPr="00BA4A3F">
        <w:t>in</w:t>
      </w:r>
      <w:r w:rsidR="00C64050">
        <w:t xml:space="preserve"> </w:t>
      </w:r>
      <w:r w:rsidRPr="00BA4A3F">
        <w:t>case</w:t>
      </w:r>
      <w:r w:rsidR="00C64050">
        <w:t xml:space="preserve"> </w:t>
      </w:r>
      <w:r w:rsidRPr="00BA4A3F">
        <w:t>Yvonne</w:t>
      </w:r>
      <w:r w:rsidR="00C64050">
        <w:t xml:space="preserve"> </w:t>
      </w:r>
      <w:r w:rsidRPr="00BA4A3F">
        <w:t>did</w:t>
      </w:r>
      <w:r w:rsidR="00C64050">
        <w:t xml:space="preserve"> </w:t>
      </w:r>
      <w:r w:rsidRPr="00BA4A3F">
        <w:t>not</w:t>
      </w:r>
      <w:r w:rsidR="00C64050">
        <w:t xml:space="preserve"> </w:t>
      </w:r>
      <w:r w:rsidRPr="00BA4A3F">
        <w:t>exercise</w:t>
      </w:r>
      <w:r w:rsidR="00C64050">
        <w:t xml:space="preserve"> </w:t>
      </w:r>
      <w:r w:rsidRPr="00BA4A3F">
        <w:t>her</w:t>
      </w:r>
      <w:r w:rsidR="00C64050">
        <w:t xml:space="preserve"> </w:t>
      </w:r>
      <w:r w:rsidRPr="00BA4A3F">
        <w:t>appointment</w:t>
      </w:r>
      <w:r w:rsidR="00C64050">
        <w:t xml:space="preserve"> </w:t>
      </w:r>
      <w:r w:rsidRPr="00BA4A3F">
        <w:t>power,</w:t>
      </w:r>
      <w:r w:rsidR="00C64050">
        <w:t xml:space="preserve"> </w:t>
      </w:r>
      <w:r w:rsidRPr="00BA4A3F">
        <w:t>under</w:t>
      </w:r>
      <w:r w:rsidR="00C64050">
        <w:t xml:space="preserve"> </w:t>
      </w:r>
      <w:r w:rsidRPr="00BA4A3F">
        <w:t>which</w:t>
      </w:r>
      <w:r w:rsidR="00C64050">
        <w:t xml:space="preserve"> </w:t>
      </w:r>
      <w:r w:rsidRPr="00BA4A3F">
        <w:t>McKie</w:t>
      </w:r>
      <w:r w:rsidR="00C64050">
        <w:t xml:space="preserve"> </w:t>
      </w:r>
      <w:r w:rsidRPr="00BA4A3F">
        <w:t>Sr.’s</w:t>
      </w:r>
      <w:r w:rsidR="00C64050">
        <w:t xml:space="preserve"> </w:t>
      </w:r>
      <w:r w:rsidRPr="00BA4A3F">
        <w:t>three</w:t>
      </w:r>
      <w:r w:rsidR="00C64050">
        <w:t xml:space="preserve"> </w:t>
      </w:r>
      <w:r w:rsidRPr="00BA4A3F">
        <w:t>adult</w:t>
      </w:r>
      <w:r w:rsidR="00C64050">
        <w:t xml:space="preserve"> </w:t>
      </w:r>
      <w:r w:rsidRPr="00BA4A3F">
        <w:t>children</w:t>
      </w:r>
      <w:r w:rsidR="00C64050">
        <w:t xml:space="preserve"> </w:t>
      </w:r>
      <w:r w:rsidRPr="00BA4A3F">
        <w:t>from</w:t>
      </w:r>
      <w:r w:rsidR="00C64050">
        <w:t xml:space="preserve"> </w:t>
      </w:r>
      <w:r w:rsidRPr="00BA4A3F">
        <w:t>a</w:t>
      </w:r>
      <w:r w:rsidR="00C64050">
        <w:t xml:space="preserve"> </w:t>
      </w:r>
      <w:r w:rsidRPr="00BA4A3F">
        <w:t>prior</w:t>
      </w:r>
      <w:r w:rsidR="00C64050">
        <w:t xml:space="preserve"> </w:t>
      </w:r>
      <w:r w:rsidRPr="00BA4A3F">
        <w:t>marriage</w:t>
      </w:r>
      <w:r w:rsidR="00C64050">
        <w:t xml:space="preserve"> </w:t>
      </w:r>
      <w:r w:rsidRPr="00BA4A3F">
        <w:t>and</w:t>
      </w:r>
      <w:r w:rsidR="00C64050">
        <w:t xml:space="preserve"> </w:t>
      </w:r>
      <w:r w:rsidRPr="00BA4A3F">
        <w:t>the</w:t>
      </w:r>
      <w:r w:rsidR="00C64050">
        <w:t xml:space="preserve"> </w:t>
      </w:r>
      <w:r w:rsidRPr="00BA4A3F">
        <w:t>Yvonne’s</w:t>
      </w:r>
      <w:r w:rsidR="00C64050">
        <w:t xml:space="preserve"> </w:t>
      </w:r>
      <w:r w:rsidRPr="00BA4A3F">
        <w:t>one</w:t>
      </w:r>
      <w:r w:rsidR="00C64050">
        <w:t xml:space="preserve"> </w:t>
      </w:r>
      <w:r w:rsidRPr="00BA4A3F">
        <w:t>adult</w:t>
      </w:r>
      <w:r w:rsidR="00C64050">
        <w:t xml:space="preserve"> </w:t>
      </w:r>
      <w:r w:rsidRPr="00BA4A3F">
        <w:t>son</w:t>
      </w:r>
      <w:r w:rsidR="00C64050">
        <w:t xml:space="preserve"> </w:t>
      </w:r>
      <w:r w:rsidRPr="00BA4A3F">
        <w:t>from</w:t>
      </w:r>
      <w:r w:rsidR="00C64050">
        <w:t xml:space="preserve"> </w:t>
      </w:r>
      <w:r w:rsidRPr="00BA4A3F">
        <w:t>a</w:t>
      </w:r>
      <w:r w:rsidR="00C64050">
        <w:t xml:space="preserve"> </w:t>
      </w:r>
      <w:r w:rsidRPr="00BA4A3F">
        <w:t>prior</w:t>
      </w:r>
      <w:r w:rsidR="00C64050">
        <w:t xml:space="preserve"> </w:t>
      </w:r>
      <w:r w:rsidRPr="00BA4A3F">
        <w:t>marriage</w:t>
      </w:r>
      <w:r w:rsidR="00C64050">
        <w:t xml:space="preserve"> </w:t>
      </w:r>
      <w:r w:rsidRPr="00BA4A3F">
        <w:t>would</w:t>
      </w:r>
      <w:r w:rsidR="00C64050">
        <w:t xml:space="preserve"> </w:t>
      </w:r>
      <w:r w:rsidRPr="00BA4A3F">
        <w:t>each</w:t>
      </w:r>
      <w:r w:rsidR="00C64050">
        <w:t xml:space="preserve"> </w:t>
      </w:r>
      <w:r w:rsidRPr="00BA4A3F">
        <w:t>take</w:t>
      </w:r>
      <w:r w:rsidR="00C64050">
        <w:t xml:space="preserve"> </w:t>
      </w:r>
      <w:r w:rsidRPr="00BA4A3F">
        <w:t>a</w:t>
      </w:r>
      <w:r w:rsidR="00C64050">
        <w:t xml:space="preserve"> </w:t>
      </w:r>
      <w:r w:rsidRPr="00BA4A3F">
        <w:t>one-quarter</w:t>
      </w:r>
      <w:r w:rsidR="00C64050">
        <w:t xml:space="preserve"> </w:t>
      </w:r>
      <w:r w:rsidRPr="00BA4A3F">
        <w:t>share</w:t>
      </w:r>
      <w:r w:rsidR="00C64050">
        <w:t xml:space="preserve"> </w:t>
      </w:r>
      <w:r w:rsidRPr="00BA4A3F">
        <w:t>of</w:t>
      </w:r>
      <w:r w:rsidR="00C64050">
        <w:t xml:space="preserve"> </w:t>
      </w:r>
      <w:r w:rsidRPr="00BA4A3F">
        <w:t>the</w:t>
      </w:r>
      <w:r w:rsidR="00C64050">
        <w:t xml:space="preserve"> </w:t>
      </w:r>
      <w:r w:rsidRPr="00BA4A3F">
        <w:t>remainder</w:t>
      </w:r>
      <w:r w:rsidR="00C64050">
        <w:t xml:space="preserve"> </w:t>
      </w:r>
      <w:r w:rsidRPr="00BA4A3F">
        <w:t>of</w:t>
      </w:r>
      <w:r w:rsidR="00C64050">
        <w:t xml:space="preserve"> </w:t>
      </w:r>
      <w:r w:rsidRPr="00BA4A3F">
        <w:t>the</w:t>
      </w:r>
      <w:r w:rsidR="00C64050">
        <w:t xml:space="preserve"> </w:t>
      </w:r>
      <w:r w:rsidRPr="00BA4A3F">
        <w:t>trust,</w:t>
      </w:r>
      <w:r w:rsidR="00C64050">
        <w:t xml:space="preserve"> </w:t>
      </w:r>
      <w:r w:rsidRPr="00BA4A3F">
        <w:t>with</w:t>
      </w:r>
      <w:r w:rsidR="00C64050">
        <w:t xml:space="preserve"> </w:t>
      </w:r>
      <w:r w:rsidRPr="00BA4A3F">
        <w:t>the</w:t>
      </w:r>
      <w:r w:rsidR="00C64050">
        <w:t xml:space="preserve"> </w:t>
      </w:r>
      <w:r w:rsidRPr="00BA4A3F">
        <w:t>proviso</w:t>
      </w:r>
      <w:r w:rsidR="00C64050">
        <w:t xml:space="preserve"> </w:t>
      </w:r>
      <w:r w:rsidRPr="00BA4A3F">
        <w:t>that,</w:t>
      </w:r>
      <w:r w:rsidR="00C64050">
        <w:t xml:space="preserve"> </w:t>
      </w:r>
      <w:r w:rsidRPr="00BA4A3F">
        <w:t>if</w:t>
      </w:r>
      <w:r w:rsidR="00C64050">
        <w:t xml:space="preserve"> </w:t>
      </w:r>
      <w:r w:rsidRPr="00BA4A3F">
        <w:t>an</w:t>
      </w:r>
      <w:r w:rsidR="00C64050">
        <w:t xml:space="preserve"> </w:t>
      </w:r>
      <w:r w:rsidRPr="00BA4A3F">
        <w:t>adult</w:t>
      </w:r>
      <w:r w:rsidR="00C64050">
        <w:t xml:space="preserve"> </w:t>
      </w:r>
      <w:r w:rsidRPr="00BA4A3F">
        <w:t>child</w:t>
      </w:r>
      <w:r w:rsidR="00C64050">
        <w:t xml:space="preserve"> </w:t>
      </w:r>
      <w:r w:rsidRPr="00BA4A3F">
        <w:t>did</w:t>
      </w:r>
      <w:r w:rsidR="00C64050">
        <w:t xml:space="preserve"> </w:t>
      </w:r>
      <w:r w:rsidRPr="00BA4A3F">
        <w:t>not</w:t>
      </w:r>
      <w:r w:rsidR="00C64050">
        <w:t xml:space="preserve"> </w:t>
      </w:r>
      <w:r w:rsidRPr="00BA4A3F">
        <w:t>survive</w:t>
      </w:r>
      <w:r w:rsidR="00C64050">
        <w:t xml:space="preserve"> </w:t>
      </w:r>
      <w:r w:rsidRPr="00BA4A3F">
        <w:t>Yvonne,</w:t>
      </w:r>
      <w:r w:rsidR="00C64050">
        <w:t xml:space="preserve"> </w:t>
      </w:r>
      <w:r w:rsidRPr="00BA4A3F">
        <w:t>then</w:t>
      </w:r>
      <w:r w:rsidR="00C64050">
        <w:t xml:space="preserve"> </w:t>
      </w:r>
      <w:r w:rsidRPr="00BA4A3F">
        <w:t>that</w:t>
      </w:r>
      <w:r w:rsidR="00C64050">
        <w:t xml:space="preserve"> </w:t>
      </w:r>
      <w:r w:rsidRPr="00BA4A3F">
        <w:t>child’s</w:t>
      </w:r>
      <w:r w:rsidR="00C64050">
        <w:t xml:space="preserve"> </w:t>
      </w:r>
      <w:r w:rsidRPr="00BA4A3F">
        <w:t>surviving</w:t>
      </w:r>
      <w:r w:rsidR="00C64050">
        <w:t xml:space="preserve"> </w:t>
      </w:r>
      <w:r w:rsidRPr="00BA4A3F">
        <w:t>issue</w:t>
      </w:r>
      <w:r w:rsidR="00C64050">
        <w:t xml:space="preserve"> </w:t>
      </w:r>
      <w:r w:rsidRPr="00BA4A3F">
        <w:t>would</w:t>
      </w:r>
      <w:r w:rsidR="00C64050">
        <w:t xml:space="preserve"> </w:t>
      </w:r>
      <w:r w:rsidRPr="00BA4A3F">
        <w:t>take</w:t>
      </w:r>
      <w:r w:rsidR="00C64050">
        <w:t xml:space="preserve"> </w:t>
      </w:r>
      <w:r w:rsidRPr="00BA4A3F">
        <w:t>that</w:t>
      </w:r>
      <w:r w:rsidR="00C64050">
        <w:t xml:space="preserve"> </w:t>
      </w:r>
      <w:r w:rsidRPr="00BA4A3F">
        <w:t>child’s</w:t>
      </w:r>
      <w:r w:rsidR="00C64050">
        <w:t xml:space="preserve"> </w:t>
      </w:r>
      <w:r w:rsidRPr="00BA4A3F">
        <w:t>share</w:t>
      </w:r>
      <w:r w:rsidR="00C64050">
        <w:t xml:space="preserve"> </w:t>
      </w:r>
      <w:r w:rsidRPr="00BA4A3F">
        <w:t>per</w:t>
      </w:r>
      <w:r w:rsidR="00C64050">
        <w:t xml:space="preserve"> </w:t>
      </w:r>
      <w:r w:rsidRPr="00BA4A3F">
        <w:t>stirpes.</w:t>
      </w:r>
      <w:r w:rsidR="00C64050">
        <w:t xml:space="preserve"> </w:t>
      </w:r>
      <w:r w:rsidRPr="00BA4A3F">
        <w:t>Thus,</w:t>
      </w:r>
      <w:r w:rsidR="00C64050">
        <w:t xml:space="preserve"> </w:t>
      </w:r>
      <w:r w:rsidRPr="00BA4A3F">
        <w:t>under</w:t>
      </w:r>
      <w:r w:rsidR="00C64050">
        <w:t xml:space="preserve"> </w:t>
      </w:r>
      <w:r w:rsidRPr="00BA4A3F">
        <w:t>the</w:t>
      </w:r>
      <w:r w:rsidR="00C64050">
        <w:t xml:space="preserve"> </w:t>
      </w:r>
      <w:r w:rsidRPr="00BA4A3F">
        <w:t>will,</w:t>
      </w:r>
      <w:r w:rsidR="00C64050">
        <w:t xml:space="preserve"> </w:t>
      </w:r>
      <w:r w:rsidRPr="00BA4A3F">
        <w:t>the</w:t>
      </w:r>
      <w:r w:rsidR="00C64050">
        <w:t xml:space="preserve"> </w:t>
      </w:r>
      <w:r w:rsidRPr="00BA4A3F">
        <w:t>issue</w:t>
      </w:r>
      <w:r w:rsidR="00C64050">
        <w:t xml:space="preserve"> </w:t>
      </w:r>
      <w:r w:rsidRPr="00BA4A3F">
        <w:t>of</w:t>
      </w:r>
      <w:r w:rsidR="00C64050">
        <w:t xml:space="preserve"> </w:t>
      </w:r>
      <w:r w:rsidRPr="00BA4A3F">
        <w:t>each</w:t>
      </w:r>
      <w:r w:rsidR="00C64050">
        <w:t xml:space="preserve"> </w:t>
      </w:r>
      <w:r w:rsidRPr="00BA4A3F">
        <w:t>of</w:t>
      </w:r>
      <w:r w:rsidR="00C64050">
        <w:t xml:space="preserve"> </w:t>
      </w:r>
      <w:r w:rsidRPr="00BA4A3F">
        <w:t>the</w:t>
      </w:r>
      <w:r w:rsidR="00C64050">
        <w:t xml:space="preserve"> </w:t>
      </w:r>
      <w:r w:rsidRPr="00BA4A3F">
        <w:t>four</w:t>
      </w:r>
      <w:r w:rsidR="00C64050">
        <w:t xml:space="preserve"> </w:t>
      </w:r>
      <w:r w:rsidRPr="00BA4A3F">
        <w:t>adult</w:t>
      </w:r>
      <w:r w:rsidR="00C64050">
        <w:t xml:space="preserve"> </w:t>
      </w:r>
      <w:r w:rsidRPr="00BA4A3F">
        <w:t>children</w:t>
      </w:r>
      <w:r w:rsidR="00C64050">
        <w:t xml:space="preserve"> </w:t>
      </w:r>
      <w:r w:rsidRPr="00BA4A3F">
        <w:t>had</w:t>
      </w:r>
      <w:r w:rsidR="00C64050">
        <w:t xml:space="preserve"> </w:t>
      </w:r>
      <w:r w:rsidRPr="00BA4A3F">
        <w:t>a</w:t>
      </w:r>
      <w:r w:rsidR="00C64050">
        <w:t xml:space="preserve"> </w:t>
      </w:r>
      <w:r w:rsidRPr="00BA4A3F">
        <w:t>contingent</w:t>
      </w:r>
      <w:r w:rsidR="00C64050">
        <w:t xml:space="preserve"> </w:t>
      </w:r>
      <w:r w:rsidRPr="00BA4A3F">
        <w:t>remainder</w:t>
      </w:r>
      <w:r w:rsidR="00C64050">
        <w:t xml:space="preserve"> </w:t>
      </w:r>
      <w:r w:rsidRPr="00BA4A3F">
        <w:t>interest</w:t>
      </w:r>
      <w:r w:rsidR="00C64050">
        <w:t xml:space="preserve"> </w:t>
      </w:r>
      <w:r w:rsidRPr="00BA4A3F">
        <w:t>in</w:t>
      </w:r>
      <w:r w:rsidR="00C64050">
        <w:t xml:space="preserve"> </w:t>
      </w:r>
      <w:r w:rsidRPr="00BA4A3F">
        <w:t>the</w:t>
      </w:r>
      <w:r w:rsidR="00C64050">
        <w:t xml:space="preserve"> </w:t>
      </w:r>
      <w:r w:rsidRPr="00BA4A3F">
        <w:t>trust,</w:t>
      </w:r>
      <w:r w:rsidR="00C64050">
        <w:t xml:space="preserve"> </w:t>
      </w:r>
      <w:r w:rsidRPr="00BA4A3F">
        <w:t>subject</w:t>
      </w:r>
      <w:r w:rsidR="00C64050">
        <w:t xml:space="preserve"> </w:t>
      </w:r>
      <w:r w:rsidRPr="00BA4A3F">
        <w:t>to</w:t>
      </w:r>
      <w:r w:rsidR="00C64050">
        <w:t xml:space="preserve"> </w:t>
      </w:r>
      <w:r w:rsidRPr="00BA4A3F">
        <w:t>divestment</w:t>
      </w:r>
      <w:r w:rsidR="00C64050">
        <w:t xml:space="preserve"> </w:t>
      </w:r>
      <w:r w:rsidRPr="00BA4A3F">
        <w:t>by</w:t>
      </w:r>
      <w:r w:rsidR="00C64050">
        <w:t xml:space="preserve"> </w:t>
      </w:r>
      <w:r w:rsidRPr="00BA4A3F">
        <w:t>Yvonne’s</w:t>
      </w:r>
      <w:r w:rsidR="00C64050">
        <w:t xml:space="preserve"> </w:t>
      </w:r>
      <w:r w:rsidRPr="00BA4A3F">
        <w:t>exercise</w:t>
      </w:r>
      <w:r w:rsidR="00C64050">
        <w:t xml:space="preserve"> </w:t>
      </w:r>
      <w:r w:rsidRPr="00BA4A3F">
        <w:t>of</w:t>
      </w:r>
      <w:r w:rsidR="00C64050">
        <w:t xml:space="preserve"> </w:t>
      </w:r>
      <w:r w:rsidRPr="00BA4A3F">
        <w:t>her</w:t>
      </w:r>
      <w:r w:rsidR="00C64050">
        <w:t xml:space="preserve"> </w:t>
      </w:r>
      <w:r w:rsidRPr="00BA4A3F">
        <w:t>appointment</w:t>
      </w:r>
      <w:r w:rsidR="00C64050">
        <w:t xml:space="preserve"> </w:t>
      </w:r>
      <w:r w:rsidRPr="00BA4A3F">
        <w:t>power.</w:t>
      </w:r>
    </w:p>
    <w:p w:rsidR="00BA4A3F" w:rsidRPr="00BA4A3F" w:rsidRDefault="00BA4A3F" w:rsidP="00BA4A3F">
      <w:pPr>
        <w:pStyle w:val="QS10"/>
      </w:pPr>
      <w:r w:rsidRPr="00BA4A3F">
        <w:t>When</w:t>
      </w:r>
      <w:r w:rsidR="00C64050">
        <w:t xml:space="preserve"> </w:t>
      </w:r>
      <w:r w:rsidRPr="00BA4A3F">
        <w:t>McKie</w:t>
      </w:r>
      <w:r w:rsidR="00C64050">
        <w:t xml:space="preserve"> </w:t>
      </w:r>
      <w:r w:rsidRPr="00BA4A3F">
        <w:t>Sr.</w:t>
      </w:r>
      <w:r w:rsidR="00C64050">
        <w:t xml:space="preserve"> </w:t>
      </w:r>
      <w:r w:rsidRPr="00BA4A3F">
        <w:t>died</w:t>
      </w:r>
      <w:r w:rsidR="00C64050">
        <w:t xml:space="preserve"> </w:t>
      </w:r>
      <w:r w:rsidRPr="00BA4A3F">
        <w:t>in</w:t>
      </w:r>
      <w:r w:rsidR="00C64050">
        <w:t xml:space="preserve"> </w:t>
      </w:r>
      <w:r w:rsidRPr="00BA4A3F">
        <w:t>1988,</w:t>
      </w:r>
      <w:r w:rsidR="00C64050">
        <w:t xml:space="preserve"> </w:t>
      </w:r>
      <w:r w:rsidRPr="00BA4A3F">
        <w:t>his</w:t>
      </w:r>
      <w:r w:rsidR="00C64050">
        <w:t xml:space="preserve"> </w:t>
      </w:r>
      <w:r w:rsidRPr="00BA4A3F">
        <w:t>three</w:t>
      </w:r>
      <w:r w:rsidR="00C64050">
        <w:t xml:space="preserve"> </w:t>
      </w:r>
      <w:r w:rsidRPr="00BA4A3F">
        <w:t>adult</w:t>
      </w:r>
      <w:r w:rsidR="00C64050">
        <w:t xml:space="preserve"> </w:t>
      </w:r>
      <w:r w:rsidRPr="00BA4A3F">
        <w:t>children</w:t>
      </w:r>
      <w:r w:rsidR="00C64050">
        <w:t xml:space="preserve"> </w:t>
      </w:r>
      <w:r w:rsidRPr="00BA4A3F">
        <w:t>raised</w:t>
      </w:r>
      <w:r w:rsidR="00C64050">
        <w:t xml:space="preserve"> </w:t>
      </w:r>
      <w:r w:rsidRPr="00BA4A3F">
        <w:t>claims</w:t>
      </w:r>
      <w:r w:rsidR="00C64050">
        <w:t xml:space="preserve"> </w:t>
      </w:r>
      <w:r w:rsidRPr="00BA4A3F">
        <w:t>against</w:t>
      </w:r>
      <w:r w:rsidR="00C64050">
        <w:t xml:space="preserve"> </w:t>
      </w:r>
      <w:r w:rsidRPr="00BA4A3F">
        <w:t>their</w:t>
      </w:r>
      <w:r w:rsidR="00C64050">
        <w:t xml:space="preserve"> </w:t>
      </w:r>
      <w:r w:rsidRPr="00BA4A3F">
        <w:t>father</w:t>
      </w:r>
      <w:r w:rsidR="00C64050">
        <w:t xml:space="preserve"> </w:t>
      </w:r>
      <w:r w:rsidRPr="00BA4A3F">
        <w:t>McKie</w:t>
      </w:r>
      <w:r w:rsidR="00C64050">
        <w:t xml:space="preserve"> </w:t>
      </w:r>
      <w:r w:rsidRPr="00BA4A3F">
        <w:t>Sr.’s</w:t>
      </w:r>
      <w:r w:rsidR="00C64050">
        <w:t xml:space="preserve"> </w:t>
      </w:r>
      <w:r w:rsidRPr="00BA4A3F">
        <w:t>estate</w:t>
      </w:r>
      <w:r w:rsidR="00C64050">
        <w:t xml:space="preserve"> </w:t>
      </w:r>
      <w:r w:rsidRPr="00BA4A3F">
        <w:t>unrelated</w:t>
      </w:r>
      <w:r w:rsidR="00C64050">
        <w:t xml:space="preserve"> </w:t>
      </w:r>
      <w:r w:rsidRPr="00BA4A3F">
        <w:t>to</w:t>
      </w:r>
      <w:r w:rsidR="00C64050">
        <w:t xml:space="preserve"> </w:t>
      </w:r>
      <w:r w:rsidRPr="00BA4A3F">
        <w:t>the</w:t>
      </w:r>
      <w:r w:rsidR="00C64050">
        <w:t xml:space="preserve"> </w:t>
      </w:r>
      <w:r w:rsidRPr="00BA4A3F">
        <w:t>trust;</w:t>
      </w:r>
      <w:r w:rsidR="00C64050">
        <w:t xml:space="preserve"> </w:t>
      </w:r>
      <w:r w:rsidRPr="00BA4A3F">
        <w:t>they</w:t>
      </w:r>
      <w:r w:rsidR="00C64050">
        <w:t xml:space="preserve"> </w:t>
      </w:r>
      <w:r w:rsidRPr="00BA4A3F">
        <w:t>eventually</w:t>
      </w:r>
      <w:r w:rsidR="00C64050">
        <w:t xml:space="preserve"> </w:t>
      </w:r>
      <w:r w:rsidRPr="00BA4A3F">
        <w:t>settled</w:t>
      </w:r>
      <w:r w:rsidR="00C64050">
        <w:t xml:space="preserve"> </w:t>
      </w:r>
      <w:r w:rsidRPr="00BA4A3F">
        <w:t>their</w:t>
      </w:r>
      <w:r w:rsidR="00C64050">
        <w:t xml:space="preserve"> </w:t>
      </w:r>
      <w:r w:rsidRPr="00BA4A3F">
        <w:t>claims</w:t>
      </w:r>
      <w:r w:rsidR="00C64050">
        <w:t xml:space="preserve"> </w:t>
      </w:r>
      <w:r w:rsidRPr="00BA4A3F">
        <w:t>with</w:t>
      </w:r>
      <w:r w:rsidR="00C64050">
        <w:t xml:space="preserve"> </w:t>
      </w:r>
      <w:r w:rsidRPr="00BA4A3F">
        <w:t>McKie</w:t>
      </w:r>
      <w:r w:rsidR="00C64050">
        <w:t xml:space="preserve"> </w:t>
      </w:r>
      <w:r w:rsidRPr="00BA4A3F">
        <w:t>Sr.’s</w:t>
      </w:r>
      <w:r w:rsidR="00C64050">
        <w:t xml:space="preserve"> </w:t>
      </w:r>
      <w:r w:rsidRPr="00BA4A3F">
        <w:t>estate,</w:t>
      </w:r>
      <w:r w:rsidR="00C64050">
        <w:t xml:space="preserve"> </w:t>
      </w:r>
      <w:r w:rsidRPr="00BA4A3F">
        <w:t>Yvonne</w:t>
      </w:r>
      <w:r w:rsidR="00C64050">
        <w:t xml:space="preserve"> </w:t>
      </w:r>
      <w:r w:rsidRPr="00BA4A3F">
        <w:t>(his</w:t>
      </w:r>
      <w:r w:rsidR="00C64050">
        <w:t xml:space="preserve"> </w:t>
      </w:r>
      <w:r w:rsidRPr="00BA4A3F">
        <w:t>surviving</w:t>
      </w:r>
      <w:r w:rsidR="00C64050">
        <w:t xml:space="preserve"> </w:t>
      </w:r>
      <w:r w:rsidRPr="00BA4A3F">
        <w:t>wife),</w:t>
      </w:r>
      <w:r w:rsidR="00C64050">
        <w:t xml:space="preserve"> </w:t>
      </w:r>
      <w:r w:rsidRPr="00BA4A3F">
        <w:t>and</w:t>
      </w:r>
      <w:r w:rsidR="00C64050">
        <w:t xml:space="preserve"> </w:t>
      </w:r>
      <w:r w:rsidRPr="00BA4A3F">
        <w:t>the</w:t>
      </w:r>
      <w:r w:rsidR="00C64050">
        <w:t xml:space="preserve"> </w:t>
      </w:r>
      <w:r w:rsidRPr="00BA4A3F">
        <w:t>estate</w:t>
      </w:r>
      <w:r w:rsidR="00C64050">
        <w:t xml:space="preserve"> </w:t>
      </w:r>
      <w:r w:rsidRPr="00BA4A3F">
        <w:t>executor.</w:t>
      </w:r>
      <w:r w:rsidR="00C64050">
        <w:t xml:space="preserve"> </w:t>
      </w:r>
      <w:r w:rsidRPr="00BA4A3F">
        <w:t>One</w:t>
      </w:r>
      <w:r w:rsidR="00C64050">
        <w:t xml:space="preserve"> </w:t>
      </w:r>
      <w:r w:rsidRPr="00BA4A3F">
        <w:t>of</w:t>
      </w:r>
      <w:r w:rsidR="00C64050">
        <w:t xml:space="preserve"> </w:t>
      </w:r>
      <w:r w:rsidRPr="00BA4A3F">
        <w:t>the</w:t>
      </w:r>
      <w:r w:rsidR="00C64050">
        <w:t xml:space="preserve"> </w:t>
      </w:r>
      <w:r w:rsidRPr="00BA4A3F">
        <w:t>terms</w:t>
      </w:r>
      <w:r w:rsidR="00C64050">
        <w:t xml:space="preserve"> </w:t>
      </w:r>
      <w:r w:rsidRPr="00BA4A3F">
        <w:t>of</w:t>
      </w:r>
      <w:r w:rsidR="00C64050">
        <w:t xml:space="preserve"> </w:t>
      </w:r>
      <w:r w:rsidRPr="00BA4A3F">
        <w:t>the</w:t>
      </w:r>
      <w:r w:rsidR="00C64050">
        <w:t xml:space="preserve"> </w:t>
      </w:r>
      <w:r w:rsidRPr="00BA4A3F">
        <w:t>settlement</w:t>
      </w:r>
      <w:r w:rsidR="00C64050">
        <w:t xml:space="preserve"> </w:t>
      </w:r>
      <w:r w:rsidRPr="00BA4A3F">
        <w:t>was</w:t>
      </w:r>
      <w:r w:rsidR="00C64050">
        <w:t xml:space="preserve"> </w:t>
      </w:r>
      <w:r w:rsidRPr="00BA4A3F">
        <w:t>that</w:t>
      </w:r>
      <w:r w:rsidR="00C64050">
        <w:t xml:space="preserve"> </w:t>
      </w:r>
      <w:r w:rsidRPr="00BA4A3F">
        <w:t>the</w:t>
      </w:r>
      <w:r w:rsidR="00C64050">
        <w:t xml:space="preserve"> </w:t>
      </w:r>
      <w:r w:rsidRPr="00BA4A3F">
        <w:t>McKie</w:t>
      </w:r>
      <w:r w:rsidR="00C64050">
        <w:t xml:space="preserve"> </w:t>
      </w:r>
      <w:r w:rsidRPr="00BA4A3F">
        <w:t>Sr.’s</w:t>
      </w:r>
      <w:r w:rsidR="00C64050">
        <w:t xml:space="preserve"> </w:t>
      </w:r>
      <w:r w:rsidRPr="00BA4A3F">
        <w:t>three</w:t>
      </w:r>
      <w:r w:rsidR="00C64050">
        <w:t xml:space="preserve"> </w:t>
      </w:r>
      <w:r w:rsidRPr="00BA4A3F">
        <w:t>adult</w:t>
      </w:r>
      <w:r w:rsidR="00C64050">
        <w:t xml:space="preserve"> </w:t>
      </w:r>
      <w:r w:rsidRPr="00BA4A3F">
        <w:t>children</w:t>
      </w:r>
      <w:r w:rsidR="00C64050">
        <w:t xml:space="preserve"> </w:t>
      </w:r>
      <w:r w:rsidRPr="00BA4A3F">
        <w:t>disclaimed</w:t>
      </w:r>
      <w:r w:rsidR="00C64050">
        <w:t xml:space="preserve"> </w:t>
      </w:r>
      <w:r w:rsidRPr="00BA4A3F">
        <w:t>any</w:t>
      </w:r>
      <w:r w:rsidR="00C64050">
        <w:t xml:space="preserve"> </w:t>
      </w:r>
      <w:r w:rsidRPr="00BA4A3F">
        <w:t>interest</w:t>
      </w:r>
      <w:r w:rsidR="00C64050">
        <w:t xml:space="preserve"> </w:t>
      </w:r>
      <w:r w:rsidRPr="00BA4A3F">
        <w:t>in</w:t>
      </w:r>
      <w:r w:rsidR="00C64050">
        <w:t xml:space="preserve"> </w:t>
      </w:r>
      <w:r w:rsidRPr="00BA4A3F">
        <w:t>the</w:t>
      </w:r>
      <w:r w:rsidR="00C64050">
        <w:t xml:space="preserve"> </w:t>
      </w:r>
      <w:r w:rsidRPr="00BA4A3F">
        <w:t>trust.</w:t>
      </w:r>
    </w:p>
    <w:p w:rsidR="00BA4A3F" w:rsidRPr="00BA4A3F" w:rsidRDefault="00BA4A3F" w:rsidP="00BA4A3F">
      <w:pPr>
        <w:pStyle w:val="QS10"/>
      </w:pPr>
      <w:r w:rsidRPr="00BA4A3F">
        <w:t>In</w:t>
      </w:r>
      <w:r w:rsidR="00C64050">
        <w:t xml:space="preserve"> </w:t>
      </w:r>
      <w:r w:rsidRPr="00BA4A3F">
        <w:t>1991,</w:t>
      </w:r>
      <w:r w:rsidR="00C64050">
        <w:t xml:space="preserve"> </w:t>
      </w:r>
      <w:r w:rsidRPr="00BA4A3F">
        <w:t>the</w:t>
      </w:r>
      <w:r w:rsidR="00C64050">
        <w:t xml:space="preserve"> </w:t>
      </w:r>
      <w:r w:rsidRPr="00BA4A3F">
        <w:t>probate</w:t>
      </w:r>
      <w:r w:rsidR="00C64050">
        <w:t xml:space="preserve"> </w:t>
      </w:r>
      <w:r w:rsidRPr="00BA4A3F">
        <w:t>court</w:t>
      </w:r>
      <w:r w:rsidR="00C64050">
        <w:t xml:space="preserve"> </w:t>
      </w:r>
      <w:r w:rsidRPr="00BA4A3F">
        <w:t>issued</w:t>
      </w:r>
      <w:r w:rsidR="00C64050">
        <w:t xml:space="preserve"> </w:t>
      </w:r>
      <w:r w:rsidRPr="00BA4A3F">
        <w:t>a</w:t>
      </w:r>
      <w:r w:rsidR="00C64050">
        <w:t xml:space="preserve"> </w:t>
      </w:r>
      <w:r w:rsidRPr="00BA4A3F">
        <w:t>decree</w:t>
      </w:r>
      <w:r w:rsidR="00C64050">
        <w:t xml:space="preserve"> </w:t>
      </w:r>
      <w:r w:rsidRPr="00BA4A3F">
        <w:t>of</w:t>
      </w:r>
      <w:r w:rsidR="00C64050">
        <w:t xml:space="preserve"> </w:t>
      </w:r>
      <w:r w:rsidRPr="00BA4A3F">
        <w:t>final</w:t>
      </w:r>
      <w:r w:rsidR="00C64050">
        <w:t xml:space="preserve"> </w:t>
      </w:r>
      <w:r w:rsidRPr="00BA4A3F">
        <w:t>distribution</w:t>
      </w:r>
      <w:r w:rsidR="00C64050">
        <w:t xml:space="preserve"> </w:t>
      </w:r>
      <w:r w:rsidRPr="00BA4A3F">
        <w:t>of</w:t>
      </w:r>
      <w:r w:rsidR="00C64050">
        <w:t xml:space="preserve"> </w:t>
      </w:r>
      <w:r w:rsidRPr="00BA4A3F">
        <w:t>the</w:t>
      </w:r>
      <w:r w:rsidR="00C64050">
        <w:t xml:space="preserve"> </w:t>
      </w:r>
      <w:r w:rsidRPr="00BA4A3F">
        <w:t>McKie</w:t>
      </w:r>
      <w:r w:rsidR="00C64050">
        <w:t xml:space="preserve"> </w:t>
      </w:r>
      <w:r w:rsidRPr="00BA4A3F">
        <w:t>Sr.’s</w:t>
      </w:r>
      <w:r w:rsidR="00C64050">
        <w:t xml:space="preserve"> </w:t>
      </w:r>
      <w:r w:rsidRPr="00BA4A3F">
        <w:t>estate—the</w:t>
      </w:r>
      <w:r w:rsidR="00C64050">
        <w:t xml:space="preserve"> </w:t>
      </w:r>
      <w:r w:rsidRPr="00BA4A3F">
        <w:t>1991</w:t>
      </w:r>
      <w:r w:rsidR="00C64050">
        <w:t xml:space="preserve"> </w:t>
      </w:r>
      <w:r w:rsidRPr="00BA4A3F">
        <w:t>Decree—which</w:t>
      </w:r>
      <w:r w:rsidR="00C64050">
        <w:t xml:space="preserve"> </w:t>
      </w:r>
      <w:r w:rsidRPr="00BA4A3F">
        <w:t>included</w:t>
      </w:r>
      <w:r w:rsidR="00C64050">
        <w:t xml:space="preserve"> </w:t>
      </w:r>
      <w:r w:rsidRPr="00BA4A3F">
        <w:t>language</w:t>
      </w:r>
      <w:r w:rsidR="00C64050">
        <w:t xml:space="preserve"> </w:t>
      </w:r>
      <w:r w:rsidRPr="00BA4A3F">
        <w:t>changing</w:t>
      </w:r>
      <w:r w:rsidR="00C64050">
        <w:t xml:space="preserve"> </w:t>
      </w:r>
      <w:r w:rsidRPr="00BA4A3F">
        <w:t>the</w:t>
      </w:r>
      <w:r w:rsidR="00C64050">
        <w:t xml:space="preserve"> </w:t>
      </w:r>
      <w:r w:rsidRPr="00BA4A3F">
        <w:t>default</w:t>
      </w:r>
      <w:r w:rsidR="00C64050">
        <w:t xml:space="preserve"> </w:t>
      </w:r>
      <w:r w:rsidRPr="00BA4A3F">
        <w:t>distribution</w:t>
      </w:r>
      <w:r w:rsidR="00C64050">
        <w:t xml:space="preserve"> </w:t>
      </w:r>
      <w:r w:rsidRPr="00BA4A3F">
        <w:t>of</w:t>
      </w:r>
      <w:r w:rsidR="00C64050">
        <w:t xml:space="preserve"> </w:t>
      </w:r>
      <w:r w:rsidRPr="00BA4A3F">
        <w:t>the</w:t>
      </w:r>
      <w:r w:rsidR="00C64050">
        <w:t xml:space="preserve"> </w:t>
      </w:r>
      <w:r w:rsidRPr="00BA4A3F">
        <w:t>trust</w:t>
      </w:r>
      <w:r w:rsidR="00C64050">
        <w:t xml:space="preserve"> </w:t>
      </w:r>
      <w:r w:rsidRPr="00BA4A3F">
        <w:t>upon</w:t>
      </w:r>
      <w:r w:rsidR="00C64050">
        <w:t xml:space="preserve"> </w:t>
      </w:r>
      <w:r w:rsidRPr="00BA4A3F">
        <w:t>Yvonne’s</w:t>
      </w:r>
      <w:r w:rsidR="00C64050">
        <w:t xml:space="preserve"> </w:t>
      </w:r>
      <w:r w:rsidRPr="00BA4A3F">
        <w:t>death,</w:t>
      </w:r>
      <w:r w:rsidR="00C64050">
        <w:t xml:space="preserve"> </w:t>
      </w:r>
      <w:r w:rsidRPr="00BA4A3F">
        <w:t>ostensibly</w:t>
      </w:r>
      <w:r w:rsidR="00C64050">
        <w:t xml:space="preserve"> </w:t>
      </w:r>
      <w:r w:rsidRPr="00BA4A3F">
        <w:t>based</w:t>
      </w:r>
      <w:r w:rsidR="00C64050">
        <w:t xml:space="preserve"> </w:t>
      </w:r>
      <w:r w:rsidRPr="00BA4A3F">
        <w:t>on</w:t>
      </w:r>
      <w:r w:rsidR="00C64050">
        <w:t xml:space="preserve"> </w:t>
      </w:r>
      <w:r w:rsidRPr="00BA4A3F">
        <w:t>the</w:t>
      </w:r>
      <w:r w:rsidR="00C64050">
        <w:t xml:space="preserve"> </w:t>
      </w:r>
      <w:r w:rsidRPr="00BA4A3F">
        <w:t>terms</w:t>
      </w:r>
      <w:r w:rsidR="00C64050">
        <w:t xml:space="preserve"> </w:t>
      </w:r>
      <w:r w:rsidRPr="00BA4A3F">
        <w:t>of</w:t>
      </w:r>
      <w:r w:rsidR="00C64050">
        <w:t xml:space="preserve"> </w:t>
      </w:r>
      <w:r w:rsidRPr="00BA4A3F">
        <w:t>the</w:t>
      </w:r>
      <w:r w:rsidR="00C64050">
        <w:t xml:space="preserve"> </w:t>
      </w:r>
      <w:r w:rsidRPr="00BA4A3F">
        <w:t>settlement.</w:t>
      </w:r>
      <w:r w:rsidR="00C64050">
        <w:t xml:space="preserve"> </w:t>
      </w:r>
      <w:r w:rsidRPr="00BA4A3F">
        <w:t>The</w:t>
      </w:r>
      <w:r w:rsidR="00C64050">
        <w:t xml:space="preserve"> </w:t>
      </w:r>
      <w:r w:rsidRPr="00BA4A3F">
        <w:t>1991</w:t>
      </w:r>
      <w:r w:rsidR="00C64050">
        <w:t xml:space="preserve"> </w:t>
      </w:r>
      <w:r w:rsidRPr="00BA4A3F">
        <w:t>Decree</w:t>
      </w:r>
      <w:r w:rsidR="00C64050">
        <w:t xml:space="preserve"> </w:t>
      </w:r>
      <w:r w:rsidRPr="00BA4A3F">
        <w:t>specified</w:t>
      </w:r>
      <w:r w:rsidR="00C64050">
        <w:t xml:space="preserve"> </w:t>
      </w:r>
      <w:r w:rsidRPr="00BA4A3F">
        <w:t>that</w:t>
      </w:r>
      <w:r w:rsidR="00C64050">
        <w:t xml:space="preserve"> </w:t>
      </w:r>
      <w:r w:rsidRPr="00BA4A3F">
        <w:t>the</w:t>
      </w:r>
      <w:r w:rsidR="00C64050">
        <w:t xml:space="preserve"> </w:t>
      </w:r>
      <w:r w:rsidRPr="00BA4A3F">
        <w:t>remainder</w:t>
      </w:r>
      <w:r w:rsidR="00C64050">
        <w:t xml:space="preserve"> </w:t>
      </w:r>
      <w:r w:rsidRPr="00BA4A3F">
        <w:t>of</w:t>
      </w:r>
      <w:r w:rsidR="00C64050">
        <w:t xml:space="preserve"> </w:t>
      </w:r>
      <w:r w:rsidRPr="00BA4A3F">
        <w:t>the</w:t>
      </w:r>
      <w:r w:rsidR="00C64050">
        <w:t xml:space="preserve"> </w:t>
      </w:r>
      <w:r w:rsidRPr="00BA4A3F">
        <w:t>trust</w:t>
      </w:r>
      <w:r w:rsidR="00C64050">
        <w:t xml:space="preserve"> </w:t>
      </w:r>
      <w:r w:rsidRPr="00BA4A3F">
        <w:t>was</w:t>
      </w:r>
      <w:r w:rsidR="00C64050">
        <w:t xml:space="preserve"> </w:t>
      </w:r>
      <w:r w:rsidRPr="00BA4A3F">
        <w:t>to</w:t>
      </w:r>
      <w:r w:rsidR="00C64050">
        <w:t xml:space="preserve"> </w:t>
      </w:r>
      <w:r w:rsidRPr="00BA4A3F">
        <w:t>be</w:t>
      </w:r>
      <w:r w:rsidR="00C64050">
        <w:t xml:space="preserve"> </w:t>
      </w:r>
      <w:r w:rsidRPr="00BA4A3F">
        <w:t>distributed</w:t>
      </w:r>
      <w:r w:rsidR="00C64050">
        <w:t xml:space="preserve"> </w:t>
      </w:r>
      <w:r w:rsidRPr="00BA4A3F">
        <w:t>solely</w:t>
      </w:r>
      <w:r w:rsidR="00C64050">
        <w:t xml:space="preserve"> </w:t>
      </w:r>
      <w:r w:rsidRPr="00BA4A3F">
        <w:t>to</w:t>
      </w:r>
      <w:r w:rsidR="00C64050">
        <w:t xml:space="preserve"> </w:t>
      </w:r>
      <w:r w:rsidRPr="00BA4A3F">
        <w:t>Yvonne’s</w:t>
      </w:r>
      <w:r w:rsidR="00C64050">
        <w:t xml:space="preserve"> </w:t>
      </w:r>
      <w:r w:rsidRPr="00BA4A3F">
        <w:t>son</w:t>
      </w:r>
      <w:r w:rsidR="00C64050">
        <w:t xml:space="preserve"> </w:t>
      </w:r>
      <w:r w:rsidRPr="00BA4A3F">
        <w:t>or</w:t>
      </w:r>
      <w:r w:rsidR="00C64050">
        <w:t xml:space="preserve"> </w:t>
      </w:r>
      <w:r w:rsidRPr="00BA4A3F">
        <w:t>his</w:t>
      </w:r>
      <w:r w:rsidR="00C64050">
        <w:t xml:space="preserve"> </w:t>
      </w:r>
      <w:r w:rsidRPr="00BA4A3F">
        <w:t>surviving</w:t>
      </w:r>
      <w:r w:rsidR="00C64050">
        <w:t xml:space="preserve"> </w:t>
      </w:r>
      <w:r w:rsidRPr="00BA4A3F">
        <w:t>issue</w:t>
      </w:r>
      <w:r w:rsidR="00C64050">
        <w:t xml:space="preserve"> </w:t>
      </w:r>
      <w:r w:rsidRPr="00BA4A3F">
        <w:t>in</w:t>
      </w:r>
      <w:r w:rsidR="00C64050">
        <w:t xml:space="preserve"> </w:t>
      </w:r>
      <w:r w:rsidRPr="00BA4A3F">
        <w:t>case</w:t>
      </w:r>
      <w:r w:rsidR="00C64050">
        <w:t xml:space="preserve"> </w:t>
      </w:r>
      <w:r w:rsidRPr="00BA4A3F">
        <w:t>of</w:t>
      </w:r>
      <w:r w:rsidR="00C64050">
        <w:t xml:space="preserve"> </w:t>
      </w:r>
      <w:r w:rsidRPr="00BA4A3F">
        <w:t>default</w:t>
      </w:r>
      <w:r w:rsidR="00C64050">
        <w:t xml:space="preserve"> </w:t>
      </w:r>
      <w:r w:rsidRPr="00BA4A3F">
        <w:t>(i.e.,</w:t>
      </w:r>
      <w:r w:rsidR="00C64050">
        <w:t xml:space="preserve"> </w:t>
      </w:r>
      <w:r w:rsidRPr="00BA4A3F">
        <w:t>failure</w:t>
      </w:r>
      <w:r w:rsidR="00C64050">
        <w:t xml:space="preserve"> </w:t>
      </w:r>
      <w:r w:rsidRPr="00BA4A3F">
        <w:t>of</w:t>
      </w:r>
      <w:r w:rsidR="00C64050">
        <w:t xml:space="preserve"> </w:t>
      </w:r>
      <w:r w:rsidRPr="00BA4A3F">
        <w:t>Yvonne</w:t>
      </w:r>
      <w:r w:rsidR="00C64050">
        <w:t xml:space="preserve"> </w:t>
      </w:r>
      <w:r w:rsidRPr="00BA4A3F">
        <w:t>to</w:t>
      </w:r>
      <w:r w:rsidR="00C64050">
        <w:t xml:space="preserve"> </w:t>
      </w:r>
      <w:r w:rsidRPr="00BA4A3F">
        <w:t>exercise</w:t>
      </w:r>
      <w:r w:rsidR="00C64050">
        <w:t xml:space="preserve"> </w:t>
      </w:r>
      <w:r w:rsidRPr="00BA4A3F">
        <w:t>her</w:t>
      </w:r>
      <w:r w:rsidR="00C64050">
        <w:t xml:space="preserve"> </w:t>
      </w:r>
      <w:r w:rsidRPr="00BA4A3F">
        <w:t>testamentary</w:t>
      </w:r>
      <w:r w:rsidR="00C64050">
        <w:t xml:space="preserve"> </w:t>
      </w:r>
      <w:r w:rsidRPr="00BA4A3F">
        <w:t>power</w:t>
      </w:r>
      <w:r w:rsidR="00C64050">
        <w:t xml:space="preserve"> </w:t>
      </w:r>
      <w:r w:rsidRPr="00BA4A3F">
        <w:t>of</w:t>
      </w:r>
      <w:r w:rsidR="00C64050">
        <w:t xml:space="preserve"> </w:t>
      </w:r>
      <w:r w:rsidRPr="00BA4A3F">
        <w:t>appointment).</w:t>
      </w:r>
      <w:r w:rsidR="00C64050">
        <w:t xml:space="preserve"> </w:t>
      </w:r>
      <w:r w:rsidRPr="00BA4A3F">
        <w:t>But</w:t>
      </w:r>
      <w:r w:rsidR="00C64050">
        <w:t xml:space="preserve"> </w:t>
      </w:r>
      <w:r w:rsidRPr="00BA4A3F">
        <w:t>McKie</w:t>
      </w:r>
      <w:r w:rsidR="00C64050">
        <w:t xml:space="preserve"> </w:t>
      </w:r>
      <w:r w:rsidRPr="00BA4A3F">
        <w:t>Sr.’s</w:t>
      </w:r>
      <w:r w:rsidR="00C64050">
        <w:t xml:space="preserve"> </w:t>
      </w:r>
      <w:r w:rsidRPr="00BA4A3F">
        <w:t>grandchildren</w:t>
      </w:r>
      <w:r w:rsidR="00C64050">
        <w:t xml:space="preserve"> </w:t>
      </w:r>
      <w:r w:rsidRPr="00BA4A3F">
        <w:t>(specifically,</w:t>
      </w:r>
      <w:r w:rsidR="00C64050">
        <w:t xml:space="preserve"> </w:t>
      </w:r>
      <w:r w:rsidRPr="00BA4A3F">
        <w:t>Mark</w:t>
      </w:r>
      <w:r w:rsidR="00C64050">
        <w:t xml:space="preserve"> </w:t>
      </w:r>
      <w:r w:rsidRPr="00BA4A3F">
        <w:t>and</w:t>
      </w:r>
      <w:r w:rsidR="00C64050">
        <w:t xml:space="preserve"> </w:t>
      </w:r>
      <w:r w:rsidRPr="00BA4A3F">
        <w:t>the</w:t>
      </w:r>
      <w:r w:rsidR="00C64050">
        <w:t xml:space="preserve"> </w:t>
      </w:r>
      <w:r w:rsidRPr="00BA4A3F">
        <w:t>other</w:t>
      </w:r>
      <w:r w:rsidR="00C64050">
        <w:t xml:space="preserve"> </w:t>
      </w:r>
      <w:r w:rsidRPr="00BA4A3F">
        <w:t>then-living</w:t>
      </w:r>
      <w:r w:rsidR="00C64050">
        <w:t xml:space="preserve"> </w:t>
      </w:r>
      <w:r w:rsidRPr="00BA4A3F">
        <w:t>issue</w:t>
      </w:r>
      <w:r w:rsidR="00C64050">
        <w:t xml:space="preserve"> </w:t>
      </w:r>
      <w:r w:rsidRPr="00BA4A3F">
        <w:t>of</w:t>
      </w:r>
      <w:r w:rsidR="00C64050">
        <w:t xml:space="preserve"> </w:t>
      </w:r>
      <w:r w:rsidRPr="00BA4A3F">
        <w:t>McKie</w:t>
      </w:r>
      <w:r w:rsidR="00C64050">
        <w:t xml:space="preserve"> </w:t>
      </w:r>
      <w:r w:rsidRPr="00BA4A3F">
        <w:t>Sr.’s</w:t>
      </w:r>
      <w:r w:rsidR="00C64050">
        <w:t xml:space="preserve"> </w:t>
      </w:r>
      <w:r w:rsidRPr="00BA4A3F">
        <w:t>three</w:t>
      </w:r>
      <w:r w:rsidR="00C64050">
        <w:t xml:space="preserve"> </w:t>
      </w:r>
      <w:r w:rsidRPr="00BA4A3F">
        <w:t>adult</w:t>
      </w:r>
      <w:r w:rsidR="00C64050">
        <w:t xml:space="preserve"> </w:t>
      </w:r>
      <w:r w:rsidRPr="00BA4A3F">
        <w:t>children)</w:t>
      </w:r>
      <w:r w:rsidR="00C64050">
        <w:t xml:space="preserve"> </w:t>
      </w:r>
      <w:r w:rsidRPr="00BA4A3F">
        <w:t>were</w:t>
      </w:r>
      <w:r w:rsidR="00C64050">
        <w:t xml:space="preserve"> </w:t>
      </w:r>
      <w:r w:rsidRPr="00BA4A3F">
        <w:t>not</w:t>
      </w:r>
      <w:r w:rsidR="00C64050">
        <w:t xml:space="preserve"> </w:t>
      </w:r>
      <w:r w:rsidRPr="00BA4A3F">
        <w:t>given</w:t>
      </w:r>
      <w:r w:rsidR="00C64050">
        <w:t xml:space="preserve"> </w:t>
      </w:r>
      <w:r w:rsidRPr="00BA4A3F">
        <w:t>prior</w:t>
      </w:r>
      <w:r w:rsidR="00C64050">
        <w:t xml:space="preserve"> </w:t>
      </w:r>
      <w:r w:rsidRPr="00BA4A3F">
        <w:t>notice</w:t>
      </w:r>
      <w:r w:rsidR="00C64050">
        <w:t xml:space="preserve"> </w:t>
      </w:r>
      <w:r w:rsidRPr="00BA4A3F">
        <w:t>of</w:t>
      </w:r>
      <w:r w:rsidR="00C64050">
        <w:t xml:space="preserve"> </w:t>
      </w:r>
      <w:r w:rsidRPr="00BA4A3F">
        <w:t>the</w:t>
      </w:r>
      <w:r w:rsidR="00C64050">
        <w:t xml:space="preserve"> </w:t>
      </w:r>
      <w:r w:rsidRPr="00BA4A3F">
        <w:t>1991</w:t>
      </w:r>
      <w:r w:rsidR="00C64050">
        <w:t xml:space="preserve"> </w:t>
      </w:r>
      <w:r w:rsidRPr="00BA4A3F">
        <w:t>decree,</w:t>
      </w:r>
      <w:r w:rsidR="00C64050">
        <w:t xml:space="preserve"> </w:t>
      </w:r>
      <w:r w:rsidRPr="00BA4A3F">
        <w:t>even</w:t>
      </w:r>
      <w:r w:rsidR="00C64050">
        <w:t xml:space="preserve"> </w:t>
      </w:r>
      <w:r w:rsidRPr="00BA4A3F">
        <w:t>though</w:t>
      </w:r>
      <w:r w:rsidR="00C64050">
        <w:t xml:space="preserve"> </w:t>
      </w:r>
      <w:r w:rsidRPr="00BA4A3F">
        <w:t>the</w:t>
      </w:r>
      <w:r w:rsidR="00C64050">
        <w:t xml:space="preserve"> </w:t>
      </w:r>
      <w:r w:rsidRPr="00BA4A3F">
        <w:t>decree</w:t>
      </w:r>
      <w:r w:rsidR="00C64050">
        <w:t xml:space="preserve"> </w:t>
      </w:r>
      <w:r w:rsidR="00DC1D28" w:rsidRPr="00BA4A3F">
        <w:rPr>
          <w:i/>
          <w:iCs/>
        </w:rPr>
        <w:t>eliminated</w:t>
      </w:r>
      <w:r w:rsidR="00DC1D28" w:rsidRPr="00BA4A3F">
        <w:t xml:space="preserve"> their</w:t>
      </w:r>
      <w:r w:rsidR="00C64050">
        <w:t xml:space="preserve"> </w:t>
      </w:r>
      <w:r w:rsidRPr="00BA4A3F">
        <w:t>contingent</w:t>
      </w:r>
      <w:r w:rsidR="00C64050">
        <w:t xml:space="preserve"> </w:t>
      </w:r>
      <w:r w:rsidRPr="00BA4A3F">
        <w:t>interests</w:t>
      </w:r>
      <w:r w:rsidR="00C64050">
        <w:t xml:space="preserve"> </w:t>
      </w:r>
      <w:r w:rsidRPr="00BA4A3F">
        <w:t>in</w:t>
      </w:r>
      <w:r w:rsidR="00C64050">
        <w:t xml:space="preserve"> </w:t>
      </w:r>
      <w:r w:rsidRPr="00BA4A3F">
        <w:t>the</w:t>
      </w:r>
      <w:r w:rsidR="00C64050">
        <w:t xml:space="preserve"> </w:t>
      </w:r>
      <w:r w:rsidRPr="00BA4A3F">
        <w:t>remainder</w:t>
      </w:r>
      <w:r w:rsidR="00C64050">
        <w:t xml:space="preserve"> </w:t>
      </w:r>
      <w:r w:rsidRPr="00BA4A3F">
        <w:t>of</w:t>
      </w:r>
      <w:r w:rsidR="00C64050">
        <w:t xml:space="preserve"> </w:t>
      </w:r>
      <w:r w:rsidRPr="00BA4A3F">
        <w:t>the</w:t>
      </w:r>
      <w:r w:rsidR="00C64050">
        <w:t xml:space="preserve"> </w:t>
      </w:r>
      <w:r w:rsidRPr="00BA4A3F">
        <w:t>trust.</w:t>
      </w:r>
      <w:r w:rsidR="00C64050">
        <w:t xml:space="preserve"> </w:t>
      </w:r>
      <w:r w:rsidRPr="00BA4A3F">
        <w:t>Yvonne</w:t>
      </w:r>
      <w:r w:rsidR="00C64050">
        <w:t xml:space="preserve"> </w:t>
      </w:r>
      <w:r w:rsidRPr="00BA4A3F">
        <w:t>died</w:t>
      </w:r>
      <w:r w:rsidR="00C64050">
        <w:t xml:space="preserve"> </w:t>
      </w:r>
      <w:r w:rsidRPr="00BA4A3F">
        <w:t>in</w:t>
      </w:r>
      <w:r w:rsidR="00C64050">
        <w:t xml:space="preserve"> </w:t>
      </w:r>
      <w:r w:rsidRPr="00BA4A3F">
        <w:t>2016</w:t>
      </w:r>
      <w:r w:rsidR="00C64050">
        <w:t xml:space="preserve"> </w:t>
      </w:r>
      <w:r w:rsidRPr="00BA4A3F">
        <w:t>without</w:t>
      </w:r>
      <w:r w:rsidR="00C64050">
        <w:t xml:space="preserve"> </w:t>
      </w:r>
      <w:r w:rsidRPr="00BA4A3F">
        <w:t>having</w:t>
      </w:r>
      <w:r w:rsidR="00C64050">
        <w:t xml:space="preserve"> </w:t>
      </w:r>
      <w:r w:rsidRPr="00BA4A3F">
        <w:t>exercised</w:t>
      </w:r>
      <w:r w:rsidR="00C64050">
        <w:t xml:space="preserve"> </w:t>
      </w:r>
      <w:r w:rsidRPr="00BA4A3F">
        <w:t>her</w:t>
      </w:r>
      <w:r w:rsidR="00C64050">
        <w:t xml:space="preserve"> </w:t>
      </w:r>
      <w:r w:rsidRPr="00BA4A3F">
        <w:t>testamentary</w:t>
      </w:r>
      <w:r w:rsidR="00C64050">
        <w:t xml:space="preserve"> </w:t>
      </w:r>
      <w:r w:rsidRPr="00BA4A3F">
        <w:t>power</w:t>
      </w:r>
      <w:r w:rsidR="00C64050">
        <w:t xml:space="preserve"> </w:t>
      </w:r>
      <w:r w:rsidRPr="00BA4A3F">
        <w:t>of</w:t>
      </w:r>
      <w:r w:rsidR="00C64050">
        <w:t xml:space="preserve"> </w:t>
      </w:r>
      <w:r w:rsidRPr="00BA4A3F">
        <w:t>appointment.</w:t>
      </w:r>
    </w:p>
    <w:p w:rsidR="00BA4A3F" w:rsidRPr="00BA4A3F" w:rsidRDefault="00BA4A3F" w:rsidP="00BA4A3F">
      <w:pPr>
        <w:pStyle w:val="QS10"/>
      </w:pPr>
      <w:r w:rsidRPr="00BA4A3F">
        <w:t>Mark’s</w:t>
      </w:r>
      <w:r w:rsidR="00C64050">
        <w:t xml:space="preserve"> </w:t>
      </w:r>
      <w:r w:rsidRPr="00BA4A3F">
        <w:t>father</w:t>
      </w:r>
      <w:r w:rsidR="00C64050">
        <w:t xml:space="preserve"> </w:t>
      </w:r>
      <w:r w:rsidRPr="00BA4A3F">
        <w:t>McKie</w:t>
      </w:r>
      <w:r w:rsidR="00C64050">
        <w:t xml:space="preserve"> </w:t>
      </w:r>
      <w:r w:rsidRPr="00BA4A3F">
        <w:t>Roth</w:t>
      </w:r>
      <w:r w:rsidR="00C64050">
        <w:t xml:space="preserve"> </w:t>
      </w:r>
      <w:r w:rsidRPr="00BA4A3F">
        <w:t>Jr.</w:t>
      </w:r>
      <w:r w:rsidR="00C64050">
        <w:t xml:space="preserve"> </w:t>
      </w:r>
      <w:r w:rsidRPr="00BA4A3F">
        <w:t>(McKie</w:t>
      </w:r>
      <w:r w:rsidR="00C64050">
        <w:t xml:space="preserve"> </w:t>
      </w:r>
      <w:r w:rsidRPr="00BA4A3F">
        <w:t>Jr.)</w:t>
      </w:r>
      <w:r w:rsidR="00C64050">
        <w:t xml:space="preserve"> </w:t>
      </w:r>
      <w:r w:rsidRPr="00BA4A3F">
        <w:t>predeceased</w:t>
      </w:r>
      <w:r w:rsidR="00C64050">
        <w:t xml:space="preserve"> </w:t>
      </w:r>
      <w:r w:rsidRPr="00BA4A3F">
        <w:t>Yvonne.</w:t>
      </w:r>
      <w:r w:rsidR="00C64050">
        <w:t xml:space="preserve"> </w:t>
      </w:r>
      <w:r w:rsidRPr="00BA4A3F">
        <w:t>Mark</w:t>
      </w:r>
      <w:r w:rsidR="00C64050">
        <w:t xml:space="preserve"> </w:t>
      </w:r>
      <w:r w:rsidRPr="00BA4A3F">
        <w:t>petitioned</w:t>
      </w:r>
      <w:r w:rsidR="00C64050">
        <w:t xml:space="preserve"> </w:t>
      </w:r>
      <w:r w:rsidRPr="00BA4A3F">
        <w:t>the</w:t>
      </w:r>
      <w:r w:rsidR="00C64050">
        <w:t xml:space="preserve"> </w:t>
      </w:r>
      <w:r w:rsidRPr="00BA4A3F">
        <w:t>probate</w:t>
      </w:r>
      <w:r w:rsidR="00C64050">
        <w:t xml:space="preserve"> </w:t>
      </w:r>
      <w:r w:rsidRPr="00BA4A3F">
        <w:t>court</w:t>
      </w:r>
      <w:r w:rsidR="00C64050">
        <w:t xml:space="preserve"> </w:t>
      </w:r>
      <w:r w:rsidRPr="00BA4A3F">
        <w:t>to</w:t>
      </w:r>
      <w:r w:rsidR="00C64050">
        <w:t xml:space="preserve"> </w:t>
      </w:r>
      <w:r w:rsidRPr="00BA4A3F">
        <w:t>be</w:t>
      </w:r>
      <w:r w:rsidR="00C64050">
        <w:t xml:space="preserve"> </w:t>
      </w:r>
      <w:r w:rsidRPr="00BA4A3F">
        <w:t>recognized</w:t>
      </w:r>
      <w:r w:rsidR="00C64050">
        <w:t xml:space="preserve"> </w:t>
      </w:r>
      <w:r w:rsidRPr="00BA4A3F">
        <w:t>as</w:t>
      </w:r>
      <w:r w:rsidR="00C64050">
        <w:t xml:space="preserve"> </w:t>
      </w:r>
      <w:r w:rsidRPr="00BA4A3F">
        <w:t>a</w:t>
      </w:r>
      <w:r w:rsidR="00C64050">
        <w:t xml:space="preserve"> </w:t>
      </w:r>
      <w:r w:rsidRPr="00BA4A3F">
        <w:t>beneficiary</w:t>
      </w:r>
      <w:r w:rsidR="00C64050">
        <w:t xml:space="preserve"> </w:t>
      </w:r>
      <w:r w:rsidRPr="00BA4A3F">
        <w:t>of</w:t>
      </w:r>
      <w:r w:rsidR="00C64050">
        <w:t xml:space="preserve"> </w:t>
      </w:r>
      <w:r w:rsidRPr="00BA4A3F">
        <w:t>the</w:t>
      </w:r>
      <w:r w:rsidR="00C64050">
        <w:t xml:space="preserve"> </w:t>
      </w:r>
      <w:r w:rsidRPr="00BA4A3F">
        <w:t>trust</w:t>
      </w:r>
      <w:r w:rsidR="00C64050">
        <w:t xml:space="preserve"> </w:t>
      </w:r>
      <w:r w:rsidRPr="00BA4A3F">
        <w:t>pursuant</w:t>
      </w:r>
      <w:r w:rsidR="00C64050">
        <w:t xml:space="preserve"> </w:t>
      </w:r>
      <w:r w:rsidRPr="00BA4A3F">
        <w:t>to</w:t>
      </w:r>
      <w:r w:rsidR="00C64050">
        <w:t xml:space="preserve"> </w:t>
      </w:r>
      <w:r w:rsidRPr="00BA4A3F">
        <w:t>the</w:t>
      </w:r>
      <w:r w:rsidR="00C64050">
        <w:t xml:space="preserve"> </w:t>
      </w:r>
      <w:r w:rsidRPr="00BA4A3F">
        <w:t>default</w:t>
      </w:r>
      <w:r w:rsidR="00C64050">
        <w:t xml:space="preserve"> </w:t>
      </w:r>
      <w:r w:rsidRPr="00BA4A3F">
        <w:t>distribution</w:t>
      </w:r>
      <w:r w:rsidR="00C64050">
        <w:t xml:space="preserve"> </w:t>
      </w:r>
      <w:r w:rsidRPr="00BA4A3F">
        <w:t>provision</w:t>
      </w:r>
      <w:r w:rsidR="00C64050">
        <w:t xml:space="preserve"> </w:t>
      </w:r>
      <w:r w:rsidRPr="00BA4A3F">
        <w:t>of</w:t>
      </w:r>
      <w:r w:rsidR="00C64050">
        <w:t xml:space="preserve"> </w:t>
      </w:r>
      <w:r w:rsidRPr="00BA4A3F">
        <w:t>McKie</w:t>
      </w:r>
      <w:r w:rsidR="00C64050">
        <w:t xml:space="preserve"> </w:t>
      </w:r>
      <w:r w:rsidRPr="00BA4A3F">
        <w:t>Sr.’s</w:t>
      </w:r>
      <w:r w:rsidR="00C64050">
        <w:t xml:space="preserve"> </w:t>
      </w:r>
      <w:r w:rsidRPr="00BA4A3F">
        <w:t>will.</w:t>
      </w:r>
      <w:r w:rsidR="00C64050">
        <w:t xml:space="preserve"> </w:t>
      </w:r>
      <w:r w:rsidRPr="00BA4A3F">
        <w:t>He</w:t>
      </w:r>
      <w:r w:rsidR="00C64050">
        <w:t xml:space="preserve"> </w:t>
      </w:r>
      <w:r w:rsidRPr="00BA4A3F">
        <w:t>asserted</w:t>
      </w:r>
      <w:r w:rsidR="00C64050">
        <w:t xml:space="preserve"> </w:t>
      </w:r>
      <w:r w:rsidRPr="00BA4A3F">
        <w:t>the</w:t>
      </w:r>
      <w:r w:rsidR="00C64050">
        <w:t xml:space="preserve"> </w:t>
      </w:r>
      <w:r w:rsidRPr="00BA4A3F">
        <w:t>1991</w:t>
      </w:r>
      <w:r w:rsidR="00C64050">
        <w:t xml:space="preserve"> </w:t>
      </w:r>
      <w:r w:rsidRPr="00BA4A3F">
        <w:t>Decree</w:t>
      </w:r>
      <w:r w:rsidR="00C64050">
        <w:t xml:space="preserve"> </w:t>
      </w:r>
      <w:r w:rsidRPr="00BA4A3F">
        <w:t>was</w:t>
      </w:r>
      <w:r w:rsidR="00C64050">
        <w:t xml:space="preserve"> </w:t>
      </w:r>
      <w:r w:rsidRPr="00BA4A3F">
        <w:t>void</w:t>
      </w:r>
      <w:r w:rsidR="00C64050">
        <w:t xml:space="preserve"> </w:t>
      </w:r>
      <w:r w:rsidRPr="00BA4A3F">
        <w:t>because</w:t>
      </w:r>
      <w:r w:rsidR="00C64050">
        <w:t xml:space="preserve"> </w:t>
      </w:r>
      <w:r w:rsidRPr="00BA4A3F">
        <w:t>he</w:t>
      </w:r>
      <w:r w:rsidR="00C64050">
        <w:t xml:space="preserve"> </w:t>
      </w:r>
      <w:r w:rsidRPr="00BA4A3F">
        <w:t>never</w:t>
      </w:r>
      <w:r w:rsidR="00C64050">
        <w:t xml:space="preserve"> </w:t>
      </w:r>
      <w:r w:rsidRPr="00BA4A3F">
        <w:t>received</w:t>
      </w:r>
      <w:r w:rsidR="00C64050">
        <w:t xml:space="preserve"> </w:t>
      </w:r>
      <w:r w:rsidRPr="00BA4A3F">
        <w:t>notice</w:t>
      </w:r>
      <w:r w:rsidR="00C64050">
        <w:t xml:space="preserve"> </w:t>
      </w:r>
      <w:r w:rsidRPr="00BA4A3F">
        <w:t>of</w:t>
      </w:r>
      <w:r w:rsidR="00C64050">
        <w:t xml:space="preserve"> </w:t>
      </w:r>
      <w:r w:rsidRPr="00BA4A3F">
        <w:t>the</w:t>
      </w:r>
      <w:r w:rsidR="00C64050">
        <w:t xml:space="preserve"> </w:t>
      </w:r>
      <w:r w:rsidRPr="00BA4A3F">
        <w:t>proceeding</w:t>
      </w:r>
      <w:r w:rsidR="00C64050">
        <w:t xml:space="preserve"> </w:t>
      </w:r>
      <w:r w:rsidRPr="00BA4A3F">
        <w:t>that</w:t>
      </w:r>
      <w:r w:rsidR="00C64050">
        <w:t xml:space="preserve"> </w:t>
      </w:r>
      <w:r w:rsidRPr="00BA4A3F">
        <w:t>culminated</w:t>
      </w:r>
      <w:r w:rsidR="00C64050">
        <w:t xml:space="preserve"> </w:t>
      </w:r>
      <w:r w:rsidRPr="00BA4A3F">
        <w:t>in</w:t>
      </w:r>
      <w:r w:rsidR="00C64050">
        <w:t xml:space="preserve"> </w:t>
      </w:r>
      <w:r w:rsidRPr="00BA4A3F">
        <w:t>the</w:t>
      </w:r>
      <w:r w:rsidR="00C64050">
        <w:t xml:space="preserve"> </w:t>
      </w:r>
      <w:r w:rsidRPr="00BA4A3F">
        <w:t>1991</w:t>
      </w:r>
      <w:r w:rsidR="00C64050">
        <w:t xml:space="preserve"> </w:t>
      </w:r>
      <w:r w:rsidRPr="00BA4A3F">
        <w:t>decree.</w:t>
      </w:r>
    </w:p>
    <w:p w:rsidR="00BA4A3F" w:rsidRPr="00BA4A3F" w:rsidRDefault="00BA4A3F" w:rsidP="00BA4A3F">
      <w:pPr>
        <w:pStyle w:val="QS10"/>
      </w:pPr>
      <w:r w:rsidRPr="00BA4A3F">
        <w:t>At</w:t>
      </w:r>
      <w:r w:rsidR="00C64050">
        <w:t xml:space="preserve"> </w:t>
      </w:r>
      <w:r w:rsidRPr="00BA4A3F">
        <w:t>the</w:t>
      </w:r>
      <w:r w:rsidR="00C64050">
        <w:t xml:space="preserve"> </w:t>
      </w:r>
      <w:r w:rsidRPr="00BA4A3F">
        <w:t>parties’</w:t>
      </w:r>
      <w:r w:rsidR="00C64050">
        <w:t xml:space="preserve"> </w:t>
      </w:r>
      <w:r w:rsidRPr="00BA4A3F">
        <w:t>agreement,</w:t>
      </w:r>
      <w:r w:rsidR="00C64050">
        <w:t xml:space="preserve"> </w:t>
      </w:r>
      <w:r w:rsidRPr="00BA4A3F">
        <w:t>the</w:t>
      </w:r>
      <w:r w:rsidR="00C64050">
        <w:t xml:space="preserve"> </w:t>
      </w:r>
      <w:r w:rsidRPr="00BA4A3F">
        <w:t>probate</w:t>
      </w:r>
      <w:r w:rsidR="00C64050">
        <w:t xml:space="preserve"> </w:t>
      </w:r>
      <w:r w:rsidRPr="00BA4A3F">
        <w:t>court</w:t>
      </w:r>
      <w:r w:rsidR="00C64050">
        <w:t xml:space="preserve"> </w:t>
      </w:r>
      <w:r w:rsidRPr="00BA4A3F">
        <w:t>decided</w:t>
      </w:r>
      <w:r w:rsidR="00C64050">
        <w:t xml:space="preserve"> </w:t>
      </w:r>
      <w:r w:rsidRPr="00BA4A3F">
        <w:t>the</w:t>
      </w:r>
      <w:r w:rsidR="00C64050">
        <w:t xml:space="preserve"> </w:t>
      </w:r>
      <w:r w:rsidRPr="00BA4A3F">
        <w:t>following</w:t>
      </w:r>
      <w:r w:rsidR="00C64050">
        <w:t xml:space="preserve"> </w:t>
      </w:r>
      <w:r w:rsidRPr="00BA4A3F">
        <w:t>dispositive</w:t>
      </w:r>
      <w:r w:rsidR="00C64050">
        <w:t xml:space="preserve"> </w:t>
      </w:r>
      <w:r w:rsidRPr="00BA4A3F">
        <w:t>issue</w:t>
      </w:r>
      <w:r w:rsidR="00C64050">
        <w:t xml:space="preserve"> </w:t>
      </w:r>
      <w:r w:rsidRPr="00BA4A3F">
        <w:t>in</w:t>
      </w:r>
      <w:r w:rsidR="00C64050">
        <w:t xml:space="preserve"> </w:t>
      </w:r>
      <w:r w:rsidRPr="00BA4A3F">
        <w:t>a</w:t>
      </w:r>
      <w:r w:rsidR="00C64050">
        <w:t xml:space="preserve"> </w:t>
      </w:r>
      <w:r w:rsidRPr="00BA4A3F">
        <w:t>bifurcated</w:t>
      </w:r>
      <w:r w:rsidR="00C64050">
        <w:t xml:space="preserve"> </w:t>
      </w:r>
      <w:r w:rsidRPr="00BA4A3F">
        <w:t>proceeding:</w:t>
      </w:r>
      <w:r w:rsidR="00C64050">
        <w:t xml:space="preserve"> </w:t>
      </w:r>
      <w:r w:rsidRPr="00BA4A3F">
        <w:t>was</w:t>
      </w:r>
      <w:r w:rsidR="00C64050">
        <w:t xml:space="preserve"> </w:t>
      </w:r>
      <w:r w:rsidRPr="00BA4A3F">
        <w:t>the</w:t>
      </w:r>
      <w:r w:rsidR="00C64050">
        <w:t xml:space="preserve"> </w:t>
      </w:r>
      <w:r w:rsidRPr="00BA4A3F">
        <w:t>1991</w:t>
      </w:r>
      <w:r w:rsidR="00C64050">
        <w:t xml:space="preserve"> </w:t>
      </w:r>
      <w:r w:rsidRPr="00BA4A3F">
        <w:t>Decree</w:t>
      </w:r>
      <w:r w:rsidR="00C64050">
        <w:t xml:space="preserve"> </w:t>
      </w:r>
      <w:r w:rsidRPr="00BA4A3F">
        <w:t>binding</w:t>
      </w:r>
      <w:r w:rsidR="00C64050">
        <w:t xml:space="preserve"> </w:t>
      </w:r>
      <w:r w:rsidRPr="00BA4A3F">
        <w:t>on</w:t>
      </w:r>
      <w:r w:rsidR="00C64050">
        <w:t xml:space="preserve"> </w:t>
      </w:r>
      <w:r w:rsidRPr="00BA4A3F">
        <w:t>the</w:t>
      </w:r>
      <w:r w:rsidR="00C64050">
        <w:t xml:space="preserve"> </w:t>
      </w:r>
      <w:r w:rsidRPr="00BA4A3F">
        <w:t>parties?</w:t>
      </w:r>
      <w:r w:rsidR="00C64050">
        <w:t xml:space="preserve"> </w:t>
      </w:r>
      <w:r w:rsidRPr="00BA4A3F">
        <w:t>The</w:t>
      </w:r>
      <w:r w:rsidR="00C64050">
        <w:t xml:space="preserve"> </w:t>
      </w:r>
      <w:r w:rsidRPr="00BA4A3F">
        <w:t>court</w:t>
      </w:r>
      <w:r w:rsidR="00C64050">
        <w:t xml:space="preserve"> </w:t>
      </w:r>
      <w:r w:rsidRPr="00BA4A3F">
        <w:t>determined</w:t>
      </w:r>
      <w:r w:rsidR="00C64050">
        <w:t xml:space="preserve"> </w:t>
      </w:r>
      <w:r w:rsidRPr="00BA4A3F">
        <w:t>the</w:t>
      </w:r>
      <w:r w:rsidR="00C64050">
        <w:t xml:space="preserve"> </w:t>
      </w:r>
      <w:r w:rsidRPr="00BA4A3F">
        <w:t>1991</w:t>
      </w:r>
      <w:r w:rsidR="00C64050">
        <w:t xml:space="preserve"> </w:t>
      </w:r>
      <w:r w:rsidRPr="00BA4A3F">
        <w:t>Decree</w:t>
      </w:r>
      <w:r w:rsidR="00C64050">
        <w:t xml:space="preserve"> </w:t>
      </w:r>
      <w:r w:rsidRPr="00BA4A3F">
        <w:t>was</w:t>
      </w:r>
      <w:r w:rsidR="00C64050">
        <w:t xml:space="preserve"> </w:t>
      </w:r>
      <w:r w:rsidRPr="00BA4A3F">
        <w:t>binding</w:t>
      </w:r>
      <w:r w:rsidR="00C64050">
        <w:t xml:space="preserve"> </w:t>
      </w:r>
      <w:r w:rsidRPr="00BA4A3F">
        <w:t>even</w:t>
      </w:r>
      <w:r w:rsidR="00C64050">
        <w:t xml:space="preserve"> </w:t>
      </w:r>
      <w:r w:rsidRPr="00BA4A3F">
        <w:t>though</w:t>
      </w:r>
      <w:r w:rsidR="00C64050">
        <w:t xml:space="preserve"> </w:t>
      </w:r>
      <w:r w:rsidRPr="00BA4A3F">
        <w:t>Mark</w:t>
      </w:r>
      <w:r w:rsidR="00C64050">
        <w:t xml:space="preserve"> </w:t>
      </w:r>
      <w:r w:rsidRPr="00BA4A3F">
        <w:t>received</w:t>
      </w:r>
      <w:r w:rsidR="00C64050">
        <w:t xml:space="preserve"> </w:t>
      </w:r>
      <w:r w:rsidRPr="00BA4A3F">
        <w:t>no</w:t>
      </w:r>
      <w:r w:rsidR="00C64050">
        <w:t xml:space="preserve"> </w:t>
      </w:r>
      <w:r w:rsidRPr="00BA4A3F">
        <w:t>prior</w:t>
      </w:r>
      <w:r w:rsidR="00C64050">
        <w:t xml:space="preserve"> </w:t>
      </w:r>
      <w:r w:rsidRPr="00BA4A3F">
        <w:t>notice</w:t>
      </w:r>
      <w:r w:rsidR="00C64050">
        <w:t xml:space="preserve"> </w:t>
      </w:r>
      <w:r w:rsidRPr="00BA4A3F">
        <w:t>because,</w:t>
      </w:r>
      <w:r w:rsidR="00C64050">
        <w:t xml:space="preserve"> </w:t>
      </w:r>
      <w:r w:rsidRPr="00BA4A3F">
        <w:t>in</w:t>
      </w:r>
      <w:r w:rsidR="00C64050">
        <w:t xml:space="preserve"> </w:t>
      </w:r>
      <w:r w:rsidRPr="00BA4A3F">
        <w:t>the</w:t>
      </w:r>
      <w:r w:rsidR="00C64050">
        <w:t xml:space="preserve"> </w:t>
      </w:r>
      <w:r w:rsidRPr="00BA4A3F">
        <w:t>court’s</w:t>
      </w:r>
      <w:r w:rsidR="00C64050">
        <w:t xml:space="preserve"> </w:t>
      </w:r>
      <w:r w:rsidRPr="00BA4A3F">
        <w:t>view,</w:t>
      </w:r>
      <w:r w:rsidR="00C64050">
        <w:t xml:space="preserve"> </w:t>
      </w:r>
      <w:r w:rsidRPr="00BA4A3F">
        <w:t>Mark</w:t>
      </w:r>
      <w:r w:rsidR="00C64050">
        <w:t xml:space="preserve"> </w:t>
      </w:r>
      <w:r w:rsidRPr="00BA4A3F">
        <w:t>had</w:t>
      </w:r>
      <w:r w:rsidR="00C64050">
        <w:t xml:space="preserve"> </w:t>
      </w:r>
      <w:r w:rsidRPr="00BA4A3F">
        <w:t>no</w:t>
      </w:r>
      <w:r w:rsidR="00C64050">
        <w:t xml:space="preserve"> </w:t>
      </w:r>
      <w:r w:rsidRPr="00BA4A3F">
        <w:t>cognizable</w:t>
      </w:r>
      <w:r w:rsidR="00C64050">
        <w:t xml:space="preserve"> </w:t>
      </w:r>
      <w:r w:rsidRPr="00BA4A3F">
        <w:t>property</w:t>
      </w:r>
      <w:r w:rsidR="00C64050">
        <w:t xml:space="preserve"> </w:t>
      </w:r>
      <w:r w:rsidRPr="00BA4A3F">
        <w:t>interest</w:t>
      </w:r>
      <w:r w:rsidR="00C64050">
        <w:t xml:space="preserve"> </w:t>
      </w:r>
      <w:r w:rsidRPr="00BA4A3F">
        <w:t>in</w:t>
      </w:r>
      <w:r w:rsidR="00C64050">
        <w:t xml:space="preserve"> </w:t>
      </w:r>
      <w:r w:rsidRPr="00BA4A3F">
        <w:t>the</w:t>
      </w:r>
      <w:r w:rsidR="00C64050">
        <w:t xml:space="preserve"> </w:t>
      </w:r>
      <w:r w:rsidRPr="00BA4A3F">
        <w:t>trust.</w:t>
      </w:r>
    </w:p>
    <w:p w:rsidR="00BA4A3F" w:rsidRPr="00BA4A3F" w:rsidRDefault="00BA4A3F" w:rsidP="00BA4A3F">
      <w:pPr>
        <w:pStyle w:val="QS10"/>
      </w:pPr>
      <w:r w:rsidRPr="00BA4A3F">
        <w:t>We</w:t>
      </w:r>
      <w:r w:rsidR="00C64050">
        <w:t xml:space="preserve"> </w:t>
      </w:r>
      <w:r w:rsidRPr="00BA4A3F">
        <w:t>conclude,</w:t>
      </w:r>
      <w:r w:rsidR="00C64050">
        <w:t xml:space="preserve"> </w:t>
      </w:r>
      <w:r w:rsidRPr="00BA4A3F">
        <w:t>however,</w:t>
      </w:r>
      <w:r w:rsidR="00C64050">
        <w:t xml:space="preserve"> </w:t>
      </w:r>
      <w:r w:rsidRPr="00BA4A3F">
        <w:t>that</w:t>
      </w:r>
      <w:r w:rsidR="00C64050">
        <w:t xml:space="preserve"> </w:t>
      </w:r>
      <w:r w:rsidRPr="00BA4A3F">
        <w:t>Mark</w:t>
      </w:r>
      <w:r w:rsidR="00C64050">
        <w:t xml:space="preserve"> </w:t>
      </w:r>
      <w:r w:rsidRPr="00BA4A3F">
        <w:t>did</w:t>
      </w:r>
      <w:r w:rsidR="00C64050">
        <w:t xml:space="preserve"> </w:t>
      </w:r>
      <w:r w:rsidRPr="00BA4A3F">
        <w:t>have</w:t>
      </w:r>
      <w:r w:rsidR="00C64050">
        <w:t xml:space="preserve"> </w:t>
      </w:r>
      <w:r w:rsidRPr="00BA4A3F">
        <w:t>a</w:t>
      </w:r>
      <w:r w:rsidR="00C64050">
        <w:t xml:space="preserve"> </w:t>
      </w:r>
      <w:r w:rsidRPr="00BA4A3F">
        <w:t>property</w:t>
      </w:r>
      <w:r w:rsidR="00C64050">
        <w:t xml:space="preserve"> </w:t>
      </w:r>
      <w:r w:rsidRPr="00BA4A3F">
        <w:t>interest</w:t>
      </w:r>
      <w:r w:rsidR="00C64050">
        <w:t xml:space="preserve"> </w:t>
      </w:r>
      <w:r w:rsidRPr="00BA4A3F">
        <w:t>in</w:t>
      </w:r>
      <w:r w:rsidR="00C64050">
        <w:t xml:space="preserve"> </w:t>
      </w:r>
      <w:r w:rsidRPr="00BA4A3F">
        <w:t>the</w:t>
      </w:r>
      <w:r w:rsidR="00C64050">
        <w:t xml:space="preserve"> </w:t>
      </w:r>
      <w:r w:rsidRPr="00BA4A3F">
        <w:t>trust</w:t>
      </w:r>
      <w:r w:rsidR="00C64050">
        <w:t xml:space="preserve"> </w:t>
      </w:r>
      <w:r w:rsidRPr="00BA4A3F">
        <w:t>in</w:t>
      </w:r>
      <w:r w:rsidR="00C64050">
        <w:t xml:space="preserve"> </w:t>
      </w:r>
      <w:r w:rsidRPr="00BA4A3F">
        <w:t>1991</w:t>
      </w:r>
      <w:r w:rsidR="00C64050">
        <w:t xml:space="preserve"> </w:t>
      </w:r>
      <w:r w:rsidRPr="00BA4A3F">
        <w:t>and</w:t>
      </w:r>
      <w:r w:rsidR="00C64050">
        <w:t xml:space="preserve"> </w:t>
      </w:r>
      <w:r w:rsidRPr="00BA4A3F">
        <w:t>that</w:t>
      </w:r>
      <w:r w:rsidR="00C64050">
        <w:t xml:space="preserve"> </w:t>
      </w:r>
      <w:r w:rsidRPr="00BA4A3F">
        <w:t>the</w:t>
      </w:r>
      <w:r w:rsidR="00C64050">
        <w:t xml:space="preserve"> </w:t>
      </w:r>
      <w:r w:rsidRPr="00BA4A3F">
        <w:t>1991</w:t>
      </w:r>
      <w:r w:rsidR="00C64050">
        <w:t xml:space="preserve"> </w:t>
      </w:r>
      <w:r w:rsidRPr="00BA4A3F">
        <w:t>Decree</w:t>
      </w:r>
      <w:r w:rsidR="00C64050">
        <w:t xml:space="preserve"> </w:t>
      </w:r>
      <w:r w:rsidRPr="00BA4A3F">
        <w:t>adversely</w:t>
      </w:r>
      <w:r w:rsidR="00C64050">
        <w:t xml:space="preserve"> </w:t>
      </w:r>
      <w:r w:rsidRPr="00BA4A3F">
        <w:t>affected</w:t>
      </w:r>
      <w:r w:rsidR="00C64050">
        <w:t xml:space="preserve"> </w:t>
      </w:r>
      <w:r w:rsidRPr="00BA4A3F">
        <w:t>his</w:t>
      </w:r>
      <w:r w:rsidR="00C64050">
        <w:t xml:space="preserve"> </w:t>
      </w:r>
      <w:r w:rsidRPr="00BA4A3F">
        <w:t>interest.</w:t>
      </w:r>
      <w:r w:rsidR="00C64050">
        <w:t xml:space="preserve"> </w:t>
      </w:r>
      <w:r w:rsidRPr="00BA4A3F">
        <w:t>Since</w:t>
      </w:r>
      <w:r w:rsidR="00C64050">
        <w:t xml:space="preserve"> </w:t>
      </w:r>
      <w:r w:rsidRPr="00BA4A3F">
        <w:t>it</w:t>
      </w:r>
      <w:r w:rsidR="00C64050">
        <w:t xml:space="preserve"> </w:t>
      </w:r>
      <w:r w:rsidRPr="00BA4A3F">
        <w:t>is</w:t>
      </w:r>
      <w:r w:rsidR="00C64050">
        <w:t xml:space="preserve"> </w:t>
      </w:r>
      <w:r w:rsidRPr="00BA4A3F">
        <w:t>not</w:t>
      </w:r>
      <w:r w:rsidR="00C64050">
        <w:t xml:space="preserve"> </w:t>
      </w:r>
      <w:r w:rsidRPr="00BA4A3F">
        <w:t>contested</w:t>
      </w:r>
      <w:r w:rsidR="00C64050">
        <w:t xml:space="preserve"> </w:t>
      </w:r>
      <w:r w:rsidRPr="00BA4A3F">
        <w:t>that</w:t>
      </w:r>
      <w:r w:rsidR="00C64050">
        <w:t xml:space="preserve"> </w:t>
      </w:r>
      <w:r w:rsidRPr="00BA4A3F">
        <w:t>Mark’s</w:t>
      </w:r>
      <w:r w:rsidR="00C64050">
        <w:t xml:space="preserve"> </w:t>
      </w:r>
      <w:r w:rsidRPr="00BA4A3F">
        <w:t>existence</w:t>
      </w:r>
      <w:r w:rsidR="00C64050">
        <w:t xml:space="preserve"> </w:t>
      </w:r>
      <w:r w:rsidRPr="00BA4A3F">
        <w:t>and</w:t>
      </w:r>
      <w:r w:rsidR="00C64050">
        <w:t xml:space="preserve"> </w:t>
      </w:r>
      <w:r w:rsidRPr="00BA4A3F">
        <w:t>address</w:t>
      </w:r>
      <w:r w:rsidR="00C64050">
        <w:t xml:space="preserve"> </w:t>
      </w:r>
      <w:r w:rsidRPr="00BA4A3F">
        <w:t>were</w:t>
      </w:r>
      <w:r w:rsidR="00C64050">
        <w:t xml:space="preserve"> </w:t>
      </w:r>
      <w:r w:rsidRPr="00BA4A3F">
        <w:t>reasonably</w:t>
      </w:r>
      <w:r w:rsidR="00C64050">
        <w:t xml:space="preserve"> </w:t>
      </w:r>
      <w:r w:rsidRPr="00BA4A3F">
        <w:t>ascertainable</w:t>
      </w:r>
      <w:r w:rsidR="00C64050">
        <w:t xml:space="preserve"> </w:t>
      </w:r>
      <w:r w:rsidRPr="00BA4A3F">
        <w:t>at</w:t>
      </w:r>
      <w:r w:rsidR="00C64050">
        <w:t xml:space="preserve"> </w:t>
      </w:r>
      <w:r w:rsidRPr="00BA4A3F">
        <w:t>the</w:t>
      </w:r>
      <w:r w:rsidR="00C64050">
        <w:t xml:space="preserve"> </w:t>
      </w:r>
      <w:r w:rsidRPr="00BA4A3F">
        <w:t>time,</w:t>
      </w:r>
      <w:r w:rsidR="00C64050">
        <w:t xml:space="preserve"> </w:t>
      </w:r>
      <w:r w:rsidRPr="00BA4A3F">
        <w:t>due</w:t>
      </w:r>
      <w:r w:rsidR="00C64050">
        <w:t xml:space="preserve"> </w:t>
      </w:r>
      <w:r w:rsidRPr="00BA4A3F">
        <w:t>process</w:t>
      </w:r>
      <w:r w:rsidR="00C64050">
        <w:t xml:space="preserve"> </w:t>
      </w:r>
      <w:r w:rsidRPr="00BA4A3F">
        <w:t>required</w:t>
      </w:r>
      <w:r w:rsidR="00C64050">
        <w:t xml:space="preserve"> </w:t>
      </w:r>
      <w:r w:rsidRPr="00BA4A3F">
        <w:t>that</w:t>
      </w:r>
      <w:r w:rsidR="00C64050">
        <w:t xml:space="preserve"> </w:t>
      </w:r>
      <w:r w:rsidRPr="00BA4A3F">
        <w:t>Mark</w:t>
      </w:r>
      <w:r w:rsidR="00C64050">
        <w:t xml:space="preserve"> </w:t>
      </w:r>
      <w:r w:rsidRPr="00BA4A3F">
        <w:t>be</w:t>
      </w:r>
      <w:r w:rsidR="00C64050">
        <w:t xml:space="preserve"> </w:t>
      </w:r>
      <w:r w:rsidRPr="00BA4A3F">
        <w:t>given</w:t>
      </w:r>
      <w:r w:rsidR="00C64050">
        <w:t xml:space="preserve"> </w:t>
      </w:r>
      <w:r w:rsidRPr="00BA4A3F">
        <w:t>notice</w:t>
      </w:r>
      <w:r w:rsidR="00C64050">
        <w:t xml:space="preserve"> </w:t>
      </w:r>
      <w:r w:rsidRPr="00BA4A3F">
        <w:t>of</w:t>
      </w:r>
      <w:r w:rsidR="00C64050">
        <w:t xml:space="preserve"> </w:t>
      </w:r>
      <w:r w:rsidRPr="00BA4A3F">
        <w:t>the</w:t>
      </w:r>
      <w:r w:rsidR="00C64050">
        <w:t xml:space="preserve"> </w:t>
      </w:r>
      <w:r w:rsidRPr="00BA4A3F">
        <w:t>proceeding</w:t>
      </w:r>
      <w:r w:rsidR="00C64050">
        <w:t xml:space="preserve"> </w:t>
      </w:r>
      <w:r w:rsidRPr="00BA4A3F">
        <w:t>that</w:t>
      </w:r>
      <w:r w:rsidR="00C64050">
        <w:t xml:space="preserve"> </w:t>
      </w:r>
      <w:r w:rsidRPr="00BA4A3F">
        <w:t>resulted</w:t>
      </w:r>
      <w:r w:rsidR="00C64050">
        <w:t xml:space="preserve"> </w:t>
      </w:r>
      <w:r w:rsidRPr="00BA4A3F">
        <w:t>in</w:t>
      </w:r>
      <w:r w:rsidR="00C64050">
        <w:t xml:space="preserve"> </w:t>
      </w:r>
      <w:r w:rsidRPr="00BA4A3F">
        <w:t>the</w:t>
      </w:r>
      <w:r w:rsidR="00C64050">
        <w:t xml:space="preserve"> </w:t>
      </w:r>
      <w:r w:rsidRPr="00BA4A3F">
        <w:t>1991</w:t>
      </w:r>
      <w:r w:rsidR="00C64050">
        <w:t xml:space="preserve"> </w:t>
      </w:r>
      <w:r w:rsidRPr="00BA4A3F">
        <w:t>Decree</w:t>
      </w:r>
      <w:r w:rsidR="00C64050">
        <w:t xml:space="preserve"> </w:t>
      </w:r>
      <w:r w:rsidRPr="00BA4A3F">
        <w:t>and</w:t>
      </w:r>
      <w:r w:rsidR="00C64050">
        <w:t xml:space="preserve"> </w:t>
      </w:r>
      <w:r w:rsidRPr="00BA4A3F">
        <w:t>an</w:t>
      </w:r>
      <w:r w:rsidR="00C64050">
        <w:t xml:space="preserve"> </w:t>
      </w:r>
      <w:r w:rsidRPr="00BA4A3F">
        <w:t>opportunity</w:t>
      </w:r>
      <w:r w:rsidR="00C64050">
        <w:t xml:space="preserve"> </w:t>
      </w:r>
      <w:r w:rsidRPr="00BA4A3F">
        <w:t>to</w:t>
      </w:r>
      <w:r w:rsidR="00C64050">
        <w:t xml:space="preserve"> </w:t>
      </w:r>
      <w:r w:rsidRPr="00BA4A3F">
        <w:t>object.</w:t>
      </w:r>
      <w:r w:rsidR="00C64050">
        <w:t xml:space="preserve"> </w:t>
      </w:r>
      <w:r w:rsidRPr="00BA4A3F">
        <w:t>Because</w:t>
      </w:r>
      <w:r w:rsidR="00C64050">
        <w:t xml:space="preserve"> </w:t>
      </w:r>
      <w:r w:rsidRPr="00BA4A3F">
        <w:t>Mark</w:t>
      </w:r>
      <w:r w:rsidR="00C64050">
        <w:t xml:space="preserve"> </w:t>
      </w:r>
      <w:r w:rsidRPr="00BA4A3F">
        <w:t>was</w:t>
      </w:r>
      <w:r w:rsidR="00C64050">
        <w:t xml:space="preserve"> </w:t>
      </w:r>
      <w:r w:rsidRPr="00BA4A3F">
        <w:t>not</w:t>
      </w:r>
      <w:r w:rsidR="00C64050">
        <w:t xml:space="preserve"> </w:t>
      </w:r>
      <w:r w:rsidRPr="00BA4A3F">
        <w:t>given</w:t>
      </w:r>
      <w:r w:rsidR="00C64050">
        <w:t xml:space="preserve"> </w:t>
      </w:r>
      <w:r w:rsidRPr="00BA4A3F">
        <w:t>such</w:t>
      </w:r>
      <w:r w:rsidR="00C64050">
        <w:t xml:space="preserve"> </w:t>
      </w:r>
      <w:r w:rsidRPr="00BA4A3F">
        <w:t>notice,</w:t>
      </w:r>
      <w:r w:rsidR="00C64050">
        <w:t xml:space="preserve"> </w:t>
      </w:r>
      <w:r w:rsidRPr="00BA4A3F">
        <w:t>the</w:t>
      </w:r>
      <w:r w:rsidR="00C64050">
        <w:t xml:space="preserve"> </w:t>
      </w:r>
      <w:r w:rsidRPr="00BA4A3F">
        <w:t>1991</w:t>
      </w:r>
      <w:r w:rsidR="00C64050">
        <w:t xml:space="preserve"> </w:t>
      </w:r>
      <w:r w:rsidRPr="00BA4A3F">
        <w:t>Decree</w:t>
      </w:r>
      <w:r w:rsidR="00C64050">
        <w:t xml:space="preserve"> </w:t>
      </w:r>
      <w:r w:rsidRPr="00BA4A3F">
        <w:t>is</w:t>
      </w:r>
      <w:r w:rsidR="00C64050">
        <w:t xml:space="preserve"> </w:t>
      </w:r>
      <w:r w:rsidRPr="00BA4A3F">
        <w:t>void.</w:t>
      </w:r>
      <w:r w:rsidR="00C64050">
        <w:t xml:space="preserve"> </w:t>
      </w:r>
      <w:r w:rsidRPr="00BA4A3F">
        <w:t>Accordingly,</w:t>
      </w:r>
      <w:r w:rsidR="00C64050">
        <w:t xml:space="preserve"> </w:t>
      </w:r>
      <w:r w:rsidRPr="00BA4A3F">
        <w:t>we</w:t>
      </w:r>
      <w:r w:rsidR="00C64050">
        <w:t xml:space="preserve"> </w:t>
      </w:r>
      <w:r w:rsidRPr="00BA4A3F">
        <w:t>reverse.</w:t>
      </w:r>
    </w:p>
    <w:p w:rsidR="00A95336" w:rsidRDefault="00BA4A3F" w:rsidP="005420BF">
      <w:pPr>
        <w:pStyle w:val="Body15"/>
      </w:pPr>
      <w:r>
        <w:t>[emphasis</w:t>
      </w:r>
      <w:r w:rsidR="00C64050">
        <w:t xml:space="preserve"> </w:t>
      </w:r>
      <w:r>
        <w:t>in</w:t>
      </w:r>
      <w:r w:rsidR="00C64050">
        <w:t xml:space="preserve"> </w:t>
      </w:r>
      <w:r>
        <w:t>original]</w:t>
      </w:r>
    </w:p>
    <w:p w:rsidR="00BA4A3F" w:rsidRDefault="00BA4A3F" w:rsidP="005420BF">
      <w:pPr>
        <w:pStyle w:val="Body15"/>
      </w:pPr>
      <w:r>
        <w:t>Why</w:t>
      </w:r>
      <w:r w:rsidR="00C64050">
        <w:t xml:space="preserve"> </w:t>
      </w:r>
      <w:r>
        <w:t>did</w:t>
      </w:r>
      <w:r w:rsidR="00C64050">
        <w:t xml:space="preserve"> </w:t>
      </w:r>
      <w:r>
        <w:t>the</w:t>
      </w:r>
      <w:r w:rsidR="00C64050">
        <w:t xml:space="preserve"> </w:t>
      </w:r>
      <w:r>
        <w:t>probate</w:t>
      </w:r>
      <w:r w:rsidR="00C64050">
        <w:t xml:space="preserve"> </w:t>
      </w:r>
      <w:r>
        <w:t>court</w:t>
      </w:r>
      <w:r w:rsidR="00C64050">
        <w:t xml:space="preserve"> </w:t>
      </w:r>
      <w:r>
        <w:t>believe</w:t>
      </w:r>
      <w:r w:rsidR="00C64050">
        <w:t xml:space="preserve"> </w:t>
      </w:r>
      <w:r>
        <w:t>Mark</w:t>
      </w:r>
      <w:r w:rsidR="00C64050">
        <w:t xml:space="preserve"> </w:t>
      </w:r>
      <w:r>
        <w:t>was</w:t>
      </w:r>
      <w:r w:rsidR="00C64050">
        <w:t xml:space="preserve"> </w:t>
      </w:r>
      <w:r>
        <w:t>not</w:t>
      </w:r>
      <w:r w:rsidR="00C64050">
        <w:t xml:space="preserve"> </w:t>
      </w:r>
      <w:r>
        <w:t>required</w:t>
      </w:r>
      <w:r w:rsidR="00C64050">
        <w:t xml:space="preserve"> </w:t>
      </w:r>
      <w:r>
        <w:t>to</w:t>
      </w:r>
      <w:r w:rsidR="00C64050">
        <w:t xml:space="preserve"> </w:t>
      </w:r>
      <w:r>
        <w:t>receive</w:t>
      </w:r>
      <w:r w:rsidR="00C64050">
        <w:t xml:space="preserve"> </w:t>
      </w:r>
      <w:r>
        <w:t>notice?</w:t>
      </w:r>
      <w:r w:rsidR="00C64050">
        <w:t xml:space="preserve">  </w:t>
      </w:r>
      <w:r>
        <w:t>Because</w:t>
      </w:r>
      <w:r w:rsidR="00C64050">
        <w:t xml:space="preserve"> </w:t>
      </w:r>
      <w:r>
        <w:t>Mark</w:t>
      </w:r>
      <w:r w:rsidR="00C64050">
        <w:t xml:space="preserve"> </w:t>
      </w:r>
      <w:r>
        <w:t>would</w:t>
      </w:r>
      <w:r w:rsidR="00C64050">
        <w:t xml:space="preserve"> </w:t>
      </w:r>
      <w:r>
        <w:t>not</w:t>
      </w:r>
      <w:r w:rsidR="00C64050">
        <w:t xml:space="preserve"> </w:t>
      </w:r>
      <w:r>
        <w:t>take</w:t>
      </w:r>
      <w:r w:rsidR="00C64050">
        <w:t xml:space="preserve"> </w:t>
      </w:r>
      <w:r>
        <w:t>unless</w:t>
      </w:r>
      <w:r w:rsidR="00C64050">
        <w:t xml:space="preserve"> </w:t>
      </w:r>
      <w:r>
        <w:t>at</w:t>
      </w:r>
      <w:r w:rsidR="00C64050">
        <w:t xml:space="preserve"> </w:t>
      </w:r>
      <w:r>
        <w:t>least</w:t>
      </w:r>
      <w:r w:rsidR="00C64050">
        <w:t xml:space="preserve"> </w:t>
      </w:r>
      <w:r>
        <w:t>two</w:t>
      </w:r>
      <w:r w:rsidR="00C64050">
        <w:t xml:space="preserve"> </w:t>
      </w:r>
      <w:r>
        <w:t>contingencies</w:t>
      </w:r>
      <w:r w:rsidR="00C64050">
        <w:t xml:space="preserve"> </w:t>
      </w:r>
      <w:r>
        <w:t>were</w:t>
      </w:r>
      <w:r w:rsidR="00C64050">
        <w:t xml:space="preserve"> </w:t>
      </w:r>
      <w:r>
        <w:t>met.</w:t>
      </w:r>
      <w:r w:rsidR="00C64050">
        <w:t xml:space="preserve">  </w:t>
      </w:r>
      <w:r>
        <w:t>The</w:t>
      </w:r>
      <w:r w:rsidR="00C64050">
        <w:t xml:space="preserve"> </w:t>
      </w:r>
      <w:r>
        <w:t>Court</w:t>
      </w:r>
      <w:r w:rsidR="00C64050">
        <w:t xml:space="preserve"> </w:t>
      </w:r>
      <w:r>
        <w:t>of</w:t>
      </w:r>
      <w:r w:rsidR="00C64050">
        <w:t xml:space="preserve"> </w:t>
      </w:r>
      <w:r>
        <w:t>Appeals</w:t>
      </w:r>
      <w:r w:rsidR="00C64050">
        <w:t xml:space="preserve"> </w:t>
      </w:r>
      <w:r>
        <w:t>summarizes</w:t>
      </w:r>
      <w:r w:rsidR="00C64050">
        <w:t xml:space="preserve"> </w:t>
      </w:r>
      <w:r>
        <w:t>Mark’s</w:t>
      </w:r>
      <w:r w:rsidR="00C64050">
        <w:t xml:space="preserve"> </w:t>
      </w:r>
      <w:r>
        <w:t>interest</w:t>
      </w:r>
      <w:r w:rsidR="00C64050">
        <w:t xml:space="preserve"> </w:t>
      </w:r>
      <w:r>
        <w:t>as</w:t>
      </w:r>
      <w:r w:rsidR="00C64050">
        <w:t xml:space="preserve"> </w:t>
      </w:r>
      <w:r>
        <w:t>follows:</w:t>
      </w:r>
    </w:p>
    <w:p w:rsidR="00BA4A3F" w:rsidRDefault="00C91D92" w:rsidP="00C91D92">
      <w:pPr>
        <w:pStyle w:val="QS10"/>
      </w:pPr>
      <w:r>
        <w:t>Mark’s</w:t>
      </w:r>
      <w:r w:rsidR="00C64050">
        <w:t xml:space="preserve"> </w:t>
      </w:r>
      <w:r>
        <w:t>property</w:t>
      </w:r>
      <w:r w:rsidR="00C64050">
        <w:t xml:space="preserve"> </w:t>
      </w:r>
      <w:r>
        <w:t>interest</w:t>
      </w:r>
      <w:r w:rsidR="00C64050">
        <w:t xml:space="preserve"> </w:t>
      </w:r>
      <w:r>
        <w:t>in</w:t>
      </w:r>
      <w:r w:rsidR="00C64050">
        <w:t xml:space="preserve"> </w:t>
      </w:r>
      <w:r>
        <w:t>the</w:t>
      </w:r>
      <w:r w:rsidR="00C64050">
        <w:t xml:space="preserve"> </w:t>
      </w:r>
      <w:r>
        <w:t>FYR</w:t>
      </w:r>
      <w:r w:rsidR="00C64050">
        <w:t xml:space="preserve"> </w:t>
      </w:r>
      <w:r>
        <w:t>Trust</w:t>
      </w:r>
      <w:r w:rsidR="00C64050">
        <w:t xml:space="preserve"> </w:t>
      </w:r>
      <w:r>
        <w:t>was</w:t>
      </w:r>
      <w:r w:rsidR="00C64050">
        <w:t xml:space="preserve"> </w:t>
      </w:r>
      <w:r>
        <w:t>contingent,</w:t>
      </w:r>
      <w:r w:rsidR="00C64050">
        <w:t xml:space="preserve"> </w:t>
      </w:r>
      <w:r>
        <w:t>not</w:t>
      </w:r>
      <w:r w:rsidR="00C64050">
        <w:t xml:space="preserve"> </w:t>
      </w:r>
      <w:r>
        <w:t>vested,</w:t>
      </w:r>
      <w:r w:rsidR="00C64050">
        <w:t xml:space="preserve"> </w:t>
      </w:r>
      <w:r>
        <w:t>because</w:t>
      </w:r>
      <w:r w:rsidR="00C64050">
        <w:t xml:space="preserve"> </w:t>
      </w:r>
      <w:r>
        <w:t>Mark</w:t>
      </w:r>
      <w:r w:rsidR="00C64050">
        <w:t xml:space="preserve"> </w:t>
      </w:r>
      <w:r>
        <w:t>would</w:t>
      </w:r>
      <w:r w:rsidR="00C64050">
        <w:t xml:space="preserve"> </w:t>
      </w:r>
      <w:r>
        <w:t>only</w:t>
      </w:r>
      <w:r w:rsidR="00C64050">
        <w:t xml:space="preserve"> </w:t>
      </w:r>
      <w:r>
        <w:t>take</w:t>
      </w:r>
      <w:r w:rsidR="00C64050">
        <w:t xml:space="preserve"> </w:t>
      </w:r>
      <w:r>
        <w:t>a</w:t>
      </w:r>
      <w:r w:rsidR="00C64050">
        <w:t xml:space="preserve"> </w:t>
      </w:r>
      <w:r>
        <w:t>share</w:t>
      </w:r>
      <w:r w:rsidR="00C64050">
        <w:t xml:space="preserve"> </w:t>
      </w:r>
      <w:r>
        <w:t>of</w:t>
      </w:r>
      <w:r w:rsidR="00C64050">
        <w:t xml:space="preserve"> </w:t>
      </w:r>
      <w:r>
        <w:t>the</w:t>
      </w:r>
      <w:r w:rsidR="00C64050">
        <w:t xml:space="preserve"> </w:t>
      </w:r>
      <w:r>
        <w:t>remainder</w:t>
      </w:r>
      <w:r w:rsidR="00C64050">
        <w:t xml:space="preserve"> </w:t>
      </w:r>
      <w:r>
        <w:t>if</w:t>
      </w:r>
      <w:r w:rsidR="00C64050">
        <w:t xml:space="preserve"> </w:t>
      </w:r>
      <w:r>
        <w:t>certain</w:t>
      </w:r>
      <w:r w:rsidR="00C64050">
        <w:t xml:space="preserve"> </w:t>
      </w:r>
      <w:r>
        <w:t>conditions</w:t>
      </w:r>
      <w:r w:rsidR="00C64050">
        <w:t xml:space="preserve"> </w:t>
      </w:r>
      <w:r>
        <w:t>precedent</w:t>
      </w:r>
      <w:r w:rsidR="00C64050">
        <w:t xml:space="preserve"> </w:t>
      </w:r>
      <w:r>
        <w:t>occurred:</w:t>
      </w:r>
      <w:r w:rsidR="00C64050">
        <w:t xml:space="preserve"> </w:t>
      </w:r>
      <w:r>
        <w:t>McKie</w:t>
      </w:r>
      <w:r w:rsidR="00C64050">
        <w:t xml:space="preserve"> </w:t>
      </w:r>
      <w:r>
        <w:t>Jr.</w:t>
      </w:r>
      <w:r w:rsidR="00C64050">
        <w:t xml:space="preserve"> </w:t>
      </w:r>
      <w:r>
        <w:t>had</w:t>
      </w:r>
      <w:r w:rsidR="00C64050">
        <w:t xml:space="preserve"> </w:t>
      </w:r>
      <w:r>
        <w:t>to</w:t>
      </w:r>
      <w:r w:rsidR="00C64050">
        <w:t xml:space="preserve"> </w:t>
      </w:r>
      <w:r>
        <w:t>predecease</w:t>
      </w:r>
      <w:r w:rsidR="00C64050">
        <w:t xml:space="preserve"> </w:t>
      </w:r>
      <w:r>
        <w:t>Yvonne</w:t>
      </w:r>
      <w:r w:rsidR="00C64050">
        <w:t xml:space="preserve"> </w:t>
      </w:r>
      <w:r>
        <w:t>(“not</w:t>
      </w:r>
      <w:r w:rsidR="00C64050">
        <w:t xml:space="preserve"> </w:t>
      </w:r>
      <w:r>
        <w:t>be</w:t>
      </w:r>
      <w:r w:rsidR="00C64050">
        <w:t xml:space="preserve"> </w:t>
      </w:r>
      <w:r>
        <w:t>then</w:t>
      </w:r>
      <w:r w:rsidR="00C64050">
        <w:t xml:space="preserve"> </w:t>
      </w:r>
      <w:r>
        <w:t>living”</w:t>
      </w:r>
      <w:r w:rsidR="00C64050">
        <w:t xml:space="preserve"> </w:t>
      </w:r>
      <w:r>
        <w:t>upon</w:t>
      </w:r>
      <w:r w:rsidR="00C64050">
        <w:t xml:space="preserve"> </w:t>
      </w:r>
      <w:r>
        <w:t>Yvonne’s</w:t>
      </w:r>
      <w:r w:rsidR="00C64050">
        <w:t xml:space="preserve"> </w:t>
      </w:r>
      <w:r>
        <w:t>death)</w:t>
      </w:r>
      <w:r w:rsidR="00C64050">
        <w:t xml:space="preserve"> </w:t>
      </w:r>
      <w:r>
        <w:t>and</w:t>
      </w:r>
      <w:r w:rsidR="00C64050">
        <w:t xml:space="preserve"> </w:t>
      </w:r>
      <w:r>
        <w:t>Mark</w:t>
      </w:r>
      <w:r w:rsidR="00C64050">
        <w:t xml:space="preserve"> </w:t>
      </w:r>
      <w:r>
        <w:t>had</w:t>
      </w:r>
      <w:r w:rsidR="00C64050">
        <w:t xml:space="preserve"> </w:t>
      </w:r>
      <w:r>
        <w:t>to</w:t>
      </w:r>
      <w:r w:rsidR="00C64050">
        <w:t xml:space="preserve"> </w:t>
      </w:r>
      <w:r>
        <w:t>survive</w:t>
      </w:r>
      <w:r w:rsidR="00C64050">
        <w:t xml:space="preserve"> </w:t>
      </w:r>
      <w:r>
        <w:t>McKie</w:t>
      </w:r>
      <w:r w:rsidR="00C64050">
        <w:t xml:space="preserve"> </w:t>
      </w:r>
      <w:r>
        <w:t>Jr.</w:t>
      </w:r>
      <w:r w:rsidR="00C64050">
        <w:t xml:space="preserve"> </w:t>
      </w:r>
      <w:r>
        <w:t>(“leave</w:t>
      </w:r>
      <w:r w:rsidR="00C64050">
        <w:t xml:space="preserve"> </w:t>
      </w:r>
      <w:r>
        <w:t>issue</w:t>
      </w:r>
      <w:r w:rsidR="00C64050">
        <w:t xml:space="preserve"> </w:t>
      </w:r>
      <w:r>
        <w:t>surviving</w:t>
      </w:r>
      <w:r w:rsidR="00C64050">
        <w:t xml:space="preserve"> </w:t>
      </w:r>
      <w:r>
        <w:t>them”).</w:t>
      </w:r>
      <w:r w:rsidR="00C64050">
        <w:t xml:space="preserve"> </w:t>
      </w:r>
      <w:r>
        <w:t>Further,</w:t>
      </w:r>
      <w:r w:rsidR="00C64050">
        <w:t xml:space="preserve"> </w:t>
      </w:r>
      <w:r>
        <w:t>there</w:t>
      </w:r>
      <w:r w:rsidR="00C64050">
        <w:t xml:space="preserve"> </w:t>
      </w:r>
      <w:r>
        <w:t>had</w:t>
      </w:r>
      <w:r w:rsidR="00C64050">
        <w:t xml:space="preserve"> </w:t>
      </w:r>
      <w:r>
        <w:t>to</w:t>
      </w:r>
      <w:r w:rsidR="00C64050">
        <w:t xml:space="preserve"> </w:t>
      </w:r>
      <w:r>
        <w:t>be</w:t>
      </w:r>
      <w:r w:rsidR="00C64050">
        <w:t xml:space="preserve"> </w:t>
      </w:r>
      <w:r>
        <w:t>some</w:t>
      </w:r>
      <w:r w:rsidR="00C64050">
        <w:t xml:space="preserve"> </w:t>
      </w:r>
      <w:r>
        <w:t>balance</w:t>
      </w:r>
      <w:r w:rsidR="00C64050">
        <w:t xml:space="preserve"> </w:t>
      </w:r>
      <w:r>
        <w:t>left</w:t>
      </w:r>
      <w:r w:rsidR="00C64050">
        <w:t xml:space="preserve"> </w:t>
      </w:r>
      <w:r>
        <w:t>in</w:t>
      </w:r>
      <w:r w:rsidR="00C64050">
        <w:t xml:space="preserve"> </w:t>
      </w:r>
      <w:r>
        <w:t>the</w:t>
      </w:r>
      <w:r w:rsidR="00C64050">
        <w:t xml:space="preserve"> </w:t>
      </w:r>
      <w:r>
        <w:t>trust</w:t>
      </w:r>
      <w:r w:rsidR="00C64050">
        <w:t xml:space="preserve"> </w:t>
      </w:r>
      <w:r>
        <w:t>at</w:t>
      </w:r>
      <w:r w:rsidR="00C64050">
        <w:t xml:space="preserve"> </w:t>
      </w:r>
      <w:r>
        <w:t>its</w:t>
      </w:r>
      <w:r w:rsidR="00C64050">
        <w:t xml:space="preserve"> </w:t>
      </w:r>
      <w:r>
        <w:t>termination</w:t>
      </w:r>
      <w:r w:rsidR="00C64050">
        <w:t xml:space="preserve"> </w:t>
      </w:r>
      <w:r>
        <w:t>and</w:t>
      </w:r>
      <w:r w:rsidR="00C64050">
        <w:t xml:space="preserve"> </w:t>
      </w:r>
      <w:r>
        <w:t>Yvonne</w:t>
      </w:r>
      <w:r w:rsidR="00C64050">
        <w:t xml:space="preserve"> </w:t>
      </w:r>
      <w:r>
        <w:t>had</w:t>
      </w:r>
      <w:r w:rsidR="00C64050">
        <w:t xml:space="preserve"> </w:t>
      </w:r>
      <w:r>
        <w:t>to</w:t>
      </w:r>
      <w:r w:rsidR="00C64050">
        <w:t xml:space="preserve"> </w:t>
      </w:r>
      <w:r>
        <w:t>refrain</w:t>
      </w:r>
      <w:r w:rsidR="00C64050">
        <w:t xml:space="preserve"> </w:t>
      </w:r>
      <w:r>
        <w:t>from</w:t>
      </w:r>
      <w:r w:rsidR="00C64050">
        <w:t xml:space="preserve"> </w:t>
      </w:r>
      <w:r>
        <w:t>using</w:t>
      </w:r>
      <w:r w:rsidR="00C64050">
        <w:t xml:space="preserve"> </w:t>
      </w:r>
      <w:r>
        <w:t>her</w:t>
      </w:r>
      <w:r w:rsidR="00C64050">
        <w:t xml:space="preserve"> </w:t>
      </w:r>
      <w:r>
        <w:t>testamentary</w:t>
      </w:r>
      <w:r w:rsidR="00C64050">
        <w:t xml:space="preserve"> </w:t>
      </w:r>
      <w:r>
        <w:t>power</w:t>
      </w:r>
      <w:r w:rsidR="00C64050">
        <w:t xml:space="preserve"> </w:t>
      </w:r>
      <w:r>
        <w:t>of</w:t>
      </w:r>
      <w:r w:rsidR="00C64050">
        <w:t xml:space="preserve"> </w:t>
      </w:r>
      <w:r>
        <w:t>appointment.</w:t>
      </w:r>
      <w:r w:rsidR="00C64050">
        <w:t xml:space="preserve"> </w:t>
      </w:r>
      <w:r>
        <w:t>Mark’s</w:t>
      </w:r>
      <w:r w:rsidR="00C64050">
        <w:t xml:space="preserve"> </w:t>
      </w:r>
      <w:r>
        <w:t>interest</w:t>
      </w:r>
      <w:r w:rsidR="00C64050">
        <w:t xml:space="preserve"> </w:t>
      </w:r>
      <w:r>
        <w:t>was</w:t>
      </w:r>
      <w:r w:rsidR="00C64050">
        <w:t xml:space="preserve"> </w:t>
      </w:r>
      <w:r>
        <w:t>future,</w:t>
      </w:r>
      <w:r w:rsidR="00C64050">
        <w:t xml:space="preserve"> </w:t>
      </w:r>
      <w:r>
        <w:t>not</w:t>
      </w:r>
      <w:r w:rsidR="00C64050">
        <w:t xml:space="preserve"> </w:t>
      </w:r>
      <w:r>
        <w:t>present,</w:t>
      </w:r>
      <w:r w:rsidR="00C64050">
        <w:t xml:space="preserve"> </w:t>
      </w:r>
      <w:r>
        <w:t>because</w:t>
      </w:r>
      <w:r w:rsidR="00C64050">
        <w:t xml:space="preserve"> </w:t>
      </w:r>
      <w:r>
        <w:t>he</w:t>
      </w:r>
      <w:r w:rsidR="00C64050">
        <w:t xml:space="preserve"> </w:t>
      </w:r>
      <w:r>
        <w:t>could</w:t>
      </w:r>
      <w:r w:rsidR="00C64050">
        <w:t xml:space="preserve"> </w:t>
      </w:r>
      <w:r>
        <w:t>only</w:t>
      </w:r>
      <w:r w:rsidR="00C64050">
        <w:t xml:space="preserve"> </w:t>
      </w:r>
      <w:r>
        <w:t>take</w:t>
      </w:r>
      <w:r w:rsidR="00C64050">
        <w:t xml:space="preserve"> </w:t>
      </w:r>
      <w:r>
        <w:t>a</w:t>
      </w:r>
      <w:r w:rsidR="00C64050">
        <w:t xml:space="preserve"> </w:t>
      </w:r>
      <w:r>
        <w:t>share</w:t>
      </w:r>
      <w:r w:rsidR="00C64050">
        <w:t xml:space="preserve"> </w:t>
      </w:r>
      <w:r>
        <w:t>of</w:t>
      </w:r>
      <w:r w:rsidR="00C64050">
        <w:t xml:space="preserve"> </w:t>
      </w:r>
      <w:r>
        <w:t>the</w:t>
      </w:r>
      <w:r w:rsidR="00C64050">
        <w:t xml:space="preserve"> </w:t>
      </w:r>
      <w:r>
        <w:t>remainder</w:t>
      </w:r>
      <w:r w:rsidR="00C64050">
        <w:t xml:space="preserve"> </w:t>
      </w:r>
      <w:r>
        <w:t>upon</w:t>
      </w:r>
      <w:r w:rsidR="00C64050">
        <w:t xml:space="preserve"> </w:t>
      </w:r>
      <w:r>
        <w:t>Yvonne’s</w:t>
      </w:r>
      <w:r w:rsidR="00C64050">
        <w:t xml:space="preserve"> </w:t>
      </w:r>
      <w:r>
        <w:t>death</w:t>
      </w:r>
      <w:r w:rsidR="00C64050">
        <w:t xml:space="preserve"> </w:t>
      </w:r>
      <w:r>
        <w:t>in</w:t>
      </w:r>
      <w:r w:rsidR="00C64050">
        <w:t xml:space="preserve"> </w:t>
      </w:r>
      <w:r>
        <w:t>the</w:t>
      </w:r>
      <w:r w:rsidR="00C64050">
        <w:t xml:space="preserve"> </w:t>
      </w:r>
      <w:r>
        <w:t>future.</w:t>
      </w:r>
    </w:p>
    <w:p w:rsidR="00BA4A3F" w:rsidRDefault="00BA4A3F" w:rsidP="005420BF">
      <w:pPr>
        <w:pStyle w:val="Body15"/>
      </w:pPr>
      <w:r>
        <w:t>But</w:t>
      </w:r>
      <w:r w:rsidR="00C64050">
        <w:t xml:space="preserve"> </w:t>
      </w:r>
      <w:r>
        <w:t>reaches</w:t>
      </w:r>
      <w:r w:rsidR="00C64050">
        <w:t xml:space="preserve"> </w:t>
      </w:r>
      <w:r>
        <w:t>the</w:t>
      </w:r>
      <w:r w:rsidR="00C64050">
        <w:t xml:space="preserve"> </w:t>
      </w:r>
      <w:r>
        <w:t>opposite</w:t>
      </w:r>
      <w:r w:rsidR="00C64050">
        <w:t xml:space="preserve"> </w:t>
      </w:r>
      <w:r>
        <w:t>conclusion</w:t>
      </w:r>
      <w:r w:rsidR="00D320B1">
        <w:t xml:space="preserve"> from the probate court</w:t>
      </w:r>
      <w:r>
        <w:t>:</w:t>
      </w:r>
    </w:p>
    <w:p w:rsidR="00BA4A3F" w:rsidRPr="00C91D92" w:rsidRDefault="00C91D92" w:rsidP="00C91D92">
      <w:pPr>
        <w:pStyle w:val="QS10"/>
        <w:rPr>
          <w:szCs w:val="20"/>
        </w:rPr>
      </w:pPr>
      <w:r w:rsidRPr="00C91D92">
        <w:rPr>
          <w:szCs w:val="20"/>
        </w:rPr>
        <w:t>But</w:t>
      </w:r>
      <w:r w:rsidR="00C64050">
        <w:rPr>
          <w:szCs w:val="20"/>
        </w:rPr>
        <w:t xml:space="preserve"> </w:t>
      </w:r>
      <w:r w:rsidRPr="00C91D92">
        <w:rPr>
          <w:szCs w:val="20"/>
        </w:rPr>
        <w:t>we</w:t>
      </w:r>
      <w:r w:rsidR="00C64050">
        <w:rPr>
          <w:szCs w:val="20"/>
        </w:rPr>
        <w:t xml:space="preserve"> </w:t>
      </w:r>
      <w:r w:rsidRPr="00C91D92">
        <w:rPr>
          <w:szCs w:val="20"/>
        </w:rPr>
        <w:t>reject</w:t>
      </w:r>
      <w:r w:rsidR="00C64050">
        <w:rPr>
          <w:szCs w:val="20"/>
        </w:rPr>
        <w:t xml:space="preserve"> </w:t>
      </w:r>
      <w:r w:rsidRPr="00C91D92">
        <w:rPr>
          <w:szCs w:val="20"/>
        </w:rPr>
        <w:t>the</w:t>
      </w:r>
      <w:r w:rsidR="00C64050">
        <w:rPr>
          <w:szCs w:val="20"/>
        </w:rPr>
        <w:t xml:space="preserve"> </w:t>
      </w:r>
      <w:r w:rsidRPr="00C91D92">
        <w:rPr>
          <w:szCs w:val="20"/>
        </w:rPr>
        <w:t>probate</w:t>
      </w:r>
      <w:r w:rsidR="00C64050">
        <w:rPr>
          <w:szCs w:val="20"/>
        </w:rPr>
        <w:t xml:space="preserve"> </w:t>
      </w:r>
      <w:r w:rsidRPr="00C91D92">
        <w:rPr>
          <w:szCs w:val="20"/>
        </w:rPr>
        <w:t>court’s</w:t>
      </w:r>
      <w:r w:rsidR="00C64050">
        <w:rPr>
          <w:szCs w:val="20"/>
        </w:rPr>
        <w:t xml:space="preserve"> </w:t>
      </w:r>
      <w:r w:rsidRPr="00C91D92">
        <w:rPr>
          <w:szCs w:val="20"/>
        </w:rPr>
        <w:t>determination</w:t>
      </w:r>
      <w:r w:rsidR="00C64050">
        <w:rPr>
          <w:szCs w:val="20"/>
        </w:rPr>
        <w:t xml:space="preserve"> </w:t>
      </w:r>
      <w:r w:rsidRPr="00C91D92">
        <w:rPr>
          <w:szCs w:val="20"/>
        </w:rPr>
        <w:t>that</w:t>
      </w:r>
      <w:r w:rsidR="00C64050">
        <w:rPr>
          <w:szCs w:val="20"/>
        </w:rPr>
        <w:t xml:space="preserve"> </w:t>
      </w:r>
      <w:r w:rsidRPr="00C91D92">
        <w:rPr>
          <w:szCs w:val="20"/>
        </w:rPr>
        <w:t>Mark</w:t>
      </w:r>
      <w:r w:rsidR="00C64050">
        <w:rPr>
          <w:szCs w:val="20"/>
        </w:rPr>
        <w:t xml:space="preserve"> </w:t>
      </w:r>
      <w:r w:rsidRPr="00C91D92">
        <w:rPr>
          <w:szCs w:val="20"/>
        </w:rPr>
        <w:t>“had</w:t>
      </w:r>
      <w:r w:rsidR="00C64050">
        <w:rPr>
          <w:szCs w:val="20"/>
        </w:rPr>
        <w:t xml:space="preserve"> </w:t>
      </w:r>
      <w:r w:rsidRPr="00C91D92">
        <w:rPr>
          <w:szCs w:val="20"/>
        </w:rPr>
        <w:t>no</w:t>
      </w:r>
      <w:r w:rsidR="00C64050">
        <w:rPr>
          <w:szCs w:val="20"/>
        </w:rPr>
        <w:t xml:space="preserve"> </w:t>
      </w:r>
      <w:r w:rsidRPr="00C91D92">
        <w:rPr>
          <w:szCs w:val="20"/>
        </w:rPr>
        <w:t>more</w:t>
      </w:r>
      <w:r w:rsidR="00C64050">
        <w:rPr>
          <w:szCs w:val="20"/>
        </w:rPr>
        <w:t xml:space="preserve"> </w:t>
      </w:r>
      <w:r w:rsidRPr="00C91D92">
        <w:rPr>
          <w:szCs w:val="20"/>
        </w:rPr>
        <w:t>than</w:t>
      </w:r>
      <w:r w:rsidR="00C64050">
        <w:rPr>
          <w:szCs w:val="20"/>
        </w:rPr>
        <w:t xml:space="preserve"> </w:t>
      </w:r>
      <w:r w:rsidRPr="00C91D92">
        <w:rPr>
          <w:szCs w:val="20"/>
        </w:rPr>
        <w:t>a</w:t>
      </w:r>
      <w:r w:rsidR="00C64050">
        <w:rPr>
          <w:szCs w:val="20"/>
        </w:rPr>
        <w:t xml:space="preserve"> </w:t>
      </w:r>
      <w:r w:rsidRPr="00C91D92">
        <w:rPr>
          <w:szCs w:val="20"/>
        </w:rPr>
        <w:t>unilateral</w:t>
      </w:r>
      <w:r w:rsidR="00C64050">
        <w:rPr>
          <w:szCs w:val="20"/>
        </w:rPr>
        <w:t xml:space="preserve"> </w:t>
      </w:r>
      <w:r w:rsidRPr="00C91D92">
        <w:rPr>
          <w:szCs w:val="20"/>
        </w:rPr>
        <w:t>expectation</w:t>
      </w:r>
      <w:r w:rsidR="00C64050">
        <w:rPr>
          <w:szCs w:val="20"/>
        </w:rPr>
        <w:t xml:space="preserve"> </w:t>
      </w:r>
      <w:r w:rsidRPr="00C91D92">
        <w:rPr>
          <w:szCs w:val="20"/>
        </w:rPr>
        <w:t>to</w:t>
      </w:r>
      <w:r w:rsidR="00C64050">
        <w:rPr>
          <w:szCs w:val="20"/>
        </w:rPr>
        <w:t xml:space="preserve"> </w:t>
      </w:r>
      <w:r w:rsidRPr="00C91D92">
        <w:rPr>
          <w:szCs w:val="20"/>
        </w:rPr>
        <w:t>a</w:t>
      </w:r>
      <w:r w:rsidR="00C64050">
        <w:rPr>
          <w:szCs w:val="20"/>
        </w:rPr>
        <w:t xml:space="preserve"> </w:t>
      </w:r>
      <w:r w:rsidRPr="00C91D92">
        <w:rPr>
          <w:szCs w:val="20"/>
        </w:rPr>
        <w:t>share</w:t>
      </w:r>
      <w:r w:rsidR="00C64050">
        <w:rPr>
          <w:szCs w:val="20"/>
        </w:rPr>
        <w:t xml:space="preserve"> </w:t>
      </w:r>
      <w:r w:rsidRPr="00C91D92">
        <w:rPr>
          <w:szCs w:val="20"/>
        </w:rPr>
        <w:t>of</w:t>
      </w:r>
      <w:r w:rsidR="00C64050">
        <w:rPr>
          <w:szCs w:val="20"/>
        </w:rPr>
        <w:t xml:space="preserve"> </w:t>
      </w:r>
      <w:r w:rsidRPr="00C91D92">
        <w:rPr>
          <w:szCs w:val="20"/>
        </w:rPr>
        <w:t>the</w:t>
      </w:r>
      <w:r w:rsidR="00C64050">
        <w:rPr>
          <w:szCs w:val="20"/>
        </w:rPr>
        <w:t xml:space="preserve"> </w:t>
      </w:r>
      <w:r w:rsidRPr="00C91D92">
        <w:rPr>
          <w:szCs w:val="20"/>
        </w:rPr>
        <w:t>[FYR]</w:t>
      </w:r>
      <w:r w:rsidR="00C64050">
        <w:rPr>
          <w:szCs w:val="20"/>
        </w:rPr>
        <w:t xml:space="preserve"> </w:t>
      </w:r>
      <w:r w:rsidRPr="00C91D92">
        <w:rPr>
          <w:szCs w:val="20"/>
        </w:rPr>
        <w:t>Trust.”</w:t>
      </w:r>
      <w:r w:rsidR="00C64050">
        <w:rPr>
          <w:szCs w:val="20"/>
        </w:rPr>
        <w:t xml:space="preserve"> </w:t>
      </w:r>
      <w:r w:rsidRPr="00C91D92">
        <w:rPr>
          <w:szCs w:val="20"/>
        </w:rPr>
        <w:t>Mark</w:t>
      </w:r>
      <w:r w:rsidR="00C64050">
        <w:rPr>
          <w:szCs w:val="20"/>
        </w:rPr>
        <w:t xml:space="preserve"> </w:t>
      </w:r>
      <w:r w:rsidRPr="00C91D92">
        <w:rPr>
          <w:szCs w:val="20"/>
        </w:rPr>
        <w:t>had</w:t>
      </w:r>
      <w:r w:rsidR="00C64050">
        <w:rPr>
          <w:szCs w:val="20"/>
        </w:rPr>
        <w:t xml:space="preserve"> </w:t>
      </w:r>
      <w:r w:rsidRPr="00C91D92">
        <w:rPr>
          <w:szCs w:val="20"/>
        </w:rPr>
        <w:t>an</w:t>
      </w:r>
      <w:r w:rsidR="00C64050">
        <w:rPr>
          <w:szCs w:val="20"/>
        </w:rPr>
        <w:t xml:space="preserve"> </w:t>
      </w:r>
      <w:r w:rsidRPr="00C91D92">
        <w:rPr>
          <w:szCs w:val="20"/>
        </w:rPr>
        <w:t>actual</w:t>
      </w:r>
      <w:r w:rsidR="00C64050">
        <w:rPr>
          <w:szCs w:val="20"/>
        </w:rPr>
        <w:t xml:space="preserve"> </w:t>
      </w:r>
      <w:r w:rsidRPr="00C91D92">
        <w:rPr>
          <w:szCs w:val="20"/>
        </w:rPr>
        <w:t>property</w:t>
      </w:r>
      <w:r w:rsidR="00C64050">
        <w:rPr>
          <w:szCs w:val="20"/>
        </w:rPr>
        <w:t xml:space="preserve"> </w:t>
      </w:r>
      <w:r w:rsidRPr="00C91D92">
        <w:rPr>
          <w:szCs w:val="20"/>
        </w:rPr>
        <w:t>interest</w:t>
      </w:r>
      <w:r w:rsidR="00C64050">
        <w:rPr>
          <w:szCs w:val="20"/>
        </w:rPr>
        <w:t xml:space="preserve"> </w:t>
      </w:r>
      <w:r w:rsidRPr="00C91D92">
        <w:rPr>
          <w:szCs w:val="20"/>
        </w:rPr>
        <w:t>in</w:t>
      </w:r>
      <w:r w:rsidR="00C64050">
        <w:rPr>
          <w:szCs w:val="20"/>
        </w:rPr>
        <w:t xml:space="preserve"> </w:t>
      </w:r>
      <w:r w:rsidRPr="00C91D92">
        <w:rPr>
          <w:szCs w:val="20"/>
        </w:rPr>
        <w:t>the</w:t>
      </w:r>
      <w:r w:rsidR="00C64050">
        <w:rPr>
          <w:szCs w:val="20"/>
        </w:rPr>
        <w:t xml:space="preserve"> </w:t>
      </w:r>
      <w:r w:rsidRPr="00C91D92">
        <w:rPr>
          <w:szCs w:val="20"/>
        </w:rPr>
        <w:t>trust</w:t>
      </w:r>
      <w:r w:rsidR="00C64050">
        <w:rPr>
          <w:szCs w:val="20"/>
        </w:rPr>
        <w:t xml:space="preserve"> </w:t>
      </w:r>
      <w:r w:rsidRPr="00C91D92">
        <w:rPr>
          <w:szCs w:val="20"/>
        </w:rPr>
        <w:t>as</w:t>
      </w:r>
      <w:r w:rsidR="00C64050">
        <w:rPr>
          <w:szCs w:val="20"/>
        </w:rPr>
        <w:t xml:space="preserve"> </w:t>
      </w:r>
      <w:r w:rsidRPr="00C91D92">
        <w:rPr>
          <w:szCs w:val="20"/>
        </w:rPr>
        <w:t>set</w:t>
      </w:r>
      <w:r w:rsidR="00C64050">
        <w:rPr>
          <w:szCs w:val="20"/>
        </w:rPr>
        <w:t xml:space="preserve"> </w:t>
      </w:r>
      <w:r w:rsidRPr="00C91D92">
        <w:rPr>
          <w:szCs w:val="20"/>
        </w:rPr>
        <w:t>forth</w:t>
      </w:r>
      <w:r w:rsidR="00C64050">
        <w:rPr>
          <w:szCs w:val="20"/>
        </w:rPr>
        <w:t xml:space="preserve"> </w:t>
      </w:r>
      <w:r w:rsidRPr="00C91D92">
        <w:rPr>
          <w:szCs w:val="20"/>
        </w:rPr>
        <w:t>in</w:t>
      </w:r>
      <w:r w:rsidR="00C64050">
        <w:rPr>
          <w:szCs w:val="20"/>
        </w:rPr>
        <w:t xml:space="preserve"> </w:t>
      </w:r>
      <w:r w:rsidRPr="00C91D92">
        <w:rPr>
          <w:szCs w:val="20"/>
        </w:rPr>
        <w:t>the</w:t>
      </w:r>
      <w:r w:rsidR="00C64050">
        <w:rPr>
          <w:szCs w:val="20"/>
        </w:rPr>
        <w:t xml:space="preserve"> </w:t>
      </w:r>
      <w:r w:rsidRPr="00C91D92">
        <w:rPr>
          <w:szCs w:val="20"/>
        </w:rPr>
        <w:t>MWR</w:t>
      </w:r>
      <w:r w:rsidR="00C64050">
        <w:rPr>
          <w:szCs w:val="20"/>
        </w:rPr>
        <w:t xml:space="preserve"> </w:t>
      </w:r>
      <w:r w:rsidRPr="00C91D92">
        <w:rPr>
          <w:szCs w:val="20"/>
        </w:rPr>
        <w:t>Will.</w:t>
      </w:r>
      <w:r w:rsidR="00C64050">
        <w:rPr>
          <w:szCs w:val="20"/>
        </w:rPr>
        <w:t xml:space="preserve"> </w:t>
      </w:r>
      <w:r w:rsidRPr="00C91D92">
        <w:rPr>
          <w:szCs w:val="20"/>
        </w:rPr>
        <w:t>Mark’s</w:t>
      </w:r>
      <w:r w:rsidR="00C64050">
        <w:rPr>
          <w:szCs w:val="20"/>
        </w:rPr>
        <w:t xml:space="preserve"> </w:t>
      </w:r>
      <w:r w:rsidRPr="00C91D92">
        <w:rPr>
          <w:szCs w:val="20"/>
        </w:rPr>
        <w:t>property</w:t>
      </w:r>
      <w:r w:rsidR="00C64050">
        <w:rPr>
          <w:szCs w:val="20"/>
        </w:rPr>
        <w:t xml:space="preserve"> </w:t>
      </w:r>
      <w:r w:rsidRPr="00C91D92">
        <w:rPr>
          <w:szCs w:val="20"/>
        </w:rPr>
        <w:t>interest</w:t>
      </w:r>
      <w:r w:rsidR="00C64050">
        <w:rPr>
          <w:szCs w:val="20"/>
        </w:rPr>
        <w:t xml:space="preserve"> </w:t>
      </w:r>
      <w:r w:rsidRPr="00C91D92">
        <w:rPr>
          <w:szCs w:val="20"/>
        </w:rPr>
        <w:t>was</w:t>
      </w:r>
      <w:r w:rsidR="00C64050">
        <w:rPr>
          <w:szCs w:val="20"/>
        </w:rPr>
        <w:t xml:space="preserve"> </w:t>
      </w:r>
      <w:r w:rsidRPr="00C91D92">
        <w:rPr>
          <w:szCs w:val="20"/>
        </w:rPr>
        <w:t>contingent</w:t>
      </w:r>
      <w:r w:rsidR="00C64050">
        <w:rPr>
          <w:szCs w:val="20"/>
        </w:rPr>
        <w:t xml:space="preserve"> </w:t>
      </w:r>
      <w:r w:rsidRPr="00C91D92">
        <w:rPr>
          <w:szCs w:val="20"/>
        </w:rPr>
        <w:t>and</w:t>
      </w:r>
      <w:r w:rsidR="00C64050">
        <w:rPr>
          <w:szCs w:val="20"/>
        </w:rPr>
        <w:t xml:space="preserve"> </w:t>
      </w:r>
      <w:r w:rsidRPr="00C91D92">
        <w:rPr>
          <w:szCs w:val="20"/>
        </w:rPr>
        <w:t>subject</w:t>
      </w:r>
      <w:r w:rsidR="00C64050">
        <w:rPr>
          <w:szCs w:val="20"/>
        </w:rPr>
        <w:t xml:space="preserve"> </w:t>
      </w:r>
      <w:r w:rsidRPr="00C91D92">
        <w:rPr>
          <w:szCs w:val="20"/>
        </w:rPr>
        <w:t>to</w:t>
      </w:r>
      <w:r w:rsidR="00C64050">
        <w:rPr>
          <w:szCs w:val="20"/>
        </w:rPr>
        <w:t xml:space="preserve"> </w:t>
      </w:r>
      <w:r w:rsidRPr="00C91D92">
        <w:rPr>
          <w:szCs w:val="20"/>
        </w:rPr>
        <w:t>divestiture</w:t>
      </w:r>
      <w:r w:rsidR="00C64050">
        <w:rPr>
          <w:szCs w:val="20"/>
        </w:rPr>
        <w:t xml:space="preserve"> </w:t>
      </w:r>
      <w:r w:rsidRPr="00C91D92">
        <w:rPr>
          <w:szCs w:val="20"/>
        </w:rPr>
        <w:t>if</w:t>
      </w:r>
      <w:r w:rsidR="00C64050">
        <w:rPr>
          <w:szCs w:val="20"/>
        </w:rPr>
        <w:t xml:space="preserve"> </w:t>
      </w:r>
      <w:r w:rsidRPr="00C91D92">
        <w:rPr>
          <w:szCs w:val="20"/>
        </w:rPr>
        <w:t>Yvonne</w:t>
      </w:r>
      <w:r w:rsidR="00C64050">
        <w:rPr>
          <w:szCs w:val="20"/>
        </w:rPr>
        <w:t xml:space="preserve"> </w:t>
      </w:r>
      <w:r w:rsidRPr="00C91D92">
        <w:rPr>
          <w:szCs w:val="20"/>
        </w:rPr>
        <w:t>exercised</w:t>
      </w:r>
      <w:r w:rsidR="00C64050">
        <w:rPr>
          <w:szCs w:val="20"/>
        </w:rPr>
        <w:t xml:space="preserve"> </w:t>
      </w:r>
      <w:r w:rsidRPr="00C91D92">
        <w:rPr>
          <w:szCs w:val="20"/>
        </w:rPr>
        <w:t>her</w:t>
      </w:r>
      <w:r w:rsidR="00C64050">
        <w:rPr>
          <w:szCs w:val="20"/>
        </w:rPr>
        <w:t xml:space="preserve"> </w:t>
      </w:r>
      <w:r w:rsidRPr="00C91D92">
        <w:rPr>
          <w:szCs w:val="20"/>
        </w:rPr>
        <w:t>testamentary</w:t>
      </w:r>
      <w:r w:rsidR="00C64050">
        <w:rPr>
          <w:szCs w:val="20"/>
        </w:rPr>
        <w:t xml:space="preserve"> </w:t>
      </w:r>
      <w:r w:rsidRPr="00C91D92">
        <w:rPr>
          <w:szCs w:val="20"/>
        </w:rPr>
        <w:t>power</w:t>
      </w:r>
      <w:r w:rsidR="00C64050">
        <w:rPr>
          <w:szCs w:val="20"/>
        </w:rPr>
        <w:t xml:space="preserve"> </w:t>
      </w:r>
      <w:r w:rsidRPr="00C91D92">
        <w:rPr>
          <w:szCs w:val="20"/>
        </w:rPr>
        <w:t>of</w:t>
      </w:r>
      <w:r w:rsidR="00C64050">
        <w:rPr>
          <w:szCs w:val="20"/>
        </w:rPr>
        <w:t xml:space="preserve"> </w:t>
      </w:r>
      <w:r w:rsidRPr="00C91D92">
        <w:rPr>
          <w:szCs w:val="20"/>
        </w:rPr>
        <w:t>appointment,</w:t>
      </w:r>
      <w:r w:rsidR="00C64050">
        <w:rPr>
          <w:szCs w:val="20"/>
        </w:rPr>
        <w:t xml:space="preserve"> </w:t>
      </w:r>
      <w:r w:rsidRPr="00C91D92">
        <w:rPr>
          <w:szCs w:val="20"/>
        </w:rPr>
        <w:t>but</w:t>
      </w:r>
      <w:r w:rsidR="00C64050">
        <w:rPr>
          <w:szCs w:val="20"/>
        </w:rPr>
        <w:t xml:space="preserve"> </w:t>
      </w:r>
      <w:r w:rsidRPr="00C91D92">
        <w:rPr>
          <w:szCs w:val="20"/>
        </w:rPr>
        <w:t>it</w:t>
      </w:r>
      <w:r w:rsidR="00C64050">
        <w:rPr>
          <w:szCs w:val="20"/>
        </w:rPr>
        <w:t xml:space="preserve"> </w:t>
      </w:r>
      <w:r w:rsidRPr="00C91D92">
        <w:rPr>
          <w:szCs w:val="20"/>
        </w:rPr>
        <w:t>was</w:t>
      </w:r>
      <w:r w:rsidR="00C64050">
        <w:rPr>
          <w:szCs w:val="20"/>
        </w:rPr>
        <w:t xml:space="preserve"> </w:t>
      </w:r>
      <w:r w:rsidRPr="00C91D92">
        <w:rPr>
          <w:szCs w:val="20"/>
        </w:rPr>
        <w:t>more</w:t>
      </w:r>
      <w:r w:rsidR="00C64050">
        <w:rPr>
          <w:szCs w:val="20"/>
        </w:rPr>
        <w:t xml:space="preserve"> </w:t>
      </w:r>
      <w:r w:rsidRPr="00C91D92">
        <w:rPr>
          <w:szCs w:val="20"/>
        </w:rPr>
        <w:t>than</w:t>
      </w:r>
      <w:r w:rsidR="00C64050">
        <w:rPr>
          <w:szCs w:val="20"/>
        </w:rPr>
        <w:t xml:space="preserve"> </w:t>
      </w:r>
      <w:r w:rsidRPr="00C91D92">
        <w:rPr>
          <w:szCs w:val="20"/>
        </w:rPr>
        <w:t>a</w:t>
      </w:r>
      <w:r w:rsidR="00C64050">
        <w:rPr>
          <w:szCs w:val="20"/>
        </w:rPr>
        <w:t xml:space="preserve"> </w:t>
      </w:r>
      <w:r w:rsidRPr="00C91D92">
        <w:rPr>
          <w:szCs w:val="20"/>
        </w:rPr>
        <w:t>“mere</w:t>
      </w:r>
      <w:r w:rsidR="00C64050">
        <w:rPr>
          <w:szCs w:val="20"/>
        </w:rPr>
        <w:t xml:space="preserve"> </w:t>
      </w:r>
      <w:r w:rsidRPr="00C91D92">
        <w:rPr>
          <w:szCs w:val="20"/>
        </w:rPr>
        <w:t>unilateral</w:t>
      </w:r>
      <w:r w:rsidR="00C64050">
        <w:rPr>
          <w:szCs w:val="20"/>
        </w:rPr>
        <w:t xml:space="preserve"> </w:t>
      </w:r>
      <w:r w:rsidRPr="00C91D92">
        <w:rPr>
          <w:szCs w:val="20"/>
        </w:rPr>
        <w:t>expectation”</w:t>
      </w:r>
      <w:r w:rsidR="00C64050">
        <w:rPr>
          <w:szCs w:val="20"/>
        </w:rPr>
        <w:t xml:space="preserve"> </w:t>
      </w:r>
      <w:r w:rsidRPr="00C91D92">
        <w:rPr>
          <w:szCs w:val="20"/>
        </w:rPr>
        <w:t>as</w:t>
      </w:r>
      <w:r w:rsidR="00C64050">
        <w:rPr>
          <w:szCs w:val="20"/>
        </w:rPr>
        <w:t xml:space="preserve"> </w:t>
      </w:r>
      <w:r w:rsidRPr="00C91D92">
        <w:rPr>
          <w:szCs w:val="20"/>
        </w:rPr>
        <w:t>claimed</w:t>
      </w:r>
      <w:r w:rsidR="00C64050">
        <w:rPr>
          <w:szCs w:val="20"/>
        </w:rPr>
        <w:t xml:space="preserve"> </w:t>
      </w:r>
      <w:r w:rsidRPr="00C91D92">
        <w:rPr>
          <w:szCs w:val="20"/>
        </w:rPr>
        <w:t>by</w:t>
      </w:r>
      <w:r w:rsidR="00C64050">
        <w:rPr>
          <w:szCs w:val="20"/>
        </w:rPr>
        <w:t xml:space="preserve"> </w:t>
      </w:r>
      <w:r w:rsidRPr="00C91D92">
        <w:rPr>
          <w:szCs w:val="20"/>
        </w:rPr>
        <w:t>respondents.</w:t>
      </w:r>
      <w:r w:rsidR="00C64050">
        <w:rPr>
          <w:szCs w:val="20"/>
        </w:rPr>
        <w:t xml:space="preserve"> </w:t>
      </w:r>
      <w:r w:rsidRPr="00C91D92">
        <w:rPr>
          <w:szCs w:val="20"/>
        </w:rPr>
        <w:t>First,</w:t>
      </w:r>
      <w:r w:rsidR="00C64050">
        <w:rPr>
          <w:szCs w:val="20"/>
        </w:rPr>
        <w:t xml:space="preserve"> </w:t>
      </w:r>
      <w:r w:rsidRPr="00C91D92">
        <w:rPr>
          <w:szCs w:val="20"/>
        </w:rPr>
        <w:t>“[t]he</w:t>
      </w:r>
      <w:r w:rsidR="00C64050">
        <w:rPr>
          <w:szCs w:val="20"/>
        </w:rPr>
        <w:t xml:space="preserve"> </w:t>
      </w:r>
      <w:r w:rsidRPr="00C91D92">
        <w:rPr>
          <w:szCs w:val="20"/>
        </w:rPr>
        <w:t>law</w:t>
      </w:r>
      <w:r w:rsidR="00C64050">
        <w:rPr>
          <w:szCs w:val="20"/>
        </w:rPr>
        <w:t xml:space="preserve"> </w:t>
      </w:r>
      <w:r w:rsidRPr="00C91D92">
        <w:rPr>
          <w:szCs w:val="20"/>
        </w:rPr>
        <w:t>has</w:t>
      </w:r>
      <w:r w:rsidR="00C64050">
        <w:rPr>
          <w:szCs w:val="20"/>
        </w:rPr>
        <w:t xml:space="preserve"> </w:t>
      </w:r>
      <w:r w:rsidRPr="00C91D92">
        <w:rPr>
          <w:szCs w:val="20"/>
        </w:rPr>
        <w:t>long</w:t>
      </w:r>
      <w:r w:rsidR="00C64050">
        <w:rPr>
          <w:szCs w:val="20"/>
        </w:rPr>
        <w:t xml:space="preserve"> </w:t>
      </w:r>
      <w:r w:rsidRPr="00C91D92">
        <w:rPr>
          <w:szCs w:val="20"/>
        </w:rPr>
        <w:t>recognized</w:t>
      </w:r>
      <w:r w:rsidR="00C64050">
        <w:rPr>
          <w:szCs w:val="20"/>
        </w:rPr>
        <w:t xml:space="preserve"> </w:t>
      </w:r>
      <w:r w:rsidRPr="00C91D92">
        <w:rPr>
          <w:szCs w:val="20"/>
        </w:rPr>
        <w:t>that</w:t>
      </w:r>
      <w:r w:rsidR="00C64050">
        <w:rPr>
          <w:szCs w:val="20"/>
        </w:rPr>
        <w:t xml:space="preserve"> </w:t>
      </w:r>
      <w:r w:rsidRPr="00C91D92">
        <w:rPr>
          <w:szCs w:val="20"/>
        </w:rPr>
        <w:t>a</w:t>
      </w:r>
      <w:r w:rsidR="00C64050">
        <w:rPr>
          <w:szCs w:val="20"/>
        </w:rPr>
        <w:t xml:space="preserve"> </w:t>
      </w:r>
      <w:r w:rsidRPr="00C91D92">
        <w:rPr>
          <w:szCs w:val="20"/>
        </w:rPr>
        <w:t>contingent</w:t>
      </w:r>
      <w:r w:rsidR="00C64050">
        <w:rPr>
          <w:szCs w:val="20"/>
        </w:rPr>
        <w:t xml:space="preserve"> </w:t>
      </w:r>
      <w:r w:rsidRPr="00C91D92">
        <w:rPr>
          <w:szCs w:val="20"/>
        </w:rPr>
        <w:t>future</w:t>
      </w:r>
      <w:r w:rsidR="00C64050">
        <w:rPr>
          <w:szCs w:val="20"/>
        </w:rPr>
        <w:t xml:space="preserve"> </w:t>
      </w:r>
      <w:r w:rsidRPr="00C91D92">
        <w:rPr>
          <w:szCs w:val="20"/>
        </w:rPr>
        <w:t>interest</w:t>
      </w:r>
      <w:r w:rsidR="00C64050">
        <w:rPr>
          <w:szCs w:val="20"/>
        </w:rPr>
        <w:t xml:space="preserve"> </w:t>
      </w:r>
      <w:r w:rsidRPr="00C91D92">
        <w:rPr>
          <w:szCs w:val="20"/>
        </w:rPr>
        <w:t>is</w:t>
      </w:r>
      <w:r w:rsidR="00C64050">
        <w:rPr>
          <w:szCs w:val="20"/>
        </w:rPr>
        <w:t xml:space="preserve"> </w:t>
      </w:r>
      <w:r w:rsidRPr="00C91D92">
        <w:rPr>
          <w:szCs w:val="20"/>
        </w:rPr>
        <w:t>property</w:t>
      </w:r>
      <w:r w:rsidR="00C64050">
        <w:rPr>
          <w:szCs w:val="20"/>
        </w:rPr>
        <w:t xml:space="preserve"> </w:t>
      </w:r>
      <w:r w:rsidRPr="00C91D92">
        <w:rPr>
          <w:szCs w:val="20"/>
        </w:rPr>
        <w:t>[citation]</w:t>
      </w:r>
      <w:r w:rsidR="00C64050">
        <w:rPr>
          <w:szCs w:val="20"/>
        </w:rPr>
        <w:t xml:space="preserve"> </w:t>
      </w:r>
      <w:r w:rsidRPr="00C91D92">
        <w:rPr>
          <w:szCs w:val="20"/>
        </w:rPr>
        <w:t>no</w:t>
      </w:r>
      <w:r w:rsidR="00C64050">
        <w:rPr>
          <w:szCs w:val="20"/>
        </w:rPr>
        <w:t xml:space="preserve"> </w:t>
      </w:r>
      <w:r w:rsidRPr="00C91D92">
        <w:rPr>
          <w:szCs w:val="20"/>
        </w:rPr>
        <w:t>matter</w:t>
      </w:r>
      <w:r w:rsidR="00C64050">
        <w:rPr>
          <w:szCs w:val="20"/>
        </w:rPr>
        <w:t xml:space="preserve"> </w:t>
      </w:r>
      <w:r w:rsidRPr="00C91D92">
        <w:rPr>
          <w:szCs w:val="20"/>
        </w:rPr>
        <w:t>how</w:t>
      </w:r>
      <w:r w:rsidR="00C64050">
        <w:rPr>
          <w:szCs w:val="20"/>
        </w:rPr>
        <w:t xml:space="preserve"> </w:t>
      </w:r>
      <w:r w:rsidRPr="00C91D92">
        <w:rPr>
          <w:szCs w:val="20"/>
        </w:rPr>
        <w:t>improbable</w:t>
      </w:r>
      <w:r w:rsidR="00C64050">
        <w:rPr>
          <w:szCs w:val="20"/>
        </w:rPr>
        <w:t xml:space="preserve"> </w:t>
      </w:r>
      <w:r w:rsidRPr="00C91D92">
        <w:rPr>
          <w:szCs w:val="20"/>
        </w:rPr>
        <w:t>the</w:t>
      </w:r>
      <w:r w:rsidR="00C64050">
        <w:rPr>
          <w:szCs w:val="20"/>
        </w:rPr>
        <w:t xml:space="preserve"> </w:t>
      </w:r>
      <w:r w:rsidRPr="00C91D92">
        <w:rPr>
          <w:szCs w:val="20"/>
        </w:rPr>
        <w:t>contingency”</w:t>
      </w:r>
      <w:r w:rsidR="00C64050">
        <w:rPr>
          <w:szCs w:val="20"/>
        </w:rPr>
        <w:t xml:space="preserve"> </w:t>
      </w:r>
      <w:r w:rsidRPr="00C91D92">
        <w:rPr>
          <w:szCs w:val="20"/>
        </w:rPr>
        <w:t>(</w:t>
      </w:r>
      <w:r w:rsidRPr="00C91D92">
        <w:rPr>
          <w:rStyle w:val="Emphasis"/>
          <w:szCs w:val="20"/>
        </w:rPr>
        <w:t>In</w:t>
      </w:r>
      <w:r w:rsidR="00C64050">
        <w:rPr>
          <w:rStyle w:val="Emphasis"/>
          <w:szCs w:val="20"/>
        </w:rPr>
        <w:t xml:space="preserve"> </w:t>
      </w:r>
      <w:r w:rsidRPr="00C91D92">
        <w:rPr>
          <w:rStyle w:val="Emphasis"/>
          <w:szCs w:val="20"/>
        </w:rPr>
        <w:t>re</w:t>
      </w:r>
      <w:r w:rsidR="00C64050">
        <w:rPr>
          <w:rStyle w:val="Emphasis"/>
          <w:szCs w:val="20"/>
        </w:rPr>
        <w:t xml:space="preserve"> </w:t>
      </w:r>
      <w:r w:rsidRPr="00C91D92">
        <w:rPr>
          <w:rStyle w:val="Emphasis"/>
          <w:szCs w:val="20"/>
        </w:rPr>
        <w:t>Marriage</w:t>
      </w:r>
      <w:r w:rsidR="00C64050">
        <w:rPr>
          <w:rStyle w:val="Emphasis"/>
          <w:szCs w:val="20"/>
        </w:rPr>
        <w:t xml:space="preserve"> </w:t>
      </w:r>
      <w:r w:rsidRPr="00C91D92">
        <w:rPr>
          <w:rStyle w:val="Emphasis"/>
          <w:szCs w:val="20"/>
        </w:rPr>
        <w:t>of</w:t>
      </w:r>
      <w:r w:rsidR="00C64050">
        <w:rPr>
          <w:rStyle w:val="Emphasis"/>
          <w:szCs w:val="20"/>
        </w:rPr>
        <w:t xml:space="preserve"> </w:t>
      </w:r>
      <w:r w:rsidRPr="00C91D92">
        <w:rPr>
          <w:rStyle w:val="Emphasis"/>
          <w:szCs w:val="20"/>
        </w:rPr>
        <w:t>Brown</w:t>
      </w:r>
      <w:r w:rsidR="00C64050">
        <w:rPr>
          <w:szCs w:val="20"/>
        </w:rPr>
        <w:t xml:space="preserve"> </w:t>
      </w:r>
      <w:r w:rsidRPr="00C91D92">
        <w:rPr>
          <w:szCs w:val="20"/>
        </w:rPr>
        <w:t>(1976)</w:t>
      </w:r>
      <w:r w:rsidR="00C64050">
        <w:rPr>
          <w:szCs w:val="20"/>
        </w:rPr>
        <w:t xml:space="preserve"> </w:t>
      </w:r>
      <w:r w:rsidRPr="00C91D92">
        <w:rPr>
          <w:szCs w:val="20"/>
        </w:rPr>
        <w:t>15</w:t>
      </w:r>
      <w:r w:rsidR="00C64050">
        <w:rPr>
          <w:szCs w:val="20"/>
        </w:rPr>
        <w:t xml:space="preserve"> </w:t>
      </w:r>
      <w:r w:rsidRPr="00C91D92">
        <w:rPr>
          <w:szCs w:val="20"/>
        </w:rPr>
        <w:t>Cal.3d</w:t>
      </w:r>
      <w:r w:rsidR="00C64050">
        <w:rPr>
          <w:szCs w:val="20"/>
        </w:rPr>
        <w:t xml:space="preserve"> </w:t>
      </w:r>
      <w:r w:rsidRPr="00C91D92">
        <w:rPr>
          <w:szCs w:val="20"/>
        </w:rPr>
        <w:t>838,</w:t>
      </w:r>
      <w:r w:rsidR="00C64050">
        <w:rPr>
          <w:szCs w:val="20"/>
        </w:rPr>
        <w:t xml:space="preserve"> </w:t>
      </w:r>
      <w:r w:rsidRPr="00C91D92">
        <w:rPr>
          <w:szCs w:val="20"/>
        </w:rPr>
        <w:t>846,</w:t>
      </w:r>
      <w:r w:rsidR="00C64050">
        <w:rPr>
          <w:szCs w:val="20"/>
        </w:rPr>
        <w:t xml:space="preserve"> </w:t>
      </w:r>
      <w:r w:rsidRPr="00C91D92">
        <w:rPr>
          <w:szCs w:val="20"/>
        </w:rPr>
        <w:t>fn.</w:t>
      </w:r>
      <w:r w:rsidR="00C64050">
        <w:rPr>
          <w:szCs w:val="20"/>
        </w:rPr>
        <w:t xml:space="preserve"> </w:t>
      </w:r>
      <w:r w:rsidRPr="00C91D92">
        <w:rPr>
          <w:szCs w:val="20"/>
        </w:rPr>
        <w:t>8,</w:t>
      </w:r>
      <w:r w:rsidR="00C64050">
        <w:rPr>
          <w:szCs w:val="20"/>
        </w:rPr>
        <w:t xml:space="preserve"> </w:t>
      </w:r>
      <w:r w:rsidRPr="00C91D92">
        <w:rPr>
          <w:szCs w:val="20"/>
        </w:rPr>
        <w:t>126</w:t>
      </w:r>
      <w:r w:rsidR="00C64050">
        <w:rPr>
          <w:szCs w:val="20"/>
        </w:rPr>
        <w:t xml:space="preserve"> </w:t>
      </w:r>
      <w:r w:rsidRPr="00C91D92">
        <w:rPr>
          <w:szCs w:val="20"/>
        </w:rPr>
        <w:t>Cal.Rptr.</w:t>
      </w:r>
      <w:r w:rsidR="00C64050">
        <w:rPr>
          <w:szCs w:val="20"/>
        </w:rPr>
        <w:t xml:space="preserve"> </w:t>
      </w:r>
      <w:r w:rsidRPr="00C91D92">
        <w:rPr>
          <w:szCs w:val="20"/>
        </w:rPr>
        <w:t>633,</w:t>
      </w:r>
      <w:r w:rsidR="00C64050">
        <w:rPr>
          <w:szCs w:val="20"/>
        </w:rPr>
        <w:t xml:space="preserve"> </w:t>
      </w:r>
      <w:r w:rsidRPr="00C91D92">
        <w:rPr>
          <w:szCs w:val="20"/>
        </w:rPr>
        <w:t>544</w:t>
      </w:r>
      <w:r w:rsidR="00C64050">
        <w:rPr>
          <w:szCs w:val="20"/>
        </w:rPr>
        <w:t xml:space="preserve"> </w:t>
      </w:r>
      <w:r w:rsidRPr="00C91D92">
        <w:rPr>
          <w:szCs w:val="20"/>
        </w:rPr>
        <w:t>P.2d</w:t>
      </w:r>
      <w:r w:rsidR="00C64050">
        <w:rPr>
          <w:szCs w:val="20"/>
        </w:rPr>
        <w:t xml:space="preserve"> </w:t>
      </w:r>
      <w:r w:rsidRPr="00C91D92">
        <w:rPr>
          <w:szCs w:val="20"/>
        </w:rPr>
        <w:t>561),</w:t>
      </w:r>
      <w:r w:rsidR="00C64050">
        <w:rPr>
          <w:szCs w:val="20"/>
        </w:rPr>
        <w:t xml:space="preserve"> </w:t>
      </w:r>
      <w:r w:rsidRPr="00C91D92">
        <w:rPr>
          <w:szCs w:val="20"/>
        </w:rPr>
        <w:t>and</w:t>
      </w:r>
      <w:r w:rsidR="00C64050">
        <w:rPr>
          <w:szCs w:val="20"/>
        </w:rPr>
        <w:t xml:space="preserve"> </w:t>
      </w:r>
      <w:r w:rsidRPr="00C91D92">
        <w:rPr>
          <w:szCs w:val="20"/>
        </w:rPr>
        <w:t>“a</w:t>
      </w:r>
      <w:r w:rsidR="00C64050">
        <w:rPr>
          <w:szCs w:val="20"/>
        </w:rPr>
        <w:t xml:space="preserve"> </w:t>
      </w:r>
      <w:r w:rsidRPr="00C91D92">
        <w:rPr>
          <w:szCs w:val="20"/>
        </w:rPr>
        <w:t>contingent</w:t>
      </w:r>
      <w:r w:rsidR="00C64050">
        <w:rPr>
          <w:szCs w:val="20"/>
        </w:rPr>
        <w:t xml:space="preserve"> </w:t>
      </w:r>
      <w:r w:rsidRPr="00C91D92">
        <w:rPr>
          <w:szCs w:val="20"/>
        </w:rPr>
        <w:t>remainder</w:t>
      </w:r>
      <w:r w:rsidR="00C64050">
        <w:rPr>
          <w:szCs w:val="20"/>
        </w:rPr>
        <w:t xml:space="preserve"> </w:t>
      </w:r>
      <w:r w:rsidRPr="00C91D92">
        <w:rPr>
          <w:szCs w:val="20"/>
        </w:rPr>
        <w:t>is</w:t>
      </w:r>
      <w:r w:rsidR="00C64050">
        <w:rPr>
          <w:szCs w:val="20"/>
        </w:rPr>
        <w:t xml:space="preserve"> </w:t>
      </w:r>
      <w:r w:rsidRPr="00C91D92">
        <w:rPr>
          <w:szCs w:val="20"/>
        </w:rPr>
        <w:t>an</w:t>
      </w:r>
      <w:r w:rsidR="00C64050">
        <w:rPr>
          <w:szCs w:val="20"/>
        </w:rPr>
        <w:t xml:space="preserve"> </w:t>
      </w:r>
      <w:r w:rsidRPr="00C91D92">
        <w:rPr>
          <w:szCs w:val="20"/>
        </w:rPr>
        <w:t>estate</w:t>
      </w:r>
      <w:r w:rsidR="00C64050">
        <w:rPr>
          <w:szCs w:val="20"/>
        </w:rPr>
        <w:t xml:space="preserve"> </w:t>
      </w:r>
      <w:r w:rsidRPr="00C91D92">
        <w:rPr>
          <w:szCs w:val="20"/>
        </w:rPr>
        <w:t>and</w:t>
      </w:r>
      <w:r w:rsidR="00C64050">
        <w:rPr>
          <w:szCs w:val="20"/>
        </w:rPr>
        <w:t xml:space="preserve"> </w:t>
      </w:r>
      <w:r w:rsidRPr="00C91D92">
        <w:rPr>
          <w:szCs w:val="20"/>
        </w:rPr>
        <w:t>not</w:t>
      </w:r>
      <w:r w:rsidR="00C64050">
        <w:rPr>
          <w:szCs w:val="20"/>
        </w:rPr>
        <w:t xml:space="preserve"> </w:t>
      </w:r>
      <w:r w:rsidRPr="00C91D92">
        <w:rPr>
          <w:szCs w:val="20"/>
        </w:rPr>
        <w:t>a</w:t>
      </w:r>
      <w:r w:rsidR="00C64050">
        <w:rPr>
          <w:szCs w:val="20"/>
        </w:rPr>
        <w:t xml:space="preserve"> </w:t>
      </w:r>
      <w:r w:rsidRPr="00C91D92">
        <w:rPr>
          <w:szCs w:val="20"/>
        </w:rPr>
        <w:t>mere</w:t>
      </w:r>
      <w:r w:rsidR="00C64050">
        <w:rPr>
          <w:szCs w:val="20"/>
        </w:rPr>
        <w:t xml:space="preserve"> </w:t>
      </w:r>
      <w:r w:rsidRPr="00C91D92">
        <w:rPr>
          <w:szCs w:val="20"/>
        </w:rPr>
        <w:t>expectancy”</w:t>
      </w:r>
      <w:r w:rsidR="00C64050">
        <w:rPr>
          <w:szCs w:val="20"/>
        </w:rPr>
        <w:t xml:space="preserve"> </w:t>
      </w:r>
      <w:r w:rsidRPr="00C91D92">
        <w:rPr>
          <w:szCs w:val="20"/>
        </w:rPr>
        <w:t>(</w:t>
      </w:r>
      <w:r w:rsidRPr="00C91D92">
        <w:rPr>
          <w:rStyle w:val="Emphasis"/>
          <w:szCs w:val="20"/>
        </w:rPr>
        <w:t>Estate</w:t>
      </w:r>
      <w:r w:rsidR="00C64050">
        <w:rPr>
          <w:rStyle w:val="Emphasis"/>
          <w:szCs w:val="20"/>
        </w:rPr>
        <w:t xml:space="preserve"> </w:t>
      </w:r>
      <w:r w:rsidRPr="00C91D92">
        <w:rPr>
          <w:rStyle w:val="Emphasis"/>
          <w:szCs w:val="20"/>
        </w:rPr>
        <w:t>of</w:t>
      </w:r>
      <w:r w:rsidR="00C64050">
        <w:rPr>
          <w:rStyle w:val="Emphasis"/>
          <w:szCs w:val="20"/>
        </w:rPr>
        <w:t xml:space="preserve"> </w:t>
      </w:r>
      <w:r w:rsidRPr="00C91D92">
        <w:rPr>
          <w:rStyle w:val="Emphasis"/>
          <w:szCs w:val="20"/>
        </w:rPr>
        <w:t>Zuber</w:t>
      </w:r>
      <w:r w:rsidR="00C64050">
        <w:rPr>
          <w:szCs w:val="20"/>
        </w:rPr>
        <w:t xml:space="preserve"> </w:t>
      </w:r>
      <w:r w:rsidRPr="00C91D92">
        <w:rPr>
          <w:szCs w:val="20"/>
        </w:rPr>
        <w:t>(1956)</w:t>
      </w:r>
      <w:r w:rsidR="00C64050">
        <w:rPr>
          <w:szCs w:val="20"/>
        </w:rPr>
        <w:t xml:space="preserve"> </w:t>
      </w:r>
      <w:r w:rsidRPr="00C91D92">
        <w:rPr>
          <w:szCs w:val="20"/>
        </w:rPr>
        <w:t>146</w:t>
      </w:r>
      <w:r w:rsidR="00C64050">
        <w:rPr>
          <w:szCs w:val="20"/>
        </w:rPr>
        <w:t xml:space="preserve"> </w:t>
      </w:r>
      <w:r w:rsidRPr="00C91D92">
        <w:rPr>
          <w:szCs w:val="20"/>
        </w:rPr>
        <w:t>Cal.App.2d</w:t>
      </w:r>
      <w:r w:rsidR="00C64050">
        <w:rPr>
          <w:szCs w:val="20"/>
        </w:rPr>
        <w:t xml:space="preserve"> </w:t>
      </w:r>
      <w:r w:rsidRPr="00C91D92">
        <w:rPr>
          <w:szCs w:val="20"/>
        </w:rPr>
        <w:t>584,</w:t>
      </w:r>
      <w:r w:rsidR="00C64050">
        <w:rPr>
          <w:szCs w:val="20"/>
        </w:rPr>
        <w:t xml:space="preserve"> </w:t>
      </w:r>
      <w:r w:rsidRPr="00C91D92">
        <w:rPr>
          <w:szCs w:val="20"/>
        </w:rPr>
        <w:t>591,</w:t>
      </w:r>
      <w:r w:rsidR="00C64050">
        <w:rPr>
          <w:szCs w:val="20"/>
        </w:rPr>
        <w:t xml:space="preserve"> </w:t>
      </w:r>
      <w:r w:rsidRPr="00C91D92">
        <w:rPr>
          <w:szCs w:val="20"/>
        </w:rPr>
        <w:t>304</w:t>
      </w:r>
      <w:r w:rsidR="00C64050">
        <w:rPr>
          <w:szCs w:val="20"/>
        </w:rPr>
        <w:t xml:space="preserve"> </w:t>
      </w:r>
      <w:r w:rsidRPr="00C91D92">
        <w:rPr>
          <w:szCs w:val="20"/>
        </w:rPr>
        <w:t>P.2d</w:t>
      </w:r>
      <w:r w:rsidR="00C64050">
        <w:rPr>
          <w:szCs w:val="20"/>
        </w:rPr>
        <w:t xml:space="preserve"> </w:t>
      </w:r>
      <w:r w:rsidRPr="00C91D92">
        <w:rPr>
          <w:szCs w:val="20"/>
        </w:rPr>
        <w:t>247).</w:t>
      </w:r>
      <w:r w:rsidR="00C64050">
        <w:rPr>
          <w:szCs w:val="20"/>
        </w:rPr>
        <w:t xml:space="preserve"> </w:t>
      </w:r>
      <w:r w:rsidRPr="00C91D92">
        <w:rPr>
          <w:szCs w:val="20"/>
        </w:rPr>
        <w:t>Second,</w:t>
      </w:r>
      <w:r w:rsidR="00C64050">
        <w:rPr>
          <w:szCs w:val="20"/>
        </w:rPr>
        <w:t xml:space="preserve"> </w:t>
      </w:r>
      <w:r w:rsidRPr="00C91D92">
        <w:rPr>
          <w:szCs w:val="20"/>
        </w:rPr>
        <w:t>takers</w:t>
      </w:r>
      <w:r w:rsidR="00C64050">
        <w:rPr>
          <w:szCs w:val="20"/>
        </w:rPr>
        <w:t xml:space="preserve"> </w:t>
      </w:r>
      <w:r w:rsidRPr="00C91D92">
        <w:rPr>
          <w:szCs w:val="20"/>
        </w:rPr>
        <w:t>in</w:t>
      </w:r>
      <w:r w:rsidR="00C64050">
        <w:rPr>
          <w:szCs w:val="20"/>
        </w:rPr>
        <w:t xml:space="preserve"> </w:t>
      </w:r>
      <w:r w:rsidRPr="00C91D92">
        <w:rPr>
          <w:szCs w:val="20"/>
        </w:rPr>
        <w:t>default</w:t>
      </w:r>
      <w:r w:rsidR="00C64050">
        <w:rPr>
          <w:szCs w:val="20"/>
        </w:rPr>
        <w:t xml:space="preserve"> </w:t>
      </w:r>
      <w:r w:rsidRPr="00C91D92">
        <w:rPr>
          <w:szCs w:val="20"/>
        </w:rPr>
        <w:t>(i.e.,</w:t>
      </w:r>
      <w:r w:rsidR="00C64050">
        <w:rPr>
          <w:szCs w:val="20"/>
        </w:rPr>
        <w:t xml:space="preserve"> </w:t>
      </w:r>
      <w:r w:rsidRPr="00C91D92">
        <w:rPr>
          <w:szCs w:val="20"/>
        </w:rPr>
        <w:t>persons</w:t>
      </w:r>
      <w:r w:rsidR="00C64050">
        <w:rPr>
          <w:szCs w:val="20"/>
        </w:rPr>
        <w:t xml:space="preserve"> </w:t>
      </w:r>
      <w:r w:rsidRPr="00C91D92">
        <w:rPr>
          <w:szCs w:val="20"/>
        </w:rPr>
        <w:t>specified</w:t>
      </w:r>
      <w:r w:rsidR="00C64050">
        <w:rPr>
          <w:szCs w:val="20"/>
        </w:rPr>
        <w:t xml:space="preserve"> </w:t>
      </w:r>
      <w:r w:rsidRPr="00C91D92">
        <w:rPr>
          <w:szCs w:val="20"/>
        </w:rPr>
        <w:t>by</w:t>
      </w:r>
      <w:r w:rsidR="00C64050">
        <w:rPr>
          <w:szCs w:val="20"/>
        </w:rPr>
        <w:t xml:space="preserve"> </w:t>
      </w:r>
      <w:r w:rsidRPr="00C91D92">
        <w:rPr>
          <w:szCs w:val="20"/>
        </w:rPr>
        <w:t>a</w:t>
      </w:r>
      <w:r w:rsidR="00C64050">
        <w:rPr>
          <w:szCs w:val="20"/>
        </w:rPr>
        <w:t xml:space="preserve"> </w:t>
      </w:r>
      <w:r w:rsidRPr="00C91D92">
        <w:rPr>
          <w:szCs w:val="20"/>
        </w:rPr>
        <w:t>donor</w:t>
      </w:r>
      <w:r w:rsidR="00C64050">
        <w:rPr>
          <w:szCs w:val="20"/>
        </w:rPr>
        <w:t xml:space="preserve"> </w:t>
      </w:r>
      <w:r w:rsidRPr="00C91D92">
        <w:rPr>
          <w:szCs w:val="20"/>
        </w:rPr>
        <w:t>of</w:t>
      </w:r>
      <w:r w:rsidR="00C64050">
        <w:rPr>
          <w:szCs w:val="20"/>
        </w:rPr>
        <w:t xml:space="preserve"> </w:t>
      </w:r>
      <w:r w:rsidRPr="00C91D92">
        <w:rPr>
          <w:szCs w:val="20"/>
        </w:rPr>
        <w:t>a</w:t>
      </w:r>
      <w:r w:rsidR="00C64050">
        <w:rPr>
          <w:szCs w:val="20"/>
        </w:rPr>
        <w:t xml:space="preserve"> </w:t>
      </w:r>
      <w:r w:rsidRPr="00C91D92">
        <w:rPr>
          <w:szCs w:val="20"/>
        </w:rPr>
        <w:t>power</w:t>
      </w:r>
      <w:r w:rsidR="00C64050">
        <w:rPr>
          <w:szCs w:val="20"/>
        </w:rPr>
        <w:t xml:space="preserve"> </w:t>
      </w:r>
      <w:r w:rsidRPr="00C91D92">
        <w:rPr>
          <w:szCs w:val="20"/>
        </w:rPr>
        <w:t>of</w:t>
      </w:r>
      <w:r w:rsidR="00C64050">
        <w:rPr>
          <w:szCs w:val="20"/>
        </w:rPr>
        <w:t xml:space="preserve"> </w:t>
      </w:r>
      <w:r w:rsidRPr="00C91D92">
        <w:rPr>
          <w:szCs w:val="20"/>
        </w:rPr>
        <w:t>appointment</w:t>
      </w:r>
      <w:r w:rsidR="00C64050">
        <w:rPr>
          <w:szCs w:val="20"/>
        </w:rPr>
        <w:t xml:space="preserve"> </w:t>
      </w:r>
      <w:r w:rsidRPr="00C91D92">
        <w:rPr>
          <w:szCs w:val="20"/>
        </w:rPr>
        <w:t>to</w:t>
      </w:r>
      <w:r w:rsidR="00C64050">
        <w:rPr>
          <w:szCs w:val="20"/>
        </w:rPr>
        <w:t xml:space="preserve"> </w:t>
      </w:r>
      <w:r w:rsidRPr="00C91D92">
        <w:rPr>
          <w:szCs w:val="20"/>
        </w:rPr>
        <w:t>take</w:t>
      </w:r>
      <w:r w:rsidR="00C64050">
        <w:rPr>
          <w:szCs w:val="20"/>
        </w:rPr>
        <w:t xml:space="preserve"> </w:t>
      </w:r>
      <w:r w:rsidRPr="00C91D92">
        <w:rPr>
          <w:szCs w:val="20"/>
        </w:rPr>
        <w:t>property</w:t>
      </w:r>
      <w:r w:rsidR="00C64050">
        <w:rPr>
          <w:szCs w:val="20"/>
        </w:rPr>
        <w:t xml:space="preserve"> </w:t>
      </w:r>
      <w:r w:rsidRPr="00C91D92">
        <w:rPr>
          <w:szCs w:val="20"/>
        </w:rPr>
        <w:t>in</w:t>
      </w:r>
      <w:r w:rsidR="00C64050">
        <w:rPr>
          <w:szCs w:val="20"/>
        </w:rPr>
        <w:t xml:space="preserve"> </w:t>
      </w:r>
      <w:r w:rsidRPr="00C91D92">
        <w:rPr>
          <w:szCs w:val="20"/>
        </w:rPr>
        <w:t>default</w:t>
      </w:r>
      <w:r w:rsidR="00C64050">
        <w:rPr>
          <w:szCs w:val="20"/>
        </w:rPr>
        <w:t xml:space="preserve"> </w:t>
      </w:r>
      <w:r w:rsidRPr="00C91D92">
        <w:rPr>
          <w:szCs w:val="20"/>
        </w:rPr>
        <w:t>of</w:t>
      </w:r>
      <w:r w:rsidR="00C64050">
        <w:rPr>
          <w:szCs w:val="20"/>
        </w:rPr>
        <w:t xml:space="preserve"> </w:t>
      </w:r>
      <w:r w:rsidRPr="00C91D92">
        <w:rPr>
          <w:szCs w:val="20"/>
        </w:rPr>
        <w:t>the</w:t>
      </w:r>
      <w:r w:rsidR="00C64050">
        <w:rPr>
          <w:szCs w:val="20"/>
        </w:rPr>
        <w:t xml:space="preserve"> </w:t>
      </w:r>
      <w:r w:rsidRPr="00C91D92">
        <w:rPr>
          <w:szCs w:val="20"/>
        </w:rPr>
        <w:t>appointment)</w:t>
      </w:r>
      <w:r w:rsidR="00C64050">
        <w:rPr>
          <w:szCs w:val="20"/>
        </w:rPr>
        <w:t xml:space="preserve"> </w:t>
      </w:r>
      <w:r w:rsidRPr="00C91D92">
        <w:rPr>
          <w:szCs w:val="20"/>
        </w:rPr>
        <w:t>hold</w:t>
      </w:r>
      <w:r w:rsidR="00C64050">
        <w:rPr>
          <w:szCs w:val="20"/>
        </w:rPr>
        <w:t xml:space="preserve"> </w:t>
      </w:r>
      <w:r w:rsidRPr="00C91D92">
        <w:rPr>
          <w:szCs w:val="20"/>
        </w:rPr>
        <w:t>property</w:t>
      </w:r>
      <w:r w:rsidR="00C64050">
        <w:rPr>
          <w:szCs w:val="20"/>
        </w:rPr>
        <w:t xml:space="preserve"> </w:t>
      </w:r>
      <w:r w:rsidRPr="00C91D92">
        <w:rPr>
          <w:szCs w:val="20"/>
        </w:rPr>
        <w:t>interests</w:t>
      </w:r>
      <w:r w:rsidR="00C64050">
        <w:rPr>
          <w:szCs w:val="20"/>
        </w:rPr>
        <w:t xml:space="preserve"> </w:t>
      </w:r>
      <w:r w:rsidRPr="00C91D92">
        <w:rPr>
          <w:szCs w:val="20"/>
        </w:rPr>
        <w:t>even</w:t>
      </w:r>
      <w:r w:rsidR="00C64050">
        <w:rPr>
          <w:szCs w:val="20"/>
        </w:rPr>
        <w:t xml:space="preserve"> </w:t>
      </w:r>
      <w:r w:rsidRPr="00C91D92">
        <w:rPr>
          <w:szCs w:val="20"/>
        </w:rPr>
        <w:t>though</w:t>
      </w:r>
      <w:r w:rsidR="00C64050">
        <w:rPr>
          <w:szCs w:val="20"/>
        </w:rPr>
        <w:t xml:space="preserve"> </w:t>
      </w:r>
      <w:r w:rsidRPr="00C91D92">
        <w:rPr>
          <w:szCs w:val="20"/>
        </w:rPr>
        <w:t>“their</w:t>
      </w:r>
      <w:r w:rsidR="00C64050">
        <w:rPr>
          <w:szCs w:val="20"/>
        </w:rPr>
        <w:t xml:space="preserve"> </w:t>
      </w:r>
      <w:r w:rsidRPr="00C91D92">
        <w:rPr>
          <w:szCs w:val="20"/>
        </w:rPr>
        <w:t>interests</w:t>
      </w:r>
      <w:r w:rsidR="00C64050">
        <w:rPr>
          <w:szCs w:val="20"/>
        </w:rPr>
        <w:t xml:space="preserve"> </w:t>
      </w:r>
      <w:r w:rsidRPr="00C91D92">
        <w:rPr>
          <w:szCs w:val="20"/>
        </w:rPr>
        <w:t>are</w:t>
      </w:r>
      <w:r w:rsidR="00C64050">
        <w:rPr>
          <w:szCs w:val="20"/>
        </w:rPr>
        <w:t xml:space="preserve"> </w:t>
      </w:r>
      <w:r w:rsidRPr="00C91D92">
        <w:rPr>
          <w:szCs w:val="20"/>
        </w:rPr>
        <w:t>subject</w:t>
      </w:r>
      <w:r w:rsidR="00C64050">
        <w:rPr>
          <w:szCs w:val="20"/>
        </w:rPr>
        <w:t xml:space="preserve"> </w:t>
      </w:r>
      <w:r w:rsidRPr="00C91D92">
        <w:rPr>
          <w:szCs w:val="20"/>
        </w:rPr>
        <w:t>to</w:t>
      </w:r>
      <w:r w:rsidR="00C64050">
        <w:rPr>
          <w:szCs w:val="20"/>
        </w:rPr>
        <w:t xml:space="preserve"> </w:t>
      </w:r>
      <w:r w:rsidRPr="00C91D92">
        <w:rPr>
          <w:szCs w:val="20"/>
        </w:rPr>
        <w:t>complete</w:t>
      </w:r>
      <w:r w:rsidR="00C64050">
        <w:rPr>
          <w:szCs w:val="20"/>
        </w:rPr>
        <w:t xml:space="preserve"> </w:t>
      </w:r>
      <w:r w:rsidRPr="00C91D92">
        <w:rPr>
          <w:szCs w:val="20"/>
        </w:rPr>
        <w:t>divestment”</w:t>
      </w:r>
      <w:r w:rsidR="00C64050">
        <w:rPr>
          <w:szCs w:val="20"/>
        </w:rPr>
        <w:t xml:space="preserve"> </w:t>
      </w:r>
      <w:r w:rsidRPr="00C91D92">
        <w:rPr>
          <w:szCs w:val="20"/>
        </w:rPr>
        <w:t>through</w:t>
      </w:r>
      <w:r w:rsidR="00C64050">
        <w:rPr>
          <w:szCs w:val="20"/>
        </w:rPr>
        <w:t xml:space="preserve"> </w:t>
      </w:r>
      <w:r w:rsidRPr="00C91D92">
        <w:rPr>
          <w:szCs w:val="20"/>
        </w:rPr>
        <w:t>exercise</w:t>
      </w:r>
      <w:r w:rsidR="00C64050">
        <w:rPr>
          <w:szCs w:val="20"/>
        </w:rPr>
        <w:t xml:space="preserve"> </w:t>
      </w:r>
      <w:r w:rsidRPr="00C91D92">
        <w:rPr>
          <w:szCs w:val="20"/>
        </w:rPr>
        <w:t>of</w:t>
      </w:r>
      <w:r w:rsidR="00C64050">
        <w:rPr>
          <w:szCs w:val="20"/>
        </w:rPr>
        <w:t xml:space="preserve"> </w:t>
      </w:r>
      <w:r w:rsidRPr="00C91D92">
        <w:rPr>
          <w:szCs w:val="20"/>
        </w:rPr>
        <w:t>a</w:t>
      </w:r>
      <w:r w:rsidR="00C64050">
        <w:rPr>
          <w:szCs w:val="20"/>
        </w:rPr>
        <w:t xml:space="preserve"> </w:t>
      </w:r>
      <w:r w:rsidRPr="00C91D92">
        <w:rPr>
          <w:szCs w:val="20"/>
        </w:rPr>
        <w:t>power</w:t>
      </w:r>
      <w:r w:rsidR="00C64050">
        <w:rPr>
          <w:szCs w:val="20"/>
        </w:rPr>
        <w:t xml:space="preserve"> </w:t>
      </w:r>
      <w:r w:rsidRPr="00C91D92">
        <w:rPr>
          <w:szCs w:val="20"/>
        </w:rPr>
        <w:t>of</w:t>
      </w:r>
      <w:r w:rsidR="00C64050">
        <w:rPr>
          <w:szCs w:val="20"/>
        </w:rPr>
        <w:t xml:space="preserve">  </w:t>
      </w:r>
      <w:r w:rsidRPr="00C91D92">
        <w:rPr>
          <w:szCs w:val="20"/>
        </w:rPr>
        <w:t>appointment.</w:t>
      </w:r>
      <w:r w:rsidR="00C64050">
        <w:rPr>
          <w:szCs w:val="20"/>
        </w:rPr>
        <w:t xml:space="preserve"> </w:t>
      </w:r>
      <w:r w:rsidRPr="00C91D92">
        <w:rPr>
          <w:szCs w:val="20"/>
        </w:rPr>
        <w:t>(</w:t>
      </w:r>
      <w:r w:rsidRPr="00C91D92">
        <w:rPr>
          <w:rStyle w:val="Emphasis"/>
          <w:szCs w:val="20"/>
        </w:rPr>
        <w:t>Ammco</w:t>
      </w:r>
      <w:r w:rsidR="00C64050">
        <w:rPr>
          <w:rStyle w:val="Emphasis"/>
          <w:szCs w:val="20"/>
        </w:rPr>
        <w:t xml:space="preserve"> </w:t>
      </w:r>
      <w:r w:rsidRPr="00C91D92">
        <w:rPr>
          <w:rStyle w:val="Emphasis"/>
          <w:szCs w:val="20"/>
        </w:rPr>
        <w:t>Ornamental</w:t>
      </w:r>
      <w:r w:rsidR="00C64050">
        <w:rPr>
          <w:rStyle w:val="Emphasis"/>
          <w:szCs w:val="20"/>
        </w:rPr>
        <w:t xml:space="preserve"> </w:t>
      </w:r>
      <w:r w:rsidRPr="00C91D92">
        <w:rPr>
          <w:rStyle w:val="Emphasis"/>
          <w:szCs w:val="20"/>
        </w:rPr>
        <w:t>Iron,</w:t>
      </w:r>
      <w:r w:rsidR="00C64050">
        <w:rPr>
          <w:rStyle w:val="Emphasis"/>
          <w:szCs w:val="20"/>
        </w:rPr>
        <w:t xml:space="preserve"> </w:t>
      </w:r>
      <w:r w:rsidRPr="00C91D92">
        <w:rPr>
          <w:rStyle w:val="Emphasis"/>
          <w:szCs w:val="20"/>
        </w:rPr>
        <w:t>Inc.</w:t>
      </w:r>
      <w:r w:rsidR="00C64050">
        <w:rPr>
          <w:rStyle w:val="Emphasis"/>
          <w:szCs w:val="20"/>
        </w:rPr>
        <w:t xml:space="preserve"> </w:t>
      </w:r>
      <w:r w:rsidRPr="00C91D92">
        <w:rPr>
          <w:rStyle w:val="Emphasis"/>
          <w:szCs w:val="20"/>
        </w:rPr>
        <w:t>v.</w:t>
      </w:r>
      <w:r w:rsidR="00C64050">
        <w:rPr>
          <w:rStyle w:val="Emphasis"/>
          <w:szCs w:val="20"/>
        </w:rPr>
        <w:t xml:space="preserve"> </w:t>
      </w:r>
      <w:r w:rsidRPr="00C91D92">
        <w:rPr>
          <w:rStyle w:val="Emphasis"/>
          <w:szCs w:val="20"/>
        </w:rPr>
        <w:t>Wing</w:t>
      </w:r>
      <w:r w:rsidR="00C64050">
        <w:rPr>
          <w:szCs w:val="20"/>
        </w:rPr>
        <w:t xml:space="preserve"> </w:t>
      </w:r>
      <w:r w:rsidRPr="00C91D92">
        <w:rPr>
          <w:szCs w:val="20"/>
        </w:rPr>
        <w:t>(1994)</w:t>
      </w:r>
      <w:r w:rsidR="00C64050">
        <w:rPr>
          <w:szCs w:val="20"/>
        </w:rPr>
        <w:t xml:space="preserve"> </w:t>
      </w:r>
      <w:r w:rsidRPr="00C91D92">
        <w:rPr>
          <w:szCs w:val="20"/>
        </w:rPr>
        <w:t>26</w:t>
      </w:r>
      <w:r w:rsidR="00C64050">
        <w:rPr>
          <w:szCs w:val="20"/>
        </w:rPr>
        <w:t xml:space="preserve"> </w:t>
      </w:r>
      <w:r w:rsidRPr="00C91D92">
        <w:rPr>
          <w:szCs w:val="20"/>
        </w:rPr>
        <w:t>Cal.App.4th</w:t>
      </w:r>
      <w:r w:rsidR="00C64050">
        <w:rPr>
          <w:szCs w:val="20"/>
        </w:rPr>
        <w:t xml:space="preserve"> </w:t>
      </w:r>
      <w:r w:rsidRPr="00C91D92">
        <w:rPr>
          <w:szCs w:val="20"/>
        </w:rPr>
        <w:t>409,</w:t>
      </w:r>
      <w:r w:rsidR="00C64050">
        <w:rPr>
          <w:szCs w:val="20"/>
        </w:rPr>
        <w:t xml:space="preserve"> </w:t>
      </w:r>
      <w:r w:rsidRPr="00C91D92">
        <w:rPr>
          <w:szCs w:val="20"/>
        </w:rPr>
        <w:t>418-419,</w:t>
      </w:r>
      <w:r w:rsidR="00C64050">
        <w:rPr>
          <w:szCs w:val="20"/>
        </w:rPr>
        <w:t xml:space="preserve"> </w:t>
      </w:r>
      <w:r w:rsidRPr="00C91D92">
        <w:rPr>
          <w:szCs w:val="20"/>
        </w:rPr>
        <w:t>31</w:t>
      </w:r>
      <w:r w:rsidR="00C64050">
        <w:rPr>
          <w:szCs w:val="20"/>
        </w:rPr>
        <w:t xml:space="preserve"> </w:t>
      </w:r>
      <w:r w:rsidRPr="00C91D92">
        <w:rPr>
          <w:szCs w:val="20"/>
        </w:rPr>
        <w:t>Cal.Rptr.2d</w:t>
      </w:r>
      <w:r w:rsidR="00C64050">
        <w:rPr>
          <w:szCs w:val="20"/>
        </w:rPr>
        <w:t xml:space="preserve"> </w:t>
      </w:r>
      <w:r w:rsidRPr="00C91D92">
        <w:rPr>
          <w:szCs w:val="20"/>
        </w:rPr>
        <w:t>564</w:t>
      </w:r>
      <w:r w:rsidR="00C64050">
        <w:rPr>
          <w:szCs w:val="20"/>
        </w:rPr>
        <w:t xml:space="preserve"> </w:t>
      </w:r>
      <w:r w:rsidRPr="00C91D92">
        <w:rPr>
          <w:szCs w:val="20"/>
        </w:rPr>
        <w:t>[“persons</w:t>
      </w:r>
      <w:r w:rsidR="00C64050">
        <w:rPr>
          <w:szCs w:val="20"/>
        </w:rPr>
        <w:t xml:space="preserve"> </w:t>
      </w:r>
      <w:r w:rsidRPr="00C91D92">
        <w:rPr>
          <w:szCs w:val="20"/>
        </w:rPr>
        <w:t>in</w:t>
      </w:r>
      <w:r w:rsidR="00C64050">
        <w:rPr>
          <w:szCs w:val="20"/>
        </w:rPr>
        <w:t xml:space="preserve"> </w:t>
      </w:r>
      <w:r w:rsidRPr="00C91D92">
        <w:rPr>
          <w:szCs w:val="20"/>
        </w:rPr>
        <w:t>existence,</w:t>
      </w:r>
      <w:r w:rsidR="00C64050">
        <w:rPr>
          <w:szCs w:val="20"/>
        </w:rPr>
        <w:t xml:space="preserve"> </w:t>
      </w:r>
      <w:r w:rsidRPr="00C91D92">
        <w:rPr>
          <w:szCs w:val="20"/>
        </w:rPr>
        <w:t>who</w:t>
      </w:r>
      <w:r w:rsidR="00C64050">
        <w:rPr>
          <w:szCs w:val="20"/>
        </w:rPr>
        <w:t xml:space="preserve"> </w:t>
      </w:r>
      <w:r w:rsidRPr="00C91D92">
        <w:rPr>
          <w:szCs w:val="20"/>
        </w:rPr>
        <w:t>are</w:t>
      </w:r>
      <w:r w:rsidR="00C64050">
        <w:rPr>
          <w:szCs w:val="20"/>
        </w:rPr>
        <w:t xml:space="preserve"> </w:t>
      </w:r>
      <w:r w:rsidRPr="00C91D92">
        <w:rPr>
          <w:szCs w:val="20"/>
        </w:rPr>
        <w:t>specifically</w:t>
      </w:r>
      <w:r w:rsidR="00C64050">
        <w:rPr>
          <w:szCs w:val="20"/>
        </w:rPr>
        <w:t xml:space="preserve"> </w:t>
      </w:r>
      <w:r w:rsidRPr="00C91D92">
        <w:rPr>
          <w:szCs w:val="20"/>
        </w:rPr>
        <w:t>designated</w:t>
      </w:r>
      <w:r w:rsidR="00C64050">
        <w:rPr>
          <w:szCs w:val="20"/>
        </w:rPr>
        <w:t xml:space="preserve"> </w:t>
      </w:r>
      <w:r w:rsidRPr="00C91D92">
        <w:rPr>
          <w:szCs w:val="20"/>
        </w:rPr>
        <w:t>in</w:t>
      </w:r>
      <w:r w:rsidR="00C64050">
        <w:rPr>
          <w:szCs w:val="20"/>
        </w:rPr>
        <w:t xml:space="preserve"> </w:t>
      </w:r>
      <w:r w:rsidRPr="00C91D92">
        <w:rPr>
          <w:szCs w:val="20"/>
        </w:rPr>
        <w:t>a</w:t>
      </w:r>
      <w:r w:rsidR="00C64050">
        <w:rPr>
          <w:szCs w:val="20"/>
        </w:rPr>
        <w:t xml:space="preserve"> </w:t>
      </w:r>
      <w:r w:rsidRPr="00C91D92">
        <w:rPr>
          <w:szCs w:val="20"/>
        </w:rPr>
        <w:t>trust</w:t>
      </w:r>
      <w:r w:rsidR="00C64050">
        <w:rPr>
          <w:szCs w:val="20"/>
        </w:rPr>
        <w:t xml:space="preserve"> </w:t>
      </w:r>
      <w:r w:rsidRPr="00C91D92">
        <w:rPr>
          <w:szCs w:val="20"/>
        </w:rPr>
        <w:t>instrument</w:t>
      </w:r>
      <w:r w:rsidR="00C64050">
        <w:rPr>
          <w:szCs w:val="20"/>
        </w:rPr>
        <w:t xml:space="preserve"> </w:t>
      </w:r>
      <w:r w:rsidRPr="00C91D92">
        <w:rPr>
          <w:szCs w:val="20"/>
        </w:rPr>
        <w:t>to</w:t>
      </w:r>
      <w:r w:rsidR="00C64050">
        <w:rPr>
          <w:szCs w:val="20"/>
        </w:rPr>
        <w:t xml:space="preserve"> </w:t>
      </w:r>
      <w:r w:rsidRPr="00C91D92">
        <w:rPr>
          <w:szCs w:val="20"/>
        </w:rPr>
        <w:t>take</w:t>
      </w:r>
      <w:r w:rsidR="00C64050">
        <w:rPr>
          <w:szCs w:val="20"/>
        </w:rPr>
        <w:t xml:space="preserve"> </w:t>
      </w:r>
      <w:r w:rsidRPr="00C91D92">
        <w:rPr>
          <w:szCs w:val="20"/>
        </w:rPr>
        <w:t>in</w:t>
      </w:r>
      <w:r w:rsidR="00C64050">
        <w:rPr>
          <w:szCs w:val="20"/>
        </w:rPr>
        <w:t xml:space="preserve"> </w:t>
      </w:r>
      <w:r w:rsidRPr="00C91D92">
        <w:rPr>
          <w:szCs w:val="20"/>
        </w:rPr>
        <w:t>default</w:t>
      </w:r>
      <w:r w:rsidR="00C64050">
        <w:rPr>
          <w:szCs w:val="20"/>
        </w:rPr>
        <w:t xml:space="preserve"> </w:t>
      </w:r>
      <w:r w:rsidRPr="00C91D92">
        <w:rPr>
          <w:szCs w:val="20"/>
        </w:rPr>
        <w:t>of</w:t>
      </w:r>
      <w:r w:rsidR="00C64050">
        <w:rPr>
          <w:szCs w:val="20"/>
        </w:rPr>
        <w:t xml:space="preserve"> </w:t>
      </w:r>
      <w:r w:rsidRPr="00C91D92">
        <w:rPr>
          <w:szCs w:val="20"/>
        </w:rPr>
        <w:t>the</w:t>
      </w:r>
      <w:r w:rsidR="00C64050">
        <w:rPr>
          <w:szCs w:val="20"/>
        </w:rPr>
        <w:t xml:space="preserve"> </w:t>
      </w:r>
      <w:r w:rsidRPr="00C91D92">
        <w:rPr>
          <w:szCs w:val="20"/>
        </w:rPr>
        <w:t>exercise</w:t>
      </w:r>
      <w:r w:rsidR="00C64050">
        <w:rPr>
          <w:szCs w:val="20"/>
        </w:rPr>
        <w:t xml:space="preserve"> </w:t>
      </w:r>
      <w:r w:rsidRPr="00C91D92">
        <w:rPr>
          <w:szCs w:val="20"/>
        </w:rPr>
        <w:t>of</w:t>
      </w:r>
      <w:r w:rsidR="00C64050">
        <w:rPr>
          <w:szCs w:val="20"/>
        </w:rPr>
        <w:t xml:space="preserve"> </w:t>
      </w:r>
      <w:r w:rsidRPr="00C91D92">
        <w:rPr>
          <w:szCs w:val="20"/>
        </w:rPr>
        <w:t>a</w:t>
      </w:r>
      <w:r w:rsidR="00C64050">
        <w:rPr>
          <w:szCs w:val="20"/>
        </w:rPr>
        <w:t xml:space="preserve"> </w:t>
      </w:r>
      <w:r w:rsidRPr="00C91D92">
        <w:rPr>
          <w:szCs w:val="20"/>
        </w:rPr>
        <w:t>power</w:t>
      </w:r>
      <w:r w:rsidR="00C64050">
        <w:rPr>
          <w:szCs w:val="20"/>
        </w:rPr>
        <w:t xml:space="preserve"> </w:t>
      </w:r>
      <w:r w:rsidRPr="00C91D92">
        <w:rPr>
          <w:szCs w:val="20"/>
        </w:rPr>
        <w:t>of</w:t>
      </w:r>
      <w:r w:rsidR="00C64050">
        <w:rPr>
          <w:szCs w:val="20"/>
        </w:rPr>
        <w:t xml:space="preserve"> </w:t>
      </w:r>
      <w:r w:rsidRPr="00C91D92">
        <w:rPr>
          <w:szCs w:val="20"/>
        </w:rPr>
        <w:t>appointment</w:t>
      </w:r>
      <w:r w:rsidR="00C64050">
        <w:rPr>
          <w:szCs w:val="20"/>
        </w:rPr>
        <w:t xml:space="preserve"> </w:t>
      </w:r>
      <w:r w:rsidRPr="00C91D92">
        <w:rPr>
          <w:szCs w:val="20"/>
        </w:rPr>
        <w:t>by</w:t>
      </w:r>
      <w:r w:rsidR="00C64050">
        <w:rPr>
          <w:szCs w:val="20"/>
        </w:rPr>
        <w:t xml:space="preserve"> </w:t>
      </w:r>
      <w:r w:rsidRPr="00C91D92">
        <w:rPr>
          <w:szCs w:val="20"/>
        </w:rPr>
        <w:t>the</w:t>
      </w:r>
      <w:r w:rsidR="00C64050">
        <w:rPr>
          <w:szCs w:val="20"/>
        </w:rPr>
        <w:t xml:space="preserve"> </w:t>
      </w:r>
      <w:r w:rsidRPr="00C91D92">
        <w:rPr>
          <w:szCs w:val="20"/>
        </w:rPr>
        <w:t>holder</w:t>
      </w:r>
      <w:r w:rsidR="00C64050">
        <w:rPr>
          <w:szCs w:val="20"/>
        </w:rPr>
        <w:t xml:space="preserve"> </w:t>
      </w:r>
      <w:r w:rsidRPr="00C91D92">
        <w:rPr>
          <w:szCs w:val="20"/>
        </w:rPr>
        <w:t>of</w:t>
      </w:r>
      <w:r w:rsidR="00C64050">
        <w:rPr>
          <w:szCs w:val="20"/>
        </w:rPr>
        <w:t xml:space="preserve"> </w:t>
      </w:r>
      <w:r w:rsidRPr="00C91D92">
        <w:rPr>
          <w:szCs w:val="20"/>
        </w:rPr>
        <w:t>the</w:t>
      </w:r>
      <w:r w:rsidR="00C64050">
        <w:rPr>
          <w:szCs w:val="20"/>
        </w:rPr>
        <w:t xml:space="preserve"> </w:t>
      </w:r>
      <w:r w:rsidRPr="00C91D92">
        <w:rPr>
          <w:szCs w:val="20"/>
        </w:rPr>
        <w:t>preceding</w:t>
      </w:r>
      <w:r w:rsidR="00C64050">
        <w:rPr>
          <w:szCs w:val="20"/>
        </w:rPr>
        <w:t xml:space="preserve"> </w:t>
      </w:r>
      <w:r w:rsidRPr="00C91D92">
        <w:rPr>
          <w:szCs w:val="20"/>
        </w:rPr>
        <w:t>estate,</w:t>
      </w:r>
      <w:r w:rsidR="00C64050">
        <w:rPr>
          <w:szCs w:val="20"/>
        </w:rPr>
        <w:t xml:space="preserve"> </w:t>
      </w:r>
      <w:r w:rsidRPr="00C91D92">
        <w:rPr>
          <w:szCs w:val="20"/>
        </w:rPr>
        <w:t>are</w:t>
      </w:r>
      <w:r w:rsidR="00C64050">
        <w:rPr>
          <w:szCs w:val="20"/>
        </w:rPr>
        <w:t xml:space="preserve"> </w:t>
      </w:r>
      <w:r w:rsidRPr="00C91D92">
        <w:rPr>
          <w:szCs w:val="20"/>
        </w:rPr>
        <w:t>beneficiaries</w:t>
      </w:r>
      <w:r w:rsidR="00C64050">
        <w:rPr>
          <w:szCs w:val="20"/>
        </w:rPr>
        <w:t xml:space="preserve"> </w:t>
      </w:r>
      <w:r w:rsidRPr="00C91D92">
        <w:rPr>
          <w:szCs w:val="20"/>
        </w:rPr>
        <w:t>of</w:t>
      </w:r>
      <w:r w:rsidR="00C64050">
        <w:rPr>
          <w:szCs w:val="20"/>
        </w:rPr>
        <w:t xml:space="preserve"> </w:t>
      </w:r>
      <w:r w:rsidRPr="00C91D92">
        <w:rPr>
          <w:szCs w:val="20"/>
        </w:rPr>
        <w:t>that</w:t>
      </w:r>
      <w:r w:rsidR="00C64050">
        <w:rPr>
          <w:szCs w:val="20"/>
        </w:rPr>
        <w:t xml:space="preserve"> </w:t>
      </w:r>
      <w:r w:rsidRPr="00C91D92">
        <w:rPr>
          <w:szCs w:val="20"/>
        </w:rPr>
        <w:t>trust</w:t>
      </w:r>
      <w:r w:rsidR="00C64050">
        <w:rPr>
          <w:szCs w:val="20"/>
        </w:rPr>
        <w:t xml:space="preserve"> </w:t>
      </w:r>
      <w:r w:rsidRPr="00C91D92">
        <w:rPr>
          <w:szCs w:val="20"/>
        </w:rPr>
        <w:t>and</w:t>
      </w:r>
      <w:r w:rsidR="00C64050">
        <w:rPr>
          <w:szCs w:val="20"/>
        </w:rPr>
        <w:t xml:space="preserve"> </w:t>
      </w:r>
      <w:r w:rsidRPr="00C91D92">
        <w:rPr>
          <w:szCs w:val="20"/>
        </w:rPr>
        <w:t>acquire</w:t>
      </w:r>
      <w:r w:rsidR="00C64050">
        <w:rPr>
          <w:szCs w:val="20"/>
        </w:rPr>
        <w:t xml:space="preserve"> </w:t>
      </w:r>
      <w:r w:rsidRPr="00C91D92">
        <w:rPr>
          <w:szCs w:val="20"/>
        </w:rPr>
        <w:t>vested</w:t>
      </w:r>
      <w:r w:rsidR="00C64050">
        <w:rPr>
          <w:szCs w:val="20"/>
        </w:rPr>
        <w:t xml:space="preserve"> </w:t>
      </w:r>
      <w:r w:rsidRPr="00C91D92">
        <w:rPr>
          <w:szCs w:val="20"/>
        </w:rPr>
        <w:t>remainder</w:t>
      </w:r>
      <w:r w:rsidR="00C64050">
        <w:rPr>
          <w:szCs w:val="20"/>
        </w:rPr>
        <w:t xml:space="preserve"> </w:t>
      </w:r>
      <w:r w:rsidRPr="00C91D92">
        <w:rPr>
          <w:szCs w:val="20"/>
        </w:rPr>
        <w:t>interests,</w:t>
      </w:r>
      <w:r w:rsidR="00C64050">
        <w:rPr>
          <w:szCs w:val="20"/>
        </w:rPr>
        <w:t xml:space="preserve"> </w:t>
      </w:r>
      <w:r w:rsidRPr="00C91D92">
        <w:rPr>
          <w:szCs w:val="20"/>
        </w:rPr>
        <w:t>although</w:t>
      </w:r>
      <w:r w:rsidR="00C64050">
        <w:rPr>
          <w:szCs w:val="20"/>
        </w:rPr>
        <w:t xml:space="preserve"> </w:t>
      </w:r>
      <w:r w:rsidRPr="00C91D92">
        <w:rPr>
          <w:szCs w:val="20"/>
        </w:rPr>
        <w:t>their</w:t>
      </w:r>
      <w:r w:rsidR="00C64050">
        <w:rPr>
          <w:szCs w:val="20"/>
        </w:rPr>
        <w:t xml:space="preserve"> </w:t>
      </w:r>
      <w:r w:rsidRPr="00C91D92">
        <w:rPr>
          <w:szCs w:val="20"/>
        </w:rPr>
        <w:t>interests</w:t>
      </w:r>
      <w:r w:rsidR="00C64050">
        <w:rPr>
          <w:szCs w:val="20"/>
        </w:rPr>
        <w:t xml:space="preserve"> </w:t>
      </w:r>
      <w:r w:rsidRPr="00C91D92">
        <w:rPr>
          <w:szCs w:val="20"/>
        </w:rPr>
        <w:t>are</w:t>
      </w:r>
      <w:r w:rsidR="00C64050">
        <w:rPr>
          <w:szCs w:val="20"/>
        </w:rPr>
        <w:t xml:space="preserve"> </w:t>
      </w:r>
      <w:r w:rsidRPr="00C91D92">
        <w:rPr>
          <w:szCs w:val="20"/>
        </w:rPr>
        <w:t>subject</w:t>
      </w:r>
      <w:r w:rsidR="00C64050">
        <w:rPr>
          <w:szCs w:val="20"/>
        </w:rPr>
        <w:t xml:space="preserve"> </w:t>
      </w:r>
      <w:r w:rsidRPr="00C91D92">
        <w:rPr>
          <w:szCs w:val="20"/>
        </w:rPr>
        <w:t>to</w:t>
      </w:r>
      <w:r w:rsidR="00C64050">
        <w:rPr>
          <w:szCs w:val="20"/>
        </w:rPr>
        <w:t xml:space="preserve"> </w:t>
      </w:r>
      <w:r w:rsidRPr="00C91D92">
        <w:rPr>
          <w:szCs w:val="20"/>
        </w:rPr>
        <w:t>complete</w:t>
      </w:r>
      <w:r w:rsidR="00C64050">
        <w:rPr>
          <w:szCs w:val="20"/>
        </w:rPr>
        <w:t xml:space="preserve"> </w:t>
      </w:r>
      <w:r w:rsidRPr="00C91D92">
        <w:rPr>
          <w:szCs w:val="20"/>
        </w:rPr>
        <w:t>divestment”];</w:t>
      </w:r>
      <w:r w:rsidR="00C64050">
        <w:rPr>
          <w:szCs w:val="20"/>
        </w:rPr>
        <w:t xml:space="preserve"> </w:t>
      </w:r>
      <w:r w:rsidRPr="00C91D92">
        <w:rPr>
          <w:szCs w:val="20"/>
        </w:rPr>
        <w:t>see</w:t>
      </w:r>
      <w:r w:rsidR="00C64050">
        <w:rPr>
          <w:szCs w:val="20"/>
        </w:rPr>
        <w:t xml:space="preserve"> </w:t>
      </w:r>
      <w:r w:rsidRPr="00C91D92">
        <w:rPr>
          <w:szCs w:val="20"/>
        </w:rPr>
        <w:t>§</w:t>
      </w:r>
      <w:r w:rsidR="00C64050">
        <w:rPr>
          <w:szCs w:val="20"/>
        </w:rPr>
        <w:t xml:space="preserve"> </w:t>
      </w:r>
      <w:r w:rsidRPr="00C91D92">
        <w:rPr>
          <w:szCs w:val="20"/>
        </w:rPr>
        <w:t>672,</w:t>
      </w:r>
      <w:r w:rsidR="00C64050">
        <w:rPr>
          <w:szCs w:val="20"/>
        </w:rPr>
        <w:t xml:space="preserve"> </w:t>
      </w:r>
      <w:r w:rsidRPr="00C91D92">
        <w:rPr>
          <w:szCs w:val="20"/>
        </w:rPr>
        <w:t>subd</w:t>
      </w:r>
      <w:r w:rsidR="00C64050">
        <w:rPr>
          <w:szCs w:val="20"/>
        </w:rPr>
        <w:t xml:space="preserve"> </w:t>
      </w:r>
      <w:r w:rsidRPr="00C91D92">
        <w:rPr>
          <w:szCs w:val="20"/>
        </w:rPr>
        <w:t>(a)</w:t>
      </w:r>
      <w:r w:rsidR="00C64050">
        <w:rPr>
          <w:szCs w:val="20"/>
        </w:rPr>
        <w:t xml:space="preserve"> </w:t>
      </w:r>
      <w:r w:rsidRPr="00C91D92">
        <w:rPr>
          <w:szCs w:val="20"/>
        </w:rPr>
        <w:t>[“if</w:t>
      </w:r>
      <w:r w:rsidR="00C64050">
        <w:rPr>
          <w:szCs w:val="20"/>
        </w:rPr>
        <w:t xml:space="preserve"> </w:t>
      </w:r>
      <w:r w:rsidRPr="00C91D92">
        <w:rPr>
          <w:szCs w:val="20"/>
        </w:rPr>
        <w:t>the</w:t>
      </w:r>
      <w:r w:rsidR="00C64050">
        <w:rPr>
          <w:szCs w:val="20"/>
        </w:rPr>
        <w:t xml:space="preserve"> </w:t>
      </w:r>
      <w:r w:rsidRPr="00C91D92">
        <w:rPr>
          <w:szCs w:val="20"/>
        </w:rPr>
        <w:t>powerholder</w:t>
      </w:r>
      <w:r w:rsidR="00C64050">
        <w:rPr>
          <w:szCs w:val="20"/>
        </w:rPr>
        <w:t xml:space="preserve"> </w:t>
      </w:r>
      <w:r w:rsidRPr="00C91D92">
        <w:rPr>
          <w:szCs w:val="20"/>
        </w:rPr>
        <w:t>of</w:t>
      </w:r>
      <w:r w:rsidR="00C64050">
        <w:rPr>
          <w:szCs w:val="20"/>
        </w:rPr>
        <w:t xml:space="preserve"> </w:t>
      </w:r>
      <w:r w:rsidRPr="00C91D92">
        <w:rPr>
          <w:szCs w:val="20"/>
        </w:rPr>
        <w:t>a</w:t>
      </w:r>
      <w:r w:rsidR="00C64050">
        <w:rPr>
          <w:szCs w:val="20"/>
        </w:rPr>
        <w:t xml:space="preserve"> </w:t>
      </w:r>
      <w:r w:rsidRPr="00C91D92">
        <w:rPr>
          <w:szCs w:val="20"/>
        </w:rPr>
        <w:t>discretionary</w:t>
      </w:r>
      <w:r w:rsidR="00C64050">
        <w:rPr>
          <w:szCs w:val="20"/>
        </w:rPr>
        <w:t xml:space="preserve"> </w:t>
      </w:r>
      <w:r w:rsidRPr="00C91D92">
        <w:rPr>
          <w:szCs w:val="20"/>
        </w:rPr>
        <w:t>power</w:t>
      </w:r>
      <w:r w:rsidR="00C64050">
        <w:rPr>
          <w:szCs w:val="20"/>
        </w:rPr>
        <w:t xml:space="preserve"> </w:t>
      </w:r>
      <w:r w:rsidRPr="00C91D92">
        <w:rPr>
          <w:szCs w:val="20"/>
        </w:rPr>
        <w:t>of</w:t>
      </w:r>
      <w:r w:rsidR="00C64050">
        <w:rPr>
          <w:szCs w:val="20"/>
        </w:rPr>
        <w:t xml:space="preserve"> </w:t>
      </w:r>
      <w:r w:rsidRPr="00C91D92">
        <w:rPr>
          <w:szCs w:val="20"/>
        </w:rPr>
        <w:t>appointment</w:t>
      </w:r>
      <w:r w:rsidR="00C64050">
        <w:rPr>
          <w:szCs w:val="20"/>
        </w:rPr>
        <w:t xml:space="preserve"> </w:t>
      </w:r>
      <w:r w:rsidRPr="00C91D92">
        <w:rPr>
          <w:szCs w:val="20"/>
        </w:rPr>
        <w:t>fails</w:t>
      </w:r>
      <w:r w:rsidR="00C64050">
        <w:rPr>
          <w:szCs w:val="20"/>
        </w:rPr>
        <w:t xml:space="preserve"> </w:t>
      </w:r>
      <w:r w:rsidRPr="00C91D92">
        <w:rPr>
          <w:szCs w:val="20"/>
        </w:rPr>
        <w:t>to</w:t>
      </w:r>
      <w:r w:rsidR="00C64050">
        <w:rPr>
          <w:szCs w:val="20"/>
        </w:rPr>
        <w:t xml:space="preserve"> </w:t>
      </w:r>
      <w:r w:rsidRPr="00C91D92">
        <w:rPr>
          <w:szCs w:val="20"/>
        </w:rPr>
        <w:t>appoint</w:t>
      </w:r>
      <w:r w:rsidR="00C64050">
        <w:rPr>
          <w:szCs w:val="20"/>
        </w:rPr>
        <w:t xml:space="preserve"> </w:t>
      </w:r>
      <w:r w:rsidRPr="00C91D92">
        <w:rPr>
          <w:szCs w:val="20"/>
        </w:rPr>
        <w:t>the</w:t>
      </w:r>
      <w:r w:rsidR="00C64050">
        <w:rPr>
          <w:szCs w:val="20"/>
        </w:rPr>
        <w:t xml:space="preserve"> </w:t>
      </w:r>
      <w:r w:rsidRPr="00C91D92">
        <w:rPr>
          <w:szCs w:val="20"/>
        </w:rPr>
        <w:t>property,</w:t>
      </w:r>
      <w:r w:rsidR="00C64050">
        <w:rPr>
          <w:szCs w:val="20"/>
        </w:rPr>
        <w:t xml:space="preserve"> </w:t>
      </w:r>
      <w:r w:rsidRPr="00C91D92">
        <w:rPr>
          <w:szCs w:val="20"/>
        </w:rPr>
        <w:t>releases</w:t>
      </w:r>
      <w:r w:rsidR="00C64050">
        <w:rPr>
          <w:szCs w:val="20"/>
        </w:rPr>
        <w:t xml:space="preserve"> </w:t>
      </w:r>
      <w:r w:rsidRPr="00C91D92">
        <w:rPr>
          <w:szCs w:val="20"/>
        </w:rPr>
        <w:t>the</w:t>
      </w:r>
      <w:r w:rsidR="00C64050">
        <w:rPr>
          <w:szCs w:val="20"/>
        </w:rPr>
        <w:t xml:space="preserve"> </w:t>
      </w:r>
      <w:r w:rsidRPr="00C91D92">
        <w:rPr>
          <w:szCs w:val="20"/>
        </w:rPr>
        <w:t>entire</w:t>
      </w:r>
      <w:r w:rsidR="00C64050">
        <w:rPr>
          <w:szCs w:val="20"/>
        </w:rPr>
        <w:t xml:space="preserve"> </w:t>
      </w:r>
      <w:r w:rsidRPr="00C91D92">
        <w:rPr>
          <w:szCs w:val="20"/>
        </w:rPr>
        <w:t>power,</w:t>
      </w:r>
      <w:r w:rsidR="00C64050">
        <w:rPr>
          <w:szCs w:val="20"/>
        </w:rPr>
        <w:t xml:space="preserve"> </w:t>
      </w:r>
      <w:r w:rsidRPr="00C91D92">
        <w:rPr>
          <w:szCs w:val="20"/>
        </w:rPr>
        <w:t>or</w:t>
      </w:r>
      <w:r w:rsidR="00C64050">
        <w:rPr>
          <w:szCs w:val="20"/>
        </w:rPr>
        <w:t xml:space="preserve"> </w:t>
      </w:r>
      <w:r w:rsidRPr="00C91D92">
        <w:rPr>
          <w:szCs w:val="20"/>
        </w:rPr>
        <w:t>makes</w:t>
      </w:r>
      <w:r w:rsidR="00C64050">
        <w:rPr>
          <w:szCs w:val="20"/>
        </w:rPr>
        <w:t xml:space="preserve"> </w:t>
      </w:r>
      <w:r w:rsidRPr="00C91D92">
        <w:rPr>
          <w:szCs w:val="20"/>
        </w:rPr>
        <w:t>an</w:t>
      </w:r>
      <w:r w:rsidR="00C64050">
        <w:rPr>
          <w:szCs w:val="20"/>
        </w:rPr>
        <w:t xml:space="preserve"> </w:t>
      </w:r>
      <w:r w:rsidRPr="00C91D92">
        <w:rPr>
          <w:szCs w:val="20"/>
        </w:rPr>
        <w:t>ineffective</w:t>
      </w:r>
      <w:r w:rsidR="00C64050">
        <w:rPr>
          <w:szCs w:val="20"/>
        </w:rPr>
        <w:t xml:space="preserve"> </w:t>
      </w:r>
      <w:r w:rsidRPr="00C91D92">
        <w:rPr>
          <w:szCs w:val="20"/>
        </w:rPr>
        <w:t>appointment,</w:t>
      </w:r>
      <w:r w:rsidR="00C64050">
        <w:rPr>
          <w:szCs w:val="20"/>
        </w:rPr>
        <w:t xml:space="preserve"> </w:t>
      </w:r>
      <w:r w:rsidRPr="00C91D92">
        <w:rPr>
          <w:szCs w:val="20"/>
        </w:rPr>
        <w:t>in</w:t>
      </w:r>
      <w:r w:rsidR="00C64050">
        <w:rPr>
          <w:szCs w:val="20"/>
        </w:rPr>
        <w:t xml:space="preserve"> </w:t>
      </w:r>
      <w:r w:rsidRPr="00C91D92">
        <w:rPr>
          <w:szCs w:val="20"/>
        </w:rPr>
        <w:t>whole</w:t>
      </w:r>
      <w:r w:rsidR="00C64050">
        <w:rPr>
          <w:szCs w:val="20"/>
        </w:rPr>
        <w:t xml:space="preserve"> </w:t>
      </w:r>
      <w:r w:rsidRPr="00C91D92">
        <w:rPr>
          <w:szCs w:val="20"/>
        </w:rPr>
        <w:t>or</w:t>
      </w:r>
      <w:r w:rsidR="00C64050">
        <w:rPr>
          <w:szCs w:val="20"/>
        </w:rPr>
        <w:t xml:space="preserve"> </w:t>
      </w:r>
      <w:r w:rsidRPr="00C91D92">
        <w:rPr>
          <w:szCs w:val="20"/>
        </w:rPr>
        <w:t>in</w:t>
      </w:r>
      <w:r w:rsidR="00C64050">
        <w:rPr>
          <w:szCs w:val="20"/>
        </w:rPr>
        <w:t xml:space="preserve"> </w:t>
      </w:r>
      <w:r w:rsidRPr="00C91D92">
        <w:rPr>
          <w:szCs w:val="20"/>
        </w:rPr>
        <w:t>part,</w:t>
      </w:r>
      <w:r w:rsidR="00C64050">
        <w:rPr>
          <w:szCs w:val="20"/>
        </w:rPr>
        <w:t xml:space="preserve"> </w:t>
      </w:r>
      <w:r w:rsidRPr="00C91D92">
        <w:rPr>
          <w:szCs w:val="20"/>
        </w:rPr>
        <w:t>the</w:t>
      </w:r>
      <w:r w:rsidR="00C64050">
        <w:rPr>
          <w:szCs w:val="20"/>
        </w:rPr>
        <w:t xml:space="preserve"> </w:t>
      </w:r>
      <w:r w:rsidRPr="00C91D92">
        <w:rPr>
          <w:szCs w:val="20"/>
        </w:rPr>
        <w:t>appointive</w:t>
      </w:r>
      <w:r w:rsidR="00C64050">
        <w:rPr>
          <w:szCs w:val="20"/>
        </w:rPr>
        <w:t xml:space="preserve"> </w:t>
      </w:r>
      <w:r w:rsidRPr="00C91D92">
        <w:rPr>
          <w:szCs w:val="20"/>
        </w:rPr>
        <w:t>property</w:t>
      </w:r>
      <w:r w:rsidR="00C64050">
        <w:rPr>
          <w:szCs w:val="20"/>
        </w:rPr>
        <w:t xml:space="preserve"> </w:t>
      </w:r>
      <w:r w:rsidRPr="00C91D92">
        <w:rPr>
          <w:szCs w:val="20"/>
        </w:rPr>
        <w:t>not</w:t>
      </w:r>
      <w:r w:rsidR="00C64050">
        <w:rPr>
          <w:szCs w:val="20"/>
        </w:rPr>
        <w:t xml:space="preserve"> </w:t>
      </w:r>
      <w:r w:rsidRPr="00C91D92">
        <w:rPr>
          <w:szCs w:val="20"/>
        </w:rPr>
        <w:t>effectively</w:t>
      </w:r>
      <w:r w:rsidR="00C64050">
        <w:rPr>
          <w:szCs w:val="20"/>
        </w:rPr>
        <w:t xml:space="preserve"> </w:t>
      </w:r>
      <w:r w:rsidRPr="00C91D92">
        <w:rPr>
          <w:szCs w:val="20"/>
        </w:rPr>
        <w:t>appointed</w:t>
      </w:r>
      <w:r w:rsidR="00C64050">
        <w:rPr>
          <w:szCs w:val="20"/>
        </w:rPr>
        <w:t xml:space="preserve"> </w:t>
      </w:r>
      <w:r w:rsidRPr="00C91D92">
        <w:rPr>
          <w:szCs w:val="20"/>
        </w:rPr>
        <w:t>passes</w:t>
      </w:r>
      <w:r w:rsidR="00C64050">
        <w:rPr>
          <w:szCs w:val="20"/>
        </w:rPr>
        <w:t xml:space="preserve"> </w:t>
      </w:r>
      <w:r w:rsidRPr="00C91D92">
        <w:rPr>
          <w:szCs w:val="20"/>
        </w:rPr>
        <w:t>to</w:t>
      </w:r>
      <w:r w:rsidR="00C64050">
        <w:rPr>
          <w:szCs w:val="20"/>
        </w:rPr>
        <w:t xml:space="preserve"> </w:t>
      </w:r>
      <w:r w:rsidRPr="00C91D92">
        <w:rPr>
          <w:szCs w:val="20"/>
        </w:rPr>
        <w:t>the</w:t>
      </w:r>
      <w:r w:rsidR="00C64050">
        <w:rPr>
          <w:szCs w:val="20"/>
        </w:rPr>
        <w:t xml:space="preserve"> </w:t>
      </w:r>
      <w:r w:rsidRPr="00C91D92">
        <w:rPr>
          <w:szCs w:val="20"/>
        </w:rPr>
        <w:t>person</w:t>
      </w:r>
      <w:r w:rsidR="00C64050">
        <w:rPr>
          <w:szCs w:val="20"/>
        </w:rPr>
        <w:t xml:space="preserve"> </w:t>
      </w:r>
      <w:r w:rsidRPr="00C91D92">
        <w:rPr>
          <w:szCs w:val="20"/>
        </w:rPr>
        <w:t>named</w:t>
      </w:r>
      <w:r w:rsidR="00C64050">
        <w:rPr>
          <w:szCs w:val="20"/>
        </w:rPr>
        <w:t xml:space="preserve"> </w:t>
      </w:r>
      <w:r w:rsidRPr="00C91D92">
        <w:rPr>
          <w:szCs w:val="20"/>
        </w:rPr>
        <w:t>by</w:t>
      </w:r>
      <w:r w:rsidR="00C64050">
        <w:rPr>
          <w:szCs w:val="20"/>
        </w:rPr>
        <w:t xml:space="preserve"> </w:t>
      </w:r>
      <w:r w:rsidRPr="00C91D92">
        <w:rPr>
          <w:szCs w:val="20"/>
        </w:rPr>
        <w:t>the</w:t>
      </w:r>
      <w:r w:rsidR="00C64050">
        <w:rPr>
          <w:szCs w:val="20"/>
        </w:rPr>
        <w:t xml:space="preserve"> </w:t>
      </w:r>
      <w:r w:rsidRPr="00C91D92">
        <w:rPr>
          <w:szCs w:val="20"/>
        </w:rPr>
        <w:t>donor</w:t>
      </w:r>
      <w:r w:rsidR="00C64050">
        <w:rPr>
          <w:szCs w:val="20"/>
        </w:rPr>
        <w:t xml:space="preserve"> </w:t>
      </w:r>
      <w:r w:rsidRPr="00C91D92">
        <w:rPr>
          <w:szCs w:val="20"/>
        </w:rPr>
        <w:t>as</w:t>
      </w:r>
      <w:r w:rsidR="00C64050">
        <w:rPr>
          <w:szCs w:val="20"/>
        </w:rPr>
        <w:t xml:space="preserve"> </w:t>
      </w:r>
      <w:r w:rsidRPr="00C91D92">
        <w:rPr>
          <w:szCs w:val="20"/>
        </w:rPr>
        <w:t>taker</w:t>
      </w:r>
      <w:r w:rsidR="00C64050">
        <w:rPr>
          <w:szCs w:val="20"/>
        </w:rPr>
        <w:t xml:space="preserve"> </w:t>
      </w:r>
      <w:r w:rsidRPr="00C91D92">
        <w:rPr>
          <w:szCs w:val="20"/>
        </w:rPr>
        <w:t>in</w:t>
      </w:r>
      <w:r w:rsidR="00C64050">
        <w:rPr>
          <w:szCs w:val="20"/>
        </w:rPr>
        <w:t xml:space="preserve"> </w:t>
      </w:r>
      <w:r w:rsidRPr="00C91D92">
        <w:rPr>
          <w:szCs w:val="20"/>
        </w:rPr>
        <w:t>default”].)</w:t>
      </w:r>
      <w:r w:rsidR="00C64050">
        <w:rPr>
          <w:szCs w:val="20"/>
        </w:rPr>
        <w:t xml:space="preserve"> </w:t>
      </w:r>
      <w:r w:rsidRPr="00C91D92">
        <w:rPr>
          <w:szCs w:val="20"/>
        </w:rPr>
        <w:t>Thus,</w:t>
      </w:r>
      <w:r w:rsidR="00C64050">
        <w:rPr>
          <w:szCs w:val="20"/>
        </w:rPr>
        <w:t xml:space="preserve"> </w:t>
      </w:r>
      <w:r w:rsidRPr="00C91D92">
        <w:rPr>
          <w:szCs w:val="20"/>
        </w:rPr>
        <w:t>Mark’s</w:t>
      </w:r>
      <w:r w:rsidR="00C64050">
        <w:rPr>
          <w:szCs w:val="20"/>
        </w:rPr>
        <w:t xml:space="preserve"> </w:t>
      </w:r>
      <w:r w:rsidRPr="00C91D92">
        <w:rPr>
          <w:szCs w:val="20"/>
        </w:rPr>
        <w:t>contingent</w:t>
      </w:r>
      <w:r w:rsidR="00C64050">
        <w:rPr>
          <w:szCs w:val="20"/>
        </w:rPr>
        <w:t xml:space="preserve"> </w:t>
      </w:r>
      <w:r w:rsidRPr="00C91D92">
        <w:rPr>
          <w:szCs w:val="20"/>
        </w:rPr>
        <w:t>future</w:t>
      </w:r>
      <w:r w:rsidR="00C64050">
        <w:rPr>
          <w:szCs w:val="20"/>
        </w:rPr>
        <w:t xml:space="preserve"> </w:t>
      </w:r>
      <w:r w:rsidRPr="00C91D92">
        <w:rPr>
          <w:szCs w:val="20"/>
        </w:rPr>
        <w:t>interest</w:t>
      </w:r>
      <w:r w:rsidR="00C64050">
        <w:rPr>
          <w:szCs w:val="20"/>
        </w:rPr>
        <w:t xml:space="preserve"> </w:t>
      </w:r>
      <w:r w:rsidRPr="00C91D92">
        <w:rPr>
          <w:szCs w:val="20"/>
        </w:rPr>
        <w:t>in</w:t>
      </w:r>
      <w:r w:rsidR="00C64050">
        <w:rPr>
          <w:szCs w:val="20"/>
        </w:rPr>
        <w:t xml:space="preserve"> </w:t>
      </w:r>
      <w:r w:rsidRPr="00C91D92">
        <w:rPr>
          <w:szCs w:val="20"/>
        </w:rPr>
        <w:t>the</w:t>
      </w:r>
      <w:r w:rsidR="00C64050">
        <w:rPr>
          <w:szCs w:val="20"/>
        </w:rPr>
        <w:t xml:space="preserve"> </w:t>
      </w:r>
      <w:r w:rsidRPr="00C91D92">
        <w:rPr>
          <w:szCs w:val="20"/>
        </w:rPr>
        <w:t>remainder</w:t>
      </w:r>
      <w:r w:rsidR="00C64050">
        <w:rPr>
          <w:szCs w:val="20"/>
        </w:rPr>
        <w:t xml:space="preserve"> </w:t>
      </w:r>
      <w:r w:rsidRPr="00C91D92">
        <w:rPr>
          <w:szCs w:val="20"/>
        </w:rPr>
        <w:t>of</w:t>
      </w:r>
      <w:r w:rsidR="00C64050">
        <w:rPr>
          <w:szCs w:val="20"/>
        </w:rPr>
        <w:t xml:space="preserve"> </w:t>
      </w:r>
      <w:r w:rsidRPr="00C91D92">
        <w:rPr>
          <w:szCs w:val="20"/>
        </w:rPr>
        <w:t>the</w:t>
      </w:r>
      <w:r w:rsidR="00C64050">
        <w:rPr>
          <w:szCs w:val="20"/>
        </w:rPr>
        <w:t xml:space="preserve"> </w:t>
      </w:r>
      <w:r w:rsidRPr="00C91D92">
        <w:rPr>
          <w:szCs w:val="20"/>
        </w:rPr>
        <w:t>FYR</w:t>
      </w:r>
      <w:r w:rsidR="00C64050">
        <w:rPr>
          <w:szCs w:val="20"/>
        </w:rPr>
        <w:t xml:space="preserve"> </w:t>
      </w:r>
      <w:r w:rsidRPr="00C91D92">
        <w:rPr>
          <w:szCs w:val="20"/>
        </w:rPr>
        <w:t>Trust</w:t>
      </w:r>
      <w:r w:rsidR="00C64050">
        <w:rPr>
          <w:szCs w:val="20"/>
        </w:rPr>
        <w:t xml:space="preserve"> </w:t>
      </w:r>
      <w:r w:rsidRPr="00C91D92">
        <w:rPr>
          <w:szCs w:val="20"/>
        </w:rPr>
        <w:t>created</w:t>
      </w:r>
      <w:r w:rsidR="00C64050">
        <w:rPr>
          <w:szCs w:val="20"/>
        </w:rPr>
        <w:t xml:space="preserve"> </w:t>
      </w:r>
      <w:r w:rsidRPr="00C91D92">
        <w:rPr>
          <w:szCs w:val="20"/>
        </w:rPr>
        <w:t>by</w:t>
      </w:r>
      <w:r w:rsidR="00C64050">
        <w:rPr>
          <w:szCs w:val="20"/>
        </w:rPr>
        <w:t xml:space="preserve"> </w:t>
      </w:r>
      <w:r w:rsidRPr="00C91D92">
        <w:rPr>
          <w:szCs w:val="20"/>
        </w:rPr>
        <w:t>the</w:t>
      </w:r>
      <w:r w:rsidR="00C64050">
        <w:rPr>
          <w:szCs w:val="20"/>
        </w:rPr>
        <w:t xml:space="preserve"> </w:t>
      </w:r>
      <w:r w:rsidRPr="00C91D92">
        <w:rPr>
          <w:szCs w:val="20"/>
        </w:rPr>
        <w:t>MWR</w:t>
      </w:r>
      <w:r w:rsidR="00C64050">
        <w:rPr>
          <w:szCs w:val="20"/>
        </w:rPr>
        <w:t xml:space="preserve"> </w:t>
      </w:r>
      <w:r w:rsidRPr="00C91D92">
        <w:rPr>
          <w:szCs w:val="20"/>
        </w:rPr>
        <w:t>Will</w:t>
      </w:r>
      <w:r w:rsidR="00C64050">
        <w:rPr>
          <w:szCs w:val="20"/>
        </w:rPr>
        <w:t xml:space="preserve"> </w:t>
      </w:r>
      <w:r w:rsidRPr="00C91D92">
        <w:rPr>
          <w:szCs w:val="20"/>
        </w:rPr>
        <w:t>upon</w:t>
      </w:r>
      <w:r w:rsidR="00C64050">
        <w:rPr>
          <w:szCs w:val="20"/>
        </w:rPr>
        <w:t xml:space="preserve"> </w:t>
      </w:r>
      <w:r w:rsidRPr="00C91D92">
        <w:rPr>
          <w:szCs w:val="20"/>
        </w:rPr>
        <w:t>McKie</w:t>
      </w:r>
      <w:r w:rsidR="00C64050">
        <w:rPr>
          <w:szCs w:val="20"/>
        </w:rPr>
        <w:t xml:space="preserve"> </w:t>
      </w:r>
      <w:r w:rsidRPr="00C91D92">
        <w:rPr>
          <w:szCs w:val="20"/>
        </w:rPr>
        <w:t>Sr.’s</w:t>
      </w:r>
      <w:r w:rsidR="00C64050">
        <w:rPr>
          <w:szCs w:val="20"/>
        </w:rPr>
        <w:t xml:space="preserve"> </w:t>
      </w:r>
      <w:r w:rsidRPr="00C91D92">
        <w:rPr>
          <w:szCs w:val="20"/>
        </w:rPr>
        <w:t>death</w:t>
      </w:r>
      <w:r w:rsidR="00C64050">
        <w:rPr>
          <w:szCs w:val="20"/>
        </w:rPr>
        <w:t xml:space="preserve"> </w:t>
      </w:r>
      <w:r w:rsidRPr="00C91D92">
        <w:rPr>
          <w:szCs w:val="20"/>
        </w:rPr>
        <w:t>was</w:t>
      </w:r>
      <w:r w:rsidR="00C64050">
        <w:rPr>
          <w:szCs w:val="20"/>
        </w:rPr>
        <w:t xml:space="preserve"> </w:t>
      </w:r>
      <w:r w:rsidRPr="00C91D92">
        <w:rPr>
          <w:szCs w:val="20"/>
        </w:rPr>
        <w:t>a</w:t>
      </w:r>
      <w:r w:rsidR="00C64050">
        <w:rPr>
          <w:szCs w:val="20"/>
        </w:rPr>
        <w:t xml:space="preserve"> </w:t>
      </w:r>
      <w:r w:rsidRPr="00C91D92">
        <w:rPr>
          <w:szCs w:val="20"/>
        </w:rPr>
        <w:t>cognizable</w:t>
      </w:r>
      <w:r w:rsidR="00C64050">
        <w:rPr>
          <w:szCs w:val="20"/>
        </w:rPr>
        <w:t xml:space="preserve"> </w:t>
      </w:r>
      <w:r w:rsidRPr="00C91D92">
        <w:rPr>
          <w:szCs w:val="20"/>
        </w:rPr>
        <w:t>property</w:t>
      </w:r>
      <w:r w:rsidR="00C64050">
        <w:rPr>
          <w:szCs w:val="20"/>
        </w:rPr>
        <w:t xml:space="preserve"> </w:t>
      </w:r>
      <w:r w:rsidRPr="00C91D92">
        <w:rPr>
          <w:szCs w:val="20"/>
        </w:rPr>
        <w:t>interest,</w:t>
      </w:r>
      <w:r w:rsidR="00C64050">
        <w:rPr>
          <w:szCs w:val="20"/>
        </w:rPr>
        <w:t xml:space="preserve"> </w:t>
      </w:r>
      <w:r w:rsidRPr="00C91D92">
        <w:rPr>
          <w:szCs w:val="20"/>
        </w:rPr>
        <w:t>not</w:t>
      </w:r>
      <w:r w:rsidR="00C64050">
        <w:rPr>
          <w:szCs w:val="20"/>
        </w:rPr>
        <w:t xml:space="preserve"> </w:t>
      </w:r>
      <w:r w:rsidRPr="00C91D92">
        <w:rPr>
          <w:szCs w:val="20"/>
        </w:rPr>
        <w:t>a</w:t>
      </w:r>
      <w:r w:rsidR="00C64050">
        <w:rPr>
          <w:szCs w:val="20"/>
        </w:rPr>
        <w:t xml:space="preserve"> </w:t>
      </w:r>
      <w:r w:rsidRPr="00C91D92">
        <w:rPr>
          <w:szCs w:val="20"/>
        </w:rPr>
        <w:t>mere</w:t>
      </w:r>
      <w:r w:rsidR="00C64050">
        <w:rPr>
          <w:szCs w:val="20"/>
        </w:rPr>
        <w:t xml:space="preserve"> </w:t>
      </w:r>
      <w:r w:rsidRPr="00C91D92">
        <w:rPr>
          <w:szCs w:val="20"/>
        </w:rPr>
        <w:t>expectancy,</w:t>
      </w:r>
      <w:r w:rsidR="00C64050">
        <w:rPr>
          <w:szCs w:val="20"/>
        </w:rPr>
        <w:t xml:space="preserve"> </w:t>
      </w:r>
      <w:r w:rsidRPr="00C91D92">
        <w:rPr>
          <w:szCs w:val="20"/>
        </w:rPr>
        <w:t>and</w:t>
      </w:r>
      <w:r w:rsidR="00C64050">
        <w:rPr>
          <w:szCs w:val="20"/>
        </w:rPr>
        <w:t xml:space="preserve"> </w:t>
      </w:r>
      <w:r w:rsidRPr="00C91D92">
        <w:rPr>
          <w:szCs w:val="20"/>
        </w:rPr>
        <w:t>this</w:t>
      </w:r>
      <w:r w:rsidR="00C64050">
        <w:rPr>
          <w:szCs w:val="20"/>
        </w:rPr>
        <w:t xml:space="preserve"> </w:t>
      </w:r>
      <w:r w:rsidRPr="00C91D92">
        <w:rPr>
          <w:szCs w:val="20"/>
        </w:rPr>
        <w:t>property</w:t>
      </w:r>
      <w:r w:rsidR="00C64050">
        <w:rPr>
          <w:szCs w:val="20"/>
        </w:rPr>
        <w:t xml:space="preserve"> </w:t>
      </w:r>
      <w:r w:rsidRPr="00C91D92">
        <w:rPr>
          <w:szCs w:val="20"/>
        </w:rPr>
        <w:t>interest</w:t>
      </w:r>
      <w:r w:rsidR="00C64050">
        <w:rPr>
          <w:szCs w:val="20"/>
        </w:rPr>
        <w:t xml:space="preserve"> </w:t>
      </w:r>
      <w:r w:rsidRPr="00C91D92">
        <w:rPr>
          <w:szCs w:val="20"/>
        </w:rPr>
        <w:t>did</w:t>
      </w:r>
      <w:r w:rsidR="00C64050">
        <w:rPr>
          <w:szCs w:val="20"/>
        </w:rPr>
        <w:t xml:space="preserve"> </w:t>
      </w:r>
      <w:r w:rsidRPr="00C91D92">
        <w:rPr>
          <w:szCs w:val="20"/>
        </w:rPr>
        <w:t>not</w:t>
      </w:r>
      <w:r w:rsidR="00C64050">
        <w:rPr>
          <w:szCs w:val="20"/>
        </w:rPr>
        <w:t xml:space="preserve"> </w:t>
      </w:r>
      <w:r w:rsidRPr="00C91D92">
        <w:rPr>
          <w:szCs w:val="20"/>
        </w:rPr>
        <w:t>disappear</w:t>
      </w:r>
      <w:r w:rsidR="00C64050">
        <w:rPr>
          <w:szCs w:val="20"/>
        </w:rPr>
        <w:t xml:space="preserve"> </w:t>
      </w:r>
      <w:r w:rsidRPr="00C91D92">
        <w:rPr>
          <w:szCs w:val="20"/>
        </w:rPr>
        <w:t>simply</w:t>
      </w:r>
      <w:r w:rsidR="00C64050">
        <w:rPr>
          <w:szCs w:val="20"/>
        </w:rPr>
        <w:t xml:space="preserve"> </w:t>
      </w:r>
      <w:r w:rsidRPr="00C91D92">
        <w:rPr>
          <w:szCs w:val="20"/>
        </w:rPr>
        <w:t>because</w:t>
      </w:r>
      <w:r w:rsidR="00C64050">
        <w:rPr>
          <w:szCs w:val="20"/>
        </w:rPr>
        <w:t xml:space="preserve"> </w:t>
      </w:r>
      <w:r w:rsidRPr="00C91D92">
        <w:rPr>
          <w:szCs w:val="20"/>
        </w:rPr>
        <w:t>it</w:t>
      </w:r>
      <w:r w:rsidR="00C64050">
        <w:rPr>
          <w:szCs w:val="20"/>
        </w:rPr>
        <w:t xml:space="preserve"> </w:t>
      </w:r>
      <w:r w:rsidRPr="00C91D92">
        <w:rPr>
          <w:szCs w:val="20"/>
        </w:rPr>
        <w:t>was</w:t>
      </w:r>
      <w:r w:rsidR="00C64050">
        <w:rPr>
          <w:szCs w:val="20"/>
        </w:rPr>
        <w:t xml:space="preserve"> </w:t>
      </w:r>
      <w:r w:rsidRPr="00C91D92">
        <w:rPr>
          <w:szCs w:val="20"/>
        </w:rPr>
        <w:t>subject</w:t>
      </w:r>
      <w:r w:rsidR="00C64050">
        <w:rPr>
          <w:szCs w:val="20"/>
        </w:rPr>
        <w:t xml:space="preserve"> </w:t>
      </w:r>
      <w:r w:rsidRPr="00C91D92">
        <w:rPr>
          <w:szCs w:val="20"/>
        </w:rPr>
        <w:t>to</w:t>
      </w:r>
      <w:r w:rsidR="00C64050">
        <w:rPr>
          <w:szCs w:val="20"/>
        </w:rPr>
        <w:t xml:space="preserve"> </w:t>
      </w:r>
      <w:r w:rsidRPr="00C91D92">
        <w:rPr>
          <w:szCs w:val="20"/>
        </w:rPr>
        <w:t>complete</w:t>
      </w:r>
      <w:r w:rsidR="00C64050">
        <w:rPr>
          <w:szCs w:val="20"/>
        </w:rPr>
        <w:t xml:space="preserve"> </w:t>
      </w:r>
      <w:r w:rsidRPr="00C91D92">
        <w:rPr>
          <w:szCs w:val="20"/>
        </w:rPr>
        <w:t>divestment</w:t>
      </w:r>
      <w:r w:rsidR="00C64050">
        <w:rPr>
          <w:szCs w:val="20"/>
        </w:rPr>
        <w:t xml:space="preserve"> </w:t>
      </w:r>
      <w:r w:rsidRPr="00C91D92">
        <w:rPr>
          <w:szCs w:val="20"/>
        </w:rPr>
        <w:t>if</w:t>
      </w:r>
      <w:r w:rsidR="00C64050">
        <w:rPr>
          <w:szCs w:val="20"/>
        </w:rPr>
        <w:t xml:space="preserve"> </w:t>
      </w:r>
      <w:r w:rsidRPr="00C91D92">
        <w:rPr>
          <w:szCs w:val="20"/>
        </w:rPr>
        <w:t>Yvonne</w:t>
      </w:r>
      <w:r w:rsidR="00C64050">
        <w:rPr>
          <w:szCs w:val="20"/>
        </w:rPr>
        <w:t xml:space="preserve"> </w:t>
      </w:r>
      <w:r w:rsidRPr="00C91D92">
        <w:rPr>
          <w:szCs w:val="20"/>
        </w:rPr>
        <w:t>chose</w:t>
      </w:r>
      <w:r w:rsidR="00C64050">
        <w:rPr>
          <w:szCs w:val="20"/>
        </w:rPr>
        <w:t xml:space="preserve"> </w:t>
      </w:r>
      <w:r w:rsidRPr="00C91D92">
        <w:rPr>
          <w:szCs w:val="20"/>
        </w:rPr>
        <w:t>to</w:t>
      </w:r>
      <w:r w:rsidR="00C64050">
        <w:rPr>
          <w:szCs w:val="20"/>
        </w:rPr>
        <w:t xml:space="preserve"> </w:t>
      </w:r>
      <w:r w:rsidRPr="00C91D92">
        <w:rPr>
          <w:szCs w:val="20"/>
        </w:rPr>
        <w:t>exercise</w:t>
      </w:r>
      <w:r w:rsidR="00C64050">
        <w:rPr>
          <w:szCs w:val="20"/>
        </w:rPr>
        <w:t xml:space="preserve"> </w:t>
      </w:r>
      <w:r w:rsidRPr="00C91D92">
        <w:rPr>
          <w:szCs w:val="20"/>
        </w:rPr>
        <w:t>her</w:t>
      </w:r>
      <w:r w:rsidR="00C64050">
        <w:rPr>
          <w:szCs w:val="20"/>
        </w:rPr>
        <w:t xml:space="preserve"> </w:t>
      </w:r>
      <w:r w:rsidRPr="00C91D92">
        <w:rPr>
          <w:szCs w:val="20"/>
        </w:rPr>
        <w:t>testamentary</w:t>
      </w:r>
      <w:r w:rsidR="00C64050">
        <w:rPr>
          <w:szCs w:val="20"/>
        </w:rPr>
        <w:t xml:space="preserve"> </w:t>
      </w:r>
      <w:r w:rsidRPr="00C91D92">
        <w:rPr>
          <w:szCs w:val="20"/>
        </w:rPr>
        <w:t>power</w:t>
      </w:r>
      <w:r w:rsidR="00C64050">
        <w:rPr>
          <w:szCs w:val="20"/>
        </w:rPr>
        <w:t xml:space="preserve"> </w:t>
      </w:r>
      <w:r w:rsidRPr="00C91D92">
        <w:rPr>
          <w:szCs w:val="20"/>
        </w:rPr>
        <w:t>of</w:t>
      </w:r>
      <w:r w:rsidR="00C64050">
        <w:rPr>
          <w:szCs w:val="20"/>
        </w:rPr>
        <w:t xml:space="preserve"> </w:t>
      </w:r>
      <w:r w:rsidRPr="00C91D92">
        <w:rPr>
          <w:szCs w:val="20"/>
        </w:rPr>
        <w:t>appointment.</w:t>
      </w:r>
    </w:p>
    <w:p w:rsidR="00BA4A3F" w:rsidRDefault="00BA4A3F" w:rsidP="005420BF">
      <w:pPr>
        <w:pStyle w:val="Body15"/>
      </w:pPr>
      <w:r>
        <w:t>The</w:t>
      </w:r>
      <w:r w:rsidR="00C64050">
        <w:t xml:space="preserve"> </w:t>
      </w:r>
      <w:r>
        <w:t>existence</w:t>
      </w:r>
      <w:r w:rsidR="00C64050">
        <w:t xml:space="preserve"> </w:t>
      </w:r>
      <w:r>
        <w:t>of</w:t>
      </w:r>
      <w:r w:rsidR="00C64050">
        <w:t xml:space="preserve"> </w:t>
      </w:r>
      <w:r>
        <w:t>a</w:t>
      </w:r>
      <w:r w:rsidR="00C64050">
        <w:t xml:space="preserve"> </w:t>
      </w:r>
      <w:r>
        <w:t>property</w:t>
      </w:r>
      <w:r w:rsidR="00C64050">
        <w:t xml:space="preserve"> </w:t>
      </w:r>
      <w:r>
        <w:t>interest</w:t>
      </w:r>
      <w:r w:rsidR="00C64050">
        <w:t xml:space="preserve"> </w:t>
      </w:r>
      <w:r>
        <w:t>required</w:t>
      </w:r>
      <w:r w:rsidR="00C64050">
        <w:t xml:space="preserve"> </w:t>
      </w:r>
      <w:r>
        <w:t>notice</w:t>
      </w:r>
      <w:r w:rsidR="00C64050">
        <w:t xml:space="preserve"> </w:t>
      </w:r>
      <w:r>
        <w:t>be</w:t>
      </w:r>
      <w:r w:rsidR="00C64050">
        <w:t xml:space="preserve"> </w:t>
      </w:r>
      <w:r>
        <w:t>given</w:t>
      </w:r>
      <w:r w:rsidR="00C64050">
        <w:t xml:space="preserve"> </w:t>
      </w:r>
      <w:r>
        <w:t>to</w:t>
      </w:r>
      <w:r w:rsidR="00C64050">
        <w:t xml:space="preserve"> </w:t>
      </w:r>
      <w:r>
        <w:t>Mark.</w:t>
      </w:r>
      <w:r w:rsidR="00C64050">
        <w:t xml:space="preserve">  </w:t>
      </w:r>
      <w:r>
        <w:t>The</w:t>
      </w:r>
      <w:r w:rsidR="00C64050">
        <w:t xml:space="preserve"> </w:t>
      </w:r>
      <w:r>
        <w:t>opinion</w:t>
      </w:r>
      <w:r w:rsidR="00C64050">
        <w:t xml:space="preserve"> </w:t>
      </w:r>
      <w:r>
        <w:t>states:</w:t>
      </w:r>
    </w:p>
    <w:p w:rsidR="00C91D92" w:rsidRPr="00C91D92" w:rsidRDefault="00C91D92" w:rsidP="00C91D92">
      <w:pPr>
        <w:pStyle w:val="QS10"/>
        <w:rPr>
          <w:szCs w:val="20"/>
        </w:rPr>
      </w:pPr>
      <w:r w:rsidRPr="00C91D92">
        <w:rPr>
          <w:szCs w:val="20"/>
        </w:rPr>
        <w:t>1.</w:t>
      </w:r>
      <w:r w:rsidR="00C64050">
        <w:rPr>
          <w:szCs w:val="20"/>
        </w:rPr>
        <w:t xml:space="preserve"> </w:t>
      </w:r>
      <w:r w:rsidRPr="00C91D92">
        <w:rPr>
          <w:szCs w:val="20"/>
        </w:rPr>
        <w:t>Due</w:t>
      </w:r>
      <w:r w:rsidR="00C64050">
        <w:rPr>
          <w:szCs w:val="20"/>
        </w:rPr>
        <w:t xml:space="preserve"> </w:t>
      </w:r>
      <w:r w:rsidRPr="00C91D92">
        <w:rPr>
          <w:szCs w:val="20"/>
        </w:rPr>
        <w:t>Process</w:t>
      </w:r>
      <w:r w:rsidR="00C64050">
        <w:rPr>
          <w:szCs w:val="20"/>
        </w:rPr>
        <w:t xml:space="preserve"> </w:t>
      </w:r>
      <w:r w:rsidRPr="00C91D92">
        <w:rPr>
          <w:szCs w:val="20"/>
        </w:rPr>
        <w:t>Requires</w:t>
      </w:r>
      <w:r w:rsidR="00C64050">
        <w:rPr>
          <w:szCs w:val="20"/>
        </w:rPr>
        <w:t xml:space="preserve"> </w:t>
      </w:r>
      <w:r w:rsidRPr="00C91D92">
        <w:rPr>
          <w:szCs w:val="20"/>
        </w:rPr>
        <w:t>Reasonable</w:t>
      </w:r>
      <w:r w:rsidR="00C64050">
        <w:rPr>
          <w:szCs w:val="20"/>
        </w:rPr>
        <w:t xml:space="preserve"> </w:t>
      </w:r>
      <w:r w:rsidRPr="00C91D92">
        <w:rPr>
          <w:szCs w:val="20"/>
        </w:rPr>
        <w:t>Notice</w:t>
      </w:r>
      <w:r w:rsidR="00C64050">
        <w:rPr>
          <w:szCs w:val="20"/>
        </w:rPr>
        <w:t xml:space="preserve"> </w:t>
      </w:r>
      <w:r w:rsidRPr="00C91D92">
        <w:rPr>
          <w:szCs w:val="20"/>
        </w:rPr>
        <w:t>of</w:t>
      </w:r>
      <w:r w:rsidR="00C64050">
        <w:rPr>
          <w:szCs w:val="20"/>
        </w:rPr>
        <w:t xml:space="preserve"> </w:t>
      </w:r>
      <w:r w:rsidRPr="00C91D92">
        <w:rPr>
          <w:szCs w:val="20"/>
        </w:rPr>
        <w:t>Any</w:t>
      </w:r>
      <w:r w:rsidR="00C64050">
        <w:rPr>
          <w:szCs w:val="20"/>
        </w:rPr>
        <w:t xml:space="preserve"> </w:t>
      </w:r>
      <w:r w:rsidRPr="00C91D92">
        <w:rPr>
          <w:szCs w:val="20"/>
        </w:rPr>
        <w:t>Proceeding</w:t>
      </w:r>
      <w:r w:rsidR="00C64050">
        <w:rPr>
          <w:szCs w:val="20"/>
        </w:rPr>
        <w:t xml:space="preserve"> </w:t>
      </w:r>
      <w:r w:rsidRPr="00C91D92">
        <w:rPr>
          <w:szCs w:val="20"/>
        </w:rPr>
        <w:t>Adversely</w:t>
      </w:r>
      <w:r w:rsidR="00C64050">
        <w:rPr>
          <w:szCs w:val="20"/>
        </w:rPr>
        <w:t xml:space="preserve"> </w:t>
      </w:r>
      <w:r w:rsidRPr="00C91D92">
        <w:rPr>
          <w:szCs w:val="20"/>
        </w:rPr>
        <w:t>Affecting</w:t>
      </w:r>
      <w:r w:rsidR="00C64050">
        <w:rPr>
          <w:szCs w:val="20"/>
        </w:rPr>
        <w:t xml:space="preserve"> </w:t>
      </w:r>
      <w:r w:rsidRPr="00C91D92">
        <w:rPr>
          <w:szCs w:val="20"/>
        </w:rPr>
        <w:t>a</w:t>
      </w:r>
      <w:r w:rsidR="00C64050">
        <w:rPr>
          <w:szCs w:val="20"/>
        </w:rPr>
        <w:t xml:space="preserve"> </w:t>
      </w:r>
      <w:r w:rsidRPr="00C91D92">
        <w:rPr>
          <w:szCs w:val="20"/>
        </w:rPr>
        <w:t>Property</w:t>
      </w:r>
      <w:r w:rsidR="00C64050">
        <w:rPr>
          <w:szCs w:val="20"/>
        </w:rPr>
        <w:t xml:space="preserve"> </w:t>
      </w:r>
      <w:r w:rsidRPr="00C91D92">
        <w:rPr>
          <w:szCs w:val="20"/>
        </w:rPr>
        <w:t>Interest</w:t>
      </w:r>
    </w:p>
    <w:p w:rsidR="00C91D92" w:rsidRPr="00C91D92" w:rsidRDefault="00C91D92" w:rsidP="00C91D92">
      <w:pPr>
        <w:pStyle w:val="QS10"/>
        <w:rPr>
          <w:szCs w:val="20"/>
        </w:rPr>
      </w:pPr>
      <w:r w:rsidRPr="00C91D92">
        <w:rPr>
          <w:szCs w:val="20"/>
        </w:rPr>
        <w:t>In</w:t>
      </w:r>
      <w:r w:rsidR="00C64050">
        <w:rPr>
          <w:szCs w:val="20"/>
        </w:rPr>
        <w:t xml:space="preserve"> </w:t>
      </w:r>
      <w:r w:rsidRPr="00C91D92">
        <w:rPr>
          <w:szCs w:val="20"/>
        </w:rPr>
        <w:t>1950,</w:t>
      </w:r>
      <w:r w:rsidR="00C64050">
        <w:rPr>
          <w:szCs w:val="20"/>
        </w:rPr>
        <w:t xml:space="preserve"> </w:t>
      </w:r>
      <w:r w:rsidRPr="00C91D92">
        <w:rPr>
          <w:szCs w:val="20"/>
        </w:rPr>
        <w:t>the</w:t>
      </w:r>
      <w:r w:rsidR="00C64050">
        <w:rPr>
          <w:szCs w:val="20"/>
        </w:rPr>
        <w:t xml:space="preserve"> </w:t>
      </w:r>
      <w:r w:rsidRPr="00C91D92">
        <w:rPr>
          <w:szCs w:val="20"/>
        </w:rPr>
        <w:t>United</w:t>
      </w:r>
      <w:r w:rsidR="00C64050">
        <w:rPr>
          <w:szCs w:val="20"/>
        </w:rPr>
        <w:t xml:space="preserve"> </w:t>
      </w:r>
      <w:r w:rsidRPr="00C91D92">
        <w:rPr>
          <w:szCs w:val="20"/>
        </w:rPr>
        <w:t>States</w:t>
      </w:r>
      <w:r w:rsidR="00C64050">
        <w:rPr>
          <w:szCs w:val="20"/>
        </w:rPr>
        <w:t xml:space="preserve"> </w:t>
      </w:r>
      <w:r w:rsidRPr="00C91D92">
        <w:rPr>
          <w:szCs w:val="20"/>
        </w:rPr>
        <w:t>Supreme</w:t>
      </w:r>
      <w:r w:rsidR="00C64050">
        <w:rPr>
          <w:szCs w:val="20"/>
        </w:rPr>
        <w:t xml:space="preserve"> </w:t>
      </w:r>
      <w:r w:rsidRPr="00C91D92">
        <w:rPr>
          <w:szCs w:val="20"/>
        </w:rPr>
        <w:t>Court</w:t>
      </w:r>
      <w:r w:rsidR="00C64050">
        <w:rPr>
          <w:szCs w:val="20"/>
        </w:rPr>
        <w:t xml:space="preserve"> </w:t>
      </w:r>
      <w:r w:rsidRPr="00C91D92">
        <w:rPr>
          <w:szCs w:val="20"/>
        </w:rPr>
        <w:t>in</w:t>
      </w:r>
      <w:r w:rsidR="00C64050">
        <w:rPr>
          <w:szCs w:val="20"/>
        </w:rPr>
        <w:t xml:space="preserve"> </w:t>
      </w:r>
      <w:r w:rsidRPr="00C91D92">
        <w:rPr>
          <w:rStyle w:val="Emphasis"/>
          <w:szCs w:val="20"/>
        </w:rPr>
        <w:t>Mullane</w:t>
      </w:r>
      <w:r w:rsidR="00C64050">
        <w:rPr>
          <w:rStyle w:val="Emphasis"/>
          <w:szCs w:val="20"/>
        </w:rPr>
        <w:t xml:space="preserve"> </w:t>
      </w:r>
      <w:r w:rsidRPr="00C91D92">
        <w:rPr>
          <w:rStyle w:val="Emphasis"/>
          <w:szCs w:val="20"/>
        </w:rPr>
        <w:t>v.</w:t>
      </w:r>
      <w:r w:rsidR="00C64050">
        <w:rPr>
          <w:rStyle w:val="Emphasis"/>
          <w:szCs w:val="20"/>
        </w:rPr>
        <w:t xml:space="preserve"> </w:t>
      </w:r>
      <w:r w:rsidRPr="00C91D92">
        <w:rPr>
          <w:rStyle w:val="Emphasis"/>
          <w:szCs w:val="20"/>
        </w:rPr>
        <w:t>Central</w:t>
      </w:r>
      <w:r w:rsidR="00C64050">
        <w:rPr>
          <w:rStyle w:val="Emphasis"/>
          <w:szCs w:val="20"/>
        </w:rPr>
        <w:t xml:space="preserve"> </w:t>
      </w:r>
      <w:r w:rsidRPr="00C91D92">
        <w:rPr>
          <w:rStyle w:val="Emphasis"/>
          <w:szCs w:val="20"/>
        </w:rPr>
        <w:t>Hanover</w:t>
      </w:r>
      <w:r w:rsidR="00C64050">
        <w:rPr>
          <w:rStyle w:val="Emphasis"/>
          <w:szCs w:val="20"/>
        </w:rPr>
        <w:t xml:space="preserve"> </w:t>
      </w:r>
      <w:r w:rsidRPr="00C91D92">
        <w:rPr>
          <w:rStyle w:val="Emphasis"/>
          <w:szCs w:val="20"/>
        </w:rPr>
        <w:t>Bank</w:t>
      </w:r>
      <w:r w:rsidR="00C64050">
        <w:rPr>
          <w:rStyle w:val="Emphasis"/>
          <w:szCs w:val="20"/>
        </w:rPr>
        <w:t xml:space="preserve"> </w:t>
      </w:r>
      <w:r w:rsidRPr="00C91D92">
        <w:rPr>
          <w:rStyle w:val="Emphasis"/>
          <w:szCs w:val="20"/>
        </w:rPr>
        <w:t>&amp;</w:t>
      </w:r>
      <w:r w:rsidR="00C64050">
        <w:rPr>
          <w:rStyle w:val="Emphasis"/>
          <w:szCs w:val="20"/>
        </w:rPr>
        <w:t xml:space="preserve"> </w:t>
      </w:r>
      <w:r w:rsidRPr="00C91D92">
        <w:rPr>
          <w:rStyle w:val="Emphasis"/>
          <w:szCs w:val="20"/>
        </w:rPr>
        <w:t>Trust</w:t>
      </w:r>
      <w:r w:rsidR="00C64050">
        <w:rPr>
          <w:rStyle w:val="Emphasis"/>
          <w:szCs w:val="20"/>
        </w:rPr>
        <w:t xml:space="preserve"> </w:t>
      </w:r>
      <w:r w:rsidRPr="00C91D92">
        <w:rPr>
          <w:rStyle w:val="Emphasis"/>
          <w:szCs w:val="20"/>
        </w:rPr>
        <w:t>Co</w:t>
      </w:r>
      <w:r w:rsidRPr="00C91D92">
        <w:rPr>
          <w:szCs w:val="20"/>
        </w:rPr>
        <w:t>.</w:t>
      </w:r>
      <w:r w:rsidR="00C64050">
        <w:rPr>
          <w:szCs w:val="20"/>
        </w:rPr>
        <w:t xml:space="preserve"> </w:t>
      </w:r>
      <w:r w:rsidRPr="00C91D92">
        <w:rPr>
          <w:szCs w:val="20"/>
        </w:rPr>
        <w:t>(1950)</w:t>
      </w:r>
      <w:r w:rsidR="00C64050">
        <w:rPr>
          <w:szCs w:val="20"/>
        </w:rPr>
        <w:t xml:space="preserve"> </w:t>
      </w:r>
      <w:r w:rsidRPr="00C91D92">
        <w:rPr>
          <w:szCs w:val="20"/>
        </w:rPr>
        <w:t>339</w:t>
      </w:r>
      <w:r w:rsidR="00C64050">
        <w:rPr>
          <w:szCs w:val="20"/>
        </w:rPr>
        <w:t xml:space="preserve"> </w:t>
      </w:r>
      <w:r w:rsidRPr="00C91D92">
        <w:rPr>
          <w:szCs w:val="20"/>
        </w:rPr>
        <w:t>U.S.</w:t>
      </w:r>
      <w:r w:rsidR="00C64050">
        <w:rPr>
          <w:szCs w:val="20"/>
        </w:rPr>
        <w:t xml:space="preserve"> </w:t>
      </w:r>
      <w:r w:rsidRPr="00C91D92">
        <w:rPr>
          <w:szCs w:val="20"/>
        </w:rPr>
        <w:t>306,</w:t>
      </w:r>
      <w:r w:rsidR="00C64050">
        <w:rPr>
          <w:szCs w:val="20"/>
        </w:rPr>
        <w:t xml:space="preserve"> </w:t>
      </w:r>
      <w:r w:rsidRPr="00C91D92">
        <w:rPr>
          <w:szCs w:val="20"/>
        </w:rPr>
        <w:t>314,</w:t>
      </w:r>
      <w:r w:rsidR="00C64050">
        <w:rPr>
          <w:szCs w:val="20"/>
        </w:rPr>
        <w:t xml:space="preserve"> </w:t>
      </w:r>
      <w:r w:rsidRPr="00C91D92">
        <w:rPr>
          <w:szCs w:val="20"/>
        </w:rPr>
        <w:t>70</w:t>
      </w:r>
      <w:r w:rsidR="00C64050">
        <w:rPr>
          <w:szCs w:val="20"/>
        </w:rPr>
        <w:t xml:space="preserve"> </w:t>
      </w:r>
      <w:r w:rsidRPr="00C91D92">
        <w:rPr>
          <w:szCs w:val="20"/>
        </w:rPr>
        <w:t>S.Ct.</w:t>
      </w:r>
      <w:r w:rsidR="00C64050">
        <w:rPr>
          <w:szCs w:val="20"/>
        </w:rPr>
        <w:t xml:space="preserve"> </w:t>
      </w:r>
      <w:r w:rsidRPr="00C91D92">
        <w:rPr>
          <w:szCs w:val="20"/>
        </w:rPr>
        <w:t>652,</w:t>
      </w:r>
      <w:r w:rsidR="00C64050">
        <w:rPr>
          <w:szCs w:val="20"/>
        </w:rPr>
        <w:t xml:space="preserve"> </w:t>
      </w:r>
      <w:r w:rsidRPr="00C91D92">
        <w:rPr>
          <w:szCs w:val="20"/>
        </w:rPr>
        <w:t>94</w:t>
      </w:r>
      <w:r w:rsidR="00C64050">
        <w:rPr>
          <w:szCs w:val="20"/>
        </w:rPr>
        <w:t xml:space="preserve"> </w:t>
      </w:r>
      <w:r w:rsidRPr="00C91D92">
        <w:rPr>
          <w:szCs w:val="20"/>
        </w:rPr>
        <w:t>L.Ed.</w:t>
      </w:r>
      <w:r w:rsidR="00C64050">
        <w:rPr>
          <w:szCs w:val="20"/>
        </w:rPr>
        <w:t xml:space="preserve"> </w:t>
      </w:r>
      <w:r w:rsidRPr="00C91D92">
        <w:rPr>
          <w:szCs w:val="20"/>
        </w:rPr>
        <w:t>865</w:t>
      </w:r>
      <w:r w:rsidR="00C64050">
        <w:rPr>
          <w:szCs w:val="20"/>
        </w:rPr>
        <w:t xml:space="preserve"> </w:t>
      </w:r>
      <w:r w:rsidRPr="00C91D92">
        <w:rPr>
          <w:szCs w:val="20"/>
        </w:rPr>
        <w:t>(</w:t>
      </w:r>
      <w:r w:rsidRPr="00C91D92">
        <w:rPr>
          <w:rStyle w:val="Emphasis"/>
          <w:szCs w:val="20"/>
        </w:rPr>
        <w:t>Mullane</w:t>
      </w:r>
      <w:r w:rsidRPr="00C91D92">
        <w:rPr>
          <w:szCs w:val="20"/>
        </w:rPr>
        <w:t>)</w:t>
      </w:r>
      <w:r w:rsidR="00C64050">
        <w:rPr>
          <w:szCs w:val="20"/>
        </w:rPr>
        <w:t xml:space="preserve"> </w:t>
      </w:r>
      <w:r w:rsidRPr="00C91D92">
        <w:rPr>
          <w:szCs w:val="20"/>
        </w:rPr>
        <w:t>“recognized</w:t>
      </w:r>
      <w:r w:rsidR="00C64050">
        <w:rPr>
          <w:szCs w:val="20"/>
        </w:rPr>
        <w:t xml:space="preserve"> </w:t>
      </w:r>
      <w:r w:rsidRPr="00C91D92">
        <w:rPr>
          <w:szCs w:val="20"/>
        </w:rPr>
        <w:t>that</w:t>
      </w:r>
      <w:r w:rsidR="00C64050">
        <w:rPr>
          <w:szCs w:val="20"/>
        </w:rPr>
        <w:t xml:space="preserve"> </w:t>
      </w:r>
      <w:r w:rsidRPr="00C91D92">
        <w:rPr>
          <w:szCs w:val="20"/>
        </w:rPr>
        <w:t>prior</w:t>
      </w:r>
      <w:r w:rsidR="00C64050">
        <w:rPr>
          <w:szCs w:val="20"/>
        </w:rPr>
        <w:t xml:space="preserve"> </w:t>
      </w:r>
      <w:r w:rsidRPr="00C91D92">
        <w:rPr>
          <w:szCs w:val="20"/>
        </w:rPr>
        <w:t>to</w:t>
      </w:r>
      <w:r w:rsidR="00C64050">
        <w:rPr>
          <w:szCs w:val="20"/>
        </w:rPr>
        <w:t xml:space="preserve"> </w:t>
      </w:r>
      <w:r w:rsidRPr="00C91D92">
        <w:rPr>
          <w:szCs w:val="20"/>
        </w:rPr>
        <w:t>an</w:t>
      </w:r>
      <w:r w:rsidR="00C64050">
        <w:rPr>
          <w:szCs w:val="20"/>
        </w:rPr>
        <w:t xml:space="preserve"> </w:t>
      </w:r>
      <w:r w:rsidRPr="00C91D92">
        <w:rPr>
          <w:szCs w:val="20"/>
        </w:rPr>
        <w:t>action</w:t>
      </w:r>
      <w:r w:rsidR="00C64050">
        <w:rPr>
          <w:szCs w:val="20"/>
        </w:rPr>
        <w:t xml:space="preserve"> </w:t>
      </w:r>
      <w:r w:rsidRPr="00C91D92">
        <w:rPr>
          <w:szCs w:val="20"/>
        </w:rPr>
        <w:t>which</w:t>
      </w:r>
      <w:r w:rsidR="00C64050">
        <w:rPr>
          <w:szCs w:val="20"/>
        </w:rPr>
        <w:t xml:space="preserve"> </w:t>
      </w:r>
      <w:r w:rsidRPr="00C91D92">
        <w:rPr>
          <w:szCs w:val="20"/>
        </w:rPr>
        <w:t>will</w:t>
      </w:r>
      <w:r w:rsidR="00C64050">
        <w:rPr>
          <w:szCs w:val="20"/>
        </w:rPr>
        <w:t xml:space="preserve"> </w:t>
      </w:r>
      <w:r w:rsidRPr="00C91D92">
        <w:rPr>
          <w:szCs w:val="20"/>
        </w:rPr>
        <w:t>affect</w:t>
      </w:r>
      <w:r w:rsidR="00C64050">
        <w:rPr>
          <w:szCs w:val="20"/>
        </w:rPr>
        <w:t xml:space="preserve"> </w:t>
      </w:r>
      <w:r w:rsidRPr="00C91D92">
        <w:rPr>
          <w:szCs w:val="20"/>
        </w:rPr>
        <w:t>an</w:t>
      </w:r>
      <w:r w:rsidR="00C64050">
        <w:rPr>
          <w:szCs w:val="20"/>
        </w:rPr>
        <w:t xml:space="preserve"> </w:t>
      </w:r>
      <w:r w:rsidRPr="00C91D92">
        <w:rPr>
          <w:szCs w:val="20"/>
        </w:rPr>
        <w:t>interest</w:t>
      </w:r>
      <w:r w:rsidR="00C64050">
        <w:rPr>
          <w:szCs w:val="20"/>
        </w:rPr>
        <w:t xml:space="preserve"> </w:t>
      </w:r>
      <w:r w:rsidRPr="00C91D92">
        <w:rPr>
          <w:szCs w:val="20"/>
        </w:rPr>
        <w:t>in</w:t>
      </w:r>
      <w:r w:rsidR="00C64050">
        <w:rPr>
          <w:szCs w:val="20"/>
        </w:rPr>
        <w:t xml:space="preserve"> </w:t>
      </w:r>
      <w:r w:rsidRPr="00C91D92">
        <w:rPr>
          <w:szCs w:val="20"/>
        </w:rPr>
        <w:t>life,</w:t>
      </w:r>
      <w:r w:rsidR="00C64050">
        <w:rPr>
          <w:szCs w:val="20"/>
        </w:rPr>
        <w:t xml:space="preserve"> </w:t>
      </w:r>
      <w:r w:rsidRPr="00C91D92">
        <w:rPr>
          <w:szCs w:val="20"/>
        </w:rPr>
        <w:t>liberty,</w:t>
      </w:r>
      <w:r w:rsidR="00C64050">
        <w:rPr>
          <w:szCs w:val="20"/>
        </w:rPr>
        <w:t xml:space="preserve"> </w:t>
      </w:r>
      <w:r w:rsidRPr="00C91D92">
        <w:rPr>
          <w:szCs w:val="20"/>
        </w:rPr>
        <w:t>or</w:t>
      </w:r>
      <w:r w:rsidR="00C64050">
        <w:rPr>
          <w:szCs w:val="20"/>
        </w:rPr>
        <w:t xml:space="preserve"> </w:t>
      </w:r>
      <w:r w:rsidRPr="00C91D92">
        <w:rPr>
          <w:szCs w:val="20"/>
        </w:rPr>
        <w:t>property</w:t>
      </w:r>
      <w:r w:rsidR="00C64050">
        <w:rPr>
          <w:szCs w:val="20"/>
        </w:rPr>
        <w:t xml:space="preserve"> </w:t>
      </w:r>
      <w:r w:rsidRPr="00C91D92">
        <w:rPr>
          <w:szCs w:val="20"/>
        </w:rPr>
        <w:t>protected</w:t>
      </w:r>
      <w:r w:rsidR="00C64050">
        <w:rPr>
          <w:szCs w:val="20"/>
        </w:rPr>
        <w:t xml:space="preserve"> </w:t>
      </w:r>
      <w:r w:rsidRPr="00C91D92">
        <w:rPr>
          <w:szCs w:val="20"/>
        </w:rPr>
        <w:t>by</w:t>
      </w:r>
      <w:r w:rsidR="00C64050">
        <w:rPr>
          <w:szCs w:val="20"/>
        </w:rPr>
        <w:t xml:space="preserve"> </w:t>
      </w:r>
      <w:r w:rsidRPr="00C91D92">
        <w:rPr>
          <w:szCs w:val="20"/>
        </w:rPr>
        <w:t>the</w:t>
      </w:r>
      <w:r w:rsidR="00C64050">
        <w:rPr>
          <w:szCs w:val="20"/>
        </w:rPr>
        <w:t xml:space="preserve"> </w:t>
      </w:r>
      <w:r w:rsidRPr="00C91D92">
        <w:rPr>
          <w:szCs w:val="20"/>
        </w:rPr>
        <w:t>Due</w:t>
      </w:r>
      <w:r w:rsidR="00C64050">
        <w:rPr>
          <w:szCs w:val="20"/>
        </w:rPr>
        <w:t xml:space="preserve"> </w:t>
      </w:r>
      <w:r w:rsidRPr="00C91D92">
        <w:rPr>
          <w:szCs w:val="20"/>
        </w:rPr>
        <w:t>Process</w:t>
      </w:r>
      <w:r w:rsidR="00C64050">
        <w:rPr>
          <w:szCs w:val="20"/>
        </w:rPr>
        <w:t xml:space="preserve"> </w:t>
      </w:r>
      <w:r w:rsidRPr="00C91D92">
        <w:rPr>
          <w:szCs w:val="20"/>
        </w:rPr>
        <w:t>Clause</w:t>
      </w:r>
      <w:r w:rsidR="00C64050">
        <w:rPr>
          <w:szCs w:val="20"/>
        </w:rPr>
        <w:t xml:space="preserve"> </w:t>
      </w:r>
      <w:r w:rsidRPr="00C91D92">
        <w:rPr>
          <w:szCs w:val="20"/>
        </w:rPr>
        <w:t>of</w:t>
      </w:r>
      <w:r w:rsidR="00C64050">
        <w:rPr>
          <w:szCs w:val="20"/>
        </w:rPr>
        <w:t xml:space="preserve"> </w:t>
      </w:r>
      <w:r w:rsidRPr="00C91D92">
        <w:rPr>
          <w:szCs w:val="20"/>
        </w:rPr>
        <w:t>the</w:t>
      </w:r>
      <w:r w:rsidR="00C64050">
        <w:rPr>
          <w:szCs w:val="20"/>
        </w:rPr>
        <w:t xml:space="preserve"> </w:t>
      </w:r>
      <w:r w:rsidRPr="00C91D92">
        <w:rPr>
          <w:szCs w:val="20"/>
        </w:rPr>
        <w:t>Fourteenth</w:t>
      </w:r>
      <w:r w:rsidR="00C64050">
        <w:rPr>
          <w:szCs w:val="20"/>
        </w:rPr>
        <w:t xml:space="preserve"> </w:t>
      </w:r>
      <w:r w:rsidRPr="00C91D92">
        <w:rPr>
          <w:szCs w:val="20"/>
        </w:rPr>
        <w:t>Amendment,</w:t>
      </w:r>
      <w:r w:rsidR="00C64050">
        <w:rPr>
          <w:szCs w:val="20"/>
        </w:rPr>
        <w:t xml:space="preserve"> </w:t>
      </w:r>
      <w:r w:rsidRPr="00C91D92">
        <w:rPr>
          <w:szCs w:val="20"/>
        </w:rPr>
        <w:t>a</w:t>
      </w:r>
      <w:r w:rsidR="00C64050">
        <w:rPr>
          <w:szCs w:val="20"/>
        </w:rPr>
        <w:t xml:space="preserve"> </w:t>
      </w:r>
      <w:r w:rsidRPr="00C91D92">
        <w:rPr>
          <w:szCs w:val="20"/>
        </w:rPr>
        <w:t>State</w:t>
      </w:r>
      <w:r w:rsidR="00C64050">
        <w:rPr>
          <w:szCs w:val="20"/>
        </w:rPr>
        <w:t xml:space="preserve"> </w:t>
      </w:r>
      <w:r w:rsidRPr="00C91D92">
        <w:rPr>
          <w:szCs w:val="20"/>
        </w:rPr>
        <w:t>must</w:t>
      </w:r>
      <w:r w:rsidR="00C64050">
        <w:rPr>
          <w:szCs w:val="20"/>
        </w:rPr>
        <w:t xml:space="preserve"> </w:t>
      </w:r>
      <w:r w:rsidRPr="00C91D92">
        <w:rPr>
          <w:szCs w:val="20"/>
        </w:rPr>
        <w:t>provide</w:t>
      </w:r>
      <w:r w:rsidR="00C64050">
        <w:rPr>
          <w:szCs w:val="20"/>
        </w:rPr>
        <w:t xml:space="preserve"> </w:t>
      </w:r>
      <w:r w:rsidRPr="00C91D92">
        <w:rPr>
          <w:szCs w:val="20"/>
        </w:rPr>
        <w:t>‘notice</w:t>
      </w:r>
      <w:r w:rsidR="00C64050">
        <w:rPr>
          <w:szCs w:val="20"/>
        </w:rPr>
        <w:t xml:space="preserve"> </w:t>
      </w:r>
      <w:r w:rsidRPr="00C91D92">
        <w:rPr>
          <w:szCs w:val="20"/>
        </w:rPr>
        <w:t>reasonably</w:t>
      </w:r>
      <w:r w:rsidR="00C64050">
        <w:rPr>
          <w:szCs w:val="20"/>
        </w:rPr>
        <w:t xml:space="preserve"> </w:t>
      </w:r>
      <w:r w:rsidRPr="00C91D92">
        <w:rPr>
          <w:szCs w:val="20"/>
        </w:rPr>
        <w:t>calculated,</w:t>
      </w:r>
      <w:r w:rsidR="00C64050">
        <w:rPr>
          <w:szCs w:val="20"/>
        </w:rPr>
        <w:t xml:space="preserve"> </w:t>
      </w:r>
      <w:r w:rsidRPr="00C91D92">
        <w:rPr>
          <w:szCs w:val="20"/>
        </w:rPr>
        <w:t>under</w:t>
      </w:r>
      <w:r w:rsidR="00C64050">
        <w:rPr>
          <w:szCs w:val="20"/>
        </w:rPr>
        <w:t xml:space="preserve"> </w:t>
      </w:r>
      <w:r w:rsidRPr="00C91D92">
        <w:rPr>
          <w:szCs w:val="20"/>
        </w:rPr>
        <w:t>all</w:t>
      </w:r>
      <w:r w:rsidR="00C64050">
        <w:rPr>
          <w:szCs w:val="20"/>
        </w:rPr>
        <w:t xml:space="preserve"> </w:t>
      </w:r>
      <w:r w:rsidRPr="00C91D92">
        <w:rPr>
          <w:szCs w:val="20"/>
        </w:rPr>
        <w:t>circumstances,</w:t>
      </w:r>
      <w:r w:rsidR="00C64050">
        <w:rPr>
          <w:szCs w:val="20"/>
        </w:rPr>
        <w:t xml:space="preserve"> </w:t>
      </w:r>
      <w:r w:rsidRPr="00C91D92">
        <w:rPr>
          <w:szCs w:val="20"/>
        </w:rPr>
        <w:t>to</w:t>
      </w:r>
      <w:r w:rsidR="00C64050">
        <w:rPr>
          <w:szCs w:val="20"/>
        </w:rPr>
        <w:t xml:space="preserve"> </w:t>
      </w:r>
      <w:r w:rsidRPr="00C91D92">
        <w:rPr>
          <w:szCs w:val="20"/>
        </w:rPr>
        <w:t>apprise</w:t>
      </w:r>
      <w:r w:rsidR="00C64050">
        <w:rPr>
          <w:szCs w:val="20"/>
        </w:rPr>
        <w:t xml:space="preserve"> </w:t>
      </w:r>
      <w:r w:rsidRPr="00C91D92">
        <w:rPr>
          <w:szCs w:val="20"/>
        </w:rPr>
        <w:t>interested</w:t>
      </w:r>
      <w:r w:rsidR="00C64050">
        <w:rPr>
          <w:szCs w:val="20"/>
        </w:rPr>
        <w:t xml:space="preserve"> </w:t>
      </w:r>
      <w:r w:rsidRPr="00C91D92">
        <w:rPr>
          <w:szCs w:val="20"/>
        </w:rPr>
        <w:t>parties</w:t>
      </w:r>
      <w:r w:rsidR="00C64050">
        <w:rPr>
          <w:szCs w:val="20"/>
        </w:rPr>
        <w:t xml:space="preserve"> </w:t>
      </w:r>
      <w:r w:rsidRPr="00C91D92">
        <w:rPr>
          <w:szCs w:val="20"/>
        </w:rPr>
        <w:t>of</w:t>
      </w:r>
      <w:r w:rsidR="00C64050">
        <w:rPr>
          <w:szCs w:val="20"/>
        </w:rPr>
        <w:t xml:space="preserve"> </w:t>
      </w:r>
      <w:r w:rsidRPr="00C91D92">
        <w:rPr>
          <w:szCs w:val="20"/>
        </w:rPr>
        <w:t>the</w:t>
      </w:r>
      <w:r w:rsidR="00C64050">
        <w:rPr>
          <w:szCs w:val="20"/>
        </w:rPr>
        <w:t xml:space="preserve"> </w:t>
      </w:r>
      <w:r w:rsidRPr="00C91D92">
        <w:rPr>
          <w:szCs w:val="20"/>
        </w:rPr>
        <w:t>pendency</w:t>
      </w:r>
      <w:r w:rsidR="00C64050">
        <w:rPr>
          <w:szCs w:val="20"/>
        </w:rPr>
        <w:t xml:space="preserve"> </w:t>
      </w:r>
      <w:r w:rsidRPr="00C91D92">
        <w:rPr>
          <w:szCs w:val="20"/>
        </w:rPr>
        <w:t>of</w:t>
      </w:r>
      <w:r w:rsidR="00C64050">
        <w:rPr>
          <w:szCs w:val="20"/>
        </w:rPr>
        <w:t xml:space="preserve"> </w:t>
      </w:r>
      <w:r w:rsidRPr="00C91D92">
        <w:rPr>
          <w:szCs w:val="20"/>
        </w:rPr>
        <w:t>the</w:t>
      </w:r>
      <w:r w:rsidR="00C64050">
        <w:rPr>
          <w:szCs w:val="20"/>
        </w:rPr>
        <w:t xml:space="preserve"> </w:t>
      </w:r>
      <w:r w:rsidRPr="00C91D92">
        <w:rPr>
          <w:szCs w:val="20"/>
        </w:rPr>
        <w:t>action</w:t>
      </w:r>
      <w:r w:rsidR="00C64050">
        <w:rPr>
          <w:szCs w:val="20"/>
        </w:rPr>
        <w:t xml:space="preserve"> </w:t>
      </w:r>
      <w:r w:rsidRPr="00C91D92">
        <w:rPr>
          <w:szCs w:val="20"/>
        </w:rPr>
        <w:t>and</w:t>
      </w:r>
      <w:r w:rsidR="00C64050">
        <w:rPr>
          <w:szCs w:val="20"/>
        </w:rPr>
        <w:t xml:space="preserve"> </w:t>
      </w:r>
      <w:r w:rsidRPr="00C91D92">
        <w:rPr>
          <w:szCs w:val="20"/>
        </w:rPr>
        <w:t>afford</w:t>
      </w:r>
      <w:r w:rsidR="00C64050">
        <w:rPr>
          <w:szCs w:val="20"/>
        </w:rPr>
        <w:t xml:space="preserve"> </w:t>
      </w:r>
      <w:r w:rsidRPr="00C91D92">
        <w:rPr>
          <w:szCs w:val="20"/>
        </w:rPr>
        <w:t>them</w:t>
      </w:r>
      <w:r w:rsidR="00C64050">
        <w:rPr>
          <w:szCs w:val="20"/>
        </w:rPr>
        <w:t xml:space="preserve"> </w:t>
      </w:r>
      <w:r w:rsidRPr="00C91D92">
        <w:rPr>
          <w:szCs w:val="20"/>
        </w:rPr>
        <w:t>an</w:t>
      </w:r>
      <w:r w:rsidR="00C64050">
        <w:rPr>
          <w:szCs w:val="20"/>
        </w:rPr>
        <w:t xml:space="preserve"> </w:t>
      </w:r>
      <w:r w:rsidRPr="00C91D92">
        <w:rPr>
          <w:szCs w:val="20"/>
        </w:rPr>
        <w:t>opportunity</w:t>
      </w:r>
      <w:r w:rsidR="00C64050">
        <w:rPr>
          <w:szCs w:val="20"/>
        </w:rPr>
        <w:t xml:space="preserve"> </w:t>
      </w:r>
      <w:r w:rsidRPr="00C91D92">
        <w:rPr>
          <w:szCs w:val="20"/>
        </w:rPr>
        <w:t>to</w:t>
      </w:r>
      <w:r w:rsidR="00C64050">
        <w:rPr>
          <w:szCs w:val="20"/>
        </w:rPr>
        <w:t xml:space="preserve"> </w:t>
      </w:r>
      <w:r w:rsidRPr="00C91D92">
        <w:rPr>
          <w:szCs w:val="20"/>
        </w:rPr>
        <w:t>present</w:t>
      </w:r>
      <w:r w:rsidR="00C64050">
        <w:rPr>
          <w:szCs w:val="20"/>
        </w:rPr>
        <w:t xml:space="preserve"> </w:t>
      </w:r>
      <w:r w:rsidRPr="00C91D92">
        <w:rPr>
          <w:szCs w:val="20"/>
        </w:rPr>
        <w:t>their</w:t>
      </w:r>
      <w:r w:rsidR="00C64050">
        <w:rPr>
          <w:szCs w:val="20"/>
        </w:rPr>
        <w:t xml:space="preserve"> </w:t>
      </w:r>
      <w:r w:rsidRPr="00C91D92">
        <w:rPr>
          <w:szCs w:val="20"/>
        </w:rPr>
        <w:t>objections.’</w:t>
      </w:r>
      <w:r w:rsidR="00C64050">
        <w:rPr>
          <w:szCs w:val="20"/>
        </w:rPr>
        <w:t xml:space="preserve"> </w:t>
      </w:r>
      <w:r w:rsidRPr="00C91D92">
        <w:rPr>
          <w:szCs w:val="20"/>
        </w:rPr>
        <w:t>...</w:t>
      </w:r>
      <w:r w:rsidR="00C64050">
        <w:rPr>
          <w:szCs w:val="20"/>
        </w:rPr>
        <w:t xml:space="preserve"> </w:t>
      </w:r>
      <w:r w:rsidRPr="00C91D92">
        <w:rPr>
          <w:szCs w:val="20"/>
        </w:rPr>
        <w:t>[T]he</w:t>
      </w:r>
      <w:r w:rsidR="00C64050">
        <w:rPr>
          <w:szCs w:val="20"/>
        </w:rPr>
        <w:t xml:space="preserve"> </w:t>
      </w:r>
      <w:r w:rsidRPr="00C91D92">
        <w:rPr>
          <w:szCs w:val="20"/>
        </w:rPr>
        <w:t>Court</w:t>
      </w:r>
      <w:r w:rsidR="00C64050">
        <w:rPr>
          <w:szCs w:val="20"/>
        </w:rPr>
        <w:t xml:space="preserve"> </w:t>
      </w:r>
      <w:r w:rsidRPr="00C91D92">
        <w:rPr>
          <w:szCs w:val="20"/>
        </w:rPr>
        <w:t>held</w:t>
      </w:r>
      <w:r w:rsidR="00C64050">
        <w:rPr>
          <w:szCs w:val="20"/>
        </w:rPr>
        <w:t xml:space="preserve"> </w:t>
      </w:r>
      <w:r w:rsidRPr="00C91D92">
        <w:rPr>
          <w:szCs w:val="20"/>
        </w:rPr>
        <w:t>that</w:t>
      </w:r>
      <w:r w:rsidR="00C64050">
        <w:rPr>
          <w:szCs w:val="20"/>
        </w:rPr>
        <w:t xml:space="preserve"> </w:t>
      </w:r>
      <w:r w:rsidRPr="00C91D92">
        <w:rPr>
          <w:szCs w:val="20"/>
        </w:rPr>
        <w:t>published</w:t>
      </w:r>
      <w:r w:rsidR="00C64050">
        <w:rPr>
          <w:szCs w:val="20"/>
        </w:rPr>
        <w:t xml:space="preserve"> </w:t>
      </w:r>
      <w:r w:rsidRPr="00C91D92">
        <w:rPr>
          <w:szCs w:val="20"/>
        </w:rPr>
        <w:t>notice</w:t>
      </w:r>
      <w:r w:rsidR="00C64050">
        <w:rPr>
          <w:szCs w:val="20"/>
        </w:rPr>
        <w:t xml:space="preserve"> </w:t>
      </w:r>
      <w:r w:rsidRPr="00C91D92">
        <w:rPr>
          <w:szCs w:val="20"/>
        </w:rPr>
        <w:t>of</w:t>
      </w:r>
      <w:r w:rsidR="00C64050">
        <w:rPr>
          <w:szCs w:val="20"/>
        </w:rPr>
        <w:t xml:space="preserve"> </w:t>
      </w:r>
      <w:r w:rsidRPr="00C91D92">
        <w:rPr>
          <w:szCs w:val="20"/>
        </w:rPr>
        <w:t>an</w:t>
      </w:r>
      <w:r w:rsidR="00C64050">
        <w:rPr>
          <w:szCs w:val="20"/>
        </w:rPr>
        <w:t xml:space="preserve"> </w:t>
      </w:r>
      <w:r w:rsidRPr="00C91D92">
        <w:rPr>
          <w:szCs w:val="20"/>
        </w:rPr>
        <w:t>action</w:t>
      </w:r>
      <w:r w:rsidR="00C64050">
        <w:rPr>
          <w:szCs w:val="20"/>
        </w:rPr>
        <w:t xml:space="preserve"> </w:t>
      </w:r>
      <w:r w:rsidRPr="00C91D92">
        <w:rPr>
          <w:szCs w:val="20"/>
        </w:rPr>
        <w:t>to</w:t>
      </w:r>
      <w:r w:rsidR="00C64050">
        <w:rPr>
          <w:szCs w:val="20"/>
        </w:rPr>
        <w:t xml:space="preserve"> </w:t>
      </w:r>
      <w:r w:rsidRPr="00C91D92">
        <w:rPr>
          <w:szCs w:val="20"/>
        </w:rPr>
        <w:t>settle</w:t>
      </w:r>
      <w:r w:rsidR="00C64050">
        <w:rPr>
          <w:szCs w:val="20"/>
        </w:rPr>
        <w:t xml:space="preserve"> </w:t>
      </w:r>
      <w:r w:rsidRPr="00C91D92">
        <w:rPr>
          <w:szCs w:val="20"/>
        </w:rPr>
        <w:t>the</w:t>
      </w:r>
      <w:r w:rsidR="00C64050">
        <w:rPr>
          <w:szCs w:val="20"/>
        </w:rPr>
        <w:t xml:space="preserve"> </w:t>
      </w:r>
      <w:r w:rsidRPr="00C91D92">
        <w:rPr>
          <w:szCs w:val="20"/>
        </w:rPr>
        <w:t>accounts</w:t>
      </w:r>
      <w:r w:rsidR="00C64050">
        <w:rPr>
          <w:szCs w:val="20"/>
        </w:rPr>
        <w:t xml:space="preserve"> </w:t>
      </w:r>
      <w:r w:rsidRPr="00C91D92">
        <w:rPr>
          <w:szCs w:val="20"/>
        </w:rPr>
        <w:t>of</w:t>
      </w:r>
      <w:r w:rsidR="00C64050">
        <w:rPr>
          <w:szCs w:val="20"/>
        </w:rPr>
        <w:t xml:space="preserve"> </w:t>
      </w:r>
      <w:r w:rsidRPr="00C91D92">
        <w:rPr>
          <w:szCs w:val="20"/>
        </w:rPr>
        <w:t>a</w:t>
      </w:r>
      <w:r w:rsidR="00C64050">
        <w:rPr>
          <w:szCs w:val="20"/>
        </w:rPr>
        <w:t xml:space="preserve"> </w:t>
      </w:r>
      <w:r w:rsidRPr="00C91D92">
        <w:rPr>
          <w:szCs w:val="20"/>
        </w:rPr>
        <w:t>common</w:t>
      </w:r>
      <w:r w:rsidR="00C64050">
        <w:rPr>
          <w:szCs w:val="20"/>
        </w:rPr>
        <w:t xml:space="preserve"> </w:t>
      </w:r>
      <w:r w:rsidRPr="00C91D92">
        <w:rPr>
          <w:szCs w:val="20"/>
        </w:rPr>
        <w:t>trust</w:t>
      </w:r>
      <w:r w:rsidR="00C64050">
        <w:rPr>
          <w:szCs w:val="20"/>
        </w:rPr>
        <w:t xml:space="preserve"> </w:t>
      </w:r>
      <w:r w:rsidRPr="00C91D92">
        <w:rPr>
          <w:szCs w:val="20"/>
        </w:rPr>
        <w:t>fund</w:t>
      </w:r>
      <w:r w:rsidR="00C64050">
        <w:rPr>
          <w:szCs w:val="20"/>
        </w:rPr>
        <w:t xml:space="preserve"> </w:t>
      </w:r>
      <w:r w:rsidRPr="00C91D92">
        <w:rPr>
          <w:szCs w:val="20"/>
        </w:rPr>
        <w:t>was</w:t>
      </w:r>
      <w:r w:rsidR="00C64050">
        <w:rPr>
          <w:szCs w:val="20"/>
        </w:rPr>
        <w:t xml:space="preserve"> </w:t>
      </w:r>
      <w:r w:rsidRPr="00C91D92">
        <w:rPr>
          <w:szCs w:val="20"/>
        </w:rPr>
        <w:t>not</w:t>
      </w:r>
      <w:r w:rsidR="00C64050">
        <w:rPr>
          <w:szCs w:val="20"/>
        </w:rPr>
        <w:t xml:space="preserve"> </w:t>
      </w:r>
      <w:r w:rsidRPr="00C91D92">
        <w:rPr>
          <w:szCs w:val="20"/>
        </w:rPr>
        <w:t>sufficient</w:t>
      </w:r>
      <w:r w:rsidR="00C64050">
        <w:rPr>
          <w:szCs w:val="20"/>
        </w:rPr>
        <w:t xml:space="preserve"> </w:t>
      </w:r>
      <w:r w:rsidRPr="00C91D92">
        <w:rPr>
          <w:szCs w:val="20"/>
        </w:rPr>
        <w:t>to</w:t>
      </w:r>
      <w:r w:rsidR="00C64050">
        <w:rPr>
          <w:szCs w:val="20"/>
        </w:rPr>
        <w:t xml:space="preserve"> </w:t>
      </w:r>
      <w:r w:rsidRPr="00C91D92">
        <w:rPr>
          <w:szCs w:val="20"/>
        </w:rPr>
        <w:t>inform</w:t>
      </w:r>
      <w:r w:rsidR="00C64050">
        <w:rPr>
          <w:szCs w:val="20"/>
        </w:rPr>
        <w:t xml:space="preserve"> </w:t>
      </w:r>
      <w:r w:rsidRPr="00C91D92">
        <w:rPr>
          <w:szCs w:val="20"/>
        </w:rPr>
        <w:t>beneficiaries</w:t>
      </w:r>
      <w:r w:rsidR="00C64050">
        <w:rPr>
          <w:szCs w:val="20"/>
        </w:rPr>
        <w:t xml:space="preserve"> </w:t>
      </w:r>
      <w:r w:rsidRPr="00C91D92">
        <w:rPr>
          <w:szCs w:val="20"/>
        </w:rPr>
        <w:t>of</w:t>
      </w:r>
      <w:r w:rsidR="00C64050">
        <w:rPr>
          <w:szCs w:val="20"/>
        </w:rPr>
        <w:t xml:space="preserve"> </w:t>
      </w:r>
      <w:r w:rsidRPr="00C91D92">
        <w:rPr>
          <w:szCs w:val="20"/>
        </w:rPr>
        <w:t>the</w:t>
      </w:r>
      <w:r w:rsidR="00C64050">
        <w:rPr>
          <w:szCs w:val="20"/>
        </w:rPr>
        <w:t xml:space="preserve"> </w:t>
      </w:r>
      <w:r w:rsidRPr="00C91D92">
        <w:rPr>
          <w:szCs w:val="20"/>
        </w:rPr>
        <w:t>trust</w:t>
      </w:r>
      <w:r w:rsidR="00C64050">
        <w:rPr>
          <w:szCs w:val="20"/>
        </w:rPr>
        <w:t xml:space="preserve"> </w:t>
      </w:r>
      <w:r w:rsidRPr="00C91D92">
        <w:rPr>
          <w:szCs w:val="20"/>
        </w:rPr>
        <w:t>whose</w:t>
      </w:r>
      <w:r w:rsidR="00C64050">
        <w:rPr>
          <w:szCs w:val="20"/>
        </w:rPr>
        <w:t xml:space="preserve"> </w:t>
      </w:r>
      <w:r w:rsidRPr="00C91D92">
        <w:rPr>
          <w:szCs w:val="20"/>
        </w:rPr>
        <w:t>names</w:t>
      </w:r>
      <w:r w:rsidR="00C64050">
        <w:rPr>
          <w:szCs w:val="20"/>
        </w:rPr>
        <w:t xml:space="preserve"> </w:t>
      </w:r>
      <w:r w:rsidRPr="00C91D92">
        <w:rPr>
          <w:szCs w:val="20"/>
        </w:rPr>
        <w:t>and</w:t>
      </w:r>
      <w:r w:rsidR="00C64050">
        <w:rPr>
          <w:szCs w:val="20"/>
        </w:rPr>
        <w:t xml:space="preserve"> </w:t>
      </w:r>
      <w:r w:rsidRPr="00C91D92">
        <w:rPr>
          <w:szCs w:val="20"/>
        </w:rPr>
        <w:t>addresses</w:t>
      </w:r>
      <w:r w:rsidR="00C64050">
        <w:rPr>
          <w:szCs w:val="20"/>
        </w:rPr>
        <w:t xml:space="preserve"> </w:t>
      </w:r>
      <w:r w:rsidRPr="00C91D92">
        <w:rPr>
          <w:szCs w:val="20"/>
        </w:rPr>
        <w:t>were</w:t>
      </w:r>
      <w:r w:rsidR="00C64050">
        <w:rPr>
          <w:szCs w:val="20"/>
        </w:rPr>
        <w:t xml:space="preserve"> </w:t>
      </w:r>
      <w:r w:rsidRPr="00C91D92">
        <w:rPr>
          <w:szCs w:val="20"/>
        </w:rPr>
        <w:t>known.</w:t>
      </w:r>
      <w:r w:rsidR="00C64050">
        <w:rPr>
          <w:szCs w:val="20"/>
        </w:rPr>
        <w:t xml:space="preserve"> </w:t>
      </w:r>
      <w:r w:rsidRPr="00C91D92">
        <w:rPr>
          <w:szCs w:val="20"/>
        </w:rPr>
        <w:t>The</w:t>
      </w:r>
      <w:r w:rsidR="00C64050">
        <w:rPr>
          <w:szCs w:val="20"/>
        </w:rPr>
        <w:t xml:space="preserve"> </w:t>
      </w:r>
      <w:r w:rsidRPr="00C91D92">
        <w:rPr>
          <w:szCs w:val="20"/>
        </w:rPr>
        <w:t>Court</w:t>
      </w:r>
      <w:r w:rsidR="00C64050">
        <w:rPr>
          <w:szCs w:val="20"/>
        </w:rPr>
        <w:t xml:space="preserve"> </w:t>
      </w:r>
      <w:r w:rsidRPr="00C91D92">
        <w:rPr>
          <w:szCs w:val="20"/>
        </w:rPr>
        <w:t>explained</w:t>
      </w:r>
      <w:r w:rsidR="00C64050">
        <w:rPr>
          <w:szCs w:val="20"/>
        </w:rPr>
        <w:t xml:space="preserve"> </w:t>
      </w:r>
      <w:r w:rsidRPr="00C91D92">
        <w:rPr>
          <w:szCs w:val="20"/>
        </w:rPr>
        <w:t>that</w:t>
      </w:r>
      <w:r w:rsidR="00C64050">
        <w:rPr>
          <w:szCs w:val="20"/>
        </w:rPr>
        <w:t xml:space="preserve"> </w:t>
      </w:r>
      <w:r w:rsidRPr="00C91D92">
        <w:rPr>
          <w:szCs w:val="20"/>
        </w:rPr>
        <w:t>notice</w:t>
      </w:r>
      <w:r w:rsidR="00C64050">
        <w:rPr>
          <w:szCs w:val="20"/>
        </w:rPr>
        <w:t xml:space="preserve"> </w:t>
      </w:r>
      <w:r w:rsidRPr="00C91D92">
        <w:rPr>
          <w:szCs w:val="20"/>
        </w:rPr>
        <w:t>by</w:t>
      </w:r>
      <w:r w:rsidR="00C64050">
        <w:rPr>
          <w:szCs w:val="20"/>
        </w:rPr>
        <w:t xml:space="preserve"> </w:t>
      </w:r>
      <w:r w:rsidRPr="00C91D92">
        <w:rPr>
          <w:szCs w:val="20"/>
        </w:rPr>
        <w:t>publication</w:t>
      </w:r>
      <w:r w:rsidR="00C64050">
        <w:rPr>
          <w:szCs w:val="20"/>
        </w:rPr>
        <w:t xml:space="preserve"> </w:t>
      </w:r>
      <w:r w:rsidRPr="00C91D92">
        <w:rPr>
          <w:szCs w:val="20"/>
        </w:rPr>
        <w:t>was</w:t>
      </w:r>
      <w:r w:rsidR="00C64050">
        <w:rPr>
          <w:szCs w:val="20"/>
        </w:rPr>
        <w:t xml:space="preserve"> </w:t>
      </w:r>
      <w:r w:rsidRPr="00C91D92">
        <w:rPr>
          <w:szCs w:val="20"/>
        </w:rPr>
        <w:t>not</w:t>
      </w:r>
      <w:r w:rsidR="00C64050">
        <w:rPr>
          <w:szCs w:val="20"/>
        </w:rPr>
        <w:t xml:space="preserve"> </w:t>
      </w:r>
      <w:r w:rsidRPr="00C91D92">
        <w:rPr>
          <w:szCs w:val="20"/>
        </w:rPr>
        <w:t>reasonably</w:t>
      </w:r>
      <w:r w:rsidR="00C64050">
        <w:rPr>
          <w:szCs w:val="20"/>
        </w:rPr>
        <w:t xml:space="preserve"> </w:t>
      </w:r>
      <w:r w:rsidRPr="00C91D92">
        <w:rPr>
          <w:szCs w:val="20"/>
        </w:rPr>
        <w:t>calculated</w:t>
      </w:r>
      <w:r w:rsidR="00C64050">
        <w:rPr>
          <w:szCs w:val="20"/>
        </w:rPr>
        <w:t xml:space="preserve"> </w:t>
      </w:r>
      <w:r w:rsidRPr="00C91D92">
        <w:rPr>
          <w:szCs w:val="20"/>
        </w:rPr>
        <w:t>to</w:t>
      </w:r>
      <w:r w:rsidR="00C64050">
        <w:rPr>
          <w:szCs w:val="20"/>
        </w:rPr>
        <w:t xml:space="preserve"> </w:t>
      </w:r>
      <w:r w:rsidRPr="00C91D92">
        <w:rPr>
          <w:szCs w:val="20"/>
        </w:rPr>
        <w:t>provide</w:t>
      </w:r>
      <w:r w:rsidR="00C64050">
        <w:rPr>
          <w:szCs w:val="20"/>
        </w:rPr>
        <w:t xml:space="preserve"> </w:t>
      </w:r>
      <w:r w:rsidRPr="00C91D92">
        <w:rPr>
          <w:szCs w:val="20"/>
        </w:rPr>
        <w:t>actual</w:t>
      </w:r>
      <w:r w:rsidR="00C64050">
        <w:rPr>
          <w:szCs w:val="20"/>
        </w:rPr>
        <w:t xml:space="preserve"> </w:t>
      </w:r>
      <w:r w:rsidRPr="00C91D92">
        <w:rPr>
          <w:szCs w:val="20"/>
        </w:rPr>
        <w:t>notice</w:t>
      </w:r>
      <w:r w:rsidR="00C64050">
        <w:rPr>
          <w:szCs w:val="20"/>
        </w:rPr>
        <w:t xml:space="preserve"> </w:t>
      </w:r>
      <w:r w:rsidRPr="00C91D92">
        <w:rPr>
          <w:szCs w:val="20"/>
        </w:rPr>
        <w:t>of</w:t>
      </w:r>
      <w:r w:rsidR="00C64050">
        <w:rPr>
          <w:szCs w:val="20"/>
        </w:rPr>
        <w:t xml:space="preserve"> </w:t>
      </w:r>
      <w:r w:rsidRPr="00C91D92">
        <w:rPr>
          <w:szCs w:val="20"/>
        </w:rPr>
        <w:t>the</w:t>
      </w:r>
      <w:r w:rsidR="00C64050">
        <w:rPr>
          <w:szCs w:val="20"/>
        </w:rPr>
        <w:t xml:space="preserve"> </w:t>
      </w:r>
      <w:r w:rsidRPr="00C91D92">
        <w:rPr>
          <w:szCs w:val="20"/>
        </w:rPr>
        <w:t>pending</w:t>
      </w:r>
      <w:r w:rsidR="00C64050">
        <w:rPr>
          <w:szCs w:val="20"/>
        </w:rPr>
        <w:t xml:space="preserve"> </w:t>
      </w:r>
      <w:r w:rsidRPr="00C91D92">
        <w:rPr>
          <w:szCs w:val="20"/>
        </w:rPr>
        <w:t>proceeding</w:t>
      </w:r>
      <w:r w:rsidR="00C64050">
        <w:rPr>
          <w:szCs w:val="20"/>
        </w:rPr>
        <w:t xml:space="preserve"> </w:t>
      </w:r>
      <w:r w:rsidRPr="00C91D92">
        <w:rPr>
          <w:szCs w:val="20"/>
        </w:rPr>
        <w:t>and</w:t>
      </w:r>
      <w:r w:rsidR="00C64050">
        <w:rPr>
          <w:szCs w:val="20"/>
        </w:rPr>
        <w:t xml:space="preserve"> </w:t>
      </w:r>
      <w:r w:rsidRPr="00C91D92">
        <w:rPr>
          <w:szCs w:val="20"/>
        </w:rPr>
        <w:t>was</w:t>
      </w:r>
      <w:r w:rsidR="00C64050">
        <w:rPr>
          <w:szCs w:val="20"/>
        </w:rPr>
        <w:t xml:space="preserve"> </w:t>
      </w:r>
      <w:r w:rsidRPr="00C91D92">
        <w:rPr>
          <w:szCs w:val="20"/>
        </w:rPr>
        <w:t>therefore</w:t>
      </w:r>
      <w:r w:rsidR="00C64050">
        <w:rPr>
          <w:szCs w:val="20"/>
        </w:rPr>
        <w:t xml:space="preserve"> </w:t>
      </w:r>
      <w:r w:rsidRPr="00C91D92">
        <w:rPr>
          <w:szCs w:val="20"/>
        </w:rPr>
        <w:t>inadequate</w:t>
      </w:r>
      <w:r w:rsidR="00C64050">
        <w:rPr>
          <w:szCs w:val="20"/>
        </w:rPr>
        <w:t xml:space="preserve"> </w:t>
      </w:r>
      <w:r w:rsidRPr="00C91D92">
        <w:rPr>
          <w:szCs w:val="20"/>
        </w:rPr>
        <w:t>to</w:t>
      </w:r>
      <w:r w:rsidR="00C64050">
        <w:rPr>
          <w:szCs w:val="20"/>
        </w:rPr>
        <w:t xml:space="preserve"> </w:t>
      </w:r>
      <w:r w:rsidRPr="00C91D92">
        <w:rPr>
          <w:szCs w:val="20"/>
        </w:rPr>
        <w:t>inform</w:t>
      </w:r>
      <w:r w:rsidR="00C64050">
        <w:rPr>
          <w:szCs w:val="20"/>
        </w:rPr>
        <w:t xml:space="preserve"> </w:t>
      </w:r>
      <w:r w:rsidRPr="00C91D92">
        <w:rPr>
          <w:szCs w:val="20"/>
        </w:rPr>
        <w:t>those</w:t>
      </w:r>
      <w:r w:rsidR="00C64050">
        <w:rPr>
          <w:szCs w:val="20"/>
        </w:rPr>
        <w:t xml:space="preserve"> </w:t>
      </w:r>
      <w:r w:rsidRPr="00C91D92">
        <w:rPr>
          <w:szCs w:val="20"/>
        </w:rPr>
        <w:t>who</w:t>
      </w:r>
      <w:r w:rsidR="00C64050">
        <w:rPr>
          <w:szCs w:val="20"/>
        </w:rPr>
        <w:t xml:space="preserve"> </w:t>
      </w:r>
      <w:r w:rsidRPr="00C91D92">
        <w:rPr>
          <w:szCs w:val="20"/>
        </w:rPr>
        <w:t>could</w:t>
      </w:r>
      <w:r w:rsidR="00C64050">
        <w:rPr>
          <w:szCs w:val="20"/>
        </w:rPr>
        <w:t xml:space="preserve"> </w:t>
      </w:r>
      <w:r w:rsidRPr="00C91D92">
        <w:rPr>
          <w:szCs w:val="20"/>
        </w:rPr>
        <w:t>be</w:t>
      </w:r>
      <w:r w:rsidR="00C64050">
        <w:rPr>
          <w:szCs w:val="20"/>
        </w:rPr>
        <w:t xml:space="preserve"> </w:t>
      </w:r>
      <w:r w:rsidRPr="00C91D92">
        <w:rPr>
          <w:szCs w:val="20"/>
        </w:rPr>
        <w:t>notified</w:t>
      </w:r>
      <w:r w:rsidR="00C64050">
        <w:rPr>
          <w:szCs w:val="20"/>
        </w:rPr>
        <w:t xml:space="preserve"> </w:t>
      </w:r>
      <w:r w:rsidRPr="00C91D92">
        <w:rPr>
          <w:szCs w:val="20"/>
        </w:rPr>
        <w:t>by</w:t>
      </w:r>
      <w:r w:rsidR="00C64050">
        <w:rPr>
          <w:szCs w:val="20"/>
        </w:rPr>
        <w:t xml:space="preserve"> </w:t>
      </w:r>
      <w:r w:rsidRPr="00C91D92">
        <w:rPr>
          <w:szCs w:val="20"/>
        </w:rPr>
        <w:t>more</w:t>
      </w:r>
      <w:r w:rsidR="00C64050">
        <w:rPr>
          <w:szCs w:val="20"/>
        </w:rPr>
        <w:t xml:space="preserve"> </w:t>
      </w:r>
      <w:r w:rsidRPr="00C91D92">
        <w:rPr>
          <w:szCs w:val="20"/>
        </w:rPr>
        <w:t>effective</w:t>
      </w:r>
      <w:r w:rsidR="00C64050">
        <w:rPr>
          <w:szCs w:val="20"/>
        </w:rPr>
        <w:t xml:space="preserve"> </w:t>
      </w:r>
      <w:r w:rsidRPr="00C91D92">
        <w:rPr>
          <w:szCs w:val="20"/>
        </w:rPr>
        <w:t>means</w:t>
      </w:r>
      <w:r w:rsidR="00C64050">
        <w:rPr>
          <w:szCs w:val="20"/>
        </w:rPr>
        <w:t xml:space="preserve"> </w:t>
      </w:r>
      <w:r w:rsidRPr="00C91D92">
        <w:rPr>
          <w:szCs w:val="20"/>
        </w:rPr>
        <w:t>such</w:t>
      </w:r>
      <w:r w:rsidR="00C64050">
        <w:rPr>
          <w:szCs w:val="20"/>
        </w:rPr>
        <w:t xml:space="preserve"> </w:t>
      </w:r>
      <w:r w:rsidRPr="00C91D92">
        <w:rPr>
          <w:szCs w:val="20"/>
        </w:rPr>
        <w:t>as</w:t>
      </w:r>
      <w:r w:rsidR="00C64050">
        <w:rPr>
          <w:szCs w:val="20"/>
        </w:rPr>
        <w:t xml:space="preserve"> </w:t>
      </w:r>
      <w:r w:rsidRPr="00C91D92">
        <w:rPr>
          <w:szCs w:val="20"/>
        </w:rPr>
        <w:t>personal</w:t>
      </w:r>
      <w:r w:rsidR="00C64050">
        <w:rPr>
          <w:szCs w:val="20"/>
        </w:rPr>
        <w:t xml:space="preserve"> </w:t>
      </w:r>
      <w:r w:rsidRPr="00C91D92">
        <w:rPr>
          <w:szCs w:val="20"/>
        </w:rPr>
        <w:t>service</w:t>
      </w:r>
      <w:r w:rsidR="00C64050">
        <w:rPr>
          <w:szCs w:val="20"/>
        </w:rPr>
        <w:t xml:space="preserve"> </w:t>
      </w:r>
      <w:r w:rsidRPr="00C91D92">
        <w:rPr>
          <w:szCs w:val="20"/>
        </w:rPr>
        <w:t>or</w:t>
      </w:r>
      <w:r w:rsidR="00C64050">
        <w:rPr>
          <w:szCs w:val="20"/>
        </w:rPr>
        <w:t xml:space="preserve"> </w:t>
      </w:r>
      <w:r w:rsidRPr="00C91D92">
        <w:rPr>
          <w:szCs w:val="20"/>
        </w:rPr>
        <w:t>mailed</w:t>
      </w:r>
      <w:r w:rsidR="00C64050">
        <w:rPr>
          <w:szCs w:val="20"/>
        </w:rPr>
        <w:t xml:space="preserve"> </w:t>
      </w:r>
      <w:r w:rsidRPr="00C91D92">
        <w:rPr>
          <w:szCs w:val="20"/>
        </w:rPr>
        <w:t>notice.”</w:t>
      </w:r>
      <w:r w:rsidR="00C64050">
        <w:rPr>
          <w:szCs w:val="20"/>
        </w:rPr>
        <w:t xml:space="preserve"> </w:t>
      </w:r>
      <w:r w:rsidRPr="00C91D92">
        <w:rPr>
          <w:szCs w:val="20"/>
        </w:rPr>
        <w:t>(</w:t>
      </w:r>
      <w:r w:rsidRPr="00C91D92">
        <w:rPr>
          <w:rStyle w:val="Emphasis"/>
          <w:szCs w:val="20"/>
        </w:rPr>
        <w:t>Mennonite</w:t>
      </w:r>
      <w:r w:rsidR="00C64050">
        <w:rPr>
          <w:rStyle w:val="Emphasis"/>
          <w:szCs w:val="20"/>
        </w:rPr>
        <w:t xml:space="preserve"> </w:t>
      </w:r>
      <w:r w:rsidRPr="00C91D92">
        <w:rPr>
          <w:rStyle w:val="Emphasis"/>
          <w:szCs w:val="20"/>
        </w:rPr>
        <w:t>Bd.</w:t>
      </w:r>
      <w:r w:rsidR="00C64050">
        <w:rPr>
          <w:rStyle w:val="Emphasis"/>
          <w:szCs w:val="20"/>
        </w:rPr>
        <w:t xml:space="preserve"> </w:t>
      </w:r>
      <w:r w:rsidRPr="00C91D92">
        <w:rPr>
          <w:rStyle w:val="Emphasis"/>
          <w:szCs w:val="20"/>
        </w:rPr>
        <w:t>of</w:t>
      </w:r>
      <w:r w:rsidR="00C64050">
        <w:rPr>
          <w:rStyle w:val="Emphasis"/>
          <w:szCs w:val="20"/>
        </w:rPr>
        <w:t xml:space="preserve"> </w:t>
      </w:r>
      <w:r w:rsidRPr="00C91D92">
        <w:rPr>
          <w:rStyle w:val="Emphasis"/>
          <w:szCs w:val="20"/>
        </w:rPr>
        <w:t>Missions</w:t>
      </w:r>
      <w:r w:rsidR="00C64050">
        <w:rPr>
          <w:rStyle w:val="Emphasis"/>
          <w:szCs w:val="20"/>
        </w:rPr>
        <w:t xml:space="preserve"> </w:t>
      </w:r>
      <w:r w:rsidRPr="00C91D92">
        <w:rPr>
          <w:rStyle w:val="Emphasis"/>
          <w:szCs w:val="20"/>
        </w:rPr>
        <w:t>v.</w:t>
      </w:r>
      <w:r w:rsidR="00C64050">
        <w:rPr>
          <w:rStyle w:val="Emphasis"/>
          <w:szCs w:val="20"/>
        </w:rPr>
        <w:t xml:space="preserve"> </w:t>
      </w:r>
      <w:r w:rsidRPr="00C91D92">
        <w:rPr>
          <w:rStyle w:val="Emphasis"/>
          <w:szCs w:val="20"/>
        </w:rPr>
        <w:t>Adams</w:t>
      </w:r>
      <w:r w:rsidR="00C64050">
        <w:rPr>
          <w:szCs w:val="20"/>
        </w:rPr>
        <w:t xml:space="preserve"> </w:t>
      </w:r>
      <w:r w:rsidRPr="00C91D92">
        <w:rPr>
          <w:szCs w:val="20"/>
        </w:rPr>
        <w:t>(1983)</w:t>
      </w:r>
      <w:r w:rsidR="00C64050">
        <w:rPr>
          <w:szCs w:val="20"/>
        </w:rPr>
        <w:t xml:space="preserve"> </w:t>
      </w:r>
      <w:r w:rsidRPr="00C91D92">
        <w:rPr>
          <w:szCs w:val="20"/>
        </w:rPr>
        <w:t>462</w:t>
      </w:r>
      <w:r w:rsidR="00C64050">
        <w:rPr>
          <w:szCs w:val="20"/>
        </w:rPr>
        <w:t xml:space="preserve"> </w:t>
      </w:r>
      <w:r w:rsidRPr="00C91D92">
        <w:rPr>
          <w:szCs w:val="20"/>
        </w:rPr>
        <w:t>U.S.</w:t>
      </w:r>
      <w:r w:rsidR="00C64050">
        <w:rPr>
          <w:szCs w:val="20"/>
        </w:rPr>
        <w:t xml:space="preserve"> </w:t>
      </w:r>
      <w:r w:rsidRPr="00C91D92">
        <w:rPr>
          <w:szCs w:val="20"/>
        </w:rPr>
        <w:t>791,</w:t>
      </w:r>
      <w:r w:rsidR="00C64050">
        <w:rPr>
          <w:szCs w:val="20"/>
        </w:rPr>
        <w:t xml:space="preserve"> </w:t>
      </w:r>
      <w:r w:rsidRPr="00C91D92">
        <w:rPr>
          <w:szCs w:val="20"/>
        </w:rPr>
        <w:t>795,</w:t>
      </w:r>
      <w:r w:rsidR="00C64050">
        <w:rPr>
          <w:szCs w:val="20"/>
        </w:rPr>
        <w:t xml:space="preserve"> </w:t>
      </w:r>
      <w:r w:rsidRPr="00C91D92">
        <w:rPr>
          <w:szCs w:val="20"/>
        </w:rPr>
        <w:t>103</w:t>
      </w:r>
      <w:r w:rsidR="00C64050">
        <w:rPr>
          <w:szCs w:val="20"/>
        </w:rPr>
        <w:t xml:space="preserve"> </w:t>
      </w:r>
      <w:r w:rsidRPr="00C91D92">
        <w:rPr>
          <w:szCs w:val="20"/>
        </w:rPr>
        <w:t>S.Ct.</w:t>
      </w:r>
      <w:r w:rsidR="00C64050">
        <w:rPr>
          <w:szCs w:val="20"/>
        </w:rPr>
        <w:t xml:space="preserve"> </w:t>
      </w:r>
      <w:r w:rsidRPr="00C91D92">
        <w:rPr>
          <w:szCs w:val="20"/>
        </w:rPr>
        <w:t>2706,</w:t>
      </w:r>
      <w:r w:rsidR="00C64050">
        <w:rPr>
          <w:szCs w:val="20"/>
        </w:rPr>
        <w:t xml:space="preserve"> </w:t>
      </w:r>
      <w:r w:rsidRPr="00C91D92">
        <w:rPr>
          <w:szCs w:val="20"/>
        </w:rPr>
        <w:t>77</w:t>
      </w:r>
      <w:r w:rsidR="00C64050">
        <w:rPr>
          <w:szCs w:val="20"/>
        </w:rPr>
        <w:t xml:space="preserve"> </w:t>
      </w:r>
      <w:r w:rsidRPr="00C91D92">
        <w:rPr>
          <w:szCs w:val="20"/>
        </w:rPr>
        <w:t>L.Ed.2d</w:t>
      </w:r>
      <w:r w:rsidR="00C64050">
        <w:rPr>
          <w:szCs w:val="20"/>
        </w:rPr>
        <w:t xml:space="preserve"> </w:t>
      </w:r>
      <w:r w:rsidRPr="00C91D92">
        <w:rPr>
          <w:szCs w:val="20"/>
        </w:rPr>
        <w:t>180</w:t>
      </w:r>
      <w:r w:rsidR="00C64050">
        <w:rPr>
          <w:szCs w:val="20"/>
        </w:rPr>
        <w:t xml:space="preserve"> </w:t>
      </w:r>
      <w:r w:rsidRPr="00C91D92">
        <w:rPr>
          <w:szCs w:val="20"/>
        </w:rPr>
        <w:t>(</w:t>
      </w:r>
      <w:r w:rsidRPr="00C91D92">
        <w:rPr>
          <w:rStyle w:val="Emphasis"/>
          <w:szCs w:val="20"/>
        </w:rPr>
        <w:t>Mennonite</w:t>
      </w:r>
      <w:r w:rsidRPr="00C91D92">
        <w:rPr>
          <w:szCs w:val="20"/>
        </w:rPr>
        <w:t>).)</w:t>
      </w:r>
    </w:p>
    <w:p w:rsidR="00C91D92" w:rsidRPr="00C91D92" w:rsidRDefault="00C91D92" w:rsidP="00C91D92">
      <w:pPr>
        <w:pStyle w:val="QS10"/>
        <w:rPr>
          <w:szCs w:val="20"/>
        </w:rPr>
      </w:pPr>
      <w:r w:rsidRPr="00C91D92">
        <w:rPr>
          <w:szCs w:val="20"/>
        </w:rPr>
        <w:t>In</w:t>
      </w:r>
      <w:r w:rsidR="00C64050">
        <w:rPr>
          <w:szCs w:val="20"/>
        </w:rPr>
        <w:t xml:space="preserve"> </w:t>
      </w:r>
      <w:r w:rsidRPr="00C91D92">
        <w:rPr>
          <w:rStyle w:val="Emphasis"/>
          <w:szCs w:val="20"/>
        </w:rPr>
        <w:t>Mennonite</w:t>
      </w:r>
      <w:r w:rsidRPr="00C91D92">
        <w:rPr>
          <w:szCs w:val="20"/>
        </w:rPr>
        <w:t>,</w:t>
      </w:r>
      <w:r w:rsidR="00C64050">
        <w:rPr>
          <w:szCs w:val="20"/>
        </w:rPr>
        <w:t xml:space="preserve"> </w:t>
      </w:r>
      <w:r w:rsidRPr="00C91D92">
        <w:rPr>
          <w:szCs w:val="20"/>
        </w:rPr>
        <w:t>the</w:t>
      </w:r>
      <w:r w:rsidR="00C64050">
        <w:rPr>
          <w:szCs w:val="20"/>
        </w:rPr>
        <w:t xml:space="preserve"> </w:t>
      </w:r>
      <w:r w:rsidRPr="00C91D92">
        <w:rPr>
          <w:szCs w:val="20"/>
        </w:rPr>
        <w:t>United</w:t>
      </w:r>
      <w:r w:rsidR="00C64050">
        <w:rPr>
          <w:szCs w:val="20"/>
        </w:rPr>
        <w:t xml:space="preserve"> </w:t>
      </w:r>
      <w:r w:rsidRPr="00C91D92">
        <w:rPr>
          <w:szCs w:val="20"/>
        </w:rPr>
        <w:t>States</w:t>
      </w:r>
      <w:r w:rsidR="00C64050">
        <w:rPr>
          <w:szCs w:val="20"/>
        </w:rPr>
        <w:t xml:space="preserve"> </w:t>
      </w:r>
      <w:r w:rsidRPr="00C91D92">
        <w:rPr>
          <w:szCs w:val="20"/>
        </w:rPr>
        <w:t>Supreme</w:t>
      </w:r>
      <w:r w:rsidR="00C64050">
        <w:rPr>
          <w:szCs w:val="20"/>
        </w:rPr>
        <w:t xml:space="preserve"> </w:t>
      </w:r>
      <w:r w:rsidRPr="00C91D92">
        <w:rPr>
          <w:szCs w:val="20"/>
        </w:rPr>
        <w:t>Court</w:t>
      </w:r>
      <w:r w:rsidR="00C64050">
        <w:rPr>
          <w:szCs w:val="20"/>
        </w:rPr>
        <w:t xml:space="preserve"> </w:t>
      </w:r>
      <w:r w:rsidRPr="00C91D92">
        <w:rPr>
          <w:szCs w:val="20"/>
        </w:rPr>
        <w:t>succinctly</w:t>
      </w:r>
      <w:r w:rsidR="00C64050">
        <w:rPr>
          <w:szCs w:val="20"/>
        </w:rPr>
        <w:t xml:space="preserve"> </w:t>
      </w:r>
      <w:r w:rsidRPr="00C91D92">
        <w:rPr>
          <w:szCs w:val="20"/>
        </w:rPr>
        <w:t>stated</w:t>
      </w:r>
      <w:r w:rsidR="00C64050">
        <w:rPr>
          <w:szCs w:val="20"/>
        </w:rPr>
        <w:t xml:space="preserve"> </w:t>
      </w:r>
      <w:r w:rsidRPr="00C91D92">
        <w:rPr>
          <w:szCs w:val="20"/>
        </w:rPr>
        <w:t>the</w:t>
      </w:r>
      <w:r w:rsidR="00C64050">
        <w:rPr>
          <w:szCs w:val="20"/>
        </w:rPr>
        <w:t xml:space="preserve"> </w:t>
      </w:r>
      <w:r w:rsidRPr="00C91D92">
        <w:rPr>
          <w:szCs w:val="20"/>
        </w:rPr>
        <w:t>rule,</w:t>
      </w:r>
      <w:r w:rsidR="00C64050">
        <w:rPr>
          <w:szCs w:val="20"/>
        </w:rPr>
        <w:t xml:space="preserve"> </w:t>
      </w:r>
      <w:r w:rsidRPr="00C91D92">
        <w:rPr>
          <w:szCs w:val="20"/>
        </w:rPr>
        <w:t>“Notice</w:t>
      </w:r>
      <w:r w:rsidR="00C64050">
        <w:rPr>
          <w:szCs w:val="20"/>
        </w:rPr>
        <w:t xml:space="preserve"> </w:t>
      </w:r>
      <w:r w:rsidRPr="00C91D92">
        <w:rPr>
          <w:szCs w:val="20"/>
        </w:rPr>
        <w:t>by</w:t>
      </w:r>
      <w:r w:rsidR="00C64050">
        <w:rPr>
          <w:szCs w:val="20"/>
        </w:rPr>
        <w:t xml:space="preserve"> </w:t>
      </w:r>
      <w:r w:rsidRPr="00C91D92">
        <w:rPr>
          <w:szCs w:val="20"/>
        </w:rPr>
        <w:t>mail</w:t>
      </w:r>
      <w:r w:rsidR="00C64050">
        <w:rPr>
          <w:szCs w:val="20"/>
        </w:rPr>
        <w:t xml:space="preserve"> </w:t>
      </w:r>
      <w:r w:rsidRPr="00C91D92">
        <w:rPr>
          <w:szCs w:val="20"/>
        </w:rPr>
        <w:t>or</w:t>
      </w:r>
      <w:r w:rsidR="00C64050">
        <w:rPr>
          <w:szCs w:val="20"/>
        </w:rPr>
        <w:t xml:space="preserve"> </w:t>
      </w:r>
      <w:r w:rsidRPr="00C91D92">
        <w:rPr>
          <w:szCs w:val="20"/>
        </w:rPr>
        <w:t>other</w:t>
      </w:r>
      <w:r w:rsidR="00C64050">
        <w:rPr>
          <w:szCs w:val="20"/>
        </w:rPr>
        <w:t xml:space="preserve"> </w:t>
      </w:r>
      <w:r w:rsidRPr="00C91D92">
        <w:rPr>
          <w:szCs w:val="20"/>
        </w:rPr>
        <w:t>means</w:t>
      </w:r>
      <w:r w:rsidR="00C64050">
        <w:rPr>
          <w:szCs w:val="20"/>
        </w:rPr>
        <w:t xml:space="preserve"> </w:t>
      </w:r>
      <w:r w:rsidRPr="00C91D92">
        <w:rPr>
          <w:szCs w:val="20"/>
        </w:rPr>
        <w:t>as</w:t>
      </w:r>
      <w:r w:rsidR="00C64050">
        <w:rPr>
          <w:szCs w:val="20"/>
        </w:rPr>
        <w:t xml:space="preserve"> </w:t>
      </w:r>
      <w:r w:rsidRPr="00C91D92">
        <w:rPr>
          <w:szCs w:val="20"/>
        </w:rPr>
        <w:t>certain</w:t>
      </w:r>
      <w:r w:rsidR="00C64050">
        <w:rPr>
          <w:szCs w:val="20"/>
        </w:rPr>
        <w:t xml:space="preserve"> </w:t>
      </w:r>
      <w:r w:rsidRPr="00C91D92">
        <w:rPr>
          <w:szCs w:val="20"/>
        </w:rPr>
        <w:t>to</w:t>
      </w:r>
      <w:r w:rsidR="00C64050">
        <w:rPr>
          <w:szCs w:val="20"/>
        </w:rPr>
        <w:t xml:space="preserve"> </w:t>
      </w:r>
      <w:r w:rsidRPr="00C91D92">
        <w:rPr>
          <w:szCs w:val="20"/>
        </w:rPr>
        <w:t>ensure</w:t>
      </w:r>
      <w:r w:rsidR="00C64050">
        <w:rPr>
          <w:szCs w:val="20"/>
        </w:rPr>
        <w:t xml:space="preserve"> </w:t>
      </w:r>
      <w:r w:rsidRPr="00C91D92">
        <w:rPr>
          <w:szCs w:val="20"/>
        </w:rPr>
        <w:t>actual</w:t>
      </w:r>
      <w:r w:rsidR="00C64050">
        <w:rPr>
          <w:szCs w:val="20"/>
        </w:rPr>
        <w:t xml:space="preserve"> </w:t>
      </w:r>
      <w:r w:rsidRPr="00C91D92">
        <w:rPr>
          <w:szCs w:val="20"/>
        </w:rPr>
        <w:t>notice</w:t>
      </w:r>
      <w:r w:rsidR="00C64050">
        <w:rPr>
          <w:szCs w:val="20"/>
        </w:rPr>
        <w:t xml:space="preserve"> </w:t>
      </w:r>
      <w:r w:rsidRPr="00C91D92">
        <w:rPr>
          <w:szCs w:val="20"/>
        </w:rPr>
        <w:t>is</w:t>
      </w:r>
      <w:r w:rsidR="00C64050">
        <w:rPr>
          <w:szCs w:val="20"/>
        </w:rPr>
        <w:t xml:space="preserve"> </w:t>
      </w:r>
      <w:r w:rsidRPr="00C91D92">
        <w:rPr>
          <w:szCs w:val="20"/>
        </w:rPr>
        <w:t>a</w:t>
      </w:r>
      <w:r w:rsidR="00C64050">
        <w:rPr>
          <w:szCs w:val="20"/>
        </w:rPr>
        <w:t xml:space="preserve"> </w:t>
      </w:r>
      <w:r w:rsidRPr="00C91D92">
        <w:rPr>
          <w:szCs w:val="20"/>
        </w:rPr>
        <w:t>minimum</w:t>
      </w:r>
      <w:r w:rsidR="00C64050">
        <w:rPr>
          <w:szCs w:val="20"/>
        </w:rPr>
        <w:t xml:space="preserve"> </w:t>
      </w:r>
      <w:r w:rsidRPr="00C91D92">
        <w:rPr>
          <w:szCs w:val="20"/>
        </w:rPr>
        <w:t>constitutional</w:t>
      </w:r>
      <w:r w:rsidR="00C64050">
        <w:rPr>
          <w:szCs w:val="20"/>
        </w:rPr>
        <w:t xml:space="preserve"> </w:t>
      </w:r>
      <w:r w:rsidRPr="00C91D92">
        <w:rPr>
          <w:szCs w:val="20"/>
        </w:rPr>
        <w:t>precondition</w:t>
      </w:r>
      <w:r w:rsidR="00C64050">
        <w:rPr>
          <w:szCs w:val="20"/>
        </w:rPr>
        <w:t xml:space="preserve"> </w:t>
      </w:r>
      <w:r w:rsidRPr="00C91D92">
        <w:rPr>
          <w:szCs w:val="20"/>
        </w:rPr>
        <w:t>to</w:t>
      </w:r>
      <w:r w:rsidR="00C64050">
        <w:rPr>
          <w:szCs w:val="20"/>
        </w:rPr>
        <w:t xml:space="preserve"> </w:t>
      </w:r>
      <w:r w:rsidRPr="00C91D92">
        <w:rPr>
          <w:szCs w:val="20"/>
        </w:rPr>
        <w:t>a</w:t>
      </w:r>
      <w:r w:rsidR="00C64050">
        <w:rPr>
          <w:szCs w:val="20"/>
        </w:rPr>
        <w:t xml:space="preserve"> </w:t>
      </w:r>
      <w:r w:rsidRPr="00C91D92">
        <w:rPr>
          <w:szCs w:val="20"/>
        </w:rPr>
        <w:t>proceeding</w:t>
      </w:r>
      <w:r w:rsidR="00C64050">
        <w:rPr>
          <w:szCs w:val="20"/>
        </w:rPr>
        <w:t xml:space="preserve"> </w:t>
      </w:r>
      <w:r w:rsidRPr="00C91D92">
        <w:rPr>
          <w:szCs w:val="20"/>
        </w:rPr>
        <w:t>which</w:t>
      </w:r>
      <w:r w:rsidR="00C64050">
        <w:rPr>
          <w:szCs w:val="20"/>
        </w:rPr>
        <w:t xml:space="preserve"> </w:t>
      </w:r>
      <w:r w:rsidRPr="00C91D92">
        <w:rPr>
          <w:szCs w:val="20"/>
        </w:rPr>
        <w:t>will</w:t>
      </w:r>
      <w:r w:rsidR="00C64050">
        <w:rPr>
          <w:szCs w:val="20"/>
        </w:rPr>
        <w:t xml:space="preserve"> </w:t>
      </w:r>
      <w:r w:rsidRPr="00C91D92">
        <w:rPr>
          <w:szCs w:val="20"/>
        </w:rPr>
        <w:t>adversely</w:t>
      </w:r>
      <w:r w:rsidR="00C64050">
        <w:rPr>
          <w:szCs w:val="20"/>
        </w:rPr>
        <w:t xml:space="preserve"> </w:t>
      </w:r>
      <w:r w:rsidRPr="00C91D92">
        <w:rPr>
          <w:szCs w:val="20"/>
        </w:rPr>
        <w:t>affect</w:t>
      </w:r>
      <w:r w:rsidR="00C64050">
        <w:rPr>
          <w:szCs w:val="20"/>
        </w:rPr>
        <w:t xml:space="preserve"> </w:t>
      </w:r>
      <w:r w:rsidRPr="00C91D92">
        <w:rPr>
          <w:szCs w:val="20"/>
        </w:rPr>
        <w:t>the</w:t>
      </w:r>
      <w:r w:rsidR="00C64050">
        <w:rPr>
          <w:szCs w:val="20"/>
        </w:rPr>
        <w:t xml:space="preserve"> </w:t>
      </w:r>
      <w:r w:rsidRPr="00C91D92">
        <w:rPr>
          <w:szCs w:val="20"/>
        </w:rPr>
        <w:t>liberty</w:t>
      </w:r>
      <w:r w:rsidR="00C64050">
        <w:rPr>
          <w:szCs w:val="20"/>
        </w:rPr>
        <w:t xml:space="preserve"> </w:t>
      </w:r>
      <w:r w:rsidRPr="00C91D92">
        <w:rPr>
          <w:szCs w:val="20"/>
        </w:rPr>
        <w:t>or</w:t>
      </w:r>
      <w:r w:rsidR="00C64050">
        <w:rPr>
          <w:szCs w:val="20"/>
        </w:rPr>
        <w:t xml:space="preserve"> </w:t>
      </w:r>
      <w:r w:rsidRPr="00C91D92">
        <w:rPr>
          <w:szCs w:val="20"/>
        </w:rPr>
        <w:t>property</w:t>
      </w:r>
      <w:r w:rsidR="00C64050">
        <w:rPr>
          <w:szCs w:val="20"/>
        </w:rPr>
        <w:t xml:space="preserve"> </w:t>
      </w:r>
      <w:r w:rsidRPr="00C91D92">
        <w:rPr>
          <w:szCs w:val="20"/>
        </w:rPr>
        <w:t>interests</w:t>
      </w:r>
      <w:r w:rsidR="00C64050">
        <w:rPr>
          <w:szCs w:val="20"/>
        </w:rPr>
        <w:t xml:space="preserve"> </w:t>
      </w:r>
      <w:r w:rsidRPr="00C91D92">
        <w:rPr>
          <w:szCs w:val="20"/>
        </w:rPr>
        <w:t>of</w:t>
      </w:r>
      <w:r w:rsidR="00C64050">
        <w:rPr>
          <w:szCs w:val="20"/>
        </w:rPr>
        <w:t xml:space="preserve"> </w:t>
      </w:r>
      <w:r w:rsidR="00DC1D28" w:rsidRPr="00C91D92">
        <w:rPr>
          <w:rStyle w:val="Emphasis"/>
          <w:szCs w:val="20"/>
        </w:rPr>
        <w:t>any</w:t>
      </w:r>
      <w:r w:rsidR="00DC1D28" w:rsidRPr="00C91D92">
        <w:rPr>
          <w:szCs w:val="20"/>
        </w:rPr>
        <w:t xml:space="preserve"> party</w:t>
      </w:r>
      <w:r w:rsidR="00C64050">
        <w:rPr>
          <w:szCs w:val="20"/>
        </w:rPr>
        <w:t xml:space="preserve"> </w:t>
      </w:r>
      <w:r w:rsidRPr="00C91D92">
        <w:rPr>
          <w:szCs w:val="20"/>
        </w:rPr>
        <w:t>...</w:t>
      </w:r>
      <w:r w:rsidR="00C64050">
        <w:rPr>
          <w:szCs w:val="20"/>
        </w:rPr>
        <w:t xml:space="preserve"> </w:t>
      </w:r>
      <w:r w:rsidRPr="00C91D92">
        <w:rPr>
          <w:szCs w:val="20"/>
        </w:rPr>
        <w:t>if</w:t>
      </w:r>
      <w:r w:rsidR="00C64050">
        <w:rPr>
          <w:szCs w:val="20"/>
        </w:rPr>
        <w:t xml:space="preserve"> </w:t>
      </w:r>
      <w:r w:rsidRPr="00C91D92">
        <w:rPr>
          <w:szCs w:val="20"/>
        </w:rPr>
        <w:t>[that</w:t>
      </w:r>
      <w:r w:rsidR="00C64050">
        <w:rPr>
          <w:szCs w:val="20"/>
        </w:rPr>
        <w:t xml:space="preserve"> </w:t>
      </w:r>
      <w:r w:rsidRPr="00C91D92">
        <w:rPr>
          <w:szCs w:val="20"/>
        </w:rPr>
        <w:t>party’s]</w:t>
      </w:r>
      <w:r w:rsidR="00C64050">
        <w:rPr>
          <w:szCs w:val="20"/>
        </w:rPr>
        <w:t xml:space="preserve"> </w:t>
      </w:r>
      <w:r w:rsidRPr="00C91D92">
        <w:rPr>
          <w:szCs w:val="20"/>
        </w:rPr>
        <w:t>name</w:t>
      </w:r>
      <w:r w:rsidR="00C64050">
        <w:rPr>
          <w:szCs w:val="20"/>
        </w:rPr>
        <w:t xml:space="preserve"> </w:t>
      </w:r>
      <w:r w:rsidRPr="00C91D92">
        <w:rPr>
          <w:szCs w:val="20"/>
        </w:rPr>
        <w:t>and</w:t>
      </w:r>
      <w:r w:rsidR="00C64050">
        <w:rPr>
          <w:szCs w:val="20"/>
        </w:rPr>
        <w:t xml:space="preserve"> </w:t>
      </w:r>
      <w:r w:rsidRPr="00C91D92">
        <w:rPr>
          <w:szCs w:val="20"/>
        </w:rPr>
        <w:t>address</w:t>
      </w:r>
      <w:r w:rsidR="00C64050">
        <w:rPr>
          <w:szCs w:val="20"/>
        </w:rPr>
        <w:t xml:space="preserve"> </w:t>
      </w:r>
      <w:r w:rsidRPr="00C91D92">
        <w:rPr>
          <w:szCs w:val="20"/>
        </w:rPr>
        <w:t>are</w:t>
      </w:r>
      <w:r w:rsidR="00C64050">
        <w:rPr>
          <w:szCs w:val="20"/>
        </w:rPr>
        <w:t xml:space="preserve"> </w:t>
      </w:r>
      <w:r w:rsidRPr="00C91D92">
        <w:rPr>
          <w:szCs w:val="20"/>
        </w:rPr>
        <w:t>reasonably</w:t>
      </w:r>
      <w:r w:rsidR="00C64050">
        <w:rPr>
          <w:szCs w:val="20"/>
        </w:rPr>
        <w:t xml:space="preserve"> </w:t>
      </w:r>
      <w:r w:rsidRPr="00C91D92">
        <w:rPr>
          <w:szCs w:val="20"/>
        </w:rPr>
        <w:t>ascertainable.”</w:t>
      </w:r>
      <w:r w:rsidR="00C64050">
        <w:rPr>
          <w:szCs w:val="20"/>
        </w:rPr>
        <w:t xml:space="preserve"> </w:t>
      </w:r>
      <w:r w:rsidRPr="00C91D92">
        <w:rPr>
          <w:szCs w:val="20"/>
        </w:rPr>
        <w:t>(</w:t>
      </w:r>
      <w:r w:rsidRPr="00C91D92">
        <w:rPr>
          <w:rStyle w:val="Emphasis"/>
          <w:szCs w:val="20"/>
        </w:rPr>
        <w:t>Mennonite</w:t>
      </w:r>
      <w:r w:rsidRPr="00C91D92">
        <w:rPr>
          <w:szCs w:val="20"/>
        </w:rPr>
        <w:t>,</w:t>
      </w:r>
      <w:r w:rsidR="00C64050">
        <w:rPr>
          <w:szCs w:val="20"/>
        </w:rPr>
        <w:t xml:space="preserve"> </w:t>
      </w:r>
      <w:r w:rsidRPr="00C91D92">
        <w:rPr>
          <w:rStyle w:val="Emphasis"/>
          <w:szCs w:val="20"/>
        </w:rPr>
        <w:t>supra</w:t>
      </w:r>
      <w:r w:rsidRPr="00C91D92">
        <w:rPr>
          <w:szCs w:val="20"/>
        </w:rPr>
        <w:t>,</w:t>
      </w:r>
      <w:r w:rsidR="00C64050">
        <w:rPr>
          <w:szCs w:val="20"/>
        </w:rPr>
        <w:t xml:space="preserve"> </w:t>
      </w:r>
      <w:r w:rsidRPr="00C91D92">
        <w:rPr>
          <w:szCs w:val="20"/>
        </w:rPr>
        <w:t>462</w:t>
      </w:r>
      <w:r w:rsidR="00C64050">
        <w:rPr>
          <w:szCs w:val="20"/>
        </w:rPr>
        <w:t xml:space="preserve"> </w:t>
      </w:r>
      <w:r w:rsidRPr="00C91D92">
        <w:rPr>
          <w:szCs w:val="20"/>
        </w:rPr>
        <w:t>U.S.</w:t>
      </w:r>
      <w:r w:rsidR="00C64050">
        <w:rPr>
          <w:szCs w:val="20"/>
        </w:rPr>
        <w:t xml:space="preserve"> </w:t>
      </w:r>
      <w:r w:rsidRPr="00C91D92">
        <w:rPr>
          <w:szCs w:val="20"/>
        </w:rPr>
        <w:t>at</w:t>
      </w:r>
      <w:r w:rsidR="00C64050">
        <w:rPr>
          <w:szCs w:val="20"/>
        </w:rPr>
        <w:t xml:space="preserve"> </w:t>
      </w:r>
      <w:r w:rsidRPr="00C91D92">
        <w:rPr>
          <w:szCs w:val="20"/>
        </w:rPr>
        <w:t>p.</w:t>
      </w:r>
      <w:r w:rsidR="00C64050">
        <w:rPr>
          <w:szCs w:val="20"/>
        </w:rPr>
        <w:t xml:space="preserve"> </w:t>
      </w:r>
      <w:r w:rsidRPr="00C91D92">
        <w:rPr>
          <w:szCs w:val="20"/>
        </w:rPr>
        <w:t>800,</w:t>
      </w:r>
      <w:r w:rsidR="00C64050">
        <w:rPr>
          <w:szCs w:val="20"/>
        </w:rPr>
        <w:t xml:space="preserve"> </w:t>
      </w:r>
      <w:r w:rsidRPr="00C91D92">
        <w:rPr>
          <w:szCs w:val="20"/>
        </w:rPr>
        <w:t>103</w:t>
      </w:r>
      <w:r w:rsidR="00C64050">
        <w:rPr>
          <w:szCs w:val="20"/>
        </w:rPr>
        <w:t xml:space="preserve"> </w:t>
      </w:r>
      <w:r w:rsidRPr="00C91D92">
        <w:rPr>
          <w:szCs w:val="20"/>
        </w:rPr>
        <w:t>S.Ct.</w:t>
      </w:r>
      <w:r w:rsidR="00C64050">
        <w:rPr>
          <w:szCs w:val="20"/>
        </w:rPr>
        <w:t xml:space="preserve"> </w:t>
      </w:r>
      <w:r w:rsidRPr="00C91D92">
        <w:rPr>
          <w:szCs w:val="20"/>
        </w:rPr>
        <w:t>2706.)</w:t>
      </w:r>
    </w:p>
    <w:p w:rsidR="00BA4A3F" w:rsidRPr="00C91D92" w:rsidRDefault="00BA4A3F" w:rsidP="00C91D92">
      <w:pPr>
        <w:pStyle w:val="QS10"/>
        <w:jc w:val="center"/>
        <w:rPr>
          <w:szCs w:val="20"/>
        </w:rPr>
      </w:pPr>
      <w:r w:rsidRPr="00C91D92">
        <w:rPr>
          <w:szCs w:val="20"/>
        </w:rPr>
        <w:t>***</w:t>
      </w:r>
    </w:p>
    <w:p w:rsidR="00C91D92" w:rsidRPr="00C91D92" w:rsidRDefault="00C91D92" w:rsidP="00C91D92">
      <w:pPr>
        <w:pStyle w:val="QS10"/>
        <w:rPr>
          <w:szCs w:val="20"/>
        </w:rPr>
      </w:pPr>
      <w:r w:rsidRPr="00C91D92">
        <w:rPr>
          <w:szCs w:val="20"/>
        </w:rPr>
        <w:t>Because</w:t>
      </w:r>
      <w:r w:rsidR="00C64050">
        <w:rPr>
          <w:szCs w:val="20"/>
        </w:rPr>
        <w:t xml:space="preserve"> </w:t>
      </w:r>
      <w:r w:rsidRPr="00C91D92">
        <w:rPr>
          <w:szCs w:val="20"/>
        </w:rPr>
        <w:t>the</w:t>
      </w:r>
      <w:r w:rsidR="00C64050">
        <w:rPr>
          <w:szCs w:val="20"/>
        </w:rPr>
        <w:t xml:space="preserve"> </w:t>
      </w:r>
      <w:r w:rsidRPr="00C91D92">
        <w:rPr>
          <w:szCs w:val="20"/>
        </w:rPr>
        <w:t>1991</w:t>
      </w:r>
      <w:r w:rsidR="00C64050">
        <w:rPr>
          <w:szCs w:val="20"/>
        </w:rPr>
        <w:t xml:space="preserve"> </w:t>
      </w:r>
      <w:r w:rsidRPr="00C91D92">
        <w:rPr>
          <w:szCs w:val="20"/>
        </w:rPr>
        <w:t>Decree</w:t>
      </w:r>
      <w:r w:rsidR="00C64050">
        <w:rPr>
          <w:szCs w:val="20"/>
        </w:rPr>
        <w:t xml:space="preserve"> </w:t>
      </w:r>
      <w:r w:rsidRPr="00C91D92">
        <w:rPr>
          <w:szCs w:val="20"/>
        </w:rPr>
        <w:t>adversely</w:t>
      </w:r>
      <w:r w:rsidR="00C64050">
        <w:rPr>
          <w:szCs w:val="20"/>
        </w:rPr>
        <w:t xml:space="preserve"> </w:t>
      </w:r>
      <w:r w:rsidRPr="00C91D92">
        <w:rPr>
          <w:szCs w:val="20"/>
        </w:rPr>
        <w:t>affected</w:t>
      </w:r>
      <w:r w:rsidR="00C64050">
        <w:rPr>
          <w:szCs w:val="20"/>
        </w:rPr>
        <w:t xml:space="preserve"> </w:t>
      </w:r>
      <w:r w:rsidRPr="00C91D92">
        <w:rPr>
          <w:szCs w:val="20"/>
        </w:rPr>
        <w:t>Mark’s</w:t>
      </w:r>
      <w:r w:rsidR="00C64050">
        <w:rPr>
          <w:szCs w:val="20"/>
        </w:rPr>
        <w:t xml:space="preserve"> </w:t>
      </w:r>
      <w:r w:rsidRPr="00C91D92">
        <w:rPr>
          <w:szCs w:val="20"/>
        </w:rPr>
        <w:t>property</w:t>
      </w:r>
      <w:r w:rsidR="00C64050">
        <w:rPr>
          <w:szCs w:val="20"/>
        </w:rPr>
        <w:t xml:space="preserve"> </w:t>
      </w:r>
      <w:r w:rsidRPr="00C91D92">
        <w:rPr>
          <w:szCs w:val="20"/>
        </w:rPr>
        <w:t>interest</w:t>
      </w:r>
      <w:r w:rsidR="00C64050">
        <w:rPr>
          <w:szCs w:val="20"/>
        </w:rPr>
        <w:t xml:space="preserve"> </w:t>
      </w:r>
      <w:r w:rsidRPr="00C91D92">
        <w:rPr>
          <w:szCs w:val="20"/>
        </w:rPr>
        <w:t>in</w:t>
      </w:r>
      <w:r w:rsidR="00C64050">
        <w:rPr>
          <w:szCs w:val="20"/>
        </w:rPr>
        <w:t xml:space="preserve"> </w:t>
      </w:r>
      <w:r w:rsidRPr="00C91D92">
        <w:rPr>
          <w:szCs w:val="20"/>
        </w:rPr>
        <w:t>the</w:t>
      </w:r>
      <w:r w:rsidR="00C64050">
        <w:rPr>
          <w:szCs w:val="20"/>
        </w:rPr>
        <w:t xml:space="preserve"> </w:t>
      </w:r>
      <w:r w:rsidRPr="00C91D92">
        <w:rPr>
          <w:szCs w:val="20"/>
        </w:rPr>
        <w:t>FYR</w:t>
      </w:r>
      <w:r w:rsidR="00C64050">
        <w:rPr>
          <w:szCs w:val="20"/>
        </w:rPr>
        <w:t xml:space="preserve"> </w:t>
      </w:r>
      <w:r w:rsidRPr="00C91D92">
        <w:rPr>
          <w:szCs w:val="20"/>
        </w:rPr>
        <w:t>Trust,</w:t>
      </w:r>
      <w:r w:rsidR="00C64050">
        <w:rPr>
          <w:szCs w:val="20"/>
        </w:rPr>
        <w:t xml:space="preserve"> </w:t>
      </w:r>
      <w:r w:rsidRPr="00C91D92">
        <w:rPr>
          <w:szCs w:val="20"/>
        </w:rPr>
        <w:t>he</w:t>
      </w:r>
      <w:r w:rsidR="00C64050">
        <w:rPr>
          <w:szCs w:val="20"/>
        </w:rPr>
        <w:t xml:space="preserve"> </w:t>
      </w:r>
      <w:r w:rsidRPr="00C91D92">
        <w:rPr>
          <w:szCs w:val="20"/>
        </w:rPr>
        <w:t>was</w:t>
      </w:r>
      <w:r w:rsidR="00C64050">
        <w:rPr>
          <w:szCs w:val="20"/>
        </w:rPr>
        <w:t xml:space="preserve"> </w:t>
      </w:r>
      <w:r w:rsidRPr="00C91D92">
        <w:rPr>
          <w:szCs w:val="20"/>
        </w:rPr>
        <w:t>entitled</w:t>
      </w:r>
      <w:r w:rsidR="00C64050">
        <w:rPr>
          <w:szCs w:val="20"/>
        </w:rPr>
        <w:t xml:space="preserve"> </w:t>
      </w:r>
      <w:r w:rsidRPr="00C91D92">
        <w:rPr>
          <w:szCs w:val="20"/>
        </w:rPr>
        <w:t>to</w:t>
      </w:r>
      <w:r w:rsidR="00C64050">
        <w:rPr>
          <w:szCs w:val="20"/>
        </w:rPr>
        <w:t xml:space="preserve"> </w:t>
      </w:r>
      <w:r w:rsidRPr="00C91D92">
        <w:rPr>
          <w:szCs w:val="20"/>
        </w:rPr>
        <w:t>notice</w:t>
      </w:r>
      <w:r w:rsidR="00C64050">
        <w:rPr>
          <w:szCs w:val="20"/>
        </w:rPr>
        <w:t xml:space="preserve"> </w:t>
      </w:r>
      <w:r w:rsidRPr="00C91D92">
        <w:rPr>
          <w:szCs w:val="20"/>
        </w:rPr>
        <w:t>by</w:t>
      </w:r>
      <w:r w:rsidR="00C64050">
        <w:rPr>
          <w:szCs w:val="20"/>
        </w:rPr>
        <w:t xml:space="preserve"> </w:t>
      </w:r>
      <w:r w:rsidRPr="00C91D92">
        <w:rPr>
          <w:szCs w:val="20"/>
        </w:rPr>
        <w:t>mail</w:t>
      </w:r>
      <w:r w:rsidR="00C64050">
        <w:rPr>
          <w:szCs w:val="20"/>
        </w:rPr>
        <w:t xml:space="preserve"> </w:t>
      </w:r>
      <w:r w:rsidRPr="00C91D92">
        <w:rPr>
          <w:szCs w:val="20"/>
        </w:rPr>
        <w:t>and</w:t>
      </w:r>
      <w:r w:rsidR="00C64050">
        <w:rPr>
          <w:szCs w:val="20"/>
        </w:rPr>
        <w:t xml:space="preserve"> </w:t>
      </w:r>
      <w:r w:rsidRPr="00C91D92">
        <w:rPr>
          <w:szCs w:val="20"/>
        </w:rPr>
        <w:t>an</w:t>
      </w:r>
      <w:r w:rsidR="00C64050">
        <w:rPr>
          <w:szCs w:val="20"/>
        </w:rPr>
        <w:t xml:space="preserve"> </w:t>
      </w:r>
      <w:r w:rsidRPr="00C91D92">
        <w:rPr>
          <w:szCs w:val="20"/>
        </w:rPr>
        <w:t>opportunity</w:t>
      </w:r>
      <w:r w:rsidR="00C64050">
        <w:rPr>
          <w:szCs w:val="20"/>
        </w:rPr>
        <w:t xml:space="preserve"> </w:t>
      </w:r>
      <w:r w:rsidRPr="00C91D92">
        <w:rPr>
          <w:szCs w:val="20"/>
        </w:rPr>
        <w:t>to</w:t>
      </w:r>
      <w:r w:rsidR="00C64050">
        <w:rPr>
          <w:szCs w:val="20"/>
        </w:rPr>
        <w:t xml:space="preserve"> </w:t>
      </w:r>
      <w:r w:rsidRPr="00C91D92">
        <w:rPr>
          <w:szCs w:val="20"/>
        </w:rPr>
        <w:t>be</w:t>
      </w:r>
      <w:r w:rsidR="00C64050">
        <w:rPr>
          <w:szCs w:val="20"/>
        </w:rPr>
        <w:t xml:space="preserve"> </w:t>
      </w:r>
      <w:r w:rsidRPr="00C91D92">
        <w:rPr>
          <w:szCs w:val="20"/>
        </w:rPr>
        <w:t>heard</w:t>
      </w:r>
      <w:r w:rsidR="00C64050">
        <w:rPr>
          <w:szCs w:val="20"/>
        </w:rPr>
        <w:t xml:space="preserve"> </w:t>
      </w:r>
      <w:r w:rsidRPr="00C91D92">
        <w:rPr>
          <w:szCs w:val="20"/>
        </w:rPr>
        <w:t>if</w:t>
      </w:r>
      <w:r w:rsidR="00C64050">
        <w:rPr>
          <w:szCs w:val="20"/>
        </w:rPr>
        <w:t xml:space="preserve"> </w:t>
      </w:r>
      <w:r w:rsidRPr="00C91D92">
        <w:rPr>
          <w:szCs w:val="20"/>
        </w:rPr>
        <w:t>his</w:t>
      </w:r>
      <w:r w:rsidR="00C64050">
        <w:rPr>
          <w:szCs w:val="20"/>
        </w:rPr>
        <w:t xml:space="preserve"> </w:t>
      </w:r>
      <w:r w:rsidRPr="00C91D92">
        <w:rPr>
          <w:szCs w:val="20"/>
        </w:rPr>
        <w:t>name</w:t>
      </w:r>
      <w:r w:rsidR="00C64050">
        <w:rPr>
          <w:szCs w:val="20"/>
        </w:rPr>
        <w:t xml:space="preserve"> </w:t>
      </w:r>
      <w:r w:rsidRPr="00C91D92">
        <w:rPr>
          <w:szCs w:val="20"/>
        </w:rPr>
        <w:t>and</w:t>
      </w:r>
      <w:r w:rsidR="00C64050">
        <w:rPr>
          <w:szCs w:val="20"/>
        </w:rPr>
        <w:t xml:space="preserve"> </w:t>
      </w:r>
      <w:r w:rsidRPr="00C91D92">
        <w:rPr>
          <w:szCs w:val="20"/>
        </w:rPr>
        <w:t>address</w:t>
      </w:r>
      <w:r w:rsidR="00C64050">
        <w:rPr>
          <w:szCs w:val="20"/>
        </w:rPr>
        <w:t xml:space="preserve"> </w:t>
      </w:r>
      <w:r w:rsidRPr="00C91D92">
        <w:rPr>
          <w:szCs w:val="20"/>
        </w:rPr>
        <w:t>were</w:t>
      </w:r>
      <w:r w:rsidR="00C64050">
        <w:rPr>
          <w:szCs w:val="20"/>
        </w:rPr>
        <w:t xml:space="preserve"> </w:t>
      </w:r>
      <w:r w:rsidRPr="00C91D92">
        <w:rPr>
          <w:szCs w:val="20"/>
        </w:rPr>
        <w:t>reasonably</w:t>
      </w:r>
      <w:r w:rsidR="00C64050">
        <w:rPr>
          <w:szCs w:val="20"/>
        </w:rPr>
        <w:t xml:space="preserve"> </w:t>
      </w:r>
      <w:r w:rsidRPr="00C91D92">
        <w:rPr>
          <w:szCs w:val="20"/>
        </w:rPr>
        <w:t>ascertainable.</w:t>
      </w:r>
      <w:r w:rsidR="00C64050">
        <w:rPr>
          <w:szCs w:val="20"/>
        </w:rPr>
        <w:t xml:space="preserve"> </w:t>
      </w:r>
      <w:r w:rsidRPr="00C91D92">
        <w:rPr>
          <w:szCs w:val="20"/>
        </w:rPr>
        <w:t>(</w:t>
      </w:r>
      <w:r w:rsidRPr="00C91D92">
        <w:rPr>
          <w:rStyle w:val="Emphasis"/>
          <w:szCs w:val="20"/>
        </w:rPr>
        <w:t>Mennonite</w:t>
      </w:r>
      <w:r w:rsidRPr="00C91D92">
        <w:rPr>
          <w:szCs w:val="20"/>
        </w:rPr>
        <w:t>,</w:t>
      </w:r>
      <w:r w:rsidR="00C64050">
        <w:rPr>
          <w:szCs w:val="20"/>
        </w:rPr>
        <w:t xml:space="preserve"> </w:t>
      </w:r>
      <w:r w:rsidRPr="00C91D92">
        <w:rPr>
          <w:rStyle w:val="Emphasis"/>
          <w:szCs w:val="20"/>
        </w:rPr>
        <w:t>supra</w:t>
      </w:r>
      <w:r w:rsidRPr="00C91D92">
        <w:rPr>
          <w:szCs w:val="20"/>
        </w:rPr>
        <w:t>,</w:t>
      </w:r>
      <w:r w:rsidR="00C64050">
        <w:rPr>
          <w:szCs w:val="20"/>
        </w:rPr>
        <w:t xml:space="preserve"> </w:t>
      </w:r>
      <w:r w:rsidRPr="00C91D92">
        <w:rPr>
          <w:szCs w:val="20"/>
        </w:rPr>
        <w:t>462</w:t>
      </w:r>
      <w:r w:rsidR="00C64050">
        <w:rPr>
          <w:szCs w:val="20"/>
        </w:rPr>
        <w:t xml:space="preserve"> </w:t>
      </w:r>
      <w:r w:rsidRPr="00C91D92">
        <w:rPr>
          <w:szCs w:val="20"/>
        </w:rPr>
        <w:t>U.S.</w:t>
      </w:r>
      <w:r w:rsidR="00C64050">
        <w:rPr>
          <w:szCs w:val="20"/>
        </w:rPr>
        <w:t xml:space="preserve"> </w:t>
      </w:r>
      <w:r w:rsidRPr="00C91D92">
        <w:rPr>
          <w:szCs w:val="20"/>
        </w:rPr>
        <w:t>at</w:t>
      </w:r>
      <w:r w:rsidR="00C64050">
        <w:rPr>
          <w:szCs w:val="20"/>
        </w:rPr>
        <w:t xml:space="preserve"> </w:t>
      </w:r>
      <w:r w:rsidRPr="00C91D92">
        <w:rPr>
          <w:szCs w:val="20"/>
        </w:rPr>
        <w:t>pp.</w:t>
      </w:r>
      <w:r w:rsidR="00C64050">
        <w:rPr>
          <w:szCs w:val="20"/>
        </w:rPr>
        <w:t xml:space="preserve"> </w:t>
      </w:r>
      <w:r w:rsidRPr="00C91D92">
        <w:rPr>
          <w:szCs w:val="20"/>
        </w:rPr>
        <w:t>795,</w:t>
      </w:r>
      <w:r w:rsidR="00C64050">
        <w:rPr>
          <w:szCs w:val="20"/>
        </w:rPr>
        <w:t xml:space="preserve"> </w:t>
      </w:r>
      <w:r w:rsidRPr="00C91D92">
        <w:rPr>
          <w:szCs w:val="20"/>
        </w:rPr>
        <w:t>800,</w:t>
      </w:r>
      <w:r w:rsidR="00C64050">
        <w:rPr>
          <w:szCs w:val="20"/>
        </w:rPr>
        <w:t xml:space="preserve"> </w:t>
      </w:r>
      <w:r w:rsidRPr="00C91D92">
        <w:rPr>
          <w:szCs w:val="20"/>
        </w:rPr>
        <w:t>103</w:t>
      </w:r>
      <w:r w:rsidR="00C64050">
        <w:rPr>
          <w:szCs w:val="20"/>
        </w:rPr>
        <w:t xml:space="preserve"> </w:t>
      </w:r>
      <w:r w:rsidRPr="00C91D92">
        <w:rPr>
          <w:szCs w:val="20"/>
        </w:rPr>
        <w:t>S.Ct.</w:t>
      </w:r>
      <w:r w:rsidR="00C64050">
        <w:rPr>
          <w:szCs w:val="20"/>
        </w:rPr>
        <w:t xml:space="preserve"> </w:t>
      </w:r>
      <w:r w:rsidRPr="00C91D92">
        <w:rPr>
          <w:szCs w:val="20"/>
        </w:rPr>
        <w:t>2706.)</w:t>
      </w:r>
    </w:p>
    <w:p w:rsidR="00C91D92" w:rsidRPr="00C91D92" w:rsidRDefault="00C91D92" w:rsidP="00C91D92">
      <w:pPr>
        <w:pStyle w:val="QS10"/>
        <w:rPr>
          <w:szCs w:val="20"/>
        </w:rPr>
      </w:pPr>
      <w:r w:rsidRPr="00C91D92">
        <w:rPr>
          <w:szCs w:val="20"/>
        </w:rPr>
        <w:t>At</w:t>
      </w:r>
      <w:r w:rsidR="00C64050">
        <w:rPr>
          <w:szCs w:val="20"/>
        </w:rPr>
        <w:t xml:space="preserve"> </w:t>
      </w:r>
      <w:r w:rsidRPr="00C91D92">
        <w:rPr>
          <w:szCs w:val="20"/>
        </w:rPr>
        <w:t>the</w:t>
      </w:r>
      <w:r w:rsidR="00C64050">
        <w:rPr>
          <w:szCs w:val="20"/>
        </w:rPr>
        <w:t xml:space="preserve"> </w:t>
      </w:r>
      <w:r w:rsidRPr="00C91D92">
        <w:rPr>
          <w:szCs w:val="20"/>
        </w:rPr>
        <w:t>time</w:t>
      </w:r>
      <w:r w:rsidR="00C64050">
        <w:rPr>
          <w:szCs w:val="20"/>
        </w:rPr>
        <w:t xml:space="preserve"> </w:t>
      </w:r>
      <w:r w:rsidRPr="00C91D92">
        <w:rPr>
          <w:szCs w:val="20"/>
        </w:rPr>
        <w:t>the</w:t>
      </w:r>
      <w:r w:rsidR="00C64050">
        <w:rPr>
          <w:szCs w:val="20"/>
        </w:rPr>
        <w:t xml:space="preserve"> </w:t>
      </w:r>
      <w:r w:rsidRPr="00C91D92">
        <w:rPr>
          <w:szCs w:val="20"/>
        </w:rPr>
        <w:t>1991</w:t>
      </w:r>
      <w:r w:rsidR="00C64050">
        <w:rPr>
          <w:szCs w:val="20"/>
        </w:rPr>
        <w:t xml:space="preserve"> </w:t>
      </w:r>
      <w:r w:rsidRPr="00C91D92">
        <w:rPr>
          <w:szCs w:val="20"/>
        </w:rPr>
        <w:t>Decree</w:t>
      </w:r>
      <w:r w:rsidR="00C64050">
        <w:rPr>
          <w:szCs w:val="20"/>
        </w:rPr>
        <w:t xml:space="preserve"> </w:t>
      </w:r>
      <w:r w:rsidRPr="00C91D92">
        <w:rPr>
          <w:szCs w:val="20"/>
        </w:rPr>
        <w:t>was</w:t>
      </w:r>
      <w:r w:rsidR="00C64050">
        <w:rPr>
          <w:szCs w:val="20"/>
        </w:rPr>
        <w:t xml:space="preserve"> </w:t>
      </w:r>
      <w:r w:rsidRPr="00C91D92">
        <w:rPr>
          <w:szCs w:val="20"/>
        </w:rPr>
        <w:t>adopted,</w:t>
      </w:r>
      <w:r w:rsidR="00C64050">
        <w:rPr>
          <w:szCs w:val="20"/>
        </w:rPr>
        <w:t xml:space="preserve"> </w:t>
      </w:r>
      <w:r w:rsidRPr="00C91D92">
        <w:rPr>
          <w:szCs w:val="20"/>
        </w:rPr>
        <w:t>Mark</w:t>
      </w:r>
      <w:r w:rsidR="00C64050">
        <w:rPr>
          <w:szCs w:val="20"/>
        </w:rPr>
        <w:t xml:space="preserve"> </w:t>
      </w:r>
      <w:r w:rsidRPr="00C91D92">
        <w:rPr>
          <w:szCs w:val="20"/>
        </w:rPr>
        <w:t>was</w:t>
      </w:r>
      <w:r w:rsidR="00C64050">
        <w:rPr>
          <w:szCs w:val="20"/>
        </w:rPr>
        <w:t xml:space="preserve"> </w:t>
      </w:r>
      <w:r w:rsidRPr="00C91D92">
        <w:rPr>
          <w:szCs w:val="20"/>
        </w:rPr>
        <w:t>McKie</w:t>
      </w:r>
      <w:r w:rsidR="00C64050">
        <w:rPr>
          <w:szCs w:val="20"/>
        </w:rPr>
        <w:t xml:space="preserve"> </w:t>
      </w:r>
      <w:r w:rsidRPr="00C91D92">
        <w:rPr>
          <w:szCs w:val="20"/>
        </w:rPr>
        <w:t>Jr.’s</w:t>
      </w:r>
      <w:r w:rsidR="00C64050">
        <w:rPr>
          <w:szCs w:val="20"/>
        </w:rPr>
        <w:t xml:space="preserve"> </w:t>
      </w:r>
      <w:r w:rsidRPr="00C91D92">
        <w:rPr>
          <w:szCs w:val="20"/>
        </w:rPr>
        <w:t>adult</w:t>
      </w:r>
      <w:r w:rsidR="00C64050">
        <w:rPr>
          <w:szCs w:val="20"/>
        </w:rPr>
        <w:t xml:space="preserve"> </w:t>
      </w:r>
      <w:r w:rsidRPr="00C91D92">
        <w:rPr>
          <w:szCs w:val="20"/>
        </w:rPr>
        <w:t>son</w:t>
      </w:r>
      <w:r w:rsidR="00C64050">
        <w:rPr>
          <w:szCs w:val="20"/>
        </w:rPr>
        <w:t xml:space="preserve"> </w:t>
      </w:r>
      <w:r w:rsidRPr="00C91D92">
        <w:rPr>
          <w:szCs w:val="20"/>
        </w:rPr>
        <w:t>and</w:t>
      </w:r>
      <w:r w:rsidR="00C64050">
        <w:rPr>
          <w:szCs w:val="20"/>
        </w:rPr>
        <w:t xml:space="preserve"> </w:t>
      </w:r>
      <w:r w:rsidRPr="00C91D92">
        <w:rPr>
          <w:szCs w:val="20"/>
        </w:rPr>
        <w:t>McKie</w:t>
      </w:r>
      <w:r w:rsidR="00C64050">
        <w:rPr>
          <w:szCs w:val="20"/>
        </w:rPr>
        <w:t xml:space="preserve"> </w:t>
      </w:r>
      <w:r w:rsidRPr="00C91D92">
        <w:rPr>
          <w:szCs w:val="20"/>
        </w:rPr>
        <w:t>Sr.’s</w:t>
      </w:r>
      <w:r w:rsidR="00C64050">
        <w:rPr>
          <w:szCs w:val="20"/>
        </w:rPr>
        <w:t xml:space="preserve"> </w:t>
      </w:r>
      <w:r w:rsidRPr="00C91D92">
        <w:rPr>
          <w:szCs w:val="20"/>
        </w:rPr>
        <w:t>grandson,</w:t>
      </w:r>
      <w:r w:rsidR="00C64050">
        <w:rPr>
          <w:szCs w:val="20"/>
        </w:rPr>
        <w:t xml:space="preserve"> </w:t>
      </w:r>
      <w:r w:rsidRPr="00C91D92">
        <w:rPr>
          <w:szCs w:val="20"/>
        </w:rPr>
        <w:t>and</w:t>
      </w:r>
      <w:r w:rsidR="00C64050">
        <w:rPr>
          <w:szCs w:val="20"/>
        </w:rPr>
        <w:t xml:space="preserve"> </w:t>
      </w:r>
      <w:r w:rsidRPr="00C91D92">
        <w:rPr>
          <w:szCs w:val="20"/>
        </w:rPr>
        <w:t>Jelley</w:t>
      </w:r>
      <w:r w:rsidR="00C64050">
        <w:rPr>
          <w:szCs w:val="20"/>
        </w:rPr>
        <w:t xml:space="preserve"> </w:t>
      </w:r>
      <w:r w:rsidRPr="00C91D92">
        <w:rPr>
          <w:szCs w:val="20"/>
        </w:rPr>
        <w:t>had</w:t>
      </w:r>
      <w:r w:rsidR="00C64050">
        <w:rPr>
          <w:szCs w:val="20"/>
        </w:rPr>
        <w:t xml:space="preserve"> </w:t>
      </w:r>
      <w:r w:rsidRPr="00C91D92">
        <w:rPr>
          <w:szCs w:val="20"/>
        </w:rPr>
        <w:t>apparently</w:t>
      </w:r>
      <w:r w:rsidR="00C64050">
        <w:rPr>
          <w:szCs w:val="20"/>
        </w:rPr>
        <w:t xml:space="preserve"> </w:t>
      </w:r>
      <w:r w:rsidRPr="00C91D92">
        <w:rPr>
          <w:szCs w:val="20"/>
        </w:rPr>
        <w:t>been</w:t>
      </w:r>
      <w:r w:rsidR="00C64050">
        <w:rPr>
          <w:szCs w:val="20"/>
        </w:rPr>
        <w:t xml:space="preserve"> </w:t>
      </w:r>
      <w:r w:rsidRPr="00C91D92">
        <w:rPr>
          <w:szCs w:val="20"/>
        </w:rPr>
        <w:t>dealing</w:t>
      </w:r>
      <w:r w:rsidR="00C64050">
        <w:rPr>
          <w:szCs w:val="20"/>
        </w:rPr>
        <w:t xml:space="preserve"> </w:t>
      </w:r>
      <w:r w:rsidRPr="00C91D92">
        <w:rPr>
          <w:szCs w:val="20"/>
        </w:rPr>
        <w:t>with</w:t>
      </w:r>
      <w:r w:rsidR="00C64050">
        <w:rPr>
          <w:szCs w:val="20"/>
        </w:rPr>
        <w:t xml:space="preserve"> </w:t>
      </w:r>
      <w:r w:rsidRPr="00C91D92">
        <w:rPr>
          <w:szCs w:val="20"/>
        </w:rPr>
        <w:t>disputes</w:t>
      </w:r>
      <w:r w:rsidR="00C64050">
        <w:rPr>
          <w:szCs w:val="20"/>
        </w:rPr>
        <w:t xml:space="preserve"> </w:t>
      </w:r>
      <w:r w:rsidRPr="00C91D92">
        <w:rPr>
          <w:szCs w:val="20"/>
        </w:rPr>
        <w:t>with</w:t>
      </w:r>
      <w:r w:rsidR="00C64050">
        <w:rPr>
          <w:szCs w:val="20"/>
        </w:rPr>
        <w:t xml:space="preserve"> </w:t>
      </w:r>
      <w:r w:rsidRPr="00C91D92">
        <w:rPr>
          <w:szCs w:val="20"/>
        </w:rPr>
        <w:t>McKie</w:t>
      </w:r>
      <w:r w:rsidR="00C64050">
        <w:rPr>
          <w:szCs w:val="20"/>
        </w:rPr>
        <w:t xml:space="preserve"> </w:t>
      </w:r>
      <w:r w:rsidRPr="00C91D92">
        <w:rPr>
          <w:szCs w:val="20"/>
        </w:rPr>
        <w:t>Jr.</w:t>
      </w:r>
      <w:r w:rsidR="00C64050">
        <w:rPr>
          <w:szCs w:val="20"/>
        </w:rPr>
        <w:t xml:space="preserve"> </w:t>
      </w:r>
      <w:r w:rsidRPr="00C91D92">
        <w:rPr>
          <w:szCs w:val="20"/>
        </w:rPr>
        <w:t>(and</w:t>
      </w:r>
      <w:r w:rsidR="00C64050">
        <w:rPr>
          <w:szCs w:val="20"/>
        </w:rPr>
        <w:t xml:space="preserve"> </w:t>
      </w:r>
      <w:r w:rsidRPr="00C91D92">
        <w:rPr>
          <w:szCs w:val="20"/>
        </w:rPr>
        <w:t>his</w:t>
      </w:r>
      <w:r w:rsidR="00C64050">
        <w:rPr>
          <w:szCs w:val="20"/>
        </w:rPr>
        <w:t xml:space="preserve"> </w:t>
      </w:r>
      <w:r w:rsidRPr="00C91D92">
        <w:rPr>
          <w:szCs w:val="20"/>
        </w:rPr>
        <w:t>siblings)</w:t>
      </w:r>
      <w:r w:rsidR="00C64050">
        <w:rPr>
          <w:szCs w:val="20"/>
        </w:rPr>
        <w:t xml:space="preserve"> </w:t>
      </w:r>
      <w:r w:rsidRPr="00C91D92">
        <w:rPr>
          <w:szCs w:val="20"/>
        </w:rPr>
        <w:t>for</w:t>
      </w:r>
      <w:r w:rsidR="00C64050">
        <w:rPr>
          <w:szCs w:val="20"/>
        </w:rPr>
        <w:t xml:space="preserve"> </w:t>
      </w:r>
      <w:r w:rsidRPr="00C91D92">
        <w:rPr>
          <w:szCs w:val="20"/>
        </w:rPr>
        <w:t>some</w:t>
      </w:r>
      <w:r w:rsidR="00C64050">
        <w:rPr>
          <w:szCs w:val="20"/>
        </w:rPr>
        <w:t xml:space="preserve"> </w:t>
      </w:r>
      <w:r w:rsidRPr="00C91D92">
        <w:rPr>
          <w:szCs w:val="20"/>
        </w:rPr>
        <w:t>years.</w:t>
      </w:r>
      <w:r w:rsidR="00C64050">
        <w:rPr>
          <w:szCs w:val="20"/>
        </w:rPr>
        <w:t xml:space="preserve"> </w:t>
      </w:r>
      <w:r w:rsidRPr="00C91D92">
        <w:rPr>
          <w:szCs w:val="20"/>
        </w:rPr>
        <w:t>It</w:t>
      </w:r>
      <w:r w:rsidR="00C64050">
        <w:rPr>
          <w:szCs w:val="20"/>
        </w:rPr>
        <w:t xml:space="preserve"> </w:t>
      </w:r>
      <w:r w:rsidRPr="00C91D92">
        <w:rPr>
          <w:szCs w:val="20"/>
        </w:rPr>
        <w:t>appears</w:t>
      </w:r>
      <w:r w:rsidR="00C64050">
        <w:rPr>
          <w:szCs w:val="20"/>
        </w:rPr>
        <w:t xml:space="preserve"> </w:t>
      </w:r>
      <w:r w:rsidRPr="00C91D92">
        <w:rPr>
          <w:szCs w:val="20"/>
        </w:rPr>
        <w:t>Jelley</w:t>
      </w:r>
      <w:r w:rsidR="00C64050">
        <w:rPr>
          <w:szCs w:val="20"/>
        </w:rPr>
        <w:t xml:space="preserve"> </w:t>
      </w:r>
      <w:r w:rsidRPr="00C91D92">
        <w:rPr>
          <w:szCs w:val="20"/>
        </w:rPr>
        <w:t>only</w:t>
      </w:r>
      <w:r w:rsidR="00C64050">
        <w:rPr>
          <w:szCs w:val="20"/>
        </w:rPr>
        <w:t xml:space="preserve"> </w:t>
      </w:r>
      <w:r w:rsidRPr="00C91D92">
        <w:rPr>
          <w:szCs w:val="20"/>
        </w:rPr>
        <w:t>had</w:t>
      </w:r>
      <w:r w:rsidR="00C64050">
        <w:rPr>
          <w:szCs w:val="20"/>
        </w:rPr>
        <w:t xml:space="preserve"> </w:t>
      </w:r>
      <w:r w:rsidRPr="00C91D92">
        <w:rPr>
          <w:szCs w:val="20"/>
        </w:rPr>
        <w:t>to</w:t>
      </w:r>
      <w:r w:rsidR="00C64050">
        <w:rPr>
          <w:szCs w:val="20"/>
        </w:rPr>
        <w:t xml:space="preserve"> </w:t>
      </w:r>
      <w:r w:rsidRPr="00C91D92">
        <w:rPr>
          <w:szCs w:val="20"/>
        </w:rPr>
        <w:t>ask</w:t>
      </w:r>
      <w:r w:rsidR="00C64050">
        <w:rPr>
          <w:szCs w:val="20"/>
        </w:rPr>
        <w:t xml:space="preserve"> </w:t>
      </w:r>
      <w:r w:rsidRPr="00C91D92">
        <w:rPr>
          <w:szCs w:val="20"/>
        </w:rPr>
        <w:t>McKie</w:t>
      </w:r>
      <w:r w:rsidR="00C64050">
        <w:rPr>
          <w:szCs w:val="20"/>
        </w:rPr>
        <w:t xml:space="preserve"> </w:t>
      </w:r>
      <w:r w:rsidRPr="00C91D92">
        <w:rPr>
          <w:szCs w:val="20"/>
        </w:rPr>
        <w:t>Jr.</w:t>
      </w:r>
      <w:r w:rsidR="00C64050">
        <w:rPr>
          <w:szCs w:val="20"/>
        </w:rPr>
        <w:t xml:space="preserve"> </w:t>
      </w:r>
      <w:r w:rsidRPr="00C91D92">
        <w:rPr>
          <w:szCs w:val="20"/>
        </w:rPr>
        <w:t>for</w:t>
      </w:r>
      <w:r w:rsidR="00C64050">
        <w:rPr>
          <w:szCs w:val="20"/>
        </w:rPr>
        <w:t xml:space="preserve"> </w:t>
      </w:r>
      <w:r w:rsidRPr="00C91D92">
        <w:rPr>
          <w:szCs w:val="20"/>
        </w:rPr>
        <w:t>the</w:t>
      </w:r>
      <w:r w:rsidR="00C64050">
        <w:rPr>
          <w:szCs w:val="20"/>
        </w:rPr>
        <w:t xml:space="preserve"> </w:t>
      </w:r>
      <w:r w:rsidRPr="00C91D92">
        <w:rPr>
          <w:szCs w:val="20"/>
        </w:rPr>
        <w:t>names</w:t>
      </w:r>
      <w:r w:rsidR="00C64050">
        <w:rPr>
          <w:szCs w:val="20"/>
        </w:rPr>
        <w:t xml:space="preserve"> </w:t>
      </w:r>
      <w:r w:rsidRPr="00C91D92">
        <w:rPr>
          <w:szCs w:val="20"/>
        </w:rPr>
        <w:t>and</w:t>
      </w:r>
      <w:r w:rsidR="00C64050">
        <w:rPr>
          <w:szCs w:val="20"/>
        </w:rPr>
        <w:t xml:space="preserve"> </w:t>
      </w:r>
      <w:r w:rsidRPr="00C91D92">
        <w:rPr>
          <w:szCs w:val="20"/>
        </w:rPr>
        <w:t>addresses</w:t>
      </w:r>
      <w:r w:rsidR="00C64050">
        <w:rPr>
          <w:szCs w:val="20"/>
        </w:rPr>
        <w:t xml:space="preserve"> </w:t>
      </w:r>
      <w:r w:rsidRPr="00C91D92">
        <w:rPr>
          <w:szCs w:val="20"/>
        </w:rPr>
        <w:t>of</w:t>
      </w:r>
      <w:r w:rsidR="00C64050">
        <w:rPr>
          <w:szCs w:val="20"/>
        </w:rPr>
        <w:t xml:space="preserve"> </w:t>
      </w:r>
      <w:r w:rsidRPr="00C91D92">
        <w:rPr>
          <w:szCs w:val="20"/>
        </w:rPr>
        <w:t>his</w:t>
      </w:r>
      <w:r w:rsidR="00C64050">
        <w:rPr>
          <w:szCs w:val="20"/>
        </w:rPr>
        <w:t xml:space="preserve"> </w:t>
      </w:r>
      <w:r w:rsidRPr="00C91D92">
        <w:rPr>
          <w:szCs w:val="20"/>
        </w:rPr>
        <w:t>existing</w:t>
      </w:r>
      <w:r w:rsidR="00C64050">
        <w:rPr>
          <w:szCs w:val="20"/>
        </w:rPr>
        <w:t xml:space="preserve"> </w:t>
      </w:r>
      <w:r w:rsidRPr="00C91D92">
        <w:rPr>
          <w:szCs w:val="20"/>
        </w:rPr>
        <w:t>children</w:t>
      </w:r>
      <w:r w:rsidR="00C64050">
        <w:rPr>
          <w:szCs w:val="20"/>
        </w:rPr>
        <w:t xml:space="preserve"> </w:t>
      </w:r>
      <w:r w:rsidRPr="00C91D92">
        <w:rPr>
          <w:szCs w:val="20"/>
        </w:rPr>
        <w:t>in</w:t>
      </w:r>
      <w:r w:rsidR="00C64050">
        <w:rPr>
          <w:szCs w:val="20"/>
        </w:rPr>
        <w:t xml:space="preserve"> </w:t>
      </w:r>
      <w:r w:rsidRPr="00C91D92">
        <w:rPr>
          <w:szCs w:val="20"/>
        </w:rPr>
        <w:t>order</w:t>
      </w:r>
      <w:r w:rsidR="00C64050">
        <w:rPr>
          <w:szCs w:val="20"/>
        </w:rPr>
        <w:t xml:space="preserve"> </w:t>
      </w:r>
      <w:r w:rsidRPr="00C91D92">
        <w:rPr>
          <w:szCs w:val="20"/>
        </w:rPr>
        <w:t>to</w:t>
      </w:r>
      <w:r w:rsidR="00C64050">
        <w:rPr>
          <w:szCs w:val="20"/>
        </w:rPr>
        <w:t xml:space="preserve"> </w:t>
      </w:r>
      <w:r w:rsidRPr="00C91D92">
        <w:rPr>
          <w:szCs w:val="20"/>
        </w:rPr>
        <w:t>provide</w:t>
      </w:r>
      <w:r w:rsidR="00C64050">
        <w:rPr>
          <w:szCs w:val="20"/>
        </w:rPr>
        <w:t xml:space="preserve"> </w:t>
      </w:r>
      <w:r w:rsidRPr="00C91D92">
        <w:rPr>
          <w:szCs w:val="20"/>
        </w:rPr>
        <w:t>Mark</w:t>
      </w:r>
      <w:r w:rsidR="00C64050">
        <w:rPr>
          <w:szCs w:val="20"/>
        </w:rPr>
        <w:t xml:space="preserve"> </w:t>
      </w:r>
      <w:r w:rsidRPr="00C91D92">
        <w:rPr>
          <w:szCs w:val="20"/>
        </w:rPr>
        <w:t>mailed</w:t>
      </w:r>
      <w:r w:rsidR="00C64050">
        <w:rPr>
          <w:szCs w:val="20"/>
        </w:rPr>
        <w:t xml:space="preserve"> </w:t>
      </w:r>
      <w:r w:rsidRPr="00C91D92">
        <w:rPr>
          <w:szCs w:val="20"/>
        </w:rPr>
        <w:t>notice.</w:t>
      </w:r>
      <w:r w:rsidR="00C64050">
        <w:rPr>
          <w:szCs w:val="20"/>
        </w:rPr>
        <w:t xml:space="preserve"> </w:t>
      </w:r>
      <w:r w:rsidRPr="00C91D92">
        <w:rPr>
          <w:szCs w:val="20"/>
        </w:rPr>
        <w:t>Mark</w:t>
      </w:r>
      <w:r w:rsidR="00C64050">
        <w:rPr>
          <w:szCs w:val="20"/>
        </w:rPr>
        <w:t xml:space="preserve"> </w:t>
      </w:r>
      <w:r w:rsidRPr="00C91D92">
        <w:rPr>
          <w:szCs w:val="20"/>
        </w:rPr>
        <w:t>has</w:t>
      </w:r>
      <w:r w:rsidR="00C64050">
        <w:rPr>
          <w:szCs w:val="20"/>
        </w:rPr>
        <w:t xml:space="preserve"> </w:t>
      </w:r>
      <w:r w:rsidRPr="00C91D92">
        <w:rPr>
          <w:szCs w:val="20"/>
        </w:rPr>
        <w:t>maintained</w:t>
      </w:r>
      <w:r w:rsidR="00C64050">
        <w:rPr>
          <w:szCs w:val="20"/>
        </w:rPr>
        <w:t xml:space="preserve"> </w:t>
      </w:r>
      <w:r w:rsidRPr="00C91D92">
        <w:rPr>
          <w:szCs w:val="20"/>
        </w:rPr>
        <w:t>below</w:t>
      </w:r>
      <w:r w:rsidR="00C64050">
        <w:rPr>
          <w:szCs w:val="20"/>
        </w:rPr>
        <w:t xml:space="preserve"> </w:t>
      </w:r>
      <w:r w:rsidRPr="00C91D92">
        <w:rPr>
          <w:szCs w:val="20"/>
        </w:rPr>
        <w:t>and</w:t>
      </w:r>
      <w:r w:rsidR="00C64050">
        <w:rPr>
          <w:szCs w:val="20"/>
        </w:rPr>
        <w:t xml:space="preserve"> </w:t>
      </w:r>
      <w:r w:rsidRPr="00C91D92">
        <w:rPr>
          <w:szCs w:val="20"/>
        </w:rPr>
        <w:t>on</w:t>
      </w:r>
      <w:r w:rsidR="00C64050">
        <w:rPr>
          <w:szCs w:val="20"/>
        </w:rPr>
        <w:t xml:space="preserve"> </w:t>
      </w:r>
      <w:r w:rsidRPr="00C91D92">
        <w:rPr>
          <w:szCs w:val="20"/>
        </w:rPr>
        <w:t>appeal</w:t>
      </w:r>
      <w:r w:rsidR="00C64050">
        <w:rPr>
          <w:szCs w:val="20"/>
        </w:rPr>
        <w:t xml:space="preserve"> </w:t>
      </w:r>
      <w:r w:rsidRPr="00C91D92">
        <w:rPr>
          <w:szCs w:val="20"/>
        </w:rPr>
        <w:t>that</w:t>
      </w:r>
      <w:r w:rsidR="00C64050">
        <w:rPr>
          <w:szCs w:val="20"/>
        </w:rPr>
        <w:t xml:space="preserve"> </w:t>
      </w:r>
      <w:r w:rsidRPr="00C91D92">
        <w:rPr>
          <w:szCs w:val="20"/>
        </w:rPr>
        <w:t>his</w:t>
      </w:r>
      <w:r w:rsidR="00C64050">
        <w:rPr>
          <w:szCs w:val="20"/>
        </w:rPr>
        <w:t xml:space="preserve"> </w:t>
      </w:r>
      <w:r w:rsidRPr="00C91D92">
        <w:rPr>
          <w:szCs w:val="20"/>
        </w:rPr>
        <w:t>existence</w:t>
      </w:r>
      <w:r w:rsidR="00C64050">
        <w:rPr>
          <w:szCs w:val="20"/>
        </w:rPr>
        <w:t xml:space="preserve"> </w:t>
      </w:r>
      <w:r w:rsidRPr="00C91D92">
        <w:rPr>
          <w:szCs w:val="20"/>
        </w:rPr>
        <w:t>and</w:t>
      </w:r>
      <w:r w:rsidR="00C64050">
        <w:rPr>
          <w:szCs w:val="20"/>
        </w:rPr>
        <w:t xml:space="preserve"> </w:t>
      </w:r>
      <w:r w:rsidRPr="00C91D92">
        <w:rPr>
          <w:szCs w:val="20"/>
        </w:rPr>
        <w:t>whereabouts</w:t>
      </w:r>
      <w:r w:rsidR="00C64050">
        <w:rPr>
          <w:szCs w:val="20"/>
        </w:rPr>
        <w:t xml:space="preserve"> </w:t>
      </w:r>
      <w:r w:rsidRPr="00C91D92">
        <w:rPr>
          <w:szCs w:val="20"/>
        </w:rPr>
        <w:t>were</w:t>
      </w:r>
      <w:r w:rsidR="00C64050">
        <w:rPr>
          <w:szCs w:val="20"/>
        </w:rPr>
        <w:t xml:space="preserve"> </w:t>
      </w:r>
      <w:r w:rsidRPr="00C91D92">
        <w:rPr>
          <w:szCs w:val="20"/>
        </w:rPr>
        <w:t>either</w:t>
      </w:r>
      <w:r w:rsidR="00C64050">
        <w:rPr>
          <w:szCs w:val="20"/>
        </w:rPr>
        <w:t xml:space="preserve"> </w:t>
      </w:r>
      <w:r w:rsidRPr="00C91D92">
        <w:rPr>
          <w:szCs w:val="20"/>
        </w:rPr>
        <w:t>known</w:t>
      </w:r>
      <w:r w:rsidR="00C64050">
        <w:rPr>
          <w:szCs w:val="20"/>
        </w:rPr>
        <w:t xml:space="preserve"> </w:t>
      </w:r>
      <w:r w:rsidRPr="00C91D92">
        <w:rPr>
          <w:szCs w:val="20"/>
        </w:rPr>
        <w:t>or</w:t>
      </w:r>
      <w:r w:rsidR="00C64050">
        <w:rPr>
          <w:szCs w:val="20"/>
        </w:rPr>
        <w:t xml:space="preserve"> </w:t>
      </w:r>
      <w:r w:rsidRPr="00C91D92">
        <w:rPr>
          <w:szCs w:val="20"/>
        </w:rPr>
        <w:t>reasonably</w:t>
      </w:r>
      <w:r w:rsidR="00C64050">
        <w:rPr>
          <w:szCs w:val="20"/>
        </w:rPr>
        <w:t xml:space="preserve"> </w:t>
      </w:r>
      <w:r w:rsidRPr="00C91D92">
        <w:rPr>
          <w:szCs w:val="20"/>
        </w:rPr>
        <w:t>ascertainable,</w:t>
      </w:r>
      <w:r w:rsidR="00C64050">
        <w:rPr>
          <w:szCs w:val="20"/>
        </w:rPr>
        <w:t xml:space="preserve"> </w:t>
      </w:r>
      <w:r w:rsidRPr="00C91D92">
        <w:rPr>
          <w:szCs w:val="20"/>
        </w:rPr>
        <w:t>and</w:t>
      </w:r>
      <w:r w:rsidR="00C64050">
        <w:rPr>
          <w:szCs w:val="20"/>
        </w:rPr>
        <w:t xml:space="preserve"> </w:t>
      </w:r>
      <w:r w:rsidRPr="00C91D92">
        <w:rPr>
          <w:szCs w:val="20"/>
        </w:rPr>
        <w:t>respondents</w:t>
      </w:r>
      <w:r w:rsidR="00C64050">
        <w:rPr>
          <w:szCs w:val="20"/>
        </w:rPr>
        <w:t xml:space="preserve"> </w:t>
      </w:r>
      <w:r w:rsidRPr="00C91D92">
        <w:rPr>
          <w:szCs w:val="20"/>
        </w:rPr>
        <w:t>do</w:t>
      </w:r>
      <w:r w:rsidR="00C64050">
        <w:rPr>
          <w:szCs w:val="20"/>
        </w:rPr>
        <w:t xml:space="preserve"> </w:t>
      </w:r>
      <w:r w:rsidRPr="00C91D92">
        <w:rPr>
          <w:szCs w:val="20"/>
        </w:rPr>
        <w:t>not</w:t>
      </w:r>
      <w:r w:rsidR="00C64050">
        <w:rPr>
          <w:szCs w:val="20"/>
        </w:rPr>
        <w:t xml:space="preserve"> </w:t>
      </w:r>
      <w:r w:rsidRPr="00C91D92">
        <w:rPr>
          <w:szCs w:val="20"/>
        </w:rPr>
        <w:t>contest</w:t>
      </w:r>
      <w:r w:rsidR="00C64050">
        <w:rPr>
          <w:szCs w:val="20"/>
        </w:rPr>
        <w:t xml:space="preserve"> </w:t>
      </w:r>
      <w:r w:rsidRPr="00C91D92">
        <w:rPr>
          <w:szCs w:val="20"/>
        </w:rPr>
        <w:t>this</w:t>
      </w:r>
      <w:r w:rsidR="00C64050">
        <w:rPr>
          <w:szCs w:val="20"/>
        </w:rPr>
        <w:t xml:space="preserve"> </w:t>
      </w:r>
      <w:r w:rsidRPr="00C91D92">
        <w:rPr>
          <w:szCs w:val="20"/>
        </w:rPr>
        <w:t>point.</w:t>
      </w:r>
      <w:r w:rsidR="00C64050">
        <w:rPr>
          <w:szCs w:val="20"/>
        </w:rPr>
        <w:t xml:space="preserve"> </w:t>
      </w:r>
      <w:r w:rsidRPr="00C91D92">
        <w:rPr>
          <w:szCs w:val="20"/>
        </w:rPr>
        <w:t>Under</w:t>
      </w:r>
      <w:r w:rsidR="00C64050">
        <w:rPr>
          <w:szCs w:val="20"/>
        </w:rPr>
        <w:t xml:space="preserve"> </w:t>
      </w:r>
      <w:r w:rsidRPr="00C91D92">
        <w:rPr>
          <w:szCs w:val="20"/>
        </w:rPr>
        <w:t>these</w:t>
      </w:r>
      <w:r w:rsidR="00C64050">
        <w:rPr>
          <w:szCs w:val="20"/>
        </w:rPr>
        <w:t xml:space="preserve"> </w:t>
      </w:r>
      <w:r w:rsidRPr="00C91D92">
        <w:rPr>
          <w:szCs w:val="20"/>
        </w:rPr>
        <w:t>circumstances,</w:t>
      </w:r>
      <w:r w:rsidR="00C64050">
        <w:rPr>
          <w:szCs w:val="20"/>
        </w:rPr>
        <w:t xml:space="preserve"> </w:t>
      </w:r>
      <w:r w:rsidRPr="00C91D92">
        <w:rPr>
          <w:szCs w:val="20"/>
        </w:rPr>
        <w:t>we</w:t>
      </w:r>
      <w:r w:rsidR="00C64050">
        <w:rPr>
          <w:szCs w:val="20"/>
        </w:rPr>
        <w:t xml:space="preserve"> </w:t>
      </w:r>
      <w:r w:rsidRPr="00C91D92">
        <w:rPr>
          <w:szCs w:val="20"/>
        </w:rPr>
        <w:t>conclude</w:t>
      </w:r>
      <w:r w:rsidR="00C64050">
        <w:rPr>
          <w:szCs w:val="20"/>
        </w:rPr>
        <w:t xml:space="preserve"> </w:t>
      </w:r>
      <w:r w:rsidRPr="00C91D92">
        <w:rPr>
          <w:szCs w:val="20"/>
        </w:rPr>
        <w:t>due</w:t>
      </w:r>
      <w:r w:rsidR="00C64050">
        <w:rPr>
          <w:szCs w:val="20"/>
        </w:rPr>
        <w:t xml:space="preserve"> </w:t>
      </w:r>
      <w:r w:rsidRPr="00C91D92">
        <w:rPr>
          <w:szCs w:val="20"/>
        </w:rPr>
        <w:t>process</w:t>
      </w:r>
      <w:r w:rsidR="00C64050">
        <w:rPr>
          <w:szCs w:val="20"/>
        </w:rPr>
        <w:t xml:space="preserve"> </w:t>
      </w:r>
      <w:r w:rsidRPr="00C91D92">
        <w:rPr>
          <w:szCs w:val="20"/>
        </w:rPr>
        <w:t>required</w:t>
      </w:r>
      <w:r w:rsidR="00C64050">
        <w:rPr>
          <w:szCs w:val="20"/>
        </w:rPr>
        <w:t xml:space="preserve"> </w:t>
      </w:r>
      <w:r w:rsidRPr="00C91D92">
        <w:rPr>
          <w:szCs w:val="20"/>
        </w:rPr>
        <w:t>that</w:t>
      </w:r>
      <w:r w:rsidR="00C64050">
        <w:rPr>
          <w:szCs w:val="20"/>
        </w:rPr>
        <w:t xml:space="preserve"> </w:t>
      </w:r>
      <w:r w:rsidRPr="00C91D92">
        <w:rPr>
          <w:szCs w:val="20"/>
        </w:rPr>
        <w:t>Mark</w:t>
      </w:r>
      <w:r w:rsidR="00C64050">
        <w:rPr>
          <w:szCs w:val="20"/>
        </w:rPr>
        <w:t xml:space="preserve"> </w:t>
      </w:r>
      <w:r w:rsidRPr="00C91D92">
        <w:rPr>
          <w:szCs w:val="20"/>
        </w:rPr>
        <w:t>be</w:t>
      </w:r>
      <w:r w:rsidR="00C64050">
        <w:rPr>
          <w:szCs w:val="20"/>
        </w:rPr>
        <w:t xml:space="preserve"> </w:t>
      </w:r>
      <w:r w:rsidRPr="00C91D92">
        <w:rPr>
          <w:szCs w:val="20"/>
        </w:rPr>
        <w:t>given</w:t>
      </w:r>
      <w:r w:rsidR="00C64050">
        <w:rPr>
          <w:szCs w:val="20"/>
        </w:rPr>
        <w:t xml:space="preserve"> </w:t>
      </w:r>
      <w:r w:rsidRPr="00C91D92">
        <w:rPr>
          <w:szCs w:val="20"/>
        </w:rPr>
        <w:t>mailed</w:t>
      </w:r>
      <w:r w:rsidR="00C64050">
        <w:rPr>
          <w:szCs w:val="20"/>
        </w:rPr>
        <w:t xml:space="preserve"> </w:t>
      </w:r>
      <w:r w:rsidRPr="00C91D92">
        <w:rPr>
          <w:szCs w:val="20"/>
        </w:rPr>
        <w:t>notice</w:t>
      </w:r>
      <w:r w:rsidR="00C64050">
        <w:rPr>
          <w:szCs w:val="20"/>
        </w:rPr>
        <w:t xml:space="preserve"> </w:t>
      </w:r>
      <w:r w:rsidRPr="00C91D92">
        <w:rPr>
          <w:szCs w:val="20"/>
        </w:rPr>
        <w:t>of</w:t>
      </w:r>
      <w:r w:rsidR="00C64050">
        <w:rPr>
          <w:szCs w:val="20"/>
        </w:rPr>
        <w:t xml:space="preserve"> </w:t>
      </w:r>
      <w:r w:rsidRPr="00C91D92">
        <w:rPr>
          <w:szCs w:val="20"/>
        </w:rPr>
        <w:t>the</w:t>
      </w:r>
      <w:r w:rsidR="00C64050">
        <w:rPr>
          <w:szCs w:val="20"/>
        </w:rPr>
        <w:t xml:space="preserve"> </w:t>
      </w:r>
      <w:r w:rsidRPr="00C91D92">
        <w:rPr>
          <w:szCs w:val="20"/>
        </w:rPr>
        <w:t>probate</w:t>
      </w:r>
      <w:r w:rsidR="00C64050">
        <w:rPr>
          <w:szCs w:val="20"/>
        </w:rPr>
        <w:t xml:space="preserve"> </w:t>
      </w:r>
      <w:r w:rsidRPr="00C91D92">
        <w:rPr>
          <w:szCs w:val="20"/>
        </w:rPr>
        <w:t>hearing</w:t>
      </w:r>
      <w:r w:rsidR="00C64050">
        <w:rPr>
          <w:szCs w:val="20"/>
        </w:rPr>
        <w:t xml:space="preserve"> </w:t>
      </w:r>
      <w:r w:rsidRPr="00C91D92">
        <w:rPr>
          <w:szCs w:val="20"/>
        </w:rPr>
        <w:t>that</w:t>
      </w:r>
      <w:r w:rsidR="00C64050">
        <w:rPr>
          <w:szCs w:val="20"/>
        </w:rPr>
        <w:t xml:space="preserve"> </w:t>
      </w:r>
      <w:r w:rsidRPr="00C91D92">
        <w:rPr>
          <w:szCs w:val="20"/>
        </w:rPr>
        <w:t>resulted</w:t>
      </w:r>
      <w:r w:rsidR="00C64050">
        <w:rPr>
          <w:szCs w:val="20"/>
        </w:rPr>
        <w:t xml:space="preserve"> </w:t>
      </w:r>
      <w:r w:rsidRPr="00C91D92">
        <w:rPr>
          <w:szCs w:val="20"/>
        </w:rPr>
        <w:t>in</w:t>
      </w:r>
      <w:r w:rsidR="00C64050">
        <w:rPr>
          <w:szCs w:val="20"/>
        </w:rPr>
        <w:t xml:space="preserve"> </w:t>
      </w:r>
      <w:r w:rsidRPr="00C91D92">
        <w:rPr>
          <w:szCs w:val="20"/>
        </w:rPr>
        <w:t>the</w:t>
      </w:r>
      <w:r w:rsidR="00C64050">
        <w:rPr>
          <w:szCs w:val="20"/>
        </w:rPr>
        <w:t xml:space="preserve"> </w:t>
      </w:r>
      <w:r w:rsidRPr="00C91D92">
        <w:rPr>
          <w:szCs w:val="20"/>
        </w:rPr>
        <w:t>1991</w:t>
      </w:r>
      <w:r w:rsidR="00C64050">
        <w:rPr>
          <w:szCs w:val="20"/>
        </w:rPr>
        <w:t xml:space="preserve"> </w:t>
      </w:r>
      <w:r w:rsidRPr="00C91D92">
        <w:rPr>
          <w:szCs w:val="20"/>
        </w:rPr>
        <w:t>Decree</w:t>
      </w:r>
      <w:r w:rsidR="00C64050">
        <w:rPr>
          <w:szCs w:val="20"/>
        </w:rPr>
        <w:t xml:space="preserve"> </w:t>
      </w:r>
      <w:r w:rsidRPr="00C91D92">
        <w:rPr>
          <w:szCs w:val="20"/>
        </w:rPr>
        <w:t>and</w:t>
      </w:r>
      <w:r w:rsidR="00C64050">
        <w:rPr>
          <w:szCs w:val="20"/>
        </w:rPr>
        <w:t xml:space="preserve"> </w:t>
      </w:r>
      <w:r w:rsidRPr="00C91D92">
        <w:rPr>
          <w:szCs w:val="20"/>
        </w:rPr>
        <w:t>an</w:t>
      </w:r>
      <w:r w:rsidR="00C64050">
        <w:rPr>
          <w:szCs w:val="20"/>
        </w:rPr>
        <w:t xml:space="preserve"> </w:t>
      </w:r>
      <w:r w:rsidRPr="00C91D92">
        <w:rPr>
          <w:szCs w:val="20"/>
        </w:rPr>
        <w:t>opportunity</w:t>
      </w:r>
      <w:r w:rsidR="00C64050">
        <w:rPr>
          <w:szCs w:val="20"/>
        </w:rPr>
        <w:t xml:space="preserve"> </w:t>
      </w:r>
      <w:r w:rsidRPr="00C91D92">
        <w:rPr>
          <w:szCs w:val="20"/>
        </w:rPr>
        <w:t>to</w:t>
      </w:r>
      <w:r w:rsidR="00C64050">
        <w:rPr>
          <w:szCs w:val="20"/>
        </w:rPr>
        <w:t xml:space="preserve"> </w:t>
      </w:r>
      <w:r w:rsidRPr="00C91D92">
        <w:rPr>
          <w:szCs w:val="20"/>
        </w:rPr>
        <w:t>object.</w:t>
      </w:r>
    </w:p>
    <w:p w:rsidR="00C91D92" w:rsidRPr="00C91D92" w:rsidRDefault="00C91D92" w:rsidP="00C91D92">
      <w:pPr>
        <w:pStyle w:val="QS10"/>
        <w:rPr>
          <w:szCs w:val="20"/>
        </w:rPr>
      </w:pPr>
      <w:r w:rsidRPr="00C91D92">
        <w:rPr>
          <w:szCs w:val="20"/>
        </w:rPr>
        <w:t>Respondents</w:t>
      </w:r>
      <w:r w:rsidR="00C64050">
        <w:rPr>
          <w:szCs w:val="20"/>
        </w:rPr>
        <w:t xml:space="preserve"> </w:t>
      </w:r>
      <w:r w:rsidRPr="00C91D92">
        <w:rPr>
          <w:szCs w:val="20"/>
        </w:rPr>
        <w:t>claim</w:t>
      </w:r>
      <w:r w:rsidR="00C64050">
        <w:rPr>
          <w:szCs w:val="20"/>
        </w:rPr>
        <w:t xml:space="preserve"> </w:t>
      </w:r>
      <w:r w:rsidRPr="00C91D92">
        <w:rPr>
          <w:szCs w:val="20"/>
        </w:rPr>
        <w:t>that</w:t>
      </w:r>
      <w:r w:rsidR="00C64050">
        <w:rPr>
          <w:szCs w:val="20"/>
        </w:rPr>
        <w:t xml:space="preserve"> </w:t>
      </w:r>
      <w:r w:rsidRPr="00C91D92">
        <w:rPr>
          <w:szCs w:val="20"/>
        </w:rPr>
        <w:t>even</w:t>
      </w:r>
      <w:r w:rsidR="00C64050">
        <w:rPr>
          <w:szCs w:val="20"/>
        </w:rPr>
        <w:t xml:space="preserve"> </w:t>
      </w:r>
      <w:r w:rsidRPr="00C91D92">
        <w:rPr>
          <w:szCs w:val="20"/>
        </w:rPr>
        <w:t>if</w:t>
      </w:r>
      <w:r w:rsidR="00C64050">
        <w:rPr>
          <w:szCs w:val="20"/>
        </w:rPr>
        <w:t xml:space="preserve"> </w:t>
      </w:r>
      <w:r w:rsidRPr="00C91D92">
        <w:rPr>
          <w:szCs w:val="20"/>
        </w:rPr>
        <w:t>Mark</w:t>
      </w:r>
      <w:r w:rsidR="00C64050">
        <w:rPr>
          <w:szCs w:val="20"/>
        </w:rPr>
        <w:t xml:space="preserve"> </w:t>
      </w:r>
      <w:r w:rsidRPr="00C91D92">
        <w:rPr>
          <w:szCs w:val="20"/>
        </w:rPr>
        <w:t>had</w:t>
      </w:r>
      <w:r w:rsidR="00C64050">
        <w:rPr>
          <w:szCs w:val="20"/>
        </w:rPr>
        <w:t xml:space="preserve"> </w:t>
      </w:r>
      <w:r w:rsidRPr="00C91D92">
        <w:rPr>
          <w:szCs w:val="20"/>
        </w:rPr>
        <w:t>a</w:t>
      </w:r>
      <w:r w:rsidR="00C64050">
        <w:rPr>
          <w:szCs w:val="20"/>
        </w:rPr>
        <w:t xml:space="preserve"> </w:t>
      </w:r>
      <w:r w:rsidRPr="00C91D92">
        <w:rPr>
          <w:szCs w:val="20"/>
        </w:rPr>
        <w:t>property</w:t>
      </w:r>
      <w:r w:rsidR="00C64050">
        <w:rPr>
          <w:szCs w:val="20"/>
        </w:rPr>
        <w:t xml:space="preserve"> </w:t>
      </w:r>
      <w:r w:rsidRPr="00C91D92">
        <w:rPr>
          <w:szCs w:val="20"/>
        </w:rPr>
        <w:t>interest</w:t>
      </w:r>
      <w:r w:rsidR="00C64050">
        <w:rPr>
          <w:szCs w:val="20"/>
        </w:rPr>
        <w:t xml:space="preserve"> </w:t>
      </w:r>
      <w:r w:rsidRPr="00C91D92">
        <w:rPr>
          <w:szCs w:val="20"/>
        </w:rPr>
        <w:t>in</w:t>
      </w:r>
      <w:r w:rsidR="00C64050">
        <w:rPr>
          <w:szCs w:val="20"/>
        </w:rPr>
        <w:t xml:space="preserve"> </w:t>
      </w:r>
      <w:r w:rsidRPr="00C91D92">
        <w:rPr>
          <w:szCs w:val="20"/>
        </w:rPr>
        <w:t>the</w:t>
      </w:r>
      <w:r w:rsidR="00C64050">
        <w:rPr>
          <w:szCs w:val="20"/>
        </w:rPr>
        <w:t xml:space="preserve"> </w:t>
      </w:r>
      <w:r w:rsidRPr="00C91D92">
        <w:rPr>
          <w:szCs w:val="20"/>
        </w:rPr>
        <w:t>FYR</w:t>
      </w:r>
      <w:r w:rsidR="00C64050">
        <w:rPr>
          <w:szCs w:val="20"/>
        </w:rPr>
        <w:t xml:space="preserve"> </w:t>
      </w:r>
      <w:r w:rsidRPr="00C91D92">
        <w:rPr>
          <w:szCs w:val="20"/>
        </w:rPr>
        <w:t>Trust,</w:t>
      </w:r>
      <w:r w:rsidR="00C64050">
        <w:rPr>
          <w:szCs w:val="20"/>
        </w:rPr>
        <w:t xml:space="preserve"> </w:t>
      </w:r>
      <w:r w:rsidRPr="00C91D92">
        <w:rPr>
          <w:rStyle w:val="Emphasis"/>
          <w:szCs w:val="20"/>
        </w:rPr>
        <w:t>Mullane</w:t>
      </w:r>
      <w:r w:rsidR="00C64050">
        <w:rPr>
          <w:szCs w:val="20"/>
        </w:rPr>
        <w:t xml:space="preserve"> </w:t>
      </w:r>
      <w:r w:rsidRPr="00C91D92">
        <w:rPr>
          <w:szCs w:val="20"/>
        </w:rPr>
        <w:t>does</w:t>
      </w:r>
      <w:r w:rsidR="00C64050">
        <w:rPr>
          <w:szCs w:val="20"/>
        </w:rPr>
        <w:t xml:space="preserve"> </w:t>
      </w:r>
      <w:r w:rsidRPr="00C91D92">
        <w:rPr>
          <w:szCs w:val="20"/>
        </w:rPr>
        <w:t>not</w:t>
      </w:r>
      <w:r w:rsidR="00C64050">
        <w:rPr>
          <w:szCs w:val="20"/>
        </w:rPr>
        <w:t xml:space="preserve"> </w:t>
      </w:r>
      <w:r w:rsidRPr="00C91D92">
        <w:rPr>
          <w:szCs w:val="20"/>
        </w:rPr>
        <w:t>require</w:t>
      </w:r>
      <w:r w:rsidR="00C64050">
        <w:rPr>
          <w:szCs w:val="20"/>
        </w:rPr>
        <w:t xml:space="preserve"> </w:t>
      </w:r>
      <w:r w:rsidRPr="00C91D92">
        <w:rPr>
          <w:szCs w:val="20"/>
        </w:rPr>
        <w:t>actual</w:t>
      </w:r>
      <w:r w:rsidR="00C64050">
        <w:rPr>
          <w:szCs w:val="20"/>
        </w:rPr>
        <w:t xml:space="preserve"> </w:t>
      </w:r>
      <w:r w:rsidRPr="00C91D92">
        <w:rPr>
          <w:szCs w:val="20"/>
        </w:rPr>
        <w:t>notice</w:t>
      </w:r>
      <w:r w:rsidR="00C64050">
        <w:rPr>
          <w:szCs w:val="20"/>
        </w:rPr>
        <w:t xml:space="preserve"> </w:t>
      </w:r>
      <w:r w:rsidRPr="00C91D92">
        <w:rPr>
          <w:szCs w:val="20"/>
        </w:rPr>
        <w:t>“given</w:t>
      </w:r>
      <w:r w:rsidR="00C64050">
        <w:rPr>
          <w:szCs w:val="20"/>
        </w:rPr>
        <w:t xml:space="preserve"> </w:t>
      </w:r>
      <w:r w:rsidRPr="00C91D92">
        <w:rPr>
          <w:szCs w:val="20"/>
        </w:rPr>
        <w:t>the</w:t>
      </w:r>
      <w:r w:rsidR="00C64050">
        <w:rPr>
          <w:szCs w:val="20"/>
        </w:rPr>
        <w:t xml:space="preserve"> </w:t>
      </w:r>
      <w:r w:rsidRPr="00C91D92">
        <w:rPr>
          <w:szCs w:val="20"/>
        </w:rPr>
        <w:t>remoteness</w:t>
      </w:r>
      <w:r w:rsidR="00C64050">
        <w:rPr>
          <w:szCs w:val="20"/>
        </w:rPr>
        <w:t xml:space="preserve"> </w:t>
      </w:r>
      <w:r w:rsidRPr="00C91D92">
        <w:rPr>
          <w:szCs w:val="20"/>
        </w:rPr>
        <w:t>of</w:t>
      </w:r>
      <w:r w:rsidR="00C64050">
        <w:rPr>
          <w:szCs w:val="20"/>
        </w:rPr>
        <w:t xml:space="preserve"> </w:t>
      </w:r>
      <w:r w:rsidRPr="00C91D92">
        <w:rPr>
          <w:szCs w:val="20"/>
        </w:rPr>
        <w:t>his</w:t>
      </w:r>
      <w:r w:rsidR="00C64050">
        <w:rPr>
          <w:szCs w:val="20"/>
        </w:rPr>
        <w:t xml:space="preserve"> </w:t>
      </w:r>
      <w:r w:rsidRPr="00C91D92">
        <w:rPr>
          <w:szCs w:val="20"/>
        </w:rPr>
        <w:t>interest.”</w:t>
      </w:r>
      <w:r w:rsidR="00C64050">
        <w:rPr>
          <w:szCs w:val="20"/>
        </w:rPr>
        <w:t xml:space="preserve"> </w:t>
      </w:r>
      <w:r w:rsidRPr="00C91D92">
        <w:rPr>
          <w:szCs w:val="20"/>
        </w:rPr>
        <w:t>They</w:t>
      </w:r>
      <w:r w:rsidR="00C64050">
        <w:rPr>
          <w:szCs w:val="20"/>
        </w:rPr>
        <w:t xml:space="preserve"> </w:t>
      </w:r>
      <w:r w:rsidRPr="00C91D92">
        <w:rPr>
          <w:szCs w:val="20"/>
        </w:rPr>
        <w:t>rely</w:t>
      </w:r>
      <w:r w:rsidR="00C64050">
        <w:rPr>
          <w:szCs w:val="20"/>
        </w:rPr>
        <w:t xml:space="preserve"> </w:t>
      </w:r>
      <w:r w:rsidRPr="00C91D92">
        <w:rPr>
          <w:szCs w:val="20"/>
        </w:rPr>
        <w:t>on</w:t>
      </w:r>
      <w:r w:rsidR="00C64050">
        <w:rPr>
          <w:szCs w:val="20"/>
        </w:rPr>
        <w:t xml:space="preserve"> </w:t>
      </w:r>
      <w:r w:rsidRPr="00C91D92">
        <w:rPr>
          <w:szCs w:val="20"/>
        </w:rPr>
        <w:t>the</w:t>
      </w:r>
      <w:r w:rsidR="00C64050">
        <w:rPr>
          <w:szCs w:val="20"/>
        </w:rPr>
        <w:t xml:space="preserve"> </w:t>
      </w:r>
      <w:r w:rsidRPr="00C91D92">
        <w:rPr>
          <w:rStyle w:val="Emphasis"/>
          <w:szCs w:val="20"/>
        </w:rPr>
        <w:t>Mullane</w:t>
      </w:r>
      <w:r w:rsidR="00C64050">
        <w:rPr>
          <w:szCs w:val="20"/>
        </w:rPr>
        <w:t xml:space="preserve"> </w:t>
      </w:r>
      <w:r w:rsidRPr="00C91D92">
        <w:rPr>
          <w:szCs w:val="20"/>
        </w:rPr>
        <w:t>court’s</w:t>
      </w:r>
      <w:r w:rsidR="00C64050">
        <w:rPr>
          <w:szCs w:val="20"/>
        </w:rPr>
        <w:t xml:space="preserve"> </w:t>
      </w:r>
      <w:r w:rsidRPr="00C91D92">
        <w:rPr>
          <w:szCs w:val="20"/>
        </w:rPr>
        <w:t>observation,</w:t>
      </w:r>
      <w:r w:rsidR="00C64050">
        <w:rPr>
          <w:szCs w:val="20"/>
        </w:rPr>
        <w:t xml:space="preserve"> </w:t>
      </w:r>
      <w:r w:rsidRPr="00C91D92">
        <w:rPr>
          <w:szCs w:val="20"/>
        </w:rPr>
        <w:t>“Nor</w:t>
      </w:r>
      <w:r w:rsidR="00C64050">
        <w:rPr>
          <w:szCs w:val="20"/>
        </w:rPr>
        <w:t xml:space="preserve"> </w:t>
      </w:r>
      <w:r w:rsidRPr="00C91D92">
        <w:rPr>
          <w:szCs w:val="20"/>
        </w:rPr>
        <w:t>do</w:t>
      </w:r>
      <w:r w:rsidR="00C64050">
        <w:rPr>
          <w:szCs w:val="20"/>
        </w:rPr>
        <w:t xml:space="preserve"> </w:t>
      </w:r>
      <w:r w:rsidRPr="00C91D92">
        <w:rPr>
          <w:szCs w:val="20"/>
        </w:rPr>
        <w:t>we</w:t>
      </w:r>
      <w:r w:rsidR="00C64050">
        <w:rPr>
          <w:szCs w:val="20"/>
        </w:rPr>
        <w:t xml:space="preserve"> </w:t>
      </w:r>
      <w:r w:rsidRPr="00C91D92">
        <w:rPr>
          <w:szCs w:val="20"/>
        </w:rPr>
        <w:t>consider</w:t>
      </w:r>
      <w:r w:rsidR="00C64050">
        <w:rPr>
          <w:szCs w:val="20"/>
        </w:rPr>
        <w:t xml:space="preserve"> </w:t>
      </w:r>
      <w:r w:rsidRPr="00C91D92">
        <w:rPr>
          <w:szCs w:val="20"/>
        </w:rPr>
        <w:t>it</w:t>
      </w:r>
      <w:r w:rsidR="00C64050">
        <w:rPr>
          <w:szCs w:val="20"/>
        </w:rPr>
        <w:t xml:space="preserve"> </w:t>
      </w:r>
      <w:r w:rsidRPr="00C91D92">
        <w:rPr>
          <w:szCs w:val="20"/>
        </w:rPr>
        <w:t>unreasonable</w:t>
      </w:r>
      <w:r w:rsidR="00C64050">
        <w:rPr>
          <w:szCs w:val="20"/>
        </w:rPr>
        <w:t xml:space="preserve"> </w:t>
      </w:r>
      <w:r w:rsidRPr="00C91D92">
        <w:rPr>
          <w:szCs w:val="20"/>
        </w:rPr>
        <w:t>for</w:t>
      </w:r>
      <w:r w:rsidR="00C64050">
        <w:rPr>
          <w:szCs w:val="20"/>
        </w:rPr>
        <w:t xml:space="preserve"> </w:t>
      </w:r>
      <w:r w:rsidRPr="00C91D92">
        <w:rPr>
          <w:szCs w:val="20"/>
        </w:rPr>
        <w:t>the</w:t>
      </w:r>
      <w:r w:rsidR="00C64050">
        <w:rPr>
          <w:szCs w:val="20"/>
        </w:rPr>
        <w:t xml:space="preserve"> </w:t>
      </w:r>
      <w:r w:rsidRPr="00C91D92">
        <w:rPr>
          <w:szCs w:val="20"/>
        </w:rPr>
        <w:t>State</w:t>
      </w:r>
      <w:r w:rsidR="00C64050">
        <w:rPr>
          <w:szCs w:val="20"/>
        </w:rPr>
        <w:t xml:space="preserve"> </w:t>
      </w:r>
      <w:r w:rsidRPr="00C91D92">
        <w:rPr>
          <w:szCs w:val="20"/>
        </w:rPr>
        <w:t>to</w:t>
      </w:r>
      <w:r w:rsidR="00C64050">
        <w:rPr>
          <w:szCs w:val="20"/>
        </w:rPr>
        <w:t xml:space="preserve"> </w:t>
      </w:r>
      <w:r w:rsidRPr="00C91D92">
        <w:rPr>
          <w:szCs w:val="20"/>
        </w:rPr>
        <w:t>dispense</w:t>
      </w:r>
      <w:r w:rsidR="00C64050">
        <w:rPr>
          <w:szCs w:val="20"/>
        </w:rPr>
        <w:t xml:space="preserve"> </w:t>
      </w:r>
      <w:r w:rsidRPr="00C91D92">
        <w:rPr>
          <w:szCs w:val="20"/>
        </w:rPr>
        <w:t>with</w:t>
      </w:r>
      <w:r w:rsidR="00C64050">
        <w:rPr>
          <w:szCs w:val="20"/>
        </w:rPr>
        <w:t xml:space="preserve"> </w:t>
      </w:r>
      <w:r w:rsidRPr="00C91D92">
        <w:rPr>
          <w:szCs w:val="20"/>
        </w:rPr>
        <w:t>more</w:t>
      </w:r>
      <w:r w:rsidR="00C64050">
        <w:rPr>
          <w:szCs w:val="20"/>
        </w:rPr>
        <w:t xml:space="preserve"> </w:t>
      </w:r>
      <w:r w:rsidRPr="00C91D92">
        <w:rPr>
          <w:szCs w:val="20"/>
        </w:rPr>
        <w:t>certain</w:t>
      </w:r>
      <w:r w:rsidR="00C64050">
        <w:rPr>
          <w:szCs w:val="20"/>
        </w:rPr>
        <w:t xml:space="preserve"> </w:t>
      </w:r>
      <w:r w:rsidRPr="00C91D92">
        <w:rPr>
          <w:szCs w:val="20"/>
        </w:rPr>
        <w:t>notice</w:t>
      </w:r>
      <w:r w:rsidR="00C64050">
        <w:rPr>
          <w:szCs w:val="20"/>
        </w:rPr>
        <w:t xml:space="preserve"> </w:t>
      </w:r>
      <w:r w:rsidRPr="00C91D92">
        <w:rPr>
          <w:szCs w:val="20"/>
        </w:rPr>
        <w:t>to</w:t>
      </w:r>
      <w:r w:rsidR="00C64050">
        <w:rPr>
          <w:szCs w:val="20"/>
        </w:rPr>
        <w:t xml:space="preserve"> </w:t>
      </w:r>
      <w:r w:rsidRPr="00C91D92">
        <w:rPr>
          <w:szCs w:val="20"/>
        </w:rPr>
        <w:t>those</w:t>
      </w:r>
      <w:r w:rsidR="00C64050">
        <w:rPr>
          <w:szCs w:val="20"/>
        </w:rPr>
        <w:t xml:space="preserve"> </w:t>
      </w:r>
      <w:r w:rsidRPr="00C91D92">
        <w:rPr>
          <w:szCs w:val="20"/>
        </w:rPr>
        <w:t>beneficiaries</w:t>
      </w:r>
      <w:r w:rsidR="00C64050">
        <w:rPr>
          <w:szCs w:val="20"/>
        </w:rPr>
        <w:t xml:space="preserve"> </w:t>
      </w:r>
      <w:r w:rsidRPr="00C91D92">
        <w:rPr>
          <w:szCs w:val="20"/>
        </w:rPr>
        <w:t>whose</w:t>
      </w:r>
      <w:r w:rsidR="00C64050">
        <w:rPr>
          <w:szCs w:val="20"/>
        </w:rPr>
        <w:t xml:space="preserve"> </w:t>
      </w:r>
      <w:r w:rsidRPr="00C91D92">
        <w:rPr>
          <w:szCs w:val="20"/>
        </w:rPr>
        <w:t>interests</w:t>
      </w:r>
      <w:r w:rsidR="00C64050">
        <w:rPr>
          <w:szCs w:val="20"/>
        </w:rPr>
        <w:t xml:space="preserve"> </w:t>
      </w:r>
      <w:r w:rsidRPr="00C91D92">
        <w:rPr>
          <w:szCs w:val="20"/>
        </w:rPr>
        <w:t>are</w:t>
      </w:r>
      <w:r w:rsidR="00C64050">
        <w:rPr>
          <w:szCs w:val="20"/>
        </w:rPr>
        <w:t xml:space="preserve"> </w:t>
      </w:r>
      <w:r w:rsidRPr="00C91D92">
        <w:rPr>
          <w:rStyle w:val="Emphasis"/>
          <w:szCs w:val="20"/>
        </w:rPr>
        <w:t>either</w:t>
      </w:r>
      <w:r w:rsidR="00C64050">
        <w:rPr>
          <w:rStyle w:val="Emphasis"/>
          <w:szCs w:val="20"/>
        </w:rPr>
        <w:t xml:space="preserve"> </w:t>
      </w:r>
      <w:r w:rsidRPr="00C91D92">
        <w:rPr>
          <w:rStyle w:val="Emphasis"/>
          <w:szCs w:val="20"/>
        </w:rPr>
        <w:t>conjectural</w:t>
      </w:r>
      <w:r w:rsidR="00C64050">
        <w:rPr>
          <w:rStyle w:val="Emphasis"/>
          <w:szCs w:val="20"/>
        </w:rPr>
        <w:t xml:space="preserve"> </w:t>
      </w:r>
      <w:r w:rsidRPr="00C91D92">
        <w:rPr>
          <w:rStyle w:val="Emphasis"/>
          <w:szCs w:val="20"/>
        </w:rPr>
        <w:t>or</w:t>
      </w:r>
      <w:r w:rsidR="00C64050">
        <w:rPr>
          <w:rStyle w:val="Emphasis"/>
          <w:szCs w:val="20"/>
        </w:rPr>
        <w:t xml:space="preserve"> </w:t>
      </w:r>
      <w:r w:rsidRPr="00C91D92">
        <w:rPr>
          <w:rStyle w:val="Emphasis"/>
          <w:szCs w:val="20"/>
        </w:rPr>
        <w:t>future</w:t>
      </w:r>
      <w:r w:rsidR="00C64050">
        <w:rPr>
          <w:szCs w:val="20"/>
        </w:rPr>
        <w:t xml:space="preserve"> </w:t>
      </w:r>
      <w:r w:rsidRPr="00C91D92">
        <w:rPr>
          <w:szCs w:val="20"/>
        </w:rPr>
        <w:t>or,</w:t>
      </w:r>
      <w:r w:rsidR="00C64050">
        <w:rPr>
          <w:szCs w:val="20"/>
        </w:rPr>
        <w:t xml:space="preserve"> </w:t>
      </w:r>
      <w:r w:rsidRPr="00C91D92">
        <w:rPr>
          <w:szCs w:val="20"/>
        </w:rPr>
        <w:t>although</w:t>
      </w:r>
      <w:r w:rsidR="00C64050">
        <w:rPr>
          <w:szCs w:val="20"/>
        </w:rPr>
        <w:t xml:space="preserve"> </w:t>
      </w:r>
      <w:r w:rsidRPr="00C91D92">
        <w:rPr>
          <w:szCs w:val="20"/>
        </w:rPr>
        <w:t>they</w:t>
      </w:r>
      <w:r w:rsidR="00C64050">
        <w:rPr>
          <w:szCs w:val="20"/>
        </w:rPr>
        <w:t xml:space="preserve"> </w:t>
      </w:r>
      <w:r w:rsidRPr="00C91D92">
        <w:rPr>
          <w:szCs w:val="20"/>
        </w:rPr>
        <w:t>could</w:t>
      </w:r>
      <w:r w:rsidR="00C64050">
        <w:rPr>
          <w:szCs w:val="20"/>
        </w:rPr>
        <w:t xml:space="preserve"> </w:t>
      </w:r>
      <w:r w:rsidRPr="00C91D92">
        <w:rPr>
          <w:szCs w:val="20"/>
        </w:rPr>
        <w:t>be</w:t>
      </w:r>
      <w:r w:rsidR="00C64050">
        <w:rPr>
          <w:szCs w:val="20"/>
        </w:rPr>
        <w:t xml:space="preserve"> </w:t>
      </w:r>
      <w:r w:rsidRPr="00C91D92">
        <w:rPr>
          <w:szCs w:val="20"/>
        </w:rPr>
        <w:t>discovered</w:t>
      </w:r>
      <w:r w:rsidR="00C64050">
        <w:rPr>
          <w:szCs w:val="20"/>
        </w:rPr>
        <w:t xml:space="preserve"> </w:t>
      </w:r>
      <w:r w:rsidRPr="00C91D92">
        <w:rPr>
          <w:szCs w:val="20"/>
        </w:rPr>
        <w:t>upon</w:t>
      </w:r>
      <w:r w:rsidR="00C64050">
        <w:rPr>
          <w:szCs w:val="20"/>
        </w:rPr>
        <w:t xml:space="preserve"> </w:t>
      </w:r>
      <w:r w:rsidRPr="00C91D92">
        <w:rPr>
          <w:szCs w:val="20"/>
        </w:rPr>
        <w:t>investigation,</w:t>
      </w:r>
      <w:r w:rsidR="00C64050">
        <w:rPr>
          <w:szCs w:val="20"/>
        </w:rPr>
        <w:t xml:space="preserve"> </w:t>
      </w:r>
      <w:r w:rsidRPr="00C91D92">
        <w:rPr>
          <w:szCs w:val="20"/>
        </w:rPr>
        <w:t>do</w:t>
      </w:r>
      <w:r w:rsidR="00C64050">
        <w:rPr>
          <w:szCs w:val="20"/>
        </w:rPr>
        <w:t xml:space="preserve"> </w:t>
      </w:r>
      <w:r w:rsidRPr="00C91D92">
        <w:rPr>
          <w:szCs w:val="20"/>
        </w:rPr>
        <w:t>not</w:t>
      </w:r>
      <w:r w:rsidR="00C64050">
        <w:rPr>
          <w:szCs w:val="20"/>
        </w:rPr>
        <w:t xml:space="preserve"> </w:t>
      </w:r>
      <w:r w:rsidRPr="00C91D92">
        <w:rPr>
          <w:szCs w:val="20"/>
        </w:rPr>
        <w:t>in</w:t>
      </w:r>
      <w:r w:rsidR="00C64050">
        <w:rPr>
          <w:szCs w:val="20"/>
        </w:rPr>
        <w:t xml:space="preserve"> </w:t>
      </w:r>
      <w:r w:rsidRPr="00C91D92">
        <w:rPr>
          <w:szCs w:val="20"/>
        </w:rPr>
        <w:t>due</w:t>
      </w:r>
      <w:r w:rsidR="00C64050">
        <w:rPr>
          <w:szCs w:val="20"/>
        </w:rPr>
        <w:t xml:space="preserve"> </w:t>
      </w:r>
      <w:r w:rsidRPr="00C91D92">
        <w:rPr>
          <w:szCs w:val="20"/>
        </w:rPr>
        <w:t>course</w:t>
      </w:r>
      <w:r w:rsidR="00C64050">
        <w:rPr>
          <w:szCs w:val="20"/>
        </w:rPr>
        <w:t xml:space="preserve"> </w:t>
      </w:r>
      <w:r w:rsidRPr="00C91D92">
        <w:rPr>
          <w:szCs w:val="20"/>
        </w:rPr>
        <w:t>of</w:t>
      </w:r>
      <w:r w:rsidR="00C64050">
        <w:rPr>
          <w:szCs w:val="20"/>
        </w:rPr>
        <w:t xml:space="preserve"> </w:t>
      </w:r>
      <w:r w:rsidRPr="00C91D92">
        <w:rPr>
          <w:szCs w:val="20"/>
        </w:rPr>
        <w:t>business</w:t>
      </w:r>
      <w:r w:rsidR="00C64050">
        <w:rPr>
          <w:szCs w:val="20"/>
        </w:rPr>
        <w:t xml:space="preserve"> </w:t>
      </w:r>
      <w:r w:rsidRPr="00C91D92">
        <w:rPr>
          <w:szCs w:val="20"/>
        </w:rPr>
        <w:t>come</w:t>
      </w:r>
      <w:r w:rsidR="00C64050">
        <w:rPr>
          <w:szCs w:val="20"/>
        </w:rPr>
        <w:t xml:space="preserve"> </w:t>
      </w:r>
      <w:r w:rsidRPr="00C91D92">
        <w:rPr>
          <w:szCs w:val="20"/>
        </w:rPr>
        <w:t>to</w:t>
      </w:r>
      <w:r w:rsidR="00C64050">
        <w:rPr>
          <w:szCs w:val="20"/>
        </w:rPr>
        <w:t xml:space="preserve"> </w:t>
      </w:r>
      <w:r w:rsidRPr="00C91D92">
        <w:rPr>
          <w:szCs w:val="20"/>
        </w:rPr>
        <w:t>knowledge</w:t>
      </w:r>
      <w:r w:rsidR="00C64050">
        <w:rPr>
          <w:szCs w:val="20"/>
        </w:rPr>
        <w:t xml:space="preserve"> </w:t>
      </w:r>
      <w:r w:rsidRPr="00C91D92">
        <w:rPr>
          <w:szCs w:val="20"/>
        </w:rPr>
        <w:t>of</w:t>
      </w:r>
      <w:r w:rsidR="00C64050">
        <w:rPr>
          <w:szCs w:val="20"/>
        </w:rPr>
        <w:t xml:space="preserve"> </w:t>
      </w:r>
      <w:r w:rsidRPr="00C91D92">
        <w:rPr>
          <w:szCs w:val="20"/>
        </w:rPr>
        <w:t>the</w:t>
      </w:r>
      <w:r w:rsidR="00C64050">
        <w:rPr>
          <w:szCs w:val="20"/>
        </w:rPr>
        <w:t xml:space="preserve"> </w:t>
      </w:r>
      <w:r w:rsidRPr="00C91D92">
        <w:rPr>
          <w:szCs w:val="20"/>
        </w:rPr>
        <w:t>common</w:t>
      </w:r>
      <w:r w:rsidR="00C64050">
        <w:rPr>
          <w:szCs w:val="20"/>
        </w:rPr>
        <w:t xml:space="preserve"> </w:t>
      </w:r>
      <w:r w:rsidRPr="00C91D92">
        <w:rPr>
          <w:szCs w:val="20"/>
        </w:rPr>
        <w:t>trustee.”</w:t>
      </w:r>
      <w:r w:rsidR="00C64050">
        <w:rPr>
          <w:szCs w:val="20"/>
        </w:rPr>
        <w:t xml:space="preserve"> </w:t>
      </w:r>
      <w:r w:rsidRPr="00C91D92">
        <w:rPr>
          <w:szCs w:val="20"/>
        </w:rPr>
        <w:t>(</w:t>
      </w:r>
      <w:r w:rsidRPr="00C91D92">
        <w:rPr>
          <w:rStyle w:val="Emphasis"/>
          <w:szCs w:val="20"/>
        </w:rPr>
        <w:t>Mullane</w:t>
      </w:r>
      <w:r w:rsidRPr="00C91D92">
        <w:rPr>
          <w:szCs w:val="20"/>
        </w:rPr>
        <w:t>,</w:t>
      </w:r>
      <w:r w:rsidR="00C64050">
        <w:rPr>
          <w:szCs w:val="20"/>
        </w:rPr>
        <w:t xml:space="preserve"> </w:t>
      </w:r>
      <w:r w:rsidRPr="00C91D92">
        <w:rPr>
          <w:rStyle w:val="Emphasis"/>
          <w:szCs w:val="20"/>
        </w:rPr>
        <w:t>supra</w:t>
      </w:r>
      <w:r w:rsidRPr="00C91D92">
        <w:rPr>
          <w:szCs w:val="20"/>
        </w:rPr>
        <w:t>,</w:t>
      </w:r>
      <w:r w:rsidR="00C64050">
        <w:rPr>
          <w:szCs w:val="20"/>
        </w:rPr>
        <w:t xml:space="preserve"> </w:t>
      </w:r>
      <w:r w:rsidRPr="00C91D92">
        <w:rPr>
          <w:szCs w:val="20"/>
        </w:rPr>
        <w:t>339</w:t>
      </w:r>
      <w:r w:rsidR="00C64050">
        <w:rPr>
          <w:szCs w:val="20"/>
        </w:rPr>
        <w:t xml:space="preserve"> </w:t>
      </w:r>
      <w:r w:rsidRPr="00C91D92">
        <w:rPr>
          <w:szCs w:val="20"/>
        </w:rPr>
        <w:t>U.S.</w:t>
      </w:r>
      <w:r w:rsidR="00C64050">
        <w:rPr>
          <w:szCs w:val="20"/>
        </w:rPr>
        <w:t xml:space="preserve"> </w:t>
      </w:r>
      <w:r w:rsidRPr="00C91D92">
        <w:rPr>
          <w:szCs w:val="20"/>
        </w:rPr>
        <w:t>at</w:t>
      </w:r>
      <w:r w:rsidR="00C64050">
        <w:rPr>
          <w:szCs w:val="20"/>
        </w:rPr>
        <w:t xml:space="preserve"> </w:t>
      </w:r>
      <w:r w:rsidRPr="00C91D92">
        <w:rPr>
          <w:szCs w:val="20"/>
        </w:rPr>
        <w:t>p.</w:t>
      </w:r>
      <w:r w:rsidR="00C64050">
        <w:rPr>
          <w:szCs w:val="20"/>
        </w:rPr>
        <w:t xml:space="preserve"> </w:t>
      </w:r>
      <w:r w:rsidRPr="00C91D92">
        <w:rPr>
          <w:szCs w:val="20"/>
        </w:rPr>
        <w:t>317,</w:t>
      </w:r>
      <w:r w:rsidR="00C64050">
        <w:rPr>
          <w:szCs w:val="20"/>
        </w:rPr>
        <w:t xml:space="preserve"> </w:t>
      </w:r>
      <w:r w:rsidRPr="00C91D92">
        <w:rPr>
          <w:szCs w:val="20"/>
        </w:rPr>
        <w:t>70</w:t>
      </w:r>
      <w:r w:rsidR="00C64050">
        <w:rPr>
          <w:szCs w:val="20"/>
        </w:rPr>
        <w:t xml:space="preserve"> </w:t>
      </w:r>
      <w:r w:rsidRPr="00C91D92">
        <w:rPr>
          <w:szCs w:val="20"/>
        </w:rPr>
        <w:t>S.Ct.</w:t>
      </w:r>
      <w:r w:rsidR="00C64050">
        <w:rPr>
          <w:szCs w:val="20"/>
        </w:rPr>
        <w:t xml:space="preserve"> </w:t>
      </w:r>
      <w:r w:rsidRPr="00C91D92">
        <w:rPr>
          <w:szCs w:val="20"/>
        </w:rPr>
        <w:t>652,</w:t>
      </w:r>
      <w:r w:rsidR="00C64050">
        <w:rPr>
          <w:szCs w:val="20"/>
        </w:rPr>
        <w:t xml:space="preserve"> </w:t>
      </w:r>
      <w:r w:rsidRPr="00C91D92">
        <w:rPr>
          <w:szCs w:val="20"/>
        </w:rPr>
        <w:t>italics</w:t>
      </w:r>
      <w:r w:rsidR="00C64050">
        <w:rPr>
          <w:szCs w:val="20"/>
        </w:rPr>
        <w:t xml:space="preserve"> </w:t>
      </w:r>
      <w:r w:rsidRPr="00C91D92">
        <w:rPr>
          <w:szCs w:val="20"/>
        </w:rPr>
        <w:t>added.)</w:t>
      </w:r>
      <w:r w:rsidR="00C64050">
        <w:rPr>
          <w:szCs w:val="20"/>
        </w:rPr>
        <w:t xml:space="preserve"> </w:t>
      </w:r>
      <w:r w:rsidRPr="00C91D92">
        <w:rPr>
          <w:szCs w:val="20"/>
        </w:rPr>
        <w:t>They</w:t>
      </w:r>
      <w:r w:rsidR="00C64050">
        <w:rPr>
          <w:szCs w:val="20"/>
        </w:rPr>
        <w:t xml:space="preserve"> </w:t>
      </w:r>
      <w:r w:rsidRPr="00C91D92">
        <w:rPr>
          <w:szCs w:val="20"/>
        </w:rPr>
        <w:t>argue</w:t>
      </w:r>
      <w:r w:rsidR="00C64050">
        <w:rPr>
          <w:szCs w:val="20"/>
        </w:rPr>
        <w:t xml:space="preserve"> </w:t>
      </w:r>
      <w:r w:rsidRPr="00C91D92">
        <w:rPr>
          <w:szCs w:val="20"/>
        </w:rPr>
        <w:t>this</w:t>
      </w:r>
      <w:r w:rsidR="00C64050">
        <w:rPr>
          <w:szCs w:val="20"/>
        </w:rPr>
        <w:t xml:space="preserve"> </w:t>
      </w:r>
      <w:r w:rsidRPr="00C91D92">
        <w:rPr>
          <w:szCs w:val="20"/>
        </w:rPr>
        <w:t>observation</w:t>
      </w:r>
      <w:r w:rsidR="00C64050">
        <w:rPr>
          <w:szCs w:val="20"/>
        </w:rPr>
        <w:t xml:space="preserve"> </w:t>
      </w:r>
      <w:r w:rsidRPr="00C91D92">
        <w:rPr>
          <w:szCs w:val="20"/>
        </w:rPr>
        <w:t>shows</w:t>
      </w:r>
      <w:r w:rsidR="00C64050">
        <w:rPr>
          <w:szCs w:val="20"/>
        </w:rPr>
        <w:t xml:space="preserve"> </w:t>
      </w:r>
      <w:r w:rsidRPr="00C91D92">
        <w:rPr>
          <w:szCs w:val="20"/>
        </w:rPr>
        <w:t>Mark</w:t>
      </w:r>
      <w:r w:rsidR="00C64050">
        <w:rPr>
          <w:szCs w:val="20"/>
        </w:rPr>
        <w:t xml:space="preserve"> </w:t>
      </w:r>
      <w:r w:rsidRPr="00C91D92">
        <w:rPr>
          <w:szCs w:val="20"/>
        </w:rPr>
        <w:t>was</w:t>
      </w:r>
      <w:r w:rsidR="00C64050">
        <w:rPr>
          <w:szCs w:val="20"/>
        </w:rPr>
        <w:t xml:space="preserve"> </w:t>
      </w:r>
      <w:r w:rsidRPr="00C91D92">
        <w:rPr>
          <w:szCs w:val="20"/>
        </w:rPr>
        <w:t>not</w:t>
      </w:r>
      <w:r w:rsidR="00C64050">
        <w:rPr>
          <w:szCs w:val="20"/>
        </w:rPr>
        <w:t xml:space="preserve"> </w:t>
      </w:r>
      <w:r w:rsidRPr="00C91D92">
        <w:rPr>
          <w:szCs w:val="20"/>
        </w:rPr>
        <w:t>entitled</w:t>
      </w:r>
      <w:r w:rsidR="00C64050">
        <w:rPr>
          <w:szCs w:val="20"/>
        </w:rPr>
        <w:t xml:space="preserve"> </w:t>
      </w:r>
      <w:r w:rsidRPr="00C91D92">
        <w:rPr>
          <w:szCs w:val="20"/>
        </w:rPr>
        <w:t>to</w:t>
      </w:r>
      <w:r w:rsidR="00C64050">
        <w:rPr>
          <w:szCs w:val="20"/>
        </w:rPr>
        <w:t xml:space="preserve"> </w:t>
      </w:r>
      <w:r w:rsidRPr="00C91D92">
        <w:rPr>
          <w:szCs w:val="20"/>
        </w:rPr>
        <w:t>mailed</w:t>
      </w:r>
      <w:r w:rsidR="00C64050">
        <w:rPr>
          <w:szCs w:val="20"/>
        </w:rPr>
        <w:t xml:space="preserve"> </w:t>
      </w:r>
      <w:r w:rsidRPr="00C91D92">
        <w:rPr>
          <w:szCs w:val="20"/>
        </w:rPr>
        <w:t>notice.</w:t>
      </w:r>
      <w:r w:rsidR="00C64050">
        <w:rPr>
          <w:szCs w:val="20"/>
        </w:rPr>
        <w:t xml:space="preserve"> </w:t>
      </w:r>
      <w:r w:rsidRPr="00C91D92">
        <w:rPr>
          <w:szCs w:val="20"/>
        </w:rPr>
        <w:t>We</w:t>
      </w:r>
      <w:r w:rsidR="00C64050">
        <w:rPr>
          <w:szCs w:val="20"/>
        </w:rPr>
        <w:t xml:space="preserve"> </w:t>
      </w:r>
      <w:r w:rsidRPr="00C91D92">
        <w:rPr>
          <w:szCs w:val="20"/>
        </w:rPr>
        <w:t>are</w:t>
      </w:r>
      <w:r w:rsidR="00C64050">
        <w:rPr>
          <w:szCs w:val="20"/>
        </w:rPr>
        <w:t xml:space="preserve"> </w:t>
      </w:r>
      <w:r w:rsidRPr="00C91D92">
        <w:rPr>
          <w:szCs w:val="20"/>
        </w:rPr>
        <w:t>not</w:t>
      </w:r>
      <w:r w:rsidR="00C64050">
        <w:rPr>
          <w:szCs w:val="20"/>
        </w:rPr>
        <w:t xml:space="preserve"> </w:t>
      </w:r>
      <w:r w:rsidRPr="00C91D92">
        <w:rPr>
          <w:szCs w:val="20"/>
        </w:rPr>
        <w:t>persuaded.</w:t>
      </w:r>
    </w:p>
    <w:p w:rsidR="00C91D92" w:rsidRPr="00C91D92" w:rsidRDefault="00C91D92" w:rsidP="00C91D92">
      <w:pPr>
        <w:pStyle w:val="QS10"/>
        <w:rPr>
          <w:szCs w:val="20"/>
        </w:rPr>
      </w:pPr>
      <w:r w:rsidRPr="00C91D92">
        <w:rPr>
          <w:szCs w:val="20"/>
        </w:rPr>
        <w:t>First,</w:t>
      </w:r>
      <w:r w:rsidR="00C64050">
        <w:rPr>
          <w:szCs w:val="20"/>
        </w:rPr>
        <w:t xml:space="preserve"> </w:t>
      </w:r>
      <w:r w:rsidRPr="00C91D92">
        <w:rPr>
          <w:szCs w:val="20"/>
        </w:rPr>
        <w:t>Mark’s</w:t>
      </w:r>
      <w:r w:rsidR="00C64050">
        <w:rPr>
          <w:szCs w:val="20"/>
        </w:rPr>
        <w:t xml:space="preserve"> </w:t>
      </w:r>
      <w:r w:rsidRPr="00C91D92">
        <w:rPr>
          <w:szCs w:val="20"/>
        </w:rPr>
        <w:t>property</w:t>
      </w:r>
      <w:r w:rsidR="00C64050">
        <w:rPr>
          <w:szCs w:val="20"/>
        </w:rPr>
        <w:t xml:space="preserve"> </w:t>
      </w:r>
      <w:r w:rsidRPr="00C91D92">
        <w:rPr>
          <w:szCs w:val="20"/>
        </w:rPr>
        <w:t>interest</w:t>
      </w:r>
      <w:r w:rsidR="00C64050">
        <w:rPr>
          <w:szCs w:val="20"/>
        </w:rPr>
        <w:t xml:space="preserve"> </w:t>
      </w:r>
      <w:r w:rsidRPr="00C91D92">
        <w:rPr>
          <w:szCs w:val="20"/>
        </w:rPr>
        <w:t>in</w:t>
      </w:r>
      <w:r w:rsidR="00C64050">
        <w:rPr>
          <w:szCs w:val="20"/>
        </w:rPr>
        <w:t xml:space="preserve"> </w:t>
      </w:r>
      <w:r w:rsidRPr="00C91D92">
        <w:rPr>
          <w:szCs w:val="20"/>
        </w:rPr>
        <w:t>the</w:t>
      </w:r>
      <w:r w:rsidR="00C64050">
        <w:rPr>
          <w:szCs w:val="20"/>
        </w:rPr>
        <w:t xml:space="preserve"> </w:t>
      </w:r>
      <w:r w:rsidRPr="00C91D92">
        <w:rPr>
          <w:szCs w:val="20"/>
        </w:rPr>
        <w:t>FYR</w:t>
      </w:r>
      <w:r w:rsidR="00C64050">
        <w:rPr>
          <w:szCs w:val="20"/>
        </w:rPr>
        <w:t xml:space="preserve"> </w:t>
      </w:r>
      <w:r w:rsidRPr="00C91D92">
        <w:rPr>
          <w:szCs w:val="20"/>
        </w:rPr>
        <w:t>Trust</w:t>
      </w:r>
      <w:r w:rsidR="00C64050">
        <w:rPr>
          <w:szCs w:val="20"/>
        </w:rPr>
        <w:t xml:space="preserve"> </w:t>
      </w:r>
      <w:r w:rsidRPr="00C91D92">
        <w:rPr>
          <w:szCs w:val="20"/>
        </w:rPr>
        <w:t>was</w:t>
      </w:r>
      <w:r w:rsidR="00C64050">
        <w:rPr>
          <w:szCs w:val="20"/>
        </w:rPr>
        <w:t xml:space="preserve"> </w:t>
      </w:r>
      <w:r w:rsidRPr="00C91D92">
        <w:rPr>
          <w:szCs w:val="20"/>
        </w:rPr>
        <w:t>not</w:t>
      </w:r>
      <w:r w:rsidR="00C64050">
        <w:rPr>
          <w:szCs w:val="20"/>
        </w:rPr>
        <w:t xml:space="preserve"> </w:t>
      </w:r>
      <w:r w:rsidRPr="00C91D92">
        <w:rPr>
          <w:szCs w:val="20"/>
        </w:rPr>
        <w:t>conjectural.</w:t>
      </w:r>
      <w:r w:rsidR="00C64050">
        <w:rPr>
          <w:szCs w:val="20"/>
        </w:rPr>
        <w:t xml:space="preserve"> </w:t>
      </w:r>
      <w:r w:rsidRPr="00C91D92">
        <w:rPr>
          <w:szCs w:val="20"/>
        </w:rPr>
        <w:t>The</w:t>
      </w:r>
      <w:r w:rsidR="00C64050">
        <w:rPr>
          <w:szCs w:val="20"/>
        </w:rPr>
        <w:t xml:space="preserve"> </w:t>
      </w:r>
      <w:r w:rsidRPr="00C91D92">
        <w:rPr>
          <w:szCs w:val="20"/>
        </w:rPr>
        <w:t>MWR</w:t>
      </w:r>
      <w:r w:rsidR="00C64050">
        <w:rPr>
          <w:szCs w:val="20"/>
        </w:rPr>
        <w:t xml:space="preserve"> </w:t>
      </w:r>
      <w:r w:rsidRPr="00C91D92">
        <w:rPr>
          <w:szCs w:val="20"/>
        </w:rPr>
        <w:t>Will</w:t>
      </w:r>
      <w:r w:rsidR="00C64050">
        <w:rPr>
          <w:szCs w:val="20"/>
        </w:rPr>
        <w:t xml:space="preserve"> </w:t>
      </w:r>
      <w:r w:rsidRPr="00C91D92">
        <w:rPr>
          <w:szCs w:val="20"/>
        </w:rPr>
        <w:t>created</w:t>
      </w:r>
      <w:r w:rsidR="00C64050">
        <w:rPr>
          <w:szCs w:val="20"/>
        </w:rPr>
        <w:t xml:space="preserve"> </w:t>
      </w:r>
      <w:r w:rsidRPr="00C91D92">
        <w:rPr>
          <w:szCs w:val="20"/>
        </w:rPr>
        <w:t>a</w:t>
      </w:r>
      <w:r w:rsidR="00C64050">
        <w:rPr>
          <w:szCs w:val="20"/>
        </w:rPr>
        <w:t xml:space="preserve"> </w:t>
      </w:r>
      <w:r w:rsidRPr="00C91D92">
        <w:rPr>
          <w:szCs w:val="20"/>
        </w:rPr>
        <w:t>contingent</w:t>
      </w:r>
      <w:r w:rsidR="00C64050">
        <w:rPr>
          <w:szCs w:val="20"/>
        </w:rPr>
        <w:t xml:space="preserve"> </w:t>
      </w:r>
      <w:r w:rsidRPr="00C91D92">
        <w:rPr>
          <w:szCs w:val="20"/>
        </w:rPr>
        <w:t>future</w:t>
      </w:r>
      <w:r w:rsidR="00C64050">
        <w:rPr>
          <w:szCs w:val="20"/>
        </w:rPr>
        <w:t xml:space="preserve"> </w:t>
      </w:r>
      <w:r w:rsidRPr="00C91D92">
        <w:rPr>
          <w:szCs w:val="20"/>
        </w:rPr>
        <w:t>remainder</w:t>
      </w:r>
      <w:r w:rsidR="00C64050">
        <w:rPr>
          <w:szCs w:val="20"/>
        </w:rPr>
        <w:t xml:space="preserve"> </w:t>
      </w:r>
      <w:r w:rsidRPr="00C91D92">
        <w:rPr>
          <w:szCs w:val="20"/>
        </w:rPr>
        <w:t>interest</w:t>
      </w:r>
      <w:r w:rsidR="00C64050">
        <w:rPr>
          <w:szCs w:val="20"/>
        </w:rPr>
        <w:t xml:space="preserve"> </w:t>
      </w:r>
      <w:r w:rsidRPr="00C91D92">
        <w:rPr>
          <w:szCs w:val="20"/>
        </w:rPr>
        <w:t>in</w:t>
      </w:r>
      <w:r w:rsidR="00C64050">
        <w:rPr>
          <w:szCs w:val="20"/>
        </w:rPr>
        <w:t xml:space="preserve"> </w:t>
      </w:r>
      <w:r w:rsidRPr="00C91D92">
        <w:rPr>
          <w:szCs w:val="20"/>
        </w:rPr>
        <w:t>the</w:t>
      </w:r>
      <w:r w:rsidR="00C64050">
        <w:rPr>
          <w:szCs w:val="20"/>
        </w:rPr>
        <w:t xml:space="preserve"> </w:t>
      </w:r>
      <w:r w:rsidRPr="00C91D92">
        <w:rPr>
          <w:szCs w:val="20"/>
        </w:rPr>
        <w:t>trust.</w:t>
      </w:r>
      <w:r w:rsidR="00C64050">
        <w:rPr>
          <w:szCs w:val="20"/>
        </w:rPr>
        <w:t xml:space="preserve"> </w:t>
      </w:r>
      <w:r w:rsidRPr="00C91D92">
        <w:rPr>
          <w:szCs w:val="20"/>
        </w:rPr>
        <w:t>Second,</w:t>
      </w:r>
      <w:r w:rsidR="00C64050">
        <w:rPr>
          <w:szCs w:val="20"/>
        </w:rPr>
        <w:t xml:space="preserve"> </w:t>
      </w:r>
      <w:r w:rsidRPr="00C91D92">
        <w:rPr>
          <w:szCs w:val="20"/>
        </w:rPr>
        <w:t>we</w:t>
      </w:r>
      <w:r w:rsidR="00C64050">
        <w:rPr>
          <w:szCs w:val="20"/>
        </w:rPr>
        <w:t xml:space="preserve"> </w:t>
      </w:r>
      <w:r w:rsidRPr="00C91D92">
        <w:rPr>
          <w:szCs w:val="20"/>
        </w:rPr>
        <w:t>do</w:t>
      </w:r>
      <w:r w:rsidR="00C64050">
        <w:rPr>
          <w:szCs w:val="20"/>
        </w:rPr>
        <w:t xml:space="preserve"> </w:t>
      </w:r>
      <w:r w:rsidRPr="00C91D92">
        <w:rPr>
          <w:szCs w:val="20"/>
        </w:rPr>
        <w:t>not</w:t>
      </w:r>
      <w:r w:rsidR="00C64050">
        <w:rPr>
          <w:szCs w:val="20"/>
        </w:rPr>
        <w:t xml:space="preserve"> </w:t>
      </w:r>
      <w:r w:rsidRPr="00C91D92">
        <w:rPr>
          <w:szCs w:val="20"/>
        </w:rPr>
        <w:t>read</w:t>
      </w:r>
      <w:r w:rsidR="00C64050">
        <w:rPr>
          <w:szCs w:val="20"/>
        </w:rPr>
        <w:t xml:space="preserve"> </w:t>
      </w:r>
      <w:r w:rsidRPr="00C91D92">
        <w:rPr>
          <w:rStyle w:val="Emphasis"/>
          <w:szCs w:val="20"/>
        </w:rPr>
        <w:t>Mullane</w:t>
      </w:r>
      <w:r w:rsidR="00C64050">
        <w:rPr>
          <w:szCs w:val="20"/>
        </w:rPr>
        <w:t xml:space="preserve"> </w:t>
      </w:r>
      <w:r w:rsidRPr="00C91D92">
        <w:rPr>
          <w:szCs w:val="20"/>
        </w:rPr>
        <w:t>to</w:t>
      </w:r>
      <w:r w:rsidR="00C64050">
        <w:rPr>
          <w:szCs w:val="20"/>
        </w:rPr>
        <w:t xml:space="preserve"> </w:t>
      </w:r>
      <w:r w:rsidRPr="00C91D92">
        <w:rPr>
          <w:szCs w:val="20"/>
        </w:rPr>
        <w:t>mean</w:t>
      </w:r>
      <w:r w:rsidR="00C64050">
        <w:rPr>
          <w:szCs w:val="20"/>
        </w:rPr>
        <w:t xml:space="preserve"> </w:t>
      </w:r>
      <w:r w:rsidRPr="00C91D92">
        <w:rPr>
          <w:szCs w:val="20"/>
        </w:rPr>
        <w:t>due</w:t>
      </w:r>
      <w:r w:rsidR="00C64050">
        <w:rPr>
          <w:szCs w:val="20"/>
        </w:rPr>
        <w:t xml:space="preserve"> </w:t>
      </w:r>
      <w:r w:rsidRPr="00C91D92">
        <w:rPr>
          <w:szCs w:val="20"/>
        </w:rPr>
        <w:t>process</w:t>
      </w:r>
      <w:r w:rsidR="00C64050">
        <w:rPr>
          <w:szCs w:val="20"/>
        </w:rPr>
        <w:t xml:space="preserve"> </w:t>
      </w:r>
      <w:r w:rsidRPr="00C91D92">
        <w:rPr>
          <w:szCs w:val="20"/>
        </w:rPr>
        <w:t>notice</w:t>
      </w:r>
      <w:r w:rsidR="00C64050">
        <w:rPr>
          <w:szCs w:val="20"/>
        </w:rPr>
        <w:t xml:space="preserve"> </w:t>
      </w:r>
      <w:r w:rsidRPr="00C91D92">
        <w:rPr>
          <w:szCs w:val="20"/>
        </w:rPr>
        <w:t>requirements</w:t>
      </w:r>
      <w:r w:rsidR="00C64050">
        <w:rPr>
          <w:szCs w:val="20"/>
        </w:rPr>
        <w:t xml:space="preserve"> </w:t>
      </w:r>
      <w:r w:rsidRPr="00C91D92">
        <w:rPr>
          <w:szCs w:val="20"/>
        </w:rPr>
        <w:t>do</w:t>
      </w:r>
      <w:r w:rsidR="00C64050">
        <w:rPr>
          <w:szCs w:val="20"/>
        </w:rPr>
        <w:t xml:space="preserve"> </w:t>
      </w:r>
      <w:r w:rsidRPr="00C91D92">
        <w:rPr>
          <w:szCs w:val="20"/>
        </w:rPr>
        <w:t>not</w:t>
      </w:r>
      <w:r w:rsidR="00C64050">
        <w:rPr>
          <w:szCs w:val="20"/>
        </w:rPr>
        <w:t xml:space="preserve"> </w:t>
      </w:r>
      <w:r w:rsidRPr="00C91D92">
        <w:rPr>
          <w:szCs w:val="20"/>
        </w:rPr>
        <w:t>apply</w:t>
      </w:r>
      <w:r w:rsidR="00C64050">
        <w:rPr>
          <w:szCs w:val="20"/>
        </w:rPr>
        <w:t xml:space="preserve"> </w:t>
      </w:r>
      <w:r w:rsidRPr="00C91D92">
        <w:rPr>
          <w:szCs w:val="20"/>
        </w:rPr>
        <w:t>to</w:t>
      </w:r>
      <w:r w:rsidR="00C64050">
        <w:rPr>
          <w:szCs w:val="20"/>
        </w:rPr>
        <w:t xml:space="preserve"> </w:t>
      </w:r>
      <w:r w:rsidRPr="00C91D92">
        <w:rPr>
          <w:szCs w:val="20"/>
        </w:rPr>
        <w:t>holders</w:t>
      </w:r>
      <w:r w:rsidR="00C64050">
        <w:rPr>
          <w:szCs w:val="20"/>
        </w:rPr>
        <w:t xml:space="preserve"> </w:t>
      </w:r>
      <w:r w:rsidRPr="00C91D92">
        <w:rPr>
          <w:szCs w:val="20"/>
        </w:rPr>
        <w:t>of</w:t>
      </w:r>
      <w:r w:rsidR="00C64050">
        <w:rPr>
          <w:szCs w:val="20"/>
        </w:rPr>
        <w:t xml:space="preserve"> </w:t>
      </w:r>
      <w:r w:rsidRPr="00C91D92">
        <w:rPr>
          <w:szCs w:val="20"/>
        </w:rPr>
        <w:t>future</w:t>
      </w:r>
      <w:r w:rsidR="00C64050">
        <w:rPr>
          <w:szCs w:val="20"/>
        </w:rPr>
        <w:t xml:space="preserve"> </w:t>
      </w:r>
      <w:r w:rsidRPr="00C91D92">
        <w:rPr>
          <w:szCs w:val="20"/>
        </w:rPr>
        <w:t>property</w:t>
      </w:r>
      <w:r w:rsidR="00C64050">
        <w:rPr>
          <w:szCs w:val="20"/>
        </w:rPr>
        <w:t xml:space="preserve"> </w:t>
      </w:r>
      <w:r w:rsidRPr="00C91D92">
        <w:rPr>
          <w:szCs w:val="20"/>
        </w:rPr>
        <w:t>interests.</w:t>
      </w:r>
      <w:r w:rsidR="00C64050">
        <w:rPr>
          <w:szCs w:val="20"/>
        </w:rPr>
        <w:t xml:space="preserve"> </w:t>
      </w:r>
      <w:r w:rsidRPr="00C91D92">
        <w:rPr>
          <w:szCs w:val="20"/>
        </w:rPr>
        <w:t>In</w:t>
      </w:r>
      <w:r w:rsidR="00C64050">
        <w:rPr>
          <w:szCs w:val="20"/>
        </w:rPr>
        <w:t xml:space="preserve"> </w:t>
      </w:r>
      <w:hyperlink r:id="rId423" w:history="1">
        <w:r w:rsidRPr="00C91D92">
          <w:rPr>
            <w:rStyle w:val="Emphasis"/>
            <w:szCs w:val="20"/>
          </w:rPr>
          <w:t>Mullane</w:t>
        </w:r>
      </w:hyperlink>
      <w:r w:rsidRPr="00C91D92">
        <w:rPr>
          <w:szCs w:val="20"/>
        </w:rPr>
        <w:t>,</w:t>
      </w:r>
      <w:r w:rsidR="00C64050">
        <w:rPr>
          <w:szCs w:val="20"/>
        </w:rPr>
        <w:t xml:space="preserve"> </w:t>
      </w:r>
      <w:r w:rsidRPr="00C91D92">
        <w:rPr>
          <w:szCs w:val="20"/>
        </w:rPr>
        <w:t>the</w:t>
      </w:r>
      <w:r w:rsidR="00C64050">
        <w:rPr>
          <w:szCs w:val="20"/>
        </w:rPr>
        <w:t xml:space="preserve"> </w:t>
      </w:r>
      <w:r w:rsidRPr="00C91D92">
        <w:rPr>
          <w:szCs w:val="20"/>
        </w:rPr>
        <w:t>appellant</w:t>
      </w:r>
      <w:r w:rsidR="00C64050">
        <w:rPr>
          <w:szCs w:val="20"/>
        </w:rPr>
        <w:t xml:space="preserve"> </w:t>
      </w:r>
      <w:r w:rsidRPr="00C91D92">
        <w:rPr>
          <w:szCs w:val="20"/>
        </w:rPr>
        <w:t>was</w:t>
      </w:r>
      <w:r w:rsidR="00C64050">
        <w:rPr>
          <w:szCs w:val="20"/>
        </w:rPr>
        <w:t xml:space="preserve"> </w:t>
      </w:r>
      <w:r w:rsidRPr="00C91D92">
        <w:rPr>
          <w:szCs w:val="20"/>
        </w:rPr>
        <w:t>“appointed</w:t>
      </w:r>
      <w:r w:rsidR="00C64050">
        <w:rPr>
          <w:szCs w:val="20"/>
        </w:rPr>
        <w:t xml:space="preserve"> </w:t>
      </w:r>
      <w:r w:rsidRPr="00C91D92">
        <w:rPr>
          <w:szCs w:val="20"/>
        </w:rPr>
        <w:t>special</w:t>
      </w:r>
      <w:r w:rsidR="00C64050">
        <w:rPr>
          <w:szCs w:val="20"/>
        </w:rPr>
        <w:t xml:space="preserve"> </w:t>
      </w:r>
      <w:r w:rsidRPr="00C91D92">
        <w:rPr>
          <w:szCs w:val="20"/>
        </w:rPr>
        <w:t>guardian</w:t>
      </w:r>
      <w:r w:rsidR="00C64050">
        <w:rPr>
          <w:szCs w:val="20"/>
        </w:rPr>
        <w:t xml:space="preserve"> </w:t>
      </w:r>
      <w:r w:rsidRPr="00C91D92">
        <w:rPr>
          <w:szCs w:val="20"/>
        </w:rPr>
        <w:t>and</w:t>
      </w:r>
      <w:r w:rsidR="00C64050">
        <w:rPr>
          <w:szCs w:val="20"/>
        </w:rPr>
        <w:t xml:space="preserve"> </w:t>
      </w:r>
      <w:r w:rsidRPr="00C91D92">
        <w:rPr>
          <w:szCs w:val="20"/>
        </w:rPr>
        <w:t>attorney</w:t>
      </w:r>
      <w:r w:rsidR="00C64050">
        <w:rPr>
          <w:szCs w:val="20"/>
        </w:rPr>
        <w:t xml:space="preserve"> </w:t>
      </w:r>
      <w:r w:rsidRPr="00C91D92">
        <w:rPr>
          <w:szCs w:val="20"/>
        </w:rPr>
        <w:t>for</w:t>
      </w:r>
      <w:r w:rsidR="00C64050">
        <w:rPr>
          <w:szCs w:val="20"/>
        </w:rPr>
        <w:t xml:space="preserve"> </w:t>
      </w:r>
      <w:r w:rsidRPr="00C91D92">
        <w:rPr>
          <w:szCs w:val="20"/>
        </w:rPr>
        <w:t>all</w:t>
      </w:r>
      <w:r w:rsidR="00C64050">
        <w:rPr>
          <w:szCs w:val="20"/>
        </w:rPr>
        <w:t xml:space="preserve"> </w:t>
      </w:r>
      <w:r w:rsidRPr="00C91D92">
        <w:rPr>
          <w:szCs w:val="20"/>
        </w:rPr>
        <w:t>persons</w:t>
      </w:r>
      <w:r w:rsidR="00C64050">
        <w:rPr>
          <w:szCs w:val="20"/>
        </w:rPr>
        <w:t xml:space="preserve"> </w:t>
      </w:r>
      <w:r w:rsidRPr="00C91D92">
        <w:rPr>
          <w:szCs w:val="20"/>
        </w:rPr>
        <w:t>known</w:t>
      </w:r>
      <w:r w:rsidR="00C64050">
        <w:rPr>
          <w:szCs w:val="20"/>
        </w:rPr>
        <w:t xml:space="preserve"> </w:t>
      </w:r>
      <w:r w:rsidRPr="00C91D92">
        <w:rPr>
          <w:szCs w:val="20"/>
        </w:rPr>
        <w:t>or</w:t>
      </w:r>
      <w:r w:rsidR="00C64050">
        <w:rPr>
          <w:szCs w:val="20"/>
        </w:rPr>
        <w:t xml:space="preserve"> </w:t>
      </w:r>
      <w:r w:rsidRPr="00C91D92">
        <w:rPr>
          <w:szCs w:val="20"/>
        </w:rPr>
        <w:t>unknown</w:t>
      </w:r>
      <w:r w:rsidR="00C64050">
        <w:rPr>
          <w:szCs w:val="20"/>
        </w:rPr>
        <w:t xml:space="preserve"> </w:t>
      </w:r>
      <w:r w:rsidRPr="00C91D92">
        <w:rPr>
          <w:szCs w:val="20"/>
        </w:rPr>
        <w:t>not</w:t>
      </w:r>
      <w:r w:rsidR="00C64050">
        <w:rPr>
          <w:szCs w:val="20"/>
        </w:rPr>
        <w:t xml:space="preserve"> </w:t>
      </w:r>
      <w:r w:rsidRPr="00C91D92">
        <w:rPr>
          <w:szCs w:val="20"/>
        </w:rPr>
        <w:t>otherwise</w:t>
      </w:r>
      <w:r w:rsidR="00C64050">
        <w:rPr>
          <w:szCs w:val="20"/>
        </w:rPr>
        <w:t xml:space="preserve"> </w:t>
      </w:r>
      <w:r w:rsidRPr="00C91D92">
        <w:rPr>
          <w:szCs w:val="20"/>
        </w:rPr>
        <w:t>appearing</w:t>
      </w:r>
      <w:r w:rsidR="00C64050">
        <w:rPr>
          <w:szCs w:val="20"/>
        </w:rPr>
        <w:t xml:space="preserve"> </w:t>
      </w:r>
      <w:r w:rsidRPr="00C91D92">
        <w:rPr>
          <w:szCs w:val="20"/>
        </w:rPr>
        <w:t>who</w:t>
      </w:r>
      <w:r w:rsidR="00C64050">
        <w:rPr>
          <w:szCs w:val="20"/>
        </w:rPr>
        <w:t xml:space="preserve"> </w:t>
      </w:r>
      <w:r w:rsidRPr="00C91D92">
        <w:rPr>
          <w:szCs w:val="20"/>
        </w:rPr>
        <w:t>had</w:t>
      </w:r>
      <w:r w:rsidR="00C64050">
        <w:rPr>
          <w:szCs w:val="20"/>
        </w:rPr>
        <w:t xml:space="preserve"> </w:t>
      </w:r>
      <w:r w:rsidRPr="00C91D92">
        <w:rPr>
          <w:rStyle w:val="Emphasis"/>
          <w:szCs w:val="20"/>
        </w:rPr>
        <w:t>or</w:t>
      </w:r>
      <w:r w:rsidR="00C64050">
        <w:rPr>
          <w:rStyle w:val="Emphasis"/>
          <w:szCs w:val="20"/>
        </w:rPr>
        <w:t xml:space="preserve"> </w:t>
      </w:r>
      <w:r w:rsidRPr="00C91D92">
        <w:rPr>
          <w:rStyle w:val="Emphasis"/>
          <w:szCs w:val="20"/>
        </w:rPr>
        <w:t>might</w:t>
      </w:r>
      <w:r w:rsidR="00C64050">
        <w:rPr>
          <w:rStyle w:val="Emphasis"/>
          <w:szCs w:val="20"/>
        </w:rPr>
        <w:t xml:space="preserve"> </w:t>
      </w:r>
      <w:r w:rsidRPr="00C91D92">
        <w:rPr>
          <w:rStyle w:val="Emphasis"/>
          <w:szCs w:val="20"/>
        </w:rPr>
        <w:t>thereafter</w:t>
      </w:r>
      <w:r w:rsidR="00C64050">
        <w:rPr>
          <w:rStyle w:val="Emphasis"/>
          <w:szCs w:val="20"/>
        </w:rPr>
        <w:t xml:space="preserve"> </w:t>
      </w:r>
      <w:r w:rsidRPr="00C91D92">
        <w:rPr>
          <w:rStyle w:val="Emphasis"/>
          <w:szCs w:val="20"/>
        </w:rPr>
        <w:t>have</w:t>
      </w:r>
      <w:r w:rsidR="00C64050">
        <w:rPr>
          <w:szCs w:val="20"/>
        </w:rPr>
        <w:t xml:space="preserve"> </w:t>
      </w:r>
      <w:r w:rsidRPr="00C91D92">
        <w:rPr>
          <w:szCs w:val="20"/>
        </w:rPr>
        <w:t>any</w:t>
      </w:r>
      <w:r w:rsidR="00C64050">
        <w:rPr>
          <w:szCs w:val="20"/>
        </w:rPr>
        <w:t xml:space="preserve"> </w:t>
      </w:r>
      <w:r w:rsidRPr="00C91D92">
        <w:rPr>
          <w:szCs w:val="20"/>
        </w:rPr>
        <w:t>interest</w:t>
      </w:r>
      <w:r w:rsidR="00C64050">
        <w:rPr>
          <w:szCs w:val="20"/>
        </w:rPr>
        <w:t xml:space="preserve"> </w:t>
      </w:r>
      <w:r w:rsidRPr="00C91D92">
        <w:rPr>
          <w:szCs w:val="20"/>
        </w:rPr>
        <w:t>in</w:t>
      </w:r>
      <w:r w:rsidR="00C64050">
        <w:rPr>
          <w:szCs w:val="20"/>
        </w:rPr>
        <w:t xml:space="preserve"> </w:t>
      </w:r>
      <w:r w:rsidRPr="00C91D92">
        <w:rPr>
          <w:szCs w:val="20"/>
        </w:rPr>
        <w:t>the</w:t>
      </w:r>
      <w:r w:rsidR="00C64050">
        <w:rPr>
          <w:szCs w:val="20"/>
        </w:rPr>
        <w:t xml:space="preserve"> </w:t>
      </w:r>
      <w:r w:rsidRPr="00C91D92">
        <w:rPr>
          <w:szCs w:val="20"/>
        </w:rPr>
        <w:t>income</w:t>
      </w:r>
      <w:r w:rsidR="00C64050">
        <w:rPr>
          <w:szCs w:val="20"/>
        </w:rPr>
        <w:t xml:space="preserve"> </w:t>
      </w:r>
      <w:r w:rsidRPr="00C91D92">
        <w:rPr>
          <w:szCs w:val="20"/>
        </w:rPr>
        <w:t>of</w:t>
      </w:r>
      <w:r w:rsidR="00C64050">
        <w:rPr>
          <w:szCs w:val="20"/>
        </w:rPr>
        <w:t xml:space="preserve"> </w:t>
      </w:r>
      <w:r w:rsidRPr="00C91D92">
        <w:rPr>
          <w:szCs w:val="20"/>
        </w:rPr>
        <w:t>the</w:t>
      </w:r>
      <w:r w:rsidR="00C64050">
        <w:rPr>
          <w:szCs w:val="20"/>
        </w:rPr>
        <w:t xml:space="preserve"> </w:t>
      </w:r>
      <w:r w:rsidRPr="00C91D92">
        <w:rPr>
          <w:szCs w:val="20"/>
        </w:rPr>
        <w:t>common</w:t>
      </w:r>
      <w:r w:rsidR="00C64050">
        <w:rPr>
          <w:szCs w:val="20"/>
        </w:rPr>
        <w:t xml:space="preserve"> </w:t>
      </w:r>
      <w:r w:rsidRPr="00C91D92">
        <w:rPr>
          <w:szCs w:val="20"/>
        </w:rPr>
        <w:t>trust</w:t>
      </w:r>
      <w:r w:rsidR="00C64050">
        <w:rPr>
          <w:szCs w:val="20"/>
        </w:rPr>
        <w:t xml:space="preserve"> </w:t>
      </w:r>
      <w:r w:rsidRPr="00C91D92">
        <w:rPr>
          <w:szCs w:val="20"/>
        </w:rPr>
        <w:t>fund.”</w:t>
      </w:r>
      <w:r w:rsidR="00C64050">
        <w:rPr>
          <w:szCs w:val="20"/>
        </w:rPr>
        <w:t xml:space="preserve"> </w:t>
      </w:r>
      <w:r w:rsidRPr="00C91D92">
        <w:rPr>
          <w:szCs w:val="20"/>
        </w:rPr>
        <w:t>(</w:t>
      </w:r>
      <w:r w:rsidRPr="00C91D92">
        <w:rPr>
          <w:rStyle w:val="Emphasis"/>
          <w:szCs w:val="20"/>
        </w:rPr>
        <w:t>Mullane</w:t>
      </w:r>
      <w:r w:rsidRPr="00C91D92">
        <w:rPr>
          <w:szCs w:val="20"/>
        </w:rPr>
        <w:t>,</w:t>
      </w:r>
      <w:r w:rsidR="00C64050">
        <w:rPr>
          <w:szCs w:val="20"/>
        </w:rPr>
        <w:t xml:space="preserve"> </w:t>
      </w:r>
      <w:r w:rsidRPr="00C91D92">
        <w:rPr>
          <w:rStyle w:val="Emphasis"/>
          <w:szCs w:val="20"/>
        </w:rPr>
        <w:t>supra</w:t>
      </w:r>
      <w:r w:rsidRPr="00C91D92">
        <w:rPr>
          <w:szCs w:val="20"/>
        </w:rPr>
        <w:t>,</w:t>
      </w:r>
      <w:r w:rsidR="00C64050">
        <w:rPr>
          <w:szCs w:val="20"/>
        </w:rPr>
        <w:t xml:space="preserve"> </w:t>
      </w:r>
      <w:r w:rsidRPr="00C91D92">
        <w:rPr>
          <w:szCs w:val="20"/>
        </w:rPr>
        <w:t>339</w:t>
      </w:r>
      <w:r w:rsidR="00C64050">
        <w:rPr>
          <w:szCs w:val="20"/>
        </w:rPr>
        <w:t xml:space="preserve"> </w:t>
      </w:r>
      <w:r w:rsidRPr="00C91D92">
        <w:rPr>
          <w:szCs w:val="20"/>
        </w:rPr>
        <w:t>U.S.</w:t>
      </w:r>
      <w:r w:rsidR="00C64050">
        <w:rPr>
          <w:szCs w:val="20"/>
        </w:rPr>
        <w:t xml:space="preserve"> </w:t>
      </w:r>
      <w:r w:rsidRPr="00C91D92">
        <w:rPr>
          <w:szCs w:val="20"/>
        </w:rPr>
        <w:t>at</w:t>
      </w:r>
      <w:r w:rsidR="00C64050">
        <w:rPr>
          <w:szCs w:val="20"/>
        </w:rPr>
        <w:t xml:space="preserve"> </w:t>
      </w:r>
      <w:r w:rsidRPr="00C91D92">
        <w:rPr>
          <w:szCs w:val="20"/>
        </w:rPr>
        <w:t>p.</w:t>
      </w:r>
      <w:r w:rsidR="00C64050">
        <w:rPr>
          <w:szCs w:val="20"/>
        </w:rPr>
        <w:t xml:space="preserve"> </w:t>
      </w:r>
      <w:r w:rsidRPr="00C91D92">
        <w:rPr>
          <w:szCs w:val="20"/>
        </w:rPr>
        <w:t>310,</w:t>
      </w:r>
      <w:r w:rsidR="00C64050">
        <w:rPr>
          <w:szCs w:val="20"/>
        </w:rPr>
        <w:t xml:space="preserve"> </w:t>
      </w:r>
      <w:r w:rsidRPr="00C91D92">
        <w:rPr>
          <w:szCs w:val="20"/>
        </w:rPr>
        <w:t>70</w:t>
      </w:r>
      <w:r w:rsidR="00C64050">
        <w:rPr>
          <w:szCs w:val="20"/>
        </w:rPr>
        <w:t xml:space="preserve"> </w:t>
      </w:r>
      <w:r w:rsidRPr="00C91D92">
        <w:rPr>
          <w:szCs w:val="20"/>
        </w:rPr>
        <w:t>S.Ct.</w:t>
      </w:r>
      <w:r w:rsidR="00C64050">
        <w:rPr>
          <w:szCs w:val="20"/>
        </w:rPr>
        <w:t xml:space="preserve"> </w:t>
      </w:r>
      <w:r w:rsidRPr="00C91D92">
        <w:rPr>
          <w:szCs w:val="20"/>
        </w:rPr>
        <w:t>652,</w:t>
      </w:r>
      <w:r w:rsidR="00C64050">
        <w:rPr>
          <w:szCs w:val="20"/>
        </w:rPr>
        <w:t xml:space="preserve"> </w:t>
      </w:r>
      <w:r w:rsidRPr="00C91D92">
        <w:rPr>
          <w:szCs w:val="20"/>
        </w:rPr>
        <w:t>italics</w:t>
      </w:r>
      <w:r w:rsidR="00C64050">
        <w:rPr>
          <w:szCs w:val="20"/>
        </w:rPr>
        <w:t xml:space="preserve"> </w:t>
      </w:r>
      <w:r w:rsidRPr="00C91D92">
        <w:rPr>
          <w:szCs w:val="20"/>
        </w:rPr>
        <w:t>added.)</w:t>
      </w:r>
      <w:r w:rsidR="00C64050">
        <w:rPr>
          <w:szCs w:val="20"/>
        </w:rPr>
        <w:t xml:space="preserve"> </w:t>
      </w:r>
      <w:r w:rsidRPr="00C91D92">
        <w:rPr>
          <w:szCs w:val="20"/>
        </w:rPr>
        <w:t>In</w:t>
      </w:r>
      <w:r w:rsidR="00C64050">
        <w:rPr>
          <w:szCs w:val="20"/>
        </w:rPr>
        <w:t xml:space="preserve"> </w:t>
      </w:r>
      <w:r w:rsidRPr="00C91D92">
        <w:rPr>
          <w:szCs w:val="20"/>
        </w:rPr>
        <w:t>this</w:t>
      </w:r>
      <w:r w:rsidR="00C64050">
        <w:rPr>
          <w:szCs w:val="20"/>
        </w:rPr>
        <w:t xml:space="preserve"> </w:t>
      </w:r>
      <w:r w:rsidRPr="00C91D92">
        <w:rPr>
          <w:szCs w:val="20"/>
        </w:rPr>
        <w:t>context,</w:t>
      </w:r>
      <w:r w:rsidR="00C64050">
        <w:rPr>
          <w:szCs w:val="20"/>
        </w:rPr>
        <w:t xml:space="preserve"> </w:t>
      </w:r>
      <w:r w:rsidRPr="00C91D92">
        <w:rPr>
          <w:szCs w:val="20"/>
        </w:rPr>
        <w:t>when</w:t>
      </w:r>
      <w:r w:rsidR="00C64050">
        <w:rPr>
          <w:szCs w:val="20"/>
        </w:rPr>
        <w:t xml:space="preserve"> </w:t>
      </w:r>
      <w:r w:rsidRPr="00C91D92">
        <w:rPr>
          <w:szCs w:val="20"/>
        </w:rPr>
        <w:t>the</w:t>
      </w:r>
      <w:r w:rsidR="00C64050">
        <w:rPr>
          <w:szCs w:val="20"/>
        </w:rPr>
        <w:t xml:space="preserve"> </w:t>
      </w:r>
      <w:r w:rsidRPr="00C91D92">
        <w:rPr>
          <w:szCs w:val="20"/>
        </w:rPr>
        <w:t>court</w:t>
      </w:r>
      <w:r w:rsidR="00C64050">
        <w:rPr>
          <w:szCs w:val="20"/>
        </w:rPr>
        <w:t xml:space="preserve"> </w:t>
      </w:r>
      <w:r w:rsidRPr="00C91D92">
        <w:rPr>
          <w:szCs w:val="20"/>
        </w:rPr>
        <w:t>spoke</w:t>
      </w:r>
      <w:r w:rsidR="00C64050">
        <w:rPr>
          <w:szCs w:val="20"/>
        </w:rPr>
        <w:t xml:space="preserve"> </w:t>
      </w:r>
      <w:r w:rsidRPr="00C91D92">
        <w:rPr>
          <w:szCs w:val="20"/>
        </w:rPr>
        <w:t>of</w:t>
      </w:r>
      <w:r w:rsidR="00C64050">
        <w:rPr>
          <w:szCs w:val="20"/>
        </w:rPr>
        <w:t xml:space="preserve"> </w:t>
      </w:r>
      <w:r w:rsidRPr="00C91D92">
        <w:rPr>
          <w:szCs w:val="20"/>
        </w:rPr>
        <w:t>interests</w:t>
      </w:r>
      <w:r w:rsidR="00C64050">
        <w:rPr>
          <w:szCs w:val="20"/>
        </w:rPr>
        <w:t xml:space="preserve"> </w:t>
      </w:r>
      <w:r w:rsidRPr="00C91D92">
        <w:rPr>
          <w:szCs w:val="20"/>
        </w:rPr>
        <w:t>that</w:t>
      </w:r>
      <w:r w:rsidR="00C64050">
        <w:rPr>
          <w:szCs w:val="20"/>
        </w:rPr>
        <w:t xml:space="preserve"> </w:t>
      </w:r>
      <w:r w:rsidRPr="00C91D92">
        <w:rPr>
          <w:szCs w:val="20"/>
        </w:rPr>
        <w:t>were</w:t>
      </w:r>
      <w:r w:rsidR="00C64050">
        <w:rPr>
          <w:szCs w:val="20"/>
        </w:rPr>
        <w:t xml:space="preserve"> </w:t>
      </w:r>
      <w:r w:rsidRPr="00C91D92">
        <w:rPr>
          <w:szCs w:val="20"/>
        </w:rPr>
        <w:t>“future,”</w:t>
      </w:r>
      <w:r w:rsidR="00C64050">
        <w:rPr>
          <w:szCs w:val="20"/>
        </w:rPr>
        <w:t xml:space="preserve"> </w:t>
      </w:r>
      <w:r w:rsidRPr="00C91D92">
        <w:rPr>
          <w:szCs w:val="20"/>
        </w:rPr>
        <w:t>it</w:t>
      </w:r>
      <w:r w:rsidR="00C64050">
        <w:rPr>
          <w:szCs w:val="20"/>
        </w:rPr>
        <w:t xml:space="preserve"> </w:t>
      </w:r>
      <w:r w:rsidRPr="00C91D92">
        <w:rPr>
          <w:szCs w:val="20"/>
        </w:rPr>
        <w:t>likely</w:t>
      </w:r>
      <w:r w:rsidR="00C64050">
        <w:rPr>
          <w:szCs w:val="20"/>
        </w:rPr>
        <w:t xml:space="preserve"> </w:t>
      </w:r>
      <w:r w:rsidRPr="00C91D92">
        <w:rPr>
          <w:szCs w:val="20"/>
        </w:rPr>
        <w:t>was</w:t>
      </w:r>
      <w:r w:rsidR="00C64050">
        <w:rPr>
          <w:szCs w:val="20"/>
        </w:rPr>
        <w:t xml:space="preserve"> </w:t>
      </w:r>
      <w:r w:rsidRPr="00C91D92">
        <w:rPr>
          <w:szCs w:val="20"/>
        </w:rPr>
        <w:t>referring</w:t>
      </w:r>
      <w:r w:rsidR="00C64050">
        <w:rPr>
          <w:szCs w:val="20"/>
        </w:rPr>
        <w:t xml:space="preserve"> </w:t>
      </w:r>
      <w:r w:rsidRPr="00C91D92">
        <w:rPr>
          <w:szCs w:val="20"/>
        </w:rPr>
        <w:t>to</w:t>
      </w:r>
      <w:r w:rsidR="00C64050">
        <w:rPr>
          <w:szCs w:val="20"/>
        </w:rPr>
        <w:t xml:space="preserve"> </w:t>
      </w:r>
      <w:r w:rsidRPr="00C91D92">
        <w:rPr>
          <w:szCs w:val="20"/>
        </w:rPr>
        <w:t>persons</w:t>
      </w:r>
      <w:r w:rsidR="00C64050">
        <w:rPr>
          <w:szCs w:val="20"/>
        </w:rPr>
        <w:t xml:space="preserve"> </w:t>
      </w:r>
      <w:r w:rsidRPr="00C91D92">
        <w:rPr>
          <w:szCs w:val="20"/>
        </w:rPr>
        <w:t>who</w:t>
      </w:r>
      <w:r w:rsidR="00C64050">
        <w:rPr>
          <w:szCs w:val="20"/>
        </w:rPr>
        <w:t xml:space="preserve"> </w:t>
      </w:r>
      <w:r w:rsidRPr="00C91D92">
        <w:rPr>
          <w:szCs w:val="20"/>
        </w:rPr>
        <w:t>did</w:t>
      </w:r>
      <w:r w:rsidR="00C64050">
        <w:rPr>
          <w:szCs w:val="20"/>
        </w:rPr>
        <w:t xml:space="preserve"> </w:t>
      </w:r>
      <w:r w:rsidRPr="00C91D92">
        <w:rPr>
          <w:szCs w:val="20"/>
        </w:rPr>
        <w:t>not</w:t>
      </w:r>
      <w:r w:rsidR="00C64050">
        <w:rPr>
          <w:szCs w:val="20"/>
        </w:rPr>
        <w:t xml:space="preserve"> </w:t>
      </w:r>
      <w:r w:rsidRPr="00C91D92">
        <w:rPr>
          <w:szCs w:val="20"/>
        </w:rPr>
        <w:t>currently</w:t>
      </w:r>
      <w:r w:rsidR="00C64050">
        <w:rPr>
          <w:szCs w:val="20"/>
        </w:rPr>
        <w:t xml:space="preserve"> </w:t>
      </w:r>
      <w:r w:rsidRPr="00C91D92">
        <w:rPr>
          <w:szCs w:val="20"/>
        </w:rPr>
        <w:t>have</w:t>
      </w:r>
      <w:r w:rsidR="00C64050">
        <w:rPr>
          <w:szCs w:val="20"/>
        </w:rPr>
        <w:t xml:space="preserve"> </w:t>
      </w:r>
      <w:r w:rsidRPr="00C91D92">
        <w:rPr>
          <w:szCs w:val="20"/>
        </w:rPr>
        <w:t>a</w:t>
      </w:r>
      <w:r w:rsidR="00C64050">
        <w:rPr>
          <w:szCs w:val="20"/>
        </w:rPr>
        <w:t xml:space="preserve"> </w:t>
      </w:r>
      <w:r w:rsidRPr="00C91D92">
        <w:rPr>
          <w:szCs w:val="20"/>
        </w:rPr>
        <w:t>property</w:t>
      </w:r>
      <w:r w:rsidR="00C64050">
        <w:rPr>
          <w:szCs w:val="20"/>
        </w:rPr>
        <w:t xml:space="preserve"> </w:t>
      </w:r>
      <w:r w:rsidRPr="00C91D92">
        <w:rPr>
          <w:szCs w:val="20"/>
        </w:rPr>
        <w:t>interest</w:t>
      </w:r>
      <w:r w:rsidR="00C64050">
        <w:rPr>
          <w:szCs w:val="20"/>
        </w:rPr>
        <w:t xml:space="preserve"> </w:t>
      </w:r>
      <w:r w:rsidRPr="00C91D92">
        <w:rPr>
          <w:szCs w:val="20"/>
        </w:rPr>
        <w:t>in</w:t>
      </w:r>
      <w:r w:rsidR="00C64050">
        <w:rPr>
          <w:szCs w:val="20"/>
        </w:rPr>
        <w:t xml:space="preserve"> </w:t>
      </w:r>
      <w:r w:rsidRPr="00C91D92">
        <w:rPr>
          <w:szCs w:val="20"/>
        </w:rPr>
        <w:t>the</w:t>
      </w:r>
      <w:r w:rsidR="00C64050">
        <w:rPr>
          <w:szCs w:val="20"/>
        </w:rPr>
        <w:t xml:space="preserve"> </w:t>
      </w:r>
      <w:r w:rsidRPr="00C91D92">
        <w:rPr>
          <w:szCs w:val="20"/>
        </w:rPr>
        <w:t>common</w:t>
      </w:r>
      <w:r w:rsidR="00C64050">
        <w:rPr>
          <w:szCs w:val="20"/>
        </w:rPr>
        <w:t xml:space="preserve"> </w:t>
      </w:r>
      <w:r w:rsidRPr="00C91D92">
        <w:rPr>
          <w:szCs w:val="20"/>
        </w:rPr>
        <w:t>fund</w:t>
      </w:r>
      <w:r w:rsidR="00C64050">
        <w:rPr>
          <w:szCs w:val="20"/>
        </w:rPr>
        <w:t xml:space="preserve"> </w:t>
      </w:r>
      <w:r w:rsidRPr="00C91D92">
        <w:rPr>
          <w:szCs w:val="20"/>
        </w:rPr>
        <w:t>but</w:t>
      </w:r>
      <w:r w:rsidR="00C64050">
        <w:rPr>
          <w:szCs w:val="20"/>
        </w:rPr>
        <w:t xml:space="preserve"> </w:t>
      </w:r>
      <w:r w:rsidRPr="00C91D92">
        <w:rPr>
          <w:szCs w:val="20"/>
        </w:rPr>
        <w:t>might</w:t>
      </w:r>
      <w:r w:rsidR="00C64050">
        <w:rPr>
          <w:szCs w:val="20"/>
        </w:rPr>
        <w:t xml:space="preserve"> </w:t>
      </w:r>
      <w:r w:rsidRPr="00C91D92">
        <w:rPr>
          <w:szCs w:val="20"/>
        </w:rPr>
        <w:t>acquire</w:t>
      </w:r>
      <w:r w:rsidR="00C64050">
        <w:rPr>
          <w:szCs w:val="20"/>
        </w:rPr>
        <w:t xml:space="preserve"> </w:t>
      </w:r>
      <w:r w:rsidRPr="00C91D92">
        <w:rPr>
          <w:szCs w:val="20"/>
        </w:rPr>
        <w:t>an</w:t>
      </w:r>
      <w:r w:rsidR="00C64050">
        <w:rPr>
          <w:szCs w:val="20"/>
        </w:rPr>
        <w:t xml:space="preserve"> </w:t>
      </w:r>
      <w:r w:rsidRPr="00C91D92">
        <w:rPr>
          <w:szCs w:val="20"/>
        </w:rPr>
        <w:t>interest</w:t>
      </w:r>
      <w:r w:rsidR="00C64050">
        <w:rPr>
          <w:szCs w:val="20"/>
        </w:rPr>
        <w:t xml:space="preserve"> </w:t>
      </w:r>
      <w:r w:rsidRPr="00C91D92">
        <w:rPr>
          <w:szCs w:val="20"/>
        </w:rPr>
        <w:t>in</w:t>
      </w:r>
      <w:r w:rsidR="00C64050">
        <w:rPr>
          <w:szCs w:val="20"/>
        </w:rPr>
        <w:t xml:space="preserve"> </w:t>
      </w:r>
      <w:r w:rsidRPr="00C91D92">
        <w:rPr>
          <w:szCs w:val="20"/>
        </w:rPr>
        <w:t>the</w:t>
      </w:r>
      <w:r w:rsidR="00C64050">
        <w:rPr>
          <w:szCs w:val="20"/>
        </w:rPr>
        <w:t xml:space="preserve"> </w:t>
      </w:r>
      <w:r w:rsidRPr="00C91D92">
        <w:rPr>
          <w:szCs w:val="20"/>
        </w:rPr>
        <w:t>future,</w:t>
      </w:r>
      <w:r w:rsidR="00C64050">
        <w:rPr>
          <w:szCs w:val="20"/>
        </w:rPr>
        <w:t xml:space="preserve"> </w:t>
      </w:r>
      <w:r w:rsidRPr="00C91D92">
        <w:rPr>
          <w:szCs w:val="20"/>
        </w:rPr>
        <w:t>not</w:t>
      </w:r>
      <w:r w:rsidR="00C64050">
        <w:rPr>
          <w:szCs w:val="20"/>
        </w:rPr>
        <w:t xml:space="preserve"> </w:t>
      </w:r>
      <w:r w:rsidRPr="00C91D92">
        <w:rPr>
          <w:szCs w:val="20"/>
        </w:rPr>
        <w:t>to</w:t>
      </w:r>
      <w:r w:rsidR="00C64050">
        <w:rPr>
          <w:szCs w:val="20"/>
        </w:rPr>
        <w:t xml:space="preserve"> </w:t>
      </w:r>
      <w:r w:rsidRPr="00C91D92">
        <w:rPr>
          <w:szCs w:val="20"/>
        </w:rPr>
        <w:t>beneficiaries</w:t>
      </w:r>
      <w:r w:rsidR="00C64050">
        <w:rPr>
          <w:szCs w:val="20"/>
        </w:rPr>
        <w:t xml:space="preserve"> </w:t>
      </w:r>
      <w:r w:rsidRPr="00C91D92">
        <w:rPr>
          <w:szCs w:val="20"/>
        </w:rPr>
        <w:t>who</w:t>
      </w:r>
      <w:r w:rsidR="00C64050">
        <w:rPr>
          <w:szCs w:val="20"/>
        </w:rPr>
        <w:t xml:space="preserve"> </w:t>
      </w:r>
      <w:r w:rsidRPr="00C91D92">
        <w:rPr>
          <w:szCs w:val="20"/>
        </w:rPr>
        <w:t>currently</w:t>
      </w:r>
      <w:r w:rsidR="00C64050">
        <w:rPr>
          <w:szCs w:val="20"/>
        </w:rPr>
        <w:t xml:space="preserve"> </w:t>
      </w:r>
      <w:r w:rsidRPr="00C91D92">
        <w:rPr>
          <w:szCs w:val="20"/>
        </w:rPr>
        <w:t>had</w:t>
      </w:r>
      <w:r w:rsidR="00C64050">
        <w:rPr>
          <w:szCs w:val="20"/>
        </w:rPr>
        <w:t xml:space="preserve"> </w:t>
      </w:r>
      <w:r w:rsidRPr="00C91D92">
        <w:rPr>
          <w:szCs w:val="20"/>
        </w:rPr>
        <w:t>future</w:t>
      </w:r>
      <w:r w:rsidR="00C64050">
        <w:rPr>
          <w:szCs w:val="20"/>
        </w:rPr>
        <w:t xml:space="preserve"> </w:t>
      </w:r>
      <w:r w:rsidRPr="00C91D92">
        <w:rPr>
          <w:szCs w:val="20"/>
        </w:rPr>
        <w:t>property</w:t>
      </w:r>
      <w:r w:rsidR="00C64050">
        <w:rPr>
          <w:szCs w:val="20"/>
        </w:rPr>
        <w:t xml:space="preserve"> </w:t>
      </w:r>
      <w:r w:rsidRPr="00C91D92">
        <w:rPr>
          <w:szCs w:val="20"/>
        </w:rPr>
        <w:t>interests</w:t>
      </w:r>
      <w:r w:rsidR="00C64050">
        <w:rPr>
          <w:szCs w:val="20"/>
        </w:rPr>
        <w:t xml:space="preserve"> </w:t>
      </w:r>
      <w:r w:rsidRPr="00C91D92">
        <w:rPr>
          <w:szCs w:val="20"/>
        </w:rPr>
        <w:t>in</w:t>
      </w:r>
      <w:r w:rsidR="00C64050">
        <w:rPr>
          <w:szCs w:val="20"/>
        </w:rPr>
        <w:t xml:space="preserve"> </w:t>
      </w:r>
      <w:r w:rsidRPr="00C91D92">
        <w:rPr>
          <w:szCs w:val="20"/>
        </w:rPr>
        <w:t>the</w:t>
      </w:r>
      <w:r w:rsidR="00C64050">
        <w:rPr>
          <w:szCs w:val="20"/>
        </w:rPr>
        <w:t xml:space="preserve"> </w:t>
      </w:r>
      <w:r w:rsidRPr="00C91D92">
        <w:rPr>
          <w:szCs w:val="20"/>
        </w:rPr>
        <w:t>fund.</w:t>
      </w:r>
      <w:r w:rsidR="00C64050">
        <w:rPr>
          <w:szCs w:val="20"/>
        </w:rPr>
        <w:t xml:space="preserve"> </w:t>
      </w:r>
      <w:r w:rsidRPr="00C91D92">
        <w:rPr>
          <w:szCs w:val="20"/>
        </w:rPr>
        <w:t>On</w:t>
      </w:r>
      <w:r w:rsidR="00C64050">
        <w:rPr>
          <w:szCs w:val="20"/>
        </w:rPr>
        <w:t xml:space="preserve"> </w:t>
      </w:r>
      <w:r w:rsidRPr="00C91D92">
        <w:rPr>
          <w:szCs w:val="20"/>
        </w:rPr>
        <w:t>the</w:t>
      </w:r>
      <w:r w:rsidR="00C64050">
        <w:rPr>
          <w:szCs w:val="20"/>
        </w:rPr>
        <w:t xml:space="preserve"> </w:t>
      </w:r>
      <w:r w:rsidRPr="00C91D92">
        <w:rPr>
          <w:szCs w:val="20"/>
        </w:rPr>
        <w:t>other</w:t>
      </w:r>
      <w:r w:rsidR="00C64050">
        <w:rPr>
          <w:szCs w:val="20"/>
        </w:rPr>
        <w:t xml:space="preserve"> </w:t>
      </w:r>
      <w:r w:rsidRPr="00C91D92">
        <w:rPr>
          <w:szCs w:val="20"/>
        </w:rPr>
        <w:t>hand,</w:t>
      </w:r>
      <w:r w:rsidR="00C64050">
        <w:rPr>
          <w:szCs w:val="20"/>
        </w:rPr>
        <w:t xml:space="preserve"> </w:t>
      </w:r>
      <w:r w:rsidRPr="00C91D92">
        <w:rPr>
          <w:szCs w:val="20"/>
        </w:rPr>
        <w:t>if</w:t>
      </w:r>
      <w:r w:rsidR="00C64050">
        <w:rPr>
          <w:szCs w:val="20"/>
        </w:rPr>
        <w:t xml:space="preserve"> </w:t>
      </w:r>
      <w:r w:rsidRPr="00C91D92">
        <w:rPr>
          <w:szCs w:val="20"/>
        </w:rPr>
        <w:t>the</w:t>
      </w:r>
      <w:r w:rsidR="00C64050">
        <w:rPr>
          <w:szCs w:val="20"/>
        </w:rPr>
        <w:t xml:space="preserve"> </w:t>
      </w:r>
      <w:r w:rsidRPr="00C91D92">
        <w:rPr>
          <w:szCs w:val="20"/>
        </w:rPr>
        <w:t>court</w:t>
      </w:r>
      <w:r w:rsidR="00C64050">
        <w:rPr>
          <w:szCs w:val="20"/>
        </w:rPr>
        <w:t xml:space="preserve"> </w:t>
      </w:r>
      <w:r w:rsidRPr="00C91D92">
        <w:rPr>
          <w:szCs w:val="20"/>
        </w:rPr>
        <w:t>did</w:t>
      </w:r>
      <w:r w:rsidR="00C64050">
        <w:rPr>
          <w:szCs w:val="20"/>
        </w:rPr>
        <w:t xml:space="preserve"> </w:t>
      </w:r>
      <w:r w:rsidRPr="00C91D92">
        <w:rPr>
          <w:szCs w:val="20"/>
        </w:rPr>
        <w:t>mean</w:t>
      </w:r>
      <w:r w:rsidR="00C64050">
        <w:rPr>
          <w:szCs w:val="20"/>
        </w:rPr>
        <w:t xml:space="preserve"> </w:t>
      </w:r>
      <w:r w:rsidRPr="00C91D92">
        <w:rPr>
          <w:szCs w:val="20"/>
        </w:rPr>
        <w:t>current</w:t>
      </w:r>
      <w:r w:rsidR="00C64050">
        <w:rPr>
          <w:szCs w:val="20"/>
        </w:rPr>
        <w:t xml:space="preserve"> </w:t>
      </w:r>
      <w:r w:rsidRPr="00C91D92">
        <w:rPr>
          <w:szCs w:val="20"/>
        </w:rPr>
        <w:t>beneficiaries</w:t>
      </w:r>
      <w:r w:rsidR="00C64050">
        <w:rPr>
          <w:szCs w:val="20"/>
        </w:rPr>
        <w:t xml:space="preserve"> </w:t>
      </w:r>
      <w:r w:rsidRPr="00C91D92">
        <w:rPr>
          <w:szCs w:val="20"/>
        </w:rPr>
        <w:t>with</w:t>
      </w:r>
      <w:r w:rsidR="00C64050">
        <w:rPr>
          <w:szCs w:val="20"/>
        </w:rPr>
        <w:t xml:space="preserve"> </w:t>
      </w:r>
      <w:r w:rsidRPr="00C91D92">
        <w:rPr>
          <w:szCs w:val="20"/>
        </w:rPr>
        <w:t>future</w:t>
      </w:r>
      <w:r w:rsidR="00C64050">
        <w:rPr>
          <w:szCs w:val="20"/>
        </w:rPr>
        <w:t xml:space="preserve"> </w:t>
      </w:r>
      <w:r w:rsidRPr="00C91D92">
        <w:rPr>
          <w:szCs w:val="20"/>
        </w:rPr>
        <w:t>interests</w:t>
      </w:r>
      <w:r w:rsidR="00C64050">
        <w:rPr>
          <w:szCs w:val="20"/>
        </w:rPr>
        <w:t xml:space="preserve"> </w:t>
      </w:r>
      <w:r w:rsidRPr="00C91D92">
        <w:rPr>
          <w:szCs w:val="20"/>
        </w:rPr>
        <w:t>were</w:t>
      </w:r>
      <w:r w:rsidR="00C64050">
        <w:rPr>
          <w:szCs w:val="20"/>
        </w:rPr>
        <w:t xml:space="preserve"> </w:t>
      </w:r>
      <w:r w:rsidRPr="00C91D92">
        <w:rPr>
          <w:szCs w:val="20"/>
        </w:rPr>
        <w:t>not</w:t>
      </w:r>
      <w:r w:rsidR="00C64050">
        <w:rPr>
          <w:szCs w:val="20"/>
        </w:rPr>
        <w:t xml:space="preserve"> </w:t>
      </w:r>
      <w:r w:rsidRPr="00C91D92">
        <w:rPr>
          <w:szCs w:val="20"/>
        </w:rPr>
        <w:t>entitled</w:t>
      </w:r>
      <w:r w:rsidR="00C64050">
        <w:rPr>
          <w:szCs w:val="20"/>
        </w:rPr>
        <w:t xml:space="preserve"> </w:t>
      </w:r>
      <w:r w:rsidRPr="00C91D92">
        <w:rPr>
          <w:szCs w:val="20"/>
        </w:rPr>
        <w:t>to</w:t>
      </w:r>
      <w:r w:rsidR="00C64050">
        <w:rPr>
          <w:szCs w:val="20"/>
        </w:rPr>
        <w:t xml:space="preserve"> </w:t>
      </w:r>
      <w:r w:rsidRPr="00C91D92">
        <w:rPr>
          <w:szCs w:val="20"/>
        </w:rPr>
        <w:t>mailed</w:t>
      </w:r>
      <w:r w:rsidR="00C64050">
        <w:rPr>
          <w:szCs w:val="20"/>
        </w:rPr>
        <w:t xml:space="preserve"> </w:t>
      </w:r>
      <w:r w:rsidRPr="00C91D92">
        <w:rPr>
          <w:szCs w:val="20"/>
        </w:rPr>
        <w:t>notice,</w:t>
      </w:r>
      <w:r w:rsidR="00C64050">
        <w:rPr>
          <w:szCs w:val="20"/>
        </w:rPr>
        <w:t xml:space="preserve"> </w:t>
      </w:r>
      <w:r w:rsidRPr="00C91D92">
        <w:rPr>
          <w:szCs w:val="20"/>
        </w:rPr>
        <w:t>the</w:t>
      </w:r>
      <w:r w:rsidR="00C64050">
        <w:rPr>
          <w:szCs w:val="20"/>
        </w:rPr>
        <w:t xml:space="preserve"> </w:t>
      </w:r>
      <w:r w:rsidRPr="00C91D92">
        <w:rPr>
          <w:szCs w:val="20"/>
        </w:rPr>
        <w:t>court</w:t>
      </w:r>
      <w:r w:rsidR="00C64050">
        <w:rPr>
          <w:szCs w:val="20"/>
        </w:rPr>
        <w:t xml:space="preserve"> </w:t>
      </w:r>
      <w:r w:rsidRPr="00C91D92">
        <w:rPr>
          <w:szCs w:val="20"/>
        </w:rPr>
        <w:t>may</w:t>
      </w:r>
      <w:r w:rsidR="00C64050">
        <w:rPr>
          <w:szCs w:val="20"/>
        </w:rPr>
        <w:t xml:space="preserve"> </w:t>
      </w:r>
      <w:r w:rsidRPr="00C91D92">
        <w:rPr>
          <w:szCs w:val="20"/>
        </w:rPr>
        <w:t>have</w:t>
      </w:r>
      <w:r w:rsidR="00C64050">
        <w:rPr>
          <w:szCs w:val="20"/>
        </w:rPr>
        <w:t xml:space="preserve"> </w:t>
      </w:r>
      <w:r w:rsidRPr="00C91D92">
        <w:rPr>
          <w:szCs w:val="20"/>
        </w:rPr>
        <w:t>determined</w:t>
      </w:r>
      <w:r w:rsidR="00C64050">
        <w:rPr>
          <w:szCs w:val="20"/>
        </w:rPr>
        <w:t xml:space="preserve"> </w:t>
      </w:r>
      <w:r w:rsidRPr="00C91D92">
        <w:rPr>
          <w:szCs w:val="20"/>
        </w:rPr>
        <w:t>that,</w:t>
      </w:r>
      <w:r w:rsidR="00C64050">
        <w:rPr>
          <w:szCs w:val="20"/>
        </w:rPr>
        <w:t xml:space="preserve"> </w:t>
      </w:r>
      <w:r w:rsidRPr="00C91D92">
        <w:rPr>
          <w:szCs w:val="20"/>
        </w:rPr>
        <w:t>because</w:t>
      </w:r>
      <w:r w:rsidR="00C64050">
        <w:rPr>
          <w:szCs w:val="20"/>
        </w:rPr>
        <w:t xml:space="preserve"> </w:t>
      </w:r>
      <w:r w:rsidRPr="00C91D92">
        <w:rPr>
          <w:szCs w:val="20"/>
        </w:rPr>
        <w:t>the</w:t>
      </w:r>
      <w:r w:rsidR="00C64050">
        <w:rPr>
          <w:szCs w:val="20"/>
        </w:rPr>
        <w:t xml:space="preserve"> </w:t>
      </w:r>
      <w:r w:rsidRPr="00C91D92">
        <w:rPr>
          <w:szCs w:val="20"/>
        </w:rPr>
        <w:t>common</w:t>
      </w:r>
      <w:r w:rsidR="00C64050">
        <w:rPr>
          <w:szCs w:val="20"/>
        </w:rPr>
        <w:t xml:space="preserve"> </w:t>
      </w:r>
      <w:r w:rsidRPr="00C91D92">
        <w:rPr>
          <w:szCs w:val="20"/>
        </w:rPr>
        <w:t>fund</w:t>
      </w:r>
      <w:r w:rsidR="00C64050">
        <w:rPr>
          <w:szCs w:val="20"/>
        </w:rPr>
        <w:t xml:space="preserve"> </w:t>
      </w:r>
      <w:r w:rsidRPr="00C91D92">
        <w:rPr>
          <w:szCs w:val="20"/>
        </w:rPr>
        <w:t>involved</w:t>
      </w:r>
      <w:r w:rsidR="00C64050">
        <w:rPr>
          <w:szCs w:val="20"/>
        </w:rPr>
        <w:t xml:space="preserve"> </w:t>
      </w:r>
      <w:r w:rsidRPr="00C91D92">
        <w:rPr>
          <w:szCs w:val="20"/>
        </w:rPr>
        <w:t>113</w:t>
      </w:r>
      <w:r w:rsidR="00C64050">
        <w:rPr>
          <w:szCs w:val="20"/>
        </w:rPr>
        <w:t xml:space="preserve"> </w:t>
      </w:r>
      <w:r w:rsidRPr="00C91D92">
        <w:rPr>
          <w:szCs w:val="20"/>
        </w:rPr>
        <w:t>trusts</w:t>
      </w:r>
      <w:r w:rsidR="00C64050">
        <w:rPr>
          <w:szCs w:val="20"/>
        </w:rPr>
        <w:t xml:space="preserve"> </w:t>
      </w:r>
      <w:r w:rsidRPr="00C91D92">
        <w:rPr>
          <w:szCs w:val="20"/>
        </w:rPr>
        <w:t>(</w:t>
      </w:r>
      <w:r w:rsidRPr="00C91D92">
        <w:rPr>
          <w:rStyle w:val="Emphasis"/>
          <w:szCs w:val="20"/>
        </w:rPr>
        <w:t>id</w:t>
      </w:r>
      <w:r w:rsidRPr="00C91D92">
        <w:rPr>
          <w:szCs w:val="20"/>
        </w:rPr>
        <w:t>.</w:t>
      </w:r>
      <w:r w:rsidR="00C64050">
        <w:rPr>
          <w:szCs w:val="20"/>
        </w:rPr>
        <w:t xml:space="preserve"> </w:t>
      </w:r>
      <w:r w:rsidRPr="00C91D92">
        <w:rPr>
          <w:szCs w:val="20"/>
        </w:rPr>
        <w:t>at</w:t>
      </w:r>
      <w:r w:rsidR="00C64050">
        <w:rPr>
          <w:szCs w:val="20"/>
        </w:rPr>
        <w:t xml:space="preserve"> </w:t>
      </w:r>
      <w:r w:rsidRPr="00C91D92">
        <w:rPr>
          <w:szCs w:val="20"/>
        </w:rPr>
        <w:t>p.</w:t>
      </w:r>
      <w:r w:rsidR="00C64050">
        <w:rPr>
          <w:szCs w:val="20"/>
        </w:rPr>
        <w:t xml:space="preserve"> </w:t>
      </w:r>
      <w:r w:rsidRPr="00C91D92">
        <w:rPr>
          <w:szCs w:val="20"/>
        </w:rPr>
        <w:t>309,</w:t>
      </w:r>
      <w:r w:rsidR="00C64050">
        <w:rPr>
          <w:szCs w:val="20"/>
        </w:rPr>
        <w:t xml:space="preserve"> </w:t>
      </w:r>
      <w:r w:rsidRPr="00C91D92">
        <w:rPr>
          <w:szCs w:val="20"/>
        </w:rPr>
        <w:t>70</w:t>
      </w:r>
      <w:r w:rsidR="00C64050">
        <w:rPr>
          <w:szCs w:val="20"/>
        </w:rPr>
        <w:t xml:space="preserve"> </w:t>
      </w:r>
      <w:r w:rsidRPr="00C91D92">
        <w:rPr>
          <w:szCs w:val="20"/>
        </w:rPr>
        <w:t>S.Ct.</w:t>
      </w:r>
      <w:r w:rsidR="00C64050">
        <w:rPr>
          <w:szCs w:val="20"/>
        </w:rPr>
        <w:t xml:space="preserve"> </w:t>
      </w:r>
      <w:r w:rsidRPr="00C91D92">
        <w:rPr>
          <w:szCs w:val="20"/>
        </w:rPr>
        <w:t>652),</w:t>
      </w:r>
      <w:r w:rsidR="00C64050">
        <w:rPr>
          <w:szCs w:val="20"/>
        </w:rPr>
        <w:t xml:space="preserve"> </w:t>
      </w:r>
      <w:r w:rsidRPr="00C91D92">
        <w:rPr>
          <w:szCs w:val="20"/>
        </w:rPr>
        <w:t>it</w:t>
      </w:r>
      <w:r w:rsidR="00C64050">
        <w:rPr>
          <w:szCs w:val="20"/>
        </w:rPr>
        <w:t xml:space="preserve"> </w:t>
      </w:r>
      <w:r w:rsidRPr="00C91D92">
        <w:rPr>
          <w:szCs w:val="20"/>
        </w:rPr>
        <w:t>was</w:t>
      </w:r>
      <w:r w:rsidR="00C64050">
        <w:rPr>
          <w:szCs w:val="20"/>
        </w:rPr>
        <w:t xml:space="preserve"> </w:t>
      </w:r>
      <w:r w:rsidRPr="00C91D92">
        <w:rPr>
          <w:szCs w:val="20"/>
        </w:rPr>
        <w:t>too</w:t>
      </w:r>
      <w:r w:rsidR="00C64050">
        <w:rPr>
          <w:szCs w:val="20"/>
        </w:rPr>
        <w:t xml:space="preserve"> </w:t>
      </w:r>
      <w:r w:rsidRPr="00C91D92">
        <w:rPr>
          <w:szCs w:val="20"/>
        </w:rPr>
        <w:t>burdensome</w:t>
      </w:r>
      <w:r w:rsidR="00C64050">
        <w:rPr>
          <w:szCs w:val="20"/>
        </w:rPr>
        <w:t xml:space="preserve"> </w:t>
      </w:r>
      <w:r w:rsidRPr="00C91D92">
        <w:rPr>
          <w:szCs w:val="20"/>
        </w:rPr>
        <w:t>to</w:t>
      </w:r>
      <w:r w:rsidR="00C64050">
        <w:rPr>
          <w:szCs w:val="20"/>
        </w:rPr>
        <w:t xml:space="preserve"> </w:t>
      </w:r>
      <w:r w:rsidRPr="00C91D92">
        <w:rPr>
          <w:szCs w:val="20"/>
        </w:rPr>
        <w:t>expect</w:t>
      </w:r>
      <w:r w:rsidR="00C64050">
        <w:rPr>
          <w:szCs w:val="20"/>
        </w:rPr>
        <w:t xml:space="preserve"> </w:t>
      </w:r>
      <w:r w:rsidRPr="00C91D92">
        <w:rPr>
          <w:szCs w:val="20"/>
        </w:rPr>
        <w:t>the</w:t>
      </w:r>
      <w:r w:rsidR="00C64050">
        <w:rPr>
          <w:szCs w:val="20"/>
        </w:rPr>
        <w:t xml:space="preserve"> </w:t>
      </w:r>
      <w:r w:rsidRPr="00C91D92">
        <w:rPr>
          <w:szCs w:val="20"/>
        </w:rPr>
        <w:t>trustee</w:t>
      </w:r>
      <w:r w:rsidR="00C64050">
        <w:rPr>
          <w:szCs w:val="20"/>
        </w:rPr>
        <w:t xml:space="preserve"> </w:t>
      </w:r>
      <w:r w:rsidRPr="00C91D92">
        <w:rPr>
          <w:szCs w:val="20"/>
        </w:rPr>
        <w:t>to</w:t>
      </w:r>
      <w:r w:rsidR="00C64050">
        <w:rPr>
          <w:szCs w:val="20"/>
        </w:rPr>
        <w:t xml:space="preserve"> </w:t>
      </w:r>
      <w:r w:rsidRPr="00C91D92">
        <w:rPr>
          <w:szCs w:val="20"/>
        </w:rPr>
        <w:t>attempt</w:t>
      </w:r>
      <w:r w:rsidR="00C64050">
        <w:rPr>
          <w:szCs w:val="20"/>
        </w:rPr>
        <w:t xml:space="preserve"> </w:t>
      </w:r>
      <w:r w:rsidRPr="00C91D92">
        <w:rPr>
          <w:szCs w:val="20"/>
        </w:rPr>
        <w:t>to</w:t>
      </w:r>
      <w:r w:rsidR="00C64050">
        <w:rPr>
          <w:szCs w:val="20"/>
        </w:rPr>
        <w:t xml:space="preserve"> </w:t>
      </w:r>
      <w:r w:rsidRPr="00C91D92">
        <w:rPr>
          <w:szCs w:val="20"/>
        </w:rPr>
        <w:t>identify</w:t>
      </w:r>
      <w:r w:rsidR="00C64050">
        <w:rPr>
          <w:szCs w:val="20"/>
        </w:rPr>
        <w:t xml:space="preserve"> </w:t>
      </w:r>
      <w:r w:rsidRPr="00C91D92">
        <w:rPr>
          <w:szCs w:val="20"/>
        </w:rPr>
        <w:t>all</w:t>
      </w:r>
      <w:r w:rsidR="00C64050">
        <w:rPr>
          <w:szCs w:val="20"/>
        </w:rPr>
        <w:t xml:space="preserve"> </w:t>
      </w:r>
      <w:r w:rsidRPr="00C91D92">
        <w:rPr>
          <w:szCs w:val="20"/>
        </w:rPr>
        <w:t>current</w:t>
      </w:r>
      <w:r w:rsidR="00C64050">
        <w:rPr>
          <w:szCs w:val="20"/>
        </w:rPr>
        <w:t xml:space="preserve"> </w:t>
      </w:r>
      <w:r w:rsidRPr="00C91D92">
        <w:rPr>
          <w:szCs w:val="20"/>
        </w:rPr>
        <w:t>holders</w:t>
      </w:r>
      <w:r w:rsidR="00C64050">
        <w:rPr>
          <w:szCs w:val="20"/>
        </w:rPr>
        <w:t xml:space="preserve"> </w:t>
      </w:r>
      <w:r w:rsidRPr="00C91D92">
        <w:rPr>
          <w:szCs w:val="20"/>
        </w:rPr>
        <w:t>of</w:t>
      </w:r>
      <w:r w:rsidR="00C64050">
        <w:rPr>
          <w:szCs w:val="20"/>
        </w:rPr>
        <w:t xml:space="preserve"> </w:t>
      </w:r>
      <w:r w:rsidRPr="00C91D92">
        <w:rPr>
          <w:szCs w:val="20"/>
        </w:rPr>
        <w:t>future</w:t>
      </w:r>
      <w:r w:rsidR="00C64050">
        <w:rPr>
          <w:szCs w:val="20"/>
        </w:rPr>
        <w:t xml:space="preserve"> </w:t>
      </w:r>
      <w:r w:rsidRPr="00C91D92">
        <w:rPr>
          <w:szCs w:val="20"/>
        </w:rPr>
        <w:t>interests</w:t>
      </w:r>
      <w:r w:rsidR="00C64050">
        <w:rPr>
          <w:szCs w:val="20"/>
        </w:rPr>
        <w:t xml:space="preserve"> </w:t>
      </w:r>
      <w:r w:rsidRPr="00C91D92">
        <w:rPr>
          <w:szCs w:val="20"/>
        </w:rPr>
        <w:t>in</w:t>
      </w:r>
      <w:r w:rsidR="00C64050">
        <w:rPr>
          <w:szCs w:val="20"/>
        </w:rPr>
        <w:t xml:space="preserve"> </w:t>
      </w:r>
      <w:r w:rsidRPr="00C91D92">
        <w:rPr>
          <w:szCs w:val="20"/>
        </w:rPr>
        <w:t>the</w:t>
      </w:r>
      <w:r w:rsidR="00C64050">
        <w:rPr>
          <w:szCs w:val="20"/>
        </w:rPr>
        <w:t xml:space="preserve"> </w:t>
      </w:r>
      <w:r w:rsidRPr="00C91D92">
        <w:rPr>
          <w:szCs w:val="20"/>
        </w:rPr>
        <w:t>fund;</w:t>
      </w:r>
      <w:r w:rsidR="00C64050">
        <w:rPr>
          <w:szCs w:val="20"/>
        </w:rPr>
        <w:t xml:space="preserve"> </w:t>
      </w:r>
      <w:r w:rsidRPr="00C91D92">
        <w:rPr>
          <w:szCs w:val="20"/>
        </w:rPr>
        <w:t>but</w:t>
      </w:r>
      <w:r w:rsidR="00C64050">
        <w:rPr>
          <w:szCs w:val="20"/>
        </w:rPr>
        <w:t xml:space="preserve"> </w:t>
      </w:r>
      <w:r w:rsidRPr="00C91D92">
        <w:rPr>
          <w:szCs w:val="20"/>
        </w:rPr>
        <w:t>even</w:t>
      </w:r>
      <w:r w:rsidR="00C64050">
        <w:rPr>
          <w:szCs w:val="20"/>
        </w:rPr>
        <w:t xml:space="preserve"> </w:t>
      </w:r>
      <w:r w:rsidRPr="00C91D92">
        <w:rPr>
          <w:szCs w:val="20"/>
        </w:rPr>
        <w:t>if</w:t>
      </w:r>
      <w:r w:rsidR="00C64050">
        <w:rPr>
          <w:szCs w:val="20"/>
        </w:rPr>
        <w:t xml:space="preserve"> </w:t>
      </w:r>
      <w:r w:rsidRPr="00C91D92">
        <w:rPr>
          <w:szCs w:val="20"/>
        </w:rPr>
        <w:t>that</w:t>
      </w:r>
      <w:r w:rsidR="00C64050">
        <w:rPr>
          <w:szCs w:val="20"/>
        </w:rPr>
        <w:t xml:space="preserve"> </w:t>
      </w:r>
      <w:r w:rsidRPr="00C91D92">
        <w:rPr>
          <w:szCs w:val="20"/>
        </w:rPr>
        <w:t>was</w:t>
      </w:r>
      <w:r w:rsidR="00C64050">
        <w:rPr>
          <w:szCs w:val="20"/>
        </w:rPr>
        <w:t xml:space="preserve"> </w:t>
      </w:r>
      <w:r w:rsidRPr="00C91D92">
        <w:rPr>
          <w:szCs w:val="20"/>
        </w:rPr>
        <w:t>the</w:t>
      </w:r>
      <w:r w:rsidR="00C64050">
        <w:rPr>
          <w:szCs w:val="20"/>
        </w:rPr>
        <w:t xml:space="preserve"> </w:t>
      </w:r>
      <w:r w:rsidRPr="00C91D92">
        <w:rPr>
          <w:szCs w:val="20"/>
        </w:rPr>
        <w:t>court’s</w:t>
      </w:r>
      <w:r w:rsidR="00C64050">
        <w:rPr>
          <w:szCs w:val="20"/>
        </w:rPr>
        <w:t xml:space="preserve"> </w:t>
      </w:r>
      <w:r w:rsidRPr="00C91D92">
        <w:rPr>
          <w:szCs w:val="20"/>
        </w:rPr>
        <w:t>reasoning,</w:t>
      </w:r>
      <w:r w:rsidR="00C64050">
        <w:rPr>
          <w:szCs w:val="20"/>
        </w:rPr>
        <w:t xml:space="preserve"> </w:t>
      </w:r>
      <w:r w:rsidRPr="00C91D92">
        <w:rPr>
          <w:szCs w:val="20"/>
        </w:rPr>
        <w:t>it</w:t>
      </w:r>
      <w:r w:rsidR="00C64050">
        <w:rPr>
          <w:szCs w:val="20"/>
        </w:rPr>
        <w:t xml:space="preserve"> </w:t>
      </w:r>
      <w:r w:rsidRPr="00C91D92">
        <w:rPr>
          <w:szCs w:val="20"/>
        </w:rPr>
        <w:t>would</w:t>
      </w:r>
      <w:r w:rsidR="00C64050">
        <w:rPr>
          <w:szCs w:val="20"/>
        </w:rPr>
        <w:t xml:space="preserve"> </w:t>
      </w:r>
      <w:r w:rsidRPr="00C91D92">
        <w:rPr>
          <w:szCs w:val="20"/>
        </w:rPr>
        <w:t>not</w:t>
      </w:r>
      <w:r w:rsidR="00C64050">
        <w:rPr>
          <w:szCs w:val="20"/>
        </w:rPr>
        <w:t xml:space="preserve"> </w:t>
      </w:r>
      <w:r w:rsidRPr="00C91D92">
        <w:rPr>
          <w:szCs w:val="20"/>
        </w:rPr>
        <w:t>apply</w:t>
      </w:r>
      <w:r w:rsidR="00C64050">
        <w:rPr>
          <w:szCs w:val="20"/>
        </w:rPr>
        <w:t xml:space="preserve"> </w:t>
      </w:r>
      <w:r w:rsidRPr="00C91D92">
        <w:rPr>
          <w:szCs w:val="20"/>
        </w:rPr>
        <w:t>here</w:t>
      </w:r>
      <w:r w:rsidR="00C64050">
        <w:rPr>
          <w:szCs w:val="20"/>
        </w:rPr>
        <w:t xml:space="preserve"> </w:t>
      </w:r>
      <w:r w:rsidRPr="00C91D92">
        <w:rPr>
          <w:szCs w:val="20"/>
        </w:rPr>
        <w:t>since</w:t>
      </w:r>
      <w:r w:rsidR="00C64050">
        <w:rPr>
          <w:szCs w:val="20"/>
        </w:rPr>
        <w:t xml:space="preserve"> </w:t>
      </w:r>
      <w:r w:rsidRPr="00C91D92">
        <w:rPr>
          <w:szCs w:val="20"/>
        </w:rPr>
        <w:t>it</w:t>
      </w:r>
      <w:r w:rsidR="00C64050">
        <w:rPr>
          <w:szCs w:val="20"/>
        </w:rPr>
        <w:t xml:space="preserve"> </w:t>
      </w:r>
      <w:r w:rsidRPr="00C91D92">
        <w:rPr>
          <w:szCs w:val="20"/>
        </w:rPr>
        <w:t>cannot</w:t>
      </w:r>
      <w:r w:rsidR="00C64050">
        <w:rPr>
          <w:szCs w:val="20"/>
        </w:rPr>
        <w:t xml:space="preserve"> </w:t>
      </w:r>
      <w:r w:rsidRPr="00C91D92">
        <w:rPr>
          <w:szCs w:val="20"/>
        </w:rPr>
        <w:t>be</w:t>
      </w:r>
      <w:r w:rsidR="00C64050">
        <w:rPr>
          <w:szCs w:val="20"/>
        </w:rPr>
        <w:t xml:space="preserve"> </w:t>
      </w:r>
      <w:r w:rsidRPr="00C91D92">
        <w:rPr>
          <w:szCs w:val="20"/>
        </w:rPr>
        <w:t>said</w:t>
      </w:r>
      <w:r w:rsidR="00C64050">
        <w:rPr>
          <w:szCs w:val="20"/>
        </w:rPr>
        <w:t xml:space="preserve"> </w:t>
      </w:r>
      <w:r w:rsidRPr="00C91D92">
        <w:rPr>
          <w:szCs w:val="20"/>
        </w:rPr>
        <w:t>in</w:t>
      </w:r>
      <w:r w:rsidR="00C64050">
        <w:rPr>
          <w:szCs w:val="20"/>
        </w:rPr>
        <w:t xml:space="preserve"> </w:t>
      </w:r>
      <w:r w:rsidRPr="00C91D92">
        <w:rPr>
          <w:szCs w:val="20"/>
        </w:rPr>
        <w:t>this</w:t>
      </w:r>
      <w:r w:rsidR="00C64050">
        <w:rPr>
          <w:szCs w:val="20"/>
        </w:rPr>
        <w:t xml:space="preserve"> </w:t>
      </w:r>
      <w:r w:rsidRPr="00C91D92">
        <w:rPr>
          <w:szCs w:val="20"/>
        </w:rPr>
        <w:t>case</w:t>
      </w:r>
      <w:r w:rsidR="00C64050">
        <w:rPr>
          <w:szCs w:val="20"/>
        </w:rPr>
        <w:t xml:space="preserve"> </w:t>
      </w:r>
      <w:r w:rsidRPr="00C91D92">
        <w:rPr>
          <w:szCs w:val="20"/>
        </w:rPr>
        <w:t>that</w:t>
      </w:r>
      <w:r w:rsidR="00C64050">
        <w:rPr>
          <w:szCs w:val="20"/>
        </w:rPr>
        <w:t xml:space="preserve"> </w:t>
      </w:r>
      <w:r w:rsidRPr="00C91D92">
        <w:rPr>
          <w:szCs w:val="20"/>
        </w:rPr>
        <w:t>it</w:t>
      </w:r>
      <w:r w:rsidR="00C64050">
        <w:rPr>
          <w:szCs w:val="20"/>
        </w:rPr>
        <w:t xml:space="preserve"> </w:t>
      </w:r>
      <w:r w:rsidRPr="00C91D92">
        <w:rPr>
          <w:szCs w:val="20"/>
        </w:rPr>
        <w:t>would</w:t>
      </w:r>
      <w:r w:rsidR="00C64050">
        <w:rPr>
          <w:szCs w:val="20"/>
        </w:rPr>
        <w:t xml:space="preserve"> </w:t>
      </w:r>
      <w:r w:rsidRPr="00C91D92">
        <w:rPr>
          <w:szCs w:val="20"/>
        </w:rPr>
        <w:t>have</w:t>
      </w:r>
      <w:r w:rsidR="00C64050">
        <w:rPr>
          <w:szCs w:val="20"/>
        </w:rPr>
        <w:t xml:space="preserve"> </w:t>
      </w:r>
      <w:r w:rsidRPr="00C91D92">
        <w:rPr>
          <w:szCs w:val="20"/>
        </w:rPr>
        <w:t>been</w:t>
      </w:r>
      <w:r w:rsidR="00C64050">
        <w:rPr>
          <w:szCs w:val="20"/>
        </w:rPr>
        <w:t xml:space="preserve"> </w:t>
      </w:r>
      <w:r w:rsidRPr="00C91D92">
        <w:rPr>
          <w:szCs w:val="20"/>
        </w:rPr>
        <w:t>burdensome</w:t>
      </w:r>
      <w:r w:rsidR="00C64050">
        <w:rPr>
          <w:szCs w:val="20"/>
        </w:rPr>
        <w:t xml:space="preserve"> </w:t>
      </w:r>
      <w:r w:rsidRPr="00C91D92">
        <w:rPr>
          <w:szCs w:val="20"/>
        </w:rPr>
        <w:t>for</w:t>
      </w:r>
      <w:r w:rsidR="00C64050">
        <w:rPr>
          <w:szCs w:val="20"/>
        </w:rPr>
        <w:t xml:space="preserve"> </w:t>
      </w:r>
      <w:r w:rsidRPr="00C91D92">
        <w:rPr>
          <w:szCs w:val="20"/>
        </w:rPr>
        <w:t>the</w:t>
      </w:r>
      <w:r w:rsidR="00C64050">
        <w:rPr>
          <w:szCs w:val="20"/>
        </w:rPr>
        <w:t xml:space="preserve"> </w:t>
      </w:r>
      <w:r w:rsidRPr="00C91D92">
        <w:rPr>
          <w:szCs w:val="20"/>
        </w:rPr>
        <w:t>trustee</w:t>
      </w:r>
      <w:r w:rsidR="00C64050">
        <w:rPr>
          <w:szCs w:val="20"/>
        </w:rPr>
        <w:t xml:space="preserve"> </w:t>
      </w:r>
      <w:r w:rsidRPr="00C91D92">
        <w:rPr>
          <w:szCs w:val="20"/>
        </w:rPr>
        <w:t>to</w:t>
      </w:r>
      <w:r w:rsidR="00C64050">
        <w:rPr>
          <w:szCs w:val="20"/>
        </w:rPr>
        <w:t xml:space="preserve"> </w:t>
      </w:r>
      <w:r w:rsidRPr="00C91D92">
        <w:rPr>
          <w:szCs w:val="20"/>
        </w:rPr>
        <w:t>ask</w:t>
      </w:r>
      <w:r w:rsidR="00C64050">
        <w:rPr>
          <w:szCs w:val="20"/>
        </w:rPr>
        <w:t xml:space="preserve"> </w:t>
      </w:r>
      <w:r w:rsidRPr="00C91D92">
        <w:rPr>
          <w:szCs w:val="20"/>
        </w:rPr>
        <w:t>the</w:t>
      </w:r>
      <w:r w:rsidR="00C64050">
        <w:rPr>
          <w:szCs w:val="20"/>
        </w:rPr>
        <w:t xml:space="preserve"> </w:t>
      </w:r>
      <w:r w:rsidRPr="00C91D92">
        <w:rPr>
          <w:szCs w:val="20"/>
        </w:rPr>
        <w:t>three</w:t>
      </w:r>
      <w:r w:rsidR="00C64050">
        <w:rPr>
          <w:szCs w:val="20"/>
        </w:rPr>
        <w:t xml:space="preserve"> </w:t>
      </w:r>
      <w:r w:rsidRPr="00C91D92">
        <w:rPr>
          <w:szCs w:val="20"/>
        </w:rPr>
        <w:t>adult</w:t>
      </w:r>
      <w:r w:rsidR="00C64050">
        <w:rPr>
          <w:szCs w:val="20"/>
        </w:rPr>
        <w:t xml:space="preserve"> </w:t>
      </w:r>
      <w:r w:rsidRPr="00C91D92">
        <w:rPr>
          <w:szCs w:val="20"/>
        </w:rPr>
        <w:t>children</w:t>
      </w:r>
      <w:r w:rsidR="00C64050">
        <w:rPr>
          <w:szCs w:val="20"/>
        </w:rPr>
        <w:t xml:space="preserve"> </w:t>
      </w:r>
      <w:r w:rsidRPr="00C91D92">
        <w:rPr>
          <w:szCs w:val="20"/>
        </w:rPr>
        <w:t>of</w:t>
      </w:r>
      <w:r w:rsidR="00C64050">
        <w:rPr>
          <w:szCs w:val="20"/>
        </w:rPr>
        <w:t xml:space="preserve"> </w:t>
      </w:r>
      <w:r w:rsidRPr="00C91D92">
        <w:rPr>
          <w:szCs w:val="20"/>
        </w:rPr>
        <w:t>McKie</w:t>
      </w:r>
      <w:r w:rsidR="00C64050">
        <w:rPr>
          <w:szCs w:val="20"/>
        </w:rPr>
        <w:t xml:space="preserve"> </w:t>
      </w:r>
      <w:r w:rsidRPr="00C91D92">
        <w:rPr>
          <w:szCs w:val="20"/>
        </w:rPr>
        <w:t>Sr.</w:t>
      </w:r>
      <w:r w:rsidR="00C64050">
        <w:rPr>
          <w:szCs w:val="20"/>
        </w:rPr>
        <w:t xml:space="preserve"> </w:t>
      </w:r>
      <w:r w:rsidRPr="00C91D92">
        <w:rPr>
          <w:szCs w:val="20"/>
        </w:rPr>
        <w:t>for</w:t>
      </w:r>
      <w:r w:rsidR="00C64050">
        <w:rPr>
          <w:szCs w:val="20"/>
        </w:rPr>
        <w:t xml:space="preserve"> </w:t>
      </w:r>
      <w:r w:rsidRPr="00C91D92">
        <w:rPr>
          <w:szCs w:val="20"/>
        </w:rPr>
        <w:t>the</w:t>
      </w:r>
      <w:r w:rsidR="00C64050">
        <w:rPr>
          <w:szCs w:val="20"/>
        </w:rPr>
        <w:t xml:space="preserve"> </w:t>
      </w:r>
      <w:r w:rsidRPr="00C91D92">
        <w:rPr>
          <w:szCs w:val="20"/>
        </w:rPr>
        <w:t>names</w:t>
      </w:r>
      <w:r w:rsidR="00C64050">
        <w:rPr>
          <w:szCs w:val="20"/>
        </w:rPr>
        <w:t xml:space="preserve"> </w:t>
      </w:r>
      <w:r w:rsidRPr="00C91D92">
        <w:rPr>
          <w:szCs w:val="20"/>
        </w:rPr>
        <w:t>and</w:t>
      </w:r>
      <w:r w:rsidR="00C64050">
        <w:rPr>
          <w:szCs w:val="20"/>
        </w:rPr>
        <w:t xml:space="preserve"> </w:t>
      </w:r>
      <w:r w:rsidRPr="00C91D92">
        <w:rPr>
          <w:szCs w:val="20"/>
        </w:rPr>
        <w:t>addresses</w:t>
      </w:r>
      <w:r w:rsidR="00C64050">
        <w:rPr>
          <w:szCs w:val="20"/>
        </w:rPr>
        <w:t xml:space="preserve"> </w:t>
      </w:r>
      <w:r w:rsidRPr="00C91D92">
        <w:rPr>
          <w:szCs w:val="20"/>
        </w:rPr>
        <w:t>of</w:t>
      </w:r>
      <w:r w:rsidR="00C64050">
        <w:rPr>
          <w:szCs w:val="20"/>
        </w:rPr>
        <w:t xml:space="preserve"> </w:t>
      </w:r>
      <w:r w:rsidRPr="00C91D92">
        <w:rPr>
          <w:szCs w:val="20"/>
        </w:rPr>
        <w:t>their</w:t>
      </w:r>
      <w:r w:rsidR="00C64050">
        <w:rPr>
          <w:szCs w:val="20"/>
        </w:rPr>
        <w:t xml:space="preserve"> </w:t>
      </w:r>
      <w:r w:rsidRPr="00C91D92">
        <w:rPr>
          <w:szCs w:val="20"/>
        </w:rPr>
        <w:t>own</w:t>
      </w:r>
      <w:r w:rsidR="00C64050">
        <w:rPr>
          <w:szCs w:val="20"/>
        </w:rPr>
        <w:t xml:space="preserve"> </w:t>
      </w:r>
      <w:r w:rsidRPr="00C91D92">
        <w:rPr>
          <w:szCs w:val="20"/>
        </w:rPr>
        <w:t>children.</w:t>
      </w:r>
      <w:r w:rsidR="00C64050">
        <w:rPr>
          <w:szCs w:val="20"/>
        </w:rPr>
        <w:t xml:space="preserve"> </w:t>
      </w:r>
      <w:r w:rsidRPr="00C91D92">
        <w:rPr>
          <w:szCs w:val="20"/>
        </w:rPr>
        <w:t>In</w:t>
      </w:r>
      <w:r w:rsidR="00C64050">
        <w:rPr>
          <w:szCs w:val="20"/>
        </w:rPr>
        <w:t xml:space="preserve"> </w:t>
      </w:r>
      <w:r w:rsidRPr="00C91D92">
        <w:rPr>
          <w:szCs w:val="20"/>
        </w:rPr>
        <w:t>any</w:t>
      </w:r>
      <w:r w:rsidR="00C64050">
        <w:rPr>
          <w:szCs w:val="20"/>
        </w:rPr>
        <w:t xml:space="preserve"> </w:t>
      </w:r>
      <w:r w:rsidRPr="00C91D92">
        <w:rPr>
          <w:szCs w:val="20"/>
        </w:rPr>
        <w:t>event,</w:t>
      </w:r>
      <w:r w:rsidR="00C64050">
        <w:rPr>
          <w:szCs w:val="20"/>
        </w:rPr>
        <w:t xml:space="preserve"> </w:t>
      </w:r>
      <w:r w:rsidRPr="00C91D92">
        <w:rPr>
          <w:szCs w:val="20"/>
        </w:rPr>
        <w:t>we</w:t>
      </w:r>
      <w:r w:rsidR="00C64050">
        <w:rPr>
          <w:szCs w:val="20"/>
        </w:rPr>
        <w:t xml:space="preserve"> </w:t>
      </w:r>
      <w:r w:rsidRPr="00C91D92">
        <w:rPr>
          <w:szCs w:val="20"/>
        </w:rPr>
        <w:t>do</w:t>
      </w:r>
      <w:r w:rsidR="00C64050">
        <w:rPr>
          <w:szCs w:val="20"/>
        </w:rPr>
        <w:t xml:space="preserve"> </w:t>
      </w:r>
      <w:r w:rsidRPr="00C91D92">
        <w:rPr>
          <w:szCs w:val="20"/>
        </w:rPr>
        <w:t>not</w:t>
      </w:r>
      <w:r w:rsidR="00C64050">
        <w:rPr>
          <w:szCs w:val="20"/>
        </w:rPr>
        <w:t xml:space="preserve"> </w:t>
      </w:r>
      <w:r w:rsidRPr="00C91D92">
        <w:rPr>
          <w:szCs w:val="20"/>
        </w:rPr>
        <w:t>think</w:t>
      </w:r>
      <w:r w:rsidR="00C64050">
        <w:rPr>
          <w:szCs w:val="20"/>
        </w:rPr>
        <w:t xml:space="preserve"> </w:t>
      </w:r>
      <w:r w:rsidRPr="00C91D92">
        <w:rPr>
          <w:szCs w:val="20"/>
        </w:rPr>
        <w:t>the</w:t>
      </w:r>
      <w:r w:rsidR="00C64050">
        <w:rPr>
          <w:szCs w:val="20"/>
        </w:rPr>
        <w:t xml:space="preserve"> </w:t>
      </w:r>
      <w:hyperlink r:id="rId424" w:history="1">
        <w:r w:rsidRPr="00C91D92">
          <w:rPr>
            <w:rStyle w:val="Emphasis"/>
            <w:szCs w:val="20"/>
          </w:rPr>
          <w:t>Mullane</w:t>
        </w:r>
      </w:hyperlink>
      <w:r w:rsidR="00C64050">
        <w:rPr>
          <w:szCs w:val="20"/>
        </w:rPr>
        <w:t xml:space="preserve"> </w:t>
      </w:r>
      <w:r w:rsidRPr="00C91D92">
        <w:rPr>
          <w:szCs w:val="20"/>
        </w:rPr>
        <w:t>court</w:t>
      </w:r>
      <w:r w:rsidR="00C64050">
        <w:rPr>
          <w:szCs w:val="20"/>
        </w:rPr>
        <w:t xml:space="preserve"> </w:t>
      </w:r>
      <w:r w:rsidRPr="00C91D92">
        <w:rPr>
          <w:szCs w:val="20"/>
        </w:rPr>
        <w:t>intended</w:t>
      </w:r>
      <w:r w:rsidR="00C64050">
        <w:rPr>
          <w:szCs w:val="20"/>
        </w:rPr>
        <w:t xml:space="preserve"> </w:t>
      </w:r>
      <w:r w:rsidRPr="00C91D92">
        <w:rPr>
          <w:szCs w:val="20"/>
        </w:rPr>
        <w:t>to</w:t>
      </w:r>
      <w:r w:rsidR="00C64050">
        <w:rPr>
          <w:szCs w:val="20"/>
        </w:rPr>
        <w:t xml:space="preserve"> </w:t>
      </w:r>
      <w:r w:rsidRPr="00C91D92">
        <w:rPr>
          <w:rStyle w:val="Emphasis"/>
          <w:szCs w:val="20"/>
        </w:rPr>
        <w:t>exclude</w:t>
      </w:r>
      <w:r w:rsidR="00C64050">
        <w:rPr>
          <w:szCs w:val="20"/>
        </w:rPr>
        <w:t xml:space="preserve"> </w:t>
      </w:r>
      <w:r w:rsidRPr="00C91D92">
        <w:rPr>
          <w:szCs w:val="20"/>
        </w:rPr>
        <w:t>reasonably</w:t>
      </w:r>
      <w:r w:rsidR="00C64050">
        <w:rPr>
          <w:szCs w:val="20"/>
        </w:rPr>
        <w:t xml:space="preserve"> </w:t>
      </w:r>
      <w:r w:rsidRPr="00C91D92">
        <w:rPr>
          <w:szCs w:val="20"/>
        </w:rPr>
        <w:t>ascertainable</w:t>
      </w:r>
      <w:r w:rsidR="00C64050">
        <w:rPr>
          <w:szCs w:val="20"/>
        </w:rPr>
        <w:t xml:space="preserve"> </w:t>
      </w:r>
      <w:r w:rsidRPr="00C91D92">
        <w:rPr>
          <w:szCs w:val="20"/>
        </w:rPr>
        <w:t>holders</w:t>
      </w:r>
      <w:r w:rsidR="00C64050">
        <w:rPr>
          <w:szCs w:val="20"/>
        </w:rPr>
        <w:t xml:space="preserve"> </w:t>
      </w:r>
      <w:r w:rsidRPr="00C91D92">
        <w:rPr>
          <w:szCs w:val="20"/>
        </w:rPr>
        <w:t>of</w:t>
      </w:r>
      <w:r w:rsidR="00C64050">
        <w:rPr>
          <w:szCs w:val="20"/>
        </w:rPr>
        <w:t xml:space="preserve"> </w:t>
      </w:r>
      <w:r w:rsidRPr="00C91D92">
        <w:rPr>
          <w:szCs w:val="20"/>
        </w:rPr>
        <w:t>future</w:t>
      </w:r>
      <w:r w:rsidR="00C64050">
        <w:rPr>
          <w:szCs w:val="20"/>
        </w:rPr>
        <w:t xml:space="preserve"> </w:t>
      </w:r>
      <w:r w:rsidRPr="00C91D92">
        <w:rPr>
          <w:szCs w:val="20"/>
        </w:rPr>
        <w:t>property</w:t>
      </w:r>
      <w:r w:rsidR="00C64050">
        <w:rPr>
          <w:szCs w:val="20"/>
        </w:rPr>
        <w:t xml:space="preserve"> </w:t>
      </w:r>
      <w:r w:rsidRPr="00C91D92">
        <w:rPr>
          <w:szCs w:val="20"/>
        </w:rPr>
        <w:t>interests</w:t>
      </w:r>
      <w:r w:rsidR="00C64050">
        <w:rPr>
          <w:szCs w:val="20"/>
        </w:rPr>
        <w:t xml:space="preserve"> </w:t>
      </w:r>
      <w:r w:rsidRPr="00C91D92">
        <w:rPr>
          <w:szCs w:val="20"/>
        </w:rPr>
        <w:t>from</w:t>
      </w:r>
      <w:r w:rsidR="00C64050">
        <w:rPr>
          <w:szCs w:val="20"/>
        </w:rPr>
        <w:t xml:space="preserve"> </w:t>
      </w:r>
      <w:r w:rsidRPr="00C91D92">
        <w:rPr>
          <w:szCs w:val="20"/>
        </w:rPr>
        <w:t>due</w:t>
      </w:r>
      <w:r w:rsidR="00C64050">
        <w:rPr>
          <w:szCs w:val="20"/>
        </w:rPr>
        <w:t xml:space="preserve"> </w:t>
      </w:r>
      <w:r w:rsidRPr="00C91D92">
        <w:rPr>
          <w:szCs w:val="20"/>
        </w:rPr>
        <w:t>process</w:t>
      </w:r>
      <w:r w:rsidR="00C64050">
        <w:rPr>
          <w:szCs w:val="20"/>
        </w:rPr>
        <w:t xml:space="preserve"> </w:t>
      </w:r>
      <w:r w:rsidRPr="00C91D92">
        <w:rPr>
          <w:szCs w:val="20"/>
        </w:rPr>
        <w:t>considerations.</w:t>
      </w:r>
    </w:p>
    <w:p w:rsidR="008C5D9A" w:rsidRPr="008C5D9A" w:rsidRDefault="00F32B17" w:rsidP="00B66CCE">
      <w:pPr>
        <w:pStyle w:val="Heading20"/>
        <w:numPr>
          <w:ilvl w:val="1"/>
          <w:numId w:val="33"/>
        </w:numPr>
        <w:tabs>
          <w:tab w:val="clear" w:pos="2700"/>
        </w:tabs>
        <w:ind w:left="0"/>
        <w:rPr>
          <w:vanish/>
          <w:specVanish/>
        </w:rPr>
      </w:pPr>
      <w:bookmarkStart w:id="806" w:name="_Toc94704696"/>
      <w:r>
        <w:rPr>
          <w:b/>
          <w:u w:val="single"/>
        </w:rPr>
        <w:t>Spousal</w:t>
      </w:r>
      <w:r w:rsidR="00C64050">
        <w:rPr>
          <w:b/>
          <w:u w:val="single"/>
        </w:rPr>
        <w:t xml:space="preserve"> </w:t>
      </w:r>
      <w:r>
        <w:rPr>
          <w:b/>
          <w:u w:val="single"/>
        </w:rPr>
        <w:t>Election</w:t>
      </w:r>
      <w:r w:rsidR="00C64050">
        <w:rPr>
          <w:b/>
          <w:u w:val="single"/>
        </w:rPr>
        <w:t xml:space="preserve"> </w:t>
      </w:r>
      <w:r>
        <w:rPr>
          <w:b/>
          <w:u w:val="single"/>
        </w:rPr>
        <w:t>And</w:t>
      </w:r>
      <w:r w:rsidR="00C64050">
        <w:rPr>
          <w:b/>
          <w:u w:val="single"/>
        </w:rPr>
        <w:t xml:space="preserve"> </w:t>
      </w:r>
      <w:r>
        <w:rPr>
          <w:b/>
          <w:u w:val="single"/>
        </w:rPr>
        <w:t>Revocable</w:t>
      </w:r>
      <w:r w:rsidR="00C64050">
        <w:rPr>
          <w:b/>
          <w:u w:val="single"/>
        </w:rPr>
        <w:t xml:space="preserve"> </w:t>
      </w:r>
      <w:r>
        <w:rPr>
          <w:b/>
          <w:u w:val="single"/>
        </w:rPr>
        <w:t>Trust</w:t>
      </w:r>
      <w:r w:rsidR="00C64050">
        <w:rPr>
          <w:b/>
          <w:u w:val="single"/>
        </w:rPr>
        <w:t xml:space="preserve"> </w:t>
      </w:r>
      <w:r>
        <w:rPr>
          <w:b/>
          <w:u w:val="single"/>
        </w:rPr>
        <w:t>–</w:t>
      </w:r>
      <w:r w:rsidR="00C64050">
        <w:rPr>
          <w:b/>
          <w:u w:val="single"/>
        </w:rPr>
        <w:t xml:space="preserve"> </w:t>
      </w:r>
      <w:r>
        <w:rPr>
          <w:b/>
          <w:u w:val="single"/>
        </w:rPr>
        <w:t>Indiana</w:t>
      </w:r>
      <w:r w:rsidR="00C64050">
        <w:rPr>
          <w:b/>
          <w:u w:val="single"/>
        </w:rPr>
        <w:t xml:space="preserve"> </w:t>
      </w:r>
      <w:r>
        <w:rPr>
          <w:b/>
          <w:u w:val="single"/>
        </w:rPr>
        <w:t>Law</w:t>
      </w:r>
      <w:bookmarkEnd w:id="806"/>
    </w:p>
    <w:p w:rsidR="00A95336" w:rsidRDefault="00F32B17" w:rsidP="008C5D9A">
      <w:pPr>
        <w:pStyle w:val="Heading2Body"/>
      </w:pPr>
      <w:r>
        <w:t>.</w:t>
      </w:r>
      <w:r w:rsidR="00C64050">
        <w:t xml:space="preserve">  </w:t>
      </w:r>
      <w:r>
        <w:t>In</w:t>
      </w:r>
      <w:r w:rsidR="00C64050">
        <w:t xml:space="preserve"> </w:t>
      </w:r>
      <w:r w:rsidRPr="00D320B1">
        <w:rPr>
          <w:u w:val="single"/>
        </w:rPr>
        <w:t>In</w:t>
      </w:r>
      <w:r w:rsidR="00C64050" w:rsidRPr="00D320B1">
        <w:rPr>
          <w:u w:val="single"/>
        </w:rPr>
        <w:t xml:space="preserve"> </w:t>
      </w:r>
      <w:r w:rsidRPr="00D320B1">
        <w:rPr>
          <w:u w:val="single"/>
        </w:rPr>
        <w:t>the</w:t>
      </w:r>
      <w:r w:rsidR="00C64050" w:rsidRPr="00D320B1">
        <w:rPr>
          <w:u w:val="single"/>
        </w:rPr>
        <w:t xml:space="preserve"> </w:t>
      </w:r>
      <w:r w:rsidRPr="00D320B1">
        <w:rPr>
          <w:u w:val="single"/>
        </w:rPr>
        <w:t>Matter</w:t>
      </w:r>
      <w:r w:rsidR="00C64050" w:rsidRPr="00D320B1">
        <w:rPr>
          <w:u w:val="single"/>
        </w:rPr>
        <w:t xml:space="preserve"> </w:t>
      </w:r>
      <w:r w:rsidRPr="00D320B1">
        <w:rPr>
          <w:u w:val="single"/>
        </w:rPr>
        <w:t>of</w:t>
      </w:r>
      <w:r w:rsidR="00C64050" w:rsidRPr="00D320B1">
        <w:rPr>
          <w:u w:val="single"/>
        </w:rPr>
        <w:t xml:space="preserve"> </w:t>
      </w:r>
      <w:r w:rsidRPr="00D320B1">
        <w:rPr>
          <w:u w:val="single"/>
        </w:rPr>
        <w:t>the</w:t>
      </w:r>
      <w:r w:rsidR="00C64050" w:rsidRPr="00D320B1">
        <w:rPr>
          <w:u w:val="single"/>
        </w:rPr>
        <w:t xml:space="preserve"> </w:t>
      </w:r>
      <w:r w:rsidRPr="00D320B1">
        <w:rPr>
          <w:u w:val="single"/>
        </w:rPr>
        <w:t>R</w:t>
      </w:r>
      <w:r w:rsidR="00BA2AE4" w:rsidRPr="00D320B1">
        <w:rPr>
          <w:u w:val="single"/>
        </w:rPr>
        <w:t>evo</w:t>
      </w:r>
      <w:r w:rsidRPr="00D320B1">
        <w:rPr>
          <w:u w:val="single"/>
        </w:rPr>
        <w:t>cable</w:t>
      </w:r>
      <w:r w:rsidR="00C64050" w:rsidRPr="00D320B1">
        <w:rPr>
          <w:u w:val="single"/>
        </w:rPr>
        <w:t xml:space="preserve"> </w:t>
      </w:r>
      <w:r w:rsidRPr="00D320B1">
        <w:rPr>
          <w:u w:val="single"/>
        </w:rPr>
        <w:t>Trust</w:t>
      </w:r>
      <w:r w:rsidR="00C64050" w:rsidRPr="00D320B1">
        <w:rPr>
          <w:u w:val="single"/>
        </w:rPr>
        <w:t xml:space="preserve"> </w:t>
      </w:r>
      <w:r w:rsidRPr="00D320B1">
        <w:rPr>
          <w:u w:val="single"/>
        </w:rPr>
        <w:t>Agreement</w:t>
      </w:r>
      <w:r w:rsidR="00C64050" w:rsidRPr="00D320B1">
        <w:rPr>
          <w:u w:val="single"/>
        </w:rPr>
        <w:t xml:space="preserve"> </w:t>
      </w:r>
      <w:r w:rsidRPr="00D320B1">
        <w:rPr>
          <w:u w:val="single"/>
        </w:rPr>
        <w:t>Created</w:t>
      </w:r>
      <w:r w:rsidR="00C64050" w:rsidRPr="00D320B1">
        <w:rPr>
          <w:u w:val="single"/>
        </w:rPr>
        <w:t xml:space="preserve"> </w:t>
      </w:r>
      <w:r w:rsidRPr="00D320B1">
        <w:rPr>
          <w:u w:val="single"/>
        </w:rPr>
        <w:t>by</w:t>
      </w:r>
      <w:r w:rsidR="00C64050" w:rsidRPr="00D320B1">
        <w:rPr>
          <w:u w:val="single"/>
        </w:rPr>
        <w:t xml:space="preserve"> </w:t>
      </w:r>
      <w:r w:rsidRPr="00D320B1">
        <w:rPr>
          <w:u w:val="single"/>
        </w:rPr>
        <w:t>the</w:t>
      </w:r>
      <w:r w:rsidR="00C64050" w:rsidRPr="00D320B1">
        <w:rPr>
          <w:u w:val="single"/>
        </w:rPr>
        <w:t xml:space="preserve"> </w:t>
      </w:r>
      <w:r w:rsidRPr="00D320B1">
        <w:rPr>
          <w:u w:val="single"/>
        </w:rPr>
        <w:t>Settlor,</w:t>
      </w:r>
      <w:r w:rsidR="00C64050" w:rsidRPr="00D320B1">
        <w:rPr>
          <w:u w:val="single"/>
        </w:rPr>
        <w:t xml:space="preserve"> </w:t>
      </w:r>
      <w:r w:rsidRPr="00D320B1">
        <w:rPr>
          <w:u w:val="single"/>
        </w:rPr>
        <w:t>Anil</w:t>
      </w:r>
      <w:r w:rsidR="00C64050" w:rsidRPr="00D320B1">
        <w:rPr>
          <w:u w:val="single"/>
        </w:rPr>
        <w:t xml:space="preserve"> </w:t>
      </w:r>
      <w:r w:rsidRPr="00D320B1">
        <w:rPr>
          <w:u w:val="single"/>
        </w:rPr>
        <w:t>Kumar</w:t>
      </w:r>
      <w:r w:rsidR="00C64050" w:rsidRPr="00D320B1">
        <w:rPr>
          <w:u w:val="single"/>
        </w:rPr>
        <w:t xml:space="preserve"> </w:t>
      </w:r>
      <w:r w:rsidRPr="00D320B1">
        <w:rPr>
          <w:u w:val="single"/>
        </w:rPr>
        <w:t>Sarkar</w:t>
      </w:r>
      <w:r w:rsidR="004B3F94">
        <w:rPr>
          <w:u w:val="single"/>
        </w:rPr>
        <w:t>,</w:t>
      </w:r>
      <w:r w:rsidR="00C64050" w:rsidRPr="00D320B1">
        <w:rPr>
          <w:u w:val="single"/>
        </w:rPr>
        <w:t xml:space="preserve"> </w:t>
      </w:r>
      <w:r w:rsidRPr="00D320B1">
        <w:rPr>
          <w:u w:val="single"/>
        </w:rPr>
        <w:t>Dipa</w:t>
      </w:r>
      <w:r w:rsidR="00C64050" w:rsidRPr="00D320B1">
        <w:rPr>
          <w:u w:val="single"/>
        </w:rPr>
        <w:t xml:space="preserve"> </w:t>
      </w:r>
      <w:r w:rsidRPr="00D320B1">
        <w:rPr>
          <w:u w:val="single"/>
        </w:rPr>
        <w:t>Sarkar</w:t>
      </w:r>
      <w:r w:rsidR="00C64050" w:rsidRPr="00D320B1">
        <w:rPr>
          <w:u w:val="single"/>
        </w:rPr>
        <w:t xml:space="preserve"> </w:t>
      </w:r>
      <w:r w:rsidRPr="00D320B1">
        <w:rPr>
          <w:u w:val="single"/>
        </w:rPr>
        <w:t>v.</w:t>
      </w:r>
      <w:r w:rsidR="00C64050" w:rsidRPr="00D320B1">
        <w:rPr>
          <w:u w:val="single"/>
        </w:rPr>
        <w:t xml:space="preserve"> </w:t>
      </w:r>
      <w:r w:rsidRPr="00D320B1">
        <w:rPr>
          <w:u w:val="single"/>
        </w:rPr>
        <w:t>Anuradha</w:t>
      </w:r>
      <w:r w:rsidR="00C64050" w:rsidRPr="00D320B1">
        <w:rPr>
          <w:u w:val="single"/>
        </w:rPr>
        <w:t xml:space="preserve"> </w:t>
      </w:r>
      <w:r w:rsidRPr="00D320B1">
        <w:rPr>
          <w:u w:val="single"/>
        </w:rPr>
        <w:t>(“Mili”)</w:t>
      </w:r>
      <w:r w:rsidR="00C64050" w:rsidRPr="00D320B1">
        <w:rPr>
          <w:u w:val="single"/>
        </w:rPr>
        <w:t xml:space="preserve"> </w:t>
      </w:r>
      <w:r w:rsidRPr="00D320B1">
        <w:rPr>
          <w:u w:val="single"/>
        </w:rPr>
        <w:t>Sarkar</w:t>
      </w:r>
      <w:r w:rsidR="00C64050" w:rsidRPr="00D320B1">
        <w:rPr>
          <w:u w:val="single"/>
        </w:rPr>
        <w:t xml:space="preserve"> </w:t>
      </w:r>
      <w:r w:rsidRPr="00D320B1">
        <w:rPr>
          <w:u w:val="single"/>
        </w:rPr>
        <w:t>Naugle</w:t>
      </w:r>
      <w:r>
        <w:t>,</w:t>
      </w:r>
      <w:r w:rsidR="00C64050">
        <w:t xml:space="preserve"> </w:t>
      </w:r>
      <w:r w:rsidR="004B3F94">
        <w:t>145</w:t>
      </w:r>
      <w:r w:rsidR="00C64050">
        <w:t xml:space="preserve"> </w:t>
      </w:r>
      <w:r>
        <w:t>N.E.3d</w:t>
      </w:r>
      <w:r w:rsidR="00C64050">
        <w:t xml:space="preserve"> </w:t>
      </w:r>
      <w:r w:rsidR="004B3F94">
        <w:t>802</w:t>
      </w:r>
      <w:r w:rsidR="00C64050">
        <w:t xml:space="preserve"> </w:t>
      </w:r>
      <w:r>
        <w:t>(Ind.</w:t>
      </w:r>
      <w:r w:rsidR="00C64050">
        <w:t xml:space="preserve"> </w:t>
      </w:r>
      <w:r>
        <w:t>2020),</w:t>
      </w:r>
      <w:r w:rsidR="00C64050">
        <w:t xml:space="preserve"> </w:t>
      </w:r>
      <w:r>
        <w:t>the</w:t>
      </w:r>
      <w:r w:rsidR="00C64050">
        <w:t xml:space="preserve"> </w:t>
      </w:r>
      <w:r>
        <w:t>issue</w:t>
      </w:r>
      <w:r w:rsidR="00C64050">
        <w:t xml:space="preserve"> </w:t>
      </w:r>
      <w:r>
        <w:t>presented</w:t>
      </w:r>
      <w:r w:rsidR="00C64050">
        <w:t xml:space="preserve"> </w:t>
      </w:r>
      <w:r>
        <w:t>was</w:t>
      </w:r>
      <w:r w:rsidR="00C64050">
        <w:t xml:space="preserve"> </w:t>
      </w:r>
      <w:r>
        <w:t>whether</w:t>
      </w:r>
      <w:r w:rsidR="00C64050">
        <w:t xml:space="preserve"> </w:t>
      </w:r>
      <w:r>
        <w:t>a</w:t>
      </w:r>
      <w:r w:rsidR="00C64050">
        <w:t xml:space="preserve"> </w:t>
      </w:r>
      <w:r>
        <w:t>surviving</w:t>
      </w:r>
      <w:r w:rsidR="00C64050">
        <w:t xml:space="preserve"> </w:t>
      </w:r>
      <w:r>
        <w:t>spouse</w:t>
      </w:r>
      <w:r w:rsidR="00C64050">
        <w:t xml:space="preserve"> </w:t>
      </w:r>
      <w:r>
        <w:t>can</w:t>
      </w:r>
      <w:r w:rsidR="00C64050">
        <w:t xml:space="preserve"> </w:t>
      </w:r>
      <w:r>
        <w:t>satisfy</w:t>
      </w:r>
      <w:r w:rsidR="00C64050">
        <w:t xml:space="preserve"> </w:t>
      </w:r>
      <w:r>
        <w:t>her</w:t>
      </w:r>
      <w:r w:rsidR="00C64050">
        <w:t xml:space="preserve"> </w:t>
      </w:r>
      <w:r>
        <w:t>election</w:t>
      </w:r>
      <w:r w:rsidR="00C64050">
        <w:t xml:space="preserve"> </w:t>
      </w:r>
      <w:r>
        <w:t>to</w:t>
      </w:r>
      <w:r w:rsidR="00C64050">
        <w:t xml:space="preserve"> </w:t>
      </w:r>
      <w:r>
        <w:t>take</w:t>
      </w:r>
      <w:r w:rsidR="00C64050">
        <w:t xml:space="preserve"> </w:t>
      </w:r>
      <w:r>
        <w:t>against</w:t>
      </w:r>
      <w:r w:rsidR="00C64050">
        <w:t xml:space="preserve"> </w:t>
      </w:r>
      <w:r>
        <w:t>the</w:t>
      </w:r>
      <w:r w:rsidR="00C64050">
        <w:t xml:space="preserve"> </w:t>
      </w:r>
      <w:r>
        <w:t>will</w:t>
      </w:r>
      <w:r w:rsidR="00C64050">
        <w:t xml:space="preserve"> </w:t>
      </w:r>
      <w:r>
        <w:t>of</w:t>
      </w:r>
      <w:r w:rsidR="00C64050">
        <w:t xml:space="preserve"> </w:t>
      </w:r>
      <w:r>
        <w:t>her</w:t>
      </w:r>
      <w:r w:rsidR="00C64050">
        <w:t xml:space="preserve"> </w:t>
      </w:r>
      <w:r>
        <w:t>deceased</w:t>
      </w:r>
      <w:r w:rsidR="00C64050">
        <w:t xml:space="preserve"> </w:t>
      </w:r>
      <w:r>
        <w:t>husband</w:t>
      </w:r>
      <w:r w:rsidR="00C64050">
        <w:t xml:space="preserve"> </w:t>
      </w:r>
      <w:r>
        <w:t>when</w:t>
      </w:r>
      <w:r w:rsidR="00C64050">
        <w:t xml:space="preserve"> </w:t>
      </w:r>
      <w:r>
        <w:t>he</w:t>
      </w:r>
      <w:r w:rsidR="00C64050">
        <w:t xml:space="preserve"> </w:t>
      </w:r>
      <w:r>
        <w:t>transferred</w:t>
      </w:r>
      <w:r w:rsidR="00C64050">
        <w:t xml:space="preserve"> </w:t>
      </w:r>
      <w:r>
        <w:t>the</w:t>
      </w:r>
      <w:r w:rsidR="00C64050">
        <w:t xml:space="preserve"> </w:t>
      </w:r>
      <w:r>
        <w:t>majority</w:t>
      </w:r>
      <w:r w:rsidR="00C64050">
        <w:t xml:space="preserve"> </w:t>
      </w:r>
      <w:r>
        <w:t>of</w:t>
      </w:r>
      <w:r w:rsidR="00C64050">
        <w:t xml:space="preserve"> </w:t>
      </w:r>
      <w:r>
        <w:t>his</w:t>
      </w:r>
      <w:r w:rsidR="00C64050">
        <w:t xml:space="preserve"> </w:t>
      </w:r>
      <w:r>
        <w:t>assets</w:t>
      </w:r>
      <w:r w:rsidR="00C64050">
        <w:t xml:space="preserve"> </w:t>
      </w:r>
      <w:r>
        <w:t>into</w:t>
      </w:r>
      <w:r w:rsidR="00C64050">
        <w:t xml:space="preserve"> </w:t>
      </w:r>
      <w:r>
        <w:t>a</w:t>
      </w:r>
      <w:r w:rsidR="00C64050">
        <w:t xml:space="preserve"> </w:t>
      </w:r>
      <w:r>
        <w:t>revocable</w:t>
      </w:r>
      <w:r w:rsidR="00C64050">
        <w:t xml:space="preserve"> </w:t>
      </w:r>
      <w:r>
        <w:t>trust.</w:t>
      </w:r>
      <w:r w:rsidR="00C64050">
        <w:t xml:space="preserve">  </w:t>
      </w:r>
      <w:r>
        <w:t>The</w:t>
      </w:r>
      <w:r w:rsidR="00C64050">
        <w:t xml:space="preserve"> </w:t>
      </w:r>
      <w:r>
        <w:t>trial</w:t>
      </w:r>
      <w:r w:rsidR="00C64050">
        <w:t xml:space="preserve"> </w:t>
      </w:r>
      <w:r>
        <w:t>court</w:t>
      </w:r>
      <w:r w:rsidR="00C64050">
        <w:t xml:space="preserve"> </w:t>
      </w:r>
      <w:r>
        <w:t>summarized</w:t>
      </w:r>
      <w:r w:rsidR="00C64050">
        <w:t xml:space="preserve"> </w:t>
      </w:r>
      <w:r>
        <w:t>the</w:t>
      </w:r>
      <w:r w:rsidR="00C64050">
        <w:t xml:space="preserve"> </w:t>
      </w:r>
      <w:r>
        <w:t>facts</w:t>
      </w:r>
      <w:r w:rsidR="00C64050">
        <w:t xml:space="preserve"> </w:t>
      </w:r>
      <w:r>
        <w:t>it</w:t>
      </w:r>
      <w:r w:rsidR="00C64050">
        <w:t xml:space="preserve"> </w:t>
      </w:r>
      <w:r>
        <w:t>thought</w:t>
      </w:r>
      <w:r w:rsidR="00C64050">
        <w:t xml:space="preserve"> </w:t>
      </w:r>
      <w:r>
        <w:t>were</w:t>
      </w:r>
      <w:r w:rsidR="00C64050">
        <w:t xml:space="preserve"> </w:t>
      </w:r>
      <w:r>
        <w:t>relevant</w:t>
      </w:r>
      <w:r w:rsidR="00C64050">
        <w:t xml:space="preserve"> </w:t>
      </w:r>
      <w:r>
        <w:t>as</w:t>
      </w:r>
      <w:r w:rsidR="00C64050">
        <w:t xml:space="preserve"> </w:t>
      </w:r>
      <w:r>
        <w:t>follows:</w:t>
      </w:r>
    </w:p>
    <w:p w:rsidR="00BA2AE4" w:rsidRPr="00BA2AE4" w:rsidRDefault="00BA2AE4" w:rsidP="00BA2AE4">
      <w:pPr>
        <w:pStyle w:val="QS10"/>
        <w:ind w:left="2160"/>
      </w:pPr>
      <w:r w:rsidRPr="00BA2AE4">
        <w:t>10.</w:t>
      </w:r>
      <w:r w:rsidR="00C64050">
        <w:t xml:space="preserve"> </w:t>
      </w:r>
      <w:r w:rsidRPr="00BA2AE4">
        <w:t>[</w:t>
      </w:r>
      <w:r w:rsidR="00C64050">
        <w:t xml:space="preserve"> </w:t>
      </w:r>
      <w:r w:rsidRPr="00BA2AE4">
        <w:t>]</w:t>
      </w:r>
      <w:r w:rsidR="00C64050">
        <w:t xml:space="preserve"> </w:t>
      </w:r>
      <w:r w:rsidRPr="00BA2AE4">
        <w:t>Anil's</w:t>
      </w:r>
      <w:r w:rsidR="00C64050">
        <w:t xml:space="preserve"> </w:t>
      </w:r>
      <w:r w:rsidRPr="00BA2AE4">
        <w:t>[T]rust</w:t>
      </w:r>
      <w:r w:rsidR="00C64050">
        <w:t xml:space="preserve"> </w:t>
      </w:r>
      <w:r w:rsidRPr="00BA2AE4">
        <w:t>was</w:t>
      </w:r>
      <w:r w:rsidR="00C64050">
        <w:t xml:space="preserve"> </w:t>
      </w:r>
      <w:r w:rsidRPr="00BA2AE4">
        <w:t>established</w:t>
      </w:r>
      <w:r w:rsidR="00C64050">
        <w:t xml:space="preserve"> </w:t>
      </w:r>
      <w:r w:rsidRPr="00BA2AE4">
        <w:t>in</w:t>
      </w:r>
      <w:r w:rsidR="00C64050">
        <w:t xml:space="preserve"> </w:t>
      </w:r>
      <w:r w:rsidRPr="00BA2AE4">
        <w:t>1993,</w:t>
      </w:r>
      <w:r w:rsidR="00C64050">
        <w:t xml:space="preserve"> </w:t>
      </w:r>
      <w:r w:rsidRPr="00BA2AE4">
        <w:t>twenty-two</w:t>
      </w:r>
      <w:r w:rsidR="00C64050">
        <w:t xml:space="preserve"> </w:t>
      </w:r>
      <w:r w:rsidRPr="00BA2AE4">
        <w:t>(22)</w:t>
      </w:r>
      <w:r w:rsidR="00C64050">
        <w:t xml:space="preserve"> </w:t>
      </w:r>
      <w:r w:rsidRPr="00BA2AE4">
        <w:t>years</w:t>
      </w:r>
      <w:r w:rsidR="00C64050">
        <w:t xml:space="preserve"> </w:t>
      </w:r>
      <w:r w:rsidRPr="00BA2AE4">
        <w:t>prior</w:t>
      </w:r>
      <w:r w:rsidR="00C64050">
        <w:t xml:space="preserve"> </w:t>
      </w:r>
      <w:r w:rsidRPr="00BA2AE4">
        <w:t>to</w:t>
      </w:r>
      <w:r w:rsidR="00C64050">
        <w:t xml:space="preserve"> </w:t>
      </w:r>
      <w:r w:rsidRPr="00BA2AE4">
        <w:t>his</w:t>
      </w:r>
      <w:r w:rsidR="00C64050">
        <w:t xml:space="preserve"> </w:t>
      </w:r>
      <w:r w:rsidRPr="00BA2AE4">
        <w:t>death,</w:t>
      </w:r>
      <w:r w:rsidR="00C64050">
        <w:t xml:space="preserve"> </w:t>
      </w:r>
      <w:r w:rsidRPr="00BA2AE4">
        <w:t>for</w:t>
      </w:r>
      <w:r w:rsidR="00C64050">
        <w:t xml:space="preserve"> </w:t>
      </w:r>
      <w:r w:rsidRPr="00BA2AE4">
        <w:t>the</w:t>
      </w:r>
      <w:r w:rsidR="00C64050">
        <w:t xml:space="preserve"> </w:t>
      </w:r>
      <w:r w:rsidRPr="00BA2AE4">
        <w:t>purpose</w:t>
      </w:r>
      <w:r w:rsidR="00C64050">
        <w:t xml:space="preserve"> </w:t>
      </w:r>
      <w:r w:rsidRPr="00BA2AE4">
        <w:t>of</w:t>
      </w:r>
      <w:r w:rsidR="00C64050">
        <w:t xml:space="preserve"> </w:t>
      </w:r>
      <w:r w:rsidRPr="00BA2AE4">
        <w:t>obtaining</w:t>
      </w:r>
      <w:r w:rsidR="00C64050">
        <w:t xml:space="preserve"> </w:t>
      </w:r>
      <w:r w:rsidRPr="00BA2AE4">
        <w:t>assistance</w:t>
      </w:r>
      <w:r w:rsidR="00C64050">
        <w:t xml:space="preserve"> </w:t>
      </w:r>
      <w:r w:rsidRPr="00BA2AE4">
        <w:t>in</w:t>
      </w:r>
      <w:r w:rsidR="00C64050">
        <w:t xml:space="preserve"> </w:t>
      </w:r>
      <w:r w:rsidRPr="00BA2AE4">
        <w:t>personal</w:t>
      </w:r>
      <w:r w:rsidR="00C64050">
        <w:t xml:space="preserve"> </w:t>
      </w:r>
      <w:r w:rsidRPr="00BA2AE4">
        <w:t>and</w:t>
      </w:r>
      <w:r w:rsidR="00C64050">
        <w:t xml:space="preserve"> </w:t>
      </w:r>
      <w:r w:rsidRPr="00BA2AE4">
        <w:t>business</w:t>
      </w:r>
      <w:r w:rsidR="00C64050">
        <w:t xml:space="preserve"> </w:t>
      </w:r>
      <w:r w:rsidRPr="00BA2AE4">
        <w:t>affairs</w:t>
      </w:r>
      <w:r w:rsidR="00C64050">
        <w:t xml:space="preserve"> </w:t>
      </w:r>
      <w:r w:rsidRPr="00BA2AE4">
        <w:t>as</w:t>
      </w:r>
      <w:r w:rsidR="00C64050">
        <w:t xml:space="preserve"> </w:t>
      </w:r>
      <w:r w:rsidRPr="00BA2AE4">
        <w:t>well</w:t>
      </w:r>
      <w:r w:rsidR="00C64050">
        <w:t xml:space="preserve"> </w:t>
      </w:r>
      <w:r w:rsidRPr="00BA2AE4">
        <w:t>as</w:t>
      </w:r>
      <w:r w:rsidR="00C64050">
        <w:t xml:space="preserve"> </w:t>
      </w:r>
      <w:r w:rsidRPr="00BA2AE4">
        <w:t>disposing</w:t>
      </w:r>
      <w:r w:rsidR="00C64050">
        <w:t xml:space="preserve"> </w:t>
      </w:r>
      <w:r w:rsidRPr="00BA2AE4">
        <w:t>of</w:t>
      </w:r>
      <w:r w:rsidR="00C64050">
        <w:t xml:space="preserve"> </w:t>
      </w:r>
      <w:r w:rsidRPr="00BA2AE4">
        <w:t>his</w:t>
      </w:r>
      <w:r w:rsidR="00C64050">
        <w:t xml:space="preserve"> </w:t>
      </w:r>
      <w:r w:rsidRPr="00BA2AE4">
        <w:t>property</w:t>
      </w:r>
      <w:r w:rsidR="00C64050">
        <w:t xml:space="preserve"> </w:t>
      </w:r>
      <w:r w:rsidRPr="00BA2AE4">
        <w:t>at</w:t>
      </w:r>
      <w:r w:rsidR="00C64050">
        <w:t xml:space="preserve"> </w:t>
      </w:r>
      <w:r w:rsidRPr="00BA2AE4">
        <w:t>death.</w:t>
      </w:r>
      <w:r w:rsidR="00C64050">
        <w:t xml:space="preserve"> </w:t>
      </w:r>
      <w:r w:rsidRPr="00BA2AE4">
        <w:t>Anil</w:t>
      </w:r>
      <w:r w:rsidR="00C64050">
        <w:t xml:space="preserve"> </w:t>
      </w:r>
      <w:r w:rsidRPr="00BA2AE4">
        <w:t>had</w:t>
      </w:r>
      <w:r w:rsidR="00C64050">
        <w:t xml:space="preserve"> </w:t>
      </w:r>
      <w:r w:rsidRPr="00BA2AE4">
        <w:t>check</w:t>
      </w:r>
      <w:r w:rsidR="00C64050">
        <w:t xml:space="preserve"> </w:t>
      </w:r>
      <w:r w:rsidRPr="00BA2AE4">
        <w:t>writing</w:t>
      </w:r>
      <w:r w:rsidR="00C64050">
        <w:t xml:space="preserve"> </w:t>
      </w:r>
      <w:r w:rsidRPr="00BA2AE4">
        <w:t>authority</w:t>
      </w:r>
      <w:r w:rsidR="00C64050">
        <w:t xml:space="preserve"> </w:t>
      </w:r>
      <w:r w:rsidRPr="00BA2AE4">
        <w:t>on</w:t>
      </w:r>
      <w:r w:rsidR="00C64050">
        <w:t xml:space="preserve"> </w:t>
      </w:r>
      <w:r w:rsidRPr="00BA2AE4">
        <w:t>his</w:t>
      </w:r>
      <w:r w:rsidR="00C64050">
        <w:t xml:space="preserve"> </w:t>
      </w:r>
      <w:r w:rsidRPr="00BA2AE4">
        <w:t>[T]rust</w:t>
      </w:r>
      <w:r w:rsidR="00C64050">
        <w:t xml:space="preserve"> </w:t>
      </w:r>
      <w:r w:rsidRPr="00BA2AE4">
        <w:t>and</w:t>
      </w:r>
      <w:r w:rsidR="00C64050">
        <w:t xml:space="preserve"> </w:t>
      </w:r>
      <w:r w:rsidRPr="00BA2AE4">
        <w:t>could</w:t>
      </w:r>
      <w:r w:rsidR="00C64050">
        <w:t xml:space="preserve"> </w:t>
      </w:r>
      <w:r w:rsidRPr="00BA2AE4">
        <w:t>amend</w:t>
      </w:r>
      <w:r w:rsidR="00C64050">
        <w:t xml:space="preserve"> </w:t>
      </w:r>
      <w:r w:rsidRPr="00BA2AE4">
        <w:t>or</w:t>
      </w:r>
      <w:r w:rsidR="00C64050">
        <w:t xml:space="preserve"> </w:t>
      </w:r>
      <w:r w:rsidRPr="00BA2AE4">
        <w:t>modify</w:t>
      </w:r>
      <w:r w:rsidR="00C64050">
        <w:t xml:space="preserve"> </w:t>
      </w:r>
      <w:r w:rsidRPr="00BA2AE4">
        <w:t>it</w:t>
      </w:r>
      <w:r w:rsidR="00C64050">
        <w:t xml:space="preserve"> </w:t>
      </w:r>
      <w:r w:rsidRPr="00BA2AE4">
        <w:t>at</w:t>
      </w:r>
      <w:r w:rsidR="00C64050">
        <w:t xml:space="preserve"> </w:t>
      </w:r>
      <w:r w:rsidRPr="00BA2AE4">
        <w:t>any</w:t>
      </w:r>
      <w:r w:rsidR="00C64050">
        <w:t xml:space="preserve"> </w:t>
      </w:r>
      <w:r w:rsidRPr="00BA2AE4">
        <w:t>time.</w:t>
      </w:r>
      <w:r w:rsidR="00C64050">
        <w:t xml:space="preserve"> </w:t>
      </w:r>
      <w:r w:rsidRPr="00BA2AE4">
        <w:t>Both</w:t>
      </w:r>
      <w:r w:rsidR="00C64050">
        <w:t xml:space="preserve"> </w:t>
      </w:r>
      <w:r w:rsidRPr="00BA2AE4">
        <w:t>Anil</w:t>
      </w:r>
      <w:r w:rsidR="00C64050">
        <w:t xml:space="preserve"> </w:t>
      </w:r>
      <w:r w:rsidRPr="00BA2AE4">
        <w:t>and</w:t>
      </w:r>
      <w:r w:rsidR="00C64050">
        <w:t xml:space="preserve"> </w:t>
      </w:r>
      <w:r w:rsidRPr="00BA2AE4">
        <w:t>Dipa</w:t>
      </w:r>
      <w:r w:rsidR="00C64050">
        <w:t xml:space="preserve"> </w:t>
      </w:r>
      <w:r w:rsidRPr="00BA2AE4">
        <w:t>were</w:t>
      </w:r>
      <w:r w:rsidR="00C64050">
        <w:t xml:space="preserve"> </w:t>
      </w:r>
      <w:r w:rsidRPr="00BA2AE4">
        <w:t>present</w:t>
      </w:r>
      <w:r w:rsidR="00C64050">
        <w:t xml:space="preserve"> </w:t>
      </w:r>
      <w:r w:rsidRPr="00BA2AE4">
        <w:t>with</w:t>
      </w:r>
      <w:r w:rsidR="00C64050">
        <w:t xml:space="preserve"> </w:t>
      </w:r>
      <w:r w:rsidRPr="00BA2AE4">
        <w:t>[Attorney</w:t>
      </w:r>
      <w:r w:rsidR="00C64050">
        <w:t xml:space="preserve"> </w:t>
      </w:r>
      <w:r w:rsidRPr="00BA2AE4">
        <w:t>Lyman]</w:t>
      </w:r>
      <w:r w:rsidR="00C64050">
        <w:t xml:space="preserve"> </w:t>
      </w:r>
      <w:r w:rsidRPr="00BA2AE4">
        <w:t>when</w:t>
      </w:r>
      <w:r w:rsidR="00C64050">
        <w:t xml:space="preserve"> </w:t>
      </w:r>
      <w:r w:rsidRPr="00BA2AE4">
        <w:t>the</w:t>
      </w:r>
      <w:r w:rsidR="00C64050">
        <w:t xml:space="preserve"> </w:t>
      </w:r>
      <w:r w:rsidRPr="00BA2AE4">
        <w:t>original</w:t>
      </w:r>
      <w:r w:rsidR="00C64050">
        <w:t xml:space="preserve"> </w:t>
      </w:r>
      <w:r w:rsidRPr="00BA2AE4">
        <w:t>estate</w:t>
      </w:r>
      <w:r w:rsidR="00C64050">
        <w:t xml:space="preserve"> </w:t>
      </w:r>
      <w:r w:rsidRPr="00BA2AE4">
        <w:t>planning</w:t>
      </w:r>
      <w:r w:rsidR="00C64050">
        <w:t xml:space="preserve"> </w:t>
      </w:r>
      <w:r w:rsidRPr="00BA2AE4">
        <w:t>advice</w:t>
      </w:r>
      <w:r w:rsidR="00C64050">
        <w:t xml:space="preserve"> </w:t>
      </w:r>
      <w:r w:rsidRPr="00BA2AE4">
        <w:t>was</w:t>
      </w:r>
      <w:r w:rsidR="00C64050">
        <w:t xml:space="preserve"> </w:t>
      </w:r>
      <w:r w:rsidRPr="00BA2AE4">
        <w:t>provided.</w:t>
      </w:r>
      <w:r w:rsidR="00C64050">
        <w:t xml:space="preserve"> </w:t>
      </w:r>
      <w:r w:rsidRPr="00BA2AE4">
        <w:t>The</w:t>
      </w:r>
      <w:r w:rsidR="00C64050">
        <w:t xml:space="preserve"> </w:t>
      </w:r>
      <w:r w:rsidRPr="00BA2AE4">
        <w:t>couple</w:t>
      </w:r>
      <w:r w:rsidR="00C64050">
        <w:t xml:space="preserve"> </w:t>
      </w:r>
      <w:r w:rsidRPr="00BA2AE4">
        <w:t>agreed</w:t>
      </w:r>
      <w:r w:rsidR="00C64050">
        <w:t xml:space="preserve"> </w:t>
      </w:r>
      <w:r w:rsidRPr="00BA2AE4">
        <w:t>to</w:t>
      </w:r>
      <w:r w:rsidR="00C64050">
        <w:t xml:space="preserve"> </w:t>
      </w:r>
      <w:r w:rsidRPr="00BA2AE4">
        <w:t>dispose</w:t>
      </w:r>
      <w:r w:rsidR="00C64050">
        <w:t xml:space="preserve"> </w:t>
      </w:r>
      <w:r w:rsidRPr="00BA2AE4">
        <w:t>of</w:t>
      </w:r>
      <w:r w:rsidR="00C64050">
        <w:t xml:space="preserve"> </w:t>
      </w:r>
      <w:r w:rsidRPr="00BA2AE4">
        <w:t>their</w:t>
      </w:r>
      <w:r w:rsidR="00C64050">
        <w:t xml:space="preserve"> </w:t>
      </w:r>
      <w:r w:rsidRPr="00BA2AE4">
        <w:t>assets</w:t>
      </w:r>
      <w:r w:rsidR="00C64050">
        <w:t xml:space="preserve"> </w:t>
      </w:r>
      <w:r w:rsidRPr="00BA2AE4">
        <w:t>separately</w:t>
      </w:r>
      <w:r w:rsidR="00C64050">
        <w:t xml:space="preserve"> </w:t>
      </w:r>
      <w:r w:rsidRPr="00BA2AE4">
        <w:t>and</w:t>
      </w:r>
      <w:r w:rsidR="00C64050">
        <w:t xml:space="preserve"> </w:t>
      </w:r>
      <w:r w:rsidRPr="00BA2AE4">
        <w:t>not</w:t>
      </w:r>
      <w:r w:rsidR="00C64050">
        <w:t xml:space="preserve"> </w:t>
      </w:r>
      <w:r w:rsidRPr="00BA2AE4">
        <w:t>to</w:t>
      </w:r>
      <w:r w:rsidR="00C64050">
        <w:t xml:space="preserve"> </w:t>
      </w:r>
      <w:r w:rsidRPr="00BA2AE4">
        <w:t>each</w:t>
      </w:r>
      <w:r w:rsidR="00C64050">
        <w:t xml:space="preserve"> </w:t>
      </w:r>
      <w:r w:rsidRPr="00BA2AE4">
        <w:t>other.</w:t>
      </w:r>
      <w:r w:rsidR="00C64050">
        <w:t xml:space="preserve"> </w:t>
      </w:r>
      <w:r w:rsidRPr="00BA2AE4">
        <w:t>Dipa</w:t>
      </w:r>
      <w:r w:rsidR="00C64050">
        <w:t xml:space="preserve"> </w:t>
      </w:r>
      <w:r w:rsidRPr="00BA2AE4">
        <w:t>was</w:t>
      </w:r>
      <w:r w:rsidR="00C64050">
        <w:t xml:space="preserve"> </w:t>
      </w:r>
      <w:r w:rsidRPr="00BA2AE4">
        <w:t>aware</w:t>
      </w:r>
      <w:r w:rsidR="00C64050">
        <w:t xml:space="preserve"> </w:t>
      </w:r>
      <w:r w:rsidRPr="00BA2AE4">
        <w:t>of</w:t>
      </w:r>
      <w:r w:rsidR="00C64050">
        <w:t xml:space="preserve"> </w:t>
      </w:r>
      <w:r w:rsidRPr="00BA2AE4">
        <w:t>Anil's</w:t>
      </w:r>
      <w:r w:rsidR="00C64050">
        <w:t xml:space="preserve"> </w:t>
      </w:r>
      <w:r w:rsidRPr="00BA2AE4">
        <w:t>[T]rust</w:t>
      </w:r>
      <w:r w:rsidR="00C64050">
        <w:t xml:space="preserve"> </w:t>
      </w:r>
      <w:r w:rsidRPr="00BA2AE4">
        <w:t>and</w:t>
      </w:r>
      <w:r w:rsidR="00C64050">
        <w:t xml:space="preserve"> </w:t>
      </w:r>
      <w:r w:rsidRPr="00BA2AE4">
        <w:t>its</w:t>
      </w:r>
      <w:r w:rsidR="00C64050">
        <w:t xml:space="preserve"> </w:t>
      </w:r>
      <w:r w:rsidRPr="00BA2AE4">
        <w:t>provisions</w:t>
      </w:r>
      <w:r w:rsidR="00C64050">
        <w:t xml:space="preserve"> </w:t>
      </w:r>
      <w:r w:rsidRPr="00BA2AE4">
        <w:t>because</w:t>
      </w:r>
      <w:r w:rsidR="00C64050">
        <w:t xml:space="preserve"> </w:t>
      </w:r>
      <w:r w:rsidRPr="00BA2AE4">
        <w:t>it</w:t>
      </w:r>
      <w:r w:rsidR="00C64050">
        <w:t xml:space="preserve"> </w:t>
      </w:r>
      <w:r w:rsidRPr="00BA2AE4">
        <w:t>was</w:t>
      </w:r>
      <w:r w:rsidR="00C64050">
        <w:t xml:space="preserve"> </w:t>
      </w:r>
      <w:r w:rsidRPr="00BA2AE4">
        <w:t>identical</w:t>
      </w:r>
      <w:r w:rsidR="00C64050">
        <w:t xml:space="preserve"> </w:t>
      </w:r>
      <w:r w:rsidRPr="00BA2AE4">
        <w:t>to</w:t>
      </w:r>
      <w:r w:rsidR="00C64050">
        <w:t xml:space="preserve"> </w:t>
      </w:r>
      <w:r w:rsidRPr="00BA2AE4">
        <w:t>hers.</w:t>
      </w:r>
      <w:r w:rsidR="00C64050">
        <w:t xml:space="preserve"> </w:t>
      </w:r>
      <w:r w:rsidRPr="00BA2AE4">
        <w:t>Further,</w:t>
      </w:r>
      <w:r w:rsidR="00C64050">
        <w:t xml:space="preserve"> </w:t>
      </w:r>
      <w:r w:rsidRPr="00BA2AE4">
        <w:t>Anil</w:t>
      </w:r>
      <w:r w:rsidR="00C64050">
        <w:t xml:space="preserve"> </w:t>
      </w:r>
      <w:r w:rsidRPr="00BA2AE4">
        <w:t>and</w:t>
      </w:r>
      <w:r w:rsidR="00C64050">
        <w:t xml:space="preserve"> </w:t>
      </w:r>
      <w:r w:rsidRPr="00BA2AE4">
        <w:t>Dipa</w:t>
      </w:r>
      <w:r w:rsidR="00C64050">
        <w:t xml:space="preserve"> </w:t>
      </w:r>
      <w:r w:rsidRPr="00BA2AE4">
        <w:t>used</w:t>
      </w:r>
      <w:r w:rsidR="00C64050">
        <w:t xml:space="preserve"> </w:t>
      </w:r>
      <w:r w:rsidRPr="00BA2AE4">
        <w:t>a</w:t>
      </w:r>
      <w:r w:rsidR="00C64050">
        <w:t xml:space="preserve"> </w:t>
      </w:r>
      <w:r w:rsidRPr="00BA2AE4">
        <w:t>joint</w:t>
      </w:r>
      <w:r w:rsidR="00C64050">
        <w:t xml:space="preserve"> </w:t>
      </w:r>
      <w:r w:rsidRPr="00BA2AE4">
        <w:t>financial</w:t>
      </w:r>
      <w:r w:rsidR="00C64050">
        <w:t xml:space="preserve"> </w:t>
      </w:r>
      <w:r w:rsidRPr="00BA2AE4">
        <w:t>adviser,</w:t>
      </w:r>
      <w:r w:rsidR="00C64050">
        <w:t xml:space="preserve"> </w:t>
      </w:r>
      <w:r w:rsidRPr="00BA2AE4">
        <w:t>[</w:t>
      </w:r>
      <w:r w:rsidR="00C64050">
        <w:t xml:space="preserve"> </w:t>
      </w:r>
      <w:r w:rsidRPr="00BA2AE4">
        <w:t>],</w:t>
      </w:r>
      <w:r w:rsidR="00C64050">
        <w:t xml:space="preserve"> </w:t>
      </w:r>
      <w:r w:rsidRPr="00BA2AE4">
        <w:t>who</w:t>
      </w:r>
      <w:r w:rsidR="00C64050">
        <w:t xml:space="preserve"> </w:t>
      </w:r>
      <w:r w:rsidRPr="00BA2AE4">
        <w:t>testified</w:t>
      </w:r>
      <w:r w:rsidR="00C64050">
        <w:t xml:space="preserve"> </w:t>
      </w:r>
      <w:r w:rsidRPr="00BA2AE4">
        <w:t>that</w:t>
      </w:r>
      <w:r w:rsidR="00C64050">
        <w:t xml:space="preserve"> </w:t>
      </w:r>
      <w:r w:rsidRPr="00BA2AE4">
        <w:t>the</w:t>
      </w:r>
      <w:r w:rsidR="00C64050">
        <w:t xml:space="preserve"> </w:t>
      </w:r>
      <w:r w:rsidRPr="00BA2AE4">
        <w:t>couple's</w:t>
      </w:r>
      <w:r w:rsidR="00C64050">
        <w:t xml:space="preserve"> </w:t>
      </w:r>
      <w:r w:rsidRPr="00BA2AE4">
        <w:t>investments</w:t>
      </w:r>
      <w:r w:rsidR="00C64050">
        <w:t xml:space="preserve"> </w:t>
      </w:r>
      <w:r w:rsidRPr="00BA2AE4">
        <w:t>were</w:t>
      </w:r>
      <w:r w:rsidR="00C64050">
        <w:t xml:space="preserve"> </w:t>
      </w:r>
      <w:r w:rsidRPr="00BA2AE4">
        <w:t>identical.</w:t>
      </w:r>
      <w:r w:rsidR="00C64050">
        <w:t xml:space="preserve"> </w:t>
      </w:r>
      <w:r w:rsidRPr="00BA2AE4">
        <w:t>[The</w:t>
      </w:r>
      <w:r w:rsidR="00C64050">
        <w:t xml:space="preserve"> </w:t>
      </w:r>
      <w:r w:rsidRPr="00BA2AE4">
        <w:t>financial</w:t>
      </w:r>
      <w:r w:rsidR="00C64050">
        <w:t xml:space="preserve"> </w:t>
      </w:r>
      <w:r w:rsidRPr="00BA2AE4">
        <w:t>advisor]</w:t>
      </w:r>
      <w:r w:rsidR="00C64050">
        <w:t xml:space="preserve"> </w:t>
      </w:r>
      <w:r w:rsidRPr="00BA2AE4">
        <w:t>testified</w:t>
      </w:r>
      <w:r w:rsidR="00C64050">
        <w:t xml:space="preserve"> </w:t>
      </w:r>
      <w:r w:rsidRPr="00BA2AE4">
        <w:t>that</w:t>
      </w:r>
      <w:r w:rsidR="00C64050">
        <w:t xml:space="preserve"> </w:t>
      </w:r>
      <w:r w:rsidRPr="00BA2AE4">
        <w:t>Anil</w:t>
      </w:r>
      <w:r w:rsidR="00C64050">
        <w:t xml:space="preserve"> </w:t>
      </w:r>
      <w:r w:rsidRPr="00BA2AE4">
        <w:t>and</w:t>
      </w:r>
      <w:r w:rsidR="00C64050">
        <w:t xml:space="preserve"> </w:t>
      </w:r>
      <w:r w:rsidRPr="00BA2AE4">
        <w:t>Dipa</w:t>
      </w:r>
      <w:r w:rsidR="00C64050">
        <w:t xml:space="preserve"> </w:t>
      </w:r>
      <w:r w:rsidRPr="00BA2AE4">
        <w:t>came</w:t>
      </w:r>
      <w:r w:rsidR="00C64050">
        <w:t xml:space="preserve"> </w:t>
      </w:r>
      <w:r w:rsidRPr="00BA2AE4">
        <w:t>together</w:t>
      </w:r>
      <w:r w:rsidR="00C64050">
        <w:t xml:space="preserve"> </w:t>
      </w:r>
      <w:r w:rsidRPr="00BA2AE4">
        <w:t>to</w:t>
      </w:r>
      <w:r w:rsidR="00C64050">
        <w:t xml:space="preserve"> </w:t>
      </w:r>
      <w:r w:rsidRPr="00BA2AE4">
        <w:t>her</w:t>
      </w:r>
      <w:r w:rsidR="00C64050">
        <w:t xml:space="preserve"> </w:t>
      </w:r>
      <w:r w:rsidRPr="00BA2AE4">
        <w:t>office</w:t>
      </w:r>
      <w:r w:rsidR="00C64050">
        <w:t xml:space="preserve"> </w:t>
      </w:r>
      <w:r w:rsidRPr="00BA2AE4">
        <w:t>to</w:t>
      </w:r>
      <w:r w:rsidR="00C64050">
        <w:t xml:space="preserve"> </w:t>
      </w:r>
      <w:r w:rsidRPr="00BA2AE4">
        <w:t>execute</w:t>
      </w:r>
      <w:r w:rsidR="00C64050">
        <w:t xml:space="preserve"> </w:t>
      </w:r>
      <w:r w:rsidRPr="00BA2AE4">
        <w:t>financial</w:t>
      </w:r>
      <w:r w:rsidR="00C64050">
        <w:t xml:space="preserve"> </w:t>
      </w:r>
      <w:r w:rsidRPr="00BA2AE4">
        <w:t>documents</w:t>
      </w:r>
      <w:r w:rsidR="00C64050">
        <w:t xml:space="preserve"> </w:t>
      </w:r>
      <w:r w:rsidRPr="00BA2AE4">
        <w:t>and</w:t>
      </w:r>
      <w:r w:rsidR="00C64050">
        <w:t xml:space="preserve"> </w:t>
      </w:r>
      <w:r w:rsidRPr="00BA2AE4">
        <w:t>that</w:t>
      </w:r>
      <w:r w:rsidR="00C64050">
        <w:t xml:space="preserve"> </w:t>
      </w:r>
      <w:r w:rsidRPr="00BA2AE4">
        <w:t>each</w:t>
      </w:r>
      <w:r w:rsidR="00C64050">
        <w:t xml:space="preserve"> </w:t>
      </w:r>
      <w:r w:rsidRPr="00BA2AE4">
        <w:t>was</w:t>
      </w:r>
      <w:r w:rsidR="00C64050">
        <w:t xml:space="preserve"> </w:t>
      </w:r>
      <w:r w:rsidRPr="00BA2AE4">
        <w:t>aware</w:t>
      </w:r>
      <w:r w:rsidR="00C64050">
        <w:t xml:space="preserve"> </w:t>
      </w:r>
      <w:r w:rsidRPr="00BA2AE4">
        <w:t>of</w:t>
      </w:r>
      <w:r w:rsidR="00C64050">
        <w:t xml:space="preserve"> </w:t>
      </w:r>
      <w:r w:rsidRPr="00BA2AE4">
        <w:t>the</w:t>
      </w:r>
      <w:r w:rsidR="00C64050">
        <w:t xml:space="preserve"> </w:t>
      </w:r>
      <w:r w:rsidRPr="00BA2AE4">
        <w:t>others</w:t>
      </w:r>
      <w:r w:rsidR="00C64050">
        <w:t xml:space="preserve"> </w:t>
      </w:r>
      <w:r w:rsidRPr="00BA2AE4">
        <w:t>IRA</w:t>
      </w:r>
      <w:r w:rsidR="00C64050">
        <w:t xml:space="preserve"> </w:t>
      </w:r>
      <w:r w:rsidRPr="00BA2AE4">
        <w:t>and</w:t>
      </w:r>
      <w:r w:rsidR="00C64050">
        <w:t xml:space="preserve"> </w:t>
      </w:r>
      <w:r w:rsidRPr="00BA2AE4">
        <w:t>trust.</w:t>
      </w:r>
    </w:p>
    <w:p w:rsidR="00BA2AE4" w:rsidRPr="00BA2AE4" w:rsidRDefault="00BA2AE4" w:rsidP="00BA2AE4">
      <w:pPr>
        <w:pStyle w:val="QS10"/>
        <w:ind w:left="2160"/>
      </w:pPr>
      <w:r w:rsidRPr="00BA2AE4">
        <w:t>12.</w:t>
      </w:r>
      <w:r w:rsidR="00C64050">
        <w:t xml:space="preserve"> </w:t>
      </w:r>
      <w:r w:rsidRPr="00BA2AE4">
        <w:t>The</w:t>
      </w:r>
      <w:r w:rsidR="00C64050">
        <w:t xml:space="preserve"> </w:t>
      </w:r>
      <w:r w:rsidRPr="00BA2AE4">
        <w:t>[c]ourt</w:t>
      </w:r>
      <w:r w:rsidR="00C64050">
        <w:t xml:space="preserve"> </w:t>
      </w:r>
      <w:r w:rsidRPr="00BA2AE4">
        <w:t>finds</w:t>
      </w:r>
      <w:r w:rsidR="00C64050">
        <w:t xml:space="preserve"> </w:t>
      </w:r>
      <w:r w:rsidRPr="00BA2AE4">
        <w:t>no</w:t>
      </w:r>
      <w:r w:rsidR="00C64050">
        <w:t xml:space="preserve"> </w:t>
      </w:r>
      <w:r w:rsidRPr="00BA2AE4">
        <w:t>evidence</w:t>
      </w:r>
      <w:r w:rsidR="00C64050">
        <w:t xml:space="preserve"> </w:t>
      </w:r>
      <w:r w:rsidRPr="00BA2AE4">
        <w:t>that</w:t>
      </w:r>
      <w:r w:rsidR="00C64050">
        <w:t xml:space="preserve"> </w:t>
      </w:r>
      <w:r w:rsidRPr="00BA2AE4">
        <w:t>Anil's</w:t>
      </w:r>
      <w:r w:rsidR="00C64050">
        <w:t xml:space="preserve"> </w:t>
      </w:r>
      <w:r w:rsidRPr="00BA2AE4">
        <w:t>intent</w:t>
      </w:r>
      <w:r w:rsidR="00C64050">
        <w:t xml:space="preserve"> </w:t>
      </w:r>
      <w:r w:rsidRPr="00BA2AE4">
        <w:t>in</w:t>
      </w:r>
      <w:r w:rsidR="00C64050">
        <w:t xml:space="preserve"> </w:t>
      </w:r>
      <w:r w:rsidRPr="00BA2AE4">
        <w:t>creating</w:t>
      </w:r>
      <w:r w:rsidR="00C64050">
        <w:t xml:space="preserve"> </w:t>
      </w:r>
      <w:r w:rsidRPr="00BA2AE4">
        <w:t>the</w:t>
      </w:r>
      <w:r w:rsidR="00C64050">
        <w:t xml:space="preserve"> </w:t>
      </w:r>
      <w:r w:rsidRPr="00BA2AE4">
        <w:t>[T]rust</w:t>
      </w:r>
      <w:r w:rsidR="00C64050">
        <w:t xml:space="preserve"> </w:t>
      </w:r>
      <w:r w:rsidRPr="00BA2AE4">
        <w:t>was</w:t>
      </w:r>
      <w:r w:rsidR="00C64050">
        <w:t xml:space="preserve"> </w:t>
      </w:r>
      <w:r w:rsidRPr="00BA2AE4">
        <w:t>to</w:t>
      </w:r>
      <w:r w:rsidR="00C64050">
        <w:t xml:space="preserve"> </w:t>
      </w:r>
      <w:r w:rsidRPr="00BA2AE4">
        <w:t>frustrate</w:t>
      </w:r>
      <w:r w:rsidR="00C64050">
        <w:t xml:space="preserve"> </w:t>
      </w:r>
      <w:r w:rsidRPr="00BA2AE4">
        <w:t>Dipa's</w:t>
      </w:r>
      <w:r w:rsidR="00C64050">
        <w:t xml:space="preserve"> </w:t>
      </w:r>
      <w:r w:rsidRPr="00BA2AE4">
        <w:t>right</w:t>
      </w:r>
      <w:r w:rsidR="00C64050">
        <w:t xml:space="preserve"> </w:t>
      </w:r>
      <w:r w:rsidRPr="00BA2AE4">
        <w:t>to</w:t>
      </w:r>
      <w:r w:rsidR="00C64050">
        <w:t xml:space="preserve"> </w:t>
      </w:r>
      <w:r w:rsidRPr="00BA2AE4">
        <w:t>a</w:t>
      </w:r>
      <w:r w:rsidR="00C64050">
        <w:t xml:space="preserve"> </w:t>
      </w:r>
      <w:r w:rsidRPr="00BA2AE4">
        <w:t>statutory</w:t>
      </w:r>
      <w:r w:rsidR="00C64050">
        <w:t xml:space="preserve"> </w:t>
      </w:r>
      <w:r w:rsidRPr="00BA2AE4">
        <w:t>elective</w:t>
      </w:r>
      <w:r w:rsidR="00C64050">
        <w:t xml:space="preserve"> </w:t>
      </w:r>
      <w:r w:rsidRPr="00BA2AE4">
        <w:t>share.</w:t>
      </w:r>
      <w:r w:rsidR="00C64050">
        <w:t xml:space="preserve"> </w:t>
      </w:r>
      <w:r w:rsidRPr="00BA2AE4">
        <w:t>The</w:t>
      </w:r>
      <w:r w:rsidR="00C64050">
        <w:t xml:space="preserve"> </w:t>
      </w:r>
      <w:r w:rsidRPr="00BA2AE4">
        <w:t>[c]ourt</w:t>
      </w:r>
      <w:r w:rsidR="00C64050">
        <w:t xml:space="preserve"> </w:t>
      </w:r>
      <w:r w:rsidRPr="00BA2AE4">
        <w:t>further</w:t>
      </w:r>
      <w:r w:rsidR="00C64050">
        <w:t xml:space="preserve"> </w:t>
      </w:r>
      <w:r w:rsidRPr="00BA2AE4">
        <w:t>finds</w:t>
      </w:r>
      <w:r w:rsidR="00C64050">
        <w:t xml:space="preserve"> </w:t>
      </w:r>
      <w:r w:rsidRPr="00BA2AE4">
        <w:t>that</w:t>
      </w:r>
      <w:r w:rsidR="00C64050">
        <w:t xml:space="preserve"> </w:t>
      </w:r>
      <w:r w:rsidRPr="00BA2AE4">
        <w:t>Anil's</w:t>
      </w:r>
      <w:r w:rsidR="00C64050">
        <w:t xml:space="preserve"> </w:t>
      </w:r>
      <w:r w:rsidRPr="00BA2AE4">
        <w:t>[T]rust</w:t>
      </w:r>
      <w:r w:rsidR="00C64050">
        <w:t xml:space="preserve"> </w:t>
      </w:r>
      <w:r w:rsidRPr="00BA2AE4">
        <w:t>was</w:t>
      </w:r>
      <w:r w:rsidR="00C64050">
        <w:t xml:space="preserve"> </w:t>
      </w:r>
      <w:r w:rsidRPr="00BA2AE4">
        <w:t>not</w:t>
      </w:r>
      <w:r w:rsidR="00C64050">
        <w:t xml:space="preserve"> </w:t>
      </w:r>
      <w:r w:rsidRPr="00BA2AE4">
        <w:t>created</w:t>
      </w:r>
      <w:r w:rsidR="00C64050">
        <w:t xml:space="preserve"> </w:t>
      </w:r>
      <w:r w:rsidRPr="00BA2AE4">
        <w:t>in</w:t>
      </w:r>
      <w:r w:rsidR="00C64050">
        <w:t xml:space="preserve"> </w:t>
      </w:r>
      <w:r w:rsidRPr="00BA2AE4">
        <w:t>contemplation</w:t>
      </w:r>
      <w:r w:rsidR="00C64050">
        <w:t xml:space="preserve"> </w:t>
      </w:r>
      <w:r w:rsidRPr="00BA2AE4">
        <w:t>of</w:t>
      </w:r>
      <w:r w:rsidR="00C64050">
        <w:t xml:space="preserve"> </w:t>
      </w:r>
      <w:r w:rsidRPr="00BA2AE4">
        <w:t>his</w:t>
      </w:r>
      <w:r w:rsidR="00C64050">
        <w:t xml:space="preserve"> </w:t>
      </w:r>
      <w:r w:rsidRPr="00BA2AE4">
        <w:t>death</w:t>
      </w:r>
      <w:r w:rsidR="00C64050">
        <w:t xml:space="preserve"> </w:t>
      </w:r>
      <w:r w:rsidRPr="00BA2AE4">
        <w:t>and</w:t>
      </w:r>
      <w:r w:rsidR="00C64050">
        <w:t xml:space="preserve"> </w:t>
      </w:r>
      <w:r w:rsidRPr="00BA2AE4">
        <w:t>is</w:t>
      </w:r>
      <w:r w:rsidR="00C64050">
        <w:t xml:space="preserve"> </w:t>
      </w:r>
      <w:r w:rsidRPr="00BA2AE4">
        <w:t>therefore</w:t>
      </w:r>
      <w:r w:rsidR="00C64050">
        <w:t xml:space="preserve"> </w:t>
      </w:r>
      <w:r w:rsidRPr="00BA2AE4">
        <w:t>not</w:t>
      </w:r>
      <w:r w:rsidR="00C64050">
        <w:t xml:space="preserve"> </w:t>
      </w:r>
      <w:r w:rsidRPr="00BA2AE4">
        <w:t>testamentary.</w:t>
      </w:r>
      <w:r w:rsidR="00C64050">
        <w:t xml:space="preserve"> </w:t>
      </w:r>
      <w:r w:rsidRPr="00BA2AE4">
        <w:t>Therefore,</w:t>
      </w:r>
      <w:r w:rsidR="00C64050">
        <w:t xml:space="preserve"> </w:t>
      </w:r>
      <w:r w:rsidRPr="00BA2AE4">
        <w:t>the</w:t>
      </w:r>
      <w:r w:rsidR="00C64050">
        <w:t xml:space="preserve"> </w:t>
      </w:r>
      <w:r w:rsidRPr="00BA2AE4">
        <w:t>[c]ourt</w:t>
      </w:r>
      <w:r w:rsidR="00C64050">
        <w:t xml:space="preserve"> </w:t>
      </w:r>
      <w:r w:rsidRPr="00BA2AE4">
        <w:t>finds</w:t>
      </w:r>
      <w:r w:rsidR="00C64050">
        <w:t xml:space="preserve"> </w:t>
      </w:r>
      <w:r w:rsidRPr="00BA2AE4">
        <w:t>that</w:t>
      </w:r>
      <w:r w:rsidR="00C64050">
        <w:t xml:space="preserve"> </w:t>
      </w:r>
      <w:r w:rsidRPr="00BA2AE4">
        <w:t>Anil's</w:t>
      </w:r>
      <w:r w:rsidR="00C64050">
        <w:t xml:space="preserve"> </w:t>
      </w:r>
      <w:r w:rsidRPr="00BA2AE4">
        <w:t>[T]rust</w:t>
      </w:r>
      <w:r w:rsidR="00C64050">
        <w:t xml:space="preserve"> </w:t>
      </w:r>
      <w:r w:rsidRPr="00BA2AE4">
        <w:t>assets</w:t>
      </w:r>
      <w:r w:rsidR="00C64050">
        <w:t xml:space="preserve"> </w:t>
      </w:r>
      <w:r w:rsidRPr="00BA2AE4">
        <w:t>are</w:t>
      </w:r>
      <w:r w:rsidR="00C64050">
        <w:t xml:space="preserve"> </w:t>
      </w:r>
      <w:r w:rsidRPr="00BA2AE4">
        <w:t>not</w:t>
      </w:r>
      <w:r w:rsidR="00C64050">
        <w:t xml:space="preserve"> </w:t>
      </w:r>
      <w:r w:rsidRPr="00BA2AE4">
        <w:t>subject</w:t>
      </w:r>
      <w:r w:rsidR="00C64050">
        <w:t xml:space="preserve"> </w:t>
      </w:r>
      <w:r w:rsidRPr="00BA2AE4">
        <w:t>to</w:t>
      </w:r>
      <w:r w:rsidR="00C64050">
        <w:t xml:space="preserve"> </w:t>
      </w:r>
      <w:r w:rsidRPr="00BA2AE4">
        <w:t>Dipa's</w:t>
      </w:r>
      <w:r w:rsidR="00C64050">
        <w:t xml:space="preserve"> </w:t>
      </w:r>
      <w:r w:rsidRPr="00BA2AE4">
        <w:t>statutory</w:t>
      </w:r>
      <w:r w:rsidR="00C64050">
        <w:t xml:space="preserve"> </w:t>
      </w:r>
      <w:r w:rsidRPr="00BA2AE4">
        <w:t>elective</w:t>
      </w:r>
      <w:r w:rsidR="00C64050">
        <w:t xml:space="preserve"> </w:t>
      </w:r>
      <w:r w:rsidRPr="00BA2AE4">
        <w:t>share.</w:t>
      </w:r>
    </w:p>
    <w:p w:rsidR="00F32B17" w:rsidRDefault="00F32B17" w:rsidP="005420BF">
      <w:pPr>
        <w:pStyle w:val="Body15"/>
      </w:pPr>
      <w:r>
        <w:t>As</w:t>
      </w:r>
      <w:r w:rsidR="00C64050">
        <w:t xml:space="preserve"> </w:t>
      </w:r>
      <w:r>
        <w:t>stated,</w:t>
      </w:r>
      <w:r w:rsidR="00C64050">
        <w:t xml:space="preserve"> </w:t>
      </w:r>
      <w:r>
        <w:t>the</w:t>
      </w:r>
      <w:r w:rsidR="00C64050">
        <w:t xml:space="preserve"> </w:t>
      </w:r>
      <w:r>
        <w:t>trial</w:t>
      </w:r>
      <w:r w:rsidR="00C64050">
        <w:t xml:space="preserve"> </w:t>
      </w:r>
      <w:r>
        <w:t>court</w:t>
      </w:r>
      <w:r w:rsidR="00C64050">
        <w:t xml:space="preserve"> </w:t>
      </w:r>
      <w:r>
        <w:t>held</w:t>
      </w:r>
      <w:r w:rsidR="00C64050">
        <w:t xml:space="preserve"> </w:t>
      </w:r>
      <w:r>
        <w:t>the</w:t>
      </w:r>
      <w:r w:rsidR="00C64050">
        <w:t xml:space="preserve"> </w:t>
      </w:r>
      <w:r>
        <w:t>surviving</w:t>
      </w:r>
      <w:r w:rsidR="00C64050">
        <w:t xml:space="preserve"> </w:t>
      </w:r>
      <w:r>
        <w:t>spouse</w:t>
      </w:r>
      <w:r w:rsidR="00C64050">
        <w:t xml:space="preserve"> </w:t>
      </w:r>
      <w:r>
        <w:t>could</w:t>
      </w:r>
      <w:r w:rsidR="00C64050">
        <w:t xml:space="preserve"> </w:t>
      </w:r>
      <w:r>
        <w:rPr>
          <w:u w:val="single"/>
        </w:rPr>
        <w:t>not</w:t>
      </w:r>
      <w:r w:rsidR="00C64050">
        <w:t xml:space="preserve"> </w:t>
      </w:r>
      <w:r>
        <w:t>reach</w:t>
      </w:r>
      <w:r w:rsidR="00C64050">
        <w:t xml:space="preserve"> </w:t>
      </w:r>
      <w:r>
        <w:t>the</w:t>
      </w:r>
      <w:r w:rsidR="00C64050">
        <w:t xml:space="preserve"> </w:t>
      </w:r>
      <w:r>
        <w:t>revocable</w:t>
      </w:r>
      <w:r w:rsidR="00C64050">
        <w:t xml:space="preserve"> </w:t>
      </w:r>
      <w:r>
        <w:t>trust</w:t>
      </w:r>
      <w:r w:rsidR="00C64050">
        <w:t xml:space="preserve"> </w:t>
      </w:r>
      <w:r>
        <w:t>assets.</w:t>
      </w:r>
      <w:r w:rsidR="00C64050">
        <w:t xml:space="preserve">  </w:t>
      </w:r>
      <w:r>
        <w:t>The</w:t>
      </w:r>
      <w:r w:rsidR="00C64050">
        <w:t xml:space="preserve"> </w:t>
      </w:r>
      <w:r>
        <w:t>test</w:t>
      </w:r>
      <w:r w:rsidR="00C64050">
        <w:t xml:space="preserve"> </w:t>
      </w:r>
      <w:r>
        <w:t>in</w:t>
      </w:r>
      <w:r w:rsidR="00C64050">
        <w:t xml:space="preserve"> </w:t>
      </w:r>
      <w:r>
        <w:t>Indiana</w:t>
      </w:r>
      <w:r w:rsidR="00C64050">
        <w:t xml:space="preserve"> </w:t>
      </w:r>
      <w:r>
        <w:t>is</w:t>
      </w:r>
      <w:r w:rsidR="00C64050">
        <w:t xml:space="preserve"> </w:t>
      </w:r>
      <w:r>
        <w:t>intent:</w:t>
      </w:r>
      <w:r w:rsidR="00C64050">
        <w:t xml:space="preserve"> </w:t>
      </w:r>
      <w:r>
        <w:t>did</w:t>
      </w:r>
      <w:r w:rsidR="00C64050">
        <w:t xml:space="preserve"> </w:t>
      </w:r>
      <w:r>
        <w:t>the</w:t>
      </w:r>
      <w:r w:rsidR="00C64050">
        <w:t xml:space="preserve"> </w:t>
      </w:r>
      <w:r>
        <w:t>spouse</w:t>
      </w:r>
      <w:r w:rsidR="00C64050">
        <w:t xml:space="preserve"> </w:t>
      </w:r>
      <w:r>
        <w:t>fund</w:t>
      </w:r>
      <w:r w:rsidR="00C64050">
        <w:t xml:space="preserve"> </w:t>
      </w:r>
      <w:r>
        <w:t>the</w:t>
      </w:r>
      <w:r w:rsidR="00C64050">
        <w:t xml:space="preserve"> </w:t>
      </w:r>
      <w:r>
        <w:t>trust</w:t>
      </w:r>
      <w:r w:rsidR="00C64050">
        <w:t xml:space="preserve"> </w:t>
      </w:r>
      <w:r>
        <w:t>in</w:t>
      </w:r>
      <w:r w:rsidR="00C64050">
        <w:t xml:space="preserve"> </w:t>
      </w:r>
      <w:r>
        <w:t>contemplation</w:t>
      </w:r>
      <w:r w:rsidR="00C64050">
        <w:t xml:space="preserve"> </w:t>
      </w:r>
      <w:r>
        <w:t>of</w:t>
      </w:r>
      <w:r w:rsidR="00C64050">
        <w:t xml:space="preserve"> </w:t>
      </w:r>
      <w:r>
        <w:t>death</w:t>
      </w:r>
      <w:r w:rsidR="00C64050">
        <w:t xml:space="preserve"> </w:t>
      </w:r>
      <w:r>
        <w:t>to</w:t>
      </w:r>
      <w:r w:rsidR="00C64050">
        <w:t xml:space="preserve"> </w:t>
      </w:r>
      <w:r>
        <w:t>negate</w:t>
      </w:r>
      <w:r w:rsidR="00C64050">
        <w:t xml:space="preserve"> </w:t>
      </w:r>
      <w:r>
        <w:t>the</w:t>
      </w:r>
      <w:r w:rsidR="00C64050">
        <w:t xml:space="preserve"> </w:t>
      </w:r>
      <w:r>
        <w:t>other</w:t>
      </w:r>
      <w:r w:rsidR="00C64050">
        <w:t xml:space="preserve"> </w:t>
      </w:r>
      <w:r>
        <w:t>spouse’s</w:t>
      </w:r>
      <w:r w:rsidR="00C64050">
        <w:t xml:space="preserve"> </w:t>
      </w:r>
      <w:r>
        <w:t>rights.</w:t>
      </w:r>
      <w:r w:rsidR="00C64050">
        <w:t xml:space="preserve">  </w:t>
      </w:r>
      <w:r>
        <w:t>The</w:t>
      </w:r>
      <w:r w:rsidR="00C64050">
        <w:t xml:space="preserve"> </w:t>
      </w:r>
      <w:r>
        <w:t>opinion</w:t>
      </w:r>
      <w:r w:rsidR="00C64050">
        <w:t xml:space="preserve"> </w:t>
      </w:r>
      <w:r>
        <w:t>reviews</w:t>
      </w:r>
      <w:r w:rsidR="00C64050">
        <w:t xml:space="preserve"> </w:t>
      </w:r>
      <w:r>
        <w:t>the</w:t>
      </w:r>
      <w:r w:rsidR="00C64050">
        <w:t xml:space="preserve"> </w:t>
      </w:r>
      <w:r>
        <w:t>precedent:</w:t>
      </w:r>
    </w:p>
    <w:p w:rsidR="00BA2AE4" w:rsidRPr="00BA2AE4" w:rsidRDefault="00BA2AE4" w:rsidP="00BA2AE4">
      <w:pPr>
        <w:pStyle w:val="QS10"/>
        <w:rPr>
          <w:szCs w:val="20"/>
        </w:rPr>
      </w:pPr>
      <w:r w:rsidRPr="00BA2AE4">
        <w:rPr>
          <w:szCs w:val="20"/>
        </w:rPr>
        <w:t>Through</w:t>
      </w:r>
      <w:r w:rsidR="00C64050">
        <w:rPr>
          <w:szCs w:val="20"/>
        </w:rPr>
        <w:t xml:space="preserve"> </w:t>
      </w:r>
      <w:r w:rsidRPr="00BA2AE4">
        <w:rPr>
          <w:rStyle w:val="Emphasis"/>
          <w:szCs w:val="20"/>
        </w:rPr>
        <w:t>Leazenby</w:t>
      </w:r>
      <w:r w:rsidR="00C64050">
        <w:rPr>
          <w:rStyle w:val="Emphasis"/>
          <w:szCs w:val="20"/>
        </w:rPr>
        <w:t xml:space="preserve"> </w:t>
      </w:r>
      <w:r w:rsidRPr="00BA2AE4">
        <w:rPr>
          <w:rStyle w:val="Emphasis"/>
          <w:szCs w:val="20"/>
        </w:rPr>
        <w:t>v.</w:t>
      </w:r>
      <w:r w:rsidR="00C64050">
        <w:rPr>
          <w:rStyle w:val="Emphasis"/>
          <w:szCs w:val="20"/>
        </w:rPr>
        <w:t xml:space="preserve"> </w:t>
      </w:r>
      <w:r w:rsidRPr="00BA2AE4">
        <w:rPr>
          <w:rStyle w:val="Emphasis"/>
          <w:szCs w:val="20"/>
        </w:rPr>
        <w:t>Clinton</w:t>
      </w:r>
      <w:r w:rsidR="00C64050">
        <w:rPr>
          <w:rStyle w:val="Emphasis"/>
          <w:szCs w:val="20"/>
        </w:rPr>
        <w:t xml:space="preserve"> </w:t>
      </w:r>
      <w:r w:rsidRPr="00BA2AE4">
        <w:rPr>
          <w:rStyle w:val="Emphasis"/>
          <w:szCs w:val="20"/>
        </w:rPr>
        <w:t>Co.</w:t>
      </w:r>
      <w:r w:rsidR="00C64050">
        <w:rPr>
          <w:rStyle w:val="Emphasis"/>
          <w:szCs w:val="20"/>
        </w:rPr>
        <w:t xml:space="preserve"> </w:t>
      </w:r>
      <w:r w:rsidRPr="00BA2AE4">
        <w:rPr>
          <w:rStyle w:val="Emphasis"/>
          <w:szCs w:val="20"/>
        </w:rPr>
        <w:t>Bank</w:t>
      </w:r>
      <w:r w:rsidR="00C64050">
        <w:rPr>
          <w:rStyle w:val="Emphasis"/>
          <w:szCs w:val="20"/>
        </w:rPr>
        <w:t xml:space="preserve"> </w:t>
      </w:r>
      <w:r w:rsidRPr="00BA2AE4">
        <w:rPr>
          <w:rStyle w:val="Emphasis"/>
          <w:szCs w:val="20"/>
        </w:rPr>
        <w:t>&amp;</w:t>
      </w:r>
      <w:r w:rsidR="00C64050">
        <w:rPr>
          <w:rStyle w:val="Emphasis"/>
          <w:szCs w:val="20"/>
        </w:rPr>
        <w:t xml:space="preserve"> </w:t>
      </w:r>
      <w:r w:rsidRPr="00BA2AE4">
        <w:rPr>
          <w:rStyle w:val="Emphasis"/>
          <w:szCs w:val="20"/>
        </w:rPr>
        <w:t>Trust</w:t>
      </w:r>
      <w:r w:rsidRPr="00BA2AE4">
        <w:rPr>
          <w:szCs w:val="20"/>
        </w:rPr>
        <w:t>,</w:t>
      </w:r>
      <w:r w:rsidR="00C64050">
        <w:rPr>
          <w:szCs w:val="20"/>
        </w:rPr>
        <w:t xml:space="preserve"> </w:t>
      </w:r>
      <w:r w:rsidRPr="00BA2AE4">
        <w:rPr>
          <w:szCs w:val="20"/>
        </w:rPr>
        <w:t>171</w:t>
      </w:r>
      <w:r w:rsidR="00C64050">
        <w:rPr>
          <w:szCs w:val="20"/>
        </w:rPr>
        <w:t xml:space="preserve"> </w:t>
      </w:r>
      <w:r w:rsidRPr="00BA2AE4">
        <w:rPr>
          <w:szCs w:val="20"/>
        </w:rPr>
        <w:t>Ind.App.</w:t>
      </w:r>
      <w:r w:rsidR="00C64050">
        <w:rPr>
          <w:szCs w:val="20"/>
        </w:rPr>
        <w:t xml:space="preserve"> </w:t>
      </w:r>
      <w:r w:rsidRPr="00BA2AE4">
        <w:rPr>
          <w:szCs w:val="20"/>
        </w:rPr>
        <w:t>243,</w:t>
      </w:r>
      <w:r w:rsidR="00C64050">
        <w:rPr>
          <w:szCs w:val="20"/>
        </w:rPr>
        <w:t xml:space="preserve"> </w:t>
      </w:r>
      <w:r w:rsidRPr="00BA2AE4">
        <w:rPr>
          <w:szCs w:val="20"/>
        </w:rPr>
        <w:t>355</w:t>
      </w:r>
      <w:r w:rsidR="00C64050">
        <w:rPr>
          <w:szCs w:val="20"/>
        </w:rPr>
        <w:t xml:space="preserve"> </w:t>
      </w:r>
      <w:r w:rsidRPr="00BA2AE4">
        <w:rPr>
          <w:szCs w:val="20"/>
        </w:rPr>
        <w:t>N.E.2d</w:t>
      </w:r>
      <w:r w:rsidR="00C64050">
        <w:rPr>
          <w:szCs w:val="20"/>
        </w:rPr>
        <w:t xml:space="preserve"> </w:t>
      </w:r>
      <w:r w:rsidRPr="00BA2AE4">
        <w:rPr>
          <w:szCs w:val="20"/>
        </w:rPr>
        <w:t>861</w:t>
      </w:r>
      <w:r w:rsidR="00C64050">
        <w:rPr>
          <w:szCs w:val="20"/>
        </w:rPr>
        <w:t xml:space="preserve"> </w:t>
      </w:r>
      <w:r w:rsidRPr="00BA2AE4">
        <w:rPr>
          <w:szCs w:val="20"/>
        </w:rPr>
        <w:t>(1976)</w:t>
      </w:r>
      <w:r w:rsidR="00C64050">
        <w:rPr>
          <w:szCs w:val="20"/>
        </w:rPr>
        <w:t xml:space="preserve"> </w:t>
      </w:r>
      <w:r w:rsidRPr="00BA2AE4">
        <w:rPr>
          <w:szCs w:val="20"/>
        </w:rPr>
        <w:t>and</w:t>
      </w:r>
      <w:r w:rsidR="00C64050">
        <w:rPr>
          <w:szCs w:val="20"/>
        </w:rPr>
        <w:t xml:space="preserve"> </w:t>
      </w:r>
      <w:r w:rsidRPr="00BA2AE4">
        <w:rPr>
          <w:szCs w:val="20"/>
        </w:rPr>
        <w:t>its</w:t>
      </w:r>
      <w:r w:rsidR="00C64050">
        <w:rPr>
          <w:szCs w:val="20"/>
        </w:rPr>
        <w:t xml:space="preserve"> </w:t>
      </w:r>
      <w:r w:rsidRPr="00BA2AE4">
        <w:rPr>
          <w:szCs w:val="20"/>
        </w:rPr>
        <w:t>progeny,</w:t>
      </w:r>
      <w:r w:rsidR="00C64050">
        <w:rPr>
          <w:szCs w:val="20"/>
        </w:rPr>
        <w:t xml:space="preserve"> </w:t>
      </w:r>
      <w:r w:rsidRPr="00BA2AE4">
        <w:rPr>
          <w:szCs w:val="20"/>
        </w:rPr>
        <w:t>Indiana</w:t>
      </w:r>
      <w:r w:rsidR="00C64050">
        <w:rPr>
          <w:szCs w:val="20"/>
        </w:rPr>
        <w:t xml:space="preserve"> </w:t>
      </w:r>
      <w:r w:rsidRPr="00BA2AE4">
        <w:rPr>
          <w:szCs w:val="20"/>
        </w:rPr>
        <w:t>precedents</w:t>
      </w:r>
      <w:r w:rsidR="00C64050">
        <w:rPr>
          <w:szCs w:val="20"/>
        </w:rPr>
        <w:t xml:space="preserve"> </w:t>
      </w:r>
      <w:r w:rsidRPr="00BA2AE4">
        <w:rPr>
          <w:szCs w:val="20"/>
        </w:rPr>
        <w:t>have</w:t>
      </w:r>
      <w:r w:rsidR="00C64050">
        <w:rPr>
          <w:szCs w:val="20"/>
        </w:rPr>
        <w:t xml:space="preserve"> </w:t>
      </w:r>
      <w:r w:rsidRPr="00BA2AE4">
        <w:rPr>
          <w:szCs w:val="20"/>
        </w:rPr>
        <w:t>shaped</w:t>
      </w:r>
      <w:r w:rsidR="00C64050">
        <w:rPr>
          <w:szCs w:val="20"/>
        </w:rPr>
        <w:t xml:space="preserve"> </w:t>
      </w:r>
      <w:r w:rsidRPr="00BA2AE4">
        <w:rPr>
          <w:szCs w:val="20"/>
        </w:rPr>
        <w:t>the</w:t>
      </w:r>
      <w:r w:rsidR="00C64050">
        <w:rPr>
          <w:szCs w:val="20"/>
        </w:rPr>
        <w:t xml:space="preserve"> </w:t>
      </w:r>
      <w:r w:rsidRPr="00BA2AE4">
        <w:rPr>
          <w:szCs w:val="20"/>
        </w:rPr>
        <w:t>conditions</w:t>
      </w:r>
      <w:r w:rsidR="00C64050">
        <w:rPr>
          <w:szCs w:val="20"/>
        </w:rPr>
        <w:t xml:space="preserve"> </w:t>
      </w:r>
      <w:r w:rsidRPr="00BA2AE4">
        <w:rPr>
          <w:szCs w:val="20"/>
        </w:rPr>
        <w:t>in</w:t>
      </w:r>
      <w:r w:rsidR="00C64050">
        <w:rPr>
          <w:szCs w:val="20"/>
        </w:rPr>
        <w:t xml:space="preserve"> </w:t>
      </w:r>
      <w:r w:rsidRPr="00BA2AE4">
        <w:rPr>
          <w:szCs w:val="20"/>
        </w:rPr>
        <w:t>which</w:t>
      </w:r>
      <w:r w:rsidR="00C64050">
        <w:rPr>
          <w:szCs w:val="20"/>
        </w:rPr>
        <w:t xml:space="preserve"> </w:t>
      </w:r>
      <w:r w:rsidRPr="00BA2AE4">
        <w:rPr>
          <w:szCs w:val="20"/>
        </w:rPr>
        <w:t>a</w:t>
      </w:r>
      <w:r w:rsidR="00C64050">
        <w:rPr>
          <w:szCs w:val="20"/>
        </w:rPr>
        <w:t xml:space="preserve"> </w:t>
      </w:r>
      <w:r w:rsidRPr="00BA2AE4">
        <w:rPr>
          <w:szCs w:val="20"/>
        </w:rPr>
        <w:t>surviving</w:t>
      </w:r>
      <w:r w:rsidR="00C64050">
        <w:rPr>
          <w:szCs w:val="20"/>
        </w:rPr>
        <w:t xml:space="preserve"> </w:t>
      </w:r>
      <w:r w:rsidRPr="00BA2AE4">
        <w:rPr>
          <w:szCs w:val="20"/>
        </w:rPr>
        <w:t>spouse</w:t>
      </w:r>
      <w:r w:rsidR="00C64050">
        <w:rPr>
          <w:szCs w:val="20"/>
        </w:rPr>
        <w:t xml:space="preserve"> </w:t>
      </w:r>
      <w:r w:rsidRPr="00BA2AE4">
        <w:rPr>
          <w:szCs w:val="20"/>
        </w:rPr>
        <w:t>may</w:t>
      </w:r>
      <w:r w:rsidR="00C64050">
        <w:rPr>
          <w:szCs w:val="20"/>
        </w:rPr>
        <w:t xml:space="preserve"> </w:t>
      </w:r>
      <w:r w:rsidRPr="00BA2AE4">
        <w:rPr>
          <w:szCs w:val="20"/>
        </w:rPr>
        <w:t>reach</w:t>
      </w:r>
      <w:r w:rsidR="00C64050">
        <w:rPr>
          <w:szCs w:val="20"/>
        </w:rPr>
        <w:t xml:space="preserve"> </w:t>
      </w:r>
      <w:r w:rsidRPr="00BA2AE4">
        <w:rPr>
          <w:szCs w:val="20"/>
        </w:rPr>
        <w:t>beyond</w:t>
      </w:r>
      <w:r w:rsidR="00C64050">
        <w:rPr>
          <w:szCs w:val="20"/>
        </w:rPr>
        <w:t xml:space="preserve"> </w:t>
      </w:r>
      <w:r w:rsidRPr="00BA2AE4">
        <w:rPr>
          <w:szCs w:val="20"/>
        </w:rPr>
        <w:t>the</w:t>
      </w:r>
      <w:r w:rsidR="00C64050">
        <w:rPr>
          <w:szCs w:val="20"/>
        </w:rPr>
        <w:t xml:space="preserve"> </w:t>
      </w:r>
      <w:r w:rsidRPr="00BA2AE4">
        <w:rPr>
          <w:szCs w:val="20"/>
        </w:rPr>
        <w:t>will</w:t>
      </w:r>
      <w:r w:rsidR="00C64050">
        <w:rPr>
          <w:szCs w:val="20"/>
        </w:rPr>
        <w:t xml:space="preserve"> </w:t>
      </w:r>
      <w:r w:rsidRPr="00BA2AE4">
        <w:rPr>
          <w:szCs w:val="20"/>
        </w:rPr>
        <w:t>into</w:t>
      </w:r>
      <w:r w:rsidR="00C64050">
        <w:rPr>
          <w:szCs w:val="20"/>
        </w:rPr>
        <w:t xml:space="preserve"> </w:t>
      </w:r>
      <w:r w:rsidRPr="00BA2AE4">
        <w:rPr>
          <w:szCs w:val="20"/>
        </w:rPr>
        <w:t>a</w:t>
      </w:r>
      <w:r w:rsidR="00C64050">
        <w:rPr>
          <w:szCs w:val="20"/>
        </w:rPr>
        <w:t xml:space="preserve"> </w:t>
      </w:r>
      <w:r w:rsidRPr="00BA2AE4">
        <w:rPr>
          <w:szCs w:val="20"/>
        </w:rPr>
        <w:t>valid</w:t>
      </w:r>
      <w:r w:rsidR="00C64050">
        <w:rPr>
          <w:szCs w:val="20"/>
        </w:rPr>
        <w:t xml:space="preserve"> </w:t>
      </w:r>
      <w:r w:rsidRPr="00BA2AE4">
        <w:rPr>
          <w:rStyle w:val="Emphasis"/>
          <w:szCs w:val="20"/>
        </w:rPr>
        <w:t>inter</w:t>
      </w:r>
      <w:r w:rsidR="00C64050">
        <w:rPr>
          <w:rStyle w:val="Emphasis"/>
          <w:szCs w:val="20"/>
        </w:rPr>
        <w:t xml:space="preserve"> </w:t>
      </w:r>
      <w:r w:rsidRPr="00BA2AE4">
        <w:rPr>
          <w:rStyle w:val="Emphasis"/>
          <w:szCs w:val="20"/>
        </w:rPr>
        <w:t>vivos</w:t>
      </w:r>
      <w:r w:rsidR="00C64050">
        <w:rPr>
          <w:szCs w:val="20"/>
        </w:rPr>
        <w:t xml:space="preserve"> </w:t>
      </w:r>
      <w:r w:rsidRPr="00BA2AE4">
        <w:rPr>
          <w:szCs w:val="20"/>
        </w:rPr>
        <w:t>trust</w:t>
      </w:r>
      <w:r w:rsidR="00C64050">
        <w:rPr>
          <w:szCs w:val="20"/>
        </w:rPr>
        <w:t xml:space="preserve"> </w:t>
      </w:r>
      <w:r w:rsidRPr="00BA2AE4">
        <w:rPr>
          <w:szCs w:val="20"/>
        </w:rPr>
        <w:t>to</w:t>
      </w:r>
      <w:r w:rsidR="00C64050">
        <w:rPr>
          <w:szCs w:val="20"/>
        </w:rPr>
        <w:t xml:space="preserve"> </w:t>
      </w:r>
      <w:r w:rsidRPr="00BA2AE4">
        <w:rPr>
          <w:szCs w:val="20"/>
        </w:rPr>
        <w:t>satisfy</w:t>
      </w:r>
      <w:r w:rsidR="00C64050">
        <w:rPr>
          <w:szCs w:val="20"/>
        </w:rPr>
        <w:t xml:space="preserve"> </w:t>
      </w:r>
      <w:r w:rsidRPr="00BA2AE4">
        <w:rPr>
          <w:szCs w:val="20"/>
        </w:rPr>
        <w:t>the</w:t>
      </w:r>
      <w:r w:rsidR="00C64050">
        <w:rPr>
          <w:szCs w:val="20"/>
        </w:rPr>
        <w:t xml:space="preserve"> </w:t>
      </w:r>
      <w:r w:rsidRPr="00BA2AE4">
        <w:rPr>
          <w:szCs w:val="20"/>
        </w:rPr>
        <w:t>statutory</w:t>
      </w:r>
      <w:r w:rsidR="00C64050">
        <w:rPr>
          <w:szCs w:val="20"/>
        </w:rPr>
        <w:t xml:space="preserve"> </w:t>
      </w:r>
      <w:r w:rsidRPr="00BA2AE4">
        <w:rPr>
          <w:szCs w:val="20"/>
        </w:rPr>
        <w:t>elective</w:t>
      </w:r>
      <w:r w:rsidR="00C64050">
        <w:rPr>
          <w:szCs w:val="20"/>
        </w:rPr>
        <w:t xml:space="preserve"> </w:t>
      </w:r>
      <w:r w:rsidRPr="00BA2AE4">
        <w:rPr>
          <w:szCs w:val="20"/>
        </w:rPr>
        <w:t>right</w:t>
      </w:r>
      <w:r w:rsidR="00C64050">
        <w:rPr>
          <w:szCs w:val="20"/>
        </w:rPr>
        <w:t xml:space="preserve"> </w:t>
      </w:r>
      <w:r w:rsidRPr="00BA2AE4">
        <w:rPr>
          <w:szCs w:val="20"/>
        </w:rPr>
        <w:t>when</w:t>
      </w:r>
      <w:r w:rsidR="00C64050">
        <w:rPr>
          <w:szCs w:val="20"/>
        </w:rPr>
        <w:t xml:space="preserve"> </w:t>
      </w:r>
      <w:r w:rsidRPr="00BA2AE4">
        <w:rPr>
          <w:szCs w:val="20"/>
        </w:rPr>
        <w:t>faced</w:t>
      </w:r>
      <w:r w:rsidR="00C64050">
        <w:rPr>
          <w:szCs w:val="20"/>
        </w:rPr>
        <w:t xml:space="preserve"> </w:t>
      </w:r>
      <w:r w:rsidRPr="00BA2AE4">
        <w:rPr>
          <w:szCs w:val="20"/>
        </w:rPr>
        <w:t>with</w:t>
      </w:r>
      <w:r w:rsidR="00C64050">
        <w:rPr>
          <w:szCs w:val="20"/>
        </w:rPr>
        <w:t xml:space="preserve"> </w:t>
      </w:r>
      <w:r w:rsidRPr="00BA2AE4">
        <w:rPr>
          <w:szCs w:val="20"/>
        </w:rPr>
        <w:t>insufficient</w:t>
      </w:r>
      <w:r w:rsidR="00C64050">
        <w:rPr>
          <w:szCs w:val="20"/>
        </w:rPr>
        <w:t xml:space="preserve"> </w:t>
      </w:r>
      <w:r w:rsidRPr="00BA2AE4">
        <w:rPr>
          <w:szCs w:val="20"/>
        </w:rPr>
        <w:t>probate</w:t>
      </w:r>
      <w:r w:rsidR="00C64050">
        <w:rPr>
          <w:szCs w:val="20"/>
        </w:rPr>
        <w:t xml:space="preserve"> </w:t>
      </w:r>
      <w:r w:rsidRPr="00BA2AE4">
        <w:rPr>
          <w:szCs w:val="20"/>
        </w:rPr>
        <w:t>assets.</w:t>
      </w:r>
    </w:p>
    <w:p w:rsidR="00BA2AE4" w:rsidRPr="00BA2AE4" w:rsidRDefault="00BA2AE4" w:rsidP="00BA2AE4">
      <w:pPr>
        <w:pStyle w:val="QS10"/>
        <w:rPr>
          <w:szCs w:val="20"/>
        </w:rPr>
      </w:pPr>
      <w:r w:rsidRPr="00BA2AE4">
        <w:rPr>
          <w:szCs w:val="20"/>
        </w:rPr>
        <w:t>In</w:t>
      </w:r>
      <w:r w:rsidR="00C64050">
        <w:rPr>
          <w:szCs w:val="20"/>
        </w:rPr>
        <w:t xml:space="preserve"> </w:t>
      </w:r>
      <w:hyperlink r:id="rId425" w:history="1">
        <w:r w:rsidRPr="00BA2AE4">
          <w:rPr>
            <w:rStyle w:val="Emphasis"/>
            <w:szCs w:val="20"/>
          </w:rPr>
          <w:t>Leazenby</w:t>
        </w:r>
      </w:hyperlink>
      <w:r w:rsidRPr="00BA2AE4">
        <w:rPr>
          <w:szCs w:val="20"/>
        </w:rPr>
        <w:t>,</w:t>
      </w:r>
      <w:r w:rsidR="00C64050">
        <w:rPr>
          <w:szCs w:val="20"/>
        </w:rPr>
        <w:t xml:space="preserve"> </w:t>
      </w:r>
      <w:r w:rsidRPr="00BA2AE4">
        <w:rPr>
          <w:szCs w:val="20"/>
        </w:rPr>
        <w:t>we</w:t>
      </w:r>
      <w:r w:rsidR="00C64050">
        <w:rPr>
          <w:szCs w:val="20"/>
        </w:rPr>
        <w:t xml:space="preserve"> </w:t>
      </w:r>
      <w:r w:rsidRPr="00BA2AE4">
        <w:rPr>
          <w:szCs w:val="20"/>
        </w:rPr>
        <w:t>held</w:t>
      </w:r>
      <w:r w:rsidR="00C64050">
        <w:rPr>
          <w:szCs w:val="20"/>
        </w:rPr>
        <w:t xml:space="preserve"> </w:t>
      </w:r>
      <w:r w:rsidRPr="00BA2AE4">
        <w:rPr>
          <w:szCs w:val="20"/>
        </w:rPr>
        <w:t>that</w:t>
      </w:r>
      <w:r w:rsidR="00C64050">
        <w:rPr>
          <w:szCs w:val="20"/>
        </w:rPr>
        <w:t xml:space="preserve"> </w:t>
      </w:r>
      <w:r w:rsidRPr="00BA2AE4">
        <w:rPr>
          <w:szCs w:val="20"/>
        </w:rPr>
        <w:t>an</w:t>
      </w:r>
      <w:r w:rsidR="00C64050">
        <w:rPr>
          <w:szCs w:val="20"/>
        </w:rPr>
        <w:t xml:space="preserve"> </w:t>
      </w:r>
      <w:r w:rsidRPr="00BA2AE4">
        <w:rPr>
          <w:rStyle w:val="Emphasis"/>
          <w:szCs w:val="20"/>
        </w:rPr>
        <w:t>inter</w:t>
      </w:r>
      <w:r w:rsidR="00C64050">
        <w:rPr>
          <w:rStyle w:val="Emphasis"/>
          <w:szCs w:val="20"/>
        </w:rPr>
        <w:t xml:space="preserve"> </w:t>
      </w:r>
      <w:r w:rsidRPr="00BA2AE4">
        <w:rPr>
          <w:rStyle w:val="Emphasis"/>
          <w:szCs w:val="20"/>
        </w:rPr>
        <w:t>vivos</w:t>
      </w:r>
      <w:r w:rsidR="00C64050">
        <w:rPr>
          <w:szCs w:val="20"/>
        </w:rPr>
        <w:t xml:space="preserve"> </w:t>
      </w:r>
      <w:r w:rsidRPr="00BA2AE4">
        <w:rPr>
          <w:szCs w:val="20"/>
        </w:rPr>
        <w:t>trust</w:t>
      </w:r>
      <w:r w:rsidR="00C64050">
        <w:rPr>
          <w:szCs w:val="20"/>
        </w:rPr>
        <w:t xml:space="preserve"> </w:t>
      </w:r>
      <w:r w:rsidRPr="00BA2AE4">
        <w:rPr>
          <w:szCs w:val="20"/>
        </w:rPr>
        <w:t>established</w:t>
      </w:r>
      <w:r w:rsidR="00C64050">
        <w:rPr>
          <w:szCs w:val="20"/>
        </w:rPr>
        <w:t xml:space="preserve"> </w:t>
      </w:r>
      <w:r w:rsidRPr="00BA2AE4">
        <w:rPr>
          <w:szCs w:val="20"/>
        </w:rPr>
        <w:t>by</w:t>
      </w:r>
      <w:r w:rsidR="00C64050">
        <w:rPr>
          <w:szCs w:val="20"/>
        </w:rPr>
        <w:t xml:space="preserve"> </w:t>
      </w:r>
      <w:r w:rsidRPr="00BA2AE4">
        <w:rPr>
          <w:szCs w:val="20"/>
        </w:rPr>
        <w:t>a</w:t>
      </w:r>
      <w:r w:rsidR="00C64050">
        <w:rPr>
          <w:szCs w:val="20"/>
        </w:rPr>
        <w:t xml:space="preserve"> </w:t>
      </w:r>
      <w:r w:rsidRPr="00BA2AE4">
        <w:rPr>
          <w:szCs w:val="20"/>
        </w:rPr>
        <w:t>wife</w:t>
      </w:r>
      <w:r w:rsidR="00C64050">
        <w:rPr>
          <w:szCs w:val="20"/>
        </w:rPr>
        <w:t xml:space="preserve"> </w:t>
      </w:r>
      <w:r w:rsidRPr="00BA2AE4">
        <w:rPr>
          <w:szCs w:val="20"/>
        </w:rPr>
        <w:t>successfully</w:t>
      </w:r>
      <w:r w:rsidR="00C64050">
        <w:rPr>
          <w:szCs w:val="20"/>
        </w:rPr>
        <w:t xml:space="preserve"> </w:t>
      </w:r>
      <w:r w:rsidRPr="00BA2AE4">
        <w:rPr>
          <w:szCs w:val="20"/>
        </w:rPr>
        <w:t>transferred</w:t>
      </w:r>
      <w:r w:rsidR="00C64050">
        <w:rPr>
          <w:szCs w:val="20"/>
        </w:rPr>
        <w:t xml:space="preserve"> </w:t>
      </w:r>
      <w:r w:rsidRPr="00BA2AE4">
        <w:rPr>
          <w:szCs w:val="20"/>
        </w:rPr>
        <w:t>her</w:t>
      </w:r>
      <w:r w:rsidR="00C64050">
        <w:rPr>
          <w:szCs w:val="20"/>
        </w:rPr>
        <w:t xml:space="preserve"> </w:t>
      </w:r>
      <w:r w:rsidRPr="00BA2AE4">
        <w:rPr>
          <w:szCs w:val="20"/>
        </w:rPr>
        <w:t>property</w:t>
      </w:r>
      <w:r w:rsidR="00C64050">
        <w:rPr>
          <w:szCs w:val="20"/>
        </w:rPr>
        <w:t xml:space="preserve"> </w:t>
      </w:r>
      <w:r w:rsidRPr="00BA2AE4">
        <w:rPr>
          <w:szCs w:val="20"/>
        </w:rPr>
        <w:t>and</w:t>
      </w:r>
      <w:r w:rsidR="00C64050">
        <w:rPr>
          <w:szCs w:val="20"/>
        </w:rPr>
        <w:t xml:space="preserve"> </w:t>
      </w:r>
      <w:r w:rsidRPr="00BA2AE4">
        <w:rPr>
          <w:szCs w:val="20"/>
        </w:rPr>
        <w:t>removed</w:t>
      </w:r>
      <w:r w:rsidR="00C64050">
        <w:rPr>
          <w:szCs w:val="20"/>
        </w:rPr>
        <w:t xml:space="preserve"> </w:t>
      </w:r>
      <w:r w:rsidRPr="00BA2AE4">
        <w:rPr>
          <w:szCs w:val="20"/>
        </w:rPr>
        <w:t>it</w:t>
      </w:r>
      <w:r w:rsidR="00C64050">
        <w:rPr>
          <w:szCs w:val="20"/>
        </w:rPr>
        <w:t xml:space="preserve"> </w:t>
      </w:r>
      <w:r w:rsidRPr="00BA2AE4">
        <w:rPr>
          <w:szCs w:val="20"/>
        </w:rPr>
        <w:t>from</w:t>
      </w:r>
      <w:r w:rsidR="00C64050">
        <w:rPr>
          <w:szCs w:val="20"/>
        </w:rPr>
        <w:t xml:space="preserve"> </w:t>
      </w:r>
      <w:r w:rsidRPr="00BA2AE4">
        <w:rPr>
          <w:szCs w:val="20"/>
        </w:rPr>
        <w:t>the</w:t>
      </w:r>
      <w:r w:rsidR="00C64050">
        <w:rPr>
          <w:szCs w:val="20"/>
        </w:rPr>
        <w:t xml:space="preserve"> </w:t>
      </w:r>
      <w:r w:rsidRPr="00BA2AE4">
        <w:rPr>
          <w:szCs w:val="20"/>
        </w:rPr>
        <w:t>estate,</w:t>
      </w:r>
      <w:r w:rsidR="00C64050">
        <w:rPr>
          <w:szCs w:val="20"/>
        </w:rPr>
        <w:t xml:space="preserve"> </w:t>
      </w:r>
      <w:r w:rsidRPr="00BA2AE4">
        <w:rPr>
          <w:szCs w:val="20"/>
        </w:rPr>
        <w:t>thereby</w:t>
      </w:r>
      <w:r w:rsidR="00C64050">
        <w:rPr>
          <w:szCs w:val="20"/>
        </w:rPr>
        <w:t xml:space="preserve"> </w:t>
      </w:r>
      <w:r w:rsidRPr="00BA2AE4">
        <w:rPr>
          <w:szCs w:val="20"/>
        </w:rPr>
        <w:t>in</w:t>
      </w:r>
      <w:r w:rsidR="00C64050">
        <w:rPr>
          <w:szCs w:val="20"/>
        </w:rPr>
        <w:t xml:space="preserve"> </w:t>
      </w:r>
      <w:r w:rsidRPr="00BA2AE4">
        <w:rPr>
          <w:szCs w:val="20"/>
        </w:rPr>
        <w:t>effect</w:t>
      </w:r>
      <w:r w:rsidR="00C64050">
        <w:rPr>
          <w:szCs w:val="20"/>
        </w:rPr>
        <w:t xml:space="preserve"> </w:t>
      </w:r>
      <w:r w:rsidRPr="00BA2AE4">
        <w:rPr>
          <w:szCs w:val="20"/>
        </w:rPr>
        <w:t>defeating</w:t>
      </w:r>
      <w:r w:rsidR="00C64050">
        <w:rPr>
          <w:szCs w:val="20"/>
        </w:rPr>
        <w:t xml:space="preserve"> </w:t>
      </w:r>
      <w:r w:rsidRPr="00BA2AE4">
        <w:rPr>
          <w:szCs w:val="20"/>
        </w:rPr>
        <w:t>her</w:t>
      </w:r>
      <w:r w:rsidR="00C64050">
        <w:rPr>
          <w:szCs w:val="20"/>
        </w:rPr>
        <w:t xml:space="preserve"> </w:t>
      </w:r>
      <w:r w:rsidRPr="00BA2AE4">
        <w:rPr>
          <w:szCs w:val="20"/>
        </w:rPr>
        <w:t>husband's</w:t>
      </w:r>
      <w:r w:rsidR="00C64050">
        <w:rPr>
          <w:szCs w:val="20"/>
        </w:rPr>
        <w:t xml:space="preserve"> </w:t>
      </w:r>
      <w:r w:rsidRPr="00BA2AE4">
        <w:rPr>
          <w:szCs w:val="20"/>
        </w:rPr>
        <w:t>interest</w:t>
      </w:r>
      <w:r w:rsidR="00C64050">
        <w:rPr>
          <w:szCs w:val="20"/>
        </w:rPr>
        <w:t xml:space="preserve"> </w:t>
      </w:r>
      <w:r w:rsidRPr="00BA2AE4">
        <w:rPr>
          <w:szCs w:val="20"/>
        </w:rPr>
        <w:t>in</w:t>
      </w:r>
      <w:r w:rsidR="00C64050">
        <w:rPr>
          <w:szCs w:val="20"/>
        </w:rPr>
        <w:t xml:space="preserve"> </w:t>
      </w:r>
      <w:r w:rsidRPr="00BA2AE4">
        <w:rPr>
          <w:szCs w:val="20"/>
        </w:rPr>
        <w:t>his</w:t>
      </w:r>
      <w:r w:rsidR="00C64050">
        <w:rPr>
          <w:szCs w:val="20"/>
        </w:rPr>
        <w:t xml:space="preserve"> </w:t>
      </w:r>
      <w:r w:rsidRPr="00BA2AE4">
        <w:rPr>
          <w:szCs w:val="20"/>
        </w:rPr>
        <w:t>statutory</w:t>
      </w:r>
      <w:r w:rsidR="00C64050">
        <w:rPr>
          <w:szCs w:val="20"/>
        </w:rPr>
        <w:t xml:space="preserve"> </w:t>
      </w:r>
      <w:r w:rsidRPr="00BA2AE4">
        <w:rPr>
          <w:szCs w:val="20"/>
        </w:rPr>
        <w:t>elective</w:t>
      </w:r>
      <w:r w:rsidR="00C64050">
        <w:rPr>
          <w:szCs w:val="20"/>
        </w:rPr>
        <w:t xml:space="preserve"> </w:t>
      </w:r>
      <w:r w:rsidRPr="00BA2AE4">
        <w:rPr>
          <w:szCs w:val="20"/>
        </w:rPr>
        <w:t>share.</w:t>
      </w:r>
      <w:r w:rsidR="00C64050">
        <w:rPr>
          <w:szCs w:val="20"/>
        </w:rPr>
        <w:t xml:space="preserve"> </w:t>
      </w:r>
      <w:r w:rsidRPr="00BA2AE4">
        <w:rPr>
          <w:rStyle w:val="Emphasis"/>
          <w:szCs w:val="20"/>
        </w:rPr>
        <w:t>Id.</w:t>
      </w:r>
      <w:r w:rsidR="00C64050">
        <w:rPr>
          <w:szCs w:val="20"/>
        </w:rPr>
        <w:t xml:space="preserve"> </w:t>
      </w:r>
      <w:r w:rsidRPr="00BA2AE4">
        <w:rPr>
          <w:szCs w:val="20"/>
        </w:rPr>
        <w:t>at</w:t>
      </w:r>
      <w:r w:rsidR="00C64050">
        <w:rPr>
          <w:szCs w:val="20"/>
        </w:rPr>
        <w:t xml:space="preserve"> </w:t>
      </w:r>
      <w:r w:rsidRPr="00BA2AE4">
        <w:rPr>
          <w:szCs w:val="20"/>
        </w:rPr>
        <w:t>866.</w:t>
      </w:r>
      <w:r w:rsidR="00C64050">
        <w:rPr>
          <w:szCs w:val="20"/>
        </w:rPr>
        <w:t xml:space="preserve"> </w:t>
      </w:r>
      <w:r w:rsidRPr="00BA2AE4">
        <w:rPr>
          <w:szCs w:val="20"/>
        </w:rPr>
        <w:t>We</w:t>
      </w:r>
      <w:r w:rsidR="00C64050">
        <w:rPr>
          <w:szCs w:val="20"/>
        </w:rPr>
        <w:t xml:space="preserve"> </w:t>
      </w:r>
      <w:r w:rsidRPr="00BA2AE4">
        <w:rPr>
          <w:szCs w:val="20"/>
        </w:rPr>
        <w:t>reached</w:t>
      </w:r>
      <w:r w:rsidR="00C64050">
        <w:rPr>
          <w:szCs w:val="20"/>
        </w:rPr>
        <w:t xml:space="preserve"> </w:t>
      </w:r>
      <w:r w:rsidRPr="00BA2AE4">
        <w:rPr>
          <w:szCs w:val="20"/>
        </w:rPr>
        <w:t>this</w:t>
      </w:r>
      <w:r w:rsidR="00C64050">
        <w:rPr>
          <w:szCs w:val="20"/>
        </w:rPr>
        <w:t xml:space="preserve"> </w:t>
      </w:r>
      <w:r w:rsidRPr="00BA2AE4">
        <w:rPr>
          <w:szCs w:val="20"/>
        </w:rPr>
        <w:t>conclusion</w:t>
      </w:r>
      <w:r w:rsidR="00C64050">
        <w:rPr>
          <w:szCs w:val="20"/>
        </w:rPr>
        <w:t xml:space="preserve"> </w:t>
      </w:r>
      <w:r w:rsidRPr="00BA2AE4">
        <w:rPr>
          <w:szCs w:val="20"/>
        </w:rPr>
        <w:t>by</w:t>
      </w:r>
      <w:r w:rsidR="00C64050">
        <w:rPr>
          <w:szCs w:val="20"/>
        </w:rPr>
        <w:t xml:space="preserve"> </w:t>
      </w:r>
      <w:r w:rsidRPr="00BA2AE4">
        <w:rPr>
          <w:szCs w:val="20"/>
        </w:rPr>
        <w:t>recognizing</w:t>
      </w:r>
      <w:r w:rsidR="00C64050">
        <w:rPr>
          <w:szCs w:val="20"/>
        </w:rPr>
        <w:t xml:space="preserve"> </w:t>
      </w:r>
      <w:r w:rsidRPr="00BA2AE4">
        <w:rPr>
          <w:szCs w:val="20"/>
        </w:rPr>
        <w:t>that</w:t>
      </w:r>
      <w:r w:rsidR="00C64050">
        <w:rPr>
          <w:szCs w:val="20"/>
        </w:rPr>
        <w:t xml:space="preserve"> </w:t>
      </w:r>
      <w:r w:rsidRPr="00BA2AE4">
        <w:rPr>
          <w:szCs w:val="20"/>
        </w:rPr>
        <w:t>a</w:t>
      </w:r>
      <w:r w:rsidR="00C64050">
        <w:rPr>
          <w:szCs w:val="20"/>
        </w:rPr>
        <w:t xml:space="preserve"> </w:t>
      </w:r>
      <w:r w:rsidRPr="00BA2AE4">
        <w:rPr>
          <w:szCs w:val="20"/>
        </w:rPr>
        <w:t>transfer</w:t>
      </w:r>
      <w:r w:rsidR="00C64050">
        <w:rPr>
          <w:szCs w:val="20"/>
        </w:rPr>
        <w:t xml:space="preserve"> </w:t>
      </w:r>
      <w:r w:rsidRPr="00BA2AE4">
        <w:rPr>
          <w:szCs w:val="20"/>
        </w:rPr>
        <w:t>solely</w:t>
      </w:r>
      <w:r w:rsidR="00C64050">
        <w:rPr>
          <w:szCs w:val="20"/>
        </w:rPr>
        <w:t xml:space="preserve"> </w:t>
      </w:r>
      <w:r w:rsidRPr="00BA2AE4">
        <w:rPr>
          <w:szCs w:val="20"/>
        </w:rPr>
        <w:t>for</w:t>
      </w:r>
      <w:r w:rsidR="00C64050">
        <w:rPr>
          <w:szCs w:val="20"/>
        </w:rPr>
        <w:t xml:space="preserve"> </w:t>
      </w:r>
      <w:r w:rsidRPr="00BA2AE4">
        <w:rPr>
          <w:szCs w:val="20"/>
        </w:rPr>
        <w:t>the</w:t>
      </w:r>
      <w:r w:rsidR="00C64050">
        <w:rPr>
          <w:szCs w:val="20"/>
        </w:rPr>
        <w:t xml:space="preserve"> </w:t>
      </w:r>
      <w:r w:rsidRPr="00BA2AE4">
        <w:rPr>
          <w:szCs w:val="20"/>
        </w:rPr>
        <w:t>purpose</w:t>
      </w:r>
      <w:r w:rsidR="00C64050">
        <w:rPr>
          <w:szCs w:val="20"/>
        </w:rPr>
        <w:t xml:space="preserve"> </w:t>
      </w:r>
      <w:r w:rsidRPr="00BA2AE4">
        <w:rPr>
          <w:szCs w:val="20"/>
        </w:rPr>
        <w:t>of</w:t>
      </w:r>
      <w:r w:rsidR="00C64050">
        <w:rPr>
          <w:szCs w:val="20"/>
        </w:rPr>
        <w:t xml:space="preserve"> </w:t>
      </w:r>
      <w:r w:rsidRPr="00BA2AE4">
        <w:rPr>
          <w:szCs w:val="20"/>
        </w:rPr>
        <w:t>defeating</w:t>
      </w:r>
      <w:r w:rsidR="00C64050">
        <w:rPr>
          <w:szCs w:val="20"/>
        </w:rPr>
        <w:t xml:space="preserve"> </w:t>
      </w:r>
      <w:r w:rsidRPr="00BA2AE4">
        <w:rPr>
          <w:szCs w:val="20"/>
        </w:rPr>
        <w:t>the</w:t>
      </w:r>
      <w:r w:rsidR="00C64050">
        <w:rPr>
          <w:szCs w:val="20"/>
        </w:rPr>
        <w:t xml:space="preserve"> </w:t>
      </w:r>
      <w:r w:rsidRPr="00BA2AE4">
        <w:rPr>
          <w:szCs w:val="20"/>
        </w:rPr>
        <w:t>spouse's</w:t>
      </w:r>
      <w:r w:rsidR="00C64050">
        <w:rPr>
          <w:szCs w:val="20"/>
        </w:rPr>
        <w:t xml:space="preserve"> </w:t>
      </w:r>
      <w:r w:rsidRPr="00BA2AE4">
        <w:rPr>
          <w:szCs w:val="20"/>
        </w:rPr>
        <w:t>statutory</w:t>
      </w:r>
      <w:r w:rsidR="00C64050">
        <w:rPr>
          <w:szCs w:val="20"/>
        </w:rPr>
        <w:t xml:space="preserve"> </w:t>
      </w:r>
      <w:r w:rsidRPr="00BA2AE4">
        <w:rPr>
          <w:szCs w:val="20"/>
        </w:rPr>
        <w:t>share</w:t>
      </w:r>
      <w:r w:rsidR="00C64050">
        <w:rPr>
          <w:szCs w:val="20"/>
        </w:rPr>
        <w:t xml:space="preserve"> </w:t>
      </w:r>
      <w:r w:rsidRPr="00BA2AE4">
        <w:rPr>
          <w:szCs w:val="20"/>
        </w:rPr>
        <w:t>is</w:t>
      </w:r>
      <w:r w:rsidR="00C64050">
        <w:rPr>
          <w:szCs w:val="20"/>
        </w:rPr>
        <w:t xml:space="preserve"> </w:t>
      </w:r>
      <w:r w:rsidRPr="00BA2AE4">
        <w:rPr>
          <w:szCs w:val="20"/>
        </w:rPr>
        <w:t>void.</w:t>
      </w:r>
      <w:r w:rsidR="00C64050">
        <w:rPr>
          <w:szCs w:val="20"/>
        </w:rPr>
        <w:t xml:space="preserve"> </w:t>
      </w:r>
      <w:r w:rsidRPr="00BA2AE4">
        <w:rPr>
          <w:szCs w:val="20"/>
        </w:rPr>
        <w:t>However,</w:t>
      </w:r>
      <w:r w:rsidR="00C64050">
        <w:rPr>
          <w:szCs w:val="20"/>
        </w:rPr>
        <w:t xml:space="preserve"> </w:t>
      </w:r>
      <w:r w:rsidRPr="00BA2AE4">
        <w:rPr>
          <w:szCs w:val="20"/>
        </w:rPr>
        <w:t>we</w:t>
      </w:r>
      <w:r w:rsidR="00C64050">
        <w:rPr>
          <w:szCs w:val="20"/>
        </w:rPr>
        <w:t xml:space="preserve"> </w:t>
      </w:r>
      <w:r w:rsidRPr="00BA2AE4">
        <w:rPr>
          <w:szCs w:val="20"/>
        </w:rPr>
        <w:t>found</w:t>
      </w:r>
      <w:r w:rsidR="00C64050">
        <w:rPr>
          <w:szCs w:val="20"/>
        </w:rPr>
        <w:t xml:space="preserve"> </w:t>
      </w:r>
      <w:r w:rsidRPr="00BA2AE4">
        <w:rPr>
          <w:szCs w:val="20"/>
        </w:rPr>
        <w:t>that</w:t>
      </w:r>
      <w:r w:rsidR="00C64050">
        <w:rPr>
          <w:szCs w:val="20"/>
        </w:rPr>
        <w:t xml:space="preserve"> </w:t>
      </w:r>
      <w:r w:rsidRPr="00BA2AE4">
        <w:rPr>
          <w:szCs w:val="20"/>
        </w:rPr>
        <w:t>wife</w:t>
      </w:r>
      <w:r w:rsidR="00C64050">
        <w:rPr>
          <w:szCs w:val="20"/>
        </w:rPr>
        <w:t xml:space="preserve"> </w:t>
      </w:r>
      <w:r w:rsidRPr="00BA2AE4">
        <w:rPr>
          <w:szCs w:val="20"/>
        </w:rPr>
        <w:t>and</w:t>
      </w:r>
      <w:r w:rsidR="00C64050">
        <w:rPr>
          <w:szCs w:val="20"/>
        </w:rPr>
        <w:t xml:space="preserve"> </w:t>
      </w:r>
      <w:r w:rsidRPr="00BA2AE4">
        <w:rPr>
          <w:szCs w:val="20"/>
        </w:rPr>
        <w:t>husband,</w:t>
      </w:r>
      <w:r w:rsidR="00C64050">
        <w:rPr>
          <w:szCs w:val="20"/>
        </w:rPr>
        <w:t xml:space="preserve"> </w:t>
      </w:r>
      <w:r w:rsidRPr="00BA2AE4">
        <w:rPr>
          <w:szCs w:val="20"/>
        </w:rPr>
        <w:t>a</w:t>
      </w:r>
      <w:r w:rsidR="00C64050">
        <w:rPr>
          <w:szCs w:val="20"/>
        </w:rPr>
        <w:t xml:space="preserve"> </w:t>
      </w:r>
      <w:r w:rsidRPr="00BA2AE4">
        <w:rPr>
          <w:szCs w:val="20"/>
        </w:rPr>
        <w:t>subsequent</w:t>
      </w:r>
      <w:r w:rsidR="00C64050">
        <w:rPr>
          <w:szCs w:val="20"/>
        </w:rPr>
        <w:t xml:space="preserve"> </w:t>
      </w:r>
      <w:r w:rsidRPr="00BA2AE4">
        <w:rPr>
          <w:szCs w:val="20"/>
        </w:rPr>
        <w:t>childless</w:t>
      </w:r>
      <w:r w:rsidR="00C64050">
        <w:rPr>
          <w:szCs w:val="20"/>
        </w:rPr>
        <w:t xml:space="preserve"> </w:t>
      </w:r>
      <w:r w:rsidRPr="00BA2AE4">
        <w:rPr>
          <w:szCs w:val="20"/>
        </w:rPr>
        <w:t>spouse,</w:t>
      </w:r>
      <w:r w:rsidR="00C64050">
        <w:rPr>
          <w:szCs w:val="20"/>
        </w:rPr>
        <w:t xml:space="preserve"> </w:t>
      </w:r>
      <w:r w:rsidRPr="00BA2AE4">
        <w:rPr>
          <w:szCs w:val="20"/>
        </w:rPr>
        <w:t>had</w:t>
      </w:r>
      <w:r w:rsidR="00C64050">
        <w:rPr>
          <w:szCs w:val="20"/>
        </w:rPr>
        <w:t xml:space="preserve"> </w:t>
      </w:r>
      <w:r w:rsidRPr="00BA2AE4">
        <w:rPr>
          <w:szCs w:val="20"/>
        </w:rPr>
        <w:t>maintained</w:t>
      </w:r>
      <w:r w:rsidR="00C64050">
        <w:rPr>
          <w:szCs w:val="20"/>
        </w:rPr>
        <w:t xml:space="preserve"> </w:t>
      </w:r>
      <w:r w:rsidRPr="00BA2AE4">
        <w:rPr>
          <w:szCs w:val="20"/>
        </w:rPr>
        <w:t>separate</w:t>
      </w:r>
      <w:r w:rsidR="00C64050">
        <w:rPr>
          <w:szCs w:val="20"/>
        </w:rPr>
        <w:t xml:space="preserve"> </w:t>
      </w:r>
      <w:r w:rsidRPr="00BA2AE4">
        <w:rPr>
          <w:szCs w:val="20"/>
        </w:rPr>
        <w:t>properties</w:t>
      </w:r>
      <w:r w:rsidR="00C64050">
        <w:rPr>
          <w:szCs w:val="20"/>
        </w:rPr>
        <w:t xml:space="preserve"> </w:t>
      </w:r>
      <w:r w:rsidRPr="00BA2AE4">
        <w:rPr>
          <w:szCs w:val="20"/>
        </w:rPr>
        <w:t>and</w:t>
      </w:r>
      <w:r w:rsidR="00C64050">
        <w:rPr>
          <w:szCs w:val="20"/>
        </w:rPr>
        <w:t xml:space="preserve"> </w:t>
      </w:r>
      <w:r w:rsidRPr="00BA2AE4">
        <w:rPr>
          <w:szCs w:val="20"/>
        </w:rPr>
        <w:t>that</w:t>
      </w:r>
      <w:r w:rsidR="00C64050">
        <w:rPr>
          <w:szCs w:val="20"/>
        </w:rPr>
        <w:t xml:space="preserve"> </w:t>
      </w:r>
      <w:r w:rsidRPr="00BA2AE4">
        <w:rPr>
          <w:szCs w:val="20"/>
        </w:rPr>
        <w:t>wife</w:t>
      </w:r>
      <w:r w:rsidR="00C64050">
        <w:rPr>
          <w:szCs w:val="20"/>
        </w:rPr>
        <w:t xml:space="preserve"> </w:t>
      </w:r>
      <w:r w:rsidRPr="00BA2AE4">
        <w:rPr>
          <w:szCs w:val="20"/>
        </w:rPr>
        <w:t>had</w:t>
      </w:r>
      <w:r w:rsidR="00C64050">
        <w:rPr>
          <w:szCs w:val="20"/>
        </w:rPr>
        <w:t xml:space="preserve"> </w:t>
      </w:r>
      <w:r w:rsidRPr="00BA2AE4">
        <w:rPr>
          <w:szCs w:val="20"/>
        </w:rPr>
        <w:t>gone</w:t>
      </w:r>
      <w:r w:rsidR="00C64050">
        <w:rPr>
          <w:szCs w:val="20"/>
        </w:rPr>
        <w:t xml:space="preserve"> </w:t>
      </w:r>
      <w:r w:rsidRPr="00BA2AE4">
        <w:rPr>
          <w:szCs w:val="20"/>
        </w:rPr>
        <w:t>to</w:t>
      </w:r>
      <w:r w:rsidR="00C64050">
        <w:rPr>
          <w:szCs w:val="20"/>
        </w:rPr>
        <w:t xml:space="preserve"> </w:t>
      </w:r>
      <w:r w:rsidRPr="00BA2AE4">
        <w:rPr>
          <w:szCs w:val="20"/>
        </w:rPr>
        <w:t>the</w:t>
      </w:r>
      <w:r w:rsidR="00C64050">
        <w:rPr>
          <w:szCs w:val="20"/>
        </w:rPr>
        <w:t xml:space="preserve"> </w:t>
      </w:r>
      <w:r w:rsidRPr="00BA2AE4">
        <w:rPr>
          <w:szCs w:val="20"/>
        </w:rPr>
        <w:t>bank</w:t>
      </w:r>
      <w:r w:rsidR="00C64050">
        <w:rPr>
          <w:szCs w:val="20"/>
        </w:rPr>
        <w:t xml:space="preserve"> </w:t>
      </w:r>
      <w:r w:rsidRPr="00BA2AE4">
        <w:rPr>
          <w:szCs w:val="20"/>
        </w:rPr>
        <w:t>to</w:t>
      </w:r>
      <w:r w:rsidR="00C64050">
        <w:rPr>
          <w:szCs w:val="20"/>
        </w:rPr>
        <w:t xml:space="preserve"> </w:t>
      </w:r>
      <w:r w:rsidRPr="00BA2AE4">
        <w:rPr>
          <w:szCs w:val="20"/>
        </w:rPr>
        <w:t>establish</w:t>
      </w:r>
      <w:r w:rsidR="00C64050">
        <w:rPr>
          <w:szCs w:val="20"/>
        </w:rPr>
        <w:t xml:space="preserve"> </w:t>
      </w:r>
      <w:r w:rsidRPr="00BA2AE4">
        <w:rPr>
          <w:szCs w:val="20"/>
        </w:rPr>
        <w:t>a</w:t>
      </w:r>
      <w:r w:rsidR="00C64050">
        <w:rPr>
          <w:szCs w:val="20"/>
        </w:rPr>
        <w:t xml:space="preserve"> </w:t>
      </w:r>
      <w:r w:rsidRPr="00BA2AE4">
        <w:rPr>
          <w:szCs w:val="20"/>
        </w:rPr>
        <w:t>trust</w:t>
      </w:r>
      <w:r w:rsidR="00C64050">
        <w:rPr>
          <w:szCs w:val="20"/>
        </w:rPr>
        <w:t xml:space="preserve"> </w:t>
      </w:r>
      <w:r w:rsidRPr="00BA2AE4">
        <w:rPr>
          <w:szCs w:val="20"/>
        </w:rPr>
        <w:t>for</w:t>
      </w:r>
      <w:r w:rsidR="00C64050">
        <w:rPr>
          <w:szCs w:val="20"/>
        </w:rPr>
        <w:t xml:space="preserve"> </w:t>
      </w:r>
      <w:r w:rsidRPr="00BA2AE4">
        <w:rPr>
          <w:szCs w:val="20"/>
        </w:rPr>
        <w:t>the</w:t>
      </w:r>
      <w:r w:rsidR="00C64050">
        <w:rPr>
          <w:szCs w:val="20"/>
        </w:rPr>
        <w:t xml:space="preserve"> </w:t>
      </w:r>
      <w:r w:rsidRPr="00BA2AE4">
        <w:rPr>
          <w:szCs w:val="20"/>
        </w:rPr>
        <w:t>purpose</w:t>
      </w:r>
      <w:r w:rsidR="00C64050">
        <w:rPr>
          <w:szCs w:val="20"/>
        </w:rPr>
        <w:t xml:space="preserve"> </w:t>
      </w:r>
      <w:r w:rsidRPr="00BA2AE4">
        <w:rPr>
          <w:szCs w:val="20"/>
        </w:rPr>
        <w:t>of</w:t>
      </w:r>
      <w:r w:rsidR="00C64050">
        <w:rPr>
          <w:szCs w:val="20"/>
        </w:rPr>
        <w:t xml:space="preserve"> </w:t>
      </w:r>
      <w:r w:rsidRPr="00BA2AE4">
        <w:rPr>
          <w:szCs w:val="20"/>
        </w:rPr>
        <w:t>obtaining</w:t>
      </w:r>
      <w:r w:rsidR="00C64050">
        <w:rPr>
          <w:szCs w:val="20"/>
        </w:rPr>
        <w:t xml:space="preserve"> </w:t>
      </w:r>
      <w:r w:rsidRPr="00BA2AE4">
        <w:rPr>
          <w:szCs w:val="20"/>
        </w:rPr>
        <w:t>aid</w:t>
      </w:r>
      <w:r w:rsidR="00C64050">
        <w:rPr>
          <w:szCs w:val="20"/>
        </w:rPr>
        <w:t xml:space="preserve"> </w:t>
      </w:r>
      <w:r w:rsidRPr="00BA2AE4">
        <w:rPr>
          <w:szCs w:val="20"/>
        </w:rPr>
        <w:t>in</w:t>
      </w:r>
      <w:r w:rsidR="00C64050">
        <w:rPr>
          <w:szCs w:val="20"/>
        </w:rPr>
        <w:t xml:space="preserve"> </w:t>
      </w:r>
      <w:r w:rsidRPr="00BA2AE4">
        <w:rPr>
          <w:szCs w:val="20"/>
        </w:rPr>
        <w:t>handling</w:t>
      </w:r>
      <w:r w:rsidR="00C64050">
        <w:rPr>
          <w:szCs w:val="20"/>
        </w:rPr>
        <w:t xml:space="preserve"> </w:t>
      </w:r>
      <w:r w:rsidRPr="00BA2AE4">
        <w:rPr>
          <w:szCs w:val="20"/>
        </w:rPr>
        <w:t>her</w:t>
      </w:r>
      <w:r w:rsidR="00C64050">
        <w:rPr>
          <w:szCs w:val="20"/>
        </w:rPr>
        <w:t xml:space="preserve"> </w:t>
      </w:r>
      <w:r w:rsidRPr="00BA2AE4">
        <w:rPr>
          <w:szCs w:val="20"/>
        </w:rPr>
        <w:t>affairs</w:t>
      </w:r>
      <w:r w:rsidR="00C64050">
        <w:rPr>
          <w:szCs w:val="20"/>
        </w:rPr>
        <w:t xml:space="preserve"> </w:t>
      </w:r>
      <w:r w:rsidRPr="00BA2AE4">
        <w:rPr>
          <w:szCs w:val="20"/>
        </w:rPr>
        <w:t>three</w:t>
      </w:r>
      <w:r w:rsidR="00C64050">
        <w:rPr>
          <w:szCs w:val="20"/>
        </w:rPr>
        <w:t xml:space="preserve"> </w:t>
      </w:r>
      <w:r w:rsidRPr="00BA2AE4">
        <w:rPr>
          <w:szCs w:val="20"/>
        </w:rPr>
        <w:t>years</w:t>
      </w:r>
      <w:r w:rsidR="00C64050">
        <w:rPr>
          <w:szCs w:val="20"/>
        </w:rPr>
        <w:t xml:space="preserve"> </w:t>
      </w:r>
      <w:r w:rsidRPr="00BA2AE4">
        <w:rPr>
          <w:szCs w:val="20"/>
        </w:rPr>
        <w:t>prior</w:t>
      </w:r>
      <w:r w:rsidR="00C64050">
        <w:rPr>
          <w:szCs w:val="20"/>
        </w:rPr>
        <w:t xml:space="preserve"> </w:t>
      </w:r>
      <w:r w:rsidRPr="00BA2AE4">
        <w:rPr>
          <w:szCs w:val="20"/>
        </w:rPr>
        <w:t>to</w:t>
      </w:r>
      <w:r w:rsidR="00C64050">
        <w:rPr>
          <w:szCs w:val="20"/>
        </w:rPr>
        <w:t xml:space="preserve"> </w:t>
      </w:r>
      <w:r w:rsidRPr="00BA2AE4">
        <w:rPr>
          <w:szCs w:val="20"/>
        </w:rPr>
        <w:t>her</w:t>
      </w:r>
      <w:r w:rsidR="00C64050">
        <w:rPr>
          <w:szCs w:val="20"/>
        </w:rPr>
        <w:t xml:space="preserve"> </w:t>
      </w:r>
      <w:r w:rsidRPr="00BA2AE4">
        <w:rPr>
          <w:szCs w:val="20"/>
        </w:rPr>
        <w:t>death.</w:t>
      </w:r>
      <w:r w:rsidR="00C64050">
        <w:rPr>
          <w:szCs w:val="20"/>
        </w:rPr>
        <w:t xml:space="preserve"> </w:t>
      </w:r>
      <w:r w:rsidRPr="00BA2AE4">
        <w:rPr>
          <w:rStyle w:val="Emphasis"/>
          <w:szCs w:val="20"/>
        </w:rPr>
        <w:t>Id.</w:t>
      </w:r>
      <w:r w:rsidR="00C64050">
        <w:rPr>
          <w:szCs w:val="20"/>
        </w:rPr>
        <w:t xml:space="preserve"> </w:t>
      </w:r>
      <w:r w:rsidRPr="00BA2AE4">
        <w:rPr>
          <w:szCs w:val="20"/>
        </w:rPr>
        <w:t>at</w:t>
      </w:r>
      <w:r w:rsidR="00C64050">
        <w:rPr>
          <w:szCs w:val="20"/>
        </w:rPr>
        <w:t xml:space="preserve"> </w:t>
      </w:r>
      <w:r w:rsidRPr="00BA2AE4">
        <w:rPr>
          <w:szCs w:val="20"/>
        </w:rPr>
        <w:t>862.</w:t>
      </w:r>
      <w:r w:rsidR="00C64050">
        <w:rPr>
          <w:szCs w:val="20"/>
        </w:rPr>
        <w:t xml:space="preserve"> </w:t>
      </w:r>
      <w:r w:rsidRPr="00BA2AE4">
        <w:rPr>
          <w:szCs w:val="20"/>
        </w:rPr>
        <w:t>The</w:t>
      </w:r>
      <w:r w:rsidR="00C64050">
        <w:rPr>
          <w:szCs w:val="20"/>
        </w:rPr>
        <w:t xml:space="preserve"> </w:t>
      </w:r>
      <w:r w:rsidRPr="00BA2AE4">
        <w:rPr>
          <w:szCs w:val="20"/>
        </w:rPr>
        <w:t>trust</w:t>
      </w:r>
      <w:r w:rsidR="00C64050">
        <w:rPr>
          <w:szCs w:val="20"/>
        </w:rPr>
        <w:t xml:space="preserve"> </w:t>
      </w:r>
      <w:r w:rsidRPr="00BA2AE4">
        <w:rPr>
          <w:szCs w:val="20"/>
        </w:rPr>
        <w:t>agreement</w:t>
      </w:r>
      <w:r w:rsidR="00C64050">
        <w:rPr>
          <w:szCs w:val="20"/>
        </w:rPr>
        <w:t xml:space="preserve"> </w:t>
      </w:r>
      <w:r w:rsidRPr="00BA2AE4">
        <w:rPr>
          <w:szCs w:val="20"/>
        </w:rPr>
        <w:t>reserved</w:t>
      </w:r>
      <w:r w:rsidR="00C64050">
        <w:rPr>
          <w:szCs w:val="20"/>
        </w:rPr>
        <w:t xml:space="preserve"> </w:t>
      </w:r>
      <w:r w:rsidRPr="00BA2AE4">
        <w:rPr>
          <w:szCs w:val="20"/>
        </w:rPr>
        <w:t>to</w:t>
      </w:r>
      <w:r w:rsidR="00C64050">
        <w:rPr>
          <w:szCs w:val="20"/>
        </w:rPr>
        <w:t xml:space="preserve"> </w:t>
      </w:r>
      <w:r w:rsidRPr="00BA2AE4">
        <w:rPr>
          <w:szCs w:val="20"/>
        </w:rPr>
        <w:t>the</w:t>
      </w:r>
      <w:r w:rsidR="00C64050">
        <w:rPr>
          <w:szCs w:val="20"/>
        </w:rPr>
        <w:t xml:space="preserve"> </w:t>
      </w:r>
      <w:r w:rsidRPr="00BA2AE4">
        <w:rPr>
          <w:szCs w:val="20"/>
        </w:rPr>
        <w:t>wife</w:t>
      </w:r>
      <w:r w:rsidR="00C64050">
        <w:rPr>
          <w:szCs w:val="20"/>
        </w:rPr>
        <w:t xml:space="preserve"> </w:t>
      </w:r>
      <w:r w:rsidRPr="00BA2AE4">
        <w:rPr>
          <w:szCs w:val="20"/>
        </w:rPr>
        <w:t>the</w:t>
      </w:r>
      <w:r w:rsidR="00C64050">
        <w:rPr>
          <w:szCs w:val="20"/>
        </w:rPr>
        <w:t xml:space="preserve"> </w:t>
      </w:r>
      <w:r w:rsidRPr="00BA2AE4">
        <w:rPr>
          <w:szCs w:val="20"/>
        </w:rPr>
        <w:t>right</w:t>
      </w:r>
      <w:r w:rsidR="00C64050">
        <w:rPr>
          <w:szCs w:val="20"/>
        </w:rPr>
        <w:t xml:space="preserve"> </w:t>
      </w:r>
      <w:r w:rsidRPr="00BA2AE4">
        <w:rPr>
          <w:szCs w:val="20"/>
        </w:rPr>
        <w:t>to</w:t>
      </w:r>
      <w:r w:rsidR="00C64050">
        <w:rPr>
          <w:szCs w:val="20"/>
        </w:rPr>
        <w:t xml:space="preserve"> </w:t>
      </w:r>
      <w:r w:rsidRPr="00BA2AE4">
        <w:rPr>
          <w:szCs w:val="20"/>
        </w:rPr>
        <w:t>income</w:t>
      </w:r>
      <w:r w:rsidR="00C64050">
        <w:rPr>
          <w:szCs w:val="20"/>
        </w:rPr>
        <w:t xml:space="preserve"> </w:t>
      </w:r>
      <w:r w:rsidRPr="00BA2AE4">
        <w:rPr>
          <w:szCs w:val="20"/>
        </w:rPr>
        <w:t>from</w:t>
      </w:r>
      <w:r w:rsidR="00C64050">
        <w:rPr>
          <w:szCs w:val="20"/>
        </w:rPr>
        <w:t xml:space="preserve"> </w:t>
      </w:r>
      <w:r w:rsidRPr="00BA2AE4">
        <w:rPr>
          <w:szCs w:val="20"/>
        </w:rPr>
        <w:t>the</w:t>
      </w:r>
      <w:r w:rsidR="00C64050">
        <w:rPr>
          <w:szCs w:val="20"/>
        </w:rPr>
        <w:t xml:space="preserve"> </w:t>
      </w:r>
      <w:r w:rsidRPr="00BA2AE4">
        <w:rPr>
          <w:szCs w:val="20"/>
        </w:rPr>
        <w:t>trust</w:t>
      </w:r>
      <w:r w:rsidR="00C64050">
        <w:rPr>
          <w:szCs w:val="20"/>
        </w:rPr>
        <w:t xml:space="preserve"> </w:t>
      </w:r>
      <w:r w:rsidRPr="00BA2AE4">
        <w:rPr>
          <w:szCs w:val="20"/>
        </w:rPr>
        <w:t>for</w:t>
      </w:r>
      <w:r w:rsidR="00C64050">
        <w:rPr>
          <w:szCs w:val="20"/>
        </w:rPr>
        <w:t xml:space="preserve"> </w:t>
      </w:r>
      <w:r w:rsidRPr="00BA2AE4">
        <w:rPr>
          <w:szCs w:val="20"/>
        </w:rPr>
        <w:t>life,</w:t>
      </w:r>
      <w:r w:rsidR="00C64050">
        <w:rPr>
          <w:szCs w:val="20"/>
        </w:rPr>
        <w:t xml:space="preserve"> </w:t>
      </w:r>
      <w:r w:rsidRPr="00BA2AE4">
        <w:rPr>
          <w:szCs w:val="20"/>
        </w:rPr>
        <w:t>the</w:t>
      </w:r>
      <w:r w:rsidR="00C64050">
        <w:rPr>
          <w:szCs w:val="20"/>
        </w:rPr>
        <w:t xml:space="preserve"> </w:t>
      </w:r>
      <w:r w:rsidRPr="00BA2AE4">
        <w:rPr>
          <w:szCs w:val="20"/>
        </w:rPr>
        <w:t>right</w:t>
      </w:r>
      <w:r w:rsidR="00C64050">
        <w:rPr>
          <w:szCs w:val="20"/>
        </w:rPr>
        <w:t xml:space="preserve"> </w:t>
      </w:r>
      <w:r w:rsidRPr="00BA2AE4">
        <w:rPr>
          <w:szCs w:val="20"/>
        </w:rPr>
        <w:t>to</w:t>
      </w:r>
      <w:r w:rsidR="00C64050">
        <w:rPr>
          <w:szCs w:val="20"/>
        </w:rPr>
        <w:t xml:space="preserve"> </w:t>
      </w:r>
      <w:r w:rsidRPr="00BA2AE4">
        <w:rPr>
          <w:szCs w:val="20"/>
        </w:rPr>
        <w:t>control</w:t>
      </w:r>
      <w:r w:rsidR="00C64050">
        <w:rPr>
          <w:szCs w:val="20"/>
        </w:rPr>
        <w:t xml:space="preserve"> </w:t>
      </w:r>
      <w:r w:rsidRPr="00BA2AE4">
        <w:rPr>
          <w:szCs w:val="20"/>
        </w:rPr>
        <w:t>the</w:t>
      </w:r>
      <w:r w:rsidR="00C64050">
        <w:rPr>
          <w:szCs w:val="20"/>
        </w:rPr>
        <w:t xml:space="preserve"> </w:t>
      </w:r>
      <w:r w:rsidRPr="00BA2AE4">
        <w:rPr>
          <w:szCs w:val="20"/>
        </w:rPr>
        <w:t>actions</w:t>
      </w:r>
      <w:r w:rsidR="00C64050">
        <w:rPr>
          <w:szCs w:val="20"/>
        </w:rPr>
        <w:t xml:space="preserve"> </w:t>
      </w:r>
      <w:r w:rsidRPr="00BA2AE4">
        <w:rPr>
          <w:szCs w:val="20"/>
        </w:rPr>
        <w:t>of</w:t>
      </w:r>
      <w:r w:rsidR="00C64050">
        <w:rPr>
          <w:szCs w:val="20"/>
        </w:rPr>
        <w:t xml:space="preserve"> </w:t>
      </w:r>
      <w:r w:rsidRPr="00BA2AE4">
        <w:rPr>
          <w:szCs w:val="20"/>
        </w:rPr>
        <w:t>the</w:t>
      </w:r>
      <w:r w:rsidR="00C64050">
        <w:rPr>
          <w:szCs w:val="20"/>
        </w:rPr>
        <w:t xml:space="preserve"> </w:t>
      </w:r>
      <w:r w:rsidRPr="00BA2AE4">
        <w:rPr>
          <w:szCs w:val="20"/>
        </w:rPr>
        <w:t>trustee,</w:t>
      </w:r>
      <w:r w:rsidR="00C64050">
        <w:rPr>
          <w:szCs w:val="20"/>
        </w:rPr>
        <w:t xml:space="preserve"> </w:t>
      </w:r>
      <w:r w:rsidRPr="00BA2AE4">
        <w:rPr>
          <w:szCs w:val="20"/>
        </w:rPr>
        <w:t>and</w:t>
      </w:r>
      <w:r w:rsidR="00C64050">
        <w:rPr>
          <w:szCs w:val="20"/>
        </w:rPr>
        <w:t xml:space="preserve"> </w:t>
      </w:r>
      <w:r w:rsidRPr="00BA2AE4">
        <w:rPr>
          <w:szCs w:val="20"/>
        </w:rPr>
        <w:t>the</w:t>
      </w:r>
      <w:r w:rsidR="00C64050">
        <w:rPr>
          <w:szCs w:val="20"/>
        </w:rPr>
        <w:t xml:space="preserve"> </w:t>
      </w:r>
      <w:r w:rsidRPr="00BA2AE4">
        <w:rPr>
          <w:szCs w:val="20"/>
        </w:rPr>
        <w:t>right</w:t>
      </w:r>
      <w:r w:rsidR="00C64050">
        <w:rPr>
          <w:szCs w:val="20"/>
        </w:rPr>
        <w:t xml:space="preserve"> </w:t>
      </w:r>
      <w:r w:rsidRPr="00BA2AE4">
        <w:rPr>
          <w:szCs w:val="20"/>
        </w:rPr>
        <w:t>to</w:t>
      </w:r>
      <w:r w:rsidR="00C64050">
        <w:rPr>
          <w:szCs w:val="20"/>
        </w:rPr>
        <w:t xml:space="preserve"> </w:t>
      </w:r>
      <w:r w:rsidRPr="00BA2AE4">
        <w:rPr>
          <w:szCs w:val="20"/>
        </w:rPr>
        <w:t>revoke.</w:t>
      </w:r>
      <w:r w:rsidR="00C64050">
        <w:rPr>
          <w:szCs w:val="20"/>
        </w:rPr>
        <w:t xml:space="preserve"> </w:t>
      </w:r>
      <w:hyperlink r:id="rId426" w:history="1">
        <w:r w:rsidRPr="00BA2AE4">
          <w:rPr>
            <w:rStyle w:val="Emphasis"/>
            <w:szCs w:val="20"/>
          </w:rPr>
          <w:t>Id.</w:t>
        </w:r>
      </w:hyperlink>
      <w:r w:rsidR="00C64050">
        <w:rPr>
          <w:szCs w:val="20"/>
        </w:rPr>
        <w:t xml:space="preserve"> </w:t>
      </w:r>
      <w:r w:rsidRPr="00BA2AE4">
        <w:rPr>
          <w:szCs w:val="20"/>
        </w:rPr>
        <w:t>Husband</w:t>
      </w:r>
      <w:r w:rsidR="00C64050">
        <w:rPr>
          <w:szCs w:val="20"/>
        </w:rPr>
        <w:t xml:space="preserve"> </w:t>
      </w:r>
      <w:r w:rsidRPr="00BA2AE4">
        <w:rPr>
          <w:szCs w:val="20"/>
        </w:rPr>
        <w:t>was</w:t>
      </w:r>
      <w:r w:rsidR="00C64050">
        <w:rPr>
          <w:szCs w:val="20"/>
        </w:rPr>
        <w:t xml:space="preserve"> </w:t>
      </w:r>
      <w:r w:rsidRPr="00BA2AE4">
        <w:rPr>
          <w:szCs w:val="20"/>
        </w:rPr>
        <w:t>granted</w:t>
      </w:r>
      <w:r w:rsidR="00C64050">
        <w:rPr>
          <w:szCs w:val="20"/>
        </w:rPr>
        <w:t xml:space="preserve"> </w:t>
      </w:r>
      <w:r w:rsidRPr="00BA2AE4">
        <w:rPr>
          <w:szCs w:val="20"/>
        </w:rPr>
        <w:t>the</w:t>
      </w:r>
      <w:r w:rsidR="00C64050">
        <w:rPr>
          <w:szCs w:val="20"/>
        </w:rPr>
        <w:t xml:space="preserve"> </w:t>
      </w:r>
      <w:r w:rsidRPr="00BA2AE4">
        <w:rPr>
          <w:szCs w:val="20"/>
        </w:rPr>
        <w:t>right</w:t>
      </w:r>
      <w:r w:rsidR="00C64050">
        <w:rPr>
          <w:szCs w:val="20"/>
        </w:rPr>
        <w:t xml:space="preserve"> </w:t>
      </w:r>
      <w:r w:rsidRPr="00BA2AE4">
        <w:rPr>
          <w:szCs w:val="20"/>
        </w:rPr>
        <w:t>to</w:t>
      </w:r>
      <w:r w:rsidR="00C64050">
        <w:rPr>
          <w:szCs w:val="20"/>
        </w:rPr>
        <w:t xml:space="preserve"> </w:t>
      </w:r>
      <w:r w:rsidRPr="00BA2AE4">
        <w:rPr>
          <w:szCs w:val="20"/>
        </w:rPr>
        <w:t>reside</w:t>
      </w:r>
      <w:r w:rsidR="00C64050">
        <w:rPr>
          <w:szCs w:val="20"/>
        </w:rPr>
        <w:t xml:space="preserve"> </w:t>
      </w:r>
      <w:r w:rsidRPr="00BA2AE4">
        <w:rPr>
          <w:szCs w:val="20"/>
        </w:rPr>
        <w:t>in</w:t>
      </w:r>
      <w:r w:rsidR="00C64050">
        <w:rPr>
          <w:szCs w:val="20"/>
        </w:rPr>
        <w:t xml:space="preserve"> </w:t>
      </w:r>
      <w:r w:rsidRPr="00BA2AE4">
        <w:rPr>
          <w:szCs w:val="20"/>
        </w:rPr>
        <w:t>the</w:t>
      </w:r>
      <w:r w:rsidR="00C64050">
        <w:rPr>
          <w:szCs w:val="20"/>
        </w:rPr>
        <w:t xml:space="preserve"> </w:t>
      </w:r>
      <w:r w:rsidRPr="00BA2AE4">
        <w:rPr>
          <w:szCs w:val="20"/>
        </w:rPr>
        <w:t>settlor's</w:t>
      </w:r>
      <w:r w:rsidR="00C64050">
        <w:rPr>
          <w:szCs w:val="20"/>
        </w:rPr>
        <w:t xml:space="preserve"> </w:t>
      </w:r>
      <w:r w:rsidRPr="00BA2AE4">
        <w:rPr>
          <w:szCs w:val="20"/>
        </w:rPr>
        <w:t>former</w:t>
      </w:r>
      <w:r w:rsidR="00C64050">
        <w:rPr>
          <w:szCs w:val="20"/>
        </w:rPr>
        <w:t xml:space="preserve"> </w:t>
      </w:r>
      <w:r w:rsidRPr="00BA2AE4">
        <w:rPr>
          <w:szCs w:val="20"/>
        </w:rPr>
        <w:t>house</w:t>
      </w:r>
      <w:r w:rsidR="00C64050">
        <w:rPr>
          <w:szCs w:val="20"/>
        </w:rPr>
        <w:t xml:space="preserve"> </w:t>
      </w:r>
      <w:r w:rsidRPr="00BA2AE4">
        <w:rPr>
          <w:szCs w:val="20"/>
        </w:rPr>
        <w:t>for</w:t>
      </w:r>
      <w:r w:rsidR="00C64050">
        <w:rPr>
          <w:szCs w:val="20"/>
        </w:rPr>
        <w:t xml:space="preserve"> </w:t>
      </w:r>
      <w:r w:rsidRPr="00BA2AE4">
        <w:rPr>
          <w:szCs w:val="20"/>
        </w:rPr>
        <w:t>six</w:t>
      </w:r>
      <w:r w:rsidR="00C64050">
        <w:rPr>
          <w:szCs w:val="20"/>
        </w:rPr>
        <w:t xml:space="preserve"> </w:t>
      </w:r>
      <w:r w:rsidRPr="00BA2AE4">
        <w:rPr>
          <w:szCs w:val="20"/>
        </w:rPr>
        <w:t>months</w:t>
      </w:r>
      <w:r w:rsidR="00C64050">
        <w:rPr>
          <w:szCs w:val="20"/>
        </w:rPr>
        <w:t xml:space="preserve"> </w:t>
      </w:r>
      <w:r w:rsidRPr="00BA2AE4">
        <w:rPr>
          <w:szCs w:val="20"/>
        </w:rPr>
        <w:t>following</w:t>
      </w:r>
      <w:r w:rsidR="00C64050">
        <w:rPr>
          <w:szCs w:val="20"/>
        </w:rPr>
        <w:t xml:space="preserve"> </w:t>
      </w:r>
      <w:r w:rsidRPr="00BA2AE4">
        <w:rPr>
          <w:szCs w:val="20"/>
        </w:rPr>
        <w:t>her</w:t>
      </w:r>
      <w:r w:rsidR="00C64050">
        <w:rPr>
          <w:szCs w:val="20"/>
        </w:rPr>
        <w:t xml:space="preserve"> </w:t>
      </w:r>
      <w:r w:rsidRPr="00BA2AE4">
        <w:rPr>
          <w:szCs w:val="20"/>
        </w:rPr>
        <w:t>death.</w:t>
      </w:r>
      <w:r w:rsidR="00C64050">
        <w:rPr>
          <w:szCs w:val="20"/>
        </w:rPr>
        <w:t xml:space="preserve"> </w:t>
      </w:r>
      <w:hyperlink r:id="rId427" w:history="1">
        <w:r w:rsidRPr="00BA2AE4">
          <w:rPr>
            <w:rStyle w:val="Emphasis"/>
            <w:szCs w:val="20"/>
          </w:rPr>
          <w:t>Id.</w:t>
        </w:r>
      </w:hyperlink>
      <w:r w:rsidR="00C64050">
        <w:rPr>
          <w:szCs w:val="20"/>
        </w:rPr>
        <w:t xml:space="preserve"> </w:t>
      </w:r>
      <w:r w:rsidRPr="00BA2AE4">
        <w:rPr>
          <w:szCs w:val="20"/>
        </w:rPr>
        <w:t>As</w:t>
      </w:r>
      <w:r w:rsidR="00C64050">
        <w:rPr>
          <w:szCs w:val="20"/>
        </w:rPr>
        <w:t xml:space="preserve"> </w:t>
      </w:r>
      <w:r w:rsidRPr="00BA2AE4">
        <w:rPr>
          <w:szCs w:val="20"/>
        </w:rPr>
        <w:t>time</w:t>
      </w:r>
      <w:r w:rsidR="00C64050">
        <w:rPr>
          <w:szCs w:val="20"/>
        </w:rPr>
        <w:t xml:space="preserve"> </w:t>
      </w:r>
      <w:r w:rsidRPr="00BA2AE4">
        <w:rPr>
          <w:szCs w:val="20"/>
        </w:rPr>
        <w:t>went</w:t>
      </w:r>
      <w:r w:rsidR="00C64050">
        <w:rPr>
          <w:szCs w:val="20"/>
        </w:rPr>
        <w:t xml:space="preserve"> </w:t>
      </w:r>
      <w:r w:rsidRPr="00BA2AE4">
        <w:rPr>
          <w:szCs w:val="20"/>
        </w:rPr>
        <w:t>on,</w:t>
      </w:r>
      <w:r w:rsidR="00C64050">
        <w:rPr>
          <w:szCs w:val="20"/>
        </w:rPr>
        <w:t xml:space="preserve"> </w:t>
      </w:r>
      <w:r w:rsidRPr="00BA2AE4">
        <w:rPr>
          <w:szCs w:val="20"/>
        </w:rPr>
        <w:t>wife</w:t>
      </w:r>
      <w:r w:rsidR="00C64050">
        <w:rPr>
          <w:szCs w:val="20"/>
        </w:rPr>
        <w:t xml:space="preserve"> </w:t>
      </w:r>
      <w:r w:rsidRPr="00BA2AE4">
        <w:rPr>
          <w:szCs w:val="20"/>
        </w:rPr>
        <w:t>was</w:t>
      </w:r>
      <w:r w:rsidR="00C64050">
        <w:rPr>
          <w:szCs w:val="20"/>
        </w:rPr>
        <w:t xml:space="preserve"> </w:t>
      </w:r>
      <w:r w:rsidRPr="00BA2AE4">
        <w:rPr>
          <w:szCs w:val="20"/>
        </w:rPr>
        <w:t>confined</w:t>
      </w:r>
      <w:r w:rsidR="00C64050">
        <w:rPr>
          <w:szCs w:val="20"/>
        </w:rPr>
        <w:t xml:space="preserve"> </w:t>
      </w:r>
      <w:r w:rsidRPr="00BA2AE4">
        <w:rPr>
          <w:szCs w:val="20"/>
        </w:rPr>
        <w:t>to</w:t>
      </w:r>
      <w:r w:rsidR="00C64050">
        <w:rPr>
          <w:szCs w:val="20"/>
        </w:rPr>
        <w:t xml:space="preserve"> </w:t>
      </w:r>
      <w:r w:rsidRPr="00BA2AE4">
        <w:rPr>
          <w:szCs w:val="20"/>
        </w:rPr>
        <w:t>a</w:t>
      </w:r>
      <w:r w:rsidR="00C64050">
        <w:rPr>
          <w:szCs w:val="20"/>
        </w:rPr>
        <w:t xml:space="preserve"> </w:t>
      </w:r>
      <w:r w:rsidRPr="00BA2AE4">
        <w:rPr>
          <w:szCs w:val="20"/>
        </w:rPr>
        <w:t>nursing</w:t>
      </w:r>
      <w:r w:rsidR="00C64050">
        <w:rPr>
          <w:szCs w:val="20"/>
        </w:rPr>
        <w:t xml:space="preserve"> </w:t>
      </w:r>
      <w:r w:rsidRPr="00BA2AE4">
        <w:rPr>
          <w:szCs w:val="20"/>
        </w:rPr>
        <w:t>home</w:t>
      </w:r>
      <w:r w:rsidR="00C64050">
        <w:rPr>
          <w:szCs w:val="20"/>
        </w:rPr>
        <w:t xml:space="preserve"> </w:t>
      </w:r>
      <w:r w:rsidRPr="00BA2AE4">
        <w:rPr>
          <w:szCs w:val="20"/>
        </w:rPr>
        <w:t>and</w:t>
      </w:r>
      <w:r w:rsidR="00C64050">
        <w:rPr>
          <w:szCs w:val="20"/>
        </w:rPr>
        <w:t xml:space="preserve"> </w:t>
      </w:r>
      <w:r w:rsidRPr="00BA2AE4">
        <w:rPr>
          <w:szCs w:val="20"/>
        </w:rPr>
        <w:t>her</w:t>
      </w:r>
      <w:r w:rsidR="00C64050">
        <w:rPr>
          <w:szCs w:val="20"/>
        </w:rPr>
        <w:t xml:space="preserve"> </w:t>
      </w:r>
      <w:r w:rsidRPr="00BA2AE4">
        <w:rPr>
          <w:szCs w:val="20"/>
        </w:rPr>
        <w:t>separate</w:t>
      </w:r>
      <w:r w:rsidR="00C64050">
        <w:rPr>
          <w:szCs w:val="20"/>
        </w:rPr>
        <w:t xml:space="preserve"> </w:t>
      </w:r>
      <w:r w:rsidRPr="00BA2AE4">
        <w:rPr>
          <w:szCs w:val="20"/>
        </w:rPr>
        <w:t>funds</w:t>
      </w:r>
      <w:r w:rsidR="00C64050">
        <w:rPr>
          <w:szCs w:val="20"/>
        </w:rPr>
        <w:t xml:space="preserve"> </w:t>
      </w:r>
      <w:r w:rsidRPr="00BA2AE4">
        <w:rPr>
          <w:szCs w:val="20"/>
        </w:rPr>
        <w:t>were</w:t>
      </w:r>
      <w:r w:rsidR="00C64050">
        <w:rPr>
          <w:szCs w:val="20"/>
        </w:rPr>
        <w:t xml:space="preserve"> </w:t>
      </w:r>
      <w:r w:rsidRPr="00BA2AE4">
        <w:rPr>
          <w:szCs w:val="20"/>
        </w:rPr>
        <w:t>used</w:t>
      </w:r>
      <w:r w:rsidR="00C64050">
        <w:rPr>
          <w:szCs w:val="20"/>
        </w:rPr>
        <w:t xml:space="preserve"> </w:t>
      </w:r>
      <w:r w:rsidRPr="00BA2AE4">
        <w:rPr>
          <w:szCs w:val="20"/>
        </w:rPr>
        <w:t>to</w:t>
      </w:r>
      <w:r w:rsidR="00C64050">
        <w:rPr>
          <w:szCs w:val="20"/>
        </w:rPr>
        <w:t xml:space="preserve"> </w:t>
      </w:r>
      <w:r w:rsidRPr="00BA2AE4">
        <w:rPr>
          <w:szCs w:val="20"/>
        </w:rPr>
        <w:t>pay</w:t>
      </w:r>
      <w:r w:rsidR="00C64050">
        <w:rPr>
          <w:szCs w:val="20"/>
        </w:rPr>
        <w:t xml:space="preserve"> </w:t>
      </w:r>
      <w:r w:rsidRPr="00BA2AE4">
        <w:rPr>
          <w:szCs w:val="20"/>
        </w:rPr>
        <w:t>for</w:t>
      </w:r>
      <w:r w:rsidR="00C64050">
        <w:rPr>
          <w:szCs w:val="20"/>
        </w:rPr>
        <w:t xml:space="preserve"> </w:t>
      </w:r>
      <w:r w:rsidRPr="00BA2AE4">
        <w:rPr>
          <w:szCs w:val="20"/>
        </w:rPr>
        <w:t>her</w:t>
      </w:r>
      <w:r w:rsidR="00C64050">
        <w:rPr>
          <w:szCs w:val="20"/>
        </w:rPr>
        <w:t xml:space="preserve"> </w:t>
      </w:r>
      <w:r w:rsidRPr="00BA2AE4">
        <w:rPr>
          <w:szCs w:val="20"/>
        </w:rPr>
        <w:t>care.</w:t>
      </w:r>
      <w:r w:rsidR="00C64050">
        <w:rPr>
          <w:szCs w:val="20"/>
        </w:rPr>
        <w:t xml:space="preserve"> </w:t>
      </w:r>
      <w:hyperlink r:id="rId428" w:history="1">
        <w:r w:rsidRPr="00BA2AE4">
          <w:rPr>
            <w:rStyle w:val="Emphasis"/>
            <w:szCs w:val="20"/>
          </w:rPr>
          <w:t>Id.</w:t>
        </w:r>
      </w:hyperlink>
      <w:r w:rsidR="00C64050">
        <w:rPr>
          <w:szCs w:val="20"/>
        </w:rPr>
        <w:t xml:space="preserve"> </w:t>
      </w:r>
      <w:r w:rsidRPr="00BA2AE4">
        <w:rPr>
          <w:szCs w:val="20"/>
        </w:rPr>
        <w:t>The</w:t>
      </w:r>
      <w:r w:rsidR="00C64050">
        <w:rPr>
          <w:szCs w:val="20"/>
        </w:rPr>
        <w:t xml:space="preserve"> </w:t>
      </w:r>
      <w:r w:rsidRPr="00BA2AE4">
        <w:rPr>
          <w:rStyle w:val="Emphasis"/>
          <w:szCs w:val="20"/>
        </w:rPr>
        <w:t>Leazenby</w:t>
      </w:r>
      <w:r w:rsidR="00C64050">
        <w:rPr>
          <w:szCs w:val="20"/>
        </w:rPr>
        <w:t xml:space="preserve"> </w:t>
      </w:r>
      <w:r w:rsidRPr="00BA2AE4">
        <w:rPr>
          <w:szCs w:val="20"/>
        </w:rPr>
        <w:t>court</w:t>
      </w:r>
      <w:r w:rsidR="00C64050">
        <w:rPr>
          <w:szCs w:val="20"/>
        </w:rPr>
        <w:t xml:space="preserve"> </w:t>
      </w:r>
      <w:r w:rsidRPr="00BA2AE4">
        <w:rPr>
          <w:szCs w:val="20"/>
        </w:rPr>
        <w:t>observed</w:t>
      </w:r>
      <w:r w:rsidR="00C64050">
        <w:rPr>
          <w:szCs w:val="20"/>
        </w:rPr>
        <w:t xml:space="preserve"> </w:t>
      </w:r>
      <w:r w:rsidRPr="00BA2AE4">
        <w:rPr>
          <w:szCs w:val="20"/>
        </w:rPr>
        <w:t>that</w:t>
      </w:r>
      <w:r w:rsidR="00C64050">
        <w:rPr>
          <w:szCs w:val="20"/>
        </w:rPr>
        <w:t xml:space="preserve"> </w:t>
      </w:r>
      <w:r w:rsidRPr="00BA2AE4">
        <w:rPr>
          <w:szCs w:val="20"/>
        </w:rPr>
        <w:t>it</w:t>
      </w:r>
      <w:r w:rsidR="00C64050">
        <w:rPr>
          <w:szCs w:val="20"/>
        </w:rPr>
        <w:t xml:space="preserve"> </w:t>
      </w:r>
      <w:r w:rsidRPr="00BA2AE4">
        <w:rPr>
          <w:szCs w:val="20"/>
        </w:rPr>
        <w:t>was</w:t>
      </w:r>
      <w:r w:rsidR="00C64050">
        <w:rPr>
          <w:szCs w:val="20"/>
        </w:rPr>
        <w:t xml:space="preserve"> </w:t>
      </w:r>
      <w:r w:rsidRPr="00BA2AE4">
        <w:rPr>
          <w:szCs w:val="20"/>
        </w:rPr>
        <w:t>obvious</w:t>
      </w:r>
      <w:r w:rsidR="00C64050">
        <w:rPr>
          <w:szCs w:val="20"/>
        </w:rPr>
        <w:t xml:space="preserve"> </w:t>
      </w:r>
      <w:r w:rsidRPr="00BA2AE4">
        <w:rPr>
          <w:szCs w:val="20"/>
        </w:rPr>
        <w:t>husband</w:t>
      </w:r>
      <w:r w:rsidR="00C64050">
        <w:rPr>
          <w:szCs w:val="20"/>
        </w:rPr>
        <w:t xml:space="preserve"> </w:t>
      </w:r>
      <w:r w:rsidRPr="00BA2AE4">
        <w:rPr>
          <w:szCs w:val="20"/>
        </w:rPr>
        <w:t>was</w:t>
      </w:r>
      <w:r w:rsidR="00C64050">
        <w:rPr>
          <w:szCs w:val="20"/>
        </w:rPr>
        <w:t xml:space="preserve"> </w:t>
      </w:r>
      <w:r w:rsidRPr="00BA2AE4">
        <w:rPr>
          <w:szCs w:val="20"/>
        </w:rPr>
        <w:t>aware</w:t>
      </w:r>
      <w:r w:rsidR="00C64050">
        <w:rPr>
          <w:szCs w:val="20"/>
        </w:rPr>
        <w:t xml:space="preserve"> </w:t>
      </w:r>
      <w:r w:rsidRPr="00BA2AE4">
        <w:rPr>
          <w:szCs w:val="20"/>
        </w:rPr>
        <w:t>of</w:t>
      </w:r>
      <w:r w:rsidR="00C64050">
        <w:rPr>
          <w:szCs w:val="20"/>
        </w:rPr>
        <w:t xml:space="preserve"> </w:t>
      </w:r>
      <w:r w:rsidRPr="00BA2AE4">
        <w:rPr>
          <w:szCs w:val="20"/>
        </w:rPr>
        <w:t>this</w:t>
      </w:r>
      <w:r w:rsidR="00C64050">
        <w:rPr>
          <w:szCs w:val="20"/>
        </w:rPr>
        <w:t xml:space="preserve"> </w:t>
      </w:r>
      <w:r w:rsidRPr="00BA2AE4">
        <w:rPr>
          <w:szCs w:val="20"/>
        </w:rPr>
        <w:t>situation</w:t>
      </w:r>
      <w:r w:rsidR="00C64050">
        <w:rPr>
          <w:szCs w:val="20"/>
        </w:rPr>
        <w:t xml:space="preserve"> </w:t>
      </w:r>
      <w:r w:rsidRPr="00BA2AE4">
        <w:rPr>
          <w:szCs w:val="20"/>
        </w:rPr>
        <w:t>and</w:t>
      </w:r>
      <w:r w:rsidR="00C64050">
        <w:rPr>
          <w:szCs w:val="20"/>
        </w:rPr>
        <w:t xml:space="preserve"> </w:t>
      </w:r>
      <w:r w:rsidRPr="00BA2AE4">
        <w:rPr>
          <w:szCs w:val="20"/>
        </w:rPr>
        <w:t>had</w:t>
      </w:r>
      <w:r w:rsidR="00C64050">
        <w:rPr>
          <w:szCs w:val="20"/>
        </w:rPr>
        <w:t xml:space="preserve"> </w:t>
      </w:r>
      <w:r w:rsidRPr="00BA2AE4">
        <w:rPr>
          <w:szCs w:val="20"/>
        </w:rPr>
        <w:t>acceded</w:t>
      </w:r>
      <w:r w:rsidR="00C64050">
        <w:rPr>
          <w:szCs w:val="20"/>
        </w:rPr>
        <w:t xml:space="preserve"> </w:t>
      </w:r>
      <w:r w:rsidRPr="00BA2AE4">
        <w:rPr>
          <w:szCs w:val="20"/>
        </w:rPr>
        <w:t>to</w:t>
      </w:r>
      <w:r w:rsidR="00C64050">
        <w:rPr>
          <w:szCs w:val="20"/>
        </w:rPr>
        <w:t xml:space="preserve"> </w:t>
      </w:r>
      <w:r w:rsidRPr="00BA2AE4">
        <w:rPr>
          <w:szCs w:val="20"/>
        </w:rPr>
        <w:t>it.</w:t>
      </w:r>
      <w:r w:rsidR="00C64050">
        <w:rPr>
          <w:szCs w:val="20"/>
        </w:rPr>
        <w:t xml:space="preserve"> </w:t>
      </w:r>
      <w:r w:rsidRPr="00BA2AE4">
        <w:rPr>
          <w:rStyle w:val="Emphasis"/>
          <w:szCs w:val="20"/>
        </w:rPr>
        <w:t>Id.</w:t>
      </w:r>
      <w:r w:rsidR="00C64050">
        <w:rPr>
          <w:szCs w:val="20"/>
        </w:rPr>
        <w:t xml:space="preserve"> </w:t>
      </w:r>
      <w:r w:rsidRPr="00BA2AE4">
        <w:rPr>
          <w:szCs w:val="20"/>
        </w:rPr>
        <w:t>at</w:t>
      </w:r>
      <w:r w:rsidR="00C64050">
        <w:rPr>
          <w:szCs w:val="20"/>
        </w:rPr>
        <w:t xml:space="preserve"> </w:t>
      </w:r>
      <w:r w:rsidRPr="00BA2AE4">
        <w:rPr>
          <w:szCs w:val="20"/>
        </w:rPr>
        <w:t>866.</w:t>
      </w:r>
      <w:r w:rsidR="00C64050">
        <w:rPr>
          <w:szCs w:val="20"/>
        </w:rPr>
        <w:t xml:space="preserve"> </w:t>
      </w:r>
      <w:r w:rsidRPr="00BA2AE4">
        <w:rPr>
          <w:szCs w:val="20"/>
        </w:rPr>
        <w:t>There</w:t>
      </w:r>
      <w:r w:rsidR="00C64050">
        <w:rPr>
          <w:szCs w:val="20"/>
        </w:rPr>
        <w:t xml:space="preserve"> </w:t>
      </w:r>
      <w:r w:rsidRPr="00BA2AE4">
        <w:rPr>
          <w:szCs w:val="20"/>
        </w:rPr>
        <w:t>was</w:t>
      </w:r>
      <w:r w:rsidR="00C64050">
        <w:rPr>
          <w:szCs w:val="20"/>
        </w:rPr>
        <w:t xml:space="preserve"> </w:t>
      </w:r>
      <w:r w:rsidRPr="00BA2AE4">
        <w:rPr>
          <w:szCs w:val="20"/>
        </w:rPr>
        <w:t>no</w:t>
      </w:r>
      <w:r w:rsidR="00C64050">
        <w:rPr>
          <w:szCs w:val="20"/>
        </w:rPr>
        <w:t xml:space="preserve"> </w:t>
      </w:r>
      <w:r w:rsidRPr="00BA2AE4">
        <w:rPr>
          <w:szCs w:val="20"/>
        </w:rPr>
        <w:t>indication</w:t>
      </w:r>
      <w:r w:rsidR="00C64050">
        <w:rPr>
          <w:szCs w:val="20"/>
        </w:rPr>
        <w:t xml:space="preserve"> </w:t>
      </w:r>
      <w:r w:rsidRPr="00BA2AE4">
        <w:rPr>
          <w:szCs w:val="20"/>
        </w:rPr>
        <w:t>that</w:t>
      </w:r>
      <w:r w:rsidR="00C64050">
        <w:rPr>
          <w:szCs w:val="20"/>
        </w:rPr>
        <w:t xml:space="preserve"> </w:t>
      </w:r>
      <w:r w:rsidRPr="00BA2AE4">
        <w:rPr>
          <w:szCs w:val="20"/>
        </w:rPr>
        <w:t>it</w:t>
      </w:r>
      <w:r w:rsidR="00C64050">
        <w:rPr>
          <w:szCs w:val="20"/>
        </w:rPr>
        <w:t xml:space="preserve"> </w:t>
      </w:r>
      <w:r w:rsidRPr="00BA2AE4">
        <w:rPr>
          <w:szCs w:val="20"/>
        </w:rPr>
        <w:t>was</w:t>
      </w:r>
      <w:r w:rsidR="00C64050">
        <w:rPr>
          <w:szCs w:val="20"/>
        </w:rPr>
        <w:t xml:space="preserve"> </w:t>
      </w:r>
      <w:r w:rsidRPr="00BA2AE4">
        <w:rPr>
          <w:szCs w:val="20"/>
        </w:rPr>
        <w:t>the</w:t>
      </w:r>
      <w:r w:rsidR="00C64050">
        <w:rPr>
          <w:szCs w:val="20"/>
        </w:rPr>
        <w:t xml:space="preserve"> </w:t>
      </w:r>
      <w:r w:rsidRPr="00BA2AE4">
        <w:rPr>
          <w:szCs w:val="20"/>
        </w:rPr>
        <w:t>settlor's</w:t>
      </w:r>
      <w:r w:rsidR="00C64050">
        <w:rPr>
          <w:szCs w:val="20"/>
        </w:rPr>
        <w:t xml:space="preserve"> </w:t>
      </w:r>
      <w:r w:rsidRPr="00BA2AE4">
        <w:rPr>
          <w:szCs w:val="20"/>
        </w:rPr>
        <w:t>intent</w:t>
      </w:r>
      <w:r w:rsidR="00C64050">
        <w:rPr>
          <w:szCs w:val="20"/>
        </w:rPr>
        <w:t xml:space="preserve"> </w:t>
      </w:r>
      <w:r w:rsidRPr="00BA2AE4">
        <w:rPr>
          <w:szCs w:val="20"/>
        </w:rPr>
        <w:t>to</w:t>
      </w:r>
      <w:r w:rsidR="00C64050">
        <w:rPr>
          <w:szCs w:val="20"/>
        </w:rPr>
        <w:t xml:space="preserve"> </w:t>
      </w:r>
      <w:r w:rsidRPr="00BA2AE4">
        <w:rPr>
          <w:szCs w:val="20"/>
        </w:rPr>
        <w:t>use</w:t>
      </w:r>
      <w:r w:rsidR="00C64050">
        <w:rPr>
          <w:szCs w:val="20"/>
        </w:rPr>
        <w:t xml:space="preserve"> </w:t>
      </w:r>
      <w:r w:rsidRPr="00BA2AE4">
        <w:rPr>
          <w:szCs w:val="20"/>
        </w:rPr>
        <w:t>the</w:t>
      </w:r>
      <w:r w:rsidR="00C64050">
        <w:rPr>
          <w:szCs w:val="20"/>
        </w:rPr>
        <w:t xml:space="preserve"> </w:t>
      </w:r>
      <w:r w:rsidRPr="00BA2AE4">
        <w:rPr>
          <w:szCs w:val="20"/>
        </w:rPr>
        <w:t>device</w:t>
      </w:r>
      <w:r w:rsidR="00C64050">
        <w:rPr>
          <w:szCs w:val="20"/>
        </w:rPr>
        <w:t xml:space="preserve"> </w:t>
      </w:r>
      <w:r w:rsidRPr="00BA2AE4">
        <w:rPr>
          <w:szCs w:val="20"/>
        </w:rPr>
        <w:t>of</w:t>
      </w:r>
      <w:r w:rsidR="00C64050">
        <w:rPr>
          <w:szCs w:val="20"/>
        </w:rPr>
        <w:t xml:space="preserve"> </w:t>
      </w:r>
      <w:r w:rsidRPr="00BA2AE4">
        <w:rPr>
          <w:szCs w:val="20"/>
        </w:rPr>
        <w:t>a</w:t>
      </w:r>
      <w:r w:rsidR="00C64050">
        <w:rPr>
          <w:szCs w:val="20"/>
        </w:rPr>
        <w:t xml:space="preserve"> </w:t>
      </w:r>
      <w:r w:rsidRPr="00BA2AE4">
        <w:rPr>
          <w:szCs w:val="20"/>
        </w:rPr>
        <w:t>trust</w:t>
      </w:r>
      <w:r w:rsidR="00C64050">
        <w:rPr>
          <w:szCs w:val="20"/>
        </w:rPr>
        <w:t xml:space="preserve"> </w:t>
      </w:r>
      <w:r w:rsidRPr="00BA2AE4">
        <w:rPr>
          <w:szCs w:val="20"/>
        </w:rPr>
        <w:t>to</w:t>
      </w:r>
      <w:r w:rsidR="00C64050">
        <w:rPr>
          <w:szCs w:val="20"/>
        </w:rPr>
        <w:t xml:space="preserve"> </w:t>
      </w:r>
      <w:r w:rsidRPr="00BA2AE4">
        <w:rPr>
          <w:szCs w:val="20"/>
        </w:rPr>
        <w:t>defeat</w:t>
      </w:r>
      <w:r w:rsidR="00C64050">
        <w:rPr>
          <w:szCs w:val="20"/>
        </w:rPr>
        <w:t xml:space="preserve"> </w:t>
      </w:r>
      <w:r w:rsidRPr="00BA2AE4">
        <w:rPr>
          <w:szCs w:val="20"/>
        </w:rPr>
        <w:t>her</w:t>
      </w:r>
      <w:r w:rsidR="00C64050">
        <w:rPr>
          <w:szCs w:val="20"/>
        </w:rPr>
        <w:t xml:space="preserve"> </w:t>
      </w:r>
      <w:r w:rsidRPr="00BA2AE4">
        <w:rPr>
          <w:szCs w:val="20"/>
        </w:rPr>
        <w:t>husband's</w:t>
      </w:r>
      <w:r w:rsidR="00C64050">
        <w:rPr>
          <w:szCs w:val="20"/>
        </w:rPr>
        <w:t xml:space="preserve"> </w:t>
      </w:r>
      <w:r w:rsidRPr="00BA2AE4">
        <w:rPr>
          <w:szCs w:val="20"/>
        </w:rPr>
        <w:t>statutory</w:t>
      </w:r>
      <w:r w:rsidR="00C64050">
        <w:rPr>
          <w:szCs w:val="20"/>
        </w:rPr>
        <w:t xml:space="preserve"> </w:t>
      </w:r>
      <w:r w:rsidRPr="00BA2AE4">
        <w:rPr>
          <w:szCs w:val="20"/>
        </w:rPr>
        <w:t>share</w:t>
      </w:r>
      <w:r w:rsidR="00C64050">
        <w:rPr>
          <w:szCs w:val="20"/>
        </w:rPr>
        <w:t xml:space="preserve"> </w:t>
      </w:r>
      <w:r w:rsidRPr="00BA2AE4">
        <w:rPr>
          <w:szCs w:val="20"/>
        </w:rPr>
        <w:t>in</w:t>
      </w:r>
      <w:r w:rsidR="00C64050">
        <w:rPr>
          <w:szCs w:val="20"/>
        </w:rPr>
        <w:t xml:space="preserve"> </w:t>
      </w:r>
      <w:r w:rsidRPr="00BA2AE4">
        <w:rPr>
          <w:szCs w:val="20"/>
        </w:rPr>
        <w:t>her</w:t>
      </w:r>
      <w:r w:rsidR="00C64050">
        <w:rPr>
          <w:szCs w:val="20"/>
        </w:rPr>
        <w:t xml:space="preserve"> </w:t>
      </w:r>
      <w:r w:rsidRPr="00BA2AE4">
        <w:rPr>
          <w:szCs w:val="20"/>
        </w:rPr>
        <w:t>estate;</w:t>
      </w:r>
      <w:r w:rsidR="00C64050">
        <w:rPr>
          <w:szCs w:val="20"/>
        </w:rPr>
        <w:t xml:space="preserve"> </w:t>
      </w:r>
      <w:r w:rsidRPr="00BA2AE4">
        <w:rPr>
          <w:szCs w:val="20"/>
        </w:rPr>
        <w:t>rather,</w:t>
      </w:r>
      <w:r w:rsidR="00C64050">
        <w:rPr>
          <w:szCs w:val="20"/>
        </w:rPr>
        <w:t xml:space="preserve"> </w:t>
      </w:r>
      <w:r w:rsidRPr="00BA2AE4">
        <w:rPr>
          <w:szCs w:val="20"/>
        </w:rPr>
        <w:t>she</w:t>
      </w:r>
      <w:r w:rsidR="00C64050">
        <w:rPr>
          <w:szCs w:val="20"/>
        </w:rPr>
        <w:t xml:space="preserve"> </w:t>
      </w:r>
      <w:r w:rsidRPr="00BA2AE4">
        <w:rPr>
          <w:szCs w:val="20"/>
        </w:rPr>
        <w:t>had</w:t>
      </w:r>
      <w:r w:rsidR="00C64050">
        <w:rPr>
          <w:szCs w:val="20"/>
        </w:rPr>
        <w:t xml:space="preserve"> </w:t>
      </w:r>
      <w:r w:rsidRPr="00BA2AE4">
        <w:rPr>
          <w:szCs w:val="20"/>
        </w:rPr>
        <w:t>merely</w:t>
      </w:r>
      <w:r w:rsidR="00C64050">
        <w:rPr>
          <w:szCs w:val="20"/>
        </w:rPr>
        <w:t xml:space="preserve"> </w:t>
      </w:r>
      <w:r w:rsidRPr="00BA2AE4">
        <w:rPr>
          <w:szCs w:val="20"/>
        </w:rPr>
        <w:t>conveyed</w:t>
      </w:r>
      <w:r w:rsidR="00C64050">
        <w:rPr>
          <w:szCs w:val="20"/>
        </w:rPr>
        <w:t xml:space="preserve"> </w:t>
      </w:r>
      <w:r w:rsidRPr="00BA2AE4">
        <w:rPr>
          <w:szCs w:val="20"/>
        </w:rPr>
        <w:t>a</w:t>
      </w:r>
      <w:r w:rsidR="00C64050">
        <w:rPr>
          <w:szCs w:val="20"/>
        </w:rPr>
        <w:t xml:space="preserve"> </w:t>
      </w:r>
      <w:r w:rsidRPr="00BA2AE4">
        <w:rPr>
          <w:szCs w:val="20"/>
        </w:rPr>
        <w:t>portion</w:t>
      </w:r>
      <w:r w:rsidR="00C64050">
        <w:rPr>
          <w:szCs w:val="20"/>
        </w:rPr>
        <w:t xml:space="preserve"> </w:t>
      </w:r>
      <w:r w:rsidRPr="00BA2AE4">
        <w:rPr>
          <w:szCs w:val="20"/>
        </w:rPr>
        <w:t>of</w:t>
      </w:r>
      <w:r w:rsidR="00C64050">
        <w:rPr>
          <w:szCs w:val="20"/>
        </w:rPr>
        <w:t xml:space="preserve"> </w:t>
      </w:r>
      <w:r w:rsidRPr="00BA2AE4">
        <w:rPr>
          <w:szCs w:val="20"/>
        </w:rPr>
        <w:t>her</w:t>
      </w:r>
      <w:r w:rsidR="00C64050">
        <w:rPr>
          <w:szCs w:val="20"/>
        </w:rPr>
        <w:t xml:space="preserve"> </w:t>
      </w:r>
      <w:r w:rsidRPr="00BA2AE4">
        <w:rPr>
          <w:szCs w:val="20"/>
        </w:rPr>
        <w:t>estate</w:t>
      </w:r>
      <w:r w:rsidR="00C64050">
        <w:rPr>
          <w:szCs w:val="20"/>
        </w:rPr>
        <w:t xml:space="preserve"> </w:t>
      </w:r>
      <w:r w:rsidRPr="00BA2AE4">
        <w:rPr>
          <w:szCs w:val="20"/>
        </w:rPr>
        <w:t>during</w:t>
      </w:r>
      <w:r w:rsidR="00C64050">
        <w:rPr>
          <w:szCs w:val="20"/>
        </w:rPr>
        <w:t xml:space="preserve"> </w:t>
      </w:r>
      <w:r w:rsidRPr="00BA2AE4">
        <w:rPr>
          <w:szCs w:val="20"/>
        </w:rPr>
        <w:t>her</w:t>
      </w:r>
      <w:r w:rsidR="00C64050">
        <w:rPr>
          <w:szCs w:val="20"/>
        </w:rPr>
        <w:t xml:space="preserve"> </w:t>
      </w:r>
      <w:r w:rsidRPr="00BA2AE4">
        <w:rPr>
          <w:szCs w:val="20"/>
        </w:rPr>
        <w:t>lifetime,</w:t>
      </w:r>
      <w:r w:rsidR="00C64050">
        <w:rPr>
          <w:szCs w:val="20"/>
        </w:rPr>
        <w:t xml:space="preserve"> </w:t>
      </w:r>
      <w:r w:rsidRPr="00BA2AE4">
        <w:rPr>
          <w:szCs w:val="20"/>
        </w:rPr>
        <w:t>which</w:t>
      </w:r>
      <w:r w:rsidR="00C64050">
        <w:rPr>
          <w:szCs w:val="20"/>
        </w:rPr>
        <w:t xml:space="preserve"> </w:t>
      </w:r>
      <w:r w:rsidRPr="00BA2AE4">
        <w:rPr>
          <w:szCs w:val="20"/>
        </w:rPr>
        <w:t>she</w:t>
      </w:r>
      <w:r w:rsidR="00C64050">
        <w:rPr>
          <w:szCs w:val="20"/>
        </w:rPr>
        <w:t xml:space="preserve"> </w:t>
      </w:r>
      <w:r w:rsidRPr="00BA2AE4">
        <w:rPr>
          <w:szCs w:val="20"/>
        </w:rPr>
        <w:t>had</w:t>
      </w:r>
      <w:r w:rsidR="00C64050">
        <w:rPr>
          <w:szCs w:val="20"/>
        </w:rPr>
        <w:t xml:space="preserve"> </w:t>
      </w:r>
      <w:r w:rsidRPr="00BA2AE4">
        <w:rPr>
          <w:szCs w:val="20"/>
        </w:rPr>
        <w:t>every</w:t>
      </w:r>
      <w:r w:rsidR="00C64050">
        <w:rPr>
          <w:szCs w:val="20"/>
        </w:rPr>
        <w:t xml:space="preserve"> </w:t>
      </w:r>
      <w:r w:rsidRPr="00BA2AE4">
        <w:rPr>
          <w:szCs w:val="20"/>
        </w:rPr>
        <w:t>right</w:t>
      </w:r>
      <w:r w:rsidR="00C64050">
        <w:rPr>
          <w:szCs w:val="20"/>
        </w:rPr>
        <w:t xml:space="preserve"> </w:t>
      </w:r>
      <w:r w:rsidRPr="00BA2AE4">
        <w:rPr>
          <w:szCs w:val="20"/>
        </w:rPr>
        <w:t>to</w:t>
      </w:r>
      <w:r w:rsidR="00C64050">
        <w:rPr>
          <w:szCs w:val="20"/>
        </w:rPr>
        <w:t xml:space="preserve"> </w:t>
      </w:r>
      <w:r w:rsidRPr="00BA2AE4">
        <w:rPr>
          <w:szCs w:val="20"/>
        </w:rPr>
        <w:t>do.</w:t>
      </w:r>
      <w:r w:rsidR="00C64050">
        <w:rPr>
          <w:szCs w:val="20"/>
        </w:rPr>
        <w:t xml:space="preserve"> </w:t>
      </w:r>
      <w:r w:rsidRPr="00BA2AE4">
        <w:rPr>
          <w:rStyle w:val="Emphasis"/>
          <w:szCs w:val="20"/>
        </w:rPr>
        <w:t>See</w:t>
      </w:r>
      <w:r w:rsidR="00C64050">
        <w:rPr>
          <w:szCs w:val="20"/>
        </w:rPr>
        <w:t xml:space="preserve"> </w:t>
      </w:r>
      <w:r w:rsidRPr="00BA2AE4">
        <w:rPr>
          <w:rStyle w:val="Emphasis"/>
          <w:szCs w:val="20"/>
        </w:rPr>
        <w:t>id.</w:t>
      </w:r>
      <w:r w:rsidR="00C64050">
        <w:rPr>
          <w:szCs w:val="20"/>
        </w:rPr>
        <w:t xml:space="preserve"> </w:t>
      </w:r>
      <w:r w:rsidRPr="00BA2AE4">
        <w:rPr>
          <w:szCs w:val="20"/>
        </w:rPr>
        <w:t>at</w:t>
      </w:r>
      <w:r w:rsidR="00C64050">
        <w:rPr>
          <w:szCs w:val="20"/>
        </w:rPr>
        <w:t xml:space="preserve"> </w:t>
      </w:r>
      <w:r w:rsidRPr="00BA2AE4">
        <w:rPr>
          <w:szCs w:val="20"/>
        </w:rPr>
        <w:t>866-67.</w:t>
      </w:r>
    </w:p>
    <w:p w:rsidR="00BA2AE4" w:rsidRPr="00BA2AE4" w:rsidRDefault="00BA2AE4" w:rsidP="00BA2AE4">
      <w:pPr>
        <w:pStyle w:val="QS10"/>
        <w:rPr>
          <w:szCs w:val="20"/>
        </w:rPr>
      </w:pPr>
      <w:r w:rsidRPr="00BA2AE4">
        <w:rPr>
          <w:szCs w:val="20"/>
        </w:rPr>
        <w:t>Approximately</w:t>
      </w:r>
      <w:r w:rsidR="00C64050">
        <w:rPr>
          <w:szCs w:val="20"/>
        </w:rPr>
        <w:t xml:space="preserve"> </w:t>
      </w:r>
      <w:r w:rsidRPr="00BA2AE4">
        <w:rPr>
          <w:szCs w:val="20"/>
        </w:rPr>
        <w:t>ten</w:t>
      </w:r>
      <w:r w:rsidR="00C64050">
        <w:rPr>
          <w:szCs w:val="20"/>
        </w:rPr>
        <w:t xml:space="preserve"> </w:t>
      </w:r>
      <w:r w:rsidRPr="00BA2AE4">
        <w:rPr>
          <w:szCs w:val="20"/>
        </w:rPr>
        <w:t>years</w:t>
      </w:r>
      <w:r w:rsidR="00C64050">
        <w:rPr>
          <w:szCs w:val="20"/>
        </w:rPr>
        <w:t xml:space="preserve"> </w:t>
      </w:r>
      <w:r w:rsidRPr="00BA2AE4">
        <w:rPr>
          <w:szCs w:val="20"/>
        </w:rPr>
        <w:t>later,</w:t>
      </w:r>
      <w:r w:rsidR="00C64050">
        <w:rPr>
          <w:szCs w:val="20"/>
        </w:rPr>
        <w:t xml:space="preserve"> </w:t>
      </w:r>
      <w:r w:rsidRPr="00BA2AE4">
        <w:rPr>
          <w:szCs w:val="20"/>
        </w:rPr>
        <w:t>in</w:t>
      </w:r>
      <w:r w:rsidR="00C64050">
        <w:rPr>
          <w:szCs w:val="20"/>
        </w:rPr>
        <w:t xml:space="preserve"> </w:t>
      </w:r>
      <w:r w:rsidRPr="00BA2AE4">
        <w:rPr>
          <w:rStyle w:val="Emphasis"/>
          <w:szCs w:val="20"/>
        </w:rPr>
        <w:t>Walker</w:t>
      </w:r>
      <w:r w:rsidR="00C64050">
        <w:rPr>
          <w:rStyle w:val="Emphasis"/>
          <w:szCs w:val="20"/>
        </w:rPr>
        <w:t xml:space="preserve"> </w:t>
      </w:r>
      <w:r w:rsidRPr="00BA2AE4">
        <w:rPr>
          <w:rStyle w:val="Emphasis"/>
          <w:szCs w:val="20"/>
        </w:rPr>
        <w:t>v.</w:t>
      </w:r>
      <w:r w:rsidR="00C64050">
        <w:rPr>
          <w:rStyle w:val="Emphasis"/>
          <w:szCs w:val="20"/>
        </w:rPr>
        <w:t xml:space="preserve"> </w:t>
      </w:r>
      <w:r w:rsidRPr="00BA2AE4">
        <w:rPr>
          <w:rStyle w:val="Emphasis"/>
          <w:szCs w:val="20"/>
        </w:rPr>
        <w:t>Lawson</w:t>
      </w:r>
      <w:r w:rsidRPr="00BA2AE4">
        <w:rPr>
          <w:szCs w:val="20"/>
        </w:rPr>
        <w:t>,</w:t>
      </w:r>
      <w:r w:rsidR="00C64050">
        <w:rPr>
          <w:szCs w:val="20"/>
        </w:rPr>
        <w:t xml:space="preserve"> </w:t>
      </w:r>
      <w:r w:rsidRPr="00BA2AE4">
        <w:rPr>
          <w:szCs w:val="20"/>
        </w:rPr>
        <w:t>526</w:t>
      </w:r>
      <w:r w:rsidR="00C64050">
        <w:rPr>
          <w:szCs w:val="20"/>
        </w:rPr>
        <w:t xml:space="preserve"> </w:t>
      </w:r>
      <w:r w:rsidRPr="00BA2AE4">
        <w:rPr>
          <w:szCs w:val="20"/>
        </w:rPr>
        <w:t>N.E.2d</w:t>
      </w:r>
      <w:r w:rsidR="00C64050">
        <w:rPr>
          <w:szCs w:val="20"/>
        </w:rPr>
        <w:t xml:space="preserve"> </w:t>
      </w:r>
      <w:r w:rsidRPr="00BA2AE4">
        <w:rPr>
          <w:szCs w:val="20"/>
        </w:rPr>
        <w:t>968,</w:t>
      </w:r>
      <w:r w:rsidR="00C64050">
        <w:rPr>
          <w:szCs w:val="20"/>
        </w:rPr>
        <w:t xml:space="preserve"> </w:t>
      </w:r>
      <w:r w:rsidRPr="00BA2AE4">
        <w:rPr>
          <w:szCs w:val="20"/>
        </w:rPr>
        <w:t>969</w:t>
      </w:r>
      <w:r w:rsidR="00C64050">
        <w:rPr>
          <w:szCs w:val="20"/>
        </w:rPr>
        <w:t xml:space="preserve"> </w:t>
      </w:r>
      <w:r w:rsidRPr="00BA2AE4">
        <w:rPr>
          <w:szCs w:val="20"/>
        </w:rPr>
        <w:t>(Ind.</w:t>
      </w:r>
      <w:r w:rsidR="00C64050">
        <w:rPr>
          <w:szCs w:val="20"/>
        </w:rPr>
        <w:t xml:space="preserve"> </w:t>
      </w:r>
      <w:r w:rsidRPr="00BA2AE4">
        <w:rPr>
          <w:szCs w:val="20"/>
        </w:rPr>
        <w:t>1988),</w:t>
      </w:r>
      <w:r w:rsidR="00C64050">
        <w:rPr>
          <w:szCs w:val="20"/>
        </w:rPr>
        <w:t xml:space="preserve"> </w:t>
      </w:r>
      <w:r w:rsidRPr="00BA2AE4">
        <w:rPr>
          <w:szCs w:val="20"/>
        </w:rPr>
        <w:t>our</w:t>
      </w:r>
      <w:r w:rsidR="00C64050">
        <w:rPr>
          <w:szCs w:val="20"/>
        </w:rPr>
        <w:t xml:space="preserve"> </w:t>
      </w:r>
      <w:r w:rsidRPr="00BA2AE4">
        <w:rPr>
          <w:szCs w:val="20"/>
        </w:rPr>
        <w:t>supreme</w:t>
      </w:r>
      <w:r w:rsidR="00C64050">
        <w:rPr>
          <w:szCs w:val="20"/>
        </w:rPr>
        <w:t xml:space="preserve"> </w:t>
      </w:r>
      <w:r w:rsidRPr="00BA2AE4">
        <w:rPr>
          <w:szCs w:val="20"/>
        </w:rPr>
        <w:t>court</w:t>
      </w:r>
      <w:r w:rsidR="00C64050">
        <w:rPr>
          <w:szCs w:val="20"/>
        </w:rPr>
        <w:t xml:space="preserve"> </w:t>
      </w:r>
      <w:r w:rsidRPr="00BA2AE4">
        <w:rPr>
          <w:szCs w:val="20"/>
        </w:rPr>
        <w:t>was</w:t>
      </w:r>
      <w:r w:rsidR="00C64050">
        <w:rPr>
          <w:szCs w:val="20"/>
        </w:rPr>
        <w:t xml:space="preserve"> </w:t>
      </w:r>
      <w:r w:rsidRPr="00BA2AE4">
        <w:rPr>
          <w:szCs w:val="20"/>
        </w:rPr>
        <w:t>faced</w:t>
      </w:r>
      <w:r w:rsidR="00C64050">
        <w:rPr>
          <w:szCs w:val="20"/>
        </w:rPr>
        <w:t xml:space="preserve"> </w:t>
      </w:r>
      <w:r w:rsidRPr="00BA2AE4">
        <w:rPr>
          <w:szCs w:val="20"/>
        </w:rPr>
        <w:t>with</w:t>
      </w:r>
      <w:r w:rsidR="00C64050">
        <w:rPr>
          <w:szCs w:val="20"/>
        </w:rPr>
        <w:t xml:space="preserve"> </w:t>
      </w:r>
      <w:r w:rsidRPr="00BA2AE4">
        <w:rPr>
          <w:szCs w:val="20"/>
        </w:rPr>
        <w:t>the</w:t>
      </w:r>
      <w:r w:rsidR="00C64050">
        <w:rPr>
          <w:szCs w:val="20"/>
        </w:rPr>
        <w:t xml:space="preserve"> </w:t>
      </w:r>
      <w:r w:rsidRPr="00BA2AE4">
        <w:rPr>
          <w:szCs w:val="20"/>
        </w:rPr>
        <w:t>question</w:t>
      </w:r>
      <w:r w:rsidR="00C64050">
        <w:rPr>
          <w:szCs w:val="20"/>
        </w:rPr>
        <w:t xml:space="preserve"> </w:t>
      </w:r>
      <w:r w:rsidRPr="00BA2AE4">
        <w:rPr>
          <w:szCs w:val="20"/>
        </w:rPr>
        <w:t>of</w:t>
      </w:r>
      <w:r w:rsidR="00C64050">
        <w:rPr>
          <w:szCs w:val="20"/>
        </w:rPr>
        <w:t xml:space="preserve"> </w:t>
      </w:r>
      <w:r w:rsidRPr="00BA2AE4">
        <w:rPr>
          <w:szCs w:val="20"/>
        </w:rPr>
        <w:t>whether</w:t>
      </w:r>
      <w:r w:rsidR="00C64050">
        <w:rPr>
          <w:szCs w:val="20"/>
        </w:rPr>
        <w:t xml:space="preserve"> </w:t>
      </w:r>
      <w:r w:rsidRPr="00BA2AE4">
        <w:rPr>
          <w:szCs w:val="20"/>
        </w:rPr>
        <w:t>it</w:t>
      </w:r>
      <w:r w:rsidR="00C64050">
        <w:rPr>
          <w:szCs w:val="20"/>
        </w:rPr>
        <w:t xml:space="preserve"> </w:t>
      </w:r>
      <w:r w:rsidRPr="00BA2AE4">
        <w:rPr>
          <w:szCs w:val="20"/>
        </w:rPr>
        <w:t>was</w:t>
      </w:r>
      <w:r w:rsidR="00C64050">
        <w:rPr>
          <w:szCs w:val="20"/>
        </w:rPr>
        <w:t xml:space="preserve"> </w:t>
      </w:r>
      <w:r w:rsidRPr="00BA2AE4">
        <w:rPr>
          <w:szCs w:val="20"/>
        </w:rPr>
        <w:t>malpractice</w:t>
      </w:r>
      <w:r w:rsidR="00C64050">
        <w:rPr>
          <w:szCs w:val="20"/>
        </w:rPr>
        <w:t xml:space="preserve"> </w:t>
      </w:r>
      <w:r w:rsidRPr="00BA2AE4">
        <w:rPr>
          <w:szCs w:val="20"/>
        </w:rPr>
        <w:t>for</w:t>
      </w:r>
      <w:r w:rsidR="00C64050">
        <w:rPr>
          <w:szCs w:val="20"/>
        </w:rPr>
        <w:t xml:space="preserve"> </w:t>
      </w:r>
      <w:r w:rsidRPr="00BA2AE4">
        <w:rPr>
          <w:szCs w:val="20"/>
        </w:rPr>
        <w:t>an</w:t>
      </w:r>
      <w:r w:rsidR="00C64050">
        <w:rPr>
          <w:szCs w:val="20"/>
        </w:rPr>
        <w:t xml:space="preserve"> </w:t>
      </w:r>
      <w:r w:rsidRPr="00BA2AE4">
        <w:rPr>
          <w:szCs w:val="20"/>
        </w:rPr>
        <w:t>attorney</w:t>
      </w:r>
      <w:r w:rsidR="00C64050">
        <w:rPr>
          <w:szCs w:val="20"/>
        </w:rPr>
        <w:t xml:space="preserve"> </w:t>
      </w:r>
      <w:r w:rsidRPr="00BA2AE4">
        <w:rPr>
          <w:szCs w:val="20"/>
        </w:rPr>
        <w:t>to</w:t>
      </w:r>
      <w:r w:rsidR="00C64050">
        <w:rPr>
          <w:szCs w:val="20"/>
        </w:rPr>
        <w:t xml:space="preserve"> </w:t>
      </w:r>
      <w:r w:rsidRPr="00BA2AE4">
        <w:rPr>
          <w:szCs w:val="20"/>
        </w:rPr>
        <w:t>draft</w:t>
      </w:r>
      <w:r w:rsidR="00C64050">
        <w:rPr>
          <w:szCs w:val="20"/>
        </w:rPr>
        <w:t xml:space="preserve"> </w:t>
      </w:r>
      <w:r w:rsidRPr="00BA2AE4">
        <w:rPr>
          <w:szCs w:val="20"/>
        </w:rPr>
        <w:t>a</w:t>
      </w:r>
      <w:r w:rsidR="00C64050">
        <w:rPr>
          <w:szCs w:val="20"/>
        </w:rPr>
        <w:t xml:space="preserve"> </w:t>
      </w:r>
      <w:r w:rsidRPr="00BA2AE4">
        <w:rPr>
          <w:szCs w:val="20"/>
        </w:rPr>
        <w:t>will,</w:t>
      </w:r>
      <w:r w:rsidR="00C64050">
        <w:rPr>
          <w:szCs w:val="20"/>
        </w:rPr>
        <w:t xml:space="preserve"> </w:t>
      </w:r>
      <w:r w:rsidRPr="00BA2AE4">
        <w:rPr>
          <w:szCs w:val="20"/>
        </w:rPr>
        <w:t>and</w:t>
      </w:r>
      <w:r w:rsidR="00C64050">
        <w:rPr>
          <w:szCs w:val="20"/>
        </w:rPr>
        <w:t xml:space="preserve"> </w:t>
      </w:r>
      <w:r w:rsidRPr="00BA2AE4">
        <w:rPr>
          <w:szCs w:val="20"/>
        </w:rPr>
        <w:t>not</w:t>
      </w:r>
      <w:r w:rsidR="00C64050">
        <w:rPr>
          <w:szCs w:val="20"/>
        </w:rPr>
        <w:t xml:space="preserve"> </w:t>
      </w:r>
      <w:r w:rsidRPr="00BA2AE4">
        <w:rPr>
          <w:szCs w:val="20"/>
        </w:rPr>
        <w:t>a</w:t>
      </w:r>
      <w:r w:rsidR="00C64050">
        <w:rPr>
          <w:szCs w:val="20"/>
        </w:rPr>
        <w:t xml:space="preserve"> </w:t>
      </w:r>
      <w:r w:rsidRPr="00BA2AE4">
        <w:rPr>
          <w:szCs w:val="20"/>
        </w:rPr>
        <w:t>trust,</w:t>
      </w:r>
      <w:r w:rsidR="00C64050">
        <w:rPr>
          <w:szCs w:val="20"/>
        </w:rPr>
        <w:t xml:space="preserve"> </w:t>
      </w:r>
      <w:r w:rsidRPr="00BA2AE4">
        <w:rPr>
          <w:szCs w:val="20"/>
        </w:rPr>
        <w:t>for</w:t>
      </w:r>
      <w:r w:rsidR="00C64050">
        <w:rPr>
          <w:szCs w:val="20"/>
        </w:rPr>
        <w:t xml:space="preserve"> </w:t>
      </w:r>
      <w:r w:rsidRPr="00BA2AE4">
        <w:rPr>
          <w:szCs w:val="20"/>
        </w:rPr>
        <w:t>a</w:t>
      </w:r>
      <w:r w:rsidR="00C64050">
        <w:rPr>
          <w:szCs w:val="20"/>
        </w:rPr>
        <w:t xml:space="preserve"> </w:t>
      </w:r>
      <w:r w:rsidRPr="00BA2AE4">
        <w:rPr>
          <w:szCs w:val="20"/>
        </w:rPr>
        <w:t>client</w:t>
      </w:r>
      <w:r w:rsidR="00C64050">
        <w:rPr>
          <w:szCs w:val="20"/>
        </w:rPr>
        <w:t xml:space="preserve"> </w:t>
      </w:r>
      <w:r w:rsidRPr="00BA2AE4">
        <w:rPr>
          <w:szCs w:val="20"/>
        </w:rPr>
        <w:t>who</w:t>
      </w:r>
      <w:r w:rsidR="00C64050">
        <w:rPr>
          <w:szCs w:val="20"/>
        </w:rPr>
        <w:t xml:space="preserve"> </w:t>
      </w:r>
      <w:r w:rsidRPr="00BA2AE4">
        <w:rPr>
          <w:szCs w:val="20"/>
        </w:rPr>
        <w:t>had</w:t>
      </w:r>
      <w:r w:rsidR="00C64050">
        <w:rPr>
          <w:szCs w:val="20"/>
        </w:rPr>
        <w:t xml:space="preserve"> </w:t>
      </w:r>
      <w:r w:rsidRPr="00BA2AE4">
        <w:rPr>
          <w:szCs w:val="20"/>
        </w:rPr>
        <w:t>recently</w:t>
      </w:r>
      <w:r w:rsidR="00C64050">
        <w:rPr>
          <w:szCs w:val="20"/>
        </w:rPr>
        <w:t xml:space="preserve"> </w:t>
      </w:r>
      <w:r w:rsidRPr="00BA2AE4">
        <w:rPr>
          <w:szCs w:val="20"/>
        </w:rPr>
        <w:t>learned</w:t>
      </w:r>
      <w:r w:rsidR="00C64050">
        <w:rPr>
          <w:szCs w:val="20"/>
        </w:rPr>
        <w:t xml:space="preserve"> </w:t>
      </w:r>
      <w:r w:rsidRPr="00BA2AE4">
        <w:rPr>
          <w:szCs w:val="20"/>
        </w:rPr>
        <w:t>of</w:t>
      </w:r>
      <w:r w:rsidR="00C64050">
        <w:rPr>
          <w:szCs w:val="20"/>
        </w:rPr>
        <w:t xml:space="preserve"> </w:t>
      </w:r>
      <w:r w:rsidRPr="00BA2AE4">
        <w:rPr>
          <w:szCs w:val="20"/>
        </w:rPr>
        <w:t>a</w:t>
      </w:r>
      <w:r w:rsidR="00C64050">
        <w:rPr>
          <w:szCs w:val="20"/>
        </w:rPr>
        <w:t xml:space="preserve"> </w:t>
      </w:r>
      <w:r w:rsidRPr="00BA2AE4">
        <w:rPr>
          <w:szCs w:val="20"/>
        </w:rPr>
        <w:t>fatal</w:t>
      </w:r>
      <w:r w:rsidR="00C64050">
        <w:rPr>
          <w:szCs w:val="20"/>
        </w:rPr>
        <w:t xml:space="preserve"> </w:t>
      </w:r>
      <w:r w:rsidRPr="00BA2AE4">
        <w:rPr>
          <w:szCs w:val="20"/>
        </w:rPr>
        <w:t>diagnosis</w:t>
      </w:r>
      <w:r w:rsidR="00C64050">
        <w:rPr>
          <w:szCs w:val="20"/>
        </w:rPr>
        <w:t xml:space="preserve"> </w:t>
      </w:r>
      <w:r w:rsidRPr="00BA2AE4">
        <w:rPr>
          <w:szCs w:val="20"/>
        </w:rPr>
        <w:t>and</w:t>
      </w:r>
      <w:r w:rsidR="00C64050">
        <w:rPr>
          <w:szCs w:val="20"/>
        </w:rPr>
        <w:t xml:space="preserve"> </w:t>
      </w:r>
      <w:r w:rsidRPr="00BA2AE4">
        <w:rPr>
          <w:szCs w:val="20"/>
        </w:rPr>
        <w:t>who</w:t>
      </w:r>
      <w:r w:rsidR="00C64050">
        <w:rPr>
          <w:szCs w:val="20"/>
        </w:rPr>
        <w:t xml:space="preserve"> </w:t>
      </w:r>
      <w:r w:rsidRPr="00BA2AE4">
        <w:rPr>
          <w:szCs w:val="20"/>
        </w:rPr>
        <w:t>“had</w:t>
      </w:r>
      <w:r w:rsidR="00C64050">
        <w:rPr>
          <w:szCs w:val="20"/>
        </w:rPr>
        <w:t xml:space="preserve"> </w:t>
      </w:r>
      <w:r w:rsidRPr="00BA2AE4">
        <w:rPr>
          <w:szCs w:val="20"/>
        </w:rPr>
        <w:t>come</w:t>
      </w:r>
      <w:r w:rsidR="00C64050">
        <w:rPr>
          <w:szCs w:val="20"/>
        </w:rPr>
        <w:t xml:space="preserve"> </w:t>
      </w:r>
      <w:r w:rsidRPr="00BA2AE4">
        <w:rPr>
          <w:szCs w:val="20"/>
        </w:rPr>
        <w:t>[to</w:t>
      </w:r>
      <w:r w:rsidR="00C64050">
        <w:rPr>
          <w:szCs w:val="20"/>
        </w:rPr>
        <w:t xml:space="preserve"> </w:t>
      </w:r>
      <w:r w:rsidRPr="00BA2AE4">
        <w:rPr>
          <w:szCs w:val="20"/>
        </w:rPr>
        <w:t>the</w:t>
      </w:r>
      <w:r w:rsidR="00C64050">
        <w:rPr>
          <w:szCs w:val="20"/>
        </w:rPr>
        <w:t xml:space="preserve"> </w:t>
      </w:r>
      <w:r w:rsidRPr="00BA2AE4">
        <w:rPr>
          <w:szCs w:val="20"/>
        </w:rPr>
        <w:t>attorney]</w:t>
      </w:r>
      <w:r w:rsidR="00C64050">
        <w:rPr>
          <w:szCs w:val="20"/>
        </w:rPr>
        <w:t xml:space="preserve"> </w:t>
      </w:r>
      <w:r w:rsidRPr="00BA2AE4">
        <w:rPr>
          <w:szCs w:val="20"/>
        </w:rPr>
        <w:t>for</w:t>
      </w:r>
      <w:r w:rsidR="00C64050">
        <w:rPr>
          <w:szCs w:val="20"/>
        </w:rPr>
        <w:t xml:space="preserve"> </w:t>
      </w:r>
      <w:r w:rsidRPr="00BA2AE4">
        <w:rPr>
          <w:szCs w:val="20"/>
        </w:rPr>
        <w:t>the</w:t>
      </w:r>
      <w:r w:rsidR="00C64050">
        <w:rPr>
          <w:szCs w:val="20"/>
        </w:rPr>
        <w:t xml:space="preserve"> </w:t>
      </w:r>
      <w:r w:rsidRPr="00BA2AE4">
        <w:rPr>
          <w:szCs w:val="20"/>
        </w:rPr>
        <w:t>stated</w:t>
      </w:r>
      <w:r w:rsidR="00C64050">
        <w:rPr>
          <w:szCs w:val="20"/>
        </w:rPr>
        <w:t xml:space="preserve"> </w:t>
      </w:r>
      <w:r w:rsidRPr="00BA2AE4">
        <w:rPr>
          <w:szCs w:val="20"/>
        </w:rPr>
        <w:t>purpose</w:t>
      </w:r>
      <w:r w:rsidR="00C64050">
        <w:rPr>
          <w:szCs w:val="20"/>
        </w:rPr>
        <w:t xml:space="preserve"> </w:t>
      </w:r>
      <w:r w:rsidRPr="00BA2AE4">
        <w:rPr>
          <w:szCs w:val="20"/>
        </w:rPr>
        <w:t>of</w:t>
      </w:r>
      <w:r w:rsidR="00C64050">
        <w:rPr>
          <w:szCs w:val="20"/>
        </w:rPr>
        <w:t xml:space="preserve"> </w:t>
      </w:r>
      <w:r w:rsidRPr="00BA2AE4">
        <w:rPr>
          <w:szCs w:val="20"/>
        </w:rPr>
        <w:t>depriving</w:t>
      </w:r>
      <w:r w:rsidR="00C64050">
        <w:rPr>
          <w:szCs w:val="20"/>
        </w:rPr>
        <w:t xml:space="preserve"> </w:t>
      </w:r>
      <w:r w:rsidRPr="00BA2AE4">
        <w:rPr>
          <w:szCs w:val="20"/>
        </w:rPr>
        <w:t>her</w:t>
      </w:r>
      <w:r w:rsidR="00C64050">
        <w:rPr>
          <w:szCs w:val="20"/>
        </w:rPr>
        <w:t xml:space="preserve"> </w:t>
      </w:r>
      <w:r w:rsidRPr="00BA2AE4">
        <w:rPr>
          <w:szCs w:val="20"/>
        </w:rPr>
        <w:t>husband</w:t>
      </w:r>
      <w:r w:rsidR="00C64050">
        <w:rPr>
          <w:szCs w:val="20"/>
        </w:rPr>
        <w:t xml:space="preserve"> </w:t>
      </w:r>
      <w:r w:rsidRPr="00BA2AE4">
        <w:rPr>
          <w:szCs w:val="20"/>
        </w:rPr>
        <w:t>of</w:t>
      </w:r>
      <w:r w:rsidR="00C64050">
        <w:rPr>
          <w:szCs w:val="20"/>
        </w:rPr>
        <w:t xml:space="preserve"> </w:t>
      </w:r>
      <w:r w:rsidRPr="00BA2AE4">
        <w:rPr>
          <w:szCs w:val="20"/>
        </w:rPr>
        <w:t>any</w:t>
      </w:r>
      <w:r w:rsidR="00C64050">
        <w:rPr>
          <w:szCs w:val="20"/>
        </w:rPr>
        <w:t xml:space="preserve"> </w:t>
      </w:r>
      <w:r w:rsidRPr="00BA2AE4">
        <w:rPr>
          <w:szCs w:val="20"/>
        </w:rPr>
        <w:t>interest</w:t>
      </w:r>
      <w:r w:rsidR="00C64050">
        <w:rPr>
          <w:szCs w:val="20"/>
        </w:rPr>
        <w:t xml:space="preserve"> </w:t>
      </w:r>
      <w:r w:rsidRPr="00BA2AE4">
        <w:rPr>
          <w:szCs w:val="20"/>
        </w:rPr>
        <w:t>in</w:t>
      </w:r>
      <w:r w:rsidR="00C64050">
        <w:rPr>
          <w:szCs w:val="20"/>
        </w:rPr>
        <w:t xml:space="preserve"> </w:t>
      </w:r>
      <w:r w:rsidRPr="00BA2AE4">
        <w:rPr>
          <w:szCs w:val="20"/>
        </w:rPr>
        <w:t>her</w:t>
      </w:r>
      <w:r w:rsidR="00C64050">
        <w:rPr>
          <w:szCs w:val="20"/>
        </w:rPr>
        <w:t xml:space="preserve"> </w:t>
      </w:r>
      <w:r w:rsidRPr="00BA2AE4">
        <w:rPr>
          <w:szCs w:val="20"/>
        </w:rPr>
        <w:t>estate.”</w:t>
      </w:r>
      <w:r w:rsidR="00C64050">
        <w:rPr>
          <w:szCs w:val="20"/>
        </w:rPr>
        <w:t xml:space="preserve"> </w:t>
      </w:r>
      <w:r w:rsidRPr="00BA2AE4">
        <w:rPr>
          <w:szCs w:val="20"/>
        </w:rPr>
        <w:t>Acknowledging</w:t>
      </w:r>
      <w:r w:rsidR="00C64050">
        <w:rPr>
          <w:szCs w:val="20"/>
        </w:rPr>
        <w:t xml:space="preserve"> </w:t>
      </w:r>
      <w:r w:rsidRPr="00BA2AE4">
        <w:rPr>
          <w:szCs w:val="20"/>
        </w:rPr>
        <w:t>both</w:t>
      </w:r>
      <w:r w:rsidR="00C64050">
        <w:rPr>
          <w:szCs w:val="20"/>
        </w:rPr>
        <w:t xml:space="preserve"> </w:t>
      </w:r>
      <w:r w:rsidRPr="00BA2AE4">
        <w:rPr>
          <w:szCs w:val="20"/>
        </w:rPr>
        <w:t>the</w:t>
      </w:r>
      <w:r w:rsidR="00C64050">
        <w:rPr>
          <w:szCs w:val="20"/>
        </w:rPr>
        <w:t xml:space="preserve"> </w:t>
      </w:r>
      <w:r w:rsidRPr="00BA2AE4">
        <w:rPr>
          <w:szCs w:val="20"/>
        </w:rPr>
        <w:t>rule</w:t>
      </w:r>
      <w:r w:rsidR="00C64050">
        <w:rPr>
          <w:szCs w:val="20"/>
        </w:rPr>
        <w:t xml:space="preserve"> </w:t>
      </w:r>
      <w:r w:rsidRPr="00BA2AE4">
        <w:rPr>
          <w:szCs w:val="20"/>
        </w:rPr>
        <w:t>set</w:t>
      </w:r>
      <w:r w:rsidR="00C64050">
        <w:rPr>
          <w:szCs w:val="20"/>
        </w:rPr>
        <w:t xml:space="preserve"> </w:t>
      </w:r>
      <w:r w:rsidRPr="00BA2AE4">
        <w:rPr>
          <w:szCs w:val="20"/>
        </w:rPr>
        <w:t>forth</w:t>
      </w:r>
      <w:r w:rsidR="00C64050">
        <w:rPr>
          <w:szCs w:val="20"/>
        </w:rPr>
        <w:t xml:space="preserve"> </w:t>
      </w:r>
      <w:r w:rsidRPr="00BA2AE4">
        <w:rPr>
          <w:szCs w:val="20"/>
        </w:rPr>
        <w:t>in</w:t>
      </w:r>
      <w:r w:rsidR="00C64050">
        <w:rPr>
          <w:szCs w:val="20"/>
        </w:rPr>
        <w:t xml:space="preserve"> </w:t>
      </w:r>
      <w:hyperlink r:id="rId429" w:history="1">
        <w:r w:rsidRPr="00BA2AE4">
          <w:rPr>
            <w:rStyle w:val="Emphasis"/>
            <w:szCs w:val="20"/>
          </w:rPr>
          <w:t>Leazenby</w:t>
        </w:r>
      </w:hyperlink>
      <w:r w:rsidR="00C64050">
        <w:rPr>
          <w:szCs w:val="20"/>
        </w:rPr>
        <w:t xml:space="preserve"> </w:t>
      </w:r>
      <w:r w:rsidRPr="00BA2AE4">
        <w:rPr>
          <w:szCs w:val="20"/>
        </w:rPr>
        <w:t>and</w:t>
      </w:r>
      <w:r w:rsidR="00C64050">
        <w:rPr>
          <w:szCs w:val="20"/>
        </w:rPr>
        <w:t xml:space="preserve"> </w:t>
      </w:r>
      <w:r w:rsidRPr="00BA2AE4">
        <w:rPr>
          <w:szCs w:val="20"/>
        </w:rPr>
        <w:t>the</w:t>
      </w:r>
      <w:r w:rsidR="00C64050">
        <w:rPr>
          <w:szCs w:val="20"/>
        </w:rPr>
        <w:t xml:space="preserve"> </w:t>
      </w:r>
      <w:r w:rsidRPr="00BA2AE4">
        <w:rPr>
          <w:szCs w:val="20"/>
        </w:rPr>
        <w:t>holding</w:t>
      </w:r>
      <w:r w:rsidR="00C64050">
        <w:rPr>
          <w:szCs w:val="20"/>
        </w:rPr>
        <w:t xml:space="preserve"> </w:t>
      </w:r>
      <w:r w:rsidRPr="00BA2AE4">
        <w:rPr>
          <w:szCs w:val="20"/>
        </w:rPr>
        <w:t>of</w:t>
      </w:r>
      <w:r w:rsidR="00C64050">
        <w:rPr>
          <w:szCs w:val="20"/>
        </w:rPr>
        <w:t xml:space="preserve"> </w:t>
      </w:r>
      <w:r w:rsidRPr="00BA2AE4">
        <w:rPr>
          <w:rStyle w:val="Emphasis"/>
          <w:szCs w:val="20"/>
        </w:rPr>
        <w:t>Crawfordsville</w:t>
      </w:r>
      <w:r w:rsidR="00C64050">
        <w:rPr>
          <w:rStyle w:val="Emphasis"/>
          <w:szCs w:val="20"/>
        </w:rPr>
        <w:t xml:space="preserve"> </w:t>
      </w:r>
      <w:r w:rsidRPr="00BA2AE4">
        <w:rPr>
          <w:rStyle w:val="Emphasis"/>
          <w:szCs w:val="20"/>
        </w:rPr>
        <w:t>Trust</w:t>
      </w:r>
      <w:r w:rsidR="00C64050">
        <w:rPr>
          <w:rStyle w:val="Emphasis"/>
          <w:szCs w:val="20"/>
        </w:rPr>
        <w:t xml:space="preserve"> </w:t>
      </w:r>
      <w:r w:rsidRPr="00BA2AE4">
        <w:rPr>
          <w:rStyle w:val="Emphasis"/>
          <w:szCs w:val="20"/>
        </w:rPr>
        <w:t>Co.</w:t>
      </w:r>
      <w:r w:rsidR="00C64050">
        <w:rPr>
          <w:rStyle w:val="Emphasis"/>
          <w:szCs w:val="20"/>
        </w:rPr>
        <w:t xml:space="preserve"> </w:t>
      </w:r>
      <w:r w:rsidRPr="00BA2AE4">
        <w:rPr>
          <w:rStyle w:val="Emphasis"/>
          <w:szCs w:val="20"/>
        </w:rPr>
        <w:t>v.</w:t>
      </w:r>
      <w:r w:rsidR="00C64050">
        <w:rPr>
          <w:rStyle w:val="Emphasis"/>
          <w:szCs w:val="20"/>
        </w:rPr>
        <w:t xml:space="preserve"> </w:t>
      </w:r>
      <w:r w:rsidRPr="00BA2AE4">
        <w:rPr>
          <w:rStyle w:val="Emphasis"/>
          <w:szCs w:val="20"/>
        </w:rPr>
        <w:t>Ramsey</w:t>
      </w:r>
      <w:r w:rsidRPr="00BA2AE4">
        <w:rPr>
          <w:szCs w:val="20"/>
        </w:rPr>
        <w:t>,</w:t>
      </w:r>
      <w:r w:rsidR="00C64050">
        <w:rPr>
          <w:szCs w:val="20"/>
        </w:rPr>
        <w:t xml:space="preserve"> </w:t>
      </w:r>
      <w:r w:rsidRPr="00BA2AE4">
        <w:rPr>
          <w:szCs w:val="20"/>
        </w:rPr>
        <w:t>55</w:t>
      </w:r>
      <w:r w:rsidR="00C64050">
        <w:rPr>
          <w:szCs w:val="20"/>
        </w:rPr>
        <w:t xml:space="preserve"> </w:t>
      </w:r>
      <w:r w:rsidRPr="00BA2AE4">
        <w:rPr>
          <w:szCs w:val="20"/>
        </w:rPr>
        <w:t>Ind.App.</w:t>
      </w:r>
      <w:r w:rsidR="00C64050">
        <w:rPr>
          <w:szCs w:val="20"/>
        </w:rPr>
        <w:t xml:space="preserve"> </w:t>
      </w:r>
      <w:r w:rsidRPr="00BA2AE4">
        <w:rPr>
          <w:szCs w:val="20"/>
        </w:rPr>
        <w:t>40,</w:t>
      </w:r>
      <w:r w:rsidR="00C64050">
        <w:rPr>
          <w:szCs w:val="20"/>
        </w:rPr>
        <w:t xml:space="preserve"> </w:t>
      </w:r>
      <w:r w:rsidRPr="00BA2AE4">
        <w:rPr>
          <w:szCs w:val="20"/>
        </w:rPr>
        <w:t>100</w:t>
      </w:r>
      <w:r w:rsidR="00C64050">
        <w:rPr>
          <w:szCs w:val="20"/>
        </w:rPr>
        <w:t xml:space="preserve"> </w:t>
      </w:r>
      <w:r w:rsidRPr="00BA2AE4">
        <w:rPr>
          <w:szCs w:val="20"/>
        </w:rPr>
        <w:t>N.E.1049</w:t>
      </w:r>
      <w:r w:rsidR="00C64050">
        <w:rPr>
          <w:szCs w:val="20"/>
        </w:rPr>
        <w:t xml:space="preserve"> </w:t>
      </w:r>
      <w:r w:rsidRPr="00BA2AE4">
        <w:rPr>
          <w:szCs w:val="20"/>
        </w:rPr>
        <w:t>(1913),</w:t>
      </w:r>
      <w:r w:rsidR="00C64050">
        <w:rPr>
          <w:szCs w:val="20"/>
        </w:rPr>
        <w:t xml:space="preserve"> </w:t>
      </w:r>
      <w:r w:rsidRPr="00BA2AE4">
        <w:rPr>
          <w:szCs w:val="20"/>
        </w:rPr>
        <w:t>in</w:t>
      </w:r>
      <w:r w:rsidR="00C64050">
        <w:rPr>
          <w:szCs w:val="20"/>
        </w:rPr>
        <w:t xml:space="preserve"> </w:t>
      </w:r>
      <w:r w:rsidRPr="00BA2AE4">
        <w:rPr>
          <w:szCs w:val="20"/>
        </w:rPr>
        <w:t>which</w:t>
      </w:r>
      <w:r w:rsidR="00C64050">
        <w:rPr>
          <w:szCs w:val="20"/>
        </w:rPr>
        <w:t xml:space="preserve"> </w:t>
      </w:r>
      <w:r w:rsidRPr="00BA2AE4">
        <w:rPr>
          <w:szCs w:val="20"/>
        </w:rPr>
        <w:t>the</w:t>
      </w:r>
      <w:r w:rsidR="00C64050">
        <w:rPr>
          <w:szCs w:val="20"/>
        </w:rPr>
        <w:t xml:space="preserve"> </w:t>
      </w:r>
      <w:r w:rsidRPr="00BA2AE4">
        <w:rPr>
          <w:szCs w:val="20"/>
        </w:rPr>
        <w:t>court</w:t>
      </w:r>
      <w:r w:rsidR="00C64050">
        <w:rPr>
          <w:szCs w:val="20"/>
        </w:rPr>
        <w:t xml:space="preserve"> </w:t>
      </w:r>
      <w:r w:rsidRPr="00BA2AE4">
        <w:rPr>
          <w:szCs w:val="20"/>
        </w:rPr>
        <w:t>upheld</w:t>
      </w:r>
      <w:r w:rsidR="00C64050">
        <w:rPr>
          <w:szCs w:val="20"/>
        </w:rPr>
        <w:t xml:space="preserve"> </w:t>
      </w:r>
      <w:r w:rsidRPr="00BA2AE4">
        <w:rPr>
          <w:szCs w:val="20"/>
        </w:rPr>
        <w:t>the</w:t>
      </w:r>
      <w:r w:rsidR="00C64050">
        <w:rPr>
          <w:szCs w:val="20"/>
        </w:rPr>
        <w:t xml:space="preserve"> </w:t>
      </w:r>
      <w:r w:rsidRPr="00BA2AE4">
        <w:rPr>
          <w:szCs w:val="20"/>
        </w:rPr>
        <w:t>trial</w:t>
      </w:r>
      <w:r w:rsidR="00C64050">
        <w:rPr>
          <w:szCs w:val="20"/>
        </w:rPr>
        <w:t xml:space="preserve"> </w:t>
      </w:r>
      <w:r w:rsidRPr="00BA2AE4">
        <w:rPr>
          <w:szCs w:val="20"/>
        </w:rPr>
        <w:t>court's</w:t>
      </w:r>
      <w:r w:rsidR="00C64050">
        <w:rPr>
          <w:szCs w:val="20"/>
        </w:rPr>
        <w:t xml:space="preserve"> </w:t>
      </w:r>
      <w:r w:rsidRPr="00BA2AE4">
        <w:rPr>
          <w:szCs w:val="20"/>
        </w:rPr>
        <w:t>invalidation</w:t>
      </w:r>
      <w:r w:rsidR="00C64050">
        <w:rPr>
          <w:szCs w:val="20"/>
        </w:rPr>
        <w:t xml:space="preserve"> </w:t>
      </w:r>
      <w:r w:rsidRPr="00BA2AE4">
        <w:rPr>
          <w:szCs w:val="20"/>
        </w:rPr>
        <w:t>of</w:t>
      </w:r>
      <w:r w:rsidR="00C64050">
        <w:rPr>
          <w:szCs w:val="20"/>
        </w:rPr>
        <w:t xml:space="preserve"> </w:t>
      </w:r>
      <w:r w:rsidRPr="00BA2AE4">
        <w:rPr>
          <w:szCs w:val="20"/>
        </w:rPr>
        <w:t>assignments</w:t>
      </w:r>
      <w:r w:rsidR="00C64050">
        <w:rPr>
          <w:szCs w:val="20"/>
        </w:rPr>
        <w:t xml:space="preserve"> </w:t>
      </w:r>
      <w:r w:rsidRPr="00BA2AE4">
        <w:rPr>
          <w:szCs w:val="20"/>
        </w:rPr>
        <w:t>of</w:t>
      </w:r>
      <w:r w:rsidR="00C64050">
        <w:rPr>
          <w:szCs w:val="20"/>
        </w:rPr>
        <w:t xml:space="preserve"> </w:t>
      </w:r>
      <w:r w:rsidRPr="00BA2AE4">
        <w:rPr>
          <w:szCs w:val="20"/>
        </w:rPr>
        <w:t>stock</w:t>
      </w:r>
      <w:r w:rsidR="00C64050">
        <w:rPr>
          <w:szCs w:val="20"/>
        </w:rPr>
        <w:t xml:space="preserve"> </w:t>
      </w:r>
      <w:r w:rsidRPr="00BA2AE4">
        <w:rPr>
          <w:szCs w:val="20"/>
        </w:rPr>
        <w:t>and</w:t>
      </w:r>
      <w:r w:rsidR="00C64050">
        <w:rPr>
          <w:szCs w:val="20"/>
        </w:rPr>
        <w:t xml:space="preserve"> </w:t>
      </w:r>
      <w:r w:rsidRPr="00BA2AE4">
        <w:rPr>
          <w:szCs w:val="20"/>
        </w:rPr>
        <w:t>bonds</w:t>
      </w:r>
      <w:r w:rsidR="00C64050">
        <w:rPr>
          <w:szCs w:val="20"/>
        </w:rPr>
        <w:t xml:space="preserve"> </w:t>
      </w:r>
      <w:r w:rsidRPr="00BA2AE4">
        <w:rPr>
          <w:szCs w:val="20"/>
        </w:rPr>
        <w:t>by</w:t>
      </w:r>
      <w:r w:rsidR="00C64050">
        <w:rPr>
          <w:szCs w:val="20"/>
        </w:rPr>
        <w:t xml:space="preserve"> </w:t>
      </w:r>
      <w:r w:rsidRPr="00BA2AE4">
        <w:rPr>
          <w:szCs w:val="20"/>
        </w:rPr>
        <w:t>a</w:t>
      </w:r>
      <w:r w:rsidR="00C64050">
        <w:rPr>
          <w:szCs w:val="20"/>
        </w:rPr>
        <w:t xml:space="preserve"> </w:t>
      </w:r>
      <w:r w:rsidRPr="00BA2AE4">
        <w:rPr>
          <w:szCs w:val="20"/>
        </w:rPr>
        <w:t>spouse</w:t>
      </w:r>
      <w:r w:rsidR="00C64050">
        <w:rPr>
          <w:szCs w:val="20"/>
        </w:rPr>
        <w:t xml:space="preserve"> </w:t>
      </w:r>
      <w:r w:rsidRPr="00BA2AE4">
        <w:rPr>
          <w:szCs w:val="20"/>
        </w:rPr>
        <w:t>who</w:t>
      </w:r>
      <w:r w:rsidR="00C64050">
        <w:rPr>
          <w:szCs w:val="20"/>
        </w:rPr>
        <w:t xml:space="preserve"> </w:t>
      </w:r>
      <w:r w:rsidRPr="00BA2AE4">
        <w:rPr>
          <w:szCs w:val="20"/>
        </w:rPr>
        <w:t>made</w:t>
      </w:r>
      <w:r w:rsidR="00C64050">
        <w:rPr>
          <w:szCs w:val="20"/>
        </w:rPr>
        <w:t xml:space="preserve"> </w:t>
      </w:r>
      <w:r w:rsidRPr="00BA2AE4">
        <w:rPr>
          <w:szCs w:val="20"/>
        </w:rPr>
        <w:t>the</w:t>
      </w:r>
      <w:r w:rsidR="00C64050">
        <w:rPr>
          <w:szCs w:val="20"/>
        </w:rPr>
        <w:t xml:space="preserve"> </w:t>
      </w:r>
      <w:r w:rsidRPr="00BA2AE4">
        <w:rPr>
          <w:szCs w:val="20"/>
        </w:rPr>
        <w:t>assignments</w:t>
      </w:r>
      <w:r w:rsidR="00C64050">
        <w:rPr>
          <w:szCs w:val="20"/>
        </w:rPr>
        <w:t xml:space="preserve"> </w:t>
      </w:r>
      <w:r w:rsidRPr="00BA2AE4">
        <w:rPr>
          <w:szCs w:val="20"/>
        </w:rPr>
        <w:t>knowing</w:t>
      </w:r>
      <w:r w:rsidR="00C64050">
        <w:rPr>
          <w:szCs w:val="20"/>
        </w:rPr>
        <w:t xml:space="preserve"> </w:t>
      </w:r>
      <w:r w:rsidRPr="00BA2AE4">
        <w:rPr>
          <w:szCs w:val="20"/>
        </w:rPr>
        <w:t>he</w:t>
      </w:r>
      <w:r w:rsidR="00C64050">
        <w:rPr>
          <w:szCs w:val="20"/>
        </w:rPr>
        <w:t xml:space="preserve"> </w:t>
      </w:r>
      <w:r w:rsidRPr="00BA2AE4">
        <w:rPr>
          <w:szCs w:val="20"/>
        </w:rPr>
        <w:t>would</w:t>
      </w:r>
      <w:r w:rsidR="00C64050">
        <w:rPr>
          <w:szCs w:val="20"/>
        </w:rPr>
        <w:t xml:space="preserve"> </w:t>
      </w:r>
      <w:r w:rsidRPr="00BA2AE4">
        <w:rPr>
          <w:szCs w:val="20"/>
        </w:rPr>
        <w:t>soon</w:t>
      </w:r>
      <w:r w:rsidR="00C64050">
        <w:rPr>
          <w:szCs w:val="20"/>
        </w:rPr>
        <w:t xml:space="preserve"> </w:t>
      </w:r>
      <w:r w:rsidRPr="00BA2AE4">
        <w:rPr>
          <w:szCs w:val="20"/>
        </w:rPr>
        <w:t>die</w:t>
      </w:r>
      <w:r w:rsidR="00C64050">
        <w:rPr>
          <w:szCs w:val="20"/>
        </w:rPr>
        <w:t xml:space="preserve"> </w:t>
      </w:r>
      <w:r w:rsidRPr="00BA2AE4">
        <w:rPr>
          <w:szCs w:val="20"/>
        </w:rPr>
        <w:t>and</w:t>
      </w:r>
      <w:r w:rsidR="00C64050">
        <w:rPr>
          <w:szCs w:val="20"/>
        </w:rPr>
        <w:t xml:space="preserve"> </w:t>
      </w:r>
      <w:r w:rsidRPr="00BA2AE4">
        <w:rPr>
          <w:szCs w:val="20"/>
        </w:rPr>
        <w:t>for</w:t>
      </w:r>
      <w:r w:rsidR="00C64050">
        <w:rPr>
          <w:szCs w:val="20"/>
        </w:rPr>
        <w:t xml:space="preserve"> </w:t>
      </w:r>
      <w:r w:rsidRPr="00BA2AE4">
        <w:rPr>
          <w:szCs w:val="20"/>
        </w:rPr>
        <w:t>the</w:t>
      </w:r>
      <w:r w:rsidR="00C64050">
        <w:rPr>
          <w:szCs w:val="20"/>
        </w:rPr>
        <w:t xml:space="preserve"> </w:t>
      </w:r>
      <w:r w:rsidRPr="00BA2AE4">
        <w:rPr>
          <w:szCs w:val="20"/>
        </w:rPr>
        <w:t>sole</w:t>
      </w:r>
      <w:r w:rsidR="00C64050">
        <w:rPr>
          <w:szCs w:val="20"/>
        </w:rPr>
        <w:t xml:space="preserve"> </w:t>
      </w:r>
      <w:r w:rsidRPr="00BA2AE4">
        <w:rPr>
          <w:szCs w:val="20"/>
        </w:rPr>
        <w:t>purpose</w:t>
      </w:r>
      <w:r w:rsidR="00C64050">
        <w:rPr>
          <w:szCs w:val="20"/>
        </w:rPr>
        <w:t xml:space="preserve"> </w:t>
      </w:r>
      <w:r w:rsidRPr="00BA2AE4">
        <w:rPr>
          <w:szCs w:val="20"/>
        </w:rPr>
        <w:t>of</w:t>
      </w:r>
      <w:r w:rsidR="00C64050">
        <w:rPr>
          <w:szCs w:val="20"/>
        </w:rPr>
        <w:t xml:space="preserve"> </w:t>
      </w:r>
      <w:r w:rsidRPr="00BA2AE4">
        <w:rPr>
          <w:szCs w:val="20"/>
        </w:rPr>
        <w:t>defeating</w:t>
      </w:r>
      <w:r w:rsidR="00C64050">
        <w:rPr>
          <w:szCs w:val="20"/>
        </w:rPr>
        <w:t xml:space="preserve"> </w:t>
      </w:r>
      <w:r w:rsidRPr="00BA2AE4">
        <w:rPr>
          <w:szCs w:val="20"/>
        </w:rPr>
        <w:t>his</w:t>
      </w:r>
      <w:r w:rsidR="00C64050">
        <w:rPr>
          <w:szCs w:val="20"/>
        </w:rPr>
        <w:t xml:space="preserve"> </w:t>
      </w:r>
      <w:r w:rsidRPr="00BA2AE4">
        <w:rPr>
          <w:szCs w:val="20"/>
        </w:rPr>
        <w:t>spouse's</w:t>
      </w:r>
      <w:r w:rsidR="00C64050">
        <w:rPr>
          <w:szCs w:val="20"/>
        </w:rPr>
        <w:t xml:space="preserve"> </w:t>
      </w:r>
      <w:r w:rsidRPr="00BA2AE4">
        <w:rPr>
          <w:szCs w:val="20"/>
        </w:rPr>
        <w:t>elective</w:t>
      </w:r>
      <w:r w:rsidR="00C64050">
        <w:rPr>
          <w:szCs w:val="20"/>
        </w:rPr>
        <w:t xml:space="preserve"> </w:t>
      </w:r>
      <w:r w:rsidRPr="00BA2AE4">
        <w:rPr>
          <w:szCs w:val="20"/>
        </w:rPr>
        <w:t>rights</w:t>
      </w:r>
      <w:r w:rsidR="00C64050">
        <w:rPr>
          <w:szCs w:val="20"/>
        </w:rPr>
        <w:t xml:space="preserve"> </w:t>
      </w:r>
      <w:r w:rsidRPr="00BA2AE4">
        <w:rPr>
          <w:szCs w:val="20"/>
        </w:rPr>
        <w:t>with</w:t>
      </w:r>
      <w:r w:rsidR="00C64050">
        <w:rPr>
          <w:szCs w:val="20"/>
        </w:rPr>
        <w:t xml:space="preserve"> </w:t>
      </w:r>
      <w:r w:rsidRPr="00BA2AE4">
        <w:rPr>
          <w:szCs w:val="20"/>
        </w:rPr>
        <w:t>respect</w:t>
      </w:r>
      <w:r w:rsidR="00C64050">
        <w:rPr>
          <w:szCs w:val="20"/>
        </w:rPr>
        <w:t xml:space="preserve"> </w:t>
      </w:r>
      <w:r w:rsidRPr="00BA2AE4">
        <w:rPr>
          <w:szCs w:val="20"/>
        </w:rPr>
        <w:t>to</w:t>
      </w:r>
      <w:r w:rsidR="00C64050">
        <w:rPr>
          <w:szCs w:val="20"/>
        </w:rPr>
        <w:t xml:space="preserve"> </w:t>
      </w:r>
      <w:r w:rsidRPr="00BA2AE4">
        <w:rPr>
          <w:szCs w:val="20"/>
        </w:rPr>
        <w:t>the</w:t>
      </w:r>
      <w:r w:rsidR="00C64050">
        <w:rPr>
          <w:szCs w:val="20"/>
        </w:rPr>
        <w:t xml:space="preserve"> </w:t>
      </w:r>
      <w:r w:rsidRPr="00BA2AE4">
        <w:rPr>
          <w:szCs w:val="20"/>
        </w:rPr>
        <w:t>assigned</w:t>
      </w:r>
      <w:r w:rsidR="00C64050">
        <w:rPr>
          <w:szCs w:val="20"/>
        </w:rPr>
        <w:t xml:space="preserve"> </w:t>
      </w:r>
      <w:r w:rsidRPr="00BA2AE4">
        <w:rPr>
          <w:szCs w:val="20"/>
        </w:rPr>
        <w:t>property,</w:t>
      </w:r>
      <w:r w:rsidR="00C64050">
        <w:rPr>
          <w:szCs w:val="20"/>
        </w:rPr>
        <w:t xml:space="preserve"> </w:t>
      </w:r>
      <w:r w:rsidRPr="00BA2AE4">
        <w:rPr>
          <w:szCs w:val="20"/>
        </w:rPr>
        <w:t>the</w:t>
      </w:r>
      <w:r w:rsidR="00C64050">
        <w:rPr>
          <w:szCs w:val="20"/>
        </w:rPr>
        <w:t xml:space="preserve"> </w:t>
      </w:r>
      <w:r w:rsidRPr="00BA2AE4">
        <w:rPr>
          <w:rStyle w:val="Emphasis"/>
          <w:szCs w:val="20"/>
        </w:rPr>
        <w:t>Walker</w:t>
      </w:r>
      <w:r w:rsidR="00C64050">
        <w:rPr>
          <w:szCs w:val="20"/>
        </w:rPr>
        <w:t xml:space="preserve"> </w:t>
      </w:r>
      <w:r w:rsidRPr="00BA2AE4">
        <w:rPr>
          <w:szCs w:val="20"/>
        </w:rPr>
        <w:t>court</w:t>
      </w:r>
      <w:r w:rsidR="00C64050">
        <w:rPr>
          <w:szCs w:val="20"/>
        </w:rPr>
        <w:t xml:space="preserve"> </w:t>
      </w:r>
      <w:r w:rsidRPr="00BA2AE4">
        <w:rPr>
          <w:szCs w:val="20"/>
        </w:rPr>
        <w:t>ruled</w:t>
      </w:r>
      <w:r w:rsidR="00C64050">
        <w:rPr>
          <w:szCs w:val="20"/>
        </w:rPr>
        <w:t xml:space="preserve"> </w:t>
      </w:r>
      <w:r w:rsidRPr="00BA2AE4">
        <w:rPr>
          <w:szCs w:val="20"/>
        </w:rPr>
        <w:t>that</w:t>
      </w:r>
      <w:r w:rsidR="00C64050">
        <w:rPr>
          <w:szCs w:val="20"/>
        </w:rPr>
        <w:t xml:space="preserve"> </w:t>
      </w:r>
      <w:r w:rsidRPr="00BA2AE4">
        <w:rPr>
          <w:szCs w:val="20"/>
        </w:rPr>
        <w:t>neither</w:t>
      </w:r>
      <w:r w:rsidR="00C64050">
        <w:rPr>
          <w:szCs w:val="20"/>
        </w:rPr>
        <w:t xml:space="preserve"> </w:t>
      </w:r>
      <w:r w:rsidRPr="00BA2AE4">
        <w:rPr>
          <w:szCs w:val="20"/>
        </w:rPr>
        <w:t>the</w:t>
      </w:r>
      <w:r w:rsidR="00C64050">
        <w:rPr>
          <w:szCs w:val="20"/>
        </w:rPr>
        <w:t xml:space="preserve"> </w:t>
      </w:r>
      <w:r w:rsidRPr="00BA2AE4">
        <w:rPr>
          <w:szCs w:val="20"/>
        </w:rPr>
        <w:t>conveyance</w:t>
      </w:r>
      <w:r w:rsidR="00C64050">
        <w:rPr>
          <w:szCs w:val="20"/>
        </w:rPr>
        <w:t xml:space="preserve"> </w:t>
      </w:r>
      <w:r w:rsidRPr="00BA2AE4">
        <w:rPr>
          <w:szCs w:val="20"/>
        </w:rPr>
        <w:t>of</w:t>
      </w:r>
      <w:r w:rsidR="00C64050">
        <w:rPr>
          <w:szCs w:val="20"/>
        </w:rPr>
        <w:t xml:space="preserve"> </w:t>
      </w:r>
      <w:r w:rsidRPr="00BA2AE4">
        <w:rPr>
          <w:szCs w:val="20"/>
        </w:rPr>
        <w:t>her</w:t>
      </w:r>
      <w:r w:rsidR="00C64050">
        <w:rPr>
          <w:szCs w:val="20"/>
        </w:rPr>
        <w:t xml:space="preserve"> </w:t>
      </w:r>
      <w:r w:rsidRPr="00BA2AE4">
        <w:rPr>
          <w:szCs w:val="20"/>
        </w:rPr>
        <w:t>land</w:t>
      </w:r>
      <w:r w:rsidR="00C64050">
        <w:rPr>
          <w:szCs w:val="20"/>
        </w:rPr>
        <w:t xml:space="preserve"> </w:t>
      </w:r>
      <w:r w:rsidRPr="00BA2AE4">
        <w:rPr>
          <w:szCs w:val="20"/>
        </w:rPr>
        <w:t>to</w:t>
      </w:r>
      <w:r w:rsidR="00C64050">
        <w:rPr>
          <w:szCs w:val="20"/>
        </w:rPr>
        <w:t xml:space="preserve"> </w:t>
      </w:r>
      <w:r w:rsidRPr="00BA2AE4">
        <w:rPr>
          <w:szCs w:val="20"/>
        </w:rPr>
        <w:t>a</w:t>
      </w:r>
      <w:r w:rsidR="00C64050">
        <w:rPr>
          <w:szCs w:val="20"/>
        </w:rPr>
        <w:t xml:space="preserve"> </w:t>
      </w:r>
      <w:r w:rsidRPr="00BA2AE4">
        <w:rPr>
          <w:szCs w:val="20"/>
        </w:rPr>
        <w:t>trust</w:t>
      </w:r>
      <w:r w:rsidR="00C64050">
        <w:rPr>
          <w:szCs w:val="20"/>
        </w:rPr>
        <w:t xml:space="preserve"> </w:t>
      </w:r>
      <w:r w:rsidRPr="00BA2AE4">
        <w:rPr>
          <w:szCs w:val="20"/>
        </w:rPr>
        <w:t>naming</w:t>
      </w:r>
      <w:r w:rsidR="00C64050">
        <w:rPr>
          <w:szCs w:val="20"/>
        </w:rPr>
        <w:t xml:space="preserve"> </w:t>
      </w:r>
      <w:r w:rsidRPr="00BA2AE4">
        <w:rPr>
          <w:szCs w:val="20"/>
        </w:rPr>
        <w:t>her</w:t>
      </w:r>
      <w:r w:rsidR="00C64050">
        <w:rPr>
          <w:szCs w:val="20"/>
        </w:rPr>
        <w:t xml:space="preserve"> </w:t>
      </w:r>
      <w:r w:rsidRPr="00BA2AE4">
        <w:rPr>
          <w:szCs w:val="20"/>
        </w:rPr>
        <w:t>children</w:t>
      </w:r>
      <w:r w:rsidR="00C64050">
        <w:rPr>
          <w:szCs w:val="20"/>
        </w:rPr>
        <w:t xml:space="preserve"> </w:t>
      </w:r>
      <w:r w:rsidRPr="00BA2AE4">
        <w:rPr>
          <w:szCs w:val="20"/>
        </w:rPr>
        <w:t>as</w:t>
      </w:r>
      <w:r w:rsidR="00C64050">
        <w:rPr>
          <w:szCs w:val="20"/>
        </w:rPr>
        <w:t xml:space="preserve"> </w:t>
      </w:r>
      <w:r w:rsidRPr="00BA2AE4">
        <w:rPr>
          <w:szCs w:val="20"/>
        </w:rPr>
        <w:t>beneficiaries</w:t>
      </w:r>
      <w:r w:rsidR="00C64050">
        <w:rPr>
          <w:szCs w:val="20"/>
        </w:rPr>
        <w:t xml:space="preserve"> </w:t>
      </w:r>
      <w:r w:rsidRPr="00BA2AE4">
        <w:rPr>
          <w:szCs w:val="20"/>
        </w:rPr>
        <w:t>nor</w:t>
      </w:r>
      <w:r w:rsidR="00C64050">
        <w:rPr>
          <w:szCs w:val="20"/>
        </w:rPr>
        <w:t xml:space="preserve"> </w:t>
      </w:r>
      <w:r w:rsidRPr="00BA2AE4">
        <w:rPr>
          <w:szCs w:val="20"/>
        </w:rPr>
        <w:t>a</w:t>
      </w:r>
      <w:r w:rsidR="00C64050">
        <w:rPr>
          <w:szCs w:val="20"/>
        </w:rPr>
        <w:t xml:space="preserve"> </w:t>
      </w:r>
      <w:r w:rsidRPr="00BA2AE4">
        <w:rPr>
          <w:szCs w:val="20"/>
        </w:rPr>
        <w:t>conveyance</w:t>
      </w:r>
      <w:r w:rsidR="00C64050">
        <w:rPr>
          <w:szCs w:val="20"/>
        </w:rPr>
        <w:t xml:space="preserve"> </w:t>
      </w:r>
      <w:r w:rsidRPr="00BA2AE4">
        <w:rPr>
          <w:szCs w:val="20"/>
        </w:rPr>
        <w:t>of</w:t>
      </w:r>
      <w:r w:rsidR="00C64050">
        <w:rPr>
          <w:szCs w:val="20"/>
        </w:rPr>
        <w:t xml:space="preserve"> </w:t>
      </w:r>
      <w:r w:rsidRPr="00BA2AE4">
        <w:rPr>
          <w:szCs w:val="20"/>
        </w:rPr>
        <w:t>that</w:t>
      </w:r>
      <w:r w:rsidR="00C64050">
        <w:rPr>
          <w:szCs w:val="20"/>
        </w:rPr>
        <w:t xml:space="preserve"> </w:t>
      </w:r>
      <w:r w:rsidRPr="00BA2AE4">
        <w:rPr>
          <w:szCs w:val="20"/>
        </w:rPr>
        <w:t>land</w:t>
      </w:r>
      <w:r w:rsidR="00C64050">
        <w:rPr>
          <w:szCs w:val="20"/>
        </w:rPr>
        <w:t xml:space="preserve"> </w:t>
      </w:r>
      <w:r w:rsidRPr="00BA2AE4">
        <w:rPr>
          <w:szCs w:val="20"/>
        </w:rPr>
        <w:t>to</w:t>
      </w:r>
      <w:r w:rsidR="00C64050">
        <w:rPr>
          <w:szCs w:val="20"/>
        </w:rPr>
        <w:t xml:space="preserve"> </w:t>
      </w:r>
      <w:r w:rsidRPr="00BA2AE4">
        <w:rPr>
          <w:szCs w:val="20"/>
        </w:rPr>
        <w:t>herself</w:t>
      </w:r>
      <w:r w:rsidR="00C64050">
        <w:rPr>
          <w:szCs w:val="20"/>
        </w:rPr>
        <w:t xml:space="preserve"> </w:t>
      </w:r>
      <w:r w:rsidRPr="00BA2AE4">
        <w:rPr>
          <w:szCs w:val="20"/>
        </w:rPr>
        <w:t>and</w:t>
      </w:r>
      <w:r w:rsidR="00C64050">
        <w:rPr>
          <w:szCs w:val="20"/>
        </w:rPr>
        <w:t xml:space="preserve"> </w:t>
      </w:r>
      <w:r w:rsidRPr="00BA2AE4">
        <w:rPr>
          <w:szCs w:val="20"/>
        </w:rPr>
        <w:t>her</w:t>
      </w:r>
      <w:r w:rsidR="00C64050">
        <w:rPr>
          <w:szCs w:val="20"/>
        </w:rPr>
        <w:t xml:space="preserve"> </w:t>
      </w:r>
      <w:r w:rsidRPr="00BA2AE4">
        <w:rPr>
          <w:szCs w:val="20"/>
        </w:rPr>
        <w:t>children</w:t>
      </w:r>
      <w:r w:rsidR="00C64050">
        <w:rPr>
          <w:szCs w:val="20"/>
        </w:rPr>
        <w:t xml:space="preserve"> </w:t>
      </w:r>
      <w:r w:rsidRPr="00BA2AE4">
        <w:rPr>
          <w:szCs w:val="20"/>
        </w:rPr>
        <w:t>with</w:t>
      </w:r>
      <w:r w:rsidR="00C64050">
        <w:rPr>
          <w:szCs w:val="20"/>
        </w:rPr>
        <w:t xml:space="preserve"> </w:t>
      </w:r>
      <w:r w:rsidRPr="00BA2AE4">
        <w:rPr>
          <w:szCs w:val="20"/>
        </w:rPr>
        <w:t>survivorship</w:t>
      </w:r>
      <w:r w:rsidR="00C64050">
        <w:rPr>
          <w:szCs w:val="20"/>
        </w:rPr>
        <w:t xml:space="preserve"> </w:t>
      </w:r>
      <w:r w:rsidRPr="00BA2AE4">
        <w:rPr>
          <w:szCs w:val="20"/>
        </w:rPr>
        <w:t>rights</w:t>
      </w:r>
      <w:r w:rsidR="00C64050">
        <w:rPr>
          <w:szCs w:val="20"/>
        </w:rPr>
        <w:t xml:space="preserve"> </w:t>
      </w:r>
      <w:r w:rsidRPr="00BA2AE4">
        <w:rPr>
          <w:szCs w:val="20"/>
        </w:rPr>
        <w:t>would</w:t>
      </w:r>
      <w:r w:rsidR="00C64050">
        <w:rPr>
          <w:szCs w:val="20"/>
        </w:rPr>
        <w:t xml:space="preserve"> </w:t>
      </w:r>
      <w:r w:rsidRPr="00BA2AE4">
        <w:rPr>
          <w:szCs w:val="20"/>
        </w:rPr>
        <w:t>have</w:t>
      </w:r>
      <w:r w:rsidR="00C64050">
        <w:rPr>
          <w:szCs w:val="20"/>
        </w:rPr>
        <w:t xml:space="preserve"> </w:t>
      </w:r>
      <w:r w:rsidRPr="00BA2AE4">
        <w:rPr>
          <w:szCs w:val="20"/>
        </w:rPr>
        <w:t>been</w:t>
      </w:r>
      <w:r w:rsidR="00C64050">
        <w:rPr>
          <w:szCs w:val="20"/>
        </w:rPr>
        <w:t xml:space="preserve"> </w:t>
      </w:r>
      <w:r w:rsidRPr="00BA2AE4">
        <w:rPr>
          <w:szCs w:val="20"/>
        </w:rPr>
        <w:t>effective</w:t>
      </w:r>
      <w:r w:rsidR="00C64050">
        <w:rPr>
          <w:szCs w:val="20"/>
        </w:rPr>
        <w:t xml:space="preserve"> </w:t>
      </w:r>
      <w:r w:rsidRPr="00BA2AE4">
        <w:rPr>
          <w:szCs w:val="20"/>
        </w:rPr>
        <w:t>against</w:t>
      </w:r>
      <w:r w:rsidR="00C64050">
        <w:rPr>
          <w:szCs w:val="20"/>
        </w:rPr>
        <w:t xml:space="preserve"> </w:t>
      </w:r>
      <w:r w:rsidRPr="00BA2AE4">
        <w:rPr>
          <w:szCs w:val="20"/>
        </w:rPr>
        <w:t>the</w:t>
      </w:r>
      <w:r w:rsidR="00C64050">
        <w:rPr>
          <w:szCs w:val="20"/>
        </w:rPr>
        <w:t xml:space="preserve"> </w:t>
      </w:r>
      <w:r w:rsidRPr="00BA2AE4">
        <w:rPr>
          <w:szCs w:val="20"/>
        </w:rPr>
        <w:t>surviving</w:t>
      </w:r>
      <w:r w:rsidR="00C64050">
        <w:rPr>
          <w:szCs w:val="20"/>
        </w:rPr>
        <w:t xml:space="preserve"> </w:t>
      </w:r>
      <w:r w:rsidRPr="00BA2AE4">
        <w:rPr>
          <w:szCs w:val="20"/>
        </w:rPr>
        <w:t>spouse's</w:t>
      </w:r>
      <w:r w:rsidR="00C64050">
        <w:rPr>
          <w:szCs w:val="20"/>
        </w:rPr>
        <w:t xml:space="preserve"> </w:t>
      </w:r>
      <w:r w:rsidRPr="00BA2AE4">
        <w:rPr>
          <w:szCs w:val="20"/>
        </w:rPr>
        <w:t>elective</w:t>
      </w:r>
      <w:r w:rsidR="00C64050">
        <w:rPr>
          <w:szCs w:val="20"/>
        </w:rPr>
        <w:t xml:space="preserve"> </w:t>
      </w:r>
      <w:r w:rsidRPr="00BA2AE4">
        <w:rPr>
          <w:szCs w:val="20"/>
        </w:rPr>
        <w:t>rights.</w:t>
      </w:r>
      <w:r w:rsidR="00C64050">
        <w:rPr>
          <w:szCs w:val="20"/>
        </w:rPr>
        <w:t xml:space="preserve"> </w:t>
      </w:r>
      <w:hyperlink r:id="rId430" w:history="1">
        <w:r w:rsidRPr="00BA2AE4">
          <w:rPr>
            <w:rStyle w:val="Emphasis"/>
            <w:szCs w:val="20"/>
          </w:rPr>
          <w:t>Id.</w:t>
        </w:r>
      </w:hyperlink>
    </w:p>
    <w:p w:rsidR="00BA2AE4" w:rsidRPr="00BA2AE4" w:rsidRDefault="00BA2AE4" w:rsidP="00BA2AE4">
      <w:pPr>
        <w:pStyle w:val="QS10"/>
        <w:rPr>
          <w:szCs w:val="20"/>
        </w:rPr>
      </w:pPr>
      <w:r w:rsidRPr="00BA2AE4">
        <w:rPr>
          <w:szCs w:val="20"/>
        </w:rPr>
        <w:t>Again</w:t>
      </w:r>
      <w:r w:rsidR="00C64050">
        <w:rPr>
          <w:szCs w:val="20"/>
        </w:rPr>
        <w:t xml:space="preserve"> </w:t>
      </w:r>
      <w:r w:rsidRPr="00BA2AE4">
        <w:rPr>
          <w:szCs w:val="20"/>
        </w:rPr>
        <w:t>after</w:t>
      </w:r>
      <w:r w:rsidR="00C64050">
        <w:rPr>
          <w:szCs w:val="20"/>
        </w:rPr>
        <w:t xml:space="preserve"> </w:t>
      </w:r>
      <w:r w:rsidRPr="00BA2AE4">
        <w:rPr>
          <w:szCs w:val="20"/>
        </w:rPr>
        <w:t>a</w:t>
      </w:r>
      <w:r w:rsidR="00C64050">
        <w:rPr>
          <w:szCs w:val="20"/>
        </w:rPr>
        <w:t xml:space="preserve"> </w:t>
      </w:r>
      <w:r w:rsidRPr="00BA2AE4">
        <w:rPr>
          <w:szCs w:val="20"/>
        </w:rPr>
        <w:t>ten-year</w:t>
      </w:r>
      <w:r w:rsidR="00C64050">
        <w:rPr>
          <w:szCs w:val="20"/>
        </w:rPr>
        <w:t xml:space="preserve"> </w:t>
      </w:r>
      <w:r w:rsidRPr="00BA2AE4">
        <w:rPr>
          <w:szCs w:val="20"/>
        </w:rPr>
        <w:t>interval,</w:t>
      </w:r>
      <w:r w:rsidR="00C64050">
        <w:rPr>
          <w:szCs w:val="20"/>
        </w:rPr>
        <w:t xml:space="preserve"> </w:t>
      </w:r>
      <w:r w:rsidRPr="00BA2AE4">
        <w:rPr>
          <w:szCs w:val="20"/>
        </w:rPr>
        <w:t>this</w:t>
      </w:r>
      <w:r w:rsidR="00C64050">
        <w:rPr>
          <w:szCs w:val="20"/>
        </w:rPr>
        <w:t xml:space="preserve"> </w:t>
      </w:r>
      <w:r w:rsidRPr="00BA2AE4">
        <w:rPr>
          <w:szCs w:val="20"/>
        </w:rPr>
        <w:t>court</w:t>
      </w:r>
      <w:r w:rsidR="00C64050">
        <w:rPr>
          <w:szCs w:val="20"/>
        </w:rPr>
        <w:t xml:space="preserve"> </w:t>
      </w:r>
      <w:r w:rsidRPr="00BA2AE4">
        <w:rPr>
          <w:szCs w:val="20"/>
        </w:rPr>
        <w:t>decided</w:t>
      </w:r>
      <w:r w:rsidR="00C64050">
        <w:rPr>
          <w:szCs w:val="20"/>
        </w:rPr>
        <w:t xml:space="preserve"> </w:t>
      </w:r>
      <w:r w:rsidRPr="00BA2AE4">
        <w:rPr>
          <w:rStyle w:val="Emphasis"/>
          <w:szCs w:val="20"/>
        </w:rPr>
        <w:t>Dunnewind</w:t>
      </w:r>
      <w:r w:rsidRPr="00BA2AE4">
        <w:rPr>
          <w:szCs w:val="20"/>
        </w:rPr>
        <w:t>,</w:t>
      </w:r>
      <w:r w:rsidR="00C64050">
        <w:rPr>
          <w:szCs w:val="20"/>
        </w:rPr>
        <w:t xml:space="preserve"> </w:t>
      </w:r>
      <w:r w:rsidRPr="00BA2AE4">
        <w:rPr>
          <w:szCs w:val="20"/>
        </w:rPr>
        <w:t>697</w:t>
      </w:r>
      <w:r w:rsidR="00C64050">
        <w:rPr>
          <w:szCs w:val="20"/>
        </w:rPr>
        <w:t xml:space="preserve"> </w:t>
      </w:r>
      <w:r w:rsidRPr="00BA2AE4">
        <w:rPr>
          <w:szCs w:val="20"/>
        </w:rPr>
        <w:t>N.E.2d</w:t>
      </w:r>
      <w:r w:rsidR="00C64050">
        <w:rPr>
          <w:szCs w:val="20"/>
        </w:rPr>
        <w:t xml:space="preserve"> </w:t>
      </w:r>
      <w:r w:rsidRPr="00BA2AE4">
        <w:rPr>
          <w:szCs w:val="20"/>
        </w:rPr>
        <w:t>at</w:t>
      </w:r>
      <w:r w:rsidR="00C64050">
        <w:rPr>
          <w:szCs w:val="20"/>
        </w:rPr>
        <w:t xml:space="preserve"> </w:t>
      </w:r>
      <w:r w:rsidRPr="00BA2AE4">
        <w:rPr>
          <w:szCs w:val="20"/>
        </w:rPr>
        <w:t>487,</w:t>
      </w:r>
      <w:r w:rsidR="00C64050">
        <w:rPr>
          <w:szCs w:val="20"/>
        </w:rPr>
        <w:t xml:space="preserve"> </w:t>
      </w:r>
      <w:r w:rsidRPr="00BA2AE4">
        <w:rPr>
          <w:szCs w:val="20"/>
        </w:rPr>
        <w:t>where</w:t>
      </w:r>
      <w:r w:rsidR="00C64050">
        <w:rPr>
          <w:szCs w:val="20"/>
        </w:rPr>
        <w:t xml:space="preserve"> </w:t>
      </w:r>
      <w:r w:rsidRPr="00BA2AE4">
        <w:rPr>
          <w:szCs w:val="20"/>
        </w:rPr>
        <w:t>we</w:t>
      </w:r>
      <w:r w:rsidR="00C64050">
        <w:rPr>
          <w:szCs w:val="20"/>
        </w:rPr>
        <w:t xml:space="preserve"> </w:t>
      </w:r>
      <w:r w:rsidRPr="00BA2AE4">
        <w:rPr>
          <w:szCs w:val="20"/>
        </w:rPr>
        <w:t>found</w:t>
      </w:r>
      <w:r w:rsidR="00C64050">
        <w:rPr>
          <w:szCs w:val="20"/>
        </w:rPr>
        <w:t xml:space="preserve"> </w:t>
      </w:r>
      <w:r w:rsidRPr="00BA2AE4">
        <w:rPr>
          <w:szCs w:val="20"/>
        </w:rPr>
        <w:t>in</w:t>
      </w:r>
      <w:r w:rsidR="00C64050">
        <w:rPr>
          <w:szCs w:val="20"/>
        </w:rPr>
        <w:t xml:space="preserve"> </w:t>
      </w:r>
      <w:r w:rsidRPr="00BA2AE4">
        <w:rPr>
          <w:szCs w:val="20"/>
        </w:rPr>
        <w:t>favor</w:t>
      </w:r>
      <w:r w:rsidR="00C64050">
        <w:rPr>
          <w:szCs w:val="20"/>
        </w:rPr>
        <w:t xml:space="preserve"> </w:t>
      </w:r>
      <w:r w:rsidRPr="00BA2AE4">
        <w:rPr>
          <w:szCs w:val="20"/>
        </w:rPr>
        <w:t>of</w:t>
      </w:r>
      <w:r w:rsidR="00C64050">
        <w:rPr>
          <w:szCs w:val="20"/>
        </w:rPr>
        <w:t xml:space="preserve"> </w:t>
      </w:r>
      <w:r w:rsidRPr="00BA2AE4">
        <w:rPr>
          <w:szCs w:val="20"/>
        </w:rPr>
        <w:t>the</w:t>
      </w:r>
      <w:r w:rsidR="00C64050">
        <w:rPr>
          <w:szCs w:val="20"/>
        </w:rPr>
        <w:t xml:space="preserve"> </w:t>
      </w:r>
      <w:r w:rsidRPr="00BA2AE4">
        <w:rPr>
          <w:szCs w:val="20"/>
        </w:rPr>
        <w:t>surviving</w:t>
      </w:r>
      <w:r w:rsidR="00C64050">
        <w:rPr>
          <w:szCs w:val="20"/>
        </w:rPr>
        <w:t xml:space="preserve"> </w:t>
      </w:r>
      <w:r w:rsidRPr="00BA2AE4">
        <w:rPr>
          <w:szCs w:val="20"/>
        </w:rPr>
        <w:t>spouse's</w:t>
      </w:r>
      <w:r w:rsidR="00C64050">
        <w:rPr>
          <w:szCs w:val="20"/>
        </w:rPr>
        <w:t xml:space="preserve"> </w:t>
      </w:r>
      <w:r w:rsidRPr="00BA2AE4">
        <w:rPr>
          <w:szCs w:val="20"/>
        </w:rPr>
        <w:t>right</w:t>
      </w:r>
      <w:r w:rsidR="00C64050">
        <w:rPr>
          <w:szCs w:val="20"/>
        </w:rPr>
        <w:t xml:space="preserve"> </w:t>
      </w:r>
      <w:r w:rsidRPr="00BA2AE4">
        <w:rPr>
          <w:szCs w:val="20"/>
        </w:rPr>
        <w:t>of</w:t>
      </w:r>
      <w:r w:rsidR="00C64050">
        <w:rPr>
          <w:szCs w:val="20"/>
        </w:rPr>
        <w:t xml:space="preserve"> </w:t>
      </w:r>
      <w:r w:rsidRPr="00BA2AE4">
        <w:rPr>
          <w:szCs w:val="20"/>
        </w:rPr>
        <w:t>election.</w:t>
      </w:r>
      <w:r w:rsidR="00C64050">
        <w:rPr>
          <w:szCs w:val="20"/>
        </w:rPr>
        <w:t xml:space="preserve"> </w:t>
      </w:r>
      <w:r w:rsidRPr="00BA2AE4">
        <w:rPr>
          <w:szCs w:val="20"/>
        </w:rPr>
        <w:t>Here,</w:t>
      </w:r>
      <w:r w:rsidR="00C64050">
        <w:rPr>
          <w:szCs w:val="20"/>
        </w:rPr>
        <w:t xml:space="preserve"> </w:t>
      </w:r>
      <w:r w:rsidRPr="00BA2AE4">
        <w:rPr>
          <w:szCs w:val="20"/>
        </w:rPr>
        <w:t>the</w:t>
      </w:r>
      <w:r w:rsidR="00C64050">
        <w:rPr>
          <w:szCs w:val="20"/>
        </w:rPr>
        <w:t xml:space="preserve"> </w:t>
      </w:r>
      <w:r w:rsidRPr="00BA2AE4">
        <w:rPr>
          <w:szCs w:val="20"/>
        </w:rPr>
        <w:t>settlor</w:t>
      </w:r>
      <w:r w:rsidR="00C64050">
        <w:rPr>
          <w:szCs w:val="20"/>
        </w:rPr>
        <w:t xml:space="preserve"> </w:t>
      </w:r>
      <w:r w:rsidRPr="00BA2AE4">
        <w:rPr>
          <w:szCs w:val="20"/>
        </w:rPr>
        <w:t>executed</w:t>
      </w:r>
      <w:r w:rsidR="00C64050">
        <w:rPr>
          <w:szCs w:val="20"/>
        </w:rPr>
        <w:t xml:space="preserve"> </w:t>
      </w:r>
      <w:r w:rsidRPr="00BA2AE4">
        <w:rPr>
          <w:szCs w:val="20"/>
        </w:rPr>
        <w:t>a</w:t>
      </w:r>
      <w:r w:rsidR="00C64050">
        <w:rPr>
          <w:szCs w:val="20"/>
        </w:rPr>
        <w:t xml:space="preserve"> </w:t>
      </w:r>
      <w:r w:rsidRPr="00BA2AE4">
        <w:rPr>
          <w:szCs w:val="20"/>
        </w:rPr>
        <w:t>will</w:t>
      </w:r>
      <w:r w:rsidR="00C64050">
        <w:rPr>
          <w:szCs w:val="20"/>
        </w:rPr>
        <w:t xml:space="preserve"> </w:t>
      </w:r>
      <w:r w:rsidRPr="00BA2AE4">
        <w:rPr>
          <w:szCs w:val="20"/>
        </w:rPr>
        <w:t>in</w:t>
      </w:r>
      <w:r w:rsidR="00C64050">
        <w:rPr>
          <w:szCs w:val="20"/>
        </w:rPr>
        <w:t xml:space="preserve"> </w:t>
      </w:r>
      <w:r w:rsidRPr="00BA2AE4">
        <w:rPr>
          <w:szCs w:val="20"/>
        </w:rPr>
        <w:t>1976</w:t>
      </w:r>
      <w:r w:rsidR="00C64050">
        <w:rPr>
          <w:szCs w:val="20"/>
        </w:rPr>
        <w:t xml:space="preserve"> </w:t>
      </w:r>
      <w:r w:rsidRPr="00BA2AE4">
        <w:rPr>
          <w:szCs w:val="20"/>
        </w:rPr>
        <w:t>in</w:t>
      </w:r>
      <w:r w:rsidR="00C64050">
        <w:rPr>
          <w:szCs w:val="20"/>
        </w:rPr>
        <w:t xml:space="preserve"> </w:t>
      </w:r>
      <w:r w:rsidRPr="00BA2AE4">
        <w:rPr>
          <w:szCs w:val="20"/>
        </w:rPr>
        <w:t>which</w:t>
      </w:r>
      <w:r w:rsidR="00C64050">
        <w:rPr>
          <w:szCs w:val="20"/>
        </w:rPr>
        <w:t xml:space="preserve"> </w:t>
      </w:r>
      <w:r w:rsidRPr="00BA2AE4">
        <w:rPr>
          <w:szCs w:val="20"/>
        </w:rPr>
        <w:t>she</w:t>
      </w:r>
      <w:r w:rsidR="00C64050">
        <w:rPr>
          <w:szCs w:val="20"/>
        </w:rPr>
        <w:t xml:space="preserve"> </w:t>
      </w:r>
      <w:r w:rsidRPr="00BA2AE4">
        <w:rPr>
          <w:szCs w:val="20"/>
        </w:rPr>
        <w:t>left</w:t>
      </w:r>
      <w:r w:rsidR="00C64050">
        <w:rPr>
          <w:szCs w:val="20"/>
        </w:rPr>
        <w:t xml:space="preserve"> </w:t>
      </w:r>
      <w:r w:rsidRPr="00BA2AE4">
        <w:rPr>
          <w:szCs w:val="20"/>
        </w:rPr>
        <w:t>all</w:t>
      </w:r>
      <w:r w:rsidR="00C64050">
        <w:rPr>
          <w:szCs w:val="20"/>
        </w:rPr>
        <w:t xml:space="preserve"> </w:t>
      </w:r>
      <w:r w:rsidRPr="00BA2AE4">
        <w:rPr>
          <w:szCs w:val="20"/>
        </w:rPr>
        <w:t>her</w:t>
      </w:r>
      <w:r w:rsidR="00C64050">
        <w:rPr>
          <w:szCs w:val="20"/>
        </w:rPr>
        <w:t xml:space="preserve"> </w:t>
      </w:r>
      <w:r w:rsidRPr="00BA2AE4">
        <w:rPr>
          <w:szCs w:val="20"/>
        </w:rPr>
        <w:t>assets</w:t>
      </w:r>
      <w:r w:rsidR="00C64050">
        <w:rPr>
          <w:szCs w:val="20"/>
        </w:rPr>
        <w:t xml:space="preserve"> </w:t>
      </w:r>
      <w:r w:rsidRPr="00BA2AE4">
        <w:rPr>
          <w:szCs w:val="20"/>
        </w:rPr>
        <w:t>to</w:t>
      </w:r>
      <w:r w:rsidR="00C64050">
        <w:rPr>
          <w:szCs w:val="20"/>
        </w:rPr>
        <w:t xml:space="preserve"> </w:t>
      </w:r>
      <w:r w:rsidRPr="00BA2AE4">
        <w:rPr>
          <w:szCs w:val="20"/>
        </w:rPr>
        <w:t>her</w:t>
      </w:r>
      <w:r w:rsidR="00C64050">
        <w:rPr>
          <w:szCs w:val="20"/>
        </w:rPr>
        <w:t xml:space="preserve"> </w:t>
      </w:r>
      <w:r w:rsidRPr="00BA2AE4">
        <w:rPr>
          <w:szCs w:val="20"/>
        </w:rPr>
        <w:t>children</w:t>
      </w:r>
      <w:r w:rsidR="00C64050">
        <w:rPr>
          <w:szCs w:val="20"/>
        </w:rPr>
        <w:t xml:space="preserve"> </w:t>
      </w:r>
      <w:r w:rsidRPr="00BA2AE4">
        <w:rPr>
          <w:szCs w:val="20"/>
        </w:rPr>
        <w:t>from</w:t>
      </w:r>
      <w:r w:rsidR="00C64050">
        <w:rPr>
          <w:szCs w:val="20"/>
        </w:rPr>
        <w:t xml:space="preserve"> </w:t>
      </w:r>
      <w:r w:rsidRPr="00BA2AE4">
        <w:rPr>
          <w:szCs w:val="20"/>
        </w:rPr>
        <w:t>a</w:t>
      </w:r>
      <w:r w:rsidR="00C64050">
        <w:rPr>
          <w:szCs w:val="20"/>
        </w:rPr>
        <w:t xml:space="preserve"> </w:t>
      </w:r>
      <w:r w:rsidRPr="00BA2AE4">
        <w:rPr>
          <w:szCs w:val="20"/>
        </w:rPr>
        <w:t>prior</w:t>
      </w:r>
      <w:r w:rsidR="00C64050">
        <w:rPr>
          <w:szCs w:val="20"/>
        </w:rPr>
        <w:t xml:space="preserve"> </w:t>
      </w:r>
      <w:r w:rsidRPr="00BA2AE4">
        <w:rPr>
          <w:szCs w:val="20"/>
        </w:rPr>
        <w:t>marriage.</w:t>
      </w:r>
      <w:r w:rsidR="00C64050">
        <w:rPr>
          <w:szCs w:val="20"/>
        </w:rPr>
        <w:t xml:space="preserve"> </w:t>
      </w:r>
      <w:r w:rsidRPr="00BA2AE4">
        <w:rPr>
          <w:rStyle w:val="Emphasis"/>
          <w:szCs w:val="20"/>
        </w:rPr>
        <w:t>Id.</w:t>
      </w:r>
      <w:r w:rsidR="00C64050">
        <w:rPr>
          <w:szCs w:val="20"/>
        </w:rPr>
        <w:t xml:space="preserve"> </w:t>
      </w:r>
      <w:r w:rsidRPr="00BA2AE4">
        <w:rPr>
          <w:szCs w:val="20"/>
        </w:rPr>
        <w:t>at</w:t>
      </w:r>
      <w:r w:rsidR="00C64050">
        <w:rPr>
          <w:szCs w:val="20"/>
        </w:rPr>
        <w:t xml:space="preserve"> </w:t>
      </w:r>
      <w:r w:rsidRPr="00BA2AE4">
        <w:rPr>
          <w:szCs w:val="20"/>
        </w:rPr>
        <w:t>487.</w:t>
      </w:r>
      <w:r w:rsidR="00C64050">
        <w:rPr>
          <w:szCs w:val="20"/>
        </w:rPr>
        <w:t xml:space="preserve"> </w:t>
      </w:r>
      <w:r w:rsidRPr="00BA2AE4">
        <w:rPr>
          <w:szCs w:val="20"/>
        </w:rPr>
        <w:t>After</w:t>
      </w:r>
      <w:r w:rsidR="00C64050">
        <w:rPr>
          <w:szCs w:val="20"/>
        </w:rPr>
        <w:t xml:space="preserve"> </w:t>
      </w:r>
      <w:r w:rsidRPr="00BA2AE4">
        <w:rPr>
          <w:szCs w:val="20"/>
        </w:rPr>
        <w:t>discovering</w:t>
      </w:r>
      <w:r w:rsidR="00C64050">
        <w:rPr>
          <w:szCs w:val="20"/>
        </w:rPr>
        <w:t xml:space="preserve"> </w:t>
      </w:r>
      <w:r w:rsidRPr="00BA2AE4">
        <w:rPr>
          <w:szCs w:val="20"/>
        </w:rPr>
        <w:t>she</w:t>
      </w:r>
      <w:r w:rsidR="00C64050">
        <w:rPr>
          <w:szCs w:val="20"/>
        </w:rPr>
        <w:t xml:space="preserve"> </w:t>
      </w:r>
      <w:r w:rsidRPr="00BA2AE4">
        <w:rPr>
          <w:szCs w:val="20"/>
        </w:rPr>
        <w:t>was</w:t>
      </w:r>
      <w:r w:rsidR="00C64050">
        <w:rPr>
          <w:szCs w:val="20"/>
        </w:rPr>
        <w:t xml:space="preserve"> </w:t>
      </w:r>
      <w:r w:rsidRPr="00BA2AE4">
        <w:rPr>
          <w:szCs w:val="20"/>
        </w:rPr>
        <w:t>terminally</w:t>
      </w:r>
      <w:r w:rsidR="00C64050">
        <w:rPr>
          <w:szCs w:val="20"/>
        </w:rPr>
        <w:t xml:space="preserve"> </w:t>
      </w:r>
      <w:r w:rsidRPr="00BA2AE4">
        <w:rPr>
          <w:szCs w:val="20"/>
        </w:rPr>
        <w:t>ill</w:t>
      </w:r>
      <w:r w:rsidR="00C64050">
        <w:rPr>
          <w:szCs w:val="20"/>
        </w:rPr>
        <w:t xml:space="preserve"> </w:t>
      </w:r>
      <w:r w:rsidRPr="00BA2AE4">
        <w:rPr>
          <w:szCs w:val="20"/>
        </w:rPr>
        <w:t>in</w:t>
      </w:r>
      <w:r w:rsidR="00C64050">
        <w:rPr>
          <w:szCs w:val="20"/>
        </w:rPr>
        <w:t xml:space="preserve"> </w:t>
      </w:r>
      <w:r w:rsidRPr="00BA2AE4">
        <w:rPr>
          <w:szCs w:val="20"/>
        </w:rPr>
        <w:t>1995,</w:t>
      </w:r>
      <w:r w:rsidR="00C64050">
        <w:rPr>
          <w:szCs w:val="20"/>
        </w:rPr>
        <w:t xml:space="preserve"> </w:t>
      </w:r>
      <w:r w:rsidRPr="00BA2AE4">
        <w:rPr>
          <w:szCs w:val="20"/>
        </w:rPr>
        <w:t>she</w:t>
      </w:r>
      <w:r w:rsidR="00C64050">
        <w:rPr>
          <w:szCs w:val="20"/>
        </w:rPr>
        <w:t xml:space="preserve"> </w:t>
      </w:r>
      <w:r w:rsidRPr="00BA2AE4">
        <w:rPr>
          <w:szCs w:val="20"/>
        </w:rPr>
        <w:t>created</w:t>
      </w:r>
      <w:r w:rsidR="00C64050">
        <w:rPr>
          <w:szCs w:val="20"/>
        </w:rPr>
        <w:t xml:space="preserve"> </w:t>
      </w:r>
      <w:r w:rsidRPr="00BA2AE4">
        <w:rPr>
          <w:szCs w:val="20"/>
        </w:rPr>
        <w:t>a</w:t>
      </w:r>
      <w:r w:rsidR="00C64050">
        <w:rPr>
          <w:szCs w:val="20"/>
        </w:rPr>
        <w:t xml:space="preserve"> </w:t>
      </w:r>
      <w:r w:rsidRPr="00BA2AE4">
        <w:rPr>
          <w:szCs w:val="20"/>
        </w:rPr>
        <w:t>trust</w:t>
      </w:r>
      <w:r w:rsidR="00C64050">
        <w:rPr>
          <w:szCs w:val="20"/>
        </w:rPr>
        <w:t xml:space="preserve"> </w:t>
      </w:r>
      <w:r w:rsidRPr="00BA2AE4">
        <w:rPr>
          <w:szCs w:val="20"/>
        </w:rPr>
        <w:t>under</w:t>
      </w:r>
      <w:r w:rsidR="00C64050">
        <w:rPr>
          <w:szCs w:val="20"/>
        </w:rPr>
        <w:t xml:space="preserve"> </w:t>
      </w:r>
      <w:r w:rsidRPr="00BA2AE4">
        <w:rPr>
          <w:szCs w:val="20"/>
        </w:rPr>
        <w:t>which</w:t>
      </w:r>
      <w:r w:rsidR="00C64050">
        <w:rPr>
          <w:szCs w:val="20"/>
        </w:rPr>
        <w:t xml:space="preserve"> </w:t>
      </w:r>
      <w:r w:rsidRPr="00BA2AE4">
        <w:rPr>
          <w:szCs w:val="20"/>
        </w:rPr>
        <w:t>her</w:t>
      </w:r>
      <w:r w:rsidR="00C64050">
        <w:rPr>
          <w:szCs w:val="20"/>
        </w:rPr>
        <w:t xml:space="preserve"> </w:t>
      </w:r>
      <w:r w:rsidRPr="00BA2AE4">
        <w:rPr>
          <w:szCs w:val="20"/>
        </w:rPr>
        <w:t>husband</w:t>
      </w:r>
      <w:r w:rsidR="00C64050">
        <w:rPr>
          <w:szCs w:val="20"/>
        </w:rPr>
        <w:t xml:space="preserve"> </w:t>
      </w:r>
      <w:r w:rsidRPr="00BA2AE4">
        <w:rPr>
          <w:szCs w:val="20"/>
        </w:rPr>
        <w:t>would</w:t>
      </w:r>
      <w:r w:rsidR="00C64050">
        <w:rPr>
          <w:szCs w:val="20"/>
        </w:rPr>
        <w:t xml:space="preserve"> </w:t>
      </w:r>
      <w:r w:rsidRPr="00BA2AE4">
        <w:rPr>
          <w:szCs w:val="20"/>
        </w:rPr>
        <w:t>receive</w:t>
      </w:r>
      <w:r w:rsidR="00C64050">
        <w:rPr>
          <w:szCs w:val="20"/>
        </w:rPr>
        <w:t xml:space="preserve"> </w:t>
      </w:r>
      <w:r w:rsidRPr="00BA2AE4">
        <w:rPr>
          <w:szCs w:val="20"/>
        </w:rPr>
        <w:t>a</w:t>
      </w:r>
      <w:r w:rsidR="00C64050">
        <w:rPr>
          <w:szCs w:val="20"/>
        </w:rPr>
        <w:t xml:space="preserve"> </w:t>
      </w:r>
      <w:r w:rsidRPr="00BA2AE4">
        <w:rPr>
          <w:szCs w:val="20"/>
        </w:rPr>
        <w:t>life</w:t>
      </w:r>
      <w:r w:rsidR="00C64050">
        <w:rPr>
          <w:szCs w:val="20"/>
        </w:rPr>
        <w:t xml:space="preserve"> </w:t>
      </w:r>
      <w:r w:rsidRPr="00BA2AE4">
        <w:rPr>
          <w:szCs w:val="20"/>
        </w:rPr>
        <w:t>estate</w:t>
      </w:r>
      <w:r w:rsidR="00C64050">
        <w:rPr>
          <w:szCs w:val="20"/>
        </w:rPr>
        <w:t xml:space="preserve"> </w:t>
      </w:r>
      <w:r w:rsidRPr="00BA2AE4">
        <w:rPr>
          <w:szCs w:val="20"/>
        </w:rPr>
        <w:t>in</w:t>
      </w:r>
      <w:r w:rsidR="00C64050">
        <w:rPr>
          <w:szCs w:val="20"/>
        </w:rPr>
        <w:t xml:space="preserve"> </w:t>
      </w:r>
      <w:r w:rsidRPr="00BA2AE4">
        <w:rPr>
          <w:szCs w:val="20"/>
        </w:rPr>
        <w:t>the</w:t>
      </w:r>
      <w:r w:rsidR="00C64050">
        <w:rPr>
          <w:szCs w:val="20"/>
        </w:rPr>
        <w:t xml:space="preserve"> </w:t>
      </w:r>
      <w:r w:rsidRPr="00BA2AE4">
        <w:rPr>
          <w:szCs w:val="20"/>
        </w:rPr>
        <w:t>marital</w:t>
      </w:r>
      <w:r w:rsidR="00C64050">
        <w:rPr>
          <w:szCs w:val="20"/>
        </w:rPr>
        <w:t xml:space="preserve"> </w:t>
      </w:r>
      <w:r w:rsidRPr="00BA2AE4">
        <w:rPr>
          <w:szCs w:val="20"/>
        </w:rPr>
        <w:t>residence</w:t>
      </w:r>
      <w:r w:rsidR="00C64050">
        <w:rPr>
          <w:szCs w:val="20"/>
        </w:rPr>
        <w:t xml:space="preserve"> </w:t>
      </w:r>
      <w:r w:rsidRPr="00BA2AE4">
        <w:rPr>
          <w:szCs w:val="20"/>
        </w:rPr>
        <w:t>and</w:t>
      </w:r>
      <w:r w:rsidR="00C64050">
        <w:rPr>
          <w:szCs w:val="20"/>
        </w:rPr>
        <w:t xml:space="preserve"> </w:t>
      </w:r>
      <w:r w:rsidRPr="00BA2AE4">
        <w:rPr>
          <w:szCs w:val="20"/>
        </w:rPr>
        <w:t>household</w:t>
      </w:r>
      <w:r w:rsidR="00C64050">
        <w:rPr>
          <w:szCs w:val="20"/>
        </w:rPr>
        <w:t xml:space="preserve"> </w:t>
      </w:r>
      <w:r w:rsidRPr="00BA2AE4">
        <w:rPr>
          <w:szCs w:val="20"/>
        </w:rPr>
        <w:t>goods,</w:t>
      </w:r>
      <w:r w:rsidR="00C64050">
        <w:rPr>
          <w:szCs w:val="20"/>
        </w:rPr>
        <w:t xml:space="preserve"> </w:t>
      </w:r>
      <w:r w:rsidRPr="00BA2AE4">
        <w:rPr>
          <w:szCs w:val="20"/>
        </w:rPr>
        <w:t>as</w:t>
      </w:r>
      <w:r w:rsidR="00C64050">
        <w:rPr>
          <w:szCs w:val="20"/>
        </w:rPr>
        <w:t xml:space="preserve"> </w:t>
      </w:r>
      <w:r w:rsidRPr="00BA2AE4">
        <w:rPr>
          <w:szCs w:val="20"/>
        </w:rPr>
        <w:t>well</w:t>
      </w:r>
      <w:r w:rsidR="00C64050">
        <w:rPr>
          <w:szCs w:val="20"/>
        </w:rPr>
        <w:t xml:space="preserve"> </w:t>
      </w:r>
      <w:r w:rsidRPr="00BA2AE4">
        <w:rPr>
          <w:szCs w:val="20"/>
        </w:rPr>
        <w:t>as</w:t>
      </w:r>
      <w:r w:rsidR="00C64050">
        <w:rPr>
          <w:szCs w:val="20"/>
        </w:rPr>
        <w:t xml:space="preserve"> </w:t>
      </w:r>
      <w:r w:rsidRPr="00BA2AE4">
        <w:rPr>
          <w:szCs w:val="20"/>
        </w:rPr>
        <w:t>a</w:t>
      </w:r>
      <w:r w:rsidR="00C64050">
        <w:rPr>
          <w:szCs w:val="20"/>
        </w:rPr>
        <w:t xml:space="preserve"> </w:t>
      </w:r>
      <w:r w:rsidRPr="00BA2AE4">
        <w:rPr>
          <w:szCs w:val="20"/>
        </w:rPr>
        <w:t>predetermined</w:t>
      </w:r>
      <w:r w:rsidR="00C64050">
        <w:rPr>
          <w:szCs w:val="20"/>
        </w:rPr>
        <w:t xml:space="preserve"> </w:t>
      </w:r>
      <w:r w:rsidRPr="00BA2AE4">
        <w:rPr>
          <w:szCs w:val="20"/>
        </w:rPr>
        <w:t>sum</w:t>
      </w:r>
      <w:r w:rsidR="00C64050">
        <w:rPr>
          <w:szCs w:val="20"/>
        </w:rPr>
        <w:t xml:space="preserve"> </w:t>
      </w:r>
      <w:r w:rsidRPr="00BA2AE4">
        <w:rPr>
          <w:szCs w:val="20"/>
        </w:rPr>
        <w:t>of</w:t>
      </w:r>
      <w:r w:rsidR="00C64050">
        <w:rPr>
          <w:szCs w:val="20"/>
        </w:rPr>
        <w:t xml:space="preserve"> </w:t>
      </w:r>
      <w:r w:rsidRPr="00BA2AE4">
        <w:rPr>
          <w:szCs w:val="20"/>
        </w:rPr>
        <w:t>money,</w:t>
      </w:r>
      <w:r w:rsidR="00C64050">
        <w:rPr>
          <w:szCs w:val="20"/>
        </w:rPr>
        <w:t xml:space="preserve"> </w:t>
      </w:r>
      <w:r w:rsidRPr="00BA2AE4">
        <w:rPr>
          <w:szCs w:val="20"/>
        </w:rPr>
        <w:t>with</w:t>
      </w:r>
      <w:r w:rsidR="00C64050">
        <w:rPr>
          <w:szCs w:val="20"/>
        </w:rPr>
        <w:t xml:space="preserve"> </w:t>
      </w:r>
      <w:r w:rsidRPr="00BA2AE4">
        <w:rPr>
          <w:szCs w:val="20"/>
        </w:rPr>
        <w:t>the</w:t>
      </w:r>
      <w:r w:rsidR="00C64050">
        <w:rPr>
          <w:szCs w:val="20"/>
        </w:rPr>
        <w:t xml:space="preserve"> </w:t>
      </w:r>
      <w:r w:rsidRPr="00BA2AE4">
        <w:rPr>
          <w:szCs w:val="20"/>
        </w:rPr>
        <w:t>remainder</w:t>
      </w:r>
      <w:r w:rsidR="00C64050">
        <w:rPr>
          <w:szCs w:val="20"/>
        </w:rPr>
        <w:t xml:space="preserve"> </w:t>
      </w:r>
      <w:r w:rsidRPr="00BA2AE4">
        <w:rPr>
          <w:szCs w:val="20"/>
        </w:rPr>
        <w:t>to</w:t>
      </w:r>
      <w:r w:rsidR="00C64050">
        <w:rPr>
          <w:szCs w:val="20"/>
        </w:rPr>
        <w:t xml:space="preserve"> </w:t>
      </w:r>
      <w:r w:rsidRPr="00BA2AE4">
        <w:rPr>
          <w:szCs w:val="20"/>
        </w:rPr>
        <w:t>go</w:t>
      </w:r>
      <w:r w:rsidR="00C64050">
        <w:rPr>
          <w:szCs w:val="20"/>
        </w:rPr>
        <w:t xml:space="preserve"> </w:t>
      </w:r>
      <w:r w:rsidRPr="00BA2AE4">
        <w:rPr>
          <w:szCs w:val="20"/>
        </w:rPr>
        <w:t>to</w:t>
      </w:r>
      <w:r w:rsidR="00C64050">
        <w:rPr>
          <w:szCs w:val="20"/>
        </w:rPr>
        <w:t xml:space="preserve"> </w:t>
      </w:r>
      <w:r w:rsidRPr="00BA2AE4">
        <w:rPr>
          <w:szCs w:val="20"/>
        </w:rPr>
        <w:t>settlor's</w:t>
      </w:r>
      <w:r w:rsidR="00C64050">
        <w:rPr>
          <w:szCs w:val="20"/>
        </w:rPr>
        <w:t xml:space="preserve"> </w:t>
      </w:r>
      <w:r w:rsidRPr="00BA2AE4">
        <w:rPr>
          <w:szCs w:val="20"/>
        </w:rPr>
        <w:t>children.</w:t>
      </w:r>
      <w:r w:rsidR="00C64050">
        <w:rPr>
          <w:szCs w:val="20"/>
        </w:rPr>
        <w:t xml:space="preserve"> </w:t>
      </w:r>
      <w:hyperlink r:id="rId431" w:history="1">
        <w:r w:rsidRPr="00BA2AE4">
          <w:rPr>
            <w:rStyle w:val="Emphasis"/>
            <w:szCs w:val="20"/>
          </w:rPr>
          <w:t>Id.</w:t>
        </w:r>
      </w:hyperlink>
      <w:r w:rsidR="00C64050">
        <w:rPr>
          <w:szCs w:val="20"/>
        </w:rPr>
        <w:t xml:space="preserve"> </w:t>
      </w:r>
      <w:r w:rsidRPr="00BA2AE4">
        <w:rPr>
          <w:szCs w:val="20"/>
        </w:rPr>
        <w:t>The</w:t>
      </w:r>
      <w:r w:rsidR="00C64050">
        <w:rPr>
          <w:szCs w:val="20"/>
        </w:rPr>
        <w:t xml:space="preserve"> </w:t>
      </w:r>
      <w:r w:rsidRPr="00BA2AE4">
        <w:rPr>
          <w:szCs w:val="20"/>
        </w:rPr>
        <w:t>trust</w:t>
      </w:r>
      <w:r w:rsidR="00C64050">
        <w:rPr>
          <w:szCs w:val="20"/>
        </w:rPr>
        <w:t xml:space="preserve"> </w:t>
      </w:r>
      <w:r w:rsidRPr="00BA2AE4">
        <w:rPr>
          <w:szCs w:val="20"/>
        </w:rPr>
        <w:t>made</w:t>
      </w:r>
      <w:r w:rsidR="00C64050">
        <w:rPr>
          <w:szCs w:val="20"/>
        </w:rPr>
        <w:t xml:space="preserve"> </w:t>
      </w:r>
      <w:r w:rsidRPr="00BA2AE4">
        <w:rPr>
          <w:szCs w:val="20"/>
        </w:rPr>
        <w:t>no</w:t>
      </w:r>
      <w:r w:rsidR="00C64050">
        <w:rPr>
          <w:szCs w:val="20"/>
        </w:rPr>
        <w:t xml:space="preserve"> </w:t>
      </w:r>
      <w:r w:rsidRPr="00BA2AE4">
        <w:rPr>
          <w:szCs w:val="20"/>
        </w:rPr>
        <w:t>provision</w:t>
      </w:r>
      <w:r w:rsidR="00C64050">
        <w:rPr>
          <w:szCs w:val="20"/>
        </w:rPr>
        <w:t xml:space="preserve"> </w:t>
      </w:r>
      <w:r w:rsidRPr="00BA2AE4">
        <w:rPr>
          <w:szCs w:val="20"/>
        </w:rPr>
        <w:t>for</w:t>
      </w:r>
      <w:r w:rsidR="00C64050">
        <w:rPr>
          <w:szCs w:val="20"/>
        </w:rPr>
        <w:t xml:space="preserve"> </w:t>
      </w:r>
      <w:r w:rsidRPr="00BA2AE4">
        <w:rPr>
          <w:szCs w:val="20"/>
        </w:rPr>
        <w:t>payment</w:t>
      </w:r>
      <w:r w:rsidR="00C64050">
        <w:rPr>
          <w:szCs w:val="20"/>
        </w:rPr>
        <w:t xml:space="preserve"> </w:t>
      </w:r>
      <w:r w:rsidRPr="00BA2AE4">
        <w:rPr>
          <w:szCs w:val="20"/>
        </w:rPr>
        <w:t>of</w:t>
      </w:r>
      <w:r w:rsidR="00C64050">
        <w:rPr>
          <w:szCs w:val="20"/>
        </w:rPr>
        <w:t xml:space="preserve"> </w:t>
      </w:r>
      <w:r w:rsidRPr="00BA2AE4">
        <w:rPr>
          <w:szCs w:val="20"/>
        </w:rPr>
        <w:t>income</w:t>
      </w:r>
      <w:r w:rsidR="00C64050">
        <w:rPr>
          <w:szCs w:val="20"/>
        </w:rPr>
        <w:t xml:space="preserve"> </w:t>
      </w:r>
      <w:r w:rsidRPr="00BA2AE4">
        <w:rPr>
          <w:szCs w:val="20"/>
        </w:rPr>
        <w:t>to</w:t>
      </w:r>
      <w:r w:rsidR="00C64050">
        <w:rPr>
          <w:szCs w:val="20"/>
        </w:rPr>
        <w:t xml:space="preserve"> </w:t>
      </w:r>
      <w:r w:rsidRPr="00BA2AE4">
        <w:rPr>
          <w:szCs w:val="20"/>
        </w:rPr>
        <w:t>the</w:t>
      </w:r>
      <w:r w:rsidR="00C64050">
        <w:rPr>
          <w:szCs w:val="20"/>
        </w:rPr>
        <w:t xml:space="preserve"> </w:t>
      </w:r>
      <w:r w:rsidRPr="00BA2AE4">
        <w:rPr>
          <w:szCs w:val="20"/>
        </w:rPr>
        <w:t>settlor.</w:t>
      </w:r>
      <w:r w:rsidR="00C64050">
        <w:rPr>
          <w:szCs w:val="20"/>
        </w:rPr>
        <w:t xml:space="preserve"> </w:t>
      </w:r>
      <w:r w:rsidRPr="00BA2AE4">
        <w:rPr>
          <w:szCs w:val="20"/>
        </w:rPr>
        <w:t>Based</w:t>
      </w:r>
      <w:r w:rsidR="00C64050">
        <w:rPr>
          <w:szCs w:val="20"/>
        </w:rPr>
        <w:t xml:space="preserve"> </w:t>
      </w:r>
      <w:r w:rsidRPr="00BA2AE4">
        <w:rPr>
          <w:szCs w:val="20"/>
        </w:rPr>
        <w:t>on</w:t>
      </w:r>
      <w:r w:rsidR="00C64050">
        <w:rPr>
          <w:szCs w:val="20"/>
        </w:rPr>
        <w:t xml:space="preserve"> </w:t>
      </w:r>
      <w:r w:rsidRPr="00BA2AE4">
        <w:rPr>
          <w:szCs w:val="20"/>
        </w:rPr>
        <w:t>the</w:t>
      </w:r>
      <w:r w:rsidR="00C64050">
        <w:rPr>
          <w:szCs w:val="20"/>
        </w:rPr>
        <w:t xml:space="preserve"> </w:t>
      </w:r>
      <w:r w:rsidRPr="00BA2AE4">
        <w:rPr>
          <w:szCs w:val="20"/>
        </w:rPr>
        <w:t>evidence</w:t>
      </w:r>
      <w:r w:rsidR="00C64050">
        <w:rPr>
          <w:szCs w:val="20"/>
        </w:rPr>
        <w:t xml:space="preserve"> </w:t>
      </w:r>
      <w:r w:rsidRPr="00BA2AE4">
        <w:rPr>
          <w:szCs w:val="20"/>
        </w:rPr>
        <w:t>presented,</w:t>
      </w:r>
      <w:r w:rsidR="00C64050">
        <w:rPr>
          <w:szCs w:val="20"/>
        </w:rPr>
        <w:t xml:space="preserve"> </w:t>
      </w:r>
      <w:r w:rsidRPr="00BA2AE4">
        <w:rPr>
          <w:szCs w:val="20"/>
        </w:rPr>
        <w:t>the</w:t>
      </w:r>
      <w:r w:rsidR="00C64050">
        <w:rPr>
          <w:szCs w:val="20"/>
        </w:rPr>
        <w:t xml:space="preserve"> </w:t>
      </w:r>
      <w:r w:rsidRPr="00BA2AE4">
        <w:rPr>
          <w:rStyle w:val="Emphasis"/>
          <w:szCs w:val="20"/>
        </w:rPr>
        <w:t>Dunnewind</w:t>
      </w:r>
      <w:r w:rsidR="00C64050">
        <w:rPr>
          <w:szCs w:val="20"/>
        </w:rPr>
        <w:t xml:space="preserve"> </w:t>
      </w:r>
      <w:r w:rsidRPr="00BA2AE4">
        <w:rPr>
          <w:szCs w:val="20"/>
        </w:rPr>
        <w:t>court</w:t>
      </w:r>
      <w:r w:rsidR="00C64050">
        <w:rPr>
          <w:szCs w:val="20"/>
        </w:rPr>
        <w:t xml:space="preserve"> </w:t>
      </w:r>
      <w:r w:rsidRPr="00BA2AE4">
        <w:rPr>
          <w:szCs w:val="20"/>
        </w:rPr>
        <w:t>opined</w:t>
      </w:r>
      <w:r w:rsidR="00C64050">
        <w:rPr>
          <w:szCs w:val="20"/>
        </w:rPr>
        <w:t xml:space="preserve"> </w:t>
      </w:r>
      <w:r w:rsidRPr="00BA2AE4">
        <w:rPr>
          <w:szCs w:val="20"/>
        </w:rPr>
        <w:t>that</w:t>
      </w:r>
      <w:r w:rsidR="00C64050">
        <w:rPr>
          <w:szCs w:val="20"/>
        </w:rPr>
        <w:t xml:space="preserve"> </w:t>
      </w:r>
      <w:r w:rsidRPr="00BA2AE4">
        <w:rPr>
          <w:szCs w:val="20"/>
        </w:rPr>
        <w:t>“there</w:t>
      </w:r>
      <w:r w:rsidR="00C64050">
        <w:rPr>
          <w:szCs w:val="20"/>
        </w:rPr>
        <w:t xml:space="preserve"> </w:t>
      </w:r>
      <w:r w:rsidRPr="00BA2AE4">
        <w:rPr>
          <w:szCs w:val="20"/>
        </w:rPr>
        <w:t>was</w:t>
      </w:r>
      <w:r w:rsidR="00C64050">
        <w:rPr>
          <w:szCs w:val="20"/>
        </w:rPr>
        <w:t xml:space="preserve"> </w:t>
      </w:r>
      <w:r w:rsidRPr="00BA2AE4">
        <w:rPr>
          <w:szCs w:val="20"/>
        </w:rPr>
        <w:t>no</w:t>
      </w:r>
      <w:r w:rsidR="00C64050">
        <w:rPr>
          <w:szCs w:val="20"/>
        </w:rPr>
        <w:t xml:space="preserve"> </w:t>
      </w:r>
      <w:r w:rsidRPr="00BA2AE4">
        <w:rPr>
          <w:szCs w:val="20"/>
        </w:rPr>
        <w:t>showing</w:t>
      </w:r>
      <w:r w:rsidR="00C64050">
        <w:rPr>
          <w:szCs w:val="20"/>
        </w:rPr>
        <w:t xml:space="preserve"> </w:t>
      </w:r>
      <w:r w:rsidRPr="00BA2AE4">
        <w:rPr>
          <w:szCs w:val="20"/>
        </w:rPr>
        <w:t>that</w:t>
      </w:r>
      <w:r w:rsidR="00C64050">
        <w:rPr>
          <w:szCs w:val="20"/>
        </w:rPr>
        <w:t xml:space="preserve"> </w:t>
      </w:r>
      <w:r w:rsidRPr="00BA2AE4">
        <w:rPr>
          <w:szCs w:val="20"/>
        </w:rPr>
        <w:t>the</w:t>
      </w:r>
      <w:r w:rsidR="00C64050">
        <w:rPr>
          <w:szCs w:val="20"/>
        </w:rPr>
        <w:t xml:space="preserve"> </w:t>
      </w:r>
      <w:r w:rsidRPr="00BA2AE4">
        <w:rPr>
          <w:szCs w:val="20"/>
        </w:rPr>
        <w:t>trust</w:t>
      </w:r>
      <w:r w:rsidR="00C64050">
        <w:rPr>
          <w:szCs w:val="20"/>
        </w:rPr>
        <w:t xml:space="preserve"> </w:t>
      </w:r>
      <w:r w:rsidRPr="00BA2AE4">
        <w:rPr>
          <w:szCs w:val="20"/>
        </w:rPr>
        <w:t>was</w:t>
      </w:r>
      <w:r w:rsidR="00C64050">
        <w:rPr>
          <w:szCs w:val="20"/>
        </w:rPr>
        <w:t xml:space="preserve"> </w:t>
      </w:r>
      <w:r w:rsidRPr="00BA2AE4">
        <w:rPr>
          <w:szCs w:val="20"/>
        </w:rPr>
        <w:t>executed</w:t>
      </w:r>
      <w:r w:rsidR="00C64050">
        <w:rPr>
          <w:szCs w:val="20"/>
        </w:rPr>
        <w:t xml:space="preserve"> </w:t>
      </w:r>
      <w:r w:rsidRPr="00BA2AE4">
        <w:rPr>
          <w:szCs w:val="20"/>
        </w:rPr>
        <w:t>to</w:t>
      </w:r>
      <w:r w:rsidR="00C64050">
        <w:rPr>
          <w:szCs w:val="20"/>
        </w:rPr>
        <w:t xml:space="preserve"> </w:t>
      </w:r>
      <w:r w:rsidRPr="00BA2AE4">
        <w:rPr>
          <w:szCs w:val="20"/>
        </w:rPr>
        <w:t>assist</w:t>
      </w:r>
      <w:r w:rsidR="00C64050">
        <w:rPr>
          <w:szCs w:val="20"/>
        </w:rPr>
        <w:t xml:space="preserve"> </w:t>
      </w:r>
      <w:r w:rsidRPr="00BA2AE4">
        <w:rPr>
          <w:szCs w:val="20"/>
        </w:rPr>
        <w:t>the</w:t>
      </w:r>
      <w:r w:rsidR="00C64050">
        <w:rPr>
          <w:szCs w:val="20"/>
        </w:rPr>
        <w:t xml:space="preserve"> </w:t>
      </w:r>
      <w:r w:rsidRPr="00BA2AE4">
        <w:rPr>
          <w:szCs w:val="20"/>
        </w:rPr>
        <w:t>[settlor]</w:t>
      </w:r>
      <w:r w:rsidR="00C64050">
        <w:rPr>
          <w:szCs w:val="20"/>
        </w:rPr>
        <w:t xml:space="preserve"> </w:t>
      </w:r>
      <w:r w:rsidRPr="00BA2AE4">
        <w:rPr>
          <w:szCs w:val="20"/>
        </w:rPr>
        <w:t>with</w:t>
      </w:r>
      <w:r w:rsidR="00C64050">
        <w:rPr>
          <w:szCs w:val="20"/>
        </w:rPr>
        <w:t xml:space="preserve"> </w:t>
      </w:r>
      <w:r w:rsidRPr="00BA2AE4">
        <w:rPr>
          <w:szCs w:val="20"/>
        </w:rPr>
        <w:t>business</w:t>
      </w:r>
      <w:r w:rsidR="00C64050">
        <w:rPr>
          <w:szCs w:val="20"/>
        </w:rPr>
        <w:t xml:space="preserve"> </w:t>
      </w:r>
      <w:r w:rsidRPr="00BA2AE4">
        <w:rPr>
          <w:szCs w:val="20"/>
        </w:rPr>
        <w:t>or</w:t>
      </w:r>
      <w:r w:rsidR="00C64050">
        <w:rPr>
          <w:szCs w:val="20"/>
        </w:rPr>
        <w:t xml:space="preserve"> </w:t>
      </w:r>
      <w:r w:rsidRPr="00BA2AE4">
        <w:rPr>
          <w:szCs w:val="20"/>
        </w:rPr>
        <w:t>financial</w:t>
      </w:r>
      <w:r w:rsidR="00C64050">
        <w:rPr>
          <w:szCs w:val="20"/>
        </w:rPr>
        <w:t xml:space="preserve"> </w:t>
      </w:r>
      <w:r w:rsidRPr="00BA2AE4">
        <w:rPr>
          <w:szCs w:val="20"/>
        </w:rPr>
        <w:t>affairs,”</w:t>
      </w:r>
      <w:r w:rsidR="00C64050">
        <w:rPr>
          <w:szCs w:val="20"/>
        </w:rPr>
        <w:t xml:space="preserve"> </w:t>
      </w:r>
      <w:r w:rsidRPr="00BA2AE4">
        <w:rPr>
          <w:szCs w:val="20"/>
        </w:rPr>
        <w:t>and</w:t>
      </w:r>
      <w:r w:rsidR="00C64050">
        <w:rPr>
          <w:szCs w:val="20"/>
        </w:rPr>
        <w:t xml:space="preserve"> </w:t>
      </w:r>
      <w:r w:rsidRPr="00BA2AE4">
        <w:rPr>
          <w:szCs w:val="20"/>
        </w:rPr>
        <w:t>held</w:t>
      </w:r>
      <w:r w:rsidR="00C64050">
        <w:rPr>
          <w:szCs w:val="20"/>
        </w:rPr>
        <w:t xml:space="preserve"> </w:t>
      </w:r>
      <w:r w:rsidRPr="00BA2AE4">
        <w:rPr>
          <w:szCs w:val="20"/>
        </w:rPr>
        <w:t>that</w:t>
      </w:r>
      <w:r w:rsidR="00C64050">
        <w:rPr>
          <w:szCs w:val="20"/>
        </w:rPr>
        <w:t xml:space="preserve"> </w:t>
      </w:r>
      <w:r w:rsidRPr="00BA2AE4">
        <w:rPr>
          <w:szCs w:val="20"/>
        </w:rPr>
        <w:t>“the</w:t>
      </w:r>
      <w:r w:rsidR="00C64050">
        <w:rPr>
          <w:szCs w:val="20"/>
        </w:rPr>
        <w:t xml:space="preserve"> </w:t>
      </w:r>
      <w:r w:rsidRPr="00BA2AE4">
        <w:rPr>
          <w:szCs w:val="20"/>
        </w:rPr>
        <w:t>evidence</w:t>
      </w:r>
      <w:r w:rsidR="00C64050">
        <w:rPr>
          <w:szCs w:val="20"/>
        </w:rPr>
        <w:t xml:space="preserve"> </w:t>
      </w:r>
      <w:r w:rsidRPr="00BA2AE4">
        <w:rPr>
          <w:szCs w:val="20"/>
        </w:rPr>
        <w:t>presented</w:t>
      </w:r>
      <w:r w:rsidR="00C64050">
        <w:rPr>
          <w:szCs w:val="20"/>
        </w:rPr>
        <w:t xml:space="preserve"> </w:t>
      </w:r>
      <w:r w:rsidRPr="00BA2AE4">
        <w:rPr>
          <w:szCs w:val="20"/>
        </w:rPr>
        <w:t>at</w:t>
      </w:r>
      <w:r w:rsidR="00C64050">
        <w:rPr>
          <w:szCs w:val="20"/>
        </w:rPr>
        <w:t xml:space="preserve"> </w:t>
      </w:r>
      <w:r w:rsidRPr="00BA2AE4">
        <w:rPr>
          <w:szCs w:val="20"/>
        </w:rPr>
        <w:t>the</w:t>
      </w:r>
      <w:r w:rsidR="00C64050">
        <w:rPr>
          <w:szCs w:val="20"/>
        </w:rPr>
        <w:t xml:space="preserve"> </w:t>
      </w:r>
      <w:r w:rsidRPr="00BA2AE4">
        <w:rPr>
          <w:szCs w:val="20"/>
        </w:rPr>
        <w:t>hearing</w:t>
      </w:r>
      <w:r w:rsidR="00C64050">
        <w:rPr>
          <w:szCs w:val="20"/>
        </w:rPr>
        <w:t xml:space="preserve"> </w:t>
      </w:r>
      <w:r w:rsidRPr="00BA2AE4">
        <w:rPr>
          <w:szCs w:val="20"/>
        </w:rPr>
        <w:t>supports</w:t>
      </w:r>
      <w:r w:rsidR="00C64050">
        <w:rPr>
          <w:szCs w:val="20"/>
        </w:rPr>
        <w:t xml:space="preserve"> </w:t>
      </w:r>
      <w:r w:rsidRPr="00BA2AE4">
        <w:rPr>
          <w:szCs w:val="20"/>
        </w:rPr>
        <w:t>the</w:t>
      </w:r>
      <w:r w:rsidR="00C64050">
        <w:rPr>
          <w:szCs w:val="20"/>
        </w:rPr>
        <w:t xml:space="preserve"> </w:t>
      </w:r>
      <w:r w:rsidRPr="00BA2AE4">
        <w:rPr>
          <w:szCs w:val="20"/>
        </w:rPr>
        <w:t>trial</w:t>
      </w:r>
      <w:r w:rsidR="00C64050">
        <w:rPr>
          <w:szCs w:val="20"/>
        </w:rPr>
        <w:t xml:space="preserve"> </w:t>
      </w:r>
      <w:r w:rsidRPr="00BA2AE4">
        <w:rPr>
          <w:szCs w:val="20"/>
        </w:rPr>
        <w:t>court's</w:t>
      </w:r>
      <w:r w:rsidR="00C64050">
        <w:rPr>
          <w:szCs w:val="20"/>
        </w:rPr>
        <w:t xml:space="preserve"> </w:t>
      </w:r>
      <w:r w:rsidRPr="00BA2AE4">
        <w:rPr>
          <w:szCs w:val="20"/>
        </w:rPr>
        <w:t>findings</w:t>
      </w:r>
      <w:r w:rsidR="00C64050">
        <w:rPr>
          <w:szCs w:val="20"/>
        </w:rPr>
        <w:t xml:space="preserve"> </w:t>
      </w:r>
      <w:r w:rsidRPr="00BA2AE4">
        <w:rPr>
          <w:szCs w:val="20"/>
        </w:rPr>
        <w:t>that</w:t>
      </w:r>
      <w:r w:rsidR="00C64050">
        <w:rPr>
          <w:szCs w:val="20"/>
        </w:rPr>
        <w:t xml:space="preserve"> </w:t>
      </w:r>
      <w:r w:rsidRPr="00BA2AE4">
        <w:rPr>
          <w:szCs w:val="20"/>
        </w:rPr>
        <w:t>[the</w:t>
      </w:r>
      <w:r w:rsidR="00C64050">
        <w:rPr>
          <w:szCs w:val="20"/>
        </w:rPr>
        <w:t xml:space="preserve"> </w:t>
      </w:r>
      <w:r w:rsidRPr="00BA2AE4">
        <w:rPr>
          <w:szCs w:val="20"/>
        </w:rPr>
        <w:t>settlor]</w:t>
      </w:r>
      <w:r w:rsidR="00C64050">
        <w:rPr>
          <w:szCs w:val="20"/>
        </w:rPr>
        <w:t xml:space="preserve"> </w:t>
      </w:r>
      <w:r w:rsidRPr="00BA2AE4">
        <w:rPr>
          <w:szCs w:val="20"/>
        </w:rPr>
        <w:t>executed</w:t>
      </w:r>
      <w:r w:rsidR="00C64050">
        <w:rPr>
          <w:szCs w:val="20"/>
        </w:rPr>
        <w:t xml:space="preserve"> </w:t>
      </w:r>
      <w:r w:rsidRPr="00BA2AE4">
        <w:rPr>
          <w:szCs w:val="20"/>
        </w:rPr>
        <w:t>the</w:t>
      </w:r>
      <w:r w:rsidR="00C64050">
        <w:rPr>
          <w:szCs w:val="20"/>
        </w:rPr>
        <w:t xml:space="preserve"> </w:t>
      </w:r>
      <w:r w:rsidRPr="00BA2AE4">
        <w:rPr>
          <w:szCs w:val="20"/>
        </w:rPr>
        <w:t>trust</w:t>
      </w:r>
      <w:r w:rsidR="00C64050">
        <w:rPr>
          <w:szCs w:val="20"/>
        </w:rPr>
        <w:t xml:space="preserve"> </w:t>
      </w:r>
      <w:r w:rsidRPr="00BA2AE4">
        <w:rPr>
          <w:szCs w:val="20"/>
        </w:rPr>
        <w:t>in</w:t>
      </w:r>
      <w:r w:rsidR="00C64050">
        <w:rPr>
          <w:szCs w:val="20"/>
        </w:rPr>
        <w:t xml:space="preserve"> </w:t>
      </w:r>
      <w:r w:rsidRPr="00BA2AE4">
        <w:rPr>
          <w:szCs w:val="20"/>
        </w:rPr>
        <w:t>contemplation</w:t>
      </w:r>
      <w:r w:rsidR="00C64050">
        <w:rPr>
          <w:szCs w:val="20"/>
        </w:rPr>
        <w:t xml:space="preserve"> </w:t>
      </w:r>
      <w:r w:rsidRPr="00BA2AE4">
        <w:rPr>
          <w:szCs w:val="20"/>
        </w:rPr>
        <w:t>of</w:t>
      </w:r>
      <w:r w:rsidR="00C64050">
        <w:rPr>
          <w:szCs w:val="20"/>
        </w:rPr>
        <w:t xml:space="preserve"> </w:t>
      </w:r>
      <w:r w:rsidRPr="00BA2AE4">
        <w:rPr>
          <w:szCs w:val="20"/>
        </w:rPr>
        <w:t>her</w:t>
      </w:r>
      <w:r w:rsidR="00C64050">
        <w:rPr>
          <w:szCs w:val="20"/>
        </w:rPr>
        <w:t xml:space="preserve"> </w:t>
      </w:r>
      <w:r w:rsidRPr="00BA2AE4">
        <w:rPr>
          <w:szCs w:val="20"/>
        </w:rPr>
        <w:t>impending</w:t>
      </w:r>
      <w:r w:rsidR="00C64050">
        <w:rPr>
          <w:szCs w:val="20"/>
        </w:rPr>
        <w:t xml:space="preserve"> </w:t>
      </w:r>
      <w:r w:rsidRPr="00BA2AE4">
        <w:rPr>
          <w:szCs w:val="20"/>
        </w:rPr>
        <w:t>death</w:t>
      </w:r>
      <w:r w:rsidR="00C64050">
        <w:rPr>
          <w:szCs w:val="20"/>
        </w:rPr>
        <w:t xml:space="preserve"> </w:t>
      </w:r>
      <w:r w:rsidRPr="00BA2AE4">
        <w:rPr>
          <w:szCs w:val="20"/>
        </w:rPr>
        <w:t>and</w:t>
      </w:r>
      <w:r w:rsidR="00C64050">
        <w:rPr>
          <w:szCs w:val="20"/>
        </w:rPr>
        <w:t xml:space="preserve"> </w:t>
      </w:r>
      <w:r w:rsidRPr="00BA2AE4">
        <w:rPr>
          <w:szCs w:val="20"/>
        </w:rPr>
        <w:t>did</w:t>
      </w:r>
      <w:r w:rsidR="00C64050">
        <w:rPr>
          <w:szCs w:val="20"/>
        </w:rPr>
        <w:t xml:space="preserve"> </w:t>
      </w:r>
      <w:r w:rsidRPr="00BA2AE4">
        <w:rPr>
          <w:szCs w:val="20"/>
        </w:rPr>
        <w:t>so</w:t>
      </w:r>
      <w:r w:rsidR="00C64050">
        <w:rPr>
          <w:szCs w:val="20"/>
        </w:rPr>
        <w:t xml:space="preserve"> </w:t>
      </w:r>
      <w:r w:rsidRPr="00BA2AE4">
        <w:rPr>
          <w:szCs w:val="20"/>
        </w:rPr>
        <w:t>to</w:t>
      </w:r>
      <w:r w:rsidR="00C64050">
        <w:rPr>
          <w:szCs w:val="20"/>
        </w:rPr>
        <w:t xml:space="preserve"> </w:t>
      </w:r>
      <w:r w:rsidRPr="00BA2AE4">
        <w:rPr>
          <w:szCs w:val="20"/>
        </w:rPr>
        <w:t>defeat</w:t>
      </w:r>
      <w:r w:rsidR="00C64050">
        <w:rPr>
          <w:szCs w:val="20"/>
        </w:rPr>
        <w:t xml:space="preserve"> </w:t>
      </w:r>
      <w:r w:rsidRPr="00BA2AE4">
        <w:rPr>
          <w:szCs w:val="20"/>
        </w:rPr>
        <w:t>[husband's]</w:t>
      </w:r>
      <w:r w:rsidR="00C64050">
        <w:rPr>
          <w:szCs w:val="20"/>
        </w:rPr>
        <w:t xml:space="preserve"> </w:t>
      </w:r>
      <w:r w:rsidRPr="00BA2AE4">
        <w:rPr>
          <w:szCs w:val="20"/>
        </w:rPr>
        <w:t>statutory</w:t>
      </w:r>
      <w:r w:rsidR="00C64050">
        <w:rPr>
          <w:szCs w:val="20"/>
        </w:rPr>
        <w:t xml:space="preserve"> </w:t>
      </w:r>
      <w:r w:rsidRPr="00BA2AE4">
        <w:rPr>
          <w:szCs w:val="20"/>
        </w:rPr>
        <w:t>share</w:t>
      </w:r>
      <w:r w:rsidR="00C64050">
        <w:rPr>
          <w:szCs w:val="20"/>
        </w:rPr>
        <w:t xml:space="preserve"> </w:t>
      </w:r>
      <w:r w:rsidRPr="00BA2AE4">
        <w:rPr>
          <w:szCs w:val="20"/>
        </w:rPr>
        <w:t>...</w:t>
      </w:r>
      <w:r w:rsidR="00C64050">
        <w:rPr>
          <w:szCs w:val="20"/>
        </w:rPr>
        <w:t xml:space="preserve"> </w:t>
      </w:r>
      <w:r w:rsidRPr="00BA2AE4">
        <w:rPr>
          <w:szCs w:val="20"/>
        </w:rPr>
        <w:t>Given</w:t>
      </w:r>
      <w:r w:rsidR="00C64050">
        <w:rPr>
          <w:szCs w:val="20"/>
        </w:rPr>
        <w:t xml:space="preserve"> </w:t>
      </w:r>
      <w:r w:rsidRPr="00BA2AE4">
        <w:rPr>
          <w:szCs w:val="20"/>
        </w:rPr>
        <w:t>such</w:t>
      </w:r>
      <w:r w:rsidR="00C64050">
        <w:rPr>
          <w:szCs w:val="20"/>
        </w:rPr>
        <w:t xml:space="preserve"> </w:t>
      </w:r>
      <w:r w:rsidRPr="00BA2AE4">
        <w:rPr>
          <w:szCs w:val="20"/>
        </w:rPr>
        <w:t>circumstances,</w:t>
      </w:r>
      <w:r w:rsidR="00C64050">
        <w:rPr>
          <w:szCs w:val="20"/>
        </w:rPr>
        <w:t xml:space="preserve"> </w:t>
      </w:r>
      <w:r w:rsidRPr="00BA2AE4">
        <w:rPr>
          <w:szCs w:val="20"/>
        </w:rPr>
        <w:t>the</w:t>
      </w:r>
      <w:r w:rsidR="00C64050">
        <w:rPr>
          <w:szCs w:val="20"/>
        </w:rPr>
        <w:t xml:space="preserve"> </w:t>
      </w:r>
      <w:r w:rsidRPr="00BA2AE4">
        <w:rPr>
          <w:szCs w:val="20"/>
        </w:rPr>
        <w:t>trust</w:t>
      </w:r>
      <w:r w:rsidR="00C64050">
        <w:rPr>
          <w:szCs w:val="20"/>
        </w:rPr>
        <w:t xml:space="preserve"> </w:t>
      </w:r>
      <w:r w:rsidRPr="00BA2AE4">
        <w:rPr>
          <w:szCs w:val="20"/>
        </w:rPr>
        <w:t>fails</w:t>
      </w:r>
      <w:r w:rsidR="00C64050">
        <w:rPr>
          <w:szCs w:val="20"/>
        </w:rPr>
        <w:t xml:space="preserve"> </w:t>
      </w:r>
      <w:r w:rsidRPr="00BA2AE4">
        <w:rPr>
          <w:szCs w:val="20"/>
        </w:rPr>
        <w:t>to</w:t>
      </w:r>
      <w:r w:rsidR="00C64050">
        <w:rPr>
          <w:szCs w:val="20"/>
        </w:rPr>
        <w:t xml:space="preserve"> </w:t>
      </w:r>
      <w:r w:rsidRPr="00BA2AE4">
        <w:rPr>
          <w:szCs w:val="20"/>
        </w:rPr>
        <w:t>defeat</w:t>
      </w:r>
      <w:r w:rsidR="00C64050">
        <w:rPr>
          <w:szCs w:val="20"/>
        </w:rPr>
        <w:t xml:space="preserve"> </w:t>
      </w:r>
      <w:r w:rsidRPr="00BA2AE4">
        <w:rPr>
          <w:szCs w:val="20"/>
        </w:rPr>
        <w:t>the</w:t>
      </w:r>
      <w:r w:rsidR="00C64050">
        <w:rPr>
          <w:szCs w:val="20"/>
        </w:rPr>
        <w:t xml:space="preserve"> </w:t>
      </w:r>
      <w:r w:rsidRPr="00BA2AE4">
        <w:rPr>
          <w:szCs w:val="20"/>
        </w:rPr>
        <w:t>spouse's</w:t>
      </w:r>
      <w:r w:rsidR="00C64050">
        <w:rPr>
          <w:szCs w:val="20"/>
        </w:rPr>
        <w:t xml:space="preserve"> </w:t>
      </w:r>
      <w:r w:rsidRPr="00BA2AE4">
        <w:rPr>
          <w:szCs w:val="20"/>
        </w:rPr>
        <w:t>share</w:t>
      </w:r>
      <w:r w:rsidR="00C64050">
        <w:rPr>
          <w:szCs w:val="20"/>
        </w:rPr>
        <w:t xml:space="preserve"> </w:t>
      </w:r>
      <w:r w:rsidRPr="00BA2AE4">
        <w:rPr>
          <w:szCs w:val="20"/>
        </w:rPr>
        <w:t>given</w:t>
      </w:r>
      <w:r w:rsidR="00C64050">
        <w:rPr>
          <w:szCs w:val="20"/>
        </w:rPr>
        <w:t xml:space="preserve"> </w:t>
      </w:r>
      <w:r w:rsidRPr="00BA2AE4">
        <w:rPr>
          <w:szCs w:val="20"/>
        </w:rPr>
        <w:t>the</w:t>
      </w:r>
      <w:r w:rsidR="00C64050">
        <w:rPr>
          <w:szCs w:val="20"/>
        </w:rPr>
        <w:t xml:space="preserve"> </w:t>
      </w:r>
      <w:r w:rsidRPr="00BA2AE4">
        <w:rPr>
          <w:szCs w:val="20"/>
        </w:rPr>
        <w:t>law</w:t>
      </w:r>
      <w:r w:rsidR="00C64050">
        <w:rPr>
          <w:szCs w:val="20"/>
        </w:rPr>
        <w:t xml:space="preserve"> </w:t>
      </w:r>
      <w:r w:rsidRPr="00BA2AE4">
        <w:rPr>
          <w:szCs w:val="20"/>
        </w:rPr>
        <w:t>announced</w:t>
      </w:r>
      <w:r w:rsidR="00C64050">
        <w:rPr>
          <w:szCs w:val="20"/>
        </w:rPr>
        <w:t xml:space="preserve"> </w:t>
      </w:r>
      <w:r w:rsidRPr="00BA2AE4">
        <w:rPr>
          <w:szCs w:val="20"/>
        </w:rPr>
        <w:t>in</w:t>
      </w:r>
      <w:r w:rsidR="00C64050">
        <w:rPr>
          <w:szCs w:val="20"/>
        </w:rPr>
        <w:t xml:space="preserve"> </w:t>
      </w:r>
      <w:r w:rsidRPr="00BA2AE4">
        <w:rPr>
          <w:rStyle w:val="Emphasis"/>
          <w:szCs w:val="20"/>
        </w:rPr>
        <w:t>Crawfordsville</w:t>
      </w:r>
      <w:r w:rsidR="00C64050">
        <w:rPr>
          <w:rStyle w:val="Emphasis"/>
          <w:szCs w:val="20"/>
        </w:rPr>
        <w:t xml:space="preserve"> </w:t>
      </w:r>
      <w:r w:rsidRPr="00BA2AE4">
        <w:rPr>
          <w:szCs w:val="20"/>
        </w:rPr>
        <w:t>and</w:t>
      </w:r>
      <w:r w:rsidR="00C64050">
        <w:rPr>
          <w:szCs w:val="20"/>
        </w:rPr>
        <w:t xml:space="preserve"> </w:t>
      </w:r>
      <w:r w:rsidRPr="00BA2AE4">
        <w:rPr>
          <w:rStyle w:val="Emphasis"/>
          <w:szCs w:val="20"/>
        </w:rPr>
        <w:t>Walker</w:t>
      </w:r>
      <w:r w:rsidRPr="00BA2AE4">
        <w:rPr>
          <w:szCs w:val="20"/>
        </w:rPr>
        <w:t>.”</w:t>
      </w:r>
      <w:r w:rsidR="00C64050">
        <w:rPr>
          <w:szCs w:val="20"/>
        </w:rPr>
        <w:t xml:space="preserve"> </w:t>
      </w:r>
      <w:r w:rsidRPr="00BA2AE4">
        <w:rPr>
          <w:rStyle w:val="Emphasis"/>
          <w:szCs w:val="20"/>
        </w:rPr>
        <w:t>Id.</w:t>
      </w:r>
      <w:r w:rsidR="00C64050">
        <w:rPr>
          <w:szCs w:val="20"/>
        </w:rPr>
        <w:t xml:space="preserve"> </w:t>
      </w:r>
      <w:r w:rsidRPr="00BA2AE4">
        <w:rPr>
          <w:szCs w:val="20"/>
        </w:rPr>
        <w:t>at</w:t>
      </w:r>
      <w:r w:rsidR="00C64050">
        <w:rPr>
          <w:szCs w:val="20"/>
        </w:rPr>
        <w:t xml:space="preserve"> </w:t>
      </w:r>
      <w:r w:rsidRPr="00BA2AE4">
        <w:rPr>
          <w:szCs w:val="20"/>
        </w:rPr>
        <w:t>487,</w:t>
      </w:r>
      <w:r w:rsidR="00C64050">
        <w:rPr>
          <w:szCs w:val="20"/>
        </w:rPr>
        <w:t xml:space="preserve"> </w:t>
      </w:r>
      <w:r w:rsidRPr="00BA2AE4">
        <w:rPr>
          <w:szCs w:val="20"/>
        </w:rPr>
        <w:t>490.</w:t>
      </w:r>
      <w:r w:rsidR="00C64050">
        <w:rPr>
          <w:szCs w:val="20"/>
        </w:rPr>
        <w:t xml:space="preserve"> </w:t>
      </w:r>
      <w:r w:rsidRPr="00BA2AE4">
        <w:rPr>
          <w:szCs w:val="20"/>
        </w:rPr>
        <w:t>We</w:t>
      </w:r>
      <w:r w:rsidR="00C64050">
        <w:rPr>
          <w:szCs w:val="20"/>
        </w:rPr>
        <w:t xml:space="preserve"> </w:t>
      </w:r>
      <w:r w:rsidRPr="00BA2AE4">
        <w:rPr>
          <w:szCs w:val="20"/>
        </w:rPr>
        <w:t>also</w:t>
      </w:r>
      <w:r w:rsidR="00C64050">
        <w:rPr>
          <w:szCs w:val="20"/>
        </w:rPr>
        <w:t xml:space="preserve"> </w:t>
      </w:r>
      <w:r w:rsidRPr="00BA2AE4">
        <w:rPr>
          <w:szCs w:val="20"/>
        </w:rPr>
        <w:t>noted</w:t>
      </w:r>
      <w:r w:rsidR="00C64050">
        <w:rPr>
          <w:szCs w:val="20"/>
        </w:rPr>
        <w:t xml:space="preserve"> </w:t>
      </w:r>
      <w:r w:rsidRPr="00BA2AE4">
        <w:rPr>
          <w:szCs w:val="20"/>
        </w:rPr>
        <w:t>that</w:t>
      </w:r>
      <w:r w:rsidR="00C64050">
        <w:rPr>
          <w:szCs w:val="20"/>
        </w:rPr>
        <w:t xml:space="preserve"> </w:t>
      </w:r>
      <w:r w:rsidRPr="00BA2AE4">
        <w:rPr>
          <w:szCs w:val="20"/>
        </w:rPr>
        <w:t>the</w:t>
      </w:r>
      <w:r w:rsidR="00C64050">
        <w:rPr>
          <w:szCs w:val="20"/>
        </w:rPr>
        <w:t xml:space="preserve"> </w:t>
      </w:r>
      <w:r w:rsidRPr="00BA2AE4">
        <w:rPr>
          <w:szCs w:val="20"/>
        </w:rPr>
        <w:t>trust</w:t>
      </w:r>
      <w:r w:rsidR="00C64050">
        <w:rPr>
          <w:szCs w:val="20"/>
        </w:rPr>
        <w:t xml:space="preserve"> </w:t>
      </w:r>
      <w:r w:rsidRPr="00BA2AE4">
        <w:rPr>
          <w:szCs w:val="20"/>
        </w:rPr>
        <w:t>had</w:t>
      </w:r>
      <w:r w:rsidR="00C64050">
        <w:rPr>
          <w:szCs w:val="20"/>
        </w:rPr>
        <w:t xml:space="preserve"> </w:t>
      </w:r>
      <w:r w:rsidRPr="00BA2AE4">
        <w:rPr>
          <w:szCs w:val="20"/>
        </w:rPr>
        <w:t>a</w:t>
      </w:r>
      <w:r w:rsidR="00C64050">
        <w:rPr>
          <w:szCs w:val="20"/>
        </w:rPr>
        <w:t xml:space="preserve"> </w:t>
      </w:r>
      <w:r w:rsidRPr="00BA2AE4">
        <w:rPr>
          <w:szCs w:val="20"/>
        </w:rPr>
        <w:t>“testamentary</w:t>
      </w:r>
      <w:r w:rsidR="00C64050">
        <w:rPr>
          <w:szCs w:val="20"/>
        </w:rPr>
        <w:t xml:space="preserve"> </w:t>
      </w:r>
      <w:r w:rsidRPr="00BA2AE4">
        <w:rPr>
          <w:szCs w:val="20"/>
        </w:rPr>
        <w:t>character,”</w:t>
      </w:r>
      <w:r w:rsidR="00C64050">
        <w:rPr>
          <w:szCs w:val="20"/>
        </w:rPr>
        <w:t xml:space="preserve"> </w:t>
      </w:r>
      <w:r w:rsidRPr="00BA2AE4">
        <w:rPr>
          <w:szCs w:val="20"/>
        </w:rPr>
        <w:t>because</w:t>
      </w:r>
      <w:r w:rsidR="00C64050">
        <w:rPr>
          <w:szCs w:val="20"/>
        </w:rPr>
        <w:t xml:space="preserve"> </w:t>
      </w:r>
      <w:r w:rsidRPr="00BA2AE4">
        <w:rPr>
          <w:szCs w:val="20"/>
        </w:rPr>
        <w:t>the</w:t>
      </w:r>
      <w:r w:rsidR="00C64050">
        <w:rPr>
          <w:szCs w:val="20"/>
        </w:rPr>
        <w:t xml:space="preserve"> </w:t>
      </w:r>
      <w:r w:rsidRPr="00BA2AE4">
        <w:rPr>
          <w:szCs w:val="20"/>
        </w:rPr>
        <w:t>trust</w:t>
      </w:r>
      <w:r w:rsidR="00C64050">
        <w:rPr>
          <w:szCs w:val="20"/>
        </w:rPr>
        <w:t xml:space="preserve"> </w:t>
      </w:r>
      <w:r w:rsidRPr="00BA2AE4">
        <w:rPr>
          <w:szCs w:val="20"/>
        </w:rPr>
        <w:t>agreement</w:t>
      </w:r>
      <w:r w:rsidR="00C64050">
        <w:rPr>
          <w:szCs w:val="20"/>
        </w:rPr>
        <w:t xml:space="preserve"> </w:t>
      </w:r>
      <w:r w:rsidRPr="00BA2AE4">
        <w:rPr>
          <w:szCs w:val="20"/>
        </w:rPr>
        <w:t>did</w:t>
      </w:r>
      <w:r w:rsidR="00C64050">
        <w:rPr>
          <w:szCs w:val="20"/>
        </w:rPr>
        <w:t xml:space="preserve"> </w:t>
      </w:r>
      <w:r w:rsidRPr="00BA2AE4">
        <w:rPr>
          <w:szCs w:val="20"/>
        </w:rPr>
        <w:t>not</w:t>
      </w:r>
      <w:r w:rsidR="00C64050">
        <w:rPr>
          <w:szCs w:val="20"/>
        </w:rPr>
        <w:t xml:space="preserve"> </w:t>
      </w:r>
      <w:r w:rsidRPr="00BA2AE4">
        <w:rPr>
          <w:szCs w:val="20"/>
        </w:rPr>
        <w:t>give</w:t>
      </w:r>
      <w:r w:rsidR="00C64050">
        <w:rPr>
          <w:szCs w:val="20"/>
        </w:rPr>
        <w:t xml:space="preserve"> </w:t>
      </w:r>
      <w:r w:rsidRPr="00BA2AE4">
        <w:rPr>
          <w:szCs w:val="20"/>
        </w:rPr>
        <w:t>the</w:t>
      </w:r>
      <w:r w:rsidR="00C64050">
        <w:rPr>
          <w:szCs w:val="20"/>
        </w:rPr>
        <w:t xml:space="preserve"> </w:t>
      </w:r>
      <w:r w:rsidRPr="00BA2AE4">
        <w:rPr>
          <w:szCs w:val="20"/>
        </w:rPr>
        <w:t>settlor</w:t>
      </w:r>
      <w:r w:rsidR="00C64050">
        <w:rPr>
          <w:szCs w:val="20"/>
        </w:rPr>
        <w:t xml:space="preserve"> </w:t>
      </w:r>
      <w:r w:rsidRPr="00BA2AE4">
        <w:rPr>
          <w:szCs w:val="20"/>
        </w:rPr>
        <w:t>a</w:t>
      </w:r>
      <w:r w:rsidR="00C64050">
        <w:rPr>
          <w:szCs w:val="20"/>
        </w:rPr>
        <w:t xml:space="preserve"> </w:t>
      </w:r>
      <w:r w:rsidRPr="00BA2AE4">
        <w:rPr>
          <w:szCs w:val="20"/>
        </w:rPr>
        <w:t>life</w:t>
      </w:r>
      <w:r w:rsidR="00C64050">
        <w:rPr>
          <w:szCs w:val="20"/>
        </w:rPr>
        <w:t xml:space="preserve"> </w:t>
      </w:r>
      <w:r w:rsidRPr="00BA2AE4">
        <w:rPr>
          <w:szCs w:val="20"/>
        </w:rPr>
        <w:t>interest</w:t>
      </w:r>
      <w:r w:rsidR="00C64050">
        <w:rPr>
          <w:szCs w:val="20"/>
        </w:rPr>
        <w:t xml:space="preserve"> </w:t>
      </w:r>
      <w:r w:rsidRPr="00BA2AE4">
        <w:rPr>
          <w:szCs w:val="20"/>
        </w:rPr>
        <w:t>in</w:t>
      </w:r>
      <w:r w:rsidR="00C64050">
        <w:rPr>
          <w:szCs w:val="20"/>
        </w:rPr>
        <w:t xml:space="preserve"> </w:t>
      </w:r>
      <w:r w:rsidRPr="00BA2AE4">
        <w:rPr>
          <w:szCs w:val="20"/>
        </w:rPr>
        <w:t>the</w:t>
      </w:r>
      <w:r w:rsidR="00C64050">
        <w:rPr>
          <w:szCs w:val="20"/>
        </w:rPr>
        <w:t xml:space="preserve"> </w:t>
      </w:r>
      <w:r w:rsidRPr="00BA2AE4">
        <w:rPr>
          <w:szCs w:val="20"/>
        </w:rPr>
        <w:t>trust</w:t>
      </w:r>
      <w:r w:rsidR="00C64050">
        <w:rPr>
          <w:szCs w:val="20"/>
        </w:rPr>
        <w:t xml:space="preserve"> </w:t>
      </w:r>
      <w:r w:rsidRPr="00BA2AE4">
        <w:rPr>
          <w:szCs w:val="20"/>
        </w:rPr>
        <w:t>property,</w:t>
      </w:r>
      <w:r w:rsidR="00C64050">
        <w:rPr>
          <w:szCs w:val="20"/>
        </w:rPr>
        <w:t xml:space="preserve"> </w:t>
      </w:r>
      <w:r w:rsidRPr="00BA2AE4">
        <w:rPr>
          <w:szCs w:val="20"/>
        </w:rPr>
        <w:t>yet</w:t>
      </w:r>
      <w:r w:rsidR="00C64050">
        <w:rPr>
          <w:szCs w:val="20"/>
        </w:rPr>
        <w:t xml:space="preserve"> </w:t>
      </w:r>
      <w:r w:rsidRPr="00BA2AE4">
        <w:rPr>
          <w:szCs w:val="20"/>
        </w:rPr>
        <w:t>the</w:t>
      </w:r>
      <w:r w:rsidR="00C64050">
        <w:rPr>
          <w:szCs w:val="20"/>
        </w:rPr>
        <w:t xml:space="preserve"> </w:t>
      </w:r>
      <w:r w:rsidRPr="00BA2AE4">
        <w:rPr>
          <w:szCs w:val="20"/>
        </w:rPr>
        <w:t>trustee,</w:t>
      </w:r>
      <w:r w:rsidR="00C64050">
        <w:rPr>
          <w:szCs w:val="20"/>
        </w:rPr>
        <w:t xml:space="preserve"> </w:t>
      </w:r>
      <w:r w:rsidRPr="00BA2AE4">
        <w:rPr>
          <w:szCs w:val="20"/>
        </w:rPr>
        <w:t>the</w:t>
      </w:r>
      <w:r w:rsidR="00C64050">
        <w:rPr>
          <w:szCs w:val="20"/>
        </w:rPr>
        <w:t xml:space="preserve"> </w:t>
      </w:r>
      <w:r w:rsidRPr="00BA2AE4">
        <w:rPr>
          <w:szCs w:val="20"/>
        </w:rPr>
        <w:t>settlor's</w:t>
      </w:r>
      <w:r w:rsidR="00C64050">
        <w:rPr>
          <w:szCs w:val="20"/>
        </w:rPr>
        <w:t xml:space="preserve"> </w:t>
      </w:r>
      <w:r w:rsidRPr="00BA2AE4">
        <w:rPr>
          <w:szCs w:val="20"/>
        </w:rPr>
        <w:t>daughter,</w:t>
      </w:r>
      <w:r w:rsidR="00C64050">
        <w:rPr>
          <w:szCs w:val="20"/>
        </w:rPr>
        <w:t xml:space="preserve"> </w:t>
      </w:r>
      <w:r w:rsidRPr="00BA2AE4">
        <w:rPr>
          <w:szCs w:val="20"/>
        </w:rPr>
        <w:t>permitted</w:t>
      </w:r>
      <w:r w:rsidR="00C64050">
        <w:rPr>
          <w:szCs w:val="20"/>
        </w:rPr>
        <w:t xml:space="preserve"> </w:t>
      </w:r>
      <w:r w:rsidRPr="00BA2AE4">
        <w:rPr>
          <w:szCs w:val="20"/>
        </w:rPr>
        <w:t>her</w:t>
      </w:r>
      <w:r w:rsidR="00C64050">
        <w:rPr>
          <w:szCs w:val="20"/>
        </w:rPr>
        <w:t xml:space="preserve"> </w:t>
      </w:r>
      <w:r w:rsidRPr="00BA2AE4">
        <w:rPr>
          <w:szCs w:val="20"/>
        </w:rPr>
        <w:t>to</w:t>
      </w:r>
      <w:r w:rsidR="00C64050">
        <w:rPr>
          <w:szCs w:val="20"/>
        </w:rPr>
        <w:t xml:space="preserve"> </w:t>
      </w:r>
      <w:r w:rsidRPr="00BA2AE4">
        <w:rPr>
          <w:szCs w:val="20"/>
        </w:rPr>
        <w:t>reside</w:t>
      </w:r>
      <w:r w:rsidR="00C64050">
        <w:rPr>
          <w:szCs w:val="20"/>
        </w:rPr>
        <w:t xml:space="preserve"> </w:t>
      </w:r>
      <w:r w:rsidRPr="00BA2AE4">
        <w:rPr>
          <w:szCs w:val="20"/>
        </w:rPr>
        <w:t>in</w:t>
      </w:r>
      <w:r w:rsidR="00C64050">
        <w:rPr>
          <w:szCs w:val="20"/>
        </w:rPr>
        <w:t xml:space="preserve"> </w:t>
      </w:r>
      <w:r w:rsidRPr="00BA2AE4">
        <w:rPr>
          <w:szCs w:val="20"/>
        </w:rPr>
        <w:t>the</w:t>
      </w:r>
      <w:r w:rsidR="00C64050">
        <w:rPr>
          <w:szCs w:val="20"/>
        </w:rPr>
        <w:t xml:space="preserve"> </w:t>
      </w:r>
      <w:r w:rsidRPr="00BA2AE4">
        <w:rPr>
          <w:szCs w:val="20"/>
        </w:rPr>
        <w:t>residential</w:t>
      </w:r>
      <w:r w:rsidR="00C64050">
        <w:rPr>
          <w:szCs w:val="20"/>
        </w:rPr>
        <w:t xml:space="preserve"> </w:t>
      </w:r>
      <w:r w:rsidRPr="00BA2AE4">
        <w:rPr>
          <w:szCs w:val="20"/>
        </w:rPr>
        <w:t>property</w:t>
      </w:r>
      <w:r w:rsidR="00C64050">
        <w:rPr>
          <w:szCs w:val="20"/>
        </w:rPr>
        <w:t xml:space="preserve"> </w:t>
      </w:r>
      <w:r w:rsidRPr="00BA2AE4">
        <w:rPr>
          <w:szCs w:val="20"/>
        </w:rPr>
        <w:t>and</w:t>
      </w:r>
      <w:r w:rsidR="00C64050">
        <w:rPr>
          <w:szCs w:val="20"/>
        </w:rPr>
        <w:t xml:space="preserve"> </w:t>
      </w:r>
      <w:r w:rsidRPr="00BA2AE4">
        <w:rPr>
          <w:szCs w:val="20"/>
        </w:rPr>
        <w:t>paid</w:t>
      </w:r>
      <w:r w:rsidR="00C64050">
        <w:rPr>
          <w:szCs w:val="20"/>
        </w:rPr>
        <w:t xml:space="preserve"> </w:t>
      </w:r>
      <w:r w:rsidRPr="00BA2AE4">
        <w:rPr>
          <w:szCs w:val="20"/>
        </w:rPr>
        <w:t>to</w:t>
      </w:r>
      <w:r w:rsidR="00C64050">
        <w:rPr>
          <w:szCs w:val="20"/>
        </w:rPr>
        <w:t xml:space="preserve"> </w:t>
      </w:r>
      <w:r w:rsidRPr="00BA2AE4">
        <w:rPr>
          <w:szCs w:val="20"/>
        </w:rPr>
        <w:t>her</w:t>
      </w:r>
      <w:r w:rsidR="00C64050">
        <w:rPr>
          <w:szCs w:val="20"/>
        </w:rPr>
        <w:t xml:space="preserve"> </w:t>
      </w:r>
      <w:r w:rsidRPr="00BA2AE4">
        <w:rPr>
          <w:szCs w:val="20"/>
        </w:rPr>
        <w:t>the</w:t>
      </w:r>
      <w:r w:rsidR="00C64050">
        <w:rPr>
          <w:szCs w:val="20"/>
        </w:rPr>
        <w:t xml:space="preserve"> </w:t>
      </w:r>
      <w:r w:rsidRPr="00BA2AE4">
        <w:rPr>
          <w:szCs w:val="20"/>
        </w:rPr>
        <w:t>trust's</w:t>
      </w:r>
      <w:r w:rsidR="00C64050">
        <w:rPr>
          <w:szCs w:val="20"/>
        </w:rPr>
        <w:t xml:space="preserve"> </w:t>
      </w:r>
      <w:r w:rsidRPr="00BA2AE4">
        <w:rPr>
          <w:szCs w:val="20"/>
        </w:rPr>
        <w:t>income</w:t>
      </w:r>
      <w:r w:rsidR="00C64050">
        <w:rPr>
          <w:szCs w:val="20"/>
        </w:rPr>
        <w:t xml:space="preserve"> </w:t>
      </w:r>
      <w:r w:rsidRPr="00BA2AE4">
        <w:rPr>
          <w:szCs w:val="20"/>
        </w:rPr>
        <w:t>until</w:t>
      </w:r>
      <w:r w:rsidR="00C64050">
        <w:rPr>
          <w:szCs w:val="20"/>
        </w:rPr>
        <w:t xml:space="preserve"> </w:t>
      </w:r>
      <w:r w:rsidRPr="00BA2AE4">
        <w:rPr>
          <w:szCs w:val="20"/>
        </w:rPr>
        <w:t>the</w:t>
      </w:r>
      <w:r w:rsidR="00C64050">
        <w:rPr>
          <w:szCs w:val="20"/>
        </w:rPr>
        <w:t xml:space="preserve"> </w:t>
      </w:r>
      <w:r w:rsidRPr="00BA2AE4">
        <w:rPr>
          <w:szCs w:val="20"/>
        </w:rPr>
        <w:t>settlor's</w:t>
      </w:r>
      <w:r w:rsidR="00C64050">
        <w:rPr>
          <w:szCs w:val="20"/>
        </w:rPr>
        <w:t xml:space="preserve"> </w:t>
      </w:r>
      <w:r w:rsidRPr="00BA2AE4">
        <w:rPr>
          <w:szCs w:val="20"/>
        </w:rPr>
        <w:t>death.</w:t>
      </w:r>
      <w:r w:rsidR="00C64050">
        <w:rPr>
          <w:szCs w:val="20"/>
        </w:rPr>
        <w:t xml:space="preserve"> </w:t>
      </w:r>
      <w:hyperlink r:id="rId432" w:history="1">
        <w:r w:rsidRPr="00BA2AE4">
          <w:rPr>
            <w:rStyle w:val="Emphasis"/>
            <w:szCs w:val="20"/>
          </w:rPr>
          <w:t>Id.</w:t>
        </w:r>
      </w:hyperlink>
      <w:r w:rsidR="00C64050">
        <w:rPr>
          <w:szCs w:val="20"/>
        </w:rPr>
        <w:t xml:space="preserve"> </w:t>
      </w:r>
      <w:r w:rsidRPr="00BA2AE4">
        <w:rPr>
          <w:szCs w:val="20"/>
        </w:rPr>
        <w:t>The</w:t>
      </w:r>
      <w:r w:rsidR="00C64050">
        <w:rPr>
          <w:szCs w:val="20"/>
        </w:rPr>
        <w:t xml:space="preserve"> </w:t>
      </w:r>
      <w:r w:rsidRPr="00BA2AE4">
        <w:rPr>
          <w:szCs w:val="20"/>
        </w:rPr>
        <w:t>court</w:t>
      </w:r>
      <w:r w:rsidR="00C64050">
        <w:rPr>
          <w:szCs w:val="20"/>
        </w:rPr>
        <w:t xml:space="preserve"> </w:t>
      </w:r>
      <w:r w:rsidRPr="00BA2AE4">
        <w:rPr>
          <w:szCs w:val="20"/>
        </w:rPr>
        <w:t>found</w:t>
      </w:r>
      <w:r w:rsidR="00C64050">
        <w:rPr>
          <w:szCs w:val="20"/>
        </w:rPr>
        <w:t xml:space="preserve"> </w:t>
      </w:r>
      <w:r w:rsidRPr="00BA2AE4">
        <w:rPr>
          <w:szCs w:val="20"/>
        </w:rPr>
        <w:t>that</w:t>
      </w:r>
      <w:r w:rsidR="00C64050">
        <w:rPr>
          <w:szCs w:val="20"/>
        </w:rPr>
        <w:t xml:space="preserve"> </w:t>
      </w:r>
      <w:r w:rsidRPr="00BA2AE4">
        <w:rPr>
          <w:szCs w:val="20"/>
        </w:rPr>
        <w:t>neither</w:t>
      </w:r>
      <w:r w:rsidR="00C64050">
        <w:rPr>
          <w:szCs w:val="20"/>
        </w:rPr>
        <w:t xml:space="preserve"> </w:t>
      </w:r>
      <w:r w:rsidRPr="00BA2AE4">
        <w:rPr>
          <w:szCs w:val="20"/>
        </w:rPr>
        <w:t>the</w:t>
      </w:r>
      <w:r w:rsidR="00C64050">
        <w:rPr>
          <w:szCs w:val="20"/>
        </w:rPr>
        <w:t xml:space="preserve"> </w:t>
      </w:r>
      <w:r w:rsidRPr="00BA2AE4">
        <w:rPr>
          <w:szCs w:val="20"/>
        </w:rPr>
        <w:t>settlor</w:t>
      </w:r>
      <w:r w:rsidR="00C64050">
        <w:rPr>
          <w:szCs w:val="20"/>
        </w:rPr>
        <w:t xml:space="preserve"> </w:t>
      </w:r>
      <w:r w:rsidRPr="00BA2AE4">
        <w:rPr>
          <w:szCs w:val="20"/>
        </w:rPr>
        <w:t>nor</w:t>
      </w:r>
      <w:r w:rsidR="00C64050">
        <w:rPr>
          <w:szCs w:val="20"/>
        </w:rPr>
        <w:t xml:space="preserve"> </w:t>
      </w:r>
      <w:r w:rsidRPr="00BA2AE4">
        <w:rPr>
          <w:szCs w:val="20"/>
        </w:rPr>
        <w:t>the</w:t>
      </w:r>
      <w:r w:rsidR="00C64050">
        <w:rPr>
          <w:szCs w:val="20"/>
        </w:rPr>
        <w:t xml:space="preserve"> </w:t>
      </w:r>
      <w:r w:rsidRPr="00BA2AE4">
        <w:rPr>
          <w:szCs w:val="20"/>
        </w:rPr>
        <w:t>beneficiaries</w:t>
      </w:r>
      <w:r w:rsidR="00C64050">
        <w:rPr>
          <w:szCs w:val="20"/>
        </w:rPr>
        <w:t xml:space="preserve"> </w:t>
      </w:r>
      <w:r w:rsidRPr="00BA2AE4">
        <w:rPr>
          <w:szCs w:val="20"/>
        </w:rPr>
        <w:t>intended</w:t>
      </w:r>
      <w:r w:rsidR="00C64050">
        <w:rPr>
          <w:szCs w:val="20"/>
        </w:rPr>
        <w:t xml:space="preserve"> </w:t>
      </w:r>
      <w:r w:rsidRPr="00BA2AE4">
        <w:rPr>
          <w:szCs w:val="20"/>
        </w:rPr>
        <w:t>the</w:t>
      </w:r>
      <w:r w:rsidR="00C64050">
        <w:rPr>
          <w:szCs w:val="20"/>
        </w:rPr>
        <w:t xml:space="preserve"> </w:t>
      </w:r>
      <w:r w:rsidRPr="00BA2AE4">
        <w:rPr>
          <w:szCs w:val="20"/>
        </w:rPr>
        <w:t>transfer</w:t>
      </w:r>
      <w:r w:rsidR="00C64050">
        <w:rPr>
          <w:szCs w:val="20"/>
        </w:rPr>
        <w:t xml:space="preserve"> </w:t>
      </w:r>
      <w:r w:rsidRPr="00BA2AE4">
        <w:rPr>
          <w:szCs w:val="20"/>
        </w:rPr>
        <w:t>to</w:t>
      </w:r>
      <w:r w:rsidR="00C64050">
        <w:rPr>
          <w:szCs w:val="20"/>
        </w:rPr>
        <w:t xml:space="preserve"> </w:t>
      </w:r>
      <w:r w:rsidRPr="00BA2AE4">
        <w:rPr>
          <w:szCs w:val="20"/>
        </w:rPr>
        <w:t>the</w:t>
      </w:r>
      <w:r w:rsidR="00C64050">
        <w:rPr>
          <w:szCs w:val="20"/>
        </w:rPr>
        <w:t xml:space="preserve"> </w:t>
      </w:r>
      <w:r w:rsidRPr="00BA2AE4">
        <w:rPr>
          <w:szCs w:val="20"/>
        </w:rPr>
        <w:t>trust</w:t>
      </w:r>
      <w:r w:rsidR="00C64050">
        <w:rPr>
          <w:szCs w:val="20"/>
        </w:rPr>
        <w:t xml:space="preserve"> </w:t>
      </w:r>
      <w:r w:rsidRPr="00BA2AE4">
        <w:rPr>
          <w:szCs w:val="20"/>
        </w:rPr>
        <w:t>to</w:t>
      </w:r>
      <w:r w:rsidR="00C64050">
        <w:rPr>
          <w:szCs w:val="20"/>
        </w:rPr>
        <w:t xml:space="preserve"> </w:t>
      </w:r>
      <w:r w:rsidRPr="00BA2AE4">
        <w:rPr>
          <w:szCs w:val="20"/>
        </w:rPr>
        <w:t>take</w:t>
      </w:r>
      <w:r w:rsidR="00C64050">
        <w:rPr>
          <w:szCs w:val="20"/>
        </w:rPr>
        <w:t xml:space="preserve"> </w:t>
      </w:r>
      <w:r w:rsidRPr="00BA2AE4">
        <w:rPr>
          <w:szCs w:val="20"/>
        </w:rPr>
        <w:t>effect</w:t>
      </w:r>
      <w:r w:rsidR="00C64050">
        <w:rPr>
          <w:szCs w:val="20"/>
        </w:rPr>
        <w:t xml:space="preserve"> </w:t>
      </w:r>
      <w:r w:rsidRPr="00BA2AE4">
        <w:rPr>
          <w:szCs w:val="20"/>
        </w:rPr>
        <w:t>until</w:t>
      </w:r>
      <w:r w:rsidR="00C64050">
        <w:rPr>
          <w:szCs w:val="20"/>
        </w:rPr>
        <w:t xml:space="preserve"> </w:t>
      </w:r>
      <w:r w:rsidRPr="00BA2AE4">
        <w:rPr>
          <w:szCs w:val="20"/>
        </w:rPr>
        <w:t>the</w:t>
      </w:r>
      <w:r w:rsidR="00C64050">
        <w:rPr>
          <w:szCs w:val="20"/>
        </w:rPr>
        <w:t xml:space="preserve"> </w:t>
      </w:r>
      <w:r w:rsidRPr="00BA2AE4">
        <w:rPr>
          <w:szCs w:val="20"/>
        </w:rPr>
        <w:t>settlor's</w:t>
      </w:r>
      <w:r w:rsidR="00C64050">
        <w:rPr>
          <w:szCs w:val="20"/>
        </w:rPr>
        <w:t xml:space="preserve"> </w:t>
      </w:r>
      <w:r w:rsidRPr="00BA2AE4">
        <w:rPr>
          <w:szCs w:val="20"/>
        </w:rPr>
        <w:t>death,</w:t>
      </w:r>
      <w:r w:rsidR="00C64050">
        <w:rPr>
          <w:szCs w:val="20"/>
        </w:rPr>
        <w:t xml:space="preserve"> </w:t>
      </w:r>
      <w:r w:rsidRPr="00BA2AE4">
        <w:rPr>
          <w:szCs w:val="20"/>
        </w:rPr>
        <w:t>similar</w:t>
      </w:r>
      <w:r w:rsidR="00C64050">
        <w:rPr>
          <w:szCs w:val="20"/>
        </w:rPr>
        <w:t xml:space="preserve"> </w:t>
      </w:r>
      <w:r w:rsidRPr="00BA2AE4">
        <w:rPr>
          <w:szCs w:val="20"/>
        </w:rPr>
        <w:t>to</w:t>
      </w:r>
      <w:r w:rsidR="00C64050">
        <w:rPr>
          <w:szCs w:val="20"/>
        </w:rPr>
        <w:t xml:space="preserve"> </w:t>
      </w:r>
      <w:r w:rsidRPr="00BA2AE4">
        <w:rPr>
          <w:szCs w:val="20"/>
        </w:rPr>
        <w:t>the</w:t>
      </w:r>
      <w:r w:rsidR="00C64050">
        <w:rPr>
          <w:szCs w:val="20"/>
        </w:rPr>
        <w:t xml:space="preserve"> </w:t>
      </w:r>
      <w:r w:rsidRPr="00BA2AE4">
        <w:rPr>
          <w:szCs w:val="20"/>
        </w:rPr>
        <w:t>finding</w:t>
      </w:r>
      <w:r w:rsidR="00C64050">
        <w:rPr>
          <w:szCs w:val="20"/>
        </w:rPr>
        <w:t xml:space="preserve"> </w:t>
      </w:r>
      <w:r w:rsidRPr="00BA2AE4">
        <w:rPr>
          <w:szCs w:val="20"/>
        </w:rPr>
        <w:t>in</w:t>
      </w:r>
      <w:r w:rsidR="00C64050">
        <w:rPr>
          <w:szCs w:val="20"/>
        </w:rPr>
        <w:t xml:space="preserve"> </w:t>
      </w:r>
      <w:hyperlink r:id="rId433" w:history="1">
        <w:r w:rsidRPr="00BA2AE4">
          <w:rPr>
            <w:rStyle w:val="Emphasis"/>
            <w:szCs w:val="20"/>
          </w:rPr>
          <w:t>Crawfordsville</w:t>
        </w:r>
      </w:hyperlink>
      <w:r w:rsidRPr="00BA2AE4">
        <w:rPr>
          <w:szCs w:val="20"/>
        </w:rPr>
        <w:t>.</w:t>
      </w:r>
      <w:r w:rsidR="00C64050">
        <w:rPr>
          <w:szCs w:val="20"/>
        </w:rPr>
        <w:t xml:space="preserve"> </w:t>
      </w:r>
      <w:r w:rsidRPr="00BA2AE4">
        <w:rPr>
          <w:rStyle w:val="Emphasis"/>
          <w:szCs w:val="20"/>
        </w:rPr>
        <w:t>Id.</w:t>
      </w:r>
      <w:r w:rsidR="00C64050">
        <w:rPr>
          <w:szCs w:val="20"/>
        </w:rPr>
        <w:t xml:space="preserve"> </w:t>
      </w:r>
      <w:r w:rsidRPr="00BA2AE4">
        <w:rPr>
          <w:szCs w:val="20"/>
        </w:rPr>
        <w:t>at</w:t>
      </w:r>
      <w:r w:rsidR="00C64050">
        <w:rPr>
          <w:szCs w:val="20"/>
        </w:rPr>
        <w:t xml:space="preserve"> </w:t>
      </w:r>
      <w:r w:rsidRPr="00BA2AE4">
        <w:rPr>
          <w:szCs w:val="20"/>
        </w:rPr>
        <w:t>490.</w:t>
      </w:r>
    </w:p>
    <w:p w:rsidR="00BA2AE4" w:rsidRPr="00BA2AE4" w:rsidRDefault="00BA2AE4" w:rsidP="00BA2AE4">
      <w:pPr>
        <w:pStyle w:val="QS10"/>
        <w:rPr>
          <w:szCs w:val="20"/>
        </w:rPr>
      </w:pPr>
      <w:r w:rsidRPr="00BA2AE4">
        <w:rPr>
          <w:szCs w:val="20"/>
        </w:rPr>
        <w:t>Finally,</w:t>
      </w:r>
      <w:r w:rsidR="00C64050">
        <w:rPr>
          <w:szCs w:val="20"/>
        </w:rPr>
        <w:t xml:space="preserve"> </w:t>
      </w:r>
      <w:r w:rsidRPr="00BA2AE4">
        <w:rPr>
          <w:szCs w:val="20"/>
        </w:rPr>
        <w:t>in</w:t>
      </w:r>
      <w:r w:rsidR="00C64050">
        <w:rPr>
          <w:szCs w:val="20"/>
        </w:rPr>
        <w:t xml:space="preserve"> </w:t>
      </w:r>
      <w:r w:rsidRPr="00BA2AE4">
        <w:rPr>
          <w:rStyle w:val="Emphasis"/>
          <w:szCs w:val="20"/>
        </w:rPr>
        <w:t>In</w:t>
      </w:r>
      <w:r w:rsidR="00C64050">
        <w:rPr>
          <w:rStyle w:val="Emphasis"/>
          <w:szCs w:val="20"/>
        </w:rPr>
        <w:t xml:space="preserve"> </w:t>
      </w:r>
      <w:r w:rsidRPr="00BA2AE4">
        <w:rPr>
          <w:rStyle w:val="Emphasis"/>
          <w:szCs w:val="20"/>
        </w:rPr>
        <w:t>re</w:t>
      </w:r>
      <w:r w:rsidR="00C64050">
        <w:rPr>
          <w:rStyle w:val="Emphasis"/>
          <w:szCs w:val="20"/>
        </w:rPr>
        <w:t xml:space="preserve"> </w:t>
      </w:r>
      <w:r w:rsidRPr="00BA2AE4">
        <w:rPr>
          <w:rStyle w:val="Emphasis"/>
          <w:szCs w:val="20"/>
        </w:rPr>
        <w:t>Estate</w:t>
      </w:r>
      <w:r w:rsidR="00C64050">
        <w:rPr>
          <w:rStyle w:val="Emphasis"/>
          <w:szCs w:val="20"/>
        </w:rPr>
        <w:t xml:space="preserve"> </w:t>
      </w:r>
      <w:r w:rsidRPr="00BA2AE4">
        <w:rPr>
          <w:rStyle w:val="Emphasis"/>
          <w:szCs w:val="20"/>
        </w:rPr>
        <w:t>of</w:t>
      </w:r>
      <w:r w:rsidR="00C64050">
        <w:rPr>
          <w:rStyle w:val="Emphasis"/>
          <w:szCs w:val="20"/>
        </w:rPr>
        <w:t xml:space="preserve"> </w:t>
      </w:r>
      <w:r w:rsidRPr="00BA2AE4">
        <w:rPr>
          <w:rStyle w:val="Emphasis"/>
          <w:szCs w:val="20"/>
        </w:rPr>
        <w:t>Weitzman</w:t>
      </w:r>
      <w:r w:rsidRPr="00BA2AE4">
        <w:rPr>
          <w:szCs w:val="20"/>
        </w:rPr>
        <w:t>,</w:t>
      </w:r>
      <w:r w:rsidR="00C64050">
        <w:rPr>
          <w:szCs w:val="20"/>
        </w:rPr>
        <w:t xml:space="preserve"> </w:t>
      </w:r>
      <w:r w:rsidRPr="00BA2AE4">
        <w:rPr>
          <w:szCs w:val="20"/>
        </w:rPr>
        <w:t>724</w:t>
      </w:r>
      <w:r w:rsidR="00C64050">
        <w:rPr>
          <w:szCs w:val="20"/>
        </w:rPr>
        <w:t xml:space="preserve"> </w:t>
      </w:r>
      <w:r w:rsidRPr="00BA2AE4">
        <w:rPr>
          <w:szCs w:val="20"/>
        </w:rPr>
        <w:t>N.E.2d</w:t>
      </w:r>
      <w:r w:rsidR="00C64050">
        <w:rPr>
          <w:szCs w:val="20"/>
        </w:rPr>
        <w:t xml:space="preserve"> </w:t>
      </w:r>
      <w:r w:rsidRPr="00BA2AE4">
        <w:rPr>
          <w:szCs w:val="20"/>
        </w:rPr>
        <w:t>1120,</w:t>
      </w:r>
      <w:r w:rsidR="00C64050">
        <w:rPr>
          <w:szCs w:val="20"/>
        </w:rPr>
        <w:t xml:space="preserve"> </w:t>
      </w:r>
      <w:r w:rsidRPr="00BA2AE4">
        <w:rPr>
          <w:szCs w:val="20"/>
        </w:rPr>
        <w:t>1121</w:t>
      </w:r>
      <w:r w:rsidR="00C64050">
        <w:rPr>
          <w:szCs w:val="20"/>
        </w:rPr>
        <w:t xml:space="preserve"> </w:t>
      </w:r>
      <w:r w:rsidRPr="00BA2AE4">
        <w:rPr>
          <w:szCs w:val="20"/>
        </w:rPr>
        <w:t>(Ind.</w:t>
      </w:r>
      <w:r w:rsidR="00C64050">
        <w:rPr>
          <w:szCs w:val="20"/>
        </w:rPr>
        <w:t xml:space="preserve"> </w:t>
      </w:r>
      <w:r w:rsidRPr="00BA2AE4">
        <w:rPr>
          <w:szCs w:val="20"/>
        </w:rPr>
        <w:t>Ct.</w:t>
      </w:r>
      <w:r w:rsidR="00C64050">
        <w:rPr>
          <w:szCs w:val="20"/>
        </w:rPr>
        <w:t xml:space="preserve"> </w:t>
      </w:r>
      <w:r w:rsidRPr="00BA2AE4">
        <w:rPr>
          <w:szCs w:val="20"/>
        </w:rPr>
        <w:t>App.</w:t>
      </w:r>
      <w:r w:rsidR="00C64050">
        <w:rPr>
          <w:szCs w:val="20"/>
        </w:rPr>
        <w:t xml:space="preserve"> </w:t>
      </w:r>
      <w:r w:rsidRPr="00BA2AE4">
        <w:rPr>
          <w:szCs w:val="20"/>
        </w:rPr>
        <w:t>2000),</w:t>
      </w:r>
      <w:r w:rsidR="00C64050">
        <w:rPr>
          <w:szCs w:val="20"/>
        </w:rPr>
        <w:t xml:space="preserve"> </w:t>
      </w:r>
      <w:r w:rsidRPr="00BA2AE4">
        <w:rPr>
          <w:szCs w:val="20"/>
        </w:rPr>
        <w:t>both</w:t>
      </w:r>
      <w:r w:rsidR="00C64050">
        <w:rPr>
          <w:szCs w:val="20"/>
        </w:rPr>
        <w:t xml:space="preserve"> </w:t>
      </w:r>
      <w:r w:rsidRPr="00BA2AE4">
        <w:rPr>
          <w:szCs w:val="20"/>
        </w:rPr>
        <w:t>husband</w:t>
      </w:r>
      <w:r w:rsidR="00C64050">
        <w:rPr>
          <w:szCs w:val="20"/>
        </w:rPr>
        <w:t xml:space="preserve"> </w:t>
      </w:r>
      <w:r w:rsidRPr="00BA2AE4">
        <w:rPr>
          <w:szCs w:val="20"/>
        </w:rPr>
        <w:t>and</w:t>
      </w:r>
      <w:r w:rsidR="00C64050">
        <w:rPr>
          <w:szCs w:val="20"/>
        </w:rPr>
        <w:t xml:space="preserve"> </w:t>
      </w:r>
      <w:r w:rsidRPr="00BA2AE4">
        <w:rPr>
          <w:szCs w:val="20"/>
        </w:rPr>
        <w:t>wife</w:t>
      </w:r>
      <w:r w:rsidR="00C64050">
        <w:rPr>
          <w:szCs w:val="20"/>
        </w:rPr>
        <w:t xml:space="preserve"> </w:t>
      </w:r>
      <w:r w:rsidRPr="00BA2AE4">
        <w:rPr>
          <w:szCs w:val="20"/>
        </w:rPr>
        <w:t>had</w:t>
      </w:r>
      <w:r w:rsidR="00C64050">
        <w:rPr>
          <w:szCs w:val="20"/>
        </w:rPr>
        <w:t xml:space="preserve"> </w:t>
      </w:r>
      <w:r w:rsidRPr="00BA2AE4">
        <w:rPr>
          <w:szCs w:val="20"/>
        </w:rPr>
        <w:t>children</w:t>
      </w:r>
      <w:r w:rsidR="00C64050">
        <w:rPr>
          <w:szCs w:val="20"/>
        </w:rPr>
        <w:t xml:space="preserve"> </w:t>
      </w:r>
      <w:r w:rsidRPr="00BA2AE4">
        <w:rPr>
          <w:szCs w:val="20"/>
        </w:rPr>
        <w:t>from</w:t>
      </w:r>
      <w:r w:rsidR="00C64050">
        <w:rPr>
          <w:szCs w:val="20"/>
        </w:rPr>
        <w:t xml:space="preserve"> </w:t>
      </w:r>
      <w:r w:rsidRPr="00BA2AE4">
        <w:rPr>
          <w:szCs w:val="20"/>
        </w:rPr>
        <w:t>a</w:t>
      </w:r>
      <w:r w:rsidR="00C64050">
        <w:rPr>
          <w:szCs w:val="20"/>
        </w:rPr>
        <w:t xml:space="preserve"> </w:t>
      </w:r>
      <w:r w:rsidRPr="00BA2AE4">
        <w:rPr>
          <w:szCs w:val="20"/>
        </w:rPr>
        <w:t>prior</w:t>
      </w:r>
      <w:r w:rsidR="00C64050">
        <w:rPr>
          <w:szCs w:val="20"/>
        </w:rPr>
        <w:t xml:space="preserve"> </w:t>
      </w:r>
      <w:r w:rsidRPr="00BA2AE4">
        <w:rPr>
          <w:szCs w:val="20"/>
        </w:rPr>
        <w:t>marriage.</w:t>
      </w:r>
      <w:r w:rsidR="00C64050">
        <w:rPr>
          <w:szCs w:val="20"/>
        </w:rPr>
        <w:t xml:space="preserve"> </w:t>
      </w:r>
      <w:r w:rsidRPr="00BA2AE4">
        <w:rPr>
          <w:szCs w:val="20"/>
        </w:rPr>
        <w:t>Before</w:t>
      </w:r>
      <w:r w:rsidR="00C64050">
        <w:rPr>
          <w:szCs w:val="20"/>
        </w:rPr>
        <w:t xml:space="preserve"> </w:t>
      </w:r>
      <w:r w:rsidRPr="00BA2AE4">
        <w:rPr>
          <w:szCs w:val="20"/>
        </w:rPr>
        <w:t>the</w:t>
      </w:r>
      <w:r w:rsidR="00C64050">
        <w:rPr>
          <w:szCs w:val="20"/>
        </w:rPr>
        <w:t xml:space="preserve"> </w:t>
      </w:r>
      <w:r w:rsidRPr="00BA2AE4">
        <w:rPr>
          <w:szCs w:val="20"/>
        </w:rPr>
        <w:t>marriage,</w:t>
      </w:r>
      <w:r w:rsidR="00C64050">
        <w:rPr>
          <w:szCs w:val="20"/>
        </w:rPr>
        <w:t xml:space="preserve"> </w:t>
      </w:r>
      <w:r w:rsidRPr="00BA2AE4">
        <w:rPr>
          <w:szCs w:val="20"/>
        </w:rPr>
        <w:t>Wife</w:t>
      </w:r>
      <w:r w:rsidR="00C64050">
        <w:rPr>
          <w:szCs w:val="20"/>
        </w:rPr>
        <w:t xml:space="preserve"> </w:t>
      </w:r>
      <w:r w:rsidRPr="00BA2AE4">
        <w:rPr>
          <w:szCs w:val="20"/>
        </w:rPr>
        <w:t>refused</w:t>
      </w:r>
      <w:r w:rsidR="00C64050">
        <w:rPr>
          <w:szCs w:val="20"/>
        </w:rPr>
        <w:t xml:space="preserve"> </w:t>
      </w:r>
      <w:r w:rsidRPr="00BA2AE4">
        <w:rPr>
          <w:szCs w:val="20"/>
        </w:rPr>
        <w:t>to</w:t>
      </w:r>
      <w:r w:rsidR="00C64050">
        <w:rPr>
          <w:szCs w:val="20"/>
        </w:rPr>
        <w:t xml:space="preserve"> </w:t>
      </w:r>
      <w:r w:rsidRPr="00BA2AE4">
        <w:rPr>
          <w:szCs w:val="20"/>
        </w:rPr>
        <w:t>sign</w:t>
      </w:r>
      <w:r w:rsidR="00C64050">
        <w:rPr>
          <w:szCs w:val="20"/>
        </w:rPr>
        <w:t xml:space="preserve"> </w:t>
      </w:r>
      <w:r w:rsidRPr="00BA2AE4">
        <w:rPr>
          <w:szCs w:val="20"/>
        </w:rPr>
        <w:t>a</w:t>
      </w:r>
      <w:r w:rsidR="00C64050">
        <w:rPr>
          <w:szCs w:val="20"/>
        </w:rPr>
        <w:t xml:space="preserve"> </w:t>
      </w:r>
      <w:r w:rsidRPr="00BA2AE4">
        <w:rPr>
          <w:szCs w:val="20"/>
        </w:rPr>
        <w:t>prenuptial</w:t>
      </w:r>
      <w:r w:rsidR="00C64050">
        <w:rPr>
          <w:szCs w:val="20"/>
        </w:rPr>
        <w:t xml:space="preserve"> </w:t>
      </w:r>
      <w:r w:rsidRPr="00BA2AE4">
        <w:rPr>
          <w:szCs w:val="20"/>
        </w:rPr>
        <w:t>agreement</w:t>
      </w:r>
      <w:r w:rsidR="00C64050">
        <w:rPr>
          <w:szCs w:val="20"/>
        </w:rPr>
        <w:t xml:space="preserve"> </w:t>
      </w:r>
      <w:r w:rsidRPr="00BA2AE4">
        <w:rPr>
          <w:szCs w:val="20"/>
        </w:rPr>
        <w:t>that</w:t>
      </w:r>
      <w:r w:rsidR="00C64050">
        <w:rPr>
          <w:szCs w:val="20"/>
        </w:rPr>
        <w:t xml:space="preserve"> </w:t>
      </w:r>
      <w:r w:rsidRPr="00BA2AE4">
        <w:rPr>
          <w:szCs w:val="20"/>
        </w:rPr>
        <w:t>would</w:t>
      </w:r>
      <w:r w:rsidR="00C64050">
        <w:rPr>
          <w:szCs w:val="20"/>
        </w:rPr>
        <w:t xml:space="preserve"> </w:t>
      </w:r>
      <w:r w:rsidRPr="00BA2AE4">
        <w:rPr>
          <w:szCs w:val="20"/>
        </w:rPr>
        <w:t>have</w:t>
      </w:r>
      <w:r w:rsidR="00C64050">
        <w:rPr>
          <w:szCs w:val="20"/>
        </w:rPr>
        <w:t xml:space="preserve"> </w:t>
      </w:r>
      <w:r w:rsidRPr="00BA2AE4">
        <w:rPr>
          <w:szCs w:val="20"/>
        </w:rPr>
        <w:t>waived</w:t>
      </w:r>
      <w:r w:rsidR="00C64050">
        <w:rPr>
          <w:szCs w:val="20"/>
        </w:rPr>
        <w:t xml:space="preserve"> </w:t>
      </w:r>
      <w:r w:rsidRPr="00BA2AE4">
        <w:rPr>
          <w:szCs w:val="20"/>
        </w:rPr>
        <w:t>her</w:t>
      </w:r>
      <w:r w:rsidR="00C64050">
        <w:rPr>
          <w:szCs w:val="20"/>
        </w:rPr>
        <w:t xml:space="preserve"> </w:t>
      </w:r>
      <w:r w:rsidRPr="00BA2AE4">
        <w:rPr>
          <w:szCs w:val="20"/>
        </w:rPr>
        <w:t>elective</w:t>
      </w:r>
      <w:r w:rsidR="00C64050">
        <w:rPr>
          <w:szCs w:val="20"/>
        </w:rPr>
        <w:t xml:space="preserve"> </w:t>
      </w:r>
      <w:r w:rsidRPr="00BA2AE4">
        <w:rPr>
          <w:szCs w:val="20"/>
        </w:rPr>
        <w:t>share</w:t>
      </w:r>
      <w:r w:rsidR="00C64050">
        <w:rPr>
          <w:szCs w:val="20"/>
        </w:rPr>
        <w:t xml:space="preserve"> </w:t>
      </w:r>
      <w:r w:rsidRPr="00BA2AE4">
        <w:rPr>
          <w:szCs w:val="20"/>
        </w:rPr>
        <w:t>rights</w:t>
      </w:r>
      <w:r w:rsidR="00C64050">
        <w:rPr>
          <w:szCs w:val="20"/>
        </w:rPr>
        <w:t xml:space="preserve"> </w:t>
      </w:r>
      <w:r w:rsidRPr="00BA2AE4">
        <w:rPr>
          <w:szCs w:val="20"/>
        </w:rPr>
        <w:t>to</w:t>
      </w:r>
      <w:r w:rsidR="00C64050">
        <w:rPr>
          <w:szCs w:val="20"/>
        </w:rPr>
        <w:t xml:space="preserve"> </w:t>
      </w:r>
      <w:r w:rsidRPr="00BA2AE4">
        <w:rPr>
          <w:szCs w:val="20"/>
        </w:rPr>
        <w:t>her</w:t>
      </w:r>
      <w:r w:rsidR="00C64050">
        <w:rPr>
          <w:szCs w:val="20"/>
        </w:rPr>
        <w:t xml:space="preserve"> </w:t>
      </w:r>
      <w:r w:rsidRPr="00BA2AE4">
        <w:rPr>
          <w:szCs w:val="20"/>
        </w:rPr>
        <w:t>husband's</w:t>
      </w:r>
      <w:r w:rsidR="00C64050">
        <w:rPr>
          <w:szCs w:val="20"/>
        </w:rPr>
        <w:t xml:space="preserve"> </w:t>
      </w:r>
      <w:r w:rsidRPr="00BA2AE4">
        <w:rPr>
          <w:szCs w:val="20"/>
        </w:rPr>
        <w:t>estate.</w:t>
      </w:r>
      <w:r w:rsidR="00C64050">
        <w:rPr>
          <w:szCs w:val="20"/>
        </w:rPr>
        <w:t xml:space="preserve"> </w:t>
      </w:r>
      <w:hyperlink r:id="rId434" w:history="1">
        <w:r w:rsidRPr="00BA2AE4">
          <w:rPr>
            <w:rStyle w:val="Emphasis"/>
            <w:szCs w:val="20"/>
          </w:rPr>
          <w:t>Id.</w:t>
        </w:r>
      </w:hyperlink>
      <w:r w:rsidR="00C64050">
        <w:rPr>
          <w:szCs w:val="20"/>
        </w:rPr>
        <w:t xml:space="preserve"> </w:t>
      </w:r>
      <w:r w:rsidRPr="00BA2AE4">
        <w:rPr>
          <w:szCs w:val="20"/>
        </w:rPr>
        <w:t>Four</w:t>
      </w:r>
      <w:r w:rsidR="00C64050">
        <w:rPr>
          <w:szCs w:val="20"/>
        </w:rPr>
        <w:t xml:space="preserve"> </w:t>
      </w:r>
      <w:r w:rsidRPr="00BA2AE4">
        <w:rPr>
          <w:szCs w:val="20"/>
        </w:rPr>
        <w:t>years</w:t>
      </w:r>
      <w:r w:rsidR="00C64050">
        <w:rPr>
          <w:szCs w:val="20"/>
        </w:rPr>
        <w:t xml:space="preserve"> </w:t>
      </w:r>
      <w:r w:rsidRPr="00BA2AE4">
        <w:rPr>
          <w:szCs w:val="20"/>
        </w:rPr>
        <w:t>into</w:t>
      </w:r>
      <w:r w:rsidR="00C64050">
        <w:rPr>
          <w:szCs w:val="20"/>
        </w:rPr>
        <w:t xml:space="preserve"> </w:t>
      </w:r>
      <w:r w:rsidRPr="00BA2AE4">
        <w:rPr>
          <w:szCs w:val="20"/>
        </w:rPr>
        <w:t>the</w:t>
      </w:r>
      <w:r w:rsidR="00C64050">
        <w:rPr>
          <w:szCs w:val="20"/>
        </w:rPr>
        <w:t xml:space="preserve"> </w:t>
      </w:r>
      <w:r w:rsidRPr="00BA2AE4">
        <w:rPr>
          <w:szCs w:val="20"/>
        </w:rPr>
        <w:t>marriage,</w:t>
      </w:r>
      <w:r w:rsidR="00C64050">
        <w:rPr>
          <w:szCs w:val="20"/>
        </w:rPr>
        <w:t xml:space="preserve"> </w:t>
      </w:r>
      <w:r w:rsidRPr="00BA2AE4">
        <w:rPr>
          <w:szCs w:val="20"/>
        </w:rPr>
        <w:t>husband</w:t>
      </w:r>
      <w:r w:rsidR="00C64050">
        <w:rPr>
          <w:szCs w:val="20"/>
        </w:rPr>
        <w:t xml:space="preserve"> </w:t>
      </w:r>
      <w:r w:rsidRPr="00BA2AE4">
        <w:rPr>
          <w:szCs w:val="20"/>
        </w:rPr>
        <w:t>executed</w:t>
      </w:r>
      <w:r w:rsidR="00C64050">
        <w:rPr>
          <w:szCs w:val="20"/>
        </w:rPr>
        <w:t xml:space="preserve"> </w:t>
      </w:r>
      <w:r w:rsidRPr="00BA2AE4">
        <w:rPr>
          <w:szCs w:val="20"/>
        </w:rPr>
        <w:t>a</w:t>
      </w:r>
      <w:r w:rsidR="00C64050">
        <w:rPr>
          <w:szCs w:val="20"/>
        </w:rPr>
        <w:t xml:space="preserve"> </w:t>
      </w:r>
      <w:r w:rsidRPr="00BA2AE4">
        <w:rPr>
          <w:szCs w:val="20"/>
        </w:rPr>
        <w:t>revocable</w:t>
      </w:r>
      <w:r w:rsidR="00C64050">
        <w:rPr>
          <w:szCs w:val="20"/>
        </w:rPr>
        <w:t xml:space="preserve"> </w:t>
      </w:r>
      <w:r w:rsidRPr="00BA2AE4">
        <w:rPr>
          <w:szCs w:val="20"/>
        </w:rPr>
        <w:t>living</w:t>
      </w:r>
      <w:r w:rsidR="00C64050">
        <w:rPr>
          <w:szCs w:val="20"/>
        </w:rPr>
        <w:t xml:space="preserve"> </w:t>
      </w:r>
      <w:r w:rsidRPr="00BA2AE4">
        <w:rPr>
          <w:szCs w:val="20"/>
        </w:rPr>
        <w:t>trust,</w:t>
      </w:r>
      <w:r w:rsidR="00C64050">
        <w:rPr>
          <w:szCs w:val="20"/>
        </w:rPr>
        <w:t xml:space="preserve"> </w:t>
      </w:r>
      <w:r w:rsidRPr="00BA2AE4">
        <w:rPr>
          <w:szCs w:val="20"/>
        </w:rPr>
        <w:t>benefiting</w:t>
      </w:r>
      <w:r w:rsidR="00C64050">
        <w:rPr>
          <w:szCs w:val="20"/>
        </w:rPr>
        <w:t xml:space="preserve"> </w:t>
      </w:r>
      <w:r w:rsidRPr="00BA2AE4">
        <w:rPr>
          <w:szCs w:val="20"/>
        </w:rPr>
        <w:t>his</w:t>
      </w:r>
      <w:r w:rsidR="00C64050">
        <w:rPr>
          <w:szCs w:val="20"/>
        </w:rPr>
        <w:t xml:space="preserve"> </w:t>
      </w:r>
      <w:r w:rsidRPr="00BA2AE4">
        <w:rPr>
          <w:szCs w:val="20"/>
        </w:rPr>
        <w:t>children</w:t>
      </w:r>
      <w:r w:rsidR="00C64050">
        <w:rPr>
          <w:szCs w:val="20"/>
        </w:rPr>
        <w:t xml:space="preserve"> </w:t>
      </w:r>
      <w:r w:rsidRPr="00BA2AE4">
        <w:rPr>
          <w:szCs w:val="20"/>
        </w:rPr>
        <w:t>and</w:t>
      </w:r>
      <w:r w:rsidR="00C64050">
        <w:rPr>
          <w:szCs w:val="20"/>
        </w:rPr>
        <w:t xml:space="preserve"> </w:t>
      </w:r>
      <w:r w:rsidRPr="00BA2AE4">
        <w:rPr>
          <w:szCs w:val="20"/>
        </w:rPr>
        <w:t>appointing</w:t>
      </w:r>
      <w:r w:rsidR="00C64050">
        <w:rPr>
          <w:szCs w:val="20"/>
        </w:rPr>
        <w:t xml:space="preserve"> </w:t>
      </w:r>
      <w:r w:rsidRPr="00BA2AE4">
        <w:rPr>
          <w:szCs w:val="20"/>
        </w:rPr>
        <w:t>the</w:t>
      </w:r>
      <w:r w:rsidR="00C64050">
        <w:rPr>
          <w:szCs w:val="20"/>
        </w:rPr>
        <w:t xml:space="preserve"> </w:t>
      </w:r>
      <w:r w:rsidRPr="00BA2AE4">
        <w:rPr>
          <w:szCs w:val="20"/>
        </w:rPr>
        <w:t>bank</w:t>
      </w:r>
      <w:r w:rsidR="00C64050">
        <w:rPr>
          <w:szCs w:val="20"/>
        </w:rPr>
        <w:t xml:space="preserve"> </w:t>
      </w:r>
      <w:r w:rsidRPr="00BA2AE4">
        <w:rPr>
          <w:szCs w:val="20"/>
        </w:rPr>
        <w:t>as</w:t>
      </w:r>
      <w:r w:rsidR="00C64050">
        <w:rPr>
          <w:szCs w:val="20"/>
        </w:rPr>
        <w:t xml:space="preserve"> </w:t>
      </w:r>
      <w:r w:rsidRPr="00BA2AE4">
        <w:rPr>
          <w:szCs w:val="20"/>
        </w:rPr>
        <w:t>trustee</w:t>
      </w:r>
      <w:r w:rsidR="00C64050">
        <w:rPr>
          <w:szCs w:val="20"/>
        </w:rPr>
        <w:t xml:space="preserve"> </w:t>
      </w:r>
      <w:r w:rsidRPr="00BA2AE4">
        <w:rPr>
          <w:szCs w:val="20"/>
        </w:rPr>
        <w:t>while</w:t>
      </w:r>
      <w:r w:rsidR="00C64050">
        <w:rPr>
          <w:szCs w:val="20"/>
        </w:rPr>
        <w:t xml:space="preserve"> </w:t>
      </w:r>
      <w:r w:rsidRPr="00BA2AE4">
        <w:rPr>
          <w:szCs w:val="20"/>
        </w:rPr>
        <w:t>husband</w:t>
      </w:r>
      <w:r w:rsidR="00C64050">
        <w:rPr>
          <w:szCs w:val="20"/>
        </w:rPr>
        <w:t xml:space="preserve"> </w:t>
      </w:r>
      <w:r w:rsidRPr="00BA2AE4">
        <w:rPr>
          <w:szCs w:val="20"/>
        </w:rPr>
        <w:t>retained</w:t>
      </w:r>
      <w:r w:rsidR="00C64050">
        <w:rPr>
          <w:szCs w:val="20"/>
        </w:rPr>
        <w:t xml:space="preserve"> </w:t>
      </w:r>
      <w:r w:rsidRPr="00BA2AE4">
        <w:rPr>
          <w:szCs w:val="20"/>
        </w:rPr>
        <w:t>the</w:t>
      </w:r>
      <w:r w:rsidR="00C64050">
        <w:rPr>
          <w:szCs w:val="20"/>
        </w:rPr>
        <w:t xml:space="preserve"> </w:t>
      </w:r>
      <w:r w:rsidRPr="00BA2AE4">
        <w:rPr>
          <w:szCs w:val="20"/>
        </w:rPr>
        <w:t>power</w:t>
      </w:r>
      <w:r w:rsidR="00C64050">
        <w:rPr>
          <w:szCs w:val="20"/>
        </w:rPr>
        <w:t xml:space="preserve"> </w:t>
      </w:r>
      <w:r w:rsidRPr="00BA2AE4">
        <w:rPr>
          <w:szCs w:val="20"/>
        </w:rPr>
        <w:t>to</w:t>
      </w:r>
      <w:r w:rsidR="00C64050">
        <w:rPr>
          <w:szCs w:val="20"/>
        </w:rPr>
        <w:t xml:space="preserve"> </w:t>
      </w:r>
      <w:r w:rsidRPr="00BA2AE4">
        <w:rPr>
          <w:szCs w:val="20"/>
        </w:rPr>
        <w:t>direct</w:t>
      </w:r>
      <w:r w:rsidR="00C64050">
        <w:rPr>
          <w:szCs w:val="20"/>
        </w:rPr>
        <w:t xml:space="preserve"> </w:t>
      </w:r>
      <w:r w:rsidRPr="00BA2AE4">
        <w:rPr>
          <w:szCs w:val="20"/>
        </w:rPr>
        <w:t>all</w:t>
      </w:r>
      <w:r w:rsidR="00C64050">
        <w:rPr>
          <w:szCs w:val="20"/>
        </w:rPr>
        <w:t xml:space="preserve"> </w:t>
      </w:r>
      <w:r w:rsidRPr="00BA2AE4">
        <w:rPr>
          <w:szCs w:val="20"/>
        </w:rPr>
        <w:t>trust</w:t>
      </w:r>
      <w:r w:rsidR="00C64050">
        <w:rPr>
          <w:szCs w:val="20"/>
        </w:rPr>
        <w:t xml:space="preserve"> </w:t>
      </w:r>
      <w:r w:rsidRPr="00BA2AE4">
        <w:rPr>
          <w:szCs w:val="20"/>
        </w:rPr>
        <w:t>investment</w:t>
      </w:r>
      <w:r w:rsidR="00C64050">
        <w:rPr>
          <w:szCs w:val="20"/>
        </w:rPr>
        <w:t xml:space="preserve"> </w:t>
      </w:r>
      <w:r w:rsidRPr="00BA2AE4">
        <w:rPr>
          <w:szCs w:val="20"/>
        </w:rPr>
        <w:t>and</w:t>
      </w:r>
      <w:r w:rsidR="00C64050">
        <w:rPr>
          <w:szCs w:val="20"/>
        </w:rPr>
        <w:t xml:space="preserve"> </w:t>
      </w:r>
      <w:r w:rsidRPr="00BA2AE4">
        <w:rPr>
          <w:szCs w:val="20"/>
        </w:rPr>
        <w:t>receive</w:t>
      </w:r>
      <w:r w:rsidR="00C64050">
        <w:rPr>
          <w:szCs w:val="20"/>
        </w:rPr>
        <w:t xml:space="preserve"> </w:t>
      </w:r>
      <w:r w:rsidRPr="00BA2AE4">
        <w:rPr>
          <w:szCs w:val="20"/>
        </w:rPr>
        <w:t>the</w:t>
      </w:r>
      <w:r w:rsidR="00C64050">
        <w:rPr>
          <w:szCs w:val="20"/>
        </w:rPr>
        <w:t xml:space="preserve"> </w:t>
      </w:r>
      <w:r w:rsidRPr="00BA2AE4">
        <w:rPr>
          <w:szCs w:val="20"/>
        </w:rPr>
        <w:t>income</w:t>
      </w:r>
      <w:r w:rsidR="00C64050">
        <w:rPr>
          <w:szCs w:val="20"/>
        </w:rPr>
        <w:t xml:space="preserve"> </w:t>
      </w:r>
      <w:r w:rsidRPr="00BA2AE4">
        <w:rPr>
          <w:szCs w:val="20"/>
        </w:rPr>
        <w:t>from</w:t>
      </w:r>
      <w:r w:rsidR="00C64050">
        <w:rPr>
          <w:szCs w:val="20"/>
        </w:rPr>
        <w:t xml:space="preserve"> </w:t>
      </w:r>
      <w:r w:rsidRPr="00BA2AE4">
        <w:rPr>
          <w:szCs w:val="20"/>
        </w:rPr>
        <w:t>the</w:t>
      </w:r>
      <w:r w:rsidR="00C64050">
        <w:rPr>
          <w:szCs w:val="20"/>
        </w:rPr>
        <w:t xml:space="preserve"> </w:t>
      </w:r>
      <w:r w:rsidRPr="00BA2AE4">
        <w:rPr>
          <w:szCs w:val="20"/>
        </w:rPr>
        <w:t>trust.</w:t>
      </w:r>
      <w:r w:rsidR="00C64050">
        <w:rPr>
          <w:szCs w:val="20"/>
        </w:rPr>
        <w:t xml:space="preserve"> </w:t>
      </w:r>
      <w:hyperlink r:id="rId435" w:history="1">
        <w:r w:rsidRPr="00BA2AE4">
          <w:rPr>
            <w:rStyle w:val="Emphasis"/>
            <w:szCs w:val="20"/>
          </w:rPr>
          <w:t>Id.</w:t>
        </w:r>
      </w:hyperlink>
      <w:r w:rsidR="00C64050">
        <w:rPr>
          <w:szCs w:val="20"/>
        </w:rPr>
        <w:t xml:space="preserve"> </w:t>
      </w:r>
      <w:r w:rsidRPr="00BA2AE4">
        <w:rPr>
          <w:szCs w:val="20"/>
        </w:rPr>
        <w:t>Within</w:t>
      </w:r>
      <w:r w:rsidR="00C64050">
        <w:rPr>
          <w:szCs w:val="20"/>
        </w:rPr>
        <w:t xml:space="preserve"> </w:t>
      </w:r>
      <w:r w:rsidRPr="00BA2AE4">
        <w:rPr>
          <w:szCs w:val="20"/>
        </w:rPr>
        <w:t>three</w:t>
      </w:r>
      <w:r w:rsidR="00C64050">
        <w:rPr>
          <w:szCs w:val="20"/>
        </w:rPr>
        <w:t xml:space="preserve"> </w:t>
      </w:r>
      <w:r w:rsidRPr="00BA2AE4">
        <w:rPr>
          <w:szCs w:val="20"/>
        </w:rPr>
        <w:t>years,</w:t>
      </w:r>
      <w:r w:rsidR="00C64050">
        <w:rPr>
          <w:szCs w:val="20"/>
        </w:rPr>
        <w:t xml:space="preserve"> </w:t>
      </w:r>
      <w:r w:rsidRPr="00BA2AE4">
        <w:rPr>
          <w:szCs w:val="20"/>
        </w:rPr>
        <w:t>husband</w:t>
      </w:r>
      <w:r w:rsidR="00C64050">
        <w:rPr>
          <w:szCs w:val="20"/>
        </w:rPr>
        <w:t xml:space="preserve"> </w:t>
      </w:r>
      <w:r w:rsidRPr="00BA2AE4">
        <w:rPr>
          <w:szCs w:val="20"/>
        </w:rPr>
        <w:t>transferred</w:t>
      </w:r>
      <w:r w:rsidR="00C64050">
        <w:rPr>
          <w:szCs w:val="20"/>
        </w:rPr>
        <w:t xml:space="preserve"> </w:t>
      </w:r>
      <w:r w:rsidRPr="00BA2AE4">
        <w:rPr>
          <w:szCs w:val="20"/>
        </w:rPr>
        <w:t>significant</w:t>
      </w:r>
      <w:r w:rsidR="00C64050">
        <w:rPr>
          <w:szCs w:val="20"/>
        </w:rPr>
        <w:t xml:space="preserve"> </w:t>
      </w:r>
      <w:r w:rsidRPr="00BA2AE4">
        <w:rPr>
          <w:szCs w:val="20"/>
        </w:rPr>
        <w:t>assets</w:t>
      </w:r>
      <w:r w:rsidR="00C64050">
        <w:rPr>
          <w:szCs w:val="20"/>
        </w:rPr>
        <w:t xml:space="preserve"> </w:t>
      </w:r>
      <w:r w:rsidRPr="00BA2AE4">
        <w:rPr>
          <w:szCs w:val="20"/>
        </w:rPr>
        <w:t>into</w:t>
      </w:r>
      <w:r w:rsidR="00C64050">
        <w:rPr>
          <w:szCs w:val="20"/>
        </w:rPr>
        <w:t xml:space="preserve"> </w:t>
      </w:r>
      <w:r w:rsidRPr="00BA2AE4">
        <w:rPr>
          <w:szCs w:val="20"/>
        </w:rPr>
        <w:t>the</w:t>
      </w:r>
      <w:r w:rsidR="00C64050">
        <w:rPr>
          <w:szCs w:val="20"/>
        </w:rPr>
        <w:t xml:space="preserve"> </w:t>
      </w:r>
      <w:r w:rsidRPr="00BA2AE4">
        <w:rPr>
          <w:szCs w:val="20"/>
        </w:rPr>
        <w:t>trust.</w:t>
      </w:r>
      <w:r w:rsidR="00C64050">
        <w:rPr>
          <w:szCs w:val="20"/>
        </w:rPr>
        <w:t xml:space="preserve"> </w:t>
      </w:r>
      <w:hyperlink r:id="rId436" w:history="1">
        <w:r w:rsidRPr="00BA2AE4">
          <w:rPr>
            <w:rStyle w:val="Emphasis"/>
            <w:szCs w:val="20"/>
          </w:rPr>
          <w:t>Id.</w:t>
        </w:r>
      </w:hyperlink>
      <w:r w:rsidR="00C64050">
        <w:rPr>
          <w:szCs w:val="20"/>
        </w:rPr>
        <w:t xml:space="preserve"> </w:t>
      </w:r>
      <w:r w:rsidRPr="00BA2AE4">
        <w:rPr>
          <w:szCs w:val="20"/>
        </w:rPr>
        <w:t>Wife</w:t>
      </w:r>
      <w:r w:rsidR="00C64050">
        <w:rPr>
          <w:szCs w:val="20"/>
        </w:rPr>
        <w:t xml:space="preserve"> </w:t>
      </w:r>
      <w:r w:rsidRPr="00BA2AE4">
        <w:rPr>
          <w:szCs w:val="20"/>
        </w:rPr>
        <w:t>knew</w:t>
      </w:r>
      <w:r w:rsidR="00C64050">
        <w:rPr>
          <w:szCs w:val="20"/>
        </w:rPr>
        <w:t xml:space="preserve"> </w:t>
      </w:r>
      <w:r w:rsidRPr="00BA2AE4">
        <w:rPr>
          <w:szCs w:val="20"/>
        </w:rPr>
        <w:t>that</w:t>
      </w:r>
      <w:r w:rsidR="00C64050">
        <w:rPr>
          <w:szCs w:val="20"/>
        </w:rPr>
        <w:t xml:space="preserve"> </w:t>
      </w:r>
      <w:r w:rsidRPr="00BA2AE4">
        <w:rPr>
          <w:szCs w:val="20"/>
        </w:rPr>
        <w:t>husband</w:t>
      </w:r>
      <w:r w:rsidR="00C64050">
        <w:rPr>
          <w:szCs w:val="20"/>
        </w:rPr>
        <w:t xml:space="preserve"> </w:t>
      </w:r>
      <w:r w:rsidRPr="00BA2AE4">
        <w:rPr>
          <w:szCs w:val="20"/>
        </w:rPr>
        <w:t>had</w:t>
      </w:r>
      <w:r w:rsidR="00C64050">
        <w:rPr>
          <w:szCs w:val="20"/>
        </w:rPr>
        <w:t xml:space="preserve"> </w:t>
      </w:r>
      <w:r w:rsidRPr="00BA2AE4">
        <w:rPr>
          <w:szCs w:val="20"/>
        </w:rPr>
        <w:t>a</w:t>
      </w:r>
      <w:r w:rsidR="00C64050">
        <w:rPr>
          <w:szCs w:val="20"/>
        </w:rPr>
        <w:t xml:space="preserve"> </w:t>
      </w:r>
      <w:r w:rsidRPr="00BA2AE4">
        <w:rPr>
          <w:szCs w:val="20"/>
        </w:rPr>
        <w:t>trust;</w:t>
      </w:r>
      <w:r w:rsidR="00C64050">
        <w:rPr>
          <w:szCs w:val="20"/>
        </w:rPr>
        <w:t xml:space="preserve"> </w:t>
      </w:r>
      <w:r w:rsidRPr="00BA2AE4">
        <w:rPr>
          <w:szCs w:val="20"/>
        </w:rPr>
        <w:t>however,</w:t>
      </w:r>
      <w:r w:rsidR="00C64050">
        <w:rPr>
          <w:szCs w:val="20"/>
        </w:rPr>
        <w:t xml:space="preserve"> </w:t>
      </w:r>
      <w:r w:rsidRPr="00BA2AE4">
        <w:rPr>
          <w:szCs w:val="20"/>
        </w:rPr>
        <w:t>there</w:t>
      </w:r>
      <w:r w:rsidR="00C64050">
        <w:rPr>
          <w:szCs w:val="20"/>
        </w:rPr>
        <w:t xml:space="preserve"> </w:t>
      </w:r>
      <w:r w:rsidRPr="00BA2AE4">
        <w:rPr>
          <w:szCs w:val="20"/>
        </w:rPr>
        <w:t>was</w:t>
      </w:r>
      <w:r w:rsidR="00C64050">
        <w:rPr>
          <w:szCs w:val="20"/>
        </w:rPr>
        <w:t xml:space="preserve"> </w:t>
      </w:r>
      <w:r w:rsidRPr="00BA2AE4">
        <w:rPr>
          <w:szCs w:val="20"/>
        </w:rPr>
        <w:t>no</w:t>
      </w:r>
      <w:r w:rsidR="00C64050">
        <w:rPr>
          <w:szCs w:val="20"/>
        </w:rPr>
        <w:t xml:space="preserve"> </w:t>
      </w:r>
      <w:r w:rsidRPr="00BA2AE4">
        <w:rPr>
          <w:szCs w:val="20"/>
        </w:rPr>
        <w:t>evidence</w:t>
      </w:r>
      <w:r w:rsidR="00C64050">
        <w:rPr>
          <w:szCs w:val="20"/>
        </w:rPr>
        <w:t xml:space="preserve"> </w:t>
      </w:r>
      <w:r w:rsidRPr="00BA2AE4">
        <w:rPr>
          <w:szCs w:val="20"/>
        </w:rPr>
        <w:t>she</w:t>
      </w:r>
      <w:r w:rsidR="00C64050">
        <w:rPr>
          <w:szCs w:val="20"/>
        </w:rPr>
        <w:t xml:space="preserve"> </w:t>
      </w:r>
      <w:r w:rsidRPr="00BA2AE4">
        <w:rPr>
          <w:szCs w:val="20"/>
        </w:rPr>
        <w:t>was</w:t>
      </w:r>
      <w:r w:rsidR="00C64050">
        <w:rPr>
          <w:szCs w:val="20"/>
        </w:rPr>
        <w:t xml:space="preserve"> </w:t>
      </w:r>
      <w:r w:rsidRPr="00BA2AE4">
        <w:rPr>
          <w:szCs w:val="20"/>
        </w:rPr>
        <w:t>aware</w:t>
      </w:r>
      <w:r w:rsidR="00C64050">
        <w:rPr>
          <w:szCs w:val="20"/>
        </w:rPr>
        <w:t xml:space="preserve"> </w:t>
      </w:r>
      <w:r w:rsidRPr="00BA2AE4">
        <w:rPr>
          <w:szCs w:val="20"/>
        </w:rPr>
        <w:t>of</w:t>
      </w:r>
      <w:r w:rsidR="00C64050">
        <w:rPr>
          <w:szCs w:val="20"/>
        </w:rPr>
        <w:t xml:space="preserve"> </w:t>
      </w:r>
      <w:r w:rsidRPr="00BA2AE4">
        <w:rPr>
          <w:szCs w:val="20"/>
        </w:rPr>
        <w:t>the</w:t>
      </w:r>
      <w:r w:rsidR="00C64050">
        <w:rPr>
          <w:szCs w:val="20"/>
        </w:rPr>
        <w:t xml:space="preserve"> </w:t>
      </w:r>
      <w:r w:rsidRPr="00BA2AE4">
        <w:rPr>
          <w:szCs w:val="20"/>
        </w:rPr>
        <w:t>provisions</w:t>
      </w:r>
      <w:r w:rsidR="00C64050">
        <w:rPr>
          <w:szCs w:val="20"/>
        </w:rPr>
        <w:t xml:space="preserve"> </w:t>
      </w:r>
      <w:r w:rsidRPr="00BA2AE4">
        <w:rPr>
          <w:szCs w:val="20"/>
        </w:rPr>
        <w:t>of</w:t>
      </w:r>
      <w:r w:rsidR="00C64050">
        <w:rPr>
          <w:szCs w:val="20"/>
        </w:rPr>
        <w:t xml:space="preserve"> </w:t>
      </w:r>
      <w:r w:rsidRPr="00BA2AE4">
        <w:rPr>
          <w:szCs w:val="20"/>
        </w:rPr>
        <w:t>the</w:t>
      </w:r>
      <w:r w:rsidR="00C64050">
        <w:rPr>
          <w:szCs w:val="20"/>
        </w:rPr>
        <w:t xml:space="preserve"> </w:t>
      </w:r>
      <w:r w:rsidRPr="00BA2AE4">
        <w:rPr>
          <w:szCs w:val="20"/>
        </w:rPr>
        <w:t>trust.</w:t>
      </w:r>
      <w:r w:rsidR="00C64050">
        <w:rPr>
          <w:szCs w:val="20"/>
        </w:rPr>
        <w:t xml:space="preserve"> </w:t>
      </w:r>
      <w:r w:rsidRPr="00BA2AE4">
        <w:rPr>
          <w:rStyle w:val="Emphasis"/>
          <w:szCs w:val="20"/>
        </w:rPr>
        <w:t>Id.</w:t>
      </w:r>
      <w:r w:rsidR="00C64050">
        <w:rPr>
          <w:szCs w:val="20"/>
        </w:rPr>
        <w:t xml:space="preserve"> </w:t>
      </w:r>
      <w:r w:rsidRPr="00BA2AE4">
        <w:rPr>
          <w:szCs w:val="20"/>
        </w:rPr>
        <w:t>at</w:t>
      </w:r>
      <w:r w:rsidR="00C64050">
        <w:rPr>
          <w:szCs w:val="20"/>
        </w:rPr>
        <w:t xml:space="preserve"> </w:t>
      </w:r>
      <w:r w:rsidRPr="00BA2AE4">
        <w:rPr>
          <w:szCs w:val="20"/>
        </w:rPr>
        <w:t>1121-22.</w:t>
      </w:r>
      <w:r w:rsidR="00C64050">
        <w:rPr>
          <w:szCs w:val="20"/>
        </w:rPr>
        <w:t xml:space="preserve"> </w:t>
      </w:r>
      <w:r w:rsidRPr="00BA2AE4">
        <w:rPr>
          <w:szCs w:val="20"/>
        </w:rPr>
        <w:t>Husband</w:t>
      </w:r>
      <w:r w:rsidR="00C64050">
        <w:rPr>
          <w:szCs w:val="20"/>
        </w:rPr>
        <w:t xml:space="preserve"> </w:t>
      </w:r>
      <w:r w:rsidRPr="00BA2AE4">
        <w:rPr>
          <w:szCs w:val="20"/>
        </w:rPr>
        <w:t>died</w:t>
      </w:r>
      <w:r w:rsidR="00C64050">
        <w:rPr>
          <w:szCs w:val="20"/>
        </w:rPr>
        <w:t xml:space="preserve"> </w:t>
      </w:r>
      <w:r w:rsidRPr="00BA2AE4">
        <w:rPr>
          <w:szCs w:val="20"/>
        </w:rPr>
        <w:t>six</w:t>
      </w:r>
      <w:r w:rsidR="00C64050">
        <w:rPr>
          <w:szCs w:val="20"/>
        </w:rPr>
        <w:t xml:space="preserve"> </w:t>
      </w:r>
      <w:r w:rsidRPr="00BA2AE4">
        <w:rPr>
          <w:szCs w:val="20"/>
        </w:rPr>
        <w:t>years</w:t>
      </w:r>
      <w:r w:rsidR="00C64050">
        <w:rPr>
          <w:szCs w:val="20"/>
        </w:rPr>
        <w:t xml:space="preserve"> </w:t>
      </w:r>
      <w:r w:rsidRPr="00BA2AE4">
        <w:rPr>
          <w:szCs w:val="20"/>
        </w:rPr>
        <w:t>after</w:t>
      </w:r>
      <w:r w:rsidR="00C64050">
        <w:rPr>
          <w:szCs w:val="20"/>
        </w:rPr>
        <w:t xml:space="preserve"> </w:t>
      </w:r>
      <w:r w:rsidRPr="00BA2AE4">
        <w:rPr>
          <w:szCs w:val="20"/>
        </w:rPr>
        <w:t>creating</w:t>
      </w:r>
      <w:r w:rsidR="00C64050">
        <w:rPr>
          <w:szCs w:val="20"/>
        </w:rPr>
        <w:t xml:space="preserve"> </w:t>
      </w:r>
      <w:r w:rsidRPr="00BA2AE4">
        <w:rPr>
          <w:szCs w:val="20"/>
        </w:rPr>
        <w:t>the</w:t>
      </w:r>
      <w:r w:rsidR="00C64050">
        <w:rPr>
          <w:szCs w:val="20"/>
        </w:rPr>
        <w:t xml:space="preserve"> </w:t>
      </w:r>
      <w:r w:rsidRPr="00BA2AE4">
        <w:rPr>
          <w:szCs w:val="20"/>
        </w:rPr>
        <w:t>trust</w:t>
      </w:r>
      <w:r w:rsidR="00C64050">
        <w:rPr>
          <w:szCs w:val="20"/>
        </w:rPr>
        <w:t xml:space="preserve"> </w:t>
      </w:r>
      <w:r w:rsidRPr="00BA2AE4">
        <w:rPr>
          <w:szCs w:val="20"/>
        </w:rPr>
        <w:t>and</w:t>
      </w:r>
      <w:r w:rsidR="00C64050">
        <w:rPr>
          <w:szCs w:val="20"/>
        </w:rPr>
        <w:t xml:space="preserve"> </w:t>
      </w:r>
      <w:r w:rsidRPr="00BA2AE4">
        <w:rPr>
          <w:szCs w:val="20"/>
        </w:rPr>
        <w:t>several</w:t>
      </w:r>
      <w:r w:rsidR="00C64050">
        <w:rPr>
          <w:szCs w:val="20"/>
        </w:rPr>
        <w:t xml:space="preserve"> </w:t>
      </w:r>
      <w:r w:rsidRPr="00BA2AE4">
        <w:rPr>
          <w:szCs w:val="20"/>
        </w:rPr>
        <w:t>years</w:t>
      </w:r>
      <w:r w:rsidR="00C64050">
        <w:rPr>
          <w:szCs w:val="20"/>
        </w:rPr>
        <w:t xml:space="preserve"> </w:t>
      </w:r>
      <w:r w:rsidRPr="00BA2AE4">
        <w:rPr>
          <w:szCs w:val="20"/>
        </w:rPr>
        <w:t>after</w:t>
      </w:r>
      <w:r w:rsidR="00C64050">
        <w:rPr>
          <w:szCs w:val="20"/>
        </w:rPr>
        <w:t xml:space="preserve"> </w:t>
      </w:r>
      <w:r w:rsidRPr="00BA2AE4">
        <w:rPr>
          <w:szCs w:val="20"/>
        </w:rPr>
        <w:t>funding</w:t>
      </w:r>
      <w:r w:rsidR="00C64050">
        <w:rPr>
          <w:szCs w:val="20"/>
        </w:rPr>
        <w:t xml:space="preserve"> </w:t>
      </w:r>
      <w:r w:rsidRPr="00BA2AE4">
        <w:rPr>
          <w:szCs w:val="20"/>
        </w:rPr>
        <w:t>it.</w:t>
      </w:r>
      <w:r w:rsidR="00C64050">
        <w:rPr>
          <w:szCs w:val="20"/>
        </w:rPr>
        <w:t xml:space="preserve"> </w:t>
      </w:r>
      <w:hyperlink r:id="rId437" w:history="1">
        <w:r w:rsidRPr="00BA2AE4">
          <w:rPr>
            <w:rStyle w:val="Emphasis"/>
            <w:szCs w:val="20"/>
          </w:rPr>
          <w:t>Id.</w:t>
        </w:r>
      </w:hyperlink>
      <w:r w:rsidR="00C64050">
        <w:rPr>
          <w:szCs w:val="20"/>
        </w:rPr>
        <w:t xml:space="preserve"> </w:t>
      </w:r>
      <w:r w:rsidRPr="00BA2AE4">
        <w:rPr>
          <w:szCs w:val="20"/>
        </w:rPr>
        <w:t>After</w:t>
      </w:r>
      <w:r w:rsidR="00C64050">
        <w:rPr>
          <w:szCs w:val="20"/>
        </w:rPr>
        <w:t xml:space="preserve"> </w:t>
      </w:r>
      <w:r w:rsidRPr="00BA2AE4">
        <w:rPr>
          <w:szCs w:val="20"/>
        </w:rPr>
        <w:t>describing</w:t>
      </w:r>
      <w:r w:rsidR="00C64050">
        <w:rPr>
          <w:szCs w:val="20"/>
        </w:rPr>
        <w:t xml:space="preserve"> </w:t>
      </w:r>
      <w:r w:rsidRPr="00BA2AE4">
        <w:rPr>
          <w:szCs w:val="20"/>
        </w:rPr>
        <w:t>the</w:t>
      </w:r>
      <w:r w:rsidR="00C64050">
        <w:rPr>
          <w:szCs w:val="20"/>
        </w:rPr>
        <w:t xml:space="preserve"> </w:t>
      </w:r>
      <w:r w:rsidRPr="00BA2AE4">
        <w:rPr>
          <w:szCs w:val="20"/>
        </w:rPr>
        <w:t>nature</w:t>
      </w:r>
      <w:r w:rsidR="00C64050">
        <w:rPr>
          <w:szCs w:val="20"/>
        </w:rPr>
        <w:t xml:space="preserve"> </w:t>
      </w:r>
      <w:r w:rsidRPr="00BA2AE4">
        <w:rPr>
          <w:szCs w:val="20"/>
        </w:rPr>
        <w:t>and</w:t>
      </w:r>
      <w:r w:rsidR="00C64050">
        <w:rPr>
          <w:szCs w:val="20"/>
        </w:rPr>
        <w:t xml:space="preserve"> </w:t>
      </w:r>
      <w:r w:rsidRPr="00BA2AE4">
        <w:rPr>
          <w:szCs w:val="20"/>
        </w:rPr>
        <w:t>effect</w:t>
      </w:r>
      <w:r w:rsidR="00C64050">
        <w:rPr>
          <w:szCs w:val="20"/>
        </w:rPr>
        <w:t xml:space="preserve"> </w:t>
      </w:r>
      <w:r w:rsidRPr="00BA2AE4">
        <w:rPr>
          <w:szCs w:val="20"/>
        </w:rPr>
        <w:t>of</w:t>
      </w:r>
      <w:r w:rsidR="00C64050">
        <w:rPr>
          <w:szCs w:val="20"/>
        </w:rPr>
        <w:t xml:space="preserve"> </w:t>
      </w:r>
      <w:r w:rsidRPr="00BA2AE4">
        <w:rPr>
          <w:szCs w:val="20"/>
        </w:rPr>
        <w:t>an</w:t>
      </w:r>
      <w:r w:rsidR="00C64050">
        <w:rPr>
          <w:szCs w:val="20"/>
        </w:rPr>
        <w:t xml:space="preserve"> </w:t>
      </w:r>
      <w:r w:rsidRPr="00BA2AE4">
        <w:rPr>
          <w:rStyle w:val="Emphasis"/>
          <w:szCs w:val="20"/>
        </w:rPr>
        <w:t>inter</w:t>
      </w:r>
      <w:r w:rsidR="00C64050">
        <w:rPr>
          <w:rStyle w:val="Emphasis"/>
          <w:szCs w:val="20"/>
        </w:rPr>
        <w:t xml:space="preserve"> </w:t>
      </w:r>
      <w:r w:rsidRPr="00BA2AE4">
        <w:rPr>
          <w:rStyle w:val="Emphasis"/>
          <w:szCs w:val="20"/>
        </w:rPr>
        <w:t>vivos</w:t>
      </w:r>
      <w:r w:rsidR="00C64050">
        <w:rPr>
          <w:szCs w:val="20"/>
        </w:rPr>
        <w:t xml:space="preserve"> </w:t>
      </w:r>
      <w:r w:rsidRPr="00BA2AE4">
        <w:rPr>
          <w:szCs w:val="20"/>
        </w:rPr>
        <w:t>trust</w:t>
      </w:r>
      <w:r w:rsidR="00C64050">
        <w:rPr>
          <w:szCs w:val="20"/>
        </w:rPr>
        <w:t xml:space="preserve"> </w:t>
      </w:r>
      <w:r w:rsidRPr="00BA2AE4">
        <w:rPr>
          <w:szCs w:val="20"/>
        </w:rPr>
        <w:t>and</w:t>
      </w:r>
      <w:r w:rsidR="00C64050">
        <w:rPr>
          <w:szCs w:val="20"/>
        </w:rPr>
        <w:t xml:space="preserve"> </w:t>
      </w:r>
      <w:r w:rsidRPr="00BA2AE4">
        <w:rPr>
          <w:szCs w:val="20"/>
        </w:rPr>
        <w:t>restating</w:t>
      </w:r>
      <w:r w:rsidR="00C64050">
        <w:rPr>
          <w:szCs w:val="20"/>
        </w:rPr>
        <w:t xml:space="preserve"> </w:t>
      </w:r>
      <w:r w:rsidRPr="00BA2AE4">
        <w:rPr>
          <w:szCs w:val="20"/>
        </w:rPr>
        <w:t>the</w:t>
      </w:r>
      <w:r w:rsidR="00C64050">
        <w:rPr>
          <w:szCs w:val="20"/>
        </w:rPr>
        <w:t xml:space="preserve"> </w:t>
      </w:r>
      <w:r w:rsidRPr="00BA2AE4">
        <w:rPr>
          <w:szCs w:val="20"/>
        </w:rPr>
        <w:t>general</w:t>
      </w:r>
      <w:r w:rsidR="00C64050">
        <w:rPr>
          <w:szCs w:val="20"/>
        </w:rPr>
        <w:t xml:space="preserve"> </w:t>
      </w:r>
      <w:r w:rsidRPr="00BA2AE4">
        <w:rPr>
          <w:szCs w:val="20"/>
        </w:rPr>
        <w:t>rule</w:t>
      </w:r>
      <w:r w:rsidR="00C64050">
        <w:rPr>
          <w:szCs w:val="20"/>
        </w:rPr>
        <w:t xml:space="preserve"> </w:t>
      </w:r>
      <w:r w:rsidRPr="00BA2AE4">
        <w:rPr>
          <w:szCs w:val="20"/>
        </w:rPr>
        <w:t>in</w:t>
      </w:r>
      <w:r w:rsidR="00C64050">
        <w:rPr>
          <w:szCs w:val="20"/>
        </w:rPr>
        <w:t xml:space="preserve"> </w:t>
      </w:r>
      <w:r w:rsidRPr="00BA2AE4">
        <w:rPr>
          <w:rStyle w:val="Emphasis"/>
          <w:szCs w:val="20"/>
        </w:rPr>
        <w:t>Leazenby</w:t>
      </w:r>
      <w:r w:rsidR="00C64050">
        <w:rPr>
          <w:szCs w:val="20"/>
        </w:rPr>
        <w:t xml:space="preserve"> </w:t>
      </w:r>
      <w:r w:rsidRPr="00BA2AE4">
        <w:rPr>
          <w:szCs w:val="20"/>
        </w:rPr>
        <w:t>and</w:t>
      </w:r>
      <w:r w:rsidR="00C64050">
        <w:rPr>
          <w:szCs w:val="20"/>
        </w:rPr>
        <w:t xml:space="preserve"> </w:t>
      </w:r>
      <w:r w:rsidRPr="00BA2AE4">
        <w:rPr>
          <w:szCs w:val="20"/>
        </w:rPr>
        <w:t>the</w:t>
      </w:r>
      <w:r w:rsidR="00C64050">
        <w:rPr>
          <w:szCs w:val="20"/>
        </w:rPr>
        <w:t xml:space="preserve"> </w:t>
      </w:r>
      <w:r w:rsidRPr="00BA2AE4">
        <w:rPr>
          <w:szCs w:val="20"/>
        </w:rPr>
        <w:t>policy</w:t>
      </w:r>
      <w:r w:rsidR="00C64050">
        <w:rPr>
          <w:szCs w:val="20"/>
        </w:rPr>
        <w:t xml:space="preserve"> </w:t>
      </w:r>
      <w:r w:rsidRPr="00BA2AE4">
        <w:rPr>
          <w:szCs w:val="20"/>
        </w:rPr>
        <w:t>grounds</w:t>
      </w:r>
      <w:r w:rsidR="00C64050">
        <w:rPr>
          <w:szCs w:val="20"/>
        </w:rPr>
        <w:t xml:space="preserve"> </w:t>
      </w:r>
      <w:r w:rsidRPr="00BA2AE4">
        <w:rPr>
          <w:szCs w:val="20"/>
        </w:rPr>
        <w:t>upon</w:t>
      </w:r>
      <w:r w:rsidR="00C64050">
        <w:rPr>
          <w:szCs w:val="20"/>
        </w:rPr>
        <w:t xml:space="preserve"> </w:t>
      </w:r>
      <w:r w:rsidRPr="00BA2AE4">
        <w:rPr>
          <w:szCs w:val="20"/>
        </w:rPr>
        <w:t>which</w:t>
      </w:r>
      <w:r w:rsidR="00C64050">
        <w:rPr>
          <w:szCs w:val="20"/>
        </w:rPr>
        <w:t xml:space="preserve"> </w:t>
      </w:r>
      <w:r w:rsidRPr="00BA2AE4">
        <w:rPr>
          <w:szCs w:val="20"/>
        </w:rPr>
        <w:t>that</w:t>
      </w:r>
      <w:r w:rsidR="00C64050">
        <w:rPr>
          <w:szCs w:val="20"/>
        </w:rPr>
        <w:t xml:space="preserve"> </w:t>
      </w:r>
      <w:r w:rsidRPr="00BA2AE4">
        <w:rPr>
          <w:szCs w:val="20"/>
        </w:rPr>
        <w:t>decision</w:t>
      </w:r>
      <w:r w:rsidR="00C64050">
        <w:rPr>
          <w:szCs w:val="20"/>
        </w:rPr>
        <w:t xml:space="preserve"> </w:t>
      </w:r>
      <w:r w:rsidRPr="00BA2AE4">
        <w:rPr>
          <w:szCs w:val="20"/>
        </w:rPr>
        <w:t>was</w:t>
      </w:r>
      <w:r w:rsidR="00C64050">
        <w:rPr>
          <w:szCs w:val="20"/>
        </w:rPr>
        <w:t xml:space="preserve"> </w:t>
      </w:r>
      <w:r w:rsidRPr="00BA2AE4">
        <w:rPr>
          <w:szCs w:val="20"/>
        </w:rPr>
        <w:t>reached,</w:t>
      </w:r>
      <w:r w:rsidR="00C64050">
        <w:rPr>
          <w:szCs w:val="20"/>
        </w:rPr>
        <w:t xml:space="preserve"> </w:t>
      </w:r>
      <w:r w:rsidRPr="00BA2AE4">
        <w:rPr>
          <w:szCs w:val="20"/>
        </w:rPr>
        <w:t>the</w:t>
      </w:r>
      <w:r w:rsidR="00C64050">
        <w:rPr>
          <w:szCs w:val="20"/>
        </w:rPr>
        <w:t xml:space="preserve"> </w:t>
      </w:r>
      <w:r w:rsidRPr="00BA2AE4">
        <w:rPr>
          <w:rStyle w:val="Emphasis"/>
          <w:szCs w:val="20"/>
        </w:rPr>
        <w:t>Weitzman</w:t>
      </w:r>
      <w:r w:rsidR="00C64050">
        <w:rPr>
          <w:szCs w:val="20"/>
        </w:rPr>
        <w:t xml:space="preserve"> </w:t>
      </w:r>
      <w:r w:rsidRPr="00BA2AE4">
        <w:rPr>
          <w:szCs w:val="20"/>
        </w:rPr>
        <w:t>court</w:t>
      </w:r>
      <w:r w:rsidR="00C64050">
        <w:rPr>
          <w:szCs w:val="20"/>
        </w:rPr>
        <w:t xml:space="preserve"> </w:t>
      </w:r>
      <w:r w:rsidRPr="00BA2AE4">
        <w:rPr>
          <w:szCs w:val="20"/>
        </w:rPr>
        <w:t>stated,</w:t>
      </w:r>
      <w:r w:rsidR="00C64050">
        <w:rPr>
          <w:szCs w:val="20"/>
        </w:rPr>
        <w:t xml:space="preserve"> </w:t>
      </w:r>
      <w:r w:rsidRPr="00BA2AE4">
        <w:rPr>
          <w:szCs w:val="20"/>
        </w:rPr>
        <w:t>“[t]here</w:t>
      </w:r>
      <w:r w:rsidR="00C64050">
        <w:rPr>
          <w:szCs w:val="20"/>
        </w:rPr>
        <w:t xml:space="preserve"> </w:t>
      </w:r>
      <w:r w:rsidRPr="00BA2AE4">
        <w:rPr>
          <w:szCs w:val="20"/>
        </w:rPr>
        <w:t>is</w:t>
      </w:r>
      <w:r w:rsidR="00C64050">
        <w:rPr>
          <w:szCs w:val="20"/>
        </w:rPr>
        <w:t xml:space="preserve"> </w:t>
      </w:r>
      <w:r w:rsidRPr="00BA2AE4">
        <w:rPr>
          <w:szCs w:val="20"/>
        </w:rPr>
        <w:t>one</w:t>
      </w:r>
      <w:r w:rsidR="00C64050">
        <w:rPr>
          <w:szCs w:val="20"/>
        </w:rPr>
        <w:t xml:space="preserve"> </w:t>
      </w:r>
      <w:r w:rsidRPr="00BA2AE4">
        <w:rPr>
          <w:szCs w:val="20"/>
        </w:rPr>
        <w:t>pertinent</w:t>
      </w:r>
      <w:r w:rsidR="00C64050">
        <w:rPr>
          <w:szCs w:val="20"/>
        </w:rPr>
        <w:t xml:space="preserve"> </w:t>
      </w:r>
      <w:r w:rsidRPr="00BA2AE4">
        <w:rPr>
          <w:szCs w:val="20"/>
        </w:rPr>
        <w:t>exception</w:t>
      </w:r>
      <w:r w:rsidR="00C64050">
        <w:rPr>
          <w:szCs w:val="20"/>
        </w:rPr>
        <w:t xml:space="preserve"> </w:t>
      </w:r>
      <w:r w:rsidRPr="00BA2AE4">
        <w:rPr>
          <w:szCs w:val="20"/>
        </w:rPr>
        <w:t>to</w:t>
      </w:r>
      <w:r w:rsidR="00C64050">
        <w:rPr>
          <w:szCs w:val="20"/>
        </w:rPr>
        <w:t xml:space="preserve"> </w:t>
      </w:r>
      <w:r w:rsidRPr="00BA2AE4">
        <w:rPr>
          <w:szCs w:val="20"/>
        </w:rPr>
        <w:t>the</w:t>
      </w:r>
      <w:r w:rsidR="00C64050">
        <w:rPr>
          <w:szCs w:val="20"/>
        </w:rPr>
        <w:t xml:space="preserve"> </w:t>
      </w:r>
      <w:r w:rsidRPr="00BA2AE4">
        <w:rPr>
          <w:szCs w:val="20"/>
        </w:rPr>
        <w:t>rules</w:t>
      </w:r>
      <w:r w:rsidR="00C64050">
        <w:rPr>
          <w:szCs w:val="20"/>
        </w:rPr>
        <w:t xml:space="preserve"> </w:t>
      </w:r>
      <w:r w:rsidRPr="00BA2AE4">
        <w:rPr>
          <w:szCs w:val="20"/>
        </w:rPr>
        <w:t>and</w:t>
      </w:r>
      <w:r w:rsidR="00C64050">
        <w:rPr>
          <w:szCs w:val="20"/>
        </w:rPr>
        <w:t xml:space="preserve"> </w:t>
      </w:r>
      <w:r w:rsidRPr="00BA2AE4">
        <w:rPr>
          <w:szCs w:val="20"/>
        </w:rPr>
        <w:t>policies</w:t>
      </w:r>
      <w:r w:rsidR="00C64050">
        <w:rPr>
          <w:szCs w:val="20"/>
        </w:rPr>
        <w:t xml:space="preserve"> </w:t>
      </w:r>
      <w:r w:rsidRPr="00BA2AE4">
        <w:rPr>
          <w:szCs w:val="20"/>
        </w:rPr>
        <w:t>we</w:t>
      </w:r>
      <w:r w:rsidR="00C64050">
        <w:rPr>
          <w:szCs w:val="20"/>
        </w:rPr>
        <w:t xml:space="preserve"> </w:t>
      </w:r>
      <w:r w:rsidRPr="00BA2AE4">
        <w:rPr>
          <w:szCs w:val="20"/>
        </w:rPr>
        <w:t>relied</w:t>
      </w:r>
      <w:r w:rsidR="00C64050">
        <w:rPr>
          <w:szCs w:val="20"/>
        </w:rPr>
        <w:t xml:space="preserve"> </w:t>
      </w:r>
      <w:r w:rsidRPr="00BA2AE4">
        <w:rPr>
          <w:szCs w:val="20"/>
        </w:rPr>
        <w:t>on</w:t>
      </w:r>
      <w:r w:rsidR="00C64050">
        <w:rPr>
          <w:szCs w:val="20"/>
        </w:rPr>
        <w:t xml:space="preserve"> </w:t>
      </w:r>
      <w:r w:rsidRPr="00BA2AE4">
        <w:rPr>
          <w:szCs w:val="20"/>
        </w:rPr>
        <w:t>in</w:t>
      </w:r>
      <w:r w:rsidR="00C64050">
        <w:rPr>
          <w:szCs w:val="20"/>
        </w:rPr>
        <w:t xml:space="preserve"> </w:t>
      </w:r>
      <w:r w:rsidRPr="00BA2AE4">
        <w:rPr>
          <w:rStyle w:val="Emphasis"/>
          <w:szCs w:val="20"/>
        </w:rPr>
        <w:t>Leazenby</w:t>
      </w:r>
      <w:r w:rsidRPr="00BA2AE4">
        <w:rPr>
          <w:szCs w:val="20"/>
        </w:rPr>
        <w:t>.</w:t>
      </w:r>
      <w:r w:rsidR="00C64050">
        <w:rPr>
          <w:szCs w:val="20"/>
        </w:rPr>
        <w:t xml:space="preserve"> </w:t>
      </w:r>
      <w:r w:rsidRPr="00BA2AE4">
        <w:rPr>
          <w:szCs w:val="20"/>
        </w:rPr>
        <w:t>When</w:t>
      </w:r>
      <w:r w:rsidR="00C64050">
        <w:rPr>
          <w:szCs w:val="20"/>
        </w:rPr>
        <w:t xml:space="preserve"> </w:t>
      </w:r>
      <w:r w:rsidRPr="00BA2AE4">
        <w:rPr>
          <w:szCs w:val="20"/>
        </w:rPr>
        <w:t>a</w:t>
      </w:r>
      <w:r w:rsidR="00C64050">
        <w:rPr>
          <w:szCs w:val="20"/>
        </w:rPr>
        <w:t xml:space="preserve"> </w:t>
      </w:r>
      <w:r w:rsidRPr="00BA2AE4">
        <w:rPr>
          <w:szCs w:val="20"/>
        </w:rPr>
        <w:t>testator</w:t>
      </w:r>
      <w:r w:rsidR="00C64050">
        <w:rPr>
          <w:szCs w:val="20"/>
        </w:rPr>
        <w:t xml:space="preserve"> </w:t>
      </w:r>
      <w:r w:rsidRPr="00BA2AE4">
        <w:rPr>
          <w:szCs w:val="20"/>
        </w:rPr>
        <w:t>executes</w:t>
      </w:r>
      <w:r w:rsidR="00C64050">
        <w:rPr>
          <w:szCs w:val="20"/>
        </w:rPr>
        <w:t xml:space="preserve"> </w:t>
      </w:r>
      <w:r w:rsidRPr="00BA2AE4">
        <w:rPr>
          <w:szCs w:val="20"/>
        </w:rPr>
        <w:t>a</w:t>
      </w:r>
      <w:r w:rsidR="00C64050">
        <w:rPr>
          <w:szCs w:val="20"/>
        </w:rPr>
        <w:t xml:space="preserve"> </w:t>
      </w:r>
      <w:r w:rsidRPr="00BA2AE4">
        <w:rPr>
          <w:szCs w:val="20"/>
        </w:rPr>
        <w:t>trust</w:t>
      </w:r>
      <w:r w:rsidR="00C64050">
        <w:rPr>
          <w:szCs w:val="20"/>
        </w:rPr>
        <w:t xml:space="preserve"> </w:t>
      </w:r>
      <w:r w:rsidRPr="00BA2AE4">
        <w:rPr>
          <w:szCs w:val="20"/>
        </w:rPr>
        <w:t>in</w:t>
      </w:r>
      <w:r w:rsidR="00C64050">
        <w:rPr>
          <w:szCs w:val="20"/>
        </w:rPr>
        <w:t xml:space="preserve"> </w:t>
      </w:r>
      <w:r w:rsidRPr="00BA2AE4">
        <w:rPr>
          <w:szCs w:val="20"/>
        </w:rPr>
        <w:t>contemplation</w:t>
      </w:r>
      <w:r w:rsidR="00C64050">
        <w:rPr>
          <w:szCs w:val="20"/>
        </w:rPr>
        <w:t xml:space="preserve"> </w:t>
      </w:r>
      <w:r w:rsidRPr="00BA2AE4">
        <w:rPr>
          <w:szCs w:val="20"/>
        </w:rPr>
        <w:t>of</w:t>
      </w:r>
      <w:r w:rsidR="00C64050">
        <w:rPr>
          <w:szCs w:val="20"/>
        </w:rPr>
        <w:t xml:space="preserve"> </w:t>
      </w:r>
      <w:r w:rsidRPr="00BA2AE4">
        <w:rPr>
          <w:szCs w:val="20"/>
        </w:rPr>
        <w:t>his</w:t>
      </w:r>
      <w:r w:rsidR="00C64050">
        <w:rPr>
          <w:szCs w:val="20"/>
        </w:rPr>
        <w:t xml:space="preserve"> </w:t>
      </w:r>
      <w:r w:rsidRPr="00BA2AE4">
        <w:rPr>
          <w:szCs w:val="20"/>
        </w:rPr>
        <w:t>impending</w:t>
      </w:r>
      <w:r w:rsidR="00C64050">
        <w:rPr>
          <w:szCs w:val="20"/>
        </w:rPr>
        <w:t xml:space="preserve"> </w:t>
      </w:r>
      <w:r w:rsidRPr="00BA2AE4">
        <w:rPr>
          <w:szCs w:val="20"/>
        </w:rPr>
        <w:t>death</w:t>
      </w:r>
      <w:r w:rsidR="00C64050">
        <w:rPr>
          <w:szCs w:val="20"/>
        </w:rPr>
        <w:t xml:space="preserve"> </w:t>
      </w:r>
      <w:r w:rsidRPr="00BA2AE4">
        <w:rPr>
          <w:szCs w:val="20"/>
        </w:rPr>
        <w:t>and</w:t>
      </w:r>
      <w:r w:rsidR="00C64050">
        <w:rPr>
          <w:szCs w:val="20"/>
        </w:rPr>
        <w:t xml:space="preserve"> </w:t>
      </w:r>
      <w:r w:rsidRPr="00BA2AE4">
        <w:rPr>
          <w:szCs w:val="20"/>
        </w:rPr>
        <w:t>does</w:t>
      </w:r>
      <w:r w:rsidR="00C64050">
        <w:rPr>
          <w:szCs w:val="20"/>
        </w:rPr>
        <w:t xml:space="preserve"> </w:t>
      </w:r>
      <w:r w:rsidRPr="00BA2AE4">
        <w:rPr>
          <w:szCs w:val="20"/>
        </w:rPr>
        <w:t>so</w:t>
      </w:r>
      <w:r w:rsidR="00C64050">
        <w:rPr>
          <w:szCs w:val="20"/>
        </w:rPr>
        <w:t xml:space="preserve"> </w:t>
      </w:r>
      <w:r w:rsidRPr="00BA2AE4">
        <w:rPr>
          <w:szCs w:val="20"/>
        </w:rPr>
        <w:t>in</w:t>
      </w:r>
      <w:r w:rsidR="00C64050">
        <w:rPr>
          <w:szCs w:val="20"/>
        </w:rPr>
        <w:t xml:space="preserve"> </w:t>
      </w:r>
      <w:r w:rsidRPr="00BA2AE4">
        <w:rPr>
          <w:szCs w:val="20"/>
        </w:rPr>
        <w:t>order</w:t>
      </w:r>
      <w:r w:rsidR="00C64050">
        <w:rPr>
          <w:szCs w:val="20"/>
        </w:rPr>
        <w:t xml:space="preserve"> </w:t>
      </w:r>
      <w:r w:rsidRPr="00BA2AE4">
        <w:rPr>
          <w:szCs w:val="20"/>
        </w:rPr>
        <w:t>to</w:t>
      </w:r>
      <w:r w:rsidR="00C64050">
        <w:rPr>
          <w:szCs w:val="20"/>
        </w:rPr>
        <w:t xml:space="preserve"> </w:t>
      </w:r>
      <w:r w:rsidRPr="00BA2AE4">
        <w:rPr>
          <w:szCs w:val="20"/>
        </w:rPr>
        <w:t>defeat</w:t>
      </w:r>
      <w:r w:rsidR="00C64050">
        <w:rPr>
          <w:szCs w:val="20"/>
        </w:rPr>
        <w:t xml:space="preserve"> </w:t>
      </w:r>
      <w:r w:rsidRPr="00BA2AE4">
        <w:rPr>
          <w:szCs w:val="20"/>
        </w:rPr>
        <w:t>the</w:t>
      </w:r>
      <w:r w:rsidR="00C64050">
        <w:rPr>
          <w:szCs w:val="20"/>
        </w:rPr>
        <w:t xml:space="preserve"> </w:t>
      </w:r>
      <w:r w:rsidRPr="00BA2AE4">
        <w:rPr>
          <w:szCs w:val="20"/>
        </w:rPr>
        <w:t>surviving</w:t>
      </w:r>
      <w:r w:rsidR="00C64050">
        <w:rPr>
          <w:szCs w:val="20"/>
        </w:rPr>
        <w:t xml:space="preserve"> </w:t>
      </w:r>
      <w:r w:rsidRPr="00BA2AE4">
        <w:rPr>
          <w:szCs w:val="20"/>
        </w:rPr>
        <w:t>spouse's</w:t>
      </w:r>
      <w:r w:rsidR="00C64050">
        <w:rPr>
          <w:szCs w:val="20"/>
        </w:rPr>
        <w:t xml:space="preserve"> </w:t>
      </w:r>
      <w:r w:rsidRPr="00BA2AE4">
        <w:rPr>
          <w:szCs w:val="20"/>
        </w:rPr>
        <w:t>statutory</w:t>
      </w:r>
      <w:r w:rsidR="00C64050">
        <w:rPr>
          <w:szCs w:val="20"/>
        </w:rPr>
        <w:t xml:space="preserve"> </w:t>
      </w:r>
      <w:r w:rsidRPr="00BA2AE4">
        <w:rPr>
          <w:szCs w:val="20"/>
        </w:rPr>
        <w:t>share,</w:t>
      </w:r>
      <w:r w:rsidR="00C64050">
        <w:rPr>
          <w:szCs w:val="20"/>
        </w:rPr>
        <w:t xml:space="preserve"> </w:t>
      </w:r>
      <w:r w:rsidRPr="00BA2AE4">
        <w:rPr>
          <w:szCs w:val="20"/>
        </w:rPr>
        <w:t>the</w:t>
      </w:r>
      <w:r w:rsidR="00C64050">
        <w:rPr>
          <w:szCs w:val="20"/>
        </w:rPr>
        <w:t xml:space="preserve"> </w:t>
      </w:r>
      <w:r w:rsidRPr="00BA2AE4">
        <w:rPr>
          <w:szCs w:val="20"/>
        </w:rPr>
        <w:t>trust</w:t>
      </w:r>
      <w:r w:rsidR="00C64050">
        <w:rPr>
          <w:szCs w:val="20"/>
        </w:rPr>
        <w:t xml:space="preserve"> </w:t>
      </w:r>
      <w:r w:rsidRPr="00BA2AE4">
        <w:rPr>
          <w:szCs w:val="20"/>
        </w:rPr>
        <w:t>will</w:t>
      </w:r>
      <w:r w:rsidR="00C64050">
        <w:rPr>
          <w:szCs w:val="20"/>
        </w:rPr>
        <w:t xml:space="preserve"> </w:t>
      </w:r>
      <w:r w:rsidRPr="00BA2AE4">
        <w:rPr>
          <w:szCs w:val="20"/>
        </w:rPr>
        <w:t>be</w:t>
      </w:r>
      <w:r w:rsidR="00C64050">
        <w:rPr>
          <w:szCs w:val="20"/>
        </w:rPr>
        <w:t xml:space="preserve"> </w:t>
      </w:r>
      <w:r w:rsidRPr="00BA2AE4">
        <w:rPr>
          <w:szCs w:val="20"/>
        </w:rPr>
        <w:t>considered</w:t>
      </w:r>
      <w:r w:rsidR="00C64050">
        <w:rPr>
          <w:szCs w:val="20"/>
        </w:rPr>
        <w:t xml:space="preserve"> </w:t>
      </w:r>
      <w:r w:rsidRPr="00BA2AE4">
        <w:rPr>
          <w:szCs w:val="20"/>
        </w:rPr>
        <w:t>testamentary</w:t>
      </w:r>
      <w:r w:rsidR="00C64050">
        <w:rPr>
          <w:szCs w:val="20"/>
        </w:rPr>
        <w:t xml:space="preserve"> </w:t>
      </w:r>
      <w:r w:rsidRPr="00BA2AE4">
        <w:rPr>
          <w:szCs w:val="20"/>
        </w:rPr>
        <w:t>in</w:t>
      </w:r>
      <w:r w:rsidR="00C64050">
        <w:rPr>
          <w:szCs w:val="20"/>
        </w:rPr>
        <w:t xml:space="preserve"> </w:t>
      </w:r>
      <w:r w:rsidRPr="00BA2AE4">
        <w:rPr>
          <w:szCs w:val="20"/>
        </w:rPr>
        <w:t>nature</w:t>
      </w:r>
      <w:r w:rsidR="00C64050">
        <w:rPr>
          <w:szCs w:val="20"/>
        </w:rPr>
        <w:t xml:space="preserve"> </w:t>
      </w:r>
      <w:r w:rsidRPr="00BA2AE4">
        <w:rPr>
          <w:szCs w:val="20"/>
        </w:rPr>
        <w:t>and</w:t>
      </w:r>
      <w:r w:rsidR="00C64050">
        <w:rPr>
          <w:szCs w:val="20"/>
        </w:rPr>
        <w:t xml:space="preserve"> </w:t>
      </w:r>
      <w:r w:rsidRPr="00BA2AE4">
        <w:rPr>
          <w:szCs w:val="20"/>
        </w:rPr>
        <w:t>will</w:t>
      </w:r>
      <w:r w:rsidR="00C64050">
        <w:rPr>
          <w:szCs w:val="20"/>
        </w:rPr>
        <w:t xml:space="preserve"> </w:t>
      </w:r>
      <w:r w:rsidRPr="00BA2AE4">
        <w:rPr>
          <w:szCs w:val="20"/>
        </w:rPr>
        <w:t>not</w:t>
      </w:r>
      <w:r w:rsidR="00C64050">
        <w:rPr>
          <w:szCs w:val="20"/>
        </w:rPr>
        <w:t xml:space="preserve"> </w:t>
      </w:r>
      <w:r w:rsidRPr="00BA2AE4">
        <w:rPr>
          <w:szCs w:val="20"/>
        </w:rPr>
        <w:t>defeat</w:t>
      </w:r>
      <w:r w:rsidR="00C64050">
        <w:rPr>
          <w:szCs w:val="20"/>
        </w:rPr>
        <w:t xml:space="preserve"> </w:t>
      </w:r>
      <w:r w:rsidRPr="00BA2AE4">
        <w:rPr>
          <w:szCs w:val="20"/>
        </w:rPr>
        <w:t>the</w:t>
      </w:r>
      <w:r w:rsidR="00C64050">
        <w:rPr>
          <w:szCs w:val="20"/>
        </w:rPr>
        <w:t xml:space="preserve"> </w:t>
      </w:r>
      <w:r w:rsidRPr="00BA2AE4">
        <w:rPr>
          <w:szCs w:val="20"/>
        </w:rPr>
        <w:t>spouse's</w:t>
      </w:r>
      <w:r w:rsidR="00C64050">
        <w:rPr>
          <w:szCs w:val="20"/>
        </w:rPr>
        <w:t xml:space="preserve"> </w:t>
      </w:r>
      <w:r w:rsidRPr="00BA2AE4">
        <w:rPr>
          <w:szCs w:val="20"/>
        </w:rPr>
        <w:t>share.”</w:t>
      </w:r>
      <w:r w:rsidR="00C64050">
        <w:rPr>
          <w:szCs w:val="20"/>
        </w:rPr>
        <w:t xml:space="preserve"> </w:t>
      </w:r>
      <w:r w:rsidRPr="00BA2AE4">
        <w:rPr>
          <w:rStyle w:val="Emphasis"/>
          <w:szCs w:val="20"/>
        </w:rPr>
        <w:t>Id.</w:t>
      </w:r>
      <w:r w:rsidR="00C64050">
        <w:rPr>
          <w:szCs w:val="20"/>
        </w:rPr>
        <w:t xml:space="preserve"> </w:t>
      </w:r>
      <w:r w:rsidRPr="00BA2AE4">
        <w:rPr>
          <w:szCs w:val="20"/>
        </w:rPr>
        <w:t>at</w:t>
      </w:r>
      <w:r w:rsidR="00C64050">
        <w:rPr>
          <w:szCs w:val="20"/>
        </w:rPr>
        <w:t xml:space="preserve"> </w:t>
      </w:r>
      <w:r w:rsidRPr="00BA2AE4">
        <w:rPr>
          <w:szCs w:val="20"/>
        </w:rPr>
        <w:t>1123.</w:t>
      </w:r>
      <w:r w:rsidR="00C64050">
        <w:rPr>
          <w:szCs w:val="20"/>
        </w:rPr>
        <w:t xml:space="preserve"> </w:t>
      </w:r>
      <w:r w:rsidRPr="00BA2AE4">
        <w:rPr>
          <w:szCs w:val="20"/>
        </w:rPr>
        <w:t>Finding</w:t>
      </w:r>
      <w:r w:rsidR="00C64050">
        <w:rPr>
          <w:szCs w:val="20"/>
        </w:rPr>
        <w:t xml:space="preserve"> </w:t>
      </w:r>
      <w:r w:rsidRPr="00BA2AE4">
        <w:rPr>
          <w:szCs w:val="20"/>
        </w:rPr>
        <w:t>that</w:t>
      </w:r>
      <w:r w:rsidR="00C64050">
        <w:rPr>
          <w:szCs w:val="20"/>
        </w:rPr>
        <w:t xml:space="preserve"> </w:t>
      </w:r>
      <w:r w:rsidRPr="00BA2AE4">
        <w:rPr>
          <w:szCs w:val="20"/>
        </w:rPr>
        <w:t>the</w:t>
      </w:r>
      <w:r w:rsidR="00C64050">
        <w:rPr>
          <w:szCs w:val="20"/>
        </w:rPr>
        <w:t xml:space="preserve"> </w:t>
      </w:r>
      <w:r w:rsidRPr="00BA2AE4">
        <w:rPr>
          <w:szCs w:val="20"/>
        </w:rPr>
        <w:t>facts</w:t>
      </w:r>
      <w:r w:rsidR="00C64050">
        <w:rPr>
          <w:szCs w:val="20"/>
        </w:rPr>
        <w:t xml:space="preserve"> </w:t>
      </w:r>
      <w:r w:rsidRPr="00BA2AE4">
        <w:rPr>
          <w:szCs w:val="20"/>
        </w:rPr>
        <w:t>did</w:t>
      </w:r>
      <w:r w:rsidR="00C64050">
        <w:rPr>
          <w:szCs w:val="20"/>
        </w:rPr>
        <w:t xml:space="preserve"> </w:t>
      </w:r>
      <w:r w:rsidRPr="00BA2AE4">
        <w:rPr>
          <w:szCs w:val="20"/>
        </w:rPr>
        <w:t>not</w:t>
      </w:r>
      <w:r w:rsidR="00C64050">
        <w:rPr>
          <w:szCs w:val="20"/>
        </w:rPr>
        <w:t xml:space="preserve"> </w:t>
      </w:r>
      <w:r w:rsidRPr="00BA2AE4">
        <w:rPr>
          <w:szCs w:val="20"/>
        </w:rPr>
        <w:t>negate</w:t>
      </w:r>
      <w:r w:rsidR="00C64050">
        <w:rPr>
          <w:szCs w:val="20"/>
        </w:rPr>
        <w:t xml:space="preserve"> </w:t>
      </w:r>
      <w:r w:rsidRPr="00BA2AE4">
        <w:rPr>
          <w:szCs w:val="20"/>
        </w:rPr>
        <w:t>the</w:t>
      </w:r>
      <w:r w:rsidR="00C64050">
        <w:rPr>
          <w:szCs w:val="20"/>
        </w:rPr>
        <w:t xml:space="preserve"> </w:t>
      </w:r>
      <w:r w:rsidRPr="00BA2AE4">
        <w:rPr>
          <w:szCs w:val="20"/>
        </w:rPr>
        <w:t>possibility</w:t>
      </w:r>
      <w:r w:rsidR="00C64050">
        <w:rPr>
          <w:szCs w:val="20"/>
        </w:rPr>
        <w:t xml:space="preserve"> </w:t>
      </w:r>
      <w:r w:rsidRPr="00BA2AE4">
        <w:rPr>
          <w:szCs w:val="20"/>
        </w:rPr>
        <w:t>that</w:t>
      </w:r>
      <w:r w:rsidR="00C64050">
        <w:rPr>
          <w:szCs w:val="20"/>
        </w:rPr>
        <w:t xml:space="preserve"> </w:t>
      </w:r>
      <w:r w:rsidRPr="00BA2AE4">
        <w:rPr>
          <w:szCs w:val="20"/>
        </w:rPr>
        <w:t>husband's</w:t>
      </w:r>
      <w:r w:rsidR="00C64050">
        <w:rPr>
          <w:szCs w:val="20"/>
        </w:rPr>
        <w:t xml:space="preserve"> </w:t>
      </w:r>
      <w:r w:rsidRPr="00BA2AE4">
        <w:rPr>
          <w:szCs w:val="20"/>
        </w:rPr>
        <w:t>intent</w:t>
      </w:r>
      <w:r w:rsidR="00C64050">
        <w:rPr>
          <w:szCs w:val="20"/>
        </w:rPr>
        <w:t xml:space="preserve"> </w:t>
      </w:r>
      <w:r w:rsidRPr="00BA2AE4">
        <w:rPr>
          <w:szCs w:val="20"/>
        </w:rPr>
        <w:t>was</w:t>
      </w:r>
      <w:r w:rsidR="00C64050">
        <w:rPr>
          <w:szCs w:val="20"/>
        </w:rPr>
        <w:t xml:space="preserve"> </w:t>
      </w:r>
      <w:r w:rsidRPr="00BA2AE4">
        <w:rPr>
          <w:szCs w:val="20"/>
        </w:rPr>
        <w:t>to</w:t>
      </w:r>
      <w:r w:rsidR="00C64050">
        <w:rPr>
          <w:szCs w:val="20"/>
        </w:rPr>
        <w:t xml:space="preserve"> </w:t>
      </w:r>
      <w:r w:rsidRPr="00BA2AE4">
        <w:rPr>
          <w:szCs w:val="20"/>
        </w:rPr>
        <w:t>defeat</w:t>
      </w:r>
      <w:r w:rsidR="00C64050">
        <w:rPr>
          <w:szCs w:val="20"/>
        </w:rPr>
        <w:t xml:space="preserve"> </w:t>
      </w:r>
      <w:r w:rsidRPr="00BA2AE4">
        <w:rPr>
          <w:szCs w:val="20"/>
        </w:rPr>
        <w:t>the</w:t>
      </w:r>
      <w:r w:rsidR="00C64050">
        <w:rPr>
          <w:szCs w:val="20"/>
        </w:rPr>
        <w:t xml:space="preserve"> </w:t>
      </w:r>
      <w:r w:rsidRPr="00BA2AE4">
        <w:rPr>
          <w:szCs w:val="20"/>
        </w:rPr>
        <w:t>surviving</w:t>
      </w:r>
      <w:r w:rsidR="00C64050">
        <w:rPr>
          <w:szCs w:val="20"/>
        </w:rPr>
        <w:t xml:space="preserve"> </w:t>
      </w:r>
      <w:r w:rsidRPr="00BA2AE4">
        <w:rPr>
          <w:szCs w:val="20"/>
        </w:rPr>
        <w:t>spouse's</w:t>
      </w:r>
      <w:r w:rsidR="00C64050">
        <w:rPr>
          <w:szCs w:val="20"/>
        </w:rPr>
        <w:t xml:space="preserve"> </w:t>
      </w:r>
      <w:r w:rsidRPr="00BA2AE4">
        <w:rPr>
          <w:szCs w:val="20"/>
        </w:rPr>
        <w:t>elective</w:t>
      </w:r>
      <w:r w:rsidR="00C64050">
        <w:rPr>
          <w:szCs w:val="20"/>
        </w:rPr>
        <w:t xml:space="preserve"> </w:t>
      </w:r>
      <w:r w:rsidRPr="00BA2AE4">
        <w:rPr>
          <w:szCs w:val="20"/>
        </w:rPr>
        <w:t>share,</w:t>
      </w:r>
      <w:r w:rsidR="00C64050">
        <w:rPr>
          <w:szCs w:val="20"/>
        </w:rPr>
        <w:t xml:space="preserve"> </w:t>
      </w:r>
      <w:r w:rsidRPr="00BA2AE4">
        <w:rPr>
          <w:szCs w:val="20"/>
        </w:rPr>
        <w:t>we</w:t>
      </w:r>
      <w:r w:rsidR="00C64050">
        <w:rPr>
          <w:szCs w:val="20"/>
        </w:rPr>
        <w:t xml:space="preserve"> </w:t>
      </w:r>
      <w:r w:rsidRPr="00BA2AE4">
        <w:rPr>
          <w:szCs w:val="20"/>
        </w:rPr>
        <w:t>reversed</w:t>
      </w:r>
      <w:r w:rsidR="00C64050">
        <w:rPr>
          <w:szCs w:val="20"/>
        </w:rPr>
        <w:t xml:space="preserve"> </w:t>
      </w:r>
      <w:r w:rsidRPr="00BA2AE4">
        <w:rPr>
          <w:szCs w:val="20"/>
        </w:rPr>
        <w:t>the</w:t>
      </w:r>
      <w:r w:rsidR="00C64050">
        <w:rPr>
          <w:szCs w:val="20"/>
        </w:rPr>
        <w:t xml:space="preserve"> </w:t>
      </w:r>
      <w:r w:rsidRPr="00BA2AE4">
        <w:rPr>
          <w:szCs w:val="20"/>
        </w:rPr>
        <w:t>trial</w:t>
      </w:r>
      <w:r w:rsidR="00C64050">
        <w:rPr>
          <w:szCs w:val="20"/>
        </w:rPr>
        <w:t xml:space="preserve"> </w:t>
      </w:r>
      <w:r w:rsidRPr="00BA2AE4">
        <w:rPr>
          <w:szCs w:val="20"/>
        </w:rPr>
        <w:t>court's</w:t>
      </w:r>
      <w:r w:rsidR="00C64050">
        <w:rPr>
          <w:szCs w:val="20"/>
        </w:rPr>
        <w:t xml:space="preserve"> </w:t>
      </w:r>
      <w:r w:rsidRPr="00BA2AE4">
        <w:rPr>
          <w:szCs w:val="20"/>
        </w:rPr>
        <w:t>summary</w:t>
      </w:r>
      <w:r w:rsidR="00C64050">
        <w:rPr>
          <w:szCs w:val="20"/>
        </w:rPr>
        <w:t xml:space="preserve"> </w:t>
      </w:r>
      <w:r w:rsidRPr="00BA2AE4">
        <w:rPr>
          <w:szCs w:val="20"/>
        </w:rPr>
        <w:t>judgment</w:t>
      </w:r>
      <w:r w:rsidR="00C64050">
        <w:rPr>
          <w:szCs w:val="20"/>
        </w:rPr>
        <w:t xml:space="preserve"> </w:t>
      </w:r>
      <w:r w:rsidRPr="00BA2AE4">
        <w:rPr>
          <w:szCs w:val="20"/>
        </w:rPr>
        <w:t>in</w:t>
      </w:r>
      <w:r w:rsidR="00C64050">
        <w:rPr>
          <w:szCs w:val="20"/>
        </w:rPr>
        <w:t xml:space="preserve"> </w:t>
      </w:r>
      <w:r w:rsidRPr="00BA2AE4">
        <w:rPr>
          <w:szCs w:val="20"/>
        </w:rPr>
        <w:t>favor</w:t>
      </w:r>
      <w:r w:rsidR="00C64050">
        <w:rPr>
          <w:szCs w:val="20"/>
        </w:rPr>
        <w:t xml:space="preserve"> </w:t>
      </w:r>
      <w:r w:rsidRPr="00BA2AE4">
        <w:rPr>
          <w:szCs w:val="20"/>
        </w:rPr>
        <w:t>of</w:t>
      </w:r>
      <w:r w:rsidR="00C64050">
        <w:rPr>
          <w:szCs w:val="20"/>
        </w:rPr>
        <w:t xml:space="preserve"> </w:t>
      </w:r>
      <w:r w:rsidRPr="00BA2AE4">
        <w:rPr>
          <w:szCs w:val="20"/>
        </w:rPr>
        <w:t>husband</w:t>
      </w:r>
      <w:r w:rsidR="00C64050">
        <w:rPr>
          <w:szCs w:val="20"/>
        </w:rPr>
        <w:t xml:space="preserve"> </w:t>
      </w:r>
      <w:r w:rsidRPr="00BA2AE4">
        <w:rPr>
          <w:szCs w:val="20"/>
        </w:rPr>
        <w:t>and</w:t>
      </w:r>
      <w:r w:rsidR="00C64050">
        <w:rPr>
          <w:szCs w:val="20"/>
        </w:rPr>
        <w:t xml:space="preserve"> </w:t>
      </w:r>
      <w:r w:rsidRPr="00BA2AE4">
        <w:rPr>
          <w:szCs w:val="20"/>
        </w:rPr>
        <w:t>remanded</w:t>
      </w:r>
      <w:r w:rsidR="00C64050">
        <w:rPr>
          <w:szCs w:val="20"/>
        </w:rPr>
        <w:t xml:space="preserve"> </w:t>
      </w:r>
      <w:r w:rsidRPr="00BA2AE4">
        <w:rPr>
          <w:szCs w:val="20"/>
        </w:rPr>
        <w:t>for</w:t>
      </w:r>
      <w:r w:rsidR="00C64050">
        <w:rPr>
          <w:szCs w:val="20"/>
        </w:rPr>
        <w:t xml:space="preserve"> </w:t>
      </w:r>
      <w:r w:rsidRPr="00BA2AE4">
        <w:rPr>
          <w:szCs w:val="20"/>
        </w:rPr>
        <w:t>trial.</w:t>
      </w:r>
      <w:r w:rsidR="00C64050">
        <w:rPr>
          <w:szCs w:val="20"/>
        </w:rPr>
        <w:t xml:space="preserve"> </w:t>
      </w:r>
      <w:r w:rsidRPr="00BA2AE4">
        <w:rPr>
          <w:rStyle w:val="Emphasis"/>
          <w:szCs w:val="20"/>
        </w:rPr>
        <w:t>Id.</w:t>
      </w:r>
      <w:r w:rsidR="00C64050">
        <w:rPr>
          <w:szCs w:val="20"/>
        </w:rPr>
        <w:t xml:space="preserve"> </w:t>
      </w:r>
      <w:r w:rsidRPr="00BA2AE4">
        <w:rPr>
          <w:szCs w:val="20"/>
        </w:rPr>
        <w:t>at</w:t>
      </w:r>
      <w:r w:rsidR="00C64050">
        <w:rPr>
          <w:szCs w:val="20"/>
        </w:rPr>
        <w:t xml:space="preserve"> </w:t>
      </w:r>
      <w:r w:rsidRPr="00BA2AE4">
        <w:rPr>
          <w:szCs w:val="20"/>
        </w:rPr>
        <w:t>1125.</w:t>
      </w:r>
    </w:p>
    <w:p w:rsidR="00F32B17" w:rsidRDefault="00F32B17" w:rsidP="005420BF">
      <w:pPr>
        <w:pStyle w:val="Body15"/>
      </w:pPr>
      <w:r>
        <w:t>The</w:t>
      </w:r>
      <w:r w:rsidR="00C64050">
        <w:t xml:space="preserve"> </w:t>
      </w:r>
      <w:r>
        <w:t>court</w:t>
      </w:r>
      <w:r w:rsidR="00C64050">
        <w:t xml:space="preserve"> </w:t>
      </w:r>
      <w:r>
        <w:t>affirmed</w:t>
      </w:r>
      <w:r w:rsidR="00C64050">
        <w:t xml:space="preserve"> </w:t>
      </w:r>
      <w:r>
        <w:t>stating:</w:t>
      </w:r>
    </w:p>
    <w:p w:rsidR="00F32B17" w:rsidRPr="00410F1D" w:rsidRDefault="00410F1D" w:rsidP="00410F1D">
      <w:pPr>
        <w:pStyle w:val="QS10"/>
        <w:rPr>
          <w:szCs w:val="20"/>
        </w:rPr>
      </w:pPr>
      <w:r w:rsidRPr="00410F1D">
        <w:rPr>
          <w:szCs w:val="20"/>
        </w:rPr>
        <w:t>Accordingly,</w:t>
      </w:r>
      <w:r w:rsidR="00C64050">
        <w:rPr>
          <w:szCs w:val="20"/>
        </w:rPr>
        <w:t xml:space="preserve"> </w:t>
      </w:r>
      <w:r w:rsidRPr="00410F1D">
        <w:rPr>
          <w:szCs w:val="20"/>
        </w:rPr>
        <w:t>unlike</w:t>
      </w:r>
      <w:r w:rsidR="00C64050">
        <w:rPr>
          <w:szCs w:val="20"/>
        </w:rPr>
        <w:t xml:space="preserve"> </w:t>
      </w:r>
      <w:r w:rsidRPr="00410F1D">
        <w:rPr>
          <w:rStyle w:val="Emphasis"/>
          <w:szCs w:val="20"/>
        </w:rPr>
        <w:t>Weitzman</w:t>
      </w:r>
      <w:r w:rsidRPr="00410F1D">
        <w:rPr>
          <w:szCs w:val="20"/>
        </w:rPr>
        <w:t>,</w:t>
      </w:r>
      <w:r w:rsidR="00C64050">
        <w:rPr>
          <w:szCs w:val="20"/>
        </w:rPr>
        <w:t xml:space="preserve"> </w:t>
      </w:r>
      <w:r w:rsidRPr="00410F1D">
        <w:rPr>
          <w:szCs w:val="20"/>
        </w:rPr>
        <w:t>where</w:t>
      </w:r>
      <w:r w:rsidR="00C64050">
        <w:rPr>
          <w:szCs w:val="20"/>
        </w:rPr>
        <w:t xml:space="preserve"> </w:t>
      </w:r>
      <w:r w:rsidRPr="00410F1D">
        <w:rPr>
          <w:szCs w:val="20"/>
        </w:rPr>
        <w:t>the</w:t>
      </w:r>
      <w:r w:rsidR="00C64050">
        <w:rPr>
          <w:szCs w:val="20"/>
        </w:rPr>
        <w:t xml:space="preserve"> </w:t>
      </w:r>
      <w:r w:rsidRPr="00410F1D">
        <w:rPr>
          <w:szCs w:val="20"/>
        </w:rPr>
        <w:t>wife</w:t>
      </w:r>
      <w:r w:rsidR="00C64050">
        <w:rPr>
          <w:szCs w:val="20"/>
        </w:rPr>
        <w:t xml:space="preserve"> </w:t>
      </w:r>
      <w:r w:rsidRPr="00410F1D">
        <w:rPr>
          <w:szCs w:val="20"/>
        </w:rPr>
        <w:t>knew</w:t>
      </w:r>
      <w:r w:rsidR="00C64050">
        <w:rPr>
          <w:szCs w:val="20"/>
        </w:rPr>
        <w:t xml:space="preserve"> </w:t>
      </w:r>
      <w:r w:rsidRPr="00410F1D">
        <w:rPr>
          <w:szCs w:val="20"/>
        </w:rPr>
        <w:t>that</w:t>
      </w:r>
      <w:r w:rsidR="00C64050">
        <w:rPr>
          <w:szCs w:val="20"/>
        </w:rPr>
        <w:t xml:space="preserve"> </w:t>
      </w:r>
      <w:r w:rsidRPr="00410F1D">
        <w:rPr>
          <w:szCs w:val="20"/>
        </w:rPr>
        <w:t>husband</w:t>
      </w:r>
      <w:r w:rsidR="00C64050">
        <w:rPr>
          <w:szCs w:val="20"/>
        </w:rPr>
        <w:t xml:space="preserve"> </w:t>
      </w:r>
      <w:r w:rsidRPr="00410F1D">
        <w:rPr>
          <w:szCs w:val="20"/>
        </w:rPr>
        <w:t>had</w:t>
      </w:r>
      <w:r w:rsidR="00C64050">
        <w:rPr>
          <w:szCs w:val="20"/>
        </w:rPr>
        <w:t xml:space="preserve"> </w:t>
      </w:r>
      <w:r w:rsidRPr="00410F1D">
        <w:rPr>
          <w:szCs w:val="20"/>
        </w:rPr>
        <w:t>a</w:t>
      </w:r>
      <w:r w:rsidR="00C64050">
        <w:rPr>
          <w:szCs w:val="20"/>
        </w:rPr>
        <w:t xml:space="preserve"> </w:t>
      </w:r>
      <w:r w:rsidRPr="00410F1D">
        <w:rPr>
          <w:szCs w:val="20"/>
        </w:rPr>
        <w:t>trust</w:t>
      </w:r>
      <w:r w:rsidR="00C64050">
        <w:rPr>
          <w:szCs w:val="20"/>
        </w:rPr>
        <w:t xml:space="preserve"> </w:t>
      </w:r>
      <w:r w:rsidRPr="00410F1D">
        <w:rPr>
          <w:szCs w:val="20"/>
        </w:rPr>
        <w:t>but</w:t>
      </w:r>
      <w:r w:rsidR="00C64050">
        <w:rPr>
          <w:szCs w:val="20"/>
        </w:rPr>
        <w:t xml:space="preserve"> </w:t>
      </w:r>
      <w:r w:rsidRPr="00410F1D">
        <w:rPr>
          <w:szCs w:val="20"/>
        </w:rPr>
        <w:t>was</w:t>
      </w:r>
      <w:r w:rsidR="00C64050">
        <w:rPr>
          <w:szCs w:val="20"/>
        </w:rPr>
        <w:t xml:space="preserve"> </w:t>
      </w:r>
      <w:r w:rsidRPr="00410F1D">
        <w:rPr>
          <w:szCs w:val="20"/>
        </w:rPr>
        <w:t>unfamiliar</w:t>
      </w:r>
      <w:r w:rsidR="00C64050">
        <w:rPr>
          <w:szCs w:val="20"/>
        </w:rPr>
        <w:t xml:space="preserve"> </w:t>
      </w:r>
      <w:r w:rsidRPr="00410F1D">
        <w:rPr>
          <w:szCs w:val="20"/>
        </w:rPr>
        <w:t>with</w:t>
      </w:r>
      <w:r w:rsidR="00C64050">
        <w:rPr>
          <w:szCs w:val="20"/>
        </w:rPr>
        <w:t xml:space="preserve"> </w:t>
      </w:r>
      <w:r w:rsidRPr="00410F1D">
        <w:rPr>
          <w:szCs w:val="20"/>
        </w:rPr>
        <w:t>its</w:t>
      </w:r>
      <w:r w:rsidR="00C64050">
        <w:rPr>
          <w:szCs w:val="20"/>
        </w:rPr>
        <w:t xml:space="preserve"> </w:t>
      </w:r>
      <w:r w:rsidRPr="00410F1D">
        <w:rPr>
          <w:szCs w:val="20"/>
        </w:rPr>
        <w:t>provisions,</w:t>
      </w:r>
      <w:r w:rsidR="00C64050">
        <w:rPr>
          <w:szCs w:val="20"/>
        </w:rPr>
        <w:t xml:space="preserve"> </w:t>
      </w:r>
      <w:r w:rsidRPr="00410F1D">
        <w:rPr>
          <w:szCs w:val="20"/>
        </w:rPr>
        <w:t>here,</w:t>
      </w:r>
      <w:r w:rsidR="00C64050">
        <w:rPr>
          <w:szCs w:val="20"/>
        </w:rPr>
        <w:t xml:space="preserve"> </w:t>
      </w:r>
      <w:r w:rsidRPr="00410F1D">
        <w:rPr>
          <w:szCs w:val="20"/>
        </w:rPr>
        <w:t>there</w:t>
      </w:r>
      <w:r w:rsidR="00C64050">
        <w:rPr>
          <w:szCs w:val="20"/>
        </w:rPr>
        <w:t xml:space="preserve"> </w:t>
      </w:r>
      <w:r w:rsidRPr="00410F1D">
        <w:rPr>
          <w:szCs w:val="20"/>
        </w:rPr>
        <w:t>is</w:t>
      </w:r>
      <w:r w:rsidR="00C64050">
        <w:rPr>
          <w:szCs w:val="20"/>
        </w:rPr>
        <w:t xml:space="preserve"> </w:t>
      </w:r>
      <w:r w:rsidRPr="00410F1D">
        <w:rPr>
          <w:szCs w:val="20"/>
        </w:rPr>
        <w:t>overwhelming</w:t>
      </w:r>
      <w:r w:rsidR="00C64050">
        <w:rPr>
          <w:szCs w:val="20"/>
        </w:rPr>
        <w:t xml:space="preserve"> </w:t>
      </w:r>
      <w:r w:rsidRPr="00410F1D">
        <w:rPr>
          <w:szCs w:val="20"/>
        </w:rPr>
        <w:t>evidence</w:t>
      </w:r>
      <w:r w:rsidR="00C64050">
        <w:rPr>
          <w:szCs w:val="20"/>
        </w:rPr>
        <w:t xml:space="preserve"> </w:t>
      </w:r>
      <w:r w:rsidRPr="00410F1D">
        <w:rPr>
          <w:szCs w:val="20"/>
        </w:rPr>
        <w:t>from</w:t>
      </w:r>
      <w:r w:rsidR="00C64050">
        <w:rPr>
          <w:szCs w:val="20"/>
        </w:rPr>
        <w:t xml:space="preserve"> </w:t>
      </w:r>
      <w:r w:rsidRPr="00410F1D">
        <w:rPr>
          <w:szCs w:val="20"/>
        </w:rPr>
        <w:t>which</w:t>
      </w:r>
      <w:r w:rsidR="00C64050">
        <w:rPr>
          <w:szCs w:val="20"/>
        </w:rPr>
        <w:t xml:space="preserve"> </w:t>
      </w:r>
      <w:r w:rsidRPr="00410F1D">
        <w:rPr>
          <w:szCs w:val="20"/>
        </w:rPr>
        <w:t>the</w:t>
      </w:r>
      <w:r w:rsidR="00C64050">
        <w:rPr>
          <w:szCs w:val="20"/>
        </w:rPr>
        <w:t xml:space="preserve"> </w:t>
      </w:r>
      <w:r w:rsidRPr="00410F1D">
        <w:rPr>
          <w:szCs w:val="20"/>
        </w:rPr>
        <w:t>trial</w:t>
      </w:r>
      <w:r w:rsidR="00C64050">
        <w:rPr>
          <w:szCs w:val="20"/>
        </w:rPr>
        <w:t xml:space="preserve"> </w:t>
      </w:r>
      <w:r w:rsidRPr="00410F1D">
        <w:rPr>
          <w:szCs w:val="20"/>
        </w:rPr>
        <w:t>court</w:t>
      </w:r>
      <w:r w:rsidR="00C64050">
        <w:rPr>
          <w:szCs w:val="20"/>
        </w:rPr>
        <w:t xml:space="preserve"> </w:t>
      </w:r>
      <w:r w:rsidRPr="00410F1D">
        <w:rPr>
          <w:szCs w:val="20"/>
        </w:rPr>
        <w:t>could</w:t>
      </w:r>
      <w:r w:rsidR="00C64050">
        <w:rPr>
          <w:szCs w:val="20"/>
        </w:rPr>
        <w:t xml:space="preserve"> </w:t>
      </w:r>
      <w:r w:rsidRPr="00410F1D">
        <w:rPr>
          <w:szCs w:val="20"/>
        </w:rPr>
        <w:t>have</w:t>
      </w:r>
      <w:r w:rsidR="00C64050">
        <w:rPr>
          <w:szCs w:val="20"/>
        </w:rPr>
        <w:t xml:space="preserve"> </w:t>
      </w:r>
      <w:r w:rsidRPr="00410F1D">
        <w:rPr>
          <w:szCs w:val="20"/>
        </w:rPr>
        <w:t>reasonably</w:t>
      </w:r>
      <w:r w:rsidR="00C64050">
        <w:rPr>
          <w:szCs w:val="20"/>
        </w:rPr>
        <w:t xml:space="preserve"> </w:t>
      </w:r>
      <w:r w:rsidRPr="00410F1D">
        <w:rPr>
          <w:szCs w:val="20"/>
        </w:rPr>
        <w:t>inferred</w:t>
      </w:r>
      <w:r w:rsidR="00C64050">
        <w:rPr>
          <w:szCs w:val="20"/>
        </w:rPr>
        <w:t xml:space="preserve"> </w:t>
      </w:r>
      <w:r w:rsidRPr="00410F1D">
        <w:rPr>
          <w:szCs w:val="20"/>
        </w:rPr>
        <w:t>that</w:t>
      </w:r>
      <w:r w:rsidR="00C64050">
        <w:rPr>
          <w:szCs w:val="20"/>
        </w:rPr>
        <w:t xml:space="preserve"> </w:t>
      </w:r>
      <w:r w:rsidRPr="00410F1D">
        <w:rPr>
          <w:szCs w:val="20"/>
        </w:rPr>
        <w:t>Anil</w:t>
      </w:r>
      <w:r w:rsidR="00C64050">
        <w:rPr>
          <w:szCs w:val="20"/>
        </w:rPr>
        <w:t xml:space="preserve"> </w:t>
      </w:r>
      <w:r w:rsidRPr="00410F1D">
        <w:rPr>
          <w:szCs w:val="20"/>
        </w:rPr>
        <w:t>and</w:t>
      </w:r>
      <w:r w:rsidR="00C64050">
        <w:rPr>
          <w:szCs w:val="20"/>
        </w:rPr>
        <w:t xml:space="preserve"> </w:t>
      </w:r>
      <w:r w:rsidRPr="00410F1D">
        <w:rPr>
          <w:szCs w:val="20"/>
        </w:rPr>
        <w:t>Dipa</w:t>
      </w:r>
      <w:r w:rsidR="00C64050">
        <w:rPr>
          <w:szCs w:val="20"/>
        </w:rPr>
        <w:t xml:space="preserve"> </w:t>
      </w:r>
      <w:r w:rsidRPr="00410F1D">
        <w:rPr>
          <w:szCs w:val="20"/>
        </w:rPr>
        <w:t>were</w:t>
      </w:r>
      <w:r w:rsidR="00C64050">
        <w:rPr>
          <w:szCs w:val="20"/>
        </w:rPr>
        <w:t xml:space="preserve"> </w:t>
      </w:r>
      <w:r w:rsidRPr="00410F1D">
        <w:rPr>
          <w:szCs w:val="20"/>
        </w:rPr>
        <w:t>aware</w:t>
      </w:r>
      <w:r w:rsidR="00C64050">
        <w:rPr>
          <w:szCs w:val="20"/>
        </w:rPr>
        <w:t xml:space="preserve"> </w:t>
      </w:r>
      <w:r w:rsidRPr="00410F1D">
        <w:rPr>
          <w:szCs w:val="20"/>
        </w:rPr>
        <w:t>of</w:t>
      </w:r>
      <w:r w:rsidR="00C64050">
        <w:rPr>
          <w:szCs w:val="20"/>
        </w:rPr>
        <w:t xml:space="preserve"> </w:t>
      </w:r>
      <w:r w:rsidRPr="00410F1D">
        <w:rPr>
          <w:szCs w:val="20"/>
        </w:rPr>
        <w:t>the</w:t>
      </w:r>
      <w:r w:rsidR="00C64050">
        <w:rPr>
          <w:szCs w:val="20"/>
        </w:rPr>
        <w:t xml:space="preserve"> </w:t>
      </w:r>
      <w:r w:rsidRPr="00410F1D">
        <w:rPr>
          <w:szCs w:val="20"/>
        </w:rPr>
        <w:t>other</w:t>
      </w:r>
      <w:r w:rsidR="00C64050">
        <w:rPr>
          <w:szCs w:val="20"/>
        </w:rPr>
        <w:t xml:space="preserve"> </w:t>
      </w:r>
      <w:r w:rsidRPr="00410F1D">
        <w:rPr>
          <w:szCs w:val="20"/>
        </w:rPr>
        <w:t>spouse's</w:t>
      </w:r>
      <w:r w:rsidR="00C64050">
        <w:rPr>
          <w:szCs w:val="20"/>
        </w:rPr>
        <w:t xml:space="preserve"> </w:t>
      </w:r>
      <w:r w:rsidRPr="00410F1D">
        <w:rPr>
          <w:szCs w:val="20"/>
        </w:rPr>
        <w:t>trust</w:t>
      </w:r>
      <w:r w:rsidR="00C64050">
        <w:rPr>
          <w:szCs w:val="20"/>
        </w:rPr>
        <w:t xml:space="preserve"> </w:t>
      </w:r>
      <w:r w:rsidRPr="00410F1D">
        <w:rPr>
          <w:szCs w:val="20"/>
        </w:rPr>
        <w:t>provisions</w:t>
      </w:r>
      <w:r w:rsidR="00C64050">
        <w:rPr>
          <w:szCs w:val="20"/>
        </w:rPr>
        <w:t xml:space="preserve"> </w:t>
      </w:r>
      <w:r w:rsidRPr="00410F1D">
        <w:rPr>
          <w:szCs w:val="20"/>
        </w:rPr>
        <w:t>and</w:t>
      </w:r>
      <w:r w:rsidR="00C64050">
        <w:rPr>
          <w:szCs w:val="20"/>
        </w:rPr>
        <w:t xml:space="preserve"> </w:t>
      </w:r>
      <w:r w:rsidRPr="00410F1D">
        <w:rPr>
          <w:szCs w:val="20"/>
        </w:rPr>
        <w:t>estate</w:t>
      </w:r>
      <w:r w:rsidR="00C64050">
        <w:rPr>
          <w:szCs w:val="20"/>
        </w:rPr>
        <w:t xml:space="preserve"> </w:t>
      </w:r>
      <w:r w:rsidRPr="00410F1D">
        <w:rPr>
          <w:szCs w:val="20"/>
        </w:rPr>
        <w:t>planning.</w:t>
      </w:r>
      <w:r w:rsidR="00C64050">
        <w:rPr>
          <w:szCs w:val="20"/>
        </w:rPr>
        <w:t xml:space="preserve"> </w:t>
      </w:r>
      <w:r w:rsidRPr="00410F1D">
        <w:rPr>
          <w:rStyle w:val="Emphasis"/>
          <w:szCs w:val="20"/>
        </w:rPr>
        <w:t>See</w:t>
      </w:r>
      <w:r w:rsidR="00C64050">
        <w:rPr>
          <w:szCs w:val="20"/>
        </w:rPr>
        <w:t xml:space="preserve"> </w:t>
      </w:r>
      <w:r w:rsidRPr="00410F1D">
        <w:rPr>
          <w:rStyle w:val="Emphasis"/>
          <w:szCs w:val="20"/>
        </w:rPr>
        <w:t>In</w:t>
      </w:r>
      <w:r w:rsidR="00C64050">
        <w:rPr>
          <w:rStyle w:val="Emphasis"/>
          <w:szCs w:val="20"/>
        </w:rPr>
        <w:t xml:space="preserve"> </w:t>
      </w:r>
      <w:r w:rsidRPr="00410F1D">
        <w:rPr>
          <w:rStyle w:val="Emphasis"/>
          <w:szCs w:val="20"/>
        </w:rPr>
        <w:t>re</w:t>
      </w:r>
      <w:r w:rsidR="00C64050">
        <w:rPr>
          <w:rStyle w:val="Emphasis"/>
          <w:szCs w:val="20"/>
        </w:rPr>
        <w:t xml:space="preserve"> </w:t>
      </w:r>
      <w:r w:rsidRPr="00410F1D">
        <w:rPr>
          <w:rStyle w:val="Emphasis"/>
          <w:szCs w:val="20"/>
        </w:rPr>
        <w:t>Weitzman</w:t>
      </w:r>
      <w:r w:rsidRPr="00410F1D">
        <w:rPr>
          <w:szCs w:val="20"/>
        </w:rPr>
        <w:t>,</w:t>
      </w:r>
      <w:r w:rsidR="00C64050">
        <w:rPr>
          <w:szCs w:val="20"/>
        </w:rPr>
        <w:t xml:space="preserve"> </w:t>
      </w:r>
      <w:r w:rsidRPr="00410F1D">
        <w:rPr>
          <w:szCs w:val="20"/>
        </w:rPr>
        <w:t>724</w:t>
      </w:r>
      <w:r w:rsidR="00C64050">
        <w:rPr>
          <w:szCs w:val="20"/>
        </w:rPr>
        <w:t xml:space="preserve"> </w:t>
      </w:r>
      <w:r w:rsidRPr="00410F1D">
        <w:rPr>
          <w:szCs w:val="20"/>
        </w:rPr>
        <w:t>N.E.2d</w:t>
      </w:r>
      <w:r w:rsidR="00C64050">
        <w:rPr>
          <w:szCs w:val="20"/>
        </w:rPr>
        <w:t xml:space="preserve"> </w:t>
      </w:r>
      <w:r w:rsidRPr="00410F1D">
        <w:rPr>
          <w:szCs w:val="20"/>
        </w:rPr>
        <w:t>at</w:t>
      </w:r>
      <w:r w:rsidR="00C64050">
        <w:rPr>
          <w:szCs w:val="20"/>
        </w:rPr>
        <w:t xml:space="preserve"> </w:t>
      </w:r>
      <w:r w:rsidRPr="00410F1D">
        <w:rPr>
          <w:szCs w:val="20"/>
        </w:rPr>
        <w:t>1121.</w:t>
      </w:r>
      <w:r w:rsidR="00C64050">
        <w:rPr>
          <w:szCs w:val="20"/>
        </w:rPr>
        <w:t xml:space="preserve"> </w:t>
      </w:r>
      <w:r w:rsidRPr="00410F1D">
        <w:rPr>
          <w:szCs w:val="20"/>
        </w:rPr>
        <w:t>In</w:t>
      </w:r>
      <w:r w:rsidR="00C64050">
        <w:rPr>
          <w:szCs w:val="20"/>
        </w:rPr>
        <w:t xml:space="preserve"> </w:t>
      </w:r>
      <w:r w:rsidRPr="00410F1D">
        <w:rPr>
          <w:szCs w:val="20"/>
        </w:rPr>
        <w:t>fact,</w:t>
      </w:r>
      <w:r w:rsidR="00C64050">
        <w:rPr>
          <w:szCs w:val="20"/>
        </w:rPr>
        <w:t xml:space="preserve"> </w:t>
      </w:r>
      <w:r w:rsidRPr="00410F1D">
        <w:rPr>
          <w:szCs w:val="20"/>
        </w:rPr>
        <w:t>Anil</w:t>
      </w:r>
      <w:r w:rsidR="00C64050">
        <w:rPr>
          <w:szCs w:val="20"/>
        </w:rPr>
        <w:t xml:space="preserve"> </w:t>
      </w:r>
      <w:r w:rsidRPr="00410F1D">
        <w:rPr>
          <w:szCs w:val="20"/>
        </w:rPr>
        <w:t>and</w:t>
      </w:r>
      <w:r w:rsidR="00C64050">
        <w:rPr>
          <w:szCs w:val="20"/>
        </w:rPr>
        <w:t xml:space="preserve"> </w:t>
      </w:r>
      <w:r w:rsidRPr="00410F1D">
        <w:rPr>
          <w:szCs w:val="20"/>
        </w:rPr>
        <w:t>Dipa</w:t>
      </w:r>
      <w:r w:rsidR="00C64050">
        <w:rPr>
          <w:szCs w:val="20"/>
        </w:rPr>
        <w:t xml:space="preserve"> </w:t>
      </w:r>
      <w:r w:rsidRPr="00410F1D">
        <w:rPr>
          <w:szCs w:val="20"/>
        </w:rPr>
        <w:t>commenced</w:t>
      </w:r>
      <w:r w:rsidR="00C64050">
        <w:rPr>
          <w:szCs w:val="20"/>
        </w:rPr>
        <w:t xml:space="preserve"> </w:t>
      </w:r>
      <w:r w:rsidRPr="00410F1D">
        <w:rPr>
          <w:szCs w:val="20"/>
        </w:rPr>
        <w:t>their</w:t>
      </w:r>
      <w:r w:rsidR="00C64050">
        <w:rPr>
          <w:szCs w:val="20"/>
        </w:rPr>
        <w:t xml:space="preserve"> </w:t>
      </w:r>
      <w:r w:rsidRPr="00410F1D">
        <w:rPr>
          <w:szCs w:val="20"/>
        </w:rPr>
        <w:t>trust</w:t>
      </w:r>
      <w:r w:rsidR="00C64050">
        <w:rPr>
          <w:szCs w:val="20"/>
        </w:rPr>
        <w:t xml:space="preserve"> </w:t>
      </w:r>
      <w:r w:rsidRPr="00410F1D">
        <w:rPr>
          <w:szCs w:val="20"/>
        </w:rPr>
        <w:t>creation</w:t>
      </w:r>
      <w:r w:rsidR="00C64050">
        <w:rPr>
          <w:szCs w:val="20"/>
        </w:rPr>
        <w:t xml:space="preserve"> </w:t>
      </w:r>
      <w:r w:rsidRPr="00410F1D">
        <w:rPr>
          <w:szCs w:val="20"/>
        </w:rPr>
        <w:t>with</w:t>
      </w:r>
      <w:r w:rsidR="00C64050">
        <w:rPr>
          <w:szCs w:val="20"/>
        </w:rPr>
        <w:t xml:space="preserve"> </w:t>
      </w:r>
      <w:r w:rsidRPr="00410F1D">
        <w:rPr>
          <w:szCs w:val="20"/>
        </w:rPr>
        <w:t>the</w:t>
      </w:r>
      <w:r w:rsidR="00C64050">
        <w:rPr>
          <w:szCs w:val="20"/>
        </w:rPr>
        <w:t xml:space="preserve"> </w:t>
      </w:r>
      <w:r w:rsidRPr="00410F1D">
        <w:rPr>
          <w:szCs w:val="20"/>
        </w:rPr>
        <w:t>same</w:t>
      </w:r>
      <w:r w:rsidR="00C64050">
        <w:rPr>
          <w:szCs w:val="20"/>
        </w:rPr>
        <w:t xml:space="preserve"> </w:t>
      </w:r>
      <w:r w:rsidRPr="00410F1D">
        <w:rPr>
          <w:szCs w:val="20"/>
        </w:rPr>
        <w:t>attorney</w:t>
      </w:r>
      <w:r w:rsidR="00C64050">
        <w:rPr>
          <w:szCs w:val="20"/>
        </w:rPr>
        <w:t xml:space="preserve"> </w:t>
      </w:r>
      <w:r w:rsidRPr="00410F1D">
        <w:rPr>
          <w:szCs w:val="20"/>
        </w:rPr>
        <w:t>and</w:t>
      </w:r>
      <w:r w:rsidR="00C64050">
        <w:rPr>
          <w:szCs w:val="20"/>
        </w:rPr>
        <w:t xml:space="preserve"> </w:t>
      </w:r>
      <w:r w:rsidRPr="00410F1D">
        <w:rPr>
          <w:szCs w:val="20"/>
        </w:rPr>
        <w:t>although</w:t>
      </w:r>
      <w:r w:rsidR="00C64050">
        <w:rPr>
          <w:szCs w:val="20"/>
        </w:rPr>
        <w:t xml:space="preserve"> </w:t>
      </w:r>
      <w:r w:rsidRPr="00410F1D">
        <w:rPr>
          <w:szCs w:val="20"/>
        </w:rPr>
        <w:t>they</w:t>
      </w:r>
      <w:r w:rsidR="00C64050">
        <w:rPr>
          <w:szCs w:val="20"/>
        </w:rPr>
        <w:t xml:space="preserve"> </w:t>
      </w:r>
      <w:r w:rsidRPr="00410F1D">
        <w:rPr>
          <w:szCs w:val="20"/>
        </w:rPr>
        <w:t>later</w:t>
      </w:r>
      <w:r w:rsidR="00C64050">
        <w:rPr>
          <w:szCs w:val="20"/>
        </w:rPr>
        <w:t xml:space="preserve"> </w:t>
      </w:r>
      <w:r w:rsidRPr="00410F1D">
        <w:rPr>
          <w:szCs w:val="20"/>
        </w:rPr>
        <w:t>retained</w:t>
      </w:r>
      <w:r w:rsidR="00C64050">
        <w:rPr>
          <w:szCs w:val="20"/>
        </w:rPr>
        <w:t xml:space="preserve"> </w:t>
      </w:r>
      <w:r w:rsidRPr="00410F1D">
        <w:rPr>
          <w:szCs w:val="20"/>
        </w:rPr>
        <w:t>individual</w:t>
      </w:r>
      <w:r w:rsidR="00C64050">
        <w:rPr>
          <w:szCs w:val="20"/>
        </w:rPr>
        <w:t xml:space="preserve"> </w:t>
      </w:r>
      <w:r w:rsidRPr="00410F1D">
        <w:rPr>
          <w:szCs w:val="20"/>
        </w:rPr>
        <w:t>counsel,</w:t>
      </w:r>
      <w:r w:rsidR="00C64050">
        <w:rPr>
          <w:szCs w:val="20"/>
        </w:rPr>
        <w:t xml:space="preserve"> </w:t>
      </w:r>
      <w:r w:rsidRPr="00410F1D">
        <w:rPr>
          <w:szCs w:val="20"/>
        </w:rPr>
        <w:t>they</w:t>
      </w:r>
      <w:r w:rsidR="00C64050">
        <w:rPr>
          <w:szCs w:val="20"/>
        </w:rPr>
        <w:t xml:space="preserve"> </w:t>
      </w:r>
      <w:r w:rsidRPr="00410F1D">
        <w:rPr>
          <w:szCs w:val="20"/>
        </w:rPr>
        <w:t>were</w:t>
      </w:r>
      <w:r w:rsidR="00C64050">
        <w:rPr>
          <w:szCs w:val="20"/>
        </w:rPr>
        <w:t xml:space="preserve"> </w:t>
      </w:r>
      <w:r w:rsidRPr="00410F1D">
        <w:rPr>
          <w:szCs w:val="20"/>
        </w:rPr>
        <w:t>advised</w:t>
      </w:r>
      <w:r w:rsidR="00C64050">
        <w:rPr>
          <w:szCs w:val="20"/>
        </w:rPr>
        <w:t xml:space="preserve"> </w:t>
      </w:r>
      <w:r w:rsidRPr="00410F1D">
        <w:rPr>
          <w:szCs w:val="20"/>
        </w:rPr>
        <w:t>by</w:t>
      </w:r>
      <w:r w:rsidR="00C64050">
        <w:rPr>
          <w:szCs w:val="20"/>
        </w:rPr>
        <w:t xml:space="preserve"> </w:t>
      </w:r>
      <w:r w:rsidRPr="00410F1D">
        <w:rPr>
          <w:szCs w:val="20"/>
        </w:rPr>
        <w:t>the</w:t>
      </w:r>
      <w:r w:rsidR="00C64050">
        <w:rPr>
          <w:szCs w:val="20"/>
        </w:rPr>
        <w:t xml:space="preserve"> </w:t>
      </w:r>
      <w:r w:rsidRPr="00410F1D">
        <w:rPr>
          <w:szCs w:val="20"/>
        </w:rPr>
        <w:t>same</w:t>
      </w:r>
      <w:r w:rsidR="00C64050">
        <w:rPr>
          <w:szCs w:val="20"/>
        </w:rPr>
        <w:t xml:space="preserve"> </w:t>
      </w:r>
      <w:r w:rsidRPr="00410F1D">
        <w:rPr>
          <w:szCs w:val="20"/>
        </w:rPr>
        <w:t>financial</w:t>
      </w:r>
      <w:r w:rsidR="00C64050">
        <w:rPr>
          <w:szCs w:val="20"/>
        </w:rPr>
        <w:t xml:space="preserve"> </w:t>
      </w:r>
      <w:r w:rsidRPr="00410F1D">
        <w:rPr>
          <w:szCs w:val="20"/>
        </w:rPr>
        <w:t>planner,</w:t>
      </w:r>
      <w:r w:rsidR="00C64050">
        <w:rPr>
          <w:szCs w:val="20"/>
        </w:rPr>
        <w:t xml:space="preserve"> </w:t>
      </w:r>
      <w:r w:rsidRPr="00410F1D">
        <w:rPr>
          <w:szCs w:val="20"/>
        </w:rPr>
        <w:t>and</w:t>
      </w:r>
      <w:r w:rsidR="00C64050">
        <w:rPr>
          <w:szCs w:val="20"/>
        </w:rPr>
        <w:t xml:space="preserve"> </w:t>
      </w:r>
      <w:r w:rsidRPr="00410F1D">
        <w:rPr>
          <w:szCs w:val="20"/>
        </w:rPr>
        <w:t>had</w:t>
      </w:r>
      <w:r w:rsidR="00C64050">
        <w:rPr>
          <w:szCs w:val="20"/>
        </w:rPr>
        <w:t xml:space="preserve"> </w:t>
      </w:r>
      <w:r w:rsidRPr="00410F1D">
        <w:rPr>
          <w:szCs w:val="20"/>
        </w:rPr>
        <w:t>joint</w:t>
      </w:r>
      <w:r w:rsidR="00C64050">
        <w:rPr>
          <w:szCs w:val="20"/>
        </w:rPr>
        <w:t xml:space="preserve"> </w:t>
      </w:r>
      <w:r w:rsidRPr="00410F1D">
        <w:rPr>
          <w:szCs w:val="20"/>
        </w:rPr>
        <w:t>meetings</w:t>
      </w:r>
      <w:r w:rsidR="00C64050">
        <w:rPr>
          <w:szCs w:val="20"/>
        </w:rPr>
        <w:t xml:space="preserve"> </w:t>
      </w:r>
      <w:r w:rsidRPr="00410F1D">
        <w:rPr>
          <w:szCs w:val="20"/>
        </w:rPr>
        <w:t>in</w:t>
      </w:r>
      <w:r w:rsidR="00C64050">
        <w:rPr>
          <w:szCs w:val="20"/>
        </w:rPr>
        <w:t xml:space="preserve"> </w:t>
      </w:r>
      <w:r w:rsidRPr="00410F1D">
        <w:rPr>
          <w:szCs w:val="20"/>
        </w:rPr>
        <w:t>which</w:t>
      </w:r>
      <w:r w:rsidR="00C64050">
        <w:rPr>
          <w:szCs w:val="20"/>
        </w:rPr>
        <w:t xml:space="preserve"> </w:t>
      </w:r>
      <w:r w:rsidRPr="00410F1D">
        <w:rPr>
          <w:szCs w:val="20"/>
        </w:rPr>
        <w:t>their</w:t>
      </w:r>
      <w:r w:rsidR="00C64050">
        <w:rPr>
          <w:szCs w:val="20"/>
        </w:rPr>
        <w:t xml:space="preserve"> </w:t>
      </w:r>
      <w:r w:rsidRPr="00410F1D">
        <w:rPr>
          <w:szCs w:val="20"/>
        </w:rPr>
        <w:t>respective</w:t>
      </w:r>
      <w:r w:rsidR="00C64050">
        <w:rPr>
          <w:szCs w:val="20"/>
        </w:rPr>
        <w:t xml:space="preserve"> </w:t>
      </w:r>
      <w:r w:rsidRPr="00410F1D">
        <w:rPr>
          <w:szCs w:val="20"/>
        </w:rPr>
        <w:t>assets</w:t>
      </w:r>
      <w:r w:rsidR="00C64050">
        <w:rPr>
          <w:szCs w:val="20"/>
        </w:rPr>
        <w:t xml:space="preserve"> </w:t>
      </w:r>
      <w:r w:rsidRPr="00410F1D">
        <w:rPr>
          <w:szCs w:val="20"/>
        </w:rPr>
        <w:t>were</w:t>
      </w:r>
      <w:r w:rsidR="00C64050">
        <w:rPr>
          <w:szCs w:val="20"/>
        </w:rPr>
        <w:t xml:space="preserve"> </w:t>
      </w:r>
      <w:r w:rsidRPr="00410F1D">
        <w:rPr>
          <w:szCs w:val="20"/>
        </w:rPr>
        <w:t>discussed.</w:t>
      </w:r>
      <w:r w:rsidR="00C64050">
        <w:rPr>
          <w:szCs w:val="20"/>
        </w:rPr>
        <w:t xml:space="preserve"> </w:t>
      </w:r>
      <w:r w:rsidRPr="00410F1D">
        <w:rPr>
          <w:szCs w:val="20"/>
        </w:rPr>
        <w:t>Anil</w:t>
      </w:r>
      <w:r w:rsidR="00C64050">
        <w:rPr>
          <w:szCs w:val="20"/>
        </w:rPr>
        <w:t xml:space="preserve"> </w:t>
      </w:r>
      <w:r w:rsidRPr="00410F1D">
        <w:rPr>
          <w:szCs w:val="20"/>
        </w:rPr>
        <w:t>transferred</w:t>
      </w:r>
      <w:r w:rsidR="00C64050">
        <w:rPr>
          <w:szCs w:val="20"/>
        </w:rPr>
        <w:t xml:space="preserve"> </w:t>
      </w:r>
      <w:r w:rsidRPr="00410F1D">
        <w:rPr>
          <w:szCs w:val="20"/>
        </w:rPr>
        <w:t>his</w:t>
      </w:r>
      <w:r w:rsidR="00C64050">
        <w:rPr>
          <w:szCs w:val="20"/>
        </w:rPr>
        <w:t xml:space="preserve"> </w:t>
      </w:r>
      <w:r w:rsidRPr="00410F1D">
        <w:rPr>
          <w:szCs w:val="20"/>
        </w:rPr>
        <w:t>assets</w:t>
      </w:r>
      <w:r w:rsidR="00C64050">
        <w:rPr>
          <w:szCs w:val="20"/>
        </w:rPr>
        <w:t xml:space="preserve"> </w:t>
      </w:r>
      <w:r w:rsidRPr="00410F1D">
        <w:rPr>
          <w:szCs w:val="20"/>
        </w:rPr>
        <w:t>to</w:t>
      </w:r>
      <w:r w:rsidR="00C64050">
        <w:rPr>
          <w:szCs w:val="20"/>
        </w:rPr>
        <w:t xml:space="preserve"> </w:t>
      </w:r>
      <w:r w:rsidRPr="00410F1D">
        <w:rPr>
          <w:szCs w:val="20"/>
        </w:rPr>
        <w:t>the</w:t>
      </w:r>
      <w:r w:rsidR="00C64050">
        <w:rPr>
          <w:szCs w:val="20"/>
        </w:rPr>
        <w:t xml:space="preserve"> </w:t>
      </w:r>
      <w:r w:rsidRPr="00410F1D">
        <w:rPr>
          <w:szCs w:val="20"/>
        </w:rPr>
        <w:t>Trust</w:t>
      </w:r>
      <w:r w:rsidR="00C64050">
        <w:rPr>
          <w:szCs w:val="20"/>
        </w:rPr>
        <w:t xml:space="preserve"> </w:t>
      </w:r>
      <w:r w:rsidRPr="00410F1D">
        <w:rPr>
          <w:szCs w:val="20"/>
        </w:rPr>
        <w:t>with</w:t>
      </w:r>
      <w:r w:rsidR="00C64050">
        <w:rPr>
          <w:szCs w:val="20"/>
        </w:rPr>
        <w:t xml:space="preserve"> </w:t>
      </w:r>
      <w:r w:rsidRPr="00410F1D">
        <w:rPr>
          <w:szCs w:val="20"/>
        </w:rPr>
        <w:t>Dipa's</w:t>
      </w:r>
      <w:r w:rsidR="00C64050">
        <w:rPr>
          <w:szCs w:val="20"/>
        </w:rPr>
        <w:t xml:space="preserve"> </w:t>
      </w:r>
      <w:r w:rsidRPr="00410F1D">
        <w:rPr>
          <w:szCs w:val="20"/>
        </w:rPr>
        <w:t>full</w:t>
      </w:r>
      <w:r w:rsidR="00C64050">
        <w:rPr>
          <w:szCs w:val="20"/>
        </w:rPr>
        <w:t xml:space="preserve"> </w:t>
      </w:r>
      <w:r w:rsidRPr="00410F1D">
        <w:rPr>
          <w:szCs w:val="20"/>
        </w:rPr>
        <w:t>knowledge</w:t>
      </w:r>
      <w:r w:rsidR="00C64050">
        <w:rPr>
          <w:szCs w:val="20"/>
        </w:rPr>
        <w:t xml:space="preserve"> </w:t>
      </w:r>
      <w:r w:rsidRPr="00410F1D">
        <w:rPr>
          <w:szCs w:val="20"/>
        </w:rPr>
        <w:t>while</w:t>
      </w:r>
      <w:r w:rsidR="00C64050">
        <w:rPr>
          <w:szCs w:val="20"/>
        </w:rPr>
        <w:t xml:space="preserve"> </w:t>
      </w:r>
      <w:r w:rsidRPr="00410F1D">
        <w:rPr>
          <w:szCs w:val="20"/>
        </w:rPr>
        <w:t>at</w:t>
      </w:r>
      <w:r w:rsidR="00C64050">
        <w:rPr>
          <w:szCs w:val="20"/>
        </w:rPr>
        <w:t xml:space="preserve"> </w:t>
      </w:r>
      <w:r w:rsidRPr="00410F1D">
        <w:rPr>
          <w:szCs w:val="20"/>
        </w:rPr>
        <w:t>the</w:t>
      </w:r>
      <w:r w:rsidR="00C64050">
        <w:rPr>
          <w:szCs w:val="20"/>
        </w:rPr>
        <w:t xml:space="preserve"> </w:t>
      </w:r>
      <w:r w:rsidRPr="00410F1D">
        <w:rPr>
          <w:szCs w:val="20"/>
        </w:rPr>
        <w:t>same</w:t>
      </w:r>
      <w:r w:rsidR="00C64050">
        <w:rPr>
          <w:szCs w:val="20"/>
        </w:rPr>
        <w:t xml:space="preserve"> </w:t>
      </w:r>
      <w:r w:rsidRPr="00410F1D">
        <w:rPr>
          <w:szCs w:val="20"/>
        </w:rPr>
        <w:t>time</w:t>
      </w:r>
      <w:r w:rsidR="00C64050">
        <w:rPr>
          <w:szCs w:val="20"/>
        </w:rPr>
        <w:t xml:space="preserve"> </w:t>
      </w:r>
      <w:r w:rsidRPr="00410F1D">
        <w:rPr>
          <w:szCs w:val="20"/>
        </w:rPr>
        <w:t>she</w:t>
      </w:r>
      <w:r w:rsidR="00C64050">
        <w:rPr>
          <w:szCs w:val="20"/>
        </w:rPr>
        <w:t xml:space="preserve"> </w:t>
      </w:r>
      <w:r w:rsidRPr="00410F1D">
        <w:rPr>
          <w:szCs w:val="20"/>
        </w:rPr>
        <w:t>transferred</w:t>
      </w:r>
      <w:r w:rsidR="00C64050">
        <w:rPr>
          <w:szCs w:val="20"/>
        </w:rPr>
        <w:t xml:space="preserve"> </w:t>
      </w:r>
      <w:r w:rsidRPr="00410F1D">
        <w:rPr>
          <w:szCs w:val="20"/>
        </w:rPr>
        <w:t>her</w:t>
      </w:r>
      <w:r w:rsidR="00C64050">
        <w:rPr>
          <w:szCs w:val="20"/>
        </w:rPr>
        <w:t xml:space="preserve"> </w:t>
      </w:r>
      <w:r w:rsidRPr="00410F1D">
        <w:rPr>
          <w:szCs w:val="20"/>
        </w:rPr>
        <w:t>own</w:t>
      </w:r>
      <w:r w:rsidR="00C64050">
        <w:rPr>
          <w:szCs w:val="20"/>
        </w:rPr>
        <w:t xml:space="preserve"> </w:t>
      </w:r>
      <w:r w:rsidRPr="00410F1D">
        <w:rPr>
          <w:szCs w:val="20"/>
        </w:rPr>
        <w:t>assets</w:t>
      </w:r>
      <w:r w:rsidR="00C64050">
        <w:rPr>
          <w:szCs w:val="20"/>
        </w:rPr>
        <w:t xml:space="preserve"> </w:t>
      </w:r>
      <w:r w:rsidRPr="00410F1D">
        <w:rPr>
          <w:szCs w:val="20"/>
        </w:rPr>
        <w:t>to</w:t>
      </w:r>
      <w:r w:rsidR="00C64050">
        <w:rPr>
          <w:szCs w:val="20"/>
        </w:rPr>
        <w:t xml:space="preserve"> </w:t>
      </w:r>
      <w:r w:rsidRPr="00410F1D">
        <w:rPr>
          <w:szCs w:val="20"/>
        </w:rPr>
        <w:t>a</w:t>
      </w:r>
      <w:r w:rsidR="00C64050">
        <w:rPr>
          <w:szCs w:val="20"/>
        </w:rPr>
        <w:t xml:space="preserve"> </w:t>
      </w:r>
      <w:r w:rsidRPr="00410F1D">
        <w:rPr>
          <w:szCs w:val="20"/>
        </w:rPr>
        <w:t>nearly</w:t>
      </w:r>
      <w:r w:rsidR="00C64050">
        <w:rPr>
          <w:szCs w:val="20"/>
        </w:rPr>
        <w:t xml:space="preserve"> </w:t>
      </w:r>
      <w:r w:rsidRPr="00410F1D">
        <w:rPr>
          <w:szCs w:val="20"/>
        </w:rPr>
        <w:t>identical</w:t>
      </w:r>
      <w:r w:rsidR="00C64050">
        <w:rPr>
          <w:szCs w:val="20"/>
        </w:rPr>
        <w:t xml:space="preserve"> </w:t>
      </w:r>
      <w:r w:rsidRPr="00410F1D">
        <w:rPr>
          <w:szCs w:val="20"/>
        </w:rPr>
        <w:t>trust.</w:t>
      </w:r>
      <w:r w:rsidR="00C64050">
        <w:rPr>
          <w:szCs w:val="20"/>
        </w:rPr>
        <w:t xml:space="preserve"> </w:t>
      </w:r>
      <w:r w:rsidRPr="00410F1D">
        <w:rPr>
          <w:szCs w:val="20"/>
        </w:rPr>
        <w:t>As</w:t>
      </w:r>
      <w:r w:rsidR="00C64050">
        <w:rPr>
          <w:szCs w:val="20"/>
        </w:rPr>
        <w:t xml:space="preserve"> </w:t>
      </w:r>
      <w:r w:rsidRPr="00410F1D">
        <w:rPr>
          <w:szCs w:val="20"/>
        </w:rPr>
        <w:t>there</w:t>
      </w:r>
      <w:r w:rsidR="00C64050">
        <w:rPr>
          <w:szCs w:val="20"/>
        </w:rPr>
        <w:t xml:space="preserve"> </w:t>
      </w:r>
      <w:r w:rsidRPr="00410F1D">
        <w:rPr>
          <w:szCs w:val="20"/>
        </w:rPr>
        <w:t>is</w:t>
      </w:r>
      <w:r w:rsidR="00C64050">
        <w:rPr>
          <w:szCs w:val="20"/>
        </w:rPr>
        <w:t xml:space="preserve"> </w:t>
      </w:r>
      <w:r w:rsidRPr="00410F1D">
        <w:rPr>
          <w:szCs w:val="20"/>
        </w:rPr>
        <w:t>“no</w:t>
      </w:r>
      <w:r w:rsidR="00C64050">
        <w:rPr>
          <w:szCs w:val="20"/>
        </w:rPr>
        <w:t xml:space="preserve"> </w:t>
      </w:r>
      <w:r w:rsidRPr="00410F1D">
        <w:rPr>
          <w:szCs w:val="20"/>
        </w:rPr>
        <w:t>conclusive</w:t>
      </w:r>
      <w:r w:rsidR="00C64050">
        <w:rPr>
          <w:szCs w:val="20"/>
        </w:rPr>
        <w:t xml:space="preserve"> </w:t>
      </w:r>
      <w:r w:rsidRPr="00410F1D">
        <w:rPr>
          <w:szCs w:val="20"/>
        </w:rPr>
        <w:t>evidence</w:t>
      </w:r>
      <w:r w:rsidR="00C64050">
        <w:rPr>
          <w:szCs w:val="20"/>
        </w:rPr>
        <w:t xml:space="preserve"> </w:t>
      </w:r>
      <w:r w:rsidRPr="00410F1D">
        <w:rPr>
          <w:szCs w:val="20"/>
        </w:rPr>
        <w:t>that</w:t>
      </w:r>
      <w:r w:rsidR="00C64050">
        <w:rPr>
          <w:szCs w:val="20"/>
        </w:rPr>
        <w:t xml:space="preserve"> </w:t>
      </w:r>
      <w:r w:rsidRPr="00410F1D">
        <w:rPr>
          <w:szCs w:val="20"/>
        </w:rPr>
        <w:t>there</w:t>
      </w:r>
      <w:r w:rsidR="00C64050">
        <w:rPr>
          <w:szCs w:val="20"/>
        </w:rPr>
        <w:t xml:space="preserve"> </w:t>
      </w:r>
      <w:r w:rsidRPr="00410F1D">
        <w:rPr>
          <w:szCs w:val="20"/>
        </w:rPr>
        <w:t>was</w:t>
      </w:r>
      <w:r w:rsidR="00C64050">
        <w:rPr>
          <w:szCs w:val="20"/>
        </w:rPr>
        <w:t xml:space="preserve"> </w:t>
      </w:r>
      <w:r w:rsidRPr="00410F1D">
        <w:rPr>
          <w:szCs w:val="20"/>
        </w:rPr>
        <w:t>a</w:t>
      </w:r>
      <w:r w:rsidR="00C64050">
        <w:rPr>
          <w:szCs w:val="20"/>
        </w:rPr>
        <w:t xml:space="preserve"> </w:t>
      </w:r>
      <w:r w:rsidRPr="00410F1D">
        <w:rPr>
          <w:szCs w:val="20"/>
        </w:rPr>
        <w:t>secreting</w:t>
      </w:r>
      <w:r w:rsidR="00C64050">
        <w:rPr>
          <w:szCs w:val="20"/>
        </w:rPr>
        <w:t xml:space="preserve"> </w:t>
      </w:r>
      <w:r w:rsidRPr="00410F1D">
        <w:rPr>
          <w:szCs w:val="20"/>
        </w:rPr>
        <w:t>of</w:t>
      </w:r>
      <w:r w:rsidR="00C64050">
        <w:rPr>
          <w:szCs w:val="20"/>
        </w:rPr>
        <w:t xml:space="preserve"> </w:t>
      </w:r>
      <w:r w:rsidRPr="00410F1D">
        <w:rPr>
          <w:szCs w:val="20"/>
        </w:rPr>
        <w:t>the</w:t>
      </w:r>
      <w:r w:rsidR="00C64050">
        <w:rPr>
          <w:szCs w:val="20"/>
        </w:rPr>
        <w:t xml:space="preserve"> </w:t>
      </w:r>
      <w:r w:rsidRPr="00410F1D">
        <w:rPr>
          <w:szCs w:val="20"/>
        </w:rPr>
        <w:t>real</w:t>
      </w:r>
      <w:r w:rsidR="00C64050">
        <w:rPr>
          <w:szCs w:val="20"/>
        </w:rPr>
        <w:t xml:space="preserve"> </w:t>
      </w:r>
      <w:r w:rsidRPr="00410F1D">
        <w:rPr>
          <w:szCs w:val="20"/>
        </w:rPr>
        <w:t>ownership</w:t>
      </w:r>
      <w:r w:rsidR="00C64050">
        <w:rPr>
          <w:szCs w:val="20"/>
        </w:rPr>
        <w:t xml:space="preserve"> </w:t>
      </w:r>
      <w:r w:rsidRPr="00410F1D">
        <w:rPr>
          <w:szCs w:val="20"/>
        </w:rPr>
        <w:t>of</w:t>
      </w:r>
      <w:r w:rsidR="00C64050">
        <w:rPr>
          <w:szCs w:val="20"/>
        </w:rPr>
        <w:t xml:space="preserve"> </w:t>
      </w:r>
      <w:r w:rsidRPr="00410F1D">
        <w:rPr>
          <w:szCs w:val="20"/>
        </w:rPr>
        <w:t>the</w:t>
      </w:r>
      <w:r w:rsidR="00C64050">
        <w:rPr>
          <w:szCs w:val="20"/>
        </w:rPr>
        <w:t xml:space="preserve"> </w:t>
      </w:r>
      <w:r w:rsidRPr="00410F1D">
        <w:rPr>
          <w:szCs w:val="20"/>
        </w:rPr>
        <w:t>property,</w:t>
      </w:r>
      <w:r w:rsidR="00C64050">
        <w:rPr>
          <w:szCs w:val="20"/>
        </w:rPr>
        <w:t xml:space="preserve"> </w:t>
      </w:r>
      <w:r w:rsidRPr="00410F1D">
        <w:rPr>
          <w:szCs w:val="20"/>
        </w:rPr>
        <w:t>or</w:t>
      </w:r>
      <w:r w:rsidR="00C64050">
        <w:rPr>
          <w:szCs w:val="20"/>
        </w:rPr>
        <w:t xml:space="preserve"> </w:t>
      </w:r>
      <w:r w:rsidRPr="00410F1D">
        <w:rPr>
          <w:szCs w:val="20"/>
        </w:rPr>
        <w:t>that</w:t>
      </w:r>
      <w:r w:rsidR="00C64050">
        <w:rPr>
          <w:szCs w:val="20"/>
        </w:rPr>
        <w:t xml:space="preserve"> </w:t>
      </w:r>
      <w:r w:rsidRPr="00410F1D">
        <w:rPr>
          <w:szCs w:val="20"/>
        </w:rPr>
        <w:t>[Dipa]</w:t>
      </w:r>
      <w:r w:rsidR="00C64050">
        <w:rPr>
          <w:szCs w:val="20"/>
        </w:rPr>
        <w:t xml:space="preserve"> </w:t>
      </w:r>
      <w:r w:rsidRPr="00410F1D">
        <w:rPr>
          <w:szCs w:val="20"/>
        </w:rPr>
        <w:t>did</w:t>
      </w:r>
      <w:r w:rsidR="00C64050">
        <w:rPr>
          <w:szCs w:val="20"/>
        </w:rPr>
        <w:t xml:space="preserve"> </w:t>
      </w:r>
      <w:r w:rsidRPr="00410F1D">
        <w:rPr>
          <w:szCs w:val="20"/>
        </w:rPr>
        <w:t>not</w:t>
      </w:r>
      <w:r w:rsidR="00C64050">
        <w:rPr>
          <w:szCs w:val="20"/>
        </w:rPr>
        <w:t xml:space="preserve"> </w:t>
      </w:r>
      <w:r w:rsidRPr="00410F1D">
        <w:rPr>
          <w:szCs w:val="20"/>
        </w:rPr>
        <w:t>know</w:t>
      </w:r>
      <w:r w:rsidR="00C64050">
        <w:rPr>
          <w:szCs w:val="20"/>
        </w:rPr>
        <w:t xml:space="preserve"> </w:t>
      </w:r>
      <w:r w:rsidRPr="00410F1D">
        <w:rPr>
          <w:szCs w:val="20"/>
        </w:rPr>
        <w:t>and</w:t>
      </w:r>
      <w:r w:rsidR="00C64050">
        <w:rPr>
          <w:szCs w:val="20"/>
        </w:rPr>
        <w:t xml:space="preserve"> </w:t>
      </w:r>
      <w:r w:rsidRPr="00410F1D">
        <w:rPr>
          <w:szCs w:val="20"/>
        </w:rPr>
        <w:t>fully</w:t>
      </w:r>
      <w:r w:rsidR="00C64050">
        <w:rPr>
          <w:szCs w:val="20"/>
        </w:rPr>
        <w:t xml:space="preserve"> </w:t>
      </w:r>
      <w:r w:rsidRPr="00410F1D">
        <w:rPr>
          <w:szCs w:val="20"/>
        </w:rPr>
        <w:t>approve</w:t>
      </w:r>
      <w:r w:rsidR="00C64050">
        <w:rPr>
          <w:szCs w:val="20"/>
        </w:rPr>
        <w:t xml:space="preserve"> </w:t>
      </w:r>
      <w:r w:rsidRPr="00410F1D">
        <w:rPr>
          <w:szCs w:val="20"/>
        </w:rPr>
        <w:t>of</w:t>
      </w:r>
      <w:r w:rsidR="00C64050">
        <w:rPr>
          <w:szCs w:val="20"/>
        </w:rPr>
        <w:t xml:space="preserve"> </w:t>
      </w:r>
      <w:r w:rsidRPr="00410F1D">
        <w:rPr>
          <w:szCs w:val="20"/>
        </w:rPr>
        <w:t>the</w:t>
      </w:r>
      <w:r w:rsidR="00C64050">
        <w:rPr>
          <w:szCs w:val="20"/>
        </w:rPr>
        <w:t xml:space="preserve"> </w:t>
      </w:r>
      <w:r w:rsidRPr="00410F1D">
        <w:rPr>
          <w:szCs w:val="20"/>
        </w:rPr>
        <w:t>trust</w:t>
      </w:r>
      <w:r w:rsidR="00C64050">
        <w:rPr>
          <w:szCs w:val="20"/>
        </w:rPr>
        <w:t xml:space="preserve"> </w:t>
      </w:r>
      <w:r w:rsidRPr="00410F1D">
        <w:rPr>
          <w:szCs w:val="20"/>
        </w:rPr>
        <w:t>agreement,”</w:t>
      </w:r>
      <w:r w:rsidR="00C64050">
        <w:rPr>
          <w:szCs w:val="20"/>
        </w:rPr>
        <w:t xml:space="preserve"> </w:t>
      </w:r>
      <w:r w:rsidRPr="00410F1D">
        <w:rPr>
          <w:szCs w:val="20"/>
        </w:rPr>
        <w:t>we</w:t>
      </w:r>
      <w:r w:rsidR="00C64050">
        <w:rPr>
          <w:szCs w:val="20"/>
        </w:rPr>
        <w:t xml:space="preserve"> </w:t>
      </w:r>
      <w:r w:rsidRPr="00410F1D">
        <w:rPr>
          <w:szCs w:val="20"/>
        </w:rPr>
        <w:t>conclude</w:t>
      </w:r>
      <w:r w:rsidR="00C64050">
        <w:rPr>
          <w:szCs w:val="20"/>
        </w:rPr>
        <w:t xml:space="preserve"> </w:t>
      </w:r>
      <w:r w:rsidRPr="00410F1D">
        <w:rPr>
          <w:szCs w:val="20"/>
        </w:rPr>
        <w:t>that</w:t>
      </w:r>
      <w:r w:rsidR="00C64050">
        <w:rPr>
          <w:szCs w:val="20"/>
        </w:rPr>
        <w:t xml:space="preserve"> </w:t>
      </w:r>
      <w:r w:rsidRPr="00410F1D">
        <w:rPr>
          <w:szCs w:val="20"/>
        </w:rPr>
        <w:t>Anil</w:t>
      </w:r>
      <w:r w:rsidR="00C64050">
        <w:rPr>
          <w:szCs w:val="20"/>
        </w:rPr>
        <w:t xml:space="preserve"> </w:t>
      </w:r>
      <w:r w:rsidRPr="00410F1D">
        <w:rPr>
          <w:szCs w:val="20"/>
        </w:rPr>
        <w:t>did</w:t>
      </w:r>
      <w:r w:rsidR="00C64050">
        <w:rPr>
          <w:szCs w:val="20"/>
        </w:rPr>
        <w:t xml:space="preserve"> </w:t>
      </w:r>
      <w:r w:rsidRPr="00410F1D">
        <w:rPr>
          <w:szCs w:val="20"/>
        </w:rPr>
        <w:t>not</w:t>
      </w:r>
      <w:r w:rsidR="00C64050">
        <w:rPr>
          <w:szCs w:val="20"/>
        </w:rPr>
        <w:t xml:space="preserve"> </w:t>
      </w:r>
      <w:r w:rsidRPr="00410F1D">
        <w:rPr>
          <w:szCs w:val="20"/>
        </w:rPr>
        <w:t>create</w:t>
      </w:r>
      <w:r w:rsidR="00C64050">
        <w:rPr>
          <w:szCs w:val="20"/>
        </w:rPr>
        <w:t xml:space="preserve"> </w:t>
      </w:r>
      <w:r w:rsidRPr="00410F1D">
        <w:rPr>
          <w:szCs w:val="20"/>
        </w:rPr>
        <w:t>the</w:t>
      </w:r>
      <w:r w:rsidR="00C64050">
        <w:rPr>
          <w:szCs w:val="20"/>
        </w:rPr>
        <w:t xml:space="preserve"> </w:t>
      </w:r>
      <w:r w:rsidRPr="00410F1D">
        <w:rPr>
          <w:szCs w:val="20"/>
        </w:rPr>
        <w:t>Trust</w:t>
      </w:r>
      <w:r w:rsidR="00C64050">
        <w:rPr>
          <w:szCs w:val="20"/>
        </w:rPr>
        <w:t xml:space="preserve"> </w:t>
      </w:r>
      <w:r w:rsidRPr="00410F1D">
        <w:rPr>
          <w:szCs w:val="20"/>
        </w:rPr>
        <w:t>with</w:t>
      </w:r>
      <w:r w:rsidR="00C64050">
        <w:rPr>
          <w:szCs w:val="20"/>
        </w:rPr>
        <w:t xml:space="preserve"> </w:t>
      </w:r>
      <w:r w:rsidRPr="00410F1D">
        <w:rPr>
          <w:szCs w:val="20"/>
        </w:rPr>
        <w:t>the</w:t>
      </w:r>
      <w:r w:rsidR="00C64050">
        <w:rPr>
          <w:szCs w:val="20"/>
        </w:rPr>
        <w:t xml:space="preserve"> </w:t>
      </w:r>
      <w:r w:rsidRPr="00410F1D">
        <w:rPr>
          <w:szCs w:val="20"/>
        </w:rPr>
        <w:t>intent</w:t>
      </w:r>
      <w:r w:rsidR="00C64050">
        <w:rPr>
          <w:szCs w:val="20"/>
        </w:rPr>
        <w:t xml:space="preserve"> </w:t>
      </w:r>
      <w:r w:rsidRPr="00410F1D">
        <w:rPr>
          <w:szCs w:val="20"/>
        </w:rPr>
        <w:t>to</w:t>
      </w:r>
      <w:r w:rsidR="00C64050">
        <w:rPr>
          <w:szCs w:val="20"/>
        </w:rPr>
        <w:t xml:space="preserve"> </w:t>
      </w:r>
      <w:r w:rsidRPr="00410F1D">
        <w:rPr>
          <w:szCs w:val="20"/>
        </w:rPr>
        <w:t>disinherit</w:t>
      </w:r>
      <w:r w:rsidR="00C64050">
        <w:rPr>
          <w:szCs w:val="20"/>
        </w:rPr>
        <w:t xml:space="preserve"> </w:t>
      </w:r>
      <w:r w:rsidRPr="00410F1D">
        <w:rPr>
          <w:szCs w:val="20"/>
        </w:rPr>
        <w:t>Dipa.</w:t>
      </w:r>
      <w:r w:rsidR="00C64050">
        <w:rPr>
          <w:szCs w:val="20"/>
        </w:rPr>
        <w:t xml:space="preserve"> </w:t>
      </w:r>
      <w:r w:rsidRPr="00410F1D">
        <w:rPr>
          <w:rStyle w:val="Emphasis"/>
          <w:szCs w:val="20"/>
        </w:rPr>
        <w:t>See</w:t>
      </w:r>
      <w:r w:rsidR="00C64050">
        <w:rPr>
          <w:szCs w:val="20"/>
        </w:rPr>
        <w:t xml:space="preserve"> </w:t>
      </w:r>
      <w:r w:rsidRPr="00410F1D">
        <w:rPr>
          <w:rStyle w:val="Emphasis"/>
          <w:szCs w:val="20"/>
        </w:rPr>
        <w:t>Leazenby</w:t>
      </w:r>
      <w:r w:rsidRPr="00410F1D">
        <w:rPr>
          <w:szCs w:val="20"/>
        </w:rPr>
        <w:t>,</w:t>
      </w:r>
      <w:r w:rsidR="00C64050">
        <w:rPr>
          <w:szCs w:val="20"/>
        </w:rPr>
        <w:t xml:space="preserve"> </w:t>
      </w:r>
      <w:r w:rsidRPr="00410F1D">
        <w:rPr>
          <w:szCs w:val="20"/>
        </w:rPr>
        <w:t>355</w:t>
      </w:r>
      <w:r w:rsidR="00C64050">
        <w:rPr>
          <w:szCs w:val="20"/>
        </w:rPr>
        <w:t xml:space="preserve"> </w:t>
      </w:r>
      <w:r w:rsidRPr="00410F1D">
        <w:rPr>
          <w:szCs w:val="20"/>
        </w:rPr>
        <w:t>N.E.2d</w:t>
      </w:r>
      <w:r w:rsidR="00C64050">
        <w:rPr>
          <w:szCs w:val="20"/>
        </w:rPr>
        <w:t xml:space="preserve"> </w:t>
      </w:r>
      <w:r w:rsidRPr="00410F1D">
        <w:rPr>
          <w:szCs w:val="20"/>
        </w:rPr>
        <w:t>at</w:t>
      </w:r>
      <w:r w:rsidR="00C64050">
        <w:rPr>
          <w:szCs w:val="20"/>
        </w:rPr>
        <w:t xml:space="preserve"> </w:t>
      </w:r>
      <w:r w:rsidRPr="00410F1D">
        <w:rPr>
          <w:szCs w:val="20"/>
        </w:rPr>
        <w:t>866.</w:t>
      </w:r>
      <w:r w:rsidR="00C64050">
        <w:rPr>
          <w:szCs w:val="20"/>
        </w:rPr>
        <w:t xml:space="preserve"> </w:t>
      </w:r>
      <w:r w:rsidRPr="00410F1D">
        <w:rPr>
          <w:szCs w:val="20"/>
        </w:rPr>
        <w:t>Consequently,</w:t>
      </w:r>
      <w:r w:rsidR="00C64050">
        <w:rPr>
          <w:szCs w:val="20"/>
        </w:rPr>
        <w:t xml:space="preserve"> </w:t>
      </w:r>
      <w:r w:rsidRPr="00410F1D">
        <w:rPr>
          <w:szCs w:val="20"/>
        </w:rPr>
        <w:t>as</w:t>
      </w:r>
      <w:r w:rsidR="00C64050">
        <w:rPr>
          <w:szCs w:val="20"/>
        </w:rPr>
        <w:t xml:space="preserve"> </w:t>
      </w:r>
      <w:r w:rsidRPr="00410F1D">
        <w:rPr>
          <w:szCs w:val="20"/>
        </w:rPr>
        <w:t>there</w:t>
      </w:r>
      <w:r w:rsidR="00C64050">
        <w:rPr>
          <w:szCs w:val="20"/>
        </w:rPr>
        <w:t xml:space="preserve"> </w:t>
      </w:r>
      <w:r w:rsidRPr="00410F1D">
        <w:rPr>
          <w:szCs w:val="20"/>
        </w:rPr>
        <w:t>is</w:t>
      </w:r>
      <w:r w:rsidR="00C64050">
        <w:rPr>
          <w:szCs w:val="20"/>
        </w:rPr>
        <w:t xml:space="preserve"> </w:t>
      </w:r>
      <w:r w:rsidRPr="00410F1D">
        <w:rPr>
          <w:szCs w:val="20"/>
        </w:rPr>
        <w:t>substantial</w:t>
      </w:r>
      <w:r w:rsidR="00C64050">
        <w:rPr>
          <w:szCs w:val="20"/>
        </w:rPr>
        <w:t xml:space="preserve"> </w:t>
      </w:r>
      <w:r w:rsidRPr="00410F1D">
        <w:rPr>
          <w:szCs w:val="20"/>
        </w:rPr>
        <w:t>evidence</w:t>
      </w:r>
      <w:r w:rsidR="00C64050">
        <w:rPr>
          <w:szCs w:val="20"/>
        </w:rPr>
        <w:t xml:space="preserve"> </w:t>
      </w:r>
      <w:r w:rsidRPr="00410F1D">
        <w:rPr>
          <w:szCs w:val="20"/>
        </w:rPr>
        <w:t>that</w:t>
      </w:r>
      <w:r w:rsidR="00C64050">
        <w:rPr>
          <w:szCs w:val="20"/>
        </w:rPr>
        <w:t xml:space="preserve"> </w:t>
      </w:r>
      <w:r w:rsidRPr="00410F1D">
        <w:rPr>
          <w:szCs w:val="20"/>
        </w:rPr>
        <w:t>Anil</w:t>
      </w:r>
      <w:r w:rsidR="00C64050">
        <w:rPr>
          <w:szCs w:val="20"/>
        </w:rPr>
        <w:t xml:space="preserve"> </w:t>
      </w:r>
      <w:r w:rsidRPr="00410F1D">
        <w:rPr>
          <w:szCs w:val="20"/>
        </w:rPr>
        <w:t>did</w:t>
      </w:r>
      <w:r w:rsidR="00C64050">
        <w:rPr>
          <w:szCs w:val="20"/>
        </w:rPr>
        <w:t xml:space="preserve"> </w:t>
      </w:r>
      <w:r w:rsidRPr="00410F1D">
        <w:rPr>
          <w:szCs w:val="20"/>
        </w:rPr>
        <w:t>not</w:t>
      </w:r>
      <w:r w:rsidR="00C64050">
        <w:rPr>
          <w:szCs w:val="20"/>
        </w:rPr>
        <w:t xml:space="preserve"> </w:t>
      </w:r>
      <w:r w:rsidRPr="00410F1D">
        <w:rPr>
          <w:szCs w:val="20"/>
        </w:rPr>
        <w:t>create</w:t>
      </w:r>
      <w:r w:rsidR="00C64050">
        <w:rPr>
          <w:szCs w:val="20"/>
        </w:rPr>
        <w:t xml:space="preserve"> </w:t>
      </w:r>
      <w:r w:rsidRPr="00410F1D">
        <w:rPr>
          <w:szCs w:val="20"/>
        </w:rPr>
        <w:t>the</w:t>
      </w:r>
      <w:r w:rsidR="00C64050">
        <w:rPr>
          <w:szCs w:val="20"/>
        </w:rPr>
        <w:t xml:space="preserve"> </w:t>
      </w:r>
      <w:r w:rsidRPr="00410F1D">
        <w:rPr>
          <w:szCs w:val="20"/>
        </w:rPr>
        <w:t>Trust</w:t>
      </w:r>
      <w:r w:rsidR="00C64050">
        <w:rPr>
          <w:szCs w:val="20"/>
        </w:rPr>
        <w:t xml:space="preserve"> </w:t>
      </w:r>
      <w:r w:rsidRPr="00410F1D">
        <w:rPr>
          <w:szCs w:val="20"/>
        </w:rPr>
        <w:t>in</w:t>
      </w:r>
      <w:r w:rsidR="00C64050">
        <w:rPr>
          <w:szCs w:val="20"/>
        </w:rPr>
        <w:t xml:space="preserve"> </w:t>
      </w:r>
      <w:r w:rsidRPr="00410F1D">
        <w:rPr>
          <w:szCs w:val="20"/>
        </w:rPr>
        <w:t>contemplation</w:t>
      </w:r>
      <w:r w:rsidR="00C64050">
        <w:rPr>
          <w:szCs w:val="20"/>
        </w:rPr>
        <w:t xml:space="preserve"> </w:t>
      </w:r>
      <w:r w:rsidRPr="00410F1D">
        <w:rPr>
          <w:szCs w:val="20"/>
        </w:rPr>
        <w:t>of</w:t>
      </w:r>
      <w:r w:rsidR="00C64050">
        <w:rPr>
          <w:szCs w:val="20"/>
        </w:rPr>
        <w:t xml:space="preserve"> </w:t>
      </w:r>
      <w:r w:rsidRPr="00410F1D">
        <w:rPr>
          <w:szCs w:val="20"/>
        </w:rPr>
        <w:t>death</w:t>
      </w:r>
      <w:r w:rsidR="00C64050">
        <w:rPr>
          <w:szCs w:val="20"/>
        </w:rPr>
        <w:t xml:space="preserve"> </w:t>
      </w:r>
      <w:r w:rsidRPr="00410F1D">
        <w:rPr>
          <w:szCs w:val="20"/>
        </w:rPr>
        <w:t>and</w:t>
      </w:r>
      <w:r w:rsidR="00C64050">
        <w:rPr>
          <w:szCs w:val="20"/>
        </w:rPr>
        <w:t xml:space="preserve"> </w:t>
      </w:r>
      <w:r w:rsidRPr="00410F1D">
        <w:rPr>
          <w:szCs w:val="20"/>
        </w:rPr>
        <w:t>with</w:t>
      </w:r>
      <w:r w:rsidR="00C64050">
        <w:rPr>
          <w:szCs w:val="20"/>
        </w:rPr>
        <w:t xml:space="preserve"> </w:t>
      </w:r>
      <w:r w:rsidRPr="00410F1D">
        <w:rPr>
          <w:szCs w:val="20"/>
        </w:rPr>
        <w:t>the</w:t>
      </w:r>
      <w:r w:rsidR="00C64050">
        <w:rPr>
          <w:szCs w:val="20"/>
        </w:rPr>
        <w:t xml:space="preserve"> </w:t>
      </w:r>
      <w:r w:rsidRPr="00410F1D">
        <w:rPr>
          <w:szCs w:val="20"/>
        </w:rPr>
        <w:t>intent</w:t>
      </w:r>
      <w:r w:rsidR="00C64050">
        <w:rPr>
          <w:szCs w:val="20"/>
        </w:rPr>
        <w:t xml:space="preserve"> </w:t>
      </w:r>
      <w:r w:rsidRPr="00410F1D">
        <w:rPr>
          <w:szCs w:val="20"/>
        </w:rPr>
        <w:t>to</w:t>
      </w:r>
      <w:r w:rsidR="00C64050">
        <w:rPr>
          <w:szCs w:val="20"/>
        </w:rPr>
        <w:t xml:space="preserve"> </w:t>
      </w:r>
      <w:r w:rsidRPr="00410F1D">
        <w:rPr>
          <w:szCs w:val="20"/>
        </w:rPr>
        <w:t>disinherit</w:t>
      </w:r>
      <w:r w:rsidR="00C64050">
        <w:rPr>
          <w:szCs w:val="20"/>
        </w:rPr>
        <w:t xml:space="preserve"> </w:t>
      </w:r>
      <w:r w:rsidRPr="00410F1D">
        <w:rPr>
          <w:szCs w:val="20"/>
        </w:rPr>
        <w:t>Dipa,</w:t>
      </w:r>
      <w:r w:rsidR="00C64050">
        <w:rPr>
          <w:szCs w:val="20"/>
        </w:rPr>
        <w:t xml:space="preserve"> </w:t>
      </w:r>
      <w:r w:rsidRPr="00410F1D">
        <w:rPr>
          <w:szCs w:val="20"/>
        </w:rPr>
        <w:t>we</w:t>
      </w:r>
      <w:r w:rsidR="00C64050">
        <w:rPr>
          <w:szCs w:val="20"/>
        </w:rPr>
        <w:t xml:space="preserve"> </w:t>
      </w:r>
      <w:r w:rsidRPr="00410F1D">
        <w:rPr>
          <w:szCs w:val="20"/>
        </w:rPr>
        <w:t>affirm</w:t>
      </w:r>
      <w:r w:rsidR="00C64050">
        <w:rPr>
          <w:szCs w:val="20"/>
        </w:rPr>
        <w:t xml:space="preserve"> </w:t>
      </w:r>
      <w:r w:rsidRPr="00410F1D">
        <w:rPr>
          <w:szCs w:val="20"/>
        </w:rPr>
        <w:t>the</w:t>
      </w:r>
      <w:r w:rsidR="00C64050">
        <w:rPr>
          <w:szCs w:val="20"/>
        </w:rPr>
        <w:t xml:space="preserve"> </w:t>
      </w:r>
      <w:r w:rsidRPr="00410F1D">
        <w:rPr>
          <w:szCs w:val="20"/>
        </w:rPr>
        <w:t>trial</w:t>
      </w:r>
      <w:r w:rsidR="00C64050">
        <w:rPr>
          <w:szCs w:val="20"/>
        </w:rPr>
        <w:t xml:space="preserve"> </w:t>
      </w:r>
      <w:r w:rsidRPr="00410F1D">
        <w:rPr>
          <w:szCs w:val="20"/>
        </w:rPr>
        <w:t>court's</w:t>
      </w:r>
      <w:r w:rsidR="00C64050">
        <w:rPr>
          <w:szCs w:val="20"/>
        </w:rPr>
        <w:t xml:space="preserve"> </w:t>
      </w:r>
      <w:r w:rsidRPr="00410F1D">
        <w:rPr>
          <w:szCs w:val="20"/>
        </w:rPr>
        <w:t>decision</w:t>
      </w:r>
      <w:r w:rsidR="00C64050">
        <w:rPr>
          <w:szCs w:val="20"/>
        </w:rPr>
        <w:t xml:space="preserve"> </w:t>
      </w:r>
      <w:r w:rsidRPr="00410F1D">
        <w:rPr>
          <w:szCs w:val="20"/>
        </w:rPr>
        <w:t>to</w:t>
      </w:r>
      <w:r w:rsidR="00C64050">
        <w:rPr>
          <w:szCs w:val="20"/>
        </w:rPr>
        <w:t xml:space="preserve"> </w:t>
      </w:r>
      <w:r w:rsidRPr="00410F1D">
        <w:rPr>
          <w:szCs w:val="20"/>
        </w:rPr>
        <w:t>deny</w:t>
      </w:r>
      <w:r w:rsidR="00C64050">
        <w:rPr>
          <w:szCs w:val="20"/>
        </w:rPr>
        <w:t xml:space="preserve"> </w:t>
      </w:r>
      <w:r w:rsidRPr="00410F1D">
        <w:rPr>
          <w:szCs w:val="20"/>
        </w:rPr>
        <w:t>Dipa's</w:t>
      </w:r>
      <w:r w:rsidR="00C64050">
        <w:rPr>
          <w:szCs w:val="20"/>
        </w:rPr>
        <w:t xml:space="preserve"> </w:t>
      </w:r>
      <w:r w:rsidRPr="00410F1D">
        <w:rPr>
          <w:szCs w:val="20"/>
        </w:rPr>
        <w:t>claim</w:t>
      </w:r>
      <w:r w:rsidR="00C64050">
        <w:rPr>
          <w:szCs w:val="20"/>
        </w:rPr>
        <w:t xml:space="preserve"> </w:t>
      </w:r>
      <w:r w:rsidRPr="00410F1D">
        <w:rPr>
          <w:szCs w:val="20"/>
        </w:rPr>
        <w:t>to</w:t>
      </w:r>
      <w:r w:rsidR="00C64050">
        <w:rPr>
          <w:szCs w:val="20"/>
        </w:rPr>
        <w:t xml:space="preserve"> </w:t>
      </w:r>
      <w:r w:rsidRPr="00410F1D">
        <w:rPr>
          <w:szCs w:val="20"/>
        </w:rPr>
        <w:t>satisfy</w:t>
      </w:r>
      <w:r w:rsidR="00C64050">
        <w:rPr>
          <w:szCs w:val="20"/>
        </w:rPr>
        <w:t xml:space="preserve"> </w:t>
      </w:r>
      <w:r w:rsidRPr="00410F1D">
        <w:rPr>
          <w:szCs w:val="20"/>
        </w:rPr>
        <w:t>her</w:t>
      </w:r>
      <w:r w:rsidR="00C64050">
        <w:rPr>
          <w:szCs w:val="20"/>
        </w:rPr>
        <w:t xml:space="preserve"> </w:t>
      </w:r>
      <w:r w:rsidRPr="00410F1D">
        <w:rPr>
          <w:szCs w:val="20"/>
        </w:rPr>
        <w:t>spousal</w:t>
      </w:r>
      <w:r w:rsidR="00C64050">
        <w:rPr>
          <w:szCs w:val="20"/>
        </w:rPr>
        <w:t xml:space="preserve"> </w:t>
      </w:r>
      <w:r w:rsidRPr="00410F1D">
        <w:rPr>
          <w:szCs w:val="20"/>
        </w:rPr>
        <w:t>elective</w:t>
      </w:r>
      <w:r w:rsidR="00C64050">
        <w:rPr>
          <w:szCs w:val="20"/>
        </w:rPr>
        <w:t xml:space="preserve"> </w:t>
      </w:r>
      <w:r w:rsidRPr="00410F1D">
        <w:rPr>
          <w:szCs w:val="20"/>
        </w:rPr>
        <w:t>share</w:t>
      </w:r>
      <w:r w:rsidR="00C64050">
        <w:rPr>
          <w:szCs w:val="20"/>
        </w:rPr>
        <w:t xml:space="preserve"> </w:t>
      </w:r>
      <w:r w:rsidRPr="00410F1D">
        <w:rPr>
          <w:szCs w:val="20"/>
        </w:rPr>
        <w:t>from</w:t>
      </w:r>
      <w:r w:rsidR="00C64050">
        <w:rPr>
          <w:szCs w:val="20"/>
        </w:rPr>
        <w:t xml:space="preserve"> </w:t>
      </w:r>
      <w:r w:rsidRPr="00410F1D">
        <w:rPr>
          <w:szCs w:val="20"/>
        </w:rPr>
        <w:t>the</w:t>
      </w:r>
      <w:r w:rsidR="00C64050">
        <w:rPr>
          <w:szCs w:val="20"/>
        </w:rPr>
        <w:t xml:space="preserve"> </w:t>
      </w:r>
      <w:r w:rsidRPr="00410F1D">
        <w:rPr>
          <w:szCs w:val="20"/>
        </w:rPr>
        <w:t>Trust</w:t>
      </w:r>
      <w:r w:rsidR="00C64050">
        <w:rPr>
          <w:szCs w:val="20"/>
        </w:rPr>
        <w:t xml:space="preserve"> </w:t>
      </w:r>
      <w:r w:rsidRPr="00410F1D">
        <w:rPr>
          <w:szCs w:val="20"/>
        </w:rPr>
        <w:t>corpus.</w:t>
      </w:r>
    </w:p>
    <w:p w:rsidR="004E2067" w:rsidRPr="004E2067" w:rsidRDefault="00410F1D" w:rsidP="00B66CCE">
      <w:pPr>
        <w:pStyle w:val="Heading20"/>
        <w:numPr>
          <w:ilvl w:val="1"/>
          <w:numId w:val="33"/>
        </w:numPr>
        <w:tabs>
          <w:tab w:val="clear" w:pos="2700"/>
        </w:tabs>
        <w:ind w:left="0"/>
        <w:rPr>
          <w:vanish/>
          <w:specVanish/>
        </w:rPr>
      </w:pPr>
      <w:bookmarkStart w:id="807" w:name="_Toc94704697"/>
      <w:r>
        <w:rPr>
          <w:b/>
          <w:u w:val="single"/>
        </w:rPr>
        <w:t>Duty</w:t>
      </w:r>
      <w:r w:rsidR="00C64050">
        <w:rPr>
          <w:b/>
          <w:u w:val="single"/>
        </w:rPr>
        <w:t xml:space="preserve"> </w:t>
      </w:r>
      <w:r>
        <w:rPr>
          <w:b/>
          <w:u w:val="single"/>
        </w:rPr>
        <w:t>to</w:t>
      </w:r>
      <w:r w:rsidR="00C64050">
        <w:rPr>
          <w:b/>
          <w:u w:val="single"/>
        </w:rPr>
        <w:t xml:space="preserve"> </w:t>
      </w:r>
      <w:r>
        <w:rPr>
          <w:b/>
          <w:u w:val="single"/>
        </w:rPr>
        <w:t>Consider</w:t>
      </w:r>
      <w:r w:rsidR="00C64050">
        <w:rPr>
          <w:b/>
          <w:u w:val="single"/>
        </w:rPr>
        <w:t xml:space="preserve"> </w:t>
      </w:r>
      <w:r>
        <w:rPr>
          <w:b/>
          <w:u w:val="single"/>
        </w:rPr>
        <w:t>Other</w:t>
      </w:r>
      <w:r w:rsidR="00C64050">
        <w:rPr>
          <w:b/>
          <w:u w:val="single"/>
        </w:rPr>
        <w:t xml:space="preserve"> </w:t>
      </w:r>
      <w:r>
        <w:rPr>
          <w:b/>
          <w:u w:val="single"/>
        </w:rPr>
        <w:t>Assets</w:t>
      </w:r>
      <w:r w:rsidR="00C64050">
        <w:rPr>
          <w:b/>
          <w:u w:val="single"/>
        </w:rPr>
        <w:t xml:space="preserve"> </w:t>
      </w:r>
      <w:r>
        <w:rPr>
          <w:b/>
          <w:u w:val="single"/>
        </w:rPr>
        <w:t>When</w:t>
      </w:r>
      <w:r w:rsidR="00C64050">
        <w:rPr>
          <w:b/>
          <w:u w:val="single"/>
        </w:rPr>
        <w:t xml:space="preserve"> </w:t>
      </w:r>
      <w:r>
        <w:rPr>
          <w:b/>
          <w:u w:val="single"/>
        </w:rPr>
        <w:t>Making</w:t>
      </w:r>
      <w:r w:rsidR="00C64050">
        <w:rPr>
          <w:b/>
          <w:u w:val="single"/>
        </w:rPr>
        <w:t xml:space="preserve"> </w:t>
      </w:r>
      <w:r>
        <w:rPr>
          <w:b/>
          <w:u w:val="single"/>
        </w:rPr>
        <w:t>Distribution</w:t>
      </w:r>
      <w:bookmarkEnd w:id="807"/>
    </w:p>
    <w:p w:rsidR="00A95336" w:rsidRDefault="00410F1D" w:rsidP="004E2067">
      <w:pPr>
        <w:pStyle w:val="Heading2Body"/>
      </w:pPr>
      <w:r>
        <w:t>.</w:t>
      </w:r>
      <w:r w:rsidR="00C64050">
        <w:t xml:space="preserve">  </w:t>
      </w:r>
      <w:r>
        <w:t>Technically,</w:t>
      </w:r>
      <w:r w:rsidR="00C64050">
        <w:t xml:space="preserve"> </w:t>
      </w:r>
      <w:r>
        <w:rPr>
          <w:u w:val="single"/>
        </w:rPr>
        <w:t>Matter</w:t>
      </w:r>
      <w:r w:rsidR="00C64050">
        <w:rPr>
          <w:u w:val="single"/>
        </w:rPr>
        <w:t xml:space="preserve"> </w:t>
      </w:r>
      <w:r>
        <w:rPr>
          <w:u w:val="single"/>
        </w:rPr>
        <w:t>of</w:t>
      </w:r>
      <w:r w:rsidR="00C64050">
        <w:rPr>
          <w:u w:val="single"/>
        </w:rPr>
        <w:t xml:space="preserve"> </w:t>
      </w:r>
      <w:r>
        <w:rPr>
          <w:u w:val="single"/>
        </w:rPr>
        <w:t>William</w:t>
      </w:r>
      <w:r w:rsidR="00C64050">
        <w:rPr>
          <w:u w:val="single"/>
        </w:rPr>
        <w:t xml:space="preserve"> </w:t>
      </w:r>
      <w:r>
        <w:rPr>
          <w:u w:val="single"/>
        </w:rPr>
        <w:t>J.</w:t>
      </w:r>
      <w:r w:rsidR="00C64050">
        <w:rPr>
          <w:u w:val="single"/>
        </w:rPr>
        <w:t xml:space="preserve"> </w:t>
      </w:r>
      <w:r>
        <w:rPr>
          <w:u w:val="single"/>
        </w:rPr>
        <w:t>Raggio</w:t>
      </w:r>
      <w:r w:rsidR="00C64050">
        <w:rPr>
          <w:u w:val="single"/>
        </w:rPr>
        <w:t xml:space="preserve"> </w:t>
      </w:r>
      <w:r>
        <w:rPr>
          <w:u w:val="single"/>
        </w:rPr>
        <w:t>Family</w:t>
      </w:r>
      <w:r w:rsidR="00C64050">
        <w:rPr>
          <w:u w:val="single"/>
        </w:rPr>
        <w:t xml:space="preserve"> </w:t>
      </w:r>
      <w:r>
        <w:rPr>
          <w:u w:val="single"/>
        </w:rPr>
        <w:t>Trust</w:t>
      </w:r>
      <w:r>
        <w:t>,</w:t>
      </w:r>
      <w:r w:rsidR="00C64050">
        <w:t xml:space="preserve"> </w:t>
      </w:r>
      <w:r w:rsidR="00FE0A28">
        <w:t>460</w:t>
      </w:r>
      <w:r w:rsidR="00C64050">
        <w:t xml:space="preserve"> </w:t>
      </w:r>
      <w:r>
        <w:t>P.3d</w:t>
      </w:r>
      <w:r w:rsidR="00C64050">
        <w:t xml:space="preserve"> </w:t>
      </w:r>
      <w:r w:rsidR="00FE0A28">
        <w:t>969</w:t>
      </w:r>
      <w:r w:rsidR="00C64050">
        <w:t xml:space="preserve"> </w:t>
      </w:r>
      <w:r>
        <w:t>(Nv.</w:t>
      </w:r>
      <w:r w:rsidR="00C64050">
        <w:t xml:space="preserve"> </w:t>
      </w:r>
      <w:r>
        <w:t>2020),</w:t>
      </w:r>
      <w:r w:rsidR="00C64050">
        <w:t xml:space="preserve"> </w:t>
      </w:r>
      <w:r>
        <w:t>was</w:t>
      </w:r>
      <w:r w:rsidR="00C64050">
        <w:t xml:space="preserve"> </w:t>
      </w:r>
      <w:r>
        <w:t>a</w:t>
      </w:r>
      <w:r w:rsidR="00C64050">
        <w:t xml:space="preserve"> </w:t>
      </w:r>
      <w:r>
        <w:t>discovery</w:t>
      </w:r>
      <w:r w:rsidR="00C64050">
        <w:t xml:space="preserve"> </w:t>
      </w:r>
      <w:r>
        <w:t>action</w:t>
      </w:r>
      <w:r w:rsidR="00C64050">
        <w:t xml:space="preserve"> </w:t>
      </w:r>
      <w:r>
        <w:t>but</w:t>
      </w:r>
      <w:r w:rsidR="00C64050">
        <w:t xml:space="preserve"> </w:t>
      </w:r>
      <w:r>
        <w:t>the</w:t>
      </w:r>
      <w:r w:rsidR="00C64050">
        <w:t xml:space="preserve"> </w:t>
      </w:r>
      <w:r>
        <w:t>substantive</w:t>
      </w:r>
      <w:r w:rsidR="00C64050">
        <w:t xml:space="preserve"> </w:t>
      </w:r>
      <w:r>
        <w:t>issue</w:t>
      </w:r>
      <w:r w:rsidR="00C64050">
        <w:t xml:space="preserve"> </w:t>
      </w:r>
      <w:r>
        <w:t>is</w:t>
      </w:r>
      <w:r w:rsidR="00C64050">
        <w:t xml:space="preserve"> </w:t>
      </w:r>
      <w:r>
        <w:t>fascinating.</w:t>
      </w:r>
      <w:r w:rsidR="00C64050">
        <w:t xml:space="preserve">  </w:t>
      </w:r>
      <w:r>
        <w:t>Widow</w:t>
      </w:r>
      <w:r w:rsidR="00C64050">
        <w:t xml:space="preserve"> </w:t>
      </w:r>
      <w:r>
        <w:t>was</w:t>
      </w:r>
      <w:r w:rsidR="00C64050">
        <w:t xml:space="preserve"> </w:t>
      </w:r>
      <w:r>
        <w:t>trustee</w:t>
      </w:r>
      <w:r w:rsidR="00C64050">
        <w:t xml:space="preserve"> </w:t>
      </w:r>
      <w:r>
        <w:t>and</w:t>
      </w:r>
      <w:r w:rsidR="00C64050">
        <w:t xml:space="preserve"> </w:t>
      </w:r>
      <w:r>
        <w:t>beneficiary</w:t>
      </w:r>
      <w:r w:rsidR="00C64050">
        <w:t xml:space="preserve"> </w:t>
      </w:r>
      <w:r>
        <w:t>of</w:t>
      </w:r>
      <w:r w:rsidR="00C64050">
        <w:t xml:space="preserve"> </w:t>
      </w:r>
      <w:r>
        <w:t>a</w:t>
      </w:r>
      <w:r w:rsidR="00C64050">
        <w:t xml:space="preserve"> </w:t>
      </w:r>
      <w:r>
        <w:t>marital</w:t>
      </w:r>
      <w:r w:rsidR="00C64050">
        <w:t xml:space="preserve"> </w:t>
      </w:r>
      <w:r>
        <w:t>trust</w:t>
      </w:r>
      <w:r w:rsidR="00C64050">
        <w:t xml:space="preserve"> </w:t>
      </w:r>
      <w:r>
        <w:t>and</w:t>
      </w:r>
      <w:r w:rsidR="00C64050">
        <w:t xml:space="preserve"> </w:t>
      </w:r>
      <w:r>
        <w:t>a</w:t>
      </w:r>
      <w:r w:rsidR="00C64050">
        <w:t xml:space="preserve"> </w:t>
      </w:r>
      <w:r>
        <w:t>bypass</w:t>
      </w:r>
      <w:r w:rsidR="00C64050">
        <w:t xml:space="preserve"> </w:t>
      </w:r>
      <w:r>
        <w:t>trust,</w:t>
      </w:r>
      <w:r w:rsidR="00C64050">
        <w:t xml:space="preserve"> </w:t>
      </w:r>
      <w:r>
        <w:t>which</w:t>
      </w:r>
      <w:r w:rsidR="00C64050">
        <w:t xml:space="preserve"> </w:t>
      </w:r>
      <w:r>
        <w:t>had</w:t>
      </w:r>
      <w:r w:rsidR="00C64050">
        <w:t xml:space="preserve"> </w:t>
      </w:r>
      <w:r>
        <w:t>different</w:t>
      </w:r>
      <w:r w:rsidR="00C64050">
        <w:t xml:space="preserve"> </w:t>
      </w:r>
      <w:r>
        <w:t>beneficiaries.</w:t>
      </w:r>
      <w:r w:rsidR="00C64050">
        <w:t xml:space="preserve">  </w:t>
      </w:r>
      <w:r>
        <w:t>She</w:t>
      </w:r>
      <w:r w:rsidR="00C64050">
        <w:t xml:space="preserve"> </w:t>
      </w:r>
      <w:r>
        <w:t>made</w:t>
      </w:r>
      <w:r w:rsidR="00C64050">
        <w:t xml:space="preserve"> </w:t>
      </w:r>
      <w:r>
        <w:t>distribution</w:t>
      </w:r>
      <w:r w:rsidR="00C64050">
        <w:t xml:space="preserve"> </w:t>
      </w:r>
      <w:r>
        <w:t>to</w:t>
      </w:r>
      <w:r w:rsidR="00C64050">
        <w:t xml:space="preserve"> </w:t>
      </w:r>
      <w:r>
        <w:t>herself</w:t>
      </w:r>
      <w:r w:rsidR="00C64050">
        <w:t xml:space="preserve"> </w:t>
      </w:r>
      <w:r>
        <w:t>from</w:t>
      </w:r>
      <w:r w:rsidR="00C64050">
        <w:t xml:space="preserve"> </w:t>
      </w:r>
      <w:r>
        <w:t>the</w:t>
      </w:r>
      <w:r w:rsidR="00C64050">
        <w:t xml:space="preserve"> </w:t>
      </w:r>
      <w:r>
        <w:t>marital</w:t>
      </w:r>
      <w:r w:rsidR="00C64050">
        <w:t xml:space="preserve"> </w:t>
      </w:r>
      <w:r>
        <w:t>trust</w:t>
      </w:r>
      <w:r w:rsidR="00C64050">
        <w:t xml:space="preserve"> </w:t>
      </w:r>
      <w:r>
        <w:t>that</w:t>
      </w:r>
      <w:r w:rsidR="00C64050">
        <w:t xml:space="preserve"> </w:t>
      </w:r>
      <w:r>
        <w:t>ultimately</w:t>
      </w:r>
      <w:r w:rsidR="00C64050">
        <w:t xml:space="preserve"> </w:t>
      </w:r>
      <w:r>
        <w:t>passed</w:t>
      </w:r>
      <w:r w:rsidR="00C64050">
        <w:t xml:space="preserve"> </w:t>
      </w:r>
      <w:r>
        <w:t>to</w:t>
      </w:r>
      <w:r w:rsidR="00C64050">
        <w:t xml:space="preserve"> </w:t>
      </w:r>
      <w:r>
        <w:t>her</w:t>
      </w:r>
      <w:r w:rsidR="00C64050">
        <w:t xml:space="preserve"> </w:t>
      </w:r>
      <w:r>
        <w:t>husband’s</w:t>
      </w:r>
      <w:r w:rsidR="00C64050">
        <w:t xml:space="preserve"> </w:t>
      </w:r>
      <w:r>
        <w:t>family,</w:t>
      </w:r>
      <w:r w:rsidR="00C64050">
        <w:t xml:space="preserve"> </w:t>
      </w:r>
      <w:r>
        <w:t>as</w:t>
      </w:r>
      <w:r w:rsidR="00C64050">
        <w:t xml:space="preserve"> </w:t>
      </w:r>
      <w:r>
        <w:t>opposed</w:t>
      </w:r>
      <w:r w:rsidR="00C64050">
        <w:t xml:space="preserve"> </w:t>
      </w:r>
      <w:r>
        <w:t>to</w:t>
      </w:r>
      <w:r w:rsidR="00C64050">
        <w:t xml:space="preserve"> </w:t>
      </w:r>
      <w:r>
        <w:t>the</w:t>
      </w:r>
      <w:r w:rsidR="00C64050">
        <w:t xml:space="preserve"> </w:t>
      </w:r>
      <w:r>
        <w:t>bypass</w:t>
      </w:r>
      <w:r w:rsidR="00C64050">
        <w:t xml:space="preserve"> </w:t>
      </w:r>
      <w:r>
        <w:t>trust</w:t>
      </w:r>
      <w:r w:rsidR="00C64050">
        <w:t xml:space="preserve"> </w:t>
      </w:r>
      <w:r>
        <w:t>that</w:t>
      </w:r>
      <w:r w:rsidR="00C64050">
        <w:t xml:space="preserve"> </w:t>
      </w:r>
      <w:r>
        <w:t>passed</w:t>
      </w:r>
      <w:r w:rsidR="00C64050">
        <w:t xml:space="preserve"> </w:t>
      </w:r>
      <w:r>
        <w:t>to</w:t>
      </w:r>
      <w:r w:rsidR="00C64050">
        <w:t xml:space="preserve"> </w:t>
      </w:r>
      <w:r>
        <w:t>hers.</w:t>
      </w:r>
      <w:r w:rsidR="00C64050">
        <w:t xml:space="preserve">  </w:t>
      </w:r>
      <w:r w:rsidR="006971C2">
        <w:t>The</w:t>
      </w:r>
      <w:r w:rsidR="00C64050">
        <w:t xml:space="preserve"> </w:t>
      </w:r>
      <w:r w:rsidR="006971C2">
        <w:t>court</w:t>
      </w:r>
      <w:r w:rsidR="00C64050">
        <w:t xml:space="preserve"> </w:t>
      </w:r>
      <w:r w:rsidR="006971C2">
        <w:t>approved</w:t>
      </w:r>
      <w:r w:rsidR="00C64050">
        <w:t xml:space="preserve"> </w:t>
      </w:r>
      <w:r w:rsidR="006971C2">
        <w:t>that</w:t>
      </w:r>
      <w:r w:rsidR="00C64050">
        <w:t xml:space="preserve"> </w:t>
      </w:r>
      <w:r w:rsidR="006971C2">
        <w:t>action.</w:t>
      </w:r>
      <w:r w:rsidR="00C64050">
        <w:t xml:space="preserve">  </w:t>
      </w:r>
      <w:r>
        <w:t>The</w:t>
      </w:r>
      <w:r w:rsidR="00C64050">
        <w:t xml:space="preserve"> </w:t>
      </w:r>
      <w:r>
        <w:t>opinion</w:t>
      </w:r>
      <w:r w:rsidR="00C64050">
        <w:t xml:space="preserve"> </w:t>
      </w:r>
      <w:r>
        <w:t>states:</w:t>
      </w:r>
    </w:p>
    <w:p w:rsidR="00410F1D" w:rsidRPr="00410F1D" w:rsidRDefault="00410F1D" w:rsidP="00410F1D">
      <w:pPr>
        <w:pStyle w:val="QS10"/>
        <w:rPr>
          <w:szCs w:val="20"/>
        </w:rPr>
      </w:pPr>
      <w:r w:rsidRPr="00410F1D">
        <w:rPr>
          <w:szCs w:val="20"/>
        </w:rPr>
        <w:t>The</w:t>
      </w:r>
      <w:r w:rsidR="00C64050">
        <w:rPr>
          <w:szCs w:val="20"/>
        </w:rPr>
        <w:t xml:space="preserve"> </w:t>
      </w:r>
      <w:r w:rsidRPr="00410F1D">
        <w:rPr>
          <w:szCs w:val="20"/>
        </w:rPr>
        <w:t>narrow</w:t>
      </w:r>
      <w:r w:rsidR="00C64050">
        <w:rPr>
          <w:szCs w:val="20"/>
        </w:rPr>
        <w:t xml:space="preserve"> </w:t>
      </w:r>
      <w:r w:rsidRPr="00410F1D">
        <w:rPr>
          <w:szCs w:val="20"/>
        </w:rPr>
        <w:t>question</w:t>
      </w:r>
      <w:r w:rsidR="00C64050">
        <w:rPr>
          <w:szCs w:val="20"/>
        </w:rPr>
        <w:t xml:space="preserve"> </w:t>
      </w:r>
      <w:r w:rsidRPr="00410F1D">
        <w:rPr>
          <w:szCs w:val="20"/>
        </w:rPr>
        <w:t>before</w:t>
      </w:r>
      <w:r w:rsidR="00C64050">
        <w:rPr>
          <w:szCs w:val="20"/>
        </w:rPr>
        <w:t xml:space="preserve"> </w:t>
      </w:r>
      <w:r w:rsidRPr="00410F1D">
        <w:rPr>
          <w:szCs w:val="20"/>
        </w:rPr>
        <w:t>us</w:t>
      </w:r>
      <w:r w:rsidR="00C64050">
        <w:rPr>
          <w:szCs w:val="20"/>
        </w:rPr>
        <w:t xml:space="preserve"> </w:t>
      </w:r>
      <w:r w:rsidRPr="00410F1D">
        <w:rPr>
          <w:szCs w:val="20"/>
        </w:rPr>
        <w:t>is</w:t>
      </w:r>
      <w:r w:rsidR="00C64050">
        <w:rPr>
          <w:szCs w:val="20"/>
        </w:rPr>
        <w:t xml:space="preserve"> </w:t>
      </w:r>
      <w:r w:rsidRPr="00410F1D">
        <w:rPr>
          <w:szCs w:val="20"/>
        </w:rPr>
        <w:t>whether</w:t>
      </w:r>
      <w:r w:rsidR="00C64050">
        <w:rPr>
          <w:szCs w:val="20"/>
        </w:rPr>
        <w:t xml:space="preserve"> </w:t>
      </w:r>
      <w:r w:rsidRPr="00410F1D">
        <w:rPr>
          <w:szCs w:val="20"/>
        </w:rPr>
        <w:t>Dale,</w:t>
      </w:r>
      <w:r w:rsidR="00C64050">
        <w:rPr>
          <w:szCs w:val="20"/>
        </w:rPr>
        <w:t xml:space="preserve"> </w:t>
      </w:r>
      <w:r w:rsidRPr="00410F1D">
        <w:rPr>
          <w:szCs w:val="20"/>
        </w:rPr>
        <w:t>as</w:t>
      </w:r>
      <w:r w:rsidR="00C64050">
        <w:rPr>
          <w:szCs w:val="20"/>
        </w:rPr>
        <w:t xml:space="preserve"> </w:t>
      </w:r>
      <w:r w:rsidRPr="00410F1D">
        <w:rPr>
          <w:szCs w:val="20"/>
        </w:rPr>
        <w:t>trustee,</w:t>
      </w:r>
      <w:r w:rsidR="00C64050">
        <w:rPr>
          <w:szCs w:val="20"/>
        </w:rPr>
        <w:t xml:space="preserve"> </w:t>
      </w:r>
      <w:r w:rsidRPr="00410F1D">
        <w:rPr>
          <w:szCs w:val="20"/>
        </w:rPr>
        <w:t>has</w:t>
      </w:r>
      <w:r w:rsidR="00C64050">
        <w:rPr>
          <w:szCs w:val="20"/>
        </w:rPr>
        <w:t xml:space="preserve"> </w:t>
      </w:r>
      <w:r w:rsidRPr="00410F1D">
        <w:rPr>
          <w:szCs w:val="20"/>
        </w:rPr>
        <w:t>an</w:t>
      </w:r>
      <w:r w:rsidR="00C64050">
        <w:rPr>
          <w:szCs w:val="20"/>
        </w:rPr>
        <w:t xml:space="preserve"> </w:t>
      </w:r>
      <w:r w:rsidRPr="00410F1D">
        <w:rPr>
          <w:szCs w:val="20"/>
        </w:rPr>
        <w:t>obligation</w:t>
      </w:r>
      <w:r w:rsidR="00C64050">
        <w:rPr>
          <w:szCs w:val="20"/>
        </w:rPr>
        <w:t xml:space="preserve"> </w:t>
      </w:r>
      <w:r w:rsidRPr="00410F1D">
        <w:rPr>
          <w:szCs w:val="20"/>
        </w:rPr>
        <w:t>to</w:t>
      </w:r>
      <w:r w:rsidR="00C64050">
        <w:rPr>
          <w:szCs w:val="20"/>
        </w:rPr>
        <w:t xml:space="preserve"> </w:t>
      </w:r>
      <w:r w:rsidRPr="00410F1D">
        <w:rPr>
          <w:szCs w:val="20"/>
        </w:rPr>
        <w:t>consider</w:t>
      </w:r>
      <w:r w:rsidR="00C64050">
        <w:rPr>
          <w:szCs w:val="20"/>
        </w:rPr>
        <w:t xml:space="preserve"> </w:t>
      </w:r>
      <w:r w:rsidRPr="00410F1D">
        <w:rPr>
          <w:szCs w:val="20"/>
        </w:rPr>
        <w:t>other</w:t>
      </w:r>
      <w:r w:rsidR="00C64050">
        <w:rPr>
          <w:szCs w:val="20"/>
        </w:rPr>
        <w:t xml:space="preserve"> </w:t>
      </w:r>
      <w:r w:rsidRPr="00410F1D">
        <w:rPr>
          <w:szCs w:val="20"/>
        </w:rPr>
        <w:t>assets,</w:t>
      </w:r>
      <w:r w:rsidR="00C64050">
        <w:rPr>
          <w:szCs w:val="20"/>
        </w:rPr>
        <w:t xml:space="preserve"> </w:t>
      </w:r>
      <w:r w:rsidRPr="00410F1D">
        <w:rPr>
          <w:szCs w:val="20"/>
        </w:rPr>
        <w:t>including</w:t>
      </w:r>
      <w:r w:rsidR="00C64050">
        <w:rPr>
          <w:szCs w:val="20"/>
        </w:rPr>
        <w:t xml:space="preserve"> </w:t>
      </w:r>
      <w:r w:rsidRPr="00410F1D">
        <w:rPr>
          <w:szCs w:val="20"/>
        </w:rPr>
        <w:t>those</w:t>
      </w:r>
      <w:r w:rsidR="00C64050">
        <w:rPr>
          <w:szCs w:val="20"/>
        </w:rPr>
        <w:t xml:space="preserve"> </w:t>
      </w:r>
      <w:r w:rsidRPr="00410F1D">
        <w:rPr>
          <w:szCs w:val="20"/>
        </w:rPr>
        <w:t>in</w:t>
      </w:r>
      <w:r w:rsidR="00C64050">
        <w:rPr>
          <w:szCs w:val="20"/>
        </w:rPr>
        <w:t xml:space="preserve"> </w:t>
      </w:r>
      <w:r w:rsidRPr="00410F1D">
        <w:rPr>
          <w:szCs w:val="20"/>
        </w:rPr>
        <w:t>the</w:t>
      </w:r>
      <w:r w:rsidR="00C64050">
        <w:rPr>
          <w:szCs w:val="20"/>
        </w:rPr>
        <w:t xml:space="preserve"> </w:t>
      </w:r>
      <w:r w:rsidRPr="00410F1D">
        <w:rPr>
          <w:szCs w:val="20"/>
        </w:rPr>
        <w:t>Credit</w:t>
      </w:r>
      <w:r w:rsidR="00C64050">
        <w:rPr>
          <w:szCs w:val="20"/>
        </w:rPr>
        <w:t xml:space="preserve"> </w:t>
      </w:r>
      <w:r w:rsidRPr="00410F1D">
        <w:rPr>
          <w:szCs w:val="20"/>
        </w:rPr>
        <w:t>Shelter</w:t>
      </w:r>
      <w:r w:rsidR="00C64050">
        <w:rPr>
          <w:szCs w:val="20"/>
        </w:rPr>
        <w:t xml:space="preserve"> </w:t>
      </w:r>
      <w:r w:rsidRPr="00410F1D">
        <w:rPr>
          <w:szCs w:val="20"/>
        </w:rPr>
        <w:t>Trust,</w:t>
      </w:r>
      <w:r w:rsidR="00C64050">
        <w:rPr>
          <w:szCs w:val="20"/>
        </w:rPr>
        <w:t xml:space="preserve"> </w:t>
      </w:r>
      <w:r w:rsidRPr="00410F1D">
        <w:rPr>
          <w:szCs w:val="20"/>
        </w:rPr>
        <w:t>before</w:t>
      </w:r>
      <w:r w:rsidR="00C64050">
        <w:rPr>
          <w:szCs w:val="20"/>
        </w:rPr>
        <w:t xml:space="preserve"> </w:t>
      </w:r>
      <w:r w:rsidRPr="00410F1D">
        <w:rPr>
          <w:szCs w:val="20"/>
        </w:rPr>
        <w:t>making</w:t>
      </w:r>
      <w:r w:rsidR="00C64050">
        <w:rPr>
          <w:szCs w:val="20"/>
        </w:rPr>
        <w:t xml:space="preserve"> </w:t>
      </w:r>
      <w:r w:rsidRPr="00410F1D">
        <w:rPr>
          <w:szCs w:val="20"/>
        </w:rPr>
        <w:t>distributions</w:t>
      </w:r>
      <w:r w:rsidR="00C64050">
        <w:rPr>
          <w:szCs w:val="20"/>
        </w:rPr>
        <w:t xml:space="preserve"> </w:t>
      </w:r>
      <w:r w:rsidRPr="00410F1D">
        <w:rPr>
          <w:szCs w:val="20"/>
        </w:rPr>
        <w:t>to</w:t>
      </w:r>
      <w:r w:rsidR="00C64050">
        <w:rPr>
          <w:szCs w:val="20"/>
        </w:rPr>
        <w:t xml:space="preserve"> </w:t>
      </w:r>
      <w:r w:rsidRPr="00410F1D">
        <w:rPr>
          <w:szCs w:val="20"/>
        </w:rPr>
        <w:t>herself,</w:t>
      </w:r>
      <w:r w:rsidR="00C64050">
        <w:rPr>
          <w:szCs w:val="20"/>
        </w:rPr>
        <w:t xml:space="preserve"> </w:t>
      </w:r>
      <w:r w:rsidRPr="00410F1D">
        <w:rPr>
          <w:szCs w:val="20"/>
        </w:rPr>
        <w:t>as</w:t>
      </w:r>
      <w:r w:rsidR="00C64050">
        <w:rPr>
          <w:szCs w:val="20"/>
        </w:rPr>
        <w:t xml:space="preserve"> </w:t>
      </w:r>
      <w:r w:rsidRPr="00410F1D">
        <w:rPr>
          <w:szCs w:val="20"/>
        </w:rPr>
        <w:t>beneficiary,</w:t>
      </w:r>
      <w:r w:rsidR="00C64050">
        <w:rPr>
          <w:szCs w:val="20"/>
        </w:rPr>
        <w:t xml:space="preserve"> </w:t>
      </w:r>
      <w:r w:rsidRPr="00410F1D">
        <w:rPr>
          <w:szCs w:val="20"/>
        </w:rPr>
        <w:t>from</w:t>
      </w:r>
      <w:r w:rsidR="00C64050">
        <w:rPr>
          <w:szCs w:val="20"/>
        </w:rPr>
        <w:t xml:space="preserve"> </w:t>
      </w:r>
      <w:r w:rsidRPr="00410F1D">
        <w:rPr>
          <w:szCs w:val="20"/>
        </w:rPr>
        <w:t>the</w:t>
      </w:r>
      <w:r w:rsidR="00C64050">
        <w:rPr>
          <w:szCs w:val="20"/>
        </w:rPr>
        <w:t xml:space="preserve"> </w:t>
      </w:r>
      <w:r w:rsidRPr="00410F1D">
        <w:rPr>
          <w:szCs w:val="20"/>
        </w:rPr>
        <w:t>Marital</w:t>
      </w:r>
      <w:r w:rsidR="00C64050">
        <w:rPr>
          <w:szCs w:val="20"/>
        </w:rPr>
        <w:t xml:space="preserve"> </w:t>
      </w:r>
      <w:r w:rsidRPr="00410F1D">
        <w:rPr>
          <w:szCs w:val="20"/>
        </w:rPr>
        <w:t>Trust.</w:t>
      </w:r>
      <w:r w:rsidR="00C64050">
        <w:rPr>
          <w:szCs w:val="20"/>
        </w:rPr>
        <w:t xml:space="preserve"> </w:t>
      </w:r>
      <w:r w:rsidRPr="00410F1D">
        <w:rPr>
          <w:szCs w:val="20"/>
        </w:rPr>
        <w:t>We</w:t>
      </w:r>
      <w:r w:rsidR="00C64050">
        <w:rPr>
          <w:szCs w:val="20"/>
        </w:rPr>
        <w:t xml:space="preserve"> </w:t>
      </w:r>
      <w:r w:rsidRPr="00410F1D">
        <w:rPr>
          <w:szCs w:val="20"/>
        </w:rPr>
        <w:t>conclude</w:t>
      </w:r>
      <w:r w:rsidR="00C64050">
        <w:rPr>
          <w:szCs w:val="20"/>
        </w:rPr>
        <w:t xml:space="preserve"> </w:t>
      </w:r>
      <w:r w:rsidRPr="00410F1D">
        <w:rPr>
          <w:szCs w:val="20"/>
        </w:rPr>
        <w:t>she</w:t>
      </w:r>
      <w:r w:rsidR="00C64050">
        <w:rPr>
          <w:szCs w:val="20"/>
        </w:rPr>
        <w:t xml:space="preserve"> </w:t>
      </w:r>
      <w:r w:rsidRPr="00410F1D">
        <w:rPr>
          <w:szCs w:val="20"/>
        </w:rPr>
        <w:t>does</w:t>
      </w:r>
      <w:r w:rsidR="00C64050">
        <w:rPr>
          <w:szCs w:val="20"/>
        </w:rPr>
        <w:t xml:space="preserve"> </w:t>
      </w:r>
      <w:r w:rsidRPr="00410F1D">
        <w:rPr>
          <w:szCs w:val="20"/>
        </w:rPr>
        <w:t>not.</w:t>
      </w:r>
      <w:r w:rsidR="00C64050">
        <w:rPr>
          <w:szCs w:val="20"/>
        </w:rPr>
        <w:t xml:space="preserve"> </w:t>
      </w:r>
      <w:r w:rsidRPr="00410F1D">
        <w:rPr>
          <w:szCs w:val="20"/>
        </w:rPr>
        <w:t>NRS</w:t>
      </w:r>
      <w:r w:rsidR="00C64050">
        <w:rPr>
          <w:szCs w:val="20"/>
        </w:rPr>
        <w:t xml:space="preserve"> </w:t>
      </w:r>
      <w:r w:rsidRPr="00410F1D">
        <w:rPr>
          <w:szCs w:val="20"/>
        </w:rPr>
        <w:t>163.4175</w:t>
      </w:r>
      <w:r w:rsidR="00C64050">
        <w:rPr>
          <w:szCs w:val="20"/>
        </w:rPr>
        <w:t xml:space="preserve"> </w:t>
      </w:r>
      <w:r w:rsidRPr="00410F1D">
        <w:rPr>
          <w:szCs w:val="20"/>
        </w:rPr>
        <w:t>states,</w:t>
      </w:r>
      <w:r w:rsidR="00C64050">
        <w:rPr>
          <w:szCs w:val="20"/>
        </w:rPr>
        <w:t xml:space="preserve"> </w:t>
      </w:r>
      <w:r w:rsidRPr="00410F1D">
        <w:rPr>
          <w:szCs w:val="20"/>
        </w:rPr>
        <w:t>“[e]xcept</w:t>
      </w:r>
      <w:r w:rsidR="00C64050">
        <w:rPr>
          <w:szCs w:val="20"/>
        </w:rPr>
        <w:t xml:space="preserve"> </w:t>
      </w:r>
      <w:r w:rsidRPr="00410F1D">
        <w:rPr>
          <w:szCs w:val="20"/>
        </w:rPr>
        <w:t>as</w:t>
      </w:r>
      <w:r w:rsidR="00C64050">
        <w:rPr>
          <w:szCs w:val="20"/>
        </w:rPr>
        <w:t xml:space="preserve"> </w:t>
      </w:r>
      <w:r w:rsidRPr="00410F1D">
        <w:rPr>
          <w:szCs w:val="20"/>
        </w:rPr>
        <w:t>otherwise</w:t>
      </w:r>
      <w:r w:rsidR="00C64050">
        <w:rPr>
          <w:szCs w:val="20"/>
        </w:rPr>
        <w:t xml:space="preserve"> </w:t>
      </w:r>
      <w:r w:rsidRPr="00410F1D">
        <w:rPr>
          <w:szCs w:val="20"/>
        </w:rPr>
        <w:t>provided</w:t>
      </w:r>
      <w:r w:rsidR="00C64050">
        <w:rPr>
          <w:szCs w:val="20"/>
        </w:rPr>
        <w:t xml:space="preserve"> </w:t>
      </w:r>
      <w:r w:rsidRPr="00410F1D">
        <w:rPr>
          <w:szCs w:val="20"/>
        </w:rPr>
        <w:t>in</w:t>
      </w:r>
      <w:r w:rsidR="00C64050">
        <w:rPr>
          <w:szCs w:val="20"/>
        </w:rPr>
        <w:t xml:space="preserve"> </w:t>
      </w:r>
      <w:r w:rsidRPr="00410F1D">
        <w:rPr>
          <w:szCs w:val="20"/>
        </w:rPr>
        <w:t>the</w:t>
      </w:r>
      <w:r w:rsidR="00C64050">
        <w:rPr>
          <w:szCs w:val="20"/>
        </w:rPr>
        <w:t xml:space="preserve"> </w:t>
      </w:r>
      <w:r w:rsidRPr="00410F1D">
        <w:rPr>
          <w:szCs w:val="20"/>
        </w:rPr>
        <w:t>trust</w:t>
      </w:r>
      <w:r w:rsidR="00C64050">
        <w:rPr>
          <w:szCs w:val="20"/>
        </w:rPr>
        <w:t xml:space="preserve"> </w:t>
      </w:r>
      <w:r w:rsidRPr="00410F1D">
        <w:rPr>
          <w:szCs w:val="20"/>
        </w:rPr>
        <w:t>instrument,</w:t>
      </w:r>
      <w:r w:rsidR="00C64050">
        <w:rPr>
          <w:szCs w:val="20"/>
        </w:rPr>
        <w:t xml:space="preserve"> </w:t>
      </w:r>
      <w:r w:rsidRPr="00410F1D">
        <w:rPr>
          <w:szCs w:val="20"/>
        </w:rPr>
        <w:t>the</w:t>
      </w:r>
      <w:r w:rsidR="00C64050">
        <w:rPr>
          <w:szCs w:val="20"/>
        </w:rPr>
        <w:t xml:space="preserve"> </w:t>
      </w:r>
      <w:r w:rsidRPr="00410F1D">
        <w:rPr>
          <w:szCs w:val="20"/>
        </w:rPr>
        <w:t>trustee</w:t>
      </w:r>
      <w:r w:rsidR="00C64050">
        <w:rPr>
          <w:szCs w:val="20"/>
        </w:rPr>
        <w:t xml:space="preserve"> </w:t>
      </w:r>
      <w:r w:rsidRPr="00410F1D">
        <w:rPr>
          <w:szCs w:val="20"/>
        </w:rPr>
        <w:t>is</w:t>
      </w:r>
      <w:r w:rsidR="00C64050">
        <w:rPr>
          <w:szCs w:val="20"/>
        </w:rPr>
        <w:t xml:space="preserve"> </w:t>
      </w:r>
      <w:r w:rsidRPr="00410F1D">
        <w:rPr>
          <w:szCs w:val="20"/>
        </w:rPr>
        <w:t>not</w:t>
      </w:r>
      <w:r w:rsidR="00C64050">
        <w:rPr>
          <w:szCs w:val="20"/>
        </w:rPr>
        <w:t xml:space="preserve"> </w:t>
      </w:r>
      <w:r w:rsidRPr="00410F1D">
        <w:rPr>
          <w:szCs w:val="20"/>
        </w:rPr>
        <w:t>required</w:t>
      </w:r>
      <w:r w:rsidR="00C64050">
        <w:rPr>
          <w:szCs w:val="20"/>
        </w:rPr>
        <w:t xml:space="preserve"> </w:t>
      </w:r>
      <w:r w:rsidRPr="00410F1D">
        <w:rPr>
          <w:szCs w:val="20"/>
        </w:rPr>
        <w:t>to</w:t>
      </w:r>
      <w:r w:rsidR="00C64050">
        <w:rPr>
          <w:szCs w:val="20"/>
        </w:rPr>
        <w:t xml:space="preserve"> </w:t>
      </w:r>
      <w:r w:rsidRPr="00410F1D">
        <w:rPr>
          <w:szCs w:val="20"/>
        </w:rPr>
        <w:t>consider</w:t>
      </w:r>
      <w:r w:rsidR="00C64050">
        <w:rPr>
          <w:szCs w:val="20"/>
        </w:rPr>
        <w:t xml:space="preserve"> </w:t>
      </w:r>
      <w:r w:rsidRPr="00410F1D">
        <w:rPr>
          <w:szCs w:val="20"/>
        </w:rPr>
        <w:t>a</w:t>
      </w:r>
      <w:r w:rsidR="00C64050">
        <w:rPr>
          <w:szCs w:val="20"/>
        </w:rPr>
        <w:t xml:space="preserve"> </w:t>
      </w:r>
      <w:r w:rsidRPr="00410F1D">
        <w:rPr>
          <w:szCs w:val="20"/>
        </w:rPr>
        <w:t>beneficiary’s</w:t>
      </w:r>
      <w:r w:rsidR="00C64050">
        <w:rPr>
          <w:szCs w:val="20"/>
        </w:rPr>
        <w:t xml:space="preserve"> </w:t>
      </w:r>
      <w:r w:rsidRPr="00410F1D">
        <w:rPr>
          <w:szCs w:val="20"/>
        </w:rPr>
        <w:t>assets</w:t>
      </w:r>
      <w:r w:rsidR="00C64050">
        <w:rPr>
          <w:szCs w:val="20"/>
        </w:rPr>
        <w:t xml:space="preserve"> </w:t>
      </w:r>
      <w:r w:rsidRPr="00410F1D">
        <w:rPr>
          <w:szCs w:val="20"/>
        </w:rPr>
        <w:t>or</w:t>
      </w:r>
      <w:r w:rsidR="00C64050">
        <w:rPr>
          <w:szCs w:val="20"/>
        </w:rPr>
        <w:t xml:space="preserve"> </w:t>
      </w:r>
      <w:r w:rsidRPr="00410F1D">
        <w:rPr>
          <w:szCs w:val="20"/>
        </w:rPr>
        <w:t>resources</w:t>
      </w:r>
      <w:r w:rsidR="00C64050">
        <w:rPr>
          <w:szCs w:val="20"/>
        </w:rPr>
        <w:t xml:space="preserve"> </w:t>
      </w:r>
      <w:r w:rsidRPr="00410F1D">
        <w:rPr>
          <w:szCs w:val="20"/>
        </w:rPr>
        <w:t>in</w:t>
      </w:r>
      <w:r w:rsidR="00C64050">
        <w:rPr>
          <w:szCs w:val="20"/>
        </w:rPr>
        <w:t xml:space="preserve"> </w:t>
      </w:r>
      <w:r w:rsidRPr="00410F1D">
        <w:rPr>
          <w:szCs w:val="20"/>
        </w:rPr>
        <w:t>determining</w:t>
      </w:r>
      <w:r w:rsidR="00C64050">
        <w:rPr>
          <w:szCs w:val="20"/>
        </w:rPr>
        <w:t xml:space="preserve"> </w:t>
      </w:r>
      <w:r w:rsidRPr="00410F1D">
        <w:rPr>
          <w:szCs w:val="20"/>
        </w:rPr>
        <w:t>whether</w:t>
      </w:r>
      <w:r w:rsidR="00C64050">
        <w:rPr>
          <w:szCs w:val="20"/>
        </w:rPr>
        <w:t xml:space="preserve"> </w:t>
      </w:r>
      <w:r w:rsidRPr="00410F1D">
        <w:rPr>
          <w:szCs w:val="20"/>
        </w:rPr>
        <w:t>to</w:t>
      </w:r>
      <w:r w:rsidR="00C64050">
        <w:rPr>
          <w:szCs w:val="20"/>
        </w:rPr>
        <w:t xml:space="preserve"> </w:t>
      </w:r>
      <w:r w:rsidRPr="00410F1D">
        <w:rPr>
          <w:szCs w:val="20"/>
        </w:rPr>
        <w:t>make</w:t>
      </w:r>
      <w:r w:rsidR="00C64050">
        <w:rPr>
          <w:szCs w:val="20"/>
        </w:rPr>
        <w:t xml:space="preserve"> </w:t>
      </w:r>
      <w:r w:rsidRPr="00410F1D">
        <w:rPr>
          <w:szCs w:val="20"/>
        </w:rPr>
        <w:t>a</w:t>
      </w:r>
      <w:r w:rsidR="00C64050">
        <w:rPr>
          <w:szCs w:val="20"/>
        </w:rPr>
        <w:t xml:space="preserve"> </w:t>
      </w:r>
      <w:r w:rsidRPr="00410F1D">
        <w:rPr>
          <w:szCs w:val="20"/>
        </w:rPr>
        <w:t>distribution</w:t>
      </w:r>
      <w:r w:rsidR="00C64050">
        <w:rPr>
          <w:szCs w:val="20"/>
        </w:rPr>
        <w:t xml:space="preserve"> </w:t>
      </w:r>
      <w:r w:rsidRPr="00410F1D">
        <w:rPr>
          <w:szCs w:val="20"/>
        </w:rPr>
        <w:t>of</w:t>
      </w:r>
      <w:r w:rsidR="00C64050">
        <w:rPr>
          <w:szCs w:val="20"/>
        </w:rPr>
        <w:t xml:space="preserve"> </w:t>
      </w:r>
      <w:r w:rsidRPr="00410F1D">
        <w:rPr>
          <w:szCs w:val="20"/>
        </w:rPr>
        <w:t>trust</w:t>
      </w:r>
      <w:r w:rsidR="00C64050">
        <w:rPr>
          <w:szCs w:val="20"/>
        </w:rPr>
        <w:t xml:space="preserve"> </w:t>
      </w:r>
      <w:r w:rsidRPr="00410F1D">
        <w:rPr>
          <w:szCs w:val="20"/>
        </w:rPr>
        <w:t>assets.”</w:t>
      </w:r>
      <w:r w:rsidR="00C64050">
        <w:rPr>
          <w:szCs w:val="20"/>
        </w:rPr>
        <w:t xml:space="preserve"> </w:t>
      </w:r>
      <w:r w:rsidRPr="00410F1D">
        <w:rPr>
          <w:szCs w:val="20"/>
        </w:rPr>
        <w:t>Thus,</w:t>
      </w:r>
      <w:r w:rsidR="00C64050">
        <w:rPr>
          <w:szCs w:val="20"/>
        </w:rPr>
        <w:t xml:space="preserve"> </w:t>
      </w:r>
      <w:r w:rsidRPr="00410F1D">
        <w:rPr>
          <w:szCs w:val="20"/>
        </w:rPr>
        <w:t>Nevada</w:t>
      </w:r>
      <w:r w:rsidR="00C64050">
        <w:rPr>
          <w:szCs w:val="20"/>
        </w:rPr>
        <w:t xml:space="preserve"> </w:t>
      </w:r>
      <w:r w:rsidRPr="00410F1D">
        <w:rPr>
          <w:szCs w:val="20"/>
        </w:rPr>
        <w:t>trust</w:t>
      </w:r>
      <w:r w:rsidR="00C64050">
        <w:rPr>
          <w:szCs w:val="20"/>
        </w:rPr>
        <w:t xml:space="preserve"> </w:t>
      </w:r>
      <w:r w:rsidRPr="00410F1D">
        <w:rPr>
          <w:szCs w:val="20"/>
        </w:rPr>
        <w:t>law</w:t>
      </w:r>
      <w:r w:rsidR="00C64050">
        <w:rPr>
          <w:szCs w:val="20"/>
        </w:rPr>
        <w:t xml:space="preserve"> </w:t>
      </w:r>
      <w:r w:rsidRPr="00410F1D">
        <w:rPr>
          <w:szCs w:val="20"/>
        </w:rPr>
        <w:t>does</w:t>
      </w:r>
      <w:r w:rsidR="00C64050">
        <w:rPr>
          <w:szCs w:val="20"/>
        </w:rPr>
        <w:t xml:space="preserve"> </w:t>
      </w:r>
      <w:r w:rsidRPr="00410F1D">
        <w:rPr>
          <w:szCs w:val="20"/>
        </w:rPr>
        <w:t>not</w:t>
      </w:r>
      <w:r w:rsidR="00C64050">
        <w:rPr>
          <w:szCs w:val="20"/>
        </w:rPr>
        <w:t xml:space="preserve"> </w:t>
      </w:r>
      <w:r w:rsidRPr="00410F1D">
        <w:rPr>
          <w:szCs w:val="20"/>
        </w:rPr>
        <w:t>obligate</w:t>
      </w:r>
      <w:r w:rsidR="00C64050">
        <w:rPr>
          <w:szCs w:val="20"/>
        </w:rPr>
        <w:t xml:space="preserve"> </w:t>
      </w:r>
      <w:r w:rsidRPr="00410F1D">
        <w:rPr>
          <w:szCs w:val="20"/>
        </w:rPr>
        <w:t>a</w:t>
      </w:r>
      <w:r w:rsidR="00C64050">
        <w:rPr>
          <w:szCs w:val="20"/>
        </w:rPr>
        <w:t xml:space="preserve"> </w:t>
      </w:r>
      <w:r w:rsidRPr="00410F1D">
        <w:rPr>
          <w:szCs w:val="20"/>
        </w:rPr>
        <w:t>trustee</w:t>
      </w:r>
      <w:r w:rsidR="00C64050">
        <w:rPr>
          <w:szCs w:val="20"/>
        </w:rPr>
        <w:t xml:space="preserve"> </w:t>
      </w:r>
      <w:r w:rsidRPr="00410F1D">
        <w:rPr>
          <w:szCs w:val="20"/>
        </w:rPr>
        <w:t>to</w:t>
      </w:r>
      <w:r w:rsidR="00C64050">
        <w:rPr>
          <w:szCs w:val="20"/>
        </w:rPr>
        <w:t xml:space="preserve"> </w:t>
      </w:r>
      <w:r w:rsidRPr="00410F1D">
        <w:rPr>
          <w:szCs w:val="20"/>
        </w:rPr>
        <w:t>consider</w:t>
      </w:r>
      <w:r w:rsidR="00C64050">
        <w:rPr>
          <w:szCs w:val="20"/>
        </w:rPr>
        <w:t xml:space="preserve"> </w:t>
      </w:r>
      <w:r w:rsidRPr="00410F1D">
        <w:rPr>
          <w:szCs w:val="20"/>
        </w:rPr>
        <w:t>other</w:t>
      </w:r>
      <w:r w:rsidR="00C64050">
        <w:rPr>
          <w:szCs w:val="20"/>
        </w:rPr>
        <w:t xml:space="preserve"> </w:t>
      </w:r>
      <w:r w:rsidRPr="00410F1D">
        <w:rPr>
          <w:szCs w:val="20"/>
        </w:rPr>
        <w:t>assets</w:t>
      </w:r>
      <w:r w:rsidR="00C64050">
        <w:rPr>
          <w:szCs w:val="20"/>
        </w:rPr>
        <w:t xml:space="preserve"> </w:t>
      </w:r>
      <w:r w:rsidRPr="00410F1D">
        <w:rPr>
          <w:szCs w:val="20"/>
        </w:rPr>
        <w:t>or</w:t>
      </w:r>
      <w:r w:rsidR="00C64050">
        <w:rPr>
          <w:szCs w:val="20"/>
        </w:rPr>
        <w:t xml:space="preserve"> </w:t>
      </w:r>
      <w:r w:rsidRPr="00410F1D">
        <w:rPr>
          <w:szCs w:val="20"/>
        </w:rPr>
        <w:t>resources</w:t>
      </w:r>
      <w:r w:rsidR="00C64050">
        <w:rPr>
          <w:szCs w:val="20"/>
        </w:rPr>
        <w:t xml:space="preserve"> </w:t>
      </w:r>
      <w:r w:rsidRPr="00410F1D">
        <w:rPr>
          <w:szCs w:val="20"/>
        </w:rPr>
        <w:t>before</w:t>
      </w:r>
      <w:r w:rsidR="00C64050">
        <w:rPr>
          <w:szCs w:val="20"/>
        </w:rPr>
        <w:t xml:space="preserve"> </w:t>
      </w:r>
      <w:r w:rsidRPr="00410F1D">
        <w:rPr>
          <w:szCs w:val="20"/>
        </w:rPr>
        <w:t>making</w:t>
      </w:r>
      <w:r w:rsidR="00C64050">
        <w:rPr>
          <w:szCs w:val="20"/>
        </w:rPr>
        <w:t xml:space="preserve"> </w:t>
      </w:r>
      <w:r w:rsidRPr="00410F1D">
        <w:rPr>
          <w:szCs w:val="20"/>
        </w:rPr>
        <w:t>a</w:t>
      </w:r>
      <w:r w:rsidR="00C64050">
        <w:rPr>
          <w:szCs w:val="20"/>
        </w:rPr>
        <w:t xml:space="preserve"> </w:t>
      </w:r>
      <w:r w:rsidRPr="00410F1D">
        <w:rPr>
          <w:szCs w:val="20"/>
        </w:rPr>
        <w:t>distribution</w:t>
      </w:r>
      <w:r w:rsidR="00C64050">
        <w:rPr>
          <w:szCs w:val="20"/>
        </w:rPr>
        <w:t xml:space="preserve"> </w:t>
      </w:r>
      <w:r w:rsidRPr="00410F1D">
        <w:rPr>
          <w:szCs w:val="20"/>
        </w:rPr>
        <w:t>unless</w:t>
      </w:r>
      <w:r w:rsidR="00C64050">
        <w:rPr>
          <w:szCs w:val="20"/>
        </w:rPr>
        <w:t xml:space="preserve"> </w:t>
      </w:r>
      <w:r w:rsidRPr="00410F1D">
        <w:rPr>
          <w:szCs w:val="20"/>
        </w:rPr>
        <w:t>the</w:t>
      </w:r>
      <w:r w:rsidR="00C64050">
        <w:rPr>
          <w:szCs w:val="20"/>
        </w:rPr>
        <w:t xml:space="preserve"> </w:t>
      </w:r>
      <w:r w:rsidRPr="00410F1D">
        <w:rPr>
          <w:szCs w:val="20"/>
        </w:rPr>
        <w:t>trust</w:t>
      </w:r>
      <w:r w:rsidR="00C64050">
        <w:rPr>
          <w:szCs w:val="20"/>
        </w:rPr>
        <w:t xml:space="preserve"> </w:t>
      </w:r>
      <w:r w:rsidRPr="00410F1D">
        <w:rPr>
          <w:szCs w:val="20"/>
        </w:rPr>
        <w:t>instrument</w:t>
      </w:r>
      <w:r w:rsidR="00C64050">
        <w:rPr>
          <w:szCs w:val="20"/>
        </w:rPr>
        <w:t xml:space="preserve"> </w:t>
      </w:r>
      <w:r w:rsidRPr="00410F1D">
        <w:rPr>
          <w:szCs w:val="20"/>
        </w:rPr>
        <w:t>itself</w:t>
      </w:r>
      <w:r w:rsidR="00C64050">
        <w:rPr>
          <w:szCs w:val="20"/>
        </w:rPr>
        <w:t xml:space="preserve"> </w:t>
      </w:r>
      <w:r w:rsidRPr="00410F1D">
        <w:rPr>
          <w:szCs w:val="20"/>
        </w:rPr>
        <w:t>sets</w:t>
      </w:r>
      <w:r w:rsidR="00C64050">
        <w:rPr>
          <w:szCs w:val="20"/>
        </w:rPr>
        <w:t xml:space="preserve"> </w:t>
      </w:r>
      <w:r w:rsidRPr="00410F1D">
        <w:rPr>
          <w:szCs w:val="20"/>
        </w:rPr>
        <w:t>forth</w:t>
      </w:r>
      <w:r w:rsidR="00C64050">
        <w:rPr>
          <w:szCs w:val="20"/>
        </w:rPr>
        <w:t xml:space="preserve"> </w:t>
      </w:r>
      <w:r w:rsidRPr="00410F1D">
        <w:rPr>
          <w:szCs w:val="20"/>
        </w:rPr>
        <w:t>such</w:t>
      </w:r>
      <w:r w:rsidR="00C64050">
        <w:rPr>
          <w:szCs w:val="20"/>
        </w:rPr>
        <w:t xml:space="preserve"> </w:t>
      </w:r>
      <w:r w:rsidRPr="00410F1D">
        <w:rPr>
          <w:szCs w:val="20"/>
        </w:rPr>
        <w:t>a</w:t>
      </w:r>
      <w:r w:rsidR="00C64050">
        <w:rPr>
          <w:szCs w:val="20"/>
        </w:rPr>
        <w:t xml:space="preserve"> </w:t>
      </w:r>
      <w:r w:rsidRPr="00410F1D">
        <w:rPr>
          <w:szCs w:val="20"/>
        </w:rPr>
        <w:t>requirement.</w:t>
      </w:r>
      <w:r w:rsidR="00C64050">
        <w:rPr>
          <w:szCs w:val="20"/>
        </w:rPr>
        <w:t xml:space="preserve"> </w:t>
      </w:r>
      <w:r w:rsidRPr="00410F1D">
        <w:rPr>
          <w:szCs w:val="20"/>
        </w:rPr>
        <w:t>Accordingly,</w:t>
      </w:r>
      <w:r w:rsidR="00C64050">
        <w:rPr>
          <w:szCs w:val="20"/>
        </w:rPr>
        <w:t xml:space="preserve"> </w:t>
      </w:r>
      <w:r w:rsidRPr="00410F1D">
        <w:rPr>
          <w:szCs w:val="20"/>
        </w:rPr>
        <w:t>to</w:t>
      </w:r>
      <w:r w:rsidR="00C64050">
        <w:rPr>
          <w:szCs w:val="20"/>
        </w:rPr>
        <w:t xml:space="preserve"> </w:t>
      </w:r>
      <w:r w:rsidRPr="00410F1D">
        <w:rPr>
          <w:szCs w:val="20"/>
        </w:rPr>
        <w:t>determine</w:t>
      </w:r>
      <w:r w:rsidR="00C64050">
        <w:rPr>
          <w:szCs w:val="20"/>
        </w:rPr>
        <w:t xml:space="preserve"> </w:t>
      </w:r>
      <w:r w:rsidRPr="00410F1D">
        <w:rPr>
          <w:szCs w:val="20"/>
        </w:rPr>
        <w:t>whether</w:t>
      </w:r>
      <w:r w:rsidR="00C64050">
        <w:rPr>
          <w:szCs w:val="20"/>
        </w:rPr>
        <w:t xml:space="preserve"> </w:t>
      </w:r>
      <w:r w:rsidRPr="00410F1D">
        <w:rPr>
          <w:szCs w:val="20"/>
        </w:rPr>
        <w:t>Dale</w:t>
      </w:r>
      <w:r w:rsidR="00C64050">
        <w:rPr>
          <w:szCs w:val="20"/>
        </w:rPr>
        <w:t xml:space="preserve"> </w:t>
      </w:r>
      <w:r w:rsidRPr="00410F1D">
        <w:rPr>
          <w:szCs w:val="20"/>
        </w:rPr>
        <w:t>has</w:t>
      </w:r>
      <w:r w:rsidR="00C64050">
        <w:rPr>
          <w:szCs w:val="20"/>
        </w:rPr>
        <w:t xml:space="preserve"> </w:t>
      </w:r>
      <w:r w:rsidRPr="00410F1D">
        <w:rPr>
          <w:szCs w:val="20"/>
        </w:rPr>
        <w:t>such</w:t>
      </w:r>
      <w:r w:rsidR="00C64050">
        <w:rPr>
          <w:szCs w:val="20"/>
        </w:rPr>
        <w:t xml:space="preserve"> </w:t>
      </w:r>
      <w:r w:rsidRPr="00410F1D">
        <w:rPr>
          <w:szCs w:val="20"/>
        </w:rPr>
        <w:t>an</w:t>
      </w:r>
      <w:r w:rsidR="00C64050">
        <w:rPr>
          <w:szCs w:val="20"/>
        </w:rPr>
        <w:t xml:space="preserve"> </w:t>
      </w:r>
      <w:r w:rsidRPr="00410F1D">
        <w:rPr>
          <w:szCs w:val="20"/>
        </w:rPr>
        <w:t>obligation,</w:t>
      </w:r>
      <w:r w:rsidR="00C64050">
        <w:rPr>
          <w:szCs w:val="20"/>
        </w:rPr>
        <w:t xml:space="preserve"> </w:t>
      </w:r>
      <w:r w:rsidRPr="00410F1D">
        <w:rPr>
          <w:szCs w:val="20"/>
        </w:rPr>
        <w:t>we</w:t>
      </w:r>
      <w:r w:rsidR="00C64050">
        <w:rPr>
          <w:szCs w:val="20"/>
        </w:rPr>
        <w:t xml:space="preserve"> </w:t>
      </w:r>
      <w:r w:rsidRPr="00410F1D">
        <w:rPr>
          <w:szCs w:val="20"/>
        </w:rPr>
        <w:t>must</w:t>
      </w:r>
      <w:r w:rsidR="00C64050">
        <w:rPr>
          <w:szCs w:val="20"/>
        </w:rPr>
        <w:t xml:space="preserve"> </w:t>
      </w:r>
      <w:r w:rsidRPr="00410F1D">
        <w:rPr>
          <w:szCs w:val="20"/>
        </w:rPr>
        <w:t>look</w:t>
      </w:r>
      <w:r w:rsidR="00C64050">
        <w:rPr>
          <w:szCs w:val="20"/>
        </w:rPr>
        <w:t xml:space="preserve"> </w:t>
      </w:r>
      <w:r w:rsidRPr="00410F1D">
        <w:rPr>
          <w:szCs w:val="20"/>
        </w:rPr>
        <w:t>to</w:t>
      </w:r>
      <w:r w:rsidR="00C64050">
        <w:rPr>
          <w:szCs w:val="20"/>
        </w:rPr>
        <w:t xml:space="preserve"> </w:t>
      </w:r>
      <w:r w:rsidRPr="00410F1D">
        <w:rPr>
          <w:szCs w:val="20"/>
        </w:rPr>
        <w:t>the</w:t>
      </w:r>
      <w:r w:rsidR="00C64050">
        <w:rPr>
          <w:szCs w:val="20"/>
        </w:rPr>
        <w:t xml:space="preserve"> </w:t>
      </w:r>
      <w:r w:rsidRPr="00410F1D">
        <w:rPr>
          <w:szCs w:val="20"/>
        </w:rPr>
        <w:t>language</w:t>
      </w:r>
      <w:r w:rsidR="00C64050">
        <w:rPr>
          <w:szCs w:val="20"/>
        </w:rPr>
        <w:t xml:space="preserve"> </w:t>
      </w:r>
      <w:r w:rsidRPr="00410F1D">
        <w:rPr>
          <w:szCs w:val="20"/>
        </w:rPr>
        <w:t>of</w:t>
      </w:r>
      <w:r w:rsidR="00C64050">
        <w:rPr>
          <w:szCs w:val="20"/>
        </w:rPr>
        <w:t xml:space="preserve"> </w:t>
      </w:r>
      <w:r w:rsidRPr="00410F1D">
        <w:rPr>
          <w:szCs w:val="20"/>
        </w:rPr>
        <w:t>the</w:t>
      </w:r>
      <w:r w:rsidR="00C64050">
        <w:rPr>
          <w:szCs w:val="20"/>
        </w:rPr>
        <w:t xml:space="preserve"> </w:t>
      </w:r>
      <w:r w:rsidRPr="00410F1D">
        <w:rPr>
          <w:szCs w:val="20"/>
        </w:rPr>
        <w:t>trust</w:t>
      </w:r>
      <w:r w:rsidR="00C64050">
        <w:rPr>
          <w:szCs w:val="20"/>
        </w:rPr>
        <w:t xml:space="preserve"> </w:t>
      </w:r>
      <w:r w:rsidRPr="00410F1D">
        <w:rPr>
          <w:szCs w:val="20"/>
        </w:rPr>
        <w:t>instrument.</w:t>
      </w:r>
    </w:p>
    <w:p w:rsidR="00410F1D" w:rsidRPr="00410F1D" w:rsidRDefault="00410F1D" w:rsidP="00410F1D">
      <w:pPr>
        <w:pStyle w:val="QS10"/>
        <w:rPr>
          <w:szCs w:val="20"/>
        </w:rPr>
      </w:pPr>
      <w:r w:rsidRPr="00410F1D">
        <w:rPr>
          <w:szCs w:val="20"/>
        </w:rPr>
        <w:t>Section</w:t>
      </w:r>
      <w:r w:rsidR="00C64050">
        <w:rPr>
          <w:szCs w:val="20"/>
        </w:rPr>
        <w:t xml:space="preserve"> </w:t>
      </w:r>
      <w:r w:rsidRPr="00410F1D">
        <w:rPr>
          <w:szCs w:val="20"/>
        </w:rPr>
        <w:t>5.1</w:t>
      </w:r>
      <w:r w:rsidR="00C64050">
        <w:rPr>
          <w:szCs w:val="20"/>
        </w:rPr>
        <w:t xml:space="preserve"> </w:t>
      </w:r>
      <w:r w:rsidRPr="00410F1D">
        <w:rPr>
          <w:szCs w:val="20"/>
        </w:rPr>
        <w:t>of</w:t>
      </w:r>
      <w:r w:rsidR="00C64050">
        <w:rPr>
          <w:szCs w:val="20"/>
        </w:rPr>
        <w:t xml:space="preserve"> </w:t>
      </w:r>
      <w:r w:rsidRPr="00410F1D">
        <w:rPr>
          <w:szCs w:val="20"/>
        </w:rPr>
        <w:t>the</w:t>
      </w:r>
      <w:r w:rsidR="00C64050">
        <w:rPr>
          <w:szCs w:val="20"/>
        </w:rPr>
        <w:t xml:space="preserve"> </w:t>
      </w:r>
      <w:r w:rsidRPr="00410F1D">
        <w:rPr>
          <w:szCs w:val="20"/>
        </w:rPr>
        <w:t>Marital</w:t>
      </w:r>
      <w:r w:rsidR="00C64050">
        <w:rPr>
          <w:szCs w:val="20"/>
        </w:rPr>
        <w:t xml:space="preserve"> </w:t>
      </w:r>
      <w:r w:rsidRPr="00410F1D">
        <w:rPr>
          <w:szCs w:val="20"/>
        </w:rPr>
        <w:t>Trust</w:t>
      </w:r>
      <w:r w:rsidR="00C64050">
        <w:rPr>
          <w:szCs w:val="20"/>
        </w:rPr>
        <w:t xml:space="preserve"> </w:t>
      </w:r>
      <w:r w:rsidRPr="00410F1D">
        <w:rPr>
          <w:szCs w:val="20"/>
        </w:rPr>
        <w:t>states,</w:t>
      </w:r>
      <w:r w:rsidR="00C64050">
        <w:rPr>
          <w:szCs w:val="20"/>
        </w:rPr>
        <w:t xml:space="preserve"> </w:t>
      </w:r>
      <w:r w:rsidRPr="00410F1D">
        <w:rPr>
          <w:szCs w:val="20"/>
        </w:rPr>
        <w:t>in</w:t>
      </w:r>
      <w:r w:rsidR="00C64050">
        <w:rPr>
          <w:szCs w:val="20"/>
        </w:rPr>
        <w:t xml:space="preserve"> </w:t>
      </w:r>
      <w:r w:rsidRPr="00410F1D">
        <w:rPr>
          <w:szCs w:val="20"/>
        </w:rPr>
        <w:t>relevant</w:t>
      </w:r>
      <w:r w:rsidR="00C64050">
        <w:rPr>
          <w:szCs w:val="20"/>
        </w:rPr>
        <w:t xml:space="preserve"> </w:t>
      </w:r>
      <w:r w:rsidRPr="00410F1D">
        <w:rPr>
          <w:szCs w:val="20"/>
        </w:rPr>
        <w:t>part,</w:t>
      </w:r>
      <w:r w:rsidR="00C64050">
        <w:rPr>
          <w:szCs w:val="20"/>
        </w:rPr>
        <w:t xml:space="preserve"> </w:t>
      </w:r>
      <w:r w:rsidRPr="00410F1D">
        <w:rPr>
          <w:szCs w:val="20"/>
        </w:rPr>
        <w:t>that</w:t>
      </w:r>
      <w:r w:rsidR="00C64050">
        <w:rPr>
          <w:szCs w:val="20"/>
        </w:rPr>
        <w:t xml:space="preserve"> </w:t>
      </w:r>
      <w:r w:rsidRPr="00410F1D">
        <w:rPr>
          <w:szCs w:val="20"/>
        </w:rPr>
        <w:t>the</w:t>
      </w:r>
      <w:r w:rsidR="00C64050">
        <w:rPr>
          <w:szCs w:val="20"/>
        </w:rPr>
        <w:t xml:space="preserve"> </w:t>
      </w:r>
      <w:r w:rsidRPr="00410F1D">
        <w:rPr>
          <w:szCs w:val="20"/>
        </w:rPr>
        <w:t>trustee</w:t>
      </w:r>
      <w:r w:rsidR="00C64050">
        <w:rPr>
          <w:szCs w:val="20"/>
        </w:rPr>
        <w:t xml:space="preserve"> </w:t>
      </w:r>
      <w:r w:rsidRPr="00410F1D">
        <w:rPr>
          <w:szCs w:val="20"/>
        </w:rPr>
        <w:t>“shall</w:t>
      </w:r>
      <w:r w:rsidR="00C64050">
        <w:rPr>
          <w:szCs w:val="20"/>
        </w:rPr>
        <w:t xml:space="preserve"> </w:t>
      </w:r>
      <w:r w:rsidRPr="00410F1D">
        <w:rPr>
          <w:szCs w:val="20"/>
        </w:rPr>
        <w:t>pay</w:t>
      </w:r>
      <w:r w:rsidR="00C64050">
        <w:rPr>
          <w:szCs w:val="20"/>
        </w:rPr>
        <w:t xml:space="preserve"> </w:t>
      </w:r>
      <w:r w:rsidRPr="00410F1D">
        <w:rPr>
          <w:szCs w:val="20"/>
        </w:rPr>
        <w:t>to</w:t>
      </w:r>
      <w:r w:rsidR="00C64050">
        <w:rPr>
          <w:szCs w:val="20"/>
        </w:rPr>
        <w:t xml:space="preserve"> </w:t>
      </w:r>
      <w:r w:rsidRPr="00410F1D">
        <w:rPr>
          <w:szCs w:val="20"/>
        </w:rPr>
        <w:t>or</w:t>
      </w:r>
      <w:r w:rsidR="00C64050">
        <w:rPr>
          <w:szCs w:val="20"/>
        </w:rPr>
        <w:t xml:space="preserve"> </w:t>
      </w:r>
      <w:r w:rsidRPr="00410F1D">
        <w:rPr>
          <w:szCs w:val="20"/>
        </w:rPr>
        <w:t>apply</w:t>
      </w:r>
      <w:r w:rsidR="00C64050">
        <w:rPr>
          <w:szCs w:val="20"/>
        </w:rPr>
        <w:t xml:space="preserve"> </w:t>
      </w:r>
      <w:r w:rsidRPr="00410F1D">
        <w:rPr>
          <w:szCs w:val="20"/>
        </w:rPr>
        <w:t>for</w:t>
      </w:r>
      <w:r w:rsidR="00C64050">
        <w:rPr>
          <w:szCs w:val="20"/>
        </w:rPr>
        <w:t xml:space="preserve"> </w:t>
      </w:r>
      <w:r w:rsidRPr="00410F1D">
        <w:rPr>
          <w:szCs w:val="20"/>
        </w:rPr>
        <w:t>the</w:t>
      </w:r>
      <w:r w:rsidR="00C64050">
        <w:rPr>
          <w:szCs w:val="20"/>
        </w:rPr>
        <w:t xml:space="preserve"> </w:t>
      </w:r>
      <w:r w:rsidRPr="00410F1D">
        <w:rPr>
          <w:szCs w:val="20"/>
        </w:rPr>
        <w:t>benefit</w:t>
      </w:r>
      <w:r w:rsidR="00C64050">
        <w:rPr>
          <w:szCs w:val="20"/>
        </w:rPr>
        <w:t xml:space="preserve"> </w:t>
      </w:r>
      <w:r w:rsidRPr="00410F1D">
        <w:rPr>
          <w:szCs w:val="20"/>
        </w:rPr>
        <w:t>of</w:t>
      </w:r>
      <w:r w:rsidR="00C64050">
        <w:rPr>
          <w:szCs w:val="20"/>
        </w:rPr>
        <w:t xml:space="preserve"> </w:t>
      </w:r>
      <w:r w:rsidRPr="00410F1D">
        <w:rPr>
          <w:szCs w:val="20"/>
        </w:rPr>
        <w:t>[Dale]</w:t>
      </w:r>
      <w:r w:rsidR="00C64050">
        <w:rPr>
          <w:szCs w:val="20"/>
        </w:rPr>
        <w:t xml:space="preserve"> </w:t>
      </w:r>
      <w:r w:rsidRPr="00410F1D">
        <w:rPr>
          <w:szCs w:val="20"/>
        </w:rPr>
        <w:t>as</w:t>
      </w:r>
      <w:r w:rsidR="00C64050">
        <w:rPr>
          <w:szCs w:val="20"/>
        </w:rPr>
        <w:t xml:space="preserve"> </w:t>
      </w:r>
      <w:r w:rsidRPr="00410F1D">
        <w:rPr>
          <w:szCs w:val="20"/>
        </w:rPr>
        <w:t>much</w:t>
      </w:r>
      <w:r w:rsidR="00C64050">
        <w:rPr>
          <w:szCs w:val="20"/>
        </w:rPr>
        <w:t xml:space="preserve"> </w:t>
      </w:r>
      <w:r w:rsidRPr="00410F1D">
        <w:rPr>
          <w:szCs w:val="20"/>
        </w:rPr>
        <w:t>of</w:t>
      </w:r>
      <w:r w:rsidR="00C64050">
        <w:rPr>
          <w:szCs w:val="20"/>
        </w:rPr>
        <w:t xml:space="preserve"> </w:t>
      </w:r>
      <w:r w:rsidRPr="00410F1D">
        <w:rPr>
          <w:szCs w:val="20"/>
        </w:rPr>
        <w:t>the</w:t>
      </w:r>
      <w:r w:rsidR="00C64050">
        <w:rPr>
          <w:szCs w:val="20"/>
        </w:rPr>
        <w:t xml:space="preserve"> </w:t>
      </w:r>
      <w:r w:rsidRPr="00410F1D">
        <w:rPr>
          <w:szCs w:val="20"/>
        </w:rPr>
        <w:t>principal</w:t>
      </w:r>
      <w:r w:rsidR="00C64050">
        <w:rPr>
          <w:szCs w:val="20"/>
        </w:rPr>
        <w:t xml:space="preserve"> </w:t>
      </w:r>
      <w:r w:rsidRPr="00410F1D">
        <w:rPr>
          <w:szCs w:val="20"/>
        </w:rPr>
        <w:t>of</w:t>
      </w:r>
      <w:r w:rsidR="00C64050">
        <w:rPr>
          <w:szCs w:val="20"/>
        </w:rPr>
        <w:t xml:space="preserve"> </w:t>
      </w:r>
      <w:r w:rsidRPr="00410F1D">
        <w:rPr>
          <w:szCs w:val="20"/>
        </w:rPr>
        <w:t>the</w:t>
      </w:r>
      <w:r w:rsidR="00C64050">
        <w:rPr>
          <w:szCs w:val="20"/>
        </w:rPr>
        <w:t xml:space="preserve"> </w:t>
      </w:r>
      <w:r w:rsidRPr="00410F1D">
        <w:rPr>
          <w:szCs w:val="20"/>
        </w:rPr>
        <w:t>Trust</w:t>
      </w:r>
      <w:r w:rsidR="00C64050">
        <w:rPr>
          <w:szCs w:val="20"/>
        </w:rPr>
        <w:t xml:space="preserve"> </w:t>
      </w:r>
      <w:r w:rsidRPr="00410F1D">
        <w:rPr>
          <w:szCs w:val="20"/>
        </w:rPr>
        <w:t>as</w:t>
      </w:r>
      <w:r w:rsidR="00C64050">
        <w:rPr>
          <w:szCs w:val="20"/>
        </w:rPr>
        <w:t xml:space="preserve"> </w:t>
      </w:r>
      <w:r w:rsidRPr="00410F1D">
        <w:rPr>
          <w:szCs w:val="20"/>
        </w:rPr>
        <w:t>the</w:t>
      </w:r>
      <w:r w:rsidR="00C64050">
        <w:rPr>
          <w:szCs w:val="20"/>
        </w:rPr>
        <w:t xml:space="preserve"> </w:t>
      </w:r>
      <w:r w:rsidRPr="00410F1D">
        <w:rPr>
          <w:szCs w:val="20"/>
        </w:rPr>
        <w:t>Trustee,</w:t>
      </w:r>
      <w:r w:rsidR="00C64050">
        <w:rPr>
          <w:szCs w:val="20"/>
        </w:rPr>
        <w:t xml:space="preserve"> </w:t>
      </w:r>
      <w:r w:rsidRPr="00410F1D">
        <w:rPr>
          <w:szCs w:val="20"/>
        </w:rPr>
        <w:t>in</w:t>
      </w:r>
      <w:r w:rsidR="00C64050">
        <w:rPr>
          <w:szCs w:val="20"/>
        </w:rPr>
        <w:t xml:space="preserve"> </w:t>
      </w:r>
      <w:r w:rsidRPr="00410F1D">
        <w:rPr>
          <w:szCs w:val="20"/>
        </w:rPr>
        <w:t>the</w:t>
      </w:r>
      <w:r w:rsidR="00C64050">
        <w:rPr>
          <w:szCs w:val="20"/>
        </w:rPr>
        <w:t xml:space="preserve"> </w:t>
      </w:r>
      <w:r w:rsidRPr="00410F1D">
        <w:rPr>
          <w:szCs w:val="20"/>
        </w:rPr>
        <w:t>Trustee’s</w:t>
      </w:r>
      <w:r w:rsidR="00C64050">
        <w:rPr>
          <w:szCs w:val="20"/>
        </w:rPr>
        <w:t xml:space="preserve"> </w:t>
      </w:r>
      <w:r w:rsidRPr="00410F1D">
        <w:rPr>
          <w:szCs w:val="20"/>
        </w:rPr>
        <w:t>discretion,</w:t>
      </w:r>
      <w:r w:rsidR="00C64050">
        <w:rPr>
          <w:szCs w:val="20"/>
        </w:rPr>
        <w:t xml:space="preserve"> </w:t>
      </w:r>
      <w:r w:rsidRPr="00410F1D">
        <w:rPr>
          <w:szCs w:val="20"/>
        </w:rPr>
        <w:t>shall</w:t>
      </w:r>
      <w:r w:rsidR="00C64050">
        <w:rPr>
          <w:szCs w:val="20"/>
        </w:rPr>
        <w:t xml:space="preserve"> </w:t>
      </w:r>
      <w:r w:rsidRPr="00410F1D">
        <w:rPr>
          <w:szCs w:val="20"/>
        </w:rPr>
        <w:t>deem</w:t>
      </w:r>
      <w:r w:rsidR="00C64050">
        <w:rPr>
          <w:szCs w:val="20"/>
        </w:rPr>
        <w:t xml:space="preserve"> </w:t>
      </w:r>
      <w:r w:rsidRPr="00410F1D">
        <w:rPr>
          <w:szCs w:val="20"/>
        </w:rPr>
        <w:t>necessary</w:t>
      </w:r>
      <w:r w:rsidR="00C64050">
        <w:rPr>
          <w:szCs w:val="20"/>
        </w:rPr>
        <w:t xml:space="preserve"> </w:t>
      </w:r>
      <w:r w:rsidRPr="00410F1D">
        <w:rPr>
          <w:szCs w:val="20"/>
        </w:rPr>
        <w:t>for</w:t>
      </w:r>
      <w:r w:rsidR="00C64050">
        <w:rPr>
          <w:szCs w:val="20"/>
        </w:rPr>
        <w:t xml:space="preserve"> </w:t>
      </w:r>
      <w:r w:rsidRPr="00410F1D">
        <w:rPr>
          <w:szCs w:val="20"/>
        </w:rPr>
        <w:t>the</w:t>
      </w:r>
      <w:r w:rsidR="00C64050">
        <w:rPr>
          <w:szCs w:val="20"/>
        </w:rPr>
        <w:t xml:space="preserve"> </w:t>
      </w:r>
      <w:r w:rsidRPr="00410F1D">
        <w:rPr>
          <w:szCs w:val="20"/>
        </w:rPr>
        <w:t>proper</w:t>
      </w:r>
      <w:r w:rsidR="00C64050">
        <w:rPr>
          <w:szCs w:val="20"/>
        </w:rPr>
        <w:t xml:space="preserve"> </w:t>
      </w:r>
      <w:r w:rsidRPr="00410F1D">
        <w:rPr>
          <w:szCs w:val="20"/>
        </w:rPr>
        <w:t>support,</w:t>
      </w:r>
      <w:r w:rsidR="00C64050">
        <w:rPr>
          <w:szCs w:val="20"/>
        </w:rPr>
        <w:t xml:space="preserve"> </w:t>
      </w:r>
      <w:r w:rsidRPr="00410F1D">
        <w:rPr>
          <w:szCs w:val="20"/>
        </w:rPr>
        <w:t>care,</w:t>
      </w:r>
      <w:r w:rsidR="00C64050">
        <w:rPr>
          <w:szCs w:val="20"/>
        </w:rPr>
        <w:t xml:space="preserve"> </w:t>
      </w:r>
      <w:r w:rsidRPr="00410F1D">
        <w:rPr>
          <w:szCs w:val="20"/>
        </w:rPr>
        <w:t>and</w:t>
      </w:r>
      <w:r w:rsidR="00C64050">
        <w:rPr>
          <w:szCs w:val="20"/>
        </w:rPr>
        <w:t xml:space="preserve"> </w:t>
      </w:r>
      <w:r w:rsidRPr="00410F1D">
        <w:rPr>
          <w:szCs w:val="20"/>
        </w:rPr>
        <w:t>maintenance”</w:t>
      </w:r>
      <w:r w:rsidR="00C64050">
        <w:rPr>
          <w:szCs w:val="20"/>
        </w:rPr>
        <w:t xml:space="preserve"> </w:t>
      </w:r>
      <w:r w:rsidRPr="00410F1D">
        <w:rPr>
          <w:szCs w:val="20"/>
        </w:rPr>
        <w:t>of</w:t>
      </w:r>
      <w:r w:rsidR="00C64050">
        <w:rPr>
          <w:szCs w:val="20"/>
        </w:rPr>
        <w:t xml:space="preserve"> </w:t>
      </w:r>
      <w:r w:rsidRPr="00410F1D">
        <w:rPr>
          <w:szCs w:val="20"/>
        </w:rPr>
        <w:t>Dale.</w:t>
      </w:r>
      <w:r w:rsidR="00C64050">
        <w:rPr>
          <w:szCs w:val="20"/>
        </w:rPr>
        <w:t xml:space="preserve"> </w:t>
      </w:r>
      <w:r w:rsidRPr="00410F1D">
        <w:rPr>
          <w:szCs w:val="20"/>
        </w:rPr>
        <w:t>Both</w:t>
      </w:r>
      <w:r w:rsidR="00C64050">
        <w:rPr>
          <w:szCs w:val="20"/>
        </w:rPr>
        <w:t xml:space="preserve"> </w:t>
      </w:r>
      <w:r w:rsidRPr="00410F1D">
        <w:rPr>
          <w:szCs w:val="20"/>
        </w:rPr>
        <w:t>Dale</w:t>
      </w:r>
      <w:r w:rsidR="00C64050">
        <w:rPr>
          <w:szCs w:val="20"/>
        </w:rPr>
        <w:t xml:space="preserve"> </w:t>
      </w:r>
      <w:r w:rsidRPr="00410F1D">
        <w:rPr>
          <w:szCs w:val="20"/>
        </w:rPr>
        <w:t>and</w:t>
      </w:r>
      <w:r w:rsidR="00C64050">
        <w:rPr>
          <w:szCs w:val="20"/>
        </w:rPr>
        <w:t xml:space="preserve"> </w:t>
      </w:r>
      <w:r w:rsidRPr="00410F1D">
        <w:rPr>
          <w:szCs w:val="20"/>
        </w:rPr>
        <w:t>Righetti</w:t>
      </w:r>
      <w:r w:rsidR="00C64050">
        <w:rPr>
          <w:szCs w:val="20"/>
        </w:rPr>
        <w:t xml:space="preserve"> </w:t>
      </w:r>
      <w:r>
        <w:rPr>
          <w:szCs w:val="20"/>
        </w:rPr>
        <w:t>[rema</w:t>
      </w:r>
      <w:r w:rsidR="00DC1D28">
        <w:rPr>
          <w:szCs w:val="20"/>
        </w:rPr>
        <w:t>i</w:t>
      </w:r>
      <w:r>
        <w:rPr>
          <w:szCs w:val="20"/>
        </w:rPr>
        <w:t>nderman</w:t>
      </w:r>
      <w:r w:rsidR="00C64050">
        <w:rPr>
          <w:szCs w:val="20"/>
        </w:rPr>
        <w:t xml:space="preserve"> </w:t>
      </w:r>
      <w:r>
        <w:rPr>
          <w:szCs w:val="20"/>
        </w:rPr>
        <w:t>of</w:t>
      </w:r>
      <w:r w:rsidR="00C64050">
        <w:rPr>
          <w:szCs w:val="20"/>
        </w:rPr>
        <w:t xml:space="preserve"> </w:t>
      </w:r>
      <w:r>
        <w:rPr>
          <w:szCs w:val="20"/>
        </w:rPr>
        <w:t>the</w:t>
      </w:r>
      <w:r w:rsidR="00C64050">
        <w:rPr>
          <w:szCs w:val="20"/>
        </w:rPr>
        <w:t xml:space="preserve"> </w:t>
      </w:r>
      <w:r>
        <w:rPr>
          <w:szCs w:val="20"/>
        </w:rPr>
        <w:t>marital</w:t>
      </w:r>
      <w:r w:rsidR="00C64050">
        <w:rPr>
          <w:szCs w:val="20"/>
        </w:rPr>
        <w:t xml:space="preserve"> </w:t>
      </w:r>
      <w:r>
        <w:rPr>
          <w:szCs w:val="20"/>
        </w:rPr>
        <w:t>trust]</w:t>
      </w:r>
      <w:r w:rsidR="00C64050">
        <w:rPr>
          <w:szCs w:val="20"/>
        </w:rPr>
        <w:t xml:space="preserve"> </w:t>
      </w:r>
      <w:r w:rsidRPr="00410F1D">
        <w:rPr>
          <w:szCs w:val="20"/>
        </w:rPr>
        <w:t>argue</w:t>
      </w:r>
      <w:r w:rsidR="00C64050">
        <w:rPr>
          <w:szCs w:val="20"/>
        </w:rPr>
        <w:t xml:space="preserve"> </w:t>
      </w:r>
      <w:r w:rsidRPr="00410F1D">
        <w:rPr>
          <w:szCs w:val="20"/>
        </w:rPr>
        <w:t>that</w:t>
      </w:r>
      <w:r w:rsidR="00C64050">
        <w:rPr>
          <w:szCs w:val="20"/>
        </w:rPr>
        <w:t xml:space="preserve"> </w:t>
      </w:r>
      <w:r w:rsidRPr="00410F1D">
        <w:rPr>
          <w:szCs w:val="20"/>
        </w:rPr>
        <w:t>the</w:t>
      </w:r>
      <w:r w:rsidR="00C64050">
        <w:rPr>
          <w:szCs w:val="20"/>
        </w:rPr>
        <w:t xml:space="preserve"> </w:t>
      </w:r>
      <w:r w:rsidRPr="00410F1D">
        <w:rPr>
          <w:szCs w:val="20"/>
        </w:rPr>
        <w:t>term</w:t>
      </w:r>
      <w:r w:rsidR="00C64050">
        <w:rPr>
          <w:szCs w:val="20"/>
        </w:rPr>
        <w:t xml:space="preserve"> </w:t>
      </w:r>
      <w:r w:rsidRPr="00410F1D">
        <w:rPr>
          <w:szCs w:val="20"/>
        </w:rPr>
        <w:t>“necessary”</w:t>
      </w:r>
      <w:r w:rsidR="00C64050">
        <w:rPr>
          <w:szCs w:val="20"/>
        </w:rPr>
        <w:t xml:space="preserve"> </w:t>
      </w:r>
      <w:r w:rsidRPr="00410F1D">
        <w:rPr>
          <w:szCs w:val="20"/>
        </w:rPr>
        <w:t>is</w:t>
      </w:r>
      <w:r w:rsidR="00C64050">
        <w:rPr>
          <w:szCs w:val="20"/>
        </w:rPr>
        <w:t xml:space="preserve"> </w:t>
      </w:r>
      <w:r w:rsidRPr="00410F1D">
        <w:rPr>
          <w:szCs w:val="20"/>
        </w:rPr>
        <w:t>the</w:t>
      </w:r>
      <w:r w:rsidR="00C64050">
        <w:rPr>
          <w:szCs w:val="20"/>
        </w:rPr>
        <w:t xml:space="preserve"> </w:t>
      </w:r>
      <w:r w:rsidRPr="00410F1D">
        <w:rPr>
          <w:szCs w:val="20"/>
        </w:rPr>
        <w:t>focal</w:t>
      </w:r>
      <w:r w:rsidR="00C64050">
        <w:rPr>
          <w:szCs w:val="20"/>
        </w:rPr>
        <w:t xml:space="preserve"> </w:t>
      </w:r>
      <w:r w:rsidRPr="00410F1D">
        <w:rPr>
          <w:szCs w:val="20"/>
        </w:rPr>
        <w:t>point</w:t>
      </w:r>
      <w:r w:rsidR="00C64050">
        <w:rPr>
          <w:szCs w:val="20"/>
        </w:rPr>
        <w:t xml:space="preserve"> </w:t>
      </w:r>
      <w:r w:rsidRPr="00410F1D">
        <w:rPr>
          <w:szCs w:val="20"/>
        </w:rPr>
        <w:t>for</w:t>
      </w:r>
      <w:r w:rsidR="00C64050">
        <w:rPr>
          <w:szCs w:val="20"/>
        </w:rPr>
        <w:t xml:space="preserve"> </w:t>
      </w:r>
      <w:r w:rsidRPr="00410F1D">
        <w:rPr>
          <w:szCs w:val="20"/>
        </w:rPr>
        <w:t>our</w:t>
      </w:r>
      <w:r w:rsidR="00C64050">
        <w:rPr>
          <w:szCs w:val="20"/>
        </w:rPr>
        <w:t xml:space="preserve"> </w:t>
      </w:r>
      <w:r w:rsidRPr="00410F1D">
        <w:rPr>
          <w:szCs w:val="20"/>
        </w:rPr>
        <w:t>inquiry,</w:t>
      </w:r>
      <w:r w:rsidR="00C64050">
        <w:rPr>
          <w:szCs w:val="20"/>
        </w:rPr>
        <w:t xml:space="preserve"> </w:t>
      </w:r>
      <w:r w:rsidRPr="00410F1D">
        <w:rPr>
          <w:szCs w:val="20"/>
        </w:rPr>
        <w:t>and</w:t>
      </w:r>
      <w:r w:rsidR="00C64050">
        <w:rPr>
          <w:szCs w:val="20"/>
        </w:rPr>
        <w:t xml:space="preserve"> </w:t>
      </w:r>
      <w:r w:rsidRPr="00410F1D">
        <w:rPr>
          <w:szCs w:val="20"/>
        </w:rPr>
        <w:t>they</w:t>
      </w:r>
      <w:r w:rsidR="00C64050">
        <w:rPr>
          <w:szCs w:val="20"/>
        </w:rPr>
        <w:t xml:space="preserve"> </w:t>
      </w:r>
      <w:r w:rsidRPr="00410F1D">
        <w:rPr>
          <w:szCs w:val="20"/>
        </w:rPr>
        <w:t>offer</w:t>
      </w:r>
      <w:r w:rsidR="00C64050">
        <w:rPr>
          <w:szCs w:val="20"/>
        </w:rPr>
        <w:t xml:space="preserve"> </w:t>
      </w:r>
      <w:r w:rsidRPr="00410F1D">
        <w:rPr>
          <w:szCs w:val="20"/>
        </w:rPr>
        <w:t>two</w:t>
      </w:r>
      <w:r w:rsidR="00C64050">
        <w:rPr>
          <w:szCs w:val="20"/>
        </w:rPr>
        <w:t xml:space="preserve"> </w:t>
      </w:r>
      <w:r w:rsidRPr="00410F1D">
        <w:rPr>
          <w:szCs w:val="20"/>
        </w:rPr>
        <w:t>conflicting</w:t>
      </w:r>
      <w:r w:rsidR="00C64050">
        <w:rPr>
          <w:szCs w:val="20"/>
        </w:rPr>
        <w:t xml:space="preserve"> </w:t>
      </w:r>
      <w:r w:rsidRPr="00410F1D">
        <w:rPr>
          <w:szCs w:val="20"/>
        </w:rPr>
        <w:t>interpretations</w:t>
      </w:r>
      <w:r w:rsidR="00C64050">
        <w:rPr>
          <w:szCs w:val="20"/>
        </w:rPr>
        <w:t xml:space="preserve"> </w:t>
      </w:r>
      <w:r w:rsidRPr="00410F1D">
        <w:rPr>
          <w:szCs w:val="20"/>
        </w:rPr>
        <w:t>of</w:t>
      </w:r>
      <w:r w:rsidR="00C64050">
        <w:rPr>
          <w:szCs w:val="20"/>
        </w:rPr>
        <w:t xml:space="preserve"> </w:t>
      </w:r>
      <w:r w:rsidRPr="00410F1D">
        <w:rPr>
          <w:szCs w:val="20"/>
        </w:rPr>
        <w:t>it.</w:t>
      </w:r>
      <w:r w:rsidR="00C64050">
        <w:rPr>
          <w:szCs w:val="20"/>
        </w:rPr>
        <w:t xml:space="preserve"> </w:t>
      </w:r>
      <w:r w:rsidRPr="00410F1D">
        <w:rPr>
          <w:szCs w:val="20"/>
        </w:rPr>
        <w:t>Dale</w:t>
      </w:r>
      <w:r w:rsidR="00C64050">
        <w:rPr>
          <w:szCs w:val="20"/>
        </w:rPr>
        <w:t xml:space="preserve"> </w:t>
      </w:r>
      <w:r w:rsidRPr="00410F1D">
        <w:rPr>
          <w:szCs w:val="20"/>
        </w:rPr>
        <w:t>interprets</w:t>
      </w:r>
      <w:r w:rsidR="00C64050">
        <w:rPr>
          <w:szCs w:val="20"/>
        </w:rPr>
        <w:t xml:space="preserve"> </w:t>
      </w:r>
      <w:r w:rsidRPr="00410F1D">
        <w:rPr>
          <w:szCs w:val="20"/>
        </w:rPr>
        <w:t>“necessary”</w:t>
      </w:r>
      <w:r w:rsidR="00C64050">
        <w:rPr>
          <w:szCs w:val="20"/>
        </w:rPr>
        <w:t xml:space="preserve"> </w:t>
      </w:r>
      <w:r w:rsidRPr="00410F1D">
        <w:rPr>
          <w:szCs w:val="20"/>
        </w:rPr>
        <w:t>as</w:t>
      </w:r>
      <w:r w:rsidR="00C64050">
        <w:rPr>
          <w:szCs w:val="20"/>
        </w:rPr>
        <w:t xml:space="preserve"> </w:t>
      </w:r>
      <w:r w:rsidRPr="00410F1D">
        <w:rPr>
          <w:szCs w:val="20"/>
        </w:rPr>
        <w:t>referring</w:t>
      </w:r>
      <w:r w:rsidR="00C64050">
        <w:rPr>
          <w:szCs w:val="20"/>
        </w:rPr>
        <w:t xml:space="preserve"> </w:t>
      </w:r>
      <w:r w:rsidRPr="00410F1D">
        <w:rPr>
          <w:szCs w:val="20"/>
        </w:rPr>
        <w:t>only</w:t>
      </w:r>
      <w:r w:rsidR="00C64050">
        <w:rPr>
          <w:szCs w:val="20"/>
        </w:rPr>
        <w:t xml:space="preserve"> </w:t>
      </w:r>
      <w:r w:rsidRPr="00410F1D">
        <w:rPr>
          <w:szCs w:val="20"/>
        </w:rPr>
        <w:t>to</w:t>
      </w:r>
      <w:r w:rsidR="00C64050">
        <w:rPr>
          <w:szCs w:val="20"/>
        </w:rPr>
        <w:t xml:space="preserve"> </w:t>
      </w:r>
      <w:r w:rsidRPr="00410F1D">
        <w:rPr>
          <w:szCs w:val="20"/>
        </w:rPr>
        <w:t>the</w:t>
      </w:r>
      <w:r w:rsidR="00C64050">
        <w:rPr>
          <w:szCs w:val="20"/>
        </w:rPr>
        <w:t xml:space="preserve"> </w:t>
      </w:r>
      <w:r w:rsidRPr="00410F1D">
        <w:rPr>
          <w:rStyle w:val="Emphasis"/>
          <w:szCs w:val="20"/>
        </w:rPr>
        <w:t>amount</w:t>
      </w:r>
      <w:r w:rsidR="00C64050">
        <w:rPr>
          <w:szCs w:val="20"/>
        </w:rPr>
        <w:t xml:space="preserve"> </w:t>
      </w:r>
      <w:r w:rsidRPr="00410F1D">
        <w:rPr>
          <w:szCs w:val="20"/>
        </w:rPr>
        <w:t>of</w:t>
      </w:r>
      <w:r w:rsidR="00C64050">
        <w:rPr>
          <w:szCs w:val="20"/>
        </w:rPr>
        <w:t xml:space="preserve"> </w:t>
      </w:r>
      <w:r w:rsidRPr="00410F1D">
        <w:rPr>
          <w:szCs w:val="20"/>
        </w:rPr>
        <w:t>disbursement</w:t>
      </w:r>
      <w:r w:rsidR="00C64050">
        <w:rPr>
          <w:szCs w:val="20"/>
        </w:rPr>
        <w:t xml:space="preserve"> </w:t>
      </w:r>
      <w:r w:rsidRPr="00410F1D">
        <w:rPr>
          <w:szCs w:val="20"/>
        </w:rPr>
        <w:t>needed</w:t>
      </w:r>
      <w:r w:rsidR="00C64050">
        <w:rPr>
          <w:szCs w:val="20"/>
        </w:rPr>
        <w:t xml:space="preserve"> </w:t>
      </w:r>
      <w:r w:rsidRPr="00410F1D">
        <w:rPr>
          <w:szCs w:val="20"/>
        </w:rPr>
        <w:t>for</w:t>
      </w:r>
      <w:r w:rsidR="00C64050">
        <w:rPr>
          <w:szCs w:val="20"/>
        </w:rPr>
        <w:t xml:space="preserve"> </w:t>
      </w:r>
      <w:r w:rsidRPr="00410F1D">
        <w:rPr>
          <w:szCs w:val="20"/>
        </w:rPr>
        <w:t>her</w:t>
      </w:r>
      <w:r w:rsidR="00C64050">
        <w:rPr>
          <w:szCs w:val="20"/>
        </w:rPr>
        <w:t xml:space="preserve"> </w:t>
      </w:r>
      <w:r w:rsidRPr="00410F1D">
        <w:rPr>
          <w:szCs w:val="20"/>
        </w:rPr>
        <w:t>“proper</w:t>
      </w:r>
      <w:r w:rsidR="00C64050">
        <w:rPr>
          <w:szCs w:val="20"/>
        </w:rPr>
        <w:t xml:space="preserve"> </w:t>
      </w:r>
      <w:r w:rsidRPr="00410F1D">
        <w:rPr>
          <w:szCs w:val="20"/>
        </w:rPr>
        <w:t>support,</w:t>
      </w:r>
      <w:r w:rsidR="00C64050">
        <w:rPr>
          <w:szCs w:val="20"/>
        </w:rPr>
        <w:t xml:space="preserve"> </w:t>
      </w:r>
      <w:r w:rsidRPr="00410F1D">
        <w:rPr>
          <w:szCs w:val="20"/>
        </w:rPr>
        <w:t>care,</w:t>
      </w:r>
      <w:r w:rsidR="00C64050">
        <w:rPr>
          <w:szCs w:val="20"/>
        </w:rPr>
        <w:t xml:space="preserve"> </w:t>
      </w:r>
      <w:r w:rsidRPr="00410F1D">
        <w:rPr>
          <w:szCs w:val="20"/>
        </w:rPr>
        <w:t>and</w:t>
      </w:r>
      <w:r w:rsidR="00C64050">
        <w:rPr>
          <w:szCs w:val="20"/>
        </w:rPr>
        <w:t xml:space="preserve"> </w:t>
      </w:r>
      <w:r w:rsidRPr="00410F1D">
        <w:rPr>
          <w:szCs w:val="20"/>
        </w:rPr>
        <w:t>maintenance,”</w:t>
      </w:r>
      <w:r w:rsidR="00C64050">
        <w:rPr>
          <w:szCs w:val="20"/>
        </w:rPr>
        <w:t xml:space="preserve"> </w:t>
      </w:r>
      <w:r w:rsidRPr="00410F1D">
        <w:rPr>
          <w:szCs w:val="20"/>
        </w:rPr>
        <w:t>without</w:t>
      </w:r>
      <w:r w:rsidR="00C64050">
        <w:rPr>
          <w:szCs w:val="20"/>
        </w:rPr>
        <w:t xml:space="preserve"> </w:t>
      </w:r>
      <w:r w:rsidRPr="00410F1D">
        <w:rPr>
          <w:szCs w:val="20"/>
        </w:rPr>
        <w:t>regard</w:t>
      </w:r>
      <w:r w:rsidR="00C64050">
        <w:rPr>
          <w:szCs w:val="20"/>
        </w:rPr>
        <w:t xml:space="preserve"> </w:t>
      </w:r>
      <w:r w:rsidRPr="00410F1D">
        <w:rPr>
          <w:szCs w:val="20"/>
        </w:rPr>
        <w:t>to</w:t>
      </w:r>
      <w:r w:rsidR="00C64050">
        <w:rPr>
          <w:szCs w:val="20"/>
        </w:rPr>
        <w:t xml:space="preserve"> </w:t>
      </w:r>
      <w:r w:rsidRPr="00410F1D">
        <w:rPr>
          <w:szCs w:val="20"/>
        </w:rPr>
        <w:t>her</w:t>
      </w:r>
      <w:r w:rsidR="00C64050">
        <w:rPr>
          <w:szCs w:val="20"/>
        </w:rPr>
        <w:t xml:space="preserve"> </w:t>
      </w:r>
      <w:r w:rsidRPr="00410F1D">
        <w:rPr>
          <w:szCs w:val="20"/>
        </w:rPr>
        <w:t>other</w:t>
      </w:r>
      <w:r w:rsidR="00C64050">
        <w:rPr>
          <w:szCs w:val="20"/>
        </w:rPr>
        <w:t xml:space="preserve"> </w:t>
      </w:r>
      <w:r w:rsidRPr="00410F1D">
        <w:rPr>
          <w:szCs w:val="20"/>
        </w:rPr>
        <w:t>assets.</w:t>
      </w:r>
      <w:r w:rsidR="00C64050">
        <w:rPr>
          <w:szCs w:val="20"/>
        </w:rPr>
        <w:t xml:space="preserve"> </w:t>
      </w:r>
      <w:r w:rsidRPr="00410F1D">
        <w:rPr>
          <w:szCs w:val="20"/>
        </w:rPr>
        <w:t>Righetti,</w:t>
      </w:r>
      <w:r w:rsidR="00C64050">
        <w:rPr>
          <w:szCs w:val="20"/>
        </w:rPr>
        <w:t xml:space="preserve"> </w:t>
      </w:r>
      <w:r w:rsidRPr="00410F1D">
        <w:rPr>
          <w:szCs w:val="20"/>
        </w:rPr>
        <w:t>on</w:t>
      </w:r>
      <w:r w:rsidR="00C64050">
        <w:rPr>
          <w:szCs w:val="20"/>
        </w:rPr>
        <w:t xml:space="preserve"> </w:t>
      </w:r>
      <w:r w:rsidRPr="00410F1D">
        <w:rPr>
          <w:szCs w:val="20"/>
        </w:rPr>
        <w:t>the</w:t>
      </w:r>
      <w:r w:rsidR="00C64050">
        <w:rPr>
          <w:szCs w:val="20"/>
        </w:rPr>
        <w:t xml:space="preserve"> </w:t>
      </w:r>
      <w:r w:rsidRPr="00410F1D">
        <w:rPr>
          <w:szCs w:val="20"/>
        </w:rPr>
        <w:t>other</w:t>
      </w:r>
      <w:r w:rsidR="00C64050">
        <w:rPr>
          <w:szCs w:val="20"/>
        </w:rPr>
        <w:t xml:space="preserve"> </w:t>
      </w:r>
      <w:r w:rsidRPr="00410F1D">
        <w:rPr>
          <w:szCs w:val="20"/>
        </w:rPr>
        <w:t>hand,</w:t>
      </w:r>
      <w:r w:rsidR="00C64050">
        <w:rPr>
          <w:szCs w:val="20"/>
        </w:rPr>
        <w:t xml:space="preserve"> </w:t>
      </w:r>
      <w:r w:rsidRPr="00410F1D">
        <w:rPr>
          <w:szCs w:val="20"/>
        </w:rPr>
        <w:t>interprets</w:t>
      </w:r>
      <w:r w:rsidR="00C64050">
        <w:rPr>
          <w:szCs w:val="20"/>
        </w:rPr>
        <w:t xml:space="preserve"> </w:t>
      </w:r>
      <w:r w:rsidRPr="00410F1D">
        <w:rPr>
          <w:szCs w:val="20"/>
        </w:rPr>
        <w:t>“necessary”</w:t>
      </w:r>
      <w:r w:rsidR="00C64050">
        <w:rPr>
          <w:szCs w:val="20"/>
        </w:rPr>
        <w:t xml:space="preserve"> </w:t>
      </w:r>
      <w:r w:rsidRPr="00410F1D">
        <w:rPr>
          <w:szCs w:val="20"/>
        </w:rPr>
        <w:t>as</w:t>
      </w:r>
      <w:r w:rsidR="00C64050">
        <w:rPr>
          <w:szCs w:val="20"/>
        </w:rPr>
        <w:t xml:space="preserve"> </w:t>
      </w:r>
      <w:r w:rsidRPr="00410F1D">
        <w:rPr>
          <w:szCs w:val="20"/>
        </w:rPr>
        <w:t>creating</w:t>
      </w:r>
      <w:r w:rsidR="00C64050">
        <w:rPr>
          <w:szCs w:val="20"/>
        </w:rPr>
        <w:t xml:space="preserve"> </w:t>
      </w:r>
      <w:r w:rsidRPr="00410F1D">
        <w:rPr>
          <w:szCs w:val="20"/>
        </w:rPr>
        <w:t>a</w:t>
      </w:r>
      <w:r w:rsidR="00C64050">
        <w:rPr>
          <w:szCs w:val="20"/>
        </w:rPr>
        <w:t xml:space="preserve"> </w:t>
      </w:r>
      <w:r w:rsidRPr="00410F1D">
        <w:rPr>
          <w:szCs w:val="20"/>
        </w:rPr>
        <w:t>threshold</w:t>
      </w:r>
      <w:r w:rsidR="00C64050">
        <w:rPr>
          <w:szCs w:val="20"/>
        </w:rPr>
        <w:t xml:space="preserve"> </w:t>
      </w:r>
      <w:r w:rsidRPr="00410F1D">
        <w:rPr>
          <w:szCs w:val="20"/>
        </w:rPr>
        <w:t>of</w:t>
      </w:r>
      <w:r w:rsidR="00C64050">
        <w:rPr>
          <w:szCs w:val="20"/>
        </w:rPr>
        <w:t xml:space="preserve"> </w:t>
      </w:r>
      <w:r w:rsidRPr="00410F1D">
        <w:rPr>
          <w:rStyle w:val="Emphasis"/>
          <w:szCs w:val="20"/>
        </w:rPr>
        <w:t>financial</w:t>
      </w:r>
      <w:r w:rsidR="00C64050">
        <w:rPr>
          <w:rStyle w:val="Emphasis"/>
          <w:szCs w:val="20"/>
        </w:rPr>
        <w:t xml:space="preserve"> </w:t>
      </w:r>
      <w:r w:rsidRPr="00410F1D">
        <w:rPr>
          <w:rStyle w:val="Emphasis"/>
          <w:szCs w:val="20"/>
        </w:rPr>
        <w:t>need.</w:t>
      </w:r>
      <w:r w:rsidR="00C64050">
        <w:rPr>
          <w:szCs w:val="20"/>
        </w:rPr>
        <w:t xml:space="preserve"> </w:t>
      </w:r>
      <w:r w:rsidRPr="00410F1D">
        <w:rPr>
          <w:szCs w:val="20"/>
        </w:rPr>
        <w:t>Under</w:t>
      </w:r>
      <w:r w:rsidR="00C64050">
        <w:rPr>
          <w:szCs w:val="20"/>
        </w:rPr>
        <w:t xml:space="preserve"> </w:t>
      </w:r>
      <w:r w:rsidRPr="00410F1D">
        <w:rPr>
          <w:szCs w:val="20"/>
        </w:rPr>
        <w:t>this</w:t>
      </w:r>
      <w:r w:rsidR="00C64050">
        <w:rPr>
          <w:szCs w:val="20"/>
        </w:rPr>
        <w:t xml:space="preserve"> </w:t>
      </w:r>
      <w:r w:rsidRPr="00410F1D">
        <w:rPr>
          <w:szCs w:val="20"/>
        </w:rPr>
        <w:t>interpretation,</w:t>
      </w:r>
      <w:r w:rsidR="00C64050">
        <w:rPr>
          <w:szCs w:val="20"/>
        </w:rPr>
        <w:t xml:space="preserve"> </w:t>
      </w:r>
      <w:r w:rsidRPr="00410F1D">
        <w:rPr>
          <w:szCs w:val="20"/>
        </w:rPr>
        <w:t>Dale,</w:t>
      </w:r>
      <w:r w:rsidR="00C64050">
        <w:rPr>
          <w:szCs w:val="20"/>
        </w:rPr>
        <w:t xml:space="preserve"> </w:t>
      </w:r>
      <w:r w:rsidRPr="00410F1D">
        <w:rPr>
          <w:szCs w:val="20"/>
        </w:rPr>
        <w:t>as</w:t>
      </w:r>
      <w:r w:rsidR="00C64050">
        <w:rPr>
          <w:szCs w:val="20"/>
        </w:rPr>
        <w:t xml:space="preserve"> </w:t>
      </w:r>
      <w:r w:rsidRPr="00410F1D">
        <w:rPr>
          <w:szCs w:val="20"/>
        </w:rPr>
        <w:t>trustee,</w:t>
      </w:r>
      <w:r w:rsidR="00C64050">
        <w:rPr>
          <w:szCs w:val="20"/>
        </w:rPr>
        <w:t xml:space="preserve"> </w:t>
      </w:r>
      <w:r w:rsidRPr="00410F1D">
        <w:rPr>
          <w:szCs w:val="20"/>
        </w:rPr>
        <w:t>cannot</w:t>
      </w:r>
      <w:r w:rsidR="00C64050">
        <w:rPr>
          <w:szCs w:val="20"/>
        </w:rPr>
        <w:t xml:space="preserve"> </w:t>
      </w:r>
      <w:r w:rsidRPr="00410F1D">
        <w:rPr>
          <w:szCs w:val="20"/>
        </w:rPr>
        <w:t>distribute</w:t>
      </w:r>
      <w:r w:rsidR="00C64050">
        <w:rPr>
          <w:szCs w:val="20"/>
        </w:rPr>
        <w:t xml:space="preserve"> </w:t>
      </w:r>
      <w:r w:rsidRPr="00410F1D">
        <w:rPr>
          <w:szCs w:val="20"/>
        </w:rPr>
        <w:t>trust</w:t>
      </w:r>
      <w:r w:rsidR="00C64050">
        <w:rPr>
          <w:szCs w:val="20"/>
        </w:rPr>
        <w:t xml:space="preserve"> </w:t>
      </w:r>
      <w:r w:rsidRPr="00410F1D">
        <w:rPr>
          <w:szCs w:val="20"/>
        </w:rPr>
        <w:t>funds</w:t>
      </w:r>
      <w:r w:rsidR="00C64050">
        <w:rPr>
          <w:szCs w:val="20"/>
        </w:rPr>
        <w:t xml:space="preserve"> </w:t>
      </w:r>
      <w:r w:rsidRPr="00410F1D">
        <w:rPr>
          <w:szCs w:val="20"/>
        </w:rPr>
        <w:t>unless</w:t>
      </w:r>
      <w:r w:rsidR="00C64050">
        <w:rPr>
          <w:szCs w:val="20"/>
        </w:rPr>
        <w:t xml:space="preserve"> </w:t>
      </w:r>
      <w:r w:rsidRPr="00410F1D">
        <w:rPr>
          <w:szCs w:val="20"/>
        </w:rPr>
        <w:t>she</w:t>
      </w:r>
      <w:r w:rsidR="00C64050">
        <w:rPr>
          <w:szCs w:val="20"/>
        </w:rPr>
        <w:t xml:space="preserve"> </w:t>
      </w:r>
      <w:r w:rsidRPr="00410F1D">
        <w:rPr>
          <w:szCs w:val="20"/>
        </w:rPr>
        <w:t>can</w:t>
      </w:r>
      <w:r w:rsidR="00C64050">
        <w:rPr>
          <w:szCs w:val="20"/>
        </w:rPr>
        <w:t xml:space="preserve"> </w:t>
      </w:r>
      <w:r w:rsidRPr="00410F1D">
        <w:rPr>
          <w:szCs w:val="20"/>
        </w:rPr>
        <w:t>first</w:t>
      </w:r>
      <w:r w:rsidR="00C64050">
        <w:rPr>
          <w:szCs w:val="20"/>
        </w:rPr>
        <w:t xml:space="preserve"> </w:t>
      </w:r>
      <w:r w:rsidRPr="00410F1D">
        <w:rPr>
          <w:szCs w:val="20"/>
        </w:rPr>
        <w:t>show</w:t>
      </w:r>
      <w:r w:rsidR="00C64050">
        <w:rPr>
          <w:szCs w:val="20"/>
        </w:rPr>
        <w:t xml:space="preserve"> </w:t>
      </w:r>
      <w:r w:rsidRPr="00410F1D">
        <w:rPr>
          <w:szCs w:val="20"/>
        </w:rPr>
        <w:t>that</w:t>
      </w:r>
      <w:r w:rsidR="00C64050">
        <w:rPr>
          <w:szCs w:val="20"/>
        </w:rPr>
        <w:t xml:space="preserve"> </w:t>
      </w:r>
      <w:r w:rsidRPr="00410F1D">
        <w:rPr>
          <w:szCs w:val="20"/>
        </w:rPr>
        <w:t>without</w:t>
      </w:r>
      <w:r w:rsidR="00C64050">
        <w:rPr>
          <w:szCs w:val="20"/>
        </w:rPr>
        <w:t xml:space="preserve"> </w:t>
      </w:r>
      <w:r w:rsidRPr="00410F1D">
        <w:rPr>
          <w:szCs w:val="20"/>
        </w:rPr>
        <w:t>the</w:t>
      </w:r>
      <w:r w:rsidR="00C64050">
        <w:rPr>
          <w:szCs w:val="20"/>
        </w:rPr>
        <w:t xml:space="preserve"> </w:t>
      </w:r>
      <w:r w:rsidRPr="00410F1D">
        <w:rPr>
          <w:szCs w:val="20"/>
        </w:rPr>
        <w:t>trust</w:t>
      </w:r>
      <w:r w:rsidR="00C64050">
        <w:rPr>
          <w:szCs w:val="20"/>
        </w:rPr>
        <w:t xml:space="preserve"> </w:t>
      </w:r>
      <w:r w:rsidRPr="00410F1D">
        <w:rPr>
          <w:szCs w:val="20"/>
        </w:rPr>
        <w:t>distributions,</w:t>
      </w:r>
      <w:r w:rsidR="00C64050">
        <w:rPr>
          <w:szCs w:val="20"/>
        </w:rPr>
        <w:t xml:space="preserve"> </w:t>
      </w:r>
      <w:r w:rsidRPr="00410F1D">
        <w:rPr>
          <w:szCs w:val="20"/>
        </w:rPr>
        <w:t>she</w:t>
      </w:r>
      <w:r w:rsidR="00C64050">
        <w:rPr>
          <w:szCs w:val="20"/>
        </w:rPr>
        <w:t xml:space="preserve"> </w:t>
      </w:r>
      <w:r w:rsidRPr="00410F1D">
        <w:rPr>
          <w:szCs w:val="20"/>
        </w:rPr>
        <w:t>could</w:t>
      </w:r>
      <w:r w:rsidR="00C64050">
        <w:rPr>
          <w:szCs w:val="20"/>
        </w:rPr>
        <w:t xml:space="preserve"> </w:t>
      </w:r>
      <w:r w:rsidRPr="00410F1D">
        <w:rPr>
          <w:szCs w:val="20"/>
        </w:rPr>
        <w:t>not</w:t>
      </w:r>
      <w:r w:rsidR="00C64050">
        <w:rPr>
          <w:szCs w:val="20"/>
        </w:rPr>
        <w:t xml:space="preserve"> </w:t>
      </w:r>
      <w:r w:rsidRPr="00410F1D">
        <w:rPr>
          <w:szCs w:val="20"/>
        </w:rPr>
        <w:t>provide</w:t>
      </w:r>
      <w:r w:rsidR="00C64050">
        <w:rPr>
          <w:szCs w:val="20"/>
        </w:rPr>
        <w:t xml:space="preserve"> </w:t>
      </w:r>
      <w:r w:rsidRPr="00410F1D">
        <w:rPr>
          <w:szCs w:val="20"/>
        </w:rPr>
        <w:t>for</w:t>
      </w:r>
      <w:r w:rsidR="00C64050">
        <w:rPr>
          <w:szCs w:val="20"/>
        </w:rPr>
        <w:t xml:space="preserve"> </w:t>
      </w:r>
      <w:r w:rsidRPr="00410F1D">
        <w:rPr>
          <w:szCs w:val="20"/>
        </w:rPr>
        <w:t>her</w:t>
      </w:r>
      <w:r w:rsidR="00C64050">
        <w:rPr>
          <w:szCs w:val="20"/>
        </w:rPr>
        <w:t xml:space="preserve"> </w:t>
      </w:r>
      <w:r w:rsidRPr="00410F1D">
        <w:rPr>
          <w:szCs w:val="20"/>
        </w:rPr>
        <w:t>own</w:t>
      </w:r>
      <w:r w:rsidR="00C64050">
        <w:rPr>
          <w:szCs w:val="20"/>
        </w:rPr>
        <w:t xml:space="preserve"> </w:t>
      </w:r>
      <w:r w:rsidRPr="00410F1D">
        <w:rPr>
          <w:szCs w:val="20"/>
        </w:rPr>
        <w:t>“support,</w:t>
      </w:r>
      <w:r w:rsidR="00C64050">
        <w:rPr>
          <w:szCs w:val="20"/>
        </w:rPr>
        <w:t xml:space="preserve"> </w:t>
      </w:r>
      <w:r w:rsidRPr="00410F1D">
        <w:rPr>
          <w:szCs w:val="20"/>
        </w:rPr>
        <w:t>care,</w:t>
      </w:r>
      <w:r w:rsidR="00C64050">
        <w:rPr>
          <w:szCs w:val="20"/>
        </w:rPr>
        <w:t xml:space="preserve"> </w:t>
      </w:r>
      <w:r w:rsidRPr="00410F1D">
        <w:rPr>
          <w:szCs w:val="20"/>
        </w:rPr>
        <w:t>and</w:t>
      </w:r>
      <w:r w:rsidR="00C64050">
        <w:rPr>
          <w:szCs w:val="20"/>
        </w:rPr>
        <w:t xml:space="preserve"> </w:t>
      </w:r>
      <w:r w:rsidRPr="00410F1D">
        <w:rPr>
          <w:szCs w:val="20"/>
        </w:rPr>
        <w:t>maintenance.”</w:t>
      </w:r>
      <w:r w:rsidR="00C64050">
        <w:rPr>
          <w:szCs w:val="20"/>
        </w:rPr>
        <w:t xml:space="preserve"> </w:t>
      </w:r>
      <w:r w:rsidRPr="00410F1D">
        <w:rPr>
          <w:szCs w:val="20"/>
        </w:rPr>
        <w:t>Righetti</w:t>
      </w:r>
      <w:r w:rsidR="00C64050">
        <w:rPr>
          <w:szCs w:val="20"/>
        </w:rPr>
        <w:t xml:space="preserve"> </w:t>
      </w:r>
      <w:r w:rsidRPr="00410F1D">
        <w:rPr>
          <w:szCs w:val="20"/>
        </w:rPr>
        <w:t>argues</w:t>
      </w:r>
      <w:r w:rsidR="00C64050">
        <w:rPr>
          <w:szCs w:val="20"/>
        </w:rPr>
        <w:t xml:space="preserve"> </w:t>
      </w:r>
      <w:r w:rsidRPr="00410F1D">
        <w:rPr>
          <w:szCs w:val="20"/>
        </w:rPr>
        <w:t>that</w:t>
      </w:r>
      <w:r w:rsidR="00C64050">
        <w:rPr>
          <w:szCs w:val="20"/>
        </w:rPr>
        <w:t xml:space="preserve"> </w:t>
      </w:r>
      <w:r w:rsidRPr="00410F1D">
        <w:rPr>
          <w:szCs w:val="20"/>
        </w:rPr>
        <w:t>the</w:t>
      </w:r>
      <w:r w:rsidR="00C64050">
        <w:rPr>
          <w:szCs w:val="20"/>
        </w:rPr>
        <w:t xml:space="preserve"> </w:t>
      </w:r>
      <w:r w:rsidRPr="00410F1D">
        <w:rPr>
          <w:szCs w:val="20"/>
        </w:rPr>
        <w:t>relevant</w:t>
      </w:r>
      <w:r w:rsidR="00C64050">
        <w:rPr>
          <w:szCs w:val="20"/>
        </w:rPr>
        <w:t xml:space="preserve"> </w:t>
      </w:r>
      <w:r w:rsidRPr="00410F1D">
        <w:rPr>
          <w:szCs w:val="20"/>
        </w:rPr>
        <w:t>discovery</w:t>
      </w:r>
      <w:r w:rsidR="00C64050">
        <w:rPr>
          <w:szCs w:val="20"/>
        </w:rPr>
        <w:t xml:space="preserve"> </w:t>
      </w:r>
      <w:r w:rsidRPr="00410F1D">
        <w:rPr>
          <w:szCs w:val="20"/>
        </w:rPr>
        <w:t>inquiry</w:t>
      </w:r>
      <w:r w:rsidR="00C64050">
        <w:rPr>
          <w:szCs w:val="20"/>
        </w:rPr>
        <w:t xml:space="preserve"> </w:t>
      </w:r>
      <w:r w:rsidRPr="00410F1D">
        <w:rPr>
          <w:szCs w:val="20"/>
        </w:rPr>
        <w:t>in</w:t>
      </w:r>
      <w:r w:rsidR="00C64050">
        <w:rPr>
          <w:szCs w:val="20"/>
        </w:rPr>
        <w:t xml:space="preserve"> </w:t>
      </w:r>
      <w:r w:rsidRPr="00410F1D">
        <w:rPr>
          <w:szCs w:val="20"/>
        </w:rPr>
        <w:t>determining</w:t>
      </w:r>
      <w:r w:rsidR="00C64050">
        <w:rPr>
          <w:szCs w:val="20"/>
        </w:rPr>
        <w:t xml:space="preserve"> </w:t>
      </w:r>
      <w:r w:rsidRPr="00410F1D">
        <w:rPr>
          <w:szCs w:val="20"/>
        </w:rPr>
        <w:t>whether</w:t>
      </w:r>
      <w:r w:rsidR="00C64050">
        <w:rPr>
          <w:szCs w:val="20"/>
        </w:rPr>
        <w:t xml:space="preserve"> </w:t>
      </w:r>
      <w:r w:rsidRPr="00410F1D">
        <w:rPr>
          <w:szCs w:val="20"/>
        </w:rPr>
        <w:t>a</w:t>
      </w:r>
      <w:r w:rsidR="00C64050">
        <w:rPr>
          <w:szCs w:val="20"/>
        </w:rPr>
        <w:t xml:space="preserve"> </w:t>
      </w:r>
      <w:r w:rsidRPr="00410F1D">
        <w:rPr>
          <w:szCs w:val="20"/>
        </w:rPr>
        <w:t>distribution</w:t>
      </w:r>
      <w:r w:rsidR="00C64050">
        <w:rPr>
          <w:szCs w:val="20"/>
        </w:rPr>
        <w:t xml:space="preserve"> </w:t>
      </w:r>
      <w:r w:rsidRPr="00410F1D">
        <w:rPr>
          <w:szCs w:val="20"/>
        </w:rPr>
        <w:t>is</w:t>
      </w:r>
      <w:r w:rsidR="00C64050">
        <w:rPr>
          <w:szCs w:val="20"/>
        </w:rPr>
        <w:t xml:space="preserve"> </w:t>
      </w:r>
      <w:r w:rsidRPr="00410F1D">
        <w:rPr>
          <w:szCs w:val="20"/>
        </w:rPr>
        <w:t>“necessary”</w:t>
      </w:r>
      <w:r w:rsidR="00C64050">
        <w:rPr>
          <w:szCs w:val="20"/>
        </w:rPr>
        <w:t xml:space="preserve"> </w:t>
      </w:r>
      <w:r w:rsidRPr="00410F1D">
        <w:rPr>
          <w:szCs w:val="20"/>
        </w:rPr>
        <w:t>to</w:t>
      </w:r>
      <w:r w:rsidR="00C64050">
        <w:rPr>
          <w:szCs w:val="20"/>
        </w:rPr>
        <w:t xml:space="preserve"> </w:t>
      </w:r>
      <w:r w:rsidRPr="00410F1D">
        <w:rPr>
          <w:szCs w:val="20"/>
        </w:rPr>
        <w:t>Dale</w:t>
      </w:r>
      <w:r w:rsidR="00C64050">
        <w:rPr>
          <w:szCs w:val="20"/>
        </w:rPr>
        <w:t xml:space="preserve"> </w:t>
      </w:r>
      <w:r w:rsidRPr="00410F1D">
        <w:rPr>
          <w:szCs w:val="20"/>
        </w:rPr>
        <w:t>is</w:t>
      </w:r>
      <w:r w:rsidR="00C64050">
        <w:rPr>
          <w:szCs w:val="20"/>
        </w:rPr>
        <w:t xml:space="preserve"> </w:t>
      </w:r>
      <w:r w:rsidRPr="00410F1D">
        <w:rPr>
          <w:szCs w:val="20"/>
        </w:rPr>
        <w:t>to</w:t>
      </w:r>
      <w:r w:rsidR="00C64050">
        <w:rPr>
          <w:szCs w:val="20"/>
        </w:rPr>
        <w:t xml:space="preserve"> </w:t>
      </w:r>
      <w:r w:rsidRPr="00410F1D">
        <w:rPr>
          <w:szCs w:val="20"/>
        </w:rPr>
        <w:t>determine</w:t>
      </w:r>
      <w:r w:rsidR="00C64050">
        <w:rPr>
          <w:szCs w:val="20"/>
        </w:rPr>
        <w:t xml:space="preserve"> </w:t>
      </w:r>
      <w:r w:rsidRPr="00410F1D">
        <w:rPr>
          <w:szCs w:val="20"/>
        </w:rPr>
        <w:t>what</w:t>
      </w:r>
      <w:r w:rsidR="00C64050">
        <w:rPr>
          <w:szCs w:val="20"/>
        </w:rPr>
        <w:t xml:space="preserve"> </w:t>
      </w:r>
      <w:r w:rsidRPr="00410F1D">
        <w:rPr>
          <w:szCs w:val="20"/>
        </w:rPr>
        <w:t>other</w:t>
      </w:r>
      <w:r w:rsidR="00C64050">
        <w:rPr>
          <w:szCs w:val="20"/>
        </w:rPr>
        <w:t xml:space="preserve"> </w:t>
      </w:r>
      <w:r w:rsidRPr="00410F1D">
        <w:rPr>
          <w:szCs w:val="20"/>
        </w:rPr>
        <w:t>financial</w:t>
      </w:r>
      <w:r w:rsidR="00C64050">
        <w:rPr>
          <w:szCs w:val="20"/>
        </w:rPr>
        <w:t xml:space="preserve"> </w:t>
      </w:r>
      <w:r w:rsidRPr="00410F1D">
        <w:rPr>
          <w:szCs w:val="20"/>
        </w:rPr>
        <w:t>means</w:t>
      </w:r>
      <w:r w:rsidR="00C64050">
        <w:rPr>
          <w:szCs w:val="20"/>
        </w:rPr>
        <w:t xml:space="preserve"> </w:t>
      </w:r>
      <w:r w:rsidRPr="00410F1D">
        <w:rPr>
          <w:szCs w:val="20"/>
        </w:rPr>
        <w:t>she</w:t>
      </w:r>
      <w:r w:rsidR="00C64050">
        <w:rPr>
          <w:szCs w:val="20"/>
        </w:rPr>
        <w:t xml:space="preserve"> </w:t>
      </w:r>
      <w:r w:rsidRPr="00410F1D">
        <w:rPr>
          <w:szCs w:val="20"/>
        </w:rPr>
        <w:t>has</w:t>
      </w:r>
      <w:r w:rsidR="00C64050">
        <w:rPr>
          <w:szCs w:val="20"/>
        </w:rPr>
        <w:t xml:space="preserve"> </w:t>
      </w:r>
      <w:r w:rsidRPr="00410F1D">
        <w:rPr>
          <w:szCs w:val="20"/>
        </w:rPr>
        <w:t>for</w:t>
      </w:r>
      <w:r w:rsidR="00C64050">
        <w:rPr>
          <w:szCs w:val="20"/>
        </w:rPr>
        <w:t xml:space="preserve"> </w:t>
      </w:r>
      <w:r w:rsidRPr="00410F1D">
        <w:rPr>
          <w:szCs w:val="20"/>
        </w:rPr>
        <w:t>her</w:t>
      </w:r>
      <w:r w:rsidR="00C64050">
        <w:rPr>
          <w:szCs w:val="20"/>
        </w:rPr>
        <w:t xml:space="preserve"> </w:t>
      </w:r>
      <w:r w:rsidRPr="00410F1D">
        <w:rPr>
          <w:szCs w:val="20"/>
        </w:rPr>
        <w:t>support,</w:t>
      </w:r>
      <w:r w:rsidR="00C64050">
        <w:rPr>
          <w:szCs w:val="20"/>
        </w:rPr>
        <w:t xml:space="preserve"> </w:t>
      </w:r>
      <w:r w:rsidRPr="00410F1D">
        <w:rPr>
          <w:szCs w:val="20"/>
        </w:rPr>
        <w:t>care,</w:t>
      </w:r>
      <w:r w:rsidR="00C64050">
        <w:rPr>
          <w:szCs w:val="20"/>
        </w:rPr>
        <w:t xml:space="preserve"> </w:t>
      </w:r>
      <w:r w:rsidRPr="00410F1D">
        <w:rPr>
          <w:szCs w:val="20"/>
        </w:rPr>
        <w:t>and</w:t>
      </w:r>
      <w:r w:rsidR="00C64050">
        <w:rPr>
          <w:szCs w:val="20"/>
        </w:rPr>
        <w:t xml:space="preserve"> </w:t>
      </w:r>
      <w:r w:rsidRPr="00410F1D">
        <w:rPr>
          <w:szCs w:val="20"/>
        </w:rPr>
        <w:t>maintenance.</w:t>
      </w:r>
    </w:p>
    <w:p w:rsidR="00410F1D" w:rsidRPr="00410F1D" w:rsidRDefault="00410F1D" w:rsidP="00410F1D">
      <w:pPr>
        <w:pStyle w:val="QS10"/>
        <w:rPr>
          <w:szCs w:val="20"/>
        </w:rPr>
      </w:pPr>
      <w:r w:rsidRPr="00410F1D">
        <w:rPr>
          <w:szCs w:val="20"/>
        </w:rPr>
        <w:t>The</w:t>
      </w:r>
      <w:r w:rsidR="00C64050">
        <w:rPr>
          <w:szCs w:val="20"/>
        </w:rPr>
        <w:t xml:space="preserve"> </w:t>
      </w:r>
      <w:r w:rsidRPr="00410F1D">
        <w:rPr>
          <w:szCs w:val="20"/>
        </w:rPr>
        <w:t>district</w:t>
      </w:r>
      <w:r w:rsidR="00C64050">
        <w:rPr>
          <w:szCs w:val="20"/>
        </w:rPr>
        <w:t xml:space="preserve"> </w:t>
      </w:r>
      <w:r w:rsidRPr="00410F1D">
        <w:rPr>
          <w:szCs w:val="20"/>
        </w:rPr>
        <w:t>court</w:t>
      </w:r>
      <w:r w:rsidR="00C64050">
        <w:rPr>
          <w:szCs w:val="20"/>
        </w:rPr>
        <w:t xml:space="preserve"> </w:t>
      </w:r>
      <w:r w:rsidRPr="00410F1D">
        <w:rPr>
          <w:szCs w:val="20"/>
        </w:rPr>
        <w:t>appears</w:t>
      </w:r>
      <w:r w:rsidR="00C64050">
        <w:rPr>
          <w:szCs w:val="20"/>
        </w:rPr>
        <w:t xml:space="preserve"> </w:t>
      </w:r>
      <w:r w:rsidRPr="00410F1D">
        <w:rPr>
          <w:szCs w:val="20"/>
        </w:rPr>
        <w:t>to</w:t>
      </w:r>
      <w:r w:rsidR="00C64050">
        <w:rPr>
          <w:szCs w:val="20"/>
        </w:rPr>
        <w:t xml:space="preserve"> </w:t>
      </w:r>
      <w:r w:rsidRPr="00410F1D">
        <w:rPr>
          <w:szCs w:val="20"/>
        </w:rPr>
        <w:t>have</w:t>
      </w:r>
      <w:r w:rsidR="00C64050">
        <w:rPr>
          <w:szCs w:val="20"/>
        </w:rPr>
        <w:t xml:space="preserve"> </w:t>
      </w:r>
      <w:r w:rsidRPr="00410F1D">
        <w:rPr>
          <w:szCs w:val="20"/>
        </w:rPr>
        <w:t>adopted</w:t>
      </w:r>
      <w:r w:rsidR="00C64050">
        <w:rPr>
          <w:szCs w:val="20"/>
        </w:rPr>
        <w:t xml:space="preserve"> </w:t>
      </w:r>
      <w:r w:rsidRPr="00410F1D">
        <w:rPr>
          <w:szCs w:val="20"/>
        </w:rPr>
        <w:t>Righetti’s</w:t>
      </w:r>
      <w:r w:rsidR="00C64050">
        <w:rPr>
          <w:szCs w:val="20"/>
        </w:rPr>
        <w:t xml:space="preserve"> </w:t>
      </w:r>
      <w:r w:rsidRPr="00410F1D">
        <w:rPr>
          <w:szCs w:val="20"/>
        </w:rPr>
        <w:t>interpretation</w:t>
      </w:r>
      <w:r w:rsidR="00C64050">
        <w:rPr>
          <w:szCs w:val="20"/>
        </w:rPr>
        <w:t xml:space="preserve"> </w:t>
      </w:r>
      <w:r w:rsidRPr="00410F1D">
        <w:rPr>
          <w:szCs w:val="20"/>
        </w:rPr>
        <w:t>of</w:t>
      </w:r>
      <w:r w:rsidR="00C64050">
        <w:rPr>
          <w:szCs w:val="20"/>
        </w:rPr>
        <w:t xml:space="preserve"> </w:t>
      </w:r>
      <w:r w:rsidRPr="00410F1D">
        <w:rPr>
          <w:szCs w:val="20"/>
        </w:rPr>
        <w:t>“necessary,”</w:t>
      </w:r>
      <w:r w:rsidR="00C64050">
        <w:rPr>
          <w:szCs w:val="20"/>
        </w:rPr>
        <w:t xml:space="preserve"> </w:t>
      </w:r>
      <w:r w:rsidRPr="00410F1D">
        <w:rPr>
          <w:szCs w:val="20"/>
        </w:rPr>
        <w:t>in</w:t>
      </w:r>
      <w:r w:rsidR="00C64050">
        <w:rPr>
          <w:szCs w:val="20"/>
        </w:rPr>
        <w:t xml:space="preserve"> </w:t>
      </w:r>
      <w:r w:rsidRPr="00410F1D">
        <w:rPr>
          <w:szCs w:val="20"/>
        </w:rPr>
        <w:t>that</w:t>
      </w:r>
      <w:r w:rsidR="00C64050">
        <w:rPr>
          <w:szCs w:val="20"/>
        </w:rPr>
        <w:t xml:space="preserve"> </w:t>
      </w:r>
      <w:r w:rsidRPr="00410F1D">
        <w:rPr>
          <w:szCs w:val="20"/>
        </w:rPr>
        <w:t>it</w:t>
      </w:r>
      <w:r w:rsidR="00C64050">
        <w:rPr>
          <w:szCs w:val="20"/>
        </w:rPr>
        <w:t xml:space="preserve"> </w:t>
      </w:r>
      <w:r w:rsidRPr="00410F1D">
        <w:rPr>
          <w:szCs w:val="20"/>
        </w:rPr>
        <w:t>creates</w:t>
      </w:r>
      <w:r w:rsidR="00C64050">
        <w:rPr>
          <w:szCs w:val="20"/>
        </w:rPr>
        <w:t xml:space="preserve"> </w:t>
      </w:r>
      <w:r w:rsidRPr="00410F1D">
        <w:rPr>
          <w:szCs w:val="20"/>
        </w:rPr>
        <w:t>a</w:t>
      </w:r>
      <w:r w:rsidR="00C64050">
        <w:rPr>
          <w:szCs w:val="20"/>
        </w:rPr>
        <w:t xml:space="preserve"> </w:t>
      </w:r>
      <w:r w:rsidRPr="00410F1D">
        <w:rPr>
          <w:szCs w:val="20"/>
        </w:rPr>
        <w:t>threshold</w:t>
      </w:r>
      <w:r w:rsidR="00C64050">
        <w:rPr>
          <w:szCs w:val="20"/>
        </w:rPr>
        <w:t xml:space="preserve"> </w:t>
      </w:r>
      <w:r w:rsidRPr="00410F1D">
        <w:rPr>
          <w:szCs w:val="20"/>
        </w:rPr>
        <w:t>of</w:t>
      </w:r>
      <w:r w:rsidR="00C64050">
        <w:rPr>
          <w:szCs w:val="20"/>
        </w:rPr>
        <w:t xml:space="preserve"> </w:t>
      </w:r>
      <w:r w:rsidRPr="00410F1D">
        <w:rPr>
          <w:rStyle w:val="Emphasis"/>
          <w:szCs w:val="20"/>
        </w:rPr>
        <w:t>financial</w:t>
      </w:r>
      <w:r w:rsidR="00C64050">
        <w:rPr>
          <w:rStyle w:val="Emphasis"/>
          <w:szCs w:val="20"/>
        </w:rPr>
        <w:t xml:space="preserve"> </w:t>
      </w:r>
      <w:r w:rsidRPr="00410F1D">
        <w:rPr>
          <w:rStyle w:val="Emphasis"/>
          <w:szCs w:val="20"/>
        </w:rPr>
        <w:t>need.</w:t>
      </w:r>
      <w:r w:rsidR="00DC1D28">
        <w:rPr>
          <w:rStyle w:val="Emphasis"/>
          <w:szCs w:val="20"/>
        </w:rPr>
        <w:t xml:space="preserve"> </w:t>
      </w:r>
      <w:r w:rsidRPr="00410F1D">
        <w:rPr>
          <w:szCs w:val="20"/>
        </w:rPr>
        <w:t>The</w:t>
      </w:r>
      <w:r w:rsidR="00C64050">
        <w:rPr>
          <w:szCs w:val="20"/>
        </w:rPr>
        <w:t xml:space="preserve"> </w:t>
      </w:r>
      <w:r w:rsidRPr="00410F1D">
        <w:rPr>
          <w:szCs w:val="20"/>
        </w:rPr>
        <w:t>district</w:t>
      </w:r>
      <w:r w:rsidR="00C64050">
        <w:rPr>
          <w:szCs w:val="20"/>
        </w:rPr>
        <w:t xml:space="preserve"> </w:t>
      </w:r>
      <w:r w:rsidRPr="00410F1D">
        <w:rPr>
          <w:szCs w:val="20"/>
        </w:rPr>
        <w:t>court</w:t>
      </w:r>
      <w:r w:rsidR="00C64050">
        <w:rPr>
          <w:szCs w:val="20"/>
        </w:rPr>
        <w:t xml:space="preserve"> </w:t>
      </w:r>
      <w:r w:rsidRPr="00410F1D">
        <w:rPr>
          <w:szCs w:val="20"/>
        </w:rPr>
        <w:t>determined</w:t>
      </w:r>
      <w:r w:rsidR="00C64050">
        <w:rPr>
          <w:szCs w:val="20"/>
        </w:rPr>
        <w:t xml:space="preserve"> </w:t>
      </w:r>
      <w:r w:rsidRPr="00410F1D">
        <w:rPr>
          <w:szCs w:val="20"/>
        </w:rPr>
        <w:t>that</w:t>
      </w:r>
      <w:r w:rsidR="00C64050">
        <w:rPr>
          <w:szCs w:val="20"/>
        </w:rPr>
        <w:t xml:space="preserve"> </w:t>
      </w:r>
      <w:r w:rsidRPr="00410F1D">
        <w:rPr>
          <w:szCs w:val="20"/>
        </w:rPr>
        <w:t>it</w:t>
      </w:r>
      <w:r w:rsidR="00C64050">
        <w:rPr>
          <w:szCs w:val="20"/>
        </w:rPr>
        <w:t xml:space="preserve"> </w:t>
      </w:r>
      <w:r w:rsidRPr="00410F1D">
        <w:rPr>
          <w:szCs w:val="20"/>
        </w:rPr>
        <w:t>“cannot</w:t>
      </w:r>
      <w:r w:rsidR="00C64050">
        <w:rPr>
          <w:szCs w:val="20"/>
        </w:rPr>
        <w:t xml:space="preserve"> </w:t>
      </w:r>
      <w:r w:rsidRPr="00410F1D">
        <w:rPr>
          <w:szCs w:val="20"/>
        </w:rPr>
        <w:t>determine</w:t>
      </w:r>
      <w:r w:rsidR="00C64050">
        <w:rPr>
          <w:szCs w:val="20"/>
        </w:rPr>
        <w:t xml:space="preserve"> </w:t>
      </w:r>
      <w:r w:rsidRPr="00410F1D">
        <w:rPr>
          <w:szCs w:val="20"/>
        </w:rPr>
        <w:t>what</w:t>
      </w:r>
      <w:r w:rsidR="00C64050">
        <w:rPr>
          <w:szCs w:val="20"/>
        </w:rPr>
        <w:t xml:space="preserve"> </w:t>
      </w:r>
      <w:r w:rsidRPr="00410F1D">
        <w:rPr>
          <w:szCs w:val="20"/>
        </w:rPr>
        <w:t>is</w:t>
      </w:r>
      <w:r w:rsidR="00C64050">
        <w:rPr>
          <w:szCs w:val="20"/>
        </w:rPr>
        <w:t xml:space="preserve"> </w:t>
      </w:r>
      <w:r w:rsidRPr="00410F1D">
        <w:rPr>
          <w:szCs w:val="20"/>
        </w:rPr>
        <w:t>necessary</w:t>
      </w:r>
      <w:r w:rsidR="00C64050">
        <w:rPr>
          <w:szCs w:val="20"/>
        </w:rPr>
        <w:t xml:space="preserve"> </w:t>
      </w:r>
      <w:r w:rsidRPr="00410F1D">
        <w:rPr>
          <w:szCs w:val="20"/>
        </w:rPr>
        <w:t>and</w:t>
      </w:r>
      <w:r w:rsidR="00C64050">
        <w:rPr>
          <w:szCs w:val="20"/>
        </w:rPr>
        <w:t xml:space="preserve"> </w:t>
      </w:r>
      <w:r w:rsidRPr="00410F1D">
        <w:rPr>
          <w:szCs w:val="20"/>
        </w:rPr>
        <w:t>proper</w:t>
      </w:r>
      <w:r w:rsidR="00C64050">
        <w:rPr>
          <w:szCs w:val="20"/>
        </w:rPr>
        <w:t xml:space="preserve"> </w:t>
      </w:r>
      <w:r w:rsidRPr="00410F1D">
        <w:rPr>
          <w:szCs w:val="20"/>
        </w:rPr>
        <w:t>without</w:t>
      </w:r>
      <w:r w:rsidR="00C64050">
        <w:rPr>
          <w:szCs w:val="20"/>
        </w:rPr>
        <w:t xml:space="preserve"> </w:t>
      </w:r>
      <w:r w:rsidRPr="00410F1D">
        <w:rPr>
          <w:szCs w:val="20"/>
        </w:rPr>
        <w:t>a</w:t>
      </w:r>
      <w:r w:rsidR="00C64050">
        <w:rPr>
          <w:szCs w:val="20"/>
        </w:rPr>
        <w:t xml:space="preserve"> </w:t>
      </w:r>
      <w:r w:rsidRPr="00410F1D">
        <w:rPr>
          <w:szCs w:val="20"/>
        </w:rPr>
        <w:t>complete</w:t>
      </w:r>
      <w:r w:rsidR="00C64050">
        <w:rPr>
          <w:szCs w:val="20"/>
        </w:rPr>
        <w:t xml:space="preserve"> </w:t>
      </w:r>
      <w:r w:rsidRPr="00410F1D">
        <w:rPr>
          <w:szCs w:val="20"/>
        </w:rPr>
        <w:t>understanding</w:t>
      </w:r>
      <w:r w:rsidR="00C64050">
        <w:rPr>
          <w:szCs w:val="20"/>
        </w:rPr>
        <w:t xml:space="preserve"> </w:t>
      </w:r>
      <w:r w:rsidRPr="00410F1D">
        <w:rPr>
          <w:szCs w:val="20"/>
        </w:rPr>
        <w:t>of</w:t>
      </w:r>
      <w:r w:rsidR="00C64050">
        <w:rPr>
          <w:szCs w:val="20"/>
        </w:rPr>
        <w:t xml:space="preserve"> </w:t>
      </w:r>
      <w:r w:rsidRPr="00410F1D">
        <w:rPr>
          <w:szCs w:val="20"/>
        </w:rPr>
        <w:t>the</w:t>
      </w:r>
      <w:r w:rsidR="00C64050">
        <w:rPr>
          <w:szCs w:val="20"/>
        </w:rPr>
        <w:t xml:space="preserve"> </w:t>
      </w:r>
      <w:r w:rsidRPr="00410F1D">
        <w:rPr>
          <w:szCs w:val="20"/>
        </w:rPr>
        <w:t>trustee’s</w:t>
      </w:r>
      <w:r w:rsidR="00C64050">
        <w:rPr>
          <w:szCs w:val="20"/>
        </w:rPr>
        <w:t xml:space="preserve"> </w:t>
      </w:r>
      <w:r w:rsidRPr="00410F1D">
        <w:rPr>
          <w:szCs w:val="20"/>
        </w:rPr>
        <w:t>circumstances,</w:t>
      </w:r>
      <w:r w:rsidR="00C64050">
        <w:rPr>
          <w:szCs w:val="20"/>
        </w:rPr>
        <w:t xml:space="preserve"> </w:t>
      </w:r>
      <w:r w:rsidRPr="00410F1D">
        <w:rPr>
          <w:szCs w:val="20"/>
        </w:rPr>
        <w:t>to</w:t>
      </w:r>
      <w:r w:rsidR="00C64050">
        <w:rPr>
          <w:szCs w:val="20"/>
        </w:rPr>
        <w:t xml:space="preserve"> </w:t>
      </w:r>
      <w:r w:rsidRPr="00410F1D">
        <w:rPr>
          <w:szCs w:val="20"/>
        </w:rPr>
        <w:t>include</w:t>
      </w:r>
      <w:r w:rsidR="00C64050">
        <w:rPr>
          <w:szCs w:val="20"/>
        </w:rPr>
        <w:t xml:space="preserve"> </w:t>
      </w:r>
      <w:r w:rsidRPr="00410F1D">
        <w:rPr>
          <w:szCs w:val="20"/>
        </w:rPr>
        <w:t>standard</w:t>
      </w:r>
      <w:r w:rsidR="00C64050">
        <w:rPr>
          <w:szCs w:val="20"/>
        </w:rPr>
        <w:t xml:space="preserve"> </w:t>
      </w:r>
      <w:r w:rsidRPr="00410F1D">
        <w:rPr>
          <w:szCs w:val="20"/>
        </w:rPr>
        <w:t>of</w:t>
      </w:r>
      <w:r w:rsidR="00C64050">
        <w:rPr>
          <w:szCs w:val="20"/>
        </w:rPr>
        <w:t xml:space="preserve"> </w:t>
      </w:r>
      <w:r w:rsidRPr="00410F1D">
        <w:rPr>
          <w:szCs w:val="20"/>
        </w:rPr>
        <w:t>living</w:t>
      </w:r>
      <w:r w:rsidR="00C64050">
        <w:rPr>
          <w:szCs w:val="20"/>
        </w:rPr>
        <w:t xml:space="preserve"> </w:t>
      </w:r>
      <w:r w:rsidRPr="00410F1D">
        <w:rPr>
          <w:szCs w:val="20"/>
        </w:rPr>
        <w:t>and</w:t>
      </w:r>
      <w:r w:rsidR="00C64050">
        <w:rPr>
          <w:szCs w:val="20"/>
        </w:rPr>
        <w:t xml:space="preserve"> </w:t>
      </w:r>
      <w:r w:rsidRPr="00410F1D">
        <w:rPr>
          <w:szCs w:val="20"/>
        </w:rPr>
        <w:t>supportive</w:t>
      </w:r>
      <w:r w:rsidR="00C64050">
        <w:rPr>
          <w:szCs w:val="20"/>
        </w:rPr>
        <w:t xml:space="preserve"> </w:t>
      </w:r>
      <w:r w:rsidRPr="00410F1D">
        <w:rPr>
          <w:szCs w:val="20"/>
        </w:rPr>
        <w:t>resources</w:t>
      </w:r>
      <w:r w:rsidR="00C64050">
        <w:rPr>
          <w:szCs w:val="20"/>
        </w:rPr>
        <w:t xml:space="preserve"> </w:t>
      </w:r>
      <w:r w:rsidRPr="00410F1D">
        <w:rPr>
          <w:szCs w:val="20"/>
        </w:rPr>
        <w:t>beyond</w:t>
      </w:r>
      <w:r w:rsidR="00C64050">
        <w:rPr>
          <w:szCs w:val="20"/>
        </w:rPr>
        <w:t xml:space="preserve"> </w:t>
      </w:r>
      <w:r w:rsidRPr="00410F1D">
        <w:rPr>
          <w:szCs w:val="20"/>
        </w:rPr>
        <w:t>the</w:t>
      </w:r>
      <w:r w:rsidR="00C64050">
        <w:rPr>
          <w:szCs w:val="20"/>
        </w:rPr>
        <w:t xml:space="preserve"> </w:t>
      </w:r>
      <w:r w:rsidRPr="00410F1D">
        <w:rPr>
          <w:szCs w:val="20"/>
        </w:rPr>
        <w:t>marital</w:t>
      </w:r>
      <w:r w:rsidR="00C64050">
        <w:rPr>
          <w:szCs w:val="20"/>
        </w:rPr>
        <w:t xml:space="preserve"> </w:t>
      </w:r>
      <w:r w:rsidRPr="00410F1D">
        <w:rPr>
          <w:szCs w:val="20"/>
        </w:rPr>
        <w:t>deduction</w:t>
      </w:r>
      <w:r w:rsidR="00C64050">
        <w:rPr>
          <w:szCs w:val="20"/>
        </w:rPr>
        <w:t xml:space="preserve"> </w:t>
      </w:r>
      <w:r w:rsidRPr="00410F1D">
        <w:rPr>
          <w:szCs w:val="20"/>
        </w:rPr>
        <w:t>trust.”</w:t>
      </w:r>
      <w:r w:rsidR="00C64050">
        <w:rPr>
          <w:szCs w:val="20"/>
        </w:rPr>
        <w:t xml:space="preserve"> </w:t>
      </w:r>
      <w:r w:rsidRPr="00410F1D">
        <w:rPr>
          <w:szCs w:val="20"/>
        </w:rPr>
        <w:t>We</w:t>
      </w:r>
      <w:r w:rsidR="00C64050">
        <w:rPr>
          <w:szCs w:val="20"/>
        </w:rPr>
        <w:t xml:space="preserve"> </w:t>
      </w:r>
      <w:r w:rsidRPr="00410F1D">
        <w:rPr>
          <w:szCs w:val="20"/>
        </w:rPr>
        <w:t>conclude</w:t>
      </w:r>
      <w:r w:rsidR="00C64050">
        <w:rPr>
          <w:szCs w:val="20"/>
        </w:rPr>
        <w:t xml:space="preserve"> </w:t>
      </w:r>
      <w:r w:rsidRPr="00410F1D">
        <w:rPr>
          <w:szCs w:val="20"/>
        </w:rPr>
        <w:t>that</w:t>
      </w:r>
      <w:r w:rsidR="00C64050">
        <w:rPr>
          <w:szCs w:val="20"/>
        </w:rPr>
        <w:t xml:space="preserve"> </w:t>
      </w:r>
      <w:r w:rsidRPr="00410F1D">
        <w:rPr>
          <w:szCs w:val="20"/>
        </w:rPr>
        <w:t>this</w:t>
      </w:r>
      <w:r w:rsidR="00C64050">
        <w:rPr>
          <w:szCs w:val="20"/>
        </w:rPr>
        <w:t xml:space="preserve"> </w:t>
      </w:r>
      <w:r w:rsidRPr="00410F1D">
        <w:rPr>
          <w:szCs w:val="20"/>
        </w:rPr>
        <w:t>determination</w:t>
      </w:r>
      <w:r w:rsidR="00C64050">
        <w:rPr>
          <w:szCs w:val="20"/>
        </w:rPr>
        <w:t xml:space="preserve"> </w:t>
      </w:r>
      <w:r w:rsidRPr="00410F1D">
        <w:rPr>
          <w:szCs w:val="20"/>
        </w:rPr>
        <w:t>was</w:t>
      </w:r>
      <w:r w:rsidR="00C64050">
        <w:rPr>
          <w:szCs w:val="20"/>
        </w:rPr>
        <w:t xml:space="preserve"> </w:t>
      </w:r>
      <w:r w:rsidRPr="00410F1D">
        <w:rPr>
          <w:szCs w:val="20"/>
        </w:rPr>
        <w:t>clearly</w:t>
      </w:r>
      <w:r w:rsidR="00C64050">
        <w:rPr>
          <w:szCs w:val="20"/>
        </w:rPr>
        <w:t xml:space="preserve"> </w:t>
      </w:r>
      <w:r w:rsidRPr="00410F1D">
        <w:rPr>
          <w:szCs w:val="20"/>
        </w:rPr>
        <w:t>erroneous</w:t>
      </w:r>
      <w:r w:rsidR="00C64050">
        <w:rPr>
          <w:szCs w:val="20"/>
        </w:rPr>
        <w:t xml:space="preserve"> </w:t>
      </w:r>
      <w:r w:rsidRPr="00410F1D">
        <w:rPr>
          <w:szCs w:val="20"/>
        </w:rPr>
        <w:t>for</w:t>
      </w:r>
      <w:r w:rsidR="00C64050">
        <w:rPr>
          <w:szCs w:val="20"/>
        </w:rPr>
        <w:t xml:space="preserve"> </w:t>
      </w:r>
      <w:r w:rsidRPr="00410F1D">
        <w:rPr>
          <w:szCs w:val="20"/>
        </w:rPr>
        <w:t>several</w:t>
      </w:r>
      <w:r w:rsidR="00C64050">
        <w:rPr>
          <w:szCs w:val="20"/>
        </w:rPr>
        <w:t xml:space="preserve"> </w:t>
      </w:r>
      <w:r w:rsidRPr="00410F1D">
        <w:rPr>
          <w:szCs w:val="20"/>
        </w:rPr>
        <w:t>reasons.</w:t>
      </w:r>
    </w:p>
    <w:p w:rsidR="00410F1D" w:rsidRPr="005A4B70" w:rsidRDefault="00410F1D" w:rsidP="005A4B70">
      <w:pPr>
        <w:pStyle w:val="QS10"/>
        <w:jc w:val="center"/>
        <w:rPr>
          <w:szCs w:val="20"/>
        </w:rPr>
      </w:pPr>
      <w:r w:rsidRPr="005A4B70">
        <w:rPr>
          <w:szCs w:val="20"/>
        </w:rPr>
        <w:t>***</w:t>
      </w:r>
    </w:p>
    <w:p w:rsidR="005A4B70" w:rsidRPr="005A4B70" w:rsidRDefault="005A4B70" w:rsidP="005A4B70">
      <w:pPr>
        <w:pStyle w:val="QS10"/>
        <w:rPr>
          <w:szCs w:val="20"/>
        </w:rPr>
      </w:pPr>
      <w:r w:rsidRPr="005A4B70">
        <w:rPr>
          <w:szCs w:val="20"/>
        </w:rPr>
        <w:t>We</w:t>
      </w:r>
      <w:r w:rsidR="00C64050">
        <w:rPr>
          <w:szCs w:val="20"/>
        </w:rPr>
        <w:t xml:space="preserve"> </w:t>
      </w:r>
      <w:r w:rsidRPr="005A4B70">
        <w:rPr>
          <w:szCs w:val="20"/>
        </w:rPr>
        <w:t>thus</w:t>
      </w:r>
      <w:r w:rsidR="00C64050">
        <w:rPr>
          <w:szCs w:val="20"/>
        </w:rPr>
        <w:t xml:space="preserve"> </w:t>
      </w:r>
      <w:r w:rsidRPr="005A4B70">
        <w:rPr>
          <w:szCs w:val="20"/>
        </w:rPr>
        <w:t>conclude</w:t>
      </w:r>
      <w:r w:rsidR="00C64050">
        <w:rPr>
          <w:szCs w:val="20"/>
        </w:rPr>
        <w:t xml:space="preserve"> </w:t>
      </w:r>
      <w:r w:rsidRPr="005A4B70">
        <w:rPr>
          <w:szCs w:val="20"/>
        </w:rPr>
        <w:t>that</w:t>
      </w:r>
      <w:r w:rsidR="00C64050">
        <w:rPr>
          <w:szCs w:val="20"/>
        </w:rPr>
        <w:t xml:space="preserve"> </w:t>
      </w:r>
      <w:r w:rsidRPr="005A4B70">
        <w:rPr>
          <w:szCs w:val="20"/>
        </w:rPr>
        <w:t>the</w:t>
      </w:r>
      <w:r w:rsidR="00C64050">
        <w:rPr>
          <w:szCs w:val="20"/>
        </w:rPr>
        <w:t xml:space="preserve"> </w:t>
      </w:r>
      <w:r w:rsidRPr="005A4B70">
        <w:rPr>
          <w:szCs w:val="20"/>
        </w:rPr>
        <w:t>district</w:t>
      </w:r>
      <w:r w:rsidR="00C64050">
        <w:rPr>
          <w:szCs w:val="20"/>
        </w:rPr>
        <w:t xml:space="preserve"> </w:t>
      </w:r>
      <w:r w:rsidRPr="005A4B70">
        <w:rPr>
          <w:szCs w:val="20"/>
        </w:rPr>
        <w:t>court’s</w:t>
      </w:r>
      <w:r w:rsidR="00C64050">
        <w:rPr>
          <w:szCs w:val="20"/>
        </w:rPr>
        <w:t xml:space="preserve"> </w:t>
      </w:r>
      <w:r w:rsidRPr="005A4B70">
        <w:rPr>
          <w:szCs w:val="20"/>
        </w:rPr>
        <w:t>interpretation</w:t>
      </w:r>
      <w:r w:rsidR="00C64050">
        <w:rPr>
          <w:szCs w:val="20"/>
        </w:rPr>
        <w:t xml:space="preserve"> </w:t>
      </w:r>
      <w:r w:rsidRPr="005A4B70">
        <w:rPr>
          <w:szCs w:val="20"/>
        </w:rPr>
        <w:t>is</w:t>
      </w:r>
      <w:r w:rsidR="00C64050">
        <w:rPr>
          <w:szCs w:val="20"/>
        </w:rPr>
        <w:t xml:space="preserve"> </w:t>
      </w:r>
      <w:r w:rsidRPr="005A4B70">
        <w:rPr>
          <w:szCs w:val="20"/>
        </w:rPr>
        <w:t>contrary</w:t>
      </w:r>
      <w:r w:rsidR="00C64050">
        <w:rPr>
          <w:szCs w:val="20"/>
        </w:rPr>
        <w:t xml:space="preserve"> </w:t>
      </w:r>
      <w:r w:rsidRPr="005A4B70">
        <w:rPr>
          <w:szCs w:val="20"/>
        </w:rPr>
        <w:t>to</w:t>
      </w:r>
      <w:r w:rsidR="00C64050">
        <w:rPr>
          <w:szCs w:val="20"/>
        </w:rPr>
        <w:t xml:space="preserve"> </w:t>
      </w:r>
      <w:r w:rsidRPr="005A4B70">
        <w:rPr>
          <w:szCs w:val="20"/>
        </w:rPr>
        <w:t>NRS</w:t>
      </w:r>
      <w:r w:rsidR="00C64050">
        <w:rPr>
          <w:szCs w:val="20"/>
        </w:rPr>
        <w:t xml:space="preserve"> </w:t>
      </w:r>
      <w:r w:rsidRPr="005A4B70">
        <w:rPr>
          <w:szCs w:val="20"/>
        </w:rPr>
        <w:t>163.4175,</w:t>
      </w:r>
      <w:r w:rsidR="00C64050">
        <w:rPr>
          <w:szCs w:val="20"/>
        </w:rPr>
        <w:t xml:space="preserve"> </w:t>
      </w:r>
      <w:r w:rsidRPr="005A4B70">
        <w:rPr>
          <w:szCs w:val="20"/>
        </w:rPr>
        <w:t>which</w:t>
      </w:r>
      <w:r w:rsidR="00C64050">
        <w:rPr>
          <w:szCs w:val="20"/>
        </w:rPr>
        <w:t xml:space="preserve"> </w:t>
      </w:r>
      <w:r w:rsidRPr="005A4B70">
        <w:rPr>
          <w:szCs w:val="20"/>
        </w:rPr>
        <w:t>requires</w:t>
      </w:r>
      <w:r w:rsidR="00C64050">
        <w:rPr>
          <w:szCs w:val="20"/>
        </w:rPr>
        <w:t xml:space="preserve"> </w:t>
      </w:r>
      <w:r w:rsidRPr="005A4B70">
        <w:rPr>
          <w:szCs w:val="20"/>
        </w:rPr>
        <w:t>trustees</w:t>
      </w:r>
      <w:r w:rsidR="00C64050">
        <w:rPr>
          <w:szCs w:val="20"/>
        </w:rPr>
        <w:t xml:space="preserve"> </w:t>
      </w:r>
      <w:r w:rsidRPr="005A4B70">
        <w:rPr>
          <w:szCs w:val="20"/>
        </w:rPr>
        <w:t>to</w:t>
      </w:r>
      <w:r w:rsidR="00C64050">
        <w:rPr>
          <w:szCs w:val="20"/>
        </w:rPr>
        <w:t xml:space="preserve"> </w:t>
      </w:r>
      <w:r w:rsidRPr="005A4B70">
        <w:rPr>
          <w:szCs w:val="20"/>
        </w:rPr>
        <w:t>consider</w:t>
      </w:r>
      <w:r w:rsidR="00C64050">
        <w:rPr>
          <w:szCs w:val="20"/>
        </w:rPr>
        <w:t xml:space="preserve"> </w:t>
      </w:r>
      <w:r w:rsidRPr="005A4B70">
        <w:rPr>
          <w:szCs w:val="20"/>
        </w:rPr>
        <w:t>other</w:t>
      </w:r>
      <w:r w:rsidR="00C64050">
        <w:rPr>
          <w:szCs w:val="20"/>
        </w:rPr>
        <w:t xml:space="preserve"> </w:t>
      </w:r>
      <w:r w:rsidRPr="005A4B70">
        <w:rPr>
          <w:szCs w:val="20"/>
        </w:rPr>
        <w:t>assets</w:t>
      </w:r>
      <w:r w:rsidR="00C64050">
        <w:rPr>
          <w:szCs w:val="20"/>
        </w:rPr>
        <w:t xml:space="preserve"> </w:t>
      </w:r>
      <w:r w:rsidRPr="005A4B70">
        <w:rPr>
          <w:szCs w:val="20"/>
        </w:rPr>
        <w:t>only</w:t>
      </w:r>
      <w:r w:rsidR="00C64050">
        <w:rPr>
          <w:szCs w:val="20"/>
        </w:rPr>
        <w:t xml:space="preserve"> </w:t>
      </w:r>
      <w:r w:rsidRPr="005A4B70">
        <w:rPr>
          <w:szCs w:val="20"/>
        </w:rPr>
        <w:t>if</w:t>
      </w:r>
      <w:r w:rsidR="00C64050">
        <w:rPr>
          <w:szCs w:val="20"/>
        </w:rPr>
        <w:t xml:space="preserve"> </w:t>
      </w:r>
      <w:r w:rsidRPr="005A4B70">
        <w:rPr>
          <w:szCs w:val="20"/>
        </w:rPr>
        <w:t>the</w:t>
      </w:r>
      <w:r w:rsidR="00C64050">
        <w:rPr>
          <w:szCs w:val="20"/>
        </w:rPr>
        <w:t xml:space="preserve"> </w:t>
      </w:r>
      <w:r w:rsidRPr="005A4B70">
        <w:rPr>
          <w:szCs w:val="20"/>
        </w:rPr>
        <w:t>trust</w:t>
      </w:r>
      <w:r w:rsidR="00C64050">
        <w:rPr>
          <w:szCs w:val="20"/>
        </w:rPr>
        <w:t xml:space="preserve"> </w:t>
      </w:r>
      <w:r w:rsidRPr="005A4B70">
        <w:rPr>
          <w:szCs w:val="20"/>
        </w:rPr>
        <w:t>instrument</w:t>
      </w:r>
      <w:r w:rsidR="00C64050">
        <w:rPr>
          <w:szCs w:val="20"/>
        </w:rPr>
        <w:t xml:space="preserve"> </w:t>
      </w:r>
      <w:r w:rsidRPr="005A4B70">
        <w:rPr>
          <w:szCs w:val="20"/>
        </w:rPr>
        <w:t>itself</w:t>
      </w:r>
      <w:r w:rsidR="00C64050">
        <w:rPr>
          <w:szCs w:val="20"/>
        </w:rPr>
        <w:t xml:space="preserve"> </w:t>
      </w:r>
      <w:r w:rsidRPr="005A4B70">
        <w:rPr>
          <w:szCs w:val="20"/>
        </w:rPr>
        <w:t>invokes</w:t>
      </w:r>
      <w:r w:rsidR="00C64050">
        <w:rPr>
          <w:szCs w:val="20"/>
        </w:rPr>
        <w:t xml:space="preserve"> </w:t>
      </w:r>
      <w:r w:rsidRPr="005A4B70">
        <w:rPr>
          <w:szCs w:val="20"/>
        </w:rPr>
        <w:t>the</w:t>
      </w:r>
      <w:r w:rsidR="00C64050">
        <w:rPr>
          <w:szCs w:val="20"/>
        </w:rPr>
        <w:t xml:space="preserve"> </w:t>
      </w:r>
      <w:r w:rsidRPr="005A4B70">
        <w:rPr>
          <w:szCs w:val="20"/>
        </w:rPr>
        <w:t>exception.</w:t>
      </w:r>
      <w:r w:rsidR="00C64050">
        <w:rPr>
          <w:szCs w:val="20"/>
        </w:rPr>
        <w:t xml:space="preserve"> </w:t>
      </w:r>
      <w:r w:rsidRPr="005A4B70">
        <w:rPr>
          <w:szCs w:val="20"/>
        </w:rPr>
        <w:t>The</w:t>
      </w:r>
      <w:r w:rsidR="00C64050">
        <w:rPr>
          <w:szCs w:val="20"/>
        </w:rPr>
        <w:t xml:space="preserve"> </w:t>
      </w:r>
      <w:r w:rsidRPr="005A4B70">
        <w:rPr>
          <w:szCs w:val="20"/>
        </w:rPr>
        <w:t>district</w:t>
      </w:r>
      <w:r w:rsidR="00C64050">
        <w:rPr>
          <w:szCs w:val="20"/>
        </w:rPr>
        <w:t xml:space="preserve"> </w:t>
      </w:r>
      <w:r w:rsidRPr="005A4B70">
        <w:rPr>
          <w:szCs w:val="20"/>
        </w:rPr>
        <w:t>court</w:t>
      </w:r>
      <w:r w:rsidR="00C64050">
        <w:rPr>
          <w:szCs w:val="20"/>
        </w:rPr>
        <w:t xml:space="preserve"> </w:t>
      </w:r>
      <w:r w:rsidRPr="005A4B70">
        <w:rPr>
          <w:szCs w:val="20"/>
        </w:rPr>
        <w:t>should</w:t>
      </w:r>
      <w:r w:rsidR="00C64050">
        <w:rPr>
          <w:szCs w:val="20"/>
        </w:rPr>
        <w:t xml:space="preserve"> </w:t>
      </w:r>
      <w:r w:rsidRPr="005A4B70">
        <w:rPr>
          <w:b/>
          <w:bCs/>
          <w:i/>
          <w:iCs/>
          <w:szCs w:val="20"/>
        </w:rPr>
        <w:t>*975</w:t>
      </w:r>
      <w:r w:rsidR="00C64050">
        <w:rPr>
          <w:szCs w:val="20"/>
        </w:rPr>
        <w:t xml:space="preserve"> </w:t>
      </w:r>
      <w:r w:rsidRPr="005A4B70">
        <w:rPr>
          <w:szCs w:val="20"/>
        </w:rPr>
        <w:t>have</w:t>
      </w:r>
      <w:r w:rsidR="00C64050">
        <w:rPr>
          <w:szCs w:val="20"/>
        </w:rPr>
        <w:t xml:space="preserve"> </w:t>
      </w:r>
      <w:r w:rsidRPr="005A4B70">
        <w:rPr>
          <w:szCs w:val="20"/>
        </w:rPr>
        <w:t>begun</w:t>
      </w:r>
      <w:r w:rsidR="00C64050">
        <w:rPr>
          <w:szCs w:val="20"/>
        </w:rPr>
        <w:t xml:space="preserve"> </w:t>
      </w:r>
      <w:r w:rsidRPr="005A4B70">
        <w:rPr>
          <w:szCs w:val="20"/>
        </w:rPr>
        <w:t>its</w:t>
      </w:r>
      <w:r w:rsidR="00C64050">
        <w:rPr>
          <w:szCs w:val="20"/>
        </w:rPr>
        <w:t xml:space="preserve"> </w:t>
      </w:r>
      <w:r w:rsidRPr="005A4B70">
        <w:rPr>
          <w:szCs w:val="20"/>
        </w:rPr>
        <w:t>analysis</w:t>
      </w:r>
      <w:r w:rsidR="00C64050">
        <w:rPr>
          <w:szCs w:val="20"/>
        </w:rPr>
        <w:t xml:space="preserve"> </w:t>
      </w:r>
      <w:r w:rsidRPr="005A4B70">
        <w:rPr>
          <w:szCs w:val="20"/>
        </w:rPr>
        <w:t>from</w:t>
      </w:r>
      <w:r w:rsidR="00C64050">
        <w:rPr>
          <w:szCs w:val="20"/>
        </w:rPr>
        <w:t xml:space="preserve"> </w:t>
      </w:r>
      <w:r w:rsidRPr="005A4B70">
        <w:rPr>
          <w:szCs w:val="20"/>
        </w:rPr>
        <w:t>the</w:t>
      </w:r>
      <w:r w:rsidR="00C64050">
        <w:rPr>
          <w:szCs w:val="20"/>
        </w:rPr>
        <w:t xml:space="preserve"> </w:t>
      </w:r>
      <w:r w:rsidRPr="005A4B70">
        <w:rPr>
          <w:szCs w:val="20"/>
        </w:rPr>
        <w:t>position</w:t>
      </w:r>
      <w:r w:rsidR="00C64050">
        <w:rPr>
          <w:szCs w:val="20"/>
        </w:rPr>
        <w:t xml:space="preserve"> </w:t>
      </w:r>
      <w:r w:rsidRPr="005A4B70">
        <w:rPr>
          <w:szCs w:val="20"/>
        </w:rPr>
        <w:t>that</w:t>
      </w:r>
      <w:r w:rsidR="00C64050">
        <w:rPr>
          <w:szCs w:val="20"/>
        </w:rPr>
        <w:t xml:space="preserve"> </w:t>
      </w:r>
      <w:r w:rsidRPr="005A4B70">
        <w:rPr>
          <w:szCs w:val="20"/>
        </w:rPr>
        <w:t>Dale</w:t>
      </w:r>
      <w:r w:rsidR="00C64050">
        <w:rPr>
          <w:szCs w:val="20"/>
        </w:rPr>
        <w:t xml:space="preserve"> </w:t>
      </w:r>
      <w:r w:rsidRPr="005A4B70">
        <w:rPr>
          <w:szCs w:val="20"/>
        </w:rPr>
        <w:t>was</w:t>
      </w:r>
      <w:r w:rsidR="00C64050">
        <w:rPr>
          <w:szCs w:val="20"/>
        </w:rPr>
        <w:t xml:space="preserve"> </w:t>
      </w:r>
      <w:r w:rsidRPr="005A4B70">
        <w:rPr>
          <w:szCs w:val="20"/>
        </w:rPr>
        <w:t>not</w:t>
      </w:r>
      <w:r w:rsidR="00C64050">
        <w:rPr>
          <w:szCs w:val="20"/>
        </w:rPr>
        <w:t xml:space="preserve"> </w:t>
      </w:r>
      <w:r w:rsidRPr="005A4B70">
        <w:rPr>
          <w:szCs w:val="20"/>
        </w:rPr>
        <w:t>obligated</w:t>
      </w:r>
      <w:r w:rsidR="00C64050">
        <w:rPr>
          <w:szCs w:val="20"/>
        </w:rPr>
        <w:t xml:space="preserve"> </w:t>
      </w:r>
      <w:r w:rsidRPr="005A4B70">
        <w:rPr>
          <w:szCs w:val="20"/>
        </w:rPr>
        <w:t>to</w:t>
      </w:r>
      <w:r w:rsidR="00C64050">
        <w:rPr>
          <w:szCs w:val="20"/>
        </w:rPr>
        <w:t xml:space="preserve"> </w:t>
      </w:r>
      <w:r w:rsidRPr="005A4B70">
        <w:rPr>
          <w:szCs w:val="20"/>
        </w:rPr>
        <w:t>consider</w:t>
      </w:r>
      <w:r w:rsidR="00C64050">
        <w:rPr>
          <w:szCs w:val="20"/>
        </w:rPr>
        <w:t xml:space="preserve"> </w:t>
      </w:r>
      <w:r w:rsidRPr="005A4B70">
        <w:rPr>
          <w:szCs w:val="20"/>
        </w:rPr>
        <w:t>her</w:t>
      </w:r>
      <w:r w:rsidR="00C64050">
        <w:rPr>
          <w:szCs w:val="20"/>
        </w:rPr>
        <w:t xml:space="preserve"> </w:t>
      </w:r>
      <w:r w:rsidRPr="005A4B70">
        <w:rPr>
          <w:szCs w:val="20"/>
        </w:rPr>
        <w:t>other</w:t>
      </w:r>
      <w:r w:rsidR="00C64050">
        <w:rPr>
          <w:szCs w:val="20"/>
        </w:rPr>
        <w:t xml:space="preserve"> </w:t>
      </w:r>
      <w:r w:rsidRPr="005A4B70">
        <w:rPr>
          <w:szCs w:val="20"/>
        </w:rPr>
        <w:t>assets</w:t>
      </w:r>
      <w:r w:rsidR="00C64050">
        <w:rPr>
          <w:szCs w:val="20"/>
        </w:rPr>
        <w:t xml:space="preserve"> </w:t>
      </w:r>
      <w:r w:rsidRPr="005A4B70">
        <w:rPr>
          <w:szCs w:val="20"/>
        </w:rPr>
        <w:t>or</w:t>
      </w:r>
      <w:r w:rsidR="00C64050">
        <w:rPr>
          <w:szCs w:val="20"/>
        </w:rPr>
        <w:t xml:space="preserve"> </w:t>
      </w:r>
      <w:r w:rsidRPr="005A4B70">
        <w:rPr>
          <w:szCs w:val="20"/>
        </w:rPr>
        <w:t>resources</w:t>
      </w:r>
      <w:r w:rsidR="00C64050">
        <w:rPr>
          <w:szCs w:val="20"/>
        </w:rPr>
        <w:t xml:space="preserve"> </w:t>
      </w:r>
      <w:r w:rsidRPr="005A4B70">
        <w:rPr>
          <w:szCs w:val="20"/>
        </w:rPr>
        <w:t>before</w:t>
      </w:r>
      <w:r w:rsidR="00C64050">
        <w:rPr>
          <w:szCs w:val="20"/>
        </w:rPr>
        <w:t xml:space="preserve"> </w:t>
      </w:r>
      <w:r w:rsidRPr="005A4B70">
        <w:rPr>
          <w:szCs w:val="20"/>
        </w:rPr>
        <w:t>making</w:t>
      </w:r>
      <w:r w:rsidR="00C64050">
        <w:rPr>
          <w:szCs w:val="20"/>
        </w:rPr>
        <w:t xml:space="preserve"> </w:t>
      </w:r>
      <w:r w:rsidRPr="005A4B70">
        <w:rPr>
          <w:szCs w:val="20"/>
        </w:rPr>
        <w:t>a</w:t>
      </w:r>
      <w:r w:rsidR="00C64050">
        <w:rPr>
          <w:szCs w:val="20"/>
        </w:rPr>
        <w:t xml:space="preserve"> </w:t>
      </w:r>
      <w:r w:rsidRPr="005A4B70">
        <w:rPr>
          <w:szCs w:val="20"/>
        </w:rPr>
        <w:t>distribution</w:t>
      </w:r>
      <w:r w:rsidR="00C64050">
        <w:rPr>
          <w:szCs w:val="20"/>
        </w:rPr>
        <w:t xml:space="preserve"> </w:t>
      </w:r>
      <w:r w:rsidRPr="005A4B70">
        <w:rPr>
          <w:szCs w:val="20"/>
        </w:rPr>
        <w:t>unless</w:t>
      </w:r>
      <w:r w:rsidR="00C64050">
        <w:rPr>
          <w:szCs w:val="20"/>
        </w:rPr>
        <w:t xml:space="preserve"> </w:t>
      </w:r>
      <w:r w:rsidRPr="005A4B70">
        <w:rPr>
          <w:szCs w:val="20"/>
        </w:rPr>
        <w:t>the</w:t>
      </w:r>
      <w:r w:rsidR="00C64050">
        <w:rPr>
          <w:szCs w:val="20"/>
        </w:rPr>
        <w:t xml:space="preserve"> </w:t>
      </w:r>
      <w:r w:rsidRPr="005A4B70">
        <w:rPr>
          <w:szCs w:val="20"/>
        </w:rPr>
        <w:t>exception</w:t>
      </w:r>
      <w:r w:rsidR="00C64050">
        <w:rPr>
          <w:szCs w:val="20"/>
        </w:rPr>
        <w:t xml:space="preserve"> </w:t>
      </w:r>
      <w:r w:rsidRPr="005A4B70">
        <w:rPr>
          <w:szCs w:val="20"/>
        </w:rPr>
        <w:t>was</w:t>
      </w:r>
      <w:r w:rsidR="00C64050">
        <w:rPr>
          <w:szCs w:val="20"/>
        </w:rPr>
        <w:t xml:space="preserve"> </w:t>
      </w:r>
      <w:r w:rsidRPr="005A4B70">
        <w:rPr>
          <w:szCs w:val="20"/>
        </w:rPr>
        <w:t>invoked.</w:t>
      </w:r>
      <w:r w:rsidR="00C64050">
        <w:rPr>
          <w:szCs w:val="20"/>
        </w:rPr>
        <w:t xml:space="preserve"> </w:t>
      </w:r>
      <w:r w:rsidRPr="005A4B70">
        <w:rPr>
          <w:szCs w:val="20"/>
        </w:rPr>
        <w:t>Instead,</w:t>
      </w:r>
      <w:r w:rsidR="00C64050">
        <w:rPr>
          <w:szCs w:val="20"/>
        </w:rPr>
        <w:t xml:space="preserve"> </w:t>
      </w:r>
      <w:r w:rsidRPr="005A4B70">
        <w:rPr>
          <w:szCs w:val="20"/>
        </w:rPr>
        <w:t>the</w:t>
      </w:r>
      <w:r w:rsidR="00C64050">
        <w:rPr>
          <w:szCs w:val="20"/>
        </w:rPr>
        <w:t xml:space="preserve"> </w:t>
      </w:r>
      <w:r w:rsidRPr="005A4B70">
        <w:rPr>
          <w:szCs w:val="20"/>
        </w:rPr>
        <w:t>district</w:t>
      </w:r>
      <w:r w:rsidR="00C64050">
        <w:rPr>
          <w:szCs w:val="20"/>
        </w:rPr>
        <w:t xml:space="preserve"> </w:t>
      </w:r>
      <w:r w:rsidRPr="005A4B70">
        <w:rPr>
          <w:szCs w:val="20"/>
        </w:rPr>
        <w:t>court</w:t>
      </w:r>
      <w:r w:rsidR="00C64050">
        <w:rPr>
          <w:szCs w:val="20"/>
        </w:rPr>
        <w:t xml:space="preserve"> </w:t>
      </w:r>
      <w:r w:rsidRPr="005A4B70">
        <w:rPr>
          <w:szCs w:val="20"/>
        </w:rPr>
        <w:t>disregarded</w:t>
      </w:r>
      <w:r w:rsidR="00C64050">
        <w:rPr>
          <w:szCs w:val="20"/>
        </w:rPr>
        <w:t xml:space="preserve"> </w:t>
      </w:r>
      <w:r w:rsidRPr="005A4B70">
        <w:rPr>
          <w:szCs w:val="20"/>
        </w:rPr>
        <w:t>NRS</w:t>
      </w:r>
      <w:r w:rsidR="00C64050">
        <w:rPr>
          <w:szCs w:val="20"/>
        </w:rPr>
        <w:t xml:space="preserve"> </w:t>
      </w:r>
      <w:r w:rsidRPr="005A4B70">
        <w:rPr>
          <w:szCs w:val="20"/>
        </w:rPr>
        <w:t>163.4175</w:t>
      </w:r>
      <w:r w:rsidR="00C64050">
        <w:rPr>
          <w:szCs w:val="20"/>
        </w:rPr>
        <w:t xml:space="preserve"> </w:t>
      </w:r>
      <w:r w:rsidRPr="005A4B70">
        <w:rPr>
          <w:szCs w:val="20"/>
        </w:rPr>
        <w:t>and</w:t>
      </w:r>
      <w:r w:rsidR="00C64050">
        <w:rPr>
          <w:szCs w:val="20"/>
        </w:rPr>
        <w:t xml:space="preserve"> </w:t>
      </w:r>
      <w:r w:rsidRPr="005A4B70">
        <w:rPr>
          <w:szCs w:val="20"/>
        </w:rPr>
        <w:t>began</w:t>
      </w:r>
      <w:r w:rsidR="00C64050">
        <w:rPr>
          <w:szCs w:val="20"/>
        </w:rPr>
        <w:t xml:space="preserve"> </w:t>
      </w:r>
      <w:r w:rsidRPr="005A4B70">
        <w:rPr>
          <w:szCs w:val="20"/>
        </w:rPr>
        <w:t>evaluating</w:t>
      </w:r>
      <w:r w:rsidR="00C64050">
        <w:rPr>
          <w:szCs w:val="20"/>
        </w:rPr>
        <w:t xml:space="preserve"> </w:t>
      </w:r>
      <w:r w:rsidRPr="005A4B70">
        <w:rPr>
          <w:szCs w:val="20"/>
        </w:rPr>
        <w:t>whether</w:t>
      </w:r>
      <w:r w:rsidR="00C64050">
        <w:rPr>
          <w:szCs w:val="20"/>
        </w:rPr>
        <w:t xml:space="preserve"> </w:t>
      </w:r>
      <w:r w:rsidRPr="005A4B70">
        <w:rPr>
          <w:szCs w:val="20"/>
        </w:rPr>
        <w:t>one</w:t>
      </w:r>
      <w:r w:rsidR="00C64050">
        <w:rPr>
          <w:szCs w:val="20"/>
        </w:rPr>
        <w:t xml:space="preserve"> </w:t>
      </w:r>
      <w:r w:rsidRPr="005A4B70">
        <w:rPr>
          <w:szCs w:val="20"/>
        </w:rPr>
        <w:t>of</w:t>
      </w:r>
      <w:r w:rsidR="00C64050">
        <w:rPr>
          <w:szCs w:val="20"/>
        </w:rPr>
        <w:t xml:space="preserve"> </w:t>
      </w:r>
      <w:r w:rsidRPr="005A4B70">
        <w:rPr>
          <w:szCs w:val="20"/>
        </w:rPr>
        <w:t>William</w:t>
      </w:r>
      <w:r w:rsidR="00C64050">
        <w:rPr>
          <w:szCs w:val="20"/>
        </w:rPr>
        <w:t xml:space="preserve"> </w:t>
      </w:r>
      <w:r w:rsidRPr="005A4B70">
        <w:rPr>
          <w:szCs w:val="20"/>
        </w:rPr>
        <w:t>Raggio’s</w:t>
      </w:r>
      <w:r w:rsidR="00C64050">
        <w:rPr>
          <w:szCs w:val="20"/>
        </w:rPr>
        <w:t xml:space="preserve"> </w:t>
      </w:r>
      <w:r w:rsidRPr="005A4B70">
        <w:rPr>
          <w:szCs w:val="20"/>
        </w:rPr>
        <w:t>“implicit</w:t>
      </w:r>
      <w:r w:rsidR="00C64050">
        <w:rPr>
          <w:szCs w:val="20"/>
        </w:rPr>
        <w:t xml:space="preserve"> </w:t>
      </w:r>
      <w:r w:rsidRPr="005A4B70">
        <w:rPr>
          <w:szCs w:val="20"/>
        </w:rPr>
        <w:t>intents</w:t>
      </w:r>
      <w:r w:rsidR="00C64050">
        <w:rPr>
          <w:szCs w:val="20"/>
        </w:rPr>
        <w:t xml:space="preserve"> </w:t>
      </w:r>
      <w:r w:rsidRPr="005A4B70">
        <w:rPr>
          <w:szCs w:val="20"/>
        </w:rPr>
        <w:t>was</w:t>
      </w:r>
      <w:r w:rsidR="00C64050">
        <w:rPr>
          <w:szCs w:val="20"/>
        </w:rPr>
        <w:t xml:space="preserve"> </w:t>
      </w:r>
      <w:r w:rsidRPr="005A4B70">
        <w:rPr>
          <w:szCs w:val="20"/>
        </w:rPr>
        <w:t>to</w:t>
      </w:r>
      <w:r w:rsidR="00C64050">
        <w:rPr>
          <w:szCs w:val="20"/>
        </w:rPr>
        <w:t xml:space="preserve"> </w:t>
      </w:r>
      <w:r w:rsidRPr="005A4B70">
        <w:rPr>
          <w:szCs w:val="20"/>
        </w:rPr>
        <w:t>preserve</w:t>
      </w:r>
      <w:r w:rsidR="00C64050">
        <w:rPr>
          <w:szCs w:val="20"/>
        </w:rPr>
        <w:t xml:space="preserve"> </w:t>
      </w:r>
      <w:r w:rsidRPr="005A4B70">
        <w:rPr>
          <w:szCs w:val="20"/>
        </w:rPr>
        <w:t>some</w:t>
      </w:r>
      <w:r w:rsidR="00C64050">
        <w:rPr>
          <w:szCs w:val="20"/>
        </w:rPr>
        <w:t xml:space="preserve"> </w:t>
      </w:r>
      <w:r w:rsidRPr="005A4B70">
        <w:rPr>
          <w:szCs w:val="20"/>
        </w:rPr>
        <w:t>trust</w:t>
      </w:r>
      <w:r w:rsidR="00C64050">
        <w:rPr>
          <w:szCs w:val="20"/>
        </w:rPr>
        <w:t xml:space="preserve"> </w:t>
      </w:r>
      <w:r w:rsidRPr="005A4B70">
        <w:rPr>
          <w:szCs w:val="20"/>
        </w:rPr>
        <w:t>corpus</w:t>
      </w:r>
      <w:r w:rsidR="00C64050">
        <w:rPr>
          <w:szCs w:val="20"/>
        </w:rPr>
        <w:t xml:space="preserve"> </w:t>
      </w:r>
      <w:r w:rsidRPr="005A4B70">
        <w:rPr>
          <w:szCs w:val="20"/>
        </w:rPr>
        <w:t>...</w:t>
      </w:r>
      <w:r w:rsidR="00C64050">
        <w:rPr>
          <w:szCs w:val="20"/>
        </w:rPr>
        <w:t xml:space="preserve"> </w:t>
      </w:r>
      <w:r w:rsidRPr="005A4B70">
        <w:rPr>
          <w:szCs w:val="20"/>
        </w:rPr>
        <w:t>for</w:t>
      </w:r>
      <w:r w:rsidR="00C64050">
        <w:rPr>
          <w:szCs w:val="20"/>
        </w:rPr>
        <w:t xml:space="preserve"> </w:t>
      </w:r>
      <w:r w:rsidRPr="005A4B70">
        <w:rPr>
          <w:szCs w:val="20"/>
        </w:rPr>
        <w:t>the</w:t>
      </w:r>
      <w:r w:rsidR="00C64050">
        <w:rPr>
          <w:szCs w:val="20"/>
        </w:rPr>
        <w:t xml:space="preserve"> </w:t>
      </w:r>
      <w:r w:rsidRPr="005A4B70">
        <w:rPr>
          <w:szCs w:val="20"/>
        </w:rPr>
        <w:t>benefit</w:t>
      </w:r>
      <w:r w:rsidR="00C64050">
        <w:rPr>
          <w:szCs w:val="20"/>
        </w:rPr>
        <w:t xml:space="preserve"> </w:t>
      </w:r>
      <w:r w:rsidRPr="005A4B70">
        <w:rPr>
          <w:szCs w:val="20"/>
        </w:rPr>
        <w:t>of</w:t>
      </w:r>
      <w:r w:rsidR="00C64050">
        <w:rPr>
          <w:szCs w:val="20"/>
        </w:rPr>
        <w:t xml:space="preserve"> </w:t>
      </w:r>
      <w:r w:rsidRPr="005A4B70">
        <w:rPr>
          <w:szCs w:val="20"/>
        </w:rPr>
        <w:t>his</w:t>
      </w:r>
      <w:r w:rsidR="00C64050">
        <w:rPr>
          <w:szCs w:val="20"/>
        </w:rPr>
        <w:t xml:space="preserve"> </w:t>
      </w:r>
      <w:r w:rsidRPr="005A4B70">
        <w:rPr>
          <w:szCs w:val="20"/>
        </w:rPr>
        <w:t>two</w:t>
      </w:r>
      <w:r w:rsidR="00C64050">
        <w:rPr>
          <w:szCs w:val="20"/>
        </w:rPr>
        <w:t xml:space="preserve"> </w:t>
      </w:r>
      <w:r w:rsidRPr="005A4B70">
        <w:rPr>
          <w:szCs w:val="20"/>
        </w:rPr>
        <w:t>daughters</w:t>
      </w:r>
      <w:r w:rsidR="00C64050">
        <w:rPr>
          <w:szCs w:val="20"/>
        </w:rPr>
        <w:t xml:space="preserve"> </w:t>
      </w:r>
      <w:r w:rsidRPr="005A4B70">
        <w:rPr>
          <w:szCs w:val="20"/>
        </w:rPr>
        <w:t>and</w:t>
      </w:r>
      <w:r w:rsidR="00C64050">
        <w:rPr>
          <w:szCs w:val="20"/>
        </w:rPr>
        <w:t xml:space="preserve"> </w:t>
      </w:r>
      <w:r w:rsidRPr="005A4B70">
        <w:rPr>
          <w:szCs w:val="20"/>
        </w:rPr>
        <w:t>not</w:t>
      </w:r>
      <w:r w:rsidR="00C64050">
        <w:rPr>
          <w:szCs w:val="20"/>
        </w:rPr>
        <w:t xml:space="preserve"> </w:t>
      </w:r>
      <w:r w:rsidRPr="005A4B70">
        <w:rPr>
          <w:szCs w:val="20"/>
        </w:rPr>
        <w:t>exhaust</w:t>
      </w:r>
      <w:r w:rsidR="00C64050">
        <w:rPr>
          <w:szCs w:val="20"/>
        </w:rPr>
        <w:t xml:space="preserve"> </w:t>
      </w:r>
      <w:r w:rsidRPr="005A4B70">
        <w:rPr>
          <w:szCs w:val="20"/>
        </w:rPr>
        <w:t>the</w:t>
      </w:r>
      <w:r w:rsidR="00C64050">
        <w:rPr>
          <w:szCs w:val="20"/>
        </w:rPr>
        <w:t xml:space="preserve"> </w:t>
      </w:r>
      <w:r w:rsidRPr="005A4B70">
        <w:rPr>
          <w:szCs w:val="20"/>
        </w:rPr>
        <w:t>bypass</w:t>
      </w:r>
      <w:r w:rsidR="00C64050">
        <w:rPr>
          <w:szCs w:val="20"/>
        </w:rPr>
        <w:t xml:space="preserve"> </w:t>
      </w:r>
      <w:r w:rsidRPr="005A4B70">
        <w:rPr>
          <w:szCs w:val="20"/>
        </w:rPr>
        <w:t>trust</w:t>
      </w:r>
      <w:r w:rsidR="00C64050">
        <w:rPr>
          <w:szCs w:val="20"/>
        </w:rPr>
        <w:t xml:space="preserve"> </w:t>
      </w:r>
      <w:r w:rsidRPr="005A4B70">
        <w:rPr>
          <w:szCs w:val="20"/>
        </w:rPr>
        <w:t>in</w:t>
      </w:r>
      <w:r w:rsidR="00C64050">
        <w:rPr>
          <w:szCs w:val="20"/>
        </w:rPr>
        <w:t xml:space="preserve"> </w:t>
      </w:r>
      <w:r w:rsidRPr="005A4B70">
        <w:rPr>
          <w:szCs w:val="20"/>
        </w:rPr>
        <w:t>favor</w:t>
      </w:r>
      <w:r w:rsidR="00C64050">
        <w:rPr>
          <w:szCs w:val="20"/>
        </w:rPr>
        <w:t xml:space="preserve"> </w:t>
      </w:r>
      <w:r w:rsidRPr="005A4B70">
        <w:rPr>
          <w:szCs w:val="20"/>
        </w:rPr>
        <w:t>of</w:t>
      </w:r>
      <w:r w:rsidR="00C64050">
        <w:rPr>
          <w:szCs w:val="20"/>
        </w:rPr>
        <w:t xml:space="preserve"> </w:t>
      </w:r>
      <w:r w:rsidRPr="005A4B70">
        <w:rPr>
          <w:szCs w:val="20"/>
        </w:rPr>
        <w:t>preserving</w:t>
      </w:r>
      <w:r w:rsidR="00C64050">
        <w:rPr>
          <w:szCs w:val="20"/>
        </w:rPr>
        <w:t xml:space="preserve"> </w:t>
      </w:r>
      <w:r w:rsidRPr="005A4B70">
        <w:rPr>
          <w:szCs w:val="20"/>
        </w:rPr>
        <w:t>the</w:t>
      </w:r>
      <w:r w:rsidR="00C64050">
        <w:rPr>
          <w:szCs w:val="20"/>
        </w:rPr>
        <w:t xml:space="preserve"> </w:t>
      </w:r>
      <w:r w:rsidRPr="005A4B70">
        <w:rPr>
          <w:szCs w:val="20"/>
        </w:rPr>
        <w:t>credit</w:t>
      </w:r>
      <w:r w:rsidR="00C64050">
        <w:rPr>
          <w:szCs w:val="20"/>
        </w:rPr>
        <w:t xml:space="preserve"> </w:t>
      </w:r>
      <w:r w:rsidRPr="005A4B70">
        <w:rPr>
          <w:szCs w:val="20"/>
        </w:rPr>
        <w:t>shelter</w:t>
      </w:r>
      <w:r w:rsidR="00C64050">
        <w:rPr>
          <w:szCs w:val="20"/>
        </w:rPr>
        <w:t xml:space="preserve"> </w:t>
      </w:r>
      <w:r w:rsidRPr="005A4B70">
        <w:rPr>
          <w:szCs w:val="20"/>
        </w:rPr>
        <w:t>trust.”</w:t>
      </w:r>
      <w:r w:rsidR="00C64050">
        <w:rPr>
          <w:szCs w:val="20"/>
        </w:rPr>
        <w:t xml:space="preserve"> </w:t>
      </w:r>
      <w:r w:rsidRPr="005A4B70">
        <w:rPr>
          <w:szCs w:val="20"/>
        </w:rPr>
        <w:t>NRS</w:t>
      </w:r>
      <w:r w:rsidR="00C64050">
        <w:rPr>
          <w:szCs w:val="20"/>
        </w:rPr>
        <w:t xml:space="preserve"> </w:t>
      </w:r>
      <w:r w:rsidRPr="005A4B70">
        <w:rPr>
          <w:szCs w:val="20"/>
        </w:rPr>
        <w:t>163.4175</w:t>
      </w:r>
      <w:r w:rsidR="00C64050">
        <w:rPr>
          <w:szCs w:val="20"/>
        </w:rPr>
        <w:t xml:space="preserve"> </w:t>
      </w:r>
      <w:r w:rsidRPr="005A4B70">
        <w:rPr>
          <w:szCs w:val="20"/>
        </w:rPr>
        <w:t>clearly</w:t>
      </w:r>
      <w:r w:rsidR="00C64050">
        <w:rPr>
          <w:szCs w:val="20"/>
        </w:rPr>
        <w:t xml:space="preserve"> </w:t>
      </w:r>
      <w:r w:rsidRPr="005A4B70">
        <w:rPr>
          <w:szCs w:val="20"/>
        </w:rPr>
        <w:t>provides</w:t>
      </w:r>
      <w:r w:rsidR="00C64050">
        <w:rPr>
          <w:szCs w:val="20"/>
        </w:rPr>
        <w:t xml:space="preserve"> </w:t>
      </w:r>
      <w:r w:rsidRPr="005A4B70">
        <w:rPr>
          <w:szCs w:val="20"/>
        </w:rPr>
        <w:t>that,</w:t>
      </w:r>
      <w:r w:rsidR="00C64050">
        <w:rPr>
          <w:szCs w:val="20"/>
        </w:rPr>
        <w:t xml:space="preserve"> </w:t>
      </w:r>
      <w:r w:rsidRPr="005A4B70">
        <w:rPr>
          <w:szCs w:val="20"/>
        </w:rPr>
        <w:t>if</w:t>
      </w:r>
      <w:r w:rsidR="00C64050">
        <w:rPr>
          <w:szCs w:val="20"/>
        </w:rPr>
        <w:t xml:space="preserve"> </w:t>
      </w:r>
      <w:r w:rsidRPr="005A4B70">
        <w:rPr>
          <w:szCs w:val="20"/>
        </w:rPr>
        <w:t>a</w:t>
      </w:r>
      <w:r w:rsidR="00C64050">
        <w:rPr>
          <w:szCs w:val="20"/>
        </w:rPr>
        <w:t xml:space="preserve"> </w:t>
      </w:r>
      <w:r w:rsidRPr="005A4B70">
        <w:rPr>
          <w:szCs w:val="20"/>
        </w:rPr>
        <w:t>settlor</w:t>
      </w:r>
      <w:r w:rsidR="00C64050">
        <w:rPr>
          <w:szCs w:val="20"/>
        </w:rPr>
        <w:t xml:space="preserve"> </w:t>
      </w:r>
      <w:r w:rsidRPr="005A4B70">
        <w:rPr>
          <w:szCs w:val="20"/>
        </w:rPr>
        <w:t>wants</w:t>
      </w:r>
      <w:r w:rsidR="00C64050">
        <w:rPr>
          <w:szCs w:val="20"/>
        </w:rPr>
        <w:t xml:space="preserve"> </w:t>
      </w:r>
      <w:r w:rsidRPr="005A4B70">
        <w:rPr>
          <w:szCs w:val="20"/>
        </w:rPr>
        <w:t>trustees</w:t>
      </w:r>
      <w:r w:rsidR="00C64050">
        <w:rPr>
          <w:szCs w:val="20"/>
        </w:rPr>
        <w:t xml:space="preserve"> </w:t>
      </w:r>
      <w:r w:rsidRPr="005A4B70">
        <w:rPr>
          <w:szCs w:val="20"/>
        </w:rPr>
        <w:t>to</w:t>
      </w:r>
      <w:r w:rsidR="00C64050">
        <w:rPr>
          <w:szCs w:val="20"/>
        </w:rPr>
        <w:t xml:space="preserve"> </w:t>
      </w:r>
      <w:r w:rsidRPr="005A4B70">
        <w:rPr>
          <w:szCs w:val="20"/>
        </w:rPr>
        <w:t>consider</w:t>
      </w:r>
      <w:r w:rsidR="00C64050">
        <w:rPr>
          <w:szCs w:val="20"/>
        </w:rPr>
        <w:t xml:space="preserve"> </w:t>
      </w:r>
      <w:r w:rsidRPr="005A4B70">
        <w:rPr>
          <w:szCs w:val="20"/>
        </w:rPr>
        <w:t>a</w:t>
      </w:r>
      <w:r w:rsidR="00C64050">
        <w:rPr>
          <w:szCs w:val="20"/>
        </w:rPr>
        <w:t xml:space="preserve"> </w:t>
      </w:r>
      <w:r w:rsidRPr="005A4B70">
        <w:rPr>
          <w:szCs w:val="20"/>
        </w:rPr>
        <w:t>beneficiary’s</w:t>
      </w:r>
      <w:r w:rsidR="00C64050">
        <w:rPr>
          <w:szCs w:val="20"/>
        </w:rPr>
        <w:t xml:space="preserve"> </w:t>
      </w:r>
      <w:r w:rsidRPr="005A4B70">
        <w:rPr>
          <w:szCs w:val="20"/>
        </w:rPr>
        <w:t>other</w:t>
      </w:r>
      <w:r w:rsidR="00C64050">
        <w:rPr>
          <w:szCs w:val="20"/>
        </w:rPr>
        <w:t xml:space="preserve"> </w:t>
      </w:r>
      <w:r w:rsidRPr="005A4B70">
        <w:rPr>
          <w:szCs w:val="20"/>
        </w:rPr>
        <w:t>assets,</w:t>
      </w:r>
      <w:r w:rsidR="00C64050">
        <w:rPr>
          <w:szCs w:val="20"/>
        </w:rPr>
        <w:t xml:space="preserve"> </w:t>
      </w:r>
      <w:r w:rsidRPr="005A4B70">
        <w:rPr>
          <w:szCs w:val="20"/>
        </w:rPr>
        <w:t>the</w:t>
      </w:r>
      <w:r w:rsidR="00C64050">
        <w:rPr>
          <w:szCs w:val="20"/>
        </w:rPr>
        <w:t xml:space="preserve"> </w:t>
      </w:r>
      <w:r w:rsidRPr="005A4B70">
        <w:rPr>
          <w:szCs w:val="20"/>
        </w:rPr>
        <w:t>settlor</w:t>
      </w:r>
      <w:r w:rsidR="00C64050">
        <w:rPr>
          <w:szCs w:val="20"/>
        </w:rPr>
        <w:t xml:space="preserve"> </w:t>
      </w:r>
      <w:r w:rsidRPr="005A4B70">
        <w:rPr>
          <w:szCs w:val="20"/>
        </w:rPr>
        <w:t>must</w:t>
      </w:r>
      <w:r w:rsidR="00C64050">
        <w:rPr>
          <w:szCs w:val="20"/>
        </w:rPr>
        <w:t xml:space="preserve"> </w:t>
      </w:r>
      <w:r w:rsidRPr="005A4B70">
        <w:rPr>
          <w:szCs w:val="20"/>
        </w:rPr>
        <w:t>so</w:t>
      </w:r>
      <w:r w:rsidR="00C64050">
        <w:rPr>
          <w:szCs w:val="20"/>
        </w:rPr>
        <w:t xml:space="preserve"> </w:t>
      </w:r>
      <w:r w:rsidRPr="005A4B70">
        <w:rPr>
          <w:szCs w:val="20"/>
        </w:rPr>
        <w:t>state</w:t>
      </w:r>
      <w:r w:rsidR="00C64050">
        <w:rPr>
          <w:szCs w:val="20"/>
        </w:rPr>
        <w:t xml:space="preserve"> </w:t>
      </w:r>
      <w:r w:rsidRPr="005A4B70">
        <w:rPr>
          <w:szCs w:val="20"/>
        </w:rPr>
        <w:t>in</w:t>
      </w:r>
      <w:r w:rsidR="00C64050">
        <w:rPr>
          <w:szCs w:val="20"/>
        </w:rPr>
        <w:t xml:space="preserve"> </w:t>
      </w:r>
      <w:r w:rsidRPr="005A4B70">
        <w:rPr>
          <w:szCs w:val="20"/>
        </w:rPr>
        <w:t>the</w:t>
      </w:r>
      <w:r w:rsidR="00C64050">
        <w:rPr>
          <w:szCs w:val="20"/>
        </w:rPr>
        <w:t xml:space="preserve"> </w:t>
      </w:r>
      <w:r w:rsidRPr="005A4B70">
        <w:rPr>
          <w:szCs w:val="20"/>
        </w:rPr>
        <w:t>trust</w:t>
      </w:r>
      <w:r w:rsidR="00C64050">
        <w:rPr>
          <w:szCs w:val="20"/>
        </w:rPr>
        <w:t xml:space="preserve"> </w:t>
      </w:r>
      <w:r w:rsidRPr="005A4B70">
        <w:rPr>
          <w:szCs w:val="20"/>
        </w:rPr>
        <w:t>instrument.</w:t>
      </w:r>
      <w:r w:rsidR="00C64050">
        <w:rPr>
          <w:szCs w:val="20"/>
        </w:rPr>
        <w:t xml:space="preserve"> </w:t>
      </w:r>
      <w:r w:rsidRPr="005A4B70">
        <w:rPr>
          <w:szCs w:val="20"/>
        </w:rPr>
        <w:t>We</w:t>
      </w:r>
      <w:r w:rsidR="00C64050">
        <w:rPr>
          <w:szCs w:val="20"/>
        </w:rPr>
        <w:t xml:space="preserve"> </w:t>
      </w:r>
      <w:r w:rsidRPr="005A4B70">
        <w:rPr>
          <w:szCs w:val="20"/>
        </w:rPr>
        <w:t>cannot</w:t>
      </w:r>
      <w:r w:rsidR="00C64050">
        <w:rPr>
          <w:szCs w:val="20"/>
        </w:rPr>
        <w:t xml:space="preserve"> </w:t>
      </w:r>
      <w:r w:rsidRPr="005A4B70">
        <w:rPr>
          <w:szCs w:val="20"/>
        </w:rPr>
        <w:t>infer</w:t>
      </w:r>
      <w:r w:rsidR="00C64050">
        <w:rPr>
          <w:szCs w:val="20"/>
        </w:rPr>
        <w:t xml:space="preserve"> </w:t>
      </w:r>
      <w:r w:rsidRPr="005A4B70">
        <w:rPr>
          <w:szCs w:val="20"/>
        </w:rPr>
        <w:t>an</w:t>
      </w:r>
      <w:r w:rsidR="00C64050">
        <w:rPr>
          <w:szCs w:val="20"/>
        </w:rPr>
        <w:t xml:space="preserve"> </w:t>
      </w:r>
      <w:r w:rsidRPr="005A4B70">
        <w:rPr>
          <w:szCs w:val="20"/>
        </w:rPr>
        <w:t>exception</w:t>
      </w:r>
      <w:r w:rsidR="00C64050">
        <w:rPr>
          <w:szCs w:val="20"/>
        </w:rPr>
        <w:t xml:space="preserve"> </w:t>
      </w:r>
      <w:r w:rsidRPr="005A4B70">
        <w:rPr>
          <w:szCs w:val="20"/>
        </w:rPr>
        <w:t>to</w:t>
      </w:r>
      <w:r w:rsidR="00C64050">
        <w:rPr>
          <w:szCs w:val="20"/>
        </w:rPr>
        <w:t xml:space="preserve"> </w:t>
      </w:r>
      <w:r w:rsidRPr="005A4B70">
        <w:rPr>
          <w:szCs w:val="20"/>
        </w:rPr>
        <w:t>NRS</w:t>
      </w:r>
      <w:r w:rsidR="00C64050">
        <w:rPr>
          <w:szCs w:val="20"/>
        </w:rPr>
        <w:t xml:space="preserve"> </w:t>
      </w:r>
      <w:r w:rsidRPr="005A4B70">
        <w:rPr>
          <w:szCs w:val="20"/>
        </w:rPr>
        <w:t>163.4175</w:t>
      </w:r>
      <w:r w:rsidR="00C64050">
        <w:rPr>
          <w:szCs w:val="20"/>
        </w:rPr>
        <w:t xml:space="preserve"> </w:t>
      </w:r>
      <w:r w:rsidRPr="005A4B70">
        <w:rPr>
          <w:szCs w:val="20"/>
        </w:rPr>
        <w:t>based</w:t>
      </w:r>
      <w:r w:rsidR="00C64050">
        <w:rPr>
          <w:szCs w:val="20"/>
        </w:rPr>
        <w:t xml:space="preserve"> </w:t>
      </w:r>
      <w:r w:rsidRPr="005A4B70">
        <w:rPr>
          <w:szCs w:val="20"/>
        </w:rPr>
        <w:t>solely</w:t>
      </w:r>
      <w:r w:rsidR="00C64050">
        <w:rPr>
          <w:szCs w:val="20"/>
        </w:rPr>
        <w:t xml:space="preserve"> </w:t>
      </w:r>
      <w:r w:rsidRPr="005A4B70">
        <w:rPr>
          <w:szCs w:val="20"/>
        </w:rPr>
        <w:t>on</w:t>
      </w:r>
      <w:r w:rsidR="00C64050">
        <w:rPr>
          <w:szCs w:val="20"/>
        </w:rPr>
        <w:t xml:space="preserve"> </w:t>
      </w:r>
      <w:r w:rsidRPr="005A4B70">
        <w:rPr>
          <w:szCs w:val="20"/>
        </w:rPr>
        <w:t>the</w:t>
      </w:r>
      <w:r w:rsidR="00C64050">
        <w:rPr>
          <w:szCs w:val="20"/>
        </w:rPr>
        <w:t xml:space="preserve"> </w:t>
      </w:r>
      <w:r w:rsidRPr="005A4B70">
        <w:rPr>
          <w:szCs w:val="20"/>
        </w:rPr>
        <w:t>terms</w:t>
      </w:r>
      <w:r w:rsidR="00C64050">
        <w:rPr>
          <w:szCs w:val="20"/>
        </w:rPr>
        <w:t xml:space="preserve"> </w:t>
      </w:r>
      <w:r w:rsidRPr="005A4B70">
        <w:rPr>
          <w:szCs w:val="20"/>
        </w:rPr>
        <w:t>“necessary”</w:t>
      </w:r>
      <w:r w:rsidR="00C64050">
        <w:rPr>
          <w:szCs w:val="20"/>
        </w:rPr>
        <w:t xml:space="preserve"> </w:t>
      </w:r>
      <w:r w:rsidRPr="005A4B70">
        <w:rPr>
          <w:szCs w:val="20"/>
        </w:rPr>
        <w:t>and</w:t>
      </w:r>
      <w:r w:rsidR="00C64050">
        <w:rPr>
          <w:szCs w:val="20"/>
        </w:rPr>
        <w:t xml:space="preserve"> </w:t>
      </w:r>
      <w:r w:rsidRPr="005A4B70">
        <w:rPr>
          <w:szCs w:val="20"/>
        </w:rPr>
        <w:t>“proper”</w:t>
      </w:r>
      <w:r w:rsidR="00C64050">
        <w:rPr>
          <w:szCs w:val="20"/>
        </w:rPr>
        <w:t xml:space="preserve"> </w:t>
      </w:r>
      <w:r w:rsidRPr="005A4B70">
        <w:rPr>
          <w:szCs w:val="20"/>
        </w:rPr>
        <w:t>in</w:t>
      </w:r>
      <w:r w:rsidR="00C64050">
        <w:rPr>
          <w:szCs w:val="20"/>
        </w:rPr>
        <w:t xml:space="preserve"> </w:t>
      </w:r>
      <w:r w:rsidRPr="005A4B70">
        <w:rPr>
          <w:szCs w:val="20"/>
        </w:rPr>
        <w:t>the</w:t>
      </w:r>
      <w:r w:rsidR="00C64050">
        <w:rPr>
          <w:szCs w:val="20"/>
        </w:rPr>
        <w:t xml:space="preserve"> </w:t>
      </w:r>
      <w:r w:rsidRPr="005A4B70">
        <w:rPr>
          <w:szCs w:val="20"/>
        </w:rPr>
        <w:t>trust</w:t>
      </w:r>
      <w:r w:rsidR="00C64050">
        <w:rPr>
          <w:szCs w:val="20"/>
        </w:rPr>
        <w:t xml:space="preserve"> </w:t>
      </w:r>
      <w:r w:rsidRPr="005A4B70">
        <w:rPr>
          <w:szCs w:val="20"/>
        </w:rPr>
        <w:t>instrument,</w:t>
      </w:r>
      <w:r w:rsidR="00C64050">
        <w:rPr>
          <w:szCs w:val="20"/>
        </w:rPr>
        <w:t xml:space="preserve"> </w:t>
      </w:r>
      <w:r w:rsidRPr="005A4B70">
        <w:rPr>
          <w:szCs w:val="20"/>
        </w:rPr>
        <w:t>as</w:t>
      </w:r>
      <w:r w:rsidR="00C64050">
        <w:rPr>
          <w:szCs w:val="20"/>
        </w:rPr>
        <w:t xml:space="preserve"> </w:t>
      </w:r>
      <w:r w:rsidRPr="005A4B70">
        <w:rPr>
          <w:szCs w:val="20"/>
        </w:rPr>
        <w:t>those</w:t>
      </w:r>
      <w:r w:rsidR="00C64050">
        <w:rPr>
          <w:szCs w:val="20"/>
        </w:rPr>
        <w:t xml:space="preserve"> </w:t>
      </w:r>
      <w:r w:rsidRPr="005A4B70">
        <w:rPr>
          <w:szCs w:val="20"/>
        </w:rPr>
        <w:t>terms</w:t>
      </w:r>
      <w:r w:rsidR="00C64050">
        <w:rPr>
          <w:szCs w:val="20"/>
        </w:rPr>
        <w:t xml:space="preserve"> </w:t>
      </w:r>
      <w:r w:rsidRPr="005A4B70">
        <w:rPr>
          <w:szCs w:val="20"/>
        </w:rPr>
        <w:t>appear</w:t>
      </w:r>
      <w:r w:rsidR="00C64050">
        <w:rPr>
          <w:szCs w:val="20"/>
        </w:rPr>
        <w:t xml:space="preserve"> </w:t>
      </w:r>
      <w:r w:rsidRPr="005A4B70">
        <w:rPr>
          <w:szCs w:val="20"/>
        </w:rPr>
        <w:t>frequently</w:t>
      </w:r>
      <w:r w:rsidR="00C64050">
        <w:rPr>
          <w:szCs w:val="20"/>
        </w:rPr>
        <w:t xml:space="preserve"> </w:t>
      </w:r>
      <w:r w:rsidRPr="005A4B70">
        <w:rPr>
          <w:szCs w:val="20"/>
        </w:rPr>
        <w:t>in</w:t>
      </w:r>
      <w:r w:rsidR="00C64050">
        <w:rPr>
          <w:szCs w:val="20"/>
        </w:rPr>
        <w:t xml:space="preserve"> </w:t>
      </w:r>
      <w:r w:rsidRPr="005A4B70">
        <w:rPr>
          <w:szCs w:val="20"/>
        </w:rPr>
        <w:t>trusts</w:t>
      </w:r>
      <w:r w:rsidR="00C64050">
        <w:rPr>
          <w:szCs w:val="20"/>
        </w:rPr>
        <w:t xml:space="preserve"> </w:t>
      </w:r>
      <w:r w:rsidRPr="005A4B70">
        <w:rPr>
          <w:szCs w:val="20"/>
        </w:rPr>
        <w:t>but</w:t>
      </w:r>
      <w:r w:rsidR="00C64050">
        <w:rPr>
          <w:szCs w:val="20"/>
        </w:rPr>
        <w:t xml:space="preserve"> </w:t>
      </w:r>
      <w:r w:rsidRPr="005A4B70">
        <w:rPr>
          <w:szCs w:val="20"/>
        </w:rPr>
        <w:t>their</w:t>
      </w:r>
      <w:r w:rsidR="00C64050">
        <w:rPr>
          <w:szCs w:val="20"/>
        </w:rPr>
        <w:t xml:space="preserve"> </w:t>
      </w:r>
      <w:r w:rsidRPr="005A4B70">
        <w:rPr>
          <w:szCs w:val="20"/>
        </w:rPr>
        <w:t>meanings</w:t>
      </w:r>
      <w:r w:rsidR="00C64050">
        <w:rPr>
          <w:szCs w:val="20"/>
        </w:rPr>
        <w:t xml:space="preserve"> </w:t>
      </w:r>
      <w:r w:rsidRPr="005A4B70">
        <w:rPr>
          <w:szCs w:val="20"/>
        </w:rPr>
        <w:t>depend</w:t>
      </w:r>
      <w:r w:rsidR="00C64050">
        <w:rPr>
          <w:szCs w:val="20"/>
        </w:rPr>
        <w:t xml:space="preserve"> </w:t>
      </w:r>
      <w:r w:rsidRPr="005A4B70">
        <w:rPr>
          <w:szCs w:val="20"/>
        </w:rPr>
        <w:t>on</w:t>
      </w:r>
      <w:r w:rsidR="00C64050">
        <w:rPr>
          <w:szCs w:val="20"/>
        </w:rPr>
        <w:t xml:space="preserve"> </w:t>
      </w:r>
      <w:r w:rsidRPr="005A4B70">
        <w:rPr>
          <w:szCs w:val="20"/>
        </w:rPr>
        <w:t>the</w:t>
      </w:r>
      <w:r w:rsidR="00C64050">
        <w:rPr>
          <w:szCs w:val="20"/>
        </w:rPr>
        <w:t xml:space="preserve"> </w:t>
      </w:r>
      <w:r w:rsidRPr="005A4B70">
        <w:rPr>
          <w:szCs w:val="20"/>
        </w:rPr>
        <w:t>circumstances</w:t>
      </w:r>
      <w:r w:rsidR="00C64050">
        <w:rPr>
          <w:szCs w:val="20"/>
        </w:rPr>
        <w:t xml:space="preserve"> </w:t>
      </w:r>
      <w:r w:rsidRPr="005A4B70">
        <w:rPr>
          <w:szCs w:val="20"/>
        </w:rPr>
        <w:t>and</w:t>
      </w:r>
      <w:r w:rsidR="00C64050">
        <w:rPr>
          <w:szCs w:val="20"/>
        </w:rPr>
        <w:t xml:space="preserve"> </w:t>
      </w:r>
      <w:r w:rsidRPr="005A4B70">
        <w:rPr>
          <w:szCs w:val="20"/>
        </w:rPr>
        <w:t>text</w:t>
      </w:r>
      <w:r w:rsidR="00C64050">
        <w:rPr>
          <w:szCs w:val="20"/>
        </w:rPr>
        <w:t xml:space="preserve"> </w:t>
      </w:r>
      <w:r w:rsidRPr="005A4B70">
        <w:rPr>
          <w:szCs w:val="20"/>
        </w:rPr>
        <w:t>of</w:t>
      </w:r>
      <w:r w:rsidR="00C64050">
        <w:rPr>
          <w:szCs w:val="20"/>
        </w:rPr>
        <w:t xml:space="preserve"> </w:t>
      </w:r>
      <w:r w:rsidRPr="005A4B70">
        <w:rPr>
          <w:szCs w:val="20"/>
        </w:rPr>
        <w:t>the</w:t>
      </w:r>
      <w:r w:rsidR="00C64050">
        <w:rPr>
          <w:szCs w:val="20"/>
        </w:rPr>
        <w:t xml:space="preserve"> </w:t>
      </w:r>
      <w:r w:rsidRPr="005A4B70">
        <w:rPr>
          <w:szCs w:val="20"/>
        </w:rPr>
        <w:t>instruments.</w:t>
      </w:r>
      <w:r w:rsidR="00C64050">
        <w:rPr>
          <w:szCs w:val="20"/>
        </w:rPr>
        <w:t xml:space="preserve"> </w:t>
      </w:r>
      <w:r w:rsidRPr="005A4B70">
        <w:rPr>
          <w:rStyle w:val="Emphasis"/>
          <w:szCs w:val="20"/>
        </w:rPr>
        <w:t>See,</w:t>
      </w:r>
      <w:r w:rsidR="00C64050">
        <w:rPr>
          <w:rStyle w:val="Emphasis"/>
          <w:szCs w:val="20"/>
        </w:rPr>
        <w:t xml:space="preserve"> </w:t>
      </w:r>
      <w:r w:rsidRPr="005A4B70">
        <w:rPr>
          <w:rStyle w:val="Emphasis"/>
          <w:szCs w:val="20"/>
        </w:rPr>
        <w:t>e.g.,</w:t>
      </w:r>
      <w:r w:rsidR="00C64050">
        <w:rPr>
          <w:rStyle w:val="Emphasis"/>
          <w:szCs w:val="20"/>
        </w:rPr>
        <w:t xml:space="preserve"> </w:t>
      </w:r>
      <w:r w:rsidRPr="005A4B70">
        <w:rPr>
          <w:rStyle w:val="Emphasis"/>
          <w:szCs w:val="20"/>
        </w:rPr>
        <w:t>Del</w:t>
      </w:r>
      <w:r w:rsidR="00C64050">
        <w:rPr>
          <w:rStyle w:val="Emphasis"/>
          <w:szCs w:val="20"/>
        </w:rPr>
        <w:t xml:space="preserve"> </w:t>
      </w:r>
      <w:r w:rsidRPr="005A4B70">
        <w:rPr>
          <w:rStyle w:val="Emphasis"/>
          <w:szCs w:val="20"/>
        </w:rPr>
        <w:t>Tr.</w:t>
      </w:r>
      <w:r w:rsidR="00C64050">
        <w:rPr>
          <w:rStyle w:val="Emphasis"/>
          <w:szCs w:val="20"/>
        </w:rPr>
        <w:t xml:space="preserve"> </w:t>
      </w:r>
      <w:r w:rsidRPr="005A4B70">
        <w:rPr>
          <w:rStyle w:val="Emphasis"/>
          <w:szCs w:val="20"/>
        </w:rPr>
        <w:t>Co.</w:t>
      </w:r>
      <w:r w:rsidRPr="005A4B70">
        <w:rPr>
          <w:szCs w:val="20"/>
        </w:rPr>
        <w:t>,</w:t>
      </w:r>
      <w:r w:rsidR="00C64050">
        <w:rPr>
          <w:szCs w:val="20"/>
        </w:rPr>
        <w:t xml:space="preserve"> </w:t>
      </w:r>
      <w:r w:rsidRPr="005A4B70">
        <w:rPr>
          <w:szCs w:val="20"/>
        </w:rPr>
        <w:t>95</w:t>
      </w:r>
      <w:r w:rsidR="00C64050">
        <w:rPr>
          <w:szCs w:val="20"/>
        </w:rPr>
        <w:t xml:space="preserve"> </w:t>
      </w:r>
      <w:r w:rsidRPr="005A4B70">
        <w:rPr>
          <w:szCs w:val="20"/>
        </w:rPr>
        <w:t>A.2d</w:t>
      </w:r>
      <w:r w:rsidR="00C64050">
        <w:rPr>
          <w:szCs w:val="20"/>
        </w:rPr>
        <w:t xml:space="preserve"> </w:t>
      </w:r>
      <w:r w:rsidRPr="005A4B70">
        <w:rPr>
          <w:szCs w:val="20"/>
        </w:rPr>
        <w:t>at</w:t>
      </w:r>
      <w:r w:rsidR="00C64050">
        <w:rPr>
          <w:szCs w:val="20"/>
        </w:rPr>
        <w:t xml:space="preserve"> </w:t>
      </w:r>
      <w:r w:rsidRPr="005A4B70">
        <w:rPr>
          <w:szCs w:val="20"/>
        </w:rPr>
        <w:t>47</w:t>
      </w:r>
      <w:r w:rsidR="00C64050">
        <w:rPr>
          <w:szCs w:val="20"/>
        </w:rPr>
        <w:t xml:space="preserve"> </w:t>
      </w:r>
      <w:r w:rsidRPr="005A4B70">
        <w:rPr>
          <w:szCs w:val="20"/>
        </w:rPr>
        <w:t>(holding</w:t>
      </w:r>
      <w:r w:rsidR="00C64050">
        <w:rPr>
          <w:szCs w:val="20"/>
        </w:rPr>
        <w:t xml:space="preserve"> </w:t>
      </w:r>
      <w:r w:rsidRPr="005A4B70">
        <w:rPr>
          <w:szCs w:val="20"/>
        </w:rPr>
        <w:t>that</w:t>
      </w:r>
      <w:r w:rsidR="00C64050">
        <w:rPr>
          <w:szCs w:val="20"/>
        </w:rPr>
        <w:t xml:space="preserve"> </w:t>
      </w:r>
      <w:r w:rsidRPr="005A4B70">
        <w:rPr>
          <w:szCs w:val="20"/>
        </w:rPr>
        <w:t>“upon</w:t>
      </w:r>
      <w:r w:rsidR="00C64050">
        <w:rPr>
          <w:szCs w:val="20"/>
        </w:rPr>
        <w:t xml:space="preserve"> </w:t>
      </w:r>
      <w:r w:rsidRPr="005A4B70">
        <w:rPr>
          <w:szCs w:val="20"/>
        </w:rPr>
        <w:t>a</w:t>
      </w:r>
      <w:r w:rsidR="00C64050">
        <w:rPr>
          <w:szCs w:val="20"/>
        </w:rPr>
        <w:t xml:space="preserve"> </w:t>
      </w:r>
      <w:r w:rsidRPr="005A4B70">
        <w:rPr>
          <w:szCs w:val="20"/>
        </w:rPr>
        <w:t>full</w:t>
      </w:r>
      <w:r w:rsidR="00C64050">
        <w:rPr>
          <w:szCs w:val="20"/>
        </w:rPr>
        <w:t xml:space="preserve"> </w:t>
      </w:r>
      <w:r w:rsidRPr="005A4B70">
        <w:rPr>
          <w:szCs w:val="20"/>
        </w:rPr>
        <w:t>reading</w:t>
      </w:r>
      <w:r w:rsidR="00C64050">
        <w:rPr>
          <w:szCs w:val="20"/>
        </w:rPr>
        <w:t xml:space="preserve"> </w:t>
      </w:r>
      <w:r w:rsidRPr="005A4B70">
        <w:rPr>
          <w:szCs w:val="20"/>
        </w:rPr>
        <w:t>of</w:t>
      </w:r>
      <w:r w:rsidR="00C64050">
        <w:rPr>
          <w:szCs w:val="20"/>
        </w:rPr>
        <w:t xml:space="preserve"> </w:t>
      </w:r>
      <w:r w:rsidRPr="005A4B70">
        <w:rPr>
          <w:szCs w:val="20"/>
        </w:rPr>
        <w:t>the</w:t>
      </w:r>
      <w:r w:rsidR="00C64050">
        <w:rPr>
          <w:szCs w:val="20"/>
        </w:rPr>
        <w:t xml:space="preserve"> </w:t>
      </w:r>
      <w:r w:rsidRPr="005A4B70">
        <w:rPr>
          <w:szCs w:val="20"/>
        </w:rPr>
        <w:t>will</w:t>
      </w:r>
      <w:r w:rsidR="00C64050">
        <w:rPr>
          <w:szCs w:val="20"/>
        </w:rPr>
        <w:t xml:space="preserve"> </w:t>
      </w:r>
      <w:r w:rsidRPr="005A4B70">
        <w:rPr>
          <w:szCs w:val="20"/>
        </w:rPr>
        <w:t>in</w:t>
      </w:r>
      <w:r w:rsidR="00C64050">
        <w:rPr>
          <w:szCs w:val="20"/>
        </w:rPr>
        <w:t xml:space="preserve"> </w:t>
      </w:r>
      <w:r w:rsidRPr="005A4B70">
        <w:rPr>
          <w:szCs w:val="20"/>
        </w:rPr>
        <w:t>the</w:t>
      </w:r>
      <w:r w:rsidR="00C64050">
        <w:rPr>
          <w:szCs w:val="20"/>
        </w:rPr>
        <w:t xml:space="preserve"> </w:t>
      </w:r>
      <w:r w:rsidRPr="005A4B70">
        <w:rPr>
          <w:szCs w:val="20"/>
        </w:rPr>
        <w:t>light</w:t>
      </w:r>
      <w:r w:rsidR="00C64050">
        <w:rPr>
          <w:szCs w:val="20"/>
        </w:rPr>
        <w:t xml:space="preserve"> </w:t>
      </w:r>
      <w:r w:rsidRPr="005A4B70">
        <w:rPr>
          <w:szCs w:val="20"/>
        </w:rPr>
        <w:t>of</w:t>
      </w:r>
      <w:r w:rsidR="00C64050">
        <w:rPr>
          <w:szCs w:val="20"/>
        </w:rPr>
        <w:t xml:space="preserve"> </w:t>
      </w:r>
      <w:r w:rsidRPr="005A4B70">
        <w:rPr>
          <w:szCs w:val="20"/>
        </w:rPr>
        <w:t>the</w:t>
      </w:r>
      <w:r w:rsidR="00C64050">
        <w:rPr>
          <w:szCs w:val="20"/>
        </w:rPr>
        <w:t xml:space="preserve"> </w:t>
      </w:r>
      <w:r w:rsidRPr="005A4B70">
        <w:rPr>
          <w:szCs w:val="20"/>
        </w:rPr>
        <w:t>surrounding</w:t>
      </w:r>
      <w:r w:rsidR="00C64050">
        <w:rPr>
          <w:szCs w:val="20"/>
        </w:rPr>
        <w:t xml:space="preserve"> </w:t>
      </w:r>
      <w:r w:rsidRPr="005A4B70">
        <w:rPr>
          <w:szCs w:val="20"/>
        </w:rPr>
        <w:t>circumstances</w:t>
      </w:r>
      <w:r w:rsidR="00C64050">
        <w:rPr>
          <w:szCs w:val="20"/>
        </w:rPr>
        <w:t xml:space="preserve"> </w:t>
      </w:r>
      <w:r w:rsidRPr="005A4B70">
        <w:rPr>
          <w:szCs w:val="20"/>
        </w:rPr>
        <w:t>...</w:t>
      </w:r>
      <w:r w:rsidR="00C64050">
        <w:rPr>
          <w:szCs w:val="20"/>
        </w:rPr>
        <w:t xml:space="preserve"> </w:t>
      </w:r>
      <w:r w:rsidRPr="005A4B70">
        <w:rPr>
          <w:szCs w:val="20"/>
        </w:rPr>
        <w:t>[the</w:t>
      </w:r>
      <w:r w:rsidR="00C64050">
        <w:rPr>
          <w:szCs w:val="20"/>
        </w:rPr>
        <w:t xml:space="preserve"> </w:t>
      </w:r>
      <w:r w:rsidRPr="005A4B70">
        <w:rPr>
          <w:szCs w:val="20"/>
        </w:rPr>
        <w:t>term</w:t>
      </w:r>
      <w:r w:rsidR="00C64050">
        <w:rPr>
          <w:szCs w:val="20"/>
        </w:rPr>
        <w:t xml:space="preserve"> </w:t>
      </w:r>
      <w:r w:rsidRPr="005A4B70">
        <w:rPr>
          <w:szCs w:val="20"/>
        </w:rPr>
        <w:t>“necessary”</w:t>
      </w:r>
      <w:r w:rsidR="00C64050">
        <w:rPr>
          <w:szCs w:val="20"/>
        </w:rPr>
        <w:t xml:space="preserve"> </w:t>
      </w:r>
      <w:r w:rsidRPr="005A4B70">
        <w:rPr>
          <w:szCs w:val="20"/>
        </w:rPr>
        <w:t>was]</w:t>
      </w:r>
      <w:r w:rsidR="00C64050">
        <w:rPr>
          <w:szCs w:val="20"/>
        </w:rPr>
        <w:t xml:space="preserve"> </w:t>
      </w:r>
      <w:r w:rsidRPr="005A4B70">
        <w:rPr>
          <w:szCs w:val="20"/>
        </w:rPr>
        <w:t>not</w:t>
      </w:r>
      <w:r w:rsidR="00C64050">
        <w:rPr>
          <w:szCs w:val="20"/>
        </w:rPr>
        <w:t xml:space="preserve"> </w:t>
      </w:r>
      <w:r w:rsidRPr="005A4B70">
        <w:rPr>
          <w:szCs w:val="20"/>
        </w:rPr>
        <w:t>language</w:t>
      </w:r>
      <w:r w:rsidR="00C64050">
        <w:rPr>
          <w:szCs w:val="20"/>
        </w:rPr>
        <w:t xml:space="preserve"> </w:t>
      </w:r>
      <w:r w:rsidRPr="005A4B70">
        <w:rPr>
          <w:szCs w:val="20"/>
        </w:rPr>
        <w:t>of</w:t>
      </w:r>
      <w:r w:rsidR="00C64050">
        <w:rPr>
          <w:szCs w:val="20"/>
        </w:rPr>
        <w:t xml:space="preserve"> </w:t>
      </w:r>
      <w:r w:rsidRPr="005A4B70">
        <w:rPr>
          <w:szCs w:val="20"/>
        </w:rPr>
        <w:t>condition[,]</w:t>
      </w:r>
      <w:r w:rsidR="00C64050">
        <w:rPr>
          <w:szCs w:val="20"/>
        </w:rPr>
        <w:t xml:space="preserve"> </w:t>
      </w:r>
      <w:r w:rsidRPr="005A4B70">
        <w:rPr>
          <w:szCs w:val="20"/>
        </w:rPr>
        <w:t>but</w:t>
      </w:r>
      <w:r w:rsidR="00C64050">
        <w:rPr>
          <w:szCs w:val="20"/>
        </w:rPr>
        <w:t xml:space="preserve"> </w:t>
      </w:r>
      <w:r w:rsidRPr="005A4B70">
        <w:rPr>
          <w:szCs w:val="20"/>
        </w:rPr>
        <w:t>[rather,</w:t>
      </w:r>
      <w:r w:rsidR="00C64050">
        <w:rPr>
          <w:szCs w:val="20"/>
        </w:rPr>
        <w:t xml:space="preserve"> </w:t>
      </w:r>
      <w:r w:rsidRPr="005A4B70">
        <w:rPr>
          <w:szCs w:val="20"/>
        </w:rPr>
        <w:t>was]</w:t>
      </w:r>
      <w:r w:rsidR="00C64050">
        <w:rPr>
          <w:szCs w:val="20"/>
        </w:rPr>
        <w:t xml:space="preserve"> </w:t>
      </w:r>
      <w:r w:rsidRPr="005A4B70">
        <w:rPr>
          <w:szCs w:val="20"/>
        </w:rPr>
        <w:t>language</w:t>
      </w:r>
      <w:r w:rsidR="00C64050">
        <w:rPr>
          <w:szCs w:val="20"/>
        </w:rPr>
        <w:t xml:space="preserve"> </w:t>
      </w:r>
      <w:r w:rsidRPr="005A4B70">
        <w:rPr>
          <w:szCs w:val="20"/>
        </w:rPr>
        <w:t>fixing</w:t>
      </w:r>
      <w:r w:rsidR="00C64050">
        <w:rPr>
          <w:szCs w:val="20"/>
        </w:rPr>
        <w:t xml:space="preserve"> </w:t>
      </w:r>
      <w:r w:rsidRPr="005A4B70">
        <w:rPr>
          <w:szCs w:val="20"/>
        </w:rPr>
        <w:t>the</w:t>
      </w:r>
      <w:r w:rsidR="00C64050">
        <w:rPr>
          <w:szCs w:val="20"/>
        </w:rPr>
        <w:t xml:space="preserve"> </w:t>
      </w:r>
      <w:r w:rsidRPr="005A4B70">
        <w:rPr>
          <w:szCs w:val="20"/>
        </w:rPr>
        <w:t>standard</w:t>
      </w:r>
      <w:r w:rsidR="00C64050">
        <w:rPr>
          <w:szCs w:val="20"/>
        </w:rPr>
        <w:t xml:space="preserve"> </w:t>
      </w:r>
      <w:r w:rsidRPr="005A4B70">
        <w:rPr>
          <w:szCs w:val="20"/>
        </w:rPr>
        <w:t>by</w:t>
      </w:r>
      <w:r w:rsidR="00C64050">
        <w:rPr>
          <w:szCs w:val="20"/>
        </w:rPr>
        <w:t xml:space="preserve"> </w:t>
      </w:r>
      <w:r w:rsidRPr="005A4B70">
        <w:rPr>
          <w:szCs w:val="20"/>
        </w:rPr>
        <w:t>which</w:t>
      </w:r>
      <w:r w:rsidR="00C64050">
        <w:rPr>
          <w:szCs w:val="20"/>
        </w:rPr>
        <w:t xml:space="preserve"> </w:t>
      </w:r>
      <w:r w:rsidRPr="005A4B70">
        <w:rPr>
          <w:szCs w:val="20"/>
        </w:rPr>
        <w:t>the</w:t>
      </w:r>
      <w:r w:rsidR="00C64050">
        <w:rPr>
          <w:szCs w:val="20"/>
        </w:rPr>
        <w:t xml:space="preserve"> </w:t>
      </w:r>
      <w:r w:rsidRPr="005A4B70">
        <w:rPr>
          <w:szCs w:val="20"/>
        </w:rPr>
        <w:t>trustee</w:t>
      </w:r>
      <w:r w:rsidR="00C64050">
        <w:rPr>
          <w:szCs w:val="20"/>
        </w:rPr>
        <w:t xml:space="preserve"> </w:t>
      </w:r>
      <w:r w:rsidRPr="005A4B70">
        <w:rPr>
          <w:szCs w:val="20"/>
        </w:rPr>
        <w:t>is</w:t>
      </w:r>
      <w:r w:rsidR="00C64050">
        <w:rPr>
          <w:szCs w:val="20"/>
        </w:rPr>
        <w:t xml:space="preserve"> </w:t>
      </w:r>
      <w:r w:rsidRPr="005A4B70">
        <w:rPr>
          <w:szCs w:val="20"/>
        </w:rPr>
        <w:t>to</w:t>
      </w:r>
      <w:r w:rsidR="00C64050">
        <w:rPr>
          <w:szCs w:val="20"/>
        </w:rPr>
        <w:t xml:space="preserve"> </w:t>
      </w:r>
      <w:r w:rsidRPr="005A4B70">
        <w:rPr>
          <w:szCs w:val="20"/>
        </w:rPr>
        <w:t>exercise</w:t>
      </w:r>
      <w:r w:rsidR="00C64050">
        <w:rPr>
          <w:szCs w:val="20"/>
        </w:rPr>
        <w:t xml:space="preserve"> </w:t>
      </w:r>
      <w:r w:rsidRPr="005A4B70">
        <w:rPr>
          <w:szCs w:val="20"/>
        </w:rPr>
        <w:t>its</w:t>
      </w:r>
      <w:r w:rsidR="00C64050">
        <w:rPr>
          <w:szCs w:val="20"/>
        </w:rPr>
        <w:t xml:space="preserve"> </w:t>
      </w:r>
      <w:r w:rsidRPr="005A4B70">
        <w:rPr>
          <w:szCs w:val="20"/>
        </w:rPr>
        <w:t>discretion</w:t>
      </w:r>
      <w:r w:rsidR="00C64050">
        <w:rPr>
          <w:szCs w:val="20"/>
        </w:rPr>
        <w:t xml:space="preserve"> </w:t>
      </w:r>
      <w:r w:rsidRPr="005A4B70">
        <w:rPr>
          <w:szCs w:val="20"/>
        </w:rPr>
        <w:t>in</w:t>
      </w:r>
      <w:r w:rsidR="00C64050">
        <w:rPr>
          <w:szCs w:val="20"/>
        </w:rPr>
        <w:t xml:space="preserve"> </w:t>
      </w:r>
      <w:r w:rsidRPr="005A4B70">
        <w:rPr>
          <w:szCs w:val="20"/>
        </w:rPr>
        <w:t>determining</w:t>
      </w:r>
      <w:r w:rsidR="00C64050">
        <w:rPr>
          <w:szCs w:val="20"/>
        </w:rPr>
        <w:t xml:space="preserve"> </w:t>
      </w:r>
      <w:r w:rsidRPr="005A4B70">
        <w:rPr>
          <w:szCs w:val="20"/>
        </w:rPr>
        <w:t>the</w:t>
      </w:r>
      <w:r w:rsidR="00C64050">
        <w:rPr>
          <w:szCs w:val="20"/>
        </w:rPr>
        <w:t xml:space="preserve"> </w:t>
      </w:r>
      <w:r w:rsidRPr="005A4B70">
        <w:rPr>
          <w:szCs w:val="20"/>
        </w:rPr>
        <w:t>amount</w:t>
      </w:r>
      <w:r w:rsidR="00C64050">
        <w:rPr>
          <w:szCs w:val="20"/>
        </w:rPr>
        <w:t xml:space="preserve"> </w:t>
      </w:r>
      <w:r w:rsidRPr="005A4B70">
        <w:rPr>
          <w:szCs w:val="20"/>
        </w:rPr>
        <w:t>to</w:t>
      </w:r>
      <w:r w:rsidR="00C64050">
        <w:rPr>
          <w:szCs w:val="20"/>
        </w:rPr>
        <w:t xml:space="preserve"> </w:t>
      </w:r>
      <w:r w:rsidRPr="005A4B70">
        <w:rPr>
          <w:szCs w:val="20"/>
        </w:rPr>
        <w:t>be</w:t>
      </w:r>
      <w:r w:rsidR="00C64050">
        <w:rPr>
          <w:szCs w:val="20"/>
        </w:rPr>
        <w:t xml:space="preserve"> </w:t>
      </w:r>
      <w:r w:rsidRPr="005A4B70">
        <w:rPr>
          <w:szCs w:val="20"/>
        </w:rPr>
        <w:t>spent”).</w:t>
      </w:r>
      <w:r w:rsidR="00C64050">
        <w:rPr>
          <w:szCs w:val="20"/>
        </w:rPr>
        <w:t xml:space="preserve"> </w:t>
      </w:r>
      <w:r w:rsidRPr="005A4B70">
        <w:rPr>
          <w:szCs w:val="20"/>
        </w:rPr>
        <w:t>Rather,</w:t>
      </w:r>
      <w:r w:rsidR="00C64050">
        <w:rPr>
          <w:szCs w:val="20"/>
        </w:rPr>
        <w:t xml:space="preserve"> </w:t>
      </w:r>
      <w:r w:rsidRPr="005A4B70">
        <w:rPr>
          <w:szCs w:val="20"/>
        </w:rPr>
        <w:t>it</w:t>
      </w:r>
      <w:r w:rsidR="00C64050">
        <w:rPr>
          <w:szCs w:val="20"/>
        </w:rPr>
        <w:t xml:space="preserve"> </w:t>
      </w:r>
      <w:r w:rsidRPr="005A4B70">
        <w:rPr>
          <w:szCs w:val="20"/>
        </w:rPr>
        <w:t>must</w:t>
      </w:r>
      <w:r w:rsidR="00C64050">
        <w:rPr>
          <w:szCs w:val="20"/>
        </w:rPr>
        <w:t xml:space="preserve"> </w:t>
      </w:r>
      <w:r w:rsidRPr="005A4B70">
        <w:rPr>
          <w:szCs w:val="20"/>
        </w:rPr>
        <w:t>be</w:t>
      </w:r>
      <w:r w:rsidR="00C64050">
        <w:rPr>
          <w:szCs w:val="20"/>
        </w:rPr>
        <w:t xml:space="preserve"> </w:t>
      </w:r>
      <w:r w:rsidRPr="005A4B70">
        <w:rPr>
          <w:szCs w:val="20"/>
        </w:rPr>
        <w:t>clear</w:t>
      </w:r>
      <w:r w:rsidR="00C64050">
        <w:rPr>
          <w:szCs w:val="20"/>
        </w:rPr>
        <w:t xml:space="preserve"> </w:t>
      </w:r>
      <w:r w:rsidRPr="005A4B70">
        <w:rPr>
          <w:szCs w:val="20"/>
        </w:rPr>
        <w:t>from</w:t>
      </w:r>
      <w:r w:rsidR="00C64050">
        <w:rPr>
          <w:szCs w:val="20"/>
        </w:rPr>
        <w:t xml:space="preserve"> </w:t>
      </w:r>
      <w:r w:rsidRPr="005A4B70">
        <w:rPr>
          <w:szCs w:val="20"/>
        </w:rPr>
        <w:t>the</w:t>
      </w:r>
      <w:r w:rsidR="00C64050">
        <w:rPr>
          <w:szCs w:val="20"/>
        </w:rPr>
        <w:t xml:space="preserve"> </w:t>
      </w:r>
      <w:r w:rsidRPr="005A4B70">
        <w:rPr>
          <w:szCs w:val="20"/>
        </w:rPr>
        <w:t>trust</w:t>
      </w:r>
      <w:r w:rsidR="00C64050">
        <w:rPr>
          <w:szCs w:val="20"/>
        </w:rPr>
        <w:t xml:space="preserve"> </w:t>
      </w:r>
      <w:r w:rsidRPr="005A4B70">
        <w:rPr>
          <w:szCs w:val="20"/>
        </w:rPr>
        <w:t>as</w:t>
      </w:r>
      <w:r w:rsidR="00C64050">
        <w:rPr>
          <w:szCs w:val="20"/>
        </w:rPr>
        <w:t xml:space="preserve"> </w:t>
      </w:r>
      <w:r w:rsidRPr="005A4B70">
        <w:rPr>
          <w:szCs w:val="20"/>
        </w:rPr>
        <w:t>a</w:t>
      </w:r>
      <w:r w:rsidR="00C64050">
        <w:rPr>
          <w:szCs w:val="20"/>
        </w:rPr>
        <w:t xml:space="preserve"> </w:t>
      </w:r>
      <w:r w:rsidRPr="005A4B70">
        <w:rPr>
          <w:szCs w:val="20"/>
        </w:rPr>
        <w:t>whole</w:t>
      </w:r>
      <w:r w:rsidR="00C64050">
        <w:rPr>
          <w:szCs w:val="20"/>
        </w:rPr>
        <w:t xml:space="preserve"> </w:t>
      </w:r>
      <w:r w:rsidRPr="005A4B70">
        <w:rPr>
          <w:szCs w:val="20"/>
        </w:rPr>
        <w:t>that</w:t>
      </w:r>
      <w:r w:rsidR="00C64050">
        <w:rPr>
          <w:szCs w:val="20"/>
        </w:rPr>
        <w:t xml:space="preserve"> </w:t>
      </w:r>
      <w:r w:rsidRPr="005A4B70">
        <w:rPr>
          <w:szCs w:val="20"/>
        </w:rPr>
        <w:t>the</w:t>
      </w:r>
      <w:r w:rsidR="00C64050">
        <w:rPr>
          <w:szCs w:val="20"/>
        </w:rPr>
        <w:t xml:space="preserve"> </w:t>
      </w:r>
      <w:r w:rsidRPr="005A4B70">
        <w:rPr>
          <w:szCs w:val="20"/>
        </w:rPr>
        <w:t>settlor’s</w:t>
      </w:r>
      <w:r w:rsidR="00C64050">
        <w:rPr>
          <w:szCs w:val="20"/>
        </w:rPr>
        <w:t xml:space="preserve"> </w:t>
      </w:r>
      <w:r w:rsidRPr="005A4B70">
        <w:rPr>
          <w:szCs w:val="20"/>
        </w:rPr>
        <w:t>intent</w:t>
      </w:r>
      <w:r w:rsidR="00C64050">
        <w:rPr>
          <w:szCs w:val="20"/>
        </w:rPr>
        <w:t xml:space="preserve"> </w:t>
      </w:r>
      <w:r w:rsidRPr="005A4B70">
        <w:rPr>
          <w:szCs w:val="20"/>
        </w:rPr>
        <w:t>is</w:t>
      </w:r>
      <w:r w:rsidR="00C64050">
        <w:rPr>
          <w:szCs w:val="20"/>
        </w:rPr>
        <w:t xml:space="preserve"> </w:t>
      </w:r>
      <w:r w:rsidRPr="005A4B70">
        <w:rPr>
          <w:szCs w:val="20"/>
        </w:rPr>
        <w:t>to</w:t>
      </w:r>
      <w:r w:rsidR="00C64050">
        <w:rPr>
          <w:szCs w:val="20"/>
        </w:rPr>
        <w:t xml:space="preserve"> </w:t>
      </w:r>
      <w:r w:rsidRPr="005A4B70">
        <w:rPr>
          <w:szCs w:val="20"/>
        </w:rPr>
        <w:t>require</w:t>
      </w:r>
      <w:r w:rsidR="00C64050">
        <w:rPr>
          <w:szCs w:val="20"/>
        </w:rPr>
        <w:t xml:space="preserve"> </w:t>
      </w:r>
      <w:r w:rsidRPr="005A4B70">
        <w:rPr>
          <w:szCs w:val="20"/>
        </w:rPr>
        <w:t>the</w:t>
      </w:r>
      <w:r w:rsidR="00C64050">
        <w:rPr>
          <w:szCs w:val="20"/>
        </w:rPr>
        <w:t xml:space="preserve"> </w:t>
      </w:r>
      <w:r w:rsidRPr="005A4B70">
        <w:rPr>
          <w:szCs w:val="20"/>
        </w:rPr>
        <w:t>trustee</w:t>
      </w:r>
      <w:r w:rsidR="00C64050">
        <w:rPr>
          <w:szCs w:val="20"/>
        </w:rPr>
        <w:t xml:space="preserve"> </w:t>
      </w:r>
      <w:r w:rsidRPr="005A4B70">
        <w:rPr>
          <w:szCs w:val="20"/>
        </w:rPr>
        <w:t>to</w:t>
      </w:r>
      <w:r w:rsidR="00C64050">
        <w:rPr>
          <w:szCs w:val="20"/>
        </w:rPr>
        <w:t xml:space="preserve"> </w:t>
      </w:r>
      <w:r w:rsidRPr="005A4B70">
        <w:rPr>
          <w:szCs w:val="20"/>
        </w:rPr>
        <w:t>consider</w:t>
      </w:r>
      <w:r w:rsidR="00C64050">
        <w:rPr>
          <w:szCs w:val="20"/>
        </w:rPr>
        <w:t xml:space="preserve"> </w:t>
      </w:r>
      <w:r w:rsidRPr="005A4B70">
        <w:rPr>
          <w:szCs w:val="20"/>
        </w:rPr>
        <w:t>other</w:t>
      </w:r>
      <w:r w:rsidR="00C64050">
        <w:rPr>
          <w:szCs w:val="20"/>
        </w:rPr>
        <w:t xml:space="preserve"> </w:t>
      </w:r>
      <w:r w:rsidRPr="005A4B70">
        <w:rPr>
          <w:szCs w:val="20"/>
        </w:rPr>
        <w:t>assets.</w:t>
      </w:r>
      <w:r w:rsidR="00C64050">
        <w:rPr>
          <w:szCs w:val="20"/>
        </w:rPr>
        <w:t xml:space="preserve"> </w:t>
      </w:r>
      <w:r w:rsidRPr="005A4B70">
        <w:rPr>
          <w:szCs w:val="20"/>
        </w:rPr>
        <w:t>William</w:t>
      </w:r>
      <w:r w:rsidR="00C64050">
        <w:rPr>
          <w:szCs w:val="20"/>
        </w:rPr>
        <w:t xml:space="preserve"> </w:t>
      </w:r>
      <w:r w:rsidRPr="005A4B70">
        <w:rPr>
          <w:szCs w:val="20"/>
        </w:rPr>
        <w:t>Raggio</w:t>
      </w:r>
      <w:r w:rsidR="00C64050">
        <w:rPr>
          <w:szCs w:val="20"/>
        </w:rPr>
        <w:t xml:space="preserve"> </w:t>
      </w:r>
      <w:r w:rsidRPr="005A4B70">
        <w:rPr>
          <w:szCs w:val="20"/>
        </w:rPr>
        <w:t>did</w:t>
      </w:r>
      <w:r w:rsidR="00C64050">
        <w:rPr>
          <w:szCs w:val="20"/>
        </w:rPr>
        <w:t xml:space="preserve"> </w:t>
      </w:r>
      <w:r w:rsidRPr="005A4B70">
        <w:rPr>
          <w:szCs w:val="20"/>
        </w:rPr>
        <w:t>not</w:t>
      </w:r>
      <w:r w:rsidR="00C64050">
        <w:rPr>
          <w:szCs w:val="20"/>
        </w:rPr>
        <w:t xml:space="preserve"> </w:t>
      </w:r>
      <w:r w:rsidRPr="005A4B70">
        <w:rPr>
          <w:szCs w:val="20"/>
        </w:rPr>
        <w:t>express</w:t>
      </w:r>
      <w:r w:rsidR="00C64050">
        <w:rPr>
          <w:szCs w:val="20"/>
        </w:rPr>
        <w:t xml:space="preserve"> </w:t>
      </w:r>
      <w:r w:rsidRPr="005A4B70">
        <w:rPr>
          <w:szCs w:val="20"/>
        </w:rPr>
        <w:t>that</w:t>
      </w:r>
      <w:r w:rsidR="00C64050">
        <w:rPr>
          <w:szCs w:val="20"/>
        </w:rPr>
        <w:t xml:space="preserve"> </w:t>
      </w:r>
      <w:r w:rsidRPr="005A4B70">
        <w:rPr>
          <w:szCs w:val="20"/>
        </w:rPr>
        <w:t>intent.</w:t>
      </w:r>
    </w:p>
    <w:p w:rsidR="005A4B70" w:rsidRDefault="005A4B70" w:rsidP="005A4B70">
      <w:pPr>
        <w:pStyle w:val="QS10"/>
        <w:rPr>
          <w:szCs w:val="20"/>
        </w:rPr>
      </w:pPr>
      <w:r w:rsidRPr="005A4B70">
        <w:rPr>
          <w:szCs w:val="20"/>
        </w:rPr>
        <w:t>Therefore,</w:t>
      </w:r>
      <w:r w:rsidR="00C64050">
        <w:rPr>
          <w:szCs w:val="20"/>
        </w:rPr>
        <w:t xml:space="preserve"> </w:t>
      </w:r>
      <w:r w:rsidRPr="005A4B70">
        <w:rPr>
          <w:szCs w:val="20"/>
        </w:rPr>
        <w:t>we</w:t>
      </w:r>
      <w:r w:rsidR="00C64050">
        <w:rPr>
          <w:szCs w:val="20"/>
        </w:rPr>
        <w:t xml:space="preserve"> </w:t>
      </w:r>
      <w:r w:rsidRPr="005A4B70">
        <w:rPr>
          <w:szCs w:val="20"/>
        </w:rPr>
        <w:t>conclude</w:t>
      </w:r>
      <w:r w:rsidR="00C64050">
        <w:rPr>
          <w:szCs w:val="20"/>
        </w:rPr>
        <w:t xml:space="preserve"> </w:t>
      </w:r>
      <w:r w:rsidRPr="005A4B70">
        <w:rPr>
          <w:szCs w:val="20"/>
        </w:rPr>
        <w:t>the</w:t>
      </w:r>
      <w:r w:rsidR="00C64050">
        <w:rPr>
          <w:szCs w:val="20"/>
        </w:rPr>
        <w:t xml:space="preserve"> </w:t>
      </w:r>
      <w:r w:rsidRPr="005A4B70">
        <w:rPr>
          <w:szCs w:val="20"/>
        </w:rPr>
        <w:t>district</w:t>
      </w:r>
      <w:r w:rsidR="00C64050">
        <w:rPr>
          <w:szCs w:val="20"/>
        </w:rPr>
        <w:t xml:space="preserve"> </w:t>
      </w:r>
      <w:r w:rsidRPr="005A4B70">
        <w:rPr>
          <w:szCs w:val="20"/>
        </w:rPr>
        <w:t>court</w:t>
      </w:r>
      <w:r w:rsidR="00C64050">
        <w:rPr>
          <w:szCs w:val="20"/>
        </w:rPr>
        <w:t xml:space="preserve"> </w:t>
      </w:r>
      <w:r w:rsidRPr="005A4B70">
        <w:rPr>
          <w:szCs w:val="20"/>
        </w:rPr>
        <w:t>erred</w:t>
      </w:r>
      <w:r w:rsidR="00C64050">
        <w:rPr>
          <w:szCs w:val="20"/>
        </w:rPr>
        <w:t xml:space="preserve"> </w:t>
      </w:r>
      <w:r w:rsidRPr="005A4B70">
        <w:rPr>
          <w:szCs w:val="20"/>
        </w:rPr>
        <w:t>as</w:t>
      </w:r>
      <w:r w:rsidR="00C64050">
        <w:rPr>
          <w:szCs w:val="20"/>
        </w:rPr>
        <w:t xml:space="preserve"> </w:t>
      </w:r>
      <w:r w:rsidRPr="005A4B70">
        <w:rPr>
          <w:szCs w:val="20"/>
        </w:rPr>
        <w:t>a</w:t>
      </w:r>
      <w:r w:rsidR="00C64050">
        <w:rPr>
          <w:szCs w:val="20"/>
        </w:rPr>
        <w:t xml:space="preserve"> </w:t>
      </w:r>
      <w:r w:rsidRPr="005A4B70">
        <w:rPr>
          <w:szCs w:val="20"/>
        </w:rPr>
        <w:t>matter</w:t>
      </w:r>
      <w:r w:rsidR="00C64050">
        <w:rPr>
          <w:szCs w:val="20"/>
        </w:rPr>
        <w:t xml:space="preserve"> </w:t>
      </w:r>
      <w:r w:rsidRPr="005A4B70">
        <w:rPr>
          <w:szCs w:val="20"/>
        </w:rPr>
        <w:t>of</w:t>
      </w:r>
      <w:r w:rsidR="00C64050">
        <w:rPr>
          <w:szCs w:val="20"/>
        </w:rPr>
        <w:t xml:space="preserve"> </w:t>
      </w:r>
      <w:r w:rsidRPr="005A4B70">
        <w:rPr>
          <w:szCs w:val="20"/>
        </w:rPr>
        <w:t>law</w:t>
      </w:r>
      <w:r w:rsidR="00C64050">
        <w:rPr>
          <w:szCs w:val="20"/>
        </w:rPr>
        <w:t xml:space="preserve"> </w:t>
      </w:r>
      <w:r w:rsidRPr="005A4B70">
        <w:rPr>
          <w:szCs w:val="20"/>
        </w:rPr>
        <w:t>in</w:t>
      </w:r>
      <w:r w:rsidR="00C64050">
        <w:rPr>
          <w:szCs w:val="20"/>
        </w:rPr>
        <w:t xml:space="preserve"> </w:t>
      </w:r>
      <w:r w:rsidRPr="005A4B70">
        <w:rPr>
          <w:szCs w:val="20"/>
        </w:rPr>
        <w:t>compelling</w:t>
      </w:r>
      <w:r w:rsidR="00C64050">
        <w:rPr>
          <w:szCs w:val="20"/>
        </w:rPr>
        <w:t xml:space="preserve"> </w:t>
      </w:r>
      <w:r w:rsidRPr="005A4B70">
        <w:rPr>
          <w:szCs w:val="20"/>
        </w:rPr>
        <w:t>discovery</w:t>
      </w:r>
      <w:r w:rsidR="00C64050">
        <w:rPr>
          <w:szCs w:val="20"/>
        </w:rPr>
        <w:t xml:space="preserve"> </w:t>
      </w:r>
      <w:r w:rsidRPr="005A4B70">
        <w:rPr>
          <w:szCs w:val="20"/>
        </w:rPr>
        <w:t>of</w:t>
      </w:r>
      <w:r w:rsidR="00C64050">
        <w:rPr>
          <w:szCs w:val="20"/>
        </w:rPr>
        <w:t xml:space="preserve"> </w:t>
      </w:r>
      <w:r w:rsidRPr="005A4B70">
        <w:rPr>
          <w:szCs w:val="20"/>
        </w:rPr>
        <w:t>the</w:t>
      </w:r>
      <w:r w:rsidR="00C64050">
        <w:rPr>
          <w:szCs w:val="20"/>
        </w:rPr>
        <w:t xml:space="preserve"> </w:t>
      </w:r>
      <w:r w:rsidRPr="005A4B70">
        <w:rPr>
          <w:szCs w:val="20"/>
        </w:rPr>
        <w:t>accounting</w:t>
      </w:r>
      <w:r w:rsidR="00C64050">
        <w:rPr>
          <w:szCs w:val="20"/>
        </w:rPr>
        <w:t xml:space="preserve"> </w:t>
      </w:r>
      <w:r w:rsidRPr="005A4B70">
        <w:rPr>
          <w:szCs w:val="20"/>
        </w:rPr>
        <w:t>and</w:t>
      </w:r>
      <w:r w:rsidR="00C64050">
        <w:rPr>
          <w:szCs w:val="20"/>
        </w:rPr>
        <w:t xml:space="preserve"> </w:t>
      </w:r>
      <w:r w:rsidRPr="005A4B70">
        <w:rPr>
          <w:szCs w:val="20"/>
        </w:rPr>
        <w:t>distributions</w:t>
      </w:r>
      <w:r w:rsidR="00C64050">
        <w:rPr>
          <w:szCs w:val="20"/>
        </w:rPr>
        <w:t xml:space="preserve"> </w:t>
      </w:r>
      <w:r w:rsidRPr="005A4B70">
        <w:rPr>
          <w:szCs w:val="20"/>
        </w:rPr>
        <w:t>of</w:t>
      </w:r>
      <w:r w:rsidR="00C64050">
        <w:rPr>
          <w:szCs w:val="20"/>
        </w:rPr>
        <w:t xml:space="preserve"> </w:t>
      </w:r>
      <w:r w:rsidRPr="005A4B70">
        <w:rPr>
          <w:szCs w:val="20"/>
        </w:rPr>
        <w:t>the</w:t>
      </w:r>
      <w:r w:rsidR="00C64050">
        <w:rPr>
          <w:szCs w:val="20"/>
        </w:rPr>
        <w:t xml:space="preserve"> </w:t>
      </w:r>
      <w:r w:rsidRPr="005A4B70">
        <w:rPr>
          <w:szCs w:val="20"/>
        </w:rPr>
        <w:t>Credit</w:t>
      </w:r>
      <w:r w:rsidR="00C64050">
        <w:rPr>
          <w:szCs w:val="20"/>
        </w:rPr>
        <w:t xml:space="preserve"> </w:t>
      </w:r>
      <w:r w:rsidRPr="005A4B70">
        <w:rPr>
          <w:szCs w:val="20"/>
        </w:rPr>
        <w:t>Shelter</w:t>
      </w:r>
      <w:r w:rsidR="00C64050">
        <w:rPr>
          <w:szCs w:val="20"/>
        </w:rPr>
        <w:t xml:space="preserve"> </w:t>
      </w:r>
      <w:r w:rsidRPr="005A4B70">
        <w:rPr>
          <w:szCs w:val="20"/>
        </w:rPr>
        <w:t>Trust.</w:t>
      </w:r>
      <w:r w:rsidR="00C64050">
        <w:rPr>
          <w:szCs w:val="20"/>
        </w:rPr>
        <w:t xml:space="preserve"> </w:t>
      </w:r>
      <w:r w:rsidRPr="005A4B70">
        <w:rPr>
          <w:szCs w:val="20"/>
        </w:rPr>
        <w:t>Neither</w:t>
      </w:r>
      <w:r w:rsidR="00C64050">
        <w:rPr>
          <w:szCs w:val="20"/>
        </w:rPr>
        <w:t xml:space="preserve"> </w:t>
      </w:r>
      <w:r w:rsidRPr="005A4B70">
        <w:rPr>
          <w:szCs w:val="20"/>
        </w:rPr>
        <w:t>NRS</w:t>
      </w:r>
      <w:r w:rsidR="00C64050">
        <w:rPr>
          <w:szCs w:val="20"/>
        </w:rPr>
        <w:t xml:space="preserve"> </w:t>
      </w:r>
      <w:r w:rsidRPr="005A4B70">
        <w:rPr>
          <w:szCs w:val="20"/>
        </w:rPr>
        <w:t>163.4175</w:t>
      </w:r>
      <w:r w:rsidR="00C64050">
        <w:rPr>
          <w:szCs w:val="20"/>
        </w:rPr>
        <w:t xml:space="preserve"> </w:t>
      </w:r>
      <w:r w:rsidRPr="005A4B70">
        <w:rPr>
          <w:szCs w:val="20"/>
        </w:rPr>
        <w:t>nor</w:t>
      </w:r>
      <w:r w:rsidR="00C64050">
        <w:rPr>
          <w:szCs w:val="20"/>
        </w:rPr>
        <w:t xml:space="preserve"> </w:t>
      </w:r>
      <w:r w:rsidRPr="005A4B70">
        <w:rPr>
          <w:szCs w:val="20"/>
        </w:rPr>
        <w:t>the</w:t>
      </w:r>
      <w:r w:rsidR="00C64050">
        <w:rPr>
          <w:szCs w:val="20"/>
        </w:rPr>
        <w:t xml:space="preserve"> </w:t>
      </w:r>
      <w:r w:rsidRPr="005A4B70">
        <w:rPr>
          <w:szCs w:val="20"/>
        </w:rPr>
        <w:t>Raggio</w:t>
      </w:r>
      <w:r w:rsidR="00C64050">
        <w:rPr>
          <w:szCs w:val="20"/>
        </w:rPr>
        <w:t xml:space="preserve"> </w:t>
      </w:r>
      <w:r w:rsidRPr="005A4B70">
        <w:rPr>
          <w:szCs w:val="20"/>
        </w:rPr>
        <w:t>Trust</w:t>
      </w:r>
      <w:r w:rsidR="00C64050">
        <w:rPr>
          <w:szCs w:val="20"/>
        </w:rPr>
        <w:t xml:space="preserve"> </w:t>
      </w:r>
      <w:r w:rsidRPr="005A4B70">
        <w:rPr>
          <w:szCs w:val="20"/>
        </w:rPr>
        <w:t>requires</w:t>
      </w:r>
      <w:r w:rsidR="00C64050">
        <w:rPr>
          <w:szCs w:val="20"/>
        </w:rPr>
        <w:t xml:space="preserve"> </w:t>
      </w:r>
      <w:r w:rsidRPr="005A4B70">
        <w:rPr>
          <w:szCs w:val="20"/>
        </w:rPr>
        <w:t>Dale</w:t>
      </w:r>
      <w:r w:rsidR="00C64050">
        <w:rPr>
          <w:szCs w:val="20"/>
        </w:rPr>
        <w:t xml:space="preserve"> </w:t>
      </w:r>
      <w:r w:rsidRPr="005A4B70">
        <w:rPr>
          <w:szCs w:val="20"/>
        </w:rPr>
        <w:t>to</w:t>
      </w:r>
      <w:r w:rsidR="00C64050">
        <w:rPr>
          <w:szCs w:val="20"/>
        </w:rPr>
        <w:t xml:space="preserve"> </w:t>
      </w:r>
      <w:r w:rsidRPr="005A4B70">
        <w:rPr>
          <w:szCs w:val="20"/>
        </w:rPr>
        <w:t>consider</w:t>
      </w:r>
      <w:r w:rsidR="00C64050">
        <w:rPr>
          <w:szCs w:val="20"/>
        </w:rPr>
        <w:t xml:space="preserve"> </w:t>
      </w:r>
      <w:r w:rsidRPr="005A4B70">
        <w:rPr>
          <w:szCs w:val="20"/>
        </w:rPr>
        <w:t>her</w:t>
      </w:r>
      <w:r w:rsidR="00C64050">
        <w:rPr>
          <w:szCs w:val="20"/>
        </w:rPr>
        <w:t xml:space="preserve"> </w:t>
      </w:r>
      <w:r w:rsidRPr="005A4B70">
        <w:rPr>
          <w:szCs w:val="20"/>
        </w:rPr>
        <w:t>other</w:t>
      </w:r>
      <w:r w:rsidR="00C64050">
        <w:rPr>
          <w:szCs w:val="20"/>
        </w:rPr>
        <w:t xml:space="preserve"> </w:t>
      </w:r>
      <w:r w:rsidRPr="005A4B70">
        <w:rPr>
          <w:szCs w:val="20"/>
        </w:rPr>
        <w:t>assets</w:t>
      </w:r>
      <w:r w:rsidR="00C64050">
        <w:rPr>
          <w:szCs w:val="20"/>
        </w:rPr>
        <w:t xml:space="preserve"> </w:t>
      </w:r>
      <w:r w:rsidRPr="005A4B70">
        <w:rPr>
          <w:szCs w:val="20"/>
        </w:rPr>
        <w:t>in</w:t>
      </w:r>
      <w:r w:rsidR="00C64050">
        <w:rPr>
          <w:szCs w:val="20"/>
        </w:rPr>
        <w:t xml:space="preserve"> </w:t>
      </w:r>
      <w:r w:rsidRPr="005A4B70">
        <w:rPr>
          <w:szCs w:val="20"/>
        </w:rPr>
        <w:t>making</w:t>
      </w:r>
      <w:r w:rsidR="00C64050">
        <w:rPr>
          <w:szCs w:val="20"/>
        </w:rPr>
        <w:t xml:space="preserve"> </w:t>
      </w:r>
      <w:r w:rsidRPr="005A4B70">
        <w:rPr>
          <w:szCs w:val="20"/>
        </w:rPr>
        <w:t>distributions</w:t>
      </w:r>
      <w:r w:rsidR="00C64050">
        <w:rPr>
          <w:szCs w:val="20"/>
        </w:rPr>
        <w:t xml:space="preserve"> </w:t>
      </w:r>
      <w:r w:rsidRPr="005A4B70">
        <w:rPr>
          <w:szCs w:val="20"/>
        </w:rPr>
        <w:t>from</w:t>
      </w:r>
      <w:r w:rsidR="00C64050">
        <w:rPr>
          <w:szCs w:val="20"/>
        </w:rPr>
        <w:t xml:space="preserve"> </w:t>
      </w:r>
      <w:r w:rsidRPr="005A4B70">
        <w:rPr>
          <w:szCs w:val="20"/>
        </w:rPr>
        <w:t>the</w:t>
      </w:r>
      <w:r w:rsidR="00C64050">
        <w:rPr>
          <w:szCs w:val="20"/>
        </w:rPr>
        <w:t xml:space="preserve"> </w:t>
      </w:r>
      <w:r w:rsidRPr="005A4B70">
        <w:rPr>
          <w:szCs w:val="20"/>
        </w:rPr>
        <w:t>Marital</w:t>
      </w:r>
      <w:r w:rsidR="00C64050">
        <w:rPr>
          <w:szCs w:val="20"/>
        </w:rPr>
        <w:t xml:space="preserve"> </w:t>
      </w:r>
      <w:r w:rsidRPr="005A4B70">
        <w:rPr>
          <w:szCs w:val="20"/>
        </w:rPr>
        <w:t>Trust,</w:t>
      </w:r>
      <w:r w:rsidR="00C64050">
        <w:rPr>
          <w:szCs w:val="20"/>
        </w:rPr>
        <w:t xml:space="preserve"> </w:t>
      </w:r>
      <w:r w:rsidRPr="005A4B70">
        <w:rPr>
          <w:szCs w:val="20"/>
        </w:rPr>
        <w:t>and</w:t>
      </w:r>
      <w:r w:rsidR="00C64050">
        <w:rPr>
          <w:szCs w:val="20"/>
        </w:rPr>
        <w:t xml:space="preserve"> </w:t>
      </w:r>
      <w:r w:rsidRPr="005A4B70">
        <w:rPr>
          <w:szCs w:val="20"/>
        </w:rPr>
        <w:t>thus,</w:t>
      </w:r>
      <w:r w:rsidR="00C64050">
        <w:rPr>
          <w:szCs w:val="20"/>
        </w:rPr>
        <w:t xml:space="preserve"> </w:t>
      </w:r>
      <w:r w:rsidRPr="005A4B70">
        <w:rPr>
          <w:szCs w:val="20"/>
        </w:rPr>
        <w:t>information</w:t>
      </w:r>
      <w:r w:rsidR="00C64050">
        <w:rPr>
          <w:szCs w:val="20"/>
        </w:rPr>
        <w:t xml:space="preserve"> </w:t>
      </w:r>
      <w:r w:rsidRPr="005A4B70">
        <w:rPr>
          <w:szCs w:val="20"/>
        </w:rPr>
        <w:t>about</w:t>
      </w:r>
      <w:r w:rsidR="00C64050">
        <w:rPr>
          <w:szCs w:val="20"/>
        </w:rPr>
        <w:t xml:space="preserve"> </w:t>
      </w:r>
      <w:r w:rsidRPr="005A4B70">
        <w:rPr>
          <w:szCs w:val="20"/>
        </w:rPr>
        <w:t>those</w:t>
      </w:r>
      <w:r w:rsidR="00C64050">
        <w:rPr>
          <w:szCs w:val="20"/>
        </w:rPr>
        <w:t xml:space="preserve"> </w:t>
      </w:r>
      <w:r w:rsidRPr="005A4B70">
        <w:rPr>
          <w:szCs w:val="20"/>
        </w:rPr>
        <w:t>assets</w:t>
      </w:r>
      <w:r w:rsidR="00C64050">
        <w:rPr>
          <w:szCs w:val="20"/>
        </w:rPr>
        <w:t xml:space="preserve"> </w:t>
      </w:r>
      <w:r w:rsidRPr="005A4B70">
        <w:rPr>
          <w:szCs w:val="20"/>
        </w:rPr>
        <w:t>is</w:t>
      </w:r>
      <w:r w:rsidR="00C64050">
        <w:rPr>
          <w:szCs w:val="20"/>
        </w:rPr>
        <w:t xml:space="preserve"> </w:t>
      </w:r>
      <w:r w:rsidRPr="005A4B70">
        <w:rPr>
          <w:szCs w:val="20"/>
        </w:rPr>
        <w:t>irrelevant.</w:t>
      </w:r>
    </w:p>
    <w:p w:rsidR="00643087" w:rsidRPr="00643087" w:rsidRDefault="006971C2" w:rsidP="00B66CCE">
      <w:pPr>
        <w:pStyle w:val="Heading20"/>
        <w:numPr>
          <w:ilvl w:val="1"/>
          <w:numId w:val="33"/>
        </w:numPr>
        <w:tabs>
          <w:tab w:val="clear" w:pos="2700"/>
        </w:tabs>
        <w:spacing w:before="240"/>
        <w:ind w:left="0"/>
        <w:rPr>
          <w:vanish/>
          <w:szCs w:val="20"/>
          <w:specVanish/>
        </w:rPr>
      </w:pPr>
      <w:bookmarkStart w:id="808" w:name="_Toc94704698"/>
      <w:r>
        <w:rPr>
          <w:b/>
          <w:szCs w:val="20"/>
          <w:u w:val="single"/>
        </w:rPr>
        <w:t>Georgia</w:t>
      </w:r>
      <w:r w:rsidR="00C64050">
        <w:rPr>
          <w:b/>
          <w:szCs w:val="20"/>
          <w:u w:val="single"/>
        </w:rPr>
        <w:t xml:space="preserve"> </w:t>
      </w:r>
      <w:r>
        <w:rPr>
          <w:b/>
          <w:szCs w:val="20"/>
          <w:u w:val="single"/>
        </w:rPr>
        <w:t>Allows</w:t>
      </w:r>
      <w:r w:rsidR="00C64050">
        <w:rPr>
          <w:b/>
          <w:szCs w:val="20"/>
          <w:u w:val="single"/>
        </w:rPr>
        <w:t xml:space="preserve"> </w:t>
      </w:r>
      <w:r>
        <w:rPr>
          <w:b/>
          <w:szCs w:val="20"/>
          <w:u w:val="single"/>
        </w:rPr>
        <w:t>Beneficiaries</w:t>
      </w:r>
      <w:r w:rsidR="00C64050">
        <w:rPr>
          <w:b/>
          <w:szCs w:val="20"/>
          <w:u w:val="single"/>
        </w:rPr>
        <w:t xml:space="preserve"> </w:t>
      </w:r>
      <w:r>
        <w:rPr>
          <w:b/>
          <w:szCs w:val="20"/>
          <w:u w:val="single"/>
        </w:rPr>
        <w:t>To</w:t>
      </w:r>
      <w:r w:rsidR="00C64050">
        <w:rPr>
          <w:b/>
          <w:szCs w:val="20"/>
          <w:u w:val="single"/>
        </w:rPr>
        <w:t xml:space="preserve"> </w:t>
      </w:r>
      <w:r>
        <w:rPr>
          <w:b/>
          <w:szCs w:val="20"/>
          <w:u w:val="single"/>
        </w:rPr>
        <w:t>Amend</w:t>
      </w:r>
      <w:r w:rsidR="00C64050">
        <w:rPr>
          <w:b/>
          <w:szCs w:val="20"/>
          <w:u w:val="single"/>
        </w:rPr>
        <w:t xml:space="preserve"> </w:t>
      </w:r>
      <w:r>
        <w:rPr>
          <w:b/>
          <w:szCs w:val="20"/>
          <w:u w:val="single"/>
        </w:rPr>
        <w:t>Trust</w:t>
      </w:r>
      <w:r w:rsidR="00C64050">
        <w:rPr>
          <w:b/>
          <w:szCs w:val="20"/>
          <w:u w:val="single"/>
        </w:rPr>
        <w:t xml:space="preserve"> </w:t>
      </w:r>
      <w:r>
        <w:rPr>
          <w:b/>
          <w:szCs w:val="20"/>
          <w:u w:val="single"/>
        </w:rPr>
        <w:t>To</w:t>
      </w:r>
      <w:r w:rsidR="00C64050">
        <w:rPr>
          <w:b/>
          <w:szCs w:val="20"/>
          <w:u w:val="single"/>
        </w:rPr>
        <w:t xml:space="preserve"> </w:t>
      </w:r>
      <w:r>
        <w:rPr>
          <w:b/>
          <w:szCs w:val="20"/>
          <w:u w:val="single"/>
        </w:rPr>
        <w:t>Give</w:t>
      </w:r>
      <w:r w:rsidR="00C64050">
        <w:rPr>
          <w:b/>
          <w:szCs w:val="20"/>
          <w:u w:val="single"/>
        </w:rPr>
        <w:t xml:space="preserve"> </w:t>
      </w:r>
      <w:r>
        <w:rPr>
          <w:b/>
          <w:szCs w:val="20"/>
          <w:u w:val="single"/>
        </w:rPr>
        <w:t>Themselves</w:t>
      </w:r>
      <w:r w:rsidR="00C64050">
        <w:rPr>
          <w:b/>
          <w:szCs w:val="20"/>
          <w:u w:val="single"/>
        </w:rPr>
        <w:t xml:space="preserve"> </w:t>
      </w:r>
      <w:r>
        <w:rPr>
          <w:b/>
          <w:szCs w:val="20"/>
          <w:u w:val="single"/>
        </w:rPr>
        <w:t>The</w:t>
      </w:r>
      <w:r w:rsidR="00C64050">
        <w:rPr>
          <w:b/>
          <w:szCs w:val="20"/>
          <w:u w:val="single"/>
        </w:rPr>
        <w:t xml:space="preserve"> </w:t>
      </w:r>
      <w:r>
        <w:rPr>
          <w:b/>
          <w:szCs w:val="20"/>
          <w:u w:val="single"/>
        </w:rPr>
        <w:t>Power</w:t>
      </w:r>
      <w:r w:rsidR="00C64050">
        <w:rPr>
          <w:b/>
          <w:szCs w:val="20"/>
          <w:u w:val="single"/>
        </w:rPr>
        <w:t xml:space="preserve"> </w:t>
      </w:r>
      <w:r>
        <w:rPr>
          <w:b/>
          <w:szCs w:val="20"/>
          <w:u w:val="single"/>
        </w:rPr>
        <w:t>To</w:t>
      </w:r>
      <w:r w:rsidR="00C64050">
        <w:rPr>
          <w:b/>
          <w:szCs w:val="20"/>
          <w:u w:val="single"/>
        </w:rPr>
        <w:t xml:space="preserve"> </w:t>
      </w:r>
      <w:r>
        <w:rPr>
          <w:b/>
          <w:szCs w:val="20"/>
          <w:u w:val="single"/>
        </w:rPr>
        <w:t>Remove</w:t>
      </w:r>
      <w:r w:rsidR="00C64050">
        <w:rPr>
          <w:b/>
          <w:szCs w:val="20"/>
          <w:u w:val="single"/>
        </w:rPr>
        <w:t xml:space="preserve"> </w:t>
      </w:r>
      <w:r>
        <w:rPr>
          <w:b/>
          <w:szCs w:val="20"/>
          <w:u w:val="single"/>
        </w:rPr>
        <w:t>And</w:t>
      </w:r>
      <w:r w:rsidR="00C64050">
        <w:rPr>
          <w:b/>
          <w:szCs w:val="20"/>
          <w:u w:val="single"/>
        </w:rPr>
        <w:t xml:space="preserve"> </w:t>
      </w:r>
      <w:r>
        <w:rPr>
          <w:b/>
          <w:szCs w:val="20"/>
          <w:u w:val="single"/>
        </w:rPr>
        <w:t>Replace</w:t>
      </w:r>
      <w:r w:rsidR="00C64050">
        <w:rPr>
          <w:b/>
          <w:szCs w:val="20"/>
          <w:u w:val="single"/>
        </w:rPr>
        <w:t xml:space="preserve"> </w:t>
      </w:r>
      <w:r>
        <w:rPr>
          <w:b/>
          <w:szCs w:val="20"/>
          <w:u w:val="single"/>
        </w:rPr>
        <w:t>Trustees</w:t>
      </w:r>
      <w:bookmarkEnd w:id="808"/>
    </w:p>
    <w:p w:rsidR="004C677D" w:rsidRDefault="006971C2" w:rsidP="00643087">
      <w:pPr>
        <w:pStyle w:val="Heading2Body"/>
      </w:pPr>
      <w:r>
        <w:t>.</w:t>
      </w:r>
      <w:r w:rsidR="00C64050">
        <w:t xml:space="preserve">  </w:t>
      </w:r>
      <w:r w:rsidR="00E16141">
        <w:t xml:space="preserve">In </w:t>
      </w:r>
      <w:r w:rsidR="00E16141">
        <w:rPr>
          <w:u w:val="single"/>
        </w:rPr>
        <w:t>Trust Under Agreement of Taylor</w:t>
      </w:r>
      <w:r w:rsidR="00E16141">
        <w:t>, 164 A.3d 1147 (Pa. 2017), the Pennsylvania Supreme Court held that an otherwise valid amendment to a trust under the uniform act would not be valid if the purpose of the amendment was to allow beneficiaries to remove and replace the trustee.  The court reasoned that the uniform act had specific provisions dealing with trustee removal.</w:t>
      </w:r>
      <w:r w:rsidR="00E1222F">
        <w:t xml:space="preserve">  </w:t>
      </w:r>
    </w:p>
    <w:p w:rsidR="00D715BB" w:rsidRDefault="006971C2" w:rsidP="00643087">
      <w:pPr>
        <w:pStyle w:val="Heading2Body"/>
      </w:pPr>
      <w:r>
        <w:t>Georgia</w:t>
      </w:r>
      <w:r w:rsidR="00C64050">
        <w:t xml:space="preserve"> </w:t>
      </w:r>
      <w:r>
        <w:t>has</w:t>
      </w:r>
      <w:r w:rsidR="00C64050">
        <w:t xml:space="preserve"> </w:t>
      </w:r>
      <w:r>
        <w:t>not</w:t>
      </w:r>
      <w:r w:rsidR="00C64050">
        <w:t xml:space="preserve"> </w:t>
      </w:r>
      <w:r>
        <w:t>adopted</w:t>
      </w:r>
      <w:r w:rsidR="00C64050">
        <w:t xml:space="preserve"> </w:t>
      </w:r>
      <w:r>
        <w:t>the</w:t>
      </w:r>
      <w:r w:rsidR="00C64050">
        <w:t xml:space="preserve"> </w:t>
      </w:r>
      <w:r>
        <w:t>Uniform</w:t>
      </w:r>
      <w:r w:rsidR="00C64050">
        <w:t xml:space="preserve"> </w:t>
      </w:r>
      <w:r>
        <w:t>Trust</w:t>
      </w:r>
      <w:r w:rsidR="00C64050">
        <w:t xml:space="preserve"> </w:t>
      </w:r>
      <w:r>
        <w:t>Code</w:t>
      </w:r>
      <w:r w:rsidR="00C64050">
        <w:t xml:space="preserve"> </w:t>
      </w:r>
      <w:r>
        <w:t>but</w:t>
      </w:r>
      <w:r w:rsidR="00C64050">
        <w:t xml:space="preserve"> </w:t>
      </w:r>
      <w:r>
        <w:t>has</w:t>
      </w:r>
      <w:r w:rsidR="00C64050">
        <w:t xml:space="preserve"> </w:t>
      </w:r>
      <w:r>
        <w:t>several</w:t>
      </w:r>
      <w:r w:rsidR="00C64050">
        <w:t xml:space="preserve"> </w:t>
      </w:r>
      <w:r>
        <w:t>provisions</w:t>
      </w:r>
      <w:r w:rsidR="00C64050">
        <w:t xml:space="preserve"> </w:t>
      </w:r>
      <w:r>
        <w:t>that</w:t>
      </w:r>
      <w:r w:rsidR="00C64050">
        <w:t xml:space="preserve"> </w:t>
      </w:r>
      <w:r>
        <w:t>are</w:t>
      </w:r>
      <w:r w:rsidR="00C64050">
        <w:t xml:space="preserve"> </w:t>
      </w:r>
      <w:r>
        <w:t>similar.</w:t>
      </w:r>
      <w:r w:rsidR="00C64050">
        <w:t xml:space="preserve">  </w:t>
      </w:r>
      <w:r>
        <w:t>The</w:t>
      </w:r>
      <w:r w:rsidR="00C64050">
        <w:t xml:space="preserve"> </w:t>
      </w:r>
      <w:r>
        <w:t>Beneficiaries</w:t>
      </w:r>
      <w:r w:rsidR="00C64050">
        <w:t xml:space="preserve"> </w:t>
      </w:r>
      <w:r>
        <w:t>of</w:t>
      </w:r>
      <w:r w:rsidR="00C64050">
        <w:t xml:space="preserve"> </w:t>
      </w:r>
      <w:r>
        <w:t>a</w:t>
      </w:r>
      <w:r w:rsidR="00C64050">
        <w:t xml:space="preserve"> </w:t>
      </w:r>
      <w:r>
        <w:t>trust</w:t>
      </w:r>
      <w:r w:rsidR="00C64050">
        <w:t xml:space="preserve"> </w:t>
      </w:r>
      <w:r>
        <w:t>may</w:t>
      </w:r>
      <w:r w:rsidR="00C64050">
        <w:t xml:space="preserve"> </w:t>
      </w:r>
      <w:r>
        <w:t>modify</w:t>
      </w:r>
      <w:r w:rsidR="00C64050">
        <w:t xml:space="preserve"> </w:t>
      </w:r>
      <w:r>
        <w:t>the</w:t>
      </w:r>
      <w:r w:rsidR="00C64050">
        <w:t xml:space="preserve"> </w:t>
      </w:r>
      <w:r>
        <w:t>trust</w:t>
      </w:r>
      <w:r w:rsidR="00C64050">
        <w:t xml:space="preserve"> </w:t>
      </w:r>
      <w:r>
        <w:t>if</w:t>
      </w:r>
      <w:r w:rsidR="00C64050">
        <w:t xml:space="preserve"> </w:t>
      </w:r>
      <w:r>
        <w:t>they</w:t>
      </w:r>
      <w:r w:rsidR="00C64050">
        <w:t xml:space="preserve"> </w:t>
      </w:r>
      <w:r>
        <w:t>all</w:t>
      </w:r>
      <w:r w:rsidR="00C64050">
        <w:t xml:space="preserve"> </w:t>
      </w:r>
      <w:r>
        <w:t>agree,</w:t>
      </w:r>
      <w:r w:rsidR="00C64050">
        <w:t xml:space="preserve"> </w:t>
      </w:r>
      <w:r>
        <w:t>the</w:t>
      </w:r>
      <w:r w:rsidR="00C64050">
        <w:t xml:space="preserve"> </w:t>
      </w:r>
      <w:r>
        <w:t>trustee</w:t>
      </w:r>
      <w:r w:rsidR="00C64050">
        <w:t xml:space="preserve"> </w:t>
      </w:r>
      <w:r>
        <w:t>receives</w:t>
      </w:r>
      <w:r w:rsidR="00C64050">
        <w:t xml:space="preserve"> </w:t>
      </w:r>
      <w:r>
        <w:t>notice,</w:t>
      </w:r>
      <w:r w:rsidR="00C64050">
        <w:t xml:space="preserve"> </w:t>
      </w:r>
      <w:r>
        <w:t>and</w:t>
      </w:r>
      <w:r w:rsidR="00C64050">
        <w:t xml:space="preserve"> </w:t>
      </w:r>
      <w:r>
        <w:t>a</w:t>
      </w:r>
      <w:r w:rsidR="00C64050">
        <w:t xml:space="preserve"> </w:t>
      </w:r>
      <w:r>
        <w:t>court</w:t>
      </w:r>
      <w:r w:rsidR="00C64050">
        <w:t xml:space="preserve"> </w:t>
      </w:r>
      <w:r>
        <w:t>finds</w:t>
      </w:r>
      <w:r w:rsidR="00C64050">
        <w:t xml:space="preserve"> </w:t>
      </w:r>
      <w:r>
        <w:t>no</w:t>
      </w:r>
      <w:r w:rsidR="00C64050">
        <w:t xml:space="preserve"> </w:t>
      </w:r>
      <w:r>
        <w:t>violation</w:t>
      </w:r>
      <w:r w:rsidR="00C64050">
        <w:t xml:space="preserve"> </w:t>
      </w:r>
      <w:r>
        <w:t>of</w:t>
      </w:r>
      <w:r w:rsidR="00C64050">
        <w:t xml:space="preserve"> </w:t>
      </w:r>
      <w:r>
        <w:t>a</w:t>
      </w:r>
      <w:r w:rsidR="00C64050">
        <w:t xml:space="preserve"> </w:t>
      </w:r>
      <w:r>
        <w:t>material</w:t>
      </w:r>
      <w:r w:rsidR="00C64050">
        <w:t xml:space="preserve"> </w:t>
      </w:r>
      <w:r>
        <w:t>purpose,</w:t>
      </w:r>
      <w:r w:rsidR="00C64050">
        <w:t xml:space="preserve"> </w:t>
      </w:r>
      <w:r>
        <w:rPr>
          <w:u w:val="single"/>
        </w:rPr>
        <w:t>and</w:t>
      </w:r>
      <w:r>
        <w:t>,</w:t>
      </w:r>
      <w:r w:rsidR="00C64050">
        <w:t xml:space="preserve"> </w:t>
      </w:r>
      <w:r>
        <w:t>if</w:t>
      </w:r>
      <w:r w:rsidR="00C64050">
        <w:t xml:space="preserve"> </w:t>
      </w:r>
      <w:r>
        <w:t>the</w:t>
      </w:r>
      <w:r w:rsidR="00C64050">
        <w:t xml:space="preserve"> </w:t>
      </w:r>
      <w:r>
        <w:t>settlor</w:t>
      </w:r>
      <w:r w:rsidR="00C64050">
        <w:t xml:space="preserve"> </w:t>
      </w:r>
      <w:r>
        <w:t>is</w:t>
      </w:r>
      <w:r w:rsidR="00C64050">
        <w:t xml:space="preserve"> </w:t>
      </w:r>
      <w:r>
        <w:t>dead.</w:t>
      </w:r>
      <w:r w:rsidR="00C64050">
        <w:t xml:space="preserve">  </w:t>
      </w:r>
      <w:r>
        <w:t>OCGA</w:t>
      </w:r>
      <w:r w:rsidR="00C64050">
        <w:t xml:space="preserve"> </w:t>
      </w:r>
      <w:r>
        <w:t>§</w:t>
      </w:r>
      <w:r w:rsidR="00C64050">
        <w:t xml:space="preserve"> </w:t>
      </w:r>
      <w:r>
        <w:t>53-12-61(c)(1).</w:t>
      </w:r>
      <w:r w:rsidR="00C64050">
        <w:t xml:space="preserve">  </w:t>
      </w:r>
      <w:r>
        <w:t>There</w:t>
      </w:r>
      <w:r w:rsidR="00C64050">
        <w:t xml:space="preserve"> </w:t>
      </w:r>
      <w:r>
        <w:t>is</w:t>
      </w:r>
      <w:r w:rsidR="00C64050">
        <w:t xml:space="preserve"> </w:t>
      </w:r>
      <w:r>
        <w:t>also</w:t>
      </w:r>
      <w:r w:rsidR="00C64050">
        <w:t xml:space="preserve"> </w:t>
      </w:r>
      <w:r>
        <w:t>a</w:t>
      </w:r>
      <w:r w:rsidR="00C64050">
        <w:t xml:space="preserve"> </w:t>
      </w:r>
      <w:r>
        <w:t>trustee</w:t>
      </w:r>
      <w:r w:rsidR="00C64050">
        <w:t xml:space="preserve"> </w:t>
      </w:r>
      <w:r>
        <w:t>removal</w:t>
      </w:r>
      <w:r w:rsidR="00C64050">
        <w:t xml:space="preserve"> </w:t>
      </w:r>
      <w:r>
        <w:t>provision,</w:t>
      </w:r>
      <w:r w:rsidR="00C64050">
        <w:t xml:space="preserve"> </w:t>
      </w:r>
      <w:r>
        <w:t>OCGA</w:t>
      </w:r>
      <w:r w:rsidR="00C64050">
        <w:t xml:space="preserve"> </w:t>
      </w:r>
      <w:r>
        <w:t>§</w:t>
      </w:r>
      <w:r w:rsidR="00C64050">
        <w:t xml:space="preserve"> </w:t>
      </w:r>
      <w:r>
        <w:t>53-12-221(a),</w:t>
      </w:r>
      <w:r w:rsidR="00C64050">
        <w:t xml:space="preserve"> </w:t>
      </w:r>
      <w:r>
        <w:t>that</w:t>
      </w:r>
      <w:r w:rsidR="00C64050">
        <w:t xml:space="preserve"> </w:t>
      </w:r>
      <w:r>
        <w:t>allows</w:t>
      </w:r>
      <w:r w:rsidR="00C64050">
        <w:t xml:space="preserve"> </w:t>
      </w:r>
      <w:r>
        <w:t>removal</w:t>
      </w:r>
      <w:r w:rsidR="00C64050">
        <w:t xml:space="preserve"> </w:t>
      </w:r>
      <w:r>
        <w:t>per</w:t>
      </w:r>
      <w:r w:rsidR="00C64050">
        <w:t xml:space="preserve"> </w:t>
      </w:r>
      <w:r>
        <w:t>t</w:t>
      </w:r>
      <w:r w:rsidR="00D715BB">
        <w:t>h</w:t>
      </w:r>
      <w:r>
        <w:t>e</w:t>
      </w:r>
      <w:r w:rsidR="00C64050">
        <w:t xml:space="preserve"> </w:t>
      </w:r>
      <w:r>
        <w:t>terms</w:t>
      </w:r>
      <w:r w:rsidR="00C64050">
        <w:t xml:space="preserve"> </w:t>
      </w:r>
      <w:r>
        <w:t>of</w:t>
      </w:r>
      <w:r w:rsidR="00C64050">
        <w:t xml:space="preserve"> </w:t>
      </w:r>
      <w:r>
        <w:t>the</w:t>
      </w:r>
      <w:r w:rsidR="00C64050">
        <w:t xml:space="preserve"> </w:t>
      </w:r>
      <w:r>
        <w:t>trust</w:t>
      </w:r>
      <w:r w:rsidR="00C64050">
        <w:t xml:space="preserve"> </w:t>
      </w:r>
      <w:r>
        <w:t>instrument,</w:t>
      </w:r>
      <w:r w:rsidR="00C64050">
        <w:t xml:space="preserve"> </w:t>
      </w:r>
      <w:r>
        <w:t>or</w:t>
      </w:r>
      <w:r w:rsidR="00C64050">
        <w:t xml:space="preserve"> </w:t>
      </w:r>
      <w:r>
        <w:t>upon</w:t>
      </w:r>
      <w:r w:rsidR="00C64050">
        <w:t xml:space="preserve"> </w:t>
      </w:r>
      <w:r>
        <w:t>petition</w:t>
      </w:r>
      <w:r w:rsidR="00C64050">
        <w:t xml:space="preserve"> </w:t>
      </w:r>
      <w:r>
        <w:t>to</w:t>
      </w:r>
      <w:r w:rsidR="00C64050">
        <w:t xml:space="preserve"> </w:t>
      </w:r>
      <w:r>
        <w:t>a</w:t>
      </w:r>
      <w:r w:rsidR="00C64050">
        <w:t xml:space="preserve"> </w:t>
      </w:r>
      <w:r>
        <w:t>court</w:t>
      </w:r>
      <w:r w:rsidR="00C64050">
        <w:t xml:space="preserve"> </w:t>
      </w:r>
      <w:r>
        <w:t>showing</w:t>
      </w:r>
      <w:r w:rsidR="00C64050">
        <w:t xml:space="preserve"> </w:t>
      </w:r>
      <w:r>
        <w:t>“good</w:t>
      </w:r>
      <w:r w:rsidR="00C64050">
        <w:t xml:space="preserve"> </w:t>
      </w:r>
      <w:r>
        <w:t>cause.”</w:t>
      </w:r>
      <w:r w:rsidR="00C64050">
        <w:t xml:space="preserve">  </w:t>
      </w:r>
    </w:p>
    <w:p w:rsidR="006971C2" w:rsidRDefault="006971C2" w:rsidP="00D715BB">
      <w:pPr>
        <w:pStyle w:val="Body15"/>
        <w:rPr>
          <w:szCs w:val="20"/>
        </w:rPr>
      </w:pPr>
      <w:r>
        <w:rPr>
          <w:szCs w:val="20"/>
        </w:rPr>
        <w:t>In</w:t>
      </w:r>
      <w:r w:rsidR="00C64050">
        <w:rPr>
          <w:szCs w:val="20"/>
        </w:rPr>
        <w:t xml:space="preserve"> </w:t>
      </w:r>
      <w:r>
        <w:rPr>
          <w:szCs w:val="20"/>
          <w:u w:val="single"/>
        </w:rPr>
        <w:t>Glass</w:t>
      </w:r>
      <w:r w:rsidR="00C64050">
        <w:rPr>
          <w:szCs w:val="20"/>
          <w:u w:val="single"/>
        </w:rPr>
        <w:t xml:space="preserve"> </w:t>
      </w:r>
      <w:r>
        <w:rPr>
          <w:szCs w:val="20"/>
          <w:u w:val="single"/>
        </w:rPr>
        <w:t>v.</w:t>
      </w:r>
      <w:r w:rsidR="00C64050">
        <w:rPr>
          <w:szCs w:val="20"/>
          <w:u w:val="single"/>
        </w:rPr>
        <w:t xml:space="preserve"> </w:t>
      </w:r>
      <w:r>
        <w:rPr>
          <w:szCs w:val="20"/>
          <w:u w:val="single"/>
        </w:rPr>
        <w:t>Faircloth</w:t>
      </w:r>
      <w:r>
        <w:rPr>
          <w:szCs w:val="20"/>
        </w:rPr>
        <w:t>,</w:t>
      </w:r>
      <w:r w:rsidR="00C64050">
        <w:rPr>
          <w:szCs w:val="20"/>
        </w:rPr>
        <w:t xml:space="preserve"> </w:t>
      </w:r>
      <w:r>
        <w:rPr>
          <w:szCs w:val="20"/>
        </w:rPr>
        <w:t>840</w:t>
      </w:r>
      <w:r w:rsidR="00C64050">
        <w:rPr>
          <w:szCs w:val="20"/>
        </w:rPr>
        <w:t xml:space="preserve"> </w:t>
      </w:r>
      <w:r>
        <w:rPr>
          <w:szCs w:val="20"/>
        </w:rPr>
        <w:t>S.E.2d</w:t>
      </w:r>
      <w:r w:rsidR="00C64050">
        <w:rPr>
          <w:szCs w:val="20"/>
        </w:rPr>
        <w:t xml:space="preserve"> </w:t>
      </w:r>
      <w:r>
        <w:rPr>
          <w:szCs w:val="20"/>
        </w:rPr>
        <w:t>724</w:t>
      </w:r>
      <w:r w:rsidR="00C64050">
        <w:rPr>
          <w:szCs w:val="20"/>
        </w:rPr>
        <w:t xml:space="preserve"> </w:t>
      </w:r>
      <w:r>
        <w:rPr>
          <w:szCs w:val="20"/>
        </w:rPr>
        <w:t>(Ga.</w:t>
      </w:r>
      <w:r w:rsidR="00C64050">
        <w:rPr>
          <w:szCs w:val="20"/>
        </w:rPr>
        <w:t xml:space="preserve"> </w:t>
      </w:r>
      <w:r>
        <w:rPr>
          <w:szCs w:val="20"/>
        </w:rPr>
        <w:t>App.</w:t>
      </w:r>
      <w:r w:rsidR="00C64050">
        <w:rPr>
          <w:szCs w:val="20"/>
        </w:rPr>
        <w:t xml:space="preserve"> </w:t>
      </w:r>
      <w:r>
        <w:rPr>
          <w:szCs w:val="20"/>
        </w:rPr>
        <w:t>2020</w:t>
      </w:r>
      <w:r w:rsidR="00D715BB">
        <w:rPr>
          <w:szCs w:val="20"/>
        </w:rPr>
        <w:t>)</w:t>
      </w:r>
      <w:r>
        <w:rPr>
          <w:szCs w:val="20"/>
        </w:rPr>
        <w:t>,</w:t>
      </w:r>
      <w:r w:rsidR="00C64050">
        <w:rPr>
          <w:szCs w:val="20"/>
        </w:rPr>
        <w:t xml:space="preserve"> </w:t>
      </w:r>
      <w:r>
        <w:rPr>
          <w:szCs w:val="20"/>
        </w:rPr>
        <w:t>the</w:t>
      </w:r>
      <w:r w:rsidR="00C64050">
        <w:rPr>
          <w:szCs w:val="20"/>
        </w:rPr>
        <w:t xml:space="preserve"> </w:t>
      </w:r>
      <w:r>
        <w:rPr>
          <w:szCs w:val="20"/>
        </w:rPr>
        <w:t>beneficiaries</w:t>
      </w:r>
      <w:r w:rsidR="00C64050">
        <w:rPr>
          <w:szCs w:val="20"/>
        </w:rPr>
        <w:t xml:space="preserve"> </w:t>
      </w:r>
      <w:r>
        <w:rPr>
          <w:szCs w:val="20"/>
        </w:rPr>
        <w:t>wanted</w:t>
      </w:r>
      <w:r w:rsidR="00C64050">
        <w:rPr>
          <w:szCs w:val="20"/>
        </w:rPr>
        <w:t xml:space="preserve"> </w:t>
      </w:r>
      <w:r>
        <w:rPr>
          <w:szCs w:val="20"/>
        </w:rPr>
        <w:t>to</w:t>
      </w:r>
      <w:r w:rsidR="00C64050">
        <w:rPr>
          <w:szCs w:val="20"/>
        </w:rPr>
        <w:t xml:space="preserve"> </w:t>
      </w:r>
      <w:r>
        <w:rPr>
          <w:szCs w:val="20"/>
        </w:rPr>
        <w:t>change</w:t>
      </w:r>
      <w:r w:rsidR="00C64050">
        <w:rPr>
          <w:szCs w:val="20"/>
        </w:rPr>
        <w:t xml:space="preserve"> </w:t>
      </w:r>
      <w:r>
        <w:rPr>
          <w:szCs w:val="20"/>
        </w:rPr>
        <w:t>trustees</w:t>
      </w:r>
      <w:r w:rsidR="00C64050">
        <w:rPr>
          <w:szCs w:val="20"/>
        </w:rPr>
        <w:t xml:space="preserve"> </w:t>
      </w:r>
      <w:r>
        <w:rPr>
          <w:szCs w:val="20"/>
        </w:rPr>
        <w:t>in</w:t>
      </w:r>
      <w:r w:rsidR="00C64050">
        <w:rPr>
          <w:szCs w:val="20"/>
        </w:rPr>
        <w:t xml:space="preserve"> </w:t>
      </w:r>
      <w:r>
        <w:rPr>
          <w:szCs w:val="20"/>
        </w:rPr>
        <w:t>a</w:t>
      </w:r>
      <w:r w:rsidR="00C64050">
        <w:rPr>
          <w:szCs w:val="20"/>
        </w:rPr>
        <w:t xml:space="preserve"> </w:t>
      </w:r>
      <w:r>
        <w:rPr>
          <w:szCs w:val="20"/>
        </w:rPr>
        <w:t>fee</w:t>
      </w:r>
      <w:r w:rsidR="00C64050">
        <w:rPr>
          <w:szCs w:val="20"/>
        </w:rPr>
        <w:t xml:space="preserve"> </w:t>
      </w:r>
      <w:r>
        <w:rPr>
          <w:szCs w:val="20"/>
        </w:rPr>
        <w:t>dispute.</w:t>
      </w:r>
      <w:r w:rsidR="00C64050">
        <w:rPr>
          <w:szCs w:val="20"/>
        </w:rPr>
        <w:t xml:space="preserve">  </w:t>
      </w:r>
      <w:r>
        <w:rPr>
          <w:szCs w:val="20"/>
        </w:rPr>
        <w:t>Interestingly,</w:t>
      </w:r>
      <w:r w:rsidR="00C64050">
        <w:rPr>
          <w:szCs w:val="20"/>
        </w:rPr>
        <w:t xml:space="preserve"> </w:t>
      </w:r>
      <w:r>
        <w:rPr>
          <w:szCs w:val="20"/>
        </w:rPr>
        <w:t>the</w:t>
      </w:r>
      <w:r w:rsidR="00C64050">
        <w:rPr>
          <w:szCs w:val="20"/>
        </w:rPr>
        <w:t xml:space="preserve"> </w:t>
      </w:r>
      <w:r>
        <w:rPr>
          <w:szCs w:val="20"/>
        </w:rPr>
        <w:t>court</w:t>
      </w:r>
      <w:r w:rsidR="00C64050">
        <w:rPr>
          <w:szCs w:val="20"/>
        </w:rPr>
        <w:t xml:space="preserve"> </w:t>
      </w:r>
      <w:r>
        <w:rPr>
          <w:szCs w:val="20"/>
        </w:rPr>
        <w:t>noted</w:t>
      </w:r>
      <w:r w:rsidR="00C64050">
        <w:rPr>
          <w:szCs w:val="20"/>
        </w:rPr>
        <w:t xml:space="preserve"> </w:t>
      </w:r>
      <w:r>
        <w:rPr>
          <w:szCs w:val="20"/>
        </w:rPr>
        <w:t>that</w:t>
      </w:r>
      <w:r w:rsidR="00C64050">
        <w:rPr>
          <w:szCs w:val="20"/>
        </w:rPr>
        <w:t xml:space="preserve"> </w:t>
      </w:r>
      <w:r>
        <w:rPr>
          <w:szCs w:val="20"/>
        </w:rPr>
        <w:t>because</w:t>
      </w:r>
      <w:r w:rsidR="00C64050">
        <w:rPr>
          <w:szCs w:val="20"/>
        </w:rPr>
        <w:t xml:space="preserve"> </w:t>
      </w:r>
      <w:r>
        <w:rPr>
          <w:szCs w:val="20"/>
        </w:rPr>
        <w:t>the</w:t>
      </w:r>
      <w:r w:rsidR="00C64050">
        <w:rPr>
          <w:szCs w:val="20"/>
        </w:rPr>
        <w:t xml:space="preserve"> </w:t>
      </w:r>
      <w:r>
        <w:rPr>
          <w:szCs w:val="20"/>
        </w:rPr>
        <w:t>beneficiaries</w:t>
      </w:r>
      <w:r w:rsidR="00C64050">
        <w:rPr>
          <w:szCs w:val="20"/>
        </w:rPr>
        <w:t xml:space="preserve"> </w:t>
      </w:r>
      <w:r>
        <w:rPr>
          <w:szCs w:val="20"/>
        </w:rPr>
        <w:t>could</w:t>
      </w:r>
      <w:r w:rsidR="00C64050">
        <w:rPr>
          <w:szCs w:val="20"/>
        </w:rPr>
        <w:t xml:space="preserve"> </w:t>
      </w:r>
      <w:r>
        <w:rPr>
          <w:szCs w:val="20"/>
        </w:rPr>
        <w:t>amend</w:t>
      </w:r>
      <w:r w:rsidR="00C64050">
        <w:rPr>
          <w:szCs w:val="20"/>
        </w:rPr>
        <w:t xml:space="preserve"> </w:t>
      </w:r>
      <w:r>
        <w:rPr>
          <w:szCs w:val="20"/>
        </w:rPr>
        <w:t>the</w:t>
      </w:r>
      <w:r w:rsidR="00C64050">
        <w:rPr>
          <w:szCs w:val="20"/>
        </w:rPr>
        <w:t xml:space="preserve"> </w:t>
      </w:r>
      <w:r>
        <w:rPr>
          <w:szCs w:val="20"/>
        </w:rPr>
        <w:t>trust</w:t>
      </w:r>
      <w:r w:rsidR="00C64050">
        <w:rPr>
          <w:szCs w:val="20"/>
        </w:rPr>
        <w:t xml:space="preserve"> </w:t>
      </w:r>
      <w:r>
        <w:rPr>
          <w:szCs w:val="20"/>
        </w:rPr>
        <w:t>under</w:t>
      </w:r>
      <w:r w:rsidR="00C64050">
        <w:rPr>
          <w:szCs w:val="20"/>
        </w:rPr>
        <w:t xml:space="preserve"> </w:t>
      </w:r>
      <w:r>
        <w:rPr>
          <w:szCs w:val="20"/>
        </w:rPr>
        <w:t>Georgia</w:t>
      </w:r>
      <w:r w:rsidR="00C64050">
        <w:rPr>
          <w:szCs w:val="20"/>
        </w:rPr>
        <w:t xml:space="preserve"> </w:t>
      </w:r>
      <w:r>
        <w:rPr>
          <w:szCs w:val="20"/>
        </w:rPr>
        <w:t>law,</w:t>
      </w:r>
      <w:r w:rsidR="00C64050">
        <w:rPr>
          <w:szCs w:val="20"/>
        </w:rPr>
        <w:t xml:space="preserve"> </w:t>
      </w:r>
      <w:r>
        <w:rPr>
          <w:szCs w:val="20"/>
        </w:rPr>
        <w:t>it</w:t>
      </w:r>
      <w:r w:rsidR="00C64050">
        <w:rPr>
          <w:szCs w:val="20"/>
        </w:rPr>
        <w:t xml:space="preserve"> </w:t>
      </w:r>
      <w:r>
        <w:rPr>
          <w:szCs w:val="20"/>
        </w:rPr>
        <w:t>did</w:t>
      </w:r>
      <w:r w:rsidR="00C64050">
        <w:rPr>
          <w:szCs w:val="20"/>
        </w:rPr>
        <w:t xml:space="preserve"> </w:t>
      </w:r>
      <w:r>
        <w:rPr>
          <w:szCs w:val="20"/>
        </w:rPr>
        <w:t>not</w:t>
      </w:r>
      <w:r w:rsidR="00C64050">
        <w:rPr>
          <w:szCs w:val="20"/>
        </w:rPr>
        <w:t xml:space="preserve"> </w:t>
      </w:r>
      <w:r>
        <w:rPr>
          <w:szCs w:val="20"/>
        </w:rPr>
        <w:t>have</w:t>
      </w:r>
      <w:r w:rsidR="00C64050">
        <w:rPr>
          <w:szCs w:val="20"/>
        </w:rPr>
        <w:t xml:space="preserve"> </w:t>
      </w:r>
      <w:r>
        <w:rPr>
          <w:szCs w:val="20"/>
        </w:rPr>
        <w:t>to</w:t>
      </w:r>
      <w:r w:rsidR="00C64050">
        <w:rPr>
          <w:szCs w:val="20"/>
        </w:rPr>
        <w:t xml:space="preserve"> </w:t>
      </w:r>
      <w:r>
        <w:rPr>
          <w:szCs w:val="20"/>
        </w:rPr>
        <w:t>grapple</w:t>
      </w:r>
      <w:r w:rsidR="00C64050">
        <w:rPr>
          <w:szCs w:val="20"/>
        </w:rPr>
        <w:t xml:space="preserve"> </w:t>
      </w:r>
      <w:r>
        <w:rPr>
          <w:szCs w:val="20"/>
        </w:rPr>
        <w:t>with</w:t>
      </w:r>
      <w:r w:rsidR="00C64050">
        <w:rPr>
          <w:szCs w:val="20"/>
        </w:rPr>
        <w:t xml:space="preserve"> </w:t>
      </w:r>
      <w:r w:rsidR="00D715BB">
        <w:rPr>
          <w:szCs w:val="20"/>
        </w:rPr>
        <w:t>whether</w:t>
      </w:r>
      <w:r w:rsidR="00C64050">
        <w:rPr>
          <w:szCs w:val="20"/>
        </w:rPr>
        <w:t xml:space="preserve"> </w:t>
      </w:r>
      <w:r w:rsidR="00D715BB">
        <w:rPr>
          <w:szCs w:val="20"/>
        </w:rPr>
        <w:t>the</w:t>
      </w:r>
      <w:r w:rsidR="00C64050">
        <w:rPr>
          <w:szCs w:val="20"/>
        </w:rPr>
        <w:t xml:space="preserve"> </w:t>
      </w:r>
      <w:r w:rsidR="00D715BB">
        <w:rPr>
          <w:szCs w:val="20"/>
        </w:rPr>
        <w:t>fees</w:t>
      </w:r>
      <w:r w:rsidR="00C64050">
        <w:rPr>
          <w:szCs w:val="20"/>
        </w:rPr>
        <w:t xml:space="preserve"> </w:t>
      </w:r>
      <w:r w:rsidR="00D715BB">
        <w:rPr>
          <w:szCs w:val="20"/>
        </w:rPr>
        <w:t>were</w:t>
      </w:r>
      <w:r w:rsidR="00C64050">
        <w:rPr>
          <w:szCs w:val="20"/>
        </w:rPr>
        <w:t xml:space="preserve"> </w:t>
      </w:r>
      <w:r w:rsidR="00D715BB">
        <w:rPr>
          <w:szCs w:val="20"/>
        </w:rPr>
        <w:t>in</w:t>
      </w:r>
      <w:r w:rsidR="00C64050">
        <w:rPr>
          <w:szCs w:val="20"/>
        </w:rPr>
        <w:t xml:space="preserve"> </w:t>
      </w:r>
      <w:r w:rsidR="00D715BB">
        <w:rPr>
          <w:szCs w:val="20"/>
        </w:rPr>
        <w:t>fact</w:t>
      </w:r>
      <w:r w:rsidR="00C64050">
        <w:rPr>
          <w:szCs w:val="20"/>
        </w:rPr>
        <w:t xml:space="preserve"> </w:t>
      </w:r>
      <w:r w:rsidR="00D715BB">
        <w:rPr>
          <w:szCs w:val="20"/>
        </w:rPr>
        <w:t>excessive.</w:t>
      </w:r>
      <w:r w:rsidR="00C64050">
        <w:rPr>
          <w:szCs w:val="20"/>
        </w:rPr>
        <w:t xml:space="preserve">  </w:t>
      </w:r>
      <w:r w:rsidR="00D715BB">
        <w:rPr>
          <w:szCs w:val="20"/>
        </w:rPr>
        <w:t>The</w:t>
      </w:r>
      <w:r w:rsidR="00C64050">
        <w:rPr>
          <w:szCs w:val="20"/>
        </w:rPr>
        <w:t xml:space="preserve"> </w:t>
      </w:r>
      <w:r w:rsidR="00D715BB">
        <w:rPr>
          <w:szCs w:val="20"/>
        </w:rPr>
        <w:t>court</w:t>
      </w:r>
      <w:r w:rsidR="00C64050">
        <w:rPr>
          <w:szCs w:val="20"/>
        </w:rPr>
        <w:t xml:space="preserve"> </w:t>
      </w:r>
      <w:r w:rsidR="00D715BB">
        <w:rPr>
          <w:szCs w:val="20"/>
        </w:rPr>
        <w:t>held</w:t>
      </w:r>
      <w:r w:rsidR="00C64050">
        <w:rPr>
          <w:szCs w:val="20"/>
        </w:rPr>
        <w:t xml:space="preserve"> </w:t>
      </w:r>
      <w:r w:rsidR="00D715BB">
        <w:rPr>
          <w:szCs w:val="20"/>
        </w:rPr>
        <w:t>that</w:t>
      </w:r>
      <w:r w:rsidR="00C64050">
        <w:rPr>
          <w:szCs w:val="20"/>
        </w:rPr>
        <w:t xml:space="preserve"> </w:t>
      </w:r>
      <w:r w:rsidR="00D715BB">
        <w:rPr>
          <w:szCs w:val="20"/>
        </w:rPr>
        <w:t>the</w:t>
      </w:r>
      <w:r w:rsidR="00C64050">
        <w:rPr>
          <w:szCs w:val="20"/>
        </w:rPr>
        <w:t xml:space="preserve"> </w:t>
      </w:r>
      <w:r w:rsidR="00D715BB">
        <w:rPr>
          <w:szCs w:val="20"/>
        </w:rPr>
        <w:t>two</w:t>
      </w:r>
      <w:r w:rsidR="00C64050">
        <w:rPr>
          <w:szCs w:val="20"/>
        </w:rPr>
        <w:t xml:space="preserve"> </w:t>
      </w:r>
      <w:r w:rsidR="00D715BB">
        <w:rPr>
          <w:szCs w:val="20"/>
        </w:rPr>
        <w:t>cited</w:t>
      </w:r>
      <w:r w:rsidR="00C64050">
        <w:rPr>
          <w:szCs w:val="20"/>
        </w:rPr>
        <w:t xml:space="preserve"> </w:t>
      </w:r>
      <w:r w:rsidR="00D715BB">
        <w:rPr>
          <w:szCs w:val="20"/>
        </w:rPr>
        <w:t>provisions</w:t>
      </w:r>
      <w:r w:rsidR="00C64050">
        <w:rPr>
          <w:szCs w:val="20"/>
        </w:rPr>
        <w:t xml:space="preserve"> </w:t>
      </w:r>
      <w:r w:rsidR="00D715BB">
        <w:rPr>
          <w:szCs w:val="20"/>
        </w:rPr>
        <w:t>were</w:t>
      </w:r>
      <w:r w:rsidR="00C64050">
        <w:rPr>
          <w:szCs w:val="20"/>
        </w:rPr>
        <w:t xml:space="preserve"> </w:t>
      </w:r>
      <w:r w:rsidR="00D715BB">
        <w:rPr>
          <w:szCs w:val="20"/>
        </w:rPr>
        <w:t>easily</w:t>
      </w:r>
      <w:r w:rsidR="00C64050">
        <w:rPr>
          <w:szCs w:val="20"/>
        </w:rPr>
        <w:t xml:space="preserve"> </w:t>
      </w:r>
      <w:r w:rsidR="00D715BB">
        <w:rPr>
          <w:szCs w:val="20"/>
        </w:rPr>
        <w:t>reconcilable:</w:t>
      </w:r>
    </w:p>
    <w:p w:rsidR="00D715BB" w:rsidRDefault="00D715BB" w:rsidP="00284D86">
      <w:pPr>
        <w:pStyle w:val="QS10"/>
        <w:rPr>
          <w:szCs w:val="20"/>
        </w:rPr>
      </w:pPr>
      <w:r>
        <w:t>First,</w:t>
      </w:r>
      <w:r w:rsidR="00C64050">
        <w:t xml:space="preserve"> </w:t>
      </w:r>
      <w:r>
        <w:t>the</w:t>
      </w:r>
      <w:r w:rsidR="00C64050">
        <w:t xml:space="preserve"> </w:t>
      </w:r>
      <w:r>
        <w:t>Modification</w:t>
      </w:r>
      <w:r w:rsidR="00C64050">
        <w:t xml:space="preserve"> </w:t>
      </w:r>
      <w:r>
        <w:t>Statute</w:t>
      </w:r>
      <w:r w:rsidR="00C64050">
        <w:t xml:space="preserve"> </w:t>
      </w:r>
      <w:r>
        <w:t>operates,</w:t>
      </w:r>
      <w:r w:rsidR="00C64050">
        <w:t xml:space="preserve"> </w:t>
      </w:r>
      <w:r>
        <w:t>as</w:t>
      </w:r>
      <w:r w:rsidR="00C64050">
        <w:t xml:space="preserve"> </w:t>
      </w:r>
      <w:r>
        <w:t>here,</w:t>
      </w:r>
      <w:r w:rsidR="00C64050">
        <w:t xml:space="preserve"> </w:t>
      </w:r>
      <w:r>
        <w:t>only</w:t>
      </w:r>
      <w:r w:rsidR="00C64050">
        <w:t xml:space="preserve"> </w:t>
      </w:r>
      <w:r>
        <w:t>after</w:t>
      </w:r>
      <w:r w:rsidR="00C64050">
        <w:t xml:space="preserve"> </w:t>
      </w:r>
      <w:r>
        <w:t>the</w:t>
      </w:r>
      <w:r w:rsidR="00C64050">
        <w:t xml:space="preserve"> </w:t>
      </w:r>
      <w:r>
        <w:t>settlor’s</w:t>
      </w:r>
      <w:r w:rsidR="00C64050">
        <w:t xml:space="preserve"> </w:t>
      </w:r>
      <w:r>
        <w:t>death</w:t>
      </w:r>
      <w:r w:rsidR="00C64050">
        <w:t xml:space="preserve"> </w:t>
      </w:r>
      <w:r>
        <w:t>(whereas</w:t>
      </w:r>
      <w:r w:rsidR="00C64050">
        <w:t xml:space="preserve"> </w:t>
      </w:r>
      <w:r>
        <w:t>the</w:t>
      </w:r>
      <w:r w:rsidR="00C64050">
        <w:t xml:space="preserve"> </w:t>
      </w:r>
      <w:r>
        <w:t>Removal</w:t>
      </w:r>
      <w:r w:rsidR="00C64050">
        <w:t xml:space="preserve"> </w:t>
      </w:r>
      <w:r>
        <w:t>Statute</w:t>
      </w:r>
      <w:r w:rsidR="00C64050">
        <w:t xml:space="preserve"> </w:t>
      </w:r>
      <w:r>
        <w:t>contains</w:t>
      </w:r>
      <w:r w:rsidR="00C64050">
        <w:t xml:space="preserve"> </w:t>
      </w:r>
      <w:r>
        <w:t>no</w:t>
      </w:r>
      <w:r w:rsidR="00C64050">
        <w:t xml:space="preserve"> </w:t>
      </w:r>
      <w:r>
        <w:t>such</w:t>
      </w:r>
      <w:r w:rsidR="00C64050">
        <w:t xml:space="preserve"> </w:t>
      </w:r>
      <w:r>
        <w:t>restriction),</w:t>
      </w:r>
      <w:r w:rsidR="00C64050">
        <w:t xml:space="preserve"> </w:t>
      </w:r>
      <w:r>
        <w:t>when</w:t>
      </w:r>
      <w:r w:rsidR="00C64050">
        <w:t xml:space="preserve"> </w:t>
      </w:r>
      <w:r>
        <w:t>concerns</w:t>
      </w:r>
      <w:r w:rsidR="00C64050">
        <w:t xml:space="preserve"> </w:t>
      </w:r>
      <w:r>
        <w:t>could</w:t>
      </w:r>
      <w:r w:rsidR="00C64050">
        <w:t xml:space="preserve"> </w:t>
      </w:r>
      <w:r>
        <w:t>arise</w:t>
      </w:r>
      <w:r w:rsidR="00C64050">
        <w:t xml:space="preserve"> </w:t>
      </w:r>
      <w:r>
        <w:t>that</w:t>
      </w:r>
      <w:r w:rsidR="00C64050">
        <w:t xml:space="preserve"> </w:t>
      </w:r>
      <w:r>
        <w:t>the</w:t>
      </w:r>
      <w:r w:rsidR="00C64050">
        <w:t xml:space="preserve"> </w:t>
      </w:r>
      <w:r>
        <w:t>settlor</w:t>
      </w:r>
      <w:r w:rsidR="00C64050">
        <w:t xml:space="preserve"> </w:t>
      </w:r>
      <w:r>
        <w:t>did</w:t>
      </w:r>
      <w:r w:rsidR="00C64050">
        <w:t xml:space="preserve"> </w:t>
      </w:r>
      <w:r>
        <w:t>not</w:t>
      </w:r>
      <w:r w:rsidR="00C64050">
        <w:t xml:space="preserve"> </w:t>
      </w:r>
      <w:r>
        <w:t>anticipate</w:t>
      </w:r>
      <w:r w:rsidR="00C64050">
        <w:t xml:space="preserve"> </w:t>
      </w:r>
      <w:r>
        <w:t>and</w:t>
      </w:r>
      <w:r w:rsidR="00C64050">
        <w:t xml:space="preserve"> </w:t>
      </w:r>
      <w:r>
        <w:t>can</w:t>
      </w:r>
      <w:r w:rsidR="00C64050">
        <w:t xml:space="preserve"> </w:t>
      </w:r>
      <w:r>
        <w:t>do</w:t>
      </w:r>
      <w:r w:rsidR="00C64050">
        <w:t xml:space="preserve"> </w:t>
      </w:r>
      <w:r>
        <w:t>nothing</w:t>
      </w:r>
      <w:r w:rsidR="00C64050">
        <w:t xml:space="preserve"> </w:t>
      </w:r>
      <w:r>
        <w:t>to</w:t>
      </w:r>
      <w:r w:rsidR="00C64050">
        <w:t xml:space="preserve"> </w:t>
      </w:r>
      <w:r>
        <w:t>resolve.</w:t>
      </w:r>
      <w:r w:rsidR="00C64050">
        <w:t xml:space="preserve"> </w:t>
      </w:r>
      <w:r>
        <w:t>Second,</w:t>
      </w:r>
      <w:r w:rsidR="00C64050">
        <w:t xml:space="preserve"> </w:t>
      </w:r>
      <w:r>
        <w:t>the</w:t>
      </w:r>
      <w:r w:rsidR="00C64050">
        <w:t xml:space="preserve"> </w:t>
      </w:r>
      <w:r>
        <w:t>Removal</w:t>
      </w:r>
      <w:r w:rsidR="00C64050">
        <w:t xml:space="preserve"> </w:t>
      </w:r>
      <w:r>
        <w:t>Statute,</w:t>
      </w:r>
      <w:r w:rsidR="00C64050">
        <w:t xml:space="preserve"> </w:t>
      </w:r>
      <w:r>
        <w:t>which</w:t>
      </w:r>
      <w:r w:rsidR="00C64050">
        <w:t xml:space="preserve"> </w:t>
      </w:r>
      <w:r>
        <w:t>operates</w:t>
      </w:r>
      <w:r w:rsidR="00C64050">
        <w:t xml:space="preserve"> </w:t>
      </w:r>
      <w:r>
        <w:t>at</w:t>
      </w:r>
      <w:r w:rsidR="00C64050">
        <w:t xml:space="preserve"> </w:t>
      </w:r>
      <w:r>
        <w:t>any</w:t>
      </w:r>
      <w:r w:rsidR="00C64050">
        <w:t xml:space="preserve"> </w:t>
      </w:r>
      <w:r>
        <w:t>time,</w:t>
      </w:r>
      <w:r w:rsidR="00C64050">
        <w:t xml:space="preserve"> </w:t>
      </w:r>
      <w:r>
        <w:t>allows</w:t>
      </w:r>
      <w:r w:rsidR="00C64050">
        <w:t xml:space="preserve"> </w:t>
      </w:r>
      <w:r>
        <w:t>initiation</w:t>
      </w:r>
      <w:r w:rsidR="00C64050">
        <w:t xml:space="preserve"> </w:t>
      </w:r>
      <w:r>
        <w:t>by</w:t>
      </w:r>
      <w:r w:rsidR="00C64050">
        <w:t xml:space="preserve"> </w:t>
      </w:r>
      <w:r>
        <w:t>“any</w:t>
      </w:r>
      <w:r w:rsidR="00C64050">
        <w:t xml:space="preserve"> </w:t>
      </w:r>
      <w:r>
        <w:t>interested</w:t>
      </w:r>
      <w:r w:rsidR="00C64050">
        <w:t xml:space="preserve"> </w:t>
      </w:r>
      <w:r>
        <w:t>person”</w:t>
      </w:r>
      <w:r w:rsidR="00C64050">
        <w:t xml:space="preserve"> </w:t>
      </w:r>
      <w:r>
        <w:t>and</w:t>
      </w:r>
      <w:r w:rsidR="00C64050">
        <w:t xml:space="preserve"> </w:t>
      </w:r>
      <w:r>
        <w:t>does</w:t>
      </w:r>
      <w:r w:rsidR="00C64050">
        <w:t xml:space="preserve"> </w:t>
      </w:r>
      <w:r>
        <w:t>not</w:t>
      </w:r>
      <w:r w:rsidR="00C64050">
        <w:t xml:space="preserve"> </w:t>
      </w:r>
      <w:r>
        <w:t>require</w:t>
      </w:r>
      <w:r w:rsidR="00C64050">
        <w:t xml:space="preserve"> </w:t>
      </w:r>
      <w:r>
        <w:t>consent</w:t>
      </w:r>
      <w:r w:rsidR="00C64050">
        <w:t xml:space="preserve"> </w:t>
      </w:r>
      <w:r>
        <w:t>of</w:t>
      </w:r>
      <w:r w:rsidR="00C64050">
        <w:t xml:space="preserve"> </w:t>
      </w:r>
      <w:r>
        <w:t>any</w:t>
      </w:r>
      <w:r w:rsidR="00C64050">
        <w:t xml:space="preserve"> </w:t>
      </w:r>
      <w:r>
        <w:t>of</w:t>
      </w:r>
      <w:r w:rsidR="00C64050">
        <w:t xml:space="preserve"> </w:t>
      </w:r>
      <w:r>
        <w:t>the</w:t>
      </w:r>
      <w:r w:rsidR="00C64050">
        <w:t xml:space="preserve"> </w:t>
      </w:r>
      <w:r>
        <w:t>beneficiaries.</w:t>
      </w:r>
      <w:r w:rsidR="00C64050">
        <w:t xml:space="preserve"> </w:t>
      </w:r>
      <w:r>
        <w:t>Thus,</w:t>
      </w:r>
      <w:r w:rsidR="00C64050">
        <w:t xml:space="preserve"> </w:t>
      </w:r>
      <w:r>
        <w:t>these</w:t>
      </w:r>
      <w:r w:rsidR="00C64050">
        <w:t xml:space="preserve"> </w:t>
      </w:r>
      <w:r>
        <w:t>two</w:t>
      </w:r>
      <w:r w:rsidR="00C64050">
        <w:t xml:space="preserve"> </w:t>
      </w:r>
      <w:r>
        <w:t>provisions</w:t>
      </w:r>
      <w:r w:rsidR="00C64050">
        <w:t xml:space="preserve"> </w:t>
      </w:r>
      <w:r>
        <w:t>address</w:t>
      </w:r>
      <w:r w:rsidR="00C64050">
        <w:t xml:space="preserve"> </w:t>
      </w:r>
      <w:r>
        <w:t>different</w:t>
      </w:r>
      <w:r w:rsidR="00C64050">
        <w:t xml:space="preserve"> </w:t>
      </w:r>
      <w:r>
        <w:t>scenarios</w:t>
      </w:r>
      <w:r w:rsidR="00C64050">
        <w:t xml:space="preserve"> </w:t>
      </w:r>
      <w:r>
        <w:t>and</w:t>
      </w:r>
      <w:r w:rsidR="00C64050">
        <w:t xml:space="preserve"> </w:t>
      </w:r>
      <w:r>
        <w:t>are</w:t>
      </w:r>
      <w:r w:rsidR="00C64050">
        <w:t xml:space="preserve"> </w:t>
      </w:r>
      <w:r>
        <w:t>not</w:t>
      </w:r>
      <w:r w:rsidR="00C64050">
        <w:t xml:space="preserve"> </w:t>
      </w:r>
      <w:r>
        <w:t>inherently</w:t>
      </w:r>
      <w:r w:rsidR="00C64050">
        <w:t xml:space="preserve"> </w:t>
      </w:r>
      <w:r>
        <w:t>inconsistent,</w:t>
      </w:r>
      <w:r w:rsidR="00C64050">
        <w:t xml:space="preserve"> </w:t>
      </w:r>
      <w:r>
        <w:t>and</w:t>
      </w:r>
      <w:r w:rsidR="00C64050">
        <w:t xml:space="preserve"> </w:t>
      </w:r>
      <w:r>
        <w:t>there</w:t>
      </w:r>
      <w:r w:rsidR="00C64050">
        <w:t xml:space="preserve"> </w:t>
      </w:r>
      <w:r>
        <w:t>is</w:t>
      </w:r>
      <w:r w:rsidR="00C64050">
        <w:t xml:space="preserve"> </w:t>
      </w:r>
      <w:r>
        <w:t>no</w:t>
      </w:r>
      <w:r w:rsidR="00C64050">
        <w:t xml:space="preserve"> </w:t>
      </w:r>
      <w:r>
        <w:t>ambiguity</w:t>
      </w:r>
      <w:r w:rsidR="00C64050">
        <w:t xml:space="preserve"> </w:t>
      </w:r>
      <w:r>
        <w:t>or</w:t>
      </w:r>
      <w:r w:rsidR="00C64050">
        <w:t xml:space="preserve"> </w:t>
      </w:r>
      <w:r>
        <w:t>practical</w:t>
      </w:r>
      <w:r w:rsidR="00C64050">
        <w:t xml:space="preserve"> </w:t>
      </w:r>
      <w:r>
        <w:t>effect</w:t>
      </w:r>
      <w:r w:rsidR="00C64050">
        <w:t xml:space="preserve"> </w:t>
      </w:r>
      <w:r>
        <w:t>that</w:t>
      </w:r>
      <w:r w:rsidR="00C64050">
        <w:t xml:space="preserve"> </w:t>
      </w:r>
      <w:r>
        <w:t>frustrates</w:t>
      </w:r>
      <w:r w:rsidR="00C64050">
        <w:t xml:space="preserve"> </w:t>
      </w:r>
      <w:r>
        <w:t>the</w:t>
      </w:r>
      <w:r w:rsidR="00C64050">
        <w:t xml:space="preserve"> </w:t>
      </w:r>
      <w:r>
        <w:t>purpose</w:t>
      </w:r>
      <w:r w:rsidR="00C64050">
        <w:t xml:space="preserve"> </w:t>
      </w:r>
      <w:r>
        <w:t>of</w:t>
      </w:r>
      <w:r w:rsidR="00C64050">
        <w:t xml:space="preserve"> </w:t>
      </w:r>
      <w:r>
        <w:t>either</w:t>
      </w:r>
      <w:r w:rsidR="00C64050">
        <w:t xml:space="preserve"> </w:t>
      </w:r>
      <w:r>
        <w:t>provision.</w:t>
      </w:r>
    </w:p>
    <w:p w:rsidR="00D715BB" w:rsidRDefault="00D715BB" w:rsidP="00284D86">
      <w:pPr>
        <w:pStyle w:val="QS10"/>
        <w:jc w:val="center"/>
        <w:rPr>
          <w:szCs w:val="20"/>
        </w:rPr>
      </w:pPr>
      <w:r>
        <w:rPr>
          <w:szCs w:val="20"/>
        </w:rPr>
        <w:t>***</w:t>
      </w:r>
    </w:p>
    <w:p w:rsidR="000E2546" w:rsidRDefault="00D715BB" w:rsidP="00284D86">
      <w:pPr>
        <w:pStyle w:val="QS10"/>
      </w:pPr>
      <w:r>
        <w:t>Further,</w:t>
      </w:r>
      <w:r w:rsidR="00C64050">
        <w:t xml:space="preserve"> </w:t>
      </w:r>
      <w:r>
        <w:t>“[a]ll</w:t>
      </w:r>
      <w:r w:rsidR="00C64050">
        <w:t xml:space="preserve"> </w:t>
      </w:r>
      <w:r>
        <w:t>statutes</w:t>
      </w:r>
      <w:r w:rsidR="00C64050">
        <w:t xml:space="preserve"> </w:t>
      </w:r>
      <w:r>
        <w:t>are</w:t>
      </w:r>
      <w:r w:rsidR="00C64050">
        <w:t xml:space="preserve"> </w:t>
      </w:r>
      <w:r>
        <w:t>presumed</w:t>
      </w:r>
      <w:r w:rsidR="00C64050">
        <w:t xml:space="preserve"> </w:t>
      </w:r>
      <w:r>
        <w:t>to</w:t>
      </w:r>
      <w:r w:rsidR="00C64050">
        <w:t xml:space="preserve"> </w:t>
      </w:r>
      <w:r>
        <w:t>be</w:t>
      </w:r>
      <w:r w:rsidR="00C64050">
        <w:t xml:space="preserve"> </w:t>
      </w:r>
      <w:r>
        <w:t>enacted</w:t>
      </w:r>
      <w:r w:rsidR="00C64050">
        <w:t xml:space="preserve"> </w:t>
      </w:r>
      <w:r>
        <w:t>by</w:t>
      </w:r>
      <w:r w:rsidR="00C64050">
        <w:t xml:space="preserve"> </w:t>
      </w:r>
      <w:r>
        <w:t>the</w:t>
      </w:r>
      <w:r w:rsidR="00C64050">
        <w:t xml:space="preserve"> </w:t>
      </w:r>
      <w:r>
        <w:t>legislature</w:t>
      </w:r>
      <w:r w:rsidR="00C64050">
        <w:t xml:space="preserve"> </w:t>
      </w:r>
      <w:r>
        <w:t>with</w:t>
      </w:r>
      <w:r w:rsidR="00C64050">
        <w:t xml:space="preserve"> </w:t>
      </w:r>
      <w:r>
        <w:t>full</w:t>
      </w:r>
      <w:r w:rsidR="00C64050">
        <w:t xml:space="preserve"> </w:t>
      </w:r>
      <w:r>
        <w:t>knowledge</w:t>
      </w:r>
      <w:r w:rsidR="00C64050">
        <w:t xml:space="preserve"> </w:t>
      </w:r>
      <w:r>
        <w:t>of</w:t>
      </w:r>
      <w:r w:rsidR="00C64050">
        <w:t xml:space="preserve"> </w:t>
      </w:r>
      <w:r>
        <w:t>the</w:t>
      </w:r>
      <w:r w:rsidR="00C64050">
        <w:t xml:space="preserve"> </w:t>
      </w:r>
      <w:r>
        <w:t>existing</w:t>
      </w:r>
      <w:r w:rsidR="00C64050">
        <w:t xml:space="preserve"> </w:t>
      </w:r>
      <w:r>
        <w:t>condition</w:t>
      </w:r>
      <w:r w:rsidR="00C64050">
        <w:t xml:space="preserve"> </w:t>
      </w:r>
      <w:r>
        <w:t>of</w:t>
      </w:r>
      <w:r w:rsidR="00C64050">
        <w:t xml:space="preserve"> </w:t>
      </w:r>
      <w:r>
        <w:t>the</w:t>
      </w:r>
      <w:r w:rsidR="00C64050">
        <w:t xml:space="preserve"> </w:t>
      </w:r>
      <w:r>
        <w:t>law</w:t>
      </w:r>
      <w:r w:rsidR="00C64050">
        <w:t xml:space="preserve"> </w:t>
      </w:r>
      <w:r>
        <w:t>and</w:t>
      </w:r>
      <w:r w:rsidR="00C64050">
        <w:t xml:space="preserve"> </w:t>
      </w:r>
      <w:r>
        <w:t>with</w:t>
      </w:r>
      <w:r w:rsidR="00C64050">
        <w:t xml:space="preserve"> </w:t>
      </w:r>
      <w:r>
        <w:t>reference</w:t>
      </w:r>
      <w:r w:rsidR="00C64050">
        <w:t xml:space="preserve"> </w:t>
      </w:r>
      <w:r>
        <w:t>to</w:t>
      </w:r>
      <w:r w:rsidR="00C64050">
        <w:t xml:space="preserve"> </w:t>
      </w:r>
      <w:r>
        <w:t>it...</w:t>
      </w:r>
      <w:r w:rsidR="00C64050">
        <w:t xml:space="preserve"> </w:t>
      </w:r>
      <w:r>
        <w:t>[W]hen</w:t>
      </w:r>
      <w:r w:rsidR="00C64050">
        <w:t xml:space="preserve"> </w:t>
      </w:r>
      <w:r>
        <w:t>a</w:t>
      </w:r>
      <w:r w:rsidR="00C64050">
        <w:t xml:space="preserve"> </w:t>
      </w:r>
      <w:r>
        <w:t>statute</w:t>
      </w:r>
      <w:r w:rsidR="00C64050">
        <w:t xml:space="preserve"> </w:t>
      </w:r>
      <w:r>
        <w:t>is</w:t>
      </w:r>
      <w:r w:rsidR="00C64050">
        <w:t xml:space="preserve"> </w:t>
      </w:r>
      <w:r>
        <w:t>amended,</w:t>
      </w:r>
      <w:r w:rsidR="00C64050">
        <w:t xml:space="preserve"> </w:t>
      </w:r>
      <w:r>
        <w:t>from</w:t>
      </w:r>
      <w:r w:rsidR="00C64050">
        <w:t xml:space="preserve"> </w:t>
      </w:r>
      <w:r>
        <w:t>the</w:t>
      </w:r>
      <w:r w:rsidR="00C64050">
        <w:t xml:space="preserve"> </w:t>
      </w:r>
      <w:r>
        <w:t>addition</w:t>
      </w:r>
      <w:r w:rsidR="00C64050">
        <w:t xml:space="preserve"> </w:t>
      </w:r>
      <w:r>
        <w:t>of</w:t>
      </w:r>
      <w:r w:rsidR="00C64050">
        <w:t xml:space="preserve"> </w:t>
      </w:r>
      <w:r>
        <w:t>words</w:t>
      </w:r>
      <w:r w:rsidR="00C64050">
        <w:t xml:space="preserve"> </w:t>
      </w:r>
      <w:r>
        <w:t>it</w:t>
      </w:r>
      <w:r w:rsidR="00C64050">
        <w:t xml:space="preserve"> </w:t>
      </w:r>
      <w:r>
        <w:t>may</w:t>
      </w:r>
      <w:r w:rsidR="00C64050">
        <w:t xml:space="preserve"> </w:t>
      </w:r>
      <w:r>
        <w:t>be</w:t>
      </w:r>
      <w:r w:rsidR="00C64050">
        <w:t xml:space="preserve"> </w:t>
      </w:r>
      <w:r>
        <w:t>presumed</w:t>
      </w:r>
      <w:r w:rsidR="00C64050">
        <w:t xml:space="preserve"> </w:t>
      </w:r>
      <w:r>
        <w:t>that</w:t>
      </w:r>
      <w:r w:rsidR="00C64050">
        <w:t xml:space="preserve"> </w:t>
      </w:r>
      <w:r>
        <w:t>the</w:t>
      </w:r>
      <w:r w:rsidR="00C64050">
        <w:t xml:space="preserve"> </w:t>
      </w:r>
      <w:r>
        <w:t>legislature</w:t>
      </w:r>
      <w:r w:rsidR="00C64050">
        <w:t xml:space="preserve"> </w:t>
      </w:r>
      <w:r>
        <w:t>intended</w:t>
      </w:r>
      <w:r w:rsidR="00C64050">
        <w:t xml:space="preserve"> </w:t>
      </w:r>
      <w:r>
        <w:t>some</w:t>
      </w:r>
      <w:r w:rsidR="00C64050">
        <w:t xml:space="preserve"> </w:t>
      </w:r>
      <w:r>
        <w:t>change</w:t>
      </w:r>
      <w:r w:rsidR="00C64050">
        <w:t xml:space="preserve"> </w:t>
      </w:r>
      <w:r>
        <w:t>in</w:t>
      </w:r>
      <w:r w:rsidR="00C64050">
        <w:t xml:space="preserve"> </w:t>
      </w:r>
      <w:r>
        <w:t>the</w:t>
      </w:r>
      <w:r w:rsidR="00C64050">
        <w:t xml:space="preserve"> </w:t>
      </w:r>
      <w:r>
        <w:t>existing</w:t>
      </w:r>
      <w:r w:rsidR="00C64050">
        <w:t xml:space="preserve"> </w:t>
      </w:r>
      <w:r>
        <w:t>law.”</w:t>
      </w:r>
      <w:r w:rsidR="00C64050">
        <w:t xml:space="preserve"> </w:t>
      </w:r>
      <w:r>
        <w:t>In</w:t>
      </w:r>
      <w:r w:rsidR="00C64050">
        <w:t xml:space="preserve"> </w:t>
      </w:r>
      <w:r>
        <w:t>light</w:t>
      </w:r>
      <w:r w:rsidR="00C64050">
        <w:t xml:space="preserve"> </w:t>
      </w:r>
      <w:r>
        <w:t>of</w:t>
      </w:r>
      <w:r w:rsidR="00C64050">
        <w:t xml:space="preserve"> </w:t>
      </w:r>
      <w:r>
        <w:t>this,</w:t>
      </w:r>
      <w:r w:rsidR="00C64050">
        <w:t xml:space="preserve"> </w:t>
      </w:r>
      <w:r>
        <w:t>when</w:t>
      </w:r>
      <w:r w:rsidR="00C64050">
        <w:t xml:space="preserve"> </w:t>
      </w:r>
      <w:r>
        <w:t>the</w:t>
      </w:r>
      <w:r w:rsidR="00C64050">
        <w:t xml:space="preserve"> </w:t>
      </w:r>
      <w:r>
        <w:t>legislature</w:t>
      </w:r>
      <w:r w:rsidR="00C64050">
        <w:t xml:space="preserve"> </w:t>
      </w:r>
      <w:r>
        <w:t>amended</w:t>
      </w:r>
      <w:r w:rsidR="00C64050">
        <w:t xml:space="preserve"> </w:t>
      </w:r>
      <w:r>
        <w:t>the</w:t>
      </w:r>
      <w:r w:rsidR="00C64050">
        <w:t xml:space="preserve"> </w:t>
      </w:r>
      <w:r>
        <w:t>Modification</w:t>
      </w:r>
      <w:r w:rsidR="00C64050">
        <w:t xml:space="preserve"> </w:t>
      </w:r>
      <w:r>
        <w:t>Statute</w:t>
      </w:r>
      <w:r w:rsidR="00C64050">
        <w:t xml:space="preserve"> </w:t>
      </w:r>
      <w:r>
        <w:t>in</w:t>
      </w:r>
      <w:r w:rsidR="00C64050">
        <w:t xml:space="preserve"> </w:t>
      </w:r>
      <w:r>
        <w:t>2018</w:t>
      </w:r>
      <w:r w:rsidR="00C64050">
        <w:t xml:space="preserve"> </w:t>
      </w:r>
      <w:r>
        <w:t>to</w:t>
      </w:r>
      <w:r w:rsidR="00C64050">
        <w:t xml:space="preserve"> </w:t>
      </w:r>
      <w:r>
        <w:t>allow</w:t>
      </w:r>
      <w:r w:rsidR="00C64050">
        <w:t xml:space="preserve"> </w:t>
      </w:r>
      <w:r>
        <w:t>trust</w:t>
      </w:r>
      <w:r w:rsidR="00C64050">
        <w:t xml:space="preserve"> </w:t>
      </w:r>
      <w:r>
        <w:t>modification</w:t>
      </w:r>
      <w:r w:rsidR="00C64050">
        <w:t xml:space="preserve"> </w:t>
      </w:r>
      <w:r>
        <w:t>after</w:t>
      </w:r>
      <w:r w:rsidR="00C64050">
        <w:t xml:space="preserve"> </w:t>
      </w:r>
      <w:r>
        <w:t>the</w:t>
      </w:r>
      <w:r w:rsidR="00C64050">
        <w:t xml:space="preserve"> </w:t>
      </w:r>
      <w:r>
        <w:t>death</w:t>
      </w:r>
      <w:r w:rsidR="00C64050">
        <w:t xml:space="preserve"> </w:t>
      </w:r>
      <w:r>
        <w:t>of</w:t>
      </w:r>
      <w:r w:rsidR="00C64050">
        <w:t xml:space="preserve"> </w:t>
      </w:r>
      <w:r>
        <w:t>the</w:t>
      </w:r>
      <w:r w:rsidR="00C64050">
        <w:t xml:space="preserve"> </w:t>
      </w:r>
      <w:r>
        <w:t>settlor</w:t>
      </w:r>
      <w:r w:rsidR="00C64050">
        <w:t xml:space="preserve"> </w:t>
      </w:r>
      <w:r>
        <w:t>(under</w:t>
      </w:r>
      <w:r w:rsidR="00C64050">
        <w:t xml:space="preserve"> </w:t>
      </w:r>
      <w:r>
        <w:t>the</w:t>
      </w:r>
      <w:r w:rsidR="00C64050">
        <w:t xml:space="preserve"> </w:t>
      </w:r>
      <w:r>
        <w:t>conditions</w:t>
      </w:r>
      <w:r w:rsidR="00C64050">
        <w:t xml:space="preserve"> </w:t>
      </w:r>
      <w:r>
        <w:t>enumerated</w:t>
      </w:r>
      <w:r w:rsidR="00C64050">
        <w:t xml:space="preserve"> </w:t>
      </w:r>
      <w:r>
        <w:t>in</w:t>
      </w:r>
      <w:r w:rsidR="00C64050">
        <w:t xml:space="preserve"> </w:t>
      </w:r>
      <w:r>
        <w:t>the</w:t>
      </w:r>
      <w:r w:rsidR="00C64050">
        <w:t xml:space="preserve"> </w:t>
      </w:r>
      <w:r>
        <w:t>statute),</w:t>
      </w:r>
      <w:r w:rsidR="00C64050">
        <w:t xml:space="preserve"> </w:t>
      </w:r>
      <w:r>
        <w:t>the</w:t>
      </w:r>
      <w:r w:rsidR="00C64050">
        <w:t xml:space="preserve"> </w:t>
      </w:r>
      <w:r>
        <w:t>legislature</w:t>
      </w:r>
      <w:r w:rsidR="00C64050">
        <w:t xml:space="preserve"> </w:t>
      </w:r>
      <w:r>
        <w:t>could</w:t>
      </w:r>
      <w:r w:rsidR="00C64050">
        <w:t xml:space="preserve"> </w:t>
      </w:r>
      <w:r>
        <w:t>have</w:t>
      </w:r>
      <w:r w:rsidR="00C64050">
        <w:t xml:space="preserve"> </w:t>
      </w:r>
      <w:r>
        <w:t>limited</w:t>
      </w:r>
      <w:r w:rsidR="00C64050">
        <w:t xml:space="preserve"> </w:t>
      </w:r>
      <w:r>
        <w:t>that</w:t>
      </w:r>
      <w:r w:rsidR="00C64050">
        <w:t xml:space="preserve"> </w:t>
      </w:r>
      <w:r>
        <w:t>authority</w:t>
      </w:r>
      <w:r w:rsidR="00C64050">
        <w:t xml:space="preserve"> </w:t>
      </w:r>
      <w:r>
        <w:t>with</w:t>
      </w:r>
      <w:r w:rsidR="00C64050">
        <w:t xml:space="preserve"> </w:t>
      </w:r>
      <w:r>
        <w:t>respect</w:t>
      </w:r>
      <w:r w:rsidR="00C64050">
        <w:t xml:space="preserve"> </w:t>
      </w:r>
      <w:r>
        <w:t>to</w:t>
      </w:r>
      <w:r w:rsidR="00C64050">
        <w:t xml:space="preserve"> </w:t>
      </w:r>
      <w:r>
        <w:t>removal</w:t>
      </w:r>
      <w:r w:rsidR="00C64050">
        <w:t xml:space="preserve"> </w:t>
      </w:r>
      <w:r>
        <w:t>of</w:t>
      </w:r>
      <w:r w:rsidR="00C64050">
        <w:t xml:space="preserve"> </w:t>
      </w:r>
      <w:r>
        <w:t>trustees.</w:t>
      </w:r>
      <w:r w:rsidR="00C64050">
        <w:t xml:space="preserve"> </w:t>
      </w:r>
      <w:r>
        <w:t>It</w:t>
      </w:r>
      <w:r w:rsidR="00C64050">
        <w:t xml:space="preserve"> </w:t>
      </w:r>
      <w:r>
        <w:t>did</w:t>
      </w:r>
      <w:r w:rsidR="00C64050">
        <w:t xml:space="preserve"> </w:t>
      </w:r>
      <w:r>
        <w:t>not.</w:t>
      </w:r>
      <w:r w:rsidR="00C64050">
        <w:t xml:space="preserve"> </w:t>
      </w:r>
      <w:r>
        <w:t>The</w:t>
      </w:r>
      <w:r w:rsidR="00C64050">
        <w:t xml:space="preserve"> </w:t>
      </w:r>
      <w:r>
        <w:t>Modification</w:t>
      </w:r>
      <w:r w:rsidR="00C64050">
        <w:t xml:space="preserve"> </w:t>
      </w:r>
      <w:r>
        <w:t>Statute</w:t>
      </w:r>
      <w:r w:rsidR="00C64050">
        <w:t xml:space="preserve"> </w:t>
      </w:r>
      <w:r>
        <w:t>instead</w:t>
      </w:r>
      <w:r w:rsidR="00C64050">
        <w:t xml:space="preserve"> </w:t>
      </w:r>
      <w:r>
        <w:t>contains</w:t>
      </w:r>
      <w:r w:rsidR="00C64050">
        <w:t xml:space="preserve"> </w:t>
      </w:r>
      <w:r>
        <w:t>broad</w:t>
      </w:r>
      <w:r w:rsidR="00C64050">
        <w:t xml:space="preserve"> </w:t>
      </w:r>
      <w:r>
        <w:t>authority</w:t>
      </w:r>
      <w:r w:rsidR="00C64050">
        <w:t xml:space="preserve"> </w:t>
      </w:r>
      <w:r>
        <w:t>to</w:t>
      </w:r>
      <w:r w:rsidR="00C64050">
        <w:t xml:space="preserve"> </w:t>
      </w:r>
      <w:r>
        <w:t>modify</w:t>
      </w:r>
      <w:r w:rsidR="00C64050">
        <w:t xml:space="preserve"> </w:t>
      </w:r>
      <w:r>
        <w:t>trusts</w:t>
      </w:r>
      <w:r w:rsidR="00C64050">
        <w:t xml:space="preserve"> </w:t>
      </w:r>
      <w:r>
        <w:t>after</w:t>
      </w:r>
      <w:r w:rsidR="00C64050">
        <w:t xml:space="preserve"> </w:t>
      </w:r>
      <w:r>
        <w:t>the</w:t>
      </w:r>
      <w:r w:rsidR="00C64050">
        <w:t xml:space="preserve"> </w:t>
      </w:r>
      <w:r>
        <w:t>death</w:t>
      </w:r>
      <w:r w:rsidR="00C64050">
        <w:t xml:space="preserve"> </w:t>
      </w:r>
      <w:r>
        <w:t>of</w:t>
      </w:r>
      <w:r w:rsidR="00C64050">
        <w:t xml:space="preserve"> </w:t>
      </w:r>
      <w:r>
        <w:t>the</w:t>
      </w:r>
      <w:r w:rsidR="00C64050">
        <w:t xml:space="preserve"> </w:t>
      </w:r>
      <w:r>
        <w:t>settlor</w:t>
      </w:r>
      <w:r w:rsidR="00C64050">
        <w:t xml:space="preserve"> </w:t>
      </w:r>
      <w:r>
        <w:t>so</w:t>
      </w:r>
      <w:r w:rsidR="00C64050">
        <w:t xml:space="preserve"> </w:t>
      </w:r>
      <w:r>
        <w:t>long</w:t>
      </w:r>
      <w:r w:rsidR="00C64050">
        <w:t xml:space="preserve"> </w:t>
      </w:r>
      <w:r>
        <w:t>as</w:t>
      </w:r>
      <w:r w:rsidR="00C64050">
        <w:t xml:space="preserve"> </w:t>
      </w:r>
      <w:r>
        <w:t>the</w:t>
      </w:r>
      <w:r w:rsidR="00C64050">
        <w:t xml:space="preserve"> </w:t>
      </w:r>
      <w:r>
        <w:t>court</w:t>
      </w:r>
      <w:r w:rsidR="00C64050">
        <w:t xml:space="preserve"> </w:t>
      </w:r>
      <w:r>
        <w:t>determines</w:t>
      </w:r>
      <w:r w:rsidR="00C64050">
        <w:t xml:space="preserve"> </w:t>
      </w:r>
      <w:r>
        <w:t>that</w:t>
      </w:r>
      <w:r w:rsidR="00C64050">
        <w:t xml:space="preserve"> </w:t>
      </w:r>
      <w:r>
        <w:t>the</w:t>
      </w:r>
      <w:r w:rsidR="00C64050">
        <w:t xml:space="preserve"> </w:t>
      </w:r>
      <w:r>
        <w:t>notice</w:t>
      </w:r>
      <w:r w:rsidR="00C64050">
        <w:t xml:space="preserve"> </w:t>
      </w:r>
      <w:r>
        <w:t>provisions</w:t>
      </w:r>
      <w:r w:rsidR="00C64050">
        <w:t xml:space="preserve"> </w:t>
      </w:r>
      <w:r>
        <w:t>are</w:t>
      </w:r>
      <w:r w:rsidR="00C64050">
        <w:t xml:space="preserve"> </w:t>
      </w:r>
      <w:r>
        <w:t>met,</w:t>
      </w:r>
      <w:r w:rsidR="00C64050">
        <w:t xml:space="preserve"> </w:t>
      </w:r>
      <w:r>
        <w:t>all</w:t>
      </w:r>
      <w:r w:rsidR="00C64050">
        <w:t xml:space="preserve"> </w:t>
      </w:r>
      <w:r>
        <w:t>beneficiaries</w:t>
      </w:r>
      <w:r w:rsidR="00C64050">
        <w:t xml:space="preserve"> </w:t>
      </w:r>
      <w:r>
        <w:t>consent,</w:t>
      </w:r>
      <w:r w:rsidR="00C64050">
        <w:t xml:space="preserve"> </w:t>
      </w:r>
      <w:r>
        <w:t>and</w:t>
      </w:r>
      <w:r w:rsidR="00C64050">
        <w:t xml:space="preserve"> </w:t>
      </w:r>
      <w:r>
        <w:t>the</w:t>
      </w:r>
      <w:r w:rsidR="00C64050">
        <w:t xml:space="preserve"> </w:t>
      </w:r>
      <w:r>
        <w:t>purpose</w:t>
      </w:r>
      <w:r w:rsidR="00C64050">
        <w:t xml:space="preserve"> </w:t>
      </w:r>
      <w:r>
        <w:t>of</w:t>
      </w:r>
      <w:r w:rsidR="00C64050">
        <w:t xml:space="preserve"> </w:t>
      </w:r>
      <w:r>
        <w:t>the</w:t>
      </w:r>
      <w:r w:rsidR="00C64050">
        <w:t xml:space="preserve"> </w:t>
      </w:r>
      <w:r>
        <w:t>trust</w:t>
      </w:r>
      <w:r w:rsidR="00C64050">
        <w:t xml:space="preserve"> </w:t>
      </w:r>
      <w:r>
        <w:t>is</w:t>
      </w:r>
      <w:r w:rsidR="00C64050">
        <w:t xml:space="preserve"> </w:t>
      </w:r>
      <w:r>
        <w:t>preserved.</w:t>
      </w:r>
      <w:r w:rsidR="00C64050">
        <w:t xml:space="preserve"> </w:t>
      </w:r>
      <w:r>
        <w:t>This</w:t>
      </w:r>
      <w:r w:rsidR="00C64050">
        <w:t xml:space="preserve"> </w:t>
      </w:r>
      <w:r>
        <w:t>is</w:t>
      </w:r>
      <w:r w:rsidR="00C64050">
        <w:t xml:space="preserve"> </w:t>
      </w:r>
      <w:r>
        <w:t>not</w:t>
      </w:r>
      <w:r w:rsidR="00C64050">
        <w:t xml:space="preserve"> </w:t>
      </w:r>
      <w:r>
        <w:t>an</w:t>
      </w:r>
      <w:r w:rsidR="00C64050">
        <w:t xml:space="preserve"> </w:t>
      </w:r>
      <w:r>
        <w:t>absurd</w:t>
      </w:r>
      <w:r w:rsidR="00C64050">
        <w:t xml:space="preserve"> </w:t>
      </w:r>
      <w:r>
        <w:t>or</w:t>
      </w:r>
      <w:r w:rsidR="00C64050">
        <w:t xml:space="preserve"> </w:t>
      </w:r>
      <w:r>
        <w:t>impracticable</w:t>
      </w:r>
      <w:r w:rsidR="00C64050">
        <w:t xml:space="preserve"> </w:t>
      </w:r>
      <w:r>
        <w:t>result,</w:t>
      </w:r>
      <w:r w:rsidR="00C64050">
        <w:t xml:space="preserve"> </w:t>
      </w:r>
      <w:r>
        <w:t>and</w:t>
      </w:r>
      <w:r w:rsidR="00C64050">
        <w:t xml:space="preserve"> </w:t>
      </w:r>
      <w:r>
        <w:t>it</w:t>
      </w:r>
      <w:r w:rsidR="00C64050">
        <w:t xml:space="preserve"> </w:t>
      </w:r>
      <w:r>
        <w:t>is</w:t>
      </w:r>
      <w:r w:rsidR="00C64050">
        <w:t xml:space="preserve"> </w:t>
      </w:r>
      <w:r>
        <w:t>not</w:t>
      </w:r>
      <w:r w:rsidR="00C64050">
        <w:t xml:space="preserve"> </w:t>
      </w:r>
      <w:r>
        <w:t>inconsistent</w:t>
      </w:r>
      <w:r w:rsidR="00C64050">
        <w:t xml:space="preserve"> </w:t>
      </w:r>
      <w:r>
        <w:t>with</w:t>
      </w:r>
      <w:r w:rsidR="00C64050">
        <w:t xml:space="preserve"> </w:t>
      </w:r>
      <w:r>
        <w:t>the</w:t>
      </w:r>
      <w:r w:rsidR="00C64050">
        <w:t xml:space="preserve"> </w:t>
      </w:r>
      <w:r>
        <w:t>ability</w:t>
      </w:r>
      <w:r w:rsidR="00C64050">
        <w:t xml:space="preserve"> </w:t>
      </w:r>
      <w:r>
        <w:t>to</w:t>
      </w:r>
      <w:r w:rsidR="00C64050">
        <w:t xml:space="preserve"> </w:t>
      </w:r>
      <w:r>
        <w:t>remove</w:t>
      </w:r>
      <w:r w:rsidR="00C64050">
        <w:t xml:space="preserve"> </w:t>
      </w:r>
      <w:r>
        <w:t>a</w:t>
      </w:r>
      <w:r w:rsidR="00C64050">
        <w:t xml:space="preserve"> </w:t>
      </w:r>
      <w:r>
        <w:t>trustee</w:t>
      </w:r>
      <w:r w:rsidR="00C64050">
        <w:t xml:space="preserve"> </w:t>
      </w:r>
      <w:r>
        <w:t>(without</w:t>
      </w:r>
      <w:r w:rsidR="00C64050">
        <w:t xml:space="preserve"> </w:t>
      </w:r>
      <w:r>
        <w:t>the</w:t>
      </w:r>
      <w:r w:rsidR="00C64050">
        <w:t xml:space="preserve"> </w:t>
      </w:r>
      <w:r>
        <w:t>consent</w:t>
      </w:r>
      <w:r w:rsidR="00C64050">
        <w:t xml:space="preserve"> </w:t>
      </w:r>
      <w:r>
        <w:t>of</w:t>
      </w:r>
      <w:r w:rsidR="00C64050">
        <w:t xml:space="preserve"> </w:t>
      </w:r>
      <w:r>
        <w:t>the</w:t>
      </w:r>
      <w:r w:rsidR="00C64050">
        <w:t xml:space="preserve"> </w:t>
      </w:r>
      <w:r>
        <w:t>beneficiaries)</w:t>
      </w:r>
      <w:r w:rsidR="00C64050">
        <w:t xml:space="preserve"> </w:t>
      </w:r>
      <w:r>
        <w:t>at</w:t>
      </w:r>
      <w:r w:rsidR="00C64050">
        <w:t xml:space="preserve"> </w:t>
      </w:r>
      <w:r>
        <w:t>any</w:t>
      </w:r>
      <w:r w:rsidR="00C64050">
        <w:t xml:space="preserve"> </w:t>
      </w:r>
      <w:r>
        <w:t>time</w:t>
      </w:r>
      <w:r w:rsidR="00C64050">
        <w:t xml:space="preserve"> </w:t>
      </w:r>
      <w:r>
        <w:t>due</w:t>
      </w:r>
      <w:r w:rsidR="00C64050">
        <w:t xml:space="preserve"> </w:t>
      </w:r>
      <w:r>
        <w:t>to</w:t>
      </w:r>
      <w:r w:rsidR="00C64050">
        <w:t xml:space="preserve"> </w:t>
      </w:r>
      <w:r>
        <w:t>misconduct</w:t>
      </w:r>
      <w:r w:rsidR="00C64050">
        <w:t xml:space="preserve"> </w:t>
      </w:r>
      <w:r>
        <w:t>or</w:t>
      </w:r>
      <w:r w:rsidR="00C64050">
        <w:t xml:space="preserve"> </w:t>
      </w:r>
      <w:r>
        <w:t>for</w:t>
      </w:r>
      <w:r w:rsidR="00C64050">
        <w:t xml:space="preserve"> </w:t>
      </w:r>
      <w:r>
        <w:t>other</w:t>
      </w:r>
      <w:r w:rsidR="00C64050">
        <w:t xml:space="preserve"> </w:t>
      </w:r>
      <w:r>
        <w:t>good</w:t>
      </w:r>
      <w:r w:rsidR="00C64050">
        <w:t xml:space="preserve"> </w:t>
      </w:r>
      <w:r>
        <w:t>cause.</w:t>
      </w:r>
      <w:r w:rsidR="00C64050">
        <w:t xml:space="preserve"> </w:t>
      </w:r>
      <w:r>
        <w:t>The</w:t>
      </w:r>
      <w:r w:rsidR="00C64050">
        <w:t xml:space="preserve"> </w:t>
      </w:r>
      <w:r>
        <w:t>Modification</w:t>
      </w:r>
      <w:r w:rsidR="00C64050">
        <w:t xml:space="preserve"> </w:t>
      </w:r>
      <w:r>
        <w:t>Statute,</w:t>
      </w:r>
      <w:r w:rsidR="00C64050">
        <w:t xml:space="preserve"> </w:t>
      </w:r>
      <w:r>
        <w:t>unlike</w:t>
      </w:r>
      <w:r w:rsidR="00C64050">
        <w:t xml:space="preserve"> </w:t>
      </w:r>
      <w:r>
        <w:t>the</w:t>
      </w:r>
      <w:r w:rsidR="00C64050">
        <w:t xml:space="preserve"> </w:t>
      </w:r>
      <w:r>
        <w:t>Removal</w:t>
      </w:r>
      <w:r w:rsidR="00C64050">
        <w:t xml:space="preserve"> </w:t>
      </w:r>
      <w:r>
        <w:t>Statute,</w:t>
      </w:r>
      <w:r w:rsidR="00C64050">
        <w:t xml:space="preserve"> </w:t>
      </w:r>
      <w:r>
        <w:t>does</w:t>
      </w:r>
      <w:r w:rsidR="00C64050">
        <w:t xml:space="preserve"> </w:t>
      </w:r>
      <w:r>
        <w:t>not</w:t>
      </w:r>
      <w:r w:rsidR="00C64050">
        <w:t xml:space="preserve"> </w:t>
      </w:r>
      <w:r>
        <w:t>contain</w:t>
      </w:r>
      <w:r w:rsidR="00C64050">
        <w:t xml:space="preserve"> </w:t>
      </w:r>
      <w:r>
        <w:t>a</w:t>
      </w:r>
      <w:r w:rsidR="00C64050">
        <w:t xml:space="preserve"> </w:t>
      </w:r>
      <w:r>
        <w:t>burden</w:t>
      </w:r>
      <w:r w:rsidR="00C64050">
        <w:t xml:space="preserve"> </w:t>
      </w:r>
      <w:r>
        <w:t>to</w:t>
      </w:r>
      <w:r w:rsidR="00C64050">
        <w:t xml:space="preserve"> </w:t>
      </w:r>
      <w:r>
        <w:t>show</w:t>
      </w:r>
      <w:r w:rsidR="00C64050">
        <w:t xml:space="preserve"> </w:t>
      </w:r>
      <w:r>
        <w:t>good</w:t>
      </w:r>
      <w:r w:rsidR="00C64050">
        <w:t xml:space="preserve"> </w:t>
      </w:r>
      <w:r>
        <w:t>cause</w:t>
      </w:r>
      <w:r w:rsidR="00C64050">
        <w:t xml:space="preserve"> </w:t>
      </w:r>
      <w:r>
        <w:t>and</w:t>
      </w:r>
      <w:r w:rsidR="00C64050">
        <w:t xml:space="preserve"> </w:t>
      </w:r>
      <w:r>
        <w:t>encompasses</w:t>
      </w:r>
      <w:r w:rsidR="00C64050">
        <w:t xml:space="preserve"> </w:t>
      </w:r>
      <w:r>
        <w:t>scenarios</w:t>
      </w:r>
      <w:r w:rsidR="00C64050">
        <w:t xml:space="preserve"> </w:t>
      </w:r>
      <w:r>
        <w:t>that</w:t>
      </w:r>
      <w:r w:rsidR="00C64050">
        <w:t xml:space="preserve"> </w:t>
      </w:r>
      <w:r>
        <w:t>do</w:t>
      </w:r>
      <w:r w:rsidR="00C64050">
        <w:t xml:space="preserve"> </w:t>
      </w:r>
      <w:r>
        <w:t>not</w:t>
      </w:r>
      <w:r w:rsidR="00C64050">
        <w:t xml:space="preserve"> </w:t>
      </w:r>
      <w:r>
        <w:t>involve</w:t>
      </w:r>
      <w:r w:rsidR="00C64050">
        <w:t xml:space="preserve"> </w:t>
      </w:r>
      <w:r>
        <w:t>trustee</w:t>
      </w:r>
      <w:r w:rsidR="00C64050">
        <w:t xml:space="preserve"> </w:t>
      </w:r>
      <w:r>
        <w:t>misconduct.</w:t>
      </w:r>
      <w:r w:rsidR="00C64050">
        <w:t xml:space="preserve"> </w:t>
      </w:r>
      <w:r>
        <w:t>In</w:t>
      </w:r>
      <w:r w:rsidR="00C64050">
        <w:t xml:space="preserve"> </w:t>
      </w:r>
      <w:r>
        <w:t>light</w:t>
      </w:r>
      <w:r w:rsidR="00C64050">
        <w:t xml:space="preserve"> </w:t>
      </w:r>
      <w:r>
        <w:t>of</w:t>
      </w:r>
      <w:r w:rsidR="00C64050">
        <w:t xml:space="preserve"> </w:t>
      </w:r>
      <w:r>
        <w:t>the</w:t>
      </w:r>
      <w:r w:rsidR="00C64050">
        <w:t xml:space="preserve"> </w:t>
      </w:r>
      <w:r>
        <w:t>plain</w:t>
      </w:r>
      <w:r w:rsidR="00C64050">
        <w:t xml:space="preserve"> </w:t>
      </w:r>
      <w:r>
        <w:t>statutory</w:t>
      </w:r>
      <w:r w:rsidR="00C64050">
        <w:t xml:space="preserve"> </w:t>
      </w:r>
      <w:r>
        <w:t>language</w:t>
      </w:r>
      <w:r w:rsidR="00C64050">
        <w:t xml:space="preserve"> </w:t>
      </w:r>
      <w:r>
        <w:t>requiring</w:t>
      </w:r>
      <w:r w:rsidR="00C64050">
        <w:t xml:space="preserve"> </w:t>
      </w:r>
      <w:r>
        <w:t>the</w:t>
      </w:r>
      <w:r w:rsidR="00C64050">
        <w:t xml:space="preserve"> </w:t>
      </w:r>
      <w:r>
        <w:t>court</w:t>
      </w:r>
      <w:r w:rsidR="00C64050">
        <w:t xml:space="preserve"> </w:t>
      </w:r>
      <w:r>
        <w:t>to</w:t>
      </w:r>
      <w:r w:rsidR="00C64050">
        <w:t xml:space="preserve"> </w:t>
      </w:r>
      <w:r>
        <w:t>approve</w:t>
      </w:r>
      <w:r w:rsidR="00C64050">
        <w:t xml:space="preserve"> </w:t>
      </w:r>
      <w:r>
        <w:t>a</w:t>
      </w:r>
      <w:r w:rsidR="00C64050">
        <w:t xml:space="preserve"> </w:t>
      </w:r>
      <w:r>
        <w:t>modification</w:t>
      </w:r>
      <w:r w:rsidR="00C64050">
        <w:t xml:space="preserve"> </w:t>
      </w:r>
      <w:r>
        <w:t>under</w:t>
      </w:r>
      <w:r w:rsidR="00C64050">
        <w:t xml:space="preserve"> </w:t>
      </w:r>
      <w:r>
        <w:t>the</w:t>
      </w:r>
      <w:r w:rsidR="00C64050">
        <w:t xml:space="preserve"> </w:t>
      </w:r>
      <w:r>
        <w:t>terms</w:t>
      </w:r>
      <w:r w:rsidR="00C64050">
        <w:t xml:space="preserve"> </w:t>
      </w:r>
      <w:r>
        <w:t>in</w:t>
      </w:r>
      <w:r w:rsidR="00C64050">
        <w:t xml:space="preserve"> </w:t>
      </w:r>
      <w:r>
        <w:t>the</w:t>
      </w:r>
      <w:r w:rsidR="00C64050">
        <w:t xml:space="preserve"> </w:t>
      </w:r>
      <w:r>
        <w:t>Modification</w:t>
      </w:r>
      <w:r w:rsidR="00C64050">
        <w:t xml:space="preserve"> </w:t>
      </w:r>
      <w:r>
        <w:t>Statute,</w:t>
      </w:r>
      <w:r w:rsidR="00C64050">
        <w:t xml:space="preserve"> </w:t>
      </w:r>
      <w:r>
        <w:t>we</w:t>
      </w:r>
      <w:r w:rsidR="00C64050">
        <w:t xml:space="preserve"> </w:t>
      </w:r>
      <w:r>
        <w:t>will</w:t>
      </w:r>
      <w:r w:rsidR="00C64050">
        <w:t xml:space="preserve"> </w:t>
      </w:r>
      <w:r>
        <w:t>not</w:t>
      </w:r>
      <w:r w:rsidR="00C64050">
        <w:t xml:space="preserve"> </w:t>
      </w:r>
      <w:r>
        <w:t>read</w:t>
      </w:r>
      <w:r w:rsidR="00C64050">
        <w:t xml:space="preserve"> </w:t>
      </w:r>
      <w:r>
        <w:t>into</w:t>
      </w:r>
      <w:r w:rsidR="00C64050">
        <w:t xml:space="preserve"> </w:t>
      </w:r>
      <w:r>
        <w:t>the</w:t>
      </w:r>
      <w:r w:rsidR="00C64050">
        <w:t xml:space="preserve"> </w:t>
      </w:r>
      <w:r>
        <w:t>Code</w:t>
      </w:r>
      <w:r w:rsidR="00C64050">
        <w:t xml:space="preserve"> </w:t>
      </w:r>
      <w:r>
        <w:t>a</w:t>
      </w:r>
      <w:r w:rsidR="00C64050">
        <w:t xml:space="preserve"> </w:t>
      </w:r>
      <w:r>
        <w:t>limitation</w:t>
      </w:r>
      <w:r w:rsidR="00C64050">
        <w:t xml:space="preserve"> </w:t>
      </w:r>
      <w:r>
        <w:t>that</w:t>
      </w:r>
      <w:r w:rsidR="00C64050">
        <w:t xml:space="preserve"> </w:t>
      </w:r>
      <w:r>
        <w:t>is</w:t>
      </w:r>
      <w:r w:rsidR="00C64050">
        <w:t xml:space="preserve"> </w:t>
      </w:r>
      <w:r>
        <w:t>absent.</w:t>
      </w:r>
    </w:p>
    <w:p w:rsidR="00E1222F" w:rsidRDefault="00E1222F" w:rsidP="00E1222F">
      <w:pPr>
        <w:pStyle w:val="Body15"/>
      </w:pPr>
      <w:r>
        <w:t>Footnote 17 states:</w:t>
      </w:r>
    </w:p>
    <w:p w:rsidR="00E1222F" w:rsidRPr="00D600A9" w:rsidRDefault="00E1222F" w:rsidP="00E1222F">
      <w:pPr>
        <w:pStyle w:val="QS10"/>
      </w:pPr>
      <w:r w:rsidRPr="00D600A9">
        <w:t>The 2018 amendment to the Modification Statute was part of a raft of Trust Code changes adopted in the same bill. See Ga. L. 2018, p. 262. Notably, the Removal Statute does not say a “trustee may</w:t>
      </w:r>
      <w:r>
        <w:t xml:space="preserve"> </w:t>
      </w:r>
      <w:r w:rsidRPr="00D600A9">
        <w:rPr>
          <w:rStyle w:val="Emphasis"/>
          <w:iCs w:val="0"/>
        </w:rPr>
        <w:t>only</w:t>
      </w:r>
      <w:r>
        <w:rPr>
          <w:rStyle w:val="Emphasis"/>
          <w:i w:val="0"/>
          <w:iCs w:val="0"/>
        </w:rPr>
        <w:t xml:space="preserve"> </w:t>
      </w:r>
      <w:r w:rsidRPr="00D600A9">
        <w:t>be remove</w:t>
      </w:r>
      <w:r>
        <w:t xml:space="preserve">d” for good cause. Compare with </w:t>
      </w:r>
      <w:hyperlink r:id="rId438" w:anchor="co_pp_a83b000018c76" w:history="1">
        <w:r w:rsidRPr="00D600A9">
          <w:rPr>
            <w:rStyle w:val="Hyperlink"/>
            <w:color w:val="auto"/>
            <w:u w:val="none"/>
          </w:rPr>
          <w:t>OCGA § 53-12-501 (b) (2)</w:t>
        </w:r>
      </w:hyperlink>
      <w:r w:rsidRPr="00D600A9">
        <w:t> (“This article shall not apply to ... [a] power to appoint or remove a trustee or trust director.”). To the contrary, the legislature did not change the language in </w:t>
      </w:r>
      <w:hyperlink r:id="rId439" w:history="1">
        <w:r w:rsidRPr="00D600A9">
          <w:rPr>
            <w:rStyle w:val="Hyperlink"/>
            <w:color w:val="auto"/>
            <w:u w:val="none"/>
          </w:rPr>
          <w:t>OCGA § 53-12-221</w:t>
        </w:r>
      </w:hyperlink>
      <w:r w:rsidRPr="00D600A9">
        <w:t> that affords the authority to remove a trustee in accordance with the terms of the trust, even as it granted authority to modify trust terms under </w:t>
      </w:r>
      <w:hyperlink r:id="rId440" w:history="1">
        <w:r w:rsidRPr="00D600A9">
          <w:rPr>
            <w:rStyle w:val="Hyperlink"/>
            <w:color w:val="auto"/>
            <w:u w:val="none"/>
          </w:rPr>
          <w:t>OCGA § 53-12-61</w:t>
        </w:r>
      </w:hyperlink>
      <w:r w:rsidRPr="00D600A9">
        <w:t>.</w:t>
      </w:r>
    </w:p>
    <w:p w:rsidR="00EB1C03" w:rsidRPr="00EB1C03" w:rsidRDefault="00674577" w:rsidP="00B66CCE">
      <w:pPr>
        <w:pStyle w:val="Heading20"/>
        <w:numPr>
          <w:ilvl w:val="1"/>
          <w:numId w:val="33"/>
        </w:numPr>
        <w:tabs>
          <w:tab w:val="clear" w:pos="2700"/>
        </w:tabs>
        <w:spacing w:before="240"/>
        <w:ind w:left="0"/>
        <w:rPr>
          <w:vanish/>
          <w:specVanish/>
        </w:rPr>
      </w:pPr>
      <w:bookmarkStart w:id="809" w:name="_Toc94704699"/>
      <w:r>
        <w:rPr>
          <w:b/>
          <w:u w:val="single"/>
        </w:rPr>
        <w:t>Gift Causa Mortis</w:t>
      </w:r>
      <w:bookmarkEnd w:id="809"/>
    </w:p>
    <w:p w:rsidR="00674577" w:rsidRDefault="00674577" w:rsidP="00EB1C03">
      <w:pPr>
        <w:pStyle w:val="Heading2Body"/>
      </w:pPr>
      <w:r>
        <w:t xml:space="preserve">.  Sad circumstances produced a fascinating case in </w:t>
      </w:r>
      <w:r>
        <w:rPr>
          <w:u w:val="single"/>
        </w:rPr>
        <w:t>In re Estate of Oaks</w:t>
      </w:r>
      <w:r w:rsidR="003A708C">
        <w:t xml:space="preserve">, </w:t>
      </w:r>
      <w:r w:rsidR="004F395A" w:rsidRPr="004F395A">
        <w:t>944 N.W.2d 6112</w:t>
      </w:r>
      <w:r w:rsidR="003A708C">
        <w:t xml:space="preserve"> (</w:t>
      </w:r>
      <w:r w:rsidR="008467FE">
        <w:t>Wis. Ct. App. 2020).  The facts were simple:</w:t>
      </w:r>
    </w:p>
    <w:p w:rsidR="007B60AB" w:rsidRDefault="007B60AB" w:rsidP="007B60AB">
      <w:pPr>
        <w:pStyle w:val="QS10"/>
      </w:pPr>
      <w:r>
        <w:t>Stouff and Oaks were in a romantic relationship for over twenty-three years—from February 1995 until Oaks’ death on March 8, 2018. They never married, but they lived together for approximately ten years—from 2008 until Oaks’ death. Oaks had been divorced twice and had an adult daughter, Cheri Wardell, who was not Stouff’s offspring. It is undisputed that Oaks and Wardell did not have a “close relationship” and were “estranged for many years” prior to Oaks’ death.</w:t>
      </w:r>
    </w:p>
    <w:p w:rsidR="007B60AB" w:rsidRDefault="007B60AB" w:rsidP="007B60AB">
      <w:pPr>
        <w:pStyle w:val="QS10"/>
      </w:pPr>
      <w:r>
        <w:t>In the early morning hours of March 8, 2018, Oaks fatally shot himself in the head in the home he shared with Stouff, while Stouff was asleep upstairs. Stouff woke when she heard a loud bang, and when she went downstairs to investigate, she found two handwritten notes on a table. The first note read:</w:t>
      </w:r>
    </w:p>
    <w:p w:rsidR="007B60AB" w:rsidRDefault="007B60AB" w:rsidP="007B60AB">
      <w:pPr>
        <w:pStyle w:val="QS10"/>
        <w:ind w:left="2160"/>
      </w:pPr>
      <w:r>
        <w:t>3-7-18</w:t>
      </w:r>
    </w:p>
    <w:p w:rsidR="007B60AB" w:rsidRDefault="007B60AB" w:rsidP="007B60AB">
      <w:pPr>
        <w:pStyle w:val="QS10"/>
        <w:ind w:left="2160"/>
      </w:pPr>
      <w:r>
        <w:t>Lynne Stouff has been my companion and my crutch for a long while.</w:t>
      </w:r>
    </w:p>
    <w:p w:rsidR="007B60AB" w:rsidRDefault="007B60AB" w:rsidP="007B60AB">
      <w:pPr>
        <w:pStyle w:val="QS10"/>
        <w:ind w:left="2160"/>
      </w:pPr>
      <w:r>
        <w:t>As I leave this existence I want all worldly belongings to be assigned to Lynne.</w:t>
      </w:r>
    </w:p>
    <w:p w:rsidR="007B60AB" w:rsidRDefault="007B60AB" w:rsidP="007B60AB">
      <w:pPr>
        <w:pStyle w:val="QS10"/>
        <w:ind w:left="2160"/>
      </w:pPr>
      <w:r>
        <w:t>David Oaks</w:t>
      </w:r>
    </w:p>
    <w:p w:rsidR="007B60AB" w:rsidRDefault="007B60AB" w:rsidP="007B60AB">
      <w:pPr>
        <w:pStyle w:val="QS10"/>
      </w:pPr>
      <w:r>
        <w:t>The second note read:</w:t>
      </w:r>
    </w:p>
    <w:p w:rsidR="007B60AB" w:rsidRDefault="007B60AB" w:rsidP="007B60AB">
      <w:pPr>
        <w:pStyle w:val="QS10"/>
        <w:ind w:left="2160"/>
      </w:pPr>
      <w:r>
        <w:t>Lynne—</w:t>
      </w:r>
    </w:p>
    <w:p w:rsidR="007B60AB" w:rsidRDefault="007B60AB" w:rsidP="007B60AB">
      <w:pPr>
        <w:pStyle w:val="QS10"/>
        <w:ind w:left="2160"/>
      </w:pPr>
      <w:r>
        <w:t>This is all I can go with this—Thank you for being there for me all these years.</w:t>
      </w:r>
    </w:p>
    <w:p w:rsidR="007B60AB" w:rsidRDefault="007B60AB" w:rsidP="007B60AB">
      <w:pPr>
        <w:pStyle w:val="QS10"/>
        <w:ind w:left="2160"/>
      </w:pPr>
      <w:r>
        <w:t>I love you.</w:t>
      </w:r>
    </w:p>
    <w:p w:rsidR="007B60AB" w:rsidRDefault="007B60AB" w:rsidP="007B60AB">
      <w:pPr>
        <w:pStyle w:val="QS10"/>
      </w:pPr>
      <w:r>
        <w:t xml:space="preserve">It is undisputed that Oaks died intestate—that is, without a valid will. </w:t>
      </w:r>
      <w:r w:rsidRPr="007B60AB">
        <w:rPr>
          <w:i/>
          <w:iCs/>
        </w:rPr>
        <w:t>See Intestate</w:t>
      </w:r>
      <w:r>
        <w:rPr>
          <w:i/>
          <w:iCs/>
        </w:rPr>
        <w:t xml:space="preserve">, </w:t>
      </w:r>
      <w:r w:rsidRPr="007B60AB">
        <w:t>BLACK'S LAW DICTIONARY</w:t>
      </w:r>
      <w:r>
        <w:t xml:space="preserve"> (11th ed. 2019). It is further undisputed that Oaks died unmarried and that Wardell was his only child. As such, Oaks’ entire estate would normally pass to Wardell under the general rules of intestate succession, as set forth in </w:t>
      </w:r>
      <w:r w:rsidRPr="007B60AB">
        <w:rPr>
          <w:caps/>
          <w:color w:val="000000" w:themeColor="text1"/>
        </w:rPr>
        <w:t>WIS. STAT</w:t>
      </w:r>
      <w:r>
        <w:rPr>
          <w:caps/>
          <w:color w:val="145DA4"/>
        </w:rPr>
        <w:t xml:space="preserve">. </w:t>
      </w:r>
      <w:r w:rsidRPr="007B60AB">
        <w:rPr>
          <w:rFonts w:ascii="Arial" w:hAnsi="Arial" w:cs="Arial"/>
          <w:sz w:val="21"/>
          <w:szCs w:val="21"/>
        </w:rPr>
        <w:t>§ 852.01</w:t>
      </w:r>
      <w:r>
        <w:t> (2017-18).</w:t>
      </w:r>
    </w:p>
    <w:p w:rsidR="008467FE" w:rsidRDefault="008467FE" w:rsidP="008467FE">
      <w:pPr>
        <w:pStyle w:val="Body15"/>
      </w:pPr>
      <w:r>
        <w:t>The question before t</w:t>
      </w:r>
      <w:r w:rsidR="007B60AB">
        <w:t>h</w:t>
      </w:r>
      <w:r>
        <w:t>e court was whether a suicide can give rise to gift causa mortis.  The court held it could, reviewing authority going bot</w:t>
      </w:r>
      <w:r w:rsidR="007B60AB">
        <w:t>h</w:t>
      </w:r>
      <w:r>
        <w:t xml:space="preserve"> ways from other jurisdictions:</w:t>
      </w:r>
    </w:p>
    <w:p w:rsidR="007B60AB" w:rsidRDefault="007B60AB" w:rsidP="007B60AB">
      <w:pPr>
        <w:pStyle w:val="QS10"/>
      </w:pPr>
      <w:r>
        <w:t>The Estate argues that Stouff cannot meet the second and third requirements for a gift causa mortis. It concedes Stouff can prove that Oaks gifted property to her in anticipation of his death. However, the Estate argues Stouff cannot prove Oaks gifted that property in anticipation of his death from a present illness or external peril because suicide is not a present illness or external peril. Further, because Oaks died as a result of suicide, the Estate argues he did not die from a present illness or external peril. For these reasons, the Estate contends a gift causa mortis can never occur in the context of a donor’s suicide.</w:t>
      </w:r>
    </w:p>
    <w:p w:rsidR="007B60AB" w:rsidRDefault="007B60AB" w:rsidP="007B60AB">
      <w:pPr>
        <w:pStyle w:val="QS10"/>
      </w:pPr>
      <w:r>
        <w:t>While the Estate concedes that no Wisconsin case to date has addressed this issue, it asserts that “[h]istorically, the common law has maintained that a gift causa mortis made in contemplation of the donor’s suicide is void.” The Estate further contends that various other jurisdictions have followed this historical rule and have held that “death by suicide does not satisfy the requirement that a gift be made in expectation of imminent death from illness or impending peril.”</w:t>
      </w:r>
    </w:p>
    <w:p w:rsidR="007B60AB" w:rsidRDefault="007B60AB" w:rsidP="007B60AB">
      <w:pPr>
        <w:pStyle w:val="QS10"/>
      </w:pPr>
      <w:r>
        <w:t>We do not find the Estate’s argument in this regard persuasive. In making its argument, the Estate fails to distinguish between the manner of a donor’s death and the ultimate cause of the donor’s death. While the manner of death may be suicide, that suicide may, in some cases, have been caused by a present mental illness—for instance, depression. Accordingly, even in a case in which the donor died by suicide, a party may be able to show that the donor made a gift in expectation of his or her death from a present mental illness, and that the present mental illness caused the donor’s death. Thus, contrary to the Estate’s contention, the fact that a donor died by suicide does not automatically prevent a party from establishing that the donor made a gift causa mortis.</w:t>
      </w:r>
    </w:p>
    <w:p w:rsidR="007B60AB" w:rsidRDefault="007B60AB" w:rsidP="007B60AB">
      <w:pPr>
        <w:pStyle w:val="QS10"/>
      </w:pPr>
      <w:r>
        <w:t>In support of its argument to the contrary, the Estate relies primarily on two cases from other jurisdictions—</w:t>
      </w:r>
      <w:r w:rsidRPr="00314566">
        <w:rPr>
          <w:i/>
          <w:iCs/>
        </w:rPr>
        <w:t>Ray v. Leader Federal Savings &amp; Loan Ass'n</w:t>
      </w:r>
      <w:r w:rsidRPr="00314566">
        <w:t>, 40 Tenn.App. 625, 292 S.W.2d 458 (1953)</w:t>
      </w:r>
      <w:r>
        <w:t>, and </w:t>
      </w:r>
      <w:r w:rsidRPr="00314566">
        <w:rPr>
          <w:i/>
          <w:iCs/>
        </w:rPr>
        <w:t>Pikeville National Bank &amp; Trust Co. v. Shirley</w:t>
      </w:r>
      <w:r w:rsidRPr="00314566">
        <w:t>, 281 Ky. 150, 135 S.W.2d 426 (Ky. Ct. App. 1939)</w:t>
      </w:r>
      <w:r>
        <w:t>. However, neither of those cases supports the Estate’s argument that a gift causa mortis can never occur in the context of a donor’s suicide.</w:t>
      </w:r>
    </w:p>
    <w:p w:rsidR="007B60AB" w:rsidRPr="00314566" w:rsidRDefault="007B60AB" w:rsidP="007B60AB">
      <w:pPr>
        <w:pStyle w:val="QS10"/>
        <w:rPr>
          <w:color w:val="000000" w:themeColor="text1"/>
          <w:szCs w:val="20"/>
        </w:rPr>
      </w:pPr>
      <w:r>
        <w:t>In</w:t>
      </w:r>
      <w:r w:rsidR="00314566">
        <w:t xml:space="preserve"> </w:t>
      </w:r>
      <w:r w:rsidRPr="00314566">
        <w:rPr>
          <w:i/>
          <w:iCs/>
        </w:rPr>
        <w:t>Ray</w:t>
      </w:r>
      <w:r>
        <w:t xml:space="preserve">, the Tennessee Court of Appeals was confronted with the following question when analyzing an alleged gift causa mortis: “Does death by contemplated suicide by a person who is presumed to be physically and mentally well, as in the instant case, arise from an apprehension due to a peculiar sickness, peril </w:t>
      </w:r>
      <w:r w:rsidRPr="00314566">
        <w:rPr>
          <w:szCs w:val="20"/>
        </w:rPr>
        <w:t>or danger?” </w:t>
      </w:r>
      <w:r w:rsidRPr="00314566">
        <w:rPr>
          <w:rStyle w:val="Emphasis"/>
          <w:color w:val="000000" w:themeColor="text1"/>
          <w:szCs w:val="20"/>
        </w:rPr>
        <w:t>Ray</w:t>
      </w:r>
      <w:r w:rsidRPr="00314566">
        <w:rPr>
          <w:szCs w:val="20"/>
        </w:rPr>
        <w:t>, 292 S.W.2d at 467. In answe</w:t>
      </w:r>
      <w:r>
        <w:t>ring that question, the court observed there was “nothing in the record to indicate that [the deceased] was not fully possessed of his mental faculties” at the time of his suici</w:t>
      </w:r>
      <w:r w:rsidRPr="00314566">
        <w:rPr>
          <w:szCs w:val="20"/>
        </w:rPr>
        <w:t>de. </w:t>
      </w:r>
      <w:r w:rsidRPr="00314566">
        <w:rPr>
          <w:rStyle w:val="Emphasis"/>
          <w:color w:val="000000" w:themeColor="text1"/>
          <w:szCs w:val="20"/>
        </w:rPr>
        <w:t>Id.</w:t>
      </w:r>
      <w:r w:rsidRPr="00314566">
        <w:rPr>
          <w:szCs w:val="20"/>
        </w:rPr>
        <w:t> On th</w:t>
      </w:r>
      <w:r>
        <w:t>ose facts, the court concluded that “[s]ickness, peril and danger, as used in definitions of [gifts] causa mortis ... mean something other than a determination of an individual who is presumed to be well, physically and mentally, to take</w:t>
      </w:r>
      <w:r w:rsidRPr="00314566">
        <w:rPr>
          <w:color w:val="000000" w:themeColor="text1"/>
          <w:szCs w:val="20"/>
        </w:rPr>
        <w:t xml:space="preserve"> his life.” </w:t>
      </w:r>
      <w:r w:rsidRPr="00314566">
        <w:rPr>
          <w:rStyle w:val="Emphasis"/>
          <w:color w:val="000000" w:themeColor="text1"/>
          <w:szCs w:val="20"/>
        </w:rPr>
        <w:t>Id.</w:t>
      </w:r>
    </w:p>
    <w:p w:rsidR="007B60AB" w:rsidRPr="00314566" w:rsidRDefault="007B60AB" w:rsidP="007B60AB">
      <w:pPr>
        <w:pStyle w:val="QS10"/>
        <w:rPr>
          <w:color w:val="000000" w:themeColor="text1"/>
          <w:szCs w:val="20"/>
        </w:rPr>
      </w:pPr>
      <w:r w:rsidRPr="00314566">
        <w:rPr>
          <w:color w:val="000000" w:themeColor="text1"/>
          <w:szCs w:val="20"/>
        </w:rPr>
        <w:t>As the above excerpts make clear, </w:t>
      </w:r>
      <w:r w:rsidRPr="00314566">
        <w:rPr>
          <w:rStyle w:val="Emphasis"/>
          <w:color w:val="000000" w:themeColor="text1"/>
          <w:szCs w:val="20"/>
        </w:rPr>
        <w:t>Ray</w:t>
      </w:r>
      <w:r w:rsidRPr="00314566">
        <w:rPr>
          <w:color w:val="000000" w:themeColor="text1"/>
          <w:szCs w:val="20"/>
        </w:rPr>
        <w:t> addressed whether a gift causa mortis could occur in circumstances where the donor was “presumed to be physically and mentally well” at the time of his suicide. </w:t>
      </w:r>
      <w:r w:rsidRPr="00314566">
        <w:rPr>
          <w:rStyle w:val="Emphasis"/>
          <w:color w:val="000000" w:themeColor="text1"/>
          <w:szCs w:val="20"/>
        </w:rPr>
        <w:t>Id. Ray</w:t>
      </w:r>
      <w:r w:rsidRPr="00314566">
        <w:rPr>
          <w:color w:val="000000" w:themeColor="text1"/>
          <w:szCs w:val="20"/>
        </w:rPr>
        <w:t> did not address whether a gift causa mortis can occur when the donor’s suicide was caused by a present mental illness. Accordingly, </w:t>
      </w:r>
      <w:r w:rsidRPr="00314566">
        <w:rPr>
          <w:rStyle w:val="Emphasis"/>
          <w:color w:val="000000" w:themeColor="text1"/>
          <w:szCs w:val="20"/>
        </w:rPr>
        <w:t>Ray</w:t>
      </w:r>
      <w:r w:rsidRPr="00314566">
        <w:rPr>
          <w:color w:val="000000" w:themeColor="text1"/>
          <w:szCs w:val="20"/>
        </w:rPr>
        <w:t> does not compel a conclusion that a gift causa mortis can never occur when the donor died by suicide.</w:t>
      </w:r>
    </w:p>
    <w:p w:rsidR="007B60AB" w:rsidRPr="00314566" w:rsidRDefault="007B60AB" w:rsidP="007B60AB">
      <w:pPr>
        <w:pStyle w:val="QS10"/>
        <w:rPr>
          <w:color w:val="000000" w:themeColor="text1"/>
          <w:szCs w:val="20"/>
        </w:rPr>
      </w:pPr>
      <w:r w:rsidRPr="00314566">
        <w:rPr>
          <w:color w:val="000000" w:themeColor="text1"/>
          <w:szCs w:val="20"/>
        </w:rPr>
        <w:t>The Estate’s reliance on </w:t>
      </w:r>
      <w:r w:rsidRPr="00314566">
        <w:rPr>
          <w:rStyle w:val="Emphasis"/>
          <w:color w:val="000000" w:themeColor="text1"/>
          <w:szCs w:val="20"/>
        </w:rPr>
        <w:t>Pikeville National Bank</w:t>
      </w:r>
      <w:r w:rsidRPr="00314566">
        <w:rPr>
          <w:color w:val="000000" w:themeColor="text1"/>
          <w:szCs w:val="20"/>
        </w:rPr>
        <w:t> is similarly misplaced. In that case, the Kentucky Court of Appeals concluded certain gifts made before the donor’s suicide did not qualify as gifts causa mortis “because vital and necessary elements [were] lacking, one of which is that such gifts must be made in expectation of imminent death from a disease or peril then impending.” </w:t>
      </w:r>
      <w:r w:rsidRPr="00314566">
        <w:rPr>
          <w:rStyle w:val="Emphasis"/>
          <w:color w:val="000000" w:themeColor="text1"/>
          <w:szCs w:val="20"/>
        </w:rPr>
        <w:t>Pikeville Nat'l Bank</w:t>
      </w:r>
      <w:r w:rsidRPr="00314566">
        <w:rPr>
          <w:color w:val="000000" w:themeColor="text1"/>
          <w:szCs w:val="20"/>
        </w:rPr>
        <w:t>, 135 S.W.2d at 429. The court reasoned:</w:t>
      </w:r>
    </w:p>
    <w:p w:rsidR="007B60AB" w:rsidRPr="00314566" w:rsidRDefault="007B60AB" w:rsidP="00314566">
      <w:pPr>
        <w:pStyle w:val="QS10"/>
        <w:ind w:left="2160"/>
        <w:rPr>
          <w:color w:val="000000" w:themeColor="text1"/>
          <w:szCs w:val="20"/>
        </w:rPr>
      </w:pPr>
      <w:r w:rsidRPr="00314566">
        <w:rPr>
          <w:color w:val="000000" w:themeColor="text1"/>
          <w:szCs w:val="20"/>
        </w:rPr>
        <w:t>While it is alleged in the petition and admitted by answer that decedent was afflicted with tuberculosis, he did not die of that disease, but came to his death by self-destruction which the record indicates he had contemplated and determined upon several days before he carried his determined purpose into effect. Normal men are the arbiters of their own fate so far as suicide is concerned, since that is a matter within their own power of control.</w:t>
      </w:r>
    </w:p>
    <w:p w:rsidR="007B60AB" w:rsidRPr="00314566" w:rsidRDefault="007B60AB" w:rsidP="007B60AB">
      <w:pPr>
        <w:pStyle w:val="QS10"/>
        <w:rPr>
          <w:color w:val="000000" w:themeColor="text1"/>
          <w:szCs w:val="20"/>
        </w:rPr>
      </w:pPr>
      <w:r w:rsidRPr="00314566">
        <w:rPr>
          <w:rStyle w:val="Emphasis"/>
          <w:color w:val="000000" w:themeColor="text1"/>
          <w:szCs w:val="20"/>
        </w:rPr>
        <w:t>Id.</w:t>
      </w:r>
    </w:p>
    <w:p w:rsidR="007B60AB" w:rsidRPr="00314566" w:rsidRDefault="007B60AB" w:rsidP="007B60AB">
      <w:pPr>
        <w:pStyle w:val="QS10"/>
        <w:rPr>
          <w:color w:val="000000" w:themeColor="text1"/>
          <w:szCs w:val="20"/>
        </w:rPr>
      </w:pPr>
      <w:r w:rsidRPr="00314566">
        <w:rPr>
          <w:color w:val="000000" w:themeColor="text1"/>
          <w:szCs w:val="20"/>
        </w:rPr>
        <w:t>The court in </w:t>
      </w:r>
      <w:r w:rsidRPr="00314566">
        <w:rPr>
          <w:rStyle w:val="Emphasis"/>
          <w:color w:val="000000" w:themeColor="text1"/>
          <w:szCs w:val="20"/>
        </w:rPr>
        <w:t>Pikeville National Bank</w:t>
      </w:r>
      <w:r w:rsidRPr="00314566">
        <w:rPr>
          <w:color w:val="000000" w:themeColor="text1"/>
          <w:szCs w:val="20"/>
        </w:rPr>
        <w:t> considered a donor who had contemplated suicide for several days before making a decision to act. In addition, the court presumed that the donor was a “normal” man whose decision to end his life was a rational choice within his own power and control. As in </w:t>
      </w:r>
      <w:hyperlink r:id="rId441" w:history="1">
        <w:r w:rsidRPr="00314566">
          <w:rPr>
            <w:rStyle w:val="Emphasis"/>
            <w:color w:val="000000" w:themeColor="text1"/>
            <w:szCs w:val="20"/>
          </w:rPr>
          <w:t>Ray</w:t>
        </w:r>
      </w:hyperlink>
      <w:r w:rsidRPr="00314566">
        <w:rPr>
          <w:color w:val="000000" w:themeColor="text1"/>
          <w:szCs w:val="20"/>
        </w:rPr>
        <w:t>, the court did not consider a situation in which the donor died by suicide as a result of a present mental illness. For that reason, neither </w:t>
      </w:r>
      <w:r w:rsidRPr="00314566">
        <w:rPr>
          <w:rStyle w:val="Emphasis"/>
          <w:color w:val="000000" w:themeColor="text1"/>
          <w:szCs w:val="20"/>
        </w:rPr>
        <w:t>Ray</w:t>
      </w:r>
      <w:r w:rsidRPr="00314566">
        <w:rPr>
          <w:color w:val="000000" w:themeColor="text1"/>
          <w:szCs w:val="20"/>
        </w:rPr>
        <w:t> nor </w:t>
      </w:r>
      <w:r w:rsidRPr="00314566">
        <w:rPr>
          <w:rStyle w:val="Emphasis"/>
          <w:color w:val="000000" w:themeColor="text1"/>
          <w:szCs w:val="20"/>
        </w:rPr>
        <w:t>Pikeville National Bank</w:t>
      </w:r>
      <w:r w:rsidRPr="00314566">
        <w:rPr>
          <w:color w:val="000000" w:themeColor="text1"/>
          <w:szCs w:val="20"/>
        </w:rPr>
        <w:t> convinces us that a gift causa mortis can never occur in the context of a donor’s suicide.</w:t>
      </w:r>
      <w:hyperlink r:id="rId442" w:anchor="co_footnote_B00052051160399" w:history="1">
        <w:r w:rsidRPr="00314566">
          <w:rPr>
            <w:rStyle w:val="Hyperlink"/>
            <w:color w:val="000000" w:themeColor="text1"/>
            <w:szCs w:val="20"/>
            <w:vertAlign w:val="superscript"/>
          </w:rPr>
          <w:t>4</w:t>
        </w:r>
      </w:hyperlink>
    </w:p>
    <w:p w:rsidR="007B60AB" w:rsidRPr="00314566" w:rsidRDefault="007B60AB" w:rsidP="007B60AB">
      <w:pPr>
        <w:pStyle w:val="QS10"/>
        <w:rPr>
          <w:color w:val="000000" w:themeColor="text1"/>
          <w:szCs w:val="20"/>
        </w:rPr>
      </w:pPr>
      <w:r w:rsidRPr="00314566">
        <w:rPr>
          <w:color w:val="000000" w:themeColor="text1"/>
          <w:szCs w:val="20"/>
        </w:rPr>
        <w:t>We find more persuasive two cases from other jurisdictions, in which the courts concluded a gift causa mortis had occurred where the donor’s suicide was the result of a present mental illness. In the first of those cases, the evidence showed that the donor was in “a serious state of mental depression” following his divorce. </w:t>
      </w:r>
      <w:r w:rsidRPr="00314566">
        <w:rPr>
          <w:rStyle w:val="Emphasis"/>
          <w:color w:val="000000" w:themeColor="text1"/>
          <w:szCs w:val="20"/>
        </w:rPr>
        <w:t>In re Van Wormer's Estate</w:t>
      </w:r>
      <w:r w:rsidRPr="00314566">
        <w:rPr>
          <w:color w:val="000000" w:themeColor="text1"/>
          <w:szCs w:val="20"/>
        </w:rPr>
        <w:t>, 255 Mich. 399, 238 N.W. 210, 210-11 (1931). He told his mother that he was going to California to “go just as far away as he could from his troubles.” </w:t>
      </w:r>
      <w:r w:rsidRPr="00314566">
        <w:rPr>
          <w:rStyle w:val="Emphasis"/>
          <w:color w:val="000000" w:themeColor="text1"/>
          <w:szCs w:val="20"/>
        </w:rPr>
        <w:t>Id.</w:t>
      </w:r>
      <w:r w:rsidRPr="00314566">
        <w:rPr>
          <w:color w:val="000000" w:themeColor="text1"/>
          <w:szCs w:val="20"/>
        </w:rPr>
        <w:t> at 211. Before leaving, the donor purchased stock and directed that it be issued in his brother’s name. </w:t>
      </w:r>
      <w:hyperlink r:id="rId443" w:history="1">
        <w:r w:rsidRPr="00314566">
          <w:rPr>
            <w:rStyle w:val="Emphasis"/>
            <w:color w:val="000000" w:themeColor="text1"/>
            <w:szCs w:val="20"/>
          </w:rPr>
          <w:t>Id.</w:t>
        </w:r>
      </w:hyperlink>
      <w:r w:rsidRPr="00314566">
        <w:rPr>
          <w:color w:val="000000" w:themeColor="text1"/>
          <w:szCs w:val="20"/>
        </w:rPr>
        <w:t> He then traveled to California, and while there he died by suicide. </w:t>
      </w:r>
      <w:hyperlink r:id="rId444" w:history="1">
        <w:r w:rsidRPr="00314566">
          <w:rPr>
            <w:rStyle w:val="Emphasis"/>
            <w:color w:val="000000" w:themeColor="text1"/>
            <w:szCs w:val="20"/>
          </w:rPr>
          <w:t>Id.</w:t>
        </w:r>
      </w:hyperlink>
    </w:p>
    <w:p w:rsidR="007B60AB" w:rsidRPr="00314566" w:rsidRDefault="007B60AB" w:rsidP="007B60AB">
      <w:pPr>
        <w:pStyle w:val="QS10"/>
        <w:rPr>
          <w:color w:val="000000" w:themeColor="text1"/>
          <w:szCs w:val="20"/>
        </w:rPr>
      </w:pPr>
      <w:r w:rsidRPr="00314566">
        <w:rPr>
          <w:color w:val="000000" w:themeColor="text1"/>
          <w:szCs w:val="20"/>
        </w:rPr>
        <w:t>The Michigan Supreme Court concluded the donor’s purchase of stock in his brother’s name was a gift causa mortis. The court stated a gift causa mortis “cannot be sustained unless it appears from the record that at the time of the transaction the donor believed he was suffering from an affliction from which he might not recover and from which in fact he did not.” </w:t>
      </w:r>
      <w:r w:rsidRPr="00314566">
        <w:rPr>
          <w:rStyle w:val="Emphasis"/>
          <w:color w:val="000000" w:themeColor="text1"/>
          <w:szCs w:val="20"/>
        </w:rPr>
        <w:t>Id.</w:t>
      </w:r>
      <w:r w:rsidRPr="00314566">
        <w:rPr>
          <w:color w:val="000000" w:themeColor="text1"/>
          <w:szCs w:val="20"/>
        </w:rPr>
        <w:t> The court then concluded that requirement was satisfied in the case before it, explaining:</w:t>
      </w:r>
    </w:p>
    <w:p w:rsidR="007B60AB" w:rsidRPr="00314566" w:rsidRDefault="007B60AB" w:rsidP="00CA09B8">
      <w:pPr>
        <w:pStyle w:val="QS10"/>
        <w:ind w:left="2160"/>
        <w:rPr>
          <w:color w:val="000000" w:themeColor="text1"/>
          <w:szCs w:val="20"/>
        </w:rPr>
      </w:pPr>
      <w:r w:rsidRPr="00314566">
        <w:rPr>
          <w:color w:val="000000" w:themeColor="text1"/>
          <w:szCs w:val="20"/>
        </w:rPr>
        <w:t>The melancholia which evidently resulted in suicide had fastened itself upon [the] deceased before the date of the gift, and he obviously was convinced at that time that he could not continue on indefinitely in his depressed mental state. He attempted to travel away from his troubles. Weeks later he wrote, as quoted above, that he was then gradually getting a desire to want to live, and added in the same letter that he was then experiencing his first encouragement, and that he would probably return the middle of the summer, ‘provided I meet with any measure of improvement.’ The end a month later indicates he fought a losing fight. His gift made in contemplation should not be set aside.</w:t>
      </w:r>
    </w:p>
    <w:p w:rsidR="007B60AB" w:rsidRPr="00314566" w:rsidRDefault="007B60AB" w:rsidP="007B60AB">
      <w:pPr>
        <w:pStyle w:val="QS10"/>
        <w:rPr>
          <w:color w:val="000000" w:themeColor="text1"/>
          <w:szCs w:val="20"/>
        </w:rPr>
      </w:pPr>
      <w:r w:rsidRPr="00314566">
        <w:rPr>
          <w:rStyle w:val="Emphasis"/>
          <w:color w:val="000000" w:themeColor="text1"/>
          <w:szCs w:val="20"/>
        </w:rPr>
        <w:t>Id.</w:t>
      </w:r>
      <w:r w:rsidRPr="00314566">
        <w:rPr>
          <w:color w:val="000000" w:themeColor="text1"/>
          <w:szCs w:val="20"/>
        </w:rPr>
        <w:t> at 212.</w:t>
      </w:r>
    </w:p>
    <w:p w:rsidR="007B60AB" w:rsidRPr="00314566" w:rsidRDefault="007B60AB" w:rsidP="007B60AB">
      <w:pPr>
        <w:pStyle w:val="QS10"/>
        <w:rPr>
          <w:color w:val="000000" w:themeColor="text1"/>
          <w:szCs w:val="20"/>
        </w:rPr>
      </w:pPr>
      <w:r w:rsidRPr="00314566">
        <w:rPr>
          <w:color w:val="000000" w:themeColor="text1"/>
          <w:szCs w:val="20"/>
        </w:rPr>
        <w:t>The New Jersey Supreme Court reached a similar conclusion in </w:t>
      </w:r>
      <w:r w:rsidRPr="00314566">
        <w:rPr>
          <w:rStyle w:val="Emphasis"/>
          <w:color w:val="000000" w:themeColor="text1"/>
          <w:szCs w:val="20"/>
        </w:rPr>
        <w:t>Scherer v. Hyland</w:t>
      </w:r>
      <w:r w:rsidRPr="00314566">
        <w:rPr>
          <w:color w:val="000000" w:themeColor="text1"/>
          <w:szCs w:val="20"/>
        </w:rPr>
        <w:t>, 75 N.J. 127, 380 A.2d 698 (1977). There, the donor was “acutely depressed” during the weeks leading up to her death by suicide. </w:t>
      </w:r>
      <w:r w:rsidRPr="00314566">
        <w:rPr>
          <w:rStyle w:val="Emphasis"/>
          <w:color w:val="000000" w:themeColor="text1"/>
          <w:szCs w:val="20"/>
        </w:rPr>
        <w:t>Id.</w:t>
      </w:r>
      <w:r w:rsidRPr="00314566">
        <w:rPr>
          <w:color w:val="000000" w:themeColor="text1"/>
          <w:szCs w:val="20"/>
        </w:rPr>
        <w:t> at 699. Before her death, she left a note stating that she bequeathed all of her possessions to her romantic partner. </w:t>
      </w:r>
      <w:r w:rsidRPr="00314566">
        <w:rPr>
          <w:rStyle w:val="Emphasis"/>
          <w:color w:val="000000" w:themeColor="text1"/>
          <w:szCs w:val="20"/>
        </w:rPr>
        <w:t>Id.</w:t>
      </w:r>
      <w:r w:rsidRPr="00314566">
        <w:rPr>
          <w:color w:val="000000" w:themeColor="text1"/>
          <w:szCs w:val="20"/>
        </w:rPr>
        <w:t> at 699-700. Under those circumstances, the court concluded the donor had made a gift causa mortis. The court expressly rejected the appellant’s contention that suicide is “not the sort of peril that will sustain a gift causa mortis.” </w:t>
      </w:r>
      <w:r w:rsidRPr="00314566">
        <w:rPr>
          <w:rStyle w:val="Emphasis"/>
          <w:color w:val="000000" w:themeColor="text1"/>
          <w:szCs w:val="20"/>
        </w:rPr>
        <w:t>Id.</w:t>
      </w:r>
      <w:r w:rsidRPr="00314566">
        <w:rPr>
          <w:color w:val="000000" w:themeColor="text1"/>
          <w:szCs w:val="20"/>
        </w:rPr>
        <w:t> at 702. The court explained:</w:t>
      </w:r>
    </w:p>
    <w:p w:rsidR="007B60AB" w:rsidRPr="00314566" w:rsidRDefault="007B60AB" w:rsidP="00CA09B8">
      <w:pPr>
        <w:pStyle w:val="QS10"/>
        <w:ind w:left="2160"/>
        <w:rPr>
          <w:color w:val="000000" w:themeColor="text1"/>
          <w:szCs w:val="20"/>
        </w:rPr>
      </w:pPr>
      <w:r w:rsidRPr="00314566">
        <w:rPr>
          <w:color w:val="000000" w:themeColor="text1"/>
          <w:szCs w:val="20"/>
        </w:rPr>
        <w:t>While it is true that a gift causa mortis is made by the donor with a view to impending death, death is no less impending because of a resolve to commit suicide. Nor does that fixed purpose constitute any lesser or less imminent peril than does a ravaging disease. Indeed, given the despair sufficient to end it all, the peril attendant upon contemplated suicide may reasonably be viewed as even more imminent than that accompanying many illnesses which prove ultimately to be fatal. And, the notion that one in a state of mental depression serious enough to lead to suicide is somehow “freer” to renounce the depression and thus the danger than one suffering from a physical illness, although it has a certain augustinian appeal, has long since been replaced by more enlightened views of human psychology.</w:t>
      </w:r>
    </w:p>
    <w:p w:rsidR="007B60AB" w:rsidRPr="00314566" w:rsidRDefault="007B60AB" w:rsidP="007B60AB">
      <w:pPr>
        <w:pStyle w:val="QS10"/>
        <w:rPr>
          <w:color w:val="000000" w:themeColor="text1"/>
          <w:szCs w:val="20"/>
        </w:rPr>
      </w:pPr>
      <w:r w:rsidRPr="00314566">
        <w:rPr>
          <w:rStyle w:val="Emphasis"/>
          <w:color w:val="000000" w:themeColor="text1"/>
          <w:szCs w:val="20"/>
        </w:rPr>
        <w:t>Id.</w:t>
      </w:r>
      <w:r w:rsidRPr="00314566">
        <w:rPr>
          <w:color w:val="000000" w:themeColor="text1"/>
          <w:szCs w:val="20"/>
        </w:rPr>
        <w:t> (citations omitted).</w:t>
      </w:r>
    </w:p>
    <w:p w:rsidR="007B60AB" w:rsidRPr="00314566" w:rsidRDefault="007B60AB" w:rsidP="007B60AB">
      <w:pPr>
        <w:pStyle w:val="QS10"/>
        <w:rPr>
          <w:color w:val="000000" w:themeColor="text1"/>
          <w:szCs w:val="20"/>
        </w:rPr>
      </w:pPr>
      <w:r w:rsidRPr="00314566">
        <w:rPr>
          <w:color w:val="000000" w:themeColor="text1"/>
          <w:szCs w:val="20"/>
        </w:rPr>
        <w:t>Like the Michigan and New Jersey Supreme Courts, we conclude a gift causa mortis can occur in a case where the donor died by suicide as a result of a present mental illness. We therefore reject the Estate’s assertion that a gift causa mortis can never be enforced in a case where the donor died by suicide.</w:t>
      </w:r>
    </w:p>
    <w:p w:rsidR="008467FE" w:rsidRDefault="008467FE" w:rsidP="008467FE">
      <w:pPr>
        <w:pStyle w:val="Body15"/>
      </w:pPr>
      <w:r>
        <w:t>The court concluded the decedent was a Vietnam veteran with PTSD who was depressed.  The court also agreed that delivery occurred through the note:</w:t>
      </w:r>
    </w:p>
    <w:p w:rsidR="00CA09B8" w:rsidRDefault="00CA09B8" w:rsidP="00CA09B8">
      <w:pPr>
        <w:pStyle w:val="QS10"/>
      </w:pPr>
      <w:r>
        <w:t>Just before ending his life, Oaks left a note on a table in the home he shared with Stouff directing that all of his “worldly belongings” should go to Stouff upon his death. Stouff was already in physical possession of the residence and all of the property inside it, and she had access to indicia of ownership for the rest of Oaks’ belongings—i.e., keys to his vehicles, checkbooks, and bank account information. After leaving the note, Oaks fatally shot himself in the head while Stouff was asleep in the upper floor of their residence. Having been awoken by the gunshot, Stouff went downstairs and found the note on the table. We agree with Stouff that under these circumstances, “when Mr. Oaks left the note for Ms. Stouff on the table and when Ms. Stouff found the note, he completed delivery for the purpose of the gift causa mortis analysis.” (Emphasis omitted.)</w:t>
      </w:r>
    </w:p>
    <w:p w:rsidR="00CA09B8" w:rsidRPr="00CA09B8" w:rsidRDefault="00CA09B8" w:rsidP="00CA09B8">
      <w:pPr>
        <w:pStyle w:val="QS10"/>
        <w:rPr>
          <w:color w:val="000000" w:themeColor="text1"/>
          <w:szCs w:val="20"/>
        </w:rPr>
      </w:pPr>
      <w:r w:rsidRPr="00CA09B8">
        <w:rPr>
          <w:color w:val="000000" w:themeColor="text1"/>
          <w:szCs w:val="20"/>
        </w:rPr>
        <w:t>Our supreme court’s decision in </w:t>
      </w:r>
      <w:r w:rsidRPr="00CA09B8">
        <w:rPr>
          <w:rStyle w:val="Emphasis"/>
          <w:color w:val="000000" w:themeColor="text1"/>
          <w:szCs w:val="20"/>
        </w:rPr>
        <w:t>Sorenson</w:t>
      </w:r>
      <w:r w:rsidRPr="00CA09B8">
        <w:rPr>
          <w:color w:val="000000" w:themeColor="text1"/>
          <w:szCs w:val="20"/>
        </w:rPr>
        <w:t> further supports this conclusion. In that case, the court affirmed a circuit court’s finding that Edith Detjen had made a completed gift to Ann Friedmann of money in a bank account through the “symbolical delivery” to Friedmann of the account passbook. </w:t>
      </w:r>
      <w:r w:rsidRPr="00CA09B8">
        <w:rPr>
          <w:rStyle w:val="Emphasis"/>
          <w:color w:val="000000" w:themeColor="text1"/>
          <w:szCs w:val="20"/>
        </w:rPr>
        <w:t>Sorenson</w:t>
      </w:r>
      <w:r w:rsidRPr="00CA09B8">
        <w:rPr>
          <w:color w:val="000000" w:themeColor="text1"/>
          <w:szCs w:val="20"/>
        </w:rPr>
        <w:t>, 34 Wis. 2d at 55-56, 148 N.W.2d 745. The evidence in </w:t>
      </w:r>
      <w:hyperlink r:id="rId445" w:history="1">
        <w:r w:rsidRPr="00CA09B8">
          <w:rPr>
            <w:rStyle w:val="Emphasis"/>
            <w:color w:val="000000" w:themeColor="text1"/>
            <w:szCs w:val="20"/>
          </w:rPr>
          <w:t>Sorenson</w:t>
        </w:r>
      </w:hyperlink>
      <w:r w:rsidRPr="00CA09B8">
        <w:rPr>
          <w:color w:val="000000" w:themeColor="text1"/>
          <w:szCs w:val="20"/>
        </w:rPr>
        <w:t> showed that Detjen, who had been hemorrhaging from the mouth, was waiting at home for an ambulance to take her to the hospital. </w:t>
      </w:r>
      <w:r w:rsidRPr="00CA09B8">
        <w:rPr>
          <w:rStyle w:val="Emphasis"/>
          <w:color w:val="000000" w:themeColor="text1"/>
          <w:szCs w:val="20"/>
        </w:rPr>
        <w:t>Id. </w:t>
      </w:r>
      <w:r w:rsidRPr="00CA09B8">
        <w:rPr>
          <w:color w:val="000000" w:themeColor="text1"/>
          <w:szCs w:val="20"/>
        </w:rPr>
        <w:t>at 51, 148 N.W.2d 745. Two of her friends testified that while waiting for the ambulance, Detjen called Friedmann into the room and told Friedmann that “she was making a gift [to her] of the West Side Bank account and that she, Ann Friedmann, should withdraw the money.” </w:t>
      </w:r>
      <w:r w:rsidRPr="00CA09B8">
        <w:rPr>
          <w:rStyle w:val="Emphasis"/>
          <w:color w:val="000000" w:themeColor="text1"/>
          <w:szCs w:val="20"/>
        </w:rPr>
        <w:t>Id.</w:t>
      </w:r>
    </w:p>
    <w:p w:rsidR="00CA09B8" w:rsidRPr="00CA09B8" w:rsidRDefault="00CA09B8" w:rsidP="00CA09B8">
      <w:pPr>
        <w:pStyle w:val="QS10"/>
        <w:rPr>
          <w:color w:val="000000" w:themeColor="text1"/>
          <w:szCs w:val="20"/>
        </w:rPr>
      </w:pPr>
      <w:r w:rsidRPr="00CA09B8">
        <w:rPr>
          <w:color w:val="000000" w:themeColor="text1"/>
          <w:szCs w:val="20"/>
        </w:rPr>
        <w:t>The friends’ testimony differed, however, regarding Detjen’s delivery of the account passbook to Friedmann. One friend testified Detjen gave the passbook to Friedmann immediately after informing Friedmann of the gift. </w:t>
      </w:r>
      <w:r w:rsidRPr="00CA09B8">
        <w:rPr>
          <w:rStyle w:val="Emphasis"/>
          <w:color w:val="000000" w:themeColor="text1"/>
          <w:szCs w:val="20"/>
        </w:rPr>
        <w:t>Id.</w:t>
      </w:r>
      <w:r w:rsidRPr="00CA09B8">
        <w:rPr>
          <w:color w:val="000000" w:themeColor="text1"/>
          <w:szCs w:val="20"/>
        </w:rPr>
        <w:t> The other friend testified that Detjen stated the passbook was in a box inside a dresser drawer, but the same friend later testified that she saw a book of the same color as Detjen’s passbook in Friedmann’s hands. </w:t>
      </w:r>
      <w:r w:rsidRPr="00CA09B8">
        <w:rPr>
          <w:rStyle w:val="Emphasis"/>
          <w:color w:val="000000" w:themeColor="text1"/>
          <w:szCs w:val="20"/>
        </w:rPr>
        <w:t>Id. </w:t>
      </w:r>
      <w:r w:rsidRPr="00CA09B8">
        <w:rPr>
          <w:color w:val="000000" w:themeColor="text1"/>
          <w:szCs w:val="20"/>
        </w:rPr>
        <w:t>at 51-52, 148 N.W.2d 745. Friedmann testified Detjen had given her the passbook when the account was opened and it had been in Friedmann’s possession ever since. </w:t>
      </w:r>
      <w:r w:rsidRPr="00CA09B8">
        <w:rPr>
          <w:rStyle w:val="Emphasis"/>
          <w:color w:val="000000" w:themeColor="text1"/>
          <w:szCs w:val="20"/>
        </w:rPr>
        <w:t>Id. </w:t>
      </w:r>
      <w:r w:rsidRPr="00CA09B8">
        <w:rPr>
          <w:color w:val="000000" w:themeColor="text1"/>
          <w:szCs w:val="20"/>
        </w:rPr>
        <w:t>at 52, 148 N.W.2d 745. Our supreme court concluded these differences in the witnesses’ testimony were “immaterial,” explaining that “[p]roperty validly in the possession of the donee need not be returned to the donor so that it can be handed back to the donee.” </w:t>
      </w:r>
      <w:r w:rsidRPr="00CA09B8">
        <w:rPr>
          <w:rStyle w:val="Emphasis"/>
          <w:color w:val="000000" w:themeColor="text1"/>
          <w:szCs w:val="20"/>
        </w:rPr>
        <w:t>Id. </w:t>
      </w:r>
      <w:r w:rsidRPr="00CA09B8">
        <w:rPr>
          <w:color w:val="000000" w:themeColor="text1"/>
          <w:szCs w:val="20"/>
        </w:rPr>
        <w:t>at 55-56, 148 N.W.2d 745. In other words, the fact that Friedmann was—according to her own testimony—already in possession of the account passbook did not prevent Detjen from completing a valid delivery of the gift.</w:t>
      </w:r>
    </w:p>
    <w:p w:rsidR="00CA09B8" w:rsidRPr="00CA09B8" w:rsidRDefault="00CA09B8" w:rsidP="00CA09B8">
      <w:pPr>
        <w:pStyle w:val="QS10"/>
        <w:rPr>
          <w:color w:val="000000" w:themeColor="text1"/>
          <w:szCs w:val="20"/>
        </w:rPr>
      </w:pPr>
      <w:r w:rsidRPr="00CA09B8">
        <w:rPr>
          <w:color w:val="000000" w:themeColor="text1"/>
          <w:szCs w:val="20"/>
        </w:rPr>
        <w:t>Similarly, in this case, the fact that Stouff was already in possession of Oaks’ property by virtue of their cohabitation did not prevent Oaks from making a valid delivery of his property to Stouff for purposes of the fourth requirement for a gift causa mortis. Instead, under the “relaxed rule” that applies when assessing the delivery of a gift between members of the same household, </w:t>
      </w:r>
      <w:r w:rsidRPr="00CA09B8">
        <w:rPr>
          <w:rStyle w:val="Emphasis"/>
          <w:color w:val="000000" w:themeColor="text1"/>
          <w:szCs w:val="20"/>
        </w:rPr>
        <w:t>see</w:t>
      </w:r>
      <w:r>
        <w:rPr>
          <w:rStyle w:val="Emphasis"/>
          <w:color w:val="000000" w:themeColor="text1"/>
          <w:szCs w:val="20"/>
        </w:rPr>
        <w:t xml:space="preserve"> </w:t>
      </w:r>
      <w:r w:rsidRPr="00CA09B8">
        <w:rPr>
          <w:rStyle w:val="Emphasis"/>
          <w:color w:val="000000" w:themeColor="text1"/>
          <w:szCs w:val="20"/>
        </w:rPr>
        <w:t>Potts</w:t>
      </w:r>
      <w:r w:rsidRPr="00CA09B8">
        <w:rPr>
          <w:color w:val="000000" w:themeColor="text1"/>
          <w:szCs w:val="20"/>
        </w:rPr>
        <w:t>, 127 Wis. 2d at 54, 377 N.W.2d 204, we conclude Oaks delivered his property to Stouff by leaving a note informing her of the gift on a table in their shared residence, which he could be reasonably certain Stouff would find when she came downstairs.</w:t>
      </w:r>
    </w:p>
    <w:p w:rsidR="0074785B" w:rsidRPr="0074785B" w:rsidRDefault="00741CBF" w:rsidP="00B66CCE">
      <w:pPr>
        <w:pStyle w:val="Heading20"/>
        <w:numPr>
          <w:ilvl w:val="1"/>
          <w:numId w:val="33"/>
        </w:numPr>
        <w:tabs>
          <w:tab w:val="clear" w:pos="2700"/>
        </w:tabs>
        <w:spacing w:before="240"/>
        <w:ind w:left="0"/>
        <w:rPr>
          <w:vanish/>
          <w:specVanish/>
        </w:rPr>
      </w:pPr>
      <w:bookmarkStart w:id="810" w:name="_Toc94704700"/>
      <w:r>
        <w:rPr>
          <w:b/>
          <w:u w:val="single"/>
        </w:rPr>
        <w:t>Parol Evidence Allowed In Virginia To Interpret Ambiguity</w:t>
      </w:r>
      <w:bookmarkEnd w:id="810"/>
    </w:p>
    <w:p w:rsidR="008467FE" w:rsidRDefault="00741CBF" w:rsidP="0074785B">
      <w:pPr>
        <w:pStyle w:val="Heading2Body"/>
      </w:pPr>
      <w:r>
        <w:t xml:space="preserve">.  The clause at issue in </w:t>
      </w:r>
      <w:r>
        <w:rPr>
          <w:u w:val="single"/>
        </w:rPr>
        <w:t>Larsen v. Stack</w:t>
      </w:r>
      <w:r>
        <w:t>, 842 S.E. 2d 372 (Va. 2020) read as follows:</w:t>
      </w:r>
    </w:p>
    <w:p w:rsidR="008467FE" w:rsidRDefault="00BE4116" w:rsidP="00BE4116">
      <w:pPr>
        <w:pStyle w:val="QS10"/>
        <w:ind w:left="2160"/>
      </w:pPr>
      <w:r>
        <w:t>FIFTH: I devise the following described property to my children, namely, Pamela Larsen Stack and Kirk Larsen, subject to my wife, Sandra Flora Larsen, having the right to reside in our home located at 394 Mystic Lane, Wirtz, Virginia, 24184, for so long as she is physically and mentally able to do so, and for my wife, Sandra Flora Larsen to receive the monthly rental payments, as provided for in the PCS Site Agreement (Cell Tower), dated April 16, 2013, for as long as she resides in our home, it being all that certain tract or parcel of land (Tax Parcel #28-90) containing 101.39 acres, more or less, situated, lying, and being in the Gills Creek Magisterial District, Franklin County, Virginia, it being the same property conveyed to Erik Larsen, from James C. Ellis, by Deed dated February 7, 1972, said deed being of record in the Clerk’s Office of the Circuit Court of Franklin County, Virginia, in Deed Book 277, at page 38.</w:t>
      </w:r>
    </w:p>
    <w:p w:rsidR="00741CBF" w:rsidRDefault="00741CBF" w:rsidP="008467FE">
      <w:pPr>
        <w:pStyle w:val="Body15"/>
      </w:pPr>
      <w:r>
        <w:t>A question was whether wife had a life estate in the property.  The trial court allowed the decedent’s lawyer to testify:</w:t>
      </w:r>
    </w:p>
    <w:p w:rsidR="00BE4116" w:rsidRPr="00BE4116" w:rsidRDefault="00BE4116" w:rsidP="00BE4116">
      <w:pPr>
        <w:pStyle w:val="QS10"/>
      </w:pPr>
      <w:r w:rsidRPr="00BE4116">
        <w:t>The circuit court held a hearing regarding the declaratory judgment action on January 3, 2019. During the hearing, the circuit court determined that Erik’s will did not clearly establish the scope of Sandra’s interest in the house and farm. Consequently, the circuit court permitted W. Colby Brown, the attorney who drafted Erik’s will, to testify.</w:t>
      </w:r>
    </w:p>
    <w:p w:rsidR="00BE4116" w:rsidRPr="00BE4116" w:rsidRDefault="00BE4116" w:rsidP="00BE4116">
      <w:pPr>
        <w:pStyle w:val="QS10"/>
      </w:pPr>
      <w:r w:rsidRPr="00BE4116">
        <w:t>Brown testified that Erik intended for Sandra “to be able to stay on the property, and ... [receive] the money from the cell phone tower.” However, Brown clarified that Erik “wanted his children to end up with the property.” Brown explained that Erik did not give Sandra a life estate in the property because he was concerned that she would be required to sell such an interest before she could obtain Medicaid coverage.</w:t>
      </w:r>
    </w:p>
    <w:p w:rsidR="00BE4116" w:rsidRPr="00BE4116" w:rsidRDefault="00BE4116" w:rsidP="00BE4116">
      <w:pPr>
        <w:pStyle w:val="QS10"/>
      </w:pPr>
      <w:r w:rsidRPr="00BE4116">
        <w:t>Brown believed that Erik intended for Sandra to have access to the entire farm as long she was physically and mentally able to reside in the house. Brown explained that “in the event that [Sandra] had to go into a nursing home basically, or ... couldn't live by herself anymore, something like that, then at that point her interest in the property would dissolve ... and then it would go to the children.”</w:t>
      </w:r>
    </w:p>
    <w:p w:rsidR="00BE4116" w:rsidRPr="00BE4116" w:rsidRDefault="00BE4116" w:rsidP="00BE4116">
      <w:pPr>
        <w:pStyle w:val="QS10"/>
      </w:pPr>
      <w:r w:rsidRPr="00BE4116">
        <w:t>At the conclusion of the hearing, the circuit court determined that Sandra did not have a life estate in the property. The circuit court explained that Erik’s will gave Sandra the right to reside in Erik’s house and the right to access the entire farm. The circuit court then noted that Sandra’s rights were “subject to be terminated when she is no longer physically or mentally able to reside in the home.”</w:t>
      </w:r>
    </w:p>
    <w:p w:rsidR="00741CBF" w:rsidRDefault="00741CBF" w:rsidP="008467FE">
      <w:pPr>
        <w:pStyle w:val="Body15"/>
      </w:pPr>
      <w:r>
        <w:t>With respect to the lawyer’s testimony, the opinion states:</w:t>
      </w:r>
    </w:p>
    <w:p w:rsidR="00BE4116" w:rsidRPr="00BE4116" w:rsidRDefault="00BE4116" w:rsidP="00BE4116">
      <w:pPr>
        <w:pStyle w:val="QS10"/>
        <w:rPr>
          <w:color w:val="000000" w:themeColor="text1"/>
        </w:rPr>
      </w:pPr>
      <w:r w:rsidRPr="00BE4116">
        <w:rPr>
          <w:color w:val="000000" w:themeColor="text1"/>
        </w:rPr>
        <w:t>Sandra contends that the circuit court erred by considering parol evidence when it construed the limitation that Erik’s will placed on her right to reside on the property. Specifically, Sandra argues that the circuit court erred by considering Brown’s testimony to determine that Sandra’s interest in the property would end “in the event she had to go into a nursing home ... or couldn't live by herself anymore.” Again, we disagree with Sandra’s argument.</w:t>
      </w:r>
    </w:p>
    <w:p w:rsidR="00BE4116" w:rsidRPr="00BE4116" w:rsidRDefault="00BE4116" w:rsidP="00BE4116">
      <w:pPr>
        <w:pStyle w:val="QS10"/>
        <w:rPr>
          <w:color w:val="000000" w:themeColor="text1"/>
          <w:szCs w:val="20"/>
        </w:rPr>
      </w:pPr>
      <w:r w:rsidRPr="00BE4116">
        <w:rPr>
          <w:color w:val="000000" w:themeColor="text1"/>
          <w:szCs w:val="20"/>
        </w:rPr>
        <w:t>As previously stated, parol evidence may be considered when the language of a will is ambiguous. </w:t>
      </w:r>
      <w:r w:rsidRPr="00BE4116">
        <w:rPr>
          <w:rStyle w:val="Emphasis"/>
          <w:color w:val="000000" w:themeColor="text1"/>
          <w:szCs w:val="20"/>
        </w:rPr>
        <w:t>See</w:t>
      </w:r>
      <w:r w:rsidRPr="00BE4116">
        <w:rPr>
          <w:color w:val="000000" w:themeColor="text1"/>
          <w:szCs w:val="20"/>
        </w:rPr>
        <w:t> </w:t>
      </w:r>
      <w:r w:rsidRPr="00BE4116">
        <w:rPr>
          <w:rStyle w:val="Emphasis"/>
          <w:color w:val="000000" w:themeColor="text1"/>
          <w:szCs w:val="20"/>
        </w:rPr>
        <w:t>Gaymon</w:t>
      </w:r>
      <w:r w:rsidRPr="00BE4116">
        <w:rPr>
          <w:color w:val="000000" w:themeColor="text1"/>
          <w:szCs w:val="20"/>
        </w:rPr>
        <w:t>, 258 Va. at 230, 519 S.E.2d 142. In such cases, “[p]arol evidence is admissible to enable the court to identify the property intended to be given by will, or to assist it in determining the quantum of interest which is to pass by the will.” </w:t>
      </w:r>
      <w:r w:rsidRPr="00BE4116">
        <w:rPr>
          <w:rStyle w:val="Emphasis"/>
          <w:color w:val="000000" w:themeColor="text1"/>
          <w:szCs w:val="20"/>
        </w:rPr>
        <w:t>Parsons v. Fitchett</w:t>
      </w:r>
      <w:r w:rsidRPr="00BE4116">
        <w:rPr>
          <w:color w:val="000000" w:themeColor="text1"/>
          <w:szCs w:val="20"/>
        </w:rPr>
        <w:t>, 148 Va. 322, 329, 138 S.E. 491 (1927) (quotation omitted).</w:t>
      </w:r>
    </w:p>
    <w:p w:rsidR="00BE4116" w:rsidRPr="00BE4116" w:rsidRDefault="00BE4116" w:rsidP="00BE4116">
      <w:pPr>
        <w:pStyle w:val="QS10"/>
        <w:rPr>
          <w:color w:val="000000" w:themeColor="text1"/>
        </w:rPr>
      </w:pPr>
      <w:r w:rsidRPr="00BE4116">
        <w:rPr>
          <w:color w:val="000000" w:themeColor="text1"/>
        </w:rPr>
        <w:t>Erik’s will was ambiguous in several ways. The will did not clearly define the scope of Sandra’s right to reside on the property. Notably, the will failed to indicate whether Sandra had the right to access and enjoy the entire property, or whether she only had the right to live in Erik’s house.</w:t>
      </w:r>
    </w:p>
    <w:p w:rsidR="00BE4116" w:rsidRPr="00BE4116" w:rsidRDefault="00BE4116" w:rsidP="00BE4116">
      <w:pPr>
        <w:pStyle w:val="QS10"/>
        <w:rPr>
          <w:color w:val="000000" w:themeColor="text1"/>
        </w:rPr>
      </w:pPr>
      <w:r w:rsidRPr="00BE4116">
        <w:rPr>
          <w:color w:val="000000" w:themeColor="text1"/>
        </w:rPr>
        <w:t>The will was also ambiguous regarding the limitation that it placed on Sandra’s rights. Pursuant to Erik’s will, Sandra could reside on the property “for so long as she [was] physically and mentally able to do so.” The will did not provide any further guidance concerning this limitation.</w:t>
      </w:r>
    </w:p>
    <w:p w:rsidR="00BE4116" w:rsidRPr="00BE4116" w:rsidRDefault="00BE4116" w:rsidP="00BE4116">
      <w:pPr>
        <w:pStyle w:val="QS10"/>
        <w:rPr>
          <w:color w:val="000000" w:themeColor="text1"/>
        </w:rPr>
      </w:pPr>
      <w:r w:rsidRPr="00BE4116">
        <w:rPr>
          <w:color w:val="000000" w:themeColor="text1"/>
        </w:rPr>
        <w:t>Brown’s testimony addressed the ambiguous provisions of Erik’s will. Brown explained that Erik intended to give Sandra the right to reside on the entire property for as long she was physically and mentally able to live there. Brown then testified that Erik intended for Sandra’s interest in the property to end “in the event that she had to go into a nursing home” or she “couldn't live by herself anymore.”</w:t>
      </w:r>
    </w:p>
    <w:p w:rsidR="00BE4116" w:rsidRPr="00BE4116" w:rsidRDefault="00BE4116" w:rsidP="00BE4116">
      <w:pPr>
        <w:pStyle w:val="QS10"/>
        <w:rPr>
          <w:color w:val="000000" w:themeColor="text1"/>
        </w:rPr>
      </w:pPr>
      <w:r w:rsidRPr="00BE4116">
        <w:rPr>
          <w:color w:val="000000" w:themeColor="text1"/>
        </w:rPr>
        <w:t>We conclude that Brown’s testimony was necessary to resolve the ambiguities in the will. Brown’s testimony explained Erik’s intent regarding the scope of Sandra’s rights and the limitation that Erik placed on those rights.</w:t>
      </w:r>
    </w:p>
    <w:p w:rsidR="00BE4116" w:rsidRPr="00BE4116" w:rsidRDefault="00BE4116" w:rsidP="00BE4116">
      <w:pPr>
        <w:pStyle w:val="QS10"/>
        <w:rPr>
          <w:color w:val="000000" w:themeColor="text1"/>
        </w:rPr>
      </w:pPr>
      <w:r w:rsidRPr="00BE4116">
        <w:rPr>
          <w:color w:val="000000" w:themeColor="text1"/>
        </w:rPr>
        <w:t>Although Sandra contends that Brown’s testimony impermissibly modified the terms of Erik’s will, we find that Brown’s testimony and the terms of the will were essentially consistent. We note that Erik’s will only gave Sandra the right to reside on the property.</w:t>
      </w:r>
    </w:p>
    <w:p w:rsidR="00BE4116" w:rsidRPr="00BE4116" w:rsidRDefault="00BE4116" w:rsidP="00BE4116">
      <w:pPr>
        <w:pStyle w:val="QS10"/>
        <w:rPr>
          <w:color w:val="000000" w:themeColor="text1"/>
        </w:rPr>
      </w:pPr>
      <w:r w:rsidRPr="00BE4116">
        <w:rPr>
          <w:color w:val="000000" w:themeColor="text1"/>
        </w:rPr>
        <w:t>Under these circumstances, we conclude that the circuit court did not err by considering Brown’s testimony to determine the scope of Sandra’s right to reside on the property and the limitation that the will placed on that right.</w:t>
      </w:r>
    </w:p>
    <w:p w:rsidR="003A170F" w:rsidRPr="003A170F" w:rsidRDefault="0024484E" w:rsidP="00B66CCE">
      <w:pPr>
        <w:pStyle w:val="Heading20"/>
        <w:numPr>
          <w:ilvl w:val="1"/>
          <w:numId w:val="33"/>
        </w:numPr>
        <w:tabs>
          <w:tab w:val="clear" w:pos="2700"/>
        </w:tabs>
        <w:spacing w:before="240"/>
        <w:ind w:left="0"/>
        <w:rPr>
          <w:vanish/>
          <w:specVanish/>
        </w:rPr>
      </w:pPr>
      <w:bookmarkStart w:id="811" w:name="_Toc94704701"/>
      <w:r>
        <w:rPr>
          <w:b/>
          <w:u w:val="single"/>
        </w:rPr>
        <w:t>Separation Agreement A</w:t>
      </w:r>
      <w:r w:rsidR="00BF1D73">
        <w:rPr>
          <w:b/>
          <w:u w:val="single"/>
        </w:rPr>
        <w:t>nticipating</w:t>
      </w:r>
      <w:r>
        <w:rPr>
          <w:b/>
          <w:u w:val="single"/>
        </w:rPr>
        <w:t xml:space="preserve"> Divorce Waive</w:t>
      </w:r>
      <w:r w:rsidR="00BF1D73">
        <w:rPr>
          <w:b/>
          <w:u w:val="single"/>
        </w:rPr>
        <w:t>s</w:t>
      </w:r>
      <w:r>
        <w:rPr>
          <w:b/>
          <w:u w:val="single"/>
        </w:rPr>
        <w:t xml:space="preserve"> Intestate Rights</w:t>
      </w:r>
      <w:bookmarkEnd w:id="811"/>
    </w:p>
    <w:p w:rsidR="008467FE" w:rsidRDefault="0024484E" w:rsidP="003A170F">
      <w:pPr>
        <w:pStyle w:val="Heading2Body"/>
      </w:pPr>
      <w:r>
        <w:t xml:space="preserve">.  </w:t>
      </w:r>
      <w:r w:rsidR="00BF1D73">
        <w:rPr>
          <w:u w:val="single"/>
        </w:rPr>
        <w:t>In the Matter of Estate of Petelle</w:t>
      </w:r>
      <w:r w:rsidR="00BF1D73">
        <w:t xml:space="preserve">, </w:t>
      </w:r>
      <w:r w:rsidR="00FE0A28" w:rsidRPr="00FE0A28">
        <w:t>462 P.3d 848</w:t>
      </w:r>
      <w:r w:rsidR="00BF1D73">
        <w:t xml:space="preserve"> (Wa. 2020), the parties entered into a separation agreement but husband died before the divorce was adjudicated.  The question was whether t</w:t>
      </w:r>
      <w:r w:rsidR="008333FF">
        <w:t>h</w:t>
      </w:r>
      <w:r w:rsidR="00BF1D73">
        <w:t>e agreement waived wife’s intestate rights.  The majority he</w:t>
      </w:r>
      <w:r w:rsidR="008333FF">
        <w:t>l</w:t>
      </w:r>
      <w:r w:rsidR="00BF1D73">
        <w:t>d it did:</w:t>
      </w:r>
    </w:p>
    <w:p w:rsidR="00BF1D73" w:rsidRDefault="008333FF" w:rsidP="008333FF">
      <w:pPr>
        <w:pStyle w:val="QS10"/>
      </w:pPr>
      <w:r w:rsidRPr="008333FF">
        <w:t>In the contract, the parties agreed “to make a </w:t>
      </w:r>
      <w:r w:rsidRPr="008333FF">
        <w:rPr>
          <w:i/>
          <w:iCs/>
        </w:rPr>
        <w:t>complete and final settlement of all their marital and property rights</w:t>
      </w:r>
      <w:r w:rsidRPr="008333FF">
        <w:t> and obligations on the following terms and conditions.” Clerk's Papers (CP) at 43 (emphasis added). The contract also provides that the “contract shall be final and binding upon the execution of both parties, whether or not a legal separation or decree of dissolution is obtained[,]” and, by its terms, the contract remained valid and enforceable against the </w:t>
      </w:r>
      <w:r w:rsidRPr="008333FF">
        <w:rPr>
          <w:b/>
          <w:color w:val="252525"/>
        </w:rPr>
        <w:t>estate</w:t>
      </w:r>
      <w:r w:rsidRPr="008333FF">
        <w:t> of either party if either party died after the execution of the contract. CP at 43-44, 48. Though the contract contains a “Full Satisfaction of All Claims” section, the right to intestate succession is not mentioned. CP at 46.</w:t>
      </w:r>
    </w:p>
    <w:p w:rsidR="00BF1D73" w:rsidRDefault="00BF1D73" w:rsidP="008333FF">
      <w:pPr>
        <w:pStyle w:val="QS10"/>
        <w:jc w:val="center"/>
      </w:pPr>
      <w:r>
        <w:t>***</w:t>
      </w:r>
    </w:p>
    <w:p w:rsidR="00BF1D73" w:rsidRDefault="008333FF" w:rsidP="008333FF">
      <w:pPr>
        <w:pStyle w:val="QS10"/>
      </w:pPr>
      <w:r>
        <w:t>The Court of Appeals reasoned that “[t]his language is, arguably, sufficient to constitute waiver of all marital and property righ</w:t>
      </w:r>
      <w:r w:rsidRPr="008333FF">
        <w:rPr>
          <w:color w:val="000000" w:themeColor="text1"/>
          <w:szCs w:val="20"/>
        </w:rPr>
        <w:t>ts flowing from the marital relationship, including the right to intestate succession.” </w:t>
      </w:r>
      <w:r w:rsidRPr="008333FF">
        <w:rPr>
          <w:bCs/>
          <w:i/>
          <w:iCs/>
          <w:color w:val="000000" w:themeColor="text1"/>
          <w:szCs w:val="20"/>
        </w:rPr>
        <w:t>Petelle</w:t>
      </w:r>
      <w:r w:rsidRPr="008333FF">
        <w:rPr>
          <w:color w:val="000000" w:themeColor="text1"/>
          <w:szCs w:val="20"/>
        </w:rPr>
        <w:t>, 8 Wash. App. 2d at 721. We agree. This provision is an express declaration to resolve “</w:t>
      </w:r>
      <w:r w:rsidRPr="008333FF">
        <w:rPr>
          <w:rStyle w:val="Emphasis"/>
          <w:color w:val="000000" w:themeColor="text1"/>
          <w:szCs w:val="20"/>
        </w:rPr>
        <w:t>all</w:t>
      </w:r>
      <w:r w:rsidRPr="008333FF">
        <w:rPr>
          <w:color w:val="000000" w:themeColor="text1"/>
          <w:szCs w:val="20"/>
        </w:rPr>
        <w:t> marital and property rights,” leaving no ambiguity that some o</w:t>
      </w:r>
      <w:r>
        <w:t>r any marital or property rights remain unresolved. Our conclusion is further supported by a general purpose of separation contracts—to divide assets and liabilities in preparation for divorce.</w:t>
      </w:r>
    </w:p>
    <w:p w:rsidR="00BF1D73" w:rsidRDefault="00BF1D73" w:rsidP="008333FF">
      <w:pPr>
        <w:pStyle w:val="QS10"/>
        <w:jc w:val="center"/>
      </w:pPr>
      <w:r>
        <w:t>***</w:t>
      </w:r>
    </w:p>
    <w:p w:rsidR="00BF1D73" w:rsidRDefault="008333FF" w:rsidP="008333FF">
      <w:pPr>
        <w:pStyle w:val="QS10"/>
      </w:pPr>
      <w:r>
        <w:t>The fact that the right to intestate succession was not specifically mentioned in the contract does not limit the clear and explicit language providing the agreement is a complete and final settlement of all marital and property rights. The rights of a surviving spou</w:t>
      </w:r>
      <w:r w:rsidRPr="008333FF">
        <w:rPr>
          <w:szCs w:val="20"/>
        </w:rPr>
        <w:t>se under RCW 11.04.015 flow fro</w:t>
      </w:r>
      <w:r>
        <w:t>m the marital status. Because the right to intestate succession is a result of the marital status, the right to intestate succession is similar to a marital or property right and we find the right is encompassed in this language.</w:t>
      </w:r>
    </w:p>
    <w:p w:rsidR="00BF1D73" w:rsidRDefault="00BF1D73" w:rsidP="00BF1D73">
      <w:pPr>
        <w:pStyle w:val="Body15"/>
      </w:pPr>
      <w:r>
        <w:t>Three of the nine justices dissented, in an interesting opinion which notes:</w:t>
      </w:r>
    </w:p>
    <w:p w:rsidR="00FC281D" w:rsidRPr="00FC281D" w:rsidRDefault="00FC281D" w:rsidP="00FC281D">
      <w:pPr>
        <w:pStyle w:val="QS10"/>
        <w:rPr>
          <w:color w:val="000000" w:themeColor="text1"/>
          <w:szCs w:val="20"/>
        </w:rPr>
      </w:pPr>
      <w:r w:rsidRPr="00FC281D">
        <w:rPr>
          <w:color w:val="000000" w:themeColor="text1"/>
          <w:szCs w:val="20"/>
        </w:rPr>
        <w:t>In my view, the parties made their intent known. Michael and Michelle sought to accomplish the general purpose of separation contracts—dividing assets and liabilities in order to resolve the immediacy of their separation and possible divorce. They did not intend for the agreement to extend beyond those events. They understood that their divorce may not occur, in which case had a will been made, it would have had to state that Michelle was Michael's wife and that he specifically intended not to include her in the will. </w:t>
      </w:r>
      <w:r w:rsidRPr="00FC281D">
        <w:rPr>
          <w:rStyle w:val="Emphasis"/>
          <w:color w:val="000000" w:themeColor="text1"/>
          <w:szCs w:val="20"/>
        </w:rPr>
        <w:t>In re </w:t>
      </w:r>
      <w:r w:rsidRPr="00FC281D">
        <w:rPr>
          <w:bCs/>
          <w:i/>
          <w:iCs/>
          <w:color w:val="000000" w:themeColor="text1"/>
          <w:szCs w:val="20"/>
        </w:rPr>
        <w:t>Estate</w:t>
      </w:r>
      <w:r w:rsidRPr="00FC281D">
        <w:rPr>
          <w:rStyle w:val="Emphasis"/>
          <w:color w:val="000000" w:themeColor="text1"/>
          <w:szCs w:val="20"/>
        </w:rPr>
        <w:t> of Lindsay</w:t>
      </w:r>
      <w:r w:rsidRPr="00FC281D">
        <w:rPr>
          <w:color w:val="000000" w:themeColor="text1"/>
          <w:szCs w:val="20"/>
        </w:rPr>
        <w:t>, 91 Wash. App. 944, 949, 957 P.2d 818 (1998) (“A testator has the right to intentionally disinherit a surviving spouse.”); </w:t>
      </w:r>
      <w:r w:rsidRPr="00FC281D">
        <w:rPr>
          <w:rStyle w:val="Emphasis"/>
          <w:color w:val="000000" w:themeColor="text1"/>
          <w:szCs w:val="20"/>
        </w:rPr>
        <w:t>Strait v. Kennedy</w:t>
      </w:r>
      <w:r w:rsidRPr="00FC281D">
        <w:rPr>
          <w:color w:val="000000" w:themeColor="text1"/>
          <w:szCs w:val="20"/>
        </w:rPr>
        <w:t>, 103 Wash. App. 626, 634, 13 P.3d 671 (2000) (“[A] simple will or codicil to an earlier will stating that the testator intends to leave nothing to the spouse is sufficient [to disinherit a spouse].”). Specific language disinheriting a spouse is required in a will, and I see no reason why it should not be required in a separation contract. “ ‘[W]here a person has the right to die intestate ... he is charged with full knowledge of who will succeed to his property if he dies intestate [and] the assumption exists that ... he is satisfied with the will the law of the state made for him.’ ” </w:t>
      </w:r>
      <w:r w:rsidRPr="00FC281D">
        <w:rPr>
          <w:rStyle w:val="Emphasis"/>
          <w:color w:val="000000" w:themeColor="text1"/>
          <w:szCs w:val="20"/>
        </w:rPr>
        <w:t>Pitzer v. Union Bank of Cal.</w:t>
      </w:r>
      <w:r w:rsidRPr="00FC281D">
        <w:rPr>
          <w:color w:val="000000" w:themeColor="text1"/>
          <w:szCs w:val="20"/>
        </w:rPr>
        <w:t>, 141 Wash.2d 539, 550, 9 P.3d 805 (2000)(alterations in original) (quoting </w:t>
      </w:r>
      <w:r w:rsidRPr="00FC281D">
        <w:rPr>
          <w:rStyle w:val="Emphasis"/>
          <w:color w:val="000000" w:themeColor="text1"/>
          <w:szCs w:val="20"/>
        </w:rPr>
        <w:t>Wilson v. Jones</w:t>
      </w:r>
      <w:r w:rsidRPr="00FC281D">
        <w:rPr>
          <w:color w:val="000000" w:themeColor="text1"/>
          <w:szCs w:val="20"/>
        </w:rPr>
        <w:t>, 281 S.C. 230, 233, 314 S.E.2d 341 (1984)) (discussing </w:t>
      </w:r>
      <w:r w:rsidRPr="00FC281D">
        <w:rPr>
          <w:rStyle w:val="Emphasis"/>
          <w:color w:val="000000" w:themeColor="text1"/>
          <w:szCs w:val="20"/>
        </w:rPr>
        <w:t>Hesthagen v. Harby</w:t>
      </w:r>
      <w:r w:rsidRPr="00FC281D">
        <w:rPr>
          <w:color w:val="000000" w:themeColor="text1"/>
          <w:szCs w:val="20"/>
        </w:rPr>
        <w:t>, 78 Wash.2d 934, 481 P.2d 438 (1971)). Because Michael died intestate while married to Michelle, she was his surviving spouse and entitled to take under RCW 11.04.015(1)(c).</w:t>
      </w:r>
    </w:p>
    <w:p w:rsidR="00FC281D" w:rsidRPr="00FC281D" w:rsidRDefault="00FC281D" w:rsidP="00FC281D">
      <w:pPr>
        <w:pStyle w:val="QS10"/>
        <w:rPr>
          <w:color w:val="000000" w:themeColor="text1"/>
          <w:szCs w:val="20"/>
        </w:rPr>
      </w:pPr>
      <w:r w:rsidRPr="00FC281D">
        <w:rPr>
          <w:color w:val="000000" w:themeColor="text1"/>
          <w:szCs w:val="20"/>
        </w:rPr>
        <w:t>I further disagree with the majority that the contractual language is broad enough to demonstrate Michelle knew she was waiving intestate inheritance rights. </w:t>
      </w:r>
      <w:r w:rsidRPr="00FC281D">
        <w:rPr>
          <w:rStyle w:val="Emphasis"/>
          <w:color w:val="000000" w:themeColor="text1"/>
          <w:szCs w:val="20"/>
        </w:rPr>
        <w:t>See</w:t>
      </w:r>
      <w:r w:rsidRPr="00FC281D">
        <w:rPr>
          <w:color w:val="000000" w:themeColor="text1"/>
          <w:szCs w:val="20"/>
        </w:rPr>
        <w:t> majority at 851. The majority states that the rights of a surviving spouse flow from marital status, and so they are encompassed in the separation contract's statement resolving all marital rights. </w:t>
      </w:r>
      <w:r w:rsidRPr="00FC281D">
        <w:rPr>
          <w:rStyle w:val="Emphasis"/>
          <w:color w:val="000000" w:themeColor="text1"/>
          <w:szCs w:val="20"/>
        </w:rPr>
        <w:t>Id</w:t>
      </w:r>
      <w:r w:rsidRPr="00FC281D">
        <w:rPr>
          <w:color w:val="000000" w:themeColor="text1"/>
          <w:szCs w:val="20"/>
        </w:rPr>
        <w:t>. But “[w]aiver is the intentional relinquishment of a </w:t>
      </w:r>
      <w:r w:rsidRPr="00FC281D">
        <w:rPr>
          <w:rStyle w:val="Emphasis"/>
          <w:color w:val="000000" w:themeColor="text1"/>
          <w:szCs w:val="20"/>
        </w:rPr>
        <w:t>known</w:t>
      </w:r>
      <w:r w:rsidRPr="00FC281D">
        <w:rPr>
          <w:color w:val="000000" w:themeColor="text1"/>
          <w:szCs w:val="20"/>
        </w:rPr>
        <w:t> right.” </w:t>
      </w:r>
      <w:r w:rsidRPr="00FC281D">
        <w:rPr>
          <w:rStyle w:val="Emphasis"/>
          <w:color w:val="000000" w:themeColor="text1"/>
          <w:szCs w:val="20"/>
        </w:rPr>
        <w:t>Wagner v. Wagner</w:t>
      </w:r>
      <w:r w:rsidRPr="00FC281D">
        <w:rPr>
          <w:color w:val="000000" w:themeColor="text1"/>
          <w:szCs w:val="20"/>
        </w:rPr>
        <w:t>, 95 Wash.2d 94, 102, 621 P.2d 1279 (1980) (emphasis added). As noted above, there is no indication in the terms and conditions of the separation agreement indicating it extended to testamentary decisions, and I can find no authority from this court or from the legislature characterizing intestate inheritance rights as marital or property rights.</w:t>
      </w:r>
    </w:p>
    <w:p w:rsidR="00FC281D" w:rsidRDefault="00FC281D" w:rsidP="00FC281D">
      <w:pPr>
        <w:pStyle w:val="QS10"/>
      </w:pPr>
      <w:r w:rsidRPr="00FC281D">
        <w:rPr>
          <w:color w:val="000000" w:themeColor="text1"/>
          <w:szCs w:val="20"/>
        </w:rPr>
        <w:t>Moreover, the rights of a surviving spouse include more than just dividing assets for dissolution of marriage. They include rights under the wrongful death statute, ch. 4.20 RCW; rights to Social Security survivor benefits; rights under the Employee Retirement Income Security Act, 29 U.S.C. 18; and the right to control the disposition of remains under RCW 68.50.160. Amicus Curiae Mem. in Supp. of Review at 6. Parties in separation and divorce proceedings are often unrepresented or have minimal access to legal assistance. </w:t>
      </w:r>
      <w:r w:rsidRPr="00FC281D">
        <w:rPr>
          <w:rStyle w:val="Emphasis"/>
          <w:color w:val="000000" w:themeColor="text1"/>
          <w:szCs w:val="20"/>
        </w:rPr>
        <w:t>Id.</w:t>
      </w:r>
      <w:r w:rsidRPr="00FC281D">
        <w:rPr>
          <w:color w:val="000000" w:themeColor="text1"/>
          <w:szCs w:val="20"/>
        </w:rPr>
        <w:t> at 4-5. We should not assume, as the majority does, that pro se litigants in the past have comprehended the full legal consequence of agreeing to resolve all marital rights, especially considering the complexity of those rights. This result is even more concerning because the statute governing separation contracts, RCW 26.09.070(1), does not mention settling questions of inheritance. Just as we should not assume pro se litigants will recognize that intestate inheritance rights are encompassed in the terms marital and property rights when no prior authority has endorsed this holding, we should not assume these litigants intended to do something the statute does not mention.</w:t>
      </w:r>
    </w:p>
    <w:p w:rsidR="00766C96" w:rsidRPr="00766C96" w:rsidRDefault="009B592D" w:rsidP="00B66CCE">
      <w:pPr>
        <w:pStyle w:val="Heading20"/>
        <w:numPr>
          <w:ilvl w:val="1"/>
          <w:numId w:val="33"/>
        </w:numPr>
        <w:tabs>
          <w:tab w:val="clear" w:pos="2700"/>
        </w:tabs>
        <w:spacing w:before="240"/>
        <w:ind w:left="0"/>
        <w:rPr>
          <w:vanish/>
          <w:specVanish/>
        </w:rPr>
      </w:pPr>
      <w:bookmarkStart w:id="812" w:name="_Toc94704702"/>
      <w:r>
        <w:rPr>
          <w:b/>
          <w:u w:val="single"/>
        </w:rPr>
        <w:t>Attorney Insurance Policy Does Not Cover Attorney Acting as Trustee</w:t>
      </w:r>
      <w:bookmarkEnd w:id="812"/>
    </w:p>
    <w:p w:rsidR="0024484E" w:rsidRDefault="009B592D" w:rsidP="00766C96">
      <w:pPr>
        <w:pStyle w:val="Heading2Body"/>
      </w:pPr>
      <w:r>
        <w:t xml:space="preserve">.  Philip Farthing, an attorney, was liable to the Higgerson beneficiaries of various family trusts of which he was </w:t>
      </w:r>
      <w:r w:rsidR="00937C87">
        <w:t>trustee</w:t>
      </w:r>
      <w:r>
        <w:t xml:space="preserve"> on account of his negligent investment of trust assets.  Did his professional </w:t>
      </w:r>
      <w:r w:rsidR="008F10E4">
        <w:t>liability</w:t>
      </w:r>
      <w:r>
        <w:t xml:space="preserve"> policy cover him?  That was at issue in </w:t>
      </w:r>
      <w:r>
        <w:rPr>
          <w:u w:val="single"/>
        </w:rPr>
        <w:t>ALPS Property &amp; Casualty Insurance Company v. Higgerson</w:t>
      </w:r>
      <w:r>
        <w:t xml:space="preserve">, </w:t>
      </w:r>
      <w:r w:rsidR="008F240C">
        <w:t>805 Fed.Appx. 193 (E.D. Va. 2020)</w:t>
      </w:r>
      <w:r>
        <w:t>(unpublished).  The policy covered acting as a trustee but excluded negligent supervision of funds.  The opinion states:</w:t>
      </w:r>
    </w:p>
    <w:p w:rsidR="008F240C" w:rsidRPr="008F240C" w:rsidRDefault="008F240C" w:rsidP="008F240C">
      <w:pPr>
        <w:pStyle w:val="QS10"/>
        <w:rPr>
          <w:color w:val="000000" w:themeColor="text1"/>
          <w:szCs w:val="20"/>
        </w:rPr>
      </w:pPr>
      <w:r w:rsidRPr="008F240C">
        <w:rPr>
          <w:color w:val="000000" w:themeColor="text1"/>
          <w:szCs w:val="20"/>
        </w:rPr>
        <w:t>Applying those standards, the court concluded that the policy exclusion for the “negligent supervision” of funds or property clearly and unambiguously applied, foreclosing coverage.</w:t>
      </w:r>
      <w:hyperlink r:id="rId446" w:anchor="co_footnote_B00032050655099" w:history="1">
        <w:r w:rsidRPr="008F240C">
          <w:rPr>
            <w:rStyle w:val="Hyperlink"/>
            <w:color w:val="000000" w:themeColor="text1"/>
            <w:szCs w:val="20"/>
            <w:vertAlign w:val="superscript"/>
          </w:rPr>
          <w:t>3</w:t>
        </w:r>
      </w:hyperlink>
      <w:r w:rsidRPr="008F240C">
        <w:rPr>
          <w:color w:val="000000" w:themeColor="text1"/>
          <w:szCs w:val="20"/>
        </w:rPr>
        <w:t> </w:t>
      </w:r>
      <w:r w:rsidRPr="008F240C">
        <w:rPr>
          <w:rStyle w:val="Emphasis"/>
          <w:color w:val="000000" w:themeColor="text1"/>
          <w:szCs w:val="20"/>
        </w:rPr>
        <w:t>Id.</w:t>
      </w:r>
      <w:r w:rsidRPr="008F240C">
        <w:rPr>
          <w:color w:val="000000" w:themeColor="text1"/>
          <w:szCs w:val="20"/>
        </w:rPr>
        <w:t> at *6. Under that </w:t>
      </w:r>
      <w:r w:rsidRPr="008F240C">
        <w:rPr>
          <w:b/>
          <w:bCs/>
          <w:i/>
          <w:iCs/>
          <w:color w:val="000000" w:themeColor="text1"/>
          <w:szCs w:val="20"/>
        </w:rPr>
        <w:t>*196</w:t>
      </w:r>
      <w:r w:rsidRPr="008F240C">
        <w:rPr>
          <w:color w:val="000000" w:themeColor="text1"/>
          <w:szCs w:val="20"/>
        </w:rPr>
        <w:t> exclusion, the policy does not apply to any claim arising from or in connection with:</w:t>
      </w:r>
    </w:p>
    <w:p w:rsidR="008F240C" w:rsidRPr="008F240C" w:rsidRDefault="008F240C" w:rsidP="008F240C">
      <w:pPr>
        <w:pStyle w:val="QS10"/>
        <w:ind w:left="2160"/>
        <w:rPr>
          <w:color w:val="000000" w:themeColor="text1"/>
          <w:szCs w:val="20"/>
        </w:rPr>
      </w:pPr>
      <w:r w:rsidRPr="008F240C">
        <w:rPr>
          <w:color w:val="000000" w:themeColor="text1"/>
          <w:szCs w:val="20"/>
        </w:rPr>
        <w:t>Any conversion, misappropriation, improper commingling or negligent supervision by any person of client or trust account funds or property, or funds or property of any other person held or controlled by an </w:t>
      </w:r>
      <w:r w:rsidRPr="008F10E4">
        <w:rPr>
          <w:rStyle w:val="Strong"/>
          <w:b w:val="0"/>
          <w:color w:val="000000" w:themeColor="text1"/>
          <w:szCs w:val="20"/>
        </w:rPr>
        <w:t>Insured</w:t>
      </w:r>
      <w:r w:rsidRPr="008F240C">
        <w:rPr>
          <w:color w:val="000000" w:themeColor="text1"/>
          <w:szCs w:val="20"/>
        </w:rPr>
        <w:t> in any capacity or under any authority, including any loss or reduction in value of such funds or property.</w:t>
      </w:r>
    </w:p>
    <w:p w:rsidR="008F240C" w:rsidRPr="008F240C" w:rsidRDefault="008F240C" w:rsidP="008F240C">
      <w:pPr>
        <w:pStyle w:val="QS10"/>
        <w:rPr>
          <w:color w:val="000000" w:themeColor="text1"/>
          <w:szCs w:val="20"/>
        </w:rPr>
      </w:pPr>
      <w:r w:rsidRPr="008F240C">
        <w:rPr>
          <w:color w:val="000000" w:themeColor="text1"/>
          <w:szCs w:val="20"/>
        </w:rPr>
        <w:t>J.A. 61–62. By its “clear and express terms,” the district court found, that provision “facially applies” to stocks “held or controlled” by Farthing in “any capacity,” including his capacity as trustee of the Higgerson family trusts. </w:t>
      </w:r>
      <w:r w:rsidRPr="008F240C">
        <w:rPr>
          <w:rStyle w:val="Emphasis"/>
          <w:color w:val="000000" w:themeColor="text1"/>
          <w:szCs w:val="20"/>
        </w:rPr>
        <w:t>ALPS</w:t>
      </w:r>
      <w:r w:rsidRPr="008F240C">
        <w:rPr>
          <w:color w:val="000000" w:themeColor="text1"/>
          <w:szCs w:val="20"/>
        </w:rPr>
        <w:t>, 2018 WL 4927366, at *6.</w:t>
      </w:r>
    </w:p>
    <w:p w:rsidR="008F240C" w:rsidRPr="008F240C" w:rsidRDefault="008F240C" w:rsidP="008F240C">
      <w:pPr>
        <w:pStyle w:val="QS10"/>
        <w:rPr>
          <w:color w:val="000000" w:themeColor="text1"/>
          <w:szCs w:val="20"/>
        </w:rPr>
      </w:pPr>
      <w:r w:rsidRPr="008F240C">
        <w:rPr>
          <w:color w:val="000000" w:themeColor="text1"/>
          <w:szCs w:val="20"/>
        </w:rPr>
        <w:t>The district court acknowledged, as the Higgerson Defendants argued, that the phrase “negligent supervision” typically connotes “the supervision of other people,” not funds or property. </w:t>
      </w:r>
      <w:r w:rsidRPr="008F240C">
        <w:rPr>
          <w:rStyle w:val="Emphasis"/>
          <w:color w:val="000000" w:themeColor="text1"/>
          <w:szCs w:val="20"/>
        </w:rPr>
        <w:t>Id.</w:t>
      </w:r>
      <w:r w:rsidRPr="008F240C">
        <w:rPr>
          <w:color w:val="000000" w:themeColor="text1"/>
          <w:szCs w:val="20"/>
        </w:rPr>
        <w:t> at *7 n.10. But here, the court held, the context provided by the full provision – with its express reference to the “negligent supervision ... of client or trust account funds or property, or funds or property of any other person,” J.A. 62 – “leaves no doubt that it excludes claims arising from the negligent supervision </w:t>
      </w:r>
      <w:r w:rsidRPr="008F240C">
        <w:rPr>
          <w:rStyle w:val="Emphasis"/>
          <w:color w:val="000000" w:themeColor="text1"/>
          <w:szCs w:val="20"/>
        </w:rPr>
        <w:t>of funds or property</w:t>
      </w:r>
      <w:r w:rsidRPr="008F240C">
        <w:rPr>
          <w:color w:val="000000" w:themeColor="text1"/>
          <w:szCs w:val="20"/>
        </w:rPr>
        <w:t> held or controlled by the insured.” </w:t>
      </w:r>
      <w:r w:rsidRPr="008F240C">
        <w:rPr>
          <w:rStyle w:val="Emphasis"/>
          <w:color w:val="000000" w:themeColor="text1"/>
          <w:szCs w:val="20"/>
        </w:rPr>
        <w:t>ALPS</w:t>
      </w:r>
      <w:r w:rsidRPr="008F240C">
        <w:rPr>
          <w:color w:val="000000" w:themeColor="text1"/>
          <w:szCs w:val="20"/>
        </w:rPr>
        <w:t>, 2018 WL 4927366, at *7 n.10. Moreover, the district court reasoned, case law shows that “supervision” is commonly used to describe the management not only of people but also of investments, including stock portfolios. </w:t>
      </w:r>
      <w:r w:rsidRPr="008F240C">
        <w:rPr>
          <w:rStyle w:val="Emphasis"/>
          <w:color w:val="000000" w:themeColor="text1"/>
          <w:szCs w:val="20"/>
        </w:rPr>
        <w:t>Id.</w:t>
      </w:r>
      <w:r w:rsidRPr="008F240C">
        <w:rPr>
          <w:color w:val="000000" w:themeColor="text1"/>
          <w:szCs w:val="20"/>
        </w:rPr>
        <w:t> at *7 (quoting, </w:t>
      </w:r>
      <w:r w:rsidRPr="008F240C">
        <w:rPr>
          <w:rStyle w:val="Emphasis"/>
          <w:color w:val="000000" w:themeColor="text1"/>
          <w:szCs w:val="20"/>
        </w:rPr>
        <w:t>e.g.</w:t>
      </w:r>
      <w:r w:rsidRPr="008F240C">
        <w:rPr>
          <w:color w:val="000000" w:themeColor="text1"/>
          <w:szCs w:val="20"/>
        </w:rPr>
        <w:t>, </w:t>
      </w:r>
      <w:r w:rsidRPr="008F240C">
        <w:rPr>
          <w:rStyle w:val="Emphasis"/>
          <w:color w:val="000000" w:themeColor="text1"/>
          <w:szCs w:val="20"/>
        </w:rPr>
        <w:t>Migdal v. Rowe Price-Fleming Int’l, Inc.</w:t>
      </w:r>
      <w:r w:rsidRPr="008F240C">
        <w:rPr>
          <w:color w:val="000000" w:themeColor="text1"/>
          <w:szCs w:val="20"/>
        </w:rPr>
        <w:t>, 248 F.3d 321, 324 (4th Cir. 2001) (noting that “[m]ost funds are externally managed – each fund contracts with an investment adviser to recommend </w:t>
      </w:r>
      <w:r w:rsidRPr="008F240C">
        <w:rPr>
          <w:rStyle w:val="Emphasis"/>
          <w:color w:val="000000" w:themeColor="text1"/>
          <w:szCs w:val="20"/>
        </w:rPr>
        <w:t>and supervise</w:t>
      </w:r>
      <w:r w:rsidRPr="008F240C">
        <w:rPr>
          <w:color w:val="000000" w:themeColor="text1"/>
          <w:szCs w:val="20"/>
        </w:rPr>
        <w:t> the fund’s investments”) (emphasis added)). And all of that, the district court concluded, is consistent with the definition of “supervision” in Black’s Law Dictionary – “[t]he series of acts involved in managing, directing, or overseeing persons or projects,” </w:t>
      </w:r>
      <w:r w:rsidRPr="008F240C">
        <w:rPr>
          <w:rStyle w:val="Emphasis"/>
          <w:color w:val="000000" w:themeColor="text1"/>
          <w:szCs w:val="20"/>
        </w:rPr>
        <w:t>Supervision</w:t>
      </w:r>
      <w:r w:rsidRPr="008F240C">
        <w:rPr>
          <w:color w:val="000000" w:themeColor="text1"/>
          <w:szCs w:val="20"/>
        </w:rPr>
        <w:t>, Black’s Law Dictionary (10th ed. 2014) – on which Virginia courts have relied for the proposition that “supervision” may refer to the management or oversight of things (such as property) as well as people. </w:t>
      </w:r>
      <w:r w:rsidRPr="008F240C">
        <w:rPr>
          <w:rStyle w:val="Emphasis"/>
          <w:color w:val="000000" w:themeColor="text1"/>
          <w:szCs w:val="20"/>
        </w:rPr>
        <w:t>See ALPS</w:t>
      </w:r>
      <w:r w:rsidRPr="008F240C">
        <w:rPr>
          <w:color w:val="000000" w:themeColor="text1"/>
          <w:szCs w:val="20"/>
        </w:rPr>
        <w:t>, 2018 WL 4927366, at *8 (citing </w:t>
      </w:r>
      <w:r w:rsidRPr="008F240C">
        <w:rPr>
          <w:rStyle w:val="Emphasis"/>
          <w:color w:val="000000" w:themeColor="text1"/>
          <w:szCs w:val="20"/>
        </w:rPr>
        <w:t>Hutton v. Commonwealth</w:t>
      </w:r>
      <w:r w:rsidRPr="008F240C">
        <w:rPr>
          <w:color w:val="000000" w:themeColor="text1"/>
          <w:szCs w:val="20"/>
        </w:rPr>
        <w:t>, 66 Va.App. 714, 791 S.E.2d 750, 753 (2016)).</w:t>
      </w:r>
    </w:p>
    <w:p w:rsidR="008F240C" w:rsidRDefault="008F240C" w:rsidP="008F240C">
      <w:pPr>
        <w:pStyle w:val="QS10"/>
        <w:rPr>
          <w:rStyle w:val="Emphasis"/>
          <w:i w:val="0"/>
          <w:color w:val="000000" w:themeColor="text1"/>
          <w:szCs w:val="20"/>
        </w:rPr>
      </w:pPr>
      <w:r w:rsidRPr="008F240C">
        <w:rPr>
          <w:color w:val="000000" w:themeColor="text1"/>
          <w:szCs w:val="20"/>
        </w:rPr>
        <w:t>It was equally clear, the district court held, that Farthing’s conduct qualified as “negligent” within the meaning of the exclusion. There was no need to consider in this case the “precise contours of the ordinary meaning of the word ‘negligence,’ ” the district court explained, because Farthing’s investment activities were “expressly determined to be ‘reckless’ breaches of his fiduciary duties during the underlying state court lawsuit.” </w:t>
      </w:r>
      <w:r w:rsidRPr="008F240C">
        <w:rPr>
          <w:rStyle w:val="Emphasis"/>
          <w:color w:val="000000" w:themeColor="text1"/>
          <w:szCs w:val="20"/>
        </w:rPr>
        <w:t>Id.</w:t>
      </w:r>
      <w:r w:rsidRPr="008F240C">
        <w:rPr>
          <w:color w:val="000000" w:themeColor="text1"/>
          <w:szCs w:val="20"/>
        </w:rPr>
        <w:t> at *7. An insurer’s duty to indemnify is governed by the plain terms of the policy and the “litigated facts” in the underlying state action, </w:t>
      </w:r>
      <w:hyperlink r:id="rId447" w:history="1">
        <w:r w:rsidRPr="008F240C">
          <w:rPr>
            <w:rStyle w:val="Emphasis"/>
            <w:color w:val="000000" w:themeColor="text1"/>
            <w:szCs w:val="20"/>
          </w:rPr>
          <w:t>id.</w:t>
        </w:r>
      </w:hyperlink>
      <w:r w:rsidRPr="008F240C">
        <w:rPr>
          <w:color w:val="000000" w:themeColor="text1"/>
          <w:szCs w:val="20"/>
        </w:rPr>
        <w:t> (quoting </w:t>
      </w:r>
      <w:r w:rsidRPr="008F240C">
        <w:rPr>
          <w:rStyle w:val="Emphasis"/>
          <w:color w:val="000000" w:themeColor="text1"/>
          <w:szCs w:val="20"/>
        </w:rPr>
        <w:t>CACI Int’1, Inc. v. St. Paul Fire &amp; Marine Ins. Co.</w:t>
      </w:r>
      <w:r w:rsidRPr="008F240C">
        <w:rPr>
          <w:color w:val="000000" w:themeColor="text1"/>
          <w:szCs w:val="20"/>
        </w:rPr>
        <w:t>, 566 F.3d 150, 155 (4th Cir. 2009)), and here, the prior finding of recklessness “establishes, as a matter of law, a lack of care that rises to, and exceeds, ordinary negligence,” </w:t>
      </w:r>
      <w:hyperlink r:id="rId448" w:history="1">
        <w:r w:rsidRPr="008F240C">
          <w:rPr>
            <w:rStyle w:val="Emphasis"/>
            <w:color w:val="000000" w:themeColor="text1"/>
            <w:szCs w:val="20"/>
          </w:rPr>
          <w:t>id.</w:t>
        </w:r>
      </w:hyperlink>
    </w:p>
    <w:p w:rsidR="00CF6ED7" w:rsidRPr="00CF6ED7" w:rsidRDefault="00CF6ED7" w:rsidP="00B66CCE">
      <w:pPr>
        <w:pStyle w:val="Heading20"/>
        <w:numPr>
          <w:ilvl w:val="1"/>
          <w:numId w:val="33"/>
        </w:numPr>
        <w:tabs>
          <w:tab w:val="clear" w:pos="2700"/>
        </w:tabs>
        <w:spacing w:before="240"/>
        <w:ind w:left="0"/>
        <w:rPr>
          <w:vanish/>
          <w:color w:val="000000" w:themeColor="text1"/>
          <w:szCs w:val="20"/>
          <w:specVanish/>
        </w:rPr>
      </w:pPr>
      <w:bookmarkStart w:id="813" w:name="_Toc94704703"/>
      <w:r>
        <w:rPr>
          <w:b/>
          <w:color w:val="000000" w:themeColor="text1"/>
          <w:szCs w:val="20"/>
          <w:u w:val="single"/>
        </w:rPr>
        <w:t>Trusts Reformed to Avoid Reciprocity</w:t>
      </w:r>
      <w:bookmarkEnd w:id="813"/>
    </w:p>
    <w:p w:rsidR="00CF6ED7" w:rsidRPr="00CF6ED7" w:rsidRDefault="00CF6ED7" w:rsidP="00CF6ED7">
      <w:pPr>
        <w:pStyle w:val="Heading2Body"/>
      </w:pPr>
      <w:r>
        <w:t xml:space="preserve">.  In </w:t>
      </w:r>
      <w:r>
        <w:rPr>
          <w:u w:val="single"/>
        </w:rPr>
        <w:t>Matter of Jill Petrie St. Clair Trust Refo</w:t>
      </w:r>
      <w:r w:rsidR="00A2482A">
        <w:rPr>
          <w:u w:val="single"/>
        </w:rPr>
        <w:t>rm</w:t>
      </w:r>
      <w:r>
        <w:rPr>
          <w:u w:val="single"/>
        </w:rPr>
        <w:t>ation</w:t>
      </w:r>
      <w:r>
        <w:rPr>
          <w:b/>
        </w:rPr>
        <w:t xml:space="preserve">, </w:t>
      </w:r>
      <w:r w:rsidR="004F395A" w:rsidRPr="004F395A">
        <w:t>464 P.3d 326</w:t>
      </w:r>
      <w:r w:rsidRPr="00CF6ED7">
        <w:t xml:space="preserve"> (Kan. 2020), spouses created trusts that were not intended to be reciprocal but the drafter omitted the relevant different provisions</w:t>
      </w:r>
      <w:r w:rsidR="00E1222F">
        <w:t xml:space="preserve"> as the opinion notes</w:t>
      </w:r>
      <w:r w:rsidRPr="00CF6ED7">
        <w:t>:</w:t>
      </w:r>
    </w:p>
    <w:p w:rsidR="00A2482A" w:rsidRPr="00A2482A" w:rsidRDefault="00A2482A" w:rsidP="00A2482A">
      <w:pPr>
        <w:pStyle w:val="QS10"/>
      </w:pPr>
      <w:r w:rsidRPr="00A2482A">
        <w:t>In September 2003, Jill executed a trust agreement establishing the Jill Petrie St. Clair Trust. She named William J. Wallisch the trustee. The trust made her husband, William Paxson St. Clair, a life beneficiary of the trust's income. Upon William's death, the trust's income would then be distributed to Jill and William's children and grandchildren living at the time the trust was created, and the principal would eventually be distributed to the grandchildren or their estates.</w:t>
      </w:r>
    </w:p>
    <w:p w:rsidR="00A2482A" w:rsidRPr="00A2482A" w:rsidRDefault="00A2482A" w:rsidP="00A2482A">
      <w:pPr>
        <w:pStyle w:val="QS10"/>
      </w:pPr>
      <w:r w:rsidRPr="00A2482A">
        <w:t>In December 2002, before Jill created her trust, William established his own trust with an identical distribution scheme but naming Jill a life beneficiary of the trust's income. Both Jill and William funded their trusts in identical amounts when Jill executed her trust agreement.</w:t>
      </w:r>
    </w:p>
    <w:p w:rsidR="00A2482A" w:rsidRPr="00A2482A" w:rsidRDefault="00A2482A" w:rsidP="00A2482A">
      <w:pPr>
        <w:pStyle w:val="QS10"/>
      </w:pPr>
      <w:r w:rsidRPr="00A2482A">
        <w:t>M. Wayne Davidson was the attorney who prepared the trusts for Jill and William. One of the purposes of William's trust was to make sure the assets in his trust were not included in his or Jill's taxable estates. Davidson proposed to Jill that she create her own trust to obtain gift tax benefits and to similarly assure that the assets in her trust were not included in William's taxable estate. Davidson drafted Jill's trust with those objectives in mind. To that end, Jill's trust agreement provided that “no part of this Trust shall be included in the Grantor's gross estate for death tax purposes.” At the time Jill executed the trust agreement, she believed it contained the necessary provisions for the trust assets to be excluded from her and William's taxable estates, and for the transfers to the trust to be considered completed gifts.</w:t>
      </w:r>
    </w:p>
    <w:p w:rsidR="00A2482A" w:rsidRPr="00A2482A" w:rsidRDefault="00A2482A" w:rsidP="00A2482A">
      <w:pPr>
        <w:pStyle w:val="QS10"/>
      </w:pPr>
      <w:r w:rsidRPr="00A2482A">
        <w:t>But because of a drafting error, Davidson failed to include two provisions necessary to differentiate the benefits provided to William under Jill's trust from the benefits provided to Jill under William's trust. These provisions were necessary to avoid the two trust being considered reciprocal, resulting in the assets of Jill's trust being included in William's estate upon his demise and vice versa. One of the provisions that was erroneously omitted from Jill's trust agreement would have enabled William to annually receive $5,000 or 5% of the assets in Jill's trust. The other provision would have given William a lifetime special power of appointment over the trust assets in Jill's trust that would have enabled him to appoint all or any portion of the assets in Jill's estate to any person other than himself, his creditors, his estate, or the creditors of his estate. These provisions are commonly used by attorneys drafting trusts to avoid creating reciprocal trusts.</w:t>
      </w:r>
    </w:p>
    <w:p w:rsidR="00CF6ED7" w:rsidRDefault="00CF6ED7" w:rsidP="00CF6ED7">
      <w:pPr>
        <w:pStyle w:val="Body15"/>
      </w:pPr>
      <w:r>
        <w:t>The trial court found that the scrivener had committed an error which the Kansas Supreme Court affirmed.</w:t>
      </w:r>
    </w:p>
    <w:p w:rsidR="00EA278B" w:rsidRPr="00EA278B" w:rsidRDefault="00A2482A" w:rsidP="00B66CCE">
      <w:pPr>
        <w:pStyle w:val="Heading20"/>
        <w:numPr>
          <w:ilvl w:val="1"/>
          <w:numId w:val="33"/>
        </w:numPr>
        <w:tabs>
          <w:tab w:val="clear" w:pos="2700"/>
        </w:tabs>
        <w:spacing w:before="240"/>
        <w:ind w:left="0"/>
        <w:rPr>
          <w:vanish/>
          <w:specVanish/>
        </w:rPr>
      </w:pPr>
      <w:bookmarkStart w:id="814" w:name="_Toc94704704"/>
      <w:r>
        <w:rPr>
          <w:b/>
          <w:u w:val="single"/>
        </w:rPr>
        <w:t>Ethical Obligation To Avoid C</w:t>
      </w:r>
      <w:r w:rsidR="00EA278B">
        <w:rPr>
          <w:b/>
          <w:u w:val="single"/>
        </w:rPr>
        <w:t>ounseling O</w:t>
      </w:r>
      <w:r>
        <w:rPr>
          <w:b/>
          <w:u w:val="single"/>
        </w:rPr>
        <w:t xml:space="preserve">r Assisting </w:t>
      </w:r>
      <w:r w:rsidR="00EA278B">
        <w:rPr>
          <w:b/>
          <w:u w:val="single"/>
        </w:rPr>
        <w:t>A</w:t>
      </w:r>
      <w:r>
        <w:rPr>
          <w:b/>
          <w:u w:val="single"/>
        </w:rPr>
        <w:t xml:space="preserve"> C</w:t>
      </w:r>
      <w:r w:rsidR="00DA0457">
        <w:rPr>
          <w:b/>
          <w:u w:val="single"/>
        </w:rPr>
        <w:t>lient In A Criminal Or Fraudulent Situation</w:t>
      </w:r>
      <w:bookmarkEnd w:id="814"/>
    </w:p>
    <w:p w:rsidR="00A2482A" w:rsidRDefault="00DA0457" w:rsidP="00EA278B">
      <w:pPr>
        <w:pStyle w:val="Heading2Body"/>
      </w:pPr>
      <w:r>
        <w:t>.  On April 29, 2020, the American Bar Association issued Formal Opinion 491.  As background for the opinion, it notes:</w:t>
      </w:r>
    </w:p>
    <w:p w:rsidR="00A2482A" w:rsidRDefault="00DA0457" w:rsidP="00DA0457">
      <w:pPr>
        <w:pStyle w:val="QS10"/>
      </w:pPr>
      <w:r>
        <w:t>In the wake of media reports,</w:t>
      </w:r>
      <w:r w:rsidRPr="00DA0457">
        <w:rPr>
          <w:vertAlign w:val="superscript"/>
        </w:rPr>
        <w:t>2</w:t>
      </w:r>
      <w:r>
        <w:t xml:space="preserve"> disciplinary proceedings,</w:t>
      </w:r>
      <w:r w:rsidRPr="00DA0457">
        <w:rPr>
          <w:vertAlign w:val="superscript"/>
        </w:rPr>
        <w:t>3</w:t>
      </w:r>
      <w:r>
        <w:t xml:space="preserve"> criminal prosecutions,</w:t>
      </w:r>
      <w:r w:rsidRPr="00DA0457">
        <w:rPr>
          <w:vertAlign w:val="superscript"/>
        </w:rPr>
        <w:t>4</w:t>
      </w:r>
      <w:r>
        <w:t xml:space="preserve"> and reports on international counter-terrorism enforcement and efforts to combat money-laundering, the legal profession has become increasingly alert to the risk that a client or prospective client</w:t>
      </w:r>
      <w:r w:rsidRPr="009B3EEA">
        <w:rPr>
          <w:vertAlign w:val="superscript"/>
        </w:rPr>
        <w:t>5</w:t>
      </w:r>
      <w:r>
        <w:t xml:space="preserve"> might try to retain a lawyer for a transaction or other non-litigation matter that could be legitimate but which further inquiry would reveal to be criminal or fraudulent.</w:t>
      </w:r>
      <w:r w:rsidRPr="009B3EEA">
        <w:rPr>
          <w:vertAlign w:val="superscript"/>
        </w:rPr>
        <w:t>6</w:t>
      </w:r>
      <w:r>
        <w:t xml:space="preserve"> For example, a client might seek legal assistance for a series of purchases and sales of properties that will be used to launder money. Or a client might propose an all-cash deal in large amounts and ask that the proceeds be deposited in a bank located in a jurisdiction where transactions of this kind are commonly used to conceal terrorist financing or other illegal activities.</w:t>
      </w:r>
      <w:r w:rsidRPr="009B3EEA">
        <w:rPr>
          <w:vertAlign w:val="superscript"/>
        </w:rPr>
        <w:t>7</w:t>
      </w:r>
      <w:r>
        <w:t xml:space="preserve"> On the other hand, further inquiry may dispel the lawyer’s concerns.</w:t>
      </w:r>
    </w:p>
    <w:p w:rsidR="00DA0457" w:rsidRDefault="00DA0457" w:rsidP="00DA0457">
      <w:pPr>
        <w:pStyle w:val="Body15"/>
      </w:pPr>
      <w:r>
        <w:t>[footnotes omitted]</w:t>
      </w:r>
    </w:p>
    <w:p w:rsidR="00DA0457" w:rsidRDefault="00DA0457" w:rsidP="00DA0457">
      <w:pPr>
        <w:pStyle w:val="Body15"/>
      </w:pPr>
      <w:r>
        <w:t>The substance relevant to estate planners is as follows:</w:t>
      </w:r>
    </w:p>
    <w:p w:rsidR="00DA0457" w:rsidRDefault="009B3EEA" w:rsidP="009B3EEA">
      <w:pPr>
        <w:pStyle w:val="QS10"/>
      </w:pPr>
      <w:r>
        <w:t>As set forth in Section II of this opinion, a lawyer who has knowledge of facts that create a high probability that a client is seeking the lawyer’s services in a transaction to further criminal or fraudulent activity has a duty to inquire further to avoid assisting that activity under Rule 1.2(d). Failure to make a reasonable inquiry is willful blindness punishable under the actual knowledge standard of the Rule. Whether the facts known to the lawyer require further inquiry will depend on the circumstances. As discussed in Section III, even where Rule 1.2(d) does not require further inquiry, other Rules may. These Rules include the duty of competence under Rule 1.1, the duty of diligence under Rule 1.3, the duty of communication under Rule 1.4, the duty to protect the best interests of an organizational client under Rule 1.13, the duties of honesty and integrity under Rules 8.4(b) and (c), and the duty to withdraw under Rule 1.16(a). Further inquiry under these Rules serves important ends. It ensures that the lawyer is in a position to provide the informed advice and assistance to which the client is entitled, that the representation will not result in professional misconduct, and that the representation will not involve counseling or assisting a crime or fraud. Section IV addresses a lawyer’s obligations in responding to a client who either agrees or does not agree to provide information necessary to satisfy the duty to inquire. Finally, Section V examines hypothetical scenarios in which the duty to inquire would be triggered, as well as instances in which it would not.</w:t>
      </w:r>
    </w:p>
    <w:p w:rsidR="00DA0457" w:rsidRDefault="00DA0457" w:rsidP="00DA0457">
      <w:pPr>
        <w:pStyle w:val="Body15"/>
      </w:pPr>
      <w:r>
        <w:t xml:space="preserve">The opinion contains five examples, three of which </w:t>
      </w:r>
      <w:r w:rsidR="00D86AEA">
        <w:t xml:space="preserve">easily </w:t>
      </w:r>
      <w:r>
        <w:t>could be directly relevant to an estate planner:</w:t>
      </w:r>
    </w:p>
    <w:p w:rsidR="009B3EEA" w:rsidRDefault="009B3EEA" w:rsidP="009B3EEA">
      <w:pPr>
        <w:pStyle w:val="QS10"/>
      </w:pPr>
      <w:r>
        <w:t>#3: A general practitioner in rural North Dakota receives a call from a long-term client asking her to form a limited liability company for the purpose of buying a ranch.</w:t>
      </w:r>
      <w:r w:rsidRPr="009B3EEA">
        <w:rPr>
          <w:vertAlign w:val="superscript"/>
        </w:rPr>
        <w:t>52</w:t>
      </w:r>
      <w:r>
        <w:t xml:space="preserve"> </w:t>
      </w:r>
    </w:p>
    <w:p w:rsidR="009B3EEA" w:rsidRDefault="009B3EEA" w:rsidP="009B3EEA">
      <w:pPr>
        <w:pStyle w:val="QS10"/>
      </w:pPr>
      <w:r>
        <w:t>#4: The general practitioner in rural North Dakota receives a call from a new and unknown prospective client saying that the client just won several million dollars in Las Vegas and needs the lawyer to form a limited liability company to buy a ranch.</w:t>
      </w:r>
      <w:r w:rsidRPr="009B3EEA">
        <w:rPr>
          <w:vertAlign w:val="superscript"/>
        </w:rPr>
        <w:t>53</w:t>
      </w:r>
      <w:r>
        <w:t xml:space="preserve"> </w:t>
      </w:r>
    </w:p>
    <w:p w:rsidR="00DA0457" w:rsidRDefault="009B3EEA" w:rsidP="009B3EEA">
      <w:pPr>
        <w:pStyle w:val="QS10"/>
      </w:pPr>
      <w:r>
        <w:t>#5: A prospective client in New York City asks a general practitioner in a mid-size town in rural Georgia to provide legal services for the acquisition of several farms in rural Georgia. The prospective client tells the lawyer that he has made a lot of money in hedge funds and now wants to diversify his investments by purchasing these farms but says he doesn’t want his purchases to cause a wave of land speculation and artificially inflate local prices. He wants to wire money into the law firm’s trust account over time for the purchases. He asks the lawyer to create a series of LLCs to make strategic (and apparently unrelated) acquisitions.</w:t>
      </w:r>
      <w:r w:rsidRPr="009B3EEA">
        <w:rPr>
          <w:vertAlign w:val="superscript"/>
        </w:rPr>
        <w:t>54</w:t>
      </w:r>
    </w:p>
    <w:p w:rsidR="00DA0457" w:rsidRDefault="00DA0457" w:rsidP="00DA0457">
      <w:pPr>
        <w:pStyle w:val="Body15"/>
      </w:pPr>
      <w:r>
        <w:t>[footnote</w:t>
      </w:r>
      <w:r w:rsidR="001129B5">
        <w:t>s</w:t>
      </w:r>
      <w:r>
        <w:t xml:space="preserve"> omitted]</w:t>
      </w:r>
    </w:p>
    <w:p w:rsidR="00DA0457" w:rsidRDefault="00DA0457" w:rsidP="009B3EEA">
      <w:pPr>
        <w:pStyle w:val="Body15"/>
      </w:pPr>
      <w:r>
        <w:t>The opinion provides no discussion beyond references to the</w:t>
      </w:r>
      <w:r w:rsidR="009B3EEA">
        <w:t xml:space="preserve"> </w:t>
      </w:r>
      <w:r w:rsidR="00D86AEA">
        <w:t>Am. Bar Ass’n Task Force On Gatekeeper Regulation And The Profession, Voluntary Good Practices Guidance For Lawyers To Detect And Combat Money Laundering And Terrorist Financing</w:t>
      </w:r>
      <w:r w:rsidR="001129B5">
        <w:t>.</w:t>
      </w:r>
    </w:p>
    <w:p w:rsidR="00C34606" w:rsidRPr="00C34606" w:rsidRDefault="00DB25FA" w:rsidP="00B66CCE">
      <w:pPr>
        <w:pStyle w:val="Heading20"/>
        <w:numPr>
          <w:ilvl w:val="1"/>
          <w:numId w:val="33"/>
        </w:numPr>
        <w:tabs>
          <w:tab w:val="clear" w:pos="2700"/>
        </w:tabs>
        <w:spacing w:before="240"/>
        <w:ind w:left="0"/>
        <w:rPr>
          <w:vanish/>
          <w:specVanish/>
        </w:rPr>
      </w:pPr>
      <w:bookmarkStart w:id="815" w:name="_Toc94704705"/>
      <w:r w:rsidRPr="00DB25FA">
        <w:rPr>
          <w:b/>
          <w:u w:val="single"/>
        </w:rPr>
        <w:t>No-Contest Clause Applied</w:t>
      </w:r>
      <w:bookmarkEnd w:id="815"/>
    </w:p>
    <w:p w:rsidR="00DB25FA" w:rsidRDefault="00DB25FA" w:rsidP="00C34606">
      <w:pPr>
        <w:pStyle w:val="Heading2Body"/>
      </w:pPr>
      <w:r>
        <w:t xml:space="preserve">.  Missouri has a statute allowing a “test” lawsuit over a no-contest clause.  In </w:t>
      </w:r>
      <w:r w:rsidRPr="00DB25FA">
        <w:rPr>
          <w:u w:val="single"/>
        </w:rPr>
        <w:t>Knopik v. Shelby Investments, LLC</w:t>
      </w:r>
      <w:r>
        <w:t>, 597 S.W.3d 189 (Mo. 2020), the beneficiary ignored that statute and just filed a lawsuit alleging a breach by the trustee.  The court applied the no-contest clause:</w:t>
      </w:r>
    </w:p>
    <w:p w:rsidR="00091CF9" w:rsidRPr="00091CF9" w:rsidRDefault="00091CF9" w:rsidP="00091CF9">
      <w:pPr>
        <w:pStyle w:val="QS10"/>
      </w:pPr>
      <w:r w:rsidRPr="00091CF9">
        <w:t>Gift L.L.C. (“Settlor”) created the Knopik Irrevocable Trust (“Trust”) in late December 2016. The provisions of the Trust established Shelby Investments, L.L.C. (“Trustee”) as the sole trustee and Samuel Knopik (“Beneficiary”) as the sole beneficiary of the Trust. The Trust was to provide the Beneficiary with a $100-per-month distribution, beginning in December 2016 and ending in December 2020. Provision 12 of the Trust, denominated “No Contest,” provided:</w:t>
      </w:r>
    </w:p>
    <w:p w:rsidR="00091CF9" w:rsidRPr="00091CF9" w:rsidRDefault="00091CF9" w:rsidP="00091CF9">
      <w:pPr>
        <w:pStyle w:val="QS10"/>
        <w:ind w:left="2160"/>
      </w:pPr>
      <w:r w:rsidRPr="00091CF9">
        <w:t>In case any beneficiary shall (i) contest the validity of this trust, or any provisions hereof, in whole or in part; (ii) make a claim against a trustee for maladministration or breach of trust; or (iii) attempt to remove a trustee for any reason, with or without cause; then such contest or claim and such attempt shall cancel and terminate all provisions for or in favor of the beneficiary making or inciting such contest or claim, without regard to whether such contest or claim shall succeed or not; and all and any provisions or provision herein in favor of the beneficiary so making such contest or claim, or attempting or inciting the same, to be revoked and of no force and effect; and the entire trust estate shall revert to the Settlor and be distributed to the Settlor.</w:t>
      </w:r>
    </w:p>
    <w:p w:rsidR="00091CF9" w:rsidRDefault="00091CF9" w:rsidP="00091CF9">
      <w:pPr>
        <w:pStyle w:val="QS10"/>
      </w:pPr>
      <w:r w:rsidRPr="00091CF9">
        <w:t>The Trustee made a single distribution to the Beneficiary in February 2017 but made no further distributions pursuant to the terms of the Trust. In August 2017, the Beneficiary filed a petition against the Trustee for breach of trust and to remove the Trustee. The Trustee admitted it made the single payment pursuant to the Trust, despite additional distributions being required. The Trustee further admitted it had indicated to the Beneficiary that it did not intend to make any future payments pursuant to the Trust. The Trustee also raised a counterclaim for declaratory judgment, asking the circuit court to determine that, due to the violation of the “No Contest” provision of the Trust, all provisions of the Trust in favor of the Beneficiary were cancelled and terminated. The Beneficiary and the Trustee each filed motions for summary judgment. The circuit court entered summary judgment in favor of the Trustee on its counterclaim after finding that the Beneficiary’s filing of his petition for breach of trust and removal violated the Trust’s no-contest clause. The Beneficiary appeals.</w:t>
      </w:r>
    </w:p>
    <w:p w:rsidR="00DB25FA" w:rsidRDefault="00DB25FA" w:rsidP="00091CF9">
      <w:pPr>
        <w:pStyle w:val="QS10"/>
        <w:jc w:val="center"/>
      </w:pPr>
      <w:r>
        <w:t>***</w:t>
      </w:r>
    </w:p>
    <w:p w:rsidR="00091CF9" w:rsidRDefault="00091CF9" w:rsidP="00091CF9">
      <w:pPr>
        <w:pStyle w:val="QS10"/>
      </w:pPr>
      <w:r>
        <w:t>There is no doubt that the language of the Trust indicated the Settlor’s clear intent to impose the result of forfeiture when the Beneficiary filed his petition. Provision 12 of the Trust purported to require forfeiture if the Beneficiary were to contest the validity of the Trust, make a claim against the Trustee for maladministration or breach of trust, or attempt to remove the Trustee for any reason. The petition the Beneficiary filed in the circuit court contained two counts. Count I was titled “Breach of Trust.” Count II – “Removal” – sought removal of the Trustee and proposed a replacement trustee. When the Beneficiary filed his petition, violation of the plain language of Provision 12 was evident. The circuit court found the filing of the petition, as pleaded, to be in violation of the Trust’s no-contest provision, and the circuit court ordered that all provisions of the Trust in favor of the Beneficiary be cancelled and terminated. The Beneficiary asks for relief by having this Court rule that no-contest clauses are inapplicable when the action is for breach of trust or removal of a trustee.</w:t>
      </w:r>
    </w:p>
    <w:p w:rsidR="00091CF9" w:rsidRDefault="00091CF9" w:rsidP="00091CF9">
      <w:pPr>
        <w:pStyle w:val="QS10"/>
      </w:pPr>
      <w:r>
        <w:t>However, if the Beneficiary wished to challenge the enforceability and applicability of the no-contest clause to the claims in his petition, he should have done so in a proceeding under section 456.4-420. Section 456.4-420, enacted by the Missouri legislature in 2014, addresses a procedure by which an interested person can seek to avoid the effect of no-contest clauses in trusts. The statute provides “for an interlocutory determination whether a particular ... petition ... by the interested person would trigger application of the no-contest clause or would otherwise trigger a forfeiture that is enforceable under applicable law and public policy.” Section 456.4-420.1. Upon consideration of the language of the clause, the relationship of the clause to the trust instrument, and the facts of the petition, the circuit court makes a determination that “result[s] in the no-contest clause being enforceable to the extent of the court’s ruling.” Section 456.4-420.4. This determination is subject to appeal. Section 456.4-420.3.</w:t>
      </w:r>
    </w:p>
    <w:p w:rsidR="00091CF9" w:rsidRDefault="00091CF9" w:rsidP="00091CF9">
      <w:pPr>
        <w:pStyle w:val="QS10"/>
      </w:pPr>
      <w:r>
        <w:t>Section 456.4-420 provided a “safe harbor” in which the Beneficiary should have invoked a challenge to the enforceability and applicability of the no-contest clause to his claims for breach of trust and removal. But the Beneficiary chose to file his petition asserting the exact claims the Trust unambiguously stated would result in forfeiture. Because of the Beneficiary’s failure to utilize section 456.4-420, this Court need not reach the issue of either delineating specific exceptions to the application of no-contest clauses or deciding whether a good faith or probable cause exception should be introduced in Missouri.</w:t>
      </w:r>
    </w:p>
    <w:p w:rsidR="00DB25FA" w:rsidRDefault="00DB25FA" w:rsidP="00DB25FA">
      <w:pPr>
        <w:pStyle w:val="Body15"/>
      </w:pPr>
      <w:r>
        <w:t xml:space="preserve">The court seems to base this </w:t>
      </w:r>
      <w:r w:rsidR="00091CF9">
        <w:t>tough</w:t>
      </w:r>
      <w:r w:rsidR="00BE3597">
        <w:t xml:space="preserve"> result for the beneficiary on the beneficiary’s failure to start with a different statute, but suppose the beneficiary had asked the clause would apply and the court had said yes?  The beneficiary would have been without a remedy.  Why Missouri would </w:t>
      </w:r>
      <w:r w:rsidR="009A4B82">
        <w:t>enforce</w:t>
      </w:r>
      <w:r w:rsidR="00BE3597">
        <w:t xml:space="preserve"> a trust with so few – maybe no – limits on a </w:t>
      </w:r>
      <w:r w:rsidR="009A4B82">
        <w:t>trustee</w:t>
      </w:r>
      <w:r w:rsidR="00BE3597">
        <w:t xml:space="preserve"> is uncertain.  A concurrence hints of a backstory that reflects poorly on the court and litigants:</w:t>
      </w:r>
    </w:p>
    <w:p w:rsidR="00091CF9" w:rsidRPr="00091CF9" w:rsidRDefault="00091CF9" w:rsidP="00091CF9">
      <w:pPr>
        <w:pStyle w:val="QS10"/>
      </w:pPr>
      <w:r w:rsidRPr="00091CF9">
        <w:t>It has been suggested that the present case is fictitious or collusive. </w:t>
      </w:r>
      <w:r w:rsidRPr="00091CF9">
        <w:rPr>
          <w:i/>
          <w:iCs/>
        </w:rPr>
        <w:t>See</w:t>
      </w:r>
      <w:r w:rsidRPr="00091CF9">
        <w:t> Kimberly E. Cohen, et al. </w:t>
      </w:r>
      <w:r w:rsidRPr="00091CF9">
        <w:rPr>
          <w:i/>
          <w:iCs/>
        </w:rPr>
        <w:t>Advanced Estate Planning Practice Update: Summer 2019</w:t>
      </w:r>
      <w:r w:rsidRPr="00091CF9">
        <w:t> (American Law Institute June 12, 2019) (quoted portion authored by Kathleen R. Sherby) (setting forth the circumstances surrounding this case and concluding: “Based on the circumstantial evidence gathered thus far, </w:t>
      </w:r>
      <w:r w:rsidRPr="00091CF9">
        <w:rPr>
          <w:i/>
          <w:iCs/>
        </w:rPr>
        <w:t>Knopik</w:t>
      </w:r>
      <w:r w:rsidRPr="00091CF9">
        <w:t> appears to be a ‘contrived’ case, put together by the two disappointed lawyers in [a prior matter].”). The author of this suggestion makes a compelling case but uses facts and inferences both within and outside the record now before this Court. This Court, on the other hand, has authority to dismiss an appeal on the ground that the case is fictitious or collusive only if the record before the Court demonstrates this i</w:t>
      </w:r>
      <w:r w:rsidRPr="00091CF9">
        <w:rPr>
          <w:color w:val="000000" w:themeColor="text1"/>
        </w:rPr>
        <w:t>s so. </w:t>
      </w:r>
      <w:r w:rsidRPr="00091CF9">
        <w:rPr>
          <w:i/>
          <w:iCs/>
          <w:color w:val="000000" w:themeColor="text1"/>
        </w:rPr>
        <w:t>State ex rel. Chandler v. McQuilli</w:t>
      </w:r>
      <w:r w:rsidRPr="00A776CF">
        <w:rPr>
          <w:i/>
          <w:iCs/>
          <w:color w:val="000000" w:themeColor="text1"/>
        </w:rPr>
        <w:t>n</w:t>
      </w:r>
      <w:r w:rsidRPr="00A776CF">
        <w:rPr>
          <w:color w:val="000000" w:themeColor="text1"/>
        </w:rPr>
        <w:t>, 229 Mo. 523, 130 S.W. 9, 12 (Mo. 1910);</w:t>
      </w:r>
      <w:r w:rsidRPr="00091CF9">
        <w:rPr>
          <w:color w:val="000000" w:themeColor="text1"/>
        </w:rPr>
        <w:t> </w:t>
      </w:r>
      <w:r w:rsidRPr="00091CF9">
        <w:rPr>
          <w:i/>
          <w:iCs/>
          <w:color w:val="000000" w:themeColor="text1"/>
        </w:rPr>
        <w:t>Hah</w:t>
      </w:r>
      <w:r w:rsidRPr="00A776CF">
        <w:rPr>
          <w:i/>
          <w:iCs/>
          <w:color w:val="000000" w:themeColor="text1"/>
        </w:rPr>
        <w:t>n</w:t>
      </w:r>
      <w:r w:rsidRPr="00A776CF">
        <w:rPr>
          <w:color w:val="000000" w:themeColor="text1"/>
        </w:rPr>
        <w:t>, 36 S.W. at 665-66.</w:t>
      </w:r>
      <w:r w:rsidRPr="00091CF9">
        <w:rPr>
          <w:color w:val="000000" w:themeColor="text1"/>
        </w:rPr>
        <w:t xml:space="preserve"> Here, the record falls short of that standard, and the Court declines to inquire</w:t>
      </w:r>
      <w:r w:rsidRPr="00091CF9">
        <w:t xml:space="preserve"> of the parties and their counsel further on this issue.</w:t>
      </w:r>
    </w:p>
    <w:p w:rsidR="00091CF9" w:rsidRDefault="00091CF9" w:rsidP="00091CF9">
      <w:pPr>
        <w:pStyle w:val="QS10"/>
      </w:pPr>
      <w:r w:rsidRPr="00091CF9">
        <w:t>It is devoutly to be hoped, however, that this case – and the ramifications and remedies that will flow from the pursuit of a fictitious or collusive suit, though they were not invoked here – come to mind the next time counsel or their clients consider feigning a dispute (or the appearance of one) merely for the purpose of securing an advisory opinion.</w:t>
      </w:r>
    </w:p>
    <w:p w:rsidR="00614126" w:rsidRPr="00614126" w:rsidRDefault="002A14FC" w:rsidP="00B66CCE">
      <w:pPr>
        <w:pStyle w:val="Heading20"/>
        <w:numPr>
          <w:ilvl w:val="1"/>
          <w:numId w:val="33"/>
        </w:numPr>
        <w:tabs>
          <w:tab w:val="clear" w:pos="2700"/>
        </w:tabs>
        <w:spacing w:before="240"/>
        <w:ind w:left="0"/>
        <w:rPr>
          <w:b/>
          <w:vanish/>
          <w:u w:val="single"/>
          <w:specVanish/>
        </w:rPr>
      </w:pPr>
      <w:bookmarkStart w:id="816" w:name="_Toc94704706"/>
      <w:r w:rsidRPr="002A14FC">
        <w:rPr>
          <w:b/>
          <w:u w:val="single"/>
        </w:rPr>
        <w:t>Self-Settled Trust Does Not Become Protected From Creditors After the Settlor’s Death</w:t>
      </w:r>
      <w:bookmarkEnd w:id="816"/>
    </w:p>
    <w:p w:rsidR="002A14FC" w:rsidRPr="0030604B" w:rsidRDefault="006C4881" w:rsidP="00614126">
      <w:pPr>
        <w:pStyle w:val="Heading2Body"/>
        <w:rPr>
          <w:b/>
          <w:u w:val="single"/>
        </w:rPr>
      </w:pPr>
      <w:r>
        <w:t xml:space="preserve">.  </w:t>
      </w:r>
      <w:r>
        <w:rPr>
          <w:u w:val="single"/>
        </w:rPr>
        <w:t>De Prins v. Michaeles</w:t>
      </w:r>
      <w:r>
        <w:t xml:space="preserve">, </w:t>
      </w:r>
      <w:r w:rsidR="00CE2D39">
        <w:t>154</w:t>
      </w:r>
      <w:r>
        <w:t xml:space="preserve"> N.E.3d </w:t>
      </w:r>
      <w:r w:rsidR="00CE2D39">
        <w:t>921</w:t>
      </w:r>
      <w:r>
        <w:t xml:space="preserve"> (Ma. 2020), is a decision </w:t>
      </w:r>
      <w:r w:rsidR="0030604B">
        <w:t>in response to a question certified by the First Circuit.  It involves sad facts, namely the efforts of a murder victim’s estate to recover in a wrongful death action against an irrevocable trust created and funded by the decedent four months before the decedent murdered the victim (actually husband and wife).  The settlor-decedent was sole beneficiary of the trust.</w:t>
      </w:r>
    </w:p>
    <w:p w:rsidR="006C4881" w:rsidRDefault="0030604B" w:rsidP="006C4881">
      <w:pPr>
        <w:pStyle w:val="Body15"/>
      </w:pPr>
      <w:r>
        <w:t xml:space="preserve">Massachusetts has adopted </w:t>
      </w:r>
      <w:r w:rsidR="00421465">
        <w:t>the Uniform Trust Code which the court determined was silent on the question, thus requiring t</w:t>
      </w:r>
      <w:r w:rsidR="00CE2D39">
        <w:t>h</w:t>
      </w:r>
      <w:r w:rsidR="00421465">
        <w:t>e application of common law.  The court held that the settlor’s death would not affect t</w:t>
      </w:r>
      <w:r w:rsidR="00CE2D39">
        <w:t>h</w:t>
      </w:r>
      <w:r w:rsidR="00421465">
        <w:t>e asset protection status of a self-settled trust.  The opinion discusses the UTC provision this way:</w:t>
      </w:r>
    </w:p>
    <w:p w:rsidR="009C4045" w:rsidRDefault="009C4045" w:rsidP="009C4045">
      <w:pPr>
        <w:pStyle w:val="QS10"/>
      </w:pPr>
      <w:r>
        <w:t>Section 505 (a) (2) addresses a creditor's ability to reach the assets of an irrevocable trust. It does not specify whether it applies only during a settlor's lifetime or whether it applies after a settlor's death. G. L. c. 203E, § 505 (a) (2). It provides that, where a settlor has created an irrevocable trust, including one that contains a spendthrift provision, a creditor “may reach the maximum amount that can be distributed to or for the settlor's benefit.” Id. Where a settlor may reach the assets of an irrevocable trust, the settlor's creditors may also reach those assets. Therefore, as the defendants concede, if Belanger were still alive today, the plaintiff could reach the entirety of the trust's assets because the defendant trustee could, under the express terms of the trust, distribute all such assets to Belanger or for Belanger's benefit.</w:t>
      </w:r>
    </w:p>
    <w:p w:rsidR="009C4045" w:rsidRDefault="009C4045" w:rsidP="009C4045">
      <w:pPr>
        <w:pStyle w:val="QS10"/>
      </w:pPr>
      <w:r>
        <w:t xml:space="preserve">Because it is unclear from the statutory language whether § 505 (a) (2) addresses a creditor's ability to reach the assets of an irrevocable trust after the settlor's death, we look to the other sections of the statute as well as the legislative history. See </w:t>
      </w:r>
      <w:r w:rsidRPr="009C4045">
        <w:rPr>
          <w:u w:val="single"/>
        </w:rPr>
        <w:t>Ciani</w:t>
      </w:r>
      <w:r>
        <w:t xml:space="preserve">, 481 Mass. at 178, 114 N.E.3d 52; </w:t>
      </w:r>
      <w:r w:rsidRPr="009C4045">
        <w:rPr>
          <w:u w:val="single"/>
        </w:rPr>
        <w:t>Rotondi</w:t>
      </w:r>
      <w:r>
        <w:t>, 463 Mass. at 648, 977 N.E.2d 1042. When Massachusetts was considering adopting the Uniform Trust Code, an ad hoc committee was created to review and revise it for adoption. Report of the Ad Hoc Massachusetts Uniform Trust Code Committee 1-2 (rev. Jul. 18, 2012) (Report). The committee's comment to G. L. c. 203E, § 505, however, does not shed any additional light as to whether § 505 (a) (2) was intended to allow a creditor to reach an irrevocable trust's assets after the settlor's death or only during the settlor's lifetime.</w:t>
      </w:r>
    </w:p>
    <w:p w:rsidR="009C4045" w:rsidRDefault="009C4045" w:rsidP="009C4045">
      <w:pPr>
        <w:pStyle w:val="QS10"/>
      </w:pPr>
      <w:r>
        <w:t>Looking to the other provisions in the statute, G. L. c. 203E, § 106, provides that the MUTC is to be supplemented by the “common law of trusts and principles of equity.” The committee's comment to this section further clarifies that “the [MUTC] is not intended to replace the common law of trusts in Massachusetts except where the [MUTC] modifies it.” Report, supra at 7. It is clear, then, that the common law continues to apply where the MUTC does not address the situation at issue, and that the court may apply “principles of equity” to such cases. See G. L. c. 203E, § 106. In accordance with principles of equity, two sections of the MUTC specify that a trust may not be created that is contrary to public policy. See G. L. c. 203E, §§ 105 (b) (3), 404.</w:t>
      </w:r>
    </w:p>
    <w:p w:rsidR="009C4045" w:rsidRDefault="009C4045" w:rsidP="009C4045">
      <w:pPr>
        <w:pStyle w:val="QS10"/>
        <w:jc w:val="center"/>
      </w:pPr>
      <w:r>
        <w:t>*</w:t>
      </w:r>
      <w:r w:rsidR="00D600A9">
        <w:t xml:space="preserve"> </w:t>
      </w:r>
      <w:r>
        <w:t>*</w:t>
      </w:r>
      <w:r w:rsidR="00D600A9">
        <w:t xml:space="preserve"> </w:t>
      </w:r>
      <w:r>
        <w:t>*</w:t>
      </w:r>
    </w:p>
    <w:p w:rsidR="009C4045" w:rsidRDefault="009C4045" w:rsidP="009C4045">
      <w:pPr>
        <w:pStyle w:val="QS10"/>
      </w:pPr>
      <w:r>
        <w:t>Given the authorities discussed above, to the extent that a trust is self-settled such that the settlor retains the beneficial interest in the trust's assets and does not give such interest to another, it appears that the committee did not intend the MUTC to apply.</w:t>
      </w:r>
    </w:p>
    <w:p w:rsidR="00421465" w:rsidRDefault="009C4045" w:rsidP="009C4045">
      <w:pPr>
        <w:pStyle w:val="QS10"/>
      </w:pPr>
      <w:r>
        <w:t>In accordance with settled principles of statutory construction, and because the MUTC both (1) expressly provides that it does not replace the common law and (2) fails to address the situation here (i.e., the ability of a creditor to reach the assets of an irrevocable self-settled trust after the settlor's death), we conclude that the common law applies.</w:t>
      </w:r>
    </w:p>
    <w:p w:rsidR="00421465" w:rsidRDefault="00421465" w:rsidP="006C4881">
      <w:pPr>
        <w:pStyle w:val="Body15"/>
      </w:pPr>
      <w:r>
        <w:t>Does it matter that the settlor retained no rig</w:t>
      </w:r>
      <w:r w:rsidR="00E6600C">
        <w:t>h</w:t>
      </w:r>
      <w:r>
        <w:t>t to modify the trust?  Massachusetts law was not entirely clear:</w:t>
      </w:r>
    </w:p>
    <w:p w:rsidR="009C4045" w:rsidRPr="009C4045" w:rsidRDefault="009C4045" w:rsidP="009C4045">
      <w:pPr>
        <w:pStyle w:val="QS10"/>
      </w:pPr>
      <w:r w:rsidRPr="009C4045">
        <w:t xml:space="preserve">Here, the defendant trustee relies on </w:t>
      </w:r>
      <w:r w:rsidRPr="009C4045">
        <w:rPr>
          <w:u w:val="single"/>
        </w:rPr>
        <w:t>State Street Bank &amp; Trust Co. v. Reiser</w:t>
      </w:r>
      <w:r w:rsidRPr="009C4045">
        <w:t>, 7 Mass. App. Ct. 633, 638-639, 389 N.E.2d 768 (1979) (</w:t>
      </w:r>
      <w:r w:rsidRPr="009C4045">
        <w:rPr>
          <w:u w:val="single"/>
        </w:rPr>
        <w:t>Reiser</w:t>
      </w:r>
      <w:r w:rsidRPr="009C4045">
        <w:t xml:space="preserve">), for the proposition that a creditor may only reach and apply assets of a discretionary trust after the settlor's death where the settlor reserved the power to amend or revoke the trust and direct the disposition of the trust's assets (i.e., where the trust was revocable). In </w:t>
      </w:r>
      <w:r w:rsidRPr="009C4045">
        <w:rPr>
          <w:u w:val="single"/>
        </w:rPr>
        <w:t>Reiser</w:t>
      </w:r>
      <w:r w:rsidRPr="009C4045">
        <w:t xml:space="preserve">, the plaintiff creditor sought to reach and apply trust assets of a revocable trust of a deceased settlor to satisfy a debt owed by the settlor's estate. </w:t>
      </w:r>
      <w:r w:rsidRPr="009C4045">
        <w:rPr>
          <w:u w:val="single"/>
        </w:rPr>
        <w:t>Id</w:t>
      </w:r>
      <w:r w:rsidRPr="009C4045">
        <w:t xml:space="preserve">. at 633, 389 N.E.2d 768. The settlor died before repaying the debt, and his estate had insufficient funds to pay it. </w:t>
      </w:r>
      <w:r w:rsidRPr="009C4045">
        <w:rPr>
          <w:u w:val="single"/>
        </w:rPr>
        <w:t>Id</w:t>
      </w:r>
      <w:r w:rsidRPr="009C4045">
        <w:t xml:space="preserve">. at 634, 389 N.E.2d 768. The Appeals Court held that the creditor could reach and apply the trust's assets to satisfy the debt. </w:t>
      </w:r>
      <w:r w:rsidRPr="009C4045">
        <w:rPr>
          <w:u w:val="single"/>
        </w:rPr>
        <w:t>Id</w:t>
      </w:r>
      <w:r w:rsidRPr="009C4045">
        <w:t xml:space="preserve">. at 638-639, 389 N.E.2d 768. On the facts, the holding of the court in </w:t>
      </w:r>
      <w:r w:rsidRPr="00CE2D39">
        <w:rPr>
          <w:u w:val="single"/>
        </w:rPr>
        <w:t>Reiser</w:t>
      </w:r>
      <w:r w:rsidRPr="009C4045">
        <w:t xml:space="preserve"> is merely illustrative of one instance in which a creditor was allowed to reach the assets of a trust of a deceased settlor.12 It does not define the limits of a c</w:t>
      </w:r>
      <w:r>
        <w:t>reditor's ability to so reach.</w:t>
      </w:r>
    </w:p>
    <w:p w:rsidR="00421465" w:rsidRPr="009C4045" w:rsidRDefault="009C4045" w:rsidP="009C4045">
      <w:pPr>
        <w:pStyle w:val="QS10"/>
      </w:pPr>
      <w:r w:rsidRPr="009C4045">
        <w:t>In another Appeals Court case, a creditor was allowed to reach the assets of an irrevocable spendthrift trust to satisfy a judgment in a personal injury action against the deceased beneficiary's estate because the trust was held to be self-settled. Calhoun v. Rawlins, 93 Mass. App. Ct. 458, 459, 464-465, 106 N.E.3d 684 (2018). The beneficiary allegedly caused an automobile collision that seriously injured the plaintiffs and resulted in the beneficiary's death. Id. at 461, 106 N.E.3d 684. In that case, the court focused on the trustees' “complete discretion to distribute” trust assets to the beneficiary or for his benefit. Id. at 460-461, 106 N.E.3d 684. Although the court did not address the effect of the beneficiary's death on the creditor's ability to reach the trust property, it necessarily assumed that the creditor was not *49 prohibited from such reach, as the cause of action giving rise to the personal injury action in which the plaintiffs received judgment accrued simultaneously to the beneficiary's death. Id. at 461, 106 N.E.3d 684.</w:t>
      </w:r>
    </w:p>
    <w:p w:rsidR="00421465" w:rsidRDefault="00421465" w:rsidP="006C4881">
      <w:pPr>
        <w:pStyle w:val="Body15"/>
      </w:pPr>
      <w:r>
        <w:t>On balance, the court held for the creditors:</w:t>
      </w:r>
    </w:p>
    <w:p w:rsidR="00CE2D39" w:rsidRDefault="00CE2D39" w:rsidP="00CE2D39">
      <w:pPr>
        <w:pStyle w:val="QS10"/>
      </w:pPr>
      <w:r>
        <w:t>Although we have found no case law that directly discusses the distinction between the reachability of the assets of a self-settled trust during the settlor's lifetime versus after his death (if one exists), it would be incongruent for a self-settled trust not to protect a settlor's assets from creditors while the settlor is alive but to have it protect the settlor's beneficiaries from the settlor's creditors after the settlor's death when, absent the self-settled trust, they would not be so protected. We therefore hold that a self-settled trust does not become protected from creditors on the settlor's death.</w:t>
      </w:r>
    </w:p>
    <w:p w:rsidR="00CE2D39" w:rsidRDefault="00CE2D39" w:rsidP="00CE2D39">
      <w:pPr>
        <w:pStyle w:val="QS10"/>
      </w:pPr>
      <w:r>
        <w:t>Although the plaintiff does not argue that the conveyance of Belanger's assets to the trust was fraudulent, the timing of the events could give rise to the inference that it was part of a single plan. The De Prinses brought and prevailed in a lawsuit against Belanger in 2007. Belanger's wife committed suicide on October 4, 2008. Within six months of her suicide, Belanger created the trust, transferred substantially all of his assets to the trust, murdered the De Prinses, and then committed suicide.</w:t>
      </w:r>
    </w:p>
    <w:p w:rsidR="00CE2D39" w:rsidRPr="00CE2D39" w:rsidRDefault="00CE2D39" w:rsidP="00CE2D39">
      <w:pPr>
        <w:pStyle w:val="QS10"/>
        <w:rPr>
          <w:color w:val="000000" w:themeColor="text1"/>
        </w:rPr>
      </w:pPr>
      <w:r>
        <w:t xml:space="preserve">The defendant argues that Belanger did not have an estate to live on but not one from which to pay his debts, because the defendant did not distribute any trust assets to Belanger prior to his death. According to the defendant's argument, now that Belanger is deceased, it would be impossible for the defendant to distribute any trust assets to Belanger or for Belanger's benefit, so this is not a case where Belanger is able to “have his cake and eat it too.” As the First Circuit correctly observed, however, the important point is what is within the trustee's power to do, not what he actually </w:t>
      </w:r>
      <w:r w:rsidRPr="00CE2D39">
        <w:rPr>
          <w:color w:val="000000" w:themeColor="text1"/>
        </w:rPr>
        <w:t xml:space="preserve">does. </w:t>
      </w:r>
      <w:r w:rsidRPr="00CE2D39">
        <w:rPr>
          <w:color w:val="000000" w:themeColor="text1"/>
          <w:u w:val="single"/>
        </w:rPr>
        <w:t>Tilcon Capaldi, Inc</w:t>
      </w:r>
      <w:r w:rsidRPr="00CE2D39">
        <w:rPr>
          <w:rFonts w:ascii="Arial" w:hAnsi="Arial" w:cs="Arial"/>
          <w:color w:val="000000" w:themeColor="text1"/>
          <w:sz w:val="21"/>
          <w:szCs w:val="21"/>
        </w:rPr>
        <w:t xml:space="preserve">., </w:t>
      </w:r>
      <w:r w:rsidRPr="00CE2D39">
        <w:rPr>
          <w:color w:val="000000" w:themeColor="text1"/>
          <w:u w:val="single"/>
        </w:rPr>
        <w:t>supra</w:t>
      </w:r>
      <w:r w:rsidRPr="00CE2D39">
        <w:rPr>
          <w:rFonts w:ascii="Arial" w:hAnsi="Arial" w:cs="Arial"/>
          <w:color w:val="000000" w:themeColor="text1"/>
          <w:sz w:val="21"/>
          <w:szCs w:val="21"/>
        </w:rPr>
        <w:t xml:space="preserve"> </w:t>
      </w:r>
      <w:r w:rsidRPr="00CE2D39">
        <w:rPr>
          <w:color w:val="000000" w:themeColor="text1"/>
        </w:rPr>
        <w:t>at 60 (“Thus, even if th</w:t>
      </w:r>
      <w:r>
        <w:t>e trustee chooses not to make any payments to the beneficiary, a creditor may still reach the maximum amount the trustee </w:t>
      </w:r>
      <w:r>
        <w:rPr>
          <w:u w:val="single"/>
        </w:rPr>
        <w:t>could</w:t>
      </w:r>
      <w:r>
        <w:t> pay”). In other words, although the defendant did not distribute any trust assets to Belanger during his lifetime, he </w:t>
      </w:r>
      <w:r>
        <w:rPr>
          <w:u w:val="single"/>
        </w:rPr>
        <w:t>could</w:t>
      </w:r>
      <w:r>
        <w:t> have under the express terms of the trust. Therefore, under the First Circuit's reasoning, the plaintiff should be able to reach the maximum amount the defendant could have distributed during Belanger's lifetime -- all the assets of the trust.</w:t>
      </w:r>
      <w:r w:rsidRPr="00CE2D39">
        <w:rPr>
          <w:color w:val="000000" w:themeColor="text1"/>
        </w:rPr>
        <w:t xml:space="preserve"> See </w:t>
      </w:r>
      <w:hyperlink r:id="rId449" w:history="1">
        <w:r w:rsidRPr="00CE2D39">
          <w:rPr>
            <w:color w:val="000000" w:themeColor="text1"/>
            <w:u w:val="single"/>
          </w:rPr>
          <w:t>id</w:t>
        </w:r>
        <w:r w:rsidRPr="00CE2D39">
          <w:rPr>
            <w:rStyle w:val="Hyperlink"/>
            <w:rFonts w:ascii="Arial" w:hAnsi="Arial" w:cs="Arial"/>
            <w:color w:val="000000" w:themeColor="text1"/>
            <w:sz w:val="21"/>
            <w:szCs w:val="21"/>
          </w:rPr>
          <w:t>.</w:t>
        </w:r>
      </w:hyperlink>
    </w:p>
    <w:p w:rsidR="00CE2D39" w:rsidRDefault="00CE2D39" w:rsidP="00CE2D39">
      <w:pPr>
        <w:pStyle w:val="QS10"/>
      </w:pPr>
      <w:r>
        <w:t>Further, often one of our greatest goals in life is to leave our children the benefit of our property. To prevent the son of two murder victims from financially recovering for their wrongful deaths while protecting the murderer's assets for his beneficiary would contradict the well-established public policy of this Commonwealth and condone the actions of a settlor who, it can be inferred, thought he could use the protection of a trust to shield his assets from the consequences of his violence. The equities here simply do not allow Belanger to murder the plaintiff's parents and then leave the plaintiff with no recovery in the subsequent wrongful death action, despite Belanger's possessing substantial assets during his lifetime.</w:t>
      </w:r>
    </w:p>
    <w:p w:rsidR="00B46637" w:rsidRPr="00B46637" w:rsidRDefault="00E1222F" w:rsidP="00B66CCE">
      <w:pPr>
        <w:pStyle w:val="Heading20"/>
        <w:numPr>
          <w:ilvl w:val="1"/>
          <w:numId w:val="33"/>
        </w:numPr>
        <w:tabs>
          <w:tab w:val="clear" w:pos="2700"/>
        </w:tabs>
        <w:spacing w:before="240"/>
        <w:ind w:left="0"/>
        <w:rPr>
          <w:b/>
          <w:vanish/>
          <w:u w:val="single"/>
          <w:specVanish/>
        </w:rPr>
      </w:pPr>
      <w:bookmarkStart w:id="817" w:name="_Toc94704707"/>
      <w:r>
        <w:rPr>
          <w:b/>
          <w:u w:val="single"/>
        </w:rPr>
        <w:t>Gifts From Revocable Trust Made</w:t>
      </w:r>
      <w:r w:rsidR="002A14FC">
        <w:rPr>
          <w:b/>
          <w:u w:val="single"/>
        </w:rPr>
        <w:t xml:space="preserve"> By Settlor</w:t>
      </w:r>
      <w:bookmarkEnd w:id="817"/>
    </w:p>
    <w:p w:rsidR="002A14FC" w:rsidRPr="006C4881" w:rsidRDefault="002A14FC" w:rsidP="00B46637">
      <w:pPr>
        <w:pStyle w:val="Heading2Body"/>
        <w:rPr>
          <w:b/>
          <w:u w:val="single"/>
        </w:rPr>
      </w:pPr>
      <w:r>
        <w:t>.</w:t>
      </w:r>
      <w:r w:rsidR="00802EB6">
        <w:t xml:space="preserve">  </w:t>
      </w:r>
      <w:r w:rsidR="00802EB6">
        <w:rPr>
          <w:u w:val="single"/>
        </w:rPr>
        <w:t>In re Estate of Marsh</w:t>
      </w:r>
      <w:r w:rsidR="00802EB6">
        <w:t>, 951 N.W.2d 486 (Ne. 2020) is a state inheritance tax case dealing in part with the ownership of interests in an LLC called</w:t>
      </w:r>
      <w:r w:rsidR="0074386C">
        <w:t xml:space="preserve"> Marcasa.  Mr. Marsh, grantor of his revocable trust, gave LLC interests to his beneficiaries even though the trust owned the interests.  The trial court held the gifts were valid and the Nebraska Supreme Court agreed.  The opinion states:</w:t>
      </w:r>
    </w:p>
    <w:p w:rsidR="0074386C" w:rsidRDefault="0074386C" w:rsidP="0074386C">
      <w:pPr>
        <w:pStyle w:val="QS10"/>
      </w:pPr>
      <w:r>
        <w:t>In January 2008, Marsh executed eight assignment forms in his individual capacity. Then, in May, Marsh assigned his interest in Marcasa to his trust. Thereafter, the assignment forms executed between 2009 and 2013 showed that they were signed by Marsh as grantor of the trust.</w:t>
      </w:r>
    </w:p>
    <w:p w:rsidR="0074386C" w:rsidRDefault="0074386C" w:rsidP="0074386C">
      <w:pPr>
        <w:pStyle w:val="QS10"/>
      </w:pPr>
      <w:r>
        <w:t>To make a valid inter vivos gift, there must be an intention to transfer title to property, delivery by the donor, and acceptance by the donee. The first two elements relate to intent and actions of the donor. The donor must have a present donative intent and a clear and unmistakable intent to make a gift. Ordinarily, actual delivery is necessary where the subject of the gift is capable of manual delivery, but where actual manual delivery cannot be made, the donor may do that which, under the circumstances, will in reason be considered equivalent to actual delivery. The Ninth Circuit explained that interests in a limited liability company “do not lend themselves to manual delivery. Instead, they are delivered through the execution of papers. As a result, ... it is somewhat artificial to separate the ‘delivery’ of [a limited liability company] interest from the intention to donate it.” Here, intent and delivery are demonstrated by Marsh's history of assigning interests to his daughters and their family members, his execution of the assignments, and his cessation of acting as the owner of those interests after execution of the assignments.</w:t>
      </w:r>
    </w:p>
    <w:p w:rsidR="0074386C" w:rsidRDefault="0074386C" w:rsidP="0074386C">
      <w:pPr>
        <w:pStyle w:val="QS10"/>
      </w:pPr>
      <w:r>
        <w:rPr>
          <w:rFonts w:ascii="Arial" w:hAnsi="Arial" w:cs="Arial"/>
          <w:sz w:val="21"/>
          <w:szCs w:val="21"/>
        </w:rPr>
        <w:t>T</w:t>
      </w:r>
      <w:r>
        <w:t>he final element of a gift calls for action by the donee. The exercise by the donee of dominion over the property which is the subject of a gift, or an assertion of a right to the property by the donee, generally will constitute an acceptance.  The donees accepted the gifts by acting as the rightful owner of the interests in Marcasa, and their ownership took effect immediately. Their interests were reported on Schedule K-1 tax forms, thereby subjecting them to payment of income taxes attributable to their ownership interests.</w:t>
      </w:r>
    </w:p>
    <w:p w:rsidR="006C4881" w:rsidRPr="006C4881" w:rsidRDefault="0074386C" w:rsidP="0074386C">
      <w:pPr>
        <w:pStyle w:val="QS10"/>
      </w:pPr>
      <w:r>
        <w:t>The County contends that no transfer of ownership interests occurred, because the cotrustees never executed any of the transfer documents. But under the trust agreement, Marsh retained authority “to withdraw property from the trust.” The trust agreement provided the manner to do so—“by an instrument in writing signed by the Settlor and delivered to the Trustee in the lifetime of the Settlor.” Here, the assignments at issue were all in writing. And the cotrustees, as either the recipients or the spouses or parents of the recipients, were aware of the assignments. Further, we have stated that whether a deed or other instrument conveying an interest in property has been delivered is largely a question of intent to be determined by the facts and circumstances of the particular case.</w:t>
      </w:r>
      <w:hyperlink r:id="rId450" w:anchor="co_footnote_B00312052508038" w:history="1">
        <w:r>
          <w:rPr>
            <w:rStyle w:val="Hyperlink"/>
            <w:rFonts w:ascii="Arial" w:hAnsi="Arial" w:cs="Arial"/>
            <w:color w:val="4778C2"/>
            <w:sz w:val="21"/>
            <w:szCs w:val="21"/>
            <w:vertAlign w:val="superscript"/>
          </w:rPr>
          <w:t>31</w:t>
        </w:r>
      </w:hyperlink>
      <w:r>
        <w:t> Marsh's parting with the ownership interests given as gifts and the cotrustees and other donees acting as owners of those respective interests manifest evidence of delivery. The court's decision conforms to the law, is supported by competent evidence, and is not unreasonable.</w:t>
      </w:r>
    </w:p>
    <w:p w:rsidR="00820E63" w:rsidRPr="00820E63" w:rsidRDefault="006C4881" w:rsidP="00B66CCE">
      <w:pPr>
        <w:pStyle w:val="Heading20"/>
        <w:numPr>
          <w:ilvl w:val="1"/>
          <w:numId w:val="33"/>
        </w:numPr>
        <w:tabs>
          <w:tab w:val="clear" w:pos="2700"/>
        </w:tabs>
        <w:spacing w:before="240"/>
        <w:ind w:left="0"/>
        <w:rPr>
          <w:b/>
          <w:vanish/>
          <w:u w:val="single"/>
          <w:specVanish/>
        </w:rPr>
      </w:pPr>
      <w:bookmarkStart w:id="818" w:name="_Toc94704708"/>
      <w:r>
        <w:rPr>
          <w:b/>
          <w:u w:val="single"/>
        </w:rPr>
        <w:t>No “Adoption Out” Under Indiana Trust</w:t>
      </w:r>
      <w:bookmarkEnd w:id="818"/>
    </w:p>
    <w:p w:rsidR="006C4881" w:rsidRPr="006C4881" w:rsidRDefault="006C4881" w:rsidP="00820E63">
      <w:pPr>
        <w:pStyle w:val="Heading2Body"/>
        <w:rPr>
          <w:b/>
          <w:u w:val="single"/>
        </w:rPr>
      </w:pPr>
      <w:r>
        <w:t xml:space="preserve">.  </w:t>
      </w:r>
      <w:r w:rsidR="00D57D94">
        <w:t xml:space="preserve">Mildred had a son, Charles, who married Ann.  Mildred created an irrevocable trust paying income to Charles, then Ann, then Charles’ descendants, per stirpes, and another similar testamentary trust.  Charles and Ann had David, who married Joan, and they had three children, Brittany, Matthew, and Molly.  David and Joan divorced, Joan married Thomas, who adopted Brittany, Matthew and Molly.  The question in </w:t>
      </w:r>
      <w:r w:rsidR="00D57D94">
        <w:rPr>
          <w:u w:val="single"/>
        </w:rPr>
        <w:t>Walters v. Corder</w:t>
      </w:r>
      <w:r w:rsidR="00D57D94">
        <w:t xml:space="preserve">, 146 N.E.3d 365 (In. App. 2020), was whether the three adopted children remained beneficiaries of Mildred’s trusts.  The court held that in Indiana the answer is yes: </w:t>
      </w:r>
    </w:p>
    <w:p w:rsidR="00D57D94" w:rsidRPr="00625B09" w:rsidRDefault="00D57D94" w:rsidP="00625B09">
      <w:pPr>
        <w:pStyle w:val="QS10"/>
      </w:pPr>
      <w:r w:rsidRPr="00625B09">
        <w:t>We begin with the language that created the trust. Upon David's death, his share of the trust is to be divided among his living children. The term “children” is not defined in the terms of the trust, and the term is not qualified or restricted in any way (other than requiring the children to be “living”). Further, the trust language is silent as to adopted children—whether adopted in or out of the family. At the time Mildred included in her will the Testamentary Trust in 1991, the Indiana Trust Code did not define the term “children.”</w:t>
      </w:r>
      <w:hyperlink r:id="rId451" w:anchor="co_footnote_B00012050733562" w:history="1">
        <w:r w:rsidRPr="00625B09">
          <w:rPr>
            <w:rStyle w:val="Hyperlink"/>
            <w:color w:val="auto"/>
            <w:u w:val="none"/>
          </w:rPr>
          <w:t>1</w:t>
        </w:r>
      </w:hyperlink>
      <w:r w:rsidRPr="00625B09">
        <w:t> Further, caselaw indicates that the ordinary, popular, and legal sense of the word “children” embraces the first generation of offspring. </w:t>
      </w:r>
      <w:hyperlink r:id="rId452" w:anchor="co_pp_sp_577_127" w:history="1">
        <w:r w:rsidRPr="00625B09">
          <w:rPr>
            <w:rStyle w:val="Emphasis"/>
            <w:iCs w:val="0"/>
          </w:rPr>
          <w:t>Casper v. Helvie</w:t>
        </w:r>
        <w:r w:rsidRPr="00625B09">
          <w:rPr>
            <w:rStyle w:val="Hyperlink"/>
            <w:color w:val="auto"/>
            <w:u w:val="none"/>
          </w:rPr>
          <w:t>, 83 Ind. App. 166, 146 N.E. 123, 127 (1925)</w:t>
        </w:r>
      </w:hyperlink>
      <w:r w:rsidRPr="00625B09">
        <w:t>. All four of David's offspring were living at the time of his death.</w:t>
      </w:r>
    </w:p>
    <w:p w:rsidR="00D57D94" w:rsidRPr="00625B09" w:rsidRDefault="00D57D94" w:rsidP="00625B09">
      <w:pPr>
        <w:pStyle w:val="QS10"/>
      </w:pPr>
      <w:r w:rsidRPr="00625B09">
        <w:t>We now turn to the circumstances existing at the time Mildred executed her will establishing the Testamentary Trust in 1991. David was married to his first wife, Joan, and they had only one child, Brittany. During the course of their marriage, and while Mildred was alive, David and Joan had their second child, Matthew, in 1992. When Mildred died in 1994, David and Joan were still married, and Joan was pregnant with their third child, Molly. Moreover, the unrefuted designated evidence shows that, prior to her death, Mildred knew that Joan was pregnant with a third child, and that Mildred had a close relationship with both Brittany and Matthew during her lifetime. Mildred never knew that David and Joan got divorced or that David consented to the adoption of Brittany, Matthew, and Molly; these events all occurred after Mildred's death.</w:t>
      </w:r>
    </w:p>
    <w:p w:rsidR="00D57D94" w:rsidRPr="00625B09" w:rsidRDefault="00D57D94" w:rsidP="00625B09">
      <w:pPr>
        <w:pStyle w:val="QS10"/>
      </w:pPr>
      <w:r w:rsidRPr="00625B09">
        <w:t>As we did with her Testamentary Trust, we examine Mildred's intent with regard to the Irrevocable Trust. The term “issue” is not defined by the terms of the trust, and, other than requiring the issue to be twenty-one, the language of this provision does not restrict or limit the term or create a separate class for adopted children. The document is silent with regard to issue that may be adopted in or out of the family. The term “issue” is not defined in the trust code, but it has been defined in caselaw as meaning “descendants.” </w:t>
      </w:r>
      <w:hyperlink r:id="rId453" w:anchor="co_pp_sp_577_922" w:history="1">
        <w:r w:rsidRPr="00625B09">
          <w:rPr>
            <w:rStyle w:val="Emphasis"/>
            <w:iCs w:val="0"/>
          </w:rPr>
          <w:t>Allen v. Craft</w:t>
        </w:r>
        <w:r w:rsidRPr="00625B09">
          <w:rPr>
            <w:rStyle w:val="Hyperlink"/>
            <w:color w:val="auto"/>
            <w:u w:val="none"/>
          </w:rPr>
          <w:t>, 109 Ind. 476, 9 N.E. 919, 922 (1887)</w:t>
        </w:r>
      </w:hyperlink>
      <w:r w:rsidRPr="00625B09">
        <w:t>;</w:t>
      </w:r>
      <w:r w:rsidRPr="00625B09">
        <w:rPr>
          <w:i/>
        </w:rPr>
        <w:t> </w:t>
      </w:r>
      <w:r w:rsidRPr="00625B09">
        <w:rPr>
          <w:rStyle w:val="Emphasis"/>
          <w:iCs w:val="0"/>
        </w:rPr>
        <w:t>see also</w:t>
      </w:r>
      <w:r w:rsidRPr="00625B09">
        <w:t> Black's Law Dictionary (11th ed. 2019) (defining “issue” as lineal descendants; offspring). Here, David was a descendant of Charles, and Brittany, Matthew, Molly, and Raquel are all descendants or offspring of David.</w:t>
      </w:r>
    </w:p>
    <w:p w:rsidR="00D57D94" w:rsidRPr="00625B09" w:rsidRDefault="00D57D94" w:rsidP="00625B09">
      <w:pPr>
        <w:pStyle w:val="QS10"/>
      </w:pPr>
      <w:r w:rsidRPr="00625B09">
        <w:t>As to the facts and circumstances existing at the time Mildred established this trust in 1968, we have little information. David was only eight years old so Mildred had no knowledge of whether he would marry and/or have children. Beyond that information, there is no evidence that Mildred intended to exclude any of her descendants from this class of beneficiaries.</w:t>
      </w:r>
    </w:p>
    <w:p w:rsidR="00D57D94" w:rsidRPr="00625B09" w:rsidRDefault="00D57D94" w:rsidP="00625B09">
      <w:pPr>
        <w:pStyle w:val="QS10"/>
        <w:jc w:val="center"/>
      </w:pPr>
      <w:r w:rsidRPr="00625B09">
        <w:t>* * *</w:t>
      </w:r>
    </w:p>
    <w:p w:rsidR="00D57D94" w:rsidRPr="00625B09" w:rsidRDefault="00625B09" w:rsidP="00625B09">
      <w:pPr>
        <w:pStyle w:val="QS10"/>
      </w:pPr>
      <w:r w:rsidRPr="00625B09">
        <w:t>The courts of our state have made it abundantly clear that the settlor's intent is the sovereign guide in the interpretation of the terms of a trust. </w:t>
      </w:r>
      <w:r w:rsidRPr="00625B09">
        <w:rPr>
          <w:rStyle w:val="Emphasis"/>
          <w:iCs w:val="0"/>
        </w:rPr>
        <w:t>See, e.g.</w:t>
      </w:r>
      <w:r w:rsidRPr="00625B09">
        <w:t>, </w:t>
      </w:r>
      <w:r w:rsidRPr="00625B09">
        <w:rPr>
          <w:rStyle w:val="Emphasis"/>
          <w:iCs w:val="0"/>
        </w:rPr>
        <w:t>Doll v. Post</w:t>
      </w:r>
      <w:r w:rsidRPr="00625B09">
        <w:t>, 132 N.E.3d 34, 38 (Ind. Ct. App. 2019) (primary purpose in construing trust is to ascertain and give effect to settlor's intention), </w:t>
      </w:r>
      <w:r w:rsidRPr="00625B09">
        <w:rPr>
          <w:rStyle w:val="Emphasis"/>
          <w:iCs w:val="0"/>
        </w:rPr>
        <w:t>trans. denied</w:t>
      </w:r>
      <w:r w:rsidRPr="00625B09">
        <w:t> (2020). We have before us no evidence of an intent on the part of Mildred to exclude her three eldest grandchildren from membership in the classes of beneficiaries of these two trusts merely because her grandson gave his consent to their adoption by their stepfather after Mildred's death. Therefore, we determine that, despite the fact that the O'Brien Children were adopted out of the Walters family, they retain their status as beneficiaries in the two trusts as the “children” of David and the “issue” of David's father.</w:t>
      </w:r>
    </w:p>
    <w:p w:rsidR="00D57D94" w:rsidRDefault="00D57D94" w:rsidP="006C4881">
      <w:pPr>
        <w:pStyle w:val="Body15"/>
      </w:pPr>
      <w:r>
        <w:t>David’s daughter, by his second marriage, Raquel, was the objecting party.  Her argument was that Indiana adoption and probate law required a different result:</w:t>
      </w:r>
    </w:p>
    <w:p w:rsidR="00D57D94" w:rsidRPr="00625B09" w:rsidRDefault="00625B09" w:rsidP="00625B09">
      <w:pPr>
        <w:pStyle w:val="QS10"/>
      </w:pPr>
      <w:r w:rsidRPr="00625B09">
        <w:t>The purpose of </w:t>
      </w:r>
      <w:hyperlink r:id="rId454" w:history="1">
        <w:r w:rsidRPr="00625B09">
          <w:rPr>
            <w:rStyle w:val="Hyperlink"/>
            <w:color w:val="auto"/>
            <w:u w:val="none"/>
          </w:rPr>
          <w:t>Section 31-19-15-1</w:t>
        </w:r>
      </w:hyperlink>
      <w:r w:rsidRPr="00625B09">
        <w:t> “ ‘is to shield the adoptive family from unnecessary instability and uncertainty arising from unwanted intrusions by the child's biological family.’ ” </w:t>
      </w:r>
      <w:hyperlink r:id="rId455" w:anchor="co_pp_sp_578_1253" w:history="1">
        <w:r w:rsidRPr="004642B3">
          <w:rPr>
            <w:rStyle w:val="Emphasis"/>
            <w:iCs w:val="0"/>
          </w:rPr>
          <w:t>In re Adoption of J.T.A.</w:t>
        </w:r>
        <w:r w:rsidRPr="00625B09">
          <w:rPr>
            <w:rStyle w:val="Hyperlink"/>
            <w:color w:val="auto"/>
            <w:u w:val="none"/>
          </w:rPr>
          <w:t>, 988 N.E.2d 1250, 1253 (Ind. Ct. App. 2013)</w:t>
        </w:r>
      </w:hyperlink>
      <w:r w:rsidRPr="00625B09">
        <w:t> (quoting </w:t>
      </w:r>
      <w:hyperlink r:id="rId456" w:anchor="co_pp_sp_578_1257" w:history="1">
        <w:r w:rsidRPr="004642B3">
          <w:rPr>
            <w:rStyle w:val="Emphasis"/>
            <w:iCs w:val="0"/>
          </w:rPr>
          <w:t>In re Adoption of K.S.P</w:t>
        </w:r>
        <w:r w:rsidRPr="00625B09">
          <w:rPr>
            <w:rStyle w:val="Emphasis"/>
            <w:i w:val="0"/>
            <w:iCs w:val="0"/>
          </w:rPr>
          <w:t>.</w:t>
        </w:r>
        <w:r w:rsidRPr="00625B09">
          <w:rPr>
            <w:rStyle w:val="Hyperlink"/>
            <w:color w:val="auto"/>
            <w:u w:val="none"/>
          </w:rPr>
          <w:t>, 804 N.E.2d 1253, 1257 (Ind. Ct. App. 2004)</w:t>
        </w:r>
      </w:hyperlink>
      <w:r w:rsidRPr="00625B09">
        <w:t>), </w:t>
      </w:r>
      <w:r w:rsidRPr="004642B3">
        <w:rPr>
          <w:rStyle w:val="Emphasis"/>
          <w:iCs w:val="0"/>
        </w:rPr>
        <w:t>trans. denied</w:t>
      </w:r>
      <w:r w:rsidRPr="00625B09">
        <w:t>. Here, the O'Brien Children are all adults, and the biological family is not trying to interfere with any aspect of the relationship between them and their adoptive family. Rather, their biological great grandmother, with whom two of the three O'Brien Children</w:t>
      </w:r>
      <w:hyperlink r:id="rId457" w:anchor="co_footnote_B00022050733562" w:history="1">
        <w:r w:rsidRPr="00625B09">
          <w:rPr>
            <w:rStyle w:val="Hyperlink"/>
            <w:color w:val="auto"/>
            <w:u w:val="none"/>
          </w:rPr>
          <w:t>2</w:t>
        </w:r>
      </w:hyperlink>
      <w:r w:rsidRPr="00625B09">
        <w:t> had contact and a relationship from their birth until her death, included them as beneficiaries of her trusts. Although Raquel claims that a determination that the O'Brien Children are beneficiaries under the terms of Mildred's trusts would “undermine the purpose of the adoption statutes,” we disagree. Appellant's Br. p. 20. The objective of </w:t>
      </w:r>
      <w:hyperlink r:id="rId458" w:history="1">
        <w:r w:rsidRPr="00625B09">
          <w:rPr>
            <w:rStyle w:val="Hyperlink"/>
            <w:color w:val="auto"/>
            <w:u w:val="none"/>
          </w:rPr>
          <w:t>Section 31-19-15-1</w:t>
        </w:r>
      </w:hyperlink>
      <w:r w:rsidRPr="00625B09">
        <w:t> is not advanced by depriving the O'Brien Children of their status as beneficiaries merely because their biological father consented for them to be adopted after the death of the settlor of the trusts. The statute was designed as a shield to protect new adoptive families, not as a sword to prohibit adopted children from receiving a trust distribution, per the settlor's wishes, from a member of the family from which the children have been adopted out. Indeed, allowing this statute to be used in such a manner would contravene one of the cardinal principles of trust law: the settlor has the right to arrange for the distribution of her estate as she sees fit. </w:t>
      </w:r>
      <w:hyperlink r:id="rId459" w:anchor="co_pp_sp_578_925" w:history="1">
        <w:r w:rsidRPr="004642B3">
          <w:rPr>
            <w:rStyle w:val="Emphasis"/>
            <w:iCs w:val="0"/>
          </w:rPr>
          <w:t>Paloutzian v. Taggart</w:t>
        </w:r>
        <w:r w:rsidRPr="00625B09">
          <w:rPr>
            <w:rStyle w:val="Hyperlink"/>
            <w:color w:val="auto"/>
            <w:u w:val="none"/>
          </w:rPr>
          <w:t>, 931 N.E.2d 921, 925 (Ind. Ct. App. 2010)</w:t>
        </w:r>
      </w:hyperlink>
      <w:r w:rsidRPr="00625B09">
        <w:t> (citing Jay M. Zitter, Annotation, </w:t>
      </w:r>
      <w:hyperlink r:id="rId460" w:history="1">
        <w:r w:rsidRPr="004642B3">
          <w:rPr>
            <w:rStyle w:val="Emphasis"/>
            <w:iCs w:val="0"/>
          </w:rPr>
          <w:t>Adopted Child as Within Class Named Deed or Inter Vivos Instrument</w:t>
        </w:r>
        <w:r w:rsidRPr="00625B09">
          <w:rPr>
            <w:rStyle w:val="Hyperlink"/>
            <w:color w:val="auto"/>
            <w:u w:val="none"/>
          </w:rPr>
          <w:t>, 37 A.L.R.5th 237, § 2(a) (1996)).</w:t>
        </w:r>
      </w:hyperlink>
    </w:p>
    <w:p w:rsidR="00D57D94" w:rsidRPr="00625B09" w:rsidRDefault="00D57D94" w:rsidP="004642B3">
      <w:pPr>
        <w:pStyle w:val="QS10"/>
        <w:jc w:val="center"/>
      </w:pPr>
      <w:r w:rsidRPr="00625B09">
        <w:t>* * *</w:t>
      </w:r>
    </w:p>
    <w:p w:rsidR="00274290" w:rsidRDefault="00625B09" w:rsidP="00625B09">
      <w:pPr>
        <w:pStyle w:val="QS10"/>
      </w:pPr>
      <w:r w:rsidRPr="00625B09">
        <w:t>In addition, Raquel contends that to conclude that the O'Brien Children are beneficiaries conflicts with both </w:t>
      </w:r>
      <w:hyperlink r:id="rId461" w:history="1">
        <w:r w:rsidRPr="00625B09">
          <w:rPr>
            <w:rStyle w:val="Hyperlink"/>
            <w:color w:val="auto"/>
            <w:u w:val="none"/>
          </w:rPr>
          <w:t>Indiana Code section 29-1-2-8</w:t>
        </w:r>
      </w:hyperlink>
      <w:r w:rsidRPr="00625B09">
        <w:t> (1987) of the probate code and Section 6-4.1-1-3 (2012) of the tax </w:t>
      </w:r>
      <w:hyperlink r:id="rId462" w:history="1">
        <w:r w:rsidRPr="00625B09">
          <w:rPr>
            <w:rStyle w:val="Hyperlink"/>
            <w:color w:val="auto"/>
            <w:u w:val="none"/>
          </w:rPr>
          <w:t>code. Section 29-1-2-8</w:t>
        </w:r>
      </w:hyperlink>
      <w:r w:rsidRPr="00625B09">
        <w:t> provides that, for purposes of intestate succession, an adopted child will be treated as a natural child of the child's adopting parents and will cease to be treated as a child of the natural parents. Section 6-4.1-1-3 states that, for purposes of inheritance taxes, a legally adopted child is to be treated as if the child were the natural child of the child's adopting parent if the adoption occurred before the individual was totally emancipated. These statutes apply only to intestate distributions and inheritance taxes, respectively, and do not constitute rules of trust construction. For that reason, they are of no significance in ascertaining the intention of a settlor in designating his or her intended beneficiaries when the children were adopted out of the family after the death of the settlor. Stated another way, the question we are presented with is not whether the O'Brien Children would take as heirs if Mildred had died intestate or what class of transferee they are in for purposes of calculating inheritance tax due. Rather, the question is whether Mildred intended to include the O'Brien Children in the classes of beneficiaries when she used the term “children” in her Testamentary Trust and when she used the term “issue per stirpes” in her Irrevocable Trust.</w:t>
      </w:r>
    </w:p>
    <w:p w:rsidR="00A30BF7" w:rsidRPr="00A30BF7" w:rsidRDefault="00E1222F" w:rsidP="00F939B0">
      <w:pPr>
        <w:pStyle w:val="Heading20"/>
        <w:numPr>
          <w:ilvl w:val="1"/>
          <w:numId w:val="33"/>
        </w:numPr>
        <w:tabs>
          <w:tab w:val="clear" w:pos="2700"/>
        </w:tabs>
        <w:spacing w:before="240"/>
        <w:ind w:left="0"/>
        <w:rPr>
          <w:bCs/>
          <w:vanish/>
          <w:specVanish/>
        </w:rPr>
      </w:pPr>
      <w:bookmarkStart w:id="819" w:name="_Toc94704709"/>
      <w:r>
        <w:rPr>
          <w:b/>
          <w:bCs/>
          <w:u w:val="single"/>
        </w:rPr>
        <w:t>The Ethics of Lawy</w:t>
      </w:r>
      <w:r w:rsidR="00F939B0">
        <w:rPr>
          <w:b/>
          <w:bCs/>
          <w:u w:val="single"/>
        </w:rPr>
        <w:t>ers Working Remotely</w:t>
      </w:r>
      <w:bookmarkEnd w:id="819"/>
    </w:p>
    <w:p w:rsidR="00274290" w:rsidRDefault="00F939B0" w:rsidP="00A30BF7">
      <w:pPr>
        <w:pStyle w:val="Heading2Body"/>
      </w:pPr>
      <w:r>
        <w:t>.  The ethics pronouncements of the American Bar Association are not binding on attorneys or state regulatory authorities.  Nonetheless, in the absence of other authority, they can be helpful.  On December 16, 2020, the ABA issued Formal Opinion 495 which reaches a common-sense conclusion:</w:t>
      </w:r>
    </w:p>
    <w:p w:rsidR="00F939B0" w:rsidRDefault="00F939B0" w:rsidP="00F939B0">
      <w:pPr>
        <w:pStyle w:val="QS10"/>
        <w:rPr>
          <w:bCs/>
        </w:rPr>
      </w:pPr>
      <w:r>
        <w:t>The purpose of Model Rule 5.5 is to protect the public from unlicensed and unqualified practitioners of law. That purpose is not served by prohibiting a lawyer from practicing the law of a jurisdiction in which the lawyer is licensed, for clients with matters in that jurisdiction, if the lawyer is for all intents and purposes invisible as a lawyer to a local jurisdiction where the lawyer is physically located, but not licensed. The Committee’s opinion is that, in the absence of a local jurisdiction’s finding that the activity constitutes the unauthorized practice of law, a lawyer may practice the law authorized by the lawyer’s licensing jurisdiction for clients of that jurisdiction, while physically located in a jurisdiction where the lawyer is not licensed if the lawyer does not hold out the lawyer’s presence or availability to perform legal services in the local jurisdiction or actually provide legal services for matters subject to the local jurisdiction, unless otherwise authorized.</w:t>
      </w:r>
    </w:p>
    <w:p w:rsidR="00F939B0" w:rsidRDefault="00F939B0" w:rsidP="00F939B0">
      <w:pPr>
        <w:pStyle w:val="Body15"/>
        <w:rPr>
          <w:bCs/>
        </w:rPr>
      </w:pPr>
      <w:r>
        <w:rPr>
          <w:bCs/>
        </w:rPr>
        <w:t xml:space="preserve">Of course, the out-of-state </w:t>
      </w:r>
      <w:r w:rsidR="00937C87">
        <w:rPr>
          <w:bCs/>
        </w:rPr>
        <w:t>lawyer</w:t>
      </w:r>
      <w:r>
        <w:rPr>
          <w:bCs/>
        </w:rPr>
        <w:t xml:space="preserve"> must not represent to clients or the public that the lawyer is admitted to practice in the remote jurisdiction.  That would be prohibited by Model Rule 5.5(b)(2).</w:t>
      </w:r>
    </w:p>
    <w:p w:rsidR="00D953BD" w:rsidRDefault="00D953BD" w:rsidP="00F939B0">
      <w:pPr>
        <w:pStyle w:val="Body15"/>
        <w:rPr>
          <w:bCs/>
        </w:rPr>
      </w:pPr>
      <w:r>
        <w:rPr>
          <w:bCs/>
        </w:rPr>
        <w:t>The Florida Supreme Court has issued an opinion (2021 WL 2006584) stating that an attorney not licensed in Florida may reside in Florida and do legal work for the lawyer’s non-Florida clients.  The facts dealt with were these:</w:t>
      </w:r>
    </w:p>
    <w:p w:rsidR="00D953BD" w:rsidRDefault="001D00F0" w:rsidP="001D00F0">
      <w:pPr>
        <w:pStyle w:val="QS10"/>
        <w:rPr>
          <w:bCs/>
        </w:rPr>
      </w:pPr>
      <w:r>
        <w:t>He is licensed to practice law in New Jersey, New York, and before the United States Patent and Trademark Office (hereinafter “USPTO”). He is not licensed to practice law in Florida. He recently retired from his position as chief IP counsel for a major U.S. Corporation. That position was in New Jersey. He moved from New Jersey to Florida. He started working as an attorney with a New Jersey law firm specializing in federal IP law. The firm has no offices in Florida and has no plans to expand its business to Florida. His professional office will be located at the firm's business address in New Jersey, although he will do most of his work from his Florida home using a personal computer securely connected to the firm's computer network. In the conduct of his employment with the firm, he will not represent any Florida persons or entities and will not solicit any Florida clients. While working remotely from his Florida home, he will have no public presence or profile as an attorney in Florida. Neither he nor his firm will represent to anyone that he is a Florida attorney. Neither he nor his firm will advertise or otherwise inform the public of his remote work presence in Florida. The firm's letterhead and website, and his business cards will list no physical address for him other than the firm's business address in New Jersey and will identify him as “Of Counsel – Licensed only in NY, NJ and the USPTO.” The letterhead, website, and business cards will show that he can be contacted by phone or fax only at the firm's New Jersey phone and fax number. His professional email address will be the firm's domain. His work at the firm will be limited to advice and counsel on federal IP rights issues in which no Florida law is implicated, such as questions of patent infringement and patent invalidity. He will not work on any issues that involve Florida courts or Florida property, and he will not give advice on Florida law.</w:t>
      </w:r>
    </w:p>
    <w:p w:rsidR="0044041F" w:rsidRPr="0044041F" w:rsidRDefault="00FF6CAC" w:rsidP="00FF6CAC">
      <w:pPr>
        <w:pStyle w:val="Heading20"/>
        <w:numPr>
          <w:ilvl w:val="1"/>
          <w:numId w:val="33"/>
        </w:numPr>
        <w:tabs>
          <w:tab w:val="clear" w:pos="2700"/>
        </w:tabs>
        <w:spacing w:before="240"/>
        <w:ind w:left="0"/>
        <w:rPr>
          <w:vanish/>
          <w:specVanish/>
        </w:rPr>
      </w:pPr>
      <w:bookmarkStart w:id="820" w:name="_Toc94704710"/>
      <w:r>
        <w:rPr>
          <w:b/>
          <w:bCs/>
          <w:u w:val="single"/>
        </w:rPr>
        <w:t>Decanting</w:t>
      </w:r>
      <w:bookmarkEnd w:id="820"/>
    </w:p>
    <w:p w:rsidR="00FF6CAC" w:rsidRPr="00C25106" w:rsidRDefault="00FF6CAC" w:rsidP="0044041F">
      <w:pPr>
        <w:pStyle w:val="Heading2Body"/>
      </w:pPr>
      <w:r>
        <w:t xml:space="preserve">.  </w:t>
      </w:r>
      <w:r>
        <w:rPr>
          <w:rFonts w:cs="Century Gothic"/>
        </w:rPr>
        <w:t xml:space="preserve">In </w:t>
      </w:r>
      <w:r w:rsidRPr="00BD194C">
        <w:rPr>
          <w:rFonts w:cs="Century Gothic"/>
          <w:u w:val="single"/>
        </w:rPr>
        <w:t>Hodges v</w:t>
      </w:r>
      <w:r w:rsidRPr="00BD194C">
        <w:rPr>
          <w:szCs w:val="26"/>
          <w:u w:val="single"/>
        </w:rPr>
        <w:t>. Johnson</w:t>
      </w:r>
      <w:r w:rsidRPr="00BD194C">
        <w:rPr>
          <w:szCs w:val="26"/>
        </w:rPr>
        <w:t>,</w:t>
      </w:r>
      <w:r>
        <w:rPr>
          <w:szCs w:val="26"/>
        </w:rPr>
        <w:t xml:space="preserve"> 177 A.3d. 86</w:t>
      </w:r>
      <w:r w:rsidRPr="00C25106">
        <w:rPr>
          <w:szCs w:val="26"/>
        </w:rPr>
        <w:t xml:space="preserve"> (N.H. 2017)</w:t>
      </w:r>
      <w:r>
        <w:rPr>
          <w:szCs w:val="26"/>
        </w:rPr>
        <w:t>, t</w:t>
      </w:r>
      <w:r w:rsidRPr="00C25106">
        <w:t xml:space="preserve">wo irrevocable trusts were established in 2004 for the benefit of the grantor’s wife, children, step-children and other descendants.  The Trustees had a discretionary power to “distribute all or any portion of the net income and principal of the trust to any one or more of the group consisting of [the beneficiaries] and distributee trusts, in such amounts and at such times as the Trustee, in the Trustee’s discretion, may determine.”  “Distributee trusts” were defined as any trust under the trust instruments or any other trust established by the grantor.  A distributee trust could be for the benefit of one or more, “but not necessarily all,” of the beneficiaries. </w:t>
      </w:r>
    </w:p>
    <w:p w:rsidR="00FF6CAC" w:rsidRPr="00C25106" w:rsidRDefault="00FF6CAC" w:rsidP="00FF6CAC">
      <w:pPr>
        <w:pStyle w:val="Body15"/>
      </w:pPr>
      <w:r w:rsidRPr="00C25106">
        <w:t xml:space="preserve">The Trustees of the two irrevocable trusts decanted trust assets into new trusts and eliminated the grantor’s two step-children and one of his biological children from the definition of “descendants” in the new trust instruments, effectively stripping their interests in the trusts.  The trust assets were not transferred to the new trusts.  The decanting documents provided for the transfer of trust assets upon the settlor’s death.  Because the parties never made arguments regarding the failure to transfer the assets, both the trial court and the Supreme Court of New Hampshire treated the decantings as if they had occurred when decanting documents were executed and that the failure to transfer assets did not render the decantings invalid.   </w:t>
      </w:r>
    </w:p>
    <w:p w:rsidR="00FF6CAC" w:rsidRPr="00C25106" w:rsidRDefault="00FF6CAC" w:rsidP="00FF6CAC">
      <w:pPr>
        <w:pStyle w:val="Body15"/>
      </w:pPr>
      <w:r w:rsidRPr="00C25106">
        <w:t xml:space="preserve">Under New Hampshire’s decanting statute, if a Trustee has the power to make discretionary distributions of principal to one or more beneficiaries, the Trustee may decant the assets to a new trust that eliminates one of those beneficiaries as a beneficiary </w:t>
      </w:r>
      <w:r w:rsidRPr="00FF6CAC">
        <w:rPr>
          <w:bCs/>
        </w:rPr>
        <w:t>of</w:t>
      </w:r>
      <w:r w:rsidRPr="00C25106">
        <w:t xml:space="preserve"> the new trust.  The statute further provides that “[i]n exercising the power to decant, a trustee has a duty to exercise the power in a manner that is consistent with the settlor’s intent as expressed in the terms of the trust, and the trustee shall act in accordance with the trustee’s duties under this chapter and the terms of the first trust.”  RSA 564-B:4-418. </w:t>
      </w:r>
    </w:p>
    <w:p w:rsidR="00FF6CAC" w:rsidRPr="00C25106" w:rsidRDefault="00FF6CAC" w:rsidP="00FF6CAC">
      <w:pPr>
        <w:pStyle w:val="Body15"/>
      </w:pPr>
      <w:r w:rsidRPr="00C25106">
        <w:t>The trial court set aside the decantings and removed the Trustees.  On appeal to the Supreme Court of New Hampshire, the court stated that even though New Hampshire’s decanting statute allowed the Trustees to eliminate beneficiaries, and even though the Trustees had the discretion to distribute income and principal in the Trustees’ discretion, the Trustees were still subject to the duty of impartiality in carrying out the decanting.  The court stated that “a trustee, who makes unequal distributions among beneficiaries and/or eliminates a beneficiary’s non-vested interest in an irrevocable trust through decanting, violates the statutory duty of impartiality only when the trustee fails to treat the beneficiaries ‘equitably in light of the purposes and terms of the trust.’“ (quoting Uniform Trust Code § 803 Cmt.).</w:t>
      </w:r>
    </w:p>
    <w:p w:rsidR="00FF6CAC" w:rsidRDefault="00FF6CAC" w:rsidP="00FF6CAC">
      <w:pPr>
        <w:pStyle w:val="Body15"/>
      </w:pPr>
      <w:r w:rsidRPr="00C25106">
        <w:t xml:space="preserve">The court agreed with the trial court that the decantings were improper and void because the decantings violated the Trustees’ duty of </w:t>
      </w:r>
      <w:r w:rsidRPr="00FF6CAC">
        <w:rPr>
          <w:bCs/>
        </w:rPr>
        <w:t>impartiality</w:t>
      </w:r>
      <w:r w:rsidRPr="00C25106">
        <w:t xml:space="preserve"> by failing to consider the interests of all of the beneficiaries, both present and remainder.  </w:t>
      </w:r>
      <w:r>
        <w:t>It is difficult to understand why a trustee would think it could decant under such circumstances.</w:t>
      </w:r>
    </w:p>
    <w:p w:rsidR="00FF6CAC" w:rsidRDefault="00FF6CAC" w:rsidP="00FF6CAC">
      <w:pPr>
        <w:pStyle w:val="Body15"/>
      </w:pPr>
      <w:r>
        <w:t xml:space="preserve">The removed, former trustees asked to be reimbursed from the 2004 trusts for post-trial fees and costs they personally incurred defending the </w:t>
      </w:r>
      <w:r w:rsidRPr="00FF6CAC">
        <w:rPr>
          <w:bCs/>
        </w:rPr>
        <w:t>decantings</w:t>
      </w:r>
      <w:r>
        <w:t xml:space="preserve">, and asked not to be required to reimburse those trusts for the fees and costs the trusts incurred.  The trial court found that the former trustees had committed a serious breach of trust and should not be granted the relief they sought.  The Supreme Court of New Hampshire affirmed at </w:t>
      </w:r>
      <w:r w:rsidRPr="00E7692B">
        <w:rPr>
          <w:u w:val="single"/>
        </w:rPr>
        <w:t>Hodges v. Johnson</w:t>
      </w:r>
      <w:r>
        <w:t xml:space="preserve">, </w:t>
      </w:r>
      <w:r w:rsidR="004F395A" w:rsidRPr="004F395A">
        <w:t>244 A.3d 245</w:t>
      </w:r>
      <w:r>
        <w:t xml:space="preserve"> (N</w:t>
      </w:r>
      <w:r w:rsidR="0044041F">
        <w:t>.</w:t>
      </w:r>
      <w:r>
        <w:t>H</w:t>
      </w:r>
      <w:r w:rsidR="0044041F">
        <w:t>.</w:t>
      </w:r>
      <w:r>
        <w:t xml:space="preserve"> 2020).  The opinion states:  </w:t>
      </w:r>
    </w:p>
    <w:p w:rsidR="007964A0" w:rsidRDefault="00FF6CAC" w:rsidP="007964A0">
      <w:pPr>
        <w:pStyle w:val="QS10"/>
      </w:pPr>
      <w:r w:rsidRPr="00FF6CAC">
        <w:t xml:space="preserve">The Former Co-Trustees assert that the trial court “inappropriately </w:t>
      </w:r>
      <w:r w:rsidR="00620A74" w:rsidRPr="00FF6CAC">
        <w:t>relied” upon</w:t>
      </w:r>
      <w:r w:rsidRPr="00FF6CAC">
        <w:t xml:space="preserve"> the fact that they did not file a petition for instruction.  They argue that the trial court’s reliance was improper because: (1)the court “failed to establish a valid foundation or set out any criteria to support its assertion that [they] should have filed a petition”;(2) there “was no established law” suggesting that “</w:t>
      </w:r>
      <w:r w:rsidR="00620A74" w:rsidRPr="00FF6CAC">
        <w:t>their decision</w:t>
      </w:r>
      <w:r w:rsidRPr="00FF6CAC">
        <w:t xml:space="preserve">-making . . . was subject to doubt or conflicting claims”;(3) they needed to act expeditiously to prevent the plaintiffs and </w:t>
      </w:r>
      <w:r w:rsidR="00620A74" w:rsidRPr="00FF6CAC">
        <w:t>Joanne from</w:t>
      </w:r>
      <w:r w:rsidRPr="00FF6CAC">
        <w:t xml:space="preserve"> acting detrimentally to the 2004 Trusts; (4) bringing a petition for instruction would have resulted in “hotly contested” and “expensive” litigation;(5) “[t]he decanting decision concerned contingencies that are not appropriate for a petition for instruction”; and(</w:t>
      </w:r>
      <w:r w:rsidR="0044041F">
        <w:t xml:space="preserve"> </w:t>
      </w:r>
      <w:r w:rsidRPr="00FF6CAC">
        <w:t xml:space="preserve">6) even after </w:t>
      </w:r>
      <w:r w:rsidRPr="00620A74">
        <w:rPr>
          <w:u w:val="single"/>
        </w:rPr>
        <w:t>Hodges</w:t>
      </w:r>
      <w:r w:rsidRPr="00FF6CAC">
        <w:t>, “we do not know how the Former Co-Trustees should have exercised their duty of impartiality.”(Emphases omitted.)</w:t>
      </w:r>
    </w:p>
    <w:p w:rsidR="007964A0" w:rsidRDefault="00FF6CAC" w:rsidP="007964A0">
      <w:pPr>
        <w:pStyle w:val="QS10"/>
        <w:rPr>
          <w:shd w:val="clear" w:color="auto" w:fill="FFFFFF"/>
        </w:rPr>
      </w:pPr>
      <w:r w:rsidRPr="00FF6CAC">
        <w:t xml:space="preserve">However, it is precisely </w:t>
      </w:r>
      <w:r w:rsidR="00620A74" w:rsidRPr="00FF6CAC">
        <w:t>when there</w:t>
      </w:r>
      <w:r w:rsidRPr="00FF6CAC">
        <w:t xml:space="preserve"> is “uncertainty as to the proper application of the law to the facts” that a petition for instruction is warranted.  </w:t>
      </w:r>
      <w:r w:rsidRPr="00620A74">
        <w:rPr>
          <w:u w:val="single"/>
        </w:rPr>
        <w:t>Rock Springs Land</w:t>
      </w:r>
      <w:r w:rsidR="00620A74" w:rsidRPr="00620A74">
        <w:rPr>
          <w:u w:val="single"/>
        </w:rPr>
        <w:t xml:space="preserve"> </w:t>
      </w:r>
      <w:r w:rsidRPr="00620A74">
        <w:rPr>
          <w:u w:val="single"/>
        </w:rPr>
        <w:t>and</w:t>
      </w:r>
      <w:r w:rsidR="00620A74" w:rsidRPr="00620A74">
        <w:rPr>
          <w:u w:val="single"/>
        </w:rPr>
        <w:t xml:space="preserve"> </w:t>
      </w:r>
      <w:r w:rsidRPr="00620A74">
        <w:rPr>
          <w:u w:val="single"/>
        </w:rPr>
        <w:t>Timber, Inc. v. Lore</w:t>
      </w:r>
      <w:r w:rsidRPr="00FF6CAC">
        <w:t xml:space="preserve">, 75 P.3d 614, 623 (Wyo. 2003) (quotation omitted).Section 71 of the </w:t>
      </w:r>
      <w:r w:rsidRPr="00620A74">
        <w:rPr>
          <w:u w:val="single"/>
        </w:rPr>
        <w:t>Restatement (Third)</w:t>
      </w:r>
      <w:r w:rsidR="00620A74" w:rsidRPr="00620A74">
        <w:rPr>
          <w:u w:val="single"/>
        </w:rPr>
        <w:t xml:space="preserve"> </w:t>
      </w:r>
      <w:r w:rsidRPr="00620A74">
        <w:rPr>
          <w:u w:val="single"/>
        </w:rPr>
        <w:t xml:space="preserve">of </w:t>
      </w:r>
      <w:r w:rsidR="00620A74" w:rsidRPr="00620A74">
        <w:rPr>
          <w:u w:val="single"/>
        </w:rPr>
        <w:t>Trusts</w:t>
      </w:r>
      <w:r w:rsidR="00620A74" w:rsidRPr="00FF6CAC">
        <w:t xml:space="preserve"> provides</w:t>
      </w:r>
      <w:r w:rsidRPr="00FF6CAC">
        <w:t>:  “A trustee . . . may apply to an appropriate court for instructions regarding the administration or distribution of the trust if there is reasonable doubt about the powers or duties of the trusteeship or about the proper interpretation of the trust provisions.”</w:t>
      </w:r>
      <w:r w:rsidR="00620A74">
        <w:t xml:space="preserve"> </w:t>
      </w:r>
      <w:r w:rsidRPr="00620A74">
        <w:rPr>
          <w:u w:val="single"/>
        </w:rPr>
        <w:t>Restatement (Third) of Trusts</w:t>
      </w:r>
      <w:r w:rsidRPr="00FF6CAC">
        <w:t xml:space="preserve">, § 71 (2007).  “A trustee commits a breach of trust not only by violating a duty as a result of negligence or </w:t>
      </w:r>
      <w:r w:rsidR="00620A74" w:rsidRPr="00FF6CAC">
        <w:t>misconduct but</w:t>
      </w:r>
      <w:r w:rsidRPr="00FF6CAC">
        <w:t xml:space="preserve"> also, ordinarily, by violating a duty because of a mistake concerning the nature or extent of the trustee’s powers and duties under the terms of the trust or applicable law.”  </w:t>
      </w:r>
      <w:r w:rsidRPr="00620A74">
        <w:rPr>
          <w:u w:val="single"/>
        </w:rPr>
        <w:t>Id</w:t>
      </w:r>
      <w:r w:rsidRPr="00FF6CAC">
        <w:t xml:space="preserve">. cmt. </w:t>
      </w:r>
      <w:r w:rsidRPr="00620A74">
        <w:rPr>
          <w:u w:val="single"/>
        </w:rPr>
        <w:t>a</w:t>
      </w:r>
      <w:r w:rsidR="00620A74">
        <w:t xml:space="preserve"> </w:t>
      </w:r>
      <w:r w:rsidRPr="00FF6CAC">
        <w:t xml:space="preserve">at 9 (citation omitted).Accordingly, “[t]o avoid undue risk of </w:t>
      </w:r>
      <w:r w:rsidR="00620A74" w:rsidRPr="00FF6CAC">
        <w:t>liability when</w:t>
      </w:r>
      <w:r w:rsidRPr="00FF6CAC">
        <w:t xml:space="preserve"> reasonable doubt</w:t>
      </w:r>
      <w:r w:rsidR="007964A0">
        <w:rPr>
          <w:bCs/>
        </w:rPr>
        <w:t xml:space="preserve"> exists in </w:t>
      </w:r>
      <w:r w:rsidR="007964A0">
        <w:rPr>
          <w:shd w:val="clear" w:color="auto" w:fill="FFFFFF"/>
        </w:rPr>
        <w:t xml:space="preserve">these matters, a trustee may seek protection by applying for instructions from an appropriate court.”  </w:t>
      </w:r>
      <w:r w:rsidR="007964A0" w:rsidRPr="00620A74">
        <w:rPr>
          <w:u w:val="single"/>
          <w:shd w:val="clear" w:color="auto" w:fill="FFFFFF"/>
        </w:rPr>
        <w:t>Id</w:t>
      </w:r>
      <w:r w:rsidR="007964A0">
        <w:rPr>
          <w:shd w:val="clear" w:color="auto" w:fill="FFFFFF"/>
        </w:rPr>
        <w:t xml:space="preserve">.  Contrary to the Former Co-Trustees’ assertions, </w:t>
      </w:r>
    </w:p>
    <w:p w:rsidR="007964A0" w:rsidRDefault="007964A0" w:rsidP="007964A0">
      <w:pPr>
        <w:pStyle w:val="QS10"/>
        <w:ind w:left="1872"/>
        <w:rPr>
          <w:shd w:val="clear" w:color="auto" w:fill="FFFFFF"/>
        </w:rPr>
      </w:pPr>
      <w:r>
        <w:rPr>
          <w:shd w:val="clear" w:color="auto" w:fill="FFFFFF"/>
        </w:rPr>
        <w:t xml:space="preserve">a trustee need not act at his or her peril in administering a trust.  Nor need a trustee act first and discover later whether a particular act was in breach of trust.  Instead, a trustee is entitled to judicial instructions whenever there is reasonable doubt about the powers or duties of the trusteeship or about the proper interpretation of the trust </w:t>
      </w:r>
      <w:r w:rsidR="00620A74">
        <w:rPr>
          <w:shd w:val="clear" w:color="auto" w:fill="FFFFFF"/>
        </w:rPr>
        <w:t>provisions. Indeed</w:t>
      </w:r>
      <w:r>
        <w:rPr>
          <w:shd w:val="clear" w:color="auto" w:fill="FFFFFF"/>
        </w:rPr>
        <w:t xml:space="preserve">, a trustee can properly pay the costs of seeking instructions out of the trust estate, unless seeking them was plainly unwarranted, because there was no reasonable uncertainty about the matter in question. </w:t>
      </w:r>
    </w:p>
    <w:p w:rsidR="007964A0" w:rsidRDefault="007964A0" w:rsidP="007964A0">
      <w:pPr>
        <w:pStyle w:val="QS10"/>
        <w:rPr>
          <w:shd w:val="clear" w:color="auto" w:fill="FFFFFF"/>
        </w:rPr>
      </w:pPr>
      <w:r>
        <w:rPr>
          <w:shd w:val="clear" w:color="auto" w:fill="FFFFFF"/>
        </w:rPr>
        <w:t>Austin Wakeman Scott, William Franklin Fratcher &amp; Mark L. Ascher, S</w:t>
      </w:r>
      <w:r w:rsidRPr="00620A74">
        <w:rPr>
          <w:u w:val="single"/>
          <w:shd w:val="clear" w:color="auto" w:fill="FFFFFF"/>
        </w:rPr>
        <w:t>cott and Ascher on Trusts</w:t>
      </w:r>
      <w:r>
        <w:rPr>
          <w:shd w:val="clear" w:color="auto" w:fill="FFFFFF"/>
        </w:rPr>
        <w:t xml:space="preserve">, § 16.8, at 1070-71(5th ed. 2007)(quotation omitted).  </w:t>
      </w:r>
    </w:p>
    <w:p w:rsidR="007964A0" w:rsidRDefault="007964A0" w:rsidP="007964A0">
      <w:pPr>
        <w:pStyle w:val="QS10"/>
        <w:rPr>
          <w:shd w:val="clear" w:color="auto" w:fill="FFFFFF"/>
        </w:rPr>
      </w:pPr>
      <w:r>
        <w:rPr>
          <w:shd w:val="clear" w:color="auto" w:fill="FFFFFF"/>
        </w:rPr>
        <w:t xml:space="preserve">To the extent that the trial court concluded that the circumstances in this case should have caused the Former Co-Trustees to have reasonable doubt as to whether the decantings at issue were proper, we agree.  Here, the </w:t>
      </w:r>
      <w:r w:rsidR="00620A74">
        <w:rPr>
          <w:shd w:val="clear" w:color="auto" w:fill="FFFFFF"/>
        </w:rPr>
        <w:t>decanting to</w:t>
      </w:r>
      <w:r>
        <w:rPr>
          <w:shd w:val="clear" w:color="auto" w:fill="FFFFFF"/>
        </w:rPr>
        <w:t xml:space="preserve"> </w:t>
      </w:r>
      <w:r w:rsidR="00620A74">
        <w:rPr>
          <w:shd w:val="clear" w:color="auto" w:fill="FFFFFF"/>
        </w:rPr>
        <w:t>exclude beneficiaries</w:t>
      </w:r>
      <w:r>
        <w:rPr>
          <w:shd w:val="clear" w:color="auto" w:fill="FFFFFF"/>
        </w:rPr>
        <w:t xml:space="preserve"> of irrevocable </w:t>
      </w:r>
      <w:r w:rsidR="00620A74">
        <w:rPr>
          <w:shd w:val="clear" w:color="auto" w:fill="FFFFFF"/>
        </w:rPr>
        <w:t>trusts were</w:t>
      </w:r>
      <w:r>
        <w:rPr>
          <w:shd w:val="clear" w:color="auto" w:fill="FFFFFF"/>
        </w:rPr>
        <w:t xml:space="preserve"> to be accomplished under circumstances </w:t>
      </w:r>
      <w:r w:rsidR="00620A74">
        <w:rPr>
          <w:shd w:val="clear" w:color="auto" w:fill="FFFFFF"/>
        </w:rPr>
        <w:t>suggesting that</w:t>
      </w:r>
      <w:r>
        <w:rPr>
          <w:shd w:val="clear" w:color="auto" w:fill="FFFFFF"/>
        </w:rPr>
        <w:t xml:space="preserve"> the settlor directed them so </w:t>
      </w:r>
      <w:r w:rsidR="00620A74">
        <w:rPr>
          <w:shd w:val="clear" w:color="auto" w:fill="FFFFFF"/>
        </w:rPr>
        <w:t>as to</w:t>
      </w:r>
      <w:r>
        <w:rPr>
          <w:shd w:val="clear" w:color="auto" w:fill="FFFFFF"/>
        </w:rPr>
        <w:t xml:space="preserve"> disinherit disfavored family members.  Those circumstances should have </w:t>
      </w:r>
      <w:r w:rsidR="00620A74">
        <w:rPr>
          <w:shd w:val="clear" w:color="auto" w:fill="FFFFFF"/>
        </w:rPr>
        <w:t>caused the</w:t>
      </w:r>
      <w:r>
        <w:rPr>
          <w:shd w:val="clear" w:color="auto" w:fill="FFFFFF"/>
        </w:rPr>
        <w:t xml:space="preserve"> Former Co-Trustees to have reasonable doubt as to the propriety of the decantings.</w:t>
      </w:r>
    </w:p>
    <w:p w:rsidR="00FF6CAC" w:rsidRPr="00C25106" w:rsidRDefault="007964A0" w:rsidP="007964A0">
      <w:pPr>
        <w:pStyle w:val="QS10"/>
      </w:pPr>
      <w:r>
        <w:rPr>
          <w:shd w:val="clear" w:color="auto" w:fill="FFFFFF"/>
        </w:rPr>
        <w:t xml:space="preserve">Thus, we find no error in the trial court’s suggestion that, before participating in the decantings, the Former Co-Trustees could have filed a petition for instruction or obtained an independent legal opinion, instead of relying exclusively upon McDonald’s [settlor’s attorney] advice under circumstances suggesting that he was doing the settlor’s </w:t>
      </w:r>
      <w:r w:rsidR="00620A74">
        <w:rPr>
          <w:shd w:val="clear" w:color="auto" w:fill="FFFFFF"/>
        </w:rPr>
        <w:t>bidding to</w:t>
      </w:r>
      <w:r>
        <w:rPr>
          <w:shd w:val="clear" w:color="auto" w:fill="FFFFFF"/>
        </w:rPr>
        <w:t xml:space="preserve"> disinherit </w:t>
      </w:r>
      <w:r w:rsidR="00620A74">
        <w:rPr>
          <w:shd w:val="clear" w:color="auto" w:fill="FFFFFF"/>
        </w:rPr>
        <w:t>beneficiaries with</w:t>
      </w:r>
      <w:r>
        <w:rPr>
          <w:shd w:val="clear" w:color="auto" w:fill="FFFFFF"/>
        </w:rPr>
        <w:t xml:space="preserve"> whom the settlor was unhappy.</w:t>
      </w:r>
    </w:p>
    <w:p w:rsidR="003044BC" w:rsidRPr="003044BC" w:rsidRDefault="00BA4F80" w:rsidP="00BA4F80">
      <w:pPr>
        <w:pStyle w:val="Heading20"/>
        <w:numPr>
          <w:ilvl w:val="1"/>
          <w:numId w:val="33"/>
        </w:numPr>
        <w:tabs>
          <w:tab w:val="clear" w:pos="2700"/>
        </w:tabs>
        <w:spacing w:before="240"/>
        <w:ind w:left="0"/>
        <w:rPr>
          <w:rFonts w:asciiTheme="minorHAnsi" w:hAnsiTheme="minorHAnsi" w:cstheme="minorHAnsi"/>
          <w:vanish/>
          <w:color w:val="1F497D"/>
          <w:specVanish/>
        </w:rPr>
      </w:pPr>
      <w:bookmarkStart w:id="821" w:name="_Toc94704711"/>
      <w:r w:rsidRPr="00BA4F80">
        <w:rPr>
          <w:b/>
          <w:u w:val="single"/>
        </w:rPr>
        <w:t>Entity Transparency</w:t>
      </w:r>
      <w:bookmarkEnd w:id="821"/>
    </w:p>
    <w:p w:rsidR="00BA4F80" w:rsidRPr="00BA4F80" w:rsidRDefault="00BA4F80" w:rsidP="003044BC">
      <w:pPr>
        <w:pStyle w:val="Heading2Body"/>
        <w:rPr>
          <w:rFonts w:asciiTheme="minorHAnsi" w:hAnsiTheme="minorHAnsi" w:cstheme="minorHAnsi"/>
          <w:color w:val="1F497D"/>
        </w:rPr>
      </w:pPr>
      <w:r w:rsidRPr="00BA4F80">
        <w:t>.  The National Defense Authorization Act, passed by Congress at the end of 2020 and beginning of 2021, contains the Corporate Transparency Act.  Of particular interest to estate planners is that entities created by a filing with a state Secretary of State (or similar state office) will need to begin filing beneficial ownership statements with the Financial Crimes Enforcement Network, two years after Treasury issues regulation</w:t>
      </w:r>
      <w:r w:rsidR="00E1222F">
        <w:t>s</w:t>
      </w:r>
      <w:r w:rsidRPr="00BA4F80">
        <w:t xml:space="preserve"> on the matter.  A company with more than 20 full-time employees that files a US federal income tax return showing $5 million or more in gross receipts or sales, and that has a physical presence in the US</w:t>
      </w:r>
      <w:r w:rsidR="00E1222F">
        <w:t>,</w:t>
      </w:r>
      <w:r w:rsidRPr="00BA4F80">
        <w:t xml:space="preserve"> need not file, nor will charities and various other regulated businesses (banks, insurance companies, and the like) be required to file.  Although business trusts likely do have reporting requirements, thus far private trusts have no reporting obligations but those may be imposed at a future point.  Presumably general partnerships need not report because they are common law entities </w:t>
      </w:r>
      <w:r w:rsidR="00E1222F">
        <w:t xml:space="preserve">generally not </w:t>
      </w:r>
      <w:r w:rsidRPr="00BA4F80">
        <w:t xml:space="preserve">required to make a filing under applicable state law.  </w:t>
      </w:r>
    </w:p>
    <w:p w:rsidR="00BA4F80" w:rsidRPr="00BA4F80" w:rsidRDefault="00337745" w:rsidP="00BA4F80">
      <w:pPr>
        <w:pStyle w:val="Body15"/>
      </w:pPr>
      <w:r>
        <w:t xml:space="preserve">Suppose a state </w:t>
      </w:r>
      <w:r w:rsidR="00BA4F80" w:rsidRPr="00BA4F80">
        <w:t>wanted to assist entities that preferred not to make reports.  If in such a state general partnerships lacked filing requirements then making general partnerships more attractive would seem to be desirable.  The problem with general partnerships, from an estate planning point of view, is that they do not restrict management and liquidation rights</w:t>
      </w:r>
      <w:r w:rsidR="00E1222F">
        <w:t xml:space="preserve"> as is required to obtain </w:t>
      </w:r>
      <w:r w:rsidR="004C677D">
        <w:t>discounts</w:t>
      </w:r>
      <w:r w:rsidR="00BA4F80" w:rsidRPr="00BA4F80">
        <w:t xml:space="preserve">, and, more generally, that they do not provide any party with limited liability.  Traditionally limited liability and restricted management and liquidation could only be obtained via </w:t>
      </w:r>
      <w:r w:rsidR="00E1222F">
        <w:t xml:space="preserve">entities that require state “incorporation” or a similar step.  </w:t>
      </w:r>
      <w:r w:rsidR="00BA4F80" w:rsidRPr="00BA4F80">
        <w:t xml:space="preserve">In the case of limited liability the commonly stated reason is that the public ought to know, or be charged with knowing, of limited liability.  </w:t>
      </w:r>
    </w:p>
    <w:p w:rsidR="00BA4F80" w:rsidRDefault="00BA4F80" w:rsidP="00BA4F80">
      <w:pPr>
        <w:pStyle w:val="Body15"/>
      </w:pPr>
      <w:r w:rsidRPr="00BA4F80">
        <w:t xml:space="preserve">Suppose a state substituted a naming requirement for a filing requirement.  For example, the state might provide that a general partnership, created without a filing, would be a traditional general partnership </w:t>
      </w:r>
      <w:r w:rsidR="00E15B56">
        <w:t xml:space="preserve">with unlimited </w:t>
      </w:r>
      <w:r w:rsidR="004C677D">
        <w:t>liability</w:t>
      </w:r>
      <w:r w:rsidR="00E15B56">
        <w:t xml:space="preserve"> </w:t>
      </w:r>
      <w:r w:rsidRPr="00BA4F80">
        <w:t>unless it contained in its name, say, “Limited Liability.”  A general partnership that contained “Limited Liability” in the name would have the limited liability of a limited liability corporation and would in all respects function as if were an LLC with all “general partners” as managers.  For those clients who desired LLC benefits without the requirement of reporting</w:t>
      </w:r>
      <w:r w:rsidR="00E15B56">
        <w:t>,</w:t>
      </w:r>
      <w:r w:rsidRPr="00BA4F80">
        <w:t xml:space="preserve"> such an arrangement would be attractive.  Quite obviously many other naming conventions could be adopted, for instance a “Special General Partnership” such that a traditional general partnership called Smith &amp; Jones, SGP means it is formed as a general partnership, without formalities, but has adopted the LLC form of operation and liability.</w:t>
      </w:r>
    </w:p>
    <w:p w:rsidR="00ED6662" w:rsidRPr="00ED6662" w:rsidRDefault="002623D2" w:rsidP="002623D2">
      <w:pPr>
        <w:pStyle w:val="Heading20"/>
        <w:numPr>
          <w:ilvl w:val="1"/>
          <w:numId w:val="33"/>
        </w:numPr>
        <w:tabs>
          <w:tab w:val="clear" w:pos="2700"/>
        </w:tabs>
        <w:spacing w:before="240"/>
        <w:ind w:left="0"/>
        <w:rPr>
          <w:vanish/>
          <w:specVanish/>
        </w:rPr>
      </w:pPr>
      <w:bookmarkStart w:id="822" w:name="_Toc94704712"/>
      <w:r w:rsidRPr="002623D2">
        <w:rPr>
          <w:b/>
          <w:u w:val="single"/>
        </w:rPr>
        <w:t>Reformation of Special Needs Trust Allowed</w:t>
      </w:r>
      <w:bookmarkEnd w:id="822"/>
    </w:p>
    <w:p w:rsidR="002623D2" w:rsidRDefault="002623D2" w:rsidP="00ED6662">
      <w:pPr>
        <w:pStyle w:val="Heading2Body"/>
      </w:pPr>
      <w:r w:rsidRPr="002623D2">
        <w:rPr>
          <w:u w:val="single"/>
        </w:rPr>
        <w:t>.</w:t>
      </w:r>
      <w:r>
        <w:t xml:space="preserve">  </w:t>
      </w:r>
      <w:r w:rsidRPr="002623D2">
        <w:t>The Valerie R. Pecce Supplemental Needs Trust incorrectly and unnecessarily provide</w:t>
      </w:r>
      <w:r>
        <w:t>d</w:t>
      </w:r>
      <w:r w:rsidRPr="002623D2">
        <w:t xml:space="preserve"> that trust assets must first be used to reimburse the Massachusetts division of medical assistance</w:t>
      </w:r>
      <w:r>
        <w:t xml:space="preserve"> </w:t>
      </w:r>
      <w:r w:rsidRPr="002623D2">
        <w:t>for benefits provided to Valerie during her lifetime, before any remaining assets can be distributed to other 2001 trust beneficiaries.</w:t>
      </w:r>
      <w:r>
        <w:t xml:space="preserve">  The issue in </w:t>
      </w:r>
      <w:r>
        <w:rPr>
          <w:u w:val="single"/>
        </w:rPr>
        <w:t>Matter of Valerie R. Pecce Supplemental Needs Trust</w:t>
      </w:r>
      <w:r>
        <w:t>, 99 Mass.App.Ct. 376 (Mass. App. 2021)</w:t>
      </w:r>
      <w:r w:rsidR="00356219">
        <w:t xml:space="preserve"> was whether the trust should and could be reformed.  The court concluded no as to assets transferred to the trust during settlor’s lifetime, but yes as to assets transferred from his estate.  The opinion states:</w:t>
      </w:r>
    </w:p>
    <w:p w:rsidR="00356219" w:rsidRPr="00356219" w:rsidRDefault="00356219" w:rsidP="00356219">
      <w:pPr>
        <w:pStyle w:val="QS10"/>
        <w:rPr>
          <w:szCs w:val="20"/>
        </w:rPr>
      </w:pPr>
      <w:r w:rsidRPr="00356219">
        <w:rPr>
          <w:szCs w:val="20"/>
        </w:rPr>
        <w:t>To begin, we acknowledge that all parties agree that the 2001 trust is not, in fact, a (d)(4)(A) trust. A (d)(4)(A) trust must contain (at least in part) assets of the disabled individual;</w:t>
      </w:r>
      <w:r>
        <w:rPr>
          <w:szCs w:val="20"/>
        </w:rPr>
        <w:t xml:space="preserve"> </w:t>
      </w:r>
      <w:r w:rsidRPr="00356219">
        <w:rPr>
          <w:szCs w:val="20"/>
        </w:rPr>
        <w:t>the 2001 trust does not contain any of Valerie's assets, and thus does not qualify as a (d)(4)(A) trust. Since the 2001 trust expressly states that it is “established” and shall be “administered” and “interpreted” as a (d)(4)(A) trust, that much of the trust document, at least, is a clear mistake.</w:t>
      </w:r>
    </w:p>
    <w:p w:rsidR="00356219" w:rsidRDefault="00356219" w:rsidP="00356219">
      <w:pPr>
        <w:pStyle w:val="QS10"/>
        <w:rPr>
          <w:szCs w:val="20"/>
        </w:rPr>
      </w:pPr>
      <w:r w:rsidRPr="00356219">
        <w:rPr>
          <w:szCs w:val="20"/>
        </w:rPr>
        <w:t>While recognizing this error, the trial judge nevertheless refused to reform the 2001 trust because she determined that the payback provision in article 6.2 was not a mistake. In essence, the judge concluded that Albert had three purposes in establishing the 2001 trust: (1) to provide Valerie with assets to supplement her government benefits; (2) to ensure Valerie's continuing eligibility for Medicaid; and (3) to ensure </w:t>
      </w:r>
      <w:r w:rsidRPr="00356219">
        <w:rPr>
          <w:szCs w:val="20"/>
          <w:u w:val="single"/>
        </w:rPr>
        <w:t>Albert's</w:t>
      </w:r>
      <w:r w:rsidRPr="00356219">
        <w:rPr>
          <w:szCs w:val="20"/>
        </w:rPr>
        <w:t> Medicaid eligibility in the event that he sought such benefits within the applicable, three-year look-back period. She reasoned that the third of these purposes justified Albert's inclusion of the payback provision, because absent such a provision, any transfer by Albert to the 2001 trust would cause him to lose his Medicaid eligibility for three years. And after considering the trial evidence, the judge made an express finding to that effect: “The [c]ourt finds that the inclusion of the payback provision is not a mistake, but that Albert had a rational reason for creating the 2001 [t]rust with a payback provision, which was to ensure his eligibility for Medicaid.”</w:t>
      </w:r>
    </w:p>
    <w:p w:rsidR="00356219" w:rsidRPr="00356219" w:rsidRDefault="00356219" w:rsidP="00356219">
      <w:pPr>
        <w:pStyle w:val="QS10"/>
        <w:jc w:val="center"/>
        <w:rPr>
          <w:szCs w:val="20"/>
        </w:rPr>
      </w:pPr>
      <w:r>
        <w:rPr>
          <w:szCs w:val="20"/>
        </w:rPr>
        <w:t>* * *</w:t>
      </w:r>
    </w:p>
    <w:p w:rsidR="00356219" w:rsidRPr="00356219" w:rsidRDefault="00356219" w:rsidP="00356219">
      <w:pPr>
        <w:pStyle w:val="QS10"/>
        <w:rPr>
          <w:color w:val="000000" w:themeColor="text1"/>
          <w:szCs w:val="20"/>
        </w:rPr>
      </w:pPr>
      <w:r w:rsidRPr="00356219">
        <w:rPr>
          <w:color w:val="000000" w:themeColor="text1"/>
          <w:szCs w:val="20"/>
          <w:u w:val="single"/>
        </w:rPr>
        <w:t>Reformation of the 2001 trust with respect to assets transferred after Albert's death</w:t>
      </w:r>
      <w:r w:rsidRPr="00356219">
        <w:rPr>
          <w:color w:val="000000" w:themeColor="text1"/>
          <w:szCs w:val="20"/>
        </w:rPr>
        <w:t>. We accordingly decline to overturn the judge's ruling, to the extent that it refused to strike the MassHealth payback provision from the 2001 trust. That is not the end of this matter, however. The judge's finding only supplies a basis for the payback provision to apply to transfers made by Albert while Albert was alive, and potentially in need of Medicaid. There was absolutely no need for the payback provision to apply to transfers made after Albert's death. Yet absent reformation, the payback provision of the 2001 trust would apply even to assets transferred to the 2001 trust as a result of the pour-over clause of Albert's will.</w:t>
      </w:r>
    </w:p>
    <w:p w:rsidR="00356219" w:rsidRPr="00356219" w:rsidRDefault="00356219" w:rsidP="00356219">
      <w:pPr>
        <w:pStyle w:val="QS10"/>
        <w:rPr>
          <w:color w:val="000000" w:themeColor="text1"/>
          <w:szCs w:val="20"/>
        </w:rPr>
      </w:pPr>
      <w:r w:rsidRPr="00356219">
        <w:rPr>
          <w:color w:val="000000" w:themeColor="text1"/>
          <w:szCs w:val="20"/>
        </w:rPr>
        <w:t>We conclude, based upon the operative documents and the judge's findings, that reformation of the 2001 trust is appropriate to prevent the payback provision from applying to assets transferred after Albert's death. As the judge found, there clearly was a “mistake” in the “expression” of the 2001 trust documents. G. L. c. 203E, § 415. The drafter misidentified the legal basis for the 2001 trust, and carried that mistake through several sections of the trust document. The statutory predicate for reformation is thus established. The drafter's error was compounded, moreover, by the will provision that poured over Albert's remaining assets to the 2001 trust at his death. These errors have led to exposing Albert's entire estate to reimbursement to MassHealth.</w:t>
      </w:r>
    </w:p>
    <w:p w:rsidR="00356219" w:rsidRPr="00356219" w:rsidRDefault="00356219" w:rsidP="00356219">
      <w:pPr>
        <w:pStyle w:val="QS10"/>
        <w:rPr>
          <w:color w:val="000000" w:themeColor="text1"/>
          <w:szCs w:val="20"/>
        </w:rPr>
      </w:pPr>
      <w:r w:rsidRPr="00356219">
        <w:rPr>
          <w:color w:val="000000" w:themeColor="text1"/>
          <w:szCs w:val="20"/>
        </w:rPr>
        <w:t>Albert would not have intended that his estate assets go to the Commonwealth, where they could otherwise go to the beneficiaries he identified from his family. Under the circumstances, where a mistake is clear in a trust document and where the result of the mistake is evidently at odds with the settlor's intent, reformation is called for. In that regard, we think this case is not unlike </w:t>
      </w:r>
      <w:r w:rsidRPr="00356219">
        <w:rPr>
          <w:color w:val="000000" w:themeColor="text1"/>
          <w:szCs w:val="20"/>
          <w:u w:val="single"/>
        </w:rPr>
        <w:t>First Agric. Bank v. Coxe</w:t>
      </w:r>
      <w:r w:rsidRPr="00356219">
        <w:rPr>
          <w:color w:val="000000" w:themeColor="text1"/>
          <w:szCs w:val="20"/>
        </w:rPr>
        <w:t>, 406 Mass. 879, 882, 550 N.E.2d 875 (1990), in which the Supreme Judicial Court concluded that it was appropriate to reform a settlor's will and trust documents, and to separate certain assets in a trust so as to avoid Federal generation skipping transfer (GST) taxes with respect to those separated assets. The court concluded: “We have no doubt that the circumstances the trustee has presented warrant our issuing a declaratory statement or instruction concerning the authority of the trustee to separate Trust A assets in some way so that the GST tax will not apply to [certain trust] distributions....” </w:t>
      </w:r>
      <w:hyperlink r:id="rId463" w:history="1">
        <w:r w:rsidRPr="00356219">
          <w:rPr>
            <w:color w:val="000000" w:themeColor="text1"/>
            <w:szCs w:val="20"/>
            <w:u w:val="single"/>
          </w:rPr>
          <w:t>Id</w:t>
        </w:r>
        <w:r w:rsidRPr="00356219">
          <w:rPr>
            <w:rStyle w:val="Hyperlink"/>
            <w:color w:val="000000" w:themeColor="text1"/>
            <w:szCs w:val="20"/>
          </w:rPr>
          <w:t>.</w:t>
        </w:r>
      </w:hyperlink>
      <w:r w:rsidRPr="00356219">
        <w:rPr>
          <w:color w:val="000000" w:themeColor="text1"/>
          <w:szCs w:val="20"/>
        </w:rPr>
        <w:t> A similar course is appropriate here. On remand, the judge should reform the trust document, to ensure that assets transferred to the 2001 trust from Albert's estate are not subject to the article 6.2 payback provision. The judge should also make such changes as are necessary to ensure that the language referencing (d)(4)(A) no longer has operative effect, in line with the finding that the identified legal basis for the trust was clearly a mistake.</w:t>
      </w:r>
    </w:p>
    <w:p w:rsidR="00CB742B" w:rsidRPr="00CB742B" w:rsidRDefault="002B6F4B" w:rsidP="002B6F4B">
      <w:pPr>
        <w:pStyle w:val="Heading20"/>
        <w:numPr>
          <w:ilvl w:val="1"/>
          <w:numId w:val="33"/>
        </w:numPr>
        <w:tabs>
          <w:tab w:val="clear" w:pos="2700"/>
        </w:tabs>
        <w:spacing w:before="240"/>
        <w:ind w:left="0"/>
        <w:rPr>
          <w:vanish/>
          <w:specVanish/>
        </w:rPr>
      </w:pPr>
      <w:bookmarkStart w:id="823" w:name="_Toc94704713"/>
      <w:r>
        <w:rPr>
          <w:b/>
          <w:u w:val="single"/>
        </w:rPr>
        <w:t>Exercise of Power of Appointment</w:t>
      </w:r>
      <w:bookmarkEnd w:id="823"/>
    </w:p>
    <w:p w:rsidR="002623D2" w:rsidRDefault="002B6F4B" w:rsidP="00CB742B">
      <w:pPr>
        <w:pStyle w:val="Heading2Body"/>
      </w:pPr>
      <w:r>
        <w:t xml:space="preserve">.  The effect of an attempted exercise of a power of appointment was in question in </w:t>
      </w:r>
      <w:r>
        <w:rPr>
          <w:u w:val="single"/>
        </w:rPr>
        <w:t>Wilmington Trust Company as Trustee of the A. Felix Du Pont Trust v. James Paul Mills Jr. et. al</w:t>
      </w:r>
      <w:r>
        <w:t>, 2021 WL 2620585 (Del. Ch. unreported).  A 193</w:t>
      </w:r>
      <w:r w:rsidR="00265092">
        <w:t>4</w:t>
      </w:r>
      <w:r>
        <w:t xml:space="preserve"> trust gave Alice </w:t>
      </w:r>
      <w:r w:rsidR="003A245C">
        <w:t>D</w:t>
      </w:r>
      <w:r>
        <w:t>u Pont</w:t>
      </w:r>
      <w:r w:rsidR="003A245C">
        <w:t xml:space="preserve"> this power of appointment:</w:t>
      </w:r>
    </w:p>
    <w:p w:rsidR="00265092" w:rsidRDefault="00265092" w:rsidP="00265092">
      <w:pPr>
        <w:pStyle w:val="QS10"/>
        <w:ind w:left="2160"/>
      </w:pPr>
      <w:r>
        <w:t>Upon the death of Trustor's said daughter, Alice F. du Pont, Trustee shall assign, transfer, convey and deliver this trust fund, principal and undistributed income thereof, if any, free from this trust, unto the widower of said Alice F. du Pont, and/or unto the lawful issue of said Alice F. du Pont, in such manner and amounts and upon such trusts, terms and conditions as said Alice F. du Pont shall have appointed by the last instrument in writing which she shall have executed and delivered during her lifetime to Trustee, or failing such instrument in her last Will and Testament, or in default of any such appointment then unto her living issue, if any per stripes not per capita. ...</w:t>
      </w:r>
    </w:p>
    <w:p w:rsidR="00265092" w:rsidRDefault="00265092" w:rsidP="00265092">
      <w:pPr>
        <w:pStyle w:val="QS10"/>
      </w:pPr>
      <w:r>
        <w:t xml:space="preserve">Pet. Ex. A § 1 (the “Original Limited Power”). </w:t>
      </w:r>
    </w:p>
    <w:p w:rsidR="003A245C" w:rsidRDefault="003A245C" w:rsidP="00BA4F80">
      <w:pPr>
        <w:pStyle w:val="Body15"/>
      </w:pPr>
      <w:r>
        <w:t xml:space="preserve">Alice had </w:t>
      </w:r>
      <w:r w:rsidR="00F6728C">
        <w:t>three</w:t>
      </w:r>
      <w:r>
        <w:t xml:space="preserve"> children, Phyllis, James, and Mary.  Phyllis was in an accident and was unlikely to have children; Alice exercised her power several times, in 1986 for the last time, which the court described as follows:</w:t>
      </w:r>
    </w:p>
    <w:p w:rsidR="00265092" w:rsidRPr="00265092" w:rsidRDefault="00265092" w:rsidP="00265092">
      <w:pPr>
        <w:pStyle w:val="QS10"/>
      </w:pPr>
      <w:r w:rsidRPr="00265092">
        <w:t>Alice exercised the Original Limited Power for the final time in an instrument dated July 25, 1986. Pet. Ex. B (the “1986 Exercise”). In that instrument, Alice continued to treat Phyllis differently than James and Mary.</w:t>
      </w:r>
    </w:p>
    <w:p w:rsidR="00265092" w:rsidRPr="00265092" w:rsidRDefault="00265092" w:rsidP="00265092">
      <w:pPr>
        <w:pStyle w:val="QS10"/>
      </w:pPr>
      <w:r w:rsidRPr="00265092">
        <w:t>Like the prior exercises, the 1986 Exercise provided that upon Alice's death, the Trustee would divide Trust No. 2108 into equal shares, one for each of Alice's surviving children, and hold each share as a separate trust. The 1986 Exercise also retained the basic framework of the Second Limited Power, framed in terms substantively identical to the 1983 Exercise. The 1986 Exercise also retained the Adopted Child Proviso.</w:t>
      </w:r>
    </w:p>
    <w:p w:rsidR="00265092" w:rsidRPr="00265092" w:rsidRDefault="00265092" w:rsidP="00265092">
      <w:pPr>
        <w:pStyle w:val="QS10"/>
      </w:pPr>
      <w:r w:rsidRPr="00265092">
        <w:t>Like the 1983 Exercise, the 1986 Exercise supplemented the Second Limited Power with a proviso that purported to empower Phyllis to designate a charity as the recipient of her share of Trust No. 2108. The 1986 Exercise, however, added the phrase “to the extent permissible” to the text. The language now read:</w:t>
      </w:r>
    </w:p>
    <w:p w:rsidR="00265092" w:rsidRPr="00265092" w:rsidRDefault="00265092" w:rsidP="00A9194C">
      <w:pPr>
        <w:pStyle w:val="QS10"/>
        <w:ind w:left="2160"/>
      </w:pPr>
      <w:r w:rsidRPr="00265092">
        <w:t>[P]rovided, however, that </w:t>
      </w:r>
      <w:r w:rsidRPr="00265092">
        <w:rPr>
          <w:i/>
          <w:iCs/>
        </w:rPr>
        <w:t>to the extent permissible</w:t>
      </w:r>
      <w:r w:rsidRPr="00265092">
        <w:t> Grantor's daughter PHYLLIS may exercise any power conferred upon her under this subparagraph in favor of any organization or organizations to which deductible contributions may be made for purposes of federal income or estate tax laws, as well as in favor of her issue, but subject to the limitations contained in Paragraph (d) of this Article SECOND.</w:t>
      </w:r>
    </w:p>
    <w:p w:rsidR="00265092" w:rsidRPr="00265092" w:rsidRDefault="00265092" w:rsidP="00265092">
      <w:pPr>
        <w:pStyle w:val="QS10"/>
      </w:pPr>
      <w:r w:rsidRPr="00265092">
        <w:rPr>
          <w:i/>
          <w:iCs/>
        </w:rPr>
        <w:t>Id.</w:t>
      </w:r>
      <w:r w:rsidRPr="00265092">
        <w:t> art. SECOND, ¶ (a)(1)(D) (the “Second Charitable Proviso”) (emphasis added).</w:t>
      </w:r>
    </w:p>
    <w:p w:rsidR="00265092" w:rsidRPr="00265092" w:rsidRDefault="00265092" w:rsidP="00265092">
      <w:pPr>
        <w:pStyle w:val="QS10"/>
      </w:pPr>
      <w:r w:rsidRPr="00265092">
        <w:t>Like the earlier instruments, the 1986 Exercise contained a Default Provision. Unlike the earlier instruments, and consistent with the addition of the phrase “to the extent permissible” to the Second Charitable Proviso, the 1986 Exercise added language to address a failure to exercise the Second Limited Power fully and effectively. The Default Provision in the 1986 Exercise reads as follows:</w:t>
      </w:r>
    </w:p>
    <w:p w:rsidR="00265092" w:rsidRPr="00265092" w:rsidRDefault="00265092" w:rsidP="00A9194C">
      <w:pPr>
        <w:pStyle w:val="QS10"/>
        <w:ind w:left="2160"/>
      </w:pPr>
      <w:r w:rsidRPr="00265092">
        <w:rPr>
          <w:i/>
          <w:iCs/>
        </w:rPr>
        <w:t>To the extent a child of Grantor does not fully and effectively appoint</w:t>
      </w:r>
      <w:r w:rsidRPr="00265092">
        <w:t>, the trust property, </w:t>
      </w:r>
      <w:r w:rsidRPr="00265092">
        <w:rPr>
          <w:i/>
          <w:iCs/>
        </w:rPr>
        <w:t>to the extent not fully and effectively appointed</w:t>
      </w:r>
      <w:r w:rsidRPr="00265092">
        <w:t>, shall be distributed to the issue, per stirpes, of such deceased child, subject to the provisions of Article FOURTH; provided, however, that any share of such property passing to any child of such deceased child of Grantor shall be held in further trust. ... </w:t>
      </w:r>
      <w:r w:rsidRPr="00265092">
        <w:rPr>
          <w:i/>
          <w:iCs/>
        </w:rPr>
        <w:t>To the extent a child of Grantor does not fully and effectively appoint</w:t>
      </w:r>
      <w:r w:rsidRPr="00265092">
        <w:t> and is not survived by issue, such property </w:t>
      </w:r>
      <w:r w:rsidRPr="00265092">
        <w:rPr>
          <w:i/>
          <w:iCs/>
        </w:rPr>
        <w:t>to the extent not effectively appointed</w:t>
      </w:r>
      <w:r w:rsidRPr="00265092">
        <w:t> shall be distributed to the then surviving issue of Grantor, per stirpes, subject to the provisions of Article FOURTH....</w:t>
      </w:r>
    </w:p>
    <w:p w:rsidR="00265092" w:rsidRPr="00265092" w:rsidRDefault="00265092" w:rsidP="00265092">
      <w:pPr>
        <w:pStyle w:val="QS10"/>
      </w:pPr>
      <w:r w:rsidRPr="00265092">
        <w:rPr>
          <w:i/>
          <w:iCs/>
        </w:rPr>
        <w:t>Id.</w:t>
      </w:r>
      <w:r w:rsidRPr="00265092">
        <w:t> art. SECOND, ¶ (a)(1)(D) (the “Final Default Provision”).</w:t>
      </w:r>
    </w:p>
    <w:p w:rsidR="00265092" w:rsidRPr="00265092" w:rsidRDefault="00265092" w:rsidP="00265092">
      <w:pPr>
        <w:pStyle w:val="QS10"/>
      </w:pPr>
      <w:r w:rsidRPr="00265092">
        <w:t>Like the earlier exercises, the 1986 Exercise contained a Perpetuities Provision. The terms of the Perpetuities Provision in the 1986 Exercise were substantively identical to the corresponding provision in the 1983 Exercise.</w:t>
      </w:r>
    </w:p>
    <w:p w:rsidR="00265092" w:rsidRPr="00265092" w:rsidRDefault="00265092" w:rsidP="00265092">
      <w:pPr>
        <w:pStyle w:val="QS10"/>
      </w:pPr>
      <w:r w:rsidRPr="00265092">
        <w:t>The Trustee executed the 1986 Exercise in its capacity as trustee, thereby acknowledging its existence. The Trustee also agreed to “act in accordance with its terms.” Mills Reply Br. Ex. B at 18.</w:t>
      </w:r>
    </w:p>
    <w:p w:rsidR="003A245C" w:rsidRDefault="003A245C" w:rsidP="00BA4F80">
      <w:pPr>
        <w:pStyle w:val="Body15"/>
      </w:pPr>
      <w:r>
        <w:t xml:space="preserve">Alice died in 2002 and in 2006 Phyllis attempted to exercise the power of appointment she had been given by Alice.  This exercise the </w:t>
      </w:r>
      <w:r w:rsidR="00265092">
        <w:t xml:space="preserve">court </w:t>
      </w:r>
      <w:r>
        <w:t>described like this:</w:t>
      </w:r>
    </w:p>
    <w:p w:rsidR="00A9194C" w:rsidRPr="00A9194C" w:rsidRDefault="00A9194C" w:rsidP="00A9194C">
      <w:pPr>
        <w:pStyle w:val="QS10"/>
      </w:pPr>
      <w:r w:rsidRPr="00A9194C">
        <w:t>The 2006 Exercise recognized the limited scope of the Original Limited Power. In a WHEREAS clause, it described that power of appointment accurately as follows:</w:t>
      </w:r>
    </w:p>
    <w:p w:rsidR="00A9194C" w:rsidRPr="00A9194C" w:rsidRDefault="00A9194C" w:rsidP="00A9194C">
      <w:pPr>
        <w:pStyle w:val="QS10"/>
        <w:ind w:left="2160"/>
      </w:pPr>
      <w:r w:rsidRPr="00A9194C">
        <w:t>[M]y grandfather conferred upon my mother a limited power to appoint the principal and undistributed income of Trust No 002108 as of the date of her death to and among her widower and/or her lawful issue in such manner and amounts and upon such trusts, terms and conditions as she appointed by the last instrument in writing that she executed and delivered during her lifetime to Trustee, or failing any such instrument, then by her Last Will and Testament....</w:t>
      </w:r>
    </w:p>
    <w:p w:rsidR="00A9194C" w:rsidRPr="00A9194C" w:rsidRDefault="00A9194C" w:rsidP="00A9194C">
      <w:pPr>
        <w:pStyle w:val="QS10"/>
      </w:pPr>
      <w:r w:rsidRPr="00A9194C">
        <w:t>Pet. Ex. C at 1. The 2006 Exercise thus recognized that the scope of the Original Limited Power extended only to Alice's widower and lawful issue; it did not contain a grant of authority comparable to the Second Charitable Proviso.</w:t>
      </w:r>
    </w:p>
    <w:p w:rsidR="00A9194C" w:rsidRPr="00A9194C" w:rsidRDefault="00A9194C" w:rsidP="00A9194C">
      <w:pPr>
        <w:pStyle w:val="QS10"/>
      </w:pPr>
      <w:r w:rsidRPr="00A9194C">
        <w:t>The 2006 Exercise also recognized that the source of the Second Charitable Proviso was the 1986 Exercise. Another WHEREAS clause described the power of appointment granted by that instrument as follows:</w:t>
      </w:r>
    </w:p>
    <w:p w:rsidR="00A9194C" w:rsidRPr="00A9194C" w:rsidRDefault="00A9194C" w:rsidP="00A9194C">
      <w:pPr>
        <w:pStyle w:val="QS10"/>
        <w:ind w:left="2160"/>
      </w:pPr>
      <w:r w:rsidRPr="00A9194C">
        <w:t>[I]n Article SECOND (a)(1)(D)) of the instrument dated July 28, 1986, my mother conferred upon me a limited power to appoint the principal and undistributed income of my one-third share of Trust No 002108 held for my benefit in favor of my issue, or in favor of any organization or organizations to which deductible contributions may be made for purposes of federal income or estate tax laws, as I shall have appointed effectively by the last instrument in writing which I shall have executed and delivered to Trustee during my lifetime, or failing any such instrument, then by my Last Will and Testament.</w:t>
      </w:r>
    </w:p>
    <w:p w:rsidR="00A9194C" w:rsidRPr="00A9194C" w:rsidRDefault="00A9194C" w:rsidP="00A9194C">
      <w:pPr>
        <w:pStyle w:val="QS10"/>
      </w:pPr>
      <w:r w:rsidRPr="00A9194C">
        <w:rPr>
          <w:i/>
          <w:iCs/>
        </w:rPr>
        <w:t>Id.</w:t>
      </w:r>
      <w:r w:rsidRPr="00A9194C">
        <w:t> at 1-2. The 2006 Exercise thus captured the conflict between the Original Limited Power and the Second Charitable Proviso.</w:t>
      </w:r>
    </w:p>
    <w:p w:rsidR="00A9194C" w:rsidRPr="00A9194C" w:rsidRDefault="00A9194C" w:rsidP="00A9194C">
      <w:pPr>
        <w:pStyle w:val="QS10"/>
      </w:pPr>
      <w:r w:rsidRPr="00A9194C">
        <w:t>In the 2006 Exercise, Phyllis provided that the corpus of the Phyllis Trust would pass on her death, free from trust, to The Wyeth Foundation (the “Foundation”), as long as the Foundation was “then in existence and qualified ... as a charitable organization to which contributions are deductible.” </w:t>
      </w:r>
      <w:r w:rsidRPr="00A9194C">
        <w:rPr>
          <w:i/>
          <w:iCs/>
        </w:rPr>
        <w:t>Id.</w:t>
      </w:r>
      <w:r w:rsidRPr="00A9194C">
        <w:t> at 2. She further stated that if the Foundation “is not then in existence and so qualified, I direct the Trustee under said trust agreement to distribute the trust fund, free from trust, to such organization or organizations with comparable purposes then in existence and so qualified as the Trustee shall select.” </w:t>
      </w:r>
      <w:r w:rsidRPr="00A9194C">
        <w:rPr>
          <w:i/>
          <w:iCs/>
        </w:rPr>
        <w:t>Id.</w:t>
      </w:r>
    </w:p>
    <w:p w:rsidR="00A9194C" w:rsidRPr="00A9194C" w:rsidRDefault="00A9194C" w:rsidP="00A9194C">
      <w:pPr>
        <w:pStyle w:val="QS10"/>
      </w:pPr>
      <w:r w:rsidRPr="00A9194C">
        <w:t>The Trustee acknowledged 2006 Exercise. Counsel for the Trustee reviewed the instrument and regarded it as a valid exercise of the Second Limited Power as expanded by the Second Charitable Proviso.</w:t>
      </w:r>
    </w:p>
    <w:p w:rsidR="00A9194C" w:rsidRPr="00A9194C" w:rsidRDefault="00A9194C" w:rsidP="00A9194C">
      <w:pPr>
        <w:pStyle w:val="QS10"/>
      </w:pPr>
      <w:r w:rsidRPr="00A9194C">
        <w:t>Phyllis died on January 14, 2019. She had no children. Her will appointed her husband, James B. Wyeth, as the executor of her estate (the “Estate”). To avoid confusion between James Mills and James Wyeth, this decision refers to the latter as the “Executor.”</w:t>
      </w:r>
    </w:p>
    <w:p w:rsidR="003A245C" w:rsidRDefault="003A245C" w:rsidP="00BA4F80">
      <w:pPr>
        <w:pStyle w:val="Body15"/>
      </w:pPr>
      <w:r>
        <w:t>Subsequent to Phyllis’s death, her brot</w:t>
      </w:r>
      <w:r w:rsidR="00265092">
        <w:t>h</w:t>
      </w:r>
      <w:r>
        <w:t>er James thinks to inquire whether her exercise to leave the trust assets (her one-third) was valid.  The court held that at common law the answer was no.  Further, a statute adopted after Phyllis had died in 2019 could not expand the power.  The opinion states:</w:t>
      </w:r>
    </w:p>
    <w:p w:rsidR="00A9194C" w:rsidRPr="00A9194C" w:rsidRDefault="00A9194C" w:rsidP="00A9194C">
      <w:pPr>
        <w:pStyle w:val="QS10"/>
        <w:rPr>
          <w:color w:val="000000" w:themeColor="text1"/>
          <w:szCs w:val="20"/>
        </w:rPr>
      </w:pPr>
      <w:r w:rsidRPr="00A9194C">
        <w:rPr>
          <w:color w:val="000000" w:themeColor="text1"/>
          <w:szCs w:val="20"/>
        </w:rPr>
        <w:t>The parties dispute whether Phyllis could rely on the Second Charitable Proviso to exercise the Second Limited Power for the benefit of the Foundation. As a matter of law, she could not.</w:t>
      </w:r>
    </w:p>
    <w:p w:rsidR="00A9194C" w:rsidRPr="00A9194C" w:rsidRDefault="00A9194C" w:rsidP="00A9194C">
      <w:pPr>
        <w:pStyle w:val="QS10"/>
        <w:rPr>
          <w:color w:val="000000" w:themeColor="text1"/>
          <w:szCs w:val="20"/>
        </w:rPr>
      </w:pPr>
      <w:r w:rsidRPr="00A9194C">
        <w:rPr>
          <w:color w:val="000000" w:themeColor="text1"/>
          <w:szCs w:val="20"/>
        </w:rPr>
        <w:t>Under the common law rule, the holder of a power of appointment (the “first generation” or “original” power of appointment) can use that power to create a further power of appointment (the “second generation” or “derivative” power of appointment). As a matter of law, the holder of the first generation power of appointment cannot create a second generation power of appointment that confers greater authority than the first generation power of appointment. If the first generation power of appointment is a limited power, then those limitations apply to the second generation power of appointment and to any additional derivative powers of appointment that the second generation holder or subsequent holders may create. Each power holder can create a derivative power of appointment with lesser powers by imposing additional restrictions or limitations on the derivative power, but a power holder cannot create a derivative power of appointment that expands the power beyond the grant of authority that the power holder received.</w:t>
      </w:r>
      <w:hyperlink r:id="rId464" w:anchor="co_footnote_B00052053892229" w:history="1">
        <w:r w:rsidRPr="00A9194C">
          <w:rPr>
            <w:rStyle w:val="Hyperlink"/>
            <w:color w:val="000000" w:themeColor="text1"/>
            <w:szCs w:val="20"/>
            <w:vertAlign w:val="superscript"/>
          </w:rPr>
          <w:t>5</w:t>
        </w:r>
      </w:hyperlink>
    </w:p>
    <w:p w:rsidR="00A9194C" w:rsidRPr="00A9194C" w:rsidRDefault="00A9194C" w:rsidP="00A9194C">
      <w:pPr>
        <w:pStyle w:val="QS10"/>
        <w:rPr>
          <w:color w:val="000000" w:themeColor="text1"/>
          <w:szCs w:val="20"/>
        </w:rPr>
      </w:pPr>
      <w:r w:rsidRPr="00A9194C">
        <w:rPr>
          <w:color w:val="000000" w:themeColor="text1"/>
          <w:szCs w:val="20"/>
        </w:rPr>
        <w:t>Under the common law rule, if the settlor of a trust creates a first generation power of appointment and stated that the power only could be used to appoint the corpus of the trust in favor of a limited class of persons (the “appointees” or “objects” of the power), then the holder of that power can use it to create a second generation power of appointment in favor of any permissible appointee of the first generation power. However, the holder cannot expand the scope of the second generation power beyond the first by adding additional objects. </w:t>
      </w:r>
      <w:r w:rsidRPr="00A9194C">
        <w:rPr>
          <w:rStyle w:val="Emphasis"/>
          <w:color w:val="000000" w:themeColor="text1"/>
          <w:szCs w:val="20"/>
        </w:rPr>
        <w:t>See Foulke</w:t>
      </w:r>
      <w:r w:rsidRPr="00A9194C">
        <w:rPr>
          <w:color w:val="000000" w:themeColor="text1"/>
          <w:szCs w:val="20"/>
        </w:rPr>
        <w:t>, 40 A.2d at 716; Simes and Smith, </w:t>
      </w:r>
      <w:r w:rsidRPr="00A9194C">
        <w:rPr>
          <w:rStyle w:val="Emphasis"/>
          <w:color w:val="000000" w:themeColor="text1"/>
          <w:szCs w:val="20"/>
        </w:rPr>
        <w:t>supra</w:t>
      </w:r>
      <w:r w:rsidRPr="00A9194C">
        <w:rPr>
          <w:color w:val="000000" w:themeColor="text1"/>
          <w:szCs w:val="20"/>
        </w:rPr>
        <w:t>, § 977.</w:t>
      </w:r>
    </w:p>
    <w:p w:rsidR="00A9194C" w:rsidRPr="00A9194C" w:rsidRDefault="00A9194C" w:rsidP="00A9194C">
      <w:pPr>
        <w:pStyle w:val="QS10"/>
        <w:rPr>
          <w:color w:val="000000" w:themeColor="text1"/>
          <w:szCs w:val="20"/>
        </w:rPr>
      </w:pPr>
      <w:r w:rsidRPr="00A9194C">
        <w:rPr>
          <w:color w:val="000000" w:themeColor="text1"/>
          <w:szCs w:val="20"/>
        </w:rPr>
        <w:t>The same rule applies to the holder of the second generation power of appointment. The holder of that power can use it to create a third generation power of appointment in favor of any of the permissible appointees of the second generation power, but the holder cannot expand the scope of the third generation power beyond the scope of the second (or the first) by adding additional objects.</w:t>
      </w:r>
    </w:p>
    <w:p w:rsidR="00A9194C" w:rsidRPr="00A9194C" w:rsidRDefault="00A9194C" w:rsidP="00A9194C">
      <w:pPr>
        <w:pStyle w:val="QS10"/>
        <w:rPr>
          <w:color w:val="000000" w:themeColor="text1"/>
          <w:szCs w:val="20"/>
        </w:rPr>
      </w:pPr>
      <w:r w:rsidRPr="00A9194C">
        <w:rPr>
          <w:color w:val="000000" w:themeColor="text1"/>
          <w:szCs w:val="20"/>
        </w:rPr>
        <w:t>The common law rule applied in Delaware when Felix created the Original Limited Power, when Alice executed the four instruments that exercised the Original Limited Power (including the operative 1986 Exercise), and when Phyllis executed the 2006 Exercise. Under the common law rule, Phyllis could not exercise a power of appointment in favor of the Foundation. The Trust Agreement only authorized the holder of the Original Limited Power to exercise the power in favor of Alice's widower or her lawful issue. Alice could and did exercise her authority under the Original Limited Power to create the Second Limited Power, but she could not expand the class of appointees who could be objects of the Second Limited Power. When Phyllis attempted to exercise the Second Limited Power in favor of the Foundation, she exercised it in favor of an appointee that was not contemplated by the Original Limited Power. The attempted appointment therefore failed.</w:t>
      </w:r>
    </w:p>
    <w:p w:rsidR="00A9194C" w:rsidRPr="00A9194C" w:rsidRDefault="00A9194C" w:rsidP="00A9194C">
      <w:pPr>
        <w:pStyle w:val="QS10"/>
        <w:rPr>
          <w:color w:val="000000" w:themeColor="text1"/>
          <w:szCs w:val="20"/>
        </w:rPr>
      </w:pPr>
      <w:r w:rsidRPr="00A9194C">
        <w:rPr>
          <w:rStyle w:val="Strong"/>
          <w:color w:val="000000" w:themeColor="text1"/>
          <w:szCs w:val="20"/>
        </w:rPr>
        <w:t>1. The Trust Agreement Did Not Authorize A Power Holder To Add Appointees</w:t>
      </w:r>
    </w:p>
    <w:p w:rsidR="00A9194C" w:rsidRPr="00A9194C" w:rsidRDefault="00A9194C" w:rsidP="00A9194C">
      <w:pPr>
        <w:pStyle w:val="QS10"/>
        <w:rPr>
          <w:color w:val="000000" w:themeColor="text1"/>
          <w:szCs w:val="20"/>
        </w:rPr>
      </w:pPr>
      <w:r w:rsidRPr="00A9194C">
        <w:rPr>
          <w:color w:val="000000" w:themeColor="text1"/>
          <w:szCs w:val="20"/>
        </w:rPr>
        <w:t>The common law rule against permitting a power holder to add appointees is a default rule. A settlor can deviate from the common law rule by including express language in the first generation power of appointment that permits the power holder to add appointees. The common law authorities framed the rule as a presumption against the power to add appointees, which the power holder could overcome by pointing to language in the instrument that supported the existence of that power. </w:t>
      </w:r>
      <w:r w:rsidRPr="00A9194C">
        <w:rPr>
          <w:rStyle w:val="Emphasis"/>
          <w:color w:val="000000" w:themeColor="text1"/>
          <w:szCs w:val="20"/>
        </w:rPr>
        <w:t>See</w:t>
      </w:r>
      <w:r w:rsidRPr="00A9194C">
        <w:rPr>
          <w:color w:val="000000" w:themeColor="text1"/>
          <w:szCs w:val="20"/>
        </w:rPr>
        <w:t> Restatement (Third) § 19.14.</w:t>
      </w:r>
    </w:p>
    <w:p w:rsidR="00A9194C" w:rsidRPr="00A9194C" w:rsidRDefault="00A9194C" w:rsidP="00A9194C">
      <w:pPr>
        <w:pStyle w:val="QS10"/>
        <w:rPr>
          <w:color w:val="000000" w:themeColor="text1"/>
          <w:szCs w:val="20"/>
        </w:rPr>
      </w:pPr>
      <w:r w:rsidRPr="00A9194C">
        <w:rPr>
          <w:color w:val="000000" w:themeColor="text1"/>
          <w:szCs w:val="20"/>
        </w:rPr>
        <w:t>The Foundation claims that the Trust Agreement contained language sufficient to overcome the presumption, but that view rests on a motivated reading of the Trust Agreement. According to the Foundation, the Original Limited Power empowered Alice to add appointees because it provided that the trust fund would be conveyed “in such manner and amounts and upon such trusts, terms and conditions as [Alice] shall have appointed.” Pet. Ex. A § 1. The Foundation contends that this language included the power to add appointees.</w:t>
      </w:r>
    </w:p>
    <w:p w:rsidR="00A9194C" w:rsidRPr="00A9194C" w:rsidRDefault="00A9194C" w:rsidP="00A9194C">
      <w:pPr>
        <w:pStyle w:val="QS10"/>
        <w:rPr>
          <w:color w:val="000000" w:themeColor="text1"/>
          <w:szCs w:val="20"/>
        </w:rPr>
      </w:pPr>
      <w:r w:rsidRPr="00A9194C">
        <w:rPr>
          <w:color w:val="000000" w:themeColor="text1"/>
          <w:szCs w:val="20"/>
        </w:rPr>
        <w:t>In making this argument, the Foundation fails to distinguish between the object of a power, i.e. the permissible appointees, and the form of property interest that the object of a power can receive, i.e. property free from trust, in trust, or subject to other terms, conditions, and limitations. </w:t>
      </w:r>
      <w:r w:rsidRPr="00A9194C">
        <w:rPr>
          <w:rStyle w:val="Emphasis"/>
          <w:color w:val="000000" w:themeColor="text1"/>
          <w:szCs w:val="20"/>
        </w:rPr>
        <w:t>See Equitable Tr. Co. v. James</w:t>
      </w:r>
      <w:r w:rsidRPr="00A9194C">
        <w:rPr>
          <w:color w:val="000000" w:themeColor="text1"/>
          <w:szCs w:val="20"/>
        </w:rPr>
        <w:t>, 47 A.2d 303, 306 (Del. Ch. 1946). The two concepts are distinct. The first refers to the recipient of the property. The second refers to the extent of the property interest that the recipient receives, traditionally described as the quantum of the estate. </w:t>
      </w:r>
      <w:r w:rsidRPr="00A9194C">
        <w:rPr>
          <w:rStyle w:val="Emphasis"/>
          <w:color w:val="000000" w:themeColor="text1"/>
          <w:szCs w:val="20"/>
        </w:rPr>
        <w:t>See id.</w:t>
      </w:r>
      <w:r w:rsidRPr="00A9194C">
        <w:rPr>
          <w:color w:val="000000" w:themeColor="text1"/>
          <w:szCs w:val="20"/>
        </w:rPr>
        <w:t>; </w:t>
      </w:r>
      <w:r w:rsidRPr="00A9194C">
        <w:rPr>
          <w:rStyle w:val="Emphasis"/>
          <w:color w:val="000000" w:themeColor="text1"/>
          <w:szCs w:val="20"/>
        </w:rPr>
        <w:t>Wilmington Tr. Co. v. Wilmington Tr. Co.,</w:t>
      </w:r>
      <w:r w:rsidRPr="00A9194C">
        <w:rPr>
          <w:color w:val="000000" w:themeColor="text1"/>
          <w:szCs w:val="20"/>
        </w:rPr>
        <w:t> 180 A. 597, 602 (Del. Ch. 1935), </w:t>
      </w:r>
      <w:r w:rsidRPr="00A9194C">
        <w:rPr>
          <w:rStyle w:val="Emphasis"/>
          <w:color w:val="000000" w:themeColor="text1"/>
          <w:szCs w:val="20"/>
        </w:rPr>
        <w:t>modified on other grounds,</w:t>
      </w:r>
      <w:r w:rsidRPr="00A9194C">
        <w:rPr>
          <w:color w:val="000000" w:themeColor="text1"/>
          <w:szCs w:val="20"/>
        </w:rPr>
        <w:t> 186 A. 903 (Del. Ch. 1936). A grantor can create a power of appointment that is general as to its objects but limited as to the quantum of estate that the holder can confer. Or a grantor can create a power of appointment that is limited as to its objects, but unlimited as to the quantum of estate that the holder can confer. </w:t>
      </w:r>
      <w:r w:rsidRPr="00A9194C">
        <w:rPr>
          <w:rStyle w:val="Emphasis"/>
          <w:color w:val="000000" w:themeColor="text1"/>
          <w:szCs w:val="20"/>
        </w:rPr>
        <w:t>See Foulke</w:t>
      </w:r>
      <w:r w:rsidRPr="00A9194C">
        <w:rPr>
          <w:color w:val="000000" w:themeColor="text1"/>
          <w:szCs w:val="20"/>
        </w:rPr>
        <w:t>, 40 A.2d at 717.</w:t>
      </w:r>
    </w:p>
    <w:p w:rsidR="00A9194C" w:rsidRDefault="00A9194C" w:rsidP="00A9194C">
      <w:pPr>
        <w:pStyle w:val="QS10"/>
        <w:rPr>
          <w:color w:val="000000" w:themeColor="text1"/>
          <w:szCs w:val="20"/>
        </w:rPr>
      </w:pPr>
      <w:r w:rsidRPr="00A9194C">
        <w:rPr>
          <w:color w:val="000000" w:themeColor="text1"/>
          <w:szCs w:val="20"/>
        </w:rPr>
        <w:t>Through the Original Limited Power, the Trust Agreement conferred on Alice a power of appointment that was limited as to its objects (her widow or lawful issue) but unlimited as to the quantum of estate that she could confer on those objects (“in such manner and amounts and upon such trusts, terms and conditions as [Alice] shall have appointed”). The language that the Foundation cites only addressed the quantum of estate. It did not address the permissible objects. The language therefore did not authorize Alice to create additional objects, as she attempted to do through the Second Charitable Proviso.</w:t>
      </w:r>
    </w:p>
    <w:p w:rsidR="003A245C" w:rsidRDefault="003A245C" w:rsidP="00A9194C">
      <w:pPr>
        <w:pStyle w:val="QS10"/>
        <w:jc w:val="center"/>
      </w:pPr>
      <w:r>
        <w:t>* * *</w:t>
      </w:r>
    </w:p>
    <w:p w:rsidR="00A9194C" w:rsidRPr="00A9194C" w:rsidRDefault="00A9194C" w:rsidP="00A9194C">
      <w:pPr>
        <w:pStyle w:val="QS10"/>
        <w:rPr>
          <w:color w:val="000000" w:themeColor="text1"/>
          <w:szCs w:val="20"/>
        </w:rPr>
      </w:pPr>
      <w:r w:rsidRPr="00A9194C">
        <w:rPr>
          <w:color w:val="000000" w:themeColor="text1"/>
          <w:szCs w:val="20"/>
        </w:rPr>
        <w:t>Consistent with the common law rule, the 2014 version of </w:t>
      </w:r>
      <w:r w:rsidRPr="009E6B0D">
        <w:rPr>
          <w:color w:val="000000" w:themeColor="text1"/>
          <w:szCs w:val="20"/>
        </w:rPr>
        <w:t>Section 505(a)</w:t>
      </w:r>
      <w:r w:rsidRPr="00A9194C">
        <w:rPr>
          <w:color w:val="000000" w:themeColor="text1"/>
          <w:szCs w:val="20"/>
        </w:rPr>
        <w:t> continued only to permit the holder a limited power of appointment—now termed a nongeneral power of appointment— “to appoint such assets among objects all of whom are objects of the original power.” The power holder remained unable to expand the scope of the power of appointment by adding new objects.</w:t>
      </w:r>
    </w:p>
    <w:p w:rsidR="00A9194C" w:rsidRPr="00A9194C" w:rsidRDefault="00A9194C" w:rsidP="00A9194C">
      <w:pPr>
        <w:pStyle w:val="QS10"/>
        <w:rPr>
          <w:color w:val="000000" w:themeColor="text1"/>
          <w:szCs w:val="20"/>
        </w:rPr>
      </w:pPr>
      <w:r w:rsidRPr="00A9194C">
        <w:rPr>
          <w:color w:val="000000" w:themeColor="text1"/>
          <w:szCs w:val="20"/>
        </w:rPr>
        <w:t>Effective June 19, 2019, after Phyllis died and this dispute arose, the General Assembly amended Section 505(a) again, this time to add the Appointee Expansion Statute. As a result of the amendment, Section 505(a) currently states:</w:t>
      </w:r>
    </w:p>
    <w:p w:rsidR="00A9194C" w:rsidRPr="00A9194C" w:rsidRDefault="00A9194C" w:rsidP="009E6B0D">
      <w:pPr>
        <w:pStyle w:val="QS10"/>
        <w:ind w:left="2160"/>
        <w:rPr>
          <w:color w:val="000000" w:themeColor="text1"/>
          <w:szCs w:val="20"/>
        </w:rPr>
      </w:pPr>
      <w:r w:rsidRPr="00A9194C">
        <w:rPr>
          <w:color w:val="000000" w:themeColor="text1"/>
          <w:szCs w:val="20"/>
        </w:rPr>
        <w:t>Unless the instrument creating a nongeneral power of appointment expressly manifests a contrary intent of the donor, the donee of such a power, in addition to exercising the power in any other manner permitted by law and the instrument creating the power, may effectively appoint all or a portion of the assets subject to such power to a trustee or trustees for the benefit of 1 or more objects of the power and may, in addition, create in an object of the power a general or nongeneral power of appointment, exercisable during life or at death, over assets subject to the original power o</w:t>
      </w:r>
      <w:r w:rsidRPr="00A9194C">
        <w:rPr>
          <w:rStyle w:val="Emphasis"/>
          <w:color w:val="000000" w:themeColor="text1"/>
          <w:szCs w:val="20"/>
        </w:rPr>
        <w:t>r may create in a person who is not an object of the power</w:t>
      </w:r>
      <w:r w:rsidRPr="00A9194C">
        <w:rPr>
          <w:color w:val="000000" w:themeColor="text1"/>
          <w:szCs w:val="20"/>
        </w:rPr>
        <w:t> a nongeneral power of appointment, exercisable during life or at death, to appoint such assets among objects all of whom are objects of the original power.</w:t>
      </w:r>
    </w:p>
    <w:p w:rsidR="00A9194C" w:rsidRPr="00A9194C" w:rsidRDefault="00A9194C" w:rsidP="00A9194C">
      <w:pPr>
        <w:pStyle w:val="QS10"/>
        <w:rPr>
          <w:color w:val="000000" w:themeColor="text1"/>
          <w:szCs w:val="20"/>
        </w:rPr>
      </w:pPr>
      <w:r w:rsidRPr="009E6B0D">
        <w:rPr>
          <w:color w:val="000000" w:themeColor="text1"/>
          <w:szCs w:val="20"/>
        </w:rPr>
        <w:t>25 </w:t>
      </w:r>
      <w:r w:rsidRPr="00A9194C">
        <w:rPr>
          <w:rStyle w:val="Emphasis"/>
          <w:color w:val="000000" w:themeColor="text1"/>
          <w:szCs w:val="20"/>
        </w:rPr>
        <w:t>Del</w:t>
      </w:r>
      <w:r w:rsidRPr="009E6B0D">
        <w:rPr>
          <w:color w:val="000000" w:themeColor="text1"/>
          <w:szCs w:val="20"/>
        </w:rPr>
        <w:t>. </w:t>
      </w:r>
      <w:r w:rsidRPr="00A9194C">
        <w:rPr>
          <w:rStyle w:val="Emphasis"/>
          <w:color w:val="000000" w:themeColor="text1"/>
          <w:szCs w:val="20"/>
        </w:rPr>
        <w:t>C</w:t>
      </w:r>
      <w:r w:rsidRPr="009E6B0D">
        <w:rPr>
          <w:color w:val="000000" w:themeColor="text1"/>
          <w:szCs w:val="20"/>
        </w:rPr>
        <w:t>. § 505(a) (2019)</w:t>
      </w:r>
      <w:r w:rsidRPr="00A9194C">
        <w:rPr>
          <w:color w:val="000000" w:themeColor="text1"/>
          <w:szCs w:val="20"/>
        </w:rPr>
        <w:t>. The Appointee Expansion Statute changed the law so that future power holders in Alice's and Phyllis's positions would be able to use a limited power of appointment to create a power of appointment “in a person who is not an object of the power.”</w:t>
      </w:r>
    </w:p>
    <w:p w:rsidR="00A9194C" w:rsidRPr="00A9194C" w:rsidRDefault="00A9194C" w:rsidP="00A9194C">
      <w:pPr>
        <w:pStyle w:val="QS10"/>
        <w:rPr>
          <w:color w:val="000000" w:themeColor="text1"/>
          <w:szCs w:val="20"/>
        </w:rPr>
      </w:pPr>
      <w:r w:rsidRPr="00A9194C">
        <w:rPr>
          <w:color w:val="000000" w:themeColor="text1"/>
          <w:szCs w:val="20"/>
        </w:rPr>
        <w:t>The enactment of the Appointee Expansion Statute does not change the result in this case. The history of </w:t>
      </w:r>
      <w:r w:rsidRPr="009E6B0D">
        <w:rPr>
          <w:color w:val="000000" w:themeColor="text1"/>
          <w:szCs w:val="20"/>
        </w:rPr>
        <w:t>Section 505</w:t>
      </w:r>
      <w:r w:rsidRPr="00A9194C">
        <w:rPr>
          <w:color w:val="000000" w:themeColor="text1"/>
          <w:szCs w:val="20"/>
        </w:rPr>
        <w:t> shows that in 2003, the General Assembly initially codified the common law rule, reinforcing the conclusion that when Phyllis executed the 2006 Exercise, she could not appoint her trust to an appointee outside the scope of the Original Limited Power. The attempt to appoint the Foundation as the recipient of the trust corpus was therefore invalid.</w:t>
      </w:r>
    </w:p>
    <w:p w:rsidR="00A9194C" w:rsidRPr="00A9194C" w:rsidRDefault="00A9194C" w:rsidP="00A9194C">
      <w:pPr>
        <w:pStyle w:val="QS10"/>
        <w:rPr>
          <w:color w:val="000000" w:themeColor="text1"/>
          <w:szCs w:val="20"/>
        </w:rPr>
      </w:pPr>
      <w:r w:rsidRPr="00A9194C">
        <w:rPr>
          <w:color w:val="000000" w:themeColor="text1"/>
          <w:szCs w:val="20"/>
        </w:rPr>
        <w:t>The enactment of the Appointee Expansion Statute demonstrates instead that it required a change in the law to authorize what Phyllis attempted to do. A statute was not necessary; a court ruling could have altered the common law rule. Some change in the law, however, was needed.</w:t>
      </w:r>
      <w:hyperlink r:id="rId465" w:anchor="co_footnote_B00072053892229" w:history="1">
        <w:r w:rsidRPr="00A9194C">
          <w:rPr>
            <w:rStyle w:val="Hyperlink"/>
            <w:color w:val="000000" w:themeColor="text1"/>
            <w:szCs w:val="20"/>
            <w:vertAlign w:val="superscript"/>
          </w:rPr>
          <w:t>7</w:t>
        </w:r>
      </w:hyperlink>
    </w:p>
    <w:p w:rsidR="009E6B0D" w:rsidRPr="009E6B0D" w:rsidRDefault="009E6B0D" w:rsidP="009E6B0D">
      <w:pPr>
        <w:pStyle w:val="Heading20"/>
        <w:numPr>
          <w:ilvl w:val="1"/>
          <w:numId w:val="33"/>
        </w:numPr>
        <w:tabs>
          <w:tab w:val="clear" w:pos="2700"/>
        </w:tabs>
        <w:spacing w:before="240"/>
        <w:ind w:left="0"/>
        <w:rPr>
          <w:vanish/>
          <w:specVanish/>
        </w:rPr>
      </w:pPr>
      <w:bookmarkStart w:id="824" w:name="_Toc94704714"/>
      <w:r>
        <w:rPr>
          <w:b/>
          <w:u w:val="single"/>
        </w:rPr>
        <w:t>Trust Termination Would Violate Material Purpose (Nebraska)</w:t>
      </w:r>
      <w:bookmarkEnd w:id="824"/>
    </w:p>
    <w:p w:rsidR="003A245C" w:rsidRDefault="009E6B0D" w:rsidP="009E6B0D">
      <w:pPr>
        <w:pStyle w:val="Heading2Body"/>
      </w:pPr>
      <w:r>
        <w:t xml:space="preserve">.  The court in </w:t>
      </w:r>
      <w:r>
        <w:rPr>
          <w:u w:val="single"/>
        </w:rPr>
        <w:t>In re McGregor</w:t>
      </w:r>
      <w:r w:rsidR="003855A0">
        <w:t>, 3</w:t>
      </w:r>
      <w:r>
        <w:t xml:space="preserve">08 Neb. 405 (Ne. 2021), concluded terminating a spendthrift trust would violate a material purpose.  </w:t>
      </w:r>
    </w:p>
    <w:p w:rsidR="002623D2" w:rsidRDefault="009E6B0D" w:rsidP="00BA4F80">
      <w:pPr>
        <w:pStyle w:val="Body15"/>
      </w:pPr>
      <w:r>
        <w:t>Husband (Clifford) died, and t</w:t>
      </w:r>
      <w:r w:rsidR="003855A0">
        <w:t>h</w:t>
      </w:r>
      <w:r>
        <w:t>e relevant trust was</w:t>
      </w:r>
      <w:r w:rsidR="002F3325">
        <w:t xml:space="preserve"> for</w:t>
      </w:r>
      <w:r>
        <w:t xml:space="preserve"> Evelyn (wife/mother)’s benefit and then for t</w:t>
      </w:r>
      <w:r w:rsidR="003855A0">
        <w:t>h</w:t>
      </w:r>
      <w:r>
        <w:t>eir children.  The court describes the trust as follows:</w:t>
      </w:r>
    </w:p>
    <w:p w:rsidR="002F3325" w:rsidRPr="002F3325" w:rsidRDefault="002F3325" w:rsidP="002F3325">
      <w:pPr>
        <w:pStyle w:val="QS10"/>
      </w:pPr>
      <w:r w:rsidRPr="002F3325">
        <w:t>Evelyn retained all net income generated from the real estate owned by the Family Trust and paid all real estate expenses, such as real estate taxes and income taxes.</w:t>
      </w:r>
    </w:p>
    <w:p w:rsidR="002F3325" w:rsidRPr="002F3325" w:rsidRDefault="002F3325" w:rsidP="002F3325">
      <w:pPr>
        <w:pStyle w:val="QS10"/>
      </w:pPr>
      <w:r w:rsidRPr="002F3325">
        <w:t>The Family Trust creates separate “carve-out” trusts for Clifford and Evelyn's two children, Allen and Debra L. Schardt (Debra). Upon Evelyn's death, the rest and residue of the Family Trust is to be equally distributed to the separate carve-out trusts, which are named the “Allen Eugene McGregor Family Trust” and the “Debra Louise Schardt Family Trust.” The Family Trust states that it is Clifford's intent, to the extent possible, to treat the children equally. If the Family Trust contains sufficient funds, the value of the distributions to the separate carve-out trusts will be equalized. However, if there are insufficient funds, the distributions will not be equalized.</w:t>
      </w:r>
    </w:p>
    <w:p w:rsidR="002F3325" w:rsidRPr="002F3325" w:rsidRDefault="002F3325" w:rsidP="002F3325">
      <w:pPr>
        <w:pStyle w:val="QS10"/>
      </w:pPr>
      <w:r w:rsidRPr="002F3325">
        <w:t>Allen and Debra are to become the trustee of his or her respective trust. The trust instrument states that the assets of the carve-out trusts “shall remain in trust” and that the trusts “shall be irrevocable and shall not be revoked or amended in whole or in part by the trustee, beneficiary or any other person.” In the event of the death, resignation, or inability of a trustee of a carve-out trust, the Family Trust contains provisions to select a successor trustee, which could include a survivor of Allen and Debra, or a designated corporation or bank.</w:t>
      </w:r>
    </w:p>
    <w:p w:rsidR="002F3325" w:rsidRPr="002F3325" w:rsidRDefault="002F3325" w:rsidP="002F3325">
      <w:pPr>
        <w:pStyle w:val="QS10"/>
      </w:pPr>
      <w:r w:rsidRPr="002F3325">
        <w:t>Until the death of Allen or Debra, the trustee of his or her respective trust shall from time to time, in his or her discretion, pay for the health, education, support, or maintenance of his or her children or grandchildren. In distributing trust income, the trustee must give first priority to Allen or Debra and secondary priority to Allen's or Debra's respective children. The trust instrument states that it is Clifford's intent that each carve-out trust be construed as “a non-support discretionary spendthrift trust that may not be reached by the beneficiaries[’] creditors for any reason.” Upon the death of Allen or Debra, pursuant to a limited power of appointment, the trustee of the deceased's carve-out trust may transfer the remainder of the separate trust for the benefit of a person, corporation, or other entity, but it shall not be exercised in favor of Allen or Debra, his or her estate, or creditors of his or her estate.</w:t>
      </w:r>
    </w:p>
    <w:p w:rsidR="002F3325" w:rsidRPr="002F3325" w:rsidRDefault="002F3325" w:rsidP="002F3325">
      <w:pPr>
        <w:pStyle w:val="QS10"/>
      </w:pPr>
      <w:r w:rsidRPr="002F3325">
        <w:t>In May 2011, Evelyn, Allen, and Debra entered into a trust settlement agreement, which, upon Evelyn's death, provides for the distribution of the Family Trust's assets directly to Allen and Debra, free of trust. Per the agreement, Allen would receive an additional tract of real estate not distributed under the Family Trust. Further, the agreement requires an equalization payment between Allen and Debra. In May 2017, Evelyn emailed Allen, purporting to revoke the agreement.</w:t>
      </w:r>
    </w:p>
    <w:p w:rsidR="009E6B0D" w:rsidRDefault="009E6B0D" w:rsidP="00BA4F80">
      <w:pPr>
        <w:pStyle w:val="Body15"/>
      </w:pPr>
      <w:r>
        <w:t>The court concluded the agreement was unenforceable because the spendthrift provision</w:t>
      </w:r>
      <w:r w:rsidR="003855A0">
        <w:t>s</w:t>
      </w:r>
      <w:r>
        <w:t xml:space="preserve"> were a</w:t>
      </w:r>
      <w:r w:rsidR="003855A0">
        <w:t xml:space="preserve"> material purpose of the trust.  O</w:t>
      </w:r>
      <w:r>
        <w:t>f course, as a practical matter</w:t>
      </w:r>
      <w:r w:rsidR="003855A0">
        <w:t>,</w:t>
      </w:r>
      <w:r>
        <w:t xml:space="preserve"> had Evelyn not wanted to rescind the agreement it would been carried out in all likelihood.</w:t>
      </w:r>
    </w:p>
    <w:p w:rsidR="008B62AB" w:rsidRPr="008B62AB" w:rsidRDefault="008B62AB" w:rsidP="008B62AB">
      <w:pPr>
        <w:pStyle w:val="Heading20"/>
        <w:numPr>
          <w:ilvl w:val="1"/>
          <w:numId w:val="33"/>
        </w:numPr>
        <w:tabs>
          <w:tab w:val="clear" w:pos="2700"/>
        </w:tabs>
        <w:spacing w:before="240"/>
        <w:ind w:left="0"/>
        <w:rPr>
          <w:vanish/>
          <w:specVanish/>
        </w:rPr>
      </w:pPr>
      <w:bookmarkStart w:id="825" w:name="_Toc94704715"/>
      <w:r>
        <w:rPr>
          <w:b/>
          <w:u w:val="single"/>
        </w:rPr>
        <w:t>Conflicts of Law – Will</w:t>
      </w:r>
      <w:bookmarkEnd w:id="825"/>
    </w:p>
    <w:p w:rsidR="002623D2" w:rsidRDefault="008B62AB" w:rsidP="008B62AB">
      <w:pPr>
        <w:pStyle w:val="Heading2Body"/>
      </w:pPr>
      <w:r>
        <w:t xml:space="preserve">.  The case of </w:t>
      </w:r>
      <w:r>
        <w:rPr>
          <w:u w:val="single"/>
        </w:rPr>
        <w:t>In Re Estate of Marie G. Dow</w:t>
      </w:r>
      <w:r>
        <w:t xml:space="preserve">, </w:t>
      </w:r>
      <w:r w:rsidR="00ED5A47" w:rsidRPr="00ED5A47">
        <w:t>2021 WL 199619</w:t>
      </w:r>
      <w:r>
        <w:t xml:space="preserve"> (N.H. 2021), involves the pretermitted heirs statute of both New Hampshire and Massachusetts.  The decedent died in New Hampshire but her Will provided for Massachusetts law to govern.  The court recites these facts:</w:t>
      </w:r>
    </w:p>
    <w:p w:rsidR="0026790A" w:rsidRPr="0026790A" w:rsidRDefault="0026790A" w:rsidP="0026790A">
      <w:pPr>
        <w:pStyle w:val="QS10"/>
      </w:pPr>
      <w:r w:rsidRPr="0026790A">
        <w:t>Marie G. Dow executed her last will and testament on June 30, 2014. At that time, she was living in Massachusetts. She passed away on November 20, 2018, having moved to an assisted living facility in New Hampshire approximately a year earlier. Just prior to her death, she sold her real property in Massachusetts, and there is no dispute that her estate consists of only personal property. In addition to her son Christopher Dow and ex-daughter-in-law Leslie Dow, Marie G. Dow is survived by another son and her granddaughter. Her will provides, in pertinent part,</w:t>
      </w:r>
    </w:p>
    <w:p w:rsidR="0026790A" w:rsidRPr="0026790A" w:rsidRDefault="0026790A" w:rsidP="0026790A">
      <w:pPr>
        <w:pStyle w:val="QS10"/>
        <w:ind w:left="2160"/>
      </w:pPr>
      <w:r w:rsidRPr="0026790A">
        <w:rPr>
          <w:u w:val="single"/>
        </w:rPr>
        <w:t>[ARTICLE] SECOND:</w:t>
      </w:r>
      <w:r w:rsidRPr="0026790A">
        <w:t> All the rest, residue and remainder of my estate, real, personal and mixed, of which I may die, seized and possess, or to which I may be entitled at the time of my demise, wheresoever the same may be found (hereinafter called my “residuary estate”), I give, devise and bequeath to my daughter-in-law, LESLIE DOW ....</w:t>
      </w:r>
    </w:p>
    <w:p w:rsidR="0026790A" w:rsidRPr="0026790A" w:rsidRDefault="0026790A" w:rsidP="0026790A">
      <w:pPr>
        <w:pStyle w:val="QS10"/>
        <w:ind w:left="2448"/>
      </w:pPr>
      <w:r w:rsidRPr="0026790A">
        <w:t>If LESLIE DOW fails to survive me, then I hereby give, devise and bequeath my estate to my granddaughter ....</w:t>
      </w:r>
    </w:p>
    <w:p w:rsidR="0026790A" w:rsidRPr="0026790A" w:rsidRDefault="0026790A" w:rsidP="0026790A">
      <w:pPr>
        <w:pStyle w:val="QS10"/>
        <w:ind w:left="2160"/>
      </w:pPr>
      <w:r w:rsidRPr="0026790A">
        <w:t>....</w:t>
      </w:r>
    </w:p>
    <w:p w:rsidR="0026790A" w:rsidRPr="0026790A" w:rsidRDefault="0026790A" w:rsidP="0026790A">
      <w:pPr>
        <w:pStyle w:val="QS10"/>
        <w:ind w:left="2160"/>
      </w:pPr>
      <w:r w:rsidRPr="0026790A">
        <w:rPr>
          <w:u w:val="single"/>
        </w:rPr>
        <w:t>[ARTICLE] EIGHTH:</w:t>
      </w:r>
      <w:r w:rsidRPr="0026790A">
        <w:t> I have intentionally omitted to mention, or to devise or bequeath or give anything of which I may die seized and possessed, or to which I may be in any way entitled at the time of my decease, to any person or persons other than those mentioned in this my last Will and Testament.</w:t>
      </w:r>
    </w:p>
    <w:p w:rsidR="0026790A" w:rsidRPr="0026790A" w:rsidRDefault="0026790A" w:rsidP="0026790A">
      <w:pPr>
        <w:pStyle w:val="QS10"/>
        <w:ind w:left="2160"/>
      </w:pPr>
      <w:r w:rsidRPr="0026790A">
        <w:rPr>
          <w:u w:val="single"/>
        </w:rPr>
        <w:t>[ARTICLE] NINTH:</w:t>
      </w:r>
      <w:r w:rsidRPr="0026790A">
        <w:t> My estate is to be administered and enforced according to the laws of the Commonwealth of Massachusetts.</w:t>
      </w:r>
    </w:p>
    <w:p w:rsidR="008B62AB" w:rsidRDefault="008B62AB" w:rsidP="00BA4F80">
      <w:pPr>
        <w:pStyle w:val="Body15"/>
      </w:pPr>
      <w:r>
        <w:t xml:space="preserve">The first issue was which state’s law applied?  The court determined it would apply New </w:t>
      </w:r>
      <w:r w:rsidR="00EE0D00">
        <w:t>Hampshire</w:t>
      </w:r>
      <w:r>
        <w:t xml:space="preserve"> law:</w:t>
      </w:r>
    </w:p>
    <w:p w:rsidR="0026790A" w:rsidRDefault="0026790A" w:rsidP="0026790A">
      <w:pPr>
        <w:pStyle w:val="QS10"/>
        <w:rPr>
          <w:color w:val="000000" w:themeColor="text1"/>
          <w:szCs w:val="20"/>
        </w:rPr>
      </w:pPr>
      <w:r w:rsidRPr="0026790A">
        <w:rPr>
          <w:color w:val="000000" w:themeColor="text1"/>
          <w:szCs w:val="20"/>
        </w:rPr>
        <w:t>We first address whether the New Hampshire probate division erred in applying Massachusetts’ pretermitted heir statute, rather than New Hampshire's RSA 551:10, to the testator's will. On appeal, the petitioner argues that, despite the language of Article Ninth in his mother's will, RSA 551:10 applies because his mother was domiciled in New Hampshire at the time of her death and her estate consists of only personal property. The respondent argues that “[t]he intent of Marie G. Dow is clear,” (bolding and capitalization omitted), pursuant to Article Ninth of her will, that Massachusetts law should apply and asserts that New Hampshire “give[s] effect” to choice-of-law provisions in wills. We agree with the petitioner.</w:t>
      </w:r>
    </w:p>
    <w:p w:rsidR="008B62AB" w:rsidRDefault="008B62AB" w:rsidP="0026790A">
      <w:pPr>
        <w:pStyle w:val="QS10"/>
        <w:jc w:val="center"/>
      </w:pPr>
      <w:r>
        <w:t>* * *</w:t>
      </w:r>
    </w:p>
    <w:p w:rsidR="00C279C3" w:rsidRPr="00C279C3" w:rsidRDefault="00C279C3" w:rsidP="00C279C3">
      <w:pPr>
        <w:pStyle w:val="QS10"/>
        <w:rPr>
          <w:color w:val="000000" w:themeColor="text1"/>
          <w:szCs w:val="20"/>
        </w:rPr>
      </w:pPr>
      <w:r w:rsidRPr="00C279C3">
        <w:rPr>
          <w:color w:val="000000" w:themeColor="text1"/>
          <w:szCs w:val="20"/>
        </w:rPr>
        <w:t>We note that our prior case law, contemplating the applicability of New Hampshire's pretermitted heir statute where the facts implicated more than one jurisdiction, has not expressly dealt with a provision like that of Article Ninth in Marie G. Dow's will, expressing her intent to have her estate “administered and enforced according to the laws” of another state — the Commonwealth of Massachusetts. </w:t>
      </w:r>
      <w:r w:rsidRPr="00C279C3">
        <w:rPr>
          <w:color w:val="000000" w:themeColor="text1"/>
          <w:szCs w:val="20"/>
          <w:u w:val="single"/>
        </w:rPr>
        <w:t>See, e.g.</w:t>
      </w:r>
      <w:r w:rsidRPr="00C279C3">
        <w:rPr>
          <w:color w:val="000000" w:themeColor="text1"/>
          <w:szCs w:val="20"/>
        </w:rPr>
        <w:t>, </w:t>
      </w:r>
      <w:r w:rsidRPr="00C279C3">
        <w:rPr>
          <w:color w:val="000000" w:themeColor="text1"/>
          <w:szCs w:val="20"/>
          <w:u w:val="single"/>
        </w:rPr>
        <w:t>In re Estate of Rubert</w:t>
      </w:r>
      <w:r w:rsidRPr="00C279C3">
        <w:rPr>
          <w:color w:val="000000" w:themeColor="text1"/>
          <w:szCs w:val="20"/>
        </w:rPr>
        <w:t>, 139 N.H. at 276, 651 A.2d 937 (applying Virginia law to determine whether the plaintiff was a pretermitted heir entitled to an intestate share of the testator's personal property where the testator was domiciled in Virginia); </w:t>
      </w:r>
      <w:r w:rsidRPr="00C279C3">
        <w:rPr>
          <w:color w:val="000000" w:themeColor="text1"/>
          <w:szCs w:val="20"/>
          <w:u w:val="single"/>
        </w:rPr>
        <w:t>Royce</w:t>
      </w:r>
      <w:r w:rsidRPr="00C279C3">
        <w:rPr>
          <w:color w:val="000000" w:themeColor="text1"/>
          <w:szCs w:val="20"/>
        </w:rPr>
        <w:t>, 117 N.H. at 895, 897, 379 A.2d 1256; </w:t>
      </w:r>
      <w:r w:rsidRPr="00C279C3">
        <w:rPr>
          <w:color w:val="000000" w:themeColor="text1"/>
          <w:szCs w:val="20"/>
          <w:u w:val="single"/>
        </w:rPr>
        <w:t>cf</w:t>
      </w:r>
      <w:r w:rsidRPr="00C279C3">
        <w:rPr>
          <w:color w:val="000000" w:themeColor="text1"/>
          <w:szCs w:val="20"/>
        </w:rPr>
        <w:t>. </w:t>
      </w:r>
      <w:r w:rsidRPr="00C279C3">
        <w:rPr>
          <w:color w:val="000000" w:themeColor="text1"/>
          <w:szCs w:val="20"/>
          <w:u w:val="single"/>
        </w:rPr>
        <w:t>In re Farnsworth's Estate</w:t>
      </w:r>
      <w:r w:rsidRPr="00C279C3">
        <w:rPr>
          <w:color w:val="000000" w:themeColor="text1"/>
          <w:szCs w:val="20"/>
        </w:rPr>
        <w:t>, 109 N.H. at 15-19, 241 A.2d 204. While it is true that we attempt to give maximum effect to a testator's intent, </w:t>
      </w:r>
      <w:r w:rsidRPr="00C279C3">
        <w:rPr>
          <w:color w:val="000000" w:themeColor="text1"/>
          <w:szCs w:val="20"/>
          <w:u w:val="single"/>
        </w:rPr>
        <w:t>see</w:t>
      </w:r>
      <w:r w:rsidRPr="00C279C3">
        <w:rPr>
          <w:color w:val="000000" w:themeColor="text1"/>
          <w:szCs w:val="20"/>
        </w:rPr>
        <w:t> </w:t>
      </w:r>
      <w:r w:rsidRPr="00C279C3">
        <w:rPr>
          <w:color w:val="000000" w:themeColor="text1"/>
          <w:szCs w:val="20"/>
          <w:u w:val="single"/>
        </w:rPr>
        <w:t>In the Matter of Jackson</w:t>
      </w:r>
      <w:r w:rsidRPr="00C279C3">
        <w:rPr>
          <w:color w:val="000000" w:themeColor="text1"/>
          <w:szCs w:val="20"/>
        </w:rPr>
        <w:t>, 117 N.H. 898, 903, 379 A.2d 832 (1977), our law does not support the application here of another state's pretermitted heir statute independent of the governing law of the testator's domicile at death with respect to dispositions of personal property, </w:t>
      </w:r>
      <w:r w:rsidRPr="00C279C3">
        <w:rPr>
          <w:color w:val="000000" w:themeColor="text1"/>
          <w:szCs w:val="20"/>
          <w:u w:val="single"/>
        </w:rPr>
        <w:t>see</w:t>
      </w:r>
      <w:r w:rsidRPr="00C279C3">
        <w:rPr>
          <w:color w:val="000000" w:themeColor="text1"/>
          <w:szCs w:val="20"/>
        </w:rPr>
        <w:t> </w:t>
      </w:r>
      <w:r w:rsidRPr="00C279C3">
        <w:rPr>
          <w:color w:val="000000" w:themeColor="text1"/>
          <w:szCs w:val="20"/>
          <w:u w:val="single"/>
        </w:rPr>
        <w:t>In re Estate of Rubert</w:t>
      </w:r>
      <w:r w:rsidRPr="00C279C3">
        <w:rPr>
          <w:color w:val="000000" w:themeColor="text1"/>
          <w:szCs w:val="20"/>
        </w:rPr>
        <w:t>, 139 N.H. at 276, 651 A.2d 937; </w:t>
      </w:r>
      <w:r w:rsidRPr="00C279C3">
        <w:rPr>
          <w:color w:val="000000" w:themeColor="text1"/>
          <w:szCs w:val="20"/>
          <w:u w:val="single"/>
        </w:rPr>
        <w:t>see also</w:t>
      </w:r>
      <w:r w:rsidRPr="00C279C3">
        <w:rPr>
          <w:color w:val="000000" w:themeColor="text1"/>
          <w:szCs w:val="20"/>
        </w:rPr>
        <w:t> </w:t>
      </w:r>
      <w:r w:rsidRPr="00C279C3">
        <w:rPr>
          <w:color w:val="000000" w:themeColor="text1"/>
          <w:szCs w:val="20"/>
          <w:u w:val="single"/>
        </w:rPr>
        <w:t>Restatement (Second) Conflicts of Laws</w:t>
      </w:r>
      <w:r w:rsidRPr="00C279C3">
        <w:rPr>
          <w:color w:val="000000" w:themeColor="text1"/>
          <w:szCs w:val="20"/>
        </w:rPr>
        <w:t>, </w:t>
      </w:r>
      <w:r w:rsidRPr="00C279C3">
        <w:rPr>
          <w:color w:val="000000" w:themeColor="text1"/>
          <w:szCs w:val="20"/>
          <w:u w:val="single"/>
        </w:rPr>
        <w:t>supra</w:t>
      </w:r>
      <w:r w:rsidRPr="00C279C3">
        <w:rPr>
          <w:color w:val="000000" w:themeColor="text1"/>
          <w:szCs w:val="20"/>
        </w:rPr>
        <w:t> § 263(1), at 121. </w:t>
      </w:r>
      <w:r w:rsidRPr="00C279C3">
        <w:rPr>
          <w:color w:val="000000" w:themeColor="text1"/>
          <w:szCs w:val="20"/>
          <w:u w:val="single"/>
        </w:rPr>
        <w:t>But see</w:t>
      </w:r>
      <w:r w:rsidRPr="00C279C3">
        <w:rPr>
          <w:color w:val="000000" w:themeColor="text1"/>
          <w:szCs w:val="20"/>
        </w:rPr>
        <w:t> </w:t>
      </w:r>
      <w:r w:rsidRPr="00C279C3">
        <w:rPr>
          <w:color w:val="000000" w:themeColor="text1"/>
          <w:szCs w:val="20"/>
          <w:u w:val="single"/>
        </w:rPr>
        <w:t>Royce</w:t>
      </w:r>
      <w:r w:rsidRPr="00C279C3">
        <w:rPr>
          <w:color w:val="000000" w:themeColor="text1"/>
          <w:szCs w:val="20"/>
        </w:rPr>
        <w:t>, 117 N.H. at 896-97, 379 A.2d 1256 (creating an exception that was limited to the facts of that case).</w:t>
      </w:r>
    </w:p>
    <w:p w:rsidR="00C279C3" w:rsidRPr="00C279C3" w:rsidRDefault="00C279C3" w:rsidP="00C279C3">
      <w:pPr>
        <w:pStyle w:val="QS10"/>
        <w:rPr>
          <w:color w:val="000000" w:themeColor="text1"/>
          <w:szCs w:val="20"/>
        </w:rPr>
      </w:pPr>
      <w:r w:rsidRPr="00C279C3">
        <w:rPr>
          <w:color w:val="000000" w:themeColor="text1"/>
          <w:szCs w:val="20"/>
        </w:rPr>
        <w:t>Section 264 of the </w:t>
      </w:r>
      <w:r w:rsidRPr="00C279C3">
        <w:rPr>
          <w:color w:val="000000" w:themeColor="text1"/>
          <w:szCs w:val="20"/>
          <w:u w:val="single"/>
        </w:rPr>
        <w:t>Restatement (Second) Conflicts of Laws</w:t>
      </w:r>
      <w:r w:rsidRPr="00C279C3">
        <w:rPr>
          <w:color w:val="000000" w:themeColor="text1"/>
          <w:szCs w:val="20"/>
        </w:rPr>
        <w:t> supports a testator's ability, in bequeathing interests in personal property, to select the rules of construction of another state for use in construing the language of her will. </w:t>
      </w:r>
      <w:r w:rsidRPr="00C279C3">
        <w:rPr>
          <w:color w:val="000000" w:themeColor="text1"/>
          <w:szCs w:val="20"/>
          <w:u w:val="single"/>
        </w:rPr>
        <w:t>See</w:t>
      </w:r>
      <w:r w:rsidRPr="00C279C3">
        <w:rPr>
          <w:color w:val="000000" w:themeColor="text1"/>
          <w:szCs w:val="20"/>
        </w:rPr>
        <w:t> </w:t>
      </w:r>
      <w:r w:rsidRPr="00C279C3">
        <w:rPr>
          <w:color w:val="000000" w:themeColor="text1"/>
          <w:szCs w:val="20"/>
          <w:u w:val="single"/>
        </w:rPr>
        <w:t>Restatement (Second) Conflicts of Laws</w:t>
      </w:r>
      <w:r w:rsidRPr="00C279C3">
        <w:rPr>
          <w:color w:val="000000" w:themeColor="text1"/>
          <w:szCs w:val="20"/>
        </w:rPr>
        <w:t>, </w:t>
      </w:r>
      <w:r w:rsidRPr="00C279C3">
        <w:rPr>
          <w:color w:val="000000" w:themeColor="text1"/>
          <w:szCs w:val="20"/>
          <w:u w:val="single"/>
        </w:rPr>
        <w:t>supra</w:t>
      </w:r>
      <w:r w:rsidRPr="00C279C3">
        <w:rPr>
          <w:color w:val="000000" w:themeColor="text1"/>
          <w:szCs w:val="20"/>
        </w:rPr>
        <w:t> § 264(1), at 125 (“A will insofar as it bequeaths an interest in movables is construed in accordance with the local law of the state designated for this purpose in the will.”); </w:t>
      </w:r>
      <w:r w:rsidRPr="00C279C3">
        <w:rPr>
          <w:color w:val="000000" w:themeColor="text1"/>
          <w:szCs w:val="20"/>
          <w:u w:val="single"/>
        </w:rPr>
        <w:t>id</w:t>
      </w:r>
      <w:r w:rsidRPr="00C279C3">
        <w:rPr>
          <w:color w:val="000000" w:themeColor="text1"/>
          <w:szCs w:val="20"/>
        </w:rPr>
        <w:t>. § 264 cmt. </w:t>
      </w:r>
      <w:r w:rsidRPr="00C279C3">
        <w:rPr>
          <w:color w:val="000000" w:themeColor="text1"/>
          <w:szCs w:val="20"/>
          <w:u w:val="single"/>
        </w:rPr>
        <w:t>e</w:t>
      </w:r>
      <w:r w:rsidRPr="00C279C3">
        <w:rPr>
          <w:color w:val="000000" w:themeColor="text1"/>
          <w:szCs w:val="20"/>
        </w:rPr>
        <w:t> at 126-27 (“The forum will give effect to a provision in the will that it should be construed in accordance with the rules of construction of a particular state.”).</w:t>
      </w:r>
      <w:hyperlink r:id="rId466" w:anchor="co_footnote_B00042052805065" w:history="1">
        <w:r w:rsidRPr="00C279C3">
          <w:rPr>
            <w:rStyle w:val="Hyperlink"/>
            <w:color w:val="000000" w:themeColor="text1"/>
            <w:szCs w:val="20"/>
            <w:vertAlign w:val="superscript"/>
          </w:rPr>
          <w:t>4</w:t>
        </w:r>
      </w:hyperlink>
      <w:r w:rsidRPr="00C279C3">
        <w:rPr>
          <w:color w:val="000000" w:themeColor="text1"/>
          <w:szCs w:val="20"/>
        </w:rPr>
        <w:t> We have not expressly adopted this section of the </w:t>
      </w:r>
      <w:r w:rsidRPr="00C279C3">
        <w:rPr>
          <w:color w:val="000000" w:themeColor="text1"/>
          <w:szCs w:val="20"/>
          <w:u w:val="single"/>
        </w:rPr>
        <w:t>Restatement</w:t>
      </w:r>
      <w:r w:rsidRPr="00C279C3">
        <w:rPr>
          <w:color w:val="000000" w:themeColor="text1"/>
          <w:szCs w:val="20"/>
        </w:rPr>
        <w:t>, and we need not consider doing so here because even assuming without deciding that Article Ninth designated Massachusetts’ rules of construction for application to the will, neither Massachusetts’ nor New Hampshire's pretermitted heir statute constitutes a rule of construction. </w:t>
      </w:r>
      <w:r w:rsidRPr="00C279C3">
        <w:rPr>
          <w:color w:val="000000" w:themeColor="text1"/>
          <w:szCs w:val="20"/>
          <w:u w:val="single"/>
        </w:rPr>
        <w:t>See</w:t>
      </w:r>
      <w:r w:rsidRPr="00C279C3">
        <w:rPr>
          <w:color w:val="000000" w:themeColor="text1"/>
          <w:szCs w:val="20"/>
        </w:rPr>
        <w:t> </w:t>
      </w:r>
      <w:r w:rsidRPr="00C279C3">
        <w:rPr>
          <w:color w:val="000000" w:themeColor="text1"/>
          <w:szCs w:val="20"/>
          <w:u w:val="single"/>
        </w:rPr>
        <w:t>In re Craig Living Trust</w:t>
      </w:r>
      <w:r w:rsidRPr="00C279C3">
        <w:rPr>
          <w:color w:val="000000" w:themeColor="text1"/>
          <w:szCs w:val="20"/>
        </w:rPr>
        <w:t>, 171 N.H. 281, 284-85, 194 A.3d 967 (2018) (explaining RSA 551:10 is not a rule of construction). </w:t>
      </w:r>
      <w:r w:rsidRPr="00C279C3">
        <w:rPr>
          <w:color w:val="000000" w:themeColor="text1"/>
          <w:szCs w:val="20"/>
          <w:u w:val="single"/>
        </w:rPr>
        <w:t>Compare</w:t>
      </w:r>
      <w:r w:rsidRPr="00C279C3">
        <w:rPr>
          <w:color w:val="000000" w:themeColor="text1"/>
          <w:szCs w:val="20"/>
        </w:rPr>
        <w:t> Mass. Gen. Laws Ann. ch. 190B, § 2-302 (pretermitted heir statute), </w:t>
      </w:r>
      <w:r w:rsidRPr="00C279C3">
        <w:rPr>
          <w:color w:val="000000" w:themeColor="text1"/>
          <w:szCs w:val="20"/>
          <w:u w:val="single"/>
        </w:rPr>
        <w:t>with</w:t>
      </w:r>
      <w:r w:rsidRPr="00C279C3">
        <w:rPr>
          <w:color w:val="000000" w:themeColor="text1"/>
          <w:szCs w:val="20"/>
        </w:rPr>
        <w:t> Mass. Gen. Laws Ann. ch. 190B, §§ 2-601 to 2-610 (West 2012 &amp; Supp. 2020) (encompassing the rules of construction applicable to wills), </w:t>
      </w:r>
      <w:r w:rsidRPr="00C279C3">
        <w:rPr>
          <w:color w:val="000000" w:themeColor="text1"/>
          <w:szCs w:val="20"/>
          <w:u w:val="single"/>
        </w:rPr>
        <w:t>and</w:t>
      </w:r>
      <w:r w:rsidRPr="00C279C3">
        <w:rPr>
          <w:color w:val="000000" w:themeColor="text1"/>
          <w:szCs w:val="20"/>
        </w:rPr>
        <w:t> Mass. Gen. Laws Ann. ch. 190B, §§ 2-701 to 2-711 (West 2012 &amp; Supp. 2020) (encompassing the rules of construction applicable to donative dispositions in wills and other governing instruments). As will be discussed in section III, not only is RSA 551:10 </w:t>
      </w:r>
      <w:r w:rsidRPr="00C279C3">
        <w:rPr>
          <w:color w:val="000000" w:themeColor="text1"/>
          <w:szCs w:val="20"/>
          <w:u w:val="single"/>
        </w:rPr>
        <w:t>not</w:t>
      </w:r>
      <w:r w:rsidRPr="00C279C3">
        <w:rPr>
          <w:color w:val="000000" w:themeColor="text1"/>
          <w:szCs w:val="20"/>
        </w:rPr>
        <w:t> a rule of construction, it is a conclusive rule of law. </w:t>
      </w:r>
      <w:r w:rsidRPr="00C279C3">
        <w:rPr>
          <w:color w:val="000000" w:themeColor="text1"/>
          <w:szCs w:val="20"/>
          <w:u w:val="single"/>
        </w:rPr>
        <w:t>See</w:t>
      </w:r>
      <w:r w:rsidRPr="00C279C3">
        <w:rPr>
          <w:color w:val="000000" w:themeColor="text1"/>
          <w:szCs w:val="20"/>
        </w:rPr>
        <w:t> </w:t>
      </w:r>
      <w:r w:rsidRPr="00C279C3">
        <w:rPr>
          <w:color w:val="000000" w:themeColor="text1"/>
          <w:szCs w:val="20"/>
          <w:u w:val="single"/>
        </w:rPr>
        <w:t>In re Craig Living Trust</w:t>
      </w:r>
      <w:r w:rsidRPr="00C279C3">
        <w:rPr>
          <w:color w:val="000000" w:themeColor="text1"/>
          <w:szCs w:val="20"/>
        </w:rPr>
        <w:t>, 171 N.H. at 284-85, 194 A.3d 967.</w:t>
      </w:r>
    </w:p>
    <w:p w:rsidR="00C279C3" w:rsidRPr="00C279C3" w:rsidRDefault="00C279C3" w:rsidP="00C279C3">
      <w:pPr>
        <w:pStyle w:val="QS10"/>
        <w:rPr>
          <w:color w:val="000000" w:themeColor="text1"/>
          <w:szCs w:val="20"/>
        </w:rPr>
      </w:pPr>
      <w:r w:rsidRPr="00C279C3">
        <w:rPr>
          <w:color w:val="000000" w:themeColor="text1"/>
          <w:szCs w:val="20"/>
        </w:rPr>
        <w:t>We, therefore, hold that New Hampshire's pretermitted heir statute applies to Marie G. Dow's will because she was a domiciliary of New Hampshire at the time of her death and her will disposes of only personal property. Accordingly, the probate division erred in applying Massachusetts law to determine that the petitioner is not a pretermitted heir.</w:t>
      </w:r>
    </w:p>
    <w:p w:rsidR="003E6A9A" w:rsidRPr="003E6A9A" w:rsidRDefault="00BC26C5" w:rsidP="00BC26C5">
      <w:pPr>
        <w:pStyle w:val="Heading20"/>
        <w:numPr>
          <w:ilvl w:val="1"/>
          <w:numId w:val="33"/>
        </w:numPr>
        <w:tabs>
          <w:tab w:val="clear" w:pos="2700"/>
        </w:tabs>
        <w:spacing w:before="240"/>
        <w:ind w:left="0"/>
        <w:rPr>
          <w:vanish/>
          <w:specVanish/>
        </w:rPr>
      </w:pPr>
      <w:bookmarkStart w:id="826" w:name="_Toc94704716"/>
      <w:r>
        <w:rPr>
          <w:b/>
          <w:u w:val="single"/>
        </w:rPr>
        <w:t>Accepting Will Benefits Precludes Will Contest</w:t>
      </w:r>
      <w:bookmarkEnd w:id="826"/>
    </w:p>
    <w:p w:rsidR="008B62AB" w:rsidRDefault="00BC26C5" w:rsidP="003E6A9A">
      <w:pPr>
        <w:pStyle w:val="Heading2Body"/>
      </w:pPr>
      <w:r>
        <w:rPr>
          <w:u w:val="single"/>
        </w:rPr>
        <w:t>.</w:t>
      </w:r>
      <w:r>
        <w:t xml:space="preserve">  Suppose you might secure one-third of an estate valued a $1,427,209.94</w:t>
      </w:r>
      <w:r w:rsidR="00C42BE7">
        <w:t xml:space="preserve"> if you won a contest to throw the Will out.  The executor distribute</w:t>
      </w:r>
      <w:r w:rsidR="003E6A9A">
        <w:t>s</w:t>
      </w:r>
      <w:r w:rsidR="00C42BE7">
        <w:t xml:space="preserve"> to you $43,229.15 in specific bequests which you accept.  You decide to challenge the Will arguing that what you accepted is less than what you would have received.  Do you win?  Well in Texas you could win at the appellate level before losing before the Texas Supreme Court, which is what happened in </w:t>
      </w:r>
      <w:r w:rsidR="00C42BE7">
        <w:rPr>
          <w:u w:val="single"/>
        </w:rPr>
        <w:t>Estate of Johnson</w:t>
      </w:r>
      <w:r w:rsidR="00ED5A47">
        <w:t>:</w:t>
      </w:r>
      <w:r w:rsidR="00C42BE7">
        <w:t xml:space="preserve"> </w:t>
      </w:r>
    </w:p>
    <w:p w:rsidR="00BC26C5" w:rsidRDefault="00C42BE7" w:rsidP="003E6A9A">
      <w:pPr>
        <w:pStyle w:val="QS10"/>
      </w:pPr>
      <w:r>
        <w:t xml:space="preserve">Similarly unavailing is MacNerland’s claim, accepted by the court of appeals, that she is not estopped because she did not accept all that the will entitles her to receive. A beneficiary may enforce the will according to its terms; such an action does not ask to set the will aside.  Estoppel by acceptance of benefits also does not preclude the beneficiary from challenging the executor’s conduct or seeking the executor’s removal. </w:t>
      </w:r>
      <w:r w:rsidR="003E6A9A">
        <w:t xml:space="preserve"> </w:t>
      </w:r>
      <w:r>
        <w:t>In such instances, the beneficiary is seeking to enforce the terms of the will, not to invalidate them. Because they similarly seek enforcement, MacNerland’s analogies to cases involving contract disputes and divorce settlements are inapt. When a party receives partial payment under a contract or judgment and sues to recover more, the positions are not inconsistent; the party seeks to enforce the contract or order, not to invalidate it.</w:t>
      </w:r>
      <w:r w:rsidR="003E6A9A">
        <w:t xml:space="preserve"> In a will contest, however, the beneficiary does not seek to enforce the terms of the will; she charges that the will is invalid. A beneficiary must firmly plant herself on the side of the will’s validity or invalidity and accept the consequences of that election.</w:t>
      </w:r>
    </w:p>
    <w:p w:rsidR="00BC26C5" w:rsidRDefault="003E6A9A" w:rsidP="003E6A9A">
      <w:pPr>
        <w:pStyle w:val="QS10"/>
        <w:jc w:val="center"/>
      </w:pPr>
      <w:r>
        <w:t>* * *</w:t>
      </w:r>
    </w:p>
    <w:p w:rsidR="00BC26C5" w:rsidRDefault="003E6A9A" w:rsidP="003E6A9A">
      <w:pPr>
        <w:pStyle w:val="QS10"/>
      </w:pPr>
      <w:r>
        <w:t>MacNerland argues that an opportunistic executor could offensively deny a would-be will contestant’s claim by partially distributing the estate to an unwitting beneficiary to avoid a will contest. The doctrine sufficiently accounts for this concern, however, by requiring that a beneficiary voluntarily accept the benefit. If a beneficiary or devisee lacks knowledge of some material fact at the time of acceptance, she may take steps to reject the benefit. MacNerland did not attempt to return the mutual fund account to the estate or assert in this case that her acceptance of the account was involuntary.</w:t>
      </w:r>
    </w:p>
    <w:p w:rsidR="007D70C3" w:rsidRPr="007D70C3" w:rsidRDefault="00882D03" w:rsidP="00882D03">
      <w:pPr>
        <w:pStyle w:val="Heading20"/>
        <w:numPr>
          <w:ilvl w:val="1"/>
          <w:numId w:val="33"/>
        </w:numPr>
        <w:tabs>
          <w:tab w:val="clear" w:pos="2700"/>
        </w:tabs>
        <w:spacing w:before="240"/>
        <w:ind w:left="0"/>
        <w:rPr>
          <w:vanish/>
          <w:specVanish/>
        </w:rPr>
      </w:pPr>
      <w:bookmarkStart w:id="827" w:name="_Toc94704717"/>
      <w:r>
        <w:rPr>
          <w:b/>
          <w:u w:val="single"/>
        </w:rPr>
        <w:t>Common-Law Same Sex Marriage May Be Based On Intent Before Same Sex Marriage Allowed</w:t>
      </w:r>
      <w:bookmarkEnd w:id="827"/>
    </w:p>
    <w:p w:rsidR="00BC26C5" w:rsidRDefault="00882D03" w:rsidP="007D70C3">
      <w:pPr>
        <w:pStyle w:val="Heading2Body"/>
      </w:pPr>
      <w:r>
        <w:t xml:space="preserve">.  </w:t>
      </w:r>
      <w:r>
        <w:rPr>
          <w:u w:val="single"/>
        </w:rPr>
        <w:t>LaFleur v. Pyfer</w:t>
      </w:r>
      <w:r>
        <w:t>, 479 P.3d 869 (Colo. 2021)</w:t>
      </w:r>
      <w:r w:rsidR="007D70C3">
        <w:t>, involves a fascinating issue.  The dissent states the issue most clearly:</w:t>
      </w:r>
    </w:p>
    <w:p w:rsidR="00D74ED1" w:rsidRPr="00AE1DBE" w:rsidRDefault="00D74ED1" w:rsidP="00D74ED1">
      <w:pPr>
        <w:pStyle w:val="QS10"/>
        <w:rPr>
          <w:color w:val="000000" w:themeColor="text1"/>
          <w:szCs w:val="20"/>
        </w:rPr>
      </w:pPr>
      <w:r w:rsidRPr="00AE1DBE">
        <w:rPr>
          <w:color w:val="000000" w:themeColor="text1"/>
          <w:szCs w:val="20"/>
        </w:rPr>
        <w:t>Is it possible for a same-sex couple in Colorado to have </w:t>
      </w:r>
      <w:r w:rsidRPr="00AE1DBE">
        <w:rPr>
          <w:rStyle w:val="Emphasis"/>
          <w:color w:val="000000" w:themeColor="text1"/>
          <w:szCs w:val="20"/>
        </w:rPr>
        <w:t>mutually intended and agreed</w:t>
      </w:r>
      <w:r w:rsidRPr="00AE1DBE">
        <w:rPr>
          <w:color w:val="000000" w:themeColor="text1"/>
          <w:szCs w:val="20"/>
        </w:rPr>
        <w:t> to enter into a </w:t>
      </w:r>
      <w:r w:rsidRPr="00AE1DBE">
        <w:rPr>
          <w:rStyle w:val="Emphasis"/>
          <w:color w:val="000000" w:themeColor="text1"/>
          <w:szCs w:val="20"/>
        </w:rPr>
        <w:t>legal</w:t>
      </w:r>
      <w:r w:rsidRPr="00AE1DBE">
        <w:rPr>
          <w:color w:val="000000" w:themeColor="text1"/>
          <w:szCs w:val="20"/>
        </w:rPr>
        <w:t> marital relationship when both parties were aware that Colorado law prohibited same-sex marriage at the time? The answer is clearly no. When Pyfer and LaFleur participated in their wedding ceremony in November 2003, they both understood that same-sex couples could not lawfully marry in Colorado because Colorado considered same-sex marriage unlawful, unenforceable, and invalid. Thus, Pyfer and LaFleur could not possibly have </w:t>
      </w:r>
      <w:r w:rsidRPr="00AE1DBE">
        <w:rPr>
          <w:rStyle w:val="Emphasis"/>
          <w:color w:val="000000" w:themeColor="text1"/>
          <w:szCs w:val="20"/>
        </w:rPr>
        <w:t>intended or agreed</w:t>
      </w:r>
      <w:r w:rsidRPr="00AE1DBE">
        <w:rPr>
          <w:color w:val="000000" w:themeColor="text1"/>
          <w:szCs w:val="20"/>
        </w:rPr>
        <w:t> to enter into the </w:t>
      </w:r>
      <w:r w:rsidRPr="00AE1DBE">
        <w:rPr>
          <w:rStyle w:val="Emphasis"/>
          <w:color w:val="000000" w:themeColor="text1"/>
          <w:szCs w:val="20"/>
        </w:rPr>
        <w:t>legal</w:t>
      </w:r>
      <w:r w:rsidRPr="00AE1DBE">
        <w:rPr>
          <w:color w:val="000000" w:themeColor="text1"/>
          <w:szCs w:val="20"/>
        </w:rPr>
        <w:t> relationship of marriage. And, because common law marriage in Colorado requires </w:t>
      </w:r>
      <w:r w:rsidRPr="00AE1DBE">
        <w:rPr>
          <w:rStyle w:val="Emphasis"/>
          <w:color w:val="000000" w:themeColor="text1"/>
          <w:szCs w:val="20"/>
        </w:rPr>
        <w:t>mutual intent and agreement</w:t>
      </w:r>
      <w:r w:rsidRPr="00AE1DBE">
        <w:rPr>
          <w:color w:val="000000" w:themeColor="text1"/>
          <w:szCs w:val="20"/>
        </w:rPr>
        <w:t> to enter into the </w:t>
      </w:r>
      <w:r w:rsidRPr="00AE1DBE">
        <w:rPr>
          <w:rStyle w:val="Emphasis"/>
          <w:color w:val="000000" w:themeColor="text1"/>
          <w:szCs w:val="20"/>
        </w:rPr>
        <w:t>legal</w:t>
      </w:r>
      <w:r w:rsidRPr="00AE1DBE">
        <w:rPr>
          <w:color w:val="000000" w:themeColor="text1"/>
          <w:szCs w:val="20"/>
        </w:rPr>
        <w:t> relationship of marriage, </w:t>
      </w:r>
      <w:r w:rsidRPr="00AE1DBE">
        <w:rPr>
          <w:rStyle w:val="Emphasis"/>
          <w:color w:val="000000" w:themeColor="text1"/>
          <w:szCs w:val="20"/>
        </w:rPr>
        <w:t>In re Marriage of Hogsett &amp; Neale</w:t>
      </w:r>
      <w:r w:rsidRPr="00AE1DBE">
        <w:rPr>
          <w:color w:val="000000" w:themeColor="text1"/>
          <w:szCs w:val="20"/>
        </w:rPr>
        <w:t>, 2021 CO 1, ¶ 49, 478 P.3d 713, 723–24, Pyfer and LaFleur cannot be deemed to have entered into a common law marriage.</w:t>
      </w:r>
    </w:p>
    <w:p w:rsidR="00D74ED1" w:rsidRPr="00AE1DBE" w:rsidRDefault="00D74ED1" w:rsidP="00D74ED1">
      <w:pPr>
        <w:pStyle w:val="QS10"/>
        <w:rPr>
          <w:color w:val="000000" w:themeColor="text1"/>
          <w:szCs w:val="20"/>
        </w:rPr>
      </w:pPr>
      <w:r w:rsidRPr="00AE1DBE">
        <w:rPr>
          <w:color w:val="000000" w:themeColor="text1"/>
          <w:szCs w:val="20"/>
        </w:rPr>
        <w:t>Only after the Supreme Court's decision in </w:t>
      </w:r>
      <w:r w:rsidRPr="00AE1DBE">
        <w:rPr>
          <w:rStyle w:val="Emphasis"/>
          <w:color w:val="000000" w:themeColor="text1"/>
          <w:szCs w:val="20"/>
        </w:rPr>
        <w:t>Obergefell v. Hodges</w:t>
      </w:r>
      <w:r w:rsidRPr="00AE1DBE">
        <w:rPr>
          <w:color w:val="000000" w:themeColor="text1"/>
          <w:szCs w:val="20"/>
        </w:rPr>
        <w:t>, 576 U.S. 644, 135 S.Ct. 2584, 192 L.Ed.2d 609 (2015), rendered our state's ban on same-sex marriage unconstitutional could Pyfer and LaFleur have mutually intended and agreed to enter into a common law marriage. But </w:t>
      </w:r>
      <w:hyperlink r:id="rId467" w:history="1">
        <w:r w:rsidRPr="00AE1DBE">
          <w:rPr>
            <w:rStyle w:val="Emphasis"/>
            <w:color w:val="000000" w:themeColor="text1"/>
            <w:szCs w:val="20"/>
          </w:rPr>
          <w:t>Obergefell</w:t>
        </w:r>
      </w:hyperlink>
      <w:r w:rsidRPr="00AE1DBE">
        <w:rPr>
          <w:color w:val="000000" w:themeColor="text1"/>
          <w:szCs w:val="20"/>
        </w:rPr>
        <w:t> wasn't announced until June 2015—more than a decade after Pyfer and LaFleur had their wedding ceremony</w:t>
      </w:r>
    </w:p>
    <w:p w:rsidR="007D70C3" w:rsidRPr="00AE1DBE" w:rsidRDefault="007D70C3" w:rsidP="00BA4F80">
      <w:pPr>
        <w:pStyle w:val="Body15"/>
        <w:rPr>
          <w:color w:val="000000" w:themeColor="text1"/>
        </w:rPr>
      </w:pPr>
      <w:r w:rsidRPr="00AE1DBE">
        <w:rPr>
          <w:color w:val="000000" w:themeColor="text1"/>
        </w:rPr>
        <w:t xml:space="preserve">The majority interprets the requirements of </w:t>
      </w:r>
      <w:r w:rsidR="00ED5A47">
        <w:rPr>
          <w:color w:val="000000" w:themeColor="text1"/>
        </w:rPr>
        <w:t>common law marriage differently, focusing on the intent to have a long-term marital relationship, rather than a specific legal relationship:</w:t>
      </w:r>
    </w:p>
    <w:p w:rsidR="00D74ED1" w:rsidRPr="00AE1DBE" w:rsidRDefault="00D74ED1" w:rsidP="00D74ED1">
      <w:pPr>
        <w:pStyle w:val="QS10"/>
        <w:rPr>
          <w:color w:val="000000" w:themeColor="text1"/>
          <w:szCs w:val="20"/>
        </w:rPr>
      </w:pPr>
      <w:r w:rsidRPr="00AE1DBE">
        <w:rPr>
          <w:rStyle w:val="Strong"/>
          <w:color w:val="000000" w:themeColor="text1"/>
          <w:szCs w:val="20"/>
        </w:rPr>
        <w:t>C. Application of the Updated Common Law Marriage Framework</w:t>
      </w:r>
    </w:p>
    <w:p w:rsidR="00D74ED1" w:rsidRPr="00AE1DBE" w:rsidRDefault="00D74ED1" w:rsidP="00D74ED1">
      <w:pPr>
        <w:pStyle w:val="QS10"/>
        <w:rPr>
          <w:color w:val="000000" w:themeColor="text1"/>
          <w:szCs w:val="20"/>
        </w:rPr>
      </w:pPr>
      <w:r w:rsidRPr="00AE1DBE">
        <w:rPr>
          <w:color w:val="000000" w:themeColor="text1"/>
          <w:szCs w:val="20"/>
        </w:rPr>
        <w:t>Having concluded that Pyfer and LaFleur were not, as a matter of law, barred from entering into a common law marriage, we next determine whether a common law marriage was established under the refined test we announce in </w:t>
      </w:r>
      <w:r w:rsidRPr="00AE1DBE">
        <w:rPr>
          <w:rStyle w:val="Emphasis"/>
          <w:color w:val="000000" w:themeColor="text1"/>
          <w:szCs w:val="20"/>
        </w:rPr>
        <w:t>Hogsett</w:t>
      </w:r>
      <w:r w:rsidRPr="00AE1DBE">
        <w:rPr>
          <w:color w:val="000000" w:themeColor="text1"/>
          <w:szCs w:val="20"/>
        </w:rPr>
        <w:t>. “A determination of whether a common law marriage exists turns on issues of fact and credibility, which are properly within the trial court's discretion.” </w:t>
      </w:r>
      <w:r w:rsidRPr="00AE1DBE">
        <w:rPr>
          <w:rStyle w:val="Emphasis"/>
          <w:color w:val="000000" w:themeColor="text1"/>
          <w:szCs w:val="20"/>
        </w:rPr>
        <w:t>Lucero</w:t>
      </w:r>
      <w:r w:rsidRPr="00AE1DBE">
        <w:rPr>
          <w:color w:val="000000" w:themeColor="text1"/>
          <w:szCs w:val="20"/>
        </w:rPr>
        <w:t>, 747 P.2d at 665. Accordingly, we review the court's factual findings for clear error and its common law marriage finding for an abuse of discretion.</w:t>
      </w:r>
    </w:p>
    <w:p w:rsidR="00D74ED1" w:rsidRPr="00AE1DBE" w:rsidRDefault="00D74ED1" w:rsidP="00D74ED1">
      <w:pPr>
        <w:pStyle w:val="QS10"/>
        <w:rPr>
          <w:color w:val="000000" w:themeColor="text1"/>
          <w:szCs w:val="20"/>
        </w:rPr>
      </w:pPr>
      <w:r w:rsidRPr="00AE1DBE">
        <w:rPr>
          <w:color w:val="000000" w:themeColor="text1"/>
          <w:szCs w:val="20"/>
        </w:rPr>
        <w:t>LaFleur argues that the parties did not, as a factual matter, have the intent to enter into a common law marriage. We disagree and conclude that the record supports the district court's conclusion that Pyfer and LaFleur manifested a mutual intent to enter into a marital relationship.</w:t>
      </w:r>
    </w:p>
    <w:p w:rsidR="00D74ED1" w:rsidRPr="00AE1DBE" w:rsidRDefault="00D74ED1" w:rsidP="00D74ED1">
      <w:pPr>
        <w:pStyle w:val="QS10"/>
        <w:rPr>
          <w:color w:val="000000" w:themeColor="text1"/>
          <w:szCs w:val="20"/>
        </w:rPr>
      </w:pPr>
      <w:r w:rsidRPr="00AE1DBE">
        <w:rPr>
          <w:color w:val="000000" w:themeColor="text1"/>
          <w:szCs w:val="20"/>
        </w:rPr>
        <w:t>“[A] common law marriage may be established by the mutual consent or agreement of the couple to enter the legal and social institution of marriage, followed by conduct manifesting that mutual agreement.” </w:t>
      </w:r>
      <w:r w:rsidRPr="00AE1DBE">
        <w:rPr>
          <w:rStyle w:val="Emphasis"/>
          <w:color w:val="000000" w:themeColor="text1"/>
          <w:szCs w:val="20"/>
        </w:rPr>
        <w:t>Hogsett</w:t>
      </w:r>
      <w:r w:rsidRPr="00AE1DBE">
        <w:rPr>
          <w:color w:val="000000" w:themeColor="text1"/>
          <w:szCs w:val="20"/>
        </w:rPr>
        <w:t>, ¶ 49. “In assessing whether a common law marriage has been established, courts should give weight to evidence reflecting a couple's express agreement to marry.” </w:t>
      </w:r>
      <w:r w:rsidRPr="00AE1DBE">
        <w:rPr>
          <w:rStyle w:val="Emphasis"/>
          <w:color w:val="000000" w:themeColor="text1"/>
          <w:szCs w:val="20"/>
        </w:rPr>
        <w:t>Id.</w:t>
      </w:r>
      <w:r w:rsidRPr="00AE1DBE">
        <w:rPr>
          <w:color w:val="000000" w:themeColor="text1"/>
          <w:szCs w:val="20"/>
        </w:rPr>
        <w:t> In the absence of such evidence, courts may infer such an agreement from the parties’ conduct. </w:t>
      </w:r>
      <w:r w:rsidRPr="00AE1DBE">
        <w:rPr>
          <w:rStyle w:val="Emphasis"/>
          <w:color w:val="000000" w:themeColor="text1"/>
          <w:szCs w:val="20"/>
        </w:rPr>
        <w:t>Id.</w:t>
      </w:r>
    </w:p>
    <w:p w:rsidR="00D74ED1" w:rsidRPr="00AE1DBE" w:rsidRDefault="00D74ED1" w:rsidP="00D74ED1">
      <w:pPr>
        <w:pStyle w:val="QS10"/>
        <w:rPr>
          <w:color w:val="000000" w:themeColor="text1"/>
          <w:szCs w:val="20"/>
        </w:rPr>
      </w:pPr>
      <w:r w:rsidRPr="00AE1DBE">
        <w:rPr>
          <w:color w:val="000000" w:themeColor="text1"/>
          <w:szCs w:val="20"/>
        </w:rPr>
        <w:t>As we explain in </w:t>
      </w:r>
      <w:r w:rsidRPr="00AE1DBE">
        <w:rPr>
          <w:rStyle w:val="Emphasis"/>
          <w:color w:val="000000" w:themeColor="text1"/>
          <w:szCs w:val="20"/>
        </w:rPr>
        <w:t>Hogsett</w:t>
      </w:r>
      <w:r w:rsidRPr="00AE1DBE">
        <w:rPr>
          <w:color w:val="000000" w:themeColor="text1"/>
          <w:szCs w:val="20"/>
        </w:rPr>
        <w:t>, the factors identified in </w:t>
      </w:r>
      <w:r w:rsidRPr="00AE1DBE">
        <w:rPr>
          <w:rStyle w:val="Emphasis"/>
          <w:color w:val="000000" w:themeColor="text1"/>
          <w:szCs w:val="20"/>
        </w:rPr>
        <w:t>Lucero</w:t>
      </w:r>
      <w:r w:rsidRPr="00AE1DBE">
        <w:rPr>
          <w:color w:val="000000" w:themeColor="text1"/>
          <w:szCs w:val="20"/>
        </w:rPr>
        <w:t>, 747 P.2d at 665, can still be relevant to this inquiry. Courts should therefore consider factors such as</w:t>
      </w:r>
    </w:p>
    <w:p w:rsidR="00D74ED1" w:rsidRPr="00AE1DBE" w:rsidRDefault="00D74ED1" w:rsidP="00D74ED1">
      <w:pPr>
        <w:pStyle w:val="QS10"/>
        <w:ind w:left="2160"/>
        <w:rPr>
          <w:color w:val="000000" w:themeColor="text1"/>
          <w:szCs w:val="20"/>
        </w:rPr>
      </w:pPr>
      <w:r w:rsidRPr="00AE1DBE">
        <w:rPr>
          <w:color w:val="000000" w:themeColor="text1"/>
          <w:szCs w:val="20"/>
        </w:rPr>
        <w:t>cohabitation[;] reputation in the community as spouses[;] maintenance of joint banking and credit accounts[;] purchase and joint ownership of property[;] filing of joint tax returns[;] ... the use of one spouse's surname by the other or by children raised by the parties[;] ... evidence of shared financial responsibility, such as leases in both partners’ names, joint bills, or other payment records; evidence of joint estate planning, including wills, powers of attorney, beneficiary and emergency contact designations; ... symbols of commitment, such as ceremonies, anniversaries, cards, gifts, and the couple's references to or labels for one another[;] ... [and] the parties’ sincerely held beliefs regarding the institution of marriage.</w:t>
      </w:r>
    </w:p>
    <w:p w:rsidR="00D74ED1" w:rsidRPr="00AE1DBE" w:rsidRDefault="00D74ED1" w:rsidP="00D74ED1">
      <w:pPr>
        <w:pStyle w:val="QS10"/>
        <w:rPr>
          <w:color w:val="000000" w:themeColor="text1"/>
          <w:szCs w:val="20"/>
        </w:rPr>
      </w:pPr>
      <w:r w:rsidRPr="00AE1DBE">
        <w:rPr>
          <w:rStyle w:val="Emphasis"/>
          <w:color w:val="000000" w:themeColor="text1"/>
          <w:szCs w:val="20"/>
        </w:rPr>
        <w:t>Hogsett</w:t>
      </w:r>
      <w:r w:rsidRPr="00AE1DBE">
        <w:rPr>
          <w:color w:val="000000" w:themeColor="text1"/>
          <w:szCs w:val="20"/>
        </w:rPr>
        <w:t>, ¶¶ 55–56. These factors must be assessed in context, however, and “the inferences to be drawn from the parties’ conduct may vary depending on the circumstances.” </w:t>
      </w:r>
      <w:r w:rsidRPr="00AE1DBE">
        <w:rPr>
          <w:rStyle w:val="Emphasis"/>
          <w:color w:val="000000" w:themeColor="text1"/>
          <w:szCs w:val="20"/>
        </w:rPr>
        <w:t>Id.</w:t>
      </w:r>
      <w:r w:rsidRPr="00AE1DBE">
        <w:rPr>
          <w:color w:val="000000" w:themeColor="text1"/>
          <w:szCs w:val="20"/>
        </w:rPr>
        <w:t> at ¶ 49.</w:t>
      </w:r>
    </w:p>
    <w:p w:rsidR="00D74ED1" w:rsidRPr="00AE1DBE" w:rsidRDefault="00D74ED1" w:rsidP="00D74ED1">
      <w:pPr>
        <w:pStyle w:val="QS10"/>
        <w:rPr>
          <w:color w:val="000000" w:themeColor="text1"/>
          <w:szCs w:val="20"/>
        </w:rPr>
      </w:pPr>
      <w:r w:rsidRPr="00AE1DBE">
        <w:rPr>
          <w:color w:val="000000" w:themeColor="text1"/>
          <w:szCs w:val="20"/>
        </w:rPr>
        <w:t>As in </w:t>
      </w:r>
      <w:r w:rsidRPr="00AE1DBE">
        <w:rPr>
          <w:rStyle w:val="Emphasis"/>
          <w:color w:val="000000" w:themeColor="text1"/>
          <w:szCs w:val="20"/>
        </w:rPr>
        <w:t>Hogsett</w:t>
      </w:r>
      <w:r w:rsidRPr="00AE1DBE">
        <w:rPr>
          <w:color w:val="000000" w:themeColor="text1"/>
          <w:szCs w:val="20"/>
        </w:rPr>
        <w:t>, “[w]e begin by reviewing evidence of an express agreement to marry.” ¶ 62. Here, Pyfer proposed marriage to LaFleur, and LaFleur accepted. The parties then participated in a ceremony that, as the district court explained, “certainly appear[ed] to be a wedding.” For instance, Pyfer and LaFleur exchanged vows during the ceremony, which was officiated by a reverend and was attended by friends and family. They exchanged rings and wore tuxedos. A toast was given. And Pyfer and LaFleur signed a document titled “Certificate of Holy Union”—much like a couple would sign a marriage license. This evidence suggests, as the district court found, that the parties expressly agreed to enter into a common law marriage as of November 30, 2003, the date of the ceremony.</w:t>
      </w:r>
    </w:p>
    <w:p w:rsidR="00D74ED1" w:rsidRPr="00AE1DBE" w:rsidRDefault="00D74ED1" w:rsidP="00D74ED1">
      <w:pPr>
        <w:pStyle w:val="QS10"/>
        <w:rPr>
          <w:color w:val="000000" w:themeColor="text1"/>
          <w:szCs w:val="20"/>
        </w:rPr>
      </w:pPr>
      <w:r w:rsidRPr="00AE1DBE">
        <w:rPr>
          <w:color w:val="000000" w:themeColor="text1"/>
          <w:szCs w:val="20"/>
        </w:rPr>
        <w:t>That said, given the range of meanings that a same-sex couple might ascribe to such a ceremony before </w:t>
      </w:r>
      <w:r w:rsidRPr="00AE1DBE">
        <w:rPr>
          <w:rStyle w:val="Emphasis"/>
          <w:color w:val="000000" w:themeColor="text1"/>
          <w:szCs w:val="20"/>
        </w:rPr>
        <w:t>Obergefell</w:t>
      </w:r>
      <w:r w:rsidRPr="00AE1DBE">
        <w:rPr>
          <w:color w:val="000000" w:themeColor="text1"/>
          <w:szCs w:val="20"/>
        </w:rPr>
        <w:t>, it is important to examine the other circumstances of the relationship to discern the parties’ intent. </w:t>
      </w:r>
      <w:r w:rsidRPr="00AE1DBE">
        <w:rPr>
          <w:rStyle w:val="Emphasis"/>
          <w:color w:val="000000" w:themeColor="text1"/>
          <w:szCs w:val="20"/>
        </w:rPr>
        <w:t>Hogsett</w:t>
      </w:r>
      <w:r w:rsidRPr="00AE1DBE">
        <w:rPr>
          <w:color w:val="000000" w:themeColor="text1"/>
          <w:szCs w:val="20"/>
        </w:rPr>
        <w:t>, ¶ 54 n.9. Here, the parties’ conduct was such that, in addition to the ceremony, a mutual agreement to enter into a marital relationship may be inferred. Of course, some of the evidence does not point in either direction. While it would have been significant had one of the parties used the other's surname, for example, the fact that they did not do so does not necessarily suggest that the parties did not intend to be married. </w:t>
      </w:r>
      <w:r w:rsidRPr="00AE1DBE">
        <w:rPr>
          <w:rStyle w:val="Emphasis"/>
          <w:color w:val="000000" w:themeColor="text1"/>
          <w:szCs w:val="20"/>
        </w:rPr>
        <w:t>See Hogsett</w:t>
      </w:r>
      <w:r w:rsidRPr="00AE1DBE">
        <w:rPr>
          <w:color w:val="000000" w:themeColor="text1"/>
          <w:szCs w:val="20"/>
        </w:rPr>
        <w:t>, ¶ 45 (“[T]here may be any number of reasons, including cultural ones, that spouses and children do not take one partner's name at marriage.”). Similarly, the parties’ failure to file joint tax returns reveals little, especially given that for the majority of their relationship, this was not a possibility under federal law. </w:t>
      </w:r>
      <w:r w:rsidRPr="00AE1DBE">
        <w:rPr>
          <w:rStyle w:val="Emphasis"/>
          <w:color w:val="000000" w:themeColor="text1"/>
          <w:szCs w:val="20"/>
        </w:rPr>
        <w:t>See Hogsett</w:t>
      </w:r>
      <w:r w:rsidRPr="00AE1DBE">
        <w:rPr>
          <w:color w:val="000000" w:themeColor="text1"/>
          <w:szCs w:val="20"/>
        </w:rPr>
        <w:t>, ¶ 66.</w:t>
      </w:r>
    </w:p>
    <w:p w:rsidR="00D74ED1" w:rsidRPr="00AE1DBE" w:rsidRDefault="00D74ED1" w:rsidP="00D74ED1">
      <w:pPr>
        <w:pStyle w:val="QS10"/>
        <w:rPr>
          <w:color w:val="000000" w:themeColor="text1"/>
          <w:szCs w:val="20"/>
        </w:rPr>
      </w:pPr>
      <w:r w:rsidRPr="00AE1DBE">
        <w:rPr>
          <w:color w:val="000000" w:themeColor="text1"/>
          <w:szCs w:val="20"/>
        </w:rPr>
        <w:t>Other factors, by contrast, are more instructive. Although the parties did not share joint bank accounts or own property together, they cohabitated, and LaFleur financially supported Pyfer, both in his day-to-day life and in his pursuit of a career. And Pyfer listed LaFleur as his spouse on several forms over the years.</w:t>
      </w:r>
    </w:p>
    <w:p w:rsidR="00D74ED1" w:rsidRPr="00AE1DBE" w:rsidRDefault="00D74ED1" w:rsidP="00D74ED1">
      <w:pPr>
        <w:pStyle w:val="QS10"/>
        <w:rPr>
          <w:color w:val="000000" w:themeColor="text1"/>
          <w:szCs w:val="20"/>
        </w:rPr>
      </w:pPr>
      <w:r w:rsidRPr="00AE1DBE">
        <w:rPr>
          <w:color w:val="000000" w:themeColor="text1"/>
          <w:szCs w:val="20"/>
        </w:rPr>
        <w:t>LaFleur did not tell his coworkers that he was married. But there was testimony that LaFleur worked in an environment that was not welcoming of same-sex couples; thus, viewed in context, his failure to publicize his relationship with Pyfer does not necessarily reflect a lack of mutual agreement to be married. </w:t>
      </w:r>
      <w:r w:rsidRPr="00AE1DBE">
        <w:rPr>
          <w:rStyle w:val="Emphasis"/>
          <w:color w:val="000000" w:themeColor="text1"/>
          <w:szCs w:val="20"/>
        </w:rPr>
        <w:t>See Hogsett</w:t>
      </w:r>
      <w:r w:rsidRPr="00AE1DBE">
        <w:rPr>
          <w:color w:val="000000" w:themeColor="text1"/>
          <w:szCs w:val="20"/>
        </w:rPr>
        <w:t>, ¶ 51 (“There may be cases where, particularly for same-sex partners, a couple's choice not to broadly publicize the nature of their relationship may be explained by reasons other than their lack of mutual agreement to be married.”). Pyfer, by contrast, “held himself out as married to family and friends” with LaFleur's knowledge.</w:t>
      </w:r>
    </w:p>
    <w:p w:rsidR="00D74ED1" w:rsidRPr="00AE1DBE" w:rsidRDefault="00D74ED1" w:rsidP="00D74ED1">
      <w:pPr>
        <w:pStyle w:val="QS10"/>
        <w:rPr>
          <w:color w:val="000000" w:themeColor="text1"/>
          <w:szCs w:val="20"/>
        </w:rPr>
      </w:pPr>
      <w:r w:rsidRPr="00AE1DBE">
        <w:rPr>
          <w:color w:val="000000" w:themeColor="text1"/>
          <w:szCs w:val="20"/>
        </w:rPr>
        <w:t>True, there was evidence, toward the end of their relationship, that Pyfer was involved in an extramarital affair and that Pyfer and LaFleur ceased sharing a bedroom and instead lived separately in the same house. However, the parties’ actions as their relationship deteriorated cannot be used to override their earlier agreement to be married. </w:t>
      </w:r>
      <w:r w:rsidRPr="00AE1DBE">
        <w:rPr>
          <w:rStyle w:val="Emphasis"/>
          <w:color w:val="000000" w:themeColor="text1"/>
          <w:szCs w:val="20"/>
        </w:rPr>
        <w:t>See Hogsett</w:t>
      </w:r>
      <w:r w:rsidRPr="00AE1DBE">
        <w:rPr>
          <w:color w:val="000000" w:themeColor="text1"/>
          <w:szCs w:val="20"/>
        </w:rPr>
        <w:t>, ¶ 57 (“[C]onduct inconsistent with marriage that occurs as a relationship is breaking down should not negate a finding of common law marriage where there is evidence of the parties’ earlier mutual agreement to be married. In other words, infidelity, physical separation, or other conduct arising as the relationship is ending does not invalidate a couple's prior mutual agreement to enter a common law marriage.”).</w:t>
      </w:r>
    </w:p>
    <w:p w:rsidR="00D74ED1" w:rsidRPr="00AE1DBE" w:rsidRDefault="00D74ED1" w:rsidP="00D74ED1">
      <w:pPr>
        <w:pStyle w:val="QS10"/>
        <w:rPr>
          <w:color w:val="000000" w:themeColor="text1"/>
          <w:szCs w:val="20"/>
        </w:rPr>
      </w:pPr>
      <w:r w:rsidRPr="00AE1DBE">
        <w:rPr>
          <w:color w:val="000000" w:themeColor="text1"/>
          <w:szCs w:val="20"/>
        </w:rPr>
        <w:t>In short, viewing the record as a whole and considering the totality of the circumstances, the district court's conclusion that the parties mutually agreed to be married and “intended to be joined with [each other] for the rest of [their] li[ves]” is supported by the record. Accordingly, we affirm the court's conclusion that Pyfer and LaFleur entered into a common law marriage.</w:t>
      </w:r>
    </w:p>
    <w:p w:rsidR="007D70C3" w:rsidRDefault="007D70C3" w:rsidP="00BA4F80">
      <w:pPr>
        <w:pStyle w:val="Body15"/>
      </w:pPr>
      <w:r>
        <w:t>A concurrence and dissent argued that the parties were married because t</w:t>
      </w:r>
      <w:r w:rsidR="008349E8">
        <w:t>h</w:t>
      </w:r>
      <w:r>
        <w:t>ey had a wedding and that factors were confusing and unnecessary in the analysis.</w:t>
      </w:r>
    </w:p>
    <w:p w:rsidR="009052EB" w:rsidRPr="009052EB" w:rsidRDefault="00AE1DBE" w:rsidP="00AE1DBE">
      <w:pPr>
        <w:pStyle w:val="Heading20"/>
        <w:numPr>
          <w:ilvl w:val="1"/>
          <w:numId w:val="33"/>
        </w:numPr>
        <w:tabs>
          <w:tab w:val="clear" w:pos="2700"/>
        </w:tabs>
        <w:spacing w:before="240"/>
        <w:ind w:left="0"/>
        <w:rPr>
          <w:vanish/>
          <w:specVanish/>
        </w:rPr>
      </w:pPr>
      <w:bookmarkStart w:id="828" w:name="_Toc94704718"/>
      <w:r>
        <w:rPr>
          <w:b/>
          <w:u w:val="single"/>
        </w:rPr>
        <w:t>Non-Participants In Mediation Beware</w:t>
      </w:r>
      <w:bookmarkEnd w:id="828"/>
    </w:p>
    <w:p w:rsidR="00BC26C5" w:rsidRDefault="00AE1DBE" w:rsidP="009052EB">
      <w:pPr>
        <w:pStyle w:val="Heading2Body"/>
      </w:pPr>
      <w:r>
        <w:t xml:space="preserve">.  </w:t>
      </w:r>
      <w:r>
        <w:rPr>
          <w:u w:val="single"/>
        </w:rPr>
        <w:t>Breslin v. Breslin</w:t>
      </w:r>
      <w:r>
        <w:t>, 62 Cal.App.5</w:t>
      </w:r>
      <w:r w:rsidRPr="00AE1DBE">
        <w:rPr>
          <w:vertAlign w:val="superscript"/>
        </w:rPr>
        <w:t>th</w:t>
      </w:r>
      <w:r>
        <w:t xml:space="preserve"> 801 (Cal. Ct. App. (2d) 2021), </w:t>
      </w:r>
      <w:r w:rsidR="009052EB">
        <w:t>reaches an important, if succinct, conclusion:</w:t>
      </w:r>
    </w:p>
    <w:p w:rsidR="00BC26C5" w:rsidRDefault="009052EB" w:rsidP="009052EB">
      <w:pPr>
        <w:pStyle w:val="QS10"/>
      </w:pPr>
      <w:r>
        <w:t>The trustee of a decedent's trust petitioned the probate court to determine the trust beneficiaries. The potential trust beneficiaries received notice of the petition. The probate court ordered the matter to mediation. The same potential beneficiaries received notice of the mediation, but some did not participate. The participating parties reached a settlement that excluded the nonparticipating parties as beneficiaries. The probate court approved the settlement. The nonparticipating parties Pacific Legal Foundation et al. (collectively “the Pacific parties”) appeal. We affirm. A party receiving notice under the circumstances here, who fails to participate in court-ordered mediation, is bound by the result.</w:t>
      </w:r>
    </w:p>
    <w:p w:rsidR="00D0027B" w:rsidRPr="00D0027B" w:rsidRDefault="009052EB" w:rsidP="009052EB">
      <w:pPr>
        <w:pStyle w:val="Heading20"/>
        <w:numPr>
          <w:ilvl w:val="1"/>
          <w:numId w:val="33"/>
        </w:numPr>
        <w:tabs>
          <w:tab w:val="clear" w:pos="2700"/>
        </w:tabs>
        <w:spacing w:before="240"/>
        <w:ind w:left="0"/>
        <w:rPr>
          <w:vanish/>
          <w:specVanish/>
        </w:rPr>
      </w:pPr>
      <w:bookmarkStart w:id="829" w:name="_Toc94704719"/>
      <w:r>
        <w:rPr>
          <w:b/>
          <w:u w:val="single"/>
        </w:rPr>
        <w:t>Virginia Supreme Court Does Not Know What “Fair Market Value” Means</w:t>
      </w:r>
      <w:bookmarkEnd w:id="829"/>
    </w:p>
    <w:p w:rsidR="00BC26C5" w:rsidRDefault="009052EB" w:rsidP="00D0027B">
      <w:pPr>
        <w:pStyle w:val="Heading2Body"/>
      </w:pPr>
      <w:r>
        <w:t xml:space="preserve">.  </w:t>
      </w:r>
      <w:r w:rsidR="00D0027B">
        <w:t xml:space="preserve">Jeanne Mangano executed a </w:t>
      </w:r>
      <w:r w:rsidR="004B53B2">
        <w:t>w</w:t>
      </w:r>
      <w:r w:rsidR="00D0027B">
        <w:t>ill and codicil allowing her son to buy certain real estate within a year of her death from his three sisters for “an amount equal to t</w:t>
      </w:r>
      <w:r w:rsidR="003C3F71">
        <w:t>h</w:t>
      </w:r>
      <w:r w:rsidR="00D0027B">
        <w:t xml:space="preserve">e fair market value at the time of my death.”  The earlier </w:t>
      </w:r>
      <w:r w:rsidR="004B53B2">
        <w:t>w</w:t>
      </w:r>
      <w:r w:rsidR="00D0027B">
        <w:t>ill had tied the purchase price to the tax assessment.  After exercising the option, son decided he didn’t want to buy the property but his sisters sued saying he had exercised t</w:t>
      </w:r>
      <w:r w:rsidR="003C3F71">
        <w:t>h</w:t>
      </w:r>
      <w:r w:rsidR="00D0027B">
        <w:t>e option so they had a contract.  Son argued, and t</w:t>
      </w:r>
      <w:r w:rsidR="003C3F71">
        <w:t>h</w:t>
      </w:r>
      <w:r w:rsidR="00D0027B">
        <w:t>e Virginia Supreme Court agreed, that t</w:t>
      </w:r>
      <w:r w:rsidR="003C3F71">
        <w:t>h</w:t>
      </w:r>
      <w:r w:rsidR="00D0027B">
        <w:t>e price was too vague.  The opinion states:</w:t>
      </w:r>
    </w:p>
    <w:p w:rsidR="003C3F71" w:rsidRPr="003C3F71" w:rsidRDefault="003C3F71" w:rsidP="003C3F71">
      <w:pPr>
        <w:pStyle w:val="QS10"/>
        <w:rPr>
          <w:szCs w:val="20"/>
        </w:rPr>
      </w:pPr>
      <w:r w:rsidRPr="003C3F71">
        <w:rPr>
          <w:szCs w:val="20"/>
        </w:rPr>
        <w:t>Here, the Option indicated that the price would be the “fair market value” on the date of Jeanne's death. The issue, which is one of first impression, is whether the term “fair market value” on a date certain is sufficient, without more specificity, to provide a mode for ascertaining the sale price with sufficient certainty so as to permit a court to compel specific performance of a contract for the sale of real estate.</w:t>
      </w:r>
    </w:p>
    <w:p w:rsidR="003C3F71" w:rsidRDefault="003C3F71" w:rsidP="003C3F71">
      <w:pPr>
        <w:pStyle w:val="QS10"/>
        <w:jc w:val="center"/>
        <w:rPr>
          <w:szCs w:val="20"/>
        </w:rPr>
      </w:pPr>
      <w:r>
        <w:rPr>
          <w:szCs w:val="20"/>
        </w:rPr>
        <w:t>* * *</w:t>
      </w:r>
    </w:p>
    <w:p w:rsidR="003C3F71" w:rsidRPr="003C3F71" w:rsidRDefault="003C3F71" w:rsidP="003C3F71">
      <w:pPr>
        <w:pStyle w:val="QS10"/>
        <w:rPr>
          <w:color w:val="000000" w:themeColor="text1"/>
          <w:szCs w:val="20"/>
        </w:rPr>
      </w:pPr>
      <w:r w:rsidRPr="003C3F71">
        <w:rPr>
          <w:szCs w:val="20"/>
        </w:rPr>
        <w:t xml:space="preserve">Reading the usual, ordinary, and popular meaning of “fair market value” into Jeanne's codicil, it appears that Jeanne gave Anthony the option to purchase the Property at a price that the Sisters are willing to accept and that Anthony is willing to pay on the open market and in an arm's-length transaction. There is no single, fixed approach to determine fair market value, as applied by appraisers or Virginia courts. To determine a property's fair market value, Virginia courts recognize many valuation approaches, such as the cost approach, income approach, </w:t>
      </w:r>
      <w:r w:rsidRPr="003C3F71">
        <w:rPr>
          <w:color w:val="000000" w:themeColor="text1"/>
          <w:szCs w:val="20"/>
        </w:rPr>
        <w:t>sales approach, development cost analysis, and comparable sales approach. </w:t>
      </w:r>
      <w:r w:rsidRPr="003C3F71">
        <w:rPr>
          <w:rStyle w:val="Emphasis"/>
          <w:color w:val="000000" w:themeColor="text1"/>
          <w:szCs w:val="20"/>
        </w:rPr>
        <w:t>See</w:t>
      </w:r>
      <w:r w:rsidRPr="003C3F71">
        <w:rPr>
          <w:color w:val="000000" w:themeColor="text1"/>
          <w:szCs w:val="20"/>
        </w:rPr>
        <w:t> </w:t>
      </w:r>
      <w:r w:rsidRPr="003C3F71">
        <w:rPr>
          <w:rStyle w:val="Emphasis"/>
          <w:color w:val="000000" w:themeColor="text1"/>
          <w:szCs w:val="20"/>
        </w:rPr>
        <w:t>Keswick Club, L.P.</w:t>
      </w:r>
      <w:r w:rsidRPr="003C3F71">
        <w:rPr>
          <w:color w:val="000000" w:themeColor="text1"/>
          <w:szCs w:val="20"/>
        </w:rPr>
        <w:t>, 273 Va. at 137, 639 S.E.2d 243; </w:t>
      </w:r>
      <w:r w:rsidRPr="003C3F71">
        <w:rPr>
          <w:rStyle w:val="Emphasis"/>
          <w:color w:val="000000" w:themeColor="text1"/>
          <w:szCs w:val="20"/>
        </w:rPr>
        <w:t>Fruit Growers Express Co.</w:t>
      </w:r>
      <w:r w:rsidRPr="003C3F71">
        <w:rPr>
          <w:color w:val="000000" w:themeColor="text1"/>
          <w:szCs w:val="20"/>
        </w:rPr>
        <w:t>, 216 Va. at 604, 221 S.E.2d 157. “Each of these approaches utilizes different characteristics of a property to estimate fair market value, and each analyzes different elements of the property [as] likely [to] affect the price a potential buyer would be willing to pay for the property on the open market.” </w:t>
      </w:r>
      <w:r w:rsidRPr="003C3F71">
        <w:rPr>
          <w:rStyle w:val="Emphasis"/>
          <w:color w:val="000000" w:themeColor="text1"/>
          <w:szCs w:val="20"/>
        </w:rPr>
        <w:t>Keswick Club, L.P.</w:t>
      </w:r>
      <w:r w:rsidRPr="003C3F71">
        <w:rPr>
          <w:color w:val="000000" w:themeColor="text1"/>
          <w:szCs w:val="20"/>
        </w:rPr>
        <w:t>, 273 Va. at 137, 639 S.E.2d 243.</w:t>
      </w:r>
    </w:p>
    <w:p w:rsidR="003C3F71" w:rsidRPr="003C3F71" w:rsidRDefault="003C3F71" w:rsidP="003C3F71">
      <w:pPr>
        <w:pStyle w:val="QS10"/>
        <w:rPr>
          <w:szCs w:val="20"/>
        </w:rPr>
      </w:pPr>
      <w:r w:rsidRPr="003C3F71">
        <w:rPr>
          <w:color w:val="000000" w:themeColor="text1"/>
          <w:szCs w:val="20"/>
        </w:rPr>
        <w:t xml:space="preserve">Absent a more precise specification in Jeanne's codicil regarding the particular </w:t>
      </w:r>
      <w:r w:rsidRPr="003C3F71">
        <w:rPr>
          <w:szCs w:val="20"/>
        </w:rPr>
        <w:t>approach to be applied to determine the Property's fair market value as of Jeanne's death, the codicil does not provide the price of the Property, or a means of ascertaining the price with certainty, without subsequent agreement between the parties. By its very nature, what is meant by the term fair market value—what a buyer is willing to accept and what a seller is willing to pay for something on a given day—cannot be known with certainty absent a more specific means for determining it being provided in the codicil. In this instance, the language in the codicil lacks the precision required to produce a “certainty” as to price, which would allow a court to equitably compel a party to specifically perform a contract for the purchase of real property.</w:t>
      </w:r>
    </w:p>
    <w:p w:rsidR="003C3F71" w:rsidRPr="003C3F71" w:rsidRDefault="003C3F71" w:rsidP="003C3F71">
      <w:pPr>
        <w:pStyle w:val="QS10"/>
        <w:rPr>
          <w:szCs w:val="20"/>
        </w:rPr>
      </w:pPr>
      <w:r w:rsidRPr="003C3F71">
        <w:rPr>
          <w:caps/>
          <w:szCs w:val="20"/>
        </w:rPr>
        <w:t>CONCLUSION</w:t>
      </w:r>
    </w:p>
    <w:p w:rsidR="003C3F71" w:rsidRPr="003C3F71" w:rsidRDefault="003C3F71" w:rsidP="003C3F71">
      <w:pPr>
        <w:pStyle w:val="QS10"/>
        <w:rPr>
          <w:szCs w:val="20"/>
        </w:rPr>
      </w:pPr>
      <w:r w:rsidRPr="003C3F71">
        <w:rPr>
          <w:szCs w:val="20"/>
        </w:rPr>
        <w:t>In summary, we find that the “fair market value” term, as set out in the codicil, does not provide a price for the Property, nor does it provide a mode for ascertaining the price with sufficient c</w:t>
      </w:r>
      <w:r>
        <w:rPr>
          <w:szCs w:val="20"/>
        </w:rPr>
        <w:t xml:space="preserve">ertainty. </w:t>
      </w:r>
    </w:p>
    <w:p w:rsidR="00F50C00" w:rsidRPr="00F50C00" w:rsidRDefault="003C3F71" w:rsidP="003C3F71">
      <w:pPr>
        <w:pStyle w:val="Heading20"/>
        <w:numPr>
          <w:ilvl w:val="1"/>
          <w:numId w:val="33"/>
        </w:numPr>
        <w:tabs>
          <w:tab w:val="clear" w:pos="2700"/>
        </w:tabs>
        <w:spacing w:before="240"/>
        <w:ind w:left="0"/>
        <w:rPr>
          <w:vanish/>
          <w:specVanish/>
        </w:rPr>
      </w:pPr>
      <w:bookmarkStart w:id="830" w:name="_Toc94704720"/>
      <w:r>
        <w:rPr>
          <w:b/>
          <w:u w:val="single"/>
        </w:rPr>
        <w:t>Court In One State Applying The Law of Another Is Problematic</w:t>
      </w:r>
      <w:bookmarkEnd w:id="830"/>
    </w:p>
    <w:p w:rsidR="00BC26C5" w:rsidRDefault="004F3718" w:rsidP="00F50C00">
      <w:pPr>
        <w:pStyle w:val="Heading2Body"/>
      </w:pPr>
      <w:r>
        <w:t xml:space="preserve">.  </w:t>
      </w:r>
      <w:r w:rsidRPr="00197334">
        <w:rPr>
          <w:u w:val="single"/>
        </w:rPr>
        <w:t>Sirgutz v. Sirgutz</w:t>
      </w:r>
      <w:r>
        <w:t>,</w:t>
      </w:r>
      <w:r w:rsidR="00197334">
        <w:t xml:space="preserve"> </w:t>
      </w:r>
      <w:r w:rsidR="00ED5A47" w:rsidRPr="00ED5A47">
        <w:t>2021 WL 1657568</w:t>
      </w:r>
      <w:r w:rsidR="00197334">
        <w:t xml:space="preserve"> (Fl. App. (4</w:t>
      </w:r>
      <w:r w:rsidR="00197334" w:rsidRPr="00197334">
        <w:rPr>
          <w:vertAlign w:val="superscript"/>
        </w:rPr>
        <w:t>th</w:t>
      </w:r>
      <w:r w:rsidR="00197334">
        <w:t>) 2021), dealt with an antenuptial provision that provided for a lump sum payment to the former wife.  The agreement was subject to New York law, leaving the Florida court to sort out what it thought New York law is.  The</w:t>
      </w:r>
      <w:r w:rsidR="00A6425D">
        <w:t xml:space="preserve"> majority and dissent disagreed about New York law as is seen in the excerpts from the opinion:</w:t>
      </w:r>
    </w:p>
    <w:p w:rsidR="00A6425D" w:rsidRPr="00A6425D" w:rsidRDefault="00A6425D" w:rsidP="00A6425D">
      <w:pPr>
        <w:pStyle w:val="Body15"/>
        <w:rPr>
          <w:u w:val="single"/>
          <w:lang w:eastAsia="en-GB"/>
        </w:rPr>
      </w:pPr>
      <w:r>
        <w:rPr>
          <w:u w:val="single"/>
          <w:lang w:eastAsia="en-GB"/>
        </w:rPr>
        <w:t>MAJORITY</w:t>
      </w:r>
    </w:p>
    <w:p w:rsidR="00BC26C5" w:rsidRPr="00197334" w:rsidRDefault="00197334" w:rsidP="00197334">
      <w:pPr>
        <w:pStyle w:val="QS10"/>
        <w:rPr>
          <w:szCs w:val="20"/>
        </w:rPr>
      </w:pPr>
      <w:r w:rsidRPr="00197334">
        <w:rPr>
          <w:szCs w:val="20"/>
        </w:rPr>
        <w:t>The former wife argues the trial court erred in ruling the Antenuptial Agreement's lump sum alimony obligation did not survive the former husband's death because the clear intent of the agreement was to provide her with survivorship benefits after a dissolution of their marriage. The former husband's estate responds the former husband's obligations terminated upon his passing because the Antenuptial Agreement did not explicitly provide for, nor expressed an intent for survivorship benefits following a marriage dissolution.</w:t>
      </w:r>
    </w:p>
    <w:p w:rsidR="00197334" w:rsidRPr="00197334" w:rsidRDefault="00197334" w:rsidP="00197334">
      <w:pPr>
        <w:pStyle w:val="QS10"/>
        <w:jc w:val="center"/>
        <w:rPr>
          <w:szCs w:val="20"/>
        </w:rPr>
      </w:pPr>
      <w:r w:rsidRPr="00197334">
        <w:rPr>
          <w:szCs w:val="20"/>
        </w:rPr>
        <w:t>* * *</w:t>
      </w:r>
    </w:p>
    <w:p w:rsidR="00197334" w:rsidRPr="00051258" w:rsidRDefault="00197334" w:rsidP="00197334">
      <w:pPr>
        <w:pStyle w:val="QS10"/>
        <w:rPr>
          <w:color w:val="000000" w:themeColor="text1"/>
          <w:szCs w:val="20"/>
        </w:rPr>
      </w:pPr>
      <w:r w:rsidRPr="00051258">
        <w:rPr>
          <w:color w:val="000000" w:themeColor="text1"/>
          <w:szCs w:val="20"/>
        </w:rPr>
        <w:t>This issue is governed by New York law because the Antenuptial Agreement was executed in New York and includes a provision mandating its interpretation under New York law. </w:t>
      </w:r>
      <w:r w:rsidRPr="00051258">
        <w:rPr>
          <w:rStyle w:val="Emphasis"/>
          <w:color w:val="000000" w:themeColor="text1"/>
          <w:szCs w:val="20"/>
        </w:rPr>
        <w:t>See</w:t>
      </w:r>
      <w:r w:rsidRPr="00051258">
        <w:rPr>
          <w:color w:val="000000" w:themeColor="text1"/>
          <w:szCs w:val="20"/>
        </w:rPr>
        <w:t> </w:t>
      </w:r>
      <w:r w:rsidRPr="00051258">
        <w:rPr>
          <w:rStyle w:val="Emphasis"/>
          <w:color w:val="000000" w:themeColor="text1"/>
          <w:szCs w:val="20"/>
        </w:rPr>
        <w:t>Lamb v. Lamb</w:t>
      </w:r>
      <w:r w:rsidRPr="00051258">
        <w:rPr>
          <w:color w:val="000000" w:themeColor="text1"/>
          <w:szCs w:val="20"/>
        </w:rPr>
        <w:t>, 154 So. 3d 465, 467 (Fla. 5th DCA 2015) (“Generally, Florida courts enforce contractual choice-of-law provisions unless enforcing the chosen forum's law would contravene strong Florida public policy.”).</w:t>
      </w:r>
    </w:p>
    <w:p w:rsidR="00197334" w:rsidRPr="00051258" w:rsidRDefault="00197334" w:rsidP="00197334">
      <w:pPr>
        <w:pStyle w:val="QS10"/>
        <w:rPr>
          <w:color w:val="000000" w:themeColor="text1"/>
          <w:szCs w:val="20"/>
        </w:rPr>
      </w:pPr>
      <w:r w:rsidRPr="00051258">
        <w:rPr>
          <w:color w:val="000000" w:themeColor="text1"/>
          <w:szCs w:val="20"/>
        </w:rPr>
        <w:t>Under New York law, it is a “well-accepted proposition that a husband's obligation to support his wife terminates with the husband's death.” </w:t>
      </w:r>
      <w:r w:rsidRPr="00051258">
        <w:rPr>
          <w:rStyle w:val="Emphasis"/>
          <w:color w:val="000000" w:themeColor="text1"/>
          <w:szCs w:val="20"/>
        </w:rPr>
        <w:t>Cohen v. Cronin</w:t>
      </w:r>
      <w:r w:rsidRPr="00051258">
        <w:rPr>
          <w:color w:val="000000" w:themeColor="text1"/>
          <w:szCs w:val="20"/>
        </w:rPr>
        <w:t>, 39 N.Y.2d 42, 45, 382 N.Y.S.2d 724, 346 N.E.2d 524 (1976). “However, the husband might, by agreement, impose upon his estate a duty to make alimony or support payments after his death.” </w:t>
      </w:r>
      <w:hyperlink r:id="rId468" w:history="1">
        <w:r w:rsidRPr="00051258">
          <w:rPr>
            <w:rStyle w:val="Emphasis"/>
            <w:color w:val="000000" w:themeColor="text1"/>
            <w:szCs w:val="20"/>
          </w:rPr>
          <w:t>Id.</w:t>
        </w:r>
      </w:hyperlink>
      <w:r w:rsidRPr="00051258">
        <w:rPr>
          <w:color w:val="000000" w:themeColor="text1"/>
          <w:szCs w:val="20"/>
        </w:rPr>
        <w:t> “[T]o bind the estate, a separation agreement </w:t>
      </w:r>
      <w:r w:rsidRPr="00051258">
        <w:rPr>
          <w:rStyle w:val="Strong"/>
          <w:color w:val="000000" w:themeColor="text1"/>
          <w:szCs w:val="20"/>
        </w:rPr>
        <w:t>must either specifically provide for the continuation of payments or evince, from the terms of the agreement read as a whole, a clear intention that support payments continue</w:t>
      </w:r>
      <w:r w:rsidRPr="00051258">
        <w:rPr>
          <w:color w:val="000000" w:themeColor="text1"/>
          <w:szCs w:val="20"/>
        </w:rPr>
        <w:t>, notwithstanding the husband's death.” </w:t>
      </w:r>
      <w:r w:rsidRPr="00051258">
        <w:rPr>
          <w:rStyle w:val="Emphasis"/>
          <w:color w:val="000000" w:themeColor="text1"/>
          <w:szCs w:val="20"/>
        </w:rPr>
        <w:t>Id.</w:t>
      </w:r>
      <w:r w:rsidRPr="00051258">
        <w:rPr>
          <w:color w:val="000000" w:themeColor="text1"/>
          <w:szCs w:val="20"/>
        </w:rPr>
        <w:t> (emphasis added).</w:t>
      </w:r>
    </w:p>
    <w:p w:rsidR="00197334" w:rsidRPr="00051258" w:rsidRDefault="00197334" w:rsidP="00197334">
      <w:pPr>
        <w:pStyle w:val="QS10"/>
        <w:rPr>
          <w:color w:val="000000" w:themeColor="text1"/>
          <w:szCs w:val="20"/>
        </w:rPr>
      </w:pPr>
      <w:r w:rsidRPr="00051258">
        <w:rPr>
          <w:color w:val="000000" w:themeColor="text1"/>
          <w:szCs w:val="20"/>
        </w:rPr>
        <w:t>The former wife concedes the Antenuptial Agreement does not expressly provide that the lump sum alimony provision survive the former husband's death, but argues that, taken as a whole, its provisions evince an intent to provide as such. She relies on </w:t>
      </w:r>
      <w:r w:rsidRPr="00051258">
        <w:rPr>
          <w:rStyle w:val="Emphasis"/>
          <w:color w:val="000000" w:themeColor="text1"/>
          <w:szCs w:val="20"/>
        </w:rPr>
        <w:t>Cohen</w:t>
      </w:r>
      <w:r w:rsidRPr="00051258">
        <w:rPr>
          <w:color w:val="000000" w:themeColor="text1"/>
          <w:szCs w:val="20"/>
        </w:rPr>
        <w:t> and </w:t>
      </w:r>
      <w:r w:rsidRPr="00051258">
        <w:rPr>
          <w:rStyle w:val="Emphasis"/>
          <w:color w:val="000000" w:themeColor="text1"/>
          <w:szCs w:val="20"/>
        </w:rPr>
        <w:t>Matter of Riconda</w:t>
      </w:r>
      <w:r w:rsidRPr="00051258">
        <w:rPr>
          <w:color w:val="000000" w:themeColor="text1"/>
          <w:szCs w:val="20"/>
        </w:rPr>
        <w:t>, 90 N.Y.2d 733, 665 N.Y.S.2d 392, 688 N.E.2d 248 (1997), in support.</w:t>
      </w:r>
    </w:p>
    <w:p w:rsidR="00197334" w:rsidRPr="00051258" w:rsidRDefault="00197334" w:rsidP="00197334">
      <w:pPr>
        <w:pStyle w:val="QS10"/>
        <w:rPr>
          <w:color w:val="000000" w:themeColor="text1"/>
          <w:szCs w:val="20"/>
        </w:rPr>
      </w:pPr>
      <w:r w:rsidRPr="00051258">
        <w:rPr>
          <w:color w:val="000000" w:themeColor="text1"/>
          <w:szCs w:val="20"/>
        </w:rPr>
        <w:t>In </w:t>
      </w:r>
      <w:r w:rsidRPr="00051258">
        <w:rPr>
          <w:rStyle w:val="Emphasis"/>
          <w:color w:val="000000" w:themeColor="text1"/>
          <w:szCs w:val="20"/>
        </w:rPr>
        <w:t>Cohen</w:t>
      </w:r>
      <w:r w:rsidRPr="00051258">
        <w:rPr>
          <w:color w:val="000000" w:themeColor="text1"/>
          <w:szCs w:val="20"/>
        </w:rPr>
        <w:t>, the New York Court of Appeals concluded the husband's estate was required to make support payments under the terms of the parties’ separation agreement. 39 N.Y.2d at 47, 382 N.Y.S.2d 724, 346 N.E.2d 524. There, the agreement provided that payments would terminate where the wife remarried, or the obligation expired. </w:t>
      </w:r>
      <w:r w:rsidRPr="00051258">
        <w:rPr>
          <w:rStyle w:val="Emphasis"/>
          <w:color w:val="000000" w:themeColor="text1"/>
          <w:szCs w:val="20"/>
        </w:rPr>
        <w:t>Id.</w:t>
      </w:r>
      <w:r w:rsidRPr="00051258">
        <w:rPr>
          <w:color w:val="000000" w:themeColor="text1"/>
          <w:szCs w:val="20"/>
        </w:rPr>
        <w:t> at 46, 382 N.Y.S.2d 724, 346 N.E.2d 524. It did not include language suggesting payments were to be made during the joint lives of the parties or terminate upon death of either party. </w:t>
      </w:r>
      <w:r w:rsidRPr="00051258">
        <w:rPr>
          <w:rStyle w:val="Emphasis"/>
          <w:color w:val="000000" w:themeColor="text1"/>
          <w:szCs w:val="20"/>
        </w:rPr>
        <w:t>Id.</w:t>
      </w:r>
      <w:r w:rsidRPr="00051258">
        <w:rPr>
          <w:color w:val="000000" w:themeColor="text1"/>
          <w:szCs w:val="20"/>
        </w:rPr>
        <w:t> The court reasoned that “in consideration for the release of her other marital rights, the wife acquired the security of having periodic payments made for her support during her lifetime, or, at least, until a remarriage.” </w:t>
      </w:r>
      <w:r w:rsidRPr="00051258">
        <w:rPr>
          <w:rStyle w:val="Emphasis"/>
          <w:color w:val="000000" w:themeColor="text1"/>
          <w:szCs w:val="20"/>
        </w:rPr>
        <w:t>Id</w:t>
      </w:r>
      <w:r w:rsidRPr="00051258">
        <w:rPr>
          <w:color w:val="000000" w:themeColor="text1"/>
          <w:szCs w:val="20"/>
        </w:rPr>
        <w:t>. at 46–47, 382 N.Y.S.2d 724, 346 N.E.2d 524.</w:t>
      </w:r>
    </w:p>
    <w:p w:rsidR="00197334" w:rsidRPr="00051258" w:rsidRDefault="00197334" w:rsidP="00197334">
      <w:pPr>
        <w:pStyle w:val="QS10"/>
        <w:rPr>
          <w:color w:val="000000" w:themeColor="text1"/>
          <w:szCs w:val="20"/>
        </w:rPr>
      </w:pPr>
      <w:r w:rsidRPr="00051258">
        <w:rPr>
          <w:rStyle w:val="Emphasis"/>
          <w:color w:val="000000" w:themeColor="text1"/>
          <w:szCs w:val="20"/>
        </w:rPr>
        <w:t>Cohen</w:t>
      </w:r>
      <w:r w:rsidRPr="00051258">
        <w:rPr>
          <w:color w:val="000000" w:themeColor="text1"/>
          <w:szCs w:val="20"/>
        </w:rPr>
        <w:t> is inapplicable here, however, because the Antenuptial Agreement includes other support for the former spouse.</w:t>
      </w:r>
    </w:p>
    <w:p w:rsidR="00197334" w:rsidRPr="00051258" w:rsidRDefault="00197334" w:rsidP="00197334">
      <w:pPr>
        <w:pStyle w:val="QS10"/>
        <w:rPr>
          <w:color w:val="000000" w:themeColor="text1"/>
          <w:szCs w:val="20"/>
        </w:rPr>
      </w:pPr>
      <w:r w:rsidRPr="00051258">
        <w:rPr>
          <w:color w:val="000000" w:themeColor="text1"/>
          <w:szCs w:val="20"/>
        </w:rPr>
        <w:t>In </w:t>
      </w:r>
      <w:r w:rsidRPr="00051258">
        <w:rPr>
          <w:rStyle w:val="Emphasis"/>
          <w:color w:val="000000" w:themeColor="text1"/>
          <w:szCs w:val="20"/>
        </w:rPr>
        <w:t>Riconda</w:t>
      </w:r>
      <w:r w:rsidRPr="00051258">
        <w:rPr>
          <w:color w:val="000000" w:themeColor="text1"/>
          <w:szCs w:val="20"/>
        </w:rPr>
        <w:t>, the Court of Appeals of New York declined to apply </w:t>
      </w:r>
      <w:r w:rsidRPr="00051258">
        <w:rPr>
          <w:rStyle w:val="Emphasis"/>
          <w:color w:val="000000" w:themeColor="text1"/>
          <w:szCs w:val="20"/>
        </w:rPr>
        <w:t>Cohen</w:t>
      </w:r>
      <w:r w:rsidRPr="00051258">
        <w:rPr>
          <w:color w:val="000000" w:themeColor="text1"/>
          <w:szCs w:val="20"/>
        </w:rPr>
        <w:t>. 90 N.Y.2d at 739, 665 N.Y.S.2d 392, 688 N.E.2d 248. “The judicial search is </w:t>
      </w:r>
      <w:r w:rsidRPr="00051258">
        <w:rPr>
          <w:rStyle w:val="Strong"/>
          <w:color w:val="000000" w:themeColor="text1"/>
          <w:szCs w:val="20"/>
        </w:rPr>
        <w:t>for specific, relevant contractual intent of the </w:t>
      </w:r>
      <w:r w:rsidRPr="00051258">
        <w:rPr>
          <w:rStyle w:val="Emphasis"/>
          <w:b/>
          <w:bCs/>
          <w:color w:val="000000" w:themeColor="text1"/>
          <w:szCs w:val="20"/>
        </w:rPr>
        <w:t>parties</w:t>
      </w:r>
      <w:r w:rsidRPr="00051258">
        <w:rPr>
          <w:color w:val="000000" w:themeColor="text1"/>
          <w:szCs w:val="20"/>
        </w:rPr>
        <w:t>....” </w:t>
      </w:r>
      <w:r w:rsidRPr="00051258">
        <w:rPr>
          <w:rStyle w:val="Emphasis"/>
          <w:color w:val="000000" w:themeColor="text1"/>
          <w:szCs w:val="20"/>
        </w:rPr>
        <w:t>Id.</w:t>
      </w:r>
      <w:r w:rsidRPr="00051258">
        <w:rPr>
          <w:color w:val="000000" w:themeColor="text1"/>
          <w:szCs w:val="20"/>
        </w:rPr>
        <w:t> (emphasis added). Because the agreement in </w:t>
      </w:r>
      <w:hyperlink r:id="rId469" w:history="1">
        <w:r w:rsidRPr="00051258">
          <w:rPr>
            <w:rStyle w:val="Emphasis"/>
            <w:color w:val="000000" w:themeColor="text1"/>
            <w:szCs w:val="20"/>
          </w:rPr>
          <w:t>Riconda</w:t>
        </w:r>
      </w:hyperlink>
      <w:r w:rsidRPr="00051258">
        <w:rPr>
          <w:color w:val="000000" w:themeColor="text1"/>
          <w:szCs w:val="20"/>
        </w:rPr>
        <w:t> “simply provide[d] for maintenance payments until [the wife's] death or remarriage” and was “silent as to the eventuality and consequence of his predeceasing her,” the court remanded the case to the lower court for a determination of the parties’ intent in drafting and executing their agreement. </w:t>
      </w:r>
      <w:r w:rsidRPr="00051258">
        <w:rPr>
          <w:rStyle w:val="Emphasis"/>
          <w:color w:val="000000" w:themeColor="text1"/>
          <w:szCs w:val="20"/>
        </w:rPr>
        <w:t>Id.</w:t>
      </w:r>
      <w:r w:rsidRPr="00051258">
        <w:rPr>
          <w:color w:val="000000" w:themeColor="text1"/>
          <w:szCs w:val="20"/>
        </w:rPr>
        <w:t> at 739–40, 665 N.Y.S.2d 392, 688 N.E.2d 248.</w:t>
      </w:r>
    </w:p>
    <w:p w:rsidR="00197334" w:rsidRPr="00051258" w:rsidRDefault="00197334" w:rsidP="00197334">
      <w:pPr>
        <w:pStyle w:val="QS10"/>
        <w:rPr>
          <w:color w:val="000000" w:themeColor="text1"/>
          <w:szCs w:val="20"/>
        </w:rPr>
      </w:pPr>
      <w:r w:rsidRPr="00051258">
        <w:rPr>
          <w:color w:val="000000" w:themeColor="text1"/>
          <w:szCs w:val="20"/>
        </w:rPr>
        <w:t>Here, the parties’ Antenuptial Agreement provided that “the husband shall pay to the wife, for her support and maintenance, $75,000 per year (in twelve equal monthly installments) for a period of two years after the date of entry of such judgment or until the wife's earlier death or remarriage.” The Antenuptial Agreement did not speak to the effect of the former husband's death. It expressly provided the former wife had an independent source of income. Under New York law, this was sufficient to establish the presumption that the obligation did not survive the former husband's death. </w:t>
      </w:r>
      <w:r w:rsidRPr="00051258">
        <w:rPr>
          <w:rStyle w:val="Emphasis"/>
          <w:color w:val="000000" w:themeColor="text1"/>
          <w:szCs w:val="20"/>
        </w:rPr>
        <w:t>See</w:t>
      </w:r>
      <w:r w:rsidRPr="00051258">
        <w:rPr>
          <w:color w:val="000000" w:themeColor="text1"/>
          <w:szCs w:val="20"/>
        </w:rPr>
        <w:t> </w:t>
      </w:r>
      <w:r w:rsidRPr="00051258">
        <w:rPr>
          <w:rStyle w:val="Emphasis"/>
          <w:color w:val="000000" w:themeColor="text1"/>
          <w:szCs w:val="20"/>
        </w:rPr>
        <w:t>id.</w:t>
      </w:r>
      <w:r w:rsidRPr="00051258">
        <w:rPr>
          <w:color w:val="000000" w:themeColor="text1"/>
          <w:szCs w:val="20"/>
        </w:rPr>
        <w:t> at 738, 665 N.Y.S.2d 392, 688 N.E.2d 248 (“When the four corners of the agreement contain no unequivocal direction to pay after death, and when discernible manifestations of intent reflect that support for the recipient spouse after the death of the payor spouse is otherwise provided for, the statutory and precedential preference that maintenance obligations terminate upon the death of the payor should ordinarily prevail.”).</w:t>
      </w:r>
    </w:p>
    <w:p w:rsidR="00197334" w:rsidRPr="00051258" w:rsidRDefault="00197334" w:rsidP="00197334">
      <w:pPr>
        <w:pStyle w:val="QS10"/>
        <w:rPr>
          <w:color w:val="000000" w:themeColor="text1"/>
          <w:szCs w:val="20"/>
        </w:rPr>
      </w:pPr>
      <w:r w:rsidRPr="00051258">
        <w:rPr>
          <w:color w:val="000000" w:themeColor="text1"/>
          <w:szCs w:val="20"/>
        </w:rPr>
        <w:t>The Antenuptial Agreement expressly provided for the former wife's financial support in the event of the former husband's death, “if the parties are still married to each other and residing together at the time of the Husband's death.” It provided:</w:t>
      </w:r>
    </w:p>
    <w:p w:rsidR="00197334" w:rsidRPr="00051258" w:rsidRDefault="00197334" w:rsidP="00051258">
      <w:pPr>
        <w:pStyle w:val="QS10"/>
        <w:ind w:left="2160"/>
        <w:rPr>
          <w:color w:val="000000" w:themeColor="text1"/>
          <w:szCs w:val="20"/>
        </w:rPr>
      </w:pPr>
      <w:r w:rsidRPr="00051258">
        <w:rPr>
          <w:color w:val="000000" w:themeColor="text1"/>
          <w:szCs w:val="20"/>
        </w:rPr>
        <w:t>Notwithstanding the provisions of Article 4, [the waiver provision], </w:t>
      </w:r>
      <w:r w:rsidRPr="00051258">
        <w:rPr>
          <w:rStyle w:val="Strong"/>
          <w:color w:val="000000" w:themeColor="text1"/>
          <w:szCs w:val="20"/>
        </w:rPr>
        <w:t>if the parties are still married to each other and residing together at the time of the [h]usband's death</w:t>
      </w:r>
      <w:r w:rsidRPr="00051258">
        <w:rPr>
          <w:color w:val="000000" w:themeColor="text1"/>
          <w:szCs w:val="20"/>
        </w:rPr>
        <w:t>, the [h]usband desires to make a fair and reasonable provision for the [w]ife in lieu of the rights that, after the Marriage, she might or could have had as a Wife or widow absent this Antenuptial Agreement. The parties therefore agree to the following:</w:t>
      </w:r>
    </w:p>
    <w:p w:rsidR="00197334" w:rsidRPr="00051258" w:rsidRDefault="00197334" w:rsidP="00051258">
      <w:pPr>
        <w:pStyle w:val="QS10"/>
        <w:ind w:left="2160"/>
        <w:rPr>
          <w:color w:val="000000" w:themeColor="text1"/>
          <w:szCs w:val="20"/>
        </w:rPr>
      </w:pPr>
      <w:r w:rsidRPr="00051258">
        <w:rPr>
          <w:color w:val="000000" w:themeColor="text1"/>
          <w:szCs w:val="20"/>
        </w:rPr>
        <w:t>The [h]usband shall, upon the marriage, provide in his last will and testament for a trust fund to take effect upon his death, wherein $200,000 will be placed in trust, the income from said trust to be paid to the wife until the wife's death or remarriage.</w:t>
      </w:r>
    </w:p>
    <w:p w:rsidR="00197334" w:rsidRPr="00051258" w:rsidRDefault="00197334" w:rsidP="00197334">
      <w:pPr>
        <w:pStyle w:val="QS10"/>
        <w:rPr>
          <w:color w:val="000000" w:themeColor="text1"/>
          <w:szCs w:val="20"/>
        </w:rPr>
      </w:pPr>
      <w:r w:rsidRPr="00051258">
        <w:rPr>
          <w:color w:val="000000" w:themeColor="text1"/>
          <w:szCs w:val="20"/>
        </w:rPr>
        <w:t>It did not include similar language in the lump sum alimony provision.</w:t>
      </w:r>
    </w:p>
    <w:p w:rsidR="00197334" w:rsidRPr="00A6425D" w:rsidRDefault="00A6425D" w:rsidP="00BA4F80">
      <w:pPr>
        <w:pStyle w:val="Body15"/>
        <w:rPr>
          <w:u w:val="single"/>
        </w:rPr>
      </w:pPr>
      <w:r>
        <w:rPr>
          <w:u w:val="single"/>
        </w:rPr>
        <w:t>DISSENT</w:t>
      </w:r>
    </w:p>
    <w:p w:rsidR="00051258" w:rsidRPr="00051258" w:rsidRDefault="00051258" w:rsidP="00051258">
      <w:pPr>
        <w:pStyle w:val="QS10"/>
        <w:rPr>
          <w:color w:val="000000" w:themeColor="text1"/>
          <w:szCs w:val="20"/>
        </w:rPr>
      </w:pPr>
      <w:r w:rsidRPr="00051258">
        <w:rPr>
          <w:color w:val="000000" w:themeColor="text1"/>
          <w:szCs w:val="20"/>
        </w:rPr>
        <w:t>I dissent. Because our duty is to apply New York law, the case of </w:t>
      </w:r>
      <w:r w:rsidRPr="00051258">
        <w:rPr>
          <w:rStyle w:val="Emphasis"/>
          <w:color w:val="000000" w:themeColor="text1"/>
          <w:szCs w:val="20"/>
        </w:rPr>
        <w:t>Gardner v. Zammit</w:t>
      </w:r>
      <w:r w:rsidRPr="00051258">
        <w:rPr>
          <w:color w:val="000000" w:themeColor="text1"/>
          <w:szCs w:val="20"/>
        </w:rPr>
        <w:t>, ––– A.D.3d ––––, 128 N.Y.S.3d 383 (2020), is most closely on point, and governs this proceeding. I would reverse the final summary judgment.</w:t>
      </w:r>
    </w:p>
    <w:p w:rsidR="00051258" w:rsidRPr="00051258" w:rsidRDefault="00051258" w:rsidP="00051258">
      <w:pPr>
        <w:pStyle w:val="QS10"/>
        <w:rPr>
          <w:color w:val="000000" w:themeColor="text1"/>
          <w:szCs w:val="20"/>
        </w:rPr>
      </w:pPr>
      <w:r w:rsidRPr="00051258">
        <w:rPr>
          <w:color w:val="000000" w:themeColor="text1"/>
          <w:szCs w:val="20"/>
        </w:rPr>
        <w:t>In </w:t>
      </w:r>
      <w:hyperlink r:id="rId470" w:history="1">
        <w:r w:rsidRPr="00051258">
          <w:rPr>
            <w:rStyle w:val="Emphasis"/>
            <w:color w:val="000000" w:themeColor="text1"/>
            <w:szCs w:val="20"/>
          </w:rPr>
          <w:t>Gardner</w:t>
        </w:r>
      </w:hyperlink>
      <w:r w:rsidRPr="00051258">
        <w:rPr>
          <w:color w:val="000000" w:themeColor="text1"/>
          <w:szCs w:val="20"/>
        </w:rPr>
        <w:t>, the parties were divorced and entered into a settlement agreement with terms that the wife would pay maintenance to the husband which would terminate only upon his death. The agreement also had a provision making it binding upon “the parties, their heirs, executors, legal representatives, administrators and assigns.” After the former wife died, her estate refused to make further payments to the former husband; he in turn sued the estate for the payments. </w:t>
      </w:r>
      <w:hyperlink r:id="rId471" w:history="1">
        <w:r w:rsidRPr="00051258">
          <w:rPr>
            <w:rStyle w:val="Emphasis"/>
            <w:color w:val="000000" w:themeColor="text1"/>
            <w:szCs w:val="20"/>
          </w:rPr>
          <w:t>Id</w:t>
        </w:r>
        <w:r w:rsidRPr="00051258">
          <w:rPr>
            <w:rStyle w:val="Hyperlink"/>
            <w:color w:val="000000" w:themeColor="text1"/>
            <w:szCs w:val="20"/>
          </w:rPr>
          <w:t>.</w:t>
        </w:r>
      </w:hyperlink>
    </w:p>
    <w:p w:rsidR="00051258" w:rsidRPr="00051258" w:rsidRDefault="00051258" w:rsidP="00051258">
      <w:pPr>
        <w:pStyle w:val="QS10"/>
        <w:rPr>
          <w:color w:val="000000" w:themeColor="text1"/>
          <w:szCs w:val="20"/>
        </w:rPr>
      </w:pPr>
      <w:r w:rsidRPr="00051258">
        <w:rPr>
          <w:color w:val="000000" w:themeColor="text1"/>
          <w:szCs w:val="20"/>
        </w:rPr>
        <w:t>The court determined that the estate was liable for the maintenance payments. It reasoned:</w:t>
      </w:r>
    </w:p>
    <w:p w:rsidR="00051258" w:rsidRPr="00051258" w:rsidRDefault="00051258" w:rsidP="00051258">
      <w:pPr>
        <w:pStyle w:val="QS10"/>
        <w:rPr>
          <w:color w:val="000000" w:themeColor="text1"/>
          <w:szCs w:val="20"/>
        </w:rPr>
      </w:pPr>
      <w:r w:rsidRPr="00051258">
        <w:rPr>
          <w:color w:val="000000" w:themeColor="text1"/>
          <w:szCs w:val="20"/>
        </w:rPr>
        <w:t>A settlement agreement is a contract subject to principles of contract interpretation, and the court “should interpret the contract in accordance with its plain and ordinary meaning” (</w:t>
      </w:r>
      <w:r w:rsidRPr="00051258">
        <w:rPr>
          <w:rStyle w:val="Emphasis"/>
          <w:color w:val="000000" w:themeColor="text1"/>
          <w:szCs w:val="20"/>
        </w:rPr>
        <w:t>Matter of Wilson</w:t>
      </w:r>
      <w:r w:rsidRPr="00051258">
        <w:rPr>
          <w:color w:val="000000" w:themeColor="text1"/>
          <w:szCs w:val="20"/>
        </w:rPr>
        <w:t>, 138 A.D.3d 1441, 1442 [31 N.Y.S.3d 331 (4th Dept. 2016)] [internal quotation marks omitted]). In addition, “[t]he intent to vary the statutory and precedential preference of an end to maintenance payments upon death of the payor must be expressed clearly” (</w:t>
      </w:r>
      <w:r w:rsidRPr="00051258">
        <w:rPr>
          <w:rStyle w:val="Emphasis"/>
          <w:color w:val="000000" w:themeColor="text1"/>
          <w:szCs w:val="20"/>
        </w:rPr>
        <w:t>Matter of Riconda</w:t>
      </w:r>
      <w:r w:rsidRPr="00051258">
        <w:rPr>
          <w:color w:val="000000" w:themeColor="text1"/>
          <w:szCs w:val="20"/>
        </w:rPr>
        <w:t>, 90 N.Y.2d 733 [665 N.Y.S.2d 392, 688 N.E.2d 248]). Here, neither party contends that the settlement agreement is ambiguous. We agree with plaintiff that the clause at issue unequivocally permits the termination of the maintenance obligation on the happening of one event only: the death of plaintiff. Further, the settlement agreement makes all provisions of the agreement binding on “the parties, their heirs, executors, legal representatives, administrators and assigns.” Thus, plaintiff met his initial burden on the motion of establishing that the maintenance payments were intended to survive decedent's death and become an obligation of her estate ....</w:t>
      </w:r>
    </w:p>
    <w:p w:rsidR="00051258" w:rsidRPr="00051258" w:rsidRDefault="00051258" w:rsidP="00051258">
      <w:pPr>
        <w:pStyle w:val="QS10"/>
        <w:rPr>
          <w:color w:val="000000" w:themeColor="text1"/>
          <w:szCs w:val="20"/>
        </w:rPr>
      </w:pPr>
      <w:r w:rsidRPr="00051258">
        <w:rPr>
          <w:rStyle w:val="Emphasis"/>
          <w:color w:val="000000" w:themeColor="text1"/>
          <w:szCs w:val="20"/>
        </w:rPr>
        <w:t>Id.</w:t>
      </w:r>
      <w:r w:rsidRPr="00051258">
        <w:rPr>
          <w:color w:val="000000" w:themeColor="text1"/>
          <w:szCs w:val="20"/>
        </w:rPr>
        <w:t> at 384–85 (citations omitted).</w:t>
      </w:r>
    </w:p>
    <w:p w:rsidR="00051258" w:rsidRPr="00051258" w:rsidRDefault="00051258" w:rsidP="00051258">
      <w:pPr>
        <w:pStyle w:val="QS10"/>
        <w:rPr>
          <w:color w:val="000000" w:themeColor="text1"/>
          <w:szCs w:val="20"/>
        </w:rPr>
      </w:pPr>
      <w:r w:rsidRPr="00051258">
        <w:rPr>
          <w:color w:val="000000" w:themeColor="text1"/>
          <w:szCs w:val="20"/>
        </w:rPr>
        <w:t>Similarly, in this case, Article 6(iv)(g) provides that the two years of alimony payments shall terminate only upon the happening of one of two events: death of the former wife or her remarriage. Further, just as in </w:t>
      </w:r>
      <w:r w:rsidRPr="00051258">
        <w:rPr>
          <w:rStyle w:val="Emphasis"/>
          <w:color w:val="000000" w:themeColor="text1"/>
          <w:szCs w:val="20"/>
        </w:rPr>
        <w:t>Gardner</w:t>
      </w:r>
      <w:r w:rsidRPr="00051258">
        <w:rPr>
          <w:color w:val="000000" w:themeColor="text1"/>
          <w:szCs w:val="20"/>
        </w:rPr>
        <w:t>, the contract stated that it was binding on the parties’ executors and administrators. Therefore, the alimony provision is binding on the estate. I conclude that </w:t>
      </w:r>
      <w:r w:rsidRPr="00051258">
        <w:rPr>
          <w:rStyle w:val="Emphasis"/>
          <w:color w:val="000000" w:themeColor="text1"/>
          <w:szCs w:val="20"/>
        </w:rPr>
        <w:t>Gardner</w:t>
      </w:r>
      <w:r w:rsidRPr="00051258">
        <w:rPr>
          <w:color w:val="000000" w:themeColor="text1"/>
          <w:szCs w:val="20"/>
        </w:rPr>
        <w:t> is controlling.</w:t>
      </w:r>
    </w:p>
    <w:p w:rsidR="00051258" w:rsidRPr="00051258" w:rsidRDefault="00051258" w:rsidP="00051258">
      <w:pPr>
        <w:pStyle w:val="QS10"/>
        <w:rPr>
          <w:color w:val="000000" w:themeColor="text1"/>
          <w:szCs w:val="20"/>
        </w:rPr>
      </w:pPr>
      <w:r w:rsidRPr="00051258">
        <w:rPr>
          <w:color w:val="000000" w:themeColor="text1"/>
          <w:szCs w:val="20"/>
        </w:rPr>
        <w:t>That Article 7 provides for support if the parties were still married at the husband's death does not prove that the parties did not intend the limited alimony upon divorce to continue in case of the former husband's death. Moreover, I believe the majority is mistaken in its reliance on the statement in the agreement that the wife has income ($20,000 per year in 1986, the date of the agreement) as creating a presumption that alimony payments should not continue after death. While New York cases discuss an independent source of support from the paying spouse as evidence that the contract does not contemplate post-death continuation of maintenance payments, a spouse's own income is not the “independent provision” for the wife's support envisioned by the New York courts. </w:t>
      </w:r>
      <w:r w:rsidRPr="00051258">
        <w:rPr>
          <w:rStyle w:val="Emphasis"/>
          <w:color w:val="000000" w:themeColor="text1"/>
          <w:szCs w:val="20"/>
        </w:rPr>
        <w:t>Matter of Riconda</w:t>
      </w:r>
      <w:r w:rsidRPr="00051258">
        <w:rPr>
          <w:color w:val="000000" w:themeColor="text1"/>
          <w:szCs w:val="20"/>
        </w:rPr>
        <w:t>, 90 N.Y.2d 733, 665 N.Y.S.2d 392, 688 N.E.2d 248, explains the type of independent source of support necessary to conclude that the alimony provision does not survive the payor's death:</w:t>
      </w:r>
    </w:p>
    <w:p w:rsidR="00051258" w:rsidRPr="00051258" w:rsidRDefault="00051258" w:rsidP="00051258">
      <w:pPr>
        <w:pStyle w:val="QS10"/>
        <w:rPr>
          <w:color w:val="000000" w:themeColor="text1"/>
          <w:szCs w:val="20"/>
        </w:rPr>
      </w:pPr>
      <w:r w:rsidRPr="00051258">
        <w:rPr>
          <w:color w:val="000000" w:themeColor="text1"/>
          <w:szCs w:val="20"/>
        </w:rPr>
        <w:t>Independent sources of support, from which an intent not to allow post-death continuance of maintenance payments may include the designation of a former spouse as irrevocable beneficiary on a life insurance policy and other distributions accruing upon the death of the payor spouse, or a lump-sum transfer in discharge of claims against the estate.</w:t>
      </w:r>
    </w:p>
    <w:p w:rsidR="00051258" w:rsidRDefault="00051258" w:rsidP="00051258">
      <w:pPr>
        <w:pStyle w:val="QS10"/>
        <w:rPr>
          <w:color w:val="000000" w:themeColor="text1"/>
          <w:szCs w:val="20"/>
        </w:rPr>
      </w:pPr>
      <w:r w:rsidRPr="00051258">
        <w:rPr>
          <w:rStyle w:val="Emphasis"/>
          <w:color w:val="000000" w:themeColor="text1"/>
          <w:szCs w:val="20"/>
        </w:rPr>
        <w:t>Id.</w:t>
      </w:r>
      <w:r w:rsidRPr="00051258">
        <w:rPr>
          <w:color w:val="000000" w:themeColor="text1"/>
          <w:szCs w:val="20"/>
        </w:rPr>
        <w:t> at 739, 665 N.Y.S.2d 392, 688 N.E.2d 248 (citations omitted). In this case, there was no provision for the former wife in the estate, or by way of insurance, or any other distribution for her benefit.</w:t>
      </w:r>
    </w:p>
    <w:p w:rsidR="00A6425D" w:rsidRPr="00051258" w:rsidRDefault="00A6425D" w:rsidP="00A6425D">
      <w:pPr>
        <w:pStyle w:val="Body15"/>
        <w:rPr>
          <w:color w:val="000000" w:themeColor="text1"/>
          <w:szCs w:val="20"/>
        </w:rPr>
      </w:pPr>
      <w:r>
        <w:rPr>
          <w:color w:val="000000" w:themeColor="text1"/>
          <w:szCs w:val="20"/>
        </w:rPr>
        <w:t>The litigants may have been more satisfied, and certainly we who are third-party observers would have been, had a New York court been applying its own law.</w:t>
      </w:r>
    </w:p>
    <w:p w:rsidR="00925651" w:rsidRPr="00925651" w:rsidRDefault="00925651" w:rsidP="00925651">
      <w:pPr>
        <w:pStyle w:val="Heading20"/>
        <w:numPr>
          <w:ilvl w:val="1"/>
          <w:numId w:val="33"/>
        </w:numPr>
        <w:tabs>
          <w:tab w:val="clear" w:pos="2700"/>
        </w:tabs>
        <w:spacing w:before="240"/>
        <w:ind w:left="0"/>
        <w:rPr>
          <w:vanish/>
          <w:specVanish/>
        </w:rPr>
      </w:pPr>
      <w:bookmarkStart w:id="831" w:name="_Toc94704721"/>
      <w:r>
        <w:rPr>
          <w:b/>
          <w:u w:val="single"/>
        </w:rPr>
        <w:t>In Terrorem Clause In An Undue Influence Situation</w:t>
      </w:r>
      <w:bookmarkEnd w:id="831"/>
    </w:p>
    <w:p w:rsidR="00197334" w:rsidRDefault="00925651" w:rsidP="00925651">
      <w:pPr>
        <w:pStyle w:val="Heading2Body"/>
      </w:pPr>
      <w:r>
        <w:t xml:space="preserve">.  </w:t>
      </w:r>
      <w:r>
        <w:rPr>
          <w:u w:val="single"/>
        </w:rPr>
        <w:t>Giller v. Slosberg</w:t>
      </w:r>
      <w:r>
        <w:t xml:space="preserve">, </w:t>
      </w:r>
      <w:r w:rsidR="00623BF2" w:rsidRPr="00623BF2">
        <w:t xml:space="preserve">2021 WL 1624641 </w:t>
      </w:r>
      <w:r>
        <w:t>(Ga. App. 2021), involved undue influence claims regarding a trust and beneficiary designations.  The trust contained an in terrorem clause, which the court found applicable</w:t>
      </w:r>
      <w:r w:rsidR="009A146F">
        <w:t xml:space="preserve"> despite the apparent validity of the claim</w:t>
      </w:r>
      <w:r>
        <w:t>.  The opinion states:</w:t>
      </w:r>
    </w:p>
    <w:p w:rsidR="00544B2B" w:rsidRDefault="00544B2B" w:rsidP="00544B2B">
      <w:pPr>
        <w:pStyle w:val="QS10"/>
      </w:pPr>
      <w:r>
        <w:t>This case does not involve a will. Rather, it concerns three documents which purported to distribute much of the assets of the father, David K. Slosberg: the David K. Slosberg Asset Protection Trust II, dated January 17, 2014 (Trust #2), a beneficiary form designating Giller and Seidner as beneficiaries of their father's IRA Account with First National Bank &amp; Trust (“FNBT”) (the “IRA Account”), and a beneficiary form designating Giller, Seidner, and Slosberg as beneficiaries of their father's Agency Account with FNBT (the “Agency Account”), with Giller and Seidner each receiving forty percent of the assets and Slosberg receiving twenty percent. Slosberg believed that Giller and Seidner exerted undue influence over their father and caused their father to execute these three documents, drastically reducing his right to their father's assets.</w:t>
      </w:r>
    </w:p>
    <w:p w:rsidR="00544B2B" w:rsidRDefault="00544B2B" w:rsidP="00544B2B">
      <w:pPr>
        <w:pStyle w:val="QS10"/>
      </w:pPr>
      <w:r>
        <w:t>Approximately one year before their father died, Slosberg filed suit against Giller and Seidner. After their father's death, Slosberg filed his third amended complaint, which is the operative pleading for this appeal. The amended complaint included a number of claims, including claims for undue influence, fraud, conversion, and trover against Giller and Seidner based on allegations that their father's actions were the result of diminished mental capacity and undue influence. The complaint sought, among other relief, the imposition of a constructive trust to the extent Giller and Seidner had absconded with assets to which Slosberg was entitled, and injunctive relief to prohibit Giller and Seidner from transferring or receiving any assets of their father, including, inter alia, Trust #2, the IRA Account, and the Agency Account until the court determined whether the execution of these document was the result of undue influence. Giller and Seidner answered and asserted counterclaims against Slosberg for defamation and tortious interference, seeking both a declaratory judgment and equitable relief.</w:t>
      </w:r>
    </w:p>
    <w:p w:rsidR="00544B2B" w:rsidRDefault="00544B2B" w:rsidP="00544B2B">
      <w:pPr>
        <w:pStyle w:val="QS10"/>
      </w:pPr>
      <w:r>
        <w:t>Following a two and one-half week trial, the jury found in favor of Slosberg on his claims for undue influence as to all three documents: Trust #2, the IRA Account, and the Agency Account. The superior court entered final judgment on the jury's verdict, ruling “that the challenged documents pertaining to the Accounts are void and are hereby set aside, as are any transfers made pursuant to those documents.” The superior court further noted that the evidence produced at trial demonstrated that the total amount contained in the accounts at the time of the father's death was $2,372,000.01, and that all assets contained in these three accounts “had been distributed by FNBT, either to [Giller and Seidner] or into the registry of the Court, apart from $140,413.67 held in the IRA account as of December 31, 2018.” The superior court, therefore, imposed a constructive trust in favor of Slosberg for $1,056,482.31, which the court determined was Slosberg's one-third share of the accounts, plus prejudgment interest, post judgment interest, and costs. </w:t>
      </w:r>
    </w:p>
    <w:p w:rsidR="00925651" w:rsidRDefault="00925651" w:rsidP="00544B2B">
      <w:pPr>
        <w:pStyle w:val="QS10"/>
        <w:jc w:val="center"/>
      </w:pPr>
      <w:r>
        <w:t>* * *</w:t>
      </w:r>
    </w:p>
    <w:p w:rsidR="00544B2B" w:rsidRPr="00544B2B" w:rsidRDefault="00544B2B" w:rsidP="00544B2B">
      <w:pPr>
        <w:pStyle w:val="QS10"/>
        <w:rPr>
          <w:color w:val="000000" w:themeColor="text1"/>
          <w:szCs w:val="20"/>
        </w:rPr>
      </w:pPr>
      <w:r w:rsidRPr="00544B2B">
        <w:rPr>
          <w:szCs w:val="20"/>
        </w:rPr>
        <w:t>We first note that Giller and Seidner do not claim that the evidence was insufficient to support the jury's findings or in any way challenge the jury's findings that they wrongfully procured the three documents and their assets through the exercise of undue influence over their father. Rather, they attack the superior court's final judgment, arguing that (1) the in terrorem clause contained in Trust #2 precluded Slosberg from receiving any assets from that trust, (2) the superior court's imposition of a constructive trust in Slosberg's favor usurps the pr</w:t>
      </w:r>
      <w:r w:rsidRPr="00544B2B">
        <w:rPr>
          <w:color w:val="000000" w:themeColor="text1"/>
          <w:szCs w:val="20"/>
        </w:rPr>
        <w:t>obate court's jurisdiction, and (3) the final judgment awarded damages above those to which Slosberg was entitled.</w:t>
      </w:r>
      <w:hyperlink r:id="rId472" w:anchor="co_footnote_B00032053519396" w:history="1">
        <w:r w:rsidRPr="00544B2B">
          <w:rPr>
            <w:rStyle w:val="Hyperlink"/>
            <w:color w:val="000000" w:themeColor="text1"/>
            <w:szCs w:val="20"/>
            <w:vertAlign w:val="superscript"/>
          </w:rPr>
          <w:t>3</w:t>
        </w:r>
      </w:hyperlink>
      <w:r w:rsidRPr="00544B2B">
        <w:rPr>
          <w:color w:val="000000" w:themeColor="text1"/>
          <w:szCs w:val="20"/>
        </w:rPr>
        <w:t> These issues appear to raise mixed questions of fact and law. With mixed questions of fact and law, this Court accepts the trial court's findings on disputed facts and witness credibility unless clearly erroneous, but independently applies the legal principles to the facts. </w:t>
      </w:r>
      <w:r w:rsidRPr="00544B2B">
        <w:rPr>
          <w:rStyle w:val="Emphasis"/>
          <w:color w:val="000000" w:themeColor="text1"/>
          <w:szCs w:val="20"/>
        </w:rPr>
        <w:t>Garden Club of Ga. v. Shackelford</w:t>
      </w:r>
      <w:r w:rsidRPr="00544B2B">
        <w:rPr>
          <w:color w:val="000000" w:themeColor="text1"/>
          <w:szCs w:val="20"/>
        </w:rPr>
        <w:t>, 274 Ga. 653, 655 (1), 560 S.E.2d 522 (2002); </w:t>
      </w:r>
      <w:r w:rsidRPr="00544B2B">
        <w:rPr>
          <w:rStyle w:val="Emphasis"/>
          <w:color w:val="000000" w:themeColor="text1"/>
          <w:szCs w:val="20"/>
        </w:rPr>
        <w:t>Suggs v. State</w:t>
      </w:r>
      <w:r w:rsidRPr="00544B2B">
        <w:rPr>
          <w:color w:val="000000" w:themeColor="text1"/>
          <w:szCs w:val="20"/>
        </w:rPr>
        <w:t>, 272 Ga. 85, 88 (4), 526 S.E.2d 347 (2000).</w:t>
      </w:r>
    </w:p>
    <w:p w:rsidR="00544B2B" w:rsidRPr="00544B2B" w:rsidRDefault="00544B2B" w:rsidP="00544B2B">
      <w:pPr>
        <w:pStyle w:val="QS10"/>
        <w:rPr>
          <w:szCs w:val="20"/>
        </w:rPr>
      </w:pPr>
      <w:r w:rsidRPr="00544B2B">
        <w:rPr>
          <w:color w:val="000000" w:themeColor="text1"/>
          <w:szCs w:val="20"/>
        </w:rPr>
        <w:t xml:space="preserve">1. Giller and Seidner assert that the superior court erred in allowing Slosberg to “enjoy the benefits he forfeited by initiating actions disallowed by the no-contest clause” in their father's trust. Specifically, they argue that the superior court's final judgment is inconsistent with the valid and </w:t>
      </w:r>
      <w:r w:rsidRPr="00544B2B">
        <w:rPr>
          <w:szCs w:val="20"/>
        </w:rPr>
        <w:t>enforceable in terrorem clause</w:t>
      </w:r>
      <w:hyperlink r:id="rId473" w:anchor="co_footnote_B00042053519396" w:history="1">
        <w:r w:rsidRPr="00544B2B">
          <w:rPr>
            <w:rStyle w:val="Hyperlink"/>
            <w:color w:val="4778C2"/>
            <w:szCs w:val="20"/>
            <w:vertAlign w:val="superscript"/>
          </w:rPr>
          <w:t>4</w:t>
        </w:r>
      </w:hyperlink>
      <w:r w:rsidRPr="00544B2B">
        <w:rPr>
          <w:szCs w:val="20"/>
        </w:rPr>
        <w:t> contained in Trust #2, which provides that benefits revoked under the clause become a part of the remainder of the Trust Estate. They further assert that not only was Slosberg not entitled to benefits under Trust #2 because of the in terrorem clause, but they were entitled to judgment in their favor on the undue influence claim as to the trust.</w:t>
      </w:r>
      <w:hyperlink r:id="rId474" w:anchor="co_footnote_B00052053519396" w:history="1">
        <w:r w:rsidRPr="00544B2B">
          <w:rPr>
            <w:rStyle w:val="Hyperlink"/>
            <w:color w:val="4778C2"/>
            <w:szCs w:val="20"/>
            <w:vertAlign w:val="superscript"/>
          </w:rPr>
          <w:t>5</w:t>
        </w:r>
      </w:hyperlink>
      <w:r w:rsidRPr="00544B2B">
        <w:rPr>
          <w:szCs w:val="20"/>
        </w:rPr>
        <w:t> We conclude that Slosberg forfeited any benefits under Trust #2 by violating the trust's in terrorem clause, and the superior court erred in not only awarding a constructive trust based on any benefits he would have received under the trust, but also in permitting the claim to proceed to the jury. We note that neither the IRA Account nor the Agency Account contained in terrorem clauses, and our decision in this division, therefore, is limited to Trust #2.</w:t>
      </w:r>
    </w:p>
    <w:p w:rsidR="00925651" w:rsidRDefault="00544B2B" w:rsidP="00BA4F80">
      <w:pPr>
        <w:pStyle w:val="Body15"/>
      </w:pPr>
      <w:r>
        <w:t xml:space="preserve">In terrorem </w:t>
      </w:r>
      <w:r w:rsidR="00EE0D00">
        <w:t>enforcement</w:t>
      </w:r>
      <w:r w:rsidR="00925651">
        <w:t xml:space="preserve"> in Georgia is strong:</w:t>
      </w:r>
    </w:p>
    <w:p w:rsidR="00544B2B" w:rsidRPr="00626AF0" w:rsidRDefault="00544B2B" w:rsidP="00544B2B">
      <w:pPr>
        <w:pStyle w:val="QS10"/>
        <w:rPr>
          <w:color w:val="000000" w:themeColor="text1"/>
          <w:szCs w:val="20"/>
        </w:rPr>
      </w:pPr>
      <w:r w:rsidRPr="00626AF0">
        <w:rPr>
          <w:color w:val="000000" w:themeColor="text1"/>
          <w:szCs w:val="20"/>
        </w:rPr>
        <w:t>Although Slosberg attempts to distinguish </w:t>
      </w:r>
      <w:r w:rsidRPr="00626AF0">
        <w:rPr>
          <w:rStyle w:val="Emphasis"/>
          <w:color w:val="000000" w:themeColor="text1"/>
          <w:szCs w:val="20"/>
        </w:rPr>
        <w:t>Duncan v. Rawls</w:t>
      </w:r>
      <w:r w:rsidRPr="00626AF0">
        <w:rPr>
          <w:color w:val="000000" w:themeColor="text1"/>
          <w:szCs w:val="20"/>
        </w:rPr>
        <w:t>, 345 Ga. App. 345, 812 S.E.2d 647 (2018), that case is directly on point and leads us to the inescapable conclusion that the in terrorem clause in Trust #2 bars any claim attacking the trust, including a claim that the trust was executed as the result of undue influence. </w:t>
      </w:r>
      <w:r w:rsidRPr="00626AF0">
        <w:rPr>
          <w:rStyle w:val="Emphasis"/>
          <w:color w:val="000000" w:themeColor="text1"/>
          <w:szCs w:val="20"/>
        </w:rPr>
        <w:t>Duncan</w:t>
      </w:r>
      <w:r w:rsidRPr="00626AF0">
        <w:rPr>
          <w:color w:val="000000" w:themeColor="text1"/>
          <w:szCs w:val="20"/>
        </w:rPr>
        <w:t> concerned “whether and under what circumstances Georgia public policy prohibits enforcement of an in terrorem, or no contest, provision of a trust.” Id. at 345, 812 S.E.2d 647. The case involved beneficiaries of a trust, allegedly in good faith and upon probable cause, challenging the legal validity of the trust based on a claim of undue influence. Id. “We conclude[d] that because the legislature, not this Court, determines Georgia public policy, the trial court did not err by enforcing the in terrorem clause against a claim of undue influence and therefore granting partial summary judgment to the trustees on that claim.” Id. Specifically, this Court held as follows:</w:t>
      </w:r>
    </w:p>
    <w:p w:rsidR="00544B2B" w:rsidRPr="00626AF0" w:rsidRDefault="00544B2B" w:rsidP="00626AF0">
      <w:pPr>
        <w:pStyle w:val="QS10"/>
        <w:ind w:left="2160"/>
        <w:rPr>
          <w:color w:val="000000" w:themeColor="text1"/>
          <w:szCs w:val="20"/>
        </w:rPr>
      </w:pPr>
      <w:r w:rsidRPr="00626AF0">
        <w:rPr>
          <w:color w:val="000000" w:themeColor="text1"/>
          <w:szCs w:val="20"/>
        </w:rPr>
        <w:t>Under Georgia law, a trust may be attacked where the trust results from undue influence. But ... in terrorem clauses protecting against such a challenge are allowed under Georgia law with only one codified limitation, that being the alternative disposition provision discussed above. The parties have not cited any other statutory limitation on such clauses, and we find none, let alone a good faith/probable cause exception to enforcement of an in terrorem clause.</w:t>
      </w:r>
    </w:p>
    <w:p w:rsidR="00544B2B" w:rsidRPr="00626AF0" w:rsidRDefault="00544B2B" w:rsidP="00544B2B">
      <w:pPr>
        <w:pStyle w:val="QS10"/>
        <w:rPr>
          <w:color w:val="000000" w:themeColor="text1"/>
          <w:szCs w:val="20"/>
        </w:rPr>
      </w:pPr>
      <w:r w:rsidRPr="00626AF0">
        <w:rPr>
          <w:color w:val="000000" w:themeColor="text1"/>
          <w:szCs w:val="20"/>
        </w:rPr>
        <w:t>Id. at 348 (1) (b), 812 S.E.2d 647 (citation omitted).</w:t>
      </w:r>
    </w:p>
    <w:p w:rsidR="00544B2B" w:rsidRPr="00626AF0" w:rsidRDefault="00544B2B" w:rsidP="00544B2B">
      <w:pPr>
        <w:pStyle w:val="QS10"/>
        <w:rPr>
          <w:color w:val="000000" w:themeColor="text1"/>
          <w:szCs w:val="20"/>
        </w:rPr>
      </w:pPr>
      <w:r w:rsidRPr="00626AF0">
        <w:rPr>
          <w:rStyle w:val="Emphasis"/>
          <w:color w:val="000000" w:themeColor="text1"/>
          <w:szCs w:val="20"/>
        </w:rPr>
        <w:t>Howell v. Bates</w:t>
      </w:r>
      <w:r w:rsidRPr="00626AF0">
        <w:rPr>
          <w:color w:val="000000" w:themeColor="text1"/>
          <w:szCs w:val="20"/>
        </w:rPr>
        <w:t>, 350 Ga. App. 708, 715 (3), 830 S.E.2d 250 (2019), where this Court affirmed the trial court's ruling that the petitioner had violated an in terrorem clause and forfeited her distribution under a trust. The trust in that case provided that</w:t>
      </w:r>
    </w:p>
    <w:p w:rsidR="00544B2B" w:rsidRPr="00626AF0" w:rsidRDefault="00544B2B" w:rsidP="00626AF0">
      <w:pPr>
        <w:pStyle w:val="QS10"/>
        <w:ind w:left="2160"/>
        <w:rPr>
          <w:color w:val="000000" w:themeColor="text1"/>
          <w:szCs w:val="20"/>
        </w:rPr>
      </w:pPr>
      <w:r w:rsidRPr="00626AF0">
        <w:rPr>
          <w:color w:val="000000" w:themeColor="text1"/>
          <w:szCs w:val="20"/>
        </w:rPr>
        <w:t>if a person contested or initiated legal proceedings either to challenge the validity of the Trust, the Will, or of any provision in either document, or to prevent any provision in either document from being carried out in accordance with its terms (whether or not in good faith and with probable cause), then all benefits provided for such person under the Trust and the Will would be revoked and annulled.</w:t>
      </w:r>
    </w:p>
    <w:p w:rsidR="00544B2B" w:rsidRPr="00626AF0" w:rsidRDefault="00544B2B" w:rsidP="00544B2B">
      <w:pPr>
        <w:pStyle w:val="QS10"/>
        <w:rPr>
          <w:color w:val="000000" w:themeColor="text1"/>
          <w:szCs w:val="20"/>
        </w:rPr>
      </w:pPr>
      <w:r w:rsidRPr="00626AF0">
        <w:rPr>
          <w:color w:val="000000" w:themeColor="text1"/>
          <w:szCs w:val="20"/>
        </w:rPr>
        <w:t>Id. at 714 (3), 830 S.E.2d 250 (punctuation and footnote omitted). This Court specifically held that by filing actions challenging the validity of a will with an in terrorem clause, including one in which the petitioner claimed the will was invalid due to alleged undue influence, the petitioner “clearly violated the plain language of the ‘no contest’ clause in the Trust.” Id. at 715 (3) (b), 830 S.E.2d 250.</w:t>
      </w:r>
    </w:p>
    <w:p w:rsidR="00544B2B" w:rsidRPr="00626AF0" w:rsidRDefault="00544B2B" w:rsidP="00544B2B">
      <w:pPr>
        <w:pStyle w:val="QS10"/>
        <w:rPr>
          <w:color w:val="000000" w:themeColor="text1"/>
          <w:szCs w:val="20"/>
        </w:rPr>
      </w:pPr>
      <w:r w:rsidRPr="00626AF0">
        <w:rPr>
          <w:color w:val="000000" w:themeColor="text1"/>
          <w:szCs w:val="20"/>
        </w:rPr>
        <w:t>While we sympathize with Slosberg, and we agree that it is poor public policy to permit individuals exerting undue influence over the creation of trusts to immunize their actions by including in terrorem clauses in the trusts, we must exercise judicial restraint because “[t]he legislature, and not the courts, is empowered by the Constitution to decide public policy, and to implement that policy by enacting laws.” </w:t>
      </w:r>
      <w:r w:rsidRPr="00626AF0">
        <w:rPr>
          <w:rStyle w:val="Emphasis"/>
          <w:color w:val="000000" w:themeColor="text1"/>
          <w:szCs w:val="20"/>
        </w:rPr>
        <w:t>Duncan</w:t>
      </w:r>
      <w:r w:rsidRPr="00626AF0">
        <w:rPr>
          <w:color w:val="000000" w:themeColor="text1"/>
          <w:szCs w:val="20"/>
        </w:rPr>
        <w:t>, 345 Ga. App. at 350 (1) (b), 812 S.E.2d 647 (punctuation omitted). To that end, this Court repeatedly has stated that</w:t>
      </w:r>
    </w:p>
    <w:p w:rsidR="00544B2B" w:rsidRPr="00626AF0" w:rsidRDefault="00544B2B" w:rsidP="00626AF0">
      <w:pPr>
        <w:pStyle w:val="QS10"/>
        <w:ind w:left="2160"/>
        <w:rPr>
          <w:color w:val="000000" w:themeColor="text1"/>
          <w:szCs w:val="20"/>
        </w:rPr>
      </w:pPr>
      <w:r w:rsidRPr="00626AF0">
        <w:rPr>
          <w:color w:val="000000" w:themeColor="text1"/>
          <w:szCs w:val="20"/>
        </w:rPr>
        <w:t>[s]tatutes should be read according to the natural and most obvious import of the language, without resorting to subtle and forced constructions, for the purpose of either limiting or extending their operation. In reviewing a statute, we presume that the legislature enacts all statutes with knowledge of the existing laws.</w:t>
      </w:r>
    </w:p>
    <w:p w:rsidR="00544B2B" w:rsidRPr="00626AF0" w:rsidRDefault="00544B2B" w:rsidP="00544B2B">
      <w:pPr>
        <w:pStyle w:val="QS10"/>
        <w:rPr>
          <w:color w:val="000000" w:themeColor="text1"/>
          <w:szCs w:val="20"/>
        </w:rPr>
      </w:pPr>
      <w:r w:rsidRPr="00626AF0">
        <w:rPr>
          <w:rStyle w:val="Emphasis"/>
          <w:color w:val="000000" w:themeColor="text1"/>
          <w:szCs w:val="20"/>
        </w:rPr>
        <w:t>Howell</w:t>
      </w:r>
      <w:r w:rsidRPr="00626AF0">
        <w:rPr>
          <w:color w:val="000000" w:themeColor="text1"/>
          <w:szCs w:val="20"/>
        </w:rPr>
        <w:t>, 350 Ga. App. at 712 (2), 830 S.E.2d 250.</w:t>
      </w:r>
    </w:p>
    <w:p w:rsidR="00544B2B" w:rsidRPr="00626AF0" w:rsidRDefault="00544B2B" w:rsidP="00544B2B">
      <w:pPr>
        <w:pStyle w:val="QS10"/>
        <w:rPr>
          <w:color w:val="000000" w:themeColor="text1"/>
          <w:szCs w:val="20"/>
        </w:rPr>
      </w:pPr>
      <w:r w:rsidRPr="00626AF0">
        <w:rPr>
          <w:color w:val="000000" w:themeColor="text1"/>
          <w:szCs w:val="20"/>
        </w:rPr>
        <w:t>A review of OCGA § 53-12-22, which addresses in terrorem clauses in trusts, and OCGA § 53-4-68, which addresses in terrorem clauses in wills, indicates that </w:t>
      </w:r>
      <w:r w:rsidRPr="00626AF0">
        <w:rPr>
          <w:rStyle w:val="Emphasis"/>
          <w:color w:val="000000" w:themeColor="text1"/>
          <w:szCs w:val="20"/>
        </w:rPr>
        <w:t>Duncan</w:t>
      </w:r>
      <w:r w:rsidRPr="00626AF0">
        <w:rPr>
          <w:color w:val="000000" w:themeColor="text1"/>
          <w:szCs w:val="20"/>
        </w:rPr>
        <w:t>, supra, was correctly decided. After our decision in </w:t>
      </w:r>
      <w:hyperlink r:id="rId475" w:history="1">
        <w:r w:rsidRPr="00626AF0">
          <w:rPr>
            <w:rStyle w:val="Emphasis"/>
            <w:color w:val="000000" w:themeColor="text1"/>
            <w:szCs w:val="20"/>
          </w:rPr>
          <w:t>Duncan</w:t>
        </w:r>
      </w:hyperlink>
      <w:r w:rsidRPr="00626AF0">
        <w:rPr>
          <w:color w:val="000000" w:themeColor="text1"/>
          <w:szCs w:val="20"/>
        </w:rPr>
        <w:t>, a full court opinion that included a special concurrence and two dissents, the legislature amended both OCGA §§ 53-12-22 and 53-4-68, adding three identical circumstances under which in terrorem clauses shall not be enforceable in trusts or wills. OCGA §§ 53-12-22 (c), 53-4-68 (c). The legislature did </w:t>
      </w:r>
      <w:r w:rsidRPr="00626AF0">
        <w:rPr>
          <w:rStyle w:val="Emphasis"/>
          <w:color w:val="000000" w:themeColor="text1"/>
          <w:szCs w:val="20"/>
        </w:rPr>
        <w:t>not</w:t>
      </w:r>
      <w:r w:rsidRPr="00626AF0">
        <w:rPr>
          <w:color w:val="000000" w:themeColor="text1"/>
          <w:szCs w:val="20"/>
        </w:rPr>
        <w:t>, however, choose to add or amend the trust statute to void in terrorem clauses in trusts that are impossible, illegal, or against public policy, as they are in wills. See OCGA § 53-4-68 (a) (“Conditions in a will that are impossible, illegal, or against public policy shall be void.”). Instead, the legislature retained OCGA § 53-12-22 (a), which merely states, “[a] trust may be created for any lawful purpose.” “Because the legislature is presumed to act with full knowledge of the existing state of the law, it follows that the legislature chose not to adopt a good faith/probable cause exception to enforcement of no contest clauses in trusts.” </w:t>
      </w:r>
      <w:r w:rsidRPr="00626AF0">
        <w:rPr>
          <w:rStyle w:val="Emphasis"/>
          <w:color w:val="000000" w:themeColor="text1"/>
          <w:szCs w:val="20"/>
        </w:rPr>
        <w:t>Duncan</w:t>
      </w:r>
      <w:r w:rsidRPr="00626AF0">
        <w:rPr>
          <w:color w:val="000000" w:themeColor="text1"/>
          <w:szCs w:val="20"/>
        </w:rPr>
        <w:t>, 345 Ga. App. at 349-350 (1) (b), 812 S.E.2d 647. Strictly construing the in terrorem clause, which we are obligated to do, </w:t>
      </w:r>
      <w:r w:rsidRPr="00626AF0">
        <w:rPr>
          <w:rStyle w:val="Emphasis"/>
          <w:color w:val="000000" w:themeColor="text1"/>
          <w:szCs w:val="20"/>
        </w:rPr>
        <w:t>Callaway</w:t>
      </w:r>
      <w:r w:rsidRPr="00626AF0">
        <w:rPr>
          <w:color w:val="000000" w:themeColor="text1"/>
          <w:szCs w:val="20"/>
        </w:rPr>
        <w:t>, 321 Ga. App. at 353 (1), 739 S.E.2d 533, and presuming the legislature enacted and amended OCGA § 53-12-22 with knowledge of the existing laws, which we are obligated to do, </w:t>
      </w:r>
      <w:r w:rsidRPr="00626AF0">
        <w:rPr>
          <w:rStyle w:val="Emphasis"/>
          <w:color w:val="000000" w:themeColor="text1"/>
          <w:szCs w:val="20"/>
        </w:rPr>
        <w:t>Howell</w:t>
      </w:r>
      <w:r w:rsidRPr="00626AF0">
        <w:rPr>
          <w:color w:val="000000" w:themeColor="text1"/>
          <w:szCs w:val="20"/>
        </w:rPr>
        <w:t>, 350 Ga. App. at 712 (2), 830 S.E.2d 250, we conclude that the superior court erred in failing to find that the in terrorem clause in Trust #2 resulted in Slosberg's forfeiture of benefits under Trust #2.</w:t>
      </w:r>
    </w:p>
    <w:p w:rsidR="00925651" w:rsidRDefault="00925651" w:rsidP="00BA4F80">
      <w:pPr>
        <w:pStyle w:val="Body15"/>
      </w:pPr>
      <w:r>
        <w:t>A dissent would have held t</w:t>
      </w:r>
      <w:r w:rsidR="00626AF0">
        <w:t>h</w:t>
      </w:r>
      <w:r>
        <w:t>at t</w:t>
      </w:r>
      <w:r w:rsidR="00626AF0">
        <w:t>h</w:t>
      </w:r>
      <w:r>
        <w:t>e trust was invalid altogether:</w:t>
      </w:r>
    </w:p>
    <w:p w:rsidR="00626AF0" w:rsidRPr="00626AF0" w:rsidRDefault="00626AF0" w:rsidP="00626AF0">
      <w:pPr>
        <w:pStyle w:val="QS10"/>
        <w:rPr>
          <w:color w:val="000000" w:themeColor="text1"/>
          <w:szCs w:val="20"/>
        </w:rPr>
      </w:pPr>
      <w:r w:rsidRPr="00626AF0">
        <w:rPr>
          <w:color w:val="000000" w:themeColor="text1"/>
          <w:szCs w:val="20"/>
        </w:rPr>
        <w:t>Under fundamental and settled law, the verdict and judgment that the trust before us was procured by undue influence entailed a determination that the grantor had been without capacity to execute it and therefore that it was void at its inception. The in terrorem clause falls along with the rest of the instrument. There is nothing to the contrary in </w:t>
      </w:r>
      <w:r w:rsidRPr="00626AF0">
        <w:rPr>
          <w:rStyle w:val="Emphasis"/>
          <w:color w:val="000000" w:themeColor="text1"/>
          <w:szCs w:val="20"/>
        </w:rPr>
        <w:t>Duncan v. Rawls</w:t>
      </w:r>
      <w:r w:rsidRPr="00626AF0">
        <w:rPr>
          <w:color w:val="000000" w:themeColor="text1"/>
          <w:szCs w:val="20"/>
        </w:rPr>
        <w:t>, 345 Ga. App. 345, 812 S.E.2d 647 (2018). Adopting a rule to the contrary entails disapproving decisions of our Supreme Court. So I respectfully dissent.</w:t>
      </w:r>
    </w:p>
    <w:p w:rsidR="00626AF0" w:rsidRPr="00626AF0" w:rsidRDefault="00626AF0" w:rsidP="00626AF0">
      <w:pPr>
        <w:pStyle w:val="QS10"/>
        <w:rPr>
          <w:color w:val="000000" w:themeColor="text1"/>
          <w:szCs w:val="20"/>
        </w:rPr>
      </w:pPr>
      <w:r w:rsidRPr="00626AF0">
        <w:rPr>
          <w:color w:val="000000" w:themeColor="text1"/>
          <w:szCs w:val="20"/>
        </w:rPr>
        <w:t>“A person has capacity to create an inter vivos trust to the extent that such person has legal capacity to transfer title to property inter vivos. A person has capacity to create a testamentary trust to the extent that such person has legal capacity to devise or bequeath property by will.” OCGA § 53-12-23.</w:t>
      </w:r>
    </w:p>
    <w:p w:rsidR="00626AF0" w:rsidRPr="00626AF0" w:rsidRDefault="00626AF0" w:rsidP="00626AF0">
      <w:pPr>
        <w:pStyle w:val="QS10"/>
        <w:rPr>
          <w:color w:val="000000" w:themeColor="text1"/>
          <w:szCs w:val="20"/>
        </w:rPr>
      </w:pPr>
      <w:r w:rsidRPr="00626AF0">
        <w:rPr>
          <w:color w:val="000000" w:themeColor="text1"/>
          <w:szCs w:val="20"/>
        </w:rPr>
        <w:t>Here the verdict is an authoritative determination that the grantor lacked the capacity to create a trust. “For undue influence to be sufficient to invalidate a trust, it must amount to deception or force and coercion so that the grantor is deprived of free agency and the will of another is substituted for that of the grantor.” </w:t>
      </w:r>
      <w:r w:rsidRPr="00626AF0">
        <w:rPr>
          <w:rStyle w:val="Emphasis"/>
          <w:color w:val="000000" w:themeColor="text1"/>
          <w:szCs w:val="20"/>
        </w:rPr>
        <w:t>Lewis v. Van Anda</w:t>
      </w:r>
      <w:r w:rsidRPr="00626AF0">
        <w:rPr>
          <w:color w:val="000000" w:themeColor="text1"/>
          <w:szCs w:val="20"/>
        </w:rPr>
        <w:t>, 282 Ga. 763, 766 (4), 653 S.E.2d 708 (2007) (citation and punctuation omitted). See also </w:t>
      </w:r>
      <w:r w:rsidRPr="00626AF0">
        <w:rPr>
          <w:rStyle w:val="Emphasis"/>
          <w:color w:val="000000" w:themeColor="text1"/>
          <w:szCs w:val="20"/>
        </w:rPr>
        <w:t>Mullis v. Welch</w:t>
      </w:r>
      <w:r w:rsidRPr="00626AF0">
        <w:rPr>
          <w:color w:val="000000" w:themeColor="text1"/>
          <w:szCs w:val="20"/>
        </w:rPr>
        <w:t>, 346 Ga.App. 795, 799 (2) (b), 815 S.E.2d 282 (2018) (“[The standard required for invalidation of a trust] is the same standard required for the invalidation of a will or a deed as the result of undue influence over a testator/testatrix or grantor.”)</w:t>
      </w:r>
    </w:p>
    <w:p w:rsidR="00626AF0" w:rsidRPr="00626AF0" w:rsidRDefault="00626AF0" w:rsidP="00626AF0">
      <w:pPr>
        <w:pStyle w:val="QS10"/>
        <w:rPr>
          <w:color w:val="000000" w:themeColor="text1"/>
          <w:szCs w:val="20"/>
        </w:rPr>
      </w:pPr>
      <w:r w:rsidRPr="00626AF0">
        <w:rPr>
          <w:color w:val="000000" w:themeColor="text1"/>
          <w:szCs w:val="20"/>
        </w:rPr>
        <w:t>Wills and trusts executed by one without the legal capacity to do so are void from the inception. They are stillborn. Their terms are, and always were, entirely without effect. See </w:t>
      </w:r>
      <w:r w:rsidRPr="00626AF0">
        <w:rPr>
          <w:rStyle w:val="Emphasis"/>
          <w:color w:val="000000" w:themeColor="text1"/>
          <w:szCs w:val="20"/>
          <w:u w:val="single"/>
        </w:rPr>
        <w:t>JR Const./Elec. v. Ordner Const. Co.</w:t>
      </w:r>
      <w:r w:rsidRPr="00626AF0">
        <w:rPr>
          <w:color w:val="000000" w:themeColor="text1"/>
          <w:szCs w:val="20"/>
        </w:rPr>
        <w:t>, 294 Ga. App. 453, 455, 669 S.E.2d 224 (2008); cf. </w:t>
      </w:r>
      <w:r w:rsidRPr="00626AF0">
        <w:rPr>
          <w:rStyle w:val="Emphasis"/>
          <w:color w:val="000000" w:themeColor="text1"/>
          <w:szCs w:val="20"/>
        </w:rPr>
        <w:t>Smith v. Morris, Manning &amp; Martin</w:t>
      </w:r>
      <w:r w:rsidRPr="00626AF0">
        <w:rPr>
          <w:color w:val="000000" w:themeColor="text1"/>
          <w:szCs w:val="20"/>
        </w:rPr>
        <w:t>, 264 Ga. App. 24, 26, 589 S.E.2d 840 (2003) (physical precedent only). Including in terrorem clauses.</w:t>
      </w:r>
    </w:p>
    <w:p w:rsidR="009510D3" w:rsidRPr="009510D3" w:rsidRDefault="00623BF2" w:rsidP="00626AF0">
      <w:pPr>
        <w:pStyle w:val="Heading20"/>
        <w:numPr>
          <w:ilvl w:val="1"/>
          <w:numId w:val="33"/>
        </w:numPr>
        <w:tabs>
          <w:tab w:val="clear" w:pos="2700"/>
        </w:tabs>
        <w:spacing w:before="240"/>
        <w:ind w:left="0"/>
        <w:rPr>
          <w:vanish/>
          <w:specVanish/>
        </w:rPr>
      </w:pPr>
      <w:bookmarkStart w:id="832" w:name="_Toc94704722"/>
      <w:r>
        <w:rPr>
          <w:b/>
          <w:u w:val="single"/>
        </w:rPr>
        <w:t xml:space="preserve">Family That’s </w:t>
      </w:r>
      <w:r w:rsidR="009510D3">
        <w:rPr>
          <w:b/>
          <w:u w:val="single"/>
        </w:rPr>
        <w:t>Near Versus With, Can Make A Big Difference</w:t>
      </w:r>
      <w:bookmarkEnd w:id="832"/>
    </w:p>
    <w:p w:rsidR="00BC26C5" w:rsidRDefault="009510D3" w:rsidP="009510D3">
      <w:pPr>
        <w:pStyle w:val="Heading2Body"/>
      </w:pPr>
      <w:r>
        <w:t xml:space="preserve">.  The story of a family unraveling is told in </w:t>
      </w:r>
      <w:r>
        <w:rPr>
          <w:u w:val="single"/>
        </w:rPr>
        <w:t>Myers v. Myers</w:t>
      </w:r>
      <w:r>
        <w:t>, 955 N.W.2d 223 (Ia. App. 2020).  Christina Myers wanted to leave Arizona to be nearer her children, specifically her son, Michael, and his wife, Krisanne.  Their house was too small, so she gave t</w:t>
      </w:r>
      <w:r w:rsidR="00B0626A">
        <w:t>h</w:t>
      </w:r>
      <w:r>
        <w:t>em money to help purchase a larger one.  Time passed, the relationship deteriorated, and Michael evicted his mother.  Did he have to repay her contribution</w:t>
      </w:r>
      <w:r w:rsidR="00B0626A">
        <w:t>s</w:t>
      </w:r>
      <w:r>
        <w:t xml:space="preserve"> for the house?  The court review</w:t>
      </w:r>
      <w:r w:rsidR="00B0626A">
        <w:t>s</w:t>
      </w:r>
      <w:r>
        <w:t xml:space="preserve"> more of the facts:</w:t>
      </w:r>
    </w:p>
    <w:p w:rsidR="00B0626A" w:rsidRPr="00B0626A" w:rsidRDefault="00B0626A" w:rsidP="00B0626A">
      <w:pPr>
        <w:pStyle w:val="QS10"/>
        <w:rPr>
          <w:szCs w:val="20"/>
        </w:rPr>
      </w:pPr>
      <w:r w:rsidRPr="00B0626A">
        <w:rPr>
          <w:szCs w:val="20"/>
        </w:rPr>
        <w:t>With the understanding that Christina would help finance the home and live with them, Michael and Krisanne began house-hunting that fall. In December, Michael and Krisanne found a three-story home in Cumming with enough space for their children and Christina. Michael shared the listing with Christina, who was still living in Arizona. The house had a walkout basement—finished with two bedrooms, a bathroom, and a kitchen—which the parties agreed Christina would occupy as her private living quarters. Christina thought the arrangement was fair because the basement constituted nearly one-third of the property's total square footage. Michael referred to the space as a “mother's suite.” Because the basement was set up as a recreation room, Christina anticipated making some renovations. She also planned to use the basement's unfinished space as a laundry room.</w:t>
      </w:r>
    </w:p>
    <w:p w:rsidR="00B0626A" w:rsidRPr="00B0626A" w:rsidRDefault="00B0626A" w:rsidP="00B0626A">
      <w:pPr>
        <w:pStyle w:val="QS10"/>
        <w:rPr>
          <w:szCs w:val="20"/>
        </w:rPr>
      </w:pPr>
      <w:r w:rsidRPr="00B0626A">
        <w:rPr>
          <w:szCs w:val="20"/>
        </w:rPr>
        <w:t xml:space="preserve">With that arrangement in mind, Michael and Krisanne made an offer of $490,000 on the Cumming house in January 2014. The seller requested an earnest-money deposit of $1500 at the time of the offer, which Michael paid. A day later, the seller made a counteroffer of $525,000 and requested another $3500 deposit due at acceptance. That same day, Michael accepted the deal and paid the deposit. Although the payments came from his personal bank account, he asked Christina to help pay for the deposits. Of the total $5000 earnest-money payments made by Michael, Christina contributed $4900. </w:t>
      </w:r>
    </w:p>
    <w:p w:rsidR="00B0626A" w:rsidRPr="00B0626A" w:rsidRDefault="00B0626A" w:rsidP="00B0626A">
      <w:pPr>
        <w:pStyle w:val="QS10"/>
        <w:rPr>
          <w:szCs w:val="20"/>
        </w:rPr>
      </w:pPr>
      <w:r w:rsidRPr="00B0626A">
        <w:rPr>
          <w:szCs w:val="20"/>
        </w:rPr>
        <w:t>Under the purchase agreement, two things had to occur before the March closing date. First, Michael and Krisanne had to obtain a mortgage by early February. Second, they had to make a down payment of around $105,000, which was twenty percent of the purchase price. As promised, Christina planned to contribute $85,000 from her business-sale proceeds toward the down payment.</w:t>
      </w:r>
    </w:p>
    <w:p w:rsidR="00B0626A" w:rsidRDefault="00B0626A" w:rsidP="00B0626A">
      <w:pPr>
        <w:pStyle w:val="QS10"/>
        <w:rPr>
          <w:szCs w:val="20"/>
        </w:rPr>
      </w:pPr>
      <w:r w:rsidRPr="00B0626A">
        <w:rPr>
          <w:szCs w:val="20"/>
        </w:rPr>
        <w:t xml:space="preserve">Michael applied for a mortgage as the sole borrower. But because Michael was relying on Christina for financial support, he did not qualify for the mortgage on his own. The lender told Michael that Christina needed to submit gift letters memorializing her contributions. The contributions totaled $89,900, including the $900 and $4000 earnest-money payments and the anticipated $85,000 partial down payment. At the lender's request, Michael sent Christina three standardized gift letters, informing her the letters were necessary to obtain the mortgage. </w:t>
      </w:r>
    </w:p>
    <w:p w:rsidR="009510D3" w:rsidRDefault="009510D3" w:rsidP="00B0626A">
      <w:pPr>
        <w:pStyle w:val="QS10"/>
        <w:jc w:val="center"/>
      </w:pPr>
      <w:r>
        <w:t>* * *</w:t>
      </w:r>
    </w:p>
    <w:p w:rsidR="00B0626A" w:rsidRPr="006270FD" w:rsidRDefault="00B0626A" w:rsidP="00B0626A">
      <w:pPr>
        <w:pStyle w:val="QS10"/>
        <w:rPr>
          <w:szCs w:val="20"/>
        </w:rPr>
      </w:pPr>
      <w:r w:rsidRPr="006270FD">
        <w:rPr>
          <w:szCs w:val="20"/>
        </w:rPr>
        <w:t>After moving into the Cumming house, Christina became responsible for one-third of the monthly bills. On the first of every month, Michael and Krisanne sent Christina a recurring reminder to pay around $800 to $900—the amount varying based on property taxes, utilities, and other expenses. Although Michael called the monthly payments “rent,” Christina testified she never thought of herself as a renter because she also shared the costs of the mortgage, the homeowner's association fees, and the home warranty. And she paid for major improvements in the basement, including remodeling the kitchen and repairing the bathroom. In the first few months of living there, Christina bought a new refrigerator, microwave, oven, washer, and dryer for her personal use. When asked if she would have made those improvements if she knew she had no ownership interest in the home, she testified: “[M]y expectation was that they were going to carry me out of that place in a coffin. This was my bridge into old age.” Michael agreed in his testimony that Christina's plan was to live in that home until her death—“that's how she proposed it to us.”</w:t>
      </w:r>
    </w:p>
    <w:p w:rsidR="00B0626A" w:rsidRPr="006270FD" w:rsidRDefault="00B0626A" w:rsidP="00B0626A">
      <w:pPr>
        <w:pStyle w:val="QS10"/>
        <w:rPr>
          <w:szCs w:val="20"/>
        </w:rPr>
      </w:pPr>
      <w:r w:rsidRPr="006270FD">
        <w:rPr>
          <w:szCs w:val="20"/>
        </w:rPr>
        <w:t>Despite Christina's contributions, her name did not appear in the transfer deed. The deed conveyed the property to “Michael J. Myers and Krisanne L. Myers, husband and wife, as Joint Tenants with full rights of survivorship and not as Tenants In Common.” Although Christina acknowledged she was not publicly listed as a co-owner, she believed her $85,000 down payment and her monthly mortgage payments established her one-third ownership of the home.</w:t>
      </w:r>
    </w:p>
    <w:p w:rsidR="00B0626A" w:rsidRPr="006270FD" w:rsidRDefault="00B0626A" w:rsidP="00B0626A">
      <w:pPr>
        <w:pStyle w:val="QS10"/>
        <w:rPr>
          <w:szCs w:val="20"/>
        </w:rPr>
      </w:pPr>
      <w:r w:rsidRPr="006270FD">
        <w:rPr>
          <w:szCs w:val="20"/>
        </w:rPr>
        <w:t>Tensions flared between the parties in 2017 over the living arrangement. Christina felt like her personal living space was “overrun” by Michael, Krisanne, and the children, contrary to what she had agreed to before moving in. Although the parties tried to reconcile their differences, the situation only worsened. So in April 2018, Christina and Michael began to discuss an “exit strategy.”</w:t>
      </w:r>
    </w:p>
    <w:p w:rsidR="00B0626A" w:rsidRPr="006270FD" w:rsidRDefault="00B0626A" w:rsidP="00B0626A">
      <w:pPr>
        <w:pStyle w:val="QS10"/>
        <w:rPr>
          <w:szCs w:val="20"/>
        </w:rPr>
      </w:pPr>
      <w:r w:rsidRPr="006270FD">
        <w:rPr>
          <w:szCs w:val="20"/>
        </w:rPr>
        <w:t>But that fall, rather than agreeing to an exit plan, Christina sued Michael and Krisanne to recover her contributions and “the full value of her share of their joint property, including her portion of the increased value of the joint property.” Shortly after filing the petition, Christina received an eviction notice from Michael and Krisanne. That notice gave her thirty days to vacate the property. But because Christina had nowhere to move, Michael allowed her to stay until she bought her own place in January 2019.</w:t>
      </w:r>
    </w:p>
    <w:p w:rsidR="009510D3" w:rsidRDefault="009510D3" w:rsidP="00BA4F80">
      <w:pPr>
        <w:pStyle w:val="Body15"/>
      </w:pPr>
      <w:r>
        <w:t>The court found the contributions were conditional gifts:</w:t>
      </w:r>
    </w:p>
    <w:p w:rsidR="006270FD" w:rsidRDefault="006270FD" w:rsidP="006270FD">
      <w:pPr>
        <w:pStyle w:val="QS10"/>
        <w:rPr>
          <w:color w:val="000000" w:themeColor="text1"/>
          <w:szCs w:val="20"/>
        </w:rPr>
      </w:pPr>
      <w:r w:rsidRPr="006270FD">
        <w:rPr>
          <w:color w:val="000000" w:themeColor="text1"/>
          <w:szCs w:val="20"/>
        </w:rPr>
        <w:t>An enforceable contract has three elements: (1) offer, (2) acceptance, and (3) consideration. </w:t>
      </w:r>
      <w:r w:rsidRPr="006270FD">
        <w:rPr>
          <w:rStyle w:val="Emphasis"/>
          <w:color w:val="000000" w:themeColor="text1"/>
          <w:szCs w:val="20"/>
        </w:rPr>
        <w:t>See</w:t>
      </w:r>
      <w:r w:rsidRPr="006270FD">
        <w:rPr>
          <w:color w:val="000000" w:themeColor="text1"/>
          <w:szCs w:val="20"/>
        </w:rPr>
        <w:t> </w:t>
      </w:r>
      <w:r w:rsidRPr="006270FD">
        <w:rPr>
          <w:rStyle w:val="Emphasis"/>
          <w:color w:val="000000" w:themeColor="text1"/>
          <w:szCs w:val="20"/>
        </w:rPr>
        <w:t>Margeson v. Artis</w:t>
      </w:r>
      <w:r w:rsidRPr="006270FD">
        <w:rPr>
          <w:color w:val="000000" w:themeColor="text1"/>
          <w:szCs w:val="20"/>
        </w:rPr>
        <w:t>, 776 N.W.2d 652, 655 (Iowa 2009) (“It is fundamental that a valid contract must consist of an offer, acceptance, and consideration.”); </w:t>
      </w:r>
      <w:r w:rsidRPr="006270FD">
        <w:rPr>
          <w:rStyle w:val="Emphasis"/>
          <w:color w:val="000000" w:themeColor="text1"/>
          <w:szCs w:val="20"/>
        </w:rPr>
        <w:t>see also</w:t>
      </w:r>
      <w:r w:rsidRPr="006270FD">
        <w:rPr>
          <w:color w:val="000000" w:themeColor="text1"/>
          <w:szCs w:val="20"/>
        </w:rPr>
        <w:t> Iowa Code § 537A.2 (2018) (“All contracts in writing, signed by the party to be bound or by the party's authorized agent or attorney, </w:t>
      </w:r>
      <w:r w:rsidRPr="006270FD">
        <w:rPr>
          <w:rStyle w:val="Emphasis"/>
          <w:color w:val="000000" w:themeColor="text1"/>
          <w:szCs w:val="20"/>
        </w:rPr>
        <w:t>shall import a consideration.</w:t>
      </w:r>
      <w:r w:rsidRPr="006270FD">
        <w:rPr>
          <w:color w:val="000000" w:themeColor="text1"/>
          <w:szCs w:val="20"/>
        </w:rPr>
        <w:t>” (emphasis added)). “Generally, the element of consideration ensures the promise sought to be enforced was bargained for and given in exchange for a reciprocal promise or an act.” </w:t>
      </w:r>
      <w:r w:rsidRPr="006270FD">
        <w:rPr>
          <w:rStyle w:val="Emphasis"/>
          <w:color w:val="000000" w:themeColor="text1"/>
          <w:szCs w:val="20"/>
        </w:rPr>
        <w:t>Margeson</w:t>
      </w:r>
      <w:r w:rsidRPr="006270FD">
        <w:rPr>
          <w:color w:val="000000" w:themeColor="text1"/>
          <w:szCs w:val="20"/>
        </w:rPr>
        <w:t>, 776 N.W.2d at 655. Although Michael and Krisanne claim the gift letters are contracts, they are unable to point to a bargained-for exchange. Because a gift, by its nature, does not contemplate a bargained-for exchange, their position contradicts itself.</w:t>
      </w:r>
    </w:p>
    <w:p w:rsidR="009510D3" w:rsidRDefault="009510D3" w:rsidP="006270FD">
      <w:pPr>
        <w:pStyle w:val="QS10"/>
        <w:jc w:val="center"/>
      </w:pPr>
      <w:r>
        <w:t>* * *</w:t>
      </w:r>
    </w:p>
    <w:p w:rsidR="006270FD" w:rsidRPr="006270FD" w:rsidRDefault="006270FD" w:rsidP="006270FD">
      <w:pPr>
        <w:pStyle w:val="QS10"/>
        <w:rPr>
          <w:szCs w:val="20"/>
        </w:rPr>
      </w:pPr>
      <w:r w:rsidRPr="006270FD">
        <w:rPr>
          <w:szCs w:val="20"/>
        </w:rPr>
        <w:t>Here, the only element at issue is donative intent. Michael and Krisanne argue the language in the gift letters reveals Christina's intent to give them the money without condition. They claim, “Christina had the opportunity to review the gift letters with an attorney or determine that language within the gift letters was not consistent with her alleged agreement with Michael and therefore had the option not to sign the gift letters.” They also point to the email Christina sent Michael with the gift letters attached that said: “I must like you a lot to be giving you all this money!”</w:t>
      </w:r>
    </w:p>
    <w:p w:rsidR="006270FD" w:rsidRPr="006270FD" w:rsidRDefault="006270FD" w:rsidP="006270FD">
      <w:pPr>
        <w:pStyle w:val="QS10"/>
        <w:rPr>
          <w:color w:val="000000" w:themeColor="text1"/>
          <w:szCs w:val="20"/>
        </w:rPr>
      </w:pPr>
      <w:r w:rsidRPr="006270FD">
        <w:rPr>
          <w:szCs w:val="20"/>
        </w:rPr>
        <w:t>While granting that evidence, we find ample proof that her gift was not unconditional. To find that a written document meant something different from what the parties e</w:t>
      </w:r>
      <w:r w:rsidRPr="006270FD">
        <w:rPr>
          <w:color w:val="000000" w:themeColor="text1"/>
          <w:szCs w:val="20"/>
        </w:rPr>
        <w:t>xpressed in it requires proof by “clear, satisfactory, and convincing” evidence. </w:t>
      </w:r>
      <w:r w:rsidRPr="006270FD">
        <w:rPr>
          <w:rStyle w:val="Emphasis"/>
          <w:color w:val="000000" w:themeColor="text1"/>
          <w:szCs w:val="20"/>
        </w:rPr>
        <w:t>Frederick</w:t>
      </w:r>
      <w:r w:rsidRPr="006270FD">
        <w:rPr>
          <w:color w:val="000000" w:themeColor="text1"/>
          <w:szCs w:val="20"/>
        </w:rPr>
        <w:t>, 147 N.W.2d at 484. To meet that test, “it is merely necessary that there be no serious or substantial doubt about the correctness of the conclusion drawn from it.” </w:t>
      </w:r>
      <w:r w:rsidRPr="006270FD">
        <w:rPr>
          <w:rStyle w:val="Emphasis"/>
          <w:color w:val="000000" w:themeColor="text1"/>
          <w:szCs w:val="20"/>
        </w:rPr>
        <w:t>Raim</w:t>
      </w:r>
      <w:r w:rsidRPr="006270FD">
        <w:rPr>
          <w:color w:val="000000" w:themeColor="text1"/>
          <w:szCs w:val="20"/>
        </w:rPr>
        <w:t>, 339 N.W.2d at 624. Christina's evidence met that standard.</w:t>
      </w:r>
    </w:p>
    <w:p w:rsidR="006270FD" w:rsidRPr="006270FD" w:rsidRDefault="006270FD" w:rsidP="006270FD">
      <w:pPr>
        <w:pStyle w:val="QS10"/>
        <w:rPr>
          <w:color w:val="000000" w:themeColor="text1"/>
          <w:szCs w:val="20"/>
        </w:rPr>
      </w:pPr>
      <w:r w:rsidRPr="006270FD">
        <w:rPr>
          <w:color w:val="000000" w:themeColor="text1"/>
          <w:szCs w:val="20"/>
        </w:rPr>
        <w:t>The record shows Christina was a single mother who was concerned about her health and retirement. She testified that her two motivations for moving to Iowa were to be with family and to invest her savings in a home. Christina was consistent throughout the trial that she believed she had a one-third ownership in the Cumming house because she contributed a substantial share of the down payment. She also paid one-third of the monthly mortgage bill from the closing in March 2014 (though she did not move to Iowa until 2015) until she moved out in January 2019. Although Michael insists the monthly payments were “rent,” the record reveals he had no rental agreement with his mother, and he did not claim any rental income on his 2015 to 2019 federal tax returns during the time Christina lived in the home.</w:t>
      </w:r>
      <w:hyperlink r:id="rId476" w:anchor="co_footnote_B00132052292789" w:history="1">
        <w:r w:rsidRPr="006270FD">
          <w:rPr>
            <w:rStyle w:val="Hyperlink"/>
            <w:color w:val="000000" w:themeColor="text1"/>
            <w:szCs w:val="20"/>
            <w:vertAlign w:val="superscript"/>
          </w:rPr>
          <w:t>13</w:t>
        </w:r>
      </w:hyperlink>
    </w:p>
    <w:p w:rsidR="006270FD" w:rsidRPr="006270FD" w:rsidRDefault="006270FD" w:rsidP="006270FD">
      <w:pPr>
        <w:pStyle w:val="QS10"/>
        <w:rPr>
          <w:szCs w:val="20"/>
        </w:rPr>
      </w:pPr>
      <w:r w:rsidRPr="006270FD">
        <w:rPr>
          <w:color w:val="000000" w:themeColor="text1"/>
          <w:szCs w:val="20"/>
        </w:rPr>
        <w:t>As to the gift letters, Christina acknowledged she read the relevant language before signing. But she credibly testified she was only doing Michael's bidding because the lender required the gift letters to issue him the mortgage. The district court found: “At the time Christina signed the letters, she had no expectation of repayment as she expected to remain living in the house until her death or its sale.” The court also found: “Michael agreed that he received the money on the condition that Christina would continue to live there.” Even in our de novo review, we give considerable weight to the district court's fact findings because the judge heard live testimony, and we have only the cold transcript from which to assess credibility. </w:t>
      </w:r>
      <w:r w:rsidRPr="006270FD">
        <w:rPr>
          <w:rStyle w:val="Emphasis"/>
          <w:color w:val="000000" w:themeColor="text1"/>
          <w:szCs w:val="20"/>
        </w:rPr>
        <w:t>See</w:t>
      </w:r>
      <w:r w:rsidRPr="006270FD">
        <w:rPr>
          <w:color w:val="000000" w:themeColor="text1"/>
          <w:szCs w:val="20"/>
        </w:rPr>
        <w:t> </w:t>
      </w:r>
      <w:r w:rsidRPr="006270FD">
        <w:rPr>
          <w:rStyle w:val="Emphasis"/>
          <w:color w:val="000000" w:themeColor="text1"/>
          <w:szCs w:val="20"/>
        </w:rPr>
        <w:t>In re Marriage of Woodward</w:t>
      </w:r>
      <w:r w:rsidRPr="006270FD">
        <w:rPr>
          <w:color w:val="000000" w:themeColor="text1"/>
          <w:szCs w:val="20"/>
        </w:rPr>
        <w:t>, 228 N.W.2d 74, 75 (Iowa</w:t>
      </w:r>
      <w:r w:rsidRPr="006270FD">
        <w:rPr>
          <w:szCs w:val="20"/>
        </w:rPr>
        <w:t xml:space="preserve"> 1975).</w:t>
      </w:r>
    </w:p>
    <w:p w:rsidR="009510D3" w:rsidRDefault="009510D3" w:rsidP="00BA4F80">
      <w:pPr>
        <w:pStyle w:val="Body15"/>
      </w:pPr>
      <w:r>
        <w:t>The court was not bound by the banking interpretation of the gift letters, as noted in footnote 14:</w:t>
      </w:r>
    </w:p>
    <w:p w:rsidR="00BC26C5" w:rsidRPr="00623BF2" w:rsidRDefault="006270FD" w:rsidP="006270FD">
      <w:pPr>
        <w:pStyle w:val="QS10"/>
        <w:rPr>
          <w:color w:val="000000" w:themeColor="text1"/>
          <w:szCs w:val="20"/>
        </w:rPr>
      </w:pPr>
      <w:r w:rsidRPr="00623BF2">
        <w:rPr>
          <w:color w:val="000000" w:themeColor="text1"/>
          <w:szCs w:val="20"/>
        </w:rPr>
        <w:t>We understand that banks rely on gift letters “every day when making lending decisions.” </w:t>
      </w:r>
      <w:r w:rsidRPr="00623BF2">
        <w:rPr>
          <w:rStyle w:val="Emphasis"/>
          <w:color w:val="000000" w:themeColor="text1"/>
          <w:szCs w:val="20"/>
        </w:rPr>
        <w:t>See</w:t>
      </w:r>
      <w:r w:rsidRPr="00623BF2">
        <w:rPr>
          <w:color w:val="000000" w:themeColor="text1"/>
          <w:szCs w:val="20"/>
        </w:rPr>
        <w:t> </w:t>
      </w:r>
      <w:r w:rsidRPr="00623BF2">
        <w:rPr>
          <w:rStyle w:val="Emphasis"/>
          <w:color w:val="000000" w:themeColor="text1"/>
          <w:szCs w:val="20"/>
        </w:rPr>
        <w:t>In re Felsner</w:t>
      </w:r>
      <w:r w:rsidRPr="00623BF2">
        <w:rPr>
          <w:color w:val="000000" w:themeColor="text1"/>
          <w:szCs w:val="20"/>
        </w:rPr>
        <w:t>, 289 Fed. Appx. 879, 887 (6th Cir. 2008) (McKeague, J., dissenting). That reliance is not the question before us. Instead, we are constrained to considering whether the limited language of the letters signed by Michael and Christina forecloses Christina's recovery on her equitable theories. The letters stated Christina had no expectation that Michel would repay the gift amounts in the form of cash or future services. The letters did not address their expectation that Christina would live in the house as a condition of the gift.</w:t>
      </w:r>
    </w:p>
    <w:p w:rsidR="00F7142A" w:rsidRDefault="00F7142A">
      <w:pPr>
        <w:rPr>
          <w:b/>
          <w:bCs w:val="0"/>
          <w:snapToGrid w:val="0"/>
          <w:u w:val="single"/>
        </w:rPr>
      </w:pPr>
      <w:r>
        <w:rPr>
          <w:b/>
          <w:u w:val="single"/>
        </w:rPr>
        <w:br w:type="page"/>
      </w:r>
    </w:p>
    <w:p w:rsidR="00B70663" w:rsidRPr="00B70663" w:rsidRDefault="00B70663" w:rsidP="00B70663">
      <w:pPr>
        <w:pStyle w:val="Heading20"/>
        <w:numPr>
          <w:ilvl w:val="1"/>
          <w:numId w:val="33"/>
        </w:numPr>
        <w:tabs>
          <w:tab w:val="clear" w:pos="2700"/>
        </w:tabs>
        <w:spacing w:before="240"/>
        <w:ind w:left="0"/>
        <w:rPr>
          <w:vanish/>
          <w:specVanish/>
        </w:rPr>
      </w:pPr>
      <w:bookmarkStart w:id="833" w:name="_Toc94704723"/>
      <w:r>
        <w:rPr>
          <w:b/>
          <w:u w:val="single"/>
        </w:rPr>
        <w:t>Trust Protector Subject To Indirect Undue Influence</w:t>
      </w:r>
      <w:bookmarkEnd w:id="833"/>
    </w:p>
    <w:p w:rsidR="002623D2" w:rsidRDefault="00B70663" w:rsidP="00B70663">
      <w:pPr>
        <w:pStyle w:val="Heading2Body"/>
      </w:pPr>
      <w:r>
        <w:t xml:space="preserve">.  Where a beneficiary unduly influences the settlor of a trust, who in turn influences the trust protector, the undue influence may render ineffective the actions of the trust protector.  Such was the holding of </w:t>
      </w:r>
      <w:r>
        <w:rPr>
          <w:u w:val="single"/>
        </w:rPr>
        <w:t>In the Matter of ABB Trust</w:t>
      </w:r>
      <w:r>
        <w:t>, 2021 WL 1884054 (Az. App. 2021).  The facts are simple and sad:</w:t>
      </w:r>
    </w:p>
    <w:p w:rsidR="00597176" w:rsidRPr="00597176" w:rsidRDefault="00597176" w:rsidP="00597176">
      <w:pPr>
        <w:pStyle w:val="QS10"/>
        <w:rPr>
          <w:szCs w:val="20"/>
        </w:rPr>
      </w:pPr>
      <w:r>
        <w:rPr>
          <w:szCs w:val="20"/>
        </w:rPr>
        <w:t>I</w:t>
      </w:r>
      <w:r w:rsidRPr="00597176">
        <w:rPr>
          <w:szCs w:val="20"/>
        </w:rPr>
        <w:t>n February 2016, Austin petitioned to divorce Kay, his wife of 57 years. He was 78 years old and in declining health. He was also romantically involved with Lindi, his caretaker. Austin's divorce from Kay was finished in December 2016. He then married Lindi.</w:t>
      </w:r>
    </w:p>
    <w:p w:rsidR="00597176" w:rsidRPr="00597176" w:rsidRDefault="00597176" w:rsidP="00597176">
      <w:pPr>
        <w:pStyle w:val="QS10"/>
        <w:rPr>
          <w:szCs w:val="20"/>
        </w:rPr>
      </w:pPr>
      <w:r w:rsidRPr="00597176">
        <w:rPr>
          <w:szCs w:val="20"/>
        </w:rPr>
        <w:t>Shortly before the divorce became final, Austin hired his estate planning attorney, Paul Deloughery of Magellan Law, to create an irrevocable trust. At the time, Austin “feared the women in his life” would exert “too much pressure on him to change his estate plan” and wanted “to free himself from the threat of exploitation and the pressures of undue influence.”</w:t>
      </w:r>
    </w:p>
    <w:p w:rsidR="00597176" w:rsidRPr="00597176" w:rsidRDefault="00597176" w:rsidP="00597176">
      <w:pPr>
        <w:pStyle w:val="QS10"/>
        <w:rPr>
          <w:szCs w:val="20"/>
        </w:rPr>
      </w:pPr>
      <w:r w:rsidRPr="00597176">
        <w:rPr>
          <w:szCs w:val="20"/>
        </w:rPr>
        <w:t>And so, on November 1, 2016, Austin transferred his assets into the ABB Trust (“Trust”), which generally directed that “[a]ll” of its provisions were to “be interpreted to accomplish [Austin's] objectives.” Austin created the Trust “with the intent that assets transferred to the trust be held for my benefit while I am living, and for the benefit of my beneficiaries after my death,” all under the Trust's “terms and conditions.” Austin “had a close relationship with his three daughters and wanted to ensure their beneficial interest in the Trust would be preserved upon his death.” As originally created, therefore, the Trust directed the Trustee, upon Austin's death, to distribute 45% of the Trust corpus to his former wife Kay, 45% to his three adult daughters (collectively, “Daughters”), and 10% to Lindi. The Daughters also would receive all “tangible personal property not disposed of by a written memorandum.”</w:t>
      </w:r>
    </w:p>
    <w:p w:rsidR="00597176" w:rsidRPr="00623BF2" w:rsidRDefault="00597176" w:rsidP="00597176">
      <w:pPr>
        <w:pStyle w:val="QS10"/>
        <w:rPr>
          <w:color w:val="000000" w:themeColor="text1"/>
          <w:szCs w:val="20"/>
        </w:rPr>
      </w:pPr>
      <w:r w:rsidRPr="00623BF2">
        <w:rPr>
          <w:color w:val="000000" w:themeColor="text1"/>
          <w:szCs w:val="20"/>
        </w:rPr>
        <w:t>Austin selected a professional trustee, Managed Protective Services, Inc. (“Trustee”), to manage the Trust's assets. He also designated a “Trust Protector” to “direct” and “assist” the Trustee “in achieving [Austin's] objectives” under the estate plan. </w:t>
      </w:r>
      <w:r w:rsidRPr="00623BF2">
        <w:rPr>
          <w:rStyle w:val="Emphasis"/>
          <w:color w:val="000000" w:themeColor="text1"/>
          <w:szCs w:val="20"/>
        </w:rPr>
        <w:t>See generally</w:t>
      </w:r>
      <w:r w:rsidRPr="00623BF2">
        <w:rPr>
          <w:color w:val="000000" w:themeColor="text1"/>
          <w:szCs w:val="20"/>
        </w:rPr>
        <w:t> A.R.S. § 14-10818. Austin picked his attorney Deloughery to serve as the Trust Protector.</w:t>
      </w:r>
    </w:p>
    <w:p w:rsidR="00597176" w:rsidRPr="00623BF2" w:rsidRDefault="00597176" w:rsidP="00597176">
      <w:pPr>
        <w:pStyle w:val="QS10"/>
        <w:rPr>
          <w:color w:val="000000" w:themeColor="text1"/>
          <w:szCs w:val="20"/>
        </w:rPr>
      </w:pPr>
      <w:r w:rsidRPr="00623BF2">
        <w:rPr>
          <w:rStyle w:val="Emphasis"/>
          <w:color w:val="000000" w:themeColor="text1"/>
          <w:szCs w:val="20"/>
        </w:rPr>
        <w:t>Authority to Amend the Trust</w:t>
      </w:r>
    </w:p>
    <w:p w:rsidR="00597176" w:rsidRPr="00597176" w:rsidRDefault="00597176" w:rsidP="00597176">
      <w:pPr>
        <w:pStyle w:val="QS10"/>
        <w:rPr>
          <w:szCs w:val="20"/>
        </w:rPr>
      </w:pPr>
      <w:r w:rsidRPr="00623BF2">
        <w:rPr>
          <w:color w:val="000000" w:themeColor="text1"/>
          <w:szCs w:val="20"/>
        </w:rPr>
        <w:t xml:space="preserve">The Trust provided that Austin could not “alter, amend, revoke or terminate [its terms] in any way.” And yet, Austin authorized the Trust Protector to amend or </w:t>
      </w:r>
      <w:r w:rsidRPr="00597176">
        <w:rPr>
          <w:szCs w:val="20"/>
        </w:rPr>
        <w:t>modify the Trust: “Any amendment made by the Trust Protector will be binding and conclusive on all persons interested in the trust, unless the amendment is shown by clear and convincing evidence to have been made in bad faith by the Trust Protector.”</w:t>
      </w:r>
    </w:p>
    <w:p w:rsidR="00597176" w:rsidRPr="00597176" w:rsidRDefault="00597176" w:rsidP="00597176">
      <w:pPr>
        <w:pStyle w:val="QS10"/>
        <w:rPr>
          <w:szCs w:val="20"/>
        </w:rPr>
      </w:pPr>
      <w:r w:rsidRPr="00597176">
        <w:rPr>
          <w:szCs w:val="20"/>
        </w:rPr>
        <w:t>But the Trust limited the Trust Protector's powers. It explained, for instance, how the Trust Protector should interpret the Trust:</w:t>
      </w:r>
    </w:p>
    <w:p w:rsidR="00597176" w:rsidRPr="00597176" w:rsidRDefault="00597176" w:rsidP="002D4447">
      <w:pPr>
        <w:pStyle w:val="QS10"/>
        <w:ind w:left="2160"/>
        <w:rPr>
          <w:szCs w:val="20"/>
        </w:rPr>
      </w:pPr>
      <w:r w:rsidRPr="00597176">
        <w:rPr>
          <w:szCs w:val="20"/>
        </w:rPr>
        <w:t>In exercising and considering whether to exercise any power granted to a Trust Protector under the agreement, the Trust Protector should make reasonable inquiry into any matter or seek any information that reasonably bear upon the Trust Protector's decision to exercise the power.</w:t>
      </w:r>
    </w:p>
    <w:p w:rsidR="00597176" w:rsidRPr="00597176" w:rsidRDefault="00597176" w:rsidP="002D4447">
      <w:pPr>
        <w:pStyle w:val="QS10"/>
        <w:ind w:left="2160"/>
        <w:rPr>
          <w:szCs w:val="20"/>
        </w:rPr>
      </w:pPr>
      <w:r w:rsidRPr="00597176">
        <w:rPr>
          <w:szCs w:val="20"/>
        </w:rPr>
        <w:t>The Trust Protector may settle any disputes concerning the interpretation of any provision contained in [the Trust] that arise as a result of any perceived ambiguity. In doing so, the role of the Trust Protector is to ensure that [the Trust] is construed in a manner consistent with [Austin's] estate planning objectives.</w:t>
      </w:r>
    </w:p>
    <w:p w:rsidR="00597176" w:rsidRPr="00623BF2" w:rsidRDefault="00597176" w:rsidP="00597176">
      <w:pPr>
        <w:pStyle w:val="QS10"/>
        <w:rPr>
          <w:color w:val="000000" w:themeColor="text1"/>
          <w:szCs w:val="20"/>
        </w:rPr>
      </w:pPr>
      <w:r w:rsidRPr="00623BF2">
        <w:rPr>
          <w:rStyle w:val="Emphasis"/>
          <w:color w:val="000000" w:themeColor="text1"/>
          <w:szCs w:val="20"/>
        </w:rPr>
        <w:t>Two Amendments and the Fallout</w:t>
      </w:r>
    </w:p>
    <w:p w:rsidR="00597176" w:rsidRPr="00597176" w:rsidRDefault="00597176" w:rsidP="00597176">
      <w:pPr>
        <w:pStyle w:val="QS10"/>
        <w:rPr>
          <w:szCs w:val="20"/>
        </w:rPr>
      </w:pPr>
      <w:r w:rsidRPr="00597176">
        <w:rPr>
          <w:szCs w:val="20"/>
        </w:rPr>
        <w:t>The Trust Protector twice amended the Trust in the first six months after its creation. In March 2017, he added an </w:t>
      </w:r>
      <w:r w:rsidRPr="00597176">
        <w:rPr>
          <w:rStyle w:val="Emphasis"/>
          <w:color w:val="212121"/>
          <w:szCs w:val="20"/>
        </w:rPr>
        <w:t>in terrorem</w:t>
      </w:r>
      <w:r w:rsidRPr="00597176">
        <w:rPr>
          <w:szCs w:val="20"/>
        </w:rPr>
        <w:t> clause that would invalidate the interest of any beneficiary who (a) “contests by a claim of undue influence” or “objects” to “any [Trust] amendments” or (b) “seeks to obtain adjudication in any court proceedings that [the Trust] or any of its provisions is void.” Petitioners do not contest the validity of this amendment.</w:t>
      </w:r>
    </w:p>
    <w:p w:rsidR="00597176" w:rsidRPr="00597176" w:rsidRDefault="00597176" w:rsidP="00597176">
      <w:pPr>
        <w:pStyle w:val="QS10"/>
        <w:rPr>
          <w:szCs w:val="20"/>
        </w:rPr>
      </w:pPr>
      <w:r w:rsidRPr="00597176">
        <w:rPr>
          <w:szCs w:val="20"/>
        </w:rPr>
        <w:t>At issue here is the second amendment (“Second Amendment”), which the Trust Protector adopted in May 2017. This amendment eliminated Kay as a beneficiary, made Lindi the sole income beneficiary of the Trust at Austin's death, and authorized the Trustee to distribute the Trust's assets to Lindi as “advisable for any purpose.” The Second Amendment also reduced the Daughters to remainder beneficiaries upon Lindi's death and added Lindi's sons from a prior marriage as remainder beneficiaries.</w:t>
      </w:r>
    </w:p>
    <w:p w:rsidR="00597176" w:rsidRDefault="00597176" w:rsidP="00BA4F80">
      <w:pPr>
        <w:pStyle w:val="Body15"/>
      </w:pPr>
      <w:r>
        <w:t>The evidence of undue influence was compelling as recited by the court:</w:t>
      </w:r>
    </w:p>
    <w:p w:rsidR="002D4447" w:rsidRPr="002D4447" w:rsidRDefault="002D4447" w:rsidP="002D4447">
      <w:pPr>
        <w:pStyle w:val="QS10"/>
        <w:rPr>
          <w:szCs w:val="20"/>
        </w:rPr>
      </w:pPr>
      <w:r w:rsidRPr="002D4447">
        <w:rPr>
          <w:szCs w:val="20"/>
        </w:rPr>
        <w:t>Petitioners attached over 150 pages of exhibits to their Verified Petition and First Amended Verified Petition, including the Trust document, the First Amendment and the Resignation of Trust Protector.</w:t>
      </w:r>
    </w:p>
    <w:p w:rsidR="002D4447" w:rsidRPr="002D4447" w:rsidRDefault="002D4447" w:rsidP="002D4447">
      <w:pPr>
        <w:pStyle w:val="QS10"/>
        <w:rPr>
          <w:szCs w:val="20"/>
        </w:rPr>
      </w:pPr>
      <w:r w:rsidRPr="002D4447">
        <w:rPr>
          <w:szCs w:val="20"/>
        </w:rPr>
        <w:t>Among the attachments were an unsigned affidavit of Trust Protector Deloughery that described Lindi's role in securing the Second Amendment, and an October 2018 email from Deloughery explaining: “I think the affidavit is generally correct. However, since you want it under oath, I would need to give some thought to the wording to ensure it is correct.” Drafted for Deloughery in the first person, the affidavit read:</w:t>
      </w:r>
    </w:p>
    <w:p w:rsidR="002D4447" w:rsidRPr="002D4447" w:rsidRDefault="002D4447" w:rsidP="002D4447">
      <w:pPr>
        <w:pStyle w:val="QS10"/>
        <w:ind w:left="2160"/>
        <w:rPr>
          <w:szCs w:val="20"/>
        </w:rPr>
      </w:pPr>
      <w:r w:rsidRPr="002D4447">
        <w:rPr>
          <w:szCs w:val="20"/>
        </w:rPr>
        <w:t>Shortly before May 6, 2017, I received a communication from Lindi saying that Austin wanted changes to the Trust. At the time Lindi was living with Mr. Bates full time as [sic] considered herself his caregiver and mistress.</w:t>
      </w:r>
    </w:p>
    <w:p w:rsidR="002D4447" w:rsidRPr="002D4447" w:rsidRDefault="002D4447" w:rsidP="002D4447">
      <w:pPr>
        <w:pStyle w:val="QS10"/>
        <w:ind w:left="2160"/>
        <w:rPr>
          <w:szCs w:val="20"/>
        </w:rPr>
      </w:pPr>
      <w:r w:rsidRPr="002D4447">
        <w:rPr>
          <w:szCs w:val="20"/>
        </w:rPr>
        <w:t>Lindi brought Austin to my office. Initially, Lindi did all the talking. She demand[ed] changes to the Trust that would be in her favor. Austin sat there next to her but said nothing. I later asked to interview Austin without Lindi. Privately Austin informed me that he wanted to provide for Lindi but did not want to give her an outright distribution.</w:t>
      </w:r>
    </w:p>
    <w:p w:rsidR="002D4447" w:rsidRPr="002D4447" w:rsidRDefault="002D4447" w:rsidP="002D4447">
      <w:pPr>
        <w:pStyle w:val="QS10"/>
        <w:rPr>
          <w:szCs w:val="20"/>
        </w:rPr>
      </w:pPr>
      <w:r w:rsidRPr="002D4447">
        <w:rPr>
          <w:szCs w:val="20"/>
        </w:rPr>
        <w:t>Further, according to Petitioners, though Austin had appointed Managed Protective Services to serve as Trustee, Lindi in fact managed the assets of the Trust—collecting rents from tenants, demanding they pay higher rent and trying to refinance Trust assets. Even so, Lindi grew frustrated with the Trustee and scheduled a meeting with Austin and the Trustee's representatives in January 2018. The Trustee's representatives later described that meeting under oath, expressing their collective “shock[ ] at [Austin's] obvious incapacity.” The representatives explained that (1) Austin “was unable to speak at all due to a permanently emplaced tracheostomy tube; he was unable to open his eyes; he was sitting propped up in a chair; he made no hand gestures,” (2) Austin “was unable to speak or eat, and did not appear to be fully conscious,” (3) Lindi “answered all questions put to [Austin], stating that she understood him perfectly,” (4) Lindi became “visibly irritated” when told she would not receive the Trust's assets “outright” at Austin's death but would instead be an income Trust beneficiary for her lifetime, and (5) Lindi “demanded that [the Trustee] resign and stated that the terms of the Trust needed to be changed.”</w:t>
      </w:r>
    </w:p>
    <w:p w:rsidR="002D4447" w:rsidRPr="002D4447" w:rsidRDefault="002D4447" w:rsidP="002D4447">
      <w:pPr>
        <w:pStyle w:val="QS10"/>
        <w:rPr>
          <w:szCs w:val="20"/>
        </w:rPr>
      </w:pPr>
      <w:r w:rsidRPr="002D4447">
        <w:rPr>
          <w:szCs w:val="20"/>
        </w:rPr>
        <w:t>Lindi then contacted the Trust Protector and again demanded he amend the Trust in her favor. This time, however, the Trust Protector resigned rather than accede to Lindi's demands.</w:t>
      </w:r>
    </w:p>
    <w:p w:rsidR="002D4447" w:rsidRPr="002D4447" w:rsidRDefault="002D4447" w:rsidP="002D4447">
      <w:pPr>
        <w:pStyle w:val="QS10"/>
        <w:rPr>
          <w:szCs w:val="20"/>
        </w:rPr>
      </w:pPr>
      <w:r w:rsidRPr="002D4447">
        <w:rPr>
          <w:szCs w:val="20"/>
        </w:rPr>
        <w:t>In April 2018, Lindi filed paperwork to remove Managed Protective Services as trustee and appointed her daughter's friend as the replacement trustee, even though the friend “lack[ed] any experience or education to serve as a trustee.” Austin authorized the change with his thumbprint rather than his signature. He died five months later.</w:t>
      </w:r>
    </w:p>
    <w:p w:rsidR="00597176" w:rsidRDefault="00597176" w:rsidP="00BA4F80">
      <w:pPr>
        <w:pStyle w:val="Body15"/>
      </w:pPr>
      <w:r>
        <w:t>Lindi argued there was no claim she influenced the trust protector, an argument the court concluded was irrelevant:</w:t>
      </w:r>
    </w:p>
    <w:p w:rsidR="002D4447" w:rsidRPr="002D4447" w:rsidRDefault="002D4447" w:rsidP="002D4447">
      <w:pPr>
        <w:pStyle w:val="QS10"/>
        <w:rPr>
          <w:szCs w:val="20"/>
        </w:rPr>
      </w:pPr>
      <w:r w:rsidRPr="002D4447">
        <w:rPr>
          <w:szCs w:val="20"/>
        </w:rPr>
        <w:t xml:space="preserve">Lindi contends that Petitioners’ claim is defective because it does not allege she exercised undue influence directly over the Trust Protector. But, as explained above, that argument is not supported by the statute's plain language, and this </w:t>
      </w:r>
      <w:r w:rsidRPr="00D13E47">
        <w:rPr>
          <w:color w:val="000000" w:themeColor="text1"/>
          <w:szCs w:val="20"/>
        </w:rPr>
        <w:t>court ordinarily resists reading words or requirements into a statute. </w:t>
      </w:r>
      <w:r w:rsidRPr="00D13E47">
        <w:rPr>
          <w:rStyle w:val="Emphasis"/>
          <w:color w:val="000000" w:themeColor="text1"/>
          <w:szCs w:val="20"/>
        </w:rPr>
        <w:t>Cf. Midtown Med. Group, Inc. v. State Farm Mut. Auto. Ins. Co.</w:t>
      </w:r>
      <w:r w:rsidRPr="00D13E47">
        <w:rPr>
          <w:color w:val="000000" w:themeColor="text1"/>
          <w:szCs w:val="20"/>
        </w:rPr>
        <w:t xml:space="preserve">, 220 Ariz. 341, 347, ¶ 22, 206 P.3d 790, 796 (App. 2008) (courts do not “seek to create conflicting provisions with the result that the judiciary adds elements the legislature could have easily </w:t>
      </w:r>
      <w:r w:rsidRPr="002D4447">
        <w:rPr>
          <w:szCs w:val="20"/>
        </w:rPr>
        <w:t>required but did not”).</w:t>
      </w:r>
    </w:p>
    <w:p w:rsidR="002D4447" w:rsidRPr="002D4447" w:rsidRDefault="002D4447" w:rsidP="002D4447">
      <w:pPr>
        <w:pStyle w:val="QS10"/>
        <w:rPr>
          <w:szCs w:val="20"/>
        </w:rPr>
      </w:pPr>
      <w:r w:rsidRPr="002D4447">
        <w:rPr>
          <w:szCs w:val="20"/>
        </w:rPr>
        <w:t>Moreover, Lindi's argument overlooks the Trust's terms, the relationship between settlor and trust protector and the likelihood of real-world misconduct. To be sure, the Trust gave the Trust Protector the sole power to amend the Trust. But it also directed the Trust Protector to look to Austin's preferences and desires in managing the Trust.</w:t>
      </w:r>
    </w:p>
    <w:p w:rsidR="002D4447" w:rsidRPr="00D13E47" w:rsidRDefault="002D4447" w:rsidP="002D4447">
      <w:pPr>
        <w:pStyle w:val="QS10"/>
        <w:rPr>
          <w:color w:val="000000" w:themeColor="text1"/>
          <w:szCs w:val="20"/>
        </w:rPr>
      </w:pPr>
      <w:r w:rsidRPr="002D4447">
        <w:rPr>
          <w:szCs w:val="20"/>
        </w:rPr>
        <w:t>The Trust specifically required the Trust Protector to “assist in achieving [Austin's] objectives” and mandated that “the role of the Trust Protector is to ensure that [the Trust] is construed in a manner consistent with [Austin's] estate planning objectives.” Therefore, even though the Trust Protector had final authority to approve or reject an amendment, Austin's input remained relevant, if n</w:t>
      </w:r>
      <w:r w:rsidRPr="00D13E47">
        <w:rPr>
          <w:color w:val="000000" w:themeColor="text1"/>
          <w:szCs w:val="20"/>
        </w:rPr>
        <w:t>ot dispositive, under the Trust's terms. To that end, one commentator has described the role of a trust protector as “an agent [who has] been chosen by the settlor to have some level of power to guide the trustee's actions.” Philip J. Ruce, </w:t>
      </w:r>
      <w:r w:rsidRPr="00D13E47">
        <w:rPr>
          <w:rStyle w:val="Emphasis"/>
          <w:color w:val="000000" w:themeColor="text1"/>
          <w:szCs w:val="20"/>
        </w:rPr>
        <w:t>The Trustee and the Trust Protector: A Question of Fiduciary Power</w:t>
      </w:r>
      <w:r w:rsidRPr="00D13E47">
        <w:rPr>
          <w:color w:val="000000" w:themeColor="text1"/>
          <w:szCs w:val="20"/>
        </w:rPr>
        <w:t>, 59 Drake L. Rev. 67, 68 (2010).</w:t>
      </w:r>
    </w:p>
    <w:p w:rsidR="002D4447" w:rsidRPr="002D4447" w:rsidRDefault="002D4447" w:rsidP="002D4447">
      <w:pPr>
        <w:pStyle w:val="QS10"/>
        <w:rPr>
          <w:szCs w:val="20"/>
        </w:rPr>
      </w:pPr>
      <w:r w:rsidRPr="00D13E47">
        <w:rPr>
          <w:color w:val="000000" w:themeColor="text1"/>
          <w:szCs w:val="20"/>
        </w:rPr>
        <w:t>Further, the Trust's express “Limitation[s] on Trust Protector Powers” required the Trust Protector to conduct a reasonable inquiry before exercising his powers and to gather all information that reasonably bore on the decision to exercise his power. If Lindi exercised undue influence over Austin in a way that limited or tainted the Trust Protector's inquir</w:t>
      </w:r>
      <w:r w:rsidRPr="002D4447">
        <w:rPr>
          <w:szCs w:val="20"/>
        </w:rPr>
        <w:t>y, which caused the Trust Protector to adopt her proposed Second Amendment, she accomplished precisely what § 14-10406 prohibits—exercising undue influence to induce the creation of the amendment. If Lindi is immune from an undue influence claim here, then any defendant may avoid liability under the Arizona Trust Code by simply pressuring, threatening and exploiting a vulnerable person to do their dirty work. At minimum, Petitioners should have been allowed to conduct discovery into why the Trust Protector decided to approve the Second Amendment.</w:t>
      </w:r>
    </w:p>
    <w:p w:rsidR="00597176" w:rsidRDefault="00597176" w:rsidP="00BA4F80">
      <w:pPr>
        <w:pStyle w:val="Body15"/>
      </w:pPr>
      <w:r>
        <w:t>A dissent would have gone the other way and held that the undue influence must have been directly of the trust protector.</w:t>
      </w:r>
    </w:p>
    <w:p w:rsidR="0099408C" w:rsidRPr="0099408C" w:rsidRDefault="00D13E47" w:rsidP="00D13E47">
      <w:pPr>
        <w:pStyle w:val="Heading20"/>
        <w:numPr>
          <w:ilvl w:val="1"/>
          <w:numId w:val="33"/>
        </w:numPr>
        <w:tabs>
          <w:tab w:val="clear" w:pos="2700"/>
        </w:tabs>
        <w:spacing w:before="240"/>
        <w:ind w:left="0"/>
        <w:rPr>
          <w:vanish/>
          <w:specVanish/>
        </w:rPr>
      </w:pPr>
      <w:bookmarkStart w:id="834" w:name="_Toc94704724"/>
      <w:r>
        <w:rPr>
          <w:b/>
          <w:u w:val="single"/>
        </w:rPr>
        <w:t>Co-Trustee May Not Later Challenge A Decanting In Equity</w:t>
      </w:r>
      <w:bookmarkEnd w:id="834"/>
    </w:p>
    <w:p w:rsidR="002623D2" w:rsidRDefault="00D13E47" w:rsidP="0099408C">
      <w:pPr>
        <w:pStyle w:val="Heading2Body"/>
      </w:pPr>
      <w:r>
        <w:t xml:space="preserve">.  </w:t>
      </w:r>
      <w:r>
        <w:rPr>
          <w:u w:val="single"/>
        </w:rPr>
        <w:t>In the Matter of: The Niki and Darren Irrevocable Trust</w:t>
      </w:r>
      <w:r>
        <w:t>, 2020 WL 8421676 (Del. Ch. unreported), dealt with a decanting by co-trustees, consented to by the beneficiaries.  Approximately five years later the co-trustees asked the Delaware Chancery Court to determine the decanting was invalid.  The opinion states:</w:t>
      </w:r>
    </w:p>
    <w:p w:rsidR="009243E7" w:rsidRPr="009243E7" w:rsidRDefault="009243E7" w:rsidP="009243E7">
      <w:pPr>
        <w:pStyle w:val="QS10"/>
        <w:rPr>
          <w:szCs w:val="20"/>
        </w:rPr>
      </w:pPr>
      <w:r w:rsidRPr="009243E7">
        <w:rPr>
          <w:szCs w:val="20"/>
        </w:rPr>
        <w:t>This case was briefed around one central issue: whether the assets of the Original Trust were validly decanted into the Second Trust. Both trusts were settled by the same person, Ildiko, who is also a beneficiary of both trusts, and who was the initial sole trustee of the Original Trust. Ildiko—with Petitioner Comerica, who is a trustee of </w:t>
      </w:r>
      <w:r w:rsidRPr="009243E7">
        <w:rPr>
          <w:rStyle w:val="Emphasis"/>
          <w:color w:val="212121"/>
          <w:szCs w:val="20"/>
        </w:rPr>
        <w:t>both</w:t>
      </w:r>
      <w:r w:rsidRPr="009243E7">
        <w:rPr>
          <w:szCs w:val="20"/>
        </w:rPr>
        <w:t> the Original Trust and the Second Trust—now, </w:t>
      </w:r>
      <w:r w:rsidRPr="009243E7">
        <w:rPr>
          <w:rStyle w:val="Emphasis"/>
          <w:color w:val="212121"/>
          <w:szCs w:val="20"/>
        </w:rPr>
        <w:t>four years later</w:t>
      </w:r>
      <w:r w:rsidRPr="009243E7">
        <w:rPr>
          <w:szCs w:val="20"/>
        </w:rPr>
        <w:t>, seeks to have the purported decanting declared void as noncompliant with the Decanting Statute—a decanting that Ildiko and Comerica executed </w:t>
      </w:r>
      <w:r w:rsidRPr="009243E7">
        <w:rPr>
          <w:rStyle w:val="Emphasis"/>
          <w:color w:val="212121"/>
          <w:szCs w:val="20"/>
        </w:rPr>
        <w:t>themselves</w:t>
      </w:r>
      <w:r w:rsidRPr="009243E7">
        <w:rPr>
          <w:szCs w:val="20"/>
        </w:rPr>
        <w:t>, as the trustees of the Original Trust. In effect, Ildiko is asking this Court to declare void an action that she took over six years ago, an action which now appears to be to her detriment and to another beneficiary's benefit, in what I may categorize as an attack of late-onset settlor's remorse.</w:t>
      </w:r>
    </w:p>
    <w:p w:rsidR="009243E7" w:rsidRPr="009243E7" w:rsidRDefault="009243E7" w:rsidP="009243E7">
      <w:pPr>
        <w:pStyle w:val="QS10"/>
        <w:rPr>
          <w:szCs w:val="20"/>
        </w:rPr>
      </w:pPr>
      <w:r w:rsidRPr="009243E7">
        <w:rPr>
          <w:szCs w:val="20"/>
        </w:rPr>
        <w:t>To be clear, as the settlor and creator of the Second Trust, Ildiko, for reasons of her own, determined to create a trust that had certain benefits for Darren, compared with the Original Trust. It also purported to benefit Ildiko herself: the Second Trust, unlike the Original Trust, allows the trustee to invade the principal on Ildiko's behalf. As the trustee of the Original Trust, Ildiko decided to place its corpus into that Second Trust. Ildiko then enjoyed the benefits of being a beneficiary of the Second Trust, including, presumably, distributions from the Second Trust, for several years. Only when conditions made her regret her prior decanting decision did she and Comerica decide to attack the legitimacy of their own actions in funding the Second Trust. To invoke equity as a remedy for those actions is, I find, itself offensive to equity. Having previously acted in a fiduciary capacity to settle and fund a trust through what she now asserts were illegal means, Ildiko cannot invoke equity for relief from that action, in her own self-interest—relief, I note, that would be to the detriment of Darren, toward whom she owes fiduciary duties. In other words, Ildiko cannot rely on past unlawful conduct as a fiduciary as the key that turns the lock to release her from the results of such conduct.</w:t>
      </w:r>
    </w:p>
    <w:p w:rsidR="009243E7" w:rsidRPr="009243E7" w:rsidRDefault="009243E7" w:rsidP="009243E7">
      <w:pPr>
        <w:pStyle w:val="QS10"/>
        <w:rPr>
          <w:szCs w:val="20"/>
        </w:rPr>
      </w:pPr>
      <w:r w:rsidRPr="009243E7">
        <w:rPr>
          <w:szCs w:val="20"/>
        </w:rPr>
        <w:t>It is worth noting, I think, that unclean hands is not available where the result of applying the doctrine would itself be inequitable. So, in </w:t>
      </w:r>
      <w:r w:rsidRPr="009243E7">
        <w:rPr>
          <w:rStyle w:val="Emphasis"/>
          <w:color w:val="212121"/>
          <w:szCs w:val="20"/>
        </w:rPr>
        <w:t>Portnoy v. Cryo-Cell</w:t>
      </w:r>
      <w:r w:rsidRPr="009243E7">
        <w:rPr>
          <w:szCs w:val="20"/>
        </w:rPr>
        <w:t>, then-Vice Chancellor Strine refused to apply the doctrine where it would affect innocent equity-holders. The analog to those equity-holders here, perhaps, is Niki. Nothing, I note, prevents Niki from pursuing Ildiko or Comerica for breach of trust with respect to the decanting of the Original Trust, if she finds it appropriate to do so. Further, there is no allegation that this Court's application of unclean hands will work an inequity because of some wrongful action on Darren's part—no such action is alleged.</w:t>
      </w:r>
    </w:p>
    <w:p w:rsidR="009243E7" w:rsidRPr="009243E7" w:rsidRDefault="009243E7" w:rsidP="009243E7">
      <w:pPr>
        <w:pStyle w:val="QS10"/>
        <w:rPr>
          <w:szCs w:val="20"/>
        </w:rPr>
      </w:pPr>
      <w:r w:rsidRPr="009243E7">
        <w:rPr>
          <w:szCs w:val="20"/>
        </w:rPr>
        <w:t>I have principally discussed unclean hands with respect to Ildiko. The fact that her co-trustee, Comerica, is sponsoring the Verified Petition does not impede me from applying the doctrine here. Comerica was a co-trustee of the Original Trust and thus had a duty to ensure that the assets were not decanted from the Original Trust in violation of the Decanting Statute. Having failed in that duty, it cannot now, four years later, invoke equity to correct its mistake in such a way that would benefit one of its beneficiaries to the detriment of another, in light of the benefiting beneficiary's actions discussed above. Accordingly, the doctrine of unclean hands bars me from hearing the merits of the Verified Petition and the Petitioner's Motion for Judgment on the Pleadings is denied.</w:t>
      </w:r>
    </w:p>
    <w:p w:rsidR="00D13E47" w:rsidRDefault="00D13E47" w:rsidP="00D13E47">
      <w:pPr>
        <w:pStyle w:val="Body15"/>
      </w:pPr>
      <w:r>
        <w:t>The trustee</w:t>
      </w:r>
      <w:r w:rsidR="0099408C">
        <w:t xml:space="preserve"> </w:t>
      </w:r>
      <w:r w:rsidR="009243E7">
        <w:t>-</w:t>
      </w:r>
      <w:r w:rsidR="0099408C">
        <w:t xml:space="preserve"> beneficia</w:t>
      </w:r>
      <w:r w:rsidR="009243E7">
        <w:t>ries</w:t>
      </w:r>
      <w:r w:rsidR="0099408C">
        <w:t xml:space="preserve"> referred to as childlike </w:t>
      </w:r>
      <w:r w:rsidR="009243E7">
        <w:t xml:space="preserve">- </w:t>
      </w:r>
      <w:r w:rsidR="0099408C">
        <w:t>was apparently upset because the decanting created a new trust that reduced her interest, in favor of her son-in-law, if her daughter and son-in-law divorced, which they did.</w:t>
      </w:r>
    </w:p>
    <w:p w:rsidR="008A768B" w:rsidRPr="008A768B" w:rsidRDefault="009243E7" w:rsidP="00D13E47">
      <w:pPr>
        <w:pStyle w:val="Heading20"/>
        <w:numPr>
          <w:ilvl w:val="1"/>
          <w:numId w:val="33"/>
        </w:numPr>
        <w:tabs>
          <w:tab w:val="clear" w:pos="2700"/>
        </w:tabs>
        <w:spacing w:before="240"/>
        <w:ind w:left="0"/>
        <w:rPr>
          <w:vanish/>
          <w:specVanish/>
        </w:rPr>
      </w:pPr>
      <w:bookmarkStart w:id="835" w:name="_Toc94704725"/>
      <w:r>
        <w:rPr>
          <w:b/>
          <w:u w:val="single"/>
        </w:rPr>
        <w:t>Attorney-Client Privilege After Client’s Death</w:t>
      </w:r>
      <w:bookmarkEnd w:id="835"/>
    </w:p>
    <w:p w:rsidR="00D13E47" w:rsidRDefault="009243E7" w:rsidP="008A768B">
      <w:pPr>
        <w:pStyle w:val="Heading2Body"/>
      </w:pPr>
      <w:r>
        <w:t xml:space="preserve">.  The facts in </w:t>
      </w:r>
      <w:r>
        <w:rPr>
          <w:u w:val="single"/>
        </w:rPr>
        <w:t xml:space="preserve">In re </w:t>
      </w:r>
      <w:r w:rsidR="00EE0D00">
        <w:rPr>
          <w:u w:val="single"/>
        </w:rPr>
        <w:t>Estate</w:t>
      </w:r>
      <w:r>
        <w:rPr>
          <w:u w:val="single"/>
        </w:rPr>
        <w:t xml:space="preserve"> of Rabin</w:t>
      </w:r>
      <w:r>
        <w:t>, 474 P.3d 1211 (</w:t>
      </w:r>
      <w:r w:rsidR="008A4456">
        <w:t>Colo. 2020), were simple.  Husband died leaving all to his widow.  Former wife then appeared making a claim on two promissory notes executed while the decedent was married to his eventual widow.  The widow was also the personal representative.  The court notes what happened next:</w:t>
      </w:r>
    </w:p>
    <w:p w:rsidR="008A4456" w:rsidRPr="008A4456" w:rsidRDefault="008A4456" w:rsidP="008A4456">
      <w:pPr>
        <w:pStyle w:val="QS10"/>
        <w:rPr>
          <w:szCs w:val="20"/>
        </w:rPr>
      </w:pPr>
      <w:r w:rsidRPr="008A4456">
        <w:rPr>
          <w:szCs w:val="20"/>
        </w:rPr>
        <w:t>Wanting more information, Claudine</w:t>
      </w:r>
      <w:r w:rsidR="005A0A83">
        <w:rPr>
          <w:szCs w:val="20"/>
        </w:rPr>
        <w:t xml:space="preserve"> [widow]</w:t>
      </w:r>
      <w:r w:rsidRPr="008A4456">
        <w:rPr>
          <w:szCs w:val="20"/>
        </w:rPr>
        <w:t xml:space="preserve"> asked Louis's longtime attorney, Mark Freirich, for all of Louis's legal files, most of which had nothing to do with the notes. He refused, citing confidentiality concerns. She then subpoenaed the files, placing two time-honored legal principles on a collision course: client-lawyer confidentiality (given practical effect by the attorney-client privilege and Colorado Rule of Professional Conduct 1.6) and a personal representative's duty to settle a decedent's estate.</w:t>
      </w:r>
    </w:p>
    <w:p w:rsidR="005A0A83" w:rsidRDefault="008A4456" w:rsidP="005A0A83">
      <w:pPr>
        <w:pStyle w:val="QS10"/>
        <w:rPr>
          <w:szCs w:val="20"/>
        </w:rPr>
      </w:pPr>
      <w:r w:rsidRPr="008A4456">
        <w:rPr>
          <w:szCs w:val="20"/>
        </w:rPr>
        <w:t>We hold that (1) Colorado's Probate Code doesn't grant a personal representative a general right to take possession of all of a decedent's legal files as “property” of the estate; (2) a decedent's lawyer is ordinarily prohibited from disclosing a decedent's legal files, even to the personal representative; but (3) a decedent's lawyer may provide the personal representative with otherwise privileged or confidential documents if such disclosure is necessary to settle the decedent's estate.</w:t>
      </w:r>
    </w:p>
    <w:p w:rsidR="008A4456" w:rsidRDefault="008A4456" w:rsidP="005A0A83">
      <w:pPr>
        <w:pStyle w:val="QS10"/>
        <w:jc w:val="center"/>
      </w:pPr>
      <w:r>
        <w:t>* * *</w:t>
      </w:r>
    </w:p>
    <w:p w:rsidR="005A0A83" w:rsidRPr="005A0A83" w:rsidRDefault="005A0A83" w:rsidP="005A0A83">
      <w:pPr>
        <w:pStyle w:val="QS10"/>
        <w:rPr>
          <w:szCs w:val="20"/>
        </w:rPr>
      </w:pPr>
      <w:r w:rsidRPr="005A0A83">
        <w:rPr>
          <w:szCs w:val="20"/>
        </w:rPr>
        <w:t>Freirich moved to quash the subpoena, arguing that producing Louis's full set of files (which, according to Freirich, encompasses about forty-five individual files) would cause undue burden and expense and the “attorney-client privilege has not been waived.” Fischer then contacted Freirich, clarifying that he was “seeking the paperwork in [Freirich's] files that may have been generated around [the date of the notes] to understand the consideration” for them.</w:t>
      </w:r>
    </w:p>
    <w:p w:rsidR="005A0A83" w:rsidRPr="005A0A83" w:rsidRDefault="005A0A83" w:rsidP="005A0A83">
      <w:pPr>
        <w:pStyle w:val="QS10"/>
        <w:rPr>
          <w:szCs w:val="20"/>
        </w:rPr>
      </w:pPr>
      <w:r w:rsidRPr="005A0A83">
        <w:rPr>
          <w:szCs w:val="20"/>
        </w:rPr>
        <w:t xml:space="preserve">Freirich eventually provided the documents he had regarding the promissory notes, which included copies of the notes and two pages of Freirich's handwritten notes. He did so after concluding that Suyue's </w:t>
      </w:r>
      <w:r>
        <w:rPr>
          <w:szCs w:val="20"/>
        </w:rPr>
        <w:t xml:space="preserve">[former wife] </w:t>
      </w:r>
      <w:r w:rsidRPr="005A0A83">
        <w:rPr>
          <w:szCs w:val="20"/>
        </w:rPr>
        <w:t>presence during his discussions with Louis had vitiated any privilege that would otherwise exist.</w:t>
      </w:r>
    </w:p>
    <w:p w:rsidR="005A0A83" w:rsidRPr="005A0A83" w:rsidRDefault="005A0A83" w:rsidP="005A0A83">
      <w:pPr>
        <w:pStyle w:val="QS10"/>
        <w:rPr>
          <w:szCs w:val="20"/>
        </w:rPr>
      </w:pPr>
      <w:r w:rsidRPr="005A0A83">
        <w:rPr>
          <w:szCs w:val="20"/>
        </w:rPr>
        <w:t>Still, Claudine sought production of the rest of the files. Freirich responded that he didn't have “any additional information regarding the underlying debt reflected in the Promissory Note[s]”; his duty of confidentiality under Colorado Rule of Professional Conduct 1.6 prevented him from revealing more; and his refusal to comply with the subpoena was “consistent with what [he] believe[d] to be [Louis's] wishes.” Claudine countered that Freirich had to produce the files because they were Louis's property, and section 15-12-709, C.R.S. (2020), grants a personal representative the right to take possession of a decedent's property; Louis waived his attorney-client privilege by nominating her as his personal representative, and the privilege now belongs to Louis's estate; and Freirich's duty of confidentiality didn't otherwise prevent remittance of Louis's files to her, since Louis also waived his right to confidentiality by nominating her as the personal representative.</w:t>
      </w:r>
    </w:p>
    <w:p w:rsidR="008A4456" w:rsidRPr="005A0A83" w:rsidRDefault="008A4456" w:rsidP="00BA4F80">
      <w:pPr>
        <w:pStyle w:val="Body15"/>
        <w:rPr>
          <w:color w:val="000000" w:themeColor="text1"/>
        </w:rPr>
      </w:pPr>
      <w:r>
        <w:t xml:space="preserve">Are client files “property” of an </w:t>
      </w:r>
      <w:r w:rsidRPr="005A0A83">
        <w:rPr>
          <w:color w:val="000000" w:themeColor="text1"/>
        </w:rPr>
        <w:t>estate?  The court held they are not:</w:t>
      </w:r>
    </w:p>
    <w:p w:rsidR="005A0A83" w:rsidRPr="005A0A83" w:rsidRDefault="005A0A83" w:rsidP="005A0A83">
      <w:pPr>
        <w:pStyle w:val="QS10"/>
        <w:rPr>
          <w:color w:val="000000" w:themeColor="text1"/>
          <w:szCs w:val="20"/>
        </w:rPr>
      </w:pPr>
      <w:r w:rsidRPr="005A0A83">
        <w:rPr>
          <w:color w:val="000000" w:themeColor="text1"/>
          <w:szCs w:val="20"/>
        </w:rPr>
        <w:t>Although Rule 1.16(d) required Freirich to provide Louis with “papers and property to which the client is entitled” upon termination of the attorney-client relationship, that duty is grounded in ethics, not property law. </w:t>
      </w:r>
      <w:r w:rsidRPr="005A0A83">
        <w:rPr>
          <w:rStyle w:val="Emphasis"/>
          <w:color w:val="000000" w:themeColor="text1"/>
          <w:szCs w:val="20"/>
        </w:rPr>
        <w:t>Corrigan v. Armstrong, Teasdale, Schlafly, Davis &amp; Dicus</w:t>
      </w:r>
      <w:r w:rsidRPr="005A0A83">
        <w:rPr>
          <w:color w:val="000000" w:themeColor="text1"/>
          <w:szCs w:val="20"/>
        </w:rPr>
        <w:t>, 824 S.W.2d 92, 97 (Mo. Ct. App. 1992) (“ ‘Surrendering papers and property to which the client is entitled’ is one example of a step an attorney must take to protect [a former client's] interest. But, this duty ... need not be supported or justified by any property concepts.” (quoting Mo. Sup. Ct. R. 4-1.16)); Colo. Bar Ass'n Ethics Comm., Formal Op. 104, at 2 (revised Sept. 2018) (“[A] client's entitlement [under Rule 1.16(d)] is not completely defined by traditional concepts of property and ownership. Rather, the entitlement is based on the client's right to access the file related to the representation so as to enable continued protection of the client's interests.”). Moreover, Rule 1.16(d)’s reference to “papers and property” suggests that a client's property is distinguishable from “[a] client's files ... relating to a matter that the lawyer would usually maintain in the ordinary course of practice.” Colo. RPC 1.16A cmt. 1 (“A lawyer's obligations with respect to client ‘property’ are distinct [from obligations with respect to a client's files].”).</w:t>
      </w:r>
    </w:p>
    <w:p w:rsidR="005A0A83" w:rsidRPr="005A0A83" w:rsidRDefault="005A0A83" w:rsidP="005A0A83">
      <w:pPr>
        <w:pStyle w:val="QS10"/>
        <w:rPr>
          <w:color w:val="000000" w:themeColor="text1"/>
          <w:szCs w:val="20"/>
        </w:rPr>
      </w:pPr>
      <w:r w:rsidRPr="005A0A83">
        <w:rPr>
          <w:color w:val="000000" w:themeColor="text1"/>
          <w:szCs w:val="20"/>
        </w:rPr>
        <w:t>In keeping with the Colorado Rules of Professional Conduct's distinction between a lawyer's papers and a client's property, we conclude that a personal representative does not acquire a right to take possession of a decedent's legal files under section 15-12-709 except for “documents having intrinsic value or directly affecting valuable rights, such as securities, negotiable instruments, deeds, and wills.” Colo. RPC 1.16A cmt. 1. Those items are the client's property. </w:t>
      </w:r>
      <w:r w:rsidRPr="005A0A83">
        <w:rPr>
          <w:rStyle w:val="Emphasis"/>
          <w:color w:val="000000" w:themeColor="text1"/>
          <w:szCs w:val="20"/>
        </w:rPr>
        <w:t>See</w:t>
      </w:r>
      <w:r w:rsidRPr="005A0A83">
        <w:rPr>
          <w:color w:val="000000" w:themeColor="text1"/>
          <w:szCs w:val="20"/>
        </w:rPr>
        <w:t> Restatement (Third) of the Law Governing Lawyers § 46 cmt. a (Am. Law Inst. 2000) (differentiating between client files and “writings that qualify as property ... because of their value, for example cash, negotiable instruments, stock certificates and other writings constituting presumptive proof of title, and collectors’ items such as literary manuscripts”). For the purposes of </w:t>
      </w:r>
      <w:hyperlink r:id="rId477" w:history="1">
        <w:r w:rsidRPr="005A0A83">
          <w:rPr>
            <w:rStyle w:val="Hyperlink"/>
            <w:color w:val="000000" w:themeColor="text1"/>
            <w:szCs w:val="20"/>
          </w:rPr>
          <w:t>section 15-12-709</w:t>
        </w:r>
      </w:hyperlink>
      <w:r w:rsidRPr="005A0A83">
        <w:rPr>
          <w:color w:val="000000" w:themeColor="text1"/>
          <w:szCs w:val="20"/>
        </w:rPr>
        <w:t>, the rest of the files are the lawyer's property.</w:t>
      </w:r>
    </w:p>
    <w:p w:rsidR="005A0A83" w:rsidRPr="005A0A83" w:rsidRDefault="005A0A83" w:rsidP="005A0A83">
      <w:pPr>
        <w:pStyle w:val="QS10"/>
        <w:rPr>
          <w:szCs w:val="20"/>
        </w:rPr>
      </w:pPr>
      <w:r w:rsidRPr="005A0A83">
        <w:rPr>
          <w:color w:val="000000" w:themeColor="text1"/>
          <w:szCs w:val="20"/>
        </w:rPr>
        <w:t xml:space="preserve">Further, the personal representative does not take possession or control of some intangible right to access the deceased client's files. Rule 1.16(d) requires lawyers to surrender certain papers to the client when the representation ends, but that responsibility is an ethical duty owed to the client, not </w:t>
      </w:r>
      <w:r w:rsidRPr="005A0A83">
        <w:rPr>
          <w:szCs w:val="20"/>
        </w:rPr>
        <w:t>something the client legally </w:t>
      </w:r>
      <w:r w:rsidRPr="005A0A83">
        <w:rPr>
          <w:rStyle w:val="Emphasis"/>
          <w:color w:val="212121"/>
          <w:szCs w:val="20"/>
        </w:rPr>
        <w:t>owns</w:t>
      </w:r>
      <w:r w:rsidRPr="005A0A83">
        <w:rPr>
          <w:szCs w:val="20"/>
        </w:rPr>
        <w:t>. </w:t>
      </w:r>
      <w:r w:rsidRPr="005A0A83">
        <w:rPr>
          <w:rStyle w:val="Emphasis"/>
          <w:color w:val="212121"/>
          <w:szCs w:val="20"/>
        </w:rPr>
        <w:t>See Own</w:t>
      </w:r>
      <w:r w:rsidRPr="005A0A83">
        <w:rPr>
          <w:szCs w:val="20"/>
        </w:rPr>
        <w:t>, Black's Law Dictionary (11th ed. 2019) (“[T]o have legal title to.”). Thus, a lawyer's ethical duty to surrender papers to former clients does not pass to the personal representative under the Probate Code's definition of “property.” </w:t>
      </w:r>
      <w:r w:rsidRPr="005A0A83">
        <w:rPr>
          <w:rStyle w:val="Emphasis"/>
          <w:color w:val="212121"/>
          <w:szCs w:val="20"/>
        </w:rPr>
        <w:t>See</w:t>
      </w:r>
      <w:r w:rsidRPr="005A0A83">
        <w:rPr>
          <w:szCs w:val="20"/>
        </w:rPr>
        <w:t> § 15-10-201(42) (“ ‘Property’ means both real and personal property or any interest therein and anything that may be the subject of ownership.”).</w:t>
      </w:r>
    </w:p>
    <w:p w:rsidR="008A4456" w:rsidRDefault="008A4456" w:rsidP="00BA4F80">
      <w:pPr>
        <w:pStyle w:val="Body15"/>
      </w:pPr>
      <w:r>
        <w:t xml:space="preserve">However, the court also concludes that a testator </w:t>
      </w:r>
      <w:r w:rsidR="00394528">
        <w:t>impliedly</w:t>
      </w:r>
      <w:r>
        <w:t xml:space="preserve"> waives the attorney-client privilege by appointing a personal </w:t>
      </w:r>
      <w:r w:rsidR="00EE0D00">
        <w:t>representative</w:t>
      </w:r>
      <w:r>
        <w:t>, at least in part:</w:t>
      </w:r>
    </w:p>
    <w:p w:rsidR="005A0A83" w:rsidRPr="005A0A83" w:rsidRDefault="005A0A83" w:rsidP="005A0A83">
      <w:pPr>
        <w:pStyle w:val="QS10"/>
        <w:rPr>
          <w:szCs w:val="20"/>
        </w:rPr>
      </w:pPr>
      <w:r w:rsidRPr="005A0A83">
        <w:rPr>
          <w:szCs w:val="20"/>
        </w:rPr>
        <w:t>We analyze the possibility of implied waiver in light of the role of the personal representative under Colorado law. A personal representative undertakes certain statutory duties with respect to estate administration. </w:t>
      </w:r>
      <w:r w:rsidRPr="005A0A83">
        <w:rPr>
          <w:rStyle w:val="Emphasis"/>
          <w:color w:val="212121"/>
          <w:szCs w:val="20"/>
        </w:rPr>
        <w:t>E.g.</w:t>
      </w:r>
      <w:r w:rsidRPr="005A0A83">
        <w:rPr>
          <w:szCs w:val="20"/>
        </w:rPr>
        <w:t>, § 15-12-703(1), C.R.S. (2020) (“A personal representative has a duty to settle and distribute the estate of the decedent ....”); § 15-12-703(4) (“[A] personal representative ... has the same standing to sue and be sued in the courts of this state and the courts of any other jurisdiction as his decedent had immediately prior to death.”). A decedent nominates a personal representative precisely because the decedent wants that individual to administer the decedent's estate.</w:t>
      </w:r>
    </w:p>
    <w:p w:rsidR="005A0A83" w:rsidRPr="005A0A83" w:rsidRDefault="005A0A83" w:rsidP="005A0A83">
      <w:pPr>
        <w:pStyle w:val="QS10"/>
        <w:rPr>
          <w:szCs w:val="20"/>
        </w:rPr>
      </w:pPr>
      <w:r w:rsidRPr="00394528">
        <w:rPr>
          <w:color w:val="000000" w:themeColor="text1"/>
          <w:szCs w:val="20"/>
        </w:rPr>
        <w:t>To effectively carry out those duties (as well as any other duties specified in the will), a personal representative may need access to material otherwise protected by the attorney-client privilege. Thus, by nominating a personal representative, a client impliedly waives any claim of attorney-client privilege with respect to communications necessary for estate administration, unless the client expressly manifested the intent to maintain the privilege. </w:t>
      </w:r>
      <w:r w:rsidRPr="00394528">
        <w:rPr>
          <w:rStyle w:val="Emphasis"/>
          <w:color w:val="000000" w:themeColor="text1"/>
          <w:szCs w:val="20"/>
        </w:rPr>
        <w:t>See Wesp</w:t>
      </w:r>
      <w:r w:rsidRPr="00394528">
        <w:rPr>
          <w:color w:val="000000" w:themeColor="text1"/>
          <w:szCs w:val="20"/>
        </w:rPr>
        <w:t>, 33 P.3d at 198 (“To prove an implied waiver, there must be evidence showing that the privilege holder, ‘by words or conduct, has impliedly forsaken his claim of confidentiality with respect to the communication in question.’ ” (quoting </w:t>
      </w:r>
      <w:r w:rsidRPr="00394528">
        <w:rPr>
          <w:rStyle w:val="Emphasis"/>
          <w:color w:val="000000" w:themeColor="text1"/>
          <w:szCs w:val="20"/>
        </w:rPr>
        <w:t>Miller v. Dist. Ct.</w:t>
      </w:r>
      <w:r w:rsidRPr="00394528">
        <w:rPr>
          <w:color w:val="000000" w:themeColor="text1"/>
          <w:szCs w:val="20"/>
        </w:rPr>
        <w:t xml:space="preserve">, 737 P.2d 834, 838 (Colo. 1987))). A decedent's former attorney may therefore provide a personal representative with privileged information necessary for the personal </w:t>
      </w:r>
      <w:r w:rsidRPr="005A0A83">
        <w:rPr>
          <w:szCs w:val="20"/>
        </w:rPr>
        <w:t>representative to settle the estate.</w:t>
      </w:r>
      <w:hyperlink r:id="rId478" w:anchor="co_footnote_B00082052272283" w:history="1">
        <w:r w:rsidRPr="005A0A83">
          <w:rPr>
            <w:rStyle w:val="Hyperlink"/>
            <w:color w:val="4778C2"/>
            <w:szCs w:val="20"/>
            <w:vertAlign w:val="superscript"/>
          </w:rPr>
          <w:t>8</w:t>
        </w:r>
      </w:hyperlink>
    </w:p>
    <w:p w:rsidR="00394528" w:rsidRDefault="005A0A83" w:rsidP="00394528">
      <w:pPr>
        <w:pStyle w:val="QS10"/>
        <w:rPr>
          <w:szCs w:val="20"/>
        </w:rPr>
      </w:pPr>
      <w:r w:rsidRPr="005A0A83">
        <w:rPr>
          <w:szCs w:val="20"/>
        </w:rPr>
        <w:t>Accordingly, the division erred in concluding that Claudine, as the personal representative, became the attorney-client-privilege holder after Louis's death. But Louis did impliedly waive the privilege with respect to communications necessary to administer his estate by appointing her as his personal representative. The attorney-client privilege couldn't shield any otherwise privileged communications necessary to settle Suyue's claim, although we recognize that Freirich already provided Claudine with the file regarding the promissory notes.</w:t>
      </w:r>
    </w:p>
    <w:p w:rsidR="008A4456" w:rsidRDefault="008A4456" w:rsidP="00394528">
      <w:pPr>
        <w:pStyle w:val="QS10"/>
        <w:jc w:val="center"/>
      </w:pPr>
      <w:r>
        <w:t>* * *</w:t>
      </w:r>
    </w:p>
    <w:p w:rsidR="00394528" w:rsidRPr="00394528" w:rsidRDefault="00394528" w:rsidP="00394528">
      <w:pPr>
        <w:pStyle w:val="QS10"/>
        <w:rPr>
          <w:szCs w:val="20"/>
        </w:rPr>
      </w:pPr>
      <w:r w:rsidRPr="00394528">
        <w:rPr>
          <w:szCs w:val="20"/>
        </w:rPr>
        <w:t>“[A] lawyer is impliedly authorized to make disclosures about a client when appropriate in carrying out the representation.” Colo. RPC 1.6 cmt. 5. Therefore, release is appropriate if “the attorney has reasonable grounds for concluding that release of the information is impliedly authorized in furthering the former client's interests in settling [the] estate.” D.C. Bar, Ethics Op. 324, at 2 (2004). So a decedent's former attorney may provide the personal representative with confidential information necessary to settle the estate unless the decedent has expressly indicated otherwise. But the attorney cannot provide a decedent's complete legal files to the personal representative </w:t>
      </w:r>
      <w:r w:rsidRPr="00394528">
        <w:rPr>
          <w:rStyle w:val="Emphasis"/>
          <w:color w:val="212121"/>
          <w:szCs w:val="20"/>
        </w:rPr>
        <w:t>unless</w:t>
      </w:r>
      <w:r w:rsidRPr="00394528">
        <w:rPr>
          <w:szCs w:val="20"/>
        </w:rPr>
        <w:t> the decedent gave informed consent for such broad disclosure in the will or elsewhere.</w:t>
      </w:r>
    </w:p>
    <w:p w:rsidR="00394528" w:rsidRPr="00394528" w:rsidRDefault="00394528" w:rsidP="00394528">
      <w:pPr>
        <w:pStyle w:val="QS10"/>
        <w:rPr>
          <w:szCs w:val="20"/>
        </w:rPr>
      </w:pPr>
      <w:r w:rsidRPr="00394528">
        <w:rPr>
          <w:szCs w:val="20"/>
        </w:rPr>
        <w:t>To hold otherwise would drastically undermine a lawyer's duty of confidentiality to a deceased client. It would grant the personal representative authority to request, from every one of a decedent's former attorneys, the decedent's entire legal history, regardless of subject matter and the needs of the estate.</w:t>
      </w:r>
    </w:p>
    <w:p w:rsidR="00394528" w:rsidRPr="00394528" w:rsidRDefault="00394528" w:rsidP="00394528">
      <w:pPr>
        <w:pStyle w:val="QS10"/>
        <w:rPr>
          <w:szCs w:val="20"/>
        </w:rPr>
      </w:pPr>
      <w:r w:rsidRPr="00394528">
        <w:rPr>
          <w:szCs w:val="20"/>
        </w:rPr>
        <w:t>There is no evidence that all of Louis's legal files were necessary to administer the estate. Thus, Freirich had a professional duty of confidentiality under Rule 1.6 to withhold all unnecessary information related to his representation of Louis. And when Claudine subpoenaed files that she did not need for estate administration, the duty of confidentiality obligated Freirich to make all non-frivolous objections (including the assertion of attorney-client privilege for any confidential communications made for the purpose of obtaining legal advice).</w:t>
      </w:r>
    </w:p>
    <w:p w:rsidR="00D35589" w:rsidRPr="00D35589" w:rsidRDefault="008A768B" w:rsidP="008A768B">
      <w:pPr>
        <w:pStyle w:val="Heading20"/>
        <w:numPr>
          <w:ilvl w:val="1"/>
          <w:numId w:val="33"/>
        </w:numPr>
        <w:tabs>
          <w:tab w:val="clear" w:pos="2700"/>
        </w:tabs>
        <w:spacing w:before="240"/>
        <w:ind w:left="0"/>
        <w:rPr>
          <w:vanish/>
          <w:specVanish/>
        </w:rPr>
      </w:pPr>
      <w:bookmarkStart w:id="836" w:name="_Toc94704726"/>
      <w:r>
        <w:rPr>
          <w:b/>
          <w:u w:val="single"/>
        </w:rPr>
        <w:t>Restriction on Sale of Land Not Allowed in Iowa</w:t>
      </w:r>
      <w:bookmarkEnd w:id="836"/>
    </w:p>
    <w:p w:rsidR="008A4456" w:rsidRDefault="008A768B" w:rsidP="00D35589">
      <w:pPr>
        <w:pStyle w:val="Heading2Body"/>
      </w:pPr>
      <w:r>
        <w:t xml:space="preserve">.  </w:t>
      </w:r>
      <w:r w:rsidR="00C6180E">
        <w:t xml:space="preserve">At issue in </w:t>
      </w:r>
      <w:r w:rsidR="00C6180E">
        <w:rPr>
          <w:u w:val="single"/>
        </w:rPr>
        <w:t>Estate of Cawiezell v. Coronelli</w:t>
      </w:r>
      <w:r w:rsidR="00C6180E">
        <w:t>, 958 N.W.2d 842 (Iowa 2021), was the language in this bequest of a farm:</w:t>
      </w:r>
    </w:p>
    <w:p w:rsidR="00066946" w:rsidRPr="00066946" w:rsidRDefault="00066946" w:rsidP="00066946">
      <w:pPr>
        <w:pStyle w:val="QS10"/>
      </w:pPr>
      <w:r w:rsidRPr="00066946">
        <w:t>Vera Cawiezell died testate in April 2018, and her will was admitted to probate later that month. In item 3 of her will, Cawiezell devised approximately 150 acres of farmland to her friends Tom and Beth Coronelli subject to certain general restrictions and subject to other provisions in favor of Terry Brooks, who leased and farmed Cawiezell's land while Cawiezell was alive. Item 3 provided:</w:t>
      </w:r>
    </w:p>
    <w:p w:rsidR="00066946" w:rsidRPr="00066946" w:rsidRDefault="00066946" w:rsidP="00066946">
      <w:pPr>
        <w:pStyle w:val="QS10"/>
        <w:ind w:left="2160"/>
      </w:pPr>
      <w:r w:rsidRPr="00066946">
        <w:t>I hereby will, devise and bequeath all of my farm real estate located ... in Muscatine County, Iowa, except my homestead referred to in Item 2 above, consisting of approximately 150 acres to my friends, Tom and Beth Coronelli or unto the survivor of them, subject to the restriction that they should not sell or transfer the property outside their immediate family within a period of twenty years after my death. Terry Brooks has been leasing the farm from me under a share crop agreement and I would request that the Coronelli family continue leasing to Terry under favorable terms for his benefit. I further give Terry Brooks the first option to purchase the farm during the twenty year period following my death and I would further request that the terms of sale be favorable for Terry Brooks.</w:t>
      </w:r>
    </w:p>
    <w:p w:rsidR="00066946" w:rsidRPr="00066946" w:rsidRDefault="00066946" w:rsidP="00066946">
      <w:pPr>
        <w:pStyle w:val="QS10"/>
      </w:pPr>
      <w:r w:rsidRPr="00066946">
        <w:t>Item 4 of the will devised all farm equipment and livestock to Brooks and forgave any money Brooks owed to Cawiezell. The residue and remainder of the property was awarded to Cawiezell's friend Phyllis Knoche.</w:t>
      </w:r>
    </w:p>
    <w:p w:rsidR="00C6180E" w:rsidRDefault="00C6180E" w:rsidP="00BA4F80">
      <w:pPr>
        <w:pStyle w:val="Body15"/>
      </w:pPr>
      <w:r>
        <w:t>The executor</w:t>
      </w:r>
      <w:r w:rsidR="00066946">
        <w:t>s</w:t>
      </w:r>
      <w:r>
        <w:t xml:space="preserve"> proposed to implement the bequest with a deed restriction which would have read as follows:</w:t>
      </w:r>
    </w:p>
    <w:p w:rsidR="002623D2" w:rsidRDefault="00066946" w:rsidP="00066946">
      <w:pPr>
        <w:pStyle w:val="QS10"/>
      </w:pPr>
      <w:r>
        <w:t>THIS DEED IS EXECUTED AND DELIVERED UPON THE CONDITION THAT IN THE EVENT ALL OR PART OF THE HEREIN DESCRIBED PROPERTY IS SOLD OR TRANSFERRED TO ANYONE OTHER THAN TERRY BROOKS OR AN IMMEDIATE FAMILY MEMBER OF TOM AND BETH CORONELLI ON OR BEFORE APRIL 17, 2038, THEN THE HEREIN DESCRIBED PROPERTY SHALL REVERT TO PHYLLIS A. KNOCHE, OR HER HEIRS OR ASSIGNS, AS THE RESIDUAL BENEFICIARY OF THE VERA CAWIEZELL ESTATE, FREE AND CLEAR OF ANY CLAIMS OF THE GRANTEE, CONSISTENT WITH THE TERMS OF THE LAST WILL AND TESTAMENT OF VERA CAWIEZELL FILED IN MUSCATINE COUNTY IOWA, ESPR011653.</w:t>
      </w:r>
    </w:p>
    <w:p w:rsidR="00C6180E" w:rsidRDefault="00C6180E" w:rsidP="00BA4F80">
      <w:pPr>
        <w:pStyle w:val="Body15"/>
      </w:pPr>
      <w:r>
        <w:t>Iowa has a long-standing rule against restraints on alienation.  The executors argued that the bequest was never a fee and t</w:t>
      </w:r>
      <w:r w:rsidR="00066946">
        <w:t>h</w:t>
      </w:r>
      <w:r>
        <w:t>us wasn’</w:t>
      </w:r>
      <w:r w:rsidR="00066946">
        <w:t>t subject to the r</w:t>
      </w:r>
      <w:r>
        <w:t>ule, an argument the court rejected because, the court held, it was circular:</w:t>
      </w:r>
    </w:p>
    <w:p w:rsidR="00066946" w:rsidRPr="00066946" w:rsidRDefault="00066946" w:rsidP="00066946">
      <w:pPr>
        <w:pStyle w:val="QS10"/>
        <w:rPr>
          <w:szCs w:val="20"/>
        </w:rPr>
      </w:pPr>
      <w:r w:rsidRPr="00066946">
        <w:rPr>
          <w:szCs w:val="20"/>
        </w:rPr>
        <w:t>The executors contend this long-standing rule is inapplicable here because the Coronellis were not bequeathed an absolute fee. Instead, according to the executors, the Coronellis were bequeathed only a limited fee that did not include the right for the Coronellis to sell or transfer the property outside their immediate family for twenty years. Because the right to sell or transfer outside the family for a period of twenty years was not included in the “bundle of sticks” devised to the Coronellis, according to the executors, the restriction does not restrain the Coronellis’ right to alienate the property.</w:t>
      </w:r>
    </w:p>
    <w:p w:rsidR="00066946" w:rsidRPr="004D3D4D" w:rsidRDefault="00066946" w:rsidP="00066946">
      <w:pPr>
        <w:pStyle w:val="QS10"/>
        <w:rPr>
          <w:color w:val="000000" w:themeColor="text1"/>
          <w:szCs w:val="20"/>
        </w:rPr>
      </w:pPr>
      <w:r>
        <w:rPr>
          <w:szCs w:val="20"/>
        </w:rPr>
        <w:t>T</w:t>
      </w:r>
      <w:r w:rsidRPr="00066946">
        <w:rPr>
          <w:szCs w:val="20"/>
        </w:rPr>
        <w:t>he executors’ circular argument is unconvincing. “The purpose of construing a will is to ascertain the intent of the testator. Authorities agree that questioned provi</w:t>
      </w:r>
      <w:r w:rsidRPr="004D3D4D">
        <w:rPr>
          <w:color w:val="000000" w:themeColor="text1"/>
          <w:szCs w:val="20"/>
        </w:rPr>
        <w:t>sions should be considered, not as standing alone, but as related to all other provisions of the will.” </w:t>
      </w:r>
      <w:r w:rsidRPr="004D3D4D">
        <w:rPr>
          <w:rStyle w:val="Emphasis"/>
          <w:color w:val="000000" w:themeColor="text1"/>
          <w:szCs w:val="20"/>
        </w:rPr>
        <w:t>In re Est. of Organ</w:t>
      </w:r>
      <w:r w:rsidRPr="004D3D4D">
        <w:rPr>
          <w:color w:val="000000" w:themeColor="text1"/>
          <w:szCs w:val="20"/>
        </w:rPr>
        <w:t>, 240 Iowa 797, 800, 38 N.W.2d 100, 102 (1949). Here, the testamentary provision devises and bequeaths all of Cawiezell's farmland in Muscatine County, except her homestead, to the Coronellis. There is no indication in this provision or any other provision that the fee is anything other than a fee simple. </w:t>
      </w:r>
      <w:r w:rsidRPr="004D3D4D">
        <w:rPr>
          <w:rStyle w:val="Emphasis"/>
          <w:color w:val="000000" w:themeColor="text1"/>
          <w:szCs w:val="20"/>
        </w:rPr>
        <w:t>See, e.g.</w:t>
      </w:r>
      <w:r w:rsidRPr="004D3D4D">
        <w:rPr>
          <w:color w:val="000000" w:themeColor="text1"/>
          <w:szCs w:val="20"/>
        </w:rPr>
        <w:t>, </w:t>
      </w:r>
      <w:r w:rsidRPr="004D3D4D">
        <w:rPr>
          <w:rStyle w:val="Emphasis"/>
          <w:color w:val="000000" w:themeColor="text1"/>
          <w:szCs w:val="20"/>
        </w:rPr>
        <w:t>In re Est. of Bigham</w:t>
      </w:r>
      <w:r w:rsidRPr="004D3D4D">
        <w:rPr>
          <w:color w:val="000000" w:themeColor="text1"/>
          <w:szCs w:val="20"/>
        </w:rPr>
        <w:t>, 227 Iowa 1023, 1026, 290 N.W. 11, 12 (1940) (holding that testamentary provision bequeathing property to wife was “an unqualified fee estate”); </w:t>
      </w:r>
      <w:r w:rsidRPr="004D3D4D">
        <w:rPr>
          <w:rStyle w:val="Emphasis"/>
          <w:color w:val="000000" w:themeColor="text1"/>
          <w:szCs w:val="20"/>
        </w:rPr>
        <w:t>In re Est. of Hellman</w:t>
      </w:r>
      <w:r w:rsidRPr="004D3D4D">
        <w:rPr>
          <w:color w:val="000000" w:themeColor="text1"/>
          <w:szCs w:val="20"/>
        </w:rPr>
        <w:t>, 221 Iowa 552, 555, 266 N.W. 36, 38 (1936) (“The old familiar stock phrases of the common law, such as ‘in fee simple,’ ‘absolutely,’ ‘to have and to hold forever,’ do not appear, but words of this character are unnecessary in conveying the fee-simple title.”). The will's subsequent restriction on the fee is an invalid restraint on alienation under our precedents and is void. </w:t>
      </w:r>
      <w:r w:rsidRPr="004D3D4D">
        <w:rPr>
          <w:rStyle w:val="Emphasis"/>
          <w:color w:val="000000" w:themeColor="text1"/>
          <w:szCs w:val="20"/>
        </w:rPr>
        <w:t>See</w:t>
      </w:r>
      <w:r w:rsidRPr="004D3D4D">
        <w:rPr>
          <w:color w:val="000000" w:themeColor="text1"/>
          <w:szCs w:val="20"/>
        </w:rPr>
        <w:t> </w:t>
      </w:r>
      <w:r w:rsidRPr="004D3D4D">
        <w:rPr>
          <w:rStyle w:val="Emphasis"/>
          <w:color w:val="000000" w:themeColor="text1"/>
          <w:szCs w:val="20"/>
        </w:rPr>
        <w:t>Crecelius</w:t>
      </w:r>
      <w:r w:rsidRPr="004D3D4D">
        <w:rPr>
          <w:color w:val="000000" w:themeColor="text1"/>
          <w:szCs w:val="20"/>
        </w:rPr>
        <w:t>, 255 Iowa at 1254, 125 N.W.2d at 789; </w:t>
      </w:r>
      <w:r w:rsidRPr="004D3D4D">
        <w:rPr>
          <w:rStyle w:val="Emphasis"/>
          <w:color w:val="000000" w:themeColor="text1"/>
          <w:szCs w:val="20"/>
        </w:rPr>
        <w:t>Graham</w:t>
      </w:r>
      <w:r w:rsidRPr="004D3D4D">
        <w:rPr>
          <w:color w:val="000000" w:themeColor="text1"/>
          <w:szCs w:val="20"/>
        </w:rPr>
        <w:t>, 243 Iowa at 117, 49 N.W.2d at 543; </w:t>
      </w:r>
      <w:r w:rsidRPr="004D3D4D">
        <w:rPr>
          <w:rStyle w:val="Emphasis"/>
          <w:color w:val="000000" w:themeColor="text1"/>
          <w:szCs w:val="20"/>
        </w:rPr>
        <w:t>Guenther</w:t>
      </w:r>
      <w:r w:rsidRPr="004D3D4D">
        <w:rPr>
          <w:color w:val="000000" w:themeColor="text1"/>
          <w:szCs w:val="20"/>
        </w:rPr>
        <w:t>, 238 Iowa at 1351, 29 N.W.2d at 223; </w:t>
      </w:r>
      <w:r w:rsidRPr="004D3D4D">
        <w:rPr>
          <w:rStyle w:val="Emphasis"/>
          <w:color w:val="000000" w:themeColor="text1"/>
          <w:szCs w:val="20"/>
        </w:rPr>
        <w:t>Sisters of Mercy</w:t>
      </w:r>
      <w:r w:rsidRPr="004D3D4D">
        <w:rPr>
          <w:color w:val="000000" w:themeColor="text1"/>
          <w:szCs w:val="20"/>
        </w:rPr>
        <w:t>, 223 Iowa at 1059, 274 N.W. at 92; </w:t>
      </w:r>
      <w:r w:rsidRPr="004D3D4D">
        <w:rPr>
          <w:rStyle w:val="Emphasis"/>
          <w:color w:val="000000" w:themeColor="text1"/>
          <w:szCs w:val="20"/>
        </w:rPr>
        <w:t>McCleary</w:t>
      </w:r>
      <w:r w:rsidRPr="004D3D4D">
        <w:rPr>
          <w:color w:val="000000" w:themeColor="text1"/>
          <w:szCs w:val="20"/>
        </w:rPr>
        <w:t>, 54 Iowa at 314–18, 6 N.W. at 572–74.</w:t>
      </w:r>
    </w:p>
    <w:p w:rsidR="00C6180E" w:rsidRDefault="00C6180E" w:rsidP="00BA4F80">
      <w:pPr>
        <w:pStyle w:val="Body15"/>
      </w:pPr>
      <w:r>
        <w:t>The court also rejected the reasonableness standard for restraints set forth in the Restatement (Third) of Property</w:t>
      </w:r>
      <w:r w:rsidR="00066946">
        <w:t>: Servitudes §§ 3.4, 3.5, preferring a bright-line standard:</w:t>
      </w:r>
    </w:p>
    <w:p w:rsidR="004D3D4D" w:rsidRPr="004D3D4D" w:rsidRDefault="004D3D4D" w:rsidP="004D3D4D">
      <w:pPr>
        <w:pStyle w:val="QS10"/>
        <w:rPr>
          <w:szCs w:val="20"/>
        </w:rPr>
      </w:pPr>
      <w:r w:rsidRPr="004D3D4D">
        <w:rPr>
          <w:szCs w:val="20"/>
        </w:rPr>
        <w:t>We long ago rejected case-by-case balancing in favor of a bright-line rule:</w:t>
      </w:r>
    </w:p>
    <w:p w:rsidR="004D3D4D" w:rsidRPr="004D3D4D" w:rsidRDefault="004D3D4D" w:rsidP="004D3D4D">
      <w:pPr>
        <w:pStyle w:val="QS10"/>
        <w:rPr>
          <w:szCs w:val="20"/>
        </w:rPr>
      </w:pPr>
      <w:r w:rsidRPr="004D3D4D">
        <w:rPr>
          <w:szCs w:val="20"/>
        </w:rPr>
        <w:t>We are entirely satisfied there has never been a time since the statute </w:t>
      </w:r>
      <w:r w:rsidRPr="004D3D4D">
        <w:rPr>
          <w:rStyle w:val="Emphasis"/>
          <w:color w:val="212121"/>
          <w:szCs w:val="20"/>
        </w:rPr>
        <w:t>quia emptores</w:t>
      </w:r>
      <w:r w:rsidRPr="004D3D4D">
        <w:rPr>
          <w:szCs w:val="20"/>
        </w:rPr>
        <w:t> when a restriction in a conveyance of a vested estate in fee simple, in possession or remainder, against selling for a particular period of time, was valid by the common law, and we think it would be unwise and injurious to admit into the law the principle contended for by the defendants’ counsel, that such restrictions should be held valid, if imposed only for a reasonable time.</w:t>
      </w:r>
    </w:p>
    <w:p w:rsidR="004D3D4D" w:rsidRPr="004D3D4D" w:rsidRDefault="004D3D4D" w:rsidP="004D3D4D">
      <w:pPr>
        <w:pStyle w:val="QS10"/>
        <w:rPr>
          <w:color w:val="000000" w:themeColor="text1"/>
          <w:szCs w:val="20"/>
        </w:rPr>
      </w:pPr>
      <w:r w:rsidRPr="004D3D4D">
        <w:rPr>
          <w:szCs w:val="20"/>
        </w:rPr>
        <w:t xml:space="preserve">It is safe to say that every estate, depending upon such a question, would, by the very fact of such a question existing, lose a large share of its market value. Who can say whether the time is reasonable, until the question has been settled in the court of last resort? And upon what standard of certainty can the court decide it? Or, depending, as it must, upon all the peculiar facts and circumstances of each particular case, is the question to be submitted to a jury? The only safe rule of decision is to hold, as I understand the common law for ages to have been, that a condition or restriction, which would suspend all power of alienation for a </w:t>
      </w:r>
      <w:r w:rsidRPr="004D3D4D">
        <w:rPr>
          <w:color w:val="000000" w:themeColor="text1"/>
          <w:szCs w:val="20"/>
        </w:rPr>
        <w:t>single day, is inconsistent with the estate granted, unreasonable and void.</w:t>
      </w:r>
    </w:p>
    <w:p w:rsidR="004D3D4D" w:rsidRPr="004D3D4D" w:rsidRDefault="004D3D4D" w:rsidP="004D3D4D">
      <w:pPr>
        <w:pStyle w:val="QS10"/>
        <w:rPr>
          <w:color w:val="000000" w:themeColor="text1"/>
          <w:szCs w:val="20"/>
        </w:rPr>
      </w:pPr>
      <w:r w:rsidRPr="004D3D4D">
        <w:rPr>
          <w:rStyle w:val="Emphasis"/>
          <w:color w:val="000000" w:themeColor="text1"/>
          <w:szCs w:val="20"/>
        </w:rPr>
        <w:t>McCleary</w:t>
      </w:r>
      <w:r w:rsidRPr="004D3D4D">
        <w:rPr>
          <w:color w:val="000000" w:themeColor="text1"/>
          <w:szCs w:val="20"/>
        </w:rPr>
        <w:t>, 54 Iowa at 315, 6 N.W. at 572–73 (quoting </w:t>
      </w:r>
      <w:r w:rsidRPr="004D3D4D">
        <w:rPr>
          <w:rStyle w:val="Emphasis"/>
          <w:color w:val="000000" w:themeColor="text1"/>
          <w:szCs w:val="20"/>
        </w:rPr>
        <w:t>Mandlebaum v. McDonell</w:t>
      </w:r>
      <w:r w:rsidRPr="004D3D4D">
        <w:rPr>
          <w:color w:val="000000" w:themeColor="text1"/>
          <w:szCs w:val="20"/>
        </w:rPr>
        <w:t>, 29 Mich. 78, 107 (1874)). We see no reason to abandon our long-standing rule in favor of the proposed Restatement rule. </w:t>
      </w:r>
      <w:r w:rsidRPr="004D3D4D">
        <w:rPr>
          <w:rStyle w:val="Emphasis"/>
          <w:color w:val="000000" w:themeColor="text1"/>
          <w:szCs w:val="20"/>
        </w:rPr>
        <w:t>See</w:t>
      </w:r>
      <w:r w:rsidRPr="004D3D4D">
        <w:rPr>
          <w:color w:val="000000" w:themeColor="text1"/>
          <w:szCs w:val="20"/>
        </w:rPr>
        <w:t> </w:t>
      </w:r>
      <w:r w:rsidRPr="004D3D4D">
        <w:rPr>
          <w:rStyle w:val="Emphasis"/>
          <w:color w:val="000000" w:themeColor="text1"/>
          <w:szCs w:val="20"/>
        </w:rPr>
        <w:t>Kersten Co. v. Dep't of Soc. Servs.</w:t>
      </w:r>
      <w:r w:rsidRPr="004D3D4D">
        <w:rPr>
          <w:color w:val="000000" w:themeColor="text1"/>
          <w:szCs w:val="20"/>
        </w:rPr>
        <w:t>, 207 N.W.2d 117, 121 (Iowa 1973) (en banc) (“Stare decisis is a valuable legal doctrine which lends stability to the law ....”). Our rule is clear-cut, stable, and easy-to-apply. </w:t>
      </w:r>
      <w:r w:rsidRPr="004D3D4D">
        <w:rPr>
          <w:rStyle w:val="Emphasis"/>
          <w:color w:val="000000" w:themeColor="text1"/>
          <w:szCs w:val="20"/>
        </w:rPr>
        <w:t>See</w:t>
      </w:r>
      <w:r w:rsidRPr="004D3D4D">
        <w:rPr>
          <w:color w:val="000000" w:themeColor="text1"/>
          <w:szCs w:val="20"/>
        </w:rPr>
        <w:t> </w:t>
      </w:r>
      <w:r w:rsidRPr="004D3D4D">
        <w:rPr>
          <w:rStyle w:val="Emphasis"/>
          <w:color w:val="000000" w:themeColor="text1"/>
          <w:szCs w:val="20"/>
        </w:rPr>
        <w:t>McCleary</w:t>
      </w:r>
      <w:r w:rsidRPr="004D3D4D">
        <w:rPr>
          <w:color w:val="000000" w:themeColor="text1"/>
          <w:szCs w:val="20"/>
        </w:rPr>
        <w:t>, 54 Iowa at 315, 6 N.W. at 572–73 (quoting </w:t>
      </w:r>
      <w:r w:rsidRPr="004D3D4D">
        <w:rPr>
          <w:rStyle w:val="Emphasis"/>
          <w:color w:val="000000" w:themeColor="text1"/>
          <w:szCs w:val="20"/>
        </w:rPr>
        <w:t>Mandlebaum</w:t>
      </w:r>
      <w:r w:rsidRPr="004D3D4D">
        <w:rPr>
          <w:color w:val="000000" w:themeColor="text1"/>
          <w:szCs w:val="20"/>
        </w:rPr>
        <w:t>, 29 Mich. at 107). These are virtues in the area of real property where certainty of title is of paramount importance.</w:t>
      </w:r>
    </w:p>
    <w:p w:rsidR="004D3D4D" w:rsidRDefault="004D3D4D" w:rsidP="004D3D4D">
      <w:pPr>
        <w:pStyle w:val="QS10"/>
        <w:rPr>
          <w:szCs w:val="20"/>
        </w:rPr>
      </w:pPr>
      <w:r w:rsidRPr="004D3D4D">
        <w:rPr>
          <w:color w:val="000000" w:themeColor="text1"/>
          <w:szCs w:val="20"/>
        </w:rPr>
        <w:t xml:space="preserve">We hold the testamentary provision restricting the beneficiaries from selling or </w:t>
      </w:r>
      <w:r w:rsidRPr="004D3D4D">
        <w:rPr>
          <w:szCs w:val="20"/>
        </w:rPr>
        <w:t>transferring the devised property outside their immediate family for a period of twenty years following the testator's death is a prohibited restraint on alienation and is void. For these reasons, we affirm the decision of the court of appeals and the judgment of the district court.</w:t>
      </w:r>
    </w:p>
    <w:p w:rsidR="00623BF2" w:rsidRDefault="00623BF2" w:rsidP="00623BF2">
      <w:pPr>
        <w:pStyle w:val="Body15"/>
        <w:rPr>
          <w:szCs w:val="20"/>
        </w:rPr>
      </w:pPr>
      <w:r>
        <w:rPr>
          <w:szCs w:val="20"/>
        </w:rPr>
        <w:t>The Iowa court arguably misconstrued the restriction as a total restraint on alienation whereas it would have allowed a transfer to family.</w:t>
      </w:r>
    </w:p>
    <w:p w:rsidR="001A4A28" w:rsidRPr="001A4A28" w:rsidRDefault="00623BF2" w:rsidP="00623BF2">
      <w:pPr>
        <w:pStyle w:val="Heading20"/>
        <w:numPr>
          <w:ilvl w:val="1"/>
          <w:numId w:val="33"/>
        </w:numPr>
        <w:tabs>
          <w:tab w:val="clear" w:pos="2700"/>
        </w:tabs>
        <w:spacing w:before="240"/>
        <w:ind w:left="0"/>
        <w:rPr>
          <w:vanish/>
          <w:specVanish/>
        </w:rPr>
      </w:pPr>
      <w:bookmarkStart w:id="837" w:name="_Toc94704727"/>
      <w:r>
        <w:rPr>
          <w:b/>
          <w:u w:val="single"/>
        </w:rPr>
        <w:t>Place of Celebration Controls Existence of Marriage</w:t>
      </w:r>
      <w:bookmarkEnd w:id="837"/>
    </w:p>
    <w:p w:rsidR="00623BF2" w:rsidRDefault="00623BF2" w:rsidP="001A4A28">
      <w:pPr>
        <w:pStyle w:val="Heading2Body"/>
      </w:pPr>
      <w:r>
        <w:t xml:space="preserve">.  </w:t>
      </w:r>
      <w:r>
        <w:rPr>
          <w:u w:val="single"/>
        </w:rPr>
        <w:t>Estate of Grossman v. Commissioner</w:t>
      </w:r>
      <w:r>
        <w:t>, T.C. Memo. 2021-65</w:t>
      </w:r>
      <w:r w:rsidR="00D6764C">
        <w:t>, involved fascinating facts.  Semone Grossman married in New York in 1955.</w:t>
      </w:r>
      <w:r w:rsidR="006F6E8D">
        <w:t xml:space="preserve">  In 1965 he obtained a “unilateral divorce” in Mexico and in 1967 he married again, in New Jersey.  </w:t>
      </w:r>
      <w:r w:rsidR="00724F9B">
        <w:t>In 1974 his relationship with his second wife was over, and his first wife sued saying she was still married to Mr. Grossman because they had never divorced.  She won.  In 1986, Mr. Grossman obtained a Jewish religious divorce in New York and married in 1987 his third wife in Israel.  The court summarized the next 27 years as follows:</w:t>
      </w:r>
    </w:p>
    <w:p w:rsidR="009D39EF" w:rsidRPr="009D39EF" w:rsidRDefault="009D39EF" w:rsidP="009D39EF">
      <w:pPr>
        <w:pStyle w:val="QS10"/>
        <w:rPr>
          <w:szCs w:val="20"/>
        </w:rPr>
      </w:pPr>
      <w:r w:rsidRPr="009D39EF">
        <w:rPr>
          <w:szCs w:val="20"/>
        </w:rPr>
        <w:t>After their marriage in Israel, H and W3 returned to N.Y. and lived there as husband and wife for 27 years, until H's death in 2014. They had two children, filed joint Federal income tax returns, and shared a home and finances. During this time, W1 also lived in N.Y., saw H and W3 socially, and never challenged their marriage. W1 filed Federal income tax returns as single and made no statutory claim against H's estate after his death.</w:t>
      </w:r>
    </w:p>
    <w:p w:rsidR="009D39EF" w:rsidRPr="009D39EF" w:rsidRDefault="009D39EF" w:rsidP="009D39EF">
      <w:pPr>
        <w:pStyle w:val="QS10"/>
        <w:rPr>
          <w:szCs w:val="20"/>
        </w:rPr>
      </w:pPr>
      <w:r w:rsidRPr="009D39EF">
        <w:rPr>
          <w:szCs w:val="20"/>
        </w:rPr>
        <w:t>When H died in 2014, he left the bulk of his estate to W3, and the estate claimed a corresponding marital deduction under I.R.C. sec. 2056(a). R denied the deduction and argues in a motion for partial summary judgment that H's religious divorce from W1 was invalid under N.Y. law. Relying on N.Y. law, R argues that W1, rather than W3, was H's surviving spouse when he died.</w:t>
      </w:r>
    </w:p>
    <w:p w:rsidR="00724F9B" w:rsidRDefault="00724F9B" w:rsidP="00623BF2">
      <w:pPr>
        <w:pStyle w:val="Body15"/>
        <w:rPr>
          <w:szCs w:val="20"/>
        </w:rPr>
      </w:pPr>
      <w:r>
        <w:rPr>
          <w:szCs w:val="20"/>
        </w:rPr>
        <w:t>So, the question could be was Mr. Grossman properly divorced from his first wife, Hilda, on the theory t</w:t>
      </w:r>
      <w:r w:rsidR="00786B4F">
        <w:rPr>
          <w:szCs w:val="20"/>
        </w:rPr>
        <w:t>h</w:t>
      </w:r>
      <w:r>
        <w:rPr>
          <w:szCs w:val="20"/>
        </w:rPr>
        <w:t>at without such divorce he couldn’t have married his third wife.  However, that is not how the Tax Court approached the case at all:</w:t>
      </w:r>
    </w:p>
    <w:p w:rsidR="00312756" w:rsidRPr="00312756" w:rsidRDefault="00312756" w:rsidP="00312756">
      <w:pPr>
        <w:pStyle w:val="QS10"/>
        <w:rPr>
          <w:color w:val="000000" w:themeColor="text1"/>
          <w:szCs w:val="20"/>
        </w:rPr>
      </w:pPr>
      <w:r w:rsidRPr="00312756">
        <w:rPr>
          <w:color w:val="000000" w:themeColor="text1"/>
          <w:szCs w:val="20"/>
        </w:rPr>
        <w:t>First, the Commissioner begins his analysis by asking whether Semone and Hilda were validly divorced and relies exclusively on New York law to determine the answer. But that is the wrong starting question, and the Commissioner looks to the wrong jurisdiction for the governing law. Under section 2056(a)--the provision at issue in this case--the Court must determine whether Ziona was Semone's “surviving spouse” for Federal estate tax purposes. Accordingly, the proper starting question is whether Semone and Ziona were validly married. To answer that question, given the parties’ positions on this score, we assume (without deciding) that we should look to New York law. And New York law in turn requires us to consider the rules of the place of the celebration of the marriage, here Israel.</w:t>
      </w:r>
    </w:p>
    <w:p w:rsidR="00312756" w:rsidRPr="00312756" w:rsidRDefault="00312756" w:rsidP="00312756">
      <w:pPr>
        <w:pStyle w:val="QS10"/>
        <w:rPr>
          <w:color w:val="000000" w:themeColor="text1"/>
          <w:szCs w:val="20"/>
        </w:rPr>
      </w:pPr>
      <w:r w:rsidRPr="00312756">
        <w:rPr>
          <w:color w:val="000000" w:themeColor="text1"/>
          <w:szCs w:val="20"/>
        </w:rPr>
        <w:t>It is well established that capacity to marry is a prerequisite for marriage and that the prerequisites for marriage are also determined by the place of celebration. As the New York Court of Appeals in </w:t>
      </w:r>
      <w:r w:rsidRPr="00312756">
        <w:rPr>
          <w:color w:val="000000" w:themeColor="text1"/>
          <w:szCs w:val="20"/>
          <w:u w:val="single"/>
        </w:rPr>
        <w:t>Van Voorhis</w:t>
      </w:r>
      <w:r w:rsidRPr="00312756">
        <w:rPr>
          <w:color w:val="000000" w:themeColor="text1"/>
          <w:szCs w:val="20"/>
        </w:rPr>
        <w:t>, 86 N.Y. at 25 (quoting </w:t>
      </w:r>
      <w:r w:rsidRPr="00312756">
        <w:rPr>
          <w:color w:val="000000" w:themeColor="text1"/>
          <w:szCs w:val="20"/>
          <w:u w:val="single"/>
        </w:rPr>
        <w:t>Connelly</w:t>
      </w:r>
      <w:r w:rsidRPr="00312756">
        <w:rPr>
          <w:color w:val="000000" w:themeColor="text1"/>
          <w:szCs w:val="20"/>
        </w:rPr>
        <w:t>, 2 Eng. L. &amp; Eq. 570), put it: “We all know * * * that in questions of marriage contract, the </w:t>
      </w:r>
      <w:r w:rsidRPr="00312756">
        <w:rPr>
          <w:color w:val="000000" w:themeColor="text1"/>
          <w:szCs w:val="20"/>
          <w:u w:val="single"/>
        </w:rPr>
        <w:t>lex loci contractus</w:t>
      </w:r>
      <w:r w:rsidRPr="00312756">
        <w:rPr>
          <w:color w:val="000000" w:themeColor="text1"/>
          <w:szCs w:val="20"/>
        </w:rPr>
        <w:t> [the law of the place of the contract] is that which is to determine the </w:t>
      </w:r>
      <w:r w:rsidRPr="00312756">
        <w:rPr>
          <w:color w:val="000000" w:themeColor="text1"/>
          <w:szCs w:val="20"/>
          <w:u w:val="single"/>
        </w:rPr>
        <w:t>status</w:t>
      </w:r>
      <w:r w:rsidRPr="00312756">
        <w:rPr>
          <w:color w:val="000000" w:themeColor="text1"/>
          <w:szCs w:val="20"/>
        </w:rPr>
        <w:t> of the parties.” This includes whether a person seeking to remarry has been validly divorced. The Restatement (Second) of Conflict of Laws, on which the Commissioner relies, highlights the same point. Restatement, Conflict of Laws 2d, sec. 283 cmt. h (1971) (“[A] marriage will usually be valid everywhere if it complies with the requirements of the state where  it was contracted as to such matters as * * * the capacity of either party to marry[.]”). Caselaw and other Federal agencies agree on this principle. </w:t>
      </w:r>
      <w:r w:rsidRPr="00312756">
        <w:rPr>
          <w:color w:val="000000" w:themeColor="text1"/>
          <w:szCs w:val="20"/>
          <w:u w:val="single"/>
        </w:rPr>
        <w:t>See, e.g.</w:t>
      </w:r>
      <w:r w:rsidRPr="00312756">
        <w:rPr>
          <w:color w:val="000000" w:themeColor="text1"/>
          <w:szCs w:val="20"/>
        </w:rPr>
        <w:t>, </w:t>
      </w:r>
      <w:r w:rsidRPr="00312756">
        <w:rPr>
          <w:color w:val="000000" w:themeColor="text1"/>
          <w:szCs w:val="20"/>
          <w:u w:val="single"/>
        </w:rPr>
        <w:t>Jahed v. Acri</w:t>
      </w:r>
      <w:r w:rsidRPr="00312756">
        <w:rPr>
          <w:color w:val="000000" w:themeColor="text1"/>
          <w:szCs w:val="20"/>
        </w:rPr>
        <w:t>, 468 F.3d 230, 235 (4th Cir. 2006) (“Ordinarily, in the immigration context, the validity of a prior divorce is addressed to determine whether a subsequent marriage is lawful. </w:t>
      </w:r>
      <w:r w:rsidRPr="00312756">
        <w:rPr>
          <w:color w:val="000000" w:themeColor="text1"/>
          <w:szCs w:val="20"/>
          <w:u w:val="single"/>
        </w:rPr>
        <w:t>See, e.g.</w:t>
      </w:r>
      <w:r w:rsidRPr="00312756">
        <w:rPr>
          <w:color w:val="000000" w:themeColor="text1"/>
          <w:szCs w:val="20"/>
        </w:rPr>
        <w:t>, </w:t>
      </w:r>
      <w:r w:rsidRPr="00312756">
        <w:rPr>
          <w:color w:val="000000" w:themeColor="text1"/>
          <w:szCs w:val="20"/>
          <w:u w:val="single"/>
        </w:rPr>
        <w:t>Matter of Hosseinian</w:t>
      </w:r>
      <w:r w:rsidRPr="00312756">
        <w:rPr>
          <w:color w:val="000000" w:themeColor="text1"/>
          <w:szCs w:val="20"/>
        </w:rPr>
        <w:t>, 19 I. &amp; N. Dec. 453 (BIA 1987). In such situations, the * * * [Board of Immigration Appeals] ‘look[s] to the law of the state where the subsequent marriage was celebrated to determine whether or not that state would recognize the validity of the divorce.’ </w:t>
      </w:r>
      <w:r w:rsidRPr="00312756">
        <w:rPr>
          <w:color w:val="000000" w:themeColor="text1"/>
          <w:szCs w:val="20"/>
          <w:u w:val="single"/>
        </w:rPr>
        <w:t>Id.</w:t>
      </w:r>
      <w:r w:rsidRPr="00312756">
        <w:rPr>
          <w:color w:val="000000" w:themeColor="text1"/>
          <w:szCs w:val="20"/>
        </w:rPr>
        <w:t> at 455.”).</w:t>
      </w:r>
    </w:p>
    <w:p w:rsidR="00312756" w:rsidRPr="00312756" w:rsidRDefault="00312756" w:rsidP="00312756">
      <w:pPr>
        <w:pStyle w:val="QS10"/>
        <w:rPr>
          <w:color w:val="000000" w:themeColor="text1"/>
        </w:rPr>
      </w:pPr>
      <w:r w:rsidRPr="00312756">
        <w:rPr>
          <w:color w:val="000000" w:themeColor="text1"/>
          <w:szCs w:val="20"/>
        </w:rPr>
        <w:t>Here, there is no dispute that Israel--the place of Ziona's marriage celebration--viewed Semone and Hilda as validly divorced and Semone as capable of remarrying. This was demonstrated by Israel's acceptance of the letter from the </w:t>
      </w:r>
      <w:r w:rsidRPr="00312756">
        <w:rPr>
          <w:rStyle w:val="Emphasis"/>
          <w:color w:val="000000" w:themeColor="text1"/>
          <w:szCs w:val="20"/>
        </w:rPr>
        <w:t>Beth Din</w:t>
      </w:r>
      <w:r w:rsidRPr="00312756">
        <w:rPr>
          <w:color w:val="000000" w:themeColor="text1"/>
          <w:szCs w:val="20"/>
        </w:rPr>
        <w:t> of America, the issuance of a </w:t>
      </w:r>
      <w:r w:rsidRPr="00312756">
        <w:rPr>
          <w:rStyle w:val="Emphasis"/>
          <w:color w:val="000000" w:themeColor="text1"/>
          <w:szCs w:val="20"/>
        </w:rPr>
        <w:t>ketubah</w:t>
      </w:r>
      <w:r w:rsidRPr="00312756">
        <w:rPr>
          <w:color w:val="000000" w:themeColor="text1"/>
          <w:szCs w:val="20"/>
        </w:rPr>
        <w:t> to Semone and Ziona, and the later issuance of a marriage certificate. Under Israeli law, religious divorces (i.e., </w:t>
      </w:r>
      <w:r w:rsidRPr="00312756">
        <w:rPr>
          <w:rStyle w:val="Emphasis"/>
          <w:color w:val="000000" w:themeColor="text1"/>
          <w:szCs w:val="20"/>
        </w:rPr>
        <w:t>gets</w:t>
      </w:r>
      <w:r w:rsidRPr="00312756">
        <w:rPr>
          <w:color w:val="000000" w:themeColor="text1"/>
          <w:szCs w:val="20"/>
        </w:rPr>
        <w:t>) are fully recognized. Indeed, they are the only way for people of Jewish faith who have been married before to make themselves eligible to remarry another Jewish person in Israel. </w:t>
      </w:r>
      <w:r w:rsidRPr="00312756">
        <w:rPr>
          <w:color w:val="000000" w:themeColor="text1"/>
          <w:szCs w:val="20"/>
          <w:u w:val="single"/>
        </w:rPr>
        <w:t>See</w:t>
      </w:r>
      <w:r w:rsidRPr="00312756">
        <w:rPr>
          <w:color w:val="000000" w:themeColor="text1"/>
          <w:szCs w:val="20"/>
        </w:rPr>
        <w:t> </w:t>
      </w:r>
      <w:r w:rsidRPr="00312756">
        <w:rPr>
          <w:color w:val="000000" w:themeColor="text1"/>
          <w:szCs w:val="20"/>
          <w:u w:val="single"/>
        </w:rPr>
        <w:t>supra</w:t>
      </w:r>
      <w:r w:rsidRPr="00312756">
        <w:rPr>
          <w:color w:val="000000" w:themeColor="text1"/>
          <w:szCs w:val="20"/>
        </w:rPr>
        <w:t> Part II. Since New York law requires us to look to the law of the place of the marriage celebration to determine the parties’ capacity to marry, New York law also requires us to defer to the place of celebration and its determination on whether one of those parties was validly divorced and therefore capable to remarry. </w:t>
      </w:r>
      <w:r w:rsidRPr="00312756">
        <w:rPr>
          <w:color w:val="000000" w:themeColor="text1"/>
          <w:szCs w:val="20"/>
          <w:u w:val="single"/>
        </w:rPr>
        <w:t>See, e.g.</w:t>
      </w:r>
      <w:r w:rsidRPr="00312756">
        <w:rPr>
          <w:color w:val="000000" w:themeColor="text1"/>
          <w:szCs w:val="20"/>
        </w:rPr>
        <w:t>, </w:t>
      </w:r>
      <w:r w:rsidRPr="00312756">
        <w:rPr>
          <w:color w:val="000000" w:themeColor="text1"/>
          <w:szCs w:val="20"/>
          <w:u w:val="single"/>
        </w:rPr>
        <w:t>Matter of May</w:t>
      </w:r>
      <w:r w:rsidRPr="00312756">
        <w:rPr>
          <w:color w:val="000000" w:themeColor="text1"/>
          <w:szCs w:val="20"/>
        </w:rPr>
        <w:t>, 305 N.Y. at 491, 114 N.E.2d 4. Applying this standard, we would expect the New York Court of Appeals to accept Israel's determination that Semone and Hilda's marriage had ended, leaving Semone free to marry Ziona.</w:t>
      </w:r>
      <w:r w:rsidRPr="00312756">
        <w:rPr>
          <w:color w:val="000000" w:themeColor="text1"/>
        </w:rPr>
        <w:t xml:space="preserve"> </w:t>
      </w:r>
    </w:p>
    <w:p w:rsidR="00724F9B" w:rsidRDefault="00724F9B" w:rsidP="00623BF2">
      <w:pPr>
        <w:pStyle w:val="Body15"/>
        <w:rPr>
          <w:szCs w:val="20"/>
        </w:rPr>
      </w:pPr>
      <w:r>
        <w:rPr>
          <w:szCs w:val="20"/>
        </w:rPr>
        <w:t>In short, Israel accepted the religious divorce, Israel allowed the happy couple to marry, and New York law holds t</w:t>
      </w:r>
      <w:r w:rsidR="00786B4F">
        <w:rPr>
          <w:szCs w:val="20"/>
        </w:rPr>
        <w:t>h</w:t>
      </w:r>
      <w:r>
        <w:rPr>
          <w:szCs w:val="20"/>
        </w:rPr>
        <w:t>at if you are married somewhere else you are married in New York (with narrow exceptions):</w:t>
      </w:r>
    </w:p>
    <w:p w:rsidR="00F33734" w:rsidRPr="00F33734" w:rsidRDefault="00F33734" w:rsidP="00F33734">
      <w:pPr>
        <w:pStyle w:val="QS10"/>
        <w:rPr>
          <w:color w:val="000000" w:themeColor="text1"/>
          <w:szCs w:val="20"/>
        </w:rPr>
      </w:pPr>
      <w:r w:rsidRPr="00F33734">
        <w:rPr>
          <w:szCs w:val="20"/>
        </w:rPr>
        <w:t>More generally, the Commissioner fails to recognize that the public policy exception to the place of celebration rule is narrow. The New York Court of Appeals has held that the exception applies when a marriage falls “within the inhibitions of natural law” because it is “offensiv</w:t>
      </w:r>
      <w:r w:rsidRPr="00F33734">
        <w:rPr>
          <w:color w:val="000000" w:themeColor="text1"/>
          <w:szCs w:val="20"/>
        </w:rPr>
        <w:t>e to the public sense of morality to a degree regarded generally with abhorrence.” </w:t>
      </w:r>
      <w:r w:rsidRPr="00F33734">
        <w:rPr>
          <w:color w:val="000000" w:themeColor="text1"/>
          <w:szCs w:val="20"/>
          <w:u w:val="single"/>
        </w:rPr>
        <w:t>See</w:t>
      </w:r>
      <w:r w:rsidRPr="00F33734">
        <w:rPr>
          <w:color w:val="000000" w:themeColor="text1"/>
          <w:szCs w:val="20"/>
        </w:rPr>
        <w:t> </w:t>
      </w:r>
      <w:r w:rsidRPr="00F33734">
        <w:rPr>
          <w:color w:val="000000" w:themeColor="text1"/>
          <w:szCs w:val="20"/>
          <w:u w:val="single"/>
        </w:rPr>
        <w:t>Matter of May</w:t>
      </w:r>
      <w:r w:rsidRPr="00F33734">
        <w:rPr>
          <w:color w:val="000000" w:themeColor="text1"/>
          <w:szCs w:val="20"/>
        </w:rPr>
        <w:t>, 305 N.Y. at 493, 114 N.E.2d 4. We cannot agree that Semone and Ziona's marriage falls under this standard. This is not a case in which one spouse sought to cohabit with two or more other “spouses” at the same time. Semone was a serial monogamist who sought to end his marriage to Hilda before his marriage to Ziona began. All the parties most intimately involved in both marriages appear to have understood that Semone and Hilda were divorced and that Semone and Ziona were married.</w:t>
      </w:r>
    </w:p>
    <w:p w:rsidR="00724F9B" w:rsidRPr="00F45ECA" w:rsidRDefault="00F33734" w:rsidP="00F45ECA">
      <w:pPr>
        <w:pStyle w:val="QS10"/>
        <w:rPr>
          <w:b/>
          <w:u w:val="single"/>
        </w:rPr>
      </w:pPr>
      <w:r w:rsidRPr="00F33734">
        <w:rPr>
          <w:color w:val="000000" w:themeColor="text1"/>
          <w:szCs w:val="20"/>
        </w:rPr>
        <w:t>Despite the Commissioner's efforts to show otherwise, we do not see how New York's policy interest in preventing marriages involving incest, polygamy, and the like would be implicated here.</w:t>
      </w:r>
      <w:r w:rsidR="00F45ECA" w:rsidRPr="00F45ECA">
        <w:rPr>
          <w:b/>
          <w:u w:val="single"/>
        </w:rPr>
        <w:t xml:space="preserve"> </w:t>
      </w:r>
    </w:p>
    <w:p w:rsidR="00F45ECA" w:rsidRPr="00F45ECA" w:rsidRDefault="00F45ECA" w:rsidP="00F45ECA">
      <w:pPr>
        <w:pStyle w:val="Heading20"/>
        <w:numPr>
          <w:ilvl w:val="1"/>
          <w:numId w:val="33"/>
        </w:numPr>
        <w:tabs>
          <w:tab w:val="clear" w:pos="2700"/>
        </w:tabs>
        <w:spacing w:before="240"/>
        <w:ind w:left="0"/>
        <w:rPr>
          <w:vanish/>
          <w:szCs w:val="20"/>
          <w:specVanish/>
        </w:rPr>
      </w:pPr>
      <w:bookmarkStart w:id="838" w:name="_Toc94704728"/>
      <w:r w:rsidRPr="00F45ECA">
        <w:rPr>
          <w:b/>
          <w:u w:val="single"/>
        </w:rPr>
        <w:t>Power to Appoint to Charity Does Not Create Countable Assets for Medicaid Purposes</w:t>
      </w:r>
      <w:bookmarkEnd w:id="838"/>
    </w:p>
    <w:p w:rsidR="00F45ECA" w:rsidRPr="0030131C" w:rsidRDefault="00F45ECA" w:rsidP="00F45ECA">
      <w:pPr>
        <w:pStyle w:val="Heading2Body"/>
      </w:pPr>
      <w:r w:rsidRPr="00F45ECA">
        <w:t xml:space="preserve">.  At issue in </w:t>
      </w:r>
      <w:r w:rsidRPr="0087657C">
        <w:rPr>
          <w:u w:val="single"/>
        </w:rPr>
        <w:t>Fournier v. Secretary of Executive Office of Health and Human Services</w:t>
      </w:r>
      <w:r w:rsidRPr="00F45ECA">
        <w:t>,</w:t>
      </w:r>
      <w:r w:rsidRPr="0030131C">
        <w:t xml:space="preserve"> </w:t>
      </w:r>
      <w:r w:rsidR="00DF688B">
        <w:t>170</w:t>
      </w:r>
      <w:r w:rsidRPr="0030131C">
        <w:t xml:space="preserve"> N.E.3d </w:t>
      </w:r>
      <w:r w:rsidR="00DF688B">
        <w:t>1159</w:t>
      </w:r>
      <w:r w:rsidRPr="0030131C">
        <w:t>- (Ma. 2021) was whether assets in a self-settled trust where the only reservation of rights by the settlor was the power to appoint to charity – a charity over which the settlor has no control – would be countable assets for Medicaid purposes.  The Massachusetts Supreme Court held that the they are not.  The opinion states:</w:t>
      </w:r>
    </w:p>
    <w:p w:rsidR="00F45ECA" w:rsidRPr="0030131C" w:rsidRDefault="00F45ECA" w:rsidP="0087657C">
      <w:pPr>
        <w:pStyle w:val="QS10"/>
      </w:pPr>
      <w:r>
        <w:t>1.</w:t>
      </w:r>
      <w:r>
        <w:tab/>
      </w:r>
      <w:r w:rsidRPr="0030131C">
        <w:t xml:space="preserve">Four years ago, in </w:t>
      </w:r>
      <w:r w:rsidRPr="0030131C">
        <w:rPr>
          <w:u w:val="single"/>
        </w:rPr>
        <w:t>Daley v. Secretary of the Exec. Office of Health &amp; Human Servs</w:t>
      </w:r>
      <w:r w:rsidRPr="0030131C">
        <w:t>., 477 Mass. 188, 203, 74</w:t>
      </w:r>
      <w:r w:rsidR="00E30904">
        <w:t xml:space="preserve"> </w:t>
      </w:r>
      <w:r w:rsidRPr="0030131C">
        <w:t xml:space="preserve">N.E.3d 1269 (2017), we raised -- but did not answer – the question whether a trust settlor's reservation of a limited power of appointment to appoint trust principal to a nonprofit or charitable entity over which the settlor has no control, contained within an irrevocable trust established by the settlor, could render the assets held in the trust “countable” for purposes of determining the settlor-applicant's eligibility for Medicaid long-term care benefits. Specifically, we instructed </w:t>
      </w:r>
      <w:r>
        <w:t xml:space="preserve">MassHealth </w:t>
      </w:r>
      <w:r w:rsidRPr="0030131C">
        <w:t xml:space="preserve">to consider, in the first instance, whether there were “any circumstances,” see 42 U.S.C. § 1396p(d)(3)(B)(i), in which the settlor-applicant could use his limited power of appointment to appoint the trust principal to a nonprofit or charitable nursing home for the purpose of paying for his care. </w:t>
      </w:r>
      <w:r w:rsidRPr="0030131C">
        <w:rPr>
          <w:u w:val="single"/>
        </w:rPr>
        <w:t>Daley</w:t>
      </w:r>
      <w:r w:rsidRPr="0030131C">
        <w:t>, supra.</w:t>
      </w:r>
    </w:p>
    <w:p w:rsidR="00F45ECA" w:rsidRPr="0030131C" w:rsidRDefault="00F45ECA" w:rsidP="0087657C">
      <w:pPr>
        <w:pStyle w:val="QS10"/>
      </w:pPr>
      <w:r w:rsidRPr="0030131C">
        <w:t xml:space="preserve">This case picks up where </w:t>
      </w:r>
      <w:r w:rsidRPr="0030131C">
        <w:rPr>
          <w:u w:val="single"/>
        </w:rPr>
        <w:t>Daley</w:t>
      </w:r>
      <w:r w:rsidRPr="0030131C">
        <w:t xml:space="preserve"> left off. While both were living, </w:t>
      </w:r>
      <w:r>
        <w:t>the plaintiff, Emily Misiaszek,</w:t>
      </w:r>
      <w:r w:rsidRPr="0030131C">
        <w:t xml:space="preserve"> and her husband created an irrevocable trust, the corpus of which includes their home. The terms of the trust grant Misiaszek, during her lifetime, a limited power of appointment to appoint all or any portion of the trust principal to a nonprofit or charitable organization over which she has no controlling interest. After Misiaszek applied for and was denied MassHealth long-term care benefits, the Massachusetts Office of Medicaid's board of hearings (board) affirmed MassHealth's determination that the home was a countable asset, concluding that Misiaszek ostensibly could use her limited power of appointment to appoint portions of the home's equity, included as part of the trust principal, to the nonprofit nursing home where she resided as payment for her care. Misiaszek then sought judicial review of the board's decision, and a Superior Court judge reversed the board's ineligibility determination.</w:t>
      </w:r>
    </w:p>
    <w:p w:rsidR="00F45ECA" w:rsidRDefault="00F45ECA" w:rsidP="0087657C">
      <w:pPr>
        <w:pStyle w:val="QS10"/>
      </w:pPr>
      <w:r w:rsidRPr="0030131C">
        <w:t xml:space="preserve">2 </w:t>
      </w:r>
      <w:r>
        <w:tab/>
      </w:r>
      <w:r w:rsidRPr="0030131C">
        <w:t xml:space="preserve">We conclude that under the terms of her trust, Misiaszek's limited power of appointment does not allow her, in any circumstance, to appoint the trust principal for her benefit, and thus the trust principal is not “countable” for purposes of determining her eligibility for MassHealth benefits. Accordingly, we affirm the judgment of the Superior Court and remand the case for further proceedings consistent with </w:t>
      </w:r>
      <w:r>
        <w:t>this opinion.</w:t>
      </w:r>
    </w:p>
    <w:p w:rsidR="0087657C" w:rsidRPr="0087657C" w:rsidRDefault="0087657C" w:rsidP="0087657C">
      <w:pPr>
        <w:pStyle w:val="Heading20"/>
        <w:numPr>
          <w:ilvl w:val="1"/>
          <w:numId w:val="33"/>
        </w:numPr>
        <w:tabs>
          <w:tab w:val="clear" w:pos="2700"/>
        </w:tabs>
        <w:spacing w:before="240"/>
        <w:ind w:left="0"/>
        <w:rPr>
          <w:vanish/>
          <w:szCs w:val="20"/>
          <w:specVanish/>
        </w:rPr>
      </w:pPr>
      <w:bookmarkStart w:id="839" w:name="_Toc94704729"/>
      <w:r w:rsidRPr="0087657C">
        <w:rPr>
          <w:b/>
          <w:u w:val="single"/>
        </w:rPr>
        <w:t>Ethics of Lawyer Responding to On-Line Criticism</w:t>
      </w:r>
      <w:bookmarkEnd w:id="839"/>
    </w:p>
    <w:p w:rsidR="0087657C" w:rsidRPr="008D2A75" w:rsidRDefault="0087657C" w:rsidP="0087657C">
      <w:pPr>
        <w:pStyle w:val="Heading2Body"/>
      </w:pPr>
      <w:r>
        <w:t>.  In Formal Opinion 496 (January 13, 2021) the ABA addressed what lawyers should do when responding to on-line criticism.  The Opinion sets forth these best practices:</w:t>
      </w:r>
    </w:p>
    <w:p w:rsidR="0087657C" w:rsidRPr="00305704" w:rsidRDefault="0087657C" w:rsidP="0087657C">
      <w:pPr>
        <w:pStyle w:val="QS10"/>
      </w:pPr>
      <w:r w:rsidRPr="00305704">
        <w:t>A lawyer may request that the host of the website or search engine remove the post. This may be particularly effective if the post was made by someone other than a client. If the post was made by someone pretending to be a client, but who is not, the lawyer may inform the host of the website or search engine of that fact. In making a request to remove the post, unless the client consents to disclosure, the lawyer may not disclose any information that relates to a client’s representation or that could reasonably lead to the discovery of confidential information by another,8 but may state that the post is not accurate or that the lawyer has not represented the poster if that is the case.</w:t>
      </w:r>
    </w:p>
    <w:p w:rsidR="0087657C" w:rsidRDefault="0087657C" w:rsidP="0087657C">
      <w:pPr>
        <w:pStyle w:val="QS10"/>
      </w:pPr>
      <w:r w:rsidRPr="00305704">
        <w:t xml:space="preserve">Lawyers should give serious consideration to not responding to negative online reviews in all situations.9 Any response frequently will engender further responses from the original poster. Frequently, the more activity any individual post receives, the higher the post appears in search results online. As a practical matter, no response may cause the post to move down in search result rankings and eventually disappear into the ether. Further exchanges between the lawyer and the original poster could have the opposite effect. </w:t>
      </w:r>
    </w:p>
    <w:p w:rsidR="0087657C" w:rsidRDefault="0087657C" w:rsidP="0087657C">
      <w:pPr>
        <w:pStyle w:val="QS10"/>
      </w:pPr>
      <w:r w:rsidRPr="00305704">
        <w:t xml:space="preserve">Lawyers may respond with a request to take the conversation offline and to attempt to satisfy the person, if applicable. For example, a lawyer might post in response to a former client (or individual posting on behalf of a former client), “Please contact me by telephone so that we can discuss your concerns.” A lawyer whose unhappy former client accepts such a request may offer to refund or reduce the lawyer’s fees in the matter. As a practical matter, this approach is not effective unless the lawyer has the intent and ability to try to satisfy the person’s concerns. A lawyer who makes such a post but does nothing to attempt to assuage the person’s concerns risks additional negative posts. </w:t>
      </w:r>
    </w:p>
    <w:p w:rsidR="0087657C" w:rsidRDefault="0087657C" w:rsidP="0087657C">
      <w:pPr>
        <w:pStyle w:val="QS10"/>
      </w:pPr>
      <w:r w:rsidRPr="00305704">
        <w:t xml:space="preserve">If the poster is not a client or former client, the lawyer may respond simply by stating that the person posting is not a client or former client, as the lawyer owes no ethical duties to the person posting in that circumstance. However, a lawyer must use caution in responding to posts from nonclients. If the negative commentary is by a former opposing party or opposing counsel, or a former client’s friend or family member, and relates to an actual representation, the lawyer may not disclose any information relating to the client or former client’s representation without the client or former client’s informed consent. Even a general disclaimer that the events are not accurately portrayed may reveal that the lawyer was involved in the events mentioned, which could disclose confidential client information. The lawyer is free to seek informed consent of the client or former client to respond, particularly where responding might be in the client or former client’s best interests. In doing so, it would be prudent to discuss the proposed content of the response with the client or former client. </w:t>
      </w:r>
    </w:p>
    <w:p w:rsidR="0087657C" w:rsidRDefault="0087657C" w:rsidP="0087657C">
      <w:pPr>
        <w:pStyle w:val="QS10"/>
      </w:pPr>
      <w:r w:rsidRPr="00305704">
        <w:t xml:space="preserve">If the criticism is by a client or former client, the lawyer may, but is not required to, respond directly to the client or former client. The lawyer may wish to consult with counsel before responding. The lawyer may not respond online, however. </w:t>
      </w:r>
    </w:p>
    <w:p w:rsidR="0087657C" w:rsidRPr="0030131C" w:rsidRDefault="0087657C" w:rsidP="0087657C">
      <w:pPr>
        <w:pStyle w:val="QS10"/>
      </w:pPr>
      <w:r w:rsidRPr="00305704">
        <w:t>An additional permissible response, including to a negative post by a client or former client, would be to acknowledge that the lawyer’s professional obligations do not permit the lawyer to respond. A sample response is: “Professional obligations do not allow me to respond as I would wish.” The above examples do not attempt to provide every possible response that a lawyer would be permitted to make, but instead provide a framework of analysis that may be of assistance to lawyers faced with this issue.</w:t>
      </w:r>
    </w:p>
    <w:p w:rsidR="000A58F9" w:rsidRPr="000A58F9" w:rsidRDefault="009C26D0" w:rsidP="009C26D0">
      <w:pPr>
        <w:pStyle w:val="Heading20"/>
        <w:numPr>
          <w:ilvl w:val="1"/>
          <w:numId w:val="33"/>
        </w:numPr>
        <w:tabs>
          <w:tab w:val="clear" w:pos="2700"/>
        </w:tabs>
        <w:spacing w:before="240"/>
        <w:ind w:left="0"/>
        <w:rPr>
          <w:vanish/>
          <w:szCs w:val="20"/>
          <w:specVanish/>
        </w:rPr>
      </w:pPr>
      <w:bookmarkStart w:id="840" w:name="_Toc94704730"/>
      <w:r>
        <w:rPr>
          <w:b/>
          <w:szCs w:val="20"/>
          <w:u w:val="single"/>
        </w:rPr>
        <w:t>Amount of Wrongful Death Proceeds Included in An Estate</w:t>
      </w:r>
      <w:bookmarkEnd w:id="840"/>
    </w:p>
    <w:p w:rsidR="00F45ECA" w:rsidRDefault="009C26D0" w:rsidP="000A58F9">
      <w:pPr>
        <w:pStyle w:val="Heading2Body"/>
      </w:pPr>
      <w:r>
        <w:t xml:space="preserve">.  In </w:t>
      </w:r>
      <w:r>
        <w:rPr>
          <w:u w:val="single"/>
        </w:rPr>
        <w:t>Morley v. Director, Division of Taxation</w:t>
      </w:r>
      <w:r>
        <w:t xml:space="preserve">, 32 N.J.Tax 366 (NJ Tax </w:t>
      </w:r>
      <w:r w:rsidR="00290473">
        <w:t xml:space="preserve">Court </w:t>
      </w:r>
      <w:r>
        <w:t>2021)</w:t>
      </w:r>
      <w:r w:rsidR="00290473">
        <w:t>, the decedent died in 2014 when utility workers created a natural gas explosion in front of the decedent’s house.  I</w:t>
      </w:r>
      <w:r w:rsidR="00B0537D">
        <w:t>n 2017 the c</w:t>
      </w:r>
      <w:r w:rsidR="00290473">
        <w:t>ase settled for $20,000,000, which became $13,418,462.15 after counsel fees and expenses.  That amount was divided, per New Jersey law, half to the survivor</w:t>
      </w:r>
      <w:r w:rsidR="00B0537D">
        <w:t>s</w:t>
      </w:r>
      <w:r w:rsidR="00290473">
        <w:t xml:space="preserve"> and half to the estate.  So the estate received $6,709,23</w:t>
      </w:r>
      <w:r w:rsidR="00E30904">
        <w:t>1</w:t>
      </w:r>
      <w:r w:rsidR="00290473">
        <w:t>.08.  An appraiser had valued the estate’s claim at $2,690,600.  The parties agreed that the wrongful death claim proceeds paid to the survivor</w:t>
      </w:r>
      <w:r w:rsidR="00B0537D">
        <w:t>s</w:t>
      </w:r>
      <w:r w:rsidR="00290473">
        <w:t xml:space="preserve"> were not subject to New Jersey estate tax, leaving the determination of value of the estate claim.  The opinion states: </w:t>
      </w:r>
    </w:p>
    <w:p w:rsidR="00B0537D" w:rsidRPr="00B0537D" w:rsidRDefault="00B0537D" w:rsidP="00B0537D">
      <w:pPr>
        <w:pStyle w:val="QS10"/>
        <w:rPr>
          <w:szCs w:val="20"/>
        </w:rPr>
      </w:pPr>
      <w:r w:rsidRPr="00B0537D">
        <w:rPr>
          <w:szCs w:val="20"/>
        </w:rPr>
        <w:t>Here, the transfer inheritance tax laws dictate what is included in the estate (“any sum recovered as compensation for death of a person caused by a wrongful act, neglect or default, whether by award of damages or settlement of compromise”), and when (date of recovery of the “award or settlement”). </w:t>
      </w:r>
      <w:r w:rsidRPr="00B0537D">
        <w:rPr>
          <w:szCs w:val="20"/>
          <w:bdr w:val="none" w:sz="0" w:space="0" w:color="auto" w:frame="1"/>
        </w:rPr>
        <w:t>N.J.S.A. 54:35-1</w:t>
      </w:r>
      <w:r w:rsidRPr="00B0537D">
        <w:rPr>
          <w:szCs w:val="20"/>
        </w:rPr>
        <w:t>; </w:t>
      </w:r>
      <w:r w:rsidRPr="00B0537D">
        <w:rPr>
          <w:szCs w:val="20"/>
          <w:bdr w:val="none" w:sz="0" w:space="0" w:color="auto" w:frame="1"/>
        </w:rPr>
        <w:t>N.J.A.C. 18:26-5.3(a)</w:t>
      </w:r>
      <w:r w:rsidRPr="00B0537D">
        <w:rPr>
          <w:szCs w:val="20"/>
        </w:rPr>
        <w:t>. The regulations also indicate what is not taxable, and therefore, what is not includible in an estate. </w:t>
      </w:r>
      <w:r w:rsidRPr="00B0537D">
        <w:rPr>
          <w:szCs w:val="20"/>
          <w:bdr w:val="none" w:sz="0" w:space="0" w:color="auto" w:frame="1"/>
        </w:rPr>
        <w:t>N.J.A.C. 18:26-5.3</w:t>
      </w:r>
      <w:r w:rsidRPr="00B0537D">
        <w:rPr>
          <w:szCs w:val="20"/>
        </w:rPr>
        <w:t>; </w:t>
      </w:r>
      <w:r w:rsidRPr="00B0537D">
        <w:rPr>
          <w:szCs w:val="20"/>
          <w:bdr w:val="none" w:sz="0" w:space="0" w:color="auto" w:frame="1"/>
        </w:rPr>
        <w:t>18:26-6.6</w:t>
      </w:r>
      <w:r w:rsidRPr="00B0537D">
        <w:rPr>
          <w:szCs w:val="20"/>
        </w:rPr>
        <w:t>. Therefore, construing the statutes in pari materia, the court finds that the legislative intent was to include in the decedent's estate, the sums recovered pursuant to the survival claim action, whether the recovery resulted from a trial or a settlement.</w:t>
      </w:r>
    </w:p>
    <w:p w:rsidR="00B0537D" w:rsidRPr="00B0537D" w:rsidRDefault="00B0537D" w:rsidP="00B0537D">
      <w:pPr>
        <w:pStyle w:val="QS10"/>
        <w:rPr>
          <w:szCs w:val="20"/>
        </w:rPr>
      </w:pPr>
      <w:r w:rsidRPr="00B0537D">
        <w:rPr>
          <w:szCs w:val="20"/>
        </w:rPr>
        <w:t>Thus, the sums actually recovered by the decedent's estate in the survival claim action represents the value of that claim, which here is $6,709,231.08. Although received or recovered later, this amount is deemed to be the value of the survival action claim as of the decedent's date of death. The legislative changes implemented by </w:t>
      </w:r>
      <w:r w:rsidRPr="00B0537D">
        <w:rPr>
          <w:szCs w:val="20"/>
          <w:u w:val="single"/>
          <w:bdr w:val="none" w:sz="0" w:space="0" w:color="auto" w:frame="1"/>
        </w:rPr>
        <w:t>L.</w:t>
      </w:r>
      <w:r w:rsidRPr="00B0537D">
        <w:rPr>
          <w:szCs w:val="20"/>
        </w:rPr>
        <w:t> 1978, </w:t>
      </w:r>
      <w:r w:rsidRPr="00B0537D">
        <w:rPr>
          <w:szCs w:val="20"/>
          <w:u w:val="single"/>
          <w:bdr w:val="none" w:sz="0" w:space="0" w:color="auto" w:frame="1"/>
        </w:rPr>
        <w:t>c.</w:t>
      </w:r>
      <w:r w:rsidRPr="00B0537D">
        <w:rPr>
          <w:szCs w:val="20"/>
        </w:rPr>
        <w:t> 172, while noting that it was as to the “date on which certain property is includible in the estate of a decedent for transfer inheritance tax purposes,” sought to address the inequity as to timing of the payment of the tax so that “taxes shall become due and payable on the date of the award of damages or settlement of compromise, rather than the date of death of the decedent.” Even if some ambiguity exists whether this law addresses the timing of the tax payment or the date on which an asset is to be valued, it is resolved by the unambiguous intent that (1) the “property” to be included in the decedent's estate are the “sums recovered under the Death By Wrongful Act Statute,” and (2) the date such “property” is includible in the estate (and therefore subject to tax) is “the date of the award of damages or settlement” and not the date of death. </w:t>
      </w:r>
      <w:r w:rsidRPr="00B0537D">
        <w:rPr>
          <w:szCs w:val="20"/>
          <w:u w:val="single"/>
          <w:bdr w:val="none" w:sz="0" w:space="0" w:color="auto" w:frame="1"/>
        </w:rPr>
        <w:t>Sen. Rev. Fin. and Approp. Comm. Statement to Senate, No. 348</w:t>
      </w:r>
      <w:r w:rsidRPr="00B0537D">
        <w:rPr>
          <w:szCs w:val="20"/>
        </w:rPr>
        <w:t>.</w:t>
      </w:r>
    </w:p>
    <w:p w:rsidR="00F45ECA" w:rsidRDefault="00B0537D" w:rsidP="00B0537D">
      <w:pPr>
        <w:pStyle w:val="QS10"/>
        <w:rPr>
          <w:szCs w:val="20"/>
        </w:rPr>
      </w:pPr>
      <w:r w:rsidRPr="00B0537D">
        <w:rPr>
          <w:szCs w:val="20"/>
        </w:rPr>
        <w:t>It would be counterintuitive to maintain that the same asset (survival claim action) is to be included in the same estate (decedent's) but argue that the tax base, i.e., amount subject to tax, should be different for each type of tax: for the estate tax, it should be an amount based on an appraiser's value conclusion (what is the asset's alleged market value as of the date of death), but for transfer inheritance tax purposes it is the amount recovered under </w:t>
      </w:r>
      <w:r w:rsidRPr="00B0537D">
        <w:rPr>
          <w:szCs w:val="20"/>
          <w:bdr w:val="none" w:sz="0" w:space="0" w:color="auto" w:frame="1"/>
        </w:rPr>
        <w:t>N.J.A.C. 18:26-5.3</w:t>
      </w:r>
      <w:r w:rsidRPr="00B0537D">
        <w:rPr>
          <w:szCs w:val="20"/>
        </w:rPr>
        <w:t>. Construing the Estate Tax and Transfer Inheritance Tax statutes in pari materia will avoid this absurdity. The court's conclusion does not sidestep the ruling in </w:t>
      </w:r>
      <w:r w:rsidRPr="00B0537D">
        <w:rPr>
          <w:szCs w:val="20"/>
          <w:u w:val="single"/>
          <w:bdr w:val="none" w:sz="0" w:space="0" w:color="auto" w:frame="1"/>
        </w:rPr>
        <w:t>Estate of Warshaw</w:t>
      </w:r>
      <w:r w:rsidRPr="00B0537D">
        <w:rPr>
          <w:szCs w:val="20"/>
        </w:rPr>
        <w:t> because there the asset at issue was not a survival action claim and the case did not involve applicability of the Transfer Inheritance Tax laws.</w:t>
      </w:r>
    </w:p>
    <w:p w:rsidR="005811EA" w:rsidRPr="005811EA" w:rsidRDefault="000A58F9" w:rsidP="000A58F9">
      <w:pPr>
        <w:pStyle w:val="Heading20"/>
        <w:numPr>
          <w:ilvl w:val="1"/>
          <w:numId w:val="33"/>
        </w:numPr>
        <w:tabs>
          <w:tab w:val="clear" w:pos="2700"/>
        </w:tabs>
        <w:spacing w:before="240"/>
        <w:ind w:left="0"/>
        <w:rPr>
          <w:vanish/>
          <w:szCs w:val="20"/>
          <w:specVanish/>
        </w:rPr>
      </w:pPr>
      <w:bookmarkStart w:id="841" w:name="_Toc94704731"/>
      <w:r>
        <w:rPr>
          <w:b/>
          <w:szCs w:val="20"/>
          <w:u w:val="single"/>
        </w:rPr>
        <w:t>Oregon Grabs Out of State QTIP for Estate Tax</w:t>
      </w:r>
      <w:bookmarkEnd w:id="841"/>
    </w:p>
    <w:p w:rsidR="00F45ECA" w:rsidRDefault="000A58F9" w:rsidP="005811EA">
      <w:pPr>
        <w:pStyle w:val="Heading2Body"/>
      </w:pPr>
      <w:r>
        <w:t>. D</w:t>
      </w:r>
      <w:r w:rsidR="003A5A81">
        <w:t>on Gillam died in 2012, a Montana resident.  His wife, Helene Evans, had shortly before his death moved to Oregon where she lived until her own death in 2015.  Mr. Gilman created a testamentary trust for Mrs. Evans that did not qualify for QTIP</w:t>
      </w:r>
      <w:r w:rsidR="00E30904">
        <w:t>,</w:t>
      </w:r>
      <w:r w:rsidR="003A5A81">
        <w:t xml:space="preserve"> but the trustee, a Montana resident, had </w:t>
      </w:r>
      <w:r w:rsidR="00313253">
        <w:t xml:space="preserve">it reformed so it would achieve the Federal marital deduction.  At issue in </w:t>
      </w:r>
      <w:r w:rsidR="00313253">
        <w:rPr>
          <w:u w:val="single"/>
        </w:rPr>
        <w:t>Estate of Evans v. Department of Revenue</w:t>
      </w:r>
      <w:r w:rsidR="00CA4F25">
        <w:t>, ____ P.3d ____ (Or. 2021), was whether Oregon could tax the QTIP as part of Mrs. Evans’ estate.  The court concluded it could stating:</w:t>
      </w:r>
    </w:p>
    <w:p w:rsidR="00CC1318" w:rsidRPr="00EB52D6" w:rsidRDefault="00CC1318" w:rsidP="00EB52D6">
      <w:pPr>
        <w:pStyle w:val="QS10"/>
      </w:pPr>
      <w:r w:rsidRPr="00EB52D6">
        <w:t>We agree with the </w:t>
      </w:r>
      <w:r w:rsidRPr="00EB52D6">
        <w:rPr>
          <w:bCs/>
          <w:bdr w:val="none" w:sz="0" w:space="0" w:color="auto" w:frame="1"/>
        </w:rPr>
        <w:t>department</w:t>
      </w:r>
      <w:r w:rsidRPr="00EB52D6">
        <w:t> that the cited cases do not establish that a state may impose an </w:t>
      </w:r>
      <w:r w:rsidRPr="00EB52D6">
        <w:rPr>
          <w:bCs/>
          <w:bdr w:val="none" w:sz="0" w:space="0" w:color="auto" w:frame="1"/>
        </w:rPr>
        <w:t>estate</w:t>
      </w:r>
      <w:r w:rsidRPr="00EB52D6">
        <w:t> tax on the assets of an out-of-state trust only if the deceased beneficiary had the ability to control how the assets of that out-of-state trust were managed, invested, or distributed. Instead, based on the rule announced in </w:t>
      </w:r>
      <w:r w:rsidRPr="00EB52D6">
        <w:rPr>
          <w:rStyle w:val="Emphasis"/>
          <w:color w:val="000000" w:themeColor="text1"/>
          <w:szCs w:val="20"/>
          <w:bdr w:val="none" w:sz="0" w:space="0" w:color="auto" w:frame="1"/>
        </w:rPr>
        <w:t>Kaestner</w:t>
      </w:r>
      <w:r w:rsidRPr="00EB52D6">
        <w:rPr>
          <w:bdr w:val="none" w:sz="0" w:space="0" w:color="auto" w:frame="1"/>
        </w:rPr>
        <w:t>, ––– U.S. ––––, 139 S Ct at 2222</w:t>
      </w:r>
      <w:r w:rsidRPr="00EB52D6">
        <w:t>, we conclude that the demands of due process also could be satisfied by a showing that a resident decedent had some degree of possession or enjoyment of, or right to receive, the trust property. </w:t>
      </w:r>
      <w:r w:rsidRPr="00EB52D6">
        <w:rPr>
          <w:rStyle w:val="Emphasis"/>
          <w:color w:val="000000" w:themeColor="text1"/>
          <w:szCs w:val="20"/>
          <w:bdr w:val="none" w:sz="0" w:space="0" w:color="auto" w:frame="1"/>
        </w:rPr>
        <w:t>See Kaestner</w:t>
      </w:r>
      <w:r w:rsidRPr="00EB52D6">
        <w:rPr>
          <w:bdr w:val="none" w:sz="0" w:space="0" w:color="auto" w:frame="1"/>
        </w:rPr>
        <w:t>, ––– U.S. ––––, 139 S Ct at 2223-24</w:t>
      </w:r>
      <w:r w:rsidRPr="00EB52D6">
        <w:t> (demonstrating that court looks at whether beneficiaries had some enjoyment or future right to receive trust property, not just at whether they had right to control trust property, when considering “minimum connection” question).</w:t>
      </w:r>
    </w:p>
    <w:p w:rsidR="00CC1318" w:rsidRPr="00EB52D6" w:rsidRDefault="00CC1318" w:rsidP="00EB52D6">
      <w:pPr>
        <w:pStyle w:val="QS10"/>
        <w:jc w:val="center"/>
        <w:rPr>
          <w:bCs/>
        </w:rPr>
      </w:pPr>
      <w:r w:rsidRPr="00EB52D6">
        <w:rPr>
          <w:bCs/>
        </w:rPr>
        <w:t>APPLICATION</w:t>
      </w:r>
    </w:p>
    <w:p w:rsidR="00CC1318" w:rsidRPr="00EB52D6" w:rsidRDefault="00CC1318" w:rsidP="00EB52D6">
      <w:pPr>
        <w:pStyle w:val="QS10"/>
      </w:pPr>
      <w:r w:rsidRPr="00EB52D6">
        <w:t>Applying that standard to this case, we conclude that </w:t>
      </w:r>
      <w:r w:rsidRPr="00EB52D6">
        <w:rPr>
          <w:bCs/>
          <w:bdr w:val="none" w:sz="0" w:space="0" w:color="auto" w:frame="1"/>
        </w:rPr>
        <w:t>Evans</w:t>
      </w:r>
      <w:r w:rsidRPr="00EB52D6">
        <w:t> had sufficient “enjoyment” of the trust principal (in addition to the enjoyment of the income generated thereby) to satisfy </w:t>
      </w:r>
      <w:r w:rsidRPr="00EB52D6">
        <w:rPr>
          <w:rStyle w:val="Emphasis"/>
          <w:color w:val="000000" w:themeColor="text1"/>
          <w:szCs w:val="20"/>
          <w:bdr w:val="none" w:sz="0" w:space="0" w:color="auto" w:frame="1"/>
        </w:rPr>
        <w:t>Kaestner</w:t>
      </w:r>
      <w:r w:rsidRPr="00EB52D6">
        <w:t>’s requirement of “some degree of possession, control, or enjoyment” of the trust assets and thus to permit Oregon to include those trust assets in </w:t>
      </w:r>
      <w:r w:rsidRPr="00EB52D6">
        <w:rPr>
          <w:bCs/>
          <w:bdr w:val="none" w:sz="0" w:space="0" w:color="auto" w:frame="1"/>
        </w:rPr>
        <w:t>Evans's</w:t>
      </w:r>
      <w:r w:rsidRPr="00EB52D6">
        <w:t> taxable </w:t>
      </w:r>
      <w:r w:rsidRPr="00EB52D6">
        <w:rPr>
          <w:bCs/>
          <w:bdr w:val="none" w:sz="0" w:space="0" w:color="auto" w:frame="1"/>
        </w:rPr>
        <w:t>estate</w:t>
      </w:r>
      <w:r w:rsidRPr="00EB52D6">
        <w:t>. While, under her husband's modified will, </w:t>
      </w:r>
      <w:r w:rsidRPr="00EB52D6">
        <w:rPr>
          <w:bCs/>
          <w:bdr w:val="none" w:sz="0" w:space="0" w:color="auto" w:frame="1"/>
        </w:rPr>
        <w:t>Evans</w:t>
      </w:r>
      <w:r w:rsidRPr="00EB52D6">
        <w:t> could not claim a right to the whole of the trust principal or any particular portion thereof, she had a potential right to receive distributions of principal, to the extent that trust income was insufficient to satisfy her needs. No other person could receive any part of the principal during </w:t>
      </w:r>
      <w:r w:rsidRPr="00EB52D6">
        <w:rPr>
          <w:bCs/>
          <w:bdr w:val="none" w:sz="0" w:space="0" w:color="auto" w:frame="1"/>
        </w:rPr>
        <w:t>Evans's</w:t>
      </w:r>
      <w:r w:rsidRPr="00EB52D6">
        <w:t> lifetime. And while the remainder beneficiaries had a right to whatever was left of the principal after </w:t>
      </w:r>
      <w:r w:rsidRPr="00EB52D6">
        <w:rPr>
          <w:bCs/>
          <w:bdr w:val="none" w:sz="0" w:space="0" w:color="auto" w:frame="1"/>
        </w:rPr>
        <w:t>Evans's</w:t>
      </w:r>
      <w:r w:rsidRPr="00EB52D6">
        <w:t> death, they could not prevent her from receiving distributions of principal that would reduce or even eliminate their own ultimate shares in the remainder.</w:t>
      </w:r>
    </w:p>
    <w:p w:rsidR="00CC1318" w:rsidRPr="00EB52D6" w:rsidRDefault="00CC1318" w:rsidP="00EB52D6">
      <w:pPr>
        <w:pStyle w:val="QS10"/>
      </w:pPr>
      <w:r w:rsidRPr="00EB52D6">
        <w:t>Even under the settlement in which </w:t>
      </w:r>
      <w:r w:rsidRPr="00EB52D6">
        <w:rPr>
          <w:bCs/>
          <w:bdr w:val="none" w:sz="0" w:space="0" w:color="auto" w:frame="1"/>
        </w:rPr>
        <w:t>Evans</w:t>
      </w:r>
      <w:r w:rsidRPr="00EB52D6">
        <w:t> ceded her rights with respect to the trust principal under her husband's will and Montana law, she received a substantial one-time payment that consisted of part of the principal. And she retained a potential right to distributions from principal, to the extent that the trust principal failed to generate income sufficient to cover the agreed-upon fixed monthly distribution. In all of those ways, </w:t>
      </w:r>
      <w:r w:rsidRPr="00EB52D6">
        <w:rPr>
          <w:bCs/>
          <w:bdr w:val="none" w:sz="0" w:space="0" w:color="auto" w:frame="1"/>
        </w:rPr>
        <w:t>Evans</w:t>
      </w:r>
      <w:r w:rsidRPr="00EB52D6">
        <w:t> could and did access the trust principal for her own use and benefit in a way that no other person could during her lifetime. We conclude that </w:t>
      </w:r>
      <w:r w:rsidRPr="00EB52D6">
        <w:rPr>
          <w:bCs/>
          <w:bdr w:val="none" w:sz="0" w:space="0" w:color="auto" w:frame="1"/>
        </w:rPr>
        <w:t>Evans</w:t>
      </w:r>
      <w:r w:rsidRPr="00EB52D6">
        <w:t> thereby had a substantial measure of enjoyment of the trust principal. And therefore, under the rule set out in </w:t>
      </w:r>
      <w:r w:rsidRPr="00EB52D6">
        <w:rPr>
          <w:rStyle w:val="Emphasis"/>
          <w:color w:val="000000" w:themeColor="text1"/>
          <w:szCs w:val="20"/>
          <w:bdr w:val="none" w:sz="0" w:space="0" w:color="auto" w:frame="1"/>
        </w:rPr>
        <w:t>Kaestner</w:t>
      </w:r>
      <w:r w:rsidRPr="00EB52D6">
        <w:t>, Oregon could rely on </w:t>
      </w:r>
      <w:r w:rsidRPr="00EB52D6">
        <w:rPr>
          <w:bCs/>
          <w:bdr w:val="none" w:sz="0" w:space="0" w:color="auto" w:frame="1"/>
        </w:rPr>
        <w:t>Evans's</w:t>
      </w:r>
      <w:r w:rsidRPr="00EB52D6">
        <w:t xml:space="preserve"> status as an Oregon resident to impose its taxes on that trust principal without violating the Due Process Clause. </w:t>
      </w:r>
    </w:p>
    <w:p w:rsidR="00CC1318" w:rsidRPr="00EB52D6" w:rsidRDefault="00CC1318" w:rsidP="00EB52D6">
      <w:pPr>
        <w:pStyle w:val="QS10"/>
      </w:pPr>
      <w:r w:rsidRPr="00EB52D6">
        <w:t>We caution, however, that our focus on </w:t>
      </w:r>
      <w:r w:rsidRPr="00EB52D6">
        <w:rPr>
          <w:bCs/>
          <w:bdr w:val="none" w:sz="0" w:space="0" w:color="auto" w:frame="1"/>
        </w:rPr>
        <w:t>Evans's</w:t>
      </w:r>
      <w:r w:rsidRPr="00EB52D6">
        <w:t> enjoyment of the trust assets should not be taken as a conclusion that the circumstances here could not be considered sufficient control of the trust assets. Plaintiff has insisted that </w:t>
      </w:r>
      <w:r w:rsidRPr="00EB52D6">
        <w:rPr>
          <w:bCs/>
          <w:bdr w:val="none" w:sz="0" w:space="0" w:color="auto" w:frame="1"/>
        </w:rPr>
        <w:t>Evans</w:t>
      </w:r>
      <w:r w:rsidRPr="00EB52D6">
        <w:t> never had control of the trust assets in the required sense (“some ability to decide or control how the trust principal will be invested, managed, or distributed”) because the management and distribution of the assets was completely in the hands of the trustee. But plaintiff's description of </w:t>
      </w:r>
      <w:r w:rsidRPr="00EB52D6">
        <w:rPr>
          <w:bCs/>
          <w:bdr w:val="none" w:sz="0" w:space="0" w:color="auto" w:frame="1"/>
        </w:rPr>
        <w:t>Evans's</w:t>
      </w:r>
      <w:r w:rsidRPr="00EB52D6">
        <w:t> rights—or lack thereof—is not entirely accurate. The modified will that controlled the trust clearly contemplated that </w:t>
      </w:r>
      <w:r w:rsidRPr="00EB52D6">
        <w:rPr>
          <w:bCs/>
          <w:bdr w:val="none" w:sz="0" w:space="0" w:color="auto" w:frame="1"/>
        </w:rPr>
        <w:t>Evans</w:t>
      </w:r>
      <w:r w:rsidRPr="00EB52D6">
        <w:t> would receive distributions from the trust assets as “necessary for [her] health, education, maintenance or support in [her] accustomed manner of living.” The fact that it directed that those distributions be in “such amounts from the principal </w:t>
      </w:r>
      <w:r w:rsidRPr="00EB52D6">
        <w:rPr>
          <w:rStyle w:val="Emphasis"/>
          <w:color w:val="000000" w:themeColor="text1"/>
          <w:szCs w:val="20"/>
          <w:bdr w:val="none" w:sz="0" w:space="0" w:color="auto" w:frame="1"/>
        </w:rPr>
        <w:t>as the trustee determines</w:t>
      </w:r>
      <w:r w:rsidRPr="00EB52D6">
        <w:t> to be necessary” for that purpose did not foreclose the possibility that </w:t>
      </w:r>
      <w:r w:rsidRPr="00EB52D6">
        <w:rPr>
          <w:bCs/>
          <w:bdr w:val="none" w:sz="0" w:space="0" w:color="auto" w:frame="1"/>
        </w:rPr>
        <w:t>Evans</w:t>
      </w:r>
      <w:r w:rsidRPr="00EB52D6">
        <w:t> could judicially compel distributions of principal to herself, if her needs were not being met. Furthermore, under Montana law, </w:t>
      </w:r>
      <w:r w:rsidRPr="00EB52D6">
        <w:rPr>
          <w:bCs/>
          <w:bdr w:val="none" w:sz="0" w:space="0" w:color="auto" w:frame="1"/>
        </w:rPr>
        <w:t>Evans</w:t>
      </w:r>
      <w:r w:rsidRPr="00EB52D6">
        <w:t> could force the trustee to take certain actions with respect to the trust property if the amount of trust income that he distributed to her was “insufficient to provide [her] with the beneficial enjoyment required to obtain the marital deduction.” MCA </w:t>
      </w:r>
      <w:r w:rsidRPr="00EB52D6">
        <w:rPr>
          <w:bdr w:val="none" w:sz="0" w:space="0" w:color="auto" w:frame="1"/>
        </w:rPr>
        <w:t>§ 72-34-445</w:t>
      </w:r>
      <w:r w:rsidRPr="00EB52D6">
        <w:t>. </w:t>
      </w:r>
      <w:r w:rsidRPr="00EB52D6">
        <w:rPr>
          <w:bCs/>
          <w:bdr w:val="none" w:sz="0" w:space="0" w:color="auto" w:frame="1"/>
        </w:rPr>
        <w:t>Evans</w:t>
      </w:r>
      <w:r w:rsidRPr="00EB52D6">
        <w:t> did ultimately agree to give up those potential claims in exchange for a lump sum payment from principal and a right to a monthly distribution set at a specified amount. But we leave for another day the question of whether such a settlement rendered irrelevant any potential control of the trust principal that beneficiary might have had for purposes of the </w:t>
      </w:r>
      <w:r w:rsidRPr="00EB52D6">
        <w:rPr>
          <w:rStyle w:val="Emphasis"/>
          <w:color w:val="000000" w:themeColor="text1"/>
          <w:szCs w:val="20"/>
          <w:bdr w:val="none" w:sz="0" w:space="0" w:color="auto" w:frame="1"/>
        </w:rPr>
        <w:t>Kaestner</w:t>
      </w:r>
      <w:r w:rsidRPr="00EB52D6">
        <w:t> rule or whether the ability to enter into a settlement regarding distribution of the trust assets was itself a demonstration of control. We need not resolve those questions because we conclude that </w:t>
      </w:r>
      <w:r w:rsidRPr="00EB52D6">
        <w:rPr>
          <w:bCs/>
          <w:bdr w:val="none" w:sz="0" w:space="0" w:color="auto" w:frame="1"/>
        </w:rPr>
        <w:t>Evans</w:t>
      </w:r>
      <w:r w:rsidRPr="00EB52D6">
        <w:t> otherwise satisfied </w:t>
      </w:r>
      <w:r w:rsidRPr="00EB52D6">
        <w:rPr>
          <w:rStyle w:val="Emphasis"/>
          <w:color w:val="000000" w:themeColor="text1"/>
          <w:szCs w:val="20"/>
          <w:bdr w:val="none" w:sz="0" w:space="0" w:color="auto" w:frame="1"/>
        </w:rPr>
        <w:t>Kaestner</w:t>
      </w:r>
      <w:r w:rsidRPr="00EB52D6">
        <w:t>’s requirement that she have sufficient “possession, control, or enjoyment” of the trust assets to permit Oregon to include the assets in </w:t>
      </w:r>
      <w:r w:rsidRPr="00EB52D6">
        <w:rPr>
          <w:bCs/>
          <w:bdr w:val="none" w:sz="0" w:space="0" w:color="auto" w:frame="1"/>
        </w:rPr>
        <w:t>Evans's</w:t>
      </w:r>
      <w:r w:rsidRPr="00EB52D6">
        <w:t> taxable </w:t>
      </w:r>
      <w:r w:rsidRPr="00EB52D6">
        <w:rPr>
          <w:bCs/>
          <w:bdr w:val="none" w:sz="0" w:space="0" w:color="auto" w:frame="1"/>
        </w:rPr>
        <w:t>estate</w:t>
      </w:r>
      <w:r w:rsidRPr="00EB52D6">
        <w:t>.</w:t>
      </w:r>
    </w:p>
    <w:p w:rsidR="00CC1318" w:rsidRPr="00EB52D6" w:rsidRDefault="00CC1318" w:rsidP="00EB52D6">
      <w:pPr>
        <w:pStyle w:val="QS10"/>
      </w:pPr>
      <w:r w:rsidRPr="00EB52D6">
        <w:t>Plaintiff, nevertheless, insists that satisfying the </w:t>
      </w:r>
      <w:r w:rsidRPr="00EB52D6">
        <w:rPr>
          <w:rStyle w:val="Emphasis"/>
          <w:color w:val="000000" w:themeColor="text1"/>
          <w:szCs w:val="20"/>
          <w:bdr w:val="none" w:sz="0" w:space="0" w:color="auto" w:frame="1"/>
        </w:rPr>
        <w:t>Kaestner</w:t>
      </w:r>
      <w:r w:rsidRPr="00EB52D6">
        <w:t> test is not enough, that due process requires more in this case. Seemingly appealing to a more generic understanding of what the Due Process Clause requires, plaintiff contends that it is confiscatory and unfair to allow Oregon to tax the assets of a Montana trust based solely on the facts that the trust assets were designated as QTIP for purposes of federal </w:t>
      </w:r>
      <w:r w:rsidRPr="00EB52D6">
        <w:rPr>
          <w:bCs/>
          <w:bdr w:val="none" w:sz="0" w:space="0" w:color="auto" w:frame="1"/>
        </w:rPr>
        <w:t>estate</w:t>
      </w:r>
      <w:r w:rsidRPr="00EB52D6">
        <w:t> taxes and that the trust's income beneficiary happened to be living in Oregon when she died. Plaintiff's points in that regard appear to be twofold.</w:t>
      </w:r>
      <w:r w:rsidR="00EB52D6">
        <w:t xml:space="preserve"> </w:t>
      </w:r>
      <w:r w:rsidRPr="00EB52D6">
        <w:t>First, plaintiff suggests that it is unfair for Oregon to rely on the </w:t>
      </w:r>
      <w:r w:rsidRPr="00EB52D6">
        <w:rPr>
          <w:rStyle w:val="Emphasis"/>
          <w:color w:val="000000" w:themeColor="text1"/>
          <w:szCs w:val="20"/>
          <w:bdr w:val="none" w:sz="0" w:space="0" w:color="auto" w:frame="1"/>
        </w:rPr>
        <w:t>federal</w:t>
      </w:r>
      <w:r w:rsidRPr="00EB52D6">
        <w:t> tax QTIP election of Gillam's executor as a statutory basis for including the trust assets in </w:t>
      </w:r>
      <w:r w:rsidRPr="00EB52D6">
        <w:rPr>
          <w:bCs/>
          <w:bdr w:val="none" w:sz="0" w:space="0" w:color="auto" w:frame="1"/>
        </w:rPr>
        <w:t>Evans's</w:t>
      </w:r>
      <w:r w:rsidRPr="00EB52D6">
        <w:t> </w:t>
      </w:r>
      <w:r w:rsidRPr="00EB52D6">
        <w:rPr>
          <w:rStyle w:val="Emphasis"/>
          <w:color w:val="000000" w:themeColor="text1"/>
          <w:szCs w:val="20"/>
          <w:bdr w:val="none" w:sz="0" w:space="0" w:color="auto" w:frame="1"/>
        </w:rPr>
        <w:t>Oregon</w:t>
      </w:r>
      <w:r w:rsidRPr="00EB52D6">
        <w:t> </w:t>
      </w:r>
      <w:r w:rsidRPr="00EB52D6">
        <w:rPr>
          <w:bCs/>
          <w:bdr w:val="none" w:sz="0" w:space="0" w:color="auto" w:frame="1"/>
        </w:rPr>
        <w:t>estate</w:t>
      </w:r>
      <w:r w:rsidRPr="00EB52D6">
        <w:t>, when the quid pro quo rationale that justifies the QTIP mechanism—inclusion of the value of trust property in the </w:t>
      </w:r>
      <w:r w:rsidRPr="00EB52D6">
        <w:rPr>
          <w:bCs/>
          <w:bdr w:val="none" w:sz="0" w:space="0" w:color="auto" w:frame="1"/>
        </w:rPr>
        <w:t>estate</w:t>
      </w:r>
      <w:r w:rsidRPr="00EB52D6">
        <w:t> of a surviving spouse in exchange for the earlier deduction of the value of that property from the</w:t>
      </w:r>
      <w:r w:rsidR="00EB52D6">
        <w:t xml:space="preserve"> </w:t>
      </w:r>
      <w:r w:rsidRPr="00EB52D6">
        <w:rPr>
          <w:bCs/>
          <w:bdr w:val="none" w:sz="0" w:space="0" w:color="auto" w:frame="1"/>
        </w:rPr>
        <w:t>estate</w:t>
      </w:r>
      <w:r w:rsidR="00EB52D6">
        <w:rPr>
          <w:bCs/>
          <w:bdr w:val="none" w:sz="0" w:space="0" w:color="auto" w:frame="1"/>
        </w:rPr>
        <w:t xml:space="preserve"> </w:t>
      </w:r>
      <w:r w:rsidRPr="00EB52D6">
        <w:t>of the original decedent—is not relevant to </w:t>
      </w:r>
      <w:r w:rsidRPr="00EB52D6">
        <w:rPr>
          <w:bCs/>
          <w:bdr w:val="none" w:sz="0" w:space="0" w:color="auto" w:frame="1"/>
        </w:rPr>
        <w:t>Evans's</w:t>
      </w:r>
      <w:r w:rsidRPr="00EB52D6">
        <w:t> Oregon </w:t>
      </w:r>
      <w:r w:rsidRPr="00EB52D6">
        <w:rPr>
          <w:bCs/>
          <w:bdr w:val="none" w:sz="0" w:space="0" w:color="auto" w:frame="1"/>
        </w:rPr>
        <w:t>estate</w:t>
      </w:r>
      <w:r w:rsidRPr="00EB52D6">
        <w:t> (because there had been no earlier deduction from Gillam's </w:t>
      </w:r>
      <w:r w:rsidRPr="00EB52D6">
        <w:rPr>
          <w:bCs/>
          <w:bdr w:val="none" w:sz="0" w:space="0" w:color="auto" w:frame="1"/>
        </w:rPr>
        <w:t>estate</w:t>
      </w:r>
      <w:r w:rsidRPr="00EB52D6">
        <w:t> either in Oregon or Montana). And second, plaintiff suggests that including the trust property in </w:t>
      </w:r>
      <w:r w:rsidRPr="00EB52D6">
        <w:rPr>
          <w:bCs/>
          <w:bdr w:val="none" w:sz="0" w:space="0" w:color="auto" w:frame="1"/>
        </w:rPr>
        <w:t>Evans's</w:t>
      </w:r>
      <w:r w:rsidRPr="00EB52D6">
        <w:t> Oregon </w:t>
      </w:r>
      <w:r w:rsidRPr="00EB52D6">
        <w:rPr>
          <w:bCs/>
          <w:bdr w:val="none" w:sz="0" w:space="0" w:color="auto" w:frame="1"/>
        </w:rPr>
        <w:t>estate</w:t>
      </w:r>
      <w:r w:rsidRPr="00EB52D6">
        <w:t> would be unexpected and arbitrary. According to plaintiff, neither Gillam, in creating the trust with the federal marital deduction in mind, nor his executor, in electing to designate the trust property as QTIP, could have foreseen that the trust assets would thereby become subject to taxation in Oregon, based on the mere happenstance that </w:t>
      </w:r>
      <w:r w:rsidRPr="00EB52D6">
        <w:rPr>
          <w:bCs/>
          <w:bdr w:val="none" w:sz="0" w:space="0" w:color="auto" w:frame="1"/>
        </w:rPr>
        <w:t>Evans</w:t>
      </w:r>
      <w:r w:rsidRPr="00EB52D6">
        <w:t>, the income beneficiary, moved to and died here.</w:t>
      </w:r>
    </w:p>
    <w:p w:rsidR="00CC1318" w:rsidRPr="00EB52D6" w:rsidRDefault="00CC1318" w:rsidP="00EB52D6">
      <w:pPr>
        <w:pStyle w:val="QS10"/>
      </w:pPr>
      <w:r w:rsidRPr="00EB52D6">
        <w:t>Plaintiff's first argument misapprehends the kind of fairness that the Due Process Clause requires. As explained above, a QTIP election permits a married couple to defer certain taxes that otherwise would be imposed on the </w:t>
      </w:r>
      <w:r w:rsidRPr="00EB52D6">
        <w:rPr>
          <w:bCs/>
          <w:bdr w:val="none" w:sz="0" w:space="0" w:color="auto" w:frame="1"/>
        </w:rPr>
        <w:t>estate</w:t>
      </w:r>
      <w:r w:rsidRPr="00EB52D6">
        <w:t> of the first to die until the death of the survivor. It does so by allowing a deduction of QTIP-designated trust property from the original decedent's </w:t>
      </w:r>
      <w:r w:rsidRPr="00EB52D6">
        <w:rPr>
          <w:bCs/>
          <w:bdr w:val="none" w:sz="0" w:space="0" w:color="auto" w:frame="1"/>
        </w:rPr>
        <w:t>estate</w:t>
      </w:r>
      <w:r w:rsidRPr="00EB52D6">
        <w:t> </w:t>
      </w:r>
      <w:r w:rsidRPr="00EB52D6">
        <w:rPr>
          <w:rStyle w:val="Emphasis"/>
          <w:color w:val="000000" w:themeColor="text1"/>
          <w:szCs w:val="20"/>
          <w:bdr w:val="none" w:sz="0" w:space="0" w:color="auto" w:frame="1"/>
        </w:rPr>
        <w:t>in exchange</w:t>
      </w:r>
      <w:r w:rsidRPr="00EB52D6">
        <w:t> for the subsequent inclusion of the same trust property in the </w:t>
      </w:r>
      <w:r w:rsidRPr="00EB52D6">
        <w:rPr>
          <w:bCs/>
          <w:bdr w:val="none" w:sz="0" w:space="0" w:color="auto" w:frame="1"/>
        </w:rPr>
        <w:t>estate</w:t>
      </w:r>
      <w:r w:rsidRPr="00EB52D6">
        <w:t> of the survivor. In the many states that, like Oregon, tie the value of a decedent's </w:t>
      </w:r>
      <w:r w:rsidRPr="00EB52D6">
        <w:rPr>
          <w:bCs/>
          <w:bdr w:val="none" w:sz="0" w:space="0" w:color="auto" w:frame="1"/>
        </w:rPr>
        <w:t>estate</w:t>
      </w:r>
      <w:r w:rsidRPr="00EB52D6">
        <w:t> for state tax purposes to the value of his or her federal </w:t>
      </w:r>
      <w:r w:rsidRPr="00EB52D6">
        <w:rPr>
          <w:bCs/>
          <w:bdr w:val="none" w:sz="0" w:space="0" w:color="auto" w:frame="1"/>
        </w:rPr>
        <w:t>estate</w:t>
      </w:r>
      <w:r w:rsidRPr="00EB52D6">
        <w:t>, a federal QTIP election generally will result in application of the same bargain or exchange to the state taxes that pertain to the affected individuals: Property in a QTIP trust will not be subject to either federal or state </w:t>
      </w:r>
      <w:r w:rsidRPr="00EB52D6">
        <w:rPr>
          <w:bCs/>
          <w:bdr w:val="none" w:sz="0" w:space="0" w:color="auto" w:frame="1"/>
        </w:rPr>
        <w:t>estate</w:t>
      </w:r>
      <w:r w:rsidRPr="00EB52D6">
        <w:t> taxes when the first spouse dies, but will later be subject to both the federal and state taxation as part of the surviving spouse's </w:t>
      </w:r>
      <w:r w:rsidRPr="00EB52D6">
        <w:rPr>
          <w:bCs/>
          <w:bdr w:val="none" w:sz="0" w:space="0" w:color="auto" w:frame="1"/>
        </w:rPr>
        <w:t>estate</w:t>
      </w:r>
      <w:r w:rsidRPr="00EB52D6">
        <w:t>.</w:t>
      </w:r>
    </w:p>
    <w:p w:rsidR="00CC1318" w:rsidRPr="00EB52D6" w:rsidRDefault="00CC1318" w:rsidP="00EB52D6">
      <w:pPr>
        <w:pStyle w:val="QS10"/>
      </w:pPr>
      <w:r w:rsidRPr="00EB52D6">
        <w:t>We recognize that differences in state tax laws mean that a federal QTIP election will not always produce a corresponding benefit with respect to the original decedent's state-level </w:t>
      </w:r>
      <w:r w:rsidRPr="00EB52D6">
        <w:rPr>
          <w:bCs/>
          <w:bdr w:val="none" w:sz="0" w:space="0" w:color="auto" w:frame="1"/>
        </w:rPr>
        <w:t>estate</w:t>
      </w:r>
      <w:r w:rsidRPr="00EB52D6">
        <w:t>—as here because Montana does not tax </w:t>
      </w:r>
      <w:r w:rsidRPr="00EB52D6">
        <w:rPr>
          <w:bCs/>
          <w:bdr w:val="none" w:sz="0" w:space="0" w:color="auto" w:frame="1"/>
        </w:rPr>
        <w:t>estates</w:t>
      </w:r>
      <w:r w:rsidRPr="00EB52D6">
        <w:t>—yet another state in which the surviving spouse dies includes the trust property in that surviving spouse's taxable </w:t>
      </w:r>
      <w:r w:rsidRPr="00EB52D6">
        <w:rPr>
          <w:bCs/>
          <w:bdr w:val="none" w:sz="0" w:space="0" w:color="auto" w:frame="1"/>
        </w:rPr>
        <w:t>estate</w:t>
      </w:r>
      <w:r w:rsidRPr="00EB52D6">
        <w:t>. That difference in outcome is simply the result of permissible differences in the tax laws of the states that are involved, not a violation of the Due Process Clause.</w:t>
      </w:r>
    </w:p>
    <w:p w:rsidR="00CC1318" w:rsidRPr="00EB52D6" w:rsidRDefault="00CC1318" w:rsidP="00EB52D6">
      <w:pPr>
        <w:pStyle w:val="QS10"/>
      </w:pPr>
      <w:r w:rsidRPr="00EB52D6">
        <w:t>Plaintiff also suggests that Oregon's inclusion of the trust assets in </w:t>
      </w:r>
      <w:r w:rsidRPr="00EB52D6">
        <w:rPr>
          <w:bCs/>
          <w:bdr w:val="none" w:sz="0" w:space="0" w:color="auto" w:frame="1"/>
        </w:rPr>
        <w:t>Evans's</w:t>
      </w:r>
      <w:r w:rsidRPr="00EB52D6">
        <w:t> Oregon </w:t>
      </w:r>
      <w:r w:rsidRPr="00EB52D6">
        <w:rPr>
          <w:bCs/>
          <w:bdr w:val="none" w:sz="0" w:space="0" w:color="auto" w:frame="1"/>
        </w:rPr>
        <w:t>estate</w:t>
      </w:r>
      <w:r w:rsidRPr="00EB52D6">
        <w:t> is unfair in the sense of being caused by an unforeseen and arbitrary event—plaintiff's relocation to and death in Oregon, a state that has an</w:t>
      </w:r>
      <w:r w:rsidR="00EB52D6">
        <w:t xml:space="preserve"> </w:t>
      </w:r>
      <w:r w:rsidRPr="00EB52D6">
        <w:rPr>
          <w:bCs/>
          <w:bdr w:val="none" w:sz="0" w:space="0" w:color="auto" w:frame="1"/>
        </w:rPr>
        <w:t>estate</w:t>
      </w:r>
      <w:r w:rsidR="00EB52D6">
        <w:rPr>
          <w:bCs/>
          <w:bdr w:val="none" w:sz="0" w:space="0" w:color="auto" w:frame="1"/>
        </w:rPr>
        <w:t xml:space="preserve"> </w:t>
      </w:r>
      <w:r w:rsidRPr="00EB52D6">
        <w:t>tax and that bases that</w:t>
      </w:r>
      <w:r w:rsidR="00EB52D6">
        <w:t xml:space="preserve"> </w:t>
      </w:r>
      <w:r w:rsidRPr="00EB52D6">
        <w:rPr>
          <w:bCs/>
          <w:bdr w:val="none" w:sz="0" w:space="0" w:color="auto" w:frame="1"/>
        </w:rPr>
        <w:t>estate</w:t>
      </w:r>
      <w:r w:rsidR="00EB52D6">
        <w:rPr>
          <w:bCs/>
          <w:bdr w:val="none" w:sz="0" w:space="0" w:color="auto" w:frame="1"/>
        </w:rPr>
        <w:t xml:space="preserve"> </w:t>
      </w:r>
      <w:r w:rsidRPr="00EB52D6">
        <w:t>tax on the value of the decedent's</w:t>
      </w:r>
      <w:r w:rsidR="00EB52D6">
        <w:t xml:space="preserve"> </w:t>
      </w:r>
      <w:r w:rsidRPr="00EB52D6">
        <w:rPr>
          <w:rStyle w:val="Emphasis"/>
          <w:color w:val="000000" w:themeColor="text1"/>
          <w:szCs w:val="20"/>
          <w:bdr w:val="none" w:sz="0" w:space="0" w:color="auto" w:frame="1"/>
        </w:rPr>
        <w:t>federal</w:t>
      </w:r>
      <w:r w:rsidR="00EB52D6">
        <w:rPr>
          <w:rStyle w:val="Emphasis"/>
          <w:color w:val="000000" w:themeColor="text1"/>
          <w:szCs w:val="20"/>
          <w:bdr w:val="none" w:sz="0" w:space="0" w:color="auto" w:frame="1"/>
        </w:rPr>
        <w:t xml:space="preserve"> </w:t>
      </w:r>
      <w:r w:rsidRPr="00EB52D6">
        <w:t>taxable</w:t>
      </w:r>
      <w:r w:rsidR="00EB52D6">
        <w:t xml:space="preserve"> </w:t>
      </w:r>
      <w:r w:rsidRPr="00EB52D6">
        <w:rPr>
          <w:bCs/>
          <w:bdr w:val="none" w:sz="0" w:space="0" w:color="auto" w:frame="1"/>
        </w:rPr>
        <w:t>estate</w:t>
      </w:r>
      <w:r w:rsidRPr="00EB52D6">
        <w:t>. But, as the</w:t>
      </w:r>
      <w:r w:rsidR="00EB52D6">
        <w:t xml:space="preserve"> </w:t>
      </w:r>
      <w:r w:rsidRPr="00EB52D6">
        <w:rPr>
          <w:bCs/>
          <w:bdr w:val="none" w:sz="0" w:space="0" w:color="auto" w:frame="1"/>
        </w:rPr>
        <w:t>department</w:t>
      </w:r>
      <w:r w:rsidR="00EB52D6">
        <w:rPr>
          <w:bCs/>
          <w:bdr w:val="none" w:sz="0" w:space="0" w:color="auto" w:frame="1"/>
        </w:rPr>
        <w:t xml:space="preserve"> </w:t>
      </w:r>
      <w:r w:rsidRPr="00EB52D6">
        <w:t>points out, the possibility of incurring additional tax liability depending on where</w:t>
      </w:r>
      <w:r w:rsidR="00EB52D6">
        <w:t xml:space="preserve"> </w:t>
      </w:r>
      <w:r w:rsidRPr="00EB52D6">
        <w:rPr>
          <w:bCs/>
          <w:bdr w:val="none" w:sz="0" w:space="0" w:color="auto" w:frame="1"/>
        </w:rPr>
        <w:t>Evans</w:t>
      </w:r>
      <w:r w:rsidR="00EB52D6">
        <w:rPr>
          <w:bCs/>
          <w:bdr w:val="none" w:sz="0" w:space="0" w:color="auto" w:frame="1"/>
        </w:rPr>
        <w:t xml:space="preserve"> </w:t>
      </w:r>
      <w:r w:rsidRPr="00EB52D6">
        <w:t>chose to reside was inherent in the election to designate the assets of the Gillam Trust as QTIP and a risk that Gillam's executor knowingly took when he made that election. Evidence of that fact is in Article Fifth of Gillam's modified will, which, in conjunction with authorizing the QTIP election, directs that, upon </w:t>
      </w:r>
      <w:r w:rsidRPr="00EB52D6">
        <w:rPr>
          <w:bCs/>
          <w:bdr w:val="none" w:sz="0" w:space="0" w:color="auto" w:frame="1"/>
        </w:rPr>
        <w:t>Evans's</w:t>
      </w:r>
      <w:r w:rsidRPr="00EB52D6">
        <w:t> death, the trustee of the Gillam Trust shall pay over to the legal representative of her </w:t>
      </w:r>
      <w:r w:rsidRPr="00EB52D6">
        <w:rPr>
          <w:bCs/>
          <w:bdr w:val="none" w:sz="0" w:space="0" w:color="auto" w:frame="1"/>
        </w:rPr>
        <w:t>estate</w:t>
      </w:r>
      <w:r w:rsidRPr="00EB52D6">
        <w:t> such amounts as the trustee shall determine for the payment of “federal and state death taxes *** imposed </w:t>
      </w:r>
      <w:r w:rsidRPr="00EB52D6">
        <w:rPr>
          <w:rStyle w:val="Emphasis"/>
          <w:color w:val="000000" w:themeColor="text1"/>
          <w:szCs w:val="20"/>
          <w:bdr w:val="none" w:sz="0" w:space="0" w:color="auto" w:frame="1"/>
        </w:rPr>
        <w:t>by any jurisdiction</w:t>
      </w:r>
      <w:r w:rsidRPr="00EB52D6">
        <w:t> by reason of [</w:t>
      </w:r>
      <w:r w:rsidRPr="00EB52D6">
        <w:rPr>
          <w:bCs/>
          <w:bdr w:val="none" w:sz="0" w:space="0" w:color="auto" w:frame="1"/>
        </w:rPr>
        <w:t>Evans's</w:t>
      </w:r>
      <w:r w:rsidRPr="00EB52D6">
        <w:t>] death and with respect to any property included in this trust.” (Emphasis added.) Moreover, </w:t>
      </w:r>
      <w:r w:rsidRPr="00EB52D6">
        <w:rPr>
          <w:bCs/>
          <w:bdr w:val="none" w:sz="0" w:space="0" w:color="auto" w:frame="1"/>
        </w:rPr>
        <w:t>Evans's</w:t>
      </w:r>
      <w:r w:rsidRPr="00EB52D6">
        <w:t> move to Oregon was quite the opposite of unforeseen: She moved to Oregon a month before Gillam died, and many months before Gillam's executor even began the process of modifying Gillam's will to allow the QTIP election.</w:t>
      </w:r>
    </w:p>
    <w:p w:rsidR="00CC1318" w:rsidRPr="00EB52D6" w:rsidRDefault="00CC1318" w:rsidP="00EB52D6">
      <w:pPr>
        <w:pStyle w:val="QS10"/>
      </w:pPr>
      <w:r w:rsidRPr="00EB52D6">
        <w:t>We are persuaded, in fact, that Oregon's inclusion of the assets of the Gillam Trust in </w:t>
      </w:r>
      <w:r w:rsidRPr="00EB52D6">
        <w:rPr>
          <w:bCs/>
          <w:bdr w:val="none" w:sz="0" w:space="0" w:color="auto" w:frame="1"/>
        </w:rPr>
        <w:t>Evans's</w:t>
      </w:r>
      <w:r w:rsidRPr="00EB52D6">
        <w:t> Oregon </w:t>
      </w:r>
      <w:r w:rsidRPr="00EB52D6">
        <w:rPr>
          <w:bCs/>
          <w:bdr w:val="none" w:sz="0" w:space="0" w:color="auto" w:frame="1"/>
        </w:rPr>
        <w:t>estate</w:t>
      </w:r>
      <w:r w:rsidRPr="00EB52D6">
        <w:t xml:space="preserve"> should be considered fair precisely because of the choice by Gillam's executor to </w:t>
      </w:r>
      <w:r w:rsidR="00406151">
        <w:t xml:space="preserve">designate those assets as QTIP. </w:t>
      </w:r>
      <w:r w:rsidRPr="00EB52D6">
        <w:t>Our conclusion that </w:t>
      </w:r>
      <w:r w:rsidRPr="00EB52D6">
        <w:rPr>
          <w:bCs/>
          <w:bdr w:val="none" w:sz="0" w:space="0" w:color="auto" w:frame="1"/>
        </w:rPr>
        <w:t>Evans's</w:t>
      </w:r>
      <w:r w:rsidRPr="00EB52D6">
        <w:t> interests in the assets of the trust were such that Oregon's imposition of its </w:t>
      </w:r>
      <w:r w:rsidRPr="00EB52D6">
        <w:rPr>
          <w:bCs/>
          <w:bdr w:val="none" w:sz="0" w:space="0" w:color="auto" w:frame="1"/>
        </w:rPr>
        <w:t>estate</w:t>
      </w:r>
      <w:r w:rsidRPr="00EB52D6">
        <w:t> tax on those assets does not offend due process draws on the specific context of </w:t>
      </w:r>
      <w:r w:rsidRPr="00EB52D6">
        <w:rPr>
          <w:bdr w:val="none" w:sz="0" w:space="0" w:color="auto" w:frame="1"/>
        </w:rPr>
        <w:t>ORS 118.005(7)</w:t>
      </w:r>
      <w:r w:rsidRPr="00EB52D6">
        <w:t>, which bases Oregon's </w:t>
      </w:r>
      <w:r w:rsidRPr="00EB52D6">
        <w:rPr>
          <w:bCs/>
          <w:bdr w:val="none" w:sz="0" w:space="0" w:color="auto" w:frame="1"/>
        </w:rPr>
        <w:t>estate</w:t>
      </w:r>
      <w:r w:rsidRPr="00EB52D6">
        <w:t> tax on the value of a decedent's federal </w:t>
      </w:r>
      <w:r w:rsidRPr="00EB52D6">
        <w:rPr>
          <w:bCs/>
          <w:bdr w:val="none" w:sz="0" w:space="0" w:color="auto" w:frame="1"/>
        </w:rPr>
        <w:t>estate</w:t>
      </w:r>
      <w:r w:rsidRPr="00EB52D6">
        <w:t>; a QTIP election that resulted in a reduction to Gillam's federal </w:t>
      </w:r>
      <w:r w:rsidRPr="00EB52D6">
        <w:rPr>
          <w:bCs/>
          <w:bdr w:val="none" w:sz="0" w:space="0" w:color="auto" w:frame="1"/>
        </w:rPr>
        <w:t>estate</w:t>
      </w:r>
      <w:r w:rsidRPr="00EB52D6">
        <w:t> in exchange for a subsequent increase in </w:t>
      </w:r>
      <w:r w:rsidRPr="00EB52D6">
        <w:rPr>
          <w:bCs/>
          <w:bdr w:val="none" w:sz="0" w:space="0" w:color="auto" w:frame="1"/>
        </w:rPr>
        <w:t>Evans's</w:t>
      </w:r>
      <w:r w:rsidRPr="00EB52D6">
        <w:t> federal </w:t>
      </w:r>
      <w:r w:rsidRPr="00EB52D6">
        <w:rPr>
          <w:bCs/>
          <w:bdr w:val="none" w:sz="0" w:space="0" w:color="auto" w:frame="1"/>
        </w:rPr>
        <w:t>estate</w:t>
      </w:r>
      <w:r w:rsidRPr="00EB52D6">
        <w:t>; and an agreement that the trust—not </w:t>
      </w:r>
      <w:r w:rsidRPr="00EB52D6">
        <w:rPr>
          <w:bCs/>
          <w:bdr w:val="none" w:sz="0" w:space="0" w:color="auto" w:frame="1"/>
        </w:rPr>
        <w:t>Evans's</w:t>
      </w:r>
      <w:r w:rsidRPr="00EB52D6">
        <w:t> heirs—would be liable for any resulting increase in </w:t>
      </w:r>
      <w:r w:rsidRPr="00EB52D6">
        <w:rPr>
          <w:bCs/>
          <w:bdr w:val="none" w:sz="0" w:space="0" w:color="auto" w:frame="1"/>
        </w:rPr>
        <w:t>Evans's</w:t>
      </w:r>
      <w:r w:rsidRPr="00EB52D6">
        <w:t> federal and state </w:t>
      </w:r>
      <w:r w:rsidRPr="00EB52D6">
        <w:rPr>
          <w:bCs/>
          <w:bdr w:val="none" w:sz="0" w:space="0" w:color="auto" w:frame="1"/>
        </w:rPr>
        <w:t>estate</w:t>
      </w:r>
      <w:r w:rsidRPr="00EB52D6">
        <w:t> taxes.</w:t>
      </w:r>
    </w:p>
    <w:p w:rsidR="00F45ECA" w:rsidRDefault="00CA4F25" w:rsidP="00F45ECA">
      <w:pPr>
        <w:pStyle w:val="Body15"/>
        <w:rPr>
          <w:szCs w:val="20"/>
        </w:rPr>
      </w:pPr>
      <w:r>
        <w:rPr>
          <w:szCs w:val="20"/>
        </w:rPr>
        <w:t xml:space="preserve">Much of the argument was over the application of the </w:t>
      </w:r>
      <w:r>
        <w:rPr>
          <w:szCs w:val="20"/>
          <w:u w:val="single"/>
        </w:rPr>
        <w:t>Kaestner</w:t>
      </w:r>
      <w:r>
        <w:rPr>
          <w:szCs w:val="20"/>
        </w:rPr>
        <w:t xml:space="preserve"> income tax case, and three 80 year old cases dealing with state taxation of trusts.  The discussion is interesting:</w:t>
      </w:r>
    </w:p>
    <w:p w:rsidR="00CA4F25" w:rsidRPr="00CC1318" w:rsidRDefault="00CA4F25" w:rsidP="00CA4F25">
      <w:pPr>
        <w:pStyle w:val="QS10"/>
        <w:rPr>
          <w:color w:val="000000" w:themeColor="text1"/>
          <w:szCs w:val="20"/>
        </w:rPr>
      </w:pPr>
      <w:r w:rsidRPr="00CC1318">
        <w:rPr>
          <w:rStyle w:val="Emphasis"/>
          <w:color w:val="000000" w:themeColor="text1"/>
          <w:szCs w:val="20"/>
          <w:bdr w:val="none" w:sz="0" w:space="0" w:color="auto" w:frame="1"/>
        </w:rPr>
        <w:t>Kaestner</w:t>
      </w:r>
      <w:r w:rsidRPr="00CC1318">
        <w:rPr>
          <w:color w:val="000000" w:themeColor="text1"/>
          <w:szCs w:val="20"/>
        </w:rPr>
        <w:t> is only a starting point, however. Although it sets out a general rule requiring that an in-state trust beneficiary “have some degree of possession, control or enjoyment of the trust property or a right to receive that property” before the state can tax that property, it does not explore what might qualify as “some degree.” The parties point to much earlier Supreme Court cases as sources of additional guidance regarding what it means for a resident of a state to have had “some degree of possession, control or enjoyment” of intangible trust assets such that, upon their death, those trust assets may be taxed as part of their </w:t>
      </w:r>
      <w:r w:rsidRPr="00CC1318">
        <w:rPr>
          <w:bCs/>
          <w:color w:val="000000" w:themeColor="text1"/>
          <w:szCs w:val="20"/>
          <w:bdr w:val="none" w:sz="0" w:space="0" w:color="auto" w:frame="1"/>
        </w:rPr>
        <w:t>estate</w:t>
      </w:r>
      <w:r w:rsidRPr="00CC1318">
        <w:rPr>
          <w:color w:val="000000" w:themeColor="text1"/>
          <w:szCs w:val="20"/>
        </w:rPr>
        <w:t>. The parties focus their arguments on three </w:t>
      </w:r>
      <w:r w:rsidRPr="00CC1318">
        <w:rPr>
          <w:bCs/>
          <w:color w:val="000000" w:themeColor="text1"/>
          <w:szCs w:val="20"/>
          <w:bdr w:val="none" w:sz="0" w:space="0" w:color="auto" w:frame="1"/>
        </w:rPr>
        <w:t>estate</w:t>
      </w:r>
      <w:r w:rsidRPr="00CC1318">
        <w:rPr>
          <w:color w:val="000000" w:themeColor="text1"/>
          <w:szCs w:val="20"/>
        </w:rPr>
        <w:t> tax cases, all decided within a two-year period some eighty years ago—</w:t>
      </w:r>
      <w:r w:rsidRPr="00CC1318">
        <w:rPr>
          <w:rStyle w:val="Emphasis"/>
          <w:color w:val="000000" w:themeColor="text1"/>
          <w:szCs w:val="20"/>
          <w:bdr w:val="none" w:sz="0" w:space="0" w:color="auto" w:frame="1"/>
        </w:rPr>
        <w:t>Curry</w:t>
      </w:r>
      <w:r w:rsidRPr="00CC1318">
        <w:rPr>
          <w:color w:val="000000" w:themeColor="text1"/>
          <w:szCs w:val="20"/>
          <w:bdr w:val="none" w:sz="0" w:space="0" w:color="auto" w:frame="1"/>
        </w:rPr>
        <w:t>, 307 U.S. 357, 59 S.Ct. 900, 83 L.Ed. 1339</w:t>
      </w:r>
      <w:r w:rsidRPr="00CC1318">
        <w:rPr>
          <w:color w:val="000000" w:themeColor="text1"/>
          <w:szCs w:val="20"/>
        </w:rPr>
        <w:t>, </w:t>
      </w:r>
      <w:r w:rsidRPr="00CC1318">
        <w:rPr>
          <w:rStyle w:val="Emphasis"/>
          <w:color w:val="000000" w:themeColor="text1"/>
          <w:szCs w:val="20"/>
          <w:bdr w:val="none" w:sz="0" w:space="0" w:color="auto" w:frame="1"/>
        </w:rPr>
        <w:t>Graves v. Elliott</w:t>
      </w:r>
      <w:r w:rsidRPr="00CC1318">
        <w:rPr>
          <w:color w:val="000000" w:themeColor="text1"/>
          <w:szCs w:val="20"/>
          <w:bdr w:val="none" w:sz="0" w:space="0" w:color="auto" w:frame="1"/>
        </w:rPr>
        <w:t>, 307 U.S. 383, 59 S Ct 913, 83 L Ed 1356 (1939)</w:t>
      </w:r>
      <w:r w:rsidRPr="00CC1318">
        <w:rPr>
          <w:color w:val="000000" w:themeColor="text1"/>
          <w:szCs w:val="20"/>
        </w:rPr>
        <w:t>, and </w:t>
      </w:r>
      <w:r w:rsidRPr="00CC1318">
        <w:rPr>
          <w:rStyle w:val="Emphasis"/>
          <w:color w:val="000000" w:themeColor="text1"/>
          <w:szCs w:val="20"/>
          <w:bdr w:val="none" w:sz="0" w:space="0" w:color="auto" w:frame="1"/>
        </w:rPr>
        <w:t>Whitney</w:t>
      </w:r>
      <w:r w:rsidRPr="00CC1318">
        <w:rPr>
          <w:color w:val="000000" w:themeColor="text1"/>
          <w:szCs w:val="20"/>
          <w:bdr w:val="none" w:sz="0" w:space="0" w:color="auto" w:frame="1"/>
        </w:rPr>
        <w:t>, 309 U.S. 530, 60 S.Ct. 635, 84 L.Ed. 909</w:t>
      </w:r>
      <w:r w:rsidRPr="00CC1318">
        <w:rPr>
          <w:color w:val="000000" w:themeColor="text1"/>
          <w:szCs w:val="20"/>
        </w:rPr>
        <w:t>.</w:t>
      </w:r>
    </w:p>
    <w:p w:rsidR="00CA4F25" w:rsidRPr="00CC1318" w:rsidRDefault="00CA4F25" w:rsidP="00CA4F25">
      <w:pPr>
        <w:pStyle w:val="QS10"/>
        <w:rPr>
          <w:color w:val="000000" w:themeColor="text1"/>
          <w:szCs w:val="20"/>
        </w:rPr>
      </w:pPr>
      <w:r w:rsidRPr="00CC1318">
        <w:rPr>
          <w:color w:val="000000" w:themeColor="text1"/>
          <w:szCs w:val="20"/>
        </w:rPr>
        <w:t>In the first case, </w:t>
      </w:r>
      <w:hyperlink r:id="rId479" w:history="1">
        <w:r w:rsidRPr="00CC1318">
          <w:rPr>
            <w:rStyle w:val="Emphasis"/>
            <w:color w:val="000000" w:themeColor="text1"/>
            <w:szCs w:val="20"/>
            <w:bdr w:val="none" w:sz="0" w:space="0" w:color="auto" w:frame="1"/>
          </w:rPr>
          <w:t>Curry</w:t>
        </w:r>
      </w:hyperlink>
      <w:r w:rsidRPr="00CC1318">
        <w:rPr>
          <w:color w:val="000000" w:themeColor="text1"/>
          <w:szCs w:val="20"/>
        </w:rPr>
        <w:t>, a resident of Tennessee had created a trust, funded by stocks and other intangibles, designating herself as the income beneficiary for life and reserving to herself certain powers, including the powers to direct the sale of the trust property and to dispose of the trust property by will. An Alabama corporation was designated as the trustee, and the trust was administered in Alabama and under the laws of that state. </w:t>
      </w:r>
      <w:r w:rsidRPr="00CC1318">
        <w:rPr>
          <w:color w:val="000000" w:themeColor="text1"/>
          <w:szCs w:val="20"/>
          <w:bdr w:val="none" w:sz="0" w:space="0" w:color="auto" w:frame="1"/>
        </w:rPr>
        <w:t>307 U.S. at 360-61, 59 S.Ct. 900</w:t>
      </w:r>
      <w:r w:rsidRPr="00CC1318">
        <w:rPr>
          <w:color w:val="000000" w:themeColor="text1"/>
          <w:szCs w:val="20"/>
        </w:rPr>
        <w:t>. In her will, the trustor bequeathed the trust property to the trustee in trust for the benefit of her husband and children. </w:t>
      </w:r>
      <w:r w:rsidRPr="00CC1318">
        <w:rPr>
          <w:rStyle w:val="Emphasis"/>
          <w:color w:val="000000" w:themeColor="text1"/>
          <w:szCs w:val="20"/>
          <w:bdr w:val="none" w:sz="0" w:space="0" w:color="auto" w:frame="1"/>
        </w:rPr>
        <w:t>Id.</w:t>
      </w:r>
      <w:r w:rsidRPr="00CC1318">
        <w:rPr>
          <w:color w:val="000000" w:themeColor="text1"/>
          <w:szCs w:val="20"/>
          <w:bdr w:val="none" w:sz="0" w:space="0" w:color="auto" w:frame="1"/>
        </w:rPr>
        <w:t> at 361, 59 S Ct 900</w:t>
      </w:r>
      <w:r w:rsidRPr="00CC1318">
        <w:rPr>
          <w:color w:val="000000" w:themeColor="text1"/>
          <w:szCs w:val="20"/>
        </w:rPr>
        <w:t>.</w:t>
      </w:r>
    </w:p>
    <w:p w:rsidR="00CA4F25" w:rsidRPr="00CC1318" w:rsidRDefault="00CA4F25" w:rsidP="00CA4F25">
      <w:pPr>
        <w:pStyle w:val="QS10"/>
        <w:rPr>
          <w:color w:val="000000" w:themeColor="text1"/>
          <w:szCs w:val="20"/>
        </w:rPr>
      </w:pPr>
      <w:r w:rsidRPr="00CC1318">
        <w:rPr>
          <w:color w:val="000000" w:themeColor="text1"/>
          <w:szCs w:val="20"/>
        </w:rPr>
        <w:t>Upon the trustor's death, Alabama and Tennessee both sought to impose an </w:t>
      </w:r>
      <w:r w:rsidRPr="00CC1318">
        <w:rPr>
          <w:bCs/>
          <w:color w:val="000000" w:themeColor="text1"/>
          <w:szCs w:val="20"/>
          <w:bdr w:val="none" w:sz="0" w:space="0" w:color="auto" w:frame="1"/>
        </w:rPr>
        <w:t>estate</w:t>
      </w:r>
      <w:r w:rsidRPr="00CC1318">
        <w:rPr>
          <w:color w:val="000000" w:themeColor="text1"/>
          <w:szCs w:val="20"/>
        </w:rPr>
        <w:t> tax on the trust property, and the trustor's executors in Tennessee sought a declaratory judgment in the Tennessee courts as to the two states’ authority in that regard. </w:t>
      </w:r>
      <w:r w:rsidRPr="00CC1318">
        <w:rPr>
          <w:rStyle w:val="Emphasis"/>
          <w:color w:val="000000" w:themeColor="text1"/>
          <w:szCs w:val="20"/>
          <w:bdr w:val="none" w:sz="0" w:space="0" w:color="auto" w:frame="1"/>
        </w:rPr>
        <w:t>Id.</w:t>
      </w:r>
      <w:r w:rsidRPr="00CC1318">
        <w:rPr>
          <w:color w:val="000000" w:themeColor="text1"/>
          <w:szCs w:val="20"/>
          <w:bdr w:val="none" w:sz="0" w:space="0" w:color="auto" w:frame="1"/>
        </w:rPr>
        <w:t> at 361-62, 59 S Ct 900</w:t>
      </w:r>
      <w:r w:rsidRPr="00CC1318">
        <w:rPr>
          <w:color w:val="000000" w:themeColor="text1"/>
          <w:szCs w:val="20"/>
        </w:rPr>
        <w:t>. On appeal from a Tennessee Supreme Court decision holding that only Tennessee could impose its tax, the United States Supreme Court reversed, holding that both states could impose their transfer taxes consistently with due process. The Court reasoned that Alabama could do so by virtue of the fact that an Alabama trustee had legal ownership of the intangible property, the beneficial interest in which was transferred upon the trustor's death, </w:t>
      </w:r>
      <w:r w:rsidRPr="00CC1318">
        <w:rPr>
          <w:rStyle w:val="Emphasis"/>
          <w:color w:val="000000" w:themeColor="text1"/>
          <w:szCs w:val="20"/>
          <w:bdr w:val="none" w:sz="0" w:space="0" w:color="auto" w:frame="1"/>
        </w:rPr>
        <w:t>id.</w:t>
      </w:r>
      <w:r w:rsidRPr="00CC1318">
        <w:rPr>
          <w:color w:val="000000" w:themeColor="text1"/>
          <w:szCs w:val="20"/>
          <w:bdr w:val="none" w:sz="0" w:space="0" w:color="auto" w:frame="1"/>
        </w:rPr>
        <w:t> at 370, 59 S Ct 900</w:t>
      </w:r>
      <w:r w:rsidRPr="00CC1318">
        <w:rPr>
          <w:color w:val="000000" w:themeColor="text1"/>
          <w:szCs w:val="20"/>
        </w:rPr>
        <w:t>, while Tennessee could do so because of the in-state residency of a decedent who, in life, had had a right to control the trust property, including by directing its disposition upon her death, </w:t>
      </w:r>
      <w:r w:rsidRPr="00CC1318">
        <w:rPr>
          <w:rStyle w:val="Emphasis"/>
          <w:color w:val="000000" w:themeColor="text1"/>
          <w:szCs w:val="20"/>
          <w:bdr w:val="none" w:sz="0" w:space="0" w:color="auto" w:frame="1"/>
        </w:rPr>
        <w:t>id.</w:t>
      </w:r>
      <w:r w:rsidRPr="00CC1318">
        <w:rPr>
          <w:color w:val="000000" w:themeColor="text1"/>
          <w:szCs w:val="20"/>
          <w:bdr w:val="none" w:sz="0" w:space="0" w:color="auto" w:frame="1"/>
        </w:rPr>
        <w:t> at 370-71, 59 S Ct 900</w:t>
      </w:r>
      <w:r w:rsidRPr="00CC1318">
        <w:rPr>
          <w:color w:val="000000" w:themeColor="text1"/>
          <w:szCs w:val="20"/>
        </w:rPr>
        <w:t>. With respect to the latter point, the Court explained:</w:t>
      </w:r>
    </w:p>
    <w:p w:rsidR="00CA4F25" w:rsidRPr="00CC1318" w:rsidRDefault="00CA4F25" w:rsidP="00CA4F25">
      <w:pPr>
        <w:pStyle w:val="QS10"/>
        <w:rPr>
          <w:color w:val="000000" w:themeColor="text1"/>
          <w:szCs w:val="20"/>
        </w:rPr>
      </w:pPr>
      <w:r w:rsidRPr="00CC1318">
        <w:rPr>
          <w:color w:val="000000" w:themeColor="text1"/>
          <w:szCs w:val="20"/>
        </w:rPr>
        <w:t>“The decedent's power to dispose of the intangibles was a potential source of wealth which was property in her hands from which she was under the highest obligation in common with her fellow citizens of Tennessee, to contribute to the support of the government whose protection she enjoyed. Exercise of that power, which was in her complete and exclusive control in Tennessee, was made a taxable event by the statutes of the state.”</w:t>
      </w:r>
    </w:p>
    <w:p w:rsidR="00CA4F25" w:rsidRPr="00CC1318" w:rsidRDefault="00EA23AC" w:rsidP="00CA4F25">
      <w:pPr>
        <w:pStyle w:val="QS10"/>
        <w:rPr>
          <w:color w:val="000000" w:themeColor="text1"/>
          <w:szCs w:val="20"/>
        </w:rPr>
      </w:pPr>
      <w:hyperlink r:id="rId480" w:history="1">
        <w:r w:rsidR="00CA4F25" w:rsidRPr="00CC1318">
          <w:rPr>
            <w:rStyle w:val="Emphasis"/>
            <w:color w:val="000000" w:themeColor="text1"/>
            <w:szCs w:val="20"/>
            <w:bdr w:val="none" w:sz="0" w:space="0" w:color="auto" w:frame="1"/>
          </w:rPr>
          <w:t>Id.</w:t>
        </w:r>
      </w:hyperlink>
      <w:r w:rsidR="00CA4F25" w:rsidRPr="00CC1318">
        <w:rPr>
          <w:color w:val="000000" w:themeColor="text1"/>
          <w:szCs w:val="20"/>
        </w:rPr>
        <w:t> The Court noted, too, that “[f]or purposes of taxation, a general power of appointment *** has hitherto been regarded by this Court as equivalent to ownership of the property subject to the power.” </w:t>
      </w:r>
      <w:r w:rsidR="00CA4F25" w:rsidRPr="00CC1318">
        <w:rPr>
          <w:rStyle w:val="Emphasis"/>
          <w:color w:val="000000" w:themeColor="text1"/>
          <w:szCs w:val="20"/>
          <w:bdr w:val="none" w:sz="0" w:space="0" w:color="auto" w:frame="1"/>
        </w:rPr>
        <w:t>Id.</w:t>
      </w:r>
      <w:r w:rsidR="00CA4F25" w:rsidRPr="00CC1318">
        <w:rPr>
          <w:color w:val="000000" w:themeColor="text1"/>
          <w:szCs w:val="20"/>
          <w:bdr w:val="none" w:sz="0" w:space="0" w:color="auto" w:frame="1"/>
        </w:rPr>
        <w:t> at 371, 59 S Ct 900</w:t>
      </w:r>
      <w:r w:rsidR="00CA4F25" w:rsidRPr="00CC1318">
        <w:rPr>
          <w:color w:val="000000" w:themeColor="text1"/>
          <w:szCs w:val="20"/>
        </w:rPr>
        <w:t>.</w:t>
      </w:r>
    </w:p>
    <w:p w:rsidR="00CA4F25" w:rsidRPr="00CC1318" w:rsidRDefault="00CA4F25" w:rsidP="00CA4F25">
      <w:pPr>
        <w:pStyle w:val="QS10"/>
        <w:rPr>
          <w:color w:val="000000" w:themeColor="text1"/>
          <w:szCs w:val="20"/>
        </w:rPr>
      </w:pPr>
      <w:r w:rsidRPr="00CC1318">
        <w:rPr>
          <w:color w:val="000000" w:themeColor="text1"/>
          <w:szCs w:val="20"/>
        </w:rPr>
        <w:t>In </w:t>
      </w:r>
      <w:r w:rsidRPr="00CC1318">
        <w:rPr>
          <w:rStyle w:val="Emphasis"/>
          <w:color w:val="000000" w:themeColor="text1"/>
          <w:szCs w:val="20"/>
          <w:bdr w:val="none" w:sz="0" w:space="0" w:color="auto" w:frame="1"/>
        </w:rPr>
        <w:t>Graves</w:t>
      </w:r>
      <w:r w:rsidRPr="00CC1318">
        <w:rPr>
          <w:color w:val="000000" w:themeColor="text1"/>
          <w:szCs w:val="20"/>
        </w:rPr>
        <w:t>, the Court reinforced its holding in </w:t>
      </w:r>
      <w:r w:rsidRPr="00CC1318">
        <w:rPr>
          <w:rStyle w:val="Emphasis"/>
          <w:color w:val="000000" w:themeColor="text1"/>
          <w:szCs w:val="20"/>
          <w:bdr w:val="none" w:sz="0" w:space="0" w:color="auto" w:frame="1"/>
        </w:rPr>
        <w:t>Curry</w:t>
      </w:r>
      <w:r w:rsidRPr="00CC1318">
        <w:rPr>
          <w:color w:val="000000" w:themeColor="text1"/>
          <w:szCs w:val="20"/>
        </w:rPr>
        <w:t> and clarified that the significance of the power to dispose of intangible property was not limited to an </w:t>
      </w:r>
      <w:r w:rsidRPr="00CC1318">
        <w:rPr>
          <w:rStyle w:val="Emphasis"/>
          <w:color w:val="000000" w:themeColor="text1"/>
          <w:szCs w:val="20"/>
          <w:bdr w:val="none" w:sz="0" w:space="0" w:color="auto" w:frame="1"/>
        </w:rPr>
        <w:t>exercise</w:t>
      </w:r>
      <w:r w:rsidRPr="00CC1318">
        <w:rPr>
          <w:color w:val="000000" w:themeColor="text1"/>
          <w:szCs w:val="20"/>
        </w:rPr>
        <w:t> of that power but extended also to a relinquishment of such power at death, through a failure to exercise it in life. The trust at issue in </w:t>
      </w:r>
      <w:r w:rsidRPr="00CC1318">
        <w:rPr>
          <w:rStyle w:val="Emphasis"/>
          <w:color w:val="000000" w:themeColor="text1"/>
          <w:szCs w:val="20"/>
          <w:bdr w:val="none" w:sz="0" w:space="0" w:color="auto" w:frame="1"/>
        </w:rPr>
        <w:t>Graves</w:t>
      </w:r>
      <w:r w:rsidRPr="00CC1318">
        <w:rPr>
          <w:color w:val="000000" w:themeColor="text1"/>
          <w:szCs w:val="20"/>
        </w:rPr>
        <w:t> was created by a New York resident who, during her lifetime, had transferred certain intangible property to a bank in Colorado to be held in trust. </w:t>
      </w:r>
      <w:r w:rsidRPr="00CC1318">
        <w:rPr>
          <w:color w:val="000000" w:themeColor="text1"/>
          <w:szCs w:val="20"/>
          <w:bdr w:val="none" w:sz="0" w:space="0" w:color="auto" w:frame="1"/>
        </w:rPr>
        <w:t>307 U.S. at 384-85, 59 S.Ct. 913</w:t>
      </w:r>
      <w:r w:rsidRPr="00CC1318">
        <w:rPr>
          <w:color w:val="000000" w:themeColor="text1"/>
          <w:szCs w:val="20"/>
        </w:rPr>
        <w:t>. The trust agreement provided that the trustee was to pay the income from the trust to the decedent's daughter for life and, thereafter, to the daughter's children until they reached a certain age, at which point the children were to receive a proportionate share of the trust principal. The decedent had reserved to herself the right to remove the trustee, change the trust beneficiaries, or revoke the trust and revest title to the property in herself at any point during her lifetime. </w:t>
      </w:r>
      <w:r w:rsidRPr="00CC1318">
        <w:rPr>
          <w:rStyle w:val="Emphasis"/>
          <w:color w:val="000000" w:themeColor="text1"/>
          <w:szCs w:val="20"/>
          <w:bdr w:val="none" w:sz="0" w:space="0" w:color="auto" w:frame="1"/>
        </w:rPr>
        <w:t>Id.</w:t>
      </w:r>
    </w:p>
    <w:p w:rsidR="00CA4F25" w:rsidRPr="00CC1318" w:rsidRDefault="00CA4F25" w:rsidP="00CA4F25">
      <w:pPr>
        <w:pStyle w:val="QS10"/>
        <w:rPr>
          <w:color w:val="000000" w:themeColor="text1"/>
          <w:szCs w:val="20"/>
        </w:rPr>
      </w:pPr>
      <w:r w:rsidRPr="00CC1318">
        <w:rPr>
          <w:color w:val="000000" w:themeColor="text1"/>
          <w:szCs w:val="20"/>
        </w:rPr>
        <w:t>When the decedent died—without exercising any of those reserved rights—New York tax authorities included the intangible property held in the Colorado trust in its assessment of decedent's New York </w:t>
      </w:r>
      <w:r w:rsidRPr="00CC1318">
        <w:rPr>
          <w:bCs/>
          <w:color w:val="000000" w:themeColor="text1"/>
          <w:szCs w:val="20"/>
          <w:bdr w:val="none" w:sz="0" w:space="0" w:color="auto" w:frame="1"/>
        </w:rPr>
        <w:t>estate</w:t>
      </w:r>
      <w:r w:rsidRPr="00CC1318">
        <w:rPr>
          <w:color w:val="000000" w:themeColor="text1"/>
          <w:szCs w:val="20"/>
        </w:rPr>
        <w:t>, but the New York Court of Appeals held that inclusion of that property infringed due process. </w:t>
      </w:r>
      <w:r w:rsidRPr="00CC1318">
        <w:rPr>
          <w:rStyle w:val="Emphasis"/>
          <w:color w:val="000000" w:themeColor="text1"/>
          <w:szCs w:val="20"/>
          <w:bdr w:val="none" w:sz="0" w:space="0" w:color="auto" w:frame="1"/>
        </w:rPr>
        <w:t>Id</w:t>
      </w:r>
      <w:r w:rsidRPr="00CC1318">
        <w:rPr>
          <w:color w:val="000000" w:themeColor="text1"/>
          <w:szCs w:val="20"/>
          <w:bdr w:val="none" w:sz="0" w:space="0" w:color="auto" w:frame="1"/>
        </w:rPr>
        <w:t>. at 385-86, 59 S Ct 913</w:t>
      </w:r>
      <w:r w:rsidRPr="00CC1318">
        <w:rPr>
          <w:color w:val="000000" w:themeColor="text1"/>
          <w:szCs w:val="20"/>
        </w:rPr>
        <w:t>. The Supreme Court reversed, emphasizing as it had in </w:t>
      </w:r>
      <w:r w:rsidRPr="00CC1318">
        <w:rPr>
          <w:rStyle w:val="Emphasis"/>
          <w:color w:val="000000" w:themeColor="text1"/>
          <w:szCs w:val="20"/>
          <w:bdr w:val="none" w:sz="0" w:space="0" w:color="auto" w:frame="1"/>
        </w:rPr>
        <w:t>Curry</w:t>
      </w:r>
      <w:r w:rsidRPr="00CC1318">
        <w:rPr>
          <w:color w:val="000000" w:themeColor="text1"/>
          <w:szCs w:val="20"/>
        </w:rPr>
        <w:t> that “the power of disposition of property is the equivalent of ownership. It is a potential source of wealth and its exercise in the case of intangibles is the appropriate subject of taxation at the place of the domicile of the owner of the power.” </w:t>
      </w:r>
      <w:r w:rsidRPr="00CC1318">
        <w:rPr>
          <w:rStyle w:val="Emphasis"/>
          <w:color w:val="000000" w:themeColor="text1"/>
          <w:szCs w:val="20"/>
          <w:bdr w:val="none" w:sz="0" w:space="0" w:color="auto" w:frame="1"/>
        </w:rPr>
        <w:t>Id.</w:t>
      </w:r>
      <w:r w:rsidRPr="00CC1318">
        <w:rPr>
          <w:color w:val="000000" w:themeColor="text1"/>
          <w:szCs w:val="20"/>
          <w:bdr w:val="none" w:sz="0" w:space="0" w:color="auto" w:frame="1"/>
        </w:rPr>
        <w:t> at 386, 59 S Ct 913</w:t>
      </w:r>
      <w:r w:rsidRPr="00CC1318">
        <w:rPr>
          <w:color w:val="000000" w:themeColor="text1"/>
          <w:szCs w:val="20"/>
        </w:rPr>
        <w:t>. As a result, “[t]he relinquishment at death, in consequence of the non-exercise in life, of a power to revoke a trust created by a decedent is likewise an appropriate subject of taxation.” </w:t>
      </w:r>
      <w:r w:rsidRPr="00CC1318">
        <w:rPr>
          <w:rStyle w:val="Emphasis"/>
          <w:color w:val="000000" w:themeColor="text1"/>
          <w:szCs w:val="20"/>
          <w:bdr w:val="none" w:sz="0" w:space="0" w:color="auto" w:frame="1"/>
        </w:rPr>
        <w:t>Id.</w:t>
      </w:r>
      <w:r w:rsidRPr="00CC1318">
        <w:rPr>
          <w:color w:val="000000" w:themeColor="text1"/>
          <w:szCs w:val="20"/>
        </w:rPr>
        <w:t> Relying on its reasoning in </w:t>
      </w:r>
      <w:r w:rsidRPr="00CC1318">
        <w:rPr>
          <w:rStyle w:val="Emphasis"/>
          <w:color w:val="000000" w:themeColor="text1"/>
          <w:szCs w:val="20"/>
          <w:bdr w:val="none" w:sz="0" w:space="0" w:color="auto" w:frame="1"/>
        </w:rPr>
        <w:t>Curry</w:t>
      </w:r>
      <w:r w:rsidRPr="00CC1318">
        <w:rPr>
          <w:color w:val="000000" w:themeColor="text1"/>
          <w:szCs w:val="20"/>
        </w:rPr>
        <w:t>, the Court concluded:</w:t>
      </w:r>
    </w:p>
    <w:p w:rsidR="00CA4F25" w:rsidRPr="00CC1318" w:rsidRDefault="00CA4F25" w:rsidP="00CA4F25">
      <w:pPr>
        <w:pStyle w:val="QS10"/>
        <w:rPr>
          <w:color w:val="000000" w:themeColor="text1"/>
          <w:szCs w:val="20"/>
        </w:rPr>
      </w:pPr>
      <w:r w:rsidRPr="00CC1318">
        <w:rPr>
          <w:color w:val="000000" w:themeColor="text1"/>
          <w:szCs w:val="20"/>
        </w:rPr>
        <w:t>“[W]e cannot say that the legal interest of decedent in the intangibles held in trust in Colorado was so dissociated from her person as to be beyond the taxing jurisdiction of the state of her domicile more than her other rights in intangibles. Her right to revoke the trust and to demand the transmission to her of the intangibles by the trustee and the delivery to her of their physical evidences was a potential source of wealth, having the attributes of property. As in the case of any other intangibles which she possessed, control over her person and </w:t>
      </w:r>
      <w:r w:rsidRPr="00CC1318">
        <w:rPr>
          <w:bCs/>
          <w:color w:val="000000" w:themeColor="text1"/>
          <w:szCs w:val="20"/>
          <w:bdr w:val="none" w:sz="0" w:space="0" w:color="auto" w:frame="1"/>
        </w:rPr>
        <w:t>estate</w:t>
      </w:r>
      <w:r w:rsidRPr="00CC1318">
        <w:rPr>
          <w:color w:val="000000" w:themeColor="text1"/>
          <w:szCs w:val="20"/>
        </w:rPr>
        <w:t> at the place of her domicile and her duty to contribute to the support of government there afford adequate constitutional bases for imposition of a tax measured by the value of the intangibles transmitted or relinquished by her at death.”</w:t>
      </w:r>
    </w:p>
    <w:p w:rsidR="00CA4F25" w:rsidRPr="00CC1318" w:rsidRDefault="00CA4F25" w:rsidP="00CA4F25">
      <w:pPr>
        <w:pStyle w:val="QS10"/>
        <w:rPr>
          <w:color w:val="000000" w:themeColor="text1"/>
          <w:szCs w:val="20"/>
        </w:rPr>
      </w:pPr>
      <w:r w:rsidRPr="00CC1318">
        <w:rPr>
          <w:rStyle w:val="Emphasis"/>
          <w:color w:val="000000" w:themeColor="text1"/>
          <w:szCs w:val="20"/>
          <w:bdr w:val="none" w:sz="0" w:space="0" w:color="auto" w:frame="1"/>
        </w:rPr>
        <w:t>Id.</w:t>
      </w:r>
      <w:r w:rsidRPr="00CC1318">
        <w:rPr>
          <w:color w:val="000000" w:themeColor="text1"/>
          <w:szCs w:val="20"/>
          <w:bdr w:val="none" w:sz="0" w:space="0" w:color="auto" w:frame="1"/>
        </w:rPr>
        <w:t> at 386-87, 59 S.Ct. 913</w:t>
      </w:r>
      <w:r w:rsidRPr="00CC1318">
        <w:rPr>
          <w:color w:val="000000" w:themeColor="text1"/>
          <w:szCs w:val="20"/>
        </w:rPr>
        <w:t>.</w:t>
      </w:r>
    </w:p>
    <w:p w:rsidR="00CA4F25" w:rsidRPr="00CC1318" w:rsidRDefault="00CA4F25" w:rsidP="00CA4F25">
      <w:pPr>
        <w:pStyle w:val="QS10"/>
        <w:rPr>
          <w:color w:val="000000" w:themeColor="text1"/>
          <w:szCs w:val="20"/>
        </w:rPr>
      </w:pPr>
      <w:r w:rsidRPr="00CC1318">
        <w:rPr>
          <w:color w:val="000000" w:themeColor="text1"/>
          <w:szCs w:val="20"/>
        </w:rPr>
        <w:t>The final case that we consider, </w:t>
      </w:r>
      <w:r w:rsidRPr="00CC1318">
        <w:rPr>
          <w:rStyle w:val="Emphasis"/>
          <w:color w:val="000000" w:themeColor="text1"/>
          <w:szCs w:val="20"/>
          <w:bdr w:val="none" w:sz="0" w:space="0" w:color="auto" w:frame="1"/>
        </w:rPr>
        <w:t>Whitney</w:t>
      </w:r>
      <w:r w:rsidRPr="00CC1318">
        <w:rPr>
          <w:color w:val="000000" w:themeColor="text1"/>
          <w:szCs w:val="20"/>
        </w:rPr>
        <w:t>, differs from </w:t>
      </w:r>
      <w:r w:rsidRPr="00CC1318">
        <w:rPr>
          <w:rStyle w:val="Emphasis"/>
          <w:color w:val="000000" w:themeColor="text1"/>
          <w:szCs w:val="20"/>
          <w:bdr w:val="none" w:sz="0" w:space="0" w:color="auto" w:frame="1"/>
        </w:rPr>
        <w:t>Curry</w:t>
      </w:r>
      <w:r w:rsidRPr="00CC1318">
        <w:rPr>
          <w:color w:val="000000" w:themeColor="text1"/>
          <w:szCs w:val="20"/>
        </w:rPr>
        <w:t> and </w:t>
      </w:r>
      <w:r w:rsidRPr="00CC1318">
        <w:rPr>
          <w:rStyle w:val="Emphasis"/>
          <w:color w:val="000000" w:themeColor="text1"/>
          <w:szCs w:val="20"/>
          <w:bdr w:val="none" w:sz="0" w:space="0" w:color="auto" w:frame="1"/>
        </w:rPr>
        <w:t>Graves</w:t>
      </w:r>
      <w:r w:rsidRPr="00CC1318">
        <w:rPr>
          <w:color w:val="000000" w:themeColor="text1"/>
          <w:szCs w:val="20"/>
        </w:rPr>
        <w:t> in that the due process question had nothing to do with </w:t>
      </w:r>
      <w:r w:rsidRPr="00CC1318">
        <w:rPr>
          <w:rStyle w:val="Emphasis"/>
          <w:color w:val="000000" w:themeColor="text1"/>
          <w:szCs w:val="20"/>
          <w:bdr w:val="none" w:sz="0" w:space="0" w:color="auto" w:frame="1"/>
        </w:rPr>
        <w:t>where</w:t>
      </w:r>
      <w:r w:rsidRPr="00CC1318">
        <w:rPr>
          <w:color w:val="000000" w:themeColor="text1"/>
          <w:szCs w:val="20"/>
        </w:rPr>
        <w:t> intangible property held in trust may be taxed constitutionally and therefore did not include any discussion that might clarify the due process “minimum connection” requirement. The trust at issue in </w:t>
      </w:r>
      <w:r w:rsidRPr="00CC1318">
        <w:rPr>
          <w:rStyle w:val="Emphasis"/>
          <w:color w:val="000000" w:themeColor="text1"/>
          <w:szCs w:val="20"/>
          <w:bdr w:val="none" w:sz="0" w:space="0" w:color="auto" w:frame="1"/>
        </w:rPr>
        <w:t>Whitney</w:t>
      </w:r>
      <w:r w:rsidRPr="00CC1318">
        <w:rPr>
          <w:color w:val="000000" w:themeColor="text1"/>
          <w:szCs w:val="20"/>
        </w:rPr>
        <w:t> was established and funded in New York by the will of Cornelius Vanderbilt. It provided for an annual income to Vanderbilt's wife and also gave Mrs. Vanderbilt the power to dispose of the trust principal among the couple's four children in her will, in such proportions as she might choose. The trust further provided that, if Mrs. Vanderbilt did not exercise that “special power of appointment” in her will, then the trust property would be divided equally among the four children upon her death. </w:t>
      </w:r>
      <w:r w:rsidRPr="00CC1318">
        <w:rPr>
          <w:color w:val="000000" w:themeColor="text1"/>
          <w:szCs w:val="20"/>
          <w:bdr w:val="none" w:sz="0" w:space="0" w:color="auto" w:frame="1"/>
        </w:rPr>
        <w:t>309 U.S. at 534-35, 60 S.Ct. 635</w:t>
      </w:r>
      <w:r w:rsidRPr="00CC1318">
        <w:rPr>
          <w:color w:val="000000" w:themeColor="text1"/>
          <w:szCs w:val="20"/>
        </w:rPr>
        <w:t>. Mrs. Vanderbilt </w:t>
      </w:r>
      <w:r w:rsidRPr="00CC1318">
        <w:rPr>
          <w:rStyle w:val="Emphasis"/>
          <w:color w:val="000000" w:themeColor="text1"/>
          <w:szCs w:val="20"/>
          <w:bdr w:val="none" w:sz="0" w:space="0" w:color="auto" w:frame="1"/>
        </w:rPr>
        <w:t>did</w:t>
      </w:r>
      <w:r w:rsidRPr="00CC1318">
        <w:rPr>
          <w:color w:val="000000" w:themeColor="text1"/>
          <w:szCs w:val="20"/>
        </w:rPr>
        <w:t> exercise the power of appointment in her will and, upon her death, the taxing authorities of New York (where the trust was administered and Mrs. Vanderbilt had at all times resided) included the value of the trust principal in Mrs. Vanderbilt's gross </w:t>
      </w:r>
      <w:r w:rsidRPr="00CC1318">
        <w:rPr>
          <w:bCs/>
          <w:color w:val="000000" w:themeColor="text1"/>
          <w:szCs w:val="20"/>
          <w:bdr w:val="none" w:sz="0" w:space="0" w:color="auto" w:frame="1"/>
        </w:rPr>
        <w:t>estate</w:t>
      </w:r>
      <w:r w:rsidRPr="00CC1318">
        <w:rPr>
          <w:color w:val="000000" w:themeColor="text1"/>
          <w:szCs w:val="20"/>
        </w:rPr>
        <w:t> for purposes of calculating the state's </w:t>
      </w:r>
      <w:r w:rsidRPr="00CC1318">
        <w:rPr>
          <w:bCs/>
          <w:color w:val="000000" w:themeColor="text1"/>
          <w:szCs w:val="20"/>
          <w:bdr w:val="none" w:sz="0" w:space="0" w:color="auto" w:frame="1"/>
        </w:rPr>
        <w:t>estate</w:t>
      </w:r>
      <w:r w:rsidRPr="00CC1318">
        <w:rPr>
          <w:color w:val="000000" w:themeColor="text1"/>
          <w:szCs w:val="20"/>
        </w:rPr>
        <w:t> tax. Mrs. Vanderbilt's beneficiaries and executors challenged New York's inclusion of the trust principal in her </w:t>
      </w:r>
      <w:r w:rsidRPr="00CC1318">
        <w:rPr>
          <w:bCs/>
          <w:color w:val="000000" w:themeColor="text1"/>
          <w:szCs w:val="20"/>
          <w:bdr w:val="none" w:sz="0" w:space="0" w:color="auto" w:frame="1"/>
        </w:rPr>
        <w:t>estate</w:t>
      </w:r>
      <w:r w:rsidRPr="00CC1318">
        <w:rPr>
          <w:color w:val="000000" w:themeColor="text1"/>
          <w:szCs w:val="20"/>
        </w:rPr>
        <w:t>, arguing that doing so violated the Due Process Clause, given that Mrs. Vanderbilt had not been the “beneficial owner” of the trust corpus—by which the challengers meant that she could not use the corpus of the trust herself, could not appoint it to her own </w:t>
      </w:r>
      <w:r w:rsidRPr="00CC1318">
        <w:rPr>
          <w:bCs/>
          <w:color w:val="000000" w:themeColor="text1"/>
          <w:szCs w:val="20"/>
          <w:bdr w:val="none" w:sz="0" w:space="0" w:color="auto" w:frame="1"/>
        </w:rPr>
        <w:t>estate</w:t>
      </w:r>
      <w:r w:rsidRPr="00CC1318">
        <w:rPr>
          <w:color w:val="000000" w:themeColor="text1"/>
          <w:szCs w:val="20"/>
        </w:rPr>
        <w:t>, and could not direct it to her creditors. </w:t>
      </w:r>
      <w:r w:rsidRPr="00CC1318">
        <w:rPr>
          <w:rStyle w:val="Emphasis"/>
          <w:color w:val="000000" w:themeColor="text1"/>
          <w:szCs w:val="20"/>
          <w:bdr w:val="none" w:sz="0" w:space="0" w:color="auto" w:frame="1"/>
        </w:rPr>
        <w:t>Id.</w:t>
      </w:r>
      <w:r w:rsidRPr="00CC1318">
        <w:rPr>
          <w:color w:val="000000" w:themeColor="text1"/>
          <w:szCs w:val="20"/>
          <w:bdr w:val="none" w:sz="0" w:space="0" w:color="auto" w:frame="1"/>
        </w:rPr>
        <w:t> at 535-38, 60 S Ct 635</w:t>
      </w:r>
      <w:r w:rsidRPr="00CC1318">
        <w:rPr>
          <w:color w:val="000000" w:themeColor="text1"/>
          <w:szCs w:val="20"/>
        </w:rPr>
        <w:t>.</w:t>
      </w:r>
    </w:p>
    <w:p w:rsidR="00CA4F25" w:rsidRPr="00CC1318" w:rsidRDefault="00CA4F25" w:rsidP="00CA4F25">
      <w:pPr>
        <w:pStyle w:val="QS10"/>
        <w:rPr>
          <w:color w:val="000000" w:themeColor="text1"/>
          <w:szCs w:val="20"/>
        </w:rPr>
      </w:pPr>
      <w:r w:rsidRPr="00CC1318">
        <w:rPr>
          <w:color w:val="000000" w:themeColor="text1"/>
          <w:szCs w:val="20"/>
        </w:rPr>
        <w:t>The Supreme Court rejected the due process challenge. The Court explained that, to the extent that New York's </w:t>
      </w:r>
      <w:r w:rsidRPr="00CC1318">
        <w:rPr>
          <w:bCs/>
          <w:color w:val="000000" w:themeColor="text1"/>
          <w:szCs w:val="20"/>
          <w:bdr w:val="none" w:sz="0" w:space="0" w:color="auto" w:frame="1"/>
        </w:rPr>
        <w:t>estate</w:t>
      </w:r>
      <w:r w:rsidRPr="00CC1318">
        <w:rPr>
          <w:color w:val="000000" w:themeColor="text1"/>
          <w:szCs w:val="20"/>
        </w:rPr>
        <w:t> tax statute was aimed at diverting to the community a portion of the total wealth released by a death, the state was</w:t>
      </w:r>
    </w:p>
    <w:p w:rsidR="00CA4F25" w:rsidRPr="00CC1318" w:rsidRDefault="00CA4F25" w:rsidP="00CA4F25">
      <w:pPr>
        <w:pStyle w:val="QS10"/>
        <w:rPr>
          <w:color w:val="000000" w:themeColor="text1"/>
          <w:szCs w:val="20"/>
        </w:rPr>
      </w:pPr>
      <w:r w:rsidRPr="00CC1318">
        <w:rPr>
          <w:color w:val="000000" w:themeColor="text1"/>
          <w:szCs w:val="20"/>
        </w:rPr>
        <w:t>“not confined to that kind of wealth which was, in colloquial language, ‘owned’ by a decedent before death, nor even to that over which he had an unrestricted power of testamentary disposition.”</w:t>
      </w:r>
    </w:p>
    <w:p w:rsidR="00CA4F25" w:rsidRPr="00CC1318" w:rsidRDefault="00CA4F25" w:rsidP="00CA4F25">
      <w:pPr>
        <w:pStyle w:val="QS10"/>
        <w:rPr>
          <w:color w:val="000000" w:themeColor="text1"/>
          <w:szCs w:val="20"/>
        </w:rPr>
      </w:pPr>
      <w:r w:rsidRPr="00CC1318">
        <w:rPr>
          <w:rStyle w:val="Emphasis"/>
          <w:color w:val="000000" w:themeColor="text1"/>
          <w:szCs w:val="20"/>
          <w:bdr w:val="none" w:sz="0" w:space="0" w:color="auto" w:frame="1"/>
        </w:rPr>
        <w:t>Id.</w:t>
      </w:r>
      <w:r w:rsidRPr="00CC1318">
        <w:rPr>
          <w:color w:val="000000" w:themeColor="text1"/>
          <w:szCs w:val="20"/>
          <w:bdr w:val="none" w:sz="0" w:space="0" w:color="auto" w:frame="1"/>
        </w:rPr>
        <w:t> at 538, 60 S.Ct. 635</w:t>
      </w:r>
      <w:r w:rsidRPr="00CC1318">
        <w:rPr>
          <w:color w:val="000000" w:themeColor="text1"/>
          <w:szCs w:val="20"/>
        </w:rPr>
        <w:t>. Instead,</w:t>
      </w:r>
    </w:p>
    <w:p w:rsidR="00CA4F25" w:rsidRPr="00CC1318" w:rsidRDefault="00CA4F25" w:rsidP="00CA4F25">
      <w:pPr>
        <w:pStyle w:val="QS10"/>
        <w:rPr>
          <w:color w:val="000000" w:themeColor="text1"/>
          <w:szCs w:val="20"/>
        </w:rPr>
      </w:pPr>
      <w:r w:rsidRPr="00CC1318">
        <w:rPr>
          <w:color w:val="000000" w:themeColor="text1"/>
          <w:szCs w:val="20"/>
        </w:rPr>
        <w:t>“[i]t is enough that one person acquires economic interests in property through the death of another person, even though such acquisition is in part the automatic consequence of death or related to the decedent merely because of his power to designate to whom and in what proportions among a restricted class the benefits shall fall.”</w:t>
      </w:r>
    </w:p>
    <w:p w:rsidR="00CA4F25" w:rsidRPr="00CC1318" w:rsidRDefault="00CA4F25" w:rsidP="00CA4F25">
      <w:pPr>
        <w:pStyle w:val="QS10"/>
        <w:rPr>
          <w:color w:val="000000" w:themeColor="text1"/>
          <w:szCs w:val="20"/>
        </w:rPr>
      </w:pPr>
      <w:r w:rsidRPr="00CC1318">
        <w:rPr>
          <w:rStyle w:val="Emphasis"/>
          <w:color w:val="000000" w:themeColor="text1"/>
          <w:szCs w:val="20"/>
          <w:bdr w:val="none" w:sz="0" w:space="0" w:color="auto" w:frame="1"/>
        </w:rPr>
        <w:t>Id.</w:t>
      </w:r>
      <w:r w:rsidRPr="00CC1318">
        <w:rPr>
          <w:color w:val="000000" w:themeColor="text1"/>
          <w:szCs w:val="20"/>
          <w:bdr w:val="none" w:sz="0" w:space="0" w:color="auto" w:frame="1"/>
        </w:rPr>
        <w:t> at 538-39, 60 S.Ct. 635</w:t>
      </w:r>
      <w:r w:rsidRPr="00CC1318">
        <w:rPr>
          <w:color w:val="000000" w:themeColor="text1"/>
          <w:szCs w:val="20"/>
        </w:rPr>
        <w:t>. After pointing to various other circumstances in which property not “beneficially owned” by a decedent may nevertheless be included in his or her </w:t>
      </w:r>
      <w:r w:rsidRPr="00CC1318">
        <w:rPr>
          <w:bCs/>
          <w:color w:val="000000" w:themeColor="text1"/>
          <w:szCs w:val="20"/>
          <w:bdr w:val="none" w:sz="0" w:space="0" w:color="auto" w:frame="1"/>
        </w:rPr>
        <w:t>estate</w:t>
      </w:r>
      <w:r w:rsidRPr="00CC1318">
        <w:rPr>
          <w:color w:val="000000" w:themeColor="text1"/>
          <w:szCs w:val="20"/>
        </w:rPr>
        <w:t>, the Court made an even more expansive statement:</w:t>
      </w:r>
    </w:p>
    <w:p w:rsidR="00CA4F25" w:rsidRPr="00CC1318" w:rsidRDefault="00CA4F25" w:rsidP="00CA4F25">
      <w:pPr>
        <w:pStyle w:val="QS10"/>
        <w:rPr>
          <w:color w:val="000000" w:themeColor="text1"/>
          <w:szCs w:val="20"/>
        </w:rPr>
      </w:pPr>
      <w:r w:rsidRPr="00CC1318">
        <w:rPr>
          <w:color w:val="000000" w:themeColor="text1"/>
          <w:szCs w:val="20"/>
        </w:rPr>
        <w:t>“A person may by his death bring into being greater interests in property than he himself has ever enjoyed, and the state may turn advantages thus realized into a source of </w:t>
      </w:r>
      <w:r w:rsidRPr="00CC1318">
        <w:rPr>
          <w:bCs/>
          <w:color w:val="000000" w:themeColor="text1"/>
          <w:szCs w:val="20"/>
          <w:bdr w:val="none" w:sz="0" w:space="0" w:color="auto" w:frame="1"/>
        </w:rPr>
        <w:t>revenue</w:t>
      </w:r>
      <w:r w:rsidRPr="00CC1318">
        <w:rPr>
          <w:color w:val="000000" w:themeColor="text1"/>
          <w:szCs w:val="20"/>
        </w:rPr>
        <w:t>[.] * * * </w:t>
      </w:r>
      <w:r w:rsidRPr="00CC1318">
        <w:rPr>
          <w:rStyle w:val="Emphasis"/>
          <w:color w:val="000000" w:themeColor="text1"/>
          <w:szCs w:val="20"/>
          <w:bdr w:val="none" w:sz="0" w:space="0" w:color="auto" w:frame="1"/>
        </w:rPr>
        <w:t>[I]f death may be made the occasion for taxing property in which the decedent had no ‘beneficial interest,’ then the measurement of that tax by the decedent's total</w:t>
      </w:r>
      <w:r w:rsidRPr="00CC1318">
        <w:rPr>
          <w:color w:val="000000" w:themeColor="text1"/>
          <w:szCs w:val="20"/>
        </w:rPr>
        <w:t> </w:t>
      </w:r>
      <w:r w:rsidRPr="00CC1318">
        <w:rPr>
          <w:rStyle w:val="Emphasis"/>
          <w:color w:val="000000" w:themeColor="text1"/>
          <w:szCs w:val="20"/>
          <w:bdr w:val="none" w:sz="0" w:space="0" w:color="auto" w:frame="1"/>
        </w:rPr>
        <w:t>wealth-disposing power is merely an exercise of legislative discretion in determining what the state shall take in return for allowing the transfer</w:t>
      </w:r>
      <w:r w:rsidRPr="00CC1318">
        <w:rPr>
          <w:color w:val="000000" w:themeColor="text1"/>
          <w:szCs w:val="20"/>
        </w:rPr>
        <w:t>.”</w:t>
      </w:r>
    </w:p>
    <w:p w:rsidR="00CA4F25" w:rsidRPr="00CC1318" w:rsidRDefault="00CA4F25" w:rsidP="00CA4F25">
      <w:pPr>
        <w:pStyle w:val="QS10"/>
        <w:rPr>
          <w:color w:val="000000" w:themeColor="text1"/>
          <w:szCs w:val="20"/>
        </w:rPr>
      </w:pPr>
      <w:r w:rsidRPr="00CC1318">
        <w:rPr>
          <w:rStyle w:val="Emphasis"/>
          <w:color w:val="000000" w:themeColor="text1"/>
          <w:szCs w:val="20"/>
          <w:bdr w:val="none" w:sz="0" w:space="0" w:color="auto" w:frame="1"/>
        </w:rPr>
        <w:t>Id.</w:t>
      </w:r>
      <w:r w:rsidRPr="00CC1318">
        <w:rPr>
          <w:color w:val="000000" w:themeColor="text1"/>
          <w:szCs w:val="20"/>
          <w:bdr w:val="none" w:sz="0" w:space="0" w:color="auto" w:frame="1"/>
        </w:rPr>
        <w:t> at 539-40, 60 S.Ct. 635</w:t>
      </w:r>
      <w:r w:rsidRPr="00CC1318">
        <w:rPr>
          <w:color w:val="000000" w:themeColor="text1"/>
          <w:szCs w:val="20"/>
        </w:rPr>
        <w:t> (emphasis added).</w:t>
      </w:r>
    </w:p>
    <w:p w:rsidR="00CA4F25" w:rsidRPr="00CC1318" w:rsidRDefault="00CA4F25" w:rsidP="00F45ECA">
      <w:pPr>
        <w:pStyle w:val="Body15"/>
        <w:rPr>
          <w:szCs w:val="20"/>
        </w:rPr>
      </w:pPr>
    </w:p>
    <w:sectPr w:rsidR="00CA4F25" w:rsidRPr="00CC1318" w:rsidSect="005F0B44">
      <w:footerReference w:type="default" r:id="rId481"/>
      <w:pgSz w:w="12240" w:h="15840" w:code="1"/>
      <w:pgMar w:top="1440" w:right="1440" w:bottom="1440" w:left="1440" w:header="720" w:footer="720" w:gutter="0"/>
      <w:pgNumType w:start="19"/>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23AC" w:rsidRDefault="00EA23AC">
      <w:r>
        <w:separator/>
      </w:r>
    </w:p>
  </w:endnote>
  <w:endnote w:type="continuationSeparator" w:id="0">
    <w:p w:rsidR="00EA23AC" w:rsidRDefault="00EA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Frutiger-BoldCn">
    <w:altName w:val="Calibri"/>
    <w:panose1 w:val="00000000000000000000"/>
    <w:charset w:val="4D"/>
    <w:family w:val="auto"/>
    <w:notTrueType/>
    <w:pitch w:val="default"/>
    <w:sig w:usb0="00000003" w:usb1="00000000" w:usb2="00000000" w:usb3="00000000" w:csb0="00000001" w:csb1="00000000"/>
  </w:font>
  <w:font w:name="Bembo-Italic">
    <w:altName w:val="Bemb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Knowledg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498" w:rsidRDefault="00C82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498" w:rsidRDefault="00C82498">
    <w:pPr>
      <w:pStyle w:val="Footer"/>
      <w:jc w:val="center"/>
    </w:pPr>
    <w:r>
      <w:fldChar w:fldCharType="begin"/>
    </w:r>
    <w:r>
      <w:instrText xml:space="preserve">PAGE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498" w:rsidRDefault="00C8249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498" w:rsidRDefault="00C82498">
    <w:pPr>
      <w:pStyle w:val="Footer"/>
      <w:jc w:val="center"/>
    </w:pPr>
    <w:r>
      <w:t>1-</w:t>
    </w:r>
    <w:r>
      <w:fldChar w:fldCharType="begin"/>
    </w:r>
    <w:r>
      <w:instrText xml:space="preserve">PAGE </w:instrText>
    </w:r>
    <w:r>
      <w:fldChar w:fldCharType="separate"/>
    </w:r>
    <w:r w:rsidR="00FA6BA0">
      <w:rPr>
        <w:noProof/>
      </w:rPr>
      <w:t>iv</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498" w:rsidRDefault="00C82498">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086266"/>
      <w:docPartObj>
        <w:docPartGallery w:val="Page Numbers (Bottom of Page)"/>
        <w:docPartUnique/>
      </w:docPartObj>
    </w:sdtPr>
    <w:sdtEndPr>
      <w:rPr>
        <w:noProof/>
      </w:rPr>
    </w:sdtEndPr>
    <w:sdtContent>
      <w:p w:rsidR="00C82498" w:rsidRDefault="00C82498">
        <w:pPr>
          <w:pStyle w:val="Footer"/>
          <w:jc w:val="center"/>
        </w:pPr>
        <w:r>
          <w:t>1-</w:t>
        </w:r>
        <w:r>
          <w:fldChar w:fldCharType="begin"/>
        </w:r>
        <w:r>
          <w:instrText xml:space="preserve"> PAGE   \* MERGEFORMAT </w:instrText>
        </w:r>
        <w:r>
          <w:fldChar w:fldCharType="separate"/>
        </w:r>
        <w:r w:rsidR="00F4601D">
          <w:rPr>
            <w:noProof/>
          </w:rPr>
          <w:t>1</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498" w:rsidRDefault="00C82498">
    <w:pPr>
      <w:pStyle w:val="Footer"/>
      <w:jc w:val="center"/>
    </w:pPr>
    <w:r>
      <w:t>1-</w:t>
    </w:r>
    <w:r>
      <w:fldChar w:fldCharType="begin"/>
    </w:r>
    <w:r>
      <w:instrText xml:space="preserve">PAGE </w:instrText>
    </w:r>
    <w:r>
      <w:fldChar w:fldCharType="separate"/>
    </w:r>
    <w:r w:rsidR="00F4601D">
      <w:rPr>
        <w:noProof/>
      </w:rPr>
      <w:t>18</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132302"/>
      <w:docPartObj>
        <w:docPartGallery w:val="Page Numbers (Bottom of Page)"/>
        <w:docPartUnique/>
      </w:docPartObj>
    </w:sdtPr>
    <w:sdtEndPr>
      <w:rPr>
        <w:noProof/>
      </w:rPr>
    </w:sdtEndPr>
    <w:sdtContent>
      <w:p w:rsidR="00C82498" w:rsidRDefault="00C8249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498" w:rsidRDefault="00C82498">
    <w:pPr>
      <w:pStyle w:val="Footer"/>
      <w:jc w:val="center"/>
    </w:pPr>
    <w:r>
      <w:t>1-</w:t>
    </w:r>
    <w:r>
      <w:fldChar w:fldCharType="begin"/>
    </w:r>
    <w:r>
      <w:instrText xml:space="preserve">PAGE </w:instrText>
    </w:r>
    <w:r>
      <w:fldChar w:fldCharType="separate"/>
    </w:r>
    <w:r w:rsidR="00223D87">
      <w:rPr>
        <w:noProof/>
      </w:rPr>
      <w:t>274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23AC" w:rsidRDefault="00EA23AC">
      <w:r>
        <w:separator/>
      </w:r>
    </w:p>
  </w:footnote>
  <w:footnote w:type="continuationSeparator" w:id="0">
    <w:p w:rsidR="00EA23AC" w:rsidRDefault="00EA23AC">
      <w:r>
        <w:separator/>
      </w:r>
    </w:p>
    <w:p w:rsidR="00EA23AC" w:rsidRDefault="00EA23AC">
      <w:r>
        <w:t>(…continued)</w:t>
      </w:r>
    </w:p>
    <w:p w:rsidR="00EA23AC" w:rsidRDefault="00EA23AC"/>
  </w:footnote>
  <w:footnote w:type="continuationNotice" w:id="1">
    <w:p w:rsidR="00EA23AC" w:rsidRDefault="00EA23AC">
      <w:pPr>
        <w:jc w:val="right"/>
      </w:pPr>
      <w:r>
        <w:t>(continued…)</w:t>
      </w:r>
    </w:p>
  </w:footnote>
  <w:footnote w:id="2">
    <w:p w:rsidR="00C82498" w:rsidRDefault="00C82498" w:rsidP="00C83436">
      <w:pPr>
        <w:pStyle w:val="FootnoteText"/>
        <w:contextualSpacing/>
      </w:pPr>
      <w:r>
        <w:rPr>
          <w:rStyle w:val="FootnoteReference"/>
        </w:rPr>
        <w:footnoteRef/>
      </w:r>
      <w:r>
        <w:t xml:space="preserve"> The “Sensible Taxation and Equity Promotion Act of 2021.”</w:t>
      </w:r>
    </w:p>
  </w:footnote>
  <w:footnote w:id="3">
    <w:p w:rsidR="00C82498" w:rsidRDefault="00C82498">
      <w:pPr>
        <w:pStyle w:val="FootnoteText"/>
        <w:contextualSpacing/>
      </w:pPr>
      <w:r>
        <w:rPr>
          <w:rStyle w:val="FootnoteReference"/>
        </w:rPr>
        <w:footnoteRef/>
      </w:r>
      <w:r>
        <w:t xml:space="preserve"> There is proposed legislative language, but the STEP Act has not been formally introduced.</w:t>
      </w:r>
    </w:p>
  </w:footnote>
  <w:footnote w:id="4">
    <w:p w:rsidR="00C82498" w:rsidRDefault="00C82498">
      <w:pPr>
        <w:pStyle w:val="FootnoteText"/>
        <w:contextualSpacing/>
      </w:pPr>
      <w:r>
        <w:rPr>
          <w:rStyle w:val="FootnoteReference"/>
        </w:rPr>
        <w:footnoteRef/>
      </w:r>
      <w:r>
        <w:t xml:space="preserve"> In addition to Senator Van Hollen, Senators Booker, Sanders, Whitehouse and Warren signed on to the STEP Act discussion draft.</w:t>
      </w:r>
    </w:p>
  </w:footnote>
  <w:footnote w:id="5">
    <w:p w:rsidR="00C82498" w:rsidRDefault="00C82498">
      <w:pPr>
        <w:pStyle w:val="FootnoteText"/>
        <w:contextualSpacing/>
      </w:pPr>
      <w:r>
        <w:rPr>
          <w:rStyle w:val="FootnoteReference"/>
        </w:rPr>
        <w:footnoteRef/>
      </w:r>
      <w:r>
        <w:t xml:space="preserve"> In addition to Senator Sanders, Senators Gillibrand, Whitehouse, Van Hollen and Reed signed on to the For the 99.5% Act.</w:t>
      </w:r>
    </w:p>
  </w:footnote>
  <w:footnote w:id="6">
    <w:p w:rsidR="00C82498" w:rsidRDefault="00C82498">
      <w:pPr>
        <w:pStyle w:val="FootnoteText"/>
      </w:pPr>
      <w:r>
        <w:rPr>
          <w:rStyle w:val="FootnoteReference"/>
        </w:rPr>
        <w:footnoteRef/>
      </w:r>
      <w:r>
        <w:t xml:space="preserve"> The formal title of the Greenbook is “General Explanations of the Administration’s Fiscal Year 2022 Revenue Proposals.” </w:t>
      </w:r>
    </w:p>
  </w:footnote>
  <w:footnote w:id="7">
    <w:p w:rsidR="00C82498" w:rsidRDefault="00C82498" w:rsidP="00E72422">
      <w:pPr>
        <w:pStyle w:val="FootnoteText"/>
      </w:pPr>
      <w:r>
        <w:rPr>
          <w:rStyle w:val="FootnoteReference"/>
        </w:rPr>
        <w:footnoteRef/>
      </w:r>
      <w:r>
        <w:t xml:space="preserve"> It would appear, however, that the proposal to increase the long-term capital gains tax rate would be effective as to gains required to be recognized after April 28, 2021 (the “date of announcement”).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498" w:rsidRDefault="00C82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498" w:rsidRDefault="00C824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498" w:rsidRDefault="00C82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FCE8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6ACB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EEDD2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C6FC2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E2ACF4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02D4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DA956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6806E2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F622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E202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0E"/>
    <w:multiLevelType w:val="hybridMultilevel"/>
    <w:tmpl w:val="172C5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66659A"/>
    <w:multiLevelType w:val="hybridMultilevel"/>
    <w:tmpl w:val="180839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0D0529E0"/>
    <w:multiLevelType w:val="hybridMultilevel"/>
    <w:tmpl w:val="4EFA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21711E"/>
    <w:multiLevelType w:val="singleLevel"/>
    <w:tmpl w:val="41D4B540"/>
    <w:name w:val="NA05"/>
    <w:lvl w:ilvl="0">
      <w:start w:val="1"/>
      <w:numFmt w:val="upperLetter"/>
      <w:lvlRestart w:val="0"/>
      <w:pStyle w:val="NumberedA05"/>
      <w:lvlText w:val="%1."/>
      <w:lvlJc w:val="left"/>
      <w:pPr>
        <w:tabs>
          <w:tab w:val="num" w:pos="720"/>
        </w:tabs>
        <w:ind w:left="0" w:firstLine="720"/>
      </w:pPr>
      <w:rPr>
        <w:rFonts w:hint="default"/>
        <w:b/>
        <w:i w:val="0"/>
      </w:rPr>
    </w:lvl>
  </w:abstractNum>
  <w:abstractNum w:abstractNumId="14" w15:restartNumberingAfterBreak="0">
    <w:nsid w:val="185A6BDA"/>
    <w:multiLevelType w:val="hybridMultilevel"/>
    <w:tmpl w:val="466C0336"/>
    <w:name w:val="Heading 2'"/>
    <w:lvl w:ilvl="0" w:tplc="76DAFD18">
      <w:start w:val="1"/>
      <w:numFmt w:val="upperLetter"/>
      <w:pStyle w:val="Heading2"/>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A7F02"/>
    <w:multiLevelType w:val="multilevel"/>
    <w:tmpl w:val="199CEE7E"/>
    <w:name w:val="Paragraph Indented2"/>
    <w:lvl w:ilvl="0">
      <w:start w:val="1"/>
      <w:numFmt w:val="decimal"/>
      <w:lvlRestart w:val="0"/>
      <w:pStyle w:val="Level1"/>
      <w:lvlText w:val="%1."/>
      <w:lvlJc w:val="left"/>
      <w:pPr>
        <w:tabs>
          <w:tab w:val="num" w:pos="720"/>
        </w:tabs>
        <w:ind w:left="720" w:hanging="720"/>
      </w:pPr>
      <w:rPr>
        <w:b w:val="0"/>
        <w:i w:val="0"/>
        <w:u w:val="none"/>
      </w:rPr>
    </w:lvl>
    <w:lvl w:ilvl="1">
      <w:start w:val="1"/>
      <w:numFmt w:val="lowerLetter"/>
      <w:pStyle w:val="Level2"/>
      <w:lvlText w:val="%2."/>
      <w:lvlJc w:val="left"/>
      <w:pPr>
        <w:tabs>
          <w:tab w:val="num" w:pos="1440"/>
        </w:tabs>
        <w:ind w:left="1440" w:hanging="720"/>
      </w:pPr>
      <w:rPr>
        <w:b w:val="0"/>
        <w:i w:val="0"/>
        <w:u w:val="none"/>
      </w:rPr>
    </w:lvl>
    <w:lvl w:ilvl="2">
      <w:start w:val="1"/>
      <w:numFmt w:val="lowerRoman"/>
      <w:pStyle w:val="Level3"/>
      <w:lvlText w:val="%3."/>
      <w:lvlJc w:val="left"/>
      <w:pPr>
        <w:tabs>
          <w:tab w:val="num" w:pos="2160"/>
        </w:tabs>
        <w:ind w:left="2160" w:hanging="720"/>
      </w:pPr>
      <w:rPr>
        <w:b w:val="0"/>
        <w:i w:val="0"/>
        <w:u w:val="none"/>
      </w:rPr>
    </w:lvl>
    <w:lvl w:ilvl="3">
      <w:start w:val="1"/>
      <w:numFmt w:val="decimal"/>
      <w:pStyle w:val="Level4"/>
      <w:lvlText w:val="(%4)"/>
      <w:lvlJc w:val="left"/>
      <w:pPr>
        <w:tabs>
          <w:tab w:val="num" w:pos="2880"/>
        </w:tabs>
        <w:ind w:left="2880" w:hanging="720"/>
      </w:pPr>
      <w:rPr>
        <w:b w:val="0"/>
        <w:i w:val="0"/>
        <w:u w:val="none"/>
      </w:rPr>
    </w:lvl>
    <w:lvl w:ilvl="4">
      <w:start w:val="1"/>
      <w:numFmt w:val="lowerLetter"/>
      <w:pStyle w:val="Level5"/>
      <w:lvlText w:val="(%5)"/>
      <w:lvlJc w:val="left"/>
      <w:pPr>
        <w:tabs>
          <w:tab w:val="num" w:pos="3600"/>
        </w:tabs>
        <w:ind w:left="3600" w:hanging="720"/>
      </w:pPr>
      <w:rPr>
        <w:b w:val="0"/>
        <w:i w:val="0"/>
        <w:u w:val="none"/>
      </w:rPr>
    </w:lvl>
    <w:lvl w:ilvl="5">
      <w:start w:val="1"/>
      <w:numFmt w:val="lowerRoman"/>
      <w:pStyle w:val="Level6"/>
      <w:lvlText w:val="(%6)"/>
      <w:lvlJc w:val="left"/>
      <w:pPr>
        <w:tabs>
          <w:tab w:val="num" w:pos="4320"/>
        </w:tabs>
        <w:ind w:left="4320" w:hanging="720"/>
      </w:pPr>
      <w:rPr>
        <w:b w:val="0"/>
        <w:i w:val="0"/>
        <w:u w:val="none"/>
      </w:rPr>
    </w:lvl>
    <w:lvl w:ilvl="6">
      <w:start w:val="1"/>
      <w:numFmt w:val="decimal"/>
      <w:pStyle w:val="Level7"/>
      <w:lvlText w:val="%7)"/>
      <w:lvlJc w:val="left"/>
      <w:pPr>
        <w:tabs>
          <w:tab w:val="num" w:pos="5040"/>
        </w:tabs>
        <w:ind w:left="5040" w:hanging="720"/>
      </w:pPr>
      <w:rPr>
        <w:b w:val="0"/>
        <w:i w:val="0"/>
        <w:u w:val="none"/>
      </w:rPr>
    </w:lvl>
    <w:lvl w:ilvl="7">
      <w:start w:val="1"/>
      <w:numFmt w:val="lowerLetter"/>
      <w:pStyle w:val="Level8"/>
      <w:lvlText w:val="%8)"/>
      <w:lvlJc w:val="left"/>
      <w:pPr>
        <w:tabs>
          <w:tab w:val="num" w:pos="5760"/>
        </w:tabs>
        <w:ind w:left="5760" w:hanging="720"/>
      </w:pPr>
      <w:rPr>
        <w:b w:val="0"/>
        <w:i w:val="0"/>
        <w:u w:val="none"/>
      </w:rPr>
    </w:lvl>
    <w:lvl w:ilvl="8">
      <w:start w:val="1"/>
      <w:numFmt w:val="lowerRoman"/>
      <w:pStyle w:val="Level9"/>
      <w:lvlText w:val="%9)"/>
      <w:lvlJc w:val="left"/>
      <w:pPr>
        <w:tabs>
          <w:tab w:val="num" w:pos="6480"/>
        </w:tabs>
        <w:ind w:left="6480" w:hanging="720"/>
      </w:pPr>
      <w:rPr>
        <w:b w:val="0"/>
        <w:i w:val="0"/>
        <w:color w:val="000000"/>
        <w:u w:val="none"/>
      </w:rPr>
    </w:lvl>
  </w:abstractNum>
  <w:abstractNum w:abstractNumId="16" w15:restartNumberingAfterBreak="0">
    <w:nsid w:val="235F29E9"/>
    <w:multiLevelType w:val="hybridMultilevel"/>
    <w:tmpl w:val="08447716"/>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17" w15:restartNumberingAfterBreak="0">
    <w:nsid w:val="25893A75"/>
    <w:multiLevelType w:val="hybridMultilevel"/>
    <w:tmpl w:val="A61AA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26E719C0"/>
    <w:multiLevelType w:val="multilevel"/>
    <w:tmpl w:val="0409001F"/>
    <w:name w:val="N1052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7F21E36"/>
    <w:multiLevelType w:val="hybridMultilevel"/>
    <w:tmpl w:val="E14A540C"/>
    <w:name w:val="Headign 2"/>
    <w:lvl w:ilvl="0" w:tplc="C00AD628">
      <w:start w:val="1"/>
      <w:numFmt w:val="upperLetter"/>
      <w:pStyle w:val="Headign2"/>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DB3F00"/>
    <w:multiLevelType w:val="multilevel"/>
    <w:tmpl w:val="B7EEC1D2"/>
    <w:lvl w:ilvl="0">
      <w:start w:val="1"/>
      <w:numFmt w:val="upperRoman"/>
      <w:lvlRestart w:val="0"/>
      <w:pStyle w:val="OutlineBoldL1"/>
      <w:lvlText w:val="%1."/>
      <w:lvlJc w:val="left"/>
      <w:pPr>
        <w:tabs>
          <w:tab w:val="num" w:pos="720"/>
        </w:tabs>
        <w:ind w:left="0" w:firstLine="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OutlineBoldL2"/>
      <w:lvlText w:val="%2."/>
      <w:lvlJc w:val="left"/>
      <w:pPr>
        <w:tabs>
          <w:tab w:val="num" w:pos="1440"/>
        </w:tabs>
        <w:ind w:left="0" w:firstLine="720"/>
      </w:pPr>
      <w:rPr>
        <w:rFonts w:ascii="Times New Roman" w:hAnsi="Times New Roman" w:cs="Times New Roman"/>
        <w:b w:val="0"/>
        <w:i w:val="0"/>
        <w:caps w:val="0"/>
        <w:small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BoldL3"/>
      <w:lvlText w:val="%3."/>
      <w:lvlJc w:val="left"/>
      <w:pPr>
        <w:tabs>
          <w:tab w:val="num" w:pos="2160"/>
        </w:tabs>
        <w:ind w:left="0" w:firstLine="1440"/>
      </w:pPr>
      <w:rPr>
        <w:rFonts w:ascii="Times New Roman" w:hAnsi="Times New Roman" w:cs="Times New Roman"/>
        <w:b w:val="0"/>
        <w:i w:val="0"/>
        <w:caps w:val="0"/>
        <w:small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OutlineBoldL4"/>
      <w:lvlText w:val=""/>
      <w:lvlJc w:val="left"/>
      <w:pPr>
        <w:tabs>
          <w:tab w:val="num" w:pos="2880"/>
        </w:tabs>
        <w:ind w:left="0" w:firstLine="2160"/>
      </w:pPr>
      <w:rPr>
        <w:rFonts w:ascii="Symbol" w:hAnsi="Symbol" w:hint="default"/>
        <w:b w:val="0"/>
        <w:i w:val="0"/>
        <w:caps w:val="0"/>
        <w:small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BoldL5"/>
      <w:lvlText w:val="(%5)"/>
      <w:lvlJc w:val="left"/>
      <w:pPr>
        <w:tabs>
          <w:tab w:val="num" w:pos="3600"/>
        </w:tabs>
        <w:ind w:left="0" w:firstLine="2880"/>
      </w:pPr>
      <w:rPr>
        <w:rFonts w:ascii="Times New Roman" w:hAnsi="Times New Roman" w:cs="Times New Roman"/>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OutlineBoldL6"/>
      <w:lvlText w:val="(%6)"/>
      <w:lvlJc w:val="left"/>
      <w:pPr>
        <w:tabs>
          <w:tab w:val="num" w:pos="4320"/>
        </w:tabs>
        <w:ind w:left="0" w:firstLine="3600"/>
      </w:pPr>
      <w:rPr>
        <w:rFonts w:ascii="Times New Roman" w:hAnsi="Times New Roman" w:cs="Times New Roman"/>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BoldL7"/>
      <w:lvlText w:val="(%7)"/>
      <w:lvlJc w:val="left"/>
      <w:pPr>
        <w:tabs>
          <w:tab w:val="num" w:pos="5040"/>
        </w:tabs>
        <w:ind w:left="0" w:firstLine="4320"/>
      </w:pPr>
      <w:rPr>
        <w:rFonts w:ascii="Times New Roman" w:hAnsi="Times New Roman" w:cs="Times New Roman"/>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BoldL8"/>
      <w:lvlText w:val="(%8)"/>
      <w:lvlJc w:val="left"/>
      <w:pPr>
        <w:tabs>
          <w:tab w:val="num" w:pos="5760"/>
        </w:tabs>
        <w:ind w:left="0" w:firstLine="5040"/>
      </w:pPr>
      <w:rPr>
        <w:rFonts w:ascii="Times New Roman" w:hAnsi="Times New Roman" w:cs="Times New Roman"/>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BoldL9"/>
      <w:lvlText w:val="(%9)"/>
      <w:lvlJc w:val="left"/>
      <w:pPr>
        <w:tabs>
          <w:tab w:val="num" w:pos="6480"/>
        </w:tabs>
        <w:ind w:left="0" w:firstLine="5760"/>
      </w:pPr>
      <w:rPr>
        <w:rFonts w:ascii="Times New Roman" w:hAnsi="Times New Roman" w:cs="Times New Roman"/>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C54601A"/>
    <w:multiLevelType w:val="singleLevel"/>
    <w:tmpl w:val="A43E8E96"/>
    <w:name w:val="N155"/>
    <w:lvl w:ilvl="0">
      <w:start w:val="1"/>
      <w:numFmt w:val="decimal"/>
      <w:lvlText w:val="%1."/>
      <w:lvlJc w:val="left"/>
      <w:pPr>
        <w:tabs>
          <w:tab w:val="num" w:pos="720"/>
        </w:tabs>
        <w:ind w:left="1440" w:hanging="720"/>
      </w:pPr>
    </w:lvl>
  </w:abstractNum>
  <w:abstractNum w:abstractNumId="22" w15:restartNumberingAfterBreak="0">
    <w:nsid w:val="2D26338C"/>
    <w:multiLevelType w:val="singleLevel"/>
    <w:tmpl w:val="FC62FB48"/>
    <w:name w:val="Outline Mixed Roman-Heckerling"/>
    <w:lvl w:ilvl="0">
      <w:start w:val="1"/>
      <w:numFmt w:val="upperRoman"/>
      <w:lvlText w:val="%1."/>
      <w:lvlJc w:val="left"/>
      <w:pPr>
        <w:tabs>
          <w:tab w:val="num" w:pos="720"/>
        </w:tabs>
        <w:ind w:left="720" w:hanging="720"/>
      </w:pPr>
      <w:rPr>
        <w:b/>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3" w15:restartNumberingAfterBreak="0">
    <w:nsid w:val="34AC6DCD"/>
    <w:multiLevelType w:val="hybridMultilevel"/>
    <w:tmpl w:val="0E02CE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FD648FB"/>
    <w:multiLevelType w:val="hybridMultilevel"/>
    <w:tmpl w:val="F956F3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04D076A"/>
    <w:multiLevelType w:val="singleLevel"/>
    <w:tmpl w:val="2D381B90"/>
    <w:name w:val="NB5"/>
    <w:lvl w:ilvl="0">
      <w:start w:val="1"/>
      <w:numFmt w:val="bullet"/>
      <w:lvlText w:val=""/>
      <w:lvlJc w:val="left"/>
      <w:pPr>
        <w:tabs>
          <w:tab w:val="num" w:pos="720"/>
        </w:tabs>
        <w:ind w:left="720" w:firstLine="0"/>
      </w:pPr>
      <w:rPr>
        <w:rFonts w:ascii="Symbol" w:hAnsi="Symbol" w:hint="default"/>
      </w:rPr>
    </w:lvl>
  </w:abstractNum>
  <w:abstractNum w:abstractNumId="26" w15:restartNumberingAfterBreak="0">
    <w:nsid w:val="46C256E7"/>
    <w:multiLevelType w:val="singleLevel"/>
    <w:tmpl w:val="69B6040A"/>
    <w:name w:val="N150"/>
    <w:lvl w:ilvl="0">
      <w:start w:val="1"/>
      <w:numFmt w:val="decimal"/>
      <w:lvlText w:val="%1."/>
      <w:lvlJc w:val="left"/>
      <w:pPr>
        <w:tabs>
          <w:tab w:val="num" w:pos="720"/>
        </w:tabs>
        <w:ind w:left="720" w:hanging="720"/>
      </w:pPr>
    </w:lvl>
  </w:abstractNum>
  <w:abstractNum w:abstractNumId="27" w15:restartNumberingAfterBreak="0">
    <w:nsid w:val="496161FA"/>
    <w:multiLevelType w:val="hybridMultilevel"/>
    <w:tmpl w:val="84984CC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8" w15:restartNumberingAfterBreak="0">
    <w:nsid w:val="49F62F1E"/>
    <w:multiLevelType w:val="hybridMultilevel"/>
    <w:tmpl w:val="9906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D676A"/>
    <w:multiLevelType w:val="hybridMultilevel"/>
    <w:tmpl w:val="57E0B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A704E32"/>
    <w:multiLevelType w:val="multilevel"/>
    <w:tmpl w:val="882A513C"/>
    <w:name w:val="OutlineHeadings"/>
    <w:lvl w:ilvl="0">
      <w:start w:val="1"/>
      <w:numFmt w:val="decimal"/>
      <w:lvlText w:val="%1."/>
      <w:lvlJc w:val="left"/>
      <w:pPr>
        <w:tabs>
          <w:tab w:val="num" w:pos="1440"/>
        </w:tabs>
        <w:ind w:left="0" w:firstLine="720"/>
      </w:pPr>
    </w:lvl>
    <w:lvl w:ilvl="1">
      <w:start w:val="1"/>
      <w:numFmt w:val="upperLetter"/>
      <w:lvlText w:val="%2."/>
      <w:lvlJc w:val="left"/>
      <w:pPr>
        <w:tabs>
          <w:tab w:val="num" w:pos="2160"/>
        </w:tabs>
        <w:ind w:left="0" w:firstLine="1440"/>
      </w:pPr>
    </w:lvl>
    <w:lvl w:ilvl="2">
      <w:start w:val="1"/>
      <w:numFmt w:val="decimal"/>
      <w:lvlText w:val="[%3]"/>
      <w:lvlJc w:val="left"/>
      <w:pPr>
        <w:tabs>
          <w:tab w:val="num" w:pos="2880"/>
        </w:tabs>
        <w:ind w:left="1440" w:firstLine="720"/>
      </w:pPr>
    </w:lvl>
    <w:lvl w:ilvl="3">
      <w:start w:val="1"/>
      <w:numFmt w:val="lowerLetter"/>
      <w:lvlText w:val="[%4]"/>
      <w:lvlJc w:val="left"/>
      <w:pPr>
        <w:tabs>
          <w:tab w:val="num" w:pos="3600"/>
        </w:tabs>
        <w:ind w:left="2160" w:firstLine="720"/>
      </w:pPr>
    </w:lvl>
    <w:lvl w:ilvl="4">
      <w:start w:val="1"/>
      <w:numFmt w:val="lowerRoman"/>
      <w:lvlText w:val="[%5]"/>
      <w:lvlJc w:val="left"/>
      <w:pPr>
        <w:tabs>
          <w:tab w:val="num" w:pos="4320"/>
        </w:tabs>
        <w:ind w:left="2880" w:firstLine="720"/>
      </w:pPr>
    </w:lvl>
    <w:lvl w:ilvl="5">
      <w:start w:val="1"/>
      <w:numFmt w:val="upperLetter"/>
      <w:lvlText w:val="[%6]"/>
      <w:lvlJc w:val="left"/>
      <w:pPr>
        <w:tabs>
          <w:tab w:val="num" w:pos="5040"/>
        </w:tabs>
        <w:ind w:left="3600" w:firstLine="720"/>
      </w:pPr>
    </w:lvl>
    <w:lvl w:ilvl="6">
      <w:start w:val="1"/>
      <w:numFmt w:val="upperRoman"/>
      <w:lvlText w:val="[%7]"/>
      <w:lvlJc w:val="left"/>
      <w:pPr>
        <w:tabs>
          <w:tab w:val="num" w:pos="5760"/>
        </w:tabs>
        <w:ind w:left="4320" w:firstLine="720"/>
      </w:pPr>
    </w:lvl>
    <w:lvl w:ilvl="7">
      <w:start w:val="1"/>
      <w:numFmt w:val="lowerLetter"/>
      <w:lvlText w:val="%8."/>
      <w:lvlJc w:val="left"/>
      <w:pPr>
        <w:tabs>
          <w:tab w:val="num" w:pos="6480"/>
        </w:tabs>
        <w:ind w:left="5040" w:firstLine="720"/>
      </w:pPr>
    </w:lvl>
    <w:lvl w:ilvl="8">
      <w:start w:val="1"/>
      <w:numFmt w:val="lowerRoman"/>
      <w:lvlText w:val="%9."/>
      <w:lvlJc w:val="left"/>
      <w:pPr>
        <w:tabs>
          <w:tab w:val="num" w:pos="7200"/>
        </w:tabs>
        <w:ind w:left="5760" w:firstLine="720"/>
      </w:pPr>
    </w:lvl>
  </w:abstractNum>
  <w:abstractNum w:abstractNumId="31" w15:restartNumberingAfterBreak="0">
    <w:nsid w:val="5AFD77B7"/>
    <w:multiLevelType w:val="multilevel"/>
    <w:tmpl w:val="0A20D81C"/>
    <w:lvl w:ilvl="0">
      <w:start w:val="1"/>
      <w:numFmt w:val="upperLetter"/>
      <w:lvlText w:val="%1."/>
      <w:lvlJc w:val="left"/>
      <w:pPr>
        <w:tabs>
          <w:tab w:val="num" w:pos="720"/>
        </w:tabs>
        <w:ind w:left="0" w:firstLine="0"/>
      </w:pPr>
      <w:rPr>
        <w:rFonts w:hint="default"/>
        <w:b/>
        <w:i w:val="0"/>
      </w:rPr>
    </w:lvl>
    <w:lvl w:ilvl="1">
      <w:start w:val="1"/>
      <w:numFmt w:val="decimal"/>
      <w:pStyle w:val="Heading20"/>
      <w:lvlText w:val="%2."/>
      <w:lvlJc w:val="left"/>
      <w:pPr>
        <w:tabs>
          <w:tab w:val="num" w:pos="2700"/>
        </w:tabs>
        <w:ind w:left="1260" w:firstLine="720"/>
      </w:pPr>
      <w:rPr>
        <w:rFonts w:ascii="Times New Roman Bold" w:hAnsi="Times New Roman Bold" w:hint="default"/>
        <w:b/>
        <w:i w:val="0"/>
        <w:sz w:val="20"/>
      </w:rPr>
    </w:lvl>
    <w:lvl w:ilvl="2">
      <w:start w:val="1"/>
      <w:numFmt w:val="lowerLetter"/>
      <w:pStyle w:val="Heading3"/>
      <w:lvlText w:val="%3."/>
      <w:lvlJc w:val="left"/>
      <w:pPr>
        <w:tabs>
          <w:tab w:val="num" w:pos="2160"/>
        </w:tabs>
        <w:ind w:left="0" w:firstLine="1440"/>
      </w:pPr>
      <w:rPr>
        <w:rFonts w:hint="default"/>
        <w:i w:val="0"/>
      </w:rPr>
    </w:lvl>
    <w:lvl w:ilvl="3">
      <w:start w:val="1"/>
      <w:numFmt w:val="decimal"/>
      <w:pStyle w:val="Heading4"/>
      <w:lvlText w:val="(%4)"/>
      <w:lvlJc w:val="left"/>
      <w:pPr>
        <w:tabs>
          <w:tab w:val="num" w:pos="2880"/>
        </w:tabs>
        <w:ind w:left="2880" w:hanging="720"/>
      </w:pPr>
      <w:rPr>
        <w:rFonts w:hint="default"/>
        <w:i w:val="0"/>
      </w:rPr>
    </w:lvl>
    <w:lvl w:ilvl="4">
      <w:start w:val="1"/>
      <w:numFmt w:val="lowerLetter"/>
      <w:pStyle w:val="Heading5"/>
      <w:lvlText w:val="%5."/>
      <w:lvlJc w:val="left"/>
      <w:pPr>
        <w:tabs>
          <w:tab w:val="num" w:pos="3600"/>
        </w:tabs>
        <w:ind w:left="0" w:firstLine="2880"/>
      </w:pPr>
      <w:rPr>
        <w:rFonts w:hint="default"/>
        <w:i w:val="0"/>
      </w:rPr>
    </w:lvl>
    <w:lvl w:ilvl="5">
      <w:start w:val="1"/>
      <w:numFmt w:val="upperLetter"/>
      <w:pStyle w:val="Heading6"/>
      <w:lvlText w:val="[%6]"/>
      <w:lvlJc w:val="left"/>
      <w:pPr>
        <w:tabs>
          <w:tab w:val="num" w:pos="5040"/>
        </w:tabs>
        <w:ind w:left="3600" w:firstLine="720"/>
      </w:pPr>
      <w:rPr>
        <w:rFonts w:hint="default"/>
        <w:i w:val="0"/>
      </w:rPr>
    </w:lvl>
    <w:lvl w:ilvl="6">
      <w:start w:val="1"/>
      <w:numFmt w:val="upperRoman"/>
      <w:pStyle w:val="Heading7"/>
      <w:lvlText w:val="[%7]"/>
      <w:lvlJc w:val="left"/>
      <w:pPr>
        <w:tabs>
          <w:tab w:val="num" w:pos="5760"/>
        </w:tabs>
        <w:ind w:left="4320" w:firstLine="720"/>
      </w:pPr>
      <w:rPr>
        <w:rFonts w:hint="default"/>
        <w:i w:val="0"/>
      </w:rPr>
    </w:lvl>
    <w:lvl w:ilvl="7">
      <w:start w:val="1"/>
      <w:numFmt w:val="lowerLetter"/>
      <w:pStyle w:val="Heading8"/>
      <w:lvlText w:val="%8."/>
      <w:lvlJc w:val="left"/>
      <w:pPr>
        <w:tabs>
          <w:tab w:val="num" w:pos="6480"/>
        </w:tabs>
        <w:ind w:left="5040" w:firstLine="720"/>
      </w:pPr>
      <w:rPr>
        <w:rFonts w:hint="default"/>
        <w:i w:val="0"/>
      </w:rPr>
    </w:lvl>
    <w:lvl w:ilvl="8">
      <w:start w:val="1"/>
      <w:numFmt w:val="lowerRoman"/>
      <w:pStyle w:val="Heading9"/>
      <w:lvlText w:val="%9."/>
      <w:lvlJc w:val="left"/>
      <w:pPr>
        <w:tabs>
          <w:tab w:val="num" w:pos="7200"/>
        </w:tabs>
        <w:ind w:left="5760" w:firstLine="720"/>
      </w:pPr>
      <w:rPr>
        <w:rFonts w:hint="default"/>
        <w:i w:val="0"/>
      </w:rPr>
    </w:lvl>
  </w:abstractNum>
  <w:abstractNum w:abstractNumId="32" w15:restartNumberingAfterBreak="0">
    <w:nsid w:val="5E232F71"/>
    <w:multiLevelType w:val="singleLevel"/>
    <w:tmpl w:val="C12EBCBC"/>
    <w:name w:val="*Numbered 1 0/.5"/>
    <w:lvl w:ilvl="0">
      <w:start w:val="1"/>
      <w:numFmt w:val="decimal"/>
      <w:lvlRestart w:val="0"/>
      <w:pStyle w:val="Numbered105"/>
      <w:lvlText w:val="%1."/>
      <w:lvlJc w:val="left"/>
      <w:pPr>
        <w:tabs>
          <w:tab w:val="num" w:pos="720"/>
        </w:tabs>
        <w:ind w:left="0" w:firstLine="720"/>
      </w:pPr>
      <w:rPr>
        <w:rFonts w:ascii="Times New Roman" w:hAnsi="Times New Roman" w:hint="default"/>
        <w:b/>
        <w:i w:val="0"/>
        <w:sz w:val="20"/>
        <w:szCs w:val="20"/>
        <w:u w:val="none"/>
      </w:rPr>
    </w:lvl>
  </w:abstractNum>
  <w:abstractNum w:abstractNumId="33" w15:restartNumberingAfterBreak="0">
    <w:nsid w:val="630217C0"/>
    <w:multiLevelType w:val="singleLevel"/>
    <w:tmpl w:val="1D5256D2"/>
    <w:lvl w:ilvl="0">
      <w:start w:val="1"/>
      <w:numFmt w:val="upperLetter"/>
      <w:lvlRestart w:val="0"/>
      <w:pStyle w:val="Heading1"/>
      <w:lvlText w:val="%1."/>
      <w:lvlJc w:val="left"/>
      <w:pPr>
        <w:tabs>
          <w:tab w:val="num" w:pos="720"/>
        </w:tabs>
        <w:ind w:left="0" w:firstLine="0"/>
      </w:pPr>
      <w:rPr>
        <w:b/>
        <w:i w:val="0"/>
      </w:rPr>
    </w:lvl>
  </w:abstractNum>
  <w:abstractNum w:abstractNumId="34" w15:restartNumberingAfterBreak="0">
    <w:nsid w:val="63AC1449"/>
    <w:multiLevelType w:val="multilevel"/>
    <w:tmpl w:val="0130E82C"/>
    <w:lvl w:ilvl="0">
      <w:start w:val="1"/>
      <w:numFmt w:val="upperRoman"/>
      <w:pStyle w:val="OutlineL1"/>
      <w:lvlText w:val="%1."/>
      <w:lvlJc w:val="left"/>
      <w:pPr>
        <w:tabs>
          <w:tab w:val="num" w:pos="720"/>
        </w:tabs>
      </w:pPr>
      <w:rPr>
        <w:rFonts w:cs="Times New Roman"/>
        <w:b w:val="0"/>
        <w:i w:val="0"/>
        <w:caps/>
        <w:smallCaps w:val="0"/>
        <w:u w:val="none"/>
      </w:rPr>
    </w:lvl>
    <w:lvl w:ilvl="1">
      <w:start w:val="1"/>
      <w:numFmt w:val="upperLetter"/>
      <w:pStyle w:val="OutlineL2"/>
      <w:lvlText w:val="%2."/>
      <w:lvlJc w:val="left"/>
      <w:pPr>
        <w:tabs>
          <w:tab w:val="num" w:pos="1440"/>
        </w:tabs>
        <w:ind w:firstLine="720"/>
      </w:pPr>
      <w:rPr>
        <w:rFonts w:cs="Times New Roman"/>
        <w:b/>
        <w:i w:val="0"/>
        <w:caps w:val="0"/>
        <w:u w:val="none"/>
      </w:rPr>
    </w:lvl>
    <w:lvl w:ilvl="2">
      <w:start w:val="1"/>
      <w:numFmt w:val="decimal"/>
      <w:pStyle w:val="OutlineL3"/>
      <w:lvlText w:val="%3."/>
      <w:lvlJc w:val="left"/>
      <w:pPr>
        <w:tabs>
          <w:tab w:val="num" w:pos="2160"/>
        </w:tabs>
        <w:ind w:firstLine="1440"/>
      </w:pPr>
      <w:rPr>
        <w:rFonts w:cs="Times New Roman"/>
        <w:b w:val="0"/>
        <w:i/>
        <w:caps w:val="0"/>
        <w:u w:val="none"/>
      </w:rPr>
    </w:lvl>
    <w:lvl w:ilvl="3">
      <w:start w:val="1"/>
      <w:numFmt w:val="lowerLetter"/>
      <w:pStyle w:val="OutlineL4"/>
      <w:lvlText w:val="%4."/>
      <w:lvlJc w:val="left"/>
      <w:pPr>
        <w:tabs>
          <w:tab w:val="num" w:pos="2880"/>
        </w:tabs>
        <w:ind w:firstLine="2160"/>
      </w:pPr>
      <w:rPr>
        <w:rFonts w:cs="Times New Roman"/>
        <w:b w:val="0"/>
        <w:i w:val="0"/>
        <w:caps w:val="0"/>
        <w:u w:val="none"/>
      </w:rPr>
    </w:lvl>
    <w:lvl w:ilvl="4">
      <w:start w:val="1"/>
      <w:numFmt w:val="lowerRoman"/>
      <w:pStyle w:val="OutlineL5"/>
      <w:lvlText w:val="(%5)"/>
      <w:lvlJc w:val="left"/>
      <w:pPr>
        <w:tabs>
          <w:tab w:val="num" w:pos="3600"/>
        </w:tabs>
        <w:ind w:firstLine="2880"/>
      </w:pPr>
      <w:rPr>
        <w:rFonts w:cs="Times New Roman"/>
        <w:b w:val="0"/>
        <w:i w:val="0"/>
        <w:caps w:val="0"/>
        <w:u w:val="none"/>
      </w:rPr>
    </w:lvl>
    <w:lvl w:ilvl="5">
      <w:start w:val="1"/>
      <w:numFmt w:val="lowerLetter"/>
      <w:pStyle w:val="OutlineL6"/>
      <w:lvlText w:val="(%6)"/>
      <w:lvlJc w:val="left"/>
      <w:pPr>
        <w:tabs>
          <w:tab w:val="num" w:pos="4320"/>
        </w:tabs>
        <w:ind w:firstLine="3600"/>
      </w:pPr>
      <w:rPr>
        <w:rFonts w:cs="Times New Roman"/>
        <w:b w:val="0"/>
        <w:i w:val="0"/>
        <w:caps w:val="0"/>
        <w:u w:val="none"/>
      </w:rPr>
    </w:lvl>
    <w:lvl w:ilvl="6">
      <w:start w:val="1"/>
      <w:numFmt w:val="decimal"/>
      <w:pStyle w:val="OutlineL7"/>
      <w:lvlText w:val="(%7)"/>
      <w:lvlJc w:val="left"/>
      <w:pPr>
        <w:tabs>
          <w:tab w:val="num" w:pos="5040"/>
        </w:tabs>
        <w:ind w:firstLine="4320"/>
      </w:pPr>
      <w:rPr>
        <w:rFonts w:cs="Times New Roman"/>
        <w:b w:val="0"/>
        <w:i w:val="0"/>
        <w:caps w:val="0"/>
        <w:u w:val="none"/>
      </w:rPr>
    </w:lvl>
    <w:lvl w:ilvl="7">
      <w:start w:val="1"/>
      <w:numFmt w:val="lowerRoman"/>
      <w:pStyle w:val="OutlineL8"/>
      <w:lvlText w:val="%8)"/>
      <w:lvlJc w:val="left"/>
      <w:pPr>
        <w:tabs>
          <w:tab w:val="num" w:pos="5760"/>
        </w:tabs>
        <w:ind w:firstLine="5040"/>
      </w:pPr>
      <w:rPr>
        <w:rFonts w:cs="Times New Roman"/>
        <w:b w:val="0"/>
        <w:i w:val="0"/>
        <w:caps w:val="0"/>
        <w:u w:val="none"/>
      </w:rPr>
    </w:lvl>
    <w:lvl w:ilvl="8">
      <w:start w:val="1"/>
      <w:numFmt w:val="lowerLetter"/>
      <w:pStyle w:val="OutlineL9"/>
      <w:lvlText w:val="%9)"/>
      <w:lvlJc w:val="left"/>
      <w:pPr>
        <w:tabs>
          <w:tab w:val="num" w:pos="6480"/>
        </w:tabs>
        <w:ind w:firstLine="5760"/>
      </w:pPr>
      <w:rPr>
        <w:rFonts w:cs="Times New Roman"/>
        <w:b w:val="0"/>
        <w:i w:val="0"/>
        <w:caps w:val="0"/>
        <w:u w:val="none"/>
      </w:rPr>
    </w:lvl>
  </w:abstractNum>
  <w:abstractNum w:abstractNumId="35" w15:restartNumberingAfterBreak="0">
    <w:nsid w:val="6AE51A1C"/>
    <w:multiLevelType w:val="singleLevel"/>
    <w:tmpl w:val="319ECDAA"/>
    <w:name w:val="NB1"/>
    <w:lvl w:ilvl="0">
      <w:start w:val="1"/>
      <w:numFmt w:val="bullet"/>
      <w:lvlRestart w:val="0"/>
      <w:pStyle w:val="NB1"/>
      <w:lvlText w:val=""/>
      <w:lvlJc w:val="left"/>
      <w:pPr>
        <w:tabs>
          <w:tab w:val="num" w:pos="2160"/>
        </w:tabs>
        <w:ind w:left="2160" w:hanging="720"/>
      </w:pPr>
      <w:rPr>
        <w:rFonts w:ascii="Symbol" w:hAnsi="Symbol" w:hint="default"/>
      </w:rPr>
    </w:lvl>
  </w:abstractNum>
  <w:abstractNum w:abstractNumId="36" w15:restartNumberingAfterBreak="0">
    <w:nsid w:val="76B02164"/>
    <w:multiLevelType w:val="singleLevel"/>
    <w:tmpl w:val="FB7A22EE"/>
    <w:name w:val="*Bullet List Indent .5"/>
    <w:lvl w:ilvl="0">
      <w:start w:val="1"/>
      <w:numFmt w:val="bullet"/>
      <w:lvlRestart w:val="0"/>
      <w:pStyle w:val="BulletListIndent5"/>
      <w:lvlText w:val=""/>
      <w:lvlJc w:val="left"/>
      <w:pPr>
        <w:tabs>
          <w:tab w:val="num" w:pos="1440"/>
        </w:tabs>
        <w:ind w:left="1440" w:hanging="720"/>
      </w:pPr>
      <w:rPr>
        <w:rFonts w:ascii="Symbol" w:hAnsi="Symbol" w:hint="default"/>
      </w:rPr>
    </w:lvl>
  </w:abstractNum>
  <w:abstractNum w:abstractNumId="37" w15:restartNumberingAfterBreak="0">
    <w:nsid w:val="7B7E56F6"/>
    <w:multiLevelType w:val="multilevel"/>
    <w:tmpl w:val="4C781034"/>
    <w:lvl w:ilvl="0">
      <w:start w:val="1"/>
      <w:numFmt w:val="upperRoman"/>
      <w:lvlRestart w:val="0"/>
      <w:pStyle w:val="LFLevel1"/>
      <w:lvlText w:val="%1."/>
      <w:lvlJc w:val="left"/>
      <w:pPr>
        <w:tabs>
          <w:tab w:val="num" w:pos="720"/>
        </w:tabs>
        <w:ind w:left="720" w:hanging="720"/>
      </w:pPr>
      <w:rPr>
        <w:b/>
        <w:i w:val="0"/>
        <w:u w:val="none"/>
      </w:rPr>
    </w:lvl>
    <w:lvl w:ilvl="1">
      <w:start w:val="1"/>
      <w:numFmt w:val="upperLetter"/>
      <w:pStyle w:val="LFLevel2"/>
      <w:lvlText w:val="%2."/>
      <w:lvlJc w:val="left"/>
      <w:pPr>
        <w:tabs>
          <w:tab w:val="num" w:pos="1440"/>
        </w:tabs>
        <w:ind w:left="1440" w:hanging="720"/>
      </w:pPr>
      <w:rPr>
        <w:rFonts w:ascii="Times New Roman Bold" w:hAnsi="Times New Roman Bold"/>
        <w:b/>
        <w:i w:val="0"/>
        <w:u w:val="none"/>
      </w:rPr>
    </w:lvl>
    <w:lvl w:ilvl="2">
      <w:start w:val="1"/>
      <w:numFmt w:val="decimal"/>
      <w:pStyle w:val="LFLevel3"/>
      <w:lvlText w:val="%3."/>
      <w:lvlJc w:val="left"/>
      <w:pPr>
        <w:tabs>
          <w:tab w:val="num" w:pos="2160"/>
        </w:tabs>
        <w:ind w:left="2160" w:hanging="720"/>
      </w:pPr>
      <w:rPr>
        <w:b w:val="0"/>
        <w:i w:val="0"/>
        <w:u w:val="none"/>
      </w:rPr>
    </w:lvl>
    <w:lvl w:ilvl="3">
      <w:start w:val="1"/>
      <w:numFmt w:val="lowerLetter"/>
      <w:pStyle w:val="LFLevel4"/>
      <w:lvlText w:val="%4."/>
      <w:lvlJc w:val="left"/>
      <w:pPr>
        <w:tabs>
          <w:tab w:val="num" w:pos="2880"/>
        </w:tabs>
        <w:ind w:left="2880" w:hanging="720"/>
      </w:pPr>
      <w:rPr>
        <w:b w:val="0"/>
        <w:i w:val="0"/>
        <w:caps w:val="0"/>
        <w:u w:val="none"/>
      </w:rPr>
    </w:lvl>
    <w:lvl w:ilvl="4">
      <w:start w:val="1"/>
      <w:numFmt w:val="decimal"/>
      <w:pStyle w:val="LFLevel5"/>
      <w:lvlText w:val="(%5)"/>
      <w:lvlJc w:val="left"/>
      <w:pPr>
        <w:tabs>
          <w:tab w:val="num" w:pos="3600"/>
        </w:tabs>
        <w:ind w:left="3600" w:hanging="720"/>
      </w:pPr>
      <w:rPr>
        <w:b w:val="0"/>
        <w:i w:val="0"/>
        <w:caps w:val="0"/>
        <w:u w:val="none"/>
      </w:rPr>
    </w:lvl>
    <w:lvl w:ilvl="5">
      <w:start w:val="1"/>
      <w:numFmt w:val="lowerLetter"/>
      <w:pStyle w:val="LFLevel6"/>
      <w:lvlText w:val="(%6)"/>
      <w:lvlJc w:val="left"/>
      <w:pPr>
        <w:tabs>
          <w:tab w:val="num" w:pos="4200"/>
        </w:tabs>
        <w:ind w:left="4200" w:hanging="720"/>
      </w:pPr>
      <w:rPr>
        <w:b w:val="0"/>
        <w:i w:val="0"/>
        <w:caps w:val="0"/>
        <w:u w:val="none"/>
      </w:rPr>
    </w:lvl>
    <w:lvl w:ilvl="6">
      <w:start w:val="1"/>
      <w:numFmt w:val="lowerRoman"/>
      <w:pStyle w:val="LFLevel7"/>
      <w:lvlText w:val="(%7)"/>
      <w:lvlJc w:val="left"/>
      <w:pPr>
        <w:tabs>
          <w:tab w:val="num" w:pos="5040"/>
        </w:tabs>
        <w:ind w:left="5040" w:hanging="720"/>
      </w:pPr>
      <w:rPr>
        <w:b w:val="0"/>
        <w:i w:val="0"/>
        <w:caps w:val="0"/>
        <w:u w:val="none"/>
      </w:rPr>
    </w:lvl>
    <w:lvl w:ilvl="7">
      <w:start w:val="1"/>
      <w:numFmt w:val="lowerRoman"/>
      <w:pStyle w:val="LFLevel8"/>
      <w:lvlText w:val="(%8)"/>
      <w:lvlJc w:val="left"/>
      <w:pPr>
        <w:tabs>
          <w:tab w:val="num" w:pos="5760"/>
        </w:tabs>
        <w:ind w:left="5760" w:hanging="720"/>
      </w:pPr>
      <w:rPr>
        <w:b w:val="0"/>
        <w:i w:val="0"/>
        <w:u w:val="none"/>
      </w:rPr>
    </w:lvl>
    <w:lvl w:ilvl="8">
      <w:start w:val="1"/>
      <w:numFmt w:val="decimal"/>
      <w:pStyle w:val="LFLevel9"/>
      <w:lvlText w:val="(%9)"/>
      <w:lvlJc w:val="left"/>
      <w:pPr>
        <w:tabs>
          <w:tab w:val="num" w:pos="6480"/>
        </w:tabs>
        <w:ind w:left="6480" w:hanging="720"/>
      </w:pPr>
      <w:rPr>
        <w:b w:val="0"/>
        <w:i w:val="0"/>
        <w:u w:val="none"/>
      </w:rPr>
    </w:lvl>
  </w:abstractNum>
  <w:abstractNum w:abstractNumId="38" w15:restartNumberingAfterBreak="0">
    <w:nsid w:val="7D6024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8"/>
  </w:num>
  <w:num w:numId="2">
    <w:abstractNumId w:val="38"/>
  </w:num>
  <w:num w:numId="3">
    <w:abstractNumId w:val="32"/>
  </w:num>
  <w:num w:numId="4">
    <w:abstractNumId w:val="33"/>
  </w:num>
  <w:num w:numId="5">
    <w:abstractNumId w:val="36"/>
  </w:num>
  <w:num w:numId="6">
    <w:abstractNumId w:val="13"/>
  </w:num>
  <w:num w:numId="7">
    <w:abstractNumId w:val="37"/>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31"/>
  </w:num>
  <w:num w:numId="24">
    <w:abstractNumId w:val="14"/>
  </w:num>
  <w:num w:numId="25">
    <w:abstractNumId w:val="35"/>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1"/>
  </w:num>
  <w:num w:numId="39">
    <w:abstractNumId w:val="16"/>
  </w:num>
  <w:num w:numId="40">
    <w:abstractNumId w:val="29"/>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0"/>
  </w:num>
  <w:num w:numId="44">
    <w:abstractNumId w:val="28"/>
  </w:num>
  <w:num w:numId="45">
    <w:abstractNumId w:val="17"/>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3"/>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SpellingErrors/>
  <w:hideGrammaticalErrors/>
  <w:activeWritingStyle w:appName="MSWord" w:lang="en-US" w:vendorID="64" w:dllVersion="6" w:nlCheck="1" w:checkStyle="1"/>
  <w:activeWritingStyle w:appName="MSWord" w:lang="en-U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D6A"/>
    <w:rsid w:val="00000B38"/>
    <w:rsid w:val="0000115C"/>
    <w:rsid w:val="000036A5"/>
    <w:rsid w:val="000037A4"/>
    <w:rsid w:val="00003FA2"/>
    <w:rsid w:val="00005489"/>
    <w:rsid w:val="00010C1C"/>
    <w:rsid w:val="000133C2"/>
    <w:rsid w:val="00014E28"/>
    <w:rsid w:val="0001566F"/>
    <w:rsid w:val="00017F3F"/>
    <w:rsid w:val="00020EF8"/>
    <w:rsid w:val="00021072"/>
    <w:rsid w:val="000211D0"/>
    <w:rsid w:val="000218C2"/>
    <w:rsid w:val="0002195A"/>
    <w:rsid w:val="00023014"/>
    <w:rsid w:val="00023582"/>
    <w:rsid w:val="00030B48"/>
    <w:rsid w:val="00031331"/>
    <w:rsid w:val="0003338E"/>
    <w:rsid w:val="00033876"/>
    <w:rsid w:val="00033BCE"/>
    <w:rsid w:val="00035610"/>
    <w:rsid w:val="0003640D"/>
    <w:rsid w:val="000364EE"/>
    <w:rsid w:val="0003676E"/>
    <w:rsid w:val="0003743C"/>
    <w:rsid w:val="00037AFD"/>
    <w:rsid w:val="00037DDE"/>
    <w:rsid w:val="00040939"/>
    <w:rsid w:val="00041CAB"/>
    <w:rsid w:val="000437C2"/>
    <w:rsid w:val="00043A7D"/>
    <w:rsid w:val="00043DAC"/>
    <w:rsid w:val="00044F12"/>
    <w:rsid w:val="000451FC"/>
    <w:rsid w:val="0004547F"/>
    <w:rsid w:val="000456BF"/>
    <w:rsid w:val="0005037A"/>
    <w:rsid w:val="00050873"/>
    <w:rsid w:val="0005091E"/>
    <w:rsid w:val="0005094D"/>
    <w:rsid w:val="00051258"/>
    <w:rsid w:val="00051C17"/>
    <w:rsid w:val="00052295"/>
    <w:rsid w:val="000543AF"/>
    <w:rsid w:val="00054422"/>
    <w:rsid w:val="000549A0"/>
    <w:rsid w:val="00055528"/>
    <w:rsid w:val="000556CA"/>
    <w:rsid w:val="00055E79"/>
    <w:rsid w:val="00056130"/>
    <w:rsid w:val="0005760A"/>
    <w:rsid w:val="000609E5"/>
    <w:rsid w:val="00060B53"/>
    <w:rsid w:val="00061318"/>
    <w:rsid w:val="00062048"/>
    <w:rsid w:val="000625CF"/>
    <w:rsid w:val="00062F11"/>
    <w:rsid w:val="00062F4E"/>
    <w:rsid w:val="0006315F"/>
    <w:rsid w:val="0006385C"/>
    <w:rsid w:val="000645DC"/>
    <w:rsid w:val="00066946"/>
    <w:rsid w:val="00066AEC"/>
    <w:rsid w:val="00070907"/>
    <w:rsid w:val="00071746"/>
    <w:rsid w:val="00072457"/>
    <w:rsid w:val="00072C25"/>
    <w:rsid w:val="00073445"/>
    <w:rsid w:val="0007393D"/>
    <w:rsid w:val="00075028"/>
    <w:rsid w:val="0007523C"/>
    <w:rsid w:val="00075B6B"/>
    <w:rsid w:val="00080117"/>
    <w:rsid w:val="00081023"/>
    <w:rsid w:val="00081890"/>
    <w:rsid w:val="00083A5E"/>
    <w:rsid w:val="0008567A"/>
    <w:rsid w:val="00085CC8"/>
    <w:rsid w:val="00086342"/>
    <w:rsid w:val="0008663C"/>
    <w:rsid w:val="00087C01"/>
    <w:rsid w:val="00090864"/>
    <w:rsid w:val="000909E5"/>
    <w:rsid w:val="00091506"/>
    <w:rsid w:val="00091CF9"/>
    <w:rsid w:val="000924DA"/>
    <w:rsid w:val="00092728"/>
    <w:rsid w:val="000942E4"/>
    <w:rsid w:val="00094330"/>
    <w:rsid w:val="00095B29"/>
    <w:rsid w:val="00097ECC"/>
    <w:rsid w:val="000A047A"/>
    <w:rsid w:val="000A2602"/>
    <w:rsid w:val="000A2816"/>
    <w:rsid w:val="000A392E"/>
    <w:rsid w:val="000A5344"/>
    <w:rsid w:val="000A58F9"/>
    <w:rsid w:val="000A6928"/>
    <w:rsid w:val="000A6929"/>
    <w:rsid w:val="000A6969"/>
    <w:rsid w:val="000A7409"/>
    <w:rsid w:val="000B0242"/>
    <w:rsid w:val="000B0F02"/>
    <w:rsid w:val="000B1E71"/>
    <w:rsid w:val="000B5551"/>
    <w:rsid w:val="000B7086"/>
    <w:rsid w:val="000B72B1"/>
    <w:rsid w:val="000B731A"/>
    <w:rsid w:val="000B77D3"/>
    <w:rsid w:val="000B7D0F"/>
    <w:rsid w:val="000C0999"/>
    <w:rsid w:val="000C0C6D"/>
    <w:rsid w:val="000C1D60"/>
    <w:rsid w:val="000C1E77"/>
    <w:rsid w:val="000C4C4B"/>
    <w:rsid w:val="000C5398"/>
    <w:rsid w:val="000C5EDC"/>
    <w:rsid w:val="000C6211"/>
    <w:rsid w:val="000C7C76"/>
    <w:rsid w:val="000D1A25"/>
    <w:rsid w:val="000D20F7"/>
    <w:rsid w:val="000D28E3"/>
    <w:rsid w:val="000D2ABB"/>
    <w:rsid w:val="000D50C0"/>
    <w:rsid w:val="000D56B4"/>
    <w:rsid w:val="000D6C9A"/>
    <w:rsid w:val="000D71EE"/>
    <w:rsid w:val="000E0D0A"/>
    <w:rsid w:val="000E0DC2"/>
    <w:rsid w:val="000E0F87"/>
    <w:rsid w:val="000E21EC"/>
    <w:rsid w:val="000E2546"/>
    <w:rsid w:val="000E37D4"/>
    <w:rsid w:val="000E465A"/>
    <w:rsid w:val="000E4C2A"/>
    <w:rsid w:val="000E4C3B"/>
    <w:rsid w:val="000E595D"/>
    <w:rsid w:val="000E5B7D"/>
    <w:rsid w:val="000E5BAA"/>
    <w:rsid w:val="000E7EC0"/>
    <w:rsid w:val="000F3897"/>
    <w:rsid w:val="000F43FC"/>
    <w:rsid w:val="000F523B"/>
    <w:rsid w:val="000F5CBD"/>
    <w:rsid w:val="000F5D3F"/>
    <w:rsid w:val="000F6A95"/>
    <w:rsid w:val="000F70C2"/>
    <w:rsid w:val="0010091F"/>
    <w:rsid w:val="001013BD"/>
    <w:rsid w:val="0010267F"/>
    <w:rsid w:val="00102FAE"/>
    <w:rsid w:val="00103213"/>
    <w:rsid w:val="001036F7"/>
    <w:rsid w:val="00104BC8"/>
    <w:rsid w:val="001056AA"/>
    <w:rsid w:val="00105A5C"/>
    <w:rsid w:val="00106543"/>
    <w:rsid w:val="00106A94"/>
    <w:rsid w:val="00107BA6"/>
    <w:rsid w:val="00110E51"/>
    <w:rsid w:val="001129B5"/>
    <w:rsid w:val="00112FF7"/>
    <w:rsid w:val="001130BC"/>
    <w:rsid w:val="001137ED"/>
    <w:rsid w:val="00115C00"/>
    <w:rsid w:val="0011602D"/>
    <w:rsid w:val="00117405"/>
    <w:rsid w:val="00120A9D"/>
    <w:rsid w:val="00120D12"/>
    <w:rsid w:val="00122279"/>
    <w:rsid w:val="001223AC"/>
    <w:rsid w:val="00122E70"/>
    <w:rsid w:val="0012354D"/>
    <w:rsid w:val="001236A7"/>
    <w:rsid w:val="00123B15"/>
    <w:rsid w:val="001242B7"/>
    <w:rsid w:val="0012440B"/>
    <w:rsid w:val="001254D2"/>
    <w:rsid w:val="00125995"/>
    <w:rsid w:val="00127398"/>
    <w:rsid w:val="0012790D"/>
    <w:rsid w:val="00127914"/>
    <w:rsid w:val="0013051F"/>
    <w:rsid w:val="00130A89"/>
    <w:rsid w:val="00131208"/>
    <w:rsid w:val="00131269"/>
    <w:rsid w:val="001318A4"/>
    <w:rsid w:val="00131C92"/>
    <w:rsid w:val="00131FAC"/>
    <w:rsid w:val="00133F46"/>
    <w:rsid w:val="001356DE"/>
    <w:rsid w:val="0013596E"/>
    <w:rsid w:val="00135BCE"/>
    <w:rsid w:val="0013741B"/>
    <w:rsid w:val="001401C7"/>
    <w:rsid w:val="001402DB"/>
    <w:rsid w:val="00140826"/>
    <w:rsid w:val="00141478"/>
    <w:rsid w:val="00143ECE"/>
    <w:rsid w:val="001455FD"/>
    <w:rsid w:val="0014561A"/>
    <w:rsid w:val="00146605"/>
    <w:rsid w:val="00146A1C"/>
    <w:rsid w:val="001479F1"/>
    <w:rsid w:val="00150130"/>
    <w:rsid w:val="0015089A"/>
    <w:rsid w:val="0015194E"/>
    <w:rsid w:val="00152C3B"/>
    <w:rsid w:val="0015668A"/>
    <w:rsid w:val="00157658"/>
    <w:rsid w:val="00157D8B"/>
    <w:rsid w:val="00161455"/>
    <w:rsid w:val="00161C22"/>
    <w:rsid w:val="00162576"/>
    <w:rsid w:val="00163FD5"/>
    <w:rsid w:val="00164892"/>
    <w:rsid w:val="00165207"/>
    <w:rsid w:val="00165E74"/>
    <w:rsid w:val="001719CA"/>
    <w:rsid w:val="00172E8B"/>
    <w:rsid w:val="001741A7"/>
    <w:rsid w:val="001757C5"/>
    <w:rsid w:val="00175932"/>
    <w:rsid w:val="00175987"/>
    <w:rsid w:val="00177552"/>
    <w:rsid w:val="001801D9"/>
    <w:rsid w:val="00180A23"/>
    <w:rsid w:val="001812DE"/>
    <w:rsid w:val="00182D00"/>
    <w:rsid w:val="0018402B"/>
    <w:rsid w:val="00185619"/>
    <w:rsid w:val="001868ED"/>
    <w:rsid w:val="001900D2"/>
    <w:rsid w:val="00190CC2"/>
    <w:rsid w:val="00190E3F"/>
    <w:rsid w:val="00190F7D"/>
    <w:rsid w:val="0019168A"/>
    <w:rsid w:val="00195885"/>
    <w:rsid w:val="00196231"/>
    <w:rsid w:val="00196AE9"/>
    <w:rsid w:val="00196C99"/>
    <w:rsid w:val="00197334"/>
    <w:rsid w:val="00197A9E"/>
    <w:rsid w:val="001A12F3"/>
    <w:rsid w:val="001A24AD"/>
    <w:rsid w:val="001A3573"/>
    <w:rsid w:val="001A4A28"/>
    <w:rsid w:val="001A64D3"/>
    <w:rsid w:val="001A6686"/>
    <w:rsid w:val="001A6BFF"/>
    <w:rsid w:val="001A79AD"/>
    <w:rsid w:val="001B0663"/>
    <w:rsid w:val="001B1E99"/>
    <w:rsid w:val="001B23CB"/>
    <w:rsid w:val="001B23E5"/>
    <w:rsid w:val="001B43C8"/>
    <w:rsid w:val="001B4427"/>
    <w:rsid w:val="001B4756"/>
    <w:rsid w:val="001B4CC3"/>
    <w:rsid w:val="001B5D56"/>
    <w:rsid w:val="001B7A61"/>
    <w:rsid w:val="001B7A8E"/>
    <w:rsid w:val="001C08A6"/>
    <w:rsid w:val="001C0C0D"/>
    <w:rsid w:val="001C156A"/>
    <w:rsid w:val="001C226A"/>
    <w:rsid w:val="001C35B5"/>
    <w:rsid w:val="001C474F"/>
    <w:rsid w:val="001C63F6"/>
    <w:rsid w:val="001D00F0"/>
    <w:rsid w:val="001D04E1"/>
    <w:rsid w:val="001D1416"/>
    <w:rsid w:val="001D18FB"/>
    <w:rsid w:val="001D1B3B"/>
    <w:rsid w:val="001D26FD"/>
    <w:rsid w:val="001D292F"/>
    <w:rsid w:val="001D3AF5"/>
    <w:rsid w:val="001D3E43"/>
    <w:rsid w:val="001D4CE5"/>
    <w:rsid w:val="001D53FF"/>
    <w:rsid w:val="001D5B16"/>
    <w:rsid w:val="001D707C"/>
    <w:rsid w:val="001D718C"/>
    <w:rsid w:val="001D7726"/>
    <w:rsid w:val="001E00F2"/>
    <w:rsid w:val="001E14B1"/>
    <w:rsid w:val="001E2ED9"/>
    <w:rsid w:val="001E6D5B"/>
    <w:rsid w:val="001E7057"/>
    <w:rsid w:val="001E738B"/>
    <w:rsid w:val="001E751D"/>
    <w:rsid w:val="001E77D2"/>
    <w:rsid w:val="001E7B78"/>
    <w:rsid w:val="001E7C34"/>
    <w:rsid w:val="001F3FEE"/>
    <w:rsid w:val="001F74F7"/>
    <w:rsid w:val="002006DF"/>
    <w:rsid w:val="002013D9"/>
    <w:rsid w:val="00204512"/>
    <w:rsid w:val="002050EE"/>
    <w:rsid w:val="0020528E"/>
    <w:rsid w:val="0020692A"/>
    <w:rsid w:val="00206B72"/>
    <w:rsid w:val="00207A06"/>
    <w:rsid w:val="00211111"/>
    <w:rsid w:val="002126A7"/>
    <w:rsid w:val="00212881"/>
    <w:rsid w:val="00212F5E"/>
    <w:rsid w:val="00214951"/>
    <w:rsid w:val="0021521A"/>
    <w:rsid w:val="0021676F"/>
    <w:rsid w:val="002168B0"/>
    <w:rsid w:val="00217226"/>
    <w:rsid w:val="00217603"/>
    <w:rsid w:val="002200A2"/>
    <w:rsid w:val="00221B2D"/>
    <w:rsid w:val="00221D71"/>
    <w:rsid w:val="00221E15"/>
    <w:rsid w:val="00223C81"/>
    <w:rsid w:val="00223D87"/>
    <w:rsid w:val="00224565"/>
    <w:rsid w:val="00227A69"/>
    <w:rsid w:val="002302AE"/>
    <w:rsid w:val="00230844"/>
    <w:rsid w:val="00231397"/>
    <w:rsid w:val="0023196F"/>
    <w:rsid w:val="00231A94"/>
    <w:rsid w:val="00231E50"/>
    <w:rsid w:val="00233406"/>
    <w:rsid w:val="00235723"/>
    <w:rsid w:val="00235F8D"/>
    <w:rsid w:val="00237540"/>
    <w:rsid w:val="00237F29"/>
    <w:rsid w:val="00240046"/>
    <w:rsid w:val="0024090C"/>
    <w:rsid w:val="0024161C"/>
    <w:rsid w:val="002435EA"/>
    <w:rsid w:val="00243C6F"/>
    <w:rsid w:val="002446C7"/>
    <w:rsid w:val="0024484E"/>
    <w:rsid w:val="00244CEA"/>
    <w:rsid w:val="002479EB"/>
    <w:rsid w:val="002501F3"/>
    <w:rsid w:val="00251BCB"/>
    <w:rsid w:val="0025241C"/>
    <w:rsid w:val="00252844"/>
    <w:rsid w:val="00252A8E"/>
    <w:rsid w:val="00252EDE"/>
    <w:rsid w:val="00253EE3"/>
    <w:rsid w:val="002554B7"/>
    <w:rsid w:val="00255ED0"/>
    <w:rsid w:val="00256DBE"/>
    <w:rsid w:val="00257508"/>
    <w:rsid w:val="00257F80"/>
    <w:rsid w:val="002604EA"/>
    <w:rsid w:val="00260711"/>
    <w:rsid w:val="00261A39"/>
    <w:rsid w:val="00261AAD"/>
    <w:rsid w:val="002623D2"/>
    <w:rsid w:val="00263E3F"/>
    <w:rsid w:val="00264461"/>
    <w:rsid w:val="002647FD"/>
    <w:rsid w:val="00264E81"/>
    <w:rsid w:val="00265092"/>
    <w:rsid w:val="00265B95"/>
    <w:rsid w:val="002662B8"/>
    <w:rsid w:val="00266BAF"/>
    <w:rsid w:val="0026758B"/>
    <w:rsid w:val="002675F3"/>
    <w:rsid w:val="0026790A"/>
    <w:rsid w:val="00267944"/>
    <w:rsid w:val="00267B90"/>
    <w:rsid w:val="00271587"/>
    <w:rsid w:val="00274290"/>
    <w:rsid w:val="00274FD5"/>
    <w:rsid w:val="0027555B"/>
    <w:rsid w:val="0027692E"/>
    <w:rsid w:val="002769BE"/>
    <w:rsid w:val="002770D6"/>
    <w:rsid w:val="00280E7C"/>
    <w:rsid w:val="00283ED5"/>
    <w:rsid w:val="00284B1E"/>
    <w:rsid w:val="00284D86"/>
    <w:rsid w:val="0028581E"/>
    <w:rsid w:val="002866E3"/>
    <w:rsid w:val="00290473"/>
    <w:rsid w:val="002912B8"/>
    <w:rsid w:val="00291322"/>
    <w:rsid w:val="002926CF"/>
    <w:rsid w:val="00293232"/>
    <w:rsid w:val="00295250"/>
    <w:rsid w:val="002973E0"/>
    <w:rsid w:val="00297A82"/>
    <w:rsid w:val="002A0941"/>
    <w:rsid w:val="002A0FDB"/>
    <w:rsid w:val="002A14FC"/>
    <w:rsid w:val="002A1F23"/>
    <w:rsid w:val="002A253D"/>
    <w:rsid w:val="002A2547"/>
    <w:rsid w:val="002A40F3"/>
    <w:rsid w:val="002A48A6"/>
    <w:rsid w:val="002A4917"/>
    <w:rsid w:val="002A6275"/>
    <w:rsid w:val="002A6F8C"/>
    <w:rsid w:val="002A705A"/>
    <w:rsid w:val="002A79D9"/>
    <w:rsid w:val="002B1919"/>
    <w:rsid w:val="002B339C"/>
    <w:rsid w:val="002B59B5"/>
    <w:rsid w:val="002B6530"/>
    <w:rsid w:val="002B6F4B"/>
    <w:rsid w:val="002C020E"/>
    <w:rsid w:val="002C0246"/>
    <w:rsid w:val="002C09C6"/>
    <w:rsid w:val="002C1DE7"/>
    <w:rsid w:val="002C32DD"/>
    <w:rsid w:val="002C37F2"/>
    <w:rsid w:val="002C3A7A"/>
    <w:rsid w:val="002C5379"/>
    <w:rsid w:val="002C55C1"/>
    <w:rsid w:val="002C7598"/>
    <w:rsid w:val="002D1D38"/>
    <w:rsid w:val="002D21FA"/>
    <w:rsid w:val="002D230D"/>
    <w:rsid w:val="002D2B68"/>
    <w:rsid w:val="002D2E2F"/>
    <w:rsid w:val="002D4361"/>
    <w:rsid w:val="002D4447"/>
    <w:rsid w:val="002D684C"/>
    <w:rsid w:val="002E08F2"/>
    <w:rsid w:val="002E170B"/>
    <w:rsid w:val="002E173B"/>
    <w:rsid w:val="002E228F"/>
    <w:rsid w:val="002E270D"/>
    <w:rsid w:val="002E55D6"/>
    <w:rsid w:val="002E7941"/>
    <w:rsid w:val="002F0684"/>
    <w:rsid w:val="002F0869"/>
    <w:rsid w:val="002F12DC"/>
    <w:rsid w:val="002F149E"/>
    <w:rsid w:val="002F1597"/>
    <w:rsid w:val="002F1CE6"/>
    <w:rsid w:val="002F3325"/>
    <w:rsid w:val="002F768D"/>
    <w:rsid w:val="002F7734"/>
    <w:rsid w:val="003003E7"/>
    <w:rsid w:val="003008AB"/>
    <w:rsid w:val="00300EE5"/>
    <w:rsid w:val="00302CA8"/>
    <w:rsid w:val="00303238"/>
    <w:rsid w:val="00303A49"/>
    <w:rsid w:val="003044BC"/>
    <w:rsid w:val="003049DA"/>
    <w:rsid w:val="0030604B"/>
    <w:rsid w:val="003060B9"/>
    <w:rsid w:val="00306537"/>
    <w:rsid w:val="00307295"/>
    <w:rsid w:val="00307BC4"/>
    <w:rsid w:val="00311CD8"/>
    <w:rsid w:val="00312756"/>
    <w:rsid w:val="00312E95"/>
    <w:rsid w:val="00313253"/>
    <w:rsid w:val="00313377"/>
    <w:rsid w:val="00313D5E"/>
    <w:rsid w:val="003141C1"/>
    <w:rsid w:val="00314566"/>
    <w:rsid w:val="003145B8"/>
    <w:rsid w:val="00314FD1"/>
    <w:rsid w:val="00315BE0"/>
    <w:rsid w:val="003176F3"/>
    <w:rsid w:val="00317BF6"/>
    <w:rsid w:val="0032193A"/>
    <w:rsid w:val="00321B6C"/>
    <w:rsid w:val="003233B7"/>
    <w:rsid w:val="00326495"/>
    <w:rsid w:val="00326C56"/>
    <w:rsid w:val="00330261"/>
    <w:rsid w:val="003316CE"/>
    <w:rsid w:val="003320C6"/>
    <w:rsid w:val="00332596"/>
    <w:rsid w:val="00335376"/>
    <w:rsid w:val="0033574D"/>
    <w:rsid w:val="00336703"/>
    <w:rsid w:val="0033716C"/>
    <w:rsid w:val="00337745"/>
    <w:rsid w:val="00337A28"/>
    <w:rsid w:val="0034267C"/>
    <w:rsid w:val="0034507F"/>
    <w:rsid w:val="003474E3"/>
    <w:rsid w:val="0035039F"/>
    <w:rsid w:val="00351159"/>
    <w:rsid w:val="00351D1C"/>
    <w:rsid w:val="00351D7B"/>
    <w:rsid w:val="003524AA"/>
    <w:rsid w:val="00353B9E"/>
    <w:rsid w:val="00353C7E"/>
    <w:rsid w:val="00353F9E"/>
    <w:rsid w:val="00355829"/>
    <w:rsid w:val="00356219"/>
    <w:rsid w:val="00357E76"/>
    <w:rsid w:val="00357FA3"/>
    <w:rsid w:val="00360554"/>
    <w:rsid w:val="00360B36"/>
    <w:rsid w:val="003610CB"/>
    <w:rsid w:val="00362D90"/>
    <w:rsid w:val="003630F7"/>
    <w:rsid w:val="0036314D"/>
    <w:rsid w:val="003633B6"/>
    <w:rsid w:val="00363600"/>
    <w:rsid w:val="00365A2B"/>
    <w:rsid w:val="00366A7B"/>
    <w:rsid w:val="00367607"/>
    <w:rsid w:val="00371FA0"/>
    <w:rsid w:val="003722BC"/>
    <w:rsid w:val="00372EF6"/>
    <w:rsid w:val="003746AC"/>
    <w:rsid w:val="003758A1"/>
    <w:rsid w:val="0037633A"/>
    <w:rsid w:val="00376D65"/>
    <w:rsid w:val="0038202D"/>
    <w:rsid w:val="00382C79"/>
    <w:rsid w:val="0038495B"/>
    <w:rsid w:val="003849A0"/>
    <w:rsid w:val="00384E74"/>
    <w:rsid w:val="003854EC"/>
    <w:rsid w:val="003855A0"/>
    <w:rsid w:val="00387584"/>
    <w:rsid w:val="00390541"/>
    <w:rsid w:val="00391ECC"/>
    <w:rsid w:val="00394528"/>
    <w:rsid w:val="003949F3"/>
    <w:rsid w:val="00394AAE"/>
    <w:rsid w:val="003956CE"/>
    <w:rsid w:val="003965A5"/>
    <w:rsid w:val="00396894"/>
    <w:rsid w:val="00397A2E"/>
    <w:rsid w:val="00397B9C"/>
    <w:rsid w:val="00397C1C"/>
    <w:rsid w:val="003A01E3"/>
    <w:rsid w:val="003A06D7"/>
    <w:rsid w:val="003A0DDA"/>
    <w:rsid w:val="003A121C"/>
    <w:rsid w:val="003A170F"/>
    <w:rsid w:val="003A1DC5"/>
    <w:rsid w:val="003A224A"/>
    <w:rsid w:val="003A22A7"/>
    <w:rsid w:val="003A245C"/>
    <w:rsid w:val="003A274F"/>
    <w:rsid w:val="003A2F02"/>
    <w:rsid w:val="003A32A4"/>
    <w:rsid w:val="003A40B8"/>
    <w:rsid w:val="003A55CB"/>
    <w:rsid w:val="003A5A81"/>
    <w:rsid w:val="003A5C0D"/>
    <w:rsid w:val="003A62AE"/>
    <w:rsid w:val="003A641A"/>
    <w:rsid w:val="003A6CB0"/>
    <w:rsid w:val="003A708C"/>
    <w:rsid w:val="003B013C"/>
    <w:rsid w:val="003B15AB"/>
    <w:rsid w:val="003B1CBB"/>
    <w:rsid w:val="003B34EF"/>
    <w:rsid w:val="003B3833"/>
    <w:rsid w:val="003B62D5"/>
    <w:rsid w:val="003B7F8D"/>
    <w:rsid w:val="003C0C06"/>
    <w:rsid w:val="003C1004"/>
    <w:rsid w:val="003C1FEB"/>
    <w:rsid w:val="003C3A1A"/>
    <w:rsid w:val="003C3D7B"/>
    <w:rsid w:val="003C3F71"/>
    <w:rsid w:val="003C4B20"/>
    <w:rsid w:val="003C6742"/>
    <w:rsid w:val="003C6E36"/>
    <w:rsid w:val="003D012C"/>
    <w:rsid w:val="003D0A06"/>
    <w:rsid w:val="003D189B"/>
    <w:rsid w:val="003D1A17"/>
    <w:rsid w:val="003D1B24"/>
    <w:rsid w:val="003D1F03"/>
    <w:rsid w:val="003D2498"/>
    <w:rsid w:val="003D39E3"/>
    <w:rsid w:val="003D4430"/>
    <w:rsid w:val="003D448D"/>
    <w:rsid w:val="003D4A80"/>
    <w:rsid w:val="003D5806"/>
    <w:rsid w:val="003D6DE3"/>
    <w:rsid w:val="003E0929"/>
    <w:rsid w:val="003E0B66"/>
    <w:rsid w:val="003E0DAD"/>
    <w:rsid w:val="003E0E87"/>
    <w:rsid w:val="003E16DF"/>
    <w:rsid w:val="003E38A9"/>
    <w:rsid w:val="003E44F8"/>
    <w:rsid w:val="003E531A"/>
    <w:rsid w:val="003E55A8"/>
    <w:rsid w:val="003E6A9A"/>
    <w:rsid w:val="003E7624"/>
    <w:rsid w:val="003F0DB6"/>
    <w:rsid w:val="003F0FE2"/>
    <w:rsid w:val="003F148E"/>
    <w:rsid w:val="003F21EC"/>
    <w:rsid w:val="003F237D"/>
    <w:rsid w:val="003F2A21"/>
    <w:rsid w:val="003F3E17"/>
    <w:rsid w:val="003F72B1"/>
    <w:rsid w:val="00400664"/>
    <w:rsid w:val="0040087B"/>
    <w:rsid w:val="00401059"/>
    <w:rsid w:val="0040444D"/>
    <w:rsid w:val="00404E00"/>
    <w:rsid w:val="00405CCB"/>
    <w:rsid w:val="00406151"/>
    <w:rsid w:val="00410F1D"/>
    <w:rsid w:val="00410F7A"/>
    <w:rsid w:val="00411654"/>
    <w:rsid w:val="0041168B"/>
    <w:rsid w:val="004123F2"/>
    <w:rsid w:val="004128CA"/>
    <w:rsid w:val="00412FBE"/>
    <w:rsid w:val="004144D9"/>
    <w:rsid w:val="00414671"/>
    <w:rsid w:val="004151D2"/>
    <w:rsid w:val="00415A8F"/>
    <w:rsid w:val="00420125"/>
    <w:rsid w:val="00420973"/>
    <w:rsid w:val="00421465"/>
    <w:rsid w:val="00422666"/>
    <w:rsid w:val="00423353"/>
    <w:rsid w:val="004242F2"/>
    <w:rsid w:val="0042475D"/>
    <w:rsid w:val="00424F03"/>
    <w:rsid w:val="00425EDF"/>
    <w:rsid w:val="00426C61"/>
    <w:rsid w:val="00426CC3"/>
    <w:rsid w:val="00427333"/>
    <w:rsid w:val="004279A0"/>
    <w:rsid w:val="00430B57"/>
    <w:rsid w:val="004315C1"/>
    <w:rsid w:val="0043192C"/>
    <w:rsid w:val="0043197D"/>
    <w:rsid w:val="00434F28"/>
    <w:rsid w:val="00434F55"/>
    <w:rsid w:val="00435883"/>
    <w:rsid w:val="0044041F"/>
    <w:rsid w:val="00442A76"/>
    <w:rsid w:val="00442D51"/>
    <w:rsid w:val="00443FBF"/>
    <w:rsid w:val="00446FC6"/>
    <w:rsid w:val="00447883"/>
    <w:rsid w:val="00447D04"/>
    <w:rsid w:val="0045049E"/>
    <w:rsid w:val="004507F7"/>
    <w:rsid w:val="0045169F"/>
    <w:rsid w:val="00451D40"/>
    <w:rsid w:val="00454202"/>
    <w:rsid w:val="00454670"/>
    <w:rsid w:val="004546B1"/>
    <w:rsid w:val="00455716"/>
    <w:rsid w:val="00455BDF"/>
    <w:rsid w:val="00456372"/>
    <w:rsid w:val="00456708"/>
    <w:rsid w:val="00456BDE"/>
    <w:rsid w:val="00457244"/>
    <w:rsid w:val="00457271"/>
    <w:rsid w:val="00460644"/>
    <w:rsid w:val="00461AFD"/>
    <w:rsid w:val="004622DD"/>
    <w:rsid w:val="00462996"/>
    <w:rsid w:val="00463483"/>
    <w:rsid w:val="0046422B"/>
    <w:rsid w:val="004642B3"/>
    <w:rsid w:val="00465BBA"/>
    <w:rsid w:val="00466602"/>
    <w:rsid w:val="004666BD"/>
    <w:rsid w:val="004667D1"/>
    <w:rsid w:val="004671F1"/>
    <w:rsid w:val="00467617"/>
    <w:rsid w:val="004712BB"/>
    <w:rsid w:val="00471927"/>
    <w:rsid w:val="00471D08"/>
    <w:rsid w:val="004722A3"/>
    <w:rsid w:val="004726F2"/>
    <w:rsid w:val="004729F5"/>
    <w:rsid w:val="0047354D"/>
    <w:rsid w:val="00477971"/>
    <w:rsid w:val="00477BAE"/>
    <w:rsid w:val="00477EA5"/>
    <w:rsid w:val="00480366"/>
    <w:rsid w:val="00480965"/>
    <w:rsid w:val="00481224"/>
    <w:rsid w:val="004816F0"/>
    <w:rsid w:val="00481BB5"/>
    <w:rsid w:val="0048299D"/>
    <w:rsid w:val="00482BD4"/>
    <w:rsid w:val="0048304A"/>
    <w:rsid w:val="00483D5E"/>
    <w:rsid w:val="00484500"/>
    <w:rsid w:val="004853E4"/>
    <w:rsid w:val="00485DB9"/>
    <w:rsid w:val="0048651C"/>
    <w:rsid w:val="00490541"/>
    <w:rsid w:val="00490A6F"/>
    <w:rsid w:val="00491E18"/>
    <w:rsid w:val="0049250B"/>
    <w:rsid w:val="004943C7"/>
    <w:rsid w:val="0049454B"/>
    <w:rsid w:val="004954E6"/>
    <w:rsid w:val="004957A5"/>
    <w:rsid w:val="004957D5"/>
    <w:rsid w:val="00496E66"/>
    <w:rsid w:val="0049776B"/>
    <w:rsid w:val="004A2810"/>
    <w:rsid w:val="004A5137"/>
    <w:rsid w:val="004A5459"/>
    <w:rsid w:val="004A6431"/>
    <w:rsid w:val="004A6CBC"/>
    <w:rsid w:val="004A6D6C"/>
    <w:rsid w:val="004A75AA"/>
    <w:rsid w:val="004A7857"/>
    <w:rsid w:val="004A7A9A"/>
    <w:rsid w:val="004B0172"/>
    <w:rsid w:val="004B036D"/>
    <w:rsid w:val="004B0B0C"/>
    <w:rsid w:val="004B0EDD"/>
    <w:rsid w:val="004B2313"/>
    <w:rsid w:val="004B3041"/>
    <w:rsid w:val="004B34BB"/>
    <w:rsid w:val="004B3F94"/>
    <w:rsid w:val="004B4A53"/>
    <w:rsid w:val="004B4B5A"/>
    <w:rsid w:val="004B50A0"/>
    <w:rsid w:val="004B5386"/>
    <w:rsid w:val="004B53B2"/>
    <w:rsid w:val="004B55EF"/>
    <w:rsid w:val="004B5969"/>
    <w:rsid w:val="004B72BD"/>
    <w:rsid w:val="004B7E58"/>
    <w:rsid w:val="004C0E3A"/>
    <w:rsid w:val="004C35D5"/>
    <w:rsid w:val="004C3AC4"/>
    <w:rsid w:val="004C4467"/>
    <w:rsid w:val="004C48F6"/>
    <w:rsid w:val="004C6147"/>
    <w:rsid w:val="004C61D3"/>
    <w:rsid w:val="004C66AB"/>
    <w:rsid w:val="004C6710"/>
    <w:rsid w:val="004C677D"/>
    <w:rsid w:val="004C6E3C"/>
    <w:rsid w:val="004C75CE"/>
    <w:rsid w:val="004D2AA2"/>
    <w:rsid w:val="004D3C09"/>
    <w:rsid w:val="004D3D4D"/>
    <w:rsid w:val="004D5B93"/>
    <w:rsid w:val="004D7343"/>
    <w:rsid w:val="004D79A3"/>
    <w:rsid w:val="004E10A3"/>
    <w:rsid w:val="004E2067"/>
    <w:rsid w:val="004E226A"/>
    <w:rsid w:val="004E31A1"/>
    <w:rsid w:val="004E3712"/>
    <w:rsid w:val="004E4B24"/>
    <w:rsid w:val="004E6E40"/>
    <w:rsid w:val="004E736F"/>
    <w:rsid w:val="004F0898"/>
    <w:rsid w:val="004F3718"/>
    <w:rsid w:val="004F378B"/>
    <w:rsid w:val="004F395A"/>
    <w:rsid w:val="004F3BEB"/>
    <w:rsid w:val="004F3DED"/>
    <w:rsid w:val="004F41DA"/>
    <w:rsid w:val="004F46F2"/>
    <w:rsid w:val="004F4CB3"/>
    <w:rsid w:val="004F6E54"/>
    <w:rsid w:val="004F6E92"/>
    <w:rsid w:val="004F76C5"/>
    <w:rsid w:val="00500406"/>
    <w:rsid w:val="00500A79"/>
    <w:rsid w:val="00503689"/>
    <w:rsid w:val="00504055"/>
    <w:rsid w:val="005064D1"/>
    <w:rsid w:val="00506FDA"/>
    <w:rsid w:val="00510CAF"/>
    <w:rsid w:val="00511298"/>
    <w:rsid w:val="0051144E"/>
    <w:rsid w:val="00511ADF"/>
    <w:rsid w:val="00511BCA"/>
    <w:rsid w:val="00514AB2"/>
    <w:rsid w:val="005205DC"/>
    <w:rsid w:val="005221F0"/>
    <w:rsid w:val="00522CA3"/>
    <w:rsid w:val="00523E70"/>
    <w:rsid w:val="00524259"/>
    <w:rsid w:val="00524705"/>
    <w:rsid w:val="00524A72"/>
    <w:rsid w:val="005254C7"/>
    <w:rsid w:val="00525E4D"/>
    <w:rsid w:val="00526E3A"/>
    <w:rsid w:val="005303DF"/>
    <w:rsid w:val="005307E5"/>
    <w:rsid w:val="0053139F"/>
    <w:rsid w:val="00531584"/>
    <w:rsid w:val="005316B9"/>
    <w:rsid w:val="00531A59"/>
    <w:rsid w:val="00531DA4"/>
    <w:rsid w:val="005344A0"/>
    <w:rsid w:val="0053529B"/>
    <w:rsid w:val="005357AE"/>
    <w:rsid w:val="005364A2"/>
    <w:rsid w:val="005420BF"/>
    <w:rsid w:val="005427E0"/>
    <w:rsid w:val="00542D34"/>
    <w:rsid w:val="0054377E"/>
    <w:rsid w:val="00543AD0"/>
    <w:rsid w:val="005444F1"/>
    <w:rsid w:val="00544512"/>
    <w:rsid w:val="00544B2B"/>
    <w:rsid w:val="00545898"/>
    <w:rsid w:val="0054597C"/>
    <w:rsid w:val="00546012"/>
    <w:rsid w:val="0054796E"/>
    <w:rsid w:val="00550469"/>
    <w:rsid w:val="00551A16"/>
    <w:rsid w:val="00551E8F"/>
    <w:rsid w:val="00552191"/>
    <w:rsid w:val="00552E51"/>
    <w:rsid w:val="00554143"/>
    <w:rsid w:val="00554367"/>
    <w:rsid w:val="00554BF0"/>
    <w:rsid w:val="00554DD3"/>
    <w:rsid w:val="005559A7"/>
    <w:rsid w:val="00555D34"/>
    <w:rsid w:val="00556059"/>
    <w:rsid w:val="00556571"/>
    <w:rsid w:val="00556A1A"/>
    <w:rsid w:val="00560FBA"/>
    <w:rsid w:val="0056122D"/>
    <w:rsid w:val="005620D3"/>
    <w:rsid w:val="00564683"/>
    <w:rsid w:val="005659B4"/>
    <w:rsid w:val="00565A76"/>
    <w:rsid w:val="00565F2F"/>
    <w:rsid w:val="00566180"/>
    <w:rsid w:val="00566A85"/>
    <w:rsid w:val="0056712B"/>
    <w:rsid w:val="00567B51"/>
    <w:rsid w:val="00567B64"/>
    <w:rsid w:val="005706B0"/>
    <w:rsid w:val="0057102C"/>
    <w:rsid w:val="00571B7E"/>
    <w:rsid w:val="00573B6A"/>
    <w:rsid w:val="005742C9"/>
    <w:rsid w:val="00574D8E"/>
    <w:rsid w:val="00576524"/>
    <w:rsid w:val="00577422"/>
    <w:rsid w:val="005811EA"/>
    <w:rsid w:val="005817FF"/>
    <w:rsid w:val="00582948"/>
    <w:rsid w:val="005839D8"/>
    <w:rsid w:val="00584791"/>
    <w:rsid w:val="00584B8B"/>
    <w:rsid w:val="00584F51"/>
    <w:rsid w:val="0058528E"/>
    <w:rsid w:val="005852A3"/>
    <w:rsid w:val="00585F96"/>
    <w:rsid w:val="005877DC"/>
    <w:rsid w:val="00587B49"/>
    <w:rsid w:val="00587F01"/>
    <w:rsid w:val="00591A16"/>
    <w:rsid w:val="00591D71"/>
    <w:rsid w:val="0059380C"/>
    <w:rsid w:val="00593A46"/>
    <w:rsid w:val="005944A4"/>
    <w:rsid w:val="00594677"/>
    <w:rsid w:val="00595210"/>
    <w:rsid w:val="00597176"/>
    <w:rsid w:val="00597CC2"/>
    <w:rsid w:val="005A001F"/>
    <w:rsid w:val="005A0035"/>
    <w:rsid w:val="005A0124"/>
    <w:rsid w:val="005A051D"/>
    <w:rsid w:val="005A0A83"/>
    <w:rsid w:val="005A2012"/>
    <w:rsid w:val="005A3088"/>
    <w:rsid w:val="005A33D6"/>
    <w:rsid w:val="005A3D79"/>
    <w:rsid w:val="005A4174"/>
    <w:rsid w:val="005A44C0"/>
    <w:rsid w:val="005A4613"/>
    <w:rsid w:val="005A4B70"/>
    <w:rsid w:val="005A727F"/>
    <w:rsid w:val="005A733A"/>
    <w:rsid w:val="005A79B3"/>
    <w:rsid w:val="005A7C45"/>
    <w:rsid w:val="005B2386"/>
    <w:rsid w:val="005B2A5D"/>
    <w:rsid w:val="005B3CE2"/>
    <w:rsid w:val="005B4648"/>
    <w:rsid w:val="005B63C9"/>
    <w:rsid w:val="005C139E"/>
    <w:rsid w:val="005C25A1"/>
    <w:rsid w:val="005C3D93"/>
    <w:rsid w:val="005C49F5"/>
    <w:rsid w:val="005D085C"/>
    <w:rsid w:val="005D22B0"/>
    <w:rsid w:val="005D28DE"/>
    <w:rsid w:val="005D3297"/>
    <w:rsid w:val="005D460D"/>
    <w:rsid w:val="005D53B6"/>
    <w:rsid w:val="005D5EDE"/>
    <w:rsid w:val="005D5F96"/>
    <w:rsid w:val="005D6CCE"/>
    <w:rsid w:val="005D7014"/>
    <w:rsid w:val="005E1A84"/>
    <w:rsid w:val="005E1F42"/>
    <w:rsid w:val="005E2BA2"/>
    <w:rsid w:val="005E4994"/>
    <w:rsid w:val="005E5B51"/>
    <w:rsid w:val="005E5C35"/>
    <w:rsid w:val="005E6222"/>
    <w:rsid w:val="005E624A"/>
    <w:rsid w:val="005E6E64"/>
    <w:rsid w:val="005F0B44"/>
    <w:rsid w:val="005F1163"/>
    <w:rsid w:val="005F2559"/>
    <w:rsid w:val="005F4A40"/>
    <w:rsid w:val="005F5464"/>
    <w:rsid w:val="005F5A54"/>
    <w:rsid w:val="005F6120"/>
    <w:rsid w:val="005F618D"/>
    <w:rsid w:val="005F7981"/>
    <w:rsid w:val="00600008"/>
    <w:rsid w:val="00600AE8"/>
    <w:rsid w:val="006016AC"/>
    <w:rsid w:val="00602729"/>
    <w:rsid w:val="006028B3"/>
    <w:rsid w:val="00604C9B"/>
    <w:rsid w:val="006053A8"/>
    <w:rsid w:val="0060577A"/>
    <w:rsid w:val="00606B55"/>
    <w:rsid w:val="006076BD"/>
    <w:rsid w:val="00607B64"/>
    <w:rsid w:val="00610886"/>
    <w:rsid w:val="00610B67"/>
    <w:rsid w:val="0061117F"/>
    <w:rsid w:val="00613027"/>
    <w:rsid w:val="006132D5"/>
    <w:rsid w:val="006134C9"/>
    <w:rsid w:val="00614126"/>
    <w:rsid w:val="006151AD"/>
    <w:rsid w:val="0061686A"/>
    <w:rsid w:val="00617833"/>
    <w:rsid w:val="00620296"/>
    <w:rsid w:val="00620A12"/>
    <w:rsid w:val="00620A74"/>
    <w:rsid w:val="00621527"/>
    <w:rsid w:val="00621BA9"/>
    <w:rsid w:val="00623BF2"/>
    <w:rsid w:val="00623E88"/>
    <w:rsid w:val="006241FB"/>
    <w:rsid w:val="00625250"/>
    <w:rsid w:val="00625B09"/>
    <w:rsid w:val="00626AF0"/>
    <w:rsid w:val="006270BE"/>
    <w:rsid w:val="006270FD"/>
    <w:rsid w:val="006301D0"/>
    <w:rsid w:val="006309A6"/>
    <w:rsid w:val="00630D91"/>
    <w:rsid w:val="00631C16"/>
    <w:rsid w:val="0063291B"/>
    <w:rsid w:val="00633D01"/>
    <w:rsid w:val="00633EDD"/>
    <w:rsid w:val="00636EED"/>
    <w:rsid w:val="006419A4"/>
    <w:rsid w:val="00642480"/>
    <w:rsid w:val="00643087"/>
    <w:rsid w:val="00643FBF"/>
    <w:rsid w:val="00645C33"/>
    <w:rsid w:val="00645E6D"/>
    <w:rsid w:val="0064615A"/>
    <w:rsid w:val="00647771"/>
    <w:rsid w:val="0065018C"/>
    <w:rsid w:val="0065188C"/>
    <w:rsid w:val="0065216A"/>
    <w:rsid w:val="006549FE"/>
    <w:rsid w:val="00654EF5"/>
    <w:rsid w:val="00655956"/>
    <w:rsid w:val="00655A76"/>
    <w:rsid w:val="006564C0"/>
    <w:rsid w:val="0065686B"/>
    <w:rsid w:val="0065760B"/>
    <w:rsid w:val="006576FA"/>
    <w:rsid w:val="006608A4"/>
    <w:rsid w:val="00661038"/>
    <w:rsid w:val="00661C90"/>
    <w:rsid w:val="00662366"/>
    <w:rsid w:val="00663772"/>
    <w:rsid w:val="00664580"/>
    <w:rsid w:val="00664E09"/>
    <w:rsid w:val="00664F86"/>
    <w:rsid w:val="00665CB8"/>
    <w:rsid w:val="00665F42"/>
    <w:rsid w:val="00666BE9"/>
    <w:rsid w:val="00666FDE"/>
    <w:rsid w:val="00667006"/>
    <w:rsid w:val="0066705E"/>
    <w:rsid w:val="00667844"/>
    <w:rsid w:val="006706C4"/>
    <w:rsid w:val="00670798"/>
    <w:rsid w:val="00670DFC"/>
    <w:rsid w:val="00671B42"/>
    <w:rsid w:val="00671C99"/>
    <w:rsid w:val="006722B5"/>
    <w:rsid w:val="00673D35"/>
    <w:rsid w:val="00674577"/>
    <w:rsid w:val="00675423"/>
    <w:rsid w:val="0067701C"/>
    <w:rsid w:val="006800BE"/>
    <w:rsid w:val="0068106E"/>
    <w:rsid w:val="0068130B"/>
    <w:rsid w:val="0068245B"/>
    <w:rsid w:val="006829DC"/>
    <w:rsid w:val="00682B22"/>
    <w:rsid w:val="00682DA0"/>
    <w:rsid w:val="006832E8"/>
    <w:rsid w:val="0068491C"/>
    <w:rsid w:val="00684E48"/>
    <w:rsid w:val="00686E8C"/>
    <w:rsid w:val="006905EE"/>
    <w:rsid w:val="00691DD7"/>
    <w:rsid w:val="006938CA"/>
    <w:rsid w:val="006949D3"/>
    <w:rsid w:val="006968AB"/>
    <w:rsid w:val="00696D1A"/>
    <w:rsid w:val="006971C2"/>
    <w:rsid w:val="00697627"/>
    <w:rsid w:val="00697EB9"/>
    <w:rsid w:val="006A1DA4"/>
    <w:rsid w:val="006A21EA"/>
    <w:rsid w:val="006A2639"/>
    <w:rsid w:val="006A2FEF"/>
    <w:rsid w:val="006A743D"/>
    <w:rsid w:val="006B0341"/>
    <w:rsid w:val="006B10D2"/>
    <w:rsid w:val="006B1CE0"/>
    <w:rsid w:val="006B2113"/>
    <w:rsid w:val="006B2A43"/>
    <w:rsid w:val="006B2AED"/>
    <w:rsid w:val="006B40EA"/>
    <w:rsid w:val="006B4E28"/>
    <w:rsid w:val="006B60BF"/>
    <w:rsid w:val="006B6718"/>
    <w:rsid w:val="006C2420"/>
    <w:rsid w:val="006C29C7"/>
    <w:rsid w:val="006C2A8F"/>
    <w:rsid w:val="006C2AB4"/>
    <w:rsid w:val="006C31CB"/>
    <w:rsid w:val="006C4523"/>
    <w:rsid w:val="006C4881"/>
    <w:rsid w:val="006C4FB2"/>
    <w:rsid w:val="006C583F"/>
    <w:rsid w:val="006C5889"/>
    <w:rsid w:val="006C59BC"/>
    <w:rsid w:val="006C5D61"/>
    <w:rsid w:val="006C69ED"/>
    <w:rsid w:val="006C7350"/>
    <w:rsid w:val="006C77DC"/>
    <w:rsid w:val="006C7B55"/>
    <w:rsid w:val="006D2C36"/>
    <w:rsid w:val="006D4E30"/>
    <w:rsid w:val="006D50CD"/>
    <w:rsid w:val="006D5D1E"/>
    <w:rsid w:val="006D70E4"/>
    <w:rsid w:val="006D7A37"/>
    <w:rsid w:val="006E28BD"/>
    <w:rsid w:val="006E2CA4"/>
    <w:rsid w:val="006E34A9"/>
    <w:rsid w:val="006E4614"/>
    <w:rsid w:val="006E4AE5"/>
    <w:rsid w:val="006E5E50"/>
    <w:rsid w:val="006E72FA"/>
    <w:rsid w:val="006F18E0"/>
    <w:rsid w:val="006F6915"/>
    <w:rsid w:val="006F6E8D"/>
    <w:rsid w:val="006F7F47"/>
    <w:rsid w:val="00702910"/>
    <w:rsid w:val="00702A5D"/>
    <w:rsid w:val="00703628"/>
    <w:rsid w:val="007065B0"/>
    <w:rsid w:val="00706814"/>
    <w:rsid w:val="007109AE"/>
    <w:rsid w:val="00710CD6"/>
    <w:rsid w:val="007117C8"/>
    <w:rsid w:val="00711F48"/>
    <w:rsid w:val="00712304"/>
    <w:rsid w:val="00712DD9"/>
    <w:rsid w:val="00712DE2"/>
    <w:rsid w:val="00713087"/>
    <w:rsid w:val="00713963"/>
    <w:rsid w:val="00713AC3"/>
    <w:rsid w:val="00716E1D"/>
    <w:rsid w:val="00717071"/>
    <w:rsid w:val="007212A4"/>
    <w:rsid w:val="0072239F"/>
    <w:rsid w:val="00723FF4"/>
    <w:rsid w:val="007242A8"/>
    <w:rsid w:val="00724508"/>
    <w:rsid w:val="00724E12"/>
    <w:rsid w:val="00724F9B"/>
    <w:rsid w:val="0072577C"/>
    <w:rsid w:val="00725961"/>
    <w:rsid w:val="007261B1"/>
    <w:rsid w:val="007266E0"/>
    <w:rsid w:val="00726D5B"/>
    <w:rsid w:val="00730A33"/>
    <w:rsid w:val="007324C2"/>
    <w:rsid w:val="0073310E"/>
    <w:rsid w:val="00733201"/>
    <w:rsid w:val="007341A5"/>
    <w:rsid w:val="00734574"/>
    <w:rsid w:val="00736624"/>
    <w:rsid w:val="00736C22"/>
    <w:rsid w:val="007370AD"/>
    <w:rsid w:val="0073744A"/>
    <w:rsid w:val="00740764"/>
    <w:rsid w:val="00740846"/>
    <w:rsid w:val="007417C1"/>
    <w:rsid w:val="00741CBF"/>
    <w:rsid w:val="007436A5"/>
    <w:rsid w:val="0074386C"/>
    <w:rsid w:val="007448C2"/>
    <w:rsid w:val="00744B32"/>
    <w:rsid w:val="00744BFB"/>
    <w:rsid w:val="00744F9D"/>
    <w:rsid w:val="00745E75"/>
    <w:rsid w:val="00746608"/>
    <w:rsid w:val="0074681E"/>
    <w:rsid w:val="007469BB"/>
    <w:rsid w:val="0074785B"/>
    <w:rsid w:val="00747AE4"/>
    <w:rsid w:val="00747B5B"/>
    <w:rsid w:val="007549EC"/>
    <w:rsid w:val="007601C3"/>
    <w:rsid w:val="007610F3"/>
    <w:rsid w:val="00761903"/>
    <w:rsid w:val="00762EAE"/>
    <w:rsid w:val="00762F3F"/>
    <w:rsid w:val="00763804"/>
    <w:rsid w:val="00763B38"/>
    <w:rsid w:val="007649DB"/>
    <w:rsid w:val="007657B2"/>
    <w:rsid w:val="00766C96"/>
    <w:rsid w:val="00771F0C"/>
    <w:rsid w:val="00773146"/>
    <w:rsid w:val="00773179"/>
    <w:rsid w:val="00773728"/>
    <w:rsid w:val="00773C5D"/>
    <w:rsid w:val="00773FCD"/>
    <w:rsid w:val="00774767"/>
    <w:rsid w:val="00775306"/>
    <w:rsid w:val="00777B02"/>
    <w:rsid w:val="00780C27"/>
    <w:rsid w:val="00781A38"/>
    <w:rsid w:val="007839B1"/>
    <w:rsid w:val="0078521B"/>
    <w:rsid w:val="00785405"/>
    <w:rsid w:val="00785A78"/>
    <w:rsid w:val="00785DCB"/>
    <w:rsid w:val="00786B4F"/>
    <w:rsid w:val="00787DDB"/>
    <w:rsid w:val="00787F58"/>
    <w:rsid w:val="00790270"/>
    <w:rsid w:val="007909BB"/>
    <w:rsid w:val="007914D9"/>
    <w:rsid w:val="00791D73"/>
    <w:rsid w:val="00791D7F"/>
    <w:rsid w:val="0079229C"/>
    <w:rsid w:val="007964A0"/>
    <w:rsid w:val="00797325"/>
    <w:rsid w:val="007973D1"/>
    <w:rsid w:val="007978EC"/>
    <w:rsid w:val="007A0E0C"/>
    <w:rsid w:val="007A10DD"/>
    <w:rsid w:val="007A1316"/>
    <w:rsid w:val="007A3173"/>
    <w:rsid w:val="007A58AD"/>
    <w:rsid w:val="007A712F"/>
    <w:rsid w:val="007A79E7"/>
    <w:rsid w:val="007A7D0A"/>
    <w:rsid w:val="007B091A"/>
    <w:rsid w:val="007B1242"/>
    <w:rsid w:val="007B189E"/>
    <w:rsid w:val="007B1B08"/>
    <w:rsid w:val="007B2517"/>
    <w:rsid w:val="007B262E"/>
    <w:rsid w:val="007B386C"/>
    <w:rsid w:val="007B4692"/>
    <w:rsid w:val="007B488C"/>
    <w:rsid w:val="007B51E1"/>
    <w:rsid w:val="007B60AB"/>
    <w:rsid w:val="007B7933"/>
    <w:rsid w:val="007C0258"/>
    <w:rsid w:val="007C32A5"/>
    <w:rsid w:val="007C3C49"/>
    <w:rsid w:val="007C4C43"/>
    <w:rsid w:val="007C53AB"/>
    <w:rsid w:val="007C6243"/>
    <w:rsid w:val="007C6CC4"/>
    <w:rsid w:val="007C7290"/>
    <w:rsid w:val="007D2188"/>
    <w:rsid w:val="007D2D75"/>
    <w:rsid w:val="007D3986"/>
    <w:rsid w:val="007D3CA2"/>
    <w:rsid w:val="007D3D5D"/>
    <w:rsid w:val="007D59FC"/>
    <w:rsid w:val="007D70C3"/>
    <w:rsid w:val="007E0FFB"/>
    <w:rsid w:val="007E1133"/>
    <w:rsid w:val="007E1981"/>
    <w:rsid w:val="007E1E1A"/>
    <w:rsid w:val="007E30AA"/>
    <w:rsid w:val="007E35C9"/>
    <w:rsid w:val="007E4022"/>
    <w:rsid w:val="007E4338"/>
    <w:rsid w:val="007E5A54"/>
    <w:rsid w:val="007E5DBC"/>
    <w:rsid w:val="007E7188"/>
    <w:rsid w:val="007E738C"/>
    <w:rsid w:val="007E7F2D"/>
    <w:rsid w:val="007F0295"/>
    <w:rsid w:val="007F1638"/>
    <w:rsid w:val="007F20B7"/>
    <w:rsid w:val="007F5191"/>
    <w:rsid w:val="007F5207"/>
    <w:rsid w:val="007F6D40"/>
    <w:rsid w:val="00800B2D"/>
    <w:rsid w:val="00800F68"/>
    <w:rsid w:val="008012C2"/>
    <w:rsid w:val="00801686"/>
    <w:rsid w:val="0080250E"/>
    <w:rsid w:val="00802D80"/>
    <w:rsid w:val="00802EB6"/>
    <w:rsid w:val="00803034"/>
    <w:rsid w:val="00803A76"/>
    <w:rsid w:val="00804B16"/>
    <w:rsid w:val="00805489"/>
    <w:rsid w:val="008056F7"/>
    <w:rsid w:val="008057D1"/>
    <w:rsid w:val="008059B8"/>
    <w:rsid w:val="00806803"/>
    <w:rsid w:val="00806BCC"/>
    <w:rsid w:val="00806CB3"/>
    <w:rsid w:val="00807647"/>
    <w:rsid w:val="00807EE8"/>
    <w:rsid w:val="00810739"/>
    <w:rsid w:val="00810A0D"/>
    <w:rsid w:val="00811C52"/>
    <w:rsid w:val="00812FCB"/>
    <w:rsid w:val="008135FB"/>
    <w:rsid w:val="00813900"/>
    <w:rsid w:val="008140F4"/>
    <w:rsid w:val="00814636"/>
    <w:rsid w:val="00814698"/>
    <w:rsid w:val="00814B63"/>
    <w:rsid w:val="00814FC5"/>
    <w:rsid w:val="00815030"/>
    <w:rsid w:val="008161BF"/>
    <w:rsid w:val="0081643F"/>
    <w:rsid w:val="00817274"/>
    <w:rsid w:val="00817E7D"/>
    <w:rsid w:val="00820E63"/>
    <w:rsid w:val="0082138A"/>
    <w:rsid w:val="00821492"/>
    <w:rsid w:val="00822141"/>
    <w:rsid w:val="0082227E"/>
    <w:rsid w:val="0082402F"/>
    <w:rsid w:val="0082460C"/>
    <w:rsid w:val="008248D3"/>
    <w:rsid w:val="0082621D"/>
    <w:rsid w:val="0082631E"/>
    <w:rsid w:val="00826FBD"/>
    <w:rsid w:val="0082735A"/>
    <w:rsid w:val="008304F2"/>
    <w:rsid w:val="0083143A"/>
    <w:rsid w:val="008318E7"/>
    <w:rsid w:val="008321BC"/>
    <w:rsid w:val="008333FF"/>
    <w:rsid w:val="00833A6D"/>
    <w:rsid w:val="008349E8"/>
    <w:rsid w:val="00834A32"/>
    <w:rsid w:val="00834C76"/>
    <w:rsid w:val="00835A59"/>
    <w:rsid w:val="00836669"/>
    <w:rsid w:val="00836683"/>
    <w:rsid w:val="00836BA1"/>
    <w:rsid w:val="008430A3"/>
    <w:rsid w:val="008461E2"/>
    <w:rsid w:val="008467FE"/>
    <w:rsid w:val="00846B2D"/>
    <w:rsid w:val="00846D7D"/>
    <w:rsid w:val="00847B15"/>
    <w:rsid w:val="00847DF5"/>
    <w:rsid w:val="00850AD3"/>
    <w:rsid w:val="00850C62"/>
    <w:rsid w:val="00850D7D"/>
    <w:rsid w:val="008512D2"/>
    <w:rsid w:val="00852D4A"/>
    <w:rsid w:val="00853E8F"/>
    <w:rsid w:val="00855535"/>
    <w:rsid w:val="00855C4F"/>
    <w:rsid w:val="00855D58"/>
    <w:rsid w:val="008567A1"/>
    <w:rsid w:val="00856948"/>
    <w:rsid w:val="00856D6A"/>
    <w:rsid w:val="00857BE3"/>
    <w:rsid w:val="00860510"/>
    <w:rsid w:val="008624EC"/>
    <w:rsid w:val="00862804"/>
    <w:rsid w:val="00863F18"/>
    <w:rsid w:val="00864FEC"/>
    <w:rsid w:val="00865188"/>
    <w:rsid w:val="00865432"/>
    <w:rsid w:val="00866B7E"/>
    <w:rsid w:val="008703D5"/>
    <w:rsid w:val="008713B4"/>
    <w:rsid w:val="008726FD"/>
    <w:rsid w:val="00872CF6"/>
    <w:rsid w:val="00874E0F"/>
    <w:rsid w:val="00874E54"/>
    <w:rsid w:val="00876120"/>
    <w:rsid w:val="0087657C"/>
    <w:rsid w:val="008771AB"/>
    <w:rsid w:val="00877620"/>
    <w:rsid w:val="00880C92"/>
    <w:rsid w:val="00880F2F"/>
    <w:rsid w:val="00882BA3"/>
    <w:rsid w:val="00882D03"/>
    <w:rsid w:val="00882EE9"/>
    <w:rsid w:val="00883692"/>
    <w:rsid w:val="00884AA0"/>
    <w:rsid w:val="00886683"/>
    <w:rsid w:val="00890386"/>
    <w:rsid w:val="00890C3B"/>
    <w:rsid w:val="008914E5"/>
    <w:rsid w:val="00891FBC"/>
    <w:rsid w:val="00892999"/>
    <w:rsid w:val="008929C5"/>
    <w:rsid w:val="008937B8"/>
    <w:rsid w:val="00894081"/>
    <w:rsid w:val="0089765C"/>
    <w:rsid w:val="0089779F"/>
    <w:rsid w:val="008A00DD"/>
    <w:rsid w:val="008A0D0A"/>
    <w:rsid w:val="008A1E8E"/>
    <w:rsid w:val="008A43B1"/>
    <w:rsid w:val="008A4456"/>
    <w:rsid w:val="008A5BEF"/>
    <w:rsid w:val="008A768B"/>
    <w:rsid w:val="008A797F"/>
    <w:rsid w:val="008B00DC"/>
    <w:rsid w:val="008B303B"/>
    <w:rsid w:val="008B3E4D"/>
    <w:rsid w:val="008B443F"/>
    <w:rsid w:val="008B61C8"/>
    <w:rsid w:val="008B62AB"/>
    <w:rsid w:val="008B7692"/>
    <w:rsid w:val="008B7B47"/>
    <w:rsid w:val="008C0FE2"/>
    <w:rsid w:val="008C1451"/>
    <w:rsid w:val="008C151A"/>
    <w:rsid w:val="008C285F"/>
    <w:rsid w:val="008C2D2B"/>
    <w:rsid w:val="008C3CDE"/>
    <w:rsid w:val="008C523F"/>
    <w:rsid w:val="008C56B3"/>
    <w:rsid w:val="008C5998"/>
    <w:rsid w:val="008C5D9A"/>
    <w:rsid w:val="008D1C60"/>
    <w:rsid w:val="008D32E4"/>
    <w:rsid w:val="008D344C"/>
    <w:rsid w:val="008D43DC"/>
    <w:rsid w:val="008D58B0"/>
    <w:rsid w:val="008D67F1"/>
    <w:rsid w:val="008D6ED2"/>
    <w:rsid w:val="008D703C"/>
    <w:rsid w:val="008D7128"/>
    <w:rsid w:val="008D74F6"/>
    <w:rsid w:val="008D75A6"/>
    <w:rsid w:val="008E03F7"/>
    <w:rsid w:val="008E0757"/>
    <w:rsid w:val="008E13C2"/>
    <w:rsid w:val="008E174F"/>
    <w:rsid w:val="008E2E95"/>
    <w:rsid w:val="008E3011"/>
    <w:rsid w:val="008E317F"/>
    <w:rsid w:val="008E32AC"/>
    <w:rsid w:val="008E4730"/>
    <w:rsid w:val="008E5F93"/>
    <w:rsid w:val="008E6512"/>
    <w:rsid w:val="008E71A9"/>
    <w:rsid w:val="008E76BE"/>
    <w:rsid w:val="008E7FD3"/>
    <w:rsid w:val="008F01A1"/>
    <w:rsid w:val="008F10E4"/>
    <w:rsid w:val="008F223B"/>
    <w:rsid w:val="008F240C"/>
    <w:rsid w:val="008F2869"/>
    <w:rsid w:val="008F4E5A"/>
    <w:rsid w:val="008F727A"/>
    <w:rsid w:val="008F7953"/>
    <w:rsid w:val="00900EB8"/>
    <w:rsid w:val="00902018"/>
    <w:rsid w:val="009026E5"/>
    <w:rsid w:val="00902AA8"/>
    <w:rsid w:val="00902C22"/>
    <w:rsid w:val="00904D2D"/>
    <w:rsid w:val="009052EB"/>
    <w:rsid w:val="00905815"/>
    <w:rsid w:val="00905A48"/>
    <w:rsid w:val="009071E2"/>
    <w:rsid w:val="00910BEF"/>
    <w:rsid w:val="00910DF8"/>
    <w:rsid w:val="009125B3"/>
    <w:rsid w:val="00912C72"/>
    <w:rsid w:val="00912E6F"/>
    <w:rsid w:val="00913252"/>
    <w:rsid w:val="009134A4"/>
    <w:rsid w:val="00914130"/>
    <w:rsid w:val="00914B72"/>
    <w:rsid w:val="00914C49"/>
    <w:rsid w:val="009156F5"/>
    <w:rsid w:val="009162EA"/>
    <w:rsid w:val="00916802"/>
    <w:rsid w:val="0092184E"/>
    <w:rsid w:val="009237DA"/>
    <w:rsid w:val="009243E7"/>
    <w:rsid w:val="00925651"/>
    <w:rsid w:val="00926A95"/>
    <w:rsid w:val="0093130B"/>
    <w:rsid w:val="009315CF"/>
    <w:rsid w:val="0093256F"/>
    <w:rsid w:val="00932624"/>
    <w:rsid w:val="00932E4E"/>
    <w:rsid w:val="009337EB"/>
    <w:rsid w:val="0093437E"/>
    <w:rsid w:val="0093542B"/>
    <w:rsid w:val="0093662C"/>
    <w:rsid w:val="00936AD5"/>
    <w:rsid w:val="00937C87"/>
    <w:rsid w:val="00942FC1"/>
    <w:rsid w:val="00944936"/>
    <w:rsid w:val="00945395"/>
    <w:rsid w:val="00946CC1"/>
    <w:rsid w:val="00950F1B"/>
    <w:rsid w:val="009510D3"/>
    <w:rsid w:val="00951559"/>
    <w:rsid w:val="00951E74"/>
    <w:rsid w:val="0095434B"/>
    <w:rsid w:val="00954BE7"/>
    <w:rsid w:val="00954F98"/>
    <w:rsid w:val="0095516D"/>
    <w:rsid w:val="00955FA0"/>
    <w:rsid w:val="009636D7"/>
    <w:rsid w:val="00963A39"/>
    <w:rsid w:val="0096572A"/>
    <w:rsid w:val="00965AAD"/>
    <w:rsid w:val="009667E6"/>
    <w:rsid w:val="009668B3"/>
    <w:rsid w:val="009676E9"/>
    <w:rsid w:val="0096781A"/>
    <w:rsid w:val="00970365"/>
    <w:rsid w:val="00970CBF"/>
    <w:rsid w:val="009724DC"/>
    <w:rsid w:val="009725C5"/>
    <w:rsid w:val="009726FD"/>
    <w:rsid w:val="00975964"/>
    <w:rsid w:val="00976A3B"/>
    <w:rsid w:val="00976CE0"/>
    <w:rsid w:val="009770E3"/>
    <w:rsid w:val="00981937"/>
    <w:rsid w:val="00981D2C"/>
    <w:rsid w:val="00982023"/>
    <w:rsid w:val="00982108"/>
    <w:rsid w:val="009826DC"/>
    <w:rsid w:val="0098282E"/>
    <w:rsid w:val="00983379"/>
    <w:rsid w:val="009841C8"/>
    <w:rsid w:val="00984E6E"/>
    <w:rsid w:val="00985A4D"/>
    <w:rsid w:val="00986375"/>
    <w:rsid w:val="00987139"/>
    <w:rsid w:val="009903CE"/>
    <w:rsid w:val="009906C7"/>
    <w:rsid w:val="00990D6D"/>
    <w:rsid w:val="00990E6B"/>
    <w:rsid w:val="0099262C"/>
    <w:rsid w:val="0099322B"/>
    <w:rsid w:val="009933FB"/>
    <w:rsid w:val="00993603"/>
    <w:rsid w:val="00993664"/>
    <w:rsid w:val="00993DDD"/>
    <w:rsid w:val="0099408C"/>
    <w:rsid w:val="00994835"/>
    <w:rsid w:val="009956C0"/>
    <w:rsid w:val="009965F5"/>
    <w:rsid w:val="00996B4B"/>
    <w:rsid w:val="00996D95"/>
    <w:rsid w:val="009970B5"/>
    <w:rsid w:val="00997BDF"/>
    <w:rsid w:val="009A146F"/>
    <w:rsid w:val="009A257D"/>
    <w:rsid w:val="009A34AD"/>
    <w:rsid w:val="009A36A5"/>
    <w:rsid w:val="009A41F3"/>
    <w:rsid w:val="009A46E8"/>
    <w:rsid w:val="009A474E"/>
    <w:rsid w:val="009A4B82"/>
    <w:rsid w:val="009A6025"/>
    <w:rsid w:val="009A6AF5"/>
    <w:rsid w:val="009A7B4D"/>
    <w:rsid w:val="009B095B"/>
    <w:rsid w:val="009B1E67"/>
    <w:rsid w:val="009B2EFA"/>
    <w:rsid w:val="009B2FEC"/>
    <w:rsid w:val="009B3236"/>
    <w:rsid w:val="009B3D4E"/>
    <w:rsid w:val="009B3EEA"/>
    <w:rsid w:val="009B48C7"/>
    <w:rsid w:val="009B4D7B"/>
    <w:rsid w:val="009B592D"/>
    <w:rsid w:val="009C2376"/>
    <w:rsid w:val="009C26D0"/>
    <w:rsid w:val="009C4045"/>
    <w:rsid w:val="009C4CA0"/>
    <w:rsid w:val="009C4E26"/>
    <w:rsid w:val="009C5E3F"/>
    <w:rsid w:val="009C638D"/>
    <w:rsid w:val="009C6F97"/>
    <w:rsid w:val="009C7E03"/>
    <w:rsid w:val="009C7E17"/>
    <w:rsid w:val="009C7FC4"/>
    <w:rsid w:val="009D39EF"/>
    <w:rsid w:val="009D4E4C"/>
    <w:rsid w:val="009D513B"/>
    <w:rsid w:val="009D5F9F"/>
    <w:rsid w:val="009D7FA1"/>
    <w:rsid w:val="009E0045"/>
    <w:rsid w:val="009E0C76"/>
    <w:rsid w:val="009E1182"/>
    <w:rsid w:val="009E179C"/>
    <w:rsid w:val="009E19EC"/>
    <w:rsid w:val="009E1D67"/>
    <w:rsid w:val="009E3C48"/>
    <w:rsid w:val="009E3D81"/>
    <w:rsid w:val="009E3D88"/>
    <w:rsid w:val="009E3D92"/>
    <w:rsid w:val="009E5236"/>
    <w:rsid w:val="009E552A"/>
    <w:rsid w:val="009E5AE1"/>
    <w:rsid w:val="009E5ED9"/>
    <w:rsid w:val="009E6B0D"/>
    <w:rsid w:val="009E76DF"/>
    <w:rsid w:val="009E7F35"/>
    <w:rsid w:val="009F07E6"/>
    <w:rsid w:val="009F0E88"/>
    <w:rsid w:val="009F590B"/>
    <w:rsid w:val="009F62CF"/>
    <w:rsid w:val="00A003BC"/>
    <w:rsid w:val="00A00F18"/>
    <w:rsid w:val="00A01E88"/>
    <w:rsid w:val="00A027F0"/>
    <w:rsid w:val="00A03617"/>
    <w:rsid w:val="00A03D8A"/>
    <w:rsid w:val="00A03EA6"/>
    <w:rsid w:val="00A03EE6"/>
    <w:rsid w:val="00A04CC6"/>
    <w:rsid w:val="00A05604"/>
    <w:rsid w:val="00A05B07"/>
    <w:rsid w:val="00A0629F"/>
    <w:rsid w:val="00A065B2"/>
    <w:rsid w:val="00A0774B"/>
    <w:rsid w:val="00A115A3"/>
    <w:rsid w:val="00A11937"/>
    <w:rsid w:val="00A11ABD"/>
    <w:rsid w:val="00A120AB"/>
    <w:rsid w:val="00A12172"/>
    <w:rsid w:val="00A121AC"/>
    <w:rsid w:val="00A12C4A"/>
    <w:rsid w:val="00A1638F"/>
    <w:rsid w:val="00A16B4E"/>
    <w:rsid w:val="00A20AEE"/>
    <w:rsid w:val="00A21C44"/>
    <w:rsid w:val="00A2482A"/>
    <w:rsid w:val="00A249EA"/>
    <w:rsid w:val="00A24DB5"/>
    <w:rsid w:val="00A25224"/>
    <w:rsid w:val="00A2534E"/>
    <w:rsid w:val="00A265C4"/>
    <w:rsid w:val="00A26D41"/>
    <w:rsid w:val="00A27958"/>
    <w:rsid w:val="00A303B1"/>
    <w:rsid w:val="00A30BF7"/>
    <w:rsid w:val="00A31394"/>
    <w:rsid w:val="00A324EF"/>
    <w:rsid w:val="00A32861"/>
    <w:rsid w:val="00A335D5"/>
    <w:rsid w:val="00A3399D"/>
    <w:rsid w:val="00A34326"/>
    <w:rsid w:val="00A355BE"/>
    <w:rsid w:val="00A375A2"/>
    <w:rsid w:val="00A37789"/>
    <w:rsid w:val="00A3794C"/>
    <w:rsid w:val="00A42711"/>
    <w:rsid w:val="00A42A38"/>
    <w:rsid w:val="00A455F5"/>
    <w:rsid w:val="00A45E65"/>
    <w:rsid w:val="00A4695A"/>
    <w:rsid w:val="00A46AD7"/>
    <w:rsid w:val="00A4774D"/>
    <w:rsid w:val="00A50013"/>
    <w:rsid w:val="00A5044C"/>
    <w:rsid w:val="00A50F77"/>
    <w:rsid w:val="00A517BB"/>
    <w:rsid w:val="00A53870"/>
    <w:rsid w:val="00A546A6"/>
    <w:rsid w:val="00A54950"/>
    <w:rsid w:val="00A54980"/>
    <w:rsid w:val="00A57613"/>
    <w:rsid w:val="00A57E4E"/>
    <w:rsid w:val="00A61D8E"/>
    <w:rsid w:val="00A62018"/>
    <w:rsid w:val="00A62471"/>
    <w:rsid w:val="00A62FBA"/>
    <w:rsid w:val="00A63590"/>
    <w:rsid w:val="00A6425D"/>
    <w:rsid w:val="00A64666"/>
    <w:rsid w:val="00A64BAB"/>
    <w:rsid w:val="00A64E7D"/>
    <w:rsid w:val="00A67159"/>
    <w:rsid w:val="00A67B98"/>
    <w:rsid w:val="00A7008B"/>
    <w:rsid w:val="00A7061F"/>
    <w:rsid w:val="00A72644"/>
    <w:rsid w:val="00A735E3"/>
    <w:rsid w:val="00A75063"/>
    <w:rsid w:val="00A776CF"/>
    <w:rsid w:val="00A806F0"/>
    <w:rsid w:val="00A80703"/>
    <w:rsid w:val="00A809C2"/>
    <w:rsid w:val="00A8172A"/>
    <w:rsid w:val="00A8435B"/>
    <w:rsid w:val="00A8541D"/>
    <w:rsid w:val="00A8597F"/>
    <w:rsid w:val="00A8601D"/>
    <w:rsid w:val="00A86BFB"/>
    <w:rsid w:val="00A9194C"/>
    <w:rsid w:val="00A95336"/>
    <w:rsid w:val="00A95E15"/>
    <w:rsid w:val="00A96B7B"/>
    <w:rsid w:val="00A97423"/>
    <w:rsid w:val="00AA01DB"/>
    <w:rsid w:val="00AA1526"/>
    <w:rsid w:val="00AA2833"/>
    <w:rsid w:val="00AA3D71"/>
    <w:rsid w:val="00AA3F91"/>
    <w:rsid w:val="00AA3F97"/>
    <w:rsid w:val="00AA4B30"/>
    <w:rsid w:val="00AA5F5B"/>
    <w:rsid w:val="00AB1CB9"/>
    <w:rsid w:val="00AB4B97"/>
    <w:rsid w:val="00AB7C54"/>
    <w:rsid w:val="00AB7FDD"/>
    <w:rsid w:val="00AC1130"/>
    <w:rsid w:val="00AC1601"/>
    <w:rsid w:val="00AC17F1"/>
    <w:rsid w:val="00AC1819"/>
    <w:rsid w:val="00AC21BD"/>
    <w:rsid w:val="00AC39CF"/>
    <w:rsid w:val="00AC5627"/>
    <w:rsid w:val="00AC60CB"/>
    <w:rsid w:val="00AC7082"/>
    <w:rsid w:val="00AD1265"/>
    <w:rsid w:val="00AD1AC7"/>
    <w:rsid w:val="00AD384C"/>
    <w:rsid w:val="00AD3B21"/>
    <w:rsid w:val="00AD561F"/>
    <w:rsid w:val="00AD5BED"/>
    <w:rsid w:val="00AD5CFD"/>
    <w:rsid w:val="00AD6D84"/>
    <w:rsid w:val="00AD7DA2"/>
    <w:rsid w:val="00AE036D"/>
    <w:rsid w:val="00AE0D98"/>
    <w:rsid w:val="00AE0F89"/>
    <w:rsid w:val="00AE1DBE"/>
    <w:rsid w:val="00AE3BD0"/>
    <w:rsid w:val="00AE3DA2"/>
    <w:rsid w:val="00AE43D8"/>
    <w:rsid w:val="00AF0B56"/>
    <w:rsid w:val="00AF149E"/>
    <w:rsid w:val="00AF225A"/>
    <w:rsid w:val="00AF2276"/>
    <w:rsid w:val="00AF22D3"/>
    <w:rsid w:val="00AF25FD"/>
    <w:rsid w:val="00AF2B2A"/>
    <w:rsid w:val="00AF43B4"/>
    <w:rsid w:val="00AF5062"/>
    <w:rsid w:val="00AF688B"/>
    <w:rsid w:val="00AF6E2A"/>
    <w:rsid w:val="00AF70D1"/>
    <w:rsid w:val="00B00674"/>
    <w:rsid w:val="00B01350"/>
    <w:rsid w:val="00B015B8"/>
    <w:rsid w:val="00B03698"/>
    <w:rsid w:val="00B03CAD"/>
    <w:rsid w:val="00B042CE"/>
    <w:rsid w:val="00B0512E"/>
    <w:rsid w:val="00B0537D"/>
    <w:rsid w:val="00B05B84"/>
    <w:rsid w:val="00B05D4F"/>
    <w:rsid w:val="00B0626A"/>
    <w:rsid w:val="00B06C5D"/>
    <w:rsid w:val="00B112AA"/>
    <w:rsid w:val="00B112B8"/>
    <w:rsid w:val="00B114A9"/>
    <w:rsid w:val="00B11A66"/>
    <w:rsid w:val="00B151E2"/>
    <w:rsid w:val="00B16A00"/>
    <w:rsid w:val="00B178F8"/>
    <w:rsid w:val="00B21FD3"/>
    <w:rsid w:val="00B2205E"/>
    <w:rsid w:val="00B22566"/>
    <w:rsid w:val="00B23525"/>
    <w:rsid w:val="00B24007"/>
    <w:rsid w:val="00B2401C"/>
    <w:rsid w:val="00B2477A"/>
    <w:rsid w:val="00B25265"/>
    <w:rsid w:val="00B2551C"/>
    <w:rsid w:val="00B2628B"/>
    <w:rsid w:val="00B275AB"/>
    <w:rsid w:val="00B3044E"/>
    <w:rsid w:val="00B310A9"/>
    <w:rsid w:val="00B32CE4"/>
    <w:rsid w:val="00B33DA0"/>
    <w:rsid w:val="00B351FD"/>
    <w:rsid w:val="00B37B7C"/>
    <w:rsid w:val="00B400E5"/>
    <w:rsid w:val="00B40148"/>
    <w:rsid w:val="00B40A77"/>
    <w:rsid w:val="00B40F1E"/>
    <w:rsid w:val="00B41744"/>
    <w:rsid w:val="00B421AA"/>
    <w:rsid w:val="00B42E21"/>
    <w:rsid w:val="00B43173"/>
    <w:rsid w:val="00B439C9"/>
    <w:rsid w:val="00B44042"/>
    <w:rsid w:val="00B456EB"/>
    <w:rsid w:val="00B45C3D"/>
    <w:rsid w:val="00B46543"/>
    <w:rsid w:val="00B46637"/>
    <w:rsid w:val="00B469DE"/>
    <w:rsid w:val="00B478CB"/>
    <w:rsid w:val="00B47FBA"/>
    <w:rsid w:val="00B5023D"/>
    <w:rsid w:val="00B502CB"/>
    <w:rsid w:val="00B518E8"/>
    <w:rsid w:val="00B51B38"/>
    <w:rsid w:val="00B52427"/>
    <w:rsid w:val="00B524EA"/>
    <w:rsid w:val="00B52AA7"/>
    <w:rsid w:val="00B53099"/>
    <w:rsid w:val="00B530C5"/>
    <w:rsid w:val="00B56597"/>
    <w:rsid w:val="00B567B0"/>
    <w:rsid w:val="00B57132"/>
    <w:rsid w:val="00B576F9"/>
    <w:rsid w:val="00B60837"/>
    <w:rsid w:val="00B60A3E"/>
    <w:rsid w:val="00B60B77"/>
    <w:rsid w:val="00B61E18"/>
    <w:rsid w:val="00B63111"/>
    <w:rsid w:val="00B64116"/>
    <w:rsid w:val="00B64C14"/>
    <w:rsid w:val="00B66CCE"/>
    <w:rsid w:val="00B66F0A"/>
    <w:rsid w:val="00B67570"/>
    <w:rsid w:val="00B7048F"/>
    <w:rsid w:val="00B70663"/>
    <w:rsid w:val="00B7099F"/>
    <w:rsid w:val="00B70D85"/>
    <w:rsid w:val="00B7112C"/>
    <w:rsid w:val="00B715D5"/>
    <w:rsid w:val="00B71AF2"/>
    <w:rsid w:val="00B71F6C"/>
    <w:rsid w:val="00B72BAF"/>
    <w:rsid w:val="00B72EFB"/>
    <w:rsid w:val="00B742DA"/>
    <w:rsid w:val="00B74B32"/>
    <w:rsid w:val="00B76023"/>
    <w:rsid w:val="00B767BF"/>
    <w:rsid w:val="00B80ACE"/>
    <w:rsid w:val="00B80C13"/>
    <w:rsid w:val="00B80E40"/>
    <w:rsid w:val="00B81ED3"/>
    <w:rsid w:val="00B8258D"/>
    <w:rsid w:val="00B825E3"/>
    <w:rsid w:val="00B83E5F"/>
    <w:rsid w:val="00B845E2"/>
    <w:rsid w:val="00B84797"/>
    <w:rsid w:val="00B86E94"/>
    <w:rsid w:val="00B8752F"/>
    <w:rsid w:val="00B87ED9"/>
    <w:rsid w:val="00B905EC"/>
    <w:rsid w:val="00B91EF3"/>
    <w:rsid w:val="00B9298B"/>
    <w:rsid w:val="00B92A88"/>
    <w:rsid w:val="00B9565E"/>
    <w:rsid w:val="00B9609D"/>
    <w:rsid w:val="00B965C3"/>
    <w:rsid w:val="00B96AE6"/>
    <w:rsid w:val="00BA0895"/>
    <w:rsid w:val="00BA1083"/>
    <w:rsid w:val="00BA1E9D"/>
    <w:rsid w:val="00BA2AC9"/>
    <w:rsid w:val="00BA2AE4"/>
    <w:rsid w:val="00BA32AC"/>
    <w:rsid w:val="00BA342E"/>
    <w:rsid w:val="00BA3F7E"/>
    <w:rsid w:val="00BA49FA"/>
    <w:rsid w:val="00BA4A3F"/>
    <w:rsid w:val="00BA4B3D"/>
    <w:rsid w:val="00BA4F80"/>
    <w:rsid w:val="00BA5805"/>
    <w:rsid w:val="00BB0CC0"/>
    <w:rsid w:val="00BB3470"/>
    <w:rsid w:val="00BB498A"/>
    <w:rsid w:val="00BB59F1"/>
    <w:rsid w:val="00BB5A09"/>
    <w:rsid w:val="00BB7516"/>
    <w:rsid w:val="00BB7C53"/>
    <w:rsid w:val="00BC04AB"/>
    <w:rsid w:val="00BC0DE9"/>
    <w:rsid w:val="00BC16B8"/>
    <w:rsid w:val="00BC1A9E"/>
    <w:rsid w:val="00BC26C5"/>
    <w:rsid w:val="00BC2A88"/>
    <w:rsid w:val="00BC556A"/>
    <w:rsid w:val="00BC57C0"/>
    <w:rsid w:val="00BC7066"/>
    <w:rsid w:val="00BC7790"/>
    <w:rsid w:val="00BD3A16"/>
    <w:rsid w:val="00BD5405"/>
    <w:rsid w:val="00BD5425"/>
    <w:rsid w:val="00BD6278"/>
    <w:rsid w:val="00BD6B9A"/>
    <w:rsid w:val="00BD6CA0"/>
    <w:rsid w:val="00BE074C"/>
    <w:rsid w:val="00BE1937"/>
    <w:rsid w:val="00BE217A"/>
    <w:rsid w:val="00BE2180"/>
    <w:rsid w:val="00BE3597"/>
    <w:rsid w:val="00BE3E81"/>
    <w:rsid w:val="00BE4116"/>
    <w:rsid w:val="00BE4C98"/>
    <w:rsid w:val="00BE4D60"/>
    <w:rsid w:val="00BE5249"/>
    <w:rsid w:val="00BE63F6"/>
    <w:rsid w:val="00BE6FEF"/>
    <w:rsid w:val="00BE7922"/>
    <w:rsid w:val="00BF0202"/>
    <w:rsid w:val="00BF0A46"/>
    <w:rsid w:val="00BF1676"/>
    <w:rsid w:val="00BF17C8"/>
    <w:rsid w:val="00BF1D73"/>
    <w:rsid w:val="00BF3445"/>
    <w:rsid w:val="00BF3488"/>
    <w:rsid w:val="00BF41F1"/>
    <w:rsid w:val="00BF4272"/>
    <w:rsid w:val="00BF61EC"/>
    <w:rsid w:val="00C00B84"/>
    <w:rsid w:val="00C010AA"/>
    <w:rsid w:val="00C039BF"/>
    <w:rsid w:val="00C03F54"/>
    <w:rsid w:val="00C04CA1"/>
    <w:rsid w:val="00C10213"/>
    <w:rsid w:val="00C13039"/>
    <w:rsid w:val="00C137C8"/>
    <w:rsid w:val="00C14D55"/>
    <w:rsid w:val="00C15F46"/>
    <w:rsid w:val="00C16DAA"/>
    <w:rsid w:val="00C16F25"/>
    <w:rsid w:val="00C171B0"/>
    <w:rsid w:val="00C209B7"/>
    <w:rsid w:val="00C21F7A"/>
    <w:rsid w:val="00C23397"/>
    <w:rsid w:val="00C24066"/>
    <w:rsid w:val="00C257DE"/>
    <w:rsid w:val="00C25F2D"/>
    <w:rsid w:val="00C263A1"/>
    <w:rsid w:val="00C279C3"/>
    <w:rsid w:val="00C27FC7"/>
    <w:rsid w:val="00C30651"/>
    <w:rsid w:val="00C311A2"/>
    <w:rsid w:val="00C3170E"/>
    <w:rsid w:val="00C338AA"/>
    <w:rsid w:val="00C34606"/>
    <w:rsid w:val="00C35CDC"/>
    <w:rsid w:val="00C35DE9"/>
    <w:rsid w:val="00C3679D"/>
    <w:rsid w:val="00C402DD"/>
    <w:rsid w:val="00C40311"/>
    <w:rsid w:val="00C406CF"/>
    <w:rsid w:val="00C40FF2"/>
    <w:rsid w:val="00C421F8"/>
    <w:rsid w:val="00C42449"/>
    <w:rsid w:val="00C426FB"/>
    <w:rsid w:val="00C427DD"/>
    <w:rsid w:val="00C42BE7"/>
    <w:rsid w:val="00C43A27"/>
    <w:rsid w:val="00C43D74"/>
    <w:rsid w:val="00C44B8C"/>
    <w:rsid w:val="00C45993"/>
    <w:rsid w:val="00C4619E"/>
    <w:rsid w:val="00C4779C"/>
    <w:rsid w:val="00C5108A"/>
    <w:rsid w:val="00C51E2F"/>
    <w:rsid w:val="00C5310F"/>
    <w:rsid w:val="00C555DE"/>
    <w:rsid w:val="00C55C8F"/>
    <w:rsid w:val="00C56B27"/>
    <w:rsid w:val="00C57C1C"/>
    <w:rsid w:val="00C57D4E"/>
    <w:rsid w:val="00C6180E"/>
    <w:rsid w:val="00C618CB"/>
    <w:rsid w:val="00C623D7"/>
    <w:rsid w:val="00C63369"/>
    <w:rsid w:val="00C633D6"/>
    <w:rsid w:val="00C64050"/>
    <w:rsid w:val="00C6412E"/>
    <w:rsid w:val="00C643DA"/>
    <w:rsid w:val="00C6625B"/>
    <w:rsid w:val="00C72FD7"/>
    <w:rsid w:val="00C74AFA"/>
    <w:rsid w:val="00C74F8A"/>
    <w:rsid w:val="00C7635A"/>
    <w:rsid w:val="00C82498"/>
    <w:rsid w:val="00C83342"/>
    <w:rsid w:val="00C83382"/>
    <w:rsid w:val="00C83436"/>
    <w:rsid w:val="00C83BA5"/>
    <w:rsid w:val="00C848AF"/>
    <w:rsid w:val="00C85857"/>
    <w:rsid w:val="00C87558"/>
    <w:rsid w:val="00C87C60"/>
    <w:rsid w:val="00C90BDB"/>
    <w:rsid w:val="00C91D92"/>
    <w:rsid w:val="00C925FF"/>
    <w:rsid w:val="00C92CDB"/>
    <w:rsid w:val="00C93432"/>
    <w:rsid w:val="00C9345D"/>
    <w:rsid w:val="00C94530"/>
    <w:rsid w:val="00C96001"/>
    <w:rsid w:val="00C9631E"/>
    <w:rsid w:val="00CA0800"/>
    <w:rsid w:val="00CA09B8"/>
    <w:rsid w:val="00CA3EBE"/>
    <w:rsid w:val="00CA4F25"/>
    <w:rsid w:val="00CA6800"/>
    <w:rsid w:val="00CB0A02"/>
    <w:rsid w:val="00CB0AA2"/>
    <w:rsid w:val="00CB2CD6"/>
    <w:rsid w:val="00CB3072"/>
    <w:rsid w:val="00CB3C58"/>
    <w:rsid w:val="00CB4644"/>
    <w:rsid w:val="00CB4A7E"/>
    <w:rsid w:val="00CB5697"/>
    <w:rsid w:val="00CB67C6"/>
    <w:rsid w:val="00CB6EE1"/>
    <w:rsid w:val="00CB7201"/>
    <w:rsid w:val="00CB742B"/>
    <w:rsid w:val="00CC015B"/>
    <w:rsid w:val="00CC0BCB"/>
    <w:rsid w:val="00CC1318"/>
    <w:rsid w:val="00CC144E"/>
    <w:rsid w:val="00CC182E"/>
    <w:rsid w:val="00CC1A9C"/>
    <w:rsid w:val="00CC1CAD"/>
    <w:rsid w:val="00CC201D"/>
    <w:rsid w:val="00CC5933"/>
    <w:rsid w:val="00CC78C4"/>
    <w:rsid w:val="00CD2911"/>
    <w:rsid w:val="00CD298C"/>
    <w:rsid w:val="00CD491C"/>
    <w:rsid w:val="00CD4A52"/>
    <w:rsid w:val="00CD56B3"/>
    <w:rsid w:val="00CD6697"/>
    <w:rsid w:val="00CD6FC4"/>
    <w:rsid w:val="00CD7929"/>
    <w:rsid w:val="00CE0538"/>
    <w:rsid w:val="00CE0EB2"/>
    <w:rsid w:val="00CE15BA"/>
    <w:rsid w:val="00CE1C79"/>
    <w:rsid w:val="00CE2110"/>
    <w:rsid w:val="00CE26F3"/>
    <w:rsid w:val="00CE2D39"/>
    <w:rsid w:val="00CE3030"/>
    <w:rsid w:val="00CE3255"/>
    <w:rsid w:val="00CE3C3F"/>
    <w:rsid w:val="00CE42DD"/>
    <w:rsid w:val="00CE471D"/>
    <w:rsid w:val="00CE47C2"/>
    <w:rsid w:val="00CE579E"/>
    <w:rsid w:val="00CE5CA8"/>
    <w:rsid w:val="00CE676C"/>
    <w:rsid w:val="00CE686C"/>
    <w:rsid w:val="00CE6D02"/>
    <w:rsid w:val="00CE6FEE"/>
    <w:rsid w:val="00CE7C0F"/>
    <w:rsid w:val="00CF03A4"/>
    <w:rsid w:val="00CF0EF3"/>
    <w:rsid w:val="00CF0FF9"/>
    <w:rsid w:val="00CF2575"/>
    <w:rsid w:val="00CF38A5"/>
    <w:rsid w:val="00CF38DC"/>
    <w:rsid w:val="00CF5A3C"/>
    <w:rsid w:val="00CF5A4F"/>
    <w:rsid w:val="00CF6ED7"/>
    <w:rsid w:val="00CF6F26"/>
    <w:rsid w:val="00CF77AD"/>
    <w:rsid w:val="00CF7C8F"/>
    <w:rsid w:val="00D001A7"/>
    <w:rsid w:val="00D0027B"/>
    <w:rsid w:val="00D017BD"/>
    <w:rsid w:val="00D03E7C"/>
    <w:rsid w:val="00D04937"/>
    <w:rsid w:val="00D053AF"/>
    <w:rsid w:val="00D06F3D"/>
    <w:rsid w:val="00D070F1"/>
    <w:rsid w:val="00D072FF"/>
    <w:rsid w:val="00D0773F"/>
    <w:rsid w:val="00D07F24"/>
    <w:rsid w:val="00D10E60"/>
    <w:rsid w:val="00D11B0C"/>
    <w:rsid w:val="00D120C1"/>
    <w:rsid w:val="00D13016"/>
    <w:rsid w:val="00D137E6"/>
    <w:rsid w:val="00D13E47"/>
    <w:rsid w:val="00D14C98"/>
    <w:rsid w:val="00D1521C"/>
    <w:rsid w:val="00D16FF9"/>
    <w:rsid w:val="00D1791F"/>
    <w:rsid w:val="00D2007B"/>
    <w:rsid w:val="00D202EE"/>
    <w:rsid w:val="00D20E16"/>
    <w:rsid w:val="00D21668"/>
    <w:rsid w:val="00D21DEC"/>
    <w:rsid w:val="00D225F3"/>
    <w:rsid w:val="00D22649"/>
    <w:rsid w:val="00D22AC5"/>
    <w:rsid w:val="00D232CF"/>
    <w:rsid w:val="00D23708"/>
    <w:rsid w:val="00D23CF0"/>
    <w:rsid w:val="00D2613B"/>
    <w:rsid w:val="00D2617A"/>
    <w:rsid w:val="00D27A24"/>
    <w:rsid w:val="00D31203"/>
    <w:rsid w:val="00D3191F"/>
    <w:rsid w:val="00D320B1"/>
    <w:rsid w:val="00D32318"/>
    <w:rsid w:val="00D336AB"/>
    <w:rsid w:val="00D33BBC"/>
    <w:rsid w:val="00D34A3A"/>
    <w:rsid w:val="00D35589"/>
    <w:rsid w:val="00D35D6D"/>
    <w:rsid w:val="00D402A5"/>
    <w:rsid w:val="00D4073C"/>
    <w:rsid w:val="00D40E1E"/>
    <w:rsid w:val="00D4451C"/>
    <w:rsid w:val="00D4455A"/>
    <w:rsid w:val="00D4460F"/>
    <w:rsid w:val="00D44C7A"/>
    <w:rsid w:val="00D44E8E"/>
    <w:rsid w:val="00D460CF"/>
    <w:rsid w:val="00D46945"/>
    <w:rsid w:val="00D46E75"/>
    <w:rsid w:val="00D4797D"/>
    <w:rsid w:val="00D5161E"/>
    <w:rsid w:val="00D519D4"/>
    <w:rsid w:val="00D51EBE"/>
    <w:rsid w:val="00D52E81"/>
    <w:rsid w:val="00D55D82"/>
    <w:rsid w:val="00D56848"/>
    <w:rsid w:val="00D56F9B"/>
    <w:rsid w:val="00D57632"/>
    <w:rsid w:val="00D57D94"/>
    <w:rsid w:val="00D600A9"/>
    <w:rsid w:val="00D6212E"/>
    <w:rsid w:val="00D63BDF"/>
    <w:rsid w:val="00D6597B"/>
    <w:rsid w:val="00D6650C"/>
    <w:rsid w:val="00D66AAD"/>
    <w:rsid w:val="00D66E4D"/>
    <w:rsid w:val="00D6764C"/>
    <w:rsid w:val="00D7011E"/>
    <w:rsid w:val="00D70849"/>
    <w:rsid w:val="00D70884"/>
    <w:rsid w:val="00D712A2"/>
    <w:rsid w:val="00D715BB"/>
    <w:rsid w:val="00D72DC6"/>
    <w:rsid w:val="00D7363B"/>
    <w:rsid w:val="00D73C80"/>
    <w:rsid w:val="00D73FDE"/>
    <w:rsid w:val="00D74ED1"/>
    <w:rsid w:val="00D75DC2"/>
    <w:rsid w:val="00D765B9"/>
    <w:rsid w:val="00D772AB"/>
    <w:rsid w:val="00D77A35"/>
    <w:rsid w:val="00D77BDD"/>
    <w:rsid w:val="00D80F3F"/>
    <w:rsid w:val="00D82765"/>
    <w:rsid w:val="00D82D14"/>
    <w:rsid w:val="00D86AEA"/>
    <w:rsid w:val="00D90A75"/>
    <w:rsid w:val="00D934CC"/>
    <w:rsid w:val="00D93CA8"/>
    <w:rsid w:val="00D93F07"/>
    <w:rsid w:val="00D9443F"/>
    <w:rsid w:val="00D94759"/>
    <w:rsid w:val="00D953BD"/>
    <w:rsid w:val="00D954FE"/>
    <w:rsid w:val="00D959F5"/>
    <w:rsid w:val="00D95FB4"/>
    <w:rsid w:val="00DA0457"/>
    <w:rsid w:val="00DA0599"/>
    <w:rsid w:val="00DA1DA1"/>
    <w:rsid w:val="00DA4D07"/>
    <w:rsid w:val="00DA7AA3"/>
    <w:rsid w:val="00DB0F17"/>
    <w:rsid w:val="00DB21BE"/>
    <w:rsid w:val="00DB25FA"/>
    <w:rsid w:val="00DB38B2"/>
    <w:rsid w:val="00DB43F4"/>
    <w:rsid w:val="00DB5682"/>
    <w:rsid w:val="00DB61BA"/>
    <w:rsid w:val="00DB6E11"/>
    <w:rsid w:val="00DB7C71"/>
    <w:rsid w:val="00DC0BBE"/>
    <w:rsid w:val="00DC15A8"/>
    <w:rsid w:val="00DC18D0"/>
    <w:rsid w:val="00DC1D28"/>
    <w:rsid w:val="00DC2B3C"/>
    <w:rsid w:val="00DC3C9E"/>
    <w:rsid w:val="00DC41B3"/>
    <w:rsid w:val="00DC47EB"/>
    <w:rsid w:val="00DC4982"/>
    <w:rsid w:val="00DC5FC0"/>
    <w:rsid w:val="00DC6ED0"/>
    <w:rsid w:val="00DC7A0D"/>
    <w:rsid w:val="00DC7E36"/>
    <w:rsid w:val="00DD2CBA"/>
    <w:rsid w:val="00DD3CB1"/>
    <w:rsid w:val="00DD5B8E"/>
    <w:rsid w:val="00DD5D95"/>
    <w:rsid w:val="00DD6435"/>
    <w:rsid w:val="00DD76CF"/>
    <w:rsid w:val="00DD7EF8"/>
    <w:rsid w:val="00DE0D8B"/>
    <w:rsid w:val="00DE326F"/>
    <w:rsid w:val="00DE351C"/>
    <w:rsid w:val="00DE439D"/>
    <w:rsid w:val="00DE478A"/>
    <w:rsid w:val="00DE48CB"/>
    <w:rsid w:val="00DE6454"/>
    <w:rsid w:val="00DE673C"/>
    <w:rsid w:val="00DE7240"/>
    <w:rsid w:val="00DF230F"/>
    <w:rsid w:val="00DF256E"/>
    <w:rsid w:val="00DF6458"/>
    <w:rsid w:val="00DF688B"/>
    <w:rsid w:val="00E0064B"/>
    <w:rsid w:val="00E013AC"/>
    <w:rsid w:val="00E01FBA"/>
    <w:rsid w:val="00E0219E"/>
    <w:rsid w:val="00E02C36"/>
    <w:rsid w:val="00E03256"/>
    <w:rsid w:val="00E03808"/>
    <w:rsid w:val="00E03E51"/>
    <w:rsid w:val="00E047AD"/>
    <w:rsid w:val="00E056AF"/>
    <w:rsid w:val="00E10A83"/>
    <w:rsid w:val="00E1222F"/>
    <w:rsid w:val="00E12C3A"/>
    <w:rsid w:val="00E1465C"/>
    <w:rsid w:val="00E15B56"/>
    <w:rsid w:val="00E15CB0"/>
    <w:rsid w:val="00E16141"/>
    <w:rsid w:val="00E161B6"/>
    <w:rsid w:val="00E17179"/>
    <w:rsid w:val="00E1756B"/>
    <w:rsid w:val="00E202D8"/>
    <w:rsid w:val="00E217A9"/>
    <w:rsid w:val="00E24298"/>
    <w:rsid w:val="00E242B9"/>
    <w:rsid w:val="00E24B0C"/>
    <w:rsid w:val="00E24DAA"/>
    <w:rsid w:val="00E254B4"/>
    <w:rsid w:val="00E256CE"/>
    <w:rsid w:val="00E25851"/>
    <w:rsid w:val="00E264D6"/>
    <w:rsid w:val="00E2659E"/>
    <w:rsid w:val="00E2732A"/>
    <w:rsid w:val="00E2770B"/>
    <w:rsid w:val="00E30904"/>
    <w:rsid w:val="00E3225F"/>
    <w:rsid w:val="00E32616"/>
    <w:rsid w:val="00E3338C"/>
    <w:rsid w:val="00E337F3"/>
    <w:rsid w:val="00E33E66"/>
    <w:rsid w:val="00E343B8"/>
    <w:rsid w:val="00E343D0"/>
    <w:rsid w:val="00E3546D"/>
    <w:rsid w:val="00E36DAA"/>
    <w:rsid w:val="00E37FE8"/>
    <w:rsid w:val="00E42618"/>
    <w:rsid w:val="00E43887"/>
    <w:rsid w:val="00E43AF8"/>
    <w:rsid w:val="00E458E3"/>
    <w:rsid w:val="00E45961"/>
    <w:rsid w:val="00E45F70"/>
    <w:rsid w:val="00E465A3"/>
    <w:rsid w:val="00E4787B"/>
    <w:rsid w:val="00E4788E"/>
    <w:rsid w:val="00E47A44"/>
    <w:rsid w:val="00E507A3"/>
    <w:rsid w:val="00E511F7"/>
    <w:rsid w:val="00E514BE"/>
    <w:rsid w:val="00E5210F"/>
    <w:rsid w:val="00E52521"/>
    <w:rsid w:val="00E542FD"/>
    <w:rsid w:val="00E54F20"/>
    <w:rsid w:val="00E55542"/>
    <w:rsid w:val="00E561C9"/>
    <w:rsid w:val="00E61034"/>
    <w:rsid w:val="00E62D90"/>
    <w:rsid w:val="00E63036"/>
    <w:rsid w:val="00E632F0"/>
    <w:rsid w:val="00E63C54"/>
    <w:rsid w:val="00E63E8C"/>
    <w:rsid w:val="00E6418F"/>
    <w:rsid w:val="00E6600C"/>
    <w:rsid w:val="00E663E3"/>
    <w:rsid w:val="00E66DB6"/>
    <w:rsid w:val="00E66FFD"/>
    <w:rsid w:val="00E67AFD"/>
    <w:rsid w:val="00E72422"/>
    <w:rsid w:val="00E726A1"/>
    <w:rsid w:val="00E728D6"/>
    <w:rsid w:val="00E74C28"/>
    <w:rsid w:val="00E7692B"/>
    <w:rsid w:val="00E7693F"/>
    <w:rsid w:val="00E77749"/>
    <w:rsid w:val="00E80944"/>
    <w:rsid w:val="00E8177F"/>
    <w:rsid w:val="00E81CC7"/>
    <w:rsid w:val="00E83409"/>
    <w:rsid w:val="00E85096"/>
    <w:rsid w:val="00E8659F"/>
    <w:rsid w:val="00E867F3"/>
    <w:rsid w:val="00E87490"/>
    <w:rsid w:val="00E87AD2"/>
    <w:rsid w:val="00E91E2E"/>
    <w:rsid w:val="00E92973"/>
    <w:rsid w:val="00E92C52"/>
    <w:rsid w:val="00E93476"/>
    <w:rsid w:val="00E938CE"/>
    <w:rsid w:val="00E941DE"/>
    <w:rsid w:val="00E95418"/>
    <w:rsid w:val="00E960E8"/>
    <w:rsid w:val="00E967DE"/>
    <w:rsid w:val="00E970CB"/>
    <w:rsid w:val="00E97DAF"/>
    <w:rsid w:val="00EA0F0A"/>
    <w:rsid w:val="00EA1F10"/>
    <w:rsid w:val="00EA23AC"/>
    <w:rsid w:val="00EA2720"/>
    <w:rsid w:val="00EA276A"/>
    <w:rsid w:val="00EA278B"/>
    <w:rsid w:val="00EA5029"/>
    <w:rsid w:val="00EA59A5"/>
    <w:rsid w:val="00EA659D"/>
    <w:rsid w:val="00EA68D8"/>
    <w:rsid w:val="00EA7E24"/>
    <w:rsid w:val="00EB0648"/>
    <w:rsid w:val="00EB10BA"/>
    <w:rsid w:val="00EB19C7"/>
    <w:rsid w:val="00EB1C03"/>
    <w:rsid w:val="00EB1D5B"/>
    <w:rsid w:val="00EB21E1"/>
    <w:rsid w:val="00EB4754"/>
    <w:rsid w:val="00EB52D6"/>
    <w:rsid w:val="00EB7A92"/>
    <w:rsid w:val="00EC1958"/>
    <w:rsid w:val="00EC26BE"/>
    <w:rsid w:val="00EC3E46"/>
    <w:rsid w:val="00EC4E7E"/>
    <w:rsid w:val="00EC5544"/>
    <w:rsid w:val="00EC5FDB"/>
    <w:rsid w:val="00EC609B"/>
    <w:rsid w:val="00EC6312"/>
    <w:rsid w:val="00EC6B92"/>
    <w:rsid w:val="00ED07A8"/>
    <w:rsid w:val="00ED1716"/>
    <w:rsid w:val="00ED3220"/>
    <w:rsid w:val="00ED334A"/>
    <w:rsid w:val="00ED4A91"/>
    <w:rsid w:val="00ED5A47"/>
    <w:rsid w:val="00ED6186"/>
    <w:rsid w:val="00ED6252"/>
    <w:rsid w:val="00ED638C"/>
    <w:rsid w:val="00ED6662"/>
    <w:rsid w:val="00ED6CEE"/>
    <w:rsid w:val="00ED795A"/>
    <w:rsid w:val="00EE0D00"/>
    <w:rsid w:val="00EE12DD"/>
    <w:rsid w:val="00EE390B"/>
    <w:rsid w:val="00EE4E20"/>
    <w:rsid w:val="00EE50CA"/>
    <w:rsid w:val="00EE5797"/>
    <w:rsid w:val="00EE5A04"/>
    <w:rsid w:val="00EE5B89"/>
    <w:rsid w:val="00EE5C7F"/>
    <w:rsid w:val="00EE6A19"/>
    <w:rsid w:val="00EF06DD"/>
    <w:rsid w:val="00EF0833"/>
    <w:rsid w:val="00EF154D"/>
    <w:rsid w:val="00EF318B"/>
    <w:rsid w:val="00EF3497"/>
    <w:rsid w:val="00EF351D"/>
    <w:rsid w:val="00EF48A0"/>
    <w:rsid w:val="00EF4E90"/>
    <w:rsid w:val="00EF4FBD"/>
    <w:rsid w:val="00EF4FC1"/>
    <w:rsid w:val="00EF5A33"/>
    <w:rsid w:val="00EF7F0C"/>
    <w:rsid w:val="00F00232"/>
    <w:rsid w:val="00F0035D"/>
    <w:rsid w:val="00F00B52"/>
    <w:rsid w:val="00F01435"/>
    <w:rsid w:val="00F014DF"/>
    <w:rsid w:val="00F01D45"/>
    <w:rsid w:val="00F02A94"/>
    <w:rsid w:val="00F02F99"/>
    <w:rsid w:val="00F03EDC"/>
    <w:rsid w:val="00F04FE0"/>
    <w:rsid w:val="00F06C52"/>
    <w:rsid w:val="00F07639"/>
    <w:rsid w:val="00F07AA8"/>
    <w:rsid w:val="00F07C26"/>
    <w:rsid w:val="00F07FB5"/>
    <w:rsid w:val="00F1009C"/>
    <w:rsid w:val="00F10FBB"/>
    <w:rsid w:val="00F12A54"/>
    <w:rsid w:val="00F14563"/>
    <w:rsid w:val="00F146A7"/>
    <w:rsid w:val="00F1694E"/>
    <w:rsid w:val="00F17DFC"/>
    <w:rsid w:val="00F17F54"/>
    <w:rsid w:val="00F20990"/>
    <w:rsid w:val="00F210F6"/>
    <w:rsid w:val="00F21C73"/>
    <w:rsid w:val="00F21C8F"/>
    <w:rsid w:val="00F21E52"/>
    <w:rsid w:val="00F22227"/>
    <w:rsid w:val="00F22EFE"/>
    <w:rsid w:val="00F23205"/>
    <w:rsid w:val="00F246E4"/>
    <w:rsid w:val="00F26D9E"/>
    <w:rsid w:val="00F309E0"/>
    <w:rsid w:val="00F31D39"/>
    <w:rsid w:val="00F32B17"/>
    <w:rsid w:val="00F33734"/>
    <w:rsid w:val="00F3384B"/>
    <w:rsid w:val="00F343C3"/>
    <w:rsid w:val="00F34484"/>
    <w:rsid w:val="00F34BAB"/>
    <w:rsid w:val="00F36C6F"/>
    <w:rsid w:val="00F373C8"/>
    <w:rsid w:val="00F40ED7"/>
    <w:rsid w:val="00F43FFD"/>
    <w:rsid w:val="00F45ECA"/>
    <w:rsid w:val="00F4601D"/>
    <w:rsid w:val="00F50C00"/>
    <w:rsid w:val="00F51898"/>
    <w:rsid w:val="00F5216E"/>
    <w:rsid w:val="00F5458F"/>
    <w:rsid w:val="00F5500D"/>
    <w:rsid w:val="00F56336"/>
    <w:rsid w:val="00F5691E"/>
    <w:rsid w:val="00F57A07"/>
    <w:rsid w:val="00F57E92"/>
    <w:rsid w:val="00F57F19"/>
    <w:rsid w:val="00F61354"/>
    <w:rsid w:val="00F61B35"/>
    <w:rsid w:val="00F61E94"/>
    <w:rsid w:val="00F634DD"/>
    <w:rsid w:val="00F65D92"/>
    <w:rsid w:val="00F6728C"/>
    <w:rsid w:val="00F70999"/>
    <w:rsid w:val="00F70DA0"/>
    <w:rsid w:val="00F7142A"/>
    <w:rsid w:val="00F729D3"/>
    <w:rsid w:val="00F72FFF"/>
    <w:rsid w:val="00F73482"/>
    <w:rsid w:val="00F737E0"/>
    <w:rsid w:val="00F73A7B"/>
    <w:rsid w:val="00F7650C"/>
    <w:rsid w:val="00F81F28"/>
    <w:rsid w:val="00F83106"/>
    <w:rsid w:val="00F8320D"/>
    <w:rsid w:val="00F84773"/>
    <w:rsid w:val="00F84C26"/>
    <w:rsid w:val="00F86F11"/>
    <w:rsid w:val="00F87487"/>
    <w:rsid w:val="00F90618"/>
    <w:rsid w:val="00F90EF8"/>
    <w:rsid w:val="00F91FA2"/>
    <w:rsid w:val="00F924BC"/>
    <w:rsid w:val="00F935CA"/>
    <w:rsid w:val="00F93691"/>
    <w:rsid w:val="00F939B0"/>
    <w:rsid w:val="00F93B89"/>
    <w:rsid w:val="00F943B9"/>
    <w:rsid w:val="00F94935"/>
    <w:rsid w:val="00F94B9E"/>
    <w:rsid w:val="00F9612B"/>
    <w:rsid w:val="00F96750"/>
    <w:rsid w:val="00F97AEB"/>
    <w:rsid w:val="00FA0F85"/>
    <w:rsid w:val="00FA30D1"/>
    <w:rsid w:val="00FA3400"/>
    <w:rsid w:val="00FA3B09"/>
    <w:rsid w:val="00FA3BE7"/>
    <w:rsid w:val="00FA3F52"/>
    <w:rsid w:val="00FA5974"/>
    <w:rsid w:val="00FA6BA0"/>
    <w:rsid w:val="00FB288B"/>
    <w:rsid w:val="00FB3EC5"/>
    <w:rsid w:val="00FB6EE5"/>
    <w:rsid w:val="00FC06DB"/>
    <w:rsid w:val="00FC0A9F"/>
    <w:rsid w:val="00FC1620"/>
    <w:rsid w:val="00FC1EE1"/>
    <w:rsid w:val="00FC281D"/>
    <w:rsid w:val="00FC3569"/>
    <w:rsid w:val="00FC4DD3"/>
    <w:rsid w:val="00FC4E5F"/>
    <w:rsid w:val="00FD0E82"/>
    <w:rsid w:val="00FD2497"/>
    <w:rsid w:val="00FD268F"/>
    <w:rsid w:val="00FD44AC"/>
    <w:rsid w:val="00FD5211"/>
    <w:rsid w:val="00FD5383"/>
    <w:rsid w:val="00FD7306"/>
    <w:rsid w:val="00FD788D"/>
    <w:rsid w:val="00FE06DC"/>
    <w:rsid w:val="00FE0A28"/>
    <w:rsid w:val="00FE1901"/>
    <w:rsid w:val="00FE28D9"/>
    <w:rsid w:val="00FE3CA7"/>
    <w:rsid w:val="00FE65C2"/>
    <w:rsid w:val="00FF11E9"/>
    <w:rsid w:val="00FF1E67"/>
    <w:rsid w:val="00FF2B11"/>
    <w:rsid w:val="00FF2C16"/>
    <w:rsid w:val="00FF35E6"/>
    <w:rsid w:val="00FF5D8F"/>
    <w:rsid w:val="00FF6CAC"/>
    <w:rsid w:val="00FF7996"/>
    <w:rsid w:val="00FF7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qFormat="1"/>
    <w:lsdException w:name="Default Paragraph Font" w:semiHidden="1" w:uiPriority="0"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Body Text First Indent" w:uiPriority="3" w:qFormat="1"/>
    <w:lsdException w:name="Body Text First Indent 2" w:semiHidden="1" w:uiPriority="3" w:unhideWhenUsed="1" w:qFormat="1"/>
    <w:lsdException w:name="Note Heading" w:semiHidden="1" w:unhideWhenUsed="1"/>
    <w:lsdException w:name="Body Text 2" w:semiHidden="1" w:uiPriority="4"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iPriority="6"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EB2"/>
    <w:rPr>
      <w:bCs/>
      <w:szCs w:val="24"/>
    </w:rPr>
  </w:style>
  <w:style w:type="paragraph" w:styleId="Heading1">
    <w:name w:val="heading 1"/>
    <w:basedOn w:val="Normal"/>
    <w:link w:val="Heading1Char"/>
    <w:uiPriority w:val="9"/>
    <w:qFormat/>
    <w:pPr>
      <w:keepNext/>
      <w:numPr>
        <w:numId w:val="4"/>
      </w:numPr>
      <w:suppressAutoHyphens/>
      <w:spacing w:after="240"/>
      <w:outlineLvl w:val="0"/>
    </w:pPr>
    <w:rPr>
      <w:b/>
      <w:bCs w:val="0"/>
      <w:snapToGrid w:val="0"/>
      <w:szCs w:val="20"/>
      <w:u w:val="single"/>
    </w:rPr>
  </w:style>
  <w:style w:type="paragraph" w:styleId="Heading20">
    <w:name w:val="heading 2"/>
    <w:basedOn w:val="Normal"/>
    <w:link w:val="Heading2Char"/>
    <w:uiPriority w:val="9"/>
    <w:qFormat/>
    <w:rsid w:val="00A37789"/>
    <w:pPr>
      <w:numPr>
        <w:ilvl w:val="1"/>
        <w:numId w:val="23"/>
      </w:numPr>
      <w:suppressAutoHyphens/>
      <w:spacing w:after="240" w:line="360" w:lineRule="auto"/>
      <w:jc w:val="both"/>
      <w:outlineLvl w:val="1"/>
    </w:pPr>
    <w:rPr>
      <w:bCs w:val="0"/>
      <w:snapToGrid w:val="0"/>
    </w:rPr>
  </w:style>
  <w:style w:type="paragraph" w:styleId="Heading3">
    <w:name w:val="heading 3"/>
    <w:basedOn w:val="Normal"/>
    <w:link w:val="Heading3Char"/>
    <w:uiPriority w:val="9"/>
    <w:qFormat/>
    <w:pPr>
      <w:numPr>
        <w:ilvl w:val="2"/>
        <w:numId w:val="23"/>
      </w:numPr>
      <w:suppressAutoHyphens/>
      <w:spacing w:after="240" w:line="360" w:lineRule="auto"/>
      <w:outlineLvl w:val="2"/>
    </w:pPr>
    <w:rPr>
      <w:bCs w:val="0"/>
      <w:snapToGrid w:val="0"/>
    </w:rPr>
  </w:style>
  <w:style w:type="paragraph" w:styleId="Heading4">
    <w:name w:val="heading 4"/>
    <w:basedOn w:val="Normal"/>
    <w:link w:val="Heading4Char"/>
    <w:uiPriority w:val="9"/>
    <w:qFormat/>
    <w:rsid w:val="007469BB"/>
    <w:pPr>
      <w:numPr>
        <w:ilvl w:val="3"/>
        <w:numId w:val="23"/>
      </w:numPr>
      <w:suppressAutoHyphens/>
      <w:spacing w:after="240" w:line="360" w:lineRule="auto"/>
      <w:jc w:val="both"/>
      <w:outlineLvl w:val="3"/>
    </w:pPr>
    <w:rPr>
      <w:bCs w:val="0"/>
      <w:snapToGrid w:val="0"/>
    </w:rPr>
  </w:style>
  <w:style w:type="paragraph" w:styleId="Heading5">
    <w:name w:val="heading 5"/>
    <w:basedOn w:val="Normal"/>
    <w:link w:val="Heading5Char"/>
    <w:uiPriority w:val="9"/>
    <w:qFormat/>
    <w:pPr>
      <w:numPr>
        <w:ilvl w:val="4"/>
        <w:numId w:val="23"/>
      </w:numPr>
      <w:suppressAutoHyphens/>
      <w:spacing w:after="240" w:line="360" w:lineRule="auto"/>
      <w:outlineLvl w:val="4"/>
    </w:pPr>
    <w:rPr>
      <w:bCs w:val="0"/>
      <w:snapToGrid w:val="0"/>
    </w:rPr>
  </w:style>
  <w:style w:type="paragraph" w:styleId="Heading6">
    <w:name w:val="heading 6"/>
    <w:basedOn w:val="Normal"/>
    <w:link w:val="Heading6Char"/>
    <w:uiPriority w:val="9"/>
    <w:qFormat/>
    <w:pPr>
      <w:numPr>
        <w:ilvl w:val="5"/>
        <w:numId w:val="23"/>
      </w:numPr>
      <w:suppressAutoHyphens/>
      <w:spacing w:after="240"/>
      <w:outlineLvl w:val="5"/>
    </w:pPr>
    <w:rPr>
      <w:bCs w:val="0"/>
      <w:snapToGrid w:val="0"/>
    </w:rPr>
  </w:style>
  <w:style w:type="paragraph" w:styleId="Heading7">
    <w:name w:val="heading 7"/>
    <w:basedOn w:val="Normal"/>
    <w:link w:val="Heading7Char"/>
    <w:qFormat/>
    <w:pPr>
      <w:numPr>
        <w:ilvl w:val="6"/>
        <w:numId w:val="23"/>
      </w:numPr>
      <w:suppressAutoHyphens/>
      <w:spacing w:after="240"/>
      <w:outlineLvl w:val="6"/>
    </w:pPr>
    <w:rPr>
      <w:bCs w:val="0"/>
      <w:snapToGrid w:val="0"/>
    </w:rPr>
  </w:style>
  <w:style w:type="paragraph" w:styleId="Heading8">
    <w:name w:val="heading 8"/>
    <w:basedOn w:val="Normal"/>
    <w:link w:val="Heading8Char"/>
    <w:qFormat/>
    <w:pPr>
      <w:numPr>
        <w:ilvl w:val="7"/>
        <w:numId w:val="23"/>
      </w:numPr>
      <w:suppressAutoHyphens/>
      <w:spacing w:after="240"/>
      <w:outlineLvl w:val="7"/>
    </w:pPr>
    <w:rPr>
      <w:bCs w:val="0"/>
      <w:snapToGrid w:val="0"/>
    </w:rPr>
  </w:style>
  <w:style w:type="paragraph" w:styleId="Heading9">
    <w:name w:val="heading 9"/>
    <w:basedOn w:val="Normal"/>
    <w:link w:val="Heading9Char"/>
    <w:qFormat/>
    <w:pPr>
      <w:numPr>
        <w:ilvl w:val="8"/>
        <w:numId w:val="23"/>
      </w:numPr>
      <w:suppressAutoHyphens/>
      <w:spacing w:after="240"/>
      <w:outlineLvl w:val="8"/>
    </w:pPr>
    <w:rPr>
      <w:bCs w:val="0"/>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1">
    <w:name w:val="*Body Single 1"/>
    <w:aliases w:val="BS1,Body Single 1"/>
    <w:basedOn w:val="Normal"/>
    <w:link w:val="BodySingle1Char"/>
    <w:qFormat/>
    <w:pPr>
      <w:spacing w:after="240"/>
      <w:ind w:firstLine="1440"/>
    </w:pPr>
  </w:style>
  <w:style w:type="paragraph" w:customStyle="1" w:styleId="BodySingle5CharCharCharChar">
    <w:name w:val="*Body Single 5 Char Char Char Char"/>
    <w:aliases w:val="BS5 Char Char Char Char"/>
    <w:basedOn w:val="Normal"/>
    <w:link w:val="BodySingle5CharCharCharCharChar"/>
    <w:pPr>
      <w:spacing w:after="240" w:line="360" w:lineRule="auto"/>
      <w:ind w:firstLine="720"/>
    </w:pPr>
  </w:style>
  <w:style w:type="paragraph" w:customStyle="1" w:styleId="QS5">
    <w:name w:val="QS5"/>
    <w:aliases w:val="Quote Single 5"/>
    <w:basedOn w:val="Normal"/>
    <w:link w:val="QS5Char"/>
    <w:qFormat/>
    <w:pPr>
      <w:spacing w:after="240"/>
      <w:ind w:left="720" w:right="720"/>
    </w:pPr>
    <w:rPr>
      <w:bCs w:val="0"/>
    </w:rPr>
  </w:style>
  <w:style w:type="paragraph" w:customStyle="1" w:styleId="TitleBC">
    <w:name w:val="*Title BC"/>
    <w:aliases w:val="TBC,Title BC"/>
    <w:basedOn w:val="Normal"/>
    <w:link w:val="TBCChar"/>
    <w:qFormat/>
    <w:pPr>
      <w:keepNext/>
      <w:spacing w:after="240"/>
      <w:jc w:val="center"/>
    </w:pPr>
    <w:rPr>
      <w:b/>
    </w:rPr>
  </w:style>
  <w:style w:type="paragraph" w:customStyle="1" w:styleId="TitleBCU">
    <w:name w:val="*Title BCU"/>
    <w:aliases w:val="TBCU,Title BCU"/>
    <w:basedOn w:val="Normal"/>
    <w:link w:val="TBCUChar"/>
    <w:qFormat/>
    <w:pPr>
      <w:keepNext/>
      <w:spacing w:after="240"/>
      <w:jc w:val="center"/>
    </w:pPr>
    <w:rPr>
      <w:b/>
      <w:u w:val="single"/>
    </w:rPr>
  </w:style>
  <w:style w:type="paragraph" w:styleId="Header">
    <w:name w:val="header"/>
    <w:basedOn w:val="Normal"/>
    <w:link w:val="HeaderChar"/>
    <w:uiPriority w:val="99"/>
    <w:pPr>
      <w:tabs>
        <w:tab w:val="center" w:pos="4680"/>
        <w:tab w:val="right" w:pos="9360"/>
      </w:tabs>
    </w:pPr>
  </w:style>
  <w:style w:type="paragraph" w:styleId="Footer">
    <w:name w:val="footer"/>
    <w:basedOn w:val="Normal"/>
    <w:link w:val="FooterChar"/>
    <w:uiPriority w:val="99"/>
    <w:pPr>
      <w:tabs>
        <w:tab w:val="center" w:pos="4680"/>
        <w:tab w:val="right" w:pos="9360"/>
      </w:tabs>
    </w:pPr>
  </w:style>
  <w:style w:type="paragraph" w:styleId="FootnoteText">
    <w:name w:val="footnote text"/>
    <w:aliases w:val="fn,FT"/>
    <w:basedOn w:val="Normal"/>
    <w:link w:val="FootnoteTextChar"/>
    <w:uiPriority w:val="99"/>
    <w:qFormat/>
    <w:rsid w:val="00C56B27"/>
    <w:pPr>
      <w:spacing w:after="240"/>
    </w:pPr>
  </w:style>
  <w:style w:type="paragraph" w:customStyle="1" w:styleId="BodyDbl1">
    <w:name w:val="*Body Dbl 1"/>
    <w:aliases w:val="BD1"/>
    <w:basedOn w:val="Normal"/>
    <w:pPr>
      <w:spacing w:line="480" w:lineRule="auto"/>
      <w:ind w:firstLine="1440"/>
    </w:pPr>
  </w:style>
  <w:style w:type="paragraph" w:customStyle="1" w:styleId="BodyDbl5">
    <w:name w:val="*Body Dbl 5"/>
    <w:aliases w:val="BD5,Body Dbl 5"/>
    <w:basedOn w:val="Normal"/>
    <w:link w:val="BodyDbl5Char"/>
    <w:qFormat/>
    <w:pPr>
      <w:spacing w:line="480" w:lineRule="auto"/>
      <w:ind w:firstLine="720"/>
    </w:pPr>
  </w:style>
  <w:style w:type="paragraph" w:customStyle="1" w:styleId="BodyDblIndent1">
    <w:name w:val="*Body Dbl Indent 1"/>
    <w:aliases w:val="BDI1"/>
    <w:basedOn w:val="Normal"/>
    <w:pPr>
      <w:spacing w:line="480" w:lineRule="auto"/>
      <w:ind w:left="1440"/>
    </w:pPr>
    <w:rPr>
      <w:bCs w:val="0"/>
    </w:rPr>
  </w:style>
  <w:style w:type="paragraph" w:customStyle="1" w:styleId="BodyDblIndent5">
    <w:name w:val="*Body Dbl Indent 5"/>
    <w:aliases w:val="BDI5"/>
    <w:basedOn w:val="Normal"/>
    <w:pPr>
      <w:spacing w:line="480" w:lineRule="auto"/>
      <w:ind w:left="720"/>
    </w:pPr>
    <w:rPr>
      <w:bCs w:val="0"/>
    </w:rPr>
  </w:style>
  <w:style w:type="character" w:customStyle="1" w:styleId="LBFileStampAtCursor">
    <w:name w:val="LBFileStampAtCursor"/>
    <w:basedOn w:val="DefaultParagraphFont"/>
    <w:rPr>
      <w:rFonts w:ascii="Times New Roman" w:hAnsi="Times New Roman" w:cs="Times New Roman"/>
      <w:b/>
      <w:sz w:val="16"/>
      <w:szCs w:val="32"/>
    </w:rPr>
  </w:style>
  <w:style w:type="paragraph" w:customStyle="1" w:styleId="BodyDbl">
    <w:name w:val="*Body Dbl"/>
    <w:aliases w:val="BD,Body Dbl"/>
    <w:basedOn w:val="Normal"/>
    <w:link w:val="BDChar"/>
    <w:qFormat/>
    <w:pPr>
      <w:spacing w:line="480" w:lineRule="auto"/>
    </w:pPr>
  </w:style>
  <w:style w:type="paragraph" w:customStyle="1" w:styleId="LBFileStampAtEnd">
    <w:name w:val="LBFileStampAtEnd"/>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pPr>
    <w:rPr>
      <w:b/>
      <w:bCs w:val="0"/>
      <w:sz w:val="16"/>
      <w:szCs w:val="32"/>
    </w:rPr>
  </w:style>
  <w:style w:type="paragraph" w:customStyle="1" w:styleId="BodySingleIndent1">
    <w:name w:val="*Body Single Indent 1"/>
    <w:aliases w:val="BSI1,Body Single Indent 1"/>
    <w:basedOn w:val="Normal"/>
    <w:qFormat/>
    <w:pPr>
      <w:spacing w:after="240"/>
      <w:ind w:left="1440"/>
    </w:pPr>
    <w:rPr>
      <w:bCs w:val="0"/>
    </w:rPr>
  </w:style>
  <w:style w:type="paragraph" w:customStyle="1" w:styleId="BSI5">
    <w:name w:val="BSI5"/>
    <w:aliases w:val="Body Single Indent 5"/>
    <w:basedOn w:val="Normal"/>
    <w:qFormat/>
    <w:pPr>
      <w:spacing w:after="240"/>
      <w:ind w:left="720"/>
      <w:jc w:val="both"/>
    </w:pPr>
  </w:style>
  <w:style w:type="paragraph" w:customStyle="1" w:styleId="BodySingleChar">
    <w:name w:val="*Body Single Char"/>
    <w:aliases w:val="BS Char"/>
    <w:basedOn w:val="Normal"/>
    <w:link w:val="BodySingleCharChar"/>
    <w:pPr>
      <w:spacing w:after="240"/>
    </w:pPr>
  </w:style>
  <w:style w:type="paragraph" w:customStyle="1" w:styleId="FlushRightDotLeader">
    <w:name w:val="*Flush Right Dot Leader"/>
    <w:aliases w:val="FRD"/>
    <w:basedOn w:val="Normal"/>
    <w:pPr>
      <w:tabs>
        <w:tab w:val="right" w:leader="dot" w:pos="9360"/>
      </w:tabs>
      <w:spacing w:after="240"/>
      <w:contextualSpacing/>
    </w:pPr>
    <w:rPr>
      <w:szCs w:val="20"/>
    </w:rPr>
  </w:style>
  <w:style w:type="paragraph" w:customStyle="1" w:styleId="FlushRight">
    <w:name w:val="*Flush Right"/>
    <w:aliases w:val="FR"/>
    <w:basedOn w:val="Normal"/>
    <w:pPr>
      <w:tabs>
        <w:tab w:val="right" w:pos="9360"/>
      </w:tabs>
      <w:spacing w:after="240"/>
      <w:contextualSpacing/>
    </w:pPr>
  </w:style>
  <w:style w:type="paragraph" w:customStyle="1" w:styleId="QuoteDbl1">
    <w:name w:val="*Quote Dbl 1"/>
    <w:aliases w:val="QD1"/>
    <w:basedOn w:val="Normal"/>
    <w:pPr>
      <w:spacing w:line="480" w:lineRule="auto"/>
      <w:ind w:left="1440" w:right="1440"/>
    </w:pPr>
    <w:rPr>
      <w:bCs w:val="0"/>
      <w:szCs w:val="20"/>
    </w:rPr>
  </w:style>
  <w:style w:type="paragraph" w:customStyle="1" w:styleId="QuoteDbl15">
    <w:name w:val="*Quote Dbl 15"/>
    <w:aliases w:val="QD15"/>
    <w:basedOn w:val="Normal"/>
    <w:pPr>
      <w:spacing w:line="480" w:lineRule="auto"/>
      <w:ind w:left="1440" w:right="1440" w:firstLine="720"/>
    </w:pPr>
    <w:rPr>
      <w:bCs w:val="0"/>
      <w:szCs w:val="20"/>
    </w:rPr>
  </w:style>
  <w:style w:type="paragraph" w:customStyle="1" w:styleId="QuoteDbl5">
    <w:name w:val="*Quote Dbl 5"/>
    <w:aliases w:val="QD5"/>
    <w:basedOn w:val="Normal"/>
    <w:pPr>
      <w:spacing w:line="480" w:lineRule="auto"/>
      <w:ind w:left="720" w:right="720"/>
    </w:pPr>
    <w:rPr>
      <w:bCs w:val="0"/>
      <w:szCs w:val="20"/>
    </w:rPr>
  </w:style>
  <w:style w:type="paragraph" w:customStyle="1" w:styleId="QuoteDbl55">
    <w:name w:val="*Quote Dbl 55"/>
    <w:aliases w:val="QD55"/>
    <w:basedOn w:val="Normal"/>
    <w:pPr>
      <w:spacing w:line="480" w:lineRule="auto"/>
      <w:ind w:left="720" w:right="720" w:firstLine="720"/>
    </w:pPr>
    <w:rPr>
      <w:bCs w:val="0"/>
      <w:szCs w:val="20"/>
    </w:rPr>
  </w:style>
  <w:style w:type="paragraph" w:customStyle="1" w:styleId="QuoteSingle1CharCharChar">
    <w:name w:val="*Quote Single 1 Char Char Char"/>
    <w:aliases w:val="QS1 Char Char Char"/>
    <w:basedOn w:val="Normal"/>
    <w:link w:val="QuoteSingle1CharCharCharChar"/>
    <w:pPr>
      <w:spacing w:after="240"/>
      <w:ind w:left="1440" w:right="1440"/>
    </w:pPr>
    <w:rPr>
      <w:bCs w:val="0"/>
    </w:rPr>
  </w:style>
  <w:style w:type="paragraph" w:customStyle="1" w:styleId="QuoteSingle15">
    <w:name w:val="*Quote Single 15"/>
    <w:aliases w:val="QS15"/>
    <w:basedOn w:val="Normal"/>
    <w:pPr>
      <w:spacing w:after="240"/>
      <w:ind w:left="1440" w:right="1440" w:firstLine="720"/>
    </w:pPr>
    <w:rPr>
      <w:bCs w:val="0"/>
      <w:szCs w:val="20"/>
    </w:rPr>
  </w:style>
  <w:style w:type="paragraph" w:customStyle="1" w:styleId="QuoteSingle55">
    <w:name w:val="*Quote Single 55"/>
    <w:aliases w:val="QS55"/>
    <w:basedOn w:val="Normal"/>
    <w:pPr>
      <w:spacing w:after="240"/>
      <w:ind w:left="720" w:right="720" w:firstLine="720"/>
    </w:pPr>
    <w:rPr>
      <w:bCs w:val="0"/>
    </w:rPr>
  </w:style>
  <w:style w:type="paragraph" w:customStyle="1" w:styleId="TitleB1">
    <w:name w:val="*Title B1"/>
    <w:aliases w:val="TB1"/>
    <w:basedOn w:val="Normal"/>
    <w:pPr>
      <w:keepNext/>
      <w:spacing w:after="240"/>
      <w:ind w:left="1440"/>
    </w:pPr>
    <w:rPr>
      <w:b/>
    </w:rPr>
  </w:style>
  <w:style w:type="paragraph" w:customStyle="1" w:styleId="TitleB5">
    <w:name w:val="*Title B5"/>
    <w:aliases w:val="TB5"/>
    <w:basedOn w:val="Normal"/>
    <w:pPr>
      <w:keepNext/>
      <w:spacing w:after="240"/>
      <w:ind w:left="720"/>
    </w:pPr>
    <w:rPr>
      <w:b/>
    </w:rPr>
  </w:style>
  <w:style w:type="paragraph" w:customStyle="1" w:styleId="TBL">
    <w:name w:val="TBL"/>
    <w:aliases w:val="Title BL"/>
    <w:basedOn w:val="Normal"/>
    <w:qFormat/>
    <w:pPr>
      <w:keepNext/>
      <w:spacing w:after="240"/>
    </w:pPr>
    <w:rPr>
      <w:b/>
    </w:rPr>
  </w:style>
  <w:style w:type="paragraph" w:customStyle="1" w:styleId="TBLU">
    <w:name w:val="TBLU"/>
    <w:aliases w:val="Title BLU"/>
    <w:basedOn w:val="Normal"/>
    <w:qFormat/>
    <w:rsid w:val="00BF3488"/>
    <w:pPr>
      <w:keepNext/>
      <w:spacing w:after="240"/>
    </w:pPr>
    <w:rPr>
      <w:b/>
      <w:u w:val="single"/>
    </w:rPr>
  </w:style>
  <w:style w:type="paragraph" w:customStyle="1" w:styleId="TitleBU1">
    <w:name w:val="*Title BU1"/>
    <w:aliases w:val="TBU1"/>
    <w:basedOn w:val="Normal"/>
    <w:pPr>
      <w:keepNext/>
      <w:spacing w:after="240"/>
      <w:ind w:left="1440"/>
    </w:pPr>
    <w:rPr>
      <w:b/>
      <w:u w:val="single"/>
    </w:rPr>
  </w:style>
  <w:style w:type="paragraph" w:customStyle="1" w:styleId="TitleBU5">
    <w:name w:val="*Title BU5"/>
    <w:aliases w:val="TBU5"/>
    <w:basedOn w:val="Normal"/>
    <w:pPr>
      <w:keepNext/>
      <w:spacing w:after="240"/>
      <w:ind w:left="720"/>
    </w:pPr>
    <w:rPr>
      <w:b/>
      <w:u w:val="single"/>
    </w:rPr>
  </w:style>
  <w:style w:type="paragraph" w:customStyle="1" w:styleId="TitleC">
    <w:name w:val="*Title C"/>
    <w:aliases w:val="TC,Title C"/>
    <w:basedOn w:val="Normal"/>
    <w:link w:val="TitleCChar"/>
    <w:qFormat/>
    <w:pPr>
      <w:keepNext/>
      <w:spacing w:after="240"/>
      <w:jc w:val="center"/>
    </w:pPr>
  </w:style>
  <w:style w:type="paragraph" w:customStyle="1" w:styleId="TitleCU">
    <w:name w:val="*Title CU"/>
    <w:aliases w:val="TCU"/>
    <w:basedOn w:val="Normal"/>
    <w:pPr>
      <w:keepNext/>
      <w:spacing w:after="240"/>
      <w:jc w:val="center"/>
    </w:pPr>
    <w:rPr>
      <w:u w:val="single"/>
    </w:rPr>
  </w:style>
  <w:style w:type="paragraph" w:customStyle="1" w:styleId="TitleL">
    <w:name w:val="*Title L"/>
    <w:aliases w:val="TL"/>
    <w:basedOn w:val="Normal"/>
    <w:pPr>
      <w:keepNext/>
      <w:spacing w:after="240"/>
    </w:pPr>
  </w:style>
  <w:style w:type="paragraph" w:customStyle="1" w:styleId="TitleLU">
    <w:name w:val="*Title LU"/>
    <w:aliases w:val="TLU"/>
    <w:basedOn w:val="Normal"/>
    <w:pPr>
      <w:keepNext/>
      <w:spacing w:after="240"/>
    </w:pPr>
    <w:rPr>
      <w:u w:val="single"/>
    </w:rPr>
  </w:style>
  <w:style w:type="paragraph" w:customStyle="1" w:styleId="TitleU1">
    <w:name w:val="*Title U1"/>
    <w:aliases w:val="TU1"/>
    <w:basedOn w:val="Normal"/>
    <w:pPr>
      <w:keepNext/>
      <w:spacing w:after="240"/>
      <w:ind w:left="1440"/>
    </w:pPr>
    <w:rPr>
      <w:u w:val="single"/>
    </w:rPr>
  </w:style>
  <w:style w:type="paragraph" w:customStyle="1" w:styleId="TitleU5">
    <w:name w:val="*Title U5"/>
    <w:aliases w:val="TU5"/>
    <w:basedOn w:val="Normal"/>
    <w:pPr>
      <w:keepNext/>
      <w:spacing w:after="240"/>
      <w:ind w:left="720"/>
    </w:pPr>
    <w:rPr>
      <w:u w:val="single"/>
    </w:rPr>
  </w:style>
  <w:style w:type="paragraph" w:customStyle="1" w:styleId="ShortLines5">
    <w:name w:val="*Short Lines .5"/>
    <w:aliases w:val="SL5,Short Lines .5"/>
    <w:basedOn w:val="Normal"/>
    <w:qFormat/>
    <w:pPr>
      <w:spacing w:after="240"/>
      <w:ind w:left="720"/>
      <w:contextualSpacing/>
    </w:pPr>
  </w:style>
  <w:style w:type="paragraph" w:customStyle="1" w:styleId="ShortLines1">
    <w:name w:val="*Short Lines 1"/>
    <w:aliases w:val="SL1,Short Lines 1"/>
    <w:basedOn w:val="Normal"/>
    <w:qFormat/>
    <w:pPr>
      <w:spacing w:after="240"/>
      <w:ind w:left="1440"/>
      <w:contextualSpacing/>
    </w:pPr>
  </w:style>
  <w:style w:type="paragraph" w:customStyle="1" w:styleId="ShortLines">
    <w:name w:val="*Short Lines"/>
    <w:aliases w:val="SL,Short Lines"/>
    <w:basedOn w:val="Normal"/>
    <w:qFormat/>
    <w:pPr>
      <w:spacing w:after="240"/>
      <w:contextualSpacing/>
    </w:pPr>
  </w:style>
  <w:style w:type="paragraph" w:styleId="Signature">
    <w:name w:val="Signature"/>
    <w:basedOn w:val="Normal"/>
    <w:link w:val="SignatureChar"/>
    <w:uiPriority w:val="99"/>
    <w:qFormat/>
    <w:pPr>
      <w:keepNext/>
      <w:spacing w:after="240"/>
      <w:ind w:left="4320"/>
      <w:contextualSpacing/>
    </w:pPr>
  </w:style>
  <w:style w:type="paragraph" w:customStyle="1" w:styleId="Break">
    <w:name w:val="*Break"/>
    <w:aliases w:val="BRK"/>
    <w:basedOn w:val="Normal"/>
    <w:pPr>
      <w:widowControl w:val="0"/>
    </w:pPr>
  </w:style>
  <w:style w:type="paragraph" w:customStyle="1" w:styleId="TagLineFooter">
    <w:name w:val="*TagLine Footer"/>
    <w:aliases w:val="TGF"/>
    <w:basedOn w:val="Normal"/>
    <w:rPr>
      <w:bCs w:val="0"/>
      <w:sz w:val="16"/>
    </w:rPr>
  </w:style>
  <w:style w:type="paragraph" w:customStyle="1" w:styleId="TagLine">
    <w:name w:val="*TagLine"/>
    <w:aliases w:val="TGL"/>
    <w:basedOn w:val="Normal"/>
    <w:pPr>
      <w:spacing w:before="360"/>
    </w:pPr>
    <w:rPr>
      <w:sz w:val="16"/>
    </w:rPr>
  </w:style>
  <w:style w:type="paragraph" w:customStyle="1" w:styleId="hea15">
    <w:name w:val="hea 1 ½ 5"/>
    <w:aliases w:val="B15"/>
    <w:basedOn w:val="Normal"/>
    <w:qFormat/>
    <w:rsid w:val="00EF4FB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60" w:lineRule="auto"/>
    </w:pPr>
    <w:rPr>
      <w:bCs w:val="0"/>
    </w:rPr>
  </w:style>
  <w:style w:type="paragraph" w:customStyle="1" w:styleId="B151">
    <w:name w:val="B151"/>
    <w:aliases w:val="Body 1 ½ 1"/>
    <w:basedOn w:val="Normal"/>
    <w:qFormat/>
    <w:rsid w:val="00404E00"/>
    <w:pPr>
      <w:spacing w:after="240" w:line="360" w:lineRule="auto"/>
      <w:ind w:firstLine="1440"/>
    </w:pPr>
    <w:rPr>
      <w:bCs w:val="0"/>
    </w:rPr>
  </w:style>
  <w:style w:type="character" w:styleId="FootnoteReference">
    <w:name w:val="footnote reference"/>
    <w:aliases w:val="*"/>
    <w:basedOn w:val="DefaultParagraphFont"/>
    <w:uiPriority w:val="99"/>
    <w:qFormat/>
    <w:rsid w:val="00A34326"/>
    <w:rPr>
      <w:vertAlign w:val="superscript"/>
    </w:rPr>
  </w:style>
  <w:style w:type="numbering" w:styleId="111111">
    <w:name w:val="Outline List 2"/>
    <w:basedOn w:val="NoList"/>
    <w:pPr>
      <w:numPr>
        <w:numId w:val="1"/>
      </w:numPr>
    </w:pPr>
  </w:style>
  <w:style w:type="numbering" w:styleId="ArticleSection">
    <w:name w:val="Outline List 3"/>
    <w:basedOn w:val="NoList"/>
    <w:pPr>
      <w:numPr>
        <w:numId w:val="2"/>
      </w:numPr>
    </w:pPr>
  </w:style>
  <w:style w:type="paragraph" w:customStyle="1" w:styleId="Body15Char">
    <w:name w:val="*Body 1 ½ 5 Char"/>
    <w:aliases w:val="B155 Char"/>
    <w:basedOn w:val="Normal"/>
    <w:link w:val="Body15CharChar"/>
    <w:pPr>
      <w:spacing w:after="240" w:line="360" w:lineRule="auto"/>
      <w:ind w:firstLine="720"/>
    </w:pPr>
    <w:rPr>
      <w:bCs w:val="0"/>
    </w:rPr>
  </w:style>
  <w:style w:type="paragraph" w:customStyle="1" w:styleId="B15I1">
    <w:name w:val="B15I1"/>
    <w:aliases w:val="Body 1 ½ Indent 1"/>
    <w:basedOn w:val="Normal"/>
    <w:qFormat/>
    <w:pPr>
      <w:spacing w:line="360" w:lineRule="auto"/>
      <w:ind w:left="1440"/>
      <w:jc w:val="both"/>
    </w:pPr>
  </w:style>
  <w:style w:type="paragraph" w:customStyle="1" w:styleId="Body1Indent5">
    <w:name w:val="*Body 1 ½ Indent 5"/>
    <w:aliases w:val="B15I5"/>
    <w:basedOn w:val="Normal"/>
    <w:pPr>
      <w:spacing w:line="360" w:lineRule="auto"/>
      <w:ind w:left="720"/>
    </w:pPr>
    <w:rPr>
      <w:bCs w:val="0"/>
    </w:rPr>
  </w:style>
  <w:style w:type="paragraph" w:customStyle="1" w:styleId="BodySingleHanging">
    <w:name w:val="*Body Single Hanging"/>
    <w:aliases w:val="BSH"/>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hanging="720"/>
    </w:pPr>
    <w:rPr>
      <w:bCs w:val="0"/>
    </w:rPr>
  </w:style>
  <w:style w:type="paragraph" w:customStyle="1" w:styleId="BodySingleHanging1">
    <w:name w:val="*Body Single Hanging 1"/>
    <w:aliases w:val="BSH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2160" w:hanging="720"/>
    </w:pPr>
    <w:rPr>
      <w:bCs w:val="0"/>
    </w:rPr>
  </w:style>
  <w:style w:type="paragraph" w:customStyle="1" w:styleId="BodySingleHanging5">
    <w:name w:val="*Body Single Hanging 5"/>
    <w:aliases w:val="BSH5"/>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1440" w:hanging="720"/>
    </w:pPr>
    <w:rPr>
      <w:bCs w:val="0"/>
    </w:rPr>
  </w:style>
  <w:style w:type="paragraph" w:customStyle="1" w:styleId="BodyDblHanging">
    <w:name w:val="*Body Dbl Hanging"/>
    <w:aliases w:val="BDH"/>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ind w:left="720" w:hanging="720"/>
    </w:pPr>
    <w:rPr>
      <w:bCs w:val="0"/>
    </w:rPr>
  </w:style>
  <w:style w:type="paragraph" w:customStyle="1" w:styleId="BodyDblHanging1">
    <w:name w:val="*Body Dbl Hanging 1"/>
    <w:aliases w:val="BDH1"/>
    <w:basedOn w:val="Normal"/>
    <w:pPr>
      <w:spacing w:after="240" w:line="480" w:lineRule="auto"/>
      <w:ind w:left="2160" w:hanging="720"/>
    </w:pPr>
    <w:rPr>
      <w:bCs w:val="0"/>
    </w:rPr>
  </w:style>
  <w:style w:type="paragraph" w:customStyle="1" w:styleId="BodyDblHanging5">
    <w:name w:val="*Body Dbl Hanging 5"/>
    <w:aliases w:val="BDH5"/>
    <w:basedOn w:val="Normal"/>
    <w:pPr>
      <w:spacing w:after="240" w:line="480" w:lineRule="auto"/>
      <w:ind w:left="1440" w:hanging="720"/>
    </w:pPr>
    <w:rPr>
      <w:bCs w:val="0"/>
    </w:rPr>
  </w:style>
  <w:style w:type="paragraph" w:customStyle="1" w:styleId="Body1Hanging">
    <w:name w:val="*Body 1 ½ Hanging"/>
    <w:aliases w:val="B15H"/>
    <w:basedOn w:val="Normal"/>
    <w:pPr>
      <w:spacing w:line="360" w:lineRule="auto"/>
      <w:ind w:left="720" w:hanging="720"/>
    </w:pPr>
    <w:rPr>
      <w:bCs w:val="0"/>
    </w:rPr>
  </w:style>
  <w:style w:type="paragraph" w:customStyle="1" w:styleId="Body1Hanging1">
    <w:name w:val="*Body 1 ½ Hanging 1"/>
    <w:aliases w:val="B15H1"/>
    <w:basedOn w:val="Normal"/>
    <w:pPr>
      <w:spacing w:line="360" w:lineRule="auto"/>
      <w:ind w:left="2160" w:hanging="720"/>
    </w:pPr>
    <w:rPr>
      <w:bCs w:val="0"/>
    </w:rPr>
  </w:style>
  <w:style w:type="paragraph" w:customStyle="1" w:styleId="Body1Hanging5">
    <w:name w:val="*Body 1 ½ Hanging 5"/>
    <w:aliases w:val="B15H5"/>
    <w:basedOn w:val="Normal"/>
    <w:pPr>
      <w:spacing w:line="360" w:lineRule="auto"/>
      <w:ind w:left="1440" w:hanging="720"/>
    </w:pPr>
    <w:rPr>
      <w:bCs w:val="0"/>
    </w:rPr>
  </w:style>
  <w:style w:type="paragraph" w:customStyle="1" w:styleId="TitleL1">
    <w:name w:val="*Title L1"/>
    <w:aliases w:val="TL1"/>
    <w:basedOn w:val="Normal"/>
    <w:pPr>
      <w:keepNext/>
      <w:spacing w:after="240"/>
      <w:ind w:left="1440"/>
    </w:pPr>
    <w:rPr>
      <w:bCs w:val="0"/>
    </w:rPr>
  </w:style>
  <w:style w:type="paragraph" w:customStyle="1" w:styleId="TitleL5">
    <w:name w:val="*Title L5"/>
    <w:aliases w:val="TL5"/>
    <w:basedOn w:val="Normal"/>
    <w:pPr>
      <w:keepNext/>
      <w:spacing w:after="240"/>
      <w:ind w:left="720"/>
    </w:pPr>
    <w:rPr>
      <w:bCs w:val="0"/>
    </w:rPr>
  </w:style>
  <w:style w:type="paragraph" w:styleId="EndnoteText">
    <w:name w:val="endnote text"/>
    <w:basedOn w:val="Normal"/>
    <w:link w:val="EndnoteTextChar"/>
    <w:uiPriority w:val="99"/>
    <w:pPr>
      <w:widowControl w:val="0"/>
      <w:autoSpaceDE w:val="0"/>
      <w:autoSpaceDN w:val="0"/>
      <w:adjustRightInd w:val="0"/>
    </w:pPr>
    <w:rPr>
      <w:rFonts w:ascii="Courier New" w:hAnsi="Courier New"/>
    </w:rPr>
  </w:style>
  <w:style w:type="character" w:styleId="EndnoteReference">
    <w:name w:val="endnote reference"/>
    <w:basedOn w:val="DefaultParagraphFont"/>
    <w:uiPriority w:val="99"/>
    <w:rPr>
      <w:vertAlign w:val="superscript"/>
    </w:rPr>
  </w:style>
  <w:style w:type="character" w:customStyle="1" w:styleId="ParaNum">
    <w:name w:val="ParaNum"/>
    <w:basedOn w:val="DefaultParagraphFont"/>
  </w:style>
  <w:style w:type="paragraph" w:styleId="TOC1">
    <w:name w:val="toc 1"/>
    <w:basedOn w:val="Normal"/>
    <w:next w:val="Normal"/>
    <w:autoRedefine/>
    <w:uiPriority w:val="39"/>
    <w:pPr>
      <w:widowControl w:val="0"/>
      <w:tabs>
        <w:tab w:val="right" w:leader="dot" w:pos="9360"/>
      </w:tabs>
      <w:suppressAutoHyphens/>
      <w:autoSpaceDE w:val="0"/>
      <w:autoSpaceDN w:val="0"/>
      <w:adjustRightInd w:val="0"/>
      <w:spacing w:before="240" w:after="240" w:line="240" w:lineRule="atLeast"/>
      <w:ind w:left="720" w:right="720" w:hanging="720"/>
    </w:pPr>
    <w:rPr>
      <w:rFonts w:cs="Courier New"/>
      <w:b/>
      <w:noProof/>
      <w:szCs w:val="20"/>
    </w:rPr>
  </w:style>
  <w:style w:type="paragraph" w:styleId="TOC2">
    <w:name w:val="toc 2"/>
    <w:basedOn w:val="Normal"/>
    <w:next w:val="Normal"/>
    <w:autoRedefine/>
    <w:uiPriority w:val="39"/>
    <w:rsid w:val="00DD5B8E"/>
    <w:pPr>
      <w:widowControl w:val="0"/>
      <w:tabs>
        <w:tab w:val="left" w:pos="1440"/>
        <w:tab w:val="right" w:leader="dot" w:pos="9360"/>
      </w:tabs>
      <w:suppressAutoHyphens/>
      <w:autoSpaceDE w:val="0"/>
      <w:autoSpaceDN w:val="0"/>
      <w:adjustRightInd w:val="0"/>
      <w:spacing w:line="240" w:lineRule="atLeast"/>
      <w:ind w:left="1440" w:right="720" w:hanging="720"/>
    </w:pPr>
    <w:rPr>
      <w:rFonts w:cs="Courier New"/>
      <w:b/>
      <w:noProof/>
      <w:szCs w:val="20"/>
    </w:rPr>
  </w:style>
  <w:style w:type="paragraph" w:styleId="TOC3">
    <w:name w:val="toc 3"/>
    <w:basedOn w:val="Normal"/>
    <w:next w:val="Normal"/>
    <w:autoRedefine/>
    <w:uiPriority w:val="39"/>
    <w:pPr>
      <w:widowControl w:val="0"/>
      <w:tabs>
        <w:tab w:val="right" w:leader="dot" w:pos="9360"/>
      </w:tabs>
      <w:suppressAutoHyphens/>
      <w:autoSpaceDE w:val="0"/>
      <w:autoSpaceDN w:val="0"/>
      <w:adjustRightInd w:val="0"/>
      <w:spacing w:line="240" w:lineRule="atLeast"/>
      <w:ind w:left="2160" w:right="720" w:hanging="720"/>
    </w:pPr>
    <w:rPr>
      <w:rFonts w:ascii="Courier New" w:hAnsi="Courier New" w:cs="Courier New"/>
      <w:szCs w:val="20"/>
    </w:rPr>
  </w:style>
  <w:style w:type="paragraph" w:styleId="TOC4">
    <w:name w:val="toc 4"/>
    <w:basedOn w:val="Normal"/>
    <w:next w:val="Normal"/>
    <w:autoRedefine/>
    <w:uiPriority w:val="39"/>
    <w:pPr>
      <w:widowControl w:val="0"/>
      <w:tabs>
        <w:tab w:val="right" w:leader="dot" w:pos="9360"/>
      </w:tabs>
      <w:suppressAutoHyphens/>
      <w:autoSpaceDE w:val="0"/>
      <w:autoSpaceDN w:val="0"/>
      <w:adjustRightInd w:val="0"/>
      <w:spacing w:line="240" w:lineRule="atLeast"/>
      <w:ind w:left="2880" w:right="720" w:hanging="720"/>
    </w:pPr>
    <w:rPr>
      <w:rFonts w:ascii="Courier New" w:hAnsi="Courier New" w:cs="Courier New"/>
      <w:szCs w:val="20"/>
    </w:rPr>
  </w:style>
  <w:style w:type="paragraph" w:styleId="TOC5">
    <w:name w:val="toc 5"/>
    <w:basedOn w:val="Normal"/>
    <w:next w:val="Normal"/>
    <w:autoRedefine/>
    <w:uiPriority w:val="39"/>
    <w:pPr>
      <w:widowControl w:val="0"/>
      <w:tabs>
        <w:tab w:val="right" w:leader="dot" w:pos="9360"/>
      </w:tabs>
      <w:suppressAutoHyphens/>
      <w:autoSpaceDE w:val="0"/>
      <w:autoSpaceDN w:val="0"/>
      <w:adjustRightInd w:val="0"/>
      <w:spacing w:line="240" w:lineRule="atLeast"/>
      <w:ind w:left="3600" w:right="720" w:hanging="720"/>
    </w:pPr>
    <w:rPr>
      <w:rFonts w:ascii="Courier New" w:hAnsi="Courier New" w:cs="Courier New"/>
      <w:szCs w:val="20"/>
    </w:rPr>
  </w:style>
  <w:style w:type="paragraph" w:styleId="TOC6">
    <w:name w:val="toc 6"/>
    <w:basedOn w:val="Normal"/>
    <w:next w:val="Normal"/>
    <w:autoRedefine/>
    <w:uiPriority w:val="39"/>
    <w:pPr>
      <w:widowControl w:val="0"/>
      <w:tabs>
        <w:tab w:val="right" w:pos="9360"/>
      </w:tabs>
      <w:suppressAutoHyphens/>
      <w:autoSpaceDE w:val="0"/>
      <w:autoSpaceDN w:val="0"/>
      <w:adjustRightInd w:val="0"/>
      <w:spacing w:line="240" w:lineRule="atLeast"/>
      <w:ind w:left="720" w:hanging="720"/>
    </w:pPr>
    <w:rPr>
      <w:rFonts w:ascii="Courier New" w:hAnsi="Courier New" w:cs="Courier New"/>
      <w:szCs w:val="20"/>
    </w:rPr>
  </w:style>
  <w:style w:type="paragraph" w:styleId="TOC7">
    <w:name w:val="toc 7"/>
    <w:basedOn w:val="Normal"/>
    <w:next w:val="Normal"/>
    <w:autoRedefine/>
    <w:uiPriority w:val="39"/>
    <w:pPr>
      <w:widowControl w:val="0"/>
      <w:suppressAutoHyphens/>
      <w:autoSpaceDE w:val="0"/>
      <w:autoSpaceDN w:val="0"/>
      <w:adjustRightInd w:val="0"/>
      <w:spacing w:line="240" w:lineRule="atLeast"/>
      <w:ind w:left="720" w:hanging="720"/>
    </w:pPr>
    <w:rPr>
      <w:rFonts w:ascii="Courier New" w:hAnsi="Courier New" w:cs="Courier New"/>
      <w:szCs w:val="20"/>
    </w:rPr>
  </w:style>
  <w:style w:type="paragraph" w:styleId="TOC8">
    <w:name w:val="toc 8"/>
    <w:basedOn w:val="Normal"/>
    <w:next w:val="Normal"/>
    <w:autoRedefine/>
    <w:uiPriority w:val="39"/>
    <w:pPr>
      <w:widowControl w:val="0"/>
      <w:tabs>
        <w:tab w:val="right" w:pos="9360"/>
      </w:tabs>
      <w:suppressAutoHyphens/>
      <w:autoSpaceDE w:val="0"/>
      <w:autoSpaceDN w:val="0"/>
      <w:adjustRightInd w:val="0"/>
      <w:spacing w:line="240" w:lineRule="atLeast"/>
      <w:ind w:left="720" w:hanging="720"/>
    </w:pPr>
    <w:rPr>
      <w:rFonts w:ascii="Courier New" w:hAnsi="Courier New" w:cs="Courier New"/>
      <w:szCs w:val="20"/>
    </w:rPr>
  </w:style>
  <w:style w:type="paragraph" w:styleId="TOC9">
    <w:name w:val="toc 9"/>
    <w:basedOn w:val="Normal"/>
    <w:next w:val="Normal"/>
    <w:autoRedefine/>
    <w:uiPriority w:val="39"/>
    <w:pPr>
      <w:widowControl w:val="0"/>
      <w:tabs>
        <w:tab w:val="right" w:leader="dot" w:pos="9360"/>
      </w:tabs>
      <w:suppressAutoHyphens/>
      <w:autoSpaceDE w:val="0"/>
      <w:autoSpaceDN w:val="0"/>
      <w:adjustRightInd w:val="0"/>
      <w:spacing w:line="240" w:lineRule="atLeast"/>
      <w:ind w:left="720" w:hanging="720"/>
    </w:pPr>
    <w:rPr>
      <w:rFonts w:ascii="Courier New" w:hAnsi="Courier New" w:cs="Courier New"/>
      <w:szCs w:val="20"/>
    </w:rPr>
  </w:style>
  <w:style w:type="paragraph" w:styleId="Index1">
    <w:name w:val="index 1"/>
    <w:basedOn w:val="Normal"/>
    <w:next w:val="Normal"/>
    <w:autoRedefine/>
    <w:uiPriority w:val="99"/>
    <w:pPr>
      <w:widowControl w:val="0"/>
      <w:tabs>
        <w:tab w:val="right" w:leader="dot" w:pos="9360"/>
      </w:tabs>
      <w:suppressAutoHyphens/>
      <w:autoSpaceDE w:val="0"/>
      <w:autoSpaceDN w:val="0"/>
      <w:adjustRightInd w:val="0"/>
      <w:spacing w:line="240" w:lineRule="atLeast"/>
      <w:ind w:left="1440" w:right="720" w:hanging="1440"/>
    </w:pPr>
    <w:rPr>
      <w:rFonts w:ascii="Courier New" w:hAnsi="Courier New" w:cs="Courier New"/>
      <w:szCs w:val="20"/>
    </w:rPr>
  </w:style>
  <w:style w:type="paragraph" w:styleId="Index2">
    <w:name w:val="index 2"/>
    <w:basedOn w:val="Normal"/>
    <w:next w:val="Normal"/>
    <w:autoRedefine/>
    <w:uiPriority w:val="99"/>
    <w:pPr>
      <w:widowControl w:val="0"/>
      <w:tabs>
        <w:tab w:val="right" w:leader="dot" w:pos="9360"/>
      </w:tabs>
      <w:suppressAutoHyphens/>
      <w:autoSpaceDE w:val="0"/>
      <w:autoSpaceDN w:val="0"/>
      <w:adjustRightInd w:val="0"/>
      <w:spacing w:line="240" w:lineRule="atLeast"/>
      <w:ind w:left="1440" w:right="720" w:hanging="720"/>
    </w:pPr>
    <w:rPr>
      <w:rFonts w:ascii="Courier New" w:hAnsi="Courier New" w:cs="Courier New"/>
      <w:szCs w:val="20"/>
    </w:rPr>
  </w:style>
  <w:style w:type="paragraph" w:styleId="TOAHeading">
    <w:name w:val="toa heading"/>
    <w:basedOn w:val="Normal"/>
    <w:next w:val="Normal"/>
    <w:uiPriority w:val="99"/>
    <w:pPr>
      <w:widowControl w:val="0"/>
      <w:tabs>
        <w:tab w:val="right" w:pos="9360"/>
      </w:tabs>
      <w:suppressAutoHyphens/>
      <w:autoSpaceDE w:val="0"/>
      <w:autoSpaceDN w:val="0"/>
      <w:adjustRightInd w:val="0"/>
      <w:spacing w:line="240" w:lineRule="atLeast"/>
    </w:pPr>
    <w:rPr>
      <w:rFonts w:ascii="Courier New" w:hAnsi="Courier New" w:cs="Courier New"/>
      <w:szCs w:val="20"/>
    </w:rPr>
  </w:style>
  <w:style w:type="paragraph" w:styleId="Caption">
    <w:name w:val="caption"/>
    <w:basedOn w:val="Normal"/>
    <w:next w:val="Normal"/>
    <w:uiPriority w:val="35"/>
    <w:qFormat/>
    <w:pPr>
      <w:widowControl w:val="0"/>
      <w:autoSpaceDE w:val="0"/>
      <w:autoSpaceDN w:val="0"/>
      <w:adjustRightInd w:val="0"/>
    </w:pPr>
    <w:rPr>
      <w:rFonts w:ascii="Courier New" w:hAnsi="Courier New"/>
    </w:rPr>
  </w:style>
  <w:style w:type="character" w:customStyle="1" w:styleId="EquationCaption">
    <w:name w:val="_Equation Caption"/>
  </w:style>
  <w:style w:type="character" w:styleId="PageNumber">
    <w:name w:val="page number"/>
    <w:basedOn w:val="DefaultParagraphFont"/>
    <w:uiPriority w:val="99"/>
  </w:style>
  <w:style w:type="table" w:styleId="TableGrid">
    <w:name w:val="Table Grid"/>
    <w:basedOn w:val="TableNormal"/>
    <w:uiPriority w:val="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Pr>
      <w:sz w:val="16"/>
      <w:szCs w:val="16"/>
    </w:rPr>
  </w:style>
  <w:style w:type="paragraph" w:styleId="CommentText">
    <w:name w:val="annotation text"/>
    <w:basedOn w:val="Normal"/>
    <w:uiPriority w:val="99"/>
    <w:rPr>
      <w:szCs w:val="20"/>
    </w:rPr>
  </w:style>
  <w:style w:type="paragraph" w:styleId="CommentSubject">
    <w:name w:val="annotation subject"/>
    <w:basedOn w:val="CommentText"/>
    <w:next w:val="CommentText"/>
    <w:uiPriority w:val="99"/>
    <w:rPr>
      <w:b/>
      <w:bCs w:val="0"/>
    </w:rPr>
  </w:style>
  <w:style w:type="paragraph" w:styleId="BalloonText">
    <w:name w:val="Balloon Text"/>
    <w:basedOn w:val="Normal"/>
    <w:link w:val="BalloonTextChar"/>
    <w:uiPriority w:val="99"/>
    <w:rPr>
      <w:rFonts w:ascii="Tahoma" w:hAnsi="Tahoma" w:cs="Tahoma"/>
      <w:sz w:val="16"/>
      <w:szCs w:val="16"/>
    </w:rPr>
  </w:style>
  <w:style w:type="paragraph" w:customStyle="1" w:styleId="DocX97Comment">
    <w:name w:val="DocX97Comment"/>
    <w:basedOn w:val="Normal"/>
    <w:rPr>
      <w:b/>
      <w:i/>
      <w:color w:val="FF0000"/>
      <w:sz w:val="16"/>
      <w:szCs w:val="20"/>
      <w:lang w:val="en-CA"/>
    </w:rPr>
  </w:style>
  <w:style w:type="character" w:customStyle="1" w:styleId="BodySingle5CharCharCharCharChar">
    <w:name w:val="*Body Single 5 Char Char Char Char Char"/>
    <w:aliases w:val="BS5 Char Char Char Char Char"/>
    <w:basedOn w:val="DefaultParagraphFont"/>
    <w:link w:val="BodySingle5CharCharCharChar"/>
    <w:rPr>
      <w:szCs w:val="24"/>
      <w:lang w:val="en-US" w:eastAsia="en-US" w:bidi="ar-SA"/>
    </w:rPr>
  </w:style>
  <w:style w:type="character" w:customStyle="1" w:styleId="BodySingleCharChar">
    <w:name w:val="*Body Single Char Char"/>
    <w:aliases w:val="BS Char Char"/>
    <w:basedOn w:val="DefaultParagraphFont"/>
    <w:link w:val="BodySingleChar"/>
    <w:rPr>
      <w:szCs w:val="24"/>
      <w:lang w:val="en-US" w:eastAsia="en-US" w:bidi="ar-SA"/>
    </w:rPr>
  </w:style>
  <w:style w:type="paragraph" w:styleId="NormalWeb">
    <w:name w:val="Normal (Web)"/>
    <w:basedOn w:val="Normal"/>
    <w:uiPriority w:val="99"/>
    <w:pPr>
      <w:spacing w:before="100" w:beforeAutospacing="1" w:after="100" w:afterAutospacing="1"/>
    </w:pPr>
    <w:rPr>
      <w:rFonts w:ascii="Arial" w:hAnsi="Arial" w:cs="Arial"/>
      <w:color w:val="000000"/>
      <w:sz w:val="24"/>
    </w:rPr>
  </w:style>
  <w:style w:type="character" w:customStyle="1" w:styleId="QuoteSingle1CharCharCharChar">
    <w:name w:val="*Quote Single 1 Char Char Char Char"/>
    <w:aliases w:val="QS1 Char Char Char Char"/>
    <w:basedOn w:val="DefaultParagraphFont"/>
    <w:link w:val="QuoteSingle1CharCharChar"/>
    <w:rPr>
      <w:bCs/>
      <w:szCs w:val="24"/>
      <w:lang w:val="en-US" w:eastAsia="en-US" w:bidi="ar-SA"/>
    </w:rPr>
  </w:style>
  <w:style w:type="paragraph" w:customStyle="1" w:styleId="qs1">
    <w:name w:val="qs1'"/>
    <w:basedOn w:val="BodySingle5CharCharCharChar"/>
  </w:style>
  <w:style w:type="character" w:styleId="Strong">
    <w:name w:val="Strong"/>
    <w:basedOn w:val="DefaultParagraphFont"/>
    <w:uiPriority w:val="22"/>
    <w:qFormat/>
    <w:rPr>
      <w:b/>
      <w:bCs/>
    </w:rPr>
  </w:style>
  <w:style w:type="paragraph" w:customStyle="1" w:styleId="Section">
    <w:name w:val="*Section"/>
    <w:aliases w:val="sec"/>
    <w:basedOn w:val="Normal"/>
    <w:next w:val="Normal"/>
    <w:rPr>
      <w:sz w:val="24"/>
    </w:rPr>
  </w:style>
  <w:style w:type="paragraph" w:customStyle="1" w:styleId="HBody1">
    <w:name w:val="HBody1"/>
    <w:basedOn w:val="Heading1"/>
    <w:next w:val="Heading1"/>
    <w:pPr>
      <w:numPr>
        <w:numId w:val="0"/>
      </w:numPr>
      <w:outlineLvl w:val="9"/>
    </w:pPr>
  </w:style>
  <w:style w:type="paragraph" w:customStyle="1" w:styleId="Hearing2">
    <w:name w:val="Hearing 2"/>
    <w:basedOn w:val="Heading1"/>
    <w:rPr>
      <w:b w:val="0"/>
      <w:u w:val="none"/>
    </w:rPr>
  </w:style>
  <w:style w:type="paragraph" w:customStyle="1" w:styleId="Section0">
    <w:name w:val="Section"/>
    <w:basedOn w:val="Normal"/>
    <w:rPr>
      <w:sz w:val="24"/>
    </w:rPr>
  </w:style>
  <w:style w:type="paragraph" w:customStyle="1" w:styleId="Shortline">
    <w:name w:val="Shortline"/>
    <w:basedOn w:val="Normal"/>
    <w:rPr>
      <w:sz w:val="24"/>
    </w:rPr>
  </w:style>
  <w:style w:type="character" w:styleId="Hyperlink">
    <w:name w:val="Hyperlink"/>
    <w:basedOn w:val="DefaultParagraphFont"/>
    <w:uiPriority w:val="99"/>
    <w:rPr>
      <w:color w:val="0000FF"/>
      <w:u w:val="single"/>
    </w:rPr>
  </w:style>
  <w:style w:type="paragraph" w:customStyle="1" w:styleId="BodySingle5">
    <w:name w:val="*Body Single 5"/>
    <w:aliases w:val="BS5,Body Single 5"/>
    <w:basedOn w:val="Normal"/>
    <w:link w:val="BS5Char"/>
    <w:qFormat/>
    <w:pPr>
      <w:spacing w:after="240"/>
      <w:ind w:firstLine="720"/>
    </w:pPr>
  </w:style>
  <w:style w:type="character" w:customStyle="1" w:styleId="bodyfont1">
    <w:name w:val="bodyfont1"/>
    <w:basedOn w:val="DefaultParagraphFont"/>
    <w:rPr>
      <w:rFonts w:ascii="Verdana" w:hAnsi="Verdana" w:hint="default"/>
      <w:i w:val="0"/>
      <w:iCs w:val="0"/>
      <w:color w:val="000000"/>
      <w:sz w:val="20"/>
      <w:szCs w:val="20"/>
    </w:rPr>
  </w:style>
  <w:style w:type="paragraph" w:customStyle="1" w:styleId="QuoteSingle1Char">
    <w:name w:val="*Quote Single 1 Char"/>
    <w:aliases w:val="QS1 Char"/>
    <w:basedOn w:val="Normal"/>
    <w:link w:val="QuoteSingle1CharChar1"/>
    <w:pPr>
      <w:spacing w:after="240"/>
      <w:ind w:left="1440" w:right="1440"/>
    </w:pPr>
    <w:rPr>
      <w:bCs w:val="0"/>
    </w:rPr>
  </w:style>
  <w:style w:type="character" w:customStyle="1" w:styleId="documentbody1">
    <w:name w:val="documentbody1"/>
    <w:basedOn w:val="DefaultParagraphFont"/>
    <w:rPr>
      <w:rFonts w:ascii="Verdana" w:hAnsi="Verdana" w:hint="default"/>
      <w:sz w:val="19"/>
      <w:szCs w:val="19"/>
      <w:shd w:val="clear" w:color="auto" w:fill="FFFFFF"/>
    </w:rPr>
  </w:style>
  <w:style w:type="paragraph" w:customStyle="1" w:styleId="Hbody">
    <w:name w:val="Hbody"/>
    <w:basedOn w:val="Normal"/>
    <w:next w:val="Normal"/>
    <w:pPr>
      <w:suppressAutoHyphens/>
      <w:spacing w:after="240" w:line="360" w:lineRule="auto"/>
      <w:ind w:firstLine="720"/>
    </w:pPr>
    <w:rPr>
      <w:b/>
      <w:snapToGrid w:val="0"/>
      <w:szCs w:val="20"/>
      <w:u w:val="single"/>
    </w:rPr>
  </w:style>
  <w:style w:type="paragraph" w:styleId="BodyTextIndent">
    <w:name w:val="Body Text Indent"/>
    <w:aliases w:val="Body Text Indent Char1,Body Text Indent Char Char,Body Text Indent Char"/>
    <w:basedOn w:val="Normal"/>
    <w:link w:val="BodyTextIndentChar2"/>
    <w:qFormat/>
    <w:rsid w:val="00405CCB"/>
    <w:pPr>
      <w:spacing w:after="120" w:line="360" w:lineRule="auto"/>
      <w:ind w:left="720" w:firstLine="720"/>
    </w:pPr>
    <w:rPr>
      <w:sz w:val="24"/>
    </w:rPr>
  </w:style>
  <w:style w:type="character" w:customStyle="1" w:styleId="BodyTextIndentChar2">
    <w:name w:val="Body Text Indent Char2"/>
    <w:aliases w:val="Body Text Indent Char1 Char,Body Text Indent Char Char Char,Body Text Indent Char Char1"/>
    <w:basedOn w:val="DefaultParagraphFont"/>
    <w:link w:val="BodyTextIndent"/>
    <w:rsid w:val="00405CCB"/>
    <w:rPr>
      <w:bCs/>
      <w:sz w:val="24"/>
      <w:szCs w:val="24"/>
    </w:rPr>
  </w:style>
  <w:style w:type="paragraph" w:styleId="BlockText">
    <w:name w:val="Block Text"/>
    <w:basedOn w:val="Normal"/>
    <w:uiPriority w:val="6"/>
    <w:qFormat/>
    <w:pPr>
      <w:spacing w:after="120"/>
      <w:ind w:left="1440" w:right="1440"/>
    </w:pPr>
    <w:rPr>
      <w:sz w:val="24"/>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QuoteSingle1CharChar1">
    <w:name w:val="*Quote Single 1 Char Char1"/>
    <w:aliases w:val="QS1 Char Char1"/>
    <w:basedOn w:val="DefaultParagraphFont"/>
    <w:link w:val="QuoteSingle1Char"/>
    <w:rPr>
      <w:bCs/>
      <w:szCs w:val="24"/>
      <w:lang w:val="en-US" w:eastAsia="en-US" w:bidi="ar-SA"/>
    </w:rPr>
  </w:style>
  <w:style w:type="paragraph" w:customStyle="1" w:styleId="Numbered105">
    <w:name w:val="*Numbered 1 0/.5"/>
    <w:aliases w:val="N105"/>
    <w:basedOn w:val="Normal"/>
    <w:pPr>
      <w:numPr>
        <w:numId w:val="3"/>
      </w:numPr>
      <w:spacing w:after="240" w:line="360" w:lineRule="auto"/>
    </w:pPr>
    <w:rPr>
      <w:szCs w:val="20"/>
    </w:rPr>
  </w:style>
  <w:style w:type="character" w:customStyle="1" w:styleId="BodySingle1Char">
    <w:name w:val="*Body Single 1 Char"/>
    <w:aliases w:val="BS1 Char,Body Single 1 Char"/>
    <w:basedOn w:val="DefaultParagraphFont"/>
    <w:link w:val="BodySingle1"/>
    <w:rPr>
      <w:szCs w:val="24"/>
      <w:lang w:val="en-US" w:eastAsia="en-US" w:bidi="ar-SA"/>
    </w:rPr>
  </w:style>
  <w:style w:type="character" w:styleId="HTMLTypewriter">
    <w:name w:val="HTML Typewriter"/>
    <w:basedOn w:val="DefaultParagraphFont"/>
    <w:rPr>
      <w:rFonts w:ascii="Courier New" w:eastAsia="Times New Roman" w:hAnsi="Courier New" w:cs="Courier New"/>
      <w:sz w:val="20"/>
      <w:szCs w:val="20"/>
    </w:rPr>
  </w:style>
  <w:style w:type="character" w:customStyle="1" w:styleId="BodyDbl5Char">
    <w:name w:val="*Body Dbl 5 Char"/>
    <w:aliases w:val="BD5 Char,Body Dbl 5 Char"/>
    <w:basedOn w:val="DefaultParagraphFont"/>
    <w:link w:val="BodyDbl5"/>
    <w:rPr>
      <w:szCs w:val="24"/>
      <w:lang w:val="en-US" w:eastAsia="en-US" w:bidi="ar-SA"/>
    </w:rPr>
  </w:style>
  <w:style w:type="paragraph" w:customStyle="1" w:styleId="BodySingle5CharChar">
    <w:name w:val="*Body Single 5 Char Char"/>
    <w:aliases w:val="BS5 Char Char"/>
    <w:basedOn w:val="Normal"/>
    <w:link w:val="BodySingle5CharCharChar"/>
    <w:pPr>
      <w:spacing w:after="240" w:line="360" w:lineRule="auto"/>
      <w:ind w:firstLine="720"/>
    </w:pPr>
    <w:rPr>
      <w:sz w:val="24"/>
    </w:rPr>
  </w:style>
  <w:style w:type="paragraph" w:customStyle="1" w:styleId="QuoteSingle1CharChar">
    <w:name w:val="*Quote Single 1 Char Char"/>
    <w:aliases w:val="QS1 Char Char"/>
    <w:basedOn w:val="Normal"/>
    <w:pPr>
      <w:spacing w:after="240"/>
      <w:ind w:left="1440" w:right="1440"/>
    </w:pPr>
    <w:rPr>
      <w:bCs w:val="0"/>
      <w:sz w:val="24"/>
    </w:rPr>
  </w:style>
  <w:style w:type="character" w:customStyle="1" w:styleId="BodySingle5CharCharChar">
    <w:name w:val="*Body Single 5 Char Char Char"/>
    <w:aliases w:val="BS5 Char Char Char"/>
    <w:basedOn w:val="DefaultParagraphFont"/>
    <w:link w:val="BodySingle5CharChar"/>
    <w:rPr>
      <w:sz w:val="24"/>
      <w:szCs w:val="24"/>
      <w:lang w:val="en-US" w:eastAsia="en-US" w:bidi="ar-SA"/>
    </w:rPr>
  </w:style>
  <w:style w:type="character" w:customStyle="1" w:styleId="LeadInHeading1">
    <w:name w:val="LeadInHeading 1"/>
    <w:basedOn w:val="DefaultParagraphFont"/>
    <w:rPr>
      <w:b/>
      <w:u w:val="single"/>
    </w:rPr>
  </w:style>
  <w:style w:type="character" w:customStyle="1" w:styleId="LeadInHeading2">
    <w:name w:val="LeadInHeading 2"/>
    <w:basedOn w:val="DefaultParagraphFont"/>
    <w:rPr>
      <w:b/>
      <w:u w:val="single"/>
    </w:rPr>
  </w:style>
  <w:style w:type="character" w:customStyle="1" w:styleId="LeadInHeading3">
    <w:name w:val="LeadInHeading 3"/>
    <w:basedOn w:val="DefaultParagraphFont"/>
  </w:style>
  <w:style w:type="character" w:customStyle="1" w:styleId="LeadInHeading4">
    <w:name w:val="LeadInHeading 4"/>
    <w:basedOn w:val="DefaultParagraphFont"/>
  </w:style>
  <w:style w:type="character" w:customStyle="1" w:styleId="LeadInHeading5">
    <w:name w:val="LeadInHeading 5"/>
    <w:basedOn w:val="DefaultParagraphFont"/>
  </w:style>
  <w:style w:type="character" w:customStyle="1" w:styleId="LeadInHeading6">
    <w:name w:val="LeadInHeading 6"/>
    <w:basedOn w:val="DefaultParagraphFont"/>
  </w:style>
  <w:style w:type="character" w:customStyle="1" w:styleId="LeadInHeading7">
    <w:name w:val="LeadInHeading 7"/>
    <w:basedOn w:val="DefaultParagraphFont"/>
  </w:style>
  <w:style w:type="character" w:customStyle="1" w:styleId="LeadInHeading8">
    <w:name w:val="LeadInHeading 8"/>
    <w:basedOn w:val="DefaultParagraphFont"/>
  </w:style>
  <w:style w:type="character" w:customStyle="1" w:styleId="LeadInHeading9">
    <w:name w:val="LeadInHeading 9"/>
    <w:basedOn w:val="DefaultParagraphFont"/>
  </w:style>
  <w:style w:type="paragraph" w:customStyle="1" w:styleId="Section2">
    <w:name w:val="Section 2"/>
    <w:basedOn w:val="Numbered105"/>
  </w:style>
  <w:style w:type="paragraph" w:customStyle="1" w:styleId="Heading21">
    <w:name w:val="Heading 21"/>
    <w:basedOn w:val="Section2"/>
  </w:style>
  <w:style w:type="character" w:customStyle="1" w:styleId="Body15CharChar">
    <w:name w:val="*Body 1 ½ 5 Char Char"/>
    <w:aliases w:val="B155 Char Char"/>
    <w:basedOn w:val="DefaultParagraphFont"/>
    <w:link w:val="Body15Char"/>
    <w:rPr>
      <w:bCs/>
      <w:szCs w:val="24"/>
      <w:lang w:val="en-US" w:eastAsia="en-US" w:bidi="ar-SA"/>
    </w:rPr>
  </w:style>
  <w:style w:type="paragraph" w:customStyle="1" w:styleId="Body15">
    <w:name w:val="*Body 1 ½ 5"/>
    <w:aliases w:val="B155"/>
    <w:basedOn w:val="Normal"/>
    <w:rsid w:val="00D93CA8"/>
    <w:pPr>
      <w:spacing w:after="240" w:line="360" w:lineRule="auto"/>
      <w:ind w:firstLine="720"/>
      <w:jc w:val="both"/>
    </w:pPr>
    <w:rPr>
      <w:bCs w:val="0"/>
    </w:rPr>
  </w:style>
  <w:style w:type="paragraph" w:customStyle="1" w:styleId="Header2">
    <w:name w:val="Header 2"/>
    <w:basedOn w:val="BodyDbl5"/>
    <w:rPr>
      <w:b/>
      <w:u w:val="single"/>
    </w:rPr>
  </w:style>
  <w:style w:type="character" w:customStyle="1" w:styleId="groupheading1">
    <w:name w:val="groupheading1"/>
    <w:basedOn w:val="DefaultParagraphFont"/>
    <w:rPr>
      <w:rFonts w:ascii="Verdana" w:hAnsi="Verdana" w:hint="default"/>
      <w:b/>
      <w:bCs/>
      <w:sz w:val="19"/>
      <w:szCs w:val="19"/>
    </w:rPr>
  </w:style>
  <w:style w:type="character" w:customStyle="1" w:styleId="informationalsmall1">
    <w:name w:val="informationalsmall1"/>
    <w:basedOn w:val="DefaultParagraphFont"/>
    <w:rPr>
      <w:rFonts w:ascii="Verdana" w:hAnsi="Verdana" w:hint="default"/>
      <w:sz w:val="14"/>
      <w:szCs w:val="14"/>
    </w:rPr>
  </w:style>
  <w:style w:type="character" w:customStyle="1" w:styleId="starpage1">
    <w:name w:val="starpage1"/>
    <w:basedOn w:val="DefaultParagraphFont"/>
    <w:rPr>
      <w:b/>
      <w:bCs/>
      <w:i/>
      <w:iCs/>
      <w:color w:val="800080"/>
    </w:rPr>
  </w:style>
  <w:style w:type="character" w:styleId="FollowedHyperlink">
    <w:name w:val="FollowedHyperlink"/>
    <w:basedOn w:val="DefaultParagraphFont"/>
    <w:uiPriority w:val="99"/>
    <w:rPr>
      <w:color w:val="0000FF"/>
      <w:u w:val="single"/>
    </w:rPr>
  </w:style>
  <w:style w:type="paragraph" w:customStyle="1" w:styleId="layoutsignoffreturnmessage">
    <w:name w:val="layout_signoffreturnmessage"/>
    <w:basedOn w:val="Normal"/>
    <w:rPr>
      <w:sz w:val="24"/>
    </w:rPr>
  </w:style>
  <w:style w:type="paragraph" w:customStyle="1" w:styleId="signoffreturnmessage">
    <w:name w:val="signoffreturnmessage"/>
    <w:basedOn w:val="Normal"/>
    <w:pPr>
      <w:spacing w:before="100" w:beforeAutospacing="1" w:after="100" w:afterAutospacing="1"/>
    </w:pPr>
    <w:rPr>
      <w:color w:val="999999"/>
      <w:sz w:val="24"/>
    </w:rPr>
  </w:style>
  <w:style w:type="paragraph" w:customStyle="1" w:styleId="layoutsignofffeedback">
    <w:name w:val="layout_signofffeedback"/>
    <w:basedOn w:val="Normal"/>
    <w:rPr>
      <w:sz w:val="24"/>
    </w:rPr>
  </w:style>
  <w:style w:type="paragraph" w:customStyle="1" w:styleId="signofffeedback">
    <w:name w:val="signofffeedback"/>
    <w:basedOn w:val="Normal"/>
    <w:pPr>
      <w:spacing w:before="100" w:beforeAutospacing="1" w:after="100" w:afterAutospacing="1"/>
      <w:jc w:val="right"/>
    </w:pPr>
    <w:rPr>
      <w:sz w:val="24"/>
    </w:rPr>
  </w:style>
  <w:style w:type="paragraph" w:customStyle="1" w:styleId="signoffthankyoulawschool">
    <w:name w:val="signoffthankyoulawschool"/>
    <w:basedOn w:val="Normal"/>
    <w:pPr>
      <w:spacing w:before="100" w:beforeAutospacing="1" w:after="100" w:afterAutospacing="1"/>
    </w:pPr>
    <w:rPr>
      <w:sz w:val="24"/>
    </w:rPr>
  </w:style>
  <w:style w:type="paragraph" w:customStyle="1" w:styleId="buttonprimary">
    <w:name w:val="buttonprimary"/>
    <w:basedOn w:val="Normal"/>
    <w:pPr>
      <w:pBdr>
        <w:top w:val="single" w:sz="6" w:space="0" w:color="0E43AC"/>
        <w:left w:val="single" w:sz="6" w:space="0" w:color="0E43AC"/>
        <w:bottom w:val="single" w:sz="6" w:space="0" w:color="0E43AC"/>
        <w:right w:val="single" w:sz="6" w:space="0" w:color="0E43AC"/>
      </w:pBdr>
      <w:spacing w:before="100" w:beforeAutospacing="1" w:after="100" w:afterAutospacing="1"/>
    </w:pPr>
    <w:rPr>
      <w:rFonts w:ascii="Arial" w:hAnsi="Arial" w:cs="Arial"/>
      <w:b/>
      <w:bCs w:val="0"/>
      <w:color w:val="EEEEFF"/>
      <w:spacing w:val="19"/>
      <w:sz w:val="17"/>
      <w:szCs w:val="17"/>
    </w:rPr>
  </w:style>
  <w:style w:type="paragraph" w:customStyle="1" w:styleId="buttonsecondary">
    <w:name w:val="buttonsecondary"/>
    <w:basedOn w:val="Normal"/>
    <w:pPr>
      <w:pBdr>
        <w:top w:val="single" w:sz="6" w:space="0" w:color="404040"/>
        <w:left w:val="single" w:sz="6" w:space="0" w:color="404040"/>
        <w:bottom w:val="single" w:sz="6" w:space="0" w:color="404040"/>
        <w:right w:val="single" w:sz="6" w:space="0" w:color="404040"/>
      </w:pBdr>
      <w:spacing w:before="100" w:beforeAutospacing="1" w:after="100" w:afterAutospacing="1"/>
    </w:pPr>
    <w:rPr>
      <w:rFonts w:ascii="Arial" w:hAnsi="Arial" w:cs="Arial"/>
      <w:b/>
      <w:bCs w:val="0"/>
      <w:color w:val="EEEEEE"/>
      <w:spacing w:val="19"/>
      <w:sz w:val="17"/>
      <w:szCs w:val="17"/>
    </w:rPr>
  </w:style>
  <w:style w:type="paragraph" w:customStyle="1" w:styleId="calendartitle">
    <w:name w:val="calendartitle"/>
    <w:basedOn w:val="Normal"/>
    <w:pPr>
      <w:shd w:val="clear" w:color="auto" w:fill="AFBBD7"/>
      <w:spacing w:before="100" w:beforeAutospacing="1" w:after="100" w:afterAutospacing="1"/>
    </w:pPr>
    <w:rPr>
      <w:sz w:val="24"/>
    </w:rPr>
  </w:style>
  <w:style w:type="paragraph" w:customStyle="1" w:styleId="calendarweekend">
    <w:name w:val="calendarweekend"/>
    <w:basedOn w:val="Normal"/>
    <w:pPr>
      <w:shd w:val="clear" w:color="auto" w:fill="F3F3E6"/>
      <w:spacing w:before="100" w:beforeAutospacing="1" w:after="100" w:afterAutospacing="1"/>
    </w:pPr>
    <w:rPr>
      <w:rFonts w:ascii="Verdana" w:hAnsi="Verdana"/>
      <w:color w:val="003399"/>
      <w:sz w:val="16"/>
      <w:szCs w:val="16"/>
    </w:rPr>
  </w:style>
  <w:style w:type="paragraph" w:customStyle="1" w:styleId="calendarothermonthunselectableday">
    <w:name w:val="calendarothermonthunselectableday"/>
    <w:basedOn w:val="Normal"/>
    <w:pPr>
      <w:spacing w:before="100" w:beforeAutospacing="1" w:after="100" w:afterAutospacing="1"/>
    </w:pPr>
    <w:rPr>
      <w:rFonts w:ascii="Verdana" w:hAnsi="Verdana"/>
      <w:color w:val="FFFFFF"/>
      <w:sz w:val="16"/>
      <w:szCs w:val="16"/>
    </w:rPr>
  </w:style>
  <w:style w:type="paragraph" w:customStyle="1" w:styleId="calendarunselectableday">
    <w:name w:val="calendarunselectableday"/>
    <w:basedOn w:val="Normal"/>
    <w:pPr>
      <w:spacing w:before="100" w:beforeAutospacing="1" w:after="100" w:afterAutospacing="1"/>
    </w:pPr>
    <w:rPr>
      <w:rFonts w:ascii="Verdana" w:hAnsi="Verdana"/>
      <w:color w:val="999999"/>
      <w:sz w:val="16"/>
      <w:szCs w:val="16"/>
    </w:rPr>
  </w:style>
  <w:style w:type="paragraph" w:customStyle="1" w:styleId="calendarothermonthweekendunselectable">
    <w:name w:val="calendarothermonthweekendunselectable"/>
    <w:basedOn w:val="Normal"/>
    <w:pPr>
      <w:shd w:val="clear" w:color="auto" w:fill="F3F3E6"/>
      <w:spacing w:before="100" w:beforeAutospacing="1" w:after="100" w:afterAutospacing="1"/>
    </w:pPr>
    <w:rPr>
      <w:rFonts w:ascii="Verdana" w:hAnsi="Verdana"/>
      <w:color w:val="F3F3E6"/>
      <w:sz w:val="16"/>
      <w:szCs w:val="16"/>
    </w:rPr>
  </w:style>
  <w:style w:type="paragraph" w:customStyle="1" w:styleId="calendarweekendunselectable">
    <w:name w:val="calendarweekendunselectable"/>
    <w:basedOn w:val="Normal"/>
    <w:pPr>
      <w:shd w:val="clear" w:color="auto" w:fill="F3F3E6"/>
      <w:spacing w:before="100" w:beforeAutospacing="1" w:after="100" w:afterAutospacing="1"/>
    </w:pPr>
    <w:rPr>
      <w:rFonts w:ascii="Verdana" w:hAnsi="Verdana"/>
      <w:color w:val="999999"/>
      <w:sz w:val="16"/>
      <w:szCs w:val="16"/>
    </w:rPr>
  </w:style>
  <w:style w:type="paragraph" w:customStyle="1" w:styleId="calendarcurrentselection">
    <w:name w:val="calendarcurrentselection"/>
    <w:basedOn w:val="Normal"/>
    <w:pPr>
      <w:shd w:val="clear" w:color="auto" w:fill="AFBBD7"/>
      <w:spacing w:before="100" w:beforeAutospacing="1" w:after="100" w:afterAutospacing="1"/>
    </w:pPr>
    <w:rPr>
      <w:rFonts w:ascii="Verdana" w:hAnsi="Verdana"/>
      <w:color w:val="003399"/>
      <w:sz w:val="16"/>
      <w:szCs w:val="16"/>
    </w:rPr>
  </w:style>
  <w:style w:type="paragraph" w:customStyle="1" w:styleId="calendarcurrentselectionunselectable">
    <w:name w:val="calendarcurrentselectionunselectable"/>
    <w:basedOn w:val="Normal"/>
    <w:pPr>
      <w:shd w:val="clear" w:color="auto" w:fill="AFBBD7"/>
      <w:spacing w:before="100" w:beforeAutospacing="1" w:after="100" w:afterAutospacing="1"/>
    </w:pPr>
    <w:rPr>
      <w:rFonts w:ascii="Verdana" w:hAnsi="Verdana"/>
      <w:color w:val="999999"/>
      <w:sz w:val="16"/>
      <w:szCs w:val="16"/>
    </w:rPr>
  </w:style>
  <w:style w:type="paragraph" w:customStyle="1" w:styleId="calendardayheader">
    <w:name w:val="calendardayheader"/>
    <w:basedOn w:val="Normal"/>
    <w:pPr>
      <w:shd w:val="clear" w:color="auto" w:fill="DEE3EF"/>
      <w:spacing w:before="100" w:beforeAutospacing="1" w:after="100" w:afterAutospacing="1"/>
    </w:pPr>
    <w:rPr>
      <w:rFonts w:ascii="Verdana" w:hAnsi="Verdana"/>
      <w:b/>
      <w:bCs w:val="0"/>
      <w:color w:val="666666"/>
      <w:sz w:val="16"/>
      <w:szCs w:val="16"/>
    </w:rPr>
  </w:style>
  <w:style w:type="paragraph" w:customStyle="1" w:styleId="calendarday">
    <w:name w:val="calendarday"/>
    <w:basedOn w:val="Normal"/>
    <w:pPr>
      <w:spacing w:before="100" w:beforeAutospacing="1" w:after="100" w:afterAutospacing="1"/>
    </w:pPr>
    <w:rPr>
      <w:rFonts w:ascii="Verdana" w:hAnsi="Verdana"/>
      <w:color w:val="003399"/>
      <w:sz w:val="16"/>
      <w:szCs w:val="16"/>
    </w:rPr>
  </w:style>
  <w:style w:type="paragraph" w:customStyle="1" w:styleId="calendareventheader">
    <w:name w:val="calendareventheader"/>
    <w:basedOn w:val="Normal"/>
    <w:pPr>
      <w:spacing w:before="100" w:beforeAutospacing="1" w:after="100" w:afterAutospacing="1"/>
    </w:pPr>
    <w:rPr>
      <w:rFonts w:ascii="Verdana" w:hAnsi="Verdana"/>
      <w:b/>
      <w:bCs w:val="0"/>
      <w:color w:val="666666"/>
      <w:sz w:val="22"/>
      <w:szCs w:val="22"/>
    </w:rPr>
  </w:style>
  <w:style w:type="paragraph" w:customStyle="1" w:styleId="calendarnavigation">
    <w:name w:val="calendarnavigation"/>
    <w:basedOn w:val="Normal"/>
    <w:pPr>
      <w:spacing w:before="100" w:beforeAutospacing="1" w:after="100" w:afterAutospacing="1"/>
    </w:pPr>
    <w:rPr>
      <w:rFonts w:ascii="Verdana" w:hAnsi="Verdana"/>
      <w:color w:val="003399"/>
      <w:sz w:val="17"/>
      <w:szCs w:val="17"/>
    </w:rPr>
  </w:style>
  <w:style w:type="paragraph" w:customStyle="1" w:styleId="calendarpage">
    <w:name w:val="calendarpage"/>
    <w:basedOn w:val="Normal"/>
    <w:pPr>
      <w:shd w:val="clear" w:color="auto" w:fill="DEE3EF"/>
      <w:spacing w:before="100" w:beforeAutospacing="1" w:after="100" w:afterAutospacing="1"/>
    </w:pPr>
    <w:rPr>
      <w:sz w:val="24"/>
    </w:rPr>
  </w:style>
  <w:style w:type="paragraph" w:customStyle="1" w:styleId="calendarinformationalsmall">
    <w:name w:val="calendarinformationalsmall"/>
    <w:basedOn w:val="Normal"/>
    <w:pPr>
      <w:spacing w:before="100" w:beforeAutospacing="1" w:after="100" w:afterAutospacing="1"/>
    </w:pPr>
    <w:rPr>
      <w:rFonts w:ascii="Verdana" w:hAnsi="Verdana"/>
      <w:color w:val="39455C"/>
      <w:sz w:val="14"/>
      <w:szCs w:val="14"/>
    </w:rPr>
  </w:style>
  <w:style w:type="paragraph" w:customStyle="1" w:styleId="calendarinputcontentsmall">
    <w:name w:val="calendarinputcontentsmall"/>
    <w:basedOn w:val="Normal"/>
    <w:pPr>
      <w:spacing w:before="100" w:beforeAutospacing="1" w:after="100" w:afterAutospacing="1"/>
    </w:pPr>
    <w:rPr>
      <w:rFonts w:ascii="Verdana" w:hAnsi="Verdana"/>
      <w:color w:val="39455C"/>
      <w:sz w:val="16"/>
      <w:szCs w:val="16"/>
    </w:rPr>
  </w:style>
  <w:style w:type="paragraph" w:customStyle="1" w:styleId="calendarbuttonsmall">
    <w:name w:val="calendarbuttonsmall"/>
    <w:basedOn w:val="Normal"/>
    <w:pPr>
      <w:shd w:val="clear" w:color="auto" w:fill="DEE3EF"/>
      <w:spacing w:before="100" w:beforeAutospacing="1" w:after="100" w:afterAutospacing="1"/>
    </w:pPr>
    <w:rPr>
      <w:rFonts w:ascii="Arial" w:hAnsi="Arial" w:cs="Arial"/>
      <w:color w:val="39455C"/>
      <w:sz w:val="16"/>
      <w:szCs w:val="16"/>
    </w:rPr>
  </w:style>
  <w:style w:type="paragraph" w:customStyle="1" w:styleId="initialdate">
    <w:name w:val="initialdate"/>
    <w:basedOn w:val="Normal"/>
    <w:pPr>
      <w:spacing w:before="100" w:beforeAutospacing="1" w:after="100" w:afterAutospacing="1"/>
    </w:pPr>
    <w:rPr>
      <w:rFonts w:ascii="Verdana" w:hAnsi="Verdana"/>
      <w:color w:val="999999"/>
      <w:sz w:val="17"/>
      <w:szCs w:val="17"/>
    </w:rPr>
  </w:style>
  <w:style w:type="paragraph" w:customStyle="1" w:styleId="initialdatesmall">
    <w:name w:val="initialdatesmall"/>
    <w:basedOn w:val="Normal"/>
    <w:pPr>
      <w:spacing w:before="100" w:beforeAutospacing="1" w:after="100" w:afterAutospacing="1"/>
    </w:pPr>
    <w:rPr>
      <w:rFonts w:ascii="Verdana" w:hAnsi="Verdana"/>
      <w:color w:val="999999"/>
      <w:sz w:val="16"/>
      <w:szCs w:val="16"/>
    </w:rPr>
  </w:style>
  <w:style w:type="paragraph" w:customStyle="1" w:styleId="featurenavigationblacknounderline">
    <w:name w:val="featurenavigationblacknounderline"/>
    <w:basedOn w:val="Normal"/>
    <w:pPr>
      <w:spacing w:before="100" w:beforeAutospacing="1" w:after="100" w:afterAutospacing="1"/>
    </w:pPr>
    <w:rPr>
      <w:rFonts w:ascii="Verdana" w:hAnsi="Verdana"/>
      <w:color w:val="000000"/>
      <w:sz w:val="17"/>
      <w:szCs w:val="17"/>
    </w:rPr>
  </w:style>
  <w:style w:type="paragraph" w:customStyle="1" w:styleId="featurenavigationbluenounderline">
    <w:name w:val="featurenavigationbluenounderline"/>
    <w:basedOn w:val="Normal"/>
    <w:pPr>
      <w:spacing w:before="100" w:beforeAutospacing="1" w:after="100" w:afterAutospacing="1"/>
    </w:pPr>
    <w:rPr>
      <w:rFonts w:ascii="Verdana" w:hAnsi="Verdana"/>
      <w:color w:val="0000FF"/>
      <w:sz w:val="17"/>
      <w:szCs w:val="17"/>
    </w:rPr>
  </w:style>
  <w:style w:type="paragraph" w:customStyle="1" w:styleId="featurenavigationbluenounderlinebold">
    <w:name w:val="featurenavigationbluenounderlinebold"/>
    <w:basedOn w:val="Normal"/>
    <w:pPr>
      <w:spacing w:before="100" w:beforeAutospacing="1" w:after="100" w:afterAutospacing="1"/>
    </w:pPr>
    <w:rPr>
      <w:rFonts w:ascii="Verdana" w:hAnsi="Verdana"/>
      <w:b/>
      <w:bCs w:val="0"/>
      <w:color w:val="0000FF"/>
      <w:sz w:val="17"/>
      <w:szCs w:val="17"/>
    </w:rPr>
  </w:style>
  <w:style w:type="paragraph" w:customStyle="1" w:styleId="contextpage">
    <w:name w:val="contextpage"/>
    <w:basedOn w:val="Normal"/>
    <w:pPr>
      <w:shd w:val="clear" w:color="auto" w:fill="ECECEC"/>
    </w:pPr>
    <w:rPr>
      <w:sz w:val="24"/>
    </w:rPr>
  </w:style>
  <w:style w:type="paragraph" w:customStyle="1" w:styleId="contentpage">
    <w:name w:val="contentpage"/>
    <w:basedOn w:val="Normal"/>
    <w:pPr>
      <w:shd w:val="clear" w:color="auto" w:fill="FFFFFF"/>
    </w:pPr>
    <w:rPr>
      <w:sz w:val="24"/>
    </w:rPr>
  </w:style>
  <w:style w:type="paragraph" w:customStyle="1" w:styleId="contentpagemarginleftright">
    <w:name w:val="contentpagemarginleftright"/>
    <w:basedOn w:val="Normal"/>
    <w:pPr>
      <w:shd w:val="clear" w:color="auto" w:fill="FFFFFF"/>
      <w:spacing w:before="100" w:beforeAutospacing="1" w:after="100" w:afterAutospacing="1"/>
      <w:ind w:left="105" w:right="105"/>
    </w:pPr>
    <w:rPr>
      <w:sz w:val="24"/>
    </w:rPr>
  </w:style>
  <w:style w:type="paragraph" w:customStyle="1" w:styleId="documentpage">
    <w:name w:val="documentpage"/>
    <w:basedOn w:val="Normal"/>
    <w:pPr>
      <w:shd w:val="clear" w:color="auto" w:fill="FFFFFF"/>
      <w:spacing w:before="30" w:after="30"/>
      <w:ind w:left="30" w:right="30"/>
    </w:pPr>
    <w:rPr>
      <w:sz w:val="24"/>
    </w:rPr>
  </w:style>
  <w:style w:type="paragraph" w:customStyle="1" w:styleId="navigationpage">
    <w:name w:val="navigationpage"/>
    <w:basedOn w:val="Normal"/>
    <w:pPr>
      <w:shd w:val="clear" w:color="auto" w:fill="666666"/>
      <w:spacing w:before="100" w:beforeAutospacing="1" w:after="100" w:afterAutospacing="1"/>
    </w:pPr>
    <w:rPr>
      <w:sz w:val="24"/>
    </w:rPr>
  </w:style>
  <w:style w:type="paragraph" w:customStyle="1" w:styleId="popuppage">
    <w:name w:val="popuppage"/>
    <w:basedOn w:val="Normal"/>
    <w:pPr>
      <w:shd w:val="clear" w:color="auto" w:fill="CCCCCC"/>
      <w:spacing w:before="100" w:beforeAutospacing="1" w:after="100" w:afterAutospacing="1"/>
    </w:pPr>
    <w:rPr>
      <w:sz w:val="24"/>
    </w:rPr>
  </w:style>
  <w:style w:type="paragraph" w:customStyle="1" w:styleId="navigationdisabled">
    <w:name w:val="navigationdisabled"/>
    <w:basedOn w:val="Normal"/>
    <w:pPr>
      <w:spacing w:before="100" w:beforeAutospacing="1" w:after="100" w:afterAutospacing="1"/>
    </w:pPr>
    <w:rPr>
      <w:rFonts w:ascii="Verdana" w:hAnsi="Verdana"/>
      <w:color w:val="686868"/>
      <w:sz w:val="17"/>
      <w:szCs w:val="17"/>
    </w:rPr>
  </w:style>
  <w:style w:type="paragraph" w:customStyle="1" w:styleId="marginallbutleft">
    <w:name w:val="marginallbutleft"/>
    <w:basedOn w:val="Normal"/>
    <w:pPr>
      <w:spacing w:before="150" w:after="150"/>
      <w:ind w:right="150"/>
    </w:pPr>
    <w:rPr>
      <w:sz w:val="24"/>
    </w:rPr>
  </w:style>
  <w:style w:type="paragraph" w:customStyle="1" w:styleId="margintopextrasmall">
    <w:name w:val="margintopextrasmall"/>
    <w:basedOn w:val="Normal"/>
    <w:pPr>
      <w:spacing w:before="45" w:after="45"/>
      <w:ind w:left="45" w:right="45"/>
    </w:pPr>
    <w:rPr>
      <w:sz w:val="24"/>
    </w:rPr>
  </w:style>
  <w:style w:type="paragraph" w:customStyle="1" w:styleId="margintopsmall">
    <w:name w:val="margintopsmall"/>
    <w:basedOn w:val="Normal"/>
    <w:pPr>
      <w:spacing w:before="75"/>
    </w:pPr>
    <w:rPr>
      <w:sz w:val="24"/>
    </w:rPr>
  </w:style>
  <w:style w:type="paragraph" w:customStyle="1" w:styleId="marginbottom">
    <w:name w:val="marginbottom"/>
    <w:basedOn w:val="Normal"/>
    <w:pPr>
      <w:spacing w:after="75"/>
    </w:pPr>
    <w:rPr>
      <w:sz w:val="24"/>
    </w:rPr>
  </w:style>
  <w:style w:type="paragraph" w:customStyle="1" w:styleId="marginallsmall">
    <w:name w:val="marginallsmall"/>
    <w:basedOn w:val="Normal"/>
    <w:pPr>
      <w:spacing w:before="45" w:after="45"/>
      <w:ind w:left="45" w:right="45"/>
    </w:pPr>
    <w:rPr>
      <w:sz w:val="24"/>
    </w:rPr>
  </w:style>
  <w:style w:type="paragraph" w:customStyle="1" w:styleId="marginall">
    <w:name w:val="marginall"/>
    <w:basedOn w:val="Normal"/>
    <w:pPr>
      <w:spacing w:before="150" w:after="150"/>
      <w:ind w:left="150" w:right="150"/>
    </w:pPr>
    <w:rPr>
      <w:sz w:val="24"/>
    </w:rPr>
  </w:style>
  <w:style w:type="paragraph" w:customStyle="1" w:styleId="marginalllarge">
    <w:name w:val="marginalllarge"/>
    <w:basedOn w:val="Normal"/>
    <w:pPr>
      <w:spacing w:before="300" w:after="300"/>
      <w:ind w:left="300" w:right="300"/>
    </w:pPr>
    <w:rPr>
      <w:sz w:val="24"/>
    </w:rPr>
  </w:style>
  <w:style w:type="paragraph" w:customStyle="1" w:styleId="marginleftsmall">
    <w:name w:val="marginleftsmall"/>
    <w:basedOn w:val="Normal"/>
    <w:pPr>
      <w:spacing w:before="100" w:beforeAutospacing="1" w:after="100" w:afterAutospacing="1"/>
      <w:ind w:left="45"/>
    </w:pPr>
    <w:rPr>
      <w:sz w:val="24"/>
    </w:rPr>
  </w:style>
  <w:style w:type="paragraph" w:customStyle="1" w:styleId="marginleft">
    <w:name w:val="marginleft"/>
    <w:basedOn w:val="Normal"/>
    <w:pPr>
      <w:spacing w:before="100" w:beforeAutospacing="1" w:after="100" w:afterAutospacing="1"/>
      <w:ind w:left="150"/>
    </w:pPr>
    <w:rPr>
      <w:sz w:val="24"/>
    </w:rPr>
  </w:style>
  <w:style w:type="paragraph" w:customStyle="1" w:styleId="marginleftlarge">
    <w:name w:val="marginleftlarge"/>
    <w:basedOn w:val="Normal"/>
    <w:pPr>
      <w:spacing w:before="100" w:beforeAutospacing="1" w:after="100" w:afterAutospacing="1"/>
      <w:ind w:left="300"/>
    </w:pPr>
    <w:rPr>
      <w:sz w:val="24"/>
    </w:rPr>
  </w:style>
  <w:style w:type="paragraph" w:customStyle="1" w:styleId="marginleftextralarge">
    <w:name w:val="marginleftextralarge"/>
    <w:basedOn w:val="Normal"/>
    <w:pPr>
      <w:spacing w:before="100" w:beforeAutospacing="1" w:after="100" w:afterAutospacing="1"/>
      <w:ind w:left="600"/>
    </w:pPr>
    <w:rPr>
      <w:sz w:val="24"/>
    </w:rPr>
  </w:style>
  <w:style w:type="paragraph" w:customStyle="1" w:styleId="marginleftmedium">
    <w:name w:val="marginleftmedium"/>
    <w:basedOn w:val="Normal"/>
    <w:pPr>
      <w:ind w:left="75"/>
    </w:pPr>
    <w:rPr>
      <w:sz w:val="24"/>
    </w:rPr>
  </w:style>
  <w:style w:type="paragraph" w:customStyle="1" w:styleId="marginleftrightsmall">
    <w:name w:val="marginleftrightsmall"/>
    <w:basedOn w:val="Normal"/>
    <w:pPr>
      <w:spacing w:before="100" w:beforeAutospacing="1" w:after="100" w:afterAutospacing="1"/>
      <w:ind w:left="45" w:right="45"/>
    </w:pPr>
    <w:rPr>
      <w:sz w:val="24"/>
    </w:rPr>
  </w:style>
  <w:style w:type="paragraph" w:customStyle="1" w:styleId="marginleftright">
    <w:name w:val="marginleftright"/>
    <w:basedOn w:val="Normal"/>
    <w:pPr>
      <w:spacing w:before="100" w:beforeAutospacing="1" w:after="100" w:afterAutospacing="1"/>
      <w:ind w:left="150" w:right="150"/>
    </w:pPr>
    <w:rPr>
      <w:sz w:val="24"/>
    </w:rPr>
  </w:style>
  <w:style w:type="paragraph" w:customStyle="1" w:styleId="marginleftrightlarge">
    <w:name w:val="marginleftrightlarge"/>
    <w:basedOn w:val="Normal"/>
    <w:pPr>
      <w:spacing w:before="100" w:beforeAutospacing="1" w:after="100" w:afterAutospacing="1"/>
      <w:ind w:left="300" w:right="300"/>
    </w:pPr>
    <w:rPr>
      <w:sz w:val="24"/>
    </w:rPr>
  </w:style>
  <w:style w:type="paragraph" w:customStyle="1" w:styleId="marginleftrightextralarge">
    <w:name w:val="marginleftrightextralarge"/>
    <w:basedOn w:val="Normal"/>
    <w:pPr>
      <w:spacing w:before="100" w:beforeAutospacing="1" w:after="100" w:afterAutospacing="1"/>
      <w:ind w:left="600" w:right="600"/>
    </w:pPr>
    <w:rPr>
      <w:sz w:val="24"/>
    </w:rPr>
  </w:style>
  <w:style w:type="paragraph" w:customStyle="1" w:styleId="margintopleftsmall">
    <w:name w:val="margintopleftsmall"/>
    <w:basedOn w:val="Normal"/>
    <w:pPr>
      <w:spacing w:before="45" w:after="100" w:afterAutospacing="1"/>
      <w:ind w:left="45"/>
    </w:pPr>
    <w:rPr>
      <w:sz w:val="24"/>
    </w:rPr>
  </w:style>
  <w:style w:type="paragraph" w:customStyle="1" w:styleId="margintopleft">
    <w:name w:val="margintopleft"/>
    <w:basedOn w:val="Normal"/>
    <w:pPr>
      <w:spacing w:before="150" w:after="100" w:afterAutospacing="1"/>
      <w:ind w:left="150"/>
    </w:pPr>
    <w:rPr>
      <w:sz w:val="24"/>
    </w:rPr>
  </w:style>
  <w:style w:type="paragraph" w:customStyle="1" w:styleId="margintopleftlarge">
    <w:name w:val="margintopleftlarge"/>
    <w:basedOn w:val="Normal"/>
    <w:pPr>
      <w:spacing w:before="300" w:after="100" w:afterAutospacing="1"/>
      <w:ind w:left="300"/>
    </w:pPr>
    <w:rPr>
      <w:sz w:val="24"/>
    </w:rPr>
  </w:style>
  <w:style w:type="paragraph" w:customStyle="1" w:styleId="margintopleftextralarge">
    <w:name w:val="margintopleftextralarge"/>
    <w:basedOn w:val="Normal"/>
    <w:pPr>
      <w:spacing w:before="600" w:after="100" w:afterAutospacing="1"/>
      <w:ind w:left="600"/>
    </w:pPr>
    <w:rPr>
      <w:sz w:val="24"/>
    </w:rPr>
  </w:style>
  <w:style w:type="paragraph" w:customStyle="1" w:styleId="webviewitem">
    <w:name w:val="webviewitem"/>
    <w:basedOn w:val="Normal"/>
    <w:pPr>
      <w:spacing w:before="100" w:beforeAutospacing="1" w:after="100" w:afterAutospacing="1"/>
    </w:pPr>
    <w:rPr>
      <w:sz w:val="24"/>
    </w:rPr>
  </w:style>
  <w:style w:type="paragraph" w:customStyle="1" w:styleId="homepagetopic">
    <w:name w:val="homepagetopic"/>
    <w:basedOn w:val="Normal"/>
    <w:pPr>
      <w:spacing w:before="100" w:beforeAutospacing="1" w:after="100" w:afterAutospacing="1"/>
    </w:pPr>
    <w:rPr>
      <w:b/>
      <w:bCs w:val="0"/>
      <w:sz w:val="24"/>
    </w:rPr>
  </w:style>
  <w:style w:type="paragraph" w:customStyle="1" w:styleId="featuretitle">
    <w:name w:val="featuretitle"/>
    <w:basedOn w:val="Normal"/>
    <w:pPr>
      <w:spacing w:before="100" w:beforeAutospacing="1" w:after="100" w:afterAutospacing="1"/>
    </w:pPr>
    <w:rPr>
      <w:rFonts w:ascii="Verdana" w:hAnsi="Verdana"/>
      <w:b/>
      <w:bCs w:val="0"/>
      <w:sz w:val="24"/>
    </w:rPr>
  </w:style>
  <w:style w:type="paragraph" w:customStyle="1" w:styleId="featuretitlewhite">
    <w:name w:val="featuretitlewhite"/>
    <w:basedOn w:val="Normal"/>
    <w:pPr>
      <w:spacing w:before="100" w:beforeAutospacing="1" w:after="100" w:afterAutospacing="1"/>
    </w:pPr>
    <w:rPr>
      <w:rFonts w:ascii="Verdana" w:hAnsi="Verdana"/>
      <w:b/>
      <w:bCs w:val="0"/>
      <w:color w:val="FFFFFF"/>
      <w:sz w:val="24"/>
    </w:rPr>
  </w:style>
  <w:style w:type="paragraph" w:customStyle="1" w:styleId="featuresubtitle">
    <w:name w:val="featuresubtitle"/>
    <w:basedOn w:val="Normal"/>
    <w:pPr>
      <w:spacing w:before="100" w:beforeAutospacing="1" w:after="100" w:afterAutospacing="1"/>
    </w:pPr>
    <w:rPr>
      <w:rFonts w:ascii="Verdana" w:hAnsi="Verdana"/>
      <w:b/>
      <w:bCs w:val="0"/>
      <w:sz w:val="19"/>
      <w:szCs w:val="19"/>
    </w:rPr>
  </w:style>
  <w:style w:type="paragraph" w:customStyle="1" w:styleId="featuretitlebackgroundcolor">
    <w:name w:val="featuretitlebackgroundcolor"/>
    <w:basedOn w:val="Normal"/>
    <w:pPr>
      <w:shd w:val="clear" w:color="auto" w:fill="DDDDDD"/>
      <w:spacing w:before="100" w:beforeAutospacing="1" w:after="100" w:afterAutospacing="1"/>
    </w:pPr>
    <w:rPr>
      <w:sz w:val="24"/>
    </w:rPr>
  </w:style>
  <w:style w:type="paragraph" w:customStyle="1" w:styleId="featuretitlebackgroundcolorblue">
    <w:name w:val="featuretitlebackgroundcolorblue"/>
    <w:basedOn w:val="Normal"/>
    <w:pPr>
      <w:shd w:val="clear" w:color="auto" w:fill="000099"/>
      <w:spacing w:before="100" w:beforeAutospacing="1" w:after="100" w:afterAutospacing="1"/>
    </w:pPr>
    <w:rPr>
      <w:sz w:val="24"/>
    </w:rPr>
  </w:style>
  <w:style w:type="paragraph" w:customStyle="1" w:styleId="featurenavigation">
    <w:name w:val="featurenavigation"/>
    <w:basedOn w:val="Normal"/>
    <w:pPr>
      <w:spacing w:before="100" w:beforeAutospacing="1" w:after="100" w:afterAutospacing="1"/>
    </w:pPr>
    <w:rPr>
      <w:rFonts w:ascii="Verdana" w:hAnsi="Verdana"/>
      <w:sz w:val="17"/>
      <w:szCs w:val="17"/>
    </w:rPr>
  </w:style>
  <w:style w:type="paragraph" w:customStyle="1" w:styleId="featurenavigationxsmall">
    <w:name w:val="featurenavigationxsmall"/>
    <w:basedOn w:val="Normal"/>
    <w:pPr>
      <w:spacing w:before="100" w:beforeAutospacing="1" w:after="100" w:afterAutospacing="1"/>
    </w:pPr>
    <w:rPr>
      <w:rFonts w:ascii="Verdana" w:hAnsi="Verdana"/>
      <w:sz w:val="14"/>
      <w:szCs w:val="14"/>
    </w:rPr>
  </w:style>
  <w:style w:type="paragraph" w:customStyle="1" w:styleId="featurenavigationsmall">
    <w:name w:val="featurenavigationsmall"/>
    <w:basedOn w:val="Normal"/>
    <w:pPr>
      <w:spacing w:before="100" w:beforeAutospacing="1" w:after="100" w:afterAutospacing="1"/>
    </w:pPr>
    <w:rPr>
      <w:rFonts w:ascii="Verdana" w:hAnsi="Verdana"/>
      <w:sz w:val="16"/>
      <w:szCs w:val="16"/>
    </w:rPr>
  </w:style>
  <w:style w:type="paragraph" w:customStyle="1" w:styleId="featurenavigationlarge">
    <w:name w:val="featurenavigationlarge"/>
    <w:basedOn w:val="Normal"/>
    <w:pPr>
      <w:spacing w:before="100" w:beforeAutospacing="1" w:after="100" w:afterAutospacing="1"/>
    </w:pPr>
    <w:rPr>
      <w:rFonts w:ascii="Verdana" w:hAnsi="Verdana"/>
      <w:sz w:val="19"/>
      <w:szCs w:val="19"/>
    </w:rPr>
  </w:style>
  <w:style w:type="paragraph" w:customStyle="1" w:styleId="featurenavigationselected">
    <w:name w:val="featurenavigationselected"/>
    <w:basedOn w:val="Normal"/>
    <w:pPr>
      <w:spacing w:before="100" w:beforeAutospacing="1" w:after="100" w:afterAutospacing="1"/>
    </w:pPr>
    <w:rPr>
      <w:rFonts w:ascii="Verdana" w:hAnsi="Verdana"/>
      <w:b/>
      <w:bCs w:val="0"/>
      <w:sz w:val="17"/>
      <w:szCs w:val="17"/>
    </w:rPr>
  </w:style>
  <w:style w:type="paragraph" w:customStyle="1" w:styleId="featurenavigationselectedsmall">
    <w:name w:val="featurenavigationselectedsmall"/>
    <w:basedOn w:val="Normal"/>
    <w:pPr>
      <w:spacing w:before="100" w:beforeAutospacing="1" w:after="100" w:afterAutospacing="1"/>
    </w:pPr>
    <w:rPr>
      <w:rFonts w:ascii="Verdana" w:hAnsi="Verdana"/>
      <w:b/>
      <w:bCs w:val="0"/>
      <w:sz w:val="16"/>
      <w:szCs w:val="16"/>
    </w:rPr>
  </w:style>
  <w:style w:type="paragraph" w:customStyle="1" w:styleId="featurenavigationselectedlarge">
    <w:name w:val="featurenavigationselectedlarge"/>
    <w:basedOn w:val="Normal"/>
    <w:pPr>
      <w:spacing w:before="100" w:beforeAutospacing="1" w:after="100" w:afterAutospacing="1"/>
    </w:pPr>
    <w:rPr>
      <w:rFonts w:ascii="Verdana" w:hAnsi="Verdana"/>
      <w:b/>
      <w:bCs w:val="0"/>
      <w:sz w:val="19"/>
      <w:szCs w:val="19"/>
    </w:rPr>
  </w:style>
  <w:style w:type="paragraph" w:customStyle="1" w:styleId="featurenavigationbold">
    <w:name w:val="featurenavigationbold"/>
    <w:basedOn w:val="Normal"/>
    <w:pPr>
      <w:spacing w:before="100" w:beforeAutospacing="1" w:after="100" w:afterAutospacing="1"/>
    </w:pPr>
    <w:rPr>
      <w:rFonts w:ascii="Verdana" w:hAnsi="Verdana"/>
      <w:b/>
      <w:bCs w:val="0"/>
      <w:sz w:val="17"/>
      <w:szCs w:val="17"/>
    </w:rPr>
  </w:style>
  <w:style w:type="paragraph" w:customStyle="1" w:styleId="pageheading">
    <w:name w:val="pageheading"/>
    <w:basedOn w:val="Normal"/>
    <w:pPr>
      <w:spacing w:before="100" w:beforeAutospacing="1" w:after="100" w:afterAutospacing="1"/>
    </w:pPr>
    <w:rPr>
      <w:rFonts w:ascii="Verdana" w:hAnsi="Verdana"/>
      <w:b/>
      <w:bCs w:val="0"/>
      <w:color w:val="000000"/>
      <w:sz w:val="24"/>
    </w:rPr>
  </w:style>
  <w:style w:type="paragraph" w:customStyle="1" w:styleId="pageheadinginternational">
    <w:name w:val="pageheadinginternational"/>
    <w:basedOn w:val="Normal"/>
    <w:pPr>
      <w:spacing w:before="100" w:beforeAutospacing="1" w:after="100" w:afterAutospacing="1"/>
    </w:pPr>
    <w:rPr>
      <w:rFonts w:ascii="Verdana" w:hAnsi="Verdana"/>
      <w:b/>
      <w:bCs w:val="0"/>
      <w:color w:val="330066"/>
      <w:sz w:val="19"/>
      <w:szCs w:val="19"/>
    </w:rPr>
  </w:style>
  <w:style w:type="paragraph" w:customStyle="1" w:styleId="pagesubheading">
    <w:name w:val="pagesubheading"/>
    <w:basedOn w:val="Normal"/>
    <w:pPr>
      <w:spacing w:before="100" w:beforeAutospacing="1" w:after="100" w:afterAutospacing="1"/>
    </w:pPr>
    <w:rPr>
      <w:rFonts w:ascii="Verdana" w:hAnsi="Verdana"/>
      <w:color w:val="330066"/>
      <w:sz w:val="19"/>
      <w:szCs w:val="19"/>
    </w:rPr>
  </w:style>
  <w:style w:type="paragraph" w:customStyle="1" w:styleId="pageheadingbackgroundcolor">
    <w:name w:val="pageheadingbackgroundcolor"/>
    <w:basedOn w:val="Normal"/>
    <w:pPr>
      <w:shd w:val="clear" w:color="auto" w:fill="AAAAD0"/>
      <w:spacing w:before="100" w:beforeAutospacing="1" w:after="100" w:afterAutospacing="1"/>
    </w:pPr>
    <w:rPr>
      <w:sz w:val="24"/>
    </w:rPr>
  </w:style>
  <w:style w:type="paragraph" w:customStyle="1" w:styleId="pageheadingbordercolor">
    <w:name w:val="pageheadingbordercolor"/>
    <w:basedOn w:val="Normal"/>
    <w:pPr>
      <w:shd w:val="clear" w:color="auto" w:fill="FFFFFF"/>
      <w:spacing w:before="100" w:beforeAutospacing="1" w:after="100" w:afterAutospacing="1"/>
    </w:pPr>
    <w:rPr>
      <w:sz w:val="24"/>
    </w:rPr>
  </w:style>
  <w:style w:type="paragraph" w:customStyle="1" w:styleId="pageheadingbordercolorinternational">
    <w:name w:val="pageheadingbordercolorinternational"/>
    <w:basedOn w:val="Normal"/>
    <w:pPr>
      <w:shd w:val="clear" w:color="auto" w:fill="330066"/>
      <w:spacing w:before="100" w:beforeAutospacing="1" w:after="100" w:afterAutospacing="1"/>
    </w:pPr>
    <w:rPr>
      <w:sz w:val="24"/>
    </w:rPr>
  </w:style>
  <w:style w:type="paragraph" w:customStyle="1" w:styleId="extendedpageheaderbar">
    <w:name w:val="extendedpageheaderbar"/>
    <w:basedOn w:val="Normal"/>
    <w:pPr>
      <w:shd w:val="clear" w:color="auto" w:fill="E6E6FA"/>
      <w:spacing w:before="100" w:beforeAutospacing="1" w:after="100" w:afterAutospacing="1"/>
    </w:pPr>
    <w:rPr>
      <w:sz w:val="24"/>
    </w:rPr>
  </w:style>
  <w:style w:type="paragraph" w:customStyle="1" w:styleId="groupbox">
    <w:name w:val="groupbox"/>
    <w:basedOn w:val="Normal"/>
    <w:pPr>
      <w:pBdr>
        <w:top w:val="single" w:sz="6" w:space="0" w:color="C9CCAF"/>
        <w:left w:val="single" w:sz="6" w:space="0" w:color="C9CCAF"/>
        <w:bottom w:val="single" w:sz="6" w:space="0" w:color="C9CCAF"/>
        <w:right w:val="single" w:sz="6" w:space="0" w:color="C9CCAF"/>
      </w:pBdr>
      <w:shd w:val="clear" w:color="auto" w:fill="EAEADA"/>
      <w:spacing w:before="100" w:beforeAutospacing="1" w:after="100" w:afterAutospacing="1"/>
    </w:pPr>
    <w:rPr>
      <w:sz w:val="24"/>
    </w:rPr>
  </w:style>
  <w:style w:type="paragraph" w:customStyle="1" w:styleId="groupboxcontext">
    <w:name w:val="groupboxcontext"/>
    <w:basedOn w:val="Normal"/>
    <w:pPr>
      <w:pBdr>
        <w:top w:val="single" w:sz="6" w:space="0" w:color="90A2C5"/>
        <w:left w:val="single" w:sz="6" w:space="0" w:color="90A2C5"/>
        <w:bottom w:val="single" w:sz="6" w:space="0" w:color="90A2C5"/>
        <w:right w:val="single" w:sz="6" w:space="0" w:color="90A2C5"/>
      </w:pBdr>
      <w:shd w:val="clear" w:color="auto" w:fill="D7E0ED"/>
      <w:spacing w:before="100" w:beforeAutospacing="1" w:after="100" w:afterAutospacing="1"/>
    </w:pPr>
    <w:rPr>
      <w:sz w:val="24"/>
    </w:rPr>
  </w:style>
  <w:style w:type="paragraph" w:customStyle="1" w:styleId="groupboxoutofplan">
    <w:name w:val="groupboxoutofplan"/>
    <w:basedOn w:val="Normal"/>
    <w:pPr>
      <w:pBdr>
        <w:top w:val="single" w:sz="6" w:space="0" w:color="C9CCAF"/>
        <w:left w:val="single" w:sz="6" w:space="0" w:color="C9CCAF"/>
        <w:bottom w:val="single" w:sz="6" w:space="0" w:color="C9CCAF"/>
        <w:right w:val="single" w:sz="6" w:space="0" w:color="C9CCAF"/>
      </w:pBdr>
      <w:shd w:val="clear" w:color="auto" w:fill="FFFFFF"/>
      <w:spacing w:before="100" w:beforeAutospacing="1" w:after="100" w:afterAutospacing="1"/>
    </w:pPr>
    <w:rPr>
      <w:sz w:val="24"/>
    </w:rPr>
  </w:style>
  <w:style w:type="paragraph" w:customStyle="1" w:styleId="groupboxcontextoutofplan">
    <w:name w:val="groupboxcontextoutofplan"/>
    <w:basedOn w:val="Normal"/>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rPr>
      <w:sz w:val="24"/>
    </w:rPr>
  </w:style>
  <w:style w:type="paragraph" w:customStyle="1" w:styleId="groupheading">
    <w:name w:val="groupheading"/>
    <w:basedOn w:val="Normal"/>
    <w:pPr>
      <w:spacing w:before="100" w:beforeAutospacing="1" w:after="100" w:afterAutospacing="1"/>
    </w:pPr>
    <w:rPr>
      <w:rFonts w:ascii="Verdana" w:hAnsi="Verdana"/>
      <w:b/>
      <w:bCs w:val="0"/>
      <w:sz w:val="19"/>
      <w:szCs w:val="19"/>
    </w:rPr>
  </w:style>
  <w:style w:type="paragraph" w:customStyle="1" w:styleId="groupsubheading">
    <w:name w:val="groupsubheading"/>
    <w:basedOn w:val="Normal"/>
    <w:pPr>
      <w:spacing w:before="100" w:beforeAutospacing="1" w:after="100" w:afterAutospacing="1"/>
    </w:pPr>
    <w:rPr>
      <w:rFonts w:ascii="Verdana" w:hAnsi="Verdana"/>
      <w:sz w:val="19"/>
      <w:szCs w:val="19"/>
    </w:rPr>
  </w:style>
  <w:style w:type="paragraph" w:customStyle="1" w:styleId="groupheadingblue">
    <w:name w:val="groupheadingblue"/>
    <w:basedOn w:val="Normal"/>
    <w:pPr>
      <w:spacing w:before="100" w:beforeAutospacing="1" w:after="100" w:afterAutospacing="1"/>
    </w:pPr>
    <w:rPr>
      <w:rFonts w:ascii="Verdana" w:hAnsi="Verdana"/>
      <w:b/>
      <w:bCs w:val="0"/>
      <w:color w:val="000099"/>
      <w:sz w:val="19"/>
      <w:szCs w:val="19"/>
    </w:rPr>
  </w:style>
  <w:style w:type="paragraph" w:customStyle="1" w:styleId="groupheadingbackgroundcolor">
    <w:name w:val="groupheadingbackgroundcolor"/>
    <w:basedOn w:val="Normal"/>
    <w:pPr>
      <w:shd w:val="clear" w:color="auto" w:fill="B6B6B6"/>
      <w:spacing w:before="100" w:beforeAutospacing="1" w:after="100" w:afterAutospacing="1"/>
    </w:pPr>
    <w:rPr>
      <w:sz w:val="24"/>
    </w:rPr>
  </w:style>
  <w:style w:type="paragraph" w:customStyle="1" w:styleId="groupheadingbordercolor">
    <w:name w:val="groupheadingbordercolor"/>
    <w:basedOn w:val="Normal"/>
    <w:pPr>
      <w:shd w:val="clear" w:color="auto" w:fill="888888"/>
      <w:spacing w:before="100" w:beforeAutospacing="1" w:after="100" w:afterAutospacing="1"/>
    </w:pPr>
    <w:rPr>
      <w:sz w:val="24"/>
    </w:rPr>
  </w:style>
  <w:style w:type="paragraph" w:customStyle="1" w:styleId="groupheadingbordercolorlight">
    <w:name w:val="groupheadingbordercolorlight"/>
    <w:basedOn w:val="Normal"/>
    <w:pPr>
      <w:shd w:val="clear" w:color="auto" w:fill="ECECEC"/>
      <w:spacing w:before="100" w:beforeAutospacing="1" w:after="100" w:afterAutospacing="1"/>
    </w:pPr>
    <w:rPr>
      <w:sz w:val="24"/>
    </w:rPr>
  </w:style>
  <w:style w:type="paragraph" w:customStyle="1" w:styleId="citatordirectorytitle">
    <w:name w:val="citatordirectorytitle"/>
    <w:basedOn w:val="Normal"/>
    <w:pPr>
      <w:shd w:val="clear" w:color="auto" w:fill="006699"/>
      <w:spacing w:before="100" w:beforeAutospacing="1" w:after="100" w:afterAutospacing="1"/>
    </w:pPr>
    <w:rPr>
      <w:rFonts w:ascii="Verdana" w:hAnsi="Verdana"/>
      <w:b/>
      <w:bCs w:val="0"/>
      <w:color w:val="FFFFFF"/>
      <w:sz w:val="24"/>
    </w:rPr>
  </w:style>
  <w:style w:type="paragraph" w:customStyle="1" w:styleId="majorlink">
    <w:name w:val="majorlink"/>
    <w:basedOn w:val="Normal"/>
    <w:pPr>
      <w:spacing w:before="100" w:beforeAutospacing="1" w:after="100" w:afterAutospacing="1"/>
    </w:pPr>
    <w:rPr>
      <w:rFonts w:ascii="Verdana" w:hAnsi="Verdana"/>
      <w:b/>
      <w:bCs w:val="0"/>
      <w:sz w:val="17"/>
      <w:szCs w:val="17"/>
    </w:rPr>
  </w:style>
  <w:style w:type="paragraph" w:customStyle="1" w:styleId="minorlink">
    <w:name w:val="minorlink"/>
    <w:basedOn w:val="Normal"/>
    <w:pPr>
      <w:spacing w:before="100" w:beforeAutospacing="1" w:after="100" w:afterAutospacing="1"/>
    </w:pPr>
    <w:rPr>
      <w:rFonts w:ascii="Verdana" w:hAnsi="Verdana"/>
      <w:sz w:val="17"/>
      <w:szCs w:val="17"/>
    </w:rPr>
  </w:style>
  <w:style w:type="paragraph" w:customStyle="1" w:styleId="helplink">
    <w:name w:val="helplink"/>
    <w:basedOn w:val="Normal"/>
    <w:pPr>
      <w:spacing w:before="100" w:beforeAutospacing="1" w:after="100" w:afterAutospacing="1"/>
    </w:pPr>
    <w:rPr>
      <w:rFonts w:ascii="Verdana" w:hAnsi="Verdana"/>
      <w:sz w:val="17"/>
      <w:szCs w:val="17"/>
    </w:rPr>
  </w:style>
  <w:style w:type="paragraph" w:customStyle="1" w:styleId="helpbox">
    <w:name w:val="helpbox"/>
    <w:basedOn w:val="Normal"/>
    <w:pPr>
      <w:pBdr>
        <w:top w:val="single" w:sz="6" w:space="0" w:color="000000"/>
        <w:left w:val="single" w:sz="6" w:space="0" w:color="000000"/>
        <w:bottom w:val="single" w:sz="6" w:space="0" w:color="000000"/>
        <w:right w:val="single" w:sz="6" w:space="0" w:color="000000"/>
      </w:pBdr>
      <w:shd w:val="clear" w:color="auto" w:fill="EEE8AA"/>
      <w:spacing w:before="100" w:beforeAutospacing="1" w:after="100" w:afterAutospacing="1"/>
    </w:pPr>
    <w:rPr>
      <w:rFonts w:ascii="Verdana" w:hAnsi="Verdana"/>
      <w:sz w:val="17"/>
      <w:szCs w:val="17"/>
    </w:rPr>
  </w:style>
  <w:style w:type="paragraph" w:customStyle="1" w:styleId="informational">
    <w:name w:val="informational"/>
    <w:basedOn w:val="Normal"/>
    <w:pPr>
      <w:spacing w:before="100" w:beforeAutospacing="1" w:after="100" w:afterAutospacing="1"/>
    </w:pPr>
    <w:rPr>
      <w:rFonts w:ascii="Verdana" w:hAnsi="Verdana"/>
      <w:sz w:val="17"/>
      <w:szCs w:val="17"/>
    </w:rPr>
  </w:style>
  <w:style w:type="paragraph" w:customStyle="1" w:styleId="informationalunderline">
    <w:name w:val="informationalunderline"/>
    <w:basedOn w:val="Normal"/>
    <w:pPr>
      <w:spacing w:before="100" w:beforeAutospacing="1" w:after="100" w:afterAutospacing="1"/>
    </w:pPr>
    <w:rPr>
      <w:rFonts w:ascii="Verdana" w:hAnsi="Verdana"/>
      <w:sz w:val="17"/>
      <w:szCs w:val="17"/>
      <w:u w:val="single"/>
    </w:rPr>
  </w:style>
  <w:style w:type="paragraph" w:customStyle="1" w:styleId="informationalbold">
    <w:name w:val="informationalbold"/>
    <w:basedOn w:val="Normal"/>
    <w:pPr>
      <w:spacing w:before="100" w:beforeAutospacing="1" w:after="100" w:afterAutospacing="1"/>
    </w:pPr>
    <w:rPr>
      <w:rFonts w:ascii="Verdana" w:hAnsi="Verdana"/>
      <w:b/>
      <w:bCs w:val="0"/>
      <w:sz w:val="17"/>
      <w:szCs w:val="17"/>
    </w:rPr>
  </w:style>
  <w:style w:type="paragraph" w:customStyle="1" w:styleId="informationalboldunderline">
    <w:name w:val="informationalboldunderline"/>
    <w:basedOn w:val="Normal"/>
    <w:pPr>
      <w:spacing w:before="100" w:beforeAutospacing="1" w:after="100" w:afterAutospacing="1"/>
    </w:pPr>
    <w:rPr>
      <w:rFonts w:ascii="Verdana" w:hAnsi="Verdana"/>
      <w:b/>
      <w:bCs w:val="0"/>
      <w:sz w:val="17"/>
      <w:szCs w:val="17"/>
      <w:u w:val="single"/>
    </w:rPr>
  </w:style>
  <w:style w:type="paragraph" w:customStyle="1" w:styleId="informationalsmall">
    <w:name w:val="informationalsmall"/>
    <w:basedOn w:val="Normal"/>
    <w:pPr>
      <w:spacing w:before="100" w:beforeAutospacing="1" w:after="100" w:afterAutospacing="1"/>
    </w:pPr>
    <w:rPr>
      <w:rFonts w:ascii="Verdana" w:hAnsi="Verdana"/>
      <w:sz w:val="14"/>
      <w:szCs w:val="14"/>
    </w:rPr>
  </w:style>
  <w:style w:type="paragraph" w:customStyle="1" w:styleId="informationalsmallbold">
    <w:name w:val="informationalsmallbold"/>
    <w:basedOn w:val="Normal"/>
    <w:pPr>
      <w:spacing w:before="100" w:beforeAutospacing="1" w:after="100" w:afterAutospacing="1"/>
    </w:pPr>
    <w:rPr>
      <w:rFonts w:ascii="Verdana" w:hAnsi="Verdana"/>
      <w:b/>
      <w:bCs w:val="0"/>
      <w:sz w:val="14"/>
      <w:szCs w:val="14"/>
    </w:rPr>
  </w:style>
  <w:style w:type="paragraph" w:customStyle="1" w:styleId="informationallarge">
    <w:name w:val="informationallarge"/>
    <w:basedOn w:val="Normal"/>
    <w:pPr>
      <w:spacing w:before="100" w:beforeAutospacing="1" w:after="100" w:afterAutospacing="1"/>
    </w:pPr>
    <w:rPr>
      <w:rFonts w:ascii="Verdana" w:hAnsi="Verdana"/>
      <w:sz w:val="24"/>
    </w:rPr>
  </w:style>
  <w:style w:type="paragraph" w:customStyle="1" w:styleId="informationalwhite">
    <w:name w:val="informationalwhite"/>
    <w:basedOn w:val="Normal"/>
    <w:pPr>
      <w:spacing w:before="100" w:beforeAutospacing="1" w:after="100" w:afterAutospacing="1"/>
    </w:pPr>
    <w:rPr>
      <w:rFonts w:ascii="Verdana" w:hAnsi="Verdana"/>
      <w:color w:val="FFFFFF"/>
      <w:sz w:val="17"/>
      <w:szCs w:val="17"/>
    </w:rPr>
  </w:style>
  <w:style w:type="paragraph" w:customStyle="1" w:styleId="instructional">
    <w:name w:val="instructional"/>
    <w:basedOn w:val="Normal"/>
    <w:pPr>
      <w:spacing w:before="100" w:beforeAutospacing="1" w:after="100" w:afterAutospacing="1"/>
    </w:pPr>
    <w:rPr>
      <w:rFonts w:ascii="Verdana" w:hAnsi="Verdana"/>
      <w:sz w:val="17"/>
      <w:szCs w:val="17"/>
    </w:rPr>
  </w:style>
  <w:style w:type="paragraph" w:customStyle="1" w:styleId="example">
    <w:name w:val="example"/>
    <w:basedOn w:val="Normal"/>
    <w:pPr>
      <w:spacing w:before="100" w:beforeAutospacing="1" w:after="100" w:afterAutospacing="1"/>
    </w:pPr>
    <w:rPr>
      <w:rFonts w:ascii="Verdana" w:hAnsi="Verdana"/>
      <w:sz w:val="16"/>
      <w:szCs w:val="16"/>
    </w:rPr>
  </w:style>
  <w:style w:type="paragraph" w:customStyle="1" w:styleId="documentbody">
    <w:name w:val="documentbody"/>
    <w:basedOn w:val="Normal"/>
    <w:pPr>
      <w:spacing w:before="100" w:beforeAutospacing="1" w:after="100" w:afterAutospacing="1"/>
    </w:pPr>
    <w:rPr>
      <w:rFonts w:ascii="Verdana" w:hAnsi="Verdana"/>
      <w:sz w:val="19"/>
      <w:szCs w:val="19"/>
    </w:rPr>
  </w:style>
  <w:style w:type="paragraph" w:customStyle="1" w:styleId="documentbodysmall">
    <w:name w:val="documentbodysmall"/>
    <w:basedOn w:val="Normal"/>
    <w:pPr>
      <w:spacing w:before="100" w:beforeAutospacing="1" w:after="100" w:afterAutospacing="1"/>
    </w:pPr>
    <w:rPr>
      <w:rFonts w:ascii="Verdana" w:hAnsi="Verdana"/>
      <w:sz w:val="19"/>
      <w:szCs w:val="19"/>
    </w:rPr>
  </w:style>
  <w:style w:type="paragraph" w:customStyle="1" w:styleId="documentsectiontitle">
    <w:name w:val="documentsectiontitle"/>
    <w:basedOn w:val="Normal"/>
    <w:pPr>
      <w:spacing w:before="100" w:beforeAutospacing="1" w:after="100" w:afterAutospacing="1"/>
    </w:pPr>
    <w:rPr>
      <w:rFonts w:ascii="Verdana" w:hAnsi="Verdana"/>
      <w:b/>
      <w:bCs w:val="0"/>
      <w:sz w:val="19"/>
      <w:szCs w:val="19"/>
    </w:rPr>
  </w:style>
  <w:style w:type="paragraph" w:customStyle="1" w:styleId="educationalnote">
    <w:name w:val="educationalnote"/>
    <w:basedOn w:val="Normal"/>
    <w:pPr>
      <w:spacing w:before="100" w:beforeAutospacing="1" w:after="100" w:afterAutospacing="1"/>
    </w:pPr>
    <w:rPr>
      <w:rFonts w:ascii="Verdana" w:hAnsi="Verdana"/>
      <w:b/>
      <w:bCs w:val="0"/>
      <w:sz w:val="19"/>
      <w:szCs w:val="19"/>
    </w:rPr>
  </w:style>
  <w:style w:type="paragraph" w:customStyle="1" w:styleId="inputlabel">
    <w:name w:val="inputlabel"/>
    <w:basedOn w:val="Normal"/>
    <w:pPr>
      <w:spacing w:before="100" w:beforeAutospacing="1" w:after="100" w:afterAutospacing="1"/>
    </w:pPr>
    <w:rPr>
      <w:rFonts w:ascii="Verdana" w:hAnsi="Verdana"/>
      <w:sz w:val="17"/>
      <w:szCs w:val="17"/>
    </w:rPr>
  </w:style>
  <w:style w:type="paragraph" w:customStyle="1" w:styleId="inputlabelbold">
    <w:name w:val="inputlabelbold"/>
    <w:basedOn w:val="Normal"/>
    <w:pPr>
      <w:spacing w:before="100" w:beforeAutospacing="1" w:after="100" w:afterAutospacing="1"/>
    </w:pPr>
    <w:rPr>
      <w:rFonts w:ascii="Verdana" w:hAnsi="Verdana"/>
      <w:b/>
      <w:bCs w:val="0"/>
      <w:sz w:val="17"/>
      <w:szCs w:val="17"/>
    </w:rPr>
  </w:style>
  <w:style w:type="paragraph" w:customStyle="1" w:styleId="inputlabelsmall">
    <w:name w:val="inputlabelsmall"/>
    <w:basedOn w:val="Normal"/>
    <w:pPr>
      <w:spacing w:before="100" w:beforeAutospacing="1" w:after="100" w:afterAutospacing="1"/>
    </w:pPr>
    <w:rPr>
      <w:rFonts w:ascii="Verdana" w:hAnsi="Verdana"/>
      <w:sz w:val="16"/>
      <w:szCs w:val="16"/>
    </w:rPr>
  </w:style>
  <w:style w:type="paragraph" w:customStyle="1" w:styleId="inputlabelsmallbold">
    <w:name w:val="inputlabelsmallbold"/>
    <w:basedOn w:val="Normal"/>
    <w:pPr>
      <w:spacing w:before="100" w:beforeAutospacing="1" w:after="100" w:afterAutospacing="1"/>
    </w:pPr>
    <w:rPr>
      <w:rFonts w:ascii="Verdana" w:hAnsi="Verdana"/>
      <w:b/>
      <w:bCs w:val="0"/>
      <w:sz w:val="16"/>
      <w:szCs w:val="16"/>
    </w:rPr>
  </w:style>
  <w:style w:type="paragraph" w:customStyle="1" w:styleId="inputcontent">
    <w:name w:val="inputcontent"/>
    <w:basedOn w:val="Normal"/>
    <w:pPr>
      <w:spacing w:before="100" w:beforeAutospacing="1" w:after="100" w:afterAutospacing="1"/>
    </w:pPr>
    <w:rPr>
      <w:rFonts w:ascii="Verdana" w:hAnsi="Verdana"/>
      <w:sz w:val="17"/>
      <w:szCs w:val="17"/>
    </w:rPr>
  </w:style>
  <w:style w:type="paragraph" w:customStyle="1" w:styleId="inputcontentlarge">
    <w:name w:val="inputcontentlarge"/>
    <w:basedOn w:val="Normal"/>
    <w:pPr>
      <w:spacing w:before="100" w:beforeAutospacing="1" w:after="100" w:afterAutospacing="1"/>
    </w:pPr>
    <w:rPr>
      <w:rFonts w:ascii="Verdana" w:hAnsi="Verdana"/>
      <w:sz w:val="23"/>
      <w:szCs w:val="23"/>
    </w:rPr>
  </w:style>
  <w:style w:type="paragraph" w:customStyle="1" w:styleId="inputcontentsmall">
    <w:name w:val="inputcontentsmall"/>
    <w:basedOn w:val="Normal"/>
    <w:pPr>
      <w:spacing w:before="100" w:beforeAutospacing="1" w:after="100" w:afterAutospacing="1"/>
    </w:pPr>
    <w:rPr>
      <w:rFonts w:ascii="Verdana" w:hAnsi="Verdana"/>
      <w:sz w:val="16"/>
      <w:szCs w:val="16"/>
    </w:rPr>
  </w:style>
  <w:style w:type="paragraph" w:customStyle="1" w:styleId="inputcontentreadonly">
    <w:name w:val="inputcontentreadonly"/>
    <w:basedOn w:val="Normal"/>
    <w:pPr>
      <w:shd w:val="clear" w:color="auto" w:fill="DDDDDD"/>
      <w:spacing w:before="100" w:beforeAutospacing="1" w:after="100" w:afterAutospacing="1"/>
    </w:pPr>
    <w:rPr>
      <w:rFonts w:ascii="Verdana" w:hAnsi="Verdana"/>
      <w:sz w:val="17"/>
      <w:szCs w:val="17"/>
    </w:rPr>
  </w:style>
  <w:style w:type="paragraph" w:customStyle="1" w:styleId="inputcontentreadonlysmall">
    <w:name w:val="inputcontentreadonlysmall"/>
    <w:basedOn w:val="Normal"/>
    <w:pPr>
      <w:shd w:val="clear" w:color="auto" w:fill="DDDDDD"/>
      <w:spacing w:before="100" w:beforeAutospacing="1" w:after="100" w:afterAutospacing="1"/>
    </w:pPr>
    <w:rPr>
      <w:rFonts w:ascii="Verdana" w:hAnsi="Verdana"/>
      <w:sz w:val="16"/>
      <w:szCs w:val="16"/>
    </w:rPr>
  </w:style>
  <w:style w:type="paragraph" w:customStyle="1" w:styleId="button">
    <w:name w:val="button"/>
    <w:basedOn w:val="Normal"/>
    <w:pPr>
      <w:spacing w:before="100" w:beforeAutospacing="1" w:after="100" w:afterAutospacing="1"/>
    </w:pPr>
    <w:rPr>
      <w:rFonts w:ascii="Arial" w:hAnsi="Arial" w:cs="Arial"/>
      <w:sz w:val="17"/>
      <w:szCs w:val="17"/>
    </w:rPr>
  </w:style>
  <w:style w:type="paragraph" w:customStyle="1" w:styleId="listitemtitle">
    <w:name w:val="listitemtitle"/>
    <w:basedOn w:val="Normal"/>
    <w:pPr>
      <w:spacing w:before="100" w:beforeAutospacing="1" w:after="100" w:afterAutospacing="1"/>
    </w:pPr>
    <w:rPr>
      <w:rFonts w:ascii="Verdana" w:hAnsi="Verdana"/>
      <w:sz w:val="17"/>
      <w:szCs w:val="17"/>
    </w:rPr>
  </w:style>
  <w:style w:type="paragraph" w:customStyle="1" w:styleId="listitemtitlesmall">
    <w:name w:val="listitemtitlesmall"/>
    <w:basedOn w:val="Normal"/>
    <w:pPr>
      <w:spacing w:before="100" w:beforeAutospacing="1" w:after="100" w:afterAutospacing="1"/>
    </w:pPr>
    <w:rPr>
      <w:rFonts w:ascii="Verdana" w:hAnsi="Verdana"/>
      <w:sz w:val="16"/>
      <w:szCs w:val="16"/>
    </w:rPr>
  </w:style>
  <w:style w:type="paragraph" w:customStyle="1" w:styleId="listitemtitlelarge">
    <w:name w:val="listitemtitlelarge"/>
    <w:basedOn w:val="Normal"/>
    <w:pPr>
      <w:spacing w:before="100" w:beforeAutospacing="1" w:after="100" w:afterAutospacing="1"/>
    </w:pPr>
    <w:rPr>
      <w:rFonts w:ascii="Verdana" w:hAnsi="Verdana"/>
      <w:sz w:val="19"/>
      <w:szCs w:val="19"/>
    </w:rPr>
  </w:style>
  <w:style w:type="paragraph" w:customStyle="1" w:styleId="listitemsubtitle">
    <w:name w:val="listitemsubtitle"/>
    <w:basedOn w:val="Normal"/>
    <w:pPr>
      <w:spacing w:before="100" w:beforeAutospacing="1" w:after="100" w:afterAutospacing="1"/>
    </w:pPr>
    <w:rPr>
      <w:rFonts w:ascii="Verdana" w:hAnsi="Verdana"/>
      <w:sz w:val="17"/>
      <w:szCs w:val="17"/>
    </w:rPr>
  </w:style>
  <w:style w:type="paragraph" w:customStyle="1" w:styleId="listitemsubtitlesmall">
    <w:name w:val="listitemsubtitlesmall"/>
    <w:basedOn w:val="Normal"/>
    <w:pPr>
      <w:spacing w:before="100" w:beforeAutospacing="1" w:after="100" w:afterAutospacing="1"/>
    </w:pPr>
    <w:rPr>
      <w:rFonts w:ascii="Verdana" w:hAnsi="Verdana"/>
      <w:sz w:val="16"/>
      <w:szCs w:val="16"/>
    </w:rPr>
  </w:style>
  <w:style w:type="paragraph" w:customStyle="1" w:styleId="listitemsubtitlelarge">
    <w:name w:val="listitemsubtitlelarge"/>
    <w:basedOn w:val="Normal"/>
    <w:pPr>
      <w:spacing w:before="100" w:beforeAutospacing="1" w:after="100" w:afterAutospacing="1"/>
    </w:pPr>
    <w:rPr>
      <w:rFonts w:ascii="Verdana" w:hAnsi="Verdana"/>
      <w:sz w:val="19"/>
      <w:szCs w:val="19"/>
    </w:rPr>
  </w:style>
  <w:style w:type="paragraph" w:customStyle="1" w:styleId="listitem">
    <w:name w:val="listitem"/>
    <w:basedOn w:val="Normal"/>
    <w:pPr>
      <w:spacing w:before="100" w:beforeAutospacing="1" w:after="100" w:afterAutospacing="1"/>
    </w:pPr>
    <w:rPr>
      <w:rFonts w:ascii="Verdana" w:hAnsi="Verdana"/>
      <w:sz w:val="17"/>
      <w:szCs w:val="17"/>
    </w:rPr>
  </w:style>
  <w:style w:type="paragraph" w:customStyle="1" w:styleId="listitemsmall">
    <w:name w:val="listitemsmall"/>
    <w:basedOn w:val="Normal"/>
    <w:pPr>
      <w:spacing w:before="100" w:beforeAutospacing="1" w:after="100" w:afterAutospacing="1"/>
    </w:pPr>
    <w:rPr>
      <w:rFonts w:ascii="Verdana" w:hAnsi="Verdana"/>
      <w:sz w:val="16"/>
      <w:szCs w:val="16"/>
    </w:rPr>
  </w:style>
  <w:style w:type="paragraph" w:customStyle="1" w:styleId="listitemlarge">
    <w:name w:val="listitemlarge"/>
    <w:basedOn w:val="Normal"/>
    <w:pPr>
      <w:spacing w:before="100" w:beforeAutospacing="1" w:after="100" w:afterAutospacing="1"/>
    </w:pPr>
    <w:rPr>
      <w:rFonts w:ascii="Verdana" w:hAnsi="Verdana"/>
      <w:sz w:val="19"/>
      <w:szCs w:val="19"/>
    </w:rPr>
  </w:style>
  <w:style w:type="paragraph" w:customStyle="1" w:styleId="nomarginlist">
    <w:name w:val="nomarginlist"/>
    <w:basedOn w:val="Normal"/>
    <w:rPr>
      <w:sz w:val="24"/>
    </w:rPr>
  </w:style>
  <w:style w:type="paragraph" w:customStyle="1" w:styleId="nostylelistitem">
    <w:name w:val="nostylelistitem"/>
    <w:basedOn w:val="Normal"/>
    <w:pPr>
      <w:spacing w:before="100" w:beforeAutospacing="1" w:after="100" w:afterAutospacing="1"/>
      <w:ind w:left="225"/>
    </w:pPr>
    <w:rPr>
      <w:sz w:val="24"/>
    </w:rPr>
  </w:style>
  <w:style w:type="paragraph" w:customStyle="1" w:styleId="columnheading">
    <w:name w:val="columnheading"/>
    <w:basedOn w:val="Normal"/>
    <w:pPr>
      <w:spacing w:before="100" w:beforeAutospacing="1" w:after="100" w:afterAutospacing="1"/>
    </w:pPr>
    <w:rPr>
      <w:rFonts w:ascii="Verdana" w:hAnsi="Verdana"/>
      <w:b/>
      <w:bCs w:val="0"/>
      <w:sz w:val="17"/>
      <w:szCs w:val="17"/>
    </w:rPr>
  </w:style>
  <w:style w:type="paragraph" w:customStyle="1" w:styleId="columnitem">
    <w:name w:val="columnitem"/>
    <w:basedOn w:val="Normal"/>
    <w:pPr>
      <w:spacing w:before="100" w:beforeAutospacing="1" w:after="100" w:afterAutospacing="1"/>
    </w:pPr>
    <w:rPr>
      <w:rFonts w:ascii="Verdana" w:hAnsi="Verdana"/>
      <w:sz w:val="17"/>
      <w:szCs w:val="17"/>
    </w:rPr>
  </w:style>
  <w:style w:type="paragraph" w:customStyle="1" w:styleId="columnitembackgroundcolor">
    <w:name w:val="columnitembackgroundcolor"/>
    <w:basedOn w:val="Normal"/>
    <w:pPr>
      <w:shd w:val="clear" w:color="auto" w:fill="FFFFFF"/>
      <w:spacing w:before="100" w:beforeAutospacing="1" w:after="100" w:afterAutospacing="1"/>
    </w:pPr>
    <w:rPr>
      <w:sz w:val="24"/>
    </w:rPr>
  </w:style>
  <w:style w:type="paragraph" w:customStyle="1" w:styleId="columnheadingbackgroundcolor">
    <w:name w:val="columnheadingbackgroundcolor"/>
    <w:basedOn w:val="Normal"/>
    <w:pPr>
      <w:shd w:val="clear" w:color="auto" w:fill="CCCCCC"/>
      <w:spacing w:before="100" w:beforeAutospacing="1" w:after="100" w:afterAutospacing="1"/>
    </w:pPr>
    <w:rPr>
      <w:sz w:val="24"/>
    </w:rPr>
  </w:style>
  <w:style w:type="paragraph" w:customStyle="1" w:styleId="alternatingbackgroundcolor">
    <w:name w:val="alternatingbackgroundcolor"/>
    <w:basedOn w:val="Normal"/>
    <w:pPr>
      <w:shd w:val="clear" w:color="auto" w:fill="EEEEEE"/>
      <w:spacing w:before="100" w:beforeAutospacing="1" w:after="100" w:afterAutospacing="1"/>
    </w:pPr>
    <w:rPr>
      <w:sz w:val="24"/>
    </w:rPr>
  </w:style>
  <w:style w:type="paragraph" w:customStyle="1" w:styleId="treeitem">
    <w:name w:val="treeitem"/>
    <w:basedOn w:val="Normal"/>
    <w:pPr>
      <w:spacing w:before="100" w:beforeAutospacing="1" w:after="100" w:afterAutospacing="1"/>
      <w:textAlignment w:val="center"/>
    </w:pPr>
    <w:rPr>
      <w:rFonts w:ascii="Verdana" w:hAnsi="Verdana"/>
      <w:sz w:val="16"/>
      <w:szCs w:val="16"/>
    </w:rPr>
  </w:style>
  <w:style w:type="paragraph" w:customStyle="1" w:styleId="treeitemselected">
    <w:name w:val="treeitemselected"/>
    <w:basedOn w:val="Normal"/>
    <w:pPr>
      <w:spacing w:before="100" w:beforeAutospacing="1" w:after="100" w:afterAutospacing="1"/>
      <w:textAlignment w:val="center"/>
    </w:pPr>
    <w:rPr>
      <w:rFonts w:ascii="Verdana" w:hAnsi="Verdana"/>
      <w:b/>
      <w:bCs w:val="0"/>
      <w:sz w:val="16"/>
      <w:szCs w:val="16"/>
    </w:rPr>
  </w:style>
  <w:style w:type="paragraph" w:customStyle="1" w:styleId="groupedtreeitem">
    <w:name w:val="groupedtreeitem"/>
    <w:basedOn w:val="Normal"/>
    <w:pPr>
      <w:spacing w:before="100" w:beforeAutospacing="1" w:after="100" w:afterAutospacing="1"/>
      <w:ind w:right="75"/>
      <w:textAlignment w:val="center"/>
    </w:pPr>
    <w:rPr>
      <w:sz w:val="24"/>
    </w:rPr>
  </w:style>
  <w:style w:type="paragraph" w:customStyle="1" w:styleId="firstgroupedtreeitem">
    <w:name w:val="firstgroupedtreeitem"/>
    <w:basedOn w:val="Normal"/>
    <w:pPr>
      <w:spacing w:before="100" w:beforeAutospacing="1" w:after="100" w:afterAutospacing="1"/>
      <w:ind w:right="75"/>
      <w:textAlignment w:val="center"/>
    </w:pPr>
    <w:rPr>
      <w:sz w:val="24"/>
    </w:rPr>
  </w:style>
  <w:style w:type="paragraph" w:customStyle="1" w:styleId="lastgroupedtreeitem">
    <w:name w:val="lastgroupedtreeitem"/>
    <w:basedOn w:val="Normal"/>
    <w:pPr>
      <w:spacing w:before="100" w:beforeAutospacing="1" w:after="100" w:afterAutospacing="1"/>
      <w:ind w:right="75"/>
      <w:textAlignment w:val="center"/>
    </w:pPr>
    <w:rPr>
      <w:sz w:val="24"/>
    </w:rPr>
  </w:style>
  <w:style w:type="paragraph" w:customStyle="1" w:styleId="treegroupingcontainer">
    <w:name w:val="treegroupingcontainer"/>
    <w:basedOn w:val="Normal"/>
    <w:pPr>
      <w:spacing w:before="100" w:beforeAutospacing="1" w:after="100" w:afterAutospacing="1"/>
    </w:pPr>
    <w:rPr>
      <w:sz w:val="24"/>
    </w:rPr>
  </w:style>
  <w:style w:type="paragraph" w:customStyle="1" w:styleId="treegroupspacingcontainer">
    <w:name w:val="treegroupspacingcontainer"/>
    <w:basedOn w:val="Normal"/>
    <w:pPr>
      <w:spacing w:before="100" w:beforeAutospacing="1" w:after="100" w:afterAutospacing="1"/>
    </w:pPr>
    <w:rPr>
      <w:sz w:val="24"/>
    </w:rPr>
  </w:style>
  <w:style w:type="paragraph" w:customStyle="1" w:styleId="treegroupitemscontainer">
    <w:name w:val="treegroupitemscontainer"/>
    <w:basedOn w:val="Normal"/>
    <w:pPr>
      <w:pBdr>
        <w:top w:val="single" w:sz="6" w:space="0" w:color="C3C3BB"/>
        <w:left w:val="single" w:sz="6" w:space="4" w:color="C3C3BB"/>
        <w:bottom w:val="single" w:sz="6" w:space="0" w:color="C3C3BB"/>
        <w:right w:val="single" w:sz="6" w:space="0" w:color="C3C3BB"/>
      </w:pBdr>
      <w:spacing w:before="100" w:beforeAutospacing="1" w:after="100" w:afterAutospacing="1"/>
    </w:pPr>
    <w:rPr>
      <w:sz w:val="24"/>
    </w:rPr>
  </w:style>
  <w:style w:type="paragraph" w:customStyle="1" w:styleId="breadcrumbitem">
    <w:name w:val="breadcrumbitem"/>
    <w:basedOn w:val="Normal"/>
    <w:pPr>
      <w:spacing w:before="100" w:beforeAutospacing="1" w:after="100" w:afterAutospacing="1"/>
    </w:pPr>
    <w:rPr>
      <w:rFonts w:ascii="Verdana" w:hAnsi="Verdana"/>
      <w:sz w:val="17"/>
      <w:szCs w:val="17"/>
    </w:rPr>
  </w:style>
  <w:style w:type="paragraph" w:customStyle="1" w:styleId="breadcrumbitemselected">
    <w:name w:val="breadcrumbitemselected"/>
    <w:basedOn w:val="Normal"/>
    <w:pPr>
      <w:spacing w:before="100" w:beforeAutospacing="1" w:after="100" w:afterAutospacing="1"/>
    </w:pPr>
    <w:rPr>
      <w:rFonts w:ascii="Verdana" w:hAnsi="Verdana"/>
      <w:b/>
      <w:bCs w:val="0"/>
      <w:sz w:val="17"/>
      <w:szCs w:val="17"/>
    </w:rPr>
  </w:style>
  <w:style w:type="paragraph" w:customStyle="1" w:styleId="breadcrumbitemwhite">
    <w:name w:val="breadcrumbitemwhite"/>
    <w:basedOn w:val="Normal"/>
    <w:pPr>
      <w:spacing w:before="100" w:beforeAutospacing="1" w:after="100" w:afterAutospacing="1"/>
    </w:pPr>
    <w:rPr>
      <w:rFonts w:ascii="Verdana" w:hAnsi="Verdana"/>
      <w:color w:val="FFFFFF"/>
      <w:sz w:val="17"/>
      <w:szCs w:val="17"/>
    </w:rPr>
  </w:style>
  <w:style w:type="paragraph" w:customStyle="1" w:styleId="breadcrumbitemwhitebold">
    <w:name w:val="breadcrumbitemwhitebold"/>
    <w:basedOn w:val="Normal"/>
    <w:pPr>
      <w:spacing w:before="100" w:beforeAutospacing="1" w:after="100" w:afterAutospacing="1"/>
    </w:pPr>
    <w:rPr>
      <w:rFonts w:ascii="Verdana" w:hAnsi="Verdana"/>
      <w:b/>
      <w:bCs w:val="0"/>
      <w:color w:val="FFFFFF"/>
      <w:sz w:val="17"/>
      <w:szCs w:val="17"/>
    </w:rPr>
  </w:style>
  <w:style w:type="paragraph" w:customStyle="1" w:styleId="navbarlink">
    <w:name w:val="navbarlink"/>
    <w:basedOn w:val="Normal"/>
    <w:pPr>
      <w:spacing w:before="100" w:beforeAutospacing="1" w:after="100" w:afterAutospacing="1"/>
    </w:pPr>
    <w:rPr>
      <w:rFonts w:ascii="Arial" w:hAnsi="Arial" w:cs="Arial"/>
      <w:color w:val="FFFFFF"/>
      <w:sz w:val="16"/>
      <w:szCs w:val="16"/>
    </w:rPr>
  </w:style>
  <w:style w:type="paragraph" w:customStyle="1" w:styleId="navbarlinksmall">
    <w:name w:val="navbarlinksmall"/>
    <w:basedOn w:val="Normal"/>
    <w:pPr>
      <w:spacing w:before="100" w:beforeAutospacing="1" w:after="100" w:afterAutospacing="1"/>
    </w:pPr>
    <w:rPr>
      <w:rFonts w:ascii="Arial" w:hAnsi="Arial" w:cs="Arial"/>
      <w:color w:val="FFFFFF"/>
      <w:sz w:val="14"/>
      <w:szCs w:val="14"/>
    </w:rPr>
  </w:style>
  <w:style w:type="paragraph" w:customStyle="1" w:styleId="copyright">
    <w:name w:val="copyright"/>
    <w:basedOn w:val="Normal"/>
    <w:pPr>
      <w:spacing w:before="100" w:beforeAutospacing="1" w:after="100" w:afterAutospacing="1"/>
    </w:pPr>
    <w:rPr>
      <w:rFonts w:ascii="Verdana" w:hAnsi="Verdana"/>
      <w:sz w:val="17"/>
      <w:szCs w:val="17"/>
    </w:rPr>
  </w:style>
  <w:style w:type="paragraph" w:customStyle="1" w:styleId="copyrightsmall">
    <w:name w:val="copyrightsmall"/>
    <w:basedOn w:val="Normal"/>
    <w:pPr>
      <w:spacing w:before="100" w:beforeAutospacing="1" w:after="100" w:afterAutospacing="1"/>
    </w:pPr>
    <w:rPr>
      <w:rFonts w:ascii="Verdana" w:hAnsi="Verdana"/>
      <w:sz w:val="14"/>
      <w:szCs w:val="14"/>
    </w:rPr>
  </w:style>
  <w:style w:type="paragraph" w:customStyle="1" w:styleId="note">
    <w:name w:val="note"/>
    <w:basedOn w:val="Normal"/>
    <w:pPr>
      <w:spacing w:before="100" w:beforeAutospacing="1" w:after="100" w:afterAutospacing="1"/>
    </w:pPr>
    <w:rPr>
      <w:rFonts w:ascii="Verdana" w:hAnsi="Verdana"/>
      <w:sz w:val="16"/>
      <w:szCs w:val="16"/>
    </w:rPr>
  </w:style>
  <w:style w:type="paragraph" w:customStyle="1" w:styleId="notebackgroundcolor">
    <w:name w:val="notebackgroundcolor"/>
    <w:basedOn w:val="Normal"/>
    <w:pPr>
      <w:shd w:val="clear" w:color="auto" w:fill="DDDDDD"/>
      <w:spacing w:before="100" w:beforeAutospacing="1" w:after="100" w:afterAutospacing="1"/>
    </w:pPr>
    <w:rPr>
      <w:sz w:val="24"/>
    </w:rPr>
  </w:style>
  <w:style w:type="paragraph" w:customStyle="1" w:styleId="notehighlightedbackgroundcolor">
    <w:name w:val="notehighlightedbackgroundcolor"/>
    <w:basedOn w:val="Normal"/>
    <w:pPr>
      <w:shd w:val="clear" w:color="auto" w:fill="FFFFCE"/>
      <w:spacing w:before="100" w:beforeAutospacing="1" w:after="100" w:afterAutospacing="1"/>
    </w:pPr>
    <w:rPr>
      <w:sz w:val="24"/>
    </w:rPr>
  </w:style>
  <w:style w:type="paragraph" w:customStyle="1" w:styleId="notegraphical">
    <w:name w:val="notegraphical"/>
    <w:basedOn w:val="Normal"/>
    <w:pPr>
      <w:spacing w:before="100" w:beforeAutospacing="1" w:after="100" w:afterAutospacing="1"/>
    </w:pPr>
    <w:rPr>
      <w:rFonts w:ascii="Verdana" w:hAnsi="Verdana"/>
      <w:i/>
      <w:iCs/>
      <w:color w:val="808080"/>
      <w:sz w:val="16"/>
      <w:szCs w:val="16"/>
    </w:rPr>
  </w:style>
  <w:style w:type="paragraph" w:customStyle="1" w:styleId="tablecelldividerlight">
    <w:name w:val="tablecelldividerlight"/>
    <w:basedOn w:val="Normal"/>
    <w:pPr>
      <w:pBdr>
        <w:right w:val="single" w:sz="6" w:space="0" w:color="FFFFFF"/>
      </w:pBdr>
      <w:spacing w:before="100" w:beforeAutospacing="1" w:after="100" w:afterAutospacing="1"/>
    </w:pPr>
    <w:rPr>
      <w:sz w:val="24"/>
    </w:rPr>
  </w:style>
  <w:style w:type="paragraph" w:customStyle="1" w:styleId="opinionshading">
    <w:name w:val="opinionshading"/>
    <w:basedOn w:val="Normal"/>
    <w:pPr>
      <w:shd w:val="clear" w:color="auto" w:fill="EFEFEF"/>
      <w:spacing w:before="100" w:beforeAutospacing="1" w:after="100" w:afterAutospacing="1"/>
    </w:pPr>
    <w:rPr>
      <w:sz w:val="24"/>
    </w:rPr>
  </w:style>
  <w:style w:type="paragraph" w:customStyle="1" w:styleId="keysearchquerybox">
    <w:name w:val="keysearchquerybox"/>
    <w:basedOn w:val="Normal"/>
    <w:pPr>
      <w:pBdr>
        <w:top w:val="single" w:sz="6" w:space="0" w:color="666666"/>
        <w:left w:val="single" w:sz="6" w:space="0" w:color="666666"/>
        <w:bottom w:val="single" w:sz="6" w:space="0" w:color="666666"/>
        <w:right w:val="single" w:sz="6" w:space="0" w:color="666666"/>
      </w:pBdr>
      <w:shd w:val="clear" w:color="auto" w:fill="E0E0E0"/>
      <w:spacing w:before="100" w:beforeAutospacing="1" w:after="100" w:afterAutospacing="1"/>
    </w:pPr>
    <w:rPr>
      <w:sz w:val="24"/>
    </w:rPr>
  </w:style>
  <w:style w:type="paragraph" w:customStyle="1" w:styleId="errortitle">
    <w:name w:val="errortitle"/>
    <w:basedOn w:val="Normal"/>
    <w:pPr>
      <w:spacing w:before="100" w:beforeAutospacing="1" w:after="100" w:afterAutospacing="1"/>
    </w:pPr>
    <w:rPr>
      <w:rFonts w:ascii="Verdana" w:hAnsi="Verdana"/>
      <w:sz w:val="34"/>
      <w:szCs w:val="34"/>
    </w:rPr>
  </w:style>
  <w:style w:type="paragraph" w:customStyle="1" w:styleId="errorbody">
    <w:name w:val="errorbody"/>
    <w:basedOn w:val="Normal"/>
    <w:pPr>
      <w:spacing w:before="100" w:beforeAutospacing="1" w:after="100" w:afterAutospacing="1"/>
    </w:pPr>
    <w:rPr>
      <w:rFonts w:ascii="Verdana" w:hAnsi="Verdana"/>
      <w:sz w:val="17"/>
      <w:szCs w:val="17"/>
    </w:rPr>
  </w:style>
  <w:style w:type="paragraph" w:customStyle="1" w:styleId="resulttabtitle">
    <w:name w:val="resulttabtitle"/>
    <w:basedOn w:val="Normal"/>
    <w:pPr>
      <w:spacing w:before="100" w:beforeAutospacing="1" w:after="100" w:afterAutospacing="1"/>
    </w:pPr>
    <w:rPr>
      <w:rFonts w:ascii="Verdana" w:hAnsi="Verdana"/>
      <w:b/>
      <w:bCs w:val="0"/>
      <w:sz w:val="16"/>
      <w:szCs w:val="16"/>
    </w:rPr>
  </w:style>
  <w:style w:type="paragraph" w:customStyle="1" w:styleId="resulttabsubtitle">
    <w:name w:val="resulttabsubtitle"/>
    <w:basedOn w:val="Normal"/>
    <w:pPr>
      <w:spacing w:before="100" w:beforeAutospacing="1" w:after="100" w:afterAutospacing="1"/>
    </w:pPr>
    <w:rPr>
      <w:rFonts w:ascii="Verdana" w:hAnsi="Verdana"/>
      <w:sz w:val="16"/>
      <w:szCs w:val="16"/>
    </w:rPr>
  </w:style>
  <w:style w:type="paragraph" w:customStyle="1" w:styleId="printheaderlightbluebackground">
    <w:name w:val="printheaderlightbluebackground"/>
    <w:basedOn w:val="Normal"/>
    <w:pPr>
      <w:shd w:val="clear" w:color="auto" w:fill="9999CC"/>
      <w:spacing w:before="100" w:beforeAutospacing="1" w:after="100" w:afterAutospacing="1"/>
    </w:pPr>
    <w:rPr>
      <w:sz w:val="24"/>
    </w:rPr>
  </w:style>
  <w:style w:type="paragraph" w:customStyle="1" w:styleId="printheadertext">
    <w:name w:val="printheadertext"/>
    <w:basedOn w:val="Normal"/>
    <w:pPr>
      <w:spacing w:before="100" w:beforeAutospacing="1" w:after="100" w:afterAutospacing="1"/>
    </w:pPr>
    <w:rPr>
      <w:rFonts w:ascii="Verdana" w:hAnsi="Verdana"/>
      <w:b/>
      <w:bCs w:val="0"/>
      <w:color w:val="FFFFFF"/>
      <w:sz w:val="19"/>
      <w:szCs w:val="19"/>
    </w:rPr>
  </w:style>
  <w:style w:type="paragraph" w:customStyle="1" w:styleId="printheader">
    <w:name w:val="printheader"/>
    <w:basedOn w:val="Normal"/>
    <w:pPr>
      <w:shd w:val="clear" w:color="auto" w:fill="597BBD"/>
    </w:pPr>
    <w:rPr>
      <w:color w:val="FFFFFF"/>
      <w:sz w:val="24"/>
    </w:rPr>
  </w:style>
  <w:style w:type="paragraph" w:customStyle="1" w:styleId="printbody">
    <w:name w:val="printbody"/>
    <w:basedOn w:val="Normal"/>
    <w:pPr>
      <w:shd w:val="clear" w:color="auto" w:fill="EFF2F9"/>
    </w:pPr>
    <w:rPr>
      <w:color w:val="000000"/>
      <w:sz w:val="24"/>
    </w:rPr>
  </w:style>
  <w:style w:type="paragraph" w:customStyle="1" w:styleId="printsettingsbody">
    <w:name w:val="printsettingsbody"/>
    <w:basedOn w:val="Normal"/>
    <w:rPr>
      <w:sz w:val="24"/>
    </w:rPr>
  </w:style>
  <w:style w:type="paragraph" w:customStyle="1" w:styleId="printwhitebackground">
    <w:name w:val="printwhitebackground"/>
    <w:basedOn w:val="Normal"/>
    <w:pPr>
      <w:pBdr>
        <w:top w:val="single" w:sz="6" w:space="0" w:color="597BBD"/>
      </w:pBdr>
      <w:shd w:val="clear" w:color="auto" w:fill="FFFFFF"/>
      <w:spacing w:before="48" w:after="100" w:afterAutospacing="1"/>
    </w:pPr>
    <w:rPr>
      <w:sz w:val="24"/>
    </w:rPr>
  </w:style>
  <w:style w:type="paragraph" w:customStyle="1" w:styleId="printgroupheading">
    <w:name w:val="printgroupheading"/>
    <w:basedOn w:val="Normal"/>
    <w:pPr>
      <w:pBdr>
        <w:bottom w:val="single" w:sz="6" w:space="2" w:color="597BBD"/>
      </w:pBdr>
      <w:spacing w:after="144"/>
      <w:ind w:right="960"/>
    </w:pPr>
    <w:rPr>
      <w:b/>
      <w:bCs w:val="0"/>
      <w:sz w:val="24"/>
    </w:rPr>
  </w:style>
  <w:style w:type="paragraph" w:customStyle="1" w:styleId="printgroupitem">
    <w:name w:val="printgroupitem"/>
    <w:basedOn w:val="Normal"/>
    <w:pPr>
      <w:spacing w:before="48" w:after="100" w:afterAutospacing="1"/>
    </w:pPr>
    <w:rPr>
      <w:sz w:val="24"/>
    </w:rPr>
  </w:style>
  <w:style w:type="paragraph" w:customStyle="1" w:styleId="printmarginleft">
    <w:name w:val="printmarginleft"/>
    <w:basedOn w:val="Normal"/>
    <w:pPr>
      <w:spacing w:before="100" w:beforeAutospacing="1" w:after="100" w:afterAutospacing="1"/>
      <w:ind w:left="384"/>
    </w:pPr>
    <w:rPr>
      <w:sz w:val="24"/>
    </w:rPr>
  </w:style>
  <w:style w:type="paragraph" w:customStyle="1" w:styleId="layoutprintleftsidegroup">
    <w:name w:val="layout_printleftsidegroup"/>
    <w:basedOn w:val="Normal"/>
    <w:pPr>
      <w:spacing w:before="100" w:beforeAutospacing="1" w:after="100" w:afterAutospacing="1"/>
    </w:pPr>
    <w:rPr>
      <w:sz w:val="24"/>
    </w:rPr>
  </w:style>
  <w:style w:type="paragraph" w:customStyle="1" w:styleId="layoutprintrightsidegroup">
    <w:name w:val="layout_printrightsidegroup"/>
    <w:basedOn w:val="Normal"/>
    <w:pPr>
      <w:spacing w:before="100" w:beforeAutospacing="1" w:after="100" w:afterAutospacing="1"/>
    </w:pPr>
    <w:rPr>
      <w:sz w:val="24"/>
    </w:rPr>
  </w:style>
  <w:style w:type="paragraph" w:customStyle="1" w:styleId="filterqueryeditor">
    <w:name w:val="filterqueryeditor"/>
    <w:basedOn w:val="Normal"/>
    <w:pPr>
      <w:pBdr>
        <w:left w:val="single" w:sz="6" w:space="8" w:color="9A9A9A"/>
        <w:bottom w:val="single" w:sz="6" w:space="8" w:color="9A9A9A"/>
        <w:right w:val="single" w:sz="6" w:space="8" w:color="9A9A9A"/>
      </w:pBdr>
      <w:shd w:val="clear" w:color="auto" w:fill="F0F0F0"/>
      <w:spacing w:before="100" w:beforeAutospacing="1" w:after="100" w:afterAutospacing="1"/>
    </w:pPr>
    <w:rPr>
      <w:sz w:val="24"/>
    </w:rPr>
  </w:style>
  <w:style w:type="paragraph" w:customStyle="1" w:styleId="filterwhatsthis">
    <w:name w:val="filterwhatsthis"/>
    <w:basedOn w:val="Normal"/>
    <w:pPr>
      <w:pBdr>
        <w:top w:val="single" w:sz="6" w:space="8" w:color="B8860B"/>
        <w:left w:val="single" w:sz="6" w:space="8" w:color="B8860B"/>
        <w:bottom w:val="single" w:sz="6" w:space="8" w:color="B8860B"/>
        <w:right w:val="single" w:sz="6" w:space="8" w:color="B8860B"/>
      </w:pBdr>
      <w:spacing w:before="100" w:beforeAutospacing="1" w:after="100" w:afterAutospacing="1"/>
    </w:pPr>
    <w:rPr>
      <w:sz w:val="24"/>
    </w:rPr>
  </w:style>
  <w:style w:type="paragraph" w:customStyle="1" w:styleId="filterterms">
    <w:name w:val="filterterms"/>
    <w:basedOn w:val="Normal"/>
    <w:pPr>
      <w:pBdr>
        <w:top w:val="single" w:sz="6" w:space="8" w:color="4169E1"/>
        <w:left w:val="single" w:sz="6" w:space="8" w:color="4169E1"/>
        <w:bottom w:val="single" w:sz="6" w:space="8" w:color="4169E1"/>
        <w:right w:val="single" w:sz="6" w:space="8" w:color="4169E1"/>
      </w:pBdr>
      <w:spacing w:before="100" w:beforeAutospacing="1" w:after="100" w:afterAutospacing="1"/>
    </w:pPr>
    <w:rPr>
      <w:sz w:val="24"/>
    </w:rPr>
  </w:style>
  <w:style w:type="paragraph" w:customStyle="1" w:styleId="searchcenterbackgrounddark">
    <w:name w:val="searchcenterbackgrounddark"/>
    <w:basedOn w:val="Normal"/>
    <w:pPr>
      <w:pBdr>
        <w:top w:val="single" w:sz="12" w:space="0" w:color="D1D1E5"/>
        <w:left w:val="single" w:sz="12" w:space="0" w:color="D1D1E5"/>
        <w:bottom w:val="single" w:sz="12" w:space="0" w:color="D1D1E5"/>
        <w:right w:val="single" w:sz="12" w:space="0" w:color="D1D1E5"/>
      </w:pBdr>
      <w:shd w:val="clear" w:color="auto" w:fill="D1D1E5"/>
      <w:spacing w:before="100" w:beforeAutospacing="1" w:after="100" w:afterAutospacing="1"/>
    </w:pPr>
    <w:rPr>
      <w:sz w:val="24"/>
    </w:rPr>
  </w:style>
  <w:style w:type="paragraph" w:customStyle="1" w:styleId="easysearchcenterbackgrounddark">
    <w:name w:val="easysearchcenterbackgrounddark"/>
    <w:basedOn w:val="Normal"/>
    <w:pPr>
      <w:shd w:val="clear" w:color="auto" w:fill="91ABD4"/>
      <w:spacing w:before="100" w:beforeAutospacing="1" w:after="100" w:afterAutospacing="1"/>
    </w:pPr>
    <w:rPr>
      <w:sz w:val="24"/>
    </w:rPr>
  </w:style>
  <w:style w:type="paragraph" w:customStyle="1" w:styleId="searchcenterborderbottom">
    <w:name w:val="searchcenterborderbottom"/>
    <w:basedOn w:val="Normal"/>
    <w:pPr>
      <w:pBdr>
        <w:bottom w:val="single" w:sz="6" w:space="0" w:color="9A9A9A"/>
      </w:pBdr>
      <w:spacing w:before="100" w:beforeAutospacing="1" w:after="100" w:afterAutospacing="1"/>
    </w:pPr>
    <w:rPr>
      <w:sz w:val="24"/>
    </w:rPr>
  </w:style>
  <w:style w:type="paragraph" w:customStyle="1" w:styleId="searchcenterbackgroundmedium">
    <w:name w:val="searchcenterbackgroundmedium"/>
    <w:basedOn w:val="Normal"/>
    <w:pPr>
      <w:shd w:val="clear" w:color="auto" w:fill="E2E2E2"/>
      <w:spacing w:before="100" w:beforeAutospacing="1" w:after="100" w:afterAutospacing="1"/>
    </w:pPr>
    <w:rPr>
      <w:sz w:val="24"/>
    </w:rPr>
  </w:style>
  <w:style w:type="paragraph" w:customStyle="1" w:styleId="searchcenterbackgroundlight">
    <w:name w:val="searchcenterbackgroundlight"/>
    <w:basedOn w:val="Normal"/>
    <w:pPr>
      <w:shd w:val="clear" w:color="auto" w:fill="E5E5E5"/>
      <w:spacing w:before="100" w:beforeAutospacing="1" w:after="100" w:afterAutospacing="1"/>
    </w:pPr>
    <w:rPr>
      <w:sz w:val="24"/>
    </w:rPr>
  </w:style>
  <w:style w:type="paragraph" w:customStyle="1" w:styleId="searchcenterbackgroundlightwithborderandtext">
    <w:name w:val="searchcenterbackgroundlightwithborderandtext"/>
    <w:basedOn w:val="Normal"/>
    <w:pPr>
      <w:pBdr>
        <w:top w:val="single" w:sz="6" w:space="0" w:color="CECECE"/>
      </w:pBdr>
      <w:spacing w:before="100" w:beforeAutospacing="1" w:after="100" w:afterAutospacing="1"/>
    </w:pPr>
    <w:rPr>
      <w:rFonts w:ascii="Verdana" w:hAnsi="Verdana"/>
      <w:sz w:val="17"/>
      <w:szCs w:val="17"/>
    </w:rPr>
  </w:style>
  <w:style w:type="paragraph" w:customStyle="1" w:styleId="searchcenterbackgroundlightwithborder">
    <w:name w:val="searchcenterbackgroundlightwithborder"/>
    <w:basedOn w:val="Normal"/>
    <w:pPr>
      <w:pBdr>
        <w:top w:val="single" w:sz="6" w:space="0" w:color="CECECE"/>
      </w:pBdr>
      <w:spacing w:before="100" w:beforeAutospacing="1" w:after="100" w:afterAutospacing="1"/>
    </w:pPr>
    <w:rPr>
      <w:sz w:val="24"/>
    </w:rPr>
  </w:style>
  <w:style w:type="paragraph" w:customStyle="1" w:styleId="searchcentertablelayout">
    <w:name w:val="searchcentertablelayout"/>
    <w:basedOn w:val="Normal"/>
    <w:pPr>
      <w:pBdr>
        <w:bottom w:val="single" w:sz="6" w:space="0" w:color="9A9A9A"/>
      </w:pBdr>
      <w:spacing w:before="100" w:beforeAutospacing="1" w:after="100" w:afterAutospacing="1"/>
    </w:pPr>
    <w:rPr>
      <w:sz w:val="24"/>
    </w:rPr>
  </w:style>
  <w:style w:type="paragraph" w:customStyle="1" w:styleId="easysearchheaderlinks">
    <w:name w:val="easysearchheaderlinks"/>
    <w:basedOn w:val="Normal"/>
    <w:pPr>
      <w:spacing w:before="100" w:beforeAutospacing="1" w:after="100" w:afterAutospacing="1"/>
    </w:pPr>
    <w:rPr>
      <w:rFonts w:ascii="Verdana" w:hAnsi="Verdana"/>
      <w:color w:val="002B7D"/>
      <w:sz w:val="17"/>
      <w:szCs w:val="17"/>
    </w:rPr>
  </w:style>
  <w:style w:type="paragraph" w:customStyle="1" w:styleId="minorheaderbox">
    <w:name w:val="minorheaderbox"/>
    <w:basedOn w:val="Normal"/>
    <w:pPr>
      <w:pBdr>
        <w:top w:val="single" w:sz="6" w:space="0" w:color="9A9A9A"/>
      </w:pBdr>
      <w:spacing w:before="100" w:beforeAutospacing="1" w:after="100" w:afterAutospacing="1"/>
    </w:pPr>
    <w:rPr>
      <w:sz w:val="24"/>
    </w:rPr>
  </w:style>
  <w:style w:type="paragraph" w:customStyle="1" w:styleId="majorheaderbox">
    <w:name w:val="majorheaderbox"/>
    <w:basedOn w:val="Normal"/>
    <w:pPr>
      <w:pBdr>
        <w:top w:val="single" w:sz="6" w:space="0" w:color="899CC0"/>
        <w:bottom w:val="single" w:sz="6" w:space="0" w:color="899CC0"/>
      </w:pBdr>
      <w:spacing w:before="100" w:beforeAutospacing="1" w:after="100" w:afterAutospacing="1"/>
    </w:pPr>
    <w:rPr>
      <w:sz w:val="24"/>
    </w:rPr>
  </w:style>
  <w:style w:type="paragraph" w:customStyle="1" w:styleId="majorheaderboxbottom">
    <w:name w:val="majorheaderboxbottom"/>
    <w:basedOn w:val="Normal"/>
    <w:pPr>
      <w:pBdr>
        <w:bottom w:val="single" w:sz="6" w:space="0" w:color="899CC0"/>
      </w:pBdr>
      <w:spacing w:before="100" w:beforeAutospacing="1" w:after="100" w:afterAutospacing="1"/>
    </w:pPr>
    <w:rPr>
      <w:sz w:val="24"/>
    </w:rPr>
  </w:style>
  <w:style w:type="paragraph" w:customStyle="1" w:styleId="majorheaderboxtitlebar">
    <w:name w:val="majorheaderboxtitlebar"/>
    <w:basedOn w:val="Normal"/>
    <w:pPr>
      <w:shd w:val="clear" w:color="auto" w:fill="C6D8EF"/>
      <w:spacing w:before="100" w:beforeAutospacing="1" w:after="100" w:afterAutospacing="1"/>
    </w:pPr>
    <w:rPr>
      <w:sz w:val="24"/>
    </w:rPr>
  </w:style>
  <w:style w:type="paragraph" w:customStyle="1" w:styleId="minorheaderboxtitlebar">
    <w:name w:val="minorheaderboxtitlebar"/>
    <w:basedOn w:val="Normal"/>
    <w:pPr>
      <w:shd w:val="clear" w:color="auto" w:fill="E2E2E2"/>
      <w:spacing w:before="100" w:beforeAutospacing="1" w:after="100" w:afterAutospacing="1"/>
    </w:pPr>
    <w:rPr>
      <w:color w:val="111111"/>
      <w:sz w:val="24"/>
    </w:rPr>
  </w:style>
  <w:style w:type="paragraph" w:customStyle="1" w:styleId="itemheaderboxtitlebar">
    <w:name w:val="itemheaderboxtitlebar"/>
    <w:basedOn w:val="Normal"/>
    <w:pPr>
      <w:shd w:val="clear" w:color="auto" w:fill="FFFFFF"/>
      <w:spacing w:before="100" w:beforeAutospacing="1" w:after="100" w:afterAutospacing="1"/>
    </w:pPr>
    <w:rPr>
      <w:color w:val="111111"/>
      <w:sz w:val="24"/>
    </w:rPr>
  </w:style>
  <w:style w:type="paragraph" w:customStyle="1" w:styleId="majorheaderboxcontent">
    <w:name w:val="majorheaderboxcontent"/>
    <w:basedOn w:val="Normal"/>
    <w:pPr>
      <w:shd w:val="clear" w:color="auto" w:fill="F2F5F7"/>
      <w:spacing w:before="100" w:beforeAutospacing="1" w:after="100" w:afterAutospacing="1"/>
    </w:pPr>
    <w:rPr>
      <w:sz w:val="24"/>
    </w:rPr>
  </w:style>
  <w:style w:type="paragraph" w:customStyle="1" w:styleId="minorheaderboxcontent">
    <w:name w:val="minorheaderboxcontent"/>
    <w:basedOn w:val="Normal"/>
    <w:pPr>
      <w:shd w:val="clear" w:color="auto" w:fill="FFFFFF"/>
      <w:spacing w:before="100" w:beforeAutospacing="1" w:after="100" w:afterAutospacing="1"/>
    </w:pPr>
    <w:rPr>
      <w:sz w:val="24"/>
    </w:rPr>
  </w:style>
  <w:style w:type="paragraph" w:customStyle="1" w:styleId="layoutheaderboxtitle">
    <w:name w:val="layout_headerboxtitle"/>
    <w:basedOn w:val="Normal"/>
    <w:pPr>
      <w:spacing w:before="100" w:beforeAutospacing="1" w:after="100" w:afterAutospacing="1"/>
    </w:pPr>
    <w:rPr>
      <w:sz w:val="24"/>
    </w:rPr>
  </w:style>
  <w:style w:type="paragraph" w:customStyle="1" w:styleId="personalizationheaderbar">
    <w:name w:val="personalizationheaderbar"/>
    <w:basedOn w:val="Normal"/>
    <w:pPr>
      <w:pBdr>
        <w:top w:val="single" w:sz="6" w:space="2" w:color="899CC0"/>
      </w:pBdr>
      <w:shd w:val="clear" w:color="auto" w:fill="C6D8EF"/>
      <w:spacing w:before="100" w:beforeAutospacing="1" w:after="100" w:afterAutospacing="1"/>
    </w:pPr>
    <w:rPr>
      <w:sz w:val="24"/>
    </w:rPr>
  </w:style>
  <w:style w:type="paragraph" w:customStyle="1" w:styleId="personalizationquicksearchtablespace">
    <w:name w:val="personalizationquicksearchtablespace"/>
    <w:basedOn w:val="Normal"/>
    <w:pPr>
      <w:spacing w:before="100" w:beforeAutospacing="1" w:after="100" w:afterAutospacing="1"/>
    </w:pPr>
    <w:rPr>
      <w:sz w:val="24"/>
    </w:rPr>
  </w:style>
  <w:style w:type="paragraph" w:customStyle="1" w:styleId="failedrequirement">
    <w:name w:val="failedrequirement"/>
    <w:basedOn w:val="Normal"/>
    <w:pPr>
      <w:spacing w:before="100" w:beforeAutospacing="1" w:after="100" w:afterAutospacing="1"/>
    </w:pPr>
    <w:rPr>
      <w:rFonts w:ascii="Verdana" w:hAnsi="Verdana"/>
      <w:b/>
      <w:bCs w:val="0"/>
      <w:sz w:val="17"/>
      <w:szCs w:val="17"/>
    </w:rPr>
  </w:style>
  <w:style w:type="paragraph" w:customStyle="1" w:styleId="citeaspagebreak">
    <w:name w:val="citeaspagebreak"/>
    <w:basedOn w:val="Normal"/>
    <w:pPr>
      <w:pBdr>
        <w:top w:val="single" w:sz="24" w:space="0" w:color="auto"/>
        <w:left w:val="single" w:sz="24" w:space="0" w:color="auto"/>
        <w:bottom w:val="single" w:sz="24" w:space="0" w:color="auto"/>
        <w:right w:val="single" w:sz="24" w:space="0" w:color="auto"/>
      </w:pBdr>
      <w:spacing w:before="100" w:beforeAutospacing="1" w:after="100" w:afterAutospacing="1"/>
    </w:pPr>
    <w:rPr>
      <w:color w:val="777777"/>
      <w:sz w:val="24"/>
    </w:rPr>
  </w:style>
  <w:style w:type="paragraph" w:customStyle="1" w:styleId="citeastext">
    <w:name w:val="citeastext"/>
    <w:basedOn w:val="Normal"/>
    <w:pPr>
      <w:spacing w:before="100" w:beforeAutospacing="1" w:after="100" w:afterAutospacing="1"/>
    </w:pPr>
    <w:rPr>
      <w:rFonts w:ascii="Verdana" w:hAnsi="Verdana"/>
      <w:color w:val="777777"/>
      <w:sz w:val="19"/>
      <w:szCs w:val="19"/>
    </w:rPr>
  </w:style>
  <w:style w:type="paragraph" w:customStyle="1" w:styleId="pageheaderbar">
    <w:name w:val="pageheaderbar"/>
    <w:basedOn w:val="Normal"/>
    <w:pPr>
      <w:shd w:val="clear" w:color="auto" w:fill="FFFFFF"/>
      <w:spacing w:before="100" w:beforeAutospacing="1" w:after="100" w:afterAutospacing="1"/>
    </w:pPr>
    <w:rPr>
      <w:sz w:val="24"/>
    </w:rPr>
  </w:style>
  <w:style w:type="paragraph" w:customStyle="1" w:styleId="groupheaderbar">
    <w:name w:val="groupheaderbar"/>
    <w:basedOn w:val="Normal"/>
    <w:pPr>
      <w:shd w:val="clear" w:color="auto" w:fill="B6B6B6"/>
      <w:spacing w:before="100" w:beforeAutospacing="1" w:after="100" w:afterAutospacing="1"/>
    </w:pPr>
    <w:rPr>
      <w:sz w:val="24"/>
    </w:rPr>
  </w:style>
  <w:style w:type="paragraph" w:customStyle="1" w:styleId="groupheaderbarlight">
    <w:name w:val="groupheaderbarlight"/>
    <w:basedOn w:val="Normal"/>
    <w:pPr>
      <w:shd w:val="clear" w:color="auto" w:fill="ECECEC"/>
      <w:spacing w:before="100" w:beforeAutospacing="1" w:after="100" w:afterAutospacing="1"/>
    </w:pPr>
    <w:rPr>
      <w:sz w:val="24"/>
    </w:rPr>
  </w:style>
  <w:style w:type="paragraph" w:customStyle="1" w:styleId="alertheaderbar">
    <w:name w:val="alertheaderbar"/>
    <w:basedOn w:val="Normal"/>
    <w:pPr>
      <w:shd w:val="clear" w:color="auto" w:fill="C6D8EF"/>
      <w:spacing w:before="100" w:beforeAutospacing="1" w:after="100" w:afterAutospacing="1"/>
    </w:pPr>
    <w:rPr>
      <w:sz w:val="24"/>
    </w:rPr>
  </w:style>
  <w:style w:type="paragraph" w:customStyle="1" w:styleId="docorderheaderbar">
    <w:name w:val="docorderheaderbar"/>
    <w:basedOn w:val="Normal"/>
    <w:pPr>
      <w:shd w:val="clear" w:color="auto" w:fill="AAAAD0"/>
      <w:spacing w:before="100" w:beforeAutospacing="1" w:after="100" w:afterAutospacing="1"/>
    </w:pPr>
    <w:rPr>
      <w:sz w:val="24"/>
    </w:rPr>
  </w:style>
  <w:style w:type="paragraph" w:customStyle="1" w:styleId="bubbleprogressactive">
    <w:name w:val="bubbleprogressactive"/>
    <w:basedOn w:val="Normal"/>
    <w:pPr>
      <w:pBdr>
        <w:bottom w:val="single" w:sz="6" w:space="0" w:color="330066"/>
      </w:pBdr>
      <w:shd w:val="clear" w:color="auto" w:fill="DDDBFB"/>
      <w:spacing w:before="100" w:beforeAutospacing="1" w:after="100" w:afterAutospacing="1"/>
    </w:pPr>
    <w:rPr>
      <w:color w:val="333333"/>
      <w:sz w:val="24"/>
    </w:rPr>
  </w:style>
  <w:style w:type="paragraph" w:customStyle="1" w:styleId="bubbleprogressinactive">
    <w:name w:val="bubbleprogressinactive"/>
    <w:basedOn w:val="Normal"/>
    <w:pPr>
      <w:pBdr>
        <w:bottom w:val="single" w:sz="6" w:space="0" w:color="777777"/>
      </w:pBdr>
      <w:shd w:val="clear" w:color="auto" w:fill="E1E1E4"/>
      <w:spacing w:before="100" w:beforeAutospacing="1" w:after="100" w:afterAutospacing="1"/>
    </w:pPr>
    <w:rPr>
      <w:color w:val="999999"/>
      <w:sz w:val="24"/>
    </w:rPr>
  </w:style>
  <w:style w:type="paragraph" w:customStyle="1" w:styleId="borderedgrid">
    <w:name w:val="borderedgrid"/>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rPr>
      <w:sz w:val="24"/>
    </w:rPr>
  </w:style>
  <w:style w:type="paragraph" w:customStyle="1" w:styleId="borderedgridcolumnitem">
    <w:name w:val="borderedgridcolumnitem"/>
    <w:basedOn w:val="Normal"/>
    <w:pPr>
      <w:pBdr>
        <w:top w:val="single" w:sz="6" w:space="0" w:color="FFFFFF"/>
        <w:left w:val="single" w:sz="6" w:space="0" w:color="FFFFFF"/>
        <w:bottom w:val="single" w:sz="6" w:space="0" w:color="FFFFFF"/>
        <w:right w:val="single" w:sz="6" w:space="0" w:color="FFFFFF"/>
      </w:pBdr>
      <w:spacing w:before="100" w:beforeAutospacing="1" w:after="100" w:afterAutospacing="1"/>
    </w:pPr>
    <w:rPr>
      <w:rFonts w:ascii="Verdana" w:hAnsi="Verdana"/>
      <w:sz w:val="17"/>
      <w:szCs w:val="17"/>
    </w:rPr>
  </w:style>
  <w:style w:type="paragraph" w:customStyle="1" w:styleId="borderedgridcolumnbackgroundcolor">
    <w:name w:val="borderedgridcolumnbackgroundcolor"/>
    <w:basedOn w:val="Normal"/>
    <w:pPr>
      <w:shd w:val="clear" w:color="auto" w:fill="EEEEEE"/>
      <w:spacing w:before="100" w:beforeAutospacing="1" w:after="100" w:afterAutospacing="1"/>
    </w:pPr>
    <w:rPr>
      <w:sz w:val="24"/>
    </w:rPr>
  </w:style>
  <w:style w:type="paragraph" w:customStyle="1" w:styleId="borderedgridalternatingbackgroundcolor">
    <w:name w:val="borderedgridalternatingbackgroundcolor"/>
    <w:basedOn w:val="Normal"/>
    <w:pPr>
      <w:shd w:val="clear" w:color="auto" w:fill="FFFFFF"/>
      <w:spacing w:before="100" w:beforeAutospacing="1" w:after="100" w:afterAutospacing="1"/>
    </w:pPr>
    <w:rPr>
      <w:sz w:val="24"/>
    </w:rPr>
  </w:style>
  <w:style w:type="paragraph" w:customStyle="1" w:styleId="accessible">
    <w:name w:val="accessible"/>
    <w:basedOn w:val="Normal"/>
    <w:pPr>
      <w:spacing w:before="100" w:beforeAutospacing="1" w:after="100" w:afterAutospacing="1"/>
    </w:pPr>
    <w:rPr>
      <w:vanish/>
      <w:sz w:val="24"/>
    </w:rPr>
  </w:style>
  <w:style w:type="paragraph" w:customStyle="1" w:styleId="addedtext">
    <w:name w:val="addedtext"/>
    <w:basedOn w:val="Normal"/>
    <w:pPr>
      <w:shd w:val="clear" w:color="auto" w:fill="00FFFF"/>
      <w:spacing w:before="100" w:beforeAutospacing="1" w:after="100" w:afterAutospacing="1"/>
    </w:pPr>
    <w:rPr>
      <w:b/>
      <w:bCs w:val="0"/>
      <w:sz w:val="24"/>
    </w:rPr>
  </w:style>
  <w:style w:type="paragraph" w:customStyle="1" w:styleId="searchterm">
    <w:name w:val="searchterm"/>
    <w:basedOn w:val="Normal"/>
    <w:pPr>
      <w:shd w:val="clear" w:color="auto" w:fill="FFFF00"/>
      <w:spacing w:before="100" w:beforeAutospacing="1" w:after="100" w:afterAutospacing="1"/>
    </w:pPr>
    <w:rPr>
      <w:b/>
      <w:bCs w:val="0"/>
      <w:sz w:val="24"/>
    </w:rPr>
  </w:style>
  <w:style w:type="paragraph" w:customStyle="1" w:styleId="bestsection">
    <w:name w:val="bestsection"/>
    <w:basedOn w:val="Normal"/>
    <w:pPr>
      <w:spacing w:before="100" w:beforeAutospacing="1" w:after="100" w:afterAutospacing="1"/>
    </w:pPr>
    <w:rPr>
      <w:color w:val="FF0000"/>
      <w:sz w:val="24"/>
    </w:rPr>
  </w:style>
  <w:style w:type="paragraph" w:customStyle="1" w:styleId="starpage">
    <w:name w:val="starpage"/>
    <w:basedOn w:val="Normal"/>
    <w:pPr>
      <w:spacing w:before="100" w:beforeAutospacing="1" w:after="100" w:afterAutospacing="1"/>
    </w:pPr>
    <w:rPr>
      <w:b/>
      <w:bCs w:val="0"/>
      <w:i/>
      <w:iCs/>
      <w:color w:val="800080"/>
      <w:sz w:val="24"/>
    </w:rPr>
  </w:style>
  <w:style w:type="paragraph" w:customStyle="1" w:styleId="nonproportionaltextfont">
    <w:name w:val="nonproportionaltextfont"/>
    <w:basedOn w:val="Normal"/>
    <w:pPr>
      <w:spacing w:before="100" w:beforeAutospacing="1" w:after="100" w:afterAutospacing="1"/>
    </w:pPr>
    <w:rPr>
      <w:rFonts w:ascii="Courier" w:hAnsi="Courier"/>
      <w:sz w:val="24"/>
    </w:rPr>
  </w:style>
  <w:style w:type="paragraph" w:customStyle="1" w:styleId="ntooltip">
    <w:name w:val="ntooltip"/>
    <w:basedOn w:val="Normal"/>
    <w:pPr>
      <w:shd w:val="clear" w:color="auto" w:fill="EEE8AA"/>
      <w:spacing w:before="100" w:beforeAutospacing="1" w:after="100" w:afterAutospacing="1"/>
    </w:pPr>
    <w:rPr>
      <w:color w:val="000000"/>
      <w:sz w:val="24"/>
    </w:rPr>
  </w:style>
  <w:style w:type="paragraph" w:customStyle="1" w:styleId="mtooltip">
    <w:name w:val="mtooltip"/>
    <w:basedOn w:val="Normal"/>
    <w:pPr>
      <w:shd w:val="clear" w:color="auto" w:fill="F3ED9E"/>
      <w:spacing w:before="100" w:beforeAutospacing="1" w:after="100" w:afterAutospacing="1"/>
    </w:pPr>
    <w:rPr>
      <w:vanish/>
      <w:color w:val="000000"/>
      <w:sz w:val="24"/>
    </w:rPr>
  </w:style>
  <w:style w:type="paragraph" w:customStyle="1" w:styleId="whitebold">
    <w:name w:val="whitebold"/>
    <w:basedOn w:val="Normal"/>
    <w:pPr>
      <w:spacing w:before="100" w:beforeAutospacing="1" w:after="100" w:afterAutospacing="1"/>
    </w:pPr>
    <w:rPr>
      <w:b/>
      <w:bCs w:val="0"/>
      <w:color w:val="FFFFFF"/>
      <w:sz w:val="24"/>
    </w:rPr>
  </w:style>
  <w:style w:type="paragraph" w:customStyle="1" w:styleId="blackbold">
    <w:name w:val="blackbold"/>
    <w:basedOn w:val="Normal"/>
    <w:pPr>
      <w:spacing w:before="100" w:beforeAutospacing="1" w:after="100" w:afterAutospacing="1"/>
    </w:pPr>
    <w:rPr>
      <w:b/>
      <w:bCs w:val="0"/>
      <w:color w:val="000000"/>
      <w:sz w:val="24"/>
    </w:rPr>
  </w:style>
  <w:style w:type="paragraph" w:customStyle="1" w:styleId="black">
    <w:name w:val="black"/>
    <w:basedOn w:val="Normal"/>
    <w:pPr>
      <w:spacing w:before="100" w:beforeAutospacing="1" w:after="100" w:afterAutospacing="1"/>
    </w:pPr>
    <w:rPr>
      <w:color w:val="000000"/>
      <w:sz w:val="24"/>
    </w:rPr>
  </w:style>
  <w:style w:type="paragraph" w:customStyle="1" w:styleId="white">
    <w:name w:val="white"/>
    <w:basedOn w:val="Normal"/>
    <w:pPr>
      <w:spacing w:before="100" w:beforeAutospacing="1" w:after="100" w:afterAutospacing="1"/>
    </w:pPr>
    <w:rPr>
      <w:color w:val="FFFFFF"/>
      <w:sz w:val="24"/>
    </w:rPr>
  </w:style>
  <w:style w:type="paragraph" w:customStyle="1" w:styleId="red">
    <w:name w:val="red"/>
    <w:basedOn w:val="Normal"/>
    <w:pPr>
      <w:spacing w:before="100" w:beforeAutospacing="1" w:after="100" w:afterAutospacing="1"/>
    </w:pPr>
    <w:rPr>
      <w:color w:val="FF0000"/>
      <w:sz w:val="24"/>
    </w:rPr>
  </w:style>
  <w:style w:type="paragraph" w:customStyle="1" w:styleId="resulthardruledisp">
    <w:name w:val="resulthardruledisp"/>
    <w:basedOn w:val="Normal"/>
    <w:pPr>
      <w:spacing w:before="100" w:beforeAutospacing="1" w:after="100" w:afterAutospacing="1"/>
    </w:pPr>
    <w:rPr>
      <w:sz w:val="24"/>
    </w:rPr>
  </w:style>
  <w:style w:type="paragraph" w:customStyle="1" w:styleId="hardruledisppurple">
    <w:name w:val="hardruledisppurple"/>
    <w:basedOn w:val="Normal"/>
    <w:pPr>
      <w:shd w:val="clear" w:color="auto" w:fill="9966CC"/>
      <w:spacing w:before="100" w:beforeAutospacing="1" w:after="100" w:afterAutospacing="1"/>
    </w:pPr>
    <w:rPr>
      <w:color w:val="9966CC"/>
      <w:sz w:val="24"/>
    </w:rPr>
  </w:style>
  <w:style w:type="paragraph" w:customStyle="1" w:styleId="resultlistdoublelinedivider">
    <w:name w:val="resultlistdoublelinedivider"/>
    <w:basedOn w:val="Normal"/>
    <w:pPr>
      <w:pBdr>
        <w:bottom w:val="single" w:sz="6" w:space="0" w:color="CCCCCC"/>
      </w:pBdr>
      <w:spacing w:before="100" w:beforeAutospacing="1" w:after="100" w:afterAutospacing="1"/>
    </w:pPr>
    <w:rPr>
      <w:sz w:val="24"/>
    </w:rPr>
  </w:style>
  <w:style w:type="paragraph" w:customStyle="1" w:styleId="resultlistitemtitle">
    <w:name w:val="resultlistitemtitle"/>
    <w:basedOn w:val="Normal"/>
    <w:pPr>
      <w:spacing w:before="100" w:beforeAutospacing="1" w:after="100" w:afterAutospacing="1"/>
    </w:pPr>
    <w:rPr>
      <w:rFonts w:ascii="Verdana" w:hAnsi="Verdana"/>
      <w:b/>
      <w:bCs w:val="0"/>
      <w:sz w:val="22"/>
      <w:szCs w:val="22"/>
    </w:rPr>
  </w:style>
  <w:style w:type="paragraph" w:customStyle="1" w:styleId="resultlistitem">
    <w:name w:val="resultlistitem"/>
    <w:basedOn w:val="Normal"/>
    <w:pPr>
      <w:spacing w:before="100" w:beforeAutospacing="1" w:after="100" w:afterAutospacing="1"/>
    </w:pPr>
    <w:rPr>
      <w:rFonts w:ascii="Verdana" w:hAnsi="Verdana"/>
      <w:sz w:val="17"/>
      <w:szCs w:val="17"/>
    </w:rPr>
  </w:style>
  <w:style w:type="paragraph" w:customStyle="1" w:styleId="resultlistitemsmall">
    <w:name w:val="resultlistitemsmall"/>
    <w:basedOn w:val="Normal"/>
    <w:pPr>
      <w:spacing w:before="100" w:beforeAutospacing="1" w:after="100" w:afterAutospacing="1"/>
    </w:pPr>
    <w:rPr>
      <w:rFonts w:ascii="Verdana" w:hAnsi="Verdana"/>
      <w:sz w:val="16"/>
      <w:szCs w:val="16"/>
    </w:rPr>
  </w:style>
  <w:style w:type="paragraph" w:customStyle="1" w:styleId="resultlistitemlarge">
    <w:name w:val="resultlistitemlarge"/>
    <w:basedOn w:val="Normal"/>
    <w:pPr>
      <w:spacing w:before="100" w:beforeAutospacing="1" w:after="100" w:afterAutospacing="1"/>
    </w:pPr>
    <w:rPr>
      <w:rFonts w:ascii="Verdana" w:hAnsi="Verdana"/>
      <w:sz w:val="19"/>
      <w:szCs w:val="19"/>
    </w:rPr>
  </w:style>
  <w:style w:type="paragraph" w:customStyle="1" w:styleId="resultlistitemlargebold">
    <w:name w:val="resultlistitemlargebold"/>
    <w:basedOn w:val="Normal"/>
    <w:pPr>
      <w:spacing w:before="100" w:beforeAutospacing="1" w:after="100" w:afterAutospacing="1"/>
    </w:pPr>
    <w:rPr>
      <w:rFonts w:ascii="Verdana" w:hAnsi="Verdana"/>
      <w:b/>
      <w:bCs w:val="0"/>
      <w:sz w:val="19"/>
      <w:szCs w:val="19"/>
    </w:rPr>
  </w:style>
  <w:style w:type="paragraph" w:customStyle="1" w:styleId="resultlistitemurl">
    <w:name w:val="resultlistitemurl"/>
    <w:basedOn w:val="Normal"/>
    <w:pPr>
      <w:spacing w:before="100" w:beforeAutospacing="1" w:after="100" w:afterAutospacing="1"/>
    </w:pPr>
    <w:rPr>
      <w:rFonts w:ascii="Verdana" w:hAnsi="Verdana"/>
      <w:sz w:val="17"/>
      <w:szCs w:val="17"/>
    </w:rPr>
  </w:style>
  <w:style w:type="paragraph" w:customStyle="1" w:styleId="resultlistgrayitem">
    <w:name w:val="resultlistgrayitem"/>
    <w:basedOn w:val="Normal"/>
    <w:pPr>
      <w:spacing w:before="100" w:beforeAutospacing="1" w:after="100" w:afterAutospacing="1"/>
    </w:pPr>
    <w:rPr>
      <w:rFonts w:ascii="Verdana" w:hAnsi="Verdana"/>
      <w:color w:val="636363"/>
      <w:sz w:val="17"/>
      <w:szCs w:val="17"/>
    </w:rPr>
  </w:style>
  <w:style w:type="paragraph" w:customStyle="1" w:styleId="resultsublistitem">
    <w:name w:val="resultsublistitem"/>
    <w:basedOn w:val="Normal"/>
    <w:pPr>
      <w:spacing w:before="100" w:beforeAutospacing="1" w:after="100" w:afterAutospacing="1"/>
    </w:pPr>
    <w:rPr>
      <w:rFonts w:ascii="Arial" w:hAnsi="Arial" w:cs="Arial"/>
      <w:sz w:val="16"/>
      <w:szCs w:val="16"/>
    </w:rPr>
  </w:style>
  <w:style w:type="paragraph" w:customStyle="1" w:styleId="resultsublistitemfull">
    <w:name w:val="resultsublistitemfull"/>
    <w:basedOn w:val="Normal"/>
    <w:pPr>
      <w:spacing w:before="100" w:beforeAutospacing="1" w:after="100" w:afterAutospacing="1"/>
    </w:pPr>
    <w:rPr>
      <w:rFonts w:ascii="Arial" w:hAnsi="Arial" w:cs="Arial"/>
      <w:color w:val="636363"/>
      <w:sz w:val="16"/>
      <w:szCs w:val="16"/>
    </w:rPr>
  </w:style>
  <w:style w:type="paragraph" w:customStyle="1" w:styleId="resultquerytext">
    <w:name w:val="resultquerytext"/>
    <w:basedOn w:val="Normal"/>
    <w:pPr>
      <w:spacing w:before="100" w:beforeAutospacing="1" w:after="100" w:afterAutospacing="1"/>
    </w:pPr>
    <w:rPr>
      <w:rFonts w:ascii="Arial" w:hAnsi="Arial" w:cs="Arial"/>
      <w:sz w:val="17"/>
      <w:szCs w:val="17"/>
    </w:rPr>
  </w:style>
  <w:style w:type="paragraph" w:customStyle="1" w:styleId="resultlisttableheader">
    <w:name w:val="resultlisttableheader"/>
    <w:basedOn w:val="Normal"/>
    <w:pPr>
      <w:shd w:val="clear" w:color="auto" w:fill="FADC9E"/>
      <w:spacing w:before="100" w:beforeAutospacing="1" w:after="100" w:afterAutospacing="1"/>
    </w:pPr>
    <w:rPr>
      <w:sz w:val="24"/>
    </w:rPr>
  </w:style>
  <w:style w:type="paragraph" w:customStyle="1" w:styleId="resultlistfiltersbackgroundcolor">
    <w:name w:val="resultlistfiltersbackgroundcolor"/>
    <w:basedOn w:val="Normal"/>
    <w:pPr>
      <w:shd w:val="clear" w:color="auto" w:fill="A1A1A1"/>
      <w:spacing w:before="100" w:beforeAutospacing="1" w:after="100" w:afterAutospacing="1"/>
    </w:pPr>
    <w:rPr>
      <w:sz w:val="24"/>
    </w:rPr>
  </w:style>
  <w:style w:type="paragraph" w:customStyle="1" w:styleId="resultlistsortbackgroundcolor">
    <w:name w:val="resultlistsortbackgroundcolor"/>
    <w:basedOn w:val="Normal"/>
    <w:pPr>
      <w:shd w:val="clear" w:color="auto" w:fill="CCCCCC"/>
      <w:spacing w:before="100" w:beforeAutospacing="1" w:after="100" w:afterAutospacing="1"/>
    </w:pPr>
    <w:rPr>
      <w:sz w:val="24"/>
    </w:rPr>
  </w:style>
  <w:style w:type="paragraph" w:customStyle="1" w:styleId="resultlistitemsubtitlesmall">
    <w:name w:val="resultlistitemsubtitlesmall"/>
    <w:basedOn w:val="Normal"/>
    <w:pPr>
      <w:spacing w:before="100" w:beforeAutospacing="1" w:after="100" w:afterAutospacing="1"/>
    </w:pPr>
    <w:rPr>
      <w:rFonts w:ascii="Verdana" w:hAnsi="Verdana"/>
      <w:sz w:val="16"/>
      <w:szCs w:val="16"/>
    </w:rPr>
  </w:style>
  <w:style w:type="paragraph" w:customStyle="1" w:styleId="querysuggestion">
    <w:name w:val="querysuggestion"/>
    <w:basedOn w:val="Normal"/>
    <w:pPr>
      <w:pBdr>
        <w:top w:val="single" w:sz="6" w:space="0" w:color="000000"/>
        <w:left w:val="single" w:sz="6" w:space="0" w:color="000000"/>
        <w:bottom w:val="single" w:sz="6" w:space="0" w:color="000000"/>
        <w:right w:val="single" w:sz="6" w:space="0" w:color="000000"/>
      </w:pBdr>
      <w:shd w:val="clear" w:color="auto" w:fill="FFFF66"/>
      <w:spacing w:before="100" w:beforeAutospacing="1" w:after="100" w:afterAutospacing="1"/>
    </w:pPr>
    <w:rPr>
      <w:sz w:val="24"/>
    </w:rPr>
  </w:style>
  <w:style w:type="paragraph" w:customStyle="1" w:styleId="querysuggestionitem">
    <w:name w:val="querysuggestionitem"/>
    <w:basedOn w:val="Normal"/>
    <w:pPr>
      <w:spacing w:before="100" w:beforeAutospacing="1" w:after="100" w:afterAutospacing="1"/>
    </w:pPr>
    <w:rPr>
      <w:rFonts w:ascii="Verdana" w:hAnsi="Verdana"/>
      <w:sz w:val="17"/>
      <w:szCs w:val="17"/>
    </w:rPr>
  </w:style>
  <w:style w:type="paragraph" w:customStyle="1" w:styleId="queryassistance">
    <w:name w:val="queryassistance"/>
    <w:basedOn w:val="Normal"/>
    <w:pPr>
      <w:pBdr>
        <w:top w:val="single" w:sz="6" w:space="0" w:color="000000"/>
        <w:left w:val="single" w:sz="6" w:space="0" w:color="000000"/>
        <w:bottom w:val="single" w:sz="6" w:space="0" w:color="000000"/>
        <w:right w:val="single" w:sz="6" w:space="0" w:color="000000"/>
      </w:pBdr>
      <w:shd w:val="clear" w:color="auto" w:fill="EEEEEE"/>
      <w:spacing w:before="100" w:beforeAutospacing="1" w:after="100" w:afterAutospacing="1"/>
    </w:pPr>
    <w:rPr>
      <w:sz w:val="24"/>
    </w:rPr>
  </w:style>
  <w:style w:type="paragraph" w:customStyle="1" w:styleId="queryassistancerelatedterms">
    <w:name w:val="queryassistancerelatedterms"/>
    <w:basedOn w:val="Normal"/>
    <w:pPr>
      <w:shd w:val="clear" w:color="auto" w:fill="EEEEEE"/>
      <w:spacing w:before="100" w:beforeAutospacing="1" w:after="100" w:afterAutospacing="1"/>
    </w:pPr>
    <w:rPr>
      <w:rFonts w:ascii="Verdana" w:hAnsi="Verdana"/>
      <w:sz w:val="16"/>
      <w:szCs w:val="16"/>
    </w:rPr>
  </w:style>
  <w:style w:type="paragraph" w:customStyle="1" w:styleId="queryassistanceexpandsearch">
    <w:name w:val="queryassistanceexpandsearch"/>
    <w:basedOn w:val="Normal"/>
    <w:pPr>
      <w:shd w:val="clear" w:color="auto" w:fill="DDDDDD"/>
      <w:spacing w:before="100" w:beforeAutospacing="1" w:after="100" w:afterAutospacing="1"/>
    </w:pPr>
    <w:rPr>
      <w:rFonts w:ascii="Verdana" w:hAnsi="Verdana"/>
      <w:sz w:val="16"/>
      <w:szCs w:val="16"/>
    </w:rPr>
  </w:style>
  <w:style w:type="paragraph" w:customStyle="1" w:styleId="queryassistanceitem">
    <w:name w:val="queryassistanceitem"/>
    <w:basedOn w:val="Normal"/>
    <w:pPr>
      <w:spacing w:before="100" w:beforeAutospacing="1" w:after="100" w:afterAutospacing="1"/>
    </w:pPr>
    <w:rPr>
      <w:rFonts w:ascii="Verdana" w:hAnsi="Verdana"/>
      <w:sz w:val="16"/>
      <w:szCs w:val="16"/>
    </w:rPr>
  </w:style>
  <w:style w:type="paragraph" w:customStyle="1" w:styleId="resultsplusmargin">
    <w:name w:val="resultsplusmargin"/>
    <w:basedOn w:val="Normal"/>
    <w:pPr>
      <w:spacing w:before="100" w:beforeAutospacing="1" w:after="100" w:afterAutospacing="1"/>
      <w:ind w:left="45"/>
    </w:pPr>
    <w:rPr>
      <w:sz w:val="24"/>
    </w:rPr>
  </w:style>
  <w:style w:type="paragraph" w:customStyle="1" w:styleId="resultsplusterm">
    <w:name w:val="resultsplusterm"/>
    <w:basedOn w:val="Normal"/>
    <w:pPr>
      <w:shd w:val="clear" w:color="auto" w:fill="FFFF00"/>
      <w:spacing w:before="100" w:beforeAutospacing="1" w:after="100" w:afterAutospacing="1"/>
    </w:pPr>
    <w:rPr>
      <w:b/>
      <w:bCs w:val="0"/>
      <w:sz w:val="24"/>
    </w:rPr>
  </w:style>
  <w:style w:type="paragraph" w:customStyle="1" w:styleId="groupboxmarginbottomalr">
    <w:name w:val="groupboxmarginbottomalr"/>
    <w:basedOn w:val="Normal"/>
    <w:pPr>
      <w:spacing w:before="100" w:beforeAutospacing="1" w:after="100" w:afterAutospacing="1"/>
    </w:pPr>
    <w:rPr>
      <w:sz w:val="24"/>
    </w:rPr>
  </w:style>
  <w:style w:type="paragraph" w:customStyle="1" w:styleId="groupboxmarginbottom">
    <w:name w:val="groupboxmarginbottom"/>
    <w:basedOn w:val="Normal"/>
    <w:pPr>
      <w:spacing w:before="100" w:beforeAutospacing="1" w:after="100" w:afterAutospacing="1"/>
    </w:pPr>
    <w:rPr>
      <w:sz w:val="24"/>
    </w:rPr>
  </w:style>
  <w:style w:type="paragraph" w:customStyle="1" w:styleId="groupboxhighlighted">
    <w:name w:val="groupboxhighlighted"/>
    <w:basedOn w:val="Normal"/>
    <w:pPr>
      <w:pBdr>
        <w:top w:val="single" w:sz="6" w:space="0" w:color="C9CCAF"/>
        <w:left w:val="single" w:sz="6" w:space="0" w:color="C9CCAF"/>
        <w:bottom w:val="single" w:sz="6" w:space="0" w:color="C9CCAF"/>
        <w:right w:val="single" w:sz="6" w:space="0" w:color="C9CCAF"/>
      </w:pBdr>
      <w:shd w:val="clear" w:color="auto" w:fill="FFFF7E"/>
      <w:spacing w:before="100" w:beforeAutospacing="1" w:after="100" w:afterAutospacing="1"/>
    </w:pPr>
    <w:rPr>
      <w:sz w:val="24"/>
    </w:rPr>
  </w:style>
  <w:style w:type="paragraph" w:customStyle="1" w:styleId="groupboxtopanalytical">
    <w:name w:val="groupboxtopanalytical"/>
    <w:basedOn w:val="Normal"/>
    <w:pPr>
      <w:shd w:val="clear" w:color="auto" w:fill="D7E0ED"/>
      <w:spacing w:before="100" w:beforeAutospacing="1" w:after="100" w:afterAutospacing="1"/>
    </w:pPr>
    <w:rPr>
      <w:sz w:val="24"/>
    </w:rPr>
  </w:style>
  <w:style w:type="paragraph" w:customStyle="1" w:styleId="progressbar">
    <w:name w:val="progressbar"/>
    <w:basedOn w:val="Normal"/>
    <w:pPr>
      <w:shd w:val="clear" w:color="auto" w:fill="006699"/>
      <w:spacing w:before="100" w:beforeAutospacing="1" w:after="100" w:afterAutospacing="1"/>
    </w:pPr>
    <w:rPr>
      <w:color w:val="FFFFFF"/>
      <w:sz w:val="24"/>
    </w:rPr>
  </w:style>
  <w:style w:type="paragraph" w:customStyle="1" w:styleId="securitiestaxonomytabs">
    <w:name w:val="securitiestaxonomytabs"/>
    <w:basedOn w:val="Normal"/>
    <w:pPr>
      <w:pBdr>
        <w:top w:val="single" w:sz="6" w:space="0" w:color="C3C3BB"/>
        <w:left w:val="single" w:sz="6" w:space="0" w:color="C3C3BB"/>
        <w:right w:val="single" w:sz="6" w:space="0" w:color="C3C3BB"/>
      </w:pBdr>
      <w:shd w:val="clear" w:color="auto" w:fill="F7F7F5"/>
      <w:spacing w:before="100" w:beforeAutospacing="1" w:after="100" w:afterAutospacing="1"/>
      <w:textAlignment w:val="center"/>
    </w:pPr>
    <w:rPr>
      <w:sz w:val="24"/>
    </w:rPr>
  </w:style>
  <w:style w:type="paragraph" w:customStyle="1" w:styleId="securitiestaxonomyfilingstabs">
    <w:name w:val="securitiestaxonomyfilingstabs"/>
    <w:basedOn w:val="Normal"/>
    <w:pPr>
      <w:pBdr>
        <w:top w:val="single" w:sz="6" w:space="0" w:color="C3C3BB"/>
        <w:left w:val="single" w:sz="6" w:space="0" w:color="C3C3BB"/>
        <w:right w:val="single" w:sz="6" w:space="0" w:color="C3C3BB"/>
      </w:pBdr>
      <w:spacing w:before="100" w:beforeAutospacing="1" w:after="100" w:afterAutospacing="1"/>
    </w:pPr>
    <w:rPr>
      <w:sz w:val="24"/>
    </w:rPr>
  </w:style>
  <w:style w:type="paragraph" w:customStyle="1" w:styleId="securitiestaxonomytreelinks">
    <w:name w:val="securitiestaxonomytreelinks"/>
    <w:basedOn w:val="Normal"/>
    <w:pPr>
      <w:spacing w:before="100" w:beforeAutospacing="1" w:after="100" w:afterAutospacing="1"/>
    </w:pPr>
    <w:rPr>
      <w:sz w:val="24"/>
    </w:rPr>
  </w:style>
  <w:style w:type="paragraph" w:customStyle="1" w:styleId="statutesandregulationstreelinks">
    <w:name w:val="statutesandregulationstreelinks"/>
    <w:basedOn w:val="Normal"/>
    <w:pPr>
      <w:spacing w:before="100" w:beforeAutospacing="1" w:after="100" w:afterAutospacing="1"/>
    </w:pPr>
    <w:rPr>
      <w:sz w:val="24"/>
    </w:rPr>
  </w:style>
  <w:style w:type="paragraph" w:customStyle="1" w:styleId="navtabactive">
    <w:name w:val="navtabactive"/>
    <w:basedOn w:val="Normal"/>
    <w:pPr>
      <w:spacing w:before="100" w:beforeAutospacing="1" w:after="100" w:afterAutospacing="1"/>
      <w:jc w:val="center"/>
    </w:pPr>
    <w:rPr>
      <w:sz w:val="16"/>
      <w:szCs w:val="16"/>
    </w:rPr>
  </w:style>
  <w:style w:type="paragraph" w:customStyle="1" w:styleId="navtabinactive">
    <w:name w:val="navtabinactive"/>
    <w:basedOn w:val="Normal"/>
    <w:pPr>
      <w:spacing w:before="100" w:beforeAutospacing="1" w:after="100" w:afterAutospacing="1"/>
      <w:jc w:val="center"/>
    </w:pPr>
    <w:rPr>
      <w:sz w:val="16"/>
      <w:szCs w:val="16"/>
    </w:rPr>
  </w:style>
  <w:style w:type="paragraph" w:customStyle="1" w:styleId="navbottomlink">
    <w:name w:val="navbottomlink"/>
    <w:basedOn w:val="Normal"/>
    <w:pPr>
      <w:spacing w:before="100" w:beforeAutospacing="1" w:after="100" w:afterAutospacing="1"/>
    </w:pPr>
    <w:rPr>
      <w:rFonts w:ascii="Verdana" w:hAnsi="Verdana"/>
      <w:b/>
      <w:bCs w:val="0"/>
      <w:color w:val="000099"/>
      <w:sz w:val="16"/>
      <w:szCs w:val="16"/>
    </w:rPr>
  </w:style>
  <w:style w:type="paragraph" w:customStyle="1" w:styleId="queryeditortabactive">
    <w:name w:val="queryeditortabactive"/>
    <w:basedOn w:val="Normal"/>
    <w:pPr>
      <w:pBdr>
        <w:top w:val="single" w:sz="6" w:space="3" w:color="9A9A9A"/>
        <w:left w:val="single" w:sz="6" w:space="9" w:color="9A9A9A"/>
        <w:right w:val="single" w:sz="6" w:space="9" w:color="9A9A9A"/>
      </w:pBdr>
      <w:shd w:val="clear" w:color="auto" w:fill="F0F0F0"/>
      <w:spacing w:before="100" w:beforeAutospacing="1" w:after="100" w:afterAutospacing="1"/>
      <w:jc w:val="center"/>
    </w:pPr>
    <w:rPr>
      <w:rFonts w:ascii="Verdana" w:hAnsi="Verdana"/>
      <w:b/>
      <w:bCs w:val="0"/>
      <w:color w:val="000000"/>
      <w:sz w:val="17"/>
      <w:szCs w:val="17"/>
    </w:rPr>
  </w:style>
  <w:style w:type="paragraph" w:customStyle="1" w:styleId="queryeditortabinactiveleft">
    <w:name w:val="queryeditortabinactiveleft"/>
    <w:basedOn w:val="Normal"/>
    <w:pPr>
      <w:pBdr>
        <w:top w:val="single" w:sz="6" w:space="3" w:color="5776B3"/>
        <w:left w:val="single" w:sz="6" w:space="9" w:color="5776B3"/>
        <w:bottom w:val="single" w:sz="6" w:space="3" w:color="9A9A9A"/>
      </w:pBdr>
      <w:spacing w:before="100" w:beforeAutospacing="1" w:after="100" w:afterAutospacing="1"/>
      <w:jc w:val="center"/>
    </w:pPr>
    <w:rPr>
      <w:sz w:val="24"/>
    </w:rPr>
  </w:style>
  <w:style w:type="paragraph" w:customStyle="1" w:styleId="queryeditortabinactiveright">
    <w:name w:val="queryeditortabinactiveright"/>
    <w:basedOn w:val="Normal"/>
    <w:pPr>
      <w:pBdr>
        <w:top w:val="single" w:sz="6" w:space="3" w:color="5776B3"/>
        <w:bottom w:val="single" w:sz="6" w:space="3" w:color="9A9A9A"/>
        <w:right w:val="single" w:sz="6" w:space="9" w:color="5776B3"/>
      </w:pBdr>
      <w:spacing w:before="100" w:beforeAutospacing="1" w:after="100" w:afterAutospacing="1"/>
      <w:jc w:val="center"/>
    </w:pPr>
    <w:rPr>
      <w:sz w:val="24"/>
    </w:rPr>
  </w:style>
  <w:style w:type="paragraph" w:customStyle="1" w:styleId="queryeditortabinactivespace">
    <w:name w:val="queryeditortabinactivespace"/>
    <w:basedOn w:val="Normal"/>
    <w:pPr>
      <w:pBdr>
        <w:top w:val="single" w:sz="6" w:space="0" w:color="FFFFFF"/>
        <w:bottom w:val="single" w:sz="6" w:space="0" w:color="9A9A9A"/>
      </w:pBdr>
      <w:spacing w:before="100" w:beforeAutospacing="1" w:after="100" w:afterAutospacing="1"/>
    </w:pPr>
    <w:rPr>
      <w:sz w:val="24"/>
    </w:rPr>
  </w:style>
  <w:style w:type="paragraph" w:customStyle="1" w:styleId="queryeditortabinactivelink">
    <w:name w:val="queryeditortabinactivelink"/>
    <w:basedOn w:val="Normal"/>
    <w:pPr>
      <w:spacing w:before="100" w:beforeAutospacing="1" w:after="100" w:afterAutospacing="1"/>
    </w:pPr>
    <w:rPr>
      <w:rFonts w:ascii="Verdana" w:hAnsi="Verdana"/>
      <w:b/>
      <w:bCs w:val="0"/>
      <w:color w:val="002780"/>
      <w:sz w:val="17"/>
      <w:szCs w:val="17"/>
    </w:rPr>
  </w:style>
  <w:style w:type="paragraph" w:customStyle="1" w:styleId="smarttermseditortabactive">
    <w:name w:val="smarttermseditortabactive"/>
    <w:basedOn w:val="Normal"/>
    <w:pPr>
      <w:pBdr>
        <w:top w:val="single" w:sz="6" w:space="3" w:color="000000"/>
        <w:left w:val="single" w:sz="6" w:space="9" w:color="000000"/>
        <w:right w:val="single" w:sz="6" w:space="9" w:color="000000"/>
      </w:pBdr>
      <w:shd w:val="clear" w:color="auto" w:fill="EFF7FF"/>
      <w:spacing w:before="100" w:beforeAutospacing="1" w:after="100" w:afterAutospacing="1"/>
      <w:jc w:val="center"/>
    </w:pPr>
    <w:rPr>
      <w:sz w:val="24"/>
    </w:rPr>
  </w:style>
  <w:style w:type="paragraph" w:customStyle="1" w:styleId="smarttermseditortabinactiveleft">
    <w:name w:val="smarttermseditortabinactiveleft"/>
    <w:basedOn w:val="Normal"/>
    <w:pPr>
      <w:pBdr>
        <w:top w:val="single" w:sz="6" w:space="3" w:color="505050"/>
        <w:left w:val="single" w:sz="6" w:space="9" w:color="505050"/>
        <w:bottom w:val="single" w:sz="6" w:space="3" w:color="000000"/>
      </w:pBdr>
      <w:spacing w:before="100" w:beforeAutospacing="1" w:after="100" w:afterAutospacing="1"/>
      <w:jc w:val="center"/>
    </w:pPr>
    <w:rPr>
      <w:sz w:val="24"/>
    </w:rPr>
  </w:style>
  <w:style w:type="paragraph" w:customStyle="1" w:styleId="smarttermseditortabinactiveright">
    <w:name w:val="smarttermseditortabinactiveright"/>
    <w:basedOn w:val="Normal"/>
    <w:pPr>
      <w:pBdr>
        <w:top w:val="single" w:sz="6" w:space="3" w:color="505050"/>
        <w:bottom w:val="single" w:sz="6" w:space="3" w:color="000000"/>
        <w:right w:val="single" w:sz="6" w:space="9" w:color="505050"/>
      </w:pBdr>
      <w:spacing w:before="100" w:beforeAutospacing="1" w:after="100" w:afterAutospacing="1"/>
      <w:jc w:val="center"/>
    </w:pPr>
    <w:rPr>
      <w:sz w:val="24"/>
    </w:rPr>
  </w:style>
  <w:style w:type="paragraph" w:customStyle="1" w:styleId="smarttermseditortabinactivespace">
    <w:name w:val="smarttermseditortabinactivespace"/>
    <w:basedOn w:val="Normal"/>
    <w:pPr>
      <w:pBdr>
        <w:top w:val="single" w:sz="6" w:space="0" w:color="FFFFFF"/>
        <w:bottom w:val="single" w:sz="6" w:space="0" w:color="000000"/>
      </w:pBdr>
      <w:spacing w:before="100" w:beforeAutospacing="1" w:after="100" w:afterAutospacing="1"/>
    </w:pPr>
    <w:rPr>
      <w:sz w:val="24"/>
    </w:rPr>
  </w:style>
  <w:style w:type="paragraph" w:customStyle="1" w:styleId="smarttermseditortabactivelink">
    <w:name w:val="smarttermseditortabactivelink"/>
    <w:basedOn w:val="Normal"/>
    <w:pPr>
      <w:spacing w:before="100" w:beforeAutospacing="1" w:after="100" w:afterAutospacing="1"/>
    </w:pPr>
    <w:rPr>
      <w:rFonts w:ascii="Verdana" w:hAnsi="Verdana"/>
      <w:b/>
      <w:bCs w:val="0"/>
      <w:color w:val="000000"/>
      <w:sz w:val="17"/>
      <w:szCs w:val="17"/>
    </w:rPr>
  </w:style>
  <w:style w:type="paragraph" w:customStyle="1" w:styleId="smarttermseditortabinactivelink">
    <w:name w:val="smarttermseditortabinactivelink"/>
    <w:basedOn w:val="Normal"/>
    <w:pPr>
      <w:spacing w:before="100" w:beforeAutospacing="1" w:after="100" w:afterAutospacing="1"/>
    </w:pPr>
    <w:rPr>
      <w:rFonts w:ascii="Verdana" w:hAnsi="Verdana"/>
      <w:b/>
      <w:bCs w:val="0"/>
      <w:color w:val="505050"/>
      <w:sz w:val="17"/>
      <w:szCs w:val="17"/>
    </w:rPr>
  </w:style>
  <w:style w:type="paragraph" w:customStyle="1" w:styleId="caseevaluatoreditortabactive">
    <w:name w:val="caseevaluatoreditortabactive"/>
    <w:basedOn w:val="Normal"/>
    <w:pPr>
      <w:pBdr>
        <w:top w:val="single" w:sz="6" w:space="3" w:color="000000"/>
        <w:left w:val="single" w:sz="6" w:space="9" w:color="000000"/>
        <w:right w:val="single" w:sz="6" w:space="9" w:color="000000"/>
      </w:pBdr>
      <w:shd w:val="clear" w:color="auto" w:fill="F0F0F0"/>
      <w:spacing w:before="100" w:beforeAutospacing="1" w:after="100" w:afterAutospacing="1"/>
      <w:jc w:val="center"/>
    </w:pPr>
    <w:rPr>
      <w:sz w:val="24"/>
    </w:rPr>
  </w:style>
  <w:style w:type="paragraph" w:customStyle="1" w:styleId="caseevaluatoreditortabinactiveleft">
    <w:name w:val="caseevaluatoreditortabinactiveleft"/>
    <w:basedOn w:val="Normal"/>
    <w:pPr>
      <w:pBdr>
        <w:top w:val="single" w:sz="6" w:space="3" w:color="505050"/>
        <w:left w:val="single" w:sz="6" w:space="9" w:color="505050"/>
      </w:pBdr>
      <w:spacing w:before="100" w:beforeAutospacing="1" w:after="100" w:afterAutospacing="1"/>
      <w:jc w:val="center"/>
    </w:pPr>
    <w:rPr>
      <w:sz w:val="24"/>
    </w:rPr>
  </w:style>
  <w:style w:type="paragraph" w:customStyle="1" w:styleId="caseevaluatoreditortabinactiveright">
    <w:name w:val="caseevaluatoreditortabinactiveright"/>
    <w:basedOn w:val="Normal"/>
    <w:pPr>
      <w:pBdr>
        <w:top w:val="single" w:sz="6" w:space="3" w:color="505050"/>
        <w:right w:val="single" w:sz="6" w:space="9" w:color="505050"/>
      </w:pBdr>
      <w:spacing w:before="100" w:beforeAutospacing="1" w:after="100" w:afterAutospacing="1"/>
      <w:jc w:val="center"/>
    </w:pPr>
    <w:rPr>
      <w:sz w:val="24"/>
    </w:rPr>
  </w:style>
  <w:style w:type="paragraph" w:customStyle="1" w:styleId="caseevaluatoreditortabinactivespace">
    <w:name w:val="caseevaluatoreditortabinactivespace"/>
    <w:basedOn w:val="Normal"/>
    <w:pPr>
      <w:pBdr>
        <w:top w:val="single" w:sz="6" w:space="0" w:color="FFFFFF"/>
        <w:bottom w:val="single" w:sz="6" w:space="0" w:color="000000"/>
      </w:pBdr>
      <w:spacing w:before="100" w:beforeAutospacing="1" w:after="100" w:afterAutospacing="1"/>
    </w:pPr>
    <w:rPr>
      <w:sz w:val="24"/>
    </w:rPr>
  </w:style>
  <w:style w:type="paragraph" w:customStyle="1" w:styleId="caseevaluatoreditortabactivelink">
    <w:name w:val="caseevaluatoreditortabactivelink"/>
    <w:basedOn w:val="Normal"/>
    <w:pPr>
      <w:spacing w:before="100" w:beforeAutospacing="1" w:after="100" w:afterAutospacing="1"/>
    </w:pPr>
    <w:rPr>
      <w:rFonts w:ascii="Verdana" w:hAnsi="Verdana"/>
      <w:b/>
      <w:bCs w:val="0"/>
      <w:color w:val="000000"/>
      <w:sz w:val="17"/>
      <w:szCs w:val="17"/>
    </w:rPr>
  </w:style>
  <w:style w:type="paragraph" w:customStyle="1" w:styleId="caseevaluatoreditortabinactivelink">
    <w:name w:val="caseevaluatoreditortabinactivelink"/>
    <w:basedOn w:val="Normal"/>
    <w:pPr>
      <w:spacing w:before="100" w:beforeAutospacing="1" w:after="100" w:afterAutospacing="1"/>
    </w:pPr>
    <w:rPr>
      <w:rFonts w:ascii="Verdana" w:hAnsi="Verdana"/>
      <w:b/>
      <w:bCs w:val="0"/>
      <w:color w:val="003F87"/>
      <w:sz w:val="17"/>
      <w:szCs w:val="17"/>
    </w:rPr>
  </w:style>
  <w:style w:type="paragraph" w:customStyle="1" w:styleId="injurytabactive">
    <w:name w:val="injurytabactive"/>
    <w:basedOn w:val="Normal"/>
    <w:pPr>
      <w:pBdr>
        <w:top w:val="single" w:sz="6" w:space="3" w:color="000000"/>
        <w:left w:val="single" w:sz="6" w:space="9" w:color="000000"/>
        <w:right w:val="single" w:sz="6" w:space="9" w:color="000000"/>
      </w:pBdr>
      <w:shd w:val="clear" w:color="auto" w:fill="CFCFCF"/>
      <w:spacing w:before="100" w:beforeAutospacing="1" w:after="100" w:afterAutospacing="1"/>
      <w:jc w:val="center"/>
    </w:pPr>
    <w:rPr>
      <w:sz w:val="24"/>
    </w:rPr>
  </w:style>
  <w:style w:type="paragraph" w:customStyle="1" w:styleId="injurytabinactiveleft">
    <w:name w:val="injurytabinactiveleft"/>
    <w:basedOn w:val="Normal"/>
    <w:pPr>
      <w:pBdr>
        <w:top w:val="single" w:sz="6" w:space="3" w:color="505050"/>
        <w:left w:val="single" w:sz="6" w:space="9" w:color="505050"/>
      </w:pBdr>
      <w:spacing w:before="100" w:beforeAutospacing="1" w:after="100" w:afterAutospacing="1"/>
      <w:jc w:val="center"/>
    </w:pPr>
    <w:rPr>
      <w:sz w:val="24"/>
    </w:rPr>
  </w:style>
  <w:style w:type="paragraph" w:customStyle="1" w:styleId="injurytabinactiveright">
    <w:name w:val="injurytabinactiveright"/>
    <w:basedOn w:val="Normal"/>
    <w:pPr>
      <w:pBdr>
        <w:top w:val="single" w:sz="6" w:space="3" w:color="505050"/>
        <w:right w:val="single" w:sz="6" w:space="9" w:color="505050"/>
      </w:pBdr>
      <w:spacing w:before="100" w:beforeAutospacing="1" w:after="100" w:afterAutospacing="1"/>
      <w:jc w:val="center"/>
    </w:pPr>
    <w:rPr>
      <w:sz w:val="24"/>
    </w:rPr>
  </w:style>
  <w:style w:type="paragraph" w:customStyle="1" w:styleId="injurytabinactivespace">
    <w:name w:val="injurytabinactivespace"/>
    <w:basedOn w:val="Normal"/>
    <w:pPr>
      <w:pBdr>
        <w:bottom w:val="single" w:sz="6" w:space="0" w:color="000000"/>
      </w:pBdr>
      <w:spacing w:before="100" w:beforeAutospacing="1" w:after="100" w:afterAutospacing="1"/>
    </w:pPr>
    <w:rPr>
      <w:sz w:val="24"/>
    </w:rPr>
  </w:style>
  <w:style w:type="paragraph" w:customStyle="1" w:styleId="injurytabactivelink">
    <w:name w:val="injurytabactivelink"/>
    <w:basedOn w:val="Normal"/>
    <w:pPr>
      <w:spacing w:before="100" w:beforeAutospacing="1" w:after="100" w:afterAutospacing="1"/>
    </w:pPr>
    <w:rPr>
      <w:rFonts w:ascii="Verdana" w:hAnsi="Verdana"/>
      <w:b/>
      <w:bCs w:val="0"/>
      <w:color w:val="000000"/>
      <w:sz w:val="17"/>
      <w:szCs w:val="17"/>
    </w:rPr>
  </w:style>
  <w:style w:type="paragraph" w:customStyle="1" w:styleId="injurytabinactivelink">
    <w:name w:val="injurytabinactivelink"/>
    <w:basedOn w:val="Normal"/>
    <w:pPr>
      <w:spacing w:before="100" w:beforeAutospacing="1" w:after="100" w:afterAutospacing="1"/>
    </w:pPr>
    <w:rPr>
      <w:rFonts w:ascii="Verdana" w:hAnsi="Verdana"/>
      <w:b/>
      <w:bCs w:val="0"/>
      <w:color w:val="000000"/>
      <w:sz w:val="17"/>
      <w:szCs w:val="17"/>
    </w:rPr>
  </w:style>
  <w:style w:type="paragraph" w:customStyle="1" w:styleId="caseevaluatortemplatepageheading">
    <w:name w:val="caseevaluatortemplatepageheading"/>
    <w:basedOn w:val="Normal"/>
    <w:pPr>
      <w:shd w:val="clear" w:color="auto" w:fill="4B65A4"/>
      <w:spacing w:before="100" w:beforeAutospacing="1" w:after="100" w:afterAutospacing="1"/>
    </w:pPr>
    <w:rPr>
      <w:rFonts w:ascii="Verdana" w:hAnsi="Verdana"/>
      <w:b/>
      <w:bCs w:val="0"/>
      <w:color w:val="FFFFFF"/>
      <w:sz w:val="24"/>
    </w:rPr>
  </w:style>
  <w:style w:type="paragraph" w:customStyle="1" w:styleId="caseevaluatortemplatesubheading">
    <w:name w:val="caseevaluatortemplatesubheading"/>
    <w:basedOn w:val="Normal"/>
    <w:pPr>
      <w:pBdr>
        <w:bottom w:val="single" w:sz="6" w:space="2" w:color="000000"/>
      </w:pBdr>
      <w:shd w:val="clear" w:color="auto" w:fill="FFFFFF"/>
      <w:spacing w:before="100" w:beforeAutospacing="1" w:after="100" w:afterAutospacing="1"/>
      <w:textAlignment w:val="center"/>
    </w:pPr>
    <w:rPr>
      <w:rFonts w:ascii="Verdana" w:hAnsi="Verdana"/>
      <w:b/>
      <w:bCs w:val="0"/>
      <w:sz w:val="19"/>
      <w:szCs w:val="19"/>
    </w:rPr>
  </w:style>
  <w:style w:type="paragraph" w:customStyle="1" w:styleId="caseevaluatorkeytermsfloatleft">
    <w:name w:val="caseevaluatorkeytermsfloatleft"/>
    <w:basedOn w:val="Normal"/>
    <w:pPr>
      <w:spacing w:before="100" w:beforeAutospacing="1" w:after="100" w:afterAutospacing="1"/>
      <w:ind w:left="300" w:right="225"/>
      <w:textAlignment w:val="top"/>
    </w:pPr>
    <w:rPr>
      <w:sz w:val="24"/>
    </w:rPr>
  </w:style>
  <w:style w:type="paragraph" w:customStyle="1" w:styleId="caseevaluatortemplatepageheadingsmall">
    <w:name w:val="caseevaluatortemplatepageheadingsmall"/>
    <w:basedOn w:val="Normal"/>
    <w:pPr>
      <w:shd w:val="clear" w:color="auto" w:fill="4B65A4"/>
      <w:spacing w:before="100" w:beforeAutospacing="1" w:after="100" w:afterAutospacing="1"/>
    </w:pPr>
    <w:rPr>
      <w:rFonts w:ascii="Verdana" w:hAnsi="Verdana"/>
      <w:b/>
      <w:bCs w:val="0"/>
      <w:color w:val="FFFFFF"/>
      <w:sz w:val="19"/>
      <w:szCs w:val="19"/>
    </w:rPr>
  </w:style>
  <w:style w:type="paragraph" w:customStyle="1" w:styleId="caseevaluatorfloatleftcheckboxlist1">
    <w:name w:val="caseevaluatorfloatleftcheckboxlist1"/>
    <w:basedOn w:val="Normal"/>
    <w:pPr>
      <w:spacing w:before="100" w:beforeAutospacing="1" w:after="100" w:afterAutospacing="1"/>
      <w:ind w:left="300"/>
    </w:pPr>
    <w:rPr>
      <w:sz w:val="24"/>
    </w:rPr>
  </w:style>
  <w:style w:type="paragraph" w:customStyle="1" w:styleId="caseevaluatorfloatleftcheckboxlist2">
    <w:name w:val="caseevaluatorfloatleftcheckboxlist2"/>
    <w:basedOn w:val="Normal"/>
    <w:pPr>
      <w:spacing w:before="100" w:beforeAutospacing="1" w:after="100" w:afterAutospacing="1"/>
      <w:ind w:left="300"/>
    </w:pPr>
    <w:rPr>
      <w:sz w:val="24"/>
    </w:rPr>
  </w:style>
  <w:style w:type="paragraph" w:customStyle="1" w:styleId="caseevaluatorfloatleftcheckboxlist3">
    <w:name w:val="caseevaluatorfloatleftcheckboxlist3"/>
    <w:basedOn w:val="Normal"/>
    <w:pPr>
      <w:spacing w:before="100" w:beforeAutospacing="1" w:after="100" w:afterAutospacing="1"/>
      <w:ind w:left="300"/>
    </w:pPr>
    <w:rPr>
      <w:sz w:val="24"/>
    </w:rPr>
  </w:style>
  <w:style w:type="paragraph" w:customStyle="1" w:styleId="caseevaluatorcheckboxlist">
    <w:name w:val="caseevaluatorcheckboxlist"/>
    <w:basedOn w:val="Normal"/>
    <w:pPr>
      <w:spacing w:before="100" w:beforeAutospacing="1" w:after="100" w:afterAutospacing="1"/>
      <w:ind w:left="300"/>
    </w:pPr>
    <w:rPr>
      <w:sz w:val="24"/>
    </w:rPr>
  </w:style>
  <w:style w:type="paragraph" w:customStyle="1" w:styleId="caseevaluatorinformationalboldfloatleft">
    <w:name w:val="caseevaluatorinformationalboldfloatleft"/>
    <w:basedOn w:val="Normal"/>
    <w:pPr>
      <w:spacing w:before="100" w:beforeAutospacing="1" w:after="100" w:afterAutospacing="1"/>
      <w:ind w:left="225"/>
    </w:pPr>
    <w:rPr>
      <w:rFonts w:ascii="Verdana" w:hAnsi="Verdana"/>
      <w:b/>
      <w:bCs w:val="0"/>
      <w:sz w:val="17"/>
      <w:szCs w:val="17"/>
    </w:rPr>
  </w:style>
  <w:style w:type="paragraph" w:customStyle="1" w:styleId="marginleftmediumclear">
    <w:name w:val="marginleftmediumclear"/>
    <w:basedOn w:val="Normal"/>
    <w:pPr>
      <w:spacing w:before="100" w:beforeAutospacing="1" w:after="100" w:afterAutospacing="1"/>
      <w:ind w:left="225"/>
    </w:pPr>
    <w:rPr>
      <w:sz w:val="24"/>
    </w:rPr>
  </w:style>
  <w:style w:type="paragraph" w:customStyle="1" w:styleId="caseevaluatortreeheader">
    <w:name w:val="caseevaluatortreeheader"/>
    <w:basedOn w:val="Normal"/>
    <w:pPr>
      <w:pBdr>
        <w:top w:val="single" w:sz="6" w:space="0" w:color="000000"/>
        <w:left w:val="single" w:sz="6" w:space="0" w:color="000000"/>
        <w:right w:val="single" w:sz="6" w:space="0" w:color="000000"/>
      </w:pBdr>
      <w:shd w:val="clear" w:color="auto" w:fill="B9D3EE"/>
      <w:spacing w:before="100" w:beforeAutospacing="1" w:after="100" w:afterAutospacing="1"/>
    </w:pPr>
    <w:rPr>
      <w:sz w:val="24"/>
    </w:rPr>
  </w:style>
  <w:style w:type="paragraph" w:customStyle="1" w:styleId="caseevaluatorinjuryheaderalignmentleft">
    <w:name w:val="caseevaluatorinjuryheaderalignmentleft"/>
    <w:basedOn w:val="Normal"/>
    <w:pPr>
      <w:spacing w:before="100" w:beforeAutospacing="1" w:after="100" w:afterAutospacing="1"/>
      <w:textAlignment w:val="center"/>
    </w:pPr>
    <w:rPr>
      <w:sz w:val="24"/>
    </w:rPr>
  </w:style>
  <w:style w:type="paragraph" w:customStyle="1" w:styleId="caseevaluatorinjuryheaderalignmentright">
    <w:name w:val="caseevaluatorinjuryheaderalignmentright"/>
    <w:basedOn w:val="Normal"/>
    <w:pPr>
      <w:spacing w:before="100" w:beforeAutospacing="1" w:after="100" w:afterAutospacing="1"/>
      <w:jc w:val="right"/>
      <w:textAlignment w:val="center"/>
    </w:pPr>
    <w:rPr>
      <w:sz w:val="24"/>
    </w:rPr>
  </w:style>
  <w:style w:type="paragraph" w:customStyle="1" w:styleId="caseevaluatorinjurytabregionbackgroud">
    <w:name w:val="caseevaluatorinjurytabregionbackgroud"/>
    <w:basedOn w:val="Normal"/>
    <w:pPr>
      <w:pBdr>
        <w:top w:val="single" w:sz="6" w:space="0" w:color="auto"/>
        <w:left w:val="single" w:sz="6" w:space="0" w:color="auto"/>
        <w:bottom w:val="single" w:sz="6" w:space="0" w:color="auto"/>
        <w:right w:val="single" w:sz="6" w:space="0" w:color="auto"/>
      </w:pBdr>
      <w:shd w:val="clear" w:color="auto" w:fill="CFCFCF"/>
      <w:spacing w:before="100" w:beforeAutospacing="1" w:after="100" w:afterAutospacing="1"/>
    </w:pPr>
    <w:rPr>
      <w:sz w:val="24"/>
    </w:rPr>
  </w:style>
  <w:style w:type="paragraph" w:customStyle="1" w:styleId="caseevaluatorinjurytreeregion">
    <w:name w:val="caseevaluatorinjurytreeregion"/>
    <w:basedOn w:val="Normal"/>
    <w:pPr>
      <w:pBdr>
        <w:left w:val="single" w:sz="6" w:space="0" w:color="000000"/>
        <w:bottom w:val="single" w:sz="6" w:space="0" w:color="000000"/>
        <w:right w:val="single" w:sz="6" w:space="0" w:color="000000"/>
      </w:pBdr>
      <w:shd w:val="clear" w:color="auto" w:fill="CFCFCF"/>
      <w:spacing w:before="100" w:beforeAutospacing="1" w:after="100" w:afterAutospacing="1"/>
    </w:pPr>
    <w:rPr>
      <w:sz w:val="24"/>
    </w:rPr>
  </w:style>
  <w:style w:type="paragraph" w:customStyle="1" w:styleId="caseevaluatorpersonalinjurycontrolregion">
    <w:name w:val="caseevaluatorpersonalinjurycontrolregion"/>
    <w:basedOn w:val="Normal"/>
    <w:pPr>
      <w:shd w:val="clear" w:color="auto" w:fill="CFCFCF"/>
      <w:spacing w:before="100" w:beforeAutospacing="1" w:after="100" w:afterAutospacing="1"/>
      <w:ind w:left="150"/>
    </w:pPr>
    <w:rPr>
      <w:sz w:val="24"/>
    </w:rPr>
  </w:style>
  <w:style w:type="paragraph" w:customStyle="1" w:styleId="caseevaluatorpersonalinjurysearchregion">
    <w:name w:val="caseevaluatorpersonalinjurysearchregion"/>
    <w:basedOn w:val="Normal"/>
    <w:pPr>
      <w:shd w:val="clear" w:color="auto" w:fill="CFCFCF"/>
      <w:spacing w:before="100" w:beforeAutospacing="1" w:after="100" w:afterAutospacing="1"/>
      <w:ind w:left="150"/>
    </w:pPr>
    <w:rPr>
      <w:sz w:val="24"/>
    </w:rPr>
  </w:style>
  <w:style w:type="paragraph" w:customStyle="1" w:styleId="caseevaluatorpersonalinjuryresultregion">
    <w:name w:val="caseevaluatorpersonalinjuryresultregion"/>
    <w:basedOn w:val="Normal"/>
    <w:pPr>
      <w:pBdr>
        <w:top w:val="single" w:sz="6" w:space="0" w:color="auto"/>
      </w:pBdr>
      <w:shd w:val="clear" w:color="auto" w:fill="FFFFFF"/>
      <w:spacing w:before="100" w:beforeAutospacing="1" w:after="100" w:afterAutospacing="1"/>
    </w:pPr>
    <w:rPr>
      <w:sz w:val="24"/>
    </w:rPr>
  </w:style>
  <w:style w:type="paragraph" w:customStyle="1" w:styleId="caseevaluatorotherinjuryresultregion">
    <w:name w:val="caseevaluatorotherinjuryresultregion"/>
    <w:basedOn w:val="Normal"/>
    <w:pPr>
      <w:pBdr>
        <w:top w:val="single" w:sz="6" w:space="0" w:color="auto"/>
      </w:pBdr>
      <w:shd w:val="clear" w:color="auto" w:fill="FFFFFF"/>
      <w:spacing w:before="100" w:beforeAutospacing="1" w:after="100" w:afterAutospacing="1"/>
    </w:pPr>
    <w:rPr>
      <w:sz w:val="24"/>
    </w:rPr>
  </w:style>
  <w:style w:type="paragraph" w:customStyle="1" w:styleId="layoutcaseevaltitleheader">
    <w:name w:val="layout_caseevaltitleheader"/>
    <w:basedOn w:val="Normal"/>
    <w:pPr>
      <w:shd w:val="clear" w:color="auto" w:fill="4B65A4"/>
      <w:spacing w:before="100" w:beforeAutospacing="1" w:after="100" w:afterAutospacing="1"/>
    </w:pPr>
    <w:rPr>
      <w:sz w:val="24"/>
    </w:rPr>
  </w:style>
  <w:style w:type="paragraph" w:customStyle="1" w:styleId="layoutcaseevalheadersection">
    <w:name w:val="layout_caseevalheadersection"/>
    <w:basedOn w:val="Normal"/>
    <w:pPr>
      <w:shd w:val="clear" w:color="auto" w:fill="FFFFFF"/>
      <w:spacing w:before="100" w:beforeAutospacing="1" w:after="100" w:afterAutospacing="1"/>
    </w:pPr>
    <w:rPr>
      <w:sz w:val="24"/>
    </w:rPr>
  </w:style>
  <w:style w:type="paragraph" w:customStyle="1" w:styleId="layoutcaseevallabelfullwidth">
    <w:name w:val="layout_caseevallabelfullwidth"/>
    <w:basedOn w:val="Normal"/>
    <w:pPr>
      <w:spacing w:before="100" w:beforeAutospacing="1" w:after="100" w:afterAutospacing="1"/>
    </w:pPr>
    <w:rPr>
      <w:sz w:val="24"/>
    </w:rPr>
  </w:style>
  <w:style w:type="paragraph" w:customStyle="1" w:styleId="layoutcaseevallabelhalfwidth">
    <w:name w:val="layout_caseevallabelhalfwidth"/>
    <w:basedOn w:val="Normal"/>
    <w:pPr>
      <w:spacing w:before="100" w:beforeAutospacing="1" w:after="100" w:afterAutospacing="1"/>
    </w:pPr>
    <w:rPr>
      <w:sz w:val="24"/>
    </w:rPr>
  </w:style>
  <w:style w:type="paragraph" w:customStyle="1" w:styleId="layoutdaterangeleftsidegroup">
    <w:name w:val="layout_daterangeleftsidegroup"/>
    <w:basedOn w:val="Normal"/>
    <w:pPr>
      <w:spacing w:before="100" w:beforeAutospacing="1" w:after="100" w:afterAutospacing="1"/>
    </w:pPr>
    <w:rPr>
      <w:sz w:val="24"/>
    </w:rPr>
  </w:style>
  <w:style w:type="paragraph" w:customStyle="1" w:styleId="groupheadingwhite">
    <w:name w:val="groupheadingwhite"/>
    <w:basedOn w:val="Normal"/>
    <w:pPr>
      <w:spacing w:before="100" w:beforeAutospacing="1" w:after="100" w:afterAutospacing="1"/>
    </w:pPr>
    <w:rPr>
      <w:rFonts w:ascii="Verdana" w:hAnsi="Verdana"/>
      <w:b/>
      <w:bCs w:val="0"/>
      <w:color w:val="FFFFFF"/>
      <w:sz w:val="19"/>
      <w:szCs w:val="19"/>
    </w:rPr>
  </w:style>
  <w:style w:type="paragraph" w:customStyle="1" w:styleId="groupheadingblack">
    <w:name w:val="groupheadingblack"/>
    <w:basedOn w:val="Normal"/>
    <w:pPr>
      <w:spacing w:before="100" w:beforeAutospacing="1" w:after="100" w:afterAutospacing="1"/>
    </w:pPr>
    <w:rPr>
      <w:rFonts w:ascii="Verdana" w:hAnsi="Verdana"/>
      <w:b/>
      <w:bCs w:val="0"/>
      <w:color w:val="000000"/>
      <w:sz w:val="19"/>
      <w:szCs w:val="19"/>
    </w:rPr>
  </w:style>
  <w:style w:type="paragraph" w:customStyle="1" w:styleId="inputlabelwhite">
    <w:name w:val="inputlabelwhite"/>
    <w:basedOn w:val="Normal"/>
    <w:pPr>
      <w:spacing w:before="100" w:beforeAutospacing="1" w:after="100" w:afterAutospacing="1"/>
    </w:pPr>
    <w:rPr>
      <w:rFonts w:ascii="Verdana" w:hAnsi="Verdana"/>
      <w:color w:val="FFFFFF"/>
      <w:sz w:val="17"/>
      <w:szCs w:val="17"/>
    </w:rPr>
  </w:style>
  <w:style w:type="paragraph" w:customStyle="1" w:styleId="inputlabelblack">
    <w:name w:val="inputlabelblack"/>
    <w:basedOn w:val="Normal"/>
    <w:pPr>
      <w:spacing w:before="100" w:beforeAutospacing="1" w:after="100" w:afterAutospacing="1"/>
    </w:pPr>
    <w:rPr>
      <w:rFonts w:ascii="Verdana" w:hAnsi="Verdana"/>
      <w:color w:val="000000"/>
      <w:sz w:val="17"/>
      <w:szCs w:val="17"/>
    </w:rPr>
  </w:style>
  <w:style w:type="paragraph" w:customStyle="1" w:styleId="inputlabelblackbold">
    <w:name w:val="inputlabelblackbold"/>
    <w:basedOn w:val="Normal"/>
    <w:pPr>
      <w:spacing w:before="100" w:beforeAutospacing="1" w:after="100" w:afterAutospacing="1"/>
    </w:pPr>
    <w:rPr>
      <w:rFonts w:ascii="Verdana" w:hAnsi="Verdana"/>
      <w:b/>
      <w:bCs w:val="0"/>
      <w:color w:val="000000"/>
      <w:sz w:val="17"/>
      <w:szCs w:val="17"/>
    </w:rPr>
  </w:style>
  <w:style w:type="paragraph" w:customStyle="1" w:styleId="inputlabelsmallblack">
    <w:name w:val="inputlabelsmallblack"/>
    <w:basedOn w:val="Normal"/>
    <w:pPr>
      <w:spacing w:before="100" w:beforeAutospacing="1" w:after="100" w:afterAutospacing="1"/>
    </w:pPr>
    <w:rPr>
      <w:rFonts w:ascii="Verdana" w:hAnsi="Verdana"/>
      <w:color w:val="000000"/>
      <w:sz w:val="16"/>
      <w:szCs w:val="16"/>
    </w:rPr>
  </w:style>
  <w:style w:type="paragraph" w:customStyle="1" w:styleId="inputlabelsmallwhite">
    <w:name w:val="inputlabelsmallwhite"/>
    <w:basedOn w:val="Normal"/>
    <w:pPr>
      <w:spacing w:before="100" w:beforeAutospacing="1" w:after="100" w:afterAutospacing="1"/>
    </w:pPr>
    <w:rPr>
      <w:rFonts w:ascii="Verdana" w:hAnsi="Verdana"/>
      <w:color w:val="FFFFFF"/>
      <w:sz w:val="16"/>
      <w:szCs w:val="16"/>
    </w:rPr>
  </w:style>
  <w:style w:type="paragraph" w:customStyle="1" w:styleId="inputcontentwhite">
    <w:name w:val="inputcontentwhite"/>
    <w:basedOn w:val="Normal"/>
    <w:pPr>
      <w:spacing w:before="100" w:beforeAutospacing="1" w:after="100" w:afterAutospacing="1"/>
    </w:pPr>
    <w:rPr>
      <w:rFonts w:ascii="Verdana" w:hAnsi="Verdana"/>
      <w:color w:val="FFFFFF"/>
      <w:sz w:val="17"/>
      <w:szCs w:val="17"/>
    </w:rPr>
  </w:style>
  <w:style w:type="paragraph" w:customStyle="1" w:styleId="inputcontentblack">
    <w:name w:val="inputcontentblack"/>
    <w:basedOn w:val="Normal"/>
    <w:pPr>
      <w:spacing w:before="100" w:beforeAutospacing="1" w:after="100" w:afterAutospacing="1"/>
    </w:pPr>
    <w:rPr>
      <w:rFonts w:ascii="Verdana" w:hAnsi="Verdana"/>
      <w:color w:val="000000"/>
      <w:sz w:val="17"/>
      <w:szCs w:val="17"/>
    </w:rPr>
  </w:style>
  <w:style w:type="paragraph" w:customStyle="1" w:styleId="progresscontroltable">
    <w:name w:val="progresscontroltable"/>
    <w:basedOn w:val="Normal"/>
    <w:pPr>
      <w:pBdr>
        <w:top w:val="single" w:sz="6" w:space="0" w:color="ADADAD"/>
        <w:left w:val="single" w:sz="6" w:space="0" w:color="ADADAD"/>
        <w:bottom w:val="single" w:sz="6" w:space="0" w:color="ADADAD"/>
        <w:right w:val="single" w:sz="6" w:space="0" w:color="ADADAD"/>
      </w:pBdr>
      <w:shd w:val="clear" w:color="auto" w:fill="ADADAD"/>
      <w:spacing w:before="100" w:beforeAutospacing="1" w:after="100" w:afterAutospacing="1"/>
    </w:pPr>
    <w:rPr>
      <w:sz w:val="24"/>
    </w:rPr>
  </w:style>
  <w:style w:type="paragraph" w:customStyle="1" w:styleId="progresscontrolcomplete">
    <w:name w:val="progresscontrolcomplete"/>
    <w:basedOn w:val="Normal"/>
    <w:pPr>
      <w:shd w:val="clear" w:color="auto" w:fill="ADADAD"/>
      <w:spacing w:before="100" w:beforeAutospacing="1" w:after="100" w:afterAutospacing="1"/>
      <w:jc w:val="right"/>
    </w:pPr>
    <w:rPr>
      <w:sz w:val="24"/>
    </w:rPr>
  </w:style>
  <w:style w:type="paragraph" w:customStyle="1" w:styleId="progresscontrolnotcomplete">
    <w:name w:val="progresscontrolnotcomplete"/>
    <w:basedOn w:val="Normal"/>
    <w:pPr>
      <w:shd w:val="clear" w:color="auto" w:fill="FFFFFF"/>
      <w:spacing w:before="100" w:beforeAutospacing="1" w:after="100" w:afterAutospacing="1"/>
    </w:pPr>
    <w:rPr>
      <w:sz w:val="24"/>
    </w:rPr>
  </w:style>
  <w:style w:type="paragraph" w:customStyle="1" w:styleId="noticeheadercell">
    <w:name w:val="noticeheadercell"/>
    <w:basedOn w:val="Normal"/>
    <w:pPr>
      <w:shd w:val="clear" w:color="auto" w:fill="446DBA"/>
      <w:spacing w:before="100" w:beforeAutospacing="1" w:after="100" w:afterAutospacing="1"/>
    </w:pPr>
    <w:rPr>
      <w:b/>
      <w:bCs w:val="0"/>
      <w:color w:val="FFFFFF"/>
      <w:sz w:val="24"/>
    </w:rPr>
  </w:style>
  <w:style w:type="paragraph" w:customStyle="1" w:styleId="noticeimagecell">
    <w:name w:val="noticeimagecell"/>
    <w:basedOn w:val="Normal"/>
    <w:pPr>
      <w:shd w:val="clear" w:color="auto" w:fill="F2F5F7"/>
      <w:spacing w:before="100" w:beforeAutospacing="1" w:after="100" w:afterAutospacing="1"/>
      <w:textAlignment w:val="top"/>
    </w:pPr>
    <w:rPr>
      <w:sz w:val="24"/>
    </w:rPr>
  </w:style>
  <w:style w:type="paragraph" w:customStyle="1" w:styleId="noticemessagetextcell">
    <w:name w:val="noticemessagetextcell"/>
    <w:basedOn w:val="Normal"/>
    <w:pPr>
      <w:shd w:val="clear" w:color="auto" w:fill="F2F5F7"/>
      <w:spacing w:before="100" w:beforeAutospacing="1" w:after="100" w:afterAutospacing="1"/>
    </w:pPr>
    <w:rPr>
      <w:sz w:val="24"/>
    </w:rPr>
  </w:style>
  <w:style w:type="paragraph" w:customStyle="1" w:styleId="noticecontroltable">
    <w:name w:val="noticecontroltable"/>
    <w:basedOn w:val="Normal"/>
    <w:pPr>
      <w:spacing w:before="100" w:beforeAutospacing="1" w:after="100" w:afterAutospacing="1"/>
    </w:pPr>
    <w:rPr>
      <w:sz w:val="24"/>
    </w:rPr>
  </w:style>
  <w:style w:type="paragraph" w:customStyle="1" w:styleId="rolloverheading">
    <w:name w:val="rolloverheading"/>
    <w:basedOn w:val="Normal"/>
    <w:pPr>
      <w:spacing w:before="100" w:beforeAutospacing="1" w:after="100" w:afterAutospacing="1"/>
    </w:pPr>
    <w:rPr>
      <w:rFonts w:ascii="Verdana" w:hAnsi="Verdana"/>
      <w:b/>
      <w:bCs w:val="0"/>
      <w:color w:val="000000"/>
      <w:sz w:val="17"/>
      <w:szCs w:val="17"/>
    </w:rPr>
  </w:style>
  <w:style w:type="paragraph" w:customStyle="1" w:styleId="rolloversmallblack">
    <w:name w:val="rolloversmallblack"/>
    <w:basedOn w:val="Normal"/>
    <w:pPr>
      <w:spacing w:before="100" w:beforeAutospacing="1" w:after="100" w:afterAutospacing="1"/>
    </w:pPr>
    <w:rPr>
      <w:rFonts w:ascii="Verdana" w:hAnsi="Verdana"/>
      <w:color w:val="000000"/>
      <w:sz w:val="14"/>
      <w:szCs w:val="14"/>
    </w:rPr>
  </w:style>
  <w:style w:type="paragraph" w:customStyle="1" w:styleId="rolloversmallwhite">
    <w:name w:val="rolloversmallwhite"/>
    <w:basedOn w:val="Normal"/>
    <w:pPr>
      <w:spacing w:before="100" w:beforeAutospacing="1" w:after="100" w:afterAutospacing="1"/>
    </w:pPr>
    <w:rPr>
      <w:rFonts w:ascii="Verdana" w:hAnsi="Verdana"/>
      <w:b/>
      <w:bCs w:val="0"/>
      <w:color w:val="FFFFFF"/>
      <w:sz w:val="17"/>
      <w:szCs w:val="17"/>
    </w:rPr>
  </w:style>
  <w:style w:type="paragraph" w:customStyle="1" w:styleId="statechartwhiteboxtitle">
    <w:name w:val="statechartwhiteboxtitle"/>
    <w:basedOn w:val="Normal"/>
    <w:pPr>
      <w:spacing w:before="100" w:beforeAutospacing="1" w:after="100" w:afterAutospacing="1"/>
      <w:jc w:val="center"/>
    </w:pPr>
    <w:rPr>
      <w:b/>
      <w:bCs w:val="0"/>
      <w:sz w:val="17"/>
      <w:szCs w:val="17"/>
    </w:rPr>
  </w:style>
  <w:style w:type="paragraph" w:customStyle="1" w:styleId="statechartwhiteboxcourt">
    <w:name w:val="statechartwhiteboxcourt"/>
    <w:basedOn w:val="Normal"/>
    <w:pPr>
      <w:spacing w:before="100" w:beforeAutospacing="1" w:after="100" w:afterAutospacing="1"/>
      <w:jc w:val="center"/>
      <w:textAlignment w:val="top"/>
    </w:pPr>
    <w:rPr>
      <w:sz w:val="17"/>
      <w:szCs w:val="17"/>
    </w:rPr>
  </w:style>
  <w:style w:type="paragraph" w:customStyle="1" w:styleId="statechartstatelabel">
    <w:name w:val="statechartstatelabel"/>
    <w:basedOn w:val="Normal"/>
    <w:pPr>
      <w:spacing w:before="100" w:beforeAutospacing="1" w:after="100" w:afterAutospacing="1"/>
      <w:ind w:left="60"/>
    </w:pPr>
    <w:rPr>
      <w:b/>
      <w:bCs w:val="0"/>
      <w:sz w:val="21"/>
      <w:szCs w:val="21"/>
    </w:rPr>
  </w:style>
  <w:style w:type="paragraph" w:customStyle="1" w:styleId="statechartcourtlabel">
    <w:name w:val="statechartcourtlabel"/>
    <w:basedOn w:val="Normal"/>
    <w:pPr>
      <w:spacing w:before="120" w:after="100" w:afterAutospacing="1"/>
    </w:pPr>
    <w:rPr>
      <w:b/>
      <w:bCs w:val="0"/>
      <w:sz w:val="17"/>
      <w:szCs w:val="17"/>
    </w:rPr>
  </w:style>
  <w:style w:type="paragraph" w:customStyle="1" w:styleId="statechartcaveat">
    <w:name w:val="statechartcaveat"/>
    <w:basedOn w:val="Normal"/>
    <w:pPr>
      <w:spacing w:before="100" w:beforeAutospacing="1" w:after="100" w:afterAutospacing="1"/>
      <w:jc w:val="center"/>
    </w:pPr>
    <w:rPr>
      <w:sz w:val="15"/>
      <w:szCs w:val="15"/>
    </w:rPr>
  </w:style>
  <w:style w:type="paragraph" w:customStyle="1" w:styleId="statechartwhitebox">
    <w:name w:val="statechartwhitebox"/>
    <w:basedOn w:val="Normal"/>
    <w:pPr>
      <w:shd w:val="clear" w:color="auto" w:fill="FFFFFF"/>
      <w:spacing w:before="60" w:after="60"/>
    </w:pPr>
    <w:rPr>
      <w:sz w:val="24"/>
    </w:rPr>
  </w:style>
  <w:style w:type="paragraph" w:customStyle="1" w:styleId="statechartoutertable">
    <w:name w:val="statechartoutertable"/>
    <w:basedOn w:val="Normal"/>
    <w:pPr>
      <w:pBdr>
        <w:top w:val="single" w:sz="6" w:space="0" w:color="666666"/>
        <w:left w:val="single" w:sz="6" w:space="0" w:color="666666"/>
        <w:bottom w:val="single" w:sz="6" w:space="0" w:color="666666"/>
        <w:right w:val="single" w:sz="6" w:space="0" w:color="666666"/>
      </w:pBdr>
      <w:shd w:val="clear" w:color="auto" w:fill="FFFFFF"/>
      <w:spacing w:before="100" w:beforeAutospacing="1" w:after="100" w:afterAutospacing="1"/>
    </w:pPr>
    <w:rPr>
      <w:sz w:val="24"/>
    </w:rPr>
  </w:style>
  <w:style w:type="paragraph" w:customStyle="1" w:styleId="statecourtbottommargin">
    <w:name w:val="statecourtbottommargin"/>
    <w:basedOn w:val="Normal"/>
    <w:pPr>
      <w:spacing w:before="100" w:beforeAutospacing="1" w:after="45"/>
    </w:pPr>
    <w:rPr>
      <w:sz w:val="24"/>
    </w:rPr>
  </w:style>
  <w:style w:type="paragraph" w:customStyle="1" w:styleId="statecharttoplevel">
    <w:name w:val="statecharttoplevel"/>
    <w:basedOn w:val="Normal"/>
    <w:pPr>
      <w:pBdr>
        <w:top w:val="single" w:sz="6" w:space="0" w:color="999999"/>
        <w:left w:val="single" w:sz="6" w:space="0" w:color="999999"/>
        <w:bottom w:val="single" w:sz="6" w:space="0" w:color="999999"/>
        <w:right w:val="single" w:sz="6" w:space="0" w:color="999999"/>
      </w:pBdr>
      <w:shd w:val="clear" w:color="auto" w:fill="B2C7EB"/>
      <w:spacing w:before="100" w:beforeAutospacing="1" w:after="100" w:afterAutospacing="1"/>
    </w:pPr>
    <w:rPr>
      <w:sz w:val="24"/>
    </w:rPr>
  </w:style>
  <w:style w:type="paragraph" w:customStyle="1" w:styleId="statechartmidlevel">
    <w:name w:val="statechartmidlevel"/>
    <w:basedOn w:val="Normal"/>
    <w:pPr>
      <w:pBdr>
        <w:top w:val="single" w:sz="6" w:space="0" w:color="999999"/>
        <w:left w:val="single" w:sz="6" w:space="0" w:color="999999"/>
        <w:bottom w:val="single" w:sz="6" w:space="0" w:color="999999"/>
        <w:right w:val="single" w:sz="6" w:space="0" w:color="999999"/>
      </w:pBdr>
      <w:shd w:val="clear" w:color="auto" w:fill="9BB5E3"/>
      <w:spacing w:before="100" w:beforeAutospacing="1" w:after="100" w:afterAutospacing="1"/>
    </w:pPr>
    <w:rPr>
      <w:sz w:val="24"/>
    </w:rPr>
  </w:style>
  <w:style w:type="paragraph" w:customStyle="1" w:styleId="statechartbottomlevel">
    <w:name w:val="statechartbottomlevel"/>
    <w:basedOn w:val="Normal"/>
    <w:pPr>
      <w:pBdr>
        <w:top w:val="single" w:sz="6" w:space="0" w:color="999999"/>
        <w:left w:val="single" w:sz="6" w:space="0" w:color="999999"/>
        <w:bottom w:val="single" w:sz="6" w:space="0" w:color="999999"/>
        <w:right w:val="single" w:sz="6" w:space="0" w:color="999999"/>
      </w:pBdr>
      <w:shd w:val="clear" w:color="auto" w:fill="83A3D9"/>
      <w:spacing w:before="100" w:beforeAutospacing="1" w:after="100" w:afterAutospacing="1"/>
    </w:pPr>
    <w:rPr>
      <w:sz w:val="24"/>
    </w:rPr>
  </w:style>
  <w:style w:type="paragraph" w:customStyle="1" w:styleId="copyrightfooter">
    <w:name w:val="copyrightfooter"/>
    <w:basedOn w:val="Normal"/>
    <w:pPr>
      <w:spacing w:before="100" w:beforeAutospacing="1" w:after="100" w:afterAutospacing="1"/>
      <w:ind w:left="150" w:right="150"/>
    </w:pPr>
    <w:rPr>
      <w:sz w:val="24"/>
    </w:rPr>
  </w:style>
  <w:style w:type="paragraph" w:customStyle="1" w:styleId="verticallistlarge">
    <w:name w:val="verticallistlarge"/>
    <w:basedOn w:val="Normal"/>
    <w:pPr>
      <w:spacing w:before="100" w:beforeAutospacing="1" w:after="100" w:afterAutospacing="1"/>
    </w:pPr>
    <w:rPr>
      <w:rFonts w:ascii="Verdana" w:hAnsi="Verdana"/>
      <w:sz w:val="22"/>
      <w:szCs w:val="22"/>
    </w:rPr>
  </w:style>
  <w:style w:type="paragraph" w:customStyle="1" w:styleId="verticallist">
    <w:name w:val="verticallist"/>
    <w:basedOn w:val="Normal"/>
    <w:pPr>
      <w:spacing w:before="100" w:beforeAutospacing="1" w:after="100" w:afterAutospacing="1"/>
    </w:pPr>
    <w:rPr>
      <w:rFonts w:ascii="Verdana" w:hAnsi="Verdana"/>
      <w:sz w:val="19"/>
      <w:szCs w:val="19"/>
    </w:rPr>
  </w:style>
  <w:style w:type="paragraph" w:customStyle="1" w:styleId="verticallistsmall">
    <w:name w:val="verticallistsmall"/>
    <w:basedOn w:val="Normal"/>
    <w:pPr>
      <w:spacing w:before="100" w:beforeAutospacing="1" w:after="100" w:afterAutospacing="1"/>
    </w:pPr>
    <w:rPr>
      <w:rFonts w:ascii="Verdana" w:hAnsi="Verdana"/>
      <w:sz w:val="17"/>
      <w:szCs w:val="17"/>
    </w:rPr>
  </w:style>
  <w:style w:type="paragraph" w:customStyle="1" w:styleId="layoutoptionsdropdown">
    <w:name w:val="layout_optionsdropdown"/>
    <w:basedOn w:val="Normal"/>
    <w:pPr>
      <w:spacing w:before="100" w:beforeAutospacing="1" w:after="120"/>
      <w:ind w:left="150"/>
    </w:pPr>
    <w:rPr>
      <w:sz w:val="24"/>
    </w:rPr>
  </w:style>
  <w:style w:type="paragraph" w:customStyle="1" w:styleId="layoutdynamiclistalignment">
    <w:name w:val="layout_dynamiclistalignment"/>
    <w:basedOn w:val="Normal"/>
    <w:pPr>
      <w:spacing w:before="100" w:beforeAutospacing="1" w:after="100" w:afterAutospacing="1"/>
      <w:ind w:left="-45"/>
    </w:pPr>
    <w:rPr>
      <w:sz w:val="24"/>
    </w:rPr>
  </w:style>
  <w:style w:type="paragraph" w:customStyle="1" w:styleId="layoutalertsoptionscheckboxes">
    <w:name w:val="layout_alertsoptionscheckboxes"/>
    <w:basedOn w:val="Normal"/>
    <w:pPr>
      <w:spacing w:before="100" w:beforeAutospacing="1" w:after="100" w:afterAutospacing="1"/>
    </w:pPr>
    <w:rPr>
      <w:sz w:val="24"/>
    </w:rPr>
  </w:style>
  <w:style w:type="paragraph" w:customStyle="1" w:styleId="layoutcalendaringreminderdropdown">
    <w:name w:val="layout_calendaringreminderdropdown"/>
    <w:basedOn w:val="Normal"/>
    <w:pPr>
      <w:spacing w:before="100" w:beforeAutospacing="1" w:after="100" w:afterAutospacing="1"/>
    </w:pPr>
    <w:rPr>
      <w:sz w:val="24"/>
    </w:rPr>
  </w:style>
  <w:style w:type="paragraph" w:customStyle="1" w:styleId="layoutcalendardropdown">
    <w:name w:val="layout_calendardropdown"/>
    <w:basedOn w:val="Normal"/>
    <w:pPr>
      <w:spacing w:before="100" w:beforeAutospacing="1" w:after="120"/>
      <w:ind w:left="150"/>
    </w:pPr>
    <w:rPr>
      <w:sz w:val="24"/>
    </w:rPr>
  </w:style>
  <w:style w:type="paragraph" w:customStyle="1" w:styleId="layoutemailpreferences">
    <w:name w:val="layout_emailpreferences"/>
    <w:basedOn w:val="Normal"/>
    <w:pPr>
      <w:spacing w:before="100" w:beforeAutospacing="1" w:after="100" w:afterAutospacing="1"/>
    </w:pPr>
    <w:rPr>
      <w:sz w:val="24"/>
    </w:rPr>
  </w:style>
  <w:style w:type="paragraph" w:customStyle="1" w:styleId="layoutalertsemailpreferences">
    <w:name w:val="layout_alertsemailpreferences"/>
    <w:basedOn w:val="Normal"/>
    <w:pPr>
      <w:spacing w:before="100" w:beforeAutospacing="1" w:after="100" w:afterAutospacing="1"/>
    </w:pPr>
    <w:rPr>
      <w:sz w:val="24"/>
    </w:rPr>
  </w:style>
  <w:style w:type="paragraph" w:customStyle="1" w:styleId="layoutalertsemailpreferencesff">
    <w:name w:val="layout_alertsemailpreferencesff"/>
    <w:basedOn w:val="Normal"/>
    <w:pPr>
      <w:spacing w:before="100" w:beforeAutospacing="1" w:after="100" w:afterAutospacing="1"/>
    </w:pPr>
    <w:rPr>
      <w:sz w:val="24"/>
    </w:rPr>
  </w:style>
  <w:style w:type="paragraph" w:customStyle="1" w:styleId="layoutemailprint">
    <w:name w:val="layout_emailprint"/>
    <w:basedOn w:val="Normal"/>
    <w:pPr>
      <w:spacing w:after="60"/>
      <w:ind w:left="60"/>
    </w:pPr>
    <w:rPr>
      <w:sz w:val="24"/>
    </w:rPr>
  </w:style>
  <w:style w:type="paragraph" w:customStyle="1" w:styleId="layoutfaxmachine">
    <w:name w:val="layout_faxmachine"/>
    <w:basedOn w:val="Normal"/>
    <w:pPr>
      <w:spacing w:before="100" w:beforeAutospacing="1" w:after="100" w:afterAutospacing="1"/>
    </w:pPr>
    <w:rPr>
      <w:sz w:val="24"/>
    </w:rPr>
  </w:style>
  <w:style w:type="paragraph" w:customStyle="1" w:styleId="layoutfaxmachineprintdialog">
    <w:name w:val="layout_faxmachineprintdialog"/>
    <w:basedOn w:val="Normal"/>
    <w:pPr>
      <w:spacing w:before="100" w:beforeAutospacing="1" w:after="100" w:afterAutospacing="1"/>
    </w:pPr>
    <w:rPr>
      <w:sz w:val="24"/>
    </w:rPr>
  </w:style>
  <w:style w:type="paragraph" w:customStyle="1" w:styleId="layoutalertstextbox">
    <w:name w:val="layout_alertstextbox"/>
    <w:basedOn w:val="Normal"/>
    <w:pPr>
      <w:spacing w:after="120"/>
    </w:pPr>
    <w:rPr>
      <w:sz w:val="24"/>
    </w:rPr>
  </w:style>
  <w:style w:type="paragraph" w:customStyle="1" w:styleId="layoutalertsdropdown">
    <w:name w:val="layout_alertsdropdown"/>
    <w:basedOn w:val="Normal"/>
    <w:pPr>
      <w:spacing w:before="100" w:beforeAutospacing="1" w:after="120"/>
    </w:pPr>
    <w:rPr>
      <w:sz w:val="24"/>
    </w:rPr>
  </w:style>
  <w:style w:type="paragraph" w:customStyle="1" w:styleId="layoutalertsemailformat">
    <w:name w:val="layout_alertsemailformat"/>
    <w:basedOn w:val="Normal"/>
    <w:pPr>
      <w:spacing w:before="100" w:beforeAutospacing="1" w:after="120"/>
    </w:pPr>
    <w:rPr>
      <w:sz w:val="24"/>
    </w:rPr>
  </w:style>
  <w:style w:type="paragraph" w:customStyle="1" w:styleId="layoutalertsprinterdropdown">
    <w:name w:val="layout_alertsprinterdropdown"/>
    <w:basedOn w:val="Normal"/>
    <w:pPr>
      <w:spacing w:before="100" w:beforeAutospacing="1" w:after="120"/>
    </w:pPr>
    <w:rPr>
      <w:sz w:val="24"/>
    </w:rPr>
  </w:style>
  <w:style w:type="paragraph" w:customStyle="1" w:styleId="layouttreeitemcontainer">
    <w:name w:val="layout_treeitemcontainer"/>
    <w:basedOn w:val="Normal"/>
    <w:pPr>
      <w:spacing w:before="100" w:beforeAutospacing="1" w:after="100" w:afterAutospacing="1"/>
    </w:pPr>
    <w:rPr>
      <w:sz w:val="24"/>
    </w:rPr>
  </w:style>
  <w:style w:type="paragraph" w:customStyle="1" w:styleId="layoutthreecolumn">
    <w:name w:val="layout_threecolumn"/>
    <w:basedOn w:val="Normal"/>
    <w:pPr>
      <w:spacing w:before="100" w:beforeAutospacing="1" w:after="100" w:afterAutospacing="1"/>
    </w:pPr>
    <w:rPr>
      <w:sz w:val="24"/>
    </w:rPr>
  </w:style>
  <w:style w:type="paragraph" w:customStyle="1" w:styleId="layoutfivecolumn">
    <w:name w:val="layout_fivecolumn"/>
    <w:basedOn w:val="Normal"/>
    <w:pPr>
      <w:spacing w:before="100" w:beforeAutospacing="1" w:after="100" w:afterAutospacing="1"/>
    </w:pPr>
    <w:rPr>
      <w:sz w:val="24"/>
    </w:rPr>
  </w:style>
  <w:style w:type="paragraph" w:customStyle="1" w:styleId="layoutsecuritiestaxonomytabs">
    <w:name w:val="layout_securitiestaxonomytabs"/>
    <w:basedOn w:val="Normal"/>
    <w:pPr>
      <w:spacing w:before="100" w:beforeAutospacing="1" w:after="100" w:afterAutospacing="1"/>
    </w:pPr>
    <w:rPr>
      <w:sz w:val="24"/>
    </w:rPr>
  </w:style>
  <w:style w:type="paragraph" w:customStyle="1" w:styleId="layoutsecuritiestaxonomyfilingstabs">
    <w:name w:val="layout_securitiestaxonomyfilingstabs"/>
    <w:basedOn w:val="Normal"/>
    <w:pPr>
      <w:spacing w:before="100" w:beforeAutospacing="1" w:after="100" w:afterAutospacing="1"/>
    </w:pPr>
    <w:rPr>
      <w:sz w:val="24"/>
    </w:rPr>
  </w:style>
  <w:style w:type="paragraph" w:customStyle="1" w:styleId="layoutstatutesandregulationstreelinks">
    <w:name w:val="layout_statutesandregulationstreelinks"/>
    <w:basedOn w:val="Normal"/>
    <w:pPr>
      <w:spacing w:before="100" w:beforeAutospacing="1" w:after="100" w:afterAutospacing="1"/>
      <w:textAlignment w:val="center"/>
    </w:pPr>
    <w:rPr>
      <w:sz w:val="24"/>
    </w:rPr>
  </w:style>
  <w:style w:type="paragraph" w:customStyle="1" w:styleId="layoutclearleft">
    <w:name w:val="layout_clearleft"/>
    <w:basedOn w:val="Normal"/>
    <w:pPr>
      <w:spacing w:before="100" w:beforeAutospacing="1" w:after="100" w:afterAutospacing="1"/>
    </w:pPr>
    <w:rPr>
      <w:sz w:val="24"/>
    </w:rPr>
  </w:style>
  <w:style w:type="paragraph" w:customStyle="1" w:styleId="layoutclearright">
    <w:name w:val="layout_clearright"/>
    <w:basedOn w:val="Normal"/>
    <w:pPr>
      <w:spacing w:before="100" w:beforeAutospacing="1" w:after="100" w:afterAutospacing="1"/>
    </w:pPr>
    <w:rPr>
      <w:sz w:val="24"/>
    </w:rPr>
  </w:style>
  <w:style w:type="paragraph" w:customStyle="1" w:styleId="layoutclearboth">
    <w:name w:val="layout_clearboth"/>
    <w:basedOn w:val="Normal"/>
    <w:pPr>
      <w:spacing w:before="100" w:beforeAutospacing="1" w:after="100" w:afterAutospacing="1"/>
    </w:pPr>
    <w:rPr>
      <w:sz w:val="24"/>
    </w:rPr>
  </w:style>
  <w:style w:type="paragraph" w:customStyle="1" w:styleId="layoutcaption">
    <w:name w:val="layout_caption"/>
    <w:basedOn w:val="Normal"/>
    <w:rPr>
      <w:sz w:val="24"/>
    </w:rPr>
  </w:style>
  <w:style w:type="paragraph" w:customStyle="1" w:styleId="layoutcaptionlarge">
    <w:name w:val="layout_captionlarge"/>
    <w:basedOn w:val="Normal"/>
    <w:rPr>
      <w:sz w:val="24"/>
    </w:rPr>
  </w:style>
  <w:style w:type="paragraph" w:customStyle="1" w:styleId="layoutcontextlinksdiv">
    <w:name w:val="layout_contextlinksdiv"/>
    <w:basedOn w:val="Normal"/>
    <w:pPr>
      <w:spacing w:before="120" w:after="225"/>
    </w:pPr>
    <w:rPr>
      <w:sz w:val="24"/>
    </w:rPr>
  </w:style>
  <w:style w:type="paragraph" w:customStyle="1" w:styleId="tablecourierfontsmall">
    <w:name w:val="tablecourierfontsmall"/>
    <w:basedOn w:val="Normal"/>
    <w:pPr>
      <w:spacing w:before="100" w:beforeAutospacing="1" w:after="100" w:afterAutospacing="1"/>
    </w:pPr>
    <w:rPr>
      <w:rFonts w:ascii="Courier" w:hAnsi="Courier"/>
      <w:sz w:val="19"/>
      <w:szCs w:val="19"/>
    </w:rPr>
  </w:style>
  <w:style w:type="paragraph" w:customStyle="1" w:styleId="categoryname">
    <w:name w:val="categoryname"/>
    <w:basedOn w:val="Normal"/>
    <w:pPr>
      <w:spacing w:before="100" w:beforeAutospacing="1" w:after="100" w:afterAutospacing="1"/>
    </w:pPr>
    <w:rPr>
      <w:b/>
      <w:bCs w:val="0"/>
      <w:sz w:val="24"/>
    </w:rPr>
  </w:style>
  <w:style w:type="paragraph" w:customStyle="1" w:styleId="categorycount">
    <w:name w:val="categorycount"/>
    <w:basedOn w:val="Normal"/>
    <w:pPr>
      <w:spacing w:before="100" w:beforeAutospacing="1" w:after="100" w:afterAutospacing="1"/>
    </w:pPr>
    <w:rPr>
      <w:sz w:val="24"/>
    </w:rPr>
  </w:style>
  <w:style w:type="paragraph" w:customStyle="1" w:styleId="medlitheading">
    <w:name w:val="medlitheading"/>
    <w:basedOn w:val="Normal"/>
    <w:pPr>
      <w:spacing w:before="100" w:beforeAutospacing="1" w:after="100" w:afterAutospacing="1"/>
    </w:pPr>
    <w:rPr>
      <w:b/>
      <w:bCs w:val="0"/>
      <w:sz w:val="22"/>
      <w:szCs w:val="22"/>
    </w:rPr>
  </w:style>
  <w:style w:type="paragraph" w:customStyle="1" w:styleId="medlitheadingcount">
    <w:name w:val="medlitheadingcount"/>
    <w:basedOn w:val="Normal"/>
    <w:pPr>
      <w:spacing w:before="100" w:beforeAutospacing="1" w:after="100" w:afterAutospacing="1"/>
    </w:pPr>
    <w:rPr>
      <w:sz w:val="22"/>
      <w:szCs w:val="22"/>
    </w:rPr>
  </w:style>
  <w:style w:type="paragraph" w:customStyle="1" w:styleId="medliteditsearch">
    <w:name w:val="medliteditsearch"/>
    <w:basedOn w:val="Normal"/>
    <w:pPr>
      <w:spacing w:before="100" w:beforeAutospacing="1" w:after="100" w:afterAutospacing="1"/>
    </w:pPr>
    <w:rPr>
      <w:b/>
      <w:bCs w:val="0"/>
      <w:sz w:val="24"/>
    </w:rPr>
  </w:style>
  <w:style w:type="paragraph" w:customStyle="1" w:styleId="medlitrailleft">
    <w:name w:val="medlitrailleft"/>
    <w:basedOn w:val="Normal"/>
    <w:pPr>
      <w:pBdr>
        <w:left w:val="single" w:sz="6" w:space="0" w:color="000000"/>
        <w:right w:val="single" w:sz="6" w:space="0" w:color="000000"/>
      </w:pBdr>
      <w:shd w:val="clear" w:color="auto" w:fill="ECECEC"/>
      <w:spacing w:before="100" w:beforeAutospacing="1" w:after="100" w:afterAutospacing="1"/>
    </w:pPr>
    <w:rPr>
      <w:sz w:val="24"/>
    </w:rPr>
  </w:style>
  <w:style w:type="paragraph" w:customStyle="1" w:styleId="medlitrailtop">
    <w:name w:val="medlitrailtop"/>
    <w:basedOn w:val="Normal"/>
    <w:pPr>
      <w:shd w:val="clear" w:color="auto" w:fill="ECECEC"/>
      <w:spacing w:before="100" w:beforeAutospacing="1" w:after="100" w:afterAutospacing="1"/>
      <w:jc w:val="center"/>
    </w:pPr>
    <w:rPr>
      <w:sz w:val="24"/>
    </w:rPr>
  </w:style>
  <w:style w:type="paragraph" w:customStyle="1" w:styleId="medlitseperator">
    <w:name w:val="medlitseperator"/>
    <w:basedOn w:val="Normal"/>
    <w:pPr>
      <w:spacing w:before="100" w:beforeAutospacing="1" w:after="100" w:afterAutospacing="1"/>
    </w:pPr>
    <w:rPr>
      <w:sz w:val="6"/>
      <w:szCs w:val="6"/>
    </w:rPr>
  </w:style>
  <w:style w:type="paragraph" w:customStyle="1" w:styleId="layoutmedliteditsearch">
    <w:name w:val="layout_medliteditsearch"/>
    <w:basedOn w:val="Normal"/>
    <w:rPr>
      <w:sz w:val="24"/>
    </w:rPr>
  </w:style>
  <w:style w:type="paragraph" w:customStyle="1" w:styleId="layoutmedlitreferences">
    <w:name w:val="layout_medlitreferences"/>
    <w:basedOn w:val="Normal"/>
    <w:pPr>
      <w:spacing w:before="100" w:beforeAutospacing="1" w:after="100" w:afterAutospacing="1"/>
    </w:pPr>
    <w:rPr>
      <w:sz w:val="24"/>
    </w:rPr>
  </w:style>
  <w:style w:type="paragraph" w:customStyle="1" w:styleId="layoutmedlitseperator">
    <w:name w:val="layout_medlitseperator"/>
    <w:basedOn w:val="Normal"/>
    <w:pPr>
      <w:spacing w:before="75" w:after="75"/>
    </w:pPr>
    <w:rPr>
      <w:sz w:val="24"/>
    </w:rPr>
  </w:style>
  <w:style w:type="paragraph" w:customStyle="1" w:styleId="categoryreferences">
    <w:name w:val="categoryreferences"/>
    <w:basedOn w:val="Normal"/>
    <w:pPr>
      <w:spacing w:before="100" w:beforeAutospacing="1" w:after="100" w:afterAutospacing="1"/>
    </w:pPr>
    <w:rPr>
      <w:b/>
      <w:bCs w:val="0"/>
      <w:sz w:val="19"/>
      <w:szCs w:val="19"/>
    </w:rPr>
  </w:style>
  <w:style w:type="paragraph" w:customStyle="1" w:styleId="categorylist">
    <w:name w:val="categorylist"/>
    <w:basedOn w:val="Normal"/>
    <w:pPr>
      <w:spacing w:before="100" w:beforeAutospacing="1" w:after="100" w:afterAutospacing="1"/>
    </w:pPr>
    <w:rPr>
      <w:b/>
      <w:bCs w:val="0"/>
      <w:sz w:val="16"/>
      <w:szCs w:val="16"/>
    </w:rPr>
  </w:style>
  <w:style w:type="paragraph" w:customStyle="1" w:styleId="layoutcategoryreferences">
    <w:name w:val="layout_categoryreferences"/>
    <w:basedOn w:val="Normal"/>
    <w:pPr>
      <w:spacing w:before="100" w:beforeAutospacing="1" w:after="100" w:afterAutospacing="1"/>
    </w:pPr>
    <w:rPr>
      <w:sz w:val="24"/>
    </w:rPr>
  </w:style>
  <w:style w:type="paragraph" w:customStyle="1" w:styleId="layoutcategorylist">
    <w:name w:val="layout_categorylist"/>
    <w:basedOn w:val="Normal"/>
    <w:rPr>
      <w:sz w:val="24"/>
    </w:rPr>
  </w:style>
  <w:style w:type="paragraph" w:customStyle="1" w:styleId="layoutmedlitprintcontrol">
    <w:name w:val="layout_medlitprintcontrol"/>
    <w:basedOn w:val="Normal"/>
    <w:pPr>
      <w:spacing w:before="100" w:beforeAutospacing="1" w:after="100" w:afterAutospacing="1"/>
    </w:pPr>
    <w:rPr>
      <w:sz w:val="24"/>
    </w:rPr>
  </w:style>
  <w:style w:type="paragraph" w:customStyle="1" w:styleId="layoutmedlitcitelist">
    <w:name w:val="layout_medlitcitelist"/>
    <w:basedOn w:val="Normal"/>
    <w:pPr>
      <w:spacing w:before="100" w:beforeAutospacing="1" w:after="100" w:afterAutospacing="1"/>
    </w:pPr>
    <w:rPr>
      <w:sz w:val="24"/>
    </w:rPr>
  </w:style>
  <w:style w:type="paragraph" w:customStyle="1" w:styleId="layoutcategorycitelist">
    <w:name w:val="layout_categorycitelist"/>
    <w:basedOn w:val="Normal"/>
    <w:pPr>
      <w:spacing w:before="100" w:beforeAutospacing="1" w:after="100" w:afterAutospacing="1"/>
    </w:pPr>
    <w:rPr>
      <w:sz w:val="24"/>
    </w:rPr>
  </w:style>
  <w:style w:type="paragraph" w:customStyle="1" w:styleId="medlitsearch">
    <w:name w:val="medlitsearch"/>
    <w:basedOn w:val="Normal"/>
    <w:pPr>
      <w:spacing w:before="100" w:beforeAutospacing="1" w:after="100" w:afterAutospacing="1"/>
    </w:pPr>
    <w:rPr>
      <w:rFonts w:ascii="Verdana" w:hAnsi="Verdana"/>
      <w:sz w:val="24"/>
    </w:rPr>
  </w:style>
  <w:style w:type="paragraph" w:customStyle="1" w:styleId="layoutmedlitsearch">
    <w:name w:val="layout_medlitsearch"/>
    <w:basedOn w:val="Normal"/>
    <w:pPr>
      <w:ind w:left="240" w:right="240"/>
    </w:pPr>
    <w:rPr>
      <w:sz w:val="24"/>
    </w:rPr>
  </w:style>
  <w:style w:type="paragraph" w:customStyle="1" w:styleId="medlitentity">
    <w:name w:val="medlitentity"/>
    <w:basedOn w:val="Normal"/>
    <w:pPr>
      <w:spacing w:before="100" w:beforeAutospacing="1" w:after="100" w:afterAutospacing="1"/>
    </w:pPr>
    <w:rPr>
      <w:rFonts w:ascii="Verdana" w:hAnsi="Verdana"/>
      <w:sz w:val="24"/>
    </w:rPr>
  </w:style>
  <w:style w:type="paragraph" w:customStyle="1" w:styleId="layoutmedlitentity">
    <w:name w:val="layout_medlitentity"/>
    <w:basedOn w:val="Normal"/>
    <w:pPr>
      <w:spacing w:before="100" w:beforeAutospacing="1" w:after="100" w:afterAutospacing="1"/>
    </w:pPr>
    <w:rPr>
      <w:sz w:val="24"/>
    </w:rPr>
  </w:style>
  <w:style w:type="paragraph" w:customStyle="1" w:styleId="modalpopupbox">
    <w:name w:val="modalpopupbox"/>
    <w:basedOn w:val="Normal"/>
    <w:pPr>
      <w:pBdr>
        <w:top w:val="outset" w:sz="12" w:space="6" w:color="666666"/>
        <w:left w:val="outset" w:sz="12" w:space="6" w:color="666666"/>
        <w:bottom w:val="outset" w:sz="12" w:space="6" w:color="666666"/>
        <w:right w:val="outset" w:sz="12" w:space="6" w:color="666666"/>
      </w:pBdr>
      <w:shd w:val="clear" w:color="auto" w:fill="EEEEEE"/>
      <w:spacing w:before="100" w:beforeAutospacing="1" w:after="100" w:afterAutospacing="1"/>
    </w:pPr>
    <w:rPr>
      <w:sz w:val="24"/>
    </w:rPr>
  </w:style>
  <w:style w:type="paragraph" w:customStyle="1" w:styleId="jurisdictionpopup">
    <w:name w:val="jurisdictionpopup"/>
    <w:basedOn w:val="Normal"/>
    <w:pPr>
      <w:pBdr>
        <w:top w:val="single" w:sz="18" w:space="6" w:color="4B65A4"/>
        <w:left w:val="single" w:sz="18" w:space="6" w:color="4B65A4"/>
        <w:bottom w:val="single" w:sz="18" w:space="6" w:color="4B65A4"/>
        <w:right w:val="single" w:sz="18" w:space="6" w:color="4B65A4"/>
      </w:pBdr>
      <w:shd w:val="clear" w:color="auto" w:fill="FFFFFF"/>
      <w:spacing w:before="100" w:beforeAutospacing="1" w:after="100" w:afterAutospacing="1"/>
    </w:pPr>
    <w:rPr>
      <w:sz w:val="24"/>
    </w:rPr>
  </w:style>
  <w:style w:type="paragraph" w:customStyle="1" w:styleId="unorderedlisttree">
    <w:name w:val="unorderedlisttree"/>
    <w:basedOn w:val="Normal"/>
    <w:rPr>
      <w:sz w:val="24"/>
    </w:rPr>
  </w:style>
  <w:style w:type="paragraph" w:customStyle="1" w:styleId="layoutsitemaplist">
    <w:name w:val="layout_sitemaplist"/>
    <w:basedOn w:val="Normal"/>
    <w:pPr>
      <w:spacing w:after="100" w:afterAutospacing="1"/>
    </w:pPr>
    <w:rPr>
      <w:sz w:val="24"/>
    </w:rPr>
  </w:style>
  <w:style w:type="paragraph" w:customStyle="1" w:styleId="layoutsitemapmarginleft">
    <w:name w:val="layout_sitemapmarginleft"/>
    <w:basedOn w:val="Normal"/>
    <w:pPr>
      <w:spacing w:before="100" w:beforeAutospacing="1" w:after="100" w:afterAutospacing="1"/>
      <w:ind w:left="150"/>
    </w:pPr>
    <w:rPr>
      <w:sz w:val="24"/>
    </w:rPr>
  </w:style>
  <w:style w:type="paragraph" w:customStyle="1" w:styleId="layoutsitemapmarginleftlarge">
    <w:name w:val="layout_sitemapmarginleftlarge"/>
    <w:basedOn w:val="Normal"/>
    <w:pPr>
      <w:spacing w:before="100" w:beforeAutospacing="1" w:after="100" w:afterAutospacing="1"/>
      <w:ind w:left="300"/>
    </w:pPr>
    <w:rPr>
      <w:sz w:val="24"/>
    </w:rPr>
  </w:style>
  <w:style w:type="paragraph" w:customStyle="1" w:styleId="queryeditorchoosetemplatedropdown">
    <w:name w:val="queryeditorchoosetemplatedropdown"/>
    <w:basedOn w:val="Normal"/>
    <w:pPr>
      <w:spacing w:before="100" w:beforeAutospacing="1" w:after="100" w:afterAutospacing="1"/>
      <w:textAlignment w:val="bottom"/>
    </w:pPr>
    <w:rPr>
      <w:sz w:val="24"/>
    </w:rPr>
  </w:style>
  <w:style w:type="paragraph" w:customStyle="1" w:styleId="profileform">
    <w:name w:val="profileform"/>
    <w:basedOn w:val="Normal"/>
    <w:pPr>
      <w:spacing w:before="300" w:after="150"/>
      <w:ind w:left="450" w:right="300"/>
    </w:pPr>
    <w:rPr>
      <w:rFonts w:ascii="Verdana" w:hAnsi="Verdana"/>
      <w:sz w:val="24"/>
    </w:rPr>
  </w:style>
  <w:style w:type="paragraph" w:customStyle="1" w:styleId="layoutprofileform">
    <w:name w:val="layout_profileform"/>
    <w:basedOn w:val="Normal"/>
    <w:pPr>
      <w:spacing w:before="100" w:beforeAutospacing="1" w:after="100" w:afterAutospacing="1"/>
    </w:pPr>
    <w:rPr>
      <w:sz w:val="24"/>
    </w:rPr>
  </w:style>
  <w:style w:type="paragraph" w:customStyle="1" w:styleId="layoutprofiletop">
    <w:name w:val="layout_profiletop"/>
    <w:basedOn w:val="Normal"/>
    <w:pPr>
      <w:spacing w:before="100" w:beforeAutospacing="1" w:after="100" w:afterAutospacing="1"/>
    </w:pPr>
    <w:rPr>
      <w:sz w:val="24"/>
    </w:rPr>
  </w:style>
  <w:style w:type="paragraph" w:customStyle="1" w:styleId="layoutprofilenavbar">
    <w:name w:val="layout_profilenavbar"/>
    <w:basedOn w:val="Normal"/>
    <w:pPr>
      <w:spacing w:before="100" w:beforeAutospacing="1" w:after="100" w:afterAutospacing="1"/>
    </w:pPr>
    <w:rPr>
      <w:sz w:val="24"/>
    </w:rPr>
  </w:style>
  <w:style w:type="paragraph" w:customStyle="1" w:styleId="layoutprofileheaderbar">
    <w:name w:val="layout_profileheaderbar"/>
    <w:basedOn w:val="Normal"/>
    <w:pPr>
      <w:spacing w:before="100" w:beforeAutospacing="1" w:after="100" w:afterAutospacing="1"/>
    </w:pPr>
    <w:rPr>
      <w:sz w:val="24"/>
    </w:rPr>
  </w:style>
  <w:style w:type="paragraph" w:customStyle="1" w:styleId="profileerrorsummary">
    <w:name w:val="profileerrorsummary"/>
    <w:basedOn w:val="Normal"/>
    <w:pPr>
      <w:spacing w:before="100" w:beforeAutospacing="1" w:after="100" w:afterAutospacing="1"/>
    </w:pPr>
    <w:rPr>
      <w:b/>
      <w:bCs w:val="0"/>
      <w:color w:val="FF0000"/>
      <w:sz w:val="24"/>
    </w:rPr>
  </w:style>
  <w:style w:type="paragraph" w:customStyle="1" w:styleId="layoutprofileerrorsummary">
    <w:name w:val="layout_profileerrorsummary"/>
    <w:basedOn w:val="Normal"/>
    <w:pPr>
      <w:spacing w:before="100" w:beforeAutospacing="1" w:after="100" w:afterAutospacing="1"/>
    </w:pPr>
    <w:rPr>
      <w:sz w:val="24"/>
    </w:rPr>
  </w:style>
  <w:style w:type="paragraph" w:customStyle="1" w:styleId="layoutprofilestep2wholecontainer">
    <w:name w:val="layout_profilestep2wholecontainer"/>
    <w:basedOn w:val="Normal"/>
    <w:pPr>
      <w:spacing w:before="100" w:beforeAutospacing="1" w:after="100" w:afterAutospacing="1"/>
    </w:pPr>
    <w:rPr>
      <w:sz w:val="24"/>
    </w:rPr>
  </w:style>
  <w:style w:type="paragraph" w:customStyle="1" w:styleId="layoutprofilebodycontent1">
    <w:name w:val="layout_profilebodycontent1"/>
    <w:basedOn w:val="Normal"/>
    <w:pPr>
      <w:spacing w:before="100" w:beforeAutospacing="1" w:after="100" w:afterAutospacing="1"/>
    </w:pPr>
    <w:rPr>
      <w:sz w:val="24"/>
    </w:rPr>
  </w:style>
  <w:style w:type="paragraph" w:customStyle="1" w:styleId="layoutprofilebodycontent2">
    <w:name w:val="layout_profilebodycontent2"/>
    <w:basedOn w:val="Normal"/>
    <w:pPr>
      <w:spacing w:before="100" w:beforeAutospacing="1" w:after="100" w:afterAutospacing="1"/>
    </w:pPr>
    <w:rPr>
      <w:sz w:val="24"/>
    </w:rPr>
  </w:style>
  <w:style w:type="paragraph" w:customStyle="1" w:styleId="layoutprofileleftsidecontent">
    <w:name w:val="layout_profileleftsidecontent"/>
    <w:basedOn w:val="Normal"/>
    <w:pPr>
      <w:spacing w:before="100" w:beforeAutospacing="1" w:after="100" w:afterAutospacing="1"/>
    </w:pPr>
    <w:rPr>
      <w:sz w:val="24"/>
    </w:rPr>
  </w:style>
  <w:style w:type="paragraph" w:customStyle="1" w:styleId="layoutprofileleftsidefirst">
    <w:name w:val="layout_profileleftsidefirst"/>
    <w:basedOn w:val="Normal"/>
    <w:pPr>
      <w:spacing w:before="100" w:beforeAutospacing="1" w:after="100" w:afterAutospacing="1"/>
    </w:pPr>
    <w:rPr>
      <w:sz w:val="24"/>
    </w:rPr>
  </w:style>
  <w:style w:type="paragraph" w:customStyle="1" w:styleId="layoutprofileleftsidesecond">
    <w:name w:val="layout_profileleftsidesecond"/>
    <w:basedOn w:val="Normal"/>
    <w:pPr>
      <w:spacing w:before="100" w:beforeAutospacing="1" w:after="100" w:afterAutospacing="1"/>
    </w:pPr>
    <w:rPr>
      <w:sz w:val="24"/>
    </w:rPr>
  </w:style>
  <w:style w:type="paragraph" w:customStyle="1" w:styleId="layoutprofileleftsidethird">
    <w:name w:val="layout_profileleftsidethird"/>
    <w:basedOn w:val="Normal"/>
    <w:pPr>
      <w:spacing w:before="100" w:beforeAutospacing="1" w:after="100" w:afterAutospacing="1"/>
    </w:pPr>
    <w:rPr>
      <w:sz w:val="24"/>
    </w:rPr>
  </w:style>
  <w:style w:type="paragraph" w:customStyle="1" w:styleId="layoutprofileleftsidefourthhidden">
    <w:name w:val="layout_profileleftsidefourthhidden"/>
    <w:basedOn w:val="Normal"/>
    <w:pPr>
      <w:spacing w:before="100" w:beforeAutospacing="1" w:after="100" w:afterAutospacing="1"/>
    </w:pPr>
    <w:rPr>
      <w:sz w:val="24"/>
    </w:rPr>
  </w:style>
  <w:style w:type="paragraph" w:customStyle="1" w:styleId="layoutprofileleftsidefifth">
    <w:name w:val="layout_profileleftsidefifth"/>
    <w:basedOn w:val="Normal"/>
    <w:pPr>
      <w:spacing w:before="100" w:beforeAutospacing="1" w:after="100" w:afterAutospacing="1"/>
    </w:pPr>
    <w:rPr>
      <w:sz w:val="24"/>
    </w:rPr>
  </w:style>
  <w:style w:type="paragraph" w:customStyle="1" w:styleId="layoutprofilespace">
    <w:name w:val="layout_profilespace"/>
    <w:basedOn w:val="Normal"/>
    <w:pPr>
      <w:spacing w:before="100" w:beforeAutospacing="1" w:after="100" w:afterAutospacing="1"/>
    </w:pPr>
    <w:rPr>
      <w:sz w:val="24"/>
    </w:rPr>
  </w:style>
  <w:style w:type="paragraph" w:customStyle="1" w:styleId="layoutprofilerightsidecontent">
    <w:name w:val="layout_profilerightsidecontent"/>
    <w:basedOn w:val="Normal"/>
    <w:pPr>
      <w:spacing w:before="100" w:beforeAutospacing="1" w:after="100" w:afterAutospacing="1"/>
    </w:pPr>
    <w:rPr>
      <w:sz w:val="24"/>
    </w:rPr>
  </w:style>
  <w:style w:type="paragraph" w:customStyle="1" w:styleId="layoutprofilerightside">
    <w:name w:val="layout_profilerightside"/>
    <w:basedOn w:val="Normal"/>
    <w:pPr>
      <w:spacing w:before="100" w:beforeAutospacing="1" w:after="100" w:afterAutospacing="1"/>
    </w:pPr>
    <w:rPr>
      <w:sz w:val="24"/>
    </w:rPr>
  </w:style>
  <w:style w:type="paragraph" w:customStyle="1" w:styleId="layoutprofilebodycontent3">
    <w:name w:val="layout_profilebodycontent3"/>
    <w:basedOn w:val="Normal"/>
    <w:pPr>
      <w:spacing w:before="100" w:beforeAutospacing="1" w:after="100" w:afterAutospacing="1"/>
    </w:pPr>
    <w:rPr>
      <w:sz w:val="24"/>
    </w:rPr>
  </w:style>
  <w:style w:type="paragraph" w:customStyle="1" w:styleId="layoutprofilebodycontent4">
    <w:name w:val="layout_profilebodycontent4"/>
    <w:basedOn w:val="Normal"/>
    <w:pPr>
      <w:spacing w:before="100" w:beforeAutospacing="1" w:after="100" w:afterAutospacing="1"/>
    </w:pPr>
    <w:rPr>
      <w:sz w:val="24"/>
    </w:rPr>
  </w:style>
  <w:style w:type="paragraph" w:customStyle="1" w:styleId="layoutprofileinfostring">
    <w:name w:val="layout_profileinfostring"/>
    <w:basedOn w:val="Normal"/>
    <w:pPr>
      <w:spacing w:before="100" w:beforeAutospacing="1" w:after="100" w:afterAutospacing="1"/>
    </w:pPr>
    <w:rPr>
      <w:sz w:val="24"/>
    </w:rPr>
  </w:style>
  <w:style w:type="paragraph" w:customStyle="1" w:styleId="layoutprofilelabelwidth">
    <w:name w:val="layout_profilelabelwidth"/>
    <w:basedOn w:val="Normal"/>
    <w:pPr>
      <w:spacing w:before="100" w:beforeAutospacing="1" w:after="100" w:afterAutospacing="1"/>
    </w:pPr>
    <w:rPr>
      <w:sz w:val="24"/>
    </w:rPr>
  </w:style>
  <w:style w:type="paragraph" w:customStyle="1" w:styleId="layoutprofiletextboxwidth">
    <w:name w:val="layout_profiletextboxwidth"/>
    <w:basedOn w:val="Normal"/>
    <w:pPr>
      <w:spacing w:before="100" w:beforeAutospacing="1" w:after="100" w:afterAutospacing="1"/>
    </w:pPr>
    <w:rPr>
      <w:sz w:val="24"/>
    </w:rPr>
  </w:style>
  <w:style w:type="paragraph" w:customStyle="1" w:styleId="layoutprofilevalidator">
    <w:name w:val="layout_profilevalidator"/>
    <w:basedOn w:val="Normal"/>
    <w:pPr>
      <w:spacing w:before="100" w:beforeAutospacing="1" w:after="100" w:afterAutospacing="1"/>
    </w:pPr>
    <w:rPr>
      <w:sz w:val="24"/>
    </w:rPr>
  </w:style>
  <w:style w:type="paragraph" w:customStyle="1" w:styleId="profilevalidator">
    <w:name w:val="profilevalidator"/>
    <w:basedOn w:val="Normal"/>
    <w:pPr>
      <w:spacing w:before="100" w:beforeAutospacing="1" w:after="100" w:afterAutospacing="1"/>
    </w:pPr>
    <w:rPr>
      <w:b/>
      <w:bCs w:val="0"/>
      <w:color w:val="FF0000"/>
      <w:sz w:val="19"/>
      <w:szCs w:val="19"/>
    </w:rPr>
  </w:style>
  <w:style w:type="paragraph" w:customStyle="1" w:styleId="layoutprofileindent">
    <w:name w:val="layout_profileindent"/>
    <w:basedOn w:val="Normal"/>
    <w:pPr>
      <w:spacing w:before="100" w:beforeAutospacing="1" w:after="100" w:afterAutospacing="1"/>
    </w:pPr>
    <w:rPr>
      <w:sz w:val="24"/>
    </w:rPr>
  </w:style>
  <w:style w:type="paragraph" w:customStyle="1" w:styleId="profileindent">
    <w:name w:val="profileindent"/>
    <w:basedOn w:val="Normal"/>
    <w:pPr>
      <w:spacing w:before="100" w:beforeAutospacing="1" w:after="100" w:afterAutospacing="1"/>
      <w:ind w:firstLine="3672"/>
    </w:pPr>
    <w:rPr>
      <w:sz w:val="24"/>
    </w:rPr>
  </w:style>
  <w:style w:type="paragraph" w:customStyle="1" w:styleId="layoutprofileheader">
    <w:name w:val="layout_profileheader"/>
    <w:basedOn w:val="Normal"/>
    <w:pPr>
      <w:spacing w:before="100" w:beforeAutospacing="1" w:after="100" w:afterAutospacing="1"/>
    </w:pPr>
    <w:rPr>
      <w:sz w:val="24"/>
    </w:rPr>
  </w:style>
  <w:style w:type="paragraph" w:customStyle="1" w:styleId="profileheader">
    <w:name w:val="profileheader"/>
    <w:basedOn w:val="Normal"/>
    <w:pPr>
      <w:spacing w:before="100" w:beforeAutospacing="1" w:after="100" w:afterAutospacing="1"/>
    </w:pPr>
    <w:rPr>
      <w:b/>
      <w:bCs w:val="0"/>
      <w:sz w:val="24"/>
    </w:rPr>
  </w:style>
  <w:style w:type="paragraph" w:customStyle="1" w:styleId="layoutprofiletopic">
    <w:name w:val="layout_profiletopic"/>
    <w:basedOn w:val="Normal"/>
    <w:pPr>
      <w:spacing w:before="100" w:beforeAutospacing="1" w:after="100" w:afterAutospacing="1"/>
    </w:pPr>
    <w:rPr>
      <w:sz w:val="24"/>
    </w:rPr>
  </w:style>
  <w:style w:type="paragraph" w:customStyle="1" w:styleId="profiletopic">
    <w:name w:val="profiletopic"/>
    <w:basedOn w:val="Normal"/>
    <w:pPr>
      <w:spacing w:before="100" w:beforeAutospacing="1" w:after="100" w:afterAutospacing="1"/>
    </w:pPr>
    <w:rPr>
      <w:b/>
      <w:bCs w:val="0"/>
      <w:color w:val="800000"/>
      <w:sz w:val="24"/>
    </w:rPr>
  </w:style>
  <w:style w:type="paragraph" w:customStyle="1" w:styleId="layoutprofiletopictips">
    <w:name w:val="layout_profiletopictips"/>
    <w:basedOn w:val="Normal"/>
    <w:pPr>
      <w:spacing w:before="100" w:beforeAutospacing="1" w:after="100" w:afterAutospacing="1"/>
    </w:pPr>
    <w:rPr>
      <w:sz w:val="24"/>
    </w:rPr>
  </w:style>
  <w:style w:type="paragraph" w:customStyle="1" w:styleId="profiletopictips">
    <w:name w:val="profiletopictips"/>
    <w:basedOn w:val="Normal"/>
    <w:pPr>
      <w:spacing w:before="100" w:beforeAutospacing="1" w:after="100" w:afterAutospacing="1"/>
    </w:pPr>
    <w:rPr>
      <w:b/>
      <w:bCs w:val="0"/>
      <w:sz w:val="24"/>
    </w:rPr>
  </w:style>
  <w:style w:type="paragraph" w:customStyle="1" w:styleId="layoutprofilebulletoneindent">
    <w:name w:val="layout_profilebulletoneindent"/>
    <w:basedOn w:val="Normal"/>
    <w:pPr>
      <w:spacing w:before="100" w:beforeAutospacing="1" w:after="100" w:afterAutospacing="1"/>
      <w:ind w:firstLine="150"/>
    </w:pPr>
    <w:rPr>
      <w:sz w:val="24"/>
    </w:rPr>
  </w:style>
  <w:style w:type="paragraph" w:customStyle="1" w:styleId="profileusernamevalidationheader">
    <w:name w:val="profileusernamevalidationheader"/>
    <w:basedOn w:val="Normal"/>
    <w:pPr>
      <w:spacing w:before="100" w:beforeAutospacing="1" w:after="100" w:afterAutospacing="1"/>
    </w:pPr>
    <w:rPr>
      <w:b/>
      <w:bCs w:val="0"/>
      <w:color w:val="FF0000"/>
      <w:sz w:val="24"/>
    </w:rPr>
  </w:style>
  <w:style w:type="paragraph" w:customStyle="1" w:styleId="layoutprofilestep1left">
    <w:name w:val="layout_profilestep1left"/>
    <w:basedOn w:val="Normal"/>
    <w:pPr>
      <w:spacing w:before="100" w:beforeAutospacing="1" w:after="100" w:afterAutospacing="1"/>
    </w:pPr>
    <w:rPr>
      <w:sz w:val="24"/>
    </w:rPr>
  </w:style>
  <w:style w:type="paragraph" w:customStyle="1" w:styleId="layoutprofilestep1right">
    <w:name w:val="layout_profilestep1right"/>
    <w:basedOn w:val="Normal"/>
    <w:pPr>
      <w:spacing w:before="100" w:beforeAutospacing="1" w:after="100" w:afterAutospacing="1"/>
    </w:pPr>
    <w:rPr>
      <w:sz w:val="24"/>
    </w:rPr>
  </w:style>
  <w:style w:type="paragraph" w:customStyle="1" w:styleId="profileradiostyle">
    <w:name w:val="profileradiostyle"/>
    <w:basedOn w:val="Normal"/>
    <w:pPr>
      <w:spacing w:before="100" w:beforeAutospacing="1" w:after="100" w:afterAutospacing="1"/>
    </w:pPr>
    <w:rPr>
      <w:b/>
      <w:bCs w:val="0"/>
      <w:sz w:val="24"/>
    </w:rPr>
  </w:style>
  <w:style w:type="paragraph" w:customStyle="1" w:styleId="layoutprofilesteponecontainer">
    <w:name w:val="layout_profilesteponecontainer"/>
    <w:basedOn w:val="Normal"/>
    <w:pPr>
      <w:spacing w:before="100" w:beforeAutospacing="1" w:after="100" w:afterAutospacing="1"/>
    </w:pPr>
    <w:rPr>
      <w:sz w:val="24"/>
    </w:rPr>
  </w:style>
  <w:style w:type="paragraph" w:customStyle="1" w:styleId="profilesteponecontainer">
    <w:name w:val="profilesteponecontainer"/>
    <w:basedOn w:val="Normal"/>
    <w:pPr>
      <w:spacing w:before="100" w:beforeAutospacing="1" w:after="100" w:afterAutospacing="1"/>
    </w:pPr>
    <w:rPr>
      <w:sz w:val="17"/>
      <w:szCs w:val="17"/>
    </w:rPr>
  </w:style>
  <w:style w:type="paragraph" w:customStyle="1" w:styleId="layoutprofilesteponetopinfo">
    <w:name w:val="layout_profilesteponetopinfo"/>
    <w:basedOn w:val="Normal"/>
    <w:pPr>
      <w:spacing w:before="100" w:beforeAutospacing="1" w:after="100" w:afterAutospacing="1"/>
    </w:pPr>
    <w:rPr>
      <w:sz w:val="24"/>
    </w:rPr>
  </w:style>
  <w:style w:type="paragraph" w:customStyle="1" w:styleId="layoutprofilesteponesignincontainer">
    <w:name w:val="layout_profilesteponesignincontainer"/>
    <w:basedOn w:val="Normal"/>
    <w:pPr>
      <w:spacing w:before="100" w:beforeAutospacing="1" w:after="100" w:afterAutospacing="1"/>
    </w:pPr>
    <w:rPr>
      <w:sz w:val="24"/>
    </w:rPr>
  </w:style>
  <w:style w:type="paragraph" w:customStyle="1" w:styleId="layoutprofilesigninleftside">
    <w:name w:val="layout_profilesigninleftside"/>
    <w:basedOn w:val="Normal"/>
    <w:pPr>
      <w:spacing w:before="100" w:beforeAutospacing="1" w:after="100" w:afterAutospacing="1"/>
    </w:pPr>
    <w:rPr>
      <w:sz w:val="24"/>
    </w:rPr>
  </w:style>
  <w:style w:type="paragraph" w:customStyle="1" w:styleId="layoutprofileleftsidetopinfo">
    <w:name w:val="layout_profileleftsidetopinfo"/>
    <w:basedOn w:val="Normal"/>
    <w:pPr>
      <w:spacing w:before="100" w:beforeAutospacing="1" w:after="100" w:afterAutospacing="1"/>
    </w:pPr>
    <w:rPr>
      <w:sz w:val="24"/>
    </w:rPr>
  </w:style>
  <w:style w:type="paragraph" w:customStyle="1" w:styleId="layoutprofileleftsidepasswordcontainer">
    <w:name w:val="layout_profileleftsidepasswordcontainer"/>
    <w:basedOn w:val="Normal"/>
    <w:pPr>
      <w:spacing w:before="100" w:beforeAutospacing="1" w:after="100" w:afterAutospacing="1"/>
    </w:pPr>
    <w:rPr>
      <w:sz w:val="24"/>
    </w:rPr>
  </w:style>
  <w:style w:type="paragraph" w:customStyle="1" w:styleId="layoutprofileleftsidepasswordlabel">
    <w:name w:val="layout_profileleftsidepasswordlabel"/>
    <w:basedOn w:val="Normal"/>
    <w:pPr>
      <w:spacing w:before="100" w:beforeAutospacing="1" w:after="100" w:afterAutospacing="1"/>
    </w:pPr>
    <w:rPr>
      <w:sz w:val="24"/>
    </w:rPr>
  </w:style>
  <w:style w:type="paragraph" w:customStyle="1" w:styleId="layoutprofileleftsidepasswordtextbox">
    <w:name w:val="layout_profileleftsidepasswordtextbox"/>
    <w:basedOn w:val="Normal"/>
    <w:pPr>
      <w:spacing w:before="100" w:beforeAutospacing="1" w:after="100" w:afterAutospacing="1"/>
    </w:pPr>
    <w:rPr>
      <w:sz w:val="24"/>
    </w:rPr>
  </w:style>
  <w:style w:type="paragraph" w:customStyle="1" w:styleId="layoutprofileleftsidevalidatorcontainer">
    <w:name w:val="layout_profileleftsidevalidatorcontainer"/>
    <w:basedOn w:val="Normal"/>
    <w:pPr>
      <w:spacing w:before="100" w:beforeAutospacing="1" w:after="100" w:afterAutospacing="1"/>
    </w:pPr>
    <w:rPr>
      <w:sz w:val="24"/>
    </w:rPr>
  </w:style>
  <w:style w:type="paragraph" w:customStyle="1" w:styleId="layoutprofileleftsidevalidatorspace">
    <w:name w:val="layout_profileleftsidevalidatorspace"/>
    <w:basedOn w:val="Normal"/>
    <w:pPr>
      <w:spacing w:before="100" w:beforeAutospacing="1" w:after="100" w:afterAutospacing="1"/>
    </w:pPr>
    <w:rPr>
      <w:sz w:val="24"/>
    </w:rPr>
  </w:style>
  <w:style w:type="paragraph" w:customStyle="1" w:styleId="layoutprofileleftsidevalidatorbuttonvalidation">
    <w:name w:val="layout_profileleftsidevalidatorbuttonvalidation"/>
    <w:basedOn w:val="Normal"/>
    <w:pPr>
      <w:spacing w:before="100" w:beforeAutospacing="1" w:after="100" w:afterAutospacing="1"/>
    </w:pPr>
    <w:rPr>
      <w:sz w:val="24"/>
    </w:rPr>
  </w:style>
  <w:style w:type="paragraph" w:customStyle="1" w:styleId="profileleftsidevalidatorbuttonvalidation">
    <w:name w:val="profileleftsidevalidatorbuttonvalidation"/>
    <w:basedOn w:val="Normal"/>
    <w:pPr>
      <w:spacing w:before="100" w:beforeAutospacing="1" w:after="100" w:afterAutospacing="1"/>
    </w:pPr>
    <w:rPr>
      <w:b/>
      <w:bCs w:val="0"/>
      <w:color w:val="FF0000"/>
      <w:sz w:val="24"/>
    </w:rPr>
  </w:style>
  <w:style w:type="paragraph" w:customStyle="1" w:styleId="layoutprofilesigninmiddle">
    <w:name w:val="layout_profilesigninmiddle"/>
    <w:basedOn w:val="Normal"/>
    <w:pPr>
      <w:spacing w:before="100" w:beforeAutospacing="1" w:after="100" w:afterAutospacing="1"/>
    </w:pPr>
    <w:rPr>
      <w:sz w:val="24"/>
    </w:rPr>
  </w:style>
  <w:style w:type="paragraph" w:customStyle="1" w:styleId="layoutprofilemiddletopbordercontainer">
    <w:name w:val="layout_profilemiddletopbordercontainer"/>
    <w:basedOn w:val="Normal"/>
    <w:pPr>
      <w:spacing w:before="100" w:beforeAutospacing="1" w:after="100" w:afterAutospacing="1"/>
    </w:pPr>
    <w:rPr>
      <w:sz w:val="24"/>
    </w:rPr>
  </w:style>
  <w:style w:type="paragraph" w:customStyle="1" w:styleId="layoutprofilemiddletopborder">
    <w:name w:val="layout_profilemiddletopborder"/>
    <w:basedOn w:val="Normal"/>
    <w:pPr>
      <w:spacing w:before="100" w:beforeAutospacing="1" w:after="100" w:afterAutospacing="1"/>
    </w:pPr>
    <w:rPr>
      <w:sz w:val="24"/>
    </w:rPr>
  </w:style>
  <w:style w:type="paragraph" w:customStyle="1" w:styleId="profilemiddletopborder">
    <w:name w:val="profilemiddletopborder"/>
    <w:basedOn w:val="Normal"/>
    <w:pPr>
      <w:pBdr>
        <w:left w:val="single" w:sz="12" w:space="0" w:color="808080"/>
      </w:pBdr>
      <w:spacing w:before="100" w:beforeAutospacing="1" w:after="100" w:afterAutospacing="1"/>
    </w:pPr>
    <w:rPr>
      <w:sz w:val="24"/>
    </w:rPr>
  </w:style>
  <w:style w:type="paragraph" w:customStyle="1" w:styleId="layoutprofilemiddle">
    <w:name w:val="layout_profilemiddle"/>
    <w:basedOn w:val="Normal"/>
    <w:pPr>
      <w:spacing w:before="100" w:beforeAutospacing="1" w:after="100" w:afterAutospacing="1"/>
      <w:jc w:val="center"/>
    </w:pPr>
    <w:rPr>
      <w:sz w:val="24"/>
    </w:rPr>
  </w:style>
  <w:style w:type="paragraph" w:customStyle="1" w:styleId="layoutprofilemiddlebottombordercontainer">
    <w:name w:val="layout_profilemiddlebottombordercontainer"/>
    <w:basedOn w:val="Normal"/>
    <w:pPr>
      <w:spacing w:before="100" w:beforeAutospacing="1" w:after="100" w:afterAutospacing="1"/>
    </w:pPr>
    <w:rPr>
      <w:sz w:val="24"/>
    </w:rPr>
  </w:style>
  <w:style w:type="paragraph" w:customStyle="1" w:styleId="layoutprofilemiddlebottomborder">
    <w:name w:val="layout_profilemiddlebottomborder"/>
    <w:basedOn w:val="Normal"/>
    <w:pPr>
      <w:spacing w:before="100" w:beforeAutospacing="1" w:after="100" w:afterAutospacing="1"/>
    </w:pPr>
    <w:rPr>
      <w:sz w:val="24"/>
    </w:rPr>
  </w:style>
  <w:style w:type="paragraph" w:customStyle="1" w:styleId="profilemiddlebottomborder">
    <w:name w:val="profilemiddlebottomborder"/>
    <w:basedOn w:val="Normal"/>
    <w:pPr>
      <w:pBdr>
        <w:left w:val="single" w:sz="12" w:space="0" w:color="808080"/>
      </w:pBdr>
      <w:spacing w:before="100" w:beforeAutospacing="1" w:after="100" w:afterAutospacing="1"/>
    </w:pPr>
    <w:rPr>
      <w:sz w:val="24"/>
    </w:rPr>
  </w:style>
  <w:style w:type="paragraph" w:customStyle="1" w:styleId="layoutprofilesigninrightside">
    <w:name w:val="layout_profilesigninrightside"/>
    <w:basedOn w:val="Normal"/>
    <w:pPr>
      <w:spacing w:before="100" w:beforeAutospacing="1" w:after="100" w:afterAutospacing="1"/>
    </w:pPr>
    <w:rPr>
      <w:sz w:val="24"/>
    </w:rPr>
  </w:style>
  <w:style w:type="paragraph" w:customStyle="1" w:styleId="layoutprofilerightsidetopinfo">
    <w:name w:val="layout_profilerightsidetopinfo"/>
    <w:basedOn w:val="Normal"/>
    <w:pPr>
      <w:spacing w:before="100" w:beforeAutospacing="1" w:after="100" w:afterAutospacing="1"/>
    </w:pPr>
    <w:rPr>
      <w:sz w:val="24"/>
    </w:rPr>
  </w:style>
  <w:style w:type="paragraph" w:customStyle="1" w:styleId="layoutprofilerightsideusernamepasswordcontainer">
    <w:name w:val="layout_profilerightsideusernamepasswordcontainer"/>
    <w:basedOn w:val="Normal"/>
    <w:pPr>
      <w:spacing w:before="100" w:beforeAutospacing="1" w:after="100" w:afterAutospacing="1"/>
    </w:pPr>
    <w:rPr>
      <w:sz w:val="24"/>
    </w:rPr>
  </w:style>
  <w:style w:type="paragraph" w:customStyle="1" w:styleId="layoutprofilerightsideusernamelabel">
    <w:name w:val="layout_profilerightsideusernamelabel"/>
    <w:basedOn w:val="Normal"/>
    <w:pPr>
      <w:spacing w:before="100" w:beforeAutospacing="1" w:after="100" w:afterAutospacing="1"/>
    </w:pPr>
    <w:rPr>
      <w:sz w:val="24"/>
    </w:rPr>
  </w:style>
  <w:style w:type="paragraph" w:customStyle="1" w:styleId="layoutprofilerightsideusernametextbox">
    <w:name w:val="layout_profilerightsideusernametextbox"/>
    <w:basedOn w:val="Normal"/>
    <w:pPr>
      <w:spacing w:before="100" w:beforeAutospacing="1" w:after="100" w:afterAutospacing="1"/>
    </w:pPr>
    <w:rPr>
      <w:sz w:val="24"/>
    </w:rPr>
  </w:style>
  <w:style w:type="paragraph" w:customStyle="1" w:styleId="layoutprofilerightsideusernamehyperlinkcontainer">
    <w:name w:val="layout_profilerightsideusernamehyperlinkcontainer"/>
    <w:basedOn w:val="Normal"/>
    <w:pPr>
      <w:spacing w:before="100" w:beforeAutospacing="1" w:after="100" w:afterAutospacing="1"/>
    </w:pPr>
    <w:rPr>
      <w:sz w:val="24"/>
    </w:rPr>
  </w:style>
  <w:style w:type="paragraph" w:customStyle="1" w:styleId="layoutprofilerightsideusernamehyperlinkspacer">
    <w:name w:val="layout_profilerightsideusernamehyperlinkspacer"/>
    <w:basedOn w:val="Normal"/>
    <w:pPr>
      <w:spacing w:before="100" w:beforeAutospacing="1" w:after="100" w:afterAutospacing="1"/>
    </w:pPr>
    <w:rPr>
      <w:sz w:val="24"/>
    </w:rPr>
  </w:style>
  <w:style w:type="paragraph" w:customStyle="1" w:styleId="layoutprofilerightsideusernamehyperlink">
    <w:name w:val="layout_profilerightsideusernamehyperlink"/>
    <w:basedOn w:val="Normal"/>
    <w:pPr>
      <w:spacing w:before="100" w:beforeAutospacing="1" w:after="100" w:afterAutospacing="1"/>
    </w:pPr>
    <w:rPr>
      <w:sz w:val="24"/>
    </w:rPr>
  </w:style>
  <w:style w:type="paragraph" w:customStyle="1" w:styleId="profilerightsideusernamehyperlink">
    <w:name w:val="profilerightsideusernamehyperlink"/>
    <w:basedOn w:val="Normal"/>
    <w:pPr>
      <w:spacing w:before="100" w:beforeAutospacing="1" w:after="100" w:afterAutospacing="1"/>
    </w:pPr>
    <w:rPr>
      <w:sz w:val="21"/>
      <w:szCs w:val="21"/>
    </w:rPr>
  </w:style>
  <w:style w:type="paragraph" w:customStyle="1" w:styleId="layoutprofilerightsidepasswordlabel">
    <w:name w:val="layout_profilerightsidepasswordlabel"/>
    <w:basedOn w:val="Normal"/>
    <w:pPr>
      <w:spacing w:before="100" w:beforeAutospacing="1" w:after="100" w:afterAutospacing="1"/>
    </w:pPr>
    <w:rPr>
      <w:sz w:val="24"/>
    </w:rPr>
  </w:style>
  <w:style w:type="paragraph" w:customStyle="1" w:styleId="layoutprofilerightsidepasswordtextbox">
    <w:name w:val="layout_profilerightsidepasswordtextbox"/>
    <w:basedOn w:val="Normal"/>
    <w:pPr>
      <w:spacing w:before="100" w:beforeAutospacing="1" w:after="100" w:afterAutospacing="1"/>
    </w:pPr>
    <w:rPr>
      <w:sz w:val="24"/>
    </w:rPr>
  </w:style>
  <w:style w:type="paragraph" w:customStyle="1" w:styleId="layoutprofilerightsidepasswordhyperlinkcontainer">
    <w:name w:val="layout_profilerightsidepasswordhyperlinkcontainer"/>
    <w:basedOn w:val="Normal"/>
    <w:pPr>
      <w:spacing w:before="100" w:beforeAutospacing="1" w:after="100" w:afterAutospacing="1"/>
    </w:pPr>
    <w:rPr>
      <w:sz w:val="24"/>
    </w:rPr>
  </w:style>
  <w:style w:type="paragraph" w:customStyle="1" w:styleId="layoutprofilerightsidepasswordhyperlinkspacer">
    <w:name w:val="layout_profilerightsidepasswordhyperlinkspacer"/>
    <w:basedOn w:val="Normal"/>
    <w:pPr>
      <w:spacing w:before="100" w:beforeAutospacing="1" w:after="100" w:afterAutospacing="1"/>
    </w:pPr>
    <w:rPr>
      <w:sz w:val="24"/>
    </w:rPr>
  </w:style>
  <w:style w:type="paragraph" w:customStyle="1" w:styleId="layoutprofilerightsidepasswordhyperlink">
    <w:name w:val="layout_profilerightsidepasswordhyperlink"/>
    <w:basedOn w:val="Normal"/>
    <w:pPr>
      <w:spacing w:before="100" w:beforeAutospacing="1" w:after="100" w:afterAutospacing="1"/>
    </w:pPr>
    <w:rPr>
      <w:sz w:val="24"/>
    </w:rPr>
  </w:style>
  <w:style w:type="paragraph" w:customStyle="1" w:styleId="profilerightsidepasswordhyperlink">
    <w:name w:val="profilerightsidepasswordhyperlink"/>
    <w:basedOn w:val="Normal"/>
    <w:pPr>
      <w:spacing w:before="100" w:beforeAutospacing="1" w:after="100" w:afterAutospacing="1"/>
    </w:pPr>
    <w:rPr>
      <w:sz w:val="21"/>
      <w:szCs w:val="21"/>
    </w:rPr>
  </w:style>
  <w:style w:type="paragraph" w:customStyle="1" w:styleId="layoutprofilerightsidebuttoncontainer">
    <w:name w:val="layout_profilerightsidebuttoncontainer"/>
    <w:basedOn w:val="Normal"/>
    <w:pPr>
      <w:spacing w:before="100" w:beforeAutospacing="1" w:after="100" w:afterAutospacing="1"/>
    </w:pPr>
    <w:rPr>
      <w:sz w:val="24"/>
    </w:rPr>
  </w:style>
  <w:style w:type="paragraph" w:customStyle="1" w:styleId="layoutprofilerightsidebuttonspacer">
    <w:name w:val="layout_profilerightsidebuttonspacer"/>
    <w:basedOn w:val="Normal"/>
    <w:pPr>
      <w:spacing w:before="100" w:beforeAutospacing="1" w:after="100" w:afterAutospacing="1"/>
    </w:pPr>
    <w:rPr>
      <w:sz w:val="24"/>
    </w:rPr>
  </w:style>
  <w:style w:type="paragraph" w:customStyle="1" w:styleId="layoutprofilerightsidebuttonbutton">
    <w:name w:val="layout_profilerightsidebuttonbutton"/>
    <w:basedOn w:val="Normal"/>
    <w:pPr>
      <w:spacing w:before="100" w:beforeAutospacing="1" w:after="100" w:afterAutospacing="1"/>
    </w:pPr>
    <w:rPr>
      <w:sz w:val="24"/>
    </w:rPr>
  </w:style>
  <w:style w:type="paragraph" w:customStyle="1" w:styleId="layoutprofilerightsidevalidationcontainer">
    <w:name w:val="layout_profilerightsidevalidationcontainer"/>
    <w:basedOn w:val="Normal"/>
    <w:pPr>
      <w:spacing w:before="100" w:beforeAutospacing="1" w:after="100" w:afterAutospacing="1"/>
    </w:pPr>
    <w:rPr>
      <w:sz w:val="24"/>
    </w:rPr>
  </w:style>
  <w:style w:type="paragraph" w:customStyle="1" w:styleId="layoutprofilerightsidevalidationspacer">
    <w:name w:val="layout_profilerightsidevalidationspacer"/>
    <w:basedOn w:val="Normal"/>
    <w:pPr>
      <w:spacing w:before="100" w:beforeAutospacing="1" w:after="100" w:afterAutospacing="1"/>
    </w:pPr>
    <w:rPr>
      <w:sz w:val="24"/>
    </w:rPr>
  </w:style>
  <w:style w:type="paragraph" w:customStyle="1" w:styleId="layoutprofilerightsidevalidationarea">
    <w:name w:val="layout_profilerightsidevalidationarea"/>
    <w:basedOn w:val="Normal"/>
    <w:pPr>
      <w:spacing w:before="100" w:beforeAutospacing="1" w:after="100" w:afterAutospacing="1"/>
    </w:pPr>
    <w:rPr>
      <w:sz w:val="24"/>
    </w:rPr>
  </w:style>
  <w:style w:type="paragraph" w:customStyle="1" w:styleId="profilerightsidevalidationarea">
    <w:name w:val="profilerightsidevalidationarea"/>
    <w:basedOn w:val="Normal"/>
    <w:pPr>
      <w:spacing w:before="100" w:beforeAutospacing="1" w:after="100" w:afterAutospacing="1"/>
    </w:pPr>
    <w:rPr>
      <w:b/>
      <w:bCs w:val="0"/>
      <w:color w:val="FF0000"/>
      <w:sz w:val="24"/>
    </w:rPr>
  </w:style>
  <w:style w:type="paragraph" w:customStyle="1" w:styleId="layoutprofileborder">
    <w:name w:val="layout_profileborder"/>
    <w:basedOn w:val="Normal"/>
    <w:pPr>
      <w:spacing w:before="100" w:beforeAutospacing="1" w:after="100" w:afterAutospacing="1"/>
    </w:pPr>
    <w:rPr>
      <w:sz w:val="24"/>
    </w:rPr>
  </w:style>
  <w:style w:type="paragraph" w:customStyle="1" w:styleId="profileborder">
    <w:name w:val="profileborder"/>
    <w:basedOn w:val="Normal"/>
    <w:pPr>
      <w:pBdr>
        <w:top w:val="single" w:sz="6" w:space="2" w:color="000000"/>
        <w:left w:val="single" w:sz="6" w:space="2" w:color="000000"/>
        <w:bottom w:val="single" w:sz="6" w:space="2" w:color="000000"/>
        <w:right w:val="single" w:sz="6" w:space="2" w:color="000000"/>
      </w:pBdr>
      <w:shd w:val="clear" w:color="auto" w:fill="FFFF00"/>
      <w:spacing w:before="100" w:beforeAutospacing="1" w:after="100" w:afterAutospacing="1"/>
    </w:pPr>
    <w:rPr>
      <w:sz w:val="24"/>
    </w:rPr>
  </w:style>
  <w:style w:type="paragraph" w:customStyle="1" w:styleId="layoutprofilecheckboxlist">
    <w:name w:val="layout_profilecheckboxlist"/>
    <w:basedOn w:val="Normal"/>
    <w:pPr>
      <w:spacing w:before="100" w:beforeAutospacing="1" w:after="100" w:afterAutospacing="1"/>
    </w:pPr>
    <w:rPr>
      <w:sz w:val="24"/>
    </w:rPr>
  </w:style>
  <w:style w:type="paragraph" w:customStyle="1" w:styleId="profilecheckboxlist">
    <w:name w:val="profilecheckboxlist"/>
    <w:basedOn w:val="Normal"/>
    <w:pPr>
      <w:spacing w:before="100" w:beforeAutospacing="1" w:after="100" w:afterAutospacing="1"/>
    </w:pPr>
    <w:rPr>
      <w:sz w:val="19"/>
      <w:szCs w:val="19"/>
    </w:rPr>
  </w:style>
  <w:style w:type="paragraph" w:customStyle="1" w:styleId="layoutprofilecheckboxlistindent">
    <w:name w:val="layout_profilecheckboxlistindent"/>
    <w:basedOn w:val="Normal"/>
    <w:pPr>
      <w:spacing w:before="100" w:beforeAutospacing="1" w:after="100" w:afterAutospacing="1"/>
    </w:pPr>
    <w:rPr>
      <w:sz w:val="24"/>
    </w:rPr>
  </w:style>
  <w:style w:type="paragraph" w:customStyle="1" w:styleId="profilecheckboxstyle">
    <w:name w:val="profilecheckboxstyle"/>
    <w:basedOn w:val="Normal"/>
    <w:pPr>
      <w:spacing w:before="100" w:beforeAutospacing="1" w:after="100" w:afterAutospacing="1"/>
    </w:pPr>
    <w:rPr>
      <w:sz w:val="17"/>
      <w:szCs w:val="17"/>
    </w:rPr>
  </w:style>
  <w:style w:type="paragraph" w:customStyle="1" w:styleId="layoutprofilegsifooterimage">
    <w:name w:val="layout_profilegsifooterimage"/>
    <w:basedOn w:val="Normal"/>
    <w:pPr>
      <w:spacing w:before="100" w:beforeAutospacing="1" w:after="100" w:afterAutospacing="1"/>
      <w:ind w:left="4650"/>
    </w:pPr>
    <w:rPr>
      <w:sz w:val="24"/>
    </w:rPr>
  </w:style>
  <w:style w:type="paragraph" w:customStyle="1" w:styleId="layoutprofilegsifootertext">
    <w:name w:val="layout_profilegsifootertext"/>
    <w:basedOn w:val="Normal"/>
    <w:pPr>
      <w:spacing w:before="100" w:beforeAutospacing="1" w:after="100" w:afterAutospacing="1"/>
      <w:jc w:val="center"/>
    </w:pPr>
    <w:rPr>
      <w:sz w:val="24"/>
    </w:rPr>
  </w:style>
  <w:style w:type="paragraph" w:customStyle="1" w:styleId="profilegsifootertext">
    <w:name w:val="profilegsifootertext"/>
    <w:basedOn w:val="Normal"/>
    <w:pPr>
      <w:spacing w:before="100" w:beforeAutospacing="1" w:after="100" w:afterAutospacing="1"/>
    </w:pPr>
    <w:rPr>
      <w:rFonts w:ascii="Arial" w:hAnsi="Arial" w:cs="Arial"/>
      <w:color w:val="656565"/>
      <w:sz w:val="16"/>
      <w:szCs w:val="16"/>
    </w:rPr>
  </w:style>
  <w:style w:type="paragraph" w:customStyle="1" w:styleId="layoutknospagetop">
    <w:name w:val="layout_knospagetop"/>
    <w:basedOn w:val="Normal"/>
    <w:pPr>
      <w:spacing w:before="150" w:after="300"/>
      <w:ind w:left="75" w:right="75"/>
    </w:pPr>
    <w:rPr>
      <w:sz w:val="24"/>
    </w:rPr>
  </w:style>
  <w:style w:type="paragraph" w:customStyle="1" w:styleId="layoutknostopleftside">
    <w:name w:val="layout_knostopleftside"/>
    <w:basedOn w:val="Normal"/>
    <w:pPr>
      <w:spacing w:before="100" w:beforeAutospacing="1" w:after="100" w:afterAutospacing="1"/>
    </w:pPr>
    <w:rPr>
      <w:sz w:val="24"/>
    </w:rPr>
  </w:style>
  <w:style w:type="paragraph" w:customStyle="1" w:styleId="layoutknosleftsidearrowimage">
    <w:name w:val="layout_knosleftsidearrowimage"/>
    <w:basedOn w:val="Normal"/>
    <w:pPr>
      <w:spacing w:before="100" w:beforeAutospacing="1" w:after="100" w:afterAutospacing="1"/>
      <w:ind w:left="105"/>
    </w:pPr>
    <w:rPr>
      <w:sz w:val="24"/>
    </w:rPr>
  </w:style>
  <w:style w:type="paragraph" w:customStyle="1" w:styleId="layoutknosleftsideexpandinformationimage">
    <w:name w:val="layout_knosleftsideexpandinformationimage"/>
    <w:basedOn w:val="Normal"/>
    <w:pPr>
      <w:spacing w:before="100" w:beforeAutospacing="1" w:after="100" w:afterAutospacing="1"/>
    </w:pPr>
    <w:rPr>
      <w:sz w:val="24"/>
    </w:rPr>
  </w:style>
  <w:style w:type="paragraph" w:customStyle="1" w:styleId="knosleftsideexpandinformationimage">
    <w:name w:val="knosleftsideexpandinformationimage"/>
    <w:basedOn w:val="Normal"/>
    <w:pPr>
      <w:shd w:val="clear" w:color="auto" w:fill="A1A7C9"/>
      <w:spacing w:before="100" w:beforeAutospacing="1" w:after="100" w:afterAutospacing="1"/>
    </w:pPr>
    <w:rPr>
      <w:b/>
      <w:bCs w:val="0"/>
      <w:sz w:val="24"/>
    </w:rPr>
  </w:style>
  <w:style w:type="paragraph" w:customStyle="1" w:styleId="layoutknostoprightside">
    <w:name w:val="layout_knostoprightside"/>
    <w:basedOn w:val="Normal"/>
    <w:pPr>
      <w:spacing w:before="240"/>
      <w:ind w:left="150"/>
    </w:pPr>
    <w:rPr>
      <w:sz w:val="24"/>
    </w:rPr>
  </w:style>
  <w:style w:type="paragraph" w:customStyle="1" w:styleId="layoutknosrightsidebuttons">
    <w:name w:val="layout_knosrightsidebuttons"/>
    <w:basedOn w:val="Normal"/>
    <w:pPr>
      <w:spacing w:before="100" w:beforeAutospacing="1" w:after="100" w:afterAutospacing="1"/>
    </w:pPr>
    <w:rPr>
      <w:sz w:val="24"/>
    </w:rPr>
  </w:style>
  <w:style w:type="paragraph" w:customStyle="1" w:styleId="layoutknosbuttonsclear">
    <w:name w:val="layout_knosbuttonsclear"/>
    <w:basedOn w:val="Normal"/>
    <w:pPr>
      <w:spacing w:before="100" w:beforeAutospacing="1" w:after="100" w:afterAutospacing="1"/>
    </w:pPr>
    <w:rPr>
      <w:sz w:val="24"/>
    </w:rPr>
  </w:style>
  <w:style w:type="paragraph" w:customStyle="1" w:styleId="layoutknosbuttonssave">
    <w:name w:val="layout_knosbuttonssave"/>
    <w:basedOn w:val="Normal"/>
    <w:pPr>
      <w:spacing w:before="100" w:beforeAutospacing="1" w:after="100" w:afterAutospacing="1"/>
    </w:pPr>
    <w:rPr>
      <w:sz w:val="24"/>
    </w:rPr>
  </w:style>
  <w:style w:type="paragraph" w:customStyle="1" w:styleId="layoutknospagemiddle">
    <w:name w:val="layout_knospagemiddle"/>
    <w:basedOn w:val="Normal"/>
    <w:pPr>
      <w:spacing w:before="150" w:after="75"/>
      <w:ind w:left="75" w:right="75"/>
    </w:pPr>
    <w:rPr>
      <w:sz w:val="24"/>
    </w:rPr>
  </w:style>
  <w:style w:type="paragraph" w:customStyle="1" w:styleId="layoutknosmiddleleft">
    <w:name w:val="layout_knosmiddleleft"/>
    <w:basedOn w:val="Normal"/>
    <w:pPr>
      <w:spacing w:before="100" w:beforeAutospacing="1" w:after="100" w:afterAutospacing="1"/>
    </w:pPr>
    <w:rPr>
      <w:sz w:val="24"/>
    </w:rPr>
  </w:style>
  <w:style w:type="paragraph" w:customStyle="1" w:styleId="layoutknostreecontainer">
    <w:name w:val="layout_knostreecontainer"/>
    <w:basedOn w:val="Normal"/>
    <w:pPr>
      <w:spacing w:before="100" w:beforeAutospacing="1" w:after="100" w:afterAutospacing="1"/>
    </w:pPr>
    <w:rPr>
      <w:sz w:val="24"/>
    </w:rPr>
  </w:style>
  <w:style w:type="paragraph" w:customStyle="1" w:styleId="layoutknosmiddleright">
    <w:name w:val="layout_knosmiddleright"/>
    <w:basedOn w:val="Normal"/>
    <w:pPr>
      <w:spacing w:before="100" w:beforeAutospacing="1" w:after="100" w:afterAutospacing="1"/>
    </w:pPr>
    <w:rPr>
      <w:sz w:val="24"/>
    </w:rPr>
  </w:style>
  <w:style w:type="paragraph" w:customStyle="1" w:styleId="layoutknosrightsidenote">
    <w:name w:val="layout_knosrightsidenote"/>
    <w:basedOn w:val="Normal"/>
    <w:pPr>
      <w:spacing w:before="100" w:beforeAutospacing="1" w:after="100" w:afterAutospacing="1"/>
    </w:pPr>
    <w:rPr>
      <w:sz w:val="24"/>
    </w:rPr>
  </w:style>
  <w:style w:type="paragraph" w:customStyle="1" w:styleId="knosrightsidenote">
    <w:name w:val="knosrightsidenot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rPr>
      <w:b/>
      <w:bCs w:val="0"/>
      <w:sz w:val="24"/>
    </w:rPr>
  </w:style>
  <w:style w:type="paragraph" w:customStyle="1" w:styleId="layoutknosnoteheading">
    <w:name w:val="layout_knosnoteheading"/>
    <w:basedOn w:val="Normal"/>
    <w:pPr>
      <w:spacing w:before="100" w:beforeAutospacing="1" w:after="100" w:afterAutospacing="1"/>
      <w:jc w:val="center"/>
    </w:pPr>
    <w:rPr>
      <w:sz w:val="24"/>
    </w:rPr>
  </w:style>
  <w:style w:type="paragraph" w:customStyle="1" w:styleId="knosnoteheading">
    <w:name w:val="knosnoteheading"/>
    <w:basedOn w:val="Normal"/>
    <w:pPr>
      <w:shd w:val="clear" w:color="auto" w:fill="A1A7C9"/>
      <w:spacing w:before="100" w:beforeAutospacing="1" w:after="100" w:afterAutospacing="1"/>
    </w:pPr>
    <w:rPr>
      <w:sz w:val="24"/>
    </w:rPr>
  </w:style>
  <w:style w:type="paragraph" w:customStyle="1" w:styleId="layoutknosnotebody">
    <w:name w:val="layout_knosnotebody"/>
    <w:basedOn w:val="Normal"/>
    <w:pPr>
      <w:spacing w:before="90" w:after="90"/>
      <w:ind w:left="90" w:right="90"/>
    </w:pPr>
    <w:rPr>
      <w:sz w:val="24"/>
    </w:rPr>
  </w:style>
  <w:style w:type="paragraph" w:customStyle="1" w:styleId="layoutknospagebottom">
    <w:name w:val="layout_knospagebottom"/>
    <w:basedOn w:val="Normal"/>
    <w:pPr>
      <w:spacing w:before="100" w:beforeAutospacing="1" w:after="100" w:afterAutospacing="1"/>
    </w:pPr>
    <w:rPr>
      <w:sz w:val="24"/>
    </w:rPr>
  </w:style>
  <w:style w:type="paragraph" w:customStyle="1" w:styleId="layoutknospagebottomclearall">
    <w:name w:val="layout_knospagebottomclearall"/>
    <w:basedOn w:val="Normal"/>
    <w:pPr>
      <w:spacing w:before="100" w:beforeAutospacing="1" w:after="100" w:afterAutospacing="1"/>
      <w:ind w:right="45"/>
    </w:pPr>
    <w:rPr>
      <w:sz w:val="24"/>
    </w:rPr>
  </w:style>
  <w:style w:type="paragraph" w:customStyle="1" w:styleId="knostree1">
    <w:name w:val="knostree1"/>
    <w:basedOn w:val="Normal"/>
    <w:pPr>
      <w:shd w:val="clear" w:color="auto" w:fill="FFFFFF"/>
      <w:spacing w:before="100" w:beforeAutospacing="1" w:after="100" w:afterAutospacing="1"/>
    </w:pPr>
    <w:rPr>
      <w:sz w:val="24"/>
    </w:rPr>
  </w:style>
  <w:style w:type="paragraph" w:customStyle="1" w:styleId="knostree2">
    <w:name w:val="knostree2"/>
    <w:basedOn w:val="Normal"/>
    <w:pPr>
      <w:shd w:val="clear" w:color="auto" w:fill="E7E9F2"/>
      <w:spacing w:before="100" w:beforeAutospacing="1" w:after="100" w:afterAutospacing="1"/>
    </w:pPr>
    <w:rPr>
      <w:sz w:val="24"/>
    </w:rPr>
  </w:style>
  <w:style w:type="paragraph" w:customStyle="1" w:styleId="layoutkcmigrationdatelimitspagetop">
    <w:name w:val="layout_kcmigrationdatelimitspagetop"/>
    <w:basedOn w:val="Normal"/>
    <w:pPr>
      <w:spacing w:before="75" w:after="100" w:afterAutospacing="1"/>
      <w:ind w:left="45"/>
    </w:pPr>
    <w:rPr>
      <w:sz w:val="24"/>
    </w:rPr>
  </w:style>
  <w:style w:type="paragraph" w:customStyle="1" w:styleId="layoutkcmigrationdatelimitstopradio">
    <w:name w:val="layout_kcmigrationdatelimitstopradio"/>
    <w:basedOn w:val="Normal"/>
    <w:pPr>
      <w:spacing w:before="100" w:beforeAutospacing="1" w:after="100" w:afterAutospacing="1"/>
    </w:pPr>
    <w:rPr>
      <w:sz w:val="24"/>
    </w:rPr>
  </w:style>
  <w:style w:type="paragraph" w:customStyle="1" w:styleId="layoutkcmigrationdatelimitstopdropdown">
    <w:name w:val="layout_kcmigrationdatelimitstopdropdown"/>
    <w:basedOn w:val="Normal"/>
    <w:pPr>
      <w:spacing w:before="45" w:after="100" w:afterAutospacing="1"/>
    </w:pPr>
    <w:rPr>
      <w:sz w:val="24"/>
    </w:rPr>
  </w:style>
  <w:style w:type="paragraph" w:customStyle="1" w:styleId="layoutkcmigrationdatelimitsafterdate">
    <w:name w:val="layout_kcmigrationdatelimitsafterdate"/>
    <w:basedOn w:val="Normal"/>
    <w:pPr>
      <w:spacing w:before="100" w:beforeAutospacing="1" w:after="100" w:afterAutospacing="1"/>
    </w:pPr>
    <w:rPr>
      <w:sz w:val="24"/>
    </w:rPr>
  </w:style>
  <w:style w:type="paragraph" w:customStyle="1" w:styleId="layoutkcmigrationdatelimitsbeforedate">
    <w:name w:val="layout_kcmigrationdatelimitsbeforedate"/>
    <w:basedOn w:val="Normal"/>
    <w:pPr>
      <w:spacing w:before="100" w:beforeAutospacing="1" w:after="100" w:afterAutospacing="1"/>
    </w:pPr>
    <w:rPr>
      <w:sz w:val="24"/>
    </w:rPr>
  </w:style>
  <w:style w:type="paragraph" w:customStyle="1" w:styleId="layoutkcmigrationdatelimitspagebottom">
    <w:name w:val="layout_kcmigrationdatelimitspagebottom"/>
    <w:basedOn w:val="Normal"/>
    <w:pPr>
      <w:spacing w:before="75" w:after="100" w:afterAutospacing="1"/>
      <w:ind w:left="45"/>
    </w:pPr>
    <w:rPr>
      <w:sz w:val="24"/>
    </w:rPr>
  </w:style>
  <w:style w:type="paragraph" w:customStyle="1" w:styleId="layoutkcmigrationdatelimitsbottomleft">
    <w:name w:val="layout_kcmigrationdatelimitsbottomleft"/>
    <w:basedOn w:val="Normal"/>
    <w:pPr>
      <w:spacing w:before="100" w:beforeAutospacing="1" w:after="100" w:afterAutospacing="1"/>
    </w:pPr>
    <w:rPr>
      <w:sz w:val="24"/>
    </w:rPr>
  </w:style>
  <w:style w:type="paragraph" w:customStyle="1" w:styleId="layoutkcmigrationdatelimitsbottomradio">
    <w:name w:val="layout_kcmigrationdatelimitsbottomradio"/>
    <w:basedOn w:val="Normal"/>
    <w:pPr>
      <w:spacing w:before="100" w:beforeAutospacing="1" w:after="100" w:afterAutospacing="1"/>
    </w:pPr>
    <w:rPr>
      <w:sz w:val="24"/>
    </w:rPr>
  </w:style>
  <w:style w:type="paragraph" w:customStyle="1" w:styleId="layoutkcmigrationdatelimitsbottomdropdown">
    <w:name w:val="layout_kcmigrationdatelimitsbottomdropdown"/>
    <w:basedOn w:val="Normal"/>
    <w:pPr>
      <w:spacing w:before="45" w:after="100" w:afterAutospacing="1"/>
    </w:pPr>
    <w:rPr>
      <w:sz w:val="24"/>
    </w:rPr>
  </w:style>
  <w:style w:type="paragraph" w:customStyle="1" w:styleId="layoutkcmigrationdatelimitsspecificdate">
    <w:name w:val="layout_kcmigrationdatelimitsspecificdate"/>
    <w:basedOn w:val="Normal"/>
    <w:pPr>
      <w:spacing w:before="100" w:beforeAutospacing="1" w:after="100" w:afterAutospacing="1"/>
    </w:pPr>
    <w:rPr>
      <w:sz w:val="24"/>
    </w:rPr>
  </w:style>
  <w:style w:type="paragraph" w:customStyle="1" w:styleId="layoutkcmigrationdatelimitsbottomright">
    <w:name w:val="layout_kcmigrationdatelimitsbottomright"/>
    <w:basedOn w:val="Normal"/>
    <w:pPr>
      <w:spacing w:before="100" w:beforeAutospacing="1" w:after="100" w:afterAutospacing="1"/>
    </w:pPr>
    <w:rPr>
      <w:sz w:val="24"/>
    </w:rPr>
  </w:style>
  <w:style w:type="paragraph" w:customStyle="1" w:styleId="layoutkcmigrationdatelimitstip">
    <w:name w:val="layout_kcmigrationdatelimitstip"/>
    <w:basedOn w:val="Normal"/>
    <w:pPr>
      <w:spacing w:before="100" w:beforeAutospacing="1" w:after="100" w:afterAutospacing="1"/>
    </w:pPr>
    <w:rPr>
      <w:sz w:val="24"/>
    </w:rPr>
  </w:style>
  <w:style w:type="paragraph" w:customStyle="1" w:styleId="layoutkcmigrationdatelimitstipbackground">
    <w:name w:val="layout_kcmigrationdatelimitstipbackground"/>
    <w:basedOn w:val="Normal"/>
    <w:pPr>
      <w:spacing w:before="100" w:beforeAutospacing="1" w:after="100" w:afterAutospacing="1"/>
    </w:pPr>
    <w:rPr>
      <w:sz w:val="24"/>
    </w:rPr>
  </w:style>
  <w:style w:type="paragraph" w:customStyle="1" w:styleId="kcmigrationdatelimitstipbackground">
    <w:name w:val="kcmigrationdatelimitstipbackground"/>
    <w:basedOn w:val="Normal"/>
    <w:pPr>
      <w:shd w:val="clear" w:color="auto" w:fill="ECECEC"/>
      <w:spacing w:before="100" w:beforeAutospacing="1" w:after="100" w:afterAutospacing="1"/>
    </w:pPr>
    <w:rPr>
      <w:sz w:val="24"/>
    </w:rPr>
  </w:style>
  <w:style w:type="paragraph" w:customStyle="1" w:styleId="layoutkcmigrationdatelimitstipbody">
    <w:name w:val="layout_kcmigrationdatelimitstipbody"/>
    <w:basedOn w:val="Normal"/>
    <w:pPr>
      <w:spacing w:before="225" w:after="225" w:line="211" w:lineRule="auto"/>
      <w:textAlignment w:val="center"/>
    </w:pPr>
    <w:rPr>
      <w:sz w:val="24"/>
    </w:rPr>
  </w:style>
  <w:style w:type="paragraph" w:customStyle="1" w:styleId="layoutrequestheadercontrol">
    <w:name w:val="layout_requestheadercontrol"/>
    <w:basedOn w:val="Normal"/>
    <w:pPr>
      <w:spacing w:before="100" w:beforeAutospacing="1" w:after="100" w:afterAutospacing="1"/>
    </w:pPr>
    <w:rPr>
      <w:sz w:val="24"/>
    </w:rPr>
  </w:style>
  <w:style w:type="paragraph" w:customStyle="1" w:styleId="layoutrequestfootercontrol">
    <w:name w:val="layout_requestfootercontrol"/>
    <w:basedOn w:val="Normal"/>
    <w:pPr>
      <w:spacing w:before="100" w:beforeAutospacing="1" w:after="100" w:afterAutospacing="1"/>
      <w:jc w:val="center"/>
    </w:pPr>
    <w:rPr>
      <w:sz w:val="24"/>
    </w:rPr>
  </w:style>
  <w:style w:type="paragraph" w:customStyle="1" w:styleId="layoutrequestwrapper">
    <w:name w:val="layout_requestwrapper"/>
    <w:basedOn w:val="Normal"/>
    <w:pPr>
      <w:spacing w:before="100" w:beforeAutospacing="1" w:after="100" w:afterAutospacing="1"/>
      <w:ind w:left="525"/>
    </w:pPr>
    <w:rPr>
      <w:sz w:val="24"/>
    </w:rPr>
  </w:style>
  <w:style w:type="paragraph" w:customStyle="1" w:styleId="layoutrequestrowresizeble">
    <w:name w:val="layout_requestrowresizeble"/>
    <w:basedOn w:val="Normal"/>
    <w:pPr>
      <w:spacing w:before="100" w:beforeAutospacing="1" w:after="100" w:afterAutospacing="1"/>
    </w:pPr>
    <w:rPr>
      <w:sz w:val="24"/>
    </w:rPr>
  </w:style>
  <w:style w:type="paragraph" w:customStyle="1" w:styleId="layoutrequestrowfixed">
    <w:name w:val="layout_requestrowfixed"/>
    <w:basedOn w:val="Normal"/>
    <w:pPr>
      <w:spacing w:before="100" w:beforeAutospacing="1" w:after="100" w:afterAutospacing="1"/>
    </w:pPr>
    <w:rPr>
      <w:sz w:val="24"/>
    </w:rPr>
  </w:style>
  <w:style w:type="paragraph" w:customStyle="1" w:styleId="layoutrequestmessage">
    <w:name w:val="layout_requestmessage"/>
    <w:basedOn w:val="Normal"/>
    <w:pPr>
      <w:spacing w:before="100" w:beforeAutospacing="1" w:after="100" w:afterAutospacing="1"/>
    </w:pPr>
    <w:rPr>
      <w:sz w:val="24"/>
    </w:rPr>
  </w:style>
  <w:style w:type="paragraph" w:customStyle="1" w:styleId="layoutrequestelementnolabel">
    <w:name w:val="layout_requestelementnolabel"/>
    <w:basedOn w:val="Normal"/>
    <w:pPr>
      <w:spacing w:before="100" w:beforeAutospacing="1" w:after="100" w:afterAutospacing="1"/>
      <w:ind w:left="3000"/>
    </w:pPr>
    <w:rPr>
      <w:sz w:val="24"/>
    </w:rPr>
  </w:style>
  <w:style w:type="paragraph" w:customStyle="1" w:styleId="layoutrequestlist">
    <w:name w:val="layout_requestlist"/>
    <w:basedOn w:val="Normal"/>
    <w:pPr>
      <w:spacing w:before="100" w:beforeAutospacing="1" w:after="100" w:afterAutospacing="1"/>
      <w:ind w:left="225"/>
    </w:pPr>
    <w:rPr>
      <w:sz w:val="24"/>
    </w:rPr>
  </w:style>
  <w:style w:type="paragraph" w:customStyle="1" w:styleId="layoutrequestform">
    <w:name w:val="layout_requestform"/>
    <w:basedOn w:val="Normal"/>
    <w:rPr>
      <w:sz w:val="24"/>
    </w:rPr>
  </w:style>
  <w:style w:type="paragraph" w:customStyle="1" w:styleId="requestmessage">
    <w:name w:val="requestmessage"/>
    <w:basedOn w:val="Normal"/>
    <w:pPr>
      <w:spacing w:before="100" w:beforeAutospacing="1" w:after="100" w:afterAutospacing="1"/>
    </w:pPr>
    <w:rPr>
      <w:szCs w:val="20"/>
    </w:rPr>
  </w:style>
  <w:style w:type="paragraph" w:customStyle="1" w:styleId="requestlist">
    <w:name w:val="requestlist"/>
    <w:basedOn w:val="Normal"/>
    <w:pPr>
      <w:spacing w:before="100" w:beforeAutospacing="1" w:after="100" w:afterAutospacing="1"/>
    </w:pPr>
    <w:rPr>
      <w:szCs w:val="20"/>
    </w:rPr>
  </w:style>
  <w:style w:type="paragraph" w:customStyle="1" w:styleId="requestheaderbar">
    <w:name w:val="requestheaderbar"/>
    <w:basedOn w:val="Normal"/>
    <w:pPr>
      <w:spacing w:before="100" w:beforeAutospacing="1" w:after="100" w:afterAutospacing="1"/>
    </w:pPr>
    <w:rPr>
      <w:rFonts w:ascii="Arial" w:hAnsi="Arial" w:cs="Arial"/>
      <w:b/>
      <w:bCs w:val="0"/>
      <w:sz w:val="31"/>
      <w:szCs w:val="31"/>
    </w:rPr>
  </w:style>
  <w:style w:type="paragraph" w:customStyle="1" w:styleId="requestfootertext">
    <w:name w:val="requestfootertext"/>
    <w:basedOn w:val="Normal"/>
    <w:pPr>
      <w:spacing w:before="100" w:beforeAutospacing="1" w:after="100" w:afterAutospacing="1"/>
    </w:pPr>
    <w:rPr>
      <w:rFonts w:ascii="Arial" w:hAnsi="Arial" w:cs="Arial"/>
      <w:color w:val="656565"/>
      <w:sz w:val="16"/>
      <w:szCs w:val="16"/>
    </w:rPr>
  </w:style>
  <w:style w:type="paragraph" w:customStyle="1" w:styleId="requestvalidator">
    <w:name w:val="requestvalidator"/>
    <w:basedOn w:val="Normal"/>
    <w:pPr>
      <w:spacing w:before="100" w:beforeAutospacing="1" w:after="100" w:afterAutospacing="1"/>
    </w:pPr>
    <w:rPr>
      <w:color w:val="FF0000"/>
      <w:szCs w:val="20"/>
    </w:rPr>
  </w:style>
  <w:style w:type="paragraph" w:customStyle="1" w:styleId="requestsectiontitle">
    <w:name w:val="requestsectiontitle"/>
    <w:basedOn w:val="Normal"/>
    <w:pPr>
      <w:spacing w:before="100" w:beforeAutospacing="1" w:after="100" w:afterAutospacing="1"/>
    </w:pPr>
    <w:rPr>
      <w:b/>
      <w:bCs w:val="0"/>
      <w:szCs w:val="20"/>
    </w:rPr>
  </w:style>
  <w:style w:type="paragraph" w:customStyle="1" w:styleId="easysearchmenudiv">
    <w:name w:val="easysearchmenu_div"/>
    <w:basedOn w:val="Normal"/>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 w:val="24"/>
    </w:rPr>
  </w:style>
  <w:style w:type="paragraph" w:customStyle="1" w:styleId="layouteasysearchmenuelement">
    <w:name w:val="layout_easysearchmenu_element"/>
    <w:basedOn w:val="Normal"/>
    <w:pPr>
      <w:spacing w:before="100" w:beforeAutospacing="1" w:after="100" w:afterAutospacing="1"/>
    </w:pPr>
    <w:rPr>
      <w:sz w:val="24"/>
    </w:rPr>
  </w:style>
  <w:style w:type="paragraph" w:customStyle="1" w:styleId="easysearchmenuelement">
    <w:name w:val="easysearchmenu_element"/>
    <w:basedOn w:val="Normal"/>
    <w:pPr>
      <w:spacing w:before="100" w:beforeAutospacing="1" w:after="100" w:afterAutospacing="1"/>
    </w:pPr>
    <w:rPr>
      <w:rFonts w:ascii="Arial" w:hAnsi="Arial" w:cs="Arial"/>
      <w:color w:val="333399"/>
      <w:sz w:val="18"/>
      <w:szCs w:val="18"/>
    </w:rPr>
  </w:style>
  <w:style w:type="paragraph" w:customStyle="1" w:styleId="easysearchmenuelementhover">
    <w:name w:val="easysearchmenu_elementhover"/>
    <w:basedOn w:val="Normal"/>
    <w:pPr>
      <w:shd w:val="clear" w:color="auto" w:fill="9999CC"/>
      <w:spacing w:before="100" w:beforeAutospacing="1" w:after="100" w:afterAutospacing="1"/>
    </w:pPr>
    <w:rPr>
      <w:rFonts w:ascii="Arial" w:hAnsi="Arial" w:cs="Arial"/>
      <w:color w:val="FFFFFF"/>
      <w:sz w:val="18"/>
      <w:szCs w:val="18"/>
    </w:rPr>
  </w:style>
  <w:style w:type="paragraph" w:customStyle="1" w:styleId="easysearchmenuelementselected">
    <w:name w:val="easysearchmenu_elementselected"/>
    <w:basedOn w:val="Normal"/>
    <w:pPr>
      <w:shd w:val="clear" w:color="auto" w:fill="7194B7"/>
      <w:spacing w:before="100" w:beforeAutospacing="1" w:after="100" w:afterAutospacing="1"/>
    </w:pPr>
    <w:rPr>
      <w:rFonts w:ascii="Arial" w:hAnsi="Arial" w:cs="Arial"/>
      <w:color w:val="FFFFFF"/>
      <w:sz w:val="18"/>
      <w:szCs w:val="18"/>
    </w:rPr>
  </w:style>
  <w:style w:type="paragraph" w:customStyle="1" w:styleId="easysearchmenuarrowactive">
    <w:name w:val="easysearchmenu_arrowactive"/>
    <w:basedOn w:val="Normal"/>
    <w:pPr>
      <w:shd w:val="clear" w:color="auto" w:fill="FFCC66"/>
      <w:spacing w:before="100" w:beforeAutospacing="1" w:after="100" w:afterAutospacing="1"/>
    </w:pPr>
    <w:rPr>
      <w:vanish/>
      <w:sz w:val="24"/>
    </w:rPr>
  </w:style>
  <w:style w:type="paragraph" w:customStyle="1" w:styleId="easysearchmenuarrowinactive">
    <w:name w:val="easysearchmenu_arrowinactive"/>
    <w:basedOn w:val="Normal"/>
    <w:pPr>
      <w:shd w:val="clear" w:color="auto" w:fill="FFFFFF"/>
      <w:spacing w:before="100" w:beforeAutospacing="1" w:after="100" w:afterAutospacing="1"/>
    </w:pPr>
    <w:rPr>
      <w:vanish/>
      <w:sz w:val="24"/>
    </w:rPr>
  </w:style>
  <w:style w:type="paragraph" w:customStyle="1" w:styleId="slidemenumenudiv">
    <w:name w:val="slidemenumenu_div"/>
    <w:basedOn w:val="Normal"/>
    <w:pPr>
      <w:shd w:val="clear" w:color="auto" w:fill="FFFFFF"/>
      <w:spacing w:before="100" w:beforeAutospacing="1" w:after="100" w:afterAutospacing="1"/>
    </w:pPr>
    <w:rPr>
      <w:sz w:val="24"/>
    </w:rPr>
  </w:style>
  <w:style w:type="paragraph" w:customStyle="1" w:styleId="layoutslidemenumenuelement">
    <w:name w:val="layout_slidemenumenu_element"/>
    <w:basedOn w:val="Normal"/>
    <w:pPr>
      <w:spacing w:before="100" w:beforeAutospacing="1" w:after="100" w:afterAutospacing="1"/>
    </w:pPr>
    <w:rPr>
      <w:sz w:val="24"/>
    </w:rPr>
  </w:style>
  <w:style w:type="paragraph" w:customStyle="1" w:styleId="slidemenumenuelement">
    <w:name w:val="slidemenumenu_element"/>
    <w:basedOn w:val="Normal"/>
    <w:pPr>
      <w:spacing w:before="100" w:beforeAutospacing="1" w:after="100" w:afterAutospacing="1"/>
    </w:pPr>
    <w:rPr>
      <w:rFonts w:ascii="Arial" w:hAnsi="Arial" w:cs="Arial"/>
      <w:color w:val="333399"/>
      <w:sz w:val="18"/>
      <w:szCs w:val="18"/>
    </w:rPr>
  </w:style>
  <w:style w:type="paragraph" w:customStyle="1" w:styleId="slidemenumenuelementhover">
    <w:name w:val="slidemenumenu_elementhover"/>
    <w:basedOn w:val="Normal"/>
    <w:pPr>
      <w:shd w:val="clear" w:color="auto" w:fill="9999CC"/>
      <w:spacing w:before="100" w:beforeAutospacing="1" w:after="100" w:afterAutospacing="1"/>
    </w:pPr>
    <w:rPr>
      <w:rFonts w:ascii="Arial" w:hAnsi="Arial" w:cs="Arial"/>
      <w:color w:val="FFFFFF"/>
      <w:sz w:val="18"/>
      <w:szCs w:val="18"/>
    </w:rPr>
  </w:style>
  <w:style w:type="paragraph" w:customStyle="1" w:styleId="slidemenumenuelementselected">
    <w:name w:val="slidemenumenu_elementselected"/>
    <w:basedOn w:val="Normal"/>
    <w:pPr>
      <w:shd w:val="clear" w:color="auto" w:fill="7194B7"/>
      <w:spacing w:before="100" w:beforeAutospacing="1" w:after="100" w:afterAutospacing="1"/>
    </w:pPr>
    <w:rPr>
      <w:rFonts w:ascii="Arial" w:hAnsi="Arial" w:cs="Arial"/>
      <w:color w:val="FFFFFF"/>
      <w:sz w:val="18"/>
      <w:szCs w:val="18"/>
    </w:rPr>
  </w:style>
  <w:style w:type="paragraph" w:customStyle="1" w:styleId="slidemenumenuarrowactive">
    <w:name w:val="slidemenumenu_arrowactive"/>
    <w:basedOn w:val="Normal"/>
    <w:pPr>
      <w:spacing w:before="100" w:beforeAutospacing="1" w:after="100" w:afterAutospacing="1"/>
    </w:pPr>
    <w:rPr>
      <w:sz w:val="24"/>
    </w:rPr>
  </w:style>
  <w:style w:type="paragraph" w:customStyle="1" w:styleId="slidemenumenuarrowinactive">
    <w:name w:val="slidemenumenu_arrowinactive"/>
    <w:basedOn w:val="Normal"/>
    <w:pPr>
      <w:spacing w:before="100" w:beforeAutospacing="1" w:after="100" w:afterAutospacing="1"/>
    </w:pPr>
    <w:rPr>
      <w:vanish/>
      <w:sz w:val="24"/>
    </w:rPr>
  </w:style>
  <w:style w:type="paragraph" w:customStyle="1" w:styleId="baseslidemenumainmenu">
    <w:name w:val="baseslidemenumainmenu"/>
    <w:basedOn w:val="Normal"/>
    <w:pPr>
      <w:shd w:val="clear" w:color="auto" w:fill="FFFFFF"/>
      <w:spacing w:before="100" w:beforeAutospacing="1" w:after="100" w:afterAutospacing="1"/>
    </w:pPr>
    <w:rPr>
      <w:sz w:val="24"/>
    </w:rPr>
  </w:style>
  <w:style w:type="paragraph" w:customStyle="1" w:styleId="slidemenumainmenu">
    <w:name w:val="slidemenumainmenu"/>
    <w:basedOn w:val="Normal"/>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 w:val="24"/>
    </w:rPr>
  </w:style>
  <w:style w:type="paragraph" w:customStyle="1" w:styleId="slidemenuhistory">
    <w:name w:val="slidemenuhistory"/>
    <w:basedOn w:val="Normal"/>
    <w:pPr>
      <w:spacing w:before="100" w:beforeAutospacing="1" w:after="100" w:afterAutospacing="1"/>
      <w:jc w:val="center"/>
    </w:pPr>
    <w:rPr>
      <w:sz w:val="18"/>
      <w:szCs w:val="18"/>
    </w:rPr>
  </w:style>
  <w:style w:type="paragraph" w:customStyle="1" w:styleId="slidemenuhistorycolorhover">
    <w:name w:val="slidemenuhistorycolorhover"/>
    <w:basedOn w:val="Normal"/>
    <w:pPr>
      <w:shd w:val="clear" w:color="auto" w:fill="FFB366"/>
      <w:spacing w:before="100" w:beforeAutospacing="1" w:after="100" w:afterAutospacing="1"/>
    </w:pPr>
    <w:rPr>
      <w:color w:val="FFFFFF"/>
      <w:sz w:val="24"/>
    </w:rPr>
  </w:style>
  <w:style w:type="paragraph" w:customStyle="1" w:styleId="slidemenuhistorycolor0">
    <w:name w:val="slidemenuhistorycolor0"/>
    <w:basedOn w:val="Normal"/>
    <w:pPr>
      <w:shd w:val="clear" w:color="auto" w:fill="AAAAAA"/>
      <w:spacing w:before="100" w:beforeAutospacing="1" w:after="100" w:afterAutospacing="1"/>
    </w:pPr>
    <w:rPr>
      <w:color w:val="FFFFFF"/>
      <w:sz w:val="24"/>
    </w:rPr>
  </w:style>
  <w:style w:type="paragraph" w:customStyle="1" w:styleId="slidemenuhistorycolor1">
    <w:name w:val="slidemenuhistorycolor1"/>
    <w:basedOn w:val="Normal"/>
    <w:pPr>
      <w:shd w:val="clear" w:color="auto" w:fill="888888"/>
      <w:spacing w:before="100" w:beforeAutospacing="1" w:after="100" w:afterAutospacing="1"/>
    </w:pPr>
    <w:rPr>
      <w:color w:val="FFFFFF"/>
      <w:sz w:val="24"/>
    </w:rPr>
  </w:style>
  <w:style w:type="paragraph" w:customStyle="1" w:styleId="slidemenuhistorycolor2">
    <w:name w:val="slidemenuhistorycolor2"/>
    <w:basedOn w:val="Normal"/>
    <w:pPr>
      <w:shd w:val="clear" w:color="auto" w:fill="777777"/>
      <w:spacing w:before="100" w:beforeAutospacing="1" w:after="100" w:afterAutospacing="1"/>
    </w:pPr>
    <w:rPr>
      <w:color w:val="FFFFFF"/>
      <w:sz w:val="24"/>
    </w:rPr>
  </w:style>
  <w:style w:type="paragraph" w:customStyle="1" w:styleId="slidemenuhistorycolor3">
    <w:name w:val="slidemenuhistorycolor3"/>
    <w:basedOn w:val="Normal"/>
    <w:pPr>
      <w:shd w:val="clear" w:color="auto" w:fill="606060"/>
      <w:spacing w:before="100" w:beforeAutospacing="1" w:after="100" w:afterAutospacing="1"/>
    </w:pPr>
    <w:rPr>
      <w:color w:val="FFFFFF"/>
      <w:sz w:val="24"/>
    </w:rPr>
  </w:style>
  <w:style w:type="paragraph" w:customStyle="1" w:styleId="layoutbasemenuitemelement">
    <w:name w:val="layout_basemenuitem_element"/>
    <w:basedOn w:val="Normal"/>
    <w:pPr>
      <w:spacing w:before="100" w:beforeAutospacing="1" w:after="100" w:afterAutospacing="1"/>
    </w:pPr>
    <w:rPr>
      <w:sz w:val="24"/>
    </w:rPr>
  </w:style>
  <w:style w:type="paragraph" w:customStyle="1" w:styleId="managetabsshadedbackground">
    <w:name w:val="managetabsshadedbackground"/>
    <w:basedOn w:val="Normal"/>
    <w:pPr>
      <w:shd w:val="clear" w:color="auto" w:fill="E6E6FA"/>
      <w:spacing w:before="100" w:beforeAutospacing="1" w:after="100" w:afterAutospacing="1"/>
    </w:pPr>
    <w:rPr>
      <w:sz w:val="24"/>
    </w:rPr>
  </w:style>
  <w:style w:type="paragraph" w:customStyle="1" w:styleId="managetabsboxborder">
    <w:name w:val="managetabsboxborder"/>
    <w:basedOn w:val="Normal"/>
    <w:pPr>
      <w:pBdr>
        <w:top w:val="single" w:sz="6" w:space="0" w:color="8787BE"/>
        <w:left w:val="single" w:sz="6" w:space="0" w:color="8787BE"/>
        <w:bottom w:val="single" w:sz="6" w:space="0" w:color="8787BE"/>
        <w:right w:val="single" w:sz="6" w:space="0" w:color="8787BE"/>
      </w:pBdr>
      <w:spacing w:before="100" w:beforeAutospacing="1" w:after="100" w:afterAutospacing="1"/>
    </w:pPr>
    <w:rPr>
      <w:sz w:val="24"/>
    </w:rPr>
  </w:style>
  <w:style w:type="paragraph" w:customStyle="1" w:styleId="errorbox">
    <w:name w:val="errorbox"/>
    <w:basedOn w:val="Normal"/>
    <w:pPr>
      <w:pBdr>
        <w:top w:val="single" w:sz="6" w:space="8" w:color="8787BE"/>
        <w:left w:val="single" w:sz="6" w:space="8" w:color="8787BE"/>
        <w:bottom w:val="single" w:sz="6" w:space="8" w:color="8787BE"/>
        <w:right w:val="single" w:sz="6" w:space="8" w:color="8787BE"/>
      </w:pBdr>
      <w:shd w:val="clear" w:color="auto" w:fill="E6E6FA"/>
      <w:spacing w:before="100" w:beforeAutospacing="1" w:after="100" w:afterAutospacing="1"/>
    </w:pPr>
    <w:rPr>
      <w:sz w:val="24"/>
    </w:rPr>
  </w:style>
  <w:style w:type="paragraph" w:customStyle="1" w:styleId="tablibraryshadedbackrground">
    <w:name w:val="tablibraryshadedbackrground"/>
    <w:basedOn w:val="Normal"/>
    <w:pPr>
      <w:shd w:val="clear" w:color="auto" w:fill="E6E6FA"/>
      <w:spacing w:before="100" w:beforeAutospacing="1" w:after="100" w:afterAutospacing="1"/>
    </w:pPr>
    <w:rPr>
      <w:sz w:val="24"/>
    </w:rPr>
  </w:style>
  <w:style w:type="paragraph" w:customStyle="1" w:styleId="layouttablibrarytabsection">
    <w:name w:val="layout_tablibrarytabsection"/>
    <w:basedOn w:val="Normal"/>
    <w:pPr>
      <w:spacing w:before="100" w:beforeAutospacing="1" w:after="75"/>
    </w:pPr>
    <w:rPr>
      <w:sz w:val="24"/>
    </w:rPr>
  </w:style>
  <w:style w:type="paragraph" w:customStyle="1" w:styleId="layouttablibrarypersonalizedtable">
    <w:name w:val="layout_tablibrarypersonalizedtable"/>
    <w:basedOn w:val="Normal"/>
    <w:pPr>
      <w:spacing w:before="100" w:beforeAutospacing="1" w:after="100" w:afterAutospacing="1"/>
    </w:pPr>
    <w:rPr>
      <w:sz w:val="24"/>
    </w:rPr>
  </w:style>
  <w:style w:type="paragraph" w:customStyle="1" w:styleId="layouttablibrarypersonalizedtabname">
    <w:name w:val="layout_tablibrarypersonalizedtabname"/>
    <w:basedOn w:val="Normal"/>
    <w:pPr>
      <w:spacing w:before="100" w:beforeAutospacing="1" w:after="100" w:afterAutospacing="1"/>
    </w:pPr>
    <w:rPr>
      <w:sz w:val="24"/>
    </w:rPr>
  </w:style>
  <w:style w:type="paragraph" w:customStyle="1" w:styleId="layouttablibrarypersonalizedtabdescription">
    <w:name w:val="layout_tablibrarypersonalizedtabdescription"/>
    <w:basedOn w:val="Normal"/>
    <w:pPr>
      <w:spacing w:before="100" w:beforeAutospacing="1" w:after="100" w:afterAutospacing="1"/>
    </w:pPr>
    <w:rPr>
      <w:sz w:val="24"/>
    </w:rPr>
  </w:style>
  <w:style w:type="paragraph" w:customStyle="1" w:styleId="layouttablibrarypersonalizedtabproperties">
    <w:name w:val="layout_tablibrarypersonalizedtabproperties"/>
    <w:basedOn w:val="Normal"/>
    <w:pPr>
      <w:spacing w:before="100" w:beforeAutospacing="1" w:after="100" w:afterAutospacing="1"/>
      <w:jc w:val="right"/>
    </w:pPr>
    <w:rPr>
      <w:sz w:val="24"/>
    </w:rPr>
  </w:style>
  <w:style w:type="paragraph" w:customStyle="1" w:styleId="layouttablibrarycolumncell">
    <w:name w:val="layout_tablibrarycolumncell"/>
    <w:basedOn w:val="Normal"/>
    <w:pPr>
      <w:spacing w:before="100" w:beforeAutospacing="1" w:after="100" w:afterAutospacing="1"/>
      <w:textAlignment w:val="top"/>
    </w:pPr>
    <w:rPr>
      <w:sz w:val="24"/>
    </w:rPr>
  </w:style>
  <w:style w:type="paragraph" w:customStyle="1" w:styleId="layoutoutlineparts">
    <w:name w:val="layout_outlineparts"/>
    <w:basedOn w:val="Normal"/>
    <w:pPr>
      <w:spacing w:before="100" w:beforeAutospacing="1" w:after="100" w:afterAutospacing="1"/>
    </w:pPr>
    <w:rPr>
      <w:sz w:val="24"/>
    </w:rPr>
  </w:style>
  <w:style w:type="paragraph" w:customStyle="1" w:styleId="layoutoutlinecheckbox">
    <w:name w:val="layout_outlinecheckbox"/>
    <w:basedOn w:val="Normal"/>
    <w:pPr>
      <w:spacing w:before="100" w:beforeAutospacing="1" w:after="100" w:afterAutospacing="1"/>
    </w:pPr>
    <w:rPr>
      <w:sz w:val="24"/>
    </w:rPr>
  </w:style>
  <w:style w:type="paragraph" w:customStyle="1" w:styleId="layoutoutlinerow">
    <w:name w:val="layout_outlinerow"/>
    <w:basedOn w:val="Normal"/>
    <w:pPr>
      <w:spacing w:before="100" w:beforeAutospacing="1" w:after="60"/>
    </w:pPr>
    <w:rPr>
      <w:sz w:val="24"/>
    </w:rPr>
  </w:style>
  <w:style w:type="paragraph" w:customStyle="1" w:styleId="outlineitem">
    <w:name w:val="outlineitem"/>
    <w:basedOn w:val="Normal"/>
    <w:pPr>
      <w:spacing w:before="100" w:beforeAutospacing="1" w:after="100" w:afterAutospacing="1"/>
    </w:pPr>
    <w:rPr>
      <w:color w:val="000000"/>
      <w:sz w:val="16"/>
      <w:szCs w:val="16"/>
    </w:rPr>
  </w:style>
  <w:style w:type="paragraph" w:customStyle="1" w:styleId="layoutoutlineitem">
    <w:name w:val="layout_outlineitem"/>
    <w:basedOn w:val="Normal"/>
    <w:pPr>
      <w:spacing w:before="100" w:beforeAutospacing="1" w:after="100" w:afterAutospacing="1"/>
    </w:pPr>
    <w:rPr>
      <w:sz w:val="24"/>
    </w:rPr>
  </w:style>
  <w:style w:type="paragraph" w:customStyle="1" w:styleId="layoutbacktotoplink">
    <w:name w:val="layout_backtotoplink"/>
    <w:basedOn w:val="Normal"/>
    <w:pPr>
      <w:spacing w:before="100" w:beforeAutospacing="1" w:after="100" w:afterAutospacing="1"/>
    </w:pPr>
    <w:rPr>
      <w:sz w:val="24"/>
    </w:rPr>
  </w:style>
  <w:style w:type="paragraph" w:customStyle="1" w:styleId="navbardottedline">
    <w:name w:val="navbardottedline"/>
    <w:basedOn w:val="Normal"/>
    <w:pPr>
      <w:pBdr>
        <w:top w:val="dashed" w:sz="6" w:space="0" w:color="000020"/>
      </w:pBdr>
      <w:spacing w:before="100" w:beforeAutospacing="1" w:after="100" w:afterAutospacing="1"/>
      <w:jc w:val="center"/>
    </w:pPr>
    <w:rPr>
      <w:sz w:val="24"/>
    </w:rPr>
  </w:style>
  <w:style w:type="paragraph" w:customStyle="1" w:styleId="combodiv">
    <w:name w:val="combo&gt;div"/>
    <w:basedOn w:val="Normal"/>
    <w:pPr>
      <w:spacing w:after="100" w:afterAutospacing="1"/>
    </w:pPr>
    <w:rPr>
      <w:sz w:val="24"/>
    </w:rPr>
  </w:style>
  <w:style w:type="paragraph" w:customStyle="1" w:styleId="layoutmedlitqueryprogresssearching">
    <w:name w:val="layout_medlitqueryprogresssearching"/>
    <w:basedOn w:val="Normal"/>
    <w:pPr>
      <w:spacing w:before="100" w:beforeAutospacing="1" w:after="100" w:afterAutospacing="1"/>
    </w:pPr>
    <w:rPr>
      <w:sz w:val="24"/>
    </w:rPr>
  </w:style>
  <w:style w:type="paragraph" w:customStyle="1" w:styleId="layoutmedlitqueryprogresscompleted">
    <w:name w:val="layout_medlitqueryprogresscompleted"/>
    <w:basedOn w:val="Normal"/>
    <w:pPr>
      <w:spacing w:before="100" w:beforeAutospacing="1" w:after="100" w:afterAutospacing="1"/>
    </w:pPr>
    <w:rPr>
      <w:sz w:val="24"/>
    </w:rPr>
  </w:style>
  <w:style w:type="paragraph" w:customStyle="1" w:styleId="layoutmedlitqueryprogresscontentcategory">
    <w:name w:val="layout_medlitqueryprogresscontentcategory"/>
    <w:basedOn w:val="Normal"/>
    <w:pPr>
      <w:spacing w:before="100" w:beforeAutospacing="1" w:after="100" w:afterAutospacing="1"/>
    </w:pPr>
    <w:rPr>
      <w:sz w:val="24"/>
    </w:rPr>
  </w:style>
  <w:style w:type="paragraph" w:customStyle="1" w:styleId="layoutmedlitqueryprogresscontentcategoryrow">
    <w:name w:val="layout_medlitqueryprogresscontentcategoryrow"/>
    <w:basedOn w:val="Normal"/>
    <w:pPr>
      <w:spacing w:before="100" w:beforeAutospacing="1" w:after="100" w:afterAutospacing="1"/>
    </w:pPr>
    <w:rPr>
      <w:sz w:val="24"/>
    </w:rPr>
  </w:style>
  <w:style w:type="paragraph" w:customStyle="1" w:styleId="layoutmedlitqueryprogressleftside">
    <w:name w:val="layout_medlitqueryprogressleftside"/>
    <w:basedOn w:val="Normal"/>
    <w:pPr>
      <w:spacing w:before="100" w:beforeAutospacing="1" w:after="100" w:afterAutospacing="1"/>
    </w:pPr>
    <w:rPr>
      <w:sz w:val="24"/>
    </w:rPr>
  </w:style>
  <w:style w:type="paragraph" w:customStyle="1" w:styleId="layoutmedlitqueryprogressrightside">
    <w:name w:val="layout_medlitqueryprogressrightside"/>
    <w:basedOn w:val="Normal"/>
    <w:pPr>
      <w:spacing w:before="100" w:beforeAutospacing="1" w:after="100" w:afterAutospacing="1"/>
    </w:pPr>
    <w:rPr>
      <w:sz w:val="24"/>
    </w:rPr>
  </w:style>
  <w:style w:type="paragraph" w:customStyle="1" w:styleId="medlitqueryprogressleftside">
    <w:name w:val="medlitqueryprogressleftside"/>
    <w:basedOn w:val="Normal"/>
    <w:pPr>
      <w:pBdr>
        <w:top w:val="single" w:sz="6" w:space="0" w:color="7DB0CC"/>
        <w:left w:val="single" w:sz="6" w:space="0" w:color="7DB0CC"/>
        <w:bottom w:val="single" w:sz="6" w:space="0" w:color="7DB0CC"/>
        <w:right w:val="single" w:sz="6" w:space="0" w:color="7DB0CC"/>
      </w:pBdr>
      <w:spacing w:before="100" w:beforeAutospacing="1" w:after="100" w:afterAutospacing="1"/>
    </w:pPr>
    <w:rPr>
      <w:sz w:val="24"/>
    </w:rPr>
  </w:style>
  <w:style w:type="paragraph" w:customStyle="1" w:styleId="medlitqueryprogressrightside">
    <w:name w:val="medlitqueryprogressrightside"/>
    <w:basedOn w:val="Normal"/>
    <w:pPr>
      <w:pBdr>
        <w:top w:val="single" w:sz="6" w:space="0" w:color="7DB0CC"/>
        <w:left w:val="single" w:sz="6" w:space="0" w:color="7DB0CC"/>
        <w:bottom w:val="single" w:sz="6" w:space="0" w:color="7DB0CC"/>
        <w:right w:val="single" w:sz="6" w:space="0" w:color="7DB0CC"/>
      </w:pBdr>
      <w:spacing w:before="100" w:beforeAutospacing="1" w:after="100" w:afterAutospacing="1"/>
    </w:pPr>
    <w:rPr>
      <w:sz w:val="24"/>
    </w:rPr>
  </w:style>
  <w:style w:type="paragraph" w:customStyle="1" w:styleId="medlitqueryprogressalternaterow">
    <w:name w:val="medlitqueryprogressalternaterow"/>
    <w:basedOn w:val="Normal"/>
    <w:pPr>
      <w:shd w:val="clear" w:color="auto" w:fill="DFEDF3"/>
      <w:spacing w:before="100" w:beforeAutospacing="1" w:after="100" w:afterAutospacing="1"/>
    </w:pPr>
    <w:rPr>
      <w:sz w:val="24"/>
    </w:rPr>
  </w:style>
  <w:style w:type="paragraph" w:customStyle="1" w:styleId="medlitqueryprogressheadertext">
    <w:name w:val="medlitqueryprogressheadertext"/>
    <w:basedOn w:val="Normal"/>
    <w:pPr>
      <w:spacing w:before="100" w:beforeAutospacing="1" w:after="100" w:afterAutospacing="1"/>
    </w:pPr>
    <w:rPr>
      <w:color w:val="0052AE"/>
      <w:sz w:val="24"/>
    </w:rPr>
  </w:style>
  <w:style w:type="paragraph" w:customStyle="1" w:styleId="medlitqueryprogressentitytree">
    <w:name w:val="medlitqueryprogressentitytree"/>
    <w:basedOn w:val="Normal"/>
    <w:rPr>
      <w:sz w:val="24"/>
    </w:rPr>
  </w:style>
  <w:style w:type="paragraph" w:customStyle="1" w:styleId="medlitqueryprogresscanceldiv">
    <w:name w:val="medlitqueryprogresscanceldiv"/>
    <w:basedOn w:val="Normal"/>
    <w:pPr>
      <w:pBdr>
        <w:top w:val="single" w:sz="6" w:space="4" w:color="7DB0CC"/>
      </w:pBdr>
      <w:spacing w:before="100" w:beforeAutospacing="1" w:after="100" w:afterAutospacing="1"/>
    </w:pPr>
    <w:rPr>
      <w:sz w:val="24"/>
    </w:rPr>
  </w:style>
  <w:style w:type="paragraph" w:customStyle="1" w:styleId="layoutciteadvisoroptionscontainer">
    <w:name w:val="layout_citeadvisoroptionscontainer"/>
    <w:basedOn w:val="Normal"/>
    <w:pPr>
      <w:spacing w:before="300" w:after="300"/>
      <w:ind w:left="300" w:right="150"/>
    </w:pPr>
    <w:rPr>
      <w:sz w:val="24"/>
    </w:rPr>
  </w:style>
  <w:style w:type="paragraph" w:customStyle="1" w:styleId="layoutciteadvisoroptionstop">
    <w:name w:val="layout_citeadvisoroptionstop"/>
    <w:basedOn w:val="Normal"/>
    <w:pPr>
      <w:spacing w:before="100" w:beforeAutospacing="1" w:after="100" w:afterAutospacing="1"/>
    </w:pPr>
    <w:rPr>
      <w:sz w:val="24"/>
    </w:rPr>
  </w:style>
  <w:style w:type="paragraph" w:customStyle="1" w:styleId="citeadvisoroptionstop">
    <w:name w:val="citeadvisoroptionstop"/>
    <w:basedOn w:val="Normal"/>
    <w:pPr>
      <w:spacing w:before="100" w:beforeAutospacing="1" w:after="100" w:afterAutospacing="1"/>
    </w:pPr>
    <w:rPr>
      <w:b/>
      <w:bCs w:val="0"/>
      <w:sz w:val="36"/>
      <w:szCs w:val="36"/>
    </w:rPr>
  </w:style>
  <w:style w:type="paragraph" w:customStyle="1" w:styleId="layoutciteadvisoroptionsmiddletop">
    <w:name w:val="layout_citeadvisoroptionsmiddletop"/>
    <w:basedOn w:val="Normal"/>
    <w:pPr>
      <w:spacing w:before="100" w:beforeAutospacing="1" w:after="100" w:afterAutospacing="1"/>
    </w:pPr>
    <w:rPr>
      <w:sz w:val="24"/>
    </w:rPr>
  </w:style>
  <w:style w:type="paragraph" w:customStyle="1" w:styleId="layoutciteadvisoroptionsmiddlemiddle">
    <w:name w:val="layout_citeadvisoroptionsmiddlemiddle"/>
    <w:basedOn w:val="Normal"/>
    <w:pPr>
      <w:spacing w:before="100" w:beforeAutospacing="1" w:after="100" w:afterAutospacing="1"/>
    </w:pPr>
    <w:rPr>
      <w:sz w:val="24"/>
    </w:rPr>
  </w:style>
  <w:style w:type="paragraph" w:customStyle="1" w:styleId="layoutciteadvisoroptionsmiddlemiddleleft">
    <w:name w:val="layout_citeadvisoroptionsmiddlemiddleleft"/>
    <w:basedOn w:val="Normal"/>
    <w:pPr>
      <w:spacing w:before="100" w:beforeAutospacing="1" w:after="100" w:afterAutospacing="1"/>
    </w:pPr>
    <w:rPr>
      <w:sz w:val="24"/>
    </w:rPr>
  </w:style>
  <w:style w:type="paragraph" w:customStyle="1" w:styleId="layoutciteadvisoroptionsmiddlemiddleright">
    <w:name w:val="layout_citeadvisoroptionsmiddlemiddleright"/>
    <w:basedOn w:val="Normal"/>
    <w:pPr>
      <w:spacing w:before="100" w:beforeAutospacing="1" w:after="100" w:afterAutospacing="1"/>
    </w:pPr>
    <w:rPr>
      <w:sz w:val="24"/>
    </w:rPr>
  </w:style>
  <w:style w:type="paragraph" w:customStyle="1" w:styleId="layoutciteadvisoroptionsmiddlebottom">
    <w:name w:val="layout_citeadvisoroptionsmiddlebottom"/>
    <w:basedOn w:val="Normal"/>
    <w:pPr>
      <w:spacing w:before="100" w:beforeAutospacing="1" w:after="100" w:afterAutospacing="1"/>
    </w:pPr>
    <w:rPr>
      <w:sz w:val="24"/>
    </w:rPr>
  </w:style>
  <w:style w:type="paragraph" w:customStyle="1" w:styleId="layoutciteadvisoroptionsmiddleleft">
    <w:name w:val="layout_citeadvisoroptionsmiddleleft"/>
    <w:basedOn w:val="Normal"/>
    <w:pPr>
      <w:pBdr>
        <w:top w:val="single" w:sz="6" w:space="3" w:color="auto"/>
        <w:left w:val="single" w:sz="6" w:space="3" w:color="auto"/>
        <w:bottom w:val="single" w:sz="6" w:space="3" w:color="auto"/>
        <w:right w:val="single" w:sz="6" w:space="3" w:color="auto"/>
      </w:pBdr>
      <w:spacing w:before="100" w:beforeAutospacing="1" w:after="100" w:afterAutospacing="1"/>
    </w:pPr>
    <w:rPr>
      <w:sz w:val="24"/>
    </w:rPr>
  </w:style>
  <w:style w:type="paragraph" w:customStyle="1" w:styleId="layoutcaoptionsscopecoveragecheckbox">
    <w:name w:val="layout_caoptionsscopecoveragecheckbox"/>
    <w:basedOn w:val="Normal"/>
    <w:pPr>
      <w:spacing w:before="100" w:beforeAutospacing="1" w:after="100" w:afterAutospacing="1"/>
    </w:pPr>
    <w:rPr>
      <w:sz w:val="24"/>
    </w:rPr>
  </w:style>
  <w:style w:type="paragraph" w:customStyle="1" w:styleId="layoutciteadvisoroptionsmiddleciteadvisortitle">
    <w:name w:val="layout_citeadvisoroptionsmiddleciteadvisortitle"/>
    <w:basedOn w:val="Normal"/>
    <w:pPr>
      <w:spacing w:before="100" w:beforeAutospacing="1" w:after="100" w:afterAutospacing="1"/>
    </w:pPr>
    <w:rPr>
      <w:sz w:val="24"/>
    </w:rPr>
  </w:style>
  <w:style w:type="paragraph" w:customStyle="1" w:styleId="citeadvisoroptionsmiddleciteadvisortitle">
    <w:name w:val="citeadvisoroptionsmiddleciteadvisortitle"/>
    <w:basedOn w:val="Normal"/>
    <w:pPr>
      <w:spacing w:before="100" w:beforeAutospacing="1" w:after="100" w:afterAutospacing="1"/>
    </w:pPr>
    <w:rPr>
      <w:b/>
      <w:bCs w:val="0"/>
      <w:sz w:val="30"/>
      <w:szCs w:val="30"/>
    </w:rPr>
  </w:style>
  <w:style w:type="paragraph" w:customStyle="1" w:styleId="layoutciteadvisorparallelperauthorityradiobuttongrouping">
    <w:name w:val="layout_citeadvisorparallelperauthorityradiobuttongrouping"/>
    <w:basedOn w:val="Normal"/>
    <w:pPr>
      <w:spacing w:before="100" w:beforeAutospacing="1" w:after="100" w:afterAutospacing="1"/>
    </w:pPr>
    <w:rPr>
      <w:sz w:val="24"/>
    </w:rPr>
  </w:style>
  <w:style w:type="paragraph" w:customStyle="1" w:styleId="layoutciteadvisoroptionsmiddlecenter">
    <w:name w:val="layout_citeadvisoroptionsmiddlecenter"/>
    <w:basedOn w:val="Normal"/>
    <w:pPr>
      <w:spacing w:before="100" w:beforeAutospacing="1" w:after="100" w:afterAutospacing="1"/>
    </w:pPr>
    <w:rPr>
      <w:sz w:val="24"/>
    </w:rPr>
  </w:style>
  <w:style w:type="paragraph" w:customStyle="1" w:styleId="layoutciteadvisoroptionsmiddleright">
    <w:name w:val="layout_citeadvisoroptionsmiddleright"/>
    <w:basedOn w:val="Normal"/>
    <w:pPr>
      <w:pBdr>
        <w:top w:val="single" w:sz="6" w:space="3" w:color="auto"/>
        <w:left w:val="single" w:sz="6" w:space="3" w:color="auto"/>
        <w:bottom w:val="single" w:sz="6" w:space="31" w:color="auto"/>
        <w:right w:val="single" w:sz="6" w:space="3" w:color="auto"/>
      </w:pBdr>
      <w:spacing w:before="100" w:beforeAutospacing="1" w:after="100" w:afterAutospacing="1"/>
    </w:pPr>
    <w:rPr>
      <w:sz w:val="24"/>
    </w:rPr>
  </w:style>
  <w:style w:type="paragraph" w:customStyle="1" w:styleId="layoutciteadvisoroptionsmiddlerighttop">
    <w:name w:val="layout_citeadvisoroptionsmiddlerighttop"/>
    <w:basedOn w:val="Normal"/>
    <w:pPr>
      <w:spacing w:before="100" w:beforeAutospacing="1" w:after="100" w:afterAutospacing="1"/>
    </w:pPr>
    <w:rPr>
      <w:sz w:val="24"/>
    </w:rPr>
  </w:style>
  <w:style w:type="paragraph" w:customStyle="1" w:styleId="layoutciteadvisoroptionsmiddlerighttoatitle">
    <w:name w:val="layout_citeadvisoroptionsmiddlerighttoatitle"/>
    <w:basedOn w:val="Normal"/>
    <w:pPr>
      <w:spacing w:before="100" w:beforeAutospacing="1" w:after="100" w:afterAutospacing="1"/>
    </w:pPr>
    <w:rPr>
      <w:sz w:val="24"/>
    </w:rPr>
  </w:style>
  <w:style w:type="paragraph" w:customStyle="1" w:styleId="citeadvisoroptionsmiddlerighttoatitle">
    <w:name w:val="citeadvisoroptionsmiddlerighttoatitle"/>
    <w:basedOn w:val="Normal"/>
    <w:pPr>
      <w:spacing w:before="100" w:beforeAutospacing="1" w:after="100" w:afterAutospacing="1"/>
    </w:pPr>
    <w:rPr>
      <w:b/>
      <w:bCs w:val="0"/>
      <w:sz w:val="30"/>
      <w:szCs w:val="30"/>
    </w:rPr>
  </w:style>
  <w:style w:type="paragraph" w:customStyle="1" w:styleId="layoutciteadvisoroptionsbottom">
    <w:name w:val="layout_citeadvisoroptionsbottom"/>
    <w:basedOn w:val="Normal"/>
    <w:pPr>
      <w:spacing w:before="100" w:beforeAutospacing="1" w:after="100" w:afterAutospacing="1"/>
    </w:pPr>
    <w:rPr>
      <w:sz w:val="24"/>
    </w:rPr>
  </w:style>
  <w:style w:type="paragraph" w:customStyle="1" w:styleId="layoutciteadvisorbuttonssave">
    <w:name w:val="layout_citeadvisorbuttonssave"/>
    <w:basedOn w:val="Normal"/>
    <w:pPr>
      <w:spacing w:before="100" w:beforeAutospacing="1" w:after="100" w:afterAutospacing="1"/>
    </w:pPr>
    <w:rPr>
      <w:sz w:val="24"/>
    </w:rPr>
  </w:style>
  <w:style w:type="paragraph" w:customStyle="1" w:styleId="layoutciteadvisorbuttonscancel">
    <w:name w:val="layout_citeadvisorbuttonscancel"/>
    <w:basedOn w:val="Normal"/>
    <w:pPr>
      <w:spacing w:before="100" w:beforeAutospacing="1" w:after="100" w:afterAutospacing="1"/>
    </w:pPr>
    <w:rPr>
      <w:sz w:val="24"/>
    </w:rPr>
  </w:style>
  <w:style w:type="paragraph" w:customStyle="1" w:styleId="layoutciteadvisorbuttonsreset">
    <w:name w:val="layout_citeadvisorbuttonsreset"/>
    <w:basedOn w:val="Normal"/>
    <w:pPr>
      <w:spacing w:before="100" w:beforeAutospacing="1" w:after="100" w:afterAutospacing="1"/>
    </w:pPr>
    <w:rPr>
      <w:sz w:val="24"/>
    </w:rPr>
  </w:style>
  <w:style w:type="paragraph" w:customStyle="1" w:styleId="citeadvisorradioandcheckboxstyle">
    <w:name w:val="citeadvisorradioandcheckboxstyle"/>
    <w:basedOn w:val="Normal"/>
    <w:pPr>
      <w:spacing w:before="100" w:beforeAutospacing="1" w:after="100" w:afterAutospacing="1"/>
    </w:pPr>
    <w:rPr>
      <w:sz w:val="24"/>
    </w:rPr>
  </w:style>
  <w:style w:type="paragraph" w:customStyle="1" w:styleId="citeadvisoroptionstoaradioandcheckboxstyle">
    <w:name w:val="citeadvisoroptionstoaradioandcheckboxstyle"/>
    <w:basedOn w:val="Normal"/>
    <w:pPr>
      <w:spacing w:before="100" w:beforeAutospacing="1" w:after="100" w:afterAutospacing="1"/>
    </w:pPr>
    <w:rPr>
      <w:sz w:val="24"/>
    </w:rPr>
  </w:style>
  <w:style w:type="paragraph" w:customStyle="1" w:styleId="layoutciteadvisoroptionstoacheckbox">
    <w:name w:val="layout_citeadvisoroptionstoacheckbox"/>
    <w:basedOn w:val="Normal"/>
    <w:pPr>
      <w:spacing w:before="100" w:beforeAutospacing="1" w:after="100" w:afterAutospacing="1"/>
    </w:pPr>
    <w:rPr>
      <w:sz w:val="24"/>
    </w:rPr>
  </w:style>
  <w:style w:type="paragraph" w:customStyle="1" w:styleId="layouttoaoptionscontainer">
    <w:name w:val="layout_toaoptionscontainer"/>
    <w:basedOn w:val="Normal"/>
    <w:pPr>
      <w:spacing w:before="300" w:after="2250"/>
      <w:ind w:left="300" w:right="150"/>
    </w:pPr>
    <w:rPr>
      <w:sz w:val="24"/>
    </w:rPr>
  </w:style>
  <w:style w:type="paragraph" w:customStyle="1" w:styleId="layouttoaoptionstop">
    <w:name w:val="layout_toaoptionstop"/>
    <w:basedOn w:val="Normal"/>
    <w:pPr>
      <w:spacing w:before="100" w:beforeAutospacing="1" w:after="100" w:afterAutospacing="1"/>
      <w:jc w:val="center"/>
    </w:pPr>
    <w:rPr>
      <w:sz w:val="24"/>
    </w:rPr>
  </w:style>
  <w:style w:type="paragraph" w:customStyle="1" w:styleId="toaoptionstop">
    <w:name w:val="toaoptionstop"/>
    <w:basedOn w:val="Normal"/>
    <w:pPr>
      <w:spacing w:before="100" w:beforeAutospacing="1" w:after="100" w:afterAutospacing="1"/>
    </w:pPr>
    <w:rPr>
      <w:b/>
      <w:bCs w:val="0"/>
      <w:sz w:val="36"/>
      <w:szCs w:val="36"/>
    </w:rPr>
  </w:style>
  <w:style w:type="paragraph" w:customStyle="1" w:styleId="layouttoaoptionsmiddle">
    <w:name w:val="layout_toaoptionsmiddle"/>
    <w:basedOn w:val="Normal"/>
    <w:pPr>
      <w:spacing w:before="100" w:beforeAutospacing="1" w:after="100" w:afterAutospacing="1"/>
    </w:pPr>
    <w:rPr>
      <w:sz w:val="24"/>
    </w:rPr>
  </w:style>
  <w:style w:type="paragraph" w:customStyle="1" w:styleId="layouttoaoptionsmiddleleft">
    <w:name w:val="layout_toaoptionsmiddleleft"/>
    <w:basedOn w:val="Normal"/>
    <w:pPr>
      <w:spacing w:before="100" w:beforeAutospacing="1" w:after="100" w:afterAutospacing="1"/>
    </w:pPr>
    <w:rPr>
      <w:sz w:val="24"/>
    </w:rPr>
  </w:style>
  <w:style w:type="paragraph" w:customStyle="1" w:styleId="layouttoaoptionsmiddleright">
    <w:name w:val="layout_toaoptionsmiddleright"/>
    <w:basedOn w:val="Normal"/>
    <w:pPr>
      <w:spacing w:before="100" w:beforeAutospacing="1" w:after="100" w:afterAutospacing="1"/>
    </w:pPr>
    <w:rPr>
      <w:sz w:val="24"/>
    </w:rPr>
  </w:style>
  <w:style w:type="paragraph" w:customStyle="1" w:styleId="layouttoaoptionsmiddlerighttop">
    <w:name w:val="layout_toaoptionsmiddlerighttop"/>
    <w:basedOn w:val="Normal"/>
    <w:pPr>
      <w:spacing w:before="100" w:beforeAutospacing="1" w:after="100" w:afterAutospacing="1"/>
    </w:pPr>
    <w:rPr>
      <w:sz w:val="24"/>
    </w:rPr>
  </w:style>
  <w:style w:type="paragraph" w:customStyle="1" w:styleId="layouttoaoptionsrightbottom">
    <w:name w:val="layout_toaoptionsrightbottom"/>
    <w:basedOn w:val="Normal"/>
    <w:pPr>
      <w:spacing w:before="100" w:beforeAutospacing="1" w:after="100" w:afterAutospacing="1"/>
    </w:pPr>
    <w:rPr>
      <w:sz w:val="24"/>
    </w:rPr>
  </w:style>
  <w:style w:type="paragraph" w:customStyle="1" w:styleId="layouttoaoptionsbottom">
    <w:name w:val="layout_toaoptionsbottom"/>
    <w:basedOn w:val="Normal"/>
    <w:pPr>
      <w:spacing w:before="100" w:beforeAutospacing="1" w:after="100" w:afterAutospacing="1"/>
    </w:pPr>
    <w:rPr>
      <w:sz w:val="24"/>
    </w:rPr>
  </w:style>
  <w:style w:type="paragraph" w:customStyle="1" w:styleId="layouttoabuttonssave">
    <w:name w:val="layout_toabuttonssave"/>
    <w:basedOn w:val="Normal"/>
    <w:pPr>
      <w:spacing w:before="100" w:beforeAutospacing="1" w:after="100" w:afterAutospacing="1"/>
    </w:pPr>
    <w:rPr>
      <w:sz w:val="24"/>
    </w:rPr>
  </w:style>
  <w:style w:type="paragraph" w:customStyle="1" w:styleId="layouttoabuttonscancel">
    <w:name w:val="layout_toabuttonscancel"/>
    <w:basedOn w:val="Normal"/>
    <w:pPr>
      <w:spacing w:before="100" w:beforeAutospacing="1" w:after="100" w:afterAutospacing="1"/>
    </w:pPr>
    <w:rPr>
      <w:sz w:val="24"/>
    </w:rPr>
  </w:style>
  <w:style w:type="paragraph" w:customStyle="1" w:styleId="toaradioandcheckboxstyle">
    <w:name w:val="toaradioandcheckboxstyle"/>
    <w:basedOn w:val="Normal"/>
    <w:pPr>
      <w:spacing w:before="100" w:beforeAutospacing="1" w:after="100" w:afterAutospacing="1"/>
    </w:pPr>
    <w:rPr>
      <w:sz w:val="24"/>
    </w:rPr>
  </w:style>
  <w:style w:type="paragraph" w:customStyle="1" w:styleId="layouttoacheckbox">
    <w:name w:val="layout_toacheckbox"/>
    <w:basedOn w:val="Normal"/>
    <w:pPr>
      <w:spacing w:before="100" w:beforeAutospacing="1" w:after="100" w:afterAutospacing="1"/>
    </w:pPr>
    <w:rPr>
      <w:sz w:val="24"/>
    </w:rPr>
  </w:style>
  <w:style w:type="paragraph" w:customStyle="1" w:styleId="layoutciteadvisorwelcomecontainer">
    <w:name w:val="layout_citeadvisorwelcomecontainer"/>
    <w:basedOn w:val="Normal"/>
    <w:pPr>
      <w:spacing w:before="300" w:after="1500"/>
      <w:ind w:left="300" w:right="150"/>
    </w:pPr>
    <w:rPr>
      <w:sz w:val="24"/>
    </w:rPr>
  </w:style>
  <w:style w:type="paragraph" w:customStyle="1" w:styleId="layoutcastepthree">
    <w:name w:val="layout_castepthree"/>
    <w:basedOn w:val="Normal"/>
    <w:pPr>
      <w:spacing w:before="100" w:beforeAutospacing="1" w:after="100" w:afterAutospacing="1"/>
    </w:pPr>
    <w:rPr>
      <w:sz w:val="24"/>
    </w:rPr>
  </w:style>
  <w:style w:type="paragraph" w:customStyle="1" w:styleId="layoutcasteponecontainer">
    <w:name w:val="layout_casteponecontainer"/>
    <w:basedOn w:val="Normal"/>
    <w:pPr>
      <w:spacing w:before="100" w:beforeAutospacing="1" w:after="100" w:afterAutospacing="1"/>
    </w:pPr>
    <w:rPr>
      <w:sz w:val="24"/>
    </w:rPr>
  </w:style>
  <w:style w:type="paragraph" w:customStyle="1" w:styleId="layoutcasteponeleft">
    <w:name w:val="layout_casteponeleft"/>
    <w:basedOn w:val="Normal"/>
    <w:pPr>
      <w:spacing w:before="100" w:beforeAutospacing="1" w:after="100" w:afterAutospacing="1"/>
    </w:pPr>
    <w:rPr>
      <w:sz w:val="24"/>
    </w:rPr>
  </w:style>
  <w:style w:type="paragraph" w:customStyle="1" w:styleId="layoutcasteponeright">
    <w:name w:val="layout_casteponeright"/>
    <w:basedOn w:val="Normal"/>
    <w:pPr>
      <w:spacing w:before="100" w:beforeAutospacing="1" w:after="100" w:afterAutospacing="1"/>
    </w:pPr>
    <w:rPr>
      <w:sz w:val="24"/>
    </w:rPr>
  </w:style>
  <w:style w:type="paragraph" w:customStyle="1" w:styleId="layoutcasteptwo">
    <w:name w:val="layout_casteptwo"/>
    <w:basedOn w:val="Normal"/>
    <w:pPr>
      <w:spacing w:before="100" w:beforeAutospacing="1" w:after="100" w:afterAutospacing="1"/>
    </w:pPr>
    <w:rPr>
      <w:sz w:val="24"/>
    </w:rPr>
  </w:style>
  <w:style w:type="paragraph" w:customStyle="1" w:styleId="layoutcaprocessrequest">
    <w:name w:val="layout_caprocessrequest"/>
    <w:basedOn w:val="Normal"/>
    <w:pPr>
      <w:spacing w:before="100" w:beforeAutospacing="1" w:after="100" w:afterAutospacing="1"/>
    </w:pPr>
    <w:rPr>
      <w:sz w:val="24"/>
    </w:rPr>
  </w:style>
  <w:style w:type="paragraph" w:customStyle="1" w:styleId="layoutcanotes">
    <w:name w:val="layout_canotes"/>
    <w:basedOn w:val="Normal"/>
    <w:pPr>
      <w:spacing w:before="100" w:beforeAutospacing="1" w:after="100" w:afterAutospacing="1"/>
    </w:pPr>
    <w:rPr>
      <w:sz w:val="24"/>
    </w:rPr>
  </w:style>
  <w:style w:type="paragraph" w:customStyle="1" w:styleId="layoutciteadvisorwelcomeleft">
    <w:name w:val="layout_citeadvisorwelcomeleft"/>
    <w:basedOn w:val="Normal"/>
    <w:pPr>
      <w:spacing w:before="100" w:beforeAutospacing="1" w:after="100" w:afterAutospacing="1"/>
    </w:pPr>
    <w:rPr>
      <w:sz w:val="24"/>
    </w:rPr>
  </w:style>
  <w:style w:type="paragraph" w:customStyle="1" w:styleId="layoutciteadvisorwelcomeright">
    <w:name w:val="layout_citeadvisorwelcomeright"/>
    <w:basedOn w:val="Normal"/>
    <w:pPr>
      <w:spacing w:before="100" w:beforeAutospacing="1" w:after="100" w:afterAutospacing="1"/>
    </w:pPr>
    <w:rPr>
      <w:sz w:val="24"/>
    </w:rPr>
  </w:style>
  <w:style w:type="paragraph" w:customStyle="1" w:styleId="citeadvisorwelcomeradioandcheckboxstyle">
    <w:name w:val="citeadvisorwelcomeradioandcheckboxstyle"/>
    <w:basedOn w:val="Normal"/>
    <w:pPr>
      <w:spacing w:before="100" w:beforeAutospacing="1" w:after="100" w:afterAutospacing="1"/>
    </w:pPr>
    <w:rPr>
      <w:sz w:val="24"/>
    </w:rPr>
  </w:style>
  <w:style w:type="paragraph" w:customStyle="1" w:styleId="welcomeheadingslarge">
    <w:name w:val="welcomeheadingslarge"/>
    <w:basedOn w:val="Normal"/>
    <w:pPr>
      <w:spacing w:before="100" w:beforeAutospacing="1" w:after="100" w:afterAutospacing="1"/>
    </w:pPr>
    <w:rPr>
      <w:b/>
      <w:bCs w:val="0"/>
      <w:sz w:val="24"/>
    </w:rPr>
  </w:style>
  <w:style w:type="paragraph" w:customStyle="1" w:styleId="welcomesmalltextstyle">
    <w:name w:val="welcomesmalltextstyle"/>
    <w:basedOn w:val="Normal"/>
    <w:pPr>
      <w:spacing w:before="100" w:beforeAutospacing="1" w:after="100" w:afterAutospacing="1"/>
    </w:pPr>
    <w:rPr>
      <w:szCs w:val="20"/>
    </w:rPr>
  </w:style>
  <w:style w:type="paragraph" w:customStyle="1" w:styleId="welcomeassistancetextstyle">
    <w:name w:val="welcomeassistancetextstyle"/>
    <w:basedOn w:val="Normal"/>
    <w:pPr>
      <w:spacing w:before="100" w:beforeAutospacing="1" w:after="100" w:afterAutospacing="1"/>
      <w:jc w:val="center"/>
    </w:pPr>
    <w:rPr>
      <w:b/>
      <w:bCs w:val="0"/>
      <w:szCs w:val="20"/>
    </w:rPr>
  </w:style>
  <w:style w:type="paragraph" w:customStyle="1" w:styleId="layoutoptionsentrycontainer">
    <w:name w:val="layout_optionsentrycontainer"/>
    <w:basedOn w:val="Normal"/>
    <w:pPr>
      <w:spacing w:before="300" w:after="300"/>
      <w:ind w:left="300" w:right="150"/>
    </w:pPr>
    <w:rPr>
      <w:sz w:val="24"/>
    </w:rPr>
  </w:style>
  <w:style w:type="paragraph" w:customStyle="1" w:styleId="layoutoptionsentrypagetop">
    <w:name w:val="layout_optionsentrypagetop"/>
    <w:basedOn w:val="Normal"/>
    <w:pPr>
      <w:spacing w:before="100" w:beforeAutospacing="1" w:after="100" w:afterAutospacing="1"/>
    </w:pPr>
    <w:rPr>
      <w:sz w:val="24"/>
    </w:rPr>
  </w:style>
  <w:style w:type="paragraph" w:customStyle="1" w:styleId="optionsentrytop">
    <w:name w:val="optionsentrytop"/>
    <w:basedOn w:val="Normal"/>
    <w:pPr>
      <w:spacing w:before="100" w:beforeAutospacing="1" w:after="100" w:afterAutospacing="1"/>
    </w:pPr>
    <w:rPr>
      <w:b/>
      <w:bCs w:val="0"/>
      <w:sz w:val="36"/>
      <w:szCs w:val="36"/>
    </w:rPr>
  </w:style>
  <w:style w:type="paragraph" w:customStyle="1" w:styleId="layoutoptionsentrypagetopmiddle">
    <w:name w:val="layout_optionsentrypagetopmiddle"/>
    <w:basedOn w:val="Normal"/>
    <w:pPr>
      <w:spacing w:before="100" w:beforeAutospacing="1" w:after="100" w:afterAutospacing="1"/>
    </w:pPr>
    <w:rPr>
      <w:sz w:val="24"/>
    </w:rPr>
  </w:style>
  <w:style w:type="paragraph" w:customStyle="1" w:styleId="layoutoptionsentrytextinformation">
    <w:name w:val="layout_optionsentrytextinformation"/>
    <w:basedOn w:val="Normal"/>
    <w:pPr>
      <w:spacing w:before="100" w:beforeAutospacing="1" w:after="100" w:afterAutospacing="1"/>
    </w:pPr>
    <w:rPr>
      <w:sz w:val="24"/>
    </w:rPr>
  </w:style>
  <w:style w:type="paragraph" w:customStyle="1" w:styleId="optionsentrytextinformation">
    <w:name w:val="optionsentrytextinformation"/>
    <w:basedOn w:val="Normal"/>
    <w:pPr>
      <w:spacing w:before="100" w:beforeAutospacing="1" w:after="100" w:afterAutospacing="1"/>
    </w:pPr>
    <w:rPr>
      <w:sz w:val="34"/>
      <w:szCs w:val="34"/>
    </w:rPr>
  </w:style>
  <w:style w:type="paragraph" w:customStyle="1" w:styleId="layoutoptionsentrybuttonedit">
    <w:name w:val="layout_optionsentrybuttonedit"/>
    <w:basedOn w:val="Normal"/>
    <w:pPr>
      <w:spacing w:before="100" w:beforeAutospacing="1" w:after="100" w:afterAutospacing="1"/>
    </w:pPr>
    <w:rPr>
      <w:sz w:val="24"/>
    </w:rPr>
  </w:style>
  <w:style w:type="paragraph" w:customStyle="1" w:styleId="layoutoptionsentrybuttondelete">
    <w:name w:val="layout_optionsentrybuttondelete"/>
    <w:basedOn w:val="Normal"/>
    <w:pPr>
      <w:spacing w:before="100" w:beforeAutospacing="1" w:after="100" w:afterAutospacing="1"/>
    </w:pPr>
    <w:rPr>
      <w:sz w:val="24"/>
    </w:rPr>
  </w:style>
  <w:style w:type="paragraph" w:customStyle="1" w:styleId="layoutoptionsentrypagebottommiddle">
    <w:name w:val="layout_optionsentrypagebottommiddle"/>
    <w:basedOn w:val="Normal"/>
    <w:pPr>
      <w:spacing w:before="100" w:beforeAutospacing="1" w:after="100" w:afterAutospacing="1"/>
    </w:pPr>
    <w:rPr>
      <w:sz w:val="24"/>
    </w:rPr>
  </w:style>
  <w:style w:type="paragraph" w:customStyle="1" w:styleId="layoutoptionsentrylistbox">
    <w:name w:val="layout_optionsentrylistbox"/>
    <w:basedOn w:val="Normal"/>
    <w:pPr>
      <w:spacing w:before="100" w:beforeAutospacing="1" w:after="100" w:afterAutospacing="1"/>
    </w:pPr>
    <w:rPr>
      <w:sz w:val="24"/>
    </w:rPr>
  </w:style>
  <w:style w:type="paragraph" w:customStyle="1" w:styleId="layoutoptionsentrypagebottom">
    <w:name w:val="layout_optionsentrypagebottom"/>
    <w:basedOn w:val="Normal"/>
    <w:pPr>
      <w:spacing w:before="100" w:beforeAutospacing="1" w:after="100" w:afterAutospacing="1"/>
    </w:pPr>
    <w:rPr>
      <w:sz w:val="24"/>
    </w:rPr>
  </w:style>
  <w:style w:type="paragraph" w:customStyle="1" w:styleId="layoutoptionsentrybuttoncontinue">
    <w:name w:val="layout_optionsentrybuttoncontinue"/>
    <w:basedOn w:val="Normal"/>
    <w:pPr>
      <w:spacing w:before="100" w:beforeAutospacing="1" w:after="100" w:afterAutospacing="1"/>
    </w:pPr>
    <w:rPr>
      <w:sz w:val="24"/>
    </w:rPr>
  </w:style>
  <w:style w:type="paragraph" w:customStyle="1" w:styleId="layoutoptionsentrybuttoncancel">
    <w:name w:val="layout_optionsentrybuttoncancel"/>
    <w:basedOn w:val="Normal"/>
    <w:pPr>
      <w:spacing w:before="100" w:beforeAutospacing="1" w:after="100" w:afterAutospacing="1"/>
    </w:pPr>
    <w:rPr>
      <w:sz w:val="24"/>
    </w:rPr>
  </w:style>
  <w:style w:type="paragraph" w:customStyle="1" w:styleId="layoutcitesuggestionform">
    <w:name w:val="layout_citesuggestionform"/>
    <w:basedOn w:val="Normal"/>
    <w:pPr>
      <w:spacing w:before="100" w:beforeAutospacing="1" w:after="100" w:afterAutospacing="1"/>
    </w:pPr>
    <w:rPr>
      <w:sz w:val="24"/>
    </w:rPr>
  </w:style>
  <w:style w:type="paragraph" w:customStyle="1" w:styleId="layoutcitesuggestioncontainer">
    <w:name w:val="layout_citesuggestioncontainer"/>
    <w:basedOn w:val="Normal"/>
    <w:pPr>
      <w:spacing w:before="100" w:beforeAutospacing="1" w:after="100" w:afterAutospacing="1"/>
    </w:pPr>
    <w:rPr>
      <w:sz w:val="24"/>
    </w:rPr>
  </w:style>
  <w:style w:type="paragraph" w:customStyle="1" w:styleId="layoutcitesuggestionhtmlholder">
    <w:name w:val="layout_citesuggestionhtmlholder"/>
    <w:basedOn w:val="Normal"/>
    <w:pPr>
      <w:spacing w:before="100" w:beforeAutospacing="1" w:after="100" w:afterAutospacing="1"/>
    </w:pPr>
    <w:rPr>
      <w:sz w:val="24"/>
    </w:rPr>
  </w:style>
  <w:style w:type="paragraph" w:customStyle="1" w:styleId="citesuggestionhtmlholder">
    <w:name w:val="citesuggestionhtmlholder"/>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rPr>
      <w:sz w:val="24"/>
    </w:rPr>
  </w:style>
  <w:style w:type="paragraph" w:customStyle="1" w:styleId="layoutcitesuggestionbottompage">
    <w:name w:val="layout_citesuggestionbottompage"/>
    <w:basedOn w:val="Normal"/>
    <w:pPr>
      <w:spacing w:before="100" w:beforeAutospacing="1" w:after="100" w:afterAutospacing="1"/>
    </w:pPr>
    <w:rPr>
      <w:sz w:val="24"/>
    </w:rPr>
  </w:style>
  <w:style w:type="paragraph" w:customStyle="1" w:styleId="layoutcitesuggestionbottomleft">
    <w:name w:val="layout_citesuggestionbottomleft"/>
    <w:basedOn w:val="Normal"/>
    <w:pPr>
      <w:spacing w:before="100" w:beforeAutospacing="1" w:after="100" w:afterAutospacing="1"/>
    </w:pPr>
    <w:rPr>
      <w:sz w:val="24"/>
    </w:rPr>
  </w:style>
  <w:style w:type="paragraph" w:customStyle="1" w:styleId="layoutcitesuggestionbottomleftconfirm">
    <w:name w:val="layout_citesuggestionbottomleftconfirm"/>
    <w:basedOn w:val="Normal"/>
    <w:pPr>
      <w:spacing w:before="100" w:beforeAutospacing="1" w:after="100" w:afterAutospacing="1"/>
    </w:pPr>
    <w:rPr>
      <w:sz w:val="24"/>
    </w:rPr>
  </w:style>
  <w:style w:type="paragraph" w:customStyle="1" w:styleId="layoutcitesuggestionbottomleftcitation">
    <w:name w:val="layout_citesuggestionbottomleftcitation"/>
    <w:basedOn w:val="Normal"/>
    <w:pPr>
      <w:spacing w:before="100" w:beforeAutospacing="1" w:after="100" w:afterAutospacing="1"/>
    </w:pPr>
    <w:rPr>
      <w:sz w:val="24"/>
    </w:rPr>
  </w:style>
  <w:style w:type="paragraph" w:customStyle="1" w:styleId="layoutcitesuggestioncitationholder">
    <w:name w:val="layout_citesuggestioncitationholder"/>
    <w:basedOn w:val="Normal"/>
    <w:pPr>
      <w:spacing w:before="100" w:beforeAutospacing="1" w:after="100" w:afterAutospacing="1"/>
    </w:pPr>
    <w:rPr>
      <w:sz w:val="24"/>
    </w:rPr>
  </w:style>
  <w:style w:type="paragraph" w:customStyle="1" w:styleId="citesuggestioncitationholder">
    <w:name w:val="citesuggestioncitationholder"/>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rPr>
      <w:sz w:val="24"/>
    </w:rPr>
  </w:style>
  <w:style w:type="paragraph" w:customStyle="1" w:styleId="layoutcitationlabel">
    <w:name w:val="layout_citationlabel"/>
    <w:basedOn w:val="Normal"/>
    <w:pPr>
      <w:spacing w:before="100" w:beforeAutospacing="1" w:after="100" w:afterAutospacing="1"/>
    </w:pPr>
    <w:rPr>
      <w:sz w:val="24"/>
    </w:rPr>
  </w:style>
  <w:style w:type="paragraph" w:customStyle="1" w:styleId="layoutcitesuggestionbottomleftsuggestion">
    <w:name w:val="layout_citesuggestionbottomleftsuggestion"/>
    <w:basedOn w:val="Normal"/>
    <w:pPr>
      <w:spacing w:before="100" w:beforeAutospacing="1" w:after="100" w:afterAutospacing="1"/>
    </w:pPr>
    <w:rPr>
      <w:sz w:val="24"/>
    </w:rPr>
  </w:style>
  <w:style w:type="paragraph" w:customStyle="1" w:styleId="layoutsuggestionlabel">
    <w:name w:val="layout_suggestionlabel"/>
    <w:basedOn w:val="Normal"/>
    <w:pPr>
      <w:spacing w:before="100" w:beforeAutospacing="1" w:after="100" w:afterAutospacing="1"/>
    </w:pPr>
    <w:rPr>
      <w:sz w:val="24"/>
    </w:rPr>
  </w:style>
  <w:style w:type="paragraph" w:customStyle="1" w:styleId="layoutsuggestionradiobuttons">
    <w:name w:val="layout_suggestionradiobuttons"/>
    <w:basedOn w:val="Normal"/>
    <w:pPr>
      <w:spacing w:before="100" w:beforeAutospacing="1" w:after="100" w:afterAutospacing="1"/>
    </w:pPr>
    <w:rPr>
      <w:sz w:val="24"/>
    </w:rPr>
  </w:style>
  <w:style w:type="paragraph" w:customStyle="1" w:styleId="layoutsuggestiontextboxes">
    <w:name w:val="layout_suggestiontextboxes"/>
    <w:basedOn w:val="Normal"/>
    <w:pPr>
      <w:spacing w:before="100" w:beforeAutospacing="1" w:after="100" w:afterAutospacing="1"/>
    </w:pPr>
    <w:rPr>
      <w:sz w:val="24"/>
    </w:rPr>
  </w:style>
  <w:style w:type="paragraph" w:customStyle="1" w:styleId="layoutsuggestionoptionsshortformsnotification">
    <w:name w:val="layout_suggestionoptionsshortformsnotification"/>
    <w:basedOn w:val="Normal"/>
    <w:pPr>
      <w:spacing w:before="100" w:beforeAutospacing="1" w:after="100" w:afterAutospacing="1"/>
    </w:pPr>
    <w:rPr>
      <w:sz w:val="24"/>
    </w:rPr>
  </w:style>
  <w:style w:type="paragraph" w:customStyle="1" w:styleId="layoutcitesuggestionbottomright">
    <w:name w:val="layout_citesuggestionbottomright"/>
    <w:basedOn w:val="Normal"/>
    <w:pPr>
      <w:spacing w:before="100" w:beforeAutospacing="1" w:after="100" w:afterAutospacing="1"/>
    </w:pPr>
    <w:rPr>
      <w:sz w:val="24"/>
    </w:rPr>
  </w:style>
  <w:style w:type="paragraph" w:customStyle="1" w:styleId="layoutcitesuggestionsuggestionlongform">
    <w:name w:val="layout_citesuggestionsuggestionlongform"/>
    <w:basedOn w:val="Normal"/>
    <w:pPr>
      <w:spacing w:before="100" w:beforeAutospacing="1" w:after="100" w:afterAutospacing="1"/>
    </w:pPr>
    <w:rPr>
      <w:sz w:val="24"/>
    </w:rPr>
  </w:style>
  <w:style w:type="paragraph" w:customStyle="1" w:styleId="citesuggestionsuggestionlongform">
    <w:name w:val="citesuggestionsuggestionlongform"/>
    <w:basedOn w:val="Normal"/>
    <w:pPr>
      <w:pBdr>
        <w:top w:val="single" w:sz="6" w:space="0" w:color="ADD8E6"/>
        <w:left w:val="single" w:sz="6" w:space="0" w:color="ADD8E6"/>
        <w:bottom w:val="single" w:sz="6" w:space="0" w:color="ADD8E6"/>
        <w:right w:val="single" w:sz="6" w:space="0" w:color="ADD8E6"/>
      </w:pBdr>
      <w:spacing w:before="100" w:beforeAutospacing="1" w:after="100" w:afterAutospacing="1"/>
    </w:pPr>
    <w:rPr>
      <w:sz w:val="24"/>
    </w:rPr>
  </w:style>
  <w:style w:type="paragraph" w:customStyle="1" w:styleId="layoutcitesuggestionsuggestionshortforms">
    <w:name w:val="layout_citesuggestionsuggestionshortforms"/>
    <w:basedOn w:val="Normal"/>
    <w:pPr>
      <w:spacing w:before="100" w:beforeAutospacing="1" w:after="100" w:afterAutospacing="1"/>
    </w:pPr>
    <w:rPr>
      <w:sz w:val="24"/>
    </w:rPr>
  </w:style>
  <w:style w:type="paragraph" w:customStyle="1" w:styleId="citesuggestionsuggestionshortforms">
    <w:name w:val="citesuggestionsuggestionshortforms"/>
    <w:basedOn w:val="Normal"/>
    <w:pPr>
      <w:pBdr>
        <w:top w:val="single" w:sz="6" w:space="0" w:color="ADD8E6"/>
        <w:left w:val="single" w:sz="6" w:space="0" w:color="ADD8E6"/>
        <w:bottom w:val="single" w:sz="6" w:space="0" w:color="ADD8E6"/>
        <w:right w:val="single" w:sz="6" w:space="0" w:color="ADD8E6"/>
      </w:pBdr>
      <w:spacing w:before="100" w:beforeAutospacing="1" w:after="100" w:afterAutospacing="1"/>
    </w:pPr>
    <w:rPr>
      <w:sz w:val="24"/>
    </w:rPr>
  </w:style>
  <w:style w:type="paragraph" w:customStyle="1" w:styleId="layoutsummarycontainer">
    <w:name w:val="layout_summarycontainer"/>
    <w:basedOn w:val="Normal"/>
    <w:pPr>
      <w:spacing w:before="100" w:beforeAutospacing="1" w:after="100" w:afterAutospacing="1"/>
    </w:pPr>
    <w:rPr>
      <w:sz w:val="24"/>
    </w:rPr>
  </w:style>
  <w:style w:type="paragraph" w:customStyle="1" w:styleId="layoutsummaryinformationtop">
    <w:name w:val="layout_summaryinformationtop"/>
    <w:basedOn w:val="Normal"/>
    <w:pPr>
      <w:spacing w:before="100" w:beforeAutospacing="1" w:after="100" w:afterAutospacing="1"/>
    </w:pPr>
    <w:rPr>
      <w:sz w:val="24"/>
    </w:rPr>
  </w:style>
  <w:style w:type="paragraph" w:customStyle="1" w:styleId="layoutsummaryinformationbottom">
    <w:name w:val="layout_summaryinformationbottom"/>
    <w:basedOn w:val="Normal"/>
    <w:pPr>
      <w:spacing w:before="100" w:beforeAutospacing="1" w:after="100" w:afterAutospacing="1"/>
    </w:pPr>
    <w:rPr>
      <w:sz w:val="24"/>
    </w:rPr>
  </w:style>
  <w:style w:type="paragraph" w:customStyle="1" w:styleId="layoutsummaryinformationbottomleft">
    <w:name w:val="layout_summaryinformationbottomleft"/>
    <w:basedOn w:val="Normal"/>
    <w:pPr>
      <w:spacing w:before="100" w:beforeAutospacing="1" w:after="100" w:afterAutospacing="1"/>
    </w:pPr>
    <w:rPr>
      <w:sz w:val="24"/>
    </w:rPr>
  </w:style>
  <w:style w:type="paragraph" w:customStyle="1" w:styleId="layoutsummaryinformationbuttons">
    <w:name w:val="layout_summaryinformationbuttons"/>
    <w:basedOn w:val="Normal"/>
    <w:pPr>
      <w:spacing w:before="100" w:beforeAutospacing="1" w:after="100" w:afterAutospacing="1"/>
    </w:pPr>
    <w:rPr>
      <w:sz w:val="24"/>
    </w:rPr>
  </w:style>
  <w:style w:type="paragraph" w:customStyle="1" w:styleId="layoutsummarytoainsertionleft">
    <w:name w:val="layout_summarytoainsertionleft"/>
    <w:basedOn w:val="Normal"/>
    <w:pPr>
      <w:spacing w:before="100" w:beforeAutospacing="1" w:after="100" w:afterAutospacing="1"/>
    </w:pPr>
    <w:rPr>
      <w:sz w:val="24"/>
    </w:rPr>
  </w:style>
  <w:style w:type="paragraph" w:customStyle="1" w:styleId="layoutsummarytoainsertionright">
    <w:name w:val="layout_summarytoainsertionright"/>
    <w:basedOn w:val="Normal"/>
    <w:pPr>
      <w:spacing w:before="100" w:beforeAutospacing="1" w:after="100" w:afterAutospacing="1"/>
    </w:pPr>
    <w:rPr>
      <w:sz w:val="24"/>
    </w:rPr>
  </w:style>
  <w:style w:type="paragraph" w:customStyle="1" w:styleId="layoutsummarydownloadleft">
    <w:name w:val="layout_summarydownloadleft"/>
    <w:basedOn w:val="Normal"/>
    <w:pPr>
      <w:spacing w:before="100" w:beforeAutospacing="1" w:after="100" w:afterAutospacing="1"/>
    </w:pPr>
    <w:rPr>
      <w:sz w:val="24"/>
    </w:rPr>
  </w:style>
  <w:style w:type="paragraph" w:customStyle="1" w:styleId="layoutsummaryinformationdownload">
    <w:name w:val="layout_summaryinformationdownload"/>
    <w:basedOn w:val="Normal"/>
    <w:pPr>
      <w:spacing w:before="100" w:beforeAutospacing="1" w:after="100" w:afterAutospacing="1"/>
    </w:pPr>
    <w:rPr>
      <w:sz w:val="24"/>
    </w:rPr>
  </w:style>
  <w:style w:type="paragraph" w:customStyle="1" w:styleId="layoutsummaryprintleft">
    <w:name w:val="layout_summaryprintleft"/>
    <w:basedOn w:val="Normal"/>
    <w:pPr>
      <w:spacing w:before="100" w:beforeAutospacing="1" w:after="100" w:afterAutospacing="1"/>
    </w:pPr>
    <w:rPr>
      <w:sz w:val="24"/>
    </w:rPr>
  </w:style>
  <w:style w:type="paragraph" w:customStyle="1" w:styleId="layoutsummaryinformationprint">
    <w:name w:val="layout_summaryinformationprint"/>
    <w:basedOn w:val="Normal"/>
    <w:pPr>
      <w:spacing w:before="100" w:beforeAutospacing="1" w:after="100" w:afterAutospacing="1"/>
    </w:pPr>
    <w:rPr>
      <w:sz w:val="24"/>
    </w:rPr>
  </w:style>
  <w:style w:type="paragraph" w:customStyle="1" w:styleId="layoutsummarynewleft">
    <w:name w:val="layout_summarynewleft"/>
    <w:basedOn w:val="Normal"/>
    <w:pPr>
      <w:spacing w:before="100" w:beforeAutospacing="1" w:after="100" w:afterAutospacing="1"/>
    </w:pPr>
    <w:rPr>
      <w:sz w:val="24"/>
    </w:rPr>
  </w:style>
  <w:style w:type="paragraph" w:customStyle="1" w:styleId="layoutsummaryinformationnew">
    <w:name w:val="layout_summaryinformationnew"/>
    <w:basedOn w:val="Normal"/>
    <w:pPr>
      <w:spacing w:before="100" w:beforeAutospacing="1" w:after="100" w:afterAutospacing="1"/>
    </w:pPr>
    <w:rPr>
      <w:sz w:val="24"/>
    </w:rPr>
  </w:style>
  <w:style w:type="paragraph" w:customStyle="1" w:styleId="layoutfinalsummaryleft">
    <w:name w:val="layout_finalsummaryleft"/>
    <w:basedOn w:val="Normal"/>
    <w:pPr>
      <w:spacing w:before="100" w:beforeAutospacing="1" w:after="100" w:afterAutospacing="1"/>
    </w:pPr>
    <w:rPr>
      <w:sz w:val="24"/>
    </w:rPr>
  </w:style>
  <w:style w:type="paragraph" w:customStyle="1" w:styleId="layoutfinalsummaryright">
    <w:name w:val="layout_finalsummaryright"/>
    <w:basedOn w:val="Normal"/>
    <w:pPr>
      <w:spacing w:before="100" w:beforeAutospacing="1" w:after="100" w:afterAutospacing="1"/>
    </w:pPr>
    <w:rPr>
      <w:sz w:val="24"/>
    </w:rPr>
  </w:style>
  <w:style w:type="paragraph" w:customStyle="1" w:styleId="summaryprocessingstatustextstyle">
    <w:name w:val="summaryprocessingstatustextstyle"/>
    <w:basedOn w:val="Normal"/>
    <w:pPr>
      <w:spacing w:before="100" w:beforeAutospacing="1" w:after="100" w:afterAutospacing="1"/>
      <w:jc w:val="center"/>
    </w:pPr>
    <w:rPr>
      <w:b/>
      <w:bCs w:val="0"/>
      <w:szCs w:val="20"/>
    </w:rPr>
  </w:style>
  <w:style w:type="paragraph" w:customStyle="1" w:styleId="summaryprocessingtextstyle">
    <w:name w:val="summaryprocessingtextstyle"/>
    <w:basedOn w:val="Normal"/>
    <w:pPr>
      <w:spacing w:before="100" w:beforeAutospacing="1" w:after="100" w:afterAutospacing="1"/>
    </w:pPr>
    <w:rPr>
      <w:sz w:val="15"/>
      <w:szCs w:val="15"/>
    </w:rPr>
  </w:style>
  <w:style w:type="paragraph" w:customStyle="1" w:styleId="summaryinstructiontextstyle">
    <w:name w:val="summaryinstructiontextstyle"/>
    <w:basedOn w:val="Normal"/>
    <w:pPr>
      <w:spacing w:before="100" w:beforeAutospacing="1" w:after="100" w:afterAutospacing="1"/>
    </w:pPr>
    <w:rPr>
      <w:szCs w:val="20"/>
    </w:rPr>
  </w:style>
  <w:style w:type="paragraph" w:customStyle="1" w:styleId="layoutdirectoryscancontent">
    <w:name w:val="layout_directoryscancontent"/>
    <w:basedOn w:val="Normal"/>
    <w:pPr>
      <w:spacing w:before="100" w:beforeAutospacing="1" w:after="100" w:afterAutospacing="1"/>
    </w:pPr>
    <w:rPr>
      <w:sz w:val="24"/>
    </w:rPr>
  </w:style>
  <w:style w:type="paragraph" w:customStyle="1" w:styleId="layoutsignoffbody">
    <w:name w:val="layout_signoffbody"/>
    <w:basedOn w:val="Normal"/>
    <w:pPr>
      <w:shd w:val="clear" w:color="auto" w:fill="FFFFFF"/>
      <w:jc w:val="center"/>
    </w:pPr>
    <w:rPr>
      <w:color w:val="000000"/>
      <w:sz w:val="24"/>
    </w:rPr>
  </w:style>
  <w:style w:type="paragraph" w:customStyle="1" w:styleId="signoffbody">
    <w:name w:val="signoffbody"/>
    <w:basedOn w:val="Normal"/>
    <w:pPr>
      <w:spacing w:before="100" w:beforeAutospacing="1" w:after="100" w:afterAutospacing="1"/>
    </w:pPr>
    <w:rPr>
      <w:sz w:val="24"/>
    </w:rPr>
  </w:style>
  <w:style w:type="paragraph" w:customStyle="1" w:styleId="layoutsignoffwrapper">
    <w:name w:val="layout_signoffwrapper"/>
    <w:basedOn w:val="Normal"/>
    <w:pPr>
      <w:spacing w:before="100" w:beforeAutospacing="1" w:after="100" w:afterAutospacing="1"/>
    </w:pPr>
    <w:rPr>
      <w:sz w:val="24"/>
    </w:rPr>
  </w:style>
  <w:style w:type="paragraph" w:customStyle="1" w:styleId="layoutsignofflogo">
    <w:name w:val="layout_signofflogo"/>
    <w:basedOn w:val="Normal"/>
    <w:pPr>
      <w:spacing w:before="100" w:beforeAutospacing="1" w:after="100" w:afterAutospacing="1"/>
    </w:pPr>
    <w:rPr>
      <w:sz w:val="24"/>
    </w:rPr>
  </w:style>
  <w:style w:type="paragraph" w:customStyle="1" w:styleId="signofftopbar">
    <w:name w:val="signofftopbar"/>
    <w:basedOn w:val="Normal"/>
    <w:pPr>
      <w:shd w:val="clear" w:color="auto" w:fill="000000"/>
      <w:spacing w:before="100" w:beforeAutospacing="1" w:after="100" w:afterAutospacing="1"/>
    </w:pPr>
    <w:rPr>
      <w:sz w:val="18"/>
      <w:szCs w:val="18"/>
    </w:rPr>
  </w:style>
  <w:style w:type="paragraph" w:customStyle="1" w:styleId="layoutsignoffcontent">
    <w:name w:val="layout_signoffcontent"/>
    <w:basedOn w:val="Normal"/>
    <w:pPr>
      <w:spacing w:before="15" w:after="15"/>
    </w:pPr>
    <w:rPr>
      <w:sz w:val="24"/>
    </w:rPr>
  </w:style>
  <w:style w:type="paragraph" w:customStyle="1" w:styleId="signoffcontent">
    <w:name w:val="signoffcontent"/>
    <w:basedOn w:val="Normal"/>
    <w:pPr>
      <w:shd w:val="clear" w:color="auto" w:fill="5A7DC6"/>
      <w:spacing w:before="100" w:beforeAutospacing="1" w:after="100" w:afterAutospacing="1"/>
    </w:pPr>
    <w:rPr>
      <w:color w:val="FFFFFF"/>
      <w:sz w:val="18"/>
      <w:szCs w:val="18"/>
    </w:rPr>
  </w:style>
  <w:style w:type="paragraph" w:customStyle="1" w:styleId="layoutsignoffheader">
    <w:name w:val="layout_signoffheader"/>
    <w:basedOn w:val="Normal"/>
    <w:pPr>
      <w:spacing w:before="100" w:beforeAutospacing="1" w:after="156"/>
    </w:pPr>
    <w:rPr>
      <w:sz w:val="24"/>
    </w:rPr>
  </w:style>
  <w:style w:type="paragraph" w:customStyle="1" w:styleId="signoffheader">
    <w:name w:val="signoffheader"/>
    <w:basedOn w:val="Normal"/>
    <w:pPr>
      <w:spacing w:before="100" w:beforeAutospacing="1" w:after="100" w:afterAutospacing="1"/>
    </w:pPr>
    <w:rPr>
      <w:b/>
      <w:bCs w:val="0"/>
      <w:color w:val="B8CFFF"/>
      <w:sz w:val="31"/>
      <w:szCs w:val="31"/>
    </w:rPr>
  </w:style>
  <w:style w:type="paragraph" w:customStyle="1" w:styleId="signofflinklist">
    <w:name w:val="signofflinklist"/>
    <w:basedOn w:val="Normal"/>
    <w:pPr>
      <w:spacing w:before="100" w:beforeAutospacing="1" w:after="100" w:afterAutospacing="1"/>
      <w:jc w:val="center"/>
    </w:pPr>
    <w:rPr>
      <w:color w:val="656565"/>
      <w:sz w:val="16"/>
      <w:szCs w:val="16"/>
    </w:rPr>
  </w:style>
  <w:style w:type="paragraph" w:customStyle="1" w:styleId="layoutsignoffsecondarycontent">
    <w:name w:val="layout_signoffsecondarycontent"/>
    <w:basedOn w:val="Normal"/>
    <w:pPr>
      <w:spacing w:before="100" w:beforeAutospacing="1" w:after="100" w:afterAutospacing="1"/>
    </w:pPr>
    <w:rPr>
      <w:sz w:val="24"/>
    </w:rPr>
  </w:style>
  <w:style w:type="paragraph" w:customStyle="1" w:styleId="layoutsignoffthankyouwrapper">
    <w:name w:val="layout_signoffthankyouwrapper"/>
    <w:basedOn w:val="Normal"/>
    <w:pPr>
      <w:spacing w:before="100" w:beforeAutospacing="1" w:after="100" w:afterAutospacing="1"/>
    </w:pPr>
    <w:rPr>
      <w:sz w:val="24"/>
    </w:rPr>
  </w:style>
  <w:style w:type="paragraph" w:customStyle="1" w:styleId="signoffthankyoutitle">
    <w:name w:val="signoffthankyoutitle"/>
    <w:basedOn w:val="Normal"/>
    <w:pPr>
      <w:spacing w:before="100" w:beforeAutospacing="1" w:after="100" w:afterAutospacing="1"/>
    </w:pPr>
    <w:rPr>
      <w:color w:val="C4B177"/>
      <w:sz w:val="21"/>
      <w:szCs w:val="21"/>
    </w:rPr>
  </w:style>
  <w:style w:type="paragraph" w:customStyle="1" w:styleId="layoutsignoffsideads">
    <w:name w:val="layout_signoffsideads"/>
    <w:basedOn w:val="Normal"/>
    <w:pPr>
      <w:spacing w:before="100" w:beforeAutospacing="1" w:after="100" w:afterAutospacing="1"/>
    </w:pPr>
    <w:rPr>
      <w:sz w:val="24"/>
    </w:rPr>
  </w:style>
  <w:style w:type="paragraph" w:customStyle="1" w:styleId="signoffsideads">
    <w:name w:val="signoffsideads"/>
    <w:basedOn w:val="Normal"/>
    <w:pPr>
      <w:spacing w:before="100" w:beforeAutospacing="1" w:after="100" w:afterAutospacing="1"/>
    </w:pPr>
    <w:rPr>
      <w:sz w:val="24"/>
    </w:rPr>
  </w:style>
  <w:style w:type="paragraph" w:customStyle="1" w:styleId="signofffooter">
    <w:name w:val="signofffooter"/>
    <w:basedOn w:val="Normal"/>
    <w:pPr>
      <w:spacing w:before="100" w:beforeAutospacing="1" w:after="100" w:afterAutospacing="1"/>
      <w:jc w:val="center"/>
    </w:pPr>
    <w:rPr>
      <w:color w:val="656565"/>
      <w:sz w:val="16"/>
      <w:szCs w:val="16"/>
    </w:rPr>
  </w:style>
  <w:style w:type="paragraph" w:customStyle="1" w:styleId="layoutsignofffooter">
    <w:name w:val="layout_signofffooter"/>
    <w:basedOn w:val="Normal"/>
    <w:pPr>
      <w:spacing w:before="240" w:after="100" w:afterAutospacing="1"/>
    </w:pPr>
    <w:rPr>
      <w:sz w:val="24"/>
    </w:rPr>
  </w:style>
  <w:style w:type="paragraph" w:customStyle="1" w:styleId="layoutsignofffooterimage">
    <w:name w:val="layout_signofffooterimage"/>
    <w:basedOn w:val="Normal"/>
    <w:pPr>
      <w:spacing w:before="240" w:after="240"/>
    </w:pPr>
    <w:rPr>
      <w:sz w:val="24"/>
    </w:rPr>
  </w:style>
  <w:style w:type="paragraph" w:customStyle="1" w:styleId="signofffooterlink">
    <w:name w:val="signofffooterlink"/>
    <w:basedOn w:val="Normal"/>
    <w:pPr>
      <w:spacing w:before="100" w:beforeAutospacing="1" w:after="100" w:afterAutospacing="1"/>
    </w:pPr>
    <w:rPr>
      <w:b/>
      <w:bCs w:val="0"/>
      <w:sz w:val="24"/>
    </w:rPr>
  </w:style>
  <w:style w:type="paragraph" w:customStyle="1" w:styleId="layoutsignoffcleaner">
    <w:name w:val="layout_signoffcleaner"/>
    <w:basedOn w:val="Normal"/>
    <w:pPr>
      <w:spacing w:before="100" w:beforeAutospacing="1" w:after="100" w:afterAutospacing="1"/>
    </w:pPr>
    <w:rPr>
      <w:sz w:val="2"/>
      <w:szCs w:val="2"/>
    </w:rPr>
  </w:style>
  <w:style w:type="paragraph" w:customStyle="1" w:styleId="layoutsignoffsimplewrapper">
    <w:name w:val="layout_signoffsimplewrapper"/>
    <w:basedOn w:val="Normal"/>
    <w:pPr>
      <w:spacing w:before="100" w:beforeAutospacing="1" w:after="100" w:afterAutospacing="1"/>
      <w:jc w:val="center"/>
    </w:pPr>
    <w:rPr>
      <w:sz w:val="24"/>
    </w:rPr>
  </w:style>
  <w:style w:type="paragraph" w:customStyle="1" w:styleId="inftimingsheader">
    <w:name w:val="inftimingsheader"/>
    <w:basedOn w:val="Normal"/>
    <w:pPr>
      <w:spacing w:before="100" w:beforeAutospacing="1" w:after="100" w:afterAutospacing="1"/>
      <w:jc w:val="center"/>
    </w:pPr>
    <w:rPr>
      <w:b/>
      <w:bCs w:val="0"/>
      <w:sz w:val="24"/>
    </w:rPr>
  </w:style>
  <w:style w:type="paragraph" w:customStyle="1" w:styleId="inftimingsouterbox">
    <w:name w:val="inftimingsouterbox"/>
    <w:basedOn w:val="Normal"/>
    <w:pPr>
      <w:pBdr>
        <w:top w:val="single" w:sz="6" w:space="0" w:color="000000"/>
        <w:left w:val="single" w:sz="6" w:space="0" w:color="000000"/>
        <w:bottom w:val="single" w:sz="6" w:space="0" w:color="000000"/>
        <w:right w:val="single" w:sz="6" w:space="0" w:color="000000"/>
      </w:pBdr>
      <w:shd w:val="clear" w:color="auto" w:fill="E5E5E5"/>
      <w:spacing w:before="100" w:beforeAutospacing="1" w:after="100" w:afterAutospacing="1"/>
      <w:ind w:left="75"/>
    </w:pPr>
    <w:rPr>
      <w:sz w:val="24"/>
    </w:rPr>
  </w:style>
  <w:style w:type="paragraph" w:customStyle="1" w:styleId="inftimingbar">
    <w:name w:val="inftimingbar"/>
    <w:basedOn w:val="Normal"/>
    <w:pPr>
      <w:pBdr>
        <w:top w:val="single" w:sz="6" w:space="0" w:color="220000"/>
        <w:left w:val="single" w:sz="6" w:space="0" w:color="220000"/>
        <w:bottom w:val="single" w:sz="6" w:space="0" w:color="220000"/>
        <w:right w:val="single" w:sz="6" w:space="0" w:color="220000"/>
      </w:pBdr>
      <w:spacing w:before="100" w:beforeAutospacing="1" w:after="100" w:afterAutospacing="1"/>
      <w:ind w:left="-15"/>
    </w:pPr>
    <w:rPr>
      <w:sz w:val="24"/>
    </w:rPr>
  </w:style>
  <w:style w:type="paragraph" w:customStyle="1" w:styleId="inftimingbarcaption">
    <w:name w:val="inftimingbarcaption"/>
    <w:basedOn w:val="Normal"/>
    <w:pPr>
      <w:spacing w:before="30" w:after="100" w:afterAutospacing="1"/>
    </w:pPr>
    <w:rPr>
      <w:color w:val="000000"/>
      <w:sz w:val="24"/>
    </w:rPr>
  </w:style>
  <w:style w:type="paragraph" w:customStyle="1" w:styleId="inftimingsboxcaption">
    <w:name w:val="inftimingsboxcaption"/>
    <w:basedOn w:val="Normal"/>
    <w:pPr>
      <w:spacing w:before="100" w:beforeAutospacing="1" w:after="100" w:afterAutospacing="1"/>
      <w:jc w:val="center"/>
    </w:pPr>
    <w:rPr>
      <w:sz w:val="24"/>
    </w:rPr>
  </w:style>
  <w:style w:type="paragraph" w:customStyle="1" w:styleId="layoutexpofeature">
    <w:name w:val="layout_expofeature"/>
    <w:basedOn w:val="Normal"/>
    <w:pPr>
      <w:spacing w:before="100" w:beforeAutospacing="1" w:after="100" w:afterAutospacing="1"/>
    </w:pPr>
    <w:rPr>
      <w:sz w:val="24"/>
    </w:rPr>
  </w:style>
  <w:style w:type="paragraph" w:customStyle="1" w:styleId="layoutexpocheckboxcontainer">
    <w:name w:val="layout_expocheckboxcontainer"/>
    <w:basedOn w:val="Normal"/>
    <w:pPr>
      <w:spacing w:before="100" w:beforeAutospacing="1" w:after="100" w:afterAutospacing="1"/>
    </w:pPr>
    <w:rPr>
      <w:sz w:val="24"/>
    </w:rPr>
  </w:style>
  <w:style w:type="paragraph" w:customStyle="1" w:styleId="layoutexpocontainer">
    <w:name w:val="layout_expocontainer"/>
    <w:basedOn w:val="Normal"/>
    <w:pPr>
      <w:spacing w:before="150" w:after="150"/>
      <w:ind w:left="150" w:right="150"/>
    </w:pPr>
    <w:rPr>
      <w:sz w:val="24"/>
    </w:rPr>
  </w:style>
  <w:style w:type="paragraph" w:customStyle="1" w:styleId="layoutexpoanchorcontainer">
    <w:name w:val="layout_expoanchorcontainer"/>
    <w:basedOn w:val="Normal"/>
    <w:pPr>
      <w:spacing w:before="150" w:after="150"/>
      <w:ind w:left="150" w:right="150"/>
    </w:pPr>
    <w:rPr>
      <w:sz w:val="24"/>
    </w:rPr>
  </w:style>
  <w:style w:type="paragraph" w:customStyle="1" w:styleId="layoutdisplaynone">
    <w:name w:val="layout_displaynone"/>
    <w:basedOn w:val="Normal"/>
    <w:pPr>
      <w:spacing w:before="100" w:beforeAutospacing="1" w:after="100" w:afterAutospacing="1"/>
    </w:pPr>
    <w:rPr>
      <w:vanish/>
      <w:sz w:val="24"/>
    </w:rPr>
  </w:style>
  <w:style w:type="paragraph" w:customStyle="1" w:styleId="layoutcheckboxitem">
    <w:name w:val="layout_checkboxitem"/>
    <w:basedOn w:val="Normal"/>
    <w:pPr>
      <w:spacing w:before="100" w:beforeAutospacing="1" w:after="100" w:afterAutospacing="1"/>
      <w:textAlignment w:val="center"/>
    </w:pPr>
    <w:rPr>
      <w:sz w:val="24"/>
    </w:rPr>
  </w:style>
  <w:style w:type="paragraph" w:customStyle="1" w:styleId="layoutkeynumberlineitem">
    <w:name w:val="layout_keynumberlineitem"/>
    <w:basedOn w:val="Normal"/>
    <w:pPr>
      <w:spacing w:before="100" w:beforeAutospacing="1" w:after="100" w:afterAutospacing="1"/>
    </w:pPr>
    <w:rPr>
      <w:sz w:val="24"/>
    </w:rPr>
  </w:style>
  <w:style w:type="paragraph" w:customStyle="1" w:styleId="layoutkeynumberlineitemheader">
    <w:name w:val="layout_keynumberlineitemheader"/>
    <w:basedOn w:val="Normal"/>
    <w:pPr>
      <w:spacing w:before="100" w:beforeAutospacing="1" w:after="100" w:afterAutospacing="1"/>
    </w:pPr>
    <w:rPr>
      <w:sz w:val="24"/>
    </w:rPr>
  </w:style>
  <w:style w:type="paragraph" w:customStyle="1" w:styleId="layoutkeynumberlineinnerleftitem">
    <w:name w:val="layout_keynumberlineinnerleftitem"/>
    <w:basedOn w:val="Normal"/>
    <w:pPr>
      <w:spacing w:before="100" w:beforeAutospacing="1" w:after="100" w:afterAutospacing="1"/>
    </w:pPr>
    <w:rPr>
      <w:sz w:val="24"/>
    </w:rPr>
  </w:style>
  <w:style w:type="paragraph" w:customStyle="1" w:styleId="layoutkeynumberlineinnerrightitem">
    <w:name w:val="layout_keynumberlineinnerrightitem"/>
    <w:basedOn w:val="Normal"/>
    <w:pPr>
      <w:spacing w:before="100" w:beforeAutospacing="1" w:after="100" w:afterAutospacing="1"/>
    </w:pPr>
    <w:rPr>
      <w:sz w:val="24"/>
    </w:rPr>
  </w:style>
  <w:style w:type="paragraph" w:customStyle="1" w:styleId="layoutkeynumbersearchtemplatebackground">
    <w:name w:val="layout_keynumbersearchtemplatebackground"/>
    <w:basedOn w:val="Normal"/>
    <w:pPr>
      <w:pBdr>
        <w:top w:val="single" w:sz="6" w:space="0" w:color="7F7F7F"/>
        <w:left w:val="single" w:sz="6" w:space="0" w:color="7F7F7F"/>
        <w:bottom w:val="single" w:sz="6" w:space="0" w:color="7F7F7F"/>
        <w:right w:val="single" w:sz="6" w:space="0" w:color="7F7F7F"/>
      </w:pBdr>
      <w:shd w:val="clear" w:color="auto" w:fill="F0F0F0"/>
      <w:spacing w:before="100" w:beforeAutospacing="1" w:after="100" w:afterAutospacing="1"/>
    </w:pPr>
    <w:rPr>
      <w:sz w:val="24"/>
    </w:rPr>
  </w:style>
  <w:style w:type="paragraph" w:customStyle="1" w:styleId="layoutkeynumberjurisdictionslistbackground">
    <w:name w:val="layout_keynumberjurisdictionslistbackground"/>
    <w:basedOn w:val="Normal"/>
    <w:pPr>
      <w:pBdr>
        <w:top w:val="single" w:sz="6" w:space="0" w:color="7F7F7F"/>
        <w:left w:val="single" w:sz="6" w:space="0" w:color="7F7F7F"/>
        <w:bottom w:val="single" w:sz="6" w:space="0" w:color="7F7F7F"/>
        <w:right w:val="single" w:sz="6" w:space="0" w:color="7F7F7F"/>
      </w:pBdr>
      <w:shd w:val="clear" w:color="auto" w:fill="FFFFFF"/>
      <w:spacing w:before="100" w:beforeAutospacing="1" w:after="100" w:afterAutospacing="1"/>
    </w:pPr>
    <w:rPr>
      <w:sz w:val="24"/>
    </w:rPr>
  </w:style>
  <w:style w:type="paragraph" w:customStyle="1" w:styleId="layoutkeynumbersearchtemplatewidthsmall">
    <w:name w:val="layout_keynumbersearchtemplatewidthsmall"/>
    <w:basedOn w:val="Normal"/>
    <w:pPr>
      <w:spacing w:before="100" w:beforeAutospacing="1" w:after="100" w:afterAutospacing="1"/>
    </w:pPr>
    <w:rPr>
      <w:sz w:val="24"/>
    </w:rPr>
  </w:style>
  <w:style w:type="paragraph" w:customStyle="1" w:styleId="layoutkeynumbersearchtemplatewidthfullscreen">
    <w:name w:val="layout_keynumbersearchtemplatewidthfullscreen"/>
    <w:basedOn w:val="Normal"/>
    <w:pPr>
      <w:spacing w:before="100" w:beforeAutospacing="1" w:after="100" w:afterAutospacing="1"/>
    </w:pPr>
    <w:rPr>
      <w:sz w:val="24"/>
    </w:rPr>
  </w:style>
  <w:style w:type="paragraph" w:customStyle="1" w:styleId="layoutkeynumbersearchtemplatequeryeditorposition">
    <w:name w:val="layout_keynumbersearchtemplatequeryeditorposition"/>
    <w:basedOn w:val="Normal"/>
    <w:pPr>
      <w:spacing w:before="100" w:beforeAutospacing="1" w:after="100" w:afterAutospacing="1"/>
      <w:jc w:val="center"/>
    </w:pPr>
    <w:rPr>
      <w:sz w:val="24"/>
    </w:rPr>
  </w:style>
  <w:style w:type="paragraph" w:customStyle="1" w:styleId="layoutkeynumbersearchtemplateresultposition">
    <w:name w:val="layout_keynumbersearchtemplateresultposition"/>
    <w:basedOn w:val="Normal"/>
    <w:pPr>
      <w:spacing w:before="100" w:beforeAutospacing="1" w:after="100" w:afterAutospacing="1"/>
    </w:pPr>
    <w:rPr>
      <w:sz w:val="24"/>
    </w:rPr>
  </w:style>
  <w:style w:type="paragraph" w:customStyle="1" w:styleId="linksheaderlist">
    <w:name w:val="linksheaderlist"/>
    <w:basedOn w:val="Normal"/>
    <w:pPr>
      <w:spacing w:before="100" w:beforeAutospacing="1" w:after="100" w:afterAutospacing="1"/>
    </w:pPr>
    <w:rPr>
      <w:sz w:val="18"/>
      <w:szCs w:val="18"/>
    </w:rPr>
  </w:style>
  <w:style w:type="paragraph" w:customStyle="1" w:styleId="layoutforminputcontainer">
    <w:name w:val="layout_forminputcontainer"/>
    <w:basedOn w:val="Normal"/>
    <w:pPr>
      <w:spacing w:before="100" w:beforeAutospacing="1" w:after="100" w:afterAutospacing="1"/>
    </w:pPr>
    <w:rPr>
      <w:sz w:val="24"/>
    </w:rPr>
  </w:style>
  <w:style w:type="paragraph" w:customStyle="1" w:styleId="styledheaderboxprimary">
    <w:name w:val="styledheaderboxprimary"/>
    <w:basedOn w:val="Normal"/>
    <w:pPr>
      <w:spacing w:before="100" w:beforeAutospacing="1" w:after="100" w:afterAutospacing="1"/>
      <w:ind w:right="150"/>
    </w:pPr>
    <w:rPr>
      <w:sz w:val="24"/>
    </w:rPr>
  </w:style>
  <w:style w:type="paragraph" w:customStyle="1" w:styleId="styledheaderboxsecondary">
    <w:name w:val="styledheaderboxsecondary"/>
    <w:basedOn w:val="Normal"/>
    <w:pPr>
      <w:spacing w:before="100" w:beforeAutospacing="1" w:after="100" w:afterAutospacing="1"/>
      <w:ind w:right="150"/>
    </w:pPr>
    <w:rPr>
      <w:sz w:val="24"/>
    </w:rPr>
  </w:style>
  <w:style w:type="paragraph" w:customStyle="1" w:styleId="layoutstyledheaderboxboxwrapper">
    <w:name w:val="layout_styledheaderboxboxwrapper"/>
    <w:basedOn w:val="Normal"/>
    <w:rPr>
      <w:sz w:val="24"/>
    </w:rPr>
  </w:style>
  <w:style w:type="paragraph" w:customStyle="1" w:styleId="layoutstyledheaderboxheadcontainer">
    <w:name w:val="layout_styledheaderboxheadcontainer"/>
    <w:basedOn w:val="Normal"/>
    <w:pPr>
      <w:spacing w:before="100" w:beforeAutospacing="1" w:after="100" w:afterAutospacing="1"/>
    </w:pPr>
    <w:rPr>
      <w:sz w:val="24"/>
    </w:rPr>
  </w:style>
  <w:style w:type="paragraph" w:customStyle="1" w:styleId="layoutstyledheaderboxheadinnercontainer">
    <w:name w:val="layout_styledheaderboxheadinnercontainer"/>
    <w:basedOn w:val="Normal"/>
    <w:pPr>
      <w:spacing w:before="100" w:beforeAutospacing="1" w:after="100" w:afterAutospacing="1"/>
    </w:pPr>
    <w:rPr>
      <w:sz w:val="24"/>
    </w:rPr>
  </w:style>
  <w:style w:type="paragraph" w:customStyle="1" w:styleId="layoutresultslistcolumn">
    <w:name w:val="layout_resultslistcolumn"/>
    <w:basedOn w:val="Normal"/>
    <w:pPr>
      <w:spacing w:before="100" w:beforeAutospacing="1" w:after="100" w:afterAutospacing="1"/>
      <w:ind w:firstLine="75"/>
    </w:pPr>
    <w:rPr>
      <w:sz w:val="24"/>
    </w:rPr>
  </w:style>
  <w:style w:type="paragraph" w:customStyle="1" w:styleId="layoutpowertopiccitatorlist">
    <w:name w:val="layout_powertopiccitatorlist"/>
    <w:basedOn w:val="Normal"/>
    <w:pPr>
      <w:spacing w:before="100" w:beforeAutospacing="1" w:after="100" w:afterAutospacing="1"/>
    </w:pPr>
    <w:rPr>
      <w:sz w:val="24"/>
    </w:rPr>
  </w:style>
  <w:style w:type="paragraph" w:customStyle="1" w:styleId="tabsrightcontainer">
    <w:name w:val="tabsrightcontainer"/>
    <w:basedOn w:val="Normal"/>
    <w:pPr>
      <w:spacing w:before="100" w:beforeAutospacing="1" w:after="100" w:afterAutospacing="1"/>
    </w:pPr>
    <w:rPr>
      <w:sz w:val="24"/>
    </w:rPr>
  </w:style>
  <w:style w:type="paragraph" w:customStyle="1" w:styleId="layoutmedlittableft">
    <w:name w:val="layout_medlittableft"/>
    <w:basedOn w:val="Normal"/>
    <w:pPr>
      <w:spacing w:before="100" w:beforeAutospacing="1" w:after="100" w:afterAutospacing="1"/>
    </w:pPr>
    <w:rPr>
      <w:sz w:val="24"/>
    </w:rPr>
  </w:style>
  <w:style w:type="paragraph" w:customStyle="1" w:styleId="layoutmedlittabright">
    <w:name w:val="layout_medlittabright"/>
    <w:basedOn w:val="Normal"/>
    <w:pPr>
      <w:spacing w:before="100" w:beforeAutospacing="1" w:after="100" w:afterAutospacing="1"/>
    </w:pPr>
    <w:rPr>
      <w:sz w:val="24"/>
    </w:rPr>
  </w:style>
  <w:style w:type="paragraph" w:customStyle="1" w:styleId="layoutrangenavigation">
    <w:name w:val="layout_rangenavigation"/>
    <w:basedOn w:val="Normal"/>
    <w:pPr>
      <w:spacing w:before="100" w:beforeAutospacing="1" w:after="100" w:afterAutospacing="1"/>
    </w:pPr>
    <w:rPr>
      <w:sz w:val="24"/>
    </w:rPr>
  </w:style>
  <w:style w:type="paragraph" w:customStyle="1" w:styleId="citelistitem">
    <w:name w:val="citelistitem"/>
    <w:basedOn w:val="Normal"/>
    <w:pPr>
      <w:spacing w:before="100" w:beforeAutospacing="1" w:after="100" w:afterAutospacing="1"/>
    </w:pPr>
    <w:rPr>
      <w:sz w:val="24"/>
    </w:rPr>
  </w:style>
  <w:style w:type="paragraph" w:customStyle="1" w:styleId="citelistitemdescription">
    <w:name w:val="citelistitemdescription"/>
    <w:basedOn w:val="Normal"/>
    <w:pPr>
      <w:spacing w:before="100" w:beforeAutospacing="1" w:after="100" w:afterAutospacing="1"/>
    </w:pPr>
    <w:rPr>
      <w:sz w:val="24"/>
    </w:rPr>
  </w:style>
  <w:style w:type="paragraph" w:customStyle="1" w:styleId="layoutcitelistitem">
    <w:name w:val="layout_citelistitem"/>
    <w:basedOn w:val="Normal"/>
    <w:pPr>
      <w:spacing w:before="100" w:beforeAutospacing="1" w:after="100" w:afterAutospacing="1"/>
    </w:pPr>
    <w:rPr>
      <w:sz w:val="24"/>
    </w:rPr>
  </w:style>
  <w:style w:type="paragraph" w:customStyle="1" w:styleId="layoutcitelistitemflag">
    <w:name w:val="layout_citelistitemflag"/>
    <w:basedOn w:val="Normal"/>
    <w:pPr>
      <w:spacing w:before="100" w:beforeAutospacing="1" w:after="100" w:afterAutospacing="1"/>
    </w:pPr>
    <w:rPr>
      <w:sz w:val="24"/>
    </w:rPr>
  </w:style>
  <w:style w:type="paragraph" w:customStyle="1" w:styleId="layoutcitelistitemwrap">
    <w:name w:val="layout_citelistitemwrap"/>
    <w:basedOn w:val="Normal"/>
    <w:pPr>
      <w:spacing w:before="100" w:beforeAutospacing="1" w:after="100" w:afterAutospacing="1"/>
    </w:pPr>
    <w:rPr>
      <w:sz w:val="24"/>
    </w:rPr>
  </w:style>
  <w:style w:type="paragraph" w:customStyle="1" w:styleId="layoutcitelistitemsnippet">
    <w:name w:val="layout_citelistitemsnippet"/>
    <w:basedOn w:val="Normal"/>
    <w:pPr>
      <w:spacing w:before="100" w:beforeAutospacing="1" w:after="100" w:afterAutospacing="1"/>
    </w:pPr>
    <w:rPr>
      <w:sz w:val="24"/>
    </w:rPr>
  </w:style>
  <w:style w:type="paragraph" w:customStyle="1" w:styleId="categoryheading">
    <w:name w:val="categoryheading"/>
    <w:basedOn w:val="Normal"/>
    <w:pPr>
      <w:spacing w:before="100" w:beforeAutospacing="1" w:after="100" w:afterAutospacing="1"/>
    </w:pPr>
    <w:rPr>
      <w:sz w:val="24"/>
    </w:rPr>
  </w:style>
  <w:style w:type="paragraph" w:customStyle="1" w:styleId="layoutcategoryheading">
    <w:name w:val="layout_categoryheading"/>
    <w:basedOn w:val="Normal"/>
    <w:pPr>
      <w:spacing w:before="100" w:beforeAutospacing="1" w:after="100" w:afterAutospacing="1"/>
    </w:pPr>
    <w:rPr>
      <w:sz w:val="24"/>
    </w:rPr>
  </w:style>
  <w:style w:type="paragraph" w:customStyle="1" w:styleId="layoutdualcolumn">
    <w:name w:val="layout_dualcolumn"/>
    <w:basedOn w:val="Normal"/>
    <w:pPr>
      <w:spacing w:before="100" w:beforeAutospacing="1" w:after="100" w:afterAutospacing="1"/>
    </w:pPr>
    <w:rPr>
      <w:sz w:val="24"/>
    </w:rPr>
  </w:style>
  <w:style w:type="paragraph" w:customStyle="1" w:styleId="selection">
    <w:name w:val="selection"/>
    <w:basedOn w:val="Normal"/>
    <w:pPr>
      <w:spacing w:before="100" w:beforeAutospacing="1" w:after="100" w:afterAutospacing="1"/>
    </w:pPr>
    <w:rPr>
      <w:sz w:val="24"/>
    </w:rPr>
  </w:style>
  <w:style w:type="paragraph" w:customStyle="1" w:styleId="layoutdirectorybreadcrumb">
    <w:name w:val="layout_directorybreadcrumb"/>
    <w:basedOn w:val="Normal"/>
    <w:pPr>
      <w:spacing w:before="100" w:beforeAutospacing="1" w:after="100" w:afterAutospacing="1"/>
    </w:pPr>
    <w:rPr>
      <w:sz w:val="24"/>
    </w:rPr>
  </w:style>
  <w:style w:type="paragraph" w:customStyle="1" w:styleId="layoutdirectoryscanwebview">
    <w:name w:val="layout_directoryscanwebview"/>
    <w:basedOn w:val="Normal"/>
    <w:pPr>
      <w:spacing w:before="100" w:beforeAutospacing="1" w:after="100" w:afterAutospacing="1"/>
    </w:pPr>
    <w:rPr>
      <w:sz w:val="24"/>
    </w:rPr>
  </w:style>
  <w:style w:type="paragraph" w:customStyle="1" w:styleId="layoutdirectoryscantopwebview">
    <w:name w:val="layout_directoryscantopwebview"/>
    <w:basedOn w:val="Normal"/>
    <w:pPr>
      <w:spacing w:before="100" w:beforeAutospacing="1" w:after="100" w:afterAutospacing="1"/>
    </w:pPr>
    <w:rPr>
      <w:sz w:val="24"/>
    </w:rPr>
  </w:style>
  <w:style w:type="paragraph" w:customStyle="1" w:styleId="layoutdirectorycontrol">
    <w:name w:val="layout_directorycontrol"/>
    <w:basedOn w:val="Normal"/>
    <w:pPr>
      <w:spacing w:before="100" w:beforeAutospacing="1" w:after="100" w:afterAutospacing="1"/>
    </w:pPr>
    <w:rPr>
      <w:sz w:val="24"/>
    </w:rPr>
  </w:style>
  <w:style w:type="paragraph" w:customStyle="1" w:styleId="layoutdirectoryscantopview">
    <w:name w:val="layout_directoryscantopview"/>
    <w:basedOn w:val="Normal"/>
    <w:pPr>
      <w:spacing w:before="100" w:beforeAutospacing="1" w:after="100" w:afterAutospacing="1"/>
    </w:pPr>
    <w:rPr>
      <w:sz w:val="24"/>
    </w:rPr>
  </w:style>
  <w:style w:type="paragraph" w:customStyle="1" w:styleId="layoutscanbreadcrumbpanel">
    <w:name w:val="layout_scanbreadcrumbpanel"/>
    <w:basedOn w:val="Normal"/>
    <w:pPr>
      <w:spacing w:before="100" w:beforeAutospacing="1" w:after="100" w:afterAutospacing="1"/>
    </w:pPr>
    <w:rPr>
      <w:sz w:val="24"/>
    </w:rPr>
  </w:style>
  <w:style w:type="paragraph" w:customStyle="1" w:styleId="layoutscanpanel">
    <w:name w:val="layout_scanpanel"/>
    <w:basedOn w:val="Normal"/>
    <w:pPr>
      <w:spacing w:before="100" w:beforeAutospacing="1" w:after="100" w:afterAutospacing="1"/>
    </w:pPr>
    <w:rPr>
      <w:sz w:val="24"/>
    </w:rPr>
  </w:style>
  <w:style w:type="paragraph" w:customStyle="1" w:styleId="layoutsignoffsimplebilling">
    <w:name w:val="layout_signoffsimplebilling"/>
    <w:basedOn w:val="Normal"/>
    <w:pPr>
      <w:spacing w:before="100" w:beforeAutospacing="1" w:after="100" w:afterAutospacing="1"/>
    </w:pPr>
    <w:rPr>
      <w:sz w:val="24"/>
    </w:rPr>
  </w:style>
  <w:style w:type="character" w:customStyle="1" w:styleId="leadertext">
    <w:name w:val="leadertext"/>
    <w:basedOn w:val="DefaultParagraphFont"/>
    <w:rPr>
      <w:shd w:val="clear" w:color="auto" w:fill="FFFFFF"/>
    </w:rPr>
  </w:style>
  <w:style w:type="character" w:customStyle="1" w:styleId="leadertextright">
    <w:name w:val="leadertextright"/>
    <w:basedOn w:val="DefaultParagraphFont"/>
    <w:rPr>
      <w:shd w:val="clear" w:color="auto" w:fill="FFFFFF"/>
    </w:rPr>
  </w:style>
  <w:style w:type="character" w:customStyle="1" w:styleId="adheader">
    <w:name w:val="adheader"/>
    <w:basedOn w:val="DefaultParagraphFont"/>
  </w:style>
  <w:style w:type="paragraph" w:customStyle="1" w:styleId="featurenavigation1">
    <w:name w:val="featurenavigation1"/>
    <w:basedOn w:val="Normal"/>
    <w:rPr>
      <w:rFonts w:ascii="Verdana" w:hAnsi="Verdana"/>
      <w:color w:val="FFFFFF"/>
      <w:sz w:val="17"/>
      <w:szCs w:val="17"/>
    </w:rPr>
  </w:style>
  <w:style w:type="paragraph" w:customStyle="1" w:styleId="featurenavigation2">
    <w:name w:val="featurenavigation2"/>
    <w:basedOn w:val="Normal"/>
    <w:pPr>
      <w:spacing w:before="100" w:beforeAutospacing="1" w:after="100" w:afterAutospacing="1"/>
    </w:pPr>
    <w:rPr>
      <w:rFonts w:ascii="Verdana" w:hAnsi="Verdana"/>
      <w:b/>
      <w:bCs w:val="0"/>
      <w:color w:val="3877D6"/>
      <w:sz w:val="17"/>
      <w:szCs w:val="17"/>
    </w:rPr>
  </w:style>
  <w:style w:type="paragraph" w:customStyle="1" w:styleId="layoutpowertopiccitatorlist1">
    <w:name w:val="layout_powertopiccitatorlist1"/>
    <w:basedOn w:val="Normal"/>
    <w:rPr>
      <w:sz w:val="24"/>
    </w:rPr>
  </w:style>
  <w:style w:type="paragraph" w:customStyle="1" w:styleId="tabsrightcontainer1">
    <w:name w:val="tabsrightcontainer1"/>
    <w:basedOn w:val="Normal"/>
    <w:pPr>
      <w:spacing w:before="100" w:beforeAutospacing="1" w:after="100" w:afterAutospacing="1"/>
      <w:ind w:left="150"/>
    </w:pPr>
    <w:rPr>
      <w:sz w:val="24"/>
    </w:rPr>
  </w:style>
  <w:style w:type="paragraph" w:customStyle="1" w:styleId="layoutmedlittableft1">
    <w:name w:val="layout_medlittableft1"/>
    <w:basedOn w:val="Normal"/>
    <w:pPr>
      <w:spacing w:before="100" w:beforeAutospacing="1" w:after="100" w:afterAutospacing="1"/>
      <w:ind w:left="-45"/>
    </w:pPr>
    <w:rPr>
      <w:sz w:val="24"/>
    </w:rPr>
  </w:style>
  <w:style w:type="paragraph" w:customStyle="1" w:styleId="layoutmedlittabright1">
    <w:name w:val="layout_medlittabright1"/>
    <w:basedOn w:val="Normal"/>
    <w:pPr>
      <w:spacing w:before="100" w:beforeAutospacing="1" w:after="100" w:afterAutospacing="1"/>
      <w:ind w:left="45"/>
    </w:pPr>
    <w:rPr>
      <w:sz w:val="24"/>
    </w:rPr>
  </w:style>
  <w:style w:type="paragraph" w:customStyle="1" w:styleId="layoutrangenavigation1">
    <w:name w:val="layout_rangenavigation1"/>
    <w:basedOn w:val="Normal"/>
    <w:pPr>
      <w:spacing w:before="100" w:beforeAutospacing="1" w:after="100" w:afterAutospacing="1"/>
    </w:pPr>
    <w:rPr>
      <w:sz w:val="24"/>
    </w:rPr>
  </w:style>
  <w:style w:type="paragraph" w:customStyle="1" w:styleId="citelistitem1">
    <w:name w:val="citelistitem1"/>
    <w:basedOn w:val="Normal"/>
    <w:pPr>
      <w:spacing w:before="100" w:beforeAutospacing="1" w:after="100" w:afterAutospacing="1"/>
    </w:pPr>
    <w:rPr>
      <w:sz w:val="17"/>
      <w:szCs w:val="17"/>
    </w:rPr>
  </w:style>
  <w:style w:type="paragraph" w:customStyle="1" w:styleId="citelistitemdescription1">
    <w:name w:val="citelistitemdescription1"/>
    <w:basedOn w:val="Normal"/>
    <w:pPr>
      <w:spacing w:before="100" w:beforeAutospacing="1" w:after="100" w:afterAutospacing="1"/>
    </w:pPr>
    <w:rPr>
      <w:sz w:val="23"/>
      <w:szCs w:val="23"/>
    </w:rPr>
  </w:style>
  <w:style w:type="paragraph" w:customStyle="1" w:styleId="layoutcitelistitem1">
    <w:name w:val="layout_citelistitem1"/>
    <w:basedOn w:val="Normal"/>
    <w:pPr>
      <w:spacing w:before="100" w:beforeAutospacing="1" w:after="100" w:afterAutospacing="1"/>
    </w:pPr>
    <w:rPr>
      <w:sz w:val="24"/>
    </w:rPr>
  </w:style>
  <w:style w:type="paragraph" w:customStyle="1" w:styleId="layoutcitelistitemflag1">
    <w:name w:val="layout_citelistitemflag1"/>
    <w:basedOn w:val="Normal"/>
    <w:pPr>
      <w:spacing w:before="100" w:beforeAutospacing="1" w:after="100" w:afterAutospacing="1"/>
    </w:pPr>
    <w:rPr>
      <w:sz w:val="24"/>
    </w:rPr>
  </w:style>
  <w:style w:type="paragraph" w:customStyle="1" w:styleId="layoutcitelistitemwrap1">
    <w:name w:val="layout_citelistitemwrap1"/>
    <w:basedOn w:val="Normal"/>
    <w:pPr>
      <w:spacing w:before="100" w:beforeAutospacing="1" w:after="100" w:afterAutospacing="1"/>
    </w:pPr>
    <w:rPr>
      <w:sz w:val="24"/>
    </w:rPr>
  </w:style>
  <w:style w:type="paragraph" w:customStyle="1" w:styleId="layoutcitelistitemsnippet1">
    <w:name w:val="layout_citelistitemsnippet1"/>
    <w:basedOn w:val="Normal"/>
    <w:pPr>
      <w:spacing w:before="100" w:beforeAutospacing="1" w:after="100" w:afterAutospacing="1"/>
    </w:pPr>
    <w:rPr>
      <w:sz w:val="24"/>
    </w:rPr>
  </w:style>
  <w:style w:type="paragraph" w:customStyle="1" w:styleId="categoryheading1">
    <w:name w:val="categoryheading1"/>
    <w:basedOn w:val="Normal"/>
    <w:pPr>
      <w:pBdr>
        <w:top w:val="single" w:sz="6" w:space="0" w:color="899CC0"/>
      </w:pBdr>
      <w:shd w:val="clear" w:color="auto" w:fill="C6D8EF"/>
      <w:spacing w:before="100" w:beforeAutospacing="1" w:after="100" w:afterAutospacing="1"/>
    </w:pPr>
    <w:rPr>
      <w:sz w:val="22"/>
      <w:szCs w:val="22"/>
    </w:rPr>
  </w:style>
  <w:style w:type="paragraph" w:customStyle="1" w:styleId="layoutcategoryheading1">
    <w:name w:val="layout_categoryheading1"/>
    <w:basedOn w:val="Normal"/>
    <w:pPr>
      <w:spacing w:before="240" w:after="100" w:afterAutospacing="1"/>
    </w:pPr>
    <w:rPr>
      <w:sz w:val="24"/>
    </w:rPr>
  </w:style>
  <w:style w:type="paragraph" w:customStyle="1" w:styleId="layoutdualcolumn1">
    <w:name w:val="layout_dualcolumn1"/>
    <w:basedOn w:val="Normal"/>
    <w:pPr>
      <w:spacing w:before="100" w:beforeAutospacing="1" w:after="100" w:afterAutospacing="1"/>
    </w:pPr>
    <w:rPr>
      <w:sz w:val="24"/>
    </w:rPr>
  </w:style>
  <w:style w:type="paragraph" w:customStyle="1" w:styleId="layoutcitelistitemflag2">
    <w:name w:val="layout_citelistitemflag2"/>
    <w:basedOn w:val="Normal"/>
    <w:pPr>
      <w:spacing w:before="156" w:after="100" w:afterAutospacing="1"/>
    </w:pPr>
    <w:rPr>
      <w:sz w:val="24"/>
    </w:rPr>
  </w:style>
  <w:style w:type="paragraph" w:customStyle="1" w:styleId="layoutcitelistitemwrap2">
    <w:name w:val="layout_citelistitemwrap2"/>
    <w:basedOn w:val="Normal"/>
    <w:pPr>
      <w:spacing w:before="100" w:beforeAutospacing="1" w:after="100" w:afterAutospacing="1"/>
    </w:pPr>
    <w:rPr>
      <w:sz w:val="24"/>
    </w:rPr>
  </w:style>
  <w:style w:type="paragraph" w:customStyle="1" w:styleId="medlitentity1">
    <w:name w:val="medlitentity1"/>
    <w:basedOn w:val="Normal"/>
    <w:pPr>
      <w:spacing w:before="100" w:beforeAutospacing="1" w:after="100" w:afterAutospacing="1"/>
      <w:jc w:val="center"/>
    </w:pPr>
    <w:rPr>
      <w:rFonts w:ascii="Verdana" w:hAnsi="Verdana"/>
      <w:sz w:val="24"/>
    </w:rPr>
  </w:style>
  <w:style w:type="paragraph" w:customStyle="1" w:styleId="categoryheading2">
    <w:name w:val="categoryheading2"/>
    <w:basedOn w:val="Normal"/>
    <w:pPr>
      <w:pBdr>
        <w:bottom w:val="single" w:sz="6" w:space="0" w:color="999999"/>
      </w:pBdr>
      <w:spacing w:before="100" w:beforeAutospacing="1" w:after="100" w:afterAutospacing="1"/>
    </w:pPr>
    <w:rPr>
      <w:sz w:val="22"/>
      <w:szCs w:val="22"/>
    </w:rPr>
  </w:style>
  <w:style w:type="paragraph" w:customStyle="1" w:styleId="layoutmedlitentity1">
    <w:name w:val="layout_medlitentity1"/>
    <w:basedOn w:val="Normal"/>
    <w:pPr>
      <w:spacing w:before="100" w:beforeAutospacing="1" w:after="100" w:afterAutospacing="1"/>
    </w:pPr>
    <w:rPr>
      <w:sz w:val="24"/>
    </w:rPr>
  </w:style>
  <w:style w:type="paragraph" w:customStyle="1" w:styleId="layoutcategorycitelist1">
    <w:name w:val="layout_categorycitelist1"/>
    <w:basedOn w:val="Normal"/>
    <w:pPr>
      <w:spacing w:before="100" w:beforeAutospacing="1" w:after="100" w:afterAutospacing="1"/>
    </w:pPr>
    <w:rPr>
      <w:sz w:val="24"/>
    </w:rPr>
  </w:style>
  <w:style w:type="paragraph" w:customStyle="1" w:styleId="layoutcitelistitem2">
    <w:name w:val="layout_citelistitem2"/>
    <w:basedOn w:val="Normal"/>
    <w:pPr>
      <w:spacing w:before="100" w:beforeAutospacing="1" w:after="100" w:afterAutospacing="1"/>
    </w:pPr>
    <w:rPr>
      <w:sz w:val="24"/>
    </w:rPr>
  </w:style>
  <w:style w:type="paragraph" w:customStyle="1" w:styleId="featurenavigation3">
    <w:name w:val="featurenavigation3"/>
    <w:basedOn w:val="Normal"/>
    <w:pPr>
      <w:spacing w:before="100" w:beforeAutospacing="1" w:after="100" w:afterAutospacing="1"/>
    </w:pPr>
    <w:rPr>
      <w:rFonts w:ascii="Verdana" w:hAnsi="Verdana"/>
      <w:sz w:val="24"/>
    </w:rPr>
  </w:style>
  <w:style w:type="paragraph" w:customStyle="1" w:styleId="selection1">
    <w:name w:val="selection1"/>
    <w:basedOn w:val="Normal"/>
    <w:pPr>
      <w:shd w:val="clear" w:color="auto" w:fill="BFBFBF"/>
      <w:spacing w:before="100" w:beforeAutospacing="1" w:after="100" w:afterAutospacing="1"/>
    </w:pPr>
    <w:rPr>
      <w:sz w:val="24"/>
    </w:rPr>
  </w:style>
  <w:style w:type="paragraph" w:customStyle="1" w:styleId="layoutdirectorybreadcrumb1">
    <w:name w:val="layout_directorybreadcrumb1"/>
    <w:basedOn w:val="Normal"/>
    <w:pPr>
      <w:spacing w:before="100" w:beforeAutospacing="1" w:after="240"/>
    </w:pPr>
    <w:rPr>
      <w:sz w:val="24"/>
    </w:rPr>
  </w:style>
  <w:style w:type="paragraph" w:customStyle="1" w:styleId="layoutdirectoryscanwebview1">
    <w:name w:val="layout_directoryscanwebview1"/>
    <w:basedOn w:val="Normal"/>
    <w:pPr>
      <w:spacing w:before="100" w:beforeAutospacing="1" w:after="240"/>
    </w:pPr>
    <w:rPr>
      <w:sz w:val="24"/>
    </w:rPr>
  </w:style>
  <w:style w:type="paragraph" w:customStyle="1" w:styleId="layoutdirectoryscantopwebview1">
    <w:name w:val="layout_directoryscantopwebview1"/>
    <w:basedOn w:val="Normal"/>
    <w:pPr>
      <w:spacing w:before="100" w:beforeAutospacing="1" w:after="480"/>
    </w:pPr>
    <w:rPr>
      <w:sz w:val="24"/>
    </w:rPr>
  </w:style>
  <w:style w:type="paragraph" w:customStyle="1" w:styleId="layoutdirectorycontrol1">
    <w:name w:val="layout_directorycontrol1"/>
    <w:basedOn w:val="Normal"/>
    <w:pPr>
      <w:spacing w:before="240" w:after="100" w:afterAutospacing="1"/>
    </w:pPr>
    <w:rPr>
      <w:sz w:val="24"/>
    </w:rPr>
  </w:style>
  <w:style w:type="paragraph" w:customStyle="1" w:styleId="layoutdirectoryscantopview1">
    <w:name w:val="layout_directoryscantopview1"/>
    <w:basedOn w:val="Normal"/>
    <w:pPr>
      <w:spacing w:before="100" w:beforeAutospacing="1" w:after="480"/>
    </w:pPr>
    <w:rPr>
      <w:sz w:val="24"/>
    </w:rPr>
  </w:style>
  <w:style w:type="paragraph" w:customStyle="1" w:styleId="layoutscanbreadcrumbpanel1">
    <w:name w:val="layout_scanbreadcrumbpanel1"/>
    <w:basedOn w:val="Normal"/>
    <w:pPr>
      <w:spacing w:before="100" w:beforeAutospacing="1" w:after="240"/>
    </w:pPr>
    <w:rPr>
      <w:sz w:val="24"/>
    </w:rPr>
  </w:style>
  <w:style w:type="paragraph" w:customStyle="1" w:styleId="layoutscanpanel1">
    <w:name w:val="layout_scanpanel1"/>
    <w:basedOn w:val="Normal"/>
    <w:pPr>
      <w:spacing w:before="100" w:beforeAutospacing="1" w:after="240"/>
    </w:pPr>
    <w:rPr>
      <w:sz w:val="24"/>
    </w:rPr>
  </w:style>
  <w:style w:type="paragraph" w:customStyle="1" w:styleId="signoffthankyoulawschool1">
    <w:name w:val="signoffthankyoulawschool1"/>
    <w:basedOn w:val="Normal"/>
    <w:pPr>
      <w:spacing w:before="100" w:beforeAutospacing="1" w:after="100" w:afterAutospacing="1"/>
    </w:pPr>
    <w:rPr>
      <w:color w:val="00018D"/>
      <w:sz w:val="18"/>
      <w:szCs w:val="18"/>
    </w:rPr>
  </w:style>
  <w:style w:type="character" w:customStyle="1" w:styleId="adheader1">
    <w:name w:val="adheader1"/>
    <w:basedOn w:val="DefaultParagraphFont"/>
    <w:rPr>
      <w:vanish w:val="0"/>
      <w:webHidden w:val="0"/>
      <w:specVanish w:val="0"/>
    </w:rPr>
  </w:style>
  <w:style w:type="character" w:customStyle="1" w:styleId="adheader2">
    <w:name w:val="adheader2"/>
    <w:basedOn w:val="DefaultParagraphFont"/>
    <w:rPr>
      <w:b/>
      <w:bCs/>
      <w:color w:val="2D5198"/>
      <w:sz w:val="24"/>
      <w:szCs w:val="24"/>
    </w:rPr>
  </w:style>
  <w:style w:type="paragraph" w:customStyle="1" w:styleId="layoutsignoffsimplebilling1">
    <w:name w:val="layout_signoffsimplebilling1"/>
    <w:basedOn w:val="Normal"/>
    <w:pPr>
      <w:spacing w:before="100" w:beforeAutospacing="1" w:after="100" w:afterAutospacing="1"/>
    </w:pPr>
    <w:rPr>
      <w:szCs w:val="20"/>
    </w:rPr>
  </w:style>
  <w:style w:type="paragraph" w:customStyle="1" w:styleId="layoutsignoffsecondarycontent1">
    <w:name w:val="layout_signoffsecondarycontent1"/>
    <w:basedOn w:val="Normal"/>
    <w:pPr>
      <w:spacing w:before="100" w:beforeAutospacing="1" w:after="100" w:afterAutospacing="1"/>
    </w:pPr>
    <w:rPr>
      <w:sz w:val="24"/>
    </w:rPr>
  </w:style>
  <w:style w:type="paragraph" w:customStyle="1" w:styleId="featurenavigation4">
    <w:name w:val="featurenavigation4"/>
    <w:basedOn w:val="Normal"/>
    <w:rPr>
      <w:rFonts w:ascii="Verdana" w:hAnsi="Verdana"/>
      <w:color w:val="FFFFFF"/>
      <w:sz w:val="17"/>
      <w:szCs w:val="17"/>
    </w:rPr>
  </w:style>
  <w:style w:type="paragraph" w:customStyle="1" w:styleId="featurenavigation5">
    <w:name w:val="featurenavigation5"/>
    <w:basedOn w:val="Normal"/>
    <w:pPr>
      <w:spacing w:before="100" w:beforeAutospacing="1" w:after="100" w:afterAutospacing="1"/>
    </w:pPr>
    <w:rPr>
      <w:rFonts w:ascii="Verdana" w:hAnsi="Verdana"/>
      <w:b/>
      <w:bCs w:val="0"/>
      <w:color w:val="3877D6"/>
      <w:sz w:val="17"/>
      <w:szCs w:val="17"/>
    </w:rPr>
  </w:style>
  <w:style w:type="paragraph" w:customStyle="1" w:styleId="layoutpowertopiccitatorlist2">
    <w:name w:val="layout_powertopiccitatorlist2"/>
    <w:basedOn w:val="Normal"/>
    <w:rPr>
      <w:sz w:val="24"/>
    </w:rPr>
  </w:style>
  <w:style w:type="paragraph" w:customStyle="1" w:styleId="tabsrightcontainer2">
    <w:name w:val="tabsrightcontainer2"/>
    <w:basedOn w:val="Normal"/>
    <w:pPr>
      <w:spacing w:before="100" w:beforeAutospacing="1" w:after="100" w:afterAutospacing="1"/>
      <w:ind w:left="150"/>
    </w:pPr>
    <w:rPr>
      <w:sz w:val="24"/>
    </w:rPr>
  </w:style>
  <w:style w:type="paragraph" w:customStyle="1" w:styleId="layoutmedlittableft2">
    <w:name w:val="layout_medlittableft2"/>
    <w:basedOn w:val="Normal"/>
    <w:pPr>
      <w:spacing w:before="100" w:beforeAutospacing="1" w:after="100" w:afterAutospacing="1"/>
      <w:ind w:left="-45"/>
    </w:pPr>
    <w:rPr>
      <w:sz w:val="24"/>
    </w:rPr>
  </w:style>
  <w:style w:type="paragraph" w:customStyle="1" w:styleId="layoutmedlittabright2">
    <w:name w:val="layout_medlittabright2"/>
    <w:basedOn w:val="Normal"/>
    <w:pPr>
      <w:spacing w:before="100" w:beforeAutospacing="1" w:after="100" w:afterAutospacing="1"/>
      <w:ind w:left="45"/>
    </w:pPr>
    <w:rPr>
      <w:sz w:val="24"/>
    </w:rPr>
  </w:style>
  <w:style w:type="paragraph" w:customStyle="1" w:styleId="layoutrangenavigation2">
    <w:name w:val="layout_rangenavigation2"/>
    <w:basedOn w:val="Normal"/>
    <w:pPr>
      <w:spacing w:before="100" w:beforeAutospacing="1" w:after="100" w:afterAutospacing="1"/>
    </w:pPr>
    <w:rPr>
      <w:sz w:val="24"/>
    </w:rPr>
  </w:style>
  <w:style w:type="paragraph" w:customStyle="1" w:styleId="citelistitem2">
    <w:name w:val="citelistitem2"/>
    <w:basedOn w:val="Normal"/>
    <w:pPr>
      <w:spacing w:before="100" w:beforeAutospacing="1" w:after="100" w:afterAutospacing="1"/>
    </w:pPr>
    <w:rPr>
      <w:sz w:val="17"/>
      <w:szCs w:val="17"/>
    </w:rPr>
  </w:style>
  <w:style w:type="paragraph" w:customStyle="1" w:styleId="citelistitemdescription2">
    <w:name w:val="citelistitemdescription2"/>
    <w:basedOn w:val="Normal"/>
    <w:pPr>
      <w:spacing w:before="100" w:beforeAutospacing="1" w:after="100" w:afterAutospacing="1"/>
    </w:pPr>
    <w:rPr>
      <w:sz w:val="23"/>
      <w:szCs w:val="23"/>
    </w:rPr>
  </w:style>
  <w:style w:type="paragraph" w:customStyle="1" w:styleId="layoutcitelistitem3">
    <w:name w:val="layout_citelistitem3"/>
    <w:basedOn w:val="Normal"/>
    <w:pPr>
      <w:spacing w:before="100" w:beforeAutospacing="1" w:after="100" w:afterAutospacing="1"/>
    </w:pPr>
    <w:rPr>
      <w:sz w:val="24"/>
    </w:rPr>
  </w:style>
  <w:style w:type="paragraph" w:customStyle="1" w:styleId="layoutcitelistitemflag3">
    <w:name w:val="layout_citelistitemflag3"/>
    <w:basedOn w:val="Normal"/>
    <w:pPr>
      <w:spacing w:before="100" w:beforeAutospacing="1" w:after="100" w:afterAutospacing="1"/>
    </w:pPr>
    <w:rPr>
      <w:sz w:val="24"/>
    </w:rPr>
  </w:style>
  <w:style w:type="paragraph" w:customStyle="1" w:styleId="layoutcitelistitemwrap3">
    <w:name w:val="layout_citelistitemwrap3"/>
    <w:basedOn w:val="Normal"/>
    <w:pPr>
      <w:spacing w:before="100" w:beforeAutospacing="1" w:after="100" w:afterAutospacing="1"/>
    </w:pPr>
    <w:rPr>
      <w:sz w:val="24"/>
    </w:rPr>
  </w:style>
  <w:style w:type="paragraph" w:customStyle="1" w:styleId="layoutcitelistitemsnippet2">
    <w:name w:val="layout_citelistitemsnippet2"/>
    <w:basedOn w:val="Normal"/>
    <w:pPr>
      <w:spacing w:before="100" w:beforeAutospacing="1" w:after="100" w:afterAutospacing="1"/>
    </w:pPr>
    <w:rPr>
      <w:sz w:val="24"/>
    </w:rPr>
  </w:style>
  <w:style w:type="paragraph" w:customStyle="1" w:styleId="categoryheading3">
    <w:name w:val="categoryheading3"/>
    <w:basedOn w:val="Normal"/>
    <w:pPr>
      <w:pBdr>
        <w:top w:val="single" w:sz="6" w:space="0" w:color="899CC0"/>
      </w:pBdr>
      <w:shd w:val="clear" w:color="auto" w:fill="C6D8EF"/>
      <w:spacing w:before="100" w:beforeAutospacing="1" w:after="100" w:afterAutospacing="1"/>
    </w:pPr>
    <w:rPr>
      <w:sz w:val="22"/>
      <w:szCs w:val="22"/>
    </w:rPr>
  </w:style>
  <w:style w:type="paragraph" w:customStyle="1" w:styleId="layoutcategoryheading2">
    <w:name w:val="layout_categoryheading2"/>
    <w:basedOn w:val="Normal"/>
    <w:pPr>
      <w:spacing w:before="240" w:after="100" w:afterAutospacing="1"/>
    </w:pPr>
    <w:rPr>
      <w:sz w:val="24"/>
    </w:rPr>
  </w:style>
  <w:style w:type="paragraph" w:customStyle="1" w:styleId="layoutdualcolumn2">
    <w:name w:val="layout_dualcolumn2"/>
    <w:basedOn w:val="Normal"/>
    <w:pPr>
      <w:spacing w:before="100" w:beforeAutospacing="1" w:after="100" w:afterAutospacing="1"/>
    </w:pPr>
    <w:rPr>
      <w:sz w:val="24"/>
    </w:rPr>
  </w:style>
  <w:style w:type="paragraph" w:customStyle="1" w:styleId="layoutcitelistitemflag4">
    <w:name w:val="layout_citelistitemflag4"/>
    <w:basedOn w:val="Normal"/>
    <w:pPr>
      <w:spacing w:before="156" w:after="100" w:afterAutospacing="1"/>
    </w:pPr>
    <w:rPr>
      <w:sz w:val="24"/>
    </w:rPr>
  </w:style>
  <w:style w:type="paragraph" w:customStyle="1" w:styleId="layoutcitelistitemwrap4">
    <w:name w:val="layout_citelistitemwrap4"/>
    <w:basedOn w:val="Normal"/>
    <w:pPr>
      <w:spacing w:before="100" w:beforeAutospacing="1" w:after="100" w:afterAutospacing="1"/>
    </w:pPr>
    <w:rPr>
      <w:sz w:val="24"/>
    </w:rPr>
  </w:style>
  <w:style w:type="paragraph" w:customStyle="1" w:styleId="medlitentity2">
    <w:name w:val="medlitentity2"/>
    <w:basedOn w:val="Normal"/>
    <w:pPr>
      <w:spacing w:before="100" w:beforeAutospacing="1" w:after="100" w:afterAutospacing="1"/>
      <w:jc w:val="center"/>
    </w:pPr>
    <w:rPr>
      <w:rFonts w:ascii="Verdana" w:hAnsi="Verdana"/>
      <w:sz w:val="24"/>
    </w:rPr>
  </w:style>
  <w:style w:type="paragraph" w:customStyle="1" w:styleId="categoryheading4">
    <w:name w:val="categoryheading4"/>
    <w:basedOn w:val="Normal"/>
    <w:pPr>
      <w:pBdr>
        <w:bottom w:val="single" w:sz="6" w:space="0" w:color="999999"/>
      </w:pBdr>
      <w:spacing w:before="100" w:beforeAutospacing="1" w:after="100" w:afterAutospacing="1"/>
    </w:pPr>
    <w:rPr>
      <w:sz w:val="22"/>
      <w:szCs w:val="22"/>
    </w:rPr>
  </w:style>
  <w:style w:type="paragraph" w:customStyle="1" w:styleId="layoutmedlitentity2">
    <w:name w:val="layout_medlitentity2"/>
    <w:basedOn w:val="Normal"/>
    <w:pPr>
      <w:spacing w:before="100" w:beforeAutospacing="1" w:after="100" w:afterAutospacing="1"/>
    </w:pPr>
    <w:rPr>
      <w:sz w:val="24"/>
    </w:rPr>
  </w:style>
  <w:style w:type="paragraph" w:customStyle="1" w:styleId="layoutcategorycitelist2">
    <w:name w:val="layout_categorycitelist2"/>
    <w:basedOn w:val="Normal"/>
    <w:pPr>
      <w:spacing w:before="100" w:beforeAutospacing="1" w:after="100" w:afterAutospacing="1"/>
    </w:pPr>
    <w:rPr>
      <w:sz w:val="24"/>
    </w:rPr>
  </w:style>
  <w:style w:type="paragraph" w:customStyle="1" w:styleId="layoutcitelistitem4">
    <w:name w:val="layout_citelistitem4"/>
    <w:basedOn w:val="Normal"/>
    <w:pPr>
      <w:spacing w:before="100" w:beforeAutospacing="1" w:after="100" w:afterAutospacing="1"/>
    </w:pPr>
    <w:rPr>
      <w:sz w:val="24"/>
    </w:rPr>
  </w:style>
  <w:style w:type="paragraph" w:customStyle="1" w:styleId="featurenavigation6">
    <w:name w:val="featurenavigation6"/>
    <w:basedOn w:val="Normal"/>
    <w:pPr>
      <w:spacing w:before="100" w:beforeAutospacing="1" w:after="100" w:afterAutospacing="1"/>
    </w:pPr>
    <w:rPr>
      <w:rFonts w:ascii="Verdana" w:hAnsi="Verdana"/>
      <w:sz w:val="24"/>
    </w:rPr>
  </w:style>
  <w:style w:type="paragraph" w:customStyle="1" w:styleId="selection2">
    <w:name w:val="selection2"/>
    <w:basedOn w:val="Normal"/>
    <w:pPr>
      <w:shd w:val="clear" w:color="auto" w:fill="BFBFBF"/>
      <w:spacing w:before="100" w:beforeAutospacing="1" w:after="100" w:afterAutospacing="1"/>
    </w:pPr>
    <w:rPr>
      <w:sz w:val="24"/>
    </w:rPr>
  </w:style>
  <w:style w:type="paragraph" w:customStyle="1" w:styleId="layoutdirectorybreadcrumb2">
    <w:name w:val="layout_directorybreadcrumb2"/>
    <w:basedOn w:val="Normal"/>
    <w:pPr>
      <w:spacing w:before="100" w:beforeAutospacing="1" w:after="240"/>
    </w:pPr>
    <w:rPr>
      <w:sz w:val="24"/>
    </w:rPr>
  </w:style>
  <w:style w:type="paragraph" w:customStyle="1" w:styleId="layoutdirectoryscanwebview2">
    <w:name w:val="layout_directoryscanwebview2"/>
    <w:basedOn w:val="Normal"/>
    <w:pPr>
      <w:spacing w:before="100" w:beforeAutospacing="1" w:after="240"/>
    </w:pPr>
    <w:rPr>
      <w:sz w:val="24"/>
    </w:rPr>
  </w:style>
  <w:style w:type="paragraph" w:customStyle="1" w:styleId="layoutdirectoryscantopwebview2">
    <w:name w:val="layout_directoryscantopwebview2"/>
    <w:basedOn w:val="Normal"/>
    <w:pPr>
      <w:spacing w:before="100" w:beforeAutospacing="1" w:after="480"/>
    </w:pPr>
    <w:rPr>
      <w:sz w:val="24"/>
    </w:rPr>
  </w:style>
  <w:style w:type="paragraph" w:customStyle="1" w:styleId="layoutdirectorycontrol2">
    <w:name w:val="layout_directorycontrol2"/>
    <w:basedOn w:val="Normal"/>
    <w:pPr>
      <w:spacing w:before="240" w:after="100" w:afterAutospacing="1"/>
    </w:pPr>
    <w:rPr>
      <w:sz w:val="24"/>
    </w:rPr>
  </w:style>
  <w:style w:type="paragraph" w:customStyle="1" w:styleId="layoutdirectoryscantopview2">
    <w:name w:val="layout_directoryscantopview2"/>
    <w:basedOn w:val="Normal"/>
    <w:pPr>
      <w:spacing w:before="100" w:beforeAutospacing="1" w:after="480"/>
    </w:pPr>
    <w:rPr>
      <w:sz w:val="24"/>
    </w:rPr>
  </w:style>
  <w:style w:type="paragraph" w:customStyle="1" w:styleId="layoutscanbreadcrumbpanel2">
    <w:name w:val="layout_scanbreadcrumbpanel2"/>
    <w:basedOn w:val="Normal"/>
    <w:pPr>
      <w:spacing w:before="100" w:beforeAutospacing="1" w:after="240"/>
    </w:pPr>
    <w:rPr>
      <w:sz w:val="24"/>
    </w:rPr>
  </w:style>
  <w:style w:type="paragraph" w:customStyle="1" w:styleId="layoutscanpanel2">
    <w:name w:val="layout_scanpanel2"/>
    <w:basedOn w:val="Normal"/>
    <w:pPr>
      <w:spacing w:before="100" w:beforeAutospacing="1" w:after="240"/>
    </w:pPr>
    <w:rPr>
      <w:sz w:val="24"/>
    </w:rPr>
  </w:style>
  <w:style w:type="paragraph" w:customStyle="1" w:styleId="signoffthankyoulawschool2">
    <w:name w:val="signoffthankyoulawschool2"/>
    <w:basedOn w:val="Normal"/>
    <w:pPr>
      <w:spacing w:before="100" w:beforeAutospacing="1" w:after="100" w:afterAutospacing="1"/>
    </w:pPr>
    <w:rPr>
      <w:color w:val="00018D"/>
      <w:sz w:val="18"/>
      <w:szCs w:val="18"/>
    </w:rPr>
  </w:style>
  <w:style w:type="character" w:customStyle="1" w:styleId="adheader3">
    <w:name w:val="adheader3"/>
    <w:basedOn w:val="DefaultParagraphFont"/>
    <w:rPr>
      <w:vanish w:val="0"/>
      <w:webHidden w:val="0"/>
      <w:specVanish w:val="0"/>
    </w:rPr>
  </w:style>
  <w:style w:type="character" w:customStyle="1" w:styleId="adheader4">
    <w:name w:val="adheader4"/>
    <w:basedOn w:val="DefaultParagraphFont"/>
    <w:rPr>
      <w:b/>
      <w:bCs/>
      <w:color w:val="2D5198"/>
      <w:sz w:val="24"/>
      <w:szCs w:val="24"/>
    </w:rPr>
  </w:style>
  <w:style w:type="paragraph" w:customStyle="1" w:styleId="layoutsignoffsimplebilling2">
    <w:name w:val="layout_signoffsimplebilling2"/>
    <w:basedOn w:val="Normal"/>
    <w:pPr>
      <w:spacing w:before="100" w:beforeAutospacing="1" w:after="100" w:afterAutospacing="1"/>
    </w:pPr>
    <w:rPr>
      <w:szCs w:val="20"/>
    </w:rPr>
  </w:style>
  <w:style w:type="paragraph" w:customStyle="1" w:styleId="layoutsignoffsecondarycontent2">
    <w:name w:val="layout_signoffsecondarycontent2"/>
    <w:basedOn w:val="Normal"/>
    <w:pPr>
      <w:spacing w:before="100" w:beforeAutospacing="1" w:after="100" w:afterAutospacing="1"/>
    </w:pPr>
    <w:rPr>
      <w:sz w:val="24"/>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character" w:customStyle="1" w:styleId="nonproportionaltextfont1">
    <w:name w:val="nonproportionaltextfont1"/>
    <w:basedOn w:val="DefaultParagraphFont"/>
    <w:rPr>
      <w:rFonts w:ascii="Courier" w:hAnsi="Courier" w:hint="default"/>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customStyle="1" w:styleId="QS10">
    <w:name w:val="QS1"/>
    <w:aliases w:val="Quote Single 1,*Quote Single 1"/>
    <w:basedOn w:val="Normal"/>
    <w:link w:val="QS1Char1"/>
    <w:qFormat/>
    <w:rsid w:val="00D93CA8"/>
    <w:pPr>
      <w:spacing w:after="240"/>
      <w:ind w:left="1440" w:right="1440"/>
      <w:jc w:val="both"/>
    </w:pPr>
    <w:rPr>
      <w:bCs w:val="0"/>
    </w:rPr>
  </w:style>
  <w:style w:type="character" w:styleId="Emphasis">
    <w:name w:val="Emphasis"/>
    <w:basedOn w:val="DefaultParagraphFont"/>
    <w:uiPriority w:val="20"/>
    <w:qFormat/>
    <w:rPr>
      <w:i/>
      <w:iCs/>
    </w:rPr>
  </w:style>
  <w:style w:type="paragraph" w:customStyle="1" w:styleId="bs">
    <w:name w:val="bs"/>
    <w:basedOn w:val="Heading3"/>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informationalsmall3">
    <w:name w:val="informationalsmall3"/>
    <w:basedOn w:val="DefaultParagraphFont"/>
    <w:rPr>
      <w:rFonts w:ascii="Verdana" w:hAnsi="Verdana" w:hint="default"/>
      <w:sz w:val="14"/>
      <w:szCs w:val="14"/>
    </w:rPr>
  </w:style>
  <w:style w:type="paragraph" w:customStyle="1" w:styleId="BS0">
    <w:name w:val="BS"/>
    <w:aliases w:val="Body Single"/>
    <w:basedOn w:val="Normal"/>
    <w:link w:val="BSChar1"/>
    <w:qFormat/>
    <w:pPr>
      <w:spacing w:after="240"/>
    </w:pPr>
  </w:style>
  <w:style w:type="paragraph" w:customStyle="1" w:styleId="Numbered155">
    <w:name w:val="*Numbered 1 .5/.5"/>
    <w:aliases w:val="N155,List 1 @.5"/>
    <w:basedOn w:val="Normal"/>
    <w:link w:val="N155Char"/>
    <w:qFormat/>
    <w:pPr>
      <w:spacing w:after="240"/>
    </w:pPr>
    <w:rPr>
      <w:bCs w:val="0"/>
    </w:rPr>
  </w:style>
  <w:style w:type="paragraph" w:customStyle="1" w:styleId="Numbered150">
    <w:name w:val="*Numbered 1 .5/0"/>
    <w:aliases w:val="N150,List 1 @0"/>
    <w:basedOn w:val="Normal"/>
    <w:link w:val="N150Char"/>
    <w:qFormat/>
    <w:pPr>
      <w:spacing w:after="240"/>
    </w:pPr>
    <w:rPr>
      <w:bCs w:val="0"/>
    </w:rPr>
  </w:style>
  <w:style w:type="character" w:customStyle="1" w:styleId="Heading2Char">
    <w:name w:val="Heading 2 Char"/>
    <w:basedOn w:val="DefaultParagraphFont"/>
    <w:link w:val="Heading20"/>
    <w:uiPriority w:val="9"/>
    <w:rsid w:val="00A37789"/>
    <w:rPr>
      <w:snapToGrid w:val="0"/>
      <w:szCs w:val="24"/>
    </w:rPr>
  </w:style>
  <w:style w:type="paragraph" w:customStyle="1" w:styleId="LFLevel1">
    <w:name w:val="LF Level 1"/>
    <w:basedOn w:val="Normal"/>
    <w:rsid w:val="00321B6C"/>
    <w:pPr>
      <w:numPr>
        <w:numId w:val="7"/>
      </w:numPr>
      <w:spacing w:after="240"/>
      <w:outlineLvl w:val="0"/>
    </w:pPr>
    <w:rPr>
      <w:rFonts w:ascii="Times New Roman Bold" w:eastAsia="MS Mincho" w:hAnsi="Times New Roman Bold"/>
      <w:b/>
      <w:szCs w:val="20"/>
    </w:rPr>
  </w:style>
  <w:style w:type="character" w:customStyle="1" w:styleId="QS5Char">
    <w:name w:val="QS5 Char"/>
    <w:aliases w:val="Quote Single 5 Char"/>
    <w:basedOn w:val="DefaultParagraphFont"/>
    <w:link w:val="QS5"/>
    <w:rPr>
      <w:bCs/>
      <w:szCs w:val="24"/>
    </w:rPr>
  </w:style>
  <w:style w:type="paragraph" w:customStyle="1" w:styleId="BulletListIndent5">
    <w:name w:val="*Bullet List Indent .5"/>
    <w:aliases w:val="NB5,Bullet @.5"/>
    <w:basedOn w:val="Normal"/>
    <w:link w:val="NB5Char"/>
    <w:qFormat/>
    <w:pPr>
      <w:numPr>
        <w:numId w:val="5"/>
      </w:numPr>
      <w:spacing w:after="240"/>
    </w:pPr>
    <w:rPr>
      <w:bCs w:val="0"/>
    </w:rPr>
  </w:style>
  <w:style w:type="paragraph" w:customStyle="1" w:styleId="Heading22">
    <w:name w:val="Heading2"/>
    <w:basedOn w:val="BSI5"/>
    <w:rPr>
      <w:b/>
      <w:u w:val="single"/>
    </w:rPr>
  </w:style>
  <w:style w:type="paragraph" w:customStyle="1" w:styleId="Hbody2">
    <w:name w:val="Hbody 2"/>
    <w:basedOn w:val="Normal"/>
    <w:pPr>
      <w:suppressAutoHyphens/>
      <w:spacing w:after="240" w:line="360" w:lineRule="auto"/>
      <w:ind w:firstLine="720"/>
    </w:pPr>
    <w:rPr>
      <w:bCs w:val="0"/>
      <w:snapToGrid w:val="0"/>
    </w:rPr>
  </w:style>
  <w:style w:type="character" w:customStyle="1" w:styleId="TitleCChar">
    <w:name w:val="*Title C Char"/>
    <w:aliases w:val="TC Char,Title C Char"/>
    <w:basedOn w:val="DefaultParagraphFont"/>
    <w:link w:val="TitleC"/>
    <w:rPr>
      <w:szCs w:val="24"/>
      <w:lang w:val="en-US" w:eastAsia="en-US" w:bidi="ar-SA"/>
    </w:rPr>
  </w:style>
  <w:style w:type="character" w:customStyle="1" w:styleId="documentbody5">
    <w:name w:val="documentbody5"/>
    <w:basedOn w:val="DefaultParagraphFont"/>
    <w:rPr>
      <w:rFonts w:ascii="Verdana" w:hAnsi="Verdana" w:hint="default"/>
      <w:sz w:val="19"/>
      <w:szCs w:val="19"/>
    </w:rPr>
  </w:style>
  <w:style w:type="character" w:customStyle="1" w:styleId="searchterm3">
    <w:name w:val="searchterm3"/>
    <w:basedOn w:val="DefaultParagraphFont"/>
    <w:rPr>
      <w:b/>
      <w:bCs/>
      <w:shd w:val="clear" w:color="auto" w:fill="FFFF00"/>
    </w:rPr>
  </w:style>
  <w:style w:type="paragraph" w:customStyle="1" w:styleId="Heading10">
    <w:name w:val="Heading1"/>
    <w:basedOn w:val="Normal"/>
    <w:pPr>
      <w:suppressAutoHyphens/>
      <w:spacing w:after="240" w:line="360" w:lineRule="auto"/>
      <w:ind w:firstLine="720"/>
    </w:pPr>
    <w:rPr>
      <w:bCs w:val="0"/>
      <w:snapToGrid w:val="0"/>
    </w:rPr>
  </w:style>
  <w:style w:type="character" w:customStyle="1" w:styleId="listitemlarge1">
    <w:name w:val="listitemlarge1"/>
    <w:basedOn w:val="DefaultParagraphFont"/>
    <w:rPr>
      <w:rFonts w:ascii="Verdana" w:hAnsi="Verdana" w:hint="default"/>
      <w:sz w:val="19"/>
      <w:szCs w:val="19"/>
    </w:rPr>
  </w:style>
  <w:style w:type="paragraph" w:customStyle="1" w:styleId="Hbody5">
    <w:name w:val="Hbody5"/>
    <w:basedOn w:val="Heading20"/>
  </w:style>
  <w:style w:type="paragraph" w:customStyle="1" w:styleId="HBody20">
    <w:name w:val="HBody2'"/>
    <w:basedOn w:val="Normal"/>
  </w:style>
  <w:style w:type="paragraph" w:customStyle="1" w:styleId="Heagind2">
    <w:name w:val="Heagind 2"/>
    <w:basedOn w:val="Normal"/>
    <w:rPr>
      <w:u w:val="single"/>
    </w:rPr>
  </w:style>
  <w:style w:type="paragraph" w:customStyle="1" w:styleId="Hbody3">
    <w:name w:val="Hbody3"/>
    <w:basedOn w:val="Normal"/>
  </w:style>
  <w:style w:type="paragraph" w:customStyle="1" w:styleId="Heading54">
    <w:name w:val="Heading 5=4"/>
    <w:basedOn w:val="BodySingle1"/>
    <w:rPr>
      <w:sz w:val="24"/>
    </w:rPr>
  </w:style>
  <w:style w:type="paragraph" w:customStyle="1" w:styleId="NumberedA05">
    <w:name w:val="*Numbered A 0/.5"/>
    <w:aliases w:val="NA05"/>
    <w:basedOn w:val="Normal"/>
    <w:pPr>
      <w:numPr>
        <w:numId w:val="6"/>
      </w:numPr>
      <w:spacing w:after="240"/>
    </w:pPr>
    <w:rPr>
      <w:sz w:val="24"/>
    </w:rPr>
  </w:style>
  <w:style w:type="character" w:customStyle="1" w:styleId="informationalsmall4">
    <w:name w:val="informationalsmall4"/>
    <w:basedOn w:val="DefaultParagraphFont"/>
    <w:rPr>
      <w:rFonts w:ascii="Verdana" w:hAnsi="Verdana" w:hint="default"/>
      <w:sz w:val="14"/>
      <w:szCs w:val="14"/>
    </w:rPr>
  </w:style>
  <w:style w:type="paragraph" w:customStyle="1" w:styleId="LFLevel2">
    <w:name w:val="LF Level 2"/>
    <w:basedOn w:val="Normal"/>
    <w:rsid w:val="00321B6C"/>
    <w:pPr>
      <w:numPr>
        <w:ilvl w:val="1"/>
        <w:numId w:val="7"/>
      </w:numPr>
      <w:spacing w:after="240"/>
      <w:outlineLvl w:val="1"/>
    </w:pPr>
    <w:rPr>
      <w:rFonts w:eastAsia="MS Mincho"/>
      <w:szCs w:val="20"/>
    </w:rPr>
  </w:style>
  <w:style w:type="paragraph" w:customStyle="1" w:styleId="LFLevel3">
    <w:name w:val="LF Level 3"/>
    <w:basedOn w:val="Normal"/>
    <w:rsid w:val="002A2547"/>
    <w:pPr>
      <w:numPr>
        <w:ilvl w:val="2"/>
        <w:numId w:val="7"/>
      </w:numPr>
      <w:spacing w:after="240" w:line="360" w:lineRule="auto"/>
      <w:jc w:val="both"/>
      <w:outlineLvl w:val="2"/>
    </w:pPr>
    <w:rPr>
      <w:rFonts w:eastAsia="MS Mincho"/>
      <w:szCs w:val="20"/>
    </w:rPr>
  </w:style>
  <w:style w:type="paragraph" w:customStyle="1" w:styleId="LFLevel4">
    <w:name w:val="LF Level 4"/>
    <w:basedOn w:val="Normal"/>
    <w:rsid w:val="00E12C3A"/>
    <w:pPr>
      <w:numPr>
        <w:ilvl w:val="3"/>
        <w:numId w:val="7"/>
      </w:numPr>
      <w:spacing w:after="240" w:line="360" w:lineRule="auto"/>
      <w:jc w:val="both"/>
      <w:outlineLvl w:val="3"/>
    </w:pPr>
    <w:rPr>
      <w:rFonts w:eastAsia="MS Mincho"/>
      <w:szCs w:val="20"/>
    </w:rPr>
  </w:style>
  <w:style w:type="paragraph" w:customStyle="1" w:styleId="LFLevel5">
    <w:name w:val="LF Level 5"/>
    <w:basedOn w:val="Normal"/>
    <w:rsid w:val="00C5310F"/>
    <w:pPr>
      <w:numPr>
        <w:ilvl w:val="4"/>
        <w:numId w:val="7"/>
      </w:numPr>
      <w:spacing w:after="240" w:line="360" w:lineRule="auto"/>
      <w:outlineLvl w:val="4"/>
    </w:pPr>
    <w:rPr>
      <w:rFonts w:eastAsia="MS Mincho"/>
      <w:szCs w:val="20"/>
    </w:rPr>
  </w:style>
  <w:style w:type="paragraph" w:customStyle="1" w:styleId="LFLevel6">
    <w:name w:val="LF Level 6"/>
    <w:basedOn w:val="Normal"/>
    <w:rsid w:val="003C0C06"/>
    <w:pPr>
      <w:numPr>
        <w:ilvl w:val="5"/>
        <w:numId w:val="7"/>
      </w:numPr>
      <w:spacing w:after="240" w:line="360" w:lineRule="auto"/>
      <w:outlineLvl w:val="5"/>
    </w:pPr>
    <w:rPr>
      <w:rFonts w:eastAsia="MS Mincho"/>
      <w:szCs w:val="20"/>
    </w:rPr>
  </w:style>
  <w:style w:type="paragraph" w:customStyle="1" w:styleId="LFLevel7">
    <w:name w:val="LF Level 7"/>
    <w:basedOn w:val="Normal"/>
    <w:pPr>
      <w:numPr>
        <w:ilvl w:val="6"/>
        <w:numId w:val="7"/>
      </w:numPr>
      <w:spacing w:after="240"/>
      <w:outlineLvl w:val="6"/>
    </w:pPr>
    <w:rPr>
      <w:rFonts w:eastAsia="MS Mincho"/>
      <w:sz w:val="24"/>
      <w:szCs w:val="20"/>
    </w:rPr>
  </w:style>
  <w:style w:type="paragraph" w:customStyle="1" w:styleId="LFLevel8">
    <w:name w:val="LF Level 8"/>
    <w:basedOn w:val="Normal"/>
    <w:pPr>
      <w:numPr>
        <w:ilvl w:val="7"/>
        <w:numId w:val="7"/>
      </w:numPr>
      <w:spacing w:after="240"/>
      <w:outlineLvl w:val="7"/>
    </w:pPr>
    <w:rPr>
      <w:rFonts w:eastAsia="MS Mincho"/>
      <w:sz w:val="24"/>
      <w:szCs w:val="20"/>
    </w:rPr>
  </w:style>
  <w:style w:type="paragraph" w:customStyle="1" w:styleId="LFLevel9">
    <w:name w:val="LF Level 9"/>
    <w:basedOn w:val="Normal"/>
    <w:pPr>
      <w:numPr>
        <w:ilvl w:val="8"/>
        <w:numId w:val="7"/>
      </w:numPr>
      <w:spacing w:after="240"/>
      <w:outlineLvl w:val="8"/>
    </w:pPr>
    <w:rPr>
      <w:rFonts w:eastAsia="MS Mincho"/>
      <w:sz w:val="24"/>
      <w:szCs w:val="20"/>
    </w:rPr>
  </w:style>
  <w:style w:type="paragraph" w:customStyle="1" w:styleId="HBody21">
    <w:name w:val="HBody2"/>
    <w:basedOn w:val="Heading20"/>
    <w:next w:val="Heading20"/>
    <w:link w:val="HBody2CharChar"/>
    <w:pPr>
      <w:numPr>
        <w:ilvl w:val="0"/>
        <w:numId w:val="0"/>
      </w:numPr>
      <w:ind w:firstLine="720"/>
      <w:outlineLvl w:val="9"/>
    </w:pPr>
  </w:style>
  <w:style w:type="paragraph" w:customStyle="1" w:styleId="H3">
    <w:name w:val="H3"/>
    <w:basedOn w:val="Normal"/>
    <w:next w:val="Normal"/>
    <w:pPr>
      <w:keepNext/>
      <w:autoSpaceDE w:val="0"/>
      <w:autoSpaceDN w:val="0"/>
      <w:adjustRightInd w:val="0"/>
      <w:spacing w:before="100" w:after="100"/>
      <w:outlineLvl w:val="3"/>
    </w:pPr>
    <w:rPr>
      <w:b/>
      <w:bCs w:val="0"/>
      <w:sz w:val="28"/>
      <w:szCs w:val="28"/>
    </w:rPr>
  </w:style>
  <w:style w:type="paragraph" w:customStyle="1" w:styleId="Blockquote">
    <w:name w:val="Blockquote"/>
    <w:basedOn w:val="Normal"/>
    <w:pPr>
      <w:autoSpaceDE w:val="0"/>
      <w:autoSpaceDN w:val="0"/>
      <w:adjustRightInd w:val="0"/>
      <w:spacing w:before="100" w:after="100"/>
      <w:ind w:left="360" w:right="360"/>
    </w:pPr>
    <w:rPr>
      <w:sz w:val="24"/>
    </w:rPr>
  </w:style>
  <w:style w:type="paragraph" w:customStyle="1" w:styleId="body150">
    <w:name w:val="body15"/>
    <w:basedOn w:val="Normal"/>
    <w:pPr>
      <w:spacing w:before="100" w:beforeAutospacing="1" w:after="100" w:afterAutospacing="1"/>
    </w:pPr>
    <w:rPr>
      <w:sz w:val="24"/>
    </w:rPr>
  </w:style>
  <w:style w:type="paragraph" w:customStyle="1" w:styleId="quotesingle1">
    <w:name w:val="quotesingle1"/>
    <w:basedOn w:val="Normal"/>
    <w:pPr>
      <w:spacing w:before="100" w:beforeAutospacing="1" w:after="100" w:afterAutospacing="1"/>
    </w:pPr>
    <w:rPr>
      <w:sz w:val="24"/>
    </w:rPr>
  </w:style>
  <w:style w:type="character" w:customStyle="1" w:styleId="enumbell1">
    <w:name w:val="enumbell1"/>
    <w:basedOn w:val="DefaultParagraphFont"/>
    <w:rPr>
      <w:b/>
      <w:bCs/>
    </w:rPr>
  </w:style>
  <w:style w:type="character" w:customStyle="1" w:styleId="ptext-25">
    <w:name w:val="ptext-25"/>
    <w:basedOn w:val="DefaultParagraphFont"/>
  </w:style>
  <w:style w:type="character" w:customStyle="1" w:styleId="HBody2CharChar">
    <w:name w:val="HBody2 Char Char"/>
    <w:basedOn w:val="DefaultParagraphFont"/>
    <w:link w:val="HBody21"/>
    <w:rPr>
      <w:bCs/>
      <w:snapToGrid w:val="0"/>
      <w:szCs w:val="24"/>
      <w:lang w:val="en-US" w:eastAsia="en-US" w:bidi="ar-SA"/>
    </w:rPr>
  </w:style>
  <w:style w:type="paragraph" w:customStyle="1" w:styleId="10sp0">
    <w:name w:val="_1.0sp 0&quot;"/>
    <w:basedOn w:val="Normal"/>
    <w:link w:val="10sp0Char"/>
    <w:pPr>
      <w:suppressAutoHyphens/>
      <w:spacing w:after="240"/>
    </w:pPr>
    <w:rPr>
      <w:rFonts w:eastAsia="SimSun"/>
      <w:sz w:val="24"/>
      <w:szCs w:val="20"/>
    </w:rPr>
  </w:style>
  <w:style w:type="paragraph" w:customStyle="1" w:styleId="10spLeftInd1">
    <w:name w:val="_1.0sp Left Ind 1&quot;"/>
    <w:basedOn w:val="Normal"/>
    <w:pPr>
      <w:suppressAutoHyphens/>
      <w:spacing w:after="240"/>
      <w:ind w:left="1440"/>
    </w:pPr>
    <w:rPr>
      <w:rFonts w:eastAsia="SimSun"/>
      <w:sz w:val="24"/>
      <w:szCs w:val="20"/>
    </w:rPr>
  </w:style>
  <w:style w:type="paragraph" w:customStyle="1" w:styleId="Level1">
    <w:name w:val="Level 1"/>
    <w:basedOn w:val="Normal"/>
    <w:pPr>
      <w:keepNext/>
      <w:keepLines/>
      <w:numPr>
        <w:numId w:val="9"/>
      </w:numPr>
      <w:suppressAutoHyphens/>
      <w:spacing w:after="240"/>
      <w:outlineLvl w:val="0"/>
    </w:pPr>
    <w:rPr>
      <w:rFonts w:eastAsia="SimSun"/>
      <w:sz w:val="24"/>
      <w:szCs w:val="20"/>
    </w:rPr>
  </w:style>
  <w:style w:type="paragraph" w:customStyle="1" w:styleId="Level2">
    <w:name w:val="Level 2"/>
    <w:basedOn w:val="Normal"/>
    <w:pPr>
      <w:keepNext/>
      <w:keepLines/>
      <w:numPr>
        <w:ilvl w:val="1"/>
        <w:numId w:val="9"/>
      </w:numPr>
      <w:suppressAutoHyphens/>
      <w:spacing w:after="240"/>
      <w:outlineLvl w:val="1"/>
    </w:pPr>
    <w:rPr>
      <w:rFonts w:eastAsia="SimSun"/>
      <w:sz w:val="24"/>
      <w:szCs w:val="20"/>
      <w:u w:val="single"/>
    </w:rPr>
  </w:style>
  <w:style w:type="paragraph" w:customStyle="1" w:styleId="Level3">
    <w:name w:val="Level 3"/>
    <w:basedOn w:val="Normal"/>
    <w:pPr>
      <w:numPr>
        <w:ilvl w:val="2"/>
        <w:numId w:val="9"/>
      </w:numPr>
      <w:tabs>
        <w:tab w:val="clear" w:pos="2160"/>
      </w:tabs>
      <w:suppressAutoHyphens/>
      <w:spacing w:after="240"/>
      <w:outlineLvl w:val="2"/>
    </w:pPr>
    <w:rPr>
      <w:rFonts w:eastAsia="SimSun"/>
      <w:sz w:val="24"/>
      <w:szCs w:val="20"/>
    </w:rPr>
  </w:style>
  <w:style w:type="paragraph" w:customStyle="1" w:styleId="Level4">
    <w:name w:val="Level 4"/>
    <w:basedOn w:val="Normal"/>
    <w:pPr>
      <w:numPr>
        <w:ilvl w:val="3"/>
        <w:numId w:val="9"/>
      </w:numPr>
      <w:tabs>
        <w:tab w:val="clear" w:pos="2880"/>
      </w:tabs>
      <w:suppressAutoHyphens/>
      <w:spacing w:after="240"/>
      <w:outlineLvl w:val="3"/>
    </w:pPr>
    <w:rPr>
      <w:rFonts w:eastAsia="SimSun"/>
      <w:sz w:val="24"/>
      <w:szCs w:val="20"/>
    </w:rPr>
  </w:style>
  <w:style w:type="paragraph" w:customStyle="1" w:styleId="Level5">
    <w:name w:val="Level 5"/>
    <w:basedOn w:val="Normal"/>
    <w:pPr>
      <w:numPr>
        <w:ilvl w:val="4"/>
        <w:numId w:val="9"/>
      </w:numPr>
      <w:tabs>
        <w:tab w:val="clear" w:pos="3600"/>
      </w:tabs>
      <w:suppressAutoHyphens/>
      <w:spacing w:after="240"/>
      <w:outlineLvl w:val="4"/>
    </w:pPr>
    <w:rPr>
      <w:rFonts w:eastAsia="SimSun"/>
      <w:sz w:val="24"/>
      <w:szCs w:val="20"/>
    </w:rPr>
  </w:style>
  <w:style w:type="paragraph" w:customStyle="1" w:styleId="Level6">
    <w:name w:val="Level 6"/>
    <w:basedOn w:val="Normal"/>
    <w:pPr>
      <w:numPr>
        <w:ilvl w:val="5"/>
        <w:numId w:val="9"/>
      </w:numPr>
      <w:tabs>
        <w:tab w:val="clear" w:pos="4320"/>
      </w:tabs>
      <w:suppressAutoHyphens/>
      <w:spacing w:after="240"/>
      <w:outlineLvl w:val="5"/>
    </w:pPr>
    <w:rPr>
      <w:rFonts w:eastAsia="SimSun"/>
      <w:sz w:val="24"/>
      <w:szCs w:val="20"/>
    </w:rPr>
  </w:style>
  <w:style w:type="paragraph" w:customStyle="1" w:styleId="Level7">
    <w:name w:val="Level 7"/>
    <w:basedOn w:val="Normal"/>
    <w:pPr>
      <w:numPr>
        <w:ilvl w:val="6"/>
        <w:numId w:val="9"/>
      </w:numPr>
      <w:tabs>
        <w:tab w:val="clear" w:pos="5040"/>
      </w:tabs>
      <w:suppressAutoHyphens/>
      <w:spacing w:after="240"/>
      <w:outlineLvl w:val="6"/>
    </w:pPr>
    <w:rPr>
      <w:rFonts w:eastAsia="SimSun"/>
      <w:sz w:val="24"/>
      <w:szCs w:val="20"/>
    </w:rPr>
  </w:style>
  <w:style w:type="paragraph" w:customStyle="1" w:styleId="Level8">
    <w:name w:val="Level 8"/>
    <w:basedOn w:val="Normal"/>
    <w:pPr>
      <w:numPr>
        <w:ilvl w:val="7"/>
        <w:numId w:val="9"/>
      </w:numPr>
      <w:tabs>
        <w:tab w:val="clear" w:pos="5760"/>
      </w:tabs>
      <w:suppressAutoHyphens/>
      <w:spacing w:after="240"/>
      <w:outlineLvl w:val="7"/>
    </w:pPr>
    <w:rPr>
      <w:rFonts w:eastAsia="SimSun"/>
      <w:sz w:val="24"/>
      <w:szCs w:val="20"/>
    </w:rPr>
  </w:style>
  <w:style w:type="paragraph" w:customStyle="1" w:styleId="Level9">
    <w:name w:val="Level 9"/>
    <w:basedOn w:val="Normal"/>
    <w:pPr>
      <w:numPr>
        <w:ilvl w:val="8"/>
        <w:numId w:val="9"/>
      </w:numPr>
      <w:tabs>
        <w:tab w:val="clear" w:pos="6480"/>
      </w:tabs>
      <w:suppressAutoHyphens/>
      <w:spacing w:after="240"/>
      <w:outlineLvl w:val="8"/>
    </w:pPr>
    <w:rPr>
      <w:rFonts w:eastAsia="SimSun"/>
      <w:sz w:val="24"/>
      <w:szCs w:val="20"/>
    </w:rPr>
  </w:style>
  <w:style w:type="character" w:customStyle="1" w:styleId="10sp0Char">
    <w:name w:val="_1.0sp 0&quot; Char"/>
    <w:basedOn w:val="DefaultParagraphFont"/>
    <w:link w:val="10sp0"/>
    <w:rPr>
      <w:rFonts w:eastAsia="SimSun"/>
      <w:sz w:val="24"/>
      <w:lang w:val="en-US" w:eastAsia="en-US" w:bidi="ar-SA"/>
    </w:rPr>
  </w:style>
  <w:style w:type="paragraph" w:customStyle="1" w:styleId="qs20">
    <w:name w:val="qs20"/>
    <w:basedOn w:val="QS10"/>
  </w:style>
  <w:style w:type="paragraph" w:customStyle="1" w:styleId="body11">
    <w:name w:val="body11"/>
    <w:basedOn w:val="Normal"/>
    <w:pPr>
      <w:spacing w:before="100" w:beforeAutospacing="1" w:after="100" w:afterAutospacing="1"/>
    </w:pPr>
    <w:rPr>
      <w:sz w:val="24"/>
    </w:rPr>
  </w:style>
  <w:style w:type="paragraph" w:customStyle="1" w:styleId="CM7">
    <w:name w:val="CM7"/>
    <w:basedOn w:val="Default"/>
    <w:next w:val="Default"/>
    <w:uiPriority w:val="99"/>
    <w:pPr>
      <w:spacing w:line="218" w:lineRule="atLeast"/>
    </w:pPr>
    <w:rPr>
      <w:rFonts w:ascii="Century Schoolbook" w:hAnsi="Century Schoolbook" w:cs="Times New Roman"/>
      <w:color w:val="auto"/>
    </w:rPr>
  </w:style>
  <w:style w:type="paragraph" w:customStyle="1" w:styleId="CM22">
    <w:name w:val="CM22"/>
    <w:basedOn w:val="Default"/>
    <w:next w:val="Default"/>
    <w:uiPriority w:val="99"/>
    <w:rPr>
      <w:rFonts w:ascii="Century Schoolbook" w:hAnsi="Century Schoolbook" w:cs="Times New Roman"/>
      <w:color w:val="auto"/>
    </w:rPr>
  </w:style>
  <w:style w:type="paragraph" w:customStyle="1" w:styleId="CM6">
    <w:name w:val="CM6"/>
    <w:basedOn w:val="Default"/>
    <w:next w:val="Default"/>
    <w:pPr>
      <w:spacing w:line="218" w:lineRule="atLeast"/>
    </w:pPr>
    <w:rPr>
      <w:rFonts w:ascii="Century Schoolbook" w:hAnsi="Century Schoolbook" w:cs="Times New Roman"/>
      <w:color w:val="auto"/>
    </w:rPr>
  </w:style>
  <w:style w:type="paragraph" w:customStyle="1" w:styleId="CM20">
    <w:name w:val="CM20"/>
    <w:basedOn w:val="Default"/>
    <w:next w:val="Default"/>
    <w:rPr>
      <w:rFonts w:ascii="Century Schoolbook" w:hAnsi="Century Schoolbook" w:cs="Times New Roman"/>
      <w:color w:val="auto"/>
    </w:rPr>
  </w:style>
  <w:style w:type="character" w:customStyle="1" w:styleId="BalloonTextChar">
    <w:name w:val="Balloon Text Char"/>
    <w:basedOn w:val="DefaultParagraphFont"/>
    <w:link w:val="BalloonText"/>
    <w:uiPriority w:val="99"/>
    <w:locked/>
    <w:rsid w:val="00A34326"/>
    <w:rPr>
      <w:rFonts w:ascii="Tahoma" w:hAnsi="Tahoma" w:cs="Tahoma"/>
      <w:sz w:val="16"/>
      <w:szCs w:val="16"/>
    </w:rPr>
  </w:style>
  <w:style w:type="character" w:customStyle="1" w:styleId="FooterChar">
    <w:name w:val="Footer Char"/>
    <w:basedOn w:val="DefaultParagraphFont"/>
    <w:link w:val="Footer"/>
    <w:uiPriority w:val="99"/>
    <w:locked/>
    <w:rsid w:val="00A34326"/>
    <w:rPr>
      <w:szCs w:val="24"/>
    </w:rPr>
  </w:style>
  <w:style w:type="character" w:customStyle="1" w:styleId="FootnoteTextChar">
    <w:name w:val="Footnote Text Char"/>
    <w:aliases w:val="fn Char,FT Char"/>
    <w:basedOn w:val="DefaultParagraphFont"/>
    <w:link w:val="FootnoteText"/>
    <w:uiPriority w:val="99"/>
    <w:locked/>
    <w:rsid w:val="00A34326"/>
    <w:rPr>
      <w:szCs w:val="24"/>
    </w:rPr>
  </w:style>
  <w:style w:type="paragraph" w:customStyle="1" w:styleId="BodyTextSingle">
    <w:name w:val="Body Text Single"/>
    <w:basedOn w:val="Normal"/>
    <w:uiPriority w:val="99"/>
    <w:rsid w:val="008059B8"/>
    <w:pPr>
      <w:spacing w:after="240"/>
      <w:ind w:right="29" w:firstLine="1440"/>
    </w:pPr>
    <w:rPr>
      <w:sz w:val="24"/>
    </w:rPr>
  </w:style>
  <w:style w:type="character" w:customStyle="1" w:styleId="HeaderChar">
    <w:name w:val="Header Char"/>
    <w:basedOn w:val="DefaultParagraphFont"/>
    <w:link w:val="Header"/>
    <w:uiPriority w:val="99"/>
    <w:locked/>
    <w:rsid w:val="00A34326"/>
    <w:rPr>
      <w:szCs w:val="24"/>
    </w:rPr>
  </w:style>
  <w:style w:type="character" w:customStyle="1" w:styleId="WPBodyBoldSan">
    <w:name w:val="WP_Body Bold San"/>
    <w:uiPriority w:val="99"/>
    <w:rsid w:val="008059B8"/>
    <w:rPr>
      <w:rFonts w:ascii="Frutiger-BoldCn" w:hAnsi="Frutiger-BoldCn"/>
      <w:b/>
      <w:spacing w:val="0"/>
      <w:w w:val="100"/>
      <w:sz w:val="19"/>
    </w:rPr>
  </w:style>
  <w:style w:type="paragraph" w:customStyle="1" w:styleId="WPFootnote">
    <w:name w:val="WP_Footnote"/>
    <w:basedOn w:val="Normal"/>
    <w:uiPriority w:val="99"/>
    <w:rsid w:val="008059B8"/>
    <w:pPr>
      <w:widowControl w:val="0"/>
      <w:tabs>
        <w:tab w:val="left" w:pos="120"/>
      </w:tabs>
      <w:suppressAutoHyphens/>
      <w:autoSpaceDE w:val="0"/>
      <w:autoSpaceDN w:val="0"/>
      <w:adjustRightInd w:val="0"/>
      <w:spacing w:after="36" w:line="180" w:lineRule="atLeast"/>
      <w:ind w:right="29"/>
      <w:textAlignment w:val="baseline"/>
    </w:pPr>
    <w:rPr>
      <w:rFonts w:ascii="Bembo-Italic" w:hAnsi="Bembo-Italic"/>
      <w:i/>
      <w:color w:val="000000"/>
      <w:sz w:val="16"/>
      <w:szCs w:val="16"/>
    </w:rPr>
  </w:style>
  <w:style w:type="character" w:customStyle="1" w:styleId="WPBodyFootnote">
    <w:name w:val="WP_Body Footnote #"/>
    <w:basedOn w:val="DefaultParagraphFont"/>
    <w:uiPriority w:val="99"/>
    <w:rsid w:val="008059B8"/>
    <w:rPr>
      <w:rFonts w:cs="Times New Roman"/>
      <w:outline/>
      <w:color w:val="000000"/>
      <w:position w:val="2"/>
      <w:sz w:val="18"/>
      <w:szCs w:val="18"/>
      <w:vertAlign w:val="superscript"/>
      <w14:textOutline w14:w="9525" w14:cap="flat" w14:cmpd="sng" w14:algn="ctr">
        <w14:solidFill>
          <w14:srgbClr w14:val="000000"/>
        </w14:solidFill>
        <w14:prstDash w14:val="solid"/>
        <w14:round/>
      </w14:textOutline>
      <w14:textFill>
        <w14:noFill/>
      </w14:textFill>
    </w:rPr>
  </w:style>
  <w:style w:type="character" w:customStyle="1" w:styleId="WPDisplayItalic">
    <w:name w:val="WP_Display Italic"/>
    <w:uiPriority w:val="99"/>
    <w:rsid w:val="008059B8"/>
    <w:rPr>
      <w:i/>
      <w:outline/>
      <w:color w:val="000000"/>
      <w14:textOutline w14:w="9525" w14:cap="flat" w14:cmpd="sng" w14:algn="ctr">
        <w14:solidFill>
          <w14:srgbClr w14:val="000000"/>
        </w14:solidFill>
        <w14:prstDash w14:val="solid"/>
        <w14:round/>
      </w14:textOutline>
      <w14:textFill>
        <w14:noFill/>
      </w14:textFill>
    </w:rPr>
  </w:style>
  <w:style w:type="character" w:customStyle="1" w:styleId="hit1">
    <w:name w:val="hit1"/>
    <w:basedOn w:val="DefaultParagraphFont"/>
    <w:uiPriority w:val="99"/>
    <w:rsid w:val="008059B8"/>
    <w:rPr>
      <w:rFonts w:cs="Times New Roman"/>
      <w:b/>
      <w:bCs/>
      <w:shd w:val="clear" w:color="auto" w:fill="CCCCCC"/>
    </w:rPr>
  </w:style>
  <w:style w:type="table" w:styleId="TableGrid5">
    <w:name w:val="Table Grid 5"/>
    <w:basedOn w:val="TableNormal"/>
    <w:uiPriority w:val="99"/>
    <w:rsid w:val="008059B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WPFootnotetext">
    <w:name w:val="WP_Footnote text"/>
    <w:basedOn w:val="WPFootnote"/>
    <w:uiPriority w:val="99"/>
    <w:rsid w:val="008059B8"/>
  </w:style>
  <w:style w:type="paragraph" w:styleId="ListParagraph">
    <w:name w:val="List Paragraph"/>
    <w:basedOn w:val="Normal"/>
    <w:uiPriority w:val="34"/>
    <w:qFormat/>
    <w:rsid w:val="00491E18"/>
    <w:pPr>
      <w:spacing w:after="240" w:line="360" w:lineRule="auto"/>
      <w:ind w:left="1440" w:right="72"/>
      <w:jc w:val="both"/>
    </w:pPr>
    <w:rPr>
      <w:lang w:eastAsia="en-GB"/>
    </w:rPr>
  </w:style>
  <w:style w:type="character" w:customStyle="1" w:styleId="EndnoteTextChar">
    <w:name w:val="Endnote Text Char"/>
    <w:basedOn w:val="DefaultParagraphFont"/>
    <w:link w:val="EndnoteText"/>
    <w:uiPriority w:val="99"/>
    <w:locked/>
    <w:rsid w:val="00A34326"/>
    <w:rPr>
      <w:rFonts w:ascii="Courier New" w:hAnsi="Courier New"/>
      <w:szCs w:val="24"/>
    </w:rPr>
  </w:style>
  <w:style w:type="paragraph" w:customStyle="1" w:styleId="OutlineL1">
    <w:name w:val="Outline_L1"/>
    <w:basedOn w:val="Normal"/>
    <w:next w:val="BodyText"/>
    <w:uiPriority w:val="99"/>
    <w:rsid w:val="008059B8"/>
    <w:pPr>
      <w:numPr>
        <w:numId w:val="11"/>
      </w:numPr>
      <w:spacing w:after="240"/>
      <w:outlineLvl w:val="0"/>
    </w:pPr>
    <w:rPr>
      <w:sz w:val="24"/>
      <w:szCs w:val="20"/>
    </w:rPr>
  </w:style>
  <w:style w:type="paragraph" w:customStyle="1" w:styleId="OutlineL2">
    <w:name w:val="Outline_L2"/>
    <w:basedOn w:val="OutlineL1"/>
    <w:next w:val="BodyText"/>
    <w:uiPriority w:val="99"/>
    <w:rsid w:val="008059B8"/>
    <w:pPr>
      <w:numPr>
        <w:ilvl w:val="1"/>
      </w:numPr>
      <w:outlineLvl w:val="1"/>
    </w:pPr>
  </w:style>
  <w:style w:type="paragraph" w:customStyle="1" w:styleId="OutlineL3">
    <w:name w:val="Outline_L3"/>
    <w:basedOn w:val="OutlineL2"/>
    <w:next w:val="BodyText"/>
    <w:uiPriority w:val="99"/>
    <w:rsid w:val="008059B8"/>
    <w:pPr>
      <w:numPr>
        <w:ilvl w:val="2"/>
      </w:numPr>
      <w:outlineLvl w:val="2"/>
    </w:pPr>
  </w:style>
  <w:style w:type="paragraph" w:customStyle="1" w:styleId="OutlineL4">
    <w:name w:val="Outline_L4"/>
    <w:basedOn w:val="OutlineL3"/>
    <w:next w:val="BodyText"/>
    <w:uiPriority w:val="99"/>
    <w:rsid w:val="008059B8"/>
    <w:pPr>
      <w:numPr>
        <w:ilvl w:val="3"/>
      </w:numPr>
      <w:outlineLvl w:val="3"/>
    </w:pPr>
  </w:style>
  <w:style w:type="paragraph" w:customStyle="1" w:styleId="OutlineL5">
    <w:name w:val="Outline_L5"/>
    <w:basedOn w:val="OutlineL4"/>
    <w:next w:val="BodyText"/>
    <w:uiPriority w:val="99"/>
    <w:rsid w:val="008059B8"/>
    <w:pPr>
      <w:numPr>
        <w:ilvl w:val="4"/>
      </w:numPr>
      <w:outlineLvl w:val="4"/>
    </w:pPr>
  </w:style>
  <w:style w:type="paragraph" w:customStyle="1" w:styleId="OutlineL6">
    <w:name w:val="Outline_L6"/>
    <w:basedOn w:val="OutlineL5"/>
    <w:next w:val="BodyText"/>
    <w:uiPriority w:val="99"/>
    <w:rsid w:val="008059B8"/>
    <w:pPr>
      <w:numPr>
        <w:ilvl w:val="5"/>
      </w:numPr>
      <w:outlineLvl w:val="5"/>
    </w:pPr>
  </w:style>
  <w:style w:type="paragraph" w:customStyle="1" w:styleId="OutlineL7">
    <w:name w:val="Outline_L7"/>
    <w:basedOn w:val="OutlineL6"/>
    <w:next w:val="BodyText"/>
    <w:uiPriority w:val="99"/>
    <w:rsid w:val="008059B8"/>
    <w:pPr>
      <w:numPr>
        <w:ilvl w:val="6"/>
      </w:numPr>
      <w:outlineLvl w:val="6"/>
    </w:pPr>
  </w:style>
  <w:style w:type="paragraph" w:customStyle="1" w:styleId="OutlineL8">
    <w:name w:val="Outline_L8"/>
    <w:basedOn w:val="OutlineL7"/>
    <w:next w:val="BodyText"/>
    <w:uiPriority w:val="99"/>
    <w:rsid w:val="008059B8"/>
    <w:pPr>
      <w:numPr>
        <w:ilvl w:val="7"/>
      </w:numPr>
      <w:outlineLvl w:val="7"/>
    </w:pPr>
  </w:style>
  <w:style w:type="paragraph" w:customStyle="1" w:styleId="OutlineL9">
    <w:name w:val="Outline_L9"/>
    <w:basedOn w:val="OutlineL8"/>
    <w:next w:val="BodyText"/>
    <w:uiPriority w:val="99"/>
    <w:rsid w:val="008059B8"/>
    <w:pPr>
      <w:numPr>
        <w:ilvl w:val="8"/>
      </w:numPr>
      <w:outlineLvl w:val="8"/>
    </w:pPr>
  </w:style>
  <w:style w:type="paragraph" w:styleId="BodyText">
    <w:name w:val="Body Text"/>
    <w:basedOn w:val="Normal"/>
    <w:link w:val="BodyTextChar"/>
    <w:qFormat/>
    <w:rsid w:val="008059B8"/>
    <w:pPr>
      <w:spacing w:after="120"/>
      <w:ind w:right="29"/>
    </w:pPr>
    <w:rPr>
      <w:sz w:val="24"/>
      <w:lang w:eastAsia="en-GB"/>
    </w:rPr>
  </w:style>
  <w:style w:type="character" w:customStyle="1" w:styleId="BodyTextChar">
    <w:name w:val="Body Text Char"/>
    <w:basedOn w:val="DefaultParagraphFont"/>
    <w:link w:val="BodyText"/>
    <w:rsid w:val="00A34326"/>
    <w:rPr>
      <w:sz w:val="24"/>
      <w:szCs w:val="24"/>
      <w:lang w:eastAsia="en-GB"/>
    </w:rPr>
  </w:style>
  <w:style w:type="character" w:customStyle="1" w:styleId="Heading1Char">
    <w:name w:val="Heading 1 Char"/>
    <w:basedOn w:val="DefaultParagraphFont"/>
    <w:link w:val="Heading1"/>
    <w:uiPriority w:val="9"/>
    <w:rsid w:val="00A34326"/>
    <w:rPr>
      <w:b/>
      <w:snapToGrid w:val="0"/>
      <w:u w:val="single"/>
    </w:rPr>
  </w:style>
  <w:style w:type="paragraph" w:styleId="Revision">
    <w:name w:val="Revision"/>
    <w:hidden/>
    <w:uiPriority w:val="99"/>
    <w:semiHidden/>
    <w:rsid w:val="003E38A9"/>
    <w:rPr>
      <w:szCs w:val="24"/>
    </w:rPr>
  </w:style>
  <w:style w:type="paragraph" w:customStyle="1" w:styleId="Shorline">
    <w:name w:val="Shorline"/>
    <w:basedOn w:val="Normal"/>
    <w:rsid w:val="003E38A9"/>
    <w:pPr>
      <w:ind w:left="2268" w:right="22"/>
    </w:pPr>
    <w:rPr>
      <w:sz w:val="22"/>
      <w:szCs w:val="22"/>
    </w:rPr>
  </w:style>
  <w:style w:type="character" w:customStyle="1" w:styleId="lx-shep-citation">
    <w:name w:val="lx-shep-citation"/>
    <w:rsid w:val="00EE50CA"/>
  </w:style>
  <w:style w:type="character" w:customStyle="1" w:styleId="A0">
    <w:name w:val="A0"/>
    <w:uiPriority w:val="99"/>
    <w:rsid w:val="00606B55"/>
    <w:rPr>
      <w:b/>
      <w:bCs/>
      <w:color w:val="641E20"/>
      <w:sz w:val="34"/>
      <w:szCs w:val="34"/>
    </w:rPr>
  </w:style>
  <w:style w:type="paragraph" w:customStyle="1" w:styleId="Pa1">
    <w:name w:val="Pa1"/>
    <w:basedOn w:val="Default"/>
    <w:next w:val="Default"/>
    <w:uiPriority w:val="99"/>
    <w:rsid w:val="00606B55"/>
    <w:pPr>
      <w:spacing w:line="241" w:lineRule="atLeast"/>
    </w:pPr>
    <w:rPr>
      <w:rFonts w:ascii="Times New Roman" w:hAnsi="Times New Roman" w:cs="Times New Roman"/>
      <w:color w:val="auto"/>
    </w:rPr>
  </w:style>
  <w:style w:type="character" w:customStyle="1" w:styleId="A1">
    <w:name w:val="A1"/>
    <w:uiPriority w:val="99"/>
    <w:rsid w:val="00606B55"/>
    <w:rPr>
      <w:color w:val="211D1E"/>
      <w:sz w:val="20"/>
      <w:szCs w:val="20"/>
    </w:rPr>
  </w:style>
  <w:style w:type="character" w:customStyle="1" w:styleId="A2">
    <w:name w:val="A2"/>
    <w:uiPriority w:val="99"/>
    <w:rsid w:val="00606B55"/>
    <w:rPr>
      <w:color w:val="211D1E"/>
      <w:sz w:val="20"/>
      <w:szCs w:val="20"/>
      <w:u w:val="single"/>
    </w:rPr>
  </w:style>
  <w:style w:type="character" w:customStyle="1" w:styleId="A8">
    <w:name w:val="A8"/>
    <w:uiPriority w:val="99"/>
    <w:rsid w:val="00606B55"/>
    <w:rPr>
      <w:b/>
      <w:bCs/>
      <w:color w:val="69000D"/>
      <w:sz w:val="26"/>
      <w:szCs w:val="26"/>
    </w:rPr>
  </w:style>
  <w:style w:type="paragraph" w:customStyle="1" w:styleId="Heading2Body">
    <w:name w:val="Heading 2 Body"/>
    <w:aliases w:val="H2B"/>
    <w:basedOn w:val="Heading20"/>
    <w:next w:val="Heading20"/>
    <w:link w:val="Heading2BodyChar"/>
    <w:rsid w:val="000B1E71"/>
    <w:pPr>
      <w:numPr>
        <w:ilvl w:val="0"/>
        <w:numId w:val="0"/>
      </w:numPr>
      <w:ind w:firstLine="720"/>
      <w:outlineLvl w:val="9"/>
    </w:pPr>
    <w:rPr>
      <w:bCs/>
      <w:lang w:eastAsia="en-GB"/>
    </w:rPr>
  </w:style>
  <w:style w:type="character" w:customStyle="1" w:styleId="Heading2BodyChar">
    <w:name w:val="Heading 2 Body Char"/>
    <w:aliases w:val="H2B Char"/>
    <w:basedOn w:val="DefaultParagraphFont"/>
    <w:link w:val="Heading2Body"/>
    <w:rsid w:val="000B1E71"/>
    <w:rPr>
      <w:bCs/>
      <w:snapToGrid w:val="0"/>
      <w:szCs w:val="24"/>
      <w:lang w:eastAsia="en-GB"/>
    </w:rPr>
  </w:style>
  <w:style w:type="paragraph" w:customStyle="1" w:styleId="Headiing2">
    <w:name w:val="Headiing 2"/>
    <w:basedOn w:val="Body15"/>
    <w:rsid w:val="00E967DE"/>
    <w:rPr>
      <w:lang w:eastAsia="en-GB"/>
    </w:rPr>
  </w:style>
  <w:style w:type="paragraph" w:styleId="Bibliography">
    <w:name w:val="Bibliography"/>
    <w:basedOn w:val="Normal"/>
    <w:next w:val="Normal"/>
    <w:uiPriority w:val="37"/>
    <w:rsid w:val="0027692E"/>
  </w:style>
  <w:style w:type="paragraph" w:styleId="BodyText2">
    <w:name w:val="Body Text 2"/>
    <w:basedOn w:val="Normal"/>
    <w:link w:val="BodyText2Char"/>
    <w:uiPriority w:val="4"/>
    <w:qFormat/>
    <w:rsid w:val="0027692E"/>
    <w:pPr>
      <w:spacing w:after="120" w:line="480" w:lineRule="auto"/>
    </w:pPr>
  </w:style>
  <w:style w:type="character" w:customStyle="1" w:styleId="BodyText2Char">
    <w:name w:val="Body Text 2 Char"/>
    <w:basedOn w:val="DefaultParagraphFont"/>
    <w:link w:val="BodyText2"/>
    <w:uiPriority w:val="4"/>
    <w:rsid w:val="0027692E"/>
    <w:rPr>
      <w:szCs w:val="24"/>
    </w:rPr>
  </w:style>
  <w:style w:type="paragraph" w:styleId="BodyText3">
    <w:name w:val="Body Text 3"/>
    <w:basedOn w:val="Normal"/>
    <w:link w:val="BodyText3Char"/>
    <w:uiPriority w:val="99"/>
    <w:rsid w:val="0027692E"/>
    <w:pPr>
      <w:spacing w:after="120"/>
    </w:pPr>
    <w:rPr>
      <w:sz w:val="16"/>
      <w:szCs w:val="16"/>
    </w:rPr>
  </w:style>
  <w:style w:type="character" w:customStyle="1" w:styleId="BodyText3Char">
    <w:name w:val="Body Text 3 Char"/>
    <w:basedOn w:val="DefaultParagraphFont"/>
    <w:link w:val="BodyText3"/>
    <w:uiPriority w:val="99"/>
    <w:rsid w:val="0027692E"/>
    <w:rPr>
      <w:sz w:val="16"/>
      <w:szCs w:val="16"/>
    </w:rPr>
  </w:style>
  <w:style w:type="paragraph" w:styleId="BodyTextFirstIndent">
    <w:name w:val="Body Text First Indent"/>
    <w:basedOn w:val="BodyText"/>
    <w:link w:val="BodyTextFirstIndentChar"/>
    <w:uiPriority w:val="3"/>
    <w:qFormat/>
    <w:rsid w:val="0027692E"/>
    <w:pPr>
      <w:spacing w:after="0"/>
      <w:ind w:right="0" w:firstLine="360"/>
    </w:pPr>
    <w:rPr>
      <w:sz w:val="20"/>
      <w:lang w:eastAsia="en-US"/>
    </w:rPr>
  </w:style>
  <w:style w:type="character" w:customStyle="1" w:styleId="BodyTextFirstIndentChar">
    <w:name w:val="Body Text First Indent Char"/>
    <w:basedOn w:val="BodyTextChar"/>
    <w:link w:val="BodyTextFirstIndent"/>
    <w:uiPriority w:val="3"/>
    <w:rsid w:val="0027692E"/>
    <w:rPr>
      <w:sz w:val="24"/>
      <w:szCs w:val="24"/>
      <w:lang w:eastAsia="en-GB"/>
    </w:rPr>
  </w:style>
  <w:style w:type="paragraph" w:styleId="BodyTextFirstIndent2">
    <w:name w:val="Body Text First Indent 2"/>
    <w:basedOn w:val="BodyTextIndent"/>
    <w:link w:val="BodyTextFirstIndent2Char"/>
    <w:uiPriority w:val="3"/>
    <w:qFormat/>
    <w:rsid w:val="0027692E"/>
    <w:pPr>
      <w:spacing w:after="0"/>
      <w:ind w:left="360" w:firstLine="360"/>
      <w:jc w:val="both"/>
    </w:pPr>
    <w:rPr>
      <w:sz w:val="20"/>
    </w:rPr>
  </w:style>
  <w:style w:type="character" w:customStyle="1" w:styleId="BodyTextFirstIndent2Char">
    <w:name w:val="Body Text First Indent 2 Char"/>
    <w:basedOn w:val="BodyTextIndentChar2"/>
    <w:link w:val="BodyTextFirstIndent2"/>
    <w:uiPriority w:val="3"/>
    <w:rsid w:val="0027692E"/>
    <w:rPr>
      <w:bCs/>
      <w:sz w:val="24"/>
      <w:szCs w:val="24"/>
      <w:lang w:val="en-US" w:eastAsia="en-US" w:bidi="ar-SA"/>
    </w:rPr>
  </w:style>
  <w:style w:type="paragraph" w:styleId="BodyTextIndent2">
    <w:name w:val="Body Text Indent 2"/>
    <w:basedOn w:val="Normal"/>
    <w:link w:val="BodyTextIndent2Char"/>
    <w:qFormat/>
    <w:rsid w:val="0027692E"/>
    <w:pPr>
      <w:spacing w:after="120" w:line="480" w:lineRule="auto"/>
      <w:ind w:left="360"/>
    </w:pPr>
  </w:style>
  <w:style w:type="character" w:customStyle="1" w:styleId="BodyTextIndent2Char">
    <w:name w:val="Body Text Indent 2 Char"/>
    <w:basedOn w:val="DefaultParagraphFont"/>
    <w:link w:val="BodyTextIndent2"/>
    <w:rsid w:val="0027692E"/>
    <w:rPr>
      <w:szCs w:val="24"/>
    </w:rPr>
  </w:style>
  <w:style w:type="paragraph" w:styleId="BodyTextIndent3">
    <w:name w:val="Body Text Indent 3"/>
    <w:basedOn w:val="Normal"/>
    <w:link w:val="BodyTextIndent3Char"/>
    <w:uiPriority w:val="99"/>
    <w:rsid w:val="0027692E"/>
    <w:pPr>
      <w:spacing w:after="120"/>
      <w:ind w:left="360"/>
    </w:pPr>
    <w:rPr>
      <w:sz w:val="16"/>
      <w:szCs w:val="16"/>
    </w:rPr>
  </w:style>
  <w:style w:type="character" w:customStyle="1" w:styleId="BodyTextIndent3Char">
    <w:name w:val="Body Text Indent 3 Char"/>
    <w:basedOn w:val="DefaultParagraphFont"/>
    <w:link w:val="BodyTextIndent3"/>
    <w:uiPriority w:val="99"/>
    <w:rsid w:val="0027692E"/>
    <w:rPr>
      <w:sz w:val="16"/>
      <w:szCs w:val="16"/>
    </w:rPr>
  </w:style>
  <w:style w:type="paragraph" w:styleId="Closing">
    <w:name w:val="Closing"/>
    <w:basedOn w:val="Normal"/>
    <w:link w:val="ClosingChar"/>
    <w:uiPriority w:val="99"/>
    <w:rsid w:val="0027692E"/>
    <w:pPr>
      <w:ind w:left="4320"/>
    </w:pPr>
  </w:style>
  <w:style w:type="character" w:customStyle="1" w:styleId="ClosingChar">
    <w:name w:val="Closing Char"/>
    <w:basedOn w:val="DefaultParagraphFont"/>
    <w:link w:val="Closing"/>
    <w:uiPriority w:val="99"/>
    <w:rsid w:val="0027692E"/>
    <w:rPr>
      <w:szCs w:val="24"/>
    </w:rPr>
  </w:style>
  <w:style w:type="paragraph" w:styleId="Date">
    <w:name w:val="Date"/>
    <w:basedOn w:val="Normal"/>
    <w:next w:val="Normal"/>
    <w:link w:val="DateChar"/>
    <w:uiPriority w:val="99"/>
    <w:rsid w:val="0027692E"/>
  </w:style>
  <w:style w:type="character" w:customStyle="1" w:styleId="DateChar">
    <w:name w:val="Date Char"/>
    <w:basedOn w:val="DefaultParagraphFont"/>
    <w:link w:val="Date"/>
    <w:uiPriority w:val="99"/>
    <w:rsid w:val="00A34326"/>
    <w:rPr>
      <w:szCs w:val="24"/>
    </w:rPr>
  </w:style>
  <w:style w:type="paragraph" w:styleId="DocumentMap">
    <w:name w:val="Document Map"/>
    <w:basedOn w:val="Normal"/>
    <w:link w:val="DocumentMapChar"/>
    <w:uiPriority w:val="99"/>
    <w:rsid w:val="0027692E"/>
    <w:rPr>
      <w:rFonts w:ascii="Tahoma" w:hAnsi="Tahoma" w:cs="Tahoma"/>
      <w:sz w:val="16"/>
      <w:szCs w:val="16"/>
    </w:rPr>
  </w:style>
  <w:style w:type="character" w:customStyle="1" w:styleId="DocumentMapChar">
    <w:name w:val="Document Map Char"/>
    <w:basedOn w:val="DefaultParagraphFont"/>
    <w:link w:val="DocumentMap"/>
    <w:uiPriority w:val="99"/>
    <w:rsid w:val="00A34326"/>
    <w:rPr>
      <w:rFonts w:ascii="Tahoma" w:hAnsi="Tahoma" w:cs="Tahoma"/>
      <w:sz w:val="16"/>
      <w:szCs w:val="16"/>
    </w:rPr>
  </w:style>
  <w:style w:type="paragraph" w:styleId="E-mailSignature">
    <w:name w:val="E-mail Signature"/>
    <w:basedOn w:val="Normal"/>
    <w:link w:val="E-mailSignatureChar"/>
    <w:uiPriority w:val="99"/>
    <w:rsid w:val="0027692E"/>
  </w:style>
  <w:style w:type="character" w:customStyle="1" w:styleId="E-mailSignatureChar">
    <w:name w:val="E-mail Signature Char"/>
    <w:basedOn w:val="DefaultParagraphFont"/>
    <w:link w:val="E-mailSignature"/>
    <w:uiPriority w:val="99"/>
    <w:rsid w:val="00A34326"/>
    <w:rPr>
      <w:szCs w:val="24"/>
    </w:rPr>
  </w:style>
  <w:style w:type="paragraph" w:styleId="EnvelopeAddress">
    <w:name w:val="envelope address"/>
    <w:basedOn w:val="Normal"/>
    <w:uiPriority w:val="99"/>
    <w:rsid w:val="0027692E"/>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rsid w:val="0027692E"/>
    <w:rPr>
      <w:rFonts w:asciiTheme="majorHAnsi" w:eastAsiaTheme="majorEastAsia" w:hAnsiTheme="majorHAnsi" w:cstheme="majorBidi"/>
      <w:szCs w:val="20"/>
    </w:rPr>
  </w:style>
  <w:style w:type="paragraph" w:styleId="HTMLAddress">
    <w:name w:val="HTML Address"/>
    <w:basedOn w:val="Normal"/>
    <w:link w:val="HTMLAddressChar"/>
    <w:uiPriority w:val="99"/>
    <w:rsid w:val="0027692E"/>
    <w:rPr>
      <w:i/>
      <w:iCs/>
    </w:rPr>
  </w:style>
  <w:style w:type="character" w:customStyle="1" w:styleId="HTMLAddressChar">
    <w:name w:val="HTML Address Char"/>
    <w:basedOn w:val="DefaultParagraphFont"/>
    <w:link w:val="HTMLAddress"/>
    <w:uiPriority w:val="99"/>
    <w:rsid w:val="00A34326"/>
    <w:rPr>
      <w:i/>
      <w:iCs/>
      <w:szCs w:val="24"/>
    </w:rPr>
  </w:style>
  <w:style w:type="paragraph" w:styleId="Index3">
    <w:name w:val="index 3"/>
    <w:basedOn w:val="Normal"/>
    <w:next w:val="Normal"/>
    <w:autoRedefine/>
    <w:uiPriority w:val="99"/>
    <w:rsid w:val="0027692E"/>
    <w:pPr>
      <w:ind w:left="600" w:hanging="200"/>
    </w:pPr>
  </w:style>
  <w:style w:type="paragraph" w:styleId="Index4">
    <w:name w:val="index 4"/>
    <w:basedOn w:val="Normal"/>
    <w:next w:val="Normal"/>
    <w:autoRedefine/>
    <w:uiPriority w:val="99"/>
    <w:rsid w:val="0027692E"/>
    <w:pPr>
      <w:ind w:left="800" w:hanging="200"/>
    </w:pPr>
  </w:style>
  <w:style w:type="paragraph" w:styleId="Index5">
    <w:name w:val="index 5"/>
    <w:basedOn w:val="Normal"/>
    <w:next w:val="Normal"/>
    <w:autoRedefine/>
    <w:uiPriority w:val="99"/>
    <w:rsid w:val="0027692E"/>
    <w:pPr>
      <w:ind w:left="1000" w:hanging="200"/>
    </w:pPr>
  </w:style>
  <w:style w:type="paragraph" w:styleId="Index6">
    <w:name w:val="index 6"/>
    <w:basedOn w:val="Normal"/>
    <w:next w:val="Normal"/>
    <w:autoRedefine/>
    <w:uiPriority w:val="99"/>
    <w:rsid w:val="0027692E"/>
    <w:pPr>
      <w:ind w:left="1200" w:hanging="200"/>
    </w:pPr>
  </w:style>
  <w:style w:type="paragraph" w:styleId="Index7">
    <w:name w:val="index 7"/>
    <w:basedOn w:val="Normal"/>
    <w:next w:val="Normal"/>
    <w:autoRedefine/>
    <w:uiPriority w:val="99"/>
    <w:rsid w:val="0027692E"/>
    <w:pPr>
      <w:ind w:left="1400" w:hanging="200"/>
    </w:pPr>
  </w:style>
  <w:style w:type="paragraph" w:styleId="Index8">
    <w:name w:val="index 8"/>
    <w:basedOn w:val="Normal"/>
    <w:next w:val="Normal"/>
    <w:autoRedefine/>
    <w:uiPriority w:val="99"/>
    <w:rsid w:val="0027692E"/>
    <w:pPr>
      <w:ind w:left="1600" w:hanging="200"/>
    </w:pPr>
  </w:style>
  <w:style w:type="paragraph" w:styleId="Index9">
    <w:name w:val="index 9"/>
    <w:basedOn w:val="Normal"/>
    <w:next w:val="Normal"/>
    <w:autoRedefine/>
    <w:uiPriority w:val="99"/>
    <w:rsid w:val="0027692E"/>
    <w:pPr>
      <w:ind w:left="1800" w:hanging="200"/>
    </w:pPr>
  </w:style>
  <w:style w:type="paragraph" w:styleId="IndexHeading">
    <w:name w:val="index heading"/>
    <w:basedOn w:val="Normal"/>
    <w:next w:val="Index1"/>
    <w:uiPriority w:val="99"/>
    <w:rsid w:val="0027692E"/>
    <w:rPr>
      <w:rFonts w:asciiTheme="majorHAnsi" w:eastAsiaTheme="majorEastAsia" w:hAnsiTheme="majorHAnsi" w:cstheme="majorBidi"/>
      <w:b/>
      <w:bCs w:val="0"/>
    </w:rPr>
  </w:style>
  <w:style w:type="paragraph" w:styleId="IntenseQuote">
    <w:name w:val="Intense Quote"/>
    <w:basedOn w:val="Normal"/>
    <w:next w:val="Normal"/>
    <w:link w:val="IntenseQuoteChar"/>
    <w:uiPriority w:val="30"/>
    <w:qFormat/>
    <w:rsid w:val="0027692E"/>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A34326"/>
    <w:rPr>
      <w:b/>
      <w:bCs/>
      <w:i/>
      <w:iCs/>
      <w:color w:val="4F81BD" w:themeColor="accent1"/>
      <w:szCs w:val="24"/>
    </w:rPr>
  </w:style>
  <w:style w:type="paragraph" w:styleId="List">
    <w:name w:val="List"/>
    <w:basedOn w:val="Normal"/>
    <w:uiPriority w:val="99"/>
    <w:rsid w:val="0027692E"/>
    <w:pPr>
      <w:ind w:left="360" w:hanging="360"/>
      <w:contextualSpacing/>
    </w:pPr>
  </w:style>
  <w:style w:type="paragraph" w:styleId="List2">
    <w:name w:val="List 2"/>
    <w:basedOn w:val="Normal"/>
    <w:uiPriority w:val="99"/>
    <w:rsid w:val="0027692E"/>
    <w:pPr>
      <w:ind w:left="720" w:hanging="360"/>
      <w:contextualSpacing/>
    </w:pPr>
  </w:style>
  <w:style w:type="paragraph" w:styleId="List3">
    <w:name w:val="List 3"/>
    <w:basedOn w:val="Normal"/>
    <w:uiPriority w:val="99"/>
    <w:rsid w:val="0027692E"/>
    <w:pPr>
      <w:ind w:left="1080" w:hanging="360"/>
      <w:contextualSpacing/>
    </w:pPr>
  </w:style>
  <w:style w:type="paragraph" w:styleId="List4">
    <w:name w:val="List 4"/>
    <w:basedOn w:val="Normal"/>
    <w:uiPriority w:val="99"/>
    <w:rsid w:val="0027692E"/>
    <w:pPr>
      <w:ind w:left="1440" w:hanging="360"/>
      <w:contextualSpacing/>
    </w:pPr>
  </w:style>
  <w:style w:type="paragraph" w:styleId="List5">
    <w:name w:val="List 5"/>
    <w:basedOn w:val="Normal"/>
    <w:uiPriority w:val="99"/>
    <w:rsid w:val="0027692E"/>
    <w:pPr>
      <w:ind w:left="1800" w:hanging="360"/>
      <w:contextualSpacing/>
    </w:pPr>
  </w:style>
  <w:style w:type="paragraph" w:styleId="ListBullet">
    <w:name w:val="List Bullet"/>
    <w:basedOn w:val="Normal"/>
    <w:uiPriority w:val="99"/>
    <w:rsid w:val="0027692E"/>
    <w:pPr>
      <w:numPr>
        <w:numId w:val="12"/>
      </w:numPr>
      <w:contextualSpacing/>
    </w:pPr>
  </w:style>
  <w:style w:type="paragraph" w:styleId="ListBullet2">
    <w:name w:val="List Bullet 2"/>
    <w:basedOn w:val="Normal"/>
    <w:uiPriority w:val="99"/>
    <w:rsid w:val="0027692E"/>
    <w:pPr>
      <w:numPr>
        <w:numId w:val="13"/>
      </w:numPr>
      <w:contextualSpacing/>
    </w:pPr>
  </w:style>
  <w:style w:type="paragraph" w:styleId="ListBullet3">
    <w:name w:val="List Bullet 3"/>
    <w:basedOn w:val="Normal"/>
    <w:uiPriority w:val="99"/>
    <w:rsid w:val="0027692E"/>
    <w:pPr>
      <w:numPr>
        <w:numId w:val="14"/>
      </w:numPr>
      <w:contextualSpacing/>
    </w:pPr>
  </w:style>
  <w:style w:type="paragraph" w:styleId="ListBullet4">
    <w:name w:val="List Bullet 4"/>
    <w:basedOn w:val="Normal"/>
    <w:uiPriority w:val="99"/>
    <w:rsid w:val="0027692E"/>
    <w:pPr>
      <w:numPr>
        <w:numId w:val="15"/>
      </w:numPr>
      <w:contextualSpacing/>
    </w:pPr>
  </w:style>
  <w:style w:type="paragraph" w:styleId="ListBullet5">
    <w:name w:val="List Bullet 5"/>
    <w:basedOn w:val="Normal"/>
    <w:uiPriority w:val="99"/>
    <w:rsid w:val="0027692E"/>
    <w:pPr>
      <w:numPr>
        <w:numId w:val="16"/>
      </w:numPr>
      <w:contextualSpacing/>
    </w:pPr>
  </w:style>
  <w:style w:type="paragraph" w:styleId="ListContinue">
    <w:name w:val="List Continue"/>
    <w:basedOn w:val="Normal"/>
    <w:uiPriority w:val="99"/>
    <w:rsid w:val="0027692E"/>
    <w:pPr>
      <w:spacing w:after="120"/>
      <w:ind w:left="360"/>
      <w:contextualSpacing/>
    </w:pPr>
  </w:style>
  <w:style w:type="paragraph" w:styleId="ListContinue2">
    <w:name w:val="List Continue 2"/>
    <w:basedOn w:val="Normal"/>
    <w:uiPriority w:val="99"/>
    <w:rsid w:val="0027692E"/>
    <w:pPr>
      <w:spacing w:after="120"/>
      <w:ind w:left="720"/>
      <w:contextualSpacing/>
    </w:pPr>
  </w:style>
  <w:style w:type="paragraph" w:styleId="ListContinue3">
    <w:name w:val="List Continue 3"/>
    <w:basedOn w:val="Normal"/>
    <w:uiPriority w:val="99"/>
    <w:rsid w:val="0027692E"/>
    <w:pPr>
      <w:spacing w:after="120"/>
      <w:ind w:left="1080"/>
      <w:contextualSpacing/>
    </w:pPr>
  </w:style>
  <w:style w:type="paragraph" w:styleId="ListContinue4">
    <w:name w:val="List Continue 4"/>
    <w:basedOn w:val="Normal"/>
    <w:uiPriority w:val="99"/>
    <w:rsid w:val="0027692E"/>
    <w:pPr>
      <w:spacing w:after="120"/>
      <w:ind w:left="1440"/>
      <w:contextualSpacing/>
    </w:pPr>
  </w:style>
  <w:style w:type="paragraph" w:styleId="ListContinue5">
    <w:name w:val="List Continue 5"/>
    <w:basedOn w:val="Normal"/>
    <w:uiPriority w:val="99"/>
    <w:rsid w:val="0027692E"/>
    <w:pPr>
      <w:spacing w:after="120"/>
      <w:ind w:left="1800"/>
      <w:contextualSpacing/>
    </w:pPr>
  </w:style>
  <w:style w:type="paragraph" w:styleId="ListNumber">
    <w:name w:val="List Number"/>
    <w:basedOn w:val="Normal"/>
    <w:uiPriority w:val="99"/>
    <w:rsid w:val="0027692E"/>
    <w:pPr>
      <w:numPr>
        <w:numId w:val="17"/>
      </w:numPr>
      <w:contextualSpacing/>
    </w:pPr>
  </w:style>
  <w:style w:type="paragraph" w:styleId="ListNumber2">
    <w:name w:val="List Number 2"/>
    <w:basedOn w:val="Normal"/>
    <w:uiPriority w:val="99"/>
    <w:rsid w:val="0027692E"/>
    <w:pPr>
      <w:numPr>
        <w:numId w:val="18"/>
      </w:numPr>
      <w:contextualSpacing/>
    </w:pPr>
  </w:style>
  <w:style w:type="paragraph" w:styleId="ListNumber3">
    <w:name w:val="List Number 3"/>
    <w:basedOn w:val="Normal"/>
    <w:uiPriority w:val="99"/>
    <w:rsid w:val="0027692E"/>
    <w:pPr>
      <w:numPr>
        <w:numId w:val="19"/>
      </w:numPr>
      <w:contextualSpacing/>
    </w:pPr>
  </w:style>
  <w:style w:type="paragraph" w:styleId="ListNumber4">
    <w:name w:val="List Number 4"/>
    <w:basedOn w:val="Normal"/>
    <w:uiPriority w:val="99"/>
    <w:rsid w:val="0027692E"/>
    <w:pPr>
      <w:numPr>
        <w:numId w:val="20"/>
      </w:numPr>
      <w:contextualSpacing/>
    </w:pPr>
  </w:style>
  <w:style w:type="paragraph" w:styleId="ListNumber5">
    <w:name w:val="List Number 5"/>
    <w:basedOn w:val="Normal"/>
    <w:uiPriority w:val="99"/>
    <w:rsid w:val="0027692E"/>
    <w:pPr>
      <w:numPr>
        <w:numId w:val="21"/>
      </w:numPr>
      <w:contextualSpacing/>
    </w:pPr>
  </w:style>
  <w:style w:type="paragraph" w:styleId="MacroText">
    <w:name w:val="macro"/>
    <w:link w:val="MacroTextChar"/>
    <w:uiPriority w:val="99"/>
    <w:rsid w:val="0027692E"/>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uiPriority w:val="99"/>
    <w:rsid w:val="00A34326"/>
    <w:rPr>
      <w:rFonts w:ascii="Consolas" w:hAnsi="Consolas" w:cs="Consolas"/>
    </w:rPr>
  </w:style>
  <w:style w:type="paragraph" w:styleId="MessageHeader">
    <w:name w:val="Message Header"/>
    <w:basedOn w:val="Normal"/>
    <w:link w:val="MessageHeaderChar"/>
    <w:uiPriority w:val="99"/>
    <w:rsid w:val="0027692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rsid w:val="00A34326"/>
    <w:rPr>
      <w:rFonts w:asciiTheme="majorHAnsi" w:eastAsiaTheme="majorEastAsia" w:hAnsiTheme="majorHAnsi" w:cstheme="majorBidi"/>
      <w:sz w:val="24"/>
      <w:szCs w:val="24"/>
      <w:shd w:val="pct20" w:color="auto" w:fill="auto"/>
    </w:rPr>
  </w:style>
  <w:style w:type="paragraph" w:styleId="NoSpacing">
    <w:name w:val="No Spacing"/>
    <w:uiPriority w:val="1"/>
    <w:qFormat/>
    <w:rsid w:val="0027692E"/>
    <w:pPr>
      <w:jc w:val="both"/>
    </w:pPr>
    <w:rPr>
      <w:szCs w:val="24"/>
    </w:rPr>
  </w:style>
  <w:style w:type="paragraph" w:styleId="NormalIndent">
    <w:name w:val="Normal Indent"/>
    <w:basedOn w:val="Normal"/>
    <w:uiPriority w:val="99"/>
    <w:rsid w:val="0027692E"/>
    <w:pPr>
      <w:ind w:left="720"/>
    </w:pPr>
  </w:style>
  <w:style w:type="paragraph" w:styleId="NoteHeading">
    <w:name w:val="Note Heading"/>
    <w:basedOn w:val="Normal"/>
    <w:next w:val="Normal"/>
    <w:link w:val="NoteHeadingChar"/>
    <w:uiPriority w:val="99"/>
    <w:rsid w:val="0027692E"/>
  </w:style>
  <w:style w:type="character" w:customStyle="1" w:styleId="NoteHeadingChar">
    <w:name w:val="Note Heading Char"/>
    <w:basedOn w:val="DefaultParagraphFont"/>
    <w:link w:val="NoteHeading"/>
    <w:uiPriority w:val="99"/>
    <w:rsid w:val="00A34326"/>
    <w:rPr>
      <w:szCs w:val="24"/>
    </w:rPr>
  </w:style>
  <w:style w:type="paragraph" w:styleId="PlainText">
    <w:name w:val="Plain Text"/>
    <w:basedOn w:val="Normal"/>
    <w:link w:val="PlainTextChar"/>
    <w:uiPriority w:val="99"/>
    <w:rsid w:val="0027692E"/>
    <w:rPr>
      <w:rFonts w:ascii="Consolas" w:hAnsi="Consolas" w:cs="Consolas"/>
      <w:sz w:val="21"/>
      <w:szCs w:val="21"/>
    </w:rPr>
  </w:style>
  <w:style w:type="character" w:customStyle="1" w:styleId="PlainTextChar">
    <w:name w:val="Plain Text Char"/>
    <w:basedOn w:val="DefaultParagraphFont"/>
    <w:link w:val="PlainText"/>
    <w:uiPriority w:val="99"/>
    <w:rsid w:val="00A34326"/>
    <w:rPr>
      <w:rFonts w:ascii="Consolas" w:hAnsi="Consolas" w:cs="Consolas"/>
      <w:sz w:val="21"/>
      <w:szCs w:val="21"/>
    </w:rPr>
  </w:style>
  <w:style w:type="paragraph" w:styleId="Quote">
    <w:name w:val="Quote"/>
    <w:basedOn w:val="Normal"/>
    <w:next w:val="Normal"/>
    <w:link w:val="QuoteChar"/>
    <w:uiPriority w:val="29"/>
    <w:qFormat/>
    <w:rsid w:val="0027692E"/>
    <w:rPr>
      <w:i/>
      <w:iCs/>
      <w:color w:val="000000" w:themeColor="text1"/>
    </w:rPr>
  </w:style>
  <w:style w:type="character" w:customStyle="1" w:styleId="QuoteChar">
    <w:name w:val="Quote Char"/>
    <w:basedOn w:val="DefaultParagraphFont"/>
    <w:link w:val="Quote"/>
    <w:uiPriority w:val="29"/>
    <w:rsid w:val="00A34326"/>
    <w:rPr>
      <w:i/>
      <w:iCs/>
      <w:color w:val="000000" w:themeColor="text1"/>
      <w:szCs w:val="24"/>
    </w:rPr>
  </w:style>
  <w:style w:type="paragraph" w:styleId="Salutation">
    <w:name w:val="Salutation"/>
    <w:basedOn w:val="Normal"/>
    <w:next w:val="Normal"/>
    <w:link w:val="SalutationChar"/>
    <w:uiPriority w:val="99"/>
    <w:rsid w:val="0027692E"/>
  </w:style>
  <w:style w:type="character" w:customStyle="1" w:styleId="SalutationChar">
    <w:name w:val="Salutation Char"/>
    <w:basedOn w:val="DefaultParagraphFont"/>
    <w:link w:val="Salutation"/>
    <w:uiPriority w:val="99"/>
    <w:rsid w:val="00A34326"/>
    <w:rPr>
      <w:szCs w:val="24"/>
    </w:rPr>
  </w:style>
  <w:style w:type="paragraph" w:styleId="Subtitle">
    <w:name w:val="Subtitle"/>
    <w:basedOn w:val="Normal"/>
    <w:next w:val="Normal"/>
    <w:link w:val="SubtitleChar"/>
    <w:uiPriority w:val="2"/>
    <w:qFormat/>
    <w:rsid w:val="0027692E"/>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2"/>
    <w:rsid w:val="00A34326"/>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rsid w:val="0027692E"/>
    <w:pPr>
      <w:ind w:left="200" w:hanging="200"/>
    </w:pPr>
  </w:style>
  <w:style w:type="paragraph" w:styleId="TableofFigures">
    <w:name w:val="table of figures"/>
    <w:basedOn w:val="Normal"/>
    <w:next w:val="Normal"/>
    <w:uiPriority w:val="99"/>
    <w:rsid w:val="0027692E"/>
  </w:style>
  <w:style w:type="paragraph" w:styleId="Title">
    <w:name w:val="Title"/>
    <w:basedOn w:val="Normal"/>
    <w:next w:val="Normal"/>
    <w:link w:val="TitleChar"/>
    <w:uiPriority w:val="1"/>
    <w:qFormat/>
    <w:rsid w:val="002769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
    <w:rsid w:val="00A34326"/>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qFormat/>
    <w:rsid w:val="0027692E"/>
    <w:pPr>
      <w:keepLines/>
      <w:numPr>
        <w:numId w:val="0"/>
      </w:numPr>
      <w:suppressAutoHyphens w:val="0"/>
      <w:spacing w:before="480" w:after="0"/>
      <w:outlineLvl w:val="9"/>
    </w:pPr>
    <w:rPr>
      <w:rFonts w:asciiTheme="majorHAnsi" w:eastAsiaTheme="majorEastAsia" w:hAnsiTheme="majorHAnsi" w:cstheme="majorBidi"/>
      <w:snapToGrid/>
      <w:color w:val="365F91" w:themeColor="accent1" w:themeShade="BF"/>
      <w:sz w:val="28"/>
      <w:szCs w:val="28"/>
      <w:u w:val="none"/>
    </w:rPr>
  </w:style>
  <w:style w:type="paragraph" w:customStyle="1" w:styleId="FSF">
    <w:name w:val="FSF"/>
    <w:aliases w:val="File Stamp Footer"/>
    <w:basedOn w:val="Normal"/>
    <w:rsid w:val="006C2A8F"/>
    <w:rPr>
      <w:bCs w:val="0"/>
      <w:sz w:val="16"/>
    </w:rPr>
  </w:style>
  <w:style w:type="paragraph" w:customStyle="1" w:styleId="Headign2">
    <w:name w:val="Headign 2"/>
    <w:basedOn w:val="ListParagraph"/>
    <w:rsid w:val="00062F4E"/>
    <w:pPr>
      <w:numPr>
        <w:numId w:val="22"/>
      </w:numPr>
      <w:ind w:right="0"/>
      <w:jc w:val="left"/>
    </w:pPr>
    <w:rPr>
      <w:b/>
      <w:i/>
    </w:rPr>
  </w:style>
  <w:style w:type="paragraph" w:customStyle="1" w:styleId="HeadingBody">
    <w:name w:val="Heading Body"/>
    <w:basedOn w:val="TitlePart"/>
    <w:next w:val="TitlePart"/>
    <w:link w:val="HeadingBodyChar"/>
    <w:rsid w:val="00AD1AC7"/>
  </w:style>
  <w:style w:type="character" w:customStyle="1" w:styleId="HeadingBodyChar">
    <w:name w:val="Heading Body Char"/>
    <w:basedOn w:val="DefaultParagraphFont"/>
    <w:link w:val="HeadingBody"/>
    <w:rsid w:val="00420125"/>
    <w:rPr>
      <w:b/>
      <w:bCs/>
      <w:u w:val="single"/>
    </w:rPr>
  </w:style>
  <w:style w:type="paragraph" w:customStyle="1" w:styleId="TitlePart">
    <w:name w:val="Title Part"/>
    <w:basedOn w:val="TitleBCU"/>
    <w:rsid w:val="007E738C"/>
    <w:rPr>
      <w:szCs w:val="20"/>
    </w:rPr>
  </w:style>
  <w:style w:type="character" w:customStyle="1" w:styleId="LeadInTitlePart">
    <w:name w:val="LeadInTitle Part"/>
    <w:basedOn w:val="DefaultParagraphFont"/>
    <w:rsid w:val="00477EA5"/>
    <w:rPr>
      <w:rFonts w:cs="Times New Roman"/>
      <w:b w:val="0"/>
      <w:color w:val="000000"/>
      <w:u w:val="none"/>
    </w:rPr>
  </w:style>
  <w:style w:type="paragraph" w:customStyle="1" w:styleId="Heading1Body">
    <w:name w:val="Heading 1 Body"/>
    <w:aliases w:val="H1B"/>
    <w:basedOn w:val="Heading1"/>
    <w:next w:val="Heading1"/>
    <w:link w:val="Heading1BodyChar"/>
    <w:rsid w:val="00477EA5"/>
    <w:pPr>
      <w:numPr>
        <w:numId w:val="0"/>
      </w:numPr>
      <w:outlineLvl w:val="9"/>
    </w:pPr>
    <w:rPr>
      <w:bCs/>
    </w:rPr>
  </w:style>
  <w:style w:type="character" w:customStyle="1" w:styleId="Heading1BodyChar">
    <w:name w:val="Heading 1 Body Char"/>
    <w:aliases w:val="H1B Char"/>
    <w:basedOn w:val="DefaultParagraphFont"/>
    <w:link w:val="Heading1Body"/>
    <w:rsid w:val="00477EA5"/>
    <w:rPr>
      <w:b/>
      <w:bCs/>
      <w:snapToGrid w:val="0"/>
      <w:u w:val="single"/>
    </w:rPr>
  </w:style>
  <w:style w:type="character" w:customStyle="1" w:styleId="LeadInLFLevel1">
    <w:name w:val="LeadInLF Level 1"/>
    <w:basedOn w:val="DefaultParagraphFont"/>
    <w:rsid w:val="00477EA5"/>
    <w:rPr>
      <w:b w:val="0"/>
      <w:u w:val="none"/>
    </w:rPr>
  </w:style>
  <w:style w:type="character" w:customStyle="1" w:styleId="LeadInLFLevel2">
    <w:name w:val="LeadInLF Level 2"/>
    <w:basedOn w:val="DefaultParagraphFont"/>
    <w:rsid w:val="00477EA5"/>
    <w:rPr>
      <w:b w:val="0"/>
      <w:u w:val="none"/>
    </w:rPr>
  </w:style>
  <w:style w:type="paragraph" w:customStyle="1" w:styleId="LFLevel1Body">
    <w:name w:val="LF Level 1 Body"/>
    <w:basedOn w:val="LFLevel1"/>
    <w:next w:val="LFLevel1"/>
    <w:link w:val="LFLevel1BodyChar"/>
    <w:rsid w:val="00675423"/>
    <w:pPr>
      <w:numPr>
        <w:numId w:val="0"/>
      </w:numPr>
      <w:ind w:left="720" w:hanging="720"/>
      <w:outlineLvl w:val="9"/>
    </w:pPr>
  </w:style>
  <w:style w:type="character" w:customStyle="1" w:styleId="LFLevel1BodyChar">
    <w:name w:val="LF Level 1 Body Char"/>
    <w:basedOn w:val="DefaultParagraphFont"/>
    <w:link w:val="LFLevel1Body"/>
    <w:rsid w:val="00675423"/>
    <w:rPr>
      <w:rFonts w:ascii="Times New Roman Bold" w:eastAsia="MS Mincho" w:hAnsi="Times New Roman Bold"/>
      <w:b/>
    </w:rPr>
  </w:style>
  <w:style w:type="paragraph" w:customStyle="1" w:styleId="LFLevel2Body">
    <w:name w:val="LF Level 2 Body"/>
    <w:basedOn w:val="LFLevel2"/>
    <w:next w:val="LFLevel2"/>
    <w:link w:val="LFLevel2BodyChar"/>
    <w:rsid w:val="00675423"/>
    <w:pPr>
      <w:numPr>
        <w:ilvl w:val="0"/>
        <w:numId w:val="0"/>
      </w:numPr>
      <w:ind w:left="1440" w:hanging="720"/>
      <w:outlineLvl w:val="9"/>
    </w:pPr>
  </w:style>
  <w:style w:type="character" w:customStyle="1" w:styleId="LFLevel2BodyChar">
    <w:name w:val="LF Level 2 Body Char"/>
    <w:basedOn w:val="DefaultParagraphFont"/>
    <w:link w:val="LFLevel2Body"/>
    <w:rsid w:val="00675423"/>
    <w:rPr>
      <w:rFonts w:eastAsia="MS Mincho"/>
    </w:rPr>
  </w:style>
  <w:style w:type="paragraph" w:customStyle="1" w:styleId="FS">
    <w:name w:val="FS"/>
    <w:aliases w:val="File Stamp"/>
    <w:basedOn w:val="Normal"/>
    <w:rsid w:val="006C2A8F"/>
    <w:pPr>
      <w:spacing w:before="360"/>
    </w:pPr>
    <w:rPr>
      <w:rFonts w:asciiTheme="minorHAnsi" w:hAnsiTheme="minorHAnsi"/>
      <w:sz w:val="16"/>
    </w:rPr>
  </w:style>
  <w:style w:type="paragraph" w:customStyle="1" w:styleId="Heading2">
    <w:name w:val="Heading 2'"/>
    <w:basedOn w:val="Normal"/>
    <w:rsid w:val="0005094D"/>
    <w:pPr>
      <w:numPr>
        <w:numId w:val="24"/>
      </w:numPr>
      <w:spacing w:after="200" w:line="276" w:lineRule="auto"/>
      <w:contextualSpacing/>
    </w:pPr>
    <w:rPr>
      <w:rFonts w:eastAsiaTheme="minorHAnsi"/>
      <w:b/>
      <w:i/>
      <w:sz w:val="22"/>
      <w:szCs w:val="22"/>
    </w:rPr>
  </w:style>
  <w:style w:type="paragraph" w:customStyle="1" w:styleId="Headng2">
    <w:name w:val="Headng 2"/>
    <w:basedOn w:val="QS10"/>
    <w:rsid w:val="009A474E"/>
  </w:style>
  <w:style w:type="character" w:customStyle="1" w:styleId="BS5Char">
    <w:name w:val="BS5 Char"/>
    <w:aliases w:val="Body Single 5 Char"/>
    <w:basedOn w:val="DefaultParagraphFont"/>
    <w:link w:val="BodySingle5"/>
    <w:rsid w:val="00730A33"/>
    <w:rPr>
      <w:szCs w:val="24"/>
    </w:rPr>
  </w:style>
  <w:style w:type="paragraph" w:customStyle="1" w:styleId="CM10">
    <w:name w:val="CM10"/>
    <w:basedOn w:val="Default"/>
    <w:next w:val="Default"/>
    <w:uiPriority w:val="99"/>
    <w:rsid w:val="00730A33"/>
    <w:pPr>
      <w:spacing w:line="266" w:lineRule="atLeast"/>
    </w:pPr>
    <w:rPr>
      <w:rFonts w:ascii="Century Schoolbook" w:hAnsi="Century Schoolbook" w:cs="Times New Roman"/>
      <w:color w:val="auto"/>
    </w:rPr>
  </w:style>
  <w:style w:type="paragraph" w:customStyle="1" w:styleId="CM12">
    <w:name w:val="CM12"/>
    <w:basedOn w:val="Default"/>
    <w:next w:val="Default"/>
    <w:uiPriority w:val="99"/>
    <w:rsid w:val="00130A89"/>
    <w:pPr>
      <w:spacing w:line="266" w:lineRule="atLeast"/>
    </w:pPr>
    <w:rPr>
      <w:rFonts w:ascii="Century Schoolbook" w:hAnsi="Century Schoolbook" w:cs="Times New Roman"/>
      <w:color w:val="auto"/>
    </w:rPr>
  </w:style>
  <w:style w:type="paragraph" w:customStyle="1" w:styleId="CM23">
    <w:name w:val="CM23"/>
    <w:basedOn w:val="Default"/>
    <w:next w:val="Default"/>
    <w:uiPriority w:val="99"/>
    <w:rsid w:val="00130A89"/>
    <w:rPr>
      <w:rFonts w:ascii="Century Schoolbook" w:hAnsi="Century Schoolbook" w:cs="Times New Roman"/>
      <w:color w:val="auto"/>
    </w:rPr>
  </w:style>
  <w:style w:type="paragraph" w:customStyle="1" w:styleId="tbuc">
    <w:name w:val="tbuc"/>
    <w:basedOn w:val="FSF"/>
    <w:rsid w:val="00682B22"/>
    <w:pPr>
      <w:jc w:val="both"/>
    </w:pPr>
    <w:rPr>
      <w:b/>
      <w:sz w:val="24"/>
      <w:u w:val="single"/>
    </w:rPr>
  </w:style>
  <w:style w:type="paragraph" w:customStyle="1" w:styleId="tbu">
    <w:name w:val="tbu"/>
    <w:basedOn w:val="TitleBCU"/>
    <w:rsid w:val="00993DDD"/>
  </w:style>
  <w:style w:type="character" w:customStyle="1" w:styleId="BSChar1">
    <w:name w:val="BS Char1"/>
    <w:aliases w:val="Body Single Char"/>
    <w:basedOn w:val="DefaultParagraphFont"/>
    <w:link w:val="BS0"/>
    <w:rsid w:val="007657B2"/>
    <w:rPr>
      <w:szCs w:val="24"/>
    </w:rPr>
  </w:style>
  <w:style w:type="character" w:customStyle="1" w:styleId="BDChar">
    <w:name w:val="BD Char"/>
    <w:aliases w:val="Body Dbl Char"/>
    <w:basedOn w:val="DefaultParagraphFont"/>
    <w:link w:val="BodyDbl"/>
    <w:rsid w:val="007657B2"/>
    <w:rPr>
      <w:szCs w:val="24"/>
    </w:rPr>
  </w:style>
  <w:style w:type="character" w:customStyle="1" w:styleId="QS1Char1">
    <w:name w:val="QS1 Char1"/>
    <w:aliases w:val="Quote Single 1 Char"/>
    <w:basedOn w:val="DefaultParagraphFont"/>
    <w:link w:val="QS10"/>
    <w:rsid w:val="00D93CA8"/>
    <w:rPr>
      <w:szCs w:val="24"/>
    </w:rPr>
  </w:style>
  <w:style w:type="character" w:customStyle="1" w:styleId="TBCUChar">
    <w:name w:val="TBCU Char"/>
    <w:aliases w:val="Title BCU Char"/>
    <w:basedOn w:val="DefaultParagraphFont"/>
    <w:link w:val="TitleBCU"/>
    <w:rsid w:val="007657B2"/>
    <w:rPr>
      <w:b/>
      <w:szCs w:val="24"/>
      <w:u w:val="single"/>
    </w:rPr>
  </w:style>
  <w:style w:type="character" w:customStyle="1" w:styleId="TBCChar">
    <w:name w:val="TBC Char"/>
    <w:aliases w:val="Title BC Char"/>
    <w:basedOn w:val="DefaultParagraphFont"/>
    <w:link w:val="TitleBC"/>
    <w:rsid w:val="007657B2"/>
    <w:rPr>
      <w:b/>
      <w:szCs w:val="24"/>
    </w:rPr>
  </w:style>
  <w:style w:type="character" w:customStyle="1" w:styleId="NB5Char">
    <w:name w:val="NB5 Char"/>
    <w:aliases w:val="Bullet @.5 Char"/>
    <w:basedOn w:val="DefaultParagraphFont"/>
    <w:link w:val="BulletListIndent5"/>
    <w:rsid w:val="007657B2"/>
    <w:rPr>
      <w:szCs w:val="24"/>
    </w:rPr>
  </w:style>
  <w:style w:type="paragraph" w:customStyle="1" w:styleId="NB1">
    <w:name w:val="NB1"/>
    <w:aliases w:val="Bullet @1"/>
    <w:basedOn w:val="Normal"/>
    <w:link w:val="NB1Char"/>
    <w:qFormat/>
    <w:rsid w:val="009A41F3"/>
    <w:pPr>
      <w:numPr>
        <w:numId w:val="25"/>
      </w:numPr>
      <w:spacing w:after="240"/>
      <w:jc w:val="both"/>
    </w:pPr>
  </w:style>
  <w:style w:type="character" w:customStyle="1" w:styleId="NB1Char">
    <w:name w:val="NB1 Char"/>
    <w:aliases w:val="Bullet @1 Char"/>
    <w:basedOn w:val="DefaultParagraphFont"/>
    <w:link w:val="NB1"/>
    <w:rsid w:val="007657B2"/>
    <w:rPr>
      <w:bCs/>
      <w:szCs w:val="24"/>
    </w:rPr>
  </w:style>
  <w:style w:type="character" w:customStyle="1" w:styleId="N150Char">
    <w:name w:val="N150 Char"/>
    <w:aliases w:val="List 1 @0 Char"/>
    <w:basedOn w:val="DefaultParagraphFont"/>
    <w:link w:val="Numbered150"/>
    <w:rsid w:val="007657B2"/>
    <w:rPr>
      <w:bCs/>
      <w:szCs w:val="24"/>
    </w:rPr>
  </w:style>
  <w:style w:type="character" w:customStyle="1" w:styleId="N155Char">
    <w:name w:val="N155 Char"/>
    <w:aliases w:val="List 1 @.5 Char"/>
    <w:basedOn w:val="DefaultParagraphFont"/>
    <w:link w:val="Numbered155"/>
    <w:rsid w:val="007657B2"/>
    <w:rPr>
      <w:bCs/>
      <w:szCs w:val="24"/>
    </w:rPr>
  </w:style>
  <w:style w:type="character" w:customStyle="1" w:styleId="SignatureChar">
    <w:name w:val="Signature Char"/>
    <w:basedOn w:val="DefaultParagraphFont"/>
    <w:link w:val="Signature"/>
    <w:uiPriority w:val="99"/>
    <w:rsid w:val="007657B2"/>
    <w:rPr>
      <w:szCs w:val="24"/>
    </w:rPr>
  </w:style>
  <w:style w:type="character" w:customStyle="1" w:styleId="Heading3Char">
    <w:name w:val="Heading 3 Char"/>
    <w:basedOn w:val="DefaultParagraphFont"/>
    <w:link w:val="Heading3"/>
    <w:uiPriority w:val="9"/>
    <w:rsid w:val="007657B2"/>
    <w:rPr>
      <w:snapToGrid w:val="0"/>
      <w:szCs w:val="24"/>
    </w:rPr>
  </w:style>
  <w:style w:type="character" w:customStyle="1" w:styleId="Heading4Char">
    <w:name w:val="Heading 4 Char"/>
    <w:basedOn w:val="DefaultParagraphFont"/>
    <w:link w:val="Heading4"/>
    <w:uiPriority w:val="9"/>
    <w:rsid w:val="007469BB"/>
    <w:rPr>
      <w:snapToGrid w:val="0"/>
      <w:szCs w:val="24"/>
    </w:rPr>
  </w:style>
  <w:style w:type="character" w:customStyle="1" w:styleId="Heading5Char">
    <w:name w:val="Heading 5 Char"/>
    <w:basedOn w:val="DefaultParagraphFont"/>
    <w:link w:val="Heading5"/>
    <w:uiPriority w:val="9"/>
    <w:rsid w:val="007657B2"/>
    <w:rPr>
      <w:snapToGrid w:val="0"/>
      <w:szCs w:val="24"/>
    </w:rPr>
  </w:style>
  <w:style w:type="character" w:customStyle="1" w:styleId="Heading6Char">
    <w:name w:val="Heading 6 Char"/>
    <w:basedOn w:val="DefaultParagraphFont"/>
    <w:link w:val="Heading6"/>
    <w:uiPriority w:val="9"/>
    <w:rsid w:val="007657B2"/>
    <w:rPr>
      <w:snapToGrid w:val="0"/>
      <w:szCs w:val="24"/>
    </w:rPr>
  </w:style>
  <w:style w:type="character" w:customStyle="1" w:styleId="Heading7Char">
    <w:name w:val="Heading 7 Char"/>
    <w:basedOn w:val="DefaultParagraphFont"/>
    <w:link w:val="Heading7"/>
    <w:rsid w:val="007657B2"/>
    <w:rPr>
      <w:snapToGrid w:val="0"/>
      <w:szCs w:val="24"/>
    </w:rPr>
  </w:style>
  <w:style w:type="character" w:customStyle="1" w:styleId="Heading8Char">
    <w:name w:val="Heading 8 Char"/>
    <w:basedOn w:val="DefaultParagraphFont"/>
    <w:link w:val="Heading8"/>
    <w:rsid w:val="007657B2"/>
    <w:rPr>
      <w:snapToGrid w:val="0"/>
      <w:szCs w:val="24"/>
    </w:rPr>
  </w:style>
  <w:style w:type="character" w:customStyle="1" w:styleId="Heading9Char">
    <w:name w:val="Heading 9 Char"/>
    <w:basedOn w:val="DefaultParagraphFont"/>
    <w:link w:val="Heading9"/>
    <w:rsid w:val="007657B2"/>
    <w:rPr>
      <w:snapToGrid w:val="0"/>
      <w:szCs w:val="24"/>
    </w:rPr>
  </w:style>
  <w:style w:type="numbering" w:customStyle="1" w:styleId="NoList1">
    <w:name w:val="No List1"/>
    <w:next w:val="NoList"/>
    <w:uiPriority w:val="99"/>
    <w:semiHidden/>
    <w:unhideWhenUsed/>
    <w:rsid w:val="007657B2"/>
  </w:style>
  <w:style w:type="paragraph" w:customStyle="1" w:styleId="TableParagraph">
    <w:name w:val="Table Paragraph"/>
    <w:basedOn w:val="Normal"/>
    <w:uiPriority w:val="1"/>
    <w:qFormat/>
    <w:rsid w:val="007657B2"/>
    <w:pPr>
      <w:autoSpaceDE w:val="0"/>
      <w:autoSpaceDN w:val="0"/>
      <w:adjustRightInd w:val="0"/>
    </w:pPr>
    <w:rPr>
      <w:sz w:val="24"/>
    </w:rPr>
  </w:style>
  <w:style w:type="character" w:customStyle="1" w:styleId="displayhltext1">
    <w:name w:val="display_hl_text1"/>
    <w:basedOn w:val="DefaultParagraphFont"/>
    <w:rsid w:val="00E47A44"/>
    <w:rPr>
      <w:shd w:val="clear" w:color="auto" w:fill="FFFF99"/>
    </w:rPr>
  </w:style>
  <w:style w:type="character" w:customStyle="1" w:styleId="emphi1">
    <w:name w:val="emphi1"/>
    <w:basedOn w:val="DefaultParagraphFont"/>
    <w:rsid w:val="00E47A44"/>
    <w:rPr>
      <w:i/>
      <w:iCs/>
    </w:rPr>
  </w:style>
  <w:style w:type="character" w:customStyle="1" w:styleId="apple-tab-span">
    <w:name w:val="apple-tab-span"/>
    <w:basedOn w:val="DefaultParagraphFont"/>
    <w:rsid w:val="002F149E"/>
  </w:style>
  <w:style w:type="character" w:customStyle="1" w:styleId="costarpage2">
    <w:name w:val="co_starpage2"/>
    <w:basedOn w:val="DefaultParagraphFont"/>
    <w:rsid w:val="000A392E"/>
  </w:style>
  <w:style w:type="paragraph" w:customStyle="1" w:styleId="eading2">
    <w:name w:val="eading 2"/>
    <w:basedOn w:val="Heading1"/>
    <w:rsid w:val="00AF0B56"/>
    <w:rPr>
      <w:color w:val="000000"/>
    </w:rPr>
  </w:style>
  <w:style w:type="paragraph" w:customStyle="1" w:styleId="T">
    <w:name w:val="T"/>
    <w:basedOn w:val="Normal"/>
    <w:rsid w:val="007610F3"/>
    <w:pPr>
      <w:jc w:val="center"/>
    </w:pPr>
  </w:style>
  <w:style w:type="paragraph" w:customStyle="1" w:styleId="Headnig2">
    <w:name w:val="Headnig 2"/>
    <w:basedOn w:val="QS10"/>
    <w:rsid w:val="00A806F0"/>
  </w:style>
  <w:style w:type="paragraph" w:customStyle="1" w:styleId="OutlineBoldL1">
    <w:name w:val="OutlineBold_L1"/>
    <w:basedOn w:val="Normal"/>
    <w:next w:val="Normal"/>
    <w:rsid w:val="00FC3569"/>
    <w:pPr>
      <w:numPr>
        <w:numId w:val="27"/>
      </w:numPr>
      <w:spacing w:after="120"/>
      <w:outlineLvl w:val="0"/>
    </w:pPr>
    <w:rPr>
      <w:b/>
      <w:sz w:val="24"/>
    </w:rPr>
  </w:style>
  <w:style w:type="paragraph" w:customStyle="1" w:styleId="OutlineBoldL2">
    <w:name w:val="OutlineBold_L2"/>
    <w:basedOn w:val="OutlineBoldL1"/>
    <w:next w:val="Normal"/>
    <w:rsid w:val="00FC3569"/>
    <w:pPr>
      <w:numPr>
        <w:ilvl w:val="1"/>
      </w:numPr>
      <w:ind w:left="1440" w:hanging="720"/>
      <w:outlineLvl w:val="1"/>
    </w:pPr>
    <w:rPr>
      <w:b w:val="0"/>
    </w:rPr>
  </w:style>
  <w:style w:type="paragraph" w:customStyle="1" w:styleId="OutlineBoldL3">
    <w:name w:val="OutlineBold_L3"/>
    <w:basedOn w:val="OutlineBoldL2"/>
    <w:next w:val="Normal"/>
    <w:rsid w:val="00FC3569"/>
    <w:pPr>
      <w:numPr>
        <w:ilvl w:val="2"/>
      </w:numPr>
      <w:ind w:left="2160" w:hanging="720"/>
      <w:jc w:val="both"/>
      <w:outlineLvl w:val="2"/>
    </w:pPr>
  </w:style>
  <w:style w:type="paragraph" w:customStyle="1" w:styleId="OutlineBoldL4">
    <w:name w:val="OutlineBold_L4"/>
    <w:basedOn w:val="OutlineBoldL3"/>
    <w:next w:val="Normal"/>
    <w:rsid w:val="00FC3569"/>
    <w:pPr>
      <w:numPr>
        <w:ilvl w:val="3"/>
      </w:numPr>
      <w:outlineLvl w:val="3"/>
    </w:pPr>
  </w:style>
  <w:style w:type="paragraph" w:customStyle="1" w:styleId="OutlineBoldL5">
    <w:name w:val="OutlineBold_L5"/>
    <w:basedOn w:val="OutlineBoldL4"/>
    <w:next w:val="Normal"/>
    <w:rsid w:val="00FC3569"/>
    <w:pPr>
      <w:numPr>
        <w:ilvl w:val="4"/>
      </w:numPr>
      <w:ind w:left="3600" w:hanging="720"/>
      <w:outlineLvl w:val="4"/>
    </w:pPr>
  </w:style>
  <w:style w:type="paragraph" w:customStyle="1" w:styleId="OutlineBoldL6">
    <w:name w:val="OutlineBold_L6"/>
    <w:basedOn w:val="OutlineBoldL5"/>
    <w:next w:val="Normal"/>
    <w:rsid w:val="00FC3569"/>
    <w:pPr>
      <w:numPr>
        <w:ilvl w:val="5"/>
      </w:numPr>
      <w:ind w:left="4320" w:hanging="720"/>
      <w:outlineLvl w:val="5"/>
    </w:pPr>
  </w:style>
  <w:style w:type="paragraph" w:customStyle="1" w:styleId="OutlineBoldL7">
    <w:name w:val="OutlineBold_L7"/>
    <w:basedOn w:val="OutlineBoldL6"/>
    <w:next w:val="Normal"/>
    <w:rsid w:val="00FC3569"/>
    <w:pPr>
      <w:numPr>
        <w:ilvl w:val="6"/>
      </w:numPr>
      <w:ind w:left="5040" w:hanging="720"/>
      <w:outlineLvl w:val="6"/>
    </w:pPr>
  </w:style>
  <w:style w:type="paragraph" w:customStyle="1" w:styleId="OutlineBoldL8">
    <w:name w:val="OutlineBold_L8"/>
    <w:basedOn w:val="OutlineBoldL7"/>
    <w:next w:val="Normal"/>
    <w:rsid w:val="00FC3569"/>
    <w:pPr>
      <w:numPr>
        <w:ilvl w:val="7"/>
      </w:numPr>
      <w:outlineLvl w:val="7"/>
    </w:pPr>
  </w:style>
  <w:style w:type="paragraph" w:customStyle="1" w:styleId="OutlineBoldL9">
    <w:name w:val="OutlineBold_L9"/>
    <w:basedOn w:val="OutlineBoldL8"/>
    <w:next w:val="Normal"/>
    <w:rsid w:val="00FC3569"/>
    <w:pPr>
      <w:numPr>
        <w:ilvl w:val="8"/>
      </w:numPr>
      <w:outlineLvl w:val="8"/>
    </w:pPr>
  </w:style>
  <w:style w:type="character" w:customStyle="1" w:styleId="apple-converted-space">
    <w:name w:val="apple-converted-space"/>
    <w:basedOn w:val="DefaultParagraphFont"/>
    <w:rsid w:val="00746608"/>
  </w:style>
  <w:style w:type="table" w:customStyle="1" w:styleId="TableGrid1">
    <w:name w:val="Table Grid1"/>
    <w:basedOn w:val="TableNormal"/>
    <w:next w:val="TableGrid"/>
    <w:uiPriority w:val="59"/>
    <w:rsid w:val="009B095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9">
    <w:name w:val="CM19"/>
    <w:basedOn w:val="Normal"/>
    <w:next w:val="Normal"/>
    <w:uiPriority w:val="99"/>
    <w:rsid w:val="00C25F2D"/>
    <w:pPr>
      <w:autoSpaceDE w:val="0"/>
      <w:autoSpaceDN w:val="0"/>
      <w:adjustRightInd w:val="0"/>
    </w:pPr>
    <w:rPr>
      <w:rFonts w:ascii="Century Schoolbook" w:eastAsiaTheme="minorHAnsi" w:hAnsi="Century Schoolbook" w:cstheme="minorBidi"/>
      <w:sz w:val="24"/>
    </w:rPr>
  </w:style>
  <w:style w:type="paragraph" w:customStyle="1" w:styleId="Headin2">
    <w:name w:val="Headin 2"/>
    <w:basedOn w:val="hea15"/>
    <w:rsid w:val="00A04CC6"/>
  </w:style>
  <w:style w:type="character" w:styleId="HTMLCite">
    <w:name w:val="HTML Cite"/>
    <w:basedOn w:val="DefaultParagraphFont"/>
    <w:uiPriority w:val="99"/>
    <w:unhideWhenUsed/>
    <w:rsid w:val="00435883"/>
    <w:rPr>
      <w:b w:val="0"/>
      <w:bCs w:val="0"/>
      <w:i w:val="0"/>
      <w:iCs w:val="0"/>
    </w:rPr>
  </w:style>
  <w:style w:type="character" w:styleId="HTMLCode">
    <w:name w:val="HTML Code"/>
    <w:basedOn w:val="DefaultParagraphFont"/>
    <w:uiPriority w:val="99"/>
    <w:unhideWhenUsed/>
    <w:rsid w:val="00435883"/>
    <w:rPr>
      <w:rFonts w:ascii="Courier New" w:eastAsia="Times New Roman" w:hAnsi="Courier New" w:cs="Courier New"/>
      <w:b w:val="0"/>
      <w:bCs w:val="0"/>
      <w:i w:val="0"/>
      <w:iCs w:val="0"/>
      <w:sz w:val="20"/>
      <w:szCs w:val="20"/>
    </w:rPr>
  </w:style>
  <w:style w:type="character" w:styleId="HTMLDefinition">
    <w:name w:val="HTML Definition"/>
    <w:basedOn w:val="DefaultParagraphFont"/>
    <w:uiPriority w:val="99"/>
    <w:unhideWhenUsed/>
    <w:rsid w:val="00435883"/>
    <w:rPr>
      <w:b w:val="0"/>
      <w:bCs w:val="0"/>
      <w:i w:val="0"/>
      <w:iCs w:val="0"/>
    </w:rPr>
  </w:style>
  <w:style w:type="character" w:customStyle="1" w:styleId="HTMLPreformattedChar">
    <w:name w:val="HTML Preformatted Char"/>
    <w:basedOn w:val="DefaultParagraphFont"/>
    <w:link w:val="HTMLPreformatted"/>
    <w:uiPriority w:val="99"/>
    <w:rsid w:val="00435883"/>
    <w:rPr>
      <w:rFonts w:ascii="Courier New" w:hAnsi="Courier New" w:cs="Courier New"/>
      <w:bCs/>
    </w:rPr>
  </w:style>
  <w:style w:type="character" w:styleId="HTMLVariable">
    <w:name w:val="HTML Variable"/>
    <w:basedOn w:val="DefaultParagraphFont"/>
    <w:uiPriority w:val="99"/>
    <w:unhideWhenUsed/>
    <w:rsid w:val="00435883"/>
    <w:rPr>
      <w:b w:val="0"/>
      <w:bCs w:val="0"/>
      <w:i w:val="0"/>
      <w:iCs w:val="0"/>
    </w:rPr>
  </w:style>
  <w:style w:type="paragraph" w:customStyle="1" w:styleId="cofloatleft">
    <w:name w:val="co_floatleft"/>
    <w:basedOn w:val="Normal"/>
    <w:rsid w:val="00435883"/>
    <w:pPr>
      <w:spacing w:before="100" w:beforeAutospacing="1" w:after="100" w:afterAutospacing="1"/>
    </w:pPr>
    <w:rPr>
      <w:bCs w:val="0"/>
      <w:sz w:val="24"/>
    </w:rPr>
  </w:style>
  <w:style w:type="paragraph" w:customStyle="1" w:styleId="cosegmentlink">
    <w:name w:val="co_segmentlink"/>
    <w:basedOn w:val="Normal"/>
    <w:rsid w:val="00435883"/>
    <w:pPr>
      <w:spacing w:before="100" w:beforeAutospacing="1" w:after="100" w:afterAutospacing="1"/>
    </w:pPr>
    <w:rPr>
      <w:bCs w:val="0"/>
      <w:sz w:val="24"/>
    </w:rPr>
  </w:style>
  <w:style w:type="paragraph" w:customStyle="1" w:styleId="is-visually-hidden">
    <w:name w:val="is-visually-hidden"/>
    <w:basedOn w:val="Normal"/>
    <w:rsid w:val="00435883"/>
    <w:pPr>
      <w:ind w:left="-15" w:right="-15"/>
    </w:pPr>
    <w:rPr>
      <w:bCs w:val="0"/>
      <w:sz w:val="24"/>
    </w:rPr>
  </w:style>
  <w:style w:type="paragraph" w:customStyle="1" w:styleId="keyboardinstructionsicon">
    <w:name w:val="keyboardinstructionsicon"/>
    <w:basedOn w:val="Normal"/>
    <w:rsid w:val="00435883"/>
    <w:pPr>
      <w:spacing w:before="100" w:beforeAutospacing="1" w:after="100" w:afterAutospacing="1"/>
      <w:ind w:firstLine="22384"/>
      <w:textAlignment w:val="center"/>
    </w:pPr>
    <w:rPr>
      <w:bCs w:val="0"/>
      <w:sz w:val="24"/>
    </w:rPr>
  </w:style>
  <w:style w:type="paragraph" w:customStyle="1" w:styleId="colinkblue">
    <w:name w:val="co_linkblue"/>
    <w:basedOn w:val="Normal"/>
    <w:rsid w:val="00435883"/>
    <w:pPr>
      <w:spacing w:before="100" w:beforeAutospacing="1" w:after="100" w:afterAutospacing="1"/>
    </w:pPr>
    <w:rPr>
      <w:bCs w:val="0"/>
      <w:color w:val="145DA4"/>
      <w:sz w:val="24"/>
    </w:rPr>
  </w:style>
  <w:style w:type="paragraph" w:customStyle="1" w:styleId="coinactivelink">
    <w:name w:val="co_inactivelink"/>
    <w:basedOn w:val="Normal"/>
    <w:rsid w:val="00435883"/>
    <w:pPr>
      <w:spacing w:before="100" w:beforeAutospacing="1" w:after="100" w:afterAutospacing="1"/>
    </w:pPr>
    <w:rPr>
      <w:bCs w:val="0"/>
      <w:color w:val="D6D6D6"/>
      <w:sz w:val="24"/>
    </w:rPr>
  </w:style>
  <w:style w:type="paragraph" w:customStyle="1" w:styleId="coacclink">
    <w:name w:val="co_acclink"/>
    <w:basedOn w:val="Normal"/>
    <w:rsid w:val="00435883"/>
    <w:pPr>
      <w:spacing w:before="100" w:beforeAutospacing="1" w:after="100" w:afterAutospacing="1"/>
    </w:pPr>
    <w:rPr>
      <w:bCs w:val="0"/>
      <w:sz w:val="24"/>
    </w:rPr>
  </w:style>
  <w:style w:type="paragraph" w:customStyle="1" w:styleId="coaccessibilitylabel">
    <w:name w:val="co_accessibilitylabel"/>
    <w:basedOn w:val="Normal"/>
    <w:rsid w:val="00435883"/>
    <w:pPr>
      <w:spacing w:before="100" w:beforeAutospacing="1" w:after="100" w:afterAutospacing="1"/>
    </w:pPr>
    <w:rPr>
      <w:bCs w:val="0"/>
      <w:sz w:val="24"/>
    </w:rPr>
  </w:style>
  <w:style w:type="paragraph" w:customStyle="1" w:styleId="cohidden">
    <w:name w:val="co_hidden"/>
    <w:basedOn w:val="Normal"/>
    <w:rsid w:val="00435883"/>
    <w:pPr>
      <w:spacing w:before="100" w:beforeAutospacing="1" w:after="100" w:afterAutospacing="1"/>
    </w:pPr>
    <w:rPr>
      <w:bCs w:val="0"/>
      <w:sz w:val="24"/>
    </w:rPr>
  </w:style>
  <w:style w:type="paragraph" w:customStyle="1" w:styleId="coskiptolink">
    <w:name w:val="co_skiptolink"/>
    <w:basedOn w:val="Normal"/>
    <w:rsid w:val="00435883"/>
    <w:pPr>
      <w:spacing w:before="100" w:beforeAutospacing="1" w:after="100" w:afterAutospacing="1"/>
    </w:pPr>
    <w:rPr>
      <w:bCs w:val="0"/>
      <w:sz w:val="24"/>
    </w:rPr>
  </w:style>
  <w:style w:type="paragraph" w:customStyle="1" w:styleId="ui-helper-hidden-accessible">
    <w:name w:val="ui-helper-hidden-accessible"/>
    <w:basedOn w:val="Normal"/>
    <w:rsid w:val="00435883"/>
    <w:pPr>
      <w:spacing w:before="100" w:beforeAutospacing="1" w:after="100" w:afterAutospacing="1"/>
    </w:pPr>
    <w:rPr>
      <w:bCs w:val="0"/>
      <w:sz w:val="24"/>
    </w:rPr>
  </w:style>
  <w:style w:type="paragraph" w:customStyle="1" w:styleId="coclear">
    <w:name w:val="co_clear"/>
    <w:basedOn w:val="Normal"/>
    <w:rsid w:val="00435883"/>
    <w:pPr>
      <w:spacing w:before="100" w:beforeAutospacing="1" w:after="100" w:afterAutospacing="1"/>
    </w:pPr>
    <w:rPr>
      <w:bCs w:val="0"/>
      <w:sz w:val="24"/>
    </w:rPr>
  </w:style>
  <w:style w:type="paragraph" w:customStyle="1" w:styleId="cobordertop">
    <w:name w:val="co_bordertop"/>
    <w:basedOn w:val="Normal"/>
    <w:rsid w:val="00435883"/>
    <w:pPr>
      <w:pBdr>
        <w:top w:val="single" w:sz="6" w:space="0" w:color="CCCCCC"/>
      </w:pBdr>
      <w:spacing w:before="100" w:beforeAutospacing="1" w:after="100" w:afterAutospacing="1"/>
    </w:pPr>
    <w:rPr>
      <w:bCs w:val="0"/>
      <w:sz w:val="24"/>
    </w:rPr>
  </w:style>
  <w:style w:type="paragraph" w:customStyle="1" w:styleId="coborderright">
    <w:name w:val="co_borderright"/>
    <w:basedOn w:val="Normal"/>
    <w:rsid w:val="00435883"/>
    <w:pPr>
      <w:pBdr>
        <w:right w:val="single" w:sz="6" w:space="0" w:color="CCCCCC"/>
      </w:pBdr>
      <w:spacing w:before="100" w:beforeAutospacing="1" w:after="100" w:afterAutospacing="1"/>
    </w:pPr>
    <w:rPr>
      <w:bCs w:val="0"/>
      <w:sz w:val="24"/>
    </w:rPr>
  </w:style>
  <w:style w:type="paragraph" w:customStyle="1" w:styleId="coborderbottom">
    <w:name w:val="co_borderbottom"/>
    <w:basedOn w:val="Normal"/>
    <w:rsid w:val="00435883"/>
    <w:pPr>
      <w:pBdr>
        <w:bottom w:val="single" w:sz="6" w:space="0" w:color="CCCCCC"/>
      </w:pBdr>
      <w:spacing w:before="100" w:beforeAutospacing="1" w:after="100" w:afterAutospacing="1"/>
    </w:pPr>
    <w:rPr>
      <w:bCs w:val="0"/>
      <w:sz w:val="24"/>
    </w:rPr>
  </w:style>
  <w:style w:type="paragraph" w:customStyle="1" w:styleId="coborderleft">
    <w:name w:val="co_borderleft"/>
    <w:basedOn w:val="Normal"/>
    <w:rsid w:val="00435883"/>
    <w:pPr>
      <w:pBdr>
        <w:left w:val="single" w:sz="6" w:space="0" w:color="CCCCCC"/>
      </w:pBdr>
      <w:spacing w:before="100" w:beforeAutospacing="1" w:after="100" w:afterAutospacing="1"/>
    </w:pPr>
    <w:rPr>
      <w:bCs w:val="0"/>
      <w:sz w:val="24"/>
    </w:rPr>
  </w:style>
  <w:style w:type="paragraph" w:customStyle="1" w:styleId="coborderbottomdouble">
    <w:name w:val="co_borderbottomdouble"/>
    <w:basedOn w:val="Normal"/>
    <w:rsid w:val="00435883"/>
    <w:pPr>
      <w:pBdr>
        <w:bottom w:val="double" w:sz="6" w:space="0" w:color="CCCCCC"/>
      </w:pBdr>
      <w:spacing w:before="100" w:beforeAutospacing="1" w:after="100" w:afterAutospacing="1"/>
    </w:pPr>
    <w:rPr>
      <w:bCs w:val="0"/>
      <w:sz w:val="24"/>
    </w:rPr>
  </w:style>
  <w:style w:type="paragraph" w:customStyle="1" w:styleId="redstrikethrough">
    <w:name w:val="redstrikethrough"/>
    <w:basedOn w:val="Normal"/>
    <w:rsid w:val="00435883"/>
    <w:pPr>
      <w:spacing w:before="100" w:beforeAutospacing="1" w:after="100" w:afterAutospacing="1"/>
    </w:pPr>
    <w:rPr>
      <w:bCs w:val="0"/>
      <w:strike/>
      <w:color w:val="B54F68"/>
      <w:sz w:val="24"/>
    </w:rPr>
  </w:style>
  <w:style w:type="paragraph" w:customStyle="1" w:styleId="greenunderline">
    <w:name w:val="greenunderline"/>
    <w:basedOn w:val="Normal"/>
    <w:rsid w:val="00435883"/>
    <w:pPr>
      <w:spacing w:before="100" w:beforeAutospacing="1" w:after="100" w:afterAutospacing="1"/>
    </w:pPr>
    <w:rPr>
      <w:bCs w:val="0"/>
      <w:color w:val="3C763D"/>
      <w:sz w:val="24"/>
      <w:u w:val="single"/>
    </w:rPr>
  </w:style>
  <w:style w:type="paragraph" w:customStyle="1" w:styleId="coblock">
    <w:name w:val="co_block"/>
    <w:basedOn w:val="Normal"/>
    <w:rsid w:val="00435883"/>
    <w:pPr>
      <w:spacing w:before="100" w:beforeAutospacing="1" w:after="100" w:afterAutospacing="1"/>
      <w:jc w:val="both"/>
    </w:pPr>
    <w:rPr>
      <w:bCs w:val="0"/>
      <w:sz w:val="24"/>
    </w:rPr>
  </w:style>
  <w:style w:type="paragraph" w:customStyle="1" w:styleId="coinline">
    <w:name w:val="co_inline"/>
    <w:basedOn w:val="Normal"/>
    <w:rsid w:val="00435883"/>
    <w:pPr>
      <w:spacing w:before="100" w:beforeAutospacing="1" w:after="100" w:afterAutospacing="1"/>
    </w:pPr>
    <w:rPr>
      <w:bCs w:val="0"/>
      <w:sz w:val="24"/>
    </w:rPr>
  </w:style>
  <w:style w:type="paragraph" w:customStyle="1" w:styleId="couppercase">
    <w:name w:val="co_uppercase"/>
    <w:basedOn w:val="Normal"/>
    <w:rsid w:val="00435883"/>
    <w:pPr>
      <w:spacing w:before="100" w:beforeAutospacing="1" w:after="100" w:afterAutospacing="1"/>
    </w:pPr>
    <w:rPr>
      <w:bCs w:val="0"/>
      <w:caps/>
      <w:sz w:val="24"/>
    </w:rPr>
  </w:style>
  <w:style w:type="paragraph" w:customStyle="1" w:styleId="cotextcenter">
    <w:name w:val="co_textcenter"/>
    <w:basedOn w:val="Normal"/>
    <w:rsid w:val="00435883"/>
    <w:pPr>
      <w:spacing w:before="100" w:beforeAutospacing="1" w:after="100" w:afterAutospacing="1"/>
      <w:jc w:val="center"/>
    </w:pPr>
    <w:rPr>
      <w:bCs w:val="0"/>
      <w:sz w:val="24"/>
    </w:rPr>
  </w:style>
  <w:style w:type="paragraph" w:customStyle="1" w:styleId="cotextleft">
    <w:name w:val="co_textleft"/>
    <w:basedOn w:val="Normal"/>
    <w:rsid w:val="00435883"/>
    <w:pPr>
      <w:spacing w:before="100" w:beforeAutospacing="1" w:after="100" w:afterAutospacing="1"/>
    </w:pPr>
    <w:rPr>
      <w:bCs w:val="0"/>
      <w:sz w:val="24"/>
    </w:rPr>
  </w:style>
  <w:style w:type="paragraph" w:customStyle="1" w:styleId="cotextright">
    <w:name w:val="co_textright"/>
    <w:basedOn w:val="Normal"/>
    <w:rsid w:val="00435883"/>
    <w:pPr>
      <w:spacing w:before="100" w:beforeAutospacing="1" w:after="100" w:afterAutospacing="1"/>
      <w:jc w:val="right"/>
    </w:pPr>
    <w:rPr>
      <w:bCs w:val="0"/>
      <w:sz w:val="24"/>
    </w:rPr>
  </w:style>
  <w:style w:type="paragraph" w:customStyle="1" w:styleId="cobumpleft">
    <w:name w:val="co_bumpleft"/>
    <w:basedOn w:val="Normal"/>
    <w:rsid w:val="00435883"/>
    <w:pPr>
      <w:spacing w:before="100" w:beforeAutospacing="1" w:after="100" w:afterAutospacing="1"/>
      <w:ind w:left="240"/>
    </w:pPr>
    <w:rPr>
      <w:bCs w:val="0"/>
      <w:sz w:val="24"/>
    </w:rPr>
  </w:style>
  <w:style w:type="paragraph" w:customStyle="1" w:styleId="cobumpright">
    <w:name w:val="co_bumpright"/>
    <w:basedOn w:val="Normal"/>
    <w:rsid w:val="00435883"/>
    <w:pPr>
      <w:spacing w:before="100" w:beforeAutospacing="1" w:after="100" w:afterAutospacing="1"/>
      <w:ind w:right="240"/>
    </w:pPr>
    <w:rPr>
      <w:bCs w:val="0"/>
      <w:sz w:val="24"/>
    </w:rPr>
  </w:style>
  <w:style w:type="paragraph" w:customStyle="1" w:styleId="conopadding">
    <w:name w:val="co_nopadding"/>
    <w:basedOn w:val="Normal"/>
    <w:rsid w:val="00435883"/>
    <w:pPr>
      <w:spacing w:before="100" w:beforeAutospacing="1" w:after="100" w:afterAutospacing="1"/>
    </w:pPr>
    <w:rPr>
      <w:bCs w:val="0"/>
      <w:sz w:val="24"/>
    </w:rPr>
  </w:style>
  <w:style w:type="paragraph" w:customStyle="1" w:styleId="conowrap">
    <w:name w:val="co_nowrap"/>
    <w:basedOn w:val="Normal"/>
    <w:rsid w:val="00435883"/>
    <w:pPr>
      <w:spacing w:before="100" w:beforeAutospacing="1" w:after="100" w:afterAutospacing="1"/>
    </w:pPr>
    <w:rPr>
      <w:bCs w:val="0"/>
      <w:sz w:val="24"/>
    </w:rPr>
  </w:style>
  <w:style w:type="paragraph" w:customStyle="1" w:styleId="counderline">
    <w:name w:val="co_underline"/>
    <w:basedOn w:val="Normal"/>
    <w:rsid w:val="00435883"/>
    <w:pPr>
      <w:spacing w:before="100" w:beforeAutospacing="1" w:after="100" w:afterAutospacing="1"/>
    </w:pPr>
    <w:rPr>
      <w:bCs w:val="0"/>
      <w:sz w:val="24"/>
      <w:u w:val="single"/>
    </w:rPr>
  </w:style>
  <w:style w:type="paragraph" w:customStyle="1" w:styleId="coitalic">
    <w:name w:val="co_italic"/>
    <w:basedOn w:val="Normal"/>
    <w:rsid w:val="00435883"/>
    <w:pPr>
      <w:spacing w:before="100" w:beforeAutospacing="1" w:after="100" w:afterAutospacing="1"/>
    </w:pPr>
    <w:rPr>
      <w:bCs w:val="0"/>
      <w:i/>
      <w:iCs/>
      <w:sz w:val="24"/>
    </w:rPr>
  </w:style>
  <w:style w:type="paragraph" w:customStyle="1" w:styleId="cobold">
    <w:name w:val="co_bold"/>
    <w:basedOn w:val="Normal"/>
    <w:rsid w:val="00435883"/>
    <w:pPr>
      <w:spacing w:before="100" w:beforeAutospacing="1" w:after="100" w:afterAutospacing="1"/>
    </w:pPr>
    <w:rPr>
      <w:b/>
      <w:sz w:val="24"/>
    </w:rPr>
  </w:style>
  <w:style w:type="paragraph" w:customStyle="1" w:styleId="colistalpha">
    <w:name w:val="co_listalpha"/>
    <w:basedOn w:val="Normal"/>
    <w:rsid w:val="00435883"/>
    <w:pPr>
      <w:spacing w:before="100" w:beforeAutospacing="1" w:after="100" w:afterAutospacing="1"/>
      <w:ind w:left="450"/>
    </w:pPr>
    <w:rPr>
      <w:bCs w:val="0"/>
      <w:sz w:val="24"/>
    </w:rPr>
  </w:style>
  <w:style w:type="paragraph" w:customStyle="1" w:styleId="colistbullet">
    <w:name w:val="co_listbullet"/>
    <w:basedOn w:val="Normal"/>
    <w:rsid w:val="00435883"/>
    <w:pPr>
      <w:spacing w:before="100" w:beforeAutospacing="1" w:after="100" w:afterAutospacing="1"/>
      <w:ind w:left="450"/>
    </w:pPr>
    <w:rPr>
      <w:bCs w:val="0"/>
      <w:sz w:val="24"/>
    </w:rPr>
  </w:style>
  <w:style w:type="paragraph" w:customStyle="1" w:styleId="colistcircle">
    <w:name w:val="co_listcircle"/>
    <w:basedOn w:val="Normal"/>
    <w:rsid w:val="00435883"/>
    <w:pPr>
      <w:spacing w:before="100" w:beforeAutospacing="1" w:after="100" w:afterAutospacing="1"/>
      <w:ind w:left="450"/>
    </w:pPr>
    <w:rPr>
      <w:bCs w:val="0"/>
      <w:sz w:val="24"/>
    </w:rPr>
  </w:style>
  <w:style w:type="paragraph" w:customStyle="1" w:styleId="colistdecimal">
    <w:name w:val="co_listdecimal"/>
    <w:basedOn w:val="Normal"/>
    <w:rsid w:val="00435883"/>
    <w:pPr>
      <w:spacing w:before="100" w:beforeAutospacing="1" w:after="100" w:afterAutospacing="1"/>
      <w:ind w:left="450"/>
    </w:pPr>
    <w:rPr>
      <w:bCs w:val="0"/>
      <w:sz w:val="24"/>
    </w:rPr>
  </w:style>
  <w:style w:type="paragraph" w:customStyle="1" w:styleId="cofontcourier">
    <w:name w:val="co_fontcourier"/>
    <w:basedOn w:val="Normal"/>
    <w:rsid w:val="00435883"/>
    <w:pPr>
      <w:spacing w:before="100" w:beforeAutospacing="1" w:after="100" w:afterAutospacing="1"/>
    </w:pPr>
    <w:rPr>
      <w:rFonts w:ascii="Courier New" w:hAnsi="Courier New" w:cs="Courier New"/>
      <w:bCs w:val="0"/>
      <w:sz w:val="24"/>
    </w:rPr>
  </w:style>
  <w:style w:type="paragraph" w:customStyle="1" w:styleId="coverticalalignbottom">
    <w:name w:val="co_verticalalignbottom"/>
    <w:basedOn w:val="Normal"/>
    <w:rsid w:val="00435883"/>
    <w:pPr>
      <w:spacing w:before="100" w:beforeAutospacing="1" w:after="100" w:afterAutospacing="1"/>
      <w:textAlignment w:val="bottom"/>
    </w:pPr>
    <w:rPr>
      <w:bCs w:val="0"/>
      <w:sz w:val="24"/>
    </w:rPr>
  </w:style>
  <w:style w:type="paragraph" w:customStyle="1" w:styleId="coverticalalignmiddle">
    <w:name w:val="co_verticalalignmiddle"/>
    <w:basedOn w:val="Normal"/>
    <w:rsid w:val="00435883"/>
    <w:pPr>
      <w:spacing w:before="100" w:beforeAutospacing="1" w:after="100" w:afterAutospacing="1"/>
      <w:textAlignment w:val="center"/>
    </w:pPr>
    <w:rPr>
      <w:bCs w:val="0"/>
      <w:sz w:val="24"/>
    </w:rPr>
  </w:style>
  <w:style w:type="paragraph" w:customStyle="1" w:styleId="coverticalaligntop">
    <w:name w:val="co_verticalaligntop"/>
    <w:basedOn w:val="Normal"/>
    <w:rsid w:val="00435883"/>
    <w:pPr>
      <w:spacing w:before="100" w:beforeAutospacing="1" w:after="100" w:afterAutospacing="1"/>
      <w:textAlignment w:val="top"/>
    </w:pPr>
    <w:rPr>
      <w:bCs w:val="0"/>
      <w:sz w:val="24"/>
    </w:rPr>
  </w:style>
  <w:style w:type="paragraph" w:customStyle="1" w:styleId="cogreenstatus">
    <w:name w:val="co_greenstatus"/>
    <w:basedOn w:val="Normal"/>
    <w:rsid w:val="00435883"/>
    <w:pPr>
      <w:spacing w:before="100" w:beforeAutospacing="1" w:after="100" w:afterAutospacing="1"/>
    </w:pPr>
    <w:rPr>
      <w:bCs w:val="0"/>
      <w:color w:val="158915"/>
      <w:sz w:val="24"/>
    </w:rPr>
  </w:style>
  <w:style w:type="paragraph" w:customStyle="1" w:styleId="coredstatus">
    <w:name w:val="co_redstatus"/>
    <w:basedOn w:val="Normal"/>
    <w:rsid w:val="00435883"/>
    <w:pPr>
      <w:spacing w:before="100" w:beforeAutospacing="1" w:after="100" w:afterAutospacing="1"/>
    </w:pPr>
    <w:rPr>
      <w:bCs w:val="0"/>
      <w:color w:val="B54F68"/>
      <w:sz w:val="24"/>
    </w:rPr>
  </w:style>
  <w:style w:type="paragraph" w:customStyle="1" w:styleId="codropdownboxcollapsed">
    <w:name w:val="co_dropdownboxcollapsed"/>
    <w:basedOn w:val="Normal"/>
    <w:rsid w:val="00435883"/>
    <w:pPr>
      <w:spacing w:before="100" w:beforeAutospacing="1" w:after="100" w:afterAutospacing="1"/>
    </w:pPr>
    <w:rPr>
      <w:bCs w:val="0"/>
      <w:vanish/>
      <w:sz w:val="24"/>
    </w:rPr>
  </w:style>
  <w:style w:type="paragraph" w:customStyle="1" w:styleId="codropdownlist">
    <w:name w:val="co_dropdownlist"/>
    <w:basedOn w:val="Normal"/>
    <w:rsid w:val="00435883"/>
    <w:pPr>
      <w:spacing w:before="100" w:beforeAutospacing="1" w:after="100" w:afterAutospacing="1"/>
    </w:pPr>
    <w:rPr>
      <w:bCs w:val="0"/>
      <w:vanish/>
      <w:sz w:val="24"/>
    </w:rPr>
  </w:style>
  <w:style w:type="paragraph" w:customStyle="1" w:styleId="codropdownlisthidden">
    <w:name w:val="co_dropdownlisthidden"/>
    <w:basedOn w:val="Normal"/>
    <w:rsid w:val="00435883"/>
    <w:pPr>
      <w:spacing w:before="100" w:beforeAutospacing="1" w:after="100" w:afterAutospacing="1"/>
    </w:pPr>
    <w:rPr>
      <w:bCs w:val="0"/>
      <w:vanish/>
      <w:sz w:val="24"/>
    </w:rPr>
  </w:style>
  <w:style w:type="paragraph" w:customStyle="1" w:styleId="codropdownlistitemhidden">
    <w:name w:val="co_dropdownlistitemhidden"/>
    <w:basedOn w:val="Normal"/>
    <w:rsid w:val="00435883"/>
    <w:pPr>
      <w:spacing w:before="100" w:beforeAutospacing="1" w:after="100" w:afterAutospacing="1"/>
    </w:pPr>
    <w:rPr>
      <w:bCs w:val="0"/>
      <w:vanish/>
      <w:sz w:val="24"/>
    </w:rPr>
  </w:style>
  <w:style w:type="paragraph" w:customStyle="1" w:styleId="codropdownstatusmessagehidden">
    <w:name w:val="co_dropdownstatusmessagehidden"/>
    <w:basedOn w:val="Normal"/>
    <w:rsid w:val="00435883"/>
    <w:pPr>
      <w:spacing w:before="100" w:beforeAutospacing="1" w:after="100" w:afterAutospacing="1"/>
    </w:pPr>
    <w:rPr>
      <w:bCs w:val="0"/>
      <w:vanish/>
      <w:sz w:val="24"/>
    </w:rPr>
  </w:style>
  <w:style w:type="paragraph" w:customStyle="1" w:styleId="codropdownboxexpanded">
    <w:name w:val="co_dropdownboxexpanded"/>
    <w:basedOn w:val="Normal"/>
    <w:rsid w:val="00435883"/>
    <w:pPr>
      <w:pBdr>
        <w:top w:val="single" w:sz="6" w:space="2" w:color="C9C9C9"/>
        <w:left w:val="single" w:sz="6" w:space="0" w:color="C9C9C9"/>
        <w:bottom w:val="single" w:sz="6" w:space="2" w:color="C9C9C9"/>
        <w:right w:val="single" w:sz="6" w:space="0" w:color="C9C9C9"/>
      </w:pBdr>
      <w:shd w:val="clear" w:color="auto" w:fill="FFFFFF"/>
    </w:pPr>
    <w:rPr>
      <w:bCs w:val="0"/>
      <w:sz w:val="24"/>
    </w:rPr>
  </w:style>
  <w:style w:type="paragraph" w:customStyle="1" w:styleId="coellipsis">
    <w:name w:val="co_ellipsis"/>
    <w:basedOn w:val="Normal"/>
    <w:rsid w:val="00435883"/>
    <w:pPr>
      <w:spacing w:before="100" w:beforeAutospacing="1" w:after="100" w:afterAutospacing="1"/>
    </w:pPr>
    <w:rPr>
      <w:bCs w:val="0"/>
      <w:sz w:val="24"/>
    </w:rPr>
  </w:style>
  <w:style w:type="paragraph" w:customStyle="1" w:styleId="colayoutprespacedcontent">
    <w:name w:val="co_layoutprespacedcontent"/>
    <w:basedOn w:val="Normal"/>
    <w:rsid w:val="00435883"/>
    <w:pPr>
      <w:spacing w:before="100" w:beforeAutospacing="1" w:after="100" w:afterAutospacing="1"/>
    </w:pPr>
    <w:rPr>
      <w:rFonts w:ascii="Courier New" w:hAnsi="Courier New" w:cs="Courier New"/>
      <w:bCs w:val="0"/>
      <w:sz w:val="24"/>
    </w:rPr>
  </w:style>
  <w:style w:type="paragraph" w:customStyle="1" w:styleId="copreformattedtextblock">
    <w:name w:val="co_preformattedtextblock"/>
    <w:basedOn w:val="Normal"/>
    <w:rsid w:val="00435883"/>
    <w:pPr>
      <w:spacing w:before="100" w:beforeAutospacing="1" w:after="100" w:afterAutospacing="1"/>
    </w:pPr>
    <w:rPr>
      <w:rFonts w:ascii="Courier New" w:hAnsi="Courier New" w:cs="Courier New"/>
      <w:bCs w:val="0"/>
      <w:sz w:val="24"/>
    </w:rPr>
  </w:style>
  <w:style w:type="paragraph" w:customStyle="1" w:styleId="cofontsize12">
    <w:name w:val="co_fontsize12"/>
    <w:basedOn w:val="Normal"/>
    <w:rsid w:val="00435883"/>
    <w:pPr>
      <w:spacing w:before="100" w:beforeAutospacing="1" w:after="100" w:afterAutospacing="1"/>
    </w:pPr>
    <w:rPr>
      <w:bCs w:val="0"/>
      <w:sz w:val="21"/>
      <w:szCs w:val="21"/>
    </w:rPr>
  </w:style>
  <w:style w:type="paragraph" w:customStyle="1" w:styleId="cofontsize16">
    <w:name w:val="co_fontsize16"/>
    <w:basedOn w:val="Normal"/>
    <w:rsid w:val="00435883"/>
    <w:pPr>
      <w:spacing w:before="100" w:beforeAutospacing="1" w:after="100" w:afterAutospacing="1"/>
    </w:pPr>
    <w:rPr>
      <w:bCs w:val="0"/>
      <w:sz w:val="27"/>
      <w:szCs w:val="27"/>
    </w:rPr>
  </w:style>
  <w:style w:type="paragraph" w:customStyle="1" w:styleId="cofontsize14">
    <w:name w:val="co_fontsize14"/>
    <w:basedOn w:val="Normal"/>
    <w:rsid w:val="00435883"/>
    <w:pPr>
      <w:spacing w:before="100" w:beforeAutospacing="1" w:after="100" w:afterAutospacing="1"/>
    </w:pPr>
    <w:rPr>
      <w:bCs w:val="0"/>
      <w:sz w:val="24"/>
    </w:rPr>
  </w:style>
  <w:style w:type="paragraph" w:customStyle="1" w:styleId="cofontsize24">
    <w:name w:val="co_fontsize24"/>
    <w:basedOn w:val="Normal"/>
    <w:rsid w:val="00435883"/>
    <w:pPr>
      <w:spacing w:before="100" w:beforeAutospacing="1" w:after="100" w:afterAutospacing="1"/>
    </w:pPr>
    <w:rPr>
      <w:bCs w:val="0"/>
      <w:sz w:val="41"/>
      <w:szCs w:val="41"/>
    </w:rPr>
  </w:style>
  <w:style w:type="paragraph" w:customStyle="1" w:styleId="cofontsize72">
    <w:name w:val="co_fontsize72"/>
    <w:basedOn w:val="Normal"/>
    <w:rsid w:val="00435883"/>
    <w:pPr>
      <w:spacing w:before="100" w:beforeAutospacing="1" w:after="100" w:afterAutospacing="1"/>
    </w:pPr>
    <w:rPr>
      <w:bCs w:val="0"/>
      <w:sz w:val="123"/>
      <w:szCs w:val="123"/>
    </w:rPr>
  </w:style>
  <w:style w:type="paragraph" w:customStyle="1" w:styleId="coindentleft">
    <w:name w:val="co_indentleft"/>
    <w:basedOn w:val="Normal"/>
    <w:rsid w:val="00435883"/>
    <w:pPr>
      <w:spacing w:before="100" w:beforeAutospacing="1" w:after="100" w:afterAutospacing="1"/>
    </w:pPr>
    <w:rPr>
      <w:bCs w:val="0"/>
      <w:sz w:val="24"/>
    </w:rPr>
  </w:style>
  <w:style w:type="paragraph" w:customStyle="1" w:styleId="coindentleft1">
    <w:name w:val="co_indentleft1"/>
    <w:basedOn w:val="Normal"/>
    <w:rsid w:val="00435883"/>
    <w:pPr>
      <w:spacing w:before="100" w:beforeAutospacing="1" w:after="100" w:afterAutospacing="1"/>
    </w:pPr>
    <w:rPr>
      <w:bCs w:val="0"/>
      <w:sz w:val="24"/>
    </w:rPr>
  </w:style>
  <w:style w:type="paragraph" w:customStyle="1" w:styleId="coindentleft2">
    <w:name w:val="co_indentleft2"/>
    <w:basedOn w:val="Normal"/>
    <w:rsid w:val="00435883"/>
    <w:pPr>
      <w:spacing w:before="100" w:beforeAutospacing="1" w:after="100" w:afterAutospacing="1"/>
    </w:pPr>
    <w:rPr>
      <w:bCs w:val="0"/>
      <w:sz w:val="24"/>
    </w:rPr>
  </w:style>
  <w:style w:type="paragraph" w:customStyle="1" w:styleId="coindentleft3">
    <w:name w:val="co_indentleft3"/>
    <w:basedOn w:val="Normal"/>
    <w:rsid w:val="00435883"/>
    <w:pPr>
      <w:spacing w:before="100" w:beforeAutospacing="1" w:after="100" w:afterAutospacing="1"/>
    </w:pPr>
    <w:rPr>
      <w:bCs w:val="0"/>
      <w:sz w:val="24"/>
    </w:rPr>
  </w:style>
  <w:style w:type="paragraph" w:customStyle="1" w:styleId="coindentleft4">
    <w:name w:val="co_indentleft4"/>
    <w:basedOn w:val="Normal"/>
    <w:rsid w:val="00435883"/>
    <w:pPr>
      <w:spacing w:before="100" w:beforeAutospacing="1" w:after="100" w:afterAutospacing="1"/>
    </w:pPr>
    <w:rPr>
      <w:bCs w:val="0"/>
      <w:sz w:val="24"/>
    </w:rPr>
  </w:style>
  <w:style w:type="paragraph" w:customStyle="1" w:styleId="coindentleft5">
    <w:name w:val="co_indentleft5"/>
    <w:basedOn w:val="Normal"/>
    <w:rsid w:val="00435883"/>
    <w:pPr>
      <w:spacing w:before="100" w:beforeAutospacing="1" w:after="100" w:afterAutospacing="1"/>
    </w:pPr>
    <w:rPr>
      <w:bCs w:val="0"/>
      <w:sz w:val="24"/>
    </w:rPr>
  </w:style>
  <w:style w:type="paragraph" w:customStyle="1" w:styleId="coindentleft6">
    <w:name w:val="co_indentleft6"/>
    <w:basedOn w:val="Normal"/>
    <w:rsid w:val="00435883"/>
    <w:pPr>
      <w:spacing w:before="100" w:beforeAutospacing="1" w:after="100" w:afterAutospacing="1"/>
    </w:pPr>
    <w:rPr>
      <w:bCs w:val="0"/>
      <w:sz w:val="24"/>
    </w:rPr>
  </w:style>
  <w:style w:type="paragraph" w:customStyle="1" w:styleId="coindentleft7">
    <w:name w:val="co_indentleft7"/>
    <w:basedOn w:val="Normal"/>
    <w:rsid w:val="00435883"/>
    <w:pPr>
      <w:spacing w:before="100" w:beforeAutospacing="1" w:after="100" w:afterAutospacing="1"/>
    </w:pPr>
    <w:rPr>
      <w:bCs w:val="0"/>
      <w:sz w:val="24"/>
    </w:rPr>
  </w:style>
  <w:style w:type="paragraph" w:customStyle="1" w:styleId="coindentleft8">
    <w:name w:val="co_indentleft8"/>
    <w:basedOn w:val="Normal"/>
    <w:rsid w:val="00435883"/>
    <w:pPr>
      <w:spacing w:before="100" w:beforeAutospacing="1" w:after="100" w:afterAutospacing="1"/>
    </w:pPr>
    <w:rPr>
      <w:bCs w:val="0"/>
      <w:sz w:val="24"/>
    </w:rPr>
  </w:style>
  <w:style w:type="paragraph" w:customStyle="1" w:styleId="coindentright">
    <w:name w:val="co_indentright"/>
    <w:basedOn w:val="Normal"/>
    <w:rsid w:val="00435883"/>
    <w:pPr>
      <w:spacing w:before="100" w:beforeAutospacing="1" w:after="100" w:afterAutospacing="1"/>
    </w:pPr>
    <w:rPr>
      <w:bCs w:val="0"/>
      <w:sz w:val="24"/>
    </w:rPr>
  </w:style>
  <w:style w:type="paragraph" w:customStyle="1" w:styleId="coindentright1">
    <w:name w:val="co_indentright1"/>
    <w:basedOn w:val="Normal"/>
    <w:rsid w:val="00435883"/>
    <w:pPr>
      <w:spacing w:before="100" w:beforeAutospacing="1" w:after="100" w:afterAutospacing="1"/>
    </w:pPr>
    <w:rPr>
      <w:bCs w:val="0"/>
      <w:sz w:val="24"/>
    </w:rPr>
  </w:style>
  <w:style w:type="paragraph" w:customStyle="1" w:styleId="coindentright2">
    <w:name w:val="co_indentright2"/>
    <w:basedOn w:val="Normal"/>
    <w:rsid w:val="00435883"/>
    <w:pPr>
      <w:spacing w:before="100" w:beforeAutospacing="1" w:after="100" w:afterAutospacing="1"/>
    </w:pPr>
    <w:rPr>
      <w:bCs w:val="0"/>
      <w:sz w:val="24"/>
    </w:rPr>
  </w:style>
  <w:style w:type="paragraph" w:customStyle="1" w:styleId="coindentright3">
    <w:name w:val="co_indentright3"/>
    <w:basedOn w:val="Normal"/>
    <w:rsid w:val="00435883"/>
    <w:pPr>
      <w:spacing w:before="100" w:beforeAutospacing="1" w:after="100" w:afterAutospacing="1"/>
    </w:pPr>
    <w:rPr>
      <w:bCs w:val="0"/>
      <w:sz w:val="24"/>
    </w:rPr>
  </w:style>
  <w:style w:type="paragraph" w:customStyle="1" w:styleId="coindentright4">
    <w:name w:val="co_indentright4"/>
    <w:basedOn w:val="Normal"/>
    <w:rsid w:val="00435883"/>
    <w:pPr>
      <w:spacing w:before="100" w:beforeAutospacing="1" w:after="100" w:afterAutospacing="1"/>
    </w:pPr>
    <w:rPr>
      <w:bCs w:val="0"/>
      <w:sz w:val="24"/>
    </w:rPr>
  </w:style>
  <w:style w:type="paragraph" w:customStyle="1" w:styleId="coindentright5">
    <w:name w:val="co_indentright5"/>
    <w:basedOn w:val="Normal"/>
    <w:rsid w:val="00435883"/>
    <w:pPr>
      <w:spacing w:before="100" w:beforeAutospacing="1" w:after="100" w:afterAutospacing="1"/>
    </w:pPr>
    <w:rPr>
      <w:bCs w:val="0"/>
      <w:sz w:val="24"/>
    </w:rPr>
  </w:style>
  <w:style w:type="paragraph" w:customStyle="1" w:styleId="coindentright6">
    <w:name w:val="co_indentright6"/>
    <w:basedOn w:val="Normal"/>
    <w:rsid w:val="00435883"/>
    <w:pPr>
      <w:spacing w:before="100" w:beforeAutospacing="1" w:after="100" w:afterAutospacing="1"/>
    </w:pPr>
    <w:rPr>
      <w:bCs w:val="0"/>
      <w:sz w:val="24"/>
    </w:rPr>
  </w:style>
  <w:style w:type="paragraph" w:customStyle="1" w:styleId="coindentright7">
    <w:name w:val="co_indentright7"/>
    <w:basedOn w:val="Normal"/>
    <w:rsid w:val="00435883"/>
    <w:pPr>
      <w:spacing w:before="100" w:beforeAutospacing="1" w:after="100" w:afterAutospacing="1"/>
    </w:pPr>
    <w:rPr>
      <w:bCs w:val="0"/>
      <w:sz w:val="24"/>
    </w:rPr>
  </w:style>
  <w:style w:type="paragraph" w:customStyle="1" w:styleId="coindentright8">
    <w:name w:val="co_indentright8"/>
    <w:basedOn w:val="Normal"/>
    <w:rsid w:val="00435883"/>
    <w:pPr>
      <w:spacing w:before="100" w:beforeAutospacing="1" w:after="100" w:afterAutospacing="1"/>
    </w:pPr>
    <w:rPr>
      <w:bCs w:val="0"/>
      <w:sz w:val="24"/>
    </w:rPr>
  </w:style>
  <w:style w:type="paragraph" w:customStyle="1" w:styleId="coindenthanging">
    <w:name w:val="co_indenthanging"/>
    <w:basedOn w:val="Normal"/>
    <w:rsid w:val="00435883"/>
    <w:pPr>
      <w:spacing w:before="100" w:beforeAutospacing="1" w:after="100" w:afterAutospacing="1"/>
      <w:ind w:left="240" w:hanging="240"/>
    </w:pPr>
    <w:rPr>
      <w:bCs w:val="0"/>
      <w:sz w:val="24"/>
    </w:rPr>
  </w:style>
  <w:style w:type="paragraph" w:customStyle="1" w:styleId="coindenthanging1">
    <w:name w:val="co_indenthanging1"/>
    <w:basedOn w:val="Normal"/>
    <w:rsid w:val="00435883"/>
    <w:pPr>
      <w:spacing w:before="100" w:beforeAutospacing="1" w:after="100" w:afterAutospacing="1"/>
      <w:ind w:left="240" w:hanging="240"/>
    </w:pPr>
    <w:rPr>
      <w:bCs w:val="0"/>
      <w:sz w:val="24"/>
    </w:rPr>
  </w:style>
  <w:style w:type="paragraph" w:customStyle="1" w:styleId="coindenthanging2">
    <w:name w:val="co_indenthanging2"/>
    <w:basedOn w:val="Normal"/>
    <w:rsid w:val="00435883"/>
    <w:pPr>
      <w:spacing w:before="100" w:beforeAutospacing="1" w:after="100" w:afterAutospacing="1"/>
      <w:ind w:left="240" w:hanging="240"/>
    </w:pPr>
    <w:rPr>
      <w:bCs w:val="0"/>
      <w:sz w:val="24"/>
    </w:rPr>
  </w:style>
  <w:style w:type="paragraph" w:customStyle="1" w:styleId="coindenthanging3">
    <w:name w:val="co_indenthanging3"/>
    <w:basedOn w:val="Normal"/>
    <w:rsid w:val="00435883"/>
    <w:pPr>
      <w:spacing w:before="100" w:beforeAutospacing="1" w:after="100" w:afterAutospacing="1"/>
      <w:ind w:left="240" w:hanging="240"/>
    </w:pPr>
    <w:rPr>
      <w:bCs w:val="0"/>
      <w:sz w:val="24"/>
    </w:rPr>
  </w:style>
  <w:style w:type="paragraph" w:customStyle="1" w:styleId="coindenthanging4">
    <w:name w:val="co_indenthanging4"/>
    <w:basedOn w:val="Normal"/>
    <w:rsid w:val="00435883"/>
    <w:pPr>
      <w:spacing w:before="100" w:beforeAutospacing="1" w:after="100" w:afterAutospacing="1"/>
      <w:ind w:left="240" w:hanging="240"/>
    </w:pPr>
    <w:rPr>
      <w:bCs w:val="0"/>
      <w:sz w:val="24"/>
    </w:rPr>
  </w:style>
  <w:style w:type="paragraph" w:customStyle="1" w:styleId="coindenthanging5">
    <w:name w:val="co_indenthanging5"/>
    <w:basedOn w:val="Normal"/>
    <w:rsid w:val="00435883"/>
    <w:pPr>
      <w:spacing w:before="100" w:beforeAutospacing="1" w:after="100" w:afterAutospacing="1"/>
      <w:ind w:left="240" w:hanging="240"/>
    </w:pPr>
    <w:rPr>
      <w:bCs w:val="0"/>
      <w:sz w:val="24"/>
    </w:rPr>
  </w:style>
  <w:style w:type="paragraph" w:customStyle="1" w:styleId="codivider">
    <w:name w:val="co_divider"/>
    <w:basedOn w:val="Normal"/>
    <w:rsid w:val="00435883"/>
    <w:pPr>
      <w:pBdr>
        <w:top w:val="dotted" w:sz="6" w:space="6" w:color="CCCCCC"/>
      </w:pBdr>
      <w:spacing w:before="120" w:after="100" w:afterAutospacing="1"/>
    </w:pPr>
    <w:rPr>
      <w:bCs w:val="0"/>
      <w:sz w:val="24"/>
    </w:rPr>
  </w:style>
  <w:style w:type="paragraph" w:customStyle="1" w:styleId="cohelplink">
    <w:name w:val="co_helplink"/>
    <w:basedOn w:val="Normal"/>
    <w:rsid w:val="00435883"/>
    <w:pPr>
      <w:spacing w:before="100" w:beforeAutospacing="1" w:after="100" w:afterAutospacing="1"/>
      <w:ind w:left="75" w:hanging="3928"/>
      <w:textAlignment w:val="top"/>
    </w:pPr>
    <w:rPr>
      <w:bCs w:val="0"/>
      <w:sz w:val="24"/>
    </w:rPr>
  </w:style>
  <w:style w:type="paragraph" w:customStyle="1" w:styleId="colinkout">
    <w:name w:val="co_linkout"/>
    <w:basedOn w:val="Normal"/>
    <w:rsid w:val="00435883"/>
    <w:pPr>
      <w:spacing w:before="100" w:beforeAutospacing="1" w:after="100" w:afterAutospacing="1"/>
    </w:pPr>
    <w:rPr>
      <w:bCs w:val="0"/>
      <w:sz w:val="24"/>
    </w:rPr>
  </w:style>
  <w:style w:type="paragraph" w:customStyle="1" w:styleId="counlink">
    <w:name w:val="co_unlink"/>
    <w:basedOn w:val="Normal"/>
    <w:rsid w:val="00435883"/>
    <w:pPr>
      <w:spacing w:before="100" w:beforeAutospacing="1" w:after="100" w:afterAutospacing="1"/>
    </w:pPr>
    <w:rPr>
      <w:bCs w:val="0"/>
      <w:color w:val="212121"/>
      <w:sz w:val="24"/>
    </w:rPr>
  </w:style>
  <w:style w:type="paragraph" w:customStyle="1" w:styleId="codisabled">
    <w:name w:val="co_disabled"/>
    <w:basedOn w:val="Normal"/>
    <w:rsid w:val="00435883"/>
    <w:pPr>
      <w:spacing w:before="100" w:beforeAutospacing="1" w:after="100" w:afterAutospacing="1"/>
    </w:pPr>
    <w:rPr>
      <w:bCs w:val="0"/>
      <w:color w:val="979797"/>
      <w:sz w:val="24"/>
    </w:rPr>
  </w:style>
  <w:style w:type="paragraph" w:customStyle="1" w:styleId="disabled">
    <w:name w:val="disabled"/>
    <w:basedOn w:val="Normal"/>
    <w:rsid w:val="00435883"/>
    <w:pPr>
      <w:spacing w:before="100" w:beforeAutospacing="1" w:after="100" w:afterAutospacing="1"/>
    </w:pPr>
    <w:rPr>
      <w:bCs w:val="0"/>
      <w:color w:val="979797"/>
      <w:sz w:val="24"/>
    </w:rPr>
  </w:style>
  <w:style w:type="paragraph" w:customStyle="1" w:styleId="colistitem">
    <w:name w:val="co_listitem"/>
    <w:basedOn w:val="Normal"/>
    <w:rsid w:val="00435883"/>
    <w:pPr>
      <w:spacing w:before="100" w:beforeAutospacing="1" w:after="100" w:afterAutospacing="1" w:line="285" w:lineRule="atLeast"/>
    </w:pPr>
    <w:rPr>
      <w:bCs w:val="0"/>
      <w:sz w:val="24"/>
    </w:rPr>
  </w:style>
  <w:style w:type="paragraph" w:customStyle="1" w:styleId="ui-slider-vertical">
    <w:name w:val="ui-slider-vertical"/>
    <w:basedOn w:val="Normal"/>
    <w:rsid w:val="00435883"/>
    <w:pPr>
      <w:spacing w:before="100" w:beforeAutospacing="1" w:after="100" w:afterAutospacing="1"/>
    </w:pPr>
    <w:rPr>
      <w:bCs w:val="0"/>
      <w:sz w:val="24"/>
    </w:rPr>
  </w:style>
  <w:style w:type="paragraph" w:customStyle="1" w:styleId="ui-slider">
    <w:name w:val="ui-slider"/>
    <w:basedOn w:val="Normal"/>
    <w:rsid w:val="00435883"/>
    <w:pPr>
      <w:spacing w:before="100" w:beforeAutospacing="1" w:after="100" w:afterAutospacing="1"/>
    </w:pPr>
    <w:rPr>
      <w:bCs w:val="0"/>
      <w:sz w:val="24"/>
    </w:rPr>
  </w:style>
  <w:style w:type="paragraph" w:customStyle="1" w:styleId="ui-resizable">
    <w:name w:val="ui-resizable"/>
    <w:basedOn w:val="Normal"/>
    <w:rsid w:val="00435883"/>
    <w:pPr>
      <w:pBdr>
        <w:top w:val="single" w:sz="6" w:space="0" w:color="E1E1E1"/>
        <w:left w:val="single" w:sz="6" w:space="0" w:color="E1E1E1"/>
        <w:bottom w:val="single" w:sz="6" w:space="0" w:color="E1E1E1"/>
        <w:right w:val="single" w:sz="6" w:space="0" w:color="E1E1E1"/>
      </w:pBdr>
      <w:spacing w:before="100" w:beforeAutospacing="1" w:after="100" w:afterAutospacing="1"/>
    </w:pPr>
    <w:rPr>
      <w:bCs w:val="0"/>
      <w:sz w:val="24"/>
    </w:rPr>
  </w:style>
  <w:style w:type="paragraph" w:customStyle="1" w:styleId="ui-resizable-handle">
    <w:name w:val="ui-resizable-handle"/>
    <w:basedOn w:val="Normal"/>
    <w:rsid w:val="00435883"/>
    <w:pPr>
      <w:spacing w:before="100" w:beforeAutospacing="1" w:after="100" w:afterAutospacing="1"/>
    </w:pPr>
    <w:rPr>
      <w:bCs w:val="0"/>
      <w:sz w:val="2"/>
      <w:szCs w:val="2"/>
    </w:rPr>
  </w:style>
  <w:style w:type="paragraph" w:customStyle="1" w:styleId="ui-resizable-n">
    <w:name w:val="ui-resizable-n"/>
    <w:basedOn w:val="Normal"/>
    <w:rsid w:val="00435883"/>
    <w:pPr>
      <w:spacing w:before="100" w:beforeAutospacing="1" w:after="100" w:afterAutospacing="1"/>
    </w:pPr>
    <w:rPr>
      <w:bCs w:val="0"/>
      <w:sz w:val="24"/>
    </w:rPr>
  </w:style>
  <w:style w:type="paragraph" w:customStyle="1" w:styleId="ui-resizable-s">
    <w:name w:val="ui-resizable-s"/>
    <w:basedOn w:val="Normal"/>
    <w:rsid w:val="00435883"/>
    <w:pPr>
      <w:spacing w:before="100" w:beforeAutospacing="1" w:after="100" w:afterAutospacing="1"/>
    </w:pPr>
    <w:rPr>
      <w:bCs w:val="0"/>
      <w:sz w:val="24"/>
    </w:rPr>
  </w:style>
  <w:style w:type="paragraph" w:customStyle="1" w:styleId="ui-resizable-e">
    <w:name w:val="ui-resizable-e"/>
    <w:basedOn w:val="Normal"/>
    <w:rsid w:val="00435883"/>
    <w:pPr>
      <w:spacing w:before="100" w:beforeAutospacing="1" w:after="100" w:afterAutospacing="1"/>
    </w:pPr>
    <w:rPr>
      <w:bCs w:val="0"/>
      <w:sz w:val="24"/>
    </w:rPr>
  </w:style>
  <w:style w:type="paragraph" w:customStyle="1" w:styleId="ui-resizable-w">
    <w:name w:val="ui-resizable-w"/>
    <w:basedOn w:val="Normal"/>
    <w:rsid w:val="00435883"/>
    <w:pPr>
      <w:spacing w:before="100" w:beforeAutospacing="1" w:after="100" w:afterAutospacing="1"/>
    </w:pPr>
    <w:rPr>
      <w:bCs w:val="0"/>
      <w:sz w:val="24"/>
    </w:rPr>
  </w:style>
  <w:style w:type="paragraph" w:customStyle="1" w:styleId="ui-resizable-se">
    <w:name w:val="ui-resizable-se"/>
    <w:basedOn w:val="Normal"/>
    <w:rsid w:val="00435883"/>
    <w:pPr>
      <w:spacing w:before="100" w:beforeAutospacing="1" w:after="100" w:afterAutospacing="1"/>
    </w:pPr>
    <w:rPr>
      <w:bCs w:val="0"/>
      <w:sz w:val="24"/>
    </w:rPr>
  </w:style>
  <w:style w:type="paragraph" w:customStyle="1" w:styleId="ui-resizable-sw">
    <w:name w:val="ui-resizable-sw"/>
    <w:basedOn w:val="Normal"/>
    <w:rsid w:val="00435883"/>
    <w:pPr>
      <w:spacing w:before="100" w:beforeAutospacing="1" w:after="100" w:afterAutospacing="1"/>
    </w:pPr>
    <w:rPr>
      <w:bCs w:val="0"/>
      <w:sz w:val="24"/>
    </w:rPr>
  </w:style>
  <w:style w:type="paragraph" w:customStyle="1" w:styleId="ui-resizable-nw">
    <w:name w:val="ui-resizable-nw"/>
    <w:basedOn w:val="Normal"/>
    <w:rsid w:val="00435883"/>
    <w:pPr>
      <w:spacing w:before="100" w:beforeAutospacing="1" w:after="100" w:afterAutospacing="1"/>
    </w:pPr>
    <w:rPr>
      <w:bCs w:val="0"/>
      <w:sz w:val="24"/>
    </w:rPr>
  </w:style>
  <w:style w:type="paragraph" w:customStyle="1" w:styleId="ui-resizable-ne">
    <w:name w:val="ui-resizable-ne"/>
    <w:basedOn w:val="Normal"/>
    <w:rsid w:val="00435883"/>
    <w:pPr>
      <w:spacing w:before="100" w:beforeAutospacing="1" w:after="100" w:afterAutospacing="1"/>
    </w:pPr>
    <w:rPr>
      <w:bCs w:val="0"/>
      <w:sz w:val="24"/>
    </w:rPr>
  </w:style>
  <w:style w:type="paragraph" w:customStyle="1" w:styleId="ui-datepicker">
    <w:name w:val="ui-datepicker"/>
    <w:basedOn w:val="Normal"/>
    <w:rsid w:val="00435883"/>
    <w:pPr>
      <w:pBdr>
        <w:top w:val="single" w:sz="6" w:space="2" w:color="CCCCCC"/>
        <w:left w:val="single" w:sz="6" w:space="2" w:color="CCCCCC"/>
        <w:bottom w:val="single" w:sz="6" w:space="0" w:color="CCCCCC"/>
        <w:right w:val="single" w:sz="6" w:space="2" w:color="CCCCCC"/>
      </w:pBdr>
      <w:shd w:val="clear" w:color="auto" w:fill="FFFFFF"/>
      <w:spacing w:before="100" w:beforeAutospacing="1" w:after="100" w:afterAutospacing="1"/>
    </w:pPr>
    <w:rPr>
      <w:bCs w:val="0"/>
      <w:vanish/>
      <w:sz w:val="24"/>
    </w:rPr>
  </w:style>
  <w:style w:type="paragraph" w:customStyle="1" w:styleId="knowledgelight">
    <w:name w:val="knowledgelight"/>
    <w:basedOn w:val="Normal"/>
    <w:rsid w:val="00435883"/>
    <w:pPr>
      <w:spacing w:before="100" w:beforeAutospacing="1" w:after="100" w:afterAutospacing="1"/>
    </w:pPr>
    <w:rPr>
      <w:rFonts w:ascii="Knowledge" w:hAnsi="Knowledge"/>
      <w:bCs w:val="0"/>
      <w:sz w:val="24"/>
    </w:rPr>
  </w:style>
  <w:style w:type="paragraph" w:customStyle="1" w:styleId="knowledgeregular">
    <w:name w:val="knowledgeregular"/>
    <w:basedOn w:val="Normal"/>
    <w:rsid w:val="00435883"/>
    <w:pPr>
      <w:spacing w:before="100" w:beforeAutospacing="1" w:after="100" w:afterAutospacing="1"/>
    </w:pPr>
    <w:rPr>
      <w:rFonts w:ascii="Knowledge" w:hAnsi="Knowledge"/>
      <w:bCs w:val="0"/>
      <w:sz w:val="24"/>
    </w:rPr>
  </w:style>
  <w:style w:type="paragraph" w:customStyle="1" w:styleId="knowledgemedium">
    <w:name w:val="knowledgemedium"/>
    <w:basedOn w:val="Normal"/>
    <w:rsid w:val="00435883"/>
    <w:pPr>
      <w:spacing w:before="100" w:beforeAutospacing="1" w:after="100" w:afterAutospacing="1"/>
    </w:pPr>
    <w:rPr>
      <w:rFonts w:ascii="Knowledge" w:hAnsi="Knowledge"/>
      <w:b/>
      <w:sz w:val="24"/>
    </w:rPr>
  </w:style>
  <w:style w:type="paragraph" w:customStyle="1" w:styleId="owicon">
    <w:name w:val="ow_icon"/>
    <w:basedOn w:val="Normal"/>
    <w:rsid w:val="00435883"/>
    <w:pPr>
      <w:spacing w:before="100" w:beforeAutospacing="1" w:after="100" w:afterAutospacing="1"/>
      <w:ind w:firstLine="22384"/>
      <w:textAlignment w:val="center"/>
    </w:pPr>
    <w:rPr>
      <w:bCs w:val="0"/>
      <w:sz w:val="24"/>
    </w:rPr>
  </w:style>
  <w:style w:type="paragraph" w:customStyle="1" w:styleId="icon25">
    <w:name w:val="icon25"/>
    <w:basedOn w:val="Normal"/>
    <w:rsid w:val="00435883"/>
    <w:pPr>
      <w:spacing w:before="100" w:beforeAutospacing="1" w:after="100" w:afterAutospacing="1"/>
      <w:ind w:firstLine="22384"/>
      <w:textAlignment w:val="center"/>
    </w:pPr>
    <w:rPr>
      <w:bCs w:val="0"/>
      <w:sz w:val="24"/>
    </w:rPr>
  </w:style>
  <w:style w:type="paragraph" w:customStyle="1" w:styleId="thdarkicon">
    <w:name w:val="th_dark_icon"/>
    <w:basedOn w:val="Normal"/>
    <w:rsid w:val="00435883"/>
    <w:pPr>
      <w:spacing w:before="100" w:beforeAutospacing="1" w:after="100" w:afterAutospacing="1"/>
      <w:ind w:firstLine="22384"/>
      <w:textAlignment w:val="center"/>
    </w:pPr>
    <w:rPr>
      <w:bCs w:val="0"/>
      <w:sz w:val="24"/>
    </w:rPr>
  </w:style>
  <w:style w:type="paragraph" w:customStyle="1" w:styleId="thsimpleicon">
    <w:name w:val="th_simple_icon"/>
    <w:basedOn w:val="Normal"/>
    <w:rsid w:val="00435883"/>
    <w:pPr>
      <w:spacing w:before="100" w:beforeAutospacing="1" w:after="100" w:afterAutospacing="1"/>
      <w:ind w:firstLine="22384"/>
      <w:textAlignment w:val="center"/>
    </w:pPr>
    <w:rPr>
      <w:bCs w:val="0"/>
      <w:sz w:val="24"/>
    </w:rPr>
  </w:style>
  <w:style w:type="paragraph" w:customStyle="1" w:styleId="thsimpleiconlarge">
    <w:name w:val="th_simple_iconlarge"/>
    <w:basedOn w:val="Normal"/>
    <w:rsid w:val="00435883"/>
    <w:pPr>
      <w:spacing w:before="100" w:beforeAutospacing="1" w:after="100" w:afterAutospacing="1"/>
      <w:ind w:firstLine="22384"/>
      <w:textAlignment w:val="center"/>
    </w:pPr>
    <w:rPr>
      <w:bCs w:val="0"/>
      <w:sz w:val="24"/>
    </w:rPr>
  </w:style>
  <w:style w:type="paragraph" w:customStyle="1" w:styleId="thsimpleiconextralarge">
    <w:name w:val="th_simple_iconextralarge"/>
    <w:basedOn w:val="Normal"/>
    <w:rsid w:val="00435883"/>
    <w:pPr>
      <w:spacing w:before="100" w:beforeAutospacing="1" w:after="100" w:afterAutospacing="1"/>
      <w:ind w:firstLine="22384"/>
      <w:textAlignment w:val="center"/>
    </w:pPr>
    <w:rPr>
      <w:bCs w:val="0"/>
      <w:sz w:val="24"/>
    </w:rPr>
  </w:style>
  <w:style w:type="paragraph" w:customStyle="1" w:styleId="laicon">
    <w:name w:val="la_icon"/>
    <w:basedOn w:val="Normal"/>
    <w:rsid w:val="00435883"/>
    <w:pPr>
      <w:spacing w:before="100" w:beforeAutospacing="1" w:after="100" w:afterAutospacing="1"/>
      <w:ind w:firstLine="22384"/>
      <w:textAlignment w:val="center"/>
    </w:pPr>
    <w:rPr>
      <w:bCs w:val="0"/>
      <w:sz w:val="24"/>
    </w:rPr>
  </w:style>
  <w:style w:type="paragraph" w:customStyle="1" w:styleId="khicon">
    <w:name w:val="kh_icon"/>
    <w:basedOn w:val="Normal"/>
    <w:rsid w:val="00435883"/>
    <w:pPr>
      <w:spacing w:before="100" w:beforeAutospacing="1" w:after="100" w:afterAutospacing="1"/>
      <w:ind w:firstLine="22384"/>
      <w:textAlignment w:val="center"/>
    </w:pPr>
    <w:rPr>
      <w:bCs w:val="0"/>
      <w:sz w:val="24"/>
    </w:rPr>
  </w:style>
  <w:style w:type="paragraph" w:customStyle="1" w:styleId="coicon">
    <w:name w:val="co_icon"/>
    <w:basedOn w:val="Normal"/>
    <w:rsid w:val="00435883"/>
    <w:pPr>
      <w:spacing w:before="100" w:beforeAutospacing="1" w:after="100" w:afterAutospacing="1"/>
      <w:ind w:hanging="3928"/>
    </w:pPr>
    <w:rPr>
      <w:bCs w:val="0"/>
      <w:sz w:val="24"/>
    </w:rPr>
  </w:style>
  <w:style w:type="paragraph" w:customStyle="1" w:styleId="coloadingsmall">
    <w:name w:val="co_loadingsmall"/>
    <w:basedOn w:val="Normal"/>
    <w:rsid w:val="00435883"/>
    <w:pPr>
      <w:spacing w:before="100" w:beforeAutospacing="1" w:after="100" w:afterAutospacing="1"/>
      <w:ind w:firstLine="22384"/>
    </w:pPr>
    <w:rPr>
      <w:bCs w:val="0"/>
      <w:sz w:val="24"/>
    </w:rPr>
  </w:style>
  <w:style w:type="paragraph" w:customStyle="1" w:styleId="coiconofferlarge">
    <w:name w:val="co_icon_offerlarge"/>
    <w:basedOn w:val="Normal"/>
    <w:rsid w:val="00435883"/>
    <w:pPr>
      <w:spacing w:before="100" w:beforeAutospacing="1" w:after="100" w:afterAutospacing="1"/>
    </w:pPr>
    <w:rPr>
      <w:bCs w:val="0"/>
      <w:sz w:val="24"/>
    </w:rPr>
  </w:style>
  <w:style w:type="paragraph" w:customStyle="1" w:styleId="coiconadddesc">
    <w:name w:val="co_icon_adddesc"/>
    <w:basedOn w:val="Normal"/>
    <w:rsid w:val="00435883"/>
    <w:pPr>
      <w:spacing w:before="100" w:beforeAutospacing="1" w:after="100" w:afterAutospacing="1"/>
    </w:pPr>
    <w:rPr>
      <w:bCs w:val="0"/>
      <w:sz w:val="24"/>
    </w:rPr>
  </w:style>
  <w:style w:type="paragraph" w:customStyle="1" w:styleId="cobflagsm">
    <w:name w:val="co_bflagsm"/>
    <w:basedOn w:val="Normal"/>
    <w:rsid w:val="00435883"/>
    <w:pPr>
      <w:spacing w:before="100" w:beforeAutospacing="1" w:after="100" w:afterAutospacing="1"/>
    </w:pPr>
    <w:rPr>
      <w:bCs w:val="0"/>
      <w:sz w:val="24"/>
    </w:rPr>
  </w:style>
  <w:style w:type="paragraph" w:customStyle="1" w:styleId="cocautionsm">
    <w:name w:val="co_cautionsm"/>
    <w:basedOn w:val="Normal"/>
    <w:rsid w:val="00435883"/>
    <w:pPr>
      <w:spacing w:before="100" w:beforeAutospacing="1" w:after="100" w:afterAutospacing="1"/>
    </w:pPr>
    <w:rPr>
      <w:bCs w:val="0"/>
      <w:sz w:val="24"/>
    </w:rPr>
  </w:style>
  <w:style w:type="paragraph" w:customStyle="1" w:styleId="cogflagsm">
    <w:name w:val="co_gflagsm"/>
    <w:basedOn w:val="Normal"/>
    <w:rsid w:val="00435883"/>
    <w:pPr>
      <w:spacing w:before="100" w:beforeAutospacing="1" w:after="100" w:afterAutospacing="1"/>
    </w:pPr>
    <w:rPr>
      <w:bCs w:val="0"/>
      <w:sz w:val="24"/>
    </w:rPr>
  </w:style>
  <w:style w:type="paragraph" w:customStyle="1" w:styleId="corflagsm">
    <w:name w:val="co_rflagsm"/>
    <w:basedOn w:val="Normal"/>
    <w:rsid w:val="00435883"/>
    <w:pPr>
      <w:spacing w:before="100" w:beforeAutospacing="1" w:after="100" w:afterAutospacing="1"/>
    </w:pPr>
    <w:rPr>
      <w:bCs w:val="0"/>
      <w:sz w:val="24"/>
    </w:rPr>
  </w:style>
  <w:style w:type="paragraph" w:customStyle="1" w:styleId="coyflagsm">
    <w:name w:val="co_yflagsm"/>
    <w:basedOn w:val="Normal"/>
    <w:rsid w:val="00435883"/>
    <w:pPr>
      <w:spacing w:before="100" w:beforeAutospacing="1" w:after="100" w:afterAutospacing="1"/>
    </w:pPr>
    <w:rPr>
      <w:bCs w:val="0"/>
      <w:sz w:val="24"/>
    </w:rPr>
  </w:style>
  <w:style w:type="paragraph" w:customStyle="1" w:styleId="cosnippeticon">
    <w:name w:val="co_snippeticon"/>
    <w:basedOn w:val="Normal"/>
    <w:rsid w:val="00435883"/>
    <w:pPr>
      <w:spacing w:before="100" w:beforeAutospacing="1" w:after="100" w:afterAutospacing="1"/>
    </w:pPr>
    <w:rPr>
      <w:bCs w:val="0"/>
      <w:sz w:val="24"/>
    </w:rPr>
  </w:style>
  <w:style w:type="paragraph" w:customStyle="1" w:styleId="codropdownarrowcollapsed">
    <w:name w:val="co_dropdownarrowcollapsed"/>
    <w:basedOn w:val="Normal"/>
    <w:rsid w:val="00435883"/>
    <w:pPr>
      <w:spacing w:before="100" w:beforeAutospacing="1" w:after="100" w:afterAutospacing="1"/>
      <w:ind w:hanging="3928"/>
    </w:pPr>
    <w:rPr>
      <w:bCs w:val="0"/>
      <w:sz w:val="24"/>
    </w:rPr>
  </w:style>
  <w:style w:type="paragraph" w:customStyle="1" w:styleId="codropdownarrowexpanded">
    <w:name w:val="co_dropdownarrowexpanded"/>
    <w:basedOn w:val="Normal"/>
    <w:rsid w:val="00435883"/>
    <w:pPr>
      <w:spacing w:before="100" w:beforeAutospacing="1" w:after="100" w:afterAutospacing="1"/>
      <w:ind w:hanging="3928"/>
    </w:pPr>
    <w:rPr>
      <w:bCs w:val="0"/>
      <w:sz w:val="24"/>
    </w:rPr>
  </w:style>
  <w:style w:type="paragraph" w:customStyle="1" w:styleId="cooverlayanchorimg">
    <w:name w:val="co_overlay_anchorimg"/>
    <w:basedOn w:val="Normal"/>
    <w:rsid w:val="00435883"/>
    <w:pPr>
      <w:spacing w:before="100" w:beforeAutospacing="1" w:after="100" w:afterAutospacing="1"/>
      <w:ind w:hanging="3928"/>
    </w:pPr>
    <w:rPr>
      <w:bCs w:val="0"/>
      <w:sz w:val="24"/>
    </w:rPr>
  </w:style>
  <w:style w:type="paragraph" w:customStyle="1" w:styleId="cospriteicon">
    <w:name w:val="co_sprite_icon"/>
    <w:basedOn w:val="Normal"/>
    <w:rsid w:val="00435883"/>
    <w:pPr>
      <w:spacing w:before="100" w:beforeAutospacing="1" w:after="100" w:afterAutospacing="1"/>
    </w:pPr>
    <w:rPr>
      <w:bCs w:val="0"/>
      <w:sz w:val="24"/>
    </w:rPr>
  </w:style>
  <w:style w:type="paragraph" w:customStyle="1" w:styleId="coiconarrowdown">
    <w:name w:val="co_iconarrowdown"/>
    <w:basedOn w:val="Normal"/>
    <w:rsid w:val="00435883"/>
    <w:pPr>
      <w:spacing w:before="100" w:beforeAutospacing="1" w:after="100" w:afterAutospacing="1"/>
    </w:pPr>
    <w:rPr>
      <w:bCs w:val="0"/>
      <w:sz w:val="24"/>
    </w:rPr>
  </w:style>
  <w:style w:type="paragraph" w:customStyle="1" w:styleId="coiconarrowup">
    <w:name w:val="co_iconarrowup"/>
    <w:basedOn w:val="Normal"/>
    <w:rsid w:val="00435883"/>
    <w:pPr>
      <w:spacing w:before="100" w:beforeAutospacing="1" w:after="100" w:afterAutospacing="1"/>
    </w:pPr>
    <w:rPr>
      <w:bCs w:val="0"/>
      <w:sz w:val="24"/>
    </w:rPr>
  </w:style>
  <w:style w:type="paragraph" w:customStyle="1" w:styleId="tnpblocked">
    <w:name w:val="tnp_blocked"/>
    <w:basedOn w:val="Normal"/>
    <w:rsid w:val="00435883"/>
    <w:pPr>
      <w:spacing w:before="100" w:beforeAutospacing="1" w:after="100" w:afterAutospacing="1"/>
    </w:pPr>
    <w:rPr>
      <w:bCs w:val="0"/>
      <w:sz w:val="24"/>
    </w:rPr>
  </w:style>
  <w:style w:type="paragraph" w:customStyle="1" w:styleId="tnpppv">
    <w:name w:val="tnp_ppv"/>
    <w:basedOn w:val="Normal"/>
    <w:rsid w:val="00435883"/>
    <w:pPr>
      <w:spacing w:before="100" w:beforeAutospacing="1" w:after="100" w:afterAutospacing="1"/>
    </w:pPr>
    <w:rPr>
      <w:bCs w:val="0"/>
      <w:sz w:val="24"/>
    </w:rPr>
  </w:style>
  <w:style w:type="paragraph" w:customStyle="1" w:styleId="tnpbillingicons">
    <w:name w:val="tnp_billingicons"/>
    <w:basedOn w:val="Normal"/>
    <w:rsid w:val="00435883"/>
    <w:pPr>
      <w:spacing w:before="100" w:beforeAutospacing="1" w:after="100" w:afterAutospacing="1"/>
      <w:ind w:left="-90"/>
    </w:pPr>
    <w:rPr>
      <w:bCs w:val="0"/>
      <w:sz w:val="24"/>
    </w:rPr>
  </w:style>
  <w:style w:type="paragraph" w:customStyle="1" w:styleId="copinpointicon">
    <w:name w:val="co_pinpointicon"/>
    <w:basedOn w:val="Normal"/>
    <w:rsid w:val="00435883"/>
    <w:pPr>
      <w:spacing w:before="100" w:beforeAutospacing="1" w:after="100" w:afterAutospacing="1"/>
      <w:ind w:left="-375" w:hanging="3928"/>
    </w:pPr>
    <w:rPr>
      <w:bCs w:val="0"/>
      <w:sz w:val="24"/>
    </w:rPr>
  </w:style>
  <w:style w:type="paragraph" w:customStyle="1" w:styleId="comoreinfo">
    <w:name w:val="co_moreinfo"/>
    <w:basedOn w:val="Normal"/>
    <w:rsid w:val="00435883"/>
    <w:pPr>
      <w:spacing w:before="100" w:beforeAutospacing="1" w:after="100" w:afterAutospacing="1"/>
      <w:ind w:left="75" w:hanging="3928"/>
      <w:textAlignment w:val="top"/>
    </w:pPr>
    <w:rPr>
      <w:bCs w:val="0"/>
      <w:sz w:val="24"/>
    </w:rPr>
  </w:style>
  <w:style w:type="paragraph" w:customStyle="1" w:styleId="coscopeicon">
    <w:name w:val="co_scopeicon"/>
    <w:basedOn w:val="Normal"/>
    <w:rsid w:val="00435883"/>
    <w:pPr>
      <w:spacing w:before="100" w:beforeAutospacing="1" w:after="100" w:afterAutospacing="1"/>
      <w:ind w:left="75" w:hanging="3928"/>
      <w:textAlignment w:val="top"/>
    </w:pPr>
    <w:rPr>
      <w:bCs w:val="0"/>
      <w:sz w:val="24"/>
    </w:rPr>
  </w:style>
  <w:style w:type="paragraph" w:customStyle="1" w:styleId="coadvancedsearchfieldhelplink">
    <w:name w:val="co_advancedsearch_fieldhelplink"/>
    <w:basedOn w:val="Normal"/>
    <w:rsid w:val="00435883"/>
    <w:pPr>
      <w:spacing w:before="100" w:beforeAutospacing="1" w:after="100" w:afterAutospacing="1"/>
      <w:ind w:left="120" w:hanging="3928"/>
      <w:textAlignment w:val="top"/>
    </w:pPr>
    <w:rPr>
      <w:bCs w:val="0"/>
      <w:sz w:val="24"/>
    </w:rPr>
  </w:style>
  <w:style w:type="paragraph" w:customStyle="1" w:styleId="cowebsitebrowsepagescopemoreinfo">
    <w:name w:val="co_website_browsepagescopemoreinfo"/>
    <w:basedOn w:val="Normal"/>
    <w:rsid w:val="00435883"/>
    <w:pPr>
      <w:spacing w:before="100" w:beforeAutospacing="1" w:after="100" w:afterAutospacing="1"/>
      <w:ind w:left="75" w:hanging="3928"/>
      <w:textAlignment w:val="top"/>
    </w:pPr>
    <w:rPr>
      <w:bCs w:val="0"/>
      <w:vanish/>
      <w:sz w:val="24"/>
    </w:rPr>
  </w:style>
  <w:style w:type="paragraph" w:customStyle="1" w:styleId="coinfobox">
    <w:name w:val="co_infobox"/>
    <w:basedOn w:val="Normal"/>
    <w:rsid w:val="00435883"/>
    <w:pPr>
      <w:pBdr>
        <w:top w:val="single" w:sz="6" w:space="0" w:color="FEDA73"/>
        <w:left w:val="single" w:sz="6" w:space="0" w:color="FEDA73"/>
        <w:bottom w:val="single" w:sz="6" w:space="0" w:color="FEDA73"/>
        <w:right w:val="single" w:sz="6" w:space="0" w:color="FEDA73"/>
      </w:pBdr>
      <w:shd w:val="clear" w:color="auto" w:fill="FCFBDF"/>
      <w:spacing w:before="100" w:beforeAutospacing="1" w:after="100" w:afterAutospacing="1"/>
    </w:pPr>
    <w:rPr>
      <w:bCs w:val="0"/>
      <w:sz w:val="18"/>
      <w:szCs w:val="18"/>
    </w:rPr>
  </w:style>
  <w:style w:type="paragraph" w:customStyle="1" w:styleId="coinfoboxclosebutton">
    <w:name w:val="co_infobox_closebutton"/>
    <w:basedOn w:val="Normal"/>
    <w:rsid w:val="00435883"/>
    <w:pPr>
      <w:spacing w:before="75"/>
      <w:ind w:left="75" w:right="75" w:hanging="3928"/>
    </w:pPr>
    <w:rPr>
      <w:bCs w:val="0"/>
      <w:sz w:val="24"/>
    </w:rPr>
  </w:style>
  <w:style w:type="paragraph" w:customStyle="1" w:styleId="coinfoboxmessage">
    <w:name w:val="co_infobox_message"/>
    <w:basedOn w:val="Normal"/>
    <w:rsid w:val="00435883"/>
    <w:pPr>
      <w:spacing w:before="100" w:beforeAutospacing="1" w:after="100" w:afterAutospacing="1"/>
    </w:pPr>
    <w:rPr>
      <w:bCs w:val="0"/>
      <w:sz w:val="24"/>
    </w:rPr>
  </w:style>
  <w:style w:type="paragraph" w:customStyle="1" w:styleId="comessageboxcontainer">
    <w:name w:val="co_messageboxcontainer"/>
    <w:basedOn w:val="Normal"/>
    <w:rsid w:val="00435883"/>
    <w:pPr>
      <w:spacing w:before="100" w:beforeAutospacing="1" w:after="100" w:afterAutospacing="1"/>
    </w:pPr>
    <w:rPr>
      <w:bCs w:val="0"/>
      <w:sz w:val="24"/>
    </w:rPr>
  </w:style>
  <w:style w:type="paragraph" w:customStyle="1" w:styleId="comessagebox">
    <w:name w:val="co_messagebox"/>
    <w:basedOn w:val="Normal"/>
    <w:rsid w:val="00435883"/>
    <w:pPr>
      <w:pBdr>
        <w:top w:val="single" w:sz="6" w:space="0" w:color="FEDA73"/>
        <w:left w:val="single" w:sz="6" w:space="0" w:color="FEDA73"/>
        <w:bottom w:val="single" w:sz="6" w:space="0" w:color="FEDA73"/>
        <w:right w:val="single" w:sz="6" w:space="0" w:color="FEDA73"/>
      </w:pBdr>
      <w:spacing w:before="100" w:beforeAutospacing="1" w:after="100" w:afterAutospacing="1"/>
    </w:pPr>
    <w:rPr>
      <w:bCs w:val="0"/>
      <w:sz w:val="24"/>
    </w:rPr>
  </w:style>
  <w:style w:type="paragraph" w:customStyle="1" w:styleId="comessageboxcontent">
    <w:name w:val="co_messageboxcontent"/>
    <w:basedOn w:val="Normal"/>
    <w:rsid w:val="00435883"/>
    <w:pPr>
      <w:pBdr>
        <w:top w:val="single" w:sz="6" w:space="3" w:color="FFFFF4"/>
        <w:left w:val="single" w:sz="6" w:space="5" w:color="FFFFF4"/>
        <w:bottom w:val="single" w:sz="6" w:space="3" w:color="FFFFF4"/>
        <w:right w:val="single" w:sz="6" w:space="5" w:color="FFFFF4"/>
      </w:pBdr>
      <w:shd w:val="clear" w:color="auto" w:fill="FCFBDF"/>
      <w:spacing w:before="100" w:beforeAutospacing="1" w:after="100" w:afterAutospacing="1"/>
    </w:pPr>
    <w:rPr>
      <w:bCs w:val="0"/>
      <w:sz w:val="24"/>
    </w:rPr>
  </w:style>
  <w:style w:type="paragraph" w:customStyle="1" w:styleId="colightboxoverlay">
    <w:name w:val="co_lightboxoverlay"/>
    <w:basedOn w:val="Normal"/>
    <w:rsid w:val="00435883"/>
    <w:pPr>
      <w:spacing w:before="100" w:beforeAutospacing="1" w:after="100" w:afterAutospacing="1"/>
    </w:pPr>
    <w:rPr>
      <w:bCs w:val="0"/>
      <w:sz w:val="24"/>
    </w:rPr>
  </w:style>
  <w:style w:type="paragraph" w:customStyle="1" w:styleId="coscreenoverlay">
    <w:name w:val="co_screenoverlay"/>
    <w:basedOn w:val="Normal"/>
    <w:rsid w:val="00435883"/>
    <w:pPr>
      <w:spacing w:before="100" w:beforeAutospacing="1" w:after="100" w:afterAutospacing="1"/>
    </w:pPr>
    <w:rPr>
      <w:bCs w:val="0"/>
      <w:sz w:val="24"/>
    </w:rPr>
  </w:style>
  <w:style w:type="paragraph" w:customStyle="1" w:styleId="cooverlayboxcontainer">
    <w:name w:val="co_overlaybox_container"/>
    <w:basedOn w:val="Normal"/>
    <w:rsid w:val="00435883"/>
    <w:pPr>
      <w:pBdr>
        <w:top w:val="single" w:sz="6" w:space="0" w:color="C9C9C9"/>
        <w:left w:val="single" w:sz="6" w:space="0" w:color="C9C9C9"/>
        <w:bottom w:val="single" w:sz="6" w:space="0" w:color="C9C9C9"/>
        <w:right w:val="single" w:sz="6" w:space="0" w:color="C9C9C9"/>
      </w:pBdr>
      <w:shd w:val="clear" w:color="auto" w:fill="FFFFFF"/>
    </w:pPr>
    <w:rPr>
      <w:bCs w:val="0"/>
      <w:sz w:val="24"/>
    </w:rPr>
  </w:style>
  <w:style w:type="paragraph" w:customStyle="1" w:styleId="cooverlayboxtopleft">
    <w:name w:val="co_overlaybox_topleft"/>
    <w:basedOn w:val="Normal"/>
    <w:rsid w:val="00435883"/>
    <w:pPr>
      <w:shd w:val="clear" w:color="auto" w:fill="EEEEEE"/>
      <w:spacing w:before="100" w:beforeAutospacing="1" w:after="100" w:afterAutospacing="1"/>
    </w:pPr>
    <w:rPr>
      <w:bCs w:val="0"/>
      <w:color w:val="777777"/>
      <w:sz w:val="21"/>
      <w:szCs w:val="21"/>
    </w:rPr>
  </w:style>
  <w:style w:type="paragraph" w:customStyle="1" w:styleId="cooverlayboxclosebutton">
    <w:name w:val="co_overlaybox_closebutton"/>
    <w:basedOn w:val="Normal"/>
    <w:rsid w:val="00435883"/>
    <w:pPr>
      <w:spacing w:after="100" w:afterAutospacing="1"/>
      <w:ind w:left="75" w:hanging="3928"/>
    </w:pPr>
    <w:rPr>
      <w:bCs w:val="0"/>
      <w:sz w:val="24"/>
    </w:rPr>
  </w:style>
  <w:style w:type="paragraph" w:customStyle="1" w:styleId="cooverlayboxminimizebutton">
    <w:name w:val="co_overlaybox_minimizebutton"/>
    <w:basedOn w:val="Normal"/>
    <w:rsid w:val="00435883"/>
    <w:pPr>
      <w:spacing w:before="100" w:beforeAutospacing="1" w:after="100" w:afterAutospacing="1"/>
      <w:ind w:left="75" w:hanging="3928"/>
    </w:pPr>
    <w:rPr>
      <w:bCs w:val="0"/>
      <w:sz w:val="24"/>
    </w:rPr>
  </w:style>
  <w:style w:type="paragraph" w:customStyle="1" w:styleId="cooverlayboxleft">
    <w:name w:val="co_overlaybox_left"/>
    <w:basedOn w:val="Normal"/>
    <w:rsid w:val="00435883"/>
    <w:pPr>
      <w:spacing w:before="100" w:beforeAutospacing="1" w:after="100" w:afterAutospacing="1"/>
    </w:pPr>
    <w:rPr>
      <w:bCs w:val="0"/>
      <w:sz w:val="24"/>
    </w:rPr>
  </w:style>
  <w:style w:type="paragraph" w:customStyle="1" w:styleId="cooverlayboxcontent">
    <w:name w:val="co_overlaybox_content"/>
    <w:basedOn w:val="Normal"/>
    <w:rsid w:val="00435883"/>
    <w:rPr>
      <w:bCs w:val="0"/>
      <w:sz w:val="18"/>
      <w:szCs w:val="18"/>
    </w:rPr>
  </w:style>
  <w:style w:type="paragraph" w:customStyle="1" w:styleId="cooverlayboxoptionsbottomleft">
    <w:name w:val="co_overlaybox_optionsbottomleft"/>
    <w:basedOn w:val="Normal"/>
    <w:rsid w:val="00435883"/>
    <w:pPr>
      <w:spacing w:before="100" w:beforeAutospacing="1" w:after="100" w:afterAutospacing="1"/>
      <w:jc w:val="center"/>
    </w:pPr>
    <w:rPr>
      <w:bCs w:val="0"/>
      <w:sz w:val="24"/>
    </w:rPr>
  </w:style>
  <w:style w:type="paragraph" w:customStyle="1" w:styleId="cooverlayboxexternalfooter">
    <w:name w:val="co_overlaybox_externalfooter"/>
    <w:basedOn w:val="Normal"/>
    <w:rsid w:val="00435883"/>
    <w:pPr>
      <w:spacing w:before="100" w:beforeAutospacing="1" w:after="100" w:afterAutospacing="1"/>
    </w:pPr>
    <w:rPr>
      <w:bCs w:val="0"/>
      <w:sz w:val="24"/>
    </w:rPr>
  </w:style>
  <w:style w:type="paragraph" w:customStyle="1" w:styleId="cooverlayboxbottomleft">
    <w:name w:val="co_overlaybox_bottomleft"/>
    <w:basedOn w:val="Normal"/>
    <w:rsid w:val="00435883"/>
    <w:pPr>
      <w:spacing w:before="100" w:beforeAutospacing="1" w:after="100" w:afterAutospacing="1"/>
    </w:pPr>
    <w:rPr>
      <w:bCs w:val="0"/>
      <w:sz w:val="24"/>
    </w:rPr>
  </w:style>
  <w:style w:type="paragraph" w:customStyle="1" w:styleId="cooverlayboxtabs">
    <w:name w:val="co_overlaybox_tabs"/>
    <w:basedOn w:val="Normal"/>
    <w:rsid w:val="00435883"/>
    <w:pPr>
      <w:pBdr>
        <w:bottom w:val="single" w:sz="6" w:space="0" w:color="D6D6D6"/>
      </w:pBdr>
      <w:shd w:val="clear" w:color="auto" w:fill="FFFFFF"/>
      <w:spacing w:before="100" w:beforeAutospacing="1" w:after="100" w:afterAutospacing="1"/>
    </w:pPr>
    <w:rPr>
      <w:bCs w:val="0"/>
      <w:sz w:val="24"/>
    </w:rPr>
  </w:style>
  <w:style w:type="paragraph" w:customStyle="1" w:styleId="cooverlayboxsubheader">
    <w:name w:val="co_overlaybox_subheader"/>
    <w:basedOn w:val="Normal"/>
    <w:rsid w:val="00435883"/>
    <w:pPr>
      <w:shd w:val="clear" w:color="auto" w:fill="F5F5F5"/>
      <w:spacing w:after="120"/>
      <w:ind w:left="-180" w:right="-180"/>
    </w:pPr>
    <w:rPr>
      <w:bCs w:val="0"/>
      <w:sz w:val="24"/>
    </w:rPr>
  </w:style>
  <w:style w:type="paragraph" w:customStyle="1" w:styleId="codetailstable">
    <w:name w:val="co_detailstable"/>
    <w:basedOn w:val="Normal"/>
    <w:rsid w:val="00435883"/>
    <w:pPr>
      <w:spacing w:before="100" w:beforeAutospacing="1" w:after="100" w:afterAutospacing="1"/>
    </w:pPr>
    <w:rPr>
      <w:bCs w:val="0"/>
      <w:sz w:val="24"/>
    </w:rPr>
  </w:style>
  <w:style w:type="paragraph" w:customStyle="1" w:styleId="codetailstableselect">
    <w:name w:val="co_detailstable_select"/>
    <w:basedOn w:val="Normal"/>
    <w:rsid w:val="00435883"/>
    <w:pPr>
      <w:spacing w:before="100" w:beforeAutospacing="1" w:after="100" w:afterAutospacing="1"/>
      <w:jc w:val="center"/>
    </w:pPr>
    <w:rPr>
      <w:bCs w:val="0"/>
      <w:sz w:val="24"/>
    </w:rPr>
  </w:style>
  <w:style w:type="paragraph" w:customStyle="1" w:styleId="codetailstableremove">
    <w:name w:val="co_detailstable_remove"/>
    <w:basedOn w:val="Normal"/>
    <w:rsid w:val="00435883"/>
    <w:pPr>
      <w:spacing w:before="100" w:beforeAutospacing="1" w:after="100" w:afterAutospacing="1"/>
      <w:jc w:val="center"/>
    </w:pPr>
    <w:rPr>
      <w:bCs w:val="0"/>
      <w:sz w:val="24"/>
    </w:rPr>
  </w:style>
  <w:style w:type="paragraph" w:customStyle="1" w:styleId="codetailstablepdf">
    <w:name w:val="co_detailstable_pdf"/>
    <w:basedOn w:val="Normal"/>
    <w:rsid w:val="00435883"/>
    <w:pPr>
      <w:spacing w:before="100" w:beforeAutospacing="1" w:after="100" w:afterAutospacing="1"/>
    </w:pPr>
    <w:rPr>
      <w:bCs w:val="0"/>
      <w:sz w:val="24"/>
    </w:rPr>
  </w:style>
  <w:style w:type="paragraph" w:customStyle="1" w:styleId="codetailstabledepth">
    <w:name w:val="co_detailstable_depth"/>
    <w:basedOn w:val="Normal"/>
    <w:rsid w:val="00435883"/>
    <w:pPr>
      <w:spacing w:before="100" w:beforeAutospacing="1" w:after="100" w:afterAutospacing="1"/>
    </w:pPr>
    <w:rPr>
      <w:bCs w:val="0"/>
      <w:sz w:val="24"/>
    </w:rPr>
  </w:style>
  <w:style w:type="paragraph" w:customStyle="1" w:styleId="codetailstablequoted">
    <w:name w:val="co_detailstable_quoted"/>
    <w:basedOn w:val="Normal"/>
    <w:rsid w:val="00435883"/>
    <w:pPr>
      <w:spacing w:before="100" w:beforeAutospacing="1" w:after="100" w:afterAutospacing="1"/>
    </w:pPr>
    <w:rPr>
      <w:bCs w:val="0"/>
      <w:sz w:val="24"/>
    </w:rPr>
  </w:style>
  <w:style w:type="paragraph" w:customStyle="1" w:styleId="codetailstablecourt">
    <w:name w:val="co_detailstable_court"/>
    <w:basedOn w:val="Normal"/>
    <w:rsid w:val="00435883"/>
    <w:pPr>
      <w:spacing w:before="100" w:beforeAutospacing="1" w:after="100" w:afterAutospacing="1"/>
    </w:pPr>
    <w:rPr>
      <w:bCs w:val="0"/>
      <w:sz w:val="24"/>
    </w:rPr>
  </w:style>
  <w:style w:type="paragraph" w:customStyle="1" w:styleId="codetailstablerunnerdocument">
    <w:name w:val="co_detailstable_runnerdocument"/>
    <w:basedOn w:val="Normal"/>
    <w:rsid w:val="00435883"/>
    <w:pPr>
      <w:spacing w:before="100" w:beforeAutospacing="1" w:after="100" w:afterAutospacing="1"/>
    </w:pPr>
    <w:rPr>
      <w:bCs w:val="0"/>
      <w:sz w:val="24"/>
    </w:rPr>
  </w:style>
  <w:style w:type="paragraph" w:customStyle="1" w:styleId="codetailstablerunnerexhibits">
    <w:name w:val="co_detailstable_runnerexhibits"/>
    <w:basedOn w:val="Normal"/>
    <w:rsid w:val="00435883"/>
    <w:pPr>
      <w:spacing w:before="100" w:beforeAutospacing="1" w:after="100" w:afterAutospacing="1"/>
    </w:pPr>
    <w:rPr>
      <w:bCs w:val="0"/>
      <w:sz w:val="24"/>
    </w:rPr>
  </w:style>
  <w:style w:type="paragraph" w:customStyle="1" w:styleId="codetailstableevent">
    <w:name w:val="co_detailstable_event"/>
    <w:basedOn w:val="Normal"/>
    <w:rsid w:val="00435883"/>
    <w:pPr>
      <w:spacing w:before="100" w:beforeAutospacing="1" w:after="100" w:afterAutospacing="1"/>
    </w:pPr>
    <w:rPr>
      <w:bCs w:val="0"/>
      <w:sz w:val="24"/>
    </w:rPr>
  </w:style>
  <w:style w:type="paragraph" w:customStyle="1" w:styleId="codetailstableheadnotes">
    <w:name w:val="co_detailstable_headnotes"/>
    <w:basedOn w:val="Normal"/>
    <w:rsid w:val="00435883"/>
    <w:pPr>
      <w:spacing w:before="100" w:beforeAutospacing="1" w:after="100" w:afterAutospacing="1"/>
    </w:pPr>
    <w:rPr>
      <w:bCs w:val="0"/>
      <w:sz w:val="24"/>
    </w:rPr>
  </w:style>
  <w:style w:type="paragraph" w:customStyle="1" w:styleId="codetailstablepagenumber">
    <w:name w:val="co_detailstable_pagenumber"/>
    <w:basedOn w:val="Normal"/>
    <w:rsid w:val="00435883"/>
    <w:pPr>
      <w:spacing w:before="100" w:beforeAutospacing="1" w:after="100" w:afterAutospacing="1"/>
    </w:pPr>
    <w:rPr>
      <w:bCs w:val="0"/>
      <w:sz w:val="24"/>
    </w:rPr>
  </w:style>
  <w:style w:type="paragraph" w:customStyle="1" w:styleId="codetailstablerunneritemnumber">
    <w:name w:val="co_detailstable_runneritemnumber"/>
    <w:basedOn w:val="Normal"/>
    <w:rsid w:val="00435883"/>
    <w:pPr>
      <w:spacing w:before="100" w:beforeAutospacing="1" w:after="100" w:afterAutospacing="1"/>
    </w:pPr>
    <w:rPr>
      <w:bCs w:val="0"/>
      <w:sz w:val="24"/>
    </w:rPr>
  </w:style>
  <w:style w:type="paragraph" w:customStyle="1" w:styleId="codetailstabletreatment">
    <w:name w:val="co_detailstable_treatment"/>
    <w:basedOn w:val="Normal"/>
    <w:rsid w:val="00435883"/>
    <w:pPr>
      <w:spacing w:before="100" w:beforeAutospacing="1" w:after="100" w:afterAutospacing="1"/>
    </w:pPr>
    <w:rPr>
      <w:bCs w:val="0"/>
      <w:sz w:val="24"/>
    </w:rPr>
  </w:style>
  <w:style w:type="paragraph" w:customStyle="1" w:styleId="codetailstabletype">
    <w:name w:val="co_detailstable_type"/>
    <w:basedOn w:val="Normal"/>
    <w:rsid w:val="00435883"/>
    <w:pPr>
      <w:spacing w:before="100" w:beforeAutospacing="1" w:after="100" w:afterAutospacing="1"/>
    </w:pPr>
    <w:rPr>
      <w:bCs w:val="0"/>
      <w:sz w:val="24"/>
    </w:rPr>
  </w:style>
  <w:style w:type="paragraph" w:customStyle="1" w:styleId="codetailstableclientid">
    <w:name w:val="co_detailstable_clientid"/>
    <w:basedOn w:val="Normal"/>
    <w:rsid w:val="00435883"/>
    <w:pPr>
      <w:spacing w:before="100" w:beforeAutospacing="1" w:after="100" w:afterAutospacing="1"/>
    </w:pPr>
    <w:rPr>
      <w:bCs w:val="0"/>
      <w:sz w:val="24"/>
    </w:rPr>
  </w:style>
  <w:style w:type="paragraph" w:customStyle="1" w:styleId="codetailstableentrynumber">
    <w:name w:val="co_detailstable_entrynumber"/>
    <w:basedOn w:val="Normal"/>
    <w:rsid w:val="00435883"/>
    <w:pPr>
      <w:spacing w:before="100" w:beforeAutospacing="1" w:after="100" w:afterAutospacing="1"/>
    </w:pPr>
    <w:rPr>
      <w:bCs w:val="0"/>
      <w:sz w:val="24"/>
    </w:rPr>
  </w:style>
  <w:style w:type="paragraph" w:customStyle="1" w:styleId="codetailstableipconenttype">
    <w:name w:val="co_detailstable_ipconenttype"/>
    <w:basedOn w:val="Normal"/>
    <w:rsid w:val="00435883"/>
    <w:pPr>
      <w:spacing w:before="100" w:beforeAutospacing="1" w:after="100" w:afterAutospacing="1"/>
    </w:pPr>
    <w:rPr>
      <w:bCs w:val="0"/>
      <w:sz w:val="24"/>
    </w:rPr>
  </w:style>
  <w:style w:type="paragraph" w:customStyle="1" w:styleId="codetailstabledate">
    <w:name w:val="co_detailstable_date"/>
    <w:basedOn w:val="Normal"/>
    <w:rsid w:val="00435883"/>
    <w:pPr>
      <w:spacing w:before="100" w:beforeAutospacing="1" w:after="100" w:afterAutospacing="1"/>
    </w:pPr>
    <w:rPr>
      <w:bCs w:val="0"/>
      <w:sz w:val="24"/>
    </w:rPr>
  </w:style>
  <w:style w:type="paragraph" w:customStyle="1" w:styleId="codetailstabletopics">
    <w:name w:val="co_detailstable_topics"/>
    <w:basedOn w:val="Normal"/>
    <w:rsid w:val="00435883"/>
    <w:pPr>
      <w:spacing w:before="100" w:beforeAutospacing="1" w:after="100" w:afterAutospacing="1"/>
    </w:pPr>
    <w:rPr>
      <w:bCs w:val="0"/>
      <w:sz w:val="24"/>
    </w:rPr>
  </w:style>
  <w:style w:type="paragraph" w:customStyle="1" w:styleId="codetailstableupdate">
    <w:name w:val="co_detailstable_update"/>
    <w:basedOn w:val="Normal"/>
    <w:rsid w:val="00435883"/>
    <w:pPr>
      <w:spacing w:before="100" w:beforeAutospacing="1" w:after="100" w:afterAutospacing="1"/>
    </w:pPr>
    <w:rPr>
      <w:bCs w:val="0"/>
      <w:sz w:val="24"/>
    </w:rPr>
  </w:style>
  <w:style w:type="paragraph" w:customStyle="1" w:styleId="codetailstableclientnumber">
    <w:name w:val="co_detailstable_clientnumber"/>
    <w:basedOn w:val="Normal"/>
    <w:rsid w:val="00435883"/>
    <w:pPr>
      <w:spacing w:before="100" w:beforeAutospacing="1" w:after="100" w:afterAutospacing="1"/>
    </w:pPr>
    <w:rPr>
      <w:bCs w:val="0"/>
      <w:sz w:val="24"/>
    </w:rPr>
  </w:style>
  <w:style w:type="paragraph" w:customStyle="1" w:styleId="codetailstablefolder">
    <w:name w:val="co_detailstable_folder"/>
    <w:basedOn w:val="Normal"/>
    <w:rsid w:val="00435883"/>
    <w:pPr>
      <w:spacing w:before="100" w:beforeAutospacing="1" w:after="100" w:afterAutospacing="1"/>
    </w:pPr>
    <w:rPr>
      <w:bCs w:val="0"/>
      <w:sz w:val="24"/>
    </w:rPr>
  </w:style>
  <w:style w:type="paragraph" w:customStyle="1" w:styleId="codetailstableraterange">
    <w:name w:val="co_detailstable_raterange"/>
    <w:basedOn w:val="Normal"/>
    <w:rsid w:val="00435883"/>
    <w:pPr>
      <w:spacing w:before="100" w:beforeAutospacing="1" w:after="100" w:afterAutospacing="1"/>
    </w:pPr>
    <w:rPr>
      <w:bCs w:val="0"/>
      <w:sz w:val="24"/>
    </w:rPr>
  </w:style>
  <w:style w:type="paragraph" w:customStyle="1" w:styleId="codetailstableroles">
    <w:name w:val="co_detailstable_roles"/>
    <w:basedOn w:val="Normal"/>
    <w:rsid w:val="00435883"/>
    <w:pPr>
      <w:spacing w:before="100" w:beforeAutospacing="1" w:after="100" w:afterAutospacing="1"/>
    </w:pPr>
    <w:rPr>
      <w:bCs w:val="0"/>
      <w:sz w:val="24"/>
    </w:rPr>
  </w:style>
  <w:style w:type="paragraph" w:customStyle="1" w:styleId="cotabledisclaimer">
    <w:name w:val="co_tabledisclaimer"/>
    <w:basedOn w:val="Normal"/>
    <w:rsid w:val="00435883"/>
    <w:pPr>
      <w:spacing w:before="100" w:beforeAutospacing="1" w:after="100" w:afterAutospacing="1"/>
    </w:pPr>
    <w:rPr>
      <w:bCs w:val="0"/>
      <w:i/>
      <w:iCs/>
      <w:sz w:val="24"/>
    </w:rPr>
  </w:style>
  <w:style w:type="paragraph" w:customStyle="1" w:styleId="cokeycitetreatment">
    <w:name w:val="co_keycite_treatment"/>
    <w:basedOn w:val="Normal"/>
    <w:rsid w:val="00435883"/>
    <w:pPr>
      <w:spacing w:before="100" w:beforeAutospacing="1" w:after="100" w:afterAutospacing="1"/>
      <w:ind w:left="375"/>
    </w:pPr>
    <w:rPr>
      <w:bCs w:val="0"/>
      <w:sz w:val="24"/>
    </w:rPr>
  </w:style>
  <w:style w:type="paragraph" w:customStyle="1" w:styleId="cofirst">
    <w:name w:val="co_first"/>
    <w:basedOn w:val="Normal"/>
    <w:rsid w:val="00435883"/>
    <w:pPr>
      <w:spacing w:before="75" w:after="100" w:afterAutospacing="1"/>
      <w:ind w:hanging="3928"/>
    </w:pPr>
    <w:rPr>
      <w:bCs w:val="0"/>
      <w:sz w:val="24"/>
    </w:rPr>
  </w:style>
  <w:style w:type="paragraph" w:customStyle="1" w:styleId="colast">
    <w:name w:val="co_last"/>
    <w:basedOn w:val="Normal"/>
    <w:rsid w:val="00435883"/>
    <w:pPr>
      <w:spacing w:before="75" w:after="100" w:afterAutospacing="1"/>
      <w:ind w:hanging="3928"/>
    </w:pPr>
    <w:rPr>
      <w:bCs w:val="0"/>
      <w:sz w:val="24"/>
    </w:rPr>
  </w:style>
  <w:style w:type="paragraph" w:customStyle="1" w:styleId="conext">
    <w:name w:val="co_next"/>
    <w:basedOn w:val="Normal"/>
    <w:rsid w:val="00435883"/>
    <w:pPr>
      <w:spacing w:before="75" w:after="100" w:afterAutospacing="1"/>
      <w:ind w:hanging="3928"/>
    </w:pPr>
    <w:rPr>
      <w:bCs w:val="0"/>
      <w:sz w:val="24"/>
    </w:rPr>
  </w:style>
  <w:style w:type="paragraph" w:customStyle="1" w:styleId="coprev">
    <w:name w:val="co_prev"/>
    <w:basedOn w:val="Normal"/>
    <w:rsid w:val="00435883"/>
    <w:pPr>
      <w:spacing w:before="75" w:after="100" w:afterAutospacing="1"/>
      <w:ind w:hanging="3928"/>
    </w:pPr>
    <w:rPr>
      <w:bCs w:val="0"/>
      <w:sz w:val="24"/>
    </w:rPr>
  </w:style>
  <w:style w:type="paragraph" w:customStyle="1" w:styleId="paginatedisablednext">
    <w:name w:val="paginate_disabled_next"/>
    <w:basedOn w:val="Normal"/>
    <w:rsid w:val="00435883"/>
    <w:pPr>
      <w:spacing w:before="75" w:after="100" w:afterAutospacing="1"/>
      <w:ind w:hanging="3928"/>
    </w:pPr>
    <w:rPr>
      <w:bCs w:val="0"/>
      <w:sz w:val="24"/>
    </w:rPr>
  </w:style>
  <w:style w:type="paragraph" w:customStyle="1" w:styleId="paginatedisabledprevious">
    <w:name w:val="paginate_disabled_previous"/>
    <w:basedOn w:val="Normal"/>
    <w:rsid w:val="00435883"/>
    <w:pPr>
      <w:spacing w:before="75" w:after="100" w:afterAutospacing="1"/>
      <w:ind w:hanging="3928"/>
    </w:pPr>
    <w:rPr>
      <w:bCs w:val="0"/>
      <w:sz w:val="24"/>
    </w:rPr>
  </w:style>
  <w:style w:type="paragraph" w:customStyle="1" w:styleId="paginateenablednext">
    <w:name w:val="paginate_enabled_next"/>
    <w:basedOn w:val="Normal"/>
    <w:rsid w:val="00435883"/>
    <w:pPr>
      <w:spacing w:before="75" w:after="100" w:afterAutospacing="1"/>
      <w:ind w:hanging="3928"/>
    </w:pPr>
    <w:rPr>
      <w:bCs w:val="0"/>
      <w:sz w:val="24"/>
    </w:rPr>
  </w:style>
  <w:style w:type="paragraph" w:customStyle="1" w:styleId="paginateenabledprevious">
    <w:name w:val="paginate_enabled_previous"/>
    <w:basedOn w:val="Normal"/>
    <w:rsid w:val="00435883"/>
    <w:pPr>
      <w:spacing w:before="75" w:after="100" w:afterAutospacing="1"/>
      <w:ind w:hanging="3928"/>
    </w:pPr>
    <w:rPr>
      <w:bCs w:val="0"/>
      <w:sz w:val="24"/>
    </w:rPr>
  </w:style>
  <w:style w:type="paragraph" w:customStyle="1" w:styleId="conavtools">
    <w:name w:val="co_navtools"/>
    <w:basedOn w:val="Normal"/>
    <w:rsid w:val="00435883"/>
    <w:pPr>
      <w:pBdr>
        <w:top w:val="single" w:sz="6" w:space="0" w:color="EEEEEE"/>
        <w:left w:val="single" w:sz="6" w:space="0" w:color="EEEEEE"/>
        <w:bottom w:val="single" w:sz="6" w:space="0" w:color="EEEEEE"/>
        <w:right w:val="single" w:sz="6" w:space="0" w:color="EEEEEE"/>
      </w:pBdr>
      <w:spacing w:before="100" w:beforeAutospacing="1" w:after="100" w:afterAutospacing="1"/>
    </w:pPr>
    <w:rPr>
      <w:bCs w:val="0"/>
      <w:sz w:val="24"/>
    </w:rPr>
  </w:style>
  <w:style w:type="paragraph" w:customStyle="1" w:styleId="conavpages">
    <w:name w:val="co_navpages"/>
    <w:basedOn w:val="Normal"/>
    <w:rsid w:val="00435883"/>
    <w:pPr>
      <w:spacing w:before="100" w:beforeAutospacing="1" w:after="100" w:afterAutospacing="1"/>
      <w:ind w:left="75"/>
    </w:pPr>
    <w:rPr>
      <w:bCs w:val="0"/>
      <w:sz w:val="24"/>
    </w:rPr>
  </w:style>
  <w:style w:type="paragraph" w:customStyle="1" w:styleId="conavselect">
    <w:name w:val="co_navselect"/>
    <w:basedOn w:val="Normal"/>
    <w:rsid w:val="00435883"/>
    <w:pPr>
      <w:spacing w:before="100" w:beforeAutospacing="1" w:after="100" w:afterAutospacing="1"/>
    </w:pPr>
    <w:rPr>
      <w:bCs w:val="0"/>
      <w:sz w:val="24"/>
    </w:rPr>
  </w:style>
  <w:style w:type="paragraph" w:customStyle="1" w:styleId="cogenericbox">
    <w:name w:val="co_genericbox"/>
    <w:basedOn w:val="Normal"/>
    <w:rsid w:val="00435883"/>
    <w:pPr>
      <w:spacing w:before="100" w:beforeAutospacing="1" w:after="90"/>
    </w:pPr>
    <w:rPr>
      <w:bCs w:val="0"/>
      <w:sz w:val="24"/>
    </w:rPr>
  </w:style>
  <w:style w:type="paragraph" w:customStyle="1" w:styleId="cogenericboxheader">
    <w:name w:val="co_genericboxheader"/>
    <w:basedOn w:val="Normal"/>
    <w:rsid w:val="00435883"/>
    <w:pPr>
      <w:spacing w:before="100" w:beforeAutospacing="1" w:after="100" w:afterAutospacing="1"/>
    </w:pPr>
    <w:rPr>
      <w:bCs w:val="0"/>
      <w:sz w:val="18"/>
      <w:szCs w:val="18"/>
    </w:rPr>
  </w:style>
  <w:style w:type="paragraph" w:customStyle="1" w:styleId="cogenericboxheadertext">
    <w:name w:val="co_genericboxheadertext"/>
    <w:basedOn w:val="Normal"/>
    <w:rsid w:val="00435883"/>
    <w:pPr>
      <w:spacing w:before="100" w:beforeAutospacing="1" w:after="100" w:afterAutospacing="1"/>
    </w:pPr>
    <w:rPr>
      <w:bCs w:val="0"/>
      <w:color w:val="212121"/>
      <w:sz w:val="24"/>
    </w:rPr>
  </w:style>
  <w:style w:type="paragraph" w:customStyle="1" w:styleId="cogenericboxcontent">
    <w:name w:val="co_genericboxcontent"/>
    <w:basedOn w:val="Normal"/>
    <w:rsid w:val="00435883"/>
    <w:pPr>
      <w:spacing w:before="100" w:beforeAutospacing="1" w:after="100" w:afterAutospacing="1"/>
    </w:pPr>
    <w:rPr>
      <w:bCs w:val="0"/>
      <w:color w:val="212121"/>
      <w:sz w:val="24"/>
    </w:rPr>
  </w:style>
  <w:style w:type="paragraph" w:customStyle="1" w:styleId="cogenericboxtabs">
    <w:name w:val="co_genericboxtabs"/>
    <w:basedOn w:val="Normal"/>
    <w:rsid w:val="00435883"/>
    <w:pPr>
      <w:spacing w:before="100" w:beforeAutospacing="1" w:after="100" w:afterAutospacing="1"/>
    </w:pPr>
    <w:rPr>
      <w:bCs w:val="0"/>
      <w:sz w:val="24"/>
    </w:rPr>
  </w:style>
  <w:style w:type="paragraph" w:customStyle="1" w:styleId="cogenericboxsubheader">
    <w:name w:val="co_genericboxsubheader"/>
    <w:basedOn w:val="Normal"/>
    <w:rsid w:val="00435883"/>
    <w:pPr>
      <w:pBdr>
        <w:bottom w:val="single" w:sz="6" w:space="8" w:color="EEEEEE"/>
      </w:pBdr>
      <w:shd w:val="clear" w:color="auto" w:fill="F7F7F7"/>
      <w:spacing w:before="100" w:beforeAutospacing="1" w:after="100" w:afterAutospacing="1"/>
    </w:pPr>
    <w:rPr>
      <w:bCs w:val="0"/>
      <w:sz w:val="24"/>
    </w:rPr>
  </w:style>
  <w:style w:type="paragraph" w:customStyle="1" w:styleId="cogenericboxfooter">
    <w:name w:val="co_genericboxfooter"/>
    <w:basedOn w:val="Normal"/>
    <w:rsid w:val="00435883"/>
    <w:pPr>
      <w:spacing w:before="100" w:beforeAutospacing="1" w:after="100" w:afterAutospacing="1"/>
    </w:pPr>
    <w:rPr>
      <w:bCs w:val="0"/>
      <w:sz w:val="24"/>
    </w:rPr>
  </w:style>
  <w:style w:type="paragraph" w:customStyle="1" w:styleId="cogenericexpand">
    <w:name w:val="co_genericexpand"/>
    <w:basedOn w:val="Normal"/>
    <w:rsid w:val="00435883"/>
    <w:pPr>
      <w:spacing w:before="100" w:beforeAutospacing="1" w:after="100" w:afterAutospacing="1"/>
      <w:ind w:hanging="3928"/>
    </w:pPr>
    <w:rPr>
      <w:bCs w:val="0"/>
      <w:sz w:val="24"/>
    </w:rPr>
  </w:style>
  <w:style w:type="paragraph" w:customStyle="1" w:styleId="cogenericcollapse">
    <w:name w:val="co_genericcollapse"/>
    <w:basedOn w:val="Normal"/>
    <w:rsid w:val="00435883"/>
    <w:pPr>
      <w:spacing w:before="100" w:beforeAutospacing="1" w:after="100" w:afterAutospacing="1"/>
      <w:ind w:hanging="3928"/>
    </w:pPr>
    <w:rPr>
      <w:bCs w:val="0"/>
      <w:sz w:val="24"/>
    </w:rPr>
  </w:style>
  <w:style w:type="paragraph" w:customStyle="1" w:styleId="codropdownbutton">
    <w:name w:val="co_dropdownbutton"/>
    <w:basedOn w:val="Normal"/>
    <w:rsid w:val="00435883"/>
    <w:pPr>
      <w:pBdr>
        <w:top w:val="single" w:sz="6" w:space="2" w:color="D1D1D1"/>
        <w:left w:val="single" w:sz="6" w:space="3" w:color="D1D1D1"/>
        <w:bottom w:val="single" w:sz="6" w:space="1" w:color="D1D1D1"/>
        <w:right w:val="single" w:sz="6" w:space="3" w:color="D1D1D1"/>
      </w:pBdr>
      <w:shd w:val="clear" w:color="auto" w:fill="F1F1F1"/>
      <w:spacing w:before="100" w:beforeAutospacing="1" w:after="100" w:afterAutospacing="1" w:line="255" w:lineRule="atLeast"/>
    </w:pPr>
    <w:rPr>
      <w:bCs w:val="0"/>
      <w:sz w:val="24"/>
    </w:rPr>
  </w:style>
  <w:style w:type="paragraph" w:customStyle="1" w:styleId="cotbbutton">
    <w:name w:val="co_tbbutton"/>
    <w:basedOn w:val="Normal"/>
    <w:rsid w:val="00435883"/>
    <w:pPr>
      <w:pBdr>
        <w:top w:val="single" w:sz="6" w:space="2" w:color="D1D1D1"/>
        <w:left w:val="single" w:sz="6" w:space="3" w:color="D1D1D1"/>
        <w:bottom w:val="single" w:sz="6" w:space="1" w:color="D1D1D1"/>
        <w:right w:val="single" w:sz="6" w:space="3" w:color="D1D1D1"/>
      </w:pBdr>
      <w:shd w:val="clear" w:color="auto" w:fill="F1F1F1"/>
      <w:spacing w:before="100" w:beforeAutospacing="1" w:after="100" w:afterAutospacing="1" w:line="255" w:lineRule="atLeast"/>
    </w:pPr>
    <w:rPr>
      <w:bCs w:val="0"/>
      <w:sz w:val="24"/>
    </w:rPr>
  </w:style>
  <w:style w:type="paragraph" w:customStyle="1" w:styleId="codropdownanchor">
    <w:name w:val="co_dropdownanchor"/>
    <w:basedOn w:val="Normal"/>
    <w:rsid w:val="00435883"/>
    <w:pPr>
      <w:spacing w:before="100" w:beforeAutospacing="1" w:after="100" w:afterAutospacing="1"/>
    </w:pPr>
    <w:rPr>
      <w:bCs w:val="0"/>
      <w:sz w:val="24"/>
    </w:rPr>
  </w:style>
  <w:style w:type="paragraph" w:customStyle="1" w:styleId="codropdownmenucontent">
    <w:name w:val="co_dropdownmenucontent"/>
    <w:basedOn w:val="Normal"/>
    <w:rsid w:val="00435883"/>
    <w:pPr>
      <w:pBdr>
        <w:top w:val="single" w:sz="6" w:space="2" w:color="C9C9C9"/>
        <w:left w:val="single" w:sz="6" w:space="8" w:color="C9C9C9"/>
        <w:bottom w:val="single" w:sz="6" w:space="2" w:color="C9C9C9"/>
        <w:right w:val="single" w:sz="6" w:space="8" w:color="C9C9C9"/>
      </w:pBdr>
      <w:shd w:val="clear" w:color="auto" w:fill="FFFFFF"/>
    </w:pPr>
    <w:rPr>
      <w:bCs w:val="0"/>
      <w:vanish/>
      <w:sz w:val="24"/>
    </w:rPr>
  </w:style>
  <w:style w:type="paragraph" w:customStyle="1" w:styleId="a11ydropdown-button">
    <w:name w:val="a11ydropdown-button"/>
    <w:basedOn w:val="Normal"/>
    <w:rsid w:val="00435883"/>
    <w:pPr>
      <w:pBdr>
        <w:top w:val="single" w:sz="6" w:space="0" w:color="D1D1D1"/>
        <w:left w:val="single" w:sz="6" w:space="0" w:color="D1D1D1"/>
        <w:bottom w:val="single" w:sz="6" w:space="0" w:color="D1D1D1"/>
        <w:right w:val="single" w:sz="6" w:space="0" w:color="D1D1D1"/>
      </w:pBdr>
      <w:shd w:val="clear" w:color="auto" w:fill="F1F1F1"/>
      <w:spacing w:before="100" w:beforeAutospacing="1" w:after="100" w:afterAutospacing="1" w:line="255" w:lineRule="atLeast"/>
    </w:pPr>
    <w:rPr>
      <w:bCs w:val="0"/>
      <w:sz w:val="24"/>
    </w:rPr>
  </w:style>
  <w:style w:type="paragraph" w:customStyle="1" w:styleId="a11ydropdown-buttontext">
    <w:name w:val="a11ydropdown-buttontext"/>
    <w:basedOn w:val="Normal"/>
    <w:rsid w:val="00435883"/>
    <w:pPr>
      <w:spacing w:before="100" w:beforeAutospacing="1" w:after="100" w:afterAutospacing="1"/>
    </w:pPr>
    <w:rPr>
      <w:bCs w:val="0"/>
      <w:sz w:val="24"/>
    </w:rPr>
  </w:style>
  <w:style w:type="paragraph" w:customStyle="1" w:styleId="a11ydropdown-menu">
    <w:name w:val="a11ydropdown-menu"/>
    <w:basedOn w:val="Normal"/>
    <w:rsid w:val="00435883"/>
    <w:pPr>
      <w:pBdr>
        <w:top w:val="single" w:sz="6" w:space="0" w:color="C9C9C9"/>
        <w:left w:val="single" w:sz="6" w:space="0" w:color="C9C9C9"/>
        <w:bottom w:val="single" w:sz="6" w:space="0" w:color="C9C9C9"/>
        <w:right w:val="single" w:sz="6" w:space="0" w:color="C9C9C9"/>
      </w:pBdr>
      <w:shd w:val="clear" w:color="auto" w:fill="FFFFFF"/>
    </w:pPr>
    <w:rPr>
      <w:bCs w:val="0"/>
      <w:vanish/>
      <w:sz w:val="24"/>
    </w:rPr>
  </w:style>
  <w:style w:type="paragraph" w:customStyle="1" w:styleId="a11ydropdown-item">
    <w:name w:val="a11ydropdown-item"/>
    <w:basedOn w:val="Normal"/>
    <w:rsid w:val="00435883"/>
    <w:rPr>
      <w:bCs w:val="0"/>
      <w:color w:val="145DA4"/>
      <w:sz w:val="18"/>
      <w:szCs w:val="18"/>
    </w:rPr>
  </w:style>
  <w:style w:type="paragraph" w:customStyle="1" w:styleId="cotabs">
    <w:name w:val="co_tabs"/>
    <w:basedOn w:val="Normal"/>
    <w:rsid w:val="00435883"/>
    <w:pPr>
      <w:spacing w:before="100" w:beforeAutospacing="1" w:after="100" w:afterAutospacing="1" w:line="375" w:lineRule="atLeast"/>
    </w:pPr>
    <w:rPr>
      <w:bCs w:val="0"/>
      <w:sz w:val="24"/>
    </w:rPr>
  </w:style>
  <w:style w:type="paragraph" w:customStyle="1" w:styleId="cotabitem">
    <w:name w:val="co_tabitem"/>
    <w:basedOn w:val="Normal"/>
    <w:rsid w:val="00435883"/>
    <w:pPr>
      <w:pBdr>
        <w:top w:val="single" w:sz="6" w:space="0" w:color="D6D6D6"/>
        <w:left w:val="single" w:sz="2" w:space="0" w:color="D6D6D6"/>
        <w:bottom w:val="single" w:sz="2" w:space="0" w:color="D6D6D6"/>
        <w:right w:val="single" w:sz="6" w:space="0" w:color="D6D6D6"/>
      </w:pBdr>
      <w:spacing w:before="100" w:beforeAutospacing="1" w:after="100" w:afterAutospacing="1"/>
    </w:pPr>
    <w:rPr>
      <w:b/>
      <w:color w:val="275EAB"/>
      <w:sz w:val="22"/>
      <w:szCs w:val="22"/>
    </w:rPr>
  </w:style>
  <w:style w:type="paragraph" w:customStyle="1" w:styleId="cotabhide">
    <w:name w:val="co_tabhide"/>
    <w:basedOn w:val="Normal"/>
    <w:rsid w:val="00435883"/>
    <w:pPr>
      <w:spacing w:before="100" w:beforeAutospacing="1" w:after="100" w:afterAutospacing="1"/>
    </w:pPr>
    <w:rPr>
      <w:bCs w:val="0"/>
      <w:vanish/>
      <w:sz w:val="24"/>
    </w:rPr>
  </w:style>
  <w:style w:type="paragraph" w:customStyle="1" w:styleId="cotabshow">
    <w:name w:val="co_tabshow"/>
    <w:basedOn w:val="Normal"/>
    <w:rsid w:val="00435883"/>
    <w:pPr>
      <w:spacing w:before="100" w:beforeAutospacing="1" w:after="100" w:afterAutospacing="1"/>
    </w:pPr>
    <w:rPr>
      <w:bCs w:val="0"/>
      <w:sz w:val="24"/>
    </w:rPr>
  </w:style>
  <w:style w:type="paragraph" w:customStyle="1" w:styleId="cokmtabimage">
    <w:name w:val="co_kmtabimage"/>
    <w:basedOn w:val="Normal"/>
    <w:rsid w:val="00435883"/>
    <w:pPr>
      <w:spacing w:before="100" w:beforeAutospacing="1" w:after="100" w:afterAutospacing="1"/>
      <w:textAlignment w:val="center"/>
    </w:pPr>
    <w:rPr>
      <w:bCs w:val="0"/>
      <w:sz w:val="24"/>
    </w:rPr>
  </w:style>
  <w:style w:type="paragraph" w:customStyle="1" w:styleId="cogreytabs">
    <w:name w:val="co_greytabs"/>
    <w:basedOn w:val="Normal"/>
    <w:rsid w:val="00435883"/>
    <w:pPr>
      <w:shd w:val="clear" w:color="auto" w:fill="DDDDDD"/>
      <w:spacing w:before="100" w:beforeAutospacing="1" w:after="100" w:afterAutospacing="1"/>
    </w:pPr>
    <w:rPr>
      <w:bCs w:val="0"/>
      <w:sz w:val="24"/>
    </w:rPr>
  </w:style>
  <w:style w:type="paragraph" w:customStyle="1" w:styleId="cosearchtitlecount">
    <w:name w:val="co_search_titlecount"/>
    <w:basedOn w:val="Normal"/>
    <w:rsid w:val="00435883"/>
    <w:pPr>
      <w:spacing w:before="100" w:beforeAutospacing="1" w:after="100" w:afterAutospacing="1"/>
      <w:ind w:left="75"/>
    </w:pPr>
    <w:rPr>
      <w:bCs w:val="0"/>
      <w:sz w:val="30"/>
      <w:szCs w:val="30"/>
    </w:rPr>
  </w:style>
  <w:style w:type="paragraph" w:customStyle="1" w:styleId="cosearchformouter">
    <w:name w:val="co_searchformouter"/>
    <w:basedOn w:val="Normal"/>
    <w:rsid w:val="00435883"/>
    <w:pPr>
      <w:spacing w:before="100" w:beforeAutospacing="1" w:after="100" w:afterAutospacing="1"/>
    </w:pPr>
    <w:rPr>
      <w:bCs w:val="0"/>
      <w:sz w:val="24"/>
    </w:rPr>
  </w:style>
  <w:style w:type="paragraph" w:customStyle="1" w:styleId="cosearchinputcontainer">
    <w:name w:val="co_searchinputcontainer"/>
    <w:basedOn w:val="Normal"/>
    <w:rsid w:val="00435883"/>
    <w:pPr>
      <w:ind w:right="4440"/>
    </w:pPr>
    <w:rPr>
      <w:bCs w:val="0"/>
      <w:sz w:val="24"/>
    </w:rPr>
  </w:style>
  <w:style w:type="paragraph" w:customStyle="1" w:styleId="coinputbottom">
    <w:name w:val="co_inputbottom"/>
    <w:basedOn w:val="Normal"/>
    <w:rsid w:val="00435883"/>
    <w:pPr>
      <w:spacing w:before="100" w:beforeAutospacing="1" w:after="100" w:afterAutospacing="1"/>
    </w:pPr>
    <w:rPr>
      <w:bCs w:val="0"/>
      <w:sz w:val="24"/>
    </w:rPr>
  </w:style>
  <w:style w:type="paragraph" w:customStyle="1" w:styleId="coinputbottomright">
    <w:name w:val="co_inputbottomright"/>
    <w:basedOn w:val="Normal"/>
    <w:rsid w:val="00435883"/>
    <w:pPr>
      <w:spacing w:before="100" w:beforeAutospacing="1" w:after="100" w:afterAutospacing="1"/>
    </w:pPr>
    <w:rPr>
      <w:bCs w:val="0"/>
      <w:sz w:val="24"/>
    </w:rPr>
  </w:style>
  <w:style w:type="paragraph" w:customStyle="1" w:styleId="coinputtop">
    <w:name w:val="co_inputtop"/>
    <w:basedOn w:val="Normal"/>
    <w:rsid w:val="00435883"/>
    <w:pPr>
      <w:spacing w:before="100" w:beforeAutospacing="1" w:after="100" w:afterAutospacing="1"/>
    </w:pPr>
    <w:rPr>
      <w:bCs w:val="0"/>
      <w:sz w:val="24"/>
    </w:rPr>
  </w:style>
  <w:style w:type="paragraph" w:customStyle="1" w:styleId="coinputtopright">
    <w:name w:val="co_inputtopright"/>
    <w:basedOn w:val="Normal"/>
    <w:rsid w:val="00435883"/>
    <w:pPr>
      <w:spacing w:before="100" w:beforeAutospacing="1" w:after="100" w:afterAutospacing="1"/>
    </w:pPr>
    <w:rPr>
      <w:bCs w:val="0"/>
      <w:sz w:val="24"/>
    </w:rPr>
  </w:style>
  <w:style w:type="paragraph" w:customStyle="1" w:styleId="coinputmidleft">
    <w:name w:val="co_inputmidleft"/>
    <w:basedOn w:val="Normal"/>
    <w:rsid w:val="00435883"/>
    <w:pPr>
      <w:shd w:val="clear" w:color="auto" w:fill="FFFFFF"/>
      <w:spacing w:before="100" w:beforeAutospacing="1" w:after="100" w:afterAutospacing="1"/>
    </w:pPr>
    <w:rPr>
      <w:bCs w:val="0"/>
      <w:sz w:val="24"/>
    </w:rPr>
  </w:style>
  <w:style w:type="paragraph" w:customStyle="1" w:styleId="coinputmidright">
    <w:name w:val="co_inputmidright"/>
    <w:basedOn w:val="Normal"/>
    <w:rsid w:val="00435883"/>
    <w:pPr>
      <w:spacing w:before="100" w:beforeAutospacing="1" w:after="100" w:afterAutospacing="1"/>
    </w:pPr>
    <w:rPr>
      <w:bCs w:val="0"/>
      <w:sz w:val="24"/>
    </w:rPr>
  </w:style>
  <w:style w:type="paragraph" w:customStyle="1" w:styleId="cotextarea">
    <w:name w:val="co_textarea"/>
    <w:basedOn w:val="Normal"/>
    <w:rsid w:val="00435883"/>
    <w:pPr>
      <w:spacing w:before="100" w:beforeAutospacing="1" w:after="100" w:afterAutospacing="1"/>
      <w:ind w:left="375"/>
    </w:pPr>
    <w:rPr>
      <w:bCs w:val="0"/>
      <w:sz w:val="24"/>
    </w:rPr>
  </w:style>
  <w:style w:type="paragraph" w:customStyle="1" w:styleId="cosearchwidgetpoweredbycontent">
    <w:name w:val="co_searchwidget_poweredbycontent"/>
    <w:basedOn w:val="Normal"/>
    <w:rsid w:val="00435883"/>
    <w:pPr>
      <w:spacing w:before="100" w:beforeAutospacing="1" w:after="100" w:afterAutospacing="1"/>
    </w:pPr>
    <w:rPr>
      <w:bCs w:val="0"/>
      <w:sz w:val="24"/>
    </w:rPr>
  </w:style>
  <w:style w:type="paragraph" w:customStyle="1" w:styleId="cosearchdidyoumean">
    <w:name w:val="co_search_didyoumean"/>
    <w:basedOn w:val="Normal"/>
    <w:rsid w:val="00435883"/>
    <w:pPr>
      <w:spacing w:before="150" w:after="150"/>
    </w:pPr>
    <w:rPr>
      <w:bCs w:val="0"/>
      <w:sz w:val="24"/>
    </w:rPr>
  </w:style>
  <w:style w:type="paragraph" w:customStyle="1" w:styleId="cosearchsuggestioncontainer">
    <w:name w:val="co_searchsuggestioncontainer"/>
    <w:basedOn w:val="Normal"/>
    <w:rsid w:val="00435883"/>
    <w:pPr>
      <w:pBdr>
        <w:top w:val="single" w:sz="2" w:space="0" w:color="CCCCCC"/>
        <w:left w:val="single" w:sz="6" w:space="0" w:color="CCCCCC"/>
        <w:bottom w:val="single" w:sz="6" w:space="0" w:color="CCCCCC"/>
        <w:right w:val="single" w:sz="6" w:space="0" w:color="CCCCCC"/>
      </w:pBdr>
      <w:shd w:val="clear" w:color="auto" w:fill="FFFFFF"/>
      <w:spacing w:line="270" w:lineRule="atLeast"/>
      <w:ind w:left="30" w:right="30"/>
    </w:pPr>
    <w:rPr>
      <w:bCs w:val="0"/>
      <w:sz w:val="24"/>
    </w:rPr>
  </w:style>
  <w:style w:type="paragraph" w:customStyle="1" w:styleId="coautocompletesection">
    <w:name w:val="co_autocompletesection"/>
    <w:basedOn w:val="Normal"/>
    <w:rsid w:val="00435883"/>
    <w:pPr>
      <w:spacing w:before="100" w:beforeAutospacing="1" w:after="150"/>
    </w:pPr>
    <w:rPr>
      <w:bCs w:val="0"/>
      <w:sz w:val="24"/>
    </w:rPr>
  </w:style>
  <w:style w:type="paragraph" w:customStyle="1" w:styleId="coautocompletebody">
    <w:name w:val="co_autocompletebody"/>
    <w:basedOn w:val="Normal"/>
    <w:rsid w:val="00435883"/>
    <w:pPr>
      <w:spacing w:before="100" w:beforeAutospacing="1" w:after="100" w:afterAutospacing="1"/>
    </w:pPr>
    <w:rPr>
      <w:bCs w:val="0"/>
      <w:sz w:val="24"/>
    </w:rPr>
  </w:style>
  <w:style w:type="paragraph" w:customStyle="1" w:styleId="cotypeaheaditem">
    <w:name w:val="co_typeaheaditem"/>
    <w:basedOn w:val="Normal"/>
    <w:rsid w:val="00435883"/>
    <w:rPr>
      <w:bCs w:val="0"/>
      <w:sz w:val="24"/>
    </w:rPr>
  </w:style>
  <w:style w:type="paragraph" w:customStyle="1" w:styleId="cosnapshotindividual">
    <w:name w:val="co_snapshotindividual"/>
    <w:basedOn w:val="Normal"/>
    <w:rsid w:val="00435883"/>
    <w:pPr>
      <w:spacing w:before="100" w:beforeAutospacing="1" w:after="100" w:afterAutospacing="1"/>
    </w:pPr>
    <w:rPr>
      <w:bCs w:val="0"/>
      <w:sz w:val="24"/>
    </w:rPr>
  </w:style>
  <w:style w:type="paragraph" w:customStyle="1" w:styleId="cosnapshotdocuments">
    <w:name w:val="co_snapshotdocuments"/>
    <w:basedOn w:val="Normal"/>
    <w:rsid w:val="00435883"/>
    <w:pPr>
      <w:spacing w:before="100" w:beforeAutospacing="1" w:after="100" w:afterAutospacing="1"/>
    </w:pPr>
    <w:rPr>
      <w:bCs w:val="0"/>
      <w:color w:val="212121"/>
      <w:sz w:val="17"/>
      <w:szCs w:val="17"/>
    </w:rPr>
  </w:style>
  <w:style w:type="paragraph" w:customStyle="1" w:styleId="codropdowntitle">
    <w:name w:val="co_dropdowntitle"/>
    <w:basedOn w:val="Normal"/>
    <w:rsid w:val="00435883"/>
    <w:pPr>
      <w:spacing w:before="100" w:beforeAutospacing="1" w:after="100" w:afterAutospacing="1"/>
      <w:textAlignment w:val="top"/>
    </w:pPr>
    <w:rPr>
      <w:bCs w:val="0"/>
      <w:sz w:val="24"/>
    </w:rPr>
  </w:style>
  <w:style w:type="paragraph" w:customStyle="1" w:styleId="cowebsitenoimplelink">
    <w:name w:val="co_website_noimplelink"/>
    <w:basedOn w:val="Normal"/>
    <w:rsid w:val="00435883"/>
    <w:pPr>
      <w:spacing w:before="100" w:beforeAutospacing="1" w:after="100" w:afterAutospacing="1"/>
    </w:pPr>
    <w:rPr>
      <w:bCs w:val="0"/>
      <w:color w:val="D6D6D6"/>
      <w:sz w:val="24"/>
    </w:rPr>
  </w:style>
  <w:style w:type="paragraph" w:customStyle="1" w:styleId="codropdowntitleunclickable">
    <w:name w:val="co_dropdowntitleunclickable"/>
    <w:basedOn w:val="Normal"/>
    <w:rsid w:val="00435883"/>
    <w:pPr>
      <w:spacing w:before="100" w:beforeAutospacing="1" w:after="100" w:afterAutospacing="1"/>
    </w:pPr>
    <w:rPr>
      <w:bCs w:val="0"/>
      <w:color w:val="777777"/>
      <w:sz w:val="24"/>
    </w:rPr>
  </w:style>
  <w:style w:type="paragraph" w:customStyle="1" w:styleId="comodalboxoverlay">
    <w:name w:val="co_modalboxoverlay"/>
    <w:basedOn w:val="Normal"/>
    <w:rsid w:val="00435883"/>
    <w:pPr>
      <w:spacing w:before="100" w:beforeAutospacing="1" w:after="100" w:afterAutospacing="1"/>
    </w:pPr>
    <w:rPr>
      <w:bCs w:val="0"/>
      <w:vanish/>
      <w:sz w:val="24"/>
    </w:rPr>
  </w:style>
  <w:style w:type="paragraph" w:customStyle="1" w:styleId="comodalboxoverlayhide">
    <w:name w:val="co_modalboxoverlayhide"/>
    <w:basedOn w:val="Normal"/>
    <w:rsid w:val="00435883"/>
    <w:pPr>
      <w:shd w:val="clear" w:color="auto" w:fill="FF0000"/>
      <w:spacing w:before="100" w:beforeAutospacing="1" w:after="100" w:afterAutospacing="1"/>
    </w:pPr>
    <w:rPr>
      <w:bCs w:val="0"/>
      <w:sz w:val="24"/>
    </w:rPr>
  </w:style>
  <w:style w:type="paragraph" w:customStyle="1" w:styleId="codropdownstatusmessage">
    <w:name w:val="co_dropdownstatusmessage"/>
    <w:basedOn w:val="Normal"/>
    <w:rsid w:val="00435883"/>
    <w:pPr>
      <w:shd w:val="clear" w:color="auto" w:fill="FA8072"/>
      <w:spacing w:before="100" w:beforeAutospacing="1" w:after="100" w:afterAutospacing="1"/>
    </w:pPr>
    <w:rPr>
      <w:bCs w:val="0"/>
      <w:sz w:val="24"/>
    </w:rPr>
  </w:style>
  <w:style w:type="paragraph" w:customStyle="1" w:styleId="coresearchorgmessage">
    <w:name w:val="co_researchorg_message"/>
    <w:basedOn w:val="Normal"/>
    <w:rsid w:val="00435883"/>
    <w:pPr>
      <w:shd w:val="clear" w:color="auto" w:fill="FFF5AE"/>
      <w:spacing w:before="45" w:after="90"/>
    </w:pPr>
    <w:rPr>
      <w:bCs w:val="0"/>
      <w:sz w:val="19"/>
      <w:szCs w:val="19"/>
    </w:rPr>
  </w:style>
  <w:style w:type="paragraph" w:customStyle="1" w:styleId="coaccesscheckwidget">
    <w:name w:val="co_accesscheckwidget"/>
    <w:basedOn w:val="Normal"/>
    <w:rsid w:val="00435883"/>
    <w:pPr>
      <w:pBdr>
        <w:top w:val="single" w:sz="6" w:space="6" w:color="BBBBBB"/>
        <w:left w:val="single" w:sz="6" w:space="6" w:color="BBBBBB"/>
        <w:bottom w:val="single" w:sz="6" w:space="6" w:color="BBBBBB"/>
        <w:right w:val="single" w:sz="6" w:space="6" w:color="BBBBBB"/>
      </w:pBdr>
      <w:shd w:val="clear" w:color="auto" w:fill="FFFFFF"/>
      <w:spacing w:before="100" w:beforeAutospacing="1" w:after="100" w:afterAutospacing="1"/>
      <w:jc w:val="center"/>
    </w:pPr>
    <w:rPr>
      <w:bCs w:val="0"/>
      <w:szCs w:val="20"/>
    </w:rPr>
  </w:style>
  <w:style w:type="paragraph" w:customStyle="1" w:styleId="comessageplaceholderwidget">
    <w:name w:val="co_messageplaceholderwidget"/>
    <w:basedOn w:val="Normal"/>
    <w:rsid w:val="00435883"/>
    <w:pPr>
      <w:pBdr>
        <w:top w:val="single" w:sz="6" w:space="6" w:color="BBBBBB"/>
        <w:left w:val="single" w:sz="6" w:space="6" w:color="BBBBBB"/>
        <w:bottom w:val="single" w:sz="6" w:space="6" w:color="BBBBBB"/>
        <w:right w:val="single" w:sz="6" w:space="6" w:color="BBBBBB"/>
      </w:pBdr>
      <w:shd w:val="clear" w:color="auto" w:fill="FFFFFF"/>
      <w:spacing w:before="100" w:beforeAutospacing="1" w:after="100" w:afterAutospacing="1"/>
      <w:jc w:val="center"/>
    </w:pPr>
    <w:rPr>
      <w:bCs w:val="0"/>
      <w:szCs w:val="20"/>
    </w:rPr>
  </w:style>
  <w:style w:type="paragraph" w:customStyle="1" w:styleId="comessageplaceholderwidgetmessage">
    <w:name w:val="co_messageplaceholderwidget_message"/>
    <w:basedOn w:val="Normal"/>
    <w:rsid w:val="00435883"/>
    <w:pPr>
      <w:spacing w:before="100" w:beforeAutospacing="1" w:after="100" w:afterAutospacing="1"/>
    </w:pPr>
    <w:rPr>
      <w:bCs w:val="0"/>
      <w:sz w:val="21"/>
      <w:szCs w:val="21"/>
    </w:rPr>
  </w:style>
  <w:style w:type="paragraph" w:customStyle="1" w:styleId="coloading">
    <w:name w:val="co_loading"/>
    <w:basedOn w:val="Normal"/>
    <w:rsid w:val="00435883"/>
    <w:pPr>
      <w:spacing w:before="240" w:after="240"/>
      <w:jc w:val="center"/>
    </w:pPr>
    <w:rPr>
      <w:b/>
      <w:sz w:val="24"/>
    </w:rPr>
  </w:style>
  <w:style w:type="paragraph" w:customStyle="1" w:styleId="cosearchajaxloading">
    <w:name w:val="co_search_ajaxloading"/>
    <w:basedOn w:val="Normal"/>
    <w:rsid w:val="00435883"/>
    <w:pPr>
      <w:spacing w:before="240" w:after="240"/>
      <w:jc w:val="center"/>
    </w:pPr>
    <w:rPr>
      <w:b/>
      <w:sz w:val="24"/>
    </w:rPr>
  </w:style>
  <w:style w:type="paragraph" w:customStyle="1" w:styleId="coloadingsmall0">
    <w:name w:val="co_loading_small"/>
    <w:basedOn w:val="Normal"/>
    <w:rsid w:val="00435883"/>
    <w:pPr>
      <w:spacing w:before="100" w:beforeAutospacing="1" w:after="100" w:afterAutospacing="1"/>
    </w:pPr>
    <w:rPr>
      <w:bCs w:val="0"/>
      <w:sz w:val="24"/>
    </w:rPr>
  </w:style>
  <w:style w:type="paragraph" w:customStyle="1" w:styleId="coprogressindicator">
    <w:name w:val="co_progressindicator"/>
    <w:basedOn w:val="Normal"/>
    <w:rsid w:val="00435883"/>
    <w:pPr>
      <w:spacing w:before="100" w:beforeAutospacing="1" w:after="100" w:afterAutospacing="1"/>
      <w:jc w:val="center"/>
    </w:pPr>
    <w:rPr>
      <w:bCs w:val="0"/>
      <w:sz w:val="24"/>
    </w:rPr>
  </w:style>
  <w:style w:type="paragraph" w:customStyle="1" w:styleId="cooverlayboxerror">
    <w:name w:val="co_overlaybox_error"/>
    <w:basedOn w:val="Normal"/>
    <w:rsid w:val="00435883"/>
    <w:pPr>
      <w:pBdr>
        <w:top w:val="single" w:sz="6" w:space="2" w:color="FF0000"/>
        <w:left w:val="single" w:sz="6" w:space="30" w:color="FF0000"/>
        <w:bottom w:val="single" w:sz="6" w:space="2" w:color="FF0000"/>
        <w:right w:val="single" w:sz="6" w:space="2" w:color="FF0000"/>
      </w:pBdr>
      <w:shd w:val="clear" w:color="auto" w:fill="FFFFCC"/>
      <w:spacing w:before="75" w:after="75"/>
    </w:pPr>
    <w:rPr>
      <w:bCs w:val="0"/>
      <w:sz w:val="24"/>
    </w:rPr>
  </w:style>
  <w:style w:type="paragraph" w:customStyle="1" w:styleId="coiconrequired">
    <w:name w:val="co_icon_required"/>
    <w:basedOn w:val="Normal"/>
    <w:rsid w:val="00435883"/>
    <w:pPr>
      <w:spacing w:before="100" w:beforeAutospacing="1" w:after="100" w:afterAutospacing="1"/>
    </w:pPr>
    <w:rPr>
      <w:bCs w:val="0"/>
      <w:sz w:val="24"/>
    </w:rPr>
  </w:style>
  <w:style w:type="paragraph" w:customStyle="1" w:styleId="corelatedinfodocsummary">
    <w:name w:val="co_relatedinfo_doc_summary"/>
    <w:basedOn w:val="Normal"/>
    <w:rsid w:val="00435883"/>
    <w:pPr>
      <w:spacing w:before="100" w:beforeAutospacing="1" w:after="100" w:afterAutospacing="1"/>
    </w:pPr>
    <w:rPr>
      <w:bCs w:val="0"/>
      <w:sz w:val="19"/>
      <w:szCs w:val="19"/>
    </w:rPr>
  </w:style>
  <w:style w:type="paragraph" w:customStyle="1" w:styleId="corelatedinfodocsnippet">
    <w:name w:val="co_relatedinfo_doc_snippet"/>
    <w:basedOn w:val="Normal"/>
    <w:rsid w:val="00435883"/>
    <w:pPr>
      <w:spacing w:before="192" w:after="100" w:afterAutospacing="1"/>
    </w:pPr>
    <w:rPr>
      <w:bCs w:val="0"/>
      <w:sz w:val="24"/>
    </w:rPr>
  </w:style>
  <w:style w:type="paragraph" w:customStyle="1" w:styleId="cowebsitedisabledtextbox">
    <w:name w:val="co_website_disabledtextbox"/>
    <w:basedOn w:val="Normal"/>
    <w:rsid w:val="00435883"/>
    <w:pPr>
      <w:shd w:val="clear" w:color="auto" w:fill="F6F6F6"/>
      <w:spacing w:before="100" w:beforeAutospacing="1" w:after="100" w:afterAutospacing="1"/>
    </w:pPr>
    <w:rPr>
      <w:bCs w:val="0"/>
      <w:sz w:val="24"/>
    </w:rPr>
  </w:style>
  <w:style w:type="paragraph" w:customStyle="1" w:styleId="costates">
    <w:name w:val="co_states"/>
    <w:basedOn w:val="Normal"/>
    <w:rsid w:val="00435883"/>
    <w:pPr>
      <w:pBdr>
        <w:top w:val="single" w:sz="6" w:space="0" w:color="CCCCCC"/>
        <w:left w:val="single" w:sz="6" w:space="0" w:color="CCCCCC"/>
        <w:bottom w:val="single" w:sz="6" w:space="0" w:color="CCCCCC"/>
        <w:right w:val="single" w:sz="6" w:space="0" w:color="CCCCCC"/>
      </w:pBdr>
      <w:shd w:val="clear" w:color="auto" w:fill="F6F6F6"/>
      <w:spacing w:before="240" w:after="100" w:afterAutospacing="1"/>
    </w:pPr>
    <w:rPr>
      <w:bCs w:val="0"/>
      <w:sz w:val="24"/>
    </w:rPr>
  </w:style>
  <w:style w:type="paragraph" w:customStyle="1" w:styleId="cofeatured">
    <w:name w:val="co_featured"/>
    <w:basedOn w:val="Normal"/>
    <w:rsid w:val="00435883"/>
    <w:pPr>
      <w:pBdr>
        <w:top w:val="single" w:sz="6" w:space="0" w:color="CCCCCC"/>
        <w:left w:val="single" w:sz="6" w:space="0" w:color="CCCCCC"/>
        <w:bottom w:val="single" w:sz="6" w:space="0" w:color="CCCCCC"/>
        <w:right w:val="single" w:sz="6" w:space="0" w:color="CCCCCC"/>
      </w:pBdr>
      <w:shd w:val="clear" w:color="auto" w:fill="F6F6F6"/>
      <w:spacing w:before="240" w:after="100" w:afterAutospacing="1"/>
    </w:pPr>
    <w:rPr>
      <w:bCs w:val="0"/>
      <w:sz w:val="24"/>
    </w:rPr>
  </w:style>
  <w:style w:type="paragraph" w:customStyle="1" w:styleId="codocumentunavailablebutton">
    <w:name w:val="co_documentunavailablebutton"/>
    <w:basedOn w:val="Normal"/>
    <w:rsid w:val="00435883"/>
    <w:pPr>
      <w:spacing w:before="100" w:beforeAutospacing="1" w:after="100" w:afterAutospacing="1"/>
    </w:pPr>
    <w:rPr>
      <w:bCs w:val="0"/>
      <w:sz w:val="24"/>
    </w:rPr>
  </w:style>
  <w:style w:type="paragraph" w:customStyle="1" w:styleId="coblockdocumenttitle">
    <w:name w:val="co_blockdocumenttitle"/>
    <w:basedOn w:val="Normal"/>
    <w:rsid w:val="00435883"/>
    <w:pPr>
      <w:spacing w:before="100" w:beforeAutospacing="1" w:after="100" w:afterAutospacing="1"/>
    </w:pPr>
    <w:rPr>
      <w:b/>
      <w:sz w:val="24"/>
    </w:rPr>
  </w:style>
  <w:style w:type="paragraph" w:customStyle="1" w:styleId="coheaderresultcount">
    <w:name w:val="co_header_resultcount"/>
    <w:basedOn w:val="Normal"/>
    <w:rsid w:val="00435883"/>
    <w:pPr>
      <w:spacing w:before="100" w:beforeAutospacing="1" w:after="100" w:afterAutospacing="1"/>
    </w:pPr>
    <w:rPr>
      <w:bCs w:val="0"/>
      <w:sz w:val="19"/>
      <w:szCs w:val="19"/>
    </w:rPr>
  </w:style>
  <w:style w:type="paragraph" w:customStyle="1" w:styleId="comyresearchtoolbar">
    <w:name w:val="co_myresearchtoolbar"/>
    <w:basedOn w:val="Normal"/>
    <w:rsid w:val="00435883"/>
    <w:pPr>
      <w:pBdr>
        <w:top w:val="single" w:sz="6" w:space="0" w:color="E4E7E8"/>
        <w:left w:val="single" w:sz="6" w:space="0" w:color="E4E7E8"/>
        <w:bottom w:val="single" w:sz="6" w:space="0" w:color="E4E7E8"/>
        <w:right w:val="single" w:sz="6" w:space="0" w:color="E4E7E8"/>
      </w:pBdr>
      <w:spacing w:before="100" w:beforeAutospacing="1" w:after="100" w:afterAutospacing="1"/>
    </w:pPr>
    <w:rPr>
      <w:bCs w:val="0"/>
      <w:sz w:val="24"/>
    </w:rPr>
  </w:style>
  <w:style w:type="paragraph" w:customStyle="1" w:styleId="cokmfirmlogo">
    <w:name w:val="co_kmfirmlogo"/>
    <w:basedOn w:val="Normal"/>
    <w:rsid w:val="00435883"/>
    <w:pPr>
      <w:spacing w:before="100" w:beforeAutospacing="1" w:after="100" w:afterAutospacing="1"/>
    </w:pPr>
    <w:rPr>
      <w:bCs w:val="0"/>
      <w:sz w:val="24"/>
    </w:rPr>
  </w:style>
  <w:style w:type="paragraph" w:customStyle="1" w:styleId="coerrorpagetext">
    <w:name w:val="co_errorpagetext"/>
    <w:basedOn w:val="Normal"/>
    <w:rsid w:val="00435883"/>
    <w:pPr>
      <w:spacing w:before="100" w:beforeAutospacing="1" w:after="100" w:afterAutospacing="1"/>
    </w:pPr>
    <w:rPr>
      <w:bCs w:val="0"/>
      <w:sz w:val="24"/>
    </w:rPr>
  </w:style>
  <w:style w:type="paragraph" w:customStyle="1" w:styleId="codocumenttooleasyedit">
    <w:name w:val="co_documenttool_easyedit"/>
    <w:basedOn w:val="Normal"/>
    <w:rsid w:val="00435883"/>
    <w:pPr>
      <w:spacing w:before="100" w:beforeAutospacing="1" w:after="100" w:afterAutospacing="1"/>
    </w:pPr>
    <w:rPr>
      <w:bCs w:val="0"/>
      <w:sz w:val="24"/>
    </w:rPr>
  </w:style>
  <w:style w:type="paragraph" w:customStyle="1" w:styleId="codocumenttoolformbuilder">
    <w:name w:val="co_documenttool_formbuilder"/>
    <w:basedOn w:val="Normal"/>
    <w:rsid w:val="00435883"/>
    <w:pPr>
      <w:spacing w:before="100" w:beforeAutospacing="1" w:after="100" w:afterAutospacing="1"/>
    </w:pPr>
    <w:rPr>
      <w:bCs w:val="0"/>
      <w:sz w:val="24"/>
    </w:rPr>
  </w:style>
  <w:style w:type="paragraph" w:customStyle="1" w:styleId="corelatedinfosntstaticphrase">
    <w:name w:val="co_relatedinfo_snt_staticphrase"/>
    <w:basedOn w:val="Normal"/>
    <w:rsid w:val="00435883"/>
    <w:pPr>
      <w:spacing w:before="100" w:beforeAutospacing="1" w:after="100" w:afterAutospacing="1"/>
    </w:pPr>
    <w:rPr>
      <w:b/>
      <w:sz w:val="24"/>
    </w:rPr>
  </w:style>
  <w:style w:type="paragraph" w:customStyle="1" w:styleId="cosnttreatmentphrase">
    <w:name w:val="co_snt_treatmentphrase"/>
    <w:basedOn w:val="Normal"/>
    <w:rsid w:val="00435883"/>
    <w:pPr>
      <w:spacing w:before="100" w:beforeAutospacing="1" w:after="100" w:afterAutospacing="1"/>
    </w:pPr>
    <w:rPr>
      <w:b/>
      <w:sz w:val="24"/>
    </w:rPr>
  </w:style>
  <w:style w:type="paragraph" w:customStyle="1" w:styleId="cosmalllistexpand">
    <w:name w:val="co_smalllistexpand"/>
    <w:basedOn w:val="Normal"/>
    <w:rsid w:val="00435883"/>
    <w:pPr>
      <w:spacing w:before="100" w:beforeAutospacing="1" w:after="100" w:afterAutospacing="1"/>
    </w:pPr>
    <w:rPr>
      <w:bCs w:val="0"/>
      <w:sz w:val="24"/>
    </w:rPr>
  </w:style>
  <w:style w:type="paragraph" w:customStyle="1" w:styleId="cosmalllistexpandright">
    <w:name w:val="co_smalllistexpandright"/>
    <w:basedOn w:val="Normal"/>
    <w:rsid w:val="00435883"/>
    <w:pPr>
      <w:spacing w:before="100" w:beforeAutospacing="1" w:after="100" w:afterAutospacing="1"/>
      <w:ind w:left="75" w:hanging="3928"/>
    </w:pPr>
    <w:rPr>
      <w:bCs w:val="0"/>
      <w:sz w:val="24"/>
    </w:rPr>
  </w:style>
  <w:style w:type="paragraph" w:customStyle="1" w:styleId="cosmalllistcollapse">
    <w:name w:val="co_smalllistcollapse"/>
    <w:basedOn w:val="Normal"/>
    <w:rsid w:val="00435883"/>
    <w:pPr>
      <w:spacing w:before="100" w:beforeAutospacing="1" w:after="100" w:afterAutospacing="1"/>
    </w:pPr>
    <w:rPr>
      <w:bCs w:val="0"/>
      <w:sz w:val="24"/>
    </w:rPr>
  </w:style>
  <w:style w:type="paragraph" w:customStyle="1" w:styleId="cosmalllistcollapseright">
    <w:name w:val="co_smalllistcollapseright"/>
    <w:basedOn w:val="Normal"/>
    <w:rsid w:val="00435883"/>
    <w:pPr>
      <w:spacing w:before="100" w:beforeAutospacing="1" w:after="100" w:afterAutospacing="1"/>
      <w:ind w:left="75" w:hanging="3928"/>
    </w:pPr>
    <w:rPr>
      <w:bCs w:val="0"/>
      <w:sz w:val="24"/>
    </w:rPr>
  </w:style>
  <w:style w:type="paragraph" w:customStyle="1" w:styleId="coeulatext">
    <w:name w:val="co_eulatext"/>
    <w:basedOn w:val="Normal"/>
    <w:rsid w:val="00435883"/>
    <w:pPr>
      <w:pBdr>
        <w:top w:val="single" w:sz="6" w:space="8" w:color="CCCCCC"/>
        <w:left w:val="single" w:sz="6" w:space="8" w:color="CCCCCC"/>
        <w:bottom w:val="single" w:sz="6" w:space="8" w:color="CCCCCC"/>
        <w:right w:val="single" w:sz="6" w:space="8" w:color="CCCCCC"/>
      </w:pBdr>
      <w:spacing w:before="100" w:beforeAutospacing="1" w:after="100" w:afterAutospacing="1"/>
    </w:pPr>
    <w:rPr>
      <w:bCs w:val="0"/>
      <w:sz w:val="24"/>
    </w:rPr>
  </w:style>
  <w:style w:type="paragraph" w:customStyle="1" w:styleId="coeulalist">
    <w:name w:val="co_eulalist"/>
    <w:basedOn w:val="Normal"/>
    <w:rsid w:val="00435883"/>
    <w:pPr>
      <w:spacing w:before="100" w:beforeAutospacing="1" w:after="100" w:afterAutospacing="1"/>
      <w:jc w:val="center"/>
    </w:pPr>
    <w:rPr>
      <w:bCs w:val="0"/>
      <w:sz w:val="24"/>
    </w:rPr>
  </w:style>
  <w:style w:type="paragraph" w:customStyle="1" w:styleId="coscrollwrapper">
    <w:name w:val="co_scrollwrapper"/>
    <w:basedOn w:val="Normal"/>
    <w:rsid w:val="00435883"/>
    <w:pPr>
      <w:spacing w:before="100" w:beforeAutospacing="1" w:after="100" w:afterAutospacing="1"/>
    </w:pPr>
    <w:rPr>
      <w:bCs w:val="0"/>
      <w:sz w:val="24"/>
    </w:rPr>
  </w:style>
  <w:style w:type="paragraph" w:customStyle="1" w:styleId="cosystemerrorbox">
    <w:name w:val="co_systemerrorbox"/>
    <w:basedOn w:val="Normal"/>
    <w:rsid w:val="00435883"/>
    <w:pPr>
      <w:pBdr>
        <w:top w:val="single" w:sz="12" w:space="15" w:color="FAF1F1"/>
        <w:left w:val="single" w:sz="12" w:space="31" w:color="FAF1F1"/>
        <w:bottom w:val="single" w:sz="12" w:space="15" w:color="FAF1F1"/>
        <w:right w:val="single" w:sz="12" w:space="15" w:color="FAF1F1"/>
      </w:pBdr>
      <w:shd w:val="clear" w:color="auto" w:fill="F4DFDF"/>
      <w:spacing w:before="300" w:after="300"/>
    </w:pPr>
    <w:rPr>
      <w:bCs w:val="0"/>
      <w:sz w:val="24"/>
    </w:rPr>
  </w:style>
  <w:style w:type="paragraph" w:customStyle="1" w:styleId="codropdownboxfooter">
    <w:name w:val="co_dropdownboxfooter"/>
    <w:basedOn w:val="Normal"/>
    <w:rsid w:val="00435883"/>
    <w:pPr>
      <w:spacing w:before="100" w:beforeAutospacing="1" w:after="100" w:afterAutospacing="1"/>
    </w:pPr>
    <w:rPr>
      <w:bCs w:val="0"/>
      <w:vanish/>
      <w:sz w:val="24"/>
    </w:rPr>
  </w:style>
  <w:style w:type="paragraph" w:customStyle="1" w:styleId="codropdownboxheader">
    <w:name w:val="co_dropdownboxheader"/>
    <w:basedOn w:val="Normal"/>
    <w:rsid w:val="00435883"/>
    <w:pPr>
      <w:spacing w:before="100" w:beforeAutospacing="1" w:after="100" w:afterAutospacing="1"/>
    </w:pPr>
    <w:rPr>
      <w:bCs w:val="0"/>
      <w:vanish/>
      <w:sz w:val="24"/>
    </w:rPr>
  </w:style>
  <w:style w:type="paragraph" w:customStyle="1" w:styleId="codropdowntabexpanded">
    <w:name w:val="co_dropdowntabexpanded"/>
    <w:basedOn w:val="Normal"/>
    <w:rsid w:val="00435883"/>
    <w:pPr>
      <w:ind w:left="-150"/>
    </w:pPr>
    <w:rPr>
      <w:bCs w:val="0"/>
      <w:sz w:val="24"/>
    </w:rPr>
  </w:style>
  <w:style w:type="paragraph" w:customStyle="1" w:styleId="coclientidcontainer">
    <w:name w:val="co_clientid_container"/>
    <w:basedOn w:val="Normal"/>
    <w:rsid w:val="00435883"/>
    <w:pPr>
      <w:spacing w:before="100" w:beforeAutospacing="1" w:after="240"/>
    </w:pPr>
    <w:rPr>
      <w:bCs w:val="0"/>
      <w:sz w:val="18"/>
      <w:szCs w:val="18"/>
    </w:rPr>
  </w:style>
  <w:style w:type="paragraph" w:customStyle="1" w:styleId="coclientidcidentry">
    <w:name w:val="co_clientid_cidentry"/>
    <w:basedOn w:val="Normal"/>
    <w:rsid w:val="00435883"/>
    <w:pPr>
      <w:spacing w:before="100" w:beforeAutospacing="1" w:after="100" w:afterAutospacing="1"/>
    </w:pPr>
    <w:rPr>
      <w:bCs w:val="0"/>
      <w:sz w:val="24"/>
    </w:rPr>
  </w:style>
  <w:style w:type="paragraph" w:customStyle="1" w:styleId="coclientidmidentry">
    <w:name w:val="co_clientid_midentry"/>
    <w:basedOn w:val="Normal"/>
    <w:rsid w:val="00435883"/>
    <w:pPr>
      <w:spacing w:before="100" w:beforeAutospacing="1" w:after="100" w:afterAutospacing="1"/>
    </w:pPr>
    <w:rPr>
      <w:bCs w:val="0"/>
      <w:sz w:val="24"/>
    </w:rPr>
  </w:style>
  <w:style w:type="paragraph" w:customStyle="1" w:styleId="coclientidseparator">
    <w:name w:val="co_clientid_separator"/>
    <w:basedOn w:val="Normal"/>
    <w:rsid w:val="00435883"/>
    <w:pPr>
      <w:spacing w:before="555" w:after="100" w:afterAutospacing="1"/>
      <w:jc w:val="center"/>
    </w:pPr>
    <w:rPr>
      <w:bCs w:val="0"/>
      <w:color w:val="D6D6D6"/>
      <w:sz w:val="24"/>
    </w:rPr>
  </w:style>
  <w:style w:type="paragraph" w:customStyle="1" w:styleId="coclientidrecentslabel">
    <w:name w:val="co_clientid_recentslabel"/>
    <w:basedOn w:val="Normal"/>
    <w:rsid w:val="00435883"/>
    <w:pPr>
      <w:spacing w:before="100" w:beforeAutospacing="1" w:after="100" w:afterAutospacing="1" w:line="450" w:lineRule="atLeast"/>
    </w:pPr>
    <w:rPr>
      <w:b/>
      <w:sz w:val="24"/>
    </w:rPr>
  </w:style>
  <w:style w:type="paragraph" w:customStyle="1" w:styleId="coclientidautocomplete">
    <w:name w:val="co_clientid_autocomplete"/>
    <w:basedOn w:val="Normal"/>
    <w:rsid w:val="00435883"/>
    <w:pPr>
      <w:pBdr>
        <w:top w:val="single" w:sz="2" w:space="0" w:color="BBBBBB"/>
        <w:left w:val="single" w:sz="6" w:space="0" w:color="BBBBBB"/>
        <w:bottom w:val="single" w:sz="6" w:space="0" w:color="BBBBBB"/>
        <w:right w:val="single" w:sz="6" w:space="0" w:color="BBBBBB"/>
      </w:pBdr>
      <w:spacing w:before="100" w:beforeAutospacing="1" w:after="100" w:afterAutospacing="1"/>
    </w:pPr>
    <w:rPr>
      <w:bCs w:val="0"/>
      <w:sz w:val="24"/>
    </w:rPr>
  </w:style>
  <w:style w:type="paragraph" w:customStyle="1" w:styleId="coclientidoopfooter">
    <w:name w:val="co_clientidoopfooter"/>
    <w:basedOn w:val="Normal"/>
    <w:rsid w:val="00435883"/>
    <w:pPr>
      <w:spacing w:before="100" w:beforeAutospacing="1" w:after="100" w:afterAutospacing="1"/>
    </w:pPr>
    <w:rPr>
      <w:bCs w:val="0"/>
      <w:sz w:val="24"/>
    </w:rPr>
  </w:style>
  <w:style w:type="paragraph" w:customStyle="1" w:styleId="coclientmatterdescription">
    <w:name w:val="co_clientmatter_description"/>
    <w:basedOn w:val="Normal"/>
    <w:rsid w:val="00435883"/>
    <w:pPr>
      <w:spacing w:before="100" w:beforeAutospacing="1" w:after="100" w:afterAutospacing="1"/>
    </w:pPr>
    <w:rPr>
      <w:bCs w:val="0"/>
      <w:sz w:val="24"/>
    </w:rPr>
  </w:style>
  <w:style w:type="paragraph" w:customStyle="1" w:styleId="coclientidtextbox">
    <w:name w:val="co_clientidtextbox"/>
    <w:basedOn w:val="Normal"/>
    <w:rsid w:val="00435883"/>
    <w:pPr>
      <w:pBdr>
        <w:top w:val="single" w:sz="6" w:space="5" w:color="777777"/>
        <w:left w:val="single" w:sz="6" w:space="2" w:color="BBBBBB"/>
        <w:bottom w:val="single" w:sz="6" w:space="5" w:color="D6D6D6"/>
        <w:right w:val="single" w:sz="6" w:space="2" w:color="BBBBBB"/>
      </w:pBdr>
      <w:spacing w:after="100" w:afterAutospacing="1"/>
    </w:pPr>
    <w:rPr>
      <w:bCs w:val="0"/>
      <w:sz w:val="21"/>
      <w:szCs w:val="21"/>
    </w:rPr>
  </w:style>
  <w:style w:type="paragraph" w:customStyle="1" w:styleId="comatteridtextbox">
    <w:name w:val="co_matteridtextbox"/>
    <w:basedOn w:val="Normal"/>
    <w:rsid w:val="00435883"/>
    <w:pPr>
      <w:pBdr>
        <w:top w:val="single" w:sz="6" w:space="5" w:color="777777"/>
        <w:left w:val="single" w:sz="6" w:space="2" w:color="BBBBBB"/>
        <w:bottom w:val="single" w:sz="6" w:space="5" w:color="D6D6D6"/>
        <w:right w:val="single" w:sz="6" w:space="2" w:color="BBBBBB"/>
      </w:pBdr>
      <w:spacing w:after="100" w:afterAutospacing="1"/>
    </w:pPr>
    <w:rPr>
      <w:bCs w:val="0"/>
      <w:sz w:val="21"/>
      <w:szCs w:val="21"/>
    </w:rPr>
  </w:style>
  <w:style w:type="paragraph" w:customStyle="1" w:styleId="copracticearealightboxnote">
    <w:name w:val="co_practicearealightbox_note"/>
    <w:basedOn w:val="Normal"/>
    <w:rsid w:val="00435883"/>
    <w:pPr>
      <w:spacing w:before="360" w:after="360"/>
    </w:pPr>
    <w:rPr>
      <w:bCs w:val="0"/>
      <w:i/>
      <w:iCs/>
      <w:sz w:val="24"/>
    </w:rPr>
  </w:style>
  <w:style w:type="paragraph" w:customStyle="1" w:styleId="coclientidresearchsection">
    <w:name w:val="co_clientidresearchsection"/>
    <w:basedOn w:val="Normal"/>
    <w:rsid w:val="00435883"/>
    <w:pPr>
      <w:pBdr>
        <w:left w:val="single" w:sz="12" w:space="21" w:color="D6D6D6"/>
      </w:pBdr>
      <w:spacing w:before="100" w:beforeAutospacing="1" w:after="100" w:afterAutospacing="1"/>
    </w:pPr>
    <w:rPr>
      <w:bCs w:val="0"/>
      <w:sz w:val="24"/>
    </w:rPr>
  </w:style>
  <w:style w:type="paragraph" w:customStyle="1" w:styleId="colightboxmessagefirstline">
    <w:name w:val="co_lightboxmessage_firstline"/>
    <w:basedOn w:val="Normal"/>
    <w:rsid w:val="00435883"/>
    <w:pPr>
      <w:spacing w:before="100" w:beforeAutospacing="1" w:after="180"/>
    </w:pPr>
    <w:rPr>
      <w:bCs w:val="0"/>
      <w:sz w:val="24"/>
    </w:rPr>
  </w:style>
  <w:style w:type="paragraph" w:customStyle="1" w:styleId="cosubscribercost">
    <w:name w:val="co_subscribercost"/>
    <w:basedOn w:val="Normal"/>
    <w:rsid w:val="00435883"/>
    <w:pPr>
      <w:spacing w:before="100" w:beforeAutospacing="1" w:after="100" w:afterAutospacing="1"/>
    </w:pPr>
    <w:rPr>
      <w:bCs w:val="0"/>
      <w:sz w:val="24"/>
    </w:rPr>
  </w:style>
  <w:style w:type="paragraph" w:customStyle="1" w:styleId="cosearchcharges">
    <w:name w:val="co_searchcharges"/>
    <w:basedOn w:val="Normal"/>
    <w:rsid w:val="00435883"/>
    <w:pPr>
      <w:spacing w:before="100" w:beforeAutospacing="1" w:after="100" w:afterAutospacing="1"/>
    </w:pPr>
    <w:rPr>
      <w:bCs w:val="0"/>
      <w:sz w:val="24"/>
    </w:rPr>
  </w:style>
  <w:style w:type="paragraph" w:customStyle="1" w:styleId="cosubscribercategory">
    <w:name w:val="co_subscribercategory"/>
    <w:basedOn w:val="Normal"/>
    <w:rsid w:val="00435883"/>
    <w:pPr>
      <w:spacing w:before="100" w:beforeAutospacing="1" w:after="100" w:afterAutospacing="1"/>
    </w:pPr>
    <w:rPr>
      <w:bCs w:val="0"/>
      <w:sz w:val="24"/>
    </w:rPr>
  </w:style>
  <w:style w:type="paragraph" w:customStyle="1" w:styleId="cosubscribertablecaption">
    <w:name w:val="co_subscribertablecaption"/>
    <w:basedOn w:val="Normal"/>
    <w:rsid w:val="00435883"/>
    <w:pPr>
      <w:shd w:val="clear" w:color="auto" w:fill="CCCCCC"/>
      <w:spacing w:before="100" w:beforeAutospacing="1" w:after="100" w:afterAutospacing="1" w:line="375" w:lineRule="atLeast"/>
    </w:pPr>
    <w:rPr>
      <w:b/>
      <w:sz w:val="24"/>
    </w:rPr>
  </w:style>
  <w:style w:type="paragraph" w:customStyle="1" w:styleId="costaticpagecontent">
    <w:name w:val="co_staticpagecontent"/>
    <w:basedOn w:val="Normal"/>
    <w:rsid w:val="00435883"/>
    <w:pPr>
      <w:spacing w:before="100" w:beforeAutospacing="1" w:after="100" w:afterAutospacing="1"/>
    </w:pPr>
    <w:rPr>
      <w:bCs w:val="0"/>
      <w:sz w:val="23"/>
      <w:szCs w:val="23"/>
    </w:rPr>
  </w:style>
  <w:style w:type="paragraph" w:customStyle="1" w:styleId="cocontactustitlecontainer">
    <w:name w:val="co_contactus_titlecontainer"/>
    <w:basedOn w:val="Normal"/>
    <w:rsid w:val="00435883"/>
    <w:pPr>
      <w:shd w:val="clear" w:color="auto" w:fill="252525"/>
      <w:spacing w:before="210" w:after="450"/>
      <w:ind w:left="240"/>
    </w:pPr>
    <w:rPr>
      <w:bCs w:val="0"/>
      <w:sz w:val="24"/>
    </w:rPr>
  </w:style>
  <w:style w:type="paragraph" w:customStyle="1" w:styleId="cocontactustitle">
    <w:name w:val="co_contactus_title"/>
    <w:basedOn w:val="Normal"/>
    <w:rsid w:val="00435883"/>
    <w:pPr>
      <w:spacing w:before="240" w:after="240"/>
      <w:ind w:hanging="3928"/>
    </w:pPr>
    <w:rPr>
      <w:bCs w:val="0"/>
      <w:sz w:val="24"/>
    </w:rPr>
  </w:style>
  <w:style w:type="paragraph" w:customStyle="1" w:styleId="cocontactuscontentcontainer">
    <w:name w:val="co_contactus_contentcontainer"/>
    <w:basedOn w:val="Normal"/>
    <w:rsid w:val="00435883"/>
    <w:pPr>
      <w:spacing w:before="100" w:beforeAutospacing="1" w:after="100" w:afterAutospacing="1"/>
      <w:ind w:left="240"/>
    </w:pPr>
    <w:rPr>
      <w:bCs w:val="0"/>
      <w:sz w:val="24"/>
    </w:rPr>
  </w:style>
  <w:style w:type="paragraph" w:customStyle="1" w:styleId="cocontactussubtitle">
    <w:name w:val="co_contactus_subtitle"/>
    <w:basedOn w:val="Normal"/>
    <w:rsid w:val="00435883"/>
    <w:pPr>
      <w:pBdr>
        <w:bottom w:val="dotted" w:sz="6" w:space="5" w:color="CCCCCC"/>
      </w:pBdr>
      <w:spacing w:before="100" w:beforeAutospacing="1" w:after="120"/>
    </w:pPr>
    <w:rPr>
      <w:bCs w:val="0"/>
      <w:sz w:val="24"/>
    </w:rPr>
  </w:style>
  <w:style w:type="paragraph" w:customStyle="1" w:styleId="cocontactusinfoblock">
    <w:name w:val="co_contactus_infoblock"/>
    <w:basedOn w:val="Normal"/>
    <w:rsid w:val="00435883"/>
    <w:pPr>
      <w:spacing w:before="210" w:after="525"/>
    </w:pPr>
    <w:rPr>
      <w:bCs w:val="0"/>
      <w:sz w:val="24"/>
    </w:rPr>
  </w:style>
  <w:style w:type="paragraph" w:customStyle="1" w:styleId="cofolderingsharefoldercollaborators">
    <w:name w:val="co_folderingsharefolder_collaborators"/>
    <w:basedOn w:val="Normal"/>
    <w:rsid w:val="00435883"/>
    <w:pPr>
      <w:spacing w:before="100" w:beforeAutospacing="1" w:after="300"/>
    </w:pPr>
    <w:rPr>
      <w:bCs w:val="0"/>
      <w:sz w:val="24"/>
    </w:rPr>
  </w:style>
  <w:style w:type="paragraph" w:customStyle="1" w:styleId="cosharefolderroleshelp">
    <w:name w:val="co_sharefolder_roleshelp"/>
    <w:basedOn w:val="Normal"/>
    <w:rsid w:val="00435883"/>
    <w:pPr>
      <w:shd w:val="clear" w:color="auto" w:fill="F6F6F6"/>
      <w:spacing w:before="100" w:beforeAutospacing="1" w:after="100" w:afterAutospacing="1"/>
    </w:pPr>
    <w:rPr>
      <w:bCs w:val="0"/>
      <w:sz w:val="24"/>
    </w:rPr>
  </w:style>
  <w:style w:type="paragraph" w:customStyle="1" w:styleId="cosharefoldercollaboratorsandrolesform">
    <w:name w:val="co_sharefolder_collaboratorsandrolesform"/>
    <w:basedOn w:val="Normal"/>
    <w:rsid w:val="00435883"/>
    <w:pPr>
      <w:shd w:val="clear" w:color="auto" w:fill="FFFFFF"/>
      <w:spacing w:before="100" w:beforeAutospacing="1" w:after="100" w:afterAutospacing="1"/>
    </w:pPr>
    <w:rPr>
      <w:bCs w:val="0"/>
      <w:sz w:val="24"/>
    </w:rPr>
  </w:style>
  <w:style w:type="paragraph" w:customStyle="1" w:styleId="cosharefoldersubfoldersheader">
    <w:name w:val="co_sharefolder_subfoldersheader"/>
    <w:basedOn w:val="Normal"/>
    <w:rsid w:val="00435883"/>
    <w:pPr>
      <w:spacing w:before="100" w:beforeAutospacing="1" w:after="100" w:afterAutospacing="1" w:line="450" w:lineRule="atLeast"/>
    </w:pPr>
    <w:rPr>
      <w:bCs w:val="0"/>
      <w:sz w:val="24"/>
    </w:rPr>
  </w:style>
  <w:style w:type="paragraph" w:customStyle="1" w:styleId="cosharefoldernewshareinnertube">
    <w:name w:val="co_sharefolder_newshare_innertube"/>
    <w:basedOn w:val="Normal"/>
    <w:rsid w:val="00435883"/>
    <w:pPr>
      <w:pBdr>
        <w:top w:val="single" w:sz="6" w:space="0" w:color="CCCCCC"/>
      </w:pBdr>
      <w:shd w:val="clear" w:color="auto" w:fill="FFFFFF"/>
      <w:spacing w:before="100" w:beforeAutospacing="1" w:after="100" w:afterAutospacing="1"/>
      <w:jc w:val="center"/>
    </w:pPr>
    <w:rPr>
      <w:bCs w:val="0"/>
      <w:sz w:val="24"/>
    </w:rPr>
  </w:style>
  <w:style w:type="paragraph" w:customStyle="1" w:styleId="cosharefolderusername">
    <w:name w:val="co_sharefolder_username"/>
    <w:basedOn w:val="Normal"/>
    <w:rsid w:val="00435883"/>
    <w:pPr>
      <w:spacing w:before="100" w:beforeAutospacing="1" w:after="100" w:afterAutospacing="1"/>
    </w:pPr>
    <w:rPr>
      <w:bCs w:val="0"/>
      <w:sz w:val="24"/>
    </w:rPr>
  </w:style>
  <w:style w:type="paragraph" w:customStyle="1" w:styleId="cosharefolderremovepermission">
    <w:name w:val="co_sharefolder_removepermission"/>
    <w:basedOn w:val="Normal"/>
    <w:rsid w:val="00435883"/>
    <w:pPr>
      <w:spacing w:before="100" w:beforeAutospacing="1" w:after="100" w:afterAutospacing="1"/>
      <w:ind w:left="60" w:hanging="3928"/>
    </w:pPr>
    <w:rPr>
      <w:bCs w:val="0"/>
      <w:sz w:val="24"/>
    </w:rPr>
  </w:style>
  <w:style w:type="paragraph" w:customStyle="1" w:styleId="cofoldersharebox">
    <w:name w:val="co_foldersharebox"/>
    <w:basedOn w:val="Normal"/>
    <w:rsid w:val="00435883"/>
    <w:pPr>
      <w:pBdr>
        <w:top w:val="single" w:sz="6" w:space="8" w:color="CCCCCC"/>
        <w:left w:val="single" w:sz="6" w:space="8" w:color="CCCCCC"/>
        <w:bottom w:val="single" w:sz="6" w:space="8" w:color="CCCCCC"/>
        <w:right w:val="single" w:sz="6" w:space="8" w:color="CCCCCC"/>
      </w:pBdr>
      <w:spacing w:before="100" w:beforeAutospacing="1" w:after="100" w:afterAutospacing="1"/>
    </w:pPr>
    <w:rPr>
      <w:bCs w:val="0"/>
      <w:sz w:val="24"/>
    </w:rPr>
  </w:style>
  <w:style w:type="paragraph" w:customStyle="1" w:styleId="cohelpiconwrapper">
    <w:name w:val="co_helpiconwrapper"/>
    <w:basedOn w:val="Normal"/>
    <w:rsid w:val="00435883"/>
    <w:pPr>
      <w:spacing w:before="15" w:after="15"/>
      <w:ind w:left="150" w:right="150"/>
    </w:pPr>
    <w:rPr>
      <w:bCs w:val="0"/>
      <w:sz w:val="24"/>
    </w:rPr>
  </w:style>
  <w:style w:type="paragraph" w:customStyle="1" w:styleId="cogreybox">
    <w:name w:val="co_greybox"/>
    <w:basedOn w:val="Normal"/>
    <w:rsid w:val="00435883"/>
    <w:pPr>
      <w:pBdr>
        <w:top w:val="single" w:sz="6" w:space="8" w:color="E0E0E0"/>
        <w:left w:val="single" w:sz="6" w:space="8" w:color="E0E0E0"/>
        <w:bottom w:val="single" w:sz="6" w:space="8" w:color="E0E0E0"/>
        <w:right w:val="single" w:sz="6" w:space="8" w:color="E0E0E0"/>
      </w:pBdr>
      <w:shd w:val="clear" w:color="auto" w:fill="FAFAFA"/>
      <w:ind w:left="150" w:right="150"/>
    </w:pPr>
    <w:rPr>
      <w:bCs w:val="0"/>
      <w:sz w:val="24"/>
    </w:rPr>
  </w:style>
  <w:style w:type="paragraph" w:customStyle="1" w:styleId="coshareaccessapprovalcontent">
    <w:name w:val="co_shareaccessapproval_content"/>
    <w:basedOn w:val="Normal"/>
    <w:rsid w:val="00435883"/>
    <w:pPr>
      <w:spacing w:before="100" w:beforeAutospacing="1" w:after="100" w:afterAutospacing="1"/>
    </w:pPr>
    <w:rPr>
      <w:bCs w:val="0"/>
      <w:sz w:val="24"/>
    </w:rPr>
  </w:style>
  <w:style w:type="paragraph" w:customStyle="1" w:styleId="coshareaccessapprovalfolderlist">
    <w:name w:val="co_shareaccessapproval_folderlist"/>
    <w:basedOn w:val="Normal"/>
    <w:rsid w:val="00435883"/>
    <w:pPr>
      <w:pBdr>
        <w:top w:val="single" w:sz="6" w:space="0" w:color="E4E7E8"/>
        <w:left w:val="single" w:sz="6" w:space="0" w:color="E4E7E8"/>
        <w:bottom w:val="single" w:sz="6" w:space="0" w:color="E4E7E8"/>
        <w:right w:val="single" w:sz="6" w:space="0" w:color="E4E7E8"/>
      </w:pBdr>
      <w:spacing w:before="100" w:beforeAutospacing="1" w:after="150"/>
    </w:pPr>
    <w:rPr>
      <w:bCs w:val="0"/>
      <w:sz w:val="24"/>
    </w:rPr>
  </w:style>
  <w:style w:type="paragraph" w:customStyle="1" w:styleId="cosignonfooter">
    <w:name w:val="co_signonfooter"/>
    <w:basedOn w:val="Normal"/>
    <w:rsid w:val="00435883"/>
    <w:pPr>
      <w:spacing w:before="100" w:beforeAutospacing="1" w:after="100" w:afterAutospacing="1"/>
    </w:pPr>
    <w:rPr>
      <w:bCs w:val="0"/>
      <w:sz w:val="22"/>
      <w:szCs w:val="22"/>
    </w:rPr>
  </w:style>
  <w:style w:type="paragraph" w:customStyle="1" w:styleId="coexploremore">
    <w:name w:val="co_exploremore"/>
    <w:basedOn w:val="Normal"/>
    <w:rsid w:val="00435883"/>
    <w:pPr>
      <w:spacing w:before="100" w:beforeAutospacing="1" w:after="100" w:afterAutospacing="1"/>
      <w:ind w:left="120"/>
    </w:pPr>
    <w:rPr>
      <w:bCs w:val="0"/>
      <w:sz w:val="24"/>
    </w:rPr>
  </w:style>
  <w:style w:type="paragraph" w:customStyle="1" w:styleId="cohomepagetoolscontent">
    <w:name w:val="co_homepage_tools_content"/>
    <w:basedOn w:val="Normal"/>
    <w:rsid w:val="00435883"/>
    <w:pPr>
      <w:spacing w:before="30" w:after="100" w:afterAutospacing="1"/>
      <w:ind w:left="3000"/>
    </w:pPr>
    <w:rPr>
      <w:bCs w:val="0"/>
      <w:sz w:val="24"/>
    </w:rPr>
  </w:style>
  <w:style w:type="paragraph" w:customStyle="1" w:styleId="cowidgetcloseicon">
    <w:name w:val="co_widget_closeicon"/>
    <w:basedOn w:val="Normal"/>
    <w:rsid w:val="00435883"/>
    <w:pPr>
      <w:spacing w:before="100" w:beforeAutospacing="1" w:after="100" w:afterAutospacing="1"/>
      <w:ind w:hanging="3928"/>
    </w:pPr>
    <w:rPr>
      <w:bCs w:val="0"/>
      <w:sz w:val="24"/>
    </w:rPr>
  </w:style>
  <w:style w:type="paragraph" w:customStyle="1" w:styleId="cowidgetcollapseicon">
    <w:name w:val="co_widget_collapseicon"/>
    <w:basedOn w:val="Normal"/>
    <w:rsid w:val="00435883"/>
    <w:pPr>
      <w:spacing w:before="100" w:beforeAutospacing="1" w:after="100" w:afterAutospacing="1"/>
      <w:ind w:hanging="3928"/>
    </w:pPr>
    <w:rPr>
      <w:bCs w:val="0"/>
      <w:sz w:val="24"/>
    </w:rPr>
  </w:style>
  <w:style w:type="paragraph" w:customStyle="1" w:styleId="cowidgetexpandicon">
    <w:name w:val="co_widget_expandicon"/>
    <w:basedOn w:val="Normal"/>
    <w:rsid w:val="00435883"/>
    <w:pPr>
      <w:spacing w:before="100" w:beforeAutospacing="1" w:after="100" w:afterAutospacing="1"/>
      <w:ind w:hanging="3928"/>
    </w:pPr>
    <w:rPr>
      <w:bCs w:val="0"/>
      <w:sz w:val="24"/>
    </w:rPr>
  </w:style>
  <w:style w:type="paragraph" w:customStyle="1" w:styleId="cowidgettoggleicon">
    <w:name w:val="co_widget_toggleicon"/>
    <w:basedOn w:val="Normal"/>
    <w:rsid w:val="00435883"/>
    <w:pPr>
      <w:spacing w:before="100" w:beforeAutospacing="1" w:after="100" w:afterAutospacing="1"/>
      <w:ind w:hanging="3928"/>
    </w:pPr>
    <w:rPr>
      <w:bCs w:val="0"/>
      <w:sz w:val="24"/>
    </w:rPr>
  </w:style>
  <w:style w:type="paragraph" w:customStyle="1" w:styleId="cowidgettoggletext">
    <w:name w:val="co_widget_toggletext"/>
    <w:basedOn w:val="Normal"/>
    <w:rsid w:val="00435883"/>
    <w:pPr>
      <w:spacing w:before="100" w:beforeAutospacing="1" w:after="100" w:afterAutospacing="1"/>
    </w:pPr>
    <w:rPr>
      <w:bCs w:val="0"/>
      <w:sz w:val="17"/>
      <w:szCs w:val="17"/>
    </w:rPr>
  </w:style>
  <w:style w:type="paragraph" w:customStyle="1" w:styleId="coherobanner">
    <w:name w:val="co_herobanner"/>
    <w:basedOn w:val="Normal"/>
    <w:rsid w:val="00435883"/>
    <w:pPr>
      <w:pBdr>
        <w:top w:val="single" w:sz="6" w:space="0" w:color="CCCCCC"/>
        <w:left w:val="single" w:sz="6" w:space="0" w:color="CCCCCC"/>
        <w:bottom w:val="single" w:sz="6" w:space="0" w:color="CCCCCC"/>
        <w:right w:val="single" w:sz="6" w:space="0" w:color="CCCCCC"/>
      </w:pBdr>
      <w:spacing w:before="15" w:after="180"/>
      <w:ind w:left="45" w:right="45"/>
    </w:pPr>
    <w:rPr>
      <w:bCs w:val="0"/>
      <w:sz w:val="24"/>
    </w:rPr>
  </w:style>
  <w:style w:type="paragraph" w:customStyle="1" w:styleId="coherobannerinner">
    <w:name w:val="co_herobannerinner"/>
    <w:basedOn w:val="Normal"/>
    <w:rsid w:val="00435883"/>
    <w:pPr>
      <w:spacing w:before="100" w:beforeAutospacing="1" w:after="100" w:afterAutospacing="1"/>
    </w:pPr>
    <w:rPr>
      <w:bCs w:val="0"/>
      <w:color w:val="666666"/>
      <w:sz w:val="24"/>
    </w:rPr>
  </w:style>
  <w:style w:type="paragraph" w:customStyle="1" w:styleId="cohomepersonalizationlightboxfavorites">
    <w:name w:val="co_homepersonalizationlightbox_favorites"/>
    <w:basedOn w:val="Normal"/>
    <w:rsid w:val="00435883"/>
    <w:pPr>
      <w:spacing w:before="100" w:beforeAutospacing="1" w:after="225"/>
    </w:pPr>
    <w:rPr>
      <w:bCs w:val="0"/>
      <w:sz w:val="24"/>
    </w:rPr>
  </w:style>
  <w:style w:type="paragraph" w:customStyle="1" w:styleId="cohomepersonalizationlightboxfolders">
    <w:name w:val="co_homepersonalizationlightbox_folders"/>
    <w:basedOn w:val="Normal"/>
    <w:rsid w:val="00435883"/>
    <w:pPr>
      <w:spacing w:before="100" w:beforeAutospacing="1" w:after="225"/>
    </w:pPr>
    <w:rPr>
      <w:bCs w:val="0"/>
      <w:sz w:val="24"/>
    </w:rPr>
  </w:style>
  <w:style w:type="paragraph" w:customStyle="1" w:styleId="cohomepersonalizationlightboxfrequentlyused">
    <w:name w:val="co_homepersonalizationlightbox_frequentlyused"/>
    <w:basedOn w:val="Normal"/>
    <w:rsid w:val="00435883"/>
    <w:pPr>
      <w:spacing w:before="100" w:beforeAutospacing="1" w:after="225"/>
    </w:pPr>
    <w:rPr>
      <w:bCs w:val="0"/>
      <w:sz w:val="24"/>
    </w:rPr>
  </w:style>
  <w:style w:type="paragraph" w:customStyle="1" w:styleId="cohomepersonalizationlightboxhotdocuments">
    <w:name w:val="co_homepersonalizationlightbox_hotdocuments"/>
    <w:basedOn w:val="Normal"/>
    <w:rsid w:val="00435883"/>
    <w:pPr>
      <w:spacing w:before="100" w:beforeAutospacing="1" w:after="225"/>
    </w:pPr>
    <w:rPr>
      <w:bCs w:val="0"/>
      <w:sz w:val="24"/>
    </w:rPr>
  </w:style>
  <w:style w:type="paragraph" w:customStyle="1" w:styleId="cohomepersonalizationlightboxoffers">
    <w:name w:val="co_homepersonalizationlightbox_offers"/>
    <w:basedOn w:val="Normal"/>
    <w:rsid w:val="00435883"/>
    <w:pPr>
      <w:spacing w:before="100" w:beforeAutospacing="1" w:after="225"/>
    </w:pPr>
    <w:rPr>
      <w:bCs w:val="0"/>
      <w:sz w:val="24"/>
    </w:rPr>
  </w:style>
  <w:style w:type="paragraph" w:customStyle="1" w:styleId="cohomepersonalizationlightboxrecentforms">
    <w:name w:val="co_homepersonalizationlightbox_recentforms"/>
    <w:basedOn w:val="Normal"/>
    <w:rsid w:val="00435883"/>
    <w:pPr>
      <w:spacing w:before="100" w:beforeAutospacing="1" w:after="225"/>
    </w:pPr>
    <w:rPr>
      <w:bCs w:val="0"/>
      <w:sz w:val="24"/>
    </w:rPr>
  </w:style>
  <w:style w:type="paragraph" w:customStyle="1" w:styleId="cohomepersonalizationlightboxtools">
    <w:name w:val="co_homepersonalizationlightbox_tools"/>
    <w:basedOn w:val="Normal"/>
    <w:rsid w:val="00435883"/>
    <w:pPr>
      <w:spacing w:before="100" w:beforeAutospacing="1" w:after="225"/>
    </w:pPr>
    <w:rPr>
      <w:bCs w:val="0"/>
      <w:sz w:val="24"/>
    </w:rPr>
  </w:style>
  <w:style w:type="paragraph" w:customStyle="1" w:styleId="cohomepersonalizationlightboxtopnews">
    <w:name w:val="co_homepersonalizationlightbox_topnews"/>
    <w:basedOn w:val="Normal"/>
    <w:rsid w:val="00435883"/>
    <w:pPr>
      <w:spacing w:before="100" w:beforeAutospacing="1" w:after="225"/>
    </w:pPr>
    <w:rPr>
      <w:bCs w:val="0"/>
      <w:sz w:val="24"/>
    </w:rPr>
  </w:style>
  <w:style w:type="paragraph" w:customStyle="1" w:styleId="cohomepersonalizationlightboxvideo">
    <w:name w:val="co_homepersonalizationlightbox_video"/>
    <w:basedOn w:val="Normal"/>
    <w:rsid w:val="00435883"/>
    <w:pPr>
      <w:spacing w:before="100" w:beforeAutospacing="1" w:after="225"/>
    </w:pPr>
    <w:rPr>
      <w:bCs w:val="0"/>
      <w:sz w:val="24"/>
    </w:rPr>
  </w:style>
  <w:style w:type="paragraph" w:customStyle="1" w:styleId="couserguideswf">
    <w:name w:val="co_userguideswf"/>
    <w:basedOn w:val="Normal"/>
    <w:rsid w:val="00435883"/>
    <w:pPr>
      <w:spacing w:before="100" w:beforeAutospacing="1" w:after="100" w:afterAutospacing="1"/>
      <w:textAlignment w:val="top"/>
    </w:pPr>
    <w:rPr>
      <w:bCs w:val="0"/>
      <w:sz w:val="24"/>
    </w:rPr>
  </w:style>
  <w:style w:type="paragraph" w:customStyle="1" w:styleId="cowelcometowestlaw">
    <w:name w:val="co_welcometowestlaw"/>
    <w:basedOn w:val="Normal"/>
    <w:rsid w:val="00435883"/>
    <w:pPr>
      <w:spacing w:before="100" w:beforeAutospacing="1" w:after="100" w:afterAutospacing="1"/>
      <w:jc w:val="center"/>
    </w:pPr>
    <w:rPr>
      <w:b/>
      <w:sz w:val="24"/>
    </w:rPr>
  </w:style>
  <w:style w:type="paragraph" w:customStyle="1" w:styleId="cowelcomeguide">
    <w:name w:val="co_welcomeguide"/>
    <w:basedOn w:val="Normal"/>
    <w:rsid w:val="00435883"/>
    <w:pPr>
      <w:spacing w:before="100" w:beforeAutospacing="1" w:after="100" w:afterAutospacing="1"/>
      <w:jc w:val="center"/>
    </w:pPr>
    <w:rPr>
      <w:bCs w:val="0"/>
      <w:sz w:val="24"/>
    </w:rPr>
  </w:style>
  <w:style w:type="paragraph" w:customStyle="1" w:styleId="cowelcomehelpcenter">
    <w:name w:val="co_welcomehelpcenter"/>
    <w:basedOn w:val="Normal"/>
    <w:rsid w:val="00435883"/>
    <w:pPr>
      <w:spacing w:before="100" w:beforeAutospacing="1" w:after="100" w:afterAutospacing="1"/>
      <w:jc w:val="center"/>
    </w:pPr>
    <w:rPr>
      <w:bCs w:val="0"/>
      <w:sz w:val="24"/>
    </w:rPr>
  </w:style>
  <w:style w:type="paragraph" w:customStyle="1" w:styleId="cowelcomevideo">
    <w:name w:val="co_welcomevideo"/>
    <w:basedOn w:val="Normal"/>
    <w:rsid w:val="00435883"/>
    <w:pPr>
      <w:spacing w:before="100" w:beforeAutospacing="1" w:after="100" w:afterAutospacing="1"/>
      <w:jc w:val="center"/>
    </w:pPr>
    <w:rPr>
      <w:bCs w:val="0"/>
      <w:sz w:val="24"/>
    </w:rPr>
  </w:style>
  <w:style w:type="paragraph" w:customStyle="1" w:styleId="codockheadercount">
    <w:name w:val="co_dockheadercount"/>
    <w:basedOn w:val="Normal"/>
    <w:rsid w:val="00435883"/>
    <w:pPr>
      <w:spacing w:before="100" w:beforeAutospacing="1" w:after="100" w:afterAutospacing="1"/>
    </w:pPr>
    <w:rPr>
      <w:bCs w:val="0"/>
      <w:sz w:val="24"/>
    </w:rPr>
  </w:style>
  <w:style w:type="paragraph" w:customStyle="1" w:styleId="codockheadercountright">
    <w:name w:val="co_dockheadercountright"/>
    <w:basedOn w:val="Normal"/>
    <w:rsid w:val="00435883"/>
    <w:pPr>
      <w:spacing w:before="100" w:beforeAutospacing="1" w:after="100" w:afterAutospacing="1"/>
    </w:pPr>
    <w:rPr>
      <w:b/>
      <w:sz w:val="22"/>
      <w:szCs w:val="22"/>
    </w:rPr>
  </w:style>
  <w:style w:type="paragraph" w:customStyle="1" w:styleId="codockheadertopmenu">
    <w:name w:val="co_dockheadertopmenu"/>
    <w:basedOn w:val="Normal"/>
    <w:rsid w:val="00435883"/>
    <w:pPr>
      <w:spacing w:before="100" w:beforeAutospacing="1" w:after="100" w:afterAutospacing="1" w:line="285" w:lineRule="atLeast"/>
    </w:pPr>
    <w:rPr>
      <w:bCs w:val="0"/>
      <w:sz w:val="24"/>
    </w:rPr>
  </w:style>
  <w:style w:type="paragraph" w:customStyle="1" w:styleId="codockrelatedinfo">
    <w:name w:val="co_dock_relatedinfo"/>
    <w:basedOn w:val="Normal"/>
    <w:rsid w:val="00435883"/>
    <w:pPr>
      <w:spacing w:before="100" w:beforeAutospacing="1" w:after="100" w:afterAutospacing="1"/>
    </w:pPr>
    <w:rPr>
      <w:bCs w:val="0"/>
      <w:vanish/>
      <w:sz w:val="24"/>
    </w:rPr>
  </w:style>
  <w:style w:type="paragraph" w:customStyle="1" w:styleId="co-overviewbox">
    <w:name w:val="co-overviewbox"/>
    <w:basedOn w:val="Normal"/>
    <w:rsid w:val="00435883"/>
    <w:pPr>
      <w:pBdr>
        <w:top w:val="single" w:sz="6" w:space="0" w:color="CCCCCC"/>
        <w:left w:val="single" w:sz="6" w:space="0" w:color="CCCCCC"/>
        <w:bottom w:val="single" w:sz="6" w:space="19" w:color="CCCCCC"/>
        <w:right w:val="single" w:sz="6" w:space="0" w:color="CCCCCC"/>
      </w:pBdr>
      <w:spacing w:before="375" w:after="375"/>
      <w:ind w:left="750" w:right="750"/>
    </w:pPr>
    <w:rPr>
      <w:bCs w:val="0"/>
      <w:sz w:val="24"/>
    </w:rPr>
  </w:style>
  <w:style w:type="paragraph" w:customStyle="1" w:styleId="co-overviewbox-header">
    <w:name w:val="co-overviewbox-header"/>
    <w:basedOn w:val="Normal"/>
    <w:rsid w:val="00435883"/>
    <w:pPr>
      <w:pBdr>
        <w:bottom w:val="single" w:sz="6" w:space="9" w:color="CCCCCC"/>
      </w:pBdr>
      <w:shd w:val="clear" w:color="auto" w:fill="F7F7F7"/>
      <w:spacing w:before="100" w:beforeAutospacing="1" w:after="100" w:afterAutospacing="1"/>
    </w:pPr>
    <w:rPr>
      <w:b/>
      <w:sz w:val="23"/>
      <w:szCs w:val="23"/>
    </w:rPr>
  </w:style>
  <w:style w:type="paragraph" w:customStyle="1" w:styleId="co-overviewbox-detailwrap">
    <w:name w:val="co-overviewbox-detailwrap"/>
    <w:basedOn w:val="Normal"/>
    <w:rsid w:val="00435883"/>
    <w:pPr>
      <w:spacing w:before="600" w:after="375"/>
      <w:jc w:val="center"/>
    </w:pPr>
    <w:rPr>
      <w:bCs w:val="0"/>
      <w:sz w:val="24"/>
    </w:rPr>
  </w:style>
  <w:style w:type="paragraph" w:customStyle="1" w:styleId="co-overviewbox-detailwrap--fullwidth">
    <w:name w:val="co-overviewbox-detailwrap--fullwidth"/>
    <w:basedOn w:val="Normal"/>
    <w:rsid w:val="00435883"/>
    <w:pPr>
      <w:spacing w:before="100" w:beforeAutospacing="1" w:after="100" w:afterAutospacing="1"/>
    </w:pPr>
    <w:rPr>
      <w:bCs w:val="0"/>
      <w:sz w:val="24"/>
    </w:rPr>
  </w:style>
  <w:style w:type="paragraph" w:customStyle="1" w:styleId="co-overviewbox-buttonwrap">
    <w:name w:val="co-overviewbox-buttonwrap"/>
    <w:basedOn w:val="Normal"/>
    <w:rsid w:val="00435883"/>
    <w:pPr>
      <w:spacing w:before="100" w:beforeAutospacing="1" w:after="100" w:afterAutospacing="1"/>
      <w:jc w:val="center"/>
    </w:pPr>
    <w:rPr>
      <w:bCs w:val="0"/>
      <w:sz w:val="24"/>
    </w:rPr>
  </w:style>
  <w:style w:type="paragraph" w:customStyle="1" w:styleId="inlineerror-message">
    <w:name w:val="inlineerror-message"/>
    <w:basedOn w:val="Normal"/>
    <w:rsid w:val="00435883"/>
    <w:rPr>
      <w:bCs w:val="0"/>
      <w:sz w:val="24"/>
    </w:rPr>
  </w:style>
  <w:style w:type="paragraph" w:customStyle="1" w:styleId="a11ytooltip-content">
    <w:name w:val="a11ytooltip-content"/>
    <w:basedOn w:val="Normal"/>
    <w:rsid w:val="00435883"/>
    <w:pPr>
      <w:pBdr>
        <w:top w:val="single" w:sz="6" w:space="3" w:color="FADE64"/>
        <w:left w:val="single" w:sz="6" w:space="6" w:color="FADE64"/>
        <w:bottom w:val="single" w:sz="6" w:space="3" w:color="FADE64"/>
        <w:right w:val="single" w:sz="6" w:space="6" w:color="FADE64"/>
      </w:pBdr>
      <w:shd w:val="clear" w:color="auto" w:fill="FCF8E6"/>
      <w:spacing w:before="120"/>
    </w:pPr>
    <w:rPr>
      <w:bCs w:val="0"/>
      <w:color w:val="212121"/>
      <w:sz w:val="24"/>
    </w:rPr>
  </w:style>
  <w:style w:type="paragraph" w:customStyle="1" w:styleId="a11ytooltip-pointer">
    <w:name w:val="a11ytooltip-pointer"/>
    <w:basedOn w:val="Normal"/>
    <w:rsid w:val="00435883"/>
    <w:pPr>
      <w:pBdr>
        <w:top w:val="single" w:sz="48" w:space="0" w:color="auto"/>
        <w:left w:val="single" w:sz="48" w:space="0" w:color="auto"/>
        <w:bottom w:val="single" w:sz="48" w:space="0" w:color="auto"/>
        <w:right w:val="single" w:sz="48" w:space="0" w:color="auto"/>
      </w:pBdr>
      <w:ind w:left="-120"/>
    </w:pPr>
    <w:rPr>
      <w:bCs w:val="0"/>
      <w:sz w:val="24"/>
    </w:rPr>
  </w:style>
  <w:style w:type="paragraph" w:customStyle="1" w:styleId="coofferfull">
    <w:name w:val="co_offerfull"/>
    <w:basedOn w:val="Normal"/>
    <w:rsid w:val="00435883"/>
    <w:pPr>
      <w:spacing w:before="100" w:beforeAutospacing="1" w:after="150"/>
    </w:pPr>
    <w:rPr>
      <w:bCs w:val="0"/>
      <w:vanish/>
      <w:sz w:val="24"/>
    </w:rPr>
  </w:style>
  <w:style w:type="paragraph" w:customStyle="1" w:styleId="coofferbuttons">
    <w:name w:val="co_offerbuttons"/>
    <w:basedOn w:val="Normal"/>
    <w:rsid w:val="00435883"/>
    <w:pPr>
      <w:pBdr>
        <w:top w:val="dotted" w:sz="6" w:space="8" w:color="CCCCCC"/>
      </w:pBdr>
      <w:spacing w:before="150" w:after="100" w:afterAutospacing="1"/>
      <w:ind w:right="120"/>
    </w:pPr>
    <w:rPr>
      <w:bCs w:val="0"/>
      <w:sz w:val="24"/>
    </w:rPr>
  </w:style>
  <w:style w:type="paragraph" w:customStyle="1" w:styleId="coofferbodyleft">
    <w:name w:val="co_offerbodyleft"/>
    <w:basedOn w:val="Normal"/>
    <w:rsid w:val="00435883"/>
    <w:pPr>
      <w:spacing w:before="100" w:beforeAutospacing="1" w:after="100" w:afterAutospacing="1"/>
      <w:ind w:right="4050"/>
    </w:pPr>
    <w:rPr>
      <w:bCs w:val="0"/>
      <w:sz w:val="24"/>
    </w:rPr>
  </w:style>
  <w:style w:type="paragraph" w:customStyle="1" w:styleId="coofferbodyright">
    <w:name w:val="co_offerbodyright"/>
    <w:basedOn w:val="Normal"/>
    <w:rsid w:val="00435883"/>
    <w:pPr>
      <w:pBdr>
        <w:top w:val="single" w:sz="6" w:space="8" w:color="D5E7CD"/>
        <w:left w:val="single" w:sz="6" w:space="8" w:color="D5E7CD"/>
        <w:bottom w:val="single" w:sz="6" w:space="30" w:color="D5E7CD"/>
        <w:right w:val="single" w:sz="6" w:space="8" w:color="D5E7CD"/>
      </w:pBdr>
      <w:shd w:val="clear" w:color="auto" w:fill="E9FBE8"/>
      <w:spacing w:before="100" w:beforeAutospacing="1" w:after="100" w:afterAutospacing="1"/>
      <w:ind w:left="225" w:right="120"/>
    </w:pPr>
    <w:rPr>
      <w:bCs w:val="0"/>
      <w:sz w:val="24"/>
    </w:rPr>
  </w:style>
  <w:style w:type="paragraph" w:customStyle="1" w:styleId="coofferexpirationdate">
    <w:name w:val="co_offerexpirationdate"/>
    <w:basedOn w:val="Normal"/>
    <w:rsid w:val="00435883"/>
    <w:pPr>
      <w:pBdr>
        <w:top w:val="single" w:sz="6" w:space="4" w:color="D5E7CD"/>
      </w:pBdr>
      <w:spacing w:before="75" w:after="100" w:afterAutospacing="1"/>
    </w:pPr>
    <w:rPr>
      <w:bCs w:val="0"/>
      <w:sz w:val="24"/>
    </w:rPr>
  </w:style>
  <w:style w:type="paragraph" w:customStyle="1" w:styleId="ui-datepicker-group">
    <w:name w:val="ui-datepicker-group"/>
    <w:basedOn w:val="Normal"/>
    <w:rsid w:val="00435883"/>
    <w:pPr>
      <w:pBdr>
        <w:right w:val="single" w:sz="6" w:space="0" w:color="D6D6D6"/>
      </w:pBdr>
      <w:spacing w:before="100" w:beforeAutospacing="1" w:after="100" w:afterAutospacing="1"/>
    </w:pPr>
    <w:rPr>
      <w:bCs w:val="0"/>
      <w:sz w:val="24"/>
    </w:rPr>
  </w:style>
  <w:style w:type="paragraph" w:customStyle="1" w:styleId="ui-datepicker-header">
    <w:name w:val="ui-datepicker-header"/>
    <w:basedOn w:val="Normal"/>
    <w:rsid w:val="00435883"/>
    <w:pPr>
      <w:shd w:val="clear" w:color="auto" w:fill="EEEEEE"/>
      <w:spacing w:before="100" w:beforeAutospacing="1" w:after="100" w:afterAutospacing="1"/>
    </w:pPr>
    <w:rPr>
      <w:b/>
      <w:sz w:val="24"/>
    </w:rPr>
  </w:style>
  <w:style w:type="paragraph" w:customStyle="1" w:styleId="cometer">
    <w:name w:val="co_meter"/>
    <w:basedOn w:val="Normal"/>
    <w:rsid w:val="00435883"/>
    <w:pPr>
      <w:spacing w:before="100" w:beforeAutospacing="1" w:after="100" w:afterAutospacing="1" w:line="300" w:lineRule="atLeast"/>
    </w:pPr>
    <w:rPr>
      <w:bCs w:val="0"/>
      <w:vanish/>
      <w:color w:val="FFFFFF"/>
      <w:sz w:val="24"/>
    </w:rPr>
  </w:style>
  <w:style w:type="paragraph" w:customStyle="1" w:styleId="cometerdiv">
    <w:name w:val="co_meter&gt;div"/>
    <w:basedOn w:val="Normal"/>
    <w:rsid w:val="00435883"/>
    <w:pPr>
      <w:spacing w:before="100" w:beforeAutospacing="1" w:after="100" w:afterAutospacing="1"/>
    </w:pPr>
    <w:rPr>
      <w:bCs w:val="0"/>
      <w:sz w:val="24"/>
    </w:rPr>
  </w:style>
  <w:style w:type="paragraph" w:customStyle="1" w:styleId="codocketsupdate">
    <w:name w:val="co_docketsupdate"/>
    <w:basedOn w:val="Normal"/>
    <w:rsid w:val="00435883"/>
    <w:pPr>
      <w:spacing w:before="100" w:beforeAutospacing="1" w:after="100" w:afterAutospacing="1" w:line="360" w:lineRule="atLeast"/>
    </w:pPr>
    <w:rPr>
      <w:rFonts w:ascii="Arial" w:hAnsi="Arial" w:cs="Arial"/>
      <w:bCs w:val="0"/>
      <w:sz w:val="18"/>
      <w:szCs w:val="18"/>
    </w:rPr>
  </w:style>
  <w:style w:type="paragraph" w:customStyle="1" w:styleId="cosmalltextindent">
    <w:name w:val="co_smalltextindent"/>
    <w:basedOn w:val="Normal"/>
    <w:rsid w:val="00435883"/>
    <w:pPr>
      <w:spacing w:before="100" w:beforeAutospacing="1" w:after="100" w:afterAutospacing="1" w:line="288" w:lineRule="atLeast"/>
    </w:pPr>
    <w:rPr>
      <w:bCs w:val="0"/>
      <w:sz w:val="22"/>
      <w:szCs w:val="22"/>
    </w:rPr>
  </w:style>
  <w:style w:type="paragraph" w:customStyle="1" w:styleId="wagridbarfiller">
    <w:name w:val="wa_gridbarfiller"/>
    <w:basedOn w:val="Normal"/>
    <w:rsid w:val="00435883"/>
    <w:pPr>
      <w:spacing w:before="100" w:beforeAutospacing="1" w:after="100" w:afterAutospacing="1"/>
    </w:pPr>
    <w:rPr>
      <w:bCs w:val="0"/>
      <w:sz w:val="24"/>
    </w:rPr>
  </w:style>
  <w:style w:type="paragraph" w:customStyle="1" w:styleId="coexpandedtermdescription">
    <w:name w:val="co_expandedtermdescription"/>
    <w:basedOn w:val="Normal"/>
    <w:rsid w:val="00435883"/>
    <w:pPr>
      <w:pBdr>
        <w:top w:val="single" w:sz="6" w:space="6" w:color="CCCCCC"/>
        <w:bottom w:val="single" w:sz="6" w:space="6" w:color="CCCCCC"/>
      </w:pBdr>
      <w:spacing w:before="225" w:after="225"/>
    </w:pPr>
    <w:rPr>
      <w:bCs w:val="0"/>
      <w:sz w:val="24"/>
    </w:rPr>
  </w:style>
  <w:style w:type="paragraph" w:customStyle="1" w:styleId="coexpandedtermfoundrelationships">
    <w:name w:val="co_expandedtermfoundrelationships"/>
    <w:basedOn w:val="Normal"/>
    <w:rsid w:val="00435883"/>
    <w:pPr>
      <w:spacing w:before="150" w:after="100" w:afterAutospacing="1"/>
    </w:pPr>
    <w:rPr>
      <w:bCs w:val="0"/>
      <w:sz w:val="24"/>
    </w:rPr>
  </w:style>
  <w:style w:type="paragraph" w:customStyle="1" w:styleId="coexpandedtermrelationshiplist">
    <w:name w:val="co_expandedtermrelationshiplist"/>
    <w:basedOn w:val="Normal"/>
    <w:rsid w:val="00435883"/>
    <w:pPr>
      <w:spacing w:before="100" w:beforeAutospacing="1" w:after="100" w:afterAutospacing="1"/>
    </w:pPr>
    <w:rPr>
      <w:bCs w:val="0"/>
      <w:sz w:val="24"/>
    </w:rPr>
  </w:style>
  <w:style w:type="paragraph" w:customStyle="1" w:styleId="cosuperbrowseajaxloading">
    <w:name w:val="co_superbrowseajaxloading"/>
    <w:basedOn w:val="Normal"/>
    <w:rsid w:val="00435883"/>
    <w:pPr>
      <w:spacing w:before="100" w:beforeAutospacing="1" w:after="100" w:afterAutospacing="1"/>
    </w:pPr>
    <w:rPr>
      <w:bCs w:val="0"/>
      <w:sz w:val="24"/>
    </w:rPr>
  </w:style>
  <w:style w:type="paragraph" w:customStyle="1" w:styleId="cosuperbrowsecontentwrapper">
    <w:name w:val="co_superbrowsecontentwrapper"/>
    <w:basedOn w:val="Normal"/>
    <w:rsid w:val="00435883"/>
    <w:pPr>
      <w:spacing w:before="75" w:after="100" w:afterAutospacing="1"/>
    </w:pPr>
    <w:rPr>
      <w:bCs w:val="0"/>
      <w:sz w:val="24"/>
    </w:rPr>
  </w:style>
  <w:style w:type="paragraph" w:customStyle="1" w:styleId="skipbutton">
    <w:name w:val="skipbutton"/>
    <w:basedOn w:val="Normal"/>
    <w:rsid w:val="00435883"/>
    <w:pPr>
      <w:spacing w:before="150" w:after="100" w:afterAutospacing="1"/>
    </w:pPr>
    <w:rPr>
      <w:bCs w:val="0"/>
      <w:sz w:val="24"/>
    </w:rPr>
  </w:style>
  <w:style w:type="paragraph" w:customStyle="1" w:styleId="codatepicker">
    <w:name w:val="co_datepicker"/>
    <w:basedOn w:val="Normal"/>
    <w:rsid w:val="00435883"/>
    <w:pPr>
      <w:shd w:val="clear" w:color="auto" w:fill="FAFAFA"/>
      <w:spacing w:before="100" w:beforeAutospacing="1" w:after="100" w:afterAutospacing="1"/>
    </w:pPr>
    <w:rPr>
      <w:bCs w:val="0"/>
      <w:sz w:val="24"/>
    </w:rPr>
  </w:style>
  <w:style w:type="paragraph" w:customStyle="1" w:styleId="codatepicker-arrow">
    <w:name w:val="co_datepicker-arrow"/>
    <w:basedOn w:val="Normal"/>
    <w:rsid w:val="00435883"/>
    <w:pPr>
      <w:pBdr>
        <w:right w:val="single" w:sz="48" w:space="0" w:color="CCCCCC"/>
      </w:pBdr>
      <w:spacing w:before="100" w:beforeAutospacing="1" w:after="100" w:afterAutospacing="1"/>
    </w:pPr>
    <w:rPr>
      <w:bCs w:val="0"/>
      <w:sz w:val="24"/>
    </w:rPr>
  </w:style>
  <w:style w:type="paragraph" w:customStyle="1" w:styleId="codatepicker-listcontainer">
    <w:name w:val="co_datepicker-listcontainer"/>
    <w:basedOn w:val="Normal"/>
    <w:rsid w:val="00435883"/>
    <w:pPr>
      <w:spacing w:before="100" w:beforeAutospacing="1" w:after="100" w:afterAutospacing="1"/>
      <w:textAlignment w:val="top"/>
    </w:pPr>
    <w:rPr>
      <w:bCs w:val="0"/>
      <w:sz w:val="24"/>
    </w:rPr>
  </w:style>
  <w:style w:type="paragraph" w:customStyle="1" w:styleId="codatepicker-lists">
    <w:name w:val="co_datepicker-lists"/>
    <w:basedOn w:val="Normal"/>
    <w:rsid w:val="00435883"/>
    <w:pPr>
      <w:spacing w:before="100" w:beforeAutospacing="1" w:after="100" w:afterAutospacing="1"/>
    </w:pPr>
    <w:rPr>
      <w:bCs w:val="0"/>
      <w:sz w:val="24"/>
    </w:rPr>
  </w:style>
  <w:style w:type="paragraph" w:customStyle="1" w:styleId="codatepicker-calendarcontainer">
    <w:name w:val="co_datepicker-calendarcontainer"/>
    <w:basedOn w:val="Normal"/>
    <w:rsid w:val="00435883"/>
    <w:pPr>
      <w:pBdr>
        <w:left w:val="single" w:sz="6" w:space="8" w:color="F7F7F7"/>
      </w:pBdr>
      <w:shd w:val="clear" w:color="auto" w:fill="FFFFFF"/>
      <w:spacing w:before="100" w:beforeAutospacing="1" w:after="100" w:afterAutospacing="1"/>
      <w:textAlignment w:val="top"/>
    </w:pPr>
    <w:rPr>
      <w:bCs w:val="0"/>
      <w:sz w:val="24"/>
    </w:rPr>
  </w:style>
  <w:style w:type="paragraph" w:customStyle="1" w:styleId="codatepicker-dualcalendars">
    <w:name w:val="co_datepicker-dualcalendars"/>
    <w:basedOn w:val="Normal"/>
    <w:rsid w:val="00435883"/>
    <w:pPr>
      <w:spacing w:before="100" w:beforeAutospacing="1" w:after="100" w:afterAutospacing="1"/>
    </w:pPr>
    <w:rPr>
      <w:bCs w:val="0"/>
      <w:sz w:val="24"/>
    </w:rPr>
  </w:style>
  <w:style w:type="paragraph" w:customStyle="1" w:styleId="codatepicker-calendar">
    <w:name w:val="co_datepicker-calendar"/>
    <w:basedOn w:val="Normal"/>
    <w:rsid w:val="00435883"/>
    <w:pPr>
      <w:spacing w:before="100" w:beforeAutospacing="1" w:after="100" w:afterAutospacing="1"/>
      <w:ind w:right="150"/>
      <w:textAlignment w:val="top"/>
    </w:pPr>
    <w:rPr>
      <w:bCs w:val="0"/>
      <w:sz w:val="24"/>
    </w:rPr>
  </w:style>
  <w:style w:type="paragraph" w:customStyle="1" w:styleId="codatepicker-calendererror">
    <w:name w:val="co_datepicker-calendererror"/>
    <w:basedOn w:val="Normal"/>
    <w:rsid w:val="00435883"/>
    <w:pPr>
      <w:spacing w:before="100" w:beforeAutospacing="1" w:after="100" w:afterAutospacing="1"/>
    </w:pPr>
    <w:rPr>
      <w:bCs w:val="0"/>
      <w:color w:val="CC3333"/>
      <w:sz w:val="24"/>
    </w:rPr>
  </w:style>
  <w:style w:type="paragraph" w:customStyle="1" w:styleId="codatepicker-footer">
    <w:name w:val="co_datepicker-footer"/>
    <w:basedOn w:val="Normal"/>
    <w:rsid w:val="00435883"/>
    <w:pPr>
      <w:spacing w:before="100" w:beforeAutospacing="1" w:after="100" w:afterAutospacing="1"/>
      <w:jc w:val="center"/>
    </w:pPr>
    <w:rPr>
      <w:bCs w:val="0"/>
      <w:sz w:val="24"/>
    </w:rPr>
  </w:style>
  <w:style w:type="paragraph" w:customStyle="1" w:styleId="codatepicker-highlight">
    <w:name w:val="co_datepicker-highlight"/>
    <w:basedOn w:val="Normal"/>
    <w:rsid w:val="00435883"/>
    <w:pPr>
      <w:shd w:val="clear" w:color="auto" w:fill="145DA4"/>
      <w:spacing w:before="100" w:beforeAutospacing="1" w:after="100" w:afterAutospacing="1"/>
    </w:pPr>
    <w:rPr>
      <w:bCs w:val="0"/>
      <w:sz w:val="24"/>
    </w:rPr>
  </w:style>
  <w:style w:type="paragraph" w:customStyle="1" w:styleId="codatewidgetcustomlisthighlightitem">
    <w:name w:val="co_datewidget_customlist_highlightitem"/>
    <w:basedOn w:val="Normal"/>
    <w:rsid w:val="00435883"/>
    <w:pPr>
      <w:shd w:val="clear" w:color="auto" w:fill="145DA4"/>
      <w:spacing w:before="100" w:beforeAutospacing="1" w:after="100" w:afterAutospacing="1"/>
    </w:pPr>
    <w:rPr>
      <w:b/>
      <w:sz w:val="24"/>
    </w:rPr>
  </w:style>
  <w:style w:type="paragraph" w:customStyle="1" w:styleId="coclientidinlinelabel">
    <w:name w:val="co_clientidinline_label"/>
    <w:basedOn w:val="Normal"/>
    <w:rsid w:val="00435883"/>
    <w:pPr>
      <w:spacing w:before="100" w:beforeAutospacing="1" w:after="100" w:afterAutospacing="1"/>
    </w:pPr>
    <w:rPr>
      <w:b/>
      <w:color w:val="212121"/>
      <w:sz w:val="24"/>
    </w:rPr>
  </w:style>
  <w:style w:type="paragraph" w:customStyle="1" w:styleId="coclientidinlinechange">
    <w:name w:val="co_clientidinline_change"/>
    <w:basedOn w:val="Normal"/>
    <w:rsid w:val="00435883"/>
    <w:pPr>
      <w:pBdr>
        <w:left w:val="single" w:sz="6" w:space="4" w:color="D6D6D6"/>
      </w:pBdr>
      <w:spacing w:before="100" w:beforeAutospacing="1" w:after="100" w:afterAutospacing="1"/>
      <w:ind w:left="75"/>
    </w:pPr>
    <w:rPr>
      <w:bCs w:val="0"/>
      <w:sz w:val="24"/>
    </w:rPr>
  </w:style>
  <w:style w:type="paragraph" w:customStyle="1" w:styleId="corecentdocuments">
    <w:name w:val="co_recentdocuments"/>
    <w:basedOn w:val="Normal"/>
    <w:rsid w:val="00435883"/>
    <w:pPr>
      <w:spacing w:before="100" w:beforeAutospacing="1" w:after="100" w:afterAutospacing="1"/>
    </w:pPr>
    <w:rPr>
      <w:bCs w:val="0"/>
      <w:sz w:val="24"/>
    </w:rPr>
  </w:style>
  <w:style w:type="paragraph" w:customStyle="1" w:styleId="corecentsearches">
    <w:name w:val="co_recentsearches"/>
    <w:basedOn w:val="Normal"/>
    <w:rsid w:val="00435883"/>
    <w:pPr>
      <w:spacing w:before="100" w:beforeAutospacing="1" w:after="100" w:afterAutospacing="1"/>
    </w:pPr>
    <w:rPr>
      <w:bCs w:val="0"/>
      <w:sz w:val="24"/>
    </w:rPr>
  </w:style>
  <w:style w:type="paragraph" w:customStyle="1" w:styleId="allcustompageslist">
    <w:name w:val="all_custompages_list"/>
    <w:basedOn w:val="Normal"/>
    <w:rsid w:val="00435883"/>
    <w:pPr>
      <w:spacing w:before="90" w:after="100" w:afterAutospacing="1"/>
    </w:pPr>
    <w:rPr>
      <w:bCs w:val="0"/>
      <w:sz w:val="24"/>
    </w:rPr>
  </w:style>
  <w:style w:type="paragraph" w:customStyle="1" w:styleId="cofindandkeyciteexample">
    <w:name w:val="co_findandkeycite_example"/>
    <w:basedOn w:val="Normal"/>
    <w:rsid w:val="00435883"/>
    <w:pPr>
      <w:spacing w:before="100" w:beforeAutospacing="1" w:after="100" w:afterAutospacing="1"/>
    </w:pPr>
    <w:rPr>
      <w:bCs w:val="0"/>
      <w:sz w:val="24"/>
    </w:rPr>
  </w:style>
  <w:style w:type="paragraph" w:customStyle="1" w:styleId="codnbinfo">
    <w:name w:val="co_dnbinfo"/>
    <w:basedOn w:val="Normal"/>
    <w:rsid w:val="00435883"/>
    <w:pPr>
      <w:spacing w:before="225" w:after="150"/>
    </w:pPr>
    <w:rPr>
      <w:bCs w:val="0"/>
      <w:sz w:val="24"/>
    </w:rPr>
  </w:style>
  <w:style w:type="paragraph" w:customStyle="1" w:styleId="redlininglink">
    <w:name w:val="redlining_link"/>
    <w:basedOn w:val="Normal"/>
    <w:rsid w:val="00435883"/>
    <w:pPr>
      <w:ind w:left="75"/>
    </w:pPr>
    <w:rPr>
      <w:bCs w:val="0"/>
      <w:sz w:val="24"/>
    </w:rPr>
  </w:style>
  <w:style w:type="paragraph" w:customStyle="1" w:styleId="codisplayplmessage">
    <w:name w:val="co_displayplmessage"/>
    <w:basedOn w:val="Normal"/>
    <w:rsid w:val="00435883"/>
    <w:pPr>
      <w:pBdr>
        <w:top w:val="single" w:sz="6" w:space="3" w:color="CCCCCC"/>
        <w:left w:val="single" w:sz="6" w:space="3" w:color="CCCCCC"/>
        <w:bottom w:val="single" w:sz="6" w:space="3" w:color="CCCCCC"/>
        <w:right w:val="single" w:sz="6" w:space="3" w:color="CCCCCC"/>
      </w:pBdr>
      <w:spacing w:before="100" w:beforeAutospacing="1" w:after="240"/>
    </w:pPr>
    <w:rPr>
      <w:bCs w:val="0"/>
      <w:sz w:val="24"/>
    </w:rPr>
  </w:style>
  <w:style w:type="paragraph" w:customStyle="1" w:styleId="cocontainerfootnote">
    <w:name w:val="co_containerfootnote"/>
    <w:basedOn w:val="Normal"/>
    <w:rsid w:val="00435883"/>
    <w:pPr>
      <w:pBdr>
        <w:top w:val="single" w:sz="6" w:space="0" w:color="CCCCCC"/>
        <w:left w:val="single" w:sz="6" w:space="8" w:color="CCCCCC"/>
        <w:bottom w:val="single" w:sz="6" w:space="0" w:color="CCCCCC"/>
        <w:right w:val="single" w:sz="6" w:space="8" w:color="CCCCCC"/>
      </w:pBdr>
      <w:spacing w:before="100" w:beforeAutospacing="1" w:after="120" w:line="450" w:lineRule="atLeast"/>
    </w:pPr>
    <w:rPr>
      <w:bCs w:val="0"/>
      <w:sz w:val="17"/>
      <w:szCs w:val="17"/>
    </w:rPr>
  </w:style>
  <w:style w:type="paragraph" w:customStyle="1" w:styleId="coalphaselector">
    <w:name w:val="co_alphaselector"/>
    <w:basedOn w:val="Normal"/>
    <w:rsid w:val="00435883"/>
    <w:pPr>
      <w:spacing w:before="100" w:beforeAutospacing="1" w:after="100" w:afterAutospacing="1"/>
    </w:pPr>
    <w:rPr>
      <w:bCs w:val="0"/>
      <w:sz w:val="24"/>
    </w:rPr>
  </w:style>
  <w:style w:type="paragraph" w:customStyle="1" w:styleId="cocolumn">
    <w:name w:val="co_column"/>
    <w:basedOn w:val="Normal"/>
    <w:rsid w:val="00435883"/>
    <w:pPr>
      <w:ind w:right="244"/>
    </w:pPr>
    <w:rPr>
      <w:bCs w:val="0"/>
      <w:sz w:val="24"/>
    </w:rPr>
  </w:style>
  <w:style w:type="paragraph" w:customStyle="1" w:styleId="codocumenticonsli">
    <w:name w:val="co_documenticons&gt;li"/>
    <w:basedOn w:val="Normal"/>
    <w:rsid w:val="00435883"/>
    <w:pPr>
      <w:spacing w:before="100" w:beforeAutospacing="1" w:after="100" w:afterAutospacing="1"/>
      <w:ind w:left="120"/>
    </w:pPr>
    <w:rPr>
      <w:bCs w:val="0"/>
      <w:sz w:val="24"/>
    </w:rPr>
  </w:style>
  <w:style w:type="paragraph" w:customStyle="1" w:styleId="codocumentindicatorsli">
    <w:name w:val="co_document_indicators&gt;li"/>
    <w:basedOn w:val="Normal"/>
    <w:rsid w:val="00435883"/>
    <w:pPr>
      <w:spacing w:before="100" w:beforeAutospacing="1" w:after="100" w:afterAutospacing="1"/>
      <w:ind w:left="120"/>
    </w:pPr>
    <w:rPr>
      <w:bCs w:val="0"/>
      <w:sz w:val="24"/>
    </w:rPr>
  </w:style>
  <w:style w:type="paragraph" w:customStyle="1" w:styleId="cofacetcollapse">
    <w:name w:val="co_facet_collapse"/>
    <w:basedOn w:val="Normal"/>
    <w:rsid w:val="00435883"/>
    <w:pPr>
      <w:spacing w:before="100" w:beforeAutospacing="1" w:after="100" w:afterAutospacing="1"/>
      <w:ind w:hanging="3928"/>
    </w:pPr>
    <w:rPr>
      <w:bCs w:val="0"/>
      <w:sz w:val="24"/>
    </w:rPr>
  </w:style>
  <w:style w:type="paragraph" w:customStyle="1" w:styleId="cofacetexpand">
    <w:name w:val="co_facet_expand"/>
    <w:basedOn w:val="Normal"/>
    <w:rsid w:val="00435883"/>
    <w:pPr>
      <w:spacing w:before="100" w:beforeAutospacing="1" w:after="100" w:afterAutospacing="1"/>
      <w:ind w:hanging="3928"/>
    </w:pPr>
    <w:rPr>
      <w:bCs w:val="0"/>
      <w:sz w:val="24"/>
    </w:rPr>
  </w:style>
  <w:style w:type="paragraph" w:customStyle="1" w:styleId="cofacettreelabel">
    <w:name w:val="co_facet_treelabel"/>
    <w:basedOn w:val="Normal"/>
    <w:rsid w:val="00435883"/>
    <w:pPr>
      <w:spacing w:before="100" w:beforeAutospacing="1" w:after="100" w:afterAutospacing="1" w:line="225" w:lineRule="atLeast"/>
      <w:ind w:left="525"/>
    </w:pPr>
    <w:rPr>
      <w:bCs w:val="0"/>
      <w:sz w:val="24"/>
    </w:rPr>
  </w:style>
  <w:style w:type="paragraph" w:customStyle="1" w:styleId="cofacetselectlink">
    <w:name w:val="co_facet_selectlink"/>
    <w:basedOn w:val="Normal"/>
    <w:rsid w:val="00435883"/>
    <w:pPr>
      <w:spacing w:before="100" w:beforeAutospacing="1" w:after="100" w:afterAutospacing="1"/>
    </w:pPr>
    <w:rPr>
      <w:bCs w:val="0"/>
      <w:sz w:val="17"/>
      <w:szCs w:val="17"/>
    </w:rPr>
  </w:style>
  <w:style w:type="paragraph" w:customStyle="1" w:styleId="cofacetapplied">
    <w:name w:val="co_facet_applied"/>
    <w:basedOn w:val="Normal"/>
    <w:rsid w:val="00435883"/>
    <w:pPr>
      <w:spacing w:before="100" w:beforeAutospacing="1" w:after="100" w:afterAutospacing="1"/>
    </w:pPr>
    <w:rPr>
      <w:bCs w:val="0"/>
      <w:sz w:val="24"/>
    </w:rPr>
  </w:style>
  <w:style w:type="paragraph" w:customStyle="1" w:styleId="cooverlayboxleftcontent">
    <w:name w:val="co_overlaybox_leftcontent"/>
    <w:basedOn w:val="Normal"/>
    <w:rsid w:val="00435883"/>
    <w:pPr>
      <w:spacing w:before="100" w:beforeAutospacing="1" w:after="100" w:afterAutospacing="1"/>
      <w:ind w:right="180"/>
    </w:pPr>
    <w:rPr>
      <w:bCs w:val="0"/>
      <w:sz w:val="24"/>
    </w:rPr>
  </w:style>
  <w:style w:type="paragraph" w:customStyle="1" w:styleId="cooverlayboxrightcontent">
    <w:name w:val="co_overlaybox_rightcontent"/>
    <w:basedOn w:val="Normal"/>
    <w:rsid w:val="00435883"/>
    <w:pPr>
      <w:spacing w:before="100" w:beforeAutospacing="1" w:after="100" w:afterAutospacing="1"/>
    </w:pPr>
    <w:rPr>
      <w:bCs w:val="0"/>
      <w:sz w:val="24"/>
    </w:rPr>
  </w:style>
  <w:style w:type="paragraph" w:customStyle="1" w:styleId="colpanoresults">
    <w:name w:val="co_lpanoresults"/>
    <w:basedOn w:val="Normal"/>
    <w:rsid w:val="00435883"/>
    <w:pPr>
      <w:spacing w:before="100" w:beforeAutospacing="1" w:after="100" w:afterAutospacing="1"/>
    </w:pPr>
    <w:rPr>
      <w:bCs w:val="0"/>
      <w:sz w:val="24"/>
    </w:rPr>
  </w:style>
  <w:style w:type="paragraph" w:customStyle="1" w:styleId="conoresultcount">
    <w:name w:val="co_noresult_count"/>
    <w:basedOn w:val="Normal"/>
    <w:rsid w:val="00435883"/>
    <w:pPr>
      <w:spacing w:before="100" w:beforeAutospacing="1" w:after="100" w:afterAutospacing="1"/>
    </w:pPr>
    <w:rPr>
      <w:b/>
      <w:sz w:val="24"/>
    </w:rPr>
  </w:style>
  <w:style w:type="paragraph" w:customStyle="1" w:styleId="conoresultexplanation">
    <w:name w:val="co_noresult_explanation"/>
    <w:basedOn w:val="Normal"/>
    <w:rsid w:val="00435883"/>
    <w:pPr>
      <w:spacing w:before="240" w:after="240"/>
    </w:pPr>
    <w:rPr>
      <w:bCs w:val="0"/>
      <w:sz w:val="24"/>
    </w:rPr>
  </w:style>
  <w:style w:type="paragraph" w:customStyle="1" w:styleId="cofacetsimpleinputcontainer">
    <w:name w:val="co_facet_simpleinputcontainer"/>
    <w:basedOn w:val="Normal"/>
    <w:rsid w:val="00435883"/>
    <w:pPr>
      <w:spacing w:before="100" w:beforeAutospacing="1" w:after="100" w:afterAutospacing="1"/>
      <w:ind w:right="6300"/>
    </w:pPr>
    <w:rPr>
      <w:bCs w:val="0"/>
      <w:sz w:val="24"/>
    </w:rPr>
  </w:style>
  <w:style w:type="paragraph" w:customStyle="1" w:styleId="cofacetsimpleinputcontent">
    <w:name w:val="co_facet_simpleinputcontent"/>
    <w:basedOn w:val="Normal"/>
    <w:rsid w:val="00435883"/>
    <w:pPr>
      <w:spacing w:before="100" w:beforeAutospacing="1" w:after="100" w:afterAutospacing="1"/>
    </w:pPr>
    <w:rPr>
      <w:bCs w:val="0"/>
      <w:sz w:val="24"/>
    </w:rPr>
  </w:style>
  <w:style w:type="paragraph" w:customStyle="1" w:styleId="coalrfacettopofdoccontainer">
    <w:name w:val="co_alrfacettopofdoccontainer"/>
    <w:basedOn w:val="Normal"/>
    <w:rsid w:val="00435883"/>
    <w:pPr>
      <w:pBdr>
        <w:bottom w:val="single" w:sz="6" w:space="0" w:color="CCCCCC"/>
      </w:pBdr>
      <w:spacing w:before="100" w:beforeAutospacing="1" w:after="100" w:afterAutospacing="1"/>
    </w:pPr>
    <w:rPr>
      <w:bCs w:val="0"/>
      <w:sz w:val="24"/>
    </w:rPr>
  </w:style>
  <w:style w:type="paragraph" w:customStyle="1" w:styleId="coalrfacettopofdoc">
    <w:name w:val="co_alrfacettopofdoc"/>
    <w:basedOn w:val="Normal"/>
    <w:rsid w:val="00435883"/>
    <w:pPr>
      <w:spacing w:before="135" w:after="135"/>
      <w:ind w:left="150" w:right="60"/>
    </w:pPr>
    <w:rPr>
      <w:bCs w:val="0"/>
      <w:sz w:val="24"/>
    </w:rPr>
  </w:style>
  <w:style w:type="paragraph" w:customStyle="1" w:styleId="coalrfacetwrapper">
    <w:name w:val="co_alrfacetwrapper"/>
    <w:basedOn w:val="Normal"/>
    <w:rsid w:val="00435883"/>
    <w:pPr>
      <w:spacing w:before="100" w:beforeAutospacing="1" w:after="100" w:afterAutospacing="1"/>
    </w:pPr>
    <w:rPr>
      <w:bCs w:val="0"/>
      <w:sz w:val="24"/>
    </w:rPr>
  </w:style>
  <w:style w:type="paragraph" w:customStyle="1" w:styleId="cocheckboxpartial">
    <w:name w:val="co_checkbox_partial"/>
    <w:basedOn w:val="Normal"/>
    <w:rsid w:val="00435883"/>
    <w:pPr>
      <w:spacing w:before="100" w:beforeAutospacing="1" w:after="100" w:afterAutospacing="1" w:line="225" w:lineRule="atLeast"/>
    </w:pPr>
    <w:rPr>
      <w:bCs w:val="0"/>
      <w:color w:val="252525"/>
      <w:sz w:val="24"/>
    </w:rPr>
  </w:style>
  <w:style w:type="paragraph" w:customStyle="1" w:styleId="cocheckboxselected">
    <w:name w:val="co_checkbox_selected"/>
    <w:basedOn w:val="Normal"/>
    <w:rsid w:val="00435883"/>
    <w:pPr>
      <w:spacing w:before="100" w:beforeAutospacing="1" w:after="100" w:afterAutospacing="1" w:line="225" w:lineRule="atLeast"/>
    </w:pPr>
    <w:rPr>
      <w:bCs w:val="0"/>
      <w:color w:val="252525"/>
      <w:sz w:val="24"/>
    </w:rPr>
  </w:style>
  <w:style w:type="paragraph" w:customStyle="1" w:styleId="cocheckboxunselected">
    <w:name w:val="co_checkbox_unselected"/>
    <w:basedOn w:val="Normal"/>
    <w:rsid w:val="00435883"/>
    <w:pPr>
      <w:spacing w:before="100" w:beforeAutospacing="1" w:after="100" w:afterAutospacing="1" w:line="225" w:lineRule="atLeast"/>
    </w:pPr>
    <w:rPr>
      <w:bCs w:val="0"/>
      <w:color w:val="252525"/>
      <w:sz w:val="24"/>
    </w:rPr>
  </w:style>
  <w:style w:type="paragraph" w:customStyle="1" w:styleId="cofacetcount">
    <w:name w:val="co_facetcount"/>
    <w:basedOn w:val="Normal"/>
    <w:rsid w:val="00435883"/>
    <w:pPr>
      <w:spacing w:before="100" w:beforeAutospacing="1" w:after="100" w:afterAutospacing="1"/>
    </w:pPr>
    <w:rPr>
      <w:bCs w:val="0"/>
      <w:color w:val="252525"/>
      <w:sz w:val="24"/>
    </w:rPr>
  </w:style>
  <w:style w:type="paragraph" w:customStyle="1" w:styleId="coleftcolumnactivepage">
    <w:name w:val="co_leftcolumn_activepage"/>
    <w:basedOn w:val="Normal"/>
    <w:rsid w:val="00435883"/>
    <w:pPr>
      <w:pBdr>
        <w:left w:val="single" w:sz="6" w:space="4" w:color="D6D6D6"/>
        <w:bottom w:val="single" w:sz="6" w:space="0" w:color="D6D6D6"/>
      </w:pBdr>
      <w:shd w:val="clear" w:color="auto" w:fill="FFFFFF"/>
      <w:spacing w:before="100" w:beforeAutospacing="1"/>
      <w:ind w:left="-75" w:right="-195"/>
    </w:pPr>
    <w:rPr>
      <w:bCs w:val="0"/>
      <w:color w:val="252525"/>
      <w:sz w:val="24"/>
    </w:rPr>
  </w:style>
  <w:style w:type="paragraph" w:customStyle="1" w:styleId="cobaltfolderingrodocumentlink">
    <w:name w:val="cobalt_foldering_ro_documentlink"/>
    <w:basedOn w:val="Normal"/>
    <w:rsid w:val="00435883"/>
    <w:pPr>
      <w:spacing w:before="100" w:beforeAutospacing="1" w:after="100" w:afterAutospacing="1"/>
    </w:pPr>
    <w:rPr>
      <w:b/>
      <w:sz w:val="24"/>
    </w:rPr>
  </w:style>
  <w:style w:type="paragraph" w:customStyle="1" w:styleId="cobaltromatterbencmarktitle">
    <w:name w:val="cobalt_ro_matterbencmarktitle"/>
    <w:basedOn w:val="Normal"/>
    <w:rsid w:val="00435883"/>
    <w:pPr>
      <w:spacing w:before="100" w:beforeAutospacing="1" w:after="100" w:afterAutospacing="1"/>
    </w:pPr>
    <w:rPr>
      <w:b/>
      <w:sz w:val="24"/>
    </w:rPr>
  </w:style>
  <w:style w:type="paragraph" w:customStyle="1" w:styleId="cobaltrorelatedinfocategory">
    <w:name w:val="cobalt_ro_relatedinfocategory"/>
    <w:basedOn w:val="Normal"/>
    <w:rsid w:val="00435883"/>
    <w:pPr>
      <w:spacing w:before="100" w:beforeAutospacing="1" w:after="100" w:afterAutospacing="1"/>
    </w:pPr>
    <w:rPr>
      <w:b/>
      <w:sz w:val="24"/>
    </w:rPr>
  </w:style>
  <w:style w:type="paragraph" w:customStyle="1" w:styleId="cobaltrosearchtitle">
    <w:name w:val="cobalt_ro_searchtitle"/>
    <w:basedOn w:val="Normal"/>
    <w:rsid w:val="00435883"/>
    <w:pPr>
      <w:spacing w:before="100" w:beforeAutospacing="1" w:after="100" w:afterAutospacing="1"/>
    </w:pPr>
    <w:rPr>
      <w:b/>
      <w:sz w:val="24"/>
    </w:rPr>
  </w:style>
  <w:style w:type="paragraph" w:customStyle="1" w:styleId="coresearchorgmyfolderswrapper">
    <w:name w:val="co_researchorg_myfolderswrapper"/>
    <w:basedOn w:val="Normal"/>
    <w:rsid w:val="00435883"/>
    <w:pPr>
      <w:spacing w:before="100" w:beforeAutospacing="1" w:after="100" w:afterAutospacing="1"/>
    </w:pPr>
    <w:rPr>
      <w:bCs w:val="0"/>
      <w:vanish/>
      <w:sz w:val="24"/>
    </w:rPr>
  </w:style>
  <w:style w:type="paragraph" w:customStyle="1" w:styleId="cofolderingrodetailsitemfolder">
    <w:name w:val="co_foldering_ro_details_item_folder"/>
    <w:basedOn w:val="Normal"/>
    <w:rsid w:val="00435883"/>
    <w:pPr>
      <w:spacing w:before="100" w:beforeAutospacing="1" w:after="100" w:afterAutospacing="1"/>
    </w:pPr>
    <w:rPr>
      <w:bCs w:val="0"/>
      <w:sz w:val="24"/>
    </w:rPr>
  </w:style>
  <w:style w:type="paragraph" w:customStyle="1" w:styleId="cofoldertitle">
    <w:name w:val="co_foldertitle"/>
    <w:basedOn w:val="Normal"/>
    <w:rsid w:val="00435883"/>
    <w:pPr>
      <w:spacing w:before="100" w:beforeAutospacing="1" w:after="100" w:afterAutospacing="1"/>
    </w:pPr>
    <w:rPr>
      <w:bCs w:val="0"/>
      <w:sz w:val="24"/>
    </w:rPr>
  </w:style>
  <w:style w:type="paragraph" w:customStyle="1" w:styleId="cofolderdescriptioncontainer">
    <w:name w:val="co_folder_description_container"/>
    <w:basedOn w:val="Normal"/>
    <w:rsid w:val="00435883"/>
    <w:pPr>
      <w:spacing w:before="100" w:beforeAutospacing="1" w:after="100" w:afterAutospacing="1"/>
    </w:pPr>
    <w:rPr>
      <w:bCs w:val="0"/>
      <w:sz w:val="24"/>
    </w:rPr>
  </w:style>
  <w:style w:type="paragraph" w:customStyle="1" w:styleId="coitemdescriptionadd">
    <w:name w:val="co_item_description_add"/>
    <w:basedOn w:val="Normal"/>
    <w:rsid w:val="00435883"/>
    <w:pPr>
      <w:spacing w:before="100" w:beforeAutospacing="1" w:after="100" w:afterAutospacing="1"/>
      <w:ind w:left="120"/>
    </w:pPr>
    <w:rPr>
      <w:bCs w:val="0"/>
      <w:sz w:val="24"/>
    </w:rPr>
  </w:style>
  <w:style w:type="paragraph" w:customStyle="1" w:styleId="coitemdescriptiondesc">
    <w:name w:val="co_item_description_desc"/>
    <w:basedOn w:val="Normal"/>
    <w:rsid w:val="00435883"/>
    <w:pPr>
      <w:spacing w:before="75" w:after="100" w:afterAutospacing="1"/>
    </w:pPr>
    <w:rPr>
      <w:bCs w:val="0"/>
      <w:sz w:val="24"/>
    </w:rPr>
  </w:style>
  <w:style w:type="paragraph" w:customStyle="1" w:styleId="coitemdescriptionedit">
    <w:name w:val="co_item_description_edit"/>
    <w:basedOn w:val="Normal"/>
    <w:rsid w:val="00435883"/>
    <w:pPr>
      <w:pBdr>
        <w:top w:val="single" w:sz="6" w:space="4" w:color="FEDA73"/>
        <w:left w:val="single" w:sz="6" w:space="4" w:color="FEDA73"/>
        <w:bottom w:val="single" w:sz="6" w:space="4" w:color="FEDA73"/>
        <w:right w:val="single" w:sz="6" w:space="31" w:color="FEDA73"/>
      </w:pBdr>
      <w:shd w:val="clear" w:color="auto" w:fill="FCFBDF"/>
      <w:spacing w:before="75" w:after="100" w:afterAutospacing="1"/>
    </w:pPr>
    <w:rPr>
      <w:bCs w:val="0"/>
      <w:sz w:val="24"/>
    </w:rPr>
  </w:style>
  <w:style w:type="paragraph" w:customStyle="1" w:styleId="coitemdescriptiontext">
    <w:name w:val="co_item_description_text"/>
    <w:basedOn w:val="Normal"/>
    <w:rsid w:val="00435883"/>
    <w:pPr>
      <w:spacing w:before="75" w:after="100" w:afterAutospacing="1"/>
    </w:pPr>
    <w:rPr>
      <w:bCs w:val="0"/>
      <w:sz w:val="24"/>
    </w:rPr>
  </w:style>
  <w:style w:type="paragraph" w:customStyle="1" w:styleId="coitemdescriptioneditactions">
    <w:name w:val="co_item_description_editactions"/>
    <w:basedOn w:val="Normal"/>
    <w:rsid w:val="00435883"/>
    <w:pPr>
      <w:spacing w:before="100" w:beforeAutospacing="1" w:after="100" w:afterAutospacing="1"/>
    </w:pPr>
    <w:rPr>
      <w:bCs w:val="0"/>
      <w:sz w:val="24"/>
    </w:rPr>
  </w:style>
  <w:style w:type="paragraph" w:customStyle="1" w:styleId="cofoldersearchresultinfo">
    <w:name w:val="co_foldersearch_resultinfo"/>
    <w:basedOn w:val="Normal"/>
    <w:rsid w:val="00435883"/>
    <w:pPr>
      <w:spacing w:before="100" w:beforeAutospacing="1" w:after="100" w:afterAutospacing="1"/>
    </w:pPr>
    <w:rPr>
      <w:bCs w:val="0"/>
      <w:sz w:val="24"/>
    </w:rPr>
  </w:style>
  <w:style w:type="paragraph" w:customStyle="1" w:styleId="coselectdatecontainer">
    <w:name w:val="co_selectdatecontainer"/>
    <w:basedOn w:val="Normal"/>
    <w:rsid w:val="00435883"/>
    <w:pPr>
      <w:spacing w:before="100" w:beforeAutospacing="1" w:after="100" w:afterAutospacing="1"/>
    </w:pPr>
    <w:rPr>
      <w:bCs w:val="0"/>
      <w:sz w:val="24"/>
    </w:rPr>
  </w:style>
  <w:style w:type="paragraph" w:customStyle="1" w:styleId="coselectdaterangeselectdatewidgetlink">
    <w:name w:val="co_selectdaterange_selectdatewidget_link"/>
    <w:basedOn w:val="Normal"/>
    <w:rsid w:val="00435883"/>
    <w:pPr>
      <w:spacing w:before="180" w:after="100" w:afterAutospacing="1"/>
    </w:pPr>
    <w:rPr>
      <w:bCs w:val="0"/>
      <w:sz w:val="24"/>
    </w:rPr>
  </w:style>
  <w:style w:type="paragraph" w:customStyle="1" w:styleId="cofaceticonannotated">
    <w:name w:val="co_facet_icon_annotated"/>
    <w:basedOn w:val="Normal"/>
    <w:rsid w:val="00435883"/>
    <w:pPr>
      <w:spacing w:before="100" w:beforeAutospacing="1" w:after="100" w:afterAutospacing="1"/>
    </w:pPr>
    <w:rPr>
      <w:bCs w:val="0"/>
      <w:sz w:val="24"/>
    </w:rPr>
  </w:style>
  <w:style w:type="paragraph" w:customStyle="1" w:styleId="corecentresearchitemdocument">
    <w:name w:val="co_recentresearchitemdocument"/>
    <w:basedOn w:val="Normal"/>
    <w:rsid w:val="00435883"/>
    <w:pPr>
      <w:spacing w:before="100" w:beforeAutospacing="1" w:after="100" w:afterAutospacing="1"/>
    </w:pPr>
    <w:rPr>
      <w:bCs w:val="0"/>
      <w:sz w:val="24"/>
    </w:rPr>
  </w:style>
  <w:style w:type="paragraph" w:customStyle="1" w:styleId="corecentresearchitemmatterbenchmark">
    <w:name w:val="co_recentresearchitemmatterbenchmark"/>
    <w:basedOn w:val="Normal"/>
    <w:rsid w:val="00435883"/>
    <w:pPr>
      <w:spacing w:before="100" w:beforeAutospacing="1" w:after="100" w:afterAutospacing="1"/>
    </w:pPr>
    <w:rPr>
      <w:bCs w:val="0"/>
      <w:sz w:val="24"/>
    </w:rPr>
  </w:style>
  <w:style w:type="paragraph" w:customStyle="1" w:styleId="corecentresearchitemsearch">
    <w:name w:val="co_recentresearchitemsearch"/>
    <w:basedOn w:val="Normal"/>
    <w:rsid w:val="00435883"/>
    <w:pPr>
      <w:spacing w:before="100" w:beforeAutospacing="1" w:after="100" w:afterAutospacing="1"/>
    </w:pPr>
    <w:rPr>
      <w:bCs w:val="0"/>
      <w:sz w:val="24"/>
    </w:rPr>
  </w:style>
  <w:style w:type="paragraph" w:customStyle="1" w:styleId="codeliverycontentleft">
    <w:name w:val="co_deliverycontentleft"/>
    <w:basedOn w:val="Normal"/>
    <w:rsid w:val="00435883"/>
    <w:pPr>
      <w:spacing w:before="100" w:beforeAutospacing="1" w:after="100" w:afterAutospacing="1"/>
      <w:ind w:right="300"/>
    </w:pPr>
    <w:rPr>
      <w:bCs w:val="0"/>
      <w:sz w:val="24"/>
    </w:rPr>
  </w:style>
  <w:style w:type="paragraph" w:customStyle="1" w:styleId="codeliverycontentright">
    <w:name w:val="co_deliverycontentright"/>
    <w:basedOn w:val="Normal"/>
    <w:rsid w:val="00435883"/>
    <w:pPr>
      <w:spacing w:before="100" w:beforeAutospacing="1" w:after="100" w:afterAutospacing="1"/>
    </w:pPr>
    <w:rPr>
      <w:bCs w:val="0"/>
      <w:sz w:val="24"/>
    </w:rPr>
  </w:style>
  <w:style w:type="paragraph" w:customStyle="1" w:styleId="codeliverysubhead">
    <w:name w:val="co_delivery_subhead"/>
    <w:basedOn w:val="Normal"/>
    <w:rsid w:val="00435883"/>
    <w:pPr>
      <w:spacing w:after="30"/>
    </w:pPr>
    <w:rPr>
      <w:b/>
      <w:sz w:val="24"/>
    </w:rPr>
  </w:style>
  <w:style w:type="paragraph" w:customStyle="1" w:styleId="codeliverysubheadtop">
    <w:name w:val="co_delivery_subheadtop"/>
    <w:basedOn w:val="Normal"/>
    <w:rsid w:val="00435883"/>
    <w:pPr>
      <w:spacing w:after="30"/>
    </w:pPr>
    <w:rPr>
      <w:b/>
      <w:sz w:val="24"/>
    </w:rPr>
  </w:style>
  <w:style w:type="paragraph" w:customStyle="1" w:styleId="codeliveryfootnote">
    <w:name w:val="co_delivery_footnote"/>
    <w:basedOn w:val="Normal"/>
    <w:rsid w:val="00435883"/>
    <w:pPr>
      <w:spacing w:before="100" w:beforeAutospacing="1" w:after="100" w:afterAutospacing="1"/>
    </w:pPr>
    <w:rPr>
      <w:bCs w:val="0"/>
      <w:i/>
      <w:iCs/>
      <w:color w:val="777777"/>
      <w:sz w:val="19"/>
      <w:szCs w:val="19"/>
    </w:rPr>
  </w:style>
  <w:style w:type="paragraph" w:customStyle="1" w:styleId="codeliverydivider">
    <w:name w:val="co_delivery_divider"/>
    <w:basedOn w:val="Normal"/>
    <w:rsid w:val="00435883"/>
    <w:pPr>
      <w:pBdr>
        <w:top w:val="dotted" w:sz="6" w:space="0" w:color="BBBBBB"/>
      </w:pBdr>
      <w:spacing w:before="100" w:beforeAutospacing="1" w:after="100" w:afterAutospacing="1"/>
    </w:pPr>
    <w:rPr>
      <w:bCs w:val="0"/>
      <w:sz w:val="24"/>
    </w:rPr>
  </w:style>
  <w:style w:type="paragraph" w:customStyle="1" w:styleId="codeliveryprintloading">
    <w:name w:val="co_deliveryprintloading"/>
    <w:basedOn w:val="Normal"/>
    <w:rsid w:val="00435883"/>
    <w:pPr>
      <w:spacing w:before="100" w:beforeAutospacing="1" w:after="100" w:afterAutospacing="1"/>
    </w:pPr>
    <w:rPr>
      <w:bCs w:val="0"/>
      <w:sz w:val="29"/>
      <w:szCs w:val="29"/>
    </w:rPr>
  </w:style>
  <w:style w:type="paragraph" w:customStyle="1" w:styleId="codeliverypreviewiframe">
    <w:name w:val="co_deliverypreview_iframe"/>
    <w:basedOn w:val="Normal"/>
    <w:rsid w:val="00435883"/>
    <w:pPr>
      <w:spacing w:before="100" w:beforeAutospacing="1" w:after="100" w:afterAutospacing="1"/>
    </w:pPr>
    <w:rPr>
      <w:bCs w:val="0"/>
      <w:sz w:val="24"/>
    </w:rPr>
  </w:style>
  <w:style w:type="paragraph" w:customStyle="1" w:styleId="codeliverypreviewobject">
    <w:name w:val="co_deliverypreview_object"/>
    <w:basedOn w:val="Normal"/>
    <w:rsid w:val="00435883"/>
    <w:pPr>
      <w:spacing w:before="100" w:beforeAutospacing="1" w:after="100" w:afterAutospacing="1"/>
    </w:pPr>
    <w:rPr>
      <w:bCs w:val="0"/>
      <w:sz w:val="24"/>
    </w:rPr>
  </w:style>
  <w:style w:type="paragraph" w:customStyle="1" w:styleId="codeliverywaitmessageitemtitle">
    <w:name w:val="co_deliverywaitmessageitemtitle"/>
    <w:basedOn w:val="Normal"/>
    <w:rsid w:val="00435883"/>
    <w:pPr>
      <w:spacing w:before="90" w:after="90"/>
      <w:jc w:val="center"/>
    </w:pPr>
    <w:rPr>
      <w:bCs w:val="0"/>
      <w:sz w:val="21"/>
      <w:szCs w:val="21"/>
    </w:rPr>
  </w:style>
  <w:style w:type="paragraph" w:customStyle="1" w:styleId="cosearchwaitmessagecontent">
    <w:name w:val="co_searchwaitmessagecontent"/>
    <w:basedOn w:val="Normal"/>
    <w:rsid w:val="00435883"/>
    <w:pPr>
      <w:spacing w:before="90" w:after="90"/>
      <w:jc w:val="center"/>
    </w:pPr>
    <w:rPr>
      <w:bCs w:val="0"/>
      <w:sz w:val="21"/>
      <w:szCs w:val="21"/>
    </w:rPr>
  </w:style>
  <w:style w:type="paragraph" w:customStyle="1" w:styleId="codeliverywaitprogressimg">
    <w:name w:val="co_deliverywaitprogressimg"/>
    <w:basedOn w:val="Normal"/>
    <w:rsid w:val="00435883"/>
    <w:pPr>
      <w:spacing w:before="90" w:after="90"/>
      <w:jc w:val="center"/>
    </w:pPr>
    <w:rPr>
      <w:bCs w:val="0"/>
      <w:sz w:val="24"/>
    </w:rPr>
  </w:style>
  <w:style w:type="paragraph" w:customStyle="1" w:styleId="cosearchwaitprogressimg">
    <w:name w:val="co_searchwaitprogressimg"/>
    <w:basedOn w:val="Normal"/>
    <w:rsid w:val="00435883"/>
    <w:pPr>
      <w:spacing w:before="90" w:after="90"/>
      <w:jc w:val="center"/>
    </w:pPr>
    <w:rPr>
      <w:bCs w:val="0"/>
      <w:sz w:val="24"/>
    </w:rPr>
  </w:style>
  <w:style w:type="paragraph" w:customStyle="1" w:styleId="cowaitprogressimg">
    <w:name w:val="co_waitprogressimg"/>
    <w:basedOn w:val="Normal"/>
    <w:rsid w:val="00435883"/>
    <w:pPr>
      <w:spacing w:before="90" w:after="90"/>
      <w:jc w:val="center"/>
    </w:pPr>
    <w:rPr>
      <w:bCs w:val="0"/>
      <w:sz w:val="24"/>
    </w:rPr>
  </w:style>
  <w:style w:type="paragraph" w:customStyle="1" w:styleId="codeliveryfilecontainer">
    <w:name w:val="co_deliveryfilecontainer"/>
    <w:basedOn w:val="Normal"/>
    <w:rsid w:val="00435883"/>
    <w:pPr>
      <w:spacing w:after="240"/>
      <w:ind w:right="225"/>
    </w:pPr>
    <w:rPr>
      <w:bCs w:val="0"/>
      <w:sz w:val="24"/>
    </w:rPr>
  </w:style>
  <w:style w:type="paragraph" w:customStyle="1" w:styleId="codeliveryformat">
    <w:name w:val="co_deliveryformat"/>
    <w:basedOn w:val="Normal"/>
    <w:rsid w:val="00435883"/>
    <w:pPr>
      <w:spacing w:after="240"/>
      <w:ind w:right="225"/>
    </w:pPr>
    <w:rPr>
      <w:bCs w:val="0"/>
      <w:sz w:val="24"/>
    </w:rPr>
  </w:style>
  <w:style w:type="paragraph" w:customStyle="1" w:styleId="codeliverynumber">
    <w:name w:val="co_deliverynumber"/>
    <w:basedOn w:val="Normal"/>
    <w:rsid w:val="00435883"/>
    <w:pPr>
      <w:spacing w:after="240"/>
      <w:ind w:right="225"/>
    </w:pPr>
    <w:rPr>
      <w:bCs w:val="0"/>
      <w:sz w:val="24"/>
    </w:rPr>
  </w:style>
  <w:style w:type="paragraph" w:customStyle="1" w:styleId="comenuseperation">
    <w:name w:val="co_menuseperation"/>
    <w:basedOn w:val="Normal"/>
    <w:rsid w:val="00435883"/>
    <w:pPr>
      <w:pBdr>
        <w:left w:val="dotted" w:sz="6" w:space="8" w:color="CCCCCC"/>
      </w:pBdr>
      <w:spacing w:before="100" w:beforeAutospacing="1" w:after="100" w:afterAutospacing="1"/>
      <w:ind w:left="150"/>
    </w:pPr>
    <w:rPr>
      <w:bCs w:val="0"/>
      <w:sz w:val="24"/>
    </w:rPr>
  </w:style>
  <w:style w:type="paragraph" w:customStyle="1" w:styleId="cotoolbarseparator">
    <w:name w:val="co_toolbarseparator"/>
    <w:basedOn w:val="Normal"/>
    <w:rsid w:val="00435883"/>
    <w:pPr>
      <w:pBdr>
        <w:left w:val="dotted" w:sz="6" w:space="0" w:color="CCCCCC"/>
      </w:pBdr>
      <w:spacing w:before="100" w:beforeAutospacing="1" w:after="100" w:afterAutospacing="1"/>
      <w:ind w:left="150"/>
    </w:pPr>
    <w:rPr>
      <w:bCs w:val="0"/>
      <w:sz w:val="24"/>
    </w:rPr>
  </w:style>
  <w:style w:type="paragraph" w:customStyle="1" w:styleId="codockrename">
    <w:name w:val="co_dockrename"/>
    <w:basedOn w:val="Normal"/>
    <w:rsid w:val="00435883"/>
    <w:pPr>
      <w:spacing w:before="100" w:beforeAutospacing="1" w:after="100" w:afterAutospacing="1"/>
      <w:ind w:hanging="3928"/>
    </w:pPr>
    <w:rPr>
      <w:bCs w:val="0"/>
      <w:sz w:val="24"/>
    </w:rPr>
  </w:style>
  <w:style w:type="paragraph" w:customStyle="1" w:styleId="codockfolderview">
    <w:name w:val="co_dock_folderview"/>
    <w:basedOn w:val="Normal"/>
    <w:rsid w:val="00435883"/>
    <w:pPr>
      <w:spacing w:before="100" w:beforeAutospacing="1" w:after="100" w:afterAutospacing="1"/>
      <w:ind w:hanging="3928"/>
    </w:pPr>
    <w:rPr>
      <w:bCs w:val="0"/>
      <w:sz w:val="24"/>
    </w:rPr>
  </w:style>
  <w:style w:type="paragraph" w:customStyle="1" w:styleId="codocktrash">
    <w:name w:val="co_dock_trash"/>
    <w:basedOn w:val="Normal"/>
    <w:rsid w:val="00435883"/>
    <w:pPr>
      <w:spacing w:before="100" w:beforeAutospacing="1" w:after="100" w:afterAutospacing="1"/>
      <w:ind w:hanging="3928"/>
    </w:pPr>
    <w:rPr>
      <w:bCs w:val="0"/>
      <w:sz w:val="24"/>
    </w:rPr>
  </w:style>
  <w:style w:type="paragraph" w:customStyle="1" w:styleId="coemptytrash">
    <w:name w:val="co_emptytrash"/>
    <w:basedOn w:val="Normal"/>
    <w:rsid w:val="00435883"/>
    <w:pPr>
      <w:spacing w:before="100" w:beforeAutospacing="1" w:after="100" w:afterAutospacing="1"/>
      <w:ind w:hanging="3928"/>
    </w:pPr>
    <w:rPr>
      <w:bCs w:val="0"/>
      <w:sz w:val="24"/>
    </w:rPr>
  </w:style>
  <w:style w:type="paragraph" w:customStyle="1" w:styleId="cokeycitealertlink">
    <w:name w:val="co_keycitealert_link"/>
    <w:basedOn w:val="Normal"/>
    <w:rsid w:val="00435883"/>
    <w:pPr>
      <w:spacing w:before="100" w:beforeAutospacing="1" w:after="100" w:afterAutospacing="1"/>
      <w:ind w:hanging="3928"/>
    </w:pPr>
    <w:rPr>
      <w:bCs w:val="0"/>
      <w:sz w:val="24"/>
    </w:rPr>
  </w:style>
  <w:style w:type="paragraph" w:customStyle="1" w:styleId="copeoplemapalertlink">
    <w:name w:val="co_peoplemapalert_link"/>
    <w:basedOn w:val="Normal"/>
    <w:rsid w:val="00435883"/>
    <w:pPr>
      <w:spacing w:before="100" w:beforeAutospacing="1" w:after="100" w:afterAutospacing="1"/>
      <w:ind w:hanging="3928"/>
    </w:pPr>
    <w:rPr>
      <w:bCs w:val="0"/>
      <w:sz w:val="24"/>
    </w:rPr>
  </w:style>
  <w:style w:type="paragraph" w:customStyle="1" w:styleId="copobwatchlink">
    <w:name w:val="co_pobwatch_link"/>
    <w:basedOn w:val="Normal"/>
    <w:rsid w:val="00435883"/>
    <w:pPr>
      <w:spacing w:before="100" w:beforeAutospacing="1" w:after="100" w:afterAutospacing="1"/>
      <w:ind w:hanging="3928"/>
    </w:pPr>
    <w:rPr>
      <w:bCs w:val="0"/>
      <w:sz w:val="24"/>
    </w:rPr>
  </w:style>
  <w:style w:type="paragraph" w:customStyle="1" w:styleId="cosharedicon">
    <w:name w:val="co_shared_icon"/>
    <w:basedOn w:val="Normal"/>
    <w:rsid w:val="00435883"/>
    <w:pPr>
      <w:spacing w:before="100" w:beforeAutospacing="1" w:after="100" w:afterAutospacing="1"/>
      <w:ind w:hanging="3928"/>
    </w:pPr>
    <w:rPr>
      <w:bCs w:val="0"/>
      <w:sz w:val="24"/>
    </w:rPr>
  </w:style>
  <w:style w:type="paragraph" w:customStyle="1" w:styleId="couploadfileicon">
    <w:name w:val="co_uploadfile_icon"/>
    <w:basedOn w:val="Normal"/>
    <w:rsid w:val="00435883"/>
    <w:pPr>
      <w:spacing w:before="100" w:beforeAutospacing="1" w:after="100" w:afterAutospacing="1"/>
      <w:ind w:hanging="3928"/>
    </w:pPr>
    <w:rPr>
      <w:bCs w:val="0"/>
      <w:sz w:val="24"/>
    </w:rPr>
  </w:style>
  <w:style w:type="paragraph" w:customStyle="1" w:styleId="cowebsitedisplayoptions">
    <w:name w:val="co_website_displayoptions"/>
    <w:basedOn w:val="Normal"/>
    <w:rsid w:val="00435883"/>
    <w:pPr>
      <w:spacing w:before="100" w:beforeAutospacing="1" w:after="100" w:afterAutospacing="1"/>
      <w:ind w:hanging="3928"/>
    </w:pPr>
    <w:rPr>
      <w:bCs w:val="0"/>
      <w:sz w:val="24"/>
    </w:rPr>
  </w:style>
  <w:style w:type="paragraph" w:customStyle="1" w:styleId="cowebsitereadingmodetoggle">
    <w:name w:val="co_website_readingmodetoggle"/>
    <w:basedOn w:val="Normal"/>
    <w:rsid w:val="00435883"/>
    <w:pPr>
      <w:spacing w:before="100" w:beforeAutospacing="1" w:after="100" w:afterAutospacing="1"/>
      <w:ind w:left="150" w:hanging="3928"/>
    </w:pPr>
    <w:rPr>
      <w:bCs w:val="0"/>
      <w:sz w:val="24"/>
    </w:rPr>
  </w:style>
  <w:style w:type="paragraph" w:customStyle="1" w:styleId="deliverysendtolabel">
    <w:name w:val="deliverysendtolabel"/>
    <w:basedOn w:val="Normal"/>
    <w:rsid w:val="00435883"/>
    <w:pPr>
      <w:spacing w:before="100" w:beforeAutospacing="1" w:after="100" w:afterAutospacing="1"/>
      <w:ind w:hanging="3928"/>
    </w:pPr>
    <w:rPr>
      <w:bCs w:val="0"/>
      <w:sz w:val="24"/>
    </w:rPr>
  </w:style>
  <w:style w:type="paragraph" w:customStyle="1" w:styleId="coredliningicon">
    <w:name w:val="co_redlining_icon"/>
    <w:basedOn w:val="Normal"/>
    <w:rsid w:val="00435883"/>
    <w:pPr>
      <w:spacing w:before="100" w:beforeAutospacing="1" w:after="100" w:afterAutospacing="1"/>
    </w:pPr>
    <w:rPr>
      <w:bCs w:val="0"/>
      <w:sz w:val="24"/>
    </w:rPr>
  </w:style>
  <w:style w:type="paragraph" w:customStyle="1" w:styleId="mmfsubstantialupdate">
    <w:name w:val="mmfsubstantialupdate"/>
    <w:basedOn w:val="Normal"/>
    <w:rsid w:val="00435883"/>
    <w:pPr>
      <w:spacing w:before="100" w:beforeAutospacing="1" w:after="100" w:afterAutospacing="1"/>
    </w:pPr>
    <w:rPr>
      <w:bCs w:val="0"/>
      <w:sz w:val="24"/>
    </w:rPr>
  </w:style>
  <w:style w:type="paragraph" w:customStyle="1" w:styleId="cokeycitelightboxlist">
    <w:name w:val="co_keycitelightboxlist"/>
    <w:basedOn w:val="Normal"/>
    <w:rsid w:val="00435883"/>
    <w:pPr>
      <w:spacing w:before="100" w:beforeAutospacing="1" w:after="100" w:afterAutospacing="1"/>
      <w:ind w:left="300"/>
    </w:pPr>
    <w:rPr>
      <w:bCs w:val="0"/>
      <w:sz w:val="24"/>
    </w:rPr>
  </w:style>
  <w:style w:type="paragraph" w:customStyle="1" w:styleId="cointriallabel">
    <w:name w:val="co_intriallabel"/>
    <w:basedOn w:val="Normal"/>
    <w:rsid w:val="00435883"/>
    <w:pPr>
      <w:spacing w:after="100" w:afterAutospacing="1"/>
      <w:ind w:hanging="3928"/>
    </w:pPr>
    <w:rPr>
      <w:bCs w:val="0"/>
      <w:sz w:val="24"/>
    </w:rPr>
  </w:style>
  <w:style w:type="paragraph" w:customStyle="1" w:styleId="cooutofplanlabel">
    <w:name w:val="co_outofplanlabel"/>
    <w:basedOn w:val="Normal"/>
    <w:rsid w:val="00435883"/>
    <w:pPr>
      <w:spacing w:after="100" w:afterAutospacing="1"/>
      <w:ind w:hanging="3928"/>
    </w:pPr>
    <w:rPr>
      <w:bCs w:val="0"/>
      <w:sz w:val="24"/>
    </w:rPr>
  </w:style>
  <w:style w:type="paragraph" w:customStyle="1" w:styleId="cotrialofferlabel">
    <w:name w:val="co_trialofferlabel"/>
    <w:basedOn w:val="Normal"/>
    <w:rsid w:val="00435883"/>
    <w:pPr>
      <w:spacing w:after="100" w:afterAutospacing="1"/>
      <w:ind w:hanging="3928"/>
    </w:pPr>
    <w:rPr>
      <w:bCs w:val="0"/>
      <w:sz w:val="24"/>
    </w:rPr>
  </w:style>
  <w:style w:type="paragraph" w:customStyle="1" w:styleId="colightboxfindnextdocumentinplancontent">
    <w:name w:val="co_lightboxfindnextdocumentinplancontent"/>
    <w:basedOn w:val="Normal"/>
    <w:rsid w:val="00435883"/>
    <w:pPr>
      <w:pBdr>
        <w:top w:val="single" w:sz="48" w:space="0" w:color="FFFFFF"/>
        <w:left w:val="single" w:sz="48" w:space="0" w:color="FFFFFF"/>
        <w:bottom w:val="single" w:sz="48" w:space="0" w:color="FFFFFF"/>
        <w:right w:val="single" w:sz="48" w:space="0" w:color="FFFFFF"/>
      </w:pBdr>
      <w:spacing w:before="100" w:beforeAutospacing="1" w:after="100" w:afterAutospacing="1"/>
      <w:jc w:val="center"/>
      <w:textAlignment w:val="center"/>
    </w:pPr>
    <w:rPr>
      <w:bCs w:val="0"/>
      <w:sz w:val="48"/>
      <w:szCs w:val="48"/>
    </w:rPr>
  </w:style>
  <w:style w:type="paragraph" w:customStyle="1" w:styleId="copricingcost">
    <w:name w:val="co_pricingcost"/>
    <w:basedOn w:val="Normal"/>
    <w:rsid w:val="00435883"/>
    <w:pPr>
      <w:shd w:val="clear" w:color="auto" w:fill="CBE5FE"/>
      <w:spacing w:before="100" w:beforeAutospacing="1" w:after="100" w:afterAutospacing="1"/>
    </w:pPr>
    <w:rPr>
      <w:bCs w:val="0"/>
      <w:sz w:val="24"/>
    </w:rPr>
  </w:style>
  <w:style w:type="paragraph" w:customStyle="1" w:styleId="cohourlybillingsuspendedmessage">
    <w:name w:val="co_hourlybillingsuspendedmessage"/>
    <w:basedOn w:val="Normal"/>
    <w:rsid w:val="00435883"/>
    <w:pPr>
      <w:shd w:val="clear" w:color="auto" w:fill="DEE9FF"/>
      <w:spacing w:before="150" w:after="150"/>
      <w:ind w:left="150" w:right="150"/>
    </w:pPr>
    <w:rPr>
      <w:b/>
      <w:sz w:val="21"/>
      <w:szCs w:val="21"/>
    </w:rPr>
  </w:style>
  <w:style w:type="paragraph" w:customStyle="1" w:styleId="conavselectlabel">
    <w:name w:val="co_navselect&gt;label"/>
    <w:basedOn w:val="Normal"/>
    <w:rsid w:val="00435883"/>
    <w:pPr>
      <w:spacing w:before="100" w:beforeAutospacing="1" w:after="100" w:afterAutospacing="1"/>
    </w:pPr>
    <w:rPr>
      <w:bCs w:val="0"/>
      <w:sz w:val="24"/>
    </w:rPr>
  </w:style>
  <w:style w:type="paragraph" w:customStyle="1" w:styleId="conavselectspan">
    <w:name w:val="co_navselect&gt;span"/>
    <w:basedOn w:val="Normal"/>
    <w:rsid w:val="00435883"/>
    <w:pPr>
      <w:spacing w:before="100" w:beforeAutospacing="1" w:after="100" w:afterAutospacing="1"/>
    </w:pPr>
    <w:rPr>
      <w:bCs w:val="0"/>
      <w:sz w:val="24"/>
    </w:rPr>
  </w:style>
  <w:style w:type="paragraph" w:customStyle="1" w:styleId="cosearchtoolbar">
    <w:name w:val="co_searchtoolbar"/>
    <w:basedOn w:val="Normal"/>
    <w:rsid w:val="00435883"/>
    <w:pPr>
      <w:pBdr>
        <w:bottom w:val="single" w:sz="18" w:space="0" w:color="E4E7E8"/>
      </w:pBdr>
      <w:spacing w:before="100" w:beforeAutospacing="1" w:after="100" w:afterAutospacing="1"/>
    </w:pPr>
    <w:rPr>
      <w:bCs w:val="0"/>
      <w:sz w:val="24"/>
    </w:rPr>
  </w:style>
  <w:style w:type="paragraph" w:customStyle="1" w:styleId="conavoptions">
    <w:name w:val="co_navoptions"/>
    <w:basedOn w:val="Normal"/>
    <w:rsid w:val="00435883"/>
    <w:pPr>
      <w:spacing w:before="75" w:after="75"/>
    </w:pPr>
    <w:rPr>
      <w:bCs w:val="0"/>
      <w:sz w:val="24"/>
    </w:rPr>
  </w:style>
  <w:style w:type="paragraph" w:customStyle="1" w:styleId="conavsort">
    <w:name w:val="co_navsort"/>
    <w:basedOn w:val="Normal"/>
    <w:rsid w:val="00435883"/>
    <w:pPr>
      <w:spacing w:before="100" w:beforeAutospacing="1" w:after="100" w:afterAutospacing="1"/>
      <w:jc w:val="center"/>
    </w:pPr>
    <w:rPr>
      <w:bCs w:val="0"/>
      <w:sz w:val="24"/>
    </w:rPr>
  </w:style>
  <w:style w:type="paragraph" w:customStyle="1" w:styleId="conavfooter">
    <w:name w:val="co_navfooter"/>
    <w:basedOn w:val="Normal"/>
    <w:rsid w:val="00435883"/>
    <w:pPr>
      <w:pBdr>
        <w:top w:val="single" w:sz="6" w:space="0" w:color="E4E7E8"/>
        <w:left w:val="single" w:sz="6" w:space="0" w:color="E4E7E8"/>
        <w:bottom w:val="single" w:sz="6" w:space="0" w:color="E4E7E8"/>
        <w:right w:val="single" w:sz="6" w:space="0" w:color="E4E7E8"/>
      </w:pBdr>
      <w:spacing w:before="100" w:beforeAutospacing="1" w:after="120" w:line="450" w:lineRule="atLeast"/>
    </w:pPr>
    <w:rPr>
      <w:bCs w:val="0"/>
      <w:sz w:val="17"/>
      <w:szCs w:val="17"/>
    </w:rPr>
  </w:style>
  <w:style w:type="paragraph" w:customStyle="1" w:styleId="conavfooterdiv">
    <w:name w:val="co_navfooter&gt;div"/>
    <w:basedOn w:val="Normal"/>
    <w:rsid w:val="00435883"/>
    <w:pPr>
      <w:spacing w:before="100" w:beforeAutospacing="1" w:after="100" w:afterAutospacing="1"/>
    </w:pPr>
    <w:rPr>
      <w:bCs w:val="0"/>
      <w:sz w:val="24"/>
    </w:rPr>
  </w:style>
  <w:style w:type="paragraph" w:customStyle="1" w:styleId="coexpandboxheader">
    <w:name w:val="co_expandbox_header"/>
    <w:basedOn w:val="Normal"/>
    <w:rsid w:val="00435883"/>
    <w:pPr>
      <w:pBdr>
        <w:top w:val="single" w:sz="6" w:space="0" w:color="CCCCCC"/>
        <w:left w:val="single" w:sz="6" w:space="0" w:color="CCCCCC"/>
        <w:bottom w:val="single" w:sz="2" w:space="0" w:color="CCCCCC"/>
        <w:right w:val="single" w:sz="6" w:space="0" w:color="CCCCCC"/>
      </w:pBdr>
      <w:shd w:val="clear" w:color="auto" w:fill="CCCCCC"/>
      <w:spacing w:before="100" w:beforeAutospacing="1" w:after="100" w:afterAutospacing="1" w:line="555" w:lineRule="atLeast"/>
    </w:pPr>
    <w:rPr>
      <w:bCs w:val="0"/>
      <w:sz w:val="27"/>
      <w:szCs w:val="27"/>
    </w:rPr>
  </w:style>
  <w:style w:type="paragraph" w:customStyle="1" w:styleId="coexpandboxcontentcontainer">
    <w:name w:val="co_expandbox_contentcontainer"/>
    <w:basedOn w:val="Normal"/>
    <w:rsid w:val="00435883"/>
    <w:pPr>
      <w:pBdr>
        <w:top w:val="single" w:sz="2" w:space="0" w:color="CCCCCC"/>
        <w:left w:val="single" w:sz="6" w:space="12" w:color="CCCCCC"/>
        <w:bottom w:val="single" w:sz="6" w:space="0" w:color="CCCCCC"/>
        <w:right w:val="single" w:sz="6" w:space="12" w:color="CCCCCC"/>
      </w:pBdr>
      <w:spacing w:before="100" w:beforeAutospacing="1" w:after="100" w:afterAutospacing="1"/>
    </w:pPr>
    <w:rPr>
      <w:bCs w:val="0"/>
      <w:sz w:val="24"/>
    </w:rPr>
  </w:style>
  <w:style w:type="paragraph" w:customStyle="1" w:styleId="coinlinelistli">
    <w:name w:val="co_inlinelist&gt;li"/>
    <w:basedOn w:val="Normal"/>
    <w:rsid w:val="00435883"/>
    <w:pPr>
      <w:spacing w:before="100" w:beforeAutospacing="1" w:after="100" w:afterAutospacing="1"/>
    </w:pPr>
    <w:rPr>
      <w:bCs w:val="0"/>
      <w:sz w:val="24"/>
    </w:rPr>
  </w:style>
  <w:style w:type="paragraph" w:customStyle="1" w:styleId="cojurisdictionheader">
    <w:name w:val="co_jurisdictionheader"/>
    <w:basedOn w:val="Normal"/>
    <w:rsid w:val="00435883"/>
    <w:pPr>
      <w:ind w:left="150" w:right="75"/>
    </w:pPr>
    <w:rPr>
      <w:bCs w:val="0"/>
      <w:sz w:val="42"/>
      <w:szCs w:val="42"/>
    </w:rPr>
  </w:style>
  <w:style w:type="paragraph" w:customStyle="1" w:styleId="cosmalltext">
    <w:name w:val="co_smalltext"/>
    <w:basedOn w:val="Normal"/>
    <w:rsid w:val="00435883"/>
    <w:pPr>
      <w:spacing w:before="100" w:beforeAutospacing="1" w:after="100" w:afterAutospacing="1"/>
    </w:pPr>
    <w:rPr>
      <w:bCs w:val="0"/>
      <w:color w:val="252525"/>
      <w:sz w:val="24"/>
    </w:rPr>
  </w:style>
  <w:style w:type="paragraph" w:customStyle="1" w:styleId="cocontactsaddnew">
    <w:name w:val="co_contacts_addnew"/>
    <w:basedOn w:val="Normal"/>
    <w:rsid w:val="00435883"/>
    <w:pPr>
      <w:pBdr>
        <w:top w:val="single" w:sz="6" w:space="0" w:color="D6D6D6"/>
        <w:left w:val="single" w:sz="6" w:space="19" w:color="D6D6D6"/>
        <w:bottom w:val="single" w:sz="6" w:space="0" w:color="D6D6D6"/>
        <w:right w:val="single" w:sz="6" w:space="8" w:color="D6D6D6"/>
      </w:pBdr>
      <w:shd w:val="clear" w:color="auto" w:fill="F7F7F7"/>
      <w:spacing w:before="120" w:after="120" w:line="375" w:lineRule="atLeast"/>
      <w:ind w:right="150"/>
    </w:pPr>
    <w:rPr>
      <w:bCs w:val="0"/>
      <w:sz w:val="24"/>
    </w:rPr>
  </w:style>
  <w:style w:type="paragraph" w:customStyle="1" w:styleId="cocontactsgroupsreturn">
    <w:name w:val="co_contacts_groupsreturn"/>
    <w:basedOn w:val="Normal"/>
    <w:rsid w:val="00435883"/>
    <w:pPr>
      <w:pBdr>
        <w:right w:val="single" w:sz="6" w:space="8" w:color="D6D6D6"/>
      </w:pBdr>
      <w:spacing w:before="60" w:after="105"/>
      <w:ind w:right="150"/>
    </w:pPr>
    <w:rPr>
      <w:bCs w:val="0"/>
      <w:sz w:val="24"/>
    </w:rPr>
  </w:style>
  <w:style w:type="paragraph" w:customStyle="1" w:styleId="cocontactsselect">
    <w:name w:val="co_contacts_select"/>
    <w:basedOn w:val="Normal"/>
    <w:rsid w:val="00435883"/>
    <w:pPr>
      <w:pBdr>
        <w:right w:val="single" w:sz="6" w:space="8" w:color="D6D6D6"/>
      </w:pBdr>
      <w:spacing w:before="60" w:after="105"/>
      <w:ind w:right="150"/>
    </w:pPr>
    <w:rPr>
      <w:bCs w:val="0"/>
      <w:sz w:val="24"/>
    </w:rPr>
  </w:style>
  <w:style w:type="paragraph" w:customStyle="1" w:styleId="codropdownboxaddfiles">
    <w:name w:val="co_dropdownbox_addfiles"/>
    <w:basedOn w:val="Normal"/>
    <w:rsid w:val="00435883"/>
    <w:pPr>
      <w:pBdr>
        <w:top w:val="single" w:sz="6" w:space="0" w:color="D6D6D6"/>
        <w:left w:val="single" w:sz="6" w:space="19" w:color="D6D6D6"/>
        <w:bottom w:val="single" w:sz="6" w:space="0" w:color="D6D6D6"/>
        <w:right w:val="single" w:sz="6" w:space="8" w:color="D6D6D6"/>
      </w:pBdr>
      <w:shd w:val="clear" w:color="auto" w:fill="F7F7F7"/>
      <w:spacing w:before="240" w:after="120" w:line="375" w:lineRule="atLeast"/>
      <w:ind w:left="120" w:right="150"/>
    </w:pPr>
    <w:rPr>
      <w:b/>
      <w:color w:val="145DA4"/>
      <w:sz w:val="24"/>
    </w:rPr>
  </w:style>
  <w:style w:type="paragraph" w:customStyle="1" w:styleId="cowidgetsearchbox">
    <w:name w:val="co_widgetsearchbox"/>
    <w:basedOn w:val="Normal"/>
    <w:rsid w:val="00435883"/>
    <w:pPr>
      <w:spacing w:before="75" w:after="75"/>
    </w:pPr>
    <w:rPr>
      <w:bCs w:val="0"/>
      <w:sz w:val="24"/>
    </w:rPr>
  </w:style>
  <w:style w:type="paragraph" w:customStyle="1" w:styleId="cowidgetsearchboxinput">
    <w:name w:val="co_widgetsearchboxinput"/>
    <w:basedOn w:val="Normal"/>
    <w:rsid w:val="00435883"/>
    <w:pPr>
      <w:pBdr>
        <w:top w:val="single" w:sz="6" w:space="2" w:color="777777"/>
        <w:left w:val="single" w:sz="2" w:space="0" w:color="BBBBBB"/>
        <w:bottom w:val="single" w:sz="6" w:space="2" w:color="BBBBBB"/>
        <w:right w:val="single" w:sz="6" w:space="0" w:color="BBBBBB"/>
      </w:pBdr>
      <w:shd w:val="clear" w:color="auto" w:fill="FFFFFF"/>
    </w:pPr>
    <w:rPr>
      <w:bCs w:val="0"/>
      <w:color w:val="252525"/>
      <w:sz w:val="24"/>
    </w:rPr>
  </w:style>
  <w:style w:type="paragraph" w:customStyle="1" w:styleId="cocontactsdata">
    <w:name w:val="co_contacts_data"/>
    <w:basedOn w:val="Normal"/>
    <w:rsid w:val="00435883"/>
    <w:pPr>
      <w:shd w:val="clear" w:color="auto" w:fill="FFFFFF"/>
      <w:spacing w:before="100" w:beforeAutospacing="1" w:after="100" w:afterAutospacing="1"/>
    </w:pPr>
    <w:rPr>
      <w:bCs w:val="0"/>
      <w:sz w:val="24"/>
    </w:rPr>
  </w:style>
  <w:style w:type="paragraph" w:customStyle="1" w:styleId="cocontactscreatefirst">
    <w:name w:val="co_contacts_createfirst"/>
    <w:basedOn w:val="Normal"/>
    <w:rsid w:val="00435883"/>
    <w:pPr>
      <w:spacing w:before="100" w:beforeAutospacing="1" w:after="100" w:afterAutospacing="1"/>
      <w:jc w:val="center"/>
    </w:pPr>
    <w:rPr>
      <w:bCs w:val="0"/>
      <w:sz w:val="24"/>
    </w:rPr>
  </w:style>
  <w:style w:type="paragraph" w:customStyle="1" w:styleId="cocontactsnoresults">
    <w:name w:val="co_contacts_noresults"/>
    <w:basedOn w:val="Normal"/>
    <w:rsid w:val="00435883"/>
    <w:pPr>
      <w:spacing w:before="100" w:beforeAutospacing="1" w:after="100" w:afterAutospacing="1"/>
      <w:jc w:val="center"/>
    </w:pPr>
    <w:rPr>
      <w:bCs w:val="0"/>
      <w:sz w:val="24"/>
    </w:rPr>
  </w:style>
  <w:style w:type="paragraph" w:customStyle="1" w:styleId="cocontactsassoc">
    <w:name w:val="co_contacts_assoc"/>
    <w:basedOn w:val="Normal"/>
    <w:rsid w:val="00435883"/>
    <w:pPr>
      <w:pBdr>
        <w:left w:val="single" w:sz="6" w:space="14" w:color="D6D6D6"/>
      </w:pBdr>
      <w:spacing w:before="30" w:after="30" w:line="225" w:lineRule="atLeast"/>
      <w:ind w:left="30" w:right="30" w:hanging="3928"/>
    </w:pPr>
    <w:rPr>
      <w:bCs w:val="0"/>
      <w:vanish/>
      <w:sz w:val="24"/>
    </w:rPr>
  </w:style>
  <w:style w:type="paragraph" w:customStyle="1" w:styleId="cocontactsdelete">
    <w:name w:val="co_contacts_delete"/>
    <w:basedOn w:val="Normal"/>
    <w:rsid w:val="00435883"/>
    <w:pPr>
      <w:pBdr>
        <w:left w:val="single" w:sz="6" w:space="14" w:color="D6D6D6"/>
      </w:pBdr>
      <w:spacing w:before="30" w:after="30" w:line="225" w:lineRule="atLeast"/>
      <w:ind w:left="30" w:right="30" w:hanging="3928"/>
    </w:pPr>
    <w:rPr>
      <w:bCs w:val="0"/>
      <w:vanish/>
      <w:sz w:val="24"/>
    </w:rPr>
  </w:style>
  <w:style w:type="paragraph" w:customStyle="1" w:styleId="cocontactsedit">
    <w:name w:val="co_contacts_edit"/>
    <w:basedOn w:val="Normal"/>
    <w:rsid w:val="00435883"/>
    <w:pPr>
      <w:pBdr>
        <w:left w:val="single" w:sz="6" w:space="14" w:color="D6D6D6"/>
      </w:pBdr>
      <w:spacing w:before="30" w:after="30" w:line="225" w:lineRule="atLeast"/>
      <w:ind w:left="30" w:right="30" w:hanging="3928"/>
    </w:pPr>
    <w:rPr>
      <w:bCs w:val="0"/>
      <w:vanish/>
      <w:sz w:val="24"/>
    </w:rPr>
  </w:style>
  <w:style w:type="paragraph" w:customStyle="1" w:styleId="cocontactsinfo">
    <w:name w:val="co_contacts_info"/>
    <w:basedOn w:val="Normal"/>
    <w:rsid w:val="00435883"/>
    <w:pPr>
      <w:spacing w:before="30" w:after="30" w:line="225" w:lineRule="atLeast"/>
      <w:ind w:left="30" w:right="30" w:hanging="3928"/>
    </w:pPr>
    <w:rPr>
      <w:bCs w:val="0"/>
      <w:vanish/>
      <w:sz w:val="24"/>
    </w:rPr>
  </w:style>
  <w:style w:type="paragraph" w:customStyle="1" w:styleId="cocontactssave">
    <w:name w:val="co_contacts_save"/>
    <w:basedOn w:val="Normal"/>
    <w:rsid w:val="00435883"/>
    <w:pPr>
      <w:pBdr>
        <w:left w:val="single" w:sz="6" w:space="14" w:color="D6D6D6"/>
      </w:pBdr>
      <w:spacing w:before="30" w:after="30" w:line="225" w:lineRule="atLeast"/>
      <w:ind w:left="30" w:right="30" w:hanging="3928"/>
    </w:pPr>
    <w:rPr>
      <w:bCs w:val="0"/>
      <w:vanish/>
      <w:sz w:val="24"/>
    </w:rPr>
  </w:style>
  <w:style w:type="paragraph" w:customStyle="1" w:styleId="cocontactsgroupscount">
    <w:name w:val="co_contacts_groupscount"/>
    <w:basedOn w:val="Normal"/>
    <w:rsid w:val="00435883"/>
    <w:pPr>
      <w:spacing w:before="100" w:beforeAutospacing="1" w:after="100" w:afterAutospacing="1"/>
    </w:pPr>
    <w:rPr>
      <w:b/>
      <w:sz w:val="24"/>
    </w:rPr>
  </w:style>
  <w:style w:type="paragraph" w:customStyle="1" w:styleId="cocontactsgroupdatali">
    <w:name w:val="co_contacts_groupdata&gt;li"/>
    <w:basedOn w:val="Normal"/>
    <w:rsid w:val="00435883"/>
    <w:pPr>
      <w:spacing w:before="150" w:after="100" w:afterAutospacing="1"/>
    </w:pPr>
    <w:rPr>
      <w:bCs w:val="0"/>
      <w:sz w:val="24"/>
    </w:rPr>
  </w:style>
  <w:style w:type="paragraph" w:customStyle="1" w:styleId="cocontactscollectoraddnew">
    <w:name w:val="co_contacts_collector_addnew"/>
    <w:basedOn w:val="Normal"/>
    <w:rsid w:val="00435883"/>
    <w:pPr>
      <w:spacing w:before="15" w:after="15"/>
      <w:ind w:left="45" w:right="45"/>
    </w:pPr>
    <w:rPr>
      <w:bCs w:val="0"/>
      <w:sz w:val="24"/>
    </w:rPr>
  </w:style>
  <w:style w:type="paragraph" w:customStyle="1" w:styleId="cocontactscollectoraddnewinput">
    <w:name w:val="co_contacts_collector_addnew&gt;input"/>
    <w:basedOn w:val="Normal"/>
    <w:rsid w:val="00435883"/>
    <w:pPr>
      <w:pBdr>
        <w:top w:val="single" w:sz="12" w:space="2" w:color="CBE5FE"/>
        <w:left w:val="single" w:sz="12" w:space="4" w:color="CBE5FE"/>
        <w:bottom w:val="single" w:sz="12" w:space="2" w:color="CBE5FE"/>
        <w:right w:val="single" w:sz="12" w:space="4" w:color="CBE5FE"/>
      </w:pBdr>
      <w:shd w:val="clear" w:color="auto" w:fill="FFFFFF"/>
      <w:spacing w:before="100" w:beforeAutospacing="1" w:after="100" w:afterAutospacing="1"/>
      <w:textAlignment w:val="top"/>
    </w:pPr>
    <w:rPr>
      <w:bCs w:val="0"/>
      <w:sz w:val="24"/>
    </w:rPr>
  </w:style>
  <w:style w:type="paragraph" w:customStyle="1" w:styleId="cocontactsaddedcontactsgroupa">
    <w:name w:val="co_contacts_addedcontactsgroup&gt;a"/>
    <w:basedOn w:val="Normal"/>
    <w:rsid w:val="00435883"/>
    <w:pPr>
      <w:spacing w:before="100" w:beforeAutospacing="1" w:after="100" w:afterAutospacing="1"/>
    </w:pPr>
    <w:rPr>
      <w:bCs w:val="0"/>
      <w:color w:val="252525"/>
      <w:sz w:val="24"/>
    </w:rPr>
  </w:style>
  <w:style w:type="paragraph" w:customStyle="1" w:styleId="cocontactsaddedcontactspersona">
    <w:name w:val="co_contacts_addedcontactsperson&gt;a"/>
    <w:basedOn w:val="Normal"/>
    <w:rsid w:val="00435883"/>
    <w:pPr>
      <w:spacing w:before="100" w:beforeAutospacing="1" w:after="100" w:afterAutospacing="1"/>
    </w:pPr>
    <w:rPr>
      <w:bCs w:val="0"/>
      <w:color w:val="252525"/>
      <w:sz w:val="24"/>
    </w:rPr>
  </w:style>
  <w:style w:type="paragraph" w:customStyle="1" w:styleId="cocontactsmembershipsinfo">
    <w:name w:val="co_contacts_membershipsinfo"/>
    <w:basedOn w:val="Normal"/>
    <w:rsid w:val="00435883"/>
    <w:pPr>
      <w:spacing w:before="100" w:beforeAutospacing="1" w:after="100" w:afterAutospacing="1" w:line="540" w:lineRule="atLeast"/>
    </w:pPr>
    <w:rPr>
      <w:bCs w:val="0"/>
      <w:sz w:val="24"/>
    </w:rPr>
  </w:style>
  <w:style w:type="paragraph" w:customStyle="1" w:styleId="cocontactsaddedcontactsinput">
    <w:name w:val="co_contacts_addedcontactsinput"/>
    <w:basedOn w:val="Normal"/>
    <w:rsid w:val="00435883"/>
    <w:pPr>
      <w:pBdr>
        <w:top w:val="single" w:sz="6" w:space="2" w:color="777777"/>
        <w:left w:val="single" w:sz="6" w:space="2" w:color="BBBBBB"/>
        <w:bottom w:val="single" w:sz="6" w:space="2" w:color="BBBBBB"/>
        <w:right w:val="single" w:sz="6" w:space="2" w:color="BBBBBB"/>
      </w:pBdr>
      <w:spacing w:before="100" w:beforeAutospacing="1" w:after="100" w:afterAutospacing="1"/>
    </w:pPr>
    <w:rPr>
      <w:bCs w:val="0"/>
      <w:sz w:val="24"/>
    </w:rPr>
  </w:style>
  <w:style w:type="paragraph" w:customStyle="1" w:styleId="cocontactsaddedcontactsgroup">
    <w:name w:val="co_contacts_addedcontactsgroup"/>
    <w:basedOn w:val="Normal"/>
    <w:rsid w:val="00435883"/>
    <w:pPr>
      <w:shd w:val="clear" w:color="auto" w:fill="CBE5FE"/>
      <w:spacing w:before="45" w:after="45"/>
      <w:ind w:left="45" w:right="45"/>
    </w:pPr>
    <w:rPr>
      <w:bCs w:val="0"/>
      <w:sz w:val="24"/>
    </w:rPr>
  </w:style>
  <w:style w:type="paragraph" w:customStyle="1" w:styleId="cocontactsaddedcontactsperson">
    <w:name w:val="co_contacts_addedcontactsperson"/>
    <w:basedOn w:val="Normal"/>
    <w:rsid w:val="00435883"/>
    <w:pPr>
      <w:shd w:val="clear" w:color="auto" w:fill="CBE5FE"/>
      <w:spacing w:before="45" w:after="45"/>
      <w:ind w:left="45" w:right="45"/>
    </w:pPr>
    <w:rPr>
      <w:bCs w:val="0"/>
      <w:sz w:val="24"/>
    </w:rPr>
  </w:style>
  <w:style w:type="paragraph" w:customStyle="1" w:styleId="cocontactsinvalidcontactgroup">
    <w:name w:val="co_contacts_invalidcontactgroup"/>
    <w:basedOn w:val="Normal"/>
    <w:rsid w:val="00435883"/>
    <w:pPr>
      <w:shd w:val="clear" w:color="auto" w:fill="F5D6D6"/>
      <w:spacing w:before="100" w:beforeAutospacing="1" w:after="100" w:afterAutospacing="1"/>
    </w:pPr>
    <w:rPr>
      <w:bCs w:val="0"/>
      <w:sz w:val="24"/>
    </w:rPr>
  </w:style>
  <w:style w:type="paragraph" w:customStyle="1" w:styleId="cocontactsnewcontactfieldcontainer">
    <w:name w:val="co_contacts_newcontactfieldcontainer"/>
    <w:basedOn w:val="Normal"/>
    <w:rsid w:val="00435883"/>
    <w:pPr>
      <w:spacing w:before="90" w:after="90"/>
      <w:ind w:left="180" w:right="180"/>
    </w:pPr>
    <w:rPr>
      <w:bCs w:val="0"/>
      <w:sz w:val="24"/>
    </w:rPr>
  </w:style>
  <w:style w:type="paragraph" w:customStyle="1" w:styleId="cocontactsautosuggestul">
    <w:name w:val="co_contacts_autosuggest&gt;ul"/>
    <w:basedOn w:val="Normal"/>
    <w:rsid w:val="00435883"/>
    <w:pPr>
      <w:spacing w:before="100" w:beforeAutospacing="1" w:after="100" w:afterAutospacing="1"/>
    </w:pPr>
    <w:rPr>
      <w:bCs w:val="0"/>
      <w:sz w:val="24"/>
    </w:rPr>
  </w:style>
  <w:style w:type="paragraph" w:customStyle="1" w:styleId="codqmsgbarerror">
    <w:name w:val="co_dq_msgbar_error"/>
    <w:basedOn w:val="Normal"/>
    <w:rsid w:val="00435883"/>
    <w:pPr>
      <w:spacing w:before="100" w:beforeAutospacing="1" w:after="100" w:afterAutospacing="1"/>
    </w:pPr>
    <w:rPr>
      <w:bCs w:val="0"/>
      <w:sz w:val="24"/>
    </w:rPr>
  </w:style>
  <w:style w:type="paragraph" w:customStyle="1" w:styleId="codqmsgbarpreparing">
    <w:name w:val="co_dq_msgbar_preparing"/>
    <w:basedOn w:val="Normal"/>
    <w:rsid w:val="00435883"/>
    <w:pPr>
      <w:spacing w:before="100" w:beforeAutospacing="1" w:after="100" w:afterAutospacing="1"/>
    </w:pPr>
    <w:rPr>
      <w:bCs w:val="0"/>
      <w:sz w:val="24"/>
    </w:rPr>
  </w:style>
  <w:style w:type="paragraph" w:customStyle="1" w:styleId="codeliveryqueueshaded">
    <w:name w:val="co_deliveryqueue_shaded"/>
    <w:basedOn w:val="Normal"/>
    <w:rsid w:val="00435883"/>
    <w:pPr>
      <w:spacing w:before="100" w:beforeAutospacing="1" w:after="100" w:afterAutospacing="1"/>
    </w:pPr>
    <w:rPr>
      <w:bCs w:val="0"/>
      <w:color w:val="777777"/>
      <w:sz w:val="17"/>
      <w:szCs w:val="17"/>
    </w:rPr>
  </w:style>
  <w:style w:type="paragraph" w:customStyle="1" w:styleId="codeliveryqueueerror">
    <w:name w:val="co_deliveryqueue_error"/>
    <w:basedOn w:val="Normal"/>
    <w:rsid w:val="00435883"/>
    <w:pPr>
      <w:spacing w:before="100" w:beforeAutospacing="1" w:after="100" w:afterAutospacing="1"/>
    </w:pPr>
    <w:rPr>
      <w:bCs w:val="0"/>
      <w:sz w:val="22"/>
      <w:szCs w:val="22"/>
    </w:rPr>
  </w:style>
  <w:style w:type="paragraph" w:customStyle="1" w:styleId="co-layoutleftwide">
    <w:name w:val="co-layoutleftwide"/>
    <w:basedOn w:val="Normal"/>
    <w:rsid w:val="00435883"/>
    <w:pPr>
      <w:pBdr>
        <w:top w:val="single" w:sz="6" w:space="0" w:color="CCCCCC"/>
      </w:pBdr>
      <w:spacing w:before="100" w:beforeAutospacing="1" w:after="100" w:afterAutospacing="1"/>
    </w:pPr>
    <w:rPr>
      <w:bCs w:val="0"/>
      <w:sz w:val="24"/>
    </w:rPr>
  </w:style>
  <w:style w:type="paragraph" w:customStyle="1" w:styleId="co-layoutleftwide-leftpane">
    <w:name w:val="co-layoutleftwide-leftpane"/>
    <w:basedOn w:val="Normal"/>
    <w:rsid w:val="00435883"/>
    <w:pPr>
      <w:pBdr>
        <w:right w:val="single" w:sz="6" w:space="0" w:color="E0E0E0"/>
      </w:pBdr>
      <w:shd w:val="clear" w:color="auto" w:fill="F7F7F7"/>
      <w:spacing w:before="100" w:beforeAutospacing="1" w:after="100" w:afterAutospacing="1"/>
      <w:textAlignment w:val="top"/>
    </w:pPr>
    <w:rPr>
      <w:bCs w:val="0"/>
      <w:sz w:val="24"/>
    </w:rPr>
  </w:style>
  <w:style w:type="paragraph" w:customStyle="1" w:styleId="co-layoutleftwide-main">
    <w:name w:val="co-layoutleftwide-main"/>
    <w:basedOn w:val="Normal"/>
    <w:rsid w:val="00435883"/>
    <w:pPr>
      <w:spacing w:before="100" w:beforeAutospacing="1" w:after="100" w:afterAutospacing="1"/>
      <w:textAlignment w:val="top"/>
    </w:pPr>
    <w:rPr>
      <w:bCs w:val="0"/>
      <w:sz w:val="24"/>
    </w:rPr>
  </w:style>
  <w:style w:type="paragraph" w:customStyle="1" w:styleId="co-layoutleftwide-paneheader">
    <w:name w:val="co-layoutleftwide-paneheader"/>
    <w:basedOn w:val="Normal"/>
    <w:rsid w:val="00435883"/>
    <w:pPr>
      <w:spacing w:before="100" w:beforeAutospacing="1" w:after="100" w:afterAutospacing="1"/>
    </w:pPr>
    <w:rPr>
      <w:bCs w:val="0"/>
      <w:sz w:val="24"/>
    </w:rPr>
  </w:style>
  <w:style w:type="paragraph" w:customStyle="1" w:styleId="co-layoutleftwide-panenavindex">
    <w:name w:val="co-layoutleftwide-panenavindex"/>
    <w:basedOn w:val="Normal"/>
    <w:rsid w:val="00435883"/>
    <w:pPr>
      <w:pBdr>
        <w:top w:val="single" w:sz="6" w:space="2" w:color="CCCCCC"/>
        <w:left w:val="single" w:sz="6" w:space="3" w:color="CCCCCC"/>
        <w:bottom w:val="single" w:sz="6" w:space="0" w:color="CCCCCC"/>
        <w:right w:val="single" w:sz="6" w:space="3" w:color="CCCCCC"/>
      </w:pBdr>
      <w:shd w:val="clear" w:color="auto" w:fill="FFFFFF"/>
      <w:spacing w:line="225" w:lineRule="atLeast"/>
      <w:ind w:right="165"/>
      <w:textAlignment w:val="baseline"/>
    </w:pPr>
    <w:rPr>
      <w:b/>
      <w:color w:val="212121"/>
      <w:sz w:val="17"/>
      <w:szCs w:val="17"/>
    </w:rPr>
  </w:style>
  <w:style w:type="paragraph" w:customStyle="1" w:styleId="co-layoutleftwide-panenavitemwrap">
    <w:name w:val="co-layoutleftwide-panenavitemwrap"/>
    <w:basedOn w:val="Normal"/>
    <w:rsid w:val="00435883"/>
    <w:pPr>
      <w:spacing w:before="100" w:beforeAutospacing="1" w:after="100" w:afterAutospacing="1"/>
      <w:textAlignment w:val="center"/>
    </w:pPr>
    <w:rPr>
      <w:bCs w:val="0"/>
      <w:sz w:val="24"/>
    </w:rPr>
  </w:style>
  <w:style w:type="paragraph" w:customStyle="1" w:styleId="co-documentresults">
    <w:name w:val="co-documentresults"/>
    <w:basedOn w:val="Normal"/>
    <w:rsid w:val="00435883"/>
    <w:pPr>
      <w:shd w:val="clear" w:color="auto" w:fill="FFFFFF"/>
      <w:spacing w:after="100" w:afterAutospacing="1"/>
    </w:pPr>
    <w:rPr>
      <w:bCs w:val="0"/>
      <w:sz w:val="24"/>
    </w:rPr>
  </w:style>
  <w:style w:type="paragraph" w:customStyle="1" w:styleId="co-documentresults-toolbar">
    <w:name w:val="co-documentresults-toolbar"/>
    <w:basedOn w:val="Normal"/>
    <w:rsid w:val="00435883"/>
    <w:pPr>
      <w:pBdr>
        <w:bottom w:val="single" w:sz="6" w:space="8" w:color="CCCCCC"/>
      </w:pBdr>
      <w:spacing w:before="100" w:beforeAutospacing="1" w:after="100" w:afterAutospacing="1"/>
    </w:pPr>
    <w:rPr>
      <w:bCs w:val="0"/>
      <w:sz w:val="24"/>
    </w:rPr>
  </w:style>
  <w:style w:type="paragraph" w:customStyle="1" w:styleId="co-documentresults-list">
    <w:name w:val="co-documentresults-list"/>
    <w:basedOn w:val="Normal"/>
    <w:rsid w:val="00435883"/>
    <w:pPr>
      <w:shd w:val="clear" w:color="auto" w:fill="FFFFFF"/>
      <w:spacing w:before="100" w:beforeAutospacing="1" w:after="100" w:afterAutospacing="1"/>
    </w:pPr>
    <w:rPr>
      <w:bCs w:val="0"/>
      <w:sz w:val="24"/>
    </w:rPr>
  </w:style>
  <w:style w:type="paragraph" w:customStyle="1" w:styleId="comultifacetselector">
    <w:name w:val="co_multifacet_selector"/>
    <w:basedOn w:val="Normal"/>
    <w:rsid w:val="00435883"/>
    <w:pPr>
      <w:spacing w:before="100" w:beforeAutospacing="1" w:after="100" w:afterAutospacing="1"/>
    </w:pPr>
    <w:rPr>
      <w:bCs w:val="0"/>
      <w:sz w:val="24"/>
    </w:rPr>
  </w:style>
  <w:style w:type="paragraph" w:customStyle="1" w:styleId="cocurrentsearchterm">
    <w:name w:val="co_currentsearchterm"/>
    <w:basedOn w:val="Normal"/>
    <w:rsid w:val="00435883"/>
    <w:pPr>
      <w:spacing w:before="100" w:beforeAutospacing="1" w:after="100" w:afterAutospacing="1"/>
    </w:pPr>
    <w:rPr>
      <w:b/>
      <w:color w:val="252525"/>
      <w:sz w:val="24"/>
    </w:rPr>
  </w:style>
  <w:style w:type="paragraph" w:customStyle="1" w:styleId="cohighlightpoints">
    <w:name w:val="co_highlightpoints"/>
    <w:basedOn w:val="Normal"/>
    <w:rsid w:val="00435883"/>
    <w:pPr>
      <w:spacing w:before="100" w:beforeAutospacing="1" w:after="100" w:afterAutospacing="1"/>
    </w:pPr>
    <w:rPr>
      <w:b/>
      <w:color w:val="252525"/>
      <w:sz w:val="24"/>
    </w:rPr>
  </w:style>
  <w:style w:type="paragraph" w:customStyle="1" w:styleId="cosearchterm">
    <w:name w:val="co_searchterm"/>
    <w:basedOn w:val="Normal"/>
    <w:rsid w:val="00435883"/>
    <w:pPr>
      <w:spacing w:before="100" w:beforeAutospacing="1" w:after="100" w:afterAutospacing="1"/>
    </w:pPr>
    <w:rPr>
      <w:b/>
      <w:color w:val="252525"/>
      <w:sz w:val="24"/>
    </w:rPr>
  </w:style>
  <w:style w:type="paragraph" w:customStyle="1" w:styleId="cohighlightlink">
    <w:name w:val="co_highlightlink"/>
    <w:basedOn w:val="Normal"/>
    <w:rsid w:val="00435883"/>
    <w:pPr>
      <w:spacing w:before="100" w:beforeAutospacing="1" w:after="100" w:afterAutospacing="1"/>
    </w:pPr>
    <w:rPr>
      <w:bCs w:val="0"/>
      <w:color w:val="145DA4"/>
      <w:sz w:val="24"/>
    </w:rPr>
  </w:style>
  <w:style w:type="paragraph" w:customStyle="1" w:styleId="cohighlighttext">
    <w:name w:val="co_highlighttext"/>
    <w:basedOn w:val="Normal"/>
    <w:rsid w:val="00435883"/>
    <w:pPr>
      <w:spacing w:before="100" w:beforeAutospacing="1" w:after="100" w:afterAutospacing="1"/>
    </w:pPr>
    <w:rPr>
      <w:bCs w:val="0"/>
      <w:sz w:val="24"/>
    </w:rPr>
  </w:style>
  <w:style w:type="paragraph" w:customStyle="1" w:styleId="cosearchadvancedsearchfieldbox">
    <w:name w:val="co_search_advancedsearchfieldbox"/>
    <w:basedOn w:val="Normal"/>
    <w:rsid w:val="00435883"/>
    <w:pPr>
      <w:pBdr>
        <w:top w:val="single" w:sz="6" w:space="11" w:color="CCCCCC"/>
        <w:left w:val="single" w:sz="6" w:space="15" w:color="CCCCCC"/>
        <w:bottom w:val="single" w:sz="6" w:space="0" w:color="CCCCCC"/>
        <w:right w:val="single" w:sz="6" w:space="15" w:color="CCCCCC"/>
      </w:pBdr>
      <w:shd w:val="clear" w:color="auto" w:fill="F6F6F6"/>
      <w:spacing w:before="90" w:after="90"/>
    </w:pPr>
    <w:rPr>
      <w:bCs w:val="0"/>
      <w:sz w:val="24"/>
    </w:rPr>
  </w:style>
  <w:style w:type="paragraph" w:customStyle="1" w:styleId="coclearformlink">
    <w:name w:val="co_clearformlink"/>
    <w:basedOn w:val="Normal"/>
    <w:rsid w:val="00435883"/>
    <w:pPr>
      <w:pBdr>
        <w:left w:val="single" w:sz="6" w:space="6" w:color="CCCCCC"/>
      </w:pBdr>
      <w:spacing w:before="100" w:beforeAutospacing="1" w:after="100" w:afterAutospacing="1" w:line="360" w:lineRule="atLeast"/>
      <w:ind w:left="120"/>
    </w:pPr>
    <w:rPr>
      <w:bCs w:val="0"/>
      <w:sz w:val="24"/>
    </w:rPr>
  </w:style>
  <w:style w:type="paragraph" w:customStyle="1" w:styleId="cosearchadvancedsearchleft">
    <w:name w:val="co_search_advancedsearch_left"/>
    <w:basedOn w:val="Normal"/>
    <w:rsid w:val="00435883"/>
    <w:pPr>
      <w:spacing w:before="100" w:beforeAutospacing="1" w:after="100" w:afterAutospacing="1"/>
    </w:pPr>
    <w:rPr>
      <w:bCs w:val="0"/>
      <w:sz w:val="24"/>
    </w:rPr>
  </w:style>
  <w:style w:type="paragraph" w:customStyle="1" w:styleId="cosearchadvancedsearchright">
    <w:name w:val="co_search_advancedsearch_right"/>
    <w:basedOn w:val="Normal"/>
    <w:rsid w:val="00435883"/>
    <w:pPr>
      <w:spacing w:before="555" w:after="100" w:afterAutospacing="1"/>
      <w:ind w:left="300"/>
    </w:pPr>
    <w:rPr>
      <w:bCs w:val="0"/>
      <w:sz w:val="17"/>
      <w:szCs w:val="17"/>
    </w:rPr>
  </w:style>
  <w:style w:type="paragraph" w:customStyle="1" w:styleId="cocasesensitivedescription">
    <w:name w:val="co_casesensitive_description"/>
    <w:basedOn w:val="Normal"/>
    <w:rsid w:val="00435883"/>
    <w:pPr>
      <w:spacing w:before="100" w:beforeAutospacing="1" w:after="100" w:afterAutospacing="1"/>
    </w:pPr>
    <w:rPr>
      <w:bCs w:val="0"/>
      <w:sz w:val="24"/>
    </w:rPr>
  </w:style>
  <w:style w:type="paragraph" w:customStyle="1" w:styleId="cocasesensitiveuserterms">
    <w:name w:val="co_casesensitive_userterms"/>
    <w:basedOn w:val="Normal"/>
    <w:rsid w:val="00435883"/>
    <w:pPr>
      <w:spacing w:before="100" w:beforeAutospacing="1" w:after="100" w:afterAutospacing="1"/>
    </w:pPr>
    <w:rPr>
      <w:bCs w:val="0"/>
      <w:sz w:val="24"/>
    </w:rPr>
  </w:style>
  <w:style w:type="paragraph" w:customStyle="1" w:styleId="cotermfrequencydescription">
    <w:name w:val="co_termfrequency_description"/>
    <w:basedOn w:val="Normal"/>
    <w:rsid w:val="00435883"/>
    <w:pPr>
      <w:spacing w:before="100" w:beforeAutospacing="1" w:after="100" w:afterAutospacing="1"/>
    </w:pPr>
    <w:rPr>
      <w:bCs w:val="0"/>
      <w:sz w:val="24"/>
    </w:rPr>
  </w:style>
  <w:style w:type="paragraph" w:customStyle="1" w:styleId="cotermfrequencyuserterms">
    <w:name w:val="co_termfrequency_userterms"/>
    <w:basedOn w:val="Normal"/>
    <w:rsid w:val="00435883"/>
    <w:pPr>
      <w:spacing w:before="100" w:beforeAutospacing="1" w:after="100" w:afterAutospacing="1"/>
    </w:pPr>
    <w:rPr>
      <w:bCs w:val="0"/>
      <w:sz w:val="24"/>
    </w:rPr>
  </w:style>
  <w:style w:type="paragraph" w:customStyle="1" w:styleId="cosignoffmessage">
    <w:name w:val="co_signoff_message"/>
    <w:basedOn w:val="Normal"/>
    <w:rsid w:val="00435883"/>
    <w:pPr>
      <w:pBdr>
        <w:bottom w:val="single" w:sz="6" w:space="8" w:color="E4E7E8"/>
      </w:pBdr>
      <w:spacing w:before="210" w:after="100" w:afterAutospacing="1"/>
    </w:pPr>
    <w:rPr>
      <w:bCs w:val="0"/>
      <w:sz w:val="24"/>
    </w:rPr>
  </w:style>
  <w:style w:type="paragraph" w:customStyle="1" w:styleId="cosignoffsessionsummary">
    <w:name w:val="co_signoff_sessionsummary"/>
    <w:basedOn w:val="Normal"/>
    <w:rsid w:val="00435883"/>
    <w:pPr>
      <w:spacing w:before="240" w:after="240"/>
    </w:pPr>
    <w:rPr>
      <w:bCs w:val="0"/>
      <w:sz w:val="24"/>
    </w:rPr>
  </w:style>
  <w:style w:type="paragraph" w:customStyle="1" w:styleId="cosignoffprintdetails">
    <w:name w:val="co_signoff_printdetails"/>
    <w:basedOn w:val="Normal"/>
    <w:rsid w:val="00435883"/>
    <w:pPr>
      <w:spacing w:before="100" w:beforeAutospacing="1" w:after="100" w:afterAutospacing="1"/>
    </w:pPr>
    <w:rPr>
      <w:bCs w:val="0"/>
      <w:sz w:val="24"/>
    </w:rPr>
  </w:style>
  <w:style w:type="paragraph" w:customStyle="1" w:styleId="cosignoffsessiondetails">
    <w:name w:val="co_signoff_sessiondetails"/>
    <w:basedOn w:val="Normal"/>
    <w:rsid w:val="00435883"/>
    <w:pPr>
      <w:spacing w:before="100" w:beforeAutospacing="1" w:after="100" w:afterAutospacing="1"/>
    </w:pPr>
    <w:rPr>
      <w:bCs w:val="0"/>
      <w:sz w:val="24"/>
    </w:rPr>
  </w:style>
  <w:style w:type="paragraph" w:customStyle="1" w:styleId="coredlinelightboxaddsnippetlink">
    <w:name w:val="co_redlinelightbox_addsnippetlink"/>
    <w:basedOn w:val="Normal"/>
    <w:rsid w:val="00435883"/>
    <w:pPr>
      <w:spacing w:before="100" w:beforeAutospacing="1" w:after="100" w:afterAutospacing="1"/>
      <w:ind w:right="450"/>
    </w:pPr>
    <w:rPr>
      <w:bCs w:val="0"/>
      <w:sz w:val="24"/>
    </w:rPr>
  </w:style>
  <w:style w:type="paragraph" w:customStyle="1" w:styleId="coredlinelightboxnotifications">
    <w:name w:val="co_redlinelightbox_notifications"/>
    <w:basedOn w:val="Normal"/>
    <w:rsid w:val="00435883"/>
    <w:pPr>
      <w:spacing w:before="300" w:after="300"/>
      <w:ind w:left="450" w:right="450"/>
    </w:pPr>
    <w:rPr>
      <w:bCs w:val="0"/>
      <w:sz w:val="24"/>
    </w:rPr>
  </w:style>
  <w:style w:type="paragraph" w:customStyle="1" w:styleId="coredlinelightboxtoolerror">
    <w:name w:val="co_redlinelightbox_toolerror"/>
    <w:basedOn w:val="Normal"/>
    <w:rsid w:val="00435883"/>
    <w:pPr>
      <w:spacing w:before="300" w:after="300"/>
      <w:ind w:left="450" w:right="450"/>
    </w:pPr>
    <w:rPr>
      <w:bCs w:val="0"/>
      <w:sz w:val="24"/>
    </w:rPr>
  </w:style>
  <w:style w:type="paragraph" w:customStyle="1" w:styleId="coredlinelightboxtabitem">
    <w:name w:val="co_redlinelightbox_tabitem"/>
    <w:basedOn w:val="Normal"/>
    <w:rsid w:val="00435883"/>
    <w:pPr>
      <w:pBdr>
        <w:top w:val="single" w:sz="6" w:space="11" w:color="D6D6D6"/>
      </w:pBdr>
      <w:spacing w:before="100" w:beforeAutospacing="1" w:after="100" w:afterAutospacing="1"/>
    </w:pPr>
    <w:rPr>
      <w:bCs w:val="0"/>
      <w:sz w:val="24"/>
    </w:rPr>
  </w:style>
  <w:style w:type="paragraph" w:customStyle="1" w:styleId="coredlinelightboxtabitemitemcheck">
    <w:name w:val="co_redlinelightbox_tabitem_itemcheck"/>
    <w:basedOn w:val="Normal"/>
    <w:rsid w:val="00435883"/>
    <w:pPr>
      <w:spacing w:before="100" w:beforeAutospacing="1" w:after="100" w:afterAutospacing="1"/>
    </w:pPr>
    <w:rPr>
      <w:bCs w:val="0"/>
      <w:sz w:val="24"/>
    </w:rPr>
  </w:style>
  <w:style w:type="paragraph" w:customStyle="1" w:styleId="coredlinelightboxtabitemitemdata">
    <w:name w:val="co_redlinelightbox_tabitem_itemdata"/>
    <w:basedOn w:val="Normal"/>
    <w:rsid w:val="00435883"/>
    <w:pPr>
      <w:spacing w:before="100" w:beforeAutospacing="1" w:after="100" w:afterAutospacing="1"/>
    </w:pPr>
    <w:rPr>
      <w:bCs w:val="0"/>
      <w:sz w:val="24"/>
    </w:rPr>
  </w:style>
  <w:style w:type="paragraph" w:customStyle="1" w:styleId="coredlinelightboxtabitemitemselected">
    <w:name w:val="co_redlinelightbox_tabitem_itemselected"/>
    <w:basedOn w:val="Normal"/>
    <w:rsid w:val="00435883"/>
    <w:pPr>
      <w:spacing w:before="100" w:beforeAutospacing="1" w:after="100" w:afterAutospacing="1"/>
    </w:pPr>
    <w:rPr>
      <w:bCs w:val="0"/>
      <w:sz w:val="24"/>
    </w:rPr>
  </w:style>
  <w:style w:type="paragraph" w:customStyle="1" w:styleId="coredlinelightboxtabitemsaveddate">
    <w:name w:val="co_redlinelightbox_tabitem_saveddate"/>
    <w:basedOn w:val="Normal"/>
    <w:rsid w:val="00435883"/>
    <w:pPr>
      <w:spacing w:before="75" w:after="100" w:afterAutospacing="1"/>
    </w:pPr>
    <w:rPr>
      <w:bCs w:val="0"/>
      <w:color w:val="898989"/>
      <w:sz w:val="24"/>
    </w:rPr>
  </w:style>
  <w:style w:type="paragraph" w:customStyle="1" w:styleId="coredlinelightboxtabitemitemedit">
    <w:name w:val="co_redlinelightbox_tabitem_itemedit"/>
    <w:basedOn w:val="Normal"/>
    <w:rsid w:val="00435883"/>
    <w:pPr>
      <w:spacing w:before="100" w:beforeAutospacing="1" w:after="100" w:afterAutospacing="1"/>
      <w:ind w:right="120"/>
    </w:pPr>
    <w:rPr>
      <w:bCs w:val="0"/>
      <w:sz w:val="24"/>
    </w:rPr>
  </w:style>
  <w:style w:type="paragraph" w:customStyle="1" w:styleId="coredlinelightboxtabitemdeletebutton">
    <w:name w:val="co_redlinelightbox_tabitem_deletebutton"/>
    <w:basedOn w:val="Normal"/>
    <w:rsid w:val="00435883"/>
    <w:pPr>
      <w:pBdr>
        <w:left w:val="single" w:sz="6" w:space="0" w:color="D6D6D6"/>
      </w:pBdr>
      <w:spacing w:before="100" w:beforeAutospacing="1" w:after="100" w:afterAutospacing="1"/>
    </w:pPr>
    <w:rPr>
      <w:bCs w:val="0"/>
      <w:sz w:val="24"/>
    </w:rPr>
  </w:style>
  <w:style w:type="paragraph" w:customStyle="1" w:styleId="coredlinelightboxtabitemnotaddedmessage">
    <w:name w:val="co_redlinelightbox_tabitem_notaddedmessage"/>
    <w:basedOn w:val="Normal"/>
    <w:rsid w:val="00435883"/>
    <w:pPr>
      <w:spacing w:before="100" w:beforeAutospacing="1" w:after="100" w:afterAutospacing="1"/>
      <w:ind w:right="225"/>
    </w:pPr>
    <w:rPr>
      <w:bCs w:val="0"/>
      <w:sz w:val="24"/>
    </w:rPr>
  </w:style>
  <w:style w:type="paragraph" w:customStyle="1" w:styleId="coredlinelightboxtabitemnotaddedreporthint">
    <w:name w:val="co_redlinelightbox_tabitem_notaddedreporthint"/>
    <w:basedOn w:val="Normal"/>
    <w:rsid w:val="00435883"/>
    <w:pPr>
      <w:spacing w:before="100" w:beforeAutospacing="1" w:after="100" w:afterAutospacing="1"/>
      <w:ind w:left="-75"/>
    </w:pPr>
    <w:rPr>
      <w:bCs w:val="0"/>
      <w:sz w:val="24"/>
    </w:rPr>
  </w:style>
  <w:style w:type="paragraph" w:customStyle="1" w:styleId="coredlinelightboxnewsnippetform">
    <w:name w:val="co_redlinelightbox_newsnippetform"/>
    <w:basedOn w:val="Normal"/>
    <w:rsid w:val="00435883"/>
    <w:pPr>
      <w:spacing w:before="100" w:beforeAutospacing="1" w:after="100" w:afterAutospacing="1"/>
    </w:pPr>
    <w:rPr>
      <w:bCs w:val="0"/>
      <w:sz w:val="24"/>
    </w:rPr>
  </w:style>
  <w:style w:type="paragraph" w:customStyle="1" w:styleId="coredlinelightboxnewsnippetinfo">
    <w:name w:val="co_redlinelightbox_newsnippetinfo"/>
    <w:basedOn w:val="Normal"/>
    <w:rsid w:val="00435883"/>
    <w:pPr>
      <w:spacing w:before="100" w:beforeAutospacing="1" w:after="225"/>
    </w:pPr>
    <w:rPr>
      <w:bCs w:val="0"/>
      <w:sz w:val="24"/>
    </w:rPr>
  </w:style>
  <w:style w:type="paragraph" w:customStyle="1" w:styleId="coredlinelightboxblockedmessage">
    <w:name w:val="co_redlinelightbox_blockedmessage"/>
    <w:basedOn w:val="Normal"/>
    <w:rsid w:val="00435883"/>
    <w:pPr>
      <w:spacing w:before="100" w:beforeAutospacing="1" w:after="100" w:afterAutospacing="1"/>
    </w:pPr>
    <w:rPr>
      <w:bCs w:val="0"/>
      <w:sz w:val="24"/>
    </w:rPr>
  </w:style>
  <w:style w:type="paragraph" w:customStyle="1" w:styleId="coredlinelightboxwarningmessage">
    <w:name w:val="co_redlinelightbox_warningmessage"/>
    <w:basedOn w:val="Normal"/>
    <w:rsid w:val="00435883"/>
    <w:pPr>
      <w:spacing w:before="100" w:beforeAutospacing="1" w:after="100" w:afterAutospacing="1"/>
    </w:pPr>
    <w:rPr>
      <w:bCs w:val="0"/>
      <w:sz w:val="24"/>
    </w:rPr>
  </w:style>
  <w:style w:type="paragraph" w:customStyle="1" w:styleId="co-redlinedropdown-wrapper">
    <w:name w:val="co-redlinedropdown-wrapper"/>
    <w:basedOn w:val="Normal"/>
    <w:rsid w:val="00435883"/>
    <w:pPr>
      <w:spacing w:before="100" w:beforeAutospacing="1" w:after="100" w:afterAutospacing="1"/>
    </w:pPr>
    <w:rPr>
      <w:bCs w:val="0"/>
      <w:sz w:val="24"/>
    </w:rPr>
  </w:style>
  <w:style w:type="paragraph" w:customStyle="1" w:styleId="co-redlinedropdown-anchor">
    <w:name w:val="co-redlinedropdown-anchor"/>
    <w:basedOn w:val="Normal"/>
    <w:rsid w:val="00435883"/>
    <w:pPr>
      <w:spacing w:before="100" w:beforeAutospacing="1" w:after="100" w:afterAutospacing="1"/>
      <w:ind w:hanging="3928"/>
    </w:pPr>
    <w:rPr>
      <w:bCs w:val="0"/>
      <w:sz w:val="24"/>
    </w:rPr>
  </w:style>
  <w:style w:type="paragraph" w:customStyle="1" w:styleId="co-redlinedropdown-container">
    <w:name w:val="co-redlinedropdown-container"/>
    <w:basedOn w:val="Normal"/>
    <w:rsid w:val="00435883"/>
    <w:pPr>
      <w:pBdr>
        <w:top w:val="single" w:sz="6" w:space="3" w:color="D6D6D6"/>
        <w:left w:val="single" w:sz="6" w:space="0" w:color="D6D6D6"/>
        <w:bottom w:val="single" w:sz="6" w:space="3" w:color="D6D6D6"/>
        <w:right w:val="single" w:sz="6" w:space="0" w:color="D6D6D6"/>
      </w:pBdr>
      <w:shd w:val="clear" w:color="auto" w:fill="FFFFFF"/>
      <w:spacing w:before="100" w:beforeAutospacing="1" w:after="100" w:afterAutospacing="1" w:line="300" w:lineRule="atLeast"/>
    </w:pPr>
    <w:rPr>
      <w:bCs w:val="0"/>
      <w:vanish/>
      <w:sz w:val="19"/>
      <w:szCs w:val="19"/>
    </w:rPr>
  </w:style>
  <w:style w:type="paragraph" w:customStyle="1" w:styleId="co-redlinedropdown-columnlist">
    <w:name w:val="co-redlinedropdown-columnlist"/>
    <w:basedOn w:val="Normal"/>
    <w:rsid w:val="00435883"/>
    <w:rPr>
      <w:bCs w:val="0"/>
      <w:sz w:val="24"/>
    </w:rPr>
  </w:style>
  <w:style w:type="paragraph" w:customStyle="1" w:styleId="co-redlinedropdown-listitem">
    <w:name w:val="co-redlinedropdown-listitem"/>
    <w:basedOn w:val="Normal"/>
    <w:rsid w:val="00435883"/>
    <w:pPr>
      <w:pBdr>
        <w:bottom w:val="single" w:sz="6" w:space="0" w:color="EEEEEE"/>
      </w:pBdr>
      <w:spacing w:before="100" w:beforeAutospacing="1" w:after="100" w:afterAutospacing="1"/>
    </w:pPr>
    <w:rPr>
      <w:bCs w:val="0"/>
      <w:sz w:val="24"/>
    </w:rPr>
  </w:style>
  <w:style w:type="paragraph" w:customStyle="1" w:styleId="co-redlinedropdown-link">
    <w:name w:val="co-redlinedropdown-link"/>
    <w:basedOn w:val="Normal"/>
    <w:rsid w:val="00435883"/>
    <w:pPr>
      <w:spacing w:line="210" w:lineRule="atLeast"/>
    </w:pPr>
    <w:rPr>
      <w:rFonts w:ascii="Arial" w:hAnsi="Arial" w:cs="Arial"/>
      <w:bCs w:val="0"/>
      <w:color w:val="145DA4"/>
      <w:sz w:val="18"/>
      <w:szCs w:val="18"/>
    </w:rPr>
  </w:style>
  <w:style w:type="paragraph" w:customStyle="1" w:styleId="colinkbuilderlightboxtogglecontainter">
    <w:name w:val="co_linkbuilderlightbox_togglecontainter"/>
    <w:basedOn w:val="Normal"/>
    <w:rsid w:val="00435883"/>
    <w:pPr>
      <w:spacing w:before="100" w:beforeAutospacing="1" w:after="100" w:afterAutospacing="1"/>
    </w:pPr>
    <w:rPr>
      <w:bCs w:val="0"/>
      <w:sz w:val="24"/>
    </w:rPr>
  </w:style>
  <w:style w:type="paragraph" w:customStyle="1" w:styleId="cosliderwidget">
    <w:name w:val="co_sliderwidget"/>
    <w:basedOn w:val="Normal"/>
    <w:rsid w:val="00435883"/>
    <w:pPr>
      <w:spacing w:before="375" w:after="375"/>
      <w:ind w:left="-15" w:right="-15"/>
    </w:pPr>
    <w:rPr>
      <w:bCs w:val="0"/>
      <w:sz w:val="24"/>
    </w:rPr>
  </w:style>
  <w:style w:type="paragraph" w:customStyle="1" w:styleId="cosliderwidgettitle">
    <w:name w:val="co_sliderwidget_title"/>
    <w:basedOn w:val="Normal"/>
    <w:rsid w:val="00435883"/>
    <w:pPr>
      <w:pBdr>
        <w:top w:val="single" w:sz="6" w:space="6" w:color="CCCCCC"/>
        <w:left w:val="single" w:sz="6" w:space="9" w:color="CCCCCC"/>
        <w:bottom w:val="single" w:sz="2" w:space="6" w:color="CCCCCC"/>
        <w:right w:val="single" w:sz="6" w:space="9" w:color="CCCCCC"/>
      </w:pBdr>
      <w:shd w:val="clear" w:color="auto" w:fill="EEEEEE"/>
      <w:spacing w:before="100" w:beforeAutospacing="1" w:after="100" w:afterAutospacing="1"/>
    </w:pPr>
    <w:rPr>
      <w:bCs w:val="0"/>
      <w:color w:val="212121"/>
      <w:sz w:val="32"/>
      <w:szCs w:val="32"/>
    </w:rPr>
  </w:style>
  <w:style w:type="paragraph" w:customStyle="1" w:styleId="cosliderwidgettoggle">
    <w:name w:val="co_sliderwidget_toggle"/>
    <w:basedOn w:val="Normal"/>
    <w:rsid w:val="00435883"/>
    <w:pPr>
      <w:spacing w:before="100" w:beforeAutospacing="1" w:after="100" w:afterAutospacing="1"/>
      <w:ind w:hanging="3928"/>
    </w:pPr>
    <w:rPr>
      <w:bCs w:val="0"/>
      <w:sz w:val="24"/>
    </w:rPr>
  </w:style>
  <w:style w:type="paragraph" w:customStyle="1" w:styleId="cosliderwidgetwrapper">
    <w:name w:val="co_sliderwidget_wrapper"/>
    <w:basedOn w:val="Normal"/>
    <w:rsid w:val="00435883"/>
    <w:pPr>
      <w:pBdr>
        <w:top w:val="single" w:sz="6" w:space="11" w:color="CCCCCC"/>
        <w:left w:val="single" w:sz="6" w:space="31" w:color="CCCCCC"/>
        <w:bottom w:val="single" w:sz="2" w:space="8" w:color="CCCCCC"/>
        <w:right w:val="single" w:sz="6" w:space="31" w:color="CCCCCC"/>
      </w:pBdr>
      <w:shd w:val="clear" w:color="auto" w:fill="FFFFFF"/>
      <w:spacing w:before="100" w:beforeAutospacing="1" w:after="100" w:afterAutospacing="1"/>
    </w:pPr>
    <w:rPr>
      <w:bCs w:val="0"/>
      <w:sz w:val="24"/>
    </w:rPr>
  </w:style>
  <w:style w:type="paragraph" w:customStyle="1" w:styleId="cosliderwidgetlist">
    <w:name w:val="co_sliderwidget_list"/>
    <w:basedOn w:val="Normal"/>
    <w:rsid w:val="00435883"/>
    <w:pPr>
      <w:spacing w:before="100" w:beforeAutospacing="1" w:after="100" w:afterAutospacing="1"/>
    </w:pPr>
    <w:rPr>
      <w:bCs w:val="0"/>
      <w:sz w:val="24"/>
    </w:rPr>
  </w:style>
  <w:style w:type="paragraph" w:customStyle="1" w:styleId="cosliderwidgetcontent">
    <w:name w:val="co_sliderwidget_content"/>
    <w:basedOn w:val="Normal"/>
    <w:rsid w:val="00435883"/>
    <w:pPr>
      <w:spacing w:before="100" w:beforeAutospacing="1" w:after="100" w:afterAutospacing="1"/>
    </w:pPr>
    <w:rPr>
      <w:bCs w:val="0"/>
      <w:szCs w:val="20"/>
    </w:rPr>
  </w:style>
  <w:style w:type="paragraph" w:customStyle="1" w:styleId="cosliderwidgetlink">
    <w:name w:val="co_sliderwidget_link"/>
    <w:basedOn w:val="Normal"/>
    <w:rsid w:val="00435883"/>
    <w:pPr>
      <w:spacing w:before="15"/>
      <w:ind w:left="15"/>
    </w:pPr>
    <w:rPr>
      <w:bCs w:val="0"/>
      <w:sz w:val="24"/>
    </w:rPr>
  </w:style>
  <w:style w:type="paragraph" w:customStyle="1" w:styleId="cosliderwidgettext">
    <w:name w:val="co_sliderwidget_text"/>
    <w:basedOn w:val="Normal"/>
    <w:rsid w:val="00435883"/>
    <w:pPr>
      <w:spacing w:before="75"/>
      <w:ind w:left="120"/>
    </w:pPr>
    <w:rPr>
      <w:bCs w:val="0"/>
      <w:sz w:val="24"/>
    </w:rPr>
  </w:style>
  <w:style w:type="paragraph" w:customStyle="1" w:styleId="cosliderwidgetpagination">
    <w:name w:val="co_sliderwidget_pagination"/>
    <w:basedOn w:val="Normal"/>
    <w:rsid w:val="00435883"/>
    <w:rPr>
      <w:bCs w:val="0"/>
      <w:sz w:val="24"/>
    </w:rPr>
  </w:style>
  <w:style w:type="paragraph" w:customStyle="1" w:styleId="cosliderwidgetmessage">
    <w:name w:val="co_sliderwidget_message"/>
    <w:basedOn w:val="Normal"/>
    <w:rsid w:val="00435883"/>
    <w:pPr>
      <w:spacing w:before="150" w:after="150"/>
      <w:jc w:val="center"/>
    </w:pPr>
    <w:rPr>
      <w:bCs w:val="0"/>
      <w:color w:val="AAAAAA"/>
      <w:sz w:val="24"/>
    </w:rPr>
  </w:style>
  <w:style w:type="paragraph" w:customStyle="1" w:styleId="cosliderwidgetmessageheader">
    <w:name w:val="co_sliderwidget_messageheader"/>
    <w:basedOn w:val="Normal"/>
    <w:rsid w:val="00435883"/>
    <w:pPr>
      <w:spacing w:before="150" w:after="300"/>
      <w:jc w:val="center"/>
    </w:pPr>
    <w:rPr>
      <w:b/>
      <w:color w:val="AAAAAA"/>
      <w:sz w:val="31"/>
      <w:szCs w:val="31"/>
    </w:rPr>
  </w:style>
  <w:style w:type="paragraph" w:customStyle="1" w:styleId="co-feedback">
    <w:name w:val="co-feedback"/>
    <w:basedOn w:val="Normal"/>
    <w:rsid w:val="00435883"/>
    <w:pPr>
      <w:spacing w:before="100" w:beforeAutospacing="1" w:after="100" w:afterAutospacing="1"/>
    </w:pPr>
    <w:rPr>
      <w:bCs w:val="0"/>
      <w:sz w:val="24"/>
    </w:rPr>
  </w:style>
  <w:style w:type="paragraph" w:customStyle="1" w:styleId="co-feedback-questionwrap">
    <w:name w:val="co-feedback-questionwrap"/>
    <w:basedOn w:val="Normal"/>
    <w:rsid w:val="00435883"/>
    <w:pPr>
      <w:pBdr>
        <w:top w:val="single" w:sz="6" w:space="15" w:color="E4E7E8"/>
      </w:pBdr>
      <w:spacing w:before="300" w:after="120"/>
    </w:pPr>
    <w:rPr>
      <w:bCs w:val="0"/>
      <w:sz w:val="24"/>
    </w:rPr>
  </w:style>
  <w:style w:type="paragraph" w:customStyle="1" w:styleId="co-feedback-question">
    <w:name w:val="co-feedback-question"/>
    <w:basedOn w:val="Normal"/>
    <w:rsid w:val="00435883"/>
    <w:pPr>
      <w:spacing w:before="100" w:beforeAutospacing="1" w:after="120"/>
    </w:pPr>
    <w:rPr>
      <w:bCs w:val="0"/>
      <w:sz w:val="24"/>
    </w:rPr>
  </w:style>
  <w:style w:type="paragraph" w:customStyle="1" w:styleId="co-feedback-radiocontainer">
    <w:name w:val="co-feedback-radiocontainer"/>
    <w:basedOn w:val="Normal"/>
    <w:rsid w:val="00435883"/>
    <w:pPr>
      <w:spacing w:before="100" w:beforeAutospacing="1" w:after="100" w:afterAutospacing="1"/>
    </w:pPr>
    <w:rPr>
      <w:bCs w:val="0"/>
      <w:sz w:val="24"/>
    </w:rPr>
  </w:style>
  <w:style w:type="paragraph" w:customStyle="1" w:styleId="co-feedback-radiobuttonwrap">
    <w:name w:val="co-feedback-radiobuttonwrap"/>
    <w:basedOn w:val="Normal"/>
    <w:rsid w:val="00435883"/>
    <w:pPr>
      <w:spacing w:before="100" w:beforeAutospacing="1" w:after="100" w:afterAutospacing="1"/>
    </w:pPr>
    <w:rPr>
      <w:bCs w:val="0"/>
      <w:sz w:val="24"/>
    </w:rPr>
  </w:style>
  <w:style w:type="paragraph" w:customStyle="1" w:styleId="co-feedback-textareawrap">
    <w:name w:val="co-feedback-textareawrap"/>
    <w:basedOn w:val="Normal"/>
    <w:rsid w:val="00435883"/>
    <w:pPr>
      <w:spacing w:before="100" w:beforeAutospacing="1" w:after="100" w:afterAutospacing="1"/>
      <w:ind w:left="225"/>
    </w:pPr>
    <w:rPr>
      <w:bCs w:val="0"/>
      <w:sz w:val="24"/>
    </w:rPr>
  </w:style>
  <w:style w:type="paragraph" w:customStyle="1" w:styleId="co-feedback-textarea">
    <w:name w:val="co-feedback-textarea"/>
    <w:basedOn w:val="Normal"/>
    <w:rsid w:val="00435883"/>
    <w:pPr>
      <w:spacing w:before="100" w:beforeAutospacing="1" w:after="100" w:afterAutospacing="1"/>
    </w:pPr>
    <w:rPr>
      <w:bCs w:val="0"/>
      <w:sz w:val="24"/>
    </w:rPr>
  </w:style>
  <w:style w:type="paragraph" w:customStyle="1" w:styleId="co-feedback-features-radiobuttonwrap">
    <w:name w:val="co-feedback-features-radiobuttonwrap"/>
    <w:basedOn w:val="Normal"/>
    <w:rsid w:val="00435883"/>
    <w:pPr>
      <w:spacing w:before="100" w:beforeAutospacing="1" w:after="100" w:afterAutospacing="1"/>
    </w:pPr>
    <w:rPr>
      <w:bCs w:val="0"/>
      <w:sz w:val="24"/>
    </w:rPr>
  </w:style>
  <w:style w:type="paragraph" w:customStyle="1" w:styleId="coblockedcontentheading">
    <w:name w:val="co_blockedcontentheading"/>
    <w:basedOn w:val="Normal"/>
    <w:rsid w:val="00435883"/>
    <w:pPr>
      <w:spacing w:before="100" w:beforeAutospacing="1" w:after="100" w:afterAutospacing="1"/>
    </w:pPr>
    <w:rPr>
      <w:bCs w:val="0"/>
      <w:sz w:val="21"/>
      <w:szCs w:val="21"/>
    </w:rPr>
  </w:style>
  <w:style w:type="paragraph" w:customStyle="1" w:styleId="cocallusmessage">
    <w:name w:val="co_callusmessage"/>
    <w:basedOn w:val="Normal"/>
    <w:rsid w:val="00435883"/>
    <w:pPr>
      <w:spacing w:before="100" w:beforeAutospacing="1" w:after="100" w:afterAutospacing="1"/>
    </w:pPr>
    <w:rPr>
      <w:bCs w:val="0"/>
      <w:sz w:val="21"/>
      <w:szCs w:val="21"/>
    </w:rPr>
  </w:style>
  <w:style w:type="paragraph" w:customStyle="1" w:styleId="coalreadysubscriberheading">
    <w:name w:val="co_alreadysubscriberheading"/>
    <w:basedOn w:val="Normal"/>
    <w:rsid w:val="00435883"/>
    <w:pPr>
      <w:spacing w:before="100" w:beforeAutospacing="1" w:after="100" w:afterAutospacing="1" w:line="360" w:lineRule="atLeast"/>
    </w:pPr>
    <w:rPr>
      <w:bCs w:val="0"/>
      <w:sz w:val="23"/>
      <w:szCs w:val="23"/>
    </w:rPr>
  </w:style>
  <w:style w:type="paragraph" w:customStyle="1" w:styleId="corequesttrialheading">
    <w:name w:val="co_requesttrialheading"/>
    <w:basedOn w:val="Normal"/>
    <w:rsid w:val="00435883"/>
    <w:pPr>
      <w:spacing w:before="100" w:beforeAutospacing="1" w:after="100" w:afterAutospacing="1" w:line="360" w:lineRule="atLeast"/>
    </w:pPr>
    <w:rPr>
      <w:bCs w:val="0"/>
      <w:sz w:val="23"/>
      <w:szCs w:val="23"/>
    </w:rPr>
  </w:style>
  <w:style w:type="paragraph" w:customStyle="1" w:styleId="copracticallawblockedsignin">
    <w:name w:val="co_practicallawblockedsignin"/>
    <w:basedOn w:val="Normal"/>
    <w:rsid w:val="00435883"/>
    <w:pPr>
      <w:shd w:val="clear" w:color="auto" w:fill="FFFFFF"/>
      <w:spacing w:before="150" w:after="100" w:afterAutospacing="1"/>
    </w:pPr>
    <w:rPr>
      <w:b/>
      <w:color w:val="456782"/>
      <w:sz w:val="17"/>
      <w:szCs w:val="17"/>
    </w:rPr>
  </w:style>
  <w:style w:type="paragraph" w:customStyle="1" w:styleId="cofavoritesadd">
    <w:name w:val="co_favorites_add"/>
    <w:basedOn w:val="Normal"/>
    <w:rsid w:val="00435883"/>
    <w:pPr>
      <w:spacing w:before="100" w:beforeAutospacing="1" w:after="100" w:afterAutospacing="1" w:line="285" w:lineRule="atLeast"/>
      <w:ind w:hanging="3928"/>
    </w:pPr>
    <w:rPr>
      <w:bCs w:val="0"/>
      <w:sz w:val="24"/>
    </w:rPr>
  </w:style>
  <w:style w:type="paragraph" w:customStyle="1" w:styleId="cofavoritesremove">
    <w:name w:val="co_favorites_remove"/>
    <w:basedOn w:val="Normal"/>
    <w:rsid w:val="00435883"/>
    <w:pPr>
      <w:spacing w:before="100" w:beforeAutospacing="1" w:after="100" w:afterAutospacing="1" w:line="285" w:lineRule="atLeast"/>
      <w:ind w:hanging="3928"/>
    </w:pPr>
    <w:rPr>
      <w:bCs w:val="0"/>
      <w:sz w:val="24"/>
    </w:rPr>
  </w:style>
  <w:style w:type="paragraph" w:customStyle="1" w:styleId="cowidgetorganizelink">
    <w:name w:val="co_widget_organizelink"/>
    <w:basedOn w:val="Normal"/>
    <w:rsid w:val="00435883"/>
    <w:pPr>
      <w:spacing w:before="100" w:beforeAutospacing="1" w:after="100" w:afterAutospacing="1" w:line="510" w:lineRule="atLeast"/>
      <w:jc w:val="right"/>
    </w:pPr>
    <w:rPr>
      <w:bCs w:val="0"/>
      <w:sz w:val="18"/>
      <w:szCs w:val="18"/>
    </w:rPr>
  </w:style>
  <w:style w:type="paragraph" w:customStyle="1" w:styleId="cofavoritesgroup">
    <w:name w:val="co_favoritesgroup"/>
    <w:basedOn w:val="Normal"/>
    <w:rsid w:val="00435883"/>
    <w:pPr>
      <w:spacing w:before="100" w:beforeAutospacing="1" w:after="100" w:afterAutospacing="1"/>
    </w:pPr>
    <w:rPr>
      <w:bCs w:val="0"/>
      <w:sz w:val="24"/>
    </w:rPr>
  </w:style>
  <w:style w:type="paragraph" w:customStyle="1" w:styleId="cofolderingfrontpagefavoritedelete">
    <w:name w:val="co_foldering_frontpage_favoritedelete"/>
    <w:basedOn w:val="Normal"/>
    <w:rsid w:val="00435883"/>
    <w:pPr>
      <w:spacing w:before="100" w:beforeAutospacing="1" w:after="100" w:afterAutospacing="1"/>
      <w:ind w:hanging="3928"/>
    </w:pPr>
    <w:rPr>
      <w:bCs w:val="0"/>
      <w:sz w:val="24"/>
    </w:rPr>
  </w:style>
  <w:style w:type="paragraph" w:customStyle="1" w:styleId="cobaltfavoritesrenametextbox">
    <w:name w:val="cobalt_favorites_rename_textbox"/>
    <w:basedOn w:val="Normal"/>
    <w:rsid w:val="00435883"/>
    <w:pPr>
      <w:spacing w:before="100" w:beforeAutospacing="1" w:after="100" w:afterAutospacing="1"/>
    </w:pPr>
    <w:rPr>
      <w:b/>
      <w:sz w:val="24"/>
    </w:rPr>
  </w:style>
  <w:style w:type="paragraph" w:customStyle="1" w:styleId="cofavoritesorganizerlist">
    <w:name w:val="co_favoritesorganizer_list"/>
    <w:basedOn w:val="Normal"/>
    <w:rsid w:val="00435883"/>
    <w:pPr>
      <w:spacing w:before="120" w:after="100" w:afterAutospacing="1"/>
    </w:pPr>
    <w:rPr>
      <w:bCs w:val="0"/>
      <w:sz w:val="24"/>
    </w:rPr>
  </w:style>
  <w:style w:type="paragraph" w:customStyle="1" w:styleId="cosearchformouterfavorites">
    <w:name w:val="co_searchformouterfavorites"/>
    <w:basedOn w:val="Normal"/>
    <w:rsid w:val="00435883"/>
    <w:pPr>
      <w:spacing w:before="100" w:beforeAutospacing="1" w:after="100" w:afterAutospacing="1"/>
    </w:pPr>
    <w:rPr>
      <w:bCs w:val="0"/>
      <w:sz w:val="24"/>
    </w:rPr>
  </w:style>
  <w:style w:type="paragraph" w:customStyle="1" w:styleId="codraggableplaceholder">
    <w:name w:val="co_draggableplaceholder"/>
    <w:basedOn w:val="Normal"/>
    <w:rsid w:val="00435883"/>
    <w:pPr>
      <w:spacing w:before="100" w:beforeAutospacing="1" w:after="100" w:afterAutospacing="1"/>
    </w:pPr>
    <w:rPr>
      <w:bCs w:val="0"/>
      <w:sz w:val="24"/>
    </w:rPr>
  </w:style>
  <w:style w:type="paragraph" w:customStyle="1" w:styleId="codraggableplaceholdergroup">
    <w:name w:val="co_draggableplaceholdergroup"/>
    <w:basedOn w:val="Normal"/>
    <w:rsid w:val="00435883"/>
    <w:pPr>
      <w:shd w:val="clear" w:color="auto" w:fill="F6F6F6"/>
      <w:spacing w:after="45"/>
    </w:pPr>
    <w:rPr>
      <w:bCs w:val="0"/>
      <w:sz w:val="24"/>
    </w:rPr>
  </w:style>
  <w:style w:type="paragraph" w:customStyle="1" w:styleId="cofacetsad">
    <w:name w:val="co_facet_sad"/>
    <w:basedOn w:val="Normal"/>
    <w:rsid w:val="0043588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70" w:lineRule="atLeast"/>
    </w:pPr>
    <w:rPr>
      <w:bCs w:val="0"/>
      <w:sz w:val="24"/>
    </w:rPr>
  </w:style>
  <w:style w:type="paragraph" w:customStyle="1" w:styleId="cofacetsadfooteroptions">
    <w:name w:val="co_facet_sad_footeroptions"/>
    <w:basedOn w:val="Normal"/>
    <w:rsid w:val="00435883"/>
    <w:pPr>
      <w:pBdr>
        <w:bottom w:val="single" w:sz="6" w:space="0" w:color="E4E7E8"/>
      </w:pBdr>
      <w:shd w:val="clear" w:color="auto" w:fill="FFFFFF"/>
      <w:spacing w:before="100" w:beforeAutospacing="1" w:after="100" w:afterAutospacing="1"/>
    </w:pPr>
    <w:rPr>
      <w:bCs w:val="0"/>
      <w:sz w:val="24"/>
    </w:rPr>
  </w:style>
  <w:style w:type="paragraph" w:customStyle="1" w:styleId="cofacetsaddateselect">
    <w:name w:val="co_facet_sad_dateselect"/>
    <w:basedOn w:val="Normal"/>
    <w:rsid w:val="00435883"/>
    <w:pPr>
      <w:spacing w:before="100" w:beforeAutospacing="1" w:after="100" w:afterAutospacing="1"/>
    </w:pPr>
    <w:rPr>
      <w:bCs w:val="0"/>
      <w:sz w:val="24"/>
    </w:rPr>
  </w:style>
  <w:style w:type="paragraph" w:customStyle="1" w:styleId="coslidercontainer">
    <w:name w:val="co_slidercontainer"/>
    <w:basedOn w:val="Normal"/>
    <w:rsid w:val="00435883"/>
    <w:pPr>
      <w:ind w:left="-150" w:right="-150"/>
    </w:pPr>
    <w:rPr>
      <w:bCs w:val="0"/>
      <w:sz w:val="24"/>
    </w:rPr>
  </w:style>
  <w:style w:type="paragraph" w:customStyle="1" w:styleId="cocookiepolicycontent">
    <w:name w:val="co_cookiepolicycontent"/>
    <w:basedOn w:val="Normal"/>
    <w:rsid w:val="00435883"/>
    <w:pPr>
      <w:spacing w:before="435" w:after="150"/>
    </w:pPr>
    <w:rPr>
      <w:bCs w:val="0"/>
      <w:sz w:val="24"/>
    </w:rPr>
  </w:style>
  <w:style w:type="paragraph" w:customStyle="1" w:styleId="cobaltsavetofoldertreeroot">
    <w:name w:val="cobalt_saveto_foldertree_root"/>
    <w:basedOn w:val="Normal"/>
    <w:rsid w:val="00435883"/>
    <w:pPr>
      <w:pBdr>
        <w:bottom w:val="single" w:sz="6" w:space="0" w:color="E4E7E8"/>
      </w:pBdr>
      <w:spacing w:before="100" w:beforeAutospacing="1" w:after="100" w:afterAutospacing="1"/>
    </w:pPr>
    <w:rPr>
      <w:bCs w:val="0"/>
      <w:sz w:val="24"/>
    </w:rPr>
  </w:style>
  <w:style w:type="paragraph" w:customStyle="1" w:styleId="cocreatenewfolder">
    <w:name w:val="co_createnewfolder"/>
    <w:basedOn w:val="Normal"/>
    <w:rsid w:val="00435883"/>
    <w:pPr>
      <w:spacing w:before="100" w:beforeAutospacing="1" w:after="100" w:afterAutospacing="1"/>
    </w:pPr>
    <w:rPr>
      <w:bCs w:val="0"/>
      <w:sz w:val="24"/>
    </w:rPr>
  </w:style>
  <w:style w:type="paragraph" w:customStyle="1" w:styleId="cocreatenewfoldera">
    <w:name w:val="co_createnewfolder&gt;a"/>
    <w:basedOn w:val="Normal"/>
    <w:rsid w:val="00435883"/>
    <w:pPr>
      <w:spacing w:before="100" w:beforeAutospacing="1" w:after="100" w:afterAutospacing="1"/>
    </w:pPr>
    <w:rPr>
      <w:bCs w:val="0"/>
      <w:sz w:val="23"/>
      <w:szCs w:val="23"/>
    </w:rPr>
  </w:style>
  <w:style w:type="paragraph" w:customStyle="1" w:styleId="cosavetonewfolder">
    <w:name w:val="co_savetonewfolder"/>
    <w:basedOn w:val="Normal"/>
    <w:rsid w:val="00435883"/>
    <w:pPr>
      <w:spacing w:before="150" w:after="210"/>
      <w:ind w:left="300" w:right="150"/>
    </w:pPr>
    <w:rPr>
      <w:bCs w:val="0"/>
      <w:sz w:val="24"/>
    </w:rPr>
  </w:style>
  <w:style w:type="paragraph" w:customStyle="1" w:styleId="fileuploadoverallprogress">
    <w:name w:val="file_upload_overall_progress"/>
    <w:basedOn w:val="Normal"/>
    <w:rsid w:val="00435883"/>
    <w:pPr>
      <w:spacing w:before="100" w:beforeAutospacing="1" w:after="100" w:afterAutospacing="1"/>
    </w:pPr>
    <w:rPr>
      <w:bCs w:val="0"/>
      <w:sz w:val="24"/>
    </w:rPr>
  </w:style>
  <w:style w:type="paragraph" w:customStyle="1" w:styleId="codropdownboxaddfilestypefile">
    <w:name w:val="co_dropdownbox_addfiles[type=file]"/>
    <w:basedOn w:val="Normal"/>
    <w:rsid w:val="00435883"/>
    <w:pPr>
      <w:spacing w:before="210" w:after="120"/>
      <w:ind w:right="150"/>
    </w:pPr>
    <w:rPr>
      <w:bCs w:val="0"/>
      <w:sz w:val="24"/>
    </w:rPr>
  </w:style>
  <w:style w:type="paragraph" w:customStyle="1" w:styleId="codeliveryfolderexporttree">
    <w:name w:val="co_deliveryfolderexport_tree"/>
    <w:basedOn w:val="Normal"/>
    <w:rsid w:val="00435883"/>
    <w:pPr>
      <w:spacing w:before="100" w:beforeAutospacing="1" w:after="100" w:afterAutospacing="1"/>
    </w:pPr>
    <w:rPr>
      <w:bCs w:val="0"/>
      <w:sz w:val="24"/>
    </w:rPr>
  </w:style>
  <w:style w:type="paragraph" w:customStyle="1" w:styleId="codeliveryfolderexportabout">
    <w:name w:val="co_deliveryfolderexport_about"/>
    <w:basedOn w:val="Normal"/>
    <w:rsid w:val="00435883"/>
    <w:pPr>
      <w:shd w:val="clear" w:color="auto" w:fill="E4E7E8"/>
      <w:spacing w:before="100" w:beforeAutospacing="1" w:after="100" w:afterAutospacing="1"/>
    </w:pPr>
    <w:rPr>
      <w:bCs w:val="0"/>
      <w:sz w:val="24"/>
    </w:rPr>
  </w:style>
  <w:style w:type="paragraph" w:customStyle="1" w:styleId="codeliveryfolderexportaboutpdflink">
    <w:name w:val="co_deliveryfolderexport_about_pdflink"/>
    <w:basedOn w:val="Normal"/>
    <w:rsid w:val="00435883"/>
    <w:pPr>
      <w:spacing w:before="100" w:beforeAutospacing="1" w:after="100" w:afterAutospacing="1"/>
    </w:pPr>
    <w:rPr>
      <w:bCs w:val="0"/>
      <w:sz w:val="24"/>
    </w:rPr>
  </w:style>
  <w:style w:type="paragraph" w:customStyle="1" w:styleId="codeliveryfolderexportaboutvideolink">
    <w:name w:val="co_deliveryfolderexport_about_videolink"/>
    <w:basedOn w:val="Normal"/>
    <w:rsid w:val="00435883"/>
    <w:pPr>
      <w:spacing w:before="100" w:beforeAutospacing="1" w:after="100" w:afterAutospacing="1"/>
    </w:pPr>
    <w:rPr>
      <w:bCs w:val="0"/>
      <w:sz w:val="24"/>
    </w:rPr>
  </w:style>
  <w:style w:type="paragraph" w:customStyle="1" w:styleId="cobaltrohistoryfoldertreeroot">
    <w:name w:val="cobalt_ro_history_foldertree_root"/>
    <w:basedOn w:val="Normal"/>
    <w:rsid w:val="00435883"/>
    <w:pPr>
      <w:spacing w:before="100" w:beforeAutospacing="1" w:after="100" w:afterAutospacing="1"/>
    </w:pPr>
    <w:rPr>
      <w:bCs w:val="0"/>
      <w:sz w:val="24"/>
    </w:rPr>
  </w:style>
  <w:style w:type="paragraph" w:customStyle="1" w:styleId="cobaltromyfoldersfoldertreeeditingactionroot">
    <w:name w:val="cobalt_ro_myfolders_foldertree_editingaction_root"/>
    <w:basedOn w:val="Normal"/>
    <w:rsid w:val="00435883"/>
    <w:pPr>
      <w:pBdr>
        <w:top w:val="single" w:sz="6" w:space="0" w:color="E4E7E8"/>
        <w:bottom w:val="single" w:sz="6" w:space="0" w:color="E4E7E8"/>
      </w:pBdr>
      <w:spacing w:before="100" w:beforeAutospacing="1" w:after="100" w:afterAutospacing="1"/>
    </w:pPr>
    <w:rPr>
      <w:bCs w:val="0"/>
      <w:sz w:val="24"/>
    </w:rPr>
  </w:style>
  <w:style w:type="paragraph" w:customStyle="1" w:styleId="cotreeviewrowtable">
    <w:name w:val="co_treeview_rowtable"/>
    <w:basedOn w:val="Normal"/>
    <w:rsid w:val="00435883"/>
    <w:pPr>
      <w:spacing w:before="100" w:beforeAutospacing="1" w:after="100" w:afterAutospacing="1"/>
    </w:pPr>
    <w:rPr>
      <w:bCs w:val="0"/>
      <w:sz w:val="24"/>
    </w:rPr>
  </w:style>
  <w:style w:type="paragraph" w:customStyle="1" w:styleId="cotrash">
    <w:name w:val="co_trash"/>
    <w:basedOn w:val="Normal"/>
    <w:rsid w:val="00435883"/>
    <w:pPr>
      <w:spacing w:before="100" w:beforeAutospacing="1" w:after="100" w:afterAutospacing="1" w:line="285" w:lineRule="atLeast"/>
    </w:pPr>
    <w:rPr>
      <w:bCs w:val="0"/>
      <w:sz w:val="24"/>
    </w:rPr>
  </w:style>
  <w:style w:type="paragraph" w:customStyle="1" w:styleId="cofolderingtreetogglea">
    <w:name w:val="co_foldering_tree_toggle&gt;a"/>
    <w:basedOn w:val="Normal"/>
    <w:rsid w:val="00435883"/>
    <w:pPr>
      <w:ind w:left="45"/>
    </w:pPr>
    <w:rPr>
      <w:b/>
      <w:caps/>
      <w:color w:val="252525"/>
      <w:sz w:val="24"/>
    </w:rPr>
  </w:style>
  <w:style w:type="paragraph" w:customStyle="1" w:styleId="cotreedisallow">
    <w:name w:val="co_treedisallow"/>
    <w:basedOn w:val="Normal"/>
    <w:rsid w:val="00435883"/>
    <w:pPr>
      <w:spacing w:before="100" w:beforeAutospacing="1" w:after="100" w:afterAutospacing="1"/>
    </w:pPr>
    <w:rPr>
      <w:bCs w:val="0"/>
      <w:color w:val="D6D6D6"/>
      <w:sz w:val="24"/>
    </w:rPr>
  </w:style>
  <w:style w:type="paragraph" w:customStyle="1" w:styleId="cofolderingtreescrollwrapper">
    <w:name w:val="co_foldering_tree_scrollwrapper"/>
    <w:basedOn w:val="Normal"/>
    <w:rsid w:val="00435883"/>
    <w:pPr>
      <w:pBdr>
        <w:bottom w:val="single" w:sz="6" w:space="0" w:color="E4E7E8"/>
      </w:pBdr>
    </w:pPr>
    <w:rPr>
      <w:bCs w:val="0"/>
      <w:sz w:val="24"/>
    </w:rPr>
  </w:style>
  <w:style w:type="paragraph" w:customStyle="1" w:styleId="cobaltromyfoldersfoldertreeroot">
    <w:name w:val="cobalt_ro_myfolders_foldertree_root"/>
    <w:basedOn w:val="Normal"/>
    <w:rsid w:val="00435883"/>
    <w:pPr>
      <w:spacing w:before="100" w:beforeAutospacing="1" w:after="100" w:afterAutospacing="1"/>
      <w:ind w:left="-150"/>
    </w:pPr>
    <w:rPr>
      <w:bCs w:val="0"/>
      <w:sz w:val="24"/>
    </w:rPr>
  </w:style>
  <w:style w:type="paragraph" w:customStyle="1" w:styleId="cofolderingtree">
    <w:name w:val="co_foldering_tree"/>
    <w:basedOn w:val="Normal"/>
    <w:rsid w:val="00435883"/>
    <w:pPr>
      <w:spacing w:line="270" w:lineRule="atLeast"/>
    </w:pPr>
    <w:rPr>
      <w:bCs w:val="0"/>
      <w:sz w:val="24"/>
    </w:rPr>
  </w:style>
  <w:style w:type="paragraph" w:customStyle="1" w:styleId="codragdropboxallowimage">
    <w:name w:val="co_dragdropbox_allowimage"/>
    <w:basedOn w:val="Normal"/>
    <w:rsid w:val="0043588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bCs w:val="0"/>
      <w:sz w:val="24"/>
    </w:rPr>
  </w:style>
  <w:style w:type="paragraph" w:customStyle="1" w:styleId="codragdropboxdisallowimage">
    <w:name w:val="co_dragdropbox_disallowimage"/>
    <w:basedOn w:val="Normal"/>
    <w:rsid w:val="0043588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bCs w:val="0"/>
      <w:sz w:val="24"/>
    </w:rPr>
  </w:style>
  <w:style w:type="paragraph" w:customStyle="1" w:styleId="codragdropboxneutralimage">
    <w:name w:val="co_dragdropbox_neutralimage"/>
    <w:basedOn w:val="Normal"/>
    <w:rsid w:val="0043588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bCs w:val="0"/>
      <w:sz w:val="24"/>
    </w:rPr>
  </w:style>
  <w:style w:type="paragraph" w:customStyle="1" w:styleId="cobuttonsearchsmallblue">
    <w:name w:val="co_button_searchsmallblue"/>
    <w:basedOn w:val="Normal"/>
    <w:rsid w:val="00435883"/>
    <w:pPr>
      <w:ind w:hanging="14985"/>
    </w:pPr>
    <w:rPr>
      <w:bCs w:val="0"/>
      <w:sz w:val="24"/>
    </w:rPr>
  </w:style>
  <w:style w:type="paragraph" w:customStyle="1" w:styleId="submitbutton">
    <w:name w:val="submitbutton"/>
    <w:basedOn w:val="Normal"/>
    <w:rsid w:val="00435883"/>
    <w:pPr>
      <w:pBdr>
        <w:top w:val="single" w:sz="2" w:space="0" w:color="3783D1"/>
        <w:left w:val="single" w:sz="2" w:space="0" w:color="3783D1"/>
        <w:bottom w:val="single" w:sz="2" w:space="4" w:color="3783D1"/>
        <w:right w:val="single" w:sz="2" w:space="0" w:color="3783D1"/>
      </w:pBdr>
      <w:shd w:val="clear" w:color="auto" w:fill="3783D1"/>
      <w:spacing w:after="45"/>
      <w:ind w:left="90"/>
      <w:textAlignment w:val="center"/>
    </w:pPr>
    <w:rPr>
      <w:b/>
      <w:color w:val="FFFFFF"/>
      <w:sz w:val="22"/>
      <w:szCs w:val="22"/>
    </w:rPr>
  </w:style>
  <w:style w:type="paragraph" w:customStyle="1" w:styleId="cotbbuttoni">
    <w:name w:val="co_tbbutton&gt;i"/>
    <w:basedOn w:val="Normal"/>
    <w:rsid w:val="00435883"/>
    <w:pPr>
      <w:spacing w:before="100" w:beforeAutospacing="1" w:after="100" w:afterAutospacing="1"/>
      <w:ind w:right="75"/>
      <w:textAlignment w:val="center"/>
    </w:pPr>
    <w:rPr>
      <w:bCs w:val="0"/>
      <w:sz w:val="24"/>
    </w:rPr>
  </w:style>
  <w:style w:type="paragraph" w:customStyle="1" w:styleId="cobtnbacki">
    <w:name w:val="co_btnback&gt;i"/>
    <w:basedOn w:val="Normal"/>
    <w:rsid w:val="00435883"/>
    <w:pPr>
      <w:spacing w:before="100" w:beforeAutospacing="1" w:after="100" w:afterAutospacing="1"/>
    </w:pPr>
    <w:rPr>
      <w:bCs w:val="0"/>
      <w:sz w:val="24"/>
    </w:rPr>
  </w:style>
  <w:style w:type="paragraph" w:customStyle="1" w:styleId="cobtnrefreshi">
    <w:name w:val="co_btnrefresh&gt;i"/>
    <w:basedOn w:val="Normal"/>
    <w:rsid w:val="00435883"/>
    <w:pPr>
      <w:spacing w:before="100" w:beforeAutospacing="1" w:after="100" w:afterAutospacing="1"/>
      <w:ind w:left="-90"/>
    </w:pPr>
    <w:rPr>
      <w:bCs w:val="0"/>
      <w:sz w:val="24"/>
    </w:rPr>
  </w:style>
  <w:style w:type="paragraph" w:customStyle="1" w:styleId="cobtnrefresh">
    <w:name w:val="co_btnrefresh"/>
    <w:basedOn w:val="Normal"/>
    <w:rsid w:val="00435883"/>
    <w:pPr>
      <w:pBdr>
        <w:top w:val="single" w:sz="6" w:space="0" w:color="CCCCCC"/>
        <w:left w:val="single" w:sz="6" w:space="0" w:color="CCCCCC"/>
        <w:bottom w:val="single" w:sz="6" w:space="0" w:color="CCCCCC"/>
        <w:right w:val="single" w:sz="6" w:space="0" w:color="CCCCCC"/>
      </w:pBdr>
      <w:spacing w:before="100" w:beforeAutospacing="1" w:after="100" w:afterAutospacing="1"/>
    </w:pPr>
    <w:rPr>
      <w:b/>
      <w:color w:val="145DA4"/>
      <w:spacing w:val="19"/>
      <w:sz w:val="17"/>
      <w:szCs w:val="17"/>
    </w:rPr>
  </w:style>
  <w:style w:type="paragraph" w:customStyle="1" w:styleId="menubar">
    <w:name w:val="menubar"/>
    <w:basedOn w:val="Normal"/>
    <w:rsid w:val="00435883"/>
    <w:pPr>
      <w:pBdr>
        <w:bottom w:val="single" w:sz="6" w:space="0" w:color="CCCCCC"/>
      </w:pBdr>
      <w:shd w:val="clear" w:color="auto" w:fill="FFFFFF"/>
      <w:spacing w:before="100" w:beforeAutospacing="1" w:after="100" w:afterAutospacing="1"/>
    </w:pPr>
    <w:rPr>
      <w:bCs w:val="0"/>
      <w:sz w:val="24"/>
    </w:rPr>
  </w:style>
  <w:style w:type="paragraph" w:customStyle="1" w:styleId="menubaroverlay">
    <w:name w:val="menubaroverlay"/>
    <w:basedOn w:val="Normal"/>
    <w:rsid w:val="00435883"/>
    <w:pPr>
      <w:spacing w:before="100" w:beforeAutospacing="1" w:after="100" w:afterAutospacing="1"/>
    </w:pPr>
    <w:rPr>
      <w:bCs w:val="0"/>
      <w:vanish/>
      <w:sz w:val="24"/>
    </w:rPr>
  </w:style>
  <w:style w:type="paragraph" w:customStyle="1" w:styleId="menubarmenucontainera">
    <w:name w:val="menubarmenucontainer&gt;a"/>
    <w:basedOn w:val="Normal"/>
    <w:rsid w:val="00435883"/>
    <w:pPr>
      <w:spacing w:before="100" w:beforeAutospacing="1" w:after="100" w:afterAutospacing="1" w:line="450" w:lineRule="atLeast"/>
    </w:pPr>
    <w:rPr>
      <w:bCs w:val="0"/>
      <w:sz w:val="24"/>
    </w:rPr>
  </w:style>
  <w:style w:type="paragraph" w:customStyle="1" w:styleId="menubarmenulist">
    <w:name w:val="menubarmenulist"/>
    <w:basedOn w:val="Normal"/>
    <w:rsid w:val="00435883"/>
    <w:pPr>
      <w:pBdr>
        <w:top w:val="single" w:sz="2" w:space="0" w:color="BBBBBB"/>
        <w:left w:val="single" w:sz="6" w:space="6" w:color="BBBBBB"/>
        <w:bottom w:val="single" w:sz="6" w:space="6" w:color="BBBBBB"/>
        <w:right w:val="single" w:sz="6" w:space="6" w:color="BBBBBB"/>
      </w:pBdr>
      <w:shd w:val="clear" w:color="auto" w:fill="FFFFFF"/>
      <w:spacing w:before="100" w:beforeAutospacing="1" w:after="100" w:afterAutospacing="1"/>
    </w:pPr>
    <w:rPr>
      <w:bCs w:val="0"/>
      <w:vanish/>
      <w:sz w:val="24"/>
    </w:rPr>
  </w:style>
  <w:style w:type="paragraph" w:customStyle="1" w:styleId="cotaskshierarchyicon">
    <w:name w:val="co_taskshierarchyicon"/>
    <w:basedOn w:val="Normal"/>
    <w:rsid w:val="00435883"/>
    <w:pPr>
      <w:spacing w:before="100" w:beforeAutospacing="1" w:after="100" w:afterAutospacing="1"/>
      <w:ind w:firstLine="15300"/>
      <w:textAlignment w:val="center"/>
    </w:pPr>
    <w:rPr>
      <w:bCs w:val="0"/>
      <w:sz w:val="24"/>
    </w:rPr>
  </w:style>
  <w:style w:type="paragraph" w:customStyle="1" w:styleId="coforminline">
    <w:name w:val="co_forminline"/>
    <w:basedOn w:val="Normal"/>
    <w:rsid w:val="00435883"/>
    <w:pPr>
      <w:spacing w:before="100" w:beforeAutospacing="1" w:after="100" w:afterAutospacing="1" w:line="300" w:lineRule="atLeast"/>
    </w:pPr>
    <w:rPr>
      <w:bCs w:val="0"/>
      <w:sz w:val="24"/>
    </w:rPr>
  </w:style>
  <w:style w:type="paragraph" w:customStyle="1" w:styleId="coformlabel">
    <w:name w:val="co_formlabel"/>
    <w:basedOn w:val="Normal"/>
    <w:rsid w:val="00435883"/>
    <w:pPr>
      <w:spacing w:before="150" w:after="100" w:afterAutospacing="1"/>
    </w:pPr>
    <w:rPr>
      <w:bCs w:val="0"/>
      <w:sz w:val="24"/>
    </w:rPr>
  </w:style>
  <w:style w:type="paragraph" w:customStyle="1" w:styleId="coformgroup-actions">
    <w:name w:val="co_formgroup-actions"/>
    <w:basedOn w:val="Normal"/>
    <w:rsid w:val="00435883"/>
    <w:pPr>
      <w:spacing w:before="100" w:beforeAutospacing="1" w:after="100" w:afterAutospacing="1"/>
      <w:jc w:val="center"/>
      <w:textAlignment w:val="center"/>
    </w:pPr>
    <w:rPr>
      <w:bCs w:val="0"/>
      <w:sz w:val="24"/>
    </w:rPr>
  </w:style>
  <w:style w:type="paragraph" w:customStyle="1" w:styleId="coformtextselect">
    <w:name w:val="co_formtextselect"/>
    <w:basedOn w:val="Normal"/>
    <w:rsid w:val="00435883"/>
    <w:pPr>
      <w:spacing w:before="100" w:beforeAutospacing="1" w:after="100" w:afterAutospacing="1"/>
    </w:pPr>
    <w:rPr>
      <w:bCs w:val="0"/>
      <w:sz w:val="24"/>
    </w:rPr>
  </w:style>
  <w:style w:type="paragraph" w:customStyle="1" w:styleId="corecentsearcheslink">
    <w:name w:val="co_recentsearcheslink"/>
    <w:basedOn w:val="Normal"/>
    <w:rsid w:val="00435883"/>
    <w:pPr>
      <w:shd w:val="clear" w:color="auto" w:fill="FFFFFF"/>
      <w:spacing w:before="100" w:beforeAutospacing="1" w:after="100" w:afterAutospacing="1"/>
      <w:ind w:hanging="3928"/>
    </w:pPr>
    <w:rPr>
      <w:bCs w:val="0"/>
      <w:sz w:val="24"/>
    </w:rPr>
  </w:style>
  <w:style w:type="paragraph" w:customStyle="1" w:styleId="codefaultbtn">
    <w:name w:val="co_defaultbtn"/>
    <w:basedOn w:val="Normal"/>
    <w:rsid w:val="00435883"/>
    <w:pPr>
      <w:pBdr>
        <w:top w:val="single" w:sz="6" w:space="0" w:color="D6D6D6"/>
        <w:left w:val="single" w:sz="6" w:space="0" w:color="D6D6D6"/>
        <w:bottom w:val="single" w:sz="6" w:space="0" w:color="D6D6D6"/>
        <w:right w:val="single" w:sz="6" w:space="0" w:color="D6D6D6"/>
      </w:pBdr>
      <w:shd w:val="clear" w:color="auto" w:fill="F6F6F6"/>
      <w:spacing w:before="100" w:beforeAutospacing="1" w:after="100" w:afterAutospacing="1"/>
    </w:pPr>
    <w:rPr>
      <w:bCs w:val="0"/>
      <w:color w:val="145DA4"/>
      <w:sz w:val="24"/>
    </w:rPr>
  </w:style>
  <w:style w:type="paragraph" w:customStyle="1" w:styleId="cosecondarybtn">
    <w:name w:val="co_secondarybtn"/>
    <w:basedOn w:val="Normal"/>
    <w:rsid w:val="00435883"/>
    <w:pPr>
      <w:pBdr>
        <w:top w:val="single" w:sz="6" w:space="0" w:color="EC7A04"/>
        <w:left w:val="single" w:sz="6" w:space="0" w:color="EC7A04"/>
        <w:bottom w:val="single" w:sz="6" w:space="0" w:color="EC7A04"/>
        <w:right w:val="single" w:sz="6" w:space="0" w:color="EC7A04"/>
      </w:pBdr>
      <w:shd w:val="clear" w:color="auto" w:fill="EE9B1D"/>
      <w:spacing w:before="100" w:beforeAutospacing="1" w:after="100" w:afterAutospacing="1"/>
    </w:pPr>
    <w:rPr>
      <w:bCs w:val="0"/>
      <w:color w:val="FFFFFF"/>
      <w:sz w:val="24"/>
    </w:rPr>
  </w:style>
  <w:style w:type="paragraph" w:customStyle="1" w:styleId="cotransparentbtn">
    <w:name w:val="co_transparentbtn"/>
    <w:basedOn w:val="Normal"/>
    <w:rsid w:val="00435883"/>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sz w:val="24"/>
    </w:rPr>
  </w:style>
  <w:style w:type="paragraph" w:customStyle="1" w:styleId="colinkbtn">
    <w:name w:val="co_linkbtn"/>
    <w:basedOn w:val="Normal"/>
    <w:rsid w:val="00435883"/>
    <w:pPr>
      <w:spacing w:before="100" w:beforeAutospacing="1" w:after="100" w:afterAutospacing="1"/>
    </w:pPr>
    <w:rPr>
      <w:b/>
      <w:color w:val="145DA4"/>
      <w:sz w:val="24"/>
    </w:rPr>
  </w:style>
  <w:style w:type="paragraph" w:customStyle="1" w:styleId="coiconbtn">
    <w:name w:val="co_iconbtn"/>
    <w:basedOn w:val="Normal"/>
    <w:rsid w:val="00435883"/>
    <w:pPr>
      <w:spacing w:before="100" w:beforeAutospacing="1" w:after="100" w:afterAutospacing="1"/>
    </w:pPr>
    <w:rPr>
      <w:bCs w:val="0"/>
      <w:sz w:val="24"/>
    </w:rPr>
  </w:style>
  <w:style w:type="paragraph" w:customStyle="1" w:styleId="cobtngray">
    <w:name w:val="co_btngray"/>
    <w:basedOn w:val="Normal"/>
    <w:rsid w:val="00435883"/>
    <w:pPr>
      <w:pBdr>
        <w:top w:val="single" w:sz="6" w:space="0" w:color="CFCFCF"/>
        <w:left w:val="single" w:sz="6" w:space="8" w:color="CFCFCF"/>
        <w:bottom w:val="single" w:sz="6" w:space="0" w:color="777777"/>
        <w:right w:val="single" w:sz="6" w:space="8" w:color="CFCFCF"/>
      </w:pBdr>
      <w:spacing w:before="100" w:beforeAutospacing="1" w:after="100" w:afterAutospacing="1" w:line="315" w:lineRule="atLeast"/>
    </w:pPr>
    <w:rPr>
      <w:bCs w:val="0"/>
      <w:sz w:val="24"/>
    </w:rPr>
  </w:style>
  <w:style w:type="paragraph" w:customStyle="1" w:styleId="cobtngrayi">
    <w:name w:val="co_btngray&gt;i"/>
    <w:basedOn w:val="Normal"/>
    <w:rsid w:val="00435883"/>
    <w:pPr>
      <w:spacing w:before="100" w:beforeAutospacing="1" w:after="100" w:afterAutospacing="1"/>
      <w:ind w:right="75"/>
      <w:textAlignment w:val="center"/>
    </w:pPr>
    <w:rPr>
      <w:bCs w:val="0"/>
      <w:sz w:val="24"/>
    </w:rPr>
  </w:style>
  <w:style w:type="paragraph" w:customStyle="1" w:styleId="corenewalbannerbasicheadermessage">
    <w:name w:val="co_renewalbannerbasicheadermessage"/>
    <w:basedOn w:val="Normal"/>
    <w:rsid w:val="00435883"/>
    <w:pPr>
      <w:spacing w:before="300" w:after="300" w:line="480" w:lineRule="atLeast"/>
    </w:pPr>
    <w:rPr>
      <w:rFonts w:ascii="Knowledge" w:hAnsi="Knowledge"/>
      <w:bCs w:val="0"/>
      <w:sz w:val="48"/>
      <w:szCs w:val="48"/>
    </w:rPr>
  </w:style>
  <w:style w:type="paragraph" w:customStyle="1" w:styleId="corenewalbannersavingsheadermessage">
    <w:name w:val="co_renewalbannersavingsheadermessage"/>
    <w:basedOn w:val="Normal"/>
    <w:rsid w:val="00435883"/>
    <w:pPr>
      <w:spacing w:before="300" w:after="300" w:line="480" w:lineRule="atLeast"/>
    </w:pPr>
    <w:rPr>
      <w:rFonts w:ascii="Knowledge" w:hAnsi="Knowledge"/>
      <w:bCs w:val="0"/>
      <w:sz w:val="48"/>
      <w:szCs w:val="48"/>
    </w:rPr>
  </w:style>
  <w:style w:type="paragraph" w:customStyle="1" w:styleId="corenewalbannerbasicbuttonwrapper">
    <w:name w:val="co_renewalbannerbasicbuttonwrapper"/>
    <w:basedOn w:val="Normal"/>
    <w:rsid w:val="00435883"/>
    <w:pPr>
      <w:spacing w:before="100" w:beforeAutospacing="1" w:after="100" w:afterAutospacing="1"/>
    </w:pPr>
    <w:rPr>
      <w:bCs w:val="0"/>
      <w:sz w:val="24"/>
    </w:rPr>
  </w:style>
  <w:style w:type="paragraph" w:customStyle="1" w:styleId="corenewalbannersavingsbuttonwrapper">
    <w:name w:val="co_renewalbannersavingsbuttonwrapper"/>
    <w:basedOn w:val="Normal"/>
    <w:rsid w:val="00435883"/>
    <w:pPr>
      <w:spacing w:before="100" w:beforeAutospacing="1" w:after="100" w:afterAutospacing="1"/>
    </w:pPr>
    <w:rPr>
      <w:bCs w:val="0"/>
      <w:sz w:val="24"/>
    </w:rPr>
  </w:style>
  <w:style w:type="paragraph" w:customStyle="1" w:styleId="corenewalbannerbasicremindme">
    <w:name w:val="co_renewalbannerbasicremindme"/>
    <w:basedOn w:val="Normal"/>
    <w:rsid w:val="00435883"/>
    <w:pPr>
      <w:spacing w:before="100" w:beforeAutospacing="1" w:after="100" w:afterAutospacing="1"/>
    </w:pPr>
    <w:rPr>
      <w:b/>
      <w:sz w:val="24"/>
      <w:u w:val="single"/>
    </w:rPr>
  </w:style>
  <w:style w:type="paragraph" w:customStyle="1" w:styleId="corenewalbannersavingsremindme">
    <w:name w:val="co_renewalbannersavingsremindme"/>
    <w:basedOn w:val="Normal"/>
    <w:rsid w:val="00435883"/>
    <w:pPr>
      <w:spacing w:before="100" w:beforeAutospacing="1" w:after="100" w:afterAutospacing="1"/>
    </w:pPr>
    <w:rPr>
      <w:b/>
      <w:sz w:val="24"/>
      <w:u w:val="single"/>
    </w:rPr>
  </w:style>
  <w:style w:type="paragraph" w:customStyle="1" w:styleId="corenewalbannerbasicremindmewrapper">
    <w:name w:val="co_renewalbannerbasicremindmewrapper"/>
    <w:basedOn w:val="Normal"/>
    <w:rsid w:val="00435883"/>
    <w:pPr>
      <w:spacing w:before="100" w:beforeAutospacing="1" w:after="100" w:afterAutospacing="1"/>
    </w:pPr>
    <w:rPr>
      <w:bCs w:val="0"/>
      <w:sz w:val="24"/>
    </w:rPr>
  </w:style>
  <w:style w:type="paragraph" w:customStyle="1" w:styleId="corenewalbannersavingsad">
    <w:name w:val="co_renewalbannersavingsad"/>
    <w:basedOn w:val="Normal"/>
    <w:rsid w:val="00435883"/>
    <w:pPr>
      <w:shd w:val="clear" w:color="auto" w:fill="F7F7F7"/>
      <w:spacing w:before="450"/>
      <w:ind w:left="-180" w:right="-180"/>
    </w:pPr>
    <w:rPr>
      <w:bCs w:val="0"/>
      <w:sz w:val="24"/>
    </w:rPr>
  </w:style>
  <w:style w:type="paragraph" w:customStyle="1" w:styleId="corenewalmeta">
    <w:name w:val="co_renewal_meta"/>
    <w:basedOn w:val="Normal"/>
    <w:rsid w:val="00435883"/>
    <w:pPr>
      <w:spacing w:before="100" w:beforeAutospacing="1" w:after="100" w:afterAutospacing="1"/>
    </w:pPr>
    <w:rPr>
      <w:bCs w:val="0"/>
      <w:sz w:val="18"/>
      <w:szCs w:val="18"/>
    </w:rPr>
  </w:style>
  <w:style w:type="paragraph" w:customStyle="1" w:styleId="corenewalbannersavingslogo">
    <w:name w:val="co_renewalbannersavingslogo"/>
    <w:basedOn w:val="Normal"/>
    <w:rsid w:val="00435883"/>
    <w:pPr>
      <w:spacing w:before="100" w:beforeAutospacing="1" w:after="100" w:afterAutospacing="1"/>
      <w:ind w:firstLine="22384"/>
    </w:pPr>
    <w:rPr>
      <w:bCs w:val="0"/>
      <w:sz w:val="24"/>
    </w:rPr>
  </w:style>
  <w:style w:type="paragraph" w:customStyle="1" w:styleId="cocalendar">
    <w:name w:val="co_calendar"/>
    <w:basedOn w:val="Normal"/>
    <w:rsid w:val="00435883"/>
    <w:pPr>
      <w:spacing w:before="100" w:beforeAutospacing="1" w:after="100" w:afterAutospacing="1"/>
    </w:pPr>
    <w:rPr>
      <w:rFonts w:ascii="Arial" w:hAnsi="Arial" w:cs="Arial"/>
      <w:bCs w:val="0"/>
      <w:sz w:val="24"/>
    </w:rPr>
  </w:style>
  <w:style w:type="paragraph" w:customStyle="1" w:styleId="cocalendargridcontainer">
    <w:name w:val="co_calendar_gridcontainer"/>
    <w:basedOn w:val="Normal"/>
    <w:rsid w:val="00435883"/>
    <w:pPr>
      <w:pBdr>
        <w:top w:val="single" w:sz="12" w:space="6" w:color="CCCCCC"/>
        <w:left w:val="single" w:sz="2" w:space="0" w:color="CCCCCC"/>
        <w:bottom w:val="single" w:sz="12" w:space="6" w:color="CCCCCC"/>
        <w:right w:val="single" w:sz="2" w:space="0" w:color="CCCCCC"/>
      </w:pBdr>
      <w:spacing w:before="100" w:beforeAutospacing="1" w:after="100" w:afterAutospacing="1"/>
    </w:pPr>
    <w:rPr>
      <w:bCs w:val="0"/>
      <w:sz w:val="24"/>
    </w:rPr>
  </w:style>
  <w:style w:type="paragraph" w:customStyle="1" w:styleId="cocalendarmonth">
    <w:name w:val="co_calendar_month"/>
    <w:basedOn w:val="Normal"/>
    <w:rsid w:val="00435883"/>
    <w:pPr>
      <w:spacing w:before="100" w:beforeAutospacing="1" w:after="100" w:afterAutospacing="1"/>
    </w:pPr>
    <w:rPr>
      <w:bCs w:val="0"/>
      <w:sz w:val="24"/>
    </w:rPr>
  </w:style>
  <w:style w:type="paragraph" w:customStyle="1" w:styleId="cocalendartitle">
    <w:name w:val="co_calendar_title"/>
    <w:basedOn w:val="Normal"/>
    <w:rsid w:val="00435883"/>
    <w:pPr>
      <w:spacing w:before="100" w:beforeAutospacing="1" w:after="100" w:afterAutospacing="1" w:line="315" w:lineRule="atLeast"/>
    </w:pPr>
    <w:rPr>
      <w:b/>
      <w:sz w:val="23"/>
      <w:szCs w:val="23"/>
    </w:rPr>
  </w:style>
  <w:style w:type="paragraph" w:customStyle="1" w:styleId="cocalendermonthselector">
    <w:name w:val="co_calender_monthselector"/>
    <w:basedOn w:val="Normal"/>
    <w:rsid w:val="00435883"/>
    <w:pPr>
      <w:shd w:val="clear" w:color="auto" w:fill="F7F7F7"/>
      <w:spacing w:before="100" w:beforeAutospacing="1" w:after="100" w:afterAutospacing="1"/>
    </w:pPr>
    <w:rPr>
      <w:bCs w:val="0"/>
      <w:color w:val="212121"/>
      <w:sz w:val="24"/>
    </w:rPr>
  </w:style>
  <w:style w:type="paragraph" w:customStyle="1" w:styleId="cocalendareventday">
    <w:name w:val="co_calendar_eventday"/>
    <w:basedOn w:val="Normal"/>
    <w:rsid w:val="00435883"/>
    <w:pPr>
      <w:shd w:val="clear" w:color="auto" w:fill="0072A8"/>
      <w:spacing w:before="100" w:beforeAutospacing="1" w:after="100" w:afterAutospacing="1"/>
    </w:pPr>
    <w:rPr>
      <w:bCs w:val="0"/>
      <w:color w:val="FFFFFF"/>
      <w:sz w:val="24"/>
    </w:rPr>
  </w:style>
  <w:style w:type="paragraph" w:customStyle="1" w:styleId="cosearchwithinwidgetdropdowncontainerinner">
    <w:name w:val="co_searchwithinwidgetdropdowncontainerinner"/>
    <w:basedOn w:val="Normal"/>
    <w:rsid w:val="00435883"/>
    <w:rPr>
      <w:bCs w:val="0"/>
      <w:sz w:val="24"/>
    </w:rPr>
  </w:style>
  <w:style w:type="paragraph" w:customStyle="1" w:styleId="cosearchwithinwidgetsearchbutton">
    <w:name w:val="co_searchwithinwidget_searchbutton"/>
    <w:basedOn w:val="Normal"/>
    <w:rsid w:val="00435883"/>
    <w:pPr>
      <w:ind w:left="75" w:right="75"/>
      <w:textAlignment w:val="top"/>
    </w:pPr>
    <w:rPr>
      <w:bCs w:val="0"/>
      <w:sz w:val="24"/>
    </w:rPr>
  </w:style>
  <w:style w:type="paragraph" w:customStyle="1" w:styleId="cosearchwithinwidgetmessage">
    <w:name w:val="co_searchwithinwidgetmessage"/>
    <w:basedOn w:val="Normal"/>
    <w:rsid w:val="00435883"/>
    <w:pPr>
      <w:spacing w:before="100" w:beforeAutospacing="1" w:after="100" w:afterAutospacing="1"/>
      <w:ind w:right="3015"/>
    </w:pPr>
    <w:rPr>
      <w:bCs w:val="0"/>
      <w:sz w:val="24"/>
    </w:rPr>
  </w:style>
  <w:style w:type="paragraph" w:customStyle="1" w:styleId="cosearchwithinwidgetsearchinputcontainer">
    <w:name w:val="co_searchwithinwidget_searchinputcontainer"/>
    <w:basedOn w:val="Normal"/>
    <w:rsid w:val="00435883"/>
    <w:pPr>
      <w:spacing w:before="100" w:beforeAutospacing="1" w:after="100" w:afterAutospacing="1"/>
    </w:pPr>
    <w:rPr>
      <w:bCs w:val="0"/>
      <w:sz w:val="24"/>
    </w:rPr>
  </w:style>
  <w:style w:type="paragraph" w:customStyle="1" w:styleId="cosearchwithinwidgetsearchinputwithrecentsearch">
    <w:name w:val="co_searchwithinwidget_searchinput_withrecentsearch"/>
    <w:basedOn w:val="Normal"/>
    <w:rsid w:val="00435883"/>
    <w:pPr>
      <w:pBdr>
        <w:top w:val="single" w:sz="6" w:space="0" w:color="BBBBBB"/>
        <w:left w:val="single" w:sz="6" w:space="4" w:color="BBBBBB"/>
        <w:bottom w:val="single" w:sz="6" w:space="0" w:color="BBBBBB"/>
        <w:right w:val="single" w:sz="6" w:space="4" w:color="BBBBBB"/>
      </w:pBdr>
      <w:spacing w:before="100" w:beforeAutospacing="1" w:after="100" w:afterAutospacing="1" w:line="300" w:lineRule="atLeast"/>
    </w:pPr>
    <w:rPr>
      <w:bCs w:val="0"/>
      <w:sz w:val="24"/>
    </w:rPr>
  </w:style>
  <w:style w:type="paragraph" w:customStyle="1" w:styleId="cosearchwithinwidgetsearchinput">
    <w:name w:val="co_searchwithinwidget_searchinput"/>
    <w:basedOn w:val="Normal"/>
    <w:rsid w:val="00435883"/>
    <w:pPr>
      <w:pBdr>
        <w:top w:val="single" w:sz="6" w:space="0" w:color="BBBBBB"/>
        <w:left w:val="single" w:sz="6" w:space="4" w:color="BBBBBB"/>
        <w:bottom w:val="single" w:sz="6" w:space="0" w:color="BBBBBB"/>
        <w:right w:val="single" w:sz="6" w:space="4" w:color="BBBBBB"/>
      </w:pBdr>
      <w:spacing w:before="100" w:beforeAutospacing="1" w:after="100" w:afterAutospacing="1" w:line="300" w:lineRule="atLeast"/>
    </w:pPr>
    <w:rPr>
      <w:bCs w:val="0"/>
      <w:sz w:val="24"/>
    </w:rPr>
  </w:style>
  <w:style w:type="paragraph" w:customStyle="1" w:styleId="corenditionmiddot">
    <w:name w:val="co_renditionmiddot"/>
    <w:basedOn w:val="Normal"/>
    <w:rsid w:val="00435883"/>
    <w:pPr>
      <w:spacing w:before="100" w:beforeAutospacing="1" w:after="100" w:afterAutospacing="1"/>
    </w:pPr>
    <w:rPr>
      <w:bCs w:val="0"/>
      <w:sz w:val="24"/>
    </w:rPr>
  </w:style>
  <w:style w:type="paragraph" w:customStyle="1" w:styleId="corenditionother">
    <w:name w:val="co_renditionother"/>
    <w:basedOn w:val="Normal"/>
    <w:rsid w:val="00435883"/>
    <w:pPr>
      <w:spacing w:before="100" w:beforeAutospacing="1" w:after="100" w:afterAutospacing="1"/>
    </w:pPr>
    <w:rPr>
      <w:rFonts w:ascii="Arial" w:hAnsi="Arial" w:cs="Arial"/>
      <w:bCs w:val="0"/>
      <w:sz w:val="19"/>
      <w:szCs w:val="19"/>
    </w:rPr>
  </w:style>
  <w:style w:type="paragraph" w:customStyle="1" w:styleId="badge">
    <w:name w:val="badge"/>
    <w:basedOn w:val="Normal"/>
    <w:rsid w:val="00435883"/>
    <w:pPr>
      <w:shd w:val="clear" w:color="auto" w:fill="565656"/>
      <w:spacing w:before="100" w:beforeAutospacing="1" w:after="100" w:afterAutospacing="1" w:line="210" w:lineRule="atLeast"/>
    </w:pPr>
    <w:rPr>
      <w:b/>
      <w:caps/>
      <w:color w:val="FFFFFF"/>
      <w:sz w:val="17"/>
      <w:szCs w:val="17"/>
    </w:rPr>
  </w:style>
  <w:style w:type="paragraph" w:customStyle="1" w:styleId="badge--new">
    <w:name w:val="badge--new"/>
    <w:basedOn w:val="Normal"/>
    <w:rsid w:val="00435883"/>
    <w:pPr>
      <w:pBdr>
        <w:top w:val="single" w:sz="6" w:space="0" w:color="0F997D"/>
        <w:left w:val="single" w:sz="6" w:space="0" w:color="0F997D"/>
        <w:bottom w:val="single" w:sz="6" w:space="0" w:color="0F997D"/>
        <w:right w:val="single" w:sz="6" w:space="0" w:color="0F997D"/>
      </w:pBdr>
      <w:shd w:val="clear" w:color="auto" w:fill="BEEDE4"/>
      <w:spacing w:before="100" w:beforeAutospacing="1" w:after="100" w:afterAutospacing="1"/>
    </w:pPr>
    <w:rPr>
      <w:bCs w:val="0"/>
      <w:color w:val="1D7366"/>
      <w:sz w:val="24"/>
    </w:rPr>
  </w:style>
  <w:style w:type="paragraph" w:customStyle="1" w:styleId="badge--inactive">
    <w:name w:val="badge--inactive"/>
    <w:basedOn w:val="Normal"/>
    <w:rsid w:val="00435883"/>
    <w:pPr>
      <w:pBdr>
        <w:top w:val="single" w:sz="6" w:space="0" w:color="BABABA"/>
        <w:left w:val="single" w:sz="6" w:space="0" w:color="BABABA"/>
        <w:bottom w:val="single" w:sz="6" w:space="0" w:color="BABABA"/>
        <w:right w:val="single" w:sz="6" w:space="0" w:color="BABABA"/>
      </w:pBdr>
      <w:shd w:val="clear" w:color="auto" w:fill="F0F0F0"/>
      <w:spacing w:before="100" w:beforeAutospacing="1" w:after="100" w:afterAutospacing="1"/>
    </w:pPr>
    <w:rPr>
      <w:bCs w:val="0"/>
      <w:color w:val="3D3D3D"/>
      <w:sz w:val="24"/>
    </w:rPr>
  </w:style>
  <w:style w:type="paragraph" w:customStyle="1" w:styleId="codocketbatchdownload-subheader">
    <w:name w:val="co_docketbatchdownload-subheader"/>
    <w:basedOn w:val="Normal"/>
    <w:rsid w:val="00435883"/>
    <w:pPr>
      <w:spacing w:before="100" w:beforeAutospacing="1" w:after="100" w:afterAutospacing="1"/>
    </w:pPr>
    <w:rPr>
      <w:bCs w:val="0"/>
      <w:sz w:val="24"/>
    </w:rPr>
  </w:style>
  <w:style w:type="paragraph" w:customStyle="1" w:styleId="codocketbatchtoolbar">
    <w:name w:val="co_docketbatchtoolbar"/>
    <w:basedOn w:val="Normal"/>
    <w:rsid w:val="00435883"/>
    <w:pPr>
      <w:spacing w:before="100" w:beforeAutospacing="1" w:after="100" w:afterAutospacing="1"/>
    </w:pPr>
    <w:rPr>
      <w:bCs w:val="0"/>
      <w:sz w:val="24"/>
    </w:rPr>
  </w:style>
  <w:style w:type="paragraph" w:customStyle="1" w:styleId="colimitexceededcontent">
    <w:name w:val="co_limitexceededcontent"/>
    <w:basedOn w:val="Normal"/>
    <w:rsid w:val="00435883"/>
    <w:pPr>
      <w:pBdr>
        <w:bottom w:val="single" w:sz="6" w:space="11" w:color="E4E7E8"/>
      </w:pBdr>
    </w:pPr>
    <w:rPr>
      <w:bCs w:val="0"/>
      <w:sz w:val="24"/>
    </w:rPr>
  </w:style>
  <w:style w:type="paragraph" w:customStyle="1" w:styleId="colimitexceededoptionsbottom">
    <w:name w:val="co_limitexceededoptionsbottom"/>
    <w:basedOn w:val="Normal"/>
    <w:rsid w:val="00435883"/>
    <w:pPr>
      <w:spacing w:before="100" w:beforeAutospacing="1" w:after="100" w:afterAutospacing="1"/>
    </w:pPr>
    <w:rPr>
      <w:bCs w:val="0"/>
      <w:sz w:val="24"/>
    </w:rPr>
  </w:style>
  <w:style w:type="paragraph" w:customStyle="1" w:styleId="colimitexceededprefwrapper">
    <w:name w:val="co_limitexceededprefwrapper"/>
    <w:basedOn w:val="Normal"/>
    <w:rsid w:val="00435883"/>
    <w:pPr>
      <w:spacing w:before="100" w:beforeAutospacing="1" w:after="100" w:afterAutospacing="1"/>
    </w:pPr>
    <w:rPr>
      <w:bCs w:val="0"/>
      <w:sz w:val="24"/>
    </w:rPr>
  </w:style>
  <w:style w:type="paragraph" w:customStyle="1" w:styleId="cogenericpopup">
    <w:name w:val="co_genericpopup"/>
    <w:basedOn w:val="Normal"/>
    <w:rsid w:val="00435883"/>
    <w:pPr>
      <w:pBdr>
        <w:top w:val="single" w:sz="6" w:space="4" w:color="8B8B8B"/>
        <w:left w:val="single" w:sz="6" w:space="4" w:color="8B8B8B"/>
        <w:bottom w:val="single" w:sz="6" w:space="4" w:color="8B8B8B"/>
        <w:right w:val="single" w:sz="6" w:space="4" w:color="8B8B8B"/>
      </w:pBdr>
      <w:shd w:val="clear" w:color="auto" w:fill="FFFFFF"/>
      <w:spacing w:before="100" w:beforeAutospacing="1" w:after="100" w:afterAutospacing="1"/>
    </w:pPr>
    <w:rPr>
      <w:bCs w:val="0"/>
      <w:sz w:val="24"/>
    </w:rPr>
  </w:style>
  <w:style w:type="paragraph" w:customStyle="1" w:styleId="tokenfield">
    <w:name w:val="tokenfield"/>
    <w:basedOn w:val="Normal"/>
    <w:rsid w:val="00435883"/>
    <w:pPr>
      <w:pBdr>
        <w:top w:val="single" w:sz="6" w:space="2" w:color="777777"/>
        <w:left w:val="single" w:sz="6" w:space="2" w:color="BBBBBB"/>
        <w:bottom w:val="single" w:sz="6" w:space="2" w:color="BBBBBB"/>
        <w:right w:val="single" w:sz="6" w:space="2" w:color="BBBBBB"/>
      </w:pBdr>
    </w:pPr>
    <w:rPr>
      <w:bCs w:val="0"/>
      <w:sz w:val="24"/>
    </w:rPr>
  </w:style>
  <w:style w:type="paragraph" w:customStyle="1" w:styleId="token">
    <w:name w:val="token"/>
    <w:basedOn w:val="Normal"/>
    <w:rsid w:val="00435883"/>
    <w:pPr>
      <w:shd w:val="clear" w:color="auto" w:fill="CBE5FE"/>
      <w:spacing w:before="45" w:after="45"/>
      <w:ind w:left="45" w:right="45"/>
    </w:pPr>
    <w:rPr>
      <w:bCs w:val="0"/>
      <w:sz w:val="24"/>
    </w:rPr>
  </w:style>
  <w:style w:type="paragraph" w:customStyle="1" w:styleId="token-label">
    <w:name w:val="token-label"/>
    <w:basedOn w:val="Normal"/>
    <w:rsid w:val="00435883"/>
    <w:pPr>
      <w:spacing w:before="100" w:beforeAutospacing="1" w:after="100" w:afterAutospacing="1"/>
    </w:pPr>
    <w:rPr>
      <w:bCs w:val="0"/>
      <w:color w:val="252525"/>
      <w:sz w:val="24"/>
    </w:rPr>
  </w:style>
  <w:style w:type="paragraph" w:customStyle="1" w:styleId="gradingtoolcontainer">
    <w:name w:val="gradingtoolcontainer"/>
    <w:basedOn w:val="Normal"/>
    <w:rsid w:val="00435883"/>
    <w:pPr>
      <w:pBdr>
        <w:top w:val="single" w:sz="18" w:space="12" w:color="E4E7E8"/>
      </w:pBdr>
      <w:spacing w:before="100" w:beforeAutospacing="1" w:after="100" w:afterAutospacing="1"/>
    </w:pPr>
    <w:rPr>
      <w:bCs w:val="0"/>
      <w:sz w:val="24"/>
    </w:rPr>
  </w:style>
  <w:style w:type="paragraph" w:customStyle="1" w:styleId="gradingtoolbuttons">
    <w:name w:val="gradingtoolbuttons"/>
    <w:basedOn w:val="Normal"/>
    <w:rsid w:val="00435883"/>
    <w:pPr>
      <w:spacing w:before="45" w:after="100" w:afterAutospacing="1"/>
    </w:pPr>
    <w:rPr>
      <w:bCs w:val="0"/>
      <w:sz w:val="24"/>
    </w:rPr>
  </w:style>
  <w:style w:type="paragraph" w:customStyle="1" w:styleId="gradingtoolactions">
    <w:name w:val="gradingtoolactions"/>
    <w:basedOn w:val="Normal"/>
    <w:rsid w:val="00435883"/>
    <w:pPr>
      <w:spacing w:before="100" w:beforeAutospacing="1" w:after="100" w:afterAutospacing="1"/>
    </w:pPr>
    <w:rPr>
      <w:bCs w:val="0"/>
      <w:sz w:val="24"/>
    </w:rPr>
  </w:style>
  <w:style w:type="paragraph" w:customStyle="1" w:styleId="gradingtoolsection--primary">
    <w:name w:val="gradingtoolsection--primary"/>
    <w:basedOn w:val="Normal"/>
    <w:rsid w:val="00435883"/>
    <w:pPr>
      <w:spacing w:before="100" w:beforeAutospacing="1" w:after="100" w:afterAutospacing="1"/>
    </w:pPr>
    <w:rPr>
      <w:bCs w:val="0"/>
      <w:sz w:val="24"/>
    </w:rPr>
  </w:style>
  <w:style w:type="paragraph" w:customStyle="1" w:styleId="coresearchacceleratorexpanded">
    <w:name w:val="co_researchacceleratorexpanded"/>
    <w:basedOn w:val="Normal"/>
    <w:rsid w:val="00435883"/>
    <w:rPr>
      <w:bCs w:val="0"/>
      <w:sz w:val="24"/>
    </w:rPr>
  </w:style>
  <w:style w:type="paragraph" w:customStyle="1" w:styleId="cosearchresultscitation">
    <w:name w:val="co_searchresults_citation"/>
    <w:basedOn w:val="Normal"/>
    <w:rsid w:val="00435883"/>
    <w:pPr>
      <w:spacing w:before="100" w:beforeAutospacing="1" w:after="100" w:afterAutospacing="1"/>
    </w:pPr>
    <w:rPr>
      <w:bCs w:val="0"/>
      <w:sz w:val="24"/>
    </w:rPr>
  </w:style>
  <w:style w:type="paragraph" w:customStyle="1" w:styleId="conwfmodal">
    <w:name w:val="co_nwf_modal"/>
    <w:basedOn w:val="Normal"/>
    <w:rsid w:val="00435883"/>
    <w:pPr>
      <w:spacing w:before="100" w:beforeAutospacing="1" w:after="100" w:afterAutospacing="1"/>
    </w:pPr>
    <w:rPr>
      <w:bCs w:val="0"/>
      <w:color w:val="666666"/>
      <w:szCs w:val="20"/>
    </w:rPr>
  </w:style>
  <w:style w:type="paragraph" w:customStyle="1" w:styleId="conwffeature">
    <w:name w:val="co_nwf_feature"/>
    <w:basedOn w:val="Normal"/>
    <w:rsid w:val="00435883"/>
    <w:pPr>
      <w:spacing w:before="100" w:beforeAutospacing="1" w:after="100" w:afterAutospacing="1"/>
    </w:pPr>
    <w:rPr>
      <w:bCs w:val="0"/>
      <w:sz w:val="24"/>
    </w:rPr>
  </w:style>
  <w:style w:type="paragraph" w:customStyle="1" w:styleId="conwftext">
    <w:name w:val="co_nwf_text"/>
    <w:basedOn w:val="Normal"/>
    <w:rsid w:val="00435883"/>
    <w:pPr>
      <w:spacing w:before="540" w:after="100" w:afterAutospacing="1"/>
    </w:pPr>
    <w:rPr>
      <w:bCs w:val="0"/>
      <w:sz w:val="24"/>
    </w:rPr>
  </w:style>
  <w:style w:type="paragraph" w:customStyle="1" w:styleId="conwfimage">
    <w:name w:val="co_nwf_image"/>
    <w:basedOn w:val="Normal"/>
    <w:rsid w:val="00435883"/>
    <w:pPr>
      <w:spacing w:before="100" w:beforeAutospacing="1" w:after="100" w:afterAutospacing="1"/>
      <w:ind w:hanging="3928"/>
    </w:pPr>
    <w:rPr>
      <w:bCs w:val="0"/>
      <w:sz w:val="24"/>
    </w:rPr>
  </w:style>
  <w:style w:type="paragraph" w:customStyle="1" w:styleId="conwfresearchrecs">
    <w:name w:val="co_nwf_researchrecs"/>
    <w:basedOn w:val="Normal"/>
    <w:rsid w:val="00435883"/>
    <w:pPr>
      <w:spacing w:before="100" w:beforeAutospacing="1" w:after="100" w:afterAutospacing="1"/>
    </w:pPr>
    <w:rPr>
      <w:bCs w:val="0"/>
      <w:sz w:val="24"/>
    </w:rPr>
  </w:style>
  <w:style w:type="paragraph" w:customStyle="1" w:styleId="conwfanswers">
    <w:name w:val="co_nwf_answers"/>
    <w:basedOn w:val="Normal"/>
    <w:rsid w:val="00435883"/>
    <w:pPr>
      <w:spacing w:before="100" w:beforeAutospacing="1" w:after="100" w:afterAutospacing="1"/>
    </w:pPr>
    <w:rPr>
      <w:bCs w:val="0"/>
      <w:sz w:val="24"/>
    </w:rPr>
  </w:style>
  <w:style w:type="paragraph" w:customStyle="1" w:styleId="conwfsnapshots">
    <w:name w:val="co_nwf_snapshots"/>
    <w:basedOn w:val="Normal"/>
    <w:rsid w:val="00435883"/>
    <w:pPr>
      <w:spacing w:before="100" w:beforeAutospacing="1" w:after="100" w:afterAutospacing="1"/>
    </w:pPr>
    <w:rPr>
      <w:bCs w:val="0"/>
      <w:sz w:val="24"/>
    </w:rPr>
  </w:style>
  <w:style w:type="paragraph" w:customStyle="1" w:styleId="conwfresearchsummmary">
    <w:name w:val="co_nwf_researchsummmary"/>
    <w:basedOn w:val="Normal"/>
    <w:rsid w:val="00435883"/>
    <w:pPr>
      <w:spacing w:before="100" w:beforeAutospacing="1" w:after="100" w:afterAutospacing="1"/>
    </w:pPr>
    <w:rPr>
      <w:bCs w:val="0"/>
      <w:sz w:val="24"/>
    </w:rPr>
  </w:style>
  <w:style w:type="paragraph" w:customStyle="1" w:styleId="conwfsharednotes">
    <w:name w:val="co_nwf_sharednotes"/>
    <w:basedOn w:val="Normal"/>
    <w:rsid w:val="00435883"/>
    <w:pPr>
      <w:spacing w:before="100" w:beforeAutospacing="1" w:after="100" w:afterAutospacing="1"/>
    </w:pPr>
    <w:rPr>
      <w:bCs w:val="0"/>
      <w:sz w:val="24"/>
    </w:rPr>
  </w:style>
  <w:style w:type="paragraph" w:customStyle="1" w:styleId="autoprovision">
    <w:name w:val="autoprovision"/>
    <w:basedOn w:val="Normal"/>
    <w:rsid w:val="00435883"/>
    <w:pPr>
      <w:pBdr>
        <w:top w:val="single" w:sz="6" w:space="14" w:color="CCCCCC"/>
        <w:left w:val="single" w:sz="6" w:space="14" w:color="CCCCCC"/>
        <w:bottom w:val="single" w:sz="6" w:space="14" w:color="CCCCCC"/>
        <w:right w:val="single" w:sz="6" w:space="14" w:color="CCCCCC"/>
      </w:pBdr>
      <w:spacing w:line="315" w:lineRule="atLeast"/>
      <w:ind w:left="150" w:right="150"/>
    </w:pPr>
    <w:rPr>
      <w:bCs w:val="0"/>
      <w:sz w:val="24"/>
    </w:rPr>
  </w:style>
  <w:style w:type="paragraph" w:customStyle="1" w:styleId="autoprovision-header">
    <w:name w:val="autoprovision-header"/>
    <w:basedOn w:val="Normal"/>
    <w:rsid w:val="00435883"/>
    <w:pPr>
      <w:spacing w:before="100" w:beforeAutospacing="1" w:after="150"/>
    </w:pPr>
    <w:rPr>
      <w:bCs w:val="0"/>
      <w:sz w:val="24"/>
    </w:rPr>
  </w:style>
  <w:style w:type="paragraph" w:customStyle="1" w:styleId="comoneyballcontainer">
    <w:name w:val="co_moneyball_container"/>
    <w:basedOn w:val="Normal"/>
    <w:rsid w:val="00435883"/>
    <w:pPr>
      <w:spacing w:before="100" w:beforeAutospacing="1" w:after="100" w:afterAutospacing="1"/>
    </w:pPr>
    <w:rPr>
      <w:bCs w:val="0"/>
      <w:sz w:val="24"/>
    </w:rPr>
  </w:style>
  <w:style w:type="paragraph" w:customStyle="1" w:styleId="comoneyballheadline">
    <w:name w:val="co_moneyball_headline"/>
    <w:basedOn w:val="Normal"/>
    <w:rsid w:val="00435883"/>
    <w:pPr>
      <w:spacing w:before="100" w:beforeAutospacing="1" w:after="100" w:afterAutospacing="1"/>
    </w:pPr>
    <w:rPr>
      <w:bCs w:val="0"/>
      <w:color w:val="045F9F"/>
      <w:sz w:val="24"/>
    </w:rPr>
  </w:style>
  <w:style w:type="paragraph" w:customStyle="1" w:styleId="comoneyballbutton">
    <w:name w:val="co_moneyball_button"/>
    <w:basedOn w:val="Normal"/>
    <w:rsid w:val="00435883"/>
    <w:pPr>
      <w:spacing w:before="100" w:beforeAutospacing="1" w:after="100" w:afterAutospacing="1" w:line="750" w:lineRule="atLeast"/>
    </w:pPr>
    <w:rPr>
      <w:b/>
      <w:color w:val="FFFFFF"/>
      <w:sz w:val="21"/>
      <w:szCs w:val="21"/>
    </w:rPr>
  </w:style>
  <w:style w:type="paragraph" w:customStyle="1" w:styleId="coblcnamecontainer">
    <w:name w:val="co_blc_namecontainer"/>
    <w:basedOn w:val="Normal"/>
    <w:rsid w:val="00435883"/>
    <w:pPr>
      <w:spacing w:before="100" w:beforeAutospacing="1" w:after="100" w:afterAutospacing="1"/>
    </w:pPr>
    <w:rPr>
      <w:bCs w:val="0"/>
      <w:sz w:val="24"/>
    </w:rPr>
  </w:style>
  <w:style w:type="paragraph" w:customStyle="1" w:styleId="coblcnamecontainerinner">
    <w:name w:val="co_blc_namecontainerinner"/>
    <w:basedOn w:val="Normal"/>
    <w:rsid w:val="00435883"/>
    <w:pPr>
      <w:spacing w:before="100" w:beforeAutospacing="1" w:after="100" w:afterAutospacing="1"/>
      <w:ind w:left="2400" w:right="2595"/>
    </w:pPr>
    <w:rPr>
      <w:bCs w:val="0"/>
      <w:sz w:val="24"/>
    </w:rPr>
  </w:style>
  <w:style w:type="paragraph" w:customStyle="1" w:styleId="coblctypecontainer">
    <w:name w:val="co_blc_typecontainer"/>
    <w:basedOn w:val="Normal"/>
    <w:rsid w:val="00435883"/>
    <w:pPr>
      <w:spacing w:before="100" w:beforeAutospacing="1" w:after="100" w:afterAutospacing="1"/>
      <w:ind w:left="-12240"/>
    </w:pPr>
    <w:rPr>
      <w:bCs w:val="0"/>
      <w:sz w:val="24"/>
    </w:rPr>
  </w:style>
  <w:style w:type="paragraph" w:customStyle="1" w:styleId="coblctickerbuttoncontainer">
    <w:name w:val="co_blc_tickerbuttoncontainer"/>
    <w:basedOn w:val="Normal"/>
    <w:rsid w:val="00435883"/>
    <w:pPr>
      <w:spacing w:before="100" w:beforeAutospacing="1" w:after="100" w:afterAutospacing="1"/>
      <w:ind w:left="-2820"/>
    </w:pPr>
    <w:rPr>
      <w:bCs w:val="0"/>
      <w:sz w:val="24"/>
    </w:rPr>
  </w:style>
  <w:style w:type="paragraph" w:customStyle="1" w:styleId="blremaillink">
    <w:name w:val="blr_emaillink"/>
    <w:basedOn w:val="Normal"/>
    <w:rsid w:val="00435883"/>
    <w:pPr>
      <w:spacing w:before="100" w:beforeAutospacing="1" w:after="100" w:afterAutospacing="1"/>
    </w:pPr>
    <w:rPr>
      <w:bCs w:val="0"/>
      <w:sz w:val="24"/>
    </w:rPr>
  </w:style>
  <w:style w:type="paragraph" w:customStyle="1" w:styleId="cosnapshotoverview">
    <w:name w:val="co_snapshotoverview"/>
    <w:basedOn w:val="Normal"/>
    <w:rsid w:val="00435883"/>
    <w:pPr>
      <w:pBdr>
        <w:top w:val="single" w:sz="6" w:space="0" w:color="CCCCCC"/>
        <w:left w:val="single" w:sz="6" w:space="0" w:color="CCCCCC"/>
        <w:bottom w:val="single" w:sz="6" w:space="0" w:color="CCCCCC"/>
        <w:right w:val="single" w:sz="6" w:space="0" w:color="CCCCCC"/>
      </w:pBdr>
      <w:shd w:val="clear" w:color="auto" w:fill="FFFFFF"/>
      <w:spacing w:before="150" w:after="150"/>
    </w:pPr>
    <w:rPr>
      <w:bCs w:val="0"/>
      <w:sz w:val="24"/>
    </w:rPr>
  </w:style>
  <w:style w:type="paragraph" w:customStyle="1" w:styleId="cosnapshotoverviewsection">
    <w:name w:val="co_snapshotoverviewsection"/>
    <w:basedOn w:val="Normal"/>
    <w:rsid w:val="00435883"/>
    <w:pPr>
      <w:ind w:left="150" w:right="150"/>
    </w:pPr>
    <w:rPr>
      <w:bCs w:val="0"/>
      <w:sz w:val="24"/>
    </w:rPr>
  </w:style>
  <w:style w:type="paragraph" w:customStyle="1" w:styleId="cosnapshotjurisdictionitem">
    <w:name w:val="co_snapshotjurisdictionitem"/>
    <w:basedOn w:val="Normal"/>
    <w:rsid w:val="00435883"/>
    <w:pPr>
      <w:spacing w:before="45"/>
    </w:pPr>
    <w:rPr>
      <w:bCs w:val="0"/>
      <w:color w:val="979797"/>
      <w:sz w:val="24"/>
    </w:rPr>
  </w:style>
  <w:style w:type="paragraph" w:customStyle="1" w:styleId="cosnapshotoverviewitem">
    <w:name w:val="co_snapshotoverviewitem"/>
    <w:basedOn w:val="Normal"/>
    <w:rsid w:val="00435883"/>
    <w:pPr>
      <w:spacing w:before="100" w:beforeAutospacing="1" w:after="100" w:afterAutospacing="1"/>
    </w:pPr>
    <w:rPr>
      <w:bCs w:val="0"/>
      <w:sz w:val="17"/>
      <w:szCs w:val="17"/>
    </w:rPr>
  </w:style>
  <w:style w:type="paragraph" w:customStyle="1" w:styleId="cosnapshotmorelink">
    <w:name w:val="co_snapshotmorelink"/>
    <w:basedOn w:val="Normal"/>
    <w:rsid w:val="00435883"/>
    <w:pPr>
      <w:spacing w:before="100" w:beforeAutospacing="1" w:after="100" w:afterAutospacing="1"/>
    </w:pPr>
    <w:rPr>
      <w:bCs w:val="0"/>
      <w:sz w:val="24"/>
    </w:rPr>
  </w:style>
  <w:style w:type="paragraph" w:customStyle="1" w:styleId="cosnapshottext">
    <w:name w:val="co_snapshottext"/>
    <w:basedOn w:val="Normal"/>
    <w:rsid w:val="00435883"/>
    <w:pPr>
      <w:spacing w:before="100" w:beforeAutospacing="1" w:after="100" w:afterAutospacing="1"/>
    </w:pPr>
    <w:rPr>
      <w:bCs w:val="0"/>
      <w:sz w:val="24"/>
    </w:rPr>
  </w:style>
  <w:style w:type="paragraph" w:customStyle="1" w:styleId="cosnapshotviewmoretoggle">
    <w:name w:val="co_snapshotviewmoretoggle"/>
    <w:basedOn w:val="Normal"/>
    <w:rsid w:val="00435883"/>
    <w:pPr>
      <w:pBdr>
        <w:top w:val="single" w:sz="6" w:space="4" w:color="CCCCCC"/>
      </w:pBdr>
      <w:spacing w:before="100" w:beforeAutospacing="1" w:after="100" w:afterAutospacing="1"/>
      <w:jc w:val="center"/>
    </w:pPr>
    <w:rPr>
      <w:bCs w:val="0"/>
      <w:sz w:val="24"/>
    </w:rPr>
  </w:style>
  <w:style w:type="paragraph" w:customStyle="1" w:styleId="cosnapshotviewmore">
    <w:name w:val="co_snapshotviewmore"/>
    <w:basedOn w:val="Normal"/>
    <w:rsid w:val="00435883"/>
    <w:pPr>
      <w:spacing w:before="100" w:beforeAutospacing="1" w:after="100" w:afterAutospacing="1"/>
    </w:pPr>
    <w:rPr>
      <w:bCs w:val="0"/>
      <w:vanish/>
      <w:sz w:val="24"/>
    </w:rPr>
  </w:style>
  <w:style w:type="paragraph" w:customStyle="1" w:styleId="cosnapshotbargraph">
    <w:name w:val="co_snapshotbargraph"/>
    <w:basedOn w:val="Normal"/>
    <w:rsid w:val="00435883"/>
    <w:pPr>
      <w:shd w:val="clear" w:color="auto" w:fill="CCCCCC"/>
      <w:spacing w:before="105"/>
    </w:pPr>
    <w:rPr>
      <w:bCs w:val="0"/>
      <w:sz w:val="24"/>
    </w:rPr>
  </w:style>
  <w:style w:type="paragraph" w:customStyle="1" w:styleId="greenbar">
    <w:name w:val="greenbar"/>
    <w:basedOn w:val="Normal"/>
    <w:rsid w:val="00435883"/>
    <w:pPr>
      <w:shd w:val="clear" w:color="auto" w:fill="006400"/>
      <w:spacing w:before="100" w:beforeAutospacing="1" w:after="100" w:afterAutospacing="1"/>
    </w:pPr>
    <w:rPr>
      <w:bCs w:val="0"/>
      <w:sz w:val="24"/>
    </w:rPr>
  </w:style>
  <w:style w:type="paragraph" w:customStyle="1" w:styleId="coviewreportslink">
    <w:name w:val="co_viewreportslink"/>
    <w:basedOn w:val="Normal"/>
    <w:rsid w:val="00435883"/>
    <w:pPr>
      <w:spacing w:before="100" w:beforeAutospacing="1" w:after="100" w:afterAutospacing="1"/>
    </w:pPr>
    <w:rPr>
      <w:bCs w:val="0"/>
      <w:sz w:val="24"/>
    </w:rPr>
  </w:style>
  <w:style w:type="paragraph" w:customStyle="1" w:styleId="codocumentreportsection">
    <w:name w:val="co_documentreportsection"/>
    <w:basedOn w:val="Normal"/>
    <w:rsid w:val="00435883"/>
    <w:pPr>
      <w:pBdr>
        <w:top w:val="single" w:sz="6" w:space="0" w:color="D6D6D6"/>
        <w:left w:val="single" w:sz="6" w:space="0" w:color="D6D6D6"/>
        <w:bottom w:val="single" w:sz="6" w:space="0" w:color="D6D6D6"/>
        <w:right w:val="single" w:sz="6" w:space="0" w:color="D6D6D6"/>
      </w:pBdr>
      <w:spacing w:before="480" w:after="100" w:afterAutospacing="1"/>
    </w:pPr>
    <w:rPr>
      <w:bCs w:val="0"/>
      <w:sz w:val="24"/>
    </w:rPr>
  </w:style>
  <w:style w:type="paragraph" w:customStyle="1" w:styleId="codocumentreportheading">
    <w:name w:val="co_documentreportheading"/>
    <w:basedOn w:val="Normal"/>
    <w:rsid w:val="00435883"/>
    <w:pPr>
      <w:shd w:val="clear" w:color="auto" w:fill="F3F3F3"/>
      <w:spacing w:after="100" w:afterAutospacing="1" w:line="465" w:lineRule="atLeast"/>
    </w:pPr>
    <w:rPr>
      <w:bCs w:val="0"/>
      <w:sz w:val="24"/>
    </w:rPr>
  </w:style>
  <w:style w:type="paragraph" w:customStyle="1" w:styleId="codocumentreporttoolbar">
    <w:name w:val="co_documentreporttoolbar"/>
    <w:basedOn w:val="Normal"/>
    <w:rsid w:val="00435883"/>
    <w:pPr>
      <w:shd w:val="clear" w:color="auto" w:fill="F6F6F6"/>
      <w:spacing w:before="100" w:beforeAutospacing="1" w:after="100" w:afterAutospacing="1" w:line="330" w:lineRule="atLeast"/>
    </w:pPr>
    <w:rPr>
      <w:bCs w:val="0"/>
      <w:sz w:val="18"/>
      <w:szCs w:val="18"/>
    </w:rPr>
  </w:style>
  <w:style w:type="paragraph" w:customStyle="1" w:styleId="codocumentreporthighlightcell">
    <w:name w:val="co_documentreporthighlightcell"/>
    <w:basedOn w:val="Normal"/>
    <w:rsid w:val="00435883"/>
    <w:pPr>
      <w:shd w:val="clear" w:color="auto" w:fill="F6F6F6"/>
      <w:spacing w:before="100" w:beforeAutospacing="1" w:after="100" w:afterAutospacing="1"/>
    </w:pPr>
    <w:rPr>
      <w:bCs w:val="0"/>
      <w:sz w:val="24"/>
    </w:rPr>
  </w:style>
  <w:style w:type="paragraph" w:customStyle="1" w:styleId="codocumentreportless">
    <w:name w:val="co_documentreportless"/>
    <w:basedOn w:val="Normal"/>
    <w:rsid w:val="00435883"/>
    <w:pPr>
      <w:spacing w:before="100" w:beforeAutospacing="1" w:after="100" w:afterAutospacing="1"/>
    </w:pPr>
    <w:rPr>
      <w:bCs w:val="0"/>
      <w:sz w:val="24"/>
    </w:rPr>
  </w:style>
  <w:style w:type="paragraph" w:customStyle="1" w:styleId="codocumentreportmore">
    <w:name w:val="co_documentreportmore"/>
    <w:basedOn w:val="Normal"/>
    <w:rsid w:val="00435883"/>
    <w:pPr>
      <w:spacing w:before="100" w:beforeAutospacing="1" w:after="100" w:afterAutospacing="1"/>
    </w:pPr>
    <w:rPr>
      <w:bCs w:val="0"/>
      <w:sz w:val="24"/>
    </w:rPr>
  </w:style>
  <w:style w:type="paragraph" w:customStyle="1" w:styleId="cokeynumberhierarchyicon">
    <w:name w:val="co_keynumberhierarchyicon"/>
    <w:basedOn w:val="Normal"/>
    <w:rsid w:val="00435883"/>
    <w:pPr>
      <w:spacing w:before="100" w:beforeAutospacing="1" w:after="100" w:afterAutospacing="1"/>
      <w:ind w:firstLine="15300"/>
      <w:textAlignment w:val="center"/>
    </w:pPr>
    <w:rPr>
      <w:bCs w:val="0"/>
      <w:sz w:val="24"/>
    </w:rPr>
  </w:style>
  <w:style w:type="paragraph" w:customStyle="1" w:styleId="cokeynumberresultitemcheckbox">
    <w:name w:val="co_keynumberresultitem_checkbox"/>
    <w:basedOn w:val="Normal"/>
    <w:rsid w:val="00435883"/>
    <w:pPr>
      <w:textAlignment w:val="top"/>
    </w:pPr>
    <w:rPr>
      <w:bCs w:val="0"/>
      <w:sz w:val="24"/>
    </w:rPr>
  </w:style>
  <w:style w:type="paragraph" w:customStyle="1" w:styleId="cokeynumberresultitemlink">
    <w:name w:val="co_keynumberresultitemlink"/>
    <w:basedOn w:val="Normal"/>
    <w:rsid w:val="00435883"/>
    <w:pPr>
      <w:spacing w:before="100" w:beforeAutospacing="1" w:after="100" w:afterAutospacing="1" w:line="315" w:lineRule="atLeast"/>
    </w:pPr>
    <w:rPr>
      <w:bCs w:val="0"/>
      <w:sz w:val="24"/>
    </w:rPr>
  </w:style>
  <w:style w:type="paragraph" w:customStyle="1" w:styleId="cokeycitemessage">
    <w:name w:val="co_keycitemessage"/>
    <w:basedOn w:val="Normal"/>
    <w:rsid w:val="00435883"/>
    <w:pPr>
      <w:spacing w:before="100" w:beforeAutospacing="1" w:after="100" w:afterAutospacing="1" w:line="270" w:lineRule="atLeast"/>
    </w:pPr>
    <w:rPr>
      <w:bCs w:val="0"/>
      <w:sz w:val="24"/>
    </w:rPr>
  </w:style>
  <w:style w:type="paragraph" w:customStyle="1" w:styleId="cocategorypageindentedemphasisgroup">
    <w:name w:val="co_categorypageindentedemphasisgroup"/>
    <w:basedOn w:val="Normal"/>
    <w:rsid w:val="00435883"/>
    <w:pPr>
      <w:spacing w:before="100" w:beforeAutospacing="1" w:after="100" w:afterAutospacing="1"/>
    </w:pPr>
    <w:rPr>
      <w:bCs w:val="0"/>
      <w:sz w:val="24"/>
    </w:rPr>
  </w:style>
  <w:style w:type="paragraph" w:customStyle="1" w:styleId="coexistingalerts">
    <w:name w:val="co_existingalerts"/>
    <w:basedOn w:val="Normal"/>
    <w:rsid w:val="00435883"/>
    <w:pPr>
      <w:pBdr>
        <w:top w:val="single" w:sz="6" w:space="0" w:color="BABABA"/>
        <w:left w:val="single" w:sz="6" w:space="0" w:color="BABABA"/>
        <w:bottom w:val="single" w:sz="6" w:space="0" w:color="BABABA"/>
        <w:right w:val="single" w:sz="6" w:space="0" w:color="BABABA"/>
      </w:pBdr>
      <w:spacing w:before="100" w:beforeAutospacing="1" w:after="100" w:afterAutospacing="1"/>
    </w:pPr>
    <w:rPr>
      <w:bCs w:val="0"/>
      <w:sz w:val="24"/>
    </w:rPr>
  </w:style>
  <w:style w:type="paragraph" w:customStyle="1" w:styleId="coexistingalertsheader">
    <w:name w:val="co_existingalerts_header"/>
    <w:basedOn w:val="Normal"/>
    <w:rsid w:val="00435883"/>
    <w:pPr>
      <w:shd w:val="clear" w:color="auto" w:fill="F6F6F6"/>
      <w:spacing w:before="100" w:beforeAutospacing="1" w:after="100" w:afterAutospacing="1"/>
    </w:pPr>
    <w:rPr>
      <w:bCs w:val="0"/>
      <w:sz w:val="24"/>
    </w:rPr>
  </w:style>
  <w:style w:type="paragraph" w:customStyle="1" w:styleId="corelatedanalysisitem">
    <w:name w:val="co_relatedanalysis_item"/>
    <w:basedOn w:val="Normal"/>
    <w:rsid w:val="00435883"/>
    <w:pPr>
      <w:pBdr>
        <w:top w:val="single" w:sz="18" w:space="8" w:color="D6D6D6"/>
      </w:pBdr>
      <w:spacing w:before="100" w:beforeAutospacing="1" w:after="100" w:afterAutospacing="1"/>
    </w:pPr>
    <w:rPr>
      <w:bCs w:val="0"/>
      <w:sz w:val="24"/>
    </w:rPr>
  </w:style>
  <w:style w:type="paragraph" w:customStyle="1" w:styleId="corelatedanalysisseemore">
    <w:name w:val="co_relatedanalysis_seemore"/>
    <w:basedOn w:val="Normal"/>
    <w:rsid w:val="00435883"/>
    <w:pPr>
      <w:spacing w:before="100" w:beforeAutospacing="1" w:after="100" w:afterAutospacing="1"/>
      <w:jc w:val="right"/>
    </w:pPr>
    <w:rPr>
      <w:bCs w:val="0"/>
      <w:sz w:val="26"/>
      <w:szCs w:val="26"/>
    </w:rPr>
  </w:style>
  <w:style w:type="paragraph" w:customStyle="1" w:styleId="colegalultimateparentlabel">
    <w:name w:val="co_legalultimateparent_label"/>
    <w:basedOn w:val="Normal"/>
    <w:rsid w:val="00435883"/>
    <w:pPr>
      <w:pBdr>
        <w:top w:val="single" w:sz="6" w:space="2" w:color="DEDDC8"/>
        <w:left w:val="single" w:sz="6" w:space="2" w:color="DEDDC8"/>
        <w:bottom w:val="single" w:sz="6" w:space="2" w:color="DEDDC8"/>
        <w:right w:val="single" w:sz="6" w:space="2" w:color="DEDDC8"/>
      </w:pBdr>
      <w:shd w:val="clear" w:color="auto" w:fill="FEFFD7"/>
      <w:spacing w:before="100" w:beforeAutospacing="1" w:after="100" w:afterAutospacing="1"/>
    </w:pPr>
    <w:rPr>
      <w:bCs w:val="0"/>
      <w:sz w:val="24"/>
    </w:rPr>
  </w:style>
  <w:style w:type="paragraph" w:customStyle="1" w:styleId="codocketheader">
    <w:name w:val="co_docketheader"/>
    <w:basedOn w:val="Normal"/>
    <w:rsid w:val="00435883"/>
    <w:pPr>
      <w:spacing w:before="480" w:after="120"/>
    </w:pPr>
    <w:rPr>
      <w:bCs w:val="0"/>
      <w:sz w:val="24"/>
    </w:rPr>
  </w:style>
  <w:style w:type="paragraph" w:customStyle="1" w:styleId="codetailstabledaterequested">
    <w:name w:val="co_detailstable_daterequested"/>
    <w:basedOn w:val="Normal"/>
    <w:rsid w:val="00435883"/>
    <w:pPr>
      <w:spacing w:before="100" w:beforeAutospacing="1" w:after="100" w:afterAutospacing="1"/>
    </w:pPr>
    <w:rPr>
      <w:bCs w:val="0"/>
      <w:sz w:val="24"/>
    </w:rPr>
  </w:style>
  <w:style w:type="paragraph" w:customStyle="1" w:styleId="codetailstabledocketnumber">
    <w:name w:val="co_detailstable_docketnumber"/>
    <w:basedOn w:val="Normal"/>
    <w:rsid w:val="00435883"/>
    <w:pPr>
      <w:spacing w:before="100" w:beforeAutospacing="1" w:after="100" w:afterAutospacing="1"/>
    </w:pPr>
    <w:rPr>
      <w:bCs w:val="0"/>
      <w:sz w:val="24"/>
    </w:rPr>
  </w:style>
  <w:style w:type="paragraph" w:customStyle="1" w:styleId="codetailstableexpirationdate">
    <w:name w:val="co_detailstable_expirationdate"/>
    <w:basedOn w:val="Normal"/>
    <w:rsid w:val="00435883"/>
    <w:pPr>
      <w:spacing w:before="100" w:beforeAutospacing="1" w:after="100" w:afterAutospacing="1"/>
    </w:pPr>
    <w:rPr>
      <w:bCs w:val="0"/>
      <w:sz w:val="24"/>
    </w:rPr>
  </w:style>
  <w:style w:type="paragraph" w:customStyle="1" w:styleId="codetailstablestatus">
    <w:name w:val="co_detailstable_status"/>
    <w:basedOn w:val="Normal"/>
    <w:rsid w:val="00435883"/>
    <w:pPr>
      <w:spacing w:before="100" w:beforeAutospacing="1" w:after="100" w:afterAutospacing="1"/>
    </w:pPr>
    <w:rPr>
      <w:bCs w:val="0"/>
      <w:sz w:val="24"/>
    </w:rPr>
  </w:style>
  <w:style w:type="paragraph" w:customStyle="1" w:styleId="millercolumnhead">
    <w:name w:val="millercolumnhead"/>
    <w:basedOn w:val="Normal"/>
    <w:rsid w:val="00435883"/>
    <w:pPr>
      <w:pBdr>
        <w:bottom w:val="single" w:sz="6" w:space="2" w:color="EEEEEE"/>
      </w:pBdr>
      <w:spacing w:before="240" w:after="45"/>
    </w:pPr>
    <w:rPr>
      <w:b/>
      <w:sz w:val="32"/>
      <w:szCs w:val="32"/>
    </w:rPr>
  </w:style>
  <w:style w:type="paragraph" w:customStyle="1" w:styleId="millerindexline">
    <w:name w:val="millerindexline"/>
    <w:basedOn w:val="Normal"/>
    <w:rsid w:val="00435883"/>
    <w:pPr>
      <w:spacing w:before="100" w:beforeAutospacing="1" w:after="100" w:afterAutospacing="1"/>
    </w:pPr>
    <w:rPr>
      <w:bCs w:val="0"/>
      <w:sz w:val="24"/>
    </w:rPr>
  </w:style>
  <w:style w:type="paragraph" w:customStyle="1" w:styleId="millertopichead">
    <w:name w:val="millertopichead"/>
    <w:basedOn w:val="Normal"/>
    <w:rsid w:val="00435883"/>
    <w:pPr>
      <w:spacing w:before="100" w:beforeAutospacing="1" w:after="100" w:afterAutospacing="1"/>
    </w:pPr>
    <w:rPr>
      <w:bCs w:val="0"/>
      <w:sz w:val="24"/>
    </w:rPr>
  </w:style>
  <w:style w:type="paragraph" w:customStyle="1" w:styleId="millertopictext">
    <w:name w:val="millertopictext"/>
    <w:basedOn w:val="Normal"/>
    <w:rsid w:val="00435883"/>
    <w:pPr>
      <w:spacing w:before="100" w:beforeAutospacing="1" w:after="100" w:afterAutospacing="1"/>
    </w:pPr>
    <w:rPr>
      <w:bCs w:val="0"/>
      <w:sz w:val="24"/>
    </w:rPr>
  </w:style>
  <w:style w:type="paragraph" w:customStyle="1" w:styleId="millerformhead">
    <w:name w:val="millerformhead"/>
    <w:basedOn w:val="Normal"/>
    <w:rsid w:val="00435883"/>
    <w:pPr>
      <w:spacing w:before="100" w:beforeAutospacing="1" w:after="100" w:afterAutospacing="1"/>
    </w:pPr>
    <w:rPr>
      <w:bCs w:val="0"/>
      <w:sz w:val="24"/>
    </w:rPr>
  </w:style>
  <w:style w:type="paragraph" w:customStyle="1" w:styleId="millerformtext">
    <w:name w:val="millerformtext"/>
    <w:basedOn w:val="Normal"/>
    <w:rsid w:val="00435883"/>
    <w:pPr>
      <w:spacing w:before="100" w:beforeAutospacing="1" w:after="100" w:afterAutospacing="1"/>
    </w:pPr>
    <w:rPr>
      <w:bCs w:val="0"/>
      <w:color w:val="145DA4"/>
      <w:sz w:val="24"/>
    </w:rPr>
  </w:style>
  <w:style w:type="paragraph" w:customStyle="1" w:styleId="millerannotationhead">
    <w:name w:val="millerannotationhead"/>
    <w:basedOn w:val="Normal"/>
    <w:rsid w:val="00435883"/>
    <w:pPr>
      <w:spacing w:before="100" w:beforeAutospacing="1" w:after="100" w:afterAutospacing="1"/>
    </w:pPr>
    <w:rPr>
      <w:bCs w:val="0"/>
      <w:sz w:val="24"/>
    </w:rPr>
  </w:style>
  <w:style w:type="paragraph" w:customStyle="1" w:styleId="millerannotationtext">
    <w:name w:val="millerannotationtext"/>
    <w:basedOn w:val="Normal"/>
    <w:rsid w:val="00435883"/>
    <w:pPr>
      <w:spacing w:before="100" w:beforeAutospacing="1" w:after="100" w:afterAutospacing="1"/>
    </w:pPr>
    <w:rPr>
      <w:bCs w:val="0"/>
      <w:sz w:val="24"/>
    </w:rPr>
  </w:style>
  <w:style w:type="paragraph" w:customStyle="1" w:styleId="orderconfparagraph">
    <w:name w:val="orderconfparagraph"/>
    <w:basedOn w:val="Normal"/>
    <w:rsid w:val="00435883"/>
    <w:pPr>
      <w:spacing w:before="100" w:beforeAutospacing="1" w:after="100" w:afterAutospacing="1"/>
    </w:pPr>
    <w:rPr>
      <w:bCs w:val="0"/>
      <w:sz w:val="24"/>
    </w:rPr>
  </w:style>
  <w:style w:type="paragraph" w:customStyle="1" w:styleId="corelatedinfographicalkeycitecourtlevellabel">
    <w:name w:val="co_relatedinfo_graphicalkeycite_courtlevel_label"/>
    <w:basedOn w:val="Normal"/>
    <w:rsid w:val="00435883"/>
    <w:pPr>
      <w:spacing w:before="100" w:beforeAutospacing="1" w:after="100" w:afterAutospacing="1"/>
    </w:pPr>
    <w:rPr>
      <w:rFonts w:ascii="Arial" w:hAnsi="Arial" w:cs="Arial"/>
      <w:b/>
      <w:sz w:val="17"/>
      <w:szCs w:val="17"/>
    </w:rPr>
  </w:style>
  <w:style w:type="paragraph" w:customStyle="1" w:styleId="corelatedinfographicalkeycitecourtlevellabelgrey">
    <w:name w:val="co_relatedinfo_graphicalkeycite_courtlevel_label_grey"/>
    <w:basedOn w:val="Normal"/>
    <w:rsid w:val="00435883"/>
    <w:pPr>
      <w:spacing w:before="100" w:beforeAutospacing="1" w:after="100" w:afterAutospacing="1"/>
    </w:pPr>
    <w:rPr>
      <w:rFonts w:ascii="Arial" w:hAnsi="Arial" w:cs="Arial"/>
      <w:b/>
      <w:sz w:val="17"/>
      <w:szCs w:val="17"/>
    </w:rPr>
  </w:style>
  <w:style w:type="paragraph" w:customStyle="1" w:styleId="corelatedinfographicalkeycitemotiondocumentphrase">
    <w:name w:val="co_relatedinfo_graphicalkeycite_motiondocument_phrase"/>
    <w:basedOn w:val="Normal"/>
    <w:rsid w:val="00435883"/>
    <w:pPr>
      <w:spacing w:before="100" w:beforeAutospacing="1" w:after="100" w:afterAutospacing="1"/>
    </w:pPr>
    <w:rPr>
      <w:rFonts w:ascii="Arial" w:hAnsi="Arial" w:cs="Arial"/>
      <w:b/>
      <w:sz w:val="18"/>
      <w:szCs w:val="18"/>
    </w:rPr>
  </w:style>
  <w:style w:type="paragraph" w:customStyle="1" w:styleId="corelatedinfographicalkeycitemotiondocumentphrasegrey">
    <w:name w:val="co_relatedinfo_graphicalkeycite_motiondocument_phrase_grey"/>
    <w:basedOn w:val="Normal"/>
    <w:rsid w:val="00435883"/>
    <w:pPr>
      <w:spacing w:before="100" w:beforeAutospacing="1" w:after="100" w:afterAutospacing="1"/>
    </w:pPr>
    <w:rPr>
      <w:rFonts w:ascii="Arial" w:hAnsi="Arial" w:cs="Arial"/>
      <w:b/>
      <w:sz w:val="18"/>
      <w:szCs w:val="18"/>
    </w:rPr>
  </w:style>
  <w:style w:type="paragraph" w:customStyle="1" w:styleId="corelatedinfographicalkeycitecasedocumentletterboxtext">
    <w:name w:val="co_relatedinfo_graphicalkeycite_casedocument_letterbox_text"/>
    <w:basedOn w:val="Normal"/>
    <w:rsid w:val="00435883"/>
    <w:pPr>
      <w:spacing w:before="100" w:beforeAutospacing="1" w:after="100" w:afterAutospacing="1"/>
    </w:pPr>
    <w:rPr>
      <w:rFonts w:ascii="Arial" w:hAnsi="Arial" w:cs="Arial"/>
      <w:b/>
      <w:sz w:val="21"/>
      <w:szCs w:val="21"/>
    </w:rPr>
  </w:style>
  <w:style w:type="paragraph" w:customStyle="1" w:styleId="corelatedinfographicalkeycitecasedocumentletterboxtextgrey">
    <w:name w:val="co_relatedinfo_graphicalkeycite_casedocument_letterbox_text_grey"/>
    <w:basedOn w:val="Normal"/>
    <w:rsid w:val="00435883"/>
    <w:pPr>
      <w:spacing w:before="100" w:beforeAutospacing="1" w:after="100" w:afterAutospacing="1"/>
    </w:pPr>
    <w:rPr>
      <w:rFonts w:ascii="Arial" w:hAnsi="Arial" w:cs="Arial"/>
      <w:b/>
      <w:sz w:val="21"/>
      <w:szCs w:val="21"/>
    </w:rPr>
  </w:style>
  <w:style w:type="paragraph" w:customStyle="1" w:styleId="corelatedinfographicalkeycitecasedocumenttitle">
    <w:name w:val="co_relatedinfo_graphicalkeycite_casedocument_title"/>
    <w:basedOn w:val="Normal"/>
    <w:rsid w:val="00435883"/>
    <w:pPr>
      <w:spacing w:before="100" w:beforeAutospacing="1" w:after="100" w:afterAutospacing="1"/>
    </w:pPr>
    <w:rPr>
      <w:rFonts w:ascii="Arial" w:hAnsi="Arial" w:cs="Arial"/>
      <w:b/>
      <w:szCs w:val="20"/>
    </w:rPr>
  </w:style>
  <w:style w:type="paragraph" w:customStyle="1" w:styleId="corelatedinfographicalkeycitecasedocumenttitlehot">
    <w:name w:val="co_relatedinfo_graphicalkeycite_casedocument_title_hot"/>
    <w:basedOn w:val="Normal"/>
    <w:rsid w:val="00435883"/>
    <w:pPr>
      <w:spacing w:before="100" w:beforeAutospacing="1" w:after="100" w:afterAutospacing="1"/>
    </w:pPr>
    <w:rPr>
      <w:rFonts w:ascii="Arial" w:hAnsi="Arial" w:cs="Arial"/>
      <w:b/>
      <w:szCs w:val="20"/>
    </w:rPr>
  </w:style>
  <w:style w:type="paragraph" w:customStyle="1" w:styleId="corelatedinfographicalkeycitecasedocumenttitlegrey">
    <w:name w:val="co_relatedinfo_graphicalkeycite_casedocument_title_grey"/>
    <w:basedOn w:val="Normal"/>
    <w:rsid w:val="00435883"/>
    <w:pPr>
      <w:spacing w:before="100" w:beforeAutospacing="1" w:after="100" w:afterAutospacing="1"/>
    </w:pPr>
    <w:rPr>
      <w:rFonts w:ascii="Arial" w:hAnsi="Arial" w:cs="Arial"/>
      <w:b/>
      <w:szCs w:val="20"/>
    </w:rPr>
  </w:style>
  <w:style w:type="paragraph" w:customStyle="1" w:styleId="corelatedinfographicalkeycitecasedocumentjurisdiction">
    <w:name w:val="co_relatedinfo_graphicalkeycite_casedocument_jurisdiction"/>
    <w:basedOn w:val="Normal"/>
    <w:rsid w:val="00435883"/>
    <w:pPr>
      <w:spacing w:before="100" w:beforeAutospacing="1" w:after="100" w:afterAutospacing="1"/>
    </w:pPr>
    <w:rPr>
      <w:rFonts w:ascii="Arial" w:hAnsi="Arial" w:cs="Arial"/>
      <w:b/>
      <w:sz w:val="18"/>
      <w:szCs w:val="18"/>
    </w:rPr>
  </w:style>
  <w:style w:type="paragraph" w:customStyle="1" w:styleId="corelatedinfographicalkeycitecasedocumentcitedate">
    <w:name w:val="co_relatedinfo_graphicalkeycite_casedocument_citedate"/>
    <w:basedOn w:val="Normal"/>
    <w:rsid w:val="00435883"/>
    <w:pPr>
      <w:spacing w:before="100" w:beforeAutospacing="1" w:after="100" w:afterAutospacing="1"/>
    </w:pPr>
    <w:rPr>
      <w:rFonts w:ascii="Arial" w:hAnsi="Arial" w:cs="Arial"/>
      <w:bCs w:val="0"/>
      <w:sz w:val="17"/>
      <w:szCs w:val="17"/>
    </w:rPr>
  </w:style>
  <w:style w:type="paragraph" w:customStyle="1" w:styleId="corelatedinfographicalkeycitecasedocumentcitedategrey">
    <w:name w:val="co_relatedinfo_graphicalkeycite_casedocument_citedate_grey"/>
    <w:basedOn w:val="Normal"/>
    <w:rsid w:val="00435883"/>
    <w:pPr>
      <w:spacing w:before="100" w:beforeAutospacing="1" w:after="100" w:afterAutospacing="1"/>
    </w:pPr>
    <w:rPr>
      <w:rFonts w:ascii="Arial" w:hAnsi="Arial" w:cs="Arial"/>
      <w:bCs w:val="0"/>
      <w:sz w:val="17"/>
      <w:szCs w:val="17"/>
    </w:rPr>
  </w:style>
  <w:style w:type="paragraph" w:customStyle="1" w:styleId="corelatedinfographicalkeycitecasedocumentdategrey">
    <w:name w:val="co_relatedinfo_graphicalkeycite_casedocument_date_grey"/>
    <w:basedOn w:val="Normal"/>
    <w:rsid w:val="00435883"/>
    <w:pPr>
      <w:spacing w:before="100" w:beforeAutospacing="1" w:after="100" w:afterAutospacing="1"/>
    </w:pPr>
    <w:rPr>
      <w:rFonts w:ascii="Arial" w:hAnsi="Arial" w:cs="Arial"/>
      <w:bCs w:val="0"/>
      <w:sz w:val="17"/>
      <w:szCs w:val="17"/>
    </w:rPr>
  </w:style>
  <w:style w:type="paragraph" w:customStyle="1" w:styleId="corelatedinfographicalkeycitecasedocumentjurisdictiongrey">
    <w:name w:val="co_relatedinfo_graphicalkeycite_casedocument_jurisdiction_grey"/>
    <w:basedOn w:val="Normal"/>
    <w:rsid w:val="00435883"/>
    <w:pPr>
      <w:spacing w:before="100" w:beforeAutospacing="1" w:after="100" w:afterAutospacing="1"/>
    </w:pPr>
    <w:rPr>
      <w:rFonts w:ascii="Arial" w:hAnsi="Arial" w:cs="Arial"/>
      <w:b/>
      <w:sz w:val="18"/>
      <w:szCs w:val="18"/>
    </w:rPr>
  </w:style>
  <w:style w:type="paragraph" w:customStyle="1" w:styleId="corelatedinfographicalkeycitecasedocumentcitegrey">
    <w:name w:val="co_relatedinfo_graphicalkeycite_casedocument_cite_grey"/>
    <w:basedOn w:val="Normal"/>
    <w:rsid w:val="00435883"/>
    <w:pPr>
      <w:spacing w:before="100" w:beforeAutospacing="1" w:after="100" w:afterAutospacing="1"/>
    </w:pPr>
    <w:rPr>
      <w:rFonts w:ascii="Arial" w:hAnsi="Arial" w:cs="Arial"/>
      <w:b/>
      <w:sz w:val="17"/>
      <w:szCs w:val="17"/>
    </w:rPr>
  </w:style>
  <w:style w:type="paragraph" w:customStyle="1" w:styleId="corelatedinfographicalkeycitecasetreatmentphrase">
    <w:name w:val="co_relatedinfo_graphicalkeycite_case_treatment_phrase"/>
    <w:basedOn w:val="Normal"/>
    <w:rsid w:val="00435883"/>
    <w:pPr>
      <w:spacing w:before="100" w:beforeAutospacing="1" w:after="100" w:afterAutospacing="1"/>
    </w:pPr>
    <w:rPr>
      <w:rFonts w:ascii="Arial" w:hAnsi="Arial" w:cs="Arial"/>
      <w:bCs w:val="0"/>
      <w:sz w:val="17"/>
      <w:szCs w:val="17"/>
    </w:rPr>
  </w:style>
  <w:style w:type="paragraph" w:customStyle="1" w:styleId="corelatedinfographicalkeycitecasetreatmentphrasegrey">
    <w:name w:val="co_relatedinfo_graphicalkeycite_case_treatment_phrase_grey"/>
    <w:basedOn w:val="Normal"/>
    <w:rsid w:val="00435883"/>
    <w:pPr>
      <w:spacing w:before="100" w:beforeAutospacing="1" w:after="100" w:afterAutospacing="1"/>
    </w:pPr>
    <w:rPr>
      <w:rFonts w:ascii="Arial" w:hAnsi="Arial" w:cs="Arial"/>
      <w:bCs w:val="0"/>
      <w:sz w:val="17"/>
      <w:szCs w:val="17"/>
    </w:rPr>
  </w:style>
  <w:style w:type="paragraph" w:customStyle="1" w:styleId="corelatedinfographicalkeyciteletterboxtext">
    <w:name w:val="co_relatedinfo_graphicalkeycite_letter_box_text"/>
    <w:basedOn w:val="Normal"/>
    <w:rsid w:val="00435883"/>
    <w:pPr>
      <w:spacing w:before="100" w:beforeAutospacing="1" w:after="100" w:afterAutospacing="1"/>
    </w:pPr>
    <w:rPr>
      <w:rFonts w:ascii="Arial" w:hAnsi="Arial" w:cs="Arial"/>
      <w:bCs w:val="0"/>
      <w:sz w:val="17"/>
      <w:szCs w:val="17"/>
    </w:rPr>
  </w:style>
  <w:style w:type="paragraph" w:customStyle="1" w:styleId="corelatedinfographicalkeyciteletterboxtextgrey">
    <w:name w:val="co_relatedinfo_graphicalkeycite_letter_box_text_grey"/>
    <w:basedOn w:val="Normal"/>
    <w:rsid w:val="00435883"/>
    <w:pPr>
      <w:spacing w:before="100" w:beforeAutospacing="1" w:after="100" w:afterAutospacing="1"/>
    </w:pPr>
    <w:rPr>
      <w:rFonts w:ascii="Arial" w:hAnsi="Arial" w:cs="Arial"/>
      <w:bCs w:val="0"/>
      <w:sz w:val="17"/>
      <w:szCs w:val="17"/>
    </w:rPr>
  </w:style>
  <w:style w:type="paragraph" w:customStyle="1" w:styleId="corelatedinfographicalkeycitehoverboxtitletext">
    <w:name w:val="co_relatedinfo_graphicalkeycite_hoverbox_title_text"/>
    <w:basedOn w:val="Normal"/>
    <w:rsid w:val="00435883"/>
    <w:pPr>
      <w:spacing w:before="100" w:beforeAutospacing="1" w:after="100" w:afterAutospacing="1"/>
    </w:pPr>
    <w:rPr>
      <w:rFonts w:ascii="Arial" w:hAnsi="Arial" w:cs="Arial"/>
      <w:b/>
      <w:szCs w:val="20"/>
    </w:rPr>
  </w:style>
  <w:style w:type="paragraph" w:customStyle="1" w:styleId="corelatedinfographicalkeycitehoverboxcitelink">
    <w:name w:val="co_relatedinfo_graphicalkeycite_hoverbox_cite_link"/>
    <w:basedOn w:val="Normal"/>
    <w:rsid w:val="00435883"/>
    <w:pPr>
      <w:spacing w:before="100" w:beforeAutospacing="1" w:after="100" w:afterAutospacing="1"/>
    </w:pPr>
    <w:rPr>
      <w:rFonts w:ascii="Arial" w:hAnsi="Arial" w:cs="Arial"/>
      <w:bCs w:val="0"/>
      <w:sz w:val="17"/>
      <w:szCs w:val="17"/>
    </w:rPr>
  </w:style>
  <w:style w:type="paragraph" w:customStyle="1" w:styleId="corelatedinfographicalkeycitecontroltext">
    <w:name w:val="co_relatedinfo_graphicalkeycite_control_text"/>
    <w:basedOn w:val="Normal"/>
    <w:rsid w:val="00435883"/>
    <w:pPr>
      <w:spacing w:before="100" w:beforeAutospacing="1" w:after="100" w:afterAutospacing="1"/>
    </w:pPr>
    <w:rPr>
      <w:rFonts w:ascii="Verdana" w:hAnsi="Verdana"/>
      <w:b/>
      <w:sz w:val="27"/>
      <w:szCs w:val="27"/>
    </w:rPr>
  </w:style>
  <w:style w:type="paragraph" w:customStyle="1" w:styleId="corelatedinfographicalkeycitesliderhovertext">
    <w:name w:val="co_relatedinfo_graphicalkeycite_slider_hover_text"/>
    <w:basedOn w:val="Normal"/>
    <w:rsid w:val="00435883"/>
    <w:pPr>
      <w:spacing w:before="100" w:beforeAutospacing="1" w:after="100" w:afterAutospacing="1"/>
    </w:pPr>
    <w:rPr>
      <w:rFonts w:ascii="Arial" w:hAnsi="Arial" w:cs="Arial"/>
      <w:bCs w:val="0"/>
      <w:sz w:val="17"/>
      <w:szCs w:val="17"/>
    </w:rPr>
  </w:style>
  <w:style w:type="paragraph" w:customStyle="1" w:styleId="corelatedinfographicalkeycitecitehovertext">
    <w:name w:val="co_relatedinfo_graphicalkeycite_cite_hover_text"/>
    <w:basedOn w:val="Normal"/>
    <w:rsid w:val="00435883"/>
    <w:pPr>
      <w:spacing w:before="100" w:beforeAutospacing="1" w:after="100" w:afterAutospacing="1"/>
    </w:pPr>
    <w:rPr>
      <w:rFonts w:ascii="Arial" w:hAnsi="Arial" w:cs="Arial"/>
      <w:bCs w:val="0"/>
      <w:sz w:val="17"/>
      <w:szCs w:val="17"/>
    </w:rPr>
  </w:style>
  <w:style w:type="paragraph" w:customStyle="1" w:styleId="corelatedinfographicalkeycitecitehovertexthot">
    <w:name w:val="co_relatedinfo_graphicalkeycite_cite_hover_text_hot"/>
    <w:basedOn w:val="Normal"/>
    <w:rsid w:val="00435883"/>
    <w:pPr>
      <w:spacing w:before="100" w:beforeAutospacing="1" w:after="100" w:afterAutospacing="1"/>
    </w:pPr>
    <w:rPr>
      <w:rFonts w:ascii="Arial" w:hAnsi="Arial" w:cs="Arial"/>
      <w:bCs w:val="0"/>
      <w:sz w:val="17"/>
      <w:szCs w:val="17"/>
    </w:rPr>
  </w:style>
  <w:style w:type="paragraph" w:customStyle="1" w:styleId="corelatedinfographicalkeycitemessageboxtext">
    <w:name w:val="co_relatedinfo_graphicalkeycite_message_box_text"/>
    <w:basedOn w:val="Normal"/>
    <w:rsid w:val="00435883"/>
    <w:pPr>
      <w:spacing w:before="100" w:beforeAutospacing="1" w:after="100" w:afterAutospacing="1"/>
    </w:pPr>
    <w:rPr>
      <w:rFonts w:ascii="Arial" w:hAnsi="Arial" w:cs="Arial"/>
      <w:bCs w:val="0"/>
      <w:sz w:val="17"/>
      <w:szCs w:val="17"/>
    </w:rPr>
  </w:style>
  <w:style w:type="paragraph" w:customStyle="1" w:styleId="caselabel">
    <w:name w:val="case_label"/>
    <w:basedOn w:val="Normal"/>
    <w:rsid w:val="00435883"/>
    <w:pPr>
      <w:spacing w:before="100" w:beforeAutospacing="1" w:after="100" w:afterAutospacing="1"/>
    </w:pPr>
    <w:rPr>
      <w:rFonts w:ascii="Verdana" w:hAnsi="Verdana"/>
      <w:bCs w:val="0"/>
      <w:sz w:val="24"/>
    </w:rPr>
  </w:style>
  <w:style w:type="paragraph" w:customStyle="1" w:styleId="coidrelatedinfozoomslider">
    <w:name w:val="coid_relatedinfo_zoom_slider"/>
    <w:basedOn w:val="Normal"/>
    <w:rsid w:val="00435883"/>
    <w:pPr>
      <w:shd w:val="clear" w:color="auto" w:fill="FFFFFF"/>
      <w:spacing w:before="100" w:beforeAutospacing="1" w:after="100" w:afterAutospacing="1"/>
    </w:pPr>
    <w:rPr>
      <w:bCs w:val="0"/>
      <w:sz w:val="24"/>
    </w:rPr>
  </w:style>
  <w:style w:type="paragraph" w:customStyle="1" w:styleId="coidrelatedinfozoomin">
    <w:name w:val="coid_relatedinfo_zoom_in"/>
    <w:basedOn w:val="Normal"/>
    <w:rsid w:val="00435883"/>
    <w:pPr>
      <w:spacing w:before="100" w:beforeAutospacing="1" w:after="100" w:afterAutospacing="1"/>
    </w:pPr>
    <w:rPr>
      <w:bCs w:val="0"/>
      <w:sz w:val="24"/>
    </w:rPr>
  </w:style>
  <w:style w:type="paragraph" w:customStyle="1" w:styleId="coidrelatedinfozoomout">
    <w:name w:val="coid_relatedinfo_zoom_out"/>
    <w:basedOn w:val="Normal"/>
    <w:rsid w:val="00435883"/>
    <w:pPr>
      <w:spacing w:before="100" w:beforeAutospacing="1" w:after="100" w:afterAutospacing="1"/>
    </w:pPr>
    <w:rPr>
      <w:bCs w:val="0"/>
      <w:sz w:val="24"/>
    </w:rPr>
  </w:style>
  <w:style w:type="paragraph" w:customStyle="1" w:styleId="ui-slider-horizontal">
    <w:name w:val="ui-slider-horizontal"/>
    <w:basedOn w:val="Normal"/>
    <w:rsid w:val="00435883"/>
    <w:pPr>
      <w:spacing w:before="100" w:beforeAutospacing="1" w:after="100" w:afterAutospacing="1"/>
    </w:pPr>
    <w:rPr>
      <w:bCs w:val="0"/>
      <w:sz w:val="24"/>
    </w:rPr>
  </w:style>
  <w:style w:type="paragraph" w:customStyle="1" w:styleId="coidrelatedinfohoverboxwrapper">
    <w:name w:val="coid_relatedinfo_hoverbox_wrapper"/>
    <w:basedOn w:val="Normal"/>
    <w:rsid w:val="00435883"/>
    <w:pPr>
      <w:spacing w:before="100" w:beforeAutospacing="1" w:after="100" w:afterAutospacing="1"/>
    </w:pPr>
    <w:rPr>
      <w:bCs w:val="0"/>
      <w:sz w:val="24"/>
    </w:rPr>
  </w:style>
  <w:style w:type="paragraph" w:customStyle="1" w:styleId="corelatedinfographicalkeycitepnghovermap">
    <w:name w:val="co_relatedinfo_graphicalkeycite_png_hover_map"/>
    <w:basedOn w:val="Normal"/>
    <w:rsid w:val="00435883"/>
    <w:pPr>
      <w:spacing w:before="100" w:beforeAutospacing="1" w:after="100" w:afterAutospacing="1"/>
    </w:pPr>
    <w:rPr>
      <w:bCs w:val="0"/>
      <w:sz w:val="24"/>
    </w:rPr>
  </w:style>
  <w:style w:type="paragraph" w:customStyle="1" w:styleId="corelatedinfohoverboxpngmotion">
    <w:name w:val="co_relatedinfo_hoverbox_png_motion"/>
    <w:basedOn w:val="Normal"/>
    <w:rsid w:val="00435883"/>
    <w:pPr>
      <w:spacing w:before="100" w:beforeAutospacing="1" w:after="100" w:afterAutospacing="1"/>
    </w:pPr>
    <w:rPr>
      <w:bCs w:val="0"/>
      <w:sz w:val="24"/>
    </w:rPr>
  </w:style>
  <w:style w:type="paragraph" w:customStyle="1" w:styleId="corelatedinfohoverboxpngmotionbottom">
    <w:name w:val="co_relatedinfo_hoverbox_png_motion_bottom"/>
    <w:basedOn w:val="Normal"/>
    <w:rsid w:val="00435883"/>
    <w:pPr>
      <w:shd w:val="clear" w:color="auto" w:fill="FFFFFF"/>
      <w:spacing w:before="100" w:beforeAutospacing="1" w:after="100" w:afterAutospacing="1"/>
      <w:ind w:left="-75"/>
    </w:pPr>
    <w:rPr>
      <w:bCs w:val="0"/>
      <w:sz w:val="24"/>
    </w:rPr>
  </w:style>
  <w:style w:type="paragraph" w:customStyle="1" w:styleId="corelatedinfohoverboxpngdocument">
    <w:name w:val="co_relatedinfo_hoverbox_png_document"/>
    <w:basedOn w:val="Normal"/>
    <w:rsid w:val="00435883"/>
    <w:pPr>
      <w:shd w:val="clear" w:color="auto" w:fill="FFFFFF"/>
      <w:spacing w:before="100" w:beforeAutospacing="1" w:after="100" w:afterAutospacing="1"/>
    </w:pPr>
    <w:rPr>
      <w:rFonts w:ascii="Arial" w:hAnsi="Arial" w:cs="Arial"/>
      <w:bCs w:val="0"/>
      <w:color w:val="000000"/>
      <w:sz w:val="17"/>
      <w:szCs w:val="17"/>
    </w:rPr>
  </w:style>
  <w:style w:type="paragraph" w:customStyle="1" w:styleId="corelatedinfohoverboxpngdocumentcited">
    <w:name w:val="co_relatedinfo_hoverbox_png_document_cited"/>
    <w:basedOn w:val="Normal"/>
    <w:rsid w:val="00435883"/>
    <w:pPr>
      <w:spacing w:before="100" w:beforeAutospacing="1" w:after="100" w:afterAutospacing="1"/>
    </w:pPr>
    <w:rPr>
      <w:rFonts w:ascii="Arial" w:hAnsi="Arial" w:cs="Arial"/>
      <w:bCs w:val="0"/>
      <w:color w:val="000000"/>
      <w:sz w:val="17"/>
      <w:szCs w:val="17"/>
    </w:rPr>
  </w:style>
  <w:style w:type="paragraph" w:customStyle="1" w:styleId="corelatedinfohoverboxpngletterbox">
    <w:name w:val="co_relatedinfo_hoverbox_png_letterbox"/>
    <w:basedOn w:val="Normal"/>
    <w:rsid w:val="00435883"/>
    <w:pPr>
      <w:spacing w:before="100" w:beforeAutospacing="1" w:after="100" w:afterAutospacing="1"/>
      <w:ind w:left="30"/>
      <w:jc w:val="center"/>
    </w:pPr>
    <w:rPr>
      <w:rFonts w:ascii="Arial" w:hAnsi="Arial" w:cs="Arial"/>
      <w:b/>
      <w:color w:val="FFFFFF"/>
      <w:sz w:val="21"/>
      <w:szCs w:val="21"/>
    </w:rPr>
  </w:style>
  <w:style w:type="paragraph" w:customStyle="1" w:styleId="corelatedinfohoverboxpngletterboxcited">
    <w:name w:val="co_relatedinfo_hoverbox_png_letterbox_cited"/>
    <w:basedOn w:val="Normal"/>
    <w:rsid w:val="00435883"/>
    <w:pPr>
      <w:spacing w:before="100" w:beforeAutospacing="1" w:after="100" w:afterAutospacing="1"/>
      <w:ind w:left="30"/>
      <w:jc w:val="center"/>
    </w:pPr>
    <w:rPr>
      <w:rFonts w:ascii="Arial" w:hAnsi="Arial" w:cs="Arial"/>
      <w:b/>
      <w:color w:val="FFFFFF"/>
      <w:sz w:val="21"/>
      <w:szCs w:val="21"/>
    </w:rPr>
  </w:style>
  <w:style w:type="paragraph" w:customStyle="1" w:styleId="corelatedinfohoverboxpngtopbox">
    <w:name w:val="co_relatedinfo_hoverbox_png_topbox"/>
    <w:basedOn w:val="Normal"/>
    <w:rsid w:val="00435883"/>
    <w:pPr>
      <w:spacing w:before="100" w:beforeAutospacing="1" w:after="100" w:afterAutospacing="1"/>
    </w:pPr>
    <w:rPr>
      <w:bCs w:val="0"/>
      <w:sz w:val="24"/>
    </w:rPr>
  </w:style>
  <w:style w:type="paragraph" w:customStyle="1" w:styleId="corelatedinfohoverboxpngbottombox">
    <w:name w:val="co_relatedinfo_hoverbox_png_bottombox"/>
    <w:basedOn w:val="Normal"/>
    <w:rsid w:val="00435883"/>
    <w:pPr>
      <w:shd w:val="clear" w:color="auto" w:fill="FFFFFF"/>
      <w:spacing w:before="100" w:beforeAutospacing="1" w:after="100" w:afterAutospacing="1"/>
    </w:pPr>
    <w:rPr>
      <w:bCs w:val="0"/>
      <w:sz w:val="24"/>
    </w:rPr>
  </w:style>
  <w:style w:type="paragraph" w:customStyle="1" w:styleId="corelatedinfohoverboxpngbottomboxcited">
    <w:name w:val="co_relatedinfo_hoverbox_png_bottombox_cited"/>
    <w:basedOn w:val="Normal"/>
    <w:rsid w:val="00435883"/>
    <w:pPr>
      <w:shd w:val="clear" w:color="auto" w:fill="FFFFFF"/>
      <w:spacing w:before="100" w:beforeAutospacing="1" w:after="100" w:afterAutospacing="1"/>
    </w:pPr>
    <w:rPr>
      <w:bCs w:val="0"/>
      <w:sz w:val="24"/>
    </w:rPr>
  </w:style>
  <w:style w:type="paragraph" w:customStyle="1" w:styleId="corelatedinfographictreatmentletter">
    <w:name w:val="co_relatedinfo_graphic_treatmentletter"/>
    <w:basedOn w:val="Normal"/>
    <w:rsid w:val="00435883"/>
    <w:pPr>
      <w:spacing w:before="15" w:after="100" w:afterAutospacing="1" w:line="240" w:lineRule="atLeast"/>
      <w:ind w:left="75"/>
      <w:jc w:val="center"/>
    </w:pPr>
    <w:rPr>
      <w:rFonts w:ascii="Arial" w:hAnsi="Arial" w:cs="Arial"/>
      <w:bCs w:val="0"/>
      <w:color w:val="FFFFFF"/>
      <w:sz w:val="17"/>
      <w:szCs w:val="17"/>
    </w:rPr>
  </w:style>
  <w:style w:type="paragraph" w:customStyle="1" w:styleId="corelatedinfographictreatmentletterkeycited">
    <w:name w:val="co_relatedinfo_graphic_treatmentletter_keycited"/>
    <w:basedOn w:val="Normal"/>
    <w:rsid w:val="00435883"/>
    <w:pPr>
      <w:spacing w:before="15" w:after="100" w:afterAutospacing="1" w:line="240" w:lineRule="atLeast"/>
      <w:ind w:left="75"/>
      <w:jc w:val="center"/>
    </w:pPr>
    <w:rPr>
      <w:rFonts w:ascii="Arial" w:hAnsi="Arial" w:cs="Arial"/>
      <w:bCs w:val="0"/>
      <w:color w:val="FFFFFF"/>
      <w:sz w:val="17"/>
      <w:szCs w:val="17"/>
    </w:rPr>
  </w:style>
  <w:style w:type="paragraph" w:customStyle="1" w:styleId="corelatedinfohoverboxpngtreatmentletterkeycited">
    <w:name w:val="co_relatedinfo_hoverbox_png_treatmentletter_keycited"/>
    <w:basedOn w:val="Normal"/>
    <w:rsid w:val="00435883"/>
    <w:pPr>
      <w:spacing w:before="15" w:after="100" w:afterAutospacing="1" w:line="240" w:lineRule="atLeast"/>
      <w:jc w:val="center"/>
    </w:pPr>
    <w:rPr>
      <w:rFonts w:ascii="Arial" w:hAnsi="Arial" w:cs="Arial"/>
      <w:bCs w:val="0"/>
      <w:color w:val="FFFFFF"/>
      <w:sz w:val="17"/>
      <w:szCs w:val="17"/>
    </w:rPr>
  </w:style>
  <w:style w:type="paragraph" w:customStyle="1" w:styleId="coidrelatedinfohoverboxpngcitehover">
    <w:name w:val="coid_relatedinfo_hoverbox_png_citehover"/>
    <w:basedOn w:val="Normal"/>
    <w:rsid w:val="00435883"/>
    <w:pPr>
      <w:pBdr>
        <w:top w:val="single" w:sz="6" w:space="2" w:color="000000"/>
        <w:left w:val="single" w:sz="6" w:space="2" w:color="000000"/>
        <w:bottom w:val="single" w:sz="6" w:space="2" w:color="000000"/>
        <w:right w:val="single" w:sz="6" w:space="2" w:color="000000"/>
      </w:pBdr>
      <w:shd w:val="clear" w:color="auto" w:fill="FFF9C4"/>
      <w:spacing w:before="100" w:beforeAutospacing="1" w:after="100" w:afterAutospacing="1"/>
    </w:pPr>
    <w:rPr>
      <w:rFonts w:ascii="Arial" w:hAnsi="Arial" w:cs="Arial"/>
      <w:bCs w:val="0"/>
      <w:sz w:val="18"/>
      <w:szCs w:val="18"/>
    </w:rPr>
  </w:style>
  <w:style w:type="paragraph" w:customStyle="1" w:styleId="corelatedinfohoverboxpngtitle">
    <w:name w:val="co_relatedinfo_hoverbox_png_title"/>
    <w:basedOn w:val="Normal"/>
    <w:rsid w:val="00435883"/>
    <w:pPr>
      <w:spacing w:before="100" w:beforeAutospacing="1" w:after="100" w:afterAutospacing="1"/>
    </w:pPr>
    <w:rPr>
      <w:rFonts w:ascii="Arial" w:hAnsi="Arial" w:cs="Arial"/>
      <w:b/>
      <w:color w:val="1C5D8D"/>
      <w:szCs w:val="20"/>
    </w:rPr>
  </w:style>
  <w:style w:type="paragraph" w:customStyle="1" w:styleId="corelatedinfohoverboxpngtitlenolink">
    <w:name w:val="co_relatedinfo_hoverbox_png_title_nolink"/>
    <w:basedOn w:val="Normal"/>
    <w:rsid w:val="00435883"/>
    <w:pPr>
      <w:spacing w:before="100" w:beforeAutospacing="1" w:after="100" w:afterAutospacing="1"/>
    </w:pPr>
    <w:rPr>
      <w:rFonts w:ascii="Arial" w:hAnsi="Arial" w:cs="Arial"/>
      <w:b/>
      <w:color w:val="000000"/>
      <w:szCs w:val="20"/>
    </w:rPr>
  </w:style>
  <w:style w:type="paragraph" w:customStyle="1" w:styleId="corelatedinfohoverboxpngkcflag">
    <w:name w:val="co_relatedinfo_hoverbox_png_kcflag"/>
    <w:basedOn w:val="Normal"/>
    <w:rsid w:val="00435883"/>
    <w:pPr>
      <w:spacing w:before="100" w:beforeAutospacing="1" w:after="100" w:afterAutospacing="1"/>
      <w:ind w:left="60"/>
    </w:pPr>
    <w:rPr>
      <w:bCs w:val="0"/>
      <w:sz w:val="24"/>
    </w:rPr>
  </w:style>
  <w:style w:type="paragraph" w:customStyle="1" w:styleId="corelatedinfohoverboxpngdatecite">
    <w:name w:val="co_relatedinfo_hoverbox_png_datecite"/>
    <w:basedOn w:val="Normal"/>
    <w:rsid w:val="00435883"/>
    <w:pPr>
      <w:spacing w:before="100" w:beforeAutospacing="1" w:after="100" w:afterAutospacing="1"/>
    </w:pPr>
    <w:rPr>
      <w:rFonts w:ascii="Arial" w:hAnsi="Arial" w:cs="Arial"/>
      <w:bCs w:val="0"/>
      <w:color w:val="333333"/>
      <w:sz w:val="17"/>
      <w:szCs w:val="17"/>
    </w:rPr>
  </w:style>
  <w:style w:type="paragraph" w:customStyle="1" w:styleId="corelatedinfohoverboxpngfileline">
    <w:name w:val="co_relatedinfo_hoverbox_png_fileline"/>
    <w:basedOn w:val="Normal"/>
    <w:rsid w:val="00435883"/>
    <w:pPr>
      <w:spacing w:before="100" w:beforeAutospacing="1" w:after="100" w:afterAutospacing="1"/>
    </w:pPr>
    <w:rPr>
      <w:rFonts w:ascii="Arial" w:hAnsi="Arial" w:cs="Arial"/>
      <w:bCs w:val="0"/>
      <w:color w:val="333333"/>
      <w:sz w:val="17"/>
      <w:szCs w:val="17"/>
    </w:rPr>
  </w:style>
  <w:style w:type="paragraph" w:customStyle="1" w:styleId="corelatedinfohoverboxpngupo">
    <w:name w:val="co_relatedinfo_hoverbox_png_upo"/>
    <w:basedOn w:val="Normal"/>
    <w:rsid w:val="00435883"/>
    <w:pPr>
      <w:spacing w:before="100" w:beforeAutospacing="1" w:after="100" w:afterAutospacing="1"/>
    </w:pPr>
    <w:rPr>
      <w:rFonts w:ascii="Arial" w:hAnsi="Arial" w:cs="Arial"/>
      <w:bCs w:val="0"/>
      <w:color w:val="333333"/>
      <w:sz w:val="17"/>
      <w:szCs w:val="17"/>
    </w:rPr>
  </w:style>
  <w:style w:type="paragraph" w:customStyle="1" w:styleId="corelatedinfohoverboxpngtreatmenttext">
    <w:name w:val="co_relatedinfo_hoverbox_png_treatmenttext"/>
    <w:basedOn w:val="Normal"/>
    <w:rsid w:val="00435883"/>
    <w:pPr>
      <w:spacing w:before="100" w:beforeAutospacing="1" w:after="100" w:afterAutospacing="1"/>
    </w:pPr>
    <w:rPr>
      <w:rFonts w:ascii="Arial" w:hAnsi="Arial" w:cs="Arial"/>
      <w:bCs w:val="0"/>
      <w:color w:val="000000"/>
      <w:sz w:val="17"/>
      <w:szCs w:val="17"/>
    </w:rPr>
  </w:style>
  <w:style w:type="paragraph" w:customStyle="1" w:styleId="corelatedinfohoverboxpngtreatmentcite">
    <w:name w:val="co_relatedinfo_hoverbox_png_treatmentcite"/>
    <w:basedOn w:val="Normal"/>
    <w:rsid w:val="00435883"/>
    <w:pPr>
      <w:spacing w:before="100" w:beforeAutospacing="1" w:after="100" w:afterAutospacing="1"/>
    </w:pPr>
    <w:rPr>
      <w:rFonts w:ascii="Arial" w:hAnsi="Arial" w:cs="Arial"/>
      <w:bCs w:val="0"/>
      <w:sz w:val="17"/>
      <w:szCs w:val="17"/>
    </w:rPr>
  </w:style>
  <w:style w:type="paragraph" w:customStyle="1" w:styleId="corelatedinfohoverboxpngjurisdiction">
    <w:name w:val="co_relatedinfo_hoverbox_png_jurisdiction"/>
    <w:basedOn w:val="Normal"/>
    <w:rsid w:val="00435883"/>
    <w:pPr>
      <w:spacing w:before="100" w:beforeAutospacing="1" w:after="100" w:afterAutospacing="1"/>
    </w:pPr>
    <w:rPr>
      <w:rFonts w:ascii="Arial" w:hAnsi="Arial" w:cs="Arial"/>
      <w:b/>
      <w:color w:val="333333"/>
      <w:sz w:val="18"/>
      <w:szCs w:val="18"/>
    </w:rPr>
  </w:style>
  <w:style w:type="paragraph" w:customStyle="1" w:styleId="coidrelatedinfounavailablemessage">
    <w:name w:val="coid_relatedinfo_unavailable_message"/>
    <w:basedOn w:val="Normal"/>
    <w:rsid w:val="00435883"/>
    <w:pPr>
      <w:pBdr>
        <w:top w:val="dotted" w:sz="6" w:space="6" w:color="CCCCCC"/>
        <w:left w:val="dotted" w:sz="2" w:space="12" w:color="CCCCCC"/>
        <w:bottom w:val="dotted" w:sz="6" w:space="6" w:color="CCCCCC"/>
        <w:right w:val="dotted" w:sz="2" w:space="12" w:color="CCCCCC"/>
      </w:pBdr>
      <w:shd w:val="clear" w:color="auto" w:fill="F7F7E9"/>
      <w:spacing w:before="240" w:after="240" w:line="360" w:lineRule="atLeast"/>
      <w:jc w:val="center"/>
    </w:pPr>
    <w:rPr>
      <w:rFonts w:ascii="Georgia" w:hAnsi="Georgia"/>
      <w:bCs w:val="0"/>
      <w:color w:val="333333"/>
      <w:sz w:val="27"/>
      <w:szCs w:val="27"/>
    </w:rPr>
  </w:style>
  <w:style w:type="paragraph" w:customStyle="1" w:styleId="corelatedinfoloadingimage">
    <w:name w:val="co_relatedinfo_loading_image"/>
    <w:basedOn w:val="Normal"/>
    <w:rsid w:val="00435883"/>
    <w:pPr>
      <w:spacing w:before="100" w:beforeAutospacing="1" w:after="100" w:afterAutospacing="1"/>
    </w:pPr>
    <w:rPr>
      <w:bCs w:val="0"/>
      <w:sz w:val="24"/>
    </w:rPr>
  </w:style>
  <w:style w:type="paragraph" w:customStyle="1" w:styleId="conavzoomlabel">
    <w:name w:val="co_navzoom_label"/>
    <w:basedOn w:val="Normal"/>
    <w:rsid w:val="00435883"/>
    <w:pPr>
      <w:spacing w:before="100" w:beforeAutospacing="1" w:after="100" w:afterAutospacing="1" w:line="330" w:lineRule="atLeast"/>
    </w:pPr>
    <w:rPr>
      <w:bCs w:val="0"/>
      <w:sz w:val="24"/>
    </w:rPr>
  </w:style>
  <w:style w:type="paragraph" w:customStyle="1" w:styleId="conavzoomhide">
    <w:name w:val="co_navzoom_hide"/>
    <w:basedOn w:val="Normal"/>
    <w:rsid w:val="00435883"/>
    <w:pPr>
      <w:spacing w:before="100" w:beforeAutospacing="1" w:after="100" w:afterAutospacing="1"/>
    </w:pPr>
    <w:rPr>
      <w:bCs w:val="0"/>
      <w:sz w:val="24"/>
    </w:rPr>
  </w:style>
  <w:style w:type="paragraph" w:customStyle="1" w:styleId="conavzoomshow">
    <w:name w:val="co_navzoom_show"/>
    <w:basedOn w:val="Normal"/>
    <w:rsid w:val="00435883"/>
    <w:pPr>
      <w:spacing w:before="100" w:beforeAutospacing="1" w:after="100" w:afterAutospacing="1"/>
    </w:pPr>
    <w:rPr>
      <w:bCs w:val="0"/>
      <w:sz w:val="24"/>
    </w:rPr>
  </w:style>
  <w:style w:type="paragraph" w:customStyle="1" w:styleId="conavzoomreset">
    <w:name w:val="co_navzoom_reset"/>
    <w:basedOn w:val="Normal"/>
    <w:rsid w:val="00435883"/>
    <w:pPr>
      <w:spacing w:before="100" w:beforeAutospacing="1" w:after="100" w:afterAutospacing="1"/>
    </w:pPr>
    <w:rPr>
      <w:bCs w:val="0"/>
      <w:sz w:val="24"/>
    </w:rPr>
  </w:style>
  <w:style w:type="paragraph" w:customStyle="1" w:styleId="conavzoomout">
    <w:name w:val="co_navzoom_out"/>
    <w:basedOn w:val="Normal"/>
    <w:rsid w:val="00435883"/>
    <w:pPr>
      <w:spacing w:before="100" w:beforeAutospacing="1" w:after="100" w:afterAutospacing="1"/>
    </w:pPr>
    <w:rPr>
      <w:bCs w:val="0"/>
      <w:sz w:val="24"/>
    </w:rPr>
  </w:style>
  <w:style w:type="paragraph" w:customStyle="1" w:styleId="conavzoomin">
    <w:name w:val="co_navzoom_in"/>
    <w:basedOn w:val="Normal"/>
    <w:rsid w:val="00435883"/>
    <w:pPr>
      <w:spacing w:before="100" w:beforeAutospacing="1" w:after="100" w:afterAutospacing="1"/>
    </w:pPr>
    <w:rPr>
      <w:bCs w:val="0"/>
      <w:sz w:val="24"/>
    </w:rPr>
  </w:style>
  <w:style w:type="paragraph" w:customStyle="1" w:styleId="plannouncements">
    <w:name w:val="pl_announcements"/>
    <w:basedOn w:val="Normal"/>
    <w:rsid w:val="00435883"/>
    <w:pPr>
      <w:pBdr>
        <w:top w:val="single" w:sz="6" w:space="0" w:color="CCCCCC"/>
        <w:left w:val="single" w:sz="6" w:space="0" w:color="CCCCCC"/>
        <w:bottom w:val="single" w:sz="6" w:space="0" w:color="CCCCCC"/>
        <w:right w:val="single" w:sz="6" w:space="0" w:color="CCCCCC"/>
      </w:pBdr>
      <w:shd w:val="clear" w:color="auto" w:fill="E3FAFC"/>
      <w:spacing w:before="100" w:beforeAutospacing="1" w:after="100" w:afterAutospacing="1"/>
    </w:pPr>
    <w:rPr>
      <w:bCs w:val="0"/>
      <w:sz w:val="24"/>
    </w:rPr>
  </w:style>
  <w:style w:type="paragraph" w:customStyle="1" w:styleId="plannouncementscontainer">
    <w:name w:val="pl_announcements_container"/>
    <w:basedOn w:val="Normal"/>
    <w:rsid w:val="00435883"/>
    <w:rPr>
      <w:bCs w:val="0"/>
      <w:sz w:val="24"/>
    </w:rPr>
  </w:style>
  <w:style w:type="paragraph" w:customStyle="1" w:styleId="plannouncement">
    <w:name w:val="pl_announcement"/>
    <w:basedOn w:val="Normal"/>
    <w:rsid w:val="00435883"/>
    <w:pPr>
      <w:spacing w:before="45"/>
      <w:ind w:left="225"/>
    </w:pPr>
    <w:rPr>
      <w:bCs w:val="0"/>
      <w:sz w:val="24"/>
    </w:rPr>
  </w:style>
  <w:style w:type="paragraph" w:customStyle="1" w:styleId="cofolderedinactiveuser">
    <w:name w:val="co_folderedinactiveuser"/>
    <w:basedOn w:val="Normal"/>
    <w:rsid w:val="00435883"/>
    <w:pPr>
      <w:shd w:val="clear" w:color="auto" w:fill="D9D9D9"/>
      <w:spacing w:before="100" w:beforeAutospacing="1" w:after="100" w:afterAutospacing="1"/>
      <w:ind w:left="150"/>
      <w:textAlignment w:val="center"/>
    </w:pPr>
    <w:rPr>
      <w:b/>
      <w:caps/>
      <w:sz w:val="15"/>
      <w:szCs w:val="15"/>
    </w:rPr>
  </w:style>
  <w:style w:type="paragraph" w:customStyle="1" w:styleId="coscopedocumentbody">
    <w:name w:val="co_scope_documentbody"/>
    <w:basedOn w:val="Normal"/>
    <w:rsid w:val="00435883"/>
    <w:pPr>
      <w:spacing w:after="120"/>
      <w:ind w:left="300" w:right="300"/>
    </w:pPr>
    <w:rPr>
      <w:bCs w:val="0"/>
      <w:sz w:val="24"/>
    </w:rPr>
  </w:style>
  <w:style w:type="paragraph" w:customStyle="1" w:styleId="corctnote">
    <w:name w:val="co_rctnote"/>
    <w:basedOn w:val="Normal"/>
    <w:rsid w:val="00435883"/>
    <w:pPr>
      <w:spacing w:before="150" w:after="100" w:afterAutospacing="1"/>
    </w:pPr>
    <w:rPr>
      <w:bCs w:val="0"/>
      <w:sz w:val="24"/>
    </w:rPr>
  </w:style>
  <w:style w:type="paragraph" w:customStyle="1" w:styleId="codocumentreportbodyhaspadding">
    <w:name w:val="co_documentreportbodyhaspadding"/>
    <w:basedOn w:val="Normal"/>
    <w:rsid w:val="00435883"/>
    <w:pPr>
      <w:spacing w:before="100" w:beforeAutospacing="1" w:after="100" w:afterAutospacing="1"/>
    </w:pPr>
    <w:rPr>
      <w:bCs w:val="0"/>
      <w:sz w:val="24"/>
    </w:rPr>
  </w:style>
  <w:style w:type="paragraph" w:customStyle="1" w:styleId="conoresult">
    <w:name w:val="co_noresult"/>
    <w:basedOn w:val="Normal"/>
    <w:rsid w:val="00435883"/>
    <w:pPr>
      <w:spacing w:before="100" w:beforeAutospacing="1" w:after="100" w:afterAutospacing="1" w:line="300" w:lineRule="atLeast"/>
    </w:pPr>
    <w:rPr>
      <w:bCs w:val="0"/>
      <w:sz w:val="24"/>
    </w:rPr>
  </w:style>
  <w:style w:type="paragraph" w:customStyle="1" w:styleId="cobtnbrowse">
    <w:name w:val="co_btnbrowse"/>
    <w:basedOn w:val="Normal"/>
    <w:rsid w:val="00435883"/>
    <w:pPr>
      <w:pBdr>
        <w:top w:val="single" w:sz="6" w:space="5" w:color="CCCCCC"/>
        <w:left w:val="single" w:sz="6" w:space="8" w:color="CCCCCC"/>
        <w:bottom w:val="single" w:sz="6" w:space="5" w:color="CCCCCC"/>
        <w:right w:val="single" w:sz="6" w:space="8" w:color="CCCCCC"/>
      </w:pBdr>
      <w:shd w:val="clear" w:color="auto" w:fill="FDFEFD"/>
      <w:spacing w:before="240" w:after="100" w:afterAutospacing="1"/>
    </w:pPr>
    <w:rPr>
      <w:b/>
      <w:color w:val="505050"/>
      <w:szCs w:val="20"/>
    </w:rPr>
  </w:style>
  <w:style w:type="paragraph" w:customStyle="1" w:styleId="coeditbtn">
    <w:name w:val="co_editbtn"/>
    <w:basedOn w:val="Normal"/>
    <w:rsid w:val="00435883"/>
    <w:pPr>
      <w:pBdr>
        <w:top w:val="single" w:sz="6" w:space="5" w:color="CCCCCC"/>
        <w:left w:val="single" w:sz="6" w:space="8" w:color="CCCCCC"/>
        <w:bottom w:val="single" w:sz="6" w:space="5" w:color="CCCCCC"/>
        <w:right w:val="single" w:sz="6" w:space="8" w:color="CCCCCC"/>
      </w:pBdr>
      <w:shd w:val="clear" w:color="auto" w:fill="FDFEFD"/>
      <w:spacing w:before="240" w:after="100" w:afterAutospacing="1"/>
    </w:pPr>
    <w:rPr>
      <w:b/>
      <w:color w:val="505050"/>
      <w:szCs w:val="20"/>
    </w:rPr>
  </w:style>
  <w:style w:type="paragraph" w:customStyle="1" w:styleId="cohomepersonalizationlightboxcustompages">
    <w:name w:val="co_homepersonalizationlightbox_custompages"/>
    <w:basedOn w:val="Normal"/>
    <w:rsid w:val="00435883"/>
    <w:pPr>
      <w:spacing w:before="100" w:beforeAutospacing="1" w:after="225"/>
    </w:pPr>
    <w:rPr>
      <w:bCs w:val="0"/>
      <w:sz w:val="24"/>
    </w:rPr>
  </w:style>
  <w:style w:type="paragraph" w:customStyle="1" w:styleId="cpicon">
    <w:name w:val="cp_icon"/>
    <w:basedOn w:val="Normal"/>
    <w:rsid w:val="00435883"/>
    <w:pPr>
      <w:spacing w:before="100" w:beforeAutospacing="1" w:after="100" w:afterAutospacing="1"/>
    </w:pPr>
    <w:rPr>
      <w:bCs w:val="0"/>
      <w:sz w:val="24"/>
    </w:rPr>
  </w:style>
  <w:style w:type="paragraph" w:customStyle="1" w:styleId="custompageformsection">
    <w:name w:val="custompageformsection"/>
    <w:basedOn w:val="Normal"/>
    <w:rsid w:val="00435883"/>
    <w:pPr>
      <w:spacing w:before="100" w:beforeAutospacing="1" w:after="240"/>
    </w:pPr>
    <w:rPr>
      <w:bCs w:val="0"/>
      <w:sz w:val="24"/>
    </w:rPr>
  </w:style>
  <w:style w:type="paragraph" w:customStyle="1" w:styleId="customclientid">
    <w:name w:val="customclientid"/>
    <w:basedOn w:val="Normal"/>
    <w:rsid w:val="00435883"/>
    <w:pPr>
      <w:spacing w:before="100" w:beforeAutospacing="1" w:after="100" w:afterAutospacing="1"/>
      <w:ind w:left="360"/>
    </w:pPr>
    <w:rPr>
      <w:bCs w:val="0"/>
      <w:sz w:val="24"/>
    </w:rPr>
  </w:style>
  <w:style w:type="paragraph" w:customStyle="1" w:styleId="custompageeditfooter">
    <w:name w:val="custompageeditfooter"/>
    <w:basedOn w:val="Normal"/>
    <w:rsid w:val="00435883"/>
    <w:pPr>
      <w:spacing w:before="360" w:after="100" w:afterAutospacing="1"/>
    </w:pPr>
    <w:rPr>
      <w:bCs w:val="0"/>
      <w:sz w:val="24"/>
    </w:rPr>
  </w:style>
  <w:style w:type="paragraph" w:customStyle="1" w:styleId="custompagesharingheader">
    <w:name w:val="custompagesharingheader"/>
    <w:basedOn w:val="Normal"/>
    <w:rsid w:val="00435883"/>
    <w:pPr>
      <w:spacing w:before="100" w:beforeAutospacing="1" w:after="300"/>
    </w:pPr>
    <w:rPr>
      <w:bCs w:val="0"/>
      <w:sz w:val="24"/>
    </w:rPr>
  </w:style>
  <w:style w:type="paragraph" w:customStyle="1" w:styleId="cpsectionheader">
    <w:name w:val="cp_sectionheader"/>
    <w:basedOn w:val="Normal"/>
    <w:rsid w:val="00435883"/>
    <w:pPr>
      <w:spacing w:before="100" w:beforeAutospacing="1" w:after="100" w:afterAutospacing="1"/>
    </w:pPr>
    <w:rPr>
      <w:bCs w:val="0"/>
      <w:sz w:val="24"/>
    </w:rPr>
  </w:style>
  <w:style w:type="paragraph" w:customStyle="1" w:styleId="cpcategorypagelist">
    <w:name w:val="cp_categorypagelist"/>
    <w:basedOn w:val="Normal"/>
    <w:rsid w:val="00435883"/>
    <w:pPr>
      <w:spacing w:before="100" w:beforeAutospacing="1" w:after="100" w:afterAutospacing="1"/>
    </w:pPr>
    <w:rPr>
      <w:bCs w:val="0"/>
      <w:sz w:val="24"/>
    </w:rPr>
  </w:style>
  <w:style w:type="paragraph" w:customStyle="1" w:styleId="cpemptysectioncontainer">
    <w:name w:val="cp_emptysection_container"/>
    <w:basedOn w:val="Normal"/>
    <w:rsid w:val="00435883"/>
    <w:pPr>
      <w:spacing w:before="100" w:beforeAutospacing="1" w:after="100" w:afterAutospacing="1"/>
    </w:pPr>
    <w:rPr>
      <w:bCs w:val="0"/>
      <w:vanish/>
      <w:sz w:val="24"/>
    </w:rPr>
  </w:style>
  <w:style w:type="paragraph" w:customStyle="1" w:styleId="cpcategorypagesectiontoolbar">
    <w:name w:val="cp_categorypagesection_toolbar"/>
    <w:basedOn w:val="Normal"/>
    <w:rsid w:val="00435883"/>
    <w:pPr>
      <w:pBdr>
        <w:bottom w:val="single" w:sz="6" w:space="4" w:color="E4E7E8"/>
      </w:pBdr>
      <w:shd w:val="clear" w:color="auto" w:fill="F5F5F5"/>
      <w:spacing w:before="100" w:beforeAutospacing="1" w:after="100" w:afterAutospacing="1"/>
    </w:pPr>
    <w:rPr>
      <w:bCs w:val="0"/>
      <w:sz w:val="24"/>
    </w:rPr>
  </w:style>
  <w:style w:type="paragraph" w:customStyle="1" w:styleId="cpcategorypageitemhighlight">
    <w:name w:val="cp_categorypageitem_highlight"/>
    <w:basedOn w:val="Normal"/>
    <w:rsid w:val="00435883"/>
    <w:pPr>
      <w:shd w:val="clear" w:color="auto" w:fill="F5F5F5"/>
      <w:spacing w:before="100" w:beforeAutospacing="1" w:after="100" w:afterAutospacing="1"/>
    </w:pPr>
    <w:rPr>
      <w:bCs w:val="0"/>
      <w:sz w:val="24"/>
    </w:rPr>
  </w:style>
  <w:style w:type="paragraph" w:customStyle="1" w:styleId="cpselectcontentautocompleteselected">
    <w:name w:val="cp_selectcontent_autocompleteselected"/>
    <w:basedOn w:val="Normal"/>
    <w:rsid w:val="00435883"/>
    <w:pPr>
      <w:shd w:val="clear" w:color="auto" w:fill="145DA4"/>
      <w:spacing w:before="100" w:beforeAutospacing="1" w:after="100" w:afterAutospacing="1"/>
    </w:pPr>
    <w:rPr>
      <w:b/>
      <w:color w:val="FFFFFF"/>
      <w:sz w:val="24"/>
    </w:rPr>
  </w:style>
  <w:style w:type="paragraph" w:customStyle="1" w:styleId="cplabeltext">
    <w:name w:val="cp_labeltext"/>
    <w:basedOn w:val="Normal"/>
    <w:rsid w:val="00435883"/>
    <w:pPr>
      <w:spacing w:before="100" w:beforeAutospacing="1" w:after="100" w:afterAutospacing="1"/>
    </w:pPr>
    <w:rPr>
      <w:bCs w:val="0"/>
      <w:sz w:val="24"/>
    </w:rPr>
  </w:style>
  <w:style w:type="paragraph" w:customStyle="1" w:styleId="cpitemsearchhint">
    <w:name w:val="cp_itemsearchhint"/>
    <w:basedOn w:val="Normal"/>
    <w:rsid w:val="00435883"/>
    <w:pPr>
      <w:spacing w:before="100" w:beforeAutospacing="1" w:after="100" w:afterAutospacing="1"/>
    </w:pPr>
    <w:rPr>
      <w:bCs w:val="0"/>
      <w:i/>
      <w:iCs/>
      <w:color w:val="A5A5A5"/>
      <w:sz w:val="17"/>
      <w:szCs w:val="17"/>
    </w:rPr>
  </w:style>
  <w:style w:type="paragraph" w:customStyle="1" w:styleId="cpzonecontrolinactive">
    <w:name w:val="cp_zone_control_inactive"/>
    <w:basedOn w:val="Normal"/>
    <w:rsid w:val="00435883"/>
    <w:pPr>
      <w:spacing w:before="100" w:beforeAutospacing="1" w:after="100" w:afterAutospacing="1"/>
    </w:pPr>
    <w:rPr>
      <w:bCs w:val="0"/>
      <w:vanish/>
      <w:sz w:val="24"/>
    </w:rPr>
  </w:style>
  <w:style w:type="paragraph" w:customStyle="1" w:styleId="cpsharereviewfieldset">
    <w:name w:val="cp_sharereviewfieldset"/>
    <w:basedOn w:val="Normal"/>
    <w:rsid w:val="00435883"/>
    <w:pPr>
      <w:spacing w:before="75" w:after="75"/>
      <w:ind w:left="120" w:right="120"/>
    </w:pPr>
    <w:rPr>
      <w:bCs w:val="0"/>
      <w:sz w:val="24"/>
    </w:rPr>
  </w:style>
  <w:style w:type="paragraph" w:customStyle="1" w:styleId="cpcustompagesharereviewowner">
    <w:name w:val="cp_custompage_share_review_owner"/>
    <w:basedOn w:val="Normal"/>
    <w:rsid w:val="00435883"/>
    <w:pPr>
      <w:spacing w:before="100" w:beforeAutospacing="1" w:after="100" w:afterAutospacing="1"/>
    </w:pPr>
    <w:rPr>
      <w:bCs w:val="0"/>
      <w:sz w:val="24"/>
    </w:rPr>
  </w:style>
  <w:style w:type="paragraph" w:customStyle="1" w:styleId="cpusersselectedplaceholder">
    <w:name w:val="cp_usersselected_placeholder"/>
    <w:basedOn w:val="Normal"/>
    <w:rsid w:val="00435883"/>
    <w:pPr>
      <w:spacing w:before="100" w:beforeAutospacing="1" w:after="100" w:afterAutospacing="1"/>
    </w:pPr>
    <w:rPr>
      <w:bCs w:val="0"/>
      <w:color w:val="BBBBBB"/>
      <w:szCs w:val="20"/>
    </w:rPr>
  </w:style>
  <w:style w:type="paragraph" w:customStyle="1" w:styleId="cpselectedcontentremovelink">
    <w:name w:val="cp_selectedcontent_removelink"/>
    <w:basedOn w:val="Normal"/>
    <w:rsid w:val="00435883"/>
    <w:pPr>
      <w:spacing w:before="100" w:beforeAutospacing="1" w:after="100" w:afterAutospacing="1" w:line="240" w:lineRule="atLeast"/>
    </w:pPr>
    <w:rPr>
      <w:bCs w:val="0"/>
      <w:sz w:val="24"/>
    </w:rPr>
  </w:style>
  <w:style w:type="paragraph" w:customStyle="1" w:styleId="cpselectcontentautocompleteitemlabel">
    <w:name w:val="cp_selectcontent_autocompleteitemlabel"/>
    <w:basedOn w:val="Normal"/>
    <w:rsid w:val="00435883"/>
    <w:pPr>
      <w:spacing w:before="100" w:beforeAutospacing="1" w:after="100" w:afterAutospacing="1"/>
    </w:pPr>
    <w:rPr>
      <w:bCs w:val="0"/>
      <w:sz w:val="24"/>
    </w:rPr>
  </w:style>
  <w:style w:type="paragraph" w:customStyle="1" w:styleId="cpsearchsectionbody">
    <w:name w:val="cp_searchsection_body"/>
    <w:basedOn w:val="Normal"/>
    <w:rsid w:val="00435883"/>
    <w:pPr>
      <w:spacing w:before="100" w:beforeAutospacing="1" w:after="100" w:afterAutospacing="1"/>
    </w:pPr>
    <w:rPr>
      <w:bCs w:val="0"/>
      <w:sz w:val="24"/>
    </w:rPr>
  </w:style>
  <w:style w:type="paragraph" w:customStyle="1" w:styleId="cpsearchsectioninputcontainer">
    <w:name w:val="cp_searchsection_inputcontainer"/>
    <w:basedOn w:val="Normal"/>
    <w:rsid w:val="00435883"/>
    <w:pPr>
      <w:spacing w:before="100" w:beforeAutospacing="1" w:after="100" w:afterAutospacing="1"/>
    </w:pPr>
    <w:rPr>
      <w:bCs w:val="0"/>
      <w:sz w:val="24"/>
    </w:rPr>
  </w:style>
  <w:style w:type="paragraph" w:customStyle="1" w:styleId="cpcolumnlast">
    <w:name w:val="cp_column_last"/>
    <w:basedOn w:val="Normal"/>
    <w:rsid w:val="00435883"/>
    <w:pPr>
      <w:spacing w:before="100" w:beforeAutospacing="1" w:after="100" w:afterAutospacing="1"/>
    </w:pPr>
    <w:rPr>
      <w:bCs w:val="0"/>
      <w:sz w:val="24"/>
    </w:rPr>
  </w:style>
  <w:style w:type="paragraph" w:customStyle="1" w:styleId="cpsectionbody">
    <w:name w:val="cp_section_body"/>
    <w:basedOn w:val="Normal"/>
    <w:rsid w:val="00435883"/>
    <w:pPr>
      <w:shd w:val="clear" w:color="auto" w:fill="FFFFFF"/>
      <w:spacing w:before="100" w:beforeAutospacing="1" w:after="100" w:afterAutospacing="1"/>
    </w:pPr>
    <w:rPr>
      <w:bCs w:val="0"/>
      <w:sz w:val="24"/>
    </w:rPr>
  </w:style>
  <w:style w:type="paragraph" w:customStyle="1" w:styleId="cpcustompagestoollabel">
    <w:name w:val="cp_custompages_tool_label"/>
    <w:basedOn w:val="Normal"/>
    <w:rsid w:val="00435883"/>
    <w:pPr>
      <w:spacing w:before="100" w:beforeAutospacing="1" w:after="100" w:afterAutospacing="1" w:line="375" w:lineRule="atLeast"/>
    </w:pPr>
    <w:rPr>
      <w:bCs w:val="0"/>
      <w:szCs w:val="20"/>
    </w:rPr>
  </w:style>
  <w:style w:type="paragraph" w:customStyle="1" w:styleId="userstextarea">
    <w:name w:val="userstextarea"/>
    <w:basedOn w:val="Normal"/>
    <w:rsid w:val="00435883"/>
    <w:pPr>
      <w:spacing w:before="100" w:beforeAutospacing="1" w:after="100" w:afterAutospacing="1"/>
    </w:pPr>
    <w:rPr>
      <w:bCs w:val="0"/>
      <w:sz w:val="24"/>
    </w:rPr>
  </w:style>
  <w:style w:type="paragraph" w:customStyle="1" w:styleId="coalertslist">
    <w:name w:val="co_alertslist"/>
    <w:basedOn w:val="Normal"/>
    <w:rsid w:val="00435883"/>
    <w:pPr>
      <w:spacing w:before="100" w:beforeAutospacing="1" w:after="100" w:afterAutospacing="1"/>
    </w:pPr>
    <w:rPr>
      <w:bCs w:val="0"/>
      <w:sz w:val="24"/>
    </w:rPr>
  </w:style>
  <w:style w:type="paragraph" w:customStyle="1" w:styleId="comyalertslistitem">
    <w:name w:val="co_myalertslist_item"/>
    <w:basedOn w:val="Normal"/>
    <w:rsid w:val="00435883"/>
    <w:pPr>
      <w:pBdr>
        <w:top w:val="single" w:sz="6" w:space="4" w:color="D9D9D9"/>
      </w:pBdr>
      <w:spacing w:before="100" w:beforeAutospacing="1" w:after="100" w:afterAutospacing="1"/>
    </w:pPr>
    <w:rPr>
      <w:bCs w:val="0"/>
      <w:sz w:val="24"/>
    </w:rPr>
  </w:style>
  <w:style w:type="paragraph" w:customStyle="1" w:styleId="coalertname">
    <w:name w:val="co_alertname"/>
    <w:basedOn w:val="Normal"/>
    <w:rsid w:val="00435883"/>
    <w:pPr>
      <w:spacing w:before="100" w:beforeAutospacing="1" w:after="100" w:afterAutospacing="1"/>
    </w:pPr>
    <w:rPr>
      <w:b/>
      <w:color w:val="333333"/>
      <w:szCs w:val="20"/>
    </w:rPr>
  </w:style>
  <w:style w:type="paragraph" w:customStyle="1" w:styleId="codatafeedname">
    <w:name w:val="co_datafeedname"/>
    <w:basedOn w:val="Normal"/>
    <w:rsid w:val="00435883"/>
    <w:pPr>
      <w:spacing w:before="100" w:beforeAutospacing="1" w:after="100" w:afterAutospacing="1"/>
    </w:pPr>
    <w:rPr>
      <w:b/>
      <w:color w:val="FF6A00"/>
      <w:szCs w:val="20"/>
    </w:rPr>
  </w:style>
  <w:style w:type="paragraph" w:customStyle="1" w:styleId="coviewmoreresults">
    <w:name w:val="co_viewmoreresults"/>
    <w:basedOn w:val="Normal"/>
    <w:rsid w:val="00435883"/>
    <w:pPr>
      <w:spacing w:before="100" w:beforeAutospacing="1" w:after="100" w:afterAutospacing="1"/>
    </w:pPr>
    <w:rPr>
      <w:bCs w:val="0"/>
      <w:sz w:val="24"/>
    </w:rPr>
  </w:style>
  <w:style w:type="paragraph" w:customStyle="1" w:styleId="deliveredresulttable">
    <w:name w:val="deliveredresulttable"/>
    <w:basedOn w:val="Normal"/>
    <w:rsid w:val="00435883"/>
    <w:pPr>
      <w:pBdr>
        <w:top w:val="single" w:sz="6" w:space="3" w:color="auto"/>
        <w:left w:val="single" w:sz="6" w:space="6" w:color="auto"/>
        <w:bottom w:val="single" w:sz="6" w:space="0" w:color="auto"/>
        <w:right w:val="single" w:sz="6" w:space="6" w:color="auto"/>
      </w:pBdr>
      <w:spacing w:before="100" w:beforeAutospacing="1" w:after="100" w:afterAutospacing="1"/>
    </w:pPr>
    <w:rPr>
      <w:bCs w:val="0"/>
      <w:sz w:val="18"/>
      <w:szCs w:val="18"/>
    </w:rPr>
  </w:style>
  <w:style w:type="paragraph" w:customStyle="1" w:styleId="cobrowsecontent">
    <w:name w:val="co_browsecontent"/>
    <w:basedOn w:val="Normal"/>
    <w:rsid w:val="00435883"/>
    <w:pPr>
      <w:spacing w:before="100" w:beforeAutospacing="1" w:after="100" w:afterAutospacing="1"/>
    </w:pPr>
    <w:rPr>
      <w:bCs w:val="0"/>
      <w:sz w:val="26"/>
      <w:szCs w:val="26"/>
    </w:rPr>
  </w:style>
  <w:style w:type="paragraph" w:customStyle="1" w:styleId="cobrowseindent">
    <w:name w:val="co_browseindent"/>
    <w:basedOn w:val="Normal"/>
    <w:rsid w:val="00435883"/>
    <w:pPr>
      <w:spacing w:before="100" w:beforeAutospacing="1" w:after="100" w:afterAutospacing="1"/>
      <w:ind w:left="180"/>
    </w:pPr>
    <w:rPr>
      <w:bCs w:val="0"/>
      <w:sz w:val="24"/>
    </w:rPr>
  </w:style>
  <w:style w:type="paragraph" w:customStyle="1" w:styleId="cocustomdigestlandingpagelabel">
    <w:name w:val="co_customdigestlandingpagelabel"/>
    <w:basedOn w:val="Normal"/>
    <w:rsid w:val="00435883"/>
    <w:pPr>
      <w:spacing w:before="100" w:beforeAutospacing="1" w:after="100" w:afterAutospacing="1"/>
    </w:pPr>
    <w:rPr>
      <w:bCs w:val="0"/>
      <w:sz w:val="24"/>
    </w:rPr>
  </w:style>
  <w:style w:type="paragraph" w:customStyle="1" w:styleId="cowebsitebrowsepagesearchregion">
    <w:name w:val="co_website_browsepagesearchregion"/>
    <w:basedOn w:val="Normal"/>
    <w:rsid w:val="00435883"/>
    <w:pPr>
      <w:pBdr>
        <w:top w:val="single" w:sz="12" w:space="8" w:color="4778C2"/>
        <w:left w:val="single" w:sz="12" w:space="8" w:color="4778C2"/>
        <w:bottom w:val="single" w:sz="12" w:space="8" w:color="4778C2"/>
        <w:right w:val="single" w:sz="12" w:space="8" w:color="4778C2"/>
      </w:pBdr>
      <w:spacing w:before="210" w:after="210"/>
    </w:pPr>
    <w:rPr>
      <w:bCs w:val="0"/>
      <w:sz w:val="24"/>
    </w:rPr>
  </w:style>
  <w:style w:type="paragraph" w:customStyle="1" w:styleId="cobrowsecontenticontext">
    <w:name w:val="co_browsecontent_icontext"/>
    <w:basedOn w:val="Normal"/>
    <w:rsid w:val="00435883"/>
    <w:pPr>
      <w:spacing w:before="100" w:beforeAutospacing="1" w:after="100" w:afterAutospacing="1"/>
      <w:ind w:left="375"/>
    </w:pPr>
    <w:rPr>
      <w:bCs w:val="0"/>
      <w:sz w:val="24"/>
    </w:rPr>
  </w:style>
  <w:style w:type="paragraph" w:customStyle="1" w:styleId="comanagedcontenticontext">
    <w:name w:val="co_managedcontent_icontext"/>
    <w:basedOn w:val="Normal"/>
    <w:rsid w:val="00435883"/>
    <w:pPr>
      <w:spacing w:before="100" w:beforeAutospacing="1" w:after="100" w:afterAutospacing="1"/>
      <w:ind w:left="375"/>
    </w:pPr>
    <w:rPr>
      <w:bCs w:val="0"/>
      <w:sz w:val="24"/>
    </w:rPr>
  </w:style>
  <w:style w:type="paragraph" w:customStyle="1" w:styleId="cowebsitetableofcontentsdocumentlinkimage">
    <w:name w:val="co_websitetableofcontentsdocumentlinkimage"/>
    <w:basedOn w:val="Normal"/>
    <w:rsid w:val="00435883"/>
    <w:pPr>
      <w:spacing w:before="100" w:beforeAutospacing="1" w:after="100" w:afterAutospacing="1"/>
    </w:pPr>
    <w:rPr>
      <w:bCs w:val="0"/>
      <w:sz w:val="24"/>
    </w:rPr>
  </w:style>
  <w:style w:type="paragraph" w:customStyle="1" w:styleId="coscopeexcluded">
    <w:name w:val="co_scopeexcluded"/>
    <w:basedOn w:val="Normal"/>
    <w:rsid w:val="00435883"/>
    <w:pPr>
      <w:spacing w:before="300" w:after="100" w:afterAutospacing="1"/>
    </w:pPr>
    <w:rPr>
      <w:bCs w:val="0"/>
      <w:sz w:val="24"/>
    </w:rPr>
  </w:style>
  <w:style w:type="paragraph" w:customStyle="1" w:styleId="cobrowseheader">
    <w:name w:val="co_browseheader"/>
    <w:basedOn w:val="Normal"/>
    <w:rsid w:val="00435883"/>
    <w:pPr>
      <w:spacing w:before="100" w:beforeAutospacing="1" w:after="75"/>
    </w:pPr>
    <w:rPr>
      <w:bCs w:val="0"/>
      <w:sz w:val="24"/>
    </w:rPr>
  </w:style>
  <w:style w:type="paragraph" w:customStyle="1" w:styleId="cowebsitebrowsebreadcrumbtrail">
    <w:name w:val="co_website_browsebreadcrumbtrail"/>
    <w:basedOn w:val="Normal"/>
    <w:rsid w:val="00435883"/>
    <w:pPr>
      <w:spacing w:before="100" w:beforeAutospacing="1" w:after="100" w:afterAutospacing="1"/>
    </w:pPr>
    <w:rPr>
      <w:bCs w:val="0"/>
      <w:sz w:val="22"/>
      <w:szCs w:val="22"/>
    </w:rPr>
  </w:style>
  <w:style w:type="paragraph" w:customStyle="1" w:styleId="cowebsitebrowsebreadcrumbitem">
    <w:name w:val="co_website_browsebreadcrumbitem"/>
    <w:basedOn w:val="Normal"/>
    <w:rsid w:val="00435883"/>
    <w:pPr>
      <w:spacing w:before="100" w:beforeAutospacing="1" w:after="100" w:afterAutospacing="1"/>
    </w:pPr>
    <w:rPr>
      <w:bCs w:val="0"/>
      <w:sz w:val="24"/>
    </w:rPr>
  </w:style>
  <w:style w:type="paragraph" w:customStyle="1" w:styleId="cowebsitebrowsepageaddhomepage">
    <w:name w:val="co_website_browsepageaddhomepage"/>
    <w:basedOn w:val="Normal"/>
    <w:rsid w:val="00435883"/>
    <w:pPr>
      <w:pBdr>
        <w:left w:val="single" w:sz="6" w:space="26" w:color="D6D6D6"/>
      </w:pBdr>
      <w:spacing w:before="100" w:beforeAutospacing="1" w:after="100" w:afterAutospacing="1"/>
    </w:pPr>
    <w:rPr>
      <w:bCs w:val="0"/>
      <w:sz w:val="24"/>
    </w:rPr>
  </w:style>
  <w:style w:type="paragraph" w:customStyle="1" w:styleId="cowebsitebrowsepageremoveashomepage">
    <w:name w:val="co_website_browsepageremoveashomepage"/>
    <w:basedOn w:val="Normal"/>
    <w:rsid w:val="00435883"/>
    <w:pPr>
      <w:pBdr>
        <w:left w:val="single" w:sz="6" w:space="26" w:color="D6D6D6"/>
      </w:pBdr>
      <w:spacing w:before="100" w:beforeAutospacing="1" w:after="100" w:afterAutospacing="1"/>
    </w:pPr>
    <w:rPr>
      <w:bCs w:val="0"/>
      <w:sz w:val="24"/>
    </w:rPr>
  </w:style>
  <w:style w:type="paragraph" w:customStyle="1" w:styleId="cowebsitebrowsetopicsnippet">
    <w:name w:val="co_website_browsetopicsnippet"/>
    <w:basedOn w:val="Normal"/>
    <w:rsid w:val="00435883"/>
    <w:pPr>
      <w:spacing w:before="100" w:beforeAutospacing="1" w:after="100" w:afterAutospacing="1"/>
    </w:pPr>
    <w:rPr>
      <w:bCs w:val="0"/>
      <w:color w:val="6B6B6B"/>
      <w:sz w:val="17"/>
      <w:szCs w:val="17"/>
    </w:rPr>
  </w:style>
  <w:style w:type="paragraph" w:customStyle="1" w:styleId="cosearchtocfound">
    <w:name w:val="co_searchtocfound"/>
    <w:basedOn w:val="Normal"/>
    <w:rsid w:val="00435883"/>
    <w:pPr>
      <w:shd w:val="clear" w:color="auto" w:fill="B7F2CE"/>
      <w:spacing w:before="100" w:beforeAutospacing="1" w:after="100" w:afterAutospacing="1"/>
    </w:pPr>
    <w:rPr>
      <w:bCs w:val="0"/>
      <w:sz w:val="24"/>
    </w:rPr>
  </w:style>
  <w:style w:type="paragraph" w:customStyle="1" w:styleId="coindexsearchresultheading">
    <w:name w:val="co_indexsearchresultheading"/>
    <w:basedOn w:val="Normal"/>
    <w:rsid w:val="00435883"/>
    <w:pPr>
      <w:pBdr>
        <w:top w:val="single" w:sz="6" w:space="5" w:color="EEEEEE"/>
        <w:left w:val="single" w:sz="6" w:space="8" w:color="EEEEEE"/>
        <w:bottom w:val="single" w:sz="6" w:space="5" w:color="EEEEEE"/>
        <w:right w:val="single" w:sz="6" w:space="8" w:color="EEEEEE"/>
      </w:pBdr>
      <w:shd w:val="clear" w:color="auto" w:fill="FFFFFF"/>
      <w:spacing w:before="100" w:beforeAutospacing="1" w:after="225"/>
    </w:pPr>
    <w:rPr>
      <w:bCs w:val="0"/>
      <w:sz w:val="24"/>
    </w:rPr>
  </w:style>
  <w:style w:type="paragraph" w:customStyle="1" w:styleId="coindexsearchresultcount">
    <w:name w:val="co_indexsearchresultcount"/>
    <w:basedOn w:val="Normal"/>
    <w:rsid w:val="00435883"/>
    <w:pPr>
      <w:spacing w:before="100" w:beforeAutospacing="1" w:after="100" w:afterAutospacing="1"/>
    </w:pPr>
    <w:rPr>
      <w:b/>
      <w:sz w:val="24"/>
    </w:rPr>
  </w:style>
  <w:style w:type="paragraph" w:customStyle="1" w:styleId="coindexsearchresultcontenttype">
    <w:name w:val="co_indexsearchresultcontenttype"/>
    <w:basedOn w:val="Normal"/>
    <w:rsid w:val="00435883"/>
    <w:pPr>
      <w:spacing w:before="100" w:beforeAutospacing="1" w:after="100" w:afterAutospacing="1"/>
    </w:pPr>
    <w:rPr>
      <w:bCs w:val="0"/>
      <w:sz w:val="24"/>
    </w:rPr>
  </w:style>
  <w:style w:type="paragraph" w:customStyle="1" w:styleId="coalphabetindex">
    <w:name w:val="co_alphabetindex"/>
    <w:basedOn w:val="Normal"/>
    <w:rsid w:val="00435883"/>
    <w:pPr>
      <w:pBdr>
        <w:top w:val="single" w:sz="18" w:space="4" w:color="CCCCCC"/>
        <w:bottom w:val="single" w:sz="6" w:space="4" w:color="CCCCCC"/>
      </w:pBdr>
      <w:spacing w:before="150" w:after="75"/>
    </w:pPr>
    <w:rPr>
      <w:bCs w:val="0"/>
      <w:sz w:val="24"/>
    </w:rPr>
  </w:style>
  <w:style w:type="paragraph" w:customStyle="1" w:styleId="coalphabetindexselected">
    <w:name w:val="co_alphabetindexselected"/>
    <w:basedOn w:val="Normal"/>
    <w:rsid w:val="00435883"/>
    <w:pPr>
      <w:shd w:val="clear" w:color="auto" w:fill="FFFFFF"/>
      <w:spacing w:before="100" w:beforeAutospacing="1" w:after="100" w:afterAutospacing="1"/>
    </w:pPr>
    <w:rPr>
      <w:b/>
      <w:sz w:val="24"/>
    </w:rPr>
  </w:style>
  <w:style w:type="paragraph" w:customStyle="1" w:styleId="coindextermchildren">
    <w:name w:val="co_indextermchildren"/>
    <w:basedOn w:val="Normal"/>
    <w:rsid w:val="00435883"/>
    <w:pPr>
      <w:spacing w:before="100" w:beforeAutospacing="1" w:after="100" w:afterAutospacing="1"/>
      <w:ind w:left="450"/>
    </w:pPr>
    <w:rPr>
      <w:bCs w:val="0"/>
      <w:sz w:val="24"/>
    </w:rPr>
  </w:style>
  <w:style w:type="paragraph" w:customStyle="1" w:styleId="cobrowsetoolbarwrap">
    <w:name w:val="co_browsetoolbarwrap"/>
    <w:basedOn w:val="Normal"/>
    <w:rsid w:val="00435883"/>
    <w:pPr>
      <w:spacing w:before="100" w:beforeAutospacing="1" w:after="100" w:afterAutospacing="1"/>
    </w:pPr>
    <w:rPr>
      <w:bCs w:val="0"/>
      <w:sz w:val="24"/>
    </w:rPr>
  </w:style>
  <w:style w:type="paragraph" w:customStyle="1" w:styleId="cobrowsesearchwithindropdowncontainer">
    <w:name w:val="co_browsesearchwithindropdowncontainer"/>
    <w:basedOn w:val="Normal"/>
    <w:rsid w:val="00435883"/>
    <w:pPr>
      <w:pBdr>
        <w:top w:val="single" w:sz="6" w:space="2" w:color="D1D1D1"/>
        <w:left w:val="single" w:sz="6" w:space="2" w:color="D1D1D1"/>
        <w:bottom w:val="single" w:sz="6" w:space="5" w:color="D1D1D1"/>
        <w:right w:val="single" w:sz="6" w:space="2" w:color="D1D1D1"/>
      </w:pBdr>
      <w:shd w:val="clear" w:color="auto" w:fill="F1F1F1"/>
      <w:spacing w:before="100" w:beforeAutospacing="1" w:after="100" w:afterAutospacing="1"/>
    </w:pPr>
    <w:rPr>
      <w:bCs w:val="0"/>
      <w:sz w:val="24"/>
    </w:rPr>
  </w:style>
  <w:style w:type="paragraph" w:customStyle="1" w:styleId="coselectallcollapsecontainer">
    <w:name w:val="co_selectallcollapsecontainer"/>
    <w:basedOn w:val="Normal"/>
    <w:rsid w:val="00435883"/>
    <w:pPr>
      <w:spacing w:before="75" w:after="100" w:afterAutospacing="1" w:line="375" w:lineRule="atLeast"/>
    </w:pPr>
    <w:rPr>
      <w:bCs w:val="0"/>
      <w:sz w:val="24"/>
    </w:rPr>
  </w:style>
  <w:style w:type="paragraph" w:customStyle="1" w:styleId="cowebsitewidgetkeynumbersearchinputcontainer">
    <w:name w:val="co_website_widget_keynumbersearch_inputcontainer"/>
    <w:basedOn w:val="Normal"/>
    <w:rsid w:val="00435883"/>
    <w:pPr>
      <w:spacing w:before="100" w:beforeAutospacing="1" w:after="100" w:afterAutospacing="1"/>
    </w:pPr>
    <w:rPr>
      <w:bCs w:val="0"/>
      <w:sz w:val="24"/>
    </w:rPr>
  </w:style>
  <w:style w:type="paragraph" w:customStyle="1" w:styleId="cowebsitewidgetkeynumbersearchinputcontainerinner">
    <w:name w:val="co_website_widget_keynumbersearch_inputcontainerinner"/>
    <w:basedOn w:val="Normal"/>
    <w:rsid w:val="00435883"/>
    <w:pPr>
      <w:spacing w:before="100" w:beforeAutospacing="1" w:after="100" w:afterAutospacing="1"/>
      <w:ind w:right="1260"/>
    </w:pPr>
    <w:rPr>
      <w:bCs w:val="0"/>
      <w:sz w:val="24"/>
    </w:rPr>
  </w:style>
  <w:style w:type="paragraph" w:customStyle="1" w:styleId="cowebsitewidgetkeynumbersearchbuttoncontainer">
    <w:name w:val="co_website_widget_keynumbersearch_buttoncontainer"/>
    <w:basedOn w:val="Normal"/>
    <w:rsid w:val="00435883"/>
    <w:pPr>
      <w:spacing w:before="100" w:beforeAutospacing="1" w:after="100" w:afterAutospacing="1"/>
      <w:ind w:left="-1095"/>
    </w:pPr>
    <w:rPr>
      <w:bCs w:val="0"/>
      <w:sz w:val="24"/>
    </w:rPr>
  </w:style>
  <w:style w:type="paragraph" w:customStyle="1" w:styleId="cographdatabox">
    <w:name w:val="co_graphdatabox"/>
    <w:basedOn w:val="Normal"/>
    <w:rsid w:val="00435883"/>
    <w:pPr>
      <w:pBdr>
        <w:top w:val="single" w:sz="6" w:space="4" w:color="CCCCCC"/>
        <w:left w:val="single" w:sz="6" w:space="4" w:color="CCCCCC"/>
        <w:bottom w:val="single" w:sz="6" w:space="4" w:color="CCCCCC"/>
        <w:right w:val="single" w:sz="6" w:space="4" w:color="CCCCCC"/>
      </w:pBdr>
      <w:spacing w:before="100" w:beforeAutospacing="1" w:after="100" w:afterAutospacing="1"/>
    </w:pPr>
    <w:rPr>
      <w:bCs w:val="0"/>
      <w:sz w:val="24"/>
    </w:rPr>
  </w:style>
  <w:style w:type="paragraph" w:customStyle="1" w:styleId="graphicalsidebox">
    <w:name w:val="graphicalsidebox"/>
    <w:basedOn w:val="Normal"/>
    <w:rsid w:val="00435883"/>
    <w:pPr>
      <w:spacing w:before="100" w:beforeAutospacing="1" w:after="100" w:afterAutospacing="1"/>
    </w:pPr>
    <w:rPr>
      <w:bCs w:val="0"/>
      <w:sz w:val="24"/>
    </w:rPr>
  </w:style>
  <w:style w:type="paragraph" w:customStyle="1" w:styleId="cographicalaccessheader">
    <w:name w:val="co_graphicalaccessheader"/>
    <w:basedOn w:val="Normal"/>
    <w:rsid w:val="00435883"/>
    <w:pPr>
      <w:spacing w:before="100" w:beforeAutospacing="1" w:after="100" w:afterAutospacing="1"/>
    </w:pPr>
    <w:rPr>
      <w:bCs w:val="0"/>
      <w:sz w:val="24"/>
    </w:rPr>
  </w:style>
  <w:style w:type="paragraph" w:customStyle="1" w:styleId="highcharts-legend-item">
    <w:name w:val="highcharts-legend-item"/>
    <w:basedOn w:val="Normal"/>
    <w:rsid w:val="00435883"/>
    <w:pPr>
      <w:spacing w:before="100" w:beforeAutospacing="1" w:after="100" w:afterAutospacing="1"/>
    </w:pPr>
    <w:rPr>
      <w:bCs w:val="0"/>
      <w:sz w:val="24"/>
    </w:rPr>
  </w:style>
  <w:style w:type="paragraph" w:customStyle="1" w:styleId="highcharts-legend-itemspan">
    <w:name w:val="highcharts-legend-item&gt;span"/>
    <w:basedOn w:val="Normal"/>
    <w:rsid w:val="00435883"/>
    <w:pPr>
      <w:spacing w:before="100" w:beforeAutospacing="1" w:after="100" w:afterAutospacing="1"/>
    </w:pPr>
    <w:rPr>
      <w:bCs w:val="0"/>
      <w:sz w:val="24"/>
    </w:rPr>
  </w:style>
  <w:style w:type="paragraph" w:customStyle="1" w:styleId="colegendlabel">
    <w:name w:val="co_legendlabel"/>
    <w:basedOn w:val="Normal"/>
    <w:rsid w:val="00435883"/>
    <w:pPr>
      <w:spacing w:before="100" w:beforeAutospacing="1" w:after="100" w:afterAutospacing="1"/>
    </w:pPr>
    <w:rPr>
      <w:bCs w:val="0"/>
      <w:sz w:val="24"/>
    </w:rPr>
  </w:style>
  <w:style w:type="paragraph" w:customStyle="1" w:styleId="cowaywotextareacountstyle">
    <w:name w:val="co_waywotextareacountstyle"/>
    <w:basedOn w:val="Normal"/>
    <w:rsid w:val="00435883"/>
    <w:pPr>
      <w:spacing w:before="100" w:beforeAutospacing="1" w:after="100" w:afterAutospacing="1"/>
      <w:jc w:val="right"/>
    </w:pPr>
    <w:rPr>
      <w:bCs w:val="0"/>
      <w:sz w:val="24"/>
    </w:rPr>
  </w:style>
  <w:style w:type="paragraph" w:customStyle="1" w:styleId="wlnwaywocontent">
    <w:name w:val="wln_waywo_content"/>
    <w:basedOn w:val="Normal"/>
    <w:rsid w:val="00435883"/>
    <w:pPr>
      <w:spacing w:before="100" w:beforeAutospacing="1" w:after="100" w:afterAutospacing="1"/>
    </w:pPr>
    <w:rPr>
      <w:rFonts w:ascii="Knowledge" w:hAnsi="Knowledge"/>
      <w:bCs w:val="0"/>
      <w:color w:val="555555"/>
      <w:sz w:val="27"/>
      <w:szCs w:val="27"/>
    </w:rPr>
  </w:style>
  <w:style w:type="paragraph" w:customStyle="1" w:styleId="cowizardoptions">
    <w:name w:val="co_wizardoptions"/>
    <w:basedOn w:val="Normal"/>
    <w:rsid w:val="00435883"/>
    <w:pPr>
      <w:pBdr>
        <w:top w:val="single" w:sz="6" w:space="0" w:color="BBBBBB"/>
        <w:left w:val="single" w:sz="6" w:space="0" w:color="BBBBBB"/>
        <w:bottom w:val="single" w:sz="6" w:space="0" w:color="BBBBBB"/>
        <w:right w:val="single" w:sz="6" w:space="0" w:color="BBBBBB"/>
      </w:pBdr>
      <w:spacing w:before="100" w:beforeAutospacing="1" w:after="100" w:afterAutospacing="1"/>
    </w:pPr>
    <w:rPr>
      <w:bCs w:val="0"/>
      <w:sz w:val="24"/>
    </w:rPr>
  </w:style>
  <w:style w:type="paragraph" w:customStyle="1" w:styleId="coclientidoutofplancontainer">
    <w:name w:val="co_clientid_outofplancontainer"/>
    <w:basedOn w:val="Normal"/>
    <w:rsid w:val="00435883"/>
    <w:pPr>
      <w:spacing w:before="100" w:beforeAutospacing="1" w:after="100" w:afterAutospacing="1"/>
    </w:pPr>
    <w:rPr>
      <w:bCs w:val="0"/>
      <w:sz w:val="24"/>
    </w:rPr>
  </w:style>
  <w:style w:type="paragraph" w:customStyle="1" w:styleId="cocheckreplace">
    <w:name w:val="co_checkreplace"/>
    <w:basedOn w:val="Normal"/>
    <w:rsid w:val="00435883"/>
    <w:pPr>
      <w:spacing w:before="100" w:beforeAutospacing="1" w:after="100" w:afterAutospacing="1" w:line="240" w:lineRule="atLeast"/>
    </w:pPr>
    <w:rPr>
      <w:b/>
      <w:caps/>
      <w:color w:val="000000"/>
      <w:sz w:val="18"/>
      <w:szCs w:val="18"/>
    </w:rPr>
  </w:style>
  <w:style w:type="paragraph" w:customStyle="1" w:styleId="cofilteredalertselectionsspan">
    <w:name w:val="co_filteredalertselections&gt;span"/>
    <w:basedOn w:val="Normal"/>
    <w:rsid w:val="00435883"/>
    <w:pPr>
      <w:spacing w:before="100" w:beforeAutospacing="1" w:after="75"/>
    </w:pPr>
    <w:rPr>
      <w:b/>
      <w:caps/>
      <w:sz w:val="24"/>
    </w:rPr>
  </w:style>
  <w:style w:type="paragraph" w:customStyle="1" w:styleId="cosearchformouteralert">
    <w:name w:val="co_searchformouteralert"/>
    <w:basedOn w:val="Normal"/>
    <w:rsid w:val="00435883"/>
    <w:pPr>
      <w:spacing w:before="100" w:beforeAutospacing="1" w:after="100" w:afterAutospacing="1"/>
    </w:pPr>
    <w:rPr>
      <w:bCs w:val="0"/>
      <w:sz w:val="24"/>
    </w:rPr>
  </w:style>
  <w:style w:type="paragraph" w:customStyle="1" w:styleId="coadditionaltermsconnectorbox">
    <w:name w:val="co_additionalterms_connectorbox"/>
    <w:basedOn w:val="Normal"/>
    <w:rsid w:val="00435883"/>
    <w:pPr>
      <w:spacing w:before="100" w:beforeAutospacing="1" w:after="100" w:afterAutospacing="1"/>
    </w:pPr>
    <w:rPr>
      <w:bCs w:val="0"/>
      <w:sz w:val="24"/>
    </w:rPr>
  </w:style>
  <w:style w:type="paragraph" w:customStyle="1" w:styleId="coadditionaltermssearchbox">
    <w:name w:val="co_additionalterms_searchbox"/>
    <w:basedOn w:val="Normal"/>
    <w:rsid w:val="00435883"/>
    <w:pPr>
      <w:spacing w:before="100" w:beforeAutospacing="1" w:after="100" w:afterAutospacing="1"/>
      <w:ind w:left="1800"/>
    </w:pPr>
    <w:rPr>
      <w:bCs w:val="0"/>
      <w:sz w:val="24"/>
    </w:rPr>
  </w:style>
  <w:style w:type="paragraph" w:customStyle="1" w:styleId="cocontentdigestsearch">
    <w:name w:val="co_contentdigestsearch"/>
    <w:basedOn w:val="Normal"/>
    <w:rsid w:val="00435883"/>
    <w:pPr>
      <w:spacing w:before="100" w:beforeAutospacing="1" w:after="100" w:afterAutospacing="1"/>
    </w:pPr>
    <w:rPr>
      <w:bCs w:val="0"/>
      <w:sz w:val="24"/>
    </w:rPr>
  </w:style>
  <w:style w:type="paragraph" w:customStyle="1" w:styleId="cocontentdigestsearchinner">
    <w:name w:val="co_contentdigestsearchinner"/>
    <w:basedOn w:val="Normal"/>
    <w:rsid w:val="00435883"/>
    <w:pPr>
      <w:pBdr>
        <w:bottom w:val="single" w:sz="6" w:space="6" w:color="DDDDDD"/>
      </w:pBdr>
      <w:spacing w:before="100" w:beforeAutospacing="1" w:after="100" w:afterAutospacing="1"/>
    </w:pPr>
    <w:rPr>
      <w:bCs w:val="0"/>
      <w:sz w:val="24"/>
    </w:rPr>
  </w:style>
  <w:style w:type="paragraph" w:customStyle="1" w:styleId="coportaldeliveryoption">
    <w:name w:val="co_portaldeliveryoption"/>
    <w:basedOn w:val="Normal"/>
    <w:rsid w:val="00435883"/>
    <w:pPr>
      <w:spacing w:before="100" w:beforeAutospacing="1" w:after="100" w:afterAutospacing="1"/>
    </w:pPr>
    <w:rPr>
      <w:bCs w:val="0"/>
      <w:sz w:val="24"/>
    </w:rPr>
  </w:style>
  <w:style w:type="paragraph" w:customStyle="1" w:styleId="codropoptionscontainer">
    <w:name w:val="co_dropoptionscontainer"/>
    <w:basedOn w:val="Normal"/>
    <w:rsid w:val="00435883"/>
    <w:pPr>
      <w:spacing w:before="100" w:beforeAutospacing="1" w:after="100" w:afterAutospacing="1"/>
    </w:pPr>
    <w:rPr>
      <w:bCs w:val="0"/>
      <w:sz w:val="24"/>
    </w:rPr>
  </w:style>
  <w:style w:type="paragraph" w:customStyle="1" w:styleId="codropoptionsfooter">
    <w:name w:val="co_dropoptionsfooter"/>
    <w:basedOn w:val="Normal"/>
    <w:rsid w:val="00435883"/>
    <w:pPr>
      <w:pBdr>
        <w:top w:val="single" w:sz="6" w:space="4" w:color="DDDDDD"/>
      </w:pBdr>
      <w:spacing w:before="100" w:beforeAutospacing="1" w:after="100" w:afterAutospacing="1"/>
      <w:jc w:val="center"/>
    </w:pPr>
    <w:rPr>
      <w:bCs w:val="0"/>
      <w:sz w:val="24"/>
    </w:rPr>
  </w:style>
  <w:style w:type="paragraph" w:customStyle="1" w:styleId="codropselectorcontainer">
    <w:name w:val="co_dropselectorcontainer"/>
    <w:basedOn w:val="Normal"/>
    <w:rsid w:val="00435883"/>
    <w:pPr>
      <w:spacing w:before="100" w:beforeAutospacing="1" w:after="100" w:afterAutospacing="1"/>
      <w:ind w:left="120"/>
    </w:pPr>
    <w:rPr>
      <w:bCs w:val="0"/>
      <w:sz w:val="24"/>
    </w:rPr>
  </w:style>
  <w:style w:type="paragraph" w:customStyle="1" w:styleId="codropselectorheader">
    <w:name w:val="co_dropselectorheader"/>
    <w:basedOn w:val="Normal"/>
    <w:rsid w:val="00435883"/>
    <w:pPr>
      <w:spacing w:before="100" w:beforeAutospacing="1" w:after="100" w:afterAutospacing="1"/>
    </w:pPr>
    <w:rPr>
      <w:bCs w:val="0"/>
      <w:sz w:val="24"/>
    </w:rPr>
  </w:style>
  <w:style w:type="paragraph" w:customStyle="1" w:styleId="codropselectoroptions">
    <w:name w:val="co_dropselectoroptions"/>
    <w:basedOn w:val="Normal"/>
    <w:rsid w:val="00435883"/>
    <w:pPr>
      <w:pBdr>
        <w:top w:val="single" w:sz="6" w:space="0" w:color="DDDDDD"/>
        <w:left w:val="single" w:sz="6" w:space="0" w:color="DDDDDD"/>
        <w:bottom w:val="single" w:sz="6" w:space="0" w:color="DDDDDD"/>
        <w:right w:val="single" w:sz="6" w:space="0" w:color="DDDDDD"/>
      </w:pBdr>
      <w:shd w:val="clear" w:color="auto" w:fill="FFFFFF"/>
      <w:spacing w:after="100" w:afterAutospacing="1"/>
    </w:pPr>
    <w:rPr>
      <w:bCs w:val="0"/>
      <w:sz w:val="24"/>
    </w:rPr>
  </w:style>
  <w:style w:type="paragraph" w:customStyle="1" w:styleId="deliverydialogdiv">
    <w:name w:val="deliverydialogdiv"/>
    <w:basedOn w:val="Normal"/>
    <w:rsid w:val="00435883"/>
    <w:pPr>
      <w:pBdr>
        <w:top w:val="single" w:sz="6" w:space="0" w:color="DDDDDD"/>
        <w:left w:val="single" w:sz="6" w:space="0" w:color="DDDDDD"/>
        <w:bottom w:val="single" w:sz="6" w:space="0" w:color="DDDDDD"/>
        <w:right w:val="single" w:sz="6" w:space="0" w:color="DDDDDD"/>
      </w:pBdr>
      <w:shd w:val="clear" w:color="auto" w:fill="F9F9F9"/>
      <w:spacing w:before="120" w:after="120"/>
      <w:ind w:left="120" w:right="120"/>
    </w:pPr>
    <w:rPr>
      <w:bCs w:val="0"/>
      <w:sz w:val="24"/>
    </w:rPr>
  </w:style>
  <w:style w:type="paragraph" w:customStyle="1" w:styleId="codeliverynote">
    <w:name w:val="co_deliverynote"/>
    <w:basedOn w:val="Normal"/>
    <w:rsid w:val="00435883"/>
    <w:pPr>
      <w:pBdr>
        <w:top w:val="single" w:sz="6" w:space="8" w:color="BBBBBB"/>
        <w:left w:val="single" w:sz="6" w:space="0" w:color="BBBBBB"/>
        <w:bottom w:val="single" w:sz="6" w:space="8" w:color="BBBBBB"/>
        <w:right w:val="single" w:sz="6" w:space="0" w:color="BBBBBB"/>
      </w:pBdr>
      <w:shd w:val="clear" w:color="auto" w:fill="F9F9F9"/>
      <w:spacing w:before="100" w:beforeAutospacing="1" w:after="100" w:afterAutospacing="1"/>
      <w:ind w:firstLine="600"/>
    </w:pPr>
    <w:rPr>
      <w:bCs w:val="0"/>
      <w:sz w:val="24"/>
    </w:rPr>
  </w:style>
  <w:style w:type="paragraph" w:customStyle="1" w:styleId="codaterangeulli">
    <w:name w:val="co_daterange&gt;ul&gt;li"/>
    <w:basedOn w:val="Normal"/>
    <w:rsid w:val="00435883"/>
    <w:pPr>
      <w:spacing w:before="100" w:beforeAutospacing="1" w:after="100" w:afterAutospacing="1"/>
    </w:pPr>
    <w:rPr>
      <w:bCs w:val="0"/>
      <w:sz w:val="24"/>
    </w:rPr>
  </w:style>
  <w:style w:type="paragraph" w:customStyle="1" w:styleId="cohourchecks">
    <w:name w:val="co_hourchecks"/>
    <w:basedOn w:val="Normal"/>
    <w:rsid w:val="00435883"/>
    <w:pPr>
      <w:spacing w:before="150" w:after="100" w:afterAutospacing="1"/>
    </w:pPr>
    <w:rPr>
      <w:bCs w:val="0"/>
      <w:sz w:val="24"/>
    </w:rPr>
  </w:style>
  <w:style w:type="paragraph" w:customStyle="1" w:styleId="cosearchwithinsameparagrapherrormessage">
    <w:name w:val="co_searchwithinsameparagraph_errormessage"/>
    <w:basedOn w:val="Normal"/>
    <w:rsid w:val="00435883"/>
    <w:pPr>
      <w:spacing w:before="100" w:beforeAutospacing="1" w:after="100" w:afterAutospacing="1"/>
    </w:pPr>
    <w:rPr>
      <w:bCs w:val="0"/>
      <w:sz w:val="24"/>
    </w:rPr>
  </w:style>
  <w:style w:type="paragraph" w:customStyle="1" w:styleId="cosmarttermssearch">
    <w:name w:val="co_smarttermssearch"/>
    <w:basedOn w:val="Normal"/>
    <w:rsid w:val="00435883"/>
    <w:rPr>
      <w:bCs w:val="0"/>
      <w:sz w:val="24"/>
    </w:rPr>
  </w:style>
  <w:style w:type="paragraph" w:customStyle="1" w:styleId="colightboxselectorcolumnsselector">
    <w:name w:val="co_lightbox_selectorcolumns_selector"/>
    <w:basedOn w:val="Normal"/>
    <w:rsid w:val="00435883"/>
    <w:pPr>
      <w:spacing w:before="100" w:beforeAutospacing="1" w:after="100" w:afterAutospacing="1"/>
    </w:pPr>
    <w:rPr>
      <w:bCs w:val="0"/>
      <w:sz w:val="24"/>
    </w:rPr>
  </w:style>
  <w:style w:type="paragraph" w:customStyle="1" w:styleId="colightboxselectorcolumnscontent">
    <w:name w:val="co_lightbox_selectorcolumns_content"/>
    <w:basedOn w:val="Normal"/>
    <w:rsid w:val="00435883"/>
    <w:pPr>
      <w:pBdr>
        <w:left w:val="single" w:sz="6" w:space="0" w:color="BBBBBB"/>
      </w:pBdr>
      <w:shd w:val="clear" w:color="auto" w:fill="FFFFFF"/>
    </w:pPr>
    <w:rPr>
      <w:bCs w:val="0"/>
      <w:sz w:val="24"/>
    </w:rPr>
  </w:style>
  <w:style w:type="paragraph" w:customStyle="1" w:styleId="truncated">
    <w:name w:val="truncated"/>
    <w:basedOn w:val="Normal"/>
    <w:rsid w:val="00435883"/>
    <w:pPr>
      <w:spacing w:before="100" w:beforeAutospacing="1" w:after="100" w:afterAutospacing="1"/>
    </w:pPr>
    <w:rPr>
      <w:bCs w:val="0"/>
      <w:sz w:val="24"/>
    </w:rPr>
  </w:style>
  <w:style w:type="paragraph" w:customStyle="1" w:styleId="codeliveryheader">
    <w:name w:val="co_deliveryheader"/>
    <w:basedOn w:val="Normal"/>
    <w:rsid w:val="00435883"/>
    <w:pPr>
      <w:pBdr>
        <w:bottom w:val="single" w:sz="6" w:space="3" w:color="CCCCCC"/>
      </w:pBdr>
      <w:spacing w:before="100" w:beforeAutospacing="1" w:after="60"/>
    </w:pPr>
    <w:rPr>
      <w:bCs w:val="0"/>
      <w:sz w:val="24"/>
    </w:rPr>
  </w:style>
  <w:style w:type="paragraph" w:customStyle="1" w:styleId="cokcaflagsm">
    <w:name w:val="co_kcaflagsm"/>
    <w:basedOn w:val="Normal"/>
    <w:rsid w:val="00435883"/>
    <w:pPr>
      <w:spacing w:before="100" w:beforeAutospacing="1" w:after="100" w:afterAutospacing="1"/>
    </w:pPr>
    <w:rPr>
      <w:rFonts w:ascii="Georgia" w:hAnsi="Georgia"/>
      <w:b/>
      <w:sz w:val="24"/>
    </w:rPr>
  </w:style>
  <w:style w:type="paragraph" w:customStyle="1" w:styleId="cokeycitealertsresultdates">
    <w:name w:val="co_keycitealertsresultdates"/>
    <w:basedOn w:val="Normal"/>
    <w:rsid w:val="00435883"/>
    <w:pPr>
      <w:spacing w:before="100" w:beforeAutospacing="1" w:after="100" w:afterAutospacing="1"/>
      <w:jc w:val="right"/>
    </w:pPr>
    <w:rPr>
      <w:bCs w:val="0"/>
      <w:sz w:val="24"/>
    </w:rPr>
  </w:style>
  <w:style w:type="paragraph" w:customStyle="1" w:styleId="slick-viewport">
    <w:name w:val="slick-viewport"/>
    <w:basedOn w:val="Normal"/>
    <w:rsid w:val="00435883"/>
    <w:pPr>
      <w:spacing w:before="100" w:beforeAutospacing="1" w:after="100" w:afterAutospacing="1"/>
    </w:pPr>
    <w:rPr>
      <w:bCs w:val="0"/>
      <w:sz w:val="24"/>
    </w:rPr>
  </w:style>
  <w:style w:type="paragraph" w:customStyle="1" w:styleId="slick-header-columns">
    <w:name w:val="slick-header-columns"/>
    <w:basedOn w:val="Normal"/>
    <w:rsid w:val="00435883"/>
    <w:pPr>
      <w:spacing w:before="100" w:beforeAutospacing="1" w:after="100" w:afterAutospacing="1"/>
    </w:pPr>
    <w:rPr>
      <w:bCs w:val="0"/>
      <w:sz w:val="24"/>
    </w:rPr>
  </w:style>
  <w:style w:type="paragraph" w:customStyle="1" w:styleId="slick-headerrow-columns">
    <w:name w:val="slick-headerrow-columns"/>
    <w:basedOn w:val="Normal"/>
    <w:rsid w:val="00435883"/>
    <w:pPr>
      <w:spacing w:before="100" w:beforeAutospacing="1" w:after="100" w:afterAutospacing="1"/>
    </w:pPr>
    <w:rPr>
      <w:bCs w:val="0"/>
      <w:sz w:val="24"/>
    </w:rPr>
  </w:style>
  <w:style w:type="paragraph" w:customStyle="1" w:styleId="slick-header-column-sorted">
    <w:name w:val="slick-header-column-sorted"/>
    <w:basedOn w:val="Normal"/>
    <w:rsid w:val="00435883"/>
    <w:pPr>
      <w:spacing w:before="100" w:beforeAutospacing="1" w:after="100" w:afterAutospacing="1"/>
    </w:pPr>
    <w:rPr>
      <w:bCs w:val="0"/>
      <w:i/>
      <w:iCs/>
      <w:sz w:val="24"/>
    </w:rPr>
  </w:style>
  <w:style w:type="paragraph" w:customStyle="1" w:styleId="slick-sort-indicator">
    <w:name w:val="slick-sort-indicator"/>
    <w:basedOn w:val="Normal"/>
    <w:rsid w:val="00435883"/>
    <w:pPr>
      <w:spacing w:before="100" w:beforeAutospacing="1" w:after="100" w:afterAutospacing="1"/>
      <w:ind w:left="60"/>
    </w:pPr>
    <w:rPr>
      <w:bCs w:val="0"/>
      <w:sz w:val="24"/>
    </w:rPr>
  </w:style>
  <w:style w:type="paragraph" w:customStyle="1" w:styleId="slick-sort-indicator-desc">
    <w:name w:val="slick-sort-indicator-desc"/>
    <w:basedOn w:val="Normal"/>
    <w:rsid w:val="00435883"/>
    <w:pPr>
      <w:spacing w:before="100" w:beforeAutospacing="1" w:after="100" w:afterAutospacing="1"/>
    </w:pPr>
    <w:rPr>
      <w:bCs w:val="0"/>
      <w:sz w:val="24"/>
    </w:rPr>
  </w:style>
  <w:style w:type="paragraph" w:customStyle="1" w:styleId="slick-sort-indicator-asc">
    <w:name w:val="slick-sort-indicator-asc"/>
    <w:basedOn w:val="Normal"/>
    <w:rsid w:val="00435883"/>
    <w:pPr>
      <w:spacing w:before="100" w:beforeAutospacing="1" w:after="100" w:afterAutospacing="1"/>
    </w:pPr>
    <w:rPr>
      <w:bCs w:val="0"/>
      <w:sz w:val="24"/>
    </w:rPr>
  </w:style>
  <w:style w:type="paragraph" w:customStyle="1" w:styleId="slick-resizable-handle">
    <w:name w:val="slick-resizable-handle"/>
    <w:basedOn w:val="Normal"/>
    <w:rsid w:val="00435883"/>
    <w:pPr>
      <w:spacing w:before="100" w:beforeAutospacing="1" w:after="100" w:afterAutospacing="1"/>
    </w:pPr>
    <w:rPr>
      <w:bCs w:val="0"/>
      <w:sz w:val="2"/>
      <w:szCs w:val="2"/>
    </w:rPr>
  </w:style>
  <w:style w:type="paragraph" w:customStyle="1" w:styleId="slick-sortable-placeholder">
    <w:name w:val="slick-sortable-placeholder"/>
    <w:basedOn w:val="Normal"/>
    <w:rsid w:val="00435883"/>
    <w:pPr>
      <w:shd w:val="clear" w:color="auto" w:fill="CCCCCC"/>
      <w:spacing w:before="100" w:beforeAutospacing="1" w:after="100" w:afterAutospacing="1"/>
    </w:pPr>
    <w:rPr>
      <w:bCs w:val="0"/>
      <w:sz w:val="24"/>
    </w:rPr>
  </w:style>
  <w:style w:type="paragraph" w:customStyle="1" w:styleId="slick-cell">
    <w:name w:val="slick-cell"/>
    <w:basedOn w:val="Normal"/>
    <w:rsid w:val="00435883"/>
    <w:pPr>
      <w:pBdr>
        <w:right w:val="dotted" w:sz="6" w:space="2" w:color="CCCCCC"/>
      </w:pBdr>
      <w:textAlignment w:val="center"/>
    </w:pPr>
    <w:rPr>
      <w:bCs w:val="0"/>
      <w:sz w:val="24"/>
    </w:rPr>
  </w:style>
  <w:style w:type="paragraph" w:customStyle="1" w:styleId="slick-headerrow-column">
    <w:name w:val="slick-headerrow-column"/>
    <w:basedOn w:val="Normal"/>
    <w:rsid w:val="00435883"/>
    <w:pPr>
      <w:pBdr>
        <w:right w:val="dotted" w:sz="6" w:space="2" w:color="CCCCCC"/>
      </w:pBdr>
      <w:textAlignment w:val="center"/>
    </w:pPr>
    <w:rPr>
      <w:bCs w:val="0"/>
      <w:sz w:val="24"/>
    </w:rPr>
  </w:style>
  <w:style w:type="paragraph" w:customStyle="1" w:styleId="slick-reorder-proxy">
    <w:name w:val="slick-reorder-proxy"/>
    <w:basedOn w:val="Normal"/>
    <w:rsid w:val="00435883"/>
    <w:pPr>
      <w:shd w:val="clear" w:color="auto" w:fill="0000FF"/>
      <w:spacing w:before="100" w:beforeAutospacing="1" w:after="100" w:afterAutospacing="1"/>
    </w:pPr>
    <w:rPr>
      <w:bCs w:val="0"/>
      <w:sz w:val="24"/>
    </w:rPr>
  </w:style>
  <w:style w:type="paragraph" w:customStyle="1" w:styleId="slick-reorder-guide">
    <w:name w:val="slick-reorder-guide"/>
    <w:basedOn w:val="Normal"/>
    <w:rsid w:val="00435883"/>
    <w:pPr>
      <w:shd w:val="clear" w:color="auto" w:fill="0000FF"/>
      <w:spacing w:before="100" w:beforeAutospacing="1" w:after="100" w:afterAutospacing="1"/>
    </w:pPr>
    <w:rPr>
      <w:bCs w:val="0"/>
      <w:sz w:val="24"/>
    </w:rPr>
  </w:style>
  <w:style w:type="paragraph" w:customStyle="1" w:styleId="slick-selection">
    <w:name w:val="slick-selection"/>
    <w:basedOn w:val="Normal"/>
    <w:rsid w:val="00435883"/>
    <w:pPr>
      <w:pBdr>
        <w:top w:val="dashed" w:sz="12" w:space="0" w:color="000000"/>
        <w:left w:val="dashed" w:sz="12" w:space="0" w:color="000000"/>
        <w:bottom w:val="dashed" w:sz="12" w:space="0" w:color="000000"/>
        <w:right w:val="dashed" w:sz="12" w:space="0" w:color="000000"/>
      </w:pBdr>
      <w:spacing w:before="100" w:beforeAutospacing="1" w:after="100" w:afterAutospacing="1"/>
    </w:pPr>
    <w:rPr>
      <w:bCs w:val="0"/>
      <w:sz w:val="24"/>
    </w:rPr>
  </w:style>
  <w:style w:type="paragraph" w:customStyle="1" w:styleId="slick-header">
    <w:name w:val="slick-header"/>
    <w:basedOn w:val="Normal"/>
    <w:rsid w:val="00435883"/>
    <w:pPr>
      <w:spacing w:before="100" w:beforeAutospacing="1" w:after="100" w:afterAutospacing="1"/>
    </w:pPr>
    <w:rPr>
      <w:bCs w:val="0"/>
      <w:sz w:val="24"/>
    </w:rPr>
  </w:style>
  <w:style w:type="paragraph" w:customStyle="1" w:styleId="coalertsnote">
    <w:name w:val="co_alertsnote"/>
    <w:basedOn w:val="Normal"/>
    <w:rsid w:val="00435883"/>
    <w:pPr>
      <w:pBdr>
        <w:top w:val="single" w:sz="6" w:space="8" w:color="DDDDDD"/>
        <w:left w:val="single" w:sz="6" w:space="8" w:color="DDDDDD"/>
        <w:bottom w:val="single" w:sz="6" w:space="8" w:color="DDDDDD"/>
        <w:right w:val="single" w:sz="6" w:space="8" w:color="DDDDDD"/>
      </w:pBdr>
      <w:shd w:val="clear" w:color="auto" w:fill="DDDDEE"/>
      <w:spacing w:before="100" w:beforeAutospacing="1" w:after="100" w:afterAutospacing="1"/>
    </w:pPr>
    <w:rPr>
      <w:bCs w:val="0"/>
      <w:sz w:val="24"/>
    </w:rPr>
  </w:style>
  <w:style w:type="paragraph" w:customStyle="1" w:styleId="coalertsnotelabel">
    <w:name w:val="co_alertsnotelabel"/>
    <w:basedOn w:val="Normal"/>
    <w:rsid w:val="00435883"/>
    <w:pPr>
      <w:spacing w:before="100" w:beforeAutospacing="1" w:after="105"/>
    </w:pPr>
    <w:rPr>
      <w:bCs w:val="0"/>
      <w:sz w:val="24"/>
    </w:rPr>
  </w:style>
  <w:style w:type="paragraph" w:customStyle="1" w:styleId="cosortalerts">
    <w:name w:val="co_sortalerts"/>
    <w:basedOn w:val="Normal"/>
    <w:rsid w:val="00435883"/>
    <w:pPr>
      <w:spacing w:before="150" w:after="150"/>
    </w:pPr>
    <w:rPr>
      <w:bCs w:val="0"/>
      <w:sz w:val="24"/>
    </w:rPr>
  </w:style>
  <w:style w:type="paragraph" w:customStyle="1" w:styleId="cosortalertslist">
    <w:name w:val="co_sortalertslist"/>
    <w:basedOn w:val="Normal"/>
    <w:rsid w:val="00435883"/>
    <w:pPr>
      <w:pBdr>
        <w:top w:val="single" w:sz="6" w:space="0" w:color="DDDDDD"/>
        <w:left w:val="single" w:sz="6" w:space="31" w:color="DDDDDD"/>
        <w:bottom w:val="single" w:sz="6" w:space="0" w:color="DDDDDD"/>
        <w:right w:val="single" w:sz="6" w:space="0" w:color="DDDDDD"/>
      </w:pBdr>
      <w:spacing w:before="100" w:beforeAutospacing="1" w:after="100" w:afterAutospacing="1"/>
    </w:pPr>
    <w:rPr>
      <w:bCs w:val="0"/>
      <w:sz w:val="24"/>
    </w:rPr>
  </w:style>
  <w:style w:type="paragraph" w:customStyle="1" w:styleId="coalertpanelbox">
    <w:name w:val="co_alertpanelbox"/>
    <w:basedOn w:val="Normal"/>
    <w:rsid w:val="00435883"/>
    <w:pPr>
      <w:shd w:val="clear" w:color="auto" w:fill="E3E2E7"/>
      <w:spacing w:before="100" w:beforeAutospacing="1" w:after="150"/>
    </w:pPr>
    <w:rPr>
      <w:bCs w:val="0"/>
      <w:sz w:val="24"/>
    </w:rPr>
  </w:style>
  <w:style w:type="paragraph" w:customStyle="1" w:styleId="citationbuildercong">
    <w:name w:val="citationbuilder_cong"/>
    <w:basedOn w:val="Normal"/>
    <w:rsid w:val="00435883"/>
    <w:pPr>
      <w:spacing w:before="150" w:after="225"/>
    </w:pPr>
    <w:rPr>
      <w:bCs w:val="0"/>
      <w:sz w:val="24"/>
    </w:rPr>
  </w:style>
  <w:style w:type="paragraph" w:customStyle="1" w:styleId="citationbuilderstate">
    <w:name w:val="citationbuilder_state"/>
    <w:basedOn w:val="Normal"/>
    <w:rsid w:val="00435883"/>
    <w:pPr>
      <w:spacing w:before="150" w:after="225"/>
    </w:pPr>
    <w:rPr>
      <w:bCs w:val="0"/>
      <w:sz w:val="24"/>
    </w:rPr>
  </w:style>
  <w:style w:type="paragraph" w:customStyle="1" w:styleId="cosuggestedtitle-topicli">
    <w:name w:val="co_suggestedtitle-topic&gt;li"/>
    <w:basedOn w:val="Normal"/>
    <w:rsid w:val="00435883"/>
    <w:pPr>
      <w:spacing w:before="100" w:beforeAutospacing="1" w:after="240"/>
    </w:pPr>
    <w:rPr>
      <w:bCs w:val="0"/>
      <w:sz w:val="24"/>
    </w:rPr>
  </w:style>
  <w:style w:type="paragraph" w:customStyle="1" w:styleId="co-ba-lightbox-progressbar">
    <w:name w:val="co-ba-lightbox-progressbar"/>
    <w:basedOn w:val="Normal"/>
    <w:rsid w:val="00435883"/>
    <w:pPr>
      <w:shd w:val="clear" w:color="auto" w:fill="D9D9D9"/>
      <w:spacing w:before="300" w:after="360"/>
    </w:pPr>
    <w:rPr>
      <w:bCs w:val="0"/>
      <w:sz w:val="24"/>
    </w:rPr>
  </w:style>
  <w:style w:type="paragraph" w:customStyle="1" w:styleId="co-ba-lightbox-content">
    <w:name w:val="co-ba-lightbox-content"/>
    <w:basedOn w:val="Normal"/>
    <w:rsid w:val="00435883"/>
    <w:pPr>
      <w:spacing w:before="100" w:beforeAutospacing="1" w:after="100" w:afterAutospacing="1"/>
    </w:pPr>
    <w:rPr>
      <w:bCs w:val="0"/>
      <w:sz w:val="24"/>
    </w:rPr>
  </w:style>
  <w:style w:type="paragraph" w:customStyle="1" w:styleId="co-featurelandingpage-header">
    <w:name w:val="co-featurelandingpage-header"/>
    <w:basedOn w:val="Normal"/>
    <w:rsid w:val="00435883"/>
    <w:pPr>
      <w:jc w:val="center"/>
    </w:pPr>
    <w:rPr>
      <w:bCs w:val="0"/>
      <w:sz w:val="24"/>
    </w:rPr>
  </w:style>
  <w:style w:type="paragraph" w:customStyle="1" w:styleId="co-featurelandingpage-betatag">
    <w:name w:val="co-featurelandingpage-betatag"/>
    <w:basedOn w:val="Normal"/>
    <w:rsid w:val="00435883"/>
    <w:pPr>
      <w:shd w:val="clear" w:color="auto" w:fill="0974D7"/>
      <w:spacing w:before="195"/>
      <w:ind w:left="120"/>
      <w:textAlignment w:val="top"/>
    </w:pPr>
    <w:rPr>
      <w:b/>
      <w:color w:val="FFFFFF"/>
      <w:sz w:val="15"/>
      <w:szCs w:val="15"/>
    </w:rPr>
  </w:style>
  <w:style w:type="paragraph" w:customStyle="1" w:styleId="co-featurelandingpage-banner">
    <w:name w:val="co-featurelandingpage-banner"/>
    <w:basedOn w:val="Normal"/>
    <w:rsid w:val="00435883"/>
    <w:pPr>
      <w:spacing w:before="100" w:beforeAutospacing="1" w:after="100" w:afterAutospacing="1"/>
    </w:pPr>
    <w:rPr>
      <w:bCs w:val="0"/>
      <w:sz w:val="24"/>
    </w:rPr>
  </w:style>
  <w:style w:type="paragraph" w:customStyle="1" w:styleId="co-featurelandingpage-options">
    <w:name w:val="co-featurelandingpage-options"/>
    <w:basedOn w:val="Normal"/>
    <w:rsid w:val="00435883"/>
    <w:pPr>
      <w:spacing w:before="255" w:after="825"/>
    </w:pPr>
    <w:rPr>
      <w:bCs w:val="0"/>
      <w:sz w:val="24"/>
    </w:rPr>
  </w:style>
  <w:style w:type="paragraph" w:customStyle="1" w:styleId="co-featurelandingpage-upload">
    <w:name w:val="co-featurelandingpage-upload"/>
    <w:basedOn w:val="Normal"/>
    <w:rsid w:val="00435883"/>
    <w:pPr>
      <w:spacing w:before="100" w:beforeAutospacing="1" w:after="100" w:afterAutospacing="1"/>
      <w:ind w:left="3075"/>
    </w:pPr>
    <w:rPr>
      <w:bCs w:val="0"/>
      <w:sz w:val="24"/>
    </w:rPr>
  </w:style>
  <w:style w:type="paragraph" w:customStyle="1" w:styleId="cofeaturelandingpage-analysis">
    <w:name w:val="co_featurelandingpage-analysis"/>
    <w:basedOn w:val="Normal"/>
    <w:rsid w:val="00435883"/>
    <w:pPr>
      <w:spacing w:before="100" w:beforeAutospacing="1" w:after="100" w:afterAutospacing="1"/>
      <w:ind w:left="3075"/>
    </w:pPr>
    <w:rPr>
      <w:bCs w:val="0"/>
      <w:sz w:val="24"/>
    </w:rPr>
  </w:style>
  <w:style w:type="paragraph" w:customStyle="1" w:styleId="co-featurelandingpage-footer">
    <w:name w:val="co-featurelandingpage-footer"/>
    <w:basedOn w:val="Normal"/>
    <w:rsid w:val="00435883"/>
    <w:pPr>
      <w:spacing w:before="100" w:beforeAutospacing="1" w:after="100" w:afterAutospacing="1" w:line="360" w:lineRule="atLeast"/>
    </w:pPr>
    <w:rPr>
      <w:bCs w:val="0"/>
      <w:szCs w:val="20"/>
    </w:rPr>
  </w:style>
  <w:style w:type="paragraph" w:customStyle="1" w:styleId="cofeaturelandingpage-dividerwrap">
    <w:name w:val="co_featurelandingpage-dividerwrap"/>
    <w:basedOn w:val="Normal"/>
    <w:rsid w:val="00435883"/>
    <w:pPr>
      <w:spacing w:before="100" w:beforeAutospacing="1" w:after="100" w:afterAutospacing="1"/>
      <w:jc w:val="center"/>
    </w:pPr>
    <w:rPr>
      <w:bCs w:val="0"/>
      <w:sz w:val="24"/>
    </w:rPr>
  </w:style>
  <w:style w:type="paragraph" w:customStyle="1" w:styleId="cofeaturelandingpage-icon">
    <w:name w:val="co_featurelandingpage-icon"/>
    <w:basedOn w:val="Normal"/>
    <w:rsid w:val="00435883"/>
    <w:pPr>
      <w:pBdr>
        <w:top w:val="single" w:sz="6" w:space="9" w:color="E0E0E0"/>
        <w:left w:val="single" w:sz="6" w:space="11" w:color="E0E0E0"/>
        <w:bottom w:val="single" w:sz="6" w:space="9" w:color="E0E0E0"/>
        <w:right w:val="single" w:sz="6" w:space="11" w:color="E0E0E0"/>
      </w:pBdr>
      <w:spacing w:before="100" w:beforeAutospacing="1" w:after="100" w:afterAutospacing="1"/>
    </w:pPr>
    <w:rPr>
      <w:b/>
      <w:sz w:val="27"/>
      <w:szCs w:val="27"/>
    </w:rPr>
  </w:style>
  <w:style w:type="paragraph" w:customStyle="1" w:styleId="cofeaturelandingpage-divider">
    <w:name w:val="co_featurelandingpage-divider"/>
    <w:basedOn w:val="Normal"/>
    <w:rsid w:val="00435883"/>
    <w:pPr>
      <w:pBdr>
        <w:left w:val="single" w:sz="6" w:space="0" w:color="E0E0E0"/>
      </w:pBdr>
      <w:spacing w:before="100" w:beforeAutospacing="1" w:after="100" w:afterAutospacing="1"/>
    </w:pPr>
    <w:rPr>
      <w:bCs w:val="0"/>
      <w:sz w:val="24"/>
    </w:rPr>
  </w:style>
  <w:style w:type="paragraph" w:customStyle="1" w:styleId="co-featurelandingpage-textwrap">
    <w:name w:val="co-featurelandingpage-textwrap"/>
    <w:basedOn w:val="Normal"/>
    <w:rsid w:val="00435883"/>
    <w:pPr>
      <w:spacing w:before="225" w:after="225"/>
    </w:pPr>
    <w:rPr>
      <w:bCs w:val="0"/>
      <w:sz w:val="24"/>
    </w:rPr>
  </w:style>
  <w:style w:type="paragraph" w:customStyle="1" w:styleId="co-featurelandingpage-form">
    <w:name w:val="co-featurelandingpage-form"/>
    <w:basedOn w:val="Normal"/>
    <w:rsid w:val="00435883"/>
    <w:pPr>
      <w:spacing w:before="150" w:after="100" w:afterAutospacing="1"/>
    </w:pPr>
    <w:rPr>
      <w:bCs w:val="0"/>
      <w:sz w:val="24"/>
    </w:rPr>
  </w:style>
  <w:style w:type="paragraph" w:customStyle="1" w:styleId="co-featurelandingpage-citations">
    <w:name w:val="co-featurelandingpage-citations"/>
    <w:basedOn w:val="Normal"/>
    <w:rsid w:val="00435883"/>
    <w:pPr>
      <w:spacing w:before="100" w:beforeAutospacing="1" w:after="100" w:afterAutospacing="1"/>
    </w:pPr>
    <w:rPr>
      <w:bCs w:val="0"/>
      <w:sz w:val="24"/>
    </w:rPr>
  </w:style>
  <w:style w:type="paragraph" w:customStyle="1" w:styleId="briefanalyzerqueueinnercontainer">
    <w:name w:val="briefanalyzerqueueinnercontainer"/>
    <w:basedOn w:val="Normal"/>
    <w:rsid w:val="00435883"/>
    <w:rPr>
      <w:bCs w:val="0"/>
      <w:sz w:val="24"/>
    </w:rPr>
  </w:style>
  <w:style w:type="paragraph" w:customStyle="1" w:styleId="coreportsqueue">
    <w:name w:val="co_reportsqueue"/>
    <w:basedOn w:val="Normal"/>
    <w:rsid w:val="00435883"/>
    <w:pPr>
      <w:spacing w:before="100" w:beforeAutospacing="1" w:after="100" w:afterAutospacing="1"/>
    </w:pPr>
    <w:rPr>
      <w:bCs w:val="0"/>
      <w:sz w:val="24"/>
    </w:rPr>
  </w:style>
  <w:style w:type="paragraph" w:customStyle="1" w:styleId="coreportsqueuediv">
    <w:name w:val="co_reportsqueue&gt;div"/>
    <w:basedOn w:val="Normal"/>
    <w:rsid w:val="00435883"/>
    <w:pPr>
      <w:spacing w:before="100" w:beforeAutospacing="1" w:after="100" w:afterAutospacing="1"/>
    </w:pPr>
    <w:rPr>
      <w:bCs w:val="0"/>
      <w:sz w:val="24"/>
    </w:rPr>
  </w:style>
  <w:style w:type="paragraph" w:customStyle="1" w:styleId="coreportsqueueheader">
    <w:name w:val="co_reportsqueueheader"/>
    <w:basedOn w:val="Normal"/>
    <w:rsid w:val="00435883"/>
    <w:pPr>
      <w:spacing w:before="100" w:beforeAutospacing="1" w:after="100" w:afterAutospacing="1"/>
    </w:pPr>
    <w:rPr>
      <w:b/>
      <w:sz w:val="24"/>
    </w:rPr>
  </w:style>
  <w:style w:type="paragraph" w:customStyle="1" w:styleId="coreportsqueuestatusmessage">
    <w:name w:val="co_reportsqueue_status_message"/>
    <w:basedOn w:val="Normal"/>
    <w:rsid w:val="00435883"/>
    <w:pPr>
      <w:spacing w:before="100" w:beforeAutospacing="1" w:after="100" w:afterAutospacing="1" w:line="375" w:lineRule="atLeast"/>
      <w:ind w:right="60"/>
    </w:pPr>
    <w:rPr>
      <w:b/>
      <w:color w:val="212121"/>
      <w:sz w:val="24"/>
    </w:rPr>
  </w:style>
  <w:style w:type="paragraph" w:customStyle="1" w:styleId="coreportsqueueitem">
    <w:name w:val="co_reportsqueue_item"/>
    <w:basedOn w:val="Normal"/>
    <w:rsid w:val="00435883"/>
    <w:pPr>
      <w:spacing w:before="100" w:beforeAutospacing="1" w:after="100" w:afterAutospacing="1"/>
    </w:pPr>
    <w:rPr>
      <w:bCs w:val="0"/>
      <w:color w:val="212121"/>
      <w:sz w:val="24"/>
    </w:rPr>
  </w:style>
  <w:style w:type="paragraph" w:customStyle="1" w:styleId="coreportsqueuecolumn">
    <w:name w:val="co_reportsqueuecolumn"/>
    <w:basedOn w:val="Normal"/>
    <w:rsid w:val="00435883"/>
    <w:pPr>
      <w:spacing w:before="100" w:beforeAutospacing="1" w:after="100" w:afterAutospacing="1" w:line="360" w:lineRule="atLeast"/>
      <w:textAlignment w:val="center"/>
    </w:pPr>
    <w:rPr>
      <w:bCs w:val="0"/>
      <w:sz w:val="24"/>
    </w:rPr>
  </w:style>
  <w:style w:type="paragraph" w:customStyle="1" w:styleId="coreportsqueuetitle">
    <w:name w:val="co_reportsqueuetitle"/>
    <w:basedOn w:val="Normal"/>
    <w:rsid w:val="00435883"/>
    <w:pPr>
      <w:spacing w:before="100" w:beforeAutospacing="1" w:after="100" w:afterAutospacing="1"/>
    </w:pPr>
    <w:rPr>
      <w:b/>
      <w:sz w:val="24"/>
    </w:rPr>
  </w:style>
  <w:style w:type="paragraph" w:customStyle="1" w:styleId="coreportsqueueicon">
    <w:name w:val="co_reportsqueueicon"/>
    <w:basedOn w:val="Normal"/>
    <w:rsid w:val="00435883"/>
    <w:pPr>
      <w:spacing w:before="100" w:beforeAutospacing="1" w:after="100" w:afterAutospacing="1"/>
    </w:pPr>
    <w:rPr>
      <w:bCs w:val="0"/>
      <w:sz w:val="24"/>
    </w:rPr>
  </w:style>
  <w:style w:type="paragraph" w:customStyle="1" w:styleId="codoctoptoolbarinner">
    <w:name w:val="co_doctoptoolbarinner"/>
    <w:basedOn w:val="Normal"/>
    <w:rsid w:val="00435883"/>
    <w:rPr>
      <w:bCs w:val="0"/>
      <w:sz w:val="24"/>
    </w:rPr>
  </w:style>
  <w:style w:type="paragraph" w:customStyle="1" w:styleId="cofeaturebox">
    <w:name w:val="co_featurebox"/>
    <w:basedOn w:val="Normal"/>
    <w:rsid w:val="00435883"/>
    <w:pPr>
      <w:pBdr>
        <w:top w:val="single" w:sz="6" w:space="11" w:color="CCCCCC"/>
        <w:left w:val="single" w:sz="6" w:space="11" w:color="CCCCCC"/>
        <w:bottom w:val="single" w:sz="6" w:space="11" w:color="CCCCCC"/>
        <w:right w:val="single" w:sz="6" w:space="11" w:color="CCCCCC"/>
      </w:pBdr>
      <w:shd w:val="clear" w:color="auto" w:fill="F6F6F6"/>
      <w:spacing w:after="100" w:afterAutospacing="1"/>
    </w:pPr>
    <w:rPr>
      <w:bCs w:val="0"/>
      <w:szCs w:val="20"/>
    </w:rPr>
  </w:style>
  <w:style w:type="paragraph" w:customStyle="1" w:styleId="cofeatureboxinner">
    <w:name w:val="co_featureboxinner"/>
    <w:basedOn w:val="Normal"/>
    <w:rsid w:val="00435883"/>
    <w:pPr>
      <w:spacing w:before="100" w:beforeAutospacing="1" w:after="100" w:afterAutospacing="1" w:line="402" w:lineRule="atLeast"/>
    </w:pPr>
    <w:rPr>
      <w:bCs w:val="0"/>
      <w:sz w:val="24"/>
    </w:rPr>
  </w:style>
  <w:style w:type="paragraph" w:customStyle="1" w:styleId="cogenericpopupbox">
    <w:name w:val="co_genericpopupbox"/>
    <w:basedOn w:val="Normal"/>
    <w:rsid w:val="00435883"/>
    <w:pPr>
      <w:pBdr>
        <w:top w:val="single" w:sz="6" w:space="14" w:color="CCCCCC"/>
        <w:left w:val="single" w:sz="6" w:space="14" w:color="CCCCCC"/>
        <w:bottom w:val="single" w:sz="6" w:space="14" w:color="CCCCCC"/>
        <w:right w:val="single" w:sz="6" w:space="14" w:color="CCCCCC"/>
      </w:pBdr>
      <w:shd w:val="clear" w:color="auto" w:fill="FFFFFF"/>
      <w:spacing w:before="100" w:beforeAutospacing="1" w:after="100" w:afterAutospacing="1"/>
    </w:pPr>
    <w:rPr>
      <w:bCs w:val="0"/>
      <w:color w:val="252525"/>
      <w:sz w:val="24"/>
    </w:rPr>
  </w:style>
  <w:style w:type="paragraph" w:customStyle="1" w:styleId="coglossarysearch">
    <w:name w:val="co_glossary_search"/>
    <w:basedOn w:val="Normal"/>
    <w:rsid w:val="00435883"/>
    <w:pPr>
      <w:spacing w:before="100" w:beforeAutospacing="1" w:after="100" w:afterAutospacing="1"/>
    </w:pPr>
    <w:rPr>
      <w:bCs w:val="0"/>
      <w:color w:val="252525"/>
      <w:sz w:val="24"/>
    </w:rPr>
  </w:style>
  <w:style w:type="paragraph" w:customStyle="1" w:styleId="cosearchglossarymenuinner">
    <w:name w:val="co_searchglossarymenuinner"/>
    <w:basedOn w:val="Normal"/>
    <w:rsid w:val="00435883"/>
    <w:pPr>
      <w:pBdr>
        <w:top w:val="single" w:sz="6" w:space="0" w:color="CCCCCC"/>
        <w:left w:val="single" w:sz="6" w:space="0" w:color="CCCCCC"/>
        <w:bottom w:val="single" w:sz="6" w:space="0" w:color="CCCCCC"/>
        <w:right w:val="single" w:sz="6" w:space="0" w:color="CCCCCC"/>
      </w:pBdr>
      <w:shd w:val="clear" w:color="auto" w:fill="FDFEFD"/>
      <w:spacing w:before="100" w:beforeAutospacing="1" w:after="100" w:afterAutospacing="1"/>
      <w:ind w:left="150"/>
    </w:pPr>
    <w:rPr>
      <w:bCs w:val="0"/>
      <w:sz w:val="24"/>
    </w:rPr>
  </w:style>
  <w:style w:type="paragraph" w:customStyle="1" w:styleId="coglossarygroups">
    <w:name w:val="co_glossary_groups"/>
    <w:basedOn w:val="Normal"/>
    <w:rsid w:val="00435883"/>
    <w:pPr>
      <w:pBdr>
        <w:top w:val="double" w:sz="6" w:space="8" w:color="CCCCCC"/>
      </w:pBdr>
      <w:spacing w:before="100" w:beforeAutospacing="1" w:after="100" w:afterAutospacing="1"/>
      <w:ind w:right="-15"/>
      <w:jc w:val="center"/>
    </w:pPr>
    <w:rPr>
      <w:rFonts w:ascii="Arial" w:hAnsi="Arial" w:cs="Arial"/>
      <w:b/>
      <w:caps/>
      <w:sz w:val="17"/>
      <w:szCs w:val="17"/>
    </w:rPr>
  </w:style>
  <w:style w:type="paragraph" w:customStyle="1" w:styleId="costateqaquestionscontainer">
    <w:name w:val="co_stateqaquestionscontainer"/>
    <w:basedOn w:val="Normal"/>
    <w:rsid w:val="00435883"/>
    <w:pPr>
      <w:spacing w:before="100" w:beforeAutospacing="1" w:after="100" w:afterAutospacing="1"/>
    </w:pPr>
    <w:rPr>
      <w:bCs w:val="0"/>
      <w:sz w:val="24"/>
    </w:rPr>
  </w:style>
  <w:style w:type="paragraph" w:customStyle="1" w:styleId="gray-bkg">
    <w:name w:val="gray-bkg"/>
    <w:basedOn w:val="Normal"/>
    <w:rsid w:val="00435883"/>
    <w:pPr>
      <w:shd w:val="clear" w:color="auto" w:fill="F6F6F6"/>
      <w:spacing w:before="100" w:beforeAutospacing="1" w:after="100" w:afterAutospacing="1"/>
    </w:pPr>
    <w:rPr>
      <w:bCs w:val="0"/>
      <w:sz w:val="24"/>
    </w:rPr>
  </w:style>
  <w:style w:type="paragraph" w:customStyle="1" w:styleId="cocomparisontool">
    <w:name w:val="co_comparisontool"/>
    <w:basedOn w:val="Normal"/>
    <w:rsid w:val="00435883"/>
    <w:pPr>
      <w:spacing w:before="375" w:after="100" w:afterAutospacing="1"/>
    </w:pPr>
    <w:rPr>
      <w:rFonts w:ascii="Arial" w:hAnsi="Arial" w:cs="Arial"/>
      <w:bCs w:val="0"/>
      <w:sz w:val="24"/>
    </w:rPr>
  </w:style>
  <w:style w:type="paragraph" w:customStyle="1" w:styleId="coactionbtns">
    <w:name w:val="co_actionbtns"/>
    <w:basedOn w:val="Normal"/>
    <w:rsid w:val="00435883"/>
    <w:pPr>
      <w:pBdr>
        <w:top w:val="single" w:sz="6" w:space="15" w:color="CCCCCC"/>
      </w:pBdr>
      <w:spacing w:before="432" w:after="100" w:afterAutospacing="1"/>
    </w:pPr>
    <w:rPr>
      <w:rFonts w:ascii="Knowledge" w:hAnsi="Knowledge"/>
      <w:b/>
      <w:sz w:val="24"/>
    </w:rPr>
  </w:style>
  <w:style w:type="paragraph" w:customStyle="1" w:styleId="plmeettheteam">
    <w:name w:val="pl_meettheteam"/>
    <w:basedOn w:val="Normal"/>
    <w:rsid w:val="00435883"/>
    <w:pPr>
      <w:pBdr>
        <w:top w:val="single" w:sz="36" w:space="0" w:color="EFEFEF"/>
        <w:left w:val="single" w:sz="36" w:space="0" w:color="EFEFEF"/>
        <w:bottom w:val="single" w:sz="36" w:space="0" w:color="EFEFEF"/>
        <w:right w:val="single" w:sz="36" w:space="0" w:color="EFEFEF"/>
      </w:pBdr>
      <w:shd w:val="clear" w:color="auto" w:fill="FFFFFF"/>
      <w:spacing w:before="100" w:beforeAutospacing="1" w:after="100" w:afterAutospacing="1"/>
    </w:pPr>
    <w:rPr>
      <w:bCs w:val="0"/>
      <w:sz w:val="24"/>
    </w:rPr>
  </w:style>
  <w:style w:type="paragraph" w:customStyle="1" w:styleId="coidwebsitepracticallawwidget">
    <w:name w:val="coid_website_practicallawwidget"/>
    <w:basedOn w:val="Normal"/>
    <w:rsid w:val="00435883"/>
    <w:pPr>
      <w:pBdr>
        <w:top w:val="single" w:sz="48" w:space="0" w:color="FFFFFF"/>
        <w:left w:val="single" w:sz="48" w:space="0" w:color="FFFFFF"/>
        <w:bottom w:val="single" w:sz="48" w:space="0" w:color="FFFFFF"/>
        <w:right w:val="single" w:sz="48" w:space="0" w:color="FFFFFF"/>
      </w:pBdr>
      <w:shd w:val="clear" w:color="auto" w:fill="3B3C3C"/>
      <w:spacing w:after="180" w:line="270" w:lineRule="atLeast"/>
    </w:pPr>
    <w:rPr>
      <w:bCs w:val="0"/>
      <w:color w:val="FFFFFF"/>
      <w:sz w:val="21"/>
      <w:szCs w:val="21"/>
    </w:rPr>
  </w:style>
  <w:style w:type="paragraph" w:customStyle="1" w:styleId="cowebinarresults">
    <w:name w:val="co_webinarresults"/>
    <w:basedOn w:val="Normal"/>
    <w:rsid w:val="00435883"/>
    <w:pPr>
      <w:spacing w:before="225"/>
      <w:ind w:left="420" w:right="420"/>
    </w:pPr>
    <w:rPr>
      <w:bCs w:val="0"/>
      <w:sz w:val="21"/>
      <w:szCs w:val="21"/>
    </w:rPr>
  </w:style>
  <w:style w:type="paragraph" w:customStyle="1" w:styleId="cowebinarresultsul">
    <w:name w:val="co_webinarresults&gt;ul"/>
    <w:basedOn w:val="Normal"/>
    <w:rsid w:val="00435883"/>
    <w:pPr>
      <w:pBdr>
        <w:bottom w:val="single" w:sz="6" w:space="19" w:color="CCCCCC"/>
      </w:pBdr>
      <w:spacing w:before="100" w:beforeAutospacing="1" w:after="375"/>
    </w:pPr>
    <w:rPr>
      <w:bCs w:val="0"/>
      <w:sz w:val="24"/>
    </w:rPr>
  </w:style>
  <w:style w:type="paragraph" w:customStyle="1" w:styleId="calendarlegalupdateslightboxcalendar">
    <w:name w:val="calendarlegalupdateslightbox_calendar"/>
    <w:basedOn w:val="Normal"/>
    <w:rsid w:val="00435883"/>
    <w:pPr>
      <w:pBdr>
        <w:top w:val="single" w:sz="6" w:space="9" w:color="CCCCCC"/>
        <w:left w:val="single" w:sz="6" w:space="12" w:color="CCCCCC"/>
        <w:bottom w:val="single" w:sz="6" w:space="9" w:color="CCCCCC"/>
        <w:right w:val="single" w:sz="6" w:space="12" w:color="CCCCCC"/>
      </w:pBdr>
      <w:spacing w:before="100" w:beforeAutospacing="1" w:after="100" w:afterAutospacing="1"/>
    </w:pPr>
    <w:rPr>
      <w:bCs w:val="0"/>
      <w:sz w:val="24"/>
    </w:rPr>
  </w:style>
  <w:style w:type="paragraph" w:customStyle="1" w:styleId="calendarlegalupdateslightboxdetails">
    <w:name w:val="calendarlegalupdateslightbox_details"/>
    <w:basedOn w:val="Normal"/>
    <w:rsid w:val="00435883"/>
    <w:pPr>
      <w:spacing w:before="100" w:beforeAutospacing="1" w:after="100" w:afterAutospacing="1"/>
    </w:pPr>
    <w:rPr>
      <w:bCs w:val="0"/>
      <w:sz w:val="24"/>
    </w:rPr>
  </w:style>
  <w:style w:type="paragraph" w:customStyle="1" w:styleId="cosearchresultskeydateleftcontent">
    <w:name w:val="co_searchresults_keydateleftcontent"/>
    <w:basedOn w:val="Normal"/>
    <w:rsid w:val="00435883"/>
    <w:pPr>
      <w:spacing w:before="100" w:beforeAutospacing="1" w:after="100" w:afterAutospacing="1"/>
    </w:pPr>
    <w:rPr>
      <w:bCs w:val="0"/>
      <w:sz w:val="24"/>
    </w:rPr>
  </w:style>
  <w:style w:type="paragraph" w:customStyle="1" w:styleId="khjurselectionblock">
    <w:name w:val="kh_jurselectionblock"/>
    <w:basedOn w:val="Normal"/>
    <w:rsid w:val="00435883"/>
    <w:pPr>
      <w:shd w:val="clear" w:color="auto" w:fill="E3FAFC"/>
      <w:spacing w:before="240" w:after="100" w:afterAutospacing="1"/>
    </w:pPr>
    <w:rPr>
      <w:bCs w:val="0"/>
      <w:sz w:val="24"/>
    </w:rPr>
  </w:style>
  <w:style w:type="paragraph" w:customStyle="1" w:styleId="khjurselectionblockh6">
    <w:name w:val="kh_jurselectionblock&gt;h6"/>
    <w:basedOn w:val="Normal"/>
    <w:rsid w:val="00435883"/>
    <w:pPr>
      <w:spacing w:before="100" w:beforeAutospacing="1" w:after="100" w:afterAutospacing="1"/>
    </w:pPr>
    <w:rPr>
      <w:b/>
      <w:sz w:val="24"/>
    </w:rPr>
  </w:style>
  <w:style w:type="paragraph" w:customStyle="1" w:styleId="khcrossborderitgcontributorsblock">
    <w:name w:val="kh_crossborderitgcontributorsblock"/>
    <w:basedOn w:val="Normal"/>
    <w:rsid w:val="00435883"/>
    <w:pPr>
      <w:spacing w:before="120" w:after="100" w:afterAutospacing="1"/>
    </w:pPr>
    <w:rPr>
      <w:bCs w:val="0"/>
      <w:i/>
      <w:iCs/>
      <w:sz w:val="24"/>
    </w:rPr>
  </w:style>
  <w:style w:type="paragraph" w:customStyle="1" w:styleId="jurselectoroverlay">
    <w:name w:val="jurselectoroverlay"/>
    <w:basedOn w:val="Normal"/>
    <w:rsid w:val="00435883"/>
    <w:pPr>
      <w:spacing w:before="100" w:beforeAutospacing="1" w:after="100" w:afterAutospacing="1"/>
    </w:pPr>
    <w:rPr>
      <w:bCs w:val="0"/>
      <w:sz w:val="24"/>
    </w:rPr>
  </w:style>
  <w:style w:type="paragraph" w:customStyle="1" w:styleId="crossborder-dashboard-itg">
    <w:name w:val="crossborder-dashboard-itg"/>
    <w:basedOn w:val="Normal"/>
    <w:rsid w:val="00435883"/>
    <w:pPr>
      <w:spacing w:before="100" w:beforeAutospacing="1" w:after="240"/>
    </w:pPr>
    <w:rPr>
      <w:bCs w:val="0"/>
      <w:sz w:val="24"/>
    </w:rPr>
  </w:style>
  <w:style w:type="paragraph" w:customStyle="1" w:styleId="cofilersearchcontainer">
    <w:name w:val="co_filersearchcontainer"/>
    <w:basedOn w:val="Normal"/>
    <w:rsid w:val="00435883"/>
    <w:pPr>
      <w:pBdr>
        <w:top w:val="single" w:sz="6" w:space="0" w:color="EEEEEE"/>
        <w:left w:val="single" w:sz="6" w:space="0" w:color="EEEEEE"/>
        <w:bottom w:val="single" w:sz="6" w:space="0" w:color="EEEEEE"/>
        <w:right w:val="single" w:sz="6" w:space="0" w:color="EEEEEE"/>
      </w:pBdr>
      <w:shd w:val="clear" w:color="auto" w:fill="FFFFFF"/>
      <w:spacing w:after="100" w:afterAutospacing="1"/>
    </w:pPr>
    <w:rPr>
      <w:bCs w:val="0"/>
      <w:sz w:val="24"/>
    </w:rPr>
  </w:style>
  <w:style w:type="paragraph" w:customStyle="1" w:styleId="cofilersearchsuggestions">
    <w:name w:val="co_filersearchsuggestions"/>
    <w:basedOn w:val="Normal"/>
    <w:rsid w:val="00435883"/>
    <w:pPr>
      <w:spacing w:before="100" w:beforeAutospacing="1" w:after="100" w:afterAutospacing="1"/>
      <w:ind w:left="2550"/>
      <w:textAlignment w:val="top"/>
    </w:pPr>
    <w:rPr>
      <w:bCs w:val="0"/>
      <w:sz w:val="24"/>
    </w:rPr>
  </w:style>
  <w:style w:type="paragraph" w:customStyle="1" w:styleId="copicklistcontainer">
    <w:name w:val="co_picklistcontainer"/>
    <w:basedOn w:val="Normal"/>
    <w:rsid w:val="00435883"/>
    <w:pPr>
      <w:pBdr>
        <w:top w:val="single" w:sz="6" w:space="0" w:color="CCCCCC"/>
        <w:left w:val="single" w:sz="6" w:space="0" w:color="CCCCCC"/>
        <w:bottom w:val="single" w:sz="6" w:space="0" w:color="CCCCCC"/>
        <w:right w:val="single" w:sz="6" w:space="0" w:color="CCCCCC"/>
      </w:pBdr>
      <w:spacing w:before="100" w:beforeAutospacing="1" w:after="75"/>
    </w:pPr>
    <w:rPr>
      <w:bCs w:val="0"/>
      <w:sz w:val="21"/>
      <w:szCs w:val="21"/>
    </w:rPr>
  </w:style>
  <w:style w:type="paragraph" w:customStyle="1" w:styleId="copicklistsectionheader">
    <w:name w:val="co_picklistsectionheader"/>
    <w:basedOn w:val="Normal"/>
    <w:rsid w:val="00435883"/>
    <w:pPr>
      <w:pBdr>
        <w:bottom w:val="single" w:sz="6" w:space="5" w:color="CCCCCC"/>
      </w:pBdr>
      <w:shd w:val="clear" w:color="auto" w:fill="F7F7F7"/>
      <w:spacing w:before="100" w:beforeAutospacing="1" w:after="100" w:afterAutospacing="1"/>
    </w:pPr>
    <w:rPr>
      <w:bCs w:val="0"/>
      <w:sz w:val="24"/>
    </w:rPr>
  </w:style>
  <w:style w:type="paragraph" w:customStyle="1" w:styleId="copicklisttitle">
    <w:name w:val="co_picklisttitle"/>
    <w:basedOn w:val="Normal"/>
    <w:rsid w:val="00435883"/>
    <w:pPr>
      <w:spacing w:before="100" w:beforeAutospacing="1" w:after="100" w:afterAutospacing="1"/>
    </w:pPr>
    <w:rPr>
      <w:b/>
      <w:caps/>
      <w:sz w:val="24"/>
    </w:rPr>
  </w:style>
  <w:style w:type="paragraph" w:customStyle="1" w:styleId="copicklistmetadata">
    <w:name w:val="co_picklistmetadata"/>
    <w:basedOn w:val="Normal"/>
    <w:rsid w:val="00435883"/>
    <w:pPr>
      <w:spacing w:before="100" w:beforeAutospacing="1" w:after="100" w:afterAutospacing="1" w:line="210" w:lineRule="atLeast"/>
      <w:ind w:left="255"/>
    </w:pPr>
    <w:rPr>
      <w:bCs w:val="0"/>
      <w:sz w:val="18"/>
      <w:szCs w:val="18"/>
    </w:rPr>
  </w:style>
  <w:style w:type="paragraph" w:customStyle="1" w:styleId="copicklistsectionbody">
    <w:name w:val="co_picklistsectionbody"/>
    <w:basedOn w:val="Normal"/>
    <w:rsid w:val="00435883"/>
    <w:pPr>
      <w:pBdr>
        <w:bottom w:val="single" w:sz="6" w:space="6" w:color="CCCCCC"/>
      </w:pBdr>
      <w:spacing w:before="100" w:beforeAutospacing="1" w:after="100" w:afterAutospacing="1"/>
    </w:pPr>
    <w:rPr>
      <w:bCs w:val="0"/>
      <w:sz w:val="24"/>
    </w:rPr>
  </w:style>
  <w:style w:type="paragraph" w:customStyle="1" w:styleId="copicklistsubsection">
    <w:name w:val="co_picklistsubsection"/>
    <w:basedOn w:val="Normal"/>
    <w:rsid w:val="00435883"/>
    <w:pPr>
      <w:spacing w:before="100" w:beforeAutospacing="1" w:after="100" w:afterAutospacing="1"/>
      <w:ind w:left="570"/>
    </w:pPr>
    <w:rPr>
      <w:bCs w:val="0"/>
      <w:sz w:val="24"/>
    </w:rPr>
  </w:style>
  <w:style w:type="paragraph" w:customStyle="1" w:styleId="bitoc-records">
    <w:name w:val="bi_toc-records"/>
    <w:basedOn w:val="Normal"/>
    <w:rsid w:val="00435883"/>
    <w:pPr>
      <w:spacing w:before="100" w:beforeAutospacing="1" w:after="100" w:afterAutospacing="1"/>
    </w:pPr>
    <w:rPr>
      <w:bCs w:val="0"/>
      <w:sz w:val="24"/>
    </w:rPr>
  </w:style>
  <w:style w:type="paragraph" w:customStyle="1" w:styleId="biicon">
    <w:name w:val="bi_icon"/>
    <w:basedOn w:val="Normal"/>
    <w:rsid w:val="00435883"/>
    <w:pPr>
      <w:spacing w:before="100" w:beforeAutospacing="1" w:after="100" w:afterAutospacing="1"/>
      <w:ind w:firstLine="18360"/>
    </w:pPr>
    <w:rPr>
      <w:bCs w:val="0"/>
      <w:sz w:val="24"/>
    </w:rPr>
  </w:style>
  <w:style w:type="paragraph" w:customStyle="1" w:styleId="cobicompanyinfo">
    <w:name w:val="co_bi_companyinfo"/>
    <w:basedOn w:val="Normal"/>
    <w:rsid w:val="00435883"/>
    <w:pPr>
      <w:spacing w:before="100" w:beforeAutospacing="1" w:after="100" w:afterAutospacing="1"/>
    </w:pPr>
    <w:rPr>
      <w:bCs w:val="0"/>
      <w:sz w:val="24"/>
    </w:rPr>
  </w:style>
  <w:style w:type="paragraph" w:customStyle="1" w:styleId="cobicompanyinfoli">
    <w:name w:val="co_bi_companyinfo&gt;li"/>
    <w:basedOn w:val="Normal"/>
    <w:rsid w:val="00435883"/>
    <w:pPr>
      <w:spacing w:before="100" w:beforeAutospacing="1" w:after="100" w:afterAutospacing="1"/>
    </w:pPr>
    <w:rPr>
      <w:bCs w:val="0"/>
      <w:sz w:val="24"/>
    </w:rPr>
  </w:style>
  <w:style w:type="paragraph" w:customStyle="1" w:styleId="cobireportbuttons">
    <w:name w:val="co_bi_reportbuttons"/>
    <w:basedOn w:val="Normal"/>
    <w:rsid w:val="00435883"/>
    <w:pPr>
      <w:spacing w:before="100" w:beforeAutospacing="1" w:after="100" w:afterAutospacing="1"/>
    </w:pPr>
    <w:rPr>
      <w:bCs w:val="0"/>
      <w:sz w:val="24"/>
    </w:rPr>
  </w:style>
  <w:style w:type="paragraph" w:customStyle="1" w:styleId="companyreportbtn">
    <w:name w:val="companyreportbtn"/>
    <w:basedOn w:val="Normal"/>
    <w:rsid w:val="00435883"/>
    <w:pPr>
      <w:pBdr>
        <w:top w:val="single" w:sz="6" w:space="0" w:color="CACACA"/>
        <w:left w:val="single" w:sz="6" w:space="5" w:color="CACACA"/>
        <w:bottom w:val="single" w:sz="6" w:space="0" w:color="CACACA"/>
        <w:right w:val="single" w:sz="6" w:space="8" w:color="CACACA"/>
      </w:pBdr>
      <w:shd w:val="clear" w:color="auto" w:fill="838383"/>
      <w:spacing w:before="100" w:beforeAutospacing="1" w:after="100" w:afterAutospacing="1" w:line="360" w:lineRule="atLeast"/>
      <w:ind w:right="75"/>
    </w:pPr>
    <w:rPr>
      <w:b/>
      <w:color w:val="FFFFFF"/>
      <w:sz w:val="24"/>
    </w:rPr>
  </w:style>
  <w:style w:type="paragraph" w:customStyle="1" w:styleId="prpermissibleusecontrolsetdescription">
    <w:name w:val="pr_permissibleuse_controlset_description"/>
    <w:basedOn w:val="Normal"/>
    <w:rsid w:val="00435883"/>
    <w:pPr>
      <w:spacing w:before="100" w:beforeAutospacing="1" w:after="100" w:afterAutospacing="1"/>
    </w:pPr>
    <w:rPr>
      <w:bCs w:val="0"/>
      <w:sz w:val="18"/>
      <w:szCs w:val="18"/>
    </w:rPr>
  </w:style>
  <w:style w:type="paragraph" w:customStyle="1" w:styleId="prpermissibleusedisclaimer">
    <w:name w:val="pr_permissibleuse_disclaimer"/>
    <w:basedOn w:val="Normal"/>
    <w:rsid w:val="00435883"/>
    <w:pPr>
      <w:spacing w:before="300" w:after="100" w:afterAutospacing="1"/>
    </w:pPr>
    <w:rPr>
      <w:bCs w:val="0"/>
      <w:sz w:val="18"/>
      <w:szCs w:val="18"/>
    </w:rPr>
  </w:style>
  <w:style w:type="paragraph" w:customStyle="1" w:styleId="prcoveragestateselect">
    <w:name w:val="pr_coveragestateselect"/>
    <w:basedOn w:val="Normal"/>
    <w:rsid w:val="00435883"/>
    <w:pPr>
      <w:spacing w:before="150" w:after="450"/>
    </w:pPr>
    <w:rPr>
      <w:bCs w:val="0"/>
      <w:sz w:val="24"/>
    </w:rPr>
  </w:style>
  <w:style w:type="paragraph" w:customStyle="1" w:styleId="copmprint">
    <w:name w:val="co_pm_print"/>
    <w:basedOn w:val="Normal"/>
    <w:rsid w:val="00435883"/>
    <w:pPr>
      <w:ind w:left="150"/>
    </w:pPr>
    <w:rPr>
      <w:bCs w:val="0"/>
      <w:sz w:val="24"/>
    </w:rPr>
  </w:style>
  <w:style w:type="paragraph" w:customStyle="1" w:styleId="copmgrid">
    <w:name w:val="co_pm_grid"/>
    <w:basedOn w:val="Normal"/>
    <w:rsid w:val="00435883"/>
    <w:pPr>
      <w:ind w:left="150"/>
    </w:pPr>
    <w:rPr>
      <w:bCs w:val="0"/>
      <w:sz w:val="24"/>
    </w:rPr>
  </w:style>
  <w:style w:type="paragraph" w:customStyle="1" w:styleId="copmredraw">
    <w:name w:val="co_pm_redraw"/>
    <w:basedOn w:val="Normal"/>
    <w:rsid w:val="00435883"/>
    <w:pPr>
      <w:ind w:left="150"/>
    </w:pPr>
    <w:rPr>
      <w:bCs w:val="0"/>
      <w:sz w:val="24"/>
    </w:rPr>
  </w:style>
  <w:style w:type="paragraph" w:customStyle="1" w:styleId="copmcenter">
    <w:name w:val="co_pm_center"/>
    <w:basedOn w:val="Normal"/>
    <w:rsid w:val="00435883"/>
    <w:pPr>
      <w:ind w:left="150"/>
    </w:pPr>
    <w:rPr>
      <w:bCs w:val="0"/>
      <w:sz w:val="24"/>
    </w:rPr>
  </w:style>
  <w:style w:type="paragraph" w:customStyle="1" w:styleId="copmclassicview">
    <w:name w:val="co_pm_classicview"/>
    <w:basedOn w:val="Normal"/>
    <w:rsid w:val="00435883"/>
    <w:pPr>
      <w:ind w:left="150"/>
    </w:pPr>
    <w:rPr>
      <w:bCs w:val="0"/>
      <w:sz w:val="24"/>
    </w:rPr>
  </w:style>
  <w:style w:type="paragraph" w:customStyle="1" w:styleId="copmeddview">
    <w:name w:val="co_pm_eddview"/>
    <w:basedOn w:val="Normal"/>
    <w:rsid w:val="00435883"/>
    <w:rPr>
      <w:bCs w:val="0"/>
      <w:sz w:val="24"/>
    </w:rPr>
  </w:style>
  <w:style w:type="paragraph" w:customStyle="1" w:styleId="copmhelp">
    <w:name w:val="co_pm_help"/>
    <w:basedOn w:val="Normal"/>
    <w:rsid w:val="00435883"/>
    <w:pPr>
      <w:spacing w:before="60"/>
      <w:ind w:left="150"/>
    </w:pPr>
    <w:rPr>
      <w:bCs w:val="0"/>
      <w:sz w:val="24"/>
    </w:rPr>
  </w:style>
  <w:style w:type="paragraph" w:customStyle="1" w:styleId="pmdatasource">
    <w:name w:val="pm_datasource"/>
    <w:basedOn w:val="Normal"/>
    <w:rsid w:val="00435883"/>
    <w:pPr>
      <w:spacing w:before="100" w:beforeAutospacing="1" w:after="100" w:afterAutospacing="1"/>
    </w:pPr>
    <w:rPr>
      <w:bCs w:val="0"/>
      <w:sz w:val="24"/>
    </w:rPr>
  </w:style>
  <w:style w:type="paragraph" w:customStyle="1" w:styleId="pmhighlight">
    <w:name w:val="pm_highlight"/>
    <w:basedOn w:val="Normal"/>
    <w:rsid w:val="00435883"/>
    <w:pPr>
      <w:pBdr>
        <w:top w:val="single" w:sz="12" w:space="0" w:color="FEDA73"/>
        <w:left w:val="single" w:sz="12" w:space="0" w:color="FEDA73"/>
        <w:bottom w:val="single" w:sz="12" w:space="0" w:color="FEDA73"/>
        <w:right w:val="single" w:sz="12" w:space="0" w:color="FEDA73"/>
      </w:pBdr>
      <w:spacing w:before="100" w:beforeAutospacing="1" w:after="100" w:afterAutospacing="1"/>
    </w:pPr>
    <w:rPr>
      <w:bCs w:val="0"/>
      <w:sz w:val="24"/>
    </w:rPr>
  </w:style>
  <w:style w:type="paragraph" w:customStyle="1" w:styleId="pmsectionname">
    <w:name w:val="pm_sectionname"/>
    <w:basedOn w:val="Normal"/>
    <w:rsid w:val="00435883"/>
    <w:pPr>
      <w:spacing w:before="100" w:beforeAutospacing="1" w:after="100" w:afterAutospacing="1"/>
    </w:pPr>
    <w:rPr>
      <w:bCs w:val="0"/>
      <w:sz w:val="24"/>
    </w:rPr>
  </w:style>
  <w:style w:type="paragraph" w:customStyle="1" w:styleId="reportdocumentcontrols">
    <w:name w:val="reportdocumentcontrols"/>
    <w:basedOn w:val="Normal"/>
    <w:rsid w:val="00435883"/>
    <w:pPr>
      <w:spacing w:before="100" w:beforeAutospacing="1" w:after="100" w:afterAutospacing="1" w:line="195" w:lineRule="atLeast"/>
      <w:jc w:val="right"/>
    </w:pPr>
    <w:rPr>
      <w:bCs w:val="0"/>
      <w:sz w:val="24"/>
    </w:rPr>
  </w:style>
  <w:style w:type="paragraph" w:customStyle="1" w:styleId="pmsectiongroupheader">
    <w:name w:val="pm_sectiongroupheader"/>
    <w:basedOn w:val="Normal"/>
    <w:rsid w:val="00435883"/>
    <w:pPr>
      <w:pBdr>
        <w:bottom w:val="single" w:sz="6" w:space="0" w:color="CCCCCC"/>
      </w:pBdr>
      <w:spacing w:before="100" w:beforeAutospacing="1" w:after="100" w:afterAutospacing="1" w:line="375" w:lineRule="atLeast"/>
    </w:pPr>
    <w:rPr>
      <w:bCs w:val="0"/>
      <w:sz w:val="18"/>
      <w:szCs w:val="18"/>
    </w:rPr>
  </w:style>
  <w:style w:type="paragraph" w:customStyle="1" w:styleId="pmicon">
    <w:name w:val="pm_icon"/>
    <w:basedOn w:val="Normal"/>
    <w:rsid w:val="00435883"/>
    <w:pPr>
      <w:spacing w:before="100" w:beforeAutospacing="1" w:after="100" w:afterAutospacing="1"/>
      <w:ind w:firstLine="18360"/>
    </w:pPr>
    <w:rPr>
      <w:bCs w:val="0"/>
      <w:sz w:val="24"/>
    </w:rPr>
  </w:style>
  <w:style w:type="paragraph" w:customStyle="1" w:styleId="pmreporttypecomprehensivereport">
    <w:name w:val="pm_reporttype_comprehensivereport"/>
    <w:basedOn w:val="Normal"/>
    <w:rsid w:val="00435883"/>
    <w:pPr>
      <w:spacing w:before="100" w:beforeAutospacing="1" w:after="100" w:afterAutospacing="1"/>
    </w:pPr>
    <w:rPr>
      <w:bCs w:val="0"/>
      <w:sz w:val="24"/>
    </w:rPr>
  </w:style>
  <w:style w:type="paragraph" w:customStyle="1" w:styleId="pmreporttypecorereport">
    <w:name w:val="pm_reporttype_corereport"/>
    <w:basedOn w:val="Normal"/>
    <w:rsid w:val="00435883"/>
    <w:pPr>
      <w:spacing w:before="100" w:beforeAutospacing="1" w:after="100" w:afterAutospacing="1"/>
    </w:pPr>
    <w:rPr>
      <w:bCs w:val="0"/>
      <w:sz w:val="24"/>
    </w:rPr>
  </w:style>
  <w:style w:type="paragraph" w:customStyle="1" w:styleId="pmreporttypetransitionalreport">
    <w:name w:val="pm_reporttype_transitionalreport"/>
    <w:basedOn w:val="Normal"/>
    <w:rsid w:val="00435883"/>
    <w:pPr>
      <w:spacing w:before="100" w:beforeAutospacing="1" w:after="100" w:afterAutospacing="1"/>
    </w:pPr>
    <w:rPr>
      <w:bCs w:val="0"/>
      <w:sz w:val="24"/>
    </w:rPr>
  </w:style>
  <w:style w:type="paragraph" w:customStyle="1" w:styleId="pmreporttypecustomreport">
    <w:name w:val="pm_reporttype_customreport"/>
    <w:basedOn w:val="Normal"/>
    <w:rsid w:val="00435883"/>
    <w:pPr>
      <w:spacing w:before="100" w:beforeAutospacing="1" w:after="100" w:afterAutospacing="1"/>
    </w:pPr>
    <w:rPr>
      <w:bCs w:val="0"/>
      <w:sz w:val="24"/>
    </w:rPr>
  </w:style>
  <w:style w:type="paragraph" w:customStyle="1" w:styleId="pmreporttypeinfo">
    <w:name w:val="pm_reporttypeinfo"/>
    <w:basedOn w:val="Normal"/>
    <w:rsid w:val="00435883"/>
    <w:pPr>
      <w:spacing w:before="100" w:beforeAutospacing="1" w:after="100" w:afterAutospacing="1"/>
      <w:ind w:left="600"/>
    </w:pPr>
    <w:rPr>
      <w:bCs w:val="0"/>
      <w:sz w:val="24"/>
    </w:rPr>
  </w:style>
  <w:style w:type="paragraph" w:customStyle="1" w:styleId="pmreporttemplatebuttons">
    <w:name w:val="pm_reporttemplatebuttons"/>
    <w:basedOn w:val="Normal"/>
    <w:rsid w:val="00435883"/>
    <w:pPr>
      <w:spacing w:before="100" w:beforeAutospacing="1" w:after="100" w:afterAutospacing="1"/>
    </w:pPr>
    <w:rPr>
      <w:bCs w:val="0"/>
      <w:sz w:val="24"/>
    </w:rPr>
  </w:style>
  <w:style w:type="paragraph" w:customStyle="1" w:styleId="pmhoverlink">
    <w:name w:val="pm_hoverlink"/>
    <w:basedOn w:val="Normal"/>
    <w:rsid w:val="00435883"/>
    <w:pPr>
      <w:spacing w:before="100" w:beforeAutospacing="1" w:after="100" w:afterAutospacing="1"/>
    </w:pPr>
    <w:rPr>
      <w:bCs w:val="0"/>
      <w:sz w:val="24"/>
    </w:rPr>
  </w:style>
  <w:style w:type="paragraph" w:customStyle="1" w:styleId="pmhoverlinkdate">
    <w:name w:val="pm_hoverlinkdate"/>
    <w:basedOn w:val="Normal"/>
    <w:rsid w:val="00435883"/>
    <w:pPr>
      <w:spacing w:before="100" w:beforeAutospacing="1" w:after="100" w:afterAutospacing="1"/>
    </w:pPr>
    <w:rPr>
      <w:b/>
      <w:sz w:val="24"/>
    </w:rPr>
  </w:style>
  <w:style w:type="paragraph" w:customStyle="1" w:styleId="pmitemvalue">
    <w:name w:val="pm_itemvalue"/>
    <w:basedOn w:val="Normal"/>
    <w:rsid w:val="00435883"/>
    <w:pPr>
      <w:spacing w:before="100" w:beforeAutospacing="1" w:after="100" w:afterAutospacing="1"/>
      <w:ind w:left="2400"/>
    </w:pPr>
    <w:rPr>
      <w:bCs w:val="0"/>
      <w:color w:val="252525"/>
      <w:sz w:val="24"/>
    </w:rPr>
  </w:style>
  <w:style w:type="paragraph" w:customStyle="1" w:styleId="pmitemlabel">
    <w:name w:val="pm_itemlabel"/>
    <w:basedOn w:val="Normal"/>
    <w:rsid w:val="00435883"/>
    <w:pPr>
      <w:spacing w:before="100" w:beforeAutospacing="1" w:after="100" w:afterAutospacing="1"/>
      <w:jc w:val="right"/>
    </w:pPr>
    <w:rPr>
      <w:b/>
      <w:sz w:val="24"/>
    </w:rPr>
  </w:style>
  <w:style w:type="paragraph" w:customStyle="1" w:styleId="pmshowmorelink">
    <w:name w:val="pm_showmorelink"/>
    <w:basedOn w:val="Normal"/>
    <w:rsid w:val="00435883"/>
    <w:pPr>
      <w:spacing w:before="100" w:beforeAutospacing="1" w:after="100" w:afterAutospacing="1"/>
      <w:ind w:left="2400"/>
    </w:pPr>
    <w:rPr>
      <w:bCs w:val="0"/>
      <w:sz w:val="24"/>
    </w:rPr>
  </w:style>
  <w:style w:type="paragraph" w:customStyle="1" w:styleId="createreportbtn">
    <w:name w:val="createreportbtn"/>
    <w:basedOn w:val="Normal"/>
    <w:rsid w:val="00435883"/>
    <w:pPr>
      <w:pBdr>
        <w:top w:val="single" w:sz="6" w:space="2" w:color="CACACA"/>
        <w:left w:val="single" w:sz="6" w:space="5" w:color="CACACA"/>
        <w:bottom w:val="single" w:sz="6" w:space="0" w:color="CACACA"/>
        <w:right w:val="single" w:sz="6" w:space="8" w:color="CACACA"/>
      </w:pBdr>
      <w:shd w:val="clear" w:color="auto" w:fill="838383"/>
      <w:spacing w:before="100" w:beforeAutospacing="1" w:after="100" w:afterAutospacing="1"/>
      <w:ind w:right="75"/>
    </w:pPr>
    <w:rPr>
      <w:b/>
      <w:color w:val="FFFFFF"/>
      <w:sz w:val="24"/>
    </w:rPr>
  </w:style>
  <w:style w:type="paragraph" w:customStyle="1" w:styleId="disabledcreatereportbtn">
    <w:name w:val="disabledcreatereportbtn"/>
    <w:basedOn w:val="Normal"/>
    <w:rsid w:val="00435883"/>
    <w:pPr>
      <w:pBdr>
        <w:top w:val="single" w:sz="6" w:space="2" w:color="C1C1C1"/>
        <w:left w:val="single" w:sz="6" w:space="5" w:color="C1C1C1"/>
        <w:bottom w:val="single" w:sz="6" w:space="0" w:color="C1C1C1"/>
        <w:right w:val="single" w:sz="6" w:space="8" w:color="C1C1C1"/>
      </w:pBdr>
      <w:shd w:val="clear" w:color="auto" w:fill="C1C1C1"/>
      <w:spacing w:before="100" w:beforeAutospacing="1" w:after="100" w:afterAutospacing="1"/>
      <w:ind w:right="75"/>
    </w:pPr>
    <w:rPr>
      <w:b/>
      <w:color w:val="FFFFFF"/>
      <w:sz w:val="24"/>
    </w:rPr>
  </w:style>
  <w:style w:type="paragraph" w:customStyle="1" w:styleId="createreporticon">
    <w:name w:val="createreport_icon"/>
    <w:basedOn w:val="Normal"/>
    <w:rsid w:val="00435883"/>
    <w:pPr>
      <w:spacing w:before="100" w:beforeAutospacing="1" w:after="100" w:afterAutospacing="1"/>
      <w:ind w:firstLine="18360"/>
    </w:pPr>
    <w:rPr>
      <w:bCs w:val="0"/>
      <w:sz w:val="24"/>
    </w:rPr>
  </w:style>
  <w:style w:type="paragraph" w:customStyle="1" w:styleId="mxtooltip">
    <w:name w:val="mxtooltip"/>
    <w:basedOn w:val="Normal"/>
    <w:rsid w:val="00435883"/>
    <w:pPr>
      <w:pBdr>
        <w:top w:val="single" w:sz="6" w:space="4" w:color="000000"/>
        <w:left w:val="single" w:sz="6" w:space="4" w:color="000000"/>
        <w:bottom w:val="single" w:sz="6" w:space="4" w:color="000000"/>
        <w:right w:val="single" w:sz="6" w:space="4" w:color="000000"/>
      </w:pBdr>
      <w:shd w:val="clear" w:color="auto" w:fill="EEEEEE"/>
      <w:spacing w:before="100" w:beforeAutospacing="1" w:after="100" w:afterAutospacing="1"/>
    </w:pPr>
    <w:rPr>
      <w:bCs w:val="0"/>
      <w:sz w:val="24"/>
    </w:rPr>
  </w:style>
  <w:style w:type="paragraph" w:customStyle="1" w:styleId="copmtooltipseparatorhorizontalrule">
    <w:name w:val="co_pm_tooltipseparatorhorizontalrule"/>
    <w:basedOn w:val="Normal"/>
    <w:rsid w:val="00435883"/>
    <w:pPr>
      <w:shd w:val="clear" w:color="auto" w:fill="000000"/>
      <w:spacing w:before="100" w:beforeAutospacing="1" w:after="100" w:afterAutospacing="1"/>
    </w:pPr>
    <w:rPr>
      <w:bCs w:val="0"/>
      <w:sz w:val="24"/>
    </w:rPr>
  </w:style>
  <w:style w:type="paragraph" w:customStyle="1" w:styleId="mxpopupfulltextlabel">
    <w:name w:val="mxpopupfulltextlabel"/>
    <w:basedOn w:val="Normal"/>
    <w:rsid w:val="00435883"/>
    <w:pPr>
      <w:spacing w:before="100" w:beforeAutospacing="1" w:after="100" w:afterAutospacing="1"/>
      <w:ind w:left="300"/>
    </w:pPr>
    <w:rPr>
      <w:bCs w:val="0"/>
      <w:color w:val="C0C0C0"/>
      <w:sz w:val="24"/>
    </w:rPr>
  </w:style>
  <w:style w:type="paragraph" w:customStyle="1" w:styleId="copmfilterimagediv">
    <w:name w:val="co_pm_filterimagediv"/>
    <w:basedOn w:val="Normal"/>
    <w:rsid w:val="00435883"/>
    <w:pPr>
      <w:ind w:right="75"/>
    </w:pPr>
    <w:rPr>
      <w:bCs w:val="0"/>
      <w:sz w:val="24"/>
    </w:rPr>
  </w:style>
  <w:style w:type="paragraph" w:customStyle="1" w:styleId="copmfilterlabelbold">
    <w:name w:val="co_pm_filterlabelbold"/>
    <w:basedOn w:val="Normal"/>
    <w:rsid w:val="00435883"/>
    <w:pPr>
      <w:spacing w:before="100" w:beforeAutospacing="1" w:after="100" w:afterAutospacing="1"/>
    </w:pPr>
    <w:rPr>
      <w:b/>
      <w:sz w:val="24"/>
    </w:rPr>
  </w:style>
  <w:style w:type="paragraph" w:customStyle="1" w:styleId="copmfilterlabelnotrightjustified">
    <w:name w:val="co_pm_filterlabelnotrightjustified"/>
    <w:basedOn w:val="Normal"/>
    <w:rsid w:val="00435883"/>
    <w:pPr>
      <w:spacing w:before="100" w:beforeAutospacing="1" w:after="100" w:afterAutospacing="1"/>
      <w:ind w:left="225"/>
    </w:pPr>
    <w:rPr>
      <w:bCs w:val="0"/>
      <w:sz w:val="24"/>
    </w:rPr>
  </w:style>
  <w:style w:type="paragraph" w:customStyle="1" w:styleId="pmactivepersonarea">
    <w:name w:val="pm_activepersonarea"/>
    <w:basedOn w:val="Normal"/>
    <w:rsid w:val="00435883"/>
    <w:pPr>
      <w:pBdr>
        <w:top w:val="single" w:sz="6" w:space="8" w:color="000000"/>
        <w:left w:val="single" w:sz="6" w:space="8" w:color="000000"/>
        <w:bottom w:val="single" w:sz="6" w:space="0" w:color="000000"/>
        <w:right w:val="single" w:sz="6" w:space="0" w:color="000000"/>
      </w:pBdr>
      <w:spacing w:before="100" w:beforeAutospacing="1" w:after="100" w:afterAutospacing="1"/>
    </w:pPr>
    <w:rPr>
      <w:bCs w:val="0"/>
      <w:sz w:val="24"/>
    </w:rPr>
  </w:style>
  <w:style w:type="paragraph" w:customStyle="1" w:styleId="pmimagearea">
    <w:name w:val="pm_imagearea"/>
    <w:basedOn w:val="Normal"/>
    <w:rsid w:val="00435883"/>
    <w:pPr>
      <w:spacing w:before="75"/>
      <w:ind w:left="150" w:right="150"/>
    </w:pPr>
    <w:rPr>
      <w:bCs w:val="0"/>
      <w:sz w:val="24"/>
    </w:rPr>
  </w:style>
  <w:style w:type="paragraph" w:customStyle="1" w:styleId="pmclearboth">
    <w:name w:val="pm_clearboth"/>
    <w:basedOn w:val="Normal"/>
    <w:rsid w:val="00435883"/>
    <w:pPr>
      <w:spacing w:before="100" w:beforeAutospacing="1" w:after="100" w:afterAutospacing="1"/>
    </w:pPr>
    <w:rPr>
      <w:bCs w:val="0"/>
      <w:sz w:val="24"/>
    </w:rPr>
  </w:style>
  <w:style w:type="paragraph" w:customStyle="1" w:styleId="pmpersonimage">
    <w:name w:val="pm_personimage"/>
    <w:basedOn w:val="Normal"/>
    <w:rsid w:val="00435883"/>
    <w:pPr>
      <w:spacing w:before="100" w:beforeAutospacing="1" w:after="100" w:afterAutospacing="1"/>
    </w:pPr>
    <w:rPr>
      <w:bCs w:val="0"/>
      <w:sz w:val="24"/>
    </w:rPr>
  </w:style>
  <w:style w:type="paragraph" w:customStyle="1" w:styleId="pmbusinessimage">
    <w:name w:val="pm_businessimage"/>
    <w:basedOn w:val="Normal"/>
    <w:rsid w:val="00435883"/>
    <w:pPr>
      <w:spacing w:before="100" w:beforeAutospacing="1" w:after="100" w:afterAutospacing="1"/>
    </w:pPr>
    <w:rPr>
      <w:bCs w:val="0"/>
      <w:sz w:val="24"/>
    </w:rPr>
  </w:style>
  <w:style w:type="paragraph" w:customStyle="1" w:styleId="pmnoimage">
    <w:name w:val="pm_noimage"/>
    <w:basedOn w:val="Normal"/>
    <w:rsid w:val="00435883"/>
    <w:pPr>
      <w:spacing w:before="75" w:after="75"/>
      <w:ind w:left="75" w:right="75"/>
    </w:pPr>
    <w:rPr>
      <w:bCs w:val="0"/>
      <w:sz w:val="24"/>
    </w:rPr>
  </w:style>
  <w:style w:type="paragraph" w:customStyle="1" w:styleId="pmnameline">
    <w:name w:val="pm_nameline"/>
    <w:basedOn w:val="Normal"/>
    <w:rsid w:val="00435883"/>
    <w:pPr>
      <w:spacing w:before="100" w:beforeAutospacing="1" w:after="100" w:afterAutospacing="1"/>
    </w:pPr>
    <w:rPr>
      <w:b/>
      <w:sz w:val="24"/>
    </w:rPr>
  </w:style>
  <w:style w:type="paragraph" w:customStyle="1" w:styleId="pmgraphicalcreaterportbutton">
    <w:name w:val="pm_graphicalcreaterportbutton"/>
    <w:basedOn w:val="Normal"/>
    <w:rsid w:val="00435883"/>
    <w:pPr>
      <w:spacing w:before="150" w:after="225"/>
    </w:pPr>
    <w:rPr>
      <w:bCs w:val="0"/>
      <w:sz w:val="24"/>
    </w:rPr>
  </w:style>
  <w:style w:type="paragraph" w:customStyle="1" w:styleId="pmcreatereportbutton">
    <w:name w:val="pm_createreportbutton"/>
    <w:basedOn w:val="Normal"/>
    <w:rsid w:val="00435883"/>
    <w:pPr>
      <w:spacing w:before="100" w:beforeAutospacing="1" w:after="100" w:afterAutospacing="1"/>
    </w:pPr>
    <w:rPr>
      <w:b/>
      <w:color w:val="FFFFFF"/>
      <w:sz w:val="18"/>
      <w:szCs w:val="18"/>
    </w:rPr>
  </w:style>
  <w:style w:type="paragraph" w:customStyle="1" w:styleId="copmiconplus">
    <w:name w:val="co_pm_iconplus"/>
    <w:basedOn w:val="Normal"/>
    <w:rsid w:val="00435883"/>
    <w:pPr>
      <w:spacing w:before="100" w:beforeAutospacing="1" w:after="100" w:afterAutospacing="1"/>
    </w:pPr>
    <w:rPr>
      <w:bCs w:val="0"/>
      <w:sz w:val="24"/>
    </w:rPr>
  </w:style>
  <w:style w:type="paragraph" w:customStyle="1" w:styleId="copmiconplusinvisible">
    <w:name w:val="co_pm_iconplusinvisible"/>
    <w:basedOn w:val="Normal"/>
    <w:rsid w:val="00435883"/>
    <w:pPr>
      <w:spacing w:before="100" w:beforeAutospacing="1" w:after="100" w:afterAutospacing="1"/>
    </w:pPr>
    <w:rPr>
      <w:bCs w:val="0"/>
      <w:vanish/>
      <w:sz w:val="24"/>
    </w:rPr>
  </w:style>
  <w:style w:type="paragraph" w:customStyle="1" w:styleId="pmaddrlinkoutarea">
    <w:name w:val="pm_addr_linkoutarea"/>
    <w:basedOn w:val="Normal"/>
    <w:rsid w:val="00435883"/>
    <w:pPr>
      <w:pBdr>
        <w:top w:val="single" w:sz="6" w:space="4" w:color="919191"/>
      </w:pBdr>
      <w:spacing w:before="75" w:after="100" w:afterAutospacing="1"/>
      <w:jc w:val="center"/>
    </w:pPr>
    <w:rPr>
      <w:bCs w:val="0"/>
      <w:sz w:val="24"/>
    </w:rPr>
  </w:style>
  <w:style w:type="paragraph" w:customStyle="1" w:styleId="pmaddraddresslistcontainer">
    <w:name w:val="pm_addr_addresslistcontainer"/>
    <w:basedOn w:val="Normal"/>
    <w:rsid w:val="00435883"/>
    <w:pPr>
      <w:spacing w:before="100" w:beforeAutospacing="1" w:after="100" w:afterAutospacing="1"/>
    </w:pPr>
    <w:rPr>
      <w:bCs w:val="0"/>
      <w:sz w:val="24"/>
    </w:rPr>
  </w:style>
  <w:style w:type="paragraph" w:customStyle="1" w:styleId="pmaddrlistitem">
    <w:name w:val="pm_addr_listitem"/>
    <w:basedOn w:val="Normal"/>
    <w:rsid w:val="00435883"/>
    <w:pPr>
      <w:spacing w:before="75" w:after="75"/>
      <w:ind w:right="75"/>
    </w:pPr>
    <w:rPr>
      <w:bCs w:val="0"/>
      <w:sz w:val="24"/>
    </w:rPr>
  </w:style>
  <w:style w:type="paragraph" w:customStyle="1" w:styleId="pmaddraddress">
    <w:name w:val="pm_addr_address"/>
    <w:basedOn w:val="Normal"/>
    <w:rsid w:val="00435883"/>
    <w:pPr>
      <w:spacing w:before="100" w:beforeAutospacing="1" w:after="100" w:afterAutospacing="1" w:line="312" w:lineRule="atLeast"/>
    </w:pPr>
    <w:rPr>
      <w:bCs w:val="0"/>
      <w:sz w:val="18"/>
      <w:szCs w:val="18"/>
    </w:rPr>
  </w:style>
  <w:style w:type="paragraph" w:customStyle="1" w:styleId="pmaddrhovereditem">
    <w:name w:val="pm_addr_hovereditem"/>
    <w:basedOn w:val="Normal"/>
    <w:rsid w:val="00435883"/>
    <w:pPr>
      <w:shd w:val="clear" w:color="auto" w:fill="CAE5FF"/>
      <w:spacing w:before="100" w:beforeAutospacing="1" w:after="100" w:afterAutospacing="1"/>
    </w:pPr>
    <w:rPr>
      <w:bCs w:val="0"/>
      <w:sz w:val="24"/>
    </w:rPr>
  </w:style>
  <w:style w:type="paragraph" w:customStyle="1" w:styleId="pmaddrviewmarkerslink">
    <w:name w:val="pm_addr_viewmarkerslink"/>
    <w:basedOn w:val="Normal"/>
    <w:rsid w:val="00435883"/>
    <w:pPr>
      <w:spacing w:before="100" w:beforeAutospacing="1" w:after="100" w:afterAutospacing="1"/>
    </w:pPr>
    <w:rPr>
      <w:b/>
      <w:sz w:val="24"/>
    </w:rPr>
  </w:style>
  <w:style w:type="paragraph" w:customStyle="1" w:styleId="pmaddrlink">
    <w:name w:val="pm_addr_link"/>
    <w:basedOn w:val="Normal"/>
    <w:rsid w:val="00435883"/>
    <w:pPr>
      <w:spacing w:after="75"/>
      <w:ind w:left="75" w:right="75"/>
    </w:pPr>
    <w:rPr>
      <w:b/>
      <w:color w:val="000000"/>
      <w:sz w:val="24"/>
    </w:rPr>
  </w:style>
  <w:style w:type="paragraph" w:customStyle="1" w:styleId="pmaddrdisabled">
    <w:name w:val="pm_addr_disabled"/>
    <w:basedOn w:val="Normal"/>
    <w:rsid w:val="00435883"/>
    <w:pPr>
      <w:spacing w:before="100" w:beforeAutospacing="1" w:after="100" w:afterAutospacing="1"/>
    </w:pPr>
    <w:rPr>
      <w:bCs w:val="0"/>
      <w:color w:val="6D6D6D"/>
      <w:sz w:val="24"/>
    </w:rPr>
  </w:style>
  <w:style w:type="paragraph" w:customStyle="1" w:styleId="prlandingtoparea">
    <w:name w:val="pr_landingtoparea"/>
    <w:basedOn w:val="Normal"/>
    <w:rsid w:val="00435883"/>
    <w:pPr>
      <w:spacing w:before="100" w:beforeAutospacing="1" w:after="100" w:afterAutospacing="1"/>
    </w:pPr>
    <w:rPr>
      <w:bCs w:val="0"/>
      <w:sz w:val="24"/>
    </w:rPr>
  </w:style>
  <w:style w:type="paragraph" w:customStyle="1" w:styleId="prlandingsummary">
    <w:name w:val="pr_landingsummary"/>
    <w:basedOn w:val="Normal"/>
    <w:rsid w:val="00435883"/>
    <w:pPr>
      <w:spacing w:before="100" w:beforeAutospacing="1" w:after="100" w:afterAutospacing="1"/>
    </w:pPr>
    <w:rPr>
      <w:bCs w:val="0"/>
      <w:sz w:val="18"/>
      <w:szCs w:val="18"/>
    </w:rPr>
  </w:style>
  <w:style w:type="paragraph" w:customStyle="1" w:styleId="prlandingrtubutton">
    <w:name w:val="pr_landingrtubutton"/>
    <w:basedOn w:val="Normal"/>
    <w:rsid w:val="00435883"/>
    <w:pPr>
      <w:spacing w:before="30" w:after="100" w:afterAutospacing="1"/>
      <w:ind w:right="150"/>
    </w:pPr>
    <w:rPr>
      <w:bCs w:val="0"/>
      <w:sz w:val="24"/>
    </w:rPr>
  </w:style>
  <w:style w:type="paragraph" w:customStyle="1" w:styleId="prlandingrule">
    <w:name w:val="pr_landingrule"/>
    <w:basedOn w:val="Normal"/>
    <w:rsid w:val="00435883"/>
    <w:pPr>
      <w:pBdr>
        <w:bottom w:val="single" w:sz="18" w:space="0" w:color="DFDFDF"/>
      </w:pBdr>
      <w:spacing w:before="100" w:beforeAutospacing="1" w:after="150"/>
    </w:pPr>
    <w:rPr>
      <w:bCs w:val="0"/>
      <w:sz w:val="24"/>
    </w:rPr>
  </w:style>
  <w:style w:type="paragraph" w:customStyle="1" w:styleId="prlandingmaparea">
    <w:name w:val="pr_landingmaparea"/>
    <w:basedOn w:val="Normal"/>
    <w:rsid w:val="00435883"/>
    <w:pPr>
      <w:spacing w:before="100" w:beforeAutospacing="1" w:after="100" w:afterAutospacing="1"/>
    </w:pPr>
    <w:rPr>
      <w:bCs w:val="0"/>
      <w:sz w:val="24"/>
    </w:rPr>
  </w:style>
  <w:style w:type="paragraph" w:customStyle="1" w:styleId="prlandinginfoarea">
    <w:name w:val="pr_landinginfoarea"/>
    <w:basedOn w:val="Normal"/>
    <w:rsid w:val="00435883"/>
    <w:pPr>
      <w:spacing w:before="100" w:beforeAutospacing="1" w:after="100" w:afterAutospacing="1"/>
      <w:ind w:left="6645"/>
    </w:pPr>
    <w:rPr>
      <w:bCs w:val="0"/>
      <w:sz w:val="24"/>
    </w:rPr>
  </w:style>
  <w:style w:type="paragraph" w:customStyle="1" w:styleId="prlandinginfoseparator">
    <w:name w:val="pr_landinginfoseparator"/>
    <w:basedOn w:val="Normal"/>
    <w:rsid w:val="00435883"/>
    <w:pPr>
      <w:pBdr>
        <w:bottom w:val="single" w:sz="6" w:space="0" w:color="DFDFDF"/>
      </w:pBdr>
      <w:spacing w:before="100" w:beforeAutospacing="1" w:after="100" w:afterAutospacing="1"/>
    </w:pPr>
    <w:rPr>
      <w:bCs w:val="0"/>
      <w:sz w:val="24"/>
    </w:rPr>
  </w:style>
  <w:style w:type="paragraph" w:customStyle="1" w:styleId="prlandingaddressarea">
    <w:name w:val="pr_landingaddressarea"/>
    <w:basedOn w:val="Normal"/>
    <w:rsid w:val="00435883"/>
    <w:pPr>
      <w:spacing w:before="100" w:beforeAutospacing="1" w:after="100" w:afterAutospacing="1"/>
    </w:pPr>
    <w:rPr>
      <w:bCs w:val="0"/>
      <w:sz w:val="24"/>
    </w:rPr>
  </w:style>
  <w:style w:type="paragraph" w:customStyle="1" w:styleId="prlandingaddresses">
    <w:name w:val="pr_landingaddresses"/>
    <w:basedOn w:val="Normal"/>
    <w:rsid w:val="00435883"/>
    <w:pPr>
      <w:spacing w:before="100" w:beforeAutospacing="1" w:after="100" w:afterAutospacing="1"/>
    </w:pPr>
    <w:rPr>
      <w:bCs w:val="0"/>
      <w:sz w:val="24"/>
    </w:rPr>
  </w:style>
  <w:style w:type="paragraph" w:customStyle="1" w:styleId="prlandingaddressitemvalue">
    <w:name w:val="pr_landingaddressitemvalue"/>
    <w:basedOn w:val="Normal"/>
    <w:rsid w:val="00435883"/>
    <w:pPr>
      <w:spacing w:before="100" w:beforeAutospacing="1" w:after="100" w:afterAutospacing="1"/>
    </w:pPr>
    <w:rPr>
      <w:bCs w:val="0"/>
      <w:sz w:val="24"/>
    </w:rPr>
  </w:style>
  <w:style w:type="paragraph" w:customStyle="1" w:styleId="prlandingaddressitemvaluelink">
    <w:name w:val="pr_landingaddressitemvaluelink"/>
    <w:basedOn w:val="Normal"/>
    <w:rsid w:val="00435883"/>
    <w:pPr>
      <w:spacing w:before="100" w:beforeAutospacing="1" w:after="100" w:afterAutospacing="1"/>
    </w:pPr>
    <w:rPr>
      <w:bCs w:val="0"/>
      <w:color w:val="000000"/>
      <w:sz w:val="24"/>
    </w:rPr>
  </w:style>
  <w:style w:type="paragraph" w:customStyle="1" w:styleId="pmrealtimeupdated">
    <w:name w:val="pm_realtimeupdated"/>
    <w:basedOn w:val="Normal"/>
    <w:rsid w:val="00435883"/>
    <w:pPr>
      <w:spacing w:before="100" w:beforeAutospacing="1" w:after="100" w:afterAutospacing="1"/>
    </w:pPr>
    <w:rPr>
      <w:bCs w:val="0"/>
      <w:color w:val="008000"/>
      <w:sz w:val="24"/>
    </w:rPr>
  </w:style>
  <w:style w:type="paragraph" w:customStyle="1" w:styleId="prlandingpageaddressentry">
    <w:name w:val="pr_landingpageaddressentry"/>
    <w:basedOn w:val="Normal"/>
    <w:rsid w:val="00435883"/>
    <w:pPr>
      <w:spacing w:before="100" w:beforeAutospacing="1" w:after="100" w:afterAutospacing="1"/>
    </w:pPr>
    <w:rPr>
      <w:bCs w:val="0"/>
      <w:sz w:val="24"/>
    </w:rPr>
  </w:style>
  <w:style w:type="paragraph" w:customStyle="1" w:styleId="submitdiv">
    <w:name w:val="submitdiv"/>
    <w:basedOn w:val="Normal"/>
    <w:rsid w:val="00435883"/>
    <w:pPr>
      <w:spacing w:before="100" w:beforeAutospacing="1" w:after="100" w:afterAutospacing="1"/>
      <w:ind w:left="165"/>
    </w:pPr>
    <w:rPr>
      <w:bCs w:val="0"/>
      <w:sz w:val="24"/>
    </w:rPr>
  </w:style>
  <w:style w:type="paragraph" w:customStyle="1" w:styleId="findandprintitemanchor">
    <w:name w:val="findandprintitemanchor"/>
    <w:basedOn w:val="Normal"/>
    <w:rsid w:val="00435883"/>
    <w:pPr>
      <w:spacing w:before="100" w:beforeAutospacing="1" w:after="100" w:afterAutospacing="1"/>
    </w:pPr>
    <w:rPr>
      <w:bCs w:val="0"/>
      <w:sz w:val="24"/>
    </w:rPr>
  </w:style>
  <w:style w:type="paragraph" w:customStyle="1" w:styleId="outofplanlist">
    <w:name w:val="outofplanlist"/>
    <w:basedOn w:val="Normal"/>
    <w:rsid w:val="00435883"/>
    <w:pPr>
      <w:spacing w:before="100" w:beforeAutospacing="1" w:after="100" w:afterAutospacing="1"/>
    </w:pPr>
    <w:rPr>
      <w:bCs w:val="0"/>
      <w:sz w:val="24"/>
    </w:rPr>
  </w:style>
  <w:style w:type="paragraph" w:customStyle="1" w:styleId="stepnumber">
    <w:name w:val="stepnumber"/>
    <w:basedOn w:val="Normal"/>
    <w:rsid w:val="00435883"/>
    <w:pPr>
      <w:pBdr>
        <w:top w:val="single" w:sz="12" w:space="0" w:color="9BB8D6"/>
        <w:left w:val="single" w:sz="12" w:space="0" w:color="9BB8D6"/>
        <w:bottom w:val="single" w:sz="12" w:space="0" w:color="9BB8D6"/>
        <w:right w:val="single" w:sz="12" w:space="0" w:color="9BB8D6"/>
      </w:pBdr>
      <w:shd w:val="clear" w:color="auto" w:fill="155BA0"/>
      <w:spacing w:before="100" w:beforeAutospacing="1" w:after="100" w:afterAutospacing="1"/>
      <w:ind w:left="-525" w:right="180"/>
      <w:jc w:val="center"/>
    </w:pPr>
    <w:rPr>
      <w:bCs w:val="0"/>
      <w:color w:val="FFFFFF"/>
      <w:sz w:val="18"/>
      <w:szCs w:val="18"/>
    </w:rPr>
  </w:style>
  <w:style w:type="paragraph" w:customStyle="1" w:styleId="findandprintsteplist">
    <w:name w:val="findandprint_steplist"/>
    <w:basedOn w:val="Normal"/>
    <w:rsid w:val="00435883"/>
    <w:pPr>
      <w:spacing w:before="450" w:after="100" w:afterAutospacing="1"/>
      <w:ind w:left="750"/>
    </w:pPr>
    <w:rPr>
      <w:bCs w:val="0"/>
      <w:sz w:val="24"/>
    </w:rPr>
  </w:style>
  <w:style w:type="paragraph" w:customStyle="1" w:styleId="findandprintcustomizeformheader">
    <w:name w:val="findandprint_customizeformheader"/>
    <w:basedOn w:val="Normal"/>
    <w:rsid w:val="00435883"/>
    <w:pPr>
      <w:shd w:val="clear" w:color="auto" w:fill="EEEEEE"/>
      <w:spacing w:before="100" w:beforeAutospacing="1" w:after="100" w:afterAutospacing="1"/>
      <w:jc w:val="center"/>
    </w:pPr>
    <w:rPr>
      <w:bCs w:val="0"/>
      <w:color w:val="333333"/>
      <w:sz w:val="21"/>
      <w:szCs w:val="21"/>
    </w:rPr>
  </w:style>
  <w:style w:type="paragraph" w:customStyle="1" w:styleId="findandprintcustomizeform">
    <w:name w:val="findandprint_customizeform"/>
    <w:basedOn w:val="Normal"/>
    <w:rsid w:val="00435883"/>
    <w:pPr>
      <w:pBdr>
        <w:top w:val="single" w:sz="6" w:space="0" w:color="B2B2B2"/>
        <w:left w:val="single" w:sz="6" w:space="0" w:color="B2B2B2"/>
        <w:bottom w:val="single" w:sz="6" w:space="0" w:color="B2B2B2"/>
        <w:right w:val="single" w:sz="6" w:space="0" w:color="B2B2B2"/>
      </w:pBdr>
      <w:spacing w:before="100" w:beforeAutospacing="1" w:after="100" w:afterAutospacing="1"/>
    </w:pPr>
    <w:rPr>
      <w:bCs w:val="0"/>
      <w:sz w:val="24"/>
    </w:rPr>
  </w:style>
  <w:style w:type="paragraph" w:customStyle="1" w:styleId="modulenameheader">
    <w:name w:val="modulenameheader"/>
    <w:basedOn w:val="Normal"/>
    <w:rsid w:val="00435883"/>
    <w:pPr>
      <w:shd w:val="clear" w:color="auto" w:fill="EEEEEE"/>
      <w:spacing w:before="100" w:beforeAutospacing="1" w:after="100" w:afterAutospacing="1"/>
    </w:pPr>
    <w:rPr>
      <w:bCs w:val="0"/>
      <w:color w:val="333333"/>
      <w:sz w:val="21"/>
      <w:szCs w:val="21"/>
    </w:rPr>
  </w:style>
  <w:style w:type="paragraph" w:customStyle="1" w:styleId="findandprintstep">
    <w:name w:val="findandprint_step"/>
    <w:basedOn w:val="Normal"/>
    <w:rsid w:val="00435883"/>
    <w:pPr>
      <w:spacing w:before="100" w:beforeAutospacing="1" w:after="100" w:afterAutospacing="1"/>
    </w:pPr>
    <w:rPr>
      <w:bCs w:val="0"/>
      <w:sz w:val="24"/>
    </w:rPr>
  </w:style>
  <w:style w:type="paragraph" w:customStyle="1" w:styleId="portalmanagerconfirm">
    <w:name w:val="portalmanagerconfirm"/>
    <w:basedOn w:val="Normal"/>
    <w:rsid w:val="00435883"/>
    <w:pPr>
      <w:pBdr>
        <w:top w:val="single" w:sz="6" w:space="11" w:color="DFDFDF"/>
        <w:left w:val="single" w:sz="6" w:space="11" w:color="DFDFDF"/>
        <w:bottom w:val="single" w:sz="6" w:space="11" w:color="DFDFDF"/>
        <w:right w:val="single" w:sz="6" w:space="11" w:color="DFDFDF"/>
      </w:pBdr>
      <w:spacing w:before="150" w:after="150"/>
    </w:pPr>
    <w:rPr>
      <w:bCs w:val="0"/>
      <w:sz w:val="24"/>
    </w:rPr>
  </w:style>
  <w:style w:type="paragraph" w:customStyle="1" w:styleId="findandprintsummary">
    <w:name w:val="findandprintsummary"/>
    <w:basedOn w:val="Normal"/>
    <w:rsid w:val="00435883"/>
    <w:pPr>
      <w:spacing w:before="100" w:beforeAutospacing="1" w:after="100" w:afterAutospacing="1"/>
    </w:pPr>
    <w:rPr>
      <w:bCs w:val="0"/>
      <w:sz w:val="24"/>
    </w:rPr>
  </w:style>
  <w:style w:type="paragraph" w:customStyle="1" w:styleId="cochartcontainer">
    <w:name w:val="co_chartcontainer"/>
    <w:basedOn w:val="Normal"/>
    <w:rsid w:val="00435883"/>
    <w:pPr>
      <w:spacing w:before="150" w:after="100" w:afterAutospacing="1"/>
    </w:pPr>
    <w:rPr>
      <w:bCs w:val="0"/>
      <w:sz w:val="24"/>
    </w:rPr>
  </w:style>
  <w:style w:type="paragraph" w:customStyle="1" w:styleId="coreportcontainer">
    <w:name w:val="co_reportcontainer"/>
    <w:basedOn w:val="Normal"/>
    <w:rsid w:val="00435883"/>
    <w:pPr>
      <w:spacing w:before="150" w:after="100" w:afterAutospacing="1"/>
    </w:pPr>
    <w:rPr>
      <w:bCs w:val="0"/>
      <w:sz w:val="24"/>
    </w:rPr>
  </w:style>
  <w:style w:type="paragraph" w:customStyle="1" w:styleId="cochartbuttoncontainer">
    <w:name w:val="co_chartbuttoncontainer"/>
    <w:basedOn w:val="Normal"/>
    <w:rsid w:val="00435883"/>
    <w:pPr>
      <w:pBdr>
        <w:top w:val="single" w:sz="6" w:space="0" w:color="EEEEEE"/>
        <w:left w:val="single" w:sz="6" w:space="0" w:color="EEEEEE"/>
        <w:bottom w:val="single" w:sz="6" w:space="0" w:color="EEEEEE"/>
        <w:right w:val="single" w:sz="6" w:space="0" w:color="EEEEEE"/>
      </w:pBdr>
      <w:shd w:val="clear" w:color="auto" w:fill="F3F3F3"/>
      <w:spacing w:before="100" w:beforeAutospacing="1" w:after="100" w:afterAutospacing="1" w:line="375" w:lineRule="atLeast"/>
    </w:pPr>
    <w:rPr>
      <w:bCs w:val="0"/>
      <w:sz w:val="24"/>
    </w:rPr>
  </w:style>
  <w:style w:type="paragraph" w:customStyle="1" w:styleId="cochartseriesmodal">
    <w:name w:val="co_chartseriesmodal"/>
    <w:basedOn w:val="Normal"/>
    <w:rsid w:val="00435883"/>
    <w:pPr>
      <w:pBdr>
        <w:top w:val="single" w:sz="6" w:space="8" w:color="777777"/>
        <w:left w:val="single" w:sz="6" w:space="23" w:color="777777"/>
        <w:bottom w:val="single" w:sz="6" w:space="8" w:color="777777"/>
        <w:right w:val="single" w:sz="6" w:space="23" w:color="777777"/>
      </w:pBdr>
      <w:shd w:val="clear" w:color="auto" w:fill="FFFFFF"/>
      <w:spacing w:before="300"/>
      <w:ind w:left="-3000"/>
    </w:pPr>
    <w:rPr>
      <w:b/>
      <w:vanish/>
      <w:sz w:val="24"/>
    </w:rPr>
  </w:style>
  <w:style w:type="paragraph" w:customStyle="1" w:styleId="combexpandedchartwidget">
    <w:name w:val="co_mbexpandedchartwidget"/>
    <w:basedOn w:val="Normal"/>
    <w:rsid w:val="00435883"/>
    <w:pPr>
      <w:spacing w:before="100" w:beforeAutospacing="1" w:after="100" w:afterAutospacing="1"/>
    </w:pPr>
    <w:rPr>
      <w:bCs w:val="0"/>
      <w:sz w:val="24"/>
    </w:rPr>
  </w:style>
  <w:style w:type="paragraph" w:customStyle="1" w:styleId="cochartthumbnailcontainer">
    <w:name w:val="co_chart_thumbnail_container"/>
    <w:basedOn w:val="Normal"/>
    <w:rsid w:val="00435883"/>
    <w:rPr>
      <w:bCs w:val="0"/>
      <w:sz w:val="24"/>
    </w:rPr>
  </w:style>
  <w:style w:type="paragraph" w:customStyle="1" w:styleId="cosearchresultsquestionandanswer">
    <w:name w:val="co_searchresults_questionandanswer"/>
    <w:basedOn w:val="Normal"/>
    <w:rsid w:val="00435883"/>
    <w:pPr>
      <w:pBdr>
        <w:top w:val="single" w:sz="6" w:space="26" w:color="D6D6D6"/>
      </w:pBdr>
      <w:spacing w:before="510" w:after="100" w:afterAutospacing="1"/>
    </w:pPr>
    <w:rPr>
      <w:bCs w:val="0"/>
      <w:sz w:val="24"/>
    </w:rPr>
  </w:style>
  <w:style w:type="paragraph" w:customStyle="1" w:styleId="costatutorycitation">
    <w:name w:val="co_statutorycitation"/>
    <w:basedOn w:val="Normal"/>
    <w:rsid w:val="00435883"/>
    <w:pPr>
      <w:spacing w:before="100" w:beforeAutospacing="1" w:after="180"/>
    </w:pPr>
    <w:rPr>
      <w:bCs w:val="0"/>
      <w:sz w:val="24"/>
    </w:rPr>
  </w:style>
  <w:style w:type="paragraph" w:customStyle="1" w:styleId="costatutorycitationtitle">
    <w:name w:val="co_statutorycitation_title"/>
    <w:basedOn w:val="Normal"/>
    <w:rsid w:val="00435883"/>
    <w:rPr>
      <w:bCs w:val="0"/>
      <w:color w:val="505050"/>
      <w:sz w:val="24"/>
    </w:rPr>
  </w:style>
  <w:style w:type="paragraph" w:customStyle="1" w:styleId="costatutorycitationmeta">
    <w:name w:val="co_statutorycitation_meta"/>
    <w:basedOn w:val="Normal"/>
    <w:rsid w:val="00435883"/>
    <w:pPr>
      <w:spacing w:before="100" w:beforeAutospacing="1" w:after="100" w:afterAutospacing="1"/>
    </w:pPr>
    <w:rPr>
      <w:bCs w:val="0"/>
      <w:color w:val="505050"/>
      <w:sz w:val="18"/>
      <w:szCs w:val="18"/>
    </w:rPr>
  </w:style>
  <w:style w:type="paragraph" w:customStyle="1" w:styleId="cogotoquote">
    <w:name w:val="co_gotoquote"/>
    <w:basedOn w:val="Normal"/>
    <w:rsid w:val="00435883"/>
    <w:pPr>
      <w:spacing w:before="100" w:beforeAutospacing="1" w:after="100" w:afterAutospacing="1"/>
    </w:pPr>
    <w:rPr>
      <w:bCs w:val="0"/>
      <w:sz w:val="18"/>
      <w:szCs w:val="18"/>
    </w:rPr>
  </w:style>
  <w:style w:type="paragraph" w:customStyle="1" w:styleId="cogotoanswerquote">
    <w:name w:val="co_gotoanswerquote"/>
    <w:basedOn w:val="Normal"/>
    <w:rsid w:val="00435883"/>
    <w:pPr>
      <w:spacing w:before="100" w:beforeAutospacing="1" w:after="100" w:afterAutospacing="1"/>
    </w:pPr>
    <w:rPr>
      <w:bCs w:val="0"/>
      <w:sz w:val="18"/>
      <w:szCs w:val="18"/>
    </w:rPr>
  </w:style>
  <w:style w:type="paragraph" w:customStyle="1" w:styleId="coqajurisdiction">
    <w:name w:val="co_qajurisdiction"/>
    <w:basedOn w:val="Normal"/>
    <w:rsid w:val="00435883"/>
    <w:pPr>
      <w:spacing w:before="100" w:beforeAutospacing="1" w:after="100" w:afterAutospacing="1"/>
    </w:pPr>
    <w:rPr>
      <w:bCs w:val="0"/>
      <w:color w:val="6B6B6B"/>
      <w:szCs w:val="20"/>
    </w:rPr>
  </w:style>
  <w:style w:type="paragraph" w:customStyle="1" w:styleId="cootherjurisdictioncontainer">
    <w:name w:val="co_otherjurisdictioncontainer"/>
    <w:basedOn w:val="Normal"/>
    <w:rsid w:val="00435883"/>
    <w:pPr>
      <w:pBdr>
        <w:top w:val="single" w:sz="6" w:space="26" w:color="D6D6D6"/>
      </w:pBdr>
      <w:spacing w:before="510" w:after="210"/>
    </w:pPr>
    <w:rPr>
      <w:bCs w:val="0"/>
      <w:sz w:val="24"/>
    </w:rPr>
  </w:style>
  <w:style w:type="paragraph" w:customStyle="1" w:styleId="cootherjurisdictionheader">
    <w:name w:val="co_otherjurisdictionheader"/>
    <w:basedOn w:val="Normal"/>
    <w:rsid w:val="00435883"/>
    <w:pPr>
      <w:pBdr>
        <w:top w:val="single" w:sz="6" w:space="17" w:color="D6D6D6"/>
        <w:left w:val="single" w:sz="6" w:space="23" w:color="D6D6D6"/>
        <w:bottom w:val="single" w:sz="6" w:space="17" w:color="D6D6D6"/>
        <w:right w:val="single" w:sz="6" w:space="23" w:color="D6D6D6"/>
      </w:pBdr>
      <w:shd w:val="clear" w:color="auto" w:fill="F7F7F7"/>
      <w:spacing w:before="100" w:beforeAutospacing="1" w:after="100" w:afterAutospacing="1"/>
    </w:pPr>
    <w:rPr>
      <w:bCs w:val="0"/>
      <w:sz w:val="24"/>
    </w:rPr>
  </w:style>
  <w:style w:type="paragraph" w:customStyle="1" w:styleId="cootherjurisdictiontitle">
    <w:name w:val="co_otherjurisdictiontitle"/>
    <w:basedOn w:val="Normal"/>
    <w:rsid w:val="00435883"/>
    <w:pPr>
      <w:spacing w:before="100" w:beforeAutospacing="1" w:after="100" w:afterAutospacing="1"/>
    </w:pPr>
    <w:rPr>
      <w:bCs w:val="0"/>
      <w:color w:val="145DA4"/>
      <w:sz w:val="24"/>
    </w:rPr>
  </w:style>
  <w:style w:type="paragraph" w:customStyle="1" w:styleId="cootherjurisdictionbody">
    <w:name w:val="co_otherjurisdictionbody"/>
    <w:basedOn w:val="Normal"/>
    <w:rsid w:val="00435883"/>
    <w:pPr>
      <w:pBdr>
        <w:top w:val="single" w:sz="2" w:space="17" w:color="D6D6D6"/>
        <w:left w:val="single" w:sz="6" w:space="23" w:color="D6D6D6"/>
        <w:bottom w:val="single" w:sz="6" w:space="17" w:color="D6D6D6"/>
        <w:right w:val="single" w:sz="6" w:space="23" w:color="D6D6D6"/>
      </w:pBdr>
      <w:spacing w:before="100" w:beforeAutospacing="1" w:after="100" w:afterAutospacing="1"/>
    </w:pPr>
    <w:rPr>
      <w:bCs w:val="0"/>
      <w:sz w:val="24"/>
    </w:rPr>
  </w:style>
  <w:style w:type="paragraph" w:customStyle="1" w:styleId="conotificationssubheading">
    <w:name w:val="co_notifications_subheading"/>
    <w:basedOn w:val="Normal"/>
    <w:rsid w:val="00435883"/>
    <w:pPr>
      <w:spacing w:before="240" w:after="100" w:afterAutospacing="1"/>
    </w:pPr>
    <w:rPr>
      <w:bCs w:val="0"/>
      <w:caps/>
      <w:sz w:val="24"/>
    </w:rPr>
  </w:style>
  <w:style w:type="paragraph" w:customStyle="1" w:styleId="conotificationitem">
    <w:name w:val="co_notification_item"/>
    <w:basedOn w:val="Normal"/>
    <w:rsid w:val="00435883"/>
    <w:pPr>
      <w:spacing w:before="100" w:beforeAutospacing="1" w:after="100" w:afterAutospacing="1"/>
    </w:pPr>
    <w:rPr>
      <w:bCs w:val="0"/>
      <w:sz w:val="24"/>
    </w:rPr>
  </w:style>
  <w:style w:type="paragraph" w:customStyle="1" w:styleId="corecentnotificationhasbeenread">
    <w:name w:val="co_recentnotification_hasbeenread"/>
    <w:basedOn w:val="Normal"/>
    <w:rsid w:val="00435883"/>
    <w:pPr>
      <w:shd w:val="clear" w:color="auto" w:fill="F6F6F6"/>
      <w:spacing w:before="100" w:beforeAutospacing="1" w:after="100" w:afterAutospacing="1"/>
    </w:pPr>
    <w:rPr>
      <w:bCs w:val="0"/>
      <w:sz w:val="24"/>
    </w:rPr>
  </w:style>
  <w:style w:type="paragraph" w:customStyle="1" w:styleId="co-trdiscover-category">
    <w:name w:val="co-trdiscover-category"/>
    <w:basedOn w:val="Normal"/>
    <w:rsid w:val="00435883"/>
    <w:pPr>
      <w:pBdr>
        <w:right w:val="single" w:sz="6" w:space="0" w:color="CCCCCC"/>
      </w:pBdr>
      <w:shd w:val="clear" w:color="auto" w:fill="F6F9FB"/>
      <w:spacing w:before="100" w:beforeAutospacing="1" w:after="100" w:afterAutospacing="1"/>
      <w:textAlignment w:val="top"/>
    </w:pPr>
    <w:rPr>
      <w:bCs w:val="0"/>
      <w:sz w:val="24"/>
    </w:rPr>
  </w:style>
  <w:style w:type="paragraph" w:customStyle="1" w:styleId="co-trdiscover-detail">
    <w:name w:val="co-trdiscover-detail"/>
    <w:basedOn w:val="Normal"/>
    <w:rsid w:val="00435883"/>
    <w:pPr>
      <w:shd w:val="clear" w:color="auto" w:fill="FFFFFF"/>
      <w:spacing w:before="100" w:beforeAutospacing="1" w:after="100" w:afterAutospacing="1" w:line="240" w:lineRule="atLeast"/>
      <w:textAlignment w:val="top"/>
    </w:pPr>
    <w:rPr>
      <w:bCs w:val="0"/>
      <w:sz w:val="24"/>
    </w:rPr>
  </w:style>
  <w:style w:type="paragraph" w:customStyle="1" w:styleId="cotrdiscover-categorydiscover">
    <w:name w:val="co_trdiscover-categorydiscover"/>
    <w:basedOn w:val="Normal"/>
    <w:rsid w:val="00435883"/>
    <w:pPr>
      <w:spacing w:before="255" w:after="100" w:afterAutospacing="1"/>
    </w:pPr>
    <w:rPr>
      <w:bCs w:val="0"/>
      <w:sz w:val="24"/>
    </w:rPr>
  </w:style>
  <w:style w:type="paragraph" w:customStyle="1" w:styleId="cotrdiscover-categoryanswers">
    <w:name w:val="co_trdiscover-categoryanswers"/>
    <w:basedOn w:val="Normal"/>
    <w:rsid w:val="00435883"/>
    <w:pPr>
      <w:spacing w:before="225" w:after="100" w:afterAutospacing="1"/>
    </w:pPr>
    <w:rPr>
      <w:bCs w:val="0"/>
      <w:sz w:val="24"/>
    </w:rPr>
  </w:style>
  <w:style w:type="paragraph" w:customStyle="1" w:styleId="cotrdiscover-categorysecondarysources">
    <w:name w:val="co_trdiscover-categorysecondarysources"/>
    <w:basedOn w:val="Normal"/>
    <w:rsid w:val="00435883"/>
    <w:pPr>
      <w:spacing w:before="225" w:after="100" w:afterAutospacing="1"/>
    </w:pPr>
    <w:rPr>
      <w:bCs w:val="0"/>
      <w:sz w:val="24"/>
    </w:rPr>
  </w:style>
  <w:style w:type="paragraph" w:customStyle="1" w:styleId="cotrdiscover-categorycases">
    <w:name w:val="co_trdiscover-categorycases"/>
    <w:basedOn w:val="Normal"/>
    <w:rsid w:val="00435883"/>
    <w:pPr>
      <w:spacing w:before="300" w:after="100" w:afterAutospacing="1"/>
    </w:pPr>
    <w:rPr>
      <w:bCs w:val="0"/>
      <w:sz w:val="24"/>
    </w:rPr>
  </w:style>
  <w:style w:type="paragraph" w:customStyle="1" w:styleId="cotrdiscover-categorystatutes">
    <w:name w:val="co_trdiscover-categorystatutes"/>
    <w:basedOn w:val="Normal"/>
    <w:rsid w:val="00435883"/>
    <w:pPr>
      <w:spacing w:before="300" w:after="100" w:afterAutospacing="1"/>
    </w:pPr>
    <w:rPr>
      <w:bCs w:val="0"/>
      <w:sz w:val="24"/>
    </w:rPr>
  </w:style>
  <w:style w:type="paragraph" w:customStyle="1" w:styleId="cotrdiscover-categoryother">
    <w:name w:val="co_trdiscover-categoryother"/>
    <w:basedOn w:val="Normal"/>
    <w:rsid w:val="00435883"/>
    <w:pPr>
      <w:spacing w:after="100" w:afterAutospacing="1"/>
    </w:pPr>
    <w:rPr>
      <w:bCs w:val="0"/>
      <w:sz w:val="24"/>
    </w:rPr>
  </w:style>
  <w:style w:type="paragraph" w:customStyle="1" w:styleId="co-trdiscover-result">
    <w:name w:val="co-trdiscover-result"/>
    <w:basedOn w:val="Normal"/>
    <w:rsid w:val="00435883"/>
    <w:pPr>
      <w:spacing w:before="100" w:beforeAutospacing="1" w:after="100" w:afterAutospacing="1"/>
    </w:pPr>
    <w:rPr>
      <w:bCs w:val="0"/>
      <w:sz w:val="24"/>
    </w:rPr>
  </w:style>
  <w:style w:type="paragraph" w:customStyle="1" w:styleId="co-trdiscover-cite">
    <w:name w:val="co-trdiscover-cite"/>
    <w:basedOn w:val="Normal"/>
    <w:rsid w:val="00435883"/>
    <w:pPr>
      <w:spacing w:before="100" w:beforeAutospacing="1" w:after="100" w:afterAutospacing="1"/>
    </w:pPr>
    <w:rPr>
      <w:bCs w:val="0"/>
      <w:sz w:val="24"/>
    </w:rPr>
  </w:style>
  <w:style w:type="paragraph" w:customStyle="1" w:styleId="counboldtrresulttext">
    <w:name w:val="co_unboldtrresulttext"/>
    <w:basedOn w:val="Normal"/>
    <w:rsid w:val="00435883"/>
    <w:pPr>
      <w:spacing w:before="100" w:beforeAutospacing="1" w:after="100" w:afterAutospacing="1"/>
    </w:pPr>
    <w:rPr>
      <w:bCs w:val="0"/>
      <w:color w:val="999999"/>
      <w:sz w:val="24"/>
    </w:rPr>
  </w:style>
  <w:style w:type="paragraph" w:customStyle="1" w:styleId="co-trdiscover-more">
    <w:name w:val="co-trdiscover-more"/>
    <w:basedOn w:val="Normal"/>
    <w:rsid w:val="00435883"/>
    <w:pPr>
      <w:spacing w:before="100" w:beforeAutospacing="1" w:after="100" w:afterAutospacing="1"/>
    </w:pPr>
    <w:rPr>
      <w:bCs w:val="0"/>
      <w:sz w:val="24"/>
    </w:rPr>
  </w:style>
  <w:style w:type="paragraph" w:customStyle="1" w:styleId="cotrdiscover-categoryheading">
    <w:name w:val="co_trdiscover-categoryheading"/>
    <w:basedOn w:val="Normal"/>
    <w:rsid w:val="00435883"/>
    <w:pPr>
      <w:spacing w:before="100" w:beforeAutospacing="1" w:after="225"/>
    </w:pPr>
    <w:rPr>
      <w:bCs w:val="0"/>
      <w:sz w:val="24"/>
    </w:rPr>
  </w:style>
  <w:style w:type="paragraph" w:customStyle="1" w:styleId="co-trdiscover-searchresult">
    <w:name w:val="co-trdiscover-searchresult"/>
    <w:basedOn w:val="Normal"/>
    <w:rsid w:val="00435883"/>
    <w:pPr>
      <w:spacing w:before="100" w:beforeAutospacing="1" w:after="100" w:afterAutospacing="1"/>
    </w:pPr>
    <w:rPr>
      <w:bCs w:val="0"/>
      <w:color w:val="145DA4"/>
      <w:sz w:val="24"/>
    </w:rPr>
  </w:style>
  <w:style w:type="paragraph" w:customStyle="1" w:styleId="cotrdiscover-categoryregulations">
    <w:name w:val="co_trdiscover-categoryregulations"/>
    <w:basedOn w:val="Normal"/>
    <w:rsid w:val="00435883"/>
    <w:pPr>
      <w:spacing w:before="300" w:after="100" w:afterAutospacing="1"/>
    </w:pPr>
    <w:rPr>
      <w:bCs w:val="0"/>
      <w:sz w:val="24"/>
    </w:rPr>
  </w:style>
  <w:style w:type="paragraph" w:customStyle="1" w:styleId="cogenericborder">
    <w:name w:val="co_genericborder"/>
    <w:basedOn w:val="Normal"/>
    <w:rsid w:val="00435883"/>
    <w:pPr>
      <w:pBdr>
        <w:bottom w:val="single" w:sz="6" w:space="0" w:color="CCCCCC"/>
      </w:pBdr>
      <w:spacing w:before="100" w:beforeAutospacing="1" w:after="100" w:afterAutospacing="1"/>
    </w:pPr>
    <w:rPr>
      <w:bCs w:val="0"/>
      <w:sz w:val="24"/>
    </w:rPr>
  </w:style>
  <w:style w:type="paragraph" w:customStyle="1" w:styleId="cocaseevalselectall">
    <w:name w:val="co_caseevalselectall"/>
    <w:basedOn w:val="Normal"/>
    <w:rsid w:val="00435883"/>
    <w:pPr>
      <w:spacing w:before="100" w:beforeAutospacing="1" w:after="100" w:afterAutospacing="1" w:line="360" w:lineRule="atLeast"/>
      <w:ind w:left="150"/>
    </w:pPr>
    <w:rPr>
      <w:bCs w:val="0"/>
      <w:sz w:val="24"/>
    </w:rPr>
  </w:style>
  <w:style w:type="paragraph" w:customStyle="1" w:styleId="cofavoritefilteredviewcontainer">
    <w:name w:val="co_favoritefilteredviewcontainer"/>
    <w:basedOn w:val="Normal"/>
    <w:rsid w:val="0043588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bCs w:val="0"/>
      <w:sz w:val="24"/>
    </w:rPr>
  </w:style>
  <w:style w:type="paragraph" w:customStyle="1" w:styleId="cotocparentlink">
    <w:name w:val="co_tocparentlink"/>
    <w:basedOn w:val="Normal"/>
    <w:rsid w:val="00435883"/>
    <w:pPr>
      <w:spacing w:before="100" w:beforeAutospacing="1" w:after="100" w:afterAutospacing="1"/>
    </w:pPr>
    <w:rPr>
      <w:bCs w:val="0"/>
      <w:i/>
      <w:iCs/>
      <w:sz w:val="24"/>
    </w:rPr>
  </w:style>
  <w:style w:type="paragraph" w:customStyle="1" w:styleId="codocketstatus">
    <w:name w:val="co_docketstatus"/>
    <w:basedOn w:val="Normal"/>
    <w:rsid w:val="00435883"/>
    <w:pPr>
      <w:pBdr>
        <w:top w:val="single" w:sz="2" w:space="0" w:color="auto"/>
        <w:left w:val="single" w:sz="2" w:space="0" w:color="auto"/>
        <w:bottom w:val="single" w:sz="48" w:space="0" w:color="auto"/>
        <w:right w:val="single" w:sz="48" w:space="0" w:color="auto"/>
      </w:pBdr>
      <w:spacing w:before="100" w:beforeAutospacing="1" w:after="100" w:afterAutospacing="1"/>
      <w:ind w:firstLine="22384"/>
    </w:pPr>
    <w:rPr>
      <w:bCs w:val="0"/>
      <w:sz w:val="24"/>
    </w:rPr>
  </w:style>
  <w:style w:type="paragraph" w:customStyle="1" w:styleId="coh1">
    <w:name w:val="co_h1"/>
    <w:basedOn w:val="Normal"/>
    <w:rsid w:val="00435883"/>
    <w:pPr>
      <w:spacing w:before="100" w:beforeAutospacing="1" w:after="100" w:afterAutospacing="1"/>
    </w:pPr>
    <w:rPr>
      <w:b/>
      <w:color w:val="212121"/>
      <w:sz w:val="36"/>
      <w:szCs w:val="36"/>
    </w:rPr>
  </w:style>
  <w:style w:type="paragraph" w:customStyle="1" w:styleId="coh2">
    <w:name w:val="co_h2"/>
    <w:basedOn w:val="Normal"/>
    <w:rsid w:val="00435883"/>
    <w:pPr>
      <w:spacing w:before="100" w:beforeAutospacing="1" w:after="100" w:afterAutospacing="1"/>
    </w:pPr>
    <w:rPr>
      <w:b/>
      <w:color w:val="212121"/>
      <w:sz w:val="32"/>
      <w:szCs w:val="32"/>
    </w:rPr>
  </w:style>
  <w:style w:type="paragraph" w:customStyle="1" w:styleId="coh3">
    <w:name w:val="co_h3"/>
    <w:basedOn w:val="Normal"/>
    <w:rsid w:val="00435883"/>
    <w:pPr>
      <w:spacing w:before="100" w:beforeAutospacing="1" w:after="100" w:afterAutospacing="1"/>
    </w:pPr>
    <w:rPr>
      <w:b/>
      <w:color w:val="212121"/>
      <w:sz w:val="29"/>
      <w:szCs w:val="29"/>
    </w:rPr>
  </w:style>
  <w:style w:type="paragraph" w:customStyle="1" w:styleId="coh4">
    <w:name w:val="co_h4"/>
    <w:basedOn w:val="Normal"/>
    <w:rsid w:val="00435883"/>
    <w:pPr>
      <w:spacing w:before="100" w:beforeAutospacing="1" w:after="100" w:afterAutospacing="1"/>
    </w:pPr>
    <w:rPr>
      <w:bCs w:val="0"/>
      <w:color w:val="212121"/>
      <w:sz w:val="24"/>
    </w:rPr>
  </w:style>
  <w:style w:type="paragraph" w:customStyle="1" w:styleId="coh5">
    <w:name w:val="co_h5"/>
    <w:basedOn w:val="Normal"/>
    <w:rsid w:val="00435883"/>
    <w:pPr>
      <w:spacing w:before="100" w:beforeAutospacing="1" w:after="100" w:afterAutospacing="1"/>
    </w:pPr>
    <w:rPr>
      <w:bCs w:val="0"/>
      <w:color w:val="212121"/>
      <w:sz w:val="24"/>
    </w:rPr>
  </w:style>
  <w:style w:type="paragraph" w:customStyle="1" w:styleId="coh6">
    <w:name w:val="co_h6"/>
    <w:basedOn w:val="Normal"/>
    <w:rsid w:val="00435883"/>
    <w:pPr>
      <w:spacing w:before="100" w:beforeAutospacing="1" w:after="100" w:afterAutospacing="1"/>
    </w:pPr>
    <w:rPr>
      <w:bCs w:val="0"/>
      <w:color w:val="212121"/>
      <w:sz w:val="24"/>
    </w:rPr>
  </w:style>
  <w:style w:type="paragraph" w:customStyle="1" w:styleId="cosmallfont">
    <w:name w:val="co_smallfont"/>
    <w:basedOn w:val="Normal"/>
    <w:rsid w:val="00435883"/>
    <w:pPr>
      <w:spacing w:before="100" w:beforeAutospacing="1" w:after="100" w:afterAutospacing="1"/>
    </w:pPr>
    <w:rPr>
      <w:bCs w:val="0"/>
      <w:sz w:val="17"/>
      <w:szCs w:val="17"/>
    </w:rPr>
  </w:style>
  <w:style w:type="paragraph" w:customStyle="1" w:styleId="cohalign1">
    <w:name w:val="co_halign1"/>
    <w:basedOn w:val="Normal"/>
    <w:rsid w:val="00435883"/>
    <w:pPr>
      <w:spacing w:before="100" w:beforeAutospacing="1" w:after="100" w:afterAutospacing="1"/>
    </w:pPr>
    <w:rPr>
      <w:bCs w:val="0"/>
      <w:sz w:val="24"/>
    </w:rPr>
  </w:style>
  <w:style w:type="paragraph" w:customStyle="1" w:styleId="cohalign2">
    <w:name w:val="co_halign2"/>
    <w:basedOn w:val="Normal"/>
    <w:rsid w:val="00435883"/>
    <w:pPr>
      <w:spacing w:before="100" w:beforeAutospacing="1" w:after="100" w:afterAutospacing="1"/>
      <w:jc w:val="center"/>
    </w:pPr>
    <w:rPr>
      <w:bCs w:val="0"/>
      <w:sz w:val="24"/>
    </w:rPr>
  </w:style>
  <w:style w:type="paragraph" w:customStyle="1" w:styleId="cohalign3">
    <w:name w:val="co_halign3"/>
    <w:basedOn w:val="Normal"/>
    <w:rsid w:val="00435883"/>
    <w:pPr>
      <w:spacing w:before="100" w:beforeAutospacing="1" w:after="100" w:afterAutospacing="1"/>
      <w:jc w:val="right"/>
    </w:pPr>
    <w:rPr>
      <w:bCs w:val="0"/>
      <w:sz w:val="24"/>
    </w:rPr>
  </w:style>
  <w:style w:type="paragraph" w:customStyle="1" w:styleId="covalign1">
    <w:name w:val="co_valign1"/>
    <w:basedOn w:val="Normal"/>
    <w:rsid w:val="00435883"/>
    <w:pPr>
      <w:spacing w:before="100" w:beforeAutospacing="1" w:after="100" w:afterAutospacing="1"/>
      <w:textAlignment w:val="bottom"/>
    </w:pPr>
    <w:rPr>
      <w:bCs w:val="0"/>
      <w:sz w:val="24"/>
    </w:rPr>
  </w:style>
  <w:style w:type="paragraph" w:customStyle="1" w:styleId="covalign2">
    <w:name w:val="co_valign2"/>
    <w:basedOn w:val="Normal"/>
    <w:rsid w:val="00435883"/>
    <w:pPr>
      <w:spacing w:before="100" w:beforeAutospacing="1" w:after="100" w:afterAutospacing="1"/>
      <w:textAlignment w:val="center"/>
    </w:pPr>
    <w:rPr>
      <w:bCs w:val="0"/>
      <w:sz w:val="24"/>
    </w:rPr>
  </w:style>
  <w:style w:type="paragraph" w:customStyle="1" w:styleId="covalign3">
    <w:name w:val="co_valign3"/>
    <w:basedOn w:val="Normal"/>
    <w:rsid w:val="00435883"/>
    <w:pPr>
      <w:spacing w:before="100" w:beforeAutospacing="1" w:after="100" w:afterAutospacing="1"/>
      <w:textAlignment w:val="top"/>
    </w:pPr>
    <w:rPr>
      <w:bCs w:val="0"/>
      <w:sz w:val="24"/>
    </w:rPr>
  </w:style>
  <w:style w:type="paragraph" w:customStyle="1" w:styleId="coindenttop">
    <w:name w:val="co_indenttop"/>
    <w:basedOn w:val="Normal"/>
    <w:rsid w:val="00435883"/>
    <w:pPr>
      <w:spacing w:before="100" w:beforeAutospacing="1" w:after="100" w:afterAutospacing="1"/>
    </w:pPr>
    <w:rPr>
      <w:bCs w:val="0"/>
      <w:sz w:val="24"/>
    </w:rPr>
  </w:style>
  <w:style w:type="paragraph" w:customStyle="1" w:styleId="coindentbottom">
    <w:name w:val="co_indentbottom"/>
    <w:basedOn w:val="Normal"/>
    <w:rsid w:val="00435883"/>
    <w:pPr>
      <w:spacing w:before="100" w:beforeAutospacing="1" w:after="100" w:afterAutospacing="1"/>
    </w:pPr>
    <w:rPr>
      <w:bCs w:val="0"/>
      <w:sz w:val="24"/>
    </w:rPr>
  </w:style>
  <w:style w:type="paragraph" w:customStyle="1" w:styleId="codraftingclause">
    <w:name w:val="co_draftingclause"/>
    <w:basedOn w:val="Normal"/>
    <w:rsid w:val="00435883"/>
    <w:pPr>
      <w:spacing w:before="100" w:beforeAutospacing="1" w:after="100" w:afterAutospacing="1"/>
    </w:pPr>
    <w:rPr>
      <w:bCs w:val="0"/>
      <w:sz w:val="24"/>
    </w:rPr>
  </w:style>
  <w:style w:type="paragraph" w:customStyle="1" w:styleId="coindentparagraph">
    <w:name w:val="co_indentparagraph"/>
    <w:basedOn w:val="Normal"/>
    <w:rsid w:val="00435883"/>
    <w:pPr>
      <w:spacing w:before="100" w:beforeAutospacing="1" w:after="100" w:afterAutospacing="1"/>
      <w:ind w:firstLine="240"/>
    </w:pPr>
    <w:rPr>
      <w:bCs w:val="0"/>
      <w:sz w:val="24"/>
    </w:rPr>
  </w:style>
  <w:style w:type="paragraph" w:customStyle="1" w:styleId="coindentparagraph2">
    <w:name w:val="co_indentparagraph2"/>
    <w:basedOn w:val="Normal"/>
    <w:rsid w:val="00435883"/>
    <w:pPr>
      <w:spacing w:before="100" w:beforeAutospacing="1" w:after="100" w:afterAutospacing="1"/>
      <w:ind w:firstLine="480"/>
    </w:pPr>
    <w:rPr>
      <w:bCs w:val="0"/>
      <w:sz w:val="24"/>
    </w:rPr>
  </w:style>
  <w:style w:type="paragraph" w:customStyle="1" w:styleId="coindentparagraph3">
    <w:name w:val="co_indentparagraph3"/>
    <w:basedOn w:val="Normal"/>
    <w:rsid w:val="00435883"/>
    <w:pPr>
      <w:spacing w:before="100" w:beforeAutospacing="1" w:after="100" w:afterAutospacing="1"/>
      <w:ind w:firstLine="720"/>
    </w:pPr>
    <w:rPr>
      <w:bCs w:val="0"/>
      <w:sz w:val="24"/>
    </w:rPr>
  </w:style>
  <w:style w:type="paragraph" w:customStyle="1" w:styleId="coindentparagraph4">
    <w:name w:val="co_indentparagraph4"/>
    <w:basedOn w:val="Normal"/>
    <w:rsid w:val="00435883"/>
    <w:pPr>
      <w:spacing w:before="100" w:beforeAutospacing="1" w:after="100" w:afterAutospacing="1"/>
      <w:ind w:firstLine="960"/>
    </w:pPr>
    <w:rPr>
      <w:bCs w:val="0"/>
      <w:sz w:val="24"/>
    </w:rPr>
  </w:style>
  <w:style w:type="paragraph" w:customStyle="1" w:styleId="coindentparagraph5">
    <w:name w:val="co_indentparagraph5"/>
    <w:basedOn w:val="Normal"/>
    <w:rsid w:val="00435883"/>
    <w:pPr>
      <w:spacing w:before="100" w:beforeAutospacing="1" w:after="100" w:afterAutospacing="1"/>
      <w:ind w:firstLine="1200"/>
    </w:pPr>
    <w:rPr>
      <w:bCs w:val="0"/>
      <w:sz w:val="24"/>
    </w:rPr>
  </w:style>
  <w:style w:type="paragraph" w:customStyle="1" w:styleId="coindentfirstline">
    <w:name w:val="co_indentfirstline"/>
    <w:basedOn w:val="Normal"/>
    <w:rsid w:val="00435883"/>
    <w:pPr>
      <w:spacing w:before="100" w:beforeAutospacing="1" w:after="100" w:afterAutospacing="1"/>
    </w:pPr>
    <w:rPr>
      <w:bCs w:val="0"/>
      <w:sz w:val="24"/>
    </w:rPr>
  </w:style>
  <w:style w:type="paragraph" w:customStyle="1" w:styleId="coindentfirstline1">
    <w:name w:val="co_indentfirstline1"/>
    <w:basedOn w:val="Normal"/>
    <w:rsid w:val="00435883"/>
    <w:pPr>
      <w:spacing w:before="100" w:beforeAutospacing="1" w:after="100" w:afterAutospacing="1"/>
    </w:pPr>
    <w:rPr>
      <w:bCs w:val="0"/>
      <w:sz w:val="24"/>
    </w:rPr>
  </w:style>
  <w:style w:type="paragraph" w:customStyle="1" w:styleId="coindentfirstline2">
    <w:name w:val="co_indentfirstline2"/>
    <w:basedOn w:val="Normal"/>
    <w:rsid w:val="00435883"/>
    <w:pPr>
      <w:spacing w:before="100" w:beforeAutospacing="1" w:after="100" w:afterAutospacing="1"/>
    </w:pPr>
    <w:rPr>
      <w:bCs w:val="0"/>
      <w:sz w:val="24"/>
    </w:rPr>
  </w:style>
  <w:style w:type="paragraph" w:customStyle="1" w:styleId="coindentfirstline3">
    <w:name w:val="co_indentfirstline3"/>
    <w:basedOn w:val="Normal"/>
    <w:rsid w:val="00435883"/>
    <w:pPr>
      <w:spacing w:before="100" w:beforeAutospacing="1" w:after="100" w:afterAutospacing="1"/>
    </w:pPr>
    <w:rPr>
      <w:bCs w:val="0"/>
      <w:sz w:val="24"/>
    </w:rPr>
  </w:style>
  <w:style w:type="paragraph" w:customStyle="1" w:styleId="coindentfirstline4">
    <w:name w:val="co_indentfirstline4"/>
    <w:basedOn w:val="Normal"/>
    <w:rsid w:val="00435883"/>
    <w:pPr>
      <w:spacing w:before="100" w:beforeAutospacing="1" w:after="100" w:afterAutospacing="1"/>
    </w:pPr>
    <w:rPr>
      <w:bCs w:val="0"/>
      <w:sz w:val="24"/>
    </w:rPr>
  </w:style>
  <w:style w:type="paragraph" w:customStyle="1" w:styleId="coindentfirstline5">
    <w:name w:val="co_indentfirstline5"/>
    <w:basedOn w:val="Normal"/>
    <w:rsid w:val="00435883"/>
    <w:pPr>
      <w:spacing w:before="100" w:beforeAutospacing="1" w:after="100" w:afterAutospacing="1"/>
    </w:pPr>
    <w:rPr>
      <w:bCs w:val="0"/>
      <w:sz w:val="24"/>
    </w:rPr>
  </w:style>
  <w:style w:type="paragraph" w:customStyle="1" w:styleId="coloweralphalist">
    <w:name w:val="co_loweralphalist"/>
    <w:basedOn w:val="Normal"/>
    <w:rsid w:val="00435883"/>
    <w:pPr>
      <w:spacing w:before="100" w:beforeAutospacing="1" w:after="100" w:afterAutospacing="1"/>
    </w:pPr>
    <w:rPr>
      <w:bCs w:val="0"/>
      <w:sz w:val="24"/>
    </w:rPr>
  </w:style>
  <w:style w:type="paragraph" w:customStyle="1" w:styleId="coupperalphalist">
    <w:name w:val="co_upperalphalist"/>
    <w:basedOn w:val="Normal"/>
    <w:rsid w:val="00435883"/>
    <w:pPr>
      <w:spacing w:before="100" w:beforeAutospacing="1" w:after="100" w:afterAutospacing="1"/>
    </w:pPr>
    <w:rPr>
      <w:bCs w:val="0"/>
      <w:sz w:val="24"/>
    </w:rPr>
  </w:style>
  <w:style w:type="paragraph" w:customStyle="1" w:styleId="colowerromanlist">
    <w:name w:val="co_lowerromanlist"/>
    <w:basedOn w:val="Normal"/>
    <w:rsid w:val="00435883"/>
    <w:pPr>
      <w:spacing w:before="100" w:beforeAutospacing="1" w:after="100" w:afterAutospacing="1"/>
    </w:pPr>
    <w:rPr>
      <w:bCs w:val="0"/>
      <w:sz w:val="24"/>
    </w:rPr>
  </w:style>
  <w:style w:type="paragraph" w:customStyle="1" w:styleId="coupperromanlist">
    <w:name w:val="co_upperromanlist"/>
    <w:basedOn w:val="Normal"/>
    <w:rsid w:val="00435883"/>
    <w:pPr>
      <w:spacing w:before="100" w:beforeAutospacing="1" w:after="100" w:afterAutospacing="1"/>
    </w:pPr>
    <w:rPr>
      <w:bCs w:val="0"/>
      <w:sz w:val="24"/>
    </w:rPr>
  </w:style>
  <w:style w:type="paragraph" w:customStyle="1" w:styleId="codecimallist">
    <w:name w:val="co_decimallist"/>
    <w:basedOn w:val="Normal"/>
    <w:rsid w:val="00435883"/>
    <w:pPr>
      <w:spacing w:before="100" w:beforeAutospacing="1" w:after="100" w:afterAutospacing="1"/>
    </w:pPr>
    <w:rPr>
      <w:bCs w:val="0"/>
      <w:sz w:val="24"/>
    </w:rPr>
  </w:style>
  <w:style w:type="paragraph" w:customStyle="1" w:styleId="cocenter">
    <w:name w:val="co_center"/>
    <w:basedOn w:val="Normal"/>
    <w:rsid w:val="00435883"/>
    <w:pPr>
      <w:spacing w:before="100" w:beforeAutospacing="1" w:after="100" w:afterAutospacing="1"/>
      <w:jc w:val="center"/>
    </w:pPr>
    <w:rPr>
      <w:bCs w:val="0"/>
      <w:sz w:val="24"/>
    </w:rPr>
  </w:style>
  <w:style w:type="paragraph" w:customStyle="1" w:styleId="coflush">
    <w:name w:val="co_flush"/>
    <w:basedOn w:val="Normal"/>
    <w:rsid w:val="00435883"/>
    <w:pPr>
      <w:spacing w:before="100" w:beforeAutospacing="1" w:after="100" w:afterAutospacing="1"/>
    </w:pPr>
    <w:rPr>
      <w:bCs w:val="0"/>
      <w:sz w:val="24"/>
    </w:rPr>
  </w:style>
  <w:style w:type="paragraph" w:customStyle="1" w:styleId="codivide">
    <w:name w:val="co_divide"/>
    <w:basedOn w:val="Normal"/>
    <w:rsid w:val="00435883"/>
    <w:pPr>
      <w:spacing w:before="100" w:beforeAutospacing="1" w:after="100" w:afterAutospacing="1"/>
    </w:pPr>
    <w:rPr>
      <w:bCs w:val="0"/>
      <w:sz w:val="24"/>
    </w:rPr>
  </w:style>
  <w:style w:type="paragraph" w:customStyle="1" w:styleId="coemphasis">
    <w:name w:val="co_emphasis"/>
    <w:basedOn w:val="Normal"/>
    <w:rsid w:val="00435883"/>
    <w:pPr>
      <w:spacing w:before="100" w:beforeAutospacing="1" w:after="100" w:afterAutospacing="1"/>
    </w:pPr>
    <w:rPr>
      <w:b/>
      <w:sz w:val="24"/>
    </w:rPr>
  </w:style>
  <w:style w:type="paragraph" w:customStyle="1" w:styleId="cocustombulletlist">
    <w:name w:val="co_custombulletlist"/>
    <w:basedOn w:val="Normal"/>
    <w:rsid w:val="00435883"/>
    <w:pPr>
      <w:spacing w:before="240" w:after="240"/>
    </w:pPr>
    <w:rPr>
      <w:bCs w:val="0"/>
      <w:sz w:val="24"/>
    </w:rPr>
  </w:style>
  <w:style w:type="paragraph" w:customStyle="1" w:styleId="coimagelink">
    <w:name w:val="co_imagelink"/>
    <w:basedOn w:val="Normal"/>
    <w:rsid w:val="00435883"/>
    <w:pPr>
      <w:spacing w:before="100" w:beforeAutospacing="1" w:after="100" w:afterAutospacing="1"/>
    </w:pPr>
    <w:rPr>
      <w:bCs w:val="0"/>
      <w:sz w:val="24"/>
    </w:rPr>
  </w:style>
  <w:style w:type="paragraph" w:customStyle="1" w:styleId="colabel">
    <w:name w:val="co_label"/>
    <w:basedOn w:val="Normal"/>
    <w:rsid w:val="00435883"/>
    <w:pPr>
      <w:spacing w:before="100" w:beforeAutospacing="1" w:after="100" w:afterAutospacing="1"/>
      <w:ind w:right="120"/>
    </w:pPr>
    <w:rPr>
      <w:bCs w:val="0"/>
      <w:sz w:val="24"/>
    </w:rPr>
  </w:style>
  <w:style w:type="paragraph" w:customStyle="1" w:styleId="codoublespace">
    <w:name w:val="co_doublespace"/>
    <w:basedOn w:val="Normal"/>
    <w:rsid w:val="00435883"/>
    <w:pPr>
      <w:spacing w:before="100" w:beforeAutospacing="1" w:after="100" w:afterAutospacing="1" w:line="624" w:lineRule="atLeast"/>
    </w:pPr>
    <w:rPr>
      <w:bCs w:val="0"/>
      <w:sz w:val="24"/>
    </w:rPr>
  </w:style>
  <w:style w:type="paragraph" w:customStyle="1" w:styleId="xchecklistblock">
    <w:name w:val="x_checklistblock"/>
    <w:basedOn w:val="Normal"/>
    <w:rsid w:val="00435883"/>
    <w:pPr>
      <w:spacing w:before="480" w:after="100" w:afterAutospacing="1"/>
    </w:pPr>
    <w:rPr>
      <w:bCs w:val="0"/>
      <w:sz w:val="24"/>
    </w:rPr>
  </w:style>
  <w:style w:type="paragraph" w:customStyle="1" w:styleId="xcompanyblock">
    <w:name w:val="x_companyblock"/>
    <w:basedOn w:val="Normal"/>
    <w:rsid w:val="00435883"/>
    <w:pPr>
      <w:spacing w:before="480" w:after="100" w:afterAutospacing="1"/>
    </w:pPr>
    <w:rPr>
      <w:bCs w:val="0"/>
      <w:sz w:val="24"/>
    </w:rPr>
  </w:style>
  <w:style w:type="paragraph" w:customStyle="1" w:styleId="xdescriptionblock">
    <w:name w:val="x_descriptionblock"/>
    <w:basedOn w:val="Normal"/>
    <w:rsid w:val="00435883"/>
    <w:pPr>
      <w:spacing w:before="480" w:after="100" w:afterAutospacing="1"/>
    </w:pPr>
    <w:rPr>
      <w:bCs w:val="0"/>
      <w:sz w:val="24"/>
    </w:rPr>
  </w:style>
  <w:style w:type="paragraph" w:customStyle="1" w:styleId="xdocumentsblock">
    <w:name w:val="x_documentsblock"/>
    <w:basedOn w:val="Normal"/>
    <w:rsid w:val="00435883"/>
    <w:pPr>
      <w:spacing w:before="480" w:after="100" w:afterAutospacing="1"/>
    </w:pPr>
    <w:rPr>
      <w:bCs w:val="0"/>
      <w:sz w:val="24"/>
    </w:rPr>
  </w:style>
  <w:style w:type="paragraph" w:customStyle="1" w:styleId="xfilingreqblock">
    <w:name w:val="x_filingreqblock"/>
    <w:basedOn w:val="Normal"/>
    <w:rsid w:val="00435883"/>
    <w:pPr>
      <w:spacing w:before="480" w:after="100" w:afterAutospacing="1"/>
    </w:pPr>
    <w:rPr>
      <w:bCs w:val="0"/>
      <w:sz w:val="24"/>
    </w:rPr>
  </w:style>
  <w:style w:type="paragraph" w:customStyle="1" w:styleId="xformatblock">
    <w:name w:val="x_formatblock"/>
    <w:basedOn w:val="Normal"/>
    <w:rsid w:val="00435883"/>
    <w:pPr>
      <w:spacing w:before="480" w:after="100" w:afterAutospacing="1"/>
    </w:pPr>
    <w:rPr>
      <w:bCs w:val="0"/>
      <w:sz w:val="24"/>
    </w:rPr>
  </w:style>
  <w:style w:type="paragraph" w:customStyle="1" w:styleId="xformsblock">
    <w:name w:val="x_formsblock"/>
    <w:basedOn w:val="Normal"/>
    <w:rsid w:val="00435883"/>
    <w:pPr>
      <w:spacing w:before="480" w:after="100" w:afterAutospacing="1"/>
    </w:pPr>
    <w:rPr>
      <w:bCs w:val="0"/>
      <w:sz w:val="24"/>
    </w:rPr>
  </w:style>
  <w:style w:type="paragraph" w:customStyle="1" w:styleId="xgeneralreqblock">
    <w:name w:val="x_generalreqblock"/>
    <w:basedOn w:val="Normal"/>
    <w:rsid w:val="00435883"/>
    <w:pPr>
      <w:spacing w:before="480" w:after="100" w:afterAutospacing="1"/>
    </w:pPr>
    <w:rPr>
      <w:bCs w:val="0"/>
      <w:sz w:val="24"/>
    </w:rPr>
  </w:style>
  <w:style w:type="paragraph" w:customStyle="1" w:styleId="xhearingsblock">
    <w:name w:val="x_hearingsblock"/>
    <w:basedOn w:val="Normal"/>
    <w:rsid w:val="00435883"/>
    <w:pPr>
      <w:spacing w:before="480" w:after="100" w:afterAutospacing="1"/>
    </w:pPr>
    <w:rPr>
      <w:bCs w:val="0"/>
      <w:sz w:val="24"/>
    </w:rPr>
  </w:style>
  <w:style w:type="paragraph" w:customStyle="1" w:styleId="xhistoryblock">
    <w:name w:val="x_historyblock"/>
    <w:basedOn w:val="Normal"/>
    <w:rsid w:val="00435883"/>
    <w:pPr>
      <w:spacing w:before="480" w:after="100" w:afterAutospacing="1"/>
    </w:pPr>
    <w:rPr>
      <w:bCs w:val="0"/>
      <w:sz w:val="24"/>
    </w:rPr>
  </w:style>
  <w:style w:type="paragraph" w:customStyle="1" w:styleId="xmanufacturerblock">
    <w:name w:val="x_manufacturerblock"/>
    <w:basedOn w:val="Normal"/>
    <w:rsid w:val="00435883"/>
    <w:pPr>
      <w:spacing w:before="480" w:after="100" w:afterAutospacing="1"/>
    </w:pPr>
    <w:rPr>
      <w:bCs w:val="0"/>
      <w:sz w:val="24"/>
    </w:rPr>
  </w:style>
  <w:style w:type="paragraph" w:customStyle="1" w:styleId="xrulesblock">
    <w:name w:val="x_rulesblock"/>
    <w:basedOn w:val="Normal"/>
    <w:rsid w:val="00435883"/>
    <w:pPr>
      <w:spacing w:before="480" w:after="100" w:afterAutospacing="1"/>
    </w:pPr>
    <w:rPr>
      <w:bCs w:val="0"/>
      <w:sz w:val="24"/>
    </w:rPr>
  </w:style>
  <w:style w:type="paragraph" w:customStyle="1" w:styleId="xtimingblock">
    <w:name w:val="x_timingblock"/>
    <w:basedOn w:val="Normal"/>
    <w:rsid w:val="00435883"/>
    <w:pPr>
      <w:spacing w:before="480" w:after="100" w:afterAutospacing="1"/>
    </w:pPr>
    <w:rPr>
      <w:bCs w:val="0"/>
      <w:sz w:val="24"/>
    </w:rPr>
  </w:style>
  <w:style w:type="paragraph" w:customStyle="1" w:styleId="xuspqtopicline">
    <w:name w:val="x_uspqtopicline"/>
    <w:basedOn w:val="Normal"/>
    <w:rsid w:val="00435883"/>
    <w:pPr>
      <w:spacing w:before="480" w:after="100" w:afterAutospacing="1"/>
    </w:pPr>
    <w:rPr>
      <w:bCs w:val="0"/>
      <w:sz w:val="24"/>
    </w:rPr>
  </w:style>
  <w:style w:type="paragraph" w:customStyle="1" w:styleId="xvoteblock">
    <w:name w:val="x_voteblock"/>
    <w:basedOn w:val="Normal"/>
    <w:rsid w:val="00435883"/>
    <w:pPr>
      <w:spacing w:before="480" w:after="100" w:afterAutospacing="1"/>
    </w:pPr>
    <w:rPr>
      <w:bCs w:val="0"/>
      <w:sz w:val="24"/>
    </w:rPr>
  </w:style>
  <w:style w:type="paragraph" w:customStyle="1" w:styleId="xpetitionerargumentblock">
    <w:name w:val="x_petitionerargumentblock"/>
    <w:basedOn w:val="Normal"/>
    <w:rsid w:val="00435883"/>
    <w:pPr>
      <w:spacing w:before="720" w:after="100" w:afterAutospacing="1"/>
    </w:pPr>
    <w:rPr>
      <w:bCs w:val="0"/>
      <w:sz w:val="24"/>
    </w:rPr>
  </w:style>
  <w:style w:type="paragraph" w:customStyle="1" w:styleId="xrebuttalargumentblock">
    <w:name w:val="x_rebuttalargumentblock"/>
    <w:basedOn w:val="Normal"/>
    <w:rsid w:val="00435883"/>
    <w:pPr>
      <w:spacing w:before="720" w:after="100" w:afterAutospacing="1"/>
    </w:pPr>
    <w:rPr>
      <w:bCs w:val="0"/>
      <w:sz w:val="24"/>
    </w:rPr>
  </w:style>
  <w:style w:type="paragraph" w:customStyle="1" w:styleId="xrespondentargumentblock">
    <w:name w:val="x_respondentargumentblock"/>
    <w:basedOn w:val="Normal"/>
    <w:rsid w:val="00435883"/>
    <w:pPr>
      <w:spacing w:before="720" w:after="100" w:afterAutospacing="1"/>
    </w:pPr>
    <w:rPr>
      <w:bCs w:val="0"/>
      <w:sz w:val="24"/>
    </w:rPr>
  </w:style>
  <w:style w:type="paragraph" w:customStyle="1" w:styleId="coauthorblock">
    <w:name w:val="co_authorblock"/>
    <w:basedOn w:val="Normal"/>
    <w:rsid w:val="00435883"/>
    <w:pPr>
      <w:spacing w:before="240" w:after="240"/>
      <w:jc w:val="center"/>
    </w:pPr>
    <w:rPr>
      <w:bCs w:val="0"/>
      <w:sz w:val="24"/>
    </w:rPr>
  </w:style>
  <w:style w:type="paragraph" w:customStyle="1" w:styleId="coauthorbyline">
    <w:name w:val="co_authorbyline"/>
    <w:basedOn w:val="Normal"/>
    <w:rsid w:val="00435883"/>
    <w:pPr>
      <w:spacing w:before="240" w:after="240"/>
      <w:jc w:val="center"/>
    </w:pPr>
    <w:rPr>
      <w:bCs w:val="0"/>
      <w:sz w:val="24"/>
    </w:rPr>
  </w:style>
  <w:style w:type="paragraph" w:customStyle="1" w:styleId="coauthorline">
    <w:name w:val="co_authorline"/>
    <w:basedOn w:val="Normal"/>
    <w:rsid w:val="00435883"/>
    <w:pPr>
      <w:spacing w:before="240" w:after="240"/>
      <w:jc w:val="center"/>
    </w:pPr>
    <w:rPr>
      <w:bCs w:val="0"/>
      <w:sz w:val="24"/>
    </w:rPr>
  </w:style>
  <w:style w:type="paragraph" w:customStyle="1" w:styleId="cofrontmatter">
    <w:name w:val="co_frontmatter"/>
    <w:basedOn w:val="Normal"/>
    <w:rsid w:val="00435883"/>
    <w:pPr>
      <w:spacing w:before="100" w:beforeAutospacing="1" w:after="100" w:afterAutospacing="1"/>
      <w:jc w:val="center"/>
    </w:pPr>
    <w:rPr>
      <w:bCs w:val="0"/>
      <w:sz w:val="24"/>
    </w:rPr>
  </w:style>
  <w:style w:type="paragraph" w:customStyle="1" w:styleId="copropblock">
    <w:name w:val="co_propblock"/>
    <w:basedOn w:val="Normal"/>
    <w:rsid w:val="00435883"/>
    <w:pPr>
      <w:spacing w:before="240" w:after="240"/>
      <w:jc w:val="center"/>
    </w:pPr>
    <w:rPr>
      <w:bCs w:val="0"/>
      <w:sz w:val="24"/>
    </w:rPr>
  </w:style>
  <w:style w:type="paragraph" w:customStyle="1" w:styleId="cosource">
    <w:name w:val="co_source"/>
    <w:basedOn w:val="Normal"/>
    <w:rsid w:val="00435883"/>
    <w:pPr>
      <w:spacing w:before="100" w:beforeAutospacing="1" w:after="100" w:afterAutospacing="1"/>
      <w:jc w:val="center"/>
    </w:pPr>
    <w:rPr>
      <w:bCs w:val="0"/>
      <w:sz w:val="24"/>
    </w:rPr>
  </w:style>
  <w:style w:type="paragraph" w:customStyle="1" w:styleId="xbeit">
    <w:name w:val="x_beit"/>
    <w:basedOn w:val="Normal"/>
    <w:rsid w:val="00435883"/>
    <w:pPr>
      <w:spacing w:before="100" w:beforeAutospacing="1" w:after="100" w:afterAutospacing="1"/>
      <w:jc w:val="center"/>
    </w:pPr>
    <w:rPr>
      <w:bCs w:val="0"/>
      <w:sz w:val="24"/>
    </w:rPr>
  </w:style>
  <w:style w:type="paragraph" w:customStyle="1" w:styleId="xdocumentcategory">
    <w:name w:val="x_documentcategory"/>
    <w:basedOn w:val="Normal"/>
    <w:rsid w:val="00435883"/>
    <w:pPr>
      <w:spacing w:before="100" w:beforeAutospacing="1" w:after="100" w:afterAutospacing="1"/>
      <w:jc w:val="center"/>
    </w:pPr>
    <w:rPr>
      <w:bCs w:val="0"/>
      <w:sz w:val="24"/>
    </w:rPr>
  </w:style>
  <w:style w:type="paragraph" w:customStyle="1" w:styleId="xdocumenttype">
    <w:name w:val="x_documenttype"/>
    <w:basedOn w:val="Normal"/>
    <w:rsid w:val="00435883"/>
    <w:pPr>
      <w:spacing w:before="100" w:beforeAutospacing="1" w:after="100" w:afterAutospacing="1"/>
      <w:jc w:val="center"/>
    </w:pPr>
    <w:rPr>
      <w:bCs w:val="0"/>
      <w:sz w:val="24"/>
    </w:rPr>
  </w:style>
  <w:style w:type="paragraph" w:customStyle="1" w:styleId="xhcb1">
    <w:name w:val="x_hcb1"/>
    <w:basedOn w:val="Normal"/>
    <w:rsid w:val="00435883"/>
    <w:pPr>
      <w:spacing w:before="100" w:beforeAutospacing="1" w:after="100" w:afterAutospacing="1"/>
      <w:jc w:val="center"/>
    </w:pPr>
    <w:rPr>
      <w:bCs w:val="0"/>
      <w:sz w:val="24"/>
    </w:rPr>
  </w:style>
  <w:style w:type="paragraph" w:customStyle="1" w:styleId="xhcb2">
    <w:name w:val="x_hcb2"/>
    <w:basedOn w:val="Normal"/>
    <w:rsid w:val="00435883"/>
    <w:pPr>
      <w:spacing w:before="100" w:beforeAutospacing="1" w:after="100" w:afterAutospacing="1"/>
      <w:jc w:val="center"/>
    </w:pPr>
    <w:rPr>
      <w:bCs w:val="0"/>
      <w:sz w:val="24"/>
    </w:rPr>
  </w:style>
  <w:style w:type="paragraph" w:customStyle="1" w:styleId="xhcb3">
    <w:name w:val="x_hcb3"/>
    <w:basedOn w:val="Normal"/>
    <w:rsid w:val="00435883"/>
    <w:pPr>
      <w:spacing w:before="100" w:beforeAutospacing="1" w:after="100" w:afterAutospacing="1"/>
      <w:jc w:val="center"/>
    </w:pPr>
    <w:rPr>
      <w:bCs w:val="0"/>
      <w:sz w:val="24"/>
    </w:rPr>
  </w:style>
  <w:style w:type="paragraph" w:customStyle="1" w:styleId="xhcb4">
    <w:name w:val="x_hcb4"/>
    <w:basedOn w:val="Normal"/>
    <w:rsid w:val="00435883"/>
    <w:pPr>
      <w:spacing w:before="100" w:beforeAutospacing="1" w:after="100" w:afterAutospacing="1"/>
      <w:jc w:val="center"/>
    </w:pPr>
    <w:rPr>
      <w:bCs w:val="0"/>
      <w:sz w:val="24"/>
    </w:rPr>
  </w:style>
  <w:style w:type="paragraph" w:customStyle="1" w:styleId="xjournalblock">
    <w:name w:val="x_journalblock"/>
    <w:basedOn w:val="Normal"/>
    <w:rsid w:val="00435883"/>
    <w:pPr>
      <w:spacing w:before="100" w:beforeAutospacing="1" w:after="100" w:afterAutospacing="1"/>
      <w:jc w:val="center"/>
    </w:pPr>
    <w:rPr>
      <w:bCs w:val="0"/>
      <w:sz w:val="24"/>
    </w:rPr>
  </w:style>
  <w:style w:type="paragraph" w:customStyle="1" w:styleId="xjuris">
    <w:name w:val="x_juris"/>
    <w:basedOn w:val="Normal"/>
    <w:rsid w:val="00435883"/>
    <w:pPr>
      <w:spacing w:before="100" w:beforeAutospacing="1" w:after="100" w:afterAutospacing="1"/>
      <w:jc w:val="center"/>
    </w:pPr>
    <w:rPr>
      <w:bCs w:val="0"/>
      <w:sz w:val="24"/>
    </w:rPr>
  </w:style>
  <w:style w:type="paragraph" w:customStyle="1" w:styleId="xupdatetarget">
    <w:name w:val="x_updatetarget"/>
    <w:basedOn w:val="Normal"/>
    <w:rsid w:val="00435883"/>
    <w:pPr>
      <w:spacing w:before="100" w:beforeAutospacing="1" w:after="100" w:afterAutospacing="1"/>
      <w:jc w:val="center"/>
    </w:pPr>
    <w:rPr>
      <w:bCs w:val="0"/>
      <w:sz w:val="24"/>
    </w:rPr>
  </w:style>
  <w:style w:type="paragraph" w:customStyle="1" w:styleId="xactiveblock">
    <w:name w:val="x_activeblock"/>
    <w:basedOn w:val="Normal"/>
    <w:rsid w:val="00435883"/>
    <w:pPr>
      <w:spacing w:before="100" w:beforeAutospacing="1" w:after="100" w:afterAutospacing="1"/>
    </w:pPr>
    <w:rPr>
      <w:b/>
      <w:sz w:val="24"/>
    </w:rPr>
  </w:style>
  <w:style w:type="paragraph" w:customStyle="1" w:styleId="xagency">
    <w:name w:val="x_agency"/>
    <w:basedOn w:val="Normal"/>
    <w:rsid w:val="00435883"/>
    <w:pPr>
      <w:spacing w:before="100" w:beforeAutospacing="1" w:after="100" w:afterAutospacing="1"/>
    </w:pPr>
    <w:rPr>
      <w:b/>
      <w:sz w:val="24"/>
    </w:rPr>
  </w:style>
  <w:style w:type="paragraph" w:customStyle="1" w:styleId="xchangeddateblock">
    <w:name w:val="x_changeddateblock"/>
    <w:basedOn w:val="Normal"/>
    <w:rsid w:val="00435883"/>
    <w:pPr>
      <w:spacing w:before="100" w:beforeAutospacing="1" w:after="100" w:afterAutospacing="1"/>
    </w:pPr>
    <w:rPr>
      <w:b/>
      <w:sz w:val="24"/>
    </w:rPr>
  </w:style>
  <w:style w:type="paragraph" w:customStyle="1" w:styleId="xcompanyname">
    <w:name w:val="x_companyname"/>
    <w:basedOn w:val="Normal"/>
    <w:rsid w:val="00435883"/>
    <w:pPr>
      <w:spacing w:before="100" w:beforeAutospacing="1" w:after="100" w:afterAutospacing="1"/>
    </w:pPr>
    <w:rPr>
      <w:b/>
      <w:sz w:val="24"/>
    </w:rPr>
  </w:style>
  <w:style w:type="paragraph" w:customStyle="1" w:styleId="xdeaclassblock">
    <w:name w:val="x_deaclassblock"/>
    <w:basedOn w:val="Normal"/>
    <w:rsid w:val="00435883"/>
    <w:pPr>
      <w:spacing w:before="100" w:beforeAutospacing="1" w:after="100" w:afterAutospacing="1"/>
    </w:pPr>
    <w:rPr>
      <w:b/>
      <w:sz w:val="24"/>
    </w:rPr>
  </w:style>
  <w:style w:type="paragraph" w:customStyle="1" w:styleId="xdeactivationdateblock">
    <w:name w:val="x_deactivationdateblock"/>
    <w:basedOn w:val="Normal"/>
    <w:rsid w:val="00435883"/>
    <w:pPr>
      <w:spacing w:before="100" w:beforeAutospacing="1" w:after="100" w:afterAutospacing="1"/>
    </w:pPr>
    <w:rPr>
      <w:b/>
      <w:sz w:val="24"/>
    </w:rPr>
  </w:style>
  <w:style w:type="paragraph" w:customStyle="1" w:styleId="xgccblock">
    <w:name w:val="x_gccblock"/>
    <w:basedOn w:val="Normal"/>
    <w:rsid w:val="00435883"/>
    <w:pPr>
      <w:spacing w:before="100" w:beforeAutospacing="1" w:after="100" w:afterAutospacing="1"/>
    </w:pPr>
    <w:rPr>
      <w:b/>
      <w:sz w:val="24"/>
    </w:rPr>
  </w:style>
  <w:style w:type="paragraph" w:customStyle="1" w:styleId="xgenericnameblock">
    <w:name w:val="x_genericnameblock"/>
    <w:basedOn w:val="Normal"/>
    <w:rsid w:val="00435883"/>
    <w:pPr>
      <w:spacing w:before="100" w:beforeAutospacing="1" w:after="100" w:afterAutospacing="1"/>
    </w:pPr>
    <w:rPr>
      <w:b/>
      <w:sz w:val="24"/>
    </w:rPr>
  </w:style>
  <w:style w:type="paragraph" w:customStyle="1" w:styleId="xgfcblock">
    <w:name w:val="x_gfcblock"/>
    <w:basedOn w:val="Normal"/>
    <w:rsid w:val="00435883"/>
    <w:pPr>
      <w:spacing w:before="100" w:beforeAutospacing="1" w:after="100" w:afterAutospacing="1"/>
    </w:pPr>
    <w:rPr>
      <w:b/>
      <w:sz w:val="24"/>
    </w:rPr>
  </w:style>
  <w:style w:type="paragraph" w:customStyle="1" w:styleId="xmaintdrugstatusblock">
    <w:name w:val="x_maintdrugstatusblock"/>
    <w:basedOn w:val="Normal"/>
    <w:rsid w:val="00435883"/>
    <w:pPr>
      <w:spacing w:before="100" w:beforeAutospacing="1" w:after="100" w:afterAutospacing="1"/>
    </w:pPr>
    <w:rPr>
      <w:b/>
      <w:sz w:val="24"/>
    </w:rPr>
  </w:style>
  <w:style w:type="paragraph" w:customStyle="1" w:styleId="xphonenumblock">
    <w:name w:val="x_phonenumblock"/>
    <w:basedOn w:val="Normal"/>
    <w:rsid w:val="00435883"/>
    <w:pPr>
      <w:spacing w:before="100" w:beforeAutospacing="1" w:after="100" w:afterAutospacing="1"/>
    </w:pPr>
    <w:rPr>
      <w:b/>
      <w:sz w:val="24"/>
    </w:rPr>
  </w:style>
  <w:style w:type="paragraph" w:customStyle="1" w:styleId="xprodspecsblock">
    <w:name w:val="x_prodspecsblock"/>
    <w:basedOn w:val="Normal"/>
    <w:rsid w:val="00435883"/>
    <w:pPr>
      <w:spacing w:before="100" w:beforeAutospacing="1" w:after="100" w:afterAutospacing="1"/>
    </w:pPr>
    <w:rPr>
      <w:b/>
      <w:sz w:val="24"/>
    </w:rPr>
  </w:style>
  <w:style w:type="paragraph" w:customStyle="1" w:styleId="xsinglesource">
    <w:name w:val="x_singlesource"/>
    <w:basedOn w:val="Normal"/>
    <w:rsid w:val="00435883"/>
    <w:pPr>
      <w:spacing w:before="100" w:beforeAutospacing="1" w:after="100" w:afterAutospacing="1"/>
    </w:pPr>
    <w:rPr>
      <w:b/>
      <w:sz w:val="24"/>
    </w:rPr>
  </w:style>
  <w:style w:type="paragraph" w:customStyle="1" w:styleId="xsupplementalinfoblock">
    <w:name w:val="x_supplementalinfoblock"/>
    <w:basedOn w:val="Normal"/>
    <w:rsid w:val="00435883"/>
    <w:pPr>
      <w:spacing w:before="100" w:beforeAutospacing="1" w:after="100" w:afterAutospacing="1"/>
    </w:pPr>
    <w:rPr>
      <w:b/>
      <w:sz w:val="24"/>
    </w:rPr>
  </w:style>
  <w:style w:type="paragraph" w:customStyle="1" w:styleId="xtccblock">
    <w:name w:val="x_tccblock"/>
    <w:basedOn w:val="Normal"/>
    <w:rsid w:val="00435883"/>
    <w:pPr>
      <w:spacing w:before="100" w:beforeAutospacing="1" w:after="100" w:afterAutospacing="1"/>
    </w:pPr>
    <w:rPr>
      <w:b/>
      <w:sz w:val="24"/>
    </w:rPr>
  </w:style>
  <w:style w:type="paragraph" w:customStyle="1" w:styleId="cocodespara">
    <w:name w:val="co_codespara"/>
    <w:basedOn w:val="Normal"/>
    <w:rsid w:val="00435883"/>
    <w:pPr>
      <w:spacing w:before="100" w:beforeAutospacing="1" w:after="100" w:afterAutospacing="1"/>
      <w:ind w:left="240"/>
    </w:pPr>
    <w:rPr>
      <w:bCs w:val="0"/>
      <w:sz w:val="24"/>
    </w:rPr>
  </w:style>
  <w:style w:type="paragraph" w:customStyle="1" w:styleId="coprelimhead">
    <w:name w:val="co_prelimhead"/>
    <w:basedOn w:val="Normal"/>
    <w:rsid w:val="00435883"/>
    <w:pPr>
      <w:spacing w:before="100" w:beforeAutospacing="1" w:after="100" w:afterAutospacing="1"/>
      <w:ind w:left="240"/>
    </w:pPr>
    <w:rPr>
      <w:bCs w:val="0"/>
      <w:sz w:val="24"/>
    </w:rPr>
  </w:style>
  <w:style w:type="paragraph" w:customStyle="1" w:styleId="coappendix">
    <w:name w:val="co_appendix"/>
    <w:basedOn w:val="Normal"/>
    <w:rsid w:val="00435883"/>
    <w:pPr>
      <w:spacing w:before="240"/>
    </w:pPr>
    <w:rPr>
      <w:bCs w:val="0"/>
      <w:sz w:val="24"/>
    </w:rPr>
  </w:style>
  <w:style w:type="paragraph" w:customStyle="1" w:styleId="cosynopsis">
    <w:name w:val="co_synopsis"/>
    <w:basedOn w:val="Normal"/>
    <w:rsid w:val="00435883"/>
    <w:pPr>
      <w:spacing w:before="240"/>
    </w:pPr>
    <w:rPr>
      <w:bCs w:val="0"/>
      <w:sz w:val="24"/>
    </w:rPr>
  </w:style>
  <w:style w:type="paragraph" w:customStyle="1" w:styleId="cosourceline">
    <w:name w:val="co_sourceline"/>
    <w:basedOn w:val="Normal"/>
    <w:rsid w:val="00435883"/>
    <w:pPr>
      <w:spacing w:before="100" w:beforeAutospacing="1" w:after="100" w:afterAutospacing="1"/>
    </w:pPr>
    <w:rPr>
      <w:bCs w:val="0"/>
      <w:sz w:val="24"/>
    </w:rPr>
  </w:style>
  <w:style w:type="paragraph" w:customStyle="1" w:styleId="cosynopsisholding">
    <w:name w:val="co_synopsisholding"/>
    <w:basedOn w:val="Normal"/>
    <w:rsid w:val="00435883"/>
    <w:pPr>
      <w:spacing w:before="480" w:after="240"/>
    </w:pPr>
    <w:rPr>
      <w:bCs w:val="0"/>
      <w:sz w:val="24"/>
    </w:rPr>
  </w:style>
  <w:style w:type="paragraph" w:customStyle="1" w:styleId="xhcb">
    <w:name w:val="x_hcb"/>
    <w:basedOn w:val="Normal"/>
    <w:rsid w:val="00435883"/>
    <w:pPr>
      <w:spacing w:before="240" w:after="240" w:line="360" w:lineRule="atLeast"/>
      <w:jc w:val="center"/>
    </w:pPr>
    <w:rPr>
      <w:rFonts w:ascii="Georgia" w:hAnsi="Georgia"/>
      <w:bCs w:val="0"/>
      <w:color w:val="252525"/>
      <w:sz w:val="29"/>
      <w:szCs w:val="29"/>
    </w:rPr>
  </w:style>
  <w:style w:type="paragraph" w:customStyle="1" w:styleId="codocketblock">
    <w:name w:val="co_docketblock"/>
    <w:basedOn w:val="Normal"/>
    <w:rsid w:val="00435883"/>
    <w:pPr>
      <w:spacing w:before="100" w:beforeAutospacing="1" w:after="100" w:afterAutospacing="1"/>
    </w:pPr>
    <w:rPr>
      <w:bCs w:val="0"/>
      <w:sz w:val="24"/>
    </w:rPr>
  </w:style>
  <w:style w:type="paragraph" w:customStyle="1" w:styleId="codocumentheadblock">
    <w:name w:val="co_documentheadblock"/>
    <w:basedOn w:val="Normal"/>
    <w:rsid w:val="00435883"/>
    <w:pPr>
      <w:spacing w:before="480" w:after="480"/>
      <w:jc w:val="center"/>
    </w:pPr>
    <w:rPr>
      <w:b/>
      <w:sz w:val="24"/>
    </w:rPr>
  </w:style>
  <w:style w:type="paragraph" w:customStyle="1" w:styleId="cosectionfront">
    <w:name w:val="co_sectionfront"/>
    <w:basedOn w:val="Normal"/>
    <w:rsid w:val="00435883"/>
    <w:pPr>
      <w:spacing w:before="100" w:beforeAutospacing="1" w:after="240"/>
    </w:pPr>
    <w:rPr>
      <w:b/>
      <w:sz w:val="24"/>
    </w:rPr>
  </w:style>
  <w:style w:type="paragraph" w:customStyle="1" w:styleId="xleadauthorline">
    <w:name w:val="x_leadauthorline"/>
    <w:basedOn w:val="Normal"/>
    <w:rsid w:val="00435883"/>
    <w:pPr>
      <w:spacing w:before="240" w:after="240"/>
    </w:pPr>
    <w:rPr>
      <w:bCs w:val="0"/>
      <w:sz w:val="24"/>
    </w:rPr>
  </w:style>
  <w:style w:type="paragraph" w:customStyle="1" w:styleId="xorderdateblock">
    <w:name w:val="x_orderdateblock"/>
    <w:basedOn w:val="Normal"/>
    <w:rsid w:val="00435883"/>
    <w:pPr>
      <w:spacing w:before="240" w:after="100" w:afterAutospacing="1"/>
      <w:jc w:val="center"/>
    </w:pPr>
    <w:rPr>
      <w:bCs w:val="0"/>
      <w:sz w:val="24"/>
    </w:rPr>
  </w:style>
  <w:style w:type="paragraph" w:customStyle="1" w:styleId="xgradehead">
    <w:name w:val="x_gradehead"/>
    <w:basedOn w:val="Normal"/>
    <w:rsid w:val="00435883"/>
    <w:pPr>
      <w:spacing w:before="240" w:after="240"/>
      <w:jc w:val="center"/>
    </w:pPr>
    <w:rPr>
      <w:bCs w:val="0"/>
      <w:sz w:val="24"/>
    </w:rPr>
  </w:style>
  <w:style w:type="paragraph" w:customStyle="1" w:styleId="xgradeheadcont">
    <w:name w:val="x_gradeheadcont"/>
    <w:basedOn w:val="Normal"/>
    <w:rsid w:val="00435883"/>
    <w:pPr>
      <w:spacing w:before="240" w:after="240"/>
      <w:jc w:val="center"/>
    </w:pPr>
    <w:rPr>
      <w:bCs w:val="0"/>
      <w:sz w:val="24"/>
    </w:rPr>
  </w:style>
  <w:style w:type="paragraph" w:customStyle="1" w:styleId="xindexentry">
    <w:name w:val="x_indexentry"/>
    <w:basedOn w:val="Normal"/>
    <w:rsid w:val="00435883"/>
    <w:pPr>
      <w:spacing w:before="100" w:beforeAutospacing="1" w:after="100" w:afterAutospacing="1"/>
    </w:pPr>
    <w:rPr>
      <w:bCs w:val="0"/>
      <w:sz w:val="24"/>
    </w:rPr>
  </w:style>
  <w:style w:type="paragraph" w:customStyle="1" w:styleId="cocongmathead">
    <w:name w:val="co_congmathead"/>
    <w:basedOn w:val="Normal"/>
    <w:rsid w:val="00435883"/>
    <w:pPr>
      <w:spacing w:before="240" w:after="100" w:afterAutospacing="1"/>
    </w:pPr>
    <w:rPr>
      <w:b/>
      <w:sz w:val="24"/>
    </w:rPr>
  </w:style>
  <w:style w:type="paragraph" w:customStyle="1" w:styleId="codocumenthead">
    <w:name w:val="co_documenthead"/>
    <w:basedOn w:val="Normal"/>
    <w:rsid w:val="00435883"/>
    <w:pPr>
      <w:spacing w:before="100" w:beforeAutospacing="1" w:after="100" w:afterAutospacing="1"/>
    </w:pPr>
    <w:rPr>
      <w:rFonts w:ascii="Georgia" w:hAnsi="Georgia"/>
      <w:bCs w:val="0"/>
      <w:sz w:val="24"/>
    </w:rPr>
  </w:style>
  <w:style w:type="paragraph" w:customStyle="1" w:styleId="coleadertablefullwidth">
    <w:name w:val="co_leadertablefullwidth"/>
    <w:basedOn w:val="Normal"/>
    <w:rsid w:val="00435883"/>
    <w:pPr>
      <w:spacing w:before="100" w:beforeAutospacing="1" w:after="100" w:afterAutospacing="1"/>
    </w:pPr>
    <w:rPr>
      <w:bCs w:val="0"/>
      <w:sz w:val="24"/>
    </w:rPr>
  </w:style>
  <w:style w:type="paragraph" w:customStyle="1" w:styleId="xtabletitle">
    <w:name w:val="x_tabletitle"/>
    <w:basedOn w:val="Normal"/>
    <w:rsid w:val="00435883"/>
    <w:pPr>
      <w:spacing w:before="480" w:after="100" w:afterAutospacing="1"/>
    </w:pPr>
    <w:rPr>
      <w:bCs w:val="0"/>
      <w:sz w:val="24"/>
    </w:rPr>
  </w:style>
  <w:style w:type="paragraph" w:customStyle="1" w:styleId="cotoctree">
    <w:name w:val="co_toc_tree"/>
    <w:basedOn w:val="Normal"/>
    <w:rsid w:val="00435883"/>
    <w:pPr>
      <w:spacing w:line="270" w:lineRule="atLeast"/>
    </w:pPr>
    <w:rPr>
      <w:bCs w:val="0"/>
      <w:sz w:val="24"/>
    </w:rPr>
  </w:style>
  <w:style w:type="paragraph" w:customStyle="1" w:styleId="cotocheading">
    <w:name w:val="co_tocheading"/>
    <w:basedOn w:val="Normal"/>
    <w:rsid w:val="00435883"/>
    <w:pPr>
      <w:spacing w:before="240" w:after="100" w:afterAutospacing="1"/>
    </w:pPr>
    <w:rPr>
      <w:bCs w:val="0"/>
      <w:sz w:val="24"/>
    </w:rPr>
  </w:style>
  <w:style w:type="paragraph" w:customStyle="1" w:styleId="coleadersignature">
    <w:name w:val="co_leadersignature"/>
    <w:basedOn w:val="Normal"/>
    <w:rsid w:val="00435883"/>
    <w:pPr>
      <w:spacing w:before="100" w:beforeAutospacing="1" w:after="100" w:afterAutospacing="1"/>
    </w:pPr>
    <w:rPr>
      <w:bCs w:val="0"/>
      <w:sz w:val="24"/>
    </w:rPr>
  </w:style>
  <w:style w:type="paragraph" w:customStyle="1" w:styleId="coleadercomma">
    <w:name w:val="co_leadercomma"/>
    <w:basedOn w:val="Normal"/>
    <w:rsid w:val="00435883"/>
    <w:pPr>
      <w:spacing w:before="100" w:beforeAutospacing="1" w:after="100" w:afterAutospacing="1"/>
      <w:jc w:val="right"/>
    </w:pPr>
    <w:rPr>
      <w:bCs w:val="0"/>
      <w:sz w:val="24"/>
    </w:rPr>
  </w:style>
  <w:style w:type="paragraph" w:customStyle="1" w:styleId="coleaderwrapper">
    <w:name w:val="co_leaderwrapper"/>
    <w:basedOn w:val="Normal"/>
    <w:rsid w:val="00435883"/>
    <w:pPr>
      <w:shd w:val="clear" w:color="auto" w:fill="FFFFFF"/>
      <w:spacing w:before="100" w:beforeAutospacing="1" w:after="100" w:afterAutospacing="1"/>
    </w:pPr>
    <w:rPr>
      <w:bCs w:val="0"/>
      <w:sz w:val="24"/>
    </w:rPr>
  </w:style>
  <w:style w:type="paragraph" w:customStyle="1" w:styleId="cofootnotesectiontitle">
    <w:name w:val="co_footnotesectiontitle"/>
    <w:basedOn w:val="Normal"/>
    <w:rsid w:val="00435883"/>
    <w:pPr>
      <w:spacing w:before="100" w:beforeAutospacing="1" w:after="100" w:afterAutospacing="1"/>
    </w:pPr>
    <w:rPr>
      <w:b/>
      <w:sz w:val="27"/>
      <w:szCs w:val="27"/>
    </w:rPr>
  </w:style>
  <w:style w:type="paragraph" w:customStyle="1" w:styleId="cofootnote">
    <w:name w:val="co_footnote"/>
    <w:basedOn w:val="Normal"/>
    <w:rsid w:val="00435883"/>
    <w:pPr>
      <w:spacing w:before="100" w:beforeAutospacing="1" w:after="100" w:afterAutospacing="1"/>
    </w:pPr>
    <w:rPr>
      <w:bCs w:val="0"/>
      <w:sz w:val="24"/>
    </w:rPr>
  </w:style>
  <w:style w:type="paragraph" w:customStyle="1" w:styleId="cofootnotehoverdiv">
    <w:name w:val="co_footnotehoverdiv"/>
    <w:basedOn w:val="Normal"/>
    <w:rsid w:val="00435883"/>
    <w:pPr>
      <w:spacing w:before="100" w:beforeAutospacing="1" w:after="100" w:afterAutospacing="1"/>
    </w:pPr>
    <w:rPr>
      <w:bCs w:val="0"/>
      <w:sz w:val="24"/>
    </w:rPr>
  </w:style>
  <w:style w:type="paragraph" w:customStyle="1" w:styleId="cofootnotehovertitle">
    <w:name w:val="co_footnotehovertitle"/>
    <w:basedOn w:val="Normal"/>
    <w:rsid w:val="00435883"/>
    <w:pPr>
      <w:spacing w:before="100" w:beforeAutospacing="1" w:after="100" w:afterAutospacing="1"/>
    </w:pPr>
    <w:rPr>
      <w:bCs w:val="0"/>
      <w:sz w:val="24"/>
    </w:rPr>
  </w:style>
  <w:style w:type="paragraph" w:customStyle="1" w:styleId="cofootnotehoverbody">
    <w:name w:val="co_footnotehoverbody"/>
    <w:basedOn w:val="Normal"/>
    <w:rsid w:val="00435883"/>
    <w:pPr>
      <w:pBdr>
        <w:top w:val="single" w:sz="6" w:space="5" w:color="D6D6D6"/>
      </w:pBdr>
      <w:spacing w:before="100" w:beforeAutospacing="1" w:after="100" w:afterAutospacing="1"/>
    </w:pPr>
    <w:rPr>
      <w:bCs w:val="0"/>
      <w:color w:val="777777"/>
      <w:sz w:val="24"/>
    </w:rPr>
  </w:style>
  <w:style w:type="paragraph" w:customStyle="1" w:styleId="cofootnotehovercontent">
    <w:name w:val="co_footnotehovercontent"/>
    <w:basedOn w:val="Normal"/>
    <w:rsid w:val="00435883"/>
    <w:pPr>
      <w:spacing w:before="100" w:beforeAutospacing="1" w:after="100" w:afterAutospacing="1" w:line="360" w:lineRule="atLeast"/>
    </w:pPr>
    <w:rPr>
      <w:bCs w:val="0"/>
      <w:color w:val="252525"/>
      <w:sz w:val="19"/>
      <w:szCs w:val="19"/>
    </w:rPr>
  </w:style>
  <w:style w:type="paragraph" w:customStyle="1" w:styleId="cofootnotehoverfooter">
    <w:name w:val="co_footnotehoverfooter"/>
    <w:basedOn w:val="Normal"/>
    <w:rsid w:val="00435883"/>
    <w:pPr>
      <w:spacing w:before="100" w:beforeAutospacing="1" w:after="100" w:afterAutospacing="1"/>
    </w:pPr>
    <w:rPr>
      <w:bCs w:val="0"/>
      <w:sz w:val="24"/>
    </w:rPr>
  </w:style>
  <w:style w:type="paragraph" w:customStyle="1" w:styleId="cofootnotehoverdivhidden">
    <w:name w:val="co_footnotehoverdivhidden"/>
    <w:basedOn w:val="Normal"/>
    <w:rsid w:val="00435883"/>
    <w:pPr>
      <w:spacing w:before="100" w:beforeAutospacing="1" w:after="100" w:afterAutospacing="1"/>
    </w:pPr>
    <w:rPr>
      <w:bCs w:val="0"/>
      <w:vanish/>
      <w:sz w:val="24"/>
    </w:rPr>
  </w:style>
  <w:style w:type="paragraph" w:customStyle="1" w:styleId="conyscopecopyright">
    <w:name w:val="co_nyscopecopyright"/>
    <w:basedOn w:val="Normal"/>
    <w:rsid w:val="00435883"/>
    <w:pPr>
      <w:spacing w:before="100" w:beforeAutospacing="1" w:after="100" w:afterAutospacing="1"/>
      <w:jc w:val="right"/>
    </w:pPr>
    <w:rPr>
      <w:bCs w:val="0"/>
      <w:szCs w:val="20"/>
    </w:rPr>
  </w:style>
  <w:style w:type="paragraph" w:customStyle="1" w:styleId="coadditionalcontent">
    <w:name w:val="co_additionalcontent"/>
    <w:basedOn w:val="Normal"/>
    <w:rsid w:val="00435883"/>
    <w:pPr>
      <w:spacing w:before="100" w:beforeAutospacing="1" w:after="100" w:afterAutospacing="1"/>
    </w:pPr>
    <w:rPr>
      <w:b/>
      <w:color w:val="777777"/>
      <w:sz w:val="24"/>
    </w:rPr>
  </w:style>
  <w:style w:type="paragraph" w:customStyle="1" w:styleId="sazanamimincho">
    <w:name w:val="sazanamimincho"/>
    <w:basedOn w:val="Normal"/>
    <w:rsid w:val="00435883"/>
    <w:pPr>
      <w:spacing w:before="100" w:beforeAutospacing="1" w:after="100" w:afterAutospacing="1"/>
    </w:pPr>
    <w:rPr>
      <w:bCs w:val="0"/>
      <w:sz w:val="24"/>
    </w:rPr>
  </w:style>
  <w:style w:type="paragraph" w:customStyle="1" w:styleId="cosnippetwrapper">
    <w:name w:val="co_snippet_wrapper"/>
    <w:basedOn w:val="Normal"/>
    <w:rsid w:val="00435883"/>
    <w:pPr>
      <w:spacing w:before="100" w:beforeAutospacing="1" w:after="100" w:afterAutospacing="1"/>
      <w:ind w:left="-45"/>
    </w:pPr>
    <w:rPr>
      <w:bCs w:val="0"/>
      <w:sz w:val="24"/>
    </w:rPr>
  </w:style>
  <w:style w:type="paragraph" w:customStyle="1" w:styleId="coattorneyblocklabel">
    <w:name w:val="co_attorneyblocklabel"/>
    <w:basedOn w:val="Normal"/>
    <w:rsid w:val="00435883"/>
    <w:pPr>
      <w:spacing w:before="100" w:beforeAutospacing="1" w:after="240"/>
    </w:pPr>
    <w:rPr>
      <w:bCs w:val="0"/>
      <w:sz w:val="24"/>
    </w:rPr>
  </w:style>
  <w:style w:type="paragraph" w:customStyle="1" w:styleId="coreferencetable">
    <w:name w:val="co_referencetable"/>
    <w:basedOn w:val="Normal"/>
    <w:rsid w:val="00435883"/>
    <w:pPr>
      <w:pBdr>
        <w:left w:val="single" w:sz="6" w:space="0" w:color="D6D6D6"/>
        <w:bottom w:val="single" w:sz="6" w:space="0" w:color="D6D6D6"/>
      </w:pBdr>
      <w:spacing w:before="360" w:after="360"/>
    </w:pPr>
    <w:rPr>
      <w:bCs w:val="0"/>
      <w:sz w:val="24"/>
    </w:rPr>
  </w:style>
  <w:style w:type="paragraph" w:customStyle="1" w:styleId="cocr">
    <w:name w:val="co_cr"/>
    <w:basedOn w:val="Normal"/>
    <w:rsid w:val="00435883"/>
    <w:pPr>
      <w:spacing w:before="100" w:beforeAutospacing="1" w:after="100" w:afterAutospacing="1"/>
      <w:jc w:val="center"/>
    </w:pPr>
    <w:rPr>
      <w:rFonts w:ascii="Georgia" w:hAnsi="Georgia"/>
      <w:bCs w:val="0"/>
      <w:sz w:val="24"/>
    </w:rPr>
  </w:style>
  <w:style w:type="paragraph" w:customStyle="1" w:styleId="codialogueitemspeaker">
    <w:name w:val="co_dialogueitemspeaker"/>
    <w:basedOn w:val="Normal"/>
    <w:rsid w:val="00435883"/>
    <w:pPr>
      <w:spacing w:before="100" w:beforeAutospacing="1" w:after="100" w:afterAutospacing="1"/>
    </w:pPr>
    <w:rPr>
      <w:b/>
      <w:sz w:val="24"/>
    </w:rPr>
  </w:style>
  <w:style w:type="paragraph" w:customStyle="1" w:styleId="codialogueitemtext">
    <w:name w:val="co_dialogueitemtext"/>
    <w:basedOn w:val="Normal"/>
    <w:rsid w:val="00435883"/>
    <w:pPr>
      <w:spacing w:before="100" w:beforeAutospacing="1" w:after="100" w:afterAutospacing="1"/>
    </w:pPr>
    <w:rPr>
      <w:bCs w:val="0"/>
      <w:sz w:val="24"/>
    </w:rPr>
  </w:style>
  <w:style w:type="paragraph" w:customStyle="1" w:styleId="cotopicline">
    <w:name w:val="co_topicline"/>
    <w:basedOn w:val="Normal"/>
    <w:rsid w:val="00435883"/>
    <w:pPr>
      <w:spacing w:before="480" w:after="100" w:afterAutospacing="1"/>
    </w:pPr>
    <w:rPr>
      <w:bCs w:val="0"/>
      <w:sz w:val="24"/>
    </w:rPr>
  </w:style>
  <w:style w:type="paragraph" w:customStyle="1" w:styleId="coalmpublishing">
    <w:name w:val="co_almpublishing"/>
    <w:basedOn w:val="Normal"/>
    <w:rsid w:val="00435883"/>
    <w:pPr>
      <w:spacing w:before="100" w:beforeAutospacing="1" w:after="100" w:afterAutospacing="1"/>
      <w:jc w:val="right"/>
    </w:pPr>
    <w:rPr>
      <w:bCs w:val="0"/>
      <w:sz w:val="24"/>
    </w:rPr>
  </w:style>
  <w:style w:type="paragraph" w:customStyle="1" w:styleId="cobnaheaderimage">
    <w:name w:val="co_bnaheaderimage"/>
    <w:basedOn w:val="Normal"/>
    <w:rsid w:val="00435883"/>
    <w:pPr>
      <w:spacing w:before="100" w:beforeAutospacing="1" w:after="100" w:afterAutospacing="1"/>
      <w:jc w:val="right"/>
    </w:pPr>
    <w:rPr>
      <w:bCs w:val="0"/>
      <w:sz w:val="24"/>
    </w:rPr>
  </w:style>
  <w:style w:type="paragraph" w:customStyle="1" w:styleId="cocompumark">
    <w:name w:val="co_compumark"/>
    <w:basedOn w:val="Normal"/>
    <w:rsid w:val="00435883"/>
    <w:pPr>
      <w:spacing w:before="100" w:beforeAutospacing="1" w:after="100" w:afterAutospacing="1"/>
      <w:jc w:val="right"/>
    </w:pPr>
    <w:rPr>
      <w:bCs w:val="0"/>
      <w:sz w:val="24"/>
    </w:rPr>
  </w:style>
  <w:style w:type="paragraph" w:customStyle="1" w:styleId="coecriheaderimage">
    <w:name w:val="co_ecriheaderimage"/>
    <w:basedOn w:val="Normal"/>
    <w:rsid w:val="00435883"/>
    <w:pPr>
      <w:spacing w:before="100" w:beforeAutospacing="1" w:after="100" w:afterAutospacing="1"/>
      <w:jc w:val="right"/>
    </w:pPr>
    <w:rPr>
      <w:bCs w:val="0"/>
      <w:sz w:val="24"/>
    </w:rPr>
  </w:style>
  <w:style w:type="paragraph" w:customStyle="1" w:styleId="coellis">
    <w:name w:val="co_ellis"/>
    <w:basedOn w:val="Normal"/>
    <w:rsid w:val="00435883"/>
    <w:pPr>
      <w:spacing w:before="100" w:beforeAutospacing="1" w:after="100" w:afterAutospacing="1"/>
      <w:jc w:val="right"/>
    </w:pPr>
    <w:rPr>
      <w:bCs w:val="0"/>
      <w:sz w:val="24"/>
    </w:rPr>
  </w:style>
  <w:style w:type="paragraph" w:customStyle="1" w:styleId="conetscan">
    <w:name w:val="co_netscan"/>
    <w:basedOn w:val="Normal"/>
    <w:rsid w:val="00435883"/>
    <w:pPr>
      <w:spacing w:before="100" w:beforeAutospacing="1" w:after="100" w:afterAutospacing="1"/>
      <w:jc w:val="right"/>
    </w:pPr>
    <w:rPr>
      <w:bCs w:val="0"/>
      <w:sz w:val="24"/>
    </w:rPr>
  </w:style>
  <w:style w:type="paragraph" w:customStyle="1" w:styleId="conewsroom">
    <w:name w:val="co_newsroom"/>
    <w:basedOn w:val="Normal"/>
    <w:rsid w:val="00435883"/>
    <w:pPr>
      <w:spacing w:before="100" w:beforeAutospacing="1" w:after="100" w:afterAutospacing="1"/>
      <w:jc w:val="right"/>
    </w:pPr>
    <w:rPr>
      <w:bCs w:val="0"/>
      <w:sz w:val="24"/>
    </w:rPr>
  </w:style>
  <w:style w:type="paragraph" w:customStyle="1" w:styleId="copublogo">
    <w:name w:val="co_publogo"/>
    <w:basedOn w:val="Normal"/>
    <w:rsid w:val="00435883"/>
    <w:pPr>
      <w:spacing w:before="100" w:beforeAutospacing="1" w:after="100" w:afterAutospacing="1"/>
      <w:jc w:val="right"/>
    </w:pPr>
    <w:rPr>
      <w:bCs w:val="0"/>
      <w:sz w:val="24"/>
    </w:rPr>
  </w:style>
  <w:style w:type="paragraph" w:customStyle="1" w:styleId="copuertoricoimage">
    <w:name w:val="co_puertoricoimage"/>
    <w:basedOn w:val="Normal"/>
    <w:rsid w:val="00435883"/>
    <w:pPr>
      <w:spacing w:before="100" w:beforeAutospacing="1" w:after="100" w:afterAutospacing="1"/>
      <w:jc w:val="right"/>
    </w:pPr>
    <w:rPr>
      <w:bCs w:val="0"/>
      <w:sz w:val="24"/>
    </w:rPr>
  </w:style>
  <w:style w:type="paragraph" w:customStyle="1" w:styleId="cosmgheaderimage">
    <w:name w:val="co_smgheaderimage"/>
    <w:basedOn w:val="Normal"/>
    <w:rsid w:val="00435883"/>
    <w:pPr>
      <w:spacing w:before="100" w:beforeAutospacing="1" w:after="100" w:afterAutospacing="1"/>
      <w:jc w:val="right"/>
    </w:pPr>
    <w:rPr>
      <w:bCs w:val="0"/>
      <w:sz w:val="24"/>
    </w:rPr>
  </w:style>
  <w:style w:type="paragraph" w:customStyle="1" w:styleId="cotreatisesheaderimage">
    <w:name w:val="co_treatisesheaderimage"/>
    <w:basedOn w:val="Normal"/>
    <w:rsid w:val="00435883"/>
    <w:pPr>
      <w:spacing w:before="100" w:beforeAutospacing="1" w:after="100" w:afterAutospacing="1"/>
      <w:jc w:val="right"/>
    </w:pPr>
    <w:rPr>
      <w:bCs w:val="0"/>
      <w:sz w:val="24"/>
    </w:rPr>
  </w:style>
  <w:style w:type="paragraph" w:customStyle="1" w:styleId="cotextline">
    <w:name w:val="co_textline"/>
    <w:basedOn w:val="Normal"/>
    <w:rsid w:val="00435883"/>
    <w:pPr>
      <w:spacing w:before="100" w:beforeAutospacing="1" w:after="100" w:afterAutospacing="1"/>
    </w:pPr>
    <w:rPr>
      <w:bCs w:val="0"/>
      <w:sz w:val="24"/>
    </w:rPr>
  </w:style>
  <w:style w:type="paragraph" w:customStyle="1" w:styleId="coparallelcitesblocklabel">
    <w:name w:val="co_parallelcitesblocklabel"/>
    <w:basedOn w:val="Normal"/>
    <w:rsid w:val="00435883"/>
    <w:pPr>
      <w:spacing w:before="240" w:after="240"/>
    </w:pPr>
    <w:rPr>
      <w:bCs w:val="0"/>
      <w:sz w:val="24"/>
    </w:rPr>
  </w:style>
  <w:style w:type="paragraph" w:customStyle="1" w:styleId="cocmdexpandedcite">
    <w:name w:val="co_cmdexpandedcite"/>
    <w:basedOn w:val="Normal"/>
    <w:rsid w:val="00435883"/>
    <w:pPr>
      <w:spacing w:before="240" w:after="100" w:afterAutospacing="1"/>
    </w:pPr>
    <w:rPr>
      <w:bCs w:val="0"/>
      <w:sz w:val="24"/>
    </w:rPr>
  </w:style>
  <w:style w:type="paragraph" w:customStyle="1" w:styleId="colibraryreference">
    <w:name w:val="co_libraryreference"/>
    <w:basedOn w:val="Normal"/>
    <w:rsid w:val="00435883"/>
    <w:pPr>
      <w:spacing w:before="240" w:after="100" w:afterAutospacing="1"/>
    </w:pPr>
    <w:rPr>
      <w:bCs w:val="0"/>
      <w:sz w:val="24"/>
    </w:rPr>
  </w:style>
  <w:style w:type="paragraph" w:customStyle="1" w:styleId="covtmdcredit">
    <w:name w:val="co_vtmdcredit"/>
    <w:basedOn w:val="Normal"/>
    <w:rsid w:val="00435883"/>
    <w:pPr>
      <w:spacing w:before="240" w:after="100" w:afterAutospacing="1"/>
    </w:pPr>
    <w:rPr>
      <w:bCs w:val="0"/>
      <w:sz w:val="24"/>
    </w:rPr>
  </w:style>
  <w:style w:type="paragraph" w:customStyle="1" w:styleId="cotitleline">
    <w:name w:val="co_titleline"/>
    <w:basedOn w:val="Normal"/>
    <w:rsid w:val="00435883"/>
    <w:pPr>
      <w:spacing w:before="100" w:beforeAutospacing="1" w:after="100" w:afterAutospacing="1"/>
      <w:jc w:val="center"/>
    </w:pPr>
    <w:rPr>
      <w:bCs w:val="0"/>
      <w:sz w:val="24"/>
    </w:rPr>
  </w:style>
  <w:style w:type="paragraph" w:customStyle="1" w:styleId="xcredit">
    <w:name w:val="x_credit"/>
    <w:basedOn w:val="Normal"/>
    <w:rsid w:val="00435883"/>
    <w:pPr>
      <w:spacing w:before="240" w:after="100" w:afterAutospacing="1"/>
    </w:pPr>
    <w:rPr>
      <w:bCs w:val="0"/>
      <w:sz w:val="24"/>
    </w:rPr>
  </w:style>
  <w:style w:type="paragraph" w:customStyle="1" w:styleId="coprefrontmatter">
    <w:name w:val="co_prefrontmatter"/>
    <w:basedOn w:val="Normal"/>
    <w:rsid w:val="00435883"/>
    <w:pPr>
      <w:spacing w:before="100" w:beforeAutospacing="1" w:after="100" w:afterAutospacing="1"/>
      <w:jc w:val="center"/>
    </w:pPr>
    <w:rPr>
      <w:bCs w:val="0"/>
      <w:sz w:val="24"/>
    </w:rPr>
  </w:style>
  <w:style w:type="paragraph" w:customStyle="1" w:styleId="codocumentdownloadsmartlabel">
    <w:name w:val="co_document_downloadsmartlabel"/>
    <w:basedOn w:val="Normal"/>
    <w:rsid w:val="00435883"/>
    <w:pPr>
      <w:spacing w:before="720" w:after="720"/>
      <w:ind w:firstLine="25072"/>
    </w:pPr>
    <w:rPr>
      <w:bCs w:val="0"/>
      <w:sz w:val="24"/>
    </w:rPr>
  </w:style>
  <w:style w:type="paragraph" w:customStyle="1" w:styleId="codownloadicon">
    <w:name w:val="co_downloadicon"/>
    <w:basedOn w:val="Normal"/>
    <w:rsid w:val="00435883"/>
    <w:pPr>
      <w:spacing w:before="480"/>
      <w:ind w:firstLine="25072"/>
      <w:jc w:val="center"/>
    </w:pPr>
    <w:rPr>
      <w:bCs w:val="0"/>
      <w:sz w:val="24"/>
    </w:rPr>
  </w:style>
  <w:style w:type="paragraph" w:customStyle="1" w:styleId="copresdocinfo">
    <w:name w:val="co_presdocinfo"/>
    <w:basedOn w:val="Normal"/>
    <w:rsid w:val="00435883"/>
    <w:pPr>
      <w:spacing w:before="480" w:after="240"/>
    </w:pPr>
    <w:rPr>
      <w:b/>
      <w:sz w:val="24"/>
    </w:rPr>
  </w:style>
  <w:style w:type="paragraph" w:customStyle="1" w:styleId="cotocnavigationdisabled">
    <w:name w:val="co_tocnavigationdisabled"/>
    <w:basedOn w:val="Normal"/>
    <w:rsid w:val="00435883"/>
    <w:pPr>
      <w:spacing w:before="100" w:beforeAutospacing="1" w:after="100" w:afterAutospacing="1"/>
    </w:pPr>
    <w:rPr>
      <w:bCs w:val="0"/>
      <w:vanish/>
      <w:sz w:val="24"/>
    </w:rPr>
  </w:style>
  <w:style w:type="paragraph" w:customStyle="1" w:styleId="codocumentreadingmodedisabled">
    <w:name w:val="co_document_readingmode_disabled"/>
    <w:basedOn w:val="Normal"/>
    <w:rsid w:val="00435883"/>
    <w:pPr>
      <w:spacing w:before="100" w:beforeAutospacing="1" w:after="100" w:afterAutospacing="1"/>
    </w:pPr>
    <w:rPr>
      <w:bCs w:val="0"/>
      <w:color w:val="BBBBBB"/>
      <w:sz w:val="24"/>
    </w:rPr>
  </w:style>
  <w:style w:type="paragraph" w:customStyle="1" w:styleId="codocumentalertdisabled">
    <w:name w:val="co_document_alert_disabled"/>
    <w:basedOn w:val="Normal"/>
    <w:rsid w:val="00435883"/>
    <w:pPr>
      <w:spacing w:before="100" w:beforeAutospacing="1" w:after="100" w:afterAutospacing="1"/>
    </w:pPr>
    <w:rPr>
      <w:bCs w:val="0"/>
      <w:color w:val="BBBBBB"/>
      <w:sz w:val="24"/>
    </w:rPr>
  </w:style>
  <w:style w:type="paragraph" w:customStyle="1" w:styleId="corelatedinforrnoditem">
    <w:name w:val="co_relatedinfo_rrnod_item"/>
    <w:basedOn w:val="Normal"/>
    <w:rsid w:val="00435883"/>
    <w:pPr>
      <w:spacing w:before="100" w:beforeAutospacing="1" w:after="90"/>
    </w:pPr>
    <w:rPr>
      <w:bCs w:val="0"/>
      <w:sz w:val="24"/>
    </w:rPr>
  </w:style>
  <w:style w:type="paragraph" w:customStyle="1" w:styleId="cobaselinetextrule">
    <w:name w:val="co_baselinetextrule"/>
    <w:basedOn w:val="Normal"/>
    <w:rsid w:val="00435883"/>
    <w:pPr>
      <w:pBdr>
        <w:bottom w:val="single" w:sz="24" w:space="0" w:color="auto"/>
      </w:pBdr>
      <w:spacing w:before="100" w:beforeAutospacing="1" w:after="100" w:afterAutospacing="1"/>
    </w:pPr>
    <w:rPr>
      <w:bCs w:val="0"/>
      <w:sz w:val="24"/>
    </w:rPr>
  </w:style>
  <w:style w:type="paragraph" w:customStyle="1" w:styleId="codocdeliverydottedline">
    <w:name w:val="co_docdelivery_dottedline"/>
    <w:basedOn w:val="Normal"/>
    <w:rsid w:val="00435883"/>
    <w:pPr>
      <w:spacing w:before="100" w:beforeAutospacing="1" w:after="100" w:afterAutospacing="1"/>
    </w:pPr>
    <w:rPr>
      <w:bCs w:val="0"/>
      <w:vanish/>
      <w:sz w:val="24"/>
    </w:rPr>
  </w:style>
  <w:style w:type="paragraph" w:customStyle="1" w:styleId="conavfooterpagination">
    <w:name w:val="co_navfooter_pagination"/>
    <w:basedOn w:val="Normal"/>
    <w:rsid w:val="00435883"/>
    <w:pPr>
      <w:spacing w:before="100" w:beforeAutospacing="1" w:after="100" w:afterAutospacing="1"/>
      <w:ind w:left="150"/>
    </w:pPr>
    <w:rPr>
      <w:bCs w:val="0"/>
      <w:sz w:val="24"/>
    </w:rPr>
  </w:style>
  <w:style w:type="paragraph" w:customStyle="1" w:styleId="coparserred">
    <w:name w:val="co_parserred"/>
    <w:basedOn w:val="Normal"/>
    <w:rsid w:val="00435883"/>
    <w:pPr>
      <w:spacing w:before="100" w:beforeAutospacing="1" w:after="100" w:afterAutospacing="1"/>
    </w:pPr>
    <w:rPr>
      <w:bCs w:val="0"/>
      <w:color w:val="0000FF"/>
      <w:sz w:val="24"/>
    </w:rPr>
  </w:style>
  <w:style w:type="paragraph" w:customStyle="1" w:styleId="coanalyzermetadata">
    <w:name w:val="co_analyzermetadata"/>
    <w:basedOn w:val="Normal"/>
    <w:rsid w:val="00435883"/>
    <w:pPr>
      <w:spacing w:before="100" w:beforeAutospacing="1" w:after="100" w:afterAutospacing="1"/>
    </w:pPr>
    <w:rPr>
      <w:bCs w:val="0"/>
      <w:sz w:val="24"/>
    </w:rPr>
  </w:style>
  <w:style w:type="paragraph" w:customStyle="1" w:styleId="coclausetoplink">
    <w:name w:val="co_clausetoplink"/>
    <w:basedOn w:val="Normal"/>
    <w:rsid w:val="00435883"/>
    <w:pPr>
      <w:spacing w:before="100" w:beforeAutospacing="1" w:after="100" w:afterAutospacing="1"/>
    </w:pPr>
    <w:rPr>
      <w:bCs w:val="0"/>
      <w:sz w:val="19"/>
      <w:szCs w:val="19"/>
    </w:rPr>
  </w:style>
  <w:style w:type="paragraph" w:customStyle="1" w:styleId="codocumentlinkpreviouslyviewed">
    <w:name w:val="co_document_link_previouslyviewed"/>
    <w:basedOn w:val="Normal"/>
    <w:rsid w:val="00435883"/>
    <w:pPr>
      <w:spacing w:before="100" w:beforeAutospacing="1" w:after="100" w:afterAutospacing="1"/>
    </w:pPr>
    <w:rPr>
      <w:bCs w:val="0"/>
      <w:color w:val="660066"/>
      <w:sz w:val="24"/>
    </w:rPr>
  </w:style>
  <w:style w:type="paragraph" w:customStyle="1" w:styleId="colocateterm">
    <w:name w:val="co_locateterm"/>
    <w:basedOn w:val="Normal"/>
    <w:rsid w:val="00435883"/>
    <w:pPr>
      <w:spacing w:before="100" w:beforeAutospacing="1" w:after="100" w:afterAutospacing="1"/>
    </w:pPr>
    <w:rPr>
      <w:b/>
      <w:sz w:val="24"/>
    </w:rPr>
  </w:style>
  <w:style w:type="paragraph" w:customStyle="1" w:styleId="cosearchwithinterm">
    <w:name w:val="co_searchwithinterm"/>
    <w:basedOn w:val="Normal"/>
    <w:rsid w:val="00435883"/>
    <w:pPr>
      <w:spacing w:before="100" w:beforeAutospacing="1" w:after="100" w:afterAutospacing="1"/>
    </w:pPr>
    <w:rPr>
      <w:b/>
      <w:sz w:val="24"/>
    </w:rPr>
  </w:style>
  <w:style w:type="paragraph" w:customStyle="1" w:styleId="cohl">
    <w:name w:val="co_hl"/>
    <w:basedOn w:val="Normal"/>
    <w:rsid w:val="00435883"/>
    <w:pPr>
      <w:spacing w:before="100" w:beforeAutospacing="1" w:after="100" w:afterAutospacing="1"/>
    </w:pPr>
    <w:rPr>
      <w:bCs w:val="0"/>
      <w:color w:val="212121"/>
      <w:sz w:val="24"/>
    </w:rPr>
  </w:style>
  <w:style w:type="paragraph" w:customStyle="1" w:styleId="hlpopup">
    <w:name w:val="hl_popup"/>
    <w:basedOn w:val="Normal"/>
    <w:rsid w:val="00435883"/>
    <w:pPr>
      <w:pBdr>
        <w:top w:val="single" w:sz="6" w:space="0" w:color="212121"/>
        <w:left w:val="single" w:sz="6" w:space="0" w:color="212121"/>
        <w:bottom w:val="single" w:sz="6" w:space="0" w:color="212121"/>
        <w:right w:val="single" w:sz="6" w:space="3" w:color="212121"/>
      </w:pBdr>
      <w:shd w:val="clear" w:color="auto" w:fill="FFFFFF"/>
      <w:spacing w:before="100" w:beforeAutospacing="1" w:after="100" w:afterAutospacing="1"/>
    </w:pPr>
    <w:rPr>
      <w:bCs w:val="0"/>
      <w:sz w:val="24"/>
    </w:rPr>
  </w:style>
  <w:style w:type="paragraph" w:customStyle="1" w:styleId="colayoutbasicmargin">
    <w:name w:val="co_layoutbasicmargin"/>
    <w:basedOn w:val="Normal"/>
    <w:rsid w:val="00435883"/>
    <w:pPr>
      <w:spacing w:before="240" w:after="240"/>
      <w:ind w:left="240" w:right="240"/>
    </w:pPr>
    <w:rPr>
      <w:bCs w:val="0"/>
      <w:sz w:val="24"/>
    </w:rPr>
  </w:style>
  <w:style w:type="paragraph" w:customStyle="1" w:styleId="colayoutpagebreak">
    <w:name w:val="co_layoutpagebreak"/>
    <w:basedOn w:val="Normal"/>
    <w:rsid w:val="00435883"/>
    <w:pPr>
      <w:pageBreakBefore/>
      <w:spacing w:before="100" w:beforeAutospacing="1" w:after="100" w:afterAutospacing="1"/>
    </w:pPr>
    <w:rPr>
      <w:bCs w:val="0"/>
      <w:sz w:val="24"/>
    </w:rPr>
  </w:style>
  <w:style w:type="paragraph" w:customStyle="1" w:styleId="colayoutrendernote">
    <w:name w:val="co_layoutrendernote"/>
    <w:basedOn w:val="Normal"/>
    <w:rsid w:val="00435883"/>
    <w:pPr>
      <w:spacing w:before="300" w:after="300"/>
    </w:pPr>
    <w:rPr>
      <w:bCs w:val="0"/>
      <w:sz w:val="24"/>
    </w:rPr>
  </w:style>
  <w:style w:type="paragraph" w:customStyle="1" w:styleId="colayouttextalignleft">
    <w:name w:val="co_layouttextalignleft"/>
    <w:basedOn w:val="Normal"/>
    <w:rsid w:val="00435883"/>
    <w:pPr>
      <w:spacing w:before="100" w:beforeAutospacing="1" w:after="100" w:afterAutospacing="1"/>
    </w:pPr>
    <w:rPr>
      <w:bCs w:val="0"/>
      <w:sz w:val="24"/>
    </w:rPr>
  </w:style>
  <w:style w:type="paragraph" w:customStyle="1" w:styleId="colayoutheaderrow">
    <w:name w:val="co_layoutheaderrow"/>
    <w:basedOn w:val="Normal"/>
    <w:rsid w:val="00435883"/>
    <w:pPr>
      <w:spacing w:before="100" w:beforeAutospacing="1" w:after="100" w:afterAutospacing="1"/>
    </w:pPr>
    <w:rPr>
      <w:bCs w:val="0"/>
      <w:sz w:val="23"/>
      <w:szCs w:val="23"/>
    </w:rPr>
  </w:style>
  <w:style w:type="paragraph" w:customStyle="1" w:styleId="colayoutrow">
    <w:name w:val="co_layoutrow"/>
    <w:basedOn w:val="Normal"/>
    <w:rsid w:val="00435883"/>
    <w:pPr>
      <w:spacing w:before="100" w:beforeAutospacing="1" w:after="100" w:afterAutospacing="1"/>
    </w:pPr>
    <w:rPr>
      <w:bCs w:val="0"/>
      <w:sz w:val="24"/>
    </w:rPr>
  </w:style>
  <w:style w:type="paragraph" w:customStyle="1" w:styleId="colayouttransactionfilingdatevalue">
    <w:name w:val="co_layouttransactionfilingdatevalue"/>
    <w:basedOn w:val="Normal"/>
    <w:rsid w:val="00435883"/>
    <w:pPr>
      <w:spacing w:before="100" w:beforeAutospacing="1" w:after="100" w:afterAutospacing="1"/>
    </w:pPr>
    <w:rPr>
      <w:b/>
      <w:sz w:val="24"/>
    </w:rPr>
  </w:style>
  <w:style w:type="paragraph" w:customStyle="1" w:styleId="colayoutrowmarginbottom">
    <w:name w:val="co_layout_row_marginbottom"/>
    <w:basedOn w:val="Normal"/>
    <w:rsid w:val="00435883"/>
    <w:pPr>
      <w:spacing w:before="100" w:beforeAutospacing="1" w:after="240"/>
    </w:pPr>
    <w:rPr>
      <w:bCs w:val="0"/>
      <w:sz w:val="24"/>
    </w:rPr>
  </w:style>
  <w:style w:type="paragraph" w:customStyle="1" w:styleId="colayoutrowtopdashborder">
    <w:name w:val="co_layout_row_topdashborder"/>
    <w:basedOn w:val="Normal"/>
    <w:rsid w:val="00435883"/>
    <w:pPr>
      <w:pBdr>
        <w:top w:val="dashed" w:sz="6" w:space="12" w:color="CCCCCC"/>
      </w:pBdr>
      <w:spacing w:before="100" w:beforeAutospacing="1" w:after="100" w:afterAutospacing="1"/>
    </w:pPr>
    <w:rPr>
      <w:bCs w:val="0"/>
      <w:sz w:val="24"/>
    </w:rPr>
  </w:style>
  <w:style w:type="paragraph" w:customStyle="1" w:styleId="colayouttable">
    <w:name w:val="co_layout_table"/>
    <w:basedOn w:val="Normal"/>
    <w:rsid w:val="00435883"/>
    <w:pPr>
      <w:spacing w:before="100" w:beforeAutospacing="1" w:after="100" w:afterAutospacing="1"/>
    </w:pPr>
    <w:rPr>
      <w:bCs w:val="0"/>
      <w:sz w:val="24"/>
    </w:rPr>
  </w:style>
  <w:style w:type="paragraph" w:customStyle="1" w:styleId="cofacetsearchbuttons">
    <w:name w:val="co_facet_searchbuttons"/>
    <w:basedOn w:val="Normal"/>
    <w:rsid w:val="00435883"/>
    <w:pPr>
      <w:spacing w:before="100" w:beforeAutospacing="1" w:after="100" w:afterAutospacing="1"/>
    </w:pPr>
    <w:rPr>
      <w:bCs w:val="0"/>
      <w:vanish/>
      <w:sz w:val="24"/>
    </w:rPr>
  </w:style>
  <w:style w:type="paragraph" w:customStyle="1" w:styleId="cofacetsearchnext">
    <w:name w:val="co_facet_searchnext"/>
    <w:basedOn w:val="Normal"/>
    <w:rsid w:val="00435883"/>
    <w:pPr>
      <w:spacing w:before="100" w:beforeAutospacing="1" w:after="100" w:afterAutospacing="1"/>
      <w:ind w:hanging="3928"/>
    </w:pPr>
    <w:rPr>
      <w:bCs w:val="0"/>
      <w:sz w:val="24"/>
    </w:rPr>
  </w:style>
  <w:style w:type="paragraph" w:customStyle="1" w:styleId="cofacetsearchprevious">
    <w:name w:val="co_facet_searchprevious"/>
    <w:basedOn w:val="Normal"/>
    <w:rsid w:val="00435883"/>
    <w:pPr>
      <w:spacing w:before="100" w:beforeAutospacing="1" w:after="100" w:afterAutospacing="1"/>
      <w:ind w:hanging="3928"/>
    </w:pPr>
    <w:rPr>
      <w:bCs w:val="0"/>
      <w:sz w:val="24"/>
    </w:rPr>
  </w:style>
  <w:style w:type="paragraph" w:customStyle="1" w:styleId="codipoptfontverdana">
    <w:name w:val="co_dipopt_fontverdana"/>
    <w:basedOn w:val="Normal"/>
    <w:rsid w:val="00435883"/>
    <w:pPr>
      <w:spacing w:before="100" w:beforeAutospacing="1" w:after="100" w:afterAutospacing="1"/>
    </w:pPr>
    <w:rPr>
      <w:rFonts w:ascii="Verdana" w:hAnsi="Verdana"/>
      <w:bCs w:val="0"/>
      <w:sz w:val="24"/>
    </w:rPr>
  </w:style>
  <w:style w:type="paragraph" w:customStyle="1" w:styleId="codipoptfontarial">
    <w:name w:val="co_dipopt_fontarial"/>
    <w:basedOn w:val="Normal"/>
    <w:rsid w:val="00435883"/>
    <w:pPr>
      <w:spacing w:before="100" w:beforeAutospacing="1" w:after="100" w:afterAutospacing="1"/>
    </w:pPr>
    <w:rPr>
      <w:rFonts w:ascii="Arial" w:hAnsi="Arial" w:cs="Arial"/>
      <w:bCs w:val="0"/>
      <w:sz w:val="24"/>
    </w:rPr>
  </w:style>
  <w:style w:type="paragraph" w:customStyle="1" w:styleId="codipoptfontgeorgia">
    <w:name w:val="co_dipopt_fontgeorgia"/>
    <w:basedOn w:val="Normal"/>
    <w:rsid w:val="00435883"/>
    <w:pPr>
      <w:spacing w:before="100" w:beforeAutospacing="1" w:after="100" w:afterAutospacing="1"/>
    </w:pPr>
    <w:rPr>
      <w:rFonts w:ascii="Georgia" w:hAnsi="Georgia"/>
      <w:bCs w:val="0"/>
      <w:sz w:val="24"/>
    </w:rPr>
  </w:style>
  <w:style w:type="paragraph" w:customStyle="1" w:styleId="codipoptfonttimesnewroman">
    <w:name w:val="co_dipopt_fonttimesnewroman"/>
    <w:basedOn w:val="Normal"/>
    <w:rsid w:val="00435883"/>
    <w:pPr>
      <w:spacing w:before="100" w:beforeAutospacing="1" w:after="100" w:afterAutospacing="1"/>
    </w:pPr>
    <w:rPr>
      <w:bCs w:val="0"/>
      <w:sz w:val="24"/>
    </w:rPr>
  </w:style>
  <w:style w:type="paragraph" w:customStyle="1" w:styleId="crswbottommargin">
    <w:name w:val="crsw_bottommargin"/>
    <w:basedOn w:val="Normal"/>
    <w:rsid w:val="00435883"/>
    <w:pPr>
      <w:spacing w:before="100" w:beforeAutospacing="1" w:after="240"/>
    </w:pPr>
    <w:rPr>
      <w:bCs w:val="0"/>
      <w:sz w:val="24"/>
    </w:rPr>
  </w:style>
  <w:style w:type="paragraph" w:customStyle="1" w:styleId="crswtopmargin">
    <w:name w:val="crsw_topmargin"/>
    <w:basedOn w:val="Normal"/>
    <w:rsid w:val="00435883"/>
    <w:pPr>
      <w:spacing w:before="240" w:after="100" w:afterAutospacing="1"/>
    </w:pPr>
    <w:rPr>
      <w:bCs w:val="0"/>
      <w:sz w:val="24"/>
    </w:rPr>
  </w:style>
  <w:style w:type="paragraph" w:customStyle="1" w:styleId="crswtopmargindouble">
    <w:name w:val="crsw_topmargindouble"/>
    <w:basedOn w:val="Normal"/>
    <w:rsid w:val="00435883"/>
    <w:pPr>
      <w:spacing w:before="480" w:after="100" w:afterAutospacing="1"/>
    </w:pPr>
    <w:rPr>
      <w:bCs w:val="0"/>
      <w:sz w:val="24"/>
    </w:rPr>
  </w:style>
  <w:style w:type="paragraph" w:customStyle="1" w:styleId="crswparagraphpaddingbottom">
    <w:name w:val="crsw_paragraphpaddingbottom"/>
    <w:basedOn w:val="Normal"/>
    <w:rsid w:val="00435883"/>
    <w:pPr>
      <w:spacing w:before="100" w:beforeAutospacing="1" w:after="240"/>
    </w:pPr>
    <w:rPr>
      <w:bCs w:val="0"/>
      <w:sz w:val="24"/>
    </w:rPr>
  </w:style>
  <w:style w:type="paragraph" w:customStyle="1" w:styleId="crswsmalltext">
    <w:name w:val="crsw_smalltext"/>
    <w:basedOn w:val="Normal"/>
    <w:rsid w:val="00435883"/>
    <w:pPr>
      <w:spacing w:before="100" w:beforeAutospacing="1" w:after="100" w:afterAutospacing="1"/>
    </w:pPr>
    <w:rPr>
      <w:bCs w:val="0"/>
      <w:sz w:val="19"/>
      <w:szCs w:val="19"/>
    </w:rPr>
  </w:style>
  <w:style w:type="paragraph" w:customStyle="1" w:styleId="crswbluetitle">
    <w:name w:val="crsw_bluetitle"/>
    <w:basedOn w:val="Normal"/>
    <w:rsid w:val="00435883"/>
    <w:pPr>
      <w:spacing w:before="100" w:beforeAutospacing="1" w:after="100" w:afterAutospacing="1"/>
    </w:pPr>
    <w:rPr>
      <w:b/>
      <w:color w:val="145DA4"/>
      <w:sz w:val="48"/>
      <w:szCs w:val="48"/>
    </w:rPr>
  </w:style>
  <w:style w:type="paragraph" w:customStyle="1" w:styleId="crswmostrecenttreatment">
    <w:name w:val="crsw_mostrecenttreatment"/>
    <w:basedOn w:val="Normal"/>
    <w:rsid w:val="00435883"/>
    <w:pPr>
      <w:pBdr>
        <w:bottom w:val="single" w:sz="6" w:space="8" w:color="D8D8D8"/>
      </w:pBdr>
      <w:spacing w:before="100" w:beforeAutospacing="1" w:after="150"/>
    </w:pPr>
    <w:rPr>
      <w:bCs w:val="0"/>
      <w:sz w:val="24"/>
    </w:rPr>
  </w:style>
  <w:style w:type="paragraph" w:customStyle="1" w:styleId="crswmostrecentlyconsidered">
    <w:name w:val="crsw_mostrecentlyconsidered"/>
    <w:basedOn w:val="Normal"/>
    <w:rsid w:val="00435883"/>
    <w:pPr>
      <w:pBdr>
        <w:bottom w:val="single" w:sz="6" w:space="8" w:color="D8D8D8"/>
      </w:pBdr>
      <w:spacing w:before="100" w:beforeAutospacing="1" w:after="150"/>
    </w:pPr>
    <w:rPr>
      <w:bCs w:val="0"/>
      <w:sz w:val="24"/>
    </w:rPr>
  </w:style>
  <w:style w:type="paragraph" w:customStyle="1" w:styleId="crswpagebreakdivborder">
    <w:name w:val="crsw_pagebreakdivborder"/>
    <w:basedOn w:val="Normal"/>
    <w:rsid w:val="00435883"/>
    <w:pPr>
      <w:pBdr>
        <w:bottom w:val="single" w:sz="6" w:space="4" w:color="AAAAAA"/>
      </w:pBdr>
      <w:spacing w:before="100" w:beforeAutospacing="1" w:after="75"/>
    </w:pPr>
    <w:rPr>
      <w:bCs w:val="0"/>
      <w:sz w:val="24"/>
    </w:rPr>
  </w:style>
  <w:style w:type="paragraph" w:customStyle="1" w:styleId="crswtocparagraph">
    <w:name w:val="crsw_tocparagraph"/>
    <w:basedOn w:val="Normal"/>
    <w:rsid w:val="00435883"/>
    <w:pPr>
      <w:spacing w:before="24" w:after="100" w:afterAutospacing="1"/>
    </w:pPr>
    <w:rPr>
      <w:bCs w:val="0"/>
      <w:sz w:val="24"/>
    </w:rPr>
  </w:style>
  <w:style w:type="paragraph" w:customStyle="1" w:styleId="crswtwocolumntocheader">
    <w:name w:val="crsw_twocolumntocheader"/>
    <w:basedOn w:val="Normal"/>
    <w:rsid w:val="00435883"/>
    <w:pPr>
      <w:shd w:val="clear" w:color="auto" w:fill="C8DDF1"/>
      <w:spacing w:before="150" w:after="100" w:afterAutospacing="1"/>
      <w:jc w:val="center"/>
    </w:pPr>
    <w:rPr>
      <w:b/>
      <w:sz w:val="29"/>
      <w:szCs w:val="29"/>
    </w:rPr>
  </w:style>
  <w:style w:type="paragraph" w:customStyle="1" w:styleId="crswtwocolumntocbody">
    <w:name w:val="crsw_twocolumntocbody"/>
    <w:basedOn w:val="Normal"/>
    <w:rsid w:val="00435883"/>
    <w:pPr>
      <w:shd w:val="clear" w:color="auto" w:fill="F0F8FF"/>
      <w:spacing w:before="100" w:beforeAutospacing="1" w:after="100" w:afterAutospacing="1"/>
    </w:pPr>
    <w:rPr>
      <w:bCs w:val="0"/>
      <w:sz w:val="24"/>
    </w:rPr>
  </w:style>
  <w:style w:type="paragraph" w:customStyle="1" w:styleId="crswtwocolumntocbodyleft">
    <w:name w:val="crsw_twocolumntocbodyleft"/>
    <w:basedOn w:val="Normal"/>
    <w:rsid w:val="00435883"/>
    <w:pPr>
      <w:spacing w:before="100" w:beforeAutospacing="1" w:after="100" w:afterAutospacing="1"/>
    </w:pPr>
    <w:rPr>
      <w:bCs w:val="0"/>
      <w:sz w:val="24"/>
    </w:rPr>
  </w:style>
  <w:style w:type="paragraph" w:customStyle="1" w:styleId="crswtwocolumntocbodyright">
    <w:name w:val="crsw_twocolumntocbodyright"/>
    <w:basedOn w:val="Normal"/>
    <w:rsid w:val="00435883"/>
    <w:pPr>
      <w:spacing w:before="100" w:beforeAutospacing="1" w:after="100" w:afterAutospacing="1"/>
    </w:pPr>
    <w:rPr>
      <w:bCs w:val="0"/>
      <w:sz w:val="24"/>
    </w:rPr>
  </w:style>
  <w:style w:type="paragraph" w:customStyle="1" w:styleId="crswtwocolumntocbodysubgroup">
    <w:name w:val="crsw_twocolumntocbodysubgroup"/>
    <w:basedOn w:val="Normal"/>
    <w:rsid w:val="00435883"/>
    <w:pPr>
      <w:spacing w:before="360" w:after="24"/>
      <w:ind w:left="360" w:right="360"/>
    </w:pPr>
    <w:rPr>
      <w:bCs w:val="0"/>
      <w:sz w:val="24"/>
    </w:rPr>
  </w:style>
  <w:style w:type="paragraph" w:customStyle="1" w:styleId="crswkimorrh1">
    <w:name w:val="crsw_kimorrh1"/>
    <w:basedOn w:val="Normal"/>
    <w:rsid w:val="00435883"/>
    <w:pPr>
      <w:spacing w:before="100" w:beforeAutospacing="1" w:after="100" w:afterAutospacing="1"/>
    </w:pPr>
    <w:rPr>
      <w:b/>
      <w:color w:val="252525"/>
      <w:sz w:val="42"/>
      <w:szCs w:val="42"/>
    </w:rPr>
  </w:style>
  <w:style w:type="paragraph" w:customStyle="1" w:styleId="crswkimorrh2">
    <w:name w:val="crsw_kimorrh2"/>
    <w:basedOn w:val="Normal"/>
    <w:rsid w:val="00435883"/>
    <w:pPr>
      <w:spacing w:before="100" w:beforeAutospacing="1" w:after="100" w:afterAutospacing="1"/>
    </w:pPr>
    <w:rPr>
      <w:b/>
      <w:color w:val="252525"/>
      <w:sz w:val="36"/>
      <w:szCs w:val="36"/>
    </w:rPr>
  </w:style>
  <w:style w:type="paragraph" w:customStyle="1" w:styleId="crswkimorrh3">
    <w:name w:val="crsw_kimorrh3"/>
    <w:basedOn w:val="Normal"/>
    <w:rsid w:val="00435883"/>
    <w:pPr>
      <w:spacing w:before="100" w:beforeAutospacing="1" w:after="100" w:afterAutospacing="1"/>
    </w:pPr>
    <w:rPr>
      <w:b/>
      <w:color w:val="252525"/>
      <w:sz w:val="30"/>
      <w:szCs w:val="30"/>
    </w:rPr>
  </w:style>
  <w:style w:type="paragraph" w:customStyle="1" w:styleId="crswgraybox">
    <w:name w:val="crsw_graybox"/>
    <w:basedOn w:val="Normal"/>
    <w:rsid w:val="00435883"/>
    <w:pPr>
      <w:pBdr>
        <w:top w:val="single" w:sz="6" w:space="6" w:color="D6D6D6"/>
        <w:left w:val="single" w:sz="6" w:space="6" w:color="D6D6D6"/>
        <w:bottom w:val="single" w:sz="6" w:space="6" w:color="D6D6D6"/>
        <w:right w:val="single" w:sz="6" w:space="6" w:color="D6D6D6"/>
      </w:pBdr>
      <w:shd w:val="clear" w:color="auto" w:fill="F7F7F7"/>
      <w:spacing w:before="100" w:beforeAutospacing="1" w:after="100" w:afterAutospacing="1"/>
    </w:pPr>
    <w:rPr>
      <w:bCs w:val="0"/>
      <w:sz w:val="24"/>
    </w:rPr>
  </w:style>
  <w:style w:type="paragraph" w:customStyle="1" w:styleId="crswjurisdiction">
    <w:name w:val="crsw_jurisdiction"/>
    <w:basedOn w:val="Normal"/>
    <w:rsid w:val="00435883"/>
    <w:pPr>
      <w:spacing w:before="480" w:after="240"/>
    </w:pPr>
    <w:rPr>
      <w:b/>
      <w:sz w:val="24"/>
    </w:rPr>
  </w:style>
  <w:style w:type="paragraph" w:customStyle="1" w:styleId="crswseealso">
    <w:name w:val="crsw_seealso"/>
    <w:basedOn w:val="Normal"/>
    <w:rsid w:val="00435883"/>
    <w:pPr>
      <w:spacing w:before="100" w:beforeAutospacing="1" w:after="240"/>
    </w:pPr>
    <w:rPr>
      <w:bCs w:val="0"/>
      <w:sz w:val="22"/>
      <w:szCs w:val="22"/>
    </w:rPr>
  </w:style>
  <w:style w:type="paragraph" w:customStyle="1" w:styleId="crswsubject">
    <w:name w:val="crsw_subject"/>
    <w:basedOn w:val="Normal"/>
    <w:rsid w:val="00435883"/>
    <w:pPr>
      <w:spacing w:before="100" w:beforeAutospacing="1" w:after="240"/>
    </w:pPr>
    <w:rPr>
      <w:b/>
      <w:sz w:val="24"/>
    </w:rPr>
  </w:style>
  <w:style w:type="paragraph" w:customStyle="1" w:styleId="crswwordphrase">
    <w:name w:val="crsw_wordphrase"/>
    <w:basedOn w:val="Normal"/>
    <w:rsid w:val="00435883"/>
    <w:pPr>
      <w:spacing w:before="100" w:beforeAutospacing="1"/>
    </w:pPr>
    <w:rPr>
      <w:b/>
      <w:sz w:val="26"/>
      <w:szCs w:val="26"/>
    </w:rPr>
  </w:style>
  <w:style w:type="paragraph" w:customStyle="1" w:styleId="crswquote">
    <w:name w:val="crsw_quote"/>
    <w:basedOn w:val="Normal"/>
    <w:rsid w:val="00435883"/>
    <w:pPr>
      <w:spacing w:before="240" w:after="100" w:afterAutospacing="1"/>
    </w:pPr>
    <w:rPr>
      <w:bCs w:val="0"/>
      <w:sz w:val="24"/>
    </w:rPr>
  </w:style>
  <w:style w:type="paragraph" w:customStyle="1" w:styleId="crswkeyciteinlineimage">
    <w:name w:val="crsw_keyciteinlineimage"/>
    <w:basedOn w:val="Normal"/>
    <w:rsid w:val="00435883"/>
    <w:pPr>
      <w:spacing w:before="100" w:beforeAutospacing="1" w:after="100" w:afterAutospacing="1"/>
    </w:pPr>
    <w:rPr>
      <w:bCs w:val="0"/>
      <w:sz w:val="24"/>
    </w:rPr>
  </w:style>
  <w:style w:type="paragraph" w:customStyle="1" w:styleId="crswdocumentindicator">
    <w:name w:val="crsw_documentindicator"/>
    <w:basedOn w:val="Normal"/>
    <w:rsid w:val="00435883"/>
    <w:pPr>
      <w:spacing w:before="100" w:beforeAutospacing="1" w:after="100" w:afterAutospacing="1"/>
    </w:pPr>
    <w:rPr>
      <w:bCs w:val="0"/>
      <w:sz w:val="24"/>
    </w:rPr>
  </w:style>
  <w:style w:type="paragraph" w:customStyle="1" w:styleId="coheadnotes">
    <w:name w:val="co_headnotes"/>
    <w:basedOn w:val="Normal"/>
    <w:rsid w:val="00435883"/>
    <w:pPr>
      <w:spacing w:before="240" w:after="240"/>
    </w:pPr>
    <w:rPr>
      <w:bCs w:val="0"/>
      <w:sz w:val="24"/>
    </w:rPr>
  </w:style>
  <w:style w:type="paragraph" w:customStyle="1" w:styleId="coheadnotescontentcontainer">
    <w:name w:val="co_headnotescontentcontainer"/>
    <w:basedOn w:val="Normal"/>
    <w:rsid w:val="00435883"/>
    <w:pPr>
      <w:pBdr>
        <w:top w:val="single" w:sz="6" w:space="0" w:color="D6D6D6"/>
        <w:left w:val="single" w:sz="6" w:space="12" w:color="D6D6D6"/>
        <w:bottom w:val="single" w:sz="6" w:space="0" w:color="D6D6D6"/>
        <w:right w:val="single" w:sz="6" w:space="12" w:color="D6D6D6"/>
      </w:pBdr>
      <w:spacing w:before="100" w:beforeAutospacing="1" w:after="100" w:afterAutospacing="1"/>
    </w:pPr>
    <w:rPr>
      <w:bCs w:val="0"/>
      <w:sz w:val="24"/>
    </w:rPr>
  </w:style>
  <w:style w:type="paragraph" w:customStyle="1" w:styleId="cosecondaryheadnotenodes">
    <w:name w:val="co_secondaryheadnotenodes"/>
    <w:basedOn w:val="Normal"/>
    <w:rsid w:val="00435883"/>
    <w:pPr>
      <w:spacing w:before="100" w:beforeAutospacing="1" w:after="100" w:afterAutospacing="1"/>
      <w:ind w:left="540"/>
    </w:pPr>
    <w:rPr>
      <w:bCs w:val="0"/>
      <w:sz w:val="24"/>
    </w:rPr>
  </w:style>
  <w:style w:type="paragraph" w:customStyle="1" w:styleId="coheadnotepublicationblock">
    <w:name w:val="co_headnotepublicationblock"/>
    <w:basedOn w:val="Normal"/>
    <w:rsid w:val="00435883"/>
    <w:pPr>
      <w:spacing w:before="240" w:after="240"/>
    </w:pPr>
    <w:rPr>
      <w:bCs w:val="0"/>
      <w:sz w:val="24"/>
    </w:rPr>
  </w:style>
  <w:style w:type="paragraph" w:customStyle="1" w:styleId="coheadnotepublicationblockcontainer">
    <w:name w:val="co_headnotepublicationblockcontainer"/>
    <w:basedOn w:val="Normal"/>
    <w:rsid w:val="00435883"/>
    <w:pPr>
      <w:pBdr>
        <w:top w:val="single" w:sz="2" w:space="6" w:color="D6D6D6"/>
        <w:left w:val="single" w:sz="6" w:space="12" w:color="D6D6D6"/>
        <w:bottom w:val="single" w:sz="6" w:space="6" w:color="D6D6D6"/>
        <w:right w:val="single" w:sz="6" w:space="12" w:color="D6D6D6"/>
      </w:pBdr>
      <w:spacing w:before="100" w:beforeAutospacing="1" w:after="100" w:afterAutospacing="1"/>
    </w:pPr>
    <w:rPr>
      <w:bCs w:val="0"/>
      <w:sz w:val="24"/>
    </w:rPr>
  </w:style>
  <w:style w:type="paragraph" w:customStyle="1" w:styleId="coheadnotepublicationblockclassnumberid">
    <w:name w:val="co_headnotepublicationblock_classnumberid"/>
    <w:basedOn w:val="Normal"/>
    <w:rsid w:val="00435883"/>
    <w:pPr>
      <w:spacing w:before="120" w:after="100" w:afterAutospacing="1"/>
    </w:pPr>
    <w:rPr>
      <w:bCs w:val="0"/>
      <w:sz w:val="24"/>
    </w:rPr>
  </w:style>
  <w:style w:type="paragraph" w:customStyle="1" w:styleId="coheadnotepublicationblocknotprioritem">
    <w:name w:val="co_headnotepublicationblock_notprioritem"/>
    <w:basedOn w:val="Normal"/>
    <w:rsid w:val="00435883"/>
    <w:pPr>
      <w:spacing w:before="120" w:after="100" w:afterAutospacing="1"/>
    </w:pPr>
    <w:rPr>
      <w:bCs w:val="0"/>
      <w:sz w:val="24"/>
    </w:rPr>
  </w:style>
  <w:style w:type="paragraph" w:customStyle="1" w:styleId="conotesofdecisionsheading">
    <w:name w:val="co_notesofdecisionsheading"/>
    <w:basedOn w:val="Normal"/>
    <w:rsid w:val="00435883"/>
    <w:pPr>
      <w:pBdr>
        <w:top w:val="single" w:sz="6" w:space="0" w:color="D6D6D6"/>
        <w:left w:val="single" w:sz="6" w:space="6" w:color="D6D6D6"/>
        <w:bottom w:val="single" w:sz="6" w:space="0" w:color="D6D6D6"/>
        <w:right w:val="single" w:sz="6" w:space="6" w:color="D6D6D6"/>
      </w:pBdr>
      <w:shd w:val="clear" w:color="auto" w:fill="D6D6D6"/>
      <w:spacing w:before="480" w:after="100" w:afterAutospacing="1" w:line="555" w:lineRule="atLeast"/>
    </w:pPr>
    <w:rPr>
      <w:b/>
      <w:sz w:val="24"/>
    </w:rPr>
  </w:style>
  <w:style w:type="paragraph" w:customStyle="1" w:styleId="crswfancytable">
    <w:name w:val="crsw_fancytable"/>
    <w:basedOn w:val="Normal"/>
    <w:rsid w:val="00435883"/>
    <w:pPr>
      <w:spacing w:before="240" w:after="240"/>
    </w:pPr>
    <w:rPr>
      <w:bCs w:val="0"/>
      <w:sz w:val="24"/>
    </w:rPr>
  </w:style>
  <w:style w:type="paragraph" w:customStyle="1" w:styleId="coselectedtextmenulistitem">
    <w:name w:val="co_selectedtextmenulistitem"/>
    <w:basedOn w:val="Normal"/>
    <w:rsid w:val="00435883"/>
    <w:pPr>
      <w:spacing w:before="100" w:beforeAutospacing="1" w:after="100" w:afterAutospacing="1"/>
    </w:pPr>
    <w:rPr>
      <w:bCs w:val="0"/>
      <w:sz w:val="24"/>
    </w:rPr>
  </w:style>
  <w:style w:type="paragraph" w:customStyle="1" w:styleId="coselectedtextmenulistitemdisabled">
    <w:name w:val="co_selectedtextmenulistitemdisabled"/>
    <w:basedOn w:val="Normal"/>
    <w:rsid w:val="00435883"/>
    <w:pPr>
      <w:spacing w:before="100" w:beforeAutospacing="1" w:after="100" w:afterAutospacing="1"/>
    </w:pPr>
    <w:rPr>
      <w:bCs w:val="0"/>
      <w:color w:val="959595"/>
      <w:sz w:val="24"/>
    </w:rPr>
  </w:style>
  <w:style w:type="paragraph" w:customStyle="1" w:styleId="highlightbox">
    <w:name w:val="highlightbox"/>
    <w:basedOn w:val="Normal"/>
    <w:rsid w:val="00435883"/>
    <w:pPr>
      <w:pBdr>
        <w:top w:val="single" w:sz="12" w:space="0" w:color="FFFFFF"/>
        <w:left w:val="single" w:sz="12" w:space="0" w:color="FFFFFF"/>
        <w:bottom w:val="single" w:sz="12" w:space="0" w:color="FFFFFF"/>
        <w:right w:val="single" w:sz="12" w:space="0" w:color="FFFFFF"/>
      </w:pBdr>
      <w:spacing w:before="120" w:after="100" w:afterAutospacing="1"/>
      <w:ind w:right="30"/>
    </w:pPr>
    <w:rPr>
      <w:bCs w:val="0"/>
      <w:sz w:val="24"/>
    </w:rPr>
  </w:style>
  <w:style w:type="paragraph" w:customStyle="1" w:styleId="highlightboxhover">
    <w:name w:val="highlightboxhover"/>
    <w:basedOn w:val="Normal"/>
    <w:rsid w:val="00435883"/>
    <w:pPr>
      <w:pBdr>
        <w:top w:val="single" w:sz="12" w:space="0" w:color="4E4E4E"/>
        <w:left w:val="single" w:sz="12" w:space="0" w:color="4E4E4E"/>
        <w:bottom w:val="single" w:sz="12" w:space="0" w:color="4E4E4E"/>
        <w:right w:val="single" w:sz="12" w:space="0" w:color="4E4E4E"/>
      </w:pBdr>
      <w:spacing w:before="100" w:beforeAutospacing="1" w:after="100" w:afterAutospacing="1"/>
    </w:pPr>
    <w:rPr>
      <w:bCs w:val="0"/>
      <w:sz w:val="24"/>
    </w:rPr>
  </w:style>
  <w:style w:type="paragraph" w:customStyle="1" w:styleId="highlightmenulineitemtext">
    <w:name w:val="highlightmenulineitemtext"/>
    <w:basedOn w:val="Normal"/>
    <w:rsid w:val="00435883"/>
    <w:pPr>
      <w:spacing w:before="100" w:beforeAutospacing="1" w:after="100" w:afterAutospacing="1"/>
    </w:pPr>
    <w:rPr>
      <w:bCs w:val="0"/>
      <w:color w:val="6A6A6A"/>
      <w:szCs w:val="20"/>
    </w:rPr>
  </w:style>
  <w:style w:type="paragraph" w:customStyle="1" w:styleId="yellowbox">
    <w:name w:val="yellowbox"/>
    <w:basedOn w:val="Normal"/>
    <w:rsid w:val="00435883"/>
    <w:pPr>
      <w:shd w:val="clear" w:color="auto" w:fill="F8F95F"/>
      <w:spacing w:before="100" w:beforeAutospacing="1" w:after="100" w:afterAutospacing="1"/>
    </w:pPr>
    <w:rPr>
      <w:bCs w:val="0"/>
      <w:sz w:val="24"/>
    </w:rPr>
  </w:style>
  <w:style w:type="paragraph" w:customStyle="1" w:styleId="greenbox">
    <w:name w:val="greenbox"/>
    <w:basedOn w:val="Normal"/>
    <w:rsid w:val="00435883"/>
    <w:pPr>
      <w:shd w:val="clear" w:color="auto" w:fill="6CDA92"/>
      <w:spacing w:before="100" w:beforeAutospacing="1" w:after="100" w:afterAutospacing="1"/>
    </w:pPr>
    <w:rPr>
      <w:bCs w:val="0"/>
      <w:sz w:val="24"/>
    </w:rPr>
  </w:style>
  <w:style w:type="paragraph" w:customStyle="1" w:styleId="bluebox">
    <w:name w:val="bluebox"/>
    <w:basedOn w:val="Normal"/>
    <w:rsid w:val="00435883"/>
    <w:pPr>
      <w:shd w:val="clear" w:color="auto" w:fill="6AC2DD"/>
      <w:spacing w:before="100" w:beforeAutospacing="1" w:after="100" w:afterAutospacing="1"/>
    </w:pPr>
    <w:rPr>
      <w:bCs w:val="0"/>
      <w:sz w:val="24"/>
    </w:rPr>
  </w:style>
  <w:style w:type="paragraph" w:customStyle="1" w:styleId="pinkbox">
    <w:name w:val="pinkbox"/>
    <w:basedOn w:val="Normal"/>
    <w:rsid w:val="00435883"/>
    <w:pPr>
      <w:shd w:val="clear" w:color="auto" w:fill="F87D9B"/>
      <w:spacing w:before="100" w:beforeAutospacing="1" w:after="100" w:afterAutospacing="1"/>
    </w:pPr>
    <w:rPr>
      <w:bCs w:val="0"/>
      <w:sz w:val="24"/>
    </w:rPr>
  </w:style>
  <w:style w:type="paragraph" w:customStyle="1" w:styleId="orangebox">
    <w:name w:val="orangebox"/>
    <w:basedOn w:val="Normal"/>
    <w:rsid w:val="00435883"/>
    <w:pPr>
      <w:shd w:val="clear" w:color="auto" w:fill="F9996C"/>
      <w:spacing w:before="100" w:beforeAutospacing="1" w:after="100" w:afterAutospacing="1"/>
    </w:pPr>
    <w:rPr>
      <w:bCs w:val="0"/>
      <w:sz w:val="24"/>
    </w:rPr>
  </w:style>
  <w:style w:type="paragraph" w:customStyle="1" w:styleId="purplebox">
    <w:name w:val="purplebox"/>
    <w:basedOn w:val="Normal"/>
    <w:rsid w:val="00435883"/>
    <w:pPr>
      <w:shd w:val="clear" w:color="auto" w:fill="AE80CD"/>
      <w:spacing w:before="100" w:beforeAutospacing="1" w:after="100" w:afterAutospacing="1"/>
    </w:pPr>
    <w:rPr>
      <w:bCs w:val="0"/>
      <w:sz w:val="24"/>
    </w:rPr>
  </w:style>
  <w:style w:type="paragraph" w:customStyle="1" w:styleId="blackbox">
    <w:name w:val="blackbox"/>
    <w:basedOn w:val="Normal"/>
    <w:rsid w:val="00435883"/>
    <w:pPr>
      <w:shd w:val="clear" w:color="auto" w:fill="121212"/>
      <w:spacing w:before="100" w:beforeAutospacing="1" w:after="100" w:afterAutospacing="1"/>
    </w:pPr>
    <w:rPr>
      <w:bCs w:val="0"/>
      <w:sz w:val="24"/>
    </w:rPr>
  </w:style>
  <w:style w:type="paragraph" w:customStyle="1" w:styleId="codropbox">
    <w:name w:val="co_dropbox"/>
    <w:basedOn w:val="Normal"/>
    <w:rsid w:val="00435883"/>
    <w:pPr>
      <w:pBdr>
        <w:top w:val="single" w:sz="6" w:space="0" w:color="C9C9C9"/>
        <w:left w:val="single" w:sz="6" w:space="0" w:color="C9C9C9"/>
        <w:bottom w:val="single" w:sz="6" w:space="0" w:color="C9C9C9"/>
        <w:right w:val="single" w:sz="6" w:space="0" w:color="C9C9C9"/>
      </w:pBdr>
      <w:shd w:val="clear" w:color="auto" w:fill="FFFFFF"/>
      <w:spacing w:before="100" w:beforeAutospacing="1" w:after="100" w:afterAutospacing="1"/>
    </w:pPr>
    <w:rPr>
      <w:bCs w:val="0"/>
      <w:sz w:val="24"/>
    </w:rPr>
  </w:style>
  <w:style w:type="paragraph" w:customStyle="1" w:styleId="codropboxexpanded">
    <w:name w:val="co_dropboxexpanded"/>
    <w:basedOn w:val="Normal"/>
    <w:rsid w:val="00435883"/>
    <w:pPr>
      <w:spacing w:before="100" w:beforeAutospacing="1" w:after="100" w:afterAutospacing="1"/>
    </w:pPr>
    <w:rPr>
      <w:bCs w:val="0"/>
      <w:sz w:val="24"/>
    </w:rPr>
  </w:style>
  <w:style w:type="paragraph" w:customStyle="1" w:styleId="codropboxcollapsed">
    <w:name w:val="co_dropboxcollapsed"/>
    <w:basedOn w:val="Normal"/>
    <w:rsid w:val="00435883"/>
    <w:pPr>
      <w:spacing w:before="100" w:beforeAutospacing="1" w:after="100" w:afterAutospacing="1"/>
    </w:pPr>
    <w:rPr>
      <w:bCs w:val="0"/>
      <w:vanish/>
      <w:sz w:val="24"/>
    </w:rPr>
  </w:style>
  <w:style w:type="paragraph" w:customStyle="1" w:styleId="cocopywithrefmenucontainer">
    <w:name w:val="co_copywithrefmenu_container"/>
    <w:basedOn w:val="Normal"/>
    <w:rsid w:val="00435883"/>
    <w:pPr>
      <w:pBdr>
        <w:top w:val="single" w:sz="6" w:space="2" w:color="D6D6D6"/>
        <w:left w:val="single" w:sz="6" w:space="2" w:color="D6D6D6"/>
        <w:bottom w:val="single" w:sz="6" w:space="2" w:color="D6D6D6"/>
        <w:right w:val="single" w:sz="6" w:space="2" w:color="D6D6D6"/>
      </w:pBdr>
      <w:shd w:val="clear" w:color="auto" w:fill="FFFFFF"/>
      <w:spacing w:before="100" w:beforeAutospacing="1" w:after="100" w:afterAutospacing="1" w:line="285" w:lineRule="atLeast"/>
    </w:pPr>
    <w:rPr>
      <w:bCs w:val="0"/>
      <w:vanish/>
      <w:sz w:val="19"/>
      <w:szCs w:val="19"/>
    </w:rPr>
  </w:style>
  <w:style w:type="paragraph" w:customStyle="1" w:styleId="header-background">
    <w:name w:val="header-background"/>
    <w:basedOn w:val="Normal"/>
    <w:rsid w:val="00435883"/>
    <w:pPr>
      <w:shd w:val="clear" w:color="auto" w:fill="FFFFFF"/>
      <w:spacing w:before="100" w:beforeAutospacing="1" w:after="100" w:afterAutospacing="1"/>
    </w:pPr>
    <w:rPr>
      <w:bCs w:val="0"/>
      <w:sz w:val="24"/>
    </w:rPr>
  </w:style>
  <w:style w:type="paragraph" w:customStyle="1" w:styleId="th-inner">
    <w:name w:val="th-inner"/>
    <w:basedOn w:val="Normal"/>
    <w:rsid w:val="00435883"/>
    <w:pPr>
      <w:pBdr>
        <w:left w:val="single" w:sz="6" w:space="4" w:color="CCCCCC"/>
      </w:pBdr>
      <w:spacing w:before="100" w:beforeAutospacing="1" w:after="100" w:afterAutospacing="1" w:line="240" w:lineRule="atLeast"/>
      <w:ind w:left="-15"/>
    </w:pPr>
    <w:rPr>
      <w:bCs w:val="0"/>
      <w:sz w:val="24"/>
    </w:rPr>
  </w:style>
  <w:style w:type="paragraph" w:customStyle="1" w:styleId="khpreformat">
    <w:name w:val="kh_preformat"/>
    <w:basedOn w:val="Normal"/>
    <w:rsid w:val="00435883"/>
    <w:pPr>
      <w:spacing w:before="100" w:beforeAutospacing="1" w:after="100" w:afterAutospacing="1"/>
    </w:pPr>
    <w:rPr>
      <w:rFonts w:ascii="inherit" w:hAnsi="inherit"/>
      <w:bCs w:val="0"/>
      <w:sz w:val="24"/>
    </w:rPr>
  </w:style>
  <w:style w:type="paragraph" w:customStyle="1" w:styleId="khsalutation">
    <w:name w:val="kh_salutation"/>
    <w:basedOn w:val="Normal"/>
    <w:rsid w:val="00435883"/>
    <w:pPr>
      <w:spacing w:before="100" w:beforeAutospacing="1" w:after="100" w:afterAutospacing="1"/>
    </w:pPr>
    <w:rPr>
      <w:bCs w:val="0"/>
      <w:sz w:val="24"/>
    </w:rPr>
  </w:style>
  <w:style w:type="paragraph" w:customStyle="1" w:styleId="khdivision">
    <w:name w:val="kh_division"/>
    <w:basedOn w:val="Normal"/>
    <w:rsid w:val="00435883"/>
    <w:pPr>
      <w:spacing w:before="100" w:beforeAutospacing="1" w:after="100" w:afterAutospacing="1"/>
    </w:pPr>
    <w:rPr>
      <w:bCs w:val="0"/>
      <w:sz w:val="24"/>
    </w:rPr>
  </w:style>
  <w:style w:type="paragraph" w:customStyle="1" w:styleId="khclause">
    <w:name w:val="kh_clause"/>
    <w:basedOn w:val="Normal"/>
    <w:rsid w:val="00435883"/>
    <w:pPr>
      <w:spacing w:before="224" w:after="224"/>
    </w:pPr>
    <w:rPr>
      <w:bCs w:val="0"/>
      <w:sz w:val="24"/>
    </w:rPr>
  </w:style>
  <w:style w:type="paragraph" w:customStyle="1" w:styleId="khsubclause1">
    <w:name w:val="kh_subclause1"/>
    <w:basedOn w:val="Normal"/>
    <w:rsid w:val="00435883"/>
    <w:pPr>
      <w:spacing w:before="224" w:after="224"/>
    </w:pPr>
    <w:rPr>
      <w:bCs w:val="0"/>
      <w:sz w:val="24"/>
    </w:rPr>
  </w:style>
  <w:style w:type="paragraph" w:customStyle="1" w:styleId="khsubclause2">
    <w:name w:val="kh_subclause2"/>
    <w:basedOn w:val="Normal"/>
    <w:rsid w:val="00435883"/>
    <w:pPr>
      <w:spacing w:before="224" w:after="224"/>
    </w:pPr>
    <w:rPr>
      <w:bCs w:val="0"/>
      <w:sz w:val="24"/>
    </w:rPr>
  </w:style>
  <w:style w:type="paragraph" w:customStyle="1" w:styleId="khsubclause3">
    <w:name w:val="kh_subclause3"/>
    <w:basedOn w:val="Normal"/>
    <w:rsid w:val="00435883"/>
    <w:pPr>
      <w:spacing w:before="224" w:after="224"/>
    </w:pPr>
    <w:rPr>
      <w:bCs w:val="0"/>
      <w:sz w:val="24"/>
    </w:rPr>
  </w:style>
  <w:style w:type="paragraph" w:customStyle="1" w:styleId="cokeylegalconceptlink">
    <w:name w:val="co_keylegalconcept_link"/>
    <w:basedOn w:val="Normal"/>
    <w:rsid w:val="00435883"/>
    <w:pPr>
      <w:pBdr>
        <w:bottom w:val="dotted" w:sz="6" w:space="0" w:color="145DA4"/>
      </w:pBdr>
      <w:spacing w:before="100" w:beforeAutospacing="1" w:after="100" w:afterAutospacing="1"/>
    </w:pPr>
    <w:rPr>
      <w:b/>
      <w:sz w:val="24"/>
    </w:rPr>
  </w:style>
  <w:style w:type="paragraph" w:customStyle="1" w:styleId="khbox">
    <w:name w:val="kh_box"/>
    <w:basedOn w:val="Normal"/>
    <w:rsid w:val="00435883"/>
    <w:pPr>
      <w:pBdr>
        <w:top w:val="single" w:sz="6" w:space="8" w:color="DCDCDC"/>
        <w:left w:val="single" w:sz="6" w:space="19" w:color="DCDCDC"/>
        <w:bottom w:val="single" w:sz="6" w:space="22" w:color="DCDCDC"/>
        <w:right w:val="single" w:sz="6" w:space="19" w:color="DCDCDC"/>
      </w:pBdr>
      <w:shd w:val="clear" w:color="auto" w:fill="F6F6F6"/>
      <w:spacing w:before="288" w:after="480"/>
    </w:pPr>
    <w:rPr>
      <w:bCs w:val="0"/>
      <w:color w:val="505050"/>
      <w:sz w:val="24"/>
    </w:rPr>
  </w:style>
  <w:style w:type="paragraph" w:customStyle="1" w:styleId="khquestion">
    <w:name w:val="kh_question"/>
    <w:basedOn w:val="Normal"/>
    <w:rsid w:val="00435883"/>
    <w:pPr>
      <w:pBdr>
        <w:top w:val="single" w:sz="6" w:space="18" w:color="DCDCDC"/>
        <w:left w:val="single" w:sz="6" w:space="24" w:color="DCDCDC"/>
        <w:bottom w:val="single" w:sz="6" w:space="18" w:color="DCDCDC"/>
        <w:right w:val="single" w:sz="6" w:space="24" w:color="DCDCDC"/>
      </w:pBdr>
      <w:shd w:val="clear" w:color="auto" w:fill="F6F6F6"/>
      <w:spacing w:before="288" w:after="160"/>
    </w:pPr>
    <w:rPr>
      <w:bCs w:val="0"/>
      <w:sz w:val="24"/>
    </w:rPr>
  </w:style>
  <w:style w:type="paragraph" w:customStyle="1" w:styleId="conotesicon">
    <w:name w:val="co_notesicon"/>
    <w:basedOn w:val="Normal"/>
    <w:rsid w:val="00435883"/>
    <w:pPr>
      <w:spacing w:before="160"/>
      <w:jc w:val="center"/>
    </w:pPr>
    <w:rPr>
      <w:bCs w:val="0"/>
      <w:sz w:val="24"/>
    </w:rPr>
  </w:style>
  <w:style w:type="paragraph" w:customStyle="1" w:styleId="cospeedreadtoggle">
    <w:name w:val="co_speedreadtoggle"/>
    <w:basedOn w:val="Normal"/>
    <w:rsid w:val="00435883"/>
    <w:pPr>
      <w:spacing w:before="160"/>
      <w:jc w:val="center"/>
    </w:pPr>
    <w:rPr>
      <w:bCs w:val="0"/>
      <w:sz w:val="24"/>
    </w:rPr>
  </w:style>
  <w:style w:type="paragraph" w:customStyle="1" w:styleId="conotescontent">
    <w:name w:val="co_notescontent"/>
    <w:basedOn w:val="Normal"/>
    <w:rsid w:val="00435883"/>
    <w:pPr>
      <w:spacing w:before="100" w:beforeAutospacing="1" w:after="100" w:afterAutospacing="1"/>
    </w:pPr>
    <w:rPr>
      <w:bCs w:val="0"/>
      <w:vanish/>
      <w:sz w:val="24"/>
    </w:rPr>
  </w:style>
  <w:style w:type="paragraph" w:customStyle="1" w:styleId="cospeedreadcontent">
    <w:name w:val="co_speedreadcontent"/>
    <w:basedOn w:val="Normal"/>
    <w:rsid w:val="00435883"/>
    <w:pPr>
      <w:spacing w:before="100" w:beforeAutospacing="1" w:after="100" w:afterAutospacing="1"/>
    </w:pPr>
    <w:rPr>
      <w:bCs w:val="0"/>
      <w:vanish/>
      <w:sz w:val="24"/>
    </w:rPr>
  </w:style>
  <w:style w:type="paragraph" w:customStyle="1" w:styleId="close-btn">
    <w:name w:val="close-btn"/>
    <w:basedOn w:val="Normal"/>
    <w:rsid w:val="00435883"/>
    <w:pPr>
      <w:spacing w:after="100" w:afterAutospacing="1"/>
      <w:ind w:right="-192"/>
    </w:pPr>
    <w:rPr>
      <w:bCs w:val="0"/>
      <w:sz w:val="24"/>
    </w:rPr>
  </w:style>
  <w:style w:type="paragraph" w:customStyle="1" w:styleId="khtoc-inner">
    <w:name w:val="kh_toc-inner"/>
    <w:basedOn w:val="Normal"/>
    <w:rsid w:val="00435883"/>
    <w:pPr>
      <w:spacing w:before="480" w:after="100" w:afterAutospacing="1"/>
    </w:pPr>
    <w:rPr>
      <w:bCs w:val="0"/>
      <w:sz w:val="24"/>
    </w:rPr>
  </w:style>
  <w:style w:type="paragraph" w:customStyle="1" w:styleId="khtoc-header">
    <w:name w:val="kh_toc-header"/>
    <w:basedOn w:val="Normal"/>
    <w:rsid w:val="00435883"/>
    <w:pPr>
      <w:ind w:left="-90"/>
    </w:pPr>
    <w:rPr>
      <w:bCs w:val="0"/>
      <w:color w:val="505050"/>
      <w:sz w:val="24"/>
    </w:rPr>
  </w:style>
  <w:style w:type="paragraph" w:customStyle="1" w:styleId="khtoc-listli">
    <w:name w:val="kh_toc-list&gt;li"/>
    <w:basedOn w:val="Normal"/>
    <w:rsid w:val="00435883"/>
    <w:pPr>
      <w:pBdr>
        <w:top w:val="single" w:sz="6" w:space="11" w:color="CCCCCC"/>
      </w:pBdr>
      <w:spacing w:before="100" w:beforeAutospacing="1" w:after="100" w:afterAutospacing="1"/>
    </w:pPr>
    <w:rPr>
      <w:bCs w:val="0"/>
      <w:color w:val="505050"/>
      <w:sz w:val="21"/>
      <w:szCs w:val="21"/>
    </w:rPr>
  </w:style>
  <w:style w:type="paragraph" w:customStyle="1" w:styleId="corelatedcontentlink">
    <w:name w:val="co_relatedcontentlink"/>
    <w:basedOn w:val="Normal"/>
    <w:rsid w:val="00435883"/>
    <w:pPr>
      <w:spacing w:before="100" w:beforeAutospacing="1" w:after="100" w:afterAutospacing="1"/>
    </w:pPr>
    <w:rPr>
      <w:b/>
      <w:sz w:val="21"/>
      <w:szCs w:val="21"/>
    </w:rPr>
  </w:style>
  <w:style w:type="paragraph" w:customStyle="1" w:styleId="copageflipper">
    <w:name w:val="co_pageflipper"/>
    <w:basedOn w:val="Normal"/>
    <w:rsid w:val="00435883"/>
    <w:pPr>
      <w:shd w:val="clear" w:color="auto" w:fill="505050"/>
      <w:spacing w:before="100" w:beforeAutospacing="1" w:after="100" w:afterAutospacing="1"/>
    </w:pPr>
    <w:rPr>
      <w:bCs w:val="0"/>
      <w:szCs w:val="20"/>
    </w:rPr>
  </w:style>
  <w:style w:type="paragraph" w:customStyle="1" w:styleId="copageflipperaccordian">
    <w:name w:val="co_pageflipperaccordian"/>
    <w:basedOn w:val="Normal"/>
    <w:rsid w:val="00435883"/>
    <w:pPr>
      <w:spacing w:before="100" w:beforeAutospacing="1" w:after="100" w:afterAutospacing="1"/>
    </w:pPr>
    <w:rPr>
      <w:bCs w:val="0"/>
      <w:sz w:val="24"/>
    </w:rPr>
  </w:style>
  <w:style w:type="paragraph" w:customStyle="1" w:styleId="coadminlawjudgename">
    <w:name w:val="co_adminlawjudgename"/>
    <w:basedOn w:val="Normal"/>
    <w:rsid w:val="00435883"/>
    <w:pPr>
      <w:spacing w:before="100" w:beforeAutospacing="1" w:after="100" w:afterAutospacing="1"/>
      <w:jc w:val="center"/>
    </w:pPr>
    <w:rPr>
      <w:bCs w:val="0"/>
      <w:sz w:val="24"/>
    </w:rPr>
  </w:style>
  <w:style w:type="paragraph" w:customStyle="1" w:styleId="cochunkpagination">
    <w:name w:val="co_chunkpagination"/>
    <w:basedOn w:val="Normal"/>
    <w:rsid w:val="00435883"/>
    <w:pPr>
      <w:spacing w:before="100" w:beforeAutospacing="1" w:after="100" w:afterAutospacing="1"/>
    </w:pPr>
    <w:rPr>
      <w:bCs w:val="0"/>
      <w:sz w:val="24"/>
    </w:rPr>
  </w:style>
  <w:style w:type="paragraph" w:customStyle="1" w:styleId="cosignatureline">
    <w:name w:val="co_signatureline"/>
    <w:basedOn w:val="Normal"/>
    <w:rsid w:val="00435883"/>
    <w:pPr>
      <w:spacing w:before="100" w:beforeAutospacing="1" w:after="100" w:afterAutospacing="1"/>
    </w:pPr>
    <w:rPr>
      <w:bCs w:val="0"/>
      <w:sz w:val="24"/>
    </w:rPr>
  </w:style>
  <w:style w:type="paragraph" w:customStyle="1" w:styleId="cohlshared">
    <w:name w:val="co_hlshared"/>
    <w:basedOn w:val="Normal"/>
    <w:rsid w:val="00435883"/>
    <w:pPr>
      <w:pBdr>
        <w:top w:val="dashed" w:sz="6" w:space="0" w:color="auto"/>
        <w:left w:val="dashed" w:sz="6" w:space="0" w:color="auto"/>
        <w:bottom w:val="dashed" w:sz="6" w:space="0" w:color="auto"/>
        <w:right w:val="dashed" w:sz="6" w:space="0" w:color="auto"/>
      </w:pBdr>
      <w:spacing w:before="100" w:beforeAutospacing="1" w:after="100" w:afterAutospacing="1"/>
    </w:pPr>
    <w:rPr>
      <w:bCs w:val="0"/>
      <w:sz w:val="24"/>
    </w:rPr>
  </w:style>
  <w:style w:type="paragraph" w:customStyle="1" w:styleId="conotes">
    <w:name w:val="co_notes"/>
    <w:basedOn w:val="Normal"/>
    <w:rsid w:val="00435883"/>
    <w:pPr>
      <w:pBdr>
        <w:top w:val="single" w:sz="6" w:space="0" w:color="E0A401"/>
        <w:left w:val="single" w:sz="6" w:space="0" w:color="E0A401"/>
        <w:bottom w:val="single" w:sz="2" w:space="0" w:color="E0A401"/>
        <w:right w:val="single" w:sz="2" w:space="0" w:color="E0A401"/>
      </w:pBdr>
      <w:shd w:val="clear" w:color="auto" w:fill="FEFEE9"/>
      <w:spacing w:before="100" w:beforeAutospacing="1" w:after="100" w:afterAutospacing="1"/>
    </w:pPr>
    <w:rPr>
      <w:bCs w:val="0"/>
      <w:sz w:val="24"/>
    </w:rPr>
  </w:style>
  <w:style w:type="paragraph" w:customStyle="1" w:styleId="conotebodytime">
    <w:name w:val="co_notebody_time"/>
    <w:basedOn w:val="Normal"/>
    <w:rsid w:val="00435883"/>
    <w:pPr>
      <w:pBdr>
        <w:left w:val="single" w:sz="6" w:space="2" w:color="C4C4C4"/>
      </w:pBdr>
      <w:spacing w:before="100" w:beforeAutospacing="1" w:after="100" w:afterAutospacing="1"/>
      <w:ind w:left="45"/>
    </w:pPr>
    <w:rPr>
      <w:bCs w:val="0"/>
      <w:sz w:val="24"/>
    </w:rPr>
  </w:style>
  <w:style w:type="paragraph" w:customStyle="1" w:styleId="conoteheaderclientid">
    <w:name w:val="co_noteheader_clientid"/>
    <w:basedOn w:val="Normal"/>
    <w:rsid w:val="00435883"/>
    <w:pPr>
      <w:pBdr>
        <w:left w:val="single" w:sz="6" w:space="2" w:color="C4C4C4"/>
      </w:pBdr>
      <w:spacing w:before="100" w:beforeAutospacing="1" w:after="100" w:afterAutospacing="1"/>
      <w:ind w:left="45"/>
      <w:textAlignment w:val="bottom"/>
    </w:pPr>
    <w:rPr>
      <w:bCs w:val="0"/>
      <w:sz w:val="24"/>
    </w:rPr>
  </w:style>
  <w:style w:type="paragraph" w:customStyle="1" w:styleId="conotedelete">
    <w:name w:val="co_notedelete"/>
    <w:basedOn w:val="Normal"/>
    <w:rsid w:val="00435883"/>
    <w:pPr>
      <w:spacing w:before="100" w:beforeAutospacing="1" w:after="100" w:afterAutospacing="1"/>
      <w:ind w:left="75" w:hanging="3928"/>
    </w:pPr>
    <w:rPr>
      <w:bCs w:val="0"/>
      <w:sz w:val="24"/>
    </w:rPr>
  </w:style>
  <w:style w:type="paragraph" w:customStyle="1" w:styleId="conoteicon">
    <w:name w:val="co_noteicon"/>
    <w:basedOn w:val="Normal"/>
    <w:rsid w:val="00435883"/>
    <w:pPr>
      <w:spacing w:before="100" w:beforeAutospacing="1" w:after="100" w:afterAutospacing="1"/>
      <w:ind w:hanging="3928"/>
    </w:pPr>
    <w:rPr>
      <w:bCs w:val="0"/>
      <w:sz w:val="24"/>
    </w:rPr>
  </w:style>
  <w:style w:type="paragraph" w:customStyle="1" w:styleId="conoteiconadd">
    <w:name w:val="co_noteicon_add"/>
    <w:basedOn w:val="Normal"/>
    <w:rsid w:val="00435883"/>
    <w:pPr>
      <w:pBdr>
        <w:left w:val="single" w:sz="6" w:space="4" w:color="E0A401"/>
      </w:pBdr>
      <w:spacing w:before="100" w:beforeAutospacing="1" w:after="100" w:afterAutospacing="1"/>
      <w:ind w:left="75" w:hanging="3928"/>
    </w:pPr>
    <w:rPr>
      <w:bCs w:val="0"/>
      <w:sz w:val="24"/>
    </w:rPr>
  </w:style>
  <w:style w:type="paragraph" w:customStyle="1" w:styleId="conoteiconsm">
    <w:name w:val="co_noteicon_sm"/>
    <w:basedOn w:val="Normal"/>
    <w:rsid w:val="00435883"/>
    <w:pPr>
      <w:spacing w:before="100" w:beforeAutospacing="1" w:after="100" w:afterAutospacing="1"/>
    </w:pPr>
    <w:rPr>
      <w:bCs w:val="0"/>
      <w:sz w:val="24"/>
    </w:rPr>
  </w:style>
  <w:style w:type="paragraph" w:customStyle="1" w:styleId="conoteedit">
    <w:name w:val="co_noteedit"/>
    <w:basedOn w:val="Normal"/>
    <w:rsid w:val="00435883"/>
    <w:pPr>
      <w:spacing w:before="100" w:beforeAutospacing="1" w:after="100" w:afterAutospacing="1"/>
      <w:ind w:hanging="3928"/>
    </w:pPr>
    <w:rPr>
      <w:bCs w:val="0"/>
      <w:sz w:val="24"/>
    </w:rPr>
  </w:style>
  <w:style w:type="paragraph" w:customStyle="1" w:styleId="conoteheader">
    <w:name w:val="co_noteheader"/>
    <w:basedOn w:val="Normal"/>
    <w:rsid w:val="00435883"/>
    <w:pPr>
      <w:spacing w:before="100" w:beforeAutospacing="1" w:after="100" w:afterAutospacing="1" w:line="312" w:lineRule="atLeast"/>
    </w:pPr>
    <w:rPr>
      <w:rFonts w:ascii="Arial" w:hAnsi="Arial" w:cs="Arial"/>
      <w:bCs w:val="0"/>
      <w:sz w:val="15"/>
      <w:szCs w:val="15"/>
    </w:rPr>
  </w:style>
  <w:style w:type="paragraph" w:customStyle="1" w:styleId="conoteheaderdatetime">
    <w:name w:val="co_noteheader_datetime"/>
    <w:basedOn w:val="Normal"/>
    <w:rsid w:val="00435883"/>
    <w:pPr>
      <w:spacing w:before="100" w:beforeAutospacing="1" w:after="100" w:afterAutospacing="1"/>
    </w:pPr>
    <w:rPr>
      <w:bCs w:val="0"/>
      <w:sz w:val="24"/>
    </w:rPr>
  </w:style>
  <w:style w:type="paragraph" w:customStyle="1" w:styleId="conoteheadermetadata">
    <w:name w:val="co_noteheader_metadata"/>
    <w:basedOn w:val="Normal"/>
    <w:rsid w:val="00435883"/>
    <w:pPr>
      <w:spacing w:before="100" w:beforeAutospacing="1" w:after="100" w:afterAutospacing="1"/>
    </w:pPr>
    <w:rPr>
      <w:bCs w:val="0"/>
      <w:sz w:val="24"/>
    </w:rPr>
  </w:style>
  <w:style w:type="paragraph" w:customStyle="1" w:styleId="copersisteddoclink">
    <w:name w:val="co_persisteddoclink"/>
    <w:basedOn w:val="Normal"/>
    <w:rsid w:val="00435883"/>
    <w:pPr>
      <w:spacing w:before="100" w:beforeAutospacing="1" w:after="100" w:afterAutospacing="1"/>
    </w:pPr>
    <w:rPr>
      <w:bCs w:val="0"/>
      <w:szCs w:val="20"/>
    </w:rPr>
  </w:style>
  <w:style w:type="paragraph" w:customStyle="1" w:styleId="coviewnotetext">
    <w:name w:val="co_viewnotetext"/>
    <w:basedOn w:val="Normal"/>
    <w:rsid w:val="00435883"/>
    <w:pPr>
      <w:spacing w:before="100" w:beforeAutospacing="1" w:after="100" w:afterAutospacing="1"/>
    </w:pPr>
    <w:rPr>
      <w:bCs w:val="0"/>
      <w:szCs w:val="20"/>
    </w:rPr>
  </w:style>
  <w:style w:type="paragraph" w:customStyle="1" w:styleId="conoteicontoggle">
    <w:name w:val="co_noteicon_toggle"/>
    <w:basedOn w:val="Normal"/>
    <w:rsid w:val="00435883"/>
    <w:pPr>
      <w:spacing w:before="100" w:beforeAutospacing="1" w:after="100" w:afterAutospacing="1"/>
      <w:ind w:hanging="3928"/>
    </w:pPr>
    <w:rPr>
      <w:bCs w:val="0"/>
      <w:sz w:val="24"/>
    </w:rPr>
  </w:style>
  <w:style w:type="paragraph" w:customStyle="1" w:styleId="conoteiconclose">
    <w:name w:val="co_noteicon_close"/>
    <w:basedOn w:val="Normal"/>
    <w:rsid w:val="00435883"/>
    <w:pPr>
      <w:spacing w:before="100" w:beforeAutospacing="1" w:after="100" w:afterAutospacing="1"/>
    </w:pPr>
    <w:rPr>
      <w:bCs w:val="0"/>
      <w:sz w:val="24"/>
    </w:rPr>
  </w:style>
  <w:style w:type="paragraph" w:customStyle="1" w:styleId="conoteheadercreatedby">
    <w:name w:val="co_noteheader_createdby"/>
    <w:basedOn w:val="Normal"/>
    <w:rsid w:val="00435883"/>
    <w:pPr>
      <w:spacing w:before="100" w:beforeAutospacing="1" w:after="100" w:afterAutospacing="1" w:line="375" w:lineRule="atLeast"/>
    </w:pPr>
    <w:rPr>
      <w:b/>
      <w:szCs w:val="20"/>
    </w:rPr>
  </w:style>
  <w:style w:type="paragraph" w:customStyle="1" w:styleId="coviewhighlighttext">
    <w:name w:val="co_viewhighlighttext"/>
    <w:basedOn w:val="Normal"/>
    <w:rsid w:val="00435883"/>
    <w:pPr>
      <w:spacing w:before="100" w:beforeAutospacing="1" w:after="100" w:afterAutospacing="1"/>
    </w:pPr>
    <w:rPr>
      <w:bCs w:val="0"/>
      <w:color w:val="777777"/>
      <w:sz w:val="24"/>
    </w:rPr>
  </w:style>
  <w:style w:type="paragraph" w:customStyle="1" w:styleId="conotescloselink">
    <w:name w:val="co_notes_closelink"/>
    <w:basedOn w:val="Normal"/>
    <w:rsid w:val="00435883"/>
    <w:pPr>
      <w:pBdr>
        <w:left w:val="single" w:sz="6" w:space="4" w:color="BBDDBB"/>
      </w:pBdr>
      <w:spacing w:before="100" w:beforeAutospacing="1" w:after="100" w:afterAutospacing="1"/>
      <w:ind w:left="75"/>
    </w:pPr>
    <w:rPr>
      <w:bCs w:val="0"/>
      <w:sz w:val="24"/>
    </w:rPr>
  </w:style>
  <w:style w:type="paragraph" w:customStyle="1" w:styleId="conotesundolink">
    <w:name w:val="co_notes_undolink"/>
    <w:basedOn w:val="Normal"/>
    <w:rsid w:val="00435883"/>
    <w:pPr>
      <w:pBdr>
        <w:left w:val="single" w:sz="6" w:space="4" w:color="BBDDBB"/>
      </w:pBdr>
      <w:spacing w:before="100" w:beforeAutospacing="1" w:after="100" w:afterAutospacing="1"/>
      <w:ind w:left="75"/>
    </w:pPr>
    <w:rPr>
      <w:bCs w:val="0"/>
      <w:sz w:val="24"/>
    </w:rPr>
  </w:style>
  <w:style w:type="paragraph" w:customStyle="1" w:styleId="coannotationscheckbox">
    <w:name w:val="co_annotations_checkbox"/>
    <w:basedOn w:val="Normal"/>
    <w:rsid w:val="00435883"/>
    <w:pPr>
      <w:spacing w:before="100" w:beforeAutospacing="1" w:after="100" w:afterAutospacing="1"/>
      <w:jc w:val="center"/>
    </w:pPr>
    <w:rPr>
      <w:bCs w:val="0"/>
      <w:sz w:val="24"/>
    </w:rPr>
  </w:style>
  <w:style w:type="paragraph" w:customStyle="1" w:styleId="coannotationsdelete">
    <w:name w:val="co_annotations_delete"/>
    <w:basedOn w:val="Normal"/>
    <w:rsid w:val="00435883"/>
    <w:pPr>
      <w:spacing w:before="100" w:beforeAutospacing="1" w:after="100" w:afterAutospacing="1"/>
      <w:jc w:val="center"/>
    </w:pPr>
    <w:rPr>
      <w:bCs w:val="0"/>
      <w:sz w:val="24"/>
    </w:rPr>
  </w:style>
  <w:style w:type="paragraph" w:customStyle="1" w:styleId="coannotationsnumber">
    <w:name w:val="co_annotations_number"/>
    <w:basedOn w:val="Normal"/>
    <w:rsid w:val="00435883"/>
    <w:pPr>
      <w:spacing w:before="100" w:beforeAutospacing="1" w:after="100" w:afterAutospacing="1"/>
      <w:jc w:val="center"/>
    </w:pPr>
    <w:rPr>
      <w:bCs w:val="0"/>
      <w:sz w:val="24"/>
    </w:rPr>
  </w:style>
  <w:style w:type="paragraph" w:customStyle="1" w:styleId="coannotationstype">
    <w:name w:val="co_annotations_type"/>
    <w:basedOn w:val="Normal"/>
    <w:rsid w:val="00435883"/>
    <w:pPr>
      <w:spacing w:before="100" w:beforeAutospacing="1" w:after="100" w:afterAutospacing="1"/>
      <w:jc w:val="center"/>
    </w:pPr>
    <w:rPr>
      <w:bCs w:val="0"/>
      <w:sz w:val="24"/>
    </w:rPr>
  </w:style>
  <w:style w:type="paragraph" w:customStyle="1" w:styleId="coannotationsnotetext">
    <w:name w:val="co_annotations_note_text"/>
    <w:basedOn w:val="Normal"/>
    <w:rsid w:val="00435883"/>
    <w:pPr>
      <w:spacing w:before="100" w:beforeAutospacing="1" w:after="100" w:afterAutospacing="1"/>
    </w:pPr>
    <w:rPr>
      <w:bCs w:val="0"/>
      <w:color w:val="252525"/>
      <w:sz w:val="24"/>
    </w:rPr>
  </w:style>
  <w:style w:type="paragraph" w:customStyle="1" w:styleId="coannotationsnotehighlighttext">
    <w:name w:val="co_annotations_note_highlight_text"/>
    <w:basedOn w:val="Normal"/>
    <w:rsid w:val="00435883"/>
    <w:pPr>
      <w:spacing w:before="100" w:beforeAutospacing="1" w:after="100" w:afterAutospacing="1"/>
    </w:pPr>
    <w:rPr>
      <w:bCs w:val="0"/>
      <w:color w:val="BBBBBB"/>
      <w:sz w:val="24"/>
    </w:rPr>
  </w:style>
  <w:style w:type="paragraph" w:customStyle="1" w:styleId="coannotationwarningfurtherassistance">
    <w:name w:val="co_annotation_warning_further_assistance"/>
    <w:basedOn w:val="Normal"/>
    <w:rsid w:val="00435883"/>
    <w:pPr>
      <w:spacing w:before="100" w:beforeAutospacing="1" w:after="100" w:afterAutospacing="1"/>
    </w:pPr>
    <w:rPr>
      <w:bCs w:val="0"/>
      <w:sz w:val="24"/>
    </w:rPr>
  </w:style>
  <w:style w:type="paragraph" w:customStyle="1" w:styleId="conoteiconedit">
    <w:name w:val="co_noteicon_edit"/>
    <w:basedOn w:val="Normal"/>
    <w:rsid w:val="00435883"/>
    <w:pPr>
      <w:spacing w:before="195" w:after="195"/>
      <w:ind w:left="150" w:right="150"/>
    </w:pPr>
    <w:rPr>
      <w:bCs w:val="0"/>
      <w:sz w:val="22"/>
      <w:szCs w:val="22"/>
    </w:rPr>
  </w:style>
  <w:style w:type="paragraph" w:customStyle="1" w:styleId="cocenterblock">
    <w:name w:val="co_centerblock"/>
    <w:basedOn w:val="Normal"/>
    <w:rsid w:val="00435883"/>
    <w:pPr>
      <w:spacing w:before="100" w:beforeAutospacing="1" w:after="100" w:afterAutospacing="1"/>
      <w:jc w:val="center"/>
    </w:pPr>
    <w:rPr>
      <w:bCs w:val="0"/>
      <w:sz w:val="24"/>
    </w:rPr>
  </w:style>
  <w:style w:type="paragraph" w:customStyle="1" w:styleId="corightblock">
    <w:name w:val="co_rightblock"/>
    <w:basedOn w:val="Normal"/>
    <w:rsid w:val="00435883"/>
    <w:pPr>
      <w:spacing w:before="100" w:beforeAutospacing="1" w:after="100" w:afterAutospacing="1"/>
      <w:jc w:val="right"/>
    </w:pPr>
    <w:rPr>
      <w:bCs w:val="0"/>
      <w:sz w:val="24"/>
    </w:rPr>
  </w:style>
  <w:style w:type="paragraph" w:customStyle="1" w:styleId="cojustifyblock">
    <w:name w:val="co_justifyblock"/>
    <w:basedOn w:val="Normal"/>
    <w:rsid w:val="00435883"/>
    <w:pPr>
      <w:spacing w:before="100" w:beforeAutospacing="1" w:after="100" w:afterAutospacing="1"/>
      <w:jc w:val="both"/>
    </w:pPr>
    <w:rPr>
      <w:bCs w:val="0"/>
      <w:sz w:val="24"/>
    </w:rPr>
  </w:style>
  <w:style w:type="paragraph" w:customStyle="1" w:styleId="coindentblock">
    <w:name w:val="co_indentblock"/>
    <w:basedOn w:val="Normal"/>
    <w:rsid w:val="00435883"/>
    <w:pPr>
      <w:spacing w:before="100" w:beforeAutospacing="1" w:after="100" w:afterAutospacing="1"/>
    </w:pPr>
    <w:rPr>
      <w:bCs w:val="0"/>
      <w:sz w:val="24"/>
    </w:rPr>
  </w:style>
  <w:style w:type="paragraph" w:customStyle="1" w:styleId="cospacebreak">
    <w:name w:val="co_spacebreak"/>
    <w:basedOn w:val="Normal"/>
    <w:rsid w:val="00435883"/>
    <w:pPr>
      <w:spacing w:before="100" w:beforeAutospacing="1" w:after="100" w:afterAutospacing="1"/>
    </w:pPr>
    <w:rPr>
      <w:bCs w:val="0"/>
      <w:sz w:val="24"/>
    </w:rPr>
  </w:style>
  <w:style w:type="paragraph" w:customStyle="1" w:styleId="cospacewrap">
    <w:name w:val="co_spacewrap"/>
    <w:basedOn w:val="Normal"/>
    <w:rsid w:val="00435883"/>
    <w:pPr>
      <w:spacing w:before="100" w:beforeAutospacing="1" w:after="100" w:afterAutospacing="1"/>
    </w:pPr>
    <w:rPr>
      <w:bCs w:val="0"/>
      <w:sz w:val="24"/>
    </w:rPr>
  </w:style>
  <w:style w:type="paragraph" w:customStyle="1" w:styleId="coprofilertable">
    <w:name w:val="co_profilertable"/>
    <w:basedOn w:val="Normal"/>
    <w:rsid w:val="00435883"/>
    <w:pPr>
      <w:spacing w:after="100" w:afterAutospacing="1"/>
    </w:pPr>
    <w:rPr>
      <w:bCs w:val="0"/>
      <w:sz w:val="24"/>
    </w:rPr>
  </w:style>
  <w:style w:type="paragraph" w:customStyle="1" w:styleId="coprofilerimage">
    <w:name w:val="co_profilerimage"/>
    <w:basedOn w:val="Normal"/>
    <w:rsid w:val="00435883"/>
    <w:pPr>
      <w:spacing w:before="100" w:beforeAutospacing="1" w:after="100" w:afterAutospacing="1"/>
    </w:pPr>
    <w:rPr>
      <w:bCs w:val="0"/>
      <w:sz w:val="24"/>
    </w:rPr>
  </w:style>
  <w:style w:type="paragraph" w:customStyle="1" w:styleId="xauthor">
    <w:name w:val="x_author"/>
    <w:basedOn w:val="Normal"/>
    <w:rsid w:val="00435883"/>
    <w:pPr>
      <w:spacing w:before="100" w:beforeAutospacing="1" w:after="100" w:afterAutospacing="1"/>
      <w:jc w:val="center"/>
    </w:pPr>
    <w:rPr>
      <w:bCs w:val="0"/>
      <w:sz w:val="24"/>
    </w:rPr>
  </w:style>
  <w:style w:type="paragraph" w:customStyle="1" w:styleId="xdivisionname">
    <w:name w:val="x_divisionname"/>
    <w:basedOn w:val="Normal"/>
    <w:rsid w:val="00435883"/>
    <w:pPr>
      <w:spacing w:before="240" w:after="240"/>
      <w:jc w:val="center"/>
    </w:pPr>
    <w:rPr>
      <w:bCs w:val="0"/>
      <w:sz w:val="24"/>
    </w:rPr>
  </w:style>
  <w:style w:type="paragraph" w:customStyle="1" w:styleId="xeditor">
    <w:name w:val="x_editor"/>
    <w:basedOn w:val="Normal"/>
    <w:rsid w:val="00435883"/>
    <w:pPr>
      <w:spacing w:before="100" w:beforeAutospacing="1" w:after="100" w:afterAutospacing="1"/>
      <w:jc w:val="center"/>
    </w:pPr>
    <w:rPr>
      <w:bCs w:val="0"/>
      <w:sz w:val="24"/>
    </w:rPr>
  </w:style>
  <w:style w:type="paragraph" w:customStyle="1" w:styleId="xpubname">
    <w:name w:val="x_pubname"/>
    <w:basedOn w:val="Normal"/>
    <w:rsid w:val="00435883"/>
    <w:pPr>
      <w:spacing w:before="100" w:beforeAutospacing="1" w:after="100" w:afterAutospacing="1"/>
      <w:jc w:val="center"/>
    </w:pPr>
    <w:rPr>
      <w:bCs w:val="0"/>
      <w:sz w:val="24"/>
    </w:rPr>
  </w:style>
  <w:style w:type="paragraph" w:customStyle="1" w:styleId="xpubsource">
    <w:name w:val="x_pubsource"/>
    <w:basedOn w:val="Normal"/>
    <w:rsid w:val="00435883"/>
    <w:pPr>
      <w:spacing w:before="100" w:beforeAutospacing="1" w:after="100" w:afterAutospacing="1"/>
      <w:jc w:val="center"/>
    </w:pPr>
    <w:rPr>
      <w:bCs w:val="0"/>
      <w:sz w:val="24"/>
    </w:rPr>
  </w:style>
  <w:style w:type="paragraph" w:customStyle="1" w:styleId="xpubtype">
    <w:name w:val="x_pubtype"/>
    <w:basedOn w:val="Normal"/>
    <w:rsid w:val="00435883"/>
    <w:pPr>
      <w:spacing w:before="100" w:beforeAutospacing="1" w:after="100" w:afterAutospacing="1"/>
      <w:jc w:val="center"/>
    </w:pPr>
    <w:rPr>
      <w:bCs w:val="0"/>
      <w:sz w:val="24"/>
    </w:rPr>
  </w:style>
  <w:style w:type="paragraph" w:customStyle="1" w:styleId="cosidebarblock">
    <w:name w:val="co_sidebarblock"/>
    <w:basedOn w:val="Normal"/>
    <w:rsid w:val="00435883"/>
    <w:pPr>
      <w:pBdr>
        <w:top w:val="single" w:sz="6" w:space="12" w:color="252525"/>
        <w:left w:val="single" w:sz="6" w:space="12" w:color="252525"/>
        <w:bottom w:val="single" w:sz="6" w:space="12" w:color="252525"/>
        <w:right w:val="single" w:sz="6" w:space="12" w:color="252525"/>
      </w:pBdr>
      <w:spacing w:before="480" w:after="100" w:afterAutospacing="1"/>
    </w:pPr>
    <w:rPr>
      <w:bCs w:val="0"/>
      <w:sz w:val="24"/>
    </w:rPr>
  </w:style>
  <w:style w:type="paragraph" w:customStyle="1" w:styleId="xsidebarblock">
    <w:name w:val="x_sidebarblock"/>
    <w:basedOn w:val="Normal"/>
    <w:rsid w:val="00435883"/>
    <w:pPr>
      <w:pBdr>
        <w:top w:val="single" w:sz="6" w:space="12" w:color="252525"/>
        <w:left w:val="single" w:sz="6" w:space="12" w:color="252525"/>
        <w:bottom w:val="single" w:sz="6" w:space="12" w:color="252525"/>
        <w:right w:val="single" w:sz="6" w:space="12" w:color="252525"/>
      </w:pBdr>
      <w:spacing w:before="480" w:after="100" w:afterAutospacing="1"/>
    </w:pPr>
    <w:rPr>
      <w:bCs w:val="0"/>
      <w:sz w:val="24"/>
    </w:rPr>
  </w:style>
  <w:style w:type="paragraph" w:customStyle="1" w:styleId="cosidebartitle">
    <w:name w:val="co_sidebartitle"/>
    <w:basedOn w:val="Normal"/>
    <w:rsid w:val="00435883"/>
    <w:pPr>
      <w:spacing w:before="100" w:beforeAutospacing="1" w:after="240"/>
      <w:jc w:val="center"/>
    </w:pPr>
    <w:rPr>
      <w:b/>
      <w:sz w:val="24"/>
    </w:rPr>
  </w:style>
  <w:style w:type="paragraph" w:customStyle="1" w:styleId="cotitleprefix">
    <w:name w:val="co_titleprefix"/>
    <w:basedOn w:val="Normal"/>
    <w:rsid w:val="00435883"/>
    <w:pPr>
      <w:spacing w:before="100" w:beforeAutospacing="1" w:after="100" w:afterAutospacing="1"/>
    </w:pPr>
    <w:rPr>
      <w:b/>
      <w:sz w:val="24"/>
    </w:rPr>
  </w:style>
  <w:style w:type="paragraph" w:customStyle="1" w:styleId="coauthorscisearch">
    <w:name w:val="co_authorscisearch"/>
    <w:basedOn w:val="Normal"/>
    <w:rsid w:val="00435883"/>
    <w:pPr>
      <w:spacing w:before="240" w:after="100" w:afterAutospacing="1"/>
    </w:pPr>
    <w:rPr>
      <w:bCs w:val="0"/>
      <w:sz w:val="24"/>
    </w:rPr>
  </w:style>
  <w:style w:type="paragraph" w:customStyle="1" w:styleId="cosourceblock">
    <w:name w:val="co_sourceblock"/>
    <w:basedOn w:val="Normal"/>
    <w:rsid w:val="00435883"/>
    <w:pPr>
      <w:spacing w:before="240" w:after="100" w:afterAutospacing="1"/>
    </w:pPr>
    <w:rPr>
      <w:bCs w:val="0"/>
      <w:sz w:val="24"/>
    </w:rPr>
  </w:style>
  <w:style w:type="paragraph" w:customStyle="1" w:styleId="publicationblockclass">
    <w:name w:val="publicationblockclass"/>
    <w:basedOn w:val="Normal"/>
    <w:rsid w:val="00435883"/>
    <w:pPr>
      <w:spacing w:before="240" w:after="100" w:afterAutospacing="1"/>
    </w:pPr>
    <w:rPr>
      <w:bCs w:val="0"/>
      <w:sz w:val="24"/>
    </w:rPr>
  </w:style>
  <w:style w:type="paragraph" w:customStyle="1" w:styleId="copolicynumbercolumn">
    <w:name w:val="co_policynumbercolumn"/>
    <w:basedOn w:val="Normal"/>
    <w:rsid w:val="00435883"/>
    <w:pPr>
      <w:spacing w:before="100" w:beforeAutospacing="1" w:after="100" w:afterAutospacing="1"/>
      <w:textAlignment w:val="top"/>
    </w:pPr>
    <w:rPr>
      <w:bCs w:val="0"/>
      <w:sz w:val="24"/>
    </w:rPr>
  </w:style>
  <w:style w:type="paragraph" w:customStyle="1" w:styleId="copolicydefinitioncolumn">
    <w:name w:val="co_policydefinitioncolumn"/>
    <w:basedOn w:val="Normal"/>
    <w:rsid w:val="00435883"/>
    <w:pPr>
      <w:spacing w:before="100" w:beforeAutospacing="1" w:after="100" w:afterAutospacing="1"/>
      <w:textAlignment w:val="top"/>
    </w:pPr>
    <w:rPr>
      <w:bCs w:val="0"/>
      <w:sz w:val="24"/>
    </w:rPr>
  </w:style>
  <w:style w:type="paragraph" w:customStyle="1" w:styleId="xfindingaid">
    <w:name w:val="x_findingaid"/>
    <w:basedOn w:val="Normal"/>
    <w:rsid w:val="00435883"/>
    <w:pPr>
      <w:spacing w:before="100" w:beforeAutospacing="1" w:after="100" w:afterAutospacing="1"/>
      <w:ind w:left="480"/>
    </w:pPr>
    <w:rPr>
      <w:bCs w:val="0"/>
      <w:sz w:val="24"/>
    </w:rPr>
  </w:style>
  <w:style w:type="paragraph" w:customStyle="1" w:styleId="cokeyruleslabelname">
    <w:name w:val="co_keyruleslabelname"/>
    <w:basedOn w:val="Normal"/>
    <w:rsid w:val="00435883"/>
    <w:pPr>
      <w:spacing w:before="100" w:beforeAutospacing="1" w:after="100" w:afterAutospacing="1"/>
    </w:pPr>
    <w:rPr>
      <w:bCs w:val="0"/>
      <w:i/>
      <w:iCs/>
      <w:sz w:val="24"/>
    </w:rPr>
  </w:style>
  <w:style w:type="paragraph" w:customStyle="1" w:styleId="coxenad2">
    <w:name w:val="co_xena_d2"/>
    <w:basedOn w:val="Normal"/>
    <w:rsid w:val="00435883"/>
    <w:pPr>
      <w:spacing w:before="100" w:beforeAutospacing="1" w:after="100" w:afterAutospacing="1"/>
      <w:jc w:val="center"/>
    </w:pPr>
    <w:rPr>
      <w:bCs w:val="0"/>
      <w:sz w:val="24"/>
    </w:rPr>
  </w:style>
  <w:style w:type="paragraph" w:customStyle="1" w:styleId="coxenad3">
    <w:name w:val="co_xena_d3"/>
    <w:basedOn w:val="Normal"/>
    <w:rsid w:val="00435883"/>
    <w:pPr>
      <w:spacing w:before="100" w:beforeAutospacing="1" w:after="240"/>
      <w:jc w:val="center"/>
    </w:pPr>
    <w:rPr>
      <w:bCs w:val="0"/>
      <w:sz w:val="24"/>
    </w:rPr>
  </w:style>
  <w:style w:type="paragraph" w:customStyle="1" w:styleId="coxenad4">
    <w:name w:val="co_xena_d4"/>
    <w:basedOn w:val="Normal"/>
    <w:rsid w:val="00435883"/>
    <w:pPr>
      <w:spacing w:before="240" w:after="100" w:afterAutospacing="1"/>
      <w:jc w:val="center"/>
    </w:pPr>
    <w:rPr>
      <w:bCs w:val="0"/>
      <w:sz w:val="24"/>
    </w:rPr>
  </w:style>
  <w:style w:type="paragraph" w:customStyle="1" w:styleId="coxenad5">
    <w:name w:val="co_xena_d5"/>
    <w:basedOn w:val="Normal"/>
    <w:rsid w:val="00435883"/>
    <w:pPr>
      <w:spacing w:before="240" w:after="240"/>
      <w:jc w:val="center"/>
    </w:pPr>
    <w:rPr>
      <w:bCs w:val="0"/>
      <w:sz w:val="24"/>
    </w:rPr>
  </w:style>
  <w:style w:type="paragraph" w:customStyle="1" w:styleId="coxenad7">
    <w:name w:val="co_xena_d7"/>
    <w:basedOn w:val="Normal"/>
    <w:rsid w:val="00435883"/>
    <w:pPr>
      <w:spacing w:before="100" w:beforeAutospacing="1" w:after="240"/>
    </w:pPr>
    <w:rPr>
      <w:bCs w:val="0"/>
      <w:sz w:val="24"/>
    </w:rPr>
  </w:style>
  <w:style w:type="paragraph" w:customStyle="1" w:styleId="coxenad9">
    <w:name w:val="co_xena_d9"/>
    <w:basedOn w:val="Normal"/>
    <w:rsid w:val="00435883"/>
    <w:pPr>
      <w:spacing w:before="240" w:after="240"/>
    </w:pPr>
    <w:rPr>
      <w:bCs w:val="0"/>
      <w:sz w:val="24"/>
    </w:rPr>
  </w:style>
  <w:style w:type="paragraph" w:customStyle="1" w:styleId="coxenad8">
    <w:name w:val="co_xena_d8"/>
    <w:basedOn w:val="Normal"/>
    <w:rsid w:val="00435883"/>
    <w:pPr>
      <w:spacing w:before="240" w:after="100" w:afterAutospacing="1"/>
    </w:pPr>
    <w:rPr>
      <w:bCs w:val="0"/>
      <w:sz w:val="24"/>
    </w:rPr>
  </w:style>
  <w:style w:type="paragraph" w:customStyle="1" w:styleId="beheadercitationlist">
    <w:name w:val="be_headercitationlist"/>
    <w:basedOn w:val="Normal"/>
    <w:rsid w:val="00435883"/>
    <w:pPr>
      <w:spacing w:before="100" w:beforeAutospacing="1" w:after="100" w:afterAutospacing="1"/>
    </w:pPr>
    <w:rPr>
      <w:bCs w:val="0"/>
      <w:sz w:val="24"/>
    </w:rPr>
  </w:style>
  <w:style w:type="paragraph" w:customStyle="1" w:styleId="beheadercourt">
    <w:name w:val="be_header_court"/>
    <w:basedOn w:val="Normal"/>
    <w:rsid w:val="00435883"/>
    <w:pPr>
      <w:spacing w:before="100" w:beforeAutospacing="1" w:after="100" w:afterAutospacing="1"/>
    </w:pPr>
    <w:rPr>
      <w:bCs w:val="0"/>
      <w:sz w:val="24"/>
    </w:rPr>
  </w:style>
  <w:style w:type="paragraph" w:customStyle="1" w:styleId="beheaderdocketnumber">
    <w:name w:val="be_header_docketnumber"/>
    <w:basedOn w:val="Normal"/>
    <w:rsid w:val="00435883"/>
    <w:pPr>
      <w:pBdr>
        <w:left w:val="single" w:sz="6" w:space="0" w:color="E5E5E5"/>
      </w:pBdr>
      <w:spacing w:before="100" w:beforeAutospacing="1" w:after="100" w:afterAutospacing="1"/>
    </w:pPr>
    <w:rPr>
      <w:bCs w:val="0"/>
      <w:sz w:val="24"/>
    </w:rPr>
  </w:style>
  <w:style w:type="paragraph" w:customStyle="1" w:styleId="codocketstoorder">
    <w:name w:val="co_docketstoorder"/>
    <w:basedOn w:val="Normal"/>
    <w:rsid w:val="00435883"/>
    <w:pPr>
      <w:spacing w:before="100" w:beforeAutospacing="1" w:after="240"/>
    </w:pPr>
    <w:rPr>
      <w:bCs w:val="0"/>
      <w:sz w:val="24"/>
    </w:rPr>
  </w:style>
  <w:style w:type="paragraph" w:customStyle="1" w:styleId="codocketscurrentblock">
    <w:name w:val="co_docketscurrentblock"/>
    <w:basedOn w:val="Normal"/>
    <w:rsid w:val="00435883"/>
    <w:pPr>
      <w:spacing w:before="100" w:beforeAutospacing="1" w:after="240"/>
    </w:pPr>
    <w:rPr>
      <w:bCs w:val="0"/>
      <w:sz w:val="24"/>
    </w:rPr>
  </w:style>
  <w:style w:type="paragraph" w:customStyle="1" w:styleId="codocketsheading">
    <w:name w:val="co_docketsheading"/>
    <w:basedOn w:val="Normal"/>
    <w:rsid w:val="00435883"/>
    <w:pPr>
      <w:pBdr>
        <w:top w:val="single" w:sz="6" w:space="0" w:color="D6D6D6"/>
        <w:left w:val="single" w:sz="6" w:space="6" w:color="D6D6D6"/>
        <w:bottom w:val="single" w:sz="2" w:space="0" w:color="D6D6D6"/>
        <w:right w:val="single" w:sz="6" w:space="6" w:color="D6D6D6"/>
      </w:pBdr>
      <w:shd w:val="clear" w:color="auto" w:fill="D6D6D6"/>
      <w:spacing w:before="100" w:beforeAutospacing="1" w:after="100" w:afterAutospacing="1" w:line="555" w:lineRule="atLeast"/>
    </w:pPr>
    <w:rPr>
      <w:bCs w:val="0"/>
      <w:sz w:val="24"/>
    </w:rPr>
  </w:style>
  <w:style w:type="paragraph" w:customStyle="1" w:styleId="codocketsrow">
    <w:name w:val="co_docketsrow"/>
    <w:basedOn w:val="Normal"/>
    <w:rsid w:val="00435883"/>
    <w:pPr>
      <w:pBdr>
        <w:top w:val="single" w:sz="2" w:space="0" w:color="D6D6D6"/>
        <w:left w:val="single" w:sz="6" w:space="0" w:color="D6D6D6"/>
        <w:bottom w:val="single" w:sz="6" w:space="0" w:color="D6D6D6"/>
        <w:right w:val="single" w:sz="6" w:space="0" w:color="D6D6D6"/>
      </w:pBdr>
      <w:spacing w:before="100" w:beforeAutospacing="1" w:after="100" w:afterAutospacing="1"/>
    </w:pPr>
    <w:rPr>
      <w:bCs w:val="0"/>
      <w:sz w:val="24"/>
    </w:rPr>
  </w:style>
  <w:style w:type="paragraph" w:customStyle="1" w:styleId="beinternaltoolbarbottom">
    <w:name w:val="be_internaltoolbar_bottom"/>
    <w:basedOn w:val="Normal"/>
    <w:rsid w:val="00435883"/>
    <w:pPr>
      <w:shd w:val="clear" w:color="auto" w:fill="F4F4F4"/>
      <w:spacing w:before="100" w:beforeAutospacing="1" w:after="100" w:afterAutospacing="1" w:line="330" w:lineRule="atLeast"/>
    </w:pPr>
    <w:rPr>
      <w:bCs w:val="0"/>
      <w:sz w:val="19"/>
      <w:szCs w:val="19"/>
    </w:rPr>
  </w:style>
  <w:style w:type="paragraph" w:customStyle="1" w:styleId="beinternaltoolbartop">
    <w:name w:val="be_internaltoolbar_top"/>
    <w:basedOn w:val="Normal"/>
    <w:rsid w:val="00435883"/>
    <w:pPr>
      <w:shd w:val="clear" w:color="auto" w:fill="F4F4F4"/>
      <w:spacing w:before="100" w:beforeAutospacing="1" w:after="100" w:afterAutospacing="1" w:line="330" w:lineRule="atLeast"/>
    </w:pPr>
    <w:rPr>
      <w:bCs w:val="0"/>
      <w:sz w:val="19"/>
      <w:szCs w:val="19"/>
    </w:rPr>
  </w:style>
  <w:style w:type="paragraph" w:customStyle="1" w:styleId="codocketsrowcontentwrapper">
    <w:name w:val="co_docketsrow_contentwrapper"/>
    <w:basedOn w:val="Normal"/>
    <w:rsid w:val="00435883"/>
    <w:pPr>
      <w:spacing w:before="100" w:beforeAutospacing="1" w:after="100" w:afterAutospacing="1"/>
    </w:pPr>
    <w:rPr>
      <w:bCs w:val="0"/>
      <w:sz w:val="24"/>
    </w:rPr>
  </w:style>
  <w:style w:type="paragraph" w:customStyle="1" w:styleId="cocommentaryenhancement">
    <w:name w:val="co_commentaryenhancement"/>
    <w:basedOn w:val="Normal"/>
    <w:rsid w:val="00435883"/>
    <w:pPr>
      <w:spacing w:before="450" w:line="384" w:lineRule="atLeast"/>
    </w:pPr>
    <w:rPr>
      <w:bCs w:val="0"/>
      <w:sz w:val="26"/>
      <w:szCs w:val="26"/>
    </w:rPr>
  </w:style>
  <w:style w:type="paragraph" w:customStyle="1" w:styleId="coupdatedmaterials">
    <w:name w:val="co_updatedmaterials"/>
    <w:basedOn w:val="Normal"/>
    <w:rsid w:val="00435883"/>
    <w:pPr>
      <w:spacing w:before="100" w:beforeAutospacing="1" w:after="100" w:afterAutospacing="1"/>
    </w:pPr>
    <w:rPr>
      <w:bCs w:val="0"/>
      <w:color w:val="8CB3D8"/>
      <w:sz w:val="24"/>
    </w:rPr>
  </w:style>
  <w:style w:type="paragraph" w:customStyle="1" w:styleId="cofullscreenbutton">
    <w:name w:val="co_fullscreenbutton"/>
    <w:basedOn w:val="Normal"/>
    <w:rsid w:val="00435883"/>
    <w:pPr>
      <w:spacing w:before="525" w:after="75"/>
    </w:pPr>
    <w:rPr>
      <w:bCs w:val="0"/>
      <w:szCs w:val="20"/>
    </w:rPr>
  </w:style>
  <w:style w:type="paragraph" w:customStyle="1" w:styleId="co-taskboard">
    <w:name w:val="co-taskboard"/>
    <w:basedOn w:val="Normal"/>
    <w:rsid w:val="00435883"/>
    <w:pPr>
      <w:pBdr>
        <w:top w:val="single" w:sz="2" w:space="15" w:color="CCCCCC"/>
        <w:left w:val="single" w:sz="6" w:space="0" w:color="CCCCCC"/>
        <w:bottom w:val="single" w:sz="6" w:space="15" w:color="CCCCCC"/>
        <w:right w:val="single" w:sz="6" w:space="0" w:color="CCCCCC"/>
      </w:pBdr>
      <w:shd w:val="clear" w:color="auto" w:fill="F7F7F7"/>
      <w:spacing w:after="100" w:afterAutospacing="1"/>
    </w:pPr>
    <w:rPr>
      <w:bCs w:val="0"/>
      <w:sz w:val="24"/>
    </w:rPr>
  </w:style>
  <w:style w:type="paragraph" w:customStyle="1" w:styleId="co-taskboard-column">
    <w:name w:val="co-taskboard-column"/>
    <w:basedOn w:val="Normal"/>
    <w:rsid w:val="00435883"/>
    <w:pPr>
      <w:spacing w:before="100" w:beforeAutospacing="1" w:after="100" w:afterAutospacing="1"/>
      <w:textAlignment w:val="top"/>
    </w:pPr>
    <w:rPr>
      <w:bCs w:val="0"/>
      <w:sz w:val="24"/>
    </w:rPr>
  </w:style>
  <w:style w:type="paragraph" w:customStyle="1" w:styleId="co-taskboard-list">
    <w:name w:val="co-taskboard-list"/>
    <w:basedOn w:val="Normal"/>
    <w:rsid w:val="00435883"/>
    <w:pPr>
      <w:spacing w:before="100" w:beforeAutospacing="1" w:after="100" w:afterAutospacing="1"/>
      <w:ind w:left="180"/>
    </w:pPr>
    <w:rPr>
      <w:bCs w:val="0"/>
      <w:sz w:val="24"/>
    </w:rPr>
  </w:style>
  <w:style w:type="paragraph" w:customStyle="1" w:styleId="co-taskboard-listitem">
    <w:name w:val="co-taskboard-listitem"/>
    <w:basedOn w:val="Normal"/>
    <w:rsid w:val="00435883"/>
    <w:pPr>
      <w:pBdr>
        <w:top w:val="single" w:sz="6" w:space="0" w:color="CCCCCC"/>
        <w:left w:val="single" w:sz="6" w:space="0" w:color="CCCCCC"/>
        <w:bottom w:val="single" w:sz="6" w:space="0" w:color="CCCCCC"/>
        <w:right w:val="single" w:sz="6" w:space="0" w:color="CCCCCC"/>
      </w:pBdr>
      <w:shd w:val="clear" w:color="auto" w:fill="FFFFFF"/>
      <w:spacing w:before="100" w:beforeAutospacing="1" w:after="180"/>
    </w:pPr>
    <w:rPr>
      <w:bCs w:val="0"/>
      <w:sz w:val="24"/>
    </w:rPr>
  </w:style>
  <w:style w:type="paragraph" w:customStyle="1" w:styleId="co-taskboard-shorttitle">
    <w:name w:val="co-taskboard-shorttitle"/>
    <w:basedOn w:val="Normal"/>
    <w:rsid w:val="0043588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bCs w:val="0"/>
      <w:sz w:val="24"/>
    </w:rPr>
  </w:style>
  <w:style w:type="paragraph" w:customStyle="1" w:styleId="co-taskboard-tasktitle">
    <w:name w:val="co-taskboard-tasktitle"/>
    <w:basedOn w:val="Normal"/>
    <w:rsid w:val="00435883"/>
    <w:pPr>
      <w:spacing w:before="100" w:beforeAutospacing="1" w:after="100" w:afterAutospacing="1" w:line="300" w:lineRule="atLeast"/>
    </w:pPr>
    <w:rPr>
      <w:bCs w:val="0"/>
      <w:sz w:val="24"/>
    </w:rPr>
  </w:style>
  <w:style w:type="paragraph" w:customStyle="1" w:styleId="co-statictemplates-abstract">
    <w:name w:val="co-statictemplates-abstract"/>
    <w:basedOn w:val="Normal"/>
    <w:rsid w:val="00435883"/>
    <w:pPr>
      <w:pBdr>
        <w:top w:val="single" w:sz="6" w:space="18" w:color="CCCCCC"/>
      </w:pBdr>
      <w:spacing w:before="100" w:beforeAutospacing="1" w:after="100" w:afterAutospacing="1"/>
    </w:pPr>
    <w:rPr>
      <w:bCs w:val="0"/>
      <w:color w:val="6B6B6B"/>
      <w:sz w:val="24"/>
    </w:rPr>
  </w:style>
  <w:style w:type="paragraph" w:customStyle="1" w:styleId="co-taskboardtopscrollwrapper">
    <w:name w:val="co-taskboardtopscrollwrapper"/>
    <w:basedOn w:val="Normal"/>
    <w:rsid w:val="00435883"/>
    <w:pPr>
      <w:pBdr>
        <w:top w:val="single" w:sz="6" w:space="0" w:color="CCCCCC"/>
        <w:left w:val="single" w:sz="6" w:space="0" w:color="CCCCCC"/>
        <w:bottom w:val="single" w:sz="2" w:space="0" w:color="CCCCCC"/>
        <w:right w:val="single" w:sz="6" w:space="0" w:color="CCCCCC"/>
      </w:pBdr>
      <w:spacing w:before="300" w:after="100" w:afterAutospacing="1"/>
    </w:pPr>
    <w:rPr>
      <w:bCs w:val="0"/>
      <w:sz w:val="24"/>
    </w:rPr>
  </w:style>
  <w:style w:type="paragraph" w:customStyle="1" w:styleId="co-taskboardtopscroll">
    <w:name w:val="co-taskboardtopscroll"/>
    <w:basedOn w:val="Normal"/>
    <w:rsid w:val="00435883"/>
    <w:pPr>
      <w:spacing w:before="100" w:beforeAutospacing="1" w:after="100" w:afterAutospacing="1"/>
    </w:pPr>
    <w:rPr>
      <w:bCs w:val="0"/>
      <w:sz w:val="24"/>
    </w:rPr>
  </w:style>
  <w:style w:type="paragraph" w:customStyle="1" w:styleId="coanchoroffset">
    <w:name w:val="co_anchoroffset"/>
    <w:basedOn w:val="Normal"/>
    <w:rsid w:val="00435883"/>
    <w:pPr>
      <w:spacing w:before="100" w:beforeAutospacing="1" w:after="100" w:afterAutospacing="1"/>
    </w:pPr>
    <w:rPr>
      <w:bCs w:val="0"/>
      <w:sz w:val="24"/>
    </w:rPr>
  </w:style>
  <w:style w:type="paragraph" w:customStyle="1" w:styleId="menu-toggle">
    <w:name w:val="menu-toggle"/>
    <w:basedOn w:val="Normal"/>
    <w:rsid w:val="00435883"/>
    <w:pPr>
      <w:pBdr>
        <w:top w:val="single" w:sz="6" w:space="5" w:color="CCCCCC"/>
        <w:left w:val="single" w:sz="6" w:space="15" w:color="CCCCCC"/>
        <w:bottom w:val="single" w:sz="6" w:space="5" w:color="CCCCCC"/>
        <w:right w:val="single" w:sz="6" w:space="15" w:color="CCCCCC"/>
      </w:pBdr>
      <w:shd w:val="clear" w:color="auto" w:fill="FFFFFF"/>
      <w:spacing w:before="100" w:beforeAutospacing="1" w:after="100" w:afterAutospacing="1"/>
    </w:pPr>
    <w:rPr>
      <w:rFonts w:ascii="Arial" w:hAnsi="Arial" w:cs="Arial"/>
      <w:b/>
      <w:color w:val="505050"/>
      <w:sz w:val="26"/>
      <w:szCs w:val="26"/>
    </w:rPr>
  </w:style>
  <w:style w:type="paragraph" w:customStyle="1" w:styleId="khtoc">
    <w:name w:val="kh_toc"/>
    <w:basedOn w:val="Normal"/>
    <w:rsid w:val="00435883"/>
    <w:pPr>
      <w:spacing w:before="100" w:beforeAutospacing="1" w:after="100" w:afterAutospacing="1"/>
    </w:pPr>
    <w:rPr>
      <w:bCs w:val="0"/>
      <w:sz w:val="24"/>
    </w:rPr>
  </w:style>
  <w:style w:type="paragraph" w:customStyle="1" w:styleId="khtoc-content">
    <w:name w:val="kh_toc-content"/>
    <w:basedOn w:val="Normal"/>
    <w:rsid w:val="00435883"/>
    <w:pPr>
      <w:spacing w:before="100" w:beforeAutospacing="1" w:after="100" w:afterAutospacing="1"/>
    </w:pPr>
    <w:rPr>
      <w:bCs w:val="0"/>
      <w:vanish/>
      <w:sz w:val="24"/>
    </w:rPr>
  </w:style>
  <w:style w:type="paragraph" w:customStyle="1" w:styleId="khtoc-list">
    <w:name w:val="kh_toc-list"/>
    <w:basedOn w:val="Normal"/>
    <w:rsid w:val="00435883"/>
    <w:pPr>
      <w:spacing w:before="100" w:beforeAutospacing="1" w:after="100" w:afterAutospacing="1"/>
    </w:pPr>
    <w:rPr>
      <w:bCs w:val="0"/>
      <w:sz w:val="24"/>
    </w:rPr>
  </w:style>
  <w:style w:type="paragraph" w:customStyle="1" w:styleId="coplsplitdocument">
    <w:name w:val="co_pl_splitdocument"/>
    <w:basedOn w:val="Normal"/>
    <w:rsid w:val="00435883"/>
    <w:pPr>
      <w:pBdr>
        <w:bottom w:val="single" w:sz="6" w:space="0" w:color="CCCCCC"/>
      </w:pBdr>
      <w:spacing w:before="100" w:beforeAutospacing="1" w:after="100" w:afterAutospacing="1"/>
    </w:pPr>
    <w:rPr>
      <w:bCs w:val="0"/>
      <w:sz w:val="24"/>
    </w:rPr>
  </w:style>
  <w:style w:type="paragraph" w:customStyle="1" w:styleId="coukstatlocleftcol">
    <w:name w:val="co_ukstatloc_leftcol"/>
    <w:basedOn w:val="Normal"/>
    <w:rsid w:val="00435883"/>
    <w:pPr>
      <w:spacing w:before="100" w:beforeAutospacing="1" w:after="100" w:afterAutospacing="1"/>
    </w:pPr>
    <w:rPr>
      <w:bCs w:val="0"/>
      <w:sz w:val="24"/>
    </w:rPr>
  </w:style>
  <w:style w:type="paragraph" w:customStyle="1" w:styleId="coukstatlocrightcol">
    <w:name w:val="co_ukstatloc_rightcol"/>
    <w:basedOn w:val="Normal"/>
    <w:rsid w:val="00435883"/>
    <w:pPr>
      <w:spacing w:before="100" w:beforeAutospacing="1" w:after="100" w:afterAutospacing="1"/>
    </w:pPr>
    <w:rPr>
      <w:bCs w:val="0"/>
      <w:sz w:val="24"/>
    </w:rPr>
  </w:style>
  <w:style w:type="paragraph" w:customStyle="1" w:styleId="showindelivery">
    <w:name w:val="showindelivery"/>
    <w:basedOn w:val="Normal"/>
    <w:rsid w:val="00435883"/>
    <w:pPr>
      <w:spacing w:before="100" w:beforeAutospacing="1" w:after="100" w:afterAutospacing="1"/>
    </w:pPr>
    <w:rPr>
      <w:bCs w:val="0"/>
      <w:vanish/>
      <w:sz w:val="24"/>
    </w:rPr>
  </w:style>
  <w:style w:type="paragraph" w:customStyle="1" w:styleId="prheader">
    <w:name w:val="pr_header"/>
    <w:basedOn w:val="Normal"/>
    <w:rsid w:val="00435883"/>
    <w:pPr>
      <w:shd w:val="clear" w:color="auto" w:fill="ECECEC"/>
      <w:spacing w:before="150" w:after="150"/>
      <w:jc w:val="center"/>
    </w:pPr>
    <w:rPr>
      <w:b/>
      <w:sz w:val="24"/>
    </w:rPr>
  </w:style>
  <w:style w:type="paragraph" w:customStyle="1" w:styleId="prsubheader">
    <w:name w:val="pr_subheader"/>
    <w:basedOn w:val="Normal"/>
    <w:rsid w:val="00435883"/>
    <w:pPr>
      <w:shd w:val="clear" w:color="auto" w:fill="145DA4"/>
      <w:spacing w:line="450" w:lineRule="atLeast"/>
    </w:pPr>
    <w:rPr>
      <w:b/>
      <w:color w:val="FFFFFF"/>
      <w:sz w:val="24"/>
    </w:rPr>
  </w:style>
  <w:style w:type="paragraph" w:customStyle="1" w:styleId="prminireportdataheader">
    <w:name w:val="pr_minireportdataheader"/>
    <w:basedOn w:val="Normal"/>
    <w:rsid w:val="00435883"/>
    <w:pPr>
      <w:spacing w:before="100" w:beforeAutospacing="1" w:after="100" w:afterAutospacing="1"/>
    </w:pPr>
    <w:rPr>
      <w:b/>
      <w:sz w:val="24"/>
    </w:rPr>
  </w:style>
  <w:style w:type="paragraph" w:customStyle="1" w:styleId="prmargintop">
    <w:name w:val="pr_margintop"/>
    <w:basedOn w:val="Normal"/>
    <w:rsid w:val="00435883"/>
    <w:pPr>
      <w:spacing w:before="240" w:after="100" w:afterAutospacing="1"/>
    </w:pPr>
    <w:rPr>
      <w:bCs w:val="0"/>
      <w:sz w:val="24"/>
    </w:rPr>
  </w:style>
  <w:style w:type="paragraph" w:customStyle="1" w:styleId="prminireportpropertydata">
    <w:name w:val="pr_minireportpropertydata"/>
    <w:basedOn w:val="Normal"/>
    <w:rsid w:val="00435883"/>
    <w:pPr>
      <w:spacing w:before="100" w:beforeAutospacing="1" w:after="100" w:afterAutospacing="1"/>
    </w:pPr>
    <w:rPr>
      <w:bCs w:val="0"/>
      <w:sz w:val="24"/>
    </w:rPr>
  </w:style>
  <w:style w:type="paragraph" w:customStyle="1" w:styleId="prminireportentity">
    <w:name w:val="pr_minireportentity"/>
    <w:basedOn w:val="Normal"/>
    <w:rsid w:val="00435883"/>
    <w:pPr>
      <w:pBdr>
        <w:top w:val="single" w:sz="6" w:space="4" w:color="auto"/>
        <w:left w:val="single" w:sz="6" w:space="4" w:color="auto"/>
        <w:bottom w:val="single" w:sz="2" w:space="4" w:color="auto"/>
        <w:right w:val="single" w:sz="2" w:space="4" w:color="auto"/>
      </w:pBdr>
      <w:ind w:left="135" w:right="150"/>
    </w:pPr>
    <w:rPr>
      <w:b/>
      <w:sz w:val="24"/>
    </w:rPr>
  </w:style>
  <w:style w:type="paragraph" w:customStyle="1" w:styleId="prminireportheader">
    <w:name w:val="pr_minireportheader"/>
    <w:basedOn w:val="Normal"/>
    <w:rsid w:val="00435883"/>
    <w:pPr>
      <w:pBdr>
        <w:top w:val="single" w:sz="6" w:space="0" w:color="DFDFDF"/>
        <w:left w:val="single" w:sz="2" w:space="8" w:color="DFDFDF"/>
        <w:bottom w:val="single" w:sz="6" w:space="0" w:color="DFDFDF"/>
        <w:right w:val="single" w:sz="2" w:space="8" w:color="DFDFDF"/>
      </w:pBdr>
      <w:spacing w:before="100" w:beforeAutospacing="1" w:after="100" w:afterAutospacing="1" w:line="450" w:lineRule="atLeast"/>
      <w:ind w:left="45"/>
    </w:pPr>
    <w:rPr>
      <w:b/>
      <w:sz w:val="24"/>
    </w:rPr>
  </w:style>
  <w:style w:type="paragraph" w:customStyle="1" w:styleId="prminireportreporteddate">
    <w:name w:val="pr_minireportreporteddate"/>
    <w:basedOn w:val="Normal"/>
    <w:rsid w:val="00435883"/>
    <w:pPr>
      <w:spacing w:before="100" w:beforeAutospacing="1" w:after="100" w:afterAutospacing="1"/>
    </w:pPr>
    <w:rPr>
      <w:bCs w:val="0"/>
      <w:i/>
      <w:iCs/>
      <w:color w:val="666666"/>
      <w:sz w:val="24"/>
    </w:rPr>
  </w:style>
  <w:style w:type="paragraph" w:customStyle="1" w:styleId="prminireportpropertyitem">
    <w:name w:val="pr_minireportpropertyitem"/>
    <w:basedOn w:val="Normal"/>
    <w:rsid w:val="00435883"/>
    <w:pPr>
      <w:spacing w:before="100" w:beforeAutospacing="1" w:after="100" w:afterAutospacing="1"/>
    </w:pPr>
    <w:rPr>
      <w:bCs w:val="0"/>
      <w:sz w:val="24"/>
    </w:rPr>
  </w:style>
  <w:style w:type="paragraph" w:customStyle="1" w:styleId="pritemindex">
    <w:name w:val="pr_item_index"/>
    <w:basedOn w:val="Normal"/>
    <w:rsid w:val="00435883"/>
    <w:pPr>
      <w:spacing w:before="100" w:beforeAutospacing="1" w:after="100" w:afterAutospacing="1"/>
    </w:pPr>
    <w:rPr>
      <w:b/>
      <w:sz w:val="24"/>
    </w:rPr>
  </w:style>
  <w:style w:type="paragraph" w:customStyle="1" w:styleId="pritemvalue">
    <w:name w:val="pr_item_value"/>
    <w:basedOn w:val="Normal"/>
    <w:rsid w:val="00435883"/>
    <w:pPr>
      <w:spacing w:before="100" w:beforeAutospacing="1" w:after="100" w:afterAutospacing="1"/>
    </w:pPr>
    <w:rPr>
      <w:bCs w:val="0"/>
      <w:sz w:val="24"/>
    </w:rPr>
  </w:style>
  <w:style w:type="paragraph" w:customStyle="1" w:styleId="prfcradisclaimer">
    <w:name w:val="pr_fcradisclaimer"/>
    <w:basedOn w:val="Normal"/>
    <w:rsid w:val="00435883"/>
    <w:pPr>
      <w:spacing w:before="100" w:beforeAutospacing="1" w:after="100" w:afterAutospacing="1"/>
    </w:pPr>
    <w:rPr>
      <w:bCs w:val="0"/>
      <w:i/>
      <w:iCs/>
      <w:sz w:val="24"/>
    </w:rPr>
  </w:style>
  <w:style w:type="paragraph" w:customStyle="1" w:styleId="pmfulltextsummarylinking">
    <w:name w:val="pm_fulltextsummarylinking"/>
    <w:basedOn w:val="Normal"/>
    <w:rsid w:val="00435883"/>
    <w:pPr>
      <w:spacing w:before="100" w:beforeAutospacing="1" w:after="100" w:afterAutospacing="1"/>
      <w:jc w:val="right"/>
    </w:pPr>
    <w:rPr>
      <w:bCs w:val="0"/>
      <w:sz w:val="18"/>
      <w:szCs w:val="18"/>
    </w:rPr>
  </w:style>
  <w:style w:type="paragraph" w:customStyle="1" w:styleId="pmmessage">
    <w:name w:val="pm_message"/>
    <w:basedOn w:val="Normal"/>
    <w:rsid w:val="00435883"/>
    <w:pPr>
      <w:spacing w:before="150" w:after="150"/>
    </w:pPr>
    <w:rPr>
      <w:bCs w:val="0"/>
      <w:sz w:val="24"/>
    </w:rPr>
  </w:style>
  <w:style w:type="paragraph" w:customStyle="1" w:styleId="controlsetright">
    <w:name w:val="controlsetright"/>
    <w:basedOn w:val="Normal"/>
    <w:rsid w:val="00435883"/>
    <w:pPr>
      <w:spacing w:before="100" w:beforeAutospacing="1" w:after="100" w:afterAutospacing="1" w:line="390" w:lineRule="atLeast"/>
    </w:pPr>
    <w:rPr>
      <w:bCs w:val="0"/>
      <w:sz w:val="24"/>
    </w:rPr>
  </w:style>
  <w:style w:type="paragraph" w:customStyle="1" w:styleId="controlsetleft">
    <w:name w:val="controlsetleft"/>
    <w:basedOn w:val="Normal"/>
    <w:rsid w:val="00435883"/>
    <w:pPr>
      <w:spacing w:before="100" w:beforeAutospacing="1" w:after="100" w:afterAutospacing="1"/>
    </w:pPr>
    <w:rPr>
      <w:bCs w:val="0"/>
      <w:sz w:val="24"/>
    </w:rPr>
  </w:style>
  <w:style w:type="paragraph" w:customStyle="1" w:styleId="prdeliverytoclabel">
    <w:name w:val="pr_delivery_toclabel"/>
    <w:basedOn w:val="Normal"/>
    <w:rsid w:val="00435883"/>
    <w:pPr>
      <w:spacing w:before="100" w:beforeAutospacing="1" w:after="100" w:afterAutospacing="1"/>
    </w:pPr>
    <w:rPr>
      <w:bCs w:val="0"/>
      <w:sz w:val="24"/>
    </w:rPr>
  </w:style>
  <w:style w:type="paragraph" w:customStyle="1" w:styleId="prdeliverytocpagenumber">
    <w:name w:val="pr_delivery_tocpagenumber"/>
    <w:basedOn w:val="Normal"/>
    <w:rsid w:val="00435883"/>
    <w:pPr>
      <w:spacing w:before="100" w:beforeAutospacing="1" w:after="100" w:afterAutospacing="1"/>
      <w:jc w:val="right"/>
    </w:pPr>
    <w:rPr>
      <w:bCs w:val="0"/>
      <w:sz w:val="24"/>
    </w:rPr>
  </w:style>
  <w:style w:type="paragraph" w:customStyle="1" w:styleId="prlink">
    <w:name w:val="pr_link"/>
    <w:basedOn w:val="Normal"/>
    <w:rsid w:val="00435883"/>
    <w:pPr>
      <w:spacing w:before="100" w:beforeAutospacing="1" w:after="100" w:afterAutospacing="1"/>
    </w:pPr>
    <w:rPr>
      <w:bCs w:val="0"/>
      <w:color w:val="000000"/>
      <w:sz w:val="24"/>
    </w:rPr>
  </w:style>
  <w:style w:type="paragraph" w:customStyle="1" w:styleId="pmsourcelink">
    <w:name w:val="pm_sourcelink"/>
    <w:basedOn w:val="Normal"/>
    <w:rsid w:val="00435883"/>
    <w:pPr>
      <w:spacing w:before="100" w:beforeAutospacing="1" w:after="100" w:afterAutospacing="1"/>
    </w:pPr>
    <w:rPr>
      <w:bCs w:val="0"/>
      <w:sz w:val="24"/>
    </w:rPr>
  </w:style>
  <w:style w:type="paragraph" w:customStyle="1" w:styleId="pmdivider">
    <w:name w:val="pm_divider"/>
    <w:basedOn w:val="Normal"/>
    <w:rsid w:val="00435883"/>
    <w:pPr>
      <w:spacing w:before="100" w:beforeAutospacing="1" w:after="100" w:afterAutospacing="1"/>
      <w:jc w:val="center"/>
    </w:pPr>
    <w:rPr>
      <w:bCs w:val="0"/>
      <w:vanish/>
      <w:color w:val="CCCCCC"/>
      <w:sz w:val="24"/>
    </w:rPr>
  </w:style>
  <w:style w:type="paragraph" w:customStyle="1" w:styleId="pmreported">
    <w:name w:val="pm_reported"/>
    <w:basedOn w:val="Normal"/>
    <w:rsid w:val="00435883"/>
    <w:pPr>
      <w:spacing w:before="100" w:beforeAutospacing="1" w:after="100" w:afterAutospacing="1"/>
    </w:pPr>
    <w:rPr>
      <w:bCs w:val="0"/>
      <w:i/>
      <w:iCs/>
      <w:sz w:val="24"/>
    </w:rPr>
  </w:style>
  <w:style w:type="paragraph" w:customStyle="1" w:styleId="pmreportaddress">
    <w:name w:val="pm_reportaddress"/>
    <w:basedOn w:val="Normal"/>
    <w:rsid w:val="00435883"/>
    <w:pPr>
      <w:spacing w:before="100" w:beforeAutospacing="1" w:after="100" w:afterAutospacing="1"/>
    </w:pPr>
    <w:rPr>
      <w:b/>
      <w:sz w:val="24"/>
    </w:rPr>
  </w:style>
  <w:style w:type="paragraph" w:customStyle="1" w:styleId="pmheaderaddress">
    <w:name w:val="pm_headeraddress"/>
    <w:basedOn w:val="Normal"/>
    <w:rsid w:val="00435883"/>
    <w:pPr>
      <w:spacing w:before="100" w:beforeAutospacing="1" w:after="100" w:afterAutospacing="1"/>
    </w:pPr>
    <w:rPr>
      <w:bCs w:val="0"/>
      <w:sz w:val="24"/>
    </w:rPr>
  </w:style>
  <w:style w:type="paragraph" w:customStyle="1" w:styleId="pmheadername">
    <w:name w:val="pm_headername"/>
    <w:basedOn w:val="Normal"/>
    <w:rsid w:val="00435883"/>
    <w:pPr>
      <w:spacing w:before="100" w:beforeAutospacing="1" w:after="100" w:afterAutospacing="1"/>
    </w:pPr>
    <w:rPr>
      <w:bCs w:val="0"/>
      <w:sz w:val="24"/>
    </w:rPr>
  </w:style>
  <w:style w:type="paragraph" w:customStyle="1" w:styleId="copersonheaderinfo">
    <w:name w:val="co_personheaderinfo"/>
    <w:basedOn w:val="Normal"/>
    <w:rsid w:val="00435883"/>
    <w:pPr>
      <w:spacing w:before="100" w:beforeAutospacing="1" w:after="100" w:afterAutospacing="1"/>
    </w:pPr>
    <w:rPr>
      <w:bCs w:val="0"/>
      <w:sz w:val="24"/>
    </w:rPr>
  </w:style>
  <w:style w:type="paragraph" w:customStyle="1" w:styleId="coidnum">
    <w:name w:val="co_idnum"/>
    <w:basedOn w:val="Normal"/>
    <w:rsid w:val="00435883"/>
    <w:pPr>
      <w:spacing w:before="100" w:beforeAutospacing="1" w:after="100" w:afterAutospacing="1"/>
    </w:pPr>
    <w:rPr>
      <w:rFonts w:ascii="Georgia" w:hAnsi="Georgia"/>
      <w:bCs w:val="0"/>
      <w:color w:val="6A6A6A"/>
      <w:sz w:val="18"/>
      <w:szCs w:val="18"/>
    </w:rPr>
  </w:style>
  <w:style w:type="paragraph" w:customStyle="1" w:styleId="cosummarybox">
    <w:name w:val="co_summarybox"/>
    <w:basedOn w:val="Normal"/>
    <w:rsid w:val="00435883"/>
    <w:pPr>
      <w:spacing w:before="100" w:beforeAutospacing="1" w:after="150"/>
    </w:pPr>
    <w:rPr>
      <w:bCs w:val="0"/>
      <w:sz w:val="24"/>
    </w:rPr>
  </w:style>
  <w:style w:type="paragraph" w:customStyle="1" w:styleId="cosummaryboxbl">
    <w:name w:val="co_summarybox_bl"/>
    <w:basedOn w:val="Normal"/>
    <w:rsid w:val="00435883"/>
    <w:pPr>
      <w:spacing w:before="100" w:beforeAutospacing="1" w:after="100" w:afterAutospacing="1"/>
    </w:pPr>
    <w:rPr>
      <w:bCs w:val="0"/>
      <w:sz w:val="24"/>
    </w:rPr>
  </w:style>
  <w:style w:type="paragraph" w:customStyle="1" w:styleId="cosummaryboxbr">
    <w:name w:val="co_summarybox_br"/>
    <w:basedOn w:val="Normal"/>
    <w:rsid w:val="00435883"/>
    <w:pPr>
      <w:spacing w:before="100" w:beforeAutospacing="1" w:after="100" w:afterAutospacing="1"/>
    </w:pPr>
    <w:rPr>
      <w:bCs w:val="0"/>
      <w:sz w:val="24"/>
    </w:rPr>
  </w:style>
  <w:style w:type="paragraph" w:customStyle="1" w:styleId="cosummaryboxtr">
    <w:name w:val="co_summarybox_tr"/>
    <w:basedOn w:val="Normal"/>
    <w:rsid w:val="00435883"/>
    <w:pPr>
      <w:spacing w:before="100" w:beforeAutospacing="1" w:after="100" w:afterAutospacing="1"/>
    </w:pPr>
    <w:rPr>
      <w:bCs w:val="0"/>
      <w:sz w:val="24"/>
    </w:rPr>
  </w:style>
  <w:style w:type="paragraph" w:customStyle="1" w:styleId="coauthor">
    <w:name w:val="co_author"/>
    <w:basedOn w:val="Normal"/>
    <w:rsid w:val="00435883"/>
    <w:pPr>
      <w:spacing w:before="100" w:beforeAutospacing="1" w:after="100" w:afterAutospacing="1"/>
    </w:pPr>
    <w:rPr>
      <w:bCs w:val="0"/>
      <w:sz w:val="21"/>
      <w:szCs w:val="21"/>
    </w:rPr>
  </w:style>
  <w:style w:type="paragraph" w:customStyle="1" w:styleId="copractitionerinsightslogo">
    <w:name w:val="co_practitionerinsightslogo"/>
    <w:basedOn w:val="Normal"/>
    <w:rsid w:val="00435883"/>
    <w:pPr>
      <w:ind w:left="180" w:hanging="3928"/>
    </w:pPr>
    <w:rPr>
      <w:bCs w:val="0"/>
      <w:sz w:val="24"/>
    </w:rPr>
  </w:style>
  <w:style w:type="paragraph" w:customStyle="1" w:styleId="document-fastdraft-body">
    <w:name w:val="document-fastdraft-body"/>
    <w:basedOn w:val="Normal"/>
    <w:rsid w:val="00435883"/>
    <w:pPr>
      <w:shd w:val="clear" w:color="auto" w:fill="E3FAFC"/>
      <w:spacing w:before="100" w:beforeAutospacing="1" w:after="100" w:afterAutospacing="1"/>
    </w:pPr>
    <w:rPr>
      <w:bCs w:val="0"/>
      <w:sz w:val="24"/>
    </w:rPr>
  </w:style>
  <w:style w:type="paragraph" w:customStyle="1" w:styleId="cotrademarkscanimage">
    <w:name w:val="co_trademarkscanimage"/>
    <w:basedOn w:val="Normal"/>
    <w:rsid w:val="00435883"/>
    <w:pPr>
      <w:spacing w:before="100" w:beforeAutospacing="1" w:after="100" w:afterAutospacing="1"/>
    </w:pPr>
    <w:rPr>
      <w:bCs w:val="0"/>
      <w:sz w:val="24"/>
    </w:rPr>
  </w:style>
  <w:style w:type="paragraph" w:customStyle="1" w:styleId="cowidgettogglelabel">
    <w:name w:val="co_widget_togglelabel"/>
    <w:basedOn w:val="Normal"/>
    <w:rsid w:val="00435883"/>
    <w:pPr>
      <w:pBdr>
        <w:right w:val="single" w:sz="6" w:space="5" w:color="CCCCCC"/>
      </w:pBdr>
      <w:ind w:right="150"/>
    </w:pPr>
    <w:rPr>
      <w:b/>
      <w:color w:val="212121"/>
      <w:sz w:val="24"/>
    </w:rPr>
  </w:style>
  <w:style w:type="paragraph" w:customStyle="1" w:styleId="coarbtitle">
    <w:name w:val="co_arb_title"/>
    <w:basedOn w:val="Normal"/>
    <w:rsid w:val="00435883"/>
    <w:pPr>
      <w:pBdr>
        <w:bottom w:val="single" w:sz="6" w:space="6" w:color="CCCCCC"/>
      </w:pBdr>
      <w:spacing w:before="240" w:after="240" w:line="360" w:lineRule="atLeast"/>
    </w:pPr>
    <w:rPr>
      <w:rFonts w:ascii="Georgia" w:hAnsi="Georgia"/>
      <w:bCs w:val="0"/>
      <w:color w:val="212121"/>
      <w:sz w:val="29"/>
      <w:szCs w:val="29"/>
    </w:rPr>
  </w:style>
  <w:style w:type="paragraph" w:customStyle="1" w:styleId="coarbchart-section">
    <w:name w:val="co_arbchart-section"/>
    <w:basedOn w:val="Normal"/>
    <w:rsid w:val="00435883"/>
    <w:pPr>
      <w:pBdr>
        <w:top w:val="single" w:sz="6" w:space="0" w:color="CCCCCC"/>
        <w:left w:val="single" w:sz="6" w:space="8" w:color="CCCCCC"/>
        <w:bottom w:val="single" w:sz="6" w:space="8" w:color="CCCCCC"/>
        <w:right w:val="single" w:sz="6" w:space="8" w:color="CCCCCC"/>
      </w:pBdr>
      <w:spacing w:before="100" w:beforeAutospacing="1" w:after="240"/>
    </w:pPr>
    <w:rPr>
      <w:bCs w:val="0"/>
      <w:sz w:val="24"/>
    </w:rPr>
  </w:style>
  <w:style w:type="paragraph" w:customStyle="1" w:styleId="coarbchartpopup">
    <w:name w:val="co_arb_chartpopup"/>
    <w:basedOn w:val="Normal"/>
    <w:rsid w:val="00435883"/>
    <w:pPr>
      <w:spacing w:before="100" w:beforeAutospacing="1" w:after="100" w:afterAutospacing="1" w:line="450" w:lineRule="atLeast"/>
      <w:jc w:val="center"/>
    </w:pPr>
    <w:rPr>
      <w:b/>
      <w:color w:val="FFFFFF"/>
      <w:sz w:val="18"/>
      <w:szCs w:val="18"/>
    </w:rPr>
  </w:style>
  <w:style w:type="paragraph" w:customStyle="1" w:styleId="coarbtd-percentage">
    <w:name w:val="co_arb_td-percentage"/>
    <w:basedOn w:val="Normal"/>
    <w:rsid w:val="00435883"/>
    <w:pPr>
      <w:spacing w:before="100" w:beforeAutospacing="1" w:after="100" w:afterAutospacing="1"/>
    </w:pPr>
    <w:rPr>
      <w:bCs w:val="0"/>
      <w:sz w:val="24"/>
    </w:rPr>
  </w:style>
  <w:style w:type="paragraph" w:customStyle="1" w:styleId="coarbtd-totalcount">
    <w:name w:val="co_arb_td-totalcount"/>
    <w:basedOn w:val="Normal"/>
    <w:rsid w:val="00435883"/>
    <w:pPr>
      <w:spacing w:before="100" w:beforeAutospacing="1" w:after="100" w:afterAutospacing="1"/>
    </w:pPr>
    <w:rPr>
      <w:bCs w:val="0"/>
      <w:sz w:val="24"/>
    </w:rPr>
  </w:style>
  <w:style w:type="paragraph" w:customStyle="1" w:styleId="coarbtd-totalpercentage">
    <w:name w:val="co_arb_td-totalpercentage"/>
    <w:basedOn w:val="Normal"/>
    <w:rsid w:val="00435883"/>
    <w:pPr>
      <w:spacing w:before="100" w:beforeAutospacing="1" w:after="100" w:afterAutospacing="1"/>
    </w:pPr>
    <w:rPr>
      <w:bCs w:val="0"/>
      <w:sz w:val="24"/>
    </w:rPr>
  </w:style>
  <w:style w:type="paragraph" w:customStyle="1" w:styleId="coarbth-blue">
    <w:name w:val="co_arb_th-blue"/>
    <w:basedOn w:val="Normal"/>
    <w:rsid w:val="00435883"/>
    <w:pPr>
      <w:spacing w:before="100" w:beforeAutospacing="1" w:after="100" w:afterAutospacing="1"/>
    </w:pPr>
    <w:rPr>
      <w:bCs w:val="0"/>
      <w:sz w:val="24"/>
    </w:rPr>
  </w:style>
  <w:style w:type="paragraph" w:customStyle="1" w:styleId="coarbth-bluebg">
    <w:name w:val="co_arb_th-bluebg"/>
    <w:basedOn w:val="Normal"/>
    <w:rsid w:val="00435883"/>
    <w:pPr>
      <w:shd w:val="clear" w:color="auto" w:fill="347C9D"/>
      <w:spacing w:before="100" w:beforeAutospacing="1" w:after="100" w:afterAutospacing="1"/>
    </w:pPr>
    <w:rPr>
      <w:bCs w:val="0"/>
      <w:sz w:val="24"/>
    </w:rPr>
  </w:style>
  <w:style w:type="paragraph" w:customStyle="1" w:styleId="coarbth-green">
    <w:name w:val="co_arb_th-green"/>
    <w:basedOn w:val="Normal"/>
    <w:rsid w:val="00435883"/>
    <w:pPr>
      <w:spacing w:before="100" w:beforeAutospacing="1" w:after="100" w:afterAutospacing="1"/>
    </w:pPr>
    <w:rPr>
      <w:bCs w:val="0"/>
      <w:sz w:val="24"/>
    </w:rPr>
  </w:style>
  <w:style w:type="paragraph" w:customStyle="1" w:styleId="coarbth-greenbg">
    <w:name w:val="co_arb_th-greenbg"/>
    <w:basedOn w:val="Normal"/>
    <w:rsid w:val="00435883"/>
    <w:pPr>
      <w:shd w:val="clear" w:color="auto" w:fill="609757"/>
      <w:spacing w:before="100" w:beforeAutospacing="1" w:after="100" w:afterAutospacing="1"/>
    </w:pPr>
    <w:rPr>
      <w:bCs w:val="0"/>
      <w:sz w:val="24"/>
    </w:rPr>
  </w:style>
  <w:style w:type="paragraph" w:customStyle="1" w:styleId="coarbth-orange">
    <w:name w:val="co_arb_th-orange"/>
    <w:basedOn w:val="Normal"/>
    <w:rsid w:val="00435883"/>
    <w:pPr>
      <w:spacing w:before="100" w:beforeAutospacing="1" w:after="100" w:afterAutospacing="1"/>
    </w:pPr>
    <w:rPr>
      <w:bCs w:val="0"/>
      <w:sz w:val="24"/>
    </w:rPr>
  </w:style>
  <w:style w:type="paragraph" w:customStyle="1" w:styleId="coarbth-orangebg">
    <w:name w:val="co_arb_th-orangebg"/>
    <w:basedOn w:val="Normal"/>
    <w:rsid w:val="00435883"/>
    <w:pPr>
      <w:shd w:val="clear" w:color="auto" w:fill="FFA734"/>
      <w:spacing w:before="100" w:beforeAutospacing="1" w:after="100" w:afterAutospacing="1"/>
    </w:pPr>
    <w:rPr>
      <w:bCs w:val="0"/>
      <w:sz w:val="24"/>
    </w:rPr>
  </w:style>
  <w:style w:type="paragraph" w:customStyle="1" w:styleId="coarbth-purple">
    <w:name w:val="co_arb_th-purple"/>
    <w:basedOn w:val="Normal"/>
    <w:rsid w:val="00435883"/>
    <w:pPr>
      <w:spacing w:before="100" w:beforeAutospacing="1" w:after="100" w:afterAutospacing="1"/>
    </w:pPr>
    <w:rPr>
      <w:bCs w:val="0"/>
      <w:sz w:val="24"/>
    </w:rPr>
  </w:style>
  <w:style w:type="paragraph" w:customStyle="1" w:styleId="coarbth-purplebg">
    <w:name w:val="co_arb_th-purplebg"/>
    <w:basedOn w:val="Normal"/>
    <w:rsid w:val="00435883"/>
    <w:pPr>
      <w:shd w:val="clear" w:color="auto" w:fill="9F45B5"/>
      <w:spacing w:before="100" w:beforeAutospacing="1" w:after="100" w:afterAutospacing="1"/>
    </w:pPr>
    <w:rPr>
      <w:bCs w:val="0"/>
      <w:sz w:val="24"/>
    </w:rPr>
  </w:style>
  <w:style w:type="paragraph" w:customStyle="1" w:styleId="coarbth-red">
    <w:name w:val="co_arb_th-red"/>
    <w:basedOn w:val="Normal"/>
    <w:rsid w:val="00435883"/>
    <w:pPr>
      <w:spacing w:before="100" w:beforeAutospacing="1" w:after="100" w:afterAutospacing="1"/>
    </w:pPr>
    <w:rPr>
      <w:bCs w:val="0"/>
      <w:sz w:val="24"/>
    </w:rPr>
  </w:style>
  <w:style w:type="paragraph" w:customStyle="1" w:styleId="coarbth-redbg">
    <w:name w:val="co_arb_th-redbg"/>
    <w:basedOn w:val="Normal"/>
    <w:rsid w:val="00435883"/>
    <w:pPr>
      <w:shd w:val="clear" w:color="auto" w:fill="E33E3E"/>
      <w:spacing w:before="100" w:beforeAutospacing="1" w:after="100" w:afterAutospacing="1"/>
    </w:pPr>
    <w:rPr>
      <w:bCs w:val="0"/>
      <w:sz w:val="24"/>
    </w:rPr>
  </w:style>
  <w:style w:type="paragraph" w:customStyle="1" w:styleId="cogenericdocumenttoc">
    <w:name w:val="co_genericdocumenttoc"/>
    <w:basedOn w:val="Normal"/>
    <w:rsid w:val="00435883"/>
    <w:pPr>
      <w:shd w:val="clear" w:color="auto" w:fill="FFFFFF"/>
      <w:ind w:left="-165" w:right="-195"/>
    </w:pPr>
    <w:rPr>
      <w:bCs w:val="0"/>
      <w:sz w:val="24"/>
    </w:rPr>
  </w:style>
  <w:style w:type="paragraph" w:customStyle="1" w:styleId="cotocheader">
    <w:name w:val="co_tocheader"/>
    <w:basedOn w:val="Normal"/>
    <w:rsid w:val="00435883"/>
    <w:pPr>
      <w:pBdr>
        <w:top w:val="single" w:sz="6" w:space="5" w:color="CCCCCC"/>
        <w:left w:val="single" w:sz="6" w:space="5" w:color="CCCCCC"/>
        <w:bottom w:val="single" w:sz="6" w:space="5" w:color="CCCCCC"/>
        <w:right w:val="single" w:sz="6" w:space="5" w:color="CCCCCC"/>
      </w:pBdr>
      <w:shd w:val="clear" w:color="auto" w:fill="FFFFFF"/>
      <w:spacing w:before="100" w:beforeAutospacing="1" w:after="100" w:afterAutospacing="1"/>
    </w:pPr>
    <w:rPr>
      <w:bCs w:val="0"/>
      <w:sz w:val="24"/>
    </w:rPr>
  </w:style>
  <w:style w:type="paragraph" w:customStyle="1" w:styleId="cotocsubheader">
    <w:name w:val="co_tocsubheader"/>
    <w:basedOn w:val="Normal"/>
    <w:rsid w:val="00435883"/>
    <w:pPr>
      <w:pBdr>
        <w:top w:val="single" w:sz="6" w:space="5" w:color="CCCCCC"/>
        <w:left w:val="single" w:sz="6" w:space="9" w:color="CCCCCC"/>
        <w:bottom w:val="single" w:sz="6" w:space="5" w:color="CCCCCC"/>
        <w:right w:val="single" w:sz="6" w:space="9" w:color="CCCCCC"/>
      </w:pBdr>
      <w:shd w:val="clear" w:color="auto" w:fill="F0EFEF"/>
      <w:spacing w:after="100" w:afterAutospacing="1"/>
    </w:pPr>
    <w:rPr>
      <w:bCs w:val="0"/>
      <w:sz w:val="24"/>
    </w:rPr>
  </w:style>
  <w:style w:type="paragraph" w:customStyle="1" w:styleId="cotocbutton">
    <w:name w:val="co_tocbutton"/>
    <w:basedOn w:val="Normal"/>
    <w:rsid w:val="00435883"/>
    <w:pPr>
      <w:pBdr>
        <w:top w:val="single" w:sz="6" w:space="5" w:color="CCCCCC"/>
        <w:left w:val="single" w:sz="6" w:space="5" w:color="CCCCCC"/>
        <w:bottom w:val="single" w:sz="6" w:space="5" w:color="CCCCCC"/>
        <w:right w:val="single" w:sz="6" w:space="5" w:color="CCCCCC"/>
      </w:pBdr>
      <w:shd w:val="clear" w:color="auto" w:fill="FFFFFF"/>
      <w:spacing w:line="0" w:lineRule="auto"/>
      <w:ind w:right="75"/>
    </w:pPr>
    <w:rPr>
      <w:bCs w:val="0"/>
      <w:sz w:val="24"/>
    </w:rPr>
  </w:style>
  <w:style w:type="paragraph" w:customStyle="1" w:styleId="cogenericdocumenttocinner">
    <w:name w:val="co_genericdocumenttocinner"/>
    <w:basedOn w:val="Normal"/>
    <w:rsid w:val="00435883"/>
    <w:pPr>
      <w:pBdr>
        <w:top w:val="single" w:sz="2" w:space="5" w:color="CCCCCC"/>
        <w:left w:val="single" w:sz="6" w:space="11" w:color="CCCCCC"/>
        <w:bottom w:val="single" w:sz="6" w:space="0" w:color="CCCCCC"/>
        <w:right w:val="single" w:sz="6" w:space="11" w:color="CCCCCC"/>
      </w:pBdr>
      <w:spacing w:before="100" w:beforeAutospacing="1" w:after="100" w:afterAutospacing="1"/>
    </w:pPr>
    <w:rPr>
      <w:bCs w:val="0"/>
      <w:sz w:val="24"/>
    </w:rPr>
  </w:style>
  <w:style w:type="paragraph" w:customStyle="1" w:styleId="cotocfooter">
    <w:name w:val="co_tocfooter"/>
    <w:basedOn w:val="Normal"/>
    <w:rsid w:val="00435883"/>
    <w:pPr>
      <w:pBdr>
        <w:top w:val="single" w:sz="6" w:space="6" w:color="CCCCCC"/>
        <w:left w:val="single" w:sz="6" w:space="11" w:color="CCCCCC"/>
        <w:bottom w:val="single" w:sz="6" w:space="6" w:color="CCCCCC"/>
        <w:right w:val="single" w:sz="6" w:space="11" w:color="CCCCCC"/>
      </w:pBdr>
      <w:shd w:val="clear" w:color="auto" w:fill="F5F5F5"/>
      <w:spacing w:after="100" w:afterAutospacing="1"/>
    </w:pPr>
    <w:rPr>
      <w:bCs w:val="0"/>
      <w:sz w:val="24"/>
    </w:rPr>
  </w:style>
  <w:style w:type="paragraph" w:customStyle="1" w:styleId="cogenericdoctoctabs">
    <w:name w:val="co_genericdoctoctabs"/>
    <w:basedOn w:val="Normal"/>
    <w:rsid w:val="00435883"/>
    <w:pPr>
      <w:pBdr>
        <w:top w:val="single" w:sz="2" w:space="0" w:color="CCCCCC"/>
        <w:left w:val="single" w:sz="6" w:space="0" w:color="CCCCCC"/>
        <w:bottom w:val="single" w:sz="6" w:space="0" w:color="CCCCCC"/>
        <w:right w:val="single" w:sz="2" w:space="0" w:color="CCCCCC"/>
      </w:pBdr>
      <w:spacing w:before="100" w:beforeAutospacing="1" w:after="100" w:afterAutospacing="1"/>
    </w:pPr>
    <w:rPr>
      <w:bCs w:val="0"/>
      <w:sz w:val="24"/>
    </w:rPr>
  </w:style>
  <w:style w:type="paragraph" w:customStyle="1" w:styleId="cogenericdoctoctabsinner">
    <w:name w:val="co_genericdoctoctabsinner"/>
    <w:basedOn w:val="Normal"/>
    <w:rsid w:val="00435883"/>
    <w:pPr>
      <w:shd w:val="clear" w:color="auto" w:fill="F6F6F6"/>
      <w:spacing w:before="100" w:beforeAutospacing="1" w:after="100" w:afterAutospacing="1"/>
    </w:pPr>
    <w:rPr>
      <w:bCs w:val="0"/>
      <w:sz w:val="24"/>
    </w:rPr>
  </w:style>
  <w:style w:type="paragraph" w:customStyle="1" w:styleId="cotoctabssubheader">
    <w:name w:val="co_toctabssubheader"/>
    <w:basedOn w:val="Normal"/>
    <w:rsid w:val="00435883"/>
    <w:pPr>
      <w:spacing w:before="100" w:beforeAutospacing="1" w:after="100" w:afterAutospacing="1"/>
    </w:pPr>
    <w:rPr>
      <w:bCs w:val="0"/>
      <w:sz w:val="24"/>
    </w:rPr>
  </w:style>
  <w:style w:type="paragraph" w:customStyle="1" w:styleId="cotoctabslistitem">
    <w:name w:val="co_toctabslistitem"/>
    <w:basedOn w:val="Normal"/>
    <w:rsid w:val="00435883"/>
    <w:pPr>
      <w:pBdr>
        <w:top w:val="single" w:sz="6" w:space="7" w:color="CCCCCC"/>
      </w:pBdr>
      <w:spacing w:before="100" w:beforeAutospacing="1" w:after="100" w:afterAutospacing="1"/>
    </w:pPr>
    <w:rPr>
      <w:b/>
      <w:sz w:val="24"/>
    </w:rPr>
  </w:style>
  <w:style w:type="paragraph" w:customStyle="1" w:styleId="cogenericdoctoctabsoverlay">
    <w:name w:val="co_genericdoctoctabsoverlay"/>
    <w:basedOn w:val="Normal"/>
    <w:rsid w:val="00435883"/>
    <w:pPr>
      <w:spacing w:before="100" w:beforeAutospacing="1" w:after="100" w:afterAutospacing="1"/>
    </w:pPr>
    <w:rPr>
      <w:bCs w:val="0"/>
      <w:vanish/>
      <w:sz w:val="24"/>
    </w:rPr>
  </w:style>
  <w:style w:type="paragraph" w:customStyle="1" w:styleId="cosortablerowicon">
    <w:name w:val="co_sortablerow_icon"/>
    <w:basedOn w:val="Normal"/>
    <w:rsid w:val="00435883"/>
    <w:pPr>
      <w:spacing w:before="100" w:beforeAutospacing="1" w:after="100" w:afterAutospacing="1"/>
    </w:pPr>
    <w:rPr>
      <w:bCs w:val="0"/>
      <w:sz w:val="24"/>
    </w:rPr>
  </w:style>
  <w:style w:type="paragraph" w:customStyle="1" w:styleId="cosortitembox">
    <w:name w:val="co_sortitembox"/>
    <w:basedOn w:val="Normal"/>
    <w:rsid w:val="00435883"/>
    <w:pPr>
      <w:pBdr>
        <w:top w:val="single" w:sz="6" w:space="0" w:color="CCCCCC"/>
        <w:left w:val="single" w:sz="6" w:space="0" w:color="CCCCCC"/>
        <w:bottom w:val="single" w:sz="6" w:space="0" w:color="CCCCCC"/>
        <w:right w:val="single" w:sz="6" w:space="0" w:color="CCCCCC"/>
      </w:pBdr>
      <w:spacing w:before="150" w:after="150"/>
      <w:ind w:left="150" w:right="150"/>
    </w:pPr>
    <w:rPr>
      <w:bCs w:val="0"/>
      <w:sz w:val="24"/>
    </w:rPr>
  </w:style>
  <w:style w:type="paragraph" w:customStyle="1" w:styleId="cosortcontrolbox">
    <w:name w:val="co_sortcontrolbox"/>
    <w:basedOn w:val="Normal"/>
    <w:rsid w:val="00435883"/>
    <w:pPr>
      <w:spacing w:before="100" w:beforeAutospacing="1" w:after="100" w:afterAutospacing="1"/>
      <w:ind w:right="489"/>
    </w:pPr>
    <w:rPr>
      <w:bCs w:val="0"/>
      <w:sz w:val="24"/>
    </w:rPr>
  </w:style>
  <w:style w:type="paragraph" w:customStyle="1" w:styleId="cosortcontrolboxmargin">
    <w:name w:val="co_sortcontrolboxmargin"/>
    <w:basedOn w:val="Normal"/>
    <w:rsid w:val="00435883"/>
    <w:pPr>
      <w:spacing w:before="600" w:after="100" w:afterAutospacing="1"/>
    </w:pPr>
    <w:rPr>
      <w:bCs w:val="0"/>
      <w:sz w:val="24"/>
    </w:rPr>
  </w:style>
  <w:style w:type="paragraph" w:customStyle="1" w:styleId="cosortboxbtnpadding">
    <w:name w:val="co_sortboxbtnpadding"/>
    <w:basedOn w:val="Normal"/>
    <w:rsid w:val="00435883"/>
    <w:pPr>
      <w:spacing w:before="100" w:beforeAutospacing="1" w:after="100" w:afterAutospacing="1"/>
    </w:pPr>
    <w:rPr>
      <w:bCs w:val="0"/>
      <w:sz w:val="24"/>
    </w:rPr>
  </w:style>
  <w:style w:type="paragraph" w:customStyle="1" w:styleId="cosortboxlink">
    <w:name w:val="co_sortboxlink"/>
    <w:basedOn w:val="Normal"/>
    <w:rsid w:val="00435883"/>
    <w:pPr>
      <w:spacing w:before="100" w:beforeAutospacing="1" w:after="100" w:afterAutospacing="1"/>
      <w:jc w:val="center"/>
    </w:pPr>
    <w:rPr>
      <w:bCs w:val="0"/>
      <w:sz w:val="24"/>
    </w:rPr>
  </w:style>
  <w:style w:type="paragraph" w:customStyle="1" w:styleId="cosortcontroldropdown">
    <w:name w:val="co_sortcontroldropdown"/>
    <w:basedOn w:val="Normal"/>
    <w:rsid w:val="00435883"/>
    <w:pPr>
      <w:spacing w:before="100" w:beforeAutospacing="1" w:after="100" w:afterAutospacing="1"/>
      <w:jc w:val="center"/>
    </w:pPr>
    <w:rPr>
      <w:bCs w:val="0"/>
      <w:sz w:val="24"/>
    </w:rPr>
  </w:style>
  <w:style w:type="paragraph" w:customStyle="1" w:styleId="cosortboxpaddingbottom">
    <w:name w:val="co_sortboxpaddingbottom"/>
    <w:basedOn w:val="Normal"/>
    <w:rsid w:val="00435883"/>
    <w:pPr>
      <w:spacing w:before="100" w:beforeAutospacing="1" w:after="100" w:afterAutospacing="1"/>
    </w:pPr>
    <w:rPr>
      <w:bCs w:val="0"/>
      <w:sz w:val="24"/>
    </w:rPr>
  </w:style>
  <w:style w:type="paragraph" w:customStyle="1" w:styleId="sortitems">
    <w:name w:val="sortitems"/>
    <w:basedOn w:val="Normal"/>
    <w:rsid w:val="00435883"/>
    <w:pPr>
      <w:pBdr>
        <w:bottom w:val="single" w:sz="6" w:space="4" w:color="EEEEEE"/>
      </w:pBdr>
      <w:spacing w:before="100" w:beforeAutospacing="1" w:after="100" w:afterAutospacing="1"/>
    </w:pPr>
    <w:rPr>
      <w:bCs w:val="0"/>
      <w:sz w:val="24"/>
    </w:rPr>
  </w:style>
  <w:style w:type="paragraph" w:customStyle="1" w:styleId="sortitemselected">
    <w:name w:val="sortitemselected"/>
    <w:basedOn w:val="Normal"/>
    <w:rsid w:val="00435883"/>
    <w:pPr>
      <w:shd w:val="clear" w:color="auto" w:fill="EAF0FF"/>
      <w:spacing w:before="100" w:beforeAutospacing="1" w:after="100" w:afterAutospacing="1"/>
    </w:pPr>
    <w:rPr>
      <w:bCs w:val="0"/>
      <w:sz w:val="24"/>
    </w:rPr>
  </w:style>
  <w:style w:type="paragraph" w:customStyle="1" w:styleId="enablesortchk">
    <w:name w:val="enablesortchk"/>
    <w:basedOn w:val="Normal"/>
    <w:rsid w:val="00435883"/>
    <w:pPr>
      <w:spacing w:before="100" w:beforeAutospacing="1" w:after="100" w:afterAutospacing="1"/>
      <w:ind w:left="-60"/>
    </w:pPr>
    <w:rPr>
      <w:bCs w:val="0"/>
      <w:sz w:val="24"/>
    </w:rPr>
  </w:style>
  <w:style w:type="paragraph" w:customStyle="1" w:styleId="copremierreportheader">
    <w:name w:val="co_premierreportheader"/>
    <w:basedOn w:val="Normal"/>
    <w:rsid w:val="00435883"/>
    <w:pPr>
      <w:spacing w:before="100" w:beforeAutospacing="1" w:after="100" w:afterAutospacing="1"/>
    </w:pPr>
    <w:rPr>
      <w:rFonts w:ascii="Verdana" w:hAnsi="Verdana"/>
      <w:bCs w:val="0"/>
      <w:sz w:val="15"/>
      <w:szCs w:val="15"/>
    </w:rPr>
  </w:style>
  <w:style w:type="paragraph" w:customStyle="1" w:styleId="copremierheaderhalf">
    <w:name w:val="co_premierheaderhalf"/>
    <w:basedOn w:val="Normal"/>
    <w:rsid w:val="00435883"/>
    <w:pPr>
      <w:spacing w:before="100" w:beforeAutospacing="1" w:after="100" w:afterAutospacing="1"/>
    </w:pPr>
    <w:rPr>
      <w:bCs w:val="0"/>
      <w:sz w:val="24"/>
    </w:rPr>
  </w:style>
  <w:style w:type="paragraph" w:customStyle="1" w:styleId="viewcorpslinkagedetail">
    <w:name w:val="viewcorpslinkagedetail"/>
    <w:basedOn w:val="Normal"/>
    <w:rsid w:val="00435883"/>
    <w:rPr>
      <w:bCs w:val="0"/>
      <w:sz w:val="24"/>
    </w:rPr>
  </w:style>
  <w:style w:type="paragraph" w:customStyle="1" w:styleId="cobusinesscategory">
    <w:name w:val="co_businesscategory"/>
    <w:basedOn w:val="Normal"/>
    <w:rsid w:val="00435883"/>
    <w:pPr>
      <w:spacing w:before="100" w:beforeAutospacing="1" w:after="100" w:afterAutospacing="1"/>
    </w:pPr>
    <w:rPr>
      <w:bCs w:val="0"/>
      <w:sz w:val="24"/>
    </w:rPr>
  </w:style>
  <w:style w:type="paragraph" w:customStyle="1" w:styleId="copremierbacktotop">
    <w:name w:val="co_premierbacktotop"/>
    <w:basedOn w:val="Normal"/>
    <w:rsid w:val="00435883"/>
    <w:pPr>
      <w:spacing w:before="225" w:after="100" w:afterAutospacing="1"/>
    </w:pPr>
    <w:rPr>
      <w:bCs w:val="0"/>
      <w:sz w:val="24"/>
    </w:rPr>
  </w:style>
  <w:style w:type="paragraph" w:customStyle="1" w:styleId="cowarningclientid">
    <w:name w:val="co_warning_clientid"/>
    <w:basedOn w:val="Normal"/>
    <w:rsid w:val="00435883"/>
    <w:pPr>
      <w:spacing w:before="100" w:beforeAutospacing="1" w:after="100" w:afterAutospacing="1"/>
    </w:pPr>
    <w:rPr>
      <w:bCs w:val="0"/>
      <w:sz w:val="24"/>
    </w:rPr>
  </w:style>
  <w:style w:type="paragraph" w:customStyle="1" w:styleId="codocumentbywestlaw">
    <w:name w:val="co_documentbywestlaw"/>
    <w:basedOn w:val="Normal"/>
    <w:rsid w:val="00435883"/>
    <w:pPr>
      <w:spacing w:before="75" w:after="150"/>
      <w:jc w:val="center"/>
    </w:pPr>
    <w:rPr>
      <w:bCs w:val="0"/>
      <w:sz w:val="24"/>
    </w:rPr>
  </w:style>
  <w:style w:type="paragraph" w:customStyle="1" w:styleId="colocatetermlabel">
    <w:name w:val="co_locateterm&gt;label"/>
    <w:basedOn w:val="Normal"/>
    <w:rsid w:val="00435883"/>
    <w:pPr>
      <w:spacing w:before="100" w:beforeAutospacing="1" w:after="100" w:afterAutospacing="1"/>
    </w:pPr>
    <w:rPr>
      <w:b/>
      <w:sz w:val="24"/>
    </w:rPr>
  </w:style>
  <w:style w:type="paragraph" w:customStyle="1" w:styleId="cosearchtermlabel">
    <w:name w:val="co_searchterm&gt;label"/>
    <w:basedOn w:val="Normal"/>
    <w:rsid w:val="00435883"/>
    <w:pPr>
      <w:spacing w:before="100" w:beforeAutospacing="1" w:after="100" w:afterAutospacing="1"/>
    </w:pPr>
    <w:rPr>
      <w:b/>
      <w:sz w:val="24"/>
    </w:rPr>
  </w:style>
  <w:style w:type="paragraph" w:customStyle="1" w:styleId="cosearchwithintermlabel">
    <w:name w:val="co_searchwithinterm&gt;label"/>
    <w:basedOn w:val="Normal"/>
    <w:rsid w:val="00435883"/>
    <w:pPr>
      <w:spacing w:before="100" w:beforeAutospacing="1" w:after="100" w:afterAutospacing="1"/>
    </w:pPr>
    <w:rPr>
      <w:b/>
      <w:sz w:val="24"/>
    </w:rPr>
  </w:style>
  <w:style w:type="paragraph" w:customStyle="1" w:styleId="coboldstatuteeffectivedate">
    <w:name w:val="co_boldstatuteeffectivedate"/>
    <w:basedOn w:val="Normal"/>
    <w:rsid w:val="00435883"/>
    <w:pPr>
      <w:spacing w:before="100" w:beforeAutospacing="1" w:after="100" w:afterAutospacing="1"/>
    </w:pPr>
    <w:rPr>
      <w:b/>
      <w:sz w:val="29"/>
      <w:szCs w:val="29"/>
    </w:rPr>
  </w:style>
  <w:style w:type="paragraph" w:customStyle="1" w:styleId="coboardofdirectorsplitsection">
    <w:name w:val="co_boardofdirectorsplitsection"/>
    <w:basedOn w:val="Normal"/>
    <w:rsid w:val="00435883"/>
    <w:pPr>
      <w:spacing w:before="375" w:after="100" w:afterAutospacing="1"/>
    </w:pPr>
    <w:rPr>
      <w:bCs w:val="0"/>
      <w:sz w:val="24"/>
    </w:rPr>
  </w:style>
  <w:style w:type="paragraph" w:customStyle="1" w:styleId="cofppblock">
    <w:name w:val="co_fppblock"/>
    <w:basedOn w:val="Normal"/>
    <w:rsid w:val="00435883"/>
    <w:pPr>
      <w:spacing w:before="100" w:beforeAutospacing="1" w:after="100" w:afterAutospacing="1"/>
    </w:pPr>
    <w:rPr>
      <w:bCs w:val="0"/>
      <w:sz w:val="24"/>
    </w:rPr>
  </w:style>
  <w:style w:type="paragraph" w:customStyle="1" w:styleId="draggabledocumentlink">
    <w:name w:val="draggable_document_link"/>
    <w:basedOn w:val="Normal"/>
    <w:rsid w:val="00435883"/>
    <w:pPr>
      <w:spacing w:before="100" w:beforeAutospacing="1" w:after="100" w:afterAutospacing="1"/>
    </w:pPr>
    <w:rPr>
      <w:bCs w:val="0"/>
      <w:sz w:val="24"/>
    </w:rPr>
  </w:style>
  <w:style w:type="paragraph" w:customStyle="1" w:styleId="corecentsummary">
    <w:name w:val="co_recent_summary"/>
    <w:basedOn w:val="Normal"/>
    <w:rsid w:val="00435883"/>
    <w:pPr>
      <w:spacing w:before="100" w:beforeAutospacing="1" w:after="100" w:afterAutospacing="1"/>
    </w:pPr>
    <w:rPr>
      <w:bCs w:val="0"/>
      <w:sz w:val="24"/>
    </w:rPr>
  </w:style>
  <w:style w:type="paragraph" w:customStyle="1" w:styleId="ui-slider-handle">
    <w:name w:val="ui-slider-handle"/>
    <w:basedOn w:val="Normal"/>
    <w:rsid w:val="00435883"/>
    <w:pPr>
      <w:spacing w:before="100" w:beforeAutospacing="1" w:after="100" w:afterAutospacing="1"/>
    </w:pPr>
    <w:rPr>
      <w:bCs w:val="0"/>
      <w:sz w:val="24"/>
    </w:rPr>
  </w:style>
  <w:style w:type="paragraph" w:customStyle="1" w:styleId="ui-datepicker-next">
    <w:name w:val="ui-datepicker-next"/>
    <w:basedOn w:val="Normal"/>
    <w:rsid w:val="00435883"/>
    <w:pPr>
      <w:spacing w:before="100" w:beforeAutospacing="1" w:after="100" w:afterAutospacing="1"/>
    </w:pPr>
    <w:rPr>
      <w:bCs w:val="0"/>
      <w:sz w:val="24"/>
    </w:rPr>
  </w:style>
  <w:style w:type="paragraph" w:customStyle="1" w:styleId="ui-datepicker-prev">
    <w:name w:val="ui-datepicker-prev"/>
    <w:basedOn w:val="Normal"/>
    <w:rsid w:val="00435883"/>
    <w:pPr>
      <w:spacing w:before="100" w:beforeAutospacing="1" w:after="100" w:afterAutospacing="1"/>
    </w:pPr>
    <w:rPr>
      <w:bCs w:val="0"/>
      <w:sz w:val="24"/>
    </w:rPr>
  </w:style>
  <w:style w:type="paragraph" w:customStyle="1" w:styleId="ui-datepicker-title">
    <w:name w:val="ui-datepicker-title"/>
    <w:basedOn w:val="Normal"/>
    <w:rsid w:val="00435883"/>
    <w:pPr>
      <w:spacing w:before="100" w:beforeAutospacing="1" w:after="100" w:afterAutospacing="1"/>
    </w:pPr>
    <w:rPr>
      <w:bCs w:val="0"/>
      <w:sz w:val="24"/>
    </w:rPr>
  </w:style>
  <w:style w:type="paragraph" w:customStyle="1" w:styleId="pointer">
    <w:name w:val="pointer"/>
    <w:basedOn w:val="Normal"/>
    <w:rsid w:val="00435883"/>
    <w:pPr>
      <w:spacing w:before="100" w:beforeAutospacing="1" w:after="100" w:afterAutospacing="1"/>
    </w:pPr>
    <w:rPr>
      <w:bCs w:val="0"/>
      <w:sz w:val="24"/>
    </w:rPr>
  </w:style>
  <w:style w:type="paragraph" w:customStyle="1" w:styleId="pointerinner">
    <w:name w:val="pointerinner"/>
    <w:basedOn w:val="Normal"/>
    <w:rsid w:val="00435883"/>
    <w:pPr>
      <w:spacing w:before="100" w:beforeAutospacing="1" w:after="100" w:afterAutospacing="1"/>
    </w:pPr>
    <w:rPr>
      <w:bCs w:val="0"/>
      <w:sz w:val="24"/>
    </w:rPr>
  </w:style>
  <w:style w:type="paragraph" w:customStyle="1" w:styleId="empty">
    <w:name w:val="empty"/>
    <w:basedOn w:val="Normal"/>
    <w:rsid w:val="00435883"/>
    <w:pPr>
      <w:spacing w:before="100" w:beforeAutospacing="1" w:after="100" w:afterAutospacing="1"/>
    </w:pPr>
    <w:rPr>
      <w:bCs w:val="0"/>
      <w:sz w:val="24"/>
    </w:rPr>
  </w:style>
  <w:style w:type="paragraph" w:customStyle="1" w:styleId="codetailstablesubheader">
    <w:name w:val="co_detailstable_subheader"/>
    <w:basedOn w:val="Normal"/>
    <w:rsid w:val="00435883"/>
    <w:pPr>
      <w:spacing w:before="100" w:beforeAutospacing="1" w:after="100" w:afterAutospacing="1"/>
    </w:pPr>
    <w:rPr>
      <w:bCs w:val="0"/>
      <w:sz w:val="24"/>
    </w:rPr>
  </w:style>
  <w:style w:type="paragraph" w:customStyle="1" w:styleId="coqflagsm">
    <w:name w:val="co_qflagsm"/>
    <w:basedOn w:val="Normal"/>
    <w:rsid w:val="00435883"/>
    <w:pPr>
      <w:spacing w:before="100" w:beforeAutospacing="1" w:after="100" w:afterAutospacing="1"/>
    </w:pPr>
    <w:rPr>
      <w:bCs w:val="0"/>
      <w:sz w:val="24"/>
    </w:rPr>
  </w:style>
  <w:style w:type="paragraph" w:customStyle="1" w:styleId="cogenericboxheaderh1">
    <w:name w:val="co_genericboxheader&gt;h1"/>
    <w:basedOn w:val="Normal"/>
    <w:rsid w:val="00435883"/>
    <w:pPr>
      <w:spacing w:before="100" w:beforeAutospacing="1" w:after="100" w:afterAutospacing="1"/>
    </w:pPr>
    <w:rPr>
      <w:bCs w:val="0"/>
      <w:sz w:val="24"/>
    </w:rPr>
  </w:style>
  <w:style w:type="paragraph" w:customStyle="1" w:styleId="cogenericboxheaderspan">
    <w:name w:val="co_genericboxheader&gt;span"/>
    <w:basedOn w:val="Normal"/>
    <w:rsid w:val="00435883"/>
    <w:pPr>
      <w:spacing w:before="100" w:beforeAutospacing="1" w:after="100" w:afterAutospacing="1"/>
    </w:pPr>
    <w:rPr>
      <w:bCs w:val="0"/>
      <w:sz w:val="24"/>
    </w:rPr>
  </w:style>
  <w:style w:type="paragraph" w:customStyle="1" w:styleId="large">
    <w:name w:val="large"/>
    <w:basedOn w:val="Normal"/>
    <w:rsid w:val="00435883"/>
    <w:pPr>
      <w:spacing w:before="100" w:beforeAutospacing="1" w:after="100" w:afterAutospacing="1"/>
    </w:pPr>
    <w:rPr>
      <w:bCs w:val="0"/>
      <w:sz w:val="24"/>
    </w:rPr>
  </w:style>
  <w:style w:type="paragraph" w:customStyle="1" w:styleId="codropdownmenulabel">
    <w:name w:val="co_dropdownmenulabel"/>
    <w:basedOn w:val="Normal"/>
    <w:rsid w:val="00435883"/>
    <w:pPr>
      <w:spacing w:before="100" w:beforeAutospacing="1" w:after="100" w:afterAutospacing="1"/>
    </w:pPr>
    <w:rPr>
      <w:bCs w:val="0"/>
      <w:sz w:val="24"/>
    </w:rPr>
  </w:style>
  <w:style w:type="paragraph" w:customStyle="1" w:styleId="codropdownmenulist">
    <w:name w:val="co_dropdownmenulist"/>
    <w:basedOn w:val="Normal"/>
    <w:rsid w:val="00435883"/>
    <w:pPr>
      <w:spacing w:before="100" w:beforeAutospacing="1" w:after="100" w:afterAutospacing="1"/>
    </w:pPr>
    <w:rPr>
      <w:bCs w:val="0"/>
      <w:sz w:val="24"/>
    </w:rPr>
  </w:style>
  <w:style w:type="paragraph" w:customStyle="1" w:styleId="colinkrow">
    <w:name w:val="co_linkrow"/>
    <w:basedOn w:val="Normal"/>
    <w:rsid w:val="00435883"/>
    <w:pPr>
      <w:spacing w:before="100" w:beforeAutospacing="1" w:after="100" w:afterAutospacing="1"/>
    </w:pPr>
    <w:rPr>
      <w:bCs w:val="0"/>
      <w:sz w:val="24"/>
    </w:rPr>
  </w:style>
  <w:style w:type="paragraph" w:customStyle="1" w:styleId="cotableft">
    <w:name w:val="co_tableft"/>
    <w:basedOn w:val="Normal"/>
    <w:rsid w:val="00435883"/>
    <w:pPr>
      <w:spacing w:before="100" w:beforeAutospacing="1" w:after="100" w:afterAutospacing="1"/>
    </w:pPr>
    <w:rPr>
      <w:bCs w:val="0"/>
      <w:sz w:val="24"/>
    </w:rPr>
  </w:style>
  <w:style w:type="paragraph" w:customStyle="1" w:styleId="cotabright">
    <w:name w:val="co_tabright"/>
    <w:basedOn w:val="Normal"/>
    <w:rsid w:val="00435883"/>
    <w:pPr>
      <w:spacing w:before="100" w:beforeAutospacing="1" w:after="100" w:afterAutospacing="1"/>
    </w:pPr>
    <w:rPr>
      <w:bCs w:val="0"/>
      <w:sz w:val="24"/>
    </w:rPr>
  </w:style>
  <w:style w:type="paragraph" w:customStyle="1" w:styleId="cotablink">
    <w:name w:val="co_tablink"/>
    <w:basedOn w:val="Normal"/>
    <w:rsid w:val="00435883"/>
    <w:pPr>
      <w:spacing w:before="100" w:beforeAutospacing="1" w:after="100" w:afterAutospacing="1"/>
    </w:pPr>
    <w:rPr>
      <w:bCs w:val="0"/>
      <w:sz w:val="24"/>
    </w:rPr>
  </w:style>
  <w:style w:type="paragraph" w:customStyle="1" w:styleId="cobrowsepagesectionwidget">
    <w:name w:val="co_browsepagesectionwidget"/>
    <w:basedOn w:val="Normal"/>
    <w:rsid w:val="00435883"/>
    <w:pPr>
      <w:spacing w:before="100" w:beforeAutospacing="1" w:after="100" w:afterAutospacing="1"/>
    </w:pPr>
    <w:rPr>
      <w:bCs w:val="0"/>
      <w:sz w:val="24"/>
    </w:rPr>
  </w:style>
  <w:style w:type="paragraph" w:customStyle="1" w:styleId="cotypeaheadheading">
    <w:name w:val="co_typeaheadheading"/>
    <w:basedOn w:val="Normal"/>
    <w:rsid w:val="00435883"/>
    <w:pPr>
      <w:spacing w:before="100" w:beforeAutospacing="1" w:after="100" w:afterAutospacing="1"/>
    </w:pPr>
    <w:rPr>
      <w:bCs w:val="0"/>
      <w:sz w:val="24"/>
    </w:rPr>
  </w:style>
  <w:style w:type="paragraph" w:customStyle="1" w:styleId="coinlinelist">
    <w:name w:val="co_inlinelist"/>
    <w:basedOn w:val="Normal"/>
    <w:rsid w:val="00435883"/>
    <w:pPr>
      <w:spacing w:before="100" w:beforeAutospacing="1" w:after="100" w:afterAutospacing="1"/>
    </w:pPr>
    <w:rPr>
      <w:bCs w:val="0"/>
      <w:sz w:val="24"/>
    </w:rPr>
  </w:style>
  <w:style w:type="paragraph" w:customStyle="1" w:styleId="cotypeaheadinfolist">
    <w:name w:val="co_typeaheadinfolist"/>
    <w:basedOn w:val="Normal"/>
    <w:rsid w:val="00435883"/>
    <w:pPr>
      <w:spacing w:before="100" w:beforeAutospacing="1" w:after="100" w:afterAutospacing="1"/>
    </w:pPr>
    <w:rPr>
      <w:bCs w:val="0"/>
      <w:sz w:val="24"/>
    </w:rPr>
  </w:style>
  <w:style w:type="paragraph" w:customStyle="1" w:styleId="co2column">
    <w:name w:val="co_2column"/>
    <w:basedOn w:val="Normal"/>
    <w:rsid w:val="00435883"/>
    <w:pPr>
      <w:spacing w:before="100" w:beforeAutospacing="1" w:after="100" w:afterAutospacing="1"/>
    </w:pPr>
    <w:rPr>
      <w:bCs w:val="0"/>
      <w:sz w:val="24"/>
    </w:rPr>
  </w:style>
  <w:style w:type="paragraph" w:customStyle="1" w:styleId="cosnapshottitle">
    <w:name w:val="co_snapshottitle"/>
    <w:basedOn w:val="Normal"/>
    <w:rsid w:val="00435883"/>
    <w:pPr>
      <w:spacing w:before="100" w:beforeAutospacing="1" w:after="100" w:afterAutospacing="1"/>
    </w:pPr>
    <w:rPr>
      <w:bCs w:val="0"/>
      <w:sz w:val="24"/>
    </w:rPr>
  </w:style>
  <w:style w:type="paragraph" w:customStyle="1" w:styleId="cosnapshotposition">
    <w:name w:val="co_snapshotposition"/>
    <w:basedOn w:val="Normal"/>
    <w:rsid w:val="00435883"/>
    <w:pPr>
      <w:spacing w:before="100" w:beforeAutospacing="1" w:after="100" w:afterAutospacing="1"/>
    </w:pPr>
    <w:rPr>
      <w:bCs w:val="0"/>
      <w:sz w:val="24"/>
    </w:rPr>
  </w:style>
  <w:style w:type="paragraph" w:customStyle="1" w:styleId="coaccordianpanel">
    <w:name w:val="co_accordianpanel"/>
    <w:basedOn w:val="Normal"/>
    <w:rsid w:val="00435883"/>
    <w:pPr>
      <w:spacing w:before="100" w:beforeAutospacing="1" w:after="100" w:afterAutospacing="1"/>
    </w:pPr>
    <w:rPr>
      <w:bCs w:val="0"/>
      <w:sz w:val="24"/>
    </w:rPr>
  </w:style>
  <w:style w:type="paragraph" w:customStyle="1" w:styleId="comyalerts">
    <w:name w:val="co_myalerts"/>
    <w:basedOn w:val="Normal"/>
    <w:rsid w:val="00435883"/>
    <w:pPr>
      <w:spacing w:before="100" w:beforeAutospacing="1" w:after="100" w:afterAutospacing="1"/>
    </w:pPr>
    <w:rPr>
      <w:bCs w:val="0"/>
      <w:sz w:val="24"/>
    </w:rPr>
  </w:style>
  <w:style w:type="paragraph" w:customStyle="1" w:styleId="validation-error">
    <w:name w:val="validation-error"/>
    <w:basedOn w:val="Normal"/>
    <w:rsid w:val="00435883"/>
    <w:pPr>
      <w:spacing w:before="100" w:beforeAutospacing="1" w:after="100" w:afterAutospacing="1"/>
    </w:pPr>
    <w:rPr>
      <w:bCs w:val="0"/>
      <w:sz w:val="24"/>
    </w:rPr>
  </w:style>
  <w:style w:type="paragraph" w:customStyle="1" w:styleId="cofeedbackformcontent">
    <w:name w:val="co_feedbackform_content"/>
    <w:basedOn w:val="Normal"/>
    <w:rsid w:val="00435883"/>
    <w:pPr>
      <w:spacing w:before="100" w:beforeAutospacing="1" w:after="100" w:afterAutospacing="1"/>
    </w:pPr>
    <w:rPr>
      <w:bCs w:val="0"/>
      <w:sz w:val="24"/>
    </w:rPr>
  </w:style>
  <w:style w:type="paragraph" w:customStyle="1" w:styleId="codropdowntab">
    <w:name w:val="co_dropdowntab"/>
    <w:basedOn w:val="Normal"/>
    <w:rsid w:val="00435883"/>
    <w:pPr>
      <w:spacing w:before="100" w:beforeAutospacing="1" w:after="100" w:afterAutospacing="1"/>
    </w:pPr>
    <w:rPr>
      <w:bCs w:val="0"/>
      <w:sz w:val="24"/>
    </w:rPr>
  </w:style>
  <w:style w:type="paragraph" w:customStyle="1" w:styleId="acover">
    <w:name w:val="ac_over"/>
    <w:basedOn w:val="Normal"/>
    <w:rsid w:val="00435883"/>
    <w:pPr>
      <w:spacing w:before="100" w:beforeAutospacing="1" w:after="100" w:afterAutospacing="1"/>
    </w:pPr>
    <w:rPr>
      <w:bCs w:val="0"/>
      <w:sz w:val="24"/>
    </w:rPr>
  </w:style>
  <w:style w:type="paragraph" w:customStyle="1" w:styleId="coclientreportingpracticeareaentry">
    <w:name w:val="co_clientreporting_practiceareaentry"/>
    <w:basedOn w:val="Normal"/>
    <w:rsid w:val="00435883"/>
    <w:pPr>
      <w:spacing w:before="100" w:beforeAutospacing="1" w:after="100" w:afterAutospacing="1"/>
    </w:pPr>
    <w:rPr>
      <w:bCs w:val="0"/>
      <w:sz w:val="24"/>
    </w:rPr>
  </w:style>
  <w:style w:type="paragraph" w:customStyle="1" w:styleId="corecentresearchitemcategory">
    <w:name w:val="co_recentresearchitemcategory"/>
    <w:basedOn w:val="Normal"/>
    <w:rsid w:val="00435883"/>
    <w:pPr>
      <w:spacing w:before="100" w:beforeAutospacing="1" w:after="100" w:afterAutospacing="1"/>
    </w:pPr>
    <w:rPr>
      <w:bCs w:val="0"/>
      <w:sz w:val="24"/>
    </w:rPr>
  </w:style>
  <w:style w:type="paragraph" w:customStyle="1" w:styleId="colightboxmd">
    <w:name w:val="co_lightbox_md"/>
    <w:basedOn w:val="Normal"/>
    <w:rsid w:val="00435883"/>
    <w:pPr>
      <w:spacing w:before="100" w:beforeAutospacing="1" w:after="100" w:afterAutospacing="1"/>
    </w:pPr>
    <w:rPr>
      <w:bCs w:val="0"/>
      <w:sz w:val="24"/>
    </w:rPr>
  </w:style>
  <w:style w:type="paragraph" w:customStyle="1" w:styleId="coindentcell">
    <w:name w:val="co_indentcell"/>
    <w:basedOn w:val="Normal"/>
    <w:rsid w:val="00435883"/>
    <w:pPr>
      <w:spacing w:before="100" w:beforeAutospacing="1" w:after="100" w:afterAutospacing="1"/>
    </w:pPr>
    <w:rPr>
      <w:bCs w:val="0"/>
      <w:sz w:val="24"/>
    </w:rPr>
  </w:style>
  <w:style w:type="paragraph" w:customStyle="1" w:styleId="coindentcelldouble">
    <w:name w:val="co_indentcelldouble"/>
    <w:basedOn w:val="Normal"/>
    <w:rsid w:val="00435883"/>
    <w:pPr>
      <w:spacing w:before="100" w:beforeAutospacing="1" w:after="100" w:afterAutospacing="1"/>
    </w:pPr>
    <w:rPr>
      <w:bCs w:val="0"/>
      <w:sz w:val="24"/>
    </w:rPr>
  </w:style>
  <w:style w:type="paragraph" w:customStyle="1" w:styleId="copricinglast">
    <w:name w:val="co_pricinglast"/>
    <w:basedOn w:val="Normal"/>
    <w:rsid w:val="00435883"/>
    <w:pPr>
      <w:spacing w:before="100" w:beforeAutospacing="1" w:after="100" w:afterAutospacing="1"/>
    </w:pPr>
    <w:rPr>
      <w:bCs w:val="0"/>
      <w:sz w:val="24"/>
    </w:rPr>
  </w:style>
  <w:style w:type="paragraph" w:customStyle="1" w:styleId="cochargesheading">
    <w:name w:val="co_chargesheading"/>
    <w:basedOn w:val="Normal"/>
    <w:rsid w:val="00435883"/>
    <w:pPr>
      <w:spacing w:before="100" w:beforeAutospacing="1" w:after="100" w:afterAutospacing="1"/>
    </w:pPr>
    <w:rPr>
      <w:bCs w:val="0"/>
      <w:sz w:val="24"/>
    </w:rPr>
  </w:style>
  <w:style w:type="paragraph" w:customStyle="1" w:styleId="cofolderingsharefoldercontacts">
    <w:name w:val="co_folderingsharefolder_contacts"/>
    <w:basedOn w:val="Normal"/>
    <w:rsid w:val="00435883"/>
    <w:pPr>
      <w:spacing w:before="100" w:beforeAutospacing="1" w:after="100" w:afterAutospacing="1"/>
    </w:pPr>
    <w:rPr>
      <w:bCs w:val="0"/>
      <w:sz w:val="24"/>
    </w:rPr>
  </w:style>
  <w:style w:type="paragraph" w:customStyle="1" w:styleId="codetailstabletablebody">
    <w:name w:val="co_detailstable_tablebody"/>
    <w:basedOn w:val="Normal"/>
    <w:rsid w:val="00435883"/>
    <w:pPr>
      <w:spacing w:before="100" w:beforeAutospacing="1" w:after="100" w:afterAutospacing="1"/>
    </w:pPr>
    <w:rPr>
      <w:bCs w:val="0"/>
      <w:sz w:val="24"/>
    </w:rPr>
  </w:style>
  <w:style w:type="paragraph" w:customStyle="1" w:styleId="cosortascending">
    <w:name w:val="co_sortascending"/>
    <w:basedOn w:val="Normal"/>
    <w:rsid w:val="00435883"/>
    <w:pPr>
      <w:spacing w:before="100" w:beforeAutospacing="1" w:after="100" w:afterAutospacing="1"/>
    </w:pPr>
    <w:rPr>
      <w:bCs w:val="0"/>
      <w:sz w:val="24"/>
    </w:rPr>
  </w:style>
  <w:style w:type="paragraph" w:customStyle="1" w:styleId="cosortdescending">
    <w:name w:val="co_sortdescending"/>
    <w:basedOn w:val="Normal"/>
    <w:rsid w:val="00435883"/>
    <w:pPr>
      <w:spacing w:before="100" w:beforeAutospacing="1" w:after="100" w:afterAutospacing="1"/>
    </w:pPr>
    <w:rPr>
      <w:bCs w:val="0"/>
      <w:sz w:val="24"/>
    </w:rPr>
  </w:style>
  <w:style w:type="paragraph" w:customStyle="1" w:styleId="cohelpicon">
    <w:name w:val="co_helpicon"/>
    <w:basedOn w:val="Normal"/>
    <w:rsid w:val="00435883"/>
    <w:pPr>
      <w:spacing w:before="100" w:beforeAutospacing="1" w:after="100" w:afterAutospacing="1"/>
    </w:pPr>
    <w:rPr>
      <w:bCs w:val="0"/>
      <w:sz w:val="24"/>
    </w:rPr>
  </w:style>
  <w:style w:type="paragraph" w:customStyle="1" w:styleId="cosharefoldershare">
    <w:name w:val="co_sharefolder_share"/>
    <w:basedOn w:val="Normal"/>
    <w:rsid w:val="00435883"/>
    <w:pPr>
      <w:spacing w:before="100" w:beforeAutospacing="1" w:after="100" w:afterAutospacing="1"/>
    </w:pPr>
    <w:rPr>
      <w:bCs w:val="0"/>
      <w:sz w:val="24"/>
    </w:rPr>
  </w:style>
  <w:style w:type="paragraph" w:customStyle="1" w:styleId="cooverlayboxheadline">
    <w:name w:val="co_overlaybox_headline"/>
    <w:basedOn w:val="Normal"/>
    <w:rsid w:val="00435883"/>
    <w:pPr>
      <w:spacing w:before="100" w:beforeAutospacing="1" w:after="100" w:afterAutospacing="1"/>
    </w:pPr>
    <w:rPr>
      <w:bCs w:val="0"/>
      <w:sz w:val="24"/>
    </w:rPr>
  </w:style>
  <w:style w:type="paragraph" w:customStyle="1" w:styleId="cooverlayboxtopleftnotitle">
    <w:name w:val="co_overlaybox_topleftnotitle"/>
    <w:basedOn w:val="Normal"/>
    <w:rsid w:val="00435883"/>
    <w:pPr>
      <w:spacing w:before="100" w:beforeAutospacing="1" w:after="100" w:afterAutospacing="1"/>
    </w:pPr>
    <w:rPr>
      <w:bCs w:val="0"/>
      <w:sz w:val="24"/>
    </w:rPr>
  </w:style>
  <w:style w:type="paragraph" w:customStyle="1" w:styleId="cooverlayboxbottomright">
    <w:name w:val="co_overlaybox_bottomright"/>
    <w:basedOn w:val="Normal"/>
    <w:rsid w:val="00435883"/>
    <w:pPr>
      <w:spacing w:before="100" w:beforeAutospacing="1" w:after="100" w:afterAutospacing="1"/>
    </w:pPr>
    <w:rPr>
      <w:bCs w:val="0"/>
      <w:sz w:val="24"/>
    </w:rPr>
  </w:style>
  <w:style w:type="paragraph" w:customStyle="1" w:styleId="codockitems">
    <w:name w:val="co_dock_items"/>
    <w:basedOn w:val="Normal"/>
    <w:rsid w:val="00435883"/>
    <w:pPr>
      <w:spacing w:before="100" w:beforeAutospacing="1" w:after="100" w:afterAutospacing="1"/>
    </w:pPr>
    <w:rPr>
      <w:bCs w:val="0"/>
      <w:sz w:val="24"/>
    </w:rPr>
  </w:style>
  <w:style w:type="paragraph" w:customStyle="1" w:styleId="codockitem">
    <w:name w:val="co_dock_item"/>
    <w:basedOn w:val="Normal"/>
    <w:rsid w:val="00435883"/>
    <w:pPr>
      <w:spacing w:before="100" w:beforeAutospacing="1" w:after="100" w:afterAutospacing="1"/>
    </w:pPr>
    <w:rPr>
      <w:bCs w:val="0"/>
      <w:sz w:val="24"/>
    </w:rPr>
  </w:style>
  <w:style w:type="paragraph" w:customStyle="1" w:styleId="codockcitation">
    <w:name w:val="co_dock_citation"/>
    <w:basedOn w:val="Normal"/>
    <w:rsid w:val="00435883"/>
    <w:pPr>
      <w:spacing w:before="100" w:beforeAutospacing="1" w:after="100" w:afterAutospacing="1"/>
    </w:pPr>
    <w:rPr>
      <w:bCs w:val="0"/>
      <w:sz w:val="24"/>
    </w:rPr>
  </w:style>
  <w:style w:type="paragraph" w:customStyle="1" w:styleId="corecentresearchitem">
    <w:name w:val="co_recentresearch_item"/>
    <w:basedOn w:val="Normal"/>
    <w:rsid w:val="00435883"/>
    <w:pPr>
      <w:spacing w:before="100" w:beforeAutospacing="1" w:after="100" w:afterAutospacing="1"/>
    </w:pPr>
    <w:rPr>
      <w:bCs w:val="0"/>
      <w:sz w:val="24"/>
    </w:rPr>
  </w:style>
  <w:style w:type="paragraph" w:customStyle="1" w:styleId="codockitemtext">
    <w:name w:val="co_dock_item_text"/>
    <w:basedOn w:val="Normal"/>
    <w:rsid w:val="00435883"/>
    <w:pPr>
      <w:spacing w:before="100" w:beforeAutospacing="1" w:after="100" w:afterAutospacing="1"/>
    </w:pPr>
    <w:rPr>
      <w:bCs w:val="0"/>
      <w:sz w:val="24"/>
    </w:rPr>
  </w:style>
  <w:style w:type="paragraph" w:customStyle="1" w:styleId="co-overviewbox-hint">
    <w:name w:val="co-overviewbox-hint"/>
    <w:basedOn w:val="Normal"/>
    <w:rsid w:val="00435883"/>
    <w:pPr>
      <w:spacing w:before="100" w:beforeAutospacing="1" w:after="100" w:afterAutospacing="1"/>
    </w:pPr>
    <w:rPr>
      <w:bCs w:val="0"/>
      <w:sz w:val="24"/>
    </w:rPr>
  </w:style>
  <w:style w:type="paragraph" w:customStyle="1" w:styleId="cosearchadvancedsearchformheading">
    <w:name w:val="co_search_advancedsearchformheading"/>
    <w:basedOn w:val="Normal"/>
    <w:rsid w:val="00435883"/>
    <w:pPr>
      <w:spacing w:before="100" w:beforeAutospacing="1" w:after="100" w:afterAutospacing="1"/>
    </w:pPr>
    <w:rPr>
      <w:bCs w:val="0"/>
      <w:sz w:val="24"/>
    </w:rPr>
  </w:style>
  <w:style w:type="paragraph" w:customStyle="1" w:styleId="cosearchadvancedsearchexampleline">
    <w:name w:val="co_search_advancedsearchexampleline"/>
    <w:basedOn w:val="Normal"/>
    <w:rsid w:val="00435883"/>
    <w:pPr>
      <w:spacing w:before="100" w:beforeAutospacing="1" w:after="100" w:afterAutospacing="1"/>
    </w:pPr>
    <w:rPr>
      <w:bCs w:val="0"/>
      <w:sz w:val="24"/>
    </w:rPr>
  </w:style>
  <w:style w:type="paragraph" w:customStyle="1" w:styleId="cosearchadvancedsearchblockheading">
    <w:name w:val="co_search_advancedsearchblockheading"/>
    <w:basedOn w:val="Normal"/>
    <w:rsid w:val="00435883"/>
    <w:pPr>
      <w:spacing w:before="100" w:beforeAutospacing="1" w:after="100" w:afterAutospacing="1"/>
    </w:pPr>
    <w:rPr>
      <w:bCs w:val="0"/>
      <w:sz w:val="24"/>
    </w:rPr>
  </w:style>
  <w:style w:type="paragraph" w:customStyle="1" w:styleId="cooffershomepagelist">
    <w:name w:val="co_offershomepagelist"/>
    <w:basedOn w:val="Normal"/>
    <w:rsid w:val="00435883"/>
    <w:pPr>
      <w:spacing w:before="100" w:beforeAutospacing="1" w:after="100" w:afterAutospacing="1"/>
    </w:pPr>
    <w:rPr>
      <w:bCs w:val="0"/>
      <w:sz w:val="24"/>
    </w:rPr>
  </w:style>
  <w:style w:type="paragraph" w:customStyle="1" w:styleId="copromotioncancel">
    <w:name w:val="co_promotion_cancel"/>
    <w:basedOn w:val="Normal"/>
    <w:rsid w:val="00435883"/>
    <w:pPr>
      <w:spacing w:before="100" w:beforeAutospacing="1" w:after="100" w:afterAutospacing="1"/>
    </w:pPr>
    <w:rPr>
      <w:bCs w:val="0"/>
      <w:sz w:val="24"/>
    </w:rPr>
  </w:style>
  <w:style w:type="paragraph" w:customStyle="1" w:styleId="copromotionremindlater">
    <w:name w:val="co_promotion_remindlater"/>
    <w:basedOn w:val="Normal"/>
    <w:rsid w:val="00435883"/>
    <w:pPr>
      <w:spacing w:before="100" w:beforeAutospacing="1" w:after="100" w:afterAutospacing="1"/>
    </w:pPr>
    <w:rPr>
      <w:bCs w:val="0"/>
      <w:sz w:val="24"/>
    </w:rPr>
  </w:style>
  <w:style w:type="paragraph" w:customStyle="1" w:styleId="corelative">
    <w:name w:val="co_relative"/>
    <w:basedOn w:val="Normal"/>
    <w:rsid w:val="00435883"/>
    <w:pPr>
      <w:spacing w:before="100" w:beforeAutospacing="1" w:after="100" w:afterAutospacing="1"/>
    </w:pPr>
    <w:rPr>
      <w:bCs w:val="0"/>
      <w:sz w:val="24"/>
    </w:rPr>
  </w:style>
  <w:style w:type="paragraph" w:customStyle="1" w:styleId="counusbscribepracinsightsalerts">
    <w:name w:val="co_unusbscribe_prac_insights_alerts"/>
    <w:basedOn w:val="Normal"/>
    <w:rsid w:val="00435883"/>
    <w:pPr>
      <w:spacing w:before="100" w:beforeAutospacing="1" w:after="100" w:afterAutospacing="1"/>
    </w:pPr>
    <w:rPr>
      <w:bCs w:val="0"/>
      <w:sz w:val="24"/>
    </w:rPr>
  </w:style>
  <w:style w:type="paragraph" w:customStyle="1" w:styleId="iconinfo">
    <w:name w:val="icon_info"/>
    <w:basedOn w:val="Normal"/>
    <w:rsid w:val="00435883"/>
    <w:pPr>
      <w:spacing w:before="100" w:beforeAutospacing="1" w:after="100" w:afterAutospacing="1"/>
    </w:pPr>
    <w:rPr>
      <w:bCs w:val="0"/>
      <w:sz w:val="24"/>
    </w:rPr>
  </w:style>
  <w:style w:type="paragraph" w:customStyle="1" w:styleId="codatepicker-startenddate">
    <w:name w:val="co_datepicker-startenddate"/>
    <w:basedOn w:val="Normal"/>
    <w:rsid w:val="00435883"/>
    <w:pPr>
      <w:spacing w:before="100" w:beforeAutospacing="1" w:after="100" w:afterAutospacing="1"/>
    </w:pPr>
    <w:rPr>
      <w:bCs w:val="0"/>
      <w:sz w:val="24"/>
    </w:rPr>
  </w:style>
  <w:style w:type="paragraph" w:customStyle="1" w:styleId="corelatedinfoorderedlist">
    <w:name w:val="co_relatedinfo_orderedlist"/>
    <w:basedOn w:val="Normal"/>
    <w:rsid w:val="00435883"/>
    <w:pPr>
      <w:spacing w:before="100" w:beforeAutospacing="1" w:after="100" w:afterAutospacing="1"/>
    </w:pPr>
    <w:rPr>
      <w:bCs w:val="0"/>
      <w:sz w:val="24"/>
    </w:rPr>
  </w:style>
  <w:style w:type="paragraph" w:customStyle="1" w:styleId="cotree">
    <w:name w:val="co_tree"/>
    <w:basedOn w:val="Normal"/>
    <w:rsid w:val="00435883"/>
    <w:pPr>
      <w:spacing w:before="100" w:beforeAutospacing="1" w:after="100" w:afterAutospacing="1"/>
    </w:pPr>
    <w:rPr>
      <w:bCs w:val="0"/>
      <w:sz w:val="24"/>
    </w:rPr>
  </w:style>
  <w:style w:type="paragraph" w:customStyle="1" w:styleId="colistitemremove">
    <w:name w:val="co_listitem_remove"/>
    <w:basedOn w:val="Normal"/>
    <w:rsid w:val="00435883"/>
    <w:pPr>
      <w:spacing w:before="100" w:beforeAutospacing="1" w:after="100" w:afterAutospacing="1"/>
    </w:pPr>
    <w:rPr>
      <w:bCs w:val="0"/>
      <w:sz w:val="24"/>
    </w:rPr>
  </w:style>
  <w:style w:type="paragraph" w:customStyle="1" w:styleId="cofacetsearchclear">
    <w:name w:val="co_facet_searchclear"/>
    <w:basedOn w:val="Normal"/>
    <w:rsid w:val="00435883"/>
    <w:pPr>
      <w:spacing w:before="100" w:beforeAutospacing="1" w:after="100" w:afterAutospacing="1"/>
    </w:pPr>
    <w:rPr>
      <w:bCs w:val="0"/>
      <w:sz w:val="24"/>
    </w:rPr>
  </w:style>
  <w:style w:type="paragraph" w:customStyle="1" w:styleId="cofacetsearchbutton">
    <w:name w:val="co_facet_searchbutton"/>
    <w:basedOn w:val="Normal"/>
    <w:rsid w:val="00435883"/>
    <w:pPr>
      <w:spacing w:before="100" w:beforeAutospacing="1" w:after="100" w:afterAutospacing="1"/>
    </w:pPr>
    <w:rPr>
      <w:bCs w:val="0"/>
      <w:sz w:val="24"/>
    </w:rPr>
  </w:style>
  <w:style w:type="paragraph" w:customStyle="1" w:styleId="cofacetsearcherror">
    <w:name w:val="co_facet_searcherror"/>
    <w:basedOn w:val="Normal"/>
    <w:rsid w:val="00435883"/>
    <w:pPr>
      <w:spacing w:before="100" w:beforeAutospacing="1" w:after="100" w:afterAutospacing="1"/>
    </w:pPr>
    <w:rPr>
      <w:bCs w:val="0"/>
      <w:sz w:val="24"/>
    </w:rPr>
  </w:style>
  <w:style w:type="paragraph" w:customStyle="1" w:styleId="cofacetsearchempty">
    <w:name w:val="co_facet_searchempty"/>
    <w:basedOn w:val="Normal"/>
    <w:rsid w:val="00435883"/>
    <w:pPr>
      <w:spacing w:before="100" w:beforeAutospacing="1" w:after="100" w:afterAutospacing="1"/>
    </w:pPr>
    <w:rPr>
      <w:bCs w:val="0"/>
      <w:sz w:val="24"/>
    </w:rPr>
  </w:style>
  <w:style w:type="paragraph" w:customStyle="1" w:styleId="coprevnextnavigation">
    <w:name w:val="co_prevnextnavigation"/>
    <w:basedOn w:val="Normal"/>
    <w:rsid w:val="00435883"/>
    <w:pPr>
      <w:spacing w:before="100" w:beforeAutospacing="1" w:after="100" w:afterAutospacing="1"/>
    </w:pPr>
    <w:rPr>
      <w:bCs w:val="0"/>
      <w:sz w:val="24"/>
    </w:rPr>
  </w:style>
  <w:style w:type="paragraph" w:customStyle="1" w:styleId="conavigationtext">
    <w:name w:val="co_navigationtext"/>
    <w:basedOn w:val="Normal"/>
    <w:rsid w:val="00435883"/>
    <w:pPr>
      <w:spacing w:before="100" w:beforeAutospacing="1" w:after="100" w:afterAutospacing="1"/>
    </w:pPr>
    <w:rPr>
      <w:bCs w:val="0"/>
      <w:sz w:val="24"/>
    </w:rPr>
  </w:style>
  <w:style w:type="paragraph" w:customStyle="1" w:styleId="cotreeelement">
    <w:name w:val="co_tree_element"/>
    <w:basedOn w:val="Normal"/>
    <w:rsid w:val="00435883"/>
    <w:pPr>
      <w:spacing w:before="100" w:beforeAutospacing="1" w:after="100" w:afterAutospacing="1"/>
    </w:pPr>
    <w:rPr>
      <w:bCs w:val="0"/>
      <w:sz w:val="24"/>
    </w:rPr>
  </w:style>
  <w:style w:type="paragraph" w:customStyle="1" w:styleId="cobaltfolderingrofolderlink">
    <w:name w:val="cobalt_foldering_ro_folderlink"/>
    <w:basedOn w:val="Normal"/>
    <w:rsid w:val="00435883"/>
    <w:pPr>
      <w:spacing w:before="100" w:beforeAutospacing="1" w:after="100" w:afterAutospacing="1"/>
    </w:pPr>
    <w:rPr>
      <w:bCs w:val="0"/>
      <w:sz w:val="24"/>
    </w:rPr>
  </w:style>
  <w:style w:type="paragraph" w:customStyle="1" w:styleId="cosnippetsource">
    <w:name w:val="co_snippetsource"/>
    <w:basedOn w:val="Normal"/>
    <w:rsid w:val="00435883"/>
    <w:pPr>
      <w:spacing w:before="100" w:beforeAutospacing="1" w:after="100" w:afterAutospacing="1"/>
    </w:pPr>
    <w:rPr>
      <w:bCs w:val="0"/>
      <w:sz w:val="24"/>
    </w:rPr>
  </w:style>
  <w:style w:type="paragraph" w:customStyle="1" w:styleId="coresearchorgmyfolders">
    <w:name w:val="co_researchorg_myfolders"/>
    <w:basedOn w:val="Normal"/>
    <w:rsid w:val="00435883"/>
    <w:pPr>
      <w:spacing w:before="100" w:beforeAutospacing="1" w:after="100" w:afterAutospacing="1"/>
    </w:pPr>
    <w:rPr>
      <w:bCs w:val="0"/>
      <w:sz w:val="24"/>
    </w:rPr>
  </w:style>
  <w:style w:type="paragraph" w:customStyle="1" w:styleId="cofoldertitlelink">
    <w:name w:val="co_foldertitlelink"/>
    <w:basedOn w:val="Normal"/>
    <w:rsid w:val="00435883"/>
    <w:pPr>
      <w:spacing w:before="100" w:beforeAutospacing="1" w:after="100" w:afterAutospacing="1"/>
    </w:pPr>
    <w:rPr>
      <w:bCs w:val="0"/>
      <w:sz w:val="24"/>
    </w:rPr>
  </w:style>
  <w:style w:type="paragraph" w:customStyle="1" w:styleId="cofoldertitlerole">
    <w:name w:val="co_foldertitlerole"/>
    <w:basedOn w:val="Normal"/>
    <w:rsid w:val="00435883"/>
    <w:pPr>
      <w:spacing w:before="100" w:beforeAutospacing="1" w:after="100" w:afterAutospacing="1"/>
    </w:pPr>
    <w:rPr>
      <w:bCs w:val="0"/>
      <w:sz w:val="24"/>
    </w:rPr>
  </w:style>
  <w:style w:type="paragraph" w:customStyle="1" w:styleId="coerrorcount">
    <w:name w:val="co_errorcount"/>
    <w:basedOn w:val="Normal"/>
    <w:rsid w:val="00435883"/>
    <w:pPr>
      <w:spacing w:before="100" w:beforeAutospacing="1" w:after="100" w:afterAutospacing="1"/>
    </w:pPr>
    <w:rPr>
      <w:bCs w:val="0"/>
      <w:sz w:val="24"/>
    </w:rPr>
  </w:style>
  <w:style w:type="paragraph" w:customStyle="1" w:styleId="cononselectablelistitem">
    <w:name w:val="co_non_selectable_list_item"/>
    <w:basedOn w:val="Normal"/>
    <w:rsid w:val="00435883"/>
    <w:pPr>
      <w:spacing w:before="100" w:beforeAutospacing="1" w:after="100" w:afterAutospacing="1"/>
    </w:pPr>
    <w:rPr>
      <w:bCs w:val="0"/>
      <w:sz w:val="24"/>
    </w:rPr>
  </w:style>
  <w:style w:type="paragraph" w:customStyle="1" w:styleId="codeliverypreview">
    <w:name w:val="co_deliverypreview"/>
    <w:basedOn w:val="Normal"/>
    <w:rsid w:val="00435883"/>
    <w:pPr>
      <w:spacing w:before="100" w:beforeAutospacing="1" w:after="100" w:afterAutospacing="1"/>
    </w:pPr>
    <w:rPr>
      <w:bCs w:val="0"/>
      <w:sz w:val="24"/>
    </w:rPr>
  </w:style>
  <w:style w:type="paragraph" w:customStyle="1" w:styleId="codeliverywaitmessage">
    <w:name w:val="co_deliverywaitmessage"/>
    <w:basedOn w:val="Normal"/>
    <w:rsid w:val="00435883"/>
    <w:pPr>
      <w:spacing w:before="100" w:beforeAutospacing="1" w:after="100" w:afterAutospacing="1"/>
    </w:pPr>
    <w:rPr>
      <w:bCs w:val="0"/>
      <w:sz w:val="24"/>
    </w:rPr>
  </w:style>
  <w:style w:type="paragraph" w:customStyle="1" w:styleId="cosearchwaitmessage">
    <w:name w:val="co_searchwaitmessage"/>
    <w:basedOn w:val="Normal"/>
    <w:rsid w:val="00435883"/>
    <w:pPr>
      <w:spacing w:before="100" w:beforeAutospacing="1" w:after="100" w:afterAutospacing="1"/>
    </w:pPr>
    <w:rPr>
      <w:bCs w:val="0"/>
      <w:sz w:val="24"/>
    </w:rPr>
  </w:style>
  <w:style w:type="paragraph" w:customStyle="1" w:styleId="codropdownactivator">
    <w:name w:val="co_dropdownactivator"/>
    <w:basedOn w:val="Normal"/>
    <w:rsid w:val="00435883"/>
    <w:pPr>
      <w:spacing w:before="100" w:beforeAutospacing="1" w:after="100" w:afterAutospacing="1"/>
    </w:pPr>
    <w:rPr>
      <w:bCs w:val="0"/>
      <w:sz w:val="24"/>
    </w:rPr>
  </w:style>
  <w:style w:type="paragraph" w:customStyle="1" w:styleId="cocitatorflagtext">
    <w:name w:val="co_citatorflagtext"/>
    <w:basedOn w:val="Normal"/>
    <w:rsid w:val="00435883"/>
    <w:pPr>
      <w:spacing w:before="100" w:beforeAutospacing="1" w:after="100" w:afterAutospacing="1"/>
    </w:pPr>
    <w:rPr>
      <w:bCs w:val="0"/>
      <w:sz w:val="24"/>
    </w:rPr>
  </w:style>
  <w:style w:type="paragraph" w:customStyle="1" w:styleId="codocwarningtext">
    <w:name w:val="co_docwarning_text"/>
    <w:basedOn w:val="Normal"/>
    <w:rsid w:val="00435883"/>
    <w:pPr>
      <w:spacing w:before="100" w:beforeAutospacing="1" w:after="100" w:afterAutospacing="1"/>
    </w:pPr>
    <w:rPr>
      <w:bCs w:val="0"/>
      <w:sz w:val="24"/>
    </w:rPr>
  </w:style>
  <w:style w:type="paragraph" w:customStyle="1" w:styleId="cosearchajaxloadingerror">
    <w:name w:val="co_search_ajaxloadingerror"/>
    <w:basedOn w:val="Normal"/>
    <w:rsid w:val="00435883"/>
    <w:pPr>
      <w:spacing w:before="100" w:beforeAutospacing="1" w:after="100" w:afterAutospacing="1"/>
    </w:pPr>
    <w:rPr>
      <w:bCs w:val="0"/>
      <w:sz w:val="24"/>
    </w:rPr>
  </w:style>
  <w:style w:type="paragraph" w:customStyle="1" w:styleId="conavfooteritemcount">
    <w:name w:val="co_navfooter_itemcount"/>
    <w:basedOn w:val="Normal"/>
    <w:rsid w:val="00435883"/>
    <w:pPr>
      <w:spacing w:before="100" w:beforeAutospacing="1" w:after="100" w:afterAutospacing="1"/>
    </w:pPr>
    <w:rPr>
      <w:bCs w:val="0"/>
      <w:sz w:val="24"/>
    </w:rPr>
  </w:style>
  <w:style w:type="paragraph" w:customStyle="1" w:styleId="cowidgetsearchboxselectableinput">
    <w:name w:val="co_widgetsearchbox_selectableinput"/>
    <w:basedOn w:val="Normal"/>
    <w:rsid w:val="00435883"/>
    <w:pPr>
      <w:spacing w:before="100" w:beforeAutospacing="1" w:after="100" w:afterAutospacing="1"/>
    </w:pPr>
    <w:rPr>
      <w:bCs w:val="0"/>
      <w:sz w:val="24"/>
    </w:rPr>
  </w:style>
  <w:style w:type="paragraph" w:customStyle="1" w:styleId="cooverlayboxrightcontentfieldset">
    <w:name w:val="co_overlaybox_rightcontent&gt;fieldset"/>
    <w:basedOn w:val="Normal"/>
    <w:rsid w:val="00435883"/>
    <w:pPr>
      <w:spacing w:before="100" w:beforeAutospacing="1" w:after="100" w:afterAutospacing="1"/>
    </w:pPr>
    <w:rPr>
      <w:bCs w:val="0"/>
      <w:sz w:val="24"/>
    </w:rPr>
  </w:style>
  <w:style w:type="paragraph" w:customStyle="1" w:styleId="cocontactsmembershipsitem">
    <w:name w:val="co_contacts_membershipsitem"/>
    <w:basedOn w:val="Normal"/>
    <w:rsid w:val="00435883"/>
    <w:pPr>
      <w:spacing w:before="100" w:beforeAutospacing="1" w:after="100" w:afterAutospacing="1"/>
    </w:pPr>
    <w:rPr>
      <w:bCs w:val="0"/>
      <w:sz w:val="24"/>
    </w:rPr>
  </w:style>
  <w:style w:type="paragraph" w:customStyle="1" w:styleId="conavpagesli">
    <w:name w:val="co_navpages&gt;li"/>
    <w:basedOn w:val="Normal"/>
    <w:rsid w:val="00435883"/>
    <w:pPr>
      <w:spacing w:before="100" w:beforeAutospacing="1" w:after="100" w:afterAutospacing="1"/>
    </w:pPr>
    <w:rPr>
      <w:bCs w:val="0"/>
      <w:sz w:val="24"/>
    </w:rPr>
  </w:style>
  <w:style w:type="paragraph" w:customStyle="1" w:styleId="cocontactsmessage">
    <w:name w:val="co_contacts_message"/>
    <w:basedOn w:val="Normal"/>
    <w:rsid w:val="00435883"/>
    <w:pPr>
      <w:spacing w:before="100" w:beforeAutospacing="1" w:after="100" w:afterAutospacing="1"/>
    </w:pPr>
    <w:rPr>
      <w:bCs w:val="0"/>
      <w:sz w:val="24"/>
    </w:rPr>
  </w:style>
  <w:style w:type="paragraph" w:customStyle="1" w:styleId="cooverlayboxbottomcontent">
    <w:name w:val="co_overlaybox_bottomcontent"/>
    <w:basedOn w:val="Normal"/>
    <w:rsid w:val="00435883"/>
    <w:pPr>
      <w:spacing w:before="100" w:beforeAutospacing="1" w:after="100" w:afterAutospacing="1"/>
    </w:pPr>
    <w:rPr>
      <w:bCs w:val="0"/>
      <w:sz w:val="24"/>
    </w:rPr>
  </w:style>
  <w:style w:type="paragraph" w:customStyle="1" w:styleId="cooverlayboxbottom">
    <w:name w:val="co_overlaybox_bottom"/>
    <w:basedOn w:val="Normal"/>
    <w:rsid w:val="00435883"/>
    <w:pPr>
      <w:spacing w:before="100" w:beforeAutospacing="1" w:after="100" w:afterAutospacing="1"/>
    </w:pPr>
    <w:rPr>
      <w:bCs w:val="0"/>
      <w:sz w:val="24"/>
    </w:rPr>
  </w:style>
  <w:style w:type="paragraph" w:customStyle="1" w:styleId="cocontactsautosuggestinput">
    <w:name w:val="co_contacts_autosuggestinput"/>
    <w:basedOn w:val="Normal"/>
    <w:rsid w:val="00435883"/>
    <w:pPr>
      <w:spacing w:before="100" w:beforeAutospacing="1" w:after="100" w:afterAutospacing="1"/>
    </w:pPr>
    <w:rPr>
      <w:bCs w:val="0"/>
      <w:sz w:val="24"/>
    </w:rPr>
  </w:style>
  <w:style w:type="paragraph" w:customStyle="1" w:styleId="cocontactsautosuggest">
    <w:name w:val="co_contacts_autosuggest"/>
    <w:basedOn w:val="Normal"/>
    <w:rsid w:val="00435883"/>
    <w:pPr>
      <w:spacing w:before="100" w:beforeAutospacing="1" w:after="100" w:afterAutospacing="1"/>
    </w:pPr>
    <w:rPr>
      <w:bCs w:val="0"/>
      <w:sz w:val="24"/>
    </w:rPr>
  </w:style>
  <w:style w:type="paragraph" w:customStyle="1" w:styleId="cosortdropdown">
    <w:name w:val="co_sortdropdown"/>
    <w:basedOn w:val="Normal"/>
    <w:rsid w:val="00435883"/>
    <w:pPr>
      <w:spacing w:before="100" w:beforeAutospacing="1" w:after="100" w:afterAutospacing="1"/>
    </w:pPr>
    <w:rPr>
      <w:bCs w:val="0"/>
      <w:sz w:val="24"/>
    </w:rPr>
  </w:style>
  <w:style w:type="paragraph" w:customStyle="1" w:styleId="codropdownboxcontent">
    <w:name w:val="co_dropdownboxcontent"/>
    <w:basedOn w:val="Normal"/>
    <w:rsid w:val="00435883"/>
    <w:pPr>
      <w:spacing w:before="100" w:beforeAutospacing="1" w:after="100" w:afterAutospacing="1"/>
    </w:pPr>
    <w:rPr>
      <w:bCs w:val="0"/>
      <w:sz w:val="24"/>
    </w:rPr>
  </w:style>
  <w:style w:type="paragraph" w:customStyle="1" w:styleId="codropdownboxcontentright">
    <w:name w:val="co_dropdownboxcontentright"/>
    <w:basedOn w:val="Normal"/>
    <w:rsid w:val="00435883"/>
    <w:pPr>
      <w:spacing w:before="100" w:beforeAutospacing="1" w:after="100" w:afterAutospacing="1"/>
    </w:pPr>
    <w:rPr>
      <w:bCs w:val="0"/>
      <w:sz w:val="24"/>
    </w:rPr>
  </w:style>
  <w:style w:type="paragraph" w:customStyle="1" w:styleId="cosliderbox">
    <w:name w:val="co_sliderbox"/>
    <w:basedOn w:val="Normal"/>
    <w:rsid w:val="00435883"/>
    <w:pPr>
      <w:spacing w:before="100" w:beforeAutospacing="1" w:after="100" w:afterAutospacing="1"/>
    </w:pPr>
    <w:rPr>
      <w:bCs w:val="0"/>
      <w:sz w:val="24"/>
    </w:rPr>
  </w:style>
  <w:style w:type="paragraph" w:customStyle="1" w:styleId="codoctypetoggle">
    <w:name w:val="co_doctypetoggle"/>
    <w:basedOn w:val="Normal"/>
    <w:rsid w:val="00435883"/>
    <w:pPr>
      <w:spacing w:before="100" w:beforeAutospacing="1" w:after="100" w:afterAutospacing="1"/>
    </w:pPr>
    <w:rPr>
      <w:bCs w:val="0"/>
      <w:sz w:val="24"/>
    </w:rPr>
  </w:style>
  <w:style w:type="paragraph" w:customStyle="1" w:styleId="cosearchresultssummary">
    <w:name w:val="co_searchresults_summary"/>
    <w:basedOn w:val="Normal"/>
    <w:rsid w:val="00435883"/>
    <w:pPr>
      <w:spacing w:before="100" w:beforeAutospacing="1" w:after="100" w:afterAutospacing="1"/>
    </w:pPr>
    <w:rPr>
      <w:bCs w:val="0"/>
      <w:sz w:val="24"/>
    </w:rPr>
  </w:style>
  <w:style w:type="paragraph" w:customStyle="1" w:styleId="cosearchkeyciteflag">
    <w:name w:val="co_searchkeyciteflag"/>
    <w:basedOn w:val="Normal"/>
    <w:rsid w:val="00435883"/>
    <w:pPr>
      <w:spacing w:before="100" w:beforeAutospacing="1" w:after="100" w:afterAutospacing="1"/>
    </w:pPr>
    <w:rPr>
      <w:bCs w:val="0"/>
      <w:sz w:val="24"/>
    </w:rPr>
  </w:style>
  <w:style w:type="paragraph" w:customStyle="1" w:styleId="cosearchresultssynopsis">
    <w:name w:val="co_searchresults_synopsis"/>
    <w:basedOn w:val="Normal"/>
    <w:rsid w:val="00435883"/>
    <w:pPr>
      <w:spacing w:before="100" w:beforeAutospacing="1" w:after="100" w:afterAutospacing="1"/>
    </w:pPr>
    <w:rPr>
      <w:bCs w:val="0"/>
      <w:sz w:val="24"/>
    </w:rPr>
  </w:style>
  <w:style w:type="paragraph" w:customStyle="1" w:styleId="cosearchresultssynopsiscontent">
    <w:name w:val="co_searchresults_synopsiscontent"/>
    <w:basedOn w:val="Normal"/>
    <w:rsid w:val="00435883"/>
    <w:pPr>
      <w:spacing w:before="100" w:beforeAutospacing="1" w:after="100" w:afterAutospacing="1"/>
    </w:pPr>
    <w:rPr>
      <w:bCs w:val="0"/>
      <w:sz w:val="24"/>
    </w:rPr>
  </w:style>
  <w:style w:type="paragraph" w:customStyle="1" w:styleId="smartfoldersicons">
    <w:name w:val="smartfoldersicons"/>
    <w:basedOn w:val="Normal"/>
    <w:rsid w:val="00435883"/>
    <w:pPr>
      <w:spacing w:before="100" w:beforeAutospacing="1" w:after="100" w:afterAutospacing="1"/>
    </w:pPr>
    <w:rPr>
      <w:bCs w:val="0"/>
      <w:sz w:val="24"/>
    </w:rPr>
  </w:style>
  <w:style w:type="paragraph" w:customStyle="1" w:styleId="coattributetagwrap">
    <w:name w:val="co_attributetagwrap"/>
    <w:basedOn w:val="Normal"/>
    <w:rsid w:val="00435883"/>
    <w:pPr>
      <w:spacing w:before="100" w:beforeAutospacing="1" w:after="100" w:afterAutospacing="1"/>
    </w:pPr>
    <w:rPr>
      <w:bCs w:val="0"/>
      <w:sz w:val="24"/>
    </w:rPr>
  </w:style>
  <w:style w:type="paragraph" w:customStyle="1" w:styleId="coattributetag">
    <w:name w:val="co_attributetag"/>
    <w:basedOn w:val="Normal"/>
    <w:rsid w:val="00435883"/>
    <w:pPr>
      <w:spacing w:before="100" w:beforeAutospacing="1" w:after="100" w:afterAutospacing="1"/>
    </w:pPr>
    <w:rPr>
      <w:bCs w:val="0"/>
      <w:sz w:val="24"/>
    </w:rPr>
  </w:style>
  <w:style w:type="paragraph" w:customStyle="1" w:styleId="comultifacetcancel">
    <w:name w:val="co_multifacet_cancel"/>
    <w:basedOn w:val="Normal"/>
    <w:rsid w:val="00435883"/>
    <w:pPr>
      <w:spacing w:before="100" w:beforeAutospacing="1" w:after="100" w:afterAutospacing="1"/>
    </w:pPr>
    <w:rPr>
      <w:bCs w:val="0"/>
      <w:sz w:val="24"/>
    </w:rPr>
  </w:style>
  <w:style w:type="paragraph" w:customStyle="1" w:styleId="cosignoffreturnlink">
    <w:name w:val="co_signoff_returnlink"/>
    <w:basedOn w:val="Normal"/>
    <w:rsid w:val="00435883"/>
    <w:pPr>
      <w:spacing w:before="100" w:beforeAutospacing="1" w:after="100" w:afterAutospacing="1"/>
    </w:pPr>
    <w:rPr>
      <w:bCs w:val="0"/>
      <w:sz w:val="24"/>
    </w:rPr>
  </w:style>
  <w:style w:type="paragraph" w:customStyle="1" w:styleId="coredlinelightboxtabitemeditbutton">
    <w:name w:val="co_redlinelightbox_tabitem_editbutton"/>
    <w:basedOn w:val="Normal"/>
    <w:rsid w:val="00435883"/>
    <w:pPr>
      <w:spacing w:before="100" w:beforeAutospacing="1" w:after="100" w:afterAutospacing="1"/>
    </w:pPr>
    <w:rPr>
      <w:bCs w:val="0"/>
      <w:sz w:val="24"/>
    </w:rPr>
  </w:style>
  <w:style w:type="paragraph" w:customStyle="1" w:styleId="coredlinelightboxtabitemitemname">
    <w:name w:val="co_redlinelightbox_tabitem_itemname"/>
    <w:basedOn w:val="Normal"/>
    <w:rsid w:val="00435883"/>
    <w:pPr>
      <w:spacing w:before="100" w:beforeAutospacing="1" w:after="100" w:afterAutospacing="1"/>
    </w:pPr>
    <w:rPr>
      <w:bCs w:val="0"/>
      <w:sz w:val="24"/>
    </w:rPr>
  </w:style>
  <w:style w:type="paragraph" w:customStyle="1" w:styleId="coredlineadd">
    <w:name w:val="co_redlineadd"/>
    <w:basedOn w:val="Normal"/>
    <w:rsid w:val="00435883"/>
    <w:pPr>
      <w:spacing w:before="100" w:beforeAutospacing="1" w:after="100" w:afterAutospacing="1"/>
    </w:pPr>
    <w:rPr>
      <w:bCs w:val="0"/>
      <w:sz w:val="24"/>
    </w:rPr>
  </w:style>
  <w:style w:type="paragraph" w:customStyle="1" w:styleId="coredlinedelete">
    <w:name w:val="co_redlinedelete"/>
    <w:basedOn w:val="Normal"/>
    <w:rsid w:val="00435883"/>
    <w:pPr>
      <w:spacing w:before="100" w:beforeAutospacing="1" w:after="100" w:afterAutospacing="1"/>
    </w:pPr>
    <w:rPr>
      <w:bCs w:val="0"/>
      <w:sz w:val="24"/>
    </w:rPr>
  </w:style>
  <w:style w:type="paragraph" w:customStyle="1" w:styleId="cosliderwidgetpaginationlink">
    <w:name w:val="co_sliderwidget_paginationlink"/>
    <w:basedOn w:val="Normal"/>
    <w:rsid w:val="00435883"/>
    <w:pPr>
      <w:spacing w:before="100" w:beforeAutospacing="1" w:after="100" w:afterAutospacing="1"/>
    </w:pPr>
    <w:rPr>
      <w:bCs w:val="0"/>
      <w:sz w:val="24"/>
    </w:rPr>
  </w:style>
  <w:style w:type="paragraph" w:customStyle="1" w:styleId="cofavoritesdragging">
    <w:name w:val="co_favorites_dragging"/>
    <w:basedOn w:val="Normal"/>
    <w:rsid w:val="00435883"/>
    <w:pPr>
      <w:spacing w:before="100" w:beforeAutospacing="1" w:after="100" w:afterAutospacing="1"/>
    </w:pPr>
    <w:rPr>
      <w:bCs w:val="0"/>
      <w:sz w:val="24"/>
    </w:rPr>
  </w:style>
  <w:style w:type="paragraph" w:customStyle="1" w:styleId="cofolderingfrontpagefavorite">
    <w:name w:val="co_foldering_frontpage_favorite"/>
    <w:basedOn w:val="Normal"/>
    <w:rsid w:val="00435883"/>
    <w:pPr>
      <w:spacing w:before="100" w:beforeAutospacing="1" w:after="100" w:afterAutospacing="1"/>
    </w:pPr>
    <w:rPr>
      <w:bCs w:val="0"/>
      <w:sz w:val="24"/>
    </w:rPr>
  </w:style>
  <w:style w:type="paragraph" w:customStyle="1" w:styleId="coatstate">
    <w:name w:val="co_atstate"/>
    <w:basedOn w:val="Normal"/>
    <w:rsid w:val="00435883"/>
    <w:pPr>
      <w:spacing w:before="100" w:beforeAutospacing="1" w:after="100" w:afterAutospacing="1"/>
    </w:pPr>
    <w:rPr>
      <w:bCs w:val="0"/>
      <w:sz w:val="24"/>
    </w:rPr>
  </w:style>
  <w:style w:type="paragraph" w:customStyle="1" w:styleId="cobuttoncancelsmall">
    <w:name w:val="co_button_cancel_small"/>
    <w:basedOn w:val="Normal"/>
    <w:rsid w:val="00435883"/>
    <w:pPr>
      <w:spacing w:before="100" w:beforeAutospacing="1" w:after="100" w:afterAutospacing="1"/>
    </w:pPr>
    <w:rPr>
      <w:bCs w:val="0"/>
      <w:sz w:val="24"/>
    </w:rPr>
  </w:style>
  <w:style w:type="paragraph" w:customStyle="1" w:styleId="coprimarybtn">
    <w:name w:val="co_primarybtn"/>
    <w:basedOn w:val="Normal"/>
    <w:rsid w:val="00435883"/>
    <w:pPr>
      <w:spacing w:before="100" w:beforeAutospacing="1" w:after="100" w:afterAutospacing="1"/>
    </w:pPr>
    <w:rPr>
      <w:bCs w:val="0"/>
      <w:sz w:val="24"/>
    </w:rPr>
  </w:style>
  <w:style w:type="paragraph" w:customStyle="1" w:styleId="iconpaginationdots">
    <w:name w:val="icon_pagination_dots"/>
    <w:basedOn w:val="Normal"/>
    <w:rsid w:val="00435883"/>
    <w:pPr>
      <w:spacing w:before="100" w:beforeAutospacing="1" w:after="100" w:afterAutospacing="1"/>
    </w:pPr>
    <w:rPr>
      <w:bCs w:val="0"/>
      <w:sz w:val="24"/>
    </w:rPr>
  </w:style>
  <w:style w:type="paragraph" w:customStyle="1" w:styleId="coconfirmemptytrashfolderaction">
    <w:name w:val="co_confirm_emptytrash_folderaction"/>
    <w:basedOn w:val="Normal"/>
    <w:rsid w:val="00435883"/>
    <w:pPr>
      <w:spacing w:before="100" w:beforeAutospacing="1" w:after="100" w:afterAutospacing="1"/>
    </w:pPr>
    <w:rPr>
      <w:bCs w:val="0"/>
      <w:sz w:val="24"/>
    </w:rPr>
  </w:style>
  <w:style w:type="paragraph" w:customStyle="1" w:styleId="coconfirmkmnotauthorized">
    <w:name w:val="co_confirm_km_not_authorized"/>
    <w:basedOn w:val="Normal"/>
    <w:rsid w:val="00435883"/>
    <w:pPr>
      <w:spacing w:before="100" w:beforeAutospacing="1" w:after="100" w:afterAutospacing="1"/>
    </w:pPr>
    <w:rPr>
      <w:bCs w:val="0"/>
      <w:sz w:val="24"/>
    </w:rPr>
  </w:style>
  <w:style w:type="paragraph" w:customStyle="1" w:styleId="coconfirmmovefolderaction">
    <w:name w:val="co_confirm_move_folderaction"/>
    <w:basedOn w:val="Normal"/>
    <w:rsid w:val="00435883"/>
    <w:pPr>
      <w:spacing w:before="100" w:beforeAutospacing="1" w:after="100" w:afterAutospacing="1"/>
    </w:pPr>
    <w:rPr>
      <w:bCs w:val="0"/>
      <w:sz w:val="24"/>
    </w:rPr>
  </w:style>
  <w:style w:type="paragraph" w:customStyle="1" w:styleId="coconfirmpermadeletefolderaction">
    <w:name w:val="co_confirm_permadelete_folderaction"/>
    <w:basedOn w:val="Normal"/>
    <w:rsid w:val="00435883"/>
    <w:pPr>
      <w:spacing w:before="100" w:beforeAutospacing="1" w:after="100" w:afterAutospacing="1"/>
    </w:pPr>
    <w:rPr>
      <w:bCs w:val="0"/>
      <w:sz w:val="24"/>
    </w:rPr>
  </w:style>
  <w:style w:type="paragraph" w:customStyle="1" w:styleId="coprogressmovefolderaction">
    <w:name w:val="co_progress_move_folderaction"/>
    <w:basedOn w:val="Normal"/>
    <w:rsid w:val="00435883"/>
    <w:pPr>
      <w:spacing w:before="100" w:beforeAutospacing="1" w:after="100" w:afterAutospacing="1"/>
    </w:pPr>
    <w:rPr>
      <w:bCs w:val="0"/>
      <w:sz w:val="24"/>
    </w:rPr>
  </w:style>
  <w:style w:type="paragraph" w:customStyle="1" w:styleId="cobaltsavetosharedfoldertreerootspan">
    <w:name w:val="cobalt_saveto_sharedfoldertree_root&gt;span"/>
    <w:basedOn w:val="Normal"/>
    <w:rsid w:val="00435883"/>
    <w:pPr>
      <w:spacing w:before="100" w:beforeAutospacing="1" w:after="100" w:afterAutospacing="1"/>
    </w:pPr>
    <w:rPr>
      <w:bCs w:val="0"/>
      <w:sz w:val="24"/>
    </w:rPr>
  </w:style>
  <w:style w:type="paragraph" w:customStyle="1" w:styleId="cobaltsavetorolemessage">
    <w:name w:val="cobalt_saveto_rolemessage"/>
    <w:basedOn w:val="Normal"/>
    <w:rsid w:val="00435883"/>
    <w:pPr>
      <w:spacing w:before="100" w:beforeAutospacing="1" w:after="100" w:afterAutospacing="1"/>
    </w:pPr>
    <w:rPr>
      <w:bCs w:val="0"/>
      <w:sz w:val="24"/>
    </w:rPr>
  </w:style>
  <w:style w:type="paragraph" w:customStyle="1" w:styleId="cobaltfolderactionrolemessage">
    <w:name w:val="cobalt_folderaction_rolemessage"/>
    <w:basedOn w:val="Normal"/>
    <w:rsid w:val="00435883"/>
    <w:pPr>
      <w:spacing w:before="100" w:beforeAutospacing="1" w:after="100" w:afterAutospacing="1"/>
    </w:pPr>
    <w:rPr>
      <w:bCs w:val="0"/>
      <w:sz w:val="24"/>
    </w:rPr>
  </w:style>
  <w:style w:type="paragraph" w:customStyle="1" w:styleId="codropdownboxcontentbuttons">
    <w:name w:val="co_dropdownboxcontent_buttons"/>
    <w:basedOn w:val="Normal"/>
    <w:rsid w:val="00435883"/>
    <w:pPr>
      <w:spacing w:before="100" w:beforeAutospacing="1" w:after="100" w:afterAutospacing="1"/>
    </w:pPr>
    <w:rPr>
      <w:bCs w:val="0"/>
      <w:sz w:val="24"/>
    </w:rPr>
  </w:style>
  <w:style w:type="paragraph" w:customStyle="1" w:styleId="error">
    <w:name w:val="error"/>
    <w:basedOn w:val="Normal"/>
    <w:rsid w:val="00435883"/>
    <w:pPr>
      <w:spacing w:before="100" w:beforeAutospacing="1" w:after="100" w:afterAutospacing="1"/>
    </w:pPr>
    <w:rPr>
      <w:bCs w:val="0"/>
      <w:sz w:val="24"/>
    </w:rPr>
  </w:style>
  <w:style w:type="paragraph" w:customStyle="1" w:styleId="codropdownboxenhanced">
    <w:name w:val="co_dropdownbox_enhanced"/>
    <w:basedOn w:val="Normal"/>
    <w:rsid w:val="00435883"/>
    <w:pPr>
      <w:spacing w:before="100" w:beforeAutospacing="1" w:after="100" w:afterAutospacing="1"/>
    </w:pPr>
    <w:rPr>
      <w:bCs w:val="0"/>
      <w:sz w:val="24"/>
    </w:rPr>
  </w:style>
  <w:style w:type="paragraph" w:customStyle="1" w:styleId="codropdownboxuploadview">
    <w:name w:val="co_dropdownbox_uploadview"/>
    <w:basedOn w:val="Normal"/>
    <w:rsid w:val="00435883"/>
    <w:pPr>
      <w:spacing w:before="100" w:beforeAutospacing="1" w:after="100" w:afterAutospacing="1"/>
    </w:pPr>
    <w:rPr>
      <w:bCs w:val="0"/>
      <w:sz w:val="24"/>
    </w:rPr>
  </w:style>
  <w:style w:type="paragraph" w:customStyle="1" w:styleId="cooverlayboxtopright">
    <w:name w:val="co_overlaybox_topright"/>
    <w:basedOn w:val="Normal"/>
    <w:rsid w:val="00435883"/>
    <w:pPr>
      <w:spacing w:before="100" w:beforeAutospacing="1" w:after="100" w:afterAutospacing="1"/>
    </w:pPr>
    <w:rPr>
      <w:bCs w:val="0"/>
      <w:sz w:val="24"/>
    </w:rPr>
  </w:style>
  <w:style w:type="paragraph" w:customStyle="1" w:styleId="coclosedfolder">
    <w:name w:val="co_closedfolder"/>
    <w:basedOn w:val="Normal"/>
    <w:rsid w:val="00435883"/>
    <w:pPr>
      <w:spacing w:before="100" w:beforeAutospacing="1" w:after="100" w:afterAutospacing="1"/>
    </w:pPr>
    <w:rPr>
      <w:bCs w:val="0"/>
      <w:sz w:val="24"/>
    </w:rPr>
  </w:style>
  <w:style w:type="paragraph" w:customStyle="1" w:styleId="coopenfolder">
    <w:name w:val="co_openfolder"/>
    <w:basedOn w:val="Normal"/>
    <w:rsid w:val="00435883"/>
    <w:pPr>
      <w:spacing w:before="100" w:beforeAutospacing="1" w:after="100" w:afterAutospacing="1"/>
    </w:pPr>
    <w:rPr>
      <w:bCs w:val="0"/>
      <w:sz w:val="24"/>
    </w:rPr>
  </w:style>
  <w:style w:type="paragraph" w:customStyle="1" w:styleId="cotreeselectable">
    <w:name w:val="co_tree_selectable"/>
    <w:basedOn w:val="Normal"/>
    <w:rsid w:val="00435883"/>
    <w:pPr>
      <w:spacing w:before="100" w:beforeAutospacing="1" w:after="100" w:afterAutospacing="1"/>
    </w:pPr>
    <w:rPr>
      <w:bCs w:val="0"/>
      <w:sz w:val="24"/>
    </w:rPr>
  </w:style>
  <w:style w:type="paragraph" w:customStyle="1" w:styleId="cotreefocus">
    <w:name w:val="co_treefocus"/>
    <w:basedOn w:val="Normal"/>
    <w:rsid w:val="00435883"/>
    <w:pPr>
      <w:spacing w:before="100" w:beforeAutospacing="1" w:after="100" w:afterAutospacing="1"/>
    </w:pPr>
    <w:rPr>
      <w:bCs w:val="0"/>
      <w:sz w:val="24"/>
    </w:rPr>
  </w:style>
  <w:style w:type="paragraph" w:customStyle="1" w:styleId="cotreecollapse">
    <w:name w:val="co_tree_collapse"/>
    <w:basedOn w:val="Normal"/>
    <w:rsid w:val="00435883"/>
    <w:pPr>
      <w:spacing w:before="100" w:beforeAutospacing="1" w:after="100" w:afterAutospacing="1"/>
    </w:pPr>
    <w:rPr>
      <w:bCs w:val="0"/>
      <w:sz w:val="24"/>
    </w:rPr>
  </w:style>
  <w:style w:type="paragraph" w:customStyle="1" w:styleId="cotreeexpand">
    <w:name w:val="co_tree_expand"/>
    <w:basedOn w:val="Normal"/>
    <w:rsid w:val="00435883"/>
    <w:pPr>
      <w:spacing w:before="100" w:beforeAutospacing="1" w:after="100" w:afterAutospacing="1"/>
    </w:pPr>
    <w:rPr>
      <w:bCs w:val="0"/>
      <w:sz w:val="24"/>
    </w:rPr>
  </w:style>
  <w:style w:type="paragraph" w:customStyle="1" w:styleId="cohidestate">
    <w:name w:val="co_hidestate"/>
    <w:basedOn w:val="Normal"/>
    <w:rsid w:val="00435883"/>
    <w:pPr>
      <w:spacing w:before="100" w:beforeAutospacing="1" w:after="100" w:afterAutospacing="1"/>
    </w:pPr>
    <w:rPr>
      <w:bCs w:val="0"/>
      <w:sz w:val="24"/>
    </w:rPr>
  </w:style>
  <w:style w:type="paragraph" w:customStyle="1" w:styleId="cosearchcontenta">
    <w:name w:val="co_searchcontent&gt;a"/>
    <w:basedOn w:val="Normal"/>
    <w:rsid w:val="00435883"/>
    <w:pPr>
      <w:spacing w:before="100" w:beforeAutospacing="1" w:after="100" w:afterAutospacing="1"/>
    </w:pPr>
    <w:rPr>
      <w:bCs w:val="0"/>
      <w:sz w:val="24"/>
    </w:rPr>
  </w:style>
  <w:style w:type="paragraph" w:customStyle="1" w:styleId="cosnippet">
    <w:name w:val="co_snippet"/>
    <w:basedOn w:val="Normal"/>
    <w:rsid w:val="00435883"/>
    <w:pPr>
      <w:spacing w:before="100" w:beforeAutospacing="1" w:after="100" w:afterAutospacing="1"/>
    </w:pPr>
    <w:rPr>
      <w:bCs w:val="0"/>
      <w:sz w:val="24"/>
    </w:rPr>
  </w:style>
  <w:style w:type="paragraph" w:customStyle="1" w:styleId="coautomaticsignon">
    <w:name w:val="co_automaticsignon"/>
    <w:basedOn w:val="Normal"/>
    <w:rsid w:val="00435883"/>
    <w:pPr>
      <w:spacing w:before="100" w:beforeAutospacing="1" w:after="100" w:afterAutospacing="1"/>
    </w:pPr>
    <w:rPr>
      <w:bCs w:val="0"/>
      <w:sz w:val="24"/>
    </w:rPr>
  </w:style>
  <w:style w:type="paragraph" w:customStyle="1" w:styleId="coforminlinelabel">
    <w:name w:val="co_forminlinelabel"/>
    <w:basedOn w:val="Normal"/>
    <w:rsid w:val="00435883"/>
    <w:pPr>
      <w:spacing w:before="100" w:beforeAutospacing="1" w:after="100" w:afterAutospacing="1"/>
    </w:pPr>
    <w:rPr>
      <w:bCs w:val="0"/>
      <w:sz w:val="24"/>
    </w:rPr>
  </w:style>
  <w:style w:type="paragraph" w:customStyle="1" w:styleId="cocontentslideroverlay">
    <w:name w:val="co_contentslideroverlay"/>
    <w:basedOn w:val="Normal"/>
    <w:rsid w:val="00435883"/>
    <w:pPr>
      <w:spacing w:before="100" w:beforeAutospacing="1" w:after="100" w:afterAutospacing="1"/>
    </w:pPr>
    <w:rPr>
      <w:bCs w:val="0"/>
      <w:sz w:val="24"/>
    </w:rPr>
  </w:style>
  <w:style w:type="paragraph" w:customStyle="1" w:styleId="cocontentslider">
    <w:name w:val="co_contentslider"/>
    <w:basedOn w:val="Normal"/>
    <w:rsid w:val="00435883"/>
    <w:pPr>
      <w:spacing w:before="100" w:beforeAutospacing="1" w:after="100" w:afterAutospacing="1"/>
    </w:pPr>
    <w:rPr>
      <w:bCs w:val="0"/>
      <w:sz w:val="24"/>
    </w:rPr>
  </w:style>
  <w:style w:type="paragraph" w:customStyle="1" w:styleId="cocontentsliderheader">
    <w:name w:val="co_contentsliderheader"/>
    <w:basedOn w:val="Normal"/>
    <w:rsid w:val="00435883"/>
    <w:pPr>
      <w:spacing w:before="100" w:beforeAutospacing="1" w:after="100" w:afterAutospacing="1"/>
    </w:pPr>
    <w:rPr>
      <w:bCs w:val="0"/>
      <w:sz w:val="24"/>
    </w:rPr>
  </w:style>
  <w:style w:type="paragraph" w:customStyle="1" w:styleId="cocontentslidertitle">
    <w:name w:val="co_contentslidertitle"/>
    <w:basedOn w:val="Normal"/>
    <w:rsid w:val="00435883"/>
    <w:pPr>
      <w:spacing w:before="100" w:beforeAutospacing="1" w:after="100" w:afterAutospacing="1"/>
    </w:pPr>
    <w:rPr>
      <w:bCs w:val="0"/>
      <w:sz w:val="24"/>
    </w:rPr>
  </w:style>
  <w:style w:type="paragraph" w:customStyle="1" w:styleId="coclosetab">
    <w:name w:val="co_closetab"/>
    <w:basedOn w:val="Normal"/>
    <w:rsid w:val="00435883"/>
    <w:pPr>
      <w:spacing w:before="100" w:beforeAutospacing="1" w:after="100" w:afterAutospacing="1"/>
    </w:pPr>
    <w:rPr>
      <w:bCs w:val="0"/>
      <w:sz w:val="24"/>
    </w:rPr>
  </w:style>
  <w:style w:type="paragraph" w:customStyle="1" w:styleId="cocontentslidercontent">
    <w:name w:val="co_contentslidercontent"/>
    <w:basedOn w:val="Normal"/>
    <w:rsid w:val="00435883"/>
    <w:pPr>
      <w:spacing w:before="100" w:beforeAutospacing="1" w:after="100" w:afterAutospacing="1"/>
    </w:pPr>
    <w:rPr>
      <w:bCs w:val="0"/>
      <w:sz w:val="24"/>
    </w:rPr>
  </w:style>
  <w:style w:type="paragraph" w:customStyle="1" w:styleId="cosearchwithinwidgetdropdowncontainer">
    <w:name w:val="co_searchwithinwidgetdropdowncontainer"/>
    <w:basedOn w:val="Normal"/>
    <w:rsid w:val="00435883"/>
    <w:pPr>
      <w:spacing w:before="100" w:beforeAutospacing="1" w:after="100" w:afterAutospacing="1"/>
    </w:pPr>
    <w:rPr>
      <w:bCs w:val="0"/>
      <w:sz w:val="24"/>
    </w:rPr>
  </w:style>
  <w:style w:type="paragraph" w:customStyle="1" w:styleId="a11ydropdown">
    <w:name w:val="a11ydropdown"/>
    <w:basedOn w:val="Normal"/>
    <w:rsid w:val="00435883"/>
    <w:pPr>
      <w:spacing w:before="100" w:beforeAutospacing="1" w:after="100" w:afterAutospacing="1"/>
    </w:pPr>
    <w:rPr>
      <w:bCs w:val="0"/>
      <w:sz w:val="24"/>
    </w:rPr>
  </w:style>
  <w:style w:type="paragraph" w:customStyle="1" w:styleId="codetailstableicon">
    <w:name w:val="co_detailstable_icon"/>
    <w:basedOn w:val="Normal"/>
    <w:rsid w:val="00435883"/>
    <w:pPr>
      <w:spacing w:before="100" w:beforeAutospacing="1" w:after="100" w:afterAutospacing="1"/>
    </w:pPr>
    <w:rPr>
      <w:bCs w:val="0"/>
      <w:sz w:val="24"/>
    </w:rPr>
  </w:style>
  <w:style w:type="paragraph" w:customStyle="1" w:styleId="codetailstabletoggleicon">
    <w:name w:val="co_detailstable_toggleicon"/>
    <w:basedOn w:val="Normal"/>
    <w:rsid w:val="00435883"/>
    <w:pPr>
      <w:spacing w:before="100" w:beforeAutospacing="1" w:after="100" w:afterAutospacing="1"/>
    </w:pPr>
    <w:rPr>
      <w:bCs w:val="0"/>
      <w:sz w:val="24"/>
    </w:rPr>
  </w:style>
  <w:style w:type="paragraph" w:customStyle="1" w:styleId="codetailstableentry">
    <w:name w:val="co_detailstable_entry"/>
    <w:basedOn w:val="Normal"/>
    <w:rsid w:val="00435883"/>
    <w:pPr>
      <w:spacing w:before="100" w:beforeAutospacing="1" w:after="100" w:afterAutospacing="1"/>
    </w:pPr>
    <w:rPr>
      <w:bCs w:val="0"/>
      <w:sz w:val="24"/>
    </w:rPr>
  </w:style>
  <w:style w:type="paragraph" w:customStyle="1" w:styleId="icondocument-blue">
    <w:name w:val="icon_document-blue"/>
    <w:basedOn w:val="Normal"/>
    <w:rsid w:val="00435883"/>
    <w:pPr>
      <w:spacing w:before="100" w:beforeAutospacing="1" w:after="100" w:afterAutospacing="1"/>
    </w:pPr>
    <w:rPr>
      <w:bCs w:val="0"/>
      <w:sz w:val="24"/>
    </w:rPr>
  </w:style>
  <w:style w:type="paragraph" w:customStyle="1" w:styleId="icondocument-gray">
    <w:name w:val="icon_document-gray"/>
    <w:basedOn w:val="Normal"/>
    <w:rsid w:val="00435883"/>
    <w:pPr>
      <w:spacing w:before="100" w:beforeAutospacing="1" w:after="100" w:afterAutospacing="1"/>
    </w:pPr>
    <w:rPr>
      <w:bCs w:val="0"/>
      <w:sz w:val="24"/>
    </w:rPr>
  </w:style>
  <w:style w:type="paragraph" w:customStyle="1" w:styleId="token-input">
    <w:name w:val="token-input"/>
    <w:basedOn w:val="Normal"/>
    <w:rsid w:val="00435883"/>
    <w:pPr>
      <w:spacing w:before="100" w:beforeAutospacing="1" w:after="100" w:afterAutospacing="1"/>
    </w:pPr>
    <w:rPr>
      <w:bCs w:val="0"/>
      <w:sz w:val="24"/>
    </w:rPr>
  </w:style>
  <w:style w:type="paragraph" w:customStyle="1" w:styleId="corelatedinforelatedpatentstitle">
    <w:name w:val="co_relatedinfo_relatedpatents_title"/>
    <w:basedOn w:val="Normal"/>
    <w:rsid w:val="00435883"/>
    <w:pPr>
      <w:spacing w:before="100" w:beforeAutospacing="1" w:after="100" w:afterAutospacing="1"/>
    </w:pPr>
    <w:rPr>
      <w:bCs w:val="0"/>
      <w:sz w:val="24"/>
    </w:rPr>
  </w:style>
  <w:style w:type="paragraph" w:customStyle="1" w:styleId="cofloatright">
    <w:name w:val="co_floatright"/>
    <w:basedOn w:val="Normal"/>
    <w:rsid w:val="00435883"/>
    <w:pPr>
      <w:spacing w:before="100" w:beforeAutospacing="1" w:after="100" w:afterAutospacing="1"/>
    </w:pPr>
    <w:rPr>
      <w:bCs w:val="0"/>
      <w:sz w:val="24"/>
    </w:rPr>
  </w:style>
  <w:style w:type="paragraph" w:customStyle="1" w:styleId="co3column">
    <w:name w:val="co_3column"/>
    <w:basedOn w:val="Normal"/>
    <w:rsid w:val="00435883"/>
    <w:pPr>
      <w:spacing w:before="100" w:beforeAutospacing="1" w:after="100" w:afterAutospacing="1"/>
    </w:pPr>
    <w:rPr>
      <w:bCs w:val="0"/>
      <w:sz w:val="24"/>
    </w:rPr>
  </w:style>
  <w:style w:type="paragraph" w:customStyle="1" w:styleId="cofavoriteslistsub">
    <w:name w:val="co_favorites_listsub"/>
    <w:basedOn w:val="Normal"/>
    <w:rsid w:val="00435883"/>
    <w:pPr>
      <w:spacing w:before="100" w:beforeAutospacing="1" w:after="100" w:afterAutospacing="1"/>
    </w:pPr>
    <w:rPr>
      <w:bCs w:val="0"/>
      <w:sz w:val="24"/>
    </w:rPr>
  </w:style>
  <w:style w:type="paragraph" w:customStyle="1" w:styleId="cooverlayboxright">
    <w:name w:val="co_overlaybox_right"/>
    <w:basedOn w:val="Normal"/>
    <w:rsid w:val="00435883"/>
    <w:pPr>
      <w:spacing w:before="100" w:beforeAutospacing="1" w:after="100" w:afterAutospacing="1"/>
    </w:pPr>
    <w:rPr>
      <w:bCs w:val="0"/>
      <w:sz w:val="24"/>
    </w:rPr>
  </w:style>
  <w:style w:type="paragraph" w:customStyle="1" w:styleId="cooverlayboxoptionsbottomright">
    <w:name w:val="co_overlaybox_optionsbottomright"/>
    <w:basedOn w:val="Normal"/>
    <w:rsid w:val="00435883"/>
    <w:pPr>
      <w:spacing w:before="100" w:beforeAutospacing="1" w:after="100" w:afterAutospacing="1"/>
    </w:pPr>
    <w:rPr>
      <w:bCs w:val="0"/>
      <w:sz w:val="24"/>
    </w:rPr>
  </w:style>
  <w:style w:type="paragraph" w:customStyle="1" w:styleId="cooverlayboxoptionsbottom">
    <w:name w:val="co_overlaybox_optionsbottom"/>
    <w:basedOn w:val="Normal"/>
    <w:rsid w:val="00435883"/>
    <w:pPr>
      <w:spacing w:before="100" w:beforeAutospacing="1" w:after="100" w:afterAutospacing="1"/>
    </w:pPr>
    <w:rPr>
      <w:bCs w:val="0"/>
      <w:sz w:val="24"/>
    </w:rPr>
  </w:style>
  <w:style w:type="paragraph" w:customStyle="1" w:styleId="gradetoollabel">
    <w:name w:val="gradetoollabel"/>
    <w:basedOn w:val="Normal"/>
    <w:rsid w:val="00435883"/>
    <w:pPr>
      <w:spacing w:before="100" w:beforeAutospacing="1" w:after="100" w:afterAutospacing="1"/>
    </w:pPr>
    <w:rPr>
      <w:bCs w:val="0"/>
      <w:sz w:val="24"/>
    </w:rPr>
  </w:style>
  <w:style w:type="paragraph" w:customStyle="1" w:styleId="gradecomment">
    <w:name w:val="gradecomment"/>
    <w:basedOn w:val="Normal"/>
    <w:rsid w:val="00435883"/>
    <w:pPr>
      <w:spacing w:before="100" w:beforeAutospacing="1" w:after="100" w:afterAutospacing="1"/>
    </w:pPr>
    <w:rPr>
      <w:bCs w:val="0"/>
      <w:sz w:val="24"/>
    </w:rPr>
  </w:style>
  <w:style w:type="paragraph" w:customStyle="1" w:styleId="overallgradecomment">
    <w:name w:val="overallgradecomment"/>
    <w:basedOn w:val="Normal"/>
    <w:rsid w:val="00435883"/>
    <w:pPr>
      <w:spacing w:before="100" w:beforeAutospacing="1" w:after="100" w:afterAutospacing="1"/>
    </w:pPr>
    <w:rPr>
      <w:bCs w:val="0"/>
      <w:sz w:val="24"/>
    </w:rPr>
  </w:style>
  <w:style w:type="paragraph" w:customStyle="1" w:styleId="cogenericboxcontentdiv">
    <w:name w:val="co_genericboxcontent&gt;div"/>
    <w:basedOn w:val="Normal"/>
    <w:rsid w:val="00435883"/>
    <w:pPr>
      <w:spacing w:before="100" w:beforeAutospacing="1" w:after="100" w:afterAutospacing="1"/>
    </w:pPr>
    <w:rPr>
      <w:bCs w:val="0"/>
      <w:sz w:val="24"/>
    </w:rPr>
  </w:style>
  <w:style w:type="paragraph" w:customStyle="1" w:styleId="cogenericboxcontentdivdiv">
    <w:name w:val="co_genericboxcontent&gt;div&gt;div"/>
    <w:basedOn w:val="Normal"/>
    <w:rsid w:val="00435883"/>
    <w:pPr>
      <w:spacing w:before="100" w:beforeAutospacing="1" w:after="100" w:afterAutospacing="1"/>
    </w:pPr>
    <w:rPr>
      <w:bCs w:val="0"/>
      <w:sz w:val="24"/>
    </w:rPr>
  </w:style>
  <w:style w:type="paragraph" w:customStyle="1" w:styleId="cogenericboxcontentdivh2">
    <w:name w:val="co_genericboxcontent&gt;div&gt;h2"/>
    <w:basedOn w:val="Normal"/>
    <w:rsid w:val="00435883"/>
    <w:pPr>
      <w:spacing w:before="100" w:beforeAutospacing="1" w:after="100" w:afterAutospacing="1"/>
    </w:pPr>
    <w:rPr>
      <w:bCs w:val="0"/>
      <w:sz w:val="24"/>
    </w:rPr>
  </w:style>
  <w:style w:type="paragraph" w:customStyle="1" w:styleId="conoresultssection">
    <w:name w:val="co_noresultssection"/>
    <w:basedOn w:val="Normal"/>
    <w:rsid w:val="00435883"/>
    <w:pPr>
      <w:spacing w:before="100" w:beforeAutospacing="1" w:after="100" w:afterAutospacing="1"/>
    </w:pPr>
    <w:rPr>
      <w:bCs w:val="0"/>
      <w:sz w:val="24"/>
    </w:rPr>
  </w:style>
  <w:style w:type="paragraph" w:customStyle="1" w:styleId="coradocumentreportsection">
    <w:name w:val="co_ra_documentreportsection"/>
    <w:basedOn w:val="Normal"/>
    <w:rsid w:val="00435883"/>
    <w:pPr>
      <w:spacing w:before="100" w:beforeAutospacing="1" w:after="100" w:afterAutospacing="1"/>
    </w:pPr>
    <w:rPr>
      <w:bCs w:val="0"/>
      <w:sz w:val="24"/>
    </w:rPr>
  </w:style>
  <w:style w:type="paragraph" w:customStyle="1" w:styleId="topictitle">
    <w:name w:val="topictitle"/>
    <w:basedOn w:val="Normal"/>
    <w:rsid w:val="00435883"/>
    <w:pPr>
      <w:spacing w:before="100" w:beforeAutospacing="1" w:after="100" w:afterAutospacing="1"/>
    </w:pPr>
    <w:rPr>
      <w:bCs w:val="0"/>
      <w:sz w:val="24"/>
    </w:rPr>
  </w:style>
  <w:style w:type="paragraph" w:customStyle="1" w:styleId="coresearchdidyoumean">
    <w:name w:val="co_research_didyoumean"/>
    <w:basedOn w:val="Normal"/>
    <w:rsid w:val="00435883"/>
    <w:pPr>
      <w:spacing w:before="100" w:beforeAutospacing="1" w:after="100" w:afterAutospacing="1"/>
    </w:pPr>
    <w:rPr>
      <w:bCs w:val="0"/>
      <w:sz w:val="24"/>
    </w:rPr>
  </w:style>
  <w:style w:type="paragraph" w:customStyle="1" w:styleId="cosearchresultlist">
    <w:name w:val="co_searchresult_list"/>
    <w:basedOn w:val="Normal"/>
    <w:rsid w:val="00435883"/>
    <w:pPr>
      <w:spacing w:before="100" w:beforeAutospacing="1" w:after="100" w:afterAutospacing="1"/>
    </w:pPr>
    <w:rPr>
      <w:bCs w:val="0"/>
      <w:sz w:val="24"/>
    </w:rPr>
  </w:style>
  <w:style w:type="paragraph" w:customStyle="1" w:styleId="cosearchcontent">
    <w:name w:val="co_searchcontent"/>
    <w:basedOn w:val="Normal"/>
    <w:rsid w:val="00435883"/>
    <w:pPr>
      <w:spacing w:before="100" w:beforeAutospacing="1" w:after="100" w:afterAutospacing="1"/>
    </w:pPr>
    <w:rPr>
      <w:bCs w:val="0"/>
      <w:sz w:val="24"/>
    </w:rPr>
  </w:style>
  <w:style w:type="paragraph" w:customStyle="1" w:styleId="cocites">
    <w:name w:val="co_cites"/>
    <w:basedOn w:val="Normal"/>
    <w:rsid w:val="00435883"/>
    <w:pPr>
      <w:spacing w:before="100" w:beforeAutospacing="1" w:after="100" w:afterAutospacing="1"/>
    </w:pPr>
    <w:rPr>
      <w:bCs w:val="0"/>
      <w:sz w:val="24"/>
    </w:rPr>
  </w:style>
  <w:style w:type="paragraph" w:customStyle="1" w:styleId="cocurrentness">
    <w:name w:val="co_currentness"/>
    <w:basedOn w:val="Normal"/>
    <w:rsid w:val="00435883"/>
    <w:pPr>
      <w:spacing w:before="100" w:beforeAutospacing="1" w:after="100" w:afterAutospacing="1"/>
    </w:pPr>
    <w:rPr>
      <w:bCs w:val="0"/>
      <w:sz w:val="24"/>
    </w:rPr>
  </w:style>
  <w:style w:type="paragraph" w:customStyle="1" w:styleId="coeffectivedate">
    <w:name w:val="co_effectivedate"/>
    <w:basedOn w:val="Normal"/>
    <w:rsid w:val="00435883"/>
    <w:pPr>
      <w:spacing w:before="100" w:beforeAutospacing="1" w:after="100" w:afterAutospacing="1"/>
    </w:pPr>
    <w:rPr>
      <w:bCs w:val="0"/>
      <w:sz w:val="24"/>
    </w:rPr>
  </w:style>
  <w:style w:type="paragraph" w:customStyle="1" w:styleId="cotitle">
    <w:name w:val="co_title"/>
    <w:basedOn w:val="Normal"/>
    <w:rsid w:val="00435883"/>
    <w:pPr>
      <w:spacing w:before="100" w:beforeAutospacing="1" w:after="100" w:afterAutospacing="1"/>
    </w:pPr>
    <w:rPr>
      <w:bCs w:val="0"/>
      <w:sz w:val="24"/>
    </w:rPr>
  </w:style>
  <w:style w:type="paragraph" w:customStyle="1" w:styleId="coheadtext">
    <w:name w:val="co_headtext"/>
    <w:basedOn w:val="Normal"/>
    <w:rsid w:val="00435883"/>
    <w:pPr>
      <w:spacing w:before="100" w:beforeAutospacing="1" w:after="100" w:afterAutospacing="1"/>
    </w:pPr>
    <w:rPr>
      <w:bCs w:val="0"/>
      <w:sz w:val="24"/>
    </w:rPr>
  </w:style>
  <w:style w:type="paragraph" w:customStyle="1" w:styleId="cosection">
    <w:name w:val="co_section"/>
    <w:basedOn w:val="Normal"/>
    <w:rsid w:val="00435883"/>
    <w:pPr>
      <w:spacing w:before="100" w:beforeAutospacing="1" w:after="100" w:afterAutospacing="1"/>
    </w:pPr>
    <w:rPr>
      <w:bCs w:val="0"/>
      <w:sz w:val="24"/>
    </w:rPr>
  </w:style>
  <w:style w:type="paragraph" w:customStyle="1" w:styleId="cosubsection">
    <w:name w:val="co_subsection"/>
    <w:basedOn w:val="Normal"/>
    <w:rsid w:val="00435883"/>
    <w:pPr>
      <w:spacing w:before="100" w:beforeAutospacing="1" w:after="100" w:afterAutospacing="1"/>
    </w:pPr>
    <w:rPr>
      <w:bCs w:val="0"/>
      <w:sz w:val="24"/>
    </w:rPr>
  </w:style>
  <w:style w:type="paragraph" w:customStyle="1" w:styleId="cohovertext">
    <w:name w:val="co_hovertext"/>
    <w:basedOn w:val="Normal"/>
    <w:rsid w:val="00435883"/>
    <w:pPr>
      <w:spacing w:before="100" w:beforeAutospacing="1" w:after="100" w:afterAutospacing="1"/>
    </w:pPr>
    <w:rPr>
      <w:bCs w:val="0"/>
      <w:sz w:val="24"/>
    </w:rPr>
  </w:style>
  <w:style w:type="paragraph" w:customStyle="1" w:styleId="conwfteaser">
    <w:name w:val="co_nwf_teaser"/>
    <w:basedOn w:val="Normal"/>
    <w:rsid w:val="00435883"/>
    <w:pPr>
      <w:spacing w:before="100" w:beforeAutospacing="1" w:after="100" w:afterAutospacing="1"/>
    </w:pPr>
    <w:rPr>
      <w:bCs w:val="0"/>
      <w:sz w:val="24"/>
    </w:rPr>
  </w:style>
  <w:style w:type="paragraph" w:customStyle="1" w:styleId="conwfblurb">
    <w:name w:val="co_nwf_blurb"/>
    <w:basedOn w:val="Normal"/>
    <w:rsid w:val="00435883"/>
    <w:pPr>
      <w:spacing w:before="100" w:beforeAutospacing="1" w:after="100" w:afterAutospacing="1"/>
    </w:pPr>
    <w:rPr>
      <w:bCs w:val="0"/>
      <w:sz w:val="24"/>
    </w:rPr>
  </w:style>
  <w:style w:type="paragraph" w:customStyle="1" w:styleId="codocumentreporttable">
    <w:name w:val="co_documentreporttable"/>
    <w:basedOn w:val="Normal"/>
    <w:rsid w:val="00435883"/>
    <w:pPr>
      <w:spacing w:before="100" w:beforeAutospacing="1" w:after="100" w:afterAutospacing="1"/>
    </w:pPr>
    <w:rPr>
      <w:bCs w:val="0"/>
      <w:sz w:val="24"/>
    </w:rPr>
  </w:style>
  <w:style w:type="paragraph" w:customStyle="1" w:styleId="colitigationlabel">
    <w:name w:val="co_litigationlabel"/>
    <w:basedOn w:val="Normal"/>
    <w:rsid w:val="00435883"/>
    <w:pPr>
      <w:spacing w:before="100" w:beforeAutospacing="1" w:after="100" w:afterAutospacing="1"/>
    </w:pPr>
    <w:rPr>
      <w:bCs w:val="0"/>
      <w:sz w:val="24"/>
    </w:rPr>
  </w:style>
  <w:style w:type="paragraph" w:customStyle="1" w:styleId="courtchild">
    <w:name w:val="courtchild"/>
    <w:basedOn w:val="Normal"/>
    <w:rsid w:val="00435883"/>
    <w:pPr>
      <w:spacing w:before="100" w:beforeAutospacing="1" w:after="100" w:afterAutospacing="1"/>
    </w:pPr>
    <w:rPr>
      <w:bCs w:val="0"/>
      <w:sz w:val="24"/>
    </w:rPr>
  </w:style>
  <w:style w:type="paragraph" w:customStyle="1" w:styleId="colitigationtotal">
    <w:name w:val="co_litigationtotal"/>
    <w:basedOn w:val="Normal"/>
    <w:rsid w:val="00435883"/>
    <w:pPr>
      <w:spacing w:before="100" w:beforeAutospacing="1" w:after="100" w:afterAutospacing="1"/>
    </w:pPr>
    <w:rPr>
      <w:bCs w:val="0"/>
      <w:sz w:val="24"/>
    </w:rPr>
  </w:style>
  <w:style w:type="paragraph" w:customStyle="1" w:styleId="keynumberresultitem">
    <w:name w:val="keynumberresultitem"/>
    <w:basedOn w:val="Normal"/>
    <w:rsid w:val="00435883"/>
    <w:pPr>
      <w:spacing w:before="100" w:beforeAutospacing="1" w:after="100" w:afterAutospacing="1"/>
    </w:pPr>
    <w:rPr>
      <w:bCs w:val="0"/>
      <w:sz w:val="24"/>
    </w:rPr>
  </w:style>
  <w:style w:type="paragraph" w:customStyle="1" w:styleId="cosliderdatafeedimage">
    <w:name w:val="co_sliderdatafeedimage"/>
    <w:basedOn w:val="Normal"/>
    <w:rsid w:val="00435883"/>
    <w:pPr>
      <w:spacing w:before="100" w:beforeAutospacing="1" w:after="100" w:afterAutospacing="1"/>
    </w:pPr>
    <w:rPr>
      <w:bCs w:val="0"/>
      <w:sz w:val="24"/>
    </w:rPr>
  </w:style>
  <w:style w:type="paragraph" w:customStyle="1" w:styleId="coauthorthumb">
    <w:name w:val="co_authorthumb"/>
    <w:basedOn w:val="Normal"/>
    <w:rsid w:val="00435883"/>
    <w:pPr>
      <w:spacing w:before="100" w:beforeAutospacing="1" w:after="100" w:afterAutospacing="1"/>
    </w:pPr>
    <w:rPr>
      <w:bCs w:val="0"/>
      <w:sz w:val="24"/>
    </w:rPr>
  </w:style>
  <w:style w:type="paragraph" w:customStyle="1" w:styleId="cobyline">
    <w:name w:val="co_byline"/>
    <w:basedOn w:val="Normal"/>
    <w:rsid w:val="00435883"/>
    <w:pPr>
      <w:spacing w:before="100" w:beforeAutospacing="1" w:after="100" w:afterAutospacing="1"/>
    </w:pPr>
    <w:rPr>
      <w:bCs w:val="0"/>
      <w:sz w:val="24"/>
    </w:rPr>
  </w:style>
  <w:style w:type="paragraph" w:customStyle="1" w:styleId="ui-slider-range">
    <w:name w:val="ui-slider-range"/>
    <w:basedOn w:val="Normal"/>
    <w:rsid w:val="00435883"/>
    <w:pPr>
      <w:spacing w:before="100" w:beforeAutospacing="1" w:after="100" w:afterAutospacing="1"/>
    </w:pPr>
    <w:rPr>
      <w:bCs w:val="0"/>
      <w:sz w:val="24"/>
    </w:rPr>
  </w:style>
  <w:style w:type="paragraph" w:customStyle="1" w:styleId="corelatedinfohoverboxpngtreatmentletter">
    <w:name w:val="co_relatedinfo_hoverbox_png_treatmentletter"/>
    <w:basedOn w:val="Normal"/>
    <w:rsid w:val="00435883"/>
    <w:pPr>
      <w:spacing w:before="100" w:beforeAutospacing="1" w:after="100" w:afterAutospacing="1"/>
    </w:pPr>
    <w:rPr>
      <w:bCs w:val="0"/>
      <w:sz w:val="24"/>
    </w:rPr>
  </w:style>
  <w:style w:type="paragraph" w:customStyle="1" w:styleId="corelatedinfohoverboxpnglast">
    <w:name w:val="co_relatedinfo_hoverbox_png_last"/>
    <w:basedOn w:val="Normal"/>
    <w:rsid w:val="00435883"/>
    <w:pPr>
      <w:spacing w:before="100" w:beforeAutospacing="1" w:after="100" w:afterAutospacing="1"/>
    </w:pPr>
    <w:rPr>
      <w:bCs w:val="0"/>
      <w:sz w:val="24"/>
    </w:rPr>
  </w:style>
  <w:style w:type="paragraph" w:customStyle="1" w:styleId="cpcreatepagelightbox">
    <w:name w:val="cp_createpage_lightbox"/>
    <w:basedOn w:val="Normal"/>
    <w:rsid w:val="00435883"/>
    <w:pPr>
      <w:spacing w:before="100" w:beforeAutospacing="1" w:after="100" w:afterAutospacing="1"/>
    </w:pPr>
    <w:rPr>
      <w:bCs w:val="0"/>
      <w:sz w:val="24"/>
    </w:rPr>
  </w:style>
  <w:style w:type="paragraph" w:customStyle="1" w:styleId="cpchildpagelist">
    <w:name w:val="cp_childpagelist"/>
    <w:basedOn w:val="Normal"/>
    <w:rsid w:val="00435883"/>
    <w:pPr>
      <w:spacing w:before="100" w:beforeAutospacing="1" w:after="100" w:afterAutospacing="1"/>
    </w:pPr>
    <w:rPr>
      <w:bCs w:val="0"/>
      <w:sz w:val="24"/>
    </w:rPr>
  </w:style>
  <w:style w:type="paragraph" w:customStyle="1" w:styleId="cpactiveitem">
    <w:name w:val="cp_activeitem"/>
    <w:basedOn w:val="Normal"/>
    <w:rsid w:val="00435883"/>
    <w:pPr>
      <w:spacing w:before="100" w:beforeAutospacing="1" w:after="100" w:afterAutospacing="1"/>
    </w:pPr>
    <w:rPr>
      <w:bCs w:val="0"/>
      <w:sz w:val="24"/>
    </w:rPr>
  </w:style>
  <w:style w:type="paragraph" w:customStyle="1" w:styleId="cplabel">
    <w:name w:val="cp_label"/>
    <w:basedOn w:val="Normal"/>
    <w:rsid w:val="00435883"/>
    <w:pPr>
      <w:spacing w:before="100" w:beforeAutospacing="1" w:after="100" w:afterAutospacing="1"/>
    </w:pPr>
    <w:rPr>
      <w:bCs w:val="0"/>
      <w:sz w:val="24"/>
    </w:rPr>
  </w:style>
  <w:style w:type="paragraph" w:customStyle="1" w:styleId="cpaddcategorypagesectionlightbox">
    <w:name w:val="cp_addcategorypagesection_lightbox"/>
    <w:basedOn w:val="Normal"/>
    <w:rsid w:val="00435883"/>
    <w:pPr>
      <w:spacing w:before="100" w:beforeAutospacing="1" w:after="100" w:afterAutospacing="1"/>
    </w:pPr>
    <w:rPr>
      <w:bCs w:val="0"/>
      <w:sz w:val="24"/>
    </w:rPr>
  </w:style>
  <w:style w:type="paragraph" w:customStyle="1" w:styleId="cprenamelightbox">
    <w:name w:val="cp_rename_lightbox"/>
    <w:basedOn w:val="Normal"/>
    <w:rsid w:val="00435883"/>
    <w:pPr>
      <w:spacing w:before="100" w:beforeAutospacing="1" w:after="100" w:afterAutospacing="1"/>
    </w:pPr>
    <w:rPr>
      <w:bCs w:val="0"/>
      <w:sz w:val="24"/>
    </w:rPr>
  </w:style>
  <w:style w:type="paragraph" w:customStyle="1" w:styleId="cpdeletepagelightbox">
    <w:name w:val="cp_deletepage_lightbox"/>
    <w:basedOn w:val="Normal"/>
    <w:rsid w:val="00435883"/>
    <w:pPr>
      <w:spacing w:before="100" w:beforeAutospacing="1" w:after="100" w:afterAutospacing="1"/>
    </w:pPr>
    <w:rPr>
      <w:bCs w:val="0"/>
      <w:sz w:val="24"/>
    </w:rPr>
  </w:style>
  <w:style w:type="paragraph" w:customStyle="1" w:styleId="cpdeletesectionlightbox">
    <w:name w:val="cp_deletesection_lightbox"/>
    <w:basedOn w:val="Normal"/>
    <w:rsid w:val="00435883"/>
    <w:pPr>
      <w:spacing w:before="100" w:beforeAutospacing="1" w:after="100" w:afterAutospacing="1"/>
    </w:pPr>
    <w:rPr>
      <w:bCs w:val="0"/>
      <w:sz w:val="24"/>
    </w:rPr>
  </w:style>
  <w:style w:type="paragraph" w:customStyle="1" w:styleId="coactiveitem">
    <w:name w:val="co_activeitem"/>
    <w:basedOn w:val="Normal"/>
    <w:rsid w:val="00435883"/>
    <w:pPr>
      <w:spacing w:before="100" w:beforeAutospacing="1" w:after="100" w:afterAutospacing="1"/>
    </w:pPr>
    <w:rPr>
      <w:bCs w:val="0"/>
      <w:sz w:val="24"/>
    </w:rPr>
  </w:style>
  <w:style w:type="paragraph" w:customStyle="1" w:styleId="coselectable">
    <w:name w:val="co_selectable"/>
    <w:basedOn w:val="Normal"/>
    <w:rsid w:val="00435883"/>
    <w:pPr>
      <w:spacing w:before="100" w:beforeAutospacing="1" w:after="100" w:afterAutospacing="1"/>
    </w:pPr>
    <w:rPr>
      <w:bCs w:val="0"/>
      <w:sz w:val="24"/>
    </w:rPr>
  </w:style>
  <w:style w:type="paragraph" w:customStyle="1" w:styleId="cobrowsetocheading">
    <w:name w:val="co_browsetocheading"/>
    <w:basedOn w:val="Normal"/>
    <w:rsid w:val="00435883"/>
    <w:pPr>
      <w:spacing w:before="100" w:beforeAutospacing="1" w:after="100" w:afterAutospacing="1"/>
    </w:pPr>
    <w:rPr>
      <w:bCs w:val="0"/>
      <w:sz w:val="24"/>
    </w:rPr>
  </w:style>
  <w:style w:type="paragraph" w:customStyle="1" w:styleId="cowebsitebrowseitemtoplevel">
    <w:name w:val="co_website_browseitemtoplevel"/>
    <w:basedOn w:val="Normal"/>
    <w:rsid w:val="00435883"/>
    <w:pPr>
      <w:spacing w:before="100" w:beforeAutospacing="1" w:after="100" w:afterAutospacing="1"/>
    </w:pPr>
    <w:rPr>
      <w:bCs w:val="0"/>
      <w:sz w:val="24"/>
    </w:rPr>
  </w:style>
  <w:style w:type="paragraph" w:customStyle="1" w:styleId="cotocitemlink">
    <w:name w:val="co_tocitemlink"/>
    <w:basedOn w:val="Normal"/>
    <w:rsid w:val="00435883"/>
    <w:pPr>
      <w:spacing w:before="100" w:beforeAutospacing="1" w:after="100" w:afterAutospacing="1"/>
    </w:pPr>
    <w:rPr>
      <w:bCs w:val="0"/>
      <w:sz w:val="24"/>
    </w:rPr>
  </w:style>
  <w:style w:type="paragraph" w:customStyle="1" w:styleId="cotocitem">
    <w:name w:val="co_tocitem"/>
    <w:basedOn w:val="Normal"/>
    <w:rsid w:val="00435883"/>
    <w:pPr>
      <w:spacing w:before="100" w:beforeAutospacing="1" w:after="100" w:afterAutospacing="1"/>
    </w:pPr>
    <w:rPr>
      <w:bCs w:val="0"/>
      <w:sz w:val="24"/>
    </w:rPr>
  </w:style>
  <w:style w:type="paragraph" w:customStyle="1" w:styleId="cobrowseselectallcontainer">
    <w:name w:val="co_browseselectallcontainer"/>
    <w:basedOn w:val="Normal"/>
    <w:rsid w:val="00435883"/>
    <w:pPr>
      <w:spacing w:before="100" w:beforeAutospacing="1" w:after="100" w:afterAutospacing="1"/>
    </w:pPr>
    <w:rPr>
      <w:bCs w:val="0"/>
      <w:sz w:val="24"/>
    </w:rPr>
  </w:style>
  <w:style w:type="paragraph" w:customStyle="1" w:styleId="cowizardstepfull">
    <w:name w:val="co_wizardstep_full"/>
    <w:basedOn w:val="Normal"/>
    <w:rsid w:val="00435883"/>
    <w:pPr>
      <w:spacing w:before="100" w:beforeAutospacing="1" w:after="100" w:afterAutospacing="1"/>
    </w:pPr>
    <w:rPr>
      <w:bCs w:val="0"/>
      <w:sz w:val="24"/>
    </w:rPr>
  </w:style>
  <w:style w:type="paragraph" w:customStyle="1" w:styleId="cowizardstepleft">
    <w:name w:val="co_wizardstep_left"/>
    <w:basedOn w:val="Normal"/>
    <w:rsid w:val="00435883"/>
    <w:pPr>
      <w:spacing w:before="100" w:beforeAutospacing="1" w:after="100" w:afterAutospacing="1"/>
    </w:pPr>
    <w:rPr>
      <w:bCs w:val="0"/>
      <w:sz w:val="24"/>
    </w:rPr>
  </w:style>
  <w:style w:type="paragraph" w:customStyle="1" w:styleId="cowizardsteplefttab">
    <w:name w:val="co_wizardstep_left_tab"/>
    <w:basedOn w:val="Normal"/>
    <w:rsid w:val="00435883"/>
    <w:pPr>
      <w:spacing w:before="100" w:beforeAutospacing="1" w:after="100" w:afterAutospacing="1"/>
    </w:pPr>
    <w:rPr>
      <w:bCs w:val="0"/>
      <w:sz w:val="24"/>
    </w:rPr>
  </w:style>
  <w:style w:type="paragraph" w:customStyle="1" w:styleId="cowizardstepright">
    <w:name w:val="co_wizardstep_right"/>
    <w:basedOn w:val="Normal"/>
    <w:rsid w:val="00435883"/>
    <w:pPr>
      <w:spacing w:before="100" w:beforeAutospacing="1" w:after="100" w:afterAutospacing="1"/>
    </w:pPr>
    <w:rPr>
      <w:bCs w:val="0"/>
      <w:sz w:val="24"/>
    </w:rPr>
  </w:style>
  <w:style w:type="paragraph" w:customStyle="1" w:styleId="cosearchinput">
    <w:name w:val="co_searchinput"/>
    <w:basedOn w:val="Normal"/>
    <w:rsid w:val="00435883"/>
    <w:pPr>
      <w:spacing w:before="100" w:beforeAutospacing="1" w:after="100" w:afterAutospacing="1"/>
    </w:pPr>
    <w:rPr>
      <w:bCs w:val="0"/>
      <w:sz w:val="24"/>
    </w:rPr>
  </w:style>
  <w:style w:type="paragraph" w:customStyle="1" w:styleId="codropdownmenu">
    <w:name w:val="co_dropdownmenu"/>
    <w:basedOn w:val="Normal"/>
    <w:rsid w:val="00435883"/>
    <w:pPr>
      <w:spacing w:before="100" w:beforeAutospacing="1" w:after="100" w:afterAutospacing="1"/>
    </w:pPr>
    <w:rPr>
      <w:bCs w:val="0"/>
      <w:sz w:val="24"/>
    </w:rPr>
  </w:style>
  <w:style w:type="paragraph" w:customStyle="1" w:styleId="codefaultinput">
    <w:name w:val="co_defaultinput"/>
    <w:basedOn w:val="Normal"/>
    <w:rsid w:val="00435883"/>
    <w:pPr>
      <w:spacing w:before="100" w:beforeAutospacing="1" w:after="100" w:afterAutospacing="1"/>
    </w:pPr>
    <w:rPr>
      <w:bCs w:val="0"/>
      <w:sz w:val="24"/>
    </w:rPr>
  </w:style>
  <w:style w:type="paragraph" w:customStyle="1" w:styleId="cowhencollapsed">
    <w:name w:val="co_whencollapsed"/>
    <w:basedOn w:val="Normal"/>
    <w:rsid w:val="00435883"/>
    <w:pPr>
      <w:spacing w:before="100" w:beforeAutospacing="1" w:after="100" w:afterAutospacing="1"/>
    </w:pPr>
    <w:rPr>
      <w:bCs w:val="0"/>
      <w:sz w:val="24"/>
    </w:rPr>
  </w:style>
  <w:style w:type="paragraph" w:customStyle="1" w:styleId="cowhenexpanded">
    <w:name w:val="co_whenexpanded"/>
    <w:basedOn w:val="Normal"/>
    <w:rsid w:val="00435883"/>
    <w:pPr>
      <w:spacing w:before="100" w:beforeAutospacing="1" w:after="100" w:afterAutospacing="1"/>
    </w:pPr>
    <w:rPr>
      <w:bCs w:val="0"/>
      <w:sz w:val="24"/>
    </w:rPr>
  </w:style>
  <w:style w:type="paragraph" w:customStyle="1" w:styleId="cowhenselected">
    <w:name w:val="co_whenselected"/>
    <w:basedOn w:val="Normal"/>
    <w:rsid w:val="00435883"/>
    <w:pPr>
      <w:spacing w:before="100" w:beforeAutospacing="1" w:after="100" w:afterAutospacing="1"/>
    </w:pPr>
    <w:rPr>
      <w:bCs w:val="0"/>
      <w:sz w:val="24"/>
    </w:rPr>
  </w:style>
  <w:style w:type="paragraph" w:customStyle="1" w:styleId="codropoptionsheader">
    <w:name w:val="co_dropoptionsheader"/>
    <w:basedOn w:val="Normal"/>
    <w:rsid w:val="00435883"/>
    <w:pPr>
      <w:spacing w:before="100" w:beforeAutospacing="1" w:after="100" w:afterAutospacing="1"/>
    </w:pPr>
    <w:rPr>
      <w:bCs w:val="0"/>
      <w:sz w:val="24"/>
    </w:rPr>
  </w:style>
  <w:style w:type="paragraph" w:customStyle="1" w:styleId="codropoptionsoptions">
    <w:name w:val="co_dropoptionsoptions"/>
    <w:basedOn w:val="Normal"/>
    <w:rsid w:val="00435883"/>
    <w:pPr>
      <w:spacing w:before="100" w:beforeAutospacing="1" w:after="100" w:afterAutospacing="1"/>
    </w:pPr>
    <w:rPr>
      <w:bCs w:val="0"/>
      <w:sz w:val="24"/>
    </w:rPr>
  </w:style>
  <w:style w:type="paragraph" w:customStyle="1" w:styleId="coaddlink">
    <w:name w:val="co_addlink"/>
    <w:basedOn w:val="Normal"/>
    <w:rsid w:val="00435883"/>
    <w:pPr>
      <w:spacing w:before="100" w:beforeAutospacing="1" w:after="100" w:afterAutospacing="1"/>
    </w:pPr>
    <w:rPr>
      <w:bCs w:val="0"/>
      <w:sz w:val="24"/>
    </w:rPr>
  </w:style>
  <w:style w:type="paragraph" w:customStyle="1" w:styleId="codonelink">
    <w:name w:val="co_donelink"/>
    <w:basedOn w:val="Normal"/>
    <w:rsid w:val="00435883"/>
    <w:pPr>
      <w:spacing w:before="100" w:beforeAutospacing="1" w:after="100" w:afterAutospacing="1"/>
    </w:pPr>
    <w:rPr>
      <w:bCs w:val="0"/>
      <w:sz w:val="24"/>
    </w:rPr>
  </w:style>
  <w:style w:type="paragraph" w:customStyle="1" w:styleId="coeditlink">
    <w:name w:val="co_editlink"/>
    <w:basedOn w:val="Normal"/>
    <w:rsid w:val="00435883"/>
    <w:pPr>
      <w:spacing w:before="100" w:beforeAutospacing="1" w:after="100" w:afterAutospacing="1"/>
    </w:pPr>
    <w:rPr>
      <w:bCs w:val="0"/>
      <w:sz w:val="24"/>
    </w:rPr>
  </w:style>
  <w:style w:type="paragraph" w:customStyle="1" w:styleId="cosearchpanel">
    <w:name w:val="co_searchpanel"/>
    <w:basedOn w:val="Normal"/>
    <w:rsid w:val="00435883"/>
    <w:pPr>
      <w:spacing w:before="100" w:beforeAutospacing="1" w:after="100" w:afterAutospacing="1"/>
    </w:pPr>
    <w:rPr>
      <w:bCs w:val="0"/>
      <w:sz w:val="24"/>
    </w:rPr>
  </w:style>
  <w:style w:type="paragraph" w:customStyle="1" w:styleId="codeliveroptionsdiv">
    <w:name w:val="co_deliveroptionsdiv"/>
    <w:basedOn w:val="Normal"/>
    <w:rsid w:val="00435883"/>
    <w:pPr>
      <w:spacing w:before="100" w:beforeAutospacing="1" w:after="100" w:afterAutospacing="1"/>
    </w:pPr>
    <w:rPr>
      <w:bCs w:val="0"/>
      <w:sz w:val="24"/>
    </w:rPr>
  </w:style>
  <w:style w:type="paragraph" w:customStyle="1" w:styleId="cogenericboxheadersimple">
    <w:name w:val="co_genericboxheadersimple"/>
    <w:basedOn w:val="Normal"/>
    <w:rsid w:val="00435883"/>
    <w:pPr>
      <w:spacing w:before="100" w:beforeAutospacing="1" w:after="100" w:afterAutospacing="1"/>
    </w:pPr>
    <w:rPr>
      <w:bCs w:val="0"/>
      <w:sz w:val="24"/>
    </w:rPr>
  </w:style>
  <w:style w:type="paragraph" w:customStyle="1" w:styleId="codeliverysummary">
    <w:name w:val="co_deliverysummary"/>
    <w:basedOn w:val="Normal"/>
    <w:rsid w:val="00435883"/>
    <w:pPr>
      <w:spacing w:before="100" w:beforeAutospacing="1" w:after="100" w:afterAutospacing="1"/>
    </w:pPr>
    <w:rPr>
      <w:bCs w:val="0"/>
      <w:sz w:val="24"/>
    </w:rPr>
  </w:style>
  <w:style w:type="paragraph" w:customStyle="1" w:styleId="cofacetcontentsection">
    <w:name w:val="co_facet_content_section"/>
    <w:basedOn w:val="Normal"/>
    <w:rsid w:val="00435883"/>
    <w:pPr>
      <w:spacing w:before="100" w:beforeAutospacing="1" w:after="100" w:afterAutospacing="1"/>
    </w:pPr>
    <w:rPr>
      <w:bCs w:val="0"/>
      <w:sz w:val="24"/>
    </w:rPr>
  </w:style>
  <w:style w:type="paragraph" w:customStyle="1" w:styleId="cochecklistalllabel">
    <w:name w:val="co_checklist_all&gt;label"/>
    <w:basedOn w:val="Normal"/>
    <w:rsid w:val="00435883"/>
    <w:pPr>
      <w:spacing w:before="100" w:beforeAutospacing="1" w:after="100" w:afterAutospacing="1"/>
    </w:pPr>
    <w:rPr>
      <w:bCs w:val="0"/>
      <w:sz w:val="24"/>
    </w:rPr>
  </w:style>
  <w:style w:type="paragraph" w:customStyle="1" w:styleId="corelatedinfodotbar0">
    <w:name w:val="co_relatedinfo_dotbar_0"/>
    <w:basedOn w:val="Normal"/>
    <w:rsid w:val="00435883"/>
    <w:pPr>
      <w:spacing w:before="100" w:beforeAutospacing="1" w:after="100" w:afterAutospacing="1"/>
    </w:pPr>
    <w:rPr>
      <w:bCs w:val="0"/>
      <w:sz w:val="24"/>
    </w:rPr>
  </w:style>
  <w:style w:type="paragraph" w:customStyle="1" w:styleId="corelatedinfodotbar1">
    <w:name w:val="co_relatedinfo_dotbar_1"/>
    <w:basedOn w:val="Normal"/>
    <w:rsid w:val="00435883"/>
    <w:pPr>
      <w:spacing w:before="100" w:beforeAutospacing="1" w:after="100" w:afterAutospacing="1"/>
    </w:pPr>
    <w:rPr>
      <w:bCs w:val="0"/>
      <w:sz w:val="24"/>
    </w:rPr>
  </w:style>
  <w:style w:type="paragraph" w:customStyle="1" w:styleId="corelatedinfodotbar2">
    <w:name w:val="co_relatedinfo_dotbar_2"/>
    <w:basedOn w:val="Normal"/>
    <w:rsid w:val="00435883"/>
    <w:pPr>
      <w:spacing w:before="100" w:beforeAutospacing="1" w:after="100" w:afterAutospacing="1"/>
    </w:pPr>
    <w:rPr>
      <w:bCs w:val="0"/>
      <w:sz w:val="24"/>
    </w:rPr>
  </w:style>
  <w:style w:type="paragraph" w:customStyle="1" w:styleId="corelatedinfodotbar3">
    <w:name w:val="co_relatedinfo_dotbar_3"/>
    <w:basedOn w:val="Normal"/>
    <w:rsid w:val="00435883"/>
    <w:pPr>
      <w:spacing w:before="100" w:beforeAutospacing="1" w:after="100" w:afterAutospacing="1"/>
    </w:pPr>
    <w:rPr>
      <w:bCs w:val="0"/>
      <w:sz w:val="24"/>
    </w:rPr>
  </w:style>
  <w:style w:type="paragraph" w:customStyle="1" w:styleId="corelatedinfodotbar4">
    <w:name w:val="co_relatedinfo_dotbar_4"/>
    <w:basedOn w:val="Normal"/>
    <w:rsid w:val="00435883"/>
    <w:pPr>
      <w:spacing w:before="100" w:beforeAutospacing="1" w:after="100" w:afterAutospacing="1"/>
    </w:pPr>
    <w:rPr>
      <w:bCs w:val="0"/>
      <w:sz w:val="24"/>
    </w:rPr>
  </w:style>
  <w:style w:type="paragraph" w:customStyle="1" w:styleId="cocite">
    <w:name w:val="co_cite"/>
    <w:basedOn w:val="Normal"/>
    <w:rsid w:val="00435883"/>
    <w:pPr>
      <w:spacing w:before="100" w:beforeAutospacing="1" w:after="100" w:afterAutospacing="1"/>
    </w:pPr>
    <w:rPr>
      <w:bCs w:val="0"/>
      <w:sz w:val="24"/>
    </w:rPr>
  </w:style>
  <w:style w:type="paragraph" w:customStyle="1" w:styleId="cogriddesccolumn">
    <w:name w:val="co_grid_desc_column"/>
    <w:basedOn w:val="Normal"/>
    <w:rsid w:val="00435883"/>
    <w:pPr>
      <w:spacing w:before="100" w:beforeAutospacing="1" w:after="100" w:afterAutospacing="1"/>
    </w:pPr>
    <w:rPr>
      <w:bCs w:val="0"/>
      <w:sz w:val="24"/>
    </w:rPr>
  </w:style>
  <w:style w:type="paragraph" w:customStyle="1" w:styleId="cogridremovecolumn">
    <w:name w:val="co_grid_remove_column"/>
    <w:basedOn w:val="Normal"/>
    <w:rsid w:val="00435883"/>
    <w:pPr>
      <w:spacing w:before="100" w:beforeAutospacing="1" w:after="100" w:afterAutospacing="1"/>
    </w:pPr>
    <w:rPr>
      <w:bCs w:val="0"/>
      <w:sz w:val="24"/>
    </w:rPr>
  </w:style>
  <w:style w:type="paragraph" w:customStyle="1" w:styleId="cogriderrorcolumn">
    <w:name w:val="co_grid_error_column"/>
    <w:basedOn w:val="Normal"/>
    <w:rsid w:val="00435883"/>
    <w:pPr>
      <w:spacing w:before="100" w:beforeAutospacing="1" w:after="100" w:afterAutospacing="1"/>
    </w:pPr>
    <w:rPr>
      <w:bCs w:val="0"/>
      <w:sz w:val="24"/>
    </w:rPr>
  </w:style>
  <w:style w:type="paragraph" w:customStyle="1" w:styleId="editor-text">
    <w:name w:val="editor-text"/>
    <w:basedOn w:val="Normal"/>
    <w:rsid w:val="00435883"/>
    <w:pPr>
      <w:spacing w:before="100" w:beforeAutospacing="1" w:after="100" w:afterAutospacing="1"/>
    </w:pPr>
    <w:rPr>
      <w:bCs w:val="0"/>
      <w:sz w:val="24"/>
    </w:rPr>
  </w:style>
  <w:style w:type="paragraph" w:customStyle="1" w:styleId="cooverlayboxbuttoncancel">
    <w:name w:val="co_overlaybox_buttoncancel"/>
    <w:basedOn w:val="Normal"/>
    <w:rsid w:val="00435883"/>
    <w:pPr>
      <w:spacing w:before="100" w:beforeAutospacing="1" w:after="100" w:afterAutospacing="1"/>
    </w:pPr>
    <w:rPr>
      <w:bCs w:val="0"/>
      <w:sz w:val="24"/>
    </w:rPr>
  </w:style>
  <w:style w:type="paragraph" w:customStyle="1" w:styleId="cocategoryselectoroptions">
    <w:name w:val="co_categoryselectoroptions"/>
    <w:basedOn w:val="Normal"/>
    <w:rsid w:val="00435883"/>
    <w:pPr>
      <w:spacing w:before="100" w:beforeAutospacing="1" w:after="100" w:afterAutospacing="1"/>
    </w:pPr>
    <w:rPr>
      <w:bCs w:val="0"/>
      <w:sz w:val="24"/>
    </w:rPr>
  </w:style>
  <w:style w:type="paragraph" w:customStyle="1" w:styleId="cosavelink">
    <w:name w:val="co_savelink"/>
    <w:basedOn w:val="Normal"/>
    <w:rsid w:val="00435883"/>
    <w:pPr>
      <w:spacing w:before="100" w:beforeAutospacing="1" w:after="100" w:afterAutospacing="1"/>
    </w:pPr>
    <w:rPr>
      <w:bCs w:val="0"/>
      <w:sz w:val="24"/>
    </w:rPr>
  </w:style>
  <w:style w:type="paragraph" w:customStyle="1" w:styleId="coupdownbuttons">
    <w:name w:val="co_updownbuttons"/>
    <w:basedOn w:val="Normal"/>
    <w:rsid w:val="00435883"/>
    <w:pPr>
      <w:spacing w:before="100" w:beforeAutospacing="1" w:after="100" w:afterAutospacing="1"/>
    </w:pPr>
    <w:rPr>
      <w:bCs w:val="0"/>
      <w:sz w:val="24"/>
    </w:rPr>
  </w:style>
  <w:style w:type="paragraph" w:customStyle="1" w:styleId="cosearchalertsearchpaneladditionaltermsfields">
    <w:name w:val="co_search_alertsearchpaneladditionaltermsfields"/>
    <w:basedOn w:val="Normal"/>
    <w:rsid w:val="00435883"/>
    <w:pPr>
      <w:spacing w:before="100" w:beforeAutospacing="1" w:after="100" w:afterAutospacing="1"/>
    </w:pPr>
    <w:rPr>
      <w:bCs w:val="0"/>
      <w:sz w:val="24"/>
    </w:rPr>
  </w:style>
  <w:style w:type="paragraph" w:customStyle="1" w:styleId="cosearchadvancedsearchexcludecheckboxeslist">
    <w:name w:val="co_search_advancedsearch_excludecheckboxeslist"/>
    <w:basedOn w:val="Normal"/>
    <w:rsid w:val="00435883"/>
    <w:pPr>
      <w:spacing w:before="100" w:beforeAutospacing="1" w:after="100" w:afterAutospacing="1"/>
    </w:pPr>
    <w:rPr>
      <w:bCs w:val="0"/>
      <w:sz w:val="24"/>
    </w:rPr>
  </w:style>
  <w:style w:type="paragraph" w:customStyle="1" w:styleId="coalphaselectorsearch">
    <w:name w:val="co_alphaselector_search"/>
    <w:basedOn w:val="Normal"/>
    <w:rsid w:val="00435883"/>
    <w:pPr>
      <w:spacing w:before="100" w:beforeAutospacing="1" w:after="100" w:afterAutospacing="1"/>
    </w:pPr>
    <w:rPr>
      <w:bCs w:val="0"/>
      <w:sz w:val="24"/>
    </w:rPr>
  </w:style>
  <w:style w:type="paragraph" w:customStyle="1" w:styleId="coalphaselectorcreatenew">
    <w:name w:val="co_alphaselector_createnew"/>
    <w:basedOn w:val="Normal"/>
    <w:rsid w:val="00435883"/>
    <w:pPr>
      <w:spacing w:before="100" w:beforeAutospacing="1" w:after="100" w:afterAutospacing="1"/>
    </w:pPr>
    <w:rPr>
      <w:bCs w:val="0"/>
      <w:sz w:val="24"/>
    </w:rPr>
  </w:style>
  <w:style w:type="paragraph" w:customStyle="1" w:styleId="coalphaselectorbreadcrumb">
    <w:name w:val="co_alphaselector_breadcrumb"/>
    <w:basedOn w:val="Normal"/>
    <w:rsid w:val="00435883"/>
    <w:pPr>
      <w:spacing w:before="100" w:beforeAutospacing="1" w:after="100" w:afterAutospacing="1"/>
    </w:pPr>
    <w:rPr>
      <w:bCs w:val="0"/>
      <w:sz w:val="24"/>
    </w:rPr>
  </w:style>
  <w:style w:type="paragraph" w:customStyle="1" w:styleId="khgenericbtn">
    <w:name w:val="kh_genericbtn"/>
    <w:basedOn w:val="Normal"/>
    <w:rsid w:val="00435883"/>
    <w:pPr>
      <w:spacing w:before="100" w:beforeAutospacing="1" w:after="100" w:afterAutospacing="1"/>
    </w:pPr>
    <w:rPr>
      <w:bCs w:val="0"/>
      <w:sz w:val="24"/>
    </w:rPr>
  </w:style>
  <w:style w:type="paragraph" w:customStyle="1" w:styleId="iconwaywo">
    <w:name w:val="icon_waywo"/>
    <w:basedOn w:val="Normal"/>
    <w:rsid w:val="00435883"/>
    <w:pPr>
      <w:spacing w:before="100" w:beforeAutospacing="1" w:after="100" w:afterAutospacing="1"/>
    </w:pPr>
    <w:rPr>
      <w:bCs w:val="0"/>
      <w:sz w:val="24"/>
    </w:rPr>
  </w:style>
  <w:style w:type="paragraph" w:customStyle="1" w:styleId="iconwhatsmarket">
    <w:name w:val="icon_whatsmarket"/>
    <w:basedOn w:val="Normal"/>
    <w:rsid w:val="00435883"/>
    <w:pPr>
      <w:spacing w:before="100" w:beforeAutospacing="1" w:after="100" w:afterAutospacing="1"/>
    </w:pPr>
    <w:rPr>
      <w:bCs w:val="0"/>
      <w:sz w:val="24"/>
    </w:rPr>
  </w:style>
  <w:style w:type="paragraph" w:customStyle="1" w:styleId="iconschoolresourcecenter">
    <w:name w:val="icon_schoolresourcecenter"/>
    <w:basedOn w:val="Normal"/>
    <w:rsid w:val="00435883"/>
    <w:pPr>
      <w:spacing w:before="100" w:beforeAutospacing="1" w:after="100" w:afterAutospacing="1"/>
    </w:pPr>
    <w:rPr>
      <w:bCs w:val="0"/>
      <w:sz w:val="24"/>
    </w:rPr>
  </w:style>
  <w:style w:type="paragraph" w:customStyle="1" w:styleId="iconbriefbank">
    <w:name w:val="icon_briefbank"/>
    <w:basedOn w:val="Normal"/>
    <w:rsid w:val="00435883"/>
    <w:pPr>
      <w:spacing w:before="100" w:beforeAutospacing="1" w:after="100" w:afterAutospacing="1"/>
    </w:pPr>
    <w:rPr>
      <w:bCs w:val="0"/>
      <w:sz w:val="24"/>
    </w:rPr>
  </w:style>
  <w:style w:type="paragraph" w:customStyle="1" w:styleId="iconstatecompare">
    <w:name w:val="icon_statecompare"/>
    <w:basedOn w:val="Normal"/>
    <w:rsid w:val="00435883"/>
    <w:pPr>
      <w:spacing w:before="100" w:beforeAutospacing="1" w:after="100" w:afterAutospacing="1"/>
    </w:pPr>
    <w:rPr>
      <w:bCs w:val="0"/>
      <w:sz w:val="24"/>
    </w:rPr>
  </w:style>
  <w:style w:type="paragraph" w:customStyle="1" w:styleId="iconstatecomparison">
    <w:name w:val="icon_statecomparison"/>
    <w:basedOn w:val="Normal"/>
    <w:rsid w:val="00435883"/>
    <w:pPr>
      <w:spacing w:before="100" w:beforeAutospacing="1" w:after="100" w:afterAutospacing="1"/>
    </w:pPr>
    <w:rPr>
      <w:bCs w:val="0"/>
      <w:sz w:val="24"/>
    </w:rPr>
  </w:style>
  <w:style w:type="paragraph" w:customStyle="1" w:styleId="iconcountrycompare">
    <w:name w:val="icon_countrycompare"/>
    <w:basedOn w:val="Normal"/>
    <w:rsid w:val="00435883"/>
    <w:pPr>
      <w:spacing w:before="100" w:beforeAutospacing="1" w:after="100" w:afterAutospacing="1"/>
    </w:pPr>
    <w:rPr>
      <w:bCs w:val="0"/>
      <w:sz w:val="24"/>
    </w:rPr>
  </w:style>
  <w:style w:type="paragraph" w:customStyle="1" w:styleId="iconcountrycomparison">
    <w:name w:val="icon_countrycomparison"/>
    <w:basedOn w:val="Normal"/>
    <w:rsid w:val="00435883"/>
    <w:pPr>
      <w:spacing w:before="100" w:beforeAutospacing="1" w:after="100" w:afterAutospacing="1"/>
    </w:pPr>
    <w:rPr>
      <w:bCs w:val="0"/>
      <w:sz w:val="24"/>
    </w:rPr>
  </w:style>
  <w:style w:type="paragraph" w:customStyle="1" w:styleId="iconcourtfilingschecklist">
    <w:name w:val="icon_courtfilingschecklist"/>
    <w:basedOn w:val="Normal"/>
    <w:rsid w:val="00435883"/>
    <w:pPr>
      <w:spacing w:before="100" w:beforeAutospacing="1" w:after="100" w:afterAutospacing="1"/>
    </w:pPr>
    <w:rPr>
      <w:bCs w:val="0"/>
      <w:sz w:val="24"/>
    </w:rPr>
  </w:style>
  <w:style w:type="paragraph" w:customStyle="1" w:styleId="iconemailupdates">
    <w:name w:val="icon_emailupdates"/>
    <w:basedOn w:val="Normal"/>
    <w:rsid w:val="00435883"/>
    <w:pPr>
      <w:spacing w:before="100" w:beforeAutospacing="1" w:after="100" w:afterAutospacing="1"/>
    </w:pPr>
    <w:rPr>
      <w:bCs w:val="0"/>
      <w:sz w:val="24"/>
    </w:rPr>
  </w:style>
  <w:style w:type="paragraph" w:customStyle="1" w:styleId="iconlocation">
    <w:name w:val="icon_location"/>
    <w:basedOn w:val="Normal"/>
    <w:rsid w:val="00435883"/>
    <w:pPr>
      <w:spacing w:before="100" w:beforeAutospacing="1" w:after="100" w:afterAutospacing="1"/>
    </w:pPr>
    <w:rPr>
      <w:bCs w:val="0"/>
      <w:sz w:val="24"/>
    </w:rPr>
  </w:style>
  <w:style w:type="paragraph" w:customStyle="1" w:styleId="iconmattermap">
    <w:name w:val="icon_mattermap"/>
    <w:basedOn w:val="Normal"/>
    <w:rsid w:val="00435883"/>
    <w:pPr>
      <w:spacing w:before="100" w:beforeAutospacing="1" w:after="100" w:afterAutospacing="1"/>
    </w:pPr>
    <w:rPr>
      <w:bCs w:val="0"/>
      <w:sz w:val="24"/>
    </w:rPr>
  </w:style>
  <w:style w:type="paragraph" w:customStyle="1" w:styleId="iconstateqa">
    <w:name w:val="icon_stateqa"/>
    <w:basedOn w:val="Normal"/>
    <w:rsid w:val="00435883"/>
    <w:pPr>
      <w:spacing w:before="100" w:beforeAutospacing="1" w:after="100" w:afterAutospacing="1"/>
    </w:pPr>
    <w:rPr>
      <w:bCs w:val="0"/>
      <w:sz w:val="24"/>
    </w:rPr>
  </w:style>
  <w:style w:type="paragraph" w:customStyle="1" w:styleId="iconteam">
    <w:name w:val="icon_team"/>
    <w:basedOn w:val="Normal"/>
    <w:rsid w:val="00435883"/>
    <w:pPr>
      <w:spacing w:before="100" w:beforeAutospacing="1" w:after="100" w:afterAutospacing="1"/>
    </w:pPr>
    <w:rPr>
      <w:bCs w:val="0"/>
      <w:sz w:val="24"/>
    </w:rPr>
  </w:style>
  <w:style w:type="paragraph" w:customStyle="1" w:styleId="btnoffset">
    <w:name w:val="btnoffset"/>
    <w:basedOn w:val="Normal"/>
    <w:rsid w:val="00435883"/>
    <w:pPr>
      <w:spacing w:before="100" w:beforeAutospacing="1" w:after="100" w:afterAutospacing="1"/>
    </w:pPr>
    <w:rPr>
      <w:bCs w:val="0"/>
      <w:sz w:val="24"/>
    </w:rPr>
  </w:style>
  <w:style w:type="paragraph" w:customStyle="1" w:styleId="selected">
    <w:name w:val="selected"/>
    <w:basedOn w:val="Normal"/>
    <w:rsid w:val="00435883"/>
    <w:pPr>
      <w:spacing w:before="100" w:beforeAutospacing="1" w:after="100" w:afterAutospacing="1"/>
    </w:pPr>
    <w:rPr>
      <w:bCs w:val="0"/>
      <w:sz w:val="24"/>
    </w:rPr>
  </w:style>
  <w:style w:type="paragraph" w:customStyle="1" w:styleId="icon-right-pointer">
    <w:name w:val="icon-right-pointer"/>
    <w:basedOn w:val="Normal"/>
    <w:rsid w:val="00435883"/>
    <w:pPr>
      <w:spacing w:before="100" w:beforeAutospacing="1" w:after="100" w:afterAutospacing="1"/>
    </w:pPr>
    <w:rPr>
      <w:bCs w:val="0"/>
      <w:sz w:val="24"/>
    </w:rPr>
  </w:style>
  <w:style w:type="paragraph" w:customStyle="1" w:styleId="border">
    <w:name w:val="border"/>
    <w:basedOn w:val="Normal"/>
    <w:rsid w:val="00435883"/>
    <w:pPr>
      <w:spacing w:before="100" w:beforeAutospacing="1" w:after="100" w:afterAutospacing="1"/>
    </w:pPr>
    <w:rPr>
      <w:bCs w:val="0"/>
      <w:sz w:val="24"/>
    </w:rPr>
  </w:style>
  <w:style w:type="paragraph" w:customStyle="1" w:styleId="cotopicbar">
    <w:name w:val="co_topicbar"/>
    <w:basedOn w:val="Normal"/>
    <w:rsid w:val="00435883"/>
    <w:pPr>
      <w:spacing w:before="100" w:beforeAutospacing="1" w:after="100" w:afterAutospacing="1"/>
    </w:pPr>
    <w:rPr>
      <w:bCs w:val="0"/>
      <w:sz w:val="24"/>
    </w:rPr>
  </w:style>
  <w:style w:type="paragraph" w:customStyle="1" w:styleId="cotxtsmall">
    <w:name w:val="co_txtsmall"/>
    <w:basedOn w:val="Normal"/>
    <w:rsid w:val="00435883"/>
    <w:pPr>
      <w:spacing w:before="100" w:beforeAutospacing="1" w:after="100" w:afterAutospacing="1"/>
    </w:pPr>
    <w:rPr>
      <w:bCs w:val="0"/>
      <w:sz w:val="24"/>
    </w:rPr>
  </w:style>
  <w:style w:type="paragraph" w:customStyle="1" w:styleId="codisabledlink">
    <w:name w:val="co_disabledlink"/>
    <w:basedOn w:val="Normal"/>
    <w:rsid w:val="00435883"/>
    <w:pPr>
      <w:spacing w:before="100" w:beforeAutospacing="1" w:after="100" w:afterAutospacing="1"/>
    </w:pPr>
    <w:rPr>
      <w:bCs w:val="0"/>
      <w:sz w:val="24"/>
    </w:rPr>
  </w:style>
  <w:style w:type="paragraph" w:customStyle="1" w:styleId="coparagraph">
    <w:name w:val="co_paragraph"/>
    <w:basedOn w:val="Normal"/>
    <w:rsid w:val="00435883"/>
    <w:pPr>
      <w:spacing w:before="100" w:beforeAutospacing="1" w:after="100" w:afterAutospacing="1"/>
    </w:pPr>
    <w:rPr>
      <w:bCs w:val="0"/>
      <w:sz w:val="24"/>
    </w:rPr>
  </w:style>
  <w:style w:type="paragraph" w:customStyle="1" w:styleId="coactivelink">
    <w:name w:val="co_activelink"/>
    <w:basedOn w:val="Normal"/>
    <w:rsid w:val="00435883"/>
    <w:pPr>
      <w:spacing w:before="100" w:beforeAutospacing="1" w:after="100" w:afterAutospacing="1"/>
    </w:pPr>
    <w:rPr>
      <w:bCs w:val="0"/>
      <w:sz w:val="24"/>
    </w:rPr>
  </w:style>
  <w:style w:type="paragraph" w:customStyle="1" w:styleId="coresultsmenuoptions">
    <w:name w:val="co_resultsmenuoptions"/>
    <w:basedOn w:val="Normal"/>
    <w:rsid w:val="00435883"/>
    <w:pPr>
      <w:spacing w:before="100" w:beforeAutospacing="1" w:after="100" w:afterAutospacing="1"/>
    </w:pPr>
    <w:rPr>
      <w:bCs w:val="0"/>
      <w:sz w:val="24"/>
    </w:rPr>
  </w:style>
  <w:style w:type="paragraph" w:customStyle="1" w:styleId="khmetadata">
    <w:name w:val="kh_metadata"/>
    <w:basedOn w:val="Normal"/>
    <w:rsid w:val="00435883"/>
    <w:pPr>
      <w:spacing w:before="100" w:beforeAutospacing="1" w:after="100" w:afterAutospacing="1"/>
    </w:pPr>
    <w:rPr>
      <w:bCs w:val="0"/>
      <w:sz w:val="24"/>
    </w:rPr>
  </w:style>
  <w:style w:type="paragraph" w:customStyle="1" w:styleId="codropdownboxanchorlabel">
    <w:name w:val="co_dropdownboxanchorlabel"/>
    <w:basedOn w:val="Normal"/>
    <w:rsid w:val="00435883"/>
    <w:pPr>
      <w:spacing w:before="100" w:beforeAutospacing="1" w:after="100" w:afterAutospacing="1"/>
    </w:pPr>
    <w:rPr>
      <w:bCs w:val="0"/>
      <w:sz w:val="24"/>
    </w:rPr>
  </w:style>
  <w:style w:type="paragraph" w:customStyle="1" w:styleId="eventmetadata">
    <w:name w:val="eventmetadata"/>
    <w:basedOn w:val="Normal"/>
    <w:rsid w:val="00435883"/>
    <w:pPr>
      <w:spacing w:before="100" w:beforeAutospacing="1" w:after="100" w:afterAutospacing="1"/>
    </w:pPr>
    <w:rPr>
      <w:bCs w:val="0"/>
      <w:sz w:val="24"/>
    </w:rPr>
  </w:style>
  <w:style w:type="paragraph" w:customStyle="1" w:styleId="country-tooltip">
    <w:name w:val="country-tooltip"/>
    <w:basedOn w:val="Normal"/>
    <w:rsid w:val="00435883"/>
    <w:pPr>
      <w:spacing w:before="100" w:beforeAutospacing="1" w:after="100" w:afterAutospacing="1"/>
    </w:pPr>
    <w:rPr>
      <w:bCs w:val="0"/>
      <w:sz w:val="24"/>
    </w:rPr>
  </w:style>
  <w:style w:type="paragraph" w:customStyle="1" w:styleId="tooltip-content">
    <w:name w:val="tooltip-content"/>
    <w:basedOn w:val="Normal"/>
    <w:rsid w:val="00435883"/>
    <w:pPr>
      <w:spacing w:before="100" w:beforeAutospacing="1" w:after="100" w:afterAutospacing="1"/>
    </w:pPr>
    <w:rPr>
      <w:bCs w:val="0"/>
      <w:sz w:val="24"/>
    </w:rPr>
  </w:style>
  <w:style w:type="paragraph" w:customStyle="1" w:styleId="khcrossborderstickyselector">
    <w:name w:val="kh_crossborderstickyselector"/>
    <w:basedOn w:val="Normal"/>
    <w:rsid w:val="00435883"/>
    <w:pPr>
      <w:spacing w:before="100" w:beforeAutospacing="1" w:after="100" w:afterAutospacing="1"/>
    </w:pPr>
    <w:rPr>
      <w:bCs w:val="0"/>
      <w:sz w:val="24"/>
    </w:rPr>
  </w:style>
  <w:style w:type="paragraph" w:customStyle="1" w:styleId="jurloading">
    <w:name w:val="jurloading"/>
    <w:basedOn w:val="Normal"/>
    <w:rsid w:val="00435883"/>
    <w:pPr>
      <w:spacing w:before="100" w:beforeAutospacing="1" w:after="100" w:afterAutospacing="1"/>
    </w:pPr>
    <w:rPr>
      <w:bCs w:val="0"/>
      <w:sz w:val="24"/>
    </w:rPr>
  </w:style>
  <w:style w:type="paragraph" w:customStyle="1" w:styleId="cofilerdesc">
    <w:name w:val="co_filerdesc"/>
    <w:basedOn w:val="Normal"/>
    <w:rsid w:val="00435883"/>
    <w:pPr>
      <w:spacing w:before="100" w:beforeAutospacing="1" w:after="100" w:afterAutospacing="1"/>
    </w:pPr>
    <w:rPr>
      <w:bCs w:val="0"/>
      <w:sz w:val="24"/>
    </w:rPr>
  </w:style>
  <w:style w:type="paragraph" w:customStyle="1" w:styleId="cofilerattributes">
    <w:name w:val="co_filerattributes"/>
    <w:basedOn w:val="Normal"/>
    <w:rsid w:val="00435883"/>
    <w:pPr>
      <w:spacing w:before="100" w:beforeAutospacing="1" w:after="100" w:afterAutospacing="1"/>
    </w:pPr>
    <w:rPr>
      <w:bCs w:val="0"/>
      <w:sz w:val="24"/>
    </w:rPr>
  </w:style>
  <w:style w:type="paragraph" w:customStyle="1" w:styleId="prwebanalyticsimage">
    <w:name w:val="pr_webanalyticsimage"/>
    <w:basedOn w:val="Normal"/>
    <w:rsid w:val="00435883"/>
    <w:pPr>
      <w:spacing w:before="100" w:beforeAutospacing="1" w:after="100" w:afterAutospacing="1"/>
    </w:pPr>
    <w:rPr>
      <w:bCs w:val="0"/>
      <w:sz w:val="24"/>
    </w:rPr>
  </w:style>
  <w:style w:type="paragraph" w:customStyle="1" w:styleId="prwebanalyticscontents">
    <w:name w:val="pr_webanalyticscontents"/>
    <w:basedOn w:val="Normal"/>
    <w:rsid w:val="00435883"/>
    <w:pPr>
      <w:spacing w:before="100" w:beforeAutospacing="1" w:after="100" w:afterAutospacing="1"/>
    </w:pPr>
    <w:rPr>
      <w:bCs w:val="0"/>
      <w:sz w:val="24"/>
    </w:rPr>
  </w:style>
  <w:style w:type="paragraph" w:customStyle="1" w:styleId="svgobject">
    <w:name w:val="svgobject"/>
    <w:basedOn w:val="Normal"/>
    <w:rsid w:val="00435883"/>
    <w:pPr>
      <w:spacing w:before="100" w:beforeAutospacing="1" w:after="100" w:afterAutospacing="1"/>
    </w:pPr>
    <w:rPr>
      <w:bCs w:val="0"/>
      <w:sz w:val="24"/>
    </w:rPr>
  </w:style>
  <w:style w:type="paragraph" w:customStyle="1" w:styleId="ui-autocomplete-input">
    <w:name w:val="ui-autocomplete-input"/>
    <w:basedOn w:val="Normal"/>
    <w:rsid w:val="00435883"/>
    <w:pPr>
      <w:spacing w:before="100" w:beforeAutospacing="1" w:after="100" w:afterAutospacing="1"/>
    </w:pPr>
    <w:rPr>
      <w:bCs w:val="0"/>
      <w:sz w:val="24"/>
    </w:rPr>
  </w:style>
  <w:style w:type="paragraph" w:customStyle="1" w:styleId="ui-menu">
    <w:name w:val="ui-menu"/>
    <w:basedOn w:val="Normal"/>
    <w:rsid w:val="00435883"/>
    <w:pPr>
      <w:spacing w:before="100" w:beforeAutospacing="1" w:after="100" w:afterAutospacing="1"/>
    </w:pPr>
    <w:rPr>
      <w:bCs w:val="0"/>
      <w:sz w:val="24"/>
    </w:rPr>
  </w:style>
  <w:style w:type="paragraph" w:customStyle="1" w:styleId="searchresultsheader">
    <w:name w:val="searchresultsheader"/>
    <w:basedOn w:val="Normal"/>
    <w:rsid w:val="00435883"/>
    <w:pPr>
      <w:spacing w:before="100" w:beforeAutospacing="1" w:after="100" w:afterAutospacing="1"/>
    </w:pPr>
    <w:rPr>
      <w:bCs w:val="0"/>
      <w:sz w:val="24"/>
    </w:rPr>
  </w:style>
  <w:style w:type="paragraph" w:customStyle="1" w:styleId="cobirecordlabel">
    <w:name w:val="co_bi_recordlabel"/>
    <w:basedOn w:val="Normal"/>
    <w:rsid w:val="00435883"/>
    <w:pPr>
      <w:spacing w:before="100" w:beforeAutospacing="1" w:after="100" w:afterAutospacing="1"/>
    </w:pPr>
    <w:rPr>
      <w:bCs w:val="0"/>
      <w:sz w:val="24"/>
    </w:rPr>
  </w:style>
  <w:style w:type="paragraph" w:customStyle="1" w:styleId="cobisectiontitle">
    <w:name w:val="co_bi_sectiontitle"/>
    <w:basedOn w:val="Normal"/>
    <w:rsid w:val="00435883"/>
    <w:pPr>
      <w:spacing w:before="100" w:beforeAutospacing="1" w:after="100" w:afterAutospacing="1"/>
    </w:pPr>
    <w:rPr>
      <w:bCs w:val="0"/>
      <w:sz w:val="24"/>
    </w:rPr>
  </w:style>
  <w:style w:type="paragraph" w:customStyle="1" w:styleId="cobiexcludediv">
    <w:name w:val="co_bi_excludediv"/>
    <w:basedOn w:val="Normal"/>
    <w:rsid w:val="00435883"/>
    <w:pPr>
      <w:spacing w:before="100" w:beforeAutospacing="1" w:after="100" w:afterAutospacing="1"/>
    </w:pPr>
    <w:rPr>
      <w:bCs w:val="0"/>
      <w:sz w:val="24"/>
    </w:rPr>
  </w:style>
  <w:style w:type="paragraph" w:customStyle="1" w:styleId="cobirecordslabel">
    <w:name w:val="co_bi_recordslabel"/>
    <w:basedOn w:val="Normal"/>
    <w:rsid w:val="00435883"/>
    <w:pPr>
      <w:spacing w:before="100" w:beforeAutospacing="1" w:after="100" w:afterAutospacing="1"/>
    </w:pPr>
    <w:rPr>
      <w:bCs w:val="0"/>
      <w:sz w:val="24"/>
    </w:rPr>
  </w:style>
  <w:style w:type="paragraph" w:customStyle="1" w:styleId="cobitocsectionheadercontainer">
    <w:name w:val="co_bi_tocsectionheadercontainer"/>
    <w:basedOn w:val="Normal"/>
    <w:rsid w:val="00435883"/>
    <w:pPr>
      <w:spacing w:before="100" w:beforeAutospacing="1" w:after="100" w:afterAutospacing="1"/>
    </w:pPr>
    <w:rPr>
      <w:bCs w:val="0"/>
      <w:sz w:val="24"/>
    </w:rPr>
  </w:style>
  <w:style w:type="paragraph" w:customStyle="1" w:styleId="cobihelpdisclaimers">
    <w:name w:val="co_bi_helpdisclaimers"/>
    <w:basedOn w:val="Normal"/>
    <w:rsid w:val="00435883"/>
    <w:pPr>
      <w:spacing w:before="100" w:beforeAutospacing="1" w:after="100" w:afterAutospacing="1"/>
    </w:pPr>
    <w:rPr>
      <w:bCs w:val="0"/>
      <w:sz w:val="24"/>
    </w:rPr>
  </w:style>
  <w:style w:type="paragraph" w:customStyle="1" w:styleId="record">
    <w:name w:val="record"/>
    <w:basedOn w:val="Normal"/>
    <w:rsid w:val="00435883"/>
    <w:pPr>
      <w:spacing w:before="100" w:beforeAutospacing="1" w:after="100" w:afterAutospacing="1"/>
    </w:pPr>
    <w:rPr>
      <w:bCs w:val="0"/>
      <w:sz w:val="24"/>
    </w:rPr>
  </w:style>
  <w:style w:type="paragraph" w:customStyle="1" w:styleId="recordgroupcontainer">
    <w:name w:val="recordgroupcontainer"/>
    <w:basedOn w:val="Normal"/>
    <w:rsid w:val="00435883"/>
    <w:pPr>
      <w:spacing w:before="100" w:beforeAutospacing="1" w:after="100" w:afterAutospacing="1"/>
    </w:pPr>
    <w:rPr>
      <w:bCs w:val="0"/>
      <w:sz w:val="24"/>
    </w:rPr>
  </w:style>
  <w:style w:type="paragraph" w:customStyle="1" w:styleId="cobicompanylandingpageleft">
    <w:name w:val="co_bi_companylandingpage_left"/>
    <w:basedOn w:val="Normal"/>
    <w:rsid w:val="00435883"/>
    <w:pPr>
      <w:spacing w:before="100" w:beforeAutospacing="1" w:after="100" w:afterAutospacing="1"/>
    </w:pPr>
    <w:rPr>
      <w:bCs w:val="0"/>
      <w:sz w:val="24"/>
    </w:rPr>
  </w:style>
  <w:style w:type="paragraph" w:customStyle="1" w:styleId="cobicompanylandingpageright">
    <w:name w:val="co_bi_companylandingpage_right"/>
    <w:basedOn w:val="Normal"/>
    <w:rsid w:val="00435883"/>
    <w:pPr>
      <w:spacing w:before="100" w:beforeAutospacing="1" w:after="100" w:afterAutospacing="1"/>
    </w:pPr>
    <w:rPr>
      <w:bCs w:val="0"/>
      <w:sz w:val="24"/>
    </w:rPr>
  </w:style>
  <w:style w:type="paragraph" w:customStyle="1" w:styleId="cobicompanyaddress">
    <w:name w:val="co_bi_companyaddress"/>
    <w:basedOn w:val="Normal"/>
    <w:rsid w:val="00435883"/>
    <w:pPr>
      <w:spacing w:before="100" w:beforeAutospacing="1" w:after="100" w:afterAutospacing="1"/>
    </w:pPr>
    <w:rPr>
      <w:bCs w:val="0"/>
      <w:sz w:val="24"/>
    </w:rPr>
  </w:style>
  <w:style w:type="paragraph" w:customStyle="1" w:styleId="bitoolbarexpandcollapse">
    <w:name w:val="bi_toolbar_expandcollapse"/>
    <w:basedOn w:val="Normal"/>
    <w:rsid w:val="00435883"/>
    <w:pPr>
      <w:spacing w:before="100" w:beforeAutospacing="1" w:after="100" w:afterAutospacing="1"/>
    </w:pPr>
    <w:rPr>
      <w:bCs w:val="0"/>
      <w:sz w:val="24"/>
    </w:rPr>
  </w:style>
  <w:style w:type="paragraph" w:customStyle="1" w:styleId="cotabtext">
    <w:name w:val="co_tabtext"/>
    <w:basedOn w:val="Normal"/>
    <w:rsid w:val="00435883"/>
    <w:pPr>
      <w:spacing w:before="100" w:beforeAutospacing="1" w:after="100" w:afterAutospacing="1"/>
    </w:pPr>
    <w:rPr>
      <w:bCs w:val="0"/>
      <w:sz w:val="24"/>
    </w:rPr>
  </w:style>
  <w:style w:type="paragraph" w:customStyle="1" w:styleId="pmdropdownarrowcollapsed">
    <w:name w:val="pm_dropdownarrowcollapsed"/>
    <w:basedOn w:val="Normal"/>
    <w:rsid w:val="00435883"/>
    <w:pPr>
      <w:spacing w:before="100" w:beforeAutospacing="1" w:after="100" w:afterAutospacing="1"/>
    </w:pPr>
    <w:rPr>
      <w:bCs w:val="0"/>
      <w:sz w:val="24"/>
    </w:rPr>
  </w:style>
  <w:style w:type="paragraph" w:customStyle="1" w:styleId="pmdropdownarrowexpanded">
    <w:name w:val="pm_dropdownarrowexpanded"/>
    <w:basedOn w:val="Normal"/>
    <w:rsid w:val="00435883"/>
    <w:pPr>
      <w:spacing w:before="100" w:beforeAutospacing="1" w:after="100" w:afterAutospacing="1"/>
    </w:pPr>
    <w:rPr>
      <w:bCs w:val="0"/>
      <w:sz w:val="24"/>
    </w:rPr>
  </w:style>
  <w:style w:type="paragraph" w:customStyle="1" w:styleId="pmrecordlabel">
    <w:name w:val="pm_recordlabel"/>
    <w:basedOn w:val="Normal"/>
    <w:rsid w:val="00435883"/>
    <w:pPr>
      <w:spacing w:before="100" w:beforeAutospacing="1" w:after="100" w:afterAutospacing="1"/>
    </w:pPr>
    <w:rPr>
      <w:bCs w:val="0"/>
      <w:sz w:val="24"/>
    </w:rPr>
  </w:style>
  <w:style w:type="paragraph" w:customStyle="1" w:styleId="copmsectiontitle">
    <w:name w:val="co_pm_sectiontitle"/>
    <w:basedOn w:val="Normal"/>
    <w:rsid w:val="00435883"/>
    <w:pPr>
      <w:spacing w:before="100" w:beforeAutospacing="1" w:after="100" w:afterAutospacing="1"/>
    </w:pPr>
    <w:rPr>
      <w:bCs w:val="0"/>
      <w:sz w:val="24"/>
    </w:rPr>
  </w:style>
  <w:style w:type="paragraph" w:customStyle="1" w:styleId="copmexcludediv">
    <w:name w:val="co_pm_excludediv"/>
    <w:basedOn w:val="Normal"/>
    <w:rsid w:val="00435883"/>
    <w:pPr>
      <w:spacing w:before="100" w:beforeAutospacing="1" w:after="100" w:afterAutospacing="1"/>
    </w:pPr>
    <w:rPr>
      <w:bCs w:val="0"/>
      <w:sz w:val="24"/>
    </w:rPr>
  </w:style>
  <w:style w:type="paragraph" w:customStyle="1" w:styleId="copmrecordslabel">
    <w:name w:val="co_pm_recordslabel"/>
    <w:basedOn w:val="Normal"/>
    <w:rsid w:val="00435883"/>
    <w:pPr>
      <w:spacing w:before="100" w:beforeAutospacing="1" w:after="100" w:afterAutospacing="1"/>
    </w:pPr>
    <w:rPr>
      <w:bCs w:val="0"/>
      <w:sz w:val="24"/>
    </w:rPr>
  </w:style>
  <w:style w:type="paragraph" w:customStyle="1" w:styleId="copmtocsectionheadercontainer">
    <w:name w:val="co_pm_tocsectionheadercontainer"/>
    <w:basedOn w:val="Normal"/>
    <w:rsid w:val="00435883"/>
    <w:pPr>
      <w:spacing w:before="100" w:beforeAutospacing="1" w:after="100" w:afterAutospacing="1"/>
    </w:pPr>
    <w:rPr>
      <w:bCs w:val="0"/>
      <w:sz w:val="24"/>
    </w:rPr>
  </w:style>
  <w:style w:type="paragraph" w:customStyle="1" w:styleId="copmhelpdisclaimers">
    <w:name w:val="co_pm_helpdisclaimers"/>
    <w:basedOn w:val="Normal"/>
    <w:rsid w:val="00435883"/>
    <w:pPr>
      <w:spacing w:before="100" w:beforeAutospacing="1" w:after="100" w:afterAutospacing="1"/>
    </w:pPr>
    <w:rPr>
      <w:bCs w:val="0"/>
      <w:sz w:val="24"/>
    </w:rPr>
  </w:style>
  <w:style w:type="paragraph" w:customStyle="1" w:styleId="cobutton">
    <w:name w:val="co_button"/>
    <w:basedOn w:val="Normal"/>
    <w:rsid w:val="00435883"/>
    <w:pPr>
      <w:spacing w:before="100" w:beforeAutospacing="1" w:after="100" w:afterAutospacing="1"/>
    </w:pPr>
    <w:rPr>
      <w:bCs w:val="0"/>
      <w:sz w:val="24"/>
    </w:rPr>
  </w:style>
  <w:style w:type="paragraph" w:customStyle="1" w:styleId="fpcitations">
    <w:name w:val="fp_citations"/>
    <w:basedOn w:val="Normal"/>
    <w:rsid w:val="00435883"/>
    <w:pPr>
      <w:spacing w:before="100" w:beforeAutospacing="1" w:after="100" w:afterAutospacing="1"/>
    </w:pPr>
    <w:rPr>
      <w:bCs w:val="0"/>
      <w:sz w:val="24"/>
    </w:rPr>
  </w:style>
  <w:style w:type="paragraph" w:customStyle="1" w:styleId="fulltextlist">
    <w:name w:val="fulltextlist"/>
    <w:basedOn w:val="Normal"/>
    <w:rsid w:val="00435883"/>
    <w:pPr>
      <w:spacing w:before="100" w:beforeAutospacing="1" w:after="100" w:afterAutospacing="1"/>
    </w:pPr>
    <w:rPr>
      <w:bCs w:val="0"/>
      <w:sz w:val="24"/>
    </w:rPr>
  </w:style>
  <w:style w:type="paragraph" w:customStyle="1" w:styleId="cochartseriesmodalcommit">
    <w:name w:val="co_chartseriesmodalcommit"/>
    <w:basedOn w:val="Normal"/>
    <w:rsid w:val="00435883"/>
    <w:pPr>
      <w:spacing w:before="100" w:beforeAutospacing="1" w:after="100" w:afterAutospacing="1"/>
    </w:pPr>
    <w:rPr>
      <w:bCs w:val="0"/>
      <w:sz w:val="24"/>
    </w:rPr>
  </w:style>
  <w:style w:type="paragraph" w:customStyle="1" w:styleId="coanswerresult">
    <w:name w:val="co_answerresult"/>
    <w:basedOn w:val="Normal"/>
    <w:rsid w:val="00435883"/>
    <w:pPr>
      <w:spacing w:before="100" w:beforeAutospacing="1" w:after="100" w:afterAutospacing="1"/>
    </w:pPr>
    <w:rPr>
      <w:bCs w:val="0"/>
      <w:sz w:val="24"/>
    </w:rPr>
  </w:style>
  <w:style w:type="paragraph" w:customStyle="1" w:styleId="coanswerresultmeta">
    <w:name w:val="co_answerresult_meta"/>
    <w:basedOn w:val="Normal"/>
    <w:rsid w:val="00435883"/>
    <w:pPr>
      <w:spacing w:before="100" w:beforeAutospacing="1" w:after="100" w:afterAutospacing="1"/>
    </w:pPr>
    <w:rPr>
      <w:bCs w:val="0"/>
      <w:sz w:val="24"/>
    </w:rPr>
  </w:style>
  <w:style w:type="paragraph" w:customStyle="1" w:styleId="coanswersmetadata">
    <w:name w:val="co_answersmetadata"/>
    <w:basedOn w:val="Normal"/>
    <w:rsid w:val="00435883"/>
    <w:pPr>
      <w:spacing w:before="100" w:beforeAutospacing="1" w:after="100" w:afterAutospacing="1"/>
    </w:pPr>
    <w:rPr>
      <w:bCs w:val="0"/>
      <w:sz w:val="24"/>
    </w:rPr>
  </w:style>
  <w:style w:type="paragraph" w:customStyle="1" w:styleId="yesnofeedbackwidget">
    <w:name w:val="yesnofeedbackwidget"/>
    <w:basedOn w:val="Normal"/>
    <w:rsid w:val="00435883"/>
    <w:pPr>
      <w:spacing w:before="100" w:beforeAutospacing="1" w:after="100" w:afterAutospacing="1"/>
    </w:pPr>
    <w:rPr>
      <w:bCs w:val="0"/>
      <w:sz w:val="24"/>
    </w:rPr>
  </w:style>
  <w:style w:type="paragraph" w:customStyle="1" w:styleId="coqafeedback">
    <w:name w:val="co_qafeedback"/>
    <w:basedOn w:val="Normal"/>
    <w:rsid w:val="00435883"/>
    <w:pPr>
      <w:spacing w:before="100" w:beforeAutospacing="1" w:after="100" w:afterAutospacing="1"/>
    </w:pPr>
    <w:rPr>
      <w:bCs w:val="0"/>
      <w:sz w:val="24"/>
    </w:rPr>
  </w:style>
  <w:style w:type="paragraph" w:customStyle="1" w:styleId="cographcontainer">
    <w:name w:val="co_graphcontainer"/>
    <w:basedOn w:val="Normal"/>
    <w:rsid w:val="00435883"/>
    <w:pPr>
      <w:spacing w:before="100" w:beforeAutospacing="1" w:after="100" w:afterAutospacing="1"/>
    </w:pPr>
    <w:rPr>
      <w:bCs w:val="0"/>
      <w:sz w:val="24"/>
    </w:rPr>
  </w:style>
  <w:style w:type="paragraph" w:customStyle="1" w:styleId="highcharts-container">
    <w:name w:val="highcharts-container"/>
    <w:basedOn w:val="Normal"/>
    <w:rsid w:val="00435883"/>
    <w:pPr>
      <w:spacing w:before="100" w:beforeAutospacing="1" w:after="100" w:afterAutospacing="1"/>
    </w:pPr>
    <w:rPr>
      <w:bCs w:val="0"/>
      <w:sz w:val="24"/>
    </w:rPr>
  </w:style>
  <w:style w:type="paragraph" w:customStyle="1" w:styleId="highcharts-tooltipspan">
    <w:name w:val="highcharts-tooltip&gt;span"/>
    <w:basedOn w:val="Normal"/>
    <w:rsid w:val="00435883"/>
    <w:pPr>
      <w:spacing w:before="100" w:beforeAutospacing="1" w:after="100" w:afterAutospacing="1"/>
    </w:pPr>
    <w:rPr>
      <w:bCs w:val="0"/>
      <w:sz w:val="24"/>
    </w:rPr>
  </w:style>
  <w:style w:type="paragraph" w:customStyle="1" w:styleId="highcharts-xaxis-labels">
    <w:name w:val="highcharts-xaxis-labels"/>
    <w:basedOn w:val="Normal"/>
    <w:rsid w:val="00435883"/>
    <w:pPr>
      <w:spacing w:before="100" w:beforeAutospacing="1" w:after="100" w:afterAutospacing="1"/>
    </w:pPr>
    <w:rPr>
      <w:bCs w:val="0"/>
      <w:sz w:val="24"/>
    </w:rPr>
  </w:style>
  <w:style w:type="paragraph" w:customStyle="1" w:styleId="highcharts-axis-labelsspan">
    <w:name w:val="highcharts-axis-labels&gt;span"/>
    <w:basedOn w:val="Normal"/>
    <w:rsid w:val="00435883"/>
    <w:pPr>
      <w:spacing w:before="100" w:beforeAutospacing="1" w:after="100" w:afterAutospacing="1"/>
    </w:pPr>
    <w:rPr>
      <w:bCs w:val="0"/>
      <w:sz w:val="24"/>
    </w:rPr>
  </w:style>
  <w:style w:type="paragraph" w:customStyle="1" w:styleId="issuelabeltoggle">
    <w:name w:val="issuelabeltoggle"/>
    <w:basedOn w:val="Normal"/>
    <w:rsid w:val="00435883"/>
    <w:pPr>
      <w:spacing w:before="100" w:beforeAutospacing="1" w:after="100" w:afterAutospacing="1"/>
    </w:pPr>
    <w:rPr>
      <w:bCs w:val="0"/>
      <w:sz w:val="24"/>
    </w:rPr>
  </w:style>
  <w:style w:type="paragraph" w:customStyle="1" w:styleId="cotogglegraph">
    <w:name w:val="co_togglegraph"/>
    <w:basedOn w:val="Normal"/>
    <w:rsid w:val="00435883"/>
    <w:pPr>
      <w:spacing w:before="100" w:beforeAutospacing="1" w:after="100" w:afterAutospacing="1"/>
    </w:pPr>
    <w:rPr>
      <w:bCs w:val="0"/>
      <w:sz w:val="24"/>
    </w:rPr>
  </w:style>
  <w:style w:type="paragraph" w:customStyle="1" w:styleId="coresultlist">
    <w:name w:val="co_resultlist"/>
    <w:basedOn w:val="Normal"/>
    <w:rsid w:val="00435883"/>
    <w:pPr>
      <w:spacing w:before="100" w:beforeAutospacing="1" w:after="100" w:afterAutospacing="1"/>
    </w:pPr>
    <w:rPr>
      <w:bCs w:val="0"/>
      <w:sz w:val="24"/>
    </w:rPr>
  </w:style>
  <w:style w:type="paragraph" w:customStyle="1" w:styleId="colegalissuedescription">
    <w:name w:val="co_legalissuedescription"/>
    <w:basedOn w:val="Normal"/>
    <w:rsid w:val="00435883"/>
    <w:pPr>
      <w:spacing w:before="100" w:beforeAutospacing="1" w:after="100" w:afterAutospacing="1"/>
    </w:pPr>
    <w:rPr>
      <w:bCs w:val="0"/>
      <w:sz w:val="24"/>
    </w:rPr>
  </w:style>
  <w:style w:type="paragraph" w:customStyle="1" w:styleId="corecommendeddocs">
    <w:name w:val="co_recommendeddocs"/>
    <w:basedOn w:val="Normal"/>
    <w:rsid w:val="00435883"/>
    <w:pPr>
      <w:spacing w:before="100" w:beforeAutospacing="1" w:after="100" w:afterAutospacing="1"/>
    </w:pPr>
    <w:rPr>
      <w:bCs w:val="0"/>
      <w:sz w:val="24"/>
    </w:rPr>
  </w:style>
  <w:style w:type="paragraph" w:customStyle="1" w:styleId="cotrdiscover-sectionwrap">
    <w:name w:val="co_trdiscover-sectionwrap"/>
    <w:basedOn w:val="Normal"/>
    <w:rsid w:val="00435883"/>
    <w:pPr>
      <w:spacing w:before="100" w:beforeAutospacing="1" w:after="100" w:afterAutospacing="1"/>
    </w:pPr>
    <w:rPr>
      <w:bCs w:val="0"/>
      <w:sz w:val="24"/>
    </w:rPr>
  </w:style>
  <w:style w:type="paragraph" w:customStyle="1" w:styleId="icondownarrowsm">
    <w:name w:val="icon_down_arrow_sm"/>
    <w:basedOn w:val="Normal"/>
    <w:rsid w:val="00435883"/>
    <w:pPr>
      <w:spacing w:before="100" w:beforeAutospacing="1" w:after="100" w:afterAutospacing="1"/>
    </w:pPr>
    <w:rPr>
      <w:bCs w:val="0"/>
      <w:sz w:val="24"/>
    </w:rPr>
  </w:style>
  <w:style w:type="paragraph" w:customStyle="1" w:styleId="coselectionscollector">
    <w:name w:val="co_selectionscollector"/>
    <w:basedOn w:val="Normal"/>
    <w:rsid w:val="00435883"/>
    <w:pPr>
      <w:spacing w:before="100" w:beforeAutospacing="1" w:after="100" w:afterAutospacing="1"/>
    </w:pPr>
    <w:rPr>
      <w:bCs w:val="0"/>
      <w:sz w:val="24"/>
    </w:rPr>
  </w:style>
  <w:style w:type="paragraph" w:customStyle="1" w:styleId="codocumentreporttabledate">
    <w:name w:val="co_documentreporttable_date"/>
    <w:basedOn w:val="Normal"/>
    <w:rsid w:val="00435883"/>
    <w:pPr>
      <w:spacing w:before="100" w:beforeAutospacing="1" w:after="100" w:afterAutospacing="1"/>
    </w:pPr>
    <w:rPr>
      <w:bCs w:val="0"/>
      <w:sz w:val="24"/>
    </w:rPr>
  </w:style>
  <w:style w:type="paragraph" w:customStyle="1" w:styleId="cosmallcaps">
    <w:name w:val="co_smallcaps"/>
    <w:basedOn w:val="Normal"/>
    <w:rsid w:val="00435883"/>
    <w:pPr>
      <w:spacing w:before="100" w:beforeAutospacing="1" w:after="100" w:afterAutospacing="1"/>
    </w:pPr>
    <w:rPr>
      <w:bCs w:val="0"/>
      <w:sz w:val="24"/>
    </w:rPr>
  </w:style>
  <w:style w:type="paragraph" w:customStyle="1" w:styleId="cocrosshatch">
    <w:name w:val="co_crosshatch"/>
    <w:basedOn w:val="Normal"/>
    <w:rsid w:val="00435883"/>
    <w:pPr>
      <w:spacing w:before="100" w:beforeAutospacing="1" w:after="100" w:afterAutospacing="1"/>
    </w:pPr>
    <w:rPr>
      <w:bCs w:val="0"/>
      <w:sz w:val="24"/>
    </w:rPr>
  </w:style>
  <w:style w:type="paragraph" w:customStyle="1" w:styleId="halign2">
    <w:name w:val="halign2"/>
    <w:basedOn w:val="Normal"/>
    <w:rsid w:val="00435883"/>
    <w:pPr>
      <w:spacing w:before="100" w:beforeAutospacing="1" w:after="100" w:afterAutospacing="1"/>
    </w:pPr>
    <w:rPr>
      <w:bCs w:val="0"/>
      <w:sz w:val="24"/>
    </w:rPr>
  </w:style>
  <w:style w:type="paragraph" w:customStyle="1" w:styleId="coterm">
    <w:name w:val="co_term"/>
    <w:basedOn w:val="Normal"/>
    <w:rsid w:val="00435883"/>
    <w:pPr>
      <w:spacing w:before="100" w:beforeAutospacing="1" w:after="100" w:afterAutospacing="1"/>
    </w:pPr>
    <w:rPr>
      <w:bCs w:val="0"/>
      <w:sz w:val="24"/>
    </w:rPr>
  </w:style>
  <w:style w:type="paragraph" w:customStyle="1" w:styleId="codefinitionpara">
    <w:name w:val="co_definitionpara"/>
    <w:basedOn w:val="Normal"/>
    <w:rsid w:val="00435883"/>
    <w:pPr>
      <w:spacing w:before="100" w:beforeAutospacing="1" w:after="100" w:afterAutospacing="1"/>
    </w:pPr>
    <w:rPr>
      <w:bCs w:val="0"/>
      <w:sz w:val="24"/>
    </w:rPr>
  </w:style>
  <w:style w:type="paragraph" w:customStyle="1" w:styleId="xtil">
    <w:name w:val="x_til"/>
    <w:basedOn w:val="Normal"/>
    <w:rsid w:val="00435883"/>
    <w:pPr>
      <w:spacing w:before="100" w:beforeAutospacing="1" w:after="100" w:afterAutospacing="1"/>
    </w:pPr>
    <w:rPr>
      <w:bCs w:val="0"/>
      <w:sz w:val="24"/>
    </w:rPr>
  </w:style>
  <w:style w:type="paragraph" w:customStyle="1" w:styleId="coprelimblock">
    <w:name w:val="co_prelimblock"/>
    <w:basedOn w:val="Normal"/>
    <w:rsid w:val="00435883"/>
    <w:pPr>
      <w:spacing w:before="100" w:beforeAutospacing="1" w:after="100" w:afterAutospacing="1"/>
    </w:pPr>
    <w:rPr>
      <w:bCs w:val="0"/>
      <w:sz w:val="24"/>
    </w:rPr>
  </w:style>
  <w:style w:type="paragraph" w:customStyle="1" w:styleId="cocaveatblock">
    <w:name w:val="co_caveatblock"/>
    <w:basedOn w:val="Normal"/>
    <w:rsid w:val="00435883"/>
    <w:pPr>
      <w:spacing w:before="100" w:beforeAutospacing="1" w:after="100" w:afterAutospacing="1"/>
    </w:pPr>
    <w:rPr>
      <w:bCs w:val="0"/>
      <w:sz w:val="24"/>
    </w:rPr>
  </w:style>
  <w:style w:type="paragraph" w:customStyle="1" w:styleId="coautomatedlink">
    <w:name w:val="co_automatedlink"/>
    <w:basedOn w:val="Normal"/>
    <w:rsid w:val="00435883"/>
    <w:pPr>
      <w:spacing w:before="100" w:beforeAutospacing="1" w:after="100" w:afterAutospacing="1"/>
    </w:pPr>
    <w:rPr>
      <w:bCs w:val="0"/>
      <w:sz w:val="24"/>
    </w:rPr>
  </w:style>
  <w:style w:type="paragraph" w:customStyle="1" w:styleId="cobloblink">
    <w:name w:val="co_bloblink"/>
    <w:basedOn w:val="Normal"/>
    <w:rsid w:val="00435883"/>
    <w:pPr>
      <w:spacing w:before="100" w:beforeAutospacing="1" w:after="100" w:afterAutospacing="1"/>
    </w:pPr>
    <w:rPr>
      <w:bCs w:val="0"/>
      <w:sz w:val="24"/>
    </w:rPr>
  </w:style>
  <w:style w:type="paragraph" w:customStyle="1" w:styleId="coseecitingrefs">
    <w:name w:val="co_seecitingrefs"/>
    <w:basedOn w:val="Normal"/>
    <w:rsid w:val="00435883"/>
    <w:pPr>
      <w:spacing w:before="100" w:beforeAutospacing="1" w:after="100" w:afterAutospacing="1"/>
    </w:pPr>
    <w:rPr>
      <w:bCs w:val="0"/>
      <w:sz w:val="24"/>
    </w:rPr>
  </w:style>
  <w:style w:type="paragraph" w:customStyle="1" w:styleId="codocketdate">
    <w:name w:val="co_docketdate"/>
    <w:basedOn w:val="Normal"/>
    <w:rsid w:val="00435883"/>
    <w:pPr>
      <w:spacing w:before="100" w:beforeAutospacing="1" w:after="100" w:afterAutospacing="1"/>
    </w:pPr>
    <w:rPr>
      <w:bCs w:val="0"/>
      <w:sz w:val="24"/>
    </w:rPr>
  </w:style>
  <w:style w:type="paragraph" w:customStyle="1" w:styleId="codate">
    <w:name w:val="co_date"/>
    <w:basedOn w:val="Normal"/>
    <w:rsid w:val="00435883"/>
    <w:pPr>
      <w:spacing w:before="100" w:beforeAutospacing="1" w:after="100" w:afterAutospacing="1"/>
    </w:pPr>
    <w:rPr>
      <w:bCs w:val="0"/>
      <w:sz w:val="24"/>
    </w:rPr>
  </w:style>
  <w:style w:type="paragraph" w:customStyle="1" w:styleId="codatespan">
    <w:name w:val="co_date&gt;span"/>
    <w:basedOn w:val="Normal"/>
    <w:rsid w:val="00435883"/>
    <w:pPr>
      <w:spacing w:before="100" w:beforeAutospacing="1" w:after="100" w:afterAutospacing="1"/>
    </w:pPr>
    <w:rPr>
      <w:bCs w:val="0"/>
      <w:sz w:val="24"/>
    </w:rPr>
  </w:style>
  <w:style w:type="paragraph" w:customStyle="1" w:styleId="cojudge">
    <w:name w:val="co_judge"/>
    <w:basedOn w:val="Normal"/>
    <w:rsid w:val="00435883"/>
    <w:pPr>
      <w:spacing w:before="100" w:beforeAutospacing="1" w:after="100" w:afterAutospacing="1"/>
    </w:pPr>
    <w:rPr>
      <w:bCs w:val="0"/>
      <w:sz w:val="24"/>
    </w:rPr>
  </w:style>
  <w:style w:type="paragraph" w:customStyle="1" w:styleId="xhead1">
    <w:name w:val="x_head1"/>
    <w:basedOn w:val="Normal"/>
    <w:rsid w:val="00435883"/>
    <w:pPr>
      <w:spacing w:before="100" w:beforeAutospacing="1" w:after="100" w:afterAutospacing="1"/>
    </w:pPr>
    <w:rPr>
      <w:bCs w:val="0"/>
      <w:sz w:val="24"/>
    </w:rPr>
  </w:style>
  <w:style w:type="paragraph" w:customStyle="1" w:styleId="conondisplayableimage">
    <w:name w:val="co_nondisplayableimage"/>
    <w:basedOn w:val="Normal"/>
    <w:rsid w:val="00435883"/>
    <w:pPr>
      <w:spacing w:before="100" w:beforeAutospacing="1" w:after="100" w:afterAutospacing="1"/>
    </w:pPr>
    <w:rPr>
      <w:bCs w:val="0"/>
      <w:sz w:val="24"/>
    </w:rPr>
  </w:style>
  <w:style w:type="paragraph" w:customStyle="1" w:styleId="cocopyright">
    <w:name w:val="co_copyright"/>
    <w:basedOn w:val="Normal"/>
    <w:rsid w:val="00435883"/>
    <w:pPr>
      <w:spacing w:before="100" w:beforeAutospacing="1" w:after="100" w:afterAutospacing="1"/>
    </w:pPr>
    <w:rPr>
      <w:bCs w:val="0"/>
      <w:sz w:val="24"/>
    </w:rPr>
  </w:style>
  <w:style w:type="paragraph" w:customStyle="1" w:styleId="comessage">
    <w:name w:val="co_message"/>
    <w:basedOn w:val="Normal"/>
    <w:rsid w:val="00435883"/>
    <w:pPr>
      <w:spacing w:before="100" w:beforeAutospacing="1" w:after="100" w:afterAutospacing="1"/>
    </w:pPr>
    <w:rPr>
      <w:bCs w:val="0"/>
      <w:sz w:val="24"/>
    </w:rPr>
  </w:style>
  <w:style w:type="paragraph" w:customStyle="1" w:styleId="coprelim">
    <w:name w:val="co_prelim"/>
    <w:basedOn w:val="Normal"/>
    <w:rsid w:val="00435883"/>
    <w:pPr>
      <w:spacing w:before="100" w:beforeAutospacing="1" w:after="100" w:afterAutospacing="1"/>
    </w:pPr>
    <w:rPr>
      <w:bCs w:val="0"/>
      <w:sz w:val="24"/>
    </w:rPr>
  </w:style>
  <w:style w:type="paragraph" w:customStyle="1" w:styleId="cowestlawdescrip">
    <w:name w:val="co_westlawdescrip"/>
    <w:basedOn w:val="Normal"/>
    <w:rsid w:val="00435883"/>
    <w:pPr>
      <w:spacing w:before="100" w:beforeAutospacing="1" w:after="100" w:afterAutospacing="1"/>
    </w:pPr>
    <w:rPr>
      <w:bCs w:val="0"/>
      <w:sz w:val="24"/>
    </w:rPr>
  </w:style>
  <w:style w:type="paragraph" w:customStyle="1" w:styleId="xindex">
    <w:name w:val="x_index"/>
    <w:basedOn w:val="Normal"/>
    <w:rsid w:val="00435883"/>
    <w:pPr>
      <w:spacing w:before="100" w:beforeAutospacing="1" w:after="100" w:afterAutospacing="1"/>
    </w:pPr>
    <w:rPr>
      <w:bCs w:val="0"/>
      <w:sz w:val="24"/>
    </w:rPr>
  </w:style>
  <w:style w:type="paragraph" w:customStyle="1" w:styleId="cocitation">
    <w:name w:val="co_citation"/>
    <w:basedOn w:val="Normal"/>
    <w:rsid w:val="00435883"/>
    <w:pPr>
      <w:spacing w:before="100" w:beforeAutospacing="1" w:after="100" w:afterAutospacing="1"/>
    </w:pPr>
    <w:rPr>
      <w:bCs w:val="0"/>
      <w:sz w:val="24"/>
    </w:rPr>
  </w:style>
  <w:style w:type="paragraph" w:customStyle="1" w:styleId="coversionupdate">
    <w:name w:val="co_versionupdate"/>
    <w:basedOn w:val="Normal"/>
    <w:rsid w:val="00435883"/>
    <w:pPr>
      <w:spacing w:before="100" w:beforeAutospacing="1" w:after="100" w:afterAutospacing="1"/>
    </w:pPr>
    <w:rPr>
      <w:bCs w:val="0"/>
      <w:sz w:val="24"/>
    </w:rPr>
  </w:style>
  <w:style w:type="paragraph" w:customStyle="1" w:styleId="copartyline">
    <w:name w:val="co_partyline"/>
    <w:basedOn w:val="Normal"/>
    <w:rsid w:val="00435883"/>
    <w:pPr>
      <w:spacing w:before="100" w:beforeAutospacing="1" w:after="100" w:afterAutospacing="1"/>
    </w:pPr>
    <w:rPr>
      <w:bCs w:val="0"/>
      <w:sz w:val="24"/>
    </w:rPr>
  </w:style>
  <w:style w:type="paragraph" w:customStyle="1" w:styleId="coleaderfullwidth">
    <w:name w:val="co_leaderfullwidth"/>
    <w:basedOn w:val="Normal"/>
    <w:rsid w:val="00435883"/>
    <w:pPr>
      <w:spacing w:before="100" w:beforeAutospacing="1" w:after="100" w:afterAutospacing="1"/>
    </w:pPr>
    <w:rPr>
      <w:bCs w:val="0"/>
      <w:sz w:val="24"/>
    </w:rPr>
  </w:style>
  <w:style w:type="paragraph" w:customStyle="1" w:styleId="copublicationstable">
    <w:name w:val="co_publicationstable"/>
    <w:basedOn w:val="Normal"/>
    <w:rsid w:val="00435883"/>
    <w:pPr>
      <w:spacing w:before="100" w:beforeAutospacing="1" w:after="100" w:afterAutospacing="1"/>
    </w:pPr>
    <w:rPr>
      <w:bCs w:val="0"/>
      <w:sz w:val="24"/>
    </w:rPr>
  </w:style>
  <w:style w:type="paragraph" w:customStyle="1" w:styleId="cotestimonialhistorytable">
    <w:name w:val="co_testimonialhistorytable"/>
    <w:basedOn w:val="Normal"/>
    <w:rsid w:val="00435883"/>
    <w:pPr>
      <w:spacing w:before="100" w:beforeAutospacing="1" w:after="100" w:afterAutospacing="1"/>
    </w:pPr>
    <w:rPr>
      <w:bCs w:val="0"/>
      <w:sz w:val="24"/>
    </w:rPr>
  </w:style>
  <w:style w:type="paragraph" w:customStyle="1" w:styleId="coleaderdashes">
    <w:name w:val="co_leaderdashes"/>
    <w:basedOn w:val="Normal"/>
    <w:rsid w:val="00435883"/>
    <w:pPr>
      <w:spacing w:before="100" w:beforeAutospacing="1" w:after="100" w:afterAutospacing="1"/>
    </w:pPr>
    <w:rPr>
      <w:bCs w:val="0"/>
      <w:sz w:val="24"/>
    </w:rPr>
  </w:style>
  <w:style w:type="paragraph" w:customStyle="1" w:styleId="coleaderdots">
    <w:name w:val="co_leaderdots"/>
    <w:basedOn w:val="Normal"/>
    <w:rsid w:val="00435883"/>
    <w:pPr>
      <w:spacing w:before="100" w:beforeAutospacing="1" w:after="100" w:afterAutospacing="1"/>
    </w:pPr>
    <w:rPr>
      <w:bCs w:val="0"/>
      <w:sz w:val="24"/>
    </w:rPr>
  </w:style>
  <w:style w:type="paragraph" w:customStyle="1" w:styleId="coleaderunderline">
    <w:name w:val="co_leaderunderline"/>
    <w:basedOn w:val="Normal"/>
    <w:rsid w:val="00435883"/>
    <w:pPr>
      <w:spacing w:before="100" w:beforeAutospacing="1" w:after="100" w:afterAutospacing="1"/>
    </w:pPr>
    <w:rPr>
      <w:bCs w:val="0"/>
      <w:sz w:val="24"/>
    </w:rPr>
  </w:style>
  <w:style w:type="paragraph" w:customStyle="1" w:styleId="coleaderhidden">
    <w:name w:val="co_leaderhidden"/>
    <w:basedOn w:val="Normal"/>
    <w:rsid w:val="00435883"/>
    <w:pPr>
      <w:spacing w:before="100" w:beforeAutospacing="1" w:after="100" w:afterAutospacing="1"/>
    </w:pPr>
    <w:rPr>
      <w:bCs w:val="0"/>
      <w:sz w:val="24"/>
    </w:rPr>
  </w:style>
  <w:style w:type="paragraph" w:customStyle="1" w:styleId="coendofdocument">
    <w:name w:val="co_endofdocument"/>
    <w:basedOn w:val="Normal"/>
    <w:rsid w:val="00435883"/>
    <w:pPr>
      <w:spacing w:before="100" w:beforeAutospacing="1" w:after="100" w:afterAutospacing="1"/>
    </w:pPr>
    <w:rPr>
      <w:bCs w:val="0"/>
      <w:sz w:val="24"/>
    </w:rPr>
  </w:style>
  <w:style w:type="paragraph" w:customStyle="1" w:styleId="costarpage">
    <w:name w:val="co_starpage"/>
    <w:basedOn w:val="Normal"/>
    <w:rsid w:val="00435883"/>
    <w:pPr>
      <w:spacing w:before="100" w:beforeAutospacing="1" w:after="100" w:afterAutospacing="1"/>
    </w:pPr>
    <w:rPr>
      <w:bCs w:val="0"/>
      <w:sz w:val="24"/>
    </w:rPr>
  </w:style>
  <w:style w:type="paragraph" w:customStyle="1" w:styleId="coactionblock">
    <w:name w:val="co_actionblock"/>
    <w:basedOn w:val="Normal"/>
    <w:rsid w:val="00435883"/>
    <w:pPr>
      <w:spacing w:before="100" w:beforeAutospacing="1" w:after="100" w:afterAutospacing="1"/>
    </w:pPr>
    <w:rPr>
      <w:bCs w:val="0"/>
      <w:sz w:val="24"/>
    </w:rPr>
  </w:style>
  <w:style w:type="paragraph" w:customStyle="1" w:styleId="copanelblock">
    <w:name w:val="co_panelblock"/>
    <w:basedOn w:val="Normal"/>
    <w:rsid w:val="00435883"/>
    <w:pPr>
      <w:spacing w:before="100" w:beforeAutospacing="1" w:after="100" w:afterAutospacing="1"/>
    </w:pPr>
    <w:rPr>
      <w:bCs w:val="0"/>
      <w:sz w:val="24"/>
    </w:rPr>
  </w:style>
  <w:style w:type="paragraph" w:customStyle="1" w:styleId="coresearchreferences">
    <w:name w:val="co_researchreferences"/>
    <w:basedOn w:val="Normal"/>
    <w:rsid w:val="00435883"/>
    <w:pPr>
      <w:spacing w:before="100" w:beforeAutospacing="1" w:after="100" w:afterAutospacing="1"/>
    </w:pPr>
    <w:rPr>
      <w:bCs w:val="0"/>
      <w:sz w:val="24"/>
    </w:rPr>
  </w:style>
  <w:style w:type="paragraph" w:customStyle="1" w:styleId="coheadnote">
    <w:name w:val="co_headnote"/>
    <w:basedOn w:val="Normal"/>
    <w:rsid w:val="00435883"/>
    <w:pPr>
      <w:spacing w:before="100" w:beforeAutospacing="1" w:after="100" w:afterAutospacing="1"/>
    </w:pPr>
    <w:rPr>
      <w:bCs w:val="0"/>
      <w:sz w:val="24"/>
    </w:rPr>
  </w:style>
  <w:style w:type="paragraph" w:customStyle="1" w:styleId="coattorneyblockdiv">
    <w:name w:val="co_attorneyblock&gt;div"/>
    <w:basedOn w:val="Normal"/>
    <w:rsid w:val="00435883"/>
    <w:pPr>
      <w:spacing w:before="100" w:beforeAutospacing="1" w:after="100" w:afterAutospacing="1"/>
    </w:pPr>
    <w:rPr>
      <w:bCs w:val="0"/>
      <w:sz w:val="24"/>
    </w:rPr>
  </w:style>
  <w:style w:type="paragraph" w:customStyle="1" w:styleId="cocontentblock">
    <w:name w:val="co_contentblock"/>
    <w:basedOn w:val="Normal"/>
    <w:rsid w:val="00435883"/>
    <w:pPr>
      <w:spacing w:before="100" w:beforeAutospacing="1" w:after="100" w:afterAutospacing="1"/>
    </w:pPr>
    <w:rPr>
      <w:bCs w:val="0"/>
      <w:sz w:val="24"/>
    </w:rPr>
  </w:style>
  <w:style w:type="paragraph" w:customStyle="1" w:styleId="xbillinfo">
    <w:name w:val="x_billinfo"/>
    <w:basedOn w:val="Normal"/>
    <w:rsid w:val="00435883"/>
    <w:pPr>
      <w:spacing w:before="100" w:beforeAutospacing="1" w:after="100" w:afterAutospacing="1"/>
    </w:pPr>
    <w:rPr>
      <w:bCs w:val="0"/>
      <w:sz w:val="24"/>
    </w:rPr>
  </w:style>
  <w:style w:type="paragraph" w:customStyle="1" w:styleId="xtopicalhead">
    <w:name w:val="x_topicalhead"/>
    <w:basedOn w:val="Normal"/>
    <w:rsid w:val="00435883"/>
    <w:pPr>
      <w:spacing w:before="100" w:beforeAutospacing="1" w:after="100" w:afterAutospacing="1"/>
    </w:pPr>
    <w:rPr>
      <w:bCs w:val="0"/>
      <w:sz w:val="24"/>
    </w:rPr>
  </w:style>
  <w:style w:type="paragraph" w:customStyle="1" w:styleId="coimageblock">
    <w:name w:val="co_imageblock"/>
    <w:basedOn w:val="Normal"/>
    <w:rsid w:val="00435883"/>
    <w:pPr>
      <w:spacing w:before="100" w:beforeAutospacing="1" w:after="100" w:afterAutospacing="1"/>
    </w:pPr>
    <w:rPr>
      <w:bCs w:val="0"/>
      <w:sz w:val="24"/>
    </w:rPr>
  </w:style>
  <w:style w:type="paragraph" w:customStyle="1" w:styleId="coimagecaption">
    <w:name w:val="co_imagecaption"/>
    <w:basedOn w:val="Normal"/>
    <w:rsid w:val="00435883"/>
    <w:pPr>
      <w:spacing w:before="100" w:beforeAutospacing="1" w:after="100" w:afterAutospacing="1"/>
    </w:pPr>
    <w:rPr>
      <w:bCs w:val="0"/>
      <w:sz w:val="24"/>
    </w:rPr>
  </w:style>
  <w:style w:type="paragraph" w:customStyle="1" w:styleId="coprelimsummary">
    <w:name w:val="co_prelimsummary"/>
    <w:basedOn w:val="Normal"/>
    <w:rsid w:val="00435883"/>
    <w:pPr>
      <w:spacing w:before="100" w:beforeAutospacing="1" w:after="100" w:afterAutospacing="1"/>
    </w:pPr>
    <w:rPr>
      <w:bCs w:val="0"/>
      <w:sz w:val="24"/>
    </w:rPr>
  </w:style>
  <w:style w:type="paragraph" w:customStyle="1" w:styleId="cohearinghead">
    <w:name w:val="co_hearinghead"/>
    <w:basedOn w:val="Normal"/>
    <w:rsid w:val="00435883"/>
    <w:pPr>
      <w:spacing w:before="100" w:beforeAutospacing="1" w:after="100" w:afterAutospacing="1"/>
    </w:pPr>
    <w:rPr>
      <w:bCs w:val="0"/>
      <w:sz w:val="24"/>
    </w:rPr>
  </w:style>
  <w:style w:type="paragraph" w:customStyle="1" w:styleId="copurkeyline">
    <w:name w:val="co_purkeyline"/>
    <w:basedOn w:val="Normal"/>
    <w:rsid w:val="00435883"/>
    <w:pPr>
      <w:spacing w:before="100" w:beforeAutospacing="1" w:after="100" w:afterAutospacing="1"/>
    </w:pPr>
    <w:rPr>
      <w:bCs w:val="0"/>
      <w:sz w:val="24"/>
    </w:rPr>
  </w:style>
  <w:style w:type="paragraph" w:customStyle="1" w:styleId="cogsiprelimhead">
    <w:name w:val="co_gsiprelimhead"/>
    <w:basedOn w:val="Normal"/>
    <w:rsid w:val="00435883"/>
    <w:pPr>
      <w:spacing w:before="100" w:beforeAutospacing="1" w:after="100" w:afterAutospacing="1"/>
    </w:pPr>
    <w:rPr>
      <w:bCs w:val="0"/>
      <w:sz w:val="24"/>
    </w:rPr>
  </w:style>
  <w:style w:type="paragraph" w:customStyle="1" w:styleId="cogsitexthead">
    <w:name w:val="co_gsitexthead"/>
    <w:basedOn w:val="Normal"/>
    <w:rsid w:val="00435883"/>
    <w:pPr>
      <w:spacing w:before="100" w:beforeAutospacing="1" w:after="100" w:afterAutospacing="1"/>
    </w:pPr>
    <w:rPr>
      <w:bCs w:val="0"/>
      <w:sz w:val="24"/>
    </w:rPr>
  </w:style>
  <w:style w:type="paragraph" w:customStyle="1" w:styleId="cogsilinespace">
    <w:name w:val="co_gsilinespace"/>
    <w:basedOn w:val="Normal"/>
    <w:rsid w:val="00435883"/>
    <w:pPr>
      <w:spacing w:before="100" w:beforeAutospacing="1" w:after="100" w:afterAutospacing="1"/>
    </w:pPr>
    <w:rPr>
      <w:bCs w:val="0"/>
      <w:sz w:val="24"/>
    </w:rPr>
  </w:style>
  <w:style w:type="paragraph" w:customStyle="1" w:styleId="coheader">
    <w:name w:val="co_header"/>
    <w:basedOn w:val="Normal"/>
    <w:rsid w:val="00435883"/>
    <w:pPr>
      <w:spacing w:before="100" w:beforeAutospacing="1" w:after="100" w:afterAutospacing="1"/>
    </w:pPr>
    <w:rPr>
      <w:bCs w:val="0"/>
      <w:sz w:val="24"/>
    </w:rPr>
  </w:style>
  <w:style w:type="paragraph" w:customStyle="1" w:styleId="coheadnotepriorclassification">
    <w:name w:val="co_headnotepriorclassification"/>
    <w:basedOn w:val="Normal"/>
    <w:rsid w:val="00435883"/>
    <w:pPr>
      <w:spacing w:before="100" w:beforeAutospacing="1" w:after="100" w:afterAutospacing="1"/>
    </w:pPr>
    <w:rPr>
      <w:bCs w:val="0"/>
      <w:sz w:val="24"/>
    </w:rPr>
  </w:style>
  <w:style w:type="paragraph" w:customStyle="1" w:styleId="codigestkey">
    <w:name w:val="co_digestkey"/>
    <w:basedOn w:val="Normal"/>
    <w:rsid w:val="00435883"/>
    <w:pPr>
      <w:spacing w:before="100" w:beforeAutospacing="1" w:after="100" w:afterAutospacing="1"/>
    </w:pPr>
    <w:rPr>
      <w:bCs w:val="0"/>
      <w:sz w:val="24"/>
    </w:rPr>
  </w:style>
  <w:style w:type="paragraph" w:customStyle="1" w:styleId="coreferencekey">
    <w:name w:val="co_referencekey"/>
    <w:basedOn w:val="Normal"/>
    <w:rsid w:val="00435883"/>
    <w:pPr>
      <w:spacing w:before="100" w:beforeAutospacing="1" w:after="100" w:afterAutospacing="1"/>
    </w:pPr>
    <w:rPr>
      <w:bCs w:val="0"/>
      <w:sz w:val="24"/>
    </w:rPr>
  </w:style>
  <w:style w:type="paragraph" w:customStyle="1" w:styleId="colayoutcol2">
    <w:name w:val="co_layout_col2"/>
    <w:basedOn w:val="Normal"/>
    <w:rsid w:val="00435883"/>
    <w:pPr>
      <w:spacing w:before="100" w:beforeAutospacing="1" w:after="100" w:afterAutospacing="1"/>
    </w:pPr>
    <w:rPr>
      <w:bCs w:val="0"/>
      <w:sz w:val="24"/>
    </w:rPr>
  </w:style>
  <w:style w:type="paragraph" w:customStyle="1" w:styleId="colayoutcol1">
    <w:name w:val="co_layout_col1"/>
    <w:basedOn w:val="Normal"/>
    <w:rsid w:val="00435883"/>
    <w:pPr>
      <w:spacing w:before="100" w:beforeAutospacing="1" w:after="100" w:afterAutospacing="1"/>
    </w:pPr>
    <w:rPr>
      <w:bCs w:val="0"/>
      <w:sz w:val="24"/>
    </w:rPr>
  </w:style>
  <w:style w:type="paragraph" w:customStyle="1" w:styleId="colayoutcol3">
    <w:name w:val="co_layout_col3"/>
    <w:basedOn w:val="Normal"/>
    <w:rsid w:val="00435883"/>
    <w:pPr>
      <w:spacing w:before="100" w:beforeAutospacing="1" w:after="100" w:afterAutospacing="1"/>
    </w:pPr>
    <w:rPr>
      <w:bCs w:val="0"/>
      <w:sz w:val="24"/>
    </w:rPr>
  </w:style>
  <w:style w:type="paragraph" w:customStyle="1" w:styleId="colayoutcol4">
    <w:name w:val="co_layout_col4"/>
    <w:basedOn w:val="Normal"/>
    <w:rsid w:val="00435883"/>
    <w:pPr>
      <w:spacing w:before="100" w:beforeAutospacing="1" w:after="100" w:afterAutospacing="1"/>
    </w:pPr>
    <w:rPr>
      <w:bCs w:val="0"/>
      <w:sz w:val="24"/>
    </w:rPr>
  </w:style>
  <w:style w:type="paragraph" w:customStyle="1" w:styleId="codocumentreadingmodepreferences">
    <w:name w:val="co_documentreadingmodepreferences"/>
    <w:basedOn w:val="Normal"/>
    <w:rsid w:val="00435883"/>
    <w:pPr>
      <w:spacing w:before="100" w:beforeAutospacing="1" w:after="100" w:afterAutospacing="1"/>
    </w:pPr>
    <w:rPr>
      <w:bCs w:val="0"/>
      <w:sz w:val="24"/>
    </w:rPr>
  </w:style>
  <w:style w:type="paragraph" w:customStyle="1" w:styleId="co4column">
    <w:name w:val="co_4column"/>
    <w:basedOn w:val="Normal"/>
    <w:rsid w:val="00435883"/>
    <w:pPr>
      <w:spacing w:before="100" w:beforeAutospacing="1" w:after="100" w:afterAutospacing="1"/>
    </w:pPr>
    <w:rPr>
      <w:bCs w:val="0"/>
      <w:sz w:val="24"/>
    </w:rPr>
  </w:style>
  <w:style w:type="paragraph" w:customStyle="1" w:styleId="conotearea">
    <w:name w:val="co_notearea"/>
    <w:basedOn w:val="Normal"/>
    <w:rsid w:val="00435883"/>
    <w:pPr>
      <w:spacing w:before="100" w:beforeAutospacing="1" w:after="100" w:afterAutospacing="1"/>
    </w:pPr>
    <w:rPr>
      <w:bCs w:val="0"/>
      <w:sz w:val="24"/>
    </w:rPr>
  </w:style>
  <w:style w:type="paragraph" w:customStyle="1" w:styleId="crswcurrency">
    <w:name w:val="crsw_currency"/>
    <w:basedOn w:val="Normal"/>
    <w:rsid w:val="00435883"/>
    <w:pPr>
      <w:spacing w:before="100" w:beforeAutospacing="1" w:after="100" w:afterAutospacing="1"/>
    </w:pPr>
    <w:rPr>
      <w:bCs w:val="0"/>
      <w:sz w:val="24"/>
    </w:rPr>
  </w:style>
  <w:style w:type="paragraph" w:customStyle="1" w:styleId="crswtwocolumntocblock">
    <w:name w:val="crsw_twocolumntocblock"/>
    <w:basedOn w:val="Normal"/>
    <w:rsid w:val="00435883"/>
    <w:pPr>
      <w:spacing w:before="100" w:beforeAutospacing="1" w:after="100" w:afterAutospacing="1"/>
    </w:pPr>
    <w:rPr>
      <w:bCs w:val="0"/>
      <w:sz w:val="24"/>
    </w:rPr>
  </w:style>
  <w:style w:type="paragraph" w:customStyle="1" w:styleId="crswproposedblock">
    <w:name w:val="crsw_proposedblock"/>
    <w:basedOn w:val="Normal"/>
    <w:rsid w:val="00435883"/>
    <w:pPr>
      <w:spacing w:before="100" w:beforeAutospacing="1" w:after="100" w:afterAutospacing="1"/>
    </w:pPr>
    <w:rPr>
      <w:bCs w:val="0"/>
      <w:sz w:val="24"/>
    </w:rPr>
  </w:style>
  <w:style w:type="paragraph" w:customStyle="1" w:styleId="coparagraphtext">
    <w:name w:val="co_paragraphtext"/>
    <w:basedOn w:val="Normal"/>
    <w:rsid w:val="00435883"/>
    <w:pPr>
      <w:spacing w:before="100" w:beforeAutospacing="1" w:after="100" w:afterAutospacing="1"/>
    </w:pPr>
    <w:rPr>
      <w:bCs w:val="0"/>
      <w:sz w:val="24"/>
    </w:rPr>
  </w:style>
  <w:style w:type="paragraph" w:customStyle="1" w:styleId="crswactionblock">
    <w:name w:val="crsw_actionblock"/>
    <w:basedOn w:val="Normal"/>
    <w:rsid w:val="00435883"/>
    <w:pPr>
      <w:spacing w:before="100" w:beforeAutospacing="1" w:after="100" w:afterAutospacing="1"/>
    </w:pPr>
    <w:rPr>
      <w:bCs w:val="0"/>
      <w:sz w:val="24"/>
    </w:rPr>
  </w:style>
  <w:style w:type="paragraph" w:customStyle="1" w:styleId="crswreferenceblock">
    <w:name w:val="crsw_referenceblock"/>
    <w:basedOn w:val="Normal"/>
    <w:rsid w:val="00435883"/>
    <w:pPr>
      <w:spacing w:before="100" w:beforeAutospacing="1" w:after="100" w:afterAutospacing="1"/>
    </w:pPr>
    <w:rPr>
      <w:bCs w:val="0"/>
      <w:sz w:val="24"/>
    </w:rPr>
  </w:style>
  <w:style w:type="paragraph" w:customStyle="1" w:styleId="xtableofcasesblock">
    <w:name w:val="x_tableofcasesblock"/>
    <w:basedOn w:val="Normal"/>
    <w:rsid w:val="00435883"/>
    <w:pPr>
      <w:spacing w:before="100" w:beforeAutospacing="1" w:after="100" w:afterAutospacing="1"/>
    </w:pPr>
    <w:rPr>
      <w:bCs w:val="0"/>
      <w:sz w:val="24"/>
    </w:rPr>
  </w:style>
  <w:style w:type="paragraph" w:customStyle="1" w:styleId="xtableofcasesbody">
    <w:name w:val="x_tableofcasesbody"/>
    <w:basedOn w:val="Normal"/>
    <w:rsid w:val="00435883"/>
    <w:pPr>
      <w:spacing w:before="100" w:beforeAutospacing="1" w:after="100" w:afterAutospacing="1"/>
    </w:pPr>
    <w:rPr>
      <w:bCs w:val="0"/>
      <w:sz w:val="24"/>
    </w:rPr>
  </w:style>
  <w:style w:type="paragraph" w:customStyle="1" w:styleId="crswtable">
    <w:name w:val="crsw_table"/>
    <w:basedOn w:val="Normal"/>
    <w:rsid w:val="00435883"/>
    <w:pPr>
      <w:spacing w:before="100" w:beforeAutospacing="1" w:after="100" w:afterAutospacing="1"/>
    </w:pPr>
    <w:rPr>
      <w:bCs w:val="0"/>
      <w:sz w:val="24"/>
    </w:rPr>
  </w:style>
  <w:style w:type="paragraph" w:customStyle="1" w:styleId="crswshorttitle">
    <w:name w:val="crsw_shorttitle"/>
    <w:basedOn w:val="Normal"/>
    <w:rsid w:val="00435883"/>
    <w:pPr>
      <w:spacing w:before="100" w:beforeAutospacing="1" w:after="100" w:afterAutospacing="1"/>
    </w:pPr>
    <w:rPr>
      <w:bCs w:val="0"/>
      <w:sz w:val="24"/>
    </w:rPr>
  </w:style>
  <w:style w:type="paragraph" w:customStyle="1" w:styleId="coheadnoterow">
    <w:name w:val="co_headnoterow"/>
    <w:basedOn w:val="Normal"/>
    <w:rsid w:val="00435883"/>
    <w:pPr>
      <w:spacing w:before="100" w:beforeAutospacing="1" w:after="100" w:afterAutospacing="1"/>
    </w:pPr>
    <w:rPr>
      <w:bCs w:val="0"/>
      <w:sz w:val="24"/>
    </w:rPr>
  </w:style>
  <w:style w:type="paragraph" w:customStyle="1" w:styleId="coheadnotenumber">
    <w:name w:val="co_headnotenumber"/>
    <w:basedOn w:val="Normal"/>
    <w:rsid w:val="00435883"/>
    <w:pPr>
      <w:spacing w:before="100" w:beforeAutospacing="1" w:after="100" w:afterAutospacing="1"/>
    </w:pPr>
    <w:rPr>
      <w:bCs w:val="0"/>
      <w:sz w:val="24"/>
    </w:rPr>
  </w:style>
  <w:style w:type="paragraph" w:customStyle="1" w:styleId="coheadnotecitedcaseref">
    <w:name w:val="co_headnotecitedcaseref"/>
    <w:basedOn w:val="Normal"/>
    <w:rsid w:val="00435883"/>
    <w:pPr>
      <w:spacing w:before="100" w:beforeAutospacing="1" w:after="100" w:afterAutospacing="1"/>
    </w:pPr>
    <w:rPr>
      <w:bCs w:val="0"/>
      <w:sz w:val="24"/>
    </w:rPr>
  </w:style>
  <w:style w:type="paragraph" w:customStyle="1" w:styleId="coheadnotecellinner">
    <w:name w:val="co_headnotecellinner"/>
    <w:basedOn w:val="Normal"/>
    <w:rsid w:val="00435883"/>
    <w:pPr>
      <w:spacing w:before="100" w:beforeAutospacing="1" w:after="100" w:afterAutospacing="1"/>
    </w:pPr>
    <w:rPr>
      <w:bCs w:val="0"/>
      <w:sz w:val="24"/>
    </w:rPr>
  </w:style>
  <w:style w:type="paragraph" w:customStyle="1" w:styleId="coheadnotetopicscell">
    <w:name w:val="co_headnotetopicscell"/>
    <w:basedOn w:val="Normal"/>
    <w:rsid w:val="00435883"/>
    <w:pPr>
      <w:spacing w:before="100" w:beforeAutospacing="1" w:after="100" w:afterAutospacing="1"/>
    </w:pPr>
    <w:rPr>
      <w:bCs w:val="0"/>
      <w:sz w:val="24"/>
    </w:rPr>
  </w:style>
  <w:style w:type="paragraph" w:customStyle="1" w:styleId="cofancykeycitecontainerbottom">
    <w:name w:val="co_fancykeycitecontainerbottom"/>
    <w:basedOn w:val="Normal"/>
    <w:rsid w:val="00435883"/>
    <w:pPr>
      <w:spacing w:before="100" w:beforeAutospacing="1" w:after="100" w:afterAutospacing="1"/>
    </w:pPr>
    <w:rPr>
      <w:bCs w:val="0"/>
      <w:sz w:val="24"/>
    </w:rPr>
  </w:style>
  <w:style w:type="paragraph" w:customStyle="1" w:styleId="coheadnotetopics">
    <w:name w:val="co_headnotetopics"/>
    <w:basedOn w:val="Normal"/>
    <w:rsid w:val="00435883"/>
    <w:pPr>
      <w:spacing w:before="100" w:beforeAutospacing="1" w:after="100" w:afterAutospacing="1"/>
    </w:pPr>
    <w:rPr>
      <w:bCs w:val="0"/>
      <w:sz w:val="24"/>
    </w:rPr>
  </w:style>
  <w:style w:type="paragraph" w:customStyle="1" w:styleId="coheadnotekeyicon">
    <w:name w:val="co_headnotekeyicon"/>
    <w:basedOn w:val="Normal"/>
    <w:rsid w:val="00435883"/>
    <w:pPr>
      <w:spacing w:before="100" w:beforeAutospacing="1" w:after="100" w:afterAutospacing="1"/>
    </w:pPr>
    <w:rPr>
      <w:bCs w:val="0"/>
      <w:sz w:val="24"/>
    </w:rPr>
  </w:style>
  <w:style w:type="paragraph" w:customStyle="1" w:styleId="coclosekeycite">
    <w:name w:val="co_closekeycite"/>
    <w:basedOn w:val="Normal"/>
    <w:rsid w:val="00435883"/>
    <w:pPr>
      <w:spacing w:before="100" w:beforeAutospacing="1" w:after="100" w:afterAutospacing="1"/>
    </w:pPr>
    <w:rPr>
      <w:bCs w:val="0"/>
      <w:sz w:val="24"/>
    </w:rPr>
  </w:style>
  <w:style w:type="paragraph" w:customStyle="1" w:styleId="cohiddenkeytext">
    <w:name w:val="co_hiddenkeytext"/>
    <w:basedOn w:val="Normal"/>
    <w:rsid w:val="00435883"/>
    <w:pPr>
      <w:spacing w:before="100" w:beforeAutospacing="1" w:after="100" w:afterAutospacing="1"/>
    </w:pPr>
    <w:rPr>
      <w:bCs w:val="0"/>
      <w:sz w:val="24"/>
    </w:rPr>
  </w:style>
  <w:style w:type="paragraph" w:customStyle="1" w:styleId="cokeyicon">
    <w:name w:val="co_keyicon"/>
    <w:basedOn w:val="Normal"/>
    <w:rsid w:val="00435883"/>
    <w:pPr>
      <w:spacing w:before="100" w:beforeAutospacing="1" w:after="100" w:afterAutospacing="1"/>
    </w:pPr>
    <w:rPr>
      <w:bCs w:val="0"/>
      <w:sz w:val="24"/>
    </w:rPr>
  </w:style>
  <w:style w:type="paragraph" w:customStyle="1" w:styleId="colastkeytext">
    <w:name w:val="co_lastkeytext"/>
    <w:basedOn w:val="Normal"/>
    <w:rsid w:val="00435883"/>
    <w:pPr>
      <w:spacing w:before="100" w:beforeAutospacing="1" w:after="100" w:afterAutospacing="1"/>
    </w:pPr>
    <w:rPr>
      <w:bCs w:val="0"/>
      <w:sz w:val="24"/>
    </w:rPr>
  </w:style>
  <w:style w:type="paragraph" w:customStyle="1" w:styleId="coheadnotekeypair">
    <w:name w:val="co_headnotekeypair"/>
    <w:basedOn w:val="Normal"/>
    <w:rsid w:val="00435883"/>
    <w:pPr>
      <w:spacing w:before="100" w:beforeAutospacing="1" w:after="100" w:afterAutospacing="1"/>
    </w:pPr>
    <w:rPr>
      <w:bCs w:val="0"/>
      <w:sz w:val="24"/>
    </w:rPr>
  </w:style>
  <w:style w:type="paragraph" w:customStyle="1" w:styleId="coheadnoterefnumber">
    <w:name w:val="co_headnoterefnumber"/>
    <w:basedOn w:val="Normal"/>
    <w:rsid w:val="00435883"/>
    <w:pPr>
      <w:spacing w:before="100" w:beforeAutospacing="1" w:after="100" w:afterAutospacing="1"/>
    </w:pPr>
    <w:rPr>
      <w:bCs w:val="0"/>
      <w:sz w:val="24"/>
    </w:rPr>
  </w:style>
  <w:style w:type="paragraph" w:customStyle="1" w:styleId="coheadnotetopickey">
    <w:name w:val="co_headnotetopickey"/>
    <w:basedOn w:val="Normal"/>
    <w:rsid w:val="00435883"/>
    <w:pPr>
      <w:spacing w:before="100" w:beforeAutospacing="1" w:after="100" w:afterAutospacing="1"/>
    </w:pPr>
    <w:rPr>
      <w:bCs w:val="0"/>
      <w:sz w:val="24"/>
    </w:rPr>
  </w:style>
  <w:style w:type="paragraph" w:customStyle="1" w:styleId="cokeycitetopic">
    <w:name w:val="co_keycitetopic"/>
    <w:basedOn w:val="Normal"/>
    <w:rsid w:val="00435883"/>
    <w:pPr>
      <w:spacing w:before="100" w:beforeAutospacing="1" w:after="100" w:afterAutospacing="1"/>
    </w:pPr>
    <w:rPr>
      <w:bCs w:val="0"/>
      <w:sz w:val="24"/>
    </w:rPr>
  </w:style>
  <w:style w:type="paragraph" w:customStyle="1" w:styleId="coprintheading">
    <w:name w:val="co_printheading"/>
    <w:basedOn w:val="Normal"/>
    <w:rsid w:val="00435883"/>
    <w:pPr>
      <w:spacing w:before="100" w:beforeAutospacing="1" w:after="100" w:afterAutospacing="1"/>
    </w:pPr>
    <w:rPr>
      <w:bCs w:val="0"/>
      <w:sz w:val="24"/>
    </w:rPr>
  </w:style>
  <w:style w:type="paragraph" w:customStyle="1" w:styleId="conotesofdecisionsexplaination">
    <w:name w:val="co_notesofdecisionsexplaination"/>
    <w:basedOn w:val="Normal"/>
    <w:rsid w:val="00435883"/>
    <w:pPr>
      <w:spacing w:before="100" w:beforeAutospacing="1" w:after="100" w:afterAutospacing="1"/>
    </w:pPr>
    <w:rPr>
      <w:bCs w:val="0"/>
      <w:sz w:val="24"/>
    </w:rPr>
  </w:style>
  <w:style w:type="paragraph" w:customStyle="1" w:styleId="crswfancytableheadercontainer">
    <w:name w:val="crsw_fancytableheadercontainer"/>
    <w:basedOn w:val="Normal"/>
    <w:rsid w:val="00435883"/>
    <w:pPr>
      <w:spacing w:before="100" w:beforeAutospacing="1" w:after="100" w:afterAutospacing="1"/>
    </w:pPr>
    <w:rPr>
      <w:bCs w:val="0"/>
      <w:sz w:val="24"/>
    </w:rPr>
  </w:style>
  <w:style w:type="paragraph" w:customStyle="1" w:styleId="crswfancytableheader">
    <w:name w:val="crsw_fancytableheader"/>
    <w:basedOn w:val="Normal"/>
    <w:rsid w:val="00435883"/>
    <w:pPr>
      <w:spacing w:before="100" w:beforeAutospacing="1" w:after="100" w:afterAutospacing="1"/>
    </w:pPr>
    <w:rPr>
      <w:bCs w:val="0"/>
      <w:sz w:val="24"/>
    </w:rPr>
  </w:style>
  <w:style w:type="paragraph" w:customStyle="1" w:styleId="crswfancytableheaderwithsubtitle">
    <w:name w:val="crsw_fancytableheaderwithsubtitle"/>
    <w:basedOn w:val="Normal"/>
    <w:rsid w:val="00435883"/>
    <w:pPr>
      <w:spacing w:before="100" w:beforeAutospacing="1" w:after="100" w:afterAutospacing="1"/>
    </w:pPr>
    <w:rPr>
      <w:bCs w:val="0"/>
      <w:sz w:val="24"/>
    </w:rPr>
  </w:style>
  <w:style w:type="paragraph" w:customStyle="1" w:styleId="crswfancytablespan">
    <w:name w:val="crsw_fancytablespan"/>
    <w:basedOn w:val="Normal"/>
    <w:rsid w:val="00435883"/>
    <w:pPr>
      <w:spacing w:before="100" w:beforeAutospacing="1" w:after="100" w:afterAutospacing="1"/>
    </w:pPr>
    <w:rPr>
      <w:bCs w:val="0"/>
      <w:sz w:val="24"/>
    </w:rPr>
  </w:style>
  <w:style w:type="paragraph" w:customStyle="1" w:styleId="crswfancytablesubtitlespan">
    <w:name w:val="crsw_fancytablesubtitlespan"/>
    <w:basedOn w:val="Normal"/>
    <w:rsid w:val="00435883"/>
    <w:pPr>
      <w:spacing w:before="100" w:beforeAutospacing="1" w:after="100" w:afterAutospacing="1"/>
    </w:pPr>
    <w:rPr>
      <w:bCs w:val="0"/>
      <w:sz w:val="24"/>
    </w:rPr>
  </w:style>
  <w:style w:type="paragraph" w:customStyle="1" w:styleId="crswfancytablerowtitle">
    <w:name w:val="crsw_fancytablerowtitle"/>
    <w:basedOn w:val="Normal"/>
    <w:rsid w:val="00435883"/>
    <w:pPr>
      <w:spacing w:before="100" w:beforeAutospacing="1" w:after="100" w:afterAutospacing="1"/>
    </w:pPr>
    <w:rPr>
      <w:bCs w:val="0"/>
      <w:sz w:val="24"/>
    </w:rPr>
  </w:style>
  <w:style w:type="paragraph" w:customStyle="1" w:styleId="crswfancytablecontentcontainer">
    <w:name w:val="crsw_fancytablecontentcontainer"/>
    <w:basedOn w:val="Normal"/>
    <w:rsid w:val="00435883"/>
    <w:pPr>
      <w:spacing w:before="100" w:beforeAutospacing="1" w:after="100" w:afterAutospacing="1"/>
    </w:pPr>
    <w:rPr>
      <w:bCs w:val="0"/>
      <w:sz w:val="24"/>
    </w:rPr>
  </w:style>
  <w:style w:type="paragraph" w:customStyle="1" w:styleId="cobullet">
    <w:name w:val="co_bullet"/>
    <w:basedOn w:val="Normal"/>
    <w:rsid w:val="00435883"/>
    <w:pPr>
      <w:spacing w:before="100" w:beforeAutospacing="1" w:after="100" w:afterAutospacing="1"/>
    </w:pPr>
    <w:rPr>
      <w:bCs w:val="0"/>
      <w:sz w:val="24"/>
    </w:rPr>
  </w:style>
  <w:style w:type="paragraph" w:customStyle="1" w:styleId="cobluetxt">
    <w:name w:val="co_bluetxt"/>
    <w:basedOn w:val="Normal"/>
    <w:rsid w:val="00435883"/>
    <w:pPr>
      <w:spacing w:before="100" w:beforeAutospacing="1" w:after="100" w:afterAutospacing="1"/>
    </w:pPr>
    <w:rPr>
      <w:bCs w:val="0"/>
      <w:sz w:val="24"/>
    </w:rPr>
  </w:style>
  <w:style w:type="paragraph" w:customStyle="1" w:styleId="icon-speed-read">
    <w:name w:val="icon-speed-read"/>
    <w:basedOn w:val="Normal"/>
    <w:rsid w:val="00435883"/>
    <w:pPr>
      <w:spacing w:before="100" w:beforeAutospacing="1" w:after="100" w:afterAutospacing="1"/>
    </w:pPr>
    <w:rPr>
      <w:bCs w:val="0"/>
      <w:sz w:val="24"/>
    </w:rPr>
  </w:style>
  <w:style w:type="paragraph" w:customStyle="1" w:styleId="icon-notepad">
    <w:name w:val="icon-notepad"/>
    <w:basedOn w:val="Normal"/>
    <w:rsid w:val="00435883"/>
    <w:pPr>
      <w:spacing w:before="100" w:beforeAutospacing="1" w:after="100" w:afterAutospacing="1"/>
    </w:pPr>
    <w:rPr>
      <w:bCs w:val="0"/>
      <w:sz w:val="24"/>
    </w:rPr>
  </w:style>
  <w:style w:type="paragraph" w:customStyle="1" w:styleId="icon-cross">
    <w:name w:val="icon-cross"/>
    <w:basedOn w:val="Normal"/>
    <w:rsid w:val="00435883"/>
    <w:pPr>
      <w:spacing w:before="100" w:beforeAutospacing="1" w:after="100" w:afterAutospacing="1"/>
    </w:pPr>
    <w:rPr>
      <w:bCs w:val="0"/>
      <w:sz w:val="24"/>
    </w:rPr>
  </w:style>
  <w:style w:type="paragraph" w:customStyle="1" w:styleId="khtoc-subheader">
    <w:name w:val="kh_toc-subheader"/>
    <w:basedOn w:val="Normal"/>
    <w:rsid w:val="00435883"/>
    <w:pPr>
      <w:spacing w:before="100" w:beforeAutospacing="1" w:after="100" w:afterAutospacing="1"/>
    </w:pPr>
    <w:rPr>
      <w:bCs w:val="0"/>
      <w:sz w:val="24"/>
    </w:rPr>
  </w:style>
  <w:style w:type="paragraph" w:customStyle="1" w:styleId="tochighlightedelement">
    <w:name w:val="tochighlightedelement"/>
    <w:basedOn w:val="Normal"/>
    <w:rsid w:val="00435883"/>
    <w:pPr>
      <w:spacing w:before="100" w:beforeAutospacing="1" w:after="100" w:afterAutospacing="1"/>
    </w:pPr>
    <w:rPr>
      <w:bCs w:val="0"/>
      <w:sz w:val="24"/>
    </w:rPr>
  </w:style>
  <w:style w:type="paragraph" w:customStyle="1" w:styleId="iconcircledownarrow">
    <w:name w:val="icon_circle_down_arrow"/>
    <w:basedOn w:val="Normal"/>
    <w:rsid w:val="00435883"/>
    <w:pPr>
      <w:spacing w:before="100" w:beforeAutospacing="1" w:after="100" w:afterAutospacing="1"/>
    </w:pPr>
    <w:rPr>
      <w:bCs w:val="0"/>
      <w:sz w:val="24"/>
    </w:rPr>
  </w:style>
  <w:style w:type="paragraph" w:customStyle="1" w:styleId="icon-reply-arrow">
    <w:name w:val="icon-reply-arrow"/>
    <w:basedOn w:val="Normal"/>
    <w:rsid w:val="00435883"/>
    <w:pPr>
      <w:spacing w:before="100" w:beforeAutospacing="1" w:after="100" w:afterAutospacing="1"/>
    </w:pPr>
    <w:rPr>
      <w:bCs w:val="0"/>
      <w:sz w:val="24"/>
    </w:rPr>
  </w:style>
  <w:style w:type="paragraph" w:customStyle="1" w:styleId="icon-right-arrow">
    <w:name w:val="icon-right-arrow"/>
    <w:basedOn w:val="Normal"/>
    <w:rsid w:val="00435883"/>
    <w:pPr>
      <w:spacing w:before="100" w:beforeAutospacing="1" w:after="100" w:afterAutospacing="1"/>
    </w:pPr>
    <w:rPr>
      <w:bCs w:val="0"/>
      <w:sz w:val="24"/>
    </w:rPr>
  </w:style>
  <w:style w:type="paragraph" w:customStyle="1" w:styleId="icon-left-arrow">
    <w:name w:val="icon-left-arrow"/>
    <w:basedOn w:val="Normal"/>
    <w:rsid w:val="00435883"/>
    <w:pPr>
      <w:spacing w:before="100" w:beforeAutospacing="1" w:after="100" w:afterAutospacing="1"/>
    </w:pPr>
    <w:rPr>
      <w:bCs w:val="0"/>
      <w:sz w:val="24"/>
    </w:rPr>
  </w:style>
  <w:style w:type="paragraph" w:customStyle="1" w:styleId="conotebody">
    <w:name w:val="co_notebody"/>
    <w:basedOn w:val="Normal"/>
    <w:rsid w:val="00435883"/>
    <w:pPr>
      <w:spacing w:before="100" w:beforeAutospacing="1" w:after="100" w:afterAutospacing="1"/>
    </w:pPr>
    <w:rPr>
      <w:bCs w:val="0"/>
      <w:sz w:val="24"/>
    </w:rPr>
  </w:style>
  <w:style w:type="paragraph" w:customStyle="1" w:styleId="conotefooter">
    <w:name w:val="co_notefooter"/>
    <w:basedOn w:val="Normal"/>
    <w:rsid w:val="00435883"/>
    <w:pPr>
      <w:spacing w:before="100" w:beforeAutospacing="1" w:after="100" w:afterAutospacing="1"/>
    </w:pPr>
    <w:rPr>
      <w:bCs w:val="0"/>
      <w:sz w:val="24"/>
    </w:rPr>
  </w:style>
  <w:style w:type="paragraph" w:customStyle="1" w:styleId="codocrevhisorydetail">
    <w:name w:val="co_docrevhisorydetail"/>
    <w:basedOn w:val="Normal"/>
    <w:rsid w:val="00435883"/>
    <w:pPr>
      <w:spacing w:before="100" w:beforeAutospacing="1" w:after="100" w:afterAutospacing="1"/>
    </w:pPr>
    <w:rPr>
      <w:bCs w:val="0"/>
      <w:sz w:val="24"/>
    </w:rPr>
  </w:style>
  <w:style w:type="paragraph" w:customStyle="1" w:styleId="colistlabelhead">
    <w:name w:val="co_listlabelhead"/>
    <w:basedOn w:val="Normal"/>
    <w:rsid w:val="00435883"/>
    <w:pPr>
      <w:spacing w:before="100" w:beforeAutospacing="1" w:after="100" w:afterAutospacing="1"/>
    </w:pPr>
    <w:rPr>
      <w:bCs w:val="0"/>
      <w:sz w:val="24"/>
    </w:rPr>
  </w:style>
  <w:style w:type="paragraph" w:customStyle="1" w:styleId="colisthead">
    <w:name w:val="co_listhead"/>
    <w:basedOn w:val="Normal"/>
    <w:rsid w:val="00435883"/>
    <w:pPr>
      <w:spacing w:before="100" w:beforeAutospacing="1" w:after="100" w:afterAutospacing="1"/>
    </w:pPr>
    <w:rPr>
      <w:bCs w:val="0"/>
      <w:sz w:val="24"/>
    </w:rPr>
  </w:style>
  <w:style w:type="paragraph" w:customStyle="1" w:styleId="cocaseslistbody">
    <w:name w:val="co_caseslistbody"/>
    <w:basedOn w:val="Normal"/>
    <w:rsid w:val="00435883"/>
    <w:pPr>
      <w:spacing w:before="100" w:beforeAutospacing="1" w:after="100" w:afterAutospacing="1"/>
    </w:pPr>
    <w:rPr>
      <w:bCs w:val="0"/>
      <w:sz w:val="24"/>
    </w:rPr>
  </w:style>
  <w:style w:type="paragraph" w:customStyle="1" w:styleId="colistnested">
    <w:name w:val="co_listnested"/>
    <w:basedOn w:val="Normal"/>
    <w:rsid w:val="00435883"/>
    <w:pPr>
      <w:spacing w:before="100" w:beforeAutospacing="1" w:after="100" w:afterAutospacing="1"/>
    </w:pPr>
    <w:rPr>
      <w:bCs w:val="0"/>
      <w:sz w:val="24"/>
    </w:rPr>
  </w:style>
  <w:style w:type="paragraph" w:customStyle="1" w:styleId="coorderblock">
    <w:name w:val="co_orderblock"/>
    <w:basedOn w:val="Normal"/>
    <w:rsid w:val="00435883"/>
    <w:pPr>
      <w:spacing w:before="100" w:beforeAutospacing="1" w:after="100" w:afterAutospacing="1"/>
    </w:pPr>
    <w:rPr>
      <w:bCs w:val="0"/>
      <w:sz w:val="24"/>
    </w:rPr>
  </w:style>
  <w:style w:type="paragraph" w:customStyle="1" w:styleId="coreportedheader">
    <w:name w:val="co_reportedheader"/>
    <w:basedOn w:val="Normal"/>
    <w:rsid w:val="00435883"/>
    <w:pPr>
      <w:spacing w:before="100" w:beforeAutospacing="1" w:after="100" w:afterAutospacing="1"/>
    </w:pPr>
    <w:rPr>
      <w:bCs w:val="0"/>
      <w:sz w:val="24"/>
    </w:rPr>
  </w:style>
  <w:style w:type="paragraph" w:customStyle="1" w:styleId="coconsideration">
    <w:name w:val="co_consideration"/>
    <w:basedOn w:val="Normal"/>
    <w:rsid w:val="00435883"/>
    <w:pPr>
      <w:spacing w:before="100" w:beforeAutospacing="1" w:after="100" w:afterAutospacing="1"/>
    </w:pPr>
    <w:rPr>
      <w:bCs w:val="0"/>
      <w:sz w:val="24"/>
    </w:rPr>
  </w:style>
  <w:style w:type="paragraph" w:customStyle="1" w:styleId="coprofilercolumnwrapper">
    <w:name w:val="co_profilercolumn_wrapper"/>
    <w:basedOn w:val="Normal"/>
    <w:rsid w:val="00435883"/>
    <w:pPr>
      <w:spacing w:before="100" w:beforeAutospacing="1" w:after="100" w:afterAutospacing="1"/>
    </w:pPr>
    <w:rPr>
      <w:bCs w:val="0"/>
      <w:sz w:val="24"/>
    </w:rPr>
  </w:style>
  <w:style w:type="paragraph" w:customStyle="1" w:styleId="coanalysis">
    <w:name w:val="co_analysis"/>
    <w:basedOn w:val="Normal"/>
    <w:rsid w:val="00435883"/>
    <w:pPr>
      <w:spacing w:before="100" w:beforeAutospacing="1" w:after="100" w:afterAutospacing="1"/>
    </w:pPr>
    <w:rPr>
      <w:bCs w:val="0"/>
      <w:sz w:val="24"/>
    </w:rPr>
  </w:style>
  <w:style w:type="paragraph" w:customStyle="1" w:styleId="xquestionanswerblock">
    <w:name w:val="x_questionanswerblock"/>
    <w:basedOn w:val="Normal"/>
    <w:rsid w:val="00435883"/>
    <w:pPr>
      <w:spacing w:before="100" w:beforeAutospacing="1" w:after="100" w:afterAutospacing="1"/>
    </w:pPr>
    <w:rPr>
      <w:bCs w:val="0"/>
      <w:sz w:val="24"/>
    </w:rPr>
  </w:style>
  <w:style w:type="paragraph" w:customStyle="1" w:styleId="xlocation">
    <w:name w:val="x_location"/>
    <w:basedOn w:val="Normal"/>
    <w:rsid w:val="00435883"/>
    <w:pPr>
      <w:spacing w:before="100" w:beforeAutospacing="1" w:after="100" w:afterAutospacing="1"/>
    </w:pPr>
    <w:rPr>
      <w:bCs w:val="0"/>
      <w:sz w:val="24"/>
    </w:rPr>
  </w:style>
  <w:style w:type="paragraph" w:customStyle="1" w:styleId="xsignatureblock">
    <w:name w:val="x_signatureblock"/>
    <w:basedOn w:val="Normal"/>
    <w:rsid w:val="00435883"/>
    <w:pPr>
      <w:spacing w:before="100" w:beforeAutospacing="1" w:after="100" w:afterAutospacing="1"/>
    </w:pPr>
    <w:rPr>
      <w:bCs w:val="0"/>
      <w:sz w:val="24"/>
    </w:rPr>
  </w:style>
  <w:style w:type="paragraph" w:customStyle="1" w:styleId="xabstract">
    <w:name w:val="x_abstract"/>
    <w:basedOn w:val="Normal"/>
    <w:rsid w:val="00435883"/>
    <w:pPr>
      <w:spacing w:before="100" w:beforeAutospacing="1" w:after="100" w:afterAutospacing="1"/>
    </w:pPr>
    <w:rPr>
      <w:bCs w:val="0"/>
      <w:sz w:val="24"/>
    </w:rPr>
  </w:style>
  <w:style w:type="paragraph" w:customStyle="1" w:styleId="xcitedtitle">
    <w:name w:val="x_citedtitle"/>
    <w:basedOn w:val="Normal"/>
    <w:rsid w:val="00435883"/>
    <w:pPr>
      <w:spacing w:before="100" w:beforeAutospacing="1" w:after="100" w:afterAutospacing="1"/>
    </w:pPr>
    <w:rPr>
      <w:bCs w:val="0"/>
      <w:sz w:val="24"/>
    </w:rPr>
  </w:style>
  <w:style w:type="paragraph" w:customStyle="1" w:styleId="coreferenceblock">
    <w:name w:val="co_referenceblock"/>
    <w:basedOn w:val="Normal"/>
    <w:rsid w:val="00435883"/>
    <w:pPr>
      <w:spacing w:before="100" w:beforeAutospacing="1" w:after="100" w:afterAutospacing="1"/>
    </w:pPr>
    <w:rPr>
      <w:bCs w:val="0"/>
      <w:sz w:val="24"/>
    </w:rPr>
  </w:style>
  <w:style w:type="paragraph" w:customStyle="1" w:styleId="xwarningblock">
    <w:name w:val="x_warningblock"/>
    <w:basedOn w:val="Normal"/>
    <w:rsid w:val="00435883"/>
    <w:pPr>
      <w:spacing w:before="100" w:beforeAutospacing="1" w:after="100" w:afterAutospacing="1"/>
    </w:pPr>
    <w:rPr>
      <w:bCs w:val="0"/>
      <w:sz w:val="24"/>
    </w:rPr>
  </w:style>
  <w:style w:type="paragraph" w:customStyle="1" w:styleId="coaddress">
    <w:name w:val="co_address"/>
    <w:basedOn w:val="Normal"/>
    <w:rsid w:val="00435883"/>
    <w:pPr>
      <w:spacing w:before="100" w:beforeAutospacing="1" w:after="100" w:afterAutospacing="1"/>
    </w:pPr>
    <w:rPr>
      <w:bCs w:val="0"/>
      <w:sz w:val="24"/>
    </w:rPr>
  </w:style>
  <w:style w:type="paragraph" w:customStyle="1" w:styleId="cojurisdictionsdiv">
    <w:name w:val="co_jurisdictions&gt;div"/>
    <w:basedOn w:val="Normal"/>
    <w:rsid w:val="00435883"/>
    <w:pPr>
      <w:spacing w:before="100" w:beforeAutospacing="1" w:after="100" w:afterAutospacing="1"/>
    </w:pPr>
    <w:rPr>
      <w:bCs w:val="0"/>
      <w:sz w:val="24"/>
    </w:rPr>
  </w:style>
  <w:style w:type="paragraph" w:customStyle="1" w:styleId="coarticledetails">
    <w:name w:val="co_articledetails"/>
    <w:basedOn w:val="Normal"/>
    <w:rsid w:val="00435883"/>
    <w:pPr>
      <w:spacing w:before="100" w:beforeAutospacing="1" w:after="100" w:afterAutospacing="1"/>
    </w:pPr>
    <w:rPr>
      <w:bCs w:val="0"/>
      <w:sz w:val="24"/>
    </w:rPr>
  </w:style>
  <w:style w:type="paragraph" w:customStyle="1" w:styleId="xprelimsynopsis">
    <w:name w:val="x_prelimsynopsis"/>
    <w:basedOn w:val="Normal"/>
    <w:rsid w:val="00435883"/>
    <w:pPr>
      <w:spacing w:before="100" w:beforeAutospacing="1" w:after="100" w:afterAutospacing="1"/>
    </w:pPr>
    <w:rPr>
      <w:bCs w:val="0"/>
      <w:sz w:val="24"/>
    </w:rPr>
  </w:style>
  <w:style w:type="paragraph" w:customStyle="1" w:styleId="coanswerentry">
    <w:name w:val="co_answerentry"/>
    <w:basedOn w:val="Normal"/>
    <w:rsid w:val="00435883"/>
    <w:pPr>
      <w:spacing w:before="100" w:beforeAutospacing="1" w:after="100" w:afterAutospacing="1"/>
    </w:pPr>
    <w:rPr>
      <w:bCs w:val="0"/>
      <w:sz w:val="24"/>
    </w:rPr>
  </w:style>
  <w:style w:type="paragraph" w:customStyle="1" w:styleId="coquestionanswer">
    <w:name w:val="co_questionanswer"/>
    <w:basedOn w:val="Normal"/>
    <w:rsid w:val="00435883"/>
    <w:pPr>
      <w:spacing w:before="100" w:beforeAutospacing="1" w:after="100" w:afterAutospacing="1"/>
    </w:pPr>
    <w:rPr>
      <w:bCs w:val="0"/>
      <w:sz w:val="24"/>
    </w:rPr>
  </w:style>
  <w:style w:type="paragraph" w:customStyle="1" w:styleId="coanswer">
    <w:name w:val="co_answer"/>
    <w:basedOn w:val="Normal"/>
    <w:rsid w:val="00435883"/>
    <w:pPr>
      <w:spacing w:before="100" w:beforeAutospacing="1" w:after="100" w:afterAutospacing="1"/>
    </w:pPr>
    <w:rPr>
      <w:bCs w:val="0"/>
      <w:sz w:val="24"/>
    </w:rPr>
  </w:style>
  <w:style w:type="paragraph" w:customStyle="1" w:styleId="coviewexpert">
    <w:name w:val="co_viewexpert"/>
    <w:basedOn w:val="Normal"/>
    <w:rsid w:val="00435883"/>
    <w:pPr>
      <w:spacing w:before="100" w:beforeAutospacing="1" w:after="100" w:afterAutospacing="1"/>
    </w:pPr>
    <w:rPr>
      <w:bCs w:val="0"/>
      <w:sz w:val="24"/>
    </w:rPr>
  </w:style>
  <w:style w:type="paragraph" w:customStyle="1" w:styleId="coindexentry">
    <w:name w:val="co_indexentry"/>
    <w:basedOn w:val="Normal"/>
    <w:rsid w:val="00435883"/>
    <w:pPr>
      <w:spacing w:before="100" w:beforeAutospacing="1" w:after="100" w:afterAutospacing="1"/>
    </w:pPr>
    <w:rPr>
      <w:bCs w:val="0"/>
      <w:sz w:val="24"/>
    </w:rPr>
  </w:style>
  <w:style w:type="paragraph" w:customStyle="1" w:styleId="xpublisherblock">
    <w:name w:val="x_publisherblock"/>
    <w:basedOn w:val="Normal"/>
    <w:rsid w:val="00435883"/>
    <w:pPr>
      <w:spacing w:before="100" w:beforeAutospacing="1" w:after="100" w:afterAutospacing="1"/>
    </w:pPr>
    <w:rPr>
      <w:bCs w:val="0"/>
      <w:sz w:val="24"/>
    </w:rPr>
  </w:style>
  <w:style w:type="paragraph" w:customStyle="1" w:styleId="coattorneyblock">
    <w:name w:val="co_attorneyblock"/>
    <w:basedOn w:val="Normal"/>
    <w:rsid w:val="00435883"/>
    <w:pPr>
      <w:spacing w:before="100" w:beforeAutospacing="1" w:after="100" w:afterAutospacing="1"/>
    </w:pPr>
    <w:rPr>
      <w:bCs w:val="0"/>
      <w:sz w:val="24"/>
    </w:rPr>
  </w:style>
  <w:style w:type="paragraph" w:customStyle="1" w:styleId="xcmdfirstlinecite">
    <w:name w:val="x_cmdfirstlinecite"/>
    <w:basedOn w:val="Normal"/>
    <w:rsid w:val="00435883"/>
    <w:pPr>
      <w:spacing w:before="100" w:beforeAutospacing="1" w:after="100" w:afterAutospacing="1"/>
    </w:pPr>
    <w:rPr>
      <w:bCs w:val="0"/>
      <w:sz w:val="24"/>
    </w:rPr>
  </w:style>
  <w:style w:type="paragraph" w:customStyle="1" w:styleId="xmdfirstlinecite">
    <w:name w:val="x_mdfirstlinecite"/>
    <w:basedOn w:val="Normal"/>
    <w:rsid w:val="00435883"/>
    <w:pPr>
      <w:spacing w:before="100" w:beforeAutospacing="1" w:after="100" w:afterAutospacing="1"/>
    </w:pPr>
    <w:rPr>
      <w:bCs w:val="0"/>
      <w:sz w:val="24"/>
    </w:rPr>
  </w:style>
  <w:style w:type="paragraph" w:customStyle="1" w:styleId="xcmdsecondlinecite">
    <w:name w:val="x_cmdsecondlinecite"/>
    <w:basedOn w:val="Normal"/>
    <w:rsid w:val="00435883"/>
    <w:pPr>
      <w:spacing w:before="100" w:beforeAutospacing="1" w:after="100" w:afterAutospacing="1"/>
    </w:pPr>
    <w:rPr>
      <w:bCs w:val="0"/>
      <w:sz w:val="24"/>
    </w:rPr>
  </w:style>
  <w:style w:type="paragraph" w:customStyle="1" w:styleId="xcmdthirdlinecite">
    <w:name w:val="x_cmdthirdlinecite"/>
    <w:basedOn w:val="Normal"/>
    <w:rsid w:val="00435883"/>
    <w:pPr>
      <w:spacing w:before="100" w:beforeAutospacing="1" w:after="100" w:afterAutospacing="1"/>
    </w:pPr>
    <w:rPr>
      <w:bCs w:val="0"/>
      <w:sz w:val="24"/>
    </w:rPr>
  </w:style>
  <w:style w:type="paragraph" w:customStyle="1" w:styleId="xmdsecondlinecite">
    <w:name w:val="x_mdsecondlinecite"/>
    <w:basedOn w:val="Normal"/>
    <w:rsid w:val="00435883"/>
    <w:pPr>
      <w:spacing w:before="100" w:beforeAutospacing="1" w:after="100" w:afterAutospacing="1"/>
    </w:pPr>
    <w:rPr>
      <w:bCs w:val="0"/>
      <w:sz w:val="24"/>
    </w:rPr>
  </w:style>
  <w:style w:type="paragraph" w:customStyle="1" w:styleId="xmdthirdlinecite">
    <w:name w:val="x_mdthirdlinecite"/>
    <w:basedOn w:val="Normal"/>
    <w:rsid w:val="00435883"/>
    <w:pPr>
      <w:spacing w:before="100" w:beforeAutospacing="1" w:after="100" w:afterAutospacing="1"/>
    </w:pPr>
    <w:rPr>
      <w:bCs w:val="0"/>
      <w:sz w:val="24"/>
    </w:rPr>
  </w:style>
  <w:style w:type="paragraph" w:customStyle="1" w:styleId="cojournal">
    <w:name w:val="co_journal"/>
    <w:basedOn w:val="Normal"/>
    <w:rsid w:val="00435883"/>
    <w:pPr>
      <w:spacing w:before="100" w:beforeAutospacing="1" w:after="100" w:afterAutospacing="1"/>
    </w:pPr>
    <w:rPr>
      <w:bCs w:val="0"/>
      <w:sz w:val="24"/>
    </w:rPr>
  </w:style>
  <w:style w:type="paragraph" w:customStyle="1" w:styleId="covolumeissue">
    <w:name w:val="co_volumeissue"/>
    <w:basedOn w:val="Normal"/>
    <w:rsid w:val="00435883"/>
    <w:pPr>
      <w:spacing w:before="100" w:beforeAutospacing="1" w:after="100" w:afterAutospacing="1"/>
    </w:pPr>
    <w:rPr>
      <w:bCs w:val="0"/>
      <w:sz w:val="24"/>
    </w:rPr>
  </w:style>
  <w:style w:type="paragraph" w:customStyle="1" w:styleId="cobinauthor">
    <w:name w:val="co_binauthor"/>
    <w:basedOn w:val="Normal"/>
    <w:rsid w:val="00435883"/>
    <w:pPr>
      <w:spacing w:before="100" w:beforeAutospacing="1" w:after="100" w:afterAutospacing="1"/>
    </w:pPr>
    <w:rPr>
      <w:bCs w:val="0"/>
      <w:sz w:val="24"/>
    </w:rPr>
  </w:style>
  <w:style w:type="paragraph" w:customStyle="1" w:styleId="copubdate">
    <w:name w:val="co_pubdate"/>
    <w:basedOn w:val="Normal"/>
    <w:rsid w:val="00435883"/>
    <w:pPr>
      <w:spacing w:before="100" w:beforeAutospacing="1" w:after="100" w:afterAutospacing="1"/>
    </w:pPr>
    <w:rPr>
      <w:bCs w:val="0"/>
      <w:sz w:val="24"/>
    </w:rPr>
  </w:style>
  <w:style w:type="paragraph" w:customStyle="1" w:styleId="copublishercopyright">
    <w:name w:val="co_publishercopyright"/>
    <w:basedOn w:val="Normal"/>
    <w:rsid w:val="00435883"/>
    <w:pPr>
      <w:spacing w:before="100" w:beforeAutospacing="1" w:after="100" w:afterAutospacing="1"/>
    </w:pPr>
    <w:rPr>
      <w:bCs w:val="0"/>
      <w:sz w:val="24"/>
    </w:rPr>
  </w:style>
  <w:style w:type="paragraph" w:customStyle="1" w:styleId="cosuppliercopyright">
    <w:name w:val="co_suppliercopyright"/>
    <w:basedOn w:val="Normal"/>
    <w:rsid w:val="00435883"/>
    <w:pPr>
      <w:spacing w:before="100" w:beforeAutospacing="1" w:after="100" w:afterAutospacing="1"/>
    </w:pPr>
    <w:rPr>
      <w:bCs w:val="0"/>
      <w:sz w:val="24"/>
    </w:rPr>
  </w:style>
  <w:style w:type="paragraph" w:customStyle="1" w:styleId="coindexheader">
    <w:name w:val="co_indexheader"/>
    <w:basedOn w:val="Normal"/>
    <w:rsid w:val="00435883"/>
    <w:pPr>
      <w:spacing w:before="100" w:beforeAutospacing="1" w:after="100" w:afterAutospacing="1"/>
    </w:pPr>
    <w:rPr>
      <w:bCs w:val="0"/>
      <w:sz w:val="24"/>
    </w:rPr>
  </w:style>
  <w:style w:type="paragraph" w:customStyle="1" w:styleId="cotext">
    <w:name w:val="co_text"/>
    <w:basedOn w:val="Normal"/>
    <w:rsid w:val="00435883"/>
    <w:pPr>
      <w:spacing w:before="100" w:beforeAutospacing="1" w:after="100" w:afterAutospacing="1"/>
    </w:pPr>
    <w:rPr>
      <w:bCs w:val="0"/>
      <w:sz w:val="24"/>
    </w:rPr>
  </w:style>
  <w:style w:type="paragraph" w:customStyle="1" w:styleId="xcourtauthority">
    <w:name w:val="x_courtauthority"/>
    <w:basedOn w:val="Normal"/>
    <w:rsid w:val="00435883"/>
    <w:pPr>
      <w:spacing w:before="100" w:beforeAutospacing="1" w:after="100" w:afterAutospacing="1"/>
    </w:pPr>
    <w:rPr>
      <w:bCs w:val="0"/>
      <w:sz w:val="24"/>
    </w:rPr>
  </w:style>
  <w:style w:type="paragraph" w:customStyle="1" w:styleId="codocketssubsection">
    <w:name w:val="co_docketssubsection"/>
    <w:basedOn w:val="Normal"/>
    <w:rsid w:val="00435883"/>
    <w:pPr>
      <w:spacing w:before="100" w:beforeAutospacing="1" w:after="100" w:afterAutospacing="1"/>
    </w:pPr>
    <w:rPr>
      <w:bCs w:val="0"/>
      <w:sz w:val="24"/>
    </w:rPr>
  </w:style>
  <w:style w:type="paragraph" w:customStyle="1" w:styleId="codocketsubheading">
    <w:name w:val="co_docketsubheading"/>
    <w:basedOn w:val="Normal"/>
    <w:rsid w:val="00435883"/>
    <w:pPr>
      <w:spacing w:before="100" w:beforeAutospacing="1" w:after="100" w:afterAutospacing="1"/>
    </w:pPr>
    <w:rPr>
      <w:bCs w:val="0"/>
      <w:sz w:val="24"/>
    </w:rPr>
  </w:style>
  <w:style w:type="paragraph" w:customStyle="1" w:styleId="codocketstable">
    <w:name w:val="co_docketstable"/>
    <w:basedOn w:val="Normal"/>
    <w:rsid w:val="00435883"/>
    <w:pPr>
      <w:spacing w:before="100" w:beforeAutospacing="1" w:after="100" w:afterAutospacing="1"/>
    </w:pPr>
    <w:rPr>
      <w:bCs w:val="0"/>
      <w:sz w:val="24"/>
    </w:rPr>
  </w:style>
  <w:style w:type="paragraph" w:customStyle="1" w:styleId="codocketsrowlabel">
    <w:name w:val="co_docketsrowlabel"/>
    <w:basedOn w:val="Normal"/>
    <w:rsid w:val="00435883"/>
    <w:pPr>
      <w:spacing w:before="100" w:beforeAutospacing="1" w:after="100" w:afterAutospacing="1"/>
    </w:pPr>
    <w:rPr>
      <w:bCs w:val="0"/>
      <w:sz w:val="24"/>
    </w:rPr>
  </w:style>
  <w:style w:type="paragraph" w:customStyle="1" w:styleId="codocketsrowtext">
    <w:name w:val="co_docketsrowtext"/>
    <w:basedOn w:val="Normal"/>
    <w:rsid w:val="00435883"/>
    <w:pPr>
      <w:spacing w:before="100" w:beforeAutospacing="1" w:after="100" w:afterAutospacing="1"/>
    </w:pPr>
    <w:rPr>
      <w:bCs w:val="0"/>
      <w:sz w:val="24"/>
    </w:rPr>
  </w:style>
  <w:style w:type="paragraph" w:customStyle="1" w:styleId="coresultcontentsummary">
    <w:name w:val="co_resultcontent_summary"/>
    <w:basedOn w:val="Normal"/>
    <w:rsid w:val="00435883"/>
    <w:pPr>
      <w:spacing w:before="100" w:beforeAutospacing="1" w:after="100" w:afterAutospacing="1"/>
    </w:pPr>
    <w:rPr>
      <w:bCs w:val="0"/>
      <w:sz w:val="24"/>
    </w:rPr>
  </w:style>
  <w:style w:type="paragraph" w:customStyle="1" w:styleId="xbrand">
    <w:name w:val="x_brand"/>
    <w:basedOn w:val="Normal"/>
    <w:rsid w:val="00435883"/>
    <w:pPr>
      <w:spacing w:before="100" w:beforeAutospacing="1" w:after="100" w:afterAutospacing="1"/>
    </w:pPr>
    <w:rPr>
      <w:bCs w:val="0"/>
      <w:sz w:val="24"/>
    </w:rPr>
  </w:style>
  <w:style w:type="paragraph" w:customStyle="1" w:styleId="xaddressblock">
    <w:name w:val="x_addressblock"/>
    <w:basedOn w:val="Normal"/>
    <w:rsid w:val="00435883"/>
    <w:pPr>
      <w:spacing w:before="100" w:beforeAutospacing="1" w:after="100" w:afterAutospacing="1"/>
    </w:pPr>
    <w:rPr>
      <w:bCs w:val="0"/>
      <w:sz w:val="24"/>
    </w:rPr>
  </w:style>
  <w:style w:type="paragraph" w:customStyle="1" w:styleId="xintroblock">
    <w:name w:val="x_introblock"/>
    <w:basedOn w:val="Normal"/>
    <w:rsid w:val="00435883"/>
    <w:pPr>
      <w:spacing w:before="100" w:beforeAutospacing="1" w:after="100" w:afterAutospacing="1"/>
    </w:pPr>
    <w:rPr>
      <w:bCs w:val="0"/>
      <w:sz w:val="24"/>
    </w:rPr>
  </w:style>
  <w:style w:type="paragraph" w:customStyle="1" w:styleId="coverticaldivider">
    <w:name w:val="co_verticaldivider"/>
    <w:basedOn w:val="Normal"/>
    <w:rsid w:val="00435883"/>
    <w:pPr>
      <w:spacing w:before="100" w:beforeAutospacing="1" w:after="100" w:afterAutospacing="1"/>
    </w:pPr>
    <w:rPr>
      <w:bCs w:val="0"/>
      <w:sz w:val="24"/>
    </w:rPr>
  </w:style>
  <w:style w:type="paragraph" w:customStyle="1" w:styleId="coresearchreferenceblock">
    <w:name w:val="co_researchreferenceblock"/>
    <w:basedOn w:val="Normal"/>
    <w:rsid w:val="00435883"/>
    <w:pPr>
      <w:spacing w:before="100" w:beforeAutospacing="1" w:after="100" w:afterAutospacing="1"/>
    </w:pPr>
    <w:rPr>
      <w:bCs w:val="0"/>
      <w:sz w:val="24"/>
    </w:rPr>
  </w:style>
  <w:style w:type="paragraph" w:customStyle="1" w:styleId="cooutlinedgraybox">
    <w:name w:val="co_outlinedgraybox"/>
    <w:basedOn w:val="Normal"/>
    <w:rsid w:val="00435883"/>
    <w:pPr>
      <w:spacing w:before="100" w:beforeAutospacing="1" w:after="100" w:afterAutospacing="1"/>
    </w:pPr>
    <w:rPr>
      <w:bCs w:val="0"/>
      <w:sz w:val="24"/>
    </w:rPr>
  </w:style>
  <w:style w:type="paragraph" w:customStyle="1" w:styleId="coresearchreferencesdiv">
    <w:name w:val="co_researchreferences&gt;div"/>
    <w:basedOn w:val="Normal"/>
    <w:rsid w:val="00435883"/>
    <w:pPr>
      <w:spacing w:before="100" w:beforeAutospacing="1" w:after="100" w:afterAutospacing="1"/>
    </w:pPr>
    <w:rPr>
      <w:bCs w:val="0"/>
      <w:sz w:val="24"/>
    </w:rPr>
  </w:style>
  <w:style w:type="paragraph" w:customStyle="1" w:styleId="cofootnotesection">
    <w:name w:val="co_footnotesection"/>
    <w:basedOn w:val="Normal"/>
    <w:rsid w:val="00435883"/>
    <w:pPr>
      <w:spacing w:before="100" w:beforeAutospacing="1" w:after="100" w:afterAutospacing="1"/>
    </w:pPr>
    <w:rPr>
      <w:bCs w:val="0"/>
      <w:sz w:val="24"/>
    </w:rPr>
  </w:style>
  <w:style w:type="paragraph" w:customStyle="1" w:styleId="cofullscreentable">
    <w:name w:val="co_fullscreentable"/>
    <w:basedOn w:val="Normal"/>
    <w:rsid w:val="00435883"/>
    <w:pPr>
      <w:spacing w:before="100" w:beforeAutospacing="1" w:after="100" w:afterAutospacing="1"/>
    </w:pPr>
    <w:rPr>
      <w:bCs w:val="0"/>
      <w:sz w:val="24"/>
    </w:rPr>
  </w:style>
  <w:style w:type="paragraph" w:customStyle="1" w:styleId="icontablefullscreen">
    <w:name w:val="icon_table_fullscreen"/>
    <w:basedOn w:val="Normal"/>
    <w:rsid w:val="00435883"/>
    <w:pPr>
      <w:spacing w:before="100" w:beforeAutospacing="1" w:after="100" w:afterAutospacing="1"/>
    </w:pPr>
    <w:rPr>
      <w:bCs w:val="0"/>
      <w:sz w:val="24"/>
    </w:rPr>
  </w:style>
  <w:style w:type="paragraph" w:customStyle="1" w:styleId="conoteheadercontrols">
    <w:name w:val="co_noteheader_controls"/>
    <w:basedOn w:val="Normal"/>
    <w:rsid w:val="00435883"/>
    <w:pPr>
      <w:spacing w:before="100" w:beforeAutospacing="1" w:after="100" w:afterAutospacing="1"/>
    </w:pPr>
    <w:rPr>
      <w:bCs w:val="0"/>
      <w:sz w:val="24"/>
    </w:rPr>
  </w:style>
  <w:style w:type="paragraph" w:customStyle="1" w:styleId="relatedcontenterror">
    <w:name w:val="relatedcontenterror"/>
    <w:basedOn w:val="Normal"/>
    <w:rsid w:val="00435883"/>
    <w:pPr>
      <w:spacing w:before="100" w:beforeAutospacing="1" w:after="100" w:afterAutospacing="1"/>
    </w:pPr>
    <w:rPr>
      <w:bCs w:val="0"/>
      <w:sz w:val="24"/>
    </w:rPr>
  </w:style>
  <w:style w:type="paragraph" w:customStyle="1" w:styleId="coreportheader">
    <w:name w:val="co_reportheader"/>
    <w:basedOn w:val="Normal"/>
    <w:rsid w:val="00435883"/>
    <w:pPr>
      <w:spacing w:before="100" w:beforeAutospacing="1" w:after="100" w:afterAutospacing="1"/>
    </w:pPr>
    <w:rPr>
      <w:bCs w:val="0"/>
      <w:sz w:val="24"/>
    </w:rPr>
  </w:style>
  <w:style w:type="paragraph" w:customStyle="1" w:styleId="codcrtableheader">
    <w:name w:val="co_dcrtable_header"/>
    <w:basedOn w:val="Normal"/>
    <w:rsid w:val="00435883"/>
    <w:pPr>
      <w:spacing w:before="100" w:beforeAutospacing="1" w:after="100" w:afterAutospacing="1"/>
    </w:pPr>
    <w:rPr>
      <w:bCs w:val="0"/>
      <w:sz w:val="24"/>
    </w:rPr>
  </w:style>
  <w:style w:type="paragraph" w:customStyle="1" w:styleId="codcrtablenavigation">
    <w:name w:val="co_dcrtable_navigation"/>
    <w:basedOn w:val="Normal"/>
    <w:rsid w:val="00435883"/>
    <w:pPr>
      <w:spacing w:before="100" w:beforeAutospacing="1" w:after="100" w:afterAutospacing="1"/>
    </w:pPr>
    <w:rPr>
      <w:bCs w:val="0"/>
      <w:sz w:val="24"/>
    </w:rPr>
  </w:style>
  <w:style w:type="paragraph" w:customStyle="1" w:styleId="codcrtablenumber">
    <w:name w:val="co_dcrtable_number"/>
    <w:basedOn w:val="Normal"/>
    <w:rsid w:val="00435883"/>
    <w:pPr>
      <w:spacing w:before="100" w:beforeAutospacing="1" w:after="100" w:afterAutospacing="1"/>
    </w:pPr>
    <w:rPr>
      <w:bCs w:val="0"/>
      <w:sz w:val="24"/>
    </w:rPr>
  </w:style>
  <w:style w:type="paragraph" w:customStyle="1" w:styleId="coeventdateicon">
    <w:name w:val="co_eventdateicon"/>
    <w:basedOn w:val="Normal"/>
    <w:rsid w:val="00435883"/>
    <w:pPr>
      <w:spacing w:before="100" w:beforeAutospacing="1" w:after="100" w:afterAutospacing="1"/>
    </w:pPr>
    <w:rPr>
      <w:bCs w:val="0"/>
      <w:sz w:val="24"/>
    </w:rPr>
  </w:style>
  <w:style w:type="paragraph" w:customStyle="1" w:styleId="coeventdateiconmonth">
    <w:name w:val="co_eventdateiconmonth"/>
    <w:basedOn w:val="Normal"/>
    <w:rsid w:val="00435883"/>
    <w:pPr>
      <w:spacing w:before="100" w:beforeAutospacing="1" w:after="100" w:afterAutospacing="1"/>
    </w:pPr>
    <w:rPr>
      <w:bCs w:val="0"/>
      <w:sz w:val="24"/>
    </w:rPr>
  </w:style>
  <w:style w:type="paragraph" w:customStyle="1" w:styleId="coeventdateiconday">
    <w:name w:val="co_eventdateiconday"/>
    <w:basedOn w:val="Normal"/>
    <w:rsid w:val="00435883"/>
    <w:pPr>
      <w:spacing w:before="100" w:beforeAutospacing="1" w:after="100" w:afterAutospacing="1"/>
    </w:pPr>
    <w:rPr>
      <w:bCs w:val="0"/>
      <w:sz w:val="24"/>
    </w:rPr>
  </w:style>
  <w:style w:type="paragraph" w:customStyle="1" w:styleId="coeventdateicontext">
    <w:name w:val="co_eventdateicontext"/>
    <w:basedOn w:val="Normal"/>
    <w:rsid w:val="00435883"/>
    <w:pPr>
      <w:spacing w:before="100" w:beforeAutospacing="1" w:after="100" w:afterAutospacing="1"/>
    </w:pPr>
    <w:rPr>
      <w:bCs w:val="0"/>
      <w:sz w:val="24"/>
    </w:rPr>
  </w:style>
  <w:style w:type="paragraph" w:customStyle="1" w:styleId="coaddtooutlookbutton">
    <w:name w:val="co_addtooutlookbutton"/>
    <w:basedOn w:val="Normal"/>
    <w:rsid w:val="00435883"/>
    <w:pPr>
      <w:spacing w:before="100" w:beforeAutospacing="1" w:after="100" w:afterAutospacing="1"/>
    </w:pPr>
    <w:rPr>
      <w:bCs w:val="0"/>
      <w:sz w:val="24"/>
    </w:rPr>
  </w:style>
  <w:style w:type="paragraph" w:customStyle="1" w:styleId="coresourcelinks">
    <w:name w:val="co_resourcelinks"/>
    <w:basedOn w:val="Normal"/>
    <w:rsid w:val="00435883"/>
    <w:pPr>
      <w:spacing w:before="100" w:beforeAutospacing="1" w:after="100" w:afterAutospacing="1"/>
    </w:pPr>
    <w:rPr>
      <w:bCs w:val="0"/>
      <w:sz w:val="24"/>
    </w:rPr>
  </w:style>
  <w:style w:type="paragraph" w:customStyle="1" w:styleId="pmattachment">
    <w:name w:val="pm_attachment"/>
    <w:basedOn w:val="Normal"/>
    <w:rsid w:val="00435883"/>
    <w:pPr>
      <w:spacing w:before="100" w:beforeAutospacing="1" w:after="100" w:afterAutospacing="1"/>
    </w:pPr>
    <w:rPr>
      <w:bCs w:val="0"/>
      <w:sz w:val="24"/>
    </w:rPr>
  </w:style>
  <w:style w:type="paragraph" w:customStyle="1" w:styleId="pmsectioncontainer">
    <w:name w:val="pm_sectioncontainer"/>
    <w:basedOn w:val="Normal"/>
    <w:rsid w:val="00435883"/>
    <w:pPr>
      <w:spacing w:before="100" w:beforeAutospacing="1" w:after="100" w:afterAutospacing="1"/>
    </w:pPr>
    <w:rPr>
      <w:bCs w:val="0"/>
      <w:sz w:val="24"/>
    </w:rPr>
  </w:style>
  <w:style w:type="paragraph" w:customStyle="1" w:styleId="sectionbody">
    <w:name w:val="sectionbody"/>
    <w:basedOn w:val="Normal"/>
    <w:rsid w:val="00435883"/>
    <w:pPr>
      <w:spacing w:before="100" w:beforeAutospacing="1" w:after="100" w:afterAutospacing="1"/>
    </w:pPr>
    <w:rPr>
      <w:bCs w:val="0"/>
      <w:sz w:val="24"/>
    </w:rPr>
  </w:style>
  <w:style w:type="paragraph" w:customStyle="1" w:styleId="summerylink">
    <w:name w:val="summerylink"/>
    <w:basedOn w:val="Normal"/>
    <w:rsid w:val="00435883"/>
    <w:pPr>
      <w:spacing w:before="100" w:beforeAutospacing="1" w:after="100" w:afterAutospacing="1"/>
    </w:pPr>
    <w:rPr>
      <w:bCs w:val="0"/>
      <w:sz w:val="24"/>
    </w:rPr>
  </w:style>
  <w:style w:type="paragraph" w:customStyle="1" w:styleId="pmfulltextsectionheader">
    <w:name w:val="pm_fulltextsectionheader"/>
    <w:basedOn w:val="Normal"/>
    <w:rsid w:val="00435883"/>
    <w:pPr>
      <w:spacing w:before="100" w:beforeAutospacing="1" w:after="100" w:afterAutospacing="1"/>
    </w:pPr>
    <w:rPr>
      <w:bCs w:val="0"/>
      <w:sz w:val="24"/>
    </w:rPr>
  </w:style>
  <w:style w:type="paragraph" w:customStyle="1" w:styleId="pmsubheader">
    <w:name w:val="pm_subheader"/>
    <w:basedOn w:val="Normal"/>
    <w:rsid w:val="00435883"/>
    <w:pPr>
      <w:spacing w:before="100" w:beforeAutospacing="1" w:after="100" w:afterAutospacing="1"/>
    </w:pPr>
    <w:rPr>
      <w:bCs w:val="0"/>
      <w:sz w:val="24"/>
    </w:rPr>
  </w:style>
  <w:style w:type="paragraph" w:customStyle="1" w:styleId="pmreportedtable">
    <w:name w:val="pm_reportedtable"/>
    <w:basedOn w:val="Normal"/>
    <w:rsid w:val="00435883"/>
    <w:pPr>
      <w:spacing w:before="100" w:beforeAutospacing="1" w:after="100" w:afterAutospacing="1"/>
    </w:pPr>
    <w:rPr>
      <w:bCs w:val="0"/>
      <w:sz w:val="24"/>
    </w:rPr>
  </w:style>
  <w:style w:type="paragraph" w:customStyle="1" w:styleId="idnum">
    <w:name w:val="idnum"/>
    <w:basedOn w:val="Normal"/>
    <w:rsid w:val="00435883"/>
    <w:pPr>
      <w:spacing w:before="100" w:beforeAutospacing="1" w:after="100" w:afterAutospacing="1"/>
    </w:pPr>
    <w:rPr>
      <w:bCs w:val="0"/>
      <w:sz w:val="24"/>
    </w:rPr>
  </w:style>
  <w:style w:type="paragraph" w:customStyle="1" w:styleId="coemailsmall">
    <w:name w:val="co_emailsmall"/>
    <w:basedOn w:val="Normal"/>
    <w:rsid w:val="00435883"/>
    <w:pPr>
      <w:spacing w:before="100" w:beforeAutospacing="1" w:after="100" w:afterAutospacing="1"/>
    </w:pPr>
    <w:rPr>
      <w:bCs w:val="0"/>
      <w:sz w:val="24"/>
    </w:rPr>
  </w:style>
  <w:style w:type="paragraph" w:customStyle="1" w:styleId="coauthorlogo">
    <w:name w:val="co_authorlogo"/>
    <w:basedOn w:val="Normal"/>
    <w:rsid w:val="00435883"/>
    <w:pPr>
      <w:spacing w:before="100" w:beforeAutospacing="1" w:after="100" w:afterAutospacing="1"/>
    </w:pPr>
    <w:rPr>
      <w:bCs w:val="0"/>
      <w:sz w:val="24"/>
    </w:rPr>
  </w:style>
  <w:style w:type="paragraph" w:customStyle="1" w:styleId="codescription">
    <w:name w:val="co_description"/>
    <w:basedOn w:val="Normal"/>
    <w:rsid w:val="00435883"/>
    <w:pPr>
      <w:spacing w:before="100" w:beforeAutospacing="1" w:after="100" w:afterAutospacing="1"/>
    </w:pPr>
    <w:rPr>
      <w:bCs w:val="0"/>
      <w:sz w:val="24"/>
    </w:rPr>
  </w:style>
  <w:style w:type="paragraph" w:customStyle="1" w:styleId="cosectionsubheading">
    <w:name w:val="co_sectionsubheading"/>
    <w:basedOn w:val="Normal"/>
    <w:rsid w:val="00435883"/>
    <w:pPr>
      <w:spacing w:before="100" w:beforeAutospacing="1" w:after="100" w:afterAutospacing="1"/>
    </w:pPr>
    <w:rPr>
      <w:bCs w:val="0"/>
      <w:sz w:val="24"/>
    </w:rPr>
  </w:style>
  <w:style w:type="paragraph" w:customStyle="1" w:styleId="conestedtable">
    <w:name w:val="co_nestedtable"/>
    <w:basedOn w:val="Normal"/>
    <w:rsid w:val="00435883"/>
    <w:pPr>
      <w:spacing w:before="100" w:beforeAutospacing="1" w:after="100" w:afterAutospacing="1"/>
    </w:pPr>
    <w:rPr>
      <w:bCs w:val="0"/>
      <w:sz w:val="24"/>
    </w:rPr>
  </w:style>
  <w:style w:type="paragraph" w:customStyle="1" w:styleId="codwpiimage">
    <w:name w:val="co_dwpiimage"/>
    <w:basedOn w:val="Normal"/>
    <w:rsid w:val="00435883"/>
    <w:pPr>
      <w:spacing w:before="100" w:beforeAutospacing="1" w:after="100" w:afterAutospacing="1"/>
    </w:pPr>
    <w:rPr>
      <w:bCs w:val="0"/>
      <w:sz w:val="24"/>
    </w:rPr>
  </w:style>
  <w:style w:type="paragraph" w:customStyle="1" w:styleId="coipdocketsubheading">
    <w:name w:val="co_ipdocketsubheading"/>
    <w:basedOn w:val="Normal"/>
    <w:rsid w:val="00435883"/>
    <w:pPr>
      <w:spacing w:before="100" w:beforeAutospacing="1" w:after="100" w:afterAutospacing="1"/>
    </w:pPr>
    <w:rPr>
      <w:bCs w:val="0"/>
      <w:sz w:val="24"/>
    </w:rPr>
  </w:style>
  <w:style w:type="paragraph" w:customStyle="1" w:styleId="coarbchart-sectionheading">
    <w:name w:val="co_arbchart-sectionheading"/>
    <w:basedOn w:val="Normal"/>
    <w:rsid w:val="00435883"/>
    <w:pPr>
      <w:spacing w:before="100" w:beforeAutospacing="1" w:after="100" w:afterAutospacing="1"/>
    </w:pPr>
    <w:rPr>
      <w:bCs w:val="0"/>
      <w:sz w:val="24"/>
    </w:rPr>
  </w:style>
  <w:style w:type="paragraph" w:customStyle="1" w:styleId="iconmenublue">
    <w:name w:val="icon_menu_blue"/>
    <w:basedOn w:val="Normal"/>
    <w:rsid w:val="00435883"/>
    <w:pPr>
      <w:spacing w:before="100" w:beforeAutospacing="1" w:after="100" w:afterAutospacing="1"/>
    </w:pPr>
    <w:rPr>
      <w:bCs w:val="0"/>
      <w:sz w:val="24"/>
    </w:rPr>
  </w:style>
  <w:style w:type="paragraph" w:customStyle="1" w:styleId="copanel">
    <w:name w:val="co_panel"/>
    <w:basedOn w:val="Normal"/>
    <w:rsid w:val="00435883"/>
    <w:pPr>
      <w:spacing w:before="100" w:beforeAutospacing="1" w:after="100" w:afterAutospacing="1"/>
    </w:pPr>
    <w:rPr>
      <w:bCs w:val="0"/>
      <w:sz w:val="24"/>
    </w:rPr>
  </w:style>
  <w:style w:type="paragraph" w:customStyle="1" w:styleId="iconclose">
    <w:name w:val="icon_close"/>
    <w:basedOn w:val="Normal"/>
    <w:rsid w:val="00435883"/>
    <w:pPr>
      <w:spacing w:before="100" w:beforeAutospacing="1" w:after="100" w:afterAutospacing="1"/>
    </w:pPr>
    <w:rPr>
      <w:bCs w:val="0"/>
      <w:sz w:val="24"/>
    </w:rPr>
  </w:style>
  <w:style w:type="paragraph" w:customStyle="1" w:styleId="iconplus">
    <w:name w:val="icon_plus"/>
    <w:basedOn w:val="Normal"/>
    <w:rsid w:val="00435883"/>
    <w:pPr>
      <w:spacing w:before="100" w:beforeAutospacing="1" w:after="100" w:afterAutospacing="1"/>
    </w:pPr>
    <w:rPr>
      <w:bCs w:val="0"/>
      <w:sz w:val="24"/>
    </w:rPr>
  </w:style>
  <w:style w:type="paragraph" w:customStyle="1" w:styleId="icongreydownarrow">
    <w:name w:val="icon_grey_down_arrow"/>
    <w:basedOn w:val="Normal"/>
    <w:rsid w:val="00435883"/>
    <w:pPr>
      <w:spacing w:before="100" w:beforeAutospacing="1" w:after="100" w:afterAutospacing="1"/>
    </w:pPr>
    <w:rPr>
      <w:bCs w:val="0"/>
      <w:sz w:val="24"/>
    </w:rPr>
  </w:style>
  <w:style w:type="paragraph" w:customStyle="1" w:styleId="icongreyrightarrow">
    <w:name w:val="icon_grey_right_arrow"/>
    <w:basedOn w:val="Normal"/>
    <w:rsid w:val="00435883"/>
    <w:pPr>
      <w:spacing w:before="100" w:beforeAutospacing="1" w:after="100" w:afterAutospacing="1"/>
    </w:pPr>
    <w:rPr>
      <w:bCs w:val="0"/>
      <w:sz w:val="24"/>
    </w:rPr>
  </w:style>
  <w:style w:type="paragraph" w:customStyle="1" w:styleId="icon-up-down-arrow">
    <w:name w:val="icon-up-down-arrow"/>
    <w:basedOn w:val="Normal"/>
    <w:rsid w:val="00435883"/>
    <w:pPr>
      <w:spacing w:before="100" w:beforeAutospacing="1" w:after="100" w:afterAutospacing="1"/>
    </w:pPr>
    <w:rPr>
      <w:bCs w:val="0"/>
      <w:sz w:val="24"/>
    </w:rPr>
  </w:style>
  <w:style w:type="paragraph" w:customStyle="1" w:styleId="conotation">
    <w:name w:val="co_notation"/>
    <w:basedOn w:val="Normal"/>
    <w:rsid w:val="00435883"/>
    <w:pPr>
      <w:spacing w:before="100" w:beforeAutospacing="1" w:after="100" w:afterAutospacing="1"/>
    </w:pPr>
    <w:rPr>
      <w:bCs w:val="0"/>
      <w:sz w:val="24"/>
    </w:rPr>
  </w:style>
  <w:style w:type="paragraph" w:customStyle="1" w:styleId="codocumentinlinenote">
    <w:name w:val="co_documentinlinenote"/>
    <w:basedOn w:val="Normal"/>
    <w:rsid w:val="00435883"/>
    <w:pPr>
      <w:spacing w:before="100" w:beforeAutospacing="1" w:after="100" w:afterAutospacing="1"/>
    </w:pPr>
    <w:rPr>
      <w:bCs w:val="0"/>
      <w:sz w:val="24"/>
    </w:rPr>
  </w:style>
  <w:style w:type="paragraph" w:customStyle="1" w:styleId="corranotation">
    <w:name w:val="co_rranotation"/>
    <w:basedOn w:val="Normal"/>
    <w:rsid w:val="00435883"/>
    <w:pPr>
      <w:spacing w:before="100" w:beforeAutospacing="1" w:after="100" w:afterAutospacing="1"/>
    </w:pPr>
    <w:rPr>
      <w:bCs w:val="0"/>
      <w:sz w:val="24"/>
    </w:rPr>
  </w:style>
  <w:style w:type="paragraph" w:customStyle="1" w:styleId="codocumentsummary">
    <w:name w:val="co_documentsummary"/>
    <w:basedOn w:val="Normal"/>
    <w:rsid w:val="00435883"/>
    <w:pPr>
      <w:spacing w:before="100" w:beforeAutospacing="1" w:after="100" w:afterAutospacing="1"/>
    </w:pPr>
    <w:rPr>
      <w:bCs w:val="0"/>
      <w:sz w:val="24"/>
    </w:rPr>
  </w:style>
  <w:style w:type="paragraph" w:customStyle="1" w:styleId="cobillingsuspendinner">
    <w:name w:val="co_billingsuspendinner"/>
    <w:basedOn w:val="Normal"/>
    <w:rsid w:val="00435883"/>
    <w:pPr>
      <w:spacing w:before="100" w:beforeAutospacing="1" w:after="100" w:afterAutospacing="1"/>
    </w:pPr>
    <w:rPr>
      <w:bCs w:val="0"/>
      <w:sz w:val="24"/>
    </w:rPr>
  </w:style>
  <w:style w:type="paragraph" w:customStyle="1" w:styleId="biaccordion">
    <w:name w:val="bi_accordion"/>
    <w:basedOn w:val="Normal"/>
    <w:rsid w:val="00435883"/>
    <w:pPr>
      <w:spacing w:before="100" w:beforeAutospacing="1" w:after="100" w:afterAutospacing="1"/>
    </w:pPr>
    <w:rPr>
      <w:bCs w:val="0"/>
      <w:sz w:val="24"/>
    </w:rPr>
  </w:style>
  <w:style w:type="paragraph" w:customStyle="1" w:styleId="documentlistcontainer">
    <w:name w:val="documentlistcontainer"/>
    <w:basedOn w:val="Normal"/>
    <w:rsid w:val="00435883"/>
    <w:pPr>
      <w:spacing w:before="100" w:beforeAutospacing="1" w:after="100" w:afterAutospacing="1"/>
    </w:pPr>
    <w:rPr>
      <w:bCs w:val="0"/>
      <w:sz w:val="24"/>
    </w:rPr>
  </w:style>
  <w:style w:type="paragraph" w:customStyle="1" w:styleId="cobuttonmenu">
    <w:name w:val="co_buttonmenu"/>
    <w:basedOn w:val="Normal"/>
    <w:rsid w:val="00435883"/>
    <w:pPr>
      <w:spacing w:before="100" w:beforeAutospacing="1" w:after="100" w:afterAutospacing="1"/>
    </w:pPr>
    <w:rPr>
      <w:bCs w:val="0"/>
      <w:sz w:val="24"/>
    </w:rPr>
  </w:style>
  <w:style w:type="paragraph" w:customStyle="1" w:styleId="coriskflagred">
    <w:name w:val="co_riskflagred"/>
    <w:basedOn w:val="Normal"/>
    <w:rsid w:val="00435883"/>
    <w:pPr>
      <w:spacing w:before="100" w:beforeAutospacing="1" w:after="100" w:afterAutospacing="1"/>
    </w:pPr>
    <w:rPr>
      <w:bCs w:val="0"/>
      <w:sz w:val="24"/>
    </w:rPr>
  </w:style>
  <w:style w:type="paragraph" w:customStyle="1" w:styleId="companymap">
    <w:name w:val="companymap"/>
    <w:basedOn w:val="Normal"/>
    <w:rsid w:val="00435883"/>
    <w:pPr>
      <w:spacing w:before="100" w:beforeAutospacing="1" w:after="100" w:afterAutospacing="1"/>
    </w:pPr>
    <w:rPr>
      <w:bCs w:val="0"/>
      <w:sz w:val="24"/>
    </w:rPr>
  </w:style>
  <w:style w:type="paragraph" w:customStyle="1" w:styleId="cobusinessname">
    <w:name w:val="co_businessname"/>
    <w:basedOn w:val="Normal"/>
    <w:rsid w:val="00435883"/>
    <w:pPr>
      <w:spacing w:before="100" w:beforeAutospacing="1" w:after="100" w:afterAutospacing="1"/>
    </w:pPr>
    <w:rPr>
      <w:bCs w:val="0"/>
      <w:sz w:val="24"/>
    </w:rPr>
  </w:style>
  <w:style w:type="paragraph" w:customStyle="1" w:styleId="coriskalerts">
    <w:name w:val="co_riskalerts"/>
    <w:basedOn w:val="Normal"/>
    <w:rsid w:val="00435883"/>
    <w:pPr>
      <w:spacing w:before="100" w:beforeAutospacing="1" w:after="100" w:afterAutospacing="1"/>
    </w:pPr>
    <w:rPr>
      <w:bCs w:val="0"/>
      <w:sz w:val="24"/>
    </w:rPr>
  </w:style>
  <w:style w:type="paragraph" w:customStyle="1" w:styleId="co32percent">
    <w:name w:val="co_32percent"/>
    <w:basedOn w:val="Normal"/>
    <w:rsid w:val="00435883"/>
    <w:pPr>
      <w:spacing w:before="100" w:beforeAutospacing="1" w:after="100" w:afterAutospacing="1"/>
    </w:pPr>
    <w:rPr>
      <w:bCs w:val="0"/>
      <w:sz w:val="24"/>
    </w:rPr>
  </w:style>
  <w:style w:type="paragraph" w:customStyle="1" w:styleId="reportriskmetadata">
    <w:name w:val="report_riskmetadata"/>
    <w:basedOn w:val="Normal"/>
    <w:rsid w:val="00435883"/>
    <w:pPr>
      <w:spacing w:before="100" w:beforeAutospacing="1" w:after="100" w:afterAutospacing="1"/>
    </w:pPr>
    <w:rPr>
      <w:bCs w:val="0"/>
      <w:sz w:val="24"/>
    </w:rPr>
  </w:style>
  <w:style w:type="paragraph" w:customStyle="1" w:styleId="coreportmainheader">
    <w:name w:val="co_reportmainheader"/>
    <w:basedOn w:val="Normal"/>
    <w:rsid w:val="00435883"/>
    <w:pPr>
      <w:spacing w:before="100" w:beforeAutospacing="1" w:after="100" w:afterAutospacing="1"/>
    </w:pPr>
    <w:rPr>
      <w:bCs w:val="0"/>
      <w:sz w:val="24"/>
    </w:rPr>
  </w:style>
  <w:style w:type="paragraph" w:customStyle="1" w:styleId="coreportsubheader">
    <w:name w:val="co_reportsubheader"/>
    <w:basedOn w:val="Normal"/>
    <w:rsid w:val="00435883"/>
    <w:pPr>
      <w:spacing w:before="100" w:beforeAutospacing="1" w:after="100" w:afterAutospacing="1"/>
    </w:pPr>
    <w:rPr>
      <w:bCs w:val="0"/>
      <w:sz w:val="24"/>
    </w:rPr>
  </w:style>
  <w:style w:type="paragraph" w:customStyle="1" w:styleId="coreportcontenttable">
    <w:name w:val="co_reportcontenttable"/>
    <w:basedOn w:val="Normal"/>
    <w:rsid w:val="00435883"/>
    <w:pPr>
      <w:spacing w:before="100" w:beforeAutospacing="1" w:after="100" w:afterAutospacing="1"/>
    </w:pPr>
    <w:rPr>
      <w:bCs w:val="0"/>
      <w:sz w:val="24"/>
    </w:rPr>
  </w:style>
  <w:style w:type="paragraph" w:customStyle="1" w:styleId="coreportdatatable">
    <w:name w:val="co_reportdatatable"/>
    <w:basedOn w:val="Normal"/>
    <w:rsid w:val="00435883"/>
    <w:pPr>
      <w:spacing w:before="100" w:beforeAutospacing="1" w:after="100" w:afterAutospacing="1"/>
    </w:pPr>
    <w:rPr>
      <w:bCs w:val="0"/>
      <w:sz w:val="24"/>
    </w:rPr>
  </w:style>
  <w:style w:type="paragraph" w:customStyle="1" w:styleId="coreporttextindentsmall">
    <w:name w:val="co_reporttextindentsmall"/>
    <w:basedOn w:val="Normal"/>
    <w:rsid w:val="00435883"/>
    <w:pPr>
      <w:spacing w:before="100" w:beforeAutospacing="1" w:after="100" w:afterAutospacing="1"/>
    </w:pPr>
    <w:rPr>
      <w:bCs w:val="0"/>
      <w:sz w:val="24"/>
    </w:rPr>
  </w:style>
  <w:style w:type="paragraph" w:customStyle="1" w:styleId="coreporttextindentmedium">
    <w:name w:val="co_reporttextindentmedium"/>
    <w:basedOn w:val="Normal"/>
    <w:rsid w:val="00435883"/>
    <w:pPr>
      <w:spacing w:before="100" w:beforeAutospacing="1" w:after="100" w:afterAutospacing="1"/>
    </w:pPr>
    <w:rPr>
      <w:bCs w:val="0"/>
      <w:sz w:val="24"/>
    </w:rPr>
  </w:style>
  <w:style w:type="paragraph" w:customStyle="1" w:styleId="codocument">
    <w:name w:val="co_document"/>
    <w:basedOn w:val="Normal"/>
    <w:rsid w:val="00435883"/>
    <w:pPr>
      <w:spacing w:before="100" w:beforeAutospacing="1" w:after="100" w:afterAutospacing="1"/>
    </w:pPr>
    <w:rPr>
      <w:bCs w:val="0"/>
      <w:sz w:val="24"/>
    </w:rPr>
  </w:style>
  <w:style w:type="paragraph" w:customStyle="1" w:styleId="cocitatorflag">
    <w:name w:val="co_citatorflag"/>
    <w:basedOn w:val="Normal"/>
    <w:rsid w:val="00435883"/>
    <w:pPr>
      <w:spacing w:before="100" w:beforeAutospacing="1" w:after="100" w:afterAutospacing="1"/>
    </w:pPr>
    <w:rPr>
      <w:bCs w:val="0"/>
      <w:sz w:val="24"/>
    </w:rPr>
  </w:style>
  <w:style w:type="paragraph" w:customStyle="1" w:styleId="cohelpcenterlink">
    <w:name w:val="co_helpcenterlink"/>
    <w:basedOn w:val="Normal"/>
    <w:rsid w:val="00435883"/>
    <w:pPr>
      <w:spacing w:before="100" w:beforeAutospacing="1" w:after="100" w:afterAutospacing="1"/>
    </w:pPr>
    <w:rPr>
      <w:bCs w:val="0"/>
      <w:sz w:val="24"/>
    </w:rPr>
  </w:style>
  <w:style w:type="paragraph" w:customStyle="1" w:styleId="prtable">
    <w:name w:val="pr_table"/>
    <w:basedOn w:val="Normal"/>
    <w:rsid w:val="00435883"/>
    <w:pPr>
      <w:spacing w:before="100" w:beforeAutospacing="1" w:after="100" w:afterAutospacing="1"/>
    </w:pPr>
    <w:rPr>
      <w:bCs w:val="0"/>
      <w:sz w:val="24"/>
    </w:rPr>
  </w:style>
  <w:style w:type="paragraph" w:customStyle="1" w:styleId="cochildbearing">
    <w:name w:val="co_childbearing"/>
    <w:basedOn w:val="Normal"/>
    <w:rsid w:val="00435883"/>
    <w:pPr>
      <w:spacing w:before="100" w:beforeAutospacing="1" w:after="100" w:afterAutospacing="1"/>
    </w:pPr>
    <w:rPr>
      <w:bCs w:val="0"/>
      <w:sz w:val="24"/>
    </w:rPr>
  </w:style>
  <w:style w:type="paragraph" w:customStyle="1" w:styleId="cofullscreenlink">
    <w:name w:val="co_fullscreenlink"/>
    <w:basedOn w:val="Normal"/>
    <w:rsid w:val="00435883"/>
    <w:pPr>
      <w:spacing w:before="100" w:beforeAutospacing="1" w:after="100" w:afterAutospacing="1"/>
    </w:pPr>
    <w:rPr>
      <w:bCs w:val="0"/>
      <w:sz w:val="24"/>
    </w:rPr>
  </w:style>
  <w:style w:type="paragraph" w:customStyle="1" w:styleId="cocustomdigestinner">
    <w:name w:val="co_customdigestinner"/>
    <w:basedOn w:val="Normal"/>
    <w:rsid w:val="00435883"/>
    <w:pPr>
      <w:spacing w:before="100" w:beforeAutospacing="1" w:after="100" w:afterAutospacing="1"/>
    </w:pPr>
    <w:rPr>
      <w:bCs w:val="0"/>
      <w:sz w:val="24"/>
    </w:rPr>
  </w:style>
  <w:style w:type="paragraph" w:customStyle="1" w:styleId="cocustomdigestouter">
    <w:name w:val="co_customdigestouter"/>
    <w:basedOn w:val="Normal"/>
    <w:rsid w:val="00435883"/>
    <w:pPr>
      <w:spacing w:before="100" w:beforeAutospacing="1" w:after="100" w:afterAutospacing="1"/>
    </w:pPr>
    <w:rPr>
      <w:bCs w:val="0"/>
      <w:sz w:val="24"/>
    </w:rPr>
  </w:style>
  <w:style w:type="paragraph" w:customStyle="1" w:styleId="cosearchignoreddocument">
    <w:name w:val="co_search_ignored_document"/>
    <w:basedOn w:val="Normal"/>
    <w:rsid w:val="00435883"/>
    <w:pPr>
      <w:spacing w:before="100" w:beforeAutospacing="1" w:after="100" w:afterAutospacing="1"/>
    </w:pPr>
    <w:rPr>
      <w:bCs w:val="0"/>
      <w:sz w:val="24"/>
    </w:rPr>
  </w:style>
  <w:style w:type="paragraph" w:customStyle="1" w:styleId="cosearchtrackeddocument">
    <w:name w:val="co_search_tracked_document"/>
    <w:basedOn w:val="Normal"/>
    <w:rsid w:val="00435883"/>
    <w:pPr>
      <w:spacing w:before="100" w:beforeAutospacing="1" w:after="100" w:afterAutospacing="1"/>
    </w:pPr>
    <w:rPr>
      <w:bCs w:val="0"/>
      <w:sz w:val="24"/>
    </w:rPr>
  </w:style>
  <w:style w:type="paragraph" w:customStyle="1" w:styleId="coheadnoteheader">
    <w:name w:val="co_headnoteheader"/>
    <w:basedOn w:val="Normal"/>
    <w:rsid w:val="00435883"/>
    <w:pPr>
      <w:spacing w:before="100" w:beforeAutospacing="1" w:after="100" w:afterAutospacing="1"/>
    </w:pPr>
    <w:rPr>
      <w:bCs w:val="0"/>
      <w:sz w:val="24"/>
    </w:rPr>
  </w:style>
  <w:style w:type="paragraph" w:customStyle="1" w:styleId="coheadnoteheaderspan">
    <w:name w:val="co_headnoteheaderspan"/>
    <w:basedOn w:val="Normal"/>
    <w:rsid w:val="00435883"/>
    <w:pPr>
      <w:spacing w:before="100" w:beforeAutospacing="1" w:after="100" w:afterAutospacing="1"/>
    </w:pPr>
    <w:rPr>
      <w:bCs w:val="0"/>
      <w:sz w:val="24"/>
    </w:rPr>
  </w:style>
  <w:style w:type="paragraph" w:customStyle="1" w:styleId="pmfulltextdocumentcount">
    <w:name w:val="pm_fulltextdocumentcount"/>
    <w:basedOn w:val="Normal"/>
    <w:rsid w:val="00435883"/>
    <w:pPr>
      <w:spacing w:before="100" w:beforeAutospacing="1" w:after="100" w:afterAutospacing="1"/>
    </w:pPr>
    <w:rPr>
      <w:bCs w:val="0"/>
      <w:sz w:val="24"/>
    </w:rPr>
  </w:style>
  <w:style w:type="paragraph" w:customStyle="1" w:styleId="valuebox">
    <w:name w:val="valuebox"/>
    <w:basedOn w:val="Normal"/>
    <w:rsid w:val="00435883"/>
    <w:pPr>
      <w:spacing w:before="100" w:beforeAutospacing="1" w:after="100" w:afterAutospacing="1"/>
    </w:pPr>
    <w:rPr>
      <w:bCs w:val="0"/>
      <w:sz w:val="24"/>
    </w:rPr>
  </w:style>
  <w:style w:type="paragraph" w:customStyle="1" w:styleId="cotabactive">
    <w:name w:val="co_tabactive"/>
    <w:basedOn w:val="Normal"/>
    <w:rsid w:val="00435883"/>
    <w:pPr>
      <w:spacing w:before="100" w:beforeAutospacing="1" w:after="100" w:afterAutospacing="1"/>
    </w:pPr>
    <w:rPr>
      <w:bCs w:val="0"/>
      <w:sz w:val="24"/>
    </w:rPr>
  </w:style>
  <w:style w:type="paragraph" w:customStyle="1" w:styleId="cosearchadvancedsearchformfields">
    <w:name w:val="co_search_advancedsearchformfields"/>
    <w:basedOn w:val="Normal"/>
    <w:rsid w:val="00435883"/>
    <w:pPr>
      <w:spacing w:before="100" w:beforeAutospacing="1" w:after="100" w:afterAutospacing="1"/>
    </w:pPr>
    <w:rPr>
      <w:bCs w:val="0"/>
      <w:sz w:val="24"/>
    </w:rPr>
  </w:style>
  <w:style w:type="paragraph" w:customStyle="1" w:styleId="icon">
    <w:name w:val="icon"/>
    <w:basedOn w:val="Normal"/>
    <w:rsid w:val="00435883"/>
    <w:pPr>
      <w:spacing w:before="100" w:beforeAutospacing="1" w:after="100" w:afterAutospacing="1"/>
    </w:pPr>
    <w:rPr>
      <w:bCs w:val="0"/>
      <w:sz w:val="24"/>
    </w:rPr>
  </w:style>
  <w:style w:type="paragraph" w:customStyle="1" w:styleId="coexportfolderlabeltext">
    <w:name w:val="co_exportfolder_labeltext"/>
    <w:basedOn w:val="Normal"/>
    <w:rsid w:val="00435883"/>
    <w:pPr>
      <w:spacing w:before="100" w:beforeAutospacing="1" w:after="100" w:afterAutospacing="1"/>
    </w:pPr>
    <w:rPr>
      <w:bCs w:val="0"/>
      <w:sz w:val="24"/>
    </w:rPr>
  </w:style>
  <w:style w:type="paragraph" w:customStyle="1" w:styleId="cogradeletter">
    <w:name w:val="co_gradeletter"/>
    <w:basedOn w:val="Normal"/>
    <w:rsid w:val="00435883"/>
    <w:pPr>
      <w:spacing w:before="100" w:beforeAutospacing="1" w:after="100" w:afterAutospacing="1"/>
    </w:pPr>
    <w:rPr>
      <w:bCs w:val="0"/>
      <w:sz w:val="24"/>
    </w:rPr>
  </w:style>
  <w:style w:type="paragraph" w:customStyle="1" w:styleId="yearselectarea">
    <w:name w:val="yearselectarea"/>
    <w:basedOn w:val="Normal"/>
    <w:rsid w:val="00435883"/>
    <w:pPr>
      <w:spacing w:before="100" w:beforeAutospacing="1" w:after="100" w:afterAutospacing="1"/>
    </w:pPr>
    <w:rPr>
      <w:bCs w:val="0"/>
      <w:sz w:val="24"/>
    </w:rPr>
  </w:style>
  <w:style w:type="paragraph" w:customStyle="1" w:styleId="coeeyearlink">
    <w:name w:val="co_eeyearlink"/>
    <w:basedOn w:val="Normal"/>
    <w:rsid w:val="00435883"/>
    <w:pPr>
      <w:spacing w:before="100" w:beforeAutospacing="1" w:after="100" w:afterAutospacing="1"/>
    </w:pPr>
    <w:rPr>
      <w:bCs w:val="0"/>
      <w:sz w:val="24"/>
    </w:rPr>
  </w:style>
  <w:style w:type="paragraph" w:customStyle="1" w:styleId="coauthorname">
    <w:name w:val="co_authorname"/>
    <w:basedOn w:val="Normal"/>
    <w:rsid w:val="00435883"/>
    <w:pPr>
      <w:spacing w:before="100" w:beforeAutospacing="1" w:after="100" w:afterAutospacing="1"/>
    </w:pPr>
    <w:rPr>
      <w:bCs w:val="0"/>
      <w:sz w:val="24"/>
    </w:rPr>
  </w:style>
  <w:style w:type="paragraph" w:customStyle="1" w:styleId="cplinktext">
    <w:name w:val="cp_linktext"/>
    <w:basedOn w:val="Normal"/>
    <w:rsid w:val="00435883"/>
    <w:pPr>
      <w:spacing w:before="100" w:beforeAutospacing="1" w:after="100" w:afterAutospacing="1"/>
    </w:pPr>
    <w:rPr>
      <w:bCs w:val="0"/>
      <w:sz w:val="24"/>
    </w:rPr>
  </w:style>
  <w:style w:type="paragraph" w:customStyle="1" w:styleId="cpdeleteitem">
    <w:name w:val="cp_deleteitem"/>
    <w:basedOn w:val="Normal"/>
    <w:rsid w:val="00435883"/>
    <w:pPr>
      <w:spacing w:before="100" w:beforeAutospacing="1" w:after="100" w:afterAutospacing="1"/>
    </w:pPr>
    <w:rPr>
      <w:bCs w:val="0"/>
      <w:sz w:val="24"/>
    </w:rPr>
  </w:style>
  <w:style w:type="paragraph" w:customStyle="1" w:styleId="cobreadcrumbs">
    <w:name w:val="co_breadcrumbs"/>
    <w:basedOn w:val="Normal"/>
    <w:rsid w:val="00435883"/>
    <w:pPr>
      <w:spacing w:before="100" w:beforeAutospacing="1" w:after="100" w:afterAutospacing="1"/>
    </w:pPr>
    <w:rPr>
      <w:bCs w:val="0"/>
      <w:sz w:val="24"/>
    </w:rPr>
  </w:style>
  <w:style w:type="paragraph" w:customStyle="1" w:styleId="cowizardstepleftbreadcrumb">
    <w:name w:val="co_wizardstep_left_breadcrumb"/>
    <w:basedOn w:val="Normal"/>
    <w:rsid w:val="00435883"/>
    <w:pPr>
      <w:spacing w:before="100" w:beforeAutospacing="1" w:after="100" w:afterAutospacing="1"/>
    </w:pPr>
    <w:rPr>
      <w:bCs w:val="0"/>
      <w:sz w:val="24"/>
    </w:rPr>
  </w:style>
  <w:style w:type="paragraph" w:customStyle="1" w:styleId="containercss">
    <w:name w:val="containercss"/>
    <w:basedOn w:val="Normal"/>
    <w:rsid w:val="00435883"/>
    <w:pPr>
      <w:spacing w:before="100" w:beforeAutospacing="1" w:after="100" w:afterAutospacing="1"/>
    </w:pPr>
    <w:rPr>
      <w:bCs w:val="0"/>
      <w:sz w:val="24"/>
    </w:rPr>
  </w:style>
  <w:style w:type="paragraph" w:customStyle="1" w:styleId="coselectedcontentlistitem">
    <w:name w:val="co_selectedcontentlistitem"/>
    <w:basedOn w:val="Normal"/>
    <w:rsid w:val="00435883"/>
    <w:pPr>
      <w:spacing w:before="100" w:beforeAutospacing="1" w:after="100" w:afterAutospacing="1"/>
    </w:pPr>
    <w:rPr>
      <w:bCs w:val="0"/>
      <w:sz w:val="24"/>
    </w:rPr>
  </w:style>
  <w:style w:type="paragraph" w:customStyle="1" w:styleId="coselectedcontentfiltervalue">
    <w:name w:val="co_selectedcontentfiltervalue"/>
    <w:basedOn w:val="Normal"/>
    <w:rsid w:val="00435883"/>
    <w:pPr>
      <w:spacing w:before="100" w:beforeAutospacing="1" w:after="100" w:afterAutospacing="1"/>
    </w:pPr>
    <w:rPr>
      <w:bCs w:val="0"/>
      <w:sz w:val="24"/>
    </w:rPr>
  </w:style>
  <w:style w:type="paragraph" w:customStyle="1" w:styleId="coalertgroupundo">
    <w:name w:val="co_alertgroupundo"/>
    <w:basedOn w:val="Normal"/>
    <w:rsid w:val="00435883"/>
    <w:pPr>
      <w:spacing w:before="100" w:beforeAutospacing="1" w:after="100" w:afterAutospacing="1"/>
    </w:pPr>
    <w:rPr>
      <w:bCs w:val="0"/>
      <w:sz w:val="24"/>
    </w:rPr>
  </w:style>
  <w:style w:type="paragraph" w:customStyle="1" w:styleId="resultcountcontainer">
    <w:name w:val="resultcountcontainer"/>
    <w:basedOn w:val="Normal"/>
    <w:rsid w:val="00435883"/>
    <w:pPr>
      <w:spacing w:before="100" w:beforeAutospacing="1" w:after="100" w:afterAutospacing="1"/>
    </w:pPr>
    <w:rPr>
      <w:bCs w:val="0"/>
      <w:sz w:val="24"/>
    </w:rPr>
  </w:style>
  <w:style w:type="paragraph" w:customStyle="1" w:styleId="cobicompanyname">
    <w:name w:val="co_bi_companyname"/>
    <w:basedOn w:val="Normal"/>
    <w:rsid w:val="00435883"/>
    <w:pPr>
      <w:spacing w:before="100" w:beforeAutospacing="1" w:after="100" w:afterAutospacing="1"/>
    </w:pPr>
    <w:rPr>
      <w:bCs w:val="0"/>
      <w:sz w:val="24"/>
    </w:rPr>
  </w:style>
  <w:style w:type="paragraph" w:customStyle="1" w:styleId="colinkcheckboxcheckbox">
    <w:name w:val="co_linkcheckbox_checkbox"/>
    <w:basedOn w:val="Normal"/>
    <w:rsid w:val="00435883"/>
    <w:pPr>
      <w:spacing w:before="100" w:beforeAutospacing="1" w:after="100" w:afterAutospacing="1"/>
    </w:pPr>
    <w:rPr>
      <w:bCs w:val="0"/>
      <w:sz w:val="24"/>
    </w:rPr>
  </w:style>
  <w:style w:type="paragraph" w:customStyle="1" w:styleId="issuelabelpopup">
    <w:name w:val="issuelabelpopup"/>
    <w:basedOn w:val="Normal"/>
    <w:rsid w:val="00435883"/>
    <w:pPr>
      <w:spacing w:before="100" w:beforeAutospacing="1" w:after="100" w:afterAutospacing="1"/>
    </w:pPr>
    <w:rPr>
      <w:bCs w:val="0"/>
      <w:sz w:val="24"/>
    </w:rPr>
  </w:style>
  <w:style w:type="paragraph" w:customStyle="1" w:styleId="codocumentreportbody">
    <w:name w:val="co_documentreportbody"/>
    <w:basedOn w:val="Normal"/>
    <w:rsid w:val="00435883"/>
    <w:pPr>
      <w:spacing w:before="100" w:beforeAutospacing="1" w:after="100" w:afterAutospacing="1"/>
    </w:pPr>
    <w:rPr>
      <w:bCs w:val="0"/>
      <w:sz w:val="24"/>
    </w:rPr>
  </w:style>
  <w:style w:type="paragraph" w:customStyle="1" w:styleId="coendofdoccopyright">
    <w:name w:val="co_endofdoccopyright"/>
    <w:basedOn w:val="Normal"/>
    <w:rsid w:val="00435883"/>
    <w:pPr>
      <w:spacing w:before="100" w:beforeAutospacing="1" w:after="100" w:afterAutospacing="1"/>
    </w:pPr>
    <w:rPr>
      <w:bCs w:val="0"/>
      <w:sz w:val="24"/>
    </w:rPr>
  </w:style>
  <w:style w:type="paragraph" w:customStyle="1" w:styleId="copurheadnote">
    <w:name w:val="co_purheadnote"/>
    <w:basedOn w:val="Normal"/>
    <w:rsid w:val="00435883"/>
    <w:pPr>
      <w:spacing w:before="100" w:beforeAutospacing="1" w:after="100" w:afterAutospacing="1"/>
    </w:pPr>
    <w:rPr>
      <w:bCs w:val="0"/>
      <w:sz w:val="24"/>
    </w:rPr>
  </w:style>
  <w:style w:type="paragraph" w:customStyle="1" w:styleId="colist">
    <w:name w:val="co_list"/>
    <w:basedOn w:val="Normal"/>
    <w:rsid w:val="00435883"/>
    <w:pPr>
      <w:spacing w:before="100" w:beforeAutospacing="1" w:after="100" w:afterAutospacing="1"/>
    </w:pPr>
    <w:rPr>
      <w:bCs w:val="0"/>
      <w:sz w:val="24"/>
    </w:rPr>
  </w:style>
  <w:style w:type="paragraph" w:customStyle="1" w:styleId="crswfancytableinnerrow">
    <w:name w:val="crsw_fancytableinnerrow"/>
    <w:basedOn w:val="Normal"/>
    <w:rsid w:val="00435883"/>
    <w:pPr>
      <w:spacing w:before="100" w:beforeAutospacing="1" w:after="100" w:afterAutospacing="1"/>
    </w:pPr>
    <w:rPr>
      <w:bCs w:val="0"/>
      <w:sz w:val="24"/>
    </w:rPr>
  </w:style>
  <w:style w:type="paragraph" w:customStyle="1" w:styleId="copublicationline">
    <w:name w:val="co_publicationline"/>
    <w:basedOn w:val="Normal"/>
    <w:rsid w:val="00435883"/>
    <w:pPr>
      <w:spacing w:before="100" w:beforeAutospacing="1" w:after="100" w:afterAutospacing="1"/>
    </w:pPr>
    <w:rPr>
      <w:bCs w:val="0"/>
      <w:sz w:val="24"/>
    </w:rPr>
  </w:style>
  <w:style w:type="paragraph" w:customStyle="1" w:styleId="cosortanchor">
    <w:name w:val="co_sortanchor"/>
    <w:basedOn w:val="Normal"/>
    <w:rsid w:val="00435883"/>
    <w:pPr>
      <w:spacing w:before="100" w:beforeAutospacing="1" w:after="100" w:afterAutospacing="1"/>
    </w:pPr>
    <w:rPr>
      <w:bCs w:val="0"/>
      <w:sz w:val="24"/>
    </w:rPr>
  </w:style>
  <w:style w:type="paragraph" w:customStyle="1" w:styleId="icon-down-triangle">
    <w:name w:val="icon-down-triangle"/>
    <w:basedOn w:val="Normal"/>
    <w:rsid w:val="00435883"/>
    <w:pPr>
      <w:spacing w:before="100" w:beforeAutospacing="1" w:after="100" w:afterAutospacing="1"/>
    </w:pPr>
    <w:rPr>
      <w:bCs w:val="0"/>
      <w:sz w:val="24"/>
    </w:rPr>
  </w:style>
  <w:style w:type="paragraph" w:customStyle="1" w:styleId="icon-up-triangle">
    <w:name w:val="icon-up-triangle"/>
    <w:basedOn w:val="Normal"/>
    <w:rsid w:val="00435883"/>
    <w:pPr>
      <w:spacing w:before="100" w:beforeAutospacing="1" w:after="100" w:afterAutospacing="1"/>
    </w:pPr>
    <w:rPr>
      <w:bCs w:val="0"/>
      <w:sz w:val="24"/>
    </w:rPr>
  </w:style>
  <w:style w:type="paragraph" w:customStyle="1" w:styleId="th">
    <w:name w:val="th"/>
    <w:basedOn w:val="Normal"/>
    <w:rsid w:val="00435883"/>
    <w:pPr>
      <w:spacing w:before="100" w:beforeAutospacing="1" w:after="100" w:afterAutospacing="1"/>
    </w:pPr>
    <w:rPr>
      <w:bCs w:val="0"/>
      <w:sz w:val="24"/>
    </w:rPr>
  </w:style>
  <w:style w:type="paragraph" w:customStyle="1" w:styleId="projectdescription">
    <w:name w:val="projectdescription"/>
    <w:basedOn w:val="Normal"/>
    <w:rsid w:val="00435883"/>
    <w:pPr>
      <w:spacing w:before="100" w:beforeAutospacing="1" w:after="100" w:afterAutospacing="1"/>
    </w:pPr>
    <w:rPr>
      <w:bCs w:val="0"/>
      <w:sz w:val="24"/>
    </w:rPr>
  </w:style>
  <w:style w:type="paragraph" w:customStyle="1" w:styleId="cobifourcol">
    <w:name w:val="co_bi_fourcol"/>
    <w:basedOn w:val="Normal"/>
    <w:rsid w:val="00435883"/>
    <w:pPr>
      <w:spacing w:before="100" w:beforeAutospacing="1" w:after="100" w:afterAutospacing="1"/>
    </w:pPr>
    <w:rPr>
      <w:bCs w:val="0"/>
      <w:sz w:val="24"/>
    </w:rPr>
  </w:style>
  <w:style w:type="paragraph" w:customStyle="1" w:styleId="expandalllink">
    <w:name w:val="expandalllink"/>
    <w:basedOn w:val="Normal"/>
    <w:rsid w:val="00435883"/>
    <w:pPr>
      <w:spacing w:before="100" w:beforeAutospacing="1" w:after="100" w:afterAutospacing="1"/>
    </w:pPr>
    <w:rPr>
      <w:bCs w:val="0"/>
      <w:sz w:val="24"/>
    </w:rPr>
  </w:style>
  <w:style w:type="paragraph" w:customStyle="1" w:styleId="bottomborder">
    <w:name w:val="bottomborder"/>
    <w:basedOn w:val="Normal"/>
    <w:rsid w:val="00435883"/>
    <w:pPr>
      <w:spacing w:before="100" w:beforeAutospacing="1" w:after="100" w:afterAutospacing="1"/>
    </w:pPr>
    <w:rPr>
      <w:bCs w:val="0"/>
      <w:sz w:val="24"/>
    </w:rPr>
  </w:style>
  <w:style w:type="paragraph" w:customStyle="1" w:styleId="cosearchcontenth3">
    <w:name w:val="co_searchcontent&gt;h3"/>
    <w:basedOn w:val="Normal"/>
    <w:rsid w:val="00435883"/>
    <w:pPr>
      <w:spacing w:before="100" w:beforeAutospacing="1" w:after="100" w:afterAutospacing="1"/>
    </w:pPr>
    <w:rPr>
      <w:bCs w:val="0"/>
      <w:sz w:val="24"/>
    </w:rPr>
  </w:style>
  <w:style w:type="paragraph" w:customStyle="1" w:styleId="ui-sortable-helper">
    <w:name w:val="ui-sortable-helper"/>
    <w:basedOn w:val="Normal"/>
    <w:rsid w:val="00435883"/>
    <w:pPr>
      <w:spacing w:before="100" w:beforeAutospacing="1" w:after="100" w:afterAutospacing="1"/>
    </w:pPr>
    <w:rPr>
      <w:bCs w:val="0"/>
      <w:sz w:val="24"/>
    </w:rPr>
  </w:style>
  <w:style w:type="paragraph" w:customStyle="1" w:styleId="ui-sortable-placeholder">
    <w:name w:val="ui-sortable-placeholder"/>
    <w:basedOn w:val="Normal"/>
    <w:rsid w:val="00435883"/>
    <w:pPr>
      <w:spacing w:before="100" w:beforeAutospacing="1" w:after="100" w:afterAutospacing="1"/>
    </w:pPr>
    <w:rPr>
      <w:bCs w:val="0"/>
      <w:sz w:val="24"/>
    </w:rPr>
  </w:style>
  <w:style w:type="paragraph" w:customStyle="1" w:styleId="cocolumnulli">
    <w:name w:val="co_column&gt;ul&gt;li"/>
    <w:basedOn w:val="Normal"/>
    <w:rsid w:val="00435883"/>
    <w:pPr>
      <w:spacing w:before="100" w:beforeAutospacing="1" w:after="100" w:afterAutospacing="1"/>
    </w:pPr>
    <w:rPr>
      <w:bCs w:val="0"/>
      <w:sz w:val="24"/>
    </w:rPr>
  </w:style>
  <w:style w:type="paragraph" w:customStyle="1" w:styleId="col1">
    <w:name w:val="col1"/>
    <w:basedOn w:val="Normal"/>
    <w:rsid w:val="00435883"/>
    <w:pPr>
      <w:spacing w:before="100" w:beforeAutospacing="1" w:after="100" w:afterAutospacing="1"/>
    </w:pPr>
    <w:rPr>
      <w:bCs w:val="0"/>
      <w:sz w:val="24"/>
    </w:rPr>
  </w:style>
  <w:style w:type="paragraph" w:customStyle="1" w:styleId="coprogress">
    <w:name w:val="co_progress"/>
    <w:basedOn w:val="Normal"/>
    <w:rsid w:val="00435883"/>
    <w:pPr>
      <w:spacing w:before="100" w:beforeAutospacing="1" w:after="100" w:afterAutospacing="1"/>
    </w:pPr>
    <w:rPr>
      <w:bCs w:val="0"/>
      <w:sz w:val="24"/>
    </w:rPr>
  </w:style>
  <w:style w:type="paragraph" w:customStyle="1" w:styleId="coprogressbar">
    <w:name w:val="co_progress_bar"/>
    <w:basedOn w:val="Normal"/>
    <w:rsid w:val="00435883"/>
    <w:pPr>
      <w:spacing w:before="100" w:beforeAutospacing="1" w:after="100" w:afterAutospacing="1"/>
    </w:pPr>
    <w:rPr>
      <w:bCs w:val="0"/>
      <w:sz w:val="24"/>
    </w:rPr>
  </w:style>
  <w:style w:type="paragraph" w:customStyle="1" w:styleId="coprogressspan">
    <w:name w:val="co_progress&gt;span"/>
    <w:basedOn w:val="Normal"/>
    <w:rsid w:val="00435883"/>
    <w:pPr>
      <w:spacing w:before="100" w:beforeAutospacing="1" w:after="100" w:afterAutospacing="1"/>
    </w:pPr>
    <w:rPr>
      <w:bCs w:val="0"/>
      <w:sz w:val="24"/>
    </w:rPr>
  </w:style>
  <w:style w:type="paragraph" w:customStyle="1" w:styleId="coviewalllink">
    <w:name w:val="co_viewalllink"/>
    <w:basedOn w:val="Normal"/>
    <w:rsid w:val="00435883"/>
    <w:pPr>
      <w:spacing w:before="100" w:beforeAutospacing="1" w:after="100" w:afterAutospacing="1"/>
    </w:pPr>
    <w:rPr>
      <w:bCs w:val="0"/>
      <w:sz w:val="24"/>
    </w:rPr>
  </w:style>
  <w:style w:type="paragraph" w:customStyle="1" w:styleId="codetailstabledelivery">
    <w:name w:val="co_detailstable_delivery"/>
    <w:basedOn w:val="Normal"/>
    <w:rsid w:val="00435883"/>
    <w:pPr>
      <w:spacing w:before="100" w:beforeAutospacing="1" w:after="100" w:afterAutospacing="1"/>
    </w:pPr>
    <w:rPr>
      <w:bCs w:val="0"/>
      <w:sz w:val="24"/>
    </w:rPr>
  </w:style>
  <w:style w:type="paragraph" w:customStyle="1" w:styleId="codetailsdropdownselected">
    <w:name w:val="co_detailsdropdown_selected"/>
    <w:basedOn w:val="Normal"/>
    <w:rsid w:val="00435883"/>
    <w:pPr>
      <w:spacing w:before="100" w:beforeAutospacing="1" w:after="100" w:afterAutospacing="1"/>
    </w:pPr>
    <w:rPr>
      <w:bCs w:val="0"/>
      <w:sz w:val="24"/>
    </w:rPr>
  </w:style>
  <w:style w:type="paragraph" w:customStyle="1" w:styleId="coinnertube">
    <w:name w:val="co_innertube"/>
    <w:basedOn w:val="Normal"/>
    <w:rsid w:val="00435883"/>
    <w:pPr>
      <w:spacing w:before="100" w:beforeAutospacing="1" w:after="100" w:afterAutospacing="1"/>
    </w:pPr>
    <w:rPr>
      <w:bCs w:val="0"/>
      <w:sz w:val="24"/>
    </w:rPr>
  </w:style>
  <w:style w:type="paragraph" w:customStyle="1" w:styleId="cosntkeyciteflag">
    <w:name w:val="co_sntkeyciteflag"/>
    <w:basedOn w:val="Normal"/>
    <w:rsid w:val="00435883"/>
    <w:pPr>
      <w:spacing w:before="100" w:beforeAutospacing="1" w:after="100" w:afterAutospacing="1"/>
    </w:pPr>
    <w:rPr>
      <w:bCs w:val="0"/>
      <w:sz w:val="24"/>
    </w:rPr>
  </w:style>
  <w:style w:type="paragraph" w:customStyle="1" w:styleId="cosntcourtline">
    <w:name w:val="co_snt_courtline"/>
    <w:basedOn w:val="Normal"/>
    <w:rsid w:val="00435883"/>
    <w:pPr>
      <w:spacing w:before="100" w:beforeAutospacing="1" w:after="100" w:afterAutospacing="1"/>
    </w:pPr>
    <w:rPr>
      <w:bCs w:val="0"/>
      <w:sz w:val="24"/>
    </w:rPr>
  </w:style>
  <w:style w:type="paragraph" w:customStyle="1" w:styleId="cosntdatefiled">
    <w:name w:val="co_snt_datefiled"/>
    <w:basedOn w:val="Normal"/>
    <w:rsid w:val="00435883"/>
    <w:pPr>
      <w:spacing w:before="100" w:beforeAutospacing="1" w:after="100" w:afterAutospacing="1"/>
    </w:pPr>
    <w:rPr>
      <w:bCs w:val="0"/>
      <w:sz w:val="24"/>
    </w:rPr>
  </w:style>
  <w:style w:type="paragraph" w:customStyle="1" w:styleId="copreviewlinkmessage">
    <w:name w:val="co_previewlinkmessage"/>
    <w:basedOn w:val="Normal"/>
    <w:rsid w:val="00435883"/>
    <w:pPr>
      <w:spacing w:before="100" w:beforeAutospacing="1" w:after="100" w:afterAutospacing="1"/>
    </w:pPr>
    <w:rPr>
      <w:bCs w:val="0"/>
      <w:sz w:val="24"/>
    </w:rPr>
  </w:style>
  <w:style w:type="paragraph" w:customStyle="1" w:styleId="coclientidtimeoutlink">
    <w:name w:val="co_clientid_timeoutlink"/>
    <w:basedOn w:val="Normal"/>
    <w:rsid w:val="00435883"/>
    <w:pPr>
      <w:spacing w:before="100" w:beforeAutospacing="1" w:after="100" w:afterAutospacing="1"/>
    </w:pPr>
    <w:rPr>
      <w:bCs w:val="0"/>
      <w:sz w:val="24"/>
    </w:rPr>
  </w:style>
  <w:style w:type="paragraph" w:customStyle="1" w:styleId="coclientidtimeoutlinkdescription">
    <w:name w:val="co_clientid_timeoutlinkdescription"/>
    <w:basedOn w:val="Normal"/>
    <w:rsid w:val="00435883"/>
    <w:pPr>
      <w:spacing w:before="100" w:beforeAutospacing="1" w:after="100" w:afterAutospacing="1"/>
    </w:pPr>
    <w:rPr>
      <w:bCs w:val="0"/>
      <w:sz w:val="24"/>
    </w:rPr>
  </w:style>
  <w:style w:type="paragraph" w:customStyle="1" w:styleId="coclientidsessiontimeoutlinkslistitem">
    <w:name w:val="co_clientidsessiontimeoutlinks_listitem"/>
    <w:basedOn w:val="Normal"/>
    <w:rsid w:val="00435883"/>
    <w:pPr>
      <w:spacing w:before="100" w:beforeAutospacing="1" w:after="100" w:afterAutospacing="1"/>
    </w:pPr>
    <w:rPr>
      <w:bCs w:val="0"/>
      <w:sz w:val="24"/>
    </w:rPr>
  </w:style>
  <w:style w:type="paragraph" w:customStyle="1" w:styleId="cowelcomeimagelink">
    <w:name w:val="co_welcomeimagelink"/>
    <w:basedOn w:val="Normal"/>
    <w:rsid w:val="00435883"/>
    <w:pPr>
      <w:spacing w:before="100" w:beforeAutospacing="1" w:after="100" w:afterAutospacing="1"/>
    </w:pPr>
    <w:rPr>
      <w:bCs w:val="0"/>
      <w:sz w:val="24"/>
    </w:rPr>
  </w:style>
  <w:style w:type="paragraph" w:customStyle="1" w:styleId="codockheader">
    <w:name w:val="co_dockheader"/>
    <w:basedOn w:val="Normal"/>
    <w:rsid w:val="00435883"/>
    <w:pPr>
      <w:spacing w:before="100" w:beforeAutospacing="1" w:after="100" w:afterAutospacing="1"/>
    </w:pPr>
    <w:rPr>
      <w:bCs w:val="0"/>
      <w:sz w:val="24"/>
    </w:rPr>
  </w:style>
  <w:style w:type="paragraph" w:customStyle="1" w:styleId="codockcontent">
    <w:name w:val="co_dockcontent"/>
    <w:basedOn w:val="Normal"/>
    <w:rsid w:val="00435883"/>
    <w:pPr>
      <w:spacing w:before="100" w:beforeAutospacing="1" w:after="100" w:afterAutospacing="1"/>
    </w:pPr>
    <w:rPr>
      <w:bCs w:val="0"/>
      <w:sz w:val="24"/>
    </w:rPr>
  </w:style>
  <w:style w:type="paragraph" w:customStyle="1" w:styleId="codocketstoupdate">
    <w:name w:val="co_docketstoupdate"/>
    <w:basedOn w:val="Normal"/>
    <w:rsid w:val="00435883"/>
    <w:pPr>
      <w:spacing w:before="100" w:beforeAutospacing="1" w:after="100" w:afterAutospacing="1"/>
    </w:pPr>
    <w:rPr>
      <w:bCs w:val="0"/>
      <w:sz w:val="24"/>
    </w:rPr>
  </w:style>
  <w:style w:type="paragraph" w:customStyle="1" w:styleId="coclientidlabel">
    <w:name w:val="co_clientid_label"/>
    <w:basedOn w:val="Normal"/>
    <w:rsid w:val="00435883"/>
    <w:pPr>
      <w:spacing w:before="100" w:beforeAutospacing="1" w:after="100" w:afterAutospacing="1"/>
    </w:pPr>
    <w:rPr>
      <w:bCs w:val="0"/>
      <w:sz w:val="24"/>
    </w:rPr>
  </w:style>
  <w:style w:type="paragraph" w:customStyle="1" w:styleId="coglobalnavlink">
    <w:name w:val="co_globalnavlink"/>
    <w:basedOn w:val="Normal"/>
    <w:rsid w:val="00435883"/>
    <w:pPr>
      <w:spacing w:before="100" w:beforeAutospacing="1" w:after="100" w:afterAutospacing="1"/>
    </w:pPr>
    <w:rPr>
      <w:bCs w:val="0"/>
      <w:sz w:val="24"/>
    </w:rPr>
  </w:style>
  <w:style w:type="paragraph" w:customStyle="1" w:styleId="coglobalnavdropdownboxheader">
    <w:name w:val="co_globalnavdropdownbox_header"/>
    <w:basedOn w:val="Normal"/>
    <w:rsid w:val="00435883"/>
    <w:pPr>
      <w:spacing w:before="100" w:beforeAutospacing="1" w:after="100" w:afterAutospacing="1"/>
    </w:pPr>
    <w:rPr>
      <w:bCs w:val="0"/>
      <w:sz w:val="24"/>
    </w:rPr>
  </w:style>
  <w:style w:type="paragraph" w:customStyle="1" w:styleId="coclientidrecent">
    <w:name w:val="co_clientid_recent"/>
    <w:basedOn w:val="Normal"/>
    <w:rsid w:val="00435883"/>
    <w:pPr>
      <w:spacing w:before="100" w:beforeAutospacing="1" w:after="100" w:afterAutospacing="1"/>
    </w:pPr>
    <w:rPr>
      <w:bCs w:val="0"/>
      <w:sz w:val="24"/>
    </w:rPr>
  </w:style>
  <w:style w:type="paragraph" w:customStyle="1" w:styleId="coheadermisclink">
    <w:name w:val="co_headermisclink"/>
    <w:basedOn w:val="Normal"/>
    <w:rsid w:val="00435883"/>
    <w:pPr>
      <w:spacing w:before="100" w:beforeAutospacing="1" w:after="100" w:afterAutospacing="1"/>
    </w:pPr>
    <w:rPr>
      <w:bCs w:val="0"/>
      <w:sz w:val="24"/>
    </w:rPr>
  </w:style>
  <w:style w:type="paragraph" w:customStyle="1" w:styleId="coglobalnavdropdownboxcontent">
    <w:name w:val="co_globalnavdropdownbox_content"/>
    <w:basedOn w:val="Normal"/>
    <w:rsid w:val="00435883"/>
    <w:pPr>
      <w:spacing w:before="100" w:beforeAutospacing="1" w:after="100" w:afterAutospacing="1"/>
    </w:pPr>
    <w:rPr>
      <w:bCs w:val="0"/>
      <w:sz w:val="24"/>
    </w:rPr>
  </w:style>
  <w:style w:type="paragraph" w:customStyle="1" w:styleId="corecentdocumentslist">
    <w:name w:val="co_recentdocumentslist"/>
    <w:basedOn w:val="Normal"/>
    <w:rsid w:val="00435883"/>
    <w:pPr>
      <w:spacing w:before="100" w:beforeAutospacing="1" w:after="100" w:afterAutospacing="1"/>
    </w:pPr>
    <w:rPr>
      <w:bCs w:val="0"/>
      <w:sz w:val="24"/>
    </w:rPr>
  </w:style>
  <w:style w:type="paragraph" w:customStyle="1" w:styleId="corecentsearcheslist">
    <w:name w:val="co_recentsearcheslist"/>
    <w:basedOn w:val="Normal"/>
    <w:rsid w:val="00435883"/>
    <w:pPr>
      <w:spacing w:before="100" w:beforeAutospacing="1" w:after="100" w:afterAutospacing="1"/>
    </w:pPr>
    <w:rPr>
      <w:bCs w:val="0"/>
      <w:sz w:val="24"/>
    </w:rPr>
  </w:style>
  <w:style w:type="paragraph" w:customStyle="1" w:styleId="corecentsearchesheader">
    <w:name w:val="co_recentsearchesheader"/>
    <w:basedOn w:val="Normal"/>
    <w:rsid w:val="00435883"/>
    <w:pPr>
      <w:spacing w:before="100" w:beforeAutospacing="1" w:after="100" w:afterAutospacing="1"/>
    </w:pPr>
    <w:rPr>
      <w:bCs w:val="0"/>
      <w:sz w:val="24"/>
    </w:rPr>
  </w:style>
  <w:style w:type="paragraph" w:customStyle="1" w:styleId="cofolderactionpopup">
    <w:name w:val="co_folderactionpopup"/>
    <w:basedOn w:val="Normal"/>
    <w:rsid w:val="00435883"/>
    <w:pPr>
      <w:spacing w:before="100" w:beforeAutospacing="1" w:after="100" w:afterAutospacing="1"/>
    </w:pPr>
    <w:rPr>
      <w:bCs w:val="0"/>
      <w:sz w:val="24"/>
    </w:rPr>
  </w:style>
  <w:style w:type="paragraph" w:customStyle="1" w:styleId="corelatedinfosnttreatmentphrase">
    <w:name w:val="co_relatedinfo_snt_treatmentphrase"/>
    <w:basedOn w:val="Normal"/>
    <w:rsid w:val="00435883"/>
    <w:pPr>
      <w:spacing w:before="100" w:beforeAutospacing="1" w:after="100" w:afterAutospacing="1"/>
    </w:pPr>
    <w:rPr>
      <w:bCs w:val="0"/>
      <w:sz w:val="24"/>
    </w:rPr>
  </w:style>
  <w:style w:type="paragraph" w:customStyle="1" w:styleId="cograding">
    <w:name w:val="co_grading"/>
    <w:basedOn w:val="Normal"/>
    <w:rsid w:val="00435883"/>
    <w:pPr>
      <w:spacing w:before="100" w:beforeAutospacing="1" w:after="100" w:afterAutospacing="1"/>
    </w:pPr>
    <w:rPr>
      <w:bCs w:val="0"/>
      <w:sz w:val="24"/>
    </w:rPr>
  </w:style>
  <w:style w:type="paragraph" w:customStyle="1" w:styleId="cogridviewdropdowngrid">
    <w:name w:val="co_gridviewdropdown_grid"/>
    <w:basedOn w:val="Normal"/>
    <w:rsid w:val="00435883"/>
    <w:pPr>
      <w:spacing w:before="100" w:beforeAutospacing="1" w:after="100" w:afterAutospacing="1"/>
    </w:pPr>
    <w:rPr>
      <w:bCs w:val="0"/>
      <w:sz w:val="24"/>
    </w:rPr>
  </w:style>
  <w:style w:type="paragraph" w:customStyle="1" w:styleId="cogridviewdropdownlist">
    <w:name w:val="co_gridviewdropdown_list"/>
    <w:basedOn w:val="Normal"/>
    <w:rsid w:val="00435883"/>
    <w:pPr>
      <w:spacing w:before="100" w:beforeAutospacing="1" w:after="100" w:afterAutospacing="1"/>
    </w:pPr>
    <w:rPr>
      <w:bCs w:val="0"/>
      <w:sz w:val="24"/>
    </w:rPr>
  </w:style>
  <w:style w:type="paragraph" w:customStyle="1" w:styleId="cotermnavhidehighlighting">
    <w:name w:val="co_termnav_hidehighlighting"/>
    <w:basedOn w:val="Normal"/>
    <w:rsid w:val="00435883"/>
    <w:pPr>
      <w:spacing w:before="100" w:beforeAutospacing="1" w:after="100" w:afterAutospacing="1"/>
    </w:pPr>
    <w:rPr>
      <w:bCs w:val="0"/>
      <w:sz w:val="24"/>
    </w:rPr>
  </w:style>
  <w:style w:type="paragraph" w:customStyle="1" w:styleId="cotermnavallterm">
    <w:name w:val="co_termnav_allterm"/>
    <w:basedOn w:val="Normal"/>
    <w:rsid w:val="00435883"/>
    <w:pPr>
      <w:spacing w:before="100" w:beforeAutospacing="1" w:after="100" w:afterAutospacing="1"/>
    </w:pPr>
    <w:rPr>
      <w:bCs w:val="0"/>
      <w:sz w:val="24"/>
    </w:rPr>
  </w:style>
  <w:style w:type="paragraph" w:customStyle="1" w:styleId="cotermnavbestportion">
    <w:name w:val="co_termnav_bestportion"/>
    <w:basedOn w:val="Normal"/>
    <w:rsid w:val="00435883"/>
    <w:pPr>
      <w:spacing w:before="100" w:beforeAutospacing="1" w:after="100" w:afterAutospacing="1"/>
    </w:pPr>
    <w:rPr>
      <w:bCs w:val="0"/>
      <w:sz w:val="24"/>
    </w:rPr>
  </w:style>
  <w:style w:type="paragraph" w:customStyle="1" w:styleId="cotermnavfindterm">
    <w:name w:val="co_termnav_findterm"/>
    <w:basedOn w:val="Normal"/>
    <w:rsid w:val="00435883"/>
    <w:pPr>
      <w:spacing w:before="100" w:beforeAutospacing="1" w:after="100" w:afterAutospacing="1"/>
    </w:pPr>
    <w:rPr>
      <w:bCs w:val="0"/>
      <w:sz w:val="24"/>
    </w:rPr>
  </w:style>
  <w:style w:type="paragraph" w:customStyle="1" w:styleId="cotermnavsearchterm">
    <w:name w:val="co_termnav_searchterm"/>
    <w:basedOn w:val="Normal"/>
    <w:rsid w:val="00435883"/>
    <w:pPr>
      <w:spacing w:before="100" w:beforeAutospacing="1" w:after="100" w:afterAutospacing="1"/>
    </w:pPr>
    <w:rPr>
      <w:bCs w:val="0"/>
      <w:sz w:val="24"/>
    </w:rPr>
  </w:style>
  <w:style w:type="paragraph" w:customStyle="1" w:styleId="colargejurisdictionbox">
    <w:name w:val="co_largejurisdictionbox"/>
    <w:basedOn w:val="Normal"/>
    <w:rsid w:val="00435883"/>
    <w:pPr>
      <w:spacing w:before="100" w:beforeAutospacing="1" w:after="100" w:afterAutospacing="1"/>
    </w:pPr>
    <w:rPr>
      <w:bCs w:val="0"/>
      <w:sz w:val="24"/>
    </w:rPr>
  </w:style>
  <w:style w:type="paragraph" w:customStyle="1" w:styleId="co1column">
    <w:name w:val="co_1column"/>
    <w:basedOn w:val="Normal"/>
    <w:rsid w:val="00435883"/>
    <w:pPr>
      <w:spacing w:before="100" w:beforeAutospacing="1" w:after="100" w:afterAutospacing="1"/>
    </w:pPr>
    <w:rPr>
      <w:bCs w:val="0"/>
      <w:sz w:val="24"/>
    </w:rPr>
  </w:style>
  <w:style w:type="paragraph" w:customStyle="1" w:styleId="coactive">
    <w:name w:val="co_active"/>
    <w:basedOn w:val="Normal"/>
    <w:rsid w:val="00435883"/>
    <w:pPr>
      <w:spacing w:before="100" w:beforeAutospacing="1" w:after="100" w:afterAutospacing="1"/>
    </w:pPr>
    <w:rPr>
      <w:bCs w:val="0"/>
      <w:sz w:val="24"/>
    </w:rPr>
  </w:style>
  <w:style w:type="paragraph" w:customStyle="1" w:styleId="cocontactsoverlaybox">
    <w:name w:val="co_contacts_overlaybox"/>
    <w:basedOn w:val="Normal"/>
    <w:rsid w:val="00435883"/>
    <w:pPr>
      <w:spacing w:before="100" w:beforeAutospacing="1" w:after="100" w:afterAutospacing="1"/>
    </w:pPr>
    <w:rPr>
      <w:bCs w:val="0"/>
      <w:sz w:val="24"/>
    </w:rPr>
  </w:style>
  <w:style w:type="paragraph" w:customStyle="1" w:styleId="cosharefolderoverlaybox">
    <w:name w:val="co_sharefolder_overlaybox"/>
    <w:basedOn w:val="Normal"/>
    <w:rsid w:val="00435883"/>
    <w:pPr>
      <w:spacing w:before="100" w:beforeAutospacing="1" w:after="100" w:afterAutospacing="1"/>
    </w:pPr>
    <w:rPr>
      <w:bCs w:val="0"/>
      <w:sz w:val="24"/>
    </w:rPr>
  </w:style>
  <w:style w:type="paragraph" w:customStyle="1" w:styleId="cocasesensitiverequire">
    <w:name w:val="co_casesensitive_require"/>
    <w:basedOn w:val="Normal"/>
    <w:rsid w:val="00435883"/>
    <w:pPr>
      <w:spacing w:before="100" w:beforeAutospacing="1" w:after="100" w:afterAutospacing="1"/>
    </w:pPr>
    <w:rPr>
      <w:bCs w:val="0"/>
      <w:sz w:val="24"/>
    </w:rPr>
  </w:style>
  <w:style w:type="paragraph" w:customStyle="1" w:styleId="cotermfrequencyrequire">
    <w:name w:val="co_termfrequency_require"/>
    <w:basedOn w:val="Normal"/>
    <w:rsid w:val="00435883"/>
    <w:pPr>
      <w:spacing w:before="100" w:beforeAutospacing="1" w:after="100" w:afterAutospacing="1"/>
    </w:pPr>
    <w:rPr>
      <w:bCs w:val="0"/>
      <w:sz w:val="24"/>
    </w:rPr>
  </w:style>
  <w:style w:type="paragraph" w:customStyle="1" w:styleId="coblockedcontentheadingrequest">
    <w:name w:val="co_blockedcontentheadingrequest"/>
    <w:basedOn w:val="Normal"/>
    <w:rsid w:val="00435883"/>
    <w:pPr>
      <w:spacing w:before="100" w:beforeAutospacing="1" w:after="100" w:afterAutospacing="1"/>
    </w:pPr>
    <w:rPr>
      <w:bCs w:val="0"/>
      <w:sz w:val="24"/>
    </w:rPr>
  </w:style>
  <w:style w:type="paragraph" w:customStyle="1" w:styleId="coalreadysubscribermessage">
    <w:name w:val="co_alreadysubscribermessage"/>
    <w:basedOn w:val="Normal"/>
    <w:rsid w:val="00435883"/>
    <w:pPr>
      <w:spacing w:before="100" w:beforeAutospacing="1" w:after="100" w:afterAutospacing="1"/>
    </w:pPr>
    <w:rPr>
      <w:bCs w:val="0"/>
      <w:sz w:val="24"/>
    </w:rPr>
  </w:style>
  <w:style w:type="paragraph" w:customStyle="1" w:styleId="corequesttrialmessage">
    <w:name w:val="co_requesttrialmessage"/>
    <w:basedOn w:val="Normal"/>
    <w:rsid w:val="00435883"/>
    <w:pPr>
      <w:spacing w:before="100" w:beforeAutospacing="1" w:after="100" w:afterAutospacing="1"/>
    </w:pPr>
    <w:rPr>
      <w:bCs w:val="0"/>
      <w:sz w:val="24"/>
    </w:rPr>
  </w:style>
  <w:style w:type="paragraph" w:customStyle="1" w:styleId="codropdownboxcancel">
    <w:name w:val="co_dropdownbox_cancel"/>
    <w:basedOn w:val="Normal"/>
    <w:rsid w:val="00435883"/>
    <w:pPr>
      <w:spacing w:before="100" w:beforeAutospacing="1" w:after="100" w:afterAutospacing="1"/>
    </w:pPr>
    <w:rPr>
      <w:bCs w:val="0"/>
      <w:sz w:val="24"/>
    </w:rPr>
  </w:style>
  <w:style w:type="paragraph" w:customStyle="1" w:styleId="codropdownboxok">
    <w:name w:val="co_dropdownbox_ok"/>
    <w:basedOn w:val="Normal"/>
    <w:rsid w:val="00435883"/>
    <w:pPr>
      <w:spacing w:before="100" w:beforeAutospacing="1" w:after="100" w:afterAutospacing="1"/>
    </w:pPr>
    <w:rPr>
      <w:bCs w:val="0"/>
      <w:sz w:val="24"/>
    </w:rPr>
  </w:style>
  <w:style w:type="paragraph" w:customStyle="1" w:styleId="cofavoritedel">
    <w:name w:val="co_favoritedel"/>
    <w:basedOn w:val="Normal"/>
    <w:rsid w:val="00435883"/>
    <w:pPr>
      <w:spacing w:before="100" w:beforeAutospacing="1" w:after="100" w:afterAutospacing="1"/>
    </w:pPr>
    <w:rPr>
      <w:bCs w:val="0"/>
      <w:sz w:val="24"/>
    </w:rPr>
  </w:style>
  <w:style w:type="paragraph" w:customStyle="1" w:styleId="cofavoriteren">
    <w:name w:val="co_favoriteren"/>
    <w:basedOn w:val="Normal"/>
    <w:rsid w:val="00435883"/>
    <w:pPr>
      <w:spacing w:before="100" w:beforeAutospacing="1" w:after="100" w:afterAutospacing="1"/>
    </w:pPr>
    <w:rPr>
      <w:bCs w:val="0"/>
      <w:sz w:val="24"/>
    </w:rPr>
  </w:style>
  <w:style w:type="paragraph" w:customStyle="1" w:styleId="cofavoriteundo">
    <w:name w:val="co_favoriteundo"/>
    <w:basedOn w:val="Normal"/>
    <w:rsid w:val="00435883"/>
    <w:pPr>
      <w:spacing w:before="100" w:beforeAutospacing="1" w:after="100" w:afterAutospacing="1"/>
    </w:pPr>
    <w:rPr>
      <w:bCs w:val="0"/>
      <w:sz w:val="24"/>
    </w:rPr>
  </w:style>
  <w:style w:type="paragraph" w:customStyle="1" w:styleId="codropdownlistshow">
    <w:name w:val="co_dropdownlist_show"/>
    <w:basedOn w:val="Normal"/>
    <w:rsid w:val="00435883"/>
    <w:pPr>
      <w:spacing w:before="100" w:beforeAutospacing="1" w:after="100" w:afterAutospacing="1"/>
    </w:pPr>
    <w:rPr>
      <w:bCs w:val="0"/>
      <w:sz w:val="24"/>
    </w:rPr>
  </w:style>
  <w:style w:type="paragraph" w:customStyle="1" w:styleId="fileslist">
    <w:name w:val="fileslist"/>
    <w:basedOn w:val="Normal"/>
    <w:rsid w:val="00435883"/>
    <w:pPr>
      <w:spacing w:before="100" w:beforeAutospacing="1" w:after="100" w:afterAutospacing="1"/>
    </w:pPr>
    <w:rPr>
      <w:bCs w:val="0"/>
      <w:sz w:val="24"/>
    </w:rPr>
  </w:style>
  <w:style w:type="paragraph" w:customStyle="1" w:styleId="files">
    <w:name w:val="files"/>
    <w:basedOn w:val="Normal"/>
    <w:rsid w:val="00435883"/>
    <w:pPr>
      <w:spacing w:before="100" w:beforeAutospacing="1" w:after="100" w:afterAutospacing="1"/>
    </w:pPr>
    <w:rPr>
      <w:bCs w:val="0"/>
      <w:sz w:val="24"/>
    </w:rPr>
  </w:style>
  <w:style w:type="paragraph" w:customStyle="1" w:styleId="filename">
    <w:name w:val="file_name"/>
    <w:basedOn w:val="Normal"/>
    <w:rsid w:val="00435883"/>
    <w:pPr>
      <w:spacing w:before="100" w:beforeAutospacing="1" w:after="100" w:afterAutospacing="1"/>
    </w:pPr>
    <w:rPr>
      <w:bCs w:val="0"/>
      <w:sz w:val="24"/>
    </w:rPr>
  </w:style>
  <w:style w:type="paragraph" w:customStyle="1" w:styleId="fileuploadcancel">
    <w:name w:val="file_upload_cancel"/>
    <w:basedOn w:val="Normal"/>
    <w:rsid w:val="00435883"/>
    <w:pPr>
      <w:spacing w:before="100" w:beforeAutospacing="1" w:after="100" w:afterAutospacing="1"/>
    </w:pPr>
    <w:rPr>
      <w:bCs w:val="0"/>
      <w:sz w:val="24"/>
    </w:rPr>
  </w:style>
  <w:style w:type="paragraph" w:customStyle="1" w:styleId="filesize">
    <w:name w:val="file_size"/>
    <w:basedOn w:val="Normal"/>
    <w:rsid w:val="00435883"/>
    <w:pPr>
      <w:spacing w:before="100" w:beforeAutospacing="1" w:after="100" w:afterAutospacing="1"/>
    </w:pPr>
    <w:rPr>
      <w:bCs w:val="0"/>
      <w:sz w:val="24"/>
    </w:rPr>
  </w:style>
  <w:style w:type="paragraph" w:customStyle="1" w:styleId="fileuploadprogress">
    <w:name w:val="file_upload_progress"/>
    <w:basedOn w:val="Normal"/>
    <w:rsid w:val="00435883"/>
    <w:pPr>
      <w:spacing w:before="100" w:beforeAutospacing="1" w:after="100" w:afterAutospacing="1"/>
    </w:pPr>
    <w:rPr>
      <w:bCs w:val="0"/>
      <w:sz w:val="24"/>
    </w:rPr>
  </w:style>
  <w:style w:type="paragraph" w:customStyle="1" w:styleId="ui-progressbar">
    <w:name w:val="ui-progressbar"/>
    <w:basedOn w:val="Normal"/>
    <w:rsid w:val="00435883"/>
    <w:pPr>
      <w:spacing w:before="100" w:beforeAutospacing="1" w:after="100" w:afterAutospacing="1"/>
    </w:pPr>
    <w:rPr>
      <w:bCs w:val="0"/>
      <w:sz w:val="24"/>
    </w:rPr>
  </w:style>
  <w:style w:type="paragraph" w:customStyle="1" w:styleId="cologothomsonreuters">
    <w:name w:val="co_logo_thomsonreuters"/>
    <w:basedOn w:val="Normal"/>
    <w:rsid w:val="00435883"/>
    <w:pPr>
      <w:spacing w:before="100" w:beforeAutospacing="1" w:after="100" w:afterAutospacing="1"/>
    </w:pPr>
    <w:rPr>
      <w:bCs w:val="0"/>
      <w:sz w:val="24"/>
    </w:rPr>
  </w:style>
  <w:style w:type="paragraph" w:customStyle="1" w:styleId="coexpdetailbuttons">
    <w:name w:val="co_expdetailbuttons"/>
    <w:basedOn w:val="Normal"/>
    <w:rsid w:val="00435883"/>
    <w:pPr>
      <w:spacing w:before="100" w:beforeAutospacing="1" w:after="100" w:afterAutospacing="1"/>
    </w:pPr>
    <w:rPr>
      <w:bCs w:val="0"/>
      <w:sz w:val="24"/>
    </w:rPr>
  </w:style>
  <w:style w:type="paragraph" w:customStyle="1" w:styleId="coexperimentquerynotassigned">
    <w:name w:val="co_experimentquerynotassigned"/>
    <w:basedOn w:val="Normal"/>
    <w:rsid w:val="00435883"/>
    <w:pPr>
      <w:spacing w:before="100" w:beforeAutospacing="1" w:after="100" w:afterAutospacing="1"/>
    </w:pPr>
    <w:rPr>
      <w:bCs w:val="0"/>
      <w:sz w:val="24"/>
    </w:rPr>
  </w:style>
  <w:style w:type="paragraph" w:customStyle="1" w:styleId="cogradingtoolnewquerycontent">
    <w:name w:val="co_gradingtoolnewquerycontent"/>
    <w:basedOn w:val="Normal"/>
    <w:rsid w:val="00435883"/>
    <w:pPr>
      <w:spacing w:before="100" w:beforeAutospacing="1" w:after="100" w:afterAutospacing="1"/>
    </w:pPr>
    <w:rPr>
      <w:bCs w:val="0"/>
      <w:sz w:val="24"/>
    </w:rPr>
  </w:style>
  <w:style w:type="paragraph" w:customStyle="1" w:styleId="cogradingtoolnewquerycontentdiv">
    <w:name w:val="co_gradingtoolnewquerycontent&gt;div"/>
    <w:basedOn w:val="Normal"/>
    <w:rsid w:val="00435883"/>
    <w:pPr>
      <w:spacing w:before="100" w:beforeAutospacing="1" w:after="100" w:afterAutospacing="1"/>
    </w:pPr>
    <w:rPr>
      <w:bCs w:val="0"/>
      <w:sz w:val="24"/>
    </w:rPr>
  </w:style>
  <w:style w:type="paragraph" w:customStyle="1" w:styleId="js-ra-reset">
    <w:name w:val="js-ra-reset"/>
    <w:basedOn w:val="Normal"/>
    <w:rsid w:val="00435883"/>
    <w:pPr>
      <w:spacing w:before="100" w:beforeAutospacing="1" w:after="100" w:afterAutospacing="1"/>
    </w:pPr>
    <w:rPr>
      <w:bCs w:val="0"/>
      <w:sz w:val="24"/>
    </w:rPr>
  </w:style>
  <w:style w:type="paragraph" w:customStyle="1" w:styleId="cobtnstart">
    <w:name w:val="co_btnstart"/>
    <w:basedOn w:val="Normal"/>
    <w:rsid w:val="00435883"/>
    <w:pPr>
      <w:spacing w:before="100" w:beforeAutospacing="1" w:after="100" w:afterAutospacing="1"/>
    </w:pPr>
    <w:rPr>
      <w:bCs w:val="0"/>
      <w:sz w:val="24"/>
    </w:rPr>
  </w:style>
  <w:style w:type="paragraph" w:customStyle="1" w:styleId="cosearchcount">
    <w:name w:val="co_searchcount"/>
    <w:basedOn w:val="Normal"/>
    <w:rsid w:val="00435883"/>
    <w:pPr>
      <w:spacing w:before="100" w:beforeAutospacing="1" w:after="100" w:afterAutospacing="1"/>
    </w:pPr>
    <w:rPr>
      <w:bCs w:val="0"/>
      <w:sz w:val="24"/>
    </w:rPr>
  </w:style>
  <w:style w:type="paragraph" w:customStyle="1" w:styleId="coinfomessage">
    <w:name w:val="co_infomessage"/>
    <w:basedOn w:val="Normal"/>
    <w:rsid w:val="00435883"/>
    <w:pPr>
      <w:spacing w:before="100" w:beforeAutospacing="1" w:after="100" w:afterAutospacing="1"/>
    </w:pPr>
    <w:rPr>
      <w:bCs w:val="0"/>
      <w:sz w:val="24"/>
    </w:rPr>
  </w:style>
  <w:style w:type="paragraph" w:customStyle="1" w:styleId="coiplistimages">
    <w:name w:val="co_iplistimages"/>
    <w:basedOn w:val="Normal"/>
    <w:rsid w:val="00435883"/>
    <w:pPr>
      <w:spacing w:before="100" w:beforeAutospacing="1" w:after="100" w:afterAutospacing="1"/>
    </w:pPr>
    <w:rPr>
      <w:bCs w:val="0"/>
      <w:sz w:val="24"/>
    </w:rPr>
  </w:style>
  <w:style w:type="paragraph" w:customStyle="1" w:styleId="jurisdictiontitle">
    <w:name w:val="jurisdictiontitle"/>
    <w:basedOn w:val="Normal"/>
    <w:rsid w:val="00435883"/>
    <w:pPr>
      <w:spacing w:before="100" w:beforeAutospacing="1" w:after="100" w:afterAutospacing="1"/>
    </w:pPr>
    <w:rPr>
      <w:bCs w:val="0"/>
      <w:sz w:val="24"/>
    </w:rPr>
  </w:style>
  <w:style w:type="paragraph" w:customStyle="1" w:styleId="comakestartpagebutton">
    <w:name w:val="co_makestartpagebutton"/>
    <w:basedOn w:val="Normal"/>
    <w:rsid w:val="00435883"/>
    <w:pPr>
      <w:spacing w:before="100" w:beforeAutospacing="1" w:after="100" w:afterAutospacing="1"/>
    </w:pPr>
    <w:rPr>
      <w:bCs w:val="0"/>
      <w:sz w:val="24"/>
    </w:rPr>
  </w:style>
  <w:style w:type="paragraph" w:customStyle="1" w:styleId="colegalultimateparent">
    <w:name w:val="co_legalultimateparent"/>
    <w:basedOn w:val="Normal"/>
    <w:rsid w:val="00435883"/>
    <w:pPr>
      <w:spacing w:before="100" w:beforeAutospacing="1" w:after="100" w:afterAutospacing="1"/>
    </w:pPr>
    <w:rPr>
      <w:bCs w:val="0"/>
      <w:sz w:val="24"/>
    </w:rPr>
  </w:style>
  <w:style w:type="paragraph" w:customStyle="1" w:styleId="cosearchresultsdateicondate">
    <w:name w:val="co_searchresults_dateicondate"/>
    <w:basedOn w:val="Normal"/>
    <w:rsid w:val="00435883"/>
    <w:pPr>
      <w:spacing w:before="100" w:beforeAutospacing="1" w:after="100" w:afterAutospacing="1"/>
    </w:pPr>
    <w:rPr>
      <w:bCs w:val="0"/>
      <w:sz w:val="24"/>
    </w:rPr>
  </w:style>
  <w:style w:type="paragraph" w:customStyle="1" w:styleId="cpselectcustompageslightbox">
    <w:name w:val="cp_selectcustompages_lightbox"/>
    <w:basedOn w:val="Normal"/>
    <w:rsid w:val="00435883"/>
    <w:pPr>
      <w:spacing w:before="100" w:beforeAutospacing="1" w:after="100" w:afterAutospacing="1"/>
    </w:pPr>
    <w:rPr>
      <w:bCs w:val="0"/>
      <w:sz w:val="24"/>
    </w:rPr>
  </w:style>
  <w:style w:type="paragraph" w:customStyle="1" w:styleId="cpselectchildpagelightbox">
    <w:name w:val="cp_selectchildpage_lightbox"/>
    <w:basedOn w:val="Normal"/>
    <w:rsid w:val="00435883"/>
    <w:pPr>
      <w:spacing w:before="100" w:beforeAutospacing="1" w:after="100" w:afterAutospacing="1"/>
    </w:pPr>
    <w:rPr>
      <w:bCs w:val="0"/>
      <w:sz w:val="24"/>
    </w:rPr>
  </w:style>
  <w:style w:type="paragraph" w:customStyle="1" w:styleId="coforminline-inputhint">
    <w:name w:val="co_forminline-inputhint"/>
    <w:basedOn w:val="Normal"/>
    <w:rsid w:val="00435883"/>
    <w:pPr>
      <w:spacing w:before="100" w:beforeAutospacing="1" w:after="100" w:afterAutospacing="1"/>
    </w:pPr>
    <w:rPr>
      <w:bCs w:val="0"/>
      <w:sz w:val="24"/>
    </w:rPr>
  </w:style>
  <w:style w:type="paragraph" w:customStyle="1" w:styleId="cobrowsehideshowradio">
    <w:name w:val="co_browsehideshowradio"/>
    <w:basedOn w:val="Normal"/>
    <w:rsid w:val="00435883"/>
    <w:pPr>
      <w:spacing w:before="100" w:beforeAutospacing="1" w:after="100" w:afterAutospacing="1"/>
    </w:pPr>
    <w:rPr>
      <w:bCs w:val="0"/>
      <w:sz w:val="24"/>
    </w:rPr>
  </w:style>
  <w:style w:type="paragraph" w:customStyle="1" w:styleId="codropdowncombobox">
    <w:name w:val="co_dropdowncombobox"/>
    <w:basedOn w:val="Normal"/>
    <w:rsid w:val="00435883"/>
    <w:pPr>
      <w:spacing w:before="100" w:beforeAutospacing="1" w:after="100" w:afterAutospacing="1"/>
    </w:pPr>
    <w:rPr>
      <w:bCs w:val="0"/>
      <w:sz w:val="24"/>
    </w:rPr>
  </w:style>
  <w:style w:type="paragraph" w:customStyle="1" w:styleId="cographdatalabel">
    <w:name w:val="co_graphdatalabel"/>
    <w:basedOn w:val="Normal"/>
    <w:rsid w:val="00435883"/>
    <w:pPr>
      <w:spacing w:before="100" w:beforeAutospacing="1" w:after="100" w:afterAutospacing="1"/>
    </w:pPr>
    <w:rPr>
      <w:bCs w:val="0"/>
      <w:sz w:val="24"/>
    </w:rPr>
  </w:style>
  <w:style w:type="paragraph" w:customStyle="1" w:styleId="cographicalbottomlegend">
    <w:name w:val="co_graphicalbottomlegend"/>
    <w:basedOn w:val="Normal"/>
    <w:rsid w:val="00435883"/>
    <w:pPr>
      <w:spacing w:before="100" w:beforeAutospacing="1" w:after="100" w:afterAutospacing="1"/>
    </w:pPr>
    <w:rPr>
      <w:bCs w:val="0"/>
      <w:sz w:val="24"/>
    </w:rPr>
  </w:style>
  <w:style w:type="paragraph" w:customStyle="1" w:styleId="coallfieldsrequiredstyle">
    <w:name w:val="co_allfieldsrequiredstyle"/>
    <w:basedOn w:val="Normal"/>
    <w:rsid w:val="00435883"/>
    <w:pPr>
      <w:spacing w:before="100" w:beforeAutospacing="1" w:after="100" w:afterAutospacing="1"/>
    </w:pPr>
    <w:rPr>
      <w:bCs w:val="0"/>
      <w:sz w:val="24"/>
    </w:rPr>
  </w:style>
  <w:style w:type="paragraph" w:customStyle="1" w:styleId="codropdownboxexpandedinner">
    <w:name w:val="co_dropdownboxexpanded_inner"/>
    <w:basedOn w:val="Normal"/>
    <w:rsid w:val="00435883"/>
    <w:pPr>
      <w:spacing w:before="100" w:beforeAutospacing="1" w:after="100" w:afterAutospacing="1"/>
    </w:pPr>
    <w:rPr>
      <w:bCs w:val="0"/>
      <w:sz w:val="24"/>
    </w:rPr>
  </w:style>
  <w:style w:type="paragraph" w:customStyle="1" w:styleId="couseralertitem">
    <w:name w:val="co_user_alert_item"/>
    <w:basedOn w:val="Normal"/>
    <w:rsid w:val="00435883"/>
    <w:pPr>
      <w:spacing w:before="100" w:beforeAutospacing="1" w:after="100" w:afterAutospacing="1"/>
    </w:pPr>
    <w:rPr>
      <w:bCs w:val="0"/>
      <w:sz w:val="24"/>
    </w:rPr>
  </w:style>
  <w:style w:type="paragraph" w:customStyle="1" w:styleId="codetailslist">
    <w:name w:val="co_detailslist"/>
    <w:basedOn w:val="Normal"/>
    <w:rsid w:val="00435883"/>
    <w:pPr>
      <w:spacing w:before="100" w:beforeAutospacing="1" w:after="100" w:afterAutospacing="1"/>
    </w:pPr>
    <w:rPr>
      <w:bCs w:val="0"/>
      <w:sz w:val="24"/>
    </w:rPr>
  </w:style>
  <w:style w:type="paragraph" w:customStyle="1" w:styleId="cocontrols">
    <w:name w:val="co_controls"/>
    <w:basedOn w:val="Normal"/>
    <w:rsid w:val="00435883"/>
    <w:pPr>
      <w:spacing w:before="100" w:beforeAutospacing="1" w:after="100" w:afterAutospacing="1"/>
    </w:pPr>
    <w:rPr>
      <w:bCs w:val="0"/>
      <w:sz w:val="24"/>
    </w:rPr>
  </w:style>
  <w:style w:type="paragraph" w:customStyle="1" w:styleId="cosearchresultlisth3">
    <w:name w:val="co_searchresult_list&gt;h3"/>
    <w:basedOn w:val="Normal"/>
    <w:rsid w:val="00435883"/>
    <w:pPr>
      <w:spacing w:before="100" w:beforeAutospacing="1" w:after="100" w:afterAutospacing="1"/>
    </w:pPr>
    <w:rPr>
      <w:bCs w:val="0"/>
      <w:sz w:val="24"/>
    </w:rPr>
  </w:style>
  <w:style w:type="paragraph" w:customStyle="1" w:styleId="cowizardstepfooter">
    <w:name w:val="co_wizardstep_footer"/>
    <w:basedOn w:val="Normal"/>
    <w:rsid w:val="00435883"/>
    <w:pPr>
      <w:spacing w:before="100" w:beforeAutospacing="1" w:after="100" w:afterAutospacing="1"/>
    </w:pPr>
    <w:rPr>
      <w:bCs w:val="0"/>
      <w:sz w:val="24"/>
    </w:rPr>
  </w:style>
  <w:style w:type="paragraph" w:customStyle="1" w:styleId="cowizardsummary">
    <w:name w:val="co_wizardsummary"/>
    <w:basedOn w:val="Normal"/>
    <w:rsid w:val="00435883"/>
    <w:pPr>
      <w:spacing w:before="100" w:beforeAutospacing="1" w:after="100" w:afterAutospacing="1"/>
    </w:pPr>
    <w:rPr>
      <w:bCs w:val="0"/>
      <w:sz w:val="24"/>
    </w:rPr>
  </w:style>
  <w:style w:type="paragraph" w:customStyle="1" w:styleId="cosummaryitem">
    <w:name w:val="co_summaryitem"/>
    <w:basedOn w:val="Normal"/>
    <w:rsid w:val="00435883"/>
    <w:pPr>
      <w:spacing w:before="100" w:beforeAutospacing="1" w:after="100" w:afterAutospacing="1"/>
    </w:pPr>
    <w:rPr>
      <w:bCs w:val="0"/>
      <w:sz w:val="24"/>
    </w:rPr>
  </w:style>
  <w:style w:type="paragraph" w:customStyle="1" w:styleId="cokeycitealertlabel">
    <w:name w:val="co_keycitealertlabel"/>
    <w:basedOn w:val="Normal"/>
    <w:rsid w:val="00435883"/>
    <w:pPr>
      <w:spacing w:before="100" w:beforeAutospacing="1" w:after="100" w:afterAutospacing="1"/>
    </w:pPr>
    <w:rPr>
      <w:bCs w:val="0"/>
      <w:sz w:val="24"/>
    </w:rPr>
  </w:style>
  <w:style w:type="paragraph" w:customStyle="1" w:styleId="coclientidinlinerecent">
    <w:name w:val="co_clientidinline_recent"/>
    <w:basedOn w:val="Normal"/>
    <w:rsid w:val="00435883"/>
    <w:pPr>
      <w:spacing w:before="100" w:beforeAutospacing="1" w:after="100" w:afterAutospacing="1"/>
    </w:pPr>
    <w:rPr>
      <w:bCs w:val="0"/>
      <w:sz w:val="24"/>
    </w:rPr>
  </w:style>
  <w:style w:type="paragraph" w:customStyle="1" w:styleId="codeliverycontentleftul">
    <w:name w:val="co_deliverycontentleft&gt;ul"/>
    <w:basedOn w:val="Normal"/>
    <w:rsid w:val="00435883"/>
    <w:pPr>
      <w:spacing w:before="100" w:beforeAutospacing="1" w:after="100" w:afterAutospacing="1"/>
    </w:pPr>
    <w:rPr>
      <w:bCs w:val="0"/>
      <w:sz w:val="24"/>
    </w:rPr>
  </w:style>
  <w:style w:type="paragraph" w:customStyle="1" w:styleId="codeliveryemailaddress">
    <w:name w:val="co_delivery_emailaddress"/>
    <w:basedOn w:val="Normal"/>
    <w:rsid w:val="00435883"/>
    <w:pPr>
      <w:spacing w:before="100" w:beforeAutospacing="1" w:after="100" w:afterAutospacing="1"/>
    </w:pPr>
    <w:rPr>
      <w:bCs w:val="0"/>
      <w:sz w:val="24"/>
    </w:rPr>
  </w:style>
  <w:style w:type="paragraph" w:customStyle="1" w:styleId="codeliverydocuments">
    <w:name w:val="co_delivery_documents"/>
    <w:basedOn w:val="Normal"/>
    <w:rsid w:val="00435883"/>
    <w:pPr>
      <w:spacing w:before="100" w:beforeAutospacing="1" w:after="100" w:afterAutospacing="1"/>
    </w:pPr>
    <w:rPr>
      <w:bCs w:val="0"/>
      <w:sz w:val="24"/>
    </w:rPr>
  </w:style>
  <w:style w:type="paragraph" w:customStyle="1" w:styleId="cotextsmallnum">
    <w:name w:val="co_textsmallnum"/>
    <w:basedOn w:val="Normal"/>
    <w:rsid w:val="00435883"/>
    <w:pPr>
      <w:spacing w:before="100" w:beforeAutospacing="1" w:after="100" w:afterAutospacing="1"/>
    </w:pPr>
    <w:rPr>
      <w:bCs w:val="0"/>
      <w:sz w:val="24"/>
    </w:rPr>
  </w:style>
  <w:style w:type="paragraph" w:customStyle="1" w:styleId="codeliveryaccordionli">
    <w:name w:val="co_deliveryaccordion&gt;li"/>
    <w:basedOn w:val="Normal"/>
    <w:rsid w:val="00435883"/>
    <w:pPr>
      <w:spacing w:before="100" w:beforeAutospacing="1" w:after="100" w:afterAutospacing="1"/>
    </w:pPr>
    <w:rPr>
      <w:bCs w:val="0"/>
      <w:sz w:val="24"/>
    </w:rPr>
  </w:style>
  <w:style w:type="paragraph" w:customStyle="1" w:styleId="coinfoboxwrapper">
    <w:name w:val="co_infoboxwrapper"/>
    <w:basedOn w:val="Normal"/>
    <w:rsid w:val="00435883"/>
    <w:pPr>
      <w:spacing w:before="100" w:beforeAutospacing="1" w:after="100" w:afterAutospacing="1"/>
    </w:pPr>
    <w:rPr>
      <w:bCs w:val="0"/>
      <w:sz w:val="24"/>
    </w:rPr>
  </w:style>
  <w:style w:type="paragraph" w:customStyle="1" w:styleId="keycitealertsdocumentmetadata">
    <w:name w:val="keycite_alerts_document_metadata"/>
    <w:basedOn w:val="Normal"/>
    <w:rsid w:val="00435883"/>
    <w:pPr>
      <w:spacing w:before="100" w:beforeAutospacing="1" w:after="100" w:afterAutospacing="1"/>
    </w:pPr>
    <w:rPr>
      <w:bCs w:val="0"/>
      <w:sz w:val="24"/>
    </w:rPr>
  </w:style>
  <w:style w:type="paragraph" w:customStyle="1" w:styleId="codetailsexample">
    <w:name w:val="co_detailsexample"/>
    <w:basedOn w:val="Normal"/>
    <w:rsid w:val="00435883"/>
    <w:pPr>
      <w:spacing w:before="100" w:beforeAutospacing="1" w:after="100" w:afterAutospacing="1"/>
    </w:pPr>
    <w:rPr>
      <w:bCs w:val="0"/>
      <w:sz w:val="24"/>
    </w:rPr>
  </w:style>
  <w:style w:type="paragraph" w:customStyle="1" w:styleId="cocompanyselection">
    <w:name w:val="co_companyselection"/>
    <w:basedOn w:val="Normal"/>
    <w:rsid w:val="00435883"/>
    <w:pPr>
      <w:spacing w:before="100" w:beforeAutospacing="1" w:after="100" w:afterAutospacing="1"/>
    </w:pPr>
    <w:rPr>
      <w:bCs w:val="0"/>
      <w:sz w:val="24"/>
    </w:rPr>
  </w:style>
  <w:style w:type="paragraph" w:customStyle="1" w:styleId="cosearchresultlistli">
    <w:name w:val="co_searchresult_list&gt;li"/>
    <w:basedOn w:val="Normal"/>
    <w:rsid w:val="00435883"/>
    <w:pPr>
      <w:spacing w:before="100" w:beforeAutospacing="1" w:after="100" w:afterAutospacing="1"/>
    </w:pPr>
    <w:rPr>
      <w:bCs w:val="0"/>
      <w:sz w:val="24"/>
    </w:rPr>
  </w:style>
  <w:style w:type="paragraph" w:customStyle="1" w:styleId="colightboxselectorcolumns">
    <w:name w:val="co_lightbox_selectorcolumns"/>
    <w:basedOn w:val="Normal"/>
    <w:rsid w:val="00435883"/>
    <w:pPr>
      <w:spacing w:before="100" w:beforeAutospacing="1" w:after="100" w:afterAutospacing="1"/>
    </w:pPr>
    <w:rPr>
      <w:bCs w:val="0"/>
      <w:sz w:val="24"/>
    </w:rPr>
  </w:style>
  <w:style w:type="paragraph" w:customStyle="1" w:styleId="coheadnotetopic">
    <w:name w:val="co_headnotetopic"/>
    <w:basedOn w:val="Normal"/>
    <w:rsid w:val="00435883"/>
    <w:pPr>
      <w:spacing w:before="100" w:beforeAutospacing="1" w:after="100" w:afterAutospacing="1"/>
    </w:pPr>
    <w:rPr>
      <w:bCs w:val="0"/>
      <w:sz w:val="24"/>
    </w:rPr>
  </w:style>
  <w:style w:type="paragraph" w:customStyle="1" w:styleId="cofacetcheckboxtree">
    <w:name w:val="co_facet_checkboxtree"/>
    <w:basedOn w:val="Normal"/>
    <w:rsid w:val="00435883"/>
    <w:pPr>
      <w:spacing w:before="100" w:beforeAutospacing="1" w:after="100" w:afterAutospacing="1"/>
    </w:pPr>
    <w:rPr>
      <w:bCs w:val="0"/>
      <w:sz w:val="24"/>
    </w:rPr>
  </w:style>
  <w:style w:type="paragraph" w:customStyle="1" w:styleId="cosearchclearbutton">
    <w:name w:val="co_searchclearbutton"/>
    <w:basedOn w:val="Normal"/>
    <w:rsid w:val="00435883"/>
    <w:pPr>
      <w:spacing w:before="100" w:beforeAutospacing="1" w:after="100" w:afterAutospacing="1"/>
    </w:pPr>
    <w:rPr>
      <w:bCs w:val="0"/>
      <w:sz w:val="24"/>
    </w:rPr>
  </w:style>
  <w:style w:type="paragraph" w:customStyle="1" w:styleId="copagesort">
    <w:name w:val="co_pagesort"/>
    <w:basedOn w:val="Normal"/>
    <w:rsid w:val="00435883"/>
    <w:pPr>
      <w:spacing w:before="100" w:beforeAutospacing="1" w:after="100" w:afterAutospacing="1"/>
    </w:pPr>
    <w:rPr>
      <w:bCs w:val="0"/>
      <w:sz w:val="24"/>
    </w:rPr>
  </w:style>
  <w:style w:type="paragraph" w:customStyle="1" w:styleId="cosecuritytext">
    <w:name w:val="co_securitytext"/>
    <w:basedOn w:val="Normal"/>
    <w:rsid w:val="00435883"/>
    <w:pPr>
      <w:spacing w:before="100" w:beforeAutospacing="1" w:after="100" w:afterAutospacing="1"/>
    </w:pPr>
    <w:rPr>
      <w:bCs w:val="0"/>
      <w:sz w:val="24"/>
    </w:rPr>
  </w:style>
  <w:style w:type="paragraph" w:customStyle="1" w:styleId="cosecuritytext1">
    <w:name w:val="co_securitytext1"/>
    <w:basedOn w:val="Normal"/>
    <w:rsid w:val="00435883"/>
    <w:pPr>
      <w:spacing w:before="100" w:beforeAutospacing="1" w:after="100" w:afterAutospacing="1"/>
    </w:pPr>
    <w:rPr>
      <w:bCs w:val="0"/>
      <w:sz w:val="24"/>
    </w:rPr>
  </w:style>
  <w:style w:type="paragraph" w:customStyle="1" w:styleId="cosecuritytext2">
    <w:name w:val="co_securitytext2"/>
    <w:basedOn w:val="Normal"/>
    <w:rsid w:val="00435883"/>
    <w:pPr>
      <w:spacing w:before="100" w:beforeAutospacing="1" w:after="100" w:afterAutospacing="1"/>
    </w:pPr>
    <w:rPr>
      <w:bCs w:val="0"/>
      <w:sz w:val="24"/>
    </w:rPr>
  </w:style>
  <w:style w:type="paragraph" w:customStyle="1" w:styleId="codocbreadcrumbcontainer">
    <w:name w:val="co_docbreadcrumbcontainer"/>
    <w:basedOn w:val="Normal"/>
    <w:rsid w:val="00435883"/>
    <w:pPr>
      <w:spacing w:before="100" w:beforeAutospacing="1" w:after="100" w:afterAutospacing="1"/>
    </w:pPr>
    <w:rPr>
      <w:bCs w:val="0"/>
      <w:sz w:val="24"/>
    </w:rPr>
  </w:style>
  <w:style w:type="paragraph" w:customStyle="1" w:styleId="icon-down-pointer">
    <w:name w:val="icon-down-pointer"/>
    <w:basedOn w:val="Normal"/>
    <w:rsid w:val="00435883"/>
    <w:pPr>
      <w:spacing w:before="100" w:beforeAutospacing="1" w:after="100" w:afterAutospacing="1"/>
    </w:pPr>
    <w:rPr>
      <w:bCs w:val="0"/>
      <w:sz w:val="24"/>
    </w:rPr>
  </w:style>
  <w:style w:type="paragraph" w:customStyle="1" w:styleId="coglossarytermheading">
    <w:name w:val="co_glossary_term_heading"/>
    <w:basedOn w:val="Normal"/>
    <w:rsid w:val="00435883"/>
    <w:pPr>
      <w:spacing w:before="100" w:beforeAutospacing="1" w:after="100" w:afterAutospacing="1"/>
    </w:pPr>
    <w:rPr>
      <w:bCs w:val="0"/>
      <w:sz w:val="24"/>
    </w:rPr>
  </w:style>
  <w:style w:type="paragraph" w:customStyle="1" w:styleId="coselected">
    <w:name w:val="co_selected"/>
    <w:basedOn w:val="Normal"/>
    <w:rsid w:val="00435883"/>
    <w:pPr>
      <w:spacing w:before="100" w:beforeAutospacing="1" w:after="100" w:afterAutospacing="1"/>
    </w:pPr>
    <w:rPr>
      <w:bCs w:val="0"/>
      <w:sz w:val="24"/>
    </w:rPr>
  </w:style>
  <w:style w:type="paragraph" w:customStyle="1" w:styleId="khlist">
    <w:name w:val="kh_list"/>
    <w:basedOn w:val="Normal"/>
    <w:rsid w:val="00435883"/>
    <w:pPr>
      <w:spacing w:before="100" w:beforeAutospacing="1" w:after="100" w:afterAutospacing="1"/>
    </w:pPr>
    <w:rPr>
      <w:bCs w:val="0"/>
      <w:sz w:val="24"/>
    </w:rPr>
  </w:style>
  <w:style w:type="paragraph" w:customStyle="1" w:styleId="icon-up-pointer">
    <w:name w:val="icon-up-pointer"/>
    <w:basedOn w:val="Normal"/>
    <w:rsid w:val="00435883"/>
    <w:pPr>
      <w:spacing w:before="100" w:beforeAutospacing="1" w:after="100" w:afterAutospacing="1"/>
    </w:pPr>
    <w:rPr>
      <w:bCs w:val="0"/>
      <w:sz w:val="24"/>
    </w:rPr>
  </w:style>
  <w:style w:type="paragraph" w:customStyle="1" w:styleId="coviewstate">
    <w:name w:val="co_viewstate"/>
    <w:basedOn w:val="Normal"/>
    <w:rsid w:val="00435883"/>
    <w:pPr>
      <w:spacing w:before="100" w:beforeAutospacing="1" w:after="100" w:afterAutospacing="1"/>
    </w:pPr>
    <w:rPr>
      <w:bCs w:val="0"/>
      <w:sz w:val="24"/>
    </w:rPr>
  </w:style>
  <w:style w:type="paragraph" w:customStyle="1" w:styleId="center">
    <w:name w:val="center"/>
    <w:basedOn w:val="Normal"/>
    <w:rsid w:val="00435883"/>
    <w:pPr>
      <w:spacing w:before="100" w:beforeAutospacing="1" w:after="100" w:afterAutospacing="1"/>
    </w:pPr>
    <w:rPr>
      <w:bCs w:val="0"/>
      <w:sz w:val="24"/>
    </w:rPr>
  </w:style>
  <w:style w:type="paragraph" w:customStyle="1" w:styleId="colastviewinfo">
    <w:name w:val="co_lastviewinfo"/>
    <w:basedOn w:val="Normal"/>
    <w:rsid w:val="00435883"/>
    <w:pPr>
      <w:spacing w:before="100" w:beforeAutospacing="1" w:after="100" w:afterAutospacing="1"/>
    </w:pPr>
    <w:rPr>
      <w:bCs w:val="0"/>
      <w:sz w:val="24"/>
    </w:rPr>
  </w:style>
  <w:style w:type="paragraph" w:customStyle="1" w:styleId="codocumenttype">
    <w:name w:val="co_documenttype"/>
    <w:basedOn w:val="Normal"/>
    <w:rsid w:val="00435883"/>
    <w:pPr>
      <w:spacing w:before="100" w:beforeAutospacing="1" w:after="100" w:afterAutospacing="1"/>
    </w:pPr>
    <w:rPr>
      <w:bCs w:val="0"/>
      <w:sz w:val="24"/>
    </w:rPr>
  </w:style>
  <w:style w:type="paragraph" w:customStyle="1" w:styleId="cosearchresultsdateicon">
    <w:name w:val="co_searchresults_dateicon"/>
    <w:basedOn w:val="Normal"/>
    <w:rsid w:val="00435883"/>
    <w:pPr>
      <w:spacing w:before="100" w:beforeAutospacing="1" w:after="100" w:afterAutospacing="1"/>
    </w:pPr>
    <w:rPr>
      <w:bCs w:val="0"/>
      <w:sz w:val="24"/>
    </w:rPr>
  </w:style>
  <w:style w:type="paragraph" w:customStyle="1" w:styleId="cosearchresultsdateiconmonth">
    <w:name w:val="co_searchresults_dateiconmonth"/>
    <w:basedOn w:val="Normal"/>
    <w:rsid w:val="00435883"/>
    <w:pPr>
      <w:spacing w:before="100" w:beforeAutospacing="1" w:after="100" w:afterAutospacing="1"/>
    </w:pPr>
    <w:rPr>
      <w:bCs w:val="0"/>
      <w:sz w:val="24"/>
    </w:rPr>
  </w:style>
  <w:style w:type="paragraph" w:customStyle="1" w:styleId="cofilerselected">
    <w:name w:val="co_filer_selected"/>
    <w:basedOn w:val="Normal"/>
    <w:rsid w:val="00435883"/>
    <w:pPr>
      <w:spacing w:before="100" w:beforeAutospacing="1" w:after="100" w:afterAutospacing="1"/>
    </w:pPr>
    <w:rPr>
      <w:bCs w:val="0"/>
      <w:sz w:val="24"/>
    </w:rPr>
  </w:style>
  <w:style w:type="paragraph" w:customStyle="1" w:styleId="conumberresults">
    <w:name w:val="co_numberresults"/>
    <w:basedOn w:val="Normal"/>
    <w:rsid w:val="00435883"/>
    <w:pPr>
      <w:spacing w:before="100" w:beforeAutospacing="1" w:after="100" w:afterAutospacing="1"/>
    </w:pPr>
    <w:rPr>
      <w:bCs w:val="0"/>
      <w:sz w:val="24"/>
    </w:rPr>
  </w:style>
  <w:style w:type="paragraph" w:customStyle="1" w:styleId="searchicon">
    <w:name w:val="searchicon"/>
    <w:basedOn w:val="Normal"/>
    <w:rsid w:val="00435883"/>
    <w:pPr>
      <w:spacing w:before="100" w:beforeAutospacing="1" w:after="100" w:afterAutospacing="1"/>
    </w:pPr>
    <w:rPr>
      <w:bCs w:val="0"/>
      <w:sz w:val="24"/>
    </w:rPr>
  </w:style>
  <w:style w:type="paragraph" w:customStyle="1" w:styleId="iconpandown">
    <w:name w:val="icon_pandown"/>
    <w:basedOn w:val="Normal"/>
    <w:rsid w:val="00435883"/>
    <w:pPr>
      <w:spacing w:before="100" w:beforeAutospacing="1" w:after="100" w:afterAutospacing="1"/>
    </w:pPr>
    <w:rPr>
      <w:bCs w:val="0"/>
      <w:sz w:val="24"/>
    </w:rPr>
  </w:style>
  <w:style w:type="paragraph" w:customStyle="1" w:styleId="iconpanleft">
    <w:name w:val="icon_panleft"/>
    <w:basedOn w:val="Normal"/>
    <w:rsid w:val="00435883"/>
    <w:pPr>
      <w:spacing w:before="100" w:beforeAutospacing="1" w:after="100" w:afterAutospacing="1"/>
    </w:pPr>
    <w:rPr>
      <w:bCs w:val="0"/>
      <w:sz w:val="24"/>
    </w:rPr>
  </w:style>
  <w:style w:type="paragraph" w:customStyle="1" w:styleId="iconpanright">
    <w:name w:val="icon_panright"/>
    <w:basedOn w:val="Normal"/>
    <w:rsid w:val="00435883"/>
    <w:pPr>
      <w:spacing w:before="100" w:beforeAutospacing="1" w:after="100" w:afterAutospacing="1"/>
    </w:pPr>
    <w:rPr>
      <w:bCs w:val="0"/>
      <w:sz w:val="24"/>
    </w:rPr>
  </w:style>
  <w:style w:type="paragraph" w:customStyle="1" w:styleId="iconpanup">
    <w:name w:val="icon_panup"/>
    <w:basedOn w:val="Normal"/>
    <w:rsid w:val="00435883"/>
    <w:pPr>
      <w:spacing w:before="100" w:beforeAutospacing="1" w:after="100" w:afterAutospacing="1"/>
    </w:pPr>
    <w:rPr>
      <w:bCs w:val="0"/>
      <w:sz w:val="24"/>
    </w:rPr>
  </w:style>
  <w:style w:type="paragraph" w:customStyle="1" w:styleId="datatablespaginate">
    <w:name w:val="datatables_paginate"/>
    <w:basedOn w:val="Normal"/>
    <w:rsid w:val="00435883"/>
    <w:pPr>
      <w:spacing w:before="100" w:beforeAutospacing="1" w:after="100" w:afterAutospacing="1"/>
    </w:pPr>
    <w:rPr>
      <w:bCs w:val="0"/>
      <w:sz w:val="24"/>
    </w:rPr>
  </w:style>
  <w:style w:type="paragraph" w:customStyle="1" w:styleId="datatablesinfo">
    <w:name w:val="datatables_info"/>
    <w:basedOn w:val="Normal"/>
    <w:rsid w:val="00435883"/>
    <w:pPr>
      <w:spacing w:before="100" w:beforeAutospacing="1" w:after="100" w:afterAutospacing="1"/>
    </w:pPr>
    <w:rPr>
      <w:bCs w:val="0"/>
      <w:sz w:val="24"/>
    </w:rPr>
  </w:style>
  <w:style w:type="paragraph" w:customStyle="1" w:styleId="copmentrytools">
    <w:name w:val="co_pm_entrytools"/>
    <w:basedOn w:val="Normal"/>
    <w:rsid w:val="00435883"/>
    <w:pPr>
      <w:spacing w:before="100" w:beforeAutospacing="1" w:after="100" w:afterAutospacing="1"/>
    </w:pPr>
    <w:rPr>
      <w:bCs w:val="0"/>
      <w:sz w:val="24"/>
    </w:rPr>
  </w:style>
  <w:style w:type="paragraph" w:customStyle="1" w:styleId="pmreporttemplatetype">
    <w:name w:val="pm_reporttemplatetype"/>
    <w:basedOn w:val="Normal"/>
    <w:rsid w:val="00435883"/>
    <w:pPr>
      <w:spacing w:before="100" w:beforeAutospacing="1" w:after="100" w:afterAutospacing="1"/>
    </w:pPr>
    <w:rPr>
      <w:bCs w:val="0"/>
      <w:sz w:val="24"/>
    </w:rPr>
  </w:style>
  <w:style w:type="paragraph" w:customStyle="1" w:styleId="pmtemplatecontainer">
    <w:name w:val="pm_templatecontainer"/>
    <w:basedOn w:val="Normal"/>
    <w:rsid w:val="00435883"/>
    <w:pPr>
      <w:spacing w:before="100" w:beforeAutospacing="1" w:after="100" w:afterAutospacing="1"/>
    </w:pPr>
    <w:rPr>
      <w:bCs w:val="0"/>
      <w:sz w:val="24"/>
    </w:rPr>
  </w:style>
  <w:style w:type="paragraph" w:customStyle="1" w:styleId="coformtextinline">
    <w:name w:val="co_formtextinline"/>
    <w:basedOn w:val="Normal"/>
    <w:rsid w:val="00435883"/>
    <w:pPr>
      <w:spacing w:before="100" w:beforeAutospacing="1" w:after="100" w:afterAutospacing="1"/>
    </w:pPr>
    <w:rPr>
      <w:bCs w:val="0"/>
      <w:sz w:val="24"/>
    </w:rPr>
  </w:style>
  <w:style w:type="paragraph" w:customStyle="1" w:styleId="authmethod">
    <w:name w:val="authmethod"/>
    <w:basedOn w:val="Normal"/>
    <w:rsid w:val="00435883"/>
    <w:pPr>
      <w:spacing w:before="100" w:beforeAutospacing="1" w:after="100" w:afterAutospacing="1"/>
    </w:pPr>
    <w:rPr>
      <w:bCs w:val="0"/>
      <w:sz w:val="24"/>
    </w:rPr>
  </w:style>
  <w:style w:type="paragraph" w:customStyle="1" w:styleId="cotabletotals">
    <w:name w:val="co_tabletotals"/>
    <w:basedOn w:val="Normal"/>
    <w:rsid w:val="00435883"/>
    <w:pPr>
      <w:spacing w:before="100" w:beforeAutospacing="1" w:after="100" w:afterAutospacing="1"/>
    </w:pPr>
    <w:rPr>
      <w:bCs w:val="0"/>
      <w:sz w:val="24"/>
    </w:rPr>
  </w:style>
  <w:style w:type="paragraph" w:customStyle="1" w:styleId="costandardview">
    <w:name w:val="co_standardview"/>
    <w:basedOn w:val="Normal"/>
    <w:rsid w:val="00435883"/>
    <w:pPr>
      <w:spacing w:before="100" w:beforeAutospacing="1" w:after="100" w:afterAutospacing="1"/>
    </w:pPr>
    <w:rPr>
      <w:bCs w:val="0"/>
      <w:sz w:val="24"/>
    </w:rPr>
  </w:style>
  <w:style w:type="paragraph" w:customStyle="1" w:styleId="coremoveable">
    <w:name w:val="co_removeable"/>
    <w:basedOn w:val="Normal"/>
    <w:rsid w:val="00435883"/>
    <w:pPr>
      <w:spacing w:before="100" w:beforeAutospacing="1" w:after="100" w:afterAutospacing="1"/>
    </w:pPr>
    <w:rPr>
      <w:bCs w:val="0"/>
      <w:sz w:val="24"/>
    </w:rPr>
  </w:style>
  <w:style w:type="paragraph" w:customStyle="1" w:styleId="cocreatereport">
    <w:name w:val="co_createreport"/>
    <w:basedOn w:val="Normal"/>
    <w:rsid w:val="00435883"/>
    <w:pPr>
      <w:spacing w:before="100" w:beforeAutospacing="1" w:after="100" w:afterAutospacing="1"/>
    </w:pPr>
    <w:rPr>
      <w:bCs w:val="0"/>
      <w:sz w:val="24"/>
    </w:rPr>
  </w:style>
  <w:style w:type="paragraph" w:customStyle="1" w:styleId="colearnmore">
    <w:name w:val="co_learnmore"/>
    <w:basedOn w:val="Normal"/>
    <w:rsid w:val="00435883"/>
    <w:pPr>
      <w:spacing w:before="100" w:beforeAutospacing="1" w:after="100" w:afterAutospacing="1"/>
    </w:pPr>
    <w:rPr>
      <w:bCs w:val="0"/>
      <w:sz w:val="24"/>
    </w:rPr>
  </w:style>
  <w:style w:type="paragraph" w:customStyle="1" w:styleId="coformsummary">
    <w:name w:val="co_formsummary"/>
    <w:basedOn w:val="Normal"/>
    <w:rsid w:val="00435883"/>
    <w:pPr>
      <w:spacing w:before="100" w:beforeAutospacing="1" w:after="100" w:afterAutospacing="1"/>
    </w:pPr>
    <w:rPr>
      <w:bCs w:val="0"/>
      <w:sz w:val="24"/>
    </w:rPr>
  </w:style>
  <w:style w:type="paragraph" w:customStyle="1" w:styleId="cosearchresultssummaryqa">
    <w:name w:val="co_searchresults_summaryqa"/>
    <w:basedOn w:val="Normal"/>
    <w:rsid w:val="00435883"/>
    <w:pPr>
      <w:spacing w:before="100" w:beforeAutospacing="1" w:after="100" w:afterAutospacing="1"/>
    </w:pPr>
    <w:rPr>
      <w:bCs w:val="0"/>
      <w:sz w:val="24"/>
    </w:rPr>
  </w:style>
  <w:style w:type="paragraph" w:customStyle="1" w:styleId="coqamoredetails">
    <w:name w:val="co_qamoredetails"/>
    <w:basedOn w:val="Normal"/>
    <w:rsid w:val="00435883"/>
    <w:pPr>
      <w:spacing w:before="100" w:beforeAutospacing="1" w:after="100" w:afterAutospacing="1"/>
    </w:pPr>
    <w:rPr>
      <w:bCs w:val="0"/>
      <w:sz w:val="24"/>
    </w:rPr>
  </w:style>
  <w:style w:type="paragraph" w:customStyle="1" w:styleId="cobacktoresultsquestionandanswer">
    <w:name w:val="co_backtoresults_questionandanswer"/>
    <w:basedOn w:val="Normal"/>
    <w:rsid w:val="00435883"/>
    <w:pPr>
      <w:spacing w:before="100" w:beforeAutospacing="1" w:after="100" w:afterAutospacing="1"/>
    </w:pPr>
    <w:rPr>
      <w:bCs w:val="0"/>
      <w:sz w:val="24"/>
    </w:rPr>
  </w:style>
  <w:style w:type="paragraph" w:customStyle="1" w:styleId="codocheadercontainergroup">
    <w:name w:val="co_docheadercontainer_group"/>
    <w:basedOn w:val="Normal"/>
    <w:rsid w:val="00435883"/>
    <w:pPr>
      <w:spacing w:before="100" w:beforeAutospacing="1" w:after="100" w:afterAutospacing="1"/>
    </w:pPr>
    <w:rPr>
      <w:bCs w:val="0"/>
      <w:sz w:val="24"/>
    </w:rPr>
  </w:style>
  <w:style w:type="paragraph" w:customStyle="1" w:styleId="codocheadertitlecontainer">
    <w:name w:val="co_docheadertitlecontainer"/>
    <w:basedOn w:val="Normal"/>
    <w:rsid w:val="00435883"/>
    <w:pPr>
      <w:spacing w:before="100" w:beforeAutospacing="1" w:after="100" w:afterAutospacing="1"/>
    </w:pPr>
    <w:rPr>
      <w:bCs w:val="0"/>
      <w:sz w:val="24"/>
    </w:rPr>
  </w:style>
  <w:style w:type="paragraph" w:customStyle="1" w:styleId="cosmartfolders">
    <w:name w:val="co_smartfolders"/>
    <w:basedOn w:val="Normal"/>
    <w:rsid w:val="00435883"/>
    <w:pPr>
      <w:spacing w:before="100" w:beforeAutospacing="1" w:after="100" w:afterAutospacing="1"/>
    </w:pPr>
    <w:rPr>
      <w:bCs w:val="0"/>
      <w:sz w:val="24"/>
    </w:rPr>
  </w:style>
  <w:style w:type="paragraph" w:customStyle="1" w:styleId="comanageboxleft">
    <w:name w:val="co_manageboxleft"/>
    <w:basedOn w:val="Normal"/>
    <w:rsid w:val="00435883"/>
    <w:pPr>
      <w:spacing w:before="100" w:beforeAutospacing="1" w:after="100" w:afterAutospacing="1"/>
    </w:pPr>
    <w:rPr>
      <w:bCs w:val="0"/>
      <w:sz w:val="24"/>
    </w:rPr>
  </w:style>
  <w:style w:type="paragraph" w:customStyle="1" w:styleId="comanageboxright">
    <w:name w:val="co_manageboxright"/>
    <w:basedOn w:val="Normal"/>
    <w:rsid w:val="00435883"/>
    <w:pPr>
      <w:spacing w:before="100" w:beforeAutospacing="1" w:after="100" w:afterAutospacing="1"/>
    </w:pPr>
    <w:rPr>
      <w:bCs w:val="0"/>
      <w:sz w:val="24"/>
    </w:rPr>
  </w:style>
  <w:style w:type="paragraph" w:customStyle="1" w:styleId="coselectedmanagealert">
    <w:name w:val="co_selectedmanagealert"/>
    <w:basedOn w:val="Normal"/>
    <w:rsid w:val="00435883"/>
    <w:pPr>
      <w:spacing w:before="100" w:beforeAutospacing="1" w:after="100" w:afterAutospacing="1"/>
    </w:pPr>
    <w:rPr>
      <w:bCs w:val="0"/>
      <w:sz w:val="24"/>
    </w:rPr>
  </w:style>
  <w:style w:type="paragraph" w:customStyle="1" w:styleId="comanagenotificationlistitem">
    <w:name w:val="co_managenotificationlistitem"/>
    <w:basedOn w:val="Normal"/>
    <w:rsid w:val="00435883"/>
    <w:pPr>
      <w:spacing w:before="100" w:beforeAutospacing="1" w:after="100" w:afterAutospacing="1"/>
    </w:pPr>
    <w:rPr>
      <w:bCs w:val="0"/>
      <w:sz w:val="24"/>
    </w:rPr>
  </w:style>
  <w:style w:type="paragraph" w:customStyle="1" w:styleId="codisclaimer">
    <w:name w:val="co_disclaimer"/>
    <w:basedOn w:val="Normal"/>
    <w:rsid w:val="00435883"/>
    <w:pPr>
      <w:spacing w:before="100" w:beforeAutospacing="1" w:after="100" w:afterAutospacing="1"/>
    </w:pPr>
    <w:rPr>
      <w:bCs w:val="0"/>
      <w:sz w:val="24"/>
    </w:rPr>
  </w:style>
  <w:style w:type="paragraph" w:customStyle="1" w:styleId="codualdocumentrelateddocschild">
    <w:name w:val="co_dualdocument_relateddocschild"/>
    <w:basedOn w:val="Normal"/>
    <w:rsid w:val="00435883"/>
    <w:pPr>
      <w:spacing w:before="100" w:beforeAutospacing="1" w:after="100" w:afterAutospacing="1"/>
    </w:pPr>
    <w:rPr>
      <w:bCs w:val="0"/>
      <w:sz w:val="24"/>
    </w:rPr>
  </w:style>
  <w:style w:type="paragraph" w:customStyle="1" w:styleId="cosnippetlink">
    <w:name w:val="co_snippet_link"/>
    <w:basedOn w:val="Normal"/>
    <w:rsid w:val="00435883"/>
    <w:pPr>
      <w:spacing w:before="100" w:beforeAutospacing="1" w:after="100" w:afterAutospacing="1"/>
    </w:pPr>
    <w:rPr>
      <w:bCs w:val="0"/>
      <w:sz w:val="24"/>
    </w:rPr>
  </w:style>
  <w:style w:type="paragraph" w:customStyle="1" w:styleId="codoccontentbodyunorderedlist">
    <w:name w:val="co_doccontentbodyunorderedlist"/>
    <w:basedOn w:val="Normal"/>
    <w:rsid w:val="00435883"/>
    <w:pPr>
      <w:spacing w:before="100" w:beforeAutospacing="1" w:after="100" w:afterAutospacing="1"/>
    </w:pPr>
    <w:rPr>
      <w:bCs w:val="0"/>
      <w:sz w:val="24"/>
    </w:rPr>
  </w:style>
  <w:style w:type="paragraph" w:customStyle="1" w:styleId="coleadertable">
    <w:name w:val="co_leadertable"/>
    <w:basedOn w:val="Normal"/>
    <w:rsid w:val="00435883"/>
    <w:pPr>
      <w:spacing w:before="100" w:beforeAutospacing="1" w:after="100" w:afterAutospacing="1"/>
    </w:pPr>
    <w:rPr>
      <w:bCs w:val="0"/>
      <w:sz w:val="24"/>
    </w:rPr>
  </w:style>
  <w:style w:type="paragraph" w:customStyle="1" w:styleId="coleadertablecell">
    <w:name w:val="co_leadertablecell"/>
    <w:basedOn w:val="Normal"/>
    <w:rsid w:val="00435883"/>
    <w:pPr>
      <w:spacing w:before="100" w:beforeAutospacing="1" w:after="100" w:afterAutospacing="1"/>
    </w:pPr>
    <w:rPr>
      <w:bCs w:val="0"/>
      <w:sz w:val="24"/>
    </w:rPr>
  </w:style>
  <w:style w:type="paragraph" w:customStyle="1" w:styleId="cofootnotenumber">
    <w:name w:val="co_footnotenumber"/>
    <w:basedOn w:val="Normal"/>
    <w:rsid w:val="00435883"/>
    <w:pPr>
      <w:spacing w:before="100" w:beforeAutospacing="1" w:after="100" w:afterAutospacing="1"/>
    </w:pPr>
    <w:rPr>
      <w:bCs w:val="0"/>
      <w:sz w:val="24"/>
    </w:rPr>
  </w:style>
  <w:style w:type="paragraph" w:customStyle="1" w:styleId="cofootnotenumberlarge">
    <w:name w:val="co_footnotenumberlarge"/>
    <w:basedOn w:val="Normal"/>
    <w:rsid w:val="00435883"/>
    <w:pPr>
      <w:spacing w:before="100" w:beforeAutospacing="1" w:after="100" w:afterAutospacing="1"/>
    </w:pPr>
    <w:rPr>
      <w:bCs w:val="0"/>
      <w:sz w:val="24"/>
    </w:rPr>
  </w:style>
  <w:style w:type="paragraph" w:customStyle="1" w:styleId="cofootnotebody">
    <w:name w:val="co_footnotebody"/>
    <w:basedOn w:val="Normal"/>
    <w:rsid w:val="00435883"/>
    <w:pPr>
      <w:spacing w:before="100" w:beforeAutospacing="1" w:after="100" w:afterAutospacing="1"/>
    </w:pPr>
    <w:rPr>
      <w:bCs w:val="0"/>
      <w:sz w:val="24"/>
    </w:rPr>
  </w:style>
  <w:style w:type="paragraph" w:customStyle="1" w:styleId="cofootnotebodysmall">
    <w:name w:val="co_footnotebodysmall"/>
    <w:basedOn w:val="Normal"/>
    <w:rsid w:val="00435883"/>
    <w:pPr>
      <w:spacing w:before="100" w:beforeAutospacing="1" w:after="100" w:afterAutospacing="1"/>
    </w:pPr>
    <w:rPr>
      <w:bCs w:val="0"/>
      <w:sz w:val="24"/>
    </w:rPr>
  </w:style>
  <w:style w:type="paragraph" w:customStyle="1" w:styleId="coversionnumber">
    <w:name w:val="co_versionnumber"/>
    <w:basedOn w:val="Normal"/>
    <w:rsid w:val="00435883"/>
    <w:pPr>
      <w:spacing w:before="100" w:beforeAutospacing="1" w:after="100" w:afterAutospacing="1"/>
    </w:pPr>
    <w:rPr>
      <w:bCs w:val="0"/>
      <w:sz w:val="24"/>
    </w:rPr>
  </w:style>
  <w:style w:type="paragraph" w:customStyle="1" w:styleId="codoctocoverlaysearchnextprevious">
    <w:name w:val="co_doctocoverlay_searchnextprevious"/>
    <w:basedOn w:val="Normal"/>
    <w:rsid w:val="00435883"/>
    <w:pPr>
      <w:spacing w:before="100" w:beforeAutospacing="1" w:after="100" w:afterAutospacing="1"/>
    </w:pPr>
    <w:rPr>
      <w:bCs w:val="0"/>
      <w:sz w:val="24"/>
    </w:rPr>
  </w:style>
  <w:style w:type="paragraph" w:customStyle="1" w:styleId="codoctocoverlaysearchnextlink">
    <w:name w:val="co_doctocoverlay_searchnextlink"/>
    <w:basedOn w:val="Normal"/>
    <w:rsid w:val="00435883"/>
    <w:pPr>
      <w:spacing w:before="100" w:beforeAutospacing="1" w:after="100" w:afterAutospacing="1"/>
    </w:pPr>
    <w:rPr>
      <w:bCs w:val="0"/>
      <w:sz w:val="24"/>
    </w:rPr>
  </w:style>
  <w:style w:type="paragraph" w:customStyle="1" w:styleId="codoctocoverlaysearchpreviouslink">
    <w:name w:val="co_doctocoverlay_searchpreviouslink"/>
    <w:basedOn w:val="Normal"/>
    <w:rsid w:val="00435883"/>
    <w:pPr>
      <w:spacing w:before="100" w:beforeAutospacing="1" w:after="100" w:afterAutospacing="1"/>
    </w:pPr>
    <w:rPr>
      <w:bCs w:val="0"/>
      <w:sz w:val="24"/>
    </w:rPr>
  </w:style>
  <w:style w:type="paragraph" w:customStyle="1" w:styleId="codoctocoverlaysearchdownloadtoclink">
    <w:name w:val="co_doctocoverlay_search_downloadtoclink"/>
    <w:basedOn w:val="Normal"/>
    <w:rsid w:val="00435883"/>
    <w:pPr>
      <w:spacing w:before="100" w:beforeAutospacing="1" w:after="100" w:afterAutospacing="1"/>
    </w:pPr>
    <w:rPr>
      <w:bCs w:val="0"/>
      <w:sz w:val="24"/>
    </w:rPr>
  </w:style>
  <w:style w:type="paragraph" w:customStyle="1" w:styleId="coheadnotelink">
    <w:name w:val="co_headnotelink"/>
    <w:basedOn w:val="Normal"/>
    <w:rsid w:val="00435883"/>
    <w:pPr>
      <w:spacing w:before="100" w:beforeAutospacing="1" w:after="100" w:afterAutospacing="1"/>
    </w:pPr>
    <w:rPr>
      <w:bCs w:val="0"/>
      <w:sz w:val="24"/>
    </w:rPr>
  </w:style>
  <w:style w:type="paragraph" w:customStyle="1" w:styleId="coselectedtextmenulist">
    <w:name w:val="co_selectedtextmenulist"/>
    <w:basedOn w:val="Normal"/>
    <w:rsid w:val="00435883"/>
    <w:pPr>
      <w:spacing w:before="100" w:beforeAutospacing="1" w:after="100" w:afterAutospacing="1"/>
    </w:pPr>
    <w:rPr>
      <w:bCs w:val="0"/>
      <w:sz w:val="24"/>
    </w:rPr>
  </w:style>
  <w:style w:type="paragraph" w:customStyle="1" w:styleId="coselectedtextmenu">
    <w:name w:val="co_selectedtextmenu"/>
    <w:basedOn w:val="Normal"/>
    <w:rsid w:val="00435883"/>
    <w:pPr>
      <w:spacing w:before="100" w:beforeAutospacing="1" w:after="100" w:afterAutospacing="1"/>
    </w:pPr>
    <w:rPr>
      <w:bCs w:val="0"/>
      <w:sz w:val="24"/>
    </w:rPr>
  </w:style>
  <w:style w:type="paragraph" w:customStyle="1" w:styleId="corecentfolderslist">
    <w:name w:val="co_recentfolderslist"/>
    <w:basedOn w:val="Normal"/>
    <w:rsid w:val="00435883"/>
    <w:pPr>
      <w:spacing w:before="100" w:beforeAutospacing="1" w:after="100" w:afterAutospacing="1"/>
    </w:pPr>
    <w:rPr>
      <w:bCs w:val="0"/>
      <w:sz w:val="24"/>
    </w:rPr>
  </w:style>
  <w:style w:type="paragraph" w:customStyle="1" w:styleId="codropboxmenuli">
    <w:name w:val="co_dropboxmenu&gt;li"/>
    <w:basedOn w:val="Normal"/>
    <w:rsid w:val="00435883"/>
    <w:pPr>
      <w:spacing w:before="100" w:beforeAutospacing="1" w:after="100" w:afterAutospacing="1"/>
    </w:pPr>
    <w:rPr>
      <w:bCs w:val="0"/>
      <w:sz w:val="24"/>
    </w:rPr>
  </w:style>
  <w:style w:type="paragraph" w:customStyle="1" w:styleId="cocopywithreftextareacontainer">
    <w:name w:val="co_copywithreftextareacontainer"/>
    <w:basedOn w:val="Normal"/>
    <w:rsid w:val="00435883"/>
    <w:pPr>
      <w:spacing w:before="100" w:beforeAutospacing="1" w:after="100" w:afterAutospacing="1"/>
    </w:pPr>
    <w:rPr>
      <w:bCs w:val="0"/>
      <w:sz w:val="24"/>
    </w:rPr>
  </w:style>
  <w:style w:type="paragraph" w:customStyle="1" w:styleId="cocopywithrefconfirmationhidden">
    <w:name w:val="co_copywithrefconfirmationhidden"/>
    <w:basedOn w:val="Normal"/>
    <w:rsid w:val="00435883"/>
    <w:pPr>
      <w:spacing w:before="100" w:beforeAutospacing="1" w:after="100" w:afterAutospacing="1"/>
    </w:pPr>
    <w:rPr>
      <w:bCs w:val="0"/>
      <w:sz w:val="24"/>
    </w:rPr>
  </w:style>
  <w:style w:type="paragraph" w:customStyle="1" w:styleId="cocopywithrefconfirmationdisplayed">
    <w:name w:val="co_copywithrefconfirmationdisplayed"/>
    <w:basedOn w:val="Normal"/>
    <w:rsid w:val="00435883"/>
    <w:pPr>
      <w:spacing w:before="100" w:beforeAutospacing="1" w:after="100" w:afterAutospacing="1"/>
    </w:pPr>
    <w:rPr>
      <w:bCs w:val="0"/>
      <w:sz w:val="24"/>
    </w:rPr>
  </w:style>
  <w:style w:type="paragraph" w:customStyle="1" w:styleId="cocopywithrefmenuanchor">
    <w:name w:val="co_copywithrefmenu_anchor"/>
    <w:basedOn w:val="Normal"/>
    <w:rsid w:val="00435883"/>
    <w:pPr>
      <w:spacing w:before="100" w:beforeAutospacing="1" w:after="100" w:afterAutospacing="1"/>
    </w:pPr>
    <w:rPr>
      <w:bCs w:val="0"/>
      <w:sz w:val="24"/>
    </w:rPr>
  </w:style>
  <w:style w:type="paragraph" w:customStyle="1" w:styleId="coversheet">
    <w:name w:val="coversheet"/>
    <w:basedOn w:val="Normal"/>
    <w:rsid w:val="00435883"/>
    <w:pPr>
      <w:spacing w:before="100" w:beforeAutospacing="1" w:after="100" w:afterAutospacing="1"/>
    </w:pPr>
    <w:rPr>
      <w:bCs w:val="0"/>
      <w:sz w:val="24"/>
    </w:rPr>
  </w:style>
  <w:style w:type="paragraph" w:customStyle="1" w:styleId="coversheetheadtext">
    <w:name w:val="coversheetheadtext"/>
    <w:basedOn w:val="Normal"/>
    <w:rsid w:val="00435883"/>
    <w:pPr>
      <w:spacing w:before="100" w:beforeAutospacing="1" w:after="100" w:afterAutospacing="1"/>
    </w:pPr>
    <w:rPr>
      <w:bCs w:val="0"/>
      <w:sz w:val="24"/>
    </w:rPr>
  </w:style>
  <w:style w:type="paragraph" w:customStyle="1" w:styleId="coversheetstaticand">
    <w:name w:val="coversheetstaticand"/>
    <w:basedOn w:val="Normal"/>
    <w:rsid w:val="00435883"/>
    <w:pPr>
      <w:spacing w:before="100" w:beforeAutospacing="1" w:after="100" w:afterAutospacing="1"/>
    </w:pPr>
    <w:rPr>
      <w:bCs w:val="0"/>
      <w:sz w:val="24"/>
    </w:rPr>
  </w:style>
  <w:style w:type="paragraph" w:customStyle="1" w:styleId="coversheetstaticbetween">
    <w:name w:val="coversheetstaticbetween"/>
    <w:basedOn w:val="Normal"/>
    <w:rsid w:val="00435883"/>
    <w:pPr>
      <w:spacing w:before="100" w:beforeAutospacing="1" w:after="100" w:afterAutospacing="1"/>
    </w:pPr>
    <w:rPr>
      <w:bCs w:val="0"/>
      <w:sz w:val="24"/>
    </w:rPr>
  </w:style>
  <w:style w:type="paragraph" w:customStyle="1" w:styleId="coversheetstaticdatedasof">
    <w:name w:val="coversheetstaticdatedasof"/>
    <w:basedOn w:val="Normal"/>
    <w:rsid w:val="00435883"/>
    <w:pPr>
      <w:spacing w:before="100" w:beforeAutospacing="1" w:after="100" w:afterAutospacing="1"/>
    </w:pPr>
    <w:rPr>
      <w:bCs w:val="0"/>
      <w:sz w:val="24"/>
    </w:rPr>
  </w:style>
  <w:style w:type="paragraph" w:customStyle="1" w:styleId="coversheetpartyname">
    <w:name w:val="coversheetpartyname"/>
    <w:basedOn w:val="Normal"/>
    <w:rsid w:val="00435883"/>
    <w:pPr>
      <w:spacing w:before="100" w:beforeAutospacing="1" w:after="100" w:afterAutospacing="1"/>
    </w:pPr>
    <w:rPr>
      <w:bCs w:val="0"/>
      <w:sz w:val="24"/>
    </w:rPr>
  </w:style>
  <w:style w:type="paragraph" w:customStyle="1" w:styleId="coversheetstaticdate">
    <w:name w:val="coversheetstaticdate"/>
    <w:basedOn w:val="Normal"/>
    <w:rsid w:val="00435883"/>
    <w:pPr>
      <w:spacing w:before="100" w:beforeAutospacing="1" w:after="100" w:afterAutospacing="1"/>
    </w:pPr>
    <w:rPr>
      <w:bCs w:val="0"/>
      <w:sz w:val="24"/>
    </w:rPr>
  </w:style>
  <w:style w:type="paragraph" w:customStyle="1" w:styleId="khabstract">
    <w:name w:val="kh_abstract"/>
    <w:basedOn w:val="Normal"/>
    <w:rsid w:val="00435883"/>
    <w:pPr>
      <w:spacing w:before="100" w:beforeAutospacing="1" w:after="100" w:afterAutospacing="1"/>
    </w:pPr>
    <w:rPr>
      <w:bCs w:val="0"/>
      <w:sz w:val="24"/>
    </w:rPr>
  </w:style>
  <w:style w:type="paragraph" w:customStyle="1" w:styleId="coproductname">
    <w:name w:val="co_productname"/>
    <w:basedOn w:val="Normal"/>
    <w:rsid w:val="00435883"/>
    <w:pPr>
      <w:spacing w:before="100" w:beforeAutospacing="1" w:after="100" w:afterAutospacing="1"/>
    </w:pPr>
    <w:rPr>
      <w:bCs w:val="0"/>
      <w:sz w:val="24"/>
    </w:rPr>
  </w:style>
  <w:style w:type="paragraph" w:customStyle="1" w:styleId="codoccontentextras">
    <w:name w:val="co_doc_content_extras"/>
    <w:basedOn w:val="Normal"/>
    <w:rsid w:val="00435883"/>
    <w:pPr>
      <w:spacing w:before="100" w:beforeAutospacing="1" w:after="100" w:afterAutospacing="1"/>
    </w:pPr>
    <w:rPr>
      <w:bCs w:val="0"/>
      <w:sz w:val="24"/>
    </w:rPr>
  </w:style>
  <w:style w:type="paragraph" w:customStyle="1" w:styleId="icon-circular-plus">
    <w:name w:val="icon-circular-plus"/>
    <w:basedOn w:val="Normal"/>
    <w:rsid w:val="00435883"/>
    <w:pPr>
      <w:spacing w:before="100" w:beforeAutospacing="1" w:after="100" w:afterAutospacing="1"/>
    </w:pPr>
    <w:rPr>
      <w:bCs w:val="0"/>
      <w:sz w:val="24"/>
    </w:rPr>
  </w:style>
  <w:style w:type="paragraph" w:customStyle="1" w:styleId="coviewall">
    <w:name w:val="co_viewall"/>
    <w:basedOn w:val="Normal"/>
    <w:rsid w:val="00435883"/>
    <w:pPr>
      <w:spacing w:before="100" w:beforeAutospacing="1" w:after="100" w:afterAutospacing="1"/>
    </w:pPr>
    <w:rPr>
      <w:bCs w:val="0"/>
      <w:sz w:val="24"/>
    </w:rPr>
  </w:style>
  <w:style w:type="paragraph" w:customStyle="1" w:styleId="conoteorphan">
    <w:name w:val="co_noteorphan"/>
    <w:basedOn w:val="Normal"/>
    <w:rsid w:val="00435883"/>
    <w:pPr>
      <w:spacing w:before="100" w:beforeAutospacing="1" w:after="100" w:afterAutospacing="1"/>
    </w:pPr>
    <w:rPr>
      <w:bCs w:val="0"/>
      <w:sz w:val="24"/>
    </w:rPr>
  </w:style>
  <w:style w:type="paragraph" w:customStyle="1" w:styleId="conotescontainer">
    <w:name w:val="co_notescontainer"/>
    <w:basedOn w:val="Normal"/>
    <w:rsid w:val="00435883"/>
    <w:pPr>
      <w:spacing w:before="100" w:beforeAutospacing="1" w:after="100" w:afterAutospacing="1"/>
    </w:pPr>
    <w:rPr>
      <w:bCs w:val="0"/>
      <w:sz w:val="24"/>
    </w:rPr>
  </w:style>
  <w:style w:type="paragraph" w:customStyle="1" w:styleId="conoteholder">
    <w:name w:val="co_noteholder"/>
    <w:basedOn w:val="Normal"/>
    <w:rsid w:val="00435883"/>
    <w:pPr>
      <w:spacing w:before="100" w:beforeAutospacing="1" w:after="100" w:afterAutospacing="1"/>
    </w:pPr>
    <w:rPr>
      <w:bCs w:val="0"/>
      <w:sz w:val="24"/>
    </w:rPr>
  </w:style>
  <w:style w:type="paragraph" w:customStyle="1" w:styleId="coscrollbutton">
    <w:name w:val="co_scrollbutton"/>
    <w:basedOn w:val="Normal"/>
    <w:rsid w:val="00435883"/>
    <w:pPr>
      <w:spacing w:before="100" w:beforeAutospacing="1" w:after="100" w:afterAutospacing="1"/>
    </w:pPr>
    <w:rPr>
      <w:bCs w:val="0"/>
      <w:sz w:val="24"/>
    </w:rPr>
  </w:style>
  <w:style w:type="paragraph" w:customStyle="1" w:styleId="coannotationsdatetime">
    <w:name w:val="co_annotations_datetime"/>
    <w:basedOn w:val="Normal"/>
    <w:rsid w:val="00435883"/>
    <w:pPr>
      <w:spacing w:before="100" w:beforeAutospacing="1" w:after="100" w:afterAutospacing="1"/>
    </w:pPr>
    <w:rPr>
      <w:bCs w:val="0"/>
      <w:sz w:val="24"/>
    </w:rPr>
  </w:style>
  <w:style w:type="paragraph" w:customStyle="1" w:styleId="coannotationsclient">
    <w:name w:val="co_annotations_client"/>
    <w:basedOn w:val="Normal"/>
    <w:rsid w:val="00435883"/>
    <w:pPr>
      <w:spacing w:before="100" w:beforeAutospacing="1" w:after="100" w:afterAutospacing="1"/>
    </w:pPr>
    <w:rPr>
      <w:bCs w:val="0"/>
      <w:sz w:val="24"/>
    </w:rPr>
  </w:style>
  <w:style w:type="paragraph" w:customStyle="1" w:styleId="cotrialwidgetcontainer">
    <w:name w:val="co_trialwidgetcontainer"/>
    <w:basedOn w:val="Normal"/>
    <w:rsid w:val="00435883"/>
    <w:pPr>
      <w:spacing w:before="100" w:beforeAutospacing="1" w:after="100" w:afterAutospacing="1"/>
    </w:pPr>
    <w:rPr>
      <w:bCs w:val="0"/>
      <w:sz w:val="24"/>
    </w:rPr>
  </w:style>
  <w:style w:type="paragraph" w:customStyle="1" w:styleId="cotrialwidgettitle">
    <w:name w:val="co_trialwidgettitle"/>
    <w:basedOn w:val="Normal"/>
    <w:rsid w:val="00435883"/>
    <w:pPr>
      <w:spacing w:before="100" w:beforeAutospacing="1" w:after="100" w:afterAutospacing="1"/>
    </w:pPr>
    <w:rPr>
      <w:bCs w:val="0"/>
      <w:sz w:val="24"/>
    </w:rPr>
  </w:style>
  <w:style w:type="paragraph" w:customStyle="1" w:styleId="cotrialwidgetcontent">
    <w:name w:val="co_trialwidgetcontent"/>
    <w:basedOn w:val="Normal"/>
    <w:rsid w:val="00435883"/>
    <w:pPr>
      <w:spacing w:before="100" w:beforeAutospacing="1" w:after="100" w:afterAutospacing="1"/>
    </w:pPr>
    <w:rPr>
      <w:bCs w:val="0"/>
      <w:sz w:val="24"/>
    </w:rPr>
  </w:style>
  <w:style w:type="paragraph" w:customStyle="1" w:styleId="cotrialwidgetcontrols">
    <w:name w:val="co_trialwidgetcontrols"/>
    <w:basedOn w:val="Normal"/>
    <w:rsid w:val="00435883"/>
    <w:pPr>
      <w:spacing w:before="100" w:beforeAutospacing="1" w:after="100" w:afterAutospacing="1"/>
    </w:pPr>
    <w:rPr>
      <w:bCs w:val="0"/>
      <w:sz w:val="24"/>
    </w:rPr>
  </w:style>
  <w:style w:type="paragraph" w:customStyle="1" w:styleId="codocumentfixedheaderview">
    <w:name w:val="co_documentfixedheaderview"/>
    <w:basedOn w:val="Normal"/>
    <w:rsid w:val="00435883"/>
    <w:pPr>
      <w:spacing w:before="100" w:beforeAutospacing="1" w:after="100" w:afterAutospacing="1"/>
    </w:pPr>
    <w:rPr>
      <w:bCs w:val="0"/>
      <w:sz w:val="24"/>
    </w:rPr>
  </w:style>
  <w:style w:type="paragraph" w:customStyle="1" w:styleId="pmheaderaddressp">
    <w:name w:val="pm_headeraddress&gt;p"/>
    <w:basedOn w:val="Normal"/>
    <w:rsid w:val="00435883"/>
    <w:pPr>
      <w:spacing w:before="100" w:beforeAutospacing="1" w:after="100" w:afterAutospacing="1"/>
    </w:pPr>
    <w:rPr>
      <w:bCs w:val="0"/>
      <w:sz w:val="24"/>
    </w:rPr>
  </w:style>
  <w:style w:type="paragraph" w:customStyle="1" w:styleId="coupdated">
    <w:name w:val="co_updated"/>
    <w:basedOn w:val="Normal"/>
    <w:rsid w:val="00435883"/>
    <w:pPr>
      <w:spacing w:before="100" w:beforeAutospacing="1" w:after="100" w:afterAutospacing="1"/>
    </w:pPr>
    <w:rPr>
      <w:bCs w:val="0"/>
      <w:sz w:val="24"/>
    </w:rPr>
  </w:style>
  <w:style w:type="paragraph" w:customStyle="1" w:styleId="comanagealerts">
    <w:name w:val="co_managealerts"/>
    <w:basedOn w:val="Normal"/>
    <w:rsid w:val="00435883"/>
    <w:pPr>
      <w:spacing w:before="100" w:beforeAutospacing="1" w:after="100" w:afterAutospacing="1"/>
    </w:pPr>
    <w:rPr>
      <w:bCs w:val="0"/>
      <w:sz w:val="24"/>
    </w:rPr>
  </w:style>
  <w:style w:type="paragraph" w:customStyle="1" w:styleId="cocontact">
    <w:name w:val="co_contact"/>
    <w:basedOn w:val="Normal"/>
    <w:rsid w:val="00435883"/>
    <w:pPr>
      <w:spacing w:before="100" w:beforeAutospacing="1" w:after="100" w:afterAutospacing="1"/>
    </w:pPr>
    <w:rPr>
      <w:bCs w:val="0"/>
      <w:sz w:val="24"/>
    </w:rPr>
  </w:style>
  <w:style w:type="paragraph" w:customStyle="1" w:styleId="cochangejurisdiction">
    <w:name w:val="co_changejurisdiction"/>
    <w:basedOn w:val="Normal"/>
    <w:rsid w:val="00435883"/>
    <w:pPr>
      <w:spacing w:before="100" w:beforeAutospacing="1" w:after="100" w:afterAutospacing="1"/>
    </w:pPr>
    <w:rPr>
      <w:bCs w:val="0"/>
      <w:sz w:val="24"/>
    </w:rPr>
  </w:style>
  <w:style w:type="paragraph" w:customStyle="1" w:styleId="cochangejurisdictiona">
    <w:name w:val="co_changejurisdiction&gt;a"/>
    <w:basedOn w:val="Normal"/>
    <w:rsid w:val="00435883"/>
    <w:pPr>
      <w:spacing w:before="100" w:beforeAutospacing="1" w:after="100" w:afterAutospacing="1"/>
    </w:pPr>
    <w:rPr>
      <w:bCs w:val="0"/>
      <w:sz w:val="24"/>
    </w:rPr>
  </w:style>
  <w:style w:type="paragraph" w:customStyle="1" w:styleId="codropdownmenufooter">
    <w:name w:val="co_dropdownmenufooter"/>
    <w:basedOn w:val="Normal"/>
    <w:rsid w:val="00435883"/>
    <w:pPr>
      <w:spacing w:before="100" w:beforeAutospacing="1" w:after="100" w:afterAutospacing="1"/>
    </w:pPr>
    <w:rPr>
      <w:bCs w:val="0"/>
      <w:sz w:val="24"/>
    </w:rPr>
  </w:style>
  <w:style w:type="paragraph" w:customStyle="1" w:styleId="cophonesmall">
    <w:name w:val="co_phonesmall"/>
    <w:basedOn w:val="Normal"/>
    <w:rsid w:val="00435883"/>
    <w:pPr>
      <w:spacing w:before="100" w:beforeAutospacing="1" w:after="100" w:afterAutospacing="1"/>
    </w:pPr>
    <w:rPr>
      <w:bCs w:val="0"/>
      <w:sz w:val="24"/>
    </w:rPr>
  </w:style>
  <w:style w:type="paragraph" w:customStyle="1" w:styleId="cosliderpages">
    <w:name w:val="co_sliderpages"/>
    <w:basedOn w:val="Normal"/>
    <w:rsid w:val="00435883"/>
    <w:pPr>
      <w:spacing w:before="100" w:beforeAutospacing="1" w:after="100" w:afterAutospacing="1"/>
    </w:pPr>
    <w:rPr>
      <w:bCs w:val="0"/>
      <w:sz w:val="24"/>
    </w:rPr>
  </w:style>
  <w:style w:type="paragraph" w:customStyle="1" w:styleId="cosummarycontent">
    <w:name w:val="co_summarycontent"/>
    <w:basedOn w:val="Normal"/>
    <w:rsid w:val="00435883"/>
    <w:pPr>
      <w:spacing w:before="100" w:beforeAutospacing="1" w:after="100" w:afterAutospacing="1"/>
    </w:pPr>
    <w:rPr>
      <w:bCs w:val="0"/>
      <w:sz w:val="24"/>
    </w:rPr>
  </w:style>
  <w:style w:type="paragraph" w:customStyle="1" w:styleId="coside">
    <w:name w:val="co_side"/>
    <w:basedOn w:val="Normal"/>
    <w:rsid w:val="00435883"/>
    <w:pPr>
      <w:spacing w:before="100" w:beforeAutospacing="1" w:after="100" w:afterAutospacing="1"/>
    </w:pPr>
    <w:rPr>
      <w:bCs w:val="0"/>
      <w:sz w:val="24"/>
    </w:rPr>
  </w:style>
  <w:style w:type="paragraph" w:customStyle="1" w:styleId="cobuttonback">
    <w:name w:val="co_button_back"/>
    <w:basedOn w:val="Normal"/>
    <w:rsid w:val="00435883"/>
    <w:pPr>
      <w:spacing w:before="100" w:beforeAutospacing="1" w:after="100" w:afterAutospacing="1"/>
    </w:pPr>
    <w:rPr>
      <w:bCs w:val="0"/>
      <w:sz w:val="24"/>
    </w:rPr>
  </w:style>
  <w:style w:type="paragraph" w:customStyle="1" w:styleId="cobuttonnext">
    <w:name w:val="co_button_next"/>
    <w:basedOn w:val="Normal"/>
    <w:rsid w:val="00435883"/>
    <w:pPr>
      <w:spacing w:before="100" w:beforeAutospacing="1" w:after="100" w:afterAutospacing="1"/>
    </w:pPr>
    <w:rPr>
      <w:bCs w:val="0"/>
      <w:sz w:val="24"/>
    </w:rPr>
  </w:style>
  <w:style w:type="paragraph" w:customStyle="1" w:styleId="coslidertriggers">
    <w:name w:val="co_slidertriggers"/>
    <w:basedOn w:val="Normal"/>
    <w:rsid w:val="00435883"/>
    <w:pPr>
      <w:spacing w:before="100" w:beforeAutospacing="1" w:after="100" w:afterAutospacing="1"/>
    </w:pPr>
    <w:rPr>
      <w:bCs w:val="0"/>
      <w:sz w:val="24"/>
    </w:rPr>
  </w:style>
  <w:style w:type="paragraph" w:customStyle="1" w:styleId="coarticleoverview">
    <w:name w:val="co_articleoverview"/>
    <w:basedOn w:val="Normal"/>
    <w:rsid w:val="00435883"/>
    <w:pPr>
      <w:spacing w:before="100" w:beforeAutospacing="1" w:after="100" w:afterAutospacing="1"/>
    </w:pPr>
    <w:rPr>
      <w:bCs w:val="0"/>
      <w:sz w:val="24"/>
    </w:rPr>
  </w:style>
  <w:style w:type="paragraph" w:customStyle="1" w:styleId="cogenericboxcontentul">
    <w:name w:val="co_genericboxcontent&gt;ul"/>
    <w:basedOn w:val="Normal"/>
    <w:rsid w:val="00435883"/>
    <w:pPr>
      <w:spacing w:before="100" w:beforeAutospacing="1" w:after="100" w:afterAutospacing="1"/>
    </w:pPr>
    <w:rPr>
      <w:bCs w:val="0"/>
      <w:sz w:val="24"/>
    </w:rPr>
  </w:style>
  <w:style w:type="paragraph" w:customStyle="1" w:styleId="coflyout">
    <w:name w:val="co_flyout"/>
    <w:basedOn w:val="Normal"/>
    <w:rsid w:val="00435883"/>
    <w:pPr>
      <w:spacing w:before="100" w:beforeAutospacing="1" w:after="100" w:afterAutospacing="1"/>
    </w:pPr>
    <w:rPr>
      <w:bCs w:val="0"/>
      <w:sz w:val="24"/>
    </w:rPr>
  </w:style>
  <w:style w:type="paragraph" w:customStyle="1" w:styleId="copointer">
    <w:name w:val="co_pointer"/>
    <w:basedOn w:val="Normal"/>
    <w:rsid w:val="00435883"/>
    <w:pPr>
      <w:spacing w:before="100" w:beforeAutospacing="1" w:after="100" w:afterAutospacing="1"/>
    </w:pPr>
    <w:rPr>
      <w:bCs w:val="0"/>
      <w:sz w:val="24"/>
    </w:rPr>
  </w:style>
  <w:style w:type="paragraph" w:customStyle="1" w:styleId="coflyoutinner">
    <w:name w:val="co_flyoutinner"/>
    <w:basedOn w:val="Normal"/>
    <w:rsid w:val="00435883"/>
    <w:pPr>
      <w:spacing w:before="100" w:beforeAutospacing="1" w:after="100" w:afterAutospacing="1"/>
    </w:pPr>
    <w:rPr>
      <w:bCs w:val="0"/>
      <w:sz w:val="24"/>
    </w:rPr>
  </w:style>
  <w:style w:type="paragraph" w:customStyle="1" w:styleId="coflyoutinnerul">
    <w:name w:val="co_flyoutinner&gt;ul"/>
    <w:basedOn w:val="Normal"/>
    <w:rsid w:val="00435883"/>
    <w:pPr>
      <w:spacing w:before="100" w:beforeAutospacing="1" w:after="100" w:afterAutospacing="1"/>
    </w:pPr>
    <w:rPr>
      <w:bCs w:val="0"/>
      <w:sz w:val="24"/>
    </w:rPr>
  </w:style>
  <w:style w:type="paragraph" w:customStyle="1" w:styleId="coflyoutheader">
    <w:name w:val="co_flyoutheader"/>
    <w:basedOn w:val="Normal"/>
    <w:rsid w:val="00435883"/>
    <w:pPr>
      <w:spacing w:before="100" w:beforeAutospacing="1" w:after="100" w:afterAutospacing="1"/>
    </w:pPr>
    <w:rPr>
      <w:bCs w:val="0"/>
      <w:sz w:val="24"/>
    </w:rPr>
  </w:style>
  <w:style w:type="paragraph" w:customStyle="1" w:styleId="coformcheckbox">
    <w:name w:val="co_formcheckbox"/>
    <w:basedOn w:val="Normal"/>
    <w:rsid w:val="00435883"/>
    <w:pPr>
      <w:spacing w:before="100" w:beforeAutospacing="1" w:after="100" w:afterAutospacing="1"/>
    </w:pPr>
    <w:rPr>
      <w:bCs w:val="0"/>
      <w:sz w:val="24"/>
    </w:rPr>
  </w:style>
  <w:style w:type="paragraph" w:customStyle="1" w:styleId="coresultdescription">
    <w:name w:val="co_resultdescription"/>
    <w:basedOn w:val="Normal"/>
    <w:rsid w:val="00435883"/>
    <w:pPr>
      <w:spacing w:before="100" w:beforeAutospacing="1" w:after="100" w:afterAutospacing="1"/>
    </w:pPr>
    <w:rPr>
      <w:bCs w:val="0"/>
      <w:sz w:val="24"/>
    </w:rPr>
  </w:style>
  <w:style w:type="paragraph" w:customStyle="1" w:styleId="colayout2columns">
    <w:name w:val="co_layout_2columns"/>
    <w:basedOn w:val="Normal"/>
    <w:rsid w:val="00435883"/>
    <w:pPr>
      <w:spacing w:before="100" w:beforeAutospacing="1" w:after="100" w:afterAutospacing="1"/>
    </w:pPr>
    <w:rPr>
      <w:bCs w:val="0"/>
      <w:sz w:val="24"/>
    </w:rPr>
  </w:style>
  <w:style w:type="paragraph" w:customStyle="1" w:styleId="colayout6columns">
    <w:name w:val="co_layout_6columns"/>
    <w:basedOn w:val="Normal"/>
    <w:rsid w:val="00435883"/>
    <w:pPr>
      <w:spacing w:before="100" w:beforeAutospacing="1" w:after="100" w:afterAutospacing="1"/>
    </w:pPr>
    <w:rPr>
      <w:bCs w:val="0"/>
      <w:sz w:val="24"/>
    </w:rPr>
  </w:style>
  <w:style w:type="paragraph" w:customStyle="1" w:styleId="loaded">
    <w:name w:val="loaded"/>
    <w:basedOn w:val="Normal"/>
    <w:rsid w:val="00435883"/>
    <w:pPr>
      <w:spacing w:before="100" w:beforeAutospacing="1" w:after="100" w:afterAutospacing="1"/>
    </w:pPr>
    <w:rPr>
      <w:bCs w:val="0"/>
      <w:sz w:val="24"/>
    </w:rPr>
  </w:style>
  <w:style w:type="paragraph" w:customStyle="1" w:styleId="coarbtd-title">
    <w:name w:val="co_arb_td-title"/>
    <w:basedOn w:val="Normal"/>
    <w:rsid w:val="00435883"/>
    <w:pPr>
      <w:spacing w:before="100" w:beforeAutospacing="1" w:after="100" w:afterAutospacing="1"/>
    </w:pPr>
    <w:rPr>
      <w:bCs w:val="0"/>
      <w:sz w:val="24"/>
    </w:rPr>
  </w:style>
  <w:style w:type="paragraph" w:customStyle="1" w:styleId="coarbth-title">
    <w:name w:val="co_arb_th-title"/>
    <w:basedOn w:val="Normal"/>
    <w:rsid w:val="00435883"/>
    <w:pPr>
      <w:spacing w:before="100" w:beforeAutospacing="1" w:after="100" w:afterAutospacing="1"/>
    </w:pPr>
    <w:rPr>
      <w:bCs w:val="0"/>
      <w:sz w:val="24"/>
    </w:rPr>
  </w:style>
  <w:style w:type="paragraph" w:customStyle="1" w:styleId="cocolumncheckboxemptysection">
    <w:name w:val="co_columncheckboxemptysection"/>
    <w:basedOn w:val="Normal"/>
    <w:rsid w:val="00435883"/>
    <w:pPr>
      <w:spacing w:before="100" w:beforeAutospacing="1" w:after="100" w:afterAutospacing="1"/>
    </w:pPr>
    <w:rPr>
      <w:bCs w:val="0"/>
      <w:sz w:val="24"/>
    </w:rPr>
  </w:style>
  <w:style w:type="paragraph" w:customStyle="1" w:styleId="cocolumncheckboxsectionshifted">
    <w:name w:val="co_columncheckboxsectionshifted"/>
    <w:basedOn w:val="Normal"/>
    <w:rsid w:val="00435883"/>
    <w:pPr>
      <w:spacing w:before="100" w:beforeAutospacing="1" w:after="100" w:afterAutospacing="1"/>
    </w:pPr>
    <w:rPr>
      <w:bCs w:val="0"/>
      <w:sz w:val="24"/>
    </w:rPr>
  </w:style>
  <w:style w:type="paragraph" w:customStyle="1" w:styleId="codeliveryqueueitem">
    <w:name w:val="co_deliveryqueue_item"/>
    <w:basedOn w:val="Normal"/>
    <w:rsid w:val="00435883"/>
    <w:pPr>
      <w:spacing w:before="100" w:beforeAutospacing="1" w:after="100" w:afterAutospacing="1"/>
    </w:pPr>
    <w:rPr>
      <w:bCs w:val="0"/>
      <w:sz w:val="24"/>
    </w:rPr>
  </w:style>
  <w:style w:type="paragraph" w:customStyle="1" w:styleId="cobaltrofolderactionlabel">
    <w:name w:val="cobalt_ro_folder_action_label"/>
    <w:basedOn w:val="Normal"/>
    <w:rsid w:val="00435883"/>
    <w:pPr>
      <w:spacing w:before="100" w:beforeAutospacing="1" w:after="100" w:afterAutospacing="1"/>
    </w:pPr>
    <w:rPr>
      <w:bCs w:val="0"/>
      <w:sz w:val="24"/>
    </w:rPr>
  </w:style>
  <w:style w:type="paragraph" w:customStyle="1" w:styleId="codoccontentbodylistbullet">
    <w:name w:val="co_doccontentbodylistbullet"/>
    <w:basedOn w:val="Normal"/>
    <w:rsid w:val="00435883"/>
    <w:pPr>
      <w:spacing w:before="100" w:beforeAutospacing="1" w:after="100" w:afterAutospacing="1"/>
    </w:pPr>
    <w:rPr>
      <w:bCs w:val="0"/>
      <w:sz w:val="24"/>
    </w:rPr>
  </w:style>
  <w:style w:type="paragraph" w:customStyle="1" w:styleId="cotockeyciteflag">
    <w:name w:val="co_tockeyciteflag"/>
    <w:basedOn w:val="Normal"/>
    <w:rsid w:val="00435883"/>
    <w:pPr>
      <w:spacing w:before="100" w:beforeAutospacing="1" w:after="100" w:afterAutospacing="1"/>
    </w:pPr>
    <w:rPr>
      <w:bCs w:val="0"/>
      <w:sz w:val="24"/>
    </w:rPr>
  </w:style>
  <w:style w:type="paragraph" w:customStyle="1" w:styleId="cofolderingkeycitecontainer">
    <w:name w:val="co_foldering_keycitecontainer"/>
    <w:basedOn w:val="Normal"/>
    <w:rsid w:val="00435883"/>
    <w:pPr>
      <w:spacing w:before="100" w:beforeAutospacing="1" w:after="100" w:afterAutospacing="1"/>
    </w:pPr>
    <w:rPr>
      <w:bCs w:val="0"/>
      <w:sz w:val="24"/>
    </w:rPr>
  </w:style>
  <w:style w:type="paragraph" w:customStyle="1" w:styleId="cotooltipicon">
    <w:name w:val="co_tooltipicon"/>
    <w:basedOn w:val="Normal"/>
    <w:rsid w:val="00435883"/>
    <w:pPr>
      <w:spacing w:before="100" w:beforeAutospacing="1" w:after="100" w:afterAutospacing="1"/>
    </w:pPr>
    <w:rPr>
      <w:bCs w:val="0"/>
      <w:sz w:val="24"/>
    </w:rPr>
  </w:style>
  <w:style w:type="paragraph" w:customStyle="1" w:styleId="cotooltipinstructionsmessage">
    <w:name w:val="co_tooltipinstructionsmessage"/>
    <w:basedOn w:val="Normal"/>
    <w:rsid w:val="00435883"/>
    <w:pPr>
      <w:spacing w:before="100" w:beforeAutospacing="1" w:after="100" w:afterAutospacing="1"/>
    </w:pPr>
    <w:rPr>
      <w:bCs w:val="0"/>
      <w:sz w:val="24"/>
    </w:rPr>
  </w:style>
  <w:style w:type="paragraph" w:customStyle="1" w:styleId="corecentfolderslistitem">
    <w:name w:val="co_recentfolderslistitem"/>
    <w:basedOn w:val="Normal"/>
    <w:rsid w:val="00435883"/>
    <w:pPr>
      <w:spacing w:before="100" w:beforeAutospacing="1" w:after="100" w:afterAutospacing="1"/>
    </w:pPr>
    <w:rPr>
      <w:bCs w:val="0"/>
      <w:sz w:val="24"/>
    </w:rPr>
  </w:style>
  <w:style w:type="paragraph" w:customStyle="1" w:styleId="coinfoboxfailuresmall">
    <w:name w:val="co_infoboxfailure_small"/>
    <w:basedOn w:val="Normal"/>
    <w:rsid w:val="00435883"/>
    <w:pPr>
      <w:spacing w:before="100" w:beforeAutospacing="1" w:after="100" w:afterAutospacing="1"/>
    </w:pPr>
    <w:rPr>
      <w:bCs w:val="0"/>
      <w:sz w:val="24"/>
    </w:rPr>
  </w:style>
  <w:style w:type="paragraph" w:customStyle="1" w:styleId="codeliverywidget">
    <w:name w:val="co_deliverywidget"/>
    <w:basedOn w:val="Normal"/>
    <w:rsid w:val="00435883"/>
    <w:pPr>
      <w:spacing w:before="100" w:beforeAutospacing="1" w:after="100" w:afterAutospacing="1"/>
    </w:pPr>
    <w:rPr>
      <w:bCs w:val="0"/>
      <w:sz w:val="24"/>
    </w:rPr>
  </w:style>
  <w:style w:type="paragraph" w:customStyle="1" w:styleId="co-redline-parentlistitem">
    <w:name w:val="co-redline-parentlistitem"/>
    <w:basedOn w:val="Normal"/>
    <w:rsid w:val="00435883"/>
    <w:pPr>
      <w:spacing w:before="100" w:beforeAutospacing="1" w:after="100" w:afterAutospacing="1"/>
    </w:pPr>
    <w:rPr>
      <w:bCs w:val="0"/>
      <w:sz w:val="24"/>
    </w:rPr>
  </w:style>
  <w:style w:type="paragraph" w:customStyle="1" w:styleId="ui-progressbar-value">
    <w:name w:val="ui-progressbar-value"/>
    <w:basedOn w:val="Normal"/>
    <w:rsid w:val="00435883"/>
    <w:pPr>
      <w:spacing w:before="100" w:beforeAutospacing="1" w:after="100" w:afterAutospacing="1"/>
    </w:pPr>
    <w:rPr>
      <w:bCs w:val="0"/>
      <w:sz w:val="24"/>
    </w:rPr>
  </w:style>
  <w:style w:type="paragraph" w:customStyle="1" w:styleId="co60percent">
    <w:name w:val="co_60percent"/>
    <w:basedOn w:val="Normal"/>
    <w:rsid w:val="00435883"/>
    <w:pPr>
      <w:spacing w:before="100" w:beforeAutospacing="1" w:after="100" w:afterAutospacing="1"/>
    </w:pPr>
    <w:rPr>
      <w:bCs w:val="0"/>
      <w:sz w:val="24"/>
    </w:rPr>
  </w:style>
  <w:style w:type="paragraph" w:customStyle="1" w:styleId="coassigngraderquery">
    <w:name w:val="co_assigngraderquery"/>
    <w:basedOn w:val="Normal"/>
    <w:rsid w:val="00435883"/>
    <w:pPr>
      <w:spacing w:before="100" w:beforeAutospacing="1" w:after="100" w:afterAutospacing="1"/>
    </w:pPr>
    <w:rPr>
      <w:bCs w:val="0"/>
      <w:sz w:val="24"/>
    </w:rPr>
  </w:style>
  <w:style w:type="paragraph" w:customStyle="1" w:styleId="coemptyquery">
    <w:name w:val="co_emptyquery"/>
    <w:basedOn w:val="Normal"/>
    <w:rsid w:val="00435883"/>
    <w:pPr>
      <w:spacing w:before="100" w:beforeAutospacing="1" w:after="100" w:afterAutospacing="1"/>
    </w:pPr>
    <w:rPr>
      <w:bCs w:val="0"/>
      <w:sz w:val="24"/>
    </w:rPr>
  </w:style>
  <w:style w:type="paragraph" w:customStyle="1" w:styleId="cocontenttypeoptions">
    <w:name w:val="co_contenttypeoptions"/>
    <w:basedOn w:val="Normal"/>
    <w:rsid w:val="00435883"/>
    <w:pPr>
      <w:spacing w:before="100" w:beforeAutospacing="1" w:after="100" w:afterAutospacing="1"/>
    </w:pPr>
    <w:rPr>
      <w:bCs w:val="0"/>
      <w:sz w:val="24"/>
    </w:rPr>
  </w:style>
  <w:style w:type="paragraph" w:customStyle="1" w:styleId="coexperimentoptions">
    <w:name w:val="co_experimentoptions"/>
    <w:basedOn w:val="Normal"/>
    <w:rsid w:val="00435883"/>
    <w:pPr>
      <w:spacing w:before="100" w:beforeAutospacing="1" w:after="100" w:afterAutospacing="1"/>
    </w:pPr>
    <w:rPr>
      <w:bCs w:val="0"/>
      <w:sz w:val="24"/>
    </w:rPr>
  </w:style>
  <w:style w:type="paragraph" w:customStyle="1" w:styleId="cogradingtoolsearchinput">
    <w:name w:val="co_gradingtoolsearchinput"/>
    <w:basedOn w:val="Normal"/>
    <w:rsid w:val="00435883"/>
    <w:pPr>
      <w:spacing w:before="100" w:beforeAutospacing="1" w:after="100" w:afterAutospacing="1"/>
    </w:pPr>
    <w:rPr>
      <w:bCs w:val="0"/>
      <w:sz w:val="24"/>
    </w:rPr>
  </w:style>
  <w:style w:type="paragraph" w:customStyle="1" w:styleId="colabelrequired">
    <w:name w:val="co_label_required"/>
    <w:basedOn w:val="Normal"/>
    <w:rsid w:val="00435883"/>
    <w:pPr>
      <w:spacing w:before="100" w:beforeAutospacing="1" w:after="100" w:afterAutospacing="1"/>
    </w:pPr>
    <w:rPr>
      <w:bCs w:val="0"/>
      <w:sz w:val="24"/>
    </w:rPr>
  </w:style>
  <w:style w:type="paragraph" w:customStyle="1" w:styleId="comoderatealert">
    <w:name w:val="co_moderatealert"/>
    <w:basedOn w:val="Normal"/>
    <w:rsid w:val="00435883"/>
    <w:pPr>
      <w:spacing w:before="100" w:beforeAutospacing="1" w:after="100" w:afterAutospacing="1"/>
    </w:pPr>
    <w:rPr>
      <w:bCs w:val="0"/>
      <w:sz w:val="24"/>
    </w:rPr>
  </w:style>
  <w:style w:type="paragraph" w:customStyle="1" w:styleId="codoublewide">
    <w:name w:val="co_doublewide"/>
    <w:basedOn w:val="Normal"/>
    <w:rsid w:val="00435883"/>
    <w:pPr>
      <w:spacing w:before="100" w:beforeAutospacing="1" w:after="100" w:afterAutospacing="1"/>
    </w:pPr>
    <w:rPr>
      <w:bCs w:val="0"/>
      <w:sz w:val="24"/>
    </w:rPr>
  </w:style>
  <w:style w:type="paragraph" w:customStyle="1" w:styleId="cosummarylabel">
    <w:name w:val="co_summarylabel"/>
    <w:basedOn w:val="Normal"/>
    <w:rsid w:val="00435883"/>
    <w:pPr>
      <w:spacing w:before="100" w:beforeAutospacing="1" w:after="100" w:afterAutospacing="1"/>
    </w:pPr>
    <w:rPr>
      <w:bCs w:val="0"/>
      <w:sz w:val="24"/>
    </w:rPr>
  </w:style>
  <w:style w:type="paragraph" w:customStyle="1" w:styleId="cosummaryvalue">
    <w:name w:val="co_summaryvalue"/>
    <w:basedOn w:val="Normal"/>
    <w:rsid w:val="00435883"/>
    <w:pPr>
      <w:spacing w:before="100" w:beforeAutospacing="1" w:after="100" w:afterAutospacing="1"/>
    </w:pPr>
    <w:rPr>
      <w:bCs w:val="0"/>
      <w:sz w:val="24"/>
    </w:rPr>
  </w:style>
  <w:style w:type="paragraph" w:customStyle="1" w:styleId="coremoved">
    <w:name w:val="co_removed"/>
    <w:basedOn w:val="Normal"/>
    <w:rsid w:val="00435883"/>
    <w:pPr>
      <w:spacing w:before="100" w:beforeAutospacing="1" w:after="100" w:afterAutospacing="1"/>
    </w:pPr>
    <w:rPr>
      <w:bCs w:val="0"/>
      <w:sz w:val="24"/>
    </w:rPr>
  </w:style>
  <w:style w:type="paragraph" w:customStyle="1" w:styleId="codeliveryoption">
    <w:name w:val="co_deliveryoption"/>
    <w:basedOn w:val="Normal"/>
    <w:rsid w:val="00435883"/>
    <w:pPr>
      <w:spacing w:before="100" w:beforeAutospacing="1" w:after="100" w:afterAutospacing="1"/>
    </w:pPr>
    <w:rPr>
      <w:bCs w:val="0"/>
      <w:sz w:val="24"/>
    </w:rPr>
  </w:style>
  <w:style w:type="paragraph" w:customStyle="1" w:styleId="khjurselector">
    <w:name w:val="kh_jurselector"/>
    <w:basedOn w:val="Normal"/>
    <w:rsid w:val="00435883"/>
    <w:pPr>
      <w:spacing w:before="100" w:beforeAutospacing="1" w:after="100" w:afterAutospacing="1"/>
    </w:pPr>
    <w:rPr>
      <w:bCs w:val="0"/>
      <w:sz w:val="24"/>
    </w:rPr>
  </w:style>
  <w:style w:type="paragraph" w:customStyle="1" w:styleId="cobisectioncontainer">
    <w:name w:val="co_bi_sectioncontainer"/>
    <w:basedOn w:val="Normal"/>
    <w:rsid w:val="00435883"/>
    <w:pPr>
      <w:spacing w:before="100" w:beforeAutospacing="1" w:after="100" w:afterAutospacing="1"/>
    </w:pPr>
    <w:rPr>
      <w:bCs w:val="0"/>
      <w:sz w:val="24"/>
    </w:rPr>
  </w:style>
  <w:style w:type="paragraph" w:customStyle="1" w:styleId="cosearchresultsquestion">
    <w:name w:val="co_searchresults_question"/>
    <w:basedOn w:val="Normal"/>
    <w:rsid w:val="00435883"/>
    <w:pPr>
      <w:spacing w:before="100" w:beforeAutospacing="1" w:after="100" w:afterAutospacing="1"/>
    </w:pPr>
    <w:rPr>
      <w:bCs w:val="0"/>
      <w:sz w:val="24"/>
    </w:rPr>
  </w:style>
  <w:style w:type="paragraph" w:customStyle="1" w:styleId="cosearchresultsjurisdiction">
    <w:name w:val="co_searchresults_jurisdiction"/>
    <w:basedOn w:val="Normal"/>
    <w:rsid w:val="00435883"/>
    <w:pPr>
      <w:spacing w:before="100" w:beforeAutospacing="1" w:after="100" w:afterAutospacing="1"/>
    </w:pPr>
    <w:rPr>
      <w:bCs w:val="0"/>
      <w:sz w:val="24"/>
    </w:rPr>
  </w:style>
  <w:style w:type="paragraph" w:customStyle="1" w:styleId="coitemwithindent">
    <w:name w:val="co_itemwithindent"/>
    <w:basedOn w:val="Normal"/>
    <w:rsid w:val="00435883"/>
    <w:pPr>
      <w:spacing w:before="100" w:beforeAutospacing="1" w:after="100" w:afterAutospacing="1"/>
    </w:pPr>
    <w:rPr>
      <w:bCs w:val="0"/>
      <w:sz w:val="24"/>
    </w:rPr>
  </w:style>
  <w:style w:type="paragraph" w:customStyle="1" w:styleId="codochistoryhasstatus">
    <w:name w:val="co_dochistory_hasstatus"/>
    <w:basedOn w:val="Normal"/>
    <w:rsid w:val="00435883"/>
    <w:pPr>
      <w:spacing w:before="100" w:beforeAutospacing="1" w:after="100" w:afterAutospacing="1"/>
    </w:pPr>
    <w:rPr>
      <w:bCs w:val="0"/>
      <w:sz w:val="24"/>
    </w:rPr>
  </w:style>
  <w:style w:type="paragraph" w:customStyle="1" w:styleId="codochistorygreenstatus">
    <w:name w:val="co_dochistory_greenstatus"/>
    <w:basedOn w:val="Normal"/>
    <w:rsid w:val="00435883"/>
    <w:pPr>
      <w:spacing w:before="100" w:beforeAutospacing="1" w:after="100" w:afterAutospacing="1"/>
    </w:pPr>
    <w:rPr>
      <w:bCs w:val="0"/>
      <w:sz w:val="24"/>
    </w:rPr>
  </w:style>
  <w:style w:type="paragraph" w:customStyle="1" w:styleId="codochistorygreystatus">
    <w:name w:val="co_dochistory_greystatus"/>
    <w:basedOn w:val="Normal"/>
    <w:rsid w:val="00435883"/>
    <w:pPr>
      <w:spacing w:before="100" w:beforeAutospacing="1" w:after="100" w:afterAutospacing="1"/>
    </w:pPr>
    <w:rPr>
      <w:bCs w:val="0"/>
      <w:sz w:val="24"/>
    </w:rPr>
  </w:style>
  <w:style w:type="paragraph" w:customStyle="1" w:styleId="coheadnoteskiplink">
    <w:name w:val="co_headnoteskiplink"/>
    <w:basedOn w:val="Normal"/>
    <w:rsid w:val="00435883"/>
    <w:pPr>
      <w:spacing w:before="100" w:beforeAutospacing="1" w:after="100" w:afterAutospacing="1"/>
    </w:pPr>
    <w:rPr>
      <w:bCs w:val="0"/>
      <w:sz w:val="24"/>
    </w:rPr>
  </w:style>
  <w:style w:type="paragraph" w:customStyle="1" w:styleId="cofancyheadnotesshowhide">
    <w:name w:val="co_fancyheadnotesshowhide"/>
    <w:basedOn w:val="Normal"/>
    <w:rsid w:val="00435883"/>
    <w:pPr>
      <w:spacing w:before="100" w:beforeAutospacing="1" w:after="100" w:afterAutospacing="1"/>
    </w:pPr>
    <w:rPr>
      <w:bCs w:val="0"/>
      <w:sz w:val="24"/>
    </w:rPr>
  </w:style>
  <w:style w:type="paragraph" w:customStyle="1" w:styleId="mce-panel">
    <w:name w:val="mce-panel"/>
    <w:basedOn w:val="Normal"/>
    <w:rsid w:val="00435883"/>
    <w:pPr>
      <w:spacing w:before="100" w:beforeAutospacing="1" w:after="100" w:afterAutospacing="1"/>
    </w:pPr>
    <w:rPr>
      <w:bCs w:val="0"/>
      <w:sz w:val="24"/>
    </w:rPr>
  </w:style>
  <w:style w:type="paragraph" w:customStyle="1" w:styleId="mce-toolbar-grp">
    <w:name w:val="mce-toolbar-grp"/>
    <w:basedOn w:val="Normal"/>
    <w:rsid w:val="00435883"/>
    <w:pPr>
      <w:spacing w:before="100" w:beforeAutospacing="1" w:after="100" w:afterAutospacing="1"/>
    </w:pPr>
    <w:rPr>
      <w:bCs w:val="0"/>
      <w:sz w:val="24"/>
    </w:rPr>
  </w:style>
  <w:style w:type="paragraph" w:customStyle="1" w:styleId="mce-container">
    <w:name w:val="mce-container"/>
    <w:basedOn w:val="Normal"/>
    <w:rsid w:val="00435883"/>
    <w:pPr>
      <w:spacing w:before="100" w:beforeAutospacing="1" w:after="100" w:afterAutospacing="1"/>
    </w:pPr>
    <w:rPr>
      <w:bCs w:val="0"/>
      <w:sz w:val="24"/>
    </w:rPr>
  </w:style>
  <w:style w:type="paragraph" w:customStyle="1" w:styleId="mce-container-body">
    <w:name w:val="mce-container-body"/>
    <w:basedOn w:val="Normal"/>
    <w:rsid w:val="00435883"/>
    <w:pPr>
      <w:spacing w:before="100" w:beforeAutospacing="1" w:after="100" w:afterAutospacing="1"/>
    </w:pPr>
    <w:rPr>
      <w:bCs w:val="0"/>
      <w:sz w:val="24"/>
    </w:rPr>
  </w:style>
  <w:style w:type="paragraph" w:customStyle="1" w:styleId="enddocheader">
    <w:name w:val="enddocheader"/>
    <w:basedOn w:val="Normal"/>
    <w:rsid w:val="00435883"/>
    <w:pPr>
      <w:spacing w:before="100" w:beforeAutospacing="1" w:after="100" w:afterAutospacing="1"/>
    </w:pPr>
    <w:rPr>
      <w:bCs w:val="0"/>
      <w:sz w:val="24"/>
    </w:rPr>
  </w:style>
  <w:style w:type="paragraph" w:customStyle="1" w:styleId="copracticeareaname">
    <w:name w:val="co_practiceareaname"/>
    <w:basedOn w:val="Normal"/>
    <w:rsid w:val="00435883"/>
    <w:pPr>
      <w:spacing w:before="100" w:beforeAutospacing="1" w:after="100" w:afterAutospacing="1"/>
    </w:pPr>
    <w:rPr>
      <w:bCs w:val="0"/>
      <w:sz w:val="24"/>
    </w:rPr>
  </w:style>
  <w:style w:type="paragraph" w:customStyle="1" w:styleId="codocumentid">
    <w:name w:val="co_documentid"/>
    <w:basedOn w:val="Normal"/>
    <w:rsid w:val="00435883"/>
    <w:pPr>
      <w:spacing w:before="100" w:beforeAutospacing="1" w:after="100" w:afterAutospacing="1"/>
    </w:pPr>
    <w:rPr>
      <w:bCs w:val="0"/>
      <w:sz w:val="24"/>
    </w:rPr>
  </w:style>
  <w:style w:type="paragraph" w:customStyle="1" w:styleId="icon-clock-history">
    <w:name w:val="icon-clock-history"/>
    <w:basedOn w:val="Normal"/>
    <w:rsid w:val="00435883"/>
    <w:pPr>
      <w:spacing w:before="100" w:beforeAutospacing="1" w:after="100" w:afterAutospacing="1"/>
    </w:pPr>
    <w:rPr>
      <w:bCs w:val="0"/>
      <w:sz w:val="24"/>
    </w:rPr>
  </w:style>
  <w:style w:type="paragraph" w:customStyle="1" w:styleId="cobulllist">
    <w:name w:val="co_bulllist"/>
    <w:basedOn w:val="Normal"/>
    <w:rsid w:val="00435883"/>
    <w:pPr>
      <w:spacing w:before="100" w:beforeAutospacing="1" w:after="100" w:afterAutospacing="1"/>
    </w:pPr>
    <w:rPr>
      <w:bCs w:val="0"/>
      <w:sz w:val="24"/>
    </w:rPr>
  </w:style>
  <w:style w:type="paragraph" w:customStyle="1" w:styleId="icon-up-arrow">
    <w:name w:val="icon-up-arrow"/>
    <w:basedOn w:val="Normal"/>
    <w:rsid w:val="00435883"/>
    <w:pPr>
      <w:spacing w:before="100" w:beforeAutospacing="1" w:after="100" w:afterAutospacing="1"/>
    </w:pPr>
    <w:rPr>
      <w:bCs w:val="0"/>
      <w:sz w:val="24"/>
    </w:rPr>
  </w:style>
  <w:style w:type="paragraph" w:customStyle="1" w:styleId="fieldlink">
    <w:name w:val="fieldlink"/>
    <w:basedOn w:val="Normal"/>
    <w:rsid w:val="00435883"/>
    <w:pPr>
      <w:spacing w:before="100" w:beforeAutospacing="1" w:after="100" w:afterAutospacing="1"/>
    </w:pPr>
    <w:rPr>
      <w:bCs w:val="0"/>
      <w:sz w:val="24"/>
    </w:rPr>
  </w:style>
  <w:style w:type="paragraph" w:customStyle="1" w:styleId="coflyoutlist">
    <w:name w:val="co_flyoutlist"/>
    <w:basedOn w:val="Normal"/>
    <w:rsid w:val="00435883"/>
    <w:pPr>
      <w:spacing w:before="100" w:beforeAutospacing="1" w:after="100" w:afterAutospacing="1"/>
    </w:pPr>
    <w:rPr>
      <w:bCs w:val="0"/>
      <w:sz w:val="24"/>
    </w:rPr>
  </w:style>
  <w:style w:type="paragraph" w:customStyle="1" w:styleId="coiconalerts">
    <w:name w:val="co_iconalerts"/>
    <w:basedOn w:val="Normal"/>
    <w:rsid w:val="00435883"/>
    <w:pPr>
      <w:spacing w:before="100" w:beforeAutospacing="1" w:after="100" w:afterAutospacing="1"/>
    </w:pPr>
    <w:rPr>
      <w:bCs w:val="0"/>
      <w:sz w:val="24"/>
    </w:rPr>
  </w:style>
  <w:style w:type="paragraph" w:customStyle="1" w:styleId="cotocitemcobrowsecontent">
    <w:name w:val="co_tocitem&gt;co_browsecontent"/>
    <w:basedOn w:val="Normal"/>
    <w:rsid w:val="00435883"/>
    <w:pPr>
      <w:spacing w:before="100" w:beforeAutospacing="1" w:after="100" w:afterAutospacing="1"/>
    </w:pPr>
    <w:rPr>
      <w:bCs w:val="0"/>
      <w:sz w:val="24"/>
    </w:rPr>
  </w:style>
  <w:style w:type="paragraph" w:customStyle="1" w:styleId="cppagename">
    <w:name w:val="cp_page_name"/>
    <w:basedOn w:val="Normal"/>
    <w:rsid w:val="00435883"/>
    <w:pPr>
      <w:spacing w:before="100" w:beforeAutospacing="1" w:after="100" w:afterAutospacing="1"/>
    </w:pPr>
    <w:rPr>
      <w:bCs w:val="0"/>
      <w:sz w:val="24"/>
    </w:rPr>
  </w:style>
  <w:style w:type="paragraph" w:customStyle="1" w:styleId="coprogressbar0">
    <w:name w:val="co_progressbar"/>
    <w:basedOn w:val="Normal"/>
    <w:rsid w:val="00435883"/>
    <w:pPr>
      <w:spacing w:before="100" w:beforeAutospacing="1" w:after="100" w:afterAutospacing="1"/>
    </w:pPr>
    <w:rPr>
      <w:bCs w:val="0"/>
      <w:sz w:val="24"/>
    </w:rPr>
  </w:style>
  <w:style w:type="paragraph" w:customStyle="1" w:styleId="cotip">
    <w:name w:val="co_tip"/>
    <w:basedOn w:val="Normal"/>
    <w:rsid w:val="00435883"/>
    <w:pPr>
      <w:spacing w:before="100" w:beforeAutospacing="1" w:after="100" w:afterAutospacing="1"/>
    </w:pPr>
    <w:rPr>
      <w:bCs w:val="0"/>
      <w:sz w:val="24"/>
    </w:rPr>
  </w:style>
  <w:style w:type="paragraph" w:customStyle="1" w:styleId="resizesearchinputforlitigator">
    <w:name w:val="resizesearchinputforlitigator"/>
    <w:basedOn w:val="Normal"/>
    <w:rsid w:val="00435883"/>
    <w:pPr>
      <w:spacing w:before="100" w:beforeAutospacing="1" w:after="100" w:afterAutospacing="1"/>
    </w:pPr>
    <w:rPr>
      <w:bCs w:val="0"/>
      <w:sz w:val="24"/>
    </w:rPr>
  </w:style>
  <w:style w:type="paragraph" w:customStyle="1" w:styleId="colockwrapper">
    <w:name w:val="co_lockwrapper"/>
    <w:basedOn w:val="Normal"/>
    <w:rsid w:val="00435883"/>
    <w:pPr>
      <w:spacing w:before="100" w:beforeAutospacing="1" w:after="100" w:afterAutospacing="1"/>
    </w:pPr>
    <w:rPr>
      <w:bCs w:val="0"/>
      <w:sz w:val="24"/>
    </w:rPr>
  </w:style>
  <w:style w:type="paragraph" w:customStyle="1" w:styleId="cotdrmenuicon">
    <w:name w:val="co_tdrmenuicon"/>
    <w:basedOn w:val="Normal"/>
    <w:rsid w:val="00435883"/>
    <w:pPr>
      <w:spacing w:before="100" w:beforeAutospacing="1" w:after="100" w:afterAutospacing="1"/>
    </w:pPr>
    <w:rPr>
      <w:bCs w:val="0"/>
      <w:sz w:val="24"/>
    </w:rPr>
  </w:style>
  <w:style w:type="paragraph" w:customStyle="1" w:styleId="cobuttonlist">
    <w:name w:val="co_buttonlist"/>
    <w:basedOn w:val="Normal"/>
    <w:rsid w:val="00435883"/>
    <w:pPr>
      <w:spacing w:before="100" w:beforeAutospacing="1" w:after="100" w:afterAutospacing="1"/>
    </w:pPr>
    <w:rPr>
      <w:bCs w:val="0"/>
      <w:sz w:val="24"/>
    </w:rPr>
  </w:style>
  <w:style w:type="paragraph" w:customStyle="1" w:styleId="codropdowntabcollapsed">
    <w:name w:val="co_dropdowntabcollapsed"/>
    <w:basedOn w:val="Normal"/>
    <w:rsid w:val="00435883"/>
    <w:pPr>
      <w:spacing w:before="100" w:beforeAutospacing="1" w:after="100" w:afterAutospacing="1"/>
    </w:pPr>
    <w:rPr>
      <w:bCs w:val="0"/>
      <w:sz w:val="24"/>
    </w:rPr>
  </w:style>
  <w:style w:type="paragraph" w:customStyle="1" w:styleId="coabsolute">
    <w:name w:val="co_absolute"/>
    <w:basedOn w:val="Normal"/>
    <w:rsid w:val="00435883"/>
    <w:pPr>
      <w:spacing w:before="100" w:beforeAutospacing="1" w:after="100" w:afterAutospacing="1"/>
    </w:pPr>
    <w:rPr>
      <w:bCs w:val="0"/>
      <w:sz w:val="24"/>
    </w:rPr>
  </w:style>
  <w:style w:type="paragraph" w:customStyle="1" w:styleId="cotermfrequencyfrequency">
    <w:name w:val="co_termfrequency_frequency"/>
    <w:basedOn w:val="Normal"/>
    <w:rsid w:val="00435883"/>
    <w:pPr>
      <w:spacing w:before="100" w:beforeAutospacing="1" w:after="100" w:afterAutospacing="1"/>
    </w:pPr>
    <w:rPr>
      <w:bCs w:val="0"/>
      <w:sz w:val="24"/>
    </w:rPr>
  </w:style>
  <w:style w:type="paragraph" w:customStyle="1" w:styleId="cocontactsselectable">
    <w:name w:val="co_contacts_selectable"/>
    <w:basedOn w:val="Normal"/>
    <w:rsid w:val="00435883"/>
    <w:pPr>
      <w:spacing w:before="100" w:beforeAutospacing="1" w:after="100" w:afterAutospacing="1"/>
    </w:pPr>
    <w:rPr>
      <w:bCs w:val="0"/>
      <w:sz w:val="24"/>
    </w:rPr>
  </w:style>
  <w:style w:type="paragraph" w:customStyle="1" w:styleId="cofindbycasenumbercourtselect">
    <w:name w:val="co_findbycasenumbercourtselect"/>
    <w:basedOn w:val="Normal"/>
    <w:rsid w:val="00435883"/>
    <w:pPr>
      <w:spacing w:before="100" w:beforeAutospacing="1" w:after="100" w:afterAutospacing="1"/>
    </w:pPr>
    <w:rPr>
      <w:bCs w:val="0"/>
      <w:sz w:val="24"/>
    </w:rPr>
  </w:style>
  <w:style w:type="paragraph" w:customStyle="1" w:styleId="docketcourtselect">
    <w:name w:val="docketcourtselect"/>
    <w:basedOn w:val="Normal"/>
    <w:rsid w:val="00435883"/>
    <w:pPr>
      <w:spacing w:before="100" w:beforeAutospacing="1" w:after="100" w:afterAutospacing="1"/>
    </w:pPr>
    <w:rPr>
      <w:bCs w:val="0"/>
      <w:sz w:val="24"/>
    </w:rPr>
  </w:style>
  <w:style w:type="character" w:customStyle="1" w:styleId="appliedfilternames">
    <w:name w:val="appliedfilternames"/>
    <w:basedOn w:val="DefaultParagraphFont"/>
    <w:rsid w:val="00435883"/>
    <w:rPr>
      <w:b w:val="0"/>
      <w:bCs w:val="0"/>
      <w:sz w:val="26"/>
      <w:szCs w:val="26"/>
    </w:rPr>
  </w:style>
  <w:style w:type="character" w:customStyle="1" w:styleId="cosearchcontentnavloading">
    <w:name w:val="co_search_contentnav_loading"/>
    <w:basedOn w:val="DefaultParagraphFont"/>
    <w:rsid w:val="00435883"/>
  </w:style>
  <w:style w:type="character" w:customStyle="1" w:styleId="icon251">
    <w:name w:val="icon251"/>
    <w:basedOn w:val="DefaultParagraphFont"/>
    <w:rsid w:val="00435883"/>
  </w:style>
  <w:style w:type="character" w:customStyle="1" w:styleId="coredlineadd1">
    <w:name w:val="co_redlineadd1"/>
    <w:basedOn w:val="DefaultParagraphFont"/>
    <w:rsid w:val="00435883"/>
  </w:style>
  <w:style w:type="character" w:customStyle="1" w:styleId="coredlinedelete1">
    <w:name w:val="co_redlinedelete1"/>
    <w:basedOn w:val="DefaultParagraphFont"/>
    <w:rsid w:val="00435883"/>
  </w:style>
  <w:style w:type="character" w:customStyle="1" w:styleId="cofloatleft1">
    <w:name w:val="co_floatleft1"/>
    <w:basedOn w:val="DefaultParagraphFont"/>
    <w:rsid w:val="00435883"/>
  </w:style>
  <w:style w:type="character" w:customStyle="1" w:styleId="small-text">
    <w:name w:val="small-text"/>
    <w:basedOn w:val="DefaultParagraphFont"/>
    <w:rsid w:val="00435883"/>
  </w:style>
  <w:style w:type="character" w:customStyle="1" w:styleId="cosearchterm1">
    <w:name w:val="co_searchterm1"/>
    <w:basedOn w:val="DefaultParagraphFont"/>
    <w:rsid w:val="00435883"/>
    <w:rPr>
      <w:b/>
      <w:bCs/>
      <w:color w:val="252525"/>
    </w:rPr>
  </w:style>
  <w:style w:type="character" w:customStyle="1" w:styleId="cosearchwithinterm1">
    <w:name w:val="co_searchwithinterm1"/>
    <w:basedOn w:val="DefaultParagraphFont"/>
    <w:rsid w:val="00435883"/>
    <w:rPr>
      <w:b/>
      <w:bCs/>
    </w:rPr>
  </w:style>
  <w:style w:type="character" w:customStyle="1" w:styleId="conumber">
    <w:name w:val="co_number"/>
    <w:basedOn w:val="DefaultParagraphFont"/>
    <w:rsid w:val="00435883"/>
  </w:style>
  <w:style w:type="character" w:customStyle="1" w:styleId="cotreeselectable1">
    <w:name w:val="co_tree_selectable1"/>
    <w:basedOn w:val="DefaultParagraphFont"/>
    <w:rsid w:val="00435883"/>
  </w:style>
  <w:style w:type="character" w:customStyle="1" w:styleId="coaccessibilitylabel1">
    <w:name w:val="co_accessibilitylabel1"/>
    <w:basedOn w:val="DefaultParagraphFont"/>
    <w:rsid w:val="00435883"/>
    <w:rPr>
      <w:vanish w:val="0"/>
      <w:webHidden w:val="0"/>
      <w:specVanish w:val="0"/>
    </w:rPr>
  </w:style>
  <w:style w:type="character" w:customStyle="1" w:styleId="cofacetzerocount">
    <w:name w:val="co_facet_zerocount"/>
    <w:basedOn w:val="DefaultParagraphFont"/>
    <w:rsid w:val="00435883"/>
  </w:style>
  <w:style w:type="character" w:customStyle="1" w:styleId="cosearchcontentnavzerocount">
    <w:name w:val="co_search_contentnav_zerocount"/>
    <w:basedOn w:val="DefaultParagraphFont"/>
    <w:rsid w:val="00435883"/>
  </w:style>
  <w:style w:type="character" w:customStyle="1" w:styleId="colastiteminlist">
    <w:name w:val="co_lastiteminlist"/>
    <w:basedOn w:val="DefaultParagraphFont"/>
    <w:rsid w:val="00435883"/>
  </w:style>
  <w:style w:type="paragraph" w:customStyle="1" w:styleId="draggabledocumentlink1">
    <w:name w:val="draggable_document_link1"/>
    <w:basedOn w:val="Normal"/>
    <w:rsid w:val="00435883"/>
    <w:pPr>
      <w:spacing w:before="100" w:beforeAutospacing="1" w:after="100" w:afterAutospacing="1"/>
    </w:pPr>
    <w:rPr>
      <w:bCs w:val="0"/>
      <w:sz w:val="24"/>
      <w:u w:val="single"/>
    </w:rPr>
  </w:style>
  <w:style w:type="paragraph" w:customStyle="1" w:styleId="draggabledocumentlink2">
    <w:name w:val="draggable_document_link2"/>
    <w:basedOn w:val="Normal"/>
    <w:rsid w:val="00435883"/>
    <w:pPr>
      <w:spacing w:before="100" w:beforeAutospacing="1" w:after="100" w:afterAutospacing="1"/>
    </w:pPr>
    <w:rPr>
      <w:bCs w:val="0"/>
      <w:color w:val="333333"/>
      <w:sz w:val="24"/>
    </w:rPr>
  </w:style>
  <w:style w:type="paragraph" w:customStyle="1" w:styleId="draggabledocumentlink3">
    <w:name w:val="draggable_document_link3"/>
    <w:basedOn w:val="Normal"/>
    <w:rsid w:val="00435883"/>
    <w:pPr>
      <w:spacing w:before="100" w:beforeAutospacing="1" w:after="100" w:afterAutospacing="1"/>
    </w:pPr>
    <w:rPr>
      <w:bCs w:val="0"/>
      <w:color w:val="145DA4"/>
      <w:sz w:val="24"/>
    </w:rPr>
  </w:style>
  <w:style w:type="paragraph" w:customStyle="1" w:styleId="corecentsummary1">
    <w:name w:val="co_recent_summary1"/>
    <w:basedOn w:val="Normal"/>
    <w:rsid w:val="00435883"/>
    <w:pPr>
      <w:spacing w:before="100" w:beforeAutospacing="1" w:after="100" w:afterAutospacing="1"/>
    </w:pPr>
    <w:rPr>
      <w:bCs w:val="0"/>
      <w:vanish/>
      <w:sz w:val="24"/>
    </w:rPr>
  </w:style>
  <w:style w:type="paragraph" w:customStyle="1" w:styleId="coinfobox1">
    <w:name w:val="co_infobox1"/>
    <w:basedOn w:val="Normal"/>
    <w:rsid w:val="00435883"/>
    <w:pPr>
      <w:pBdr>
        <w:top w:val="single" w:sz="6" w:space="0" w:color="FEDA73"/>
        <w:left w:val="single" w:sz="6" w:space="0" w:color="FEDA73"/>
        <w:bottom w:val="single" w:sz="6" w:space="0" w:color="FEDA73"/>
        <w:right w:val="single" w:sz="6" w:space="0" w:color="FEDA73"/>
      </w:pBdr>
      <w:shd w:val="clear" w:color="auto" w:fill="FCFBDF"/>
      <w:spacing w:before="100" w:beforeAutospacing="1" w:after="100" w:afterAutospacing="1"/>
    </w:pPr>
    <w:rPr>
      <w:bCs w:val="0"/>
      <w:color w:val="252525"/>
      <w:sz w:val="18"/>
      <w:szCs w:val="18"/>
    </w:rPr>
  </w:style>
  <w:style w:type="paragraph" w:customStyle="1" w:styleId="ui-slider-handle1">
    <w:name w:val="ui-slider-handle1"/>
    <w:basedOn w:val="Normal"/>
    <w:rsid w:val="00435883"/>
    <w:pPr>
      <w:spacing w:before="100" w:beforeAutospacing="1" w:after="100" w:afterAutospacing="1"/>
    </w:pPr>
    <w:rPr>
      <w:bCs w:val="0"/>
      <w:sz w:val="24"/>
    </w:rPr>
  </w:style>
  <w:style w:type="paragraph" w:customStyle="1" w:styleId="ui-slider-handle2">
    <w:name w:val="ui-slider-handle2"/>
    <w:basedOn w:val="Normal"/>
    <w:rsid w:val="00435883"/>
    <w:pPr>
      <w:spacing w:before="100" w:beforeAutospacing="1"/>
    </w:pPr>
    <w:rPr>
      <w:bCs w:val="0"/>
      <w:sz w:val="24"/>
    </w:rPr>
  </w:style>
  <w:style w:type="paragraph" w:customStyle="1" w:styleId="ui-resizable-handle1">
    <w:name w:val="ui-resizable-handle1"/>
    <w:basedOn w:val="Normal"/>
    <w:rsid w:val="00435883"/>
    <w:pPr>
      <w:spacing w:before="100" w:beforeAutospacing="1" w:after="100" w:afterAutospacing="1"/>
    </w:pPr>
    <w:rPr>
      <w:bCs w:val="0"/>
      <w:vanish/>
      <w:sz w:val="2"/>
      <w:szCs w:val="2"/>
    </w:rPr>
  </w:style>
  <w:style w:type="paragraph" w:customStyle="1" w:styleId="ui-resizable-handle2">
    <w:name w:val="ui-resizable-handle2"/>
    <w:basedOn w:val="Normal"/>
    <w:rsid w:val="00435883"/>
    <w:pPr>
      <w:spacing w:before="100" w:beforeAutospacing="1" w:after="100" w:afterAutospacing="1"/>
    </w:pPr>
    <w:rPr>
      <w:bCs w:val="0"/>
      <w:vanish/>
      <w:sz w:val="2"/>
      <w:szCs w:val="2"/>
    </w:rPr>
  </w:style>
  <w:style w:type="paragraph" w:customStyle="1" w:styleId="ui-datepicker-header1">
    <w:name w:val="ui-datepicker-header1"/>
    <w:basedOn w:val="Normal"/>
    <w:rsid w:val="00435883"/>
    <w:pPr>
      <w:shd w:val="clear" w:color="auto" w:fill="EEEEEE"/>
      <w:spacing w:before="100" w:beforeAutospacing="1" w:after="100" w:afterAutospacing="1"/>
    </w:pPr>
    <w:rPr>
      <w:b/>
      <w:sz w:val="24"/>
    </w:rPr>
  </w:style>
  <w:style w:type="paragraph" w:customStyle="1" w:styleId="ui-datepicker-next1">
    <w:name w:val="ui-datepicker-next1"/>
    <w:basedOn w:val="Normal"/>
    <w:rsid w:val="00435883"/>
    <w:pPr>
      <w:spacing w:before="100" w:beforeAutospacing="1" w:after="100" w:afterAutospacing="1"/>
      <w:ind w:hanging="3928"/>
    </w:pPr>
    <w:rPr>
      <w:bCs w:val="0"/>
      <w:sz w:val="24"/>
    </w:rPr>
  </w:style>
  <w:style w:type="paragraph" w:customStyle="1" w:styleId="ui-datepicker-prev1">
    <w:name w:val="ui-datepicker-prev1"/>
    <w:basedOn w:val="Normal"/>
    <w:rsid w:val="00435883"/>
    <w:pPr>
      <w:spacing w:before="100" w:beforeAutospacing="1" w:after="100" w:afterAutospacing="1"/>
      <w:ind w:hanging="3928"/>
    </w:pPr>
    <w:rPr>
      <w:bCs w:val="0"/>
      <w:sz w:val="24"/>
    </w:rPr>
  </w:style>
  <w:style w:type="paragraph" w:customStyle="1" w:styleId="ui-datepicker-title1">
    <w:name w:val="ui-datepicker-title1"/>
    <w:basedOn w:val="Normal"/>
    <w:rsid w:val="00435883"/>
    <w:pPr>
      <w:spacing w:line="330" w:lineRule="atLeast"/>
      <w:ind w:left="480" w:right="480"/>
      <w:jc w:val="center"/>
    </w:pPr>
    <w:rPr>
      <w:bCs w:val="0"/>
      <w:sz w:val="24"/>
    </w:rPr>
  </w:style>
  <w:style w:type="paragraph" w:customStyle="1" w:styleId="pointer1">
    <w:name w:val="pointer1"/>
    <w:basedOn w:val="Normal"/>
    <w:rsid w:val="00435883"/>
    <w:pPr>
      <w:pBdr>
        <w:top w:val="single" w:sz="48" w:space="0" w:color="FEDA73"/>
        <w:left w:val="single" w:sz="48" w:space="0" w:color="FEDA73"/>
        <w:bottom w:val="single" w:sz="48" w:space="0" w:color="FEDA73"/>
        <w:right w:val="single" w:sz="48" w:space="0" w:color="FEDA73"/>
      </w:pBdr>
      <w:spacing w:before="100" w:beforeAutospacing="1" w:after="100" w:afterAutospacing="1"/>
    </w:pPr>
    <w:rPr>
      <w:bCs w:val="0"/>
      <w:sz w:val="24"/>
    </w:rPr>
  </w:style>
  <w:style w:type="paragraph" w:customStyle="1" w:styleId="pointerinner1">
    <w:name w:val="pointerinner1"/>
    <w:basedOn w:val="Normal"/>
    <w:rsid w:val="00435883"/>
    <w:pPr>
      <w:pBdr>
        <w:top w:val="single" w:sz="48" w:space="0" w:color="FCFBDF"/>
        <w:left w:val="single" w:sz="48" w:space="0" w:color="FCFBDF"/>
        <w:bottom w:val="single" w:sz="48" w:space="0" w:color="FCFBDF"/>
        <w:right w:val="single" w:sz="48" w:space="0" w:color="FCFBDF"/>
      </w:pBdr>
      <w:spacing w:before="100" w:beforeAutospacing="1" w:after="100" w:afterAutospacing="1"/>
    </w:pPr>
    <w:rPr>
      <w:bCs w:val="0"/>
      <w:sz w:val="24"/>
    </w:rPr>
  </w:style>
  <w:style w:type="paragraph" w:customStyle="1" w:styleId="coinfobox2">
    <w:name w:val="co_infobox2"/>
    <w:basedOn w:val="Normal"/>
    <w:rsid w:val="00435883"/>
    <w:pPr>
      <w:pBdr>
        <w:top w:val="single" w:sz="6" w:space="0" w:color="FEDA73"/>
        <w:left w:val="single" w:sz="6" w:space="0" w:color="FEDA73"/>
        <w:bottom w:val="single" w:sz="6" w:space="0" w:color="FEDA73"/>
        <w:right w:val="single" w:sz="6" w:space="0" w:color="FEDA73"/>
      </w:pBdr>
      <w:shd w:val="clear" w:color="auto" w:fill="FCFBDF"/>
      <w:spacing w:before="100" w:beforeAutospacing="1" w:after="240"/>
    </w:pPr>
    <w:rPr>
      <w:bCs w:val="0"/>
      <w:sz w:val="18"/>
      <w:szCs w:val="18"/>
    </w:rPr>
  </w:style>
  <w:style w:type="paragraph" w:customStyle="1" w:styleId="coinfobox3">
    <w:name w:val="co_infobox3"/>
    <w:basedOn w:val="Normal"/>
    <w:rsid w:val="00435883"/>
    <w:pPr>
      <w:pBdr>
        <w:top w:val="single" w:sz="6" w:space="0" w:color="FEDA73"/>
        <w:left w:val="single" w:sz="6" w:space="0" w:color="FEDA73"/>
        <w:bottom w:val="single" w:sz="6" w:space="0" w:color="FEDA73"/>
        <w:right w:val="single" w:sz="6" w:space="0" w:color="FEDA73"/>
      </w:pBdr>
      <w:shd w:val="clear" w:color="auto" w:fill="FCFBDF"/>
      <w:spacing w:before="100" w:beforeAutospacing="1" w:after="240"/>
    </w:pPr>
    <w:rPr>
      <w:bCs w:val="0"/>
      <w:sz w:val="18"/>
      <w:szCs w:val="18"/>
    </w:rPr>
  </w:style>
  <w:style w:type="paragraph" w:customStyle="1" w:styleId="coinfobox4">
    <w:name w:val="co_infobox4"/>
    <w:basedOn w:val="Normal"/>
    <w:rsid w:val="00435883"/>
    <w:pPr>
      <w:pBdr>
        <w:top w:val="single" w:sz="6" w:space="0" w:color="FEDA73"/>
        <w:left w:val="single" w:sz="6" w:space="0" w:color="FEDA73"/>
        <w:bottom w:val="single" w:sz="6" w:space="0" w:color="FEDA73"/>
        <w:right w:val="single" w:sz="6" w:space="0" w:color="FEDA73"/>
      </w:pBdr>
      <w:shd w:val="clear" w:color="auto" w:fill="FCFBDF"/>
      <w:spacing w:before="100" w:beforeAutospacing="1" w:after="240"/>
    </w:pPr>
    <w:rPr>
      <w:bCs w:val="0"/>
      <w:sz w:val="18"/>
      <w:szCs w:val="18"/>
    </w:rPr>
  </w:style>
  <w:style w:type="paragraph" w:customStyle="1" w:styleId="coinfobox5">
    <w:name w:val="co_infobox5"/>
    <w:basedOn w:val="Normal"/>
    <w:rsid w:val="00435883"/>
    <w:pPr>
      <w:pBdr>
        <w:top w:val="single" w:sz="6" w:space="0" w:color="FEDA73"/>
        <w:left w:val="single" w:sz="6" w:space="0" w:color="FEDA73"/>
        <w:bottom w:val="single" w:sz="6" w:space="0" w:color="FEDA73"/>
        <w:right w:val="single" w:sz="6" w:space="0" w:color="FEDA73"/>
      </w:pBdr>
      <w:shd w:val="clear" w:color="auto" w:fill="FCFBDF"/>
      <w:spacing w:before="100" w:beforeAutospacing="1" w:after="240"/>
    </w:pPr>
    <w:rPr>
      <w:bCs w:val="0"/>
      <w:sz w:val="18"/>
      <w:szCs w:val="18"/>
    </w:rPr>
  </w:style>
  <w:style w:type="paragraph" w:customStyle="1" w:styleId="coinfoboxmessage1">
    <w:name w:val="co_infobox_message1"/>
    <w:basedOn w:val="Normal"/>
    <w:rsid w:val="00435883"/>
    <w:pPr>
      <w:spacing w:before="100" w:beforeAutospacing="1" w:after="100" w:afterAutospacing="1"/>
    </w:pPr>
    <w:rPr>
      <w:bCs w:val="0"/>
      <w:sz w:val="24"/>
    </w:rPr>
  </w:style>
  <w:style w:type="paragraph" w:customStyle="1" w:styleId="coinfoboxmessage2">
    <w:name w:val="co_infobox_message2"/>
    <w:basedOn w:val="Normal"/>
    <w:rsid w:val="00435883"/>
    <w:pPr>
      <w:spacing w:before="100" w:beforeAutospacing="1" w:after="100" w:afterAutospacing="1"/>
    </w:pPr>
    <w:rPr>
      <w:bCs w:val="0"/>
      <w:sz w:val="24"/>
    </w:rPr>
  </w:style>
  <w:style w:type="paragraph" w:customStyle="1" w:styleId="pointer2">
    <w:name w:val="pointer2"/>
    <w:basedOn w:val="Normal"/>
    <w:rsid w:val="00435883"/>
    <w:pPr>
      <w:spacing w:before="100" w:beforeAutospacing="1" w:after="100" w:afterAutospacing="1"/>
    </w:pPr>
    <w:rPr>
      <w:bCs w:val="0"/>
      <w:sz w:val="24"/>
    </w:rPr>
  </w:style>
  <w:style w:type="paragraph" w:customStyle="1" w:styleId="comessageboxcontainer1">
    <w:name w:val="co_messageboxcontainer1"/>
    <w:basedOn w:val="Normal"/>
    <w:rsid w:val="00435883"/>
    <w:pPr>
      <w:spacing w:before="100" w:beforeAutospacing="1" w:after="100" w:afterAutospacing="1" w:line="240" w:lineRule="atLeast"/>
      <w:jc w:val="center"/>
    </w:pPr>
    <w:rPr>
      <w:bCs w:val="0"/>
      <w:sz w:val="22"/>
      <w:szCs w:val="22"/>
    </w:rPr>
  </w:style>
  <w:style w:type="paragraph" w:customStyle="1" w:styleId="comessageboxcontent1">
    <w:name w:val="co_messageboxcontent1"/>
    <w:basedOn w:val="Normal"/>
    <w:rsid w:val="00435883"/>
    <w:pPr>
      <w:pBdr>
        <w:top w:val="single" w:sz="6" w:space="3" w:color="FFFFF4"/>
        <w:left w:val="single" w:sz="6" w:space="5" w:color="FFFFF4"/>
        <w:bottom w:val="single" w:sz="6" w:space="3" w:color="FFFFF4"/>
        <w:right w:val="single" w:sz="6" w:space="5" w:color="FFFFF4"/>
      </w:pBdr>
      <w:shd w:val="clear" w:color="auto" w:fill="FCFBDF"/>
      <w:spacing w:before="100" w:beforeAutospacing="1" w:after="100" w:afterAutospacing="1"/>
    </w:pPr>
    <w:rPr>
      <w:bCs w:val="0"/>
      <w:sz w:val="24"/>
    </w:rPr>
  </w:style>
  <w:style w:type="paragraph" w:customStyle="1" w:styleId="colightboxoverlay1">
    <w:name w:val="co_lightboxoverlay1"/>
    <w:basedOn w:val="Normal"/>
    <w:rsid w:val="00435883"/>
    <w:pPr>
      <w:spacing w:before="100" w:beforeAutospacing="1" w:after="100" w:afterAutospacing="1"/>
      <w:jc w:val="center"/>
    </w:pPr>
    <w:rPr>
      <w:bCs w:val="0"/>
      <w:sz w:val="24"/>
    </w:rPr>
  </w:style>
  <w:style w:type="paragraph" w:customStyle="1" w:styleId="coscreenoverlay1">
    <w:name w:val="co_screenoverlay1"/>
    <w:basedOn w:val="Normal"/>
    <w:rsid w:val="00435883"/>
    <w:pPr>
      <w:spacing w:before="100" w:beforeAutospacing="1" w:after="100" w:afterAutospacing="1"/>
      <w:jc w:val="center"/>
    </w:pPr>
    <w:rPr>
      <w:bCs w:val="0"/>
      <w:sz w:val="24"/>
    </w:rPr>
  </w:style>
  <w:style w:type="paragraph" w:customStyle="1" w:styleId="cooverlayboxcontainer1">
    <w:name w:val="co_overlaybox_container1"/>
    <w:basedOn w:val="Normal"/>
    <w:rsid w:val="00435883"/>
    <w:pPr>
      <w:pBdr>
        <w:top w:val="single" w:sz="6" w:space="0" w:color="999999"/>
        <w:left w:val="single" w:sz="6" w:space="0" w:color="999999"/>
        <w:bottom w:val="single" w:sz="6" w:space="0" w:color="999999"/>
        <w:right w:val="single" w:sz="6" w:space="0" w:color="999999"/>
      </w:pBdr>
      <w:shd w:val="clear" w:color="auto" w:fill="FFFFFF"/>
    </w:pPr>
    <w:rPr>
      <w:bCs w:val="0"/>
      <w:sz w:val="24"/>
    </w:rPr>
  </w:style>
  <w:style w:type="paragraph" w:customStyle="1" w:styleId="cooverlayboxcontainer2">
    <w:name w:val="co_overlaybox_container2"/>
    <w:basedOn w:val="Normal"/>
    <w:rsid w:val="00435883"/>
    <w:pPr>
      <w:pBdr>
        <w:top w:val="single" w:sz="6" w:space="0" w:color="C9C9C9"/>
        <w:left w:val="single" w:sz="6" w:space="0" w:color="C9C9C9"/>
        <w:bottom w:val="single" w:sz="6" w:space="0" w:color="C9C9C9"/>
        <w:right w:val="single" w:sz="6" w:space="0" w:color="C9C9C9"/>
      </w:pBdr>
      <w:shd w:val="clear" w:color="auto" w:fill="FFFFFF"/>
    </w:pPr>
    <w:rPr>
      <w:bCs w:val="0"/>
      <w:sz w:val="24"/>
    </w:rPr>
  </w:style>
  <w:style w:type="paragraph" w:customStyle="1" w:styleId="cooverlayboxcontainer3">
    <w:name w:val="co_overlaybox_container3"/>
    <w:basedOn w:val="Normal"/>
    <w:rsid w:val="00435883"/>
    <w:pPr>
      <w:pBdr>
        <w:top w:val="single" w:sz="6" w:space="0" w:color="999999"/>
        <w:left w:val="single" w:sz="6" w:space="0" w:color="999999"/>
        <w:bottom w:val="single" w:sz="6" w:space="0" w:color="999999"/>
        <w:right w:val="single" w:sz="6" w:space="0" w:color="999999"/>
      </w:pBdr>
      <w:shd w:val="clear" w:color="auto" w:fill="FFFFFF"/>
    </w:pPr>
    <w:rPr>
      <w:bCs w:val="0"/>
      <w:sz w:val="24"/>
    </w:rPr>
  </w:style>
  <w:style w:type="paragraph" w:customStyle="1" w:styleId="cooverlayboxcontainer4">
    <w:name w:val="co_overlaybox_container4"/>
    <w:basedOn w:val="Normal"/>
    <w:rsid w:val="00435883"/>
    <w:pPr>
      <w:pBdr>
        <w:top w:val="single" w:sz="6" w:space="0" w:color="C9C9C9"/>
        <w:left w:val="single" w:sz="6" w:space="0" w:color="C9C9C9"/>
        <w:bottom w:val="single" w:sz="6" w:space="0" w:color="C9C9C9"/>
        <w:right w:val="single" w:sz="6" w:space="0" w:color="C9C9C9"/>
      </w:pBdr>
      <w:shd w:val="clear" w:color="auto" w:fill="FFFFFF"/>
    </w:pPr>
    <w:rPr>
      <w:bCs w:val="0"/>
      <w:sz w:val="24"/>
    </w:rPr>
  </w:style>
  <w:style w:type="paragraph" w:customStyle="1" w:styleId="comoreinfo1">
    <w:name w:val="co_moreinfo1"/>
    <w:basedOn w:val="Normal"/>
    <w:rsid w:val="00435883"/>
    <w:pPr>
      <w:spacing w:before="100" w:beforeAutospacing="1" w:after="100" w:afterAutospacing="1"/>
      <w:ind w:left="75" w:hanging="3928"/>
      <w:textAlignment w:val="top"/>
    </w:pPr>
    <w:rPr>
      <w:bCs w:val="0"/>
      <w:sz w:val="24"/>
    </w:rPr>
  </w:style>
  <w:style w:type="paragraph" w:customStyle="1" w:styleId="comoreinfo2">
    <w:name w:val="co_moreinfo2"/>
    <w:basedOn w:val="Normal"/>
    <w:rsid w:val="00435883"/>
    <w:pPr>
      <w:spacing w:before="100" w:beforeAutospacing="1" w:after="100" w:afterAutospacing="1"/>
      <w:ind w:left="75" w:hanging="3928"/>
      <w:textAlignment w:val="top"/>
    </w:pPr>
    <w:rPr>
      <w:bCs w:val="0"/>
      <w:sz w:val="24"/>
    </w:rPr>
  </w:style>
  <w:style w:type="paragraph" w:customStyle="1" w:styleId="cooverlayboxcontainer5">
    <w:name w:val="co_overlaybox_container5"/>
    <w:basedOn w:val="Normal"/>
    <w:rsid w:val="00435883"/>
    <w:pPr>
      <w:pBdr>
        <w:top w:val="single" w:sz="6" w:space="0" w:color="999999"/>
        <w:left w:val="single" w:sz="6" w:space="0" w:color="999999"/>
        <w:bottom w:val="single" w:sz="6" w:space="0" w:color="999999"/>
        <w:right w:val="single" w:sz="6" w:space="0" w:color="999999"/>
      </w:pBdr>
      <w:shd w:val="clear" w:color="auto" w:fill="FFFFFF"/>
      <w:spacing w:after="750"/>
      <w:ind w:left="300" w:right="300"/>
    </w:pPr>
    <w:rPr>
      <w:bCs w:val="0"/>
      <w:sz w:val="24"/>
    </w:rPr>
  </w:style>
  <w:style w:type="paragraph" w:customStyle="1" w:styleId="cooverlayboxcontainer6">
    <w:name w:val="co_overlaybox_container6"/>
    <w:basedOn w:val="Normal"/>
    <w:rsid w:val="00435883"/>
    <w:pPr>
      <w:pBdr>
        <w:top w:val="single" w:sz="6" w:space="0" w:color="C9C9C9"/>
        <w:left w:val="single" w:sz="6" w:space="0" w:color="C9C9C9"/>
        <w:bottom w:val="single" w:sz="6" w:space="0" w:color="C9C9C9"/>
        <w:right w:val="single" w:sz="6" w:space="0" w:color="C9C9C9"/>
      </w:pBdr>
      <w:shd w:val="clear" w:color="auto" w:fill="FFFFFF"/>
      <w:spacing w:after="750"/>
      <w:ind w:left="300" w:right="300"/>
    </w:pPr>
    <w:rPr>
      <w:bCs w:val="0"/>
      <w:sz w:val="24"/>
    </w:rPr>
  </w:style>
  <w:style w:type="paragraph" w:customStyle="1" w:styleId="coinfoboxmessage3">
    <w:name w:val="co_infobox_message3"/>
    <w:basedOn w:val="Normal"/>
    <w:rsid w:val="00435883"/>
    <w:pPr>
      <w:spacing w:after="150"/>
    </w:pPr>
    <w:rPr>
      <w:bCs w:val="0"/>
      <w:sz w:val="24"/>
    </w:rPr>
  </w:style>
  <w:style w:type="paragraph" w:customStyle="1" w:styleId="cotbbutton1">
    <w:name w:val="co_tbbutton1"/>
    <w:basedOn w:val="Normal"/>
    <w:rsid w:val="00435883"/>
    <w:pPr>
      <w:pBdr>
        <w:top w:val="single" w:sz="6" w:space="2" w:color="D1D1D1"/>
        <w:left w:val="single" w:sz="6" w:space="3" w:color="D1D1D1"/>
        <w:bottom w:val="single" w:sz="6" w:space="1" w:color="D1D1D1"/>
        <w:right w:val="single" w:sz="6" w:space="3" w:color="D1D1D1"/>
      </w:pBdr>
      <w:shd w:val="clear" w:color="auto" w:fill="F1F1F1"/>
      <w:spacing w:before="100" w:beforeAutospacing="1" w:after="100" w:afterAutospacing="1" w:line="255" w:lineRule="atLeast"/>
      <w:ind w:right="75"/>
    </w:pPr>
    <w:rPr>
      <w:bCs w:val="0"/>
      <w:sz w:val="24"/>
    </w:rPr>
  </w:style>
  <w:style w:type="paragraph" w:customStyle="1" w:styleId="cotbbutton2">
    <w:name w:val="co_tbbutton2"/>
    <w:basedOn w:val="Normal"/>
    <w:rsid w:val="00435883"/>
    <w:pPr>
      <w:pBdr>
        <w:top w:val="single" w:sz="6" w:space="2" w:color="D1D1D1"/>
        <w:left w:val="single" w:sz="6" w:space="3" w:color="D1D1D1"/>
        <w:bottom w:val="single" w:sz="6" w:space="1" w:color="D1D1D1"/>
        <w:right w:val="single" w:sz="6" w:space="3" w:color="D1D1D1"/>
      </w:pBdr>
      <w:shd w:val="clear" w:color="auto" w:fill="F1F1F1"/>
      <w:spacing w:before="100" w:beforeAutospacing="1" w:after="100" w:afterAutospacing="1" w:line="255" w:lineRule="atLeast"/>
      <w:ind w:right="75"/>
    </w:pPr>
    <w:rPr>
      <w:bCs w:val="0"/>
      <w:sz w:val="24"/>
    </w:rPr>
  </w:style>
  <w:style w:type="paragraph" w:customStyle="1" w:styleId="empty1">
    <w:name w:val="empty1"/>
    <w:basedOn w:val="Normal"/>
    <w:rsid w:val="00435883"/>
    <w:pPr>
      <w:spacing w:before="100" w:beforeAutospacing="1" w:after="100" w:afterAutospacing="1"/>
      <w:jc w:val="center"/>
    </w:pPr>
    <w:rPr>
      <w:bCs w:val="0"/>
      <w:sz w:val="24"/>
    </w:rPr>
  </w:style>
  <w:style w:type="paragraph" w:customStyle="1" w:styleId="codetailstabledepth1">
    <w:name w:val="co_detailstable_depth1"/>
    <w:basedOn w:val="Normal"/>
    <w:rsid w:val="00435883"/>
    <w:pPr>
      <w:spacing w:before="100" w:beforeAutospacing="1" w:after="100" w:afterAutospacing="1"/>
    </w:pPr>
    <w:rPr>
      <w:bCs w:val="0"/>
      <w:sz w:val="24"/>
    </w:rPr>
  </w:style>
  <w:style w:type="paragraph" w:customStyle="1" w:styleId="codetailstabledelivery1">
    <w:name w:val="co_detailstable_delivery1"/>
    <w:basedOn w:val="Normal"/>
    <w:rsid w:val="00435883"/>
    <w:pPr>
      <w:spacing w:before="100" w:beforeAutospacing="1" w:after="100" w:afterAutospacing="1"/>
    </w:pPr>
    <w:rPr>
      <w:bCs w:val="0"/>
      <w:sz w:val="24"/>
    </w:rPr>
  </w:style>
  <w:style w:type="paragraph" w:customStyle="1" w:styleId="codetailstablesubheader1">
    <w:name w:val="co_detailstable_subheader1"/>
    <w:basedOn w:val="Normal"/>
    <w:rsid w:val="00435883"/>
    <w:pPr>
      <w:pBdr>
        <w:left w:val="single" w:sz="6" w:space="0" w:color="FFFFFF"/>
        <w:right w:val="single" w:sz="6" w:space="2" w:color="FFFFFF"/>
      </w:pBdr>
      <w:spacing w:before="100" w:beforeAutospacing="1" w:after="100" w:afterAutospacing="1"/>
    </w:pPr>
    <w:rPr>
      <w:b/>
      <w:color w:val="252525"/>
      <w:sz w:val="31"/>
      <w:szCs w:val="31"/>
    </w:rPr>
  </w:style>
  <w:style w:type="paragraph" w:customStyle="1" w:styleId="cobflagsm1">
    <w:name w:val="co_bflagsm1"/>
    <w:basedOn w:val="Normal"/>
    <w:rsid w:val="00435883"/>
    <w:pPr>
      <w:spacing w:before="100" w:beforeAutospacing="1" w:after="100" w:afterAutospacing="1"/>
      <w:ind w:left="-315"/>
    </w:pPr>
    <w:rPr>
      <w:bCs w:val="0"/>
      <w:sz w:val="24"/>
    </w:rPr>
  </w:style>
  <w:style w:type="paragraph" w:customStyle="1" w:styleId="coqflagsm1">
    <w:name w:val="co_qflagsm1"/>
    <w:basedOn w:val="Normal"/>
    <w:rsid w:val="00435883"/>
    <w:pPr>
      <w:spacing w:before="100" w:beforeAutospacing="1" w:after="100" w:afterAutospacing="1"/>
      <w:ind w:left="-315"/>
    </w:pPr>
    <w:rPr>
      <w:bCs w:val="0"/>
      <w:sz w:val="24"/>
    </w:rPr>
  </w:style>
  <w:style w:type="paragraph" w:customStyle="1" w:styleId="corflagsm1">
    <w:name w:val="co_rflagsm1"/>
    <w:basedOn w:val="Normal"/>
    <w:rsid w:val="00435883"/>
    <w:pPr>
      <w:spacing w:before="100" w:beforeAutospacing="1" w:after="100" w:afterAutospacing="1"/>
      <w:ind w:left="-315"/>
    </w:pPr>
    <w:rPr>
      <w:bCs w:val="0"/>
      <w:sz w:val="24"/>
    </w:rPr>
  </w:style>
  <w:style w:type="paragraph" w:customStyle="1" w:styleId="cosnippeticon1">
    <w:name w:val="co_snippeticon1"/>
    <w:basedOn w:val="Normal"/>
    <w:rsid w:val="00435883"/>
    <w:pPr>
      <w:spacing w:before="100" w:beforeAutospacing="1" w:after="100" w:afterAutospacing="1"/>
      <w:ind w:left="-315"/>
    </w:pPr>
    <w:rPr>
      <w:bCs w:val="0"/>
      <w:sz w:val="24"/>
    </w:rPr>
  </w:style>
  <w:style w:type="paragraph" w:customStyle="1" w:styleId="coyflagsm1">
    <w:name w:val="co_yflagsm1"/>
    <w:basedOn w:val="Normal"/>
    <w:rsid w:val="00435883"/>
    <w:pPr>
      <w:spacing w:before="100" w:beforeAutospacing="1" w:after="100" w:afterAutospacing="1"/>
      <w:ind w:left="-315"/>
    </w:pPr>
    <w:rPr>
      <w:bCs w:val="0"/>
      <w:sz w:val="24"/>
    </w:rPr>
  </w:style>
  <w:style w:type="paragraph" w:customStyle="1" w:styleId="conext1">
    <w:name w:val="co_next1"/>
    <w:basedOn w:val="Normal"/>
    <w:rsid w:val="00435883"/>
    <w:pPr>
      <w:spacing w:after="100" w:afterAutospacing="1"/>
      <w:ind w:hanging="3928"/>
    </w:pPr>
    <w:rPr>
      <w:bCs w:val="0"/>
      <w:sz w:val="24"/>
    </w:rPr>
  </w:style>
  <w:style w:type="paragraph" w:customStyle="1" w:styleId="coprev1">
    <w:name w:val="co_prev1"/>
    <w:basedOn w:val="Normal"/>
    <w:rsid w:val="00435883"/>
    <w:pPr>
      <w:spacing w:after="100" w:afterAutospacing="1"/>
      <w:ind w:hanging="3928"/>
    </w:pPr>
    <w:rPr>
      <w:bCs w:val="0"/>
      <w:sz w:val="24"/>
    </w:rPr>
  </w:style>
  <w:style w:type="paragraph" w:customStyle="1" w:styleId="conext2">
    <w:name w:val="co_next2"/>
    <w:basedOn w:val="Normal"/>
    <w:rsid w:val="00435883"/>
    <w:pPr>
      <w:spacing w:after="100" w:afterAutospacing="1"/>
      <w:ind w:hanging="3928"/>
    </w:pPr>
    <w:rPr>
      <w:bCs w:val="0"/>
      <w:sz w:val="24"/>
    </w:rPr>
  </w:style>
  <w:style w:type="paragraph" w:customStyle="1" w:styleId="coprev2">
    <w:name w:val="co_prev2"/>
    <w:basedOn w:val="Normal"/>
    <w:rsid w:val="00435883"/>
    <w:pPr>
      <w:spacing w:after="100" w:afterAutospacing="1"/>
      <w:ind w:hanging="3928"/>
    </w:pPr>
    <w:rPr>
      <w:bCs w:val="0"/>
      <w:sz w:val="24"/>
    </w:rPr>
  </w:style>
  <w:style w:type="character" w:customStyle="1" w:styleId="coaccessibilitylabel2">
    <w:name w:val="co_accessibilitylabel2"/>
    <w:basedOn w:val="DefaultParagraphFont"/>
    <w:rsid w:val="00435883"/>
    <w:rPr>
      <w:vanish w:val="0"/>
      <w:webHidden w:val="0"/>
      <w:specVanish w:val="0"/>
    </w:rPr>
  </w:style>
  <w:style w:type="character" w:customStyle="1" w:styleId="coaccessibilitylabel3">
    <w:name w:val="co_accessibilitylabel3"/>
    <w:basedOn w:val="DefaultParagraphFont"/>
    <w:rsid w:val="00435883"/>
    <w:rPr>
      <w:vanish w:val="0"/>
      <w:webHidden w:val="0"/>
      <w:specVanish w:val="0"/>
    </w:rPr>
  </w:style>
  <w:style w:type="paragraph" w:customStyle="1" w:styleId="coinfobox6">
    <w:name w:val="co_infobox6"/>
    <w:basedOn w:val="Normal"/>
    <w:rsid w:val="00435883"/>
    <w:pPr>
      <w:pBdr>
        <w:top w:val="single" w:sz="6" w:space="0" w:color="FEDA73"/>
        <w:left w:val="single" w:sz="6" w:space="0" w:color="FEDA73"/>
        <w:bottom w:val="single" w:sz="6" w:space="0" w:color="FEDA73"/>
        <w:right w:val="single" w:sz="6" w:space="0" w:color="FEDA73"/>
      </w:pBdr>
      <w:shd w:val="clear" w:color="auto" w:fill="FCFBDF"/>
      <w:spacing w:before="100" w:beforeAutospacing="1" w:after="100" w:afterAutospacing="1"/>
    </w:pPr>
    <w:rPr>
      <w:bCs w:val="0"/>
      <w:sz w:val="18"/>
      <w:szCs w:val="18"/>
    </w:rPr>
  </w:style>
  <w:style w:type="paragraph" w:customStyle="1" w:styleId="cogenericboxheaderh11">
    <w:name w:val="co_genericboxheader&gt;h11"/>
    <w:basedOn w:val="Normal"/>
    <w:rsid w:val="00435883"/>
    <w:pPr>
      <w:spacing w:before="100" w:beforeAutospacing="1" w:after="100" w:afterAutospacing="1"/>
    </w:pPr>
    <w:rPr>
      <w:bCs w:val="0"/>
      <w:caps/>
      <w:sz w:val="24"/>
    </w:rPr>
  </w:style>
  <w:style w:type="paragraph" w:customStyle="1" w:styleId="cogenericboxheaderspan1">
    <w:name w:val="co_genericboxheader&gt;span1"/>
    <w:basedOn w:val="Normal"/>
    <w:rsid w:val="00435883"/>
    <w:pPr>
      <w:spacing w:before="100" w:beforeAutospacing="1" w:after="100" w:afterAutospacing="1"/>
    </w:pPr>
    <w:rPr>
      <w:bCs w:val="0"/>
      <w:caps/>
      <w:sz w:val="26"/>
      <w:szCs w:val="26"/>
    </w:rPr>
  </w:style>
  <w:style w:type="paragraph" w:customStyle="1" w:styleId="large1">
    <w:name w:val="large1"/>
    <w:basedOn w:val="Normal"/>
    <w:rsid w:val="00435883"/>
    <w:pPr>
      <w:spacing w:before="100" w:beforeAutospacing="1" w:after="100" w:afterAutospacing="1"/>
    </w:pPr>
    <w:rPr>
      <w:b/>
      <w:sz w:val="23"/>
      <w:szCs w:val="23"/>
    </w:rPr>
  </w:style>
  <w:style w:type="paragraph" w:customStyle="1" w:styleId="cogenericboxheader1">
    <w:name w:val="co_genericboxheader1"/>
    <w:basedOn w:val="Normal"/>
    <w:rsid w:val="00435883"/>
    <w:pPr>
      <w:pBdr>
        <w:bottom w:val="single" w:sz="6" w:space="0" w:color="EEEEEE"/>
      </w:pBdr>
      <w:spacing w:before="100" w:beforeAutospacing="1" w:after="100" w:afterAutospacing="1"/>
    </w:pPr>
    <w:rPr>
      <w:bCs w:val="0"/>
      <w:sz w:val="18"/>
      <w:szCs w:val="18"/>
    </w:rPr>
  </w:style>
  <w:style w:type="paragraph" w:customStyle="1" w:styleId="cogenericboxcontent1">
    <w:name w:val="co_genericboxcontent1"/>
    <w:basedOn w:val="Normal"/>
    <w:rsid w:val="00435883"/>
    <w:pPr>
      <w:spacing w:before="100" w:beforeAutospacing="1" w:after="100" w:afterAutospacing="1" w:line="300" w:lineRule="atLeast"/>
    </w:pPr>
    <w:rPr>
      <w:bCs w:val="0"/>
      <w:color w:val="212121"/>
      <w:sz w:val="22"/>
      <w:szCs w:val="22"/>
    </w:rPr>
  </w:style>
  <w:style w:type="paragraph" w:customStyle="1" w:styleId="cogenericboxcontent2">
    <w:name w:val="co_genericboxcontent2"/>
    <w:basedOn w:val="Normal"/>
    <w:rsid w:val="00435883"/>
    <w:pPr>
      <w:spacing w:before="100" w:beforeAutospacing="1" w:after="100" w:afterAutospacing="1" w:line="315" w:lineRule="atLeast"/>
    </w:pPr>
    <w:rPr>
      <w:bCs w:val="0"/>
      <w:color w:val="212121"/>
      <w:sz w:val="24"/>
    </w:rPr>
  </w:style>
  <w:style w:type="character" w:customStyle="1" w:styleId="icon252">
    <w:name w:val="icon252"/>
    <w:basedOn w:val="DefaultParagraphFont"/>
    <w:rsid w:val="00435883"/>
  </w:style>
  <w:style w:type="paragraph" w:customStyle="1" w:styleId="codropdownbutton1">
    <w:name w:val="co_dropdownbutton1"/>
    <w:basedOn w:val="Normal"/>
    <w:rsid w:val="00435883"/>
    <w:pPr>
      <w:pBdr>
        <w:top w:val="single" w:sz="6" w:space="2" w:color="D1D1D1"/>
        <w:left w:val="single" w:sz="6" w:space="3" w:color="D1D1D1"/>
        <w:bottom w:val="single" w:sz="6" w:space="1" w:color="D1D1D1"/>
        <w:right w:val="single" w:sz="6" w:space="3" w:color="D1D1D1"/>
      </w:pBdr>
      <w:shd w:val="clear" w:color="auto" w:fill="F1F1F1"/>
      <w:spacing w:before="100" w:beforeAutospacing="1" w:after="100" w:afterAutospacing="1" w:line="255" w:lineRule="atLeast"/>
    </w:pPr>
    <w:rPr>
      <w:bCs w:val="0"/>
      <w:color w:val="CCCCCC"/>
      <w:sz w:val="24"/>
    </w:rPr>
  </w:style>
  <w:style w:type="paragraph" w:customStyle="1" w:styleId="cotbbutton3">
    <w:name w:val="co_tbbutton3"/>
    <w:basedOn w:val="Normal"/>
    <w:rsid w:val="00435883"/>
    <w:pPr>
      <w:pBdr>
        <w:top w:val="single" w:sz="6" w:space="2" w:color="D1D1D1"/>
        <w:left w:val="single" w:sz="6" w:space="3" w:color="D1D1D1"/>
        <w:bottom w:val="single" w:sz="6" w:space="1" w:color="D1D1D1"/>
        <w:right w:val="single" w:sz="6" w:space="3" w:color="D1D1D1"/>
      </w:pBdr>
      <w:shd w:val="clear" w:color="auto" w:fill="F1F1F1"/>
      <w:spacing w:before="100" w:beforeAutospacing="1" w:after="100" w:afterAutospacing="1" w:line="255" w:lineRule="atLeast"/>
    </w:pPr>
    <w:rPr>
      <w:bCs w:val="0"/>
      <w:color w:val="CCCCCC"/>
      <w:sz w:val="24"/>
    </w:rPr>
  </w:style>
  <w:style w:type="paragraph" w:customStyle="1" w:styleId="codropdownbutton2">
    <w:name w:val="co_dropdownbutton2"/>
    <w:basedOn w:val="Normal"/>
    <w:rsid w:val="00435883"/>
    <w:pPr>
      <w:pBdr>
        <w:top w:val="single" w:sz="6" w:space="2" w:color="D1D1D1"/>
        <w:left w:val="single" w:sz="6" w:space="3" w:color="D1D1D1"/>
        <w:bottom w:val="single" w:sz="6" w:space="1" w:color="D1D1D1"/>
        <w:right w:val="single" w:sz="6" w:space="3" w:color="D1D1D1"/>
      </w:pBdr>
      <w:shd w:val="clear" w:color="auto" w:fill="FCFBDF"/>
      <w:spacing w:before="100" w:beforeAutospacing="1" w:after="100" w:afterAutospacing="1" w:line="255" w:lineRule="atLeast"/>
    </w:pPr>
    <w:rPr>
      <w:bCs w:val="0"/>
      <w:sz w:val="24"/>
    </w:rPr>
  </w:style>
  <w:style w:type="paragraph" w:customStyle="1" w:styleId="cotbbutton4">
    <w:name w:val="co_tbbutton4"/>
    <w:basedOn w:val="Normal"/>
    <w:rsid w:val="00435883"/>
    <w:pPr>
      <w:pBdr>
        <w:top w:val="single" w:sz="6" w:space="2" w:color="D1D1D1"/>
        <w:left w:val="single" w:sz="6" w:space="3" w:color="D1D1D1"/>
        <w:bottom w:val="single" w:sz="6" w:space="1" w:color="D1D1D1"/>
        <w:right w:val="single" w:sz="6" w:space="3" w:color="D1D1D1"/>
      </w:pBdr>
      <w:shd w:val="clear" w:color="auto" w:fill="FCFBDF"/>
      <w:spacing w:before="100" w:beforeAutospacing="1" w:after="100" w:afterAutospacing="1" w:line="255" w:lineRule="atLeast"/>
    </w:pPr>
    <w:rPr>
      <w:bCs w:val="0"/>
      <w:sz w:val="24"/>
    </w:rPr>
  </w:style>
  <w:style w:type="paragraph" w:customStyle="1" w:styleId="coicon1">
    <w:name w:val="co_icon1"/>
    <w:basedOn w:val="Normal"/>
    <w:rsid w:val="00435883"/>
    <w:pPr>
      <w:spacing w:before="100" w:beforeAutospacing="1" w:after="100" w:afterAutospacing="1"/>
      <w:ind w:hanging="3928"/>
      <w:textAlignment w:val="center"/>
    </w:pPr>
    <w:rPr>
      <w:bCs w:val="0"/>
      <w:sz w:val="24"/>
    </w:rPr>
  </w:style>
  <w:style w:type="paragraph" w:customStyle="1" w:styleId="cotbbutton5">
    <w:name w:val="co_tbbutton5"/>
    <w:basedOn w:val="Normal"/>
    <w:rsid w:val="00435883"/>
    <w:pPr>
      <w:pBdr>
        <w:top w:val="single" w:sz="2" w:space="2" w:color="D1D1D1"/>
        <w:left w:val="single" w:sz="2" w:space="3" w:color="D1D1D1"/>
        <w:bottom w:val="single" w:sz="2" w:space="1" w:color="D1D1D1"/>
        <w:right w:val="single" w:sz="2" w:space="3" w:color="D1D1D1"/>
      </w:pBdr>
      <w:shd w:val="clear" w:color="auto" w:fill="F1F1F1"/>
      <w:spacing w:before="100" w:beforeAutospacing="1" w:after="100" w:afterAutospacing="1" w:line="255" w:lineRule="atLeast"/>
    </w:pPr>
    <w:rPr>
      <w:bCs w:val="0"/>
      <w:sz w:val="24"/>
    </w:rPr>
  </w:style>
  <w:style w:type="paragraph" w:customStyle="1" w:styleId="codropdownmenulabel1">
    <w:name w:val="co_dropdownmenulabel1"/>
    <w:basedOn w:val="Normal"/>
    <w:rsid w:val="00435883"/>
    <w:pPr>
      <w:ind w:left="-150" w:right="-150"/>
    </w:pPr>
    <w:rPr>
      <w:bCs w:val="0"/>
      <w:sz w:val="24"/>
    </w:rPr>
  </w:style>
  <w:style w:type="paragraph" w:customStyle="1" w:styleId="codropdownmenulist1">
    <w:name w:val="co_dropdownmenulist1"/>
    <w:basedOn w:val="Normal"/>
    <w:rsid w:val="00435883"/>
    <w:pPr>
      <w:ind w:left="-150" w:right="-150"/>
    </w:pPr>
    <w:rPr>
      <w:bCs w:val="0"/>
      <w:sz w:val="24"/>
    </w:rPr>
  </w:style>
  <w:style w:type="paragraph" w:customStyle="1" w:styleId="colinkrow1">
    <w:name w:val="co_linkrow1"/>
    <w:basedOn w:val="Normal"/>
    <w:rsid w:val="00435883"/>
    <w:pPr>
      <w:spacing w:before="100" w:beforeAutospacing="1" w:after="100" w:afterAutospacing="1"/>
      <w:jc w:val="center"/>
    </w:pPr>
    <w:rPr>
      <w:bCs w:val="0"/>
      <w:sz w:val="24"/>
    </w:rPr>
  </w:style>
  <w:style w:type="paragraph" w:customStyle="1" w:styleId="codetailsdropdownselected1">
    <w:name w:val="co_detailsdropdown_selected1"/>
    <w:basedOn w:val="Normal"/>
    <w:rsid w:val="00435883"/>
    <w:pPr>
      <w:spacing w:before="100" w:beforeAutospacing="1" w:after="100" w:afterAutospacing="1"/>
    </w:pPr>
    <w:rPr>
      <w:bCs w:val="0"/>
      <w:sz w:val="24"/>
    </w:rPr>
  </w:style>
  <w:style w:type="paragraph" w:customStyle="1" w:styleId="codetailsdropdownselected2">
    <w:name w:val="co_detailsdropdown_selected2"/>
    <w:basedOn w:val="Normal"/>
    <w:rsid w:val="00435883"/>
    <w:pPr>
      <w:shd w:val="clear" w:color="auto" w:fill="CBE5FE"/>
      <w:spacing w:before="100" w:beforeAutospacing="1" w:after="100" w:afterAutospacing="1"/>
    </w:pPr>
    <w:rPr>
      <w:bCs w:val="0"/>
      <w:sz w:val="24"/>
    </w:rPr>
  </w:style>
  <w:style w:type="paragraph" w:customStyle="1" w:styleId="a11ydropdown-buttontext1">
    <w:name w:val="a11ydropdown-buttontext1"/>
    <w:basedOn w:val="Normal"/>
    <w:rsid w:val="00435883"/>
    <w:pPr>
      <w:spacing w:before="100" w:beforeAutospacing="1" w:after="100" w:afterAutospacing="1"/>
    </w:pPr>
    <w:rPr>
      <w:bCs w:val="0"/>
      <w:sz w:val="24"/>
    </w:rPr>
  </w:style>
  <w:style w:type="paragraph" w:customStyle="1" w:styleId="icon253">
    <w:name w:val="icon253"/>
    <w:basedOn w:val="Normal"/>
    <w:rsid w:val="00435883"/>
    <w:pPr>
      <w:ind w:firstLine="22384"/>
      <w:textAlignment w:val="center"/>
    </w:pPr>
    <w:rPr>
      <w:bCs w:val="0"/>
      <w:sz w:val="24"/>
    </w:rPr>
  </w:style>
  <w:style w:type="paragraph" w:customStyle="1" w:styleId="a11ydropdown-buttontext2">
    <w:name w:val="a11ydropdown-buttontext2"/>
    <w:basedOn w:val="Normal"/>
    <w:rsid w:val="00435883"/>
    <w:pPr>
      <w:spacing w:before="100" w:beforeAutospacing="1" w:after="100" w:afterAutospacing="1"/>
    </w:pPr>
    <w:rPr>
      <w:bCs w:val="0"/>
      <w:color w:val="145DA4"/>
      <w:sz w:val="24"/>
    </w:rPr>
  </w:style>
  <w:style w:type="paragraph" w:customStyle="1" w:styleId="a11ydropdown1">
    <w:name w:val="a11ydropdown1"/>
    <w:basedOn w:val="Normal"/>
    <w:rsid w:val="00435883"/>
    <w:pPr>
      <w:spacing w:before="100" w:beforeAutospacing="1" w:after="100" w:afterAutospacing="1"/>
    </w:pPr>
    <w:rPr>
      <w:bCs w:val="0"/>
      <w:sz w:val="24"/>
    </w:rPr>
  </w:style>
  <w:style w:type="paragraph" w:customStyle="1" w:styleId="a11ydropdown-menu1">
    <w:name w:val="a11ydropdown-menu1"/>
    <w:basedOn w:val="Normal"/>
    <w:rsid w:val="00435883"/>
    <w:pPr>
      <w:pBdr>
        <w:top w:val="single" w:sz="6" w:space="0" w:color="C9C9C9"/>
        <w:left w:val="single" w:sz="6" w:space="0" w:color="C9C9C9"/>
        <w:bottom w:val="single" w:sz="6" w:space="0" w:color="C9C9C9"/>
        <w:right w:val="single" w:sz="6" w:space="0" w:color="C9C9C9"/>
      </w:pBdr>
      <w:shd w:val="clear" w:color="auto" w:fill="FFFFFF"/>
    </w:pPr>
    <w:rPr>
      <w:bCs w:val="0"/>
      <w:vanish/>
      <w:sz w:val="24"/>
    </w:rPr>
  </w:style>
  <w:style w:type="paragraph" w:customStyle="1" w:styleId="icon254">
    <w:name w:val="icon254"/>
    <w:basedOn w:val="Normal"/>
    <w:rsid w:val="00435883"/>
    <w:pPr>
      <w:ind w:right="60" w:firstLine="22384"/>
      <w:textAlignment w:val="center"/>
    </w:pPr>
    <w:rPr>
      <w:bCs w:val="0"/>
      <w:sz w:val="24"/>
    </w:rPr>
  </w:style>
  <w:style w:type="paragraph" w:customStyle="1" w:styleId="icon255">
    <w:name w:val="icon255"/>
    <w:basedOn w:val="Normal"/>
    <w:rsid w:val="00435883"/>
    <w:pPr>
      <w:ind w:right="60" w:firstLine="22384"/>
      <w:textAlignment w:val="center"/>
    </w:pPr>
    <w:rPr>
      <w:bCs w:val="0"/>
      <w:sz w:val="24"/>
    </w:rPr>
  </w:style>
  <w:style w:type="paragraph" w:customStyle="1" w:styleId="codropdownmenulabel2">
    <w:name w:val="co_dropdownmenulabel2"/>
    <w:basedOn w:val="Normal"/>
    <w:rsid w:val="00435883"/>
    <w:pPr>
      <w:spacing w:line="270" w:lineRule="atLeast"/>
    </w:pPr>
    <w:rPr>
      <w:b/>
      <w:sz w:val="18"/>
      <w:szCs w:val="18"/>
    </w:rPr>
  </w:style>
  <w:style w:type="paragraph" w:customStyle="1" w:styleId="codropdownmenulabel3">
    <w:name w:val="co_dropdownmenulabel3"/>
    <w:basedOn w:val="Normal"/>
    <w:rsid w:val="00435883"/>
    <w:pPr>
      <w:spacing w:line="270" w:lineRule="atLeast"/>
    </w:pPr>
    <w:rPr>
      <w:b/>
      <w:sz w:val="18"/>
      <w:szCs w:val="18"/>
    </w:rPr>
  </w:style>
  <w:style w:type="paragraph" w:customStyle="1" w:styleId="cotablink1">
    <w:name w:val="co_tablink1"/>
    <w:basedOn w:val="Normal"/>
    <w:rsid w:val="00435883"/>
    <w:pPr>
      <w:pBdr>
        <w:left w:val="single" w:sz="6" w:space="11" w:color="FFFFFF"/>
      </w:pBdr>
      <w:spacing w:before="100" w:beforeAutospacing="1" w:after="100" w:afterAutospacing="1"/>
    </w:pPr>
    <w:rPr>
      <w:bCs w:val="0"/>
      <w:sz w:val="24"/>
    </w:rPr>
  </w:style>
  <w:style w:type="paragraph" w:customStyle="1" w:styleId="cotableft1">
    <w:name w:val="co_tableft1"/>
    <w:basedOn w:val="Normal"/>
    <w:rsid w:val="00435883"/>
    <w:pPr>
      <w:pBdr>
        <w:top w:val="single" w:sz="6" w:space="0" w:color="D6D6D6"/>
        <w:left w:val="single" w:sz="2" w:space="0" w:color="D6D6D6"/>
        <w:bottom w:val="single" w:sz="2" w:space="0" w:color="D6D6D6"/>
        <w:right w:val="single" w:sz="6" w:space="0" w:color="D6D6D6"/>
      </w:pBdr>
      <w:spacing w:before="100" w:beforeAutospacing="1" w:after="100" w:afterAutospacing="1"/>
    </w:pPr>
    <w:rPr>
      <w:bCs w:val="0"/>
      <w:sz w:val="24"/>
    </w:rPr>
  </w:style>
  <w:style w:type="paragraph" w:customStyle="1" w:styleId="cotabright1">
    <w:name w:val="co_tabright1"/>
    <w:basedOn w:val="Normal"/>
    <w:rsid w:val="00435883"/>
    <w:pPr>
      <w:spacing w:before="100" w:beforeAutospacing="1" w:after="100" w:afterAutospacing="1"/>
    </w:pPr>
    <w:rPr>
      <w:b/>
      <w:color w:val="275EAB"/>
      <w:sz w:val="22"/>
      <w:szCs w:val="22"/>
    </w:rPr>
  </w:style>
  <w:style w:type="paragraph" w:customStyle="1" w:styleId="cotablink2">
    <w:name w:val="co_tablink2"/>
    <w:basedOn w:val="Normal"/>
    <w:rsid w:val="00435883"/>
    <w:pPr>
      <w:pBdr>
        <w:left w:val="single" w:sz="6" w:space="11" w:color="FFFFFF"/>
      </w:pBdr>
      <w:spacing w:before="100" w:beforeAutospacing="1" w:after="100" w:afterAutospacing="1"/>
    </w:pPr>
    <w:rPr>
      <w:bCs w:val="0"/>
      <w:sz w:val="24"/>
    </w:rPr>
  </w:style>
  <w:style w:type="paragraph" w:customStyle="1" w:styleId="cotablink3">
    <w:name w:val="co_tablink3"/>
    <w:basedOn w:val="Normal"/>
    <w:rsid w:val="00435883"/>
    <w:pPr>
      <w:pBdr>
        <w:left w:val="single" w:sz="6" w:space="11" w:color="FFFFFF"/>
      </w:pBdr>
      <w:spacing w:before="100" w:beforeAutospacing="1" w:after="100" w:afterAutospacing="1"/>
    </w:pPr>
    <w:rPr>
      <w:bCs w:val="0"/>
      <w:sz w:val="24"/>
    </w:rPr>
  </w:style>
  <w:style w:type="paragraph" w:customStyle="1" w:styleId="cotablink4">
    <w:name w:val="co_tablink4"/>
    <w:basedOn w:val="Normal"/>
    <w:rsid w:val="00435883"/>
    <w:pPr>
      <w:spacing w:before="100" w:beforeAutospacing="1" w:after="100" w:afterAutospacing="1"/>
    </w:pPr>
    <w:rPr>
      <w:bCs w:val="0"/>
      <w:sz w:val="24"/>
    </w:rPr>
  </w:style>
  <w:style w:type="paragraph" w:customStyle="1" w:styleId="codropdownarrowcollapsed1">
    <w:name w:val="co_dropdownarrowcollapsed1"/>
    <w:basedOn w:val="Normal"/>
    <w:rsid w:val="00435883"/>
    <w:pPr>
      <w:spacing w:before="100" w:beforeAutospacing="1" w:after="100" w:afterAutospacing="1"/>
      <w:ind w:left="-375" w:hanging="3928"/>
    </w:pPr>
    <w:rPr>
      <w:bCs w:val="0"/>
      <w:sz w:val="24"/>
    </w:rPr>
  </w:style>
  <w:style w:type="paragraph" w:customStyle="1" w:styleId="codropdownarrowexpanded1">
    <w:name w:val="co_dropdownarrowexpanded1"/>
    <w:basedOn w:val="Normal"/>
    <w:rsid w:val="00435883"/>
    <w:pPr>
      <w:spacing w:before="100" w:beforeAutospacing="1" w:after="100" w:afterAutospacing="1"/>
      <w:ind w:left="-375" w:hanging="3928"/>
    </w:pPr>
    <w:rPr>
      <w:bCs w:val="0"/>
      <w:sz w:val="24"/>
    </w:rPr>
  </w:style>
  <w:style w:type="paragraph" w:customStyle="1" w:styleId="codropdownboxexpanded1">
    <w:name w:val="co_dropdownboxexpanded1"/>
    <w:basedOn w:val="Normal"/>
    <w:rsid w:val="00435883"/>
    <w:pPr>
      <w:pBdr>
        <w:top w:val="single" w:sz="6" w:space="2" w:color="C9C9C9"/>
        <w:left w:val="single" w:sz="6" w:space="0" w:color="C9C9C9"/>
        <w:bottom w:val="single" w:sz="6" w:space="2" w:color="C9C9C9"/>
        <w:right w:val="single" w:sz="6" w:space="0" w:color="C9C9C9"/>
      </w:pBdr>
      <w:shd w:val="clear" w:color="auto" w:fill="FFFFFF"/>
    </w:pPr>
    <w:rPr>
      <w:bCs w:val="0"/>
      <w:sz w:val="24"/>
    </w:rPr>
  </w:style>
  <w:style w:type="paragraph" w:customStyle="1" w:styleId="cotabs1">
    <w:name w:val="co_tabs1"/>
    <w:basedOn w:val="Normal"/>
    <w:rsid w:val="00435883"/>
    <w:pPr>
      <w:spacing w:before="100" w:beforeAutospacing="1" w:after="100" w:afterAutospacing="1" w:line="585" w:lineRule="atLeast"/>
    </w:pPr>
    <w:rPr>
      <w:bCs w:val="0"/>
      <w:sz w:val="24"/>
    </w:rPr>
  </w:style>
  <w:style w:type="paragraph" w:customStyle="1" w:styleId="cotabactive1">
    <w:name w:val="co_tabactive1"/>
    <w:basedOn w:val="Normal"/>
    <w:rsid w:val="00435883"/>
    <w:pPr>
      <w:spacing w:before="100" w:beforeAutospacing="1" w:after="100" w:afterAutospacing="1"/>
    </w:pPr>
    <w:rPr>
      <w:bCs w:val="0"/>
      <w:color w:val="252525"/>
      <w:sz w:val="24"/>
    </w:rPr>
  </w:style>
  <w:style w:type="paragraph" w:customStyle="1" w:styleId="cotableft2">
    <w:name w:val="co_tableft2"/>
    <w:basedOn w:val="Normal"/>
    <w:rsid w:val="00435883"/>
    <w:pPr>
      <w:pBdr>
        <w:top w:val="single" w:sz="6" w:space="0" w:color="D6D6D6"/>
        <w:left w:val="single" w:sz="2" w:space="0" w:color="D6D6D6"/>
        <w:bottom w:val="single" w:sz="2" w:space="0" w:color="D6D6D6"/>
        <w:right w:val="single" w:sz="6" w:space="0" w:color="D6D6D6"/>
      </w:pBdr>
      <w:spacing w:before="100" w:beforeAutospacing="1"/>
    </w:pPr>
    <w:rPr>
      <w:bCs w:val="0"/>
      <w:sz w:val="24"/>
    </w:rPr>
  </w:style>
  <w:style w:type="paragraph" w:customStyle="1" w:styleId="cotablink5">
    <w:name w:val="co_tablink5"/>
    <w:basedOn w:val="Normal"/>
    <w:rsid w:val="00435883"/>
    <w:pPr>
      <w:spacing w:before="100" w:beforeAutospacing="1" w:after="100" w:afterAutospacing="1"/>
    </w:pPr>
    <w:rPr>
      <w:bCs w:val="0"/>
      <w:color w:val="78A22F"/>
      <w:sz w:val="24"/>
    </w:rPr>
  </w:style>
  <w:style w:type="paragraph" w:customStyle="1" w:styleId="coinnertube1">
    <w:name w:val="co_innertube1"/>
    <w:basedOn w:val="Normal"/>
    <w:rsid w:val="00435883"/>
    <w:rPr>
      <w:bCs w:val="0"/>
      <w:sz w:val="24"/>
    </w:rPr>
  </w:style>
  <w:style w:type="paragraph" w:customStyle="1" w:styleId="coinnertube2">
    <w:name w:val="co_innertube2"/>
    <w:basedOn w:val="Normal"/>
    <w:rsid w:val="00435883"/>
    <w:pPr>
      <w:spacing w:before="100" w:beforeAutospacing="1" w:after="100" w:afterAutospacing="1"/>
      <w:ind w:right="195"/>
    </w:pPr>
    <w:rPr>
      <w:bCs w:val="0"/>
      <w:sz w:val="24"/>
    </w:rPr>
  </w:style>
  <w:style w:type="paragraph" w:customStyle="1" w:styleId="coinnertube3">
    <w:name w:val="co_innertube3"/>
    <w:basedOn w:val="Normal"/>
    <w:rsid w:val="00435883"/>
    <w:pPr>
      <w:spacing w:before="100" w:beforeAutospacing="1" w:after="100" w:afterAutospacing="1"/>
      <w:ind w:left="195"/>
    </w:pPr>
    <w:rPr>
      <w:bCs w:val="0"/>
      <w:sz w:val="24"/>
    </w:rPr>
  </w:style>
  <w:style w:type="paragraph" w:customStyle="1" w:styleId="coinnertube4">
    <w:name w:val="co_innertube4"/>
    <w:basedOn w:val="Normal"/>
    <w:rsid w:val="00435883"/>
    <w:pPr>
      <w:ind w:right="450"/>
    </w:pPr>
    <w:rPr>
      <w:bCs w:val="0"/>
      <w:sz w:val="24"/>
    </w:rPr>
  </w:style>
  <w:style w:type="paragraph" w:customStyle="1" w:styleId="cobrowseheader1">
    <w:name w:val="co_browseheader1"/>
    <w:basedOn w:val="Normal"/>
    <w:rsid w:val="00435883"/>
    <w:rPr>
      <w:bCs w:val="0"/>
      <w:sz w:val="24"/>
    </w:rPr>
  </w:style>
  <w:style w:type="paragraph" w:customStyle="1" w:styleId="cobrowseheader2">
    <w:name w:val="co_browseheader2"/>
    <w:basedOn w:val="Normal"/>
    <w:rsid w:val="00435883"/>
    <w:pPr>
      <w:spacing w:before="100" w:beforeAutospacing="1" w:after="75"/>
    </w:pPr>
    <w:rPr>
      <w:bCs w:val="0"/>
      <w:sz w:val="24"/>
    </w:rPr>
  </w:style>
  <w:style w:type="paragraph" w:customStyle="1" w:styleId="cobrowseheader3">
    <w:name w:val="co_browseheader3"/>
    <w:basedOn w:val="Normal"/>
    <w:rsid w:val="00435883"/>
    <w:pPr>
      <w:spacing w:before="100" w:beforeAutospacing="1" w:after="75"/>
    </w:pPr>
    <w:rPr>
      <w:bCs w:val="0"/>
      <w:sz w:val="24"/>
    </w:rPr>
  </w:style>
  <w:style w:type="paragraph" w:customStyle="1" w:styleId="cobrowseheader4">
    <w:name w:val="co_browseheader4"/>
    <w:basedOn w:val="Normal"/>
    <w:rsid w:val="00435883"/>
    <w:pPr>
      <w:ind w:right="3930"/>
    </w:pPr>
    <w:rPr>
      <w:bCs w:val="0"/>
      <w:sz w:val="24"/>
    </w:rPr>
  </w:style>
  <w:style w:type="paragraph" w:customStyle="1" w:styleId="cobrowseheader5">
    <w:name w:val="co_browseheader5"/>
    <w:basedOn w:val="Normal"/>
    <w:rsid w:val="00435883"/>
    <w:pPr>
      <w:ind w:left="3480" w:right="3480"/>
    </w:pPr>
    <w:rPr>
      <w:bCs w:val="0"/>
      <w:sz w:val="24"/>
    </w:rPr>
  </w:style>
  <w:style w:type="paragraph" w:customStyle="1" w:styleId="colistitem1">
    <w:name w:val="co_listitem1"/>
    <w:basedOn w:val="Normal"/>
    <w:rsid w:val="00435883"/>
    <w:pPr>
      <w:spacing w:before="100" w:beforeAutospacing="1" w:after="100" w:afterAutospacing="1" w:line="285" w:lineRule="atLeast"/>
    </w:pPr>
    <w:rPr>
      <w:bCs w:val="0"/>
      <w:sz w:val="24"/>
    </w:rPr>
  </w:style>
  <w:style w:type="paragraph" w:customStyle="1" w:styleId="colistitem2">
    <w:name w:val="co_listitem2"/>
    <w:basedOn w:val="Normal"/>
    <w:rsid w:val="00435883"/>
    <w:pPr>
      <w:spacing w:before="100" w:beforeAutospacing="1" w:after="100" w:afterAutospacing="1" w:line="285" w:lineRule="atLeast"/>
    </w:pPr>
    <w:rPr>
      <w:bCs w:val="0"/>
      <w:sz w:val="24"/>
    </w:rPr>
  </w:style>
  <w:style w:type="paragraph" w:customStyle="1" w:styleId="colistitem3">
    <w:name w:val="co_listitem3"/>
    <w:basedOn w:val="Normal"/>
    <w:rsid w:val="00435883"/>
    <w:pPr>
      <w:spacing w:before="100" w:beforeAutospacing="1" w:after="100" w:afterAutospacing="1" w:line="285" w:lineRule="atLeast"/>
    </w:pPr>
    <w:rPr>
      <w:bCs w:val="0"/>
      <w:sz w:val="24"/>
    </w:rPr>
  </w:style>
  <w:style w:type="paragraph" w:customStyle="1" w:styleId="colistitem4">
    <w:name w:val="co_listitem4"/>
    <w:basedOn w:val="Normal"/>
    <w:rsid w:val="00435883"/>
    <w:pPr>
      <w:spacing w:before="100" w:beforeAutospacing="1" w:after="100" w:afterAutospacing="1" w:line="285" w:lineRule="atLeast"/>
    </w:pPr>
    <w:rPr>
      <w:bCs w:val="0"/>
      <w:sz w:val="24"/>
    </w:rPr>
  </w:style>
  <w:style w:type="paragraph" w:customStyle="1" w:styleId="colistitem5">
    <w:name w:val="co_listitem5"/>
    <w:basedOn w:val="Normal"/>
    <w:rsid w:val="00435883"/>
    <w:pPr>
      <w:spacing w:before="100" w:beforeAutospacing="1" w:after="100" w:afterAutospacing="1" w:line="285" w:lineRule="atLeast"/>
    </w:pPr>
    <w:rPr>
      <w:bCs w:val="0"/>
      <w:sz w:val="24"/>
    </w:rPr>
  </w:style>
  <w:style w:type="paragraph" w:customStyle="1" w:styleId="colistitem6">
    <w:name w:val="co_listitem6"/>
    <w:basedOn w:val="Normal"/>
    <w:rsid w:val="00435883"/>
    <w:pPr>
      <w:spacing w:before="100" w:beforeAutospacing="1" w:after="100" w:afterAutospacing="1" w:line="285" w:lineRule="atLeast"/>
    </w:pPr>
    <w:rPr>
      <w:bCs w:val="0"/>
      <w:sz w:val="24"/>
    </w:rPr>
  </w:style>
  <w:style w:type="paragraph" w:customStyle="1" w:styleId="colistitem7">
    <w:name w:val="co_listitem7"/>
    <w:basedOn w:val="Normal"/>
    <w:rsid w:val="00435883"/>
    <w:pPr>
      <w:spacing w:before="100" w:beforeAutospacing="1" w:after="100" w:afterAutospacing="1" w:line="285" w:lineRule="atLeast"/>
    </w:pPr>
    <w:rPr>
      <w:bCs w:val="0"/>
      <w:sz w:val="24"/>
    </w:rPr>
  </w:style>
  <w:style w:type="paragraph" w:customStyle="1" w:styleId="colistitem8">
    <w:name w:val="co_listitem8"/>
    <w:basedOn w:val="Normal"/>
    <w:rsid w:val="00435883"/>
    <w:pPr>
      <w:spacing w:before="100" w:beforeAutospacing="1" w:after="100" w:afterAutospacing="1" w:line="285" w:lineRule="atLeast"/>
    </w:pPr>
    <w:rPr>
      <w:bCs w:val="0"/>
      <w:sz w:val="24"/>
    </w:rPr>
  </w:style>
  <w:style w:type="paragraph" w:customStyle="1" w:styleId="colistitem9">
    <w:name w:val="co_listitem9"/>
    <w:basedOn w:val="Normal"/>
    <w:rsid w:val="00435883"/>
    <w:pPr>
      <w:spacing w:before="100" w:beforeAutospacing="1" w:after="100" w:afterAutospacing="1" w:line="285" w:lineRule="atLeast"/>
    </w:pPr>
    <w:rPr>
      <w:bCs w:val="0"/>
      <w:sz w:val="24"/>
    </w:rPr>
  </w:style>
  <w:style w:type="paragraph" w:customStyle="1" w:styleId="coinnertube5">
    <w:name w:val="co_innertube5"/>
    <w:basedOn w:val="Normal"/>
    <w:rsid w:val="00435883"/>
    <w:pPr>
      <w:spacing w:before="100" w:beforeAutospacing="1" w:after="100" w:afterAutospacing="1"/>
    </w:pPr>
    <w:rPr>
      <w:bCs w:val="0"/>
      <w:sz w:val="24"/>
    </w:rPr>
  </w:style>
  <w:style w:type="paragraph" w:customStyle="1" w:styleId="coinnertube6">
    <w:name w:val="co_innertube6"/>
    <w:basedOn w:val="Normal"/>
    <w:rsid w:val="00435883"/>
    <w:pPr>
      <w:spacing w:before="100" w:beforeAutospacing="1" w:after="100" w:afterAutospacing="1"/>
    </w:pPr>
    <w:rPr>
      <w:bCs w:val="0"/>
      <w:sz w:val="24"/>
    </w:rPr>
  </w:style>
  <w:style w:type="paragraph" w:customStyle="1" w:styleId="cobrowsepagesectionwidget1">
    <w:name w:val="co_browsepagesectionwidget1"/>
    <w:basedOn w:val="Normal"/>
    <w:rsid w:val="00435883"/>
    <w:pPr>
      <w:pBdr>
        <w:bottom w:val="single" w:sz="12" w:space="0" w:color="CCCCCC"/>
      </w:pBdr>
      <w:spacing w:before="100" w:beforeAutospacing="1" w:after="100" w:afterAutospacing="1"/>
    </w:pPr>
    <w:rPr>
      <w:bCs w:val="0"/>
      <w:sz w:val="24"/>
    </w:rPr>
  </w:style>
  <w:style w:type="paragraph" w:customStyle="1" w:styleId="cosearchformouter1">
    <w:name w:val="co_searchformouter1"/>
    <w:basedOn w:val="Normal"/>
    <w:rsid w:val="00435883"/>
    <w:pPr>
      <w:spacing w:before="100" w:beforeAutospacing="1" w:after="100" w:afterAutospacing="1"/>
    </w:pPr>
    <w:rPr>
      <w:bCs w:val="0"/>
      <w:sz w:val="24"/>
    </w:rPr>
  </w:style>
  <w:style w:type="paragraph" w:customStyle="1" w:styleId="cosearchinputcontainer1">
    <w:name w:val="co_searchinputcontainer1"/>
    <w:basedOn w:val="Normal"/>
    <w:rsid w:val="00435883"/>
    <w:pPr>
      <w:ind w:right="5535"/>
    </w:pPr>
    <w:rPr>
      <w:bCs w:val="0"/>
      <w:sz w:val="24"/>
    </w:rPr>
  </w:style>
  <w:style w:type="paragraph" w:customStyle="1" w:styleId="cotypeaheaditem1">
    <w:name w:val="co_typeaheaditem1"/>
    <w:basedOn w:val="Normal"/>
    <w:rsid w:val="00435883"/>
    <w:pPr>
      <w:spacing w:before="60" w:after="60"/>
      <w:ind w:left="525"/>
    </w:pPr>
    <w:rPr>
      <w:bCs w:val="0"/>
      <w:sz w:val="24"/>
    </w:rPr>
  </w:style>
  <w:style w:type="paragraph" w:customStyle="1" w:styleId="cotypeaheadheading1">
    <w:name w:val="co_typeaheadheading1"/>
    <w:basedOn w:val="Normal"/>
    <w:rsid w:val="00435883"/>
    <w:rPr>
      <w:bCs w:val="0"/>
      <w:sz w:val="24"/>
    </w:rPr>
  </w:style>
  <w:style w:type="paragraph" w:customStyle="1" w:styleId="cosearchinputcontainer2">
    <w:name w:val="co_searchinputcontainer2"/>
    <w:basedOn w:val="Normal"/>
    <w:rsid w:val="00435883"/>
    <w:pPr>
      <w:ind w:right="2130"/>
    </w:pPr>
    <w:rPr>
      <w:bCs w:val="0"/>
      <w:sz w:val="24"/>
    </w:rPr>
  </w:style>
  <w:style w:type="paragraph" w:customStyle="1" w:styleId="cosearchinputcontainer3">
    <w:name w:val="co_searchinputcontainer3"/>
    <w:basedOn w:val="Normal"/>
    <w:rsid w:val="00435883"/>
    <w:pPr>
      <w:ind w:right="3690"/>
    </w:pPr>
    <w:rPr>
      <w:bCs w:val="0"/>
      <w:sz w:val="24"/>
    </w:rPr>
  </w:style>
  <w:style w:type="paragraph" w:customStyle="1" w:styleId="coinfobox7">
    <w:name w:val="co_infobox7"/>
    <w:basedOn w:val="Normal"/>
    <w:rsid w:val="00435883"/>
    <w:pPr>
      <w:pBdr>
        <w:top w:val="single" w:sz="6" w:space="0" w:color="FEDA73"/>
        <w:left w:val="single" w:sz="6" w:space="0" w:color="FEDA73"/>
        <w:bottom w:val="single" w:sz="6" w:space="0" w:color="FEDA73"/>
        <w:right w:val="single" w:sz="6" w:space="0" w:color="FEDA73"/>
      </w:pBdr>
      <w:shd w:val="clear" w:color="auto" w:fill="FCFBDF"/>
      <w:spacing w:before="100" w:beforeAutospacing="1" w:after="100" w:afterAutospacing="1"/>
    </w:pPr>
    <w:rPr>
      <w:bCs w:val="0"/>
      <w:sz w:val="18"/>
      <w:szCs w:val="18"/>
    </w:rPr>
  </w:style>
  <w:style w:type="paragraph" w:customStyle="1" w:styleId="cotabs2">
    <w:name w:val="co_tabs2"/>
    <w:basedOn w:val="Normal"/>
    <w:rsid w:val="00435883"/>
    <w:pPr>
      <w:spacing w:before="100" w:beforeAutospacing="1" w:after="100" w:afterAutospacing="1" w:line="375" w:lineRule="atLeast"/>
    </w:pPr>
    <w:rPr>
      <w:bCs w:val="0"/>
      <w:vanish/>
      <w:sz w:val="24"/>
    </w:rPr>
  </w:style>
  <w:style w:type="paragraph" w:customStyle="1" w:styleId="cotabs3">
    <w:name w:val="co_tabs3"/>
    <w:basedOn w:val="Normal"/>
    <w:rsid w:val="00435883"/>
    <w:pPr>
      <w:spacing w:before="100" w:beforeAutospacing="1" w:after="100" w:afterAutospacing="1" w:line="285" w:lineRule="atLeast"/>
    </w:pPr>
    <w:rPr>
      <w:bCs w:val="0"/>
      <w:sz w:val="24"/>
    </w:rPr>
  </w:style>
  <w:style w:type="paragraph" w:customStyle="1" w:styleId="cotableft3">
    <w:name w:val="co_tableft3"/>
    <w:basedOn w:val="Normal"/>
    <w:rsid w:val="00435883"/>
    <w:pPr>
      <w:spacing w:before="100" w:beforeAutospacing="1" w:after="100" w:afterAutospacing="1"/>
      <w:ind w:left="90"/>
    </w:pPr>
    <w:rPr>
      <w:bCs w:val="0"/>
      <w:sz w:val="24"/>
    </w:rPr>
  </w:style>
  <w:style w:type="paragraph" w:customStyle="1" w:styleId="cotabright2">
    <w:name w:val="co_tabright2"/>
    <w:basedOn w:val="Normal"/>
    <w:rsid w:val="00435883"/>
    <w:pPr>
      <w:spacing w:before="100" w:beforeAutospacing="1" w:after="100" w:afterAutospacing="1"/>
    </w:pPr>
    <w:rPr>
      <w:bCs w:val="0"/>
      <w:sz w:val="24"/>
    </w:rPr>
  </w:style>
  <w:style w:type="paragraph" w:customStyle="1" w:styleId="cooverlayboxcontent1">
    <w:name w:val="co_overlaybox_content1"/>
    <w:basedOn w:val="Normal"/>
    <w:rsid w:val="00435883"/>
    <w:rPr>
      <w:bCs w:val="0"/>
      <w:sz w:val="18"/>
      <w:szCs w:val="18"/>
    </w:rPr>
  </w:style>
  <w:style w:type="paragraph" w:customStyle="1" w:styleId="cosearchsuggestioncontainer1">
    <w:name w:val="co_searchsuggestioncontainer1"/>
    <w:basedOn w:val="Normal"/>
    <w:rsid w:val="00435883"/>
    <w:pPr>
      <w:pBdr>
        <w:top w:val="single" w:sz="2" w:space="0" w:color="CCCCCC"/>
        <w:left w:val="single" w:sz="6" w:space="0" w:color="CCCCCC"/>
        <w:bottom w:val="single" w:sz="6" w:space="0" w:color="CCCCCC"/>
        <w:right w:val="single" w:sz="6" w:space="0" w:color="CCCCCC"/>
      </w:pBdr>
      <w:shd w:val="clear" w:color="auto" w:fill="FFFFFF"/>
      <w:spacing w:line="270" w:lineRule="atLeast"/>
      <w:ind w:left="30" w:right="30"/>
    </w:pPr>
    <w:rPr>
      <w:bCs w:val="0"/>
      <w:sz w:val="24"/>
    </w:rPr>
  </w:style>
  <w:style w:type="paragraph" w:customStyle="1" w:styleId="cotypeaheadheading2">
    <w:name w:val="co_typeaheadheading2"/>
    <w:basedOn w:val="Normal"/>
    <w:rsid w:val="00435883"/>
    <w:pPr>
      <w:spacing w:before="15" w:after="15"/>
      <w:ind w:right="285"/>
    </w:pPr>
    <w:rPr>
      <w:bCs w:val="0"/>
      <w:sz w:val="24"/>
    </w:rPr>
  </w:style>
  <w:style w:type="paragraph" w:customStyle="1" w:styleId="coforminline1">
    <w:name w:val="co_forminline1"/>
    <w:basedOn w:val="Normal"/>
    <w:rsid w:val="00435883"/>
    <w:pPr>
      <w:spacing w:before="100" w:beforeAutospacing="1" w:after="100" w:afterAutospacing="1" w:line="270" w:lineRule="atLeast"/>
    </w:pPr>
    <w:rPr>
      <w:bCs w:val="0"/>
      <w:sz w:val="17"/>
      <w:szCs w:val="17"/>
    </w:rPr>
  </w:style>
  <w:style w:type="paragraph" w:customStyle="1" w:styleId="cofloatleft2">
    <w:name w:val="co_floatleft2"/>
    <w:basedOn w:val="Normal"/>
    <w:rsid w:val="00435883"/>
    <w:pPr>
      <w:spacing w:before="100" w:beforeAutospacing="1" w:after="100" w:afterAutospacing="1"/>
    </w:pPr>
    <w:rPr>
      <w:bCs w:val="0"/>
      <w:sz w:val="24"/>
    </w:rPr>
  </w:style>
  <w:style w:type="paragraph" w:customStyle="1" w:styleId="coinlinelist1">
    <w:name w:val="co_inlinelist1"/>
    <w:basedOn w:val="Normal"/>
    <w:rsid w:val="00435883"/>
    <w:pPr>
      <w:spacing w:before="100" w:beforeAutospacing="1" w:after="100" w:afterAutospacing="1"/>
    </w:pPr>
    <w:rPr>
      <w:bCs w:val="0"/>
      <w:color w:val="212121"/>
      <w:sz w:val="18"/>
      <w:szCs w:val="18"/>
    </w:rPr>
  </w:style>
  <w:style w:type="paragraph" w:customStyle="1" w:styleId="cotypeaheadinfolist1">
    <w:name w:val="co_typeaheadinfolist1"/>
    <w:basedOn w:val="Normal"/>
    <w:rsid w:val="00435883"/>
    <w:pPr>
      <w:spacing w:before="100" w:beforeAutospacing="1" w:after="100" w:afterAutospacing="1"/>
    </w:pPr>
    <w:rPr>
      <w:bCs w:val="0"/>
      <w:color w:val="212121"/>
      <w:sz w:val="18"/>
      <w:szCs w:val="18"/>
    </w:rPr>
  </w:style>
  <w:style w:type="paragraph" w:customStyle="1" w:styleId="cotypeaheadheading3">
    <w:name w:val="co_typeaheadheading3"/>
    <w:basedOn w:val="Normal"/>
    <w:rsid w:val="00435883"/>
    <w:pPr>
      <w:spacing w:before="100" w:beforeAutospacing="1" w:after="100" w:afterAutospacing="1"/>
    </w:pPr>
    <w:rPr>
      <w:bCs w:val="0"/>
      <w:sz w:val="24"/>
    </w:rPr>
  </w:style>
  <w:style w:type="paragraph" w:customStyle="1" w:styleId="co2column1">
    <w:name w:val="co_2column1"/>
    <w:basedOn w:val="Normal"/>
    <w:rsid w:val="00435883"/>
    <w:pPr>
      <w:spacing w:before="100" w:beforeAutospacing="1" w:after="120" w:line="180" w:lineRule="atLeast"/>
    </w:pPr>
    <w:rPr>
      <w:bCs w:val="0"/>
      <w:sz w:val="24"/>
    </w:rPr>
  </w:style>
  <w:style w:type="paragraph" w:customStyle="1" w:styleId="cosnapshottitle1">
    <w:name w:val="co_snapshottitle1"/>
    <w:basedOn w:val="Normal"/>
    <w:rsid w:val="00435883"/>
    <w:pPr>
      <w:spacing w:before="100" w:beforeAutospacing="1" w:after="100" w:afterAutospacing="1"/>
    </w:pPr>
    <w:rPr>
      <w:bCs w:val="0"/>
      <w:sz w:val="24"/>
    </w:rPr>
  </w:style>
  <w:style w:type="paragraph" w:customStyle="1" w:styleId="cosnapshotposition1">
    <w:name w:val="co_snapshotposition1"/>
    <w:basedOn w:val="Normal"/>
    <w:rsid w:val="00435883"/>
    <w:pPr>
      <w:spacing w:before="100" w:beforeAutospacing="1" w:after="100" w:afterAutospacing="1"/>
    </w:pPr>
    <w:rPr>
      <w:bCs w:val="0"/>
      <w:sz w:val="24"/>
    </w:rPr>
  </w:style>
  <w:style w:type="paragraph" w:customStyle="1" w:styleId="cocolumn1">
    <w:name w:val="co_column1"/>
    <w:basedOn w:val="Normal"/>
    <w:rsid w:val="00435883"/>
    <w:pPr>
      <w:ind w:right="244"/>
    </w:pPr>
    <w:rPr>
      <w:bCs w:val="0"/>
      <w:sz w:val="24"/>
    </w:rPr>
  </w:style>
  <w:style w:type="paragraph" w:customStyle="1" w:styleId="cosntkeyciteflag1">
    <w:name w:val="co_sntkeyciteflag1"/>
    <w:basedOn w:val="Normal"/>
    <w:rsid w:val="00435883"/>
    <w:rPr>
      <w:bCs w:val="0"/>
      <w:sz w:val="24"/>
    </w:rPr>
  </w:style>
  <w:style w:type="paragraph" w:customStyle="1" w:styleId="cochunkpagination1">
    <w:name w:val="co_chunkpagination1"/>
    <w:basedOn w:val="Normal"/>
    <w:rsid w:val="00435883"/>
    <w:rPr>
      <w:bCs w:val="0"/>
      <w:sz w:val="24"/>
    </w:rPr>
  </w:style>
  <w:style w:type="paragraph" w:customStyle="1" w:styleId="cosntcourtline1">
    <w:name w:val="co_snt_courtline1"/>
    <w:basedOn w:val="Normal"/>
    <w:rsid w:val="00435883"/>
    <w:pPr>
      <w:pBdr>
        <w:left w:val="single" w:sz="6" w:space="0" w:color="CCCCCC"/>
      </w:pBdr>
      <w:spacing w:before="100" w:beforeAutospacing="1" w:after="100" w:afterAutospacing="1"/>
    </w:pPr>
    <w:rPr>
      <w:bCs w:val="0"/>
      <w:sz w:val="24"/>
    </w:rPr>
  </w:style>
  <w:style w:type="paragraph" w:customStyle="1" w:styleId="cosntdatefiled1">
    <w:name w:val="co_snt_datefiled1"/>
    <w:basedOn w:val="Normal"/>
    <w:rsid w:val="00435883"/>
    <w:pPr>
      <w:pBdr>
        <w:left w:val="single" w:sz="6" w:space="0" w:color="CCCCCC"/>
      </w:pBdr>
      <w:spacing w:before="100" w:beforeAutospacing="1" w:after="100" w:afterAutospacing="1"/>
    </w:pPr>
    <w:rPr>
      <w:bCs w:val="0"/>
      <w:sz w:val="24"/>
    </w:rPr>
  </w:style>
  <w:style w:type="paragraph" w:customStyle="1" w:styleId="coprogressindicator1">
    <w:name w:val="co_progressindicator1"/>
    <w:basedOn w:val="Normal"/>
    <w:rsid w:val="00435883"/>
    <w:pPr>
      <w:spacing w:before="100" w:beforeAutospacing="1" w:after="100" w:afterAutospacing="1"/>
    </w:pPr>
    <w:rPr>
      <w:bCs w:val="0"/>
      <w:sz w:val="24"/>
    </w:rPr>
  </w:style>
  <w:style w:type="paragraph" w:customStyle="1" w:styleId="coaccordianpanel1">
    <w:name w:val="co_accordianpanel1"/>
    <w:basedOn w:val="Normal"/>
    <w:rsid w:val="00435883"/>
    <w:pPr>
      <w:pBdr>
        <w:top w:val="single" w:sz="2" w:space="6" w:color="BBBBBB"/>
        <w:left w:val="single" w:sz="6" w:space="6" w:color="BBBBBB"/>
        <w:bottom w:val="single" w:sz="6" w:space="6" w:color="BBBBBB"/>
        <w:right w:val="single" w:sz="6" w:space="6" w:color="BBBBBB"/>
      </w:pBdr>
      <w:spacing w:before="100" w:beforeAutospacing="1" w:after="100" w:afterAutospacing="1"/>
    </w:pPr>
    <w:rPr>
      <w:bCs w:val="0"/>
      <w:sz w:val="24"/>
    </w:rPr>
  </w:style>
  <w:style w:type="paragraph" w:customStyle="1" w:styleId="coinfoboxmessage4">
    <w:name w:val="co_infobox_message4"/>
    <w:basedOn w:val="Normal"/>
    <w:rsid w:val="00435883"/>
    <w:pPr>
      <w:spacing w:before="100" w:beforeAutospacing="1" w:after="100" w:afterAutospacing="1"/>
    </w:pPr>
    <w:rPr>
      <w:bCs w:val="0"/>
      <w:sz w:val="24"/>
    </w:rPr>
  </w:style>
  <w:style w:type="paragraph" w:customStyle="1" w:styleId="coinfoboxmessage5">
    <w:name w:val="co_infobox_message5"/>
    <w:basedOn w:val="Normal"/>
    <w:rsid w:val="00435883"/>
    <w:pPr>
      <w:spacing w:before="100" w:beforeAutospacing="1" w:after="100" w:afterAutospacing="1"/>
    </w:pPr>
    <w:rPr>
      <w:bCs w:val="0"/>
      <w:sz w:val="24"/>
    </w:rPr>
  </w:style>
  <w:style w:type="paragraph" w:customStyle="1" w:styleId="coinfoboxmessage6">
    <w:name w:val="co_infobox_message6"/>
    <w:basedOn w:val="Normal"/>
    <w:rsid w:val="00435883"/>
    <w:pPr>
      <w:spacing w:before="100" w:beforeAutospacing="1" w:after="100" w:afterAutospacing="1"/>
    </w:pPr>
    <w:rPr>
      <w:bCs w:val="0"/>
      <w:sz w:val="24"/>
    </w:rPr>
  </w:style>
  <w:style w:type="paragraph" w:customStyle="1" w:styleId="comyalerts1">
    <w:name w:val="co_myalerts1"/>
    <w:basedOn w:val="Normal"/>
    <w:rsid w:val="00435883"/>
    <w:pPr>
      <w:spacing w:before="100" w:beforeAutospacing="1" w:after="100" w:afterAutospacing="1"/>
      <w:ind w:right="75" w:firstLine="22384"/>
    </w:pPr>
    <w:rPr>
      <w:bCs w:val="0"/>
      <w:sz w:val="24"/>
    </w:rPr>
  </w:style>
  <w:style w:type="paragraph" w:customStyle="1" w:styleId="validation-error1">
    <w:name w:val="validation-error1"/>
    <w:basedOn w:val="Normal"/>
    <w:rsid w:val="00435883"/>
    <w:pPr>
      <w:pBdr>
        <w:top w:val="single" w:sz="12" w:space="0" w:color="A0251C"/>
        <w:left w:val="single" w:sz="12" w:space="0" w:color="A0251C"/>
        <w:bottom w:val="single" w:sz="12" w:space="0" w:color="A0251C"/>
        <w:right w:val="single" w:sz="12" w:space="0" w:color="A0251C"/>
      </w:pBdr>
      <w:spacing w:before="100" w:beforeAutospacing="1" w:after="100" w:afterAutospacing="1"/>
    </w:pPr>
    <w:rPr>
      <w:bCs w:val="0"/>
      <w:sz w:val="24"/>
    </w:rPr>
  </w:style>
  <w:style w:type="paragraph" w:customStyle="1" w:styleId="inlineerror-message1">
    <w:name w:val="inlineerror-message1"/>
    <w:basedOn w:val="Normal"/>
    <w:rsid w:val="00435883"/>
    <w:pPr>
      <w:spacing w:before="30" w:after="30"/>
    </w:pPr>
    <w:rPr>
      <w:bCs w:val="0"/>
      <w:color w:val="A0251C"/>
      <w:sz w:val="24"/>
    </w:rPr>
  </w:style>
  <w:style w:type="paragraph" w:customStyle="1" w:styleId="cogenericboxheader2">
    <w:name w:val="co_genericboxheader2"/>
    <w:basedOn w:val="Normal"/>
    <w:rsid w:val="00435883"/>
    <w:pPr>
      <w:pBdr>
        <w:bottom w:val="single" w:sz="6" w:space="0" w:color="EEEEEE"/>
      </w:pBdr>
      <w:spacing w:before="100" w:beforeAutospacing="1" w:after="100" w:afterAutospacing="1"/>
    </w:pPr>
    <w:rPr>
      <w:bCs w:val="0"/>
      <w:sz w:val="18"/>
      <w:szCs w:val="18"/>
    </w:rPr>
  </w:style>
  <w:style w:type="paragraph" w:customStyle="1" w:styleId="cogenericboxheader3">
    <w:name w:val="co_genericboxheader3"/>
    <w:basedOn w:val="Normal"/>
    <w:rsid w:val="00435883"/>
    <w:pPr>
      <w:pBdr>
        <w:bottom w:val="single" w:sz="6" w:space="0" w:color="EEEEEE"/>
      </w:pBdr>
      <w:spacing w:before="100" w:beforeAutospacing="1" w:after="100" w:afterAutospacing="1"/>
    </w:pPr>
    <w:rPr>
      <w:bCs w:val="0"/>
      <w:sz w:val="18"/>
      <w:szCs w:val="18"/>
    </w:rPr>
  </w:style>
  <w:style w:type="paragraph" w:customStyle="1" w:styleId="cogenericboxheader4">
    <w:name w:val="co_genericboxheader4"/>
    <w:basedOn w:val="Normal"/>
    <w:rsid w:val="00435883"/>
    <w:pPr>
      <w:spacing w:before="100" w:beforeAutospacing="1" w:after="100" w:afterAutospacing="1"/>
    </w:pPr>
    <w:rPr>
      <w:bCs w:val="0"/>
      <w:sz w:val="18"/>
      <w:szCs w:val="18"/>
    </w:rPr>
  </w:style>
  <w:style w:type="paragraph" w:customStyle="1" w:styleId="cogenericboxheader5">
    <w:name w:val="co_genericboxheader5"/>
    <w:basedOn w:val="Normal"/>
    <w:rsid w:val="00435883"/>
    <w:pPr>
      <w:spacing w:before="100" w:beforeAutospacing="1" w:after="100" w:afterAutospacing="1"/>
    </w:pPr>
    <w:rPr>
      <w:bCs w:val="0"/>
      <w:sz w:val="18"/>
      <w:szCs w:val="18"/>
    </w:rPr>
  </w:style>
  <w:style w:type="paragraph" w:customStyle="1" w:styleId="cocontactsaddedcontactsinput1">
    <w:name w:val="co_contacts_addedcontactsinput1"/>
    <w:basedOn w:val="Normal"/>
    <w:rsid w:val="00435883"/>
    <w:pPr>
      <w:pBdr>
        <w:top w:val="single" w:sz="6" w:space="2" w:color="777777"/>
        <w:left w:val="single" w:sz="6" w:space="2" w:color="BBBBBB"/>
        <w:bottom w:val="single" w:sz="6" w:space="2" w:color="BBBBBB"/>
        <w:right w:val="single" w:sz="6" w:space="2" w:color="BBBBBB"/>
      </w:pBdr>
      <w:spacing w:before="100" w:beforeAutospacing="1" w:after="100" w:afterAutospacing="1"/>
    </w:pPr>
    <w:rPr>
      <w:bCs w:val="0"/>
      <w:sz w:val="24"/>
    </w:rPr>
  </w:style>
  <w:style w:type="paragraph" w:customStyle="1" w:styleId="cooverlayboxcontent2">
    <w:name w:val="co_overlaybox_content2"/>
    <w:basedOn w:val="Normal"/>
    <w:rsid w:val="00435883"/>
    <w:rPr>
      <w:bCs w:val="0"/>
      <w:sz w:val="18"/>
      <w:szCs w:val="18"/>
    </w:rPr>
  </w:style>
  <w:style w:type="paragraph" w:customStyle="1" w:styleId="copreviewlinkmessage1">
    <w:name w:val="co_previewlinkmessage1"/>
    <w:basedOn w:val="Normal"/>
    <w:rsid w:val="00435883"/>
    <w:pPr>
      <w:spacing w:line="405" w:lineRule="atLeast"/>
    </w:pPr>
    <w:rPr>
      <w:bCs w:val="0"/>
      <w:sz w:val="24"/>
    </w:rPr>
  </w:style>
  <w:style w:type="paragraph" w:customStyle="1" w:styleId="cooverlayboxcontent3">
    <w:name w:val="co_overlaybox_content3"/>
    <w:basedOn w:val="Normal"/>
    <w:rsid w:val="00435883"/>
    <w:rPr>
      <w:bCs w:val="0"/>
      <w:sz w:val="18"/>
      <w:szCs w:val="18"/>
    </w:rPr>
  </w:style>
  <w:style w:type="paragraph" w:customStyle="1" w:styleId="cofeedbackformcontent1">
    <w:name w:val="co_feedbackform_content1"/>
    <w:basedOn w:val="Normal"/>
    <w:rsid w:val="00435883"/>
    <w:pPr>
      <w:spacing w:before="100" w:beforeAutospacing="1" w:after="100" w:afterAutospacing="1"/>
    </w:pPr>
    <w:rPr>
      <w:bCs w:val="0"/>
      <w:sz w:val="24"/>
    </w:rPr>
  </w:style>
  <w:style w:type="paragraph" w:customStyle="1" w:styleId="cogenericboxfooter1">
    <w:name w:val="co_genericboxfooter1"/>
    <w:basedOn w:val="Normal"/>
    <w:rsid w:val="00435883"/>
    <w:pPr>
      <w:spacing w:before="100" w:beforeAutospacing="1" w:after="100" w:afterAutospacing="1"/>
    </w:pPr>
    <w:rPr>
      <w:bCs w:val="0"/>
      <w:vanish/>
      <w:sz w:val="24"/>
    </w:rPr>
  </w:style>
  <w:style w:type="paragraph" w:customStyle="1" w:styleId="cogenericboxheader6">
    <w:name w:val="co_genericboxheader6"/>
    <w:basedOn w:val="Normal"/>
    <w:rsid w:val="00435883"/>
    <w:pPr>
      <w:spacing w:before="100" w:beforeAutospacing="1" w:after="100" w:afterAutospacing="1"/>
    </w:pPr>
    <w:rPr>
      <w:bCs w:val="0"/>
      <w:vanish/>
      <w:sz w:val="18"/>
      <w:szCs w:val="18"/>
    </w:rPr>
  </w:style>
  <w:style w:type="paragraph" w:customStyle="1" w:styleId="cogenericboxcontent3">
    <w:name w:val="co_genericboxcontent3"/>
    <w:basedOn w:val="Normal"/>
    <w:rsid w:val="00435883"/>
    <w:pPr>
      <w:spacing w:before="100" w:beforeAutospacing="1" w:after="100" w:afterAutospacing="1"/>
    </w:pPr>
    <w:rPr>
      <w:bCs w:val="0"/>
      <w:color w:val="212121"/>
      <w:sz w:val="24"/>
    </w:rPr>
  </w:style>
  <w:style w:type="paragraph" w:customStyle="1" w:styleId="codropdowntab1">
    <w:name w:val="co_dropdowntab1"/>
    <w:basedOn w:val="Normal"/>
    <w:rsid w:val="00435883"/>
    <w:pPr>
      <w:ind w:right="-150"/>
    </w:pPr>
    <w:rPr>
      <w:bCs w:val="0"/>
      <w:sz w:val="24"/>
    </w:rPr>
  </w:style>
  <w:style w:type="paragraph" w:customStyle="1" w:styleId="coclientidautocomplete1">
    <w:name w:val="co_clientid_autocomplete1"/>
    <w:basedOn w:val="Normal"/>
    <w:rsid w:val="00435883"/>
    <w:pPr>
      <w:pBdr>
        <w:top w:val="single" w:sz="6" w:space="2" w:color="BBBBBB"/>
        <w:left w:val="single" w:sz="6" w:space="2" w:color="BBBBBB"/>
        <w:bottom w:val="single" w:sz="6" w:space="2" w:color="BBBBBB"/>
        <w:right w:val="single" w:sz="6" w:space="2" w:color="BBBBBB"/>
      </w:pBdr>
      <w:shd w:val="clear" w:color="auto" w:fill="FFFFFF"/>
      <w:spacing w:before="100" w:beforeAutospacing="1" w:after="100" w:afterAutospacing="1"/>
    </w:pPr>
    <w:rPr>
      <w:bCs w:val="0"/>
      <w:sz w:val="24"/>
    </w:rPr>
  </w:style>
  <w:style w:type="paragraph" w:customStyle="1" w:styleId="coclientidcidentry1">
    <w:name w:val="co_clientid_cidentry1"/>
    <w:basedOn w:val="Normal"/>
    <w:rsid w:val="00435883"/>
    <w:pPr>
      <w:spacing w:before="100" w:beforeAutospacing="1"/>
    </w:pPr>
    <w:rPr>
      <w:bCs w:val="0"/>
      <w:sz w:val="24"/>
    </w:rPr>
  </w:style>
  <w:style w:type="paragraph" w:customStyle="1" w:styleId="codropdownarrowcollapsed2">
    <w:name w:val="co_dropdownarrowcollapsed2"/>
    <w:basedOn w:val="Normal"/>
    <w:rsid w:val="00435883"/>
    <w:pPr>
      <w:spacing w:before="450"/>
      <w:ind w:hanging="3928"/>
    </w:pPr>
    <w:rPr>
      <w:bCs w:val="0"/>
      <w:sz w:val="24"/>
    </w:rPr>
  </w:style>
  <w:style w:type="paragraph" w:customStyle="1" w:styleId="codropdownarrowexpanded2">
    <w:name w:val="co_dropdownarrowexpanded2"/>
    <w:basedOn w:val="Normal"/>
    <w:rsid w:val="00435883"/>
    <w:pPr>
      <w:spacing w:before="450"/>
      <w:ind w:hanging="3928"/>
    </w:pPr>
    <w:rPr>
      <w:bCs w:val="0"/>
      <w:sz w:val="24"/>
    </w:rPr>
  </w:style>
  <w:style w:type="paragraph" w:customStyle="1" w:styleId="codropdownarrowcollapsed3">
    <w:name w:val="co_dropdownarrowcollapsed3"/>
    <w:basedOn w:val="Normal"/>
    <w:rsid w:val="00435883"/>
    <w:pPr>
      <w:spacing w:before="450"/>
      <w:ind w:hanging="3928"/>
    </w:pPr>
    <w:rPr>
      <w:bCs w:val="0"/>
      <w:sz w:val="24"/>
    </w:rPr>
  </w:style>
  <w:style w:type="paragraph" w:customStyle="1" w:styleId="codropdownarrowexpanded3">
    <w:name w:val="co_dropdownarrowexpanded3"/>
    <w:basedOn w:val="Normal"/>
    <w:rsid w:val="00435883"/>
    <w:pPr>
      <w:spacing w:before="450"/>
      <w:ind w:hanging="3928"/>
    </w:pPr>
    <w:rPr>
      <w:bCs w:val="0"/>
      <w:sz w:val="24"/>
    </w:rPr>
  </w:style>
  <w:style w:type="paragraph" w:customStyle="1" w:styleId="coclientidcidentry2">
    <w:name w:val="co_clientid_cidentry2"/>
    <w:basedOn w:val="Normal"/>
    <w:rsid w:val="00435883"/>
    <w:pPr>
      <w:spacing w:before="100" w:beforeAutospacing="1" w:after="100" w:afterAutospacing="1"/>
    </w:pPr>
    <w:rPr>
      <w:bCs w:val="0"/>
      <w:sz w:val="24"/>
    </w:rPr>
  </w:style>
  <w:style w:type="paragraph" w:customStyle="1" w:styleId="coclientidmidentry1">
    <w:name w:val="co_clientid_midentry1"/>
    <w:basedOn w:val="Normal"/>
    <w:rsid w:val="00435883"/>
    <w:pPr>
      <w:spacing w:before="100" w:beforeAutospacing="1" w:after="100" w:afterAutospacing="1"/>
    </w:pPr>
    <w:rPr>
      <w:bCs w:val="0"/>
      <w:sz w:val="24"/>
    </w:rPr>
  </w:style>
  <w:style w:type="paragraph" w:customStyle="1" w:styleId="coclientidautocomplete2">
    <w:name w:val="co_clientid_autocomplete2"/>
    <w:basedOn w:val="Normal"/>
    <w:rsid w:val="00435883"/>
    <w:pPr>
      <w:pBdr>
        <w:top w:val="single" w:sz="2" w:space="0" w:color="BBBBBB"/>
        <w:left w:val="single" w:sz="6" w:space="0" w:color="BBBBBB"/>
        <w:bottom w:val="single" w:sz="6" w:space="0" w:color="BBBBBB"/>
        <w:right w:val="single" w:sz="6" w:space="0" w:color="BBBBBB"/>
      </w:pBdr>
      <w:spacing w:before="100" w:beforeAutospacing="1" w:after="100" w:afterAutospacing="1"/>
    </w:pPr>
    <w:rPr>
      <w:bCs w:val="0"/>
      <w:sz w:val="24"/>
    </w:rPr>
  </w:style>
  <w:style w:type="paragraph" w:customStyle="1" w:styleId="acover1">
    <w:name w:val="ac_over1"/>
    <w:basedOn w:val="Normal"/>
    <w:rsid w:val="00435883"/>
    <w:pPr>
      <w:shd w:val="clear" w:color="auto" w:fill="CBE5FE"/>
      <w:spacing w:before="100" w:beforeAutospacing="1" w:after="100" w:afterAutospacing="1"/>
    </w:pPr>
    <w:rPr>
      <w:bCs w:val="0"/>
      <w:sz w:val="24"/>
    </w:rPr>
  </w:style>
  <w:style w:type="paragraph" w:customStyle="1" w:styleId="coclientidtextbox1">
    <w:name w:val="co_clientidtextbox1"/>
    <w:basedOn w:val="Normal"/>
    <w:rsid w:val="00435883"/>
    <w:pPr>
      <w:pBdr>
        <w:top w:val="single" w:sz="6" w:space="5" w:color="777777"/>
        <w:left w:val="single" w:sz="6" w:space="2" w:color="BBBBBB"/>
        <w:bottom w:val="single" w:sz="6" w:space="5" w:color="D6D6D6"/>
        <w:right w:val="single" w:sz="6" w:space="2" w:color="BBBBBB"/>
      </w:pBdr>
      <w:spacing w:after="100" w:afterAutospacing="1"/>
    </w:pPr>
    <w:rPr>
      <w:bCs w:val="0"/>
      <w:sz w:val="21"/>
      <w:szCs w:val="21"/>
    </w:rPr>
  </w:style>
  <w:style w:type="paragraph" w:customStyle="1" w:styleId="comatteridtextbox1">
    <w:name w:val="co_matteridtextbox1"/>
    <w:basedOn w:val="Normal"/>
    <w:rsid w:val="00435883"/>
    <w:pPr>
      <w:pBdr>
        <w:top w:val="single" w:sz="6" w:space="5" w:color="777777"/>
        <w:left w:val="single" w:sz="6" w:space="2" w:color="BBBBBB"/>
        <w:bottom w:val="single" w:sz="6" w:space="5" w:color="D6D6D6"/>
        <w:right w:val="single" w:sz="6" w:space="2" w:color="BBBBBB"/>
      </w:pBdr>
      <w:spacing w:after="100" w:afterAutospacing="1"/>
    </w:pPr>
    <w:rPr>
      <w:bCs w:val="0"/>
      <w:sz w:val="21"/>
      <w:szCs w:val="21"/>
    </w:rPr>
  </w:style>
  <w:style w:type="paragraph" w:customStyle="1" w:styleId="colinkrow2">
    <w:name w:val="co_linkrow2"/>
    <w:basedOn w:val="Normal"/>
    <w:rsid w:val="00435883"/>
    <w:pPr>
      <w:spacing w:before="100" w:beforeAutospacing="1" w:after="100" w:afterAutospacing="1"/>
    </w:pPr>
    <w:rPr>
      <w:bCs w:val="0"/>
      <w:sz w:val="24"/>
    </w:rPr>
  </w:style>
  <w:style w:type="paragraph" w:customStyle="1" w:styleId="coclientidcidentry3">
    <w:name w:val="co_clientid_cidentry3"/>
    <w:basedOn w:val="Normal"/>
    <w:rsid w:val="00435883"/>
    <w:pPr>
      <w:spacing w:before="100" w:beforeAutospacing="1" w:after="100" w:afterAutospacing="1"/>
    </w:pPr>
    <w:rPr>
      <w:bCs w:val="0"/>
      <w:sz w:val="24"/>
    </w:rPr>
  </w:style>
  <w:style w:type="paragraph" w:customStyle="1" w:styleId="coclientidmidentry2">
    <w:name w:val="co_clientid_midentry2"/>
    <w:basedOn w:val="Normal"/>
    <w:rsid w:val="00435883"/>
    <w:pPr>
      <w:spacing w:before="100" w:beforeAutospacing="1" w:after="100" w:afterAutospacing="1"/>
    </w:pPr>
    <w:rPr>
      <w:bCs w:val="0"/>
      <w:sz w:val="24"/>
    </w:rPr>
  </w:style>
  <w:style w:type="paragraph" w:customStyle="1" w:styleId="coclientidcontainer1">
    <w:name w:val="co_clientid_container1"/>
    <w:basedOn w:val="Normal"/>
    <w:rsid w:val="00435883"/>
    <w:pPr>
      <w:spacing w:before="100" w:beforeAutospacing="1" w:after="240"/>
    </w:pPr>
    <w:rPr>
      <w:bCs w:val="0"/>
      <w:sz w:val="18"/>
      <w:szCs w:val="18"/>
    </w:rPr>
  </w:style>
  <w:style w:type="paragraph" w:customStyle="1" w:styleId="coclientidautocomplete3">
    <w:name w:val="co_clientid_autocomplete3"/>
    <w:basedOn w:val="Normal"/>
    <w:rsid w:val="00435883"/>
    <w:pPr>
      <w:pBdr>
        <w:top w:val="single" w:sz="2" w:space="0" w:color="BBBBBB"/>
        <w:left w:val="single" w:sz="6" w:space="0" w:color="BBBBBB"/>
        <w:bottom w:val="single" w:sz="6" w:space="0" w:color="BBBBBB"/>
        <w:right w:val="single" w:sz="6" w:space="0" w:color="BBBBBB"/>
      </w:pBdr>
      <w:spacing w:before="100" w:beforeAutospacing="1" w:after="100" w:afterAutospacing="1"/>
    </w:pPr>
    <w:rPr>
      <w:bCs w:val="0"/>
      <w:sz w:val="24"/>
    </w:rPr>
  </w:style>
  <w:style w:type="paragraph" w:customStyle="1" w:styleId="coclientidcidentry4">
    <w:name w:val="co_clientid_cidentry4"/>
    <w:basedOn w:val="Normal"/>
    <w:rsid w:val="00435883"/>
    <w:pPr>
      <w:spacing w:before="100" w:beforeAutospacing="1" w:after="100" w:afterAutospacing="1"/>
    </w:pPr>
    <w:rPr>
      <w:bCs w:val="0"/>
      <w:sz w:val="24"/>
    </w:rPr>
  </w:style>
  <w:style w:type="paragraph" w:customStyle="1" w:styleId="coclientidmidentry3">
    <w:name w:val="co_clientid_midentry3"/>
    <w:basedOn w:val="Normal"/>
    <w:rsid w:val="00435883"/>
    <w:pPr>
      <w:spacing w:before="100" w:beforeAutospacing="1" w:after="100" w:afterAutospacing="1"/>
    </w:pPr>
    <w:rPr>
      <w:bCs w:val="0"/>
      <w:sz w:val="24"/>
    </w:rPr>
  </w:style>
  <w:style w:type="paragraph" w:customStyle="1" w:styleId="coclientidcidentry5">
    <w:name w:val="co_clientid_cidentry5"/>
    <w:basedOn w:val="Normal"/>
    <w:rsid w:val="00435883"/>
    <w:pPr>
      <w:spacing w:before="100" w:beforeAutospacing="1" w:after="100" w:afterAutospacing="1"/>
    </w:pPr>
    <w:rPr>
      <w:bCs w:val="0"/>
      <w:sz w:val="24"/>
    </w:rPr>
  </w:style>
  <w:style w:type="paragraph" w:customStyle="1" w:styleId="coclientidmidentry4">
    <w:name w:val="co_clientid_midentry4"/>
    <w:basedOn w:val="Normal"/>
    <w:rsid w:val="00435883"/>
    <w:pPr>
      <w:spacing w:before="100" w:beforeAutospacing="1" w:after="100" w:afterAutospacing="1"/>
    </w:pPr>
    <w:rPr>
      <w:bCs w:val="0"/>
      <w:sz w:val="24"/>
    </w:rPr>
  </w:style>
  <w:style w:type="paragraph" w:customStyle="1" w:styleId="coclientidcidentry6">
    <w:name w:val="co_clientid_cidentry6"/>
    <w:basedOn w:val="Normal"/>
    <w:rsid w:val="00435883"/>
    <w:pPr>
      <w:spacing w:before="100" w:beforeAutospacing="1" w:after="100" w:afterAutospacing="1"/>
    </w:pPr>
    <w:rPr>
      <w:bCs w:val="0"/>
      <w:sz w:val="24"/>
    </w:rPr>
  </w:style>
  <w:style w:type="paragraph" w:customStyle="1" w:styleId="coclientidmidentry5">
    <w:name w:val="co_clientid_midentry5"/>
    <w:basedOn w:val="Normal"/>
    <w:rsid w:val="00435883"/>
    <w:pPr>
      <w:spacing w:before="100" w:beforeAutospacing="1" w:after="100" w:afterAutospacing="1"/>
    </w:pPr>
    <w:rPr>
      <w:bCs w:val="0"/>
      <w:sz w:val="24"/>
    </w:rPr>
  </w:style>
  <w:style w:type="paragraph" w:customStyle="1" w:styleId="colightboxoverlay2">
    <w:name w:val="co_lightboxoverlay2"/>
    <w:basedOn w:val="Normal"/>
    <w:rsid w:val="00435883"/>
    <w:pPr>
      <w:shd w:val="clear" w:color="auto" w:fill="FFFFFF"/>
      <w:spacing w:before="100" w:beforeAutospacing="1" w:after="100" w:afterAutospacing="1"/>
    </w:pPr>
    <w:rPr>
      <w:bCs w:val="0"/>
      <w:sz w:val="24"/>
    </w:rPr>
  </w:style>
  <w:style w:type="paragraph" w:customStyle="1" w:styleId="colightboxoverlay3">
    <w:name w:val="co_lightboxoverlay3"/>
    <w:basedOn w:val="Normal"/>
    <w:rsid w:val="00435883"/>
    <w:pPr>
      <w:shd w:val="clear" w:color="auto" w:fill="FFFFFF"/>
      <w:spacing w:before="100" w:beforeAutospacing="1" w:after="100" w:afterAutospacing="1"/>
    </w:pPr>
    <w:rPr>
      <w:bCs w:val="0"/>
      <w:sz w:val="24"/>
    </w:rPr>
  </w:style>
  <w:style w:type="paragraph" w:customStyle="1" w:styleId="cooverlayboxtopleft1">
    <w:name w:val="co_overlaybox_topleft1"/>
    <w:basedOn w:val="Normal"/>
    <w:rsid w:val="00435883"/>
    <w:pPr>
      <w:spacing w:before="100" w:beforeAutospacing="1" w:after="100" w:afterAutospacing="1"/>
    </w:pPr>
    <w:rPr>
      <w:bCs w:val="0"/>
      <w:color w:val="777777"/>
      <w:sz w:val="21"/>
      <w:szCs w:val="21"/>
    </w:rPr>
  </w:style>
  <w:style w:type="paragraph" w:customStyle="1" w:styleId="cooverlayboxtopleft2">
    <w:name w:val="co_overlaybox_topleft2"/>
    <w:basedOn w:val="Normal"/>
    <w:rsid w:val="00435883"/>
    <w:pPr>
      <w:spacing w:before="100" w:beforeAutospacing="1" w:after="100" w:afterAutospacing="1"/>
    </w:pPr>
    <w:rPr>
      <w:bCs w:val="0"/>
      <w:color w:val="777777"/>
      <w:sz w:val="21"/>
      <w:szCs w:val="21"/>
    </w:rPr>
  </w:style>
  <w:style w:type="paragraph" w:customStyle="1" w:styleId="cooverlayboxtopleft3">
    <w:name w:val="co_overlaybox_topleft3"/>
    <w:basedOn w:val="Normal"/>
    <w:rsid w:val="00435883"/>
    <w:pPr>
      <w:spacing w:before="100" w:beforeAutospacing="1" w:after="100" w:afterAutospacing="1"/>
    </w:pPr>
    <w:rPr>
      <w:bCs w:val="0"/>
      <w:color w:val="777777"/>
      <w:sz w:val="21"/>
      <w:szCs w:val="21"/>
    </w:rPr>
  </w:style>
  <w:style w:type="paragraph" w:customStyle="1" w:styleId="cooverlayboxtopleft4">
    <w:name w:val="co_overlaybox_topleft4"/>
    <w:basedOn w:val="Normal"/>
    <w:rsid w:val="00435883"/>
    <w:pPr>
      <w:spacing w:before="100" w:beforeAutospacing="1" w:after="100" w:afterAutospacing="1"/>
    </w:pPr>
    <w:rPr>
      <w:bCs w:val="0"/>
      <w:color w:val="777777"/>
      <w:sz w:val="21"/>
      <w:szCs w:val="21"/>
    </w:rPr>
  </w:style>
  <w:style w:type="paragraph" w:customStyle="1" w:styleId="cooverlayboxtopleft5">
    <w:name w:val="co_overlaybox_topleft5"/>
    <w:basedOn w:val="Normal"/>
    <w:rsid w:val="00435883"/>
    <w:pPr>
      <w:spacing w:before="100" w:beforeAutospacing="1" w:after="100" w:afterAutospacing="1"/>
    </w:pPr>
    <w:rPr>
      <w:bCs w:val="0"/>
      <w:color w:val="777777"/>
      <w:sz w:val="21"/>
      <w:szCs w:val="21"/>
    </w:rPr>
  </w:style>
  <w:style w:type="paragraph" w:customStyle="1" w:styleId="cooverlayboxcontent4">
    <w:name w:val="co_overlaybox_content4"/>
    <w:basedOn w:val="Normal"/>
    <w:rsid w:val="00435883"/>
    <w:rPr>
      <w:bCs w:val="0"/>
      <w:sz w:val="18"/>
      <w:szCs w:val="18"/>
    </w:rPr>
  </w:style>
  <w:style w:type="paragraph" w:customStyle="1" w:styleId="cooverlayboxcontent5">
    <w:name w:val="co_overlaybox_content5"/>
    <w:basedOn w:val="Normal"/>
    <w:rsid w:val="00435883"/>
    <w:rPr>
      <w:bCs w:val="0"/>
      <w:sz w:val="18"/>
      <w:szCs w:val="18"/>
    </w:rPr>
  </w:style>
  <w:style w:type="paragraph" w:customStyle="1" w:styleId="cooverlayboxcontent6">
    <w:name w:val="co_overlaybox_content6"/>
    <w:basedOn w:val="Normal"/>
    <w:rsid w:val="00435883"/>
    <w:rPr>
      <w:bCs w:val="0"/>
      <w:sz w:val="18"/>
      <w:szCs w:val="18"/>
    </w:rPr>
  </w:style>
  <w:style w:type="paragraph" w:customStyle="1" w:styleId="coclientidcidentry7">
    <w:name w:val="co_clientid_cidentry7"/>
    <w:basedOn w:val="Normal"/>
    <w:rsid w:val="00435883"/>
    <w:pPr>
      <w:spacing w:before="100" w:beforeAutospacing="1"/>
    </w:pPr>
    <w:rPr>
      <w:bCs w:val="0"/>
      <w:sz w:val="24"/>
    </w:rPr>
  </w:style>
  <w:style w:type="paragraph" w:customStyle="1" w:styleId="coclientreportingpracticeareaentry1">
    <w:name w:val="co_clientreporting_practiceareaentry1"/>
    <w:basedOn w:val="Normal"/>
    <w:rsid w:val="00435883"/>
    <w:pPr>
      <w:spacing w:after="100" w:afterAutospacing="1"/>
    </w:pPr>
    <w:rPr>
      <w:bCs w:val="0"/>
      <w:sz w:val="24"/>
    </w:rPr>
  </w:style>
  <w:style w:type="paragraph" w:customStyle="1" w:styleId="cooverlayboxsubheader1">
    <w:name w:val="co_overlaybox_subheader1"/>
    <w:basedOn w:val="Normal"/>
    <w:rsid w:val="00435883"/>
    <w:pPr>
      <w:pBdr>
        <w:bottom w:val="single" w:sz="6" w:space="4" w:color="D6D6D6"/>
      </w:pBdr>
      <w:shd w:val="clear" w:color="auto" w:fill="F5F5F5"/>
      <w:spacing w:after="150"/>
      <w:ind w:left="-180" w:right="-180"/>
    </w:pPr>
    <w:rPr>
      <w:bCs w:val="0"/>
      <w:sz w:val="24"/>
    </w:rPr>
  </w:style>
  <w:style w:type="paragraph" w:customStyle="1" w:styleId="corecentresearchitemcategory1">
    <w:name w:val="co_recentresearchitemcategory1"/>
    <w:basedOn w:val="Normal"/>
    <w:rsid w:val="00435883"/>
    <w:pPr>
      <w:spacing w:before="100" w:beforeAutospacing="1" w:after="100" w:afterAutospacing="1"/>
    </w:pPr>
    <w:rPr>
      <w:bCs w:val="0"/>
      <w:sz w:val="24"/>
    </w:rPr>
  </w:style>
  <w:style w:type="paragraph" w:customStyle="1" w:styleId="corecentresearchitemdocument1">
    <w:name w:val="co_recentresearchitemdocument1"/>
    <w:basedOn w:val="Normal"/>
    <w:rsid w:val="00435883"/>
    <w:pPr>
      <w:spacing w:before="100" w:beforeAutospacing="1" w:after="100" w:afterAutospacing="1"/>
    </w:pPr>
    <w:rPr>
      <w:bCs w:val="0"/>
      <w:sz w:val="24"/>
    </w:rPr>
  </w:style>
  <w:style w:type="paragraph" w:customStyle="1" w:styleId="corecentresearchitemsearch1">
    <w:name w:val="co_recentresearchitemsearch1"/>
    <w:basedOn w:val="Normal"/>
    <w:rsid w:val="00435883"/>
    <w:pPr>
      <w:spacing w:before="100" w:beforeAutospacing="1" w:after="100" w:afterAutospacing="1"/>
    </w:pPr>
    <w:rPr>
      <w:bCs w:val="0"/>
      <w:sz w:val="24"/>
    </w:rPr>
  </w:style>
  <w:style w:type="paragraph" w:customStyle="1" w:styleId="corecentresearchitemmatterbenchmark1">
    <w:name w:val="co_recentresearchitemmatterbenchmark1"/>
    <w:basedOn w:val="Normal"/>
    <w:rsid w:val="00435883"/>
    <w:pPr>
      <w:spacing w:before="100" w:beforeAutospacing="1" w:after="100" w:afterAutospacing="1"/>
    </w:pPr>
    <w:rPr>
      <w:bCs w:val="0"/>
      <w:sz w:val="24"/>
    </w:rPr>
  </w:style>
  <w:style w:type="paragraph" w:customStyle="1" w:styleId="cooverlayboxcontent7">
    <w:name w:val="co_overlaybox_content7"/>
    <w:basedOn w:val="Normal"/>
    <w:rsid w:val="00435883"/>
    <w:rPr>
      <w:bCs w:val="0"/>
      <w:sz w:val="26"/>
      <w:szCs w:val="26"/>
    </w:rPr>
  </w:style>
  <w:style w:type="paragraph" w:customStyle="1" w:styleId="colightboxmd1">
    <w:name w:val="co_lightbox_md1"/>
    <w:basedOn w:val="Normal"/>
    <w:rsid w:val="00435883"/>
    <w:pPr>
      <w:spacing w:before="100" w:beforeAutospacing="1" w:after="100" w:afterAutospacing="1"/>
    </w:pPr>
    <w:rPr>
      <w:bCs w:val="0"/>
      <w:sz w:val="24"/>
    </w:rPr>
  </w:style>
  <w:style w:type="paragraph" w:customStyle="1" w:styleId="coclientidtimeoutlink1">
    <w:name w:val="co_clientid_timeoutlink1"/>
    <w:basedOn w:val="Normal"/>
    <w:rsid w:val="00435883"/>
    <w:pPr>
      <w:spacing w:before="100" w:beforeAutospacing="1" w:after="100" w:afterAutospacing="1"/>
    </w:pPr>
    <w:rPr>
      <w:b/>
      <w:sz w:val="24"/>
    </w:rPr>
  </w:style>
  <w:style w:type="paragraph" w:customStyle="1" w:styleId="coclientidtimeoutlinkdescription1">
    <w:name w:val="co_clientid_timeoutlinkdescription1"/>
    <w:basedOn w:val="Normal"/>
    <w:rsid w:val="00435883"/>
    <w:pPr>
      <w:spacing w:before="100" w:beforeAutospacing="1" w:after="120"/>
    </w:pPr>
    <w:rPr>
      <w:bCs w:val="0"/>
      <w:sz w:val="24"/>
    </w:rPr>
  </w:style>
  <w:style w:type="paragraph" w:customStyle="1" w:styleId="coclientidsessiontimeoutlinkslistitem1">
    <w:name w:val="co_clientidsessiontimeoutlinks_listitem1"/>
    <w:basedOn w:val="Normal"/>
    <w:rsid w:val="00435883"/>
    <w:pPr>
      <w:spacing w:before="100" w:beforeAutospacing="1" w:after="240"/>
    </w:pPr>
    <w:rPr>
      <w:bCs w:val="0"/>
      <w:sz w:val="24"/>
    </w:rPr>
  </w:style>
  <w:style w:type="paragraph" w:customStyle="1" w:styleId="coindentcell1">
    <w:name w:val="co_indentcell1"/>
    <w:basedOn w:val="Normal"/>
    <w:rsid w:val="00435883"/>
    <w:pPr>
      <w:spacing w:before="240" w:after="100" w:afterAutospacing="1"/>
    </w:pPr>
    <w:rPr>
      <w:bCs w:val="0"/>
      <w:sz w:val="24"/>
    </w:rPr>
  </w:style>
  <w:style w:type="paragraph" w:customStyle="1" w:styleId="coindentcelldouble1">
    <w:name w:val="co_indentcelldouble1"/>
    <w:basedOn w:val="Normal"/>
    <w:rsid w:val="00435883"/>
    <w:pPr>
      <w:spacing w:before="240" w:after="100" w:afterAutospacing="1"/>
    </w:pPr>
    <w:rPr>
      <w:bCs w:val="0"/>
      <w:sz w:val="24"/>
    </w:rPr>
  </w:style>
  <w:style w:type="paragraph" w:customStyle="1" w:styleId="copricinglast1">
    <w:name w:val="co_pricinglast1"/>
    <w:basedOn w:val="Normal"/>
    <w:rsid w:val="00435883"/>
    <w:pPr>
      <w:pBdr>
        <w:left w:val="single" w:sz="6" w:space="0" w:color="CCCCCC"/>
      </w:pBdr>
      <w:spacing w:before="100" w:beforeAutospacing="1" w:after="100" w:afterAutospacing="1"/>
    </w:pPr>
    <w:rPr>
      <w:bCs w:val="0"/>
      <w:sz w:val="24"/>
    </w:rPr>
  </w:style>
  <w:style w:type="paragraph" w:customStyle="1" w:styleId="cochargesheading1">
    <w:name w:val="co_chargesheading1"/>
    <w:basedOn w:val="Normal"/>
    <w:rsid w:val="00435883"/>
    <w:pPr>
      <w:spacing w:before="100" w:beforeAutospacing="1" w:after="100" w:afterAutospacing="1"/>
    </w:pPr>
    <w:rPr>
      <w:bCs w:val="0"/>
      <w:sz w:val="24"/>
    </w:rPr>
  </w:style>
  <w:style w:type="paragraph" w:customStyle="1" w:styleId="costaticpagecontent1">
    <w:name w:val="co_staticpagecontent1"/>
    <w:basedOn w:val="Normal"/>
    <w:rsid w:val="00435883"/>
    <w:pPr>
      <w:spacing w:before="100" w:beforeAutospacing="1" w:after="100" w:afterAutospacing="1"/>
    </w:pPr>
    <w:rPr>
      <w:bCs w:val="0"/>
      <w:sz w:val="18"/>
      <w:szCs w:val="18"/>
    </w:rPr>
  </w:style>
  <w:style w:type="paragraph" w:customStyle="1" w:styleId="coinfobox8">
    <w:name w:val="co_infobox8"/>
    <w:basedOn w:val="Normal"/>
    <w:rsid w:val="00435883"/>
    <w:pPr>
      <w:pBdr>
        <w:top w:val="single" w:sz="6" w:space="0" w:color="FEDA73"/>
        <w:left w:val="single" w:sz="6" w:space="0" w:color="FEDA73"/>
        <w:bottom w:val="single" w:sz="6" w:space="0" w:color="FEDA73"/>
        <w:right w:val="single" w:sz="6" w:space="0" w:color="FEDA73"/>
      </w:pBdr>
      <w:shd w:val="clear" w:color="auto" w:fill="FCFBDF"/>
      <w:ind w:left="300" w:right="300"/>
    </w:pPr>
    <w:rPr>
      <w:bCs w:val="0"/>
      <w:sz w:val="18"/>
      <w:szCs w:val="18"/>
    </w:rPr>
  </w:style>
  <w:style w:type="paragraph" w:customStyle="1" w:styleId="cocontactsaddedcontactsinput2">
    <w:name w:val="co_contacts_addedcontactsinput2"/>
    <w:basedOn w:val="Normal"/>
    <w:rsid w:val="00435883"/>
    <w:pPr>
      <w:pBdr>
        <w:top w:val="single" w:sz="6" w:space="2" w:color="777777"/>
        <w:left w:val="single" w:sz="6" w:space="2" w:color="BBBBBB"/>
        <w:bottom w:val="single" w:sz="6" w:space="2" w:color="BBBBBB"/>
        <w:right w:val="single" w:sz="6" w:space="2" w:color="BBBBBB"/>
      </w:pBdr>
    </w:pPr>
    <w:rPr>
      <w:bCs w:val="0"/>
      <w:sz w:val="24"/>
    </w:rPr>
  </w:style>
  <w:style w:type="paragraph" w:customStyle="1" w:styleId="cofolderingsharefoldercontacts1">
    <w:name w:val="co_folderingsharefolder_contacts1"/>
    <w:basedOn w:val="Normal"/>
    <w:rsid w:val="00435883"/>
    <w:pPr>
      <w:spacing w:before="100" w:beforeAutospacing="1" w:after="100" w:afterAutospacing="1" w:line="450" w:lineRule="atLeast"/>
      <w:ind w:right="300"/>
    </w:pPr>
    <w:rPr>
      <w:b/>
      <w:sz w:val="17"/>
      <w:szCs w:val="17"/>
    </w:rPr>
  </w:style>
  <w:style w:type="paragraph" w:customStyle="1" w:styleId="cocontactsaddedcontactsinput3">
    <w:name w:val="co_contacts_addedcontactsinput3"/>
    <w:basedOn w:val="Normal"/>
    <w:rsid w:val="00435883"/>
    <w:pPr>
      <w:pBdr>
        <w:top w:val="single" w:sz="6" w:space="2" w:color="777777"/>
        <w:left w:val="single" w:sz="6" w:space="2" w:color="BBBBBB"/>
        <w:bottom w:val="single" w:sz="6" w:space="2" w:color="BBBBBB"/>
        <w:right w:val="single" w:sz="6" w:space="2" w:color="BBBBBB"/>
      </w:pBdr>
    </w:pPr>
    <w:rPr>
      <w:bCs w:val="0"/>
      <w:sz w:val="24"/>
    </w:rPr>
  </w:style>
  <w:style w:type="paragraph" w:customStyle="1" w:styleId="cocontactsautosuggestul1">
    <w:name w:val="co_contacts_autosuggest&gt;ul1"/>
    <w:basedOn w:val="Normal"/>
    <w:rsid w:val="00435883"/>
    <w:rPr>
      <w:bCs w:val="0"/>
      <w:sz w:val="24"/>
    </w:rPr>
  </w:style>
  <w:style w:type="paragraph" w:customStyle="1" w:styleId="codetailstabletablebody1">
    <w:name w:val="co_detailstable_tablebody1"/>
    <w:basedOn w:val="Normal"/>
    <w:rsid w:val="00435883"/>
    <w:pPr>
      <w:spacing w:before="100" w:beforeAutospacing="1" w:after="100" w:afterAutospacing="1"/>
    </w:pPr>
    <w:rPr>
      <w:bCs w:val="0"/>
      <w:sz w:val="24"/>
    </w:rPr>
  </w:style>
  <w:style w:type="paragraph" w:customStyle="1" w:styleId="cooverlayboxcontent8">
    <w:name w:val="co_overlaybox_content8"/>
    <w:basedOn w:val="Normal"/>
    <w:rsid w:val="00435883"/>
    <w:rPr>
      <w:bCs w:val="0"/>
      <w:sz w:val="18"/>
      <w:szCs w:val="18"/>
    </w:rPr>
  </w:style>
  <w:style w:type="paragraph" w:customStyle="1" w:styleId="cooverlayboxleftcontent1">
    <w:name w:val="co_overlaybox_leftcontent1"/>
    <w:basedOn w:val="Normal"/>
    <w:rsid w:val="00435883"/>
    <w:pPr>
      <w:pBdr>
        <w:top w:val="single" w:sz="6" w:space="0" w:color="BBBBBB"/>
        <w:left w:val="single" w:sz="2" w:space="0" w:color="BBBBBB"/>
        <w:bottom w:val="single" w:sz="6" w:space="0" w:color="BBBBBB"/>
        <w:right w:val="single" w:sz="6" w:space="0" w:color="BBBBBB"/>
      </w:pBdr>
      <w:shd w:val="clear" w:color="auto" w:fill="E7EFF8"/>
    </w:pPr>
    <w:rPr>
      <w:bCs w:val="0"/>
      <w:sz w:val="24"/>
    </w:rPr>
  </w:style>
  <w:style w:type="paragraph" w:customStyle="1" w:styleId="cofolderingtreescrollwrapper1">
    <w:name w:val="co_foldering_tree_scrollwrapper1"/>
    <w:basedOn w:val="Normal"/>
    <w:rsid w:val="00435883"/>
    <w:pPr>
      <w:pBdr>
        <w:bottom w:val="single" w:sz="2" w:space="8" w:color="E4E7E8"/>
      </w:pBdr>
    </w:pPr>
    <w:rPr>
      <w:bCs w:val="0"/>
      <w:sz w:val="24"/>
    </w:rPr>
  </w:style>
  <w:style w:type="paragraph" w:customStyle="1" w:styleId="cotree1">
    <w:name w:val="co_tree1"/>
    <w:basedOn w:val="Normal"/>
    <w:rsid w:val="00435883"/>
    <w:pPr>
      <w:spacing w:before="100" w:beforeAutospacing="1" w:after="100" w:afterAutospacing="1"/>
    </w:pPr>
    <w:rPr>
      <w:bCs w:val="0"/>
      <w:sz w:val="24"/>
    </w:rPr>
  </w:style>
  <w:style w:type="paragraph" w:customStyle="1" w:styleId="cosortascending1">
    <w:name w:val="co_sortascending1"/>
    <w:basedOn w:val="Normal"/>
    <w:rsid w:val="00435883"/>
    <w:pPr>
      <w:spacing w:before="100" w:beforeAutospacing="1" w:after="100" w:afterAutospacing="1"/>
    </w:pPr>
    <w:rPr>
      <w:bCs w:val="0"/>
      <w:sz w:val="24"/>
    </w:rPr>
  </w:style>
  <w:style w:type="paragraph" w:customStyle="1" w:styleId="cosortdescending1">
    <w:name w:val="co_sortdescending1"/>
    <w:basedOn w:val="Normal"/>
    <w:rsid w:val="00435883"/>
    <w:pPr>
      <w:spacing w:before="100" w:beforeAutospacing="1" w:after="100" w:afterAutospacing="1"/>
    </w:pPr>
    <w:rPr>
      <w:bCs w:val="0"/>
      <w:sz w:val="24"/>
    </w:rPr>
  </w:style>
  <w:style w:type="paragraph" w:customStyle="1" w:styleId="coinfobox9">
    <w:name w:val="co_infobox9"/>
    <w:basedOn w:val="Normal"/>
    <w:rsid w:val="00435883"/>
    <w:pPr>
      <w:pBdr>
        <w:top w:val="single" w:sz="2" w:space="0" w:color="FEDA73"/>
        <w:left w:val="single" w:sz="6" w:space="0" w:color="FEDA73"/>
        <w:bottom w:val="single" w:sz="6" w:space="0" w:color="FEDA73"/>
        <w:right w:val="single" w:sz="6" w:space="0" w:color="FEDA73"/>
      </w:pBdr>
      <w:shd w:val="clear" w:color="auto" w:fill="FCFBDF"/>
      <w:spacing w:before="100" w:beforeAutospacing="1" w:after="100" w:afterAutospacing="1"/>
    </w:pPr>
    <w:rPr>
      <w:bCs w:val="0"/>
      <w:sz w:val="18"/>
      <w:szCs w:val="18"/>
    </w:rPr>
  </w:style>
  <w:style w:type="paragraph" w:customStyle="1" w:styleId="coinfobox10">
    <w:name w:val="co_infobox10"/>
    <w:basedOn w:val="Normal"/>
    <w:rsid w:val="00435883"/>
    <w:pPr>
      <w:pBdr>
        <w:top w:val="single" w:sz="2" w:space="0" w:color="FEDA73"/>
        <w:left w:val="single" w:sz="6" w:space="0" w:color="FEDA73"/>
        <w:bottom w:val="single" w:sz="6" w:space="0" w:color="FEDA73"/>
        <w:right w:val="single" w:sz="6" w:space="0" w:color="FEDA73"/>
      </w:pBdr>
      <w:shd w:val="clear" w:color="auto" w:fill="FCFBDF"/>
      <w:spacing w:before="100" w:beforeAutospacing="1" w:after="100" w:afterAutospacing="1"/>
    </w:pPr>
    <w:rPr>
      <w:bCs w:val="0"/>
      <w:sz w:val="18"/>
      <w:szCs w:val="18"/>
    </w:rPr>
  </w:style>
  <w:style w:type="paragraph" w:customStyle="1" w:styleId="coinfobox11">
    <w:name w:val="co_infobox11"/>
    <w:basedOn w:val="Normal"/>
    <w:rsid w:val="00435883"/>
    <w:pPr>
      <w:pBdr>
        <w:top w:val="single" w:sz="2" w:space="0" w:color="FEDA73"/>
        <w:left w:val="single" w:sz="6" w:space="0" w:color="FEDA73"/>
        <w:bottom w:val="single" w:sz="6" w:space="0" w:color="FEDA73"/>
        <w:right w:val="single" w:sz="6" w:space="0" w:color="FEDA73"/>
      </w:pBdr>
      <w:shd w:val="clear" w:color="auto" w:fill="FCFBDF"/>
      <w:spacing w:before="100" w:beforeAutospacing="1" w:after="100" w:afterAutospacing="1"/>
    </w:pPr>
    <w:rPr>
      <w:bCs w:val="0"/>
      <w:sz w:val="18"/>
      <w:szCs w:val="18"/>
    </w:rPr>
  </w:style>
  <w:style w:type="paragraph" w:customStyle="1" w:styleId="coinfoboxmessage7">
    <w:name w:val="co_infobox_message7"/>
    <w:basedOn w:val="Normal"/>
    <w:rsid w:val="00435883"/>
    <w:pPr>
      <w:spacing w:before="100" w:beforeAutospacing="1" w:after="100" w:afterAutospacing="1"/>
    </w:pPr>
    <w:rPr>
      <w:bCs w:val="0"/>
      <w:sz w:val="24"/>
    </w:rPr>
  </w:style>
  <w:style w:type="paragraph" w:customStyle="1" w:styleId="cohelpicon1">
    <w:name w:val="co_helpicon1"/>
    <w:basedOn w:val="Normal"/>
    <w:rsid w:val="00435883"/>
    <w:pPr>
      <w:spacing w:before="100" w:beforeAutospacing="1" w:after="100" w:afterAutospacing="1"/>
      <w:ind w:hanging="3928"/>
      <w:textAlignment w:val="top"/>
    </w:pPr>
    <w:rPr>
      <w:bCs w:val="0"/>
      <w:sz w:val="24"/>
    </w:rPr>
  </w:style>
  <w:style w:type="paragraph" w:customStyle="1" w:styleId="cosharefoldershare1">
    <w:name w:val="co_sharefolder_share1"/>
    <w:basedOn w:val="Normal"/>
    <w:rsid w:val="00435883"/>
    <w:pPr>
      <w:pBdr>
        <w:top w:val="single" w:sz="6" w:space="0" w:color="CCCCCC"/>
        <w:left w:val="single" w:sz="6" w:space="0" w:color="CCCCCC"/>
        <w:bottom w:val="single" w:sz="6" w:space="0" w:color="CCCCCC"/>
        <w:right w:val="single" w:sz="6" w:space="0" w:color="CCCCCC"/>
      </w:pBdr>
      <w:spacing w:before="285" w:after="100" w:afterAutospacing="1" w:line="3450" w:lineRule="atLeast"/>
      <w:jc w:val="center"/>
    </w:pPr>
    <w:rPr>
      <w:bCs w:val="0"/>
      <w:sz w:val="24"/>
    </w:rPr>
  </w:style>
  <w:style w:type="paragraph" w:customStyle="1" w:styleId="cosharefoldercollaboratorsandrolesform1">
    <w:name w:val="co_sharefolder_collaboratorsandrolesform1"/>
    <w:basedOn w:val="Normal"/>
    <w:rsid w:val="00435883"/>
    <w:pPr>
      <w:pBdr>
        <w:top w:val="single" w:sz="6" w:space="0" w:color="CCCCCC"/>
      </w:pBdr>
      <w:shd w:val="clear" w:color="auto" w:fill="FFFFFF"/>
      <w:spacing w:before="100" w:beforeAutospacing="1" w:after="100" w:afterAutospacing="1"/>
    </w:pPr>
    <w:rPr>
      <w:bCs w:val="0"/>
      <w:sz w:val="24"/>
    </w:rPr>
  </w:style>
  <w:style w:type="paragraph" w:customStyle="1" w:styleId="coscrollwrapper1">
    <w:name w:val="co_scrollwrapper1"/>
    <w:basedOn w:val="Normal"/>
    <w:rsid w:val="00435883"/>
    <w:pPr>
      <w:pBdr>
        <w:top w:val="single" w:sz="6" w:space="0" w:color="CCCCCC"/>
      </w:pBdr>
      <w:spacing w:before="100" w:beforeAutospacing="1" w:after="100" w:afterAutospacing="1"/>
    </w:pPr>
    <w:rPr>
      <w:bCs w:val="0"/>
      <w:sz w:val="24"/>
    </w:rPr>
  </w:style>
  <w:style w:type="paragraph" w:customStyle="1" w:styleId="coscrollwrapper2">
    <w:name w:val="co_scrollwrapper2"/>
    <w:basedOn w:val="Normal"/>
    <w:rsid w:val="00435883"/>
    <w:pPr>
      <w:pBdr>
        <w:top w:val="single" w:sz="6" w:space="0" w:color="CCCCCC"/>
        <w:bottom w:val="single" w:sz="6" w:space="0" w:color="CCCCCC"/>
      </w:pBdr>
      <w:spacing w:before="100" w:beforeAutospacing="1" w:after="100" w:afterAutospacing="1"/>
    </w:pPr>
    <w:rPr>
      <w:bCs w:val="0"/>
      <w:sz w:val="24"/>
    </w:rPr>
  </w:style>
  <w:style w:type="paragraph" w:customStyle="1" w:styleId="cosharefolderusername1">
    <w:name w:val="co_sharefolder_username1"/>
    <w:basedOn w:val="Normal"/>
    <w:rsid w:val="00435883"/>
    <w:pPr>
      <w:spacing w:before="100" w:beforeAutospacing="1" w:after="100" w:afterAutospacing="1"/>
    </w:pPr>
    <w:rPr>
      <w:bCs w:val="0"/>
      <w:sz w:val="24"/>
    </w:rPr>
  </w:style>
  <w:style w:type="paragraph" w:customStyle="1" w:styleId="codefaultbtn1">
    <w:name w:val="co_defaultbtn1"/>
    <w:basedOn w:val="Normal"/>
    <w:rsid w:val="00435883"/>
    <w:pPr>
      <w:pBdr>
        <w:top w:val="single" w:sz="6" w:space="0" w:color="D6D6D6"/>
        <w:left w:val="single" w:sz="6" w:space="0" w:color="D6D6D6"/>
        <w:bottom w:val="single" w:sz="6" w:space="0" w:color="D6D6D6"/>
        <w:right w:val="single" w:sz="6" w:space="0" w:color="D6D6D6"/>
      </w:pBdr>
      <w:shd w:val="clear" w:color="auto" w:fill="F6F6F6"/>
      <w:spacing w:before="100" w:beforeAutospacing="1" w:after="100" w:afterAutospacing="1"/>
      <w:ind w:left="150"/>
    </w:pPr>
    <w:rPr>
      <w:bCs w:val="0"/>
      <w:color w:val="145DA4"/>
      <w:sz w:val="24"/>
    </w:rPr>
  </w:style>
  <w:style w:type="paragraph" w:customStyle="1" w:styleId="coprimarybtn1">
    <w:name w:val="co_primarybtn1"/>
    <w:basedOn w:val="Normal"/>
    <w:rsid w:val="00435883"/>
    <w:pPr>
      <w:spacing w:after="100" w:afterAutospacing="1"/>
    </w:pPr>
    <w:rPr>
      <w:bCs w:val="0"/>
      <w:sz w:val="24"/>
    </w:rPr>
  </w:style>
  <w:style w:type="paragraph" w:customStyle="1" w:styleId="coinfobox12">
    <w:name w:val="co_infobox12"/>
    <w:basedOn w:val="Normal"/>
    <w:rsid w:val="00435883"/>
    <w:pPr>
      <w:pBdr>
        <w:top w:val="single" w:sz="6" w:space="0" w:color="FEDA73"/>
        <w:left w:val="single" w:sz="6" w:space="0" w:color="FEDA73"/>
        <w:bottom w:val="single" w:sz="6" w:space="0" w:color="FEDA73"/>
        <w:right w:val="single" w:sz="6" w:space="0" w:color="FEDA73"/>
      </w:pBdr>
      <w:shd w:val="clear" w:color="auto" w:fill="FCFBDF"/>
      <w:spacing w:before="100" w:beforeAutospacing="1" w:after="100" w:afterAutospacing="1"/>
    </w:pPr>
    <w:rPr>
      <w:bCs w:val="0"/>
      <w:sz w:val="18"/>
      <w:szCs w:val="18"/>
    </w:rPr>
  </w:style>
  <w:style w:type="paragraph" w:customStyle="1" w:styleId="cocontactsmessage1">
    <w:name w:val="co_contacts_message1"/>
    <w:basedOn w:val="Normal"/>
    <w:rsid w:val="00435883"/>
    <w:pPr>
      <w:spacing w:before="100" w:beforeAutospacing="1" w:after="100" w:afterAutospacing="1"/>
    </w:pPr>
    <w:rPr>
      <w:bCs w:val="0"/>
      <w:color w:val="979797"/>
      <w:szCs w:val="20"/>
    </w:rPr>
  </w:style>
  <w:style w:type="paragraph" w:customStyle="1" w:styleId="cocontactsmessage2">
    <w:name w:val="co_contacts_message2"/>
    <w:basedOn w:val="Normal"/>
    <w:rsid w:val="00435883"/>
    <w:pPr>
      <w:spacing w:before="100" w:beforeAutospacing="1" w:after="100" w:afterAutospacing="1"/>
    </w:pPr>
    <w:rPr>
      <w:bCs w:val="0"/>
      <w:color w:val="979797"/>
      <w:szCs w:val="20"/>
    </w:rPr>
  </w:style>
  <w:style w:type="paragraph" w:customStyle="1" w:styleId="cooverlayboxcontent9">
    <w:name w:val="co_overlaybox_content9"/>
    <w:basedOn w:val="Normal"/>
    <w:rsid w:val="00435883"/>
    <w:pPr>
      <w:pBdr>
        <w:top w:val="single" w:sz="6" w:space="0" w:color="CCCCCC"/>
        <w:bottom w:val="single" w:sz="6" w:space="0" w:color="CCCCCC"/>
      </w:pBdr>
    </w:pPr>
    <w:rPr>
      <w:bCs w:val="0"/>
      <w:szCs w:val="20"/>
    </w:rPr>
  </w:style>
  <w:style w:type="paragraph" w:customStyle="1" w:styleId="cooverlayboxcontent10">
    <w:name w:val="co_overlaybox_content10"/>
    <w:basedOn w:val="Normal"/>
    <w:rsid w:val="00435883"/>
    <w:pPr>
      <w:pBdr>
        <w:top w:val="single" w:sz="6" w:space="0" w:color="CCCCCC"/>
        <w:bottom w:val="single" w:sz="6" w:space="0" w:color="CCCCCC"/>
      </w:pBdr>
    </w:pPr>
    <w:rPr>
      <w:bCs w:val="0"/>
      <w:szCs w:val="20"/>
    </w:rPr>
  </w:style>
  <w:style w:type="paragraph" w:customStyle="1" w:styleId="cooverlayboxcontent11">
    <w:name w:val="co_overlaybox_content11"/>
    <w:basedOn w:val="Normal"/>
    <w:rsid w:val="00435883"/>
    <w:pPr>
      <w:pBdr>
        <w:top w:val="single" w:sz="6" w:space="0" w:color="CCCCCC"/>
        <w:bottom w:val="single" w:sz="6" w:space="0" w:color="CCCCCC"/>
      </w:pBdr>
    </w:pPr>
    <w:rPr>
      <w:bCs w:val="0"/>
      <w:szCs w:val="20"/>
    </w:rPr>
  </w:style>
  <w:style w:type="paragraph" w:customStyle="1" w:styleId="cooverlayboxcontent12">
    <w:name w:val="co_overlaybox_content12"/>
    <w:basedOn w:val="Normal"/>
    <w:rsid w:val="00435883"/>
    <w:pPr>
      <w:pBdr>
        <w:top w:val="single" w:sz="6" w:space="0" w:color="CCCCCC"/>
        <w:bottom w:val="single" w:sz="6" w:space="0" w:color="CCCCCC"/>
      </w:pBdr>
    </w:pPr>
    <w:rPr>
      <w:bCs w:val="0"/>
      <w:szCs w:val="20"/>
    </w:rPr>
  </w:style>
  <w:style w:type="paragraph" w:customStyle="1" w:styleId="cooverlayboxtopleft6">
    <w:name w:val="co_overlaybox_topleft6"/>
    <w:basedOn w:val="Normal"/>
    <w:rsid w:val="00435883"/>
    <w:pPr>
      <w:shd w:val="clear" w:color="auto" w:fill="EEEEEE"/>
      <w:spacing w:before="100" w:beforeAutospacing="1" w:after="100" w:afterAutospacing="1"/>
    </w:pPr>
    <w:rPr>
      <w:bCs w:val="0"/>
      <w:color w:val="777777"/>
      <w:sz w:val="21"/>
      <w:szCs w:val="21"/>
    </w:rPr>
  </w:style>
  <w:style w:type="paragraph" w:customStyle="1" w:styleId="cooverlayboxtopleft7">
    <w:name w:val="co_overlaybox_topleft7"/>
    <w:basedOn w:val="Normal"/>
    <w:rsid w:val="00435883"/>
    <w:pPr>
      <w:shd w:val="clear" w:color="auto" w:fill="EEEEEE"/>
      <w:spacing w:before="100" w:beforeAutospacing="1" w:after="100" w:afterAutospacing="1"/>
    </w:pPr>
    <w:rPr>
      <w:bCs w:val="0"/>
      <w:color w:val="777777"/>
      <w:sz w:val="21"/>
      <w:szCs w:val="21"/>
    </w:rPr>
  </w:style>
  <w:style w:type="paragraph" w:customStyle="1" w:styleId="cooverlayboxtopleft8">
    <w:name w:val="co_overlaybox_topleft8"/>
    <w:basedOn w:val="Normal"/>
    <w:rsid w:val="00435883"/>
    <w:pPr>
      <w:shd w:val="clear" w:color="auto" w:fill="EEEEEE"/>
      <w:spacing w:before="100" w:beforeAutospacing="1" w:after="100" w:afterAutospacing="1"/>
    </w:pPr>
    <w:rPr>
      <w:bCs w:val="0"/>
      <w:color w:val="777777"/>
      <w:sz w:val="21"/>
      <w:szCs w:val="21"/>
    </w:rPr>
  </w:style>
  <w:style w:type="paragraph" w:customStyle="1" w:styleId="cooverlayboxtopleft9">
    <w:name w:val="co_overlaybox_topleft9"/>
    <w:basedOn w:val="Normal"/>
    <w:rsid w:val="00435883"/>
    <w:pPr>
      <w:shd w:val="clear" w:color="auto" w:fill="EEEEEE"/>
      <w:spacing w:before="100" w:beforeAutospacing="1" w:after="100" w:afterAutospacing="1"/>
    </w:pPr>
    <w:rPr>
      <w:bCs w:val="0"/>
      <w:color w:val="777777"/>
      <w:sz w:val="21"/>
      <w:szCs w:val="21"/>
    </w:rPr>
  </w:style>
  <w:style w:type="paragraph" w:customStyle="1" w:styleId="cooverlayboxtopleft10">
    <w:name w:val="co_overlaybox_topleft10"/>
    <w:basedOn w:val="Normal"/>
    <w:rsid w:val="00435883"/>
    <w:pPr>
      <w:shd w:val="clear" w:color="auto" w:fill="EEEEEE"/>
      <w:spacing w:before="100" w:beforeAutospacing="1" w:after="100" w:afterAutospacing="1"/>
    </w:pPr>
    <w:rPr>
      <w:bCs w:val="0"/>
      <w:color w:val="777777"/>
      <w:sz w:val="21"/>
      <w:szCs w:val="21"/>
    </w:rPr>
  </w:style>
  <w:style w:type="paragraph" w:customStyle="1" w:styleId="cooverlayboxheadline1">
    <w:name w:val="co_overlaybox_headline1"/>
    <w:basedOn w:val="Normal"/>
    <w:rsid w:val="00435883"/>
    <w:pPr>
      <w:spacing w:before="100" w:beforeAutospacing="1" w:after="100" w:afterAutospacing="1"/>
    </w:pPr>
    <w:rPr>
      <w:bCs w:val="0"/>
      <w:sz w:val="24"/>
    </w:rPr>
  </w:style>
  <w:style w:type="paragraph" w:customStyle="1" w:styleId="cooverlayboxheadline2">
    <w:name w:val="co_overlaybox_headline2"/>
    <w:basedOn w:val="Normal"/>
    <w:rsid w:val="00435883"/>
    <w:pPr>
      <w:spacing w:before="100" w:beforeAutospacing="1" w:after="100" w:afterAutospacing="1"/>
    </w:pPr>
    <w:rPr>
      <w:bCs w:val="0"/>
      <w:sz w:val="24"/>
    </w:rPr>
  </w:style>
  <w:style w:type="paragraph" w:customStyle="1" w:styleId="cooverlayboxheadline3">
    <w:name w:val="co_overlaybox_headline3"/>
    <w:basedOn w:val="Normal"/>
    <w:rsid w:val="00435883"/>
    <w:pPr>
      <w:spacing w:before="100" w:beforeAutospacing="1" w:after="100" w:afterAutospacing="1"/>
    </w:pPr>
    <w:rPr>
      <w:bCs w:val="0"/>
      <w:sz w:val="24"/>
    </w:rPr>
  </w:style>
  <w:style w:type="paragraph" w:customStyle="1" w:styleId="cooverlayboxheadline4">
    <w:name w:val="co_overlaybox_headline4"/>
    <w:basedOn w:val="Normal"/>
    <w:rsid w:val="00435883"/>
    <w:pPr>
      <w:spacing w:before="100" w:beforeAutospacing="1" w:after="100" w:afterAutospacing="1"/>
    </w:pPr>
    <w:rPr>
      <w:bCs w:val="0"/>
      <w:sz w:val="24"/>
    </w:rPr>
  </w:style>
  <w:style w:type="paragraph" w:customStyle="1" w:styleId="cooverlayboxheadline5">
    <w:name w:val="co_overlaybox_headline5"/>
    <w:basedOn w:val="Normal"/>
    <w:rsid w:val="00435883"/>
    <w:pPr>
      <w:spacing w:before="100" w:beforeAutospacing="1" w:after="100" w:afterAutospacing="1"/>
    </w:pPr>
    <w:rPr>
      <w:bCs w:val="0"/>
      <w:sz w:val="24"/>
    </w:rPr>
  </w:style>
  <w:style w:type="paragraph" w:customStyle="1" w:styleId="cooverlayboxoptionsbottomleft1">
    <w:name w:val="co_overlaybox_optionsbottomleft1"/>
    <w:basedOn w:val="Normal"/>
    <w:rsid w:val="00435883"/>
    <w:pPr>
      <w:spacing w:before="100" w:beforeAutospacing="1" w:after="100" w:afterAutospacing="1"/>
      <w:jc w:val="center"/>
    </w:pPr>
    <w:rPr>
      <w:bCs w:val="0"/>
      <w:sz w:val="24"/>
    </w:rPr>
  </w:style>
  <w:style w:type="paragraph" w:customStyle="1" w:styleId="cooverlayboxoptionsbottomleft2">
    <w:name w:val="co_overlaybox_optionsbottomleft2"/>
    <w:basedOn w:val="Normal"/>
    <w:rsid w:val="00435883"/>
    <w:pPr>
      <w:spacing w:before="100" w:beforeAutospacing="1" w:after="100" w:afterAutospacing="1"/>
      <w:jc w:val="center"/>
    </w:pPr>
    <w:rPr>
      <w:bCs w:val="0"/>
      <w:sz w:val="24"/>
    </w:rPr>
  </w:style>
  <w:style w:type="paragraph" w:customStyle="1" w:styleId="cooverlayboxoptionsbottomleft3">
    <w:name w:val="co_overlaybox_optionsbottomleft3"/>
    <w:basedOn w:val="Normal"/>
    <w:rsid w:val="00435883"/>
    <w:pPr>
      <w:spacing w:before="100" w:beforeAutospacing="1" w:after="100" w:afterAutospacing="1"/>
      <w:jc w:val="center"/>
    </w:pPr>
    <w:rPr>
      <w:bCs w:val="0"/>
      <w:sz w:val="24"/>
    </w:rPr>
  </w:style>
  <w:style w:type="paragraph" w:customStyle="1" w:styleId="cooverlayboxoptionsbottomleft4">
    <w:name w:val="co_overlaybox_optionsbottomleft4"/>
    <w:basedOn w:val="Normal"/>
    <w:rsid w:val="00435883"/>
    <w:pPr>
      <w:spacing w:before="100" w:beforeAutospacing="1" w:after="100" w:afterAutospacing="1"/>
      <w:jc w:val="center"/>
    </w:pPr>
    <w:rPr>
      <w:bCs w:val="0"/>
      <w:sz w:val="24"/>
    </w:rPr>
  </w:style>
  <w:style w:type="paragraph" w:customStyle="1" w:styleId="cohelpicon2">
    <w:name w:val="co_helpicon2"/>
    <w:basedOn w:val="Normal"/>
    <w:rsid w:val="00435883"/>
    <w:pPr>
      <w:spacing w:before="100" w:beforeAutospacing="1" w:after="100" w:afterAutospacing="1"/>
      <w:ind w:hanging="3928"/>
      <w:textAlignment w:val="top"/>
    </w:pPr>
    <w:rPr>
      <w:bCs w:val="0"/>
      <w:sz w:val="24"/>
    </w:rPr>
  </w:style>
  <w:style w:type="paragraph" w:customStyle="1" w:styleId="icon256">
    <w:name w:val="icon256"/>
    <w:basedOn w:val="Normal"/>
    <w:rsid w:val="00435883"/>
    <w:pPr>
      <w:ind w:left="-60" w:firstLine="22384"/>
      <w:textAlignment w:val="center"/>
    </w:pPr>
    <w:rPr>
      <w:bCs w:val="0"/>
      <w:sz w:val="24"/>
    </w:rPr>
  </w:style>
  <w:style w:type="paragraph" w:customStyle="1" w:styleId="cogenericboxcontent4">
    <w:name w:val="co_genericboxcontent4"/>
    <w:basedOn w:val="Normal"/>
    <w:rsid w:val="00435883"/>
    <w:pPr>
      <w:spacing w:before="100" w:beforeAutospacing="1" w:after="100" w:afterAutospacing="1"/>
    </w:pPr>
    <w:rPr>
      <w:bCs w:val="0"/>
      <w:color w:val="212121"/>
      <w:sz w:val="21"/>
      <w:szCs w:val="21"/>
    </w:rPr>
  </w:style>
  <w:style w:type="paragraph" w:customStyle="1" w:styleId="cobrowsecontent1">
    <w:name w:val="co_browsecontent1"/>
    <w:basedOn w:val="Normal"/>
    <w:rsid w:val="00435883"/>
    <w:pPr>
      <w:spacing w:before="100" w:beforeAutospacing="1" w:after="100" w:afterAutospacing="1"/>
    </w:pPr>
    <w:rPr>
      <w:bCs w:val="0"/>
      <w:sz w:val="24"/>
    </w:rPr>
  </w:style>
  <w:style w:type="paragraph" w:customStyle="1" w:styleId="cobrowsecontent2">
    <w:name w:val="co_browsecontent2"/>
    <w:basedOn w:val="Normal"/>
    <w:rsid w:val="00435883"/>
    <w:pPr>
      <w:spacing w:before="100" w:beforeAutospacing="1" w:after="100" w:afterAutospacing="1"/>
    </w:pPr>
    <w:rPr>
      <w:bCs w:val="0"/>
      <w:sz w:val="21"/>
      <w:szCs w:val="21"/>
    </w:rPr>
  </w:style>
  <w:style w:type="paragraph" w:customStyle="1" w:styleId="cogenericboxcontent5">
    <w:name w:val="co_genericboxcontent5"/>
    <w:basedOn w:val="Normal"/>
    <w:rsid w:val="00435883"/>
    <w:pPr>
      <w:spacing w:before="100" w:beforeAutospacing="1" w:after="100" w:afterAutospacing="1"/>
    </w:pPr>
    <w:rPr>
      <w:bCs w:val="0"/>
      <w:vanish/>
      <w:color w:val="212121"/>
      <w:sz w:val="24"/>
    </w:rPr>
  </w:style>
  <w:style w:type="paragraph" w:customStyle="1" w:styleId="cowidgetcollapseicon1">
    <w:name w:val="co_widget_collapseicon1"/>
    <w:basedOn w:val="Normal"/>
    <w:rsid w:val="00435883"/>
    <w:pPr>
      <w:spacing w:before="100" w:beforeAutospacing="1" w:after="100" w:afterAutospacing="1"/>
      <w:ind w:hanging="3928"/>
    </w:pPr>
    <w:rPr>
      <w:bCs w:val="0"/>
      <w:vanish/>
      <w:sz w:val="24"/>
    </w:rPr>
  </w:style>
  <w:style w:type="paragraph" w:customStyle="1" w:styleId="cowidgetexpandicon1">
    <w:name w:val="co_widget_expandicon1"/>
    <w:basedOn w:val="Normal"/>
    <w:rsid w:val="00435883"/>
    <w:pPr>
      <w:spacing w:before="100" w:beforeAutospacing="1" w:after="100" w:afterAutospacing="1"/>
      <w:ind w:hanging="3928"/>
    </w:pPr>
    <w:rPr>
      <w:bCs w:val="0"/>
      <w:vanish/>
      <w:sz w:val="24"/>
    </w:rPr>
  </w:style>
  <w:style w:type="paragraph" w:customStyle="1" w:styleId="coclear1">
    <w:name w:val="co_clear1"/>
    <w:basedOn w:val="Normal"/>
    <w:rsid w:val="00435883"/>
    <w:pPr>
      <w:spacing w:before="100" w:beforeAutospacing="1" w:after="100" w:afterAutospacing="1"/>
    </w:pPr>
    <w:rPr>
      <w:bCs w:val="0"/>
      <w:sz w:val="24"/>
    </w:rPr>
  </w:style>
  <w:style w:type="paragraph" w:customStyle="1" w:styleId="cooverlayboxbottomleft1">
    <w:name w:val="co_overlaybox_bottomleft1"/>
    <w:basedOn w:val="Normal"/>
    <w:rsid w:val="00435883"/>
    <w:pPr>
      <w:spacing w:before="100" w:beforeAutospacing="1" w:after="100" w:afterAutospacing="1"/>
    </w:pPr>
    <w:rPr>
      <w:bCs w:val="0"/>
      <w:vanish/>
      <w:sz w:val="24"/>
    </w:rPr>
  </w:style>
  <w:style w:type="paragraph" w:customStyle="1" w:styleId="cooverlayboxtopleftnotitle1">
    <w:name w:val="co_overlaybox_topleftnotitle1"/>
    <w:basedOn w:val="Normal"/>
    <w:rsid w:val="00435883"/>
    <w:pPr>
      <w:spacing w:before="100" w:beforeAutospacing="1" w:after="100" w:afterAutospacing="1"/>
    </w:pPr>
    <w:rPr>
      <w:bCs w:val="0"/>
      <w:vanish/>
      <w:sz w:val="24"/>
    </w:rPr>
  </w:style>
  <w:style w:type="paragraph" w:customStyle="1" w:styleId="cowidgetcloseicon1">
    <w:name w:val="co_widget_closeicon1"/>
    <w:basedOn w:val="Normal"/>
    <w:rsid w:val="00435883"/>
    <w:pPr>
      <w:spacing w:before="100" w:beforeAutospacing="1" w:after="100" w:afterAutospacing="1"/>
      <w:ind w:hanging="3928"/>
    </w:pPr>
    <w:rPr>
      <w:bCs w:val="0"/>
      <w:sz w:val="24"/>
    </w:rPr>
  </w:style>
  <w:style w:type="paragraph" w:customStyle="1" w:styleId="cooverlayboxcontent13">
    <w:name w:val="co_overlaybox_content13"/>
    <w:basedOn w:val="Normal"/>
    <w:rsid w:val="00435883"/>
    <w:pPr>
      <w:spacing w:line="150" w:lineRule="atLeast"/>
      <w:jc w:val="center"/>
    </w:pPr>
    <w:rPr>
      <w:bCs w:val="0"/>
      <w:sz w:val="18"/>
      <w:szCs w:val="18"/>
    </w:rPr>
  </w:style>
  <w:style w:type="paragraph" w:customStyle="1" w:styleId="cowelcomeimagelink1">
    <w:name w:val="co_welcomeimagelink1"/>
    <w:basedOn w:val="Normal"/>
    <w:rsid w:val="00435883"/>
    <w:pPr>
      <w:spacing w:before="100" w:beforeAutospacing="1" w:after="150"/>
    </w:pPr>
    <w:rPr>
      <w:b/>
      <w:sz w:val="24"/>
    </w:rPr>
  </w:style>
  <w:style w:type="paragraph" w:customStyle="1" w:styleId="codockheader1">
    <w:name w:val="co_dockheader1"/>
    <w:basedOn w:val="Normal"/>
    <w:rsid w:val="00435883"/>
    <w:pPr>
      <w:spacing w:before="100" w:beforeAutospacing="1" w:after="100" w:afterAutospacing="1" w:line="435" w:lineRule="atLeast"/>
    </w:pPr>
    <w:rPr>
      <w:bCs w:val="0"/>
      <w:sz w:val="24"/>
    </w:rPr>
  </w:style>
  <w:style w:type="paragraph" w:customStyle="1" w:styleId="codockheader2">
    <w:name w:val="co_dockheader2"/>
    <w:basedOn w:val="Normal"/>
    <w:rsid w:val="00435883"/>
    <w:pPr>
      <w:spacing w:before="100" w:beforeAutospacing="1" w:after="100" w:afterAutospacing="1" w:line="450" w:lineRule="atLeast"/>
    </w:pPr>
    <w:rPr>
      <w:b/>
      <w:color w:val="252525"/>
      <w:sz w:val="29"/>
      <w:szCs w:val="29"/>
    </w:rPr>
  </w:style>
  <w:style w:type="paragraph" w:customStyle="1" w:styleId="codockheadercount1">
    <w:name w:val="co_dockheadercount1"/>
    <w:basedOn w:val="Normal"/>
    <w:rsid w:val="00435883"/>
    <w:pPr>
      <w:spacing w:before="100" w:beforeAutospacing="1" w:after="100" w:afterAutospacing="1"/>
    </w:pPr>
    <w:rPr>
      <w:bCs w:val="0"/>
      <w:color w:val="252525"/>
      <w:sz w:val="24"/>
    </w:rPr>
  </w:style>
  <w:style w:type="paragraph" w:customStyle="1" w:styleId="codockheadercountright1">
    <w:name w:val="co_dockheadercountright1"/>
    <w:basedOn w:val="Normal"/>
    <w:rsid w:val="00435883"/>
    <w:pPr>
      <w:spacing w:before="100" w:beforeAutospacing="1" w:after="100" w:afterAutospacing="1"/>
    </w:pPr>
    <w:rPr>
      <w:b/>
      <w:sz w:val="18"/>
      <w:szCs w:val="18"/>
    </w:rPr>
  </w:style>
  <w:style w:type="paragraph" w:customStyle="1" w:styleId="cooverlayboxbottom1">
    <w:name w:val="co_overlaybox_bottom1"/>
    <w:basedOn w:val="Normal"/>
    <w:rsid w:val="00435883"/>
    <w:pPr>
      <w:spacing w:before="100" w:beforeAutospacing="1" w:after="100" w:afterAutospacing="1"/>
    </w:pPr>
    <w:rPr>
      <w:bCs w:val="0"/>
      <w:sz w:val="24"/>
    </w:rPr>
  </w:style>
  <w:style w:type="paragraph" w:customStyle="1" w:styleId="codockcontent1">
    <w:name w:val="co_dockcontent1"/>
    <w:basedOn w:val="Normal"/>
    <w:rsid w:val="00435883"/>
    <w:pPr>
      <w:spacing w:before="100" w:beforeAutospacing="1" w:after="100" w:afterAutospacing="1"/>
    </w:pPr>
    <w:rPr>
      <w:bCs w:val="0"/>
      <w:sz w:val="24"/>
    </w:rPr>
  </w:style>
  <w:style w:type="paragraph" w:customStyle="1" w:styleId="codockcontent2">
    <w:name w:val="co_dockcontent2"/>
    <w:basedOn w:val="Normal"/>
    <w:rsid w:val="00435883"/>
    <w:pPr>
      <w:spacing w:before="100" w:beforeAutospacing="1" w:after="100" w:afterAutospacing="1"/>
    </w:pPr>
    <w:rPr>
      <w:bCs w:val="0"/>
      <w:sz w:val="24"/>
    </w:rPr>
  </w:style>
  <w:style w:type="paragraph" w:customStyle="1" w:styleId="codropdownboxexpanded2">
    <w:name w:val="co_dropdownboxexpanded2"/>
    <w:basedOn w:val="Normal"/>
    <w:rsid w:val="00435883"/>
    <w:pPr>
      <w:pBdr>
        <w:top w:val="single" w:sz="6" w:space="2" w:color="C9C9C9"/>
        <w:left w:val="single" w:sz="6" w:space="0" w:color="C9C9C9"/>
        <w:bottom w:val="single" w:sz="6" w:space="2" w:color="C9C9C9"/>
        <w:right w:val="single" w:sz="6" w:space="0" w:color="C9C9C9"/>
      </w:pBdr>
      <w:shd w:val="clear" w:color="auto" w:fill="FFFFFF"/>
      <w:ind w:left="-2475"/>
    </w:pPr>
    <w:rPr>
      <w:bCs w:val="0"/>
      <w:sz w:val="24"/>
    </w:rPr>
  </w:style>
  <w:style w:type="paragraph" w:customStyle="1" w:styleId="codockheadertopmenu1">
    <w:name w:val="co_dockheadertopmenu1"/>
    <w:basedOn w:val="Normal"/>
    <w:rsid w:val="00435883"/>
    <w:pPr>
      <w:spacing w:before="100" w:beforeAutospacing="1" w:after="100" w:afterAutospacing="1" w:line="285" w:lineRule="atLeast"/>
    </w:pPr>
    <w:rPr>
      <w:bCs w:val="0"/>
      <w:sz w:val="24"/>
    </w:rPr>
  </w:style>
  <w:style w:type="paragraph" w:customStyle="1" w:styleId="codropdownboxexpanded3">
    <w:name w:val="co_dropdownboxexpanded3"/>
    <w:basedOn w:val="Normal"/>
    <w:rsid w:val="00435883"/>
    <w:pPr>
      <w:pBdr>
        <w:top w:val="single" w:sz="6" w:space="2" w:color="C9C9C9"/>
        <w:left w:val="single" w:sz="6" w:space="0" w:color="C9C9C9"/>
        <w:bottom w:val="single" w:sz="6" w:space="2" w:color="C9C9C9"/>
        <w:right w:val="single" w:sz="6" w:space="0" w:color="C9C9C9"/>
      </w:pBdr>
      <w:shd w:val="clear" w:color="auto" w:fill="FFFFFF"/>
      <w:ind w:left="-2250"/>
    </w:pPr>
    <w:rPr>
      <w:bCs w:val="0"/>
      <w:sz w:val="24"/>
    </w:rPr>
  </w:style>
  <w:style w:type="paragraph" w:customStyle="1" w:styleId="cooverlayboxbottom2">
    <w:name w:val="co_overlaybox_bottom2"/>
    <w:basedOn w:val="Normal"/>
    <w:rsid w:val="00435883"/>
    <w:pPr>
      <w:spacing w:before="100" w:beforeAutospacing="1" w:after="100" w:afterAutospacing="1"/>
    </w:pPr>
    <w:rPr>
      <w:bCs w:val="0"/>
      <w:vanish/>
      <w:sz w:val="24"/>
    </w:rPr>
  </w:style>
  <w:style w:type="paragraph" w:customStyle="1" w:styleId="cooverlayboxtopleftnotitle2">
    <w:name w:val="co_overlaybox_topleftnotitle2"/>
    <w:basedOn w:val="Normal"/>
    <w:rsid w:val="00435883"/>
    <w:pPr>
      <w:spacing w:before="100" w:beforeAutospacing="1" w:after="100" w:afterAutospacing="1"/>
    </w:pPr>
    <w:rPr>
      <w:bCs w:val="0"/>
      <w:vanish/>
      <w:sz w:val="24"/>
    </w:rPr>
  </w:style>
  <w:style w:type="paragraph" w:customStyle="1" w:styleId="cooverlayboxbottomleft2">
    <w:name w:val="co_overlaybox_bottomleft2"/>
    <w:basedOn w:val="Normal"/>
    <w:rsid w:val="00435883"/>
    <w:pPr>
      <w:spacing w:before="100" w:beforeAutospacing="1" w:after="100" w:afterAutospacing="1"/>
    </w:pPr>
    <w:rPr>
      <w:bCs w:val="0"/>
      <w:sz w:val="24"/>
    </w:rPr>
  </w:style>
  <w:style w:type="paragraph" w:customStyle="1" w:styleId="cooverlayboxbottomright1">
    <w:name w:val="co_overlaybox_bottomright1"/>
    <w:basedOn w:val="Normal"/>
    <w:rsid w:val="00435883"/>
    <w:pPr>
      <w:spacing w:before="100" w:beforeAutospacing="1" w:after="100" w:afterAutospacing="1"/>
    </w:pPr>
    <w:rPr>
      <w:bCs w:val="0"/>
      <w:sz w:val="24"/>
    </w:rPr>
  </w:style>
  <w:style w:type="paragraph" w:customStyle="1" w:styleId="cooverlayboxleft1">
    <w:name w:val="co_overlaybox_left1"/>
    <w:basedOn w:val="Normal"/>
    <w:rsid w:val="00435883"/>
    <w:pPr>
      <w:shd w:val="clear" w:color="auto" w:fill="FFFFFF"/>
      <w:spacing w:before="100" w:beforeAutospacing="1" w:after="100" w:afterAutospacing="1"/>
    </w:pPr>
    <w:rPr>
      <w:bCs w:val="0"/>
      <w:sz w:val="24"/>
    </w:rPr>
  </w:style>
  <w:style w:type="paragraph" w:customStyle="1" w:styleId="cooverlayboxright1">
    <w:name w:val="co_overlaybox_right1"/>
    <w:basedOn w:val="Normal"/>
    <w:rsid w:val="00435883"/>
    <w:pPr>
      <w:spacing w:before="100" w:beforeAutospacing="1" w:after="100" w:afterAutospacing="1"/>
    </w:pPr>
    <w:rPr>
      <w:bCs w:val="0"/>
      <w:sz w:val="24"/>
    </w:rPr>
  </w:style>
  <w:style w:type="paragraph" w:customStyle="1" w:styleId="cooverlayboxcontent14">
    <w:name w:val="co_overlaybox_content14"/>
    <w:basedOn w:val="Normal"/>
    <w:rsid w:val="00435883"/>
    <w:pPr>
      <w:shd w:val="clear" w:color="auto" w:fill="FFFFFF"/>
    </w:pPr>
    <w:rPr>
      <w:bCs w:val="0"/>
      <w:sz w:val="18"/>
      <w:szCs w:val="18"/>
    </w:rPr>
  </w:style>
  <w:style w:type="paragraph" w:customStyle="1" w:styleId="cooverlayboxcontent15">
    <w:name w:val="co_overlaybox_content15"/>
    <w:basedOn w:val="Normal"/>
    <w:rsid w:val="00435883"/>
    <w:pPr>
      <w:shd w:val="clear" w:color="auto" w:fill="FFFFFF"/>
    </w:pPr>
    <w:rPr>
      <w:bCs w:val="0"/>
      <w:sz w:val="18"/>
      <w:szCs w:val="18"/>
    </w:rPr>
  </w:style>
  <w:style w:type="paragraph" w:customStyle="1" w:styleId="cooverlayboxtopleftnotitle3">
    <w:name w:val="co_overlaybox_topleftnotitle3"/>
    <w:basedOn w:val="Normal"/>
    <w:rsid w:val="00435883"/>
    <w:pPr>
      <w:spacing w:before="100" w:beforeAutospacing="1" w:after="100" w:afterAutospacing="1"/>
    </w:pPr>
    <w:rPr>
      <w:bCs w:val="0"/>
      <w:sz w:val="24"/>
    </w:rPr>
  </w:style>
  <w:style w:type="paragraph" w:customStyle="1" w:styleId="cooverlayboxtopright1">
    <w:name w:val="co_overlaybox_topright1"/>
    <w:basedOn w:val="Normal"/>
    <w:rsid w:val="00435883"/>
    <w:pPr>
      <w:spacing w:before="100" w:beforeAutospacing="1" w:after="100" w:afterAutospacing="1"/>
    </w:pPr>
    <w:rPr>
      <w:bCs w:val="0"/>
      <w:sz w:val="24"/>
    </w:rPr>
  </w:style>
  <w:style w:type="paragraph" w:customStyle="1" w:styleId="cooverlayboxheadline6">
    <w:name w:val="co_overlaybox_headline6"/>
    <w:basedOn w:val="Normal"/>
    <w:rsid w:val="00435883"/>
    <w:pPr>
      <w:spacing w:before="100" w:beforeAutospacing="1" w:after="100" w:afterAutospacing="1"/>
    </w:pPr>
    <w:rPr>
      <w:bCs w:val="0"/>
      <w:sz w:val="24"/>
    </w:rPr>
  </w:style>
  <w:style w:type="paragraph" w:customStyle="1" w:styleId="cooverlayboxleft2">
    <w:name w:val="co_overlaybox_left2"/>
    <w:basedOn w:val="Normal"/>
    <w:rsid w:val="00435883"/>
    <w:pPr>
      <w:spacing w:before="100" w:beforeAutospacing="1" w:after="100" w:afterAutospacing="1"/>
    </w:pPr>
    <w:rPr>
      <w:bCs w:val="0"/>
      <w:sz w:val="24"/>
    </w:rPr>
  </w:style>
  <w:style w:type="paragraph" w:customStyle="1" w:styleId="cooverlayboxright2">
    <w:name w:val="co_overlaybox_right2"/>
    <w:basedOn w:val="Normal"/>
    <w:rsid w:val="00435883"/>
    <w:pPr>
      <w:spacing w:before="100" w:beforeAutospacing="1" w:after="100" w:afterAutospacing="1"/>
    </w:pPr>
    <w:rPr>
      <w:bCs w:val="0"/>
      <w:sz w:val="24"/>
    </w:rPr>
  </w:style>
  <w:style w:type="paragraph" w:customStyle="1" w:styleId="cooverlayboxbottomleft3">
    <w:name w:val="co_overlaybox_bottomleft3"/>
    <w:basedOn w:val="Normal"/>
    <w:rsid w:val="00435883"/>
    <w:pPr>
      <w:spacing w:before="100" w:beforeAutospacing="1" w:after="100" w:afterAutospacing="1"/>
    </w:pPr>
    <w:rPr>
      <w:bCs w:val="0"/>
      <w:sz w:val="24"/>
    </w:rPr>
  </w:style>
  <w:style w:type="paragraph" w:customStyle="1" w:styleId="cooverlayboxbottomright2">
    <w:name w:val="co_overlaybox_bottomright2"/>
    <w:basedOn w:val="Normal"/>
    <w:rsid w:val="00435883"/>
    <w:pPr>
      <w:spacing w:before="100" w:beforeAutospacing="1" w:after="100" w:afterAutospacing="1"/>
    </w:pPr>
    <w:rPr>
      <w:bCs w:val="0"/>
      <w:sz w:val="24"/>
    </w:rPr>
  </w:style>
  <w:style w:type="paragraph" w:customStyle="1" w:styleId="codockitems1">
    <w:name w:val="co_dock_items1"/>
    <w:basedOn w:val="Normal"/>
    <w:rsid w:val="00435883"/>
    <w:pPr>
      <w:shd w:val="clear" w:color="auto" w:fill="FFFFFF"/>
      <w:spacing w:before="100" w:beforeAutospacing="1" w:after="100" w:afterAutospacing="1"/>
    </w:pPr>
    <w:rPr>
      <w:bCs w:val="0"/>
      <w:sz w:val="24"/>
    </w:rPr>
  </w:style>
  <w:style w:type="paragraph" w:customStyle="1" w:styleId="codockitem1">
    <w:name w:val="co_dock_item1"/>
    <w:basedOn w:val="Normal"/>
    <w:rsid w:val="00435883"/>
    <w:pPr>
      <w:spacing w:before="100" w:beforeAutospacing="1" w:after="100" w:afterAutospacing="1"/>
      <w:ind w:left="330"/>
    </w:pPr>
    <w:rPr>
      <w:bCs w:val="0"/>
      <w:color w:val="252525"/>
      <w:sz w:val="24"/>
    </w:rPr>
  </w:style>
  <w:style w:type="paragraph" w:customStyle="1" w:styleId="codockcitation1">
    <w:name w:val="co_dock_citation1"/>
    <w:basedOn w:val="Normal"/>
    <w:rsid w:val="00435883"/>
    <w:pPr>
      <w:spacing w:before="100" w:beforeAutospacing="1" w:after="100" w:afterAutospacing="1"/>
      <w:ind w:left="300"/>
    </w:pPr>
    <w:rPr>
      <w:bCs w:val="0"/>
      <w:color w:val="252525"/>
      <w:sz w:val="24"/>
    </w:rPr>
  </w:style>
  <w:style w:type="paragraph" w:customStyle="1" w:styleId="codockrelatedinfo1">
    <w:name w:val="co_dock_relatedinfo1"/>
    <w:basedOn w:val="Normal"/>
    <w:rsid w:val="00435883"/>
    <w:pPr>
      <w:spacing w:before="100" w:beforeAutospacing="1" w:after="100" w:afterAutospacing="1"/>
    </w:pPr>
    <w:rPr>
      <w:bCs w:val="0"/>
      <w:vanish/>
      <w:sz w:val="24"/>
    </w:rPr>
  </w:style>
  <w:style w:type="paragraph" w:customStyle="1" w:styleId="codropdownboxexpanded4">
    <w:name w:val="co_dropdownboxexpanded4"/>
    <w:basedOn w:val="Normal"/>
    <w:rsid w:val="00435883"/>
    <w:pPr>
      <w:pBdr>
        <w:top w:val="single" w:sz="6" w:space="2" w:color="C9C9C9"/>
        <w:left w:val="single" w:sz="6" w:space="0" w:color="C9C9C9"/>
        <w:bottom w:val="single" w:sz="6" w:space="2" w:color="C9C9C9"/>
        <w:right w:val="single" w:sz="6" w:space="0" w:color="C9C9C9"/>
      </w:pBdr>
      <w:shd w:val="clear" w:color="auto" w:fill="FFFFFF"/>
    </w:pPr>
    <w:rPr>
      <w:bCs w:val="0"/>
      <w:sz w:val="24"/>
    </w:rPr>
  </w:style>
  <w:style w:type="paragraph" w:customStyle="1" w:styleId="corecentresearchitem1">
    <w:name w:val="co_recentresearch_item1"/>
    <w:basedOn w:val="Normal"/>
    <w:rsid w:val="00435883"/>
    <w:pPr>
      <w:spacing w:before="100" w:beforeAutospacing="1" w:after="100" w:afterAutospacing="1"/>
      <w:ind w:left="300"/>
    </w:pPr>
    <w:rPr>
      <w:bCs w:val="0"/>
      <w:sz w:val="24"/>
    </w:rPr>
  </w:style>
  <w:style w:type="paragraph" w:customStyle="1" w:styleId="cobaltromyfoldersfoldertreeeditingactionroot1">
    <w:name w:val="cobalt_ro_myfolders_foldertree_editingaction_root1"/>
    <w:basedOn w:val="Normal"/>
    <w:rsid w:val="00435883"/>
    <w:pPr>
      <w:pBdr>
        <w:top w:val="single" w:sz="6" w:space="0" w:color="EEEEEE"/>
        <w:bottom w:val="single" w:sz="6" w:space="0" w:color="E4E7E8"/>
      </w:pBdr>
      <w:spacing w:before="100" w:beforeAutospacing="1" w:after="100" w:afterAutospacing="1"/>
    </w:pPr>
    <w:rPr>
      <w:bCs w:val="0"/>
      <w:sz w:val="24"/>
    </w:rPr>
  </w:style>
  <w:style w:type="paragraph" w:customStyle="1" w:styleId="codragdropboxallowimage1">
    <w:name w:val="co_dragdropbox_allowimage1"/>
    <w:basedOn w:val="Normal"/>
    <w:rsid w:val="0043588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bCs w:val="0"/>
      <w:sz w:val="24"/>
    </w:rPr>
  </w:style>
  <w:style w:type="paragraph" w:customStyle="1" w:styleId="codragdropboxdisallowimage1">
    <w:name w:val="co_dragdropbox_disallowimage1"/>
    <w:basedOn w:val="Normal"/>
    <w:rsid w:val="0043588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bCs w:val="0"/>
      <w:sz w:val="24"/>
    </w:rPr>
  </w:style>
  <w:style w:type="paragraph" w:customStyle="1" w:styleId="codragdropboxneutralimage1">
    <w:name w:val="co_dragdropbox_neutralimage1"/>
    <w:basedOn w:val="Normal"/>
    <w:rsid w:val="0043588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bCs w:val="0"/>
      <w:sz w:val="24"/>
    </w:rPr>
  </w:style>
  <w:style w:type="paragraph" w:customStyle="1" w:styleId="codockitemtext1">
    <w:name w:val="co_dock_item_text1"/>
    <w:basedOn w:val="Normal"/>
    <w:rsid w:val="00435883"/>
    <w:pPr>
      <w:spacing w:before="100" w:beforeAutospacing="1" w:after="75"/>
    </w:pPr>
    <w:rPr>
      <w:bCs w:val="0"/>
      <w:sz w:val="24"/>
    </w:rPr>
  </w:style>
  <w:style w:type="paragraph" w:customStyle="1" w:styleId="co-overviewbox-hint1">
    <w:name w:val="co-overviewbox-hint1"/>
    <w:basedOn w:val="Normal"/>
    <w:rsid w:val="00435883"/>
    <w:pPr>
      <w:spacing w:before="100" w:beforeAutospacing="1" w:after="375"/>
      <w:jc w:val="center"/>
    </w:pPr>
    <w:rPr>
      <w:bCs w:val="0"/>
      <w:sz w:val="21"/>
      <w:szCs w:val="21"/>
    </w:rPr>
  </w:style>
  <w:style w:type="paragraph" w:customStyle="1" w:styleId="thsimpleiconextralarge1">
    <w:name w:val="th_simple_iconextralarge1"/>
    <w:basedOn w:val="Normal"/>
    <w:rsid w:val="00435883"/>
    <w:pPr>
      <w:spacing w:after="100" w:afterAutospacing="1"/>
      <w:ind w:firstLine="22384"/>
      <w:textAlignment w:val="center"/>
    </w:pPr>
    <w:rPr>
      <w:bCs w:val="0"/>
      <w:sz w:val="21"/>
      <w:szCs w:val="21"/>
    </w:rPr>
  </w:style>
  <w:style w:type="paragraph" w:customStyle="1" w:styleId="a11ytooltip-pointer1">
    <w:name w:val="a11ytooltip-pointer1"/>
    <w:basedOn w:val="Normal"/>
    <w:rsid w:val="00435883"/>
    <w:pPr>
      <w:pBdr>
        <w:top w:val="single" w:sz="48" w:space="0" w:color="auto"/>
        <w:left w:val="single" w:sz="48" w:space="0" w:color="auto"/>
        <w:bottom w:val="single" w:sz="48" w:space="0" w:color="auto"/>
        <w:right w:val="single" w:sz="48" w:space="0" w:color="auto"/>
      </w:pBdr>
    </w:pPr>
    <w:rPr>
      <w:bCs w:val="0"/>
      <w:sz w:val="24"/>
    </w:rPr>
  </w:style>
  <w:style w:type="paragraph" w:customStyle="1" w:styleId="a11ytooltip-pointer2">
    <w:name w:val="a11ytooltip-pointer2"/>
    <w:basedOn w:val="Normal"/>
    <w:rsid w:val="00435883"/>
    <w:pPr>
      <w:pBdr>
        <w:top w:val="single" w:sz="48" w:space="0" w:color="auto"/>
        <w:left w:val="single" w:sz="48" w:space="0" w:color="auto"/>
        <w:bottom w:val="single" w:sz="48" w:space="0" w:color="auto"/>
        <w:right w:val="single" w:sz="48" w:space="0" w:color="auto"/>
      </w:pBdr>
      <w:spacing w:before="30"/>
      <w:ind w:left="-120"/>
    </w:pPr>
    <w:rPr>
      <w:bCs w:val="0"/>
      <w:sz w:val="24"/>
    </w:rPr>
  </w:style>
  <w:style w:type="paragraph" w:customStyle="1" w:styleId="a11ytooltip-pointer3">
    <w:name w:val="a11ytooltip-pointer3"/>
    <w:basedOn w:val="Normal"/>
    <w:rsid w:val="00435883"/>
    <w:pPr>
      <w:pBdr>
        <w:top w:val="single" w:sz="48" w:space="0" w:color="auto"/>
        <w:left w:val="single" w:sz="48" w:space="0" w:color="auto"/>
        <w:bottom w:val="single" w:sz="48" w:space="0" w:color="auto"/>
        <w:right w:val="single" w:sz="48" w:space="0" w:color="auto"/>
      </w:pBdr>
      <w:ind w:left="-120"/>
    </w:pPr>
    <w:rPr>
      <w:bCs w:val="0"/>
      <w:sz w:val="24"/>
    </w:rPr>
  </w:style>
  <w:style w:type="paragraph" w:customStyle="1" w:styleId="cowebsitebrowsetopicsnippet1">
    <w:name w:val="co_website_browsetopicsnippet1"/>
    <w:basedOn w:val="Normal"/>
    <w:rsid w:val="00435883"/>
    <w:pPr>
      <w:pBdr>
        <w:top w:val="single" w:sz="6" w:space="8" w:color="E4E4E4"/>
        <w:left w:val="single" w:sz="6" w:space="31" w:color="E4E4E4"/>
        <w:bottom w:val="single" w:sz="6" w:space="8" w:color="E4E4E4"/>
        <w:right w:val="single" w:sz="6" w:space="8" w:color="E4E4E4"/>
      </w:pBdr>
      <w:spacing w:before="150" w:after="150"/>
      <w:ind w:right="300"/>
    </w:pPr>
    <w:rPr>
      <w:bCs w:val="0"/>
      <w:color w:val="252525"/>
      <w:sz w:val="21"/>
      <w:szCs w:val="21"/>
    </w:rPr>
  </w:style>
  <w:style w:type="paragraph" w:customStyle="1" w:styleId="cosearchadvancedsearchleft1">
    <w:name w:val="co_search_advancedsearch_left1"/>
    <w:basedOn w:val="Normal"/>
    <w:rsid w:val="00435883"/>
    <w:pPr>
      <w:spacing w:before="100" w:beforeAutospacing="1" w:after="100" w:afterAutospacing="1"/>
    </w:pPr>
    <w:rPr>
      <w:bCs w:val="0"/>
      <w:sz w:val="24"/>
    </w:rPr>
  </w:style>
  <w:style w:type="paragraph" w:customStyle="1" w:styleId="cosearchadvancedsearchright1">
    <w:name w:val="co_search_advancedsearch_right1"/>
    <w:basedOn w:val="Normal"/>
    <w:rsid w:val="00435883"/>
    <w:pPr>
      <w:spacing w:before="555" w:after="100" w:afterAutospacing="1"/>
      <w:ind w:left="300"/>
    </w:pPr>
    <w:rPr>
      <w:bCs w:val="0"/>
      <w:vanish/>
      <w:sz w:val="17"/>
      <w:szCs w:val="17"/>
    </w:rPr>
  </w:style>
  <w:style w:type="paragraph" w:customStyle="1" w:styleId="cosearchadvancedsearchfieldbox1">
    <w:name w:val="co_search_advancedsearchfieldbox1"/>
    <w:basedOn w:val="Normal"/>
    <w:rsid w:val="00435883"/>
    <w:pPr>
      <w:pBdr>
        <w:top w:val="single" w:sz="6" w:space="11" w:color="CCCCCC"/>
        <w:left w:val="single" w:sz="6" w:space="15" w:color="CCCCCC"/>
        <w:bottom w:val="single" w:sz="6" w:space="0" w:color="CCCCCC"/>
        <w:right w:val="single" w:sz="6" w:space="15" w:color="CCCCCC"/>
      </w:pBdr>
      <w:shd w:val="clear" w:color="auto" w:fill="FFFFFF"/>
      <w:spacing w:before="150" w:after="300"/>
    </w:pPr>
    <w:rPr>
      <w:bCs w:val="0"/>
      <w:sz w:val="24"/>
    </w:rPr>
  </w:style>
  <w:style w:type="paragraph" w:customStyle="1" w:styleId="codocketsheading1">
    <w:name w:val="co_docketsheading1"/>
    <w:basedOn w:val="Normal"/>
    <w:rsid w:val="00435883"/>
    <w:pPr>
      <w:pBdr>
        <w:top w:val="single" w:sz="2" w:space="0" w:color="D6D6D6"/>
        <w:left w:val="single" w:sz="2" w:space="6" w:color="D6D6D6"/>
        <w:bottom w:val="single" w:sz="2" w:space="0" w:color="D6D6D6"/>
        <w:right w:val="single" w:sz="2" w:space="6" w:color="D6D6D6"/>
      </w:pBdr>
      <w:shd w:val="clear" w:color="auto" w:fill="FFFFFF"/>
      <w:spacing w:after="100" w:afterAutospacing="1" w:line="465" w:lineRule="atLeast"/>
    </w:pPr>
    <w:rPr>
      <w:bCs w:val="0"/>
      <w:sz w:val="24"/>
    </w:rPr>
  </w:style>
  <w:style w:type="paragraph" w:customStyle="1" w:styleId="cosearchadvancedsearchformheading1">
    <w:name w:val="co_search_advancedsearchformheading1"/>
    <w:basedOn w:val="Normal"/>
    <w:rsid w:val="00435883"/>
    <w:pPr>
      <w:shd w:val="clear" w:color="auto" w:fill="FFFFFF"/>
      <w:spacing w:after="150" w:line="465" w:lineRule="atLeast"/>
      <w:ind w:left="-150" w:right="-150"/>
    </w:pPr>
    <w:rPr>
      <w:bCs w:val="0"/>
      <w:sz w:val="24"/>
    </w:rPr>
  </w:style>
  <w:style w:type="paragraph" w:customStyle="1" w:styleId="cosearchadvancedsearchexampleline1">
    <w:name w:val="co_search_advancedsearchexampleline1"/>
    <w:basedOn w:val="Normal"/>
    <w:rsid w:val="00435883"/>
    <w:pPr>
      <w:spacing w:before="100" w:beforeAutospacing="1" w:after="100" w:afterAutospacing="1"/>
    </w:pPr>
    <w:rPr>
      <w:bCs w:val="0"/>
      <w:sz w:val="24"/>
    </w:rPr>
  </w:style>
  <w:style w:type="paragraph" w:customStyle="1" w:styleId="cosearchadvancedsearchblockheading1">
    <w:name w:val="co_search_advancedsearchblockheading1"/>
    <w:basedOn w:val="Normal"/>
    <w:rsid w:val="00435883"/>
    <w:pPr>
      <w:spacing w:before="100" w:beforeAutospacing="1" w:after="100" w:afterAutospacing="1"/>
    </w:pPr>
    <w:rPr>
      <w:b/>
      <w:sz w:val="21"/>
      <w:szCs w:val="21"/>
    </w:rPr>
  </w:style>
  <w:style w:type="paragraph" w:customStyle="1" w:styleId="cosearchadvancedsearchformfields1">
    <w:name w:val="co_search_advancedsearchformfields1"/>
    <w:basedOn w:val="Normal"/>
    <w:rsid w:val="00435883"/>
    <w:pPr>
      <w:spacing w:before="100" w:beforeAutospacing="1" w:after="100" w:afterAutospacing="1"/>
    </w:pPr>
    <w:rPr>
      <w:bCs w:val="0"/>
      <w:sz w:val="24"/>
    </w:rPr>
  </w:style>
  <w:style w:type="paragraph" w:customStyle="1" w:styleId="coinfobox13">
    <w:name w:val="co_infobox13"/>
    <w:basedOn w:val="Normal"/>
    <w:rsid w:val="00435883"/>
    <w:pPr>
      <w:pBdr>
        <w:top w:val="single" w:sz="6" w:space="0" w:color="FEDA73"/>
        <w:left w:val="single" w:sz="6" w:space="0" w:color="FEDA73"/>
        <w:bottom w:val="single" w:sz="6" w:space="0" w:color="FEDA73"/>
        <w:right w:val="single" w:sz="6" w:space="0" w:color="FEDA73"/>
      </w:pBdr>
      <w:shd w:val="clear" w:color="auto" w:fill="FCFBDF"/>
      <w:spacing w:before="100" w:beforeAutospacing="1" w:after="100" w:afterAutospacing="1"/>
    </w:pPr>
    <w:rPr>
      <w:bCs w:val="0"/>
      <w:sz w:val="18"/>
      <w:szCs w:val="18"/>
    </w:rPr>
  </w:style>
  <w:style w:type="paragraph" w:customStyle="1" w:styleId="coofferfull1">
    <w:name w:val="co_offerfull1"/>
    <w:basedOn w:val="Normal"/>
    <w:rsid w:val="00435883"/>
    <w:pPr>
      <w:spacing w:before="100" w:beforeAutospacing="1"/>
    </w:pPr>
    <w:rPr>
      <w:bCs w:val="0"/>
      <w:vanish/>
      <w:sz w:val="24"/>
    </w:rPr>
  </w:style>
  <w:style w:type="paragraph" w:customStyle="1" w:styleId="cooffershomepagelist1">
    <w:name w:val="co_offershomepagelist1"/>
    <w:basedOn w:val="Normal"/>
    <w:rsid w:val="00435883"/>
    <w:pPr>
      <w:spacing w:before="100" w:beforeAutospacing="1" w:after="100" w:afterAutospacing="1"/>
    </w:pPr>
    <w:rPr>
      <w:bCs w:val="0"/>
      <w:sz w:val="24"/>
    </w:rPr>
  </w:style>
  <w:style w:type="paragraph" w:customStyle="1" w:styleId="coofferbodyleft1">
    <w:name w:val="co_offerbodyleft1"/>
    <w:basedOn w:val="Normal"/>
    <w:rsid w:val="00435883"/>
    <w:pPr>
      <w:spacing w:before="100" w:beforeAutospacing="1" w:after="100" w:afterAutospacing="1"/>
    </w:pPr>
    <w:rPr>
      <w:bCs w:val="0"/>
      <w:sz w:val="24"/>
    </w:rPr>
  </w:style>
  <w:style w:type="paragraph" w:customStyle="1" w:styleId="copromotioncancel1">
    <w:name w:val="co_promotion_cancel1"/>
    <w:basedOn w:val="Normal"/>
    <w:rsid w:val="00435883"/>
    <w:pPr>
      <w:pBdr>
        <w:left w:val="single" w:sz="6" w:space="6" w:color="EEEEEE"/>
      </w:pBdr>
      <w:spacing w:before="100" w:beforeAutospacing="1" w:after="100" w:afterAutospacing="1"/>
    </w:pPr>
    <w:rPr>
      <w:bCs w:val="0"/>
      <w:sz w:val="24"/>
    </w:rPr>
  </w:style>
  <w:style w:type="paragraph" w:customStyle="1" w:styleId="copromotionremindlater1">
    <w:name w:val="co_promotion_remindlater1"/>
    <w:basedOn w:val="Normal"/>
    <w:rsid w:val="00435883"/>
    <w:pPr>
      <w:pBdr>
        <w:left w:val="single" w:sz="6" w:space="6" w:color="EEEEEE"/>
      </w:pBdr>
      <w:spacing w:before="100" w:beforeAutospacing="1" w:after="100" w:afterAutospacing="1"/>
    </w:pPr>
    <w:rPr>
      <w:bCs w:val="0"/>
      <w:sz w:val="24"/>
    </w:rPr>
  </w:style>
  <w:style w:type="paragraph" w:customStyle="1" w:styleId="corelative1">
    <w:name w:val="co_relative1"/>
    <w:basedOn w:val="Normal"/>
    <w:rsid w:val="00435883"/>
    <w:pPr>
      <w:spacing w:before="100" w:beforeAutospacing="1" w:after="100" w:afterAutospacing="1"/>
    </w:pPr>
    <w:rPr>
      <w:bCs w:val="0"/>
      <w:sz w:val="24"/>
    </w:rPr>
  </w:style>
  <w:style w:type="paragraph" w:customStyle="1" w:styleId="comoreinfo3">
    <w:name w:val="co_moreinfo3"/>
    <w:basedOn w:val="Normal"/>
    <w:rsid w:val="00435883"/>
    <w:pPr>
      <w:spacing w:before="60" w:after="100" w:afterAutospacing="1"/>
      <w:ind w:left="75" w:hanging="3928"/>
      <w:textAlignment w:val="top"/>
    </w:pPr>
    <w:rPr>
      <w:bCs w:val="0"/>
      <w:sz w:val="24"/>
    </w:rPr>
  </w:style>
  <w:style w:type="paragraph" w:customStyle="1" w:styleId="cometer1">
    <w:name w:val="co_meter1"/>
    <w:basedOn w:val="Normal"/>
    <w:rsid w:val="00435883"/>
    <w:pPr>
      <w:spacing w:before="100" w:beforeAutospacing="1" w:after="100" w:afterAutospacing="1" w:line="300" w:lineRule="atLeast"/>
    </w:pPr>
    <w:rPr>
      <w:bCs w:val="0"/>
      <w:color w:val="FFFFFF"/>
      <w:sz w:val="24"/>
    </w:rPr>
  </w:style>
  <w:style w:type="paragraph" w:customStyle="1" w:styleId="coinfobox14">
    <w:name w:val="co_infobox14"/>
    <w:basedOn w:val="Normal"/>
    <w:rsid w:val="00435883"/>
    <w:pPr>
      <w:pBdr>
        <w:top w:val="single" w:sz="6" w:space="0" w:color="FEDA73"/>
        <w:left w:val="single" w:sz="6" w:space="0" w:color="FEDA73"/>
        <w:bottom w:val="single" w:sz="6" w:space="0" w:color="FEDA73"/>
        <w:right w:val="single" w:sz="6" w:space="0" w:color="FEDA73"/>
      </w:pBdr>
      <w:shd w:val="clear" w:color="auto" w:fill="FCFBDF"/>
      <w:spacing w:before="100" w:beforeAutospacing="1" w:after="100" w:afterAutospacing="1"/>
    </w:pPr>
    <w:rPr>
      <w:bCs w:val="0"/>
      <w:sz w:val="18"/>
      <w:szCs w:val="18"/>
    </w:rPr>
  </w:style>
  <w:style w:type="paragraph" w:customStyle="1" w:styleId="codropdownboxanchorlabel1">
    <w:name w:val="co_dropdownboxanchorlabel1"/>
    <w:basedOn w:val="Normal"/>
    <w:rsid w:val="00435883"/>
    <w:pPr>
      <w:spacing w:before="100" w:beforeAutospacing="1" w:after="100" w:afterAutospacing="1"/>
    </w:pPr>
    <w:rPr>
      <w:bCs w:val="0"/>
      <w:sz w:val="24"/>
    </w:rPr>
  </w:style>
  <w:style w:type="paragraph" w:customStyle="1" w:styleId="codocketstoupdate1">
    <w:name w:val="co_docketstoupdate1"/>
    <w:basedOn w:val="Normal"/>
    <w:rsid w:val="00435883"/>
    <w:pPr>
      <w:spacing w:before="100" w:beforeAutospacing="1" w:after="100" w:afterAutospacing="1"/>
      <w:jc w:val="center"/>
    </w:pPr>
    <w:rPr>
      <w:b/>
      <w:color w:val="888888"/>
      <w:szCs w:val="20"/>
    </w:rPr>
  </w:style>
  <w:style w:type="paragraph" w:customStyle="1" w:styleId="codocketsupdate1">
    <w:name w:val="co_docketsupdate1"/>
    <w:basedOn w:val="Normal"/>
    <w:rsid w:val="00435883"/>
    <w:pPr>
      <w:pBdr>
        <w:top w:val="single" w:sz="6" w:space="0" w:color="C2C2C2"/>
        <w:left w:val="single" w:sz="6" w:space="0" w:color="C2C2C2"/>
        <w:bottom w:val="single" w:sz="6" w:space="0" w:color="C2C2C2"/>
        <w:right w:val="single" w:sz="6" w:space="0" w:color="C2C2C2"/>
      </w:pBdr>
      <w:shd w:val="clear" w:color="auto" w:fill="FFFFFF"/>
      <w:spacing w:before="150" w:after="225" w:line="480" w:lineRule="atLeast"/>
    </w:pPr>
    <w:rPr>
      <w:rFonts w:ascii="Arial" w:hAnsi="Arial" w:cs="Arial"/>
      <w:bCs w:val="0"/>
      <w:sz w:val="21"/>
      <w:szCs w:val="21"/>
    </w:rPr>
  </w:style>
  <w:style w:type="paragraph" w:customStyle="1" w:styleId="cotip1">
    <w:name w:val="co_tip1"/>
    <w:basedOn w:val="Normal"/>
    <w:rsid w:val="00435883"/>
    <w:pPr>
      <w:spacing w:before="100" w:beforeAutospacing="1" w:after="100" w:afterAutospacing="1"/>
    </w:pPr>
    <w:rPr>
      <w:bCs w:val="0"/>
      <w:sz w:val="24"/>
    </w:rPr>
  </w:style>
  <w:style w:type="paragraph" w:customStyle="1" w:styleId="counusbscribepracinsightsalerts1">
    <w:name w:val="co_unusbscribe_prac_insights_alerts1"/>
    <w:basedOn w:val="Normal"/>
    <w:rsid w:val="00435883"/>
    <w:pPr>
      <w:spacing w:before="100" w:beforeAutospacing="1" w:after="100" w:afterAutospacing="1"/>
    </w:pPr>
    <w:rPr>
      <w:bCs w:val="0"/>
      <w:sz w:val="24"/>
    </w:rPr>
  </w:style>
  <w:style w:type="paragraph" w:customStyle="1" w:styleId="cohourlybillingsuspendedmessage1">
    <w:name w:val="co_hourlybillingsuspendedmessage1"/>
    <w:basedOn w:val="Normal"/>
    <w:rsid w:val="00435883"/>
    <w:pPr>
      <w:shd w:val="clear" w:color="auto" w:fill="DEE9FF"/>
      <w:spacing w:after="150"/>
      <w:ind w:left="-180" w:right="-180"/>
      <w:jc w:val="center"/>
    </w:pPr>
    <w:rPr>
      <w:b/>
      <w:sz w:val="21"/>
      <w:szCs w:val="21"/>
    </w:rPr>
  </w:style>
  <w:style w:type="paragraph" w:customStyle="1" w:styleId="cocontactsaddnew1">
    <w:name w:val="co_contacts_addnew1"/>
    <w:basedOn w:val="Normal"/>
    <w:rsid w:val="00435883"/>
    <w:pPr>
      <w:spacing w:before="120" w:after="120" w:line="375" w:lineRule="atLeast"/>
      <w:ind w:right="150" w:hanging="3928"/>
    </w:pPr>
    <w:rPr>
      <w:bCs w:val="0"/>
      <w:sz w:val="24"/>
    </w:rPr>
  </w:style>
  <w:style w:type="paragraph" w:customStyle="1" w:styleId="cocontactsaddnew2">
    <w:name w:val="co_contacts_addnew2"/>
    <w:basedOn w:val="Normal"/>
    <w:rsid w:val="00435883"/>
    <w:pPr>
      <w:spacing w:before="120" w:after="120" w:line="375" w:lineRule="atLeast"/>
      <w:ind w:right="150" w:hanging="3928"/>
    </w:pPr>
    <w:rPr>
      <w:bCs w:val="0"/>
      <w:sz w:val="24"/>
    </w:rPr>
  </w:style>
  <w:style w:type="paragraph" w:customStyle="1" w:styleId="cocontactsaddnew3">
    <w:name w:val="co_contacts_addnew3"/>
    <w:basedOn w:val="Normal"/>
    <w:rsid w:val="00435883"/>
    <w:pPr>
      <w:spacing w:before="120" w:after="120" w:line="375" w:lineRule="atLeast"/>
      <w:ind w:right="150" w:hanging="3928"/>
    </w:pPr>
    <w:rPr>
      <w:bCs w:val="0"/>
      <w:sz w:val="24"/>
    </w:rPr>
  </w:style>
  <w:style w:type="paragraph" w:customStyle="1" w:styleId="cocontactssave1">
    <w:name w:val="co_contacts_save1"/>
    <w:basedOn w:val="Normal"/>
    <w:rsid w:val="00435883"/>
    <w:pPr>
      <w:spacing w:before="30" w:after="30" w:line="225" w:lineRule="atLeast"/>
      <w:ind w:left="30" w:right="30" w:hanging="3928"/>
    </w:pPr>
    <w:rPr>
      <w:bCs w:val="0"/>
      <w:sz w:val="24"/>
    </w:rPr>
  </w:style>
  <w:style w:type="paragraph" w:customStyle="1" w:styleId="cocontactssave2">
    <w:name w:val="co_contacts_save2"/>
    <w:basedOn w:val="Normal"/>
    <w:rsid w:val="00435883"/>
    <w:pPr>
      <w:pBdr>
        <w:left w:val="single" w:sz="6" w:space="14" w:color="D6D6D6"/>
      </w:pBdr>
      <w:spacing w:before="300" w:after="30" w:line="225" w:lineRule="atLeast"/>
      <w:ind w:left="30" w:right="30" w:hanging="3928"/>
    </w:pPr>
    <w:rPr>
      <w:bCs w:val="0"/>
      <w:sz w:val="24"/>
    </w:rPr>
  </w:style>
  <w:style w:type="paragraph" w:customStyle="1" w:styleId="cofloatleft3">
    <w:name w:val="co_floatleft3"/>
    <w:basedOn w:val="Normal"/>
    <w:rsid w:val="00435883"/>
    <w:pPr>
      <w:spacing w:before="100" w:beforeAutospacing="1" w:after="100" w:afterAutospacing="1"/>
    </w:pPr>
    <w:rPr>
      <w:bCs w:val="0"/>
      <w:sz w:val="24"/>
    </w:rPr>
  </w:style>
  <w:style w:type="paragraph" w:customStyle="1" w:styleId="iconinfo1">
    <w:name w:val="icon_info1"/>
    <w:basedOn w:val="Normal"/>
    <w:rsid w:val="00435883"/>
    <w:pPr>
      <w:spacing w:before="100" w:beforeAutospacing="1" w:after="100" w:afterAutospacing="1"/>
      <w:ind w:right="75"/>
    </w:pPr>
    <w:rPr>
      <w:bCs w:val="0"/>
      <w:sz w:val="24"/>
    </w:rPr>
  </w:style>
  <w:style w:type="paragraph" w:customStyle="1" w:styleId="cotextarea1">
    <w:name w:val="co_textarea1"/>
    <w:basedOn w:val="Normal"/>
    <w:rsid w:val="00435883"/>
    <w:pPr>
      <w:shd w:val="clear" w:color="auto" w:fill="FFFFFF"/>
      <w:spacing w:before="100" w:beforeAutospacing="1" w:after="100" w:afterAutospacing="1"/>
    </w:pPr>
    <w:rPr>
      <w:bCs w:val="0"/>
      <w:sz w:val="24"/>
    </w:rPr>
  </w:style>
  <w:style w:type="paragraph" w:customStyle="1" w:styleId="cotextarea2">
    <w:name w:val="co_textarea2"/>
    <w:basedOn w:val="Normal"/>
    <w:rsid w:val="00435883"/>
    <w:pPr>
      <w:shd w:val="clear" w:color="auto" w:fill="FFFFFF"/>
      <w:spacing w:before="100" w:beforeAutospacing="1" w:after="100" w:afterAutospacing="1"/>
    </w:pPr>
    <w:rPr>
      <w:bCs w:val="0"/>
      <w:sz w:val="24"/>
    </w:rPr>
  </w:style>
  <w:style w:type="paragraph" w:customStyle="1" w:styleId="coaccessibilitylabel4">
    <w:name w:val="co_accessibilitylabel4"/>
    <w:basedOn w:val="Normal"/>
    <w:rsid w:val="00435883"/>
    <w:pPr>
      <w:shd w:val="clear" w:color="auto" w:fill="FFFFFF"/>
      <w:spacing w:before="100" w:beforeAutospacing="1" w:after="100" w:afterAutospacing="1"/>
    </w:pPr>
    <w:rPr>
      <w:bCs w:val="0"/>
      <w:sz w:val="17"/>
      <w:szCs w:val="17"/>
    </w:rPr>
  </w:style>
  <w:style w:type="paragraph" w:customStyle="1" w:styleId="coclientidlabel1">
    <w:name w:val="co_clientid_label1"/>
    <w:basedOn w:val="Normal"/>
    <w:rsid w:val="00435883"/>
    <w:pPr>
      <w:spacing w:before="100" w:beforeAutospacing="1" w:after="100" w:afterAutospacing="1" w:line="270" w:lineRule="atLeast"/>
      <w:jc w:val="center"/>
    </w:pPr>
    <w:rPr>
      <w:bCs w:val="0"/>
      <w:color w:val="FFFFFF"/>
      <w:sz w:val="21"/>
      <w:szCs w:val="21"/>
    </w:rPr>
  </w:style>
  <w:style w:type="paragraph" w:customStyle="1" w:styleId="codropdownboxanchorlabel2">
    <w:name w:val="co_dropdownboxanchorlabel2"/>
    <w:basedOn w:val="Normal"/>
    <w:rsid w:val="00435883"/>
    <w:pPr>
      <w:spacing w:before="100" w:beforeAutospacing="1" w:after="100" w:afterAutospacing="1" w:line="270" w:lineRule="atLeast"/>
      <w:jc w:val="center"/>
    </w:pPr>
    <w:rPr>
      <w:bCs w:val="0"/>
      <w:color w:val="FFFFFF"/>
      <w:sz w:val="21"/>
      <w:szCs w:val="21"/>
    </w:rPr>
  </w:style>
  <w:style w:type="paragraph" w:customStyle="1" w:styleId="coglobalnavlink1">
    <w:name w:val="co_globalnavlink1"/>
    <w:basedOn w:val="Normal"/>
    <w:rsid w:val="00435883"/>
    <w:pPr>
      <w:spacing w:before="100" w:beforeAutospacing="1" w:after="100" w:afterAutospacing="1" w:line="270" w:lineRule="atLeast"/>
      <w:jc w:val="center"/>
    </w:pPr>
    <w:rPr>
      <w:bCs w:val="0"/>
      <w:color w:val="FFFFFF"/>
      <w:sz w:val="21"/>
      <w:szCs w:val="21"/>
    </w:rPr>
  </w:style>
  <w:style w:type="paragraph" w:customStyle="1" w:styleId="codropdownboxanchorlabel3">
    <w:name w:val="co_dropdownboxanchorlabel3"/>
    <w:basedOn w:val="Normal"/>
    <w:rsid w:val="00435883"/>
    <w:pPr>
      <w:spacing w:before="100" w:beforeAutospacing="1" w:after="100" w:afterAutospacing="1" w:line="270" w:lineRule="atLeast"/>
      <w:jc w:val="center"/>
    </w:pPr>
    <w:rPr>
      <w:bCs w:val="0"/>
      <w:color w:val="FFFFFF"/>
      <w:sz w:val="21"/>
      <w:szCs w:val="21"/>
      <w:u w:val="single"/>
    </w:rPr>
  </w:style>
  <w:style w:type="paragraph" w:customStyle="1" w:styleId="coglobalnavlink2">
    <w:name w:val="co_globalnavlink2"/>
    <w:basedOn w:val="Normal"/>
    <w:rsid w:val="00435883"/>
    <w:pPr>
      <w:spacing w:before="100" w:beforeAutospacing="1" w:after="100" w:afterAutospacing="1" w:line="270" w:lineRule="atLeast"/>
      <w:jc w:val="center"/>
    </w:pPr>
    <w:rPr>
      <w:bCs w:val="0"/>
      <w:color w:val="FFFFFF"/>
      <w:sz w:val="21"/>
      <w:szCs w:val="21"/>
      <w:u w:val="single"/>
    </w:rPr>
  </w:style>
  <w:style w:type="paragraph" w:customStyle="1" w:styleId="icon1">
    <w:name w:val="icon1"/>
    <w:basedOn w:val="Normal"/>
    <w:rsid w:val="00435883"/>
    <w:pPr>
      <w:spacing w:before="100" w:beforeAutospacing="1" w:after="100" w:afterAutospacing="1"/>
      <w:ind w:right="45"/>
    </w:pPr>
    <w:rPr>
      <w:bCs w:val="0"/>
      <w:sz w:val="24"/>
    </w:rPr>
  </w:style>
  <w:style w:type="paragraph" w:customStyle="1" w:styleId="thsimpleicon1">
    <w:name w:val="th_simple_icon1"/>
    <w:basedOn w:val="Normal"/>
    <w:rsid w:val="00435883"/>
    <w:pPr>
      <w:spacing w:before="100" w:beforeAutospacing="1" w:after="100" w:afterAutospacing="1"/>
      <w:ind w:right="45" w:firstLine="22384"/>
      <w:textAlignment w:val="center"/>
    </w:pPr>
    <w:rPr>
      <w:bCs w:val="0"/>
      <w:sz w:val="24"/>
    </w:rPr>
  </w:style>
  <w:style w:type="paragraph" w:customStyle="1" w:styleId="codropdowntabexpanded1">
    <w:name w:val="co_dropdowntabexpanded1"/>
    <w:basedOn w:val="Normal"/>
    <w:rsid w:val="00435883"/>
    <w:rPr>
      <w:bCs w:val="0"/>
      <w:sz w:val="24"/>
    </w:rPr>
  </w:style>
  <w:style w:type="paragraph" w:customStyle="1" w:styleId="codropdowntab2">
    <w:name w:val="co_dropdowntab2"/>
    <w:basedOn w:val="Normal"/>
    <w:rsid w:val="00435883"/>
    <w:rPr>
      <w:bCs w:val="0"/>
      <w:sz w:val="24"/>
    </w:rPr>
  </w:style>
  <w:style w:type="paragraph" w:customStyle="1" w:styleId="coglobalnavdropdownboxheader1">
    <w:name w:val="co_globalnavdropdownbox_header1"/>
    <w:basedOn w:val="Normal"/>
    <w:rsid w:val="00435883"/>
    <w:pPr>
      <w:pBdr>
        <w:bottom w:val="single" w:sz="6" w:space="0" w:color="CCCCCC"/>
      </w:pBdr>
      <w:shd w:val="clear" w:color="auto" w:fill="F6F6F6"/>
      <w:spacing w:before="100" w:beforeAutospacing="1" w:after="100" w:afterAutospacing="1" w:line="540" w:lineRule="atLeast"/>
    </w:pPr>
    <w:rPr>
      <w:bCs w:val="0"/>
      <w:sz w:val="24"/>
    </w:rPr>
  </w:style>
  <w:style w:type="paragraph" w:customStyle="1" w:styleId="cofloatright1">
    <w:name w:val="co_floatright1"/>
    <w:basedOn w:val="Normal"/>
    <w:rsid w:val="00435883"/>
    <w:pPr>
      <w:spacing w:before="100" w:beforeAutospacing="1" w:after="100" w:afterAutospacing="1"/>
      <w:ind w:left="225"/>
    </w:pPr>
    <w:rPr>
      <w:bCs w:val="0"/>
      <w:sz w:val="18"/>
      <w:szCs w:val="18"/>
    </w:rPr>
  </w:style>
  <w:style w:type="paragraph" w:customStyle="1" w:styleId="codropdownboxexpanded5">
    <w:name w:val="co_dropdownboxexpanded5"/>
    <w:basedOn w:val="Normal"/>
    <w:rsid w:val="00435883"/>
    <w:pPr>
      <w:pBdr>
        <w:top w:val="single" w:sz="6" w:space="2" w:color="C9C9C9"/>
        <w:left w:val="single" w:sz="6" w:space="0" w:color="C9C9C9"/>
        <w:bottom w:val="single" w:sz="6" w:space="2" w:color="C9C9C9"/>
        <w:right w:val="single" w:sz="6" w:space="0" w:color="C9C9C9"/>
      </w:pBdr>
      <w:shd w:val="clear" w:color="auto" w:fill="FFFFFF"/>
    </w:pPr>
    <w:rPr>
      <w:bCs w:val="0"/>
      <w:sz w:val="24"/>
    </w:rPr>
  </w:style>
  <w:style w:type="paragraph" w:customStyle="1" w:styleId="coclientidcontainer2">
    <w:name w:val="co_clientid_container2"/>
    <w:basedOn w:val="Normal"/>
    <w:rsid w:val="00435883"/>
    <w:pPr>
      <w:spacing w:before="100" w:beforeAutospacing="1" w:after="240"/>
    </w:pPr>
    <w:rPr>
      <w:bCs w:val="0"/>
      <w:sz w:val="18"/>
      <w:szCs w:val="18"/>
    </w:rPr>
  </w:style>
  <w:style w:type="paragraph" w:customStyle="1" w:styleId="coclientidrecent1">
    <w:name w:val="co_clientid_recent1"/>
    <w:basedOn w:val="Normal"/>
    <w:rsid w:val="00435883"/>
    <w:pPr>
      <w:spacing w:before="100" w:beforeAutospacing="1" w:after="100" w:afterAutospacing="1"/>
    </w:pPr>
    <w:rPr>
      <w:bCs w:val="0"/>
      <w:sz w:val="24"/>
    </w:rPr>
  </w:style>
  <w:style w:type="paragraph" w:customStyle="1" w:styleId="cosearchformouter2">
    <w:name w:val="co_searchformouter2"/>
    <w:basedOn w:val="Normal"/>
    <w:rsid w:val="00435883"/>
    <w:pPr>
      <w:spacing w:before="100" w:beforeAutospacing="1" w:after="100" w:afterAutospacing="1"/>
      <w:textAlignment w:val="center"/>
    </w:pPr>
    <w:rPr>
      <w:bCs w:val="0"/>
      <w:sz w:val="24"/>
    </w:rPr>
  </w:style>
  <w:style w:type="paragraph" w:customStyle="1" w:styleId="cosearchsuggestioncontainer2">
    <w:name w:val="co_searchsuggestioncontainer2"/>
    <w:basedOn w:val="Normal"/>
    <w:rsid w:val="00435883"/>
    <w:pPr>
      <w:pBdr>
        <w:top w:val="single" w:sz="2" w:space="0" w:color="CCCCCC"/>
        <w:left w:val="single" w:sz="6" w:space="0" w:color="CCCCCC"/>
        <w:bottom w:val="single" w:sz="6" w:space="0" w:color="CCCCCC"/>
        <w:right w:val="single" w:sz="6" w:space="0" w:color="CCCCCC"/>
      </w:pBdr>
      <w:shd w:val="clear" w:color="auto" w:fill="FFFFFF"/>
      <w:spacing w:line="270" w:lineRule="atLeast"/>
      <w:ind w:left="30" w:right="30"/>
    </w:pPr>
    <w:rPr>
      <w:bCs w:val="0"/>
      <w:sz w:val="24"/>
    </w:rPr>
  </w:style>
  <w:style w:type="paragraph" w:customStyle="1" w:styleId="coinputbottom1">
    <w:name w:val="co_inputbottom1"/>
    <w:basedOn w:val="Normal"/>
    <w:rsid w:val="00435883"/>
    <w:pPr>
      <w:spacing w:before="100" w:beforeAutospacing="1" w:after="100" w:afterAutospacing="1"/>
    </w:pPr>
    <w:rPr>
      <w:bCs w:val="0"/>
      <w:vanish/>
      <w:sz w:val="24"/>
    </w:rPr>
  </w:style>
  <w:style w:type="paragraph" w:customStyle="1" w:styleId="coinputtop1">
    <w:name w:val="co_inputtop1"/>
    <w:basedOn w:val="Normal"/>
    <w:rsid w:val="00435883"/>
    <w:pPr>
      <w:spacing w:before="100" w:beforeAutospacing="1" w:after="100" w:afterAutospacing="1"/>
    </w:pPr>
    <w:rPr>
      <w:bCs w:val="0"/>
      <w:vanis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53">
      <w:bodyDiv w:val="1"/>
      <w:marLeft w:val="0"/>
      <w:marRight w:val="0"/>
      <w:marTop w:val="0"/>
      <w:marBottom w:val="0"/>
      <w:divBdr>
        <w:top w:val="none" w:sz="0" w:space="0" w:color="auto"/>
        <w:left w:val="none" w:sz="0" w:space="0" w:color="auto"/>
        <w:bottom w:val="none" w:sz="0" w:space="0" w:color="auto"/>
        <w:right w:val="none" w:sz="0" w:space="0" w:color="auto"/>
      </w:divBdr>
      <w:divsChild>
        <w:div w:id="1979415784">
          <w:marLeft w:val="0"/>
          <w:marRight w:val="0"/>
          <w:marTop w:val="0"/>
          <w:marBottom w:val="0"/>
          <w:divBdr>
            <w:top w:val="none" w:sz="0" w:space="0" w:color="auto"/>
            <w:left w:val="none" w:sz="0" w:space="0" w:color="auto"/>
            <w:bottom w:val="none" w:sz="0" w:space="0" w:color="auto"/>
            <w:right w:val="none" w:sz="0" w:space="0" w:color="auto"/>
          </w:divBdr>
          <w:divsChild>
            <w:div w:id="1928805727">
              <w:marLeft w:val="0"/>
              <w:marRight w:val="0"/>
              <w:marTop w:val="0"/>
              <w:marBottom w:val="0"/>
              <w:divBdr>
                <w:top w:val="none" w:sz="0" w:space="0" w:color="auto"/>
                <w:left w:val="none" w:sz="0" w:space="0" w:color="auto"/>
                <w:bottom w:val="none" w:sz="0" w:space="0" w:color="auto"/>
                <w:right w:val="none" w:sz="0" w:space="0" w:color="auto"/>
              </w:divBdr>
              <w:divsChild>
                <w:div w:id="97721462">
                  <w:marLeft w:val="0"/>
                  <w:marRight w:val="0"/>
                  <w:marTop w:val="0"/>
                  <w:marBottom w:val="0"/>
                  <w:divBdr>
                    <w:top w:val="none" w:sz="0" w:space="0" w:color="auto"/>
                    <w:left w:val="none" w:sz="0" w:space="0" w:color="auto"/>
                    <w:bottom w:val="none" w:sz="0" w:space="0" w:color="auto"/>
                    <w:right w:val="none" w:sz="0" w:space="0" w:color="auto"/>
                  </w:divBdr>
                  <w:divsChild>
                    <w:div w:id="337343399">
                      <w:marLeft w:val="0"/>
                      <w:marRight w:val="0"/>
                      <w:marTop w:val="0"/>
                      <w:marBottom w:val="375"/>
                      <w:divBdr>
                        <w:top w:val="none" w:sz="0" w:space="0" w:color="auto"/>
                        <w:left w:val="none" w:sz="0" w:space="0" w:color="auto"/>
                        <w:bottom w:val="none" w:sz="0" w:space="0" w:color="auto"/>
                        <w:right w:val="none" w:sz="0" w:space="0" w:color="auto"/>
                      </w:divBdr>
                      <w:divsChild>
                        <w:div w:id="1373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590">
      <w:bodyDiv w:val="1"/>
      <w:marLeft w:val="0"/>
      <w:marRight w:val="0"/>
      <w:marTop w:val="0"/>
      <w:marBottom w:val="0"/>
      <w:divBdr>
        <w:top w:val="none" w:sz="0" w:space="0" w:color="auto"/>
        <w:left w:val="none" w:sz="0" w:space="0" w:color="auto"/>
        <w:bottom w:val="none" w:sz="0" w:space="0" w:color="auto"/>
        <w:right w:val="none" w:sz="0" w:space="0" w:color="auto"/>
      </w:divBdr>
      <w:divsChild>
        <w:div w:id="587735980">
          <w:marLeft w:val="0"/>
          <w:marRight w:val="0"/>
          <w:marTop w:val="0"/>
          <w:marBottom w:val="0"/>
          <w:divBdr>
            <w:top w:val="none" w:sz="0" w:space="0" w:color="auto"/>
            <w:left w:val="single" w:sz="6" w:space="0" w:color="BBBBBB"/>
            <w:bottom w:val="single" w:sz="6" w:space="0" w:color="BBBBBB"/>
            <w:right w:val="single" w:sz="6" w:space="0" w:color="BBBBBB"/>
          </w:divBdr>
          <w:divsChild>
            <w:div w:id="457143659">
              <w:marLeft w:val="0"/>
              <w:marRight w:val="0"/>
              <w:marTop w:val="0"/>
              <w:marBottom w:val="0"/>
              <w:divBdr>
                <w:top w:val="none" w:sz="0" w:space="0" w:color="auto"/>
                <w:left w:val="none" w:sz="0" w:space="0" w:color="auto"/>
                <w:bottom w:val="none" w:sz="0" w:space="0" w:color="auto"/>
                <w:right w:val="none" w:sz="0" w:space="0" w:color="auto"/>
              </w:divBdr>
              <w:divsChild>
                <w:div w:id="176578197">
                  <w:marLeft w:val="0"/>
                  <w:marRight w:val="0"/>
                  <w:marTop w:val="75"/>
                  <w:marBottom w:val="0"/>
                  <w:divBdr>
                    <w:top w:val="none" w:sz="0" w:space="0" w:color="auto"/>
                    <w:left w:val="none" w:sz="0" w:space="0" w:color="auto"/>
                    <w:bottom w:val="none" w:sz="0" w:space="0" w:color="auto"/>
                    <w:right w:val="none" w:sz="0" w:space="0" w:color="auto"/>
                  </w:divBdr>
                  <w:divsChild>
                    <w:div w:id="397823238">
                      <w:marLeft w:val="0"/>
                      <w:marRight w:val="0"/>
                      <w:marTop w:val="0"/>
                      <w:marBottom w:val="0"/>
                      <w:divBdr>
                        <w:top w:val="none" w:sz="0" w:space="0" w:color="auto"/>
                        <w:left w:val="none" w:sz="0" w:space="0" w:color="auto"/>
                        <w:bottom w:val="none" w:sz="0" w:space="0" w:color="auto"/>
                        <w:right w:val="none" w:sz="0" w:space="0" w:color="auto"/>
                      </w:divBdr>
                      <w:divsChild>
                        <w:div w:id="1484082035">
                          <w:marLeft w:val="0"/>
                          <w:marRight w:val="0"/>
                          <w:marTop w:val="0"/>
                          <w:marBottom w:val="0"/>
                          <w:divBdr>
                            <w:top w:val="none" w:sz="0" w:space="0" w:color="auto"/>
                            <w:left w:val="none" w:sz="0" w:space="0" w:color="auto"/>
                            <w:bottom w:val="none" w:sz="0" w:space="0" w:color="auto"/>
                            <w:right w:val="none" w:sz="0" w:space="0" w:color="auto"/>
                          </w:divBdr>
                          <w:divsChild>
                            <w:div w:id="1454178740">
                              <w:marLeft w:val="0"/>
                              <w:marRight w:val="0"/>
                              <w:marTop w:val="0"/>
                              <w:marBottom w:val="0"/>
                              <w:divBdr>
                                <w:top w:val="none" w:sz="0" w:space="0" w:color="auto"/>
                                <w:left w:val="none" w:sz="0" w:space="0" w:color="auto"/>
                                <w:bottom w:val="none" w:sz="0" w:space="0" w:color="auto"/>
                                <w:right w:val="none" w:sz="0" w:space="0" w:color="auto"/>
                              </w:divBdr>
                              <w:divsChild>
                                <w:div w:id="1591010">
                                  <w:marLeft w:val="0"/>
                                  <w:marRight w:val="0"/>
                                  <w:marTop w:val="0"/>
                                  <w:marBottom w:val="0"/>
                                  <w:divBdr>
                                    <w:top w:val="none" w:sz="0" w:space="0" w:color="auto"/>
                                    <w:left w:val="none" w:sz="0" w:space="0" w:color="auto"/>
                                    <w:bottom w:val="none" w:sz="0" w:space="0" w:color="auto"/>
                                    <w:right w:val="none" w:sz="0" w:space="0" w:color="auto"/>
                                  </w:divBdr>
                                  <w:divsChild>
                                    <w:div w:id="205605883">
                                      <w:marLeft w:val="0"/>
                                      <w:marRight w:val="0"/>
                                      <w:marTop w:val="0"/>
                                      <w:marBottom w:val="0"/>
                                      <w:divBdr>
                                        <w:top w:val="none" w:sz="0" w:space="0" w:color="auto"/>
                                        <w:left w:val="none" w:sz="0" w:space="0" w:color="auto"/>
                                        <w:bottom w:val="none" w:sz="0" w:space="0" w:color="auto"/>
                                        <w:right w:val="none" w:sz="0" w:space="0" w:color="auto"/>
                                      </w:divBdr>
                                      <w:divsChild>
                                        <w:div w:id="62610278">
                                          <w:marLeft w:val="1200"/>
                                          <w:marRight w:val="1200"/>
                                          <w:marTop w:val="0"/>
                                          <w:marBottom w:val="0"/>
                                          <w:divBdr>
                                            <w:top w:val="none" w:sz="0" w:space="0" w:color="auto"/>
                                            <w:left w:val="none" w:sz="0" w:space="0" w:color="auto"/>
                                            <w:bottom w:val="none" w:sz="0" w:space="0" w:color="auto"/>
                                            <w:right w:val="none" w:sz="0" w:space="0" w:color="auto"/>
                                          </w:divBdr>
                                          <w:divsChild>
                                            <w:div w:id="558395450">
                                              <w:marLeft w:val="0"/>
                                              <w:marRight w:val="0"/>
                                              <w:marTop w:val="0"/>
                                              <w:marBottom w:val="0"/>
                                              <w:divBdr>
                                                <w:top w:val="none" w:sz="0" w:space="0" w:color="auto"/>
                                                <w:left w:val="none" w:sz="0" w:space="0" w:color="auto"/>
                                                <w:bottom w:val="none" w:sz="0" w:space="0" w:color="auto"/>
                                                <w:right w:val="none" w:sz="0" w:space="0" w:color="auto"/>
                                              </w:divBdr>
                                              <w:divsChild>
                                                <w:div w:id="767039904">
                                                  <w:marLeft w:val="0"/>
                                                  <w:marRight w:val="0"/>
                                                  <w:marTop w:val="0"/>
                                                  <w:marBottom w:val="0"/>
                                                  <w:divBdr>
                                                    <w:top w:val="none" w:sz="0" w:space="0" w:color="auto"/>
                                                    <w:left w:val="none" w:sz="0" w:space="0" w:color="auto"/>
                                                    <w:bottom w:val="none" w:sz="0" w:space="0" w:color="auto"/>
                                                    <w:right w:val="none" w:sz="0" w:space="0" w:color="auto"/>
                                                  </w:divBdr>
                                                  <w:divsChild>
                                                    <w:div w:id="1153525021">
                                                      <w:marLeft w:val="0"/>
                                                      <w:marRight w:val="0"/>
                                                      <w:marTop w:val="0"/>
                                                      <w:marBottom w:val="0"/>
                                                      <w:divBdr>
                                                        <w:top w:val="none" w:sz="0" w:space="0" w:color="auto"/>
                                                        <w:left w:val="none" w:sz="0" w:space="0" w:color="auto"/>
                                                        <w:bottom w:val="none" w:sz="0" w:space="0" w:color="auto"/>
                                                        <w:right w:val="none" w:sz="0" w:space="0" w:color="auto"/>
                                                      </w:divBdr>
                                                      <w:divsChild>
                                                        <w:div w:id="769618113">
                                                          <w:marLeft w:val="0"/>
                                                          <w:marRight w:val="0"/>
                                                          <w:marTop w:val="0"/>
                                                          <w:marBottom w:val="0"/>
                                                          <w:divBdr>
                                                            <w:top w:val="none" w:sz="0" w:space="0" w:color="auto"/>
                                                            <w:left w:val="none" w:sz="0" w:space="0" w:color="auto"/>
                                                            <w:bottom w:val="none" w:sz="0" w:space="0" w:color="auto"/>
                                                            <w:right w:val="none" w:sz="0" w:space="0" w:color="auto"/>
                                                          </w:divBdr>
                                                          <w:divsChild>
                                                            <w:div w:id="339085544">
                                                              <w:marLeft w:val="0"/>
                                                              <w:marRight w:val="0"/>
                                                              <w:marTop w:val="0"/>
                                                              <w:marBottom w:val="0"/>
                                                              <w:divBdr>
                                                                <w:top w:val="none" w:sz="0" w:space="0" w:color="auto"/>
                                                                <w:left w:val="none" w:sz="0" w:space="0" w:color="auto"/>
                                                                <w:bottom w:val="none" w:sz="0" w:space="0" w:color="auto"/>
                                                                <w:right w:val="none" w:sz="0" w:space="0" w:color="auto"/>
                                                              </w:divBdr>
                                                              <w:divsChild>
                                                                <w:div w:id="1210536556">
                                                                  <w:marLeft w:val="0"/>
                                                                  <w:marRight w:val="0"/>
                                                                  <w:marTop w:val="0"/>
                                                                  <w:marBottom w:val="0"/>
                                                                  <w:divBdr>
                                                                    <w:top w:val="none" w:sz="0" w:space="0" w:color="auto"/>
                                                                    <w:left w:val="none" w:sz="0" w:space="0" w:color="auto"/>
                                                                    <w:bottom w:val="none" w:sz="0" w:space="0" w:color="auto"/>
                                                                    <w:right w:val="none" w:sz="0" w:space="0" w:color="auto"/>
                                                                  </w:divBdr>
                                                                  <w:divsChild>
                                                                    <w:div w:id="144128239">
                                                                      <w:marLeft w:val="0"/>
                                                                      <w:marRight w:val="0"/>
                                                                      <w:marTop w:val="0"/>
                                                                      <w:marBottom w:val="0"/>
                                                                      <w:divBdr>
                                                                        <w:top w:val="none" w:sz="0" w:space="0" w:color="auto"/>
                                                                        <w:left w:val="none" w:sz="0" w:space="0" w:color="auto"/>
                                                                        <w:bottom w:val="none" w:sz="0" w:space="0" w:color="auto"/>
                                                                        <w:right w:val="none" w:sz="0" w:space="0" w:color="auto"/>
                                                                      </w:divBdr>
                                                                      <w:divsChild>
                                                                        <w:div w:id="252591205">
                                                                          <w:marLeft w:val="0"/>
                                                                          <w:marRight w:val="0"/>
                                                                          <w:marTop w:val="0"/>
                                                                          <w:marBottom w:val="0"/>
                                                                          <w:divBdr>
                                                                            <w:top w:val="none" w:sz="0" w:space="0" w:color="auto"/>
                                                                            <w:left w:val="none" w:sz="0" w:space="0" w:color="auto"/>
                                                                            <w:bottom w:val="none" w:sz="0" w:space="0" w:color="auto"/>
                                                                            <w:right w:val="none" w:sz="0" w:space="0" w:color="auto"/>
                                                                          </w:divBdr>
                                                                        </w:div>
                                                                      </w:divsChild>
                                                                    </w:div>
                                                                    <w:div w:id="675424447">
                                                                      <w:marLeft w:val="0"/>
                                                                      <w:marRight w:val="0"/>
                                                                      <w:marTop w:val="0"/>
                                                                      <w:marBottom w:val="0"/>
                                                                      <w:divBdr>
                                                                        <w:top w:val="none" w:sz="0" w:space="0" w:color="auto"/>
                                                                        <w:left w:val="none" w:sz="0" w:space="0" w:color="auto"/>
                                                                        <w:bottom w:val="none" w:sz="0" w:space="0" w:color="auto"/>
                                                                        <w:right w:val="none" w:sz="0" w:space="0" w:color="auto"/>
                                                                      </w:divBdr>
                                                                      <w:divsChild>
                                                                        <w:div w:id="2012945458">
                                                                          <w:marLeft w:val="0"/>
                                                                          <w:marRight w:val="0"/>
                                                                          <w:marTop w:val="0"/>
                                                                          <w:marBottom w:val="0"/>
                                                                          <w:divBdr>
                                                                            <w:top w:val="none" w:sz="0" w:space="0" w:color="auto"/>
                                                                            <w:left w:val="none" w:sz="0" w:space="0" w:color="auto"/>
                                                                            <w:bottom w:val="none" w:sz="0" w:space="0" w:color="auto"/>
                                                                            <w:right w:val="none" w:sz="0" w:space="0" w:color="auto"/>
                                                                          </w:divBdr>
                                                                        </w:div>
                                                                      </w:divsChild>
                                                                    </w:div>
                                                                    <w:div w:id="1007902670">
                                                                      <w:marLeft w:val="0"/>
                                                                      <w:marRight w:val="0"/>
                                                                      <w:marTop w:val="0"/>
                                                                      <w:marBottom w:val="0"/>
                                                                      <w:divBdr>
                                                                        <w:top w:val="none" w:sz="0" w:space="0" w:color="auto"/>
                                                                        <w:left w:val="none" w:sz="0" w:space="0" w:color="auto"/>
                                                                        <w:bottom w:val="none" w:sz="0" w:space="0" w:color="auto"/>
                                                                        <w:right w:val="none" w:sz="0" w:space="0" w:color="auto"/>
                                                                      </w:divBdr>
                                                                      <w:divsChild>
                                                                        <w:div w:id="12741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2225">
      <w:bodyDiv w:val="1"/>
      <w:marLeft w:val="0"/>
      <w:marRight w:val="0"/>
      <w:marTop w:val="0"/>
      <w:marBottom w:val="0"/>
      <w:divBdr>
        <w:top w:val="none" w:sz="0" w:space="0" w:color="auto"/>
        <w:left w:val="none" w:sz="0" w:space="0" w:color="auto"/>
        <w:bottom w:val="none" w:sz="0" w:space="0" w:color="auto"/>
        <w:right w:val="none" w:sz="0" w:space="0" w:color="auto"/>
      </w:divBdr>
      <w:divsChild>
        <w:div w:id="1513643778">
          <w:marLeft w:val="0"/>
          <w:marRight w:val="0"/>
          <w:marTop w:val="0"/>
          <w:marBottom w:val="0"/>
          <w:divBdr>
            <w:top w:val="none" w:sz="0" w:space="0" w:color="auto"/>
            <w:left w:val="none" w:sz="0" w:space="0" w:color="auto"/>
            <w:bottom w:val="none" w:sz="0" w:space="0" w:color="auto"/>
            <w:right w:val="none" w:sz="0" w:space="0" w:color="auto"/>
          </w:divBdr>
          <w:divsChild>
            <w:div w:id="1901020340">
              <w:marLeft w:val="0"/>
              <w:marRight w:val="0"/>
              <w:marTop w:val="0"/>
              <w:marBottom w:val="0"/>
              <w:divBdr>
                <w:top w:val="none" w:sz="0" w:space="0" w:color="auto"/>
                <w:left w:val="none" w:sz="0" w:space="0" w:color="auto"/>
                <w:bottom w:val="none" w:sz="0" w:space="0" w:color="auto"/>
                <w:right w:val="none" w:sz="0" w:space="0" w:color="auto"/>
              </w:divBdr>
              <w:divsChild>
                <w:div w:id="1755397514">
                  <w:marLeft w:val="0"/>
                  <w:marRight w:val="0"/>
                  <w:marTop w:val="0"/>
                  <w:marBottom w:val="0"/>
                  <w:divBdr>
                    <w:top w:val="none" w:sz="0" w:space="0" w:color="auto"/>
                    <w:left w:val="none" w:sz="0" w:space="0" w:color="auto"/>
                    <w:bottom w:val="none" w:sz="0" w:space="0" w:color="auto"/>
                    <w:right w:val="none" w:sz="0" w:space="0" w:color="auto"/>
                  </w:divBdr>
                  <w:divsChild>
                    <w:div w:id="257951303">
                      <w:marLeft w:val="0"/>
                      <w:marRight w:val="0"/>
                      <w:marTop w:val="0"/>
                      <w:marBottom w:val="300"/>
                      <w:divBdr>
                        <w:top w:val="none" w:sz="0" w:space="0" w:color="auto"/>
                        <w:left w:val="none" w:sz="0" w:space="0" w:color="auto"/>
                        <w:bottom w:val="none" w:sz="0" w:space="0" w:color="auto"/>
                        <w:right w:val="none" w:sz="0" w:space="0" w:color="auto"/>
                      </w:divBdr>
                      <w:divsChild>
                        <w:div w:id="19578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498">
      <w:bodyDiv w:val="1"/>
      <w:marLeft w:val="0"/>
      <w:marRight w:val="0"/>
      <w:marTop w:val="0"/>
      <w:marBottom w:val="0"/>
      <w:divBdr>
        <w:top w:val="none" w:sz="0" w:space="0" w:color="auto"/>
        <w:left w:val="none" w:sz="0" w:space="0" w:color="auto"/>
        <w:bottom w:val="none" w:sz="0" w:space="0" w:color="auto"/>
        <w:right w:val="none" w:sz="0" w:space="0" w:color="auto"/>
      </w:divBdr>
      <w:divsChild>
        <w:div w:id="1033850089">
          <w:marLeft w:val="0"/>
          <w:marRight w:val="0"/>
          <w:marTop w:val="240"/>
          <w:marBottom w:val="0"/>
          <w:divBdr>
            <w:top w:val="none" w:sz="0" w:space="0" w:color="auto"/>
            <w:left w:val="none" w:sz="0" w:space="0" w:color="auto"/>
            <w:bottom w:val="none" w:sz="0" w:space="0" w:color="auto"/>
            <w:right w:val="none" w:sz="0" w:space="0" w:color="auto"/>
          </w:divBdr>
          <w:divsChild>
            <w:div w:id="1346713789">
              <w:marLeft w:val="0"/>
              <w:marRight w:val="0"/>
              <w:marTop w:val="0"/>
              <w:marBottom w:val="0"/>
              <w:divBdr>
                <w:top w:val="none" w:sz="0" w:space="0" w:color="auto"/>
                <w:left w:val="none" w:sz="0" w:space="0" w:color="auto"/>
                <w:bottom w:val="none" w:sz="0" w:space="0" w:color="auto"/>
                <w:right w:val="none" w:sz="0" w:space="0" w:color="auto"/>
              </w:divBdr>
            </w:div>
          </w:divsChild>
        </w:div>
        <w:div w:id="1627008704">
          <w:marLeft w:val="0"/>
          <w:marRight w:val="0"/>
          <w:marTop w:val="240"/>
          <w:marBottom w:val="0"/>
          <w:divBdr>
            <w:top w:val="none" w:sz="0" w:space="0" w:color="auto"/>
            <w:left w:val="none" w:sz="0" w:space="0" w:color="auto"/>
            <w:bottom w:val="none" w:sz="0" w:space="0" w:color="auto"/>
            <w:right w:val="none" w:sz="0" w:space="0" w:color="auto"/>
          </w:divBdr>
          <w:divsChild>
            <w:div w:id="8131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138">
      <w:bodyDiv w:val="1"/>
      <w:marLeft w:val="0"/>
      <w:marRight w:val="0"/>
      <w:marTop w:val="0"/>
      <w:marBottom w:val="0"/>
      <w:divBdr>
        <w:top w:val="none" w:sz="0" w:space="0" w:color="auto"/>
        <w:left w:val="none" w:sz="0" w:space="0" w:color="auto"/>
        <w:bottom w:val="none" w:sz="0" w:space="0" w:color="auto"/>
        <w:right w:val="none" w:sz="0" w:space="0" w:color="auto"/>
      </w:divBdr>
      <w:divsChild>
        <w:div w:id="319238007">
          <w:marLeft w:val="0"/>
          <w:marRight w:val="0"/>
          <w:marTop w:val="0"/>
          <w:marBottom w:val="0"/>
          <w:divBdr>
            <w:top w:val="none" w:sz="0" w:space="0" w:color="auto"/>
            <w:left w:val="single" w:sz="6" w:space="0" w:color="BBBBBB"/>
            <w:bottom w:val="single" w:sz="6" w:space="0" w:color="BBBBBB"/>
            <w:right w:val="single" w:sz="6" w:space="0" w:color="BBBBBB"/>
          </w:divBdr>
          <w:divsChild>
            <w:div w:id="269053079">
              <w:marLeft w:val="0"/>
              <w:marRight w:val="0"/>
              <w:marTop w:val="0"/>
              <w:marBottom w:val="0"/>
              <w:divBdr>
                <w:top w:val="none" w:sz="0" w:space="0" w:color="auto"/>
                <w:left w:val="none" w:sz="0" w:space="0" w:color="auto"/>
                <w:bottom w:val="none" w:sz="0" w:space="0" w:color="auto"/>
                <w:right w:val="none" w:sz="0" w:space="0" w:color="auto"/>
              </w:divBdr>
              <w:divsChild>
                <w:div w:id="1284729237">
                  <w:marLeft w:val="0"/>
                  <w:marRight w:val="0"/>
                  <w:marTop w:val="0"/>
                  <w:marBottom w:val="0"/>
                  <w:divBdr>
                    <w:top w:val="none" w:sz="0" w:space="0" w:color="auto"/>
                    <w:left w:val="none" w:sz="0" w:space="0" w:color="auto"/>
                    <w:bottom w:val="none" w:sz="0" w:space="0" w:color="auto"/>
                    <w:right w:val="none" w:sz="0" w:space="0" w:color="auto"/>
                  </w:divBdr>
                  <w:divsChild>
                    <w:div w:id="1300300252">
                      <w:marLeft w:val="0"/>
                      <w:marRight w:val="0"/>
                      <w:marTop w:val="0"/>
                      <w:marBottom w:val="0"/>
                      <w:divBdr>
                        <w:top w:val="none" w:sz="0" w:space="0" w:color="auto"/>
                        <w:left w:val="none" w:sz="0" w:space="0" w:color="auto"/>
                        <w:bottom w:val="none" w:sz="0" w:space="0" w:color="auto"/>
                        <w:right w:val="none" w:sz="0" w:space="0" w:color="auto"/>
                      </w:divBdr>
                      <w:divsChild>
                        <w:div w:id="1349596903">
                          <w:marLeft w:val="0"/>
                          <w:marRight w:val="0"/>
                          <w:marTop w:val="0"/>
                          <w:marBottom w:val="0"/>
                          <w:divBdr>
                            <w:top w:val="none" w:sz="0" w:space="0" w:color="auto"/>
                            <w:left w:val="none" w:sz="0" w:space="0" w:color="auto"/>
                            <w:bottom w:val="none" w:sz="0" w:space="0" w:color="auto"/>
                            <w:right w:val="none" w:sz="0" w:space="0" w:color="auto"/>
                          </w:divBdr>
                          <w:divsChild>
                            <w:div w:id="1274242234">
                              <w:marLeft w:val="0"/>
                              <w:marRight w:val="0"/>
                              <w:marTop w:val="0"/>
                              <w:marBottom w:val="0"/>
                              <w:divBdr>
                                <w:top w:val="none" w:sz="0" w:space="0" w:color="auto"/>
                                <w:left w:val="none" w:sz="0" w:space="0" w:color="auto"/>
                                <w:bottom w:val="none" w:sz="0" w:space="0" w:color="auto"/>
                                <w:right w:val="none" w:sz="0" w:space="0" w:color="auto"/>
                              </w:divBdr>
                              <w:divsChild>
                                <w:div w:id="1461193484">
                                  <w:marLeft w:val="0"/>
                                  <w:marRight w:val="0"/>
                                  <w:marTop w:val="0"/>
                                  <w:marBottom w:val="0"/>
                                  <w:divBdr>
                                    <w:top w:val="none" w:sz="0" w:space="0" w:color="auto"/>
                                    <w:left w:val="none" w:sz="0" w:space="0" w:color="auto"/>
                                    <w:bottom w:val="none" w:sz="0" w:space="0" w:color="auto"/>
                                    <w:right w:val="none" w:sz="0" w:space="0" w:color="auto"/>
                                  </w:divBdr>
                                  <w:divsChild>
                                    <w:div w:id="796606297">
                                      <w:marLeft w:val="0"/>
                                      <w:marRight w:val="0"/>
                                      <w:marTop w:val="0"/>
                                      <w:marBottom w:val="0"/>
                                      <w:divBdr>
                                        <w:top w:val="none" w:sz="0" w:space="0" w:color="auto"/>
                                        <w:left w:val="none" w:sz="0" w:space="0" w:color="auto"/>
                                        <w:bottom w:val="none" w:sz="0" w:space="0" w:color="auto"/>
                                        <w:right w:val="none" w:sz="0" w:space="0" w:color="auto"/>
                                      </w:divBdr>
                                      <w:divsChild>
                                        <w:div w:id="993798091">
                                          <w:marLeft w:val="1200"/>
                                          <w:marRight w:val="1200"/>
                                          <w:marTop w:val="0"/>
                                          <w:marBottom w:val="0"/>
                                          <w:divBdr>
                                            <w:top w:val="none" w:sz="0" w:space="0" w:color="auto"/>
                                            <w:left w:val="none" w:sz="0" w:space="0" w:color="auto"/>
                                            <w:bottom w:val="none" w:sz="0" w:space="0" w:color="auto"/>
                                            <w:right w:val="none" w:sz="0" w:space="0" w:color="auto"/>
                                          </w:divBdr>
                                          <w:divsChild>
                                            <w:div w:id="324087679">
                                              <w:marLeft w:val="0"/>
                                              <w:marRight w:val="0"/>
                                              <w:marTop w:val="0"/>
                                              <w:marBottom w:val="0"/>
                                              <w:divBdr>
                                                <w:top w:val="none" w:sz="0" w:space="0" w:color="auto"/>
                                                <w:left w:val="none" w:sz="0" w:space="0" w:color="auto"/>
                                                <w:bottom w:val="none" w:sz="0" w:space="0" w:color="auto"/>
                                                <w:right w:val="none" w:sz="0" w:space="0" w:color="auto"/>
                                              </w:divBdr>
                                              <w:divsChild>
                                                <w:div w:id="1906186829">
                                                  <w:marLeft w:val="0"/>
                                                  <w:marRight w:val="0"/>
                                                  <w:marTop w:val="0"/>
                                                  <w:marBottom w:val="0"/>
                                                  <w:divBdr>
                                                    <w:top w:val="none" w:sz="0" w:space="0" w:color="auto"/>
                                                    <w:left w:val="none" w:sz="0" w:space="0" w:color="auto"/>
                                                    <w:bottom w:val="none" w:sz="0" w:space="0" w:color="auto"/>
                                                    <w:right w:val="none" w:sz="0" w:space="0" w:color="auto"/>
                                                  </w:divBdr>
                                                  <w:divsChild>
                                                    <w:div w:id="499732472">
                                                      <w:marLeft w:val="0"/>
                                                      <w:marRight w:val="0"/>
                                                      <w:marTop w:val="0"/>
                                                      <w:marBottom w:val="0"/>
                                                      <w:divBdr>
                                                        <w:top w:val="none" w:sz="0" w:space="0" w:color="auto"/>
                                                        <w:left w:val="none" w:sz="0" w:space="0" w:color="auto"/>
                                                        <w:bottom w:val="none" w:sz="0" w:space="0" w:color="auto"/>
                                                        <w:right w:val="none" w:sz="0" w:space="0" w:color="auto"/>
                                                      </w:divBdr>
                                                      <w:divsChild>
                                                        <w:div w:id="436677239">
                                                          <w:marLeft w:val="0"/>
                                                          <w:marRight w:val="0"/>
                                                          <w:marTop w:val="0"/>
                                                          <w:marBottom w:val="0"/>
                                                          <w:divBdr>
                                                            <w:top w:val="none" w:sz="0" w:space="0" w:color="auto"/>
                                                            <w:left w:val="none" w:sz="0" w:space="0" w:color="auto"/>
                                                            <w:bottom w:val="none" w:sz="0" w:space="0" w:color="auto"/>
                                                            <w:right w:val="none" w:sz="0" w:space="0" w:color="auto"/>
                                                          </w:divBdr>
                                                          <w:divsChild>
                                                            <w:div w:id="544872497">
                                                              <w:marLeft w:val="0"/>
                                                              <w:marRight w:val="0"/>
                                                              <w:marTop w:val="0"/>
                                                              <w:marBottom w:val="0"/>
                                                              <w:divBdr>
                                                                <w:top w:val="none" w:sz="0" w:space="0" w:color="auto"/>
                                                                <w:left w:val="none" w:sz="0" w:space="0" w:color="auto"/>
                                                                <w:bottom w:val="none" w:sz="0" w:space="0" w:color="auto"/>
                                                                <w:right w:val="none" w:sz="0" w:space="0" w:color="auto"/>
                                                              </w:divBdr>
                                                              <w:divsChild>
                                                                <w:div w:id="1914969758">
                                                                  <w:marLeft w:val="0"/>
                                                                  <w:marRight w:val="0"/>
                                                                  <w:marTop w:val="0"/>
                                                                  <w:marBottom w:val="0"/>
                                                                  <w:divBdr>
                                                                    <w:top w:val="none" w:sz="0" w:space="0" w:color="auto"/>
                                                                    <w:left w:val="none" w:sz="0" w:space="0" w:color="auto"/>
                                                                    <w:bottom w:val="none" w:sz="0" w:space="0" w:color="auto"/>
                                                                    <w:right w:val="none" w:sz="0" w:space="0" w:color="auto"/>
                                                                  </w:divBdr>
                                                                  <w:divsChild>
                                                                    <w:div w:id="8258978">
                                                                      <w:marLeft w:val="0"/>
                                                                      <w:marRight w:val="0"/>
                                                                      <w:marTop w:val="0"/>
                                                                      <w:marBottom w:val="0"/>
                                                                      <w:divBdr>
                                                                        <w:top w:val="none" w:sz="0" w:space="0" w:color="auto"/>
                                                                        <w:left w:val="none" w:sz="0" w:space="0" w:color="auto"/>
                                                                        <w:bottom w:val="none" w:sz="0" w:space="0" w:color="auto"/>
                                                                        <w:right w:val="none" w:sz="0" w:space="0" w:color="auto"/>
                                                                      </w:divBdr>
                                                                      <w:divsChild>
                                                                        <w:div w:id="1628049596">
                                                                          <w:marLeft w:val="0"/>
                                                                          <w:marRight w:val="0"/>
                                                                          <w:marTop w:val="0"/>
                                                                          <w:marBottom w:val="0"/>
                                                                          <w:divBdr>
                                                                            <w:top w:val="none" w:sz="0" w:space="0" w:color="auto"/>
                                                                            <w:left w:val="none" w:sz="0" w:space="0" w:color="auto"/>
                                                                            <w:bottom w:val="none" w:sz="0" w:space="0" w:color="auto"/>
                                                                            <w:right w:val="none" w:sz="0" w:space="0" w:color="auto"/>
                                                                          </w:divBdr>
                                                                        </w:div>
                                                                      </w:divsChild>
                                                                    </w:div>
                                                                    <w:div w:id="464930020">
                                                                      <w:marLeft w:val="0"/>
                                                                      <w:marRight w:val="0"/>
                                                                      <w:marTop w:val="0"/>
                                                                      <w:marBottom w:val="0"/>
                                                                      <w:divBdr>
                                                                        <w:top w:val="none" w:sz="0" w:space="0" w:color="auto"/>
                                                                        <w:left w:val="none" w:sz="0" w:space="0" w:color="auto"/>
                                                                        <w:bottom w:val="none" w:sz="0" w:space="0" w:color="auto"/>
                                                                        <w:right w:val="none" w:sz="0" w:space="0" w:color="auto"/>
                                                                      </w:divBdr>
                                                                      <w:divsChild>
                                                                        <w:div w:id="4615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3066">
      <w:bodyDiv w:val="1"/>
      <w:marLeft w:val="0"/>
      <w:marRight w:val="0"/>
      <w:marTop w:val="0"/>
      <w:marBottom w:val="0"/>
      <w:divBdr>
        <w:top w:val="none" w:sz="0" w:space="0" w:color="auto"/>
        <w:left w:val="none" w:sz="0" w:space="0" w:color="auto"/>
        <w:bottom w:val="none" w:sz="0" w:space="0" w:color="auto"/>
        <w:right w:val="none" w:sz="0" w:space="0" w:color="auto"/>
      </w:divBdr>
      <w:divsChild>
        <w:div w:id="435247367">
          <w:marLeft w:val="0"/>
          <w:marRight w:val="0"/>
          <w:marTop w:val="0"/>
          <w:marBottom w:val="0"/>
          <w:divBdr>
            <w:top w:val="none" w:sz="0" w:space="0" w:color="auto"/>
            <w:left w:val="single" w:sz="6" w:space="0" w:color="BBBBBB"/>
            <w:bottom w:val="single" w:sz="6" w:space="0" w:color="BBBBBB"/>
            <w:right w:val="single" w:sz="6" w:space="0" w:color="BBBBBB"/>
          </w:divBdr>
          <w:divsChild>
            <w:div w:id="1452672701">
              <w:marLeft w:val="0"/>
              <w:marRight w:val="0"/>
              <w:marTop w:val="0"/>
              <w:marBottom w:val="0"/>
              <w:divBdr>
                <w:top w:val="none" w:sz="0" w:space="0" w:color="auto"/>
                <w:left w:val="none" w:sz="0" w:space="0" w:color="auto"/>
                <w:bottom w:val="none" w:sz="0" w:space="0" w:color="auto"/>
                <w:right w:val="none" w:sz="0" w:space="0" w:color="auto"/>
              </w:divBdr>
              <w:divsChild>
                <w:div w:id="1025402416">
                  <w:marLeft w:val="0"/>
                  <w:marRight w:val="0"/>
                  <w:marTop w:val="75"/>
                  <w:marBottom w:val="0"/>
                  <w:divBdr>
                    <w:top w:val="none" w:sz="0" w:space="0" w:color="auto"/>
                    <w:left w:val="none" w:sz="0" w:space="0" w:color="auto"/>
                    <w:bottom w:val="none" w:sz="0" w:space="0" w:color="auto"/>
                    <w:right w:val="none" w:sz="0" w:space="0" w:color="auto"/>
                  </w:divBdr>
                  <w:divsChild>
                    <w:div w:id="978680926">
                      <w:marLeft w:val="0"/>
                      <w:marRight w:val="0"/>
                      <w:marTop w:val="0"/>
                      <w:marBottom w:val="0"/>
                      <w:divBdr>
                        <w:top w:val="none" w:sz="0" w:space="0" w:color="auto"/>
                        <w:left w:val="none" w:sz="0" w:space="0" w:color="auto"/>
                        <w:bottom w:val="none" w:sz="0" w:space="0" w:color="auto"/>
                        <w:right w:val="none" w:sz="0" w:space="0" w:color="auto"/>
                      </w:divBdr>
                      <w:divsChild>
                        <w:div w:id="140466097">
                          <w:marLeft w:val="0"/>
                          <w:marRight w:val="0"/>
                          <w:marTop w:val="0"/>
                          <w:marBottom w:val="0"/>
                          <w:divBdr>
                            <w:top w:val="none" w:sz="0" w:space="0" w:color="auto"/>
                            <w:left w:val="none" w:sz="0" w:space="0" w:color="auto"/>
                            <w:bottom w:val="none" w:sz="0" w:space="0" w:color="auto"/>
                            <w:right w:val="none" w:sz="0" w:space="0" w:color="auto"/>
                          </w:divBdr>
                          <w:divsChild>
                            <w:div w:id="42215474">
                              <w:marLeft w:val="0"/>
                              <w:marRight w:val="0"/>
                              <w:marTop w:val="0"/>
                              <w:marBottom w:val="0"/>
                              <w:divBdr>
                                <w:top w:val="none" w:sz="0" w:space="0" w:color="auto"/>
                                <w:left w:val="none" w:sz="0" w:space="0" w:color="auto"/>
                                <w:bottom w:val="none" w:sz="0" w:space="0" w:color="auto"/>
                                <w:right w:val="none" w:sz="0" w:space="0" w:color="auto"/>
                              </w:divBdr>
                              <w:divsChild>
                                <w:div w:id="1224366113">
                                  <w:marLeft w:val="0"/>
                                  <w:marRight w:val="0"/>
                                  <w:marTop w:val="0"/>
                                  <w:marBottom w:val="0"/>
                                  <w:divBdr>
                                    <w:top w:val="none" w:sz="0" w:space="0" w:color="auto"/>
                                    <w:left w:val="none" w:sz="0" w:space="0" w:color="auto"/>
                                    <w:bottom w:val="none" w:sz="0" w:space="0" w:color="auto"/>
                                    <w:right w:val="none" w:sz="0" w:space="0" w:color="auto"/>
                                  </w:divBdr>
                                  <w:divsChild>
                                    <w:div w:id="1811366668">
                                      <w:marLeft w:val="0"/>
                                      <w:marRight w:val="0"/>
                                      <w:marTop w:val="0"/>
                                      <w:marBottom w:val="0"/>
                                      <w:divBdr>
                                        <w:top w:val="none" w:sz="0" w:space="0" w:color="auto"/>
                                        <w:left w:val="none" w:sz="0" w:space="0" w:color="auto"/>
                                        <w:bottom w:val="none" w:sz="0" w:space="0" w:color="auto"/>
                                        <w:right w:val="none" w:sz="0" w:space="0" w:color="auto"/>
                                      </w:divBdr>
                                      <w:divsChild>
                                        <w:div w:id="938026750">
                                          <w:marLeft w:val="1200"/>
                                          <w:marRight w:val="1200"/>
                                          <w:marTop w:val="0"/>
                                          <w:marBottom w:val="0"/>
                                          <w:divBdr>
                                            <w:top w:val="none" w:sz="0" w:space="0" w:color="auto"/>
                                            <w:left w:val="none" w:sz="0" w:space="0" w:color="auto"/>
                                            <w:bottom w:val="none" w:sz="0" w:space="0" w:color="auto"/>
                                            <w:right w:val="none" w:sz="0" w:space="0" w:color="auto"/>
                                          </w:divBdr>
                                          <w:divsChild>
                                            <w:div w:id="1150705242">
                                              <w:marLeft w:val="0"/>
                                              <w:marRight w:val="0"/>
                                              <w:marTop w:val="0"/>
                                              <w:marBottom w:val="0"/>
                                              <w:divBdr>
                                                <w:top w:val="none" w:sz="0" w:space="0" w:color="auto"/>
                                                <w:left w:val="none" w:sz="0" w:space="0" w:color="auto"/>
                                                <w:bottom w:val="none" w:sz="0" w:space="0" w:color="auto"/>
                                                <w:right w:val="none" w:sz="0" w:space="0" w:color="auto"/>
                                              </w:divBdr>
                                              <w:divsChild>
                                                <w:div w:id="960652677">
                                                  <w:marLeft w:val="0"/>
                                                  <w:marRight w:val="0"/>
                                                  <w:marTop w:val="0"/>
                                                  <w:marBottom w:val="0"/>
                                                  <w:divBdr>
                                                    <w:top w:val="none" w:sz="0" w:space="0" w:color="auto"/>
                                                    <w:left w:val="none" w:sz="0" w:space="0" w:color="auto"/>
                                                    <w:bottom w:val="none" w:sz="0" w:space="0" w:color="auto"/>
                                                    <w:right w:val="none" w:sz="0" w:space="0" w:color="auto"/>
                                                  </w:divBdr>
                                                  <w:divsChild>
                                                    <w:div w:id="1230651007">
                                                      <w:marLeft w:val="0"/>
                                                      <w:marRight w:val="0"/>
                                                      <w:marTop w:val="0"/>
                                                      <w:marBottom w:val="0"/>
                                                      <w:divBdr>
                                                        <w:top w:val="none" w:sz="0" w:space="0" w:color="auto"/>
                                                        <w:left w:val="none" w:sz="0" w:space="0" w:color="auto"/>
                                                        <w:bottom w:val="none" w:sz="0" w:space="0" w:color="auto"/>
                                                        <w:right w:val="none" w:sz="0" w:space="0" w:color="auto"/>
                                                      </w:divBdr>
                                                      <w:divsChild>
                                                        <w:div w:id="450129686">
                                                          <w:marLeft w:val="0"/>
                                                          <w:marRight w:val="0"/>
                                                          <w:marTop w:val="0"/>
                                                          <w:marBottom w:val="0"/>
                                                          <w:divBdr>
                                                            <w:top w:val="none" w:sz="0" w:space="0" w:color="auto"/>
                                                            <w:left w:val="none" w:sz="0" w:space="0" w:color="auto"/>
                                                            <w:bottom w:val="none" w:sz="0" w:space="0" w:color="auto"/>
                                                            <w:right w:val="none" w:sz="0" w:space="0" w:color="auto"/>
                                                          </w:divBdr>
                                                          <w:divsChild>
                                                            <w:div w:id="914319354">
                                                              <w:marLeft w:val="0"/>
                                                              <w:marRight w:val="0"/>
                                                              <w:marTop w:val="0"/>
                                                              <w:marBottom w:val="0"/>
                                                              <w:divBdr>
                                                                <w:top w:val="none" w:sz="0" w:space="0" w:color="auto"/>
                                                                <w:left w:val="none" w:sz="0" w:space="0" w:color="auto"/>
                                                                <w:bottom w:val="none" w:sz="0" w:space="0" w:color="auto"/>
                                                                <w:right w:val="none" w:sz="0" w:space="0" w:color="auto"/>
                                                              </w:divBdr>
                                                              <w:divsChild>
                                                                <w:div w:id="1710301551">
                                                                  <w:marLeft w:val="0"/>
                                                                  <w:marRight w:val="0"/>
                                                                  <w:marTop w:val="0"/>
                                                                  <w:marBottom w:val="0"/>
                                                                  <w:divBdr>
                                                                    <w:top w:val="none" w:sz="0" w:space="0" w:color="auto"/>
                                                                    <w:left w:val="none" w:sz="0" w:space="0" w:color="auto"/>
                                                                    <w:bottom w:val="none" w:sz="0" w:space="0" w:color="auto"/>
                                                                    <w:right w:val="none" w:sz="0" w:space="0" w:color="auto"/>
                                                                  </w:divBdr>
                                                                  <w:divsChild>
                                                                    <w:div w:id="389690667">
                                                                      <w:marLeft w:val="0"/>
                                                                      <w:marRight w:val="0"/>
                                                                      <w:marTop w:val="0"/>
                                                                      <w:marBottom w:val="0"/>
                                                                      <w:divBdr>
                                                                        <w:top w:val="none" w:sz="0" w:space="0" w:color="auto"/>
                                                                        <w:left w:val="none" w:sz="0" w:space="0" w:color="auto"/>
                                                                        <w:bottom w:val="none" w:sz="0" w:space="0" w:color="auto"/>
                                                                        <w:right w:val="none" w:sz="0" w:space="0" w:color="auto"/>
                                                                      </w:divBdr>
                                                                      <w:divsChild>
                                                                        <w:div w:id="498039710">
                                                                          <w:marLeft w:val="0"/>
                                                                          <w:marRight w:val="0"/>
                                                                          <w:marTop w:val="0"/>
                                                                          <w:marBottom w:val="0"/>
                                                                          <w:divBdr>
                                                                            <w:top w:val="none" w:sz="0" w:space="0" w:color="auto"/>
                                                                            <w:left w:val="none" w:sz="0" w:space="0" w:color="auto"/>
                                                                            <w:bottom w:val="none" w:sz="0" w:space="0" w:color="auto"/>
                                                                            <w:right w:val="none" w:sz="0" w:space="0" w:color="auto"/>
                                                                          </w:divBdr>
                                                                        </w:div>
                                                                      </w:divsChild>
                                                                    </w:div>
                                                                    <w:div w:id="1215511267">
                                                                      <w:marLeft w:val="0"/>
                                                                      <w:marRight w:val="0"/>
                                                                      <w:marTop w:val="0"/>
                                                                      <w:marBottom w:val="0"/>
                                                                      <w:divBdr>
                                                                        <w:top w:val="none" w:sz="0" w:space="0" w:color="auto"/>
                                                                        <w:left w:val="none" w:sz="0" w:space="0" w:color="auto"/>
                                                                        <w:bottom w:val="none" w:sz="0" w:space="0" w:color="auto"/>
                                                                        <w:right w:val="none" w:sz="0" w:space="0" w:color="auto"/>
                                                                      </w:divBdr>
                                                                      <w:divsChild>
                                                                        <w:div w:id="433673087">
                                                                          <w:marLeft w:val="0"/>
                                                                          <w:marRight w:val="0"/>
                                                                          <w:marTop w:val="0"/>
                                                                          <w:marBottom w:val="0"/>
                                                                          <w:divBdr>
                                                                            <w:top w:val="none" w:sz="0" w:space="0" w:color="auto"/>
                                                                            <w:left w:val="none" w:sz="0" w:space="0" w:color="auto"/>
                                                                            <w:bottom w:val="none" w:sz="0" w:space="0" w:color="auto"/>
                                                                            <w:right w:val="none" w:sz="0" w:space="0" w:color="auto"/>
                                                                          </w:divBdr>
                                                                        </w:div>
                                                                      </w:divsChild>
                                                                    </w:div>
                                                                    <w:div w:id="1956859755">
                                                                      <w:marLeft w:val="0"/>
                                                                      <w:marRight w:val="0"/>
                                                                      <w:marTop w:val="0"/>
                                                                      <w:marBottom w:val="0"/>
                                                                      <w:divBdr>
                                                                        <w:top w:val="none" w:sz="0" w:space="0" w:color="auto"/>
                                                                        <w:left w:val="none" w:sz="0" w:space="0" w:color="auto"/>
                                                                        <w:bottom w:val="none" w:sz="0" w:space="0" w:color="auto"/>
                                                                        <w:right w:val="none" w:sz="0" w:space="0" w:color="auto"/>
                                                                      </w:divBdr>
                                                                      <w:divsChild>
                                                                        <w:div w:id="897470779">
                                                                          <w:marLeft w:val="0"/>
                                                                          <w:marRight w:val="0"/>
                                                                          <w:marTop w:val="0"/>
                                                                          <w:marBottom w:val="0"/>
                                                                          <w:divBdr>
                                                                            <w:top w:val="none" w:sz="0" w:space="0" w:color="auto"/>
                                                                            <w:left w:val="none" w:sz="0" w:space="0" w:color="auto"/>
                                                                            <w:bottom w:val="none" w:sz="0" w:space="0" w:color="auto"/>
                                                                            <w:right w:val="none" w:sz="0" w:space="0" w:color="auto"/>
                                                                          </w:divBdr>
                                                                        </w:div>
                                                                      </w:divsChild>
                                                                    </w:div>
                                                                    <w:div w:id="2121104417">
                                                                      <w:marLeft w:val="0"/>
                                                                      <w:marRight w:val="0"/>
                                                                      <w:marTop w:val="0"/>
                                                                      <w:marBottom w:val="0"/>
                                                                      <w:divBdr>
                                                                        <w:top w:val="none" w:sz="0" w:space="0" w:color="auto"/>
                                                                        <w:left w:val="none" w:sz="0" w:space="0" w:color="auto"/>
                                                                        <w:bottom w:val="none" w:sz="0" w:space="0" w:color="auto"/>
                                                                        <w:right w:val="none" w:sz="0" w:space="0" w:color="auto"/>
                                                                      </w:divBdr>
                                                                      <w:divsChild>
                                                                        <w:div w:id="9873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5318">
      <w:bodyDiv w:val="1"/>
      <w:marLeft w:val="0"/>
      <w:marRight w:val="0"/>
      <w:marTop w:val="0"/>
      <w:marBottom w:val="0"/>
      <w:divBdr>
        <w:top w:val="none" w:sz="0" w:space="0" w:color="auto"/>
        <w:left w:val="none" w:sz="0" w:space="0" w:color="auto"/>
        <w:bottom w:val="none" w:sz="0" w:space="0" w:color="auto"/>
        <w:right w:val="none" w:sz="0" w:space="0" w:color="auto"/>
      </w:divBdr>
      <w:divsChild>
        <w:div w:id="61216783">
          <w:marLeft w:val="0"/>
          <w:marRight w:val="0"/>
          <w:marTop w:val="0"/>
          <w:marBottom w:val="0"/>
          <w:divBdr>
            <w:top w:val="none" w:sz="0" w:space="0" w:color="auto"/>
            <w:left w:val="none" w:sz="0" w:space="0" w:color="auto"/>
            <w:bottom w:val="none" w:sz="0" w:space="0" w:color="auto"/>
            <w:right w:val="none" w:sz="0" w:space="0" w:color="auto"/>
          </w:divBdr>
        </w:div>
        <w:div w:id="431165838">
          <w:marLeft w:val="0"/>
          <w:marRight w:val="0"/>
          <w:marTop w:val="240"/>
          <w:marBottom w:val="0"/>
          <w:divBdr>
            <w:top w:val="none" w:sz="0" w:space="0" w:color="auto"/>
            <w:left w:val="none" w:sz="0" w:space="0" w:color="auto"/>
            <w:bottom w:val="none" w:sz="0" w:space="0" w:color="auto"/>
            <w:right w:val="none" w:sz="0" w:space="0" w:color="auto"/>
          </w:divBdr>
          <w:divsChild>
            <w:div w:id="19649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662">
      <w:bodyDiv w:val="1"/>
      <w:marLeft w:val="0"/>
      <w:marRight w:val="0"/>
      <w:marTop w:val="0"/>
      <w:marBottom w:val="0"/>
      <w:divBdr>
        <w:top w:val="none" w:sz="0" w:space="0" w:color="auto"/>
        <w:left w:val="none" w:sz="0" w:space="0" w:color="auto"/>
        <w:bottom w:val="none" w:sz="0" w:space="0" w:color="auto"/>
        <w:right w:val="none" w:sz="0" w:space="0" w:color="auto"/>
      </w:divBdr>
      <w:divsChild>
        <w:div w:id="1894463525">
          <w:marLeft w:val="0"/>
          <w:marRight w:val="0"/>
          <w:marTop w:val="0"/>
          <w:marBottom w:val="0"/>
          <w:divBdr>
            <w:top w:val="none" w:sz="0" w:space="0" w:color="auto"/>
            <w:left w:val="none" w:sz="0" w:space="0" w:color="auto"/>
            <w:bottom w:val="none" w:sz="0" w:space="0" w:color="auto"/>
            <w:right w:val="none" w:sz="0" w:space="0" w:color="auto"/>
          </w:divBdr>
          <w:divsChild>
            <w:div w:id="759253383">
              <w:marLeft w:val="0"/>
              <w:marRight w:val="0"/>
              <w:marTop w:val="0"/>
              <w:marBottom w:val="0"/>
              <w:divBdr>
                <w:top w:val="none" w:sz="0" w:space="0" w:color="auto"/>
                <w:left w:val="none" w:sz="0" w:space="0" w:color="auto"/>
                <w:bottom w:val="none" w:sz="0" w:space="0" w:color="auto"/>
                <w:right w:val="none" w:sz="0" w:space="0" w:color="auto"/>
              </w:divBdr>
              <w:divsChild>
                <w:div w:id="523833266">
                  <w:marLeft w:val="0"/>
                  <w:marRight w:val="0"/>
                  <w:marTop w:val="0"/>
                  <w:marBottom w:val="0"/>
                  <w:divBdr>
                    <w:top w:val="none" w:sz="0" w:space="0" w:color="auto"/>
                    <w:left w:val="none" w:sz="0" w:space="0" w:color="auto"/>
                    <w:bottom w:val="none" w:sz="0" w:space="0" w:color="auto"/>
                    <w:right w:val="none" w:sz="0" w:space="0" w:color="auto"/>
                  </w:divBdr>
                  <w:divsChild>
                    <w:div w:id="1449471604">
                      <w:marLeft w:val="0"/>
                      <w:marRight w:val="0"/>
                      <w:marTop w:val="0"/>
                      <w:marBottom w:val="300"/>
                      <w:divBdr>
                        <w:top w:val="none" w:sz="0" w:space="0" w:color="auto"/>
                        <w:left w:val="none" w:sz="0" w:space="0" w:color="auto"/>
                        <w:bottom w:val="none" w:sz="0" w:space="0" w:color="auto"/>
                        <w:right w:val="none" w:sz="0" w:space="0" w:color="auto"/>
                      </w:divBdr>
                      <w:divsChild>
                        <w:div w:id="2116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5895">
      <w:bodyDiv w:val="1"/>
      <w:marLeft w:val="0"/>
      <w:marRight w:val="0"/>
      <w:marTop w:val="0"/>
      <w:marBottom w:val="0"/>
      <w:divBdr>
        <w:top w:val="none" w:sz="0" w:space="0" w:color="auto"/>
        <w:left w:val="none" w:sz="0" w:space="0" w:color="auto"/>
        <w:bottom w:val="none" w:sz="0" w:space="0" w:color="auto"/>
        <w:right w:val="none" w:sz="0" w:space="0" w:color="auto"/>
      </w:divBdr>
      <w:divsChild>
        <w:div w:id="831261747">
          <w:marLeft w:val="0"/>
          <w:marRight w:val="0"/>
          <w:marTop w:val="0"/>
          <w:marBottom w:val="0"/>
          <w:divBdr>
            <w:top w:val="none" w:sz="0" w:space="0" w:color="auto"/>
            <w:left w:val="none" w:sz="0" w:space="0" w:color="auto"/>
            <w:bottom w:val="none" w:sz="0" w:space="0" w:color="auto"/>
            <w:right w:val="none" w:sz="0" w:space="0" w:color="auto"/>
          </w:divBdr>
          <w:divsChild>
            <w:div w:id="1457720959">
              <w:marLeft w:val="0"/>
              <w:marRight w:val="0"/>
              <w:marTop w:val="0"/>
              <w:marBottom w:val="0"/>
              <w:divBdr>
                <w:top w:val="none" w:sz="0" w:space="0" w:color="auto"/>
                <w:left w:val="none" w:sz="0" w:space="0" w:color="auto"/>
                <w:bottom w:val="none" w:sz="0" w:space="0" w:color="auto"/>
                <w:right w:val="none" w:sz="0" w:space="0" w:color="auto"/>
              </w:divBdr>
              <w:divsChild>
                <w:div w:id="811752373">
                  <w:marLeft w:val="0"/>
                  <w:marRight w:val="0"/>
                  <w:marTop w:val="0"/>
                  <w:marBottom w:val="0"/>
                  <w:divBdr>
                    <w:top w:val="none" w:sz="0" w:space="0" w:color="auto"/>
                    <w:left w:val="none" w:sz="0" w:space="0" w:color="auto"/>
                    <w:bottom w:val="none" w:sz="0" w:space="0" w:color="auto"/>
                    <w:right w:val="none" w:sz="0" w:space="0" w:color="auto"/>
                  </w:divBdr>
                  <w:divsChild>
                    <w:div w:id="350496438">
                      <w:marLeft w:val="0"/>
                      <w:marRight w:val="0"/>
                      <w:marTop w:val="0"/>
                      <w:marBottom w:val="300"/>
                      <w:divBdr>
                        <w:top w:val="none" w:sz="0" w:space="0" w:color="auto"/>
                        <w:left w:val="none" w:sz="0" w:space="0" w:color="auto"/>
                        <w:bottom w:val="none" w:sz="0" w:space="0" w:color="auto"/>
                        <w:right w:val="none" w:sz="0" w:space="0" w:color="auto"/>
                      </w:divBdr>
                      <w:divsChild>
                        <w:div w:id="109571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7910">
      <w:bodyDiv w:val="1"/>
      <w:marLeft w:val="0"/>
      <w:marRight w:val="0"/>
      <w:marTop w:val="0"/>
      <w:marBottom w:val="0"/>
      <w:divBdr>
        <w:top w:val="none" w:sz="0" w:space="0" w:color="auto"/>
        <w:left w:val="none" w:sz="0" w:space="0" w:color="auto"/>
        <w:bottom w:val="none" w:sz="0" w:space="0" w:color="auto"/>
        <w:right w:val="none" w:sz="0" w:space="0" w:color="auto"/>
      </w:divBdr>
      <w:divsChild>
        <w:div w:id="375201901">
          <w:marLeft w:val="0"/>
          <w:marRight w:val="0"/>
          <w:marTop w:val="240"/>
          <w:marBottom w:val="0"/>
          <w:divBdr>
            <w:top w:val="none" w:sz="0" w:space="0" w:color="auto"/>
            <w:left w:val="none" w:sz="0" w:space="0" w:color="auto"/>
            <w:bottom w:val="none" w:sz="0" w:space="0" w:color="auto"/>
            <w:right w:val="none" w:sz="0" w:space="0" w:color="auto"/>
          </w:divBdr>
          <w:divsChild>
            <w:div w:id="184103933">
              <w:marLeft w:val="0"/>
              <w:marRight w:val="0"/>
              <w:marTop w:val="0"/>
              <w:marBottom w:val="0"/>
              <w:divBdr>
                <w:top w:val="none" w:sz="0" w:space="0" w:color="auto"/>
                <w:left w:val="none" w:sz="0" w:space="0" w:color="auto"/>
                <w:bottom w:val="none" w:sz="0" w:space="0" w:color="auto"/>
                <w:right w:val="none" w:sz="0" w:space="0" w:color="auto"/>
              </w:divBdr>
            </w:div>
          </w:divsChild>
        </w:div>
        <w:div w:id="736977810">
          <w:marLeft w:val="0"/>
          <w:marRight w:val="0"/>
          <w:marTop w:val="240"/>
          <w:marBottom w:val="0"/>
          <w:divBdr>
            <w:top w:val="none" w:sz="0" w:space="0" w:color="auto"/>
            <w:left w:val="none" w:sz="0" w:space="0" w:color="auto"/>
            <w:bottom w:val="none" w:sz="0" w:space="0" w:color="auto"/>
            <w:right w:val="none" w:sz="0" w:space="0" w:color="auto"/>
          </w:divBdr>
          <w:divsChild>
            <w:div w:id="1684894996">
              <w:marLeft w:val="0"/>
              <w:marRight w:val="0"/>
              <w:marTop w:val="0"/>
              <w:marBottom w:val="0"/>
              <w:divBdr>
                <w:top w:val="none" w:sz="0" w:space="0" w:color="auto"/>
                <w:left w:val="none" w:sz="0" w:space="0" w:color="auto"/>
                <w:bottom w:val="none" w:sz="0" w:space="0" w:color="auto"/>
                <w:right w:val="none" w:sz="0" w:space="0" w:color="auto"/>
              </w:divBdr>
            </w:div>
          </w:divsChild>
        </w:div>
        <w:div w:id="1326858461">
          <w:marLeft w:val="0"/>
          <w:marRight w:val="0"/>
          <w:marTop w:val="240"/>
          <w:marBottom w:val="0"/>
          <w:divBdr>
            <w:top w:val="none" w:sz="0" w:space="0" w:color="auto"/>
            <w:left w:val="none" w:sz="0" w:space="0" w:color="auto"/>
            <w:bottom w:val="none" w:sz="0" w:space="0" w:color="auto"/>
            <w:right w:val="none" w:sz="0" w:space="0" w:color="auto"/>
          </w:divBdr>
          <w:divsChild>
            <w:div w:id="3442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6782">
      <w:bodyDiv w:val="1"/>
      <w:marLeft w:val="0"/>
      <w:marRight w:val="0"/>
      <w:marTop w:val="0"/>
      <w:marBottom w:val="0"/>
      <w:divBdr>
        <w:top w:val="none" w:sz="0" w:space="0" w:color="auto"/>
        <w:left w:val="none" w:sz="0" w:space="0" w:color="auto"/>
        <w:bottom w:val="none" w:sz="0" w:space="0" w:color="auto"/>
        <w:right w:val="none" w:sz="0" w:space="0" w:color="auto"/>
      </w:divBdr>
      <w:divsChild>
        <w:div w:id="9724966">
          <w:marLeft w:val="0"/>
          <w:marRight w:val="0"/>
          <w:marTop w:val="240"/>
          <w:marBottom w:val="0"/>
          <w:divBdr>
            <w:top w:val="none" w:sz="0" w:space="0" w:color="auto"/>
            <w:left w:val="none" w:sz="0" w:space="0" w:color="auto"/>
            <w:bottom w:val="none" w:sz="0" w:space="0" w:color="auto"/>
            <w:right w:val="none" w:sz="0" w:space="0" w:color="auto"/>
          </w:divBdr>
          <w:divsChild>
            <w:div w:id="201329555">
              <w:marLeft w:val="0"/>
              <w:marRight w:val="0"/>
              <w:marTop w:val="0"/>
              <w:marBottom w:val="0"/>
              <w:divBdr>
                <w:top w:val="none" w:sz="0" w:space="0" w:color="auto"/>
                <w:left w:val="none" w:sz="0" w:space="0" w:color="auto"/>
                <w:bottom w:val="none" w:sz="0" w:space="0" w:color="auto"/>
                <w:right w:val="none" w:sz="0" w:space="0" w:color="auto"/>
              </w:divBdr>
            </w:div>
          </w:divsChild>
        </w:div>
        <w:div w:id="342782492">
          <w:marLeft w:val="0"/>
          <w:marRight w:val="0"/>
          <w:marTop w:val="240"/>
          <w:marBottom w:val="0"/>
          <w:divBdr>
            <w:top w:val="none" w:sz="0" w:space="0" w:color="auto"/>
            <w:left w:val="none" w:sz="0" w:space="0" w:color="auto"/>
            <w:bottom w:val="none" w:sz="0" w:space="0" w:color="auto"/>
            <w:right w:val="none" w:sz="0" w:space="0" w:color="auto"/>
          </w:divBdr>
          <w:divsChild>
            <w:div w:id="541403426">
              <w:marLeft w:val="0"/>
              <w:marRight w:val="0"/>
              <w:marTop w:val="0"/>
              <w:marBottom w:val="0"/>
              <w:divBdr>
                <w:top w:val="none" w:sz="0" w:space="0" w:color="auto"/>
                <w:left w:val="none" w:sz="0" w:space="0" w:color="auto"/>
                <w:bottom w:val="none" w:sz="0" w:space="0" w:color="auto"/>
                <w:right w:val="none" w:sz="0" w:space="0" w:color="auto"/>
              </w:divBdr>
            </w:div>
          </w:divsChild>
        </w:div>
        <w:div w:id="428088325">
          <w:marLeft w:val="0"/>
          <w:marRight w:val="0"/>
          <w:marTop w:val="240"/>
          <w:marBottom w:val="0"/>
          <w:divBdr>
            <w:top w:val="none" w:sz="0" w:space="0" w:color="auto"/>
            <w:left w:val="none" w:sz="0" w:space="0" w:color="auto"/>
            <w:bottom w:val="none" w:sz="0" w:space="0" w:color="auto"/>
            <w:right w:val="none" w:sz="0" w:space="0" w:color="auto"/>
          </w:divBdr>
          <w:divsChild>
            <w:div w:id="1190876410">
              <w:marLeft w:val="0"/>
              <w:marRight w:val="0"/>
              <w:marTop w:val="0"/>
              <w:marBottom w:val="0"/>
              <w:divBdr>
                <w:top w:val="none" w:sz="0" w:space="0" w:color="auto"/>
                <w:left w:val="none" w:sz="0" w:space="0" w:color="auto"/>
                <w:bottom w:val="none" w:sz="0" w:space="0" w:color="auto"/>
                <w:right w:val="none" w:sz="0" w:space="0" w:color="auto"/>
              </w:divBdr>
            </w:div>
          </w:divsChild>
        </w:div>
        <w:div w:id="2007317668">
          <w:marLeft w:val="0"/>
          <w:marRight w:val="0"/>
          <w:marTop w:val="240"/>
          <w:marBottom w:val="0"/>
          <w:divBdr>
            <w:top w:val="none" w:sz="0" w:space="0" w:color="auto"/>
            <w:left w:val="none" w:sz="0" w:space="0" w:color="auto"/>
            <w:bottom w:val="none" w:sz="0" w:space="0" w:color="auto"/>
            <w:right w:val="none" w:sz="0" w:space="0" w:color="auto"/>
          </w:divBdr>
          <w:divsChild>
            <w:div w:id="1025641773">
              <w:marLeft w:val="0"/>
              <w:marRight w:val="0"/>
              <w:marTop w:val="0"/>
              <w:marBottom w:val="0"/>
              <w:divBdr>
                <w:top w:val="none" w:sz="0" w:space="0" w:color="auto"/>
                <w:left w:val="none" w:sz="0" w:space="0" w:color="auto"/>
                <w:bottom w:val="none" w:sz="0" w:space="0" w:color="auto"/>
                <w:right w:val="none" w:sz="0" w:space="0" w:color="auto"/>
              </w:divBdr>
            </w:div>
          </w:divsChild>
        </w:div>
        <w:div w:id="2100979033">
          <w:marLeft w:val="0"/>
          <w:marRight w:val="0"/>
          <w:marTop w:val="240"/>
          <w:marBottom w:val="0"/>
          <w:divBdr>
            <w:top w:val="none" w:sz="0" w:space="0" w:color="auto"/>
            <w:left w:val="none" w:sz="0" w:space="0" w:color="auto"/>
            <w:bottom w:val="none" w:sz="0" w:space="0" w:color="auto"/>
            <w:right w:val="none" w:sz="0" w:space="0" w:color="auto"/>
          </w:divBdr>
          <w:divsChild>
            <w:div w:id="1241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7069">
      <w:bodyDiv w:val="1"/>
      <w:marLeft w:val="0"/>
      <w:marRight w:val="0"/>
      <w:marTop w:val="0"/>
      <w:marBottom w:val="0"/>
      <w:divBdr>
        <w:top w:val="none" w:sz="0" w:space="0" w:color="auto"/>
        <w:left w:val="none" w:sz="0" w:space="0" w:color="auto"/>
        <w:bottom w:val="none" w:sz="0" w:space="0" w:color="auto"/>
        <w:right w:val="none" w:sz="0" w:space="0" w:color="auto"/>
      </w:divBdr>
      <w:divsChild>
        <w:div w:id="729690819">
          <w:marLeft w:val="0"/>
          <w:marRight w:val="0"/>
          <w:marTop w:val="0"/>
          <w:marBottom w:val="0"/>
          <w:divBdr>
            <w:top w:val="none" w:sz="0" w:space="0" w:color="auto"/>
            <w:left w:val="single" w:sz="6" w:space="0" w:color="BBBBBB"/>
            <w:bottom w:val="single" w:sz="6" w:space="0" w:color="BBBBBB"/>
            <w:right w:val="single" w:sz="6" w:space="0" w:color="BBBBBB"/>
          </w:divBdr>
          <w:divsChild>
            <w:div w:id="1557856857">
              <w:marLeft w:val="0"/>
              <w:marRight w:val="0"/>
              <w:marTop w:val="0"/>
              <w:marBottom w:val="0"/>
              <w:divBdr>
                <w:top w:val="none" w:sz="0" w:space="0" w:color="auto"/>
                <w:left w:val="none" w:sz="0" w:space="0" w:color="auto"/>
                <w:bottom w:val="none" w:sz="0" w:space="0" w:color="auto"/>
                <w:right w:val="none" w:sz="0" w:space="0" w:color="auto"/>
              </w:divBdr>
              <w:divsChild>
                <w:div w:id="1201013919">
                  <w:marLeft w:val="0"/>
                  <w:marRight w:val="0"/>
                  <w:marTop w:val="75"/>
                  <w:marBottom w:val="0"/>
                  <w:divBdr>
                    <w:top w:val="none" w:sz="0" w:space="0" w:color="auto"/>
                    <w:left w:val="none" w:sz="0" w:space="0" w:color="auto"/>
                    <w:bottom w:val="none" w:sz="0" w:space="0" w:color="auto"/>
                    <w:right w:val="none" w:sz="0" w:space="0" w:color="auto"/>
                  </w:divBdr>
                  <w:divsChild>
                    <w:div w:id="253127572">
                      <w:marLeft w:val="0"/>
                      <w:marRight w:val="0"/>
                      <w:marTop w:val="0"/>
                      <w:marBottom w:val="0"/>
                      <w:divBdr>
                        <w:top w:val="none" w:sz="0" w:space="0" w:color="auto"/>
                        <w:left w:val="none" w:sz="0" w:space="0" w:color="auto"/>
                        <w:bottom w:val="none" w:sz="0" w:space="0" w:color="auto"/>
                        <w:right w:val="none" w:sz="0" w:space="0" w:color="auto"/>
                      </w:divBdr>
                      <w:divsChild>
                        <w:div w:id="524710340">
                          <w:marLeft w:val="0"/>
                          <w:marRight w:val="0"/>
                          <w:marTop w:val="0"/>
                          <w:marBottom w:val="0"/>
                          <w:divBdr>
                            <w:top w:val="none" w:sz="0" w:space="0" w:color="auto"/>
                            <w:left w:val="none" w:sz="0" w:space="0" w:color="auto"/>
                            <w:bottom w:val="none" w:sz="0" w:space="0" w:color="auto"/>
                            <w:right w:val="none" w:sz="0" w:space="0" w:color="auto"/>
                          </w:divBdr>
                          <w:divsChild>
                            <w:div w:id="1627464974">
                              <w:marLeft w:val="0"/>
                              <w:marRight w:val="0"/>
                              <w:marTop w:val="0"/>
                              <w:marBottom w:val="0"/>
                              <w:divBdr>
                                <w:top w:val="none" w:sz="0" w:space="0" w:color="auto"/>
                                <w:left w:val="none" w:sz="0" w:space="0" w:color="auto"/>
                                <w:bottom w:val="none" w:sz="0" w:space="0" w:color="auto"/>
                                <w:right w:val="none" w:sz="0" w:space="0" w:color="auto"/>
                              </w:divBdr>
                              <w:divsChild>
                                <w:div w:id="210465195">
                                  <w:marLeft w:val="0"/>
                                  <w:marRight w:val="0"/>
                                  <w:marTop w:val="0"/>
                                  <w:marBottom w:val="0"/>
                                  <w:divBdr>
                                    <w:top w:val="none" w:sz="0" w:space="0" w:color="auto"/>
                                    <w:left w:val="none" w:sz="0" w:space="0" w:color="auto"/>
                                    <w:bottom w:val="none" w:sz="0" w:space="0" w:color="auto"/>
                                    <w:right w:val="none" w:sz="0" w:space="0" w:color="auto"/>
                                  </w:divBdr>
                                  <w:divsChild>
                                    <w:div w:id="1258447312">
                                      <w:marLeft w:val="0"/>
                                      <w:marRight w:val="0"/>
                                      <w:marTop w:val="0"/>
                                      <w:marBottom w:val="0"/>
                                      <w:divBdr>
                                        <w:top w:val="none" w:sz="0" w:space="0" w:color="auto"/>
                                        <w:left w:val="none" w:sz="0" w:space="0" w:color="auto"/>
                                        <w:bottom w:val="none" w:sz="0" w:space="0" w:color="auto"/>
                                        <w:right w:val="none" w:sz="0" w:space="0" w:color="auto"/>
                                      </w:divBdr>
                                      <w:divsChild>
                                        <w:div w:id="668026627">
                                          <w:marLeft w:val="1200"/>
                                          <w:marRight w:val="1200"/>
                                          <w:marTop w:val="0"/>
                                          <w:marBottom w:val="0"/>
                                          <w:divBdr>
                                            <w:top w:val="none" w:sz="0" w:space="0" w:color="auto"/>
                                            <w:left w:val="none" w:sz="0" w:space="0" w:color="auto"/>
                                            <w:bottom w:val="none" w:sz="0" w:space="0" w:color="auto"/>
                                            <w:right w:val="none" w:sz="0" w:space="0" w:color="auto"/>
                                          </w:divBdr>
                                          <w:divsChild>
                                            <w:div w:id="574360581">
                                              <w:marLeft w:val="0"/>
                                              <w:marRight w:val="0"/>
                                              <w:marTop w:val="0"/>
                                              <w:marBottom w:val="0"/>
                                              <w:divBdr>
                                                <w:top w:val="none" w:sz="0" w:space="0" w:color="auto"/>
                                                <w:left w:val="none" w:sz="0" w:space="0" w:color="auto"/>
                                                <w:bottom w:val="none" w:sz="0" w:space="0" w:color="auto"/>
                                                <w:right w:val="none" w:sz="0" w:space="0" w:color="auto"/>
                                              </w:divBdr>
                                              <w:divsChild>
                                                <w:div w:id="781192267">
                                                  <w:marLeft w:val="0"/>
                                                  <w:marRight w:val="0"/>
                                                  <w:marTop w:val="0"/>
                                                  <w:marBottom w:val="0"/>
                                                  <w:divBdr>
                                                    <w:top w:val="none" w:sz="0" w:space="0" w:color="auto"/>
                                                    <w:left w:val="none" w:sz="0" w:space="0" w:color="auto"/>
                                                    <w:bottom w:val="none" w:sz="0" w:space="0" w:color="auto"/>
                                                    <w:right w:val="none" w:sz="0" w:space="0" w:color="auto"/>
                                                  </w:divBdr>
                                                  <w:divsChild>
                                                    <w:div w:id="949318658">
                                                      <w:marLeft w:val="0"/>
                                                      <w:marRight w:val="0"/>
                                                      <w:marTop w:val="0"/>
                                                      <w:marBottom w:val="0"/>
                                                      <w:divBdr>
                                                        <w:top w:val="none" w:sz="0" w:space="0" w:color="auto"/>
                                                        <w:left w:val="none" w:sz="0" w:space="0" w:color="auto"/>
                                                        <w:bottom w:val="none" w:sz="0" w:space="0" w:color="auto"/>
                                                        <w:right w:val="none" w:sz="0" w:space="0" w:color="auto"/>
                                                      </w:divBdr>
                                                      <w:divsChild>
                                                        <w:div w:id="1199775224">
                                                          <w:marLeft w:val="0"/>
                                                          <w:marRight w:val="0"/>
                                                          <w:marTop w:val="0"/>
                                                          <w:marBottom w:val="0"/>
                                                          <w:divBdr>
                                                            <w:top w:val="none" w:sz="0" w:space="0" w:color="auto"/>
                                                            <w:left w:val="none" w:sz="0" w:space="0" w:color="auto"/>
                                                            <w:bottom w:val="none" w:sz="0" w:space="0" w:color="auto"/>
                                                            <w:right w:val="none" w:sz="0" w:space="0" w:color="auto"/>
                                                          </w:divBdr>
                                                        </w:div>
                                                      </w:divsChild>
                                                    </w:div>
                                                    <w:div w:id="1105269779">
                                                      <w:marLeft w:val="0"/>
                                                      <w:marRight w:val="0"/>
                                                      <w:marTop w:val="0"/>
                                                      <w:marBottom w:val="0"/>
                                                      <w:divBdr>
                                                        <w:top w:val="none" w:sz="0" w:space="0" w:color="auto"/>
                                                        <w:left w:val="none" w:sz="0" w:space="0" w:color="auto"/>
                                                        <w:bottom w:val="none" w:sz="0" w:space="0" w:color="auto"/>
                                                        <w:right w:val="none" w:sz="0" w:space="0" w:color="auto"/>
                                                      </w:divBdr>
                                                      <w:divsChild>
                                                        <w:div w:id="319583198">
                                                          <w:marLeft w:val="0"/>
                                                          <w:marRight w:val="0"/>
                                                          <w:marTop w:val="0"/>
                                                          <w:marBottom w:val="0"/>
                                                          <w:divBdr>
                                                            <w:top w:val="none" w:sz="0" w:space="0" w:color="auto"/>
                                                            <w:left w:val="none" w:sz="0" w:space="0" w:color="auto"/>
                                                            <w:bottom w:val="none" w:sz="0" w:space="0" w:color="auto"/>
                                                            <w:right w:val="none" w:sz="0" w:space="0" w:color="auto"/>
                                                          </w:divBdr>
                                                        </w:div>
                                                      </w:divsChild>
                                                    </w:div>
                                                    <w:div w:id="1373845961">
                                                      <w:marLeft w:val="0"/>
                                                      <w:marRight w:val="0"/>
                                                      <w:marTop w:val="0"/>
                                                      <w:marBottom w:val="0"/>
                                                      <w:divBdr>
                                                        <w:top w:val="none" w:sz="0" w:space="0" w:color="auto"/>
                                                        <w:left w:val="none" w:sz="0" w:space="0" w:color="auto"/>
                                                        <w:bottom w:val="none" w:sz="0" w:space="0" w:color="auto"/>
                                                        <w:right w:val="none" w:sz="0" w:space="0" w:color="auto"/>
                                                      </w:divBdr>
                                                      <w:divsChild>
                                                        <w:div w:id="577330975">
                                                          <w:marLeft w:val="0"/>
                                                          <w:marRight w:val="0"/>
                                                          <w:marTop w:val="0"/>
                                                          <w:marBottom w:val="0"/>
                                                          <w:divBdr>
                                                            <w:top w:val="none" w:sz="0" w:space="0" w:color="auto"/>
                                                            <w:left w:val="none" w:sz="0" w:space="0" w:color="auto"/>
                                                            <w:bottom w:val="none" w:sz="0" w:space="0" w:color="auto"/>
                                                            <w:right w:val="none" w:sz="0" w:space="0" w:color="auto"/>
                                                          </w:divBdr>
                                                        </w:div>
                                                      </w:divsChild>
                                                    </w:div>
                                                    <w:div w:id="1455830510">
                                                      <w:marLeft w:val="0"/>
                                                      <w:marRight w:val="0"/>
                                                      <w:marTop w:val="0"/>
                                                      <w:marBottom w:val="0"/>
                                                      <w:divBdr>
                                                        <w:top w:val="none" w:sz="0" w:space="0" w:color="auto"/>
                                                        <w:left w:val="none" w:sz="0" w:space="0" w:color="auto"/>
                                                        <w:bottom w:val="none" w:sz="0" w:space="0" w:color="auto"/>
                                                        <w:right w:val="none" w:sz="0" w:space="0" w:color="auto"/>
                                                      </w:divBdr>
                                                      <w:divsChild>
                                                        <w:div w:id="20324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152647">
      <w:bodyDiv w:val="1"/>
      <w:marLeft w:val="0"/>
      <w:marRight w:val="0"/>
      <w:marTop w:val="0"/>
      <w:marBottom w:val="0"/>
      <w:divBdr>
        <w:top w:val="none" w:sz="0" w:space="0" w:color="auto"/>
        <w:left w:val="none" w:sz="0" w:space="0" w:color="auto"/>
        <w:bottom w:val="none" w:sz="0" w:space="0" w:color="auto"/>
        <w:right w:val="none" w:sz="0" w:space="0" w:color="auto"/>
      </w:divBdr>
      <w:divsChild>
        <w:div w:id="1561867184">
          <w:marLeft w:val="0"/>
          <w:marRight w:val="0"/>
          <w:marTop w:val="240"/>
          <w:marBottom w:val="0"/>
          <w:divBdr>
            <w:top w:val="none" w:sz="0" w:space="0" w:color="auto"/>
            <w:left w:val="none" w:sz="0" w:space="0" w:color="auto"/>
            <w:bottom w:val="none" w:sz="0" w:space="0" w:color="auto"/>
            <w:right w:val="none" w:sz="0" w:space="0" w:color="auto"/>
          </w:divBdr>
          <w:divsChild>
            <w:div w:id="2004046766">
              <w:marLeft w:val="0"/>
              <w:marRight w:val="0"/>
              <w:marTop w:val="0"/>
              <w:marBottom w:val="0"/>
              <w:divBdr>
                <w:top w:val="none" w:sz="0" w:space="0" w:color="auto"/>
                <w:left w:val="none" w:sz="0" w:space="0" w:color="auto"/>
                <w:bottom w:val="none" w:sz="0" w:space="0" w:color="auto"/>
                <w:right w:val="none" w:sz="0" w:space="0" w:color="auto"/>
              </w:divBdr>
              <w:divsChild>
                <w:div w:id="151990999">
                  <w:blockQuote w:val="1"/>
                  <w:marLeft w:val="0"/>
                  <w:marRight w:val="0"/>
                  <w:marTop w:val="0"/>
                  <w:marBottom w:val="0"/>
                  <w:divBdr>
                    <w:top w:val="none" w:sz="0" w:space="0" w:color="auto"/>
                    <w:left w:val="none" w:sz="0" w:space="0" w:color="auto"/>
                    <w:bottom w:val="none" w:sz="0" w:space="0" w:color="auto"/>
                    <w:right w:val="none" w:sz="0" w:space="0" w:color="auto"/>
                  </w:divBdr>
                  <w:divsChild>
                    <w:div w:id="6547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44146">
      <w:bodyDiv w:val="1"/>
      <w:marLeft w:val="0"/>
      <w:marRight w:val="0"/>
      <w:marTop w:val="0"/>
      <w:marBottom w:val="0"/>
      <w:divBdr>
        <w:top w:val="none" w:sz="0" w:space="0" w:color="auto"/>
        <w:left w:val="none" w:sz="0" w:space="0" w:color="auto"/>
        <w:bottom w:val="none" w:sz="0" w:space="0" w:color="auto"/>
        <w:right w:val="none" w:sz="0" w:space="0" w:color="auto"/>
      </w:divBdr>
      <w:divsChild>
        <w:div w:id="2105572234">
          <w:marLeft w:val="0"/>
          <w:marRight w:val="0"/>
          <w:marTop w:val="0"/>
          <w:marBottom w:val="0"/>
          <w:divBdr>
            <w:top w:val="none" w:sz="0" w:space="0" w:color="auto"/>
            <w:left w:val="none" w:sz="0" w:space="0" w:color="auto"/>
            <w:bottom w:val="none" w:sz="0" w:space="0" w:color="auto"/>
            <w:right w:val="none" w:sz="0" w:space="0" w:color="auto"/>
          </w:divBdr>
          <w:divsChild>
            <w:div w:id="1983459024">
              <w:marLeft w:val="0"/>
              <w:marRight w:val="0"/>
              <w:marTop w:val="0"/>
              <w:marBottom w:val="0"/>
              <w:divBdr>
                <w:top w:val="none" w:sz="0" w:space="0" w:color="auto"/>
                <w:left w:val="none" w:sz="0" w:space="0" w:color="auto"/>
                <w:bottom w:val="none" w:sz="0" w:space="0" w:color="auto"/>
                <w:right w:val="none" w:sz="0" w:space="0" w:color="auto"/>
              </w:divBdr>
              <w:divsChild>
                <w:div w:id="919825859">
                  <w:marLeft w:val="0"/>
                  <w:marRight w:val="0"/>
                  <w:marTop w:val="0"/>
                  <w:marBottom w:val="0"/>
                  <w:divBdr>
                    <w:top w:val="none" w:sz="0" w:space="0" w:color="auto"/>
                    <w:left w:val="none" w:sz="0" w:space="0" w:color="auto"/>
                    <w:bottom w:val="none" w:sz="0" w:space="0" w:color="auto"/>
                    <w:right w:val="none" w:sz="0" w:space="0" w:color="auto"/>
                  </w:divBdr>
                  <w:divsChild>
                    <w:div w:id="1974166883">
                      <w:marLeft w:val="0"/>
                      <w:marRight w:val="0"/>
                      <w:marTop w:val="0"/>
                      <w:marBottom w:val="0"/>
                      <w:divBdr>
                        <w:top w:val="none" w:sz="0" w:space="0" w:color="auto"/>
                        <w:left w:val="none" w:sz="0" w:space="0" w:color="auto"/>
                        <w:bottom w:val="none" w:sz="0" w:space="0" w:color="auto"/>
                        <w:right w:val="none" w:sz="0" w:space="0" w:color="auto"/>
                      </w:divBdr>
                      <w:divsChild>
                        <w:div w:id="1631476769">
                          <w:marLeft w:val="0"/>
                          <w:marRight w:val="0"/>
                          <w:marTop w:val="0"/>
                          <w:marBottom w:val="0"/>
                          <w:divBdr>
                            <w:top w:val="none" w:sz="0" w:space="0" w:color="auto"/>
                            <w:left w:val="none" w:sz="0" w:space="0" w:color="auto"/>
                            <w:bottom w:val="none" w:sz="0" w:space="0" w:color="auto"/>
                            <w:right w:val="none" w:sz="0" w:space="0" w:color="auto"/>
                          </w:divBdr>
                          <w:divsChild>
                            <w:div w:id="105200770">
                              <w:marLeft w:val="0"/>
                              <w:marRight w:val="0"/>
                              <w:marTop w:val="0"/>
                              <w:marBottom w:val="0"/>
                              <w:divBdr>
                                <w:top w:val="none" w:sz="0" w:space="0" w:color="auto"/>
                                <w:left w:val="none" w:sz="0" w:space="0" w:color="auto"/>
                                <w:bottom w:val="none" w:sz="0" w:space="0" w:color="auto"/>
                                <w:right w:val="none" w:sz="0" w:space="0" w:color="auto"/>
                              </w:divBdr>
                              <w:divsChild>
                                <w:div w:id="506599899">
                                  <w:marLeft w:val="0"/>
                                  <w:marRight w:val="0"/>
                                  <w:marTop w:val="0"/>
                                  <w:marBottom w:val="0"/>
                                  <w:divBdr>
                                    <w:top w:val="none" w:sz="0" w:space="0" w:color="auto"/>
                                    <w:left w:val="none" w:sz="0" w:space="0" w:color="auto"/>
                                    <w:bottom w:val="none" w:sz="0" w:space="0" w:color="auto"/>
                                    <w:right w:val="none" w:sz="0" w:space="0" w:color="auto"/>
                                  </w:divBdr>
                                  <w:divsChild>
                                    <w:div w:id="1617519997">
                                      <w:marLeft w:val="0"/>
                                      <w:marRight w:val="0"/>
                                      <w:marTop w:val="0"/>
                                      <w:marBottom w:val="0"/>
                                      <w:divBdr>
                                        <w:top w:val="none" w:sz="0" w:space="0" w:color="auto"/>
                                        <w:left w:val="none" w:sz="0" w:space="0" w:color="auto"/>
                                        <w:bottom w:val="none" w:sz="0" w:space="0" w:color="auto"/>
                                        <w:right w:val="none" w:sz="0" w:space="0" w:color="auto"/>
                                      </w:divBdr>
                                      <w:divsChild>
                                        <w:div w:id="21057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98819">
      <w:bodyDiv w:val="1"/>
      <w:marLeft w:val="0"/>
      <w:marRight w:val="0"/>
      <w:marTop w:val="0"/>
      <w:marBottom w:val="0"/>
      <w:divBdr>
        <w:top w:val="none" w:sz="0" w:space="0" w:color="auto"/>
        <w:left w:val="none" w:sz="0" w:space="0" w:color="auto"/>
        <w:bottom w:val="none" w:sz="0" w:space="0" w:color="auto"/>
        <w:right w:val="none" w:sz="0" w:space="0" w:color="auto"/>
      </w:divBdr>
      <w:divsChild>
        <w:div w:id="1321082138">
          <w:marLeft w:val="0"/>
          <w:marRight w:val="0"/>
          <w:marTop w:val="0"/>
          <w:marBottom w:val="0"/>
          <w:divBdr>
            <w:top w:val="none" w:sz="0" w:space="0" w:color="auto"/>
            <w:left w:val="none" w:sz="0" w:space="0" w:color="auto"/>
            <w:bottom w:val="none" w:sz="0" w:space="0" w:color="auto"/>
            <w:right w:val="none" w:sz="0" w:space="0" w:color="auto"/>
          </w:divBdr>
          <w:divsChild>
            <w:div w:id="664748979">
              <w:marLeft w:val="0"/>
              <w:marRight w:val="0"/>
              <w:marTop w:val="0"/>
              <w:marBottom w:val="0"/>
              <w:divBdr>
                <w:top w:val="none" w:sz="0" w:space="0" w:color="auto"/>
                <w:left w:val="none" w:sz="0" w:space="0" w:color="auto"/>
                <w:bottom w:val="none" w:sz="0" w:space="0" w:color="auto"/>
                <w:right w:val="none" w:sz="0" w:space="0" w:color="auto"/>
              </w:divBdr>
              <w:divsChild>
                <w:div w:id="35351263">
                  <w:marLeft w:val="0"/>
                  <w:marRight w:val="0"/>
                  <w:marTop w:val="0"/>
                  <w:marBottom w:val="0"/>
                  <w:divBdr>
                    <w:top w:val="none" w:sz="0" w:space="0" w:color="auto"/>
                    <w:left w:val="none" w:sz="0" w:space="0" w:color="auto"/>
                    <w:bottom w:val="none" w:sz="0" w:space="0" w:color="auto"/>
                    <w:right w:val="none" w:sz="0" w:space="0" w:color="auto"/>
                  </w:divBdr>
                  <w:divsChild>
                    <w:div w:id="2080980726">
                      <w:marLeft w:val="0"/>
                      <w:marRight w:val="0"/>
                      <w:marTop w:val="0"/>
                      <w:marBottom w:val="300"/>
                      <w:divBdr>
                        <w:top w:val="none" w:sz="0" w:space="0" w:color="auto"/>
                        <w:left w:val="none" w:sz="0" w:space="0" w:color="auto"/>
                        <w:bottom w:val="none" w:sz="0" w:space="0" w:color="auto"/>
                        <w:right w:val="none" w:sz="0" w:space="0" w:color="auto"/>
                      </w:divBdr>
                      <w:divsChild>
                        <w:div w:id="14696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30765">
      <w:bodyDiv w:val="1"/>
      <w:marLeft w:val="0"/>
      <w:marRight w:val="0"/>
      <w:marTop w:val="0"/>
      <w:marBottom w:val="0"/>
      <w:divBdr>
        <w:top w:val="none" w:sz="0" w:space="0" w:color="auto"/>
        <w:left w:val="none" w:sz="0" w:space="0" w:color="auto"/>
        <w:bottom w:val="none" w:sz="0" w:space="0" w:color="auto"/>
        <w:right w:val="none" w:sz="0" w:space="0" w:color="auto"/>
      </w:divBdr>
    </w:div>
    <w:div w:id="52973616">
      <w:bodyDiv w:val="1"/>
      <w:marLeft w:val="0"/>
      <w:marRight w:val="0"/>
      <w:marTop w:val="0"/>
      <w:marBottom w:val="0"/>
      <w:divBdr>
        <w:top w:val="none" w:sz="0" w:space="0" w:color="auto"/>
        <w:left w:val="none" w:sz="0" w:space="0" w:color="auto"/>
        <w:bottom w:val="none" w:sz="0" w:space="0" w:color="auto"/>
        <w:right w:val="none" w:sz="0" w:space="0" w:color="auto"/>
      </w:divBdr>
      <w:divsChild>
        <w:div w:id="1164737564">
          <w:marLeft w:val="0"/>
          <w:marRight w:val="0"/>
          <w:marTop w:val="240"/>
          <w:marBottom w:val="0"/>
          <w:divBdr>
            <w:top w:val="none" w:sz="0" w:space="0" w:color="auto"/>
            <w:left w:val="none" w:sz="0" w:space="0" w:color="auto"/>
            <w:bottom w:val="none" w:sz="0" w:space="0" w:color="auto"/>
            <w:right w:val="none" w:sz="0" w:space="0" w:color="auto"/>
          </w:divBdr>
          <w:divsChild>
            <w:div w:id="1810974226">
              <w:marLeft w:val="0"/>
              <w:marRight w:val="0"/>
              <w:marTop w:val="0"/>
              <w:marBottom w:val="0"/>
              <w:divBdr>
                <w:top w:val="none" w:sz="0" w:space="0" w:color="auto"/>
                <w:left w:val="none" w:sz="0" w:space="0" w:color="auto"/>
                <w:bottom w:val="none" w:sz="0" w:space="0" w:color="auto"/>
                <w:right w:val="none" w:sz="0" w:space="0" w:color="auto"/>
              </w:divBdr>
            </w:div>
          </w:divsChild>
        </w:div>
        <w:div w:id="1447699775">
          <w:marLeft w:val="0"/>
          <w:marRight w:val="0"/>
          <w:marTop w:val="240"/>
          <w:marBottom w:val="0"/>
          <w:divBdr>
            <w:top w:val="none" w:sz="0" w:space="0" w:color="auto"/>
            <w:left w:val="none" w:sz="0" w:space="0" w:color="auto"/>
            <w:bottom w:val="none" w:sz="0" w:space="0" w:color="auto"/>
            <w:right w:val="none" w:sz="0" w:space="0" w:color="auto"/>
          </w:divBdr>
          <w:divsChild>
            <w:div w:id="1339966931">
              <w:marLeft w:val="0"/>
              <w:marRight w:val="0"/>
              <w:marTop w:val="0"/>
              <w:marBottom w:val="0"/>
              <w:divBdr>
                <w:top w:val="none" w:sz="0" w:space="0" w:color="auto"/>
                <w:left w:val="none" w:sz="0" w:space="0" w:color="auto"/>
                <w:bottom w:val="none" w:sz="0" w:space="0" w:color="auto"/>
                <w:right w:val="none" w:sz="0" w:space="0" w:color="auto"/>
              </w:divBdr>
            </w:div>
          </w:divsChild>
        </w:div>
        <w:div w:id="1532569731">
          <w:marLeft w:val="0"/>
          <w:marRight w:val="0"/>
          <w:marTop w:val="240"/>
          <w:marBottom w:val="0"/>
          <w:divBdr>
            <w:top w:val="none" w:sz="0" w:space="0" w:color="auto"/>
            <w:left w:val="none" w:sz="0" w:space="0" w:color="auto"/>
            <w:bottom w:val="none" w:sz="0" w:space="0" w:color="auto"/>
            <w:right w:val="none" w:sz="0" w:space="0" w:color="auto"/>
          </w:divBdr>
          <w:divsChild>
            <w:div w:id="20154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7200">
      <w:bodyDiv w:val="1"/>
      <w:marLeft w:val="0"/>
      <w:marRight w:val="0"/>
      <w:marTop w:val="0"/>
      <w:marBottom w:val="0"/>
      <w:divBdr>
        <w:top w:val="none" w:sz="0" w:space="0" w:color="auto"/>
        <w:left w:val="none" w:sz="0" w:space="0" w:color="auto"/>
        <w:bottom w:val="none" w:sz="0" w:space="0" w:color="auto"/>
        <w:right w:val="none" w:sz="0" w:space="0" w:color="auto"/>
      </w:divBdr>
      <w:divsChild>
        <w:div w:id="1443765568">
          <w:marLeft w:val="0"/>
          <w:marRight w:val="0"/>
          <w:marTop w:val="0"/>
          <w:marBottom w:val="0"/>
          <w:divBdr>
            <w:top w:val="none" w:sz="0" w:space="0" w:color="auto"/>
            <w:left w:val="none" w:sz="0" w:space="0" w:color="auto"/>
            <w:bottom w:val="none" w:sz="0" w:space="0" w:color="auto"/>
            <w:right w:val="none" w:sz="0" w:space="0" w:color="auto"/>
          </w:divBdr>
          <w:divsChild>
            <w:div w:id="675156105">
              <w:marLeft w:val="0"/>
              <w:marRight w:val="0"/>
              <w:marTop w:val="0"/>
              <w:marBottom w:val="0"/>
              <w:divBdr>
                <w:top w:val="none" w:sz="0" w:space="0" w:color="auto"/>
                <w:left w:val="none" w:sz="0" w:space="0" w:color="auto"/>
                <w:bottom w:val="none" w:sz="0" w:space="0" w:color="auto"/>
                <w:right w:val="none" w:sz="0" w:space="0" w:color="auto"/>
              </w:divBdr>
            </w:div>
          </w:divsChild>
        </w:div>
        <w:div w:id="1978297927">
          <w:marLeft w:val="0"/>
          <w:marRight w:val="0"/>
          <w:marTop w:val="0"/>
          <w:marBottom w:val="0"/>
          <w:divBdr>
            <w:top w:val="none" w:sz="0" w:space="0" w:color="auto"/>
            <w:left w:val="none" w:sz="0" w:space="0" w:color="auto"/>
            <w:bottom w:val="none" w:sz="0" w:space="0" w:color="auto"/>
            <w:right w:val="none" w:sz="0" w:space="0" w:color="auto"/>
          </w:divBdr>
          <w:divsChild>
            <w:div w:id="932276114">
              <w:marLeft w:val="0"/>
              <w:marRight w:val="0"/>
              <w:marTop w:val="0"/>
              <w:marBottom w:val="0"/>
              <w:divBdr>
                <w:top w:val="none" w:sz="0" w:space="0" w:color="auto"/>
                <w:left w:val="none" w:sz="0" w:space="0" w:color="auto"/>
                <w:bottom w:val="none" w:sz="0" w:space="0" w:color="auto"/>
                <w:right w:val="none" w:sz="0" w:space="0" w:color="auto"/>
              </w:divBdr>
            </w:div>
          </w:divsChild>
        </w:div>
        <w:div w:id="110714428">
          <w:marLeft w:val="0"/>
          <w:marRight w:val="0"/>
          <w:marTop w:val="0"/>
          <w:marBottom w:val="0"/>
          <w:divBdr>
            <w:top w:val="none" w:sz="0" w:space="0" w:color="auto"/>
            <w:left w:val="none" w:sz="0" w:space="0" w:color="auto"/>
            <w:bottom w:val="none" w:sz="0" w:space="0" w:color="auto"/>
            <w:right w:val="none" w:sz="0" w:space="0" w:color="auto"/>
          </w:divBdr>
          <w:divsChild>
            <w:div w:id="9035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2418">
      <w:bodyDiv w:val="1"/>
      <w:marLeft w:val="0"/>
      <w:marRight w:val="0"/>
      <w:marTop w:val="0"/>
      <w:marBottom w:val="0"/>
      <w:divBdr>
        <w:top w:val="none" w:sz="0" w:space="0" w:color="auto"/>
        <w:left w:val="none" w:sz="0" w:space="0" w:color="auto"/>
        <w:bottom w:val="none" w:sz="0" w:space="0" w:color="auto"/>
        <w:right w:val="none" w:sz="0" w:space="0" w:color="auto"/>
      </w:divBdr>
      <w:divsChild>
        <w:div w:id="1605112490">
          <w:marLeft w:val="0"/>
          <w:marRight w:val="0"/>
          <w:marTop w:val="0"/>
          <w:marBottom w:val="0"/>
          <w:divBdr>
            <w:top w:val="none" w:sz="0" w:space="0" w:color="auto"/>
            <w:left w:val="none" w:sz="0" w:space="0" w:color="auto"/>
            <w:bottom w:val="none" w:sz="0" w:space="0" w:color="auto"/>
            <w:right w:val="none" w:sz="0" w:space="0" w:color="auto"/>
          </w:divBdr>
          <w:divsChild>
            <w:div w:id="1402019898">
              <w:marLeft w:val="0"/>
              <w:marRight w:val="0"/>
              <w:marTop w:val="0"/>
              <w:marBottom w:val="0"/>
              <w:divBdr>
                <w:top w:val="none" w:sz="0" w:space="0" w:color="auto"/>
                <w:left w:val="none" w:sz="0" w:space="0" w:color="auto"/>
                <w:bottom w:val="none" w:sz="0" w:space="0" w:color="auto"/>
                <w:right w:val="none" w:sz="0" w:space="0" w:color="auto"/>
              </w:divBdr>
              <w:divsChild>
                <w:div w:id="359548671">
                  <w:marLeft w:val="0"/>
                  <w:marRight w:val="0"/>
                  <w:marTop w:val="0"/>
                  <w:marBottom w:val="0"/>
                  <w:divBdr>
                    <w:top w:val="none" w:sz="0" w:space="0" w:color="auto"/>
                    <w:left w:val="none" w:sz="0" w:space="0" w:color="auto"/>
                    <w:bottom w:val="none" w:sz="0" w:space="0" w:color="auto"/>
                    <w:right w:val="none" w:sz="0" w:space="0" w:color="auto"/>
                  </w:divBdr>
                  <w:divsChild>
                    <w:div w:id="1245919333">
                      <w:marLeft w:val="0"/>
                      <w:marRight w:val="0"/>
                      <w:marTop w:val="0"/>
                      <w:marBottom w:val="300"/>
                      <w:divBdr>
                        <w:top w:val="none" w:sz="0" w:space="0" w:color="auto"/>
                        <w:left w:val="none" w:sz="0" w:space="0" w:color="auto"/>
                        <w:bottom w:val="none" w:sz="0" w:space="0" w:color="auto"/>
                        <w:right w:val="none" w:sz="0" w:space="0" w:color="auto"/>
                      </w:divBdr>
                      <w:divsChild>
                        <w:div w:id="15148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80277">
      <w:bodyDiv w:val="1"/>
      <w:marLeft w:val="0"/>
      <w:marRight w:val="0"/>
      <w:marTop w:val="0"/>
      <w:marBottom w:val="0"/>
      <w:divBdr>
        <w:top w:val="none" w:sz="0" w:space="0" w:color="auto"/>
        <w:left w:val="none" w:sz="0" w:space="0" w:color="auto"/>
        <w:bottom w:val="none" w:sz="0" w:space="0" w:color="auto"/>
        <w:right w:val="none" w:sz="0" w:space="0" w:color="auto"/>
      </w:divBdr>
      <w:divsChild>
        <w:div w:id="948320387">
          <w:marLeft w:val="0"/>
          <w:marRight w:val="0"/>
          <w:marTop w:val="0"/>
          <w:marBottom w:val="0"/>
          <w:divBdr>
            <w:top w:val="none" w:sz="0" w:space="0" w:color="auto"/>
            <w:left w:val="none" w:sz="0" w:space="0" w:color="auto"/>
            <w:bottom w:val="none" w:sz="0" w:space="0" w:color="auto"/>
            <w:right w:val="none" w:sz="0" w:space="0" w:color="auto"/>
          </w:divBdr>
          <w:divsChild>
            <w:div w:id="1301380907">
              <w:marLeft w:val="0"/>
              <w:marRight w:val="0"/>
              <w:marTop w:val="0"/>
              <w:marBottom w:val="0"/>
              <w:divBdr>
                <w:top w:val="none" w:sz="0" w:space="0" w:color="auto"/>
                <w:left w:val="none" w:sz="0" w:space="0" w:color="auto"/>
                <w:bottom w:val="none" w:sz="0" w:space="0" w:color="auto"/>
                <w:right w:val="none" w:sz="0" w:space="0" w:color="auto"/>
              </w:divBdr>
              <w:divsChild>
                <w:div w:id="599721806">
                  <w:marLeft w:val="0"/>
                  <w:marRight w:val="0"/>
                  <w:marTop w:val="0"/>
                  <w:marBottom w:val="0"/>
                  <w:divBdr>
                    <w:top w:val="none" w:sz="0" w:space="0" w:color="auto"/>
                    <w:left w:val="none" w:sz="0" w:space="0" w:color="auto"/>
                    <w:bottom w:val="none" w:sz="0" w:space="0" w:color="auto"/>
                    <w:right w:val="none" w:sz="0" w:space="0" w:color="auto"/>
                  </w:divBdr>
                  <w:divsChild>
                    <w:div w:id="759832736">
                      <w:marLeft w:val="0"/>
                      <w:marRight w:val="0"/>
                      <w:marTop w:val="0"/>
                      <w:marBottom w:val="300"/>
                      <w:divBdr>
                        <w:top w:val="none" w:sz="0" w:space="0" w:color="auto"/>
                        <w:left w:val="none" w:sz="0" w:space="0" w:color="auto"/>
                        <w:bottom w:val="none" w:sz="0" w:space="0" w:color="auto"/>
                        <w:right w:val="none" w:sz="0" w:space="0" w:color="auto"/>
                      </w:divBdr>
                      <w:divsChild>
                        <w:div w:id="182874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10865">
      <w:bodyDiv w:val="1"/>
      <w:marLeft w:val="0"/>
      <w:marRight w:val="0"/>
      <w:marTop w:val="0"/>
      <w:marBottom w:val="0"/>
      <w:divBdr>
        <w:top w:val="none" w:sz="0" w:space="0" w:color="auto"/>
        <w:left w:val="none" w:sz="0" w:space="0" w:color="auto"/>
        <w:bottom w:val="none" w:sz="0" w:space="0" w:color="auto"/>
        <w:right w:val="none" w:sz="0" w:space="0" w:color="auto"/>
      </w:divBdr>
      <w:divsChild>
        <w:div w:id="1202327083">
          <w:marLeft w:val="0"/>
          <w:marRight w:val="0"/>
          <w:marTop w:val="0"/>
          <w:marBottom w:val="0"/>
          <w:divBdr>
            <w:top w:val="none" w:sz="0" w:space="0" w:color="auto"/>
            <w:left w:val="single" w:sz="6" w:space="0" w:color="BBBBBB"/>
            <w:bottom w:val="single" w:sz="6" w:space="0" w:color="BBBBBB"/>
            <w:right w:val="single" w:sz="6" w:space="0" w:color="BBBBBB"/>
          </w:divBdr>
          <w:divsChild>
            <w:div w:id="1573465180">
              <w:marLeft w:val="0"/>
              <w:marRight w:val="0"/>
              <w:marTop w:val="0"/>
              <w:marBottom w:val="0"/>
              <w:divBdr>
                <w:top w:val="none" w:sz="0" w:space="0" w:color="auto"/>
                <w:left w:val="none" w:sz="0" w:space="0" w:color="auto"/>
                <w:bottom w:val="none" w:sz="0" w:space="0" w:color="auto"/>
                <w:right w:val="none" w:sz="0" w:space="0" w:color="auto"/>
              </w:divBdr>
              <w:divsChild>
                <w:div w:id="1815639137">
                  <w:marLeft w:val="0"/>
                  <w:marRight w:val="0"/>
                  <w:marTop w:val="75"/>
                  <w:marBottom w:val="0"/>
                  <w:divBdr>
                    <w:top w:val="none" w:sz="0" w:space="0" w:color="auto"/>
                    <w:left w:val="none" w:sz="0" w:space="0" w:color="auto"/>
                    <w:bottom w:val="none" w:sz="0" w:space="0" w:color="auto"/>
                    <w:right w:val="none" w:sz="0" w:space="0" w:color="auto"/>
                  </w:divBdr>
                  <w:divsChild>
                    <w:div w:id="913931269">
                      <w:marLeft w:val="0"/>
                      <w:marRight w:val="0"/>
                      <w:marTop w:val="0"/>
                      <w:marBottom w:val="0"/>
                      <w:divBdr>
                        <w:top w:val="none" w:sz="0" w:space="0" w:color="auto"/>
                        <w:left w:val="none" w:sz="0" w:space="0" w:color="auto"/>
                        <w:bottom w:val="none" w:sz="0" w:space="0" w:color="auto"/>
                        <w:right w:val="none" w:sz="0" w:space="0" w:color="auto"/>
                      </w:divBdr>
                      <w:divsChild>
                        <w:div w:id="520780463">
                          <w:marLeft w:val="0"/>
                          <w:marRight w:val="0"/>
                          <w:marTop w:val="0"/>
                          <w:marBottom w:val="0"/>
                          <w:divBdr>
                            <w:top w:val="none" w:sz="0" w:space="0" w:color="auto"/>
                            <w:left w:val="none" w:sz="0" w:space="0" w:color="auto"/>
                            <w:bottom w:val="none" w:sz="0" w:space="0" w:color="auto"/>
                            <w:right w:val="none" w:sz="0" w:space="0" w:color="auto"/>
                          </w:divBdr>
                          <w:divsChild>
                            <w:div w:id="327099846">
                              <w:marLeft w:val="0"/>
                              <w:marRight w:val="0"/>
                              <w:marTop w:val="0"/>
                              <w:marBottom w:val="0"/>
                              <w:divBdr>
                                <w:top w:val="none" w:sz="0" w:space="0" w:color="auto"/>
                                <w:left w:val="none" w:sz="0" w:space="0" w:color="auto"/>
                                <w:bottom w:val="none" w:sz="0" w:space="0" w:color="auto"/>
                                <w:right w:val="none" w:sz="0" w:space="0" w:color="auto"/>
                              </w:divBdr>
                              <w:divsChild>
                                <w:div w:id="649097404">
                                  <w:marLeft w:val="0"/>
                                  <w:marRight w:val="0"/>
                                  <w:marTop w:val="0"/>
                                  <w:marBottom w:val="0"/>
                                  <w:divBdr>
                                    <w:top w:val="none" w:sz="0" w:space="0" w:color="auto"/>
                                    <w:left w:val="none" w:sz="0" w:space="0" w:color="auto"/>
                                    <w:bottom w:val="none" w:sz="0" w:space="0" w:color="auto"/>
                                    <w:right w:val="none" w:sz="0" w:space="0" w:color="auto"/>
                                  </w:divBdr>
                                  <w:divsChild>
                                    <w:div w:id="1057792">
                                      <w:marLeft w:val="0"/>
                                      <w:marRight w:val="0"/>
                                      <w:marTop w:val="0"/>
                                      <w:marBottom w:val="0"/>
                                      <w:divBdr>
                                        <w:top w:val="none" w:sz="0" w:space="0" w:color="auto"/>
                                        <w:left w:val="none" w:sz="0" w:space="0" w:color="auto"/>
                                        <w:bottom w:val="none" w:sz="0" w:space="0" w:color="auto"/>
                                        <w:right w:val="none" w:sz="0" w:space="0" w:color="auto"/>
                                      </w:divBdr>
                                      <w:divsChild>
                                        <w:div w:id="865408602">
                                          <w:marLeft w:val="1200"/>
                                          <w:marRight w:val="1200"/>
                                          <w:marTop w:val="0"/>
                                          <w:marBottom w:val="0"/>
                                          <w:divBdr>
                                            <w:top w:val="none" w:sz="0" w:space="0" w:color="auto"/>
                                            <w:left w:val="none" w:sz="0" w:space="0" w:color="auto"/>
                                            <w:bottom w:val="none" w:sz="0" w:space="0" w:color="auto"/>
                                            <w:right w:val="none" w:sz="0" w:space="0" w:color="auto"/>
                                          </w:divBdr>
                                          <w:divsChild>
                                            <w:div w:id="2007509663">
                                              <w:marLeft w:val="0"/>
                                              <w:marRight w:val="0"/>
                                              <w:marTop w:val="0"/>
                                              <w:marBottom w:val="0"/>
                                              <w:divBdr>
                                                <w:top w:val="none" w:sz="0" w:space="0" w:color="auto"/>
                                                <w:left w:val="none" w:sz="0" w:space="0" w:color="auto"/>
                                                <w:bottom w:val="none" w:sz="0" w:space="0" w:color="auto"/>
                                                <w:right w:val="none" w:sz="0" w:space="0" w:color="auto"/>
                                              </w:divBdr>
                                              <w:divsChild>
                                                <w:div w:id="457990167">
                                                  <w:marLeft w:val="0"/>
                                                  <w:marRight w:val="0"/>
                                                  <w:marTop w:val="0"/>
                                                  <w:marBottom w:val="0"/>
                                                  <w:divBdr>
                                                    <w:top w:val="none" w:sz="0" w:space="0" w:color="auto"/>
                                                    <w:left w:val="none" w:sz="0" w:space="0" w:color="auto"/>
                                                    <w:bottom w:val="none" w:sz="0" w:space="0" w:color="auto"/>
                                                    <w:right w:val="none" w:sz="0" w:space="0" w:color="auto"/>
                                                  </w:divBdr>
                                                  <w:divsChild>
                                                    <w:div w:id="1034890070">
                                                      <w:marLeft w:val="0"/>
                                                      <w:marRight w:val="0"/>
                                                      <w:marTop w:val="0"/>
                                                      <w:marBottom w:val="0"/>
                                                      <w:divBdr>
                                                        <w:top w:val="none" w:sz="0" w:space="0" w:color="auto"/>
                                                        <w:left w:val="none" w:sz="0" w:space="0" w:color="auto"/>
                                                        <w:bottom w:val="none" w:sz="0" w:space="0" w:color="auto"/>
                                                        <w:right w:val="none" w:sz="0" w:space="0" w:color="auto"/>
                                                      </w:divBdr>
                                                      <w:divsChild>
                                                        <w:div w:id="1408918546">
                                                          <w:marLeft w:val="0"/>
                                                          <w:marRight w:val="0"/>
                                                          <w:marTop w:val="0"/>
                                                          <w:marBottom w:val="0"/>
                                                          <w:divBdr>
                                                            <w:top w:val="none" w:sz="0" w:space="0" w:color="auto"/>
                                                            <w:left w:val="none" w:sz="0" w:space="0" w:color="auto"/>
                                                            <w:bottom w:val="none" w:sz="0" w:space="0" w:color="auto"/>
                                                            <w:right w:val="none" w:sz="0" w:space="0" w:color="auto"/>
                                                          </w:divBdr>
                                                          <w:divsChild>
                                                            <w:div w:id="959990358">
                                                              <w:marLeft w:val="0"/>
                                                              <w:marRight w:val="0"/>
                                                              <w:marTop w:val="0"/>
                                                              <w:marBottom w:val="0"/>
                                                              <w:divBdr>
                                                                <w:top w:val="none" w:sz="0" w:space="0" w:color="auto"/>
                                                                <w:left w:val="none" w:sz="0" w:space="0" w:color="auto"/>
                                                                <w:bottom w:val="none" w:sz="0" w:space="0" w:color="auto"/>
                                                                <w:right w:val="none" w:sz="0" w:space="0" w:color="auto"/>
                                                              </w:divBdr>
                                                            </w:div>
                                                          </w:divsChild>
                                                        </w:div>
                                                        <w:div w:id="21364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35215">
      <w:bodyDiv w:val="1"/>
      <w:marLeft w:val="0"/>
      <w:marRight w:val="0"/>
      <w:marTop w:val="0"/>
      <w:marBottom w:val="0"/>
      <w:divBdr>
        <w:top w:val="none" w:sz="0" w:space="0" w:color="auto"/>
        <w:left w:val="none" w:sz="0" w:space="0" w:color="auto"/>
        <w:bottom w:val="none" w:sz="0" w:space="0" w:color="auto"/>
        <w:right w:val="none" w:sz="0" w:space="0" w:color="auto"/>
      </w:divBdr>
      <w:divsChild>
        <w:div w:id="1642222754">
          <w:marLeft w:val="0"/>
          <w:marRight w:val="0"/>
          <w:marTop w:val="0"/>
          <w:marBottom w:val="0"/>
          <w:divBdr>
            <w:top w:val="none" w:sz="0" w:space="0" w:color="auto"/>
            <w:left w:val="none" w:sz="0" w:space="0" w:color="auto"/>
            <w:bottom w:val="none" w:sz="0" w:space="0" w:color="auto"/>
            <w:right w:val="none" w:sz="0" w:space="0" w:color="auto"/>
          </w:divBdr>
        </w:div>
        <w:div w:id="2091149120">
          <w:marLeft w:val="0"/>
          <w:marRight w:val="0"/>
          <w:marTop w:val="240"/>
          <w:marBottom w:val="0"/>
          <w:divBdr>
            <w:top w:val="none" w:sz="0" w:space="0" w:color="auto"/>
            <w:left w:val="none" w:sz="0" w:space="0" w:color="auto"/>
            <w:bottom w:val="none" w:sz="0" w:space="0" w:color="auto"/>
            <w:right w:val="none" w:sz="0" w:space="0" w:color="auto"/>
          </w:divBdr>
          <w:divsChild>
            <w:div w:id="1913201016">
              <w:marLeft w:val="0"/>
              <w:marRight w:val="0"/>
              <w:marTop w:val="0"/>
              <w:marBottom w:val="0"/>
              <w:divBdr>
                <w:top w:val="none" w:sz="0" w:space="0" w:color="auto"/>
                <w:left w:val="none" w:sz="0" w:space="0" w:color="auto"/>
                <w:bottom w:val="none" w:sz="0" w:space="0" w:color="auto"/>
                <w:right w:val="none" w:sz="0" w:space="0" w:color="auto"/>
              </w:divBdr>
            </w:div>
          </w:divsChild>
        </w:div>
        <w:div w:id="264776400">
          <w:marLeft w:val="0"/>
          <w:marRight w:val="0"/>
          <w:marTop w:val="240"/>
          <w:marBottom w:val="0"/>
          <w:divBdr>
            <w:top w:val="none" w:sz="0" w:space="0" w:color="auto"/>
            <w:left w:val="none" w:sz="0" w:space="0" w:color="auto"/>
            <w:bottom w:val="none" w:sz="0" w:space="0" w:color="auto"/>
            <w:right w:val="none" w:sz="0" w:space="0" w:color="auto"/>
          </w:divBdr>
          <w:divsChild>
            <w:div w:id="8080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6801">
      <w:bodyDiv w:val="1"/>
      <w:marLeft w:val="0"/>
      <w:marRight w:val="0"/>
      <w:marTop w:val="0"/>
      <w:marBottom w:val="0"/>
      <w:divBdr>
        <w:top w:val="none" w:sz="0" w:space="0" w:color="auto"/>
        <w:left w:val="none" w:sz="0" w:space="0" w:color="auto"/>
        <w:bottom w:val="none" w:sz="0" w:space="0" w:color="auto"/>
        <w:right w:val="none" w:sz="0" w:space="0" w:color="auto"/>
      </w:divBdr>
      <w:divsChild>
        <w:div w:id="1866282248">
          <w:marLeft w:val="0"/>
          <w:marRight w:val="0"/>
          <w:marTop w:val="0"/>
          <w:marBottom w:val="0"/>
          <w:divBdr>
            <w:top w:val="none" w:sz="0" w:space="0" w:color="auto"/>
            <w:left w:val="none" w:sz="0" w:space="0" w:color="auto"/>
            <w:bottom w:val="none" w:sz="0" w:space="0" w:color="auto"/>
            <w:right w:val="none" w:sz="0" w:space="0" w:color="auto"/>
          </w:divBdr>
          <w:divsChild>
            <w:div w:id="793333485">
              <w:marLeft w:val="0"/>
              <w:marRight w:val="0"/>
              <w:marTop w:val="0"/>
              <w:marBottom w:val="0"/>
              <w:divBdr>
                <w:top w:val="none" w:sz="0" w:space="0" w:color="auto"/>
                <w:left w:val="none" w:sz="0" w:space="0" w:color="auto"/>
                <w:bottom w:val="none" w:sz="0" w:space="0" w:color="auto"/>
                <w:right w:val="none" w:sz="0" w:space="0" w:color="auto"/>
              </w:divBdr>
              <w:divsChild>
                <w:div w:id="1180775035">
                  <w:marLeft w:val="0"/>
                  <w:marRight w:val="0"/>
                  <w:marTop w:val="0"/>
                  <w:marBottom w:val="0"/>
                  <w:divBdr>
                    <w:top w:val="none" w:sz="0" w:space="0" w:color="auto"/>
                    <w:left w:val="none" w:sz="0" w:space="0" w:color="auto"/>
                    <w:bottom w:val="none" w:sz="0" w:space="0" w:color="auto"/>
                    <w:right w:val="none" w:sz="0" w:space="0" w:color="auto"/>
                  </w:divBdr>
                  <w:divsChild>
                    <w:div w:id="573709336">
                      <w:marLeft w:val="0"/>
                      <w:marRight w:val="0"/>
                      <w:marTop w:val="0"/>
                      <w:marBottom w:val="300"/>
                      <w:divBdr>
                        <w:top w:val="none" w:sz="0" w:space="0" w:color="auto"/>
                        <w:left w:val="none" w:sz="0" w:space="0" w:color="auto"/>
                        <w:bottom w:val="none" w:sz="0" w:space="0" w:color="auto"/>
                        <w:right w:val="none" w:sz="0" w:space="0" w:color="auto"/>
                      </w:divBdr>
                      <w:divsChild>
                        <w:div w:id="9760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92500">
      <w:bodyDiv w:val="1"/>
      <w:marLeft w:val="0"/>
      <w:marRight w:val="0"/>
      <w:marTop w:val="0"/>
      <w:marBottom w:val="0"/>
      <w:divBdr>
        <w:top w:val="none" w:sz="0" w:space="0" w:color="auto"/>
        <w:left w:val="none" w:sz="0" w:space="0" w:color="auto"/>
        <w:bottom w:val="none" w:sz="0" w:space="0" w:color="auto"/>
        <w:right w:val="none" w:sz="0" w:space="0" w:color="auto"/>
      </w:divBdr>
      <w:divsChild>
        <w:div w:id="10844702">
          <w:marLeft w:val="0"/>
          <w:marRight w:val="0"/>
          <w:marTop w:val="0"/>
          <w:marBottom w:val="0"/>
          <w:divBdr>
            <w:top w:val="none" w:sz="0" w:space="0" w:color="auto"/>
            <w:left w:val="single" w:sz="6" w:space="0" w:color="BBBBBB"/>
            <w:bottom w:val="single" w:sz="6" w:space="0" w:color="BBBBBB"/>
            <w:right w:val="single" w:sz="6" w:space="0" w:color="BBBBBB"/>
          </w:divBdr>
          <w:divsChild>
            <w:div w:id="2068605713">
              <w:marLeft w:val="0"/>
              <w:marRight w:val="0"/>
              <w:marTop w:val="0"/>
              <w:marBottom w:val="0"/>
              <w:divBdr>
                <w:top w:val="none" w:sz="0" w:space="0" w:color="auto"/>
                <w:left w:val="none" w:sz="0" w:space="0" w:color="auto"/>
                <w:bottom w:val="none" w:sz="0" w:space="0" w:color="auto"/>
                <w:right w:val="none" w:sz="0" w:space="0" w:color="auto"/>
              </w:divBdr>
              <w:divsChild>
                <w:div w:id="1336106154">
                  <w:marLeft w:val="0"/>
                  <w:marRight w:val="0"/>
                  <w:marTop w:val="0"/>
                  <w:marBottom w:val="0"/>
                  <w:divBdr>
                    <w:top w:val="none" w:sz="0" w:space="0" w:color="auto"/>
                    <w:left w:val="none" w:sz="0" w:space="0" w:color="auto"/>
                    <w:bottom w:val="none" w:sz="0" w:space="0" w:color="auto"/>
                    <w:right w:val="none" w:sz="0" w:space="0" w:color="auto"/>
                  </w:divBdr>
                  <w:divsChild>
                    <w:div w:id="444234629">
                      <w:marLeft w:val="0"/>
                      <w:marRight w:val="0"/>
                      <w:marTop w:val="0"/>
                      <w:marBottom w:val="0"/>
                      <w:divBdr>
                        <w:top w:val="none" w:sz="0" w:space="0" w:color="auto"/>
                        <w:left w:val="none" w:sz="0" w:space="0" w:color="auto"/>
                        <w:bottom w:val="none" w:sz="0" w:space="0" w:color="auto"/>
                        <w:right w:val="none" w:sz="0" w:space="0" w:color="auto"/>
                      </w:divBdr>
                      <w:divsChild>
                        <w:div w:id="1800340734">
                          <w:marLeft w:val="0"/>
                          <w:marRight w:val="0"/>
                          <w:marTop w:val="0"/>
                          <w:marBottom w:val="0"/>
                          <w:divBdr>
                            <w:top w:val="none" w:sz="0" w:space="0" w:color="auto"/>
                            <w:left w:val="none" w:sz="0" w:space="0" w:color="auto"/>
                            <w:bottom w:val="none" w:sz="0" w:space="0" w:color="auto"/>
                            <w:right w:val="none" w:sz="0" w:space="0" w:color="auto"/>
                          </w:divBdr>
                          <w:divsChild>
                            <w:div w:id="2098867586">
                              <w:marLeft w:val="0"/>
                              <w:marRight w:val="0"/>
                              <w:marTop w:val="0"/>
                              <w:marBottom w:val="0"/>
                              <w:divBdr>
                                <w:top w:val="none" w:sz="0" w:space="0" w:color="auto"/>
                                <w:left w:val="none" w:sz="0" w:space="0" w:color="auto"/>
                                <w:bottom w:val="none" w:sz="0" w:space="0" w:color="auto"/>
                                <w:right w:val="none" w:sz="0" w:space="0" w:color="auto"/>
                              </w:divBdr>
                              <w:divsChild>
                                <w:div w:id="2034187141">
                                  <w:marLeft w:val="0"/>
                                  <w:marRight w:val="0"/>
                                  <w:marTop w:val="0"/>
                                  <w:marBottom w:val="0"/>
                                  <w:divBdr>
                                    <w:top w:val="none" w:sz="0" w:space="0" w:color="auto"/>
                                    <w:left w:val="none" w:sz="0" w:space="0" w:color="auto"/>
                                    <w:bottom w:val="none" w:sz="0" w:space="0" w:color="auto"/>
                                    <w:right w:val="none" w:sz="0" w:space="0" w:color="auto"/>
                                  </w:divBdr>
                                  <w:divsChild>
                                    <w:div w:id="2017533737">
                                      <w:marLeft w:val="0"/>
                                      <w:marRight w:val="0"/>
                                      <w:marTop w:val="0"/>
                                      <w:marBottom w:val="0"/>
                                      <w:divBdr>
                                        <w:top w:val="none" w:sz="0" w:space="0" w:color="auto"/>
                                        <w:left w:val="none" w:sz="0" w:space="0" w:color="auto"/>
                                        <w:bottom w:val="none" w:sz="0" w:space="0" w:color="auto"/>
                                        <w:right w:val="none" w:sz="0" w:space="0" w:color="auto"/>
                                      </w:divBdr>
                                      <w:divsChild>
                                        <w:div w:id="144904787">
                                          <w:marLeft w:val="1200"/>
                                          <w:marRight w:val="1200"/>
                                          <w:marTop w:val="0"/>
                                          <w:marBottom w:val="0"/>
                                          <w:divBdr>
                                            <w:top w:val="none" w:sz="0" w:space="0" w:color="auto"/>
                                            <w:left w:val="none" w:sz="0" w:space="0" w:color="auto"/>
                                            <w:bottom w:val="none" w:sz="0" w:space="0" w:color="auto"/>
                                            <w:right w:val="none" w:sz="0" w:space="0" w:color="auto"/>
                                          </w:divBdr>
                                          <w:divsChild>
                                            <w:div w:id="194345566">
                                              <w:marLeft w:val="0"/>
                                              <w:marRight w:val="0"/>
                                              <w:marTop w:val="0"/>
                                              <w:marBottom w:val="0"/>
                                              <w:divBdr>
                                                <w:top w:val="none" w:sz="0" w:space="0" w:color="auto"/>
                                                <w:left w:val="none" w:sz="0" w:space="0" w:color="auto"/>
                                                <w:bottom w:val="none" w:sz="0" w:space="0" w:color="auto"/>
                                                <w:right w:val="none" w:sz="0" w:space="0" w:color="auto"/>
                                              </w:divBdr>
                                              <w:divsChild>
                                                <w:div w:id="965352096">
                                                  <w:marLeft w:val="0"/>
                                                  <w:marRight w:val="0"/>
                                                  <w:marTop w:val="0"/>
                                                  <w:marBottom w:val="0"/>
                                                  <w:divBdr>
                                                    <w:top w:val="none" w:sz="0" w:space="0" w:color="auto"/>
                                                    <w:left w:val="none" w:sz="0" w:space="0" w:color="auto"/>
                                                    <w:bottom w:val="none" w:sz="0" w:space="0" w:color="auto"/>
                                                    <w:right w:val="none" w:sz="0" w:space="0" w:color="auto"/>
                                                  </w:divBdr>
                                                  <w:divsChild>
                                                    <w:div w:id="1595548666">
                                                      <w:marLeft w:val="0"/>
                                                      <w:marRight w:val="0"/>
                                                      <w:marTop w:val="0"/>
                                                      <w:marBottom w:val="0"/>
                                                      <w:divBdr>
                                                        <w:top w:val="none" w:sz="0" w:space="0" w:color="auto"/>
                                                        <w:left w:val="none" w:sz="0" w:space="0" w:color="auto"/>
                                                        <w:bottom w:val="none" w:sz="0" w:space="0" w:color="auto"/>
                                                        <w:right w:val="none" w:sz="0" w:space="0" w:color="auto"/>
                                                      </w:divBdr>
                                                      <w:divsChild>
                                                        <w:div w:id="308557238">
                                                          <w:marLeft w:val="0"/>
                                                          <w:marRight w:val="0"/>
                                                          <w:marTop w:val="0"/>
                                                          <w:marBottom w:val="0"/>
                                                          <w:divBdr>
                                                            <w:top w:val="none" w:sz="0" w:space="0" w:color="auto"/>
                                                            <w:left w:val="none" w:sz="0" w:space="0" w:color="auto"/>
                                                            <w:bottom w:val="none" w:sz="0" w:space="0" w:color="auto"/>
                                                            <w:right w:val="none" w:sz="0" w:space="0" w:color="auto"/>
                                                          </w:divBdr>
                                                        </w:div>
                                                        <w:div w:id="639268647">
                                                          <w:marLeft w:val="0"/>
                                                          <w:marRight w:val="0"/>
                                                          <w:marTop w:val="0"/>
                                                          <w:marBottom w:val="0"/>
                                                          <w:divBdr>
                                                            <w:top w:val="none" w:sz="0" w:space="0" w:color="auto"/>
                                                            <w:left w:val="none" w:sz="0" w:space="0" w:color="auto"/>
                                                            <w:bottom w:val="none" w:sz="0" w:space="0" w:color="auto"/>
                                                            <w:right w:val="none" w:sz="0" w:space="0" w:color="auto"/>
                                                          </w:divBdr>
                                                          <w:divsChild>
                                                            <w:div w:id="622492915">
                                                              <w:marLeft w:val="0"/>
                                                              <w:marRight w:val="0"/>
                                                              <w:marTop w:val="0"/>
                                                              <w:marBottom w:val="0"/>
                                                              <w:divBdr>
                                                                <w:top w:val="none" w:sz="0" w:space="0" w:color="auto"/>
                                                                <w:left w:val="none" w:sz="0" w:space="0" w:color="auto"/>
                                                                <w:bottom w:val="none" w:sz="0" w:space="0" w:color="auto"/>
                                                                <w:right w:val="none" w:sz="0" w:space="0" w:color="auto"/>
                                                              </w:divBdr>
                                                            </w:div>
                                                          </w:divsChild>
                                                        </w:div>
                                                        <w:div w:id="1004667356">
                                                          <w:marLeft w:val="0"/>
                                                          <w:marRight w:val="0"/>
                                                          <w:marTop w:val="0"/>
                                                          <w:marBottom w:val="0"/>
                                                          <w:divBdr>
                                                            <w:top w:val="none" w:sz="0" w:space="0" w:color="auto"/>
                                                            <w:left w:val="none" w:sz="0" w:space="0" w:color="auto"/>
                                                            <w:bottom w:val="none" w:sz="0" w:space="0" w:color="auto"/>
                                                            <w:right w:val="none" w:sz="0" w:space="0" w:color="auto"/>
                                                          </w:divBdr>
                                                          <w:divsChild>
                                                            <w:div w:id="1583296870">
                                                              <w:marLeft w:val="0"/>
                                                              <w:marRight w:val="0"/>
                                                              <w:marTop w:val="0"/>
                                                              <w:marBottom w:val="0"/>
                                                              <w:divBdr>
                                                                <w:top w:val="none" w:sz="0" w:space="0" w:color="auto"/>
                                                                <w:left w:val="none" w:sz="0" w:space="0" w:color="auto"/>
                                                                <w:bottom w:val="none" w:sz="0" w:space="0" w:color="auto"/>
                                                                <w:right w:val="none" w:sz="0" w:space="0" w:color="auto"/>
                                                              </w:divBdr>
                                                            </w:div>
                                                          </w:divsChild>
                                                        </w:div>
                                                        <w:div w:id="1139346378">
                                                          <w:marLeft w:val="0"/>
                                                          <w:marRight w:val="0"/>
                                                          <w:marTop w:val="0"/>
                                                          <w:marBottom w:val="0"/>
                                                          <w:divBdr>
                                                            <w:top w:val="none" w:sz="0" w:space="0" w:color="auto"/>
                                                            <w:left w:val="none" w:sz="0" w:space="0" w:color="auto"/>
                                                            <w:bottom w:val="none" w:sz="0" w:space="0" w:color="auto"/>
                                                            <w:right w:val="none" w:sz="0" w:space="0" w:color="auto"/>
                                                          </w:divBdr>
                                                        </w:div>
                                                        <w:div w:id="1235435459">
                                                          <w:marLeft w:val="0"/>
                                                          <w:marRight w:val="0"/>
                                                          <w:marTop w:val="0"/>
                                                          <w:marBottom w:val="0"/>
                                                          <w:divBdr>
                                                            <w:top w:val="none" w:sz="0" w:space="0" w:color="auto"/>
                                                            <w:left w:val="none" w:sz="0" w:space="0" w:color="auto"/>
                                                            <w:bottom w:val="none" w:sz="0" w:space="0" w:color="auto"/>
                                                            <w:right w:val="none" w:sz="0" w:space="0" w:color="auto"/>
                                                          </w:divBdr>
                                                        </w:div>
                                                        <w:div w:id="1275554762">
                                                          <w:marLeft w:val="0"/>
                                                          <w:marRight w:val="0"/>
                                                          <w:marTop w:val="0"/>
                                                          <w:marBottom w:val="0"/>
                                                          <w:divBdr>
                                                            <w:top w:val="none" w:sz="0" w:space="0" w:color="auto"/>
                                                            <w:left w:val="none" w:sz="0" w:space="0" w:color="auto"/>
                                                            <w:bottom w:val="none" w:sz="0" w:space="0" w:color="auto"/>
                                                            <w:right w:val="none" w:sz="0" w:space="0" w:color="auto"/>
                                                          </w:divBdr>
                                                          <w:divsChild>
                                                            <w:div w:id="702244890">
                                                              <w:marLeft w:val="0"/>
                                                              <w:marRight w:val="0"/>
                                                              <w:marTop w:val="0"/>
                                                              <w:marBottom w:val="0"/>
                                                              <w:divBdr>
                                                                <w:top w:val="none" w:sz="0" w:space="0" w:color="auto"/>
                                                                <w:left w:val="none" w:sz="0" w:space="0" w:color="auto"/>
                                                                <w:bottom w:val="none" w:sz="0" w:space="0" w:color="auto"/>
                                                                <w:right w:val="none" w:sz="0" w:space="0" w:color="auto"/>
                                                              </w:divBdr>
                                                            </w:div>
                                                          </w:divsChild>
                                                        </w:div>
                                                        <w:div w:id="1388989441">
                                                          <w:marLeft w:val="0"/>
                                                          <w:marRight w:val="0"/>
                                                          <w:marTop w:val="0"/>
                                                          <w:marBottom w:val="0"/>
                                                          <w:divBdr>
                                                            <w:top w:val="none" w:sz="0" w:space="0" w:color="auto"/>
                                                            <w:left w:val="none" w:sz="0" w:space="0" w:color="auto"/>
                                                            <w:bottom w:val="none" w:sz="0" w:space="0" w:color="auto"/>
                                                            <w:right w:val="none" w:sz="0" w:space="0" w:color="auto"/>
                                                          </w:divBdr>
                                                        </w:div>
                                                        <w:div w:id="1509906366">
                                                          <w:marLeft w:val="0"/>
                                                          <w:marRight w:val="0"/>
                                                          <w:marTop w:val="0"/>
                                                          <w:marBottom w:val="0"/>
                                                          <w:divBdr>
                                                            <w:top w:val="none" w:sz="0" w:space="0" w:color="auto"/>
                                                            <w:left w:val="none" w:sz="0" w:space="0" w:color="auto"/>
                                                            <w:bottom w:val="none" w:sz="0" w:space="0" w:color="auto"/>
                                                            <w:right w:val="none" w:sz="0" w:space="0" w:color="auto"/>
                                                          </w:divBdr>
                                                          <w:divsChild>
                                                            <w:div w:id="1918518172">
                                                              <w:marLeft w:val="0"/>
                                                              <w:marRight w:val="0"/>
                                                              <w:marTop w:val="0"/>
                                                              <w:marBottom w:val="0"/>
                                                              <w:divBdr>
                                                                <w:top w:val="none" w:sz="0" w:space="0" w:color="auto"/>
                                                                <w:left w:val="none" w:sz="0" w:space="0" w:color="auto"/>
                                                                <w:bottom w:val="none" w:sz="0" w:space="0" w:color="auto"/>
                                                                <w:right w:val="none" w:sz="0" w:space="0" w:color="auto"/>
                                                              </w:divBdr>
                                                            </w:div>
                                                          </w:divsChild>
                                                        </w:div>
                                                        <w:div w:id="1729498299">
                                                          <w:marLeft w:val="0"/>
                                                          <w:marRight w:val="0"/>
                                                          <w:marTop w:val="0"/>
                                                          <w:marBottom w:val="0"/>
                                                          <w:divBdr>
                                                            <w:top w:val="none" w:sz="0" w:space="0" w:color="auto"/>
                                                            <w:left w:val="none" w:sz="0" w:space="0" w:color="auto"/>
                                                            <w:bottom w:val="none" w:sz="0" w:space="0" w:color="auto"/>
                                                            <w:right w:val="none" w:sz="0" w:space="0" w:color="auto"/>
                                                          </w:divBdr>
                                                          <w:divsChild>
                                                            <w:div w:id="855769704">
                                                              <w:marLeft w:val="0"/>
                                                              <w:marRight w:val="0"/>
                                                              <w:marTop w:val="0"/>
                                                              <w:marBottom w:val="0"/>
                                                              <w:divBdr>
                                                                <w:top w:val="none" w:sz="0" w:space="0" w:color="auto"/>
                                                                <w:left w:val="none" w:sz="0" w:space="0" w:color="auto"/>
                                                                <w:bottom w:val="none" w:sz="0" w:space="0" w:color="auto"/>
                                                                <w:right w:val="none" w:sz="0" w:space="0" w:color="auto"/>
                                                              </w:divBdr>
                                                            </w:div>
                                                          </w:divsChild>
                                                        </w:div>
                                                        <w:div w:id="1927612006">
                                                          <w:marLeft w:val="0"/>
                                                          <w:marRight w:val="0"/>
                                                          <w:marTop w:val="0"/>
                                                          <w:marBottom w:val="0"/>
                                                          <w:divBdr>
                                                            <w:top w:val="none" w:sz="0" w:space="0" w:color="auto"/>
                                                            <w:left w:val="none" w:sz="0" w:space="0" w:color="auto"/>
                                                            <w:bottom w:val="none" w:sz="0" w:space="0" w:color="auto"/>
                                                            <w:right w:val="none" w:sz="0" w:space="0" w:color="auto"/>
                                                          </w:divBdr>
                                                          <w:divsChild>
                                                            <w:div w:id="1225919712">
                                                              <w:marLeft w:val="0"/>
                                                              <w:marRight w:val="0"/>
                                                              <w:marTop w:val="0"/>
                                                              <w:marBottom w:val="0"/>
                                                              <w:divBdr>
                                                                <w:top w:val="none" w:sz="0" w:space="0" w:color="auto"/>
                                                                <w:left w:val="none" w:sz="0" w:space="0" w:color="auto"/>
                                                                <w:bottom w:val="none" w:sz="0" w:space="0" w:color="auto"/>
                                                                <w:right w:val="none" w:sz="0" w:space="0" w:color="auto"/>
                                                              </w:divBdr>
                                                            </w:div>
                                                          </w:divsChild>
                                                        </w:div>
                                                        <w:div w:id="2097246827">
                                                          <w:marLeft w:val="0"/>
                                                          <w:marRight w:val="0"/>
                                                          <w:marTop w:val="0"/>
                                                          <w:marBottom w:val="0"/>
                                                          <w:divBdr>
                                                            <w:top w:val="none" w:sz="0" w:space="0" w:color="auto"/>
                                                            <w:left w:val="none" w:sz="0" w:space="0" w:color="auto"/>
                                                            <w:bottom w:val="none" w:sz="0" w:space="0" w:color="auto"/>
                                                            <w:right w:val="none" w:sz="0" w:space="0" w:color="auto"/>
                                                          </w:divBdr>
                                                          <w:divsChild>
                                                            <w:div w:id="123223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871398">
      <w:bodyDiv w:val="1"/>
      <w:marLeft w:val="0"/>
      <w:marRight w:val="0"/>
      <w:marTop w:val="0"/>
      <w:marBottom w:val="0"/>
      <w:divBdr>
        <w:top w:val="none" w:sz="0" w:space="0" w:color="auto"/>
        <w:left w:val="none" w:sz="0" w:space="0" w:color="auto"/>
        <w:bottom w:val="none" w:sz="0" w:space="0" w:color="auto"/>
        <w:right w:val="none" w:sz="0" w:space="0" w:color="auto"/>
      </w:divBdr>
      <w:divsChild>
        <w:div w:id="1057125885">
          <w:marLeft w:val="0"/>
          <w:marRight w:val="0"/>
          <w:marTop w:val="0"/>
          <w:marBottom w:val="0"/>
          <w:divBdr>
            <w:top w:val="none" w:sz="0" w:space="0" w:color="auto"/>
            <w:left w:val="single" w:sz="6" w:space="0" w:color="BBBBBB"/>
            <w:bottom w:val="single" w:sz="6" w:space="0" w:color="BBBBBB"/>
            <w:right w:val="single" w:sz="6" w:space="0" w:color="BBBBBB"/>
          </w:divBdr>
          <w:divsChild>
            <w:div w:id="1945578761">
              <w:marLeft w:val="0"/>
              <w:marRight w:val="0"/>
              <w:marTop w:val="0"/>
              <w:marBottom w:val="0"/>
              <w:divBdr>
                <w:top w:val="none" w:sz="0" w:space="0" w:color="auto"/>
                <w:left w:val="none" w:sz="0" w:space="0" w:color="auto"/>
                <w:bottom w:val="none" w:sz="0" w:space="0" w:color="auto"/>
                <w:right w:val="none" w:sz="0" w:space="0" w:color="auto"/>
              </w:divBdr>
              <w:divsChild>
                <w:div w:id="1859155933">
                  <w:marLeft w:val="0"/>
                  <w:marRight w:val="0"/>
                  <w:marTop w:val="75"/>
                  <w:marBottom w:val="0"/>
                  <w:divBdr>
                    <w:top w:val="none" w:sz="0" w:space="0" w:color="auto"/>
                    <w:left w:val="none" w:sz="0" w:space="0" w:color="auto"/>
                    <w:bottom w:val="none" w:sz="0" w:space="0" w:color="auto"/>
                    <w:right w:val="none" w:sz="0" w:space="0" w:color="auto"/>
                  </w:divBdr>
                  <w:divsChild>
                    <w:div w:id="1699357384">
                      <w:marLeft w:val="0"/>
                      <w:marRight w:val="0"/>
                      <w:marTop w:val="0"/>
                      <w:marBottom w:val="0"/>
                      <w:divBdr>
                        <w:top w:val="none" w:sz="0" w:space="0" w:color="auto"/>
                        <w:left w:val="none" w:sz="0" w:space="0" w:color="auto"/>
                        <w:bottom w:val="none" w:sz="0" w:space="0" w:color="auto"/>
                        <w:right w:val="none" w:sz="0" w:space="0" w:color="auto"/>
                      </w:divBdr>
                      <w:divsChild>
                        <w:div w:id="2135708016">
                          <w:marLeft w:val="0"/>
                          <w:marRight w:val="0"/>
                          <w:marTop w:val="0"/>
                          <w:marBottom w:val="0"/>
                          <w:divBdr>
                            <w:top w:val="none" w:sz="0" w:space="0" w:color="auto"/>
                            <w:left w:val="none" w:sz="0" w:space="0" w:color="auto"/>
                            <w:bottom w:val="none" w:sz="0" w:space="0" w:color="auto"/>
                            <w:right w:val="none" w:sz="0" w:space="0" w:color="auto"/>
                          </w:divBdr>
                          <w:divsChild>
                            <w:div w:id="1183856487">
                              <w:marLeft w:val="0"/>
                              <w:marRight w:val="0"/>
                              <w:marTop w:val="0"/>
                              <w:marBottom w:val="0"/>
                              <w:divBdr>
                                <w:top w:val="none" w:sz="0" w:space="0" w:color="auto"/>
                                <w:left w:val="none" w:sz="0" w:space="0" w:color="auto"/>
                                <w:bottom w:val="none" w:sz="0" w:space="0" w:color="auto"/>
                                <w:right w:val="none" w:sz="0" w:space="0" w:color="auto"/>
                              </w:divBdr>
                              <w:divsChild>
                                <w:div w:id="1265959641">
                                  <w:marLeft w:val="0"/>
                                  <w:marRight w:val="0"/>
                                  <w:marTop w:val="0"/>
                                  <w:marBottom w:val="0"/>
                                  <w:divBdr>
                                    <w:top w:val="none" w:sz="0" w:space="0" w:color="auto"/>
                                    <w:left w:val="none" w:sz="0" w:space="0" w:color="auto"/>
                                    <w:bottom w:val="none" w:sz="0" w:space="0" w:color="auto"/>
                                    <w:right w:val="none" w:sz="0" w:space="0" w:color="auto"/>
                                  </w:divBdr>
                                  <w:divsChild>
                                    <w:div w:id="2080862865">
                                      <w:marLeft w:val="0"/>
                                      <w:marRight w:val="0"/>
                                      <w:marTop w:val="0"/>
                                      <w:marBottom w:val="0"/>
                                      <w:divBdr>
                                        <w:top w:val="none" w:sz="0" w:space="0" w:color="auto"/>
                                        <w:left w:val="none" w:sz="0" w:space="0" w:color="auto"/>
                                        <w:bottom w:val="none" w:sz="0" w:space="0" w:color="auto"/>
                                        <w:right w:val="none" w:sz="0" w:space="0" w:color="auto"/>
                                      </w:divBdr>
                                      <w:divsChild>
                                        <w:div w:id="797377199">
                                          <w:marLeft w:val="1200"/>
                                          <w:marRight w:val="1200"/>
                                          <w:marTop w:val="0"/>
                                          <w:marBottom w:val="0"/>
                                          <w:divBdr>
                                            <w:top w:val="none" w:sz="0" w:space="0" w:color="auto"/>
                                            <w:left w:val="none" w:sz="0" w:space="0" w:color="auto"/>
                                            <w:bottom w:val="none" w:sz="0" w:space="0" w:color="auto"/>
                                            <w:right w:val="none" w:sz="0" w:space="0" w:color="auto"/>
                                          </w:divBdr>
                                          <w:divsChild>
                                            <w:div w:id="13968768">
                                              <w:marLeft w:val="0"/>
                                              <w:marRight w:val="0"/>
                                              <w:marTop w:val="0"/>
                                              <w:marBottom w:val="0"/>
                                              <w:divBdr>
                                                <w:top w:val="none" w:sz="0" w:space="0" w:color="auto"/>
                                                <w:left w:val="none" w:sz="0" w:space="0" w:color="auto"/>
                                                <w:bottom w:val="none" w:sz="0" w:space="0" w:color="auto"/>
                                                <w:right w:val="none" w:sz="0" w:space="0" w:color="auto"/>
                                              </w:divBdr>
                                              <w:divsChild>
                                                <w:div w:id="2014457536">
                                                  <w:marLeft w:val="0"/>
                                                  <w:marRight w:val="0"/>
                                                  <w:marTop w:val="0"/>
                                                  <w:marBottom w:val="0"/>
                                                  <w:divBdr>
                                                    <w:top w:val="none" w:sz="0" w:space="0" w:color="auto"/>
                                                    <w:left w:val="none" w:sz="0" w:space="0" w:color="auto"/>
                                                    <w:bottom w:val="none" w:sz="0" w:space="0" w:color="auto"/>
                                                    <w:right w:val="none" w:sz="0" w:space="0" w:color="auto"/>
                                                  </w:divBdr>
                                                  <w:divsChild>
                                                    <w:div w:id="360396443">
                                                      <w:marLeft w:val="0"/>
                                                      <w:marRight w:val="0"/>
                                                      <w:marTop w:val="0"/>
                                                      <w:marBottom w:val="0"/>
                                                      <w:divBdr>
                                                        <w:top w:val="none" w:sz="0" w:space="0" w:color="auto"/>
                                                        <w:left w:val="none" w:sz="0" w:space="0" w:color="auto"/>
                                                        <w:bottom w:val="none" w:sz="0" w:space="0" w:color="auto"/>
                                                        <w:right w:val="none" w:sz="0" w:space="0" w:color="auto"/>
                                                      </w:divBdr>
                                                      <w:divsChild>
                                                        <w:div w:id="444858472">
                                                          <w:marLeft w:val="0"/>
                                                          <w:marRight w:val="0"/>
                                                          <w:marTop w:val="0"/>
                                                          <w:marBottom w:val="0"/>
                                                          <w:divBdr>
                                                            <w:top w:val="none" w:sz="0" w:space="0" w:color="auto"/>
                                                            <w:left w:val="none" w:sz="0" w:space="0" w:color="auto"/>
                                                            <w:bottom w:val="none" w:sz="0" w:space="0" w:color="auto"/>
                                                            <w:right w:val="none" w:sz="0" w:space="0" w:color="auto"/>
                                                          </w:divBdr>
                                                          <w:divsChild>
                                                            <w:div w:id="558249828">
                                                              <w:marLeft w:val="0"/>
                                                              <w:marRight w:val="0"/>
                                                              <w:marTop w:val="0"/>
                                                              <w:marBottom w:val="0"/>
                                                              <w:divBdr>
                                                                <w:top w:val="none" w:sz="0" w:space="0" w:color="auto"/>
                                                                <w:left w:val="none" w:sz="0" w:space="0" w:color="auto"/>
                                                                <w:bottom w:val="none" w:sz="0" w:space="0" w:color="auto"/>
                                                                <w:right w:val="none" w:sz="0" w:space="0" w:color="auto"/>
                                                              </w:divBdr>
                                                              <w:divsChild>
                                                                <w:div w:id="1495609118">
                                                                  <w:marLeft w:val="0"/>
                                                                  <w:marRight w:val="0"/>
                                                                  <w:marTop w:val="0"/>
                                                                  <w:marBottom w:val="0"/>
                                                                  <w:divBdr>
                                                                    <w:top w:val="none" w:sz="0" w:space="0" w:color="auto"/>
                                                                    <w:left w:val="none" w:sz="0" w:space="0" w:color="auto"/>
                                                                    <w:bottom w:val="none" w:sz="0" w:space="0" w:color="auto"/>
                                                                    <w:right w:val="none" w:sz="0" w:space="0" w:color="auto"/>
                                                                  </w:divBdr>
                                                                  <w:divsChild>
                                                                    <w:div w:id="104036315">
                                                                      <w:marLeft w:val="0"/>
                                                                      <w:marRight w:val="0"/>
                                                                      <w:marTop w:val="0"/>
                                                                      <w:marBottom w:val="0"/>
                                                                      <w:divBdr>
                                                                        <w:top w:val="none" w:sz="0" w:space="0" w:color="auto"/>
                                                                        <w:left w:val="none" w:sz="0" w:space="0" w:color="auto"/>
                                                                        <w:bottom w:val="none" w:sz="0" w:space="0" w:color="auto"/>
                                                                        <w:right w:val="none" w:sz="0" w:space="0" w:color="auto"/>
                                                                      </w:divBdr>
                                                                      <w:divsChild>
                                                                        <w:div w:id="189075941">
                                                                          <w:marLeft w:val="0"/>
                                                                          <w:marRight w:val="0"/>
                                                                          <w:marTop w:val="0"/>
                                                                          <w:marBottom w:val="0"/>
                                                                          <w:divBdr>
                                                                            <w:top w:val="none" w:sz="0" w:space="0" w:color="auto"/>
                                                                            <w:left w:val="none" w:sz="0" w:space="0" w:color="auto"/>
                                                                            <w:bottom w:val="none" w:sz="0" w:space="0" w:color="auto"/>
                                                                            <w:right w:val="none" w:sz="0" w:space="0" w:color="auto"/>
                                                                          </w:divBdr>
                                                                        </w:div>
                                                                      </w:divsChild>
                                                                    </w:div>
                                                                    <w:div w:id="1441341464">
                                                                      <w:marLeft w:val="0"/>
                                                                      <w:marRight w:val="0"/>
                                                                      <w:marTop w:val="0"/>
                                                                      <w:marBottom w:val="0"/>
                                                                      <w:divBdr>
                                                                        <w:top w:val="none" w:sz="0" w:space="0" w:color="auto"/>
                                                                        <w:left w:val="none" w:sz="0" w:space="0" w:color="auto"/>
                                                                        <w:bottom w:val="none" w:sz="0" w:space="0" w:color="auto"/>
                                                                        <w:right w:val="none" w:sz="0" w:space="0" w:color="auto"/>
                                                                      </w:divBdr>
                                                                      <w:divsChild>
                                                                        <w:div w:id="746653125">
                                                                          <w:marLeft w:val="0"/>
                                                                          <w:marRight w:val="0"/>
                                                                          <w:marTop w:val="0"/>
                                                                          <w:marBottom w:val="0"/>
                                                                          <w:divBdr>
                                                                            <w:top w:val="none" w:sz="0" w:space="0" w:color="auto"/>
                                                                            <w:left w:val="none" w:sz="0" w:space="0" w:color="auto"/>
                                                                            <w:bottom w:val="none" w:sz="0" w:space="0" w:color="auto"/>
                                                                            <w:right w:val="none" w:sz="0" w:space="0" w:color="auto"/>
                                                                          </w:divBdr>
                                                                        </w:div>
                                                                      </w:divsChild>
                                                                    </w:div>
                                                                    <w:div w:id="1535382270">
                                                                      <w:marLeft w:val="0"/>
                                                                      <w:marRight w:val="0"/>
                                                                      <w:marTop w:val="0"/>
                                                                      <w:marBottom w:val="0"/>
                                                                      <w:divBdr>
                                                                        <w:top w:val="none" w:sz="0" w:space="0" w:color="auto"/>
                                                                        <w:left w:val="none" w:sz="0" w:space="0" w:color="auto"/>
                                                                        <w:bottom w:val="none" w:sz="0" w:space="0" w:color="auto"/>
                                                                        <w:right w:val="none" w:sz="0" w:space="0" w:color="auto"/>
                                                                      </w:divBdr>
                                                                      <w:divsChild>
                                                                        <w:div w:id="404228809">
                                                                          <w:marLeft w:val="0"/>
                                                                          <w:marRight w:val="0"/>
                                                                          <w:marTop w:val="0"/>
                                                                          <w:marBottom w:val="0"/>
                                                                          <w:divBdr>
                                                                            <w:top w:val="none" w:sz="0" w:space="0" w:color="auto"/>
                                                                            <w:left w:val="none" w:sz="0" w:space="0" w:color="auto"/>
                                                                            <w:bottom w:val="none" w:sz="0" w:space="0" w:color="auto"/>
                                                                            <w:right w:val="none" w:sz="0" w:space="0" w:color="auto"/>
                                                                          </w:divBdr>
                                                                        </w:div>
                                                                      </w:divsChild>
                                                                    </w:div>
                                                                    <w:div w:id="2015643106">
                                                                      <w:marLeft w:val="0"/>
                                                                      <w:marRight w:val="0"/>
                                                                      <w:marTop w:val="0"/>
                                                                      <w:marBottom w:val="0"/>
                                                                      <w:divBdr>
                                                                        <w:top w:val="none" w:sz="0" w:space="0" w:color="auto"/>
                                                                        <w:left w:val="none" w:sz="0" w:space="0" w:color="auto"/>
                                                                        <w:bottom w:val="none" w:sz="0" w:space="0" w:color="auto"/>
                                                                        <w:right w:val="none" w:sz="0" w:space="0" w:color="auto"/>
                                                                      </w:divBdr>
                                                                      <w:divsChild>
                                                                        <w:div w:id="87531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56086">
      <w:bodyDiv w:val="1"/>
      <w:marLeft w:val="0"/>
      <w:marRight w:val="0"/>
      <w:marTop w:val="0"/>
      <w:marBottom w:val="0"/>
      <w:divBdr>
        <w:top w:val="none" w:sz="0" w:space="0" w:color="auto"/>
        <w:left w:val="none" w:sz="0" w:space="0" w:color="auto"/>
        <w:bottom w:val="none" w:sz="0" w:space="0" w:color="auto"/>
        <w:right w:val="none" w:sz="0" w:space="0" w:color="auto"/>
      </w:divBdr>
      <w:divsChild>
        <w:div w:id="1083062399">
          <w:marLeft w:val="0"/>
          <w:marRight w:val="0"/>
          <w:marTop w:val="240"/>
          <w:marBottom w:val="0"/>
          <w:divBdr>
            <w:top w:val="none" w:sz="0" w:space="0" w:color="auto"/>
            <w:left w:val="none" w:sz="0" w:space="0" w:color="auto"/>
            <w:bottom w:val="none" w:sz="0" w:space="0" w:color="auto"/>
            <w:right w:val="none" w:sz="0" w:space="0" w:color="auto"/>
          </w:divBdr>
          <w:divsChild>
            <w:div w:id="1466504485">
              <w:marLeft w:val="0"/>
              <w:marRight w:val="0"/>
              <w:marTop w:val="0"/>
              <w:marBottom w:val="0"/>
              <w:divBdr>
                <w:top w:val="none" w:sz="0" w:space="0" w:color="auto"/>
                <w:left w:val="none" w:sz="0" w:space="0" w:color="auto"/>
                <w:bottom w:val="none" w:sz="0" w:space="0" w:color="auto"/>
                <w:right w:val="none" w:sz="0" w:space="0" w:color="auto"/>
              </w:divBdr>
            </w:div>
          </w:divsChild>
        </w:div>
        <w:div w:id="1263798855">
          <w:marLeft w:val="0"/>
          <w:marRight w:val="0"/>
          <w:marTop w:val="240"/>
          <w:marBottom w:val="0"/>
          <w:divBdr>
            <w:top w:val="none" w:sz="0" w:space="0" w:color="auto"/>
            <w:left w:val="none" w:sz="0" w:space="0" w:color="auto"/>
            <w:bottom w:val="none" w:sz="0" w:space="0" w:color="auto"/>
            <w:right w:val="none" w:sz="0" w:space="0" w:color="auto"/>
          </w:divBdr>
          <w:divsChild>
            <w:div w:id="1568419014">
              <w:marLeft w:val="0"/>
              <w:marRight w:val="0"/>
              <w:marTop w:val="0"/>
              <w:marBottom w:val="0"/>
              <w:divBdr>
                <w:top w:val="none" w:sz="0" w:space="0" w:color="auto"/>
                <w:left w:val="none" w:sz="0" w:space="0" w:color="auto"/>
                <w:bottom w:val="none" w:sz="0" w:space="0" w:color="auto"/>
                <w:right w:val="none" w:sz="0" w:space="0" w:color="auto"/>
              </w:divBdr>
            </w:div>
          </w:divsChild>
        </w:div>
        <w:div w:id="1824929858">
          <w:marLeft w:val="0"/>
          <w:marRight w:val="0"/>
          <w:marTop w:val="240"/>
          <w:marBottom w:val="0"/>
          <w:divBdr>
            <w:top w:val="none" w:sz="0" w:space="0" w:color="auto"/>
            <w:left w:val="none" w:sz="0" w:space="0" w:color="auto"/>
            <w:bottom w:val="none" w:sz="0" w:space="0" w:color="auto"/>
            <w:right w:val="none" w:sz="0" w:space="0" w:color="auto"/>
          </w:divBdr>
          <w:divsChild>
            <w:div w:id="13934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1941">
      <w:bodyDiv w:val="1"/>
      <w:marLeft w:val="0"/>
      <w:marRight w:val="0"/>
      <w:marTop w:val="0"/>
      <w:marBottom w:val="0"/>
      <w:divBdr>
        <w:top w:val="none" w:sz="0" w:space="0" w:color="auto"/>
        <w:left w:val="none" w:sz="0" w:space="0" w:color="auto"/>
        <w:bottom w:val="none" w:sz="0" w:space="0" w:color="auto"/>
        <w:right w:val="none" w:sz="0" w:space="0" w:color="auto"/>
      </w:divBdr>
    </w:div>
    <w:div w:id="82073969">
      <w:bodyDiv w:val="1"/>
      <w:marLeft w:val="0"/>
      <w:marRight w:val="0"/>
      <w:marTop w:val="0"/>
      <w:marBottom w:val="0"/>
      <w:divBdr>
        <w:top w:val="none" w:sz="0" w:space="0" w:color="auto"/>
        <w:left w:val="none" w:sz="0" w:space="0" w:color="auto"/>
        <w:bottom w:val="none" w:sz="0" w:space="0" w:color="auto"/>
        <w:right w:val="none" w:sz="0" w:space="0" w:color="auto"/>
      </w:divBdr>
      <w:divsChild>
        <w:div w:id="211815865">
          <w:marLeft w:val="240"/>
          <w:marRight w:val="0"/>
          <w:marTop w:val="60"/>
          <w:marBottom w:val="60"/>
          <w:divBdr>
            <w:top w:val="none" w:sz="0" w:space="0" w:color="auto"/>
            <w:left w:val="none" w:sz="0" w:space="0" w:color="auto"/>
            <w:bottom w:val="none" w:sz="0" w:space="0" w:color="auto"/>
            <w:right w:val="none" w:sz="0" w:space="0" w:color="auto"/>
          </w:divBdr>
          <w:divsChild>
            <w:div w:id="596788042">
              <w:marLeft w:val="240"/>
              <w:marRight w:val="0"/>
              <w:marTop w:val="60"/>
              <w:marBottom w:val="60"/>
              <w:divBdr>
                <w:top w:val="none" w:sz="0" w:space="0" w:color="auto"/>
                <w:left w:val="none" w:sz="0" w:space="0" w:color="auto"/>
                <w:bottom w:val="none" w:sz="0" w:space="0" w:color="auto"/>
                <w:right w:val="none" w:sz="0" w:space="0" w:color="auto"/>
              </w:divBdr>
              <w:divsChild>
                <w:div w:id="1804888806">
                  <w:marLeft w:val="0"/>
                  <w:marRight w:val="0"/>
                  <w:marTop w:val="0"/>
                  <w:marBottom w:val="0"/>
                  <w:divBdr>
                    <w:top w:val="none" w:sz="0" w:space="0" w:color="auto"/>
                    <w:left w:val="none" w:sz="0" w:space="0" w:color="auto"/>
                    <w:bottom w:val="none" w:sz="0" w:space="0" w:color="auto"/>
                    <w:right w:val="none" w:sz="0" w:space="0" w:color="auto"/>
                  </w:divBdr>
                </w:div>
              </w:divsChild>
            </w:div>
            <w:div w:id="681278682">
              <w:marLeft w:val="240"/>
              <w:marRight w:val="0"/>
              <w:marTop w:val="60"/>
              <w:marBottom w:val="60"/>
              <w:divBdr>
                <w:top w:val="none" w:sz="0" w:space="0" w:color="auto"/>
                <w:left w:val="none" w:sz="0" w:space="0" w:color="auto"/>
                <w:bottom w:val="none" w:sz="0" w:space="0" w:color="auto"/>
                <w:right w:val="none" w:sz="0" w:space="0" w:color="auto"/>
              </w:divBdr>
              <w:divsChild>
                <w:div w:id="16918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3259">
          <w:marLeft w:val="240"/>
          <w:marRight w:val="0"/>
          <w:marTop w:val="60"/>
          <w:marBottom w:val="60"/>
          <w:divBdr>
            <w:top w:val="none" w:sz="0" w:space="0" w:color="auto"/>
            <w:left w:val="none" w:sz="0" w:space="0" w:color="auto"/>
            <w:bottom w:val="none" w:sz="0" w:space="0" w:color="auto"/>
            <w:right w:val="none" w:sz="0" w:space="0" w:color="auto"/>
          </w:divBdr>
          <w:divsChild>
            <w:div w:id="62684783">
              <w:marLeft w:val="577"/>
              <w:marRight w:val="0"/>
              <w:marTop w:val="0"/>
              <w:marBottom w:val="0"/>
              <w:divBdr>
                <w:top w:val="none" w:sz="0" w:space="0" w:color="auto"/>
                <w:left w:val="none" w:sz="0" w:space="0" w:color="auto"/>
                <w:bottom w:val="none" w:sz="0" w:space="0" w:color="auto"/>
                <w:right w:val="none" w:sz="0" w:space="0" w:color="auto"/>
              </w:divBdr>
            </w:div>
            <w:div w:id="366099419">
              <w:marLeft w:val="240"/>
              <w:marRight w:val="0"/>
              <w:marTop w:val="60"/>
              <w:marBottom w:val="60"/>
              <w:divBdr>
                <w:top w:val="none" w:sz="0" w:space="0" w:color="auto"/>
                <w:left w:val="none" w:sz="0" w:space="0" w:color="auto"/>
                <w:bottom w:val="none" w:sz="0" w:space="0" w:color="auto"/>
                <w:right w:val="none" w:sz="0" w:space="0" w:color="auto"/>
              </w:divBdr>
              <w:divsChild>
                <w:div w:id="381102393">
                  <w:marLeft w:val="240"/>
                  <w:marRight w:val="0"/>
                  <w:marTop w:val="60"/>
                  <w:marBottom w:val="60"/>
                  <w:divBdr>
                    <w:top w:val="none" w:sz="0" w:space="0" w:color="auto"/>
                    <w:left w:val="none" w:sz="0" w:space="0" w:color="auto"/>
                    <w:bottom w:val="none" w:sz="0" w:space="0" w:color="auto"/>
                    <w:right w:val="none" w:sz="0" w:space="0" w:color="auto"/>
                  </w:divBdr>
                  <w:divsChild>
                    <w:div w:id="124549369">
                      <w:marLeft w:val="0"/>
                      <w:marRight w:val="0"/>
                      <w:marTop w:val="0"/>
                      <w:marBottom w:val="0"/>
                      <w:divBdr>
                        <w:top w:val="none" w:sz="0" w:space="0" w:color="auto"/>
                        <w:left w:val="none" w:sz="0" w:space="0" w:color="auto"/>
                        <w:bottom w:val="none" w:sz="0" w:space="0" w:color="auto"/>
                        <w:right w:val="none" w:sz="0" w:space="0" w:color="auto"/>
                      </w:divBdr>
                    </w:div>
                  </w:divsChild>
                </w:div>
                <w:div w:id="781650668">
                  <w:marLeft w:val="240"/>
                  <w:marRight w:val="0"/>
                  <w:marTop w:val="60"/>
                  <w:marBottom w:val="60"/>
                  <w:divBdr>
                    <w:top w:val="none" w:sz="0" w:space="0" w:color="auto"/>
                    <w:left w:val="none" w:sz="0" w:space="0" w:color="auto"/>
                    <w:bottom w:val="none" w:sz="0" w:space="0" w:color="auto"/>
                    <w:right w:val="none" w:sz="0" w:space="0" w:color="auto"/>
                  </w:divBdr>
                  <w:divsChild>
                    <w:div w:id="150298558">
                      <w:marLeft w:val="0"/>
                      <w:marRight w:val="0"/>
                      <w:marTop w:val="0"/>
                      <w:marBottom w:val="0"/>
                      <w:divBdr>
                        <w:top w:val="none" w:sz="0" w:space="0" w:color="auto"/>
                        <w:left w:val="none" w:sz="0" w:space="0" w:color="auto"/>
                        <w:bottom w:val="none" w:sz="0" w:space="0" w:color="auto"/>
                        <w:right w:val="none" w:sz="0" w:space="0" w:color="auto"/>
                      </w:divBdr>
                    </w:div>
                  </w:divsChild>
                </w:div>
                <w:div w:id="1659115645">
                  <w:marLeft w:val="240"/>
                  <w:marRight w:val="0"/>
                  <w:marTop w:val="60"/>
                  <w:marBottom w:val="60"/>
                  <w:divBdr>
                    <w:top w:val="none" w:sz="0" w:space="0" w:color="auto"/>
                    <w:left w:val="none" w:sz="0" w:space="0" w:color="auto"/>
                    <w:bottom w:val="none" w:sz="0" w:space="0" w:color="auto"/>
                    <w:right w:val="none" w:sz="0" w:space="0" w:color="auto"/>
                  </w:divBdr>
                  <w:divsChild>
                    <w:div w:id="20309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3394">
              <w:marLeft w:val="240"/>
              <w:marRight w:val="0"/>
              <w:marTop w:val="60"/>
              <w:marBottom w:val="60"/>
              <w:divBdr>
                <w:top w:val="none" w:sz="0" w:space="0" w:color="auto"/>
                <w:left w:val="none" w:sz="0" w:space="0" w:color="auto"/>
                <w:bottom w:val="none" w:sz="0" w:space="0" w:color="auto"/>
                <w:right w:val="none" w:sz="0" w:space="0" w:color="auto"/>
              </w:divBdr>
              <w:divsChild>
                <w:div w:id="178206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44796">
          <w:marLeft w:val="240"/>
          <w:marRight w:val="0"/>
          <w:marTop w:val="60"/>
          <w:marBottom w:val="60"/>
          <w:divBdr>
            <w:top w:val="none" w:sz="0" w:space="0" w:color="auto"/>
            <w:left w:val="none" w:sz="0" w:space="0" w:color="auto"/>
            <w:bottom w:val="none" w:sz="0" w:space="0" w:color="auto"/>
            <w:right w:val="none" w:sz="0" w:space="0" w:color="auto"/>
          </w:divBdr>
          <w:divsChild>
            <w:div w:id="328212927">
              <w:marLeft w:val="240"/>
              <w:marRight w:val="0"/>
              <w:marTop w:val="60"/>
              <w:marBottom w:val="60"/>
              <w:divBdr>
                <w:top w:val="none" w:sz="0" w:space="0" w:color="auto"/>
                <w:left w:val="none" w:sz="0" w:space="0" w:color="auto"/>
                <w:bottom w:val="none" w:sz="0" w:space="0" w:color="auto"/>
                <w:right w:val="none" w:sz="0" w:space="0" w:color="auto"/>
              </w:divBdr>
              <w:divsChild>
                <w:div w:id="15422617">
                  <w:marLeft w:val="0"/>
                  <w:marRight w:val="0"/>
                  <w:marTop w:val="0"/>
                  <w:marBottom w:val="0"/>
                  <w:divBdr>
                    <w:top w:val="none" w:sz="0" w:space="0" w:color="auto"/>
                    <w:left w:val="none" w:sz="0" w:space="0" w:color="auto"/>
                    <w:bottom w:val="none" w:sz="0" w:space="0" w:color="auto"/>
                    <w:right w:val="none" w:sz="0" w:space="0" w:color="auto"/>
                  </w:divBdr>
                </w:div>
              </w:divsChild>
            </w:div>
            <w:div w:id="652564239">
              <w:marLeft w:val="240"/>
              <w:marRight w:val="0"/>
              <w:marTop w:val="60"/>
              <w:marBottom w:val="60"/>
              <w:divBdr>
                <w:top w:val="none" w:sz="0" w:space="0" w:color="auto"/>
                <w:left w:val="none" w:sz="0" w:space="0" w:color="auto"/>
                <w:bottom w:val="none" w:sz="0" w:space="0" w:color="auto"/>
                <w:right w:val="none" w:sz="0" w:space="0" w:color="auto"/>
              </w:divBdr>
              <w:divsChild>
                <w:div w:id="20159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60212">
          <w:marLeft w:val="240"/>
          <w:marRight w:val="0"/>
          <w:marTop w:val="60"/>
          <w:marBottom w:val="60"/>
          <w:divBdr>
            <w:top w:val="none" w:sz="0" w:space="0" w:color="auto"/>
            <w:left w:val="none" w:sz="0" w:space="0" w:color="auto"/>
            <w:bottom w:val="none" w:sz="0" w:space="0" w:color="auto"/>
            <w:right w:val="none" w:sz="0" w:space="0" w:color="auto"/>
          </w:divBdr>
          <w:divsChild>
            <w:div w:id="158082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463">
      <w:bodyDiv w:val="1"/>
      <w:marLeft w:val="0"/>
      <w:marRight w:val="0"/>
      <w:marTop w:val="0"/>
      <w:marBottom w:val="0"/>
      <w:divBdr>
        <w:top w:val="none" w:sz="0" w:space="0" w:color="auto"/>
        <w:left w:val="none" w:sz="0" w:space="0" w:color="auto"/>
        <w:bottom w:val="none" w:sz="0" w:space="0" w:color="auto"/>
        <w:right w:val="none" w:sz="0" w:space="0" w:color="auto"/>
      </w:divBdr>
      <w:divsChild>
        <w:div w:id="1398016171">
          <w:marLeft w:val="0"/>
          <w:marRight w:val="0"/>
          <w:marTop w:val="0"/>
          <w:marBottom w:val="0"/>
          <w:divBdr>
            <w:top w:val="none" w:sz="0" w:space="0" w:color="auto"/>
            <w:left w:val="none" w:sz="0" w:space="0" w:color="auto"/>
            <w:bottom w:val="none" w:sz="0" w:space="0" w:color="auto"/>
            <w:right w:val="none" w:sz="0" w:space="0" w:color="auto"/>
          </w:divBdr>
          <w:divsChild>
            <w:div w:id="349796222">
              <w:marLeft w:val="0"/>
              <w:marRight w:val="0"/>
              <w:marTop w:val="0"/>
              <w:marBottom w:val="0"/>
              <w:divBdr>
                <w:top w:val="none" w:sz="0" w:space="0" w:color="auto"/>
                <w:left w:val="none" w:sz="0" w:space="0" w:color="auto"/>
                <w:bottom w:val="none" w:sz="0" w:space="0" w:color="auto"/>
                <w:right w:val="none" w:sz="0" w:space="0" w:color="auto"/>
              </w:divBdr>
              <w:divsChild>
                <w:div w:id="1940675250">
                  <w:marLeft w:val="0"/>
                  <w:marRight w:val="0"/>
                  <w:marTop w:val="0"/>
                  <w:marBottom w:val="0"/>
                  <w:divBdr>
                    <w:top w:val="none" w:sz="0" w:space="0" w:color="auto"/>
                    <w:left w:val="none" w:sz="0" w:space="0" w:color="auto"/>
                    <w:bottom w:val="none" w:sz="0" w:space="0" w:color="auto"/>
                    <w:right w:val="none" w:sz="0" w:space="0" w:color="auto"/>
                  </w:divBdr>
                  <w:divsChild>
                    <w:div w:id="208675406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91825640">
      <w:bodyDiv w:val="1"/>
      <w:marLeft w:val="0"/>
      <w:marRight w:val="0"/>
      <w:marTop w:val="0"/>
      <w:marBottom w:val="0"/>
      <w:divBdr>
        <w:top w:val="none" w:sz="0" w:space="0" w:color="auto"/>
        <w:left w:val="none" w:sz="0" w:space="0" w:color="auto"/>
        <w:bottom w:val="none" w:sz="0" w:space="0" w:color="auto"/>
        <w:right w:val="none" w:sz="0" w:space="0" w:color="auto"/>
      </w:divBdr>
      <w:divsChild>
        <w:div w:id="930745388">
          <w:marLeft w:val="0"/>
          <w:marRight w:val="0"/>
          <w:marTop w:val="0"/>
          <w:marBottom w:val="0"/>
          <w:divBdr>
            <w:top w:val="none" w:sz="0" w:space="0" w:color="auto"/>
            <w:left w:val="none" w:sz="0" w:space="0" w:color="auto"/>
            <w:bottom w:val="none" w:sz="0" w:space="0" w:color="auto"/>
            <w:right w:val="none" w:sz="0" w:space="0" w:color="auto"/>
          </w:divBdr>
          <w:divsChild>
            <w:div w:id="36855532">
              <w:marLeft w:val="0"/>
              <w:marRight w:val="0"/>
              <w:marTop w:val="0"/>
              <w:marBottom w:val="0"/>
              <w:divBdr>
                <w:top w:val="none" w:sz="0" w:space="0" w:color="auto"/>
                <w:left w:val="none" w:sz="0" w:space="0" w:color="auto"/>
                <w:bottom w:val="none" w:sz="0" w:space="0" w:color="auto"/>
                <w:right w:val="none" w:sz="0" w:space="0" w:color="auto"/>
              </w:divBdr>
              <w:divsChild>
                <w:div w:id="1511674499">
                  <w:marLeft w:val="0"/>
                  <w:marRight w:val="0"/>
                  <w:marTop w:val="0"/>
                  <w:marBottom w:val="0"/>
                  <w:divBdr>
                    <w:top w:val="none" w:sz="0" w:space="0" w:color="auto"/>
                    <w:left w:val="none" w:sz="0" w:space="0" w:color="auto"/>
                    <w:bottom w:val="none" w:sz="0" w:space="0" w:color="auto"/>
                    <w:right w:val="none" w:sz="0" w:space="0" w:color="auto"/>
                  </w:divBdr>
                  <w:divsChild>
                    <w:div w:id="736899935">
                      <w:marLeft w:val="0"/>
                      <w:marRight w:val="0"/>
                      <w:marTop w:val="0"/>
                      <w:marBottom w:val="375"/>
                      <w:divBdr>
                        <w:top w:val="none" w:sz="0" w:space="0" w:color="auto"/>
                        <w:left w:val="none" w:sz="0" w:space="0" w:color="auto"/>
                        <w:bottom w:val="none" w:sz="0" w:space="0" w:color="auto"/>
                        <w:right w:val="none" w:sz="0" w:space="0" w:color="auto"/>
                      </w:divBdr>
                      <w:divsChild>
                        <w:div w:id="193812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84609">
      <w:bodyDiv w:val="1"/>
      <w:marLeft w:val="0"/>
      <w:marRight w:val="0"/>
      <w:marTop w:val="0"/>
      <w:marBottom w:val="0"/>
      <w:divBdr>
        <w:top w:val="none" w:sz="0" w:space="0" w:color="auto"/>
        <w:left w:val="none" w:sz="0" w:space="0" w:color="auto"/>
        <w:bottom w:val="none" w:sz="0" w:space="0" w:color="auto"/>
        <w:right w:val="none" w:sz="0" w:space="0" w:color="auto"/>
      </w:divBdr>
      <w:divsChild>
        <w:div w:id="1707026615">
          <w:marLeft w:val="0"/>
          <w:marRight w:val="0"/>
          <w:marTop w:val="0"/>
          <w:marBottom w:val="0"/>
          <w:divBdr>
            <w:top w:val="none" w:sz="0" w:space="0" w:color="auto"/>
            <w:left w:val="single" w:sz="6" w:space="0" w:color="BBBBBB"/>
            <w:bottom w:val="single" w:sz="6" w:space="0" w:color="BBBBBB"/>
            <w:right w:val="single" w:sz="6" w:space="0" w:color="BBBBBB"/>
          </w:divBdr>
          <w:divsChild>
            <w:div w:id="490755638">
              <w:marLeft w:val="0"/>
              <w:marRight w:val="0"/>
              <w:marTop w:val="0"/>
              <w:marBottom w:val="0"/>
              <w:divBdr>
                <w:top w:val="none" w:sz="0" w:space="0" w:color="auto"/>
                <w:left w:val="none" w:sz="0" w:space="0" w:color="auto"/>
                <w:bottom w:val="none" w:sz="0" w:space="0" w:color="auto"/>
                <w:right w:val="none" w:sz="0" w:space="0" w:color="auto"/>
              </w:divBdr>
              <w:divsChild>
                <w:div w:id="1720201567">
                  <w:marLeft w:val="0"/>
                  <w:marRight w:val="0"/>
                  <w:marTop w:val="0"/>
                  <w:marBottom w:val="0"/>
                  <w:divBdr>
                    <w:top w:val="none" w:sz="0" w:space="0" w:color="auto"/>
                    <w:left w:val="none" w:sz="0" w:space="0" w:color="auto"/>
                    <w:bottom w:val="none" w:sz="0" w:space="0" w:color="auto"/>
                    <w:right w:val="none" w:sz="0" w:space="0" w:color="auto"/>
                  </w:divBdr>
                  <w:divsChild>
                    <w:div w:id="1823542085">
                      <w:marLeft w:val="0"/>
                      <w:marRight w:val="0"/>
                      <w:marTop w:val="0"/>
                      <w:marBottom w:val="0"/>
                      <w:divBdr>
                        <w:top w:val="none" w:sz="0" w:space="0" w:color="auto"/>
                        <w:left w:val="none" w:sz="0" w:space="0" w:color="auto"/>
                        <w:bottom w:val="none" w:sz="0" w:space="0" w:color="auto"/>
                        <w:right w:val="none" w:sz="0" w:space="0" w:color="auto"/>
                      </w:divBdr>
                      <w:divsChild>
                        <w:div w:id="1414820214">
                          <w:marLeft w:val="0"/>
                          <w:marRight w:val="0"/>
                          <w:marTop w:val="0"/>
                          <w:marBottom w:val="0"/>
                          <w:divBdr>
                            <w:top w:val="none" w:sz="0" w:space="0" w:color="auto"/>
                            <w:left w:val="none" w:sz="0" w:space="0" w:color="auto"/>
                            <w:bottom w:val="none" w:sz="0" w:space="0" w:color="auto"/>
                            <w:right w:val="none" w:sz="0" w:space="0" w:color="auto"/>
                          </w:divBdr>
                          <w:divsChild>
                            <w:div w:id="1356272900">
                              <w:marLeft w:val="0"/>
                              <w:marRight w:val="0"/>
                              <w:marTop w:val="0"/>
                              <w:marBottom w:val="0"/>
                              <w:divBdr>
                                <w:top w:val="none" w:sz="0" w:space="0" w:color="auto"/>
                                <w:left w:val="none" w:sz="0" w:space="0" w:color="auto"/>
                                <w:bottom w:val="none" w:sz="0" w:space="0" w:color="auto"/>
                                <w:right w:val="none" w:sz="0" w:space="0" w:color="auto"/>
                              </w:divBdr>
                              <w:divsChild>
                                <w:div w:id="1279871347">
                                  <w:marLeft w:val="0"/>
                                  <w:marRight w:val="0"/>
                                  <w:marTop w:val="0"/>
                                  <w:marBottom w:val="0"/>
                                  <w:divBdr>
                                    <w:top w:val="none" w:sz="0" w:space="0" w:color="auto"/>
                                    <w:left w:val="none" w:sz="0" w:space="0" w:color="auto"/>
                                    <w:bottom w:val="none" w:sz="0" w:space="0" w:color="auto"/>
                                    <w:right w:val="none" w:sz="0" w:space="0" w:color="auto"/>
                                  </w:divBdr>
                                  <w:divsChild>
                                    <w:div w:id="2056418247">
                                      <w:marLeft w:val="0"/>
                                      <w:marRight w:val="0"/>
                                      <w:marTop w:val="0"/>
                                      <w:marBottom w:val="0"/>
                                      <w:divBdr>
                                        <w:top w:val="none" w:sz="0" w:space="0" w:color="auto"/>
                                        <w:left w:val="none" w:sz="0" w:space="0" w:color="auto"/>
                                        <w:bottom w:val="none" w:sz="0" w:space="0" w:color="auto"/>
                                        <w:right w:val="none" w:sz="0" w:space="0" w:color="auto"/>
                                      </w:divBdr>
                                      <w:divsChild>
                                        <w:div w:id="446433844">
                                          <w:marLeft w:val="1200"/>
                                          <w:marRight w:val="1200"/>
                                          <w:marTop w:val="0"/>
                                          <w:marBottom w:val="0"/>
                                          <w:divBdr>
                                            <w:top w:val="none" w:sz="0" w:space="0" w:color="auto"/>
                                            <w:left w:val="none" w:sz="0" w:space="0" w:color="auto"/>
                                            <w:bottom w:val="none" w:sz="0" w:space="0" w:color="auto"/>
                                            <w:right w:val="none" w:sz="0" w:space="0" w:color="auto"/>
                                          </w:divBdr>
                                          <w:divsChild>
                                            <w:div w:id="716317532">
                                              <w:marLeft w:val="0"/>
                                              <w:marRight w:val="0"/>
                                              <w:marTop w:val="0"/>
                                              <w:marBottom w:val="0"/>
                                              <w:divBdr>
                                                <w:top w:val="none" w:sz="0" w:space="0" w:color="auto"/>
                                                <w:left w:val="none" w:sz="0" w:space="0" w:color="auto"/>
                                                <w:bottom w:val="none" w:sz="0" w:space="0" w:color="auto"/>
                                                <w:right w:val="none" w:sz="0" w:space="0" w:color="auto"/>
                                              </w:divBdr>
                                              <w:divsChild>
                                                <w:div w:id="1591432195">
                                                  <w:marLeft w:val="0"/>
                                                  <w:marRight w:val="0"/>
                                                  <w:marTop w:val="0"/>
                                                  <w:marBottom w:val="0"/>
                                                  <w:divBdr>
                                                    <w:top w:val="none" w:sz="0" w:space="0" w:color="auto"/>
                                                    <w:left w:val="none" w:sz="0" w:space="0" w:color="auto"/>
                                                    <w:bottom w:val="none" w:sz="0" w:space="0" w:color="auto"/>
                                                    <w:right w:val="none" w:sz="0" w:space="0" w:color="auto"/>
                                                  </w:divBdr>
                                                  <w:divsChild>
                                                    <w:div w:id="316571139">
                                                      <w:marLeft w:val="0"/>
                                                      <w:marRight w:val="0"/>
                                                      <w:marTop w:val="0"/>
                                                      <w:marBottom w:val="0"/>
                                                      <w:divBdr>
                                                        <w:top w:val="none" w:sz="0" w:space="0" w:color="auto"/>
                                                        <w:left w:val="none" w:sz="0" w:space="0" w:color="auto"/>
                                                        <w:bottom w:val="none" w:sz="0" w:space="0" w:color="auto"/>
                                                        <w:right w:val="none" w:sz="0" w:space="0" w:color="auto"/>
                                                      </w:divBdr>
                                                      <w:divsChild>
                                                        <w:div w:id="92824483">
                                                          <w:marLeft w:val="0"/>
                                                          <w:marRight w:val="0"/>
                                                          <w:marTop w:val="0"/>
                                                          <w:marBottom w:val="0"/>
                                                          <w:divBdr>
                                                            <w:top w:val="none" w:sz="0" w:space="0" w:color="auto"/>
                                                            <w:left w:val="none" w:sz="0" w:space="0" w:color="auto"/>
                                                            <w:bottom w:val="none" w:sz="0" w:space="0" w:color="auto"/>
                                                            <w:right w:val="none" w:sz="0" w:space="0" w:color="auto"/>
                                                          </w:divBdr>
                                                          <w:divsChild>
                                                            <w:div w:id="77094575">
                                                              <w:marLeft w:val="0"/>
                                                              <w:marRight w:val="0"/>
                                                              <w:marTop w:val="0"/>
                                                              <w:marBottom w:val="0"/>
                                                              <w:divBdr>
                                                                <w:top w:val="none" w:sz="0" w:space="0" w:color="auto"/>
                                                                <w:left w:val="none" w:sz="0" w:space="0" w:color="auto"/>
                                                                <w:bottom w:val="none" w:sz="0" w:space="0" w:color="auto"/>
                                                                <w:right w:val="none" w:sz="0" w:space="0" w:color="auto"/>
                                                              </w:divBdr>
                                                              <w:divsChild>
                                                                <w:div w:id="750664515">
                                                                  <w:marLeft w:val="0"/>
                                                                  <w:marRight w:val="0"/>
                                                                  <w:marTop w:val="0"/>
                                                                  <w:marBottom w:val="0"/>
                                                                  <w:divBdr>
                                                                    <w:top w:val="none" w:sz="0" w:space="0" w:color="auto"/>
                                                                    <w:left w:val="none" w:sz="0" w:space="0" w:color="auto"/>
                                                                    <w:bottom w:val="none" w:sz="0" w:space="0" w:color="auto"/>
                                                                    <w:right w:val="none" w:sz="0" w:space="0" w:color="auto"/>
                                                                  </w:divBdr>
                                                                  <w:divsChild>
                                                                    <w:div w:id="523984305">
                                                                      <w:marLeft w:val="0"/>
                                                                      <w:marRight w:val="0"/>
                                                                      <w:marTop w:val="0"/>
                                                                      <w:marBottom w:val="0"/>
                                                                      <w:divBdr>
                                                                        <w:top w:val="none" w:sz="0" w:space="0" w:color="auto"/>
                                                                        <w:left w:val="none" w:sz="0" w:space="0" w:color="auto"/>
                                                                        <w:bottom w:val="none" w:sz="0" w:space="0" w:color="auto"/>
                                                                        <w:right w:val="none" w:sz="0" w:space="0" w:color="auto"/>
                                                                      </w:divBdr>
                                                                      <w:divsChild>
                                                                        <w:div w:id="427509385">
                                                                          <w:marLeft w:val="0"/>
                                                                          <w:marRight w:val="0"/>
                                                                          <w:marTop w:val="0"/>
                                                                          <w:marBottom w:val="0"/>
                                                                          <w:divBdr>
                                                                            <w:top w:val="none" w:sz="0" w:space="0" w:color="auto"/>
                                                                            <w:left w:val="none" w:sz="0" w:space="0" w:color="auto"/>
                                                                            <w:bottom w:val="none" w:sz="0" w:space="0" w:color="auto"/>
                                                                            <w:right w:val="none" w:sz="0" w:space="0" w:color="auto"/>
                                                                          </w:divBdr>
                                                                        </w:div>
                                                                      </w:divsChild>
                                                                    </w:div>
                                                                    <w:div w:id="569927211">
                                                                      <w:marLeft w:val="0"/>
                                                                      <w:marRight w:val="0"/>
                                                                      <w:marTop w:val="0"/>
                                                                      <w:marBottom w:val="0"/>
                                                                      <w:divBdr>
                                                                        <w:top w:val="none" w:sz="0" w:space="0" w:color="auto"/>
                                                                        <w:left w:val="none" w:sz="0" w:space="0" w:color="auto"/>
                                                                        <w:bottom w:val="none" w:sz="0" w:space="0" w:color="auto"/>
                                                                        <w:right w:val="none" w:sz="0" w:space="0" w:color="auto"/>
                                                                      </w:divBdr>
                                                                      <w:divsChild>
                                                                        <w:div w:id="461577829">
                                                                          <w:marLeft w:val="0"/>
                                                                          <w:marRight w:val="0"/>
                                                                          <w:marTop w:val="0"/>
                                                                          <w:marBottom w:val="0"/>
                                                                          <w:divBdr>
                                                                            <w:top w:val="none" w:sz="0" w:space="0" w:color="auto"/>
                                                                            <w:left w:val="none" w:sz="0" w:space="0" w:color="auto"/>
                                                                            <w:bottom w:val="none" w:sz="0" w:space="0" w:color="auto"/>
                                                                            <w:right w:val="none" w:sz="0" w:space="0" w:color="auto"/>
                                                                          </w:divBdr>
                                                                        </w:div>
                                                                      </w:divsChild>
                                                                    </w:div>
                                                                    <w:div w:id="943466453">
                                                                      <w:marLeft w:val="0"/>
                                                                      <w:marRight w:val="0"/>
                                                                      <w:marTop w:val="0"/>
                                                                      <w:marBottom w:val="0"/>
                                                                      <w:divBdr>
                                                                        <w:top w:val="none" w:sz="0" w:space="0" w:color="auto"/>
                                                                        <w:left w:val="none" w:sz="0" w:space="0" w:color="auto"/>
                                                                        <w:bottom w:val="none" w:sz="0" w:space="0" w:color="auto"/>
                                                                        <w:right w:val="none" w:sz="0" w:space="0" w:color="auto"/>
                                                                      </w:divBdr>
                                                                    </w:div>
                                                                    <w:div w:id="1532719627">
                                                                      <w:marLeft w:val="0"/>
                                                                      <w:marRight w:val="0"/>
                                                                      <w:marTop w:val="0"/>
                                                                      <w:marBottom w:val="0"/>
                                                                      <w:divBdr>
                                                                        <w:top w:val="none" w:sz="0" w:space="0" w:color="auto"/>
                                                                        <w:left w:val="none" w:sz="0" w:space="0" w:color="auto"/>
                                                                        <w:bottom w:val="none" w:sz="0" w:space="0" w:color="auto"/>
                                                                        <w:right w:val="none" w:sz="0" w:space="0" w:color="auto"/>
                                                                      </w:divBdr>
                                                                      <w:divsChild>
                                                                        <w:div w:id="20945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30939">
      <w:bodyDiv w:val="1"/>
      <w:marLeft w:val="0"/>
      <w:marRight w:val="0"/>
      <w:marTop w:val="0"/>
      <w:marBottom w:val="0"/>
      <w:divBdr>
        <w:top w:val="none" w:sz="0" w:space="0" w:color="auto"/>
        <w:left w:val="none" w:sz="0" w:space="0" w:color="auto"/>
        <w:bottom w:val="none" w:sz="0" w:space="0" w:color="auto"/>
        <w:right w:val="none" w:sz="0" w:space="0" w:color="auto"/>
      </w:divBdr>
      <w:divsChild>
        <w:div w:id="1783383348">
          <w:marLeft w:val="0"/>
          <w:marRight w:val="0"/>
          <w:marTop w:val="0"/>
          <w:marBottom w:val="0"/>
          <w:divBdr>
            <w:top w:val="none" w:sz="0" w:space="0" w:color="auto"/>
            <w:left w:val="single" w:sz="6" w:space="0" w:color="BBBBBB"/>
            <w:bottom w:val="single" w:sz="6" w:space="0" w:color="BBBBBB"/>
            <w:right w:val="single" w:sz="6" w:space="0" w:color="BBBBBB"/>
          </w:divBdr>
          <w:divsChild>
            <w:div w:id="1106778957">
              <w:marLeft w:val="0"/>
              <w:marRight w:val="0"/>
              <w:marTop w:val="0"/>
              <w:marBottom w:val="0"/>
              <w:divBdr>
                <w:top w:val="none" w:sz="0" w:space="0" w:color="auto"/>
                <w:left w:val="none" w:sz="0" w:space="0" w:color="auto"/>
                <w:bottom w:val="none" w:sz="0" w:space="0" w:color="auto"/>
                <w:right w:val="none" w:sz="0" w:space="0" w:color="auto"/>
              </w:divBdr>
              <w:divsChild>
                <w:div w:id="823202886">
                  <w:marLeft w:val="0"/>
                  <w:marRight w:val="0"/>
                  <w:marTop w:val="75"/>
                  <w:marBottom w:val="0"/>
                  <w:divBdr>
                    <w:top w:val="none" w:sz="0" w:space="0" w:color="auto"/>
                    <w:left w:val="none" w:sz="0" w:space="0" w:color="auto"/>
                    <w:bottom w:val="none" w:sz="0" w:space="0" w:color="auto"/>
                    <w:right w:val="none" w:sz="0" w:space="0" w:color="auto"/>
                  </w:divBdr>
                  <w:divsChild>
                    <w:div w:id="1135946973">
                      <w:marLeft w:val="0"/>
                      <w:marRight w:val="0"/>
                      <w:marTop w:val="0"/>
                      <w:marBottom w:val="0"/>
                      <w:divBdr>
                        <w:top w:val="none" w:sz="0" w:space="0" w:color="auto"/>
                        <w:left w:val="none" w:sz="0" w:space="0" w:color="auto"/>
                        <w:bottom w:val="none" w:sz="0" w:space="0" w:color="auto"/>
                        <w:right w:val="none" w:sz="0" w:space="0" w:color="auto"/>
                      </w:divBdr>
                      <w:divsChild>
                        <w:div w:id="912276706">
                          <w:marLeft w:val="0"/>
                          <w:marRight w:val="0"/>
                          <w:marTop w:val="0"/>
                          <w:marBottom w:val="0"/>
                          <w:divBdr>
                            <w:top w:val="none" w:sz="0" w:space="0" w:color="auto"/>
                            <w:left w:val="none" w:sz="0" w:space="0" w:color="auto"/>
                            <w:bottom w:val="none" w:sz="0" w:space="0" w:color="auto"/>
                            <w:right w:val="none" w:sz="0" w:space="0" w:color="auto"/>
                          </w:divBdr>
                          <w:divsChild>
                            <w:div w:id="1657302025">
                              <w:marLeft w:val="0"/>
                              <w:marRight w:val="0"/>
                              <w:marTop w:val="0"/>
                              <w:marBottom w:val="0"/>
                              <w:divBdr>
                                <w:top w:val="none" w:sz="0" w:space="0" w:color="auto"/>
                                <w:left w:val="none" w:sz="0" w:space="0" w:color="auto"/>
                                <w:bottom w:val="none" w:sz="0" w:space="0" w:color="auto"/>
                                <w:right w:val="none" w:sz="0" w:space="0" w:color="auto"/>
                              </w:divBdr>
                              <w:divsChild>
                                <w:div w:id="1658916671">
                                  <w:marLeft w:val="0"/>
                                  <w:marRight w:val="0"/>
                                  <w:marTop w:val="0"/>
                                  <w:marBottom w:val="0"/>
                                  <w:divBdr>
                                    <w:top w:val="none" w:sz="0" w:space="0" w:color="auto"/>
                                    <w:left w:val="none" w:sz="0" w:space="0" w:color="auto"/>
                                    <w:bottom w:val="none" w:sz="0" w:space="0" w:color="auto"/>
                                    <w:right w:val="none" w:sz="0" w:space="0" w:color="auto"/>
                                  </w:divBdr>
                                  <w:divsChild>
                                    <w:div w:id="1340428036">
                                      <w:marLeft w:val="0"/>
                                      <w:marRight w:val="0"/>
                                      <w:marTop w:val="0"/>
                                      <w:marBottom w:val="0"/>
                                      <w:divBdr>
                                        <w:top w:val="none" w:sz="0" w:space="0" w:color="auto"/>
                                        <w:left w:val="none" w:sz="0" w:space="0" w:color="auto"/>
                                        <w:bottom w:val="none" w:sz="0" w:space="0" w:color="auto"/>
                                        <w:right w:val="none" w:sz="0" w:space="0" w:color="auto"/>
                                      </w:divBdr>
                                      <w:divsChild>
                                        <w:div w:id="1562475400">
                                          <w:marLeft w:val="1200"/>
                                          <w:marRight w:val="1200"/>
                                          <w:marTop w:val="0"/>
                                          <w:marBottom w:val="0"/>
                                          <w:divBdr>
                                            <w:top w:val="none" w:sz="0" w:space="0" w:color="auto"/>
                                            <w:left w:val="none" w:sz="0" w:space="0" w:color="auto"/>
                                            <w:bottom w:val="none" w:sz="0" w:space="0" w:color="auto"/>
                                            <w:right w:val="none" w:sz="0" w:space="0" w:color="auto"/>
                                          </w:divBdr>
                                          <w:divsChild>
                                            <w:div w:id="1025324001">
                                              <w:marLeft w:val="0"/>
                                              <w:marRight w:val="0"/>
                                              <w:marTop w:val="0"/>
                                              <w:marBottom w:val="0"/>
                                              <w:divBdr>
                                                <w:top w:val="none" w:sz="0" w:space="0" w:color="auto"/>
                                                <w:left w:val="none" w:sz="0" w:space="0" w:color="auto"/>
                                                <w:bottom w:val="none" w:sz="0" w:space="0" w:color="auto"/>
                                                <w:right w:val="none" w:sz="0" w:space="0" w:color="auto"/>
                                              </w:divBdr>
                                              <w:divsChild>
                                                <w:div w:id="550190576">
                                                  <w:marLeft w:val="0"/>
                                                  <w:marRight w:val="0"/>
                                                  <w:marTop w:val="0"/>
                                                  <w:marBottom w:val="0"/>
                                                  <w:divBdr>
                                                    <w:top w:val="none" w:sz="0" w:space="0" w:color="auto"/>
                                                    <w:left w:val="none" w:sz="0" w:space="0" w:color="auto"/>
                                                    <w:bottom w:val="none" w:sz="0" w:space="0" w:color="auto"/>
                                                    <w:right w:val="none" w:sz="0" w:space="0" w:color="auto"/>
                                                  </w:divBdr>
                                                  <w:divsChild>
                                                    <w:div w:id="1515993036">
                                                      <w:marLeft w:val="0"/>
                                                      <w:marRight w:val="0"/>
                                                      <w:marTop w:val="0"/>
                                                      <w:marBottom w:val="0"/>
                                                      <w:divBdr>
                                                        <w:top w:val="none" w:sz="0" w:space="0" w:color="auto"/>
                                                        <w:left w:val="none" w:sz="0" w:space="0" w:color="auto"/>
                                                        <w:bottom w:val="none" w:sz="0" w:space="0" w:color="auto"/>
                                                        <w:right w:val="none" w:sz="0" w:space="0" w:color="auto"/>
                                                      </w:divBdr>
                                                      <w:divsChild>
                                                        <w:div w:id="2023630169">
                                                          <w:marLeft w:val="0"/>
                                                          <w:marRight w:val="0"/>
                                                          <w:marTop w:val="0"/>
                                                          <w:marBottom w:val="0"/>
                                                          <w:divBdr>
                                                            <w:top w:val="none" w:sz="0" w:space="0" w:color="auto"/>
                                                            <w:left w:val="none" w:sz="0" w:space="0" w:color="auto"/>
                                                            <w:bottom w:val="none" w:sz="0" w:space="0" w:color="auto"/>
                                                            <w:right w:val="none" w:sz="0" w:space="0" w:color="auto"/>
                                                          </w:divBdr>
                                                          <w:divsChild>
                                                            <w:div w:id="896816647">
                                                              <w:marLeft w:val="0"/>
                                                              <w:marRight w:val="0"/>
                                                              <w:marTop w:val="0"/>
                                                              <w:marBottom w:val="0"/>
                                                              <w:divBdr>
                                                                <w:top w:val="none" w:sz="0" w:space="0" w:color="auto"/>
                                                                <w:left w:val="none" w:sz="0" w:space="0" w:color="auto"/>
                                                                <w:bottom w:val="none" w:sz="0" w:space="0" w:color="auto"/>
                                                                <w:right w:val="none" w:sz="0" w:space="0" w:color="auto"/>
                                                              </w:divBdr>
                                                              <w:divsChild>
                                                                <w:div w:id="166336488">
                                                                  <w:marLeft w:val="0"/>
                                                                  <w:marRight w:val="0"/>
                                                                  <w:marTop w:val="0"/>
                                                                  <w:marBottom w:val="0"/>
                                                                  <w:divBdr>
                                                                    <w:top w:val="none" w:sz="0" w:space="0" w:color="auto"/>
                                                                    <w:left w:val="none" w:sz="0" w:space="0" w:color="auto"/>
                                                                    <w:bottom w:val="none" w:sz="0" w:space="0" w:color="auto"/>
                                                                    <w:right w:val="none" w:sz="0" w:space="0" w:color="auto"/>
                                                                  </w:divBdr>
                                                                  <w:divsChild>
                                                                    <w:div w:id="379137357">
                                                                      <w:marLeft w:val="0"/>
                                                                      <w:marRight w:val="0"/>
                                                                      <w:marTop w:val="0"/>
                                                                      <w:marBottom w:val="0"/>
                                                                      <w:divBdr>
                                                                        <w:top w:val="none" w:sz="0" w:space="0" w:color="auto"/>
                                                                        <w:left w:val="none" w:sz="0" w:space="0" w:color="auto"/>
                                                                        <w:bottom w:val="none" w:sz="0" w:space="0" w:color="auto"/>
                                                                        <w:right w:val="none" w:sz="0" w:space="0" w:color="auto"/>
                                                                      </w:divBdr>
                                                                      <w:divsChild>
                                                                        <w:div w:id="18361424">
                                                                          <w:marLeft w:val="0"/>
                                                                          <w:marRight w:val="0"/>
                                                                          <w:marTop w:val="0"/>
                                                                          <w:marBottom w:val="0"/>
                                                                          <w:divBdr>
                                                                            <w:top w:val="none" w:sz="0" w:space="0" w:color="auto"/>
                                                                            <w:left w:val="none" w:sz="0" w:space="0" w:color="auto"/>
                                                                            <w:bottom w:val="none" w:sz="0" w:space="0" w:color="auto"/>
                                                                            <w:right w:val="none" w:sz="0" w:space="0" w:color="auto"/>
                                                                          </w:divBdr>
                                                                        </w:div>
                                                                      </w:divsChild>
                                                                    </w:div>
                                                                    <w:div w:id="1463763776">
                                                                      <w:marLeft w:val="0"/>
                                                                      <w:marRight w:val="0"/>
                                                                      <w:marTop w:val="0"/>
                                                                      <w:marBottom w:val="0"/>
                                                                      <w:divBdr>
                                                                        <w:top w:val="none" w:sz="0" w:space="0" w:color="auto"/>
                                                                        <w:left w:val="none" w:sz="0" w:space="0" w:color="auto"/>
                                                                        <w:bottom w:val="none" w:sz="0" w:space="0" w:color="auto"/>
                                                                        <w:right w:val="none" w:sz="0" w:space="0" w:color="auto"/>
                                                                      </w:divBdr>
                                                                      <w:divsChild>
                                                                        <w:div w:id="2534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61930">
      <w:bodyDiv w:val="1"/>
      <w:marLeft w:val="0"/>
      <w:marRight w:val="0"/>
      <w:marTop w:val="120"/>
      <w:marBottom w:val="0"/>
      <w:divBdr>
        <w:top w:val="none" w:sz="0" w:space="0" w:color="auto"/>
        <w:left w:val="none" w:sz="0" w:space="0" w:color="auto"/>
        <w:bottom w:val="none" w:sz="0" w:space="0" w:color="auto"/>
        <w:right w:val="none" w:sz="0" w:space="0" w:color="auto"/>
      </w:divBdr>
      <w:divsChild>
        <w:div w:id="222063657">
          <w:marLeft w:val="0"/>
          <w:marRight w:val="0"/>
          <w:marTop w:val="0"/>
          <w:marBottom w:val="0"/>
          <w:divBdr>
            <w:top w:val="none" w:sz="0" w:space="0" w:color="auto"/>
            <w:left w:val="none" w:sz="0" w:space="0" w:color="auto"/>
            <w:bottom w:val="none" w:sz="0" w:space="0" w:color="auto"/>
            <w:right w:val="none" w:sz="0" w:space="0" w:color="auto"/>
          </w:divBdr>
          <w:divsChild>
            <w:div w:id="1839272992">
              <w:marLeft w:val="0"/>
              <w:marRight w:val="0"/>
              <w:marTop w:val="0"/>
              <w:marBottom w:val="0"/>
              <w:divBdr>
                <w:top w:val="none" w:sz="0" w:space="0" w:color="auto"/>
                <w:left w:val="none" w:sz="0" w:space="0" w:color="auto"/>
                <w:bottom w:val="none" w:sz="0" w:space="0" w:color="auto"/>
                <w:right w:val="none" w:sz="0" w:space="0" w:color="auto"/>
              </w:divBdr>
              <w:divsChild>
                <w:div w:id="798693290">
                  <w:marLeft w:val="-4350"/>
                  <w:marRight w:val="0"/>
                  <w:marTop w:val="0"/>
                  <w:marBottom w:val="0"/>
                  <w:divBdr>
                    <w:top w:val="none" w:sz="0" w:space="0" w:color="auto"/>
                    <w:left w:val="none" w:sz="0" w:space="0" w:color="auto"/>
                    <w:bottom w:val="none" w:sz="0" w:space="0" w:color="auto"/>
                    <w:right w:val="none" w:sz="0" w:space="0" w:color="auto"/>
                  </w:divBdr>
                  <w:divsChild>
                    <w:div w:id="851332489">
                      <w:marLeft w:val="2550"/>
                      <w:marRight w:val="0"/>
                      <w:marTop w:val="0"/>
                      <w:marBottom w:val="0"/>
                      <w:divBdr>
                        <w:top w:val="none" w:sz="0" w:space="0" w:color="auto"/>
                        <w:left w:val="none" w:sz="0" w:space="0" w:color="auto"/>
                        <w:bottom w:val="none" w:sz="0" w:space="0" w:color="auto"/>
                        <w:right w:val="none" w:sz="0" w:space="0" w:color="auto"/>
                      </w:divBdr>
                      <w:divsChild>
                        <w:div w:id="666716460">
                          <w:marLeft w:val="0"/>
                          <w:marRight w:val="0"/>
                          <w:marTop w:val="0"/>
                          <w:marBottom w:val="0"/>
                          <w:divBdr>
                            <w:top w:val="none" w:sz="0" w:space="0" w:color="auto"/>
                            <w:left w:val="none" w:sz="0" w:space="0" w:color="auto"/>
                            <w:bottom w:val="none" w:sz="0" w:space="0" w:color="auto"/>
                            <w:right w:val="none" w:sz="0" w:space="0" w:color="auto"/>
                          </w:divBdr>
                          <w:divsChild>
                            <w:div w:id="113660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84315">
      <w:bodyDiv w:val="1"/>
      <w:marLeft w:val="0"/>
      <w:marRight w:val="0"/>
      <w:marTop w:val="0"/>
      <w:marBottom w:val="0"/>
      <w:divBdr>
        <w:top w:val="none" w:sz="0" w:space="0" w:color="auto"/>
        <w:left w:val="none" w:sz="0" w:space="0" w:color="auto"/>
        <w:bottom w:val="none" w:sz="0" w:space="0" w:color="auto"/>
        <w:right w:val="none" w:sz="0" w:space="0" w:color="auto"/>
      </w:divBdr>
      <w:divsChild>
        <w:div w:id="46078012">
          <w:marLeft w:val="0"/>
          <w:marRight w:val="0"/>
          <w:marTop w:val="24"/>
          <w:marBottom w:val="24"/>
          <w:divBdr>
            <w:top w:val="none" w:sz="0" w:space="0" w:color="auto"/>
            <w:left w:val="none" w:sz="0" w:space="0" w:color="auto"/>
            <w:bottom w:val="none" w:sz="0" w:space="0" w:color="auto"/>
            <w:right w:val="none" w:sz="0" w:space="0" w:color="auto"/>
          </w:divBdr>
          <w:divsChild>
            <w:div w:id="1464345506">
              <w:marLeft w:val="0"/>
              <w:marRight w:val="0"/>
              <w:marTop w:val="0"/>
              <w:marBottom w:val="0"/>
              <w:divBdr>
                <w:top w:val="none" w:sz="0" w:space="0" w:color="auto"/>
                <w:left w:val="none" w:sz="0" w:space="0" w:color="auto"/>
                <w:bottom w:val="none" w:sz="0" w:space="0" w:color="auto"/>
                <w:right w:val="none" w:sz="0" w:space="0" w:color="auto"/>
              </w:divBdr>
            </w:div>
          </w:divsChild>
        </w:div>
        <w:div w:id="71855387">
          <w:marLeft w:val="0"/>
          <w:marRight w:val="0"/>
          <w:marTop w:val="240"/>
          <w:marBottom w:val="0"/>
          <w:divBdr>
            <w:top w:val="none" w:sz="0" w:space="0" w:color="auto"/>
            <w:left w:val="none" w:sz="0" w:space="0" w:color="auto"/>
            <w:bottom w:val="none" w:sz="0" w:space="0" w:color="auto"/>
            <w:right w:val="none" w:sz="0" w:space="0" w:color="auto"/>
          </w:divBdr>
          <w:divsChild>
            <w:div w:id="1034814040">
              <w:marLeft w:val="0"/>
              <w:marRight w:val="0"/>
              <w:marTop w:val="0"/>
              <w:marBottom w:val="0"/>
              <w:divBdr>
                <w:top w:val="none" w:sz="0" w:space="0" w:color="auto"/>
                <w:left w:val="none" w:sz="0" w:space="0" w:color="auto"/>
                <w:bottom w:val="none" w:sz="0" w:space="0" w:color="auto"/>
                <w:right w:val="none" w:sz="0" w:space="0" w:color="auto"/>
              </w:divBdr>
            </w:div>
          </w:divsChild>
        </w:div>
        <w:div w:id="72626589">
          <w:marLeft w:val="0"/>
          <w:marRight w:val="0"/>
          <w:marTop w:val="24"/>
          <w:marBottom w:val="24"/>
          <w:divBdr>
            <w:top w:val="none" w:sz="0" w:space="0" w:color="auto"/>
            <w:left w:val="none" w:sz="0" w:space="0" w:color="auto"/>
            <w:bottom w:val="none" w:sz="0" w:space="0" w:color="auto"/>
            <w:right w:val="none" w:sz="0" w:space="0" w:color="auto"/>
          </w:divBdr>
          <w:divsChild>
            <w:div w:id="902103807">
              <w:marLeft w:val="0"/>
              <w:marRight w:val="0"/>
              <w:marTop w:val="0"/>
              <w:marBottom w:val="0"/>
              <w:divBdr>
                <w:top w:val="none" w:sz="0" w:space="0" w:color="auto"/>
                <w:left w:val="none" w:sz="0" w:space="0" w:color="auto"/>
                <w:bottom w:val="none" w:sz="0" w:space="0" w:color="auto"/>
                <w:right w:val="none" w:sz="0" w:space="0" w:color="auto"/>
              </w:divBdr>
            </w:div>
          </w:divsChild>
        </w:div>
        <w:div w:id="82604371">
          <w:marLeft w:val="0"/>
          <w:marRight w:val="0"/>
          <w:marTop w:val="24"/>
          <w:marBottom w:val="24"/>
          <w:divBdr>
            <w:top w:val="none" w:sz="0" w:space="0" w:color="auto"/>
            <w:left w:val="none" w:sz="0" w:space="0" w:color="auto"/>
            <w:bottom w:val="none" w:sz="0" w:space="0" w:color="auto"/>
            <w:right w:val="none" w:sz="0" w:space="0" w:color="auto"/>
          </w:divBdr>
          <w:divsChild>
            <w:div w:id="561019452">
              <w:marLeft w:val="0"/>
              <w:marRight w:val="0"/>
              <w:marTop w:val="0"/>
              <w:marBottom w:val="0"/>
              <w:divBdr>
                <w:top w:val="none" w:sz="0" w:space="0" w:color="auto"/>
                <w:left w:val="none" w:sz="0" w:space="0" w:color="auto"/>
                <w:bottom w:val="none" w:sz="0" w:space="0" w:color="auto"/>
                <w:right w:val="none" w:sz="0" w:space="0" w:color="auto"/>
              </w:divBdr>
            </w:div>
          </w:divsChild>
        </w:div>
        <w:div w:id="108864823">
          <w:marLeft w:val="0"/>
          <w:marRight w:val="0"/>
          <w:marTop w:val="240"/>
          <w:marBottom w:val="0"/>
          <w:divBdr>
            <w:top w:val="none" w:sz="0" w:space="0" w:color="auto"/>
            <w:left w:val="none" w:sz="0" w:space="0" w:color="auto"/>
            <w:bottom w:val="none" w:sz="0" w:space="0" w:color="auto"/>
            <w:right w:val="none" w:sz="0" w:space="0" w:color="auto"/>
          </w:divBdr>
          <w:divsChild>
            <w:div w:id="260334909">
              <w:marLeft w:val="0"/>
              <w:marRight w:val="0"/>
              <w:marTop w:val="0"/>
              <w:marBottom w:val="0"/>
              <w:divBdr>
                <w:top w:val="none" w:sz="0" w:space="0" w:color="auto"/>
                <w:left w:val="none" w:sz="0" w:space="0" w:color="auto"/>
                <w:bottom w:val="none" w:sz="0" w:space="0" w:color="auto"/>
                <w:right w:val="none" w:sz="0" w:space="0" w:color="auto"/>
              </w:divBdr>
            </w:div>
          </w:divsChild>
        </w:div>
        <w:div w:id="118034492">
          <w:marLeft w:val="0"/>
          <w:marRight w:val="0"/>
          <w:marTop w:val="24"/>
          <w:marBottom w:val="24"/>
          <w:divBdr>
            <w:top w:val="none" w:sz="0" w:space="0" w:color="auto"/>
            <w:left w:val="none" w:sz="0" w:space="0" w:color="auto"/>
            <w:bottom w:val="none" w:sz="0" w:space="0" w:color="auto"/>
            <w:right w:val="none" w:sz="0" w:space="0" w:color="auto"/>
          </w:divBdr>
          <w:divsChild>
            <w:div w:id="1924215281">
              <w:marLeft w:val="0"/>
              <w:marRight w:val="0"/>
              <w:marTop w:val="0"/>
              <w:marBottom w:val="0"/>
              <w:divBdr>
                <w:top w:val="none" w:sz="0" w:space="0" w:color="auto"/>
                <w:left w:val="none" w:sz="0" w:space="0" w:color="auto"/>
                <w:bottom w:val="none" w:sz="0" w:space="0" w:color="auto"/>
                <w:right w:val="none" w:sz="0" w:space="0" w:color="auto"/>
              </w:divBdr>
            </w:div>
          </w:divsChild>
        </w:div>
        <w:div w:id="130902483">
          <w:marLeft w:val="0"/>
          <w:marRight w:val="0"/>
          <w:marTop w:val="24"/>
          <w:marBottom w:val="24"/>
          <w:divBdr>
            <w:top w:val="none" w:sz="0" w:space="0" w:color="auto"/>
            <w:left w:val="none" w:sz="0" w:space="0" w:color="auto"/>
            <w:bottom w:val="none" w:sz="0" w:space="0" w:color="auto"/>
            <w:right w:val="none" w:sz="0" w:space="0" w:color="auto"/>
          </w:divBdr>
          <w:divsChild>
            <w:div w:id="1491024079">
              <w:marLeft w:val="0"/>
              <w:marRight w:val="0"/>
              <w:marTop w:val="0"/>
              <w:marBottom w:val="0"/>
              <w:divBdr>
                <w:top w:val="none" w:sz="0" w:space="0" w:color="auto"/>
                <w:left w:val="none" w:sz="0" w:space="0" w:color="auto"/>
                <w:bottom w:val="none" w:sz="0" w:space="0" w:color="auto"/>
                <w:right w:val="none" w:sz="0" w:space="0" w:color="auto"/>
              </w:divBdr>
            </w:div>
          </w:divsChild>
        </w:div>
        <w:div w:id="150407914">
          <w:marLeft w:val="0"/>
          <w:marRight w:val="0"/>
          <w:marTop w:val="24"/>
          <w:marBottom w:val="24"/>
          <w:divBdr>
            <w:top w:val="none" w:sz="0" w:space="0" w:color="auto"/>
            <w:left w:val="none" w:sz="0" w:space="0" w:color="auto"/>
            <w:bottom w:val="none" w:sz="0" w:space="0" w:color="auto"/>
            <w:right w:val="none" w:sz="0" w:space="0" w:color="auto"/>
          </w:divBdr>
          <w:divsChild>
            <w:div w:id="41368337">
              <w:marLeft w:val="0"/>
              <w:marRight w:val="0"/>
              <w:marTop w:val="0"/>
              <w:marBottom w:val="0"/>
              <w:divBdr>
                <w:top w:val="none" w:sz="0" w:space="0" w:color="auto"/>
                <w:left w:val="none" w:sz="0" w:space="0" w:color="auto"/>
                <w:bottom w:val="none" w:sz="0" w:space="0" w:color="auto"/>
                <w:right w:val="none" w:sz="0" w:space="0" w:color="auto"/>
              </w:divBdr>
            </w:div>
          </w:divsChild>
        </w:div>
        <w:div w:id="229966571">
          <w:marLeft w:val="0"/>
          <w:marRight w:val="0"/>
          <w:marTop w:val="24"/>
          <w:marBottom w:val="24"/>
          <w:divBdr>
            <w:top w:val="none" w:sz="0" w:space="0" w:color="auto"/>
            <w:left w:val="none" w:sz="0" w:space="0" w:color="auto"/>
            <w:bottom w:val="none" w:sz="0" w:space="0" w:color="auto"/>
            <w:right w:val="none" w:sz="0" w:space="0" w:color="auto"/>
          </w:divBdr>
          <w:divsChild>
            <w:div w:id="1702125885">
              <w:marLeft w:val="0"/>
              <w:marRight w:val="0"/>
              <w:marTop w:val="0"/>
              <w:marBottom w:val="0"/>
              <w:divBdr>
                <w:top w:val="none" w:sz="0" w:space="0" w:color="auto"/>
                <w:left w:val="none" w:sz="0" w:space="0" w:color="auto"/>
                <w:bottom w:val="none" w:sz="0" w:space="0" w:color="auto"/>
                <w:right w:val="none" w:sz="0" w:space="0" w:color="auto"/>
              </w:divBdr>
            </w:div>
          </w:divsChild>
        </w:div>
        <w:div w:id="255291750">
          <w:marLeft w:val="0"/>
          <w:marRight w:val="0"/>
          <w:marTop w:val="24"/>
          <w:marBottom w:val="24"/>
          <w:divBdr>
            <w:top w:val="none" w:sz="0" w:space="0" w:color="auto"/>
            <w:left w:val="none" w:sz="0" w:space="0" w:color="auto"/>
            <w:bottom w:val="none" w:sz="0" w:space="0" w:color="auto"/>
            <w:right w:val="none" w:sz="0" w:space="0" w:color="auto"/>
          </w:divBdr>
          <w:divsChild>
            <w:div w:id="844901212">
              <w:marLeft w:val="0"/>
              <w:marRight w:val="0"/>
              <w:marTop w:val="0"/>
              <w:marBottom w:val="0"/>
              <w:divBdr>
                <w:top w:val="none" w:sz="0" w:space="0" w:color="auto"/>
                <w:left w:val="none" w:sz="0" w:space="0" w:color="auto"/>
                <w:bottom w:val="none" w:sz="0" w:space="0" w:color="auto"/>
                <w:right w:val="none" w:sz="0" w:space="0" w:color="auto"/>
              </w:divBdr>
            </w:div>
          </w:divsChild>
        </w:div>
        <w:div w:id="345179031">
          <w:marLeft w:val="0"/>
          <w:marRight w:val="0"/>
          <w:marTop w:val="24"/>
          <w:marBottom w:val="24"/>
          <w:divBdr>
            <w:top w:val="none" w:sz="0" w:space="0" w:color="auto"/>
            <w:left w:val="none" w:sz="0" w:space="0" w:color="auto"/>
            <w:bottom w:val="none" w:sz="0" w:space="0" w:color="auto"/>
            <w:right w:val="none" w:sz="0" w:space="0" w:color="auto"/>
          </w:divBdr>
          <w:divsChild>
            <w:div w:id="797335816">
              <w:marLeft w:val="0"/>
              <w:marRight w:val="0"/>
              <w:marTop w:val="0"/>
              <w:marBottom w:val="0"/>
              <w:divBdr>
                <w:top w:val="none" w:sz="0" w:space="0" w:color="auto"/>
                <w:left w:val="none" w:sz="0" w:space="0" w:color="auto"/>
                <w:bottom w:val="none" w:sz="0" w:space="0" w:color="auto"/>
                <w:right w:val="none" w:sz="0" w:space="0" w:color="auto"/>
              </w:divBdr>
            </w:div>
          </w:divsChild>
        </w:div>
        <w:div w:id="365565335">
          <w:marLeft w:val="0"/>
          <w:marRight w:val="0"/>
          <w:marTop w:val="24"/>
          <w:marBottom w:val="24"/>
          <w:divBdr>
            <w:top w:val="none" w:sz="0" w:space="0" w:color="auto"/>
            <w:left w:val="none" w:sz="0" w:space="0" w:color="auto"/>
            <w:bottom w:val="none" w:sz="0" w:space="0" w:color="auto"/>
            <w:right w:val="none" w:sz="0" w:space="0" w:color="auto"/>
          </w:divBdr>
          <w:divsChild>
            <w:div w:id="1011495913">
              <w:marLeft w:val="0"/>
              <w:marRight w:val="0"/>
              <w:marTop w:val="0"/>
              <w:marBottom w:val="0"/>
              <w:divBdr>
                <w:top w:val="none" w:sz="0" w:space="0" w:color="auto"/>
                <w:left w:val="none" w:sz="0" w:space="0" w:color="auto"/>
                <w:bottom w:val="none" w:sz="0" w:space="0" w:color="auto"/>
                <w:right w:val="none" w:sz="0" w:space="0" w:color="auto"/>
              </w:divBdr>
            </w:div>
          </w:divsChild>
        </w:div>
        <w:div w:id="424151533">
          <w:marLeft w:val="0"/>
          <w:marRight w:val="0"/>
          <w:marTop w:val="24"/>
          <w:marBottom w:val="24"/>
          <w:divBdr>
            <w:top w:val="none" w:sz="0" w:space="0" w:color="auto"/>
            <w:left w:val="none" w:sz="0" w:space="0" w:color="auto"/>
            <w:bottom w:val="none" w:sz="0" w:space="0" w:color="auto"/>
            <w:right w:val="none" w:sz="0" w:space="0" w:color="auto"/>
          </w:divBdr>
          <w:divsChild>
            <w:div w:id="574896643">
              <w:marLeft w:val="0"/>
              <w:marRight w:val="0"/>
              <w:marTop w:val="0"/>
              <w:marBottom w:val="0"/>
              <w:divBdr>
                <w:top w:val="none" w:sz="0" w:space="0" w:color="auto"/>
                <w:left w:val="none" w:sz="0" w:space="0" w:color="auto"/>
                <w:bottom w:val="none" w:sz="0" w:space="0" w:color="auto"/>
                <w:right w:val="none" w:sz="0" w:space="0" w:color="auto"/>
              </w:divBdr>
            </w:div>
          </w:divsChild>
        </w:div>
        <w:div w:id="465782926">
          <w:marLeft w:val="0"/>
          <w:marRight w:val="0"/>
          <w:marTop w:val="24"/>
          <w:marBottom w:val="24"/>
          <w:divBdr>
            <w:top w:val="none" w:sz="0" w:space="0" w:color="auto"/>
            <w:left w:val="none" w:sz="0" w:space="0" w:color="auto"/>
            <w:bottom w:val="none" w:sz="0" w:space="0" w:color="auto"/>
            <w:right w:val="none" w:sz="0" w:space="0" w:color="auto"/>
          </w:divBdr>
          <w:divsChild>
            <w:div w:id="1592395210">
              <w:marLeft w:val="0"/>
              <w:marRight w:val="0"/>
              <w:marTop w:val="0"/>
              <w:marBottom w:val="0"/>
              <w:divBdr>
                <w:top w:val="none" w:sz="0" w:space="0" w:color="auto"/>
                <w:left w:val="none" w:sz="0" w:space="0" w:color="auto"/>
                <w:bottom w:val="none" w:sz="0" w:space="0" w:color="auto"/>
                <w:right w:val="none" w:sz="0" w:space="0" w:color="auto"/>
              </w:divBdr>
            </w:div>
          </w:divsChild>
        </w:div>
        <w:div w:id="466583464">
          <w:marLeft w:val="0"/>
          <w:marRight w:val="0"/>
          <w:marTop w:val="240"/>
          <w:marBottom w:val="0"/>
          <w:divBdr>
            <w:top w:val="none" w:sz="0" w:space="0" w:color="auto"/>
            <w:left w:val="none" w:sz="0" w:space="0" w:color="auto"/>
            <w:bottom w:val="none" w:sz="0" w:space="0" w:color="auto"/>
            <w:right w:val="none" w:sz="0" w:space="0" w:color="auto"/>
          </w:divBdr>
        </w:div>
        <w:div w:id="487091171">
          <w:marLeft w:val="0"/>
          <w:marRight w:val="0"/>
          <w:marTop w:val="24"/>
          <w:marBottom w:val="24"/>
          <w:divBdr>
            <w:top w:val="none" w:sz="0" w:space="0" w:color="auto"/>
            <w:left w:val="none" w:sz="0" w:space="0" w:color="auto"/>
            <w:bottom w:val="none" w:sz="0" w:space="0" w:color="auto"/>
            <w:right w:val="none" w:sz="0" w:space="0" w:color="auto"/>
          </w:divBdr>
          <w:divsChild>
            <w:div w:id="26369104">
              <w:marLeft w:val="0"/>
              <w:marRight w:val="0"/>
              <w:marTop w:val="0"/>
              <w:marBottom w:val="0"/>
              <w:divBdr>
                <w:top w:val="none" w:sz="0" w:space="0" w:color="auto"/>
                <w:left w:val="none" w:sz="0" w:space="0" w:color="auto"/>
                <w:bottom w:val="none" w:sz="0" w:space="0" w:color="auto"/>
                <w:right w:val="none" w:sz="0" w:space="0" w:color="auto"/>
              </w:divBdr>
            </w:div>
          </w:divsChild>
        </w:div>
        <w:div w:id="488712912">
          <w:marLeft w:val="0"/>
          <w:marRight w:val="0"/>
          <w:marTop w:val="24"/>
          <w:marBottom w:val="24"/>
          <w:divBdr>
            <w:top w:val="none" w:sz="0" w:space="0" w:color="auto"/>
            <w:left w:val="none" w:sz="0" w:space="0" w:color="auto"/>
            <w:bottom w:val="none" w:sz="0" w:space="0" w:color="auto"/>
            <w:right w:val="none" w:sz="0" w:space="0" w:color="auto"/>
          </w:divBdr>
          <w:divsChild>
            <w:div w:id="1142695702">
              <w:marLeft w:val="0"/>
              <w:marRight w:val="0"/>
              <w:marTop w:val="0"/>
              <w:marBottom w:val="0"/>
              <w:divBdr>
                <w:top w:val="none" w:sz="0" w:space="0" w:color="auto"/>
                <w:left w:val="none" w:sz="0" w:space="0" w:color="auto"/>
                <w:bottom w:val="none" w:sz="0" w:space="0" w:color="auto"/>
                <w:right w:val="none" w:sz="0" w:space="0" w:color="auto"/>
              </w:divBdr>
            </w:div>
          </w:divsChild>
        </w:div>
        <w:div w:id="496307569">
          <w:marLeft w:val="0"/>
          <w:marRight w:val="0"/>
          <w:marTop w:val="24"/>
          <w:marBottom w:val="24"/>
          <w:divBdr>
            <w:top w:val="none" w:sz="0" w:space="0" w:color="auto"/>
            <w:left w:val="none" w:sz="0" w:space="0" w:color="auto"/>
            <w:bottom w:val="none" w:sz="0" w:space="0" w:color="auto"/>
            <w:right w:val="none" w:sz="0" w:space="0" w:color="auto"/>
          </w:divBdr>
          <w:divsChild>
            <w:div w:id="1412581438">
              <w:marLeft w:val="0"/>
              <w:marRight w:val="0"/>
              <w:marTop w:val="0"/>
              <w:marBottom w:val="0"/>
              <w:divBdr>
                <w:top w:val="none" w:sz="0" w:space="0" w:color="auto"/>
                <w:left w:val="none" w:sz="0" w:space="0" w:color="auto"/>
                <w:bottom w:val="none" w:sz="0" w:space="0" w:color="auto"/>
                <w:right w:val="none" w:sz="0" w:space="0" w:color="auto"/>
              </w:divBdr>
            </w:div>
          </w:divsChild>
        </w:div>
        <w:div w:id="499930932">
          <w:marLeft w:val="0"/>
          <w:marRight w:val="0"/>
          <w:marTop w:val="24"/>
          <w:marBottom w:val="24"/>
          <w:divBdr>
            <w:top w:val="none" w:sz="0" w:space="0" w:color="auto"/>
            <w:left w:val="none" w:sz="0" w:space="0" w:color="auto"/>
            <w:bottom w:val="none" w:sz="0" w:space="0" w:color="auto"/>
            <w:right w:val="none" w:sz="0" w:space="0" w:color="auto"/>
          </w:divBdr>
          <w:divsChild>
            <w:div w:id="280379637">
              <w:marLeft w:val="0"/>
              <w:marRight w:val="0"/>
              <w:marTop w:val="0"/>
              <w:marBottom w:val="0"/>
              <w:divBdr>
                <w:top w:val="none" w:sz="0" w:space="0" w:color="auto"/>
                <w:left w:val="none" w:sz="0" w:space="0" w:color="auto"/>
                <w:bottom w:val="none" w:sz="0" w:space="0" w:color="auto"/>
                <w:right w:val="none" w:sz="0" w:space="0" w:color="auto"/>
              </w:divBdr>
            </w:div>
          </w:divsChild>
        </w:div>
        <w:div w:id="508057284">
          <w:marLeft w:val="0"/>
          <w:marRight w:val="0"/>
          <w:marTop w:val="24"/>
          <w:marBottom w:val="24"/>
          <w:divBdr>
            <w:top w:val="none" w:sz="0" w:space="0" w:color="auto"/>
            <w:left w:val="none" w:sz="0" w:space="0" w:color="auto"/>
            <w:bottom w:val="none" w:sz="0" w:space="0" w:color="auto"/>
            <w:right w:val="none" w:sz="0" w:space="0" w:color="auto"/>
          </w:divBdr>
          <w:divsChild>
            <w:div w:id="1353919558">
              <w:marLeft w:val="0"/>
              <w:marRight w:val="0"/>
              <w:marTop w:val="0"/>
              <w:marBottom w:val="0"/>
              <w:divBdr>
                <w:top w:val="none" w:sz="0" w:space="0" w:color="auto"/>
                <w:left w:val="none" w:sz="0" w:space="0" w:color="auto"/>
                <w:bottom w:val="none" w:sz="0" w:space="0" w:color="auto"/>
                <w:right w:val="none" w:sz="0" w:space="0" w:color="auto"/>
              </w:divBdr>
            </w:div>
          </w:divsChild>
        </w:div>
        <w:div w:id="546113302">
          <w:marLeft w:val="0"/>
          <w:marRight w:val="0"/>
          <w:marTop w:val="24"/>
          <w:marBottom w:val="24"/>
          <w:divBdr>
            <w:top w:val="none" w:sz="0" w:space="0" w:color="auto"/>
            <w:left w:val="none" w:sz="0" w:space="0" w:color="auto"/>
            <w:bottom w:val="none" w:sz="0" w:space="0" w:color="auto"/>
            <w:right w:val="none" w:sz="0" w:space="0" w:color="auto"/>
          </w:divBdr>
          <w:divsChild>
            <w:div w:id="1458991863">
              <w:marLeft w:val="0"/>
              <w:marRight w:val="0"/>
              <w:marTop w:val="0"/>
              <w:marBottom w:val="0"/>
              <w:divBdr>
                <w:top w:val="none" w:sz="0" w:space="0" w:color="auto"/>
                <w:left w:val="none" w:sz="0" w:space="0" w:color="auto"/>
                <w:bottom w:val="none" w:sz="0" w:space="0" w:color="auto"/>
                <w:right w:val="none" w:sz="0" w:space="0" w:color="auto"/>
              </w:divBdr>
            </w:div>
          </w:divsChild>
        </w:div>
        <w:div w:id="548304375">
          <w:marLeft w:val="0"/>
          <w:marRight w:val="0"/>
          <w:marTop w:val="24"/>
          <w:marBottom w:val="24"/>
          <w:divBdr>
            <w:top w:val="none" w:sz="0" w:space="0" w:color="auto"/>
            <w:left w:val="none" w:sz="0" w:space="0" w:color="auto"/>
            <w:bottom w:val="none" w:sz="0" w:space="0" w:color="auto"/>
            <w:right w:val="none" w:sz="0" w:space="0" w:color="auto"/>
          </w:divBdr>
          <w:divsChild>
            <w:div w:id="637415478">
              <w:marLeft w:val="0"/>
              <w:marRight w:val="0"/>
              <w:marTop w:val="0"/>
              <w:marBottom w:val="0"/>
              <w:divBdr>
                <w:top w:val="none" w:sz="0" w:space="0" w:color="auto"/>
                <w:left w:val="none" w:sz="0" w:space="0" w:color="auto"/>
                <w:bottom w:val="none" w:sz="0" w:space="0" w:color="auto"/>
                <w:right w:val="none" w:sz="0" w:space="0" w:color="auto"/>
              </w:divBdr>
            </w:div>
          </w:divsChild>
        </w:div>
        <w:div w:id="553195312">
          <w:marLeft w:val="0"/>
          <w:marRight w:val="0"/>
          <w:marTop w:val="24"/>
          <w:marBottom w:val="24"/>
          <w:divBdr>
            <w:top w:val="none" w:sz="0" w:space="0" w:color="auto"/>
            <w:left w:val="none" w:sz="0" w:space="0" w:color="auto"/>
            <w:bottom w:val="none" w:sz="0" w:space="0" w:color="auto"/>
            <w:right w:val="none" w:sz="0" w:space="0" w:color="auto"/>
          </w:divBdr>
          <w:divsChild>
            <w:div w:id="1758558394">
              <w:marLeft w:val="0"/>
              <w:marRight w:val="0"/>
              <w:marTop w:val="0"/>
              <w:marBottom w:val="0"/>
              <w:divBdr>
                <w:top w:val="none" w:sz="0" w:space="0" w:color="auto"/>
                <w:left w:val="none" w:sz="0" w:space="0" w:color="auto"/>
                <w:bottom w:val="none" w:sz="0" w:space="0" w:color="auto"/>
                <w:right w:val="none" w:sz="0" w:space="0" w:color="auto"/>
              </w:divBdr>
            </w:div>
          </w:divsChild>
        </w:div>
        <w:div w:id="686370602">
          <w:marLeft w:val="0"/>
          <w:marRight w:val="0"/>
          <w:marTop w:val="24"/>
          <w:marBottom w:val="24"/>
          <w:divBdr>
            <w:top w:val="none" w:sz="0" w:space="0" w:color="auto"/>
            <w:left w:val="none" w:sz="0" w:space="0" w:color="auto"/>
            <w:bottom w:val="none" w:sz="0" w:space="0" w:color="auto"/>
            <w:right w:val="none" w:sz="0" w:space="0" w:color="auto"/>
          </w:divBdr>
          <w:divsChild>
            <w:div w:id="1581285216">
              <w:marLeft w:val="0"/>
              <w:marRight w:val="0"/>
              <w:marTop w:val="0"/>
              <w:marBottom w:val="0"/>
              <w:divBdr>
                <w:top w:val="none" w:sz="0" w:space="0" w:color="auto"/>
                <w:left w:val="none" w:sz="0" w:space="0" w:color="auto"/>
                <w:bottom w:val="none" w:sz="0" w:space="0" w:color="auto"/>
                <w:right w:val="none" w:sz="0" w:space="0" w:color="auto"/>
              </w:divBdr>
            </w:div>
          </w:divsChild>
        </w:div>
        <w:div w:id="705377298">
          <w:marLeft w:val="0"/>
          <w:marRight w:val="0"/>
          <w:marTop w:val="24"/>
          <w:marBottom w:val="24"/>
          <w:divBdr>
            <w:top w:val="none" w:sz="0" w:space="0" w:color="auto"/>
            <w:left w:val="none" w:sz="0" w:space="0" w:color="auto"/>
            <w:bottom w:val="none" w:sz="0" w:space="0" w:color="auto"/>
            <w:right w:val="none" w:sz="0" w:space="0" w:color="auto"/>
          </w:divBdr>
          <w:divsChild>
            <w:div w:id="1840928378">
              <w:marLeft w:val="0"/>
              <w:marRight w:val="0"/>
              <w:marTop w:val="0"/>
              <w:marBottom w:val="0"/>
              <w:divBdr>
                <w:top w:val="none" w:sz="0" w:space="0" w:color="auto"/>
                <w:left w:val="none" w:sz="0" w:space="0" w:color="auto"/>
                <w:bottom w:val="none" w:sz="0" w:space="0" w:color="auto"/>
                <w:right w:val="none" w:sz="0" w:space="0" w:color="auto"/>
              </w:divBdr>
            </w:div>
          </w:divsChild>
        </w:div>
        <w:div w:id="750740301">
          <w:marLeft w:val="0"/>
          <w:marRight w:val="0"/>
          <w:marTop w:val="0"/>
          <w:marBottom w:val="0"/>
          <w:divBdr>
            <w:top w:val="none" w:sz="0" w:space="0" w:color="auto"/>
            <w:left w:val="none" w:sz="0" w:space="0" w:color="auto"/>
            <w:bottom w:val="none" w:sz="0" w:space="0" w:color="auto"/>
            <w:right w:val="none" w:sz="0" w:space="0" w:color="auto"/>
          </w:divBdr>
        </w:div>
        <w:div w:id="756290640">
          <w:marLeft w:val="0"/>
          <w:marRight w:val="0"/>
          <w:marTop w:val="24"/>
          <w:marBottom w:val="24"/>
          <w:divBdr>
            <w:top w:val="none" w:sz="0" w:space="0" w:color="auto"/>
            <w:left w:val="none" w:sz="0" w:space="0" w:color="auto"/>
            <w:bottom w:val="none" w:sz="0" w:space="0" w:color="auto"/>
            <w:right w:val="none" w:sz="0" w:space="0" w:color="auto"/>
          </w:divBdr>
          <w:divsChild>
            <w:div w:id="576551399">
              <w:marLeft w:val="0"/>
              <w:marRight w:val="0"/>
              <w:marTop w:val="0"/>
              <w:marBottom w:val="0"/>
              <w:divBdr>
                <w:top w:val="none" w:sz="0" w:space="0" w:color="auto"/>
                <w:left w:val="none" w:sz="0" w:space="0" w:color="auto"/>
                <w:bottom w:val="none" w:sz="0" w:space="0" w:color="auto"/>
                <w:right w:val="none" w:sz="0" w:space="0" w:color="auto"/>
              </w:divBdr>
            </w:div>
          </w:divsChild>
        </w:div>
        <w:div w:id="831868429">
          <w:marLeft w:val="0"/>
          <w:marRight w:val="0"/>
          <w:marTop w:val="24"/>
          <w:marBottom w:val="24"/>
          <w:divBdr>
            <w:top w:val="none" w:sz="0" w:space="0" w:color="auto"/>
            <w:left w:val="none" w:sz="0" w:space="0" w:color="auto"/>
            <w:bottom w:val="none" w:sz="0" w:space="0" w:color="auto"/>
            <w:right w:val="none" w:sz="0" w:space="0" w:color="auto"/>
          </w:divBdr>
          <w:divsChild>
            <w:div w:id="48462077">
              <w:marLeft w:val="0"/>
              <w:marRight w:val="0"/>
              <w:marTop w:val="0"/>
              <w:marBottom w:val="0"/>
              <w:divBdr>
                <w:top w:val="none" w:sz="0" w:space="0" w:color="auto"/>
                <w:left w:val="none" w:sz="0" w:space="0" w:color="auto"/>
                <w:bottom w:val="none" w:sz="0" w:space="0" w:color="auto"/>
                <w:right w:val="none" w:sz="0" w:space="0" w:color="auto"/>
              </w:divBdr>
            </w:div>
          </w:divsChild>
        </w:div>
        <w:div w:id="849829113">
          <w:marLeft w:val="0"/>
          <w:marRight w:val="0"/>
          <w:marTop w:val="24"/>
          <w:marBottom w:val="24"/>
          <w:divBdr>
            <w:top w:val="none" w:sz="0" w:space="0" w:color="auto"/>
            <w:left w:val="none" w:sz="0" w:space="0" w:color="auto"/>
            <w:bottom w:val="none" w:sz="0" w:space="0" w:color="auto"/>
            <w:right w:val="none" w:sz="0" w:space="0" w:color="auto"/>
          </w:divBdr>
          <w:divsChild>
            <w:div w:id="1085421390">
              <w:marLeft w:val="0"/>
              <w:marRight w:val="0"/>
              <w:marTop w:val="0"/>
              <w:marBottom w:val="0"/>
              <w:divBdr>
                <w:top w:val="none" w:sz="0" w:space="0" w:color="auto"/>
                <w:left w:val="none" w:sz="0" w:space="0" w:color="auto"/>
                <w:bottom w:val="none" w:sz="0" w:space="0" w:color="auto"/>
                <w:right w:val="none" w:sz="0" w:space="0" w:color="auto"/>
              </w:divBdr>
            </w:div>
          </w:divsChild>
        </w:div>
        <w:div w:id="873150823">
          <w:marLeft w:val="0"/>
          <w:marRight w:val="0"/>
          <w:marTop w:val="24"/>
          <w:marBottom w:val="24"/>
          <w:divBdr>
            <w:top w:val="none" w:sz="0" w:space="0" w:color="auto"/>
            <w:left w:val="none" w:sz="0" w:space="0" w:color="auto"/>
            <w:bottom w:val="none" w:sz="0" w:space="0" w:color="auto"/>
            <w:right w:val="none" w:sz="0" w:space="0" w:color="auto"/>
          </w:divBdr>
          <w:divsChild>
            <w:div w:id="1404335440">
              <w:marLeft w:val="0"/>
              <w:marRight w:val="0"/>
              <w:marTop w:val="0"/>
              <w:marBottom w:val="0"/>
              <w:divBdr>
                <w:top w:val="none" w:sz="0" w:space="0" w:color="auto"/>
                <w:left w:val="none" w:sz="0" w:space="0" w:color="auto"/>
                <w:bottom w:val="none" w:sz="0" w:space="0" w:color="auto"/>
                <w:right w:val="none" w:sz="0" w:space="0" w:color="auto"/>
              </w:divBdr>
            </w:div>
          </w:divsChild>
        </w:div>
        <w:div w:id="924807555">
          <w:marLeft w:val="0"/>
          <w:marRight w:val="0"/>
          <w:marTop w:val="24"/>
          <w:marBottom w:val="24"/>
          <w:divBdr>
            <w:top w:val="none" w:sz="0" w:space="0" w:color="auto"/>
            <w:left w:val="none" w:sz="0" w:space="0" w:color="auto"/>
            <w:bottom w:val="none" w:sz="0" w:space="0" w:color="auto"/>
            <w:right w:val="none" w:sz="0" w:space="0" w:color="auto"/>
          </w:divBdr>
          <w:divsChild>
            <w:div w:id="1601916084">
              <w:marLeft w:val="0"/>
              <w:marRight w:val="0"/>
              <w:marTop w:val="0"/>
              <w:marBottom w:val="0"/>
              <w:divBdr>
                <w:top w:val="none" w:sz="0" w:space="0" w:color="auto"/>
                <w:left w:val="none" w:sz="0" w:space="0" w:color="auto"/>
                <w:bottom w:val="none" w:sz="0" w:space="0" w:color="auto"/>
                <w:right w:val="none" w:sz="0" w:space="0" w:color="auto"/>
              </w:divBdr>
            </w:div>
          </w:divsChild>
        </w:div>
        <w:div w:id="929005281">
          <w:marLeft w:val="0"/>
          <w:marRight w:val="0"/>
          <w:marTop w:val="24"/>
          <w:marBottom w:val="24"/>
          <w:divBdr>
            <w:top w:val="none" w:sz="0" w:space="0" w:color="auto"/>
            <w:left w:val="none" w:sz="0" w:space="0" w:color="auto"/>
            <w:bottom w:val="none" w:sz="0" w:space="0" w:color="auto"/>
            <w:right w:val="none" w:sz="0" w:space="0" w:color="auto"/>
          </w:divBdr>
          <w:divsChild>
            <w:div w:id="944657872">
              <w:marLeft w:val="0"/>
              <w:marRight w:val="0"/>
              <w:marTop w:val="0"/>
              <w:marBottom w:val="0"/>
              <w:divBdr>
                <w:top w:val="none" w:sz="0" w:space="0" w:color="auto"/>
                <w:left w:val="none" w:sz="0" w:space="0" w:color="auto"/>
                <w:bottom w:val="none" w:sz="0" w:space="0" w:color="auto"/>
                <w:right w:val="none" w:sz="0" w:space="0" w:color="auto"/>
              </w:divBdr>
            </w:div>
          </w:divsChild>
        </w:div>
        <w:div w:id="987591979">
          <w:marLeft w:val="0"/>
          <w:marRight w:val="0"/>
          <w:marTop w:val="24"/>
          <w:marBottom w:val="24"/>
          <w:divBdr>
            <w:top w:val="none" w:sz="0" w:space="0" w:color="auto"/>
            <w:left w:val="none" w:sz="0" w:space="0" w:color="auto"/>
            <w:bottom w:val="none" w:sz="0" w:space="0" w:color="auto"/>
            <w:right w:val="none" w:sz="0" w:space="0" w:color="auto"/>
          </w:divBdr>
          <w:divsChild>
            <w:div w:id="2018074202">
              <w:marLeft w:val="0"/>
              <w:marRight w:val="0"/>
              <w:marTop w:val="0"/>
              <w:marBottom w:val="0"/>
              <w:divBdr>
                <w:top w:val="none" w:sz="0" w:space="0" w:color="auto"/>
                <w:left w:val="none" w:sz="0" w:space="0" w:color="auto"/>
                <w:bottom w:val="none" w:sz="0" w:space="0" w:color="auto"/>
                <w:right w:val="none" w:sz="0" w:space="0" w:color="auto"/>
              </w:divBdr>
            </w:div>
          </w:divsChild>
        </w:div>
        <w:div w:id="989556544">
          <w:marLeft w:val="0"/>
          <w:marRight w:val="0"/>
          <w:marTop w:val="24"/>
          <w:marBottom w:val="24"/>
          <w:divBdr>
            <w:top w:val="none" w:sz="0" w:space="0" w:color="auto"/>
            <w:left w:val="none" w:sz="0" w:space="0" w:color="auto"/>
            <w:bottom w:val="none" w:sz="0" w:space="0" w:color="auto"/>
            <w:right w:val="none" w:sz="0" w:space="0" w:color="auto"/>
          </w:divBdr>
          <w:divsChild>
            <w:div w:id="409087968">
              <w:marLeft w:val="0"/>
              <w:marRight w:val="0"/>
              <w:marTop w:val="0"/>
              <w:marBottom w:val="0"/>
              <w:divBdr>
                <w:top w:val="none" w:sz="0" w:space="0" w:color="auto"/>
                <w:left w:val="none" w:sz="0" w:space="0" w:color="auto"/>
                <w:bottom w:val="none" w:sz="0" w:space="0" w:color="auto"/>
                <w:right w:val="none" w:sz="0" w:space="0" w:color="auto"/>
              </w:divBdr>
            </w:div>
          </w:divsChild>
        </w:div>
        <w:div w:id="1004360826">
          <w:marLeft w:val="0"/>
          <w:marRight w:val="0"/>
          <w:marTop w:val="24"/>
          <w:marBottom w:val="24"/>
          <w:divBdr>
            <w:top w:val="none" w:sz="0" w:space="0" w:color="auto"/>
            <w:left w:val="none" w:sz="0" w:space="0" w:color="auto"/>
            <w:bottom w:val="none" w:sz="0" w:space="0" w:color="auto"/>
            <w:right w:val="none" w:sz="0" w:space="0" w:color="auto"/>
          </w:divBdr>
          <w:divsChild>
            <w:div w:id="2116170780">
              <w:marLeft w:val="0"/>
              <w:marRight w:val="0"/>
              <w:marTop w:val="0"/>
              <w:marBottom w:val="0"/>
              <w:divBdr>
                <w:top w:val="none" w:sz="0" w:space="0" w:color="auto"/>
                <w:left w:val="none" w:sz="0" w:space="0" w:color="auto"/>
                <w:bottom w:val="none" w:sz="0" w:space="0" w:color="auto"/>
                <w:right w:val="none" w:sz="0" w:space="0" w:color="auto"/>
              </w:divBdr>
            </w:div>
          </w:divsChild>
        </w:div>
        <w:div w:id="1005130614">
          <w:marLeft w:val="0"/>
          <w:marRight w:val="0"/>
          <w:marTop w:val="24"/>
          <w:marBottom w:val="24"/>
          <w:divBdr>
            <w:top w:val="none" w:sz="0" w:space="0" w:color="auto"/>
            <w:left w:val="none" w:sz="0" w:space="0" w:color="auto"/>
            <w:bottom w:val="none" w:sz="0" w:space="0" w:color="auto"/>
            <w:right w:val="none" w:sz="0" w:space="0" w:color="auto"/>
          </w:divBdr>
          <w:divsChild>
            <w:div w:id="1130199650">
              <w:marLeft w:val="0"/>
              <w:marRight w:val="0"/>
              <w:marTop w:val="0"/>
              <w:marBottom w:val="0"/>
              <w:divBdr>
                <w:top w:val="none" w:sz="0" w:space="0" w:color="auto"/>
                <w:left w:val="none" w:sz="0" w:space="0" w:color="auto"/>
                <w:bottom w:val="none" w:sz="0" w:space="0" w:color="auto"/>
                <w:right w:val="none" w:sz="0" w:space="0" w:color="auto"/>
              </w:divBdr>
            </w:div>
          </w:divsChild>
        </w:div>
        <w:div w:id="1045644702">
          <w:marLeft w:val="0"/>
          <w:marRight w:val="0"/>
          <w:marTop w:val="24"/>
          <w:marBottom w:val="24"/>
          <w:divBdr>
            <w:top w:val="none" w:sz="0" w:space="0" w:color="auto"/>
            <w:left w:val="none" w:sz="0" w:space="0" w:color="auto"/>
            <w:bottom w:val="none" w:sz="0" w:space="0" w:color="auto"/>
            <w:right w:val="none" w:sz="0" w:space="0" w:color="auto"/>
          </w:divBdr>
          <w:divsChild>
            <w:div w:id="837187120">
              <w:marLeft w:val="0"/>
              <w:marRight w:val="0"/>
              <w:marTop w:val="0"/>
              <w:marBottom w:val="0"/>
              <w:divBdr>
                <w:top w:val="none" w:sz="0" w:space="0" w:color="auto"/>
                <w:left w:val="none" w:sz="0" w:space="0" w:color="auto"/>
                <w:bottom w:val="none" w:sz="0" w:space="0" w:color="auto"/>
                <w:right w:val="none" w:sz="0" w:space="0" w:color="auto"/>
              </w:divBdr>
            </w:div>
          </w:divsChild>
        </w:div>
        <w:div w:id="1049844538">
          <w:marLeft w:val="0"/>
          <w:marRight w:val="0"/>
          <w:marTop w:val="24"/>
          <w:marBottom w:val="24"/>
          <w:divBdr>
            <w:top w:val="none" w:sz="0" w:space="0" w:color="auto"/>
            <w:left w:val="none" w:sz="0" w:space="0" w:color="auto"/>
            <w:bottom w:val="none" w:sz="0" w:space="0" w:color="auto"/>
            <w:right w:val="none" w:sz="0" w:space="0" w:color="auto"/>
          </w:divBdr>
          <w:divsChild>
            <w:div w:id="2066097686">
              <w:marLeft w:val="0"/>
              <w:marRight w:val="0"/>
              <w:marTop w:val="0"/>
              <w:marBottom w:val="0"/>
              <w:divBdr>
                <w:top w:val="none" w:sz="0" w:space="0" w:color="auto"/>
                <w:left w:val="none" w:sz="0" w:space="0" w:color="auto"/>
                <w:bottom w:val="none" w:sz="0" w:space="0" w:color="auto"/>
                <w:right w:val="none" w:sz="0" w:space="0" w:color="auto"/>
              </w:divBdr>
            </w:div>
          </w:divsChild>
        </w:div>
        <w:div w:id="1086995825">
          <w:marLeft w:val="0"/>
          <w:marRight w:val="0"/>
          <w:marTop w:val="24"/>
          <w:marBottom w:val="24"/>
          <w:divBdr>
            <w:top w:val="none" w:sz="0" w:space="0" w:color="auto"/>
            <w:left w:val="none" w:sz="0" w:space="0" w:color="auto"/>
            <w:bottom w:val="none" w:sz="0" w:space="0" w:color="auto"/>
            <w:right w:val="none" w:sz="0" w:space="0" w:color="auto"/>
          </w:divBdr>
          <w:divsChild>
            <w:div w:id="114645517">
              <w:marLeft w:val="0"/>
              <w:marRight w:val="0"/>
              <w:marTop w:val="0"/>
              <w:marBottom w:val="0"/>
              <w:divBdr>
                <w:top w:val="none" w:sz="0" w:space="0" w:color="auto"/>
                <w:left w:val="none" w:sz="0" w:space="0" w:color="auto"/>
                <w:bottom w:val="none" w:sz="0" w:space="0" w:color="auto"/>
                <w:right w:val="none" w:sz="0" w:space="0" w:color="auto"/>
              </w:divBdr>
            </w:div>
          </w:divsChild>
        </w:div>
        <w:div w:id="1125386253">
          <w:marLeft w:val="0"/>
          <w:marRight w:val="0"/>
          <w:marTop w:val="24"/>
          <w:marBottom w:val="24"/>
          <w:divBdr>
            <w:top w:val="none" w:sz="0" w:space="0" w:color="auto"/>
            <w:left w:val="none" w:sz="0" w:space="0" w:color="auto"/>
            <w:bottom w:val="none" w:sz="0" w:space="0" w:color="auto"/>
            <w:right w:val="none" w:sz="0" w:space="0" w:color="auto"/>
          </w:divBdr>
          <w:divsChild>
            <w:div w:id="1744065216">
              <w:marLeft w:val="0"/>
              <w:marRight w:val="0"/>
              <w:marTop w:val="0"/>
              <w:marBottom w:val="0"/>
              <w:divBdr>
                <w:top w:val="none" w:sz="0" w:space="0" w:color="auto"/>
                <w:left w:val="none" w:sz="0" w:space="0" w:color="auto"/>
                <w:bottom w:val="none" w:sz="0" w:space="0" w:color="auto"/>
                <w:right w:val="none" w:sz="0" w:space="0" w:color="auto"/>
              </w:divBdr>
            </w:div>
          </w:divsChild>
        </w:div>
        <w:div w:id="1138834994">
          <w:marLeft w:val="0"/>
          <w:marRight w:val="0"/>
          <w:marTop w:val="24"/>
          <w:marBottom w:val="24"/>
          <w:divBdr>
            <w:top w:val="none" w:sz="0" w:space="0" w:color="auto"/>
            <w:left w:val="none" w:sz="0" w:space="0" w:color="auto"/>
            <w:bottom w:val="none" w:sz="0" w:space="0" w:color="auto"/>
            <w:right w:val="none" w:sz="0" w:space="0" w:color="auto"/>
          </w:divBdr>
          <w:divsChild>
            <w:div w:id="2001693602">
              <w:marLeft w:val="0"/>
              <w:marRight w:val="0"/>
              <w:marTop w:val="0"/>
              <w:marBottom w:val="0"/>
              <w:divBdr>
                <w:top w:val="none" w:sz="0" w:space="0" w:color="auto"/>
                <w:left w:val="none" w:sz="0" w:space="0" w:color="auto"/>
                <w:bottom w:val="none" w:sz="0" w:space="0" w:color="auto"/>
                <w:right w:val="none" w:sz="0" w:space="0" w:color="auto"/>
              </w:divBdr>
            </w:div>
          </w:divsChild>
        </w:div>
        <w:div w:id="1191069035">
          <w:marLeft w:val="0"/>
          <w:marRight w:val="0"/>
          <w:marTop w:val="24"/>
          <w:marBottom w:val="24"/>
          <w:divBdr>
            <w:top w:val="none" w:sz="0" w:space="0" w:color="auto"/>
            <w:left w:val="none" w:sz="0" w:space="0" w:color="auto"/>
            <w:bottom w:val="none" w:sz="0" w:space="0" w:color="auto"/>
            <w:right w:val="none" w:sz="0" w:space="0" w:color="auto"/>
          </w:divBdr>
          <w:divsChild>
            <w:div w:id="1652640762">
              <w:marLeft w:val="0"/>
              <w:marRight w:val="0"/>
              <w:marTop w:val="0"/>
              <w:marBottom w:val="0"/>
              <w:divBdr>
                <w:top w:val="none" w:sz="0" w:space="0" w:color="auto"/>
                <w:left w:val="none" w:sz="0" w:space="0" w:color="auto"/>
                <w:bottom w:val="none" w:sz="0" w:space="0" w:color="auto"/>
                <w:right w:val="none" w:sz="0" w:space="0" w:color="auto"/>
              </w:divBdr>
            </w:div>
          </w:divsChild>
        </w:div>
        <w:div w:id="1204951116">
          <w:marLeft w:val="0"/>
          <w:marRight w:val="0"/>
          <w:marTop w:val="24"/>
          <w:marBottom w:val="24"/>
          <w:divBdr>
            <w:top w:val="none" w:sz="0" w:space="0" w:color="auto"/>
            <w:left w:val="none" w:sz="0" w:space="0" w:color="auto"/>
            <w:bottom w:val="none" w:sz="0" w:space="0" w:color="auto"/>
            <w:right w:val="none" w:sz="0" w:space="0" w:color="auto"/>
          </w:divBdr>
          <w:divsChild>
            <w:div w:id="2084989257">
              <w:marLeft w:val="0"/>
              <w:marRight w:val="0"/>
              <w:marTop w:val="0"/>
              <w:marBottom w:val="0"/>
              <w:divBdr>
                <w:top w:val="none" w:sz="0" w:space="0" w:color="auto"/>
                <w:left w:val="none" w:sz="0" w:space="0" w:color="auto"/>
                <w:bottom w:val="none" w:sz="0" w:space="0" w:color="auto"/>
                <w:right w:val="none" w:sz="0" w:space="0" w:color="auto"/>
              </w:divBdr>
            </w:div>
          </w:divsChild>
        </w:div>
        <w:div w:id="1222640682">
          <w:marLeft w:val="0"/>
          <w:marRight w:val="0"/>
          <w:marTop w:val="24"/>
          <w:marBottom w:val="24"/>
          <w:divBdr>
            <w:top w:val="none" w:sz="0" w:space="0" w:color="auto"/>
            <w:left w:val="none" w:sz="0" w:space="0" w:color="auto"/>
            <w:bottom w:val="none" w:sz="0" w:space="0" w:color="auto"/>
            <w:right w:val="none" w:sz="0" w:space="0" w:color="auto"/>
          </w:divBdr>
          <w:divsChild>
            <w:div w:id="820774224">
              <w:marLeft w:val="0"/>
              <w:marRight w:val="0"/>
              <w:marTop w:val="0"/>
              <w:marBottom w:val="0"/>
              <w:divBdr>
                <w:top w:val="none" w:sz="0" w:space="0" w:color="auto"/>
                <w:left w:val="none" w:sz="0" w:space="0" w:color="auto"/>
                <w:bottom w:val="none" w:sz="0" w:space="0" w:color="auto"/>
                <w:right w:val="none" w:sz="0" w:space="0" w:color="auto"/>
              </w:divBdr>
            </w:div>
          </w:divsChild>
        </w:div>
        <w:div w:id="1251114781">
          <w:marLeft w:val="0"/>
          <w:marRight w:val="0"/>
          <w:marTop w:val="24"/>
          <w:marBottom w:val="24"/>
          <w:divBdr>
            <w:top w:val="none" w:sz="0" w:space="0" w:color="auto"/>
            <w:left w:val="none" w:sz="0" w:space="0" w:color="auto"/>
            <w:bottom w:val="none" w:sz="0" w:space="0" w:color="auto"/>
            <w:right w:val="none" w:sz="0" w:space="0" w:color="auto"/>
          </w:divBdr>
          <w:divsChild>
            <w:div w:id="1559590262">
              <w:marLeft w:val="0"/>
              <w:marRight w:val="0"/>
              <w:marTop w:val="0"/>
              <w:marBottom w:val="0"/>
              <w:divBdr>
                <w:top w:val="none" w:sz="0" w:space="0" w:color="auto"/>
                <w:left w:val="none" w:sz="0" w:space="0" w:color="auto"/>
                <w:bottom w:val="none" w:sz="0" w:space="0" w:color="auto"/>
                <w:right w:val="none" w:sz="0" w:space="0" w:color="auto"/>
              </w:divBdr>
            </w:div>
          </w:divsChild>
        </w:div>
        <w:div w:id="1414087796">
          <w:marLeft w:val="0"/>
          <w:marRight w:val="0"/>
          <w:marTop w:val="24"/>
          <w:marBottom w:val="24"/>
          <w:divBdr>
            <w:top w:val="none" w:sz="0" w:space="0" w:color="auto"/>
            <w:left w:val="none" w:sz="0" w:space="0" w:color="auto"/>
            <w:bottom w:val="none" w:sz="0" w:space="0" w:color="auto"/>
            <w:right w:val="none" w:sz="0" w:space="0" w:color="auto"/>
          </w:divBdr>
          <w:divsChild>
            <w:div w:id="453402012">
              <w:marLeft w:val="0"/>
              <w:marRight w:val="0"/>
              <w:marTop w:val="0"/>
              <w:marBottom w:val="0"/>
              <w:divBdr>
                <w:top w:val="none" w:sz="0" w:space="0" w:color="auto"/>
                <w:left w:val="none" w:sz="0" w:space="0" w:color="auto"/>
                <w:bottom w:val="none" w:sz="0" w:space="0" w:color="auto"/>
                <w:right w:val="none" w:sz="0" w:space="0" w:color="auto"/>
              </w:divBdr>
            </w:div>
          </w:divsChild>
        </w:div>
        <w:div w:id="1431127331">
          <w:marLeft w:val="0"/>
          <w:marRight w:val="0"/>
          <w:marTop w:val="24"/>
          <w:marBottom w:val="24"/>
          <w:divBdr>
            <w:top w:val="none" w:sz="0" w:space="0" w:color="auto"/>
            <w:left w:val="none" w:sz="0" w:space="0" w:color="auto"/>
            <w:bottom w:val="none" w:sz="0" w:space="0" w:color="auto"/>
            <w:right w:val="none" w:sz="0" w:space="0" w:color="auto"/>
          </w:divBdr>
          <w:divsChild>
            <w:div w:id="1906795916">
              <w:marLeft w:val="0"/>
              <w:marRight w:val="0"/>
              <w:marTop w:val="0"/>
              <w:marBottom w:val="0"/>
              <w:divBdr>
                <w:top w:val="none" w:sz="0" w:space="0" w:color="auto"/>
                <w:left w:val="none" w:sz="0" w:space="0" w:color="auto"/>
                <w:bottom w:val="none" w:sz="0" w:space="0" w:color="auto"/>
                <w:right w:val="none" w:sz="0" w:space="0" w:color="auto"/>
              </w:divBdr>
            </w:div>
          </w:divsChild>
        </w:div>
        <w:div w:id="1489394856">
          <w:marLeft w:val="0"/>
          <w:marRight w:val="0"/>
          <w:marTop w:val="24"/>
          <w:marBottom w:val="24"/>
          <w:divBdr>
            <w:top w:val="none" w:sz="0" w:space="0" w:color="auto"/>
            <w:left w:val="none" w:sz="0" w:space="0" w:color="auto"/>
            <w:bottom w:val="none" w:sz="0" w:space="0" w:color="auto"/>
            <w:right w:val="none" w:sz="0" w:space="0" w:color="auto"/>
          </w:divBdr>
          <w:divsChild>
            <w:div w:id="34889700">
              <w:marLeft w:val="0"/>
              <w:marRight w:val="0"/>
              <w:marTop w:val="0"/>
              <w:marBottom w:val="0"/>
              <w:divBdr>
                <w:top w:val="none" w:sz="0" w:space="0" w:color="auto"/>
                <w:left w:val="none" w:sz="0" w:space="0" w:color="auto"/>
                <w:bottom w:val="none" w:sz="0" w:space="0" w:color="auto"/>
                <w:right w:val="none" w:sz="0" w:space="0" w:color="auto"/>
              </w:divBdr>
            </w:div>
          </w:divsChild>
        </w:div>
        <w:div w:id="1546288946">
          <w:marLeft w:val="0"/>
          <w:marRight w:val="0"/>
          <w:marTop w:val="24"/>
          <w:marBottom w:val="24"/>
          <w:divBdr>
            <w:top w:val="none" w:sz="0" w:space="0" w:color="auto"/>
            <w:left w:val="none" w:sz="0" w:space="0" w:color="auto"/>
            <w:bottom w:val="none" w:sz="0" w:space="0" w:color="auto"/>
            <w:right w:val="none" w:sz="0" w:space="0" w:color="auto"/>
          </w:divBdr>
          <w:divsChild>
            <w:div w:id="1428965243">
              <w:marLeft w:val="0"/>
              <w:marRight w:val="0"/>
              <w:marTop w:val="0"/>
              <w:marBottom w:val="0"/>
              <w:divBdr>
                <w:top w:val="none" w:sz="0" w:space="0" w:color="auto"/>
                <w:left w:val="none" w:sz="0" w:space="0" w:color="auto"/>
                <w:bottom w:val="none" w:sz="0" w:space="0" w:color="auto"/>
                <w:right w:val="none" w:sz="0" w:space="0" w:color="auto"/>
              </w:divBdr>
            </w:div>
          </w:divsChild>
        </w:div>
        <w:div w:id="1582058859">
          <w:marLeft w:val="0"/>
          <w:marRight w:val="0"/>
          <w:marTop w:val="240"/>
          <w:marBottom w:val="0"/>
          <w:divBdr>
            <w:top w:val="none" w:sz="0" w:space="0" w:color="auto"/>
            <w:left w:val="none" w:sz="0" w:space="0" w:color="auto"/>
            <w:bottom w:val="none" w:sz="0" w:space="0" w:color="auto"/>
            <w:right w:val="none" w:sz="0" w:space="0" w:color="auto"/>
          </w:divBdr>
          <w:divsChild>
            <w:div w:id="357699371">
              <w:marLeft w:val="0"/>
              <w:marRight w:val="0"/>
              <w:marTop w:val="0"/>
              <w:marBottom w:val="0"/>
              <w:divBdr>
                <w:top w:val="none" w:sz="0" w:space="0" w:color="auto"/>
                <w:left w:val="none" w:sz="0" w:space="0" w:color="auto"/>
                <w:bottom w:val="none" w:sz="0" w:space="0" w:color="auto"/>
                <w:right w:val="none" w:sz="0" w:space="0" w:color="auto"/>
              </w:divBdr>
            </w:div>
          </w:divsChild>
        </w:div>
        <w:div w:id="1598102155">
          <w:marLeft w:val="0"/>
          <w:marRight w:val="0"/>
          <w:marTop w:val="24"/>
          <w:marBottom w:val="24"/>
          <w:divBdr>
            <w:top w:val="none" w:sz="0" w:space="0" w:color="auto"/>
            <w:left w:val="none" w:sz="0" w:space="0" w:color="auto"/>
            <w:bottom w:val="none" w:sz="0" w:space="0" w:color="auto"/>
            <w:right w:val="none" w:sz="0" w:space="0" w:color="auto"/>
          </w:divBdr>
          <w:divsChild>
            <w:div w:id="1207910650">
              <w:marLeft w:val="0"/>
              <w:marRight w:val="0"/>
              <w:marTop w:val="0"/>
              <w:marBottom w:val="0"/>
              <w:divBdr>
                <w:top w:val="none" w:sz="0" w:space="0" w:color="auto"/>
                <w:left w:val="none" w:sz="0" w:space="0" w:color="auto"/>
                <w:bottom w:val="none" w:sz="0" w:space="0" w:color="auto"/>
                <w:right w:val="none" w:sz="0" w:space="0" w:color="auto"/>
              </w:divBdr>
            </w:div>
          </w:divsChild>
        </w:div>
        <w:div w:id="1653675130">
          <w:marLeft w:val="0"/>
          <w:marRight w:val="0"/>
          <w:marTop w:val="240"/>
          <w:marBottom w:val="0"/>
          <w:divBdr>
            <w:top w:val="none" w:sz="0" w:space="0" w:color="auto"/>
            <w:left w:val="none" w:sz="0" w:space="0" w:color="auto"/>
            <w:bottom w:val="none" w:sz="0" w:space="0" w:color="auto"/>
            <w:right w:val="none" w:sz="0" w:space="0" w:color="auto"/>
          </w:divBdr>
          <w:divsChild>
            <w:div w:id="763888563">
              <w:marLeft w:val="0"/>
              <w:marRight w:val="0"/>
              <w:marTop w:val="0"/>
              <w:marBottom w:val="0"/>
              <w:divBdr>
                <w:top w:val="none" w:sz="0" w:space="0" w:color="auto"/>
                <w:left w:val="none" w:sz="0" w:space="0" w:color="auto"/>
                <w:bottom w:val="none" w:sz="0" w:space="0" w:color="auto"/>
                <w:right w:val="none" w:sz="0" w:space="0" w:color="auto"/>
              </w:divBdr>
            </w:div>
          </w:divsChild>
        </w:div>
        <w:div w:id="1655449622">
          <w:marLeft w:val="0"/>
          <w:marRight w:val="0"/>
          <w:marTop w:val="24"/>
          <w:marBottom w:val="24"/>
          <w:divBdr>
            <w:top w:val="none" w:sz="0" w:space="0" w:color="auto"/>
            <w:left w:val="none" w:sz="0" w:space="0" w:color="auto"/>
            <w:bottom w:val="none" w:sz="0" w:space="0" w:color="auto"/>
            <w:right w:val="none" w:sz="0" w:space="0" w:color="auto"/>
          </w:divBdr>
          <w:divsChild>
            <w:div w:id="1099643670">
              <w:marLeft w:val="0"/>
              <w:marRight w:val="0"/>
              <w:marTop w:val="0"/>
              <w:marBottom w:val="0"/>
              <w:divBdr>
                <w:top w:val="none" w:sz="0" w:space="0" w:color="auto"/>
                <w:left w:val="none" w:sz="0" w:space="0" w:color="auto"/>
                <w:bottom w:val="none" w:sz="0" w:space="0" w:color="auto"/>
                <w:right w:val="none" w:sz="0" w:space="0" w:color="auto"/>
              </w:divBdr>
            </w:div>
          </w:divsChild>
        </w:div>
        <w:div w:id="1701129205">
          <w:marLeft w:val="0"/>
          <w:marRight w:val="0"/>
          <w:marTop w:val="24"/>
          <w:marBottom w:val="24"/>
          <w:divBdr>
            <w:top w:val="none" w:sz="0" w:space="0" w:color="auto"/>
            <w:left w:val="none" w:sz="0" w:space="0" w:color="auto"/>
            <w:bottom w:val="none" w:sz="0" w:space="0" w:color="auto"/>
            <w:right w:val="none" w:sz="0" w:space="0" w:color="auto"/>
          </w:divBdr>
          <w:divsChild>
            <w:div w:id="193347084">
              <w:marLeft w:val="0"/>
              <w:marRight w:val="0"/>
              <w:marTop w:val="0"/>
              <w:marBottom w:val="0"/>
              <w:divBdr>
                <w:top w:val="none" w:sz="0" w:space="0" w:color="auto"/>
                <w:left w:val="none" w:sz="0" w:space="0" w:color="auto"/>
                <w:bottom w:val="none" w:sz="0" w:space="0" w:color="auto"/>
                <w:right w:val="none" w:sz="0" w:space="0" w:color="auto"/>
              </w:divBdr>
            </w:div>
          </w:divsChild>
        </w:div>
        <w:div w:id="1704597585">
          <w:marLeft w:val="0"/>
          <w:marRight w:val="0"/>
          <w:marTop w:val="24"/>
          <w:marBottom w:val="24"/>
          <w:divBdr>
            <w:top w:val="none" w:sz="0" w:space="0" w:color="auto"/>
            <w:left w:val="none" w:sz="0" w:space="0" w:color="auto"/>
            <w:bottom w:val="none" w:sz="0" w:space="0" w:color="auto"/>
            <w:right w:val="none" w:sz="0" w:space="0" w:color="auto"/>
          </w:divBdr>
          <w:divsChild>
            <w:div w:id="1103647028">
              <w:marLeft w:val="0"/>
              <w:marRight w:val="0"/>
              <w:marTop w:val="0"/>
              <w:marBottom w:val="0"/>
              <w:divBdr>
                <w:top w:val="none" w:sz="0" w:space="0" w:color="auto"/>
                <w:left w:val="none" w:sz="0" w:space="0" w:color="auto"/>
                <w:bottom w:val="none" w:sz="0" w:space="0" w:color="auto"/>
                <w:right w:val="none" w:sz="0" w:space="0" w:color="auto"/>
              </w:divBdr>
            </w:div>
          </w:divsChild>
        </w:div>
        <w:div w:id="1774937174">
          <w:marLeft w:val="0"/>
          <w:marRight w:val="0"/>
          <w:marTop w:val="24"/>
          <w:marBottom w:val="24"/>
          <w:divBdr>
            <w:top w:val="none" w:sz="0" w:space="0" w:color="auto"/>
            <w:left w:val="none" w:sz="0" w:space="0" w:color="auto"/>
            <w:bottom w:val="none" w:sz="0" w:space="0" w:color="auto"/>
            <w:right w:val="none" w:sz="0" w:space="0" w:color="auto"/>
          </w:divBdr>
          <w:divsChild>
            <w:div w:id="298921973">
              <w:marLeft w:val="0"/>
              <w:marRight w:val="0"/>
              <w:marTop w:val="0"/>
              <w:marBottom w:val="0"/>
              <w:divBdr>
                <w:top w:val="none" w:sz="0" w:space="0" w:color="auto"/>
                <w:left w:val="none" w:sz="0" w:space="0" w:color="auto"/>
                <w:bottom w:val="none" w:sz="0" w:space="0" w:color="auto"/>
                <w:right w:val="none" w:sz="0" w:space="0" w:color="auto"/>
              </w:divBdr>
            </w:div>
          </w:divsChild>
        </w:div>
        <w:div w:id="1779059931">
          <w:marLeft w:val="0"/>
          <w:marRight w:val="0"/>
          <w:marTop w:val="24"/>
          <w:marBottom w:val="24"/>
          <w:divBdr>
            <w:top w:val="none" w:sz="0" w:space="0" w:color="auto"/>
            <w:left w:val="none" w:sz="0" w:space="0" w:color="auto"/>
            <w:bottom w:val="none" w:sz="0" w:space="0" w:color="auto"/>
            <w:right w:val="none" w:sz="0" w:space="0" w:color="auto"/>
          </w:divBdr>
          <w:divsChild>
            <w:div w:id="547108687">
              <w:marLeft w:val="0"/>
              <w:marRight w:val="0"/>
              <w:marTop w:val="0"/>
              <w:marBottom w:val="0"/>
              <w:divBdr>
                <w:top w:val="none" w:sz="0" w:space="0" w:color="auto"/>
                <w:left w:val="none" w:sz="0" w:space="0" w:color="auto"/>
                <w:bottom w:val="none" w:sz="0" w:space="0" w:color="auto"/>
                <w:right w:val="none" w:sz="0" w:space="0" w:color="auto"/>
              </w:divBdr>
            </w:div>
          </w:divsChild>
        </w:div>
        <w:div w:id="1821262421">
          <w:marLeft w:val="0"/>
          <w:marRight w:val="0"/>
          <w:marTop w:val="24"/>
          <w:marBottom w:val="24"/>
          <w:divBdr>
            <w:top w:val="none" w:sz="0" w:space="0" w:color="auto"/>
            <w:left w:val="none" w:sz="0" w:space="0" w:color="auto"/>
            <w:bottom w:val="none" w:sz="0" w:space="0" w:color="auto"/>
            <w:right w:val="none" w:sz="0" w:space="0" w:color="auto"/>
          </w:divBdr>
          <w:divsChild>
            <w:div w:id="908732969">
              <w:marLeft w:val="0"/>
              <w:marRight w:val="0"/>
              <w:marTop w:val="0"/>
              <w:marBottom w:val="0"/>
              <w:divBdr>
                <w:top w:val="none" w:sz="0" w:space="0" w:color="auto"/>
                <w:left w:val="none" w:sz="0" w:space="0" w:color="auto"/>
                <w:bottom w:val="none" w:sz="0" w:space="0" w:color="auto"/>
                <w:right w:val="none" w:sz="0" w:space="0" w:color="auto"/>
              </w:divBdr>
            </w:div>
          </w:divsChild>
        </w:div>
        <w:div w:id="1830560622">
          <w:marLeft w:val="0"/>
          <w:marRight w:val="0"/>
          <w:marTop w:val="24"/>
          <w:marBottom w:val="24"/>
          <w:divBdr>
            <w:top w:val="none" w:sz="0" w:space="0" w:color="auto"/>
            <w:left w:val="none" w:sz="0" w:space="0" w:color="auto"/>
            <w:bottom w:val="none" w:sz="0" w:space="0" w:color="auto"/>
            <w:right w:val="none" w:sz="0" w:space="0" w:color="auto"/>
          </w:divBdr>
          <w:divsChild>
            <w:div w:id="641084108">
              <w:marLeft w:val="0"/>
              <w:marRight w:val="0"/>
              <w:marTop w:val="0"/>
              <w:marBottom w:val="0"/>
              <w:divBdr>
                <w:top w:val="none" w:sz="0" w:space="0" w:color="auto"/>
                <w:left w:val="none" w:sz="0" w:space="0" w:color="auto"/>
                <w:bottom w:val="none" w:sz="0" w:space="0" w:color="auto"/>
                <w:right w:val="none" w:sz="0" w:space="0" w:color="auto"/>
              </w:divBdr>
            </w:div>
          </w:divsChild>
        </w:div>
        <w:div w:id="1873877365">
          <w:marLeft w:val="0"/>
          <w:marRight w:val="0"/>
          <w:marTop w:val="24"/>
          <w:marBottom w:val="24"/>
          <w:divBdr>
            <w:top w:val="none" w:sz="0" w:space="0" w:color="auto"/>
            <w:left w:val="none" w:sz="0" w:space="0" w:color="auto"/>
            <w:bottom w:val="none" w:sz="0" w:space="0" w:color="auto"/>
            <w:right w:val="none" w:sz="0" w:space="0" w:color="auto"/>
          </w:divBdr>
          <w:divsChild>
            <w:div w:id="1429428720">
              <w:marLeft w:val="0"/>
              <w:marRight w:val="0"/>
              <w:marTop w:val="0"/>
              <w:marBottom w:val="0"/>
              <w:divBdr>
                <w:top w:val="none" w:sz="0" w:space="0" w:color="auto"/>
                <w:left w:val="none" w:sz="0" w:space="0" w:color="auto"/>
                <w:bottom w:val="none" w:sz="0" w:space="0" w:color="auto"/>
                <w:right w:val="none" w:sz="0" w:space="0" w:color="auto"/>
              </w:divBdr>
            </w:div>
          </w:divsChild>
        </w:div>
        <w:div w:id="1918442589">
          <w:marLeft w:val="0"/>
          <w:marRight w:val="0"/>
          <w:marTop w:val="0"/>
          <w:marBottom w:val="0"/>
          <w:divBdr>
            <w:top w:val="none" w:sz="0" w:space="0" w:color="auto"/>
            <w:left w:val="none" w:sz="0" w:space="0" w:color="auto"/>
            <w:bottom w:val="none" w:sz="0" w:space="0" w:color="auto"/>
            <w:right w:val="none" w:sz="0" w:space="0" w:color="auto"/>
          </w:divBdr>
        </w:div>
        <w:div w:id="1918515241">
          <w:marLeft w:val="0"/>
          <w:marRight w:val="0"/>
          <w:marTop w:val="24"/>
          <w:marBottom w:val="24"/>
          <w:divBdr>
            <w:top w:val="none" w:sz="0" w:space="0" w:color="auto"/>
            <w:left w:val="none" w:sz="0" w:space="0" w:color="auto"/>
            <w:bottom w:val="none" w:sz="0" w:space="0" w:color="auto"/>
            <w:right w:val="none" w:sz="0" w:space="0" w:color="auto"/>
          </w:divBdr>
          <w:divsChild>
            <w:div w:id="1454985418">
              <w:marLeft w:val="0"/>
              <w:marRight w:val="0"/>
              <w:marTop w:val="0"/>
              <w:marBottom w:val="0"/>
              <w:divBdr>
                <w:top w:val="none" w:sz="0" w:space="0" w:color="auto"/>
                <w:left w:val="none" w:sz="0" w:space="0" w:color="auto"/>
                <w:bottom w:val="none" w:sz="0" w:space="0" w:color="auto"/>
                <w:right w:val="none" w:sz="0" w:space="0" w:color="auto"/>
              </w:divBdr>
            </w:div>
          </w:divsChild>
        </w:div>
        <w:div w:id="1938058071">
          <w:marLeft w:val="0"/>
          <w:marRight w:val="0"/>
          <w:marTop w:val="24"/>
          <w:marBottom w:val="24"/>
          <w:divBdr>
            <w:top w:val="none" w:sz="0" w:space="0" w:color="auto"/>
            <w:left w:val="none" w:sz="0" w:space="0" w:color="auto"/>
            <w:bottom w:val="none" w:sz="0" w:space="0" w:color="auto"/>
            <w:right w:val="none" w:sz="0" w:space="0" w:color="auto"/>
          </w:divBdr>
          <w:divsChild>
            <w:div w:id="623584064">
              <w:marLeft w:val="0"/>
              <w:marRight w:val="0"/>
              <w:marTop w:val="0"/>
              <w:marBottom w:val="0"/>
              <w:divBdr>
                <w:top w:val="none" w:sz="0" w:space="0" w:color="auto"/>
                <w:left w:val="none" w:sz="0" w:space="0" w:color="auto"/>
                <w:bottom w:val="none" w:sz="0" w:space="0" w:color="auto"/>
                <w:right w:val="none" w:sz="0" w:space="0" w:color="auto"/>
              </w:divBdr>
            </w:div>
          </w:divsChild>
        </w:div>
        <w:div w:id="1942297953">
          <w:marLeft w:val="0"/>
          <w:marRight w:val="0"/>
          <w:marTop w:val="240"/>
          <w:marBottom w:val="0"/>
          <w:divBdr>
            <w:top w:val="none" w:sz="0" w:space="0" w:color="auto"/>
            <w:left w:val="none" w:sz="0" w:space="0" w:color="auto"/>
            <w:bottom w:val="none" w:sz="0" w:space="0" w:color="auto"/>
            <w:right w:val="none" w:sz="0" w:space="0" w:color="auto"/>
          </w:divBdr>
          <w:divsChild>
            <w:div w:id="197934497">
              <w:marLeft w:val="0"/>
              <w:marRight w:val="0"/>
              <w:marTop w:val="0"/>
              <w:marBottom w:val="0"/>
              <w:divBdr>
                <w:top w:val="none" w:sz="0" w:space="0" w:color="auto"/>
                <w:left w:val="none" w:sz="0" w:space="0" w:color="auto"/>
                <w:bottom w:val="none" w:sz="0" w:space="0" w:color="auto"/>
                <w:right w:val="none" w:sz="0" w:space="0" w:color="auto"/>
              </w:divBdr>
            </w:div>
          </w:divsChild>
        </w:div>
        <w:div w:id="1963803344">
          <w:marLeft w:val="0"/>
          <w:marRight w:val="0"/>
          <w:marTop w:val="24"/>
          <w:marBottom w:val="24"/>
          <w:divBdr>
            <w:top w:val="none" w:sz="0" w:space="0" w:color="auto"/>
            <w:left w:val="none" w:sz="0" w:space="0" w:color="auto"/>
            <w:bottom w:val="none" w:sz="0" w:space="0" w:color="auto"/>
            <w:right w:val="none" w:sz="0" w:space="0" w:color="auto"/>
          </w:divBdr>
          <w:divsChild>
            <w:div w:id="910887876">
              <w:marLeft w:val="0"/>
              <w:marRight w:val="0"/>
              <w:marTop w:val="0"/>
              <w:marBottom w:val="0"/>
              <w:divBdr>
                <w:top w:val="none" w:sz="0" w:space="0" w:color="auto"/>
                <w:left w:val="none" w:sz="0" w:space="0" w:color="auto"/>
                <w:bottom w:val="none" w:sz="0" w:space="0" w:color="auto"/>
                <w:right w:val="none" w:sz="0" w:space="0" w:color="auto"/>
              </w:divBdr>
            </w:div>
          </w:divsChild>
        </w:div>
        <w:div w:id="1985313854">
          <w:marLeft w:val="0"/>
          <w:marRight w:val="0"/>
          <w:marTop w:val="24"/>
          <w:marBottom w:val="24"/>
          <w:divBdr>
            <w:top w:val="none" w:sz="0" w:space="0" w:color="auto"/>
            <w:left w:val="none" w:sz="0" w:space="0" w:color="auto"/>
            <w:bottom w:val="none" w:sz="0" w:space="0" w:color="auto"/>
            <w:right w:val="none" w:sz="0" w:space="0" w:color="auto"/>
          </w:divBdr>
          <w:divsChild>
            <w:div w:id="1523281497">
              <w:marLeft w:val="0"/>
              <w:marRight w:val="0"/>
              <w:marTop w:val="0"/>
              <w:marBottom w:val="0"/>
              <w:divBdr>
                <w:top w:val="none" w:sz="0" w:space="0" w:color="auto"/>
                <w:left w:val="none" w:sz="0" w:space="0" w:color="auto"/>
                <w:bottom w:val="none" w:sz="0" w:space="0" w:color="auto"/>
                <w:right w:val="none" w:sz="0" w:space="0" w:color="auto"/>
              </w:divBdr>
            </w:div>
          </w:divsChild>
        </w:div>
        <w:div w:id="1988821990">
          <w:marLeft w:val="0"/>
          <w:marRight w:val="0"/>
          <w:marTop w:val="0"/>
          <w:marBottom w:val="0"/>
          <w:divBdr>
            <w:top w:val="none" w:sz="0" w:space="0" w:color="auto"/>
            <w:left w:val="none" w:sz="0" w:space="0" w:color="auto"/>
            <w:bottom w:val="none" w:sz="0" w:space="0" w:color="auto"/>
            <w:right w:val="none" w:sz="0" w:space="0" w:color="auto"/>
          </w:divBdr>
        </w:div>
        <w:div w:id="2036926298">
          <w:marLeft w:val="0"/>
          <w:marRight w:val="0"/>
          <w:marTop w:val="240"/>
          <w:marBottom w:val="0"/>
          <w:divBdr>
            <w:top w:val="none" w:sz="0" w:space="0" w:color="auto"/>
            <w:left w:val="none" w:sz="0" w:space="0" w:color="auto"/>
            <w:bottom w:val="none" w:sz="0" w:space="0" w:color="auto"/>
            <w:right w:val="none" w:sz="0" w:space="0" w:color="auto"/>
          </w:divBdr>
          <w:divsChild>
            <w:div w:id="1026758567">
              <w:marLeft w:val="0"/>
              <w:marRight w:val="0"/>
              <w:marTop w:val="0"/>
              <w:marBottom w:val="0"/>
              <w:divBdr>
                <w:top w:val="none" w:sz="0" w:space="0" w:color="auto"/>
                <w:left w:val="none" w:sz="0" w:space="0" w:color="auto"/>
                <w:bottom w:val="none" w:sz="0" w:space="0" w:color="auto"/>
                <w:right w:val="none" w:sz="0" w:space="0" w:color="auto"/>
              </w:divBdr>
            </w:div>
          </w:divsChild>
        </w:div>
        <w:div w:id="2088455634">
          <w:marLeft w:val="0"/>
          <w:marRight w:val="0"/>
          <w:marTop w:val="0"/>
          <w:marBottom w:val="0"/>
          <w:divBdr>
            <w:top w:val="none" w:sz="0" w:space="0" w:color="auto"/>
            <w:left w:val="none" w:sz="0" w:space="0" w:color="auto"/>
            <w:bottom w:val="none" w:sz="0" w:space="0" w:color="auto"/>
            <w:right w:val="none" w:sz="0" w:space="0" w:color="auto"/>
          </w:divBdr>
        </w:div>
      </w:divsChild>
    </w:div>
    <w:div w:id="97482421">
      <w:bodyDiv w:val="1"/>
      <w:marLeft w:val="0"/>
      <w:marRight w:val="0"/>
      <w:marTop w:val="0"/>
      <w:marBottom w:val="0"/>
      <w:divBdr>
        <w:top w:val="none" w:sz="0" w:space="0" w:color="auto"/>
        <w:left w:val="none" w:sz="0" w:space="0" w:color="auto"/>
        <w:bottom w:val="none" w:sz="0" w:space="0" w:color="auto"/>
        <w:right w:val="none" w:sz="0" w:space="0" w:color="auto"/>
      </w:divBdr>
      <w:divsChild>
        <w:div w:id="826747470">
          <w:marLeft w:val="0"/>
          <w:marRight w:val="0"/>
          <w:marTop w:val="0"/>
          <w:marBottom w:val="0"/>
          <w:divBdr>
            <w:top w:val="none" w:sz="0" w:space="0" w:color="auto"/>
            <w:left w:val="none" w:sz="0" w:space="0" w:color="auto"/>
            <w:bottom w:val="none" w:sz="0" w:space="0" w:color="auto"/>
            <w:right w:val="none" w:sz="0" w:space="0" w:color="auto"/>
          </w:divBdr>
          <w:divsChild>
            <w:div w:id="1101221378">
              <w:marLeft w:val="0"/>
              <w:marRight w:val="0"/>
              <w:marTop w:val="0"/>
              <w:marBottom w:val="0"/>
              <w:divBdr>
                <w:top w:val="none" w:sz="0" w:space="0" w:color="auto"/>
                <w:left w:val="none" w:sz="0" w:space="0" w:color="auto"/>
                <w:bottom w:val="none" w:sz="0" w:space="0" w:color="auto"/>
                <w:right w:val="none" w:sz="0" w:space="0" w:color="auto"/>
              </w:divBdr>
              <w:divsChild>
                <w:div w:id="1118792620">
                  <w:marLeft w:val="0"/>
                  <w:marRight w:val="0"/>
                  <w:marTop w:val="0"/>
                  <w:marBottom w:val="0"/>
                  <w:divBdr>
                    <w:top w:val="none" w:sz="0" w:space="0" w:color="auto"/>
                    <w:left w:val="none" w:sz="0" w:space="0" w:color="auto"/>
                    <w:bottom w:val="none" w:sz="0" w:space="0" w:color="auto"/>
                    <w:right w:val="none" w:sz="0" w:space="0" w:color="auto"/>
                  </w:divBdr>
                  <w:divsChild>
                    <w:div w:id="1635216266">
                      <w:marLeft w:val="0"/>
                      <w:marRight w:val="0"/>
                      <w:marTop w:val="0"/>
                      <w:marBottom w:val="300"/>
                      <w:divBdr>
                        <w:top w:val="none" w:sz="0" w:space="0" w:color="auto"/>
                        <w:left w:val="none" w:sz="0" w:space="0" w:color="auto"/>
                        <w:bottom w:val="none" w:sz="0" w:space="0" w:color="auto"/>
                        <w:right w:val="none" w:sz="0" w:space="0" w:color="auto"/>
                      </w:divBdr>
                      <w:divsChild>
                        <w:div w:id="15517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24047">
      <w:bodyDiv w:val="1"/>
      <w:marLeft w:val="0"/>
      <w:marRight w:val="0"/>
      <w:marTop w:val="0"/>
      <w:marBottom w:val="0"/>
      <w:divBdr>
        <w:top w:val="none" w:sz="0" w:space="0" w:color="auto"/>
        <w:left w:val="none" w:sz="0" w:space="0" w:color="auto"/>
        <w:bottom w:val="none" w:sz="0" w:space="0" w:color="auto"/>
        <w:right w:val="none" w:sz="0" w:space="0" w:color="auto"/>
      </w:divBdr>
      <w:divsChild>
        <w:div w:id="1153182246">
          <w:marLeft w:val="0"/>
          <w:marRight w:val="0"/>
          <w:marTop w:val="0"/>
          <w:marBottom w:val="0"/>
          <w:divBdr>
            <w:top w:val="none" w:sz="0" w:space="0" w:color="auto"/>
            <w:left w:val="single" w:sz="6" w:space="0" w:color="BBBBBB"/>
            <w:bottom w:val="single" w:sz="6" w:space="0" w:color="BBBBBB"/>
            <w:right w:val="single" w:sz="6" w:space="0" w:color="BBBBBB"/>
          </w:divBdr>
          <w:divsChild>
            <w:div w:id="1293943790">
              <w:marLeft w:val="0"/>
              <w:marRight w:val="0"/>
              <w:marTop w:val="0"/>
              <w:marBottom w:val="0"/>
              <w:divBdr>
                <w:top w:val="none" w:sz="0" w:space="0" w:color="auto"/>
                <w:left w:val="none" w:sz="0" w:space="0" w:color="auto"/>
                <w:bottom w:val="none" w:sz="0" w:space="0" w:color="auto"/>
                <w:right w:val="none" w:sz="0" w:space="0" w:color="auto"/>
              </w:divBdr>
              <w:divsChild>
                <w:div w:id="694967147">
                  <w:marLeft w:val="0"/>
                  <w:marRight w:val="0"/>
                  <w:marTop w:val="75"/>
                  <w:marBottom w:val="0"/>
                  <w:divBdr>
                    <w:top w:val="none" w:sz="0" w:space="0" w:color="auto"/>
                    <w:left w:val="none" w:sz="0" w:space="0" w:color="auto"/>
                    <w:bottom w:val="none" w:sz="0" w:space="0" w:color="auto"/>
                    <w:right w:val="none" w:sz="0" w:space="0" w:color="auto"/>
                  </w:divBdr>
                  <w:divsChild>
                    <w:div w:id="1126236214">
                      <w:marLeft w:val="0"/>
                      <w:marRight w:val="0"/>
                      <w:marTop w:val="0"/>
                      <w:marBottom w:val="0"/>
                      <w:divBdr>
                        <w:top w:val="none" w:sz="0" w:space="0" w:color="auto"/>
                        <w:left w:val="none" w:sz="0" w:space="0" w:color="auto"/>
                        <w:bottom w:val="none" w:sz="0" w:space="0" w:color="auto"/>
                        <w:right w:val="none" w:sz="0" w:space="0" w:color="auto"/>
                      </w:divBdr>
                      <w:divsChild>
                        <w:div w:id="973407117">
                          <w:marLeft w:val="0"/>
                          <w:marRight w:val="0"/>
                          <w:marTop w:val="0"/>
                          <w:marBottom w:val="0"/>
                          <w:divBdr>
                            <w:top w:val="none" w:sz="0" w:space="0" w:color="auto"/>
                            <w:left w:val="none" w:sz="0" w:space="0" w:color="auto"/>
                            <w:bottom w:val="none" w:sz="0" w:space="0" w:color="auto"/>
                            <w:right w:val="none" w:sz="0" w:space="0" w:color="auto"/>
                          </w:divBdr>
                          <w:divsChild>
                            <w:div w:id="1275751316">
                              <w:marLeft w:val="0"/>
                              <w:marRight w:val="0"/>
                              <w:marTop w:val="0"/>
                              <w:marBottom w:val="0"/>
                              <w:divBdr>
                                <w:top w:val="none" w:sz="0" w:space="0" w:color="auto"/>
                                <w:left w:val="none" w:sz="0" w:space="0" w:color="auto"/>
                                <w:bottom w:val="none" w:sz="0" w:space="0" w:color="auto"/>
                                <w:right w:val="none" w:sz="0" w:space="0" w:color="auto"/>
                              </w:divBdr>
                              <w:divsChild>
                                <w:div w:id="173619486">
                                  <w:marLeft w:val="0"/>
                                  <w:marRight w:val="0"/>
                                  <w:marTop w:val="0"/>
                                  <w:marBottom w:val="0"/>
                                  <w:divBdr>
                                    <w:top w:val="none" w:sz="0" w:space="0" w:color="auto"/>
                                    <w:left w:val="none" w:sz="0" w:space="0" w:color="auto"/>
                                    <w:bottom w:val="none" w:sz="0" w:space="0" w:color="auto"/>
                                    <w:right w:val="none" w:sz="0" w:space="0" w:color="auto"/>
                                  </w:divBdr>
                                  <w:divsChild>
                                    <w:div w:id="695276519">
                                      <w:marLeft w:val="0"/>
                                      <w:marRight w:val="0"/>
                                      <w:marTop w:val="0"/>
                                      <w:marBottom w:val="0"/>
                                      <w:divBdr>
                                        <w:top w:val="none" w:sz="0" w:space="0" w:color="auto"/>
                                        <w:left w:val="none" w:sz="0" w:space="0" w:color="auto"/>
                                        <w:bottom w:val="none" w:sz="0" w:space="0" w:color="auto"/>
                                        <w:right w:val="none" w:sz="0" w:space="0" w:color="auto"/>
                                      </w:divBdr>
                                      <w:divsChild>
                                        <w:div w:id="455834230">
                                          <w:marLeft w:val="1200"/>
                                          <w:marRight w:val="1200"/>
                                          <w:marTop w:val="0"/>
                                          <w:marBottom w:val="0"/>
                                          <w:divBdr>
                                            <w:top w:val="none" w:sz="0" w:space="0" w:color="auto"/>
                                            <w:left w:val="none" w:sz="0" w:space="0" w:color="auto"/>
                                            <w:bottom w:val="none" w:sz="0" w:space="0" w:color="auto"/>
                                            <w:right w:val="none" w:sz="0" w:space="0" w:color="auto"/>
                                          </w:divBdr>
                                          <w:divsChild>
                                            <w:div w:id="1056003632">
                                              <w:marLeft w:val="0"/>
                                              <w:marRight w:val="0"/>
                                              <w:marTop w:val="0"/>
                                              <w:marBottom w:val="0"/>
                                              <w:divBdr>
                                                <w:top w:val="none" w:sz="0" w:space="0" w:color="auto"/>
                                                <w:left w:val="none" w:sz="0" w:space="0" w:color="auto"/>
                                                <w:bottom w:val="none" w:sz="0" w:space="0" w:color="auto"/>
                                                <w:right w:val="none" w:sz="0" w:space="0" w:color="auto"/>
                                              </w:divBdr>
                                              <w:divsChild>
                                                <w:div w:id="1406610623">
                                                  <w:marLeft w:val="0"/>
                                                  <w:marRight w:val="0"/>
                                                  <w:marTop w:val="0"/>
                                                  <w:marBottom w:val="0"/>
                                                  <w:divBdr>
                                                    <w:top w:val="none" w:sz="0" w:space="0" w:color="auto"/>
                                                    <w:left w:val="none" w:sz="0" w:space="0" w:color="auto"/>
                                                    <w:bottom w:val="none" w:sz="0" w:space="0" w:color="auto"/>
                                                    <w:right w:val="none" w:sz="0" w:space="0" w:color="auto"/>
                                                  </w:divBdr>
                                                  <w:divsChild>
                                                    <w:div w:id="90011088">
                                                      <w:marLeft w:val="0"/>
                                                      <w:marRight w:val="0"/>
                                                      <w:marTop w:val="0"/>
                                                      <w:marBottom w:val="0"/>
                                                      <w:divBdr>
                                                        <w:top w:val="none" w:sz="0" w:space="0" w:color="auto"/>
                                                        <w:left w:val="none" w:sz="0" w:space="0" w:color="auto"/>
                                                        <w:bottom w:val="none" w:sz="0" w:space="0" w:color="auto"/>
                                                        <w:right w:val="none" w:sz="0" w:space="0" w:color="auto"/>
                                                      </w:divBdr>
                                                      <w:divsChild>
                                                        <w:div w:id="2117098876">
                                                          <w:marLeft w:val="0"/>
                                                          <w:marRight w:val="0"/>
                                                          <w:marTop w:val="0"/>
                                                          <w:marBottom w:val="0"/>
                                                          <w:divBdr>
                                                            <w:top w:val="none" w:sz="0" w:space="0" w:color="auto"/>
                                                            <w:left w:val="none" w:sz="0" w:space="0" w:color="auto"/>
                                                            <w:bottom w:val="none" w:sz="0" w:space="0" w:color="auto"/>
                                                            <w:right w:val="none" w:sz="0" w:space="0" w:color="auto"/>
                                                          </w:divBdr>
                                                          <w:divsChild>
                                                            <w:div w:id="1409840987">
                                                              <w:marLeft w:val="0"/>
                                                              <w:marRight w:val="0"/>
                                                              <w:marTop w:val="0"/>
                                                              <w:marBottom w:val="0"/>
                                                              <w:divBdr>
                                                                <w:top w:val="none" w:sz="0" w:space="0" w:color="auto"/>
                                                                <w:left w:val="none" w:sz="0" w:space="0" w:color="auto"/>
                                                                <w:bottom w:val="none" w:sz="0" w:space="0" w:color="auto"/>
                                                                <w:right w:val="none" w:sz="0" w:space="0" w:color="auto"/>
                                                              </w:divBdr>
                                                              <w:divsChild>
                                                                <w:div w:id="1453162050">
                                                                  <w:marLeft w:val="0"/>
                                                                  <w:marRight w:val="0"/>
                                                                  <w:marTop w:val="0"/>
                                                                  <w:marBottom w:val="0"/>
                                                                  <w:divBdr>
                                                                    <w:top w:val="none" w:sz="0" w:space="0" w:color="auto"/>
                                                                    <w:left w:val="none" w:sz="0" w:space="0" w:color="auto"/>
                                                                    <w:bottom w:val="none" w:sz="0" w:space="0" w:color="auto"/>
                                                                    <w:right w:val="none" w:sz="0" w:space="0" w:color="auto"/>
                                                                  </w:divBdr>
                                                                  <w:divsChild>
                                                                    <w:div w:id="524026949">
                                                                      <w:marLeft w:val="0"/>
                                                                      <w:marRight w:val="0"/>
                                                                      <w:marTop w:val="0"/>
                                                                      <w:marBottom w:val="0"/>
                                                                      <w:divBdr>
                                                                        <w:top w:val="none" w:sz="0" w:space="0" w:color="auto"/>
                                                                        <w:left w:val="none" w:sz="0" w:space="0" w:color="auto"/>
                                                                        <w:bottom w:val="none" w:sz="0" w:space="0" w:color="auto"/>
                                                                        <w:right w:val="none" w:sz="0" w:space="0" w:color="auto"/>
                                                                      </w:divBdr>
                                                                      <w:divsChild>
                                                                        <w:div w:id="496190106">
                                                                          <w:marLeft w:val="0"/>
                                                                          <w:marRight w:val="0"/>
                                                                          <w:marTop w:val="0"/>
                                                                          <w:marBottom w:val="0"/>
                                                                          <w:divBdr>
                                                                            <w:top w:val="none" w:sz="0" w:space="0" w:color="auto"/>
                                                                            <w:left w:val="none" w:sz="0" w:space="0" w:color="auto"/>
                                                                            <w:bottom w:val="none" w:sz="0" w:space="0" w:color="auto"/>
                                                                            <w:right w:val="none" w:sz="0" w:space="0" w:color="auto"/>
                                                                          </w:divBdr>
                                                                        </w:div>
                                                                      </w:divsChild>
                                                                    </w:div>
                                                                    <w:div w:id="1930846287">
                                                                      <w:marLeft w:val="0"/>
                                                                      <w:marRight w:val="0"/>
                                                                      <w:marTop w:val="0"/>
                                                                      <w:marBottom w:val="0"/>
                                                                      <w:divBdr>
                                                                        <w:top w:val="none" w:sz="0" w:space="0" w:color="auto"/>
                                                                        <w:left w:val="none" w:sz="0" w:space="0" w:color="auto"/>
                                                                        <w:bottom w:val="none" w:sz="0" w:space="0" w:color="auto"/>
                                                                        <w:right w:val="none" w:sz="0" w:space="0" w:color="auto"/>
                                                                      </w:divBdr>
                                                                      <w:divsChild>
                                                                        <w:div w:id="16691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19050">
      <w:bodyDiv w:val="1"/>
      <w:marLeft w:val="0"/>
      <w:marRight w:val="0"/>
      <w:marTop w:val="0"/>
      <w:marBottom w:val="0"/>
      <w:divBdr>
        <w:top w:val="none" w:sz="0" w:space="0" w:color="auto"/>
        <w:left w:val="none" w:sz="0" w:space="0" w:color="auto"/>
        <w:bottom w:val="none" w:sz="0" w:space="0" w:color="auto"/>
        <w:right w:val="none" w:sz="0" w:space="0" w:color="auto"/>
      </w:divBdr>
      <w:divsChild>
        <w:div w:id="363018941">
          <w:marLeft w:val="0"/>
          <w:marRight w:val="0"/>
          <w:marTop w:val="0"/>
          <w:marBottom w:val="0"/>
          <w:divBdr>
            <w:top w:val="none" w:sz="0" w:space="0" w:color="auto"/>
            <w:left w:val="none" w:sz="0" w:space="0" w:color="auto"/>
            <w:bottom w:val="none" w:sz="0" w:space="0" w:color="auto"/>
            <w:right w:val="none" w:sz="0" w:space="0" w:color="auto"/>
          </w:divBdr>
          <w:divsChild>
            <w:div w:id="1279144967">
              <w:marLeft w:val="0"/>
              <w:marRight w:val="0"/>
              <w:marTop w:val="0"/>
              <w:marBottom w:val="0"/>
              <w:divBdr>
                <w:top w:val="none" w:sz="0" w:space="0" w:color="auto"/>
                <w:left w:val="none" w:sz="0" w:space="0" w:color="auto"/>
                <w:bottom w:val="none" w:sz="0" w:space="0" w:color="auto"/>
                <w:right w:val="none" w:sz="0" w:space="0" w:color="auto"/>
              </w:divBdr>
              <w:divsChild>
                <w:div w:id="285044369">
                  <w:marLeft w:val="0"/>
                  <w:marRight w:val="0"/>
                  <w:marTop w:val="0"/>
                  <w:marBottom w:val="0"/>
                  <w:divBdr>
                    <w:top w:val="none" w:sz="0" w:space="0" w:color="auto"/>
                    <w:left w:val="none" w:sz="0" w:space="0" w:color="auto"/>
                    <w:bottom w:val="none" w:sz="0" w:space="0" w:color="auto"/>
                    <w:right w:val="none" w:sz="0" w:space="0" w:color="auto"/>
                  </w:divBdr>
                  <w:divsChild>
                    <w:div w:id="499277424">
                      <w:marLeft w:val="0"/>
                      <w:marRight w:val="0"/>
                      <w:marTop w:val="0"/>
                      <w:marBottom w:val="375"/>
                      <w:divBdr>
                        <w:top w:val="none" w:sz="0" w:space="0" w:color="auto"/>
                        <w:left w:val="none" w:sz="0" w:space="0" w:color="auto"/>
                        <w:bottom w:val="none" w:sz="0" w:space="0" w:color="auto"/>
                        <w:right w:val="none" w:sz="0" w:space="0" w:color="auto"/>
                      </w:divBdr>
                      <w:divsChild>
                        <w:div w:id="10295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23771">
      <w:bodyDiv w:val="1"/>
      <w:marLeft w:val="0"/>
      <w:marRight w:val="0"/>
      <w:marTop w:val="0"/>
      <w:marBottom w:val="0"/>
      <w:divBdr>
        <w:top w:val="none" w:sz="0" w:space="0" w:color="auto"/>
        <w:left w:val="none" w:sz="0" w:space="0" w:color="auto"/>
        <w:bottom w:val="none" w:sz="0" w:space="0" w:color="auto"/>
        <w:right w:val="none" w:sz="0" w:space="0" w:color="auto"/>
      </w:divBdr>
      <w:divsChild>
        <w:div w:id="1120220949">
          <w:marLeft w:val="0"/>
          <w:marRight w:val="0"/>
          <w:marTop w:val="240"/>
          <w:marBottom w:val="0"/>
          <w:divBdr>
            <w:top w:val="none" w:sz="0" w:space="0" w:color="auto"/>
            <w:left w:val="none" w:sz="0" w:space="0" w:color="auto"/>
            <w:bottom w:val="none" w:sz="0" w:space="0" w:color="auto"/>
            <w:right w:val="none" w:sz="0" w:space="0" w:color="auto"/>
          </w:divBdr>
          <w:divsChild>
            <w:div w:id="371999400">
              <w:marLeft w:val="0"/>
              <w:marRight w:val="0"/>
              <w:marTop w:val="0"/>
              <w:marBottom w:val="0"/>
              <w:divBdr>
                <w:top w:val="none" w:sz="0" w:space="0" w:color="auto"/>
                <w:left w:val="none" w:sz="0" w:space="0" w:color="auto"/>
                <w:bottom w:val="none" w:sz="0" w:space="0" w:color="auto"/>
                <w:right w:val="none" w:sz="0" w:space="0" w:color="auto"/>
              </w:divBdr>
            </w:div>
          </w:divsChild>
        </w:div>
        <w:div w:id="1547402458">
          <w:marLeft w:val="0"/>
          <w:marRight w:val="0"/>
          <w:marTop w:val="240"/>
          <w:marBottom w:val="0"/>
          <w:divBdr>
            <w:top w:val="none" w:sz="0" w:space="0" w:color="auto"/>
            <w:left w:val="none" w:sz="0" w:space="0" w:color="auto"/>
            <w:bottom w:val="none" w:sz="0" w:space="0" w:color="auto"/>
            <w:right w:val="none" w:sz="0" w:space="0" w:color="auto"/>
          </w:divBdr>
          <w:divsChild>
            <w:div w:id="877082050">
              <w:marLeft w:val="0"/>
              <w:marRight w:val="0"/>
              <w:marTop w:val="0"/>
              <w:marBottom w:val="0"/>
              <w:divBdr>
                <w:top w:val="none" w:sz="0" w:space="0" w:color="auto"/>
                <w:left w:val="none" w:sz="0" w:space="0" w:color="auto"/>
                <w:bottom w:val="none" w:sz="0" w:space="0" w:color="auto"/>
                <w:right w:val="none" w:sz="0" w:space="0" w:color="auto"/>
              </w:divBdr>
            </w:div>
          </w:divsChild>
        </w:div>
        <w:div w:id="1525317192">
          <w:marLeft w:val="0"/>
          <w:marRight w:val="0"/>
          <w:marTop w:val="240"/>
          <w:marBottom w:val="0"/>
          <w:divBdr>
            <w:top w:val="none" w:sz="0" w:space="0" w:color="auto"/>
            <w:left w:val="none" w:sz="0" w:space="0" w:color="auto"/>
            <w:bottom w:val="none" w:sz="0" w:space="0" w:color="auto"/>
            <w:right w:val="none" w:sz="0" w:space="0" w:color="auto"/>
          </w:divBdr>
          <w:divsChild>
            <w:div w:id="1739356191">
              <w:marLeft w:val="0"/>
              <w:marRight w:val="0"/>
              <w:marTop w:val="0"/>
              <w:marBottom w:val="0"/>
              <w:divBdr>
                <w:top w:val="none" w:sz="0" w:space="0" w:color="auto"/>
                <w:left w:val="none" w:sz="0" w:space="0" w:color="auto"/>
                <w:bottom w:val="none" w:sz="0" w:space="0" w:color="auto"/>
                <w:right w:val="none" w:sz="0" w:space="0" w:color="auto"/>
              </w:divBdr>
            </w:div>
          </w:divsChild>
        </w:div>
        <w:div w:id="837158914">
          <w:marLeft w:val="0"/>
          <w:marRight w:val="0"/>
          <w:marTop w:val="240"/>
          <w:marBottom w:val="0"/>
          <w:divBdr>
            <w:top w:val="none" w:sz="0" w:space="0" w:color="auto"/>
            <w:left w:val="none" w:sz="0" w:space="0" w:color="auto"/>
            <w:bottom w:val="none" w:sz="0" w:space="0" w:color="auto"/>
            <w:right w:val="none" w:sz="0" w:space="0" w:color="auto"/>
          </w:divBdr>
          <w:divsChild>
            <w:div w:id="902372775">
              <w:marLeft w:val="0"/>
              <w:marRight w:val="0"/>
              <w:marTop w:val="0"/>
              <w:marBottom w:val="0"/>
              <w:divBdr>
                <w:top w:val="none" w:sz="0" w:space="0" w:color="auto"/>
                <w:left w:val="none" w:sz="0" w:space="0" w:color="auto"/>
                <w:bottom w:val="none" w:sz="0" w:space="0" w:color="auto"/>
                <w:right w:val="none" w:sz="0" w:space="0" w:color="auto"/>
              </w:divBdr>
            </w:div>
          </w:divsChild>
        </w:div>
        <w:div w:id="1319459079">
          <w:marLeft w:val="0"/>
          <w:marRight w:val="0"/>
          <w:marTop w:val="240"/>
          <w:marBottom w:val="0"/>
          <w:divBdr>
            <w:top w:val="none" w:sz="0" w:space="0" w:color="auto"/>
            <w:left w:val="none" w:sz="0" w:space="0" w:color="auto"/>
            <w:bottom w:val="none" w:sz="0" w:space="0" w:color="auto"/>
            <w:right w:val="none" w:sz="0" w:space="0" w:color="auto"/>
          </w:divBdr>
          <w:divsChild>
            <w:div w:id="13645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069">
      <w:bodyDiv w:val="1"/>
      <w:marLeft w:val="0"/>
      <w:marRight w:val="0"/>
      <w:marTop w:val="0"/>
      <w:marBottom w:val="0"/>
      <w:divBdr>
        <w:top w:val="none" w:sz="0" w:space="0" w:color="auto"/>
        <w:left w:val="none" w:sz="0" w:space="0" w:color="auto"/>
        <w:bottom w:val="none" w:sz="0" w:space="0" w:color="auto"/>
        <w:right w:val="none" w:sz="0" w:space="0" w:color="auto"/>
      </w:divBdr>
    </w:div>
    <w:div w:id="106850681">
      <w:bodyDiv w:val="1"/>
      <w:marLeft w:val="0"/>
      <w:marRight w:val="0"/>
      <w:marTop w:val="0"/>
      <w:marBottom w:val="0"/>
      <w:divBdr>
        <w:top w:val="none" w:sz="0" w:space="0" w:color="auto"/>
        <w:left w:val="none" w:sz="0" w:space="0" w:color="auto"/>
        <w:bottom w:val="none" w:sz="0" w:space="0" w:color="auto"/>
        <w:right w:val="none" w:sz="0" w:space="0" w:color="auto"/>
      </w:divBdr>
      <w:divsChild>
        <w:div w:id="1141120456">
          <w:marLeft w:val="0"/>
          <w:marRight w:val="0"/>
          <w:marTop w:val="0"/>
          <w:marBottom w:val="0"/>
          <w:divBdr>
            <w:top w:val="none" w:sz="0" w:space="0" w:color="auto"/>
            <w:left w:val="single" w:sz="6" w:space="0" w:color="BBBBBB"/>
            <w:bottom w:val="single" w:sz="6" w:space="0" w:color="BBBBBB"/>
            <w:right w:val="single" w:sz="6" w:space="0" w:color="BBBBBB"/>
          </w:divBdr>
          <w:divsChild>
            <w:div w:id="1508132187">
              <w:marLeft w:val="0"/>
              <w:marRight w:val="0"/>
              <w:marTop w:val="0"/>
              <w:marBottom w:val="0"/>
              <w:divBdr>
                <w:top w:val="none" w:sz="0" w:space="0" w:color="auto"/>
                <w:left w:val="none" w:sz="0" w:space="0" w:color="auto"/>
                <w:bottom w:val="none" w:sz="0" w:space="0" w:color="auto"/>
                <w:right w:val="none" w:sz="0" w:space="0" w:color="auto"/>
              </w:divBdr>
              <w:divsChild>
                <w:div w:id="1496414592">
                  <w:marLeft w:val="0"/>
                  <w:marRight w:val="0"/>
                  <w:marTop w:val="0"/>
                  <w:marBottom w:val="0"/>
                  <w:divBdr>
                    <w:top w:val="none" w:sz="0" w:space="0" w:color="auto"/>
                    <w:left w:val="none" w:sz="0" w:space="0" w:color="auto"/>
                    <w:bottom w:val="none" w:sz="0" w:space="0" w:color="auto"/>
                    <w:right w:val="none" w:sz="0" w:space="0" w:color="auto"/>
                  </w:divBdr>
                  <w:divsChild>
                    <w:div w:id="1474369560">
                      <w:marLeft w:val="0"/>
                      <w:marRight w:val="0"/>
                      <w:marTop w:val="0"/>
                      <w:marBottom w:val="0"/>
                      <w:divBdr>
                        <w:top w:val="none" w:sz="0" w:space="0" w:color="auto"/>
                        <w:left w:val="none" w:sz="0" w:space="0" w:color="auto"/>
                        <w:bottom w:val="none" w:sz="0" w:space="0" w:color="auto"/>
                        <w:right w:val="none" w:sz="0" w:space="0" w:color="auto"/>
                      </w:divBdr>
                      <w:divsChild>
                        <w:div w:id="1658607504">
                          <w:marLeft w:val="0"/>
                          <w:marRight w:val="0"/>
                          <w:marTop w:val="0"/>
                          <w:marBottom w:val="0"/>
                          <w:divBdr>
                            <w:top w:val="none" w:sz="0" w:space="0" w:color="auto"/>
                            <w:left w:val="none" w:sz="0" w:space="0" w:color="auto"/>
                            <w:bottom w:val="none" w:sz="0" w:space="0" w:color="auto"/>
                            <w:right w:val="none" w:sz="0" w:space="0" w:color="auto"/>
                          </w:divBdr>
                          <w:divsChild>
                            <w:div w:id="2106655957">
                              <w:marLeft w:val="0"/>
                              <w:marRight w:val="0"/>
                              <w:marTop w:val="0"/>
                              <w:marBottom w:val="0"/>
                              <w:divBdr>
                                <w:top w:val="none" w:sz="0" w:space="0" w:color="auto"/>
                                <w:left w:val="none" w:sz="0" w:space="0" w:color="auto"/>
                                <w:bottom w:val="none" w:sz="0" w:space="0" w:color="auto"/>
                                <w:right w:val="none" w:sz="0" w:space="0" w:color="auto"/>
                              </w:divBdr>
                              <w:divsChild>
                                <w:div w:id="347559084">
                                  <w:marLeft w:val="0"/>
                                  <w:marRight w:val="0"/>
                                  <w:marTop w:val="0"/>
                                  <w:marBottom w:val="0"/>
                                  <w:divBdr>
                                    <w:top w:val="none" w:sz="0" w:space="0" w:color="auto"/>
                                    <w:left w:val="none" w:sz="0" w:space="0" w:color="auto"/>
                                    <w:bottom w:val="none" w:sz="0" w:space="0" w:color="auto"/>
                                    <w:right w:val="none" w:sz="0" w:space="0" w:color="auto"/>
                                  </w:divBdr>
                                  <w:divsChild>
                                    <w:div w:id="22563849">
                                      <w:marLeft w:val="0"/>
                                      <w:marRight w:val="0"/>
                                      <w:marTop w:val="0"/>
                                      <w:marBottom w:val="0"/>
                                      <w:divBdr>
                                        <w:top w:val="none" w:sz="0" w:space="0" w:color="auto"/>
                                        <w:left w:val="none" w:sz="0" w:space="0" w:color="auto"/>
                                        <w:bottom w:val="none" w:sz="0" w:space="0" w:color="auto"/>
                                        <w:right w:val="none" w:sz="0" w:space="0" w:color="auto"/>
                                      </w:divBdr>
                                      <w:divsChild>
                                        <w:div w:id="1688827705">
                                          <w:marLeft w:val="1200"/>
                                          <w:marRight w:val="1200"/>
                                          <w:marTop w:val="0"/>
                                          <w:marBottom w:val="0"/>
                                          <w:divBdr>
                                            <w:top w:val="none" w:sz="0" w:space="0" w:color="auto"/>
                                            <w:left w:val="none" w:sz="0" w:space="0" w:color="auto"/>
                                            <w:bottom w:val="none" w:sz="0" w:space="0" w:color="auto"/>
                                            <w:right w:val="none" w:sz="0" w:space="0" w:color="auto"/>
                                          </w:divBdr>
                                          <w:divsChild>
                                            <w:div w:id="1753350820">
                                              <w:marLeft w:val="0"/>
                                              <w:marRight w:val="0"/>
                                              <w:marTop w:val="0"/>
                                              <w:marBottom w:val="0"/>
                                              <w:divBdr>
                                                <w:top w:val="none" w:sz="0" w:space="0" w:color="auto"/>
                                                <w:left w:val="none" w:sz="0" w:space="0" w:color="auto"/>
                                                <w:bottom w:val="none" w:sz="0" w:space="0" w:color="auto"/>
                                                <w:right w:val="none" w:sz="0" w:space="0" w:color="auto"/>
                                              </w:divBdr>
                                              <w:divsChild>
                                                <w:div w:id="1243636545">
                                                  <w:marLeft w:val="0"/>
                                                  <w:marRight w:val="0"/>
                                                  <w:marTop w:val="0"/>
                                                  <w:marBottom w:val="0"/>
                                                  <w:divBdr>
                                                    <w:top w:val="none" w:sz="0" w:space="0" w:color="auto"/>
                                                    <w:left w:val="none" w:sz="0" w:space="0" w:color="auto"/>
                                                    <w:bottom w:val="none" w:sz="0" w:space="0" w:color="auto"/>
                                                    <w:right w:val="none" w:sz="0" w:space="0" w:color="auto"/>
                                                  </w:divBdr>
                                                  <w:divsChild>
                                                    <w:div w:id="829490372">
                                                      <w:marLeft w:val="0"/>
                                                      <w:marRight w:val="0"/>
                                                      <w:marTop w:val="0"/>
                                                      <w:marBottom w:val="0"/>
                                                      <w:divBdr>
                                                        <w:top w:val="none" w:sz="0" w:space="0" w:color="auto"/>
                                                        <w:left w:val="none" w:sz="0" w:space="0" w:color="auto"/>
                                                        <w:bottom w:val="none" w:sz="0" w:space="0" w:color="auto"/>
                                                        <w:right w:val="none" w:sz="0" w:space="0" w:color="auto"/>
                                                      </w:divBdr>
                                                      <w:divsChild>
                                                        <w:div w:id="1424491191">
                                                          <w:marLeft w:val="0"/>
                                                          <w:marRight w:val="0"/>
                                                          <w:marTop w:val="0"/>
                                                          <w:marBottom w:val="0"/>
                                                          <w:divBdr>
                                                            <w:top w:val="none" w:sz="0" w:space="0" w:color="auto"/>
                                                            <w:left w:val="none" w:sz="0" w:space="0" w:color="auto"/>
                                                            <w:bottom w:val="none" w:sz="0" w:space="0" w:color="auto"/>
                                                            <w:right w:val="none" w:sz="0" w:space="0" w:color="auto"/>
                                                          </w:divBdr>
                                                          <w:divsChild>
                                                            <w:div w:id="1549103594">
                                                              <w:marLeft w:val="0"/>
                                                              <w:marRight w:val="0"/>
                                                              <w:marTop w:val="0"/>
                                                              <w:marBottom w:val="0"/>
                                                              <w:divBdr>
                                                                <w:top w:val="none" w:sz="0" w:space="0" w:color="auto"/>
                                                                <w:left w:val="none" w:sz="0" w:space="0" w:color="auto"/>
                                                                <w:bottom w:val="none" w:sz="0" w:space="0" w:color="auto"/>
                                                                <w:right w:val="none" w:sz="0" w:space="0" w:color="auto"/>
                                                              </w:divBdr>
                                                              <w:divsChild>
                                                                <w:div w:id="1321082097">
                                                                  <w:marLeft w:val="0"/>
                                                                  <w:marRight w:val="0"/>
                                                                  <w:marTop w:val="0"/>
                                                                  <w:marBottom w:val="0"/>
                                                                  <w:divBdr>
                                                                    <w:top w:val="none" w:sz="0" w:space="0" w:color="auto"/>
                                                                    <w:left w:val="none" w:sz="0" w:space="0" w:color="auto"/>
                                                                    <w:bottom w:val="none" w:sz="0" w:space="0" w:color="auto"/>
                                                                    <w:right w:val="none" w:sz="0" w:space="0" w:color="auto"/>
                                                                  </w:divBdr>
                                                                  <w:divsChild>
                                                                    <w:div w:id="331681828">
                                                                      <w:marLeft w:val="0"/>
                                                                      <w:marRight w:val="0"/>
                                                                      <w:marTop w:val="0"/>
                                                                      <w:marBottom w:val="0"/>
                                                                      <w:divBdr>
                                                                        <w:top w:val="none" w:sz="0" w:space="0" w:color="auto"/>
                                                                        <w:left w:val="none" w:sz="0" w:space="0" w:color="auto"/>
                                                                        <w:bottom w:val="none" w:sz="0" w:space="0" w:color="auto"/>
                                                                        <w:right w:val="none" w:sz="0" w:space="0" w:color="auto"/>
                                                                      </w:divBdr>
                                                                      <w:divsChild>
                                                                        <w:div w:id="936641527">
                                                                          <w:marLeft w:val="0"/>
                                                                          <w:marRight w:val="0"/>
                                                                          <w:marTop w:val="0"/>
                                                                          <w:marBottom w:val="0"/>
                                                                          <w:divBdr>
                                                                            <w:top w:val="none" w:sz="0" w:space="0" w:color="auto"/>
                                                                            <w:left w:val="none" w:sz="0" w:space="0" w:color="auto"/>
                                                                            <w:bottom w:val="none" w:sz="0" w:space="0" w:color="auto"/>
                                                                            <w:right w:val="none" w:sz="0" w:space="0" w:color="auto"/>
                                                                          </w:divBdr>
                                                                        </w:div>
                                                                      </w:divsChild>
                                                                    </w:div>
                                                                    <w:div w:id="426460067">
                                                                      <w:marLeft w:val="0"/>
                                                                      <w:marRight w:val="0"/>
                                                                      <w:marTop w:val="0"/>
                                                                      <w:marBottom w:val="0"/>
                                                                      <w:divBdr>
                                                                        <w:top w:val="none" w:sz="0" w:space="0" w:color="auto"/>
                                                                        <w:left w:val="none" w:sz="0" w:space="0" w:color="auto"/>
                                                                        <w:bottom w:val="none" w:sz="0" w:space="0" w:color="auto"/>
                                                                        <w:right w:val="none" w:sz="0" w:space="0" w:color="auto"/>
                                                                      </w:divBdr>
                                                                      <w:divsChild>
                                                                        <w:div w:id="2137025044">
                                                                          <w:marLeft w:val="0"/>
                                                                          <w:marRight w:val="0"/>
                                                                          <w:marTop w:val="0"/>
                                                                          <w:marBottom w:val="0"/>
                                                                          <w:divBdr>
                                                                            <w:top w:val="none" w:sz="0" w:space="0" w:color="auto"/>
                                                                            <w:left w:val="none" w:sz="0" w:space="0" w:color="auto"/>
                                                                            <w:bottom w:val="none" w:sz="0" w:space="0" w:color="auto"/>
                                                                            <w:right w:val="none" w:sz="0" w:space="0" w:color="auto"/>
                                                                          </w:divBdr>
                                                                        </w:div>
                                                                      </w:divsChild>
                                                                    </w:div>
                                                                    <w:div w:id="474490287">
                                                                      <w:marLeft w:val="0"/>
                                                                      <w:marRight w:val="0"/>
                                                                      <w:marTop w:val="0"/>
                                                                      <w:marBottom w:val="0"/>
                                                                      <w:divBdr>
                                                                        <w:top w:val="none" w:sz="0" w:space="0" w:color="auto"/>
                                                                        <w:left w:val="none" w:sz="0" w:space="0" w:color="auto"/>
                                                                        <w:bottom w:val="none" w:sz="0" w:space="0" w:color="auto"/>
                                                                        <w:right w:val="none" w:sz="0" w:space="0" w:color="auto"/>
                                                                      </w:divBdr>
                                                                      <w:divsChild>
                                                                        <w:div w:id="175119853">
                                                                          <w:marLeft w:val="0"/>
                                                                          <w:marRight w:val="0"/>
                                                                          <w:marTop w:val="0"/>
                                                                          <w:marBottom w:val="0"/>
                                                                          <w:divBdr>
                                                                            <w:top w:val="none" w:sz="0" w:space="0" w:color="auto"/>
                                                                            <w:left w:val="none" w:sz="0" w:space="0" w:color="auto"/>
                                                                            <w:bottom w:val="none" w:sz="0" w:space="0" w:color="auto"/>
                                                                            <w:right w:val="none" w:sz="0" w:space="0" w:color="auto"/>
                                                                          </w:divBdr>
                                                                        </w:div>
                                                                      </w:divsChild>
                                                                    </w:div>
                                                                    <w:div w:id="960068803">
                                                                      <w:marLeft w:val="0"/>
                                                                      <w:marRight w:val="0"/>
                                                                      <w:marTop w:val="0"/>
                                                                      <w:marBottom w:val="0"/>
                                                                      <w:divBdr>
                                                                        <w:top w:val="none" w:sz="0" w:space="0" w:color="auto"/>
                                                                        <w:left w:val="none" w:sz="0" w:space="0" w:color="auto"/>
                                                                        <w:bottom w:val="none" w:sz="0" w:space="0" w:color="auto"/>
                                                                        <w:right w:val="none" w:sz="0" w:space="0" w:color="auto"/>
                                                                      </w:divBdr>
                                                                      <w:divsChild>
                                                                        <w:div w:id="923220580">
                                                                          <w:marLeft w:val="0"/>
                                                                          <w:marRight w:val="0"/>
                                                                          <w:marTop w:val="0"/>
                                                                          <w:marBottom w:val="0"/>
                                                                          <w:divBdr>
                                                                            <w:top w:val="none" w:sz="0" w:space="0" w:color="auto"/>
                                                                            <w:left w:val="none" w:sz="0" w:space="0" w:color="auto"/>
                                                                            <w:bottom w:val="none" w:sz="0" w:space="0" w:color="auto"/>
                                                                            <w:right w:val="none" w:sz="0" w:space="0" w:color="auto"/>
                                                                          </w:divBdr>
                                                                        </w:div>
                                                                      </w:divsChild>
                                                                    </w:div>
                                                                    <w:div w:id="1282802518">
                                                                      <w:marLeft w:val="0"/>
                                                                      <w:marRight w:val="0"/>
                                                                      <w:marTop w:val="0"/>
                                                                      <w:marBottom w:val="0"/>
                                                                      <w:divBdr>
                                                                        <w:top w:val="none" w:sz="0" w:space="0" w:color="auto"/>
                                                                        <w:left w:val="none" w:sz="0" w:space="0" w:color="auto"/>
                                                                        <w:bottom w:val="none" w:sz="0" w:space="0" w:color="auto"/>
                                                                        <w:right w:val="none" w:sz="0" w:space="0" w:color="auto"/>
                                                                      </w:divBdr>
                                                                      <w:divsChild>
                                                                        <w:div w:id="58715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32447">
      <w:bodyDiv w:val="1"/>
      <w:marLeft w:val="0"/>
      <w:marRight w:val="0"/>
      <w:marTop w:val="0"/>
      <w:marBottom w:val="0"/>
      <w:divBdr>
        <w:top w:val="none" w:sz="0" w:space="0" w:color="auto"/>
        <w:left w:val="none" w:sz="0" w:space="0" w:color="auto"/>
        <w:bottom w:val="none" w:sz="0" w:space="0" w:color="auto"/>
        <w:right w:val="none" w:sz="0" w:space="0" w:color="auto"/>
      </w:divBdr>
      <w:divsChild>
        <w:div w:id="599484103">
          <w:marLeft w:val="0"/>
          <w:marRight w:val="0"/>
          <w:marTop w:val="0"/>
          <w:marBottom w:val="0"/>
          <w:divBdr>
            <w:top w:val="none" w:sz="0" w:space="0" w:color="auto"/>
            <w:left w:val="none" w:sz="0" w:space="0" w:color="auto"/>
            <w:bottom w:val="none" w:sz="0" w:space="0" w:color="auto"/>
            <w:right w:val="none" w:sz="0" w:space="0" w:color="auto"/>
          </w:divBdr>
          <w:divsChild>
            <w:div w:id="2043089085">
              <w:marLeft w:val="0"/>
              <w:marRight w:val="0"/>
              <w:marTop w:val="0"/>
              <w:marBottom w:val="0"/>
              <w:divBdr>
                <w:top w:val="none" w:sz="0" w:space="0" w:color="auto"/>
                <w:left w:val="none" w:sz="0" w:space="0" w:color="auto"/>
                <w:bottom w:val="none" w:sz="0" w:space="0" w:color="auto"/>
                <w:right w:val="none" w:sz="0" w:space="0" w:color="auto"/>
              </w:divBdr>
              <w:divsChild>
                <w:div w:id="878325870">
                  <w:marLeft w:val="0"/>
                  <w:marRight w:val="0"/>
                  <w:marTop w:val="0"/>
                  <w:marBottom w:val="0"/>
                  <w:divBdr>
                    <w:top w:val="none" w:sz="0" w:space="0" w:color="auto"/>
                    <w:left w:val="none" w:sz="0" w:space="0" w:color="auto"/>
                    <w:bottom w:val="none" w:sz="0" w:space="0" w:color="auto"/>
                    <w:right w:val="none" w:sz="0" w:space="0" w:color="auto"/>
                  </w:divBdr>
                  <w:divsChild>
                    <w:div w:id="352346237">
                      <w:marLeft w:val="0"/>
                      <w:marRight w:val="0"/>
                      <w:marTop w:val="0"/>
                      <w:marBottom w:val="300"/>
                      <w:divBdr>
                        <w:top w:val="none" w:sz="0" w:space="0" w:color="auto"/>
                        <w:left w:val="none" w:sz="0" w:space="0" w:color="auto"/>
                        <w:bottom w:val="none" w:sz="0" w:space="0" w:color="auto"/>
                        <w:right w:val="none" w:sz="0" w:space="0" w:color="auto"/>
                      </w:divBdr>
                      <w:divsChild>
                        <w:div w:id="7751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37668">
      <w:bodyDiv w:val="1"/>
      <w:marLeft w:val="0"/>
      <w:marRight w:val="0"/>
      <w:marTop w:val="0"/>
      <w:marBottom w:val="0"/>
      <w:divBdr>
        <w:top w:val="none" w:sz="0" w:space="0" w:color="auto"/>
        <w:left w:val="none" w:sz="0" w:space="0" w:color="auto"/>
        <w:bottom w:val="none" w:sz="0" w:space="0" w:color="auto"/>
        <w:right w:val="none" w:sz="0" w:space="0" w:color="auto"/>
      </w:divBdr>
      <w:divsChild>
        <w:div w:id="535311113">
          <w:marLeft w:val="0"/>
          <w:marRight w:val="0"/>
          <w:marTop w:val="0"/>
          <w:marBottom w:val="0"/>
          <w:divBdr>
            <w:top w:val="none" w:sz="0" w:space="0" w:color="auto"/>
            <w:left w:val="none" w:sz="0" w:space="0" w:color="auto"/>
            <w:bottom w:val="none" w:sz="0" w:space="0" w:color="auto"/>
            <w:right w:val="none" w:sz="0" w:space="0" w:color="auto"/>
          </w:divBdr>
          <w:divsChild>
            <w:div w:id="761416056">
              <w:marLeft w:val="0"/>
              <w:marRight w:val="0"/>
              <w:marTop w:val="0"/>
              <w:marBottom w:val="0"/>
              <w:divBdr>
                <w:top w:val="none" w:sz="0" w:space="0" w:color="auto"/>
                <w:left w:val="none" w:sz="0" w:space="0" w:color="auto"/>
                <w:bottom w:val="none" w:sz="0" w:space="0" w:color="auto"/>
                <w:right w:val="none" w:sz="0" w:space="0" w:color="auto"/>
              </w:divBdr>
              <w:divsChild>
                <w:div w:id="1113283805">
                  <w:marLeft w:val="0"/>
                  <w:marRight w:val="0"/>
                  <w:marTop w:val="0"/>
                  <w:marBottom w:val="0"/>
                  <w:divBdr>
                    <w:top w:val="none" w:sz="0" w:space="0" w:color="auto"/>
                    <w:left w:val="none" w:sz="0" w:space="0" w:color="auto"/>
                    <w:bottom w:val="none" w:sz="0" w:space="0" w:color="auto"/>
                    <w:right w:val="none" w:sz="0" w:space="0" w:color="auto"/>
                  </w:divBdr>
                  <w:divsChild>
                    <w:div w:id="1570384200">
                      <w:marLeft w:val="0"/>
                      <w:marRight w:val="0"/>
                      <w:marTop w:val="0"/>
                      <w:marBottom w:val="0"/>
                      <w:divBdr>
                        <w:top w:val="none" w:sz="0" w:space="0" w:color="auto"/>
                        <w:left w:val="none" w:sz="0" w:space="0" w:color="auto"/>
                        <w:bottom w:val="none" w:sz="0" w:space="0" w:color="auto"/>
                        <w:right w:val="none" w:sz="0" w:space="0" w:color="auto"/>
                      </w:divBdr>
                      <w:divsChild>
                        <w:div w:id="2069303630">
                          <w:marLeft w:val="0"/>
                          <w:marRight w:val="0"/>
                          <w:marTop w:val="0"/>
                          <w:marBottom w:val="0"/>
                          <w:divBdr>
                            <w:top w:val="none" w:sz="0" w:space="0" w:color="auto"/>
                            <w:left w:val="none" w:sz="0" w:space="0" w:color="auto"/>
                            <w:bottom w:val="none" w:sz="0" w:space="0" w:color="auto"/>
                            <w:right w:val="none" w:sz="0" w:space="0" w:color="auto"/>
                          </w:divBdr>
                          <w:divsChild>
                            <w:div w:id="1511989343">
                              <w:marLeft w:val="0"/>
                              <w:marRight w:val="0"/>
                              <w:marTop w:val="0"/>
                              <w:marBottom w:val="0"/>
                              <w:divBdr>
                                <w:top w:val="none" w:sz="0" w:space="0" w:color="auto"/>
                                <w:left w:val="none" w:sz="0" w:space="0" w:color="auto"/>
                                <w:bottom w:val="none" w:sz="0" w:space="0" w:color="auto"/>
                                <w:right w:val="none" w:sz="0" w:space="0" w:color="auto"/>
                              </w:divBdr>
                              <w:divsChild>
                                <w:div w:id="90303113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29899">
      <w:bodyDiv w:val="1"/>
      <w:marLeft w:val="0"/>
      <w:marRight w:val="0"/>
      <w:marTop w:val="0"/>
      <w:marBottom w:val="0"/>
      <w:divBdr>
        <w:top w:val="none" w:sz="0" w:space="0" w:color="auto"/>
        <w:left w:val="none" w:sz="0" w:space="0" w:color="auto"/>
        <w:bottom w:val="none" w:sz="0" w:space="0" w:color="auto"/>
        <w:right w:val="none" w:sz="0" w:space="0" w:color="auto"/>
      </w:divBdr>
      <w:divsChild>
        <w:div w:id="1252930046">
          <w:marLeft w:val="0"/>
          <w:marRight w:val="0"/>
          <w:marTop w:val="0"/>
          <w:marBottom w:val="0"/>
          <w:divBdr>
            <w:top w:val="none" w:sz="0" w:space="0" w:color="auto"/>
            <w:left w:val="single" w:sz="6" w:space="0" w:color="BBBBBB"/>
            <w:bottom w:val="single" w:sz="6" w:space="0" w:color="BBBBBB"/>
            <w:right w:val="single" w:sz="6" w:space="0" w:color="BBBBBB"/>
          </w:divBdr>
          <w:divsChild>
            <w:div w:id="1409421325">
              <w:marLeft w:val="0"/>
              <w:marRight w:val="0"/>
              <w:marTop w:val="0"/>
              <w:marBottom w:val="0"/>
              <w:divBdr>
                <w:top w:val="none" w:sz="0" w:space="0" w:color="auto"/>
                <w:left w:val="none" w:sz="0" w:space="0" w:color="auto"/>
                <w:bottom w:val="none" w:sz="0" w:space="0" w:color="auto"/>
                <w:right w:val="none" w:sz="0" w:space="0" w:color="auto"/>
              </w:divBdr>
              <w:divsChild>
                <w:div w:id="1460490952">
                  <w:marLeft w:val="0"/>
                  <w:marRight w:val="0"/>
                  <w:marTop w:val="75"/>
                  <w:marBottom w:val="0"/>
                  <w:divBdr>
                    <w:top w:val="none" w:sz="0" w:space="0" w:color="auto"/>
                    <w:left w:val="none" w:sz="0" w:space="0" w:color="auto"/>
                    <w:bottom w:val="none" w:sz="0" w:space="0" w:color="auto"/>
                    <w:right w:val="none" w:sz="0" w:space="0" w:color="auto"/>
                  </w:divBdr>
                  <w:divsChild>
                    <w:div w:id="698046506">
                      <w:marLeft w:val="0"/>
                      <w:marRight w:val="0"/>
                      <w:marTop w:val="0"/>
                      <w:marBottom w:val="0"/>
                      <w:divBdr>
                        <w:top w:val="none" w:sz="0" w:space="0" w:color="auto"/>
                        <w:left w:val="none" w:sz="0" w:space="0" w:color="auto"/>
                        <w:bottom w:val="none" w:sz="0" w:space="0" w:color="auto"/>
                        <w:right w:val="none" w:sz="0" w:space="0" w:color="auto"/>
                      </w:divBdr>
                      <w:divsChild>
                        <w:div w:id="1492217311">
                          <w:marLeft w:val="0"/>
                          <w:marRight w:val="0"/>
                          <w:marTop w:val="0"/>
                          <w:marBottom w:val="0"/>
                          <w:divBdr>
                            <w:top w:val="none" w:sz="0" w:space="0" w:color="auto"/>
                            <w:left w:val="none" w:sz="0" w:space="0" w:color="auto"/>
                            <w:bottom w:val="none" w:sz="0" w:space="0" w:color="auto"/>
                            <w:right w:val="none" w:sz="0" w:space="0" w:color="auto"/>
                          </w:divBdr>
                          <w:divsChild>
                            <w:div w:id="515386770">
                              <w:marLeft w:val="0"/>
                              <w:marRight w:val="0"/>
                              <w:marTop w:val="0"/>
                              <w:marBottom w:val="0"/>
                              <w:divBdr>
                                <w:top w:val="none" w:sz="0" w:space="0" w:color="auto"/>
                                <w:left w:val="none" w:sz="0" w:space="0" w:color="auto"/>
                                <w:bottom w:val="none" w:sz="0" w:space="0" w:color="auto"/>
                                <w:right w:val="none" w:sz="0" w:space="0" w:color="auto"/>
                              </w:divBdr>
                              <w:divsChild>
                                <w:div w:id="1043671450">
                                  <w:marLeft w:val="0"/>
                                  <w:marRight w:val="0"/>
                                  <w:marTop w:val="0"/>
                                  <w:marBottom w:val="0"/>
                                  <w:divBdr>
                                    <w:top w:val="none" w:sz="0" w:space="0" w:color="auto"/>
                                    <w:left w:val="none" w:sz="0" w:space="0" w:color="auto"/>
                                    <w:bottom w:val="none" w:sz="0" w:space="0" w:color="auto"/>
                                    <w:right w:val="none" w:sz="0" w:space="0" w:color="auto"/>
                                  </w:divBdr>
                                  <w:divsChild>
                                    <w:div w:id="1701583709">
                                      <w:marLeft w:val="0"/>
                                      <w:marRight w:val="0"/>
                                      <w:marTop w:val="0"/>
                                      <w:marBottom w:val="0"/>
                                      <w:divBdr>
                                        <w:top w:val="none" w:sz="0" w:space="0" w:color="auto"/>
                                        <w:left w:val="none" w:sz="0" w:space="0" w:color="auto"/>
                                        <w:bottom w:val="none" w:sz="0" w:space="0" w:color="auto"/>
                                        <w:right w:val="none" w:sz="0" w:space="0" w:color="auto"/>
                                      </w:divBdr>
                                      <w:divsChild>
                                        <w:div w:id="1560479644">
                                          <w:marLeft w:val="1200"/>
                                          <w:marRight w:val="1200"/>
                                          <w:marTop w:val="0"/>
                                          <w:marBottom w:val="0"/>
                                          <w:divBdr>
                                            <w:top w:val="none" w:sz="0" w:space="0" w:color="auto"/>
                                            <w:left w:val="none" w:sz="0" w:space="0" w:color="auto"/>
                                            <w:bottom w:val="none" w:sz="0" w:space="0" w:color="auto"/>
                                            <w:right w:val="none" w:sz="0" w:space="0" w:color="auto"/>
                                          </w:divBdr>
                                          <w:divsChild>
                                            <w:div w:id="1496065689">
                                              <w:marLeft w:val="0"/>
                                              <w:marRight w:val="0"/>
                                              <w:marTop w:val="0"/>
                                              <w:marBottom w:val="0"/>
                                              <w:divBdr>
                                                <w:top w:val="none" w:sz="0" w:space="0" w:color="auto"/>
                                                <w:left w:val="none" w:sz="0" w:space="0" w:color="auto"/>
                                                <w:bottom w:val="none" w:sz="0" w:space="0" w:color="auto"/>
                                                <w:right w:val="none" w:sz="0" w:space="0" w:color="auto"/>
                                              </w:divBdr>
                                              <w:divsChild>
                                                <w:div w:id="1909801827">
                                                  <w:marLeft w:val="0"/>
                                                  <w:marRight w:val="0"/>
                                                  <w:marTop w:val="0"/>
                                                  <w:marBottom w:val="0"/>
                                                  <w:divBdr>
                                                    <w:top w:val="none" w:sz="0" w:space="0" w:color="auto"/>
                                                    <w:left w:val="none" w:sz="0" w:space="0" w:color="auto"/>
                                                    <w:bottom w:val="none" w:sz="0" w:space="0" w:color="auto"/>
                                                    <w:right w:val="none" w:sz="0" w:space="0" w:color="auto"/>
                                                  </w:divBdr>
                                                  <w:divsChild>
                                                    <w:div w:id="1615483766">
                                                      <w:marLeft w:val="0"/>
                                                      <w:marRight w:val="0"/>
                                                      <w:marTop w:val="0"/>
                                                      <w:marBottom w:val="0"/>
                                                      <w:divBdr>
                                                        <w:top w:val="none" w:sz="0" w:space="0" w:color="auto"/>
                                                        <w:left w:val="none" w:sz="0" w:space="0" w:color="auto"/>
                                                        <w:bottom w:val="none" w:sz="0" w:space="0" w:color="auto"/>
                                                        <w:right w:val="none" w:sz="0" w:space="0" w:color="auto"/>
                                                      </w:divBdr>
                                                      <w:divsChild>
                                                        <w:div w:id="1303542321">
                                                          <w:marLeft w:val="0"/>
                                                          <w:marRight w:val="0"/>
                                                          <w:marTop w:val="0"/>
                                                          <w:marBottom w:val="0"/>
                                                          <w:divBdr>
                                                            <w:top w:val="none" w:sz="0" w:space="0" w:color="auto"/>
                                                            <w:left w:val="none" w:sz="0" w:space="0" w:color="auto"/>
                                                            <w:bottom w:val="none" w:sz="0" w:space="0" w:color="auto"/>
                                                            <w:right w:val="none" w:sz="0" w:space="0" w:color="auto"/>
                                                          </w:divBdr>
                                                          <w:divsChild>
                                                            <w:div w:id="929699346">
                                                              <w:marLeft w:val="0"/>
                                                              <w:marRight w:val="0"/>
                                                              <w:marTop w:val="0"/>
                                                              <w:marBottom w:val="0"/>
                                                              <w:divBdr>
                                                                <w:top w:val="none" w:sz="0" w:space="0" w:color="auto"/>
                                                                <w:left w:val="none" w:sz="0" w:space="0" w:color="auto"/>
                                                                <w:bottom w:val="none" w:sz="0" w:space="0" w:color="auto"/>
                                                                <w:right w:val="none" w:sz="0" w:space="0" w:color="auto"/>
                                                              </w:divBdr>
                                                              <w:divsChild>
                                                                <w:div w:id="1565986174">
                                                                  <w:marLeft w:val="0"/>
                                                                  <w:marRight w:val="0"/>
                                                                  <w:marTop w:val="0"/>
                                                                  <w:marBottom w:val="0"/>
                                                                  <w:divBdr>
                                                                    <w:top w:val="none" w:sz="0" w:space="0" w:color="auto"/>
                                                                    <w:left w:val="none" w:sz="0" w:space="0" w:color="auto"/>
                                                                    <w:bottom w:val="none" w:sz="0" w:space="0" w:color="auto"/>
                                                                    <w:right w:val="none" w:sz="0" w:space="0" w:color="auto"/>
                                                                  </w:divBdr>
                                                                  <w:divsChild>
                                                                    <w:div w:id="1400177486">
                                                                      <w:marLeft w:val="0"/>
                                                                      <w:marRight w:val="0"/>
                                                                      <w:marTop w:val="0"/>
                                                                      <w:marBottom w:val="0"/>
                                                                      <w:divBdr>
                                                                        <w:top w:val="none" w:sz="0" w:space="0" w:color="auto"/>
                                                                        <w:left w:val="none" w:sz="0" w:space="0" w:color="auto"/>
                                                                        <w:bottom w:val="none" w:sz="0" w:space="0" w:color="auto"/>
                                                                        <w:right w:val="none" w:sz="0" w:space="0" w:color="auto"/>
                                                                      </w:divBdr>
                                                                      <w:divsChild>
                                                                        <w:div w:id="238179548">
                                                                          <w:marLeft w:val="0"/>
                                                                          <w:marRight w:val="0"/>
                                                                          <w:marTop w:val="0"/>
                                                                          <w:marBottom w:val="0"/>
                                                                          <w:divBdr>
                                                                            <w:top w:val="none" w:sz="0" w:space="0" w:color="auto"/>
                                                                            <w:left w:val="none" w:sz="0" w:space="0" w:color="auto"/>
                                                                            <w:bottom w:val="none" w:sz="0" w:space="0" w:color="auto"/>
                                                                            <w:right w:val="none" w:sz="0" w:space="0" w:color="auto"/>
                                                                          </w:divBdr>
                                                                        </w:div>
                                                                        <w:div w:id="1085685266">
                                                                          <w:marLeft w:val="0"/>
                                                                          <w:marRight w:val="0"/>
                                                                          <w:marTop w:val="0"/>
                                                                          <w:marBottom w:val="0"/>
                                                                          <w:divBdr>
                                                                            <w:top w:val="none" w:sz="0" w:space="0" w:color="auto"/>
                                                                            <w:left w:val="none" w:sz="0" w:space="0" w:color="auto"/>
                                                                            <w:bottom w:val="none" w:sz="0" w:space="0" w:color="auto"/>
                                                                            <w:right w:val="none" w:sz="0" w:space="0" w:color="auto"/>
                                                                          </w:divBdr>
                                                                          <w:divsChild>
                                                                            <w:div w:id="343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7694">
                                                                      <w:marLeft w:val="0"/>
                                                                      <w:marRight w:val="0"/>
                                                                      <w:marTop w:val="0"/>
                                                                      <w:marBottom w:val="0"/>
                                                                      <w:divBdr>
                                                                        <w:top w:val="none" w:sz="0" w:space="0" w:color="auto"/>
                                                                        <w:left w:val="none" w:sz="0" w:space="0" w:color="auto"/>
                                                                        <w:bottom w:val="none" w:sz="0" w:space="0" w:color="auto"/>
                                                                        <w:right w:val="none" w:sz="0" w:space="0" w:color="auto"/>
                                                                      </w:divBdr>
                                                                      <w:divsChild>
                                                                        <w:div w:id="1901134644">
                                                                          <w:marLeft w:val="0"/>
                                                                          <w:marRight w:val="0"/>
                                                                          <w:marTop w:val="0"/>
                                                                          <w:marBottom w:val="0"/>
                                                                          <w:divBdr>
                                                                            <w:top w:val="none" w:sz="0" w:space="0" w:color="auto"/>
                                                                            <w:left w:val="none" w:sz="0" w:space="0" w:color="auto"/>
                                                                            <w:bottom w:val="none" w:sz="0" w:space="0" w:color="auto"/>
                                                                            <w:right w:val="none" w:sz="0" w:space="0" w:color="auto"/>
                                                                          </w:divBdr>
                                                                          <w:divsChild>
                                                                            <w:div w:id="93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888114">
      <w:bodyDiv w:val="1"/>
      <w:marLeft w:val="0"/>
      <w:marRight w:val="0"/>
      <w:marTop w:val="0"/>
      <w:marBottom w:val="0"/>
      <w:divBdr>
        <w:top w:val="none" w:sz="0" w:space="0" w:color="auto"/>
        <w:left w:val="none" w:sz="0" w:space="0" w:color="auto"/>
        <w:bottom w:val="none" w:sz="0" w:space="0" w:color="auto"/>
        <w:right w:val="none" w:sz="0" w:space="0" w:color="auto"/>
      </w:divBdr>
      <w:divsChild>
        <w:div w:id="30301592">
          <w:marLeft w:val="0"/>
          <w:marRight w:val="0"/>
          <w:marTop w:val="240"/>
          <w:marBottom w:val="0"/>
          <w:divBdr>
            <w:top w:val="none" w:sz="0" w:space="0" w:color="auto"/>
            <w:left w:val="none" w:sz="0" w:space="0" w:color="auto"/>
            <w:bottom w:val="none" w:sz="0" w:space="0" w:color="auto"/>
            <w:right w:val="none" w:sz="0" w:space="0" w:color="auto"/>
          </w:divBdr>
          <w:divsChild>
            <w:div w:id="2074548035">
              <w:marLeft w:val="0"/>
              <w:marRight w:val="0"/>
              <w:marTop w:val="0"/>
              <w:marBottom w:val="0"/>
              <w:divBdr>
                <w:top w:val="none" w:sz="0" w:space="0" w:color="auto"/>
                <w:left w:val="none" w:sz="0" w:space="0" w:color="auto"/>
                <w:bottom w:val="none" w:sz="0" w:space="0" w:color="auto"/>
                <w:right w:val="none" w:sz="0" w:space="0" w:color="auto"/>
              </w:divBdr>
            </w:div>
          </w:divsChild>
        </w:div>
        <w:div w:id="1039168335">
          <w:marLeft w:val="0"/>
          <w:marRight w:val="0"/>
          <w:marTop w:val="240"/>
          <w:marBottom w:val="0"/>
          <w:divBdr>
            <w:top w:val="none" w:sz="0" w:space="0" w:color="auto"/>
            <w:left w:val="none" w:sz="0" w:space="0" w:color="auto"/>
            <w:bottom w:val="none" w:sz="0" w:space="0" w:color="auto"/>
            <w:right w:val="none" w:sz="0" w:space="0" w:color="auto"/>
          </w:divBdr>
          <w:divsChild>
            <w:div w:id="726420427">
              <w:marLeft w:val="0"/>
              <w:marRight w:val="0"/>
              <w:marTop w:val="0"/>
              <w:marBottom w:val="0"/>
              <w:divBdr>
                <w:top w:val="none" w:sz="0" w:space="0" w:color="auto"/>
                <w:left w:val="none" w:sz="0" w:space="0" w:color="auto"/>
                <w:bottom w:val="none" w:sz="0" w:space="0" w:color="auto"/>
                <w:right w:val="none" w:sz="0" w:space="0" w:color="auto"/>
              </w:divBdr>
            </w:div>
          </w:divsChild>
        </w:div>
        <w:div w:id="1690402662">
          <w:marLeft w:val="0"/>
          <w:marRight w:val="0"/>
          <w:marTop w:val="240"/>
          <w:marBottom w:val="0"/>
          <w:divBdr>
            <w:top w:val="none" w:sz="0" w:space="0" w:color="auto"/>
            <w:left w:val="none" w:sz="0" w:space="0" w:color="auto"/>
            <w:bottom w:val="none" w:sz="0" w:space="0" w:color="auto"/>
            <w:right w:val="none" w:sz="0" w:space="0" w:color="auto"/>
          </w:divBdr>
          <w:divsChild>
            <w:div w:id="89917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1337">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8">
          <w:marLeft w:val="0"/>
          <w:marRight w:val="0"/>
          <w:marTop w:val="0"/>
          <w:marBottom w:val="0"/>
          <w:divBdr>
            <w:top w:val="none" w:sz="0" w:space="0" w:color="auto"/>
            <w:left w:val="none" w:sz="0" w:space="0" w:color="auto"/>
            <w:bottom w:val="none" w:sz="0" w:space="0" w:color="auto"/>
            <w:right w:val="none" w:sz="0" w:space="0" w:color="auto"/>
          </w:divBdr>
          <w:divsChild>
            <w:div w:id="1632712611">
              <w:marLeft w:val="0"/>
              <w:marRight w:val="0"/>
              <w:marTop w:val="0"/>
              <w:marBottom w:val="0"/>
              <w:divBdr>
                <w:top w:val="none" w:sz="0" w:space="0" w:color="auto"/>
                <w:left w:val="none" w:sz="0" w:space="0" w:color="auto"/>
                <w:bottom w:val="none" w:sz="0" w:space="0" w:color="auto"/>
                <w:right w:val="none" w:sz="0" w:space="0" w:color="auto"/>
              </w:divBdr>
              <w:divsChild>
                <w:div w:id="106047500">
                  <w:marLeft w:val="0"/>
                  <w:marRight w:val="0"/>
                  <w:marTop w:val="0"/>
                  <w:marBottom w:val="0"/>
                  <w:divBdr>
                    <w:top w:val="none" w:sz="0" w:space="0" w:color="auto"/>
                    <w:left w:val="none" w:sz="0" w:space="0" w:color="auto"/>
                    <w:bottom w:val="none" w:sz="0" w:space="0" w:color="auto"/>
                    <w:right w:val="none" w:sz="0" w:space="0" w:color="auto"/>
                  </w:divBdr>
                  <w:divsChild>
                    <w:div w:id="776876683">
                      <w:marLeft w:val="0"/>
                      <w:marRight w:val="0"/>
                      <w:marTop w:val="0"/>
                      <w:marBottom w:val="375"/>
                      <w:divBdr>
                        <w:top w:val="none" w:sz="0" w:space="0" w:color="auto"/>
                        <w:left w:val="none" w:sz="0" w:space="0" w:color="auto"/>
                        <w:bottom w:val="none" w:sz="0" w:space="0" w:color="auto"/>
                        <w:right w:val="none" w:sz="0" w:space="0" w:color="auto"/>
                      </w:divBdr>
                      <w:divsChild>
                        <w:div w:id="2846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63319">
      <w:bodyDiv w:val="1"/>
      <w:marLeft w:val="0"/>
      <w:marRight w:val="0"/>
      <w:marTop w:val="0"/>
      <w:marBottom w:val="0"/>
      <w:divBdr>
        <w:top w:val="none" w:sz="0" w:space="0" w:color="auto"/>
        <w:left w:val="none" w:sz="0" w:space="0" w:color="auto"/>
        <w:bottom w:val="none" w:sz="0" w:space="0" w:color="auto"/>
        <w:right w:val="none" w:sz="0" w:space="0" w:color="auto"/>
      </w:divBdr>
      <w:divsChild>
        <w:div w:id="91823889">
          <w:marLeft w:val="0"/>
          <w:marRight w:val="0"/>
          <w:marTop w:val="0"/>
          <w:marBottom w:val="0"/>
          <w:divBdr>
            <w:top w:val="none" w:sz="0" w:space="0" w:color="auto"/>
            <w:left w:val="none" w:sz="0" w:space="0" w:color="auto"/>
            <w:bottom w:val="none" w:sz="0" w:space="0" w:color="auto"/>
            <w:right w:val="none" w:sz="0" w:space="0" w:color="auto"/>
          </w:divBdr>
        </w:div>
        <w:div w:id="1355230159">
          <w:marLeft w:val="0"/>
          <w:marRight w:val="0"/>
          <w:marTop w:val="0"/>
          <w:marBottom w:val="0"/>
          <w:divBdr>
            <w:top w:val="none" w:sz="0" w:space="0" w:color="auto"/>
            <w:left w:val="none" w:sz="0" w:space="0" w:color="auto"/>
            <w:bottom w:val="none" w:sz="0" w:space="0" w:color="auto"/>
            <w:right w:val="none" w:sz="0" w:space="0" w:color="auto"/>
          </w:divBdr>
        </w:div>
        <w:div w:id="663358165">
          <w:marLeft w:val="0"/>
          <w:marRight w:val="0"/>
          <w:marTop w:val="0"/>
          <w:marBottom w:val="0"/>
          <w:divBdr>
            <w:top w:val="none" w:sz="0" w:space="0" w:color="auto"/>
            <w:left w:val="none" w:sz="0" w:space="0" w:color="auto"/>
            <w:bottom w:val="none" w:sz="0" w:space="0" w:color="auto"/>
            <w:right w:val="none" w:sz="0" w:space="0" w:color="auto"/>
          </w:divBdr>
        </w:div>
      </w:divsChild>
    </w:div>
    <w:div w:id="124547490">
      <w:bodyDiv w:val="1"/>
      <w:marLeft w:val="0"/>
      <w:marRight w:val="0"/>
      <w:marTop w:val="0"/>
      <w:marBottom w:val="0"/>
      <w:divBdr>
        <w:top w:val="none" w:sz="0" w:space="0" w:color="auto"/>
        <w:left w:val="none" w:sz="0" w:space="0" w:color="auto"/>
        <w:bottom w:val="none" w:sz="0" w:space="0" w:color="auto"/>
        <w:right w:val="none" w:sz="0" w:space="0" w:color="auto"/>
      </w:divBdr>
      <w:divsChild>
        <w:div w:id="1967421048">
          <w:marLeft w:val="0"/>
          <w:marRight w:val="0"/>
          <w:marTop w:val="0"/>
          <w:marBottom w:val="0"/>
          <w:divBdr>
            <w:top w:val="none" w:sz="0" w:space="0" w:color="auto"/>
            <w:left w:val="none" w:sz="0" w:space="0" w:color="auto"/>
            <w:bottom w:val="none" w:sz="0" w:space="0" w:color="auto"/>
            <w:right w:val="none" w:sz="0" w:space="0" w:color="auto"/>
          </w:divBdr>
          <w:divsChild>
            <w:div w:id="133110015">
              <w:marLeft w:val="0"/>
              <w:marRight w:val="0"/>
              <w:marTop w:val="0"/>
              <w:marBottom w:val="0"/>
              <w:divBdr>
                <w:top w:val="none" w:sz="0" w:space="0" w:color="auto"/>
                <w:left w:val="none" w:sz="0" w:space="0" w:color="auto"/>
                <w:bottom w:val="none" w:sz="0" w:space="0" w:color="auto"/>
                <w:right w:val="none" w:sz="0" w:space="0" w:color="auto"/>
              </w:divBdr>
              <w:divsChild>
                <w:div w:id="678045872">
                  <w:marLeft w:val="0"/>
                  <w:marRight w:val="0"/>
                  <w:marTop w:val="0"/>
                  <w:marBottom w:val="0"/>
                  <w:divBdr>
                    <w:top w:val="none" w:sz="0" w:space="0" w:color="auto"/>
                    <w:left w:val="none" w:sz="0" w:space="0" w:color="auto"/>
                    <w:bottom w:val="none" w:sz="0" w:space="0" w:color="auto"/>
                    <w:right w:val="none" w:sz="0" w:space="0" w:color="auto"/>
                  </w:divBdr>
                  <w:divsChild>
                    <w:div w:id="700324136">
                      <w:marLeft w:val="0"/>
                      <w:marRight w:val="0"/>
                      <w:marTop w:val="0"/>
                      <w:marBottom w:val="375"/>
                      <w:divBdr>
                        <w:top w:val="none" w:sz="0" w:space="0" w:color="auto"/>
                        <w:left w:val="none" w:sz="0" w:space="0" w:color="auto"/>
                        <w:bottom w:val="none" w:sz="0" w:space="0" w:color="auto"/>
                        <w:right w:val="none" w:sz="0" w:space="0" w:color="auto"/>
                      </w:divBdr>
                      <w:divsChild>
                        <w:div w:id="14714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06287">
      <w:bodyDiv w:val="1"/>
      <w:marLeft w:val="0"/>
      <w:marRight w:val="0"/>
      <w:marTop w:val="0"/>
      <w:marBottom w:val="0"/>
      <w:divBdr>
        <w:top w:val="none" w:sz="0" w:space="0" w:color="auto"/>
        <w:left w:val="none" w:sz="0" w:space="0" w:color="auto"/>
        <w:bottom w:val="none" w:sz="0" w:space="0" w:color="auto"/>
        <w:right w:val="none" w:sz="0" w:space="0" w:color="auto"/>
      </w:divBdr>
      <w:divsChild>
        <w:div w:id="685523542">
          <w:marLeft w:val="0"/>
          <w:marRight w:val="0"/>
          <w:marTop w:val="0"/>
          <w:marBottom w:val="0"/>
          <w:divBdr>
            <w:top w:val="none" w:sz="0" w:space="0" w:color="auto"/>
            <w:left w:val="none" w:sz="0" w:space="0" w:color="auto"/>
            <w:bottom w:val="none" w:sz="0" w:space="0" w:color="auto"/>
            <w:right w:val="none" w:sz="0" w:space="0" w:color="auto"/>
          </w:divBdr>
          <w:divsChild>
            <w:div w:id="733164692">
              <w:marLeft w:val="0"/>
              <w:marRight w:val="0"/>
              <w:marTop w:val="0"/>
              <w:marBottom w:val="0"/>
              <w:divBdr>
                <w:top w:val="none" w:sz="0" w:space="0" w:color="auto"/>
                <w:left w:val="none" w:sz="0" w:space="0" w:color="auto"/>
                <w:bottom w:val="none" w:sz="0" w:space="0" w:color="auto"/>
                <w:right w:val="none" w:sz="0" w:space="0" w:color="auto"/>
              </w:divBdr>
              <w:divsChild>
                <w:div w:id="1361929978">
                  <w:marLeft w:val="0"/>
                  <w:marRight w:val="0"/>
                  <w:marTop w:val="0"/>
                  <w:marBottom w:val="0"/>
                  <w:divBdr>
                    <w:top w:val="none" w:sz="0" w:space="0" w:color="auto"/>
                    <w:left w:val="none" w:sz="0" w:space="0" w:color="auto"/>
                    <w:bottom w:val="none" w:sz="0" w:space="0" w:color="auto"/>
                    <w:right w:val="none" w:sz="0" w:space="0" w:color="auto"/>
                  </w:divBdr>
                  <w:divsChild>
                    <w:div w:id="126048541">
                      <w:marLeft w:val="0"/>
                      <w:marRight w:val="0"/>
                      <w:marTop w:val="0"/>
                      <w:marBottom w:val="300"/>
                      <w:divBdr>
                        <w:top w:val="none" w:sz="0" w:space="0" w:color="auto"/>
                        <w:left w:val="none" w:sz="0" w:space="0" w:color="auto"/>
                        <w:bottom w:val="none" w:sz="0" w:space="0" w:color="auto"/>
                        <w:right w:val="none" w:sz="0" w:space="0" w:color="auto"/>
                      </w:divBdr>
                      <w:divsChild>
                        <w:div w:id="177474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82755">
      <w:bodyDiv w:val="1"/>
      <w:marLeft w:val="0"/>
      <w:marRight w:val="0"/>
      <w:marTop w:val="0"/>
      <w:marBottom w:val="0"/>
      <w:divBdr>
        <w:top w:val="none" w:sz="0" w:space="0" w:color="auto"/>
        <w:left w:val="none" w:sz="0" w:space="0" w:color="auto"/>
        <w:bottom w:val="none" w:sz="0" w:space="0" w:color="auto"/>
        <w:right w:val="none" w:sz="0" w:space="0" w:color="auto"/>
      </w:divBdr>
      <w:divsChild>
        <w:div w:id="29571430">
          <w:marLeft w:val="0"/>
          <w:marRight w:val="0"/>
          <w:marTop w:val="0"/>
          <w:marBottom w:val="0"/>
          <w:divBdr>
            <w:top w:val="none" w:sz="0" w:space="0" w:color="auto"/>
            <w:left w:val="single" w:sz="6" w:space="0" w:color="BBBBBB"/>
            <w:bottom w:val="single" w:sz="6" w:space="0" w:color="BBBBBB"/>
            <w:right w:val="single" w:sz="6" w:space="0" w:color="BBBBBB"/>
          </w:divBdr>
          <w:divsChild>
            <w:div w:id="854347908">
              <w:marLeft w:val="0"/>
              <w:marRight w:val="0"/>
              <w:marTop w:val="0"/>
              <w:marBottom w:val="0"/>
              <w:divBdr>
                <w:top w:val="none" w:sz="0" w:space="0" w:color="auto"/>
                <w:left w:val="none" w:sz="0" w:space="0" w:color="auto"/>
                <w:bottom w:val="none" w:sz="0" w:space="0" w:color="auto"/>
                <w:right w:val="none" w:sz="0" w:space="0" w:color="auto"/>
              </w:divBdr>
              <w:divsChild>
                <w:div w:id="422916261">
                  <w:marLeft w:val="0"/>
                  <w:marRight w:val="0"/>
                  <w:marTop w:val="75"/>
                  <w:marBottom w:val="0"/>
                  <w:divBdr>
                    <w:top w:val="none" w:sz="0" w:space="0" w:color="auto"/>
                    <w:left w:val="none" w:sz="0" w:space="0" w:color="auto"/>
                    <w:bottom w:val="none" w:sz="0" w:space="0" w:color="auto"/>
                    <w:right w:val="none" w:sz="0" w:space="0" w:color="auto"/>
                  </w:divBdr>
                  <w:divsChild>
                    <w:div w:id="925118835">
                      <w:marLeft w:val="0"/>
                      <w:marRight w:val="0"/>
                      <w:marTop w:val="0"/>
                      <w:marBottom w:val="0"/>
                      <w:divBdr>
                        <w:top w:val="none" w:sz="0" w:space="0" w:color="auto"/>
                        <w:left w:val="none" w:sz="0" w:space="0" w:color="auto"/>
                        <w:bottom w:val="none" w:sz="0" w:space="0" w:color="auto"/>
                        <w:right w:val="none" w:sz="0" w:space="0" w:color="auto"/>
                      </w:divBdr>
                      <w:divsChild>
                        <w:div w:id="877625181">
                          <w:marLeft w:val="0"/>
                          <w:marRight w:val="0"/>
                          <w:marTop w:val="0"/>
                          <w:marBottom w:val="0"/>
                          <w:divBdr>
                            <w:top w:val="none" w:sz="0" w:space="0" w:color="auto"/>
                            <w:left w:val="none" w:sz="0" w:space="0" w:color="auto"/>
                            <w:bottom w:val="none" w:sz="0" w:space="0" w:color="auto"/>
                            <w:right w:val="none" w:sz="0" w:space="0" w:color="auto"/>
                          </w:divBdr>
                          <w:divsChild>
                            <w:div w:id="932202709">
                              <w:marLeft w:val="0"/>
                              <w:marRight w:val="0"/>
                              <w:marTop w:val="0"/>
                              <w:marBottom w:val="0"/>
                              <w:divBdr>
                                <w:top w:val="none" w:sz="0" w:space="0" w:color="auto"/>
                                <w:left w:val="none" w:sz="0" w:space="0" w:color="auto"/>
                                <w:bottom w:val="none" w:sz="0" w:space="0" w:color="auto"/>
                                <w:right w:val="none" w:sz="0" w:space="0" w:color="auto"/>
                              </w:divBdr>
                              <w:divsChild>
                                <w:div w:id="2114746268">
                                  <w:marLeft w:val="0"/>
                                  <w:marRight w:val="0"/>
                                  <w:marTop w:val="0"/>
                                  <w:marBottom w:val="0"/>
                                  <w:divBdr>
                                    <w:top w:val="none" w:sz="0" w:space="0" w:color="auto"/>
                                    <w:left w:val="none" w:sz="0" w:space="0" w:color="auto"/>
                                    <w:bottom w:val="none" w:sz="0" w:space="0" w:color="auto"/>
                                    <w:right w:val="none" w:sz="0" w:space="0" w:color="auto"/>
                                  </w:divBdr>
                                  <w:divsChild>
                                    <w:div w:id="1696420119">
                                      <w:marLeft w:val="0"/>
                                      <w:marRight w:val="0"/>
                                      <w:marTop w:val="0"/>
                                      <w:marBottom w:val="0"/>
                                      <w:divBdr>
                                        <w:top w:val="none" w:sz="0" w:space="0" w:color="auto"/>
                                        <w:left w:val="none" w:sz="0" w:space="0" w:color="auto"/>
                                        <w:bottom w:val="none" w:sz="0" w:space="0" w:color="auto"/>
                                        <w:right w:val="none" w:sz="0" w:space="0" w:color="auto"/>
                                      </w:divBdr>
                                      <w:divsChild>
                                        <w:div w:id="1697150146">
                                          <w:marLeft w:val="1200"/>
                                          <w:marRight w:val="1200"/>
                                          <w:marTop w:val="0"/>
                                          <w:marBottom w:val="0"/>
                                          <w:divBdr>
                                            <w:top w:val="none" w:sz="0" w:space="0" w:color="auto"/>
                                            <w:left w:val="none" w:sz="0" w:space="0" w:color="auto"/>
                                            <w:bottom w:val="none" w:sz="0" w:space="0" w:color="auto"/>
                                            <w:right w:val="none" w:sz="0" w:space="0" w:color="auto"/>
                                          </w:divBdr>
                                          <w:divsChild>
                                            <w:div w:id="169102741">
                                              <w:marLeft w:val="0"/>
                                              <w:marRight w:val="0"/>
                                              <w:marTop w:val="0"/>
                                              <w:marBottom w:val="0"/>
                                              <w:divBdr>
                                                <w:top w:val="none" w:sz="0" w:space="0" w:color="auto"/>
                                                <w:left w:val="none" w:sz="0" w:space="0" w:color="auto"/>
                                                <w:bottom w:val="none" w:sz="0" w:space="0" w:color="auto"/>
                                                <w:right w:val="none" w:sz="0" w:space="0" w:color="auto"/>
                                              </w:divBdr>
                                              <w:divsChild>
                                                <w:div w:id="1609464641">
                                                  <w:marLeft w:val="0"/>
                                                  <w:marRight w:val="0"/>
                                                  <w:marTop w:val="0"/>
                                                  <w:marBottom w:val="0"/>
                                                  <w:divBdr>
                                                    <w:top w:val="none" w:sz="0" w:space="0" w:color="auto"/>
                                                    <w:left w:val="none" w:sz="0" w:space="0" w:color="auto"/>
                                                    <w:bottom w:val="none" w:sz="0" w:space="0" w:color="auto"/>
                                                    <w:right w:val="none" w:sz="0" w:space="0" w:color="auto"/>
                                                  </w:divBdr>
                                                  <w:divsChild>
                                                    <w:div w:id="915748453">
                                                      <w:marLeft w:val="0"/>
                                                      <w:marRight w:val="0"/>
                                                      <w:marTop w:val="0"/>
                                                      <w:marBottom w:val="0"/>
                                                      <w:divBdr>
                                                        <w:top w:val="none" w:sz="0" w:space="0" w:color="auto"/>
                                                        <w:left w:val="none" w:sz="0" w:space="0" w:color="auto"/>
                                                        <w:bottom w:val="none" w:sz="0" w:space="0" w:color="auto"/>
                                                        <w:right w:val="none" w:sz="0" w:space="0" w:color="auto"/>
                                                      </w:divBdr>
                                                      <w:divsChild>
                                                        <w:div w:id="1213150106">
                                                          <w:marLeft w:val="0"/>
                                                          <w:marRight w:val="0"/>
                                                          <w:marTop w:val="0"/>
                                                          <w:marBottom w:val="0"/>
                                                          <w:divBdr>
                                                            <w:top w:val="none" w:sz="0" w:space="0" w:color="auto"/>
                                                            <w:left w:val="none" w:sz="0" w:space="0" w:color="auto"/>
                                                            <w:bottom w:val="none" w:sz="0" w:space="0" w:color="auto"/>
                                                            <w:right w:val="none" w:sz="0" w:space="0" w:color="auto"/>
                                                          </w:divBdr>
                                                          <w:divsChild>
                                                            <w:div w:id="908154678">
                                                              <w:marLeft w:val="0"/>
                                                              <w:marRight w:val="0"/>
                                                              <w:marTop w:val="0"/>
                                                              <w:marBottom w:val="0"/>
                                                              <w:divBdr>
                                                                <w:top w:val="none" w:sz="0" w:space="0" w:color="auto"/>
                                                                <w:left w:val="none" w:sz="0" w:space="0" w:color="auto"/>
                                                                <w:bottom w:val="none" w:sz="0" w:space="0" w:color="auto"/>
                                                                <w:right w:val="none" w:sz="0" w:space="0" w:color="auto"/>
                                                              </w:divBdr>
                                                              <w:divsChild>
                                                                <w:div w:id="1240288359">
                                                                  <w:marLeft w:val="0"/>
                                                                  <w:marRight w:val="0"/>
                                                                  <w:marTop w:val="0"/>
                                                                  <w:marBottom w:val="0"/>
                                                                  <w:divBdr>
                                                                    <w:top w:val="none" w:sz="0" w:space="0" w:color="auto"/>
                                                                    <w:left w:val="none" w:sz="0" w:space="0" w:color="auto"/>
                                                                    <w:bottom w:val="none" w:sz="0" w:space="0" w:color="auto"/>
                                                                    <w:right w:val="none" w:sz="0" w:space="0" w:color="auto"/>
                                                                  </w:divBdr>
                                                                  <w:divsChild>
                                                                    <w:div w:id="17511252">
                                                                      <w:marLeft w:val="0"/>
                                                                      <w:marRight w:val="0"/>
                                                                      <w:marTop w:val="0"/>
                                                                      <w:marBottom w:val="0"/>
                                                                      <w:divBdr>
                                                                        <w:top w:val="none" w:sz="0" w:space="0" w:color="auto"/>
                                                                        <w:left w:val="none" w:sz="0" w:space="0" w:color="auto"/>
                                                                        <w:bottom w:val="none" w:sz="0" w:space="0" w:color="auto"/>
                                                                        <w:right w:val="none" w:sz="0" w:space="0" w:color="auto"/>
                                                                      </w:divBdr>
                                                                      <w:divsChild>
                                                                        <w:div w:id="500313273">
                                                                          <w:marLeft w:val="0"/>
                                                                          <w:marRight w:val="0"/>
                                                                          <w:marTop w:val="0"/>
                                                                          <w:marBottom w:val="0"/>
                                                                          <w:divBdr>
                                                                            <w:top w:val="none" w:sz="0" w:space="0" w:color="auto"/>
                                                                            <w:left w:val="none" w:sz="0" w:space="0" w:color="auto"/>
                                                                            <w:bottom w:val="none" w:sz="0" w:space="0" w:color="auto"/>
                                                                            <w:right w:val="none" w:sz="0" w:space="0" w:color="auto"/>
                                                                          </w:divBdr>
                                                                          <w:divsChild>
                                                                            <w:div w:id="50346579">
                                                                              <w:marLeft w:val="0"/>
                                                                              <w:marRight w:val="0"/>
                                                                              <w:marTop w:val="0"/>
                                                                              <w:marBottom w:val="0"/>
                                                                              <w:divBdr>
                                                                                <w:top w:val="none" w:sz="0" w:space="0" w:color="auto"/>
                                                                                <w:left w:val="none" w:sz="0" w:space="0" w:color="auto"/>
                                                                                <w:bottom w:val="none" w:sz="0" w:space="0" w:color="auto"/>
                                                                                <w:right w:val="none" w:sz="0" w:space="0" w:color="auto"/>
                                                                              </w:divBdr>
                                                                            </w:div>
                                                                          </w:divsChild>
                                                                        </w:div>
                                                                        <w:div w:id="546263459">
                                                                          <w:marLeft w:val="0"/>
                                                                          <w:marRight w:val="0"/>
                                                                          <w:marTop w:val="0"/>
                                                                          <w:marBottom w:val="0"/>
                                                                          <w:divBdr>
                                                                            <w:top w:val="none" w:sz="0" w:space="0" w:color="auto"/>
                                                                            <w:left w:val="none" w:sz="0" w:space="0" w:color="auto"/>
                                                                            <w:bottom w:val="none" w:sz="0" w:space="0" w:color="auto"/>
                                                                            <w:right w:val="none" w:sz="0" w:space="0" w:color="auto"/>
                                                                          </w:divBdr>
                                                                        </w:div>
                                                                        <w:div w:id="949700933">
                                                                          <w:marLeft w:val="0"/>
                                                                          <w:marRight w:val="0"/>
                                                                          <w:marTop w:val="0"/>
                                                                          <w:marBottom w:val="0"/>
                                                                          <w:divBdr>
                                                                            <w:top w:val="none" w:sz="0" w:space="0" w:color="auto"/>
                                                                            <w:left w:val="none" w:sz="0" w:space="0" w:color="auto"/>
                                                                            <w:bottom w:val="none" w:sz="0" w:space="0" w:color="auto"/>
                                                                            <w:right w:val="none" w:sz="0" w:space="0" w:color="auto"/>
                                                                          </w:divBdr>
                                                                        </w:div>
                                                                      </w:divsChild>
                                                                    </w:div>
                                                                    <w:div w:id="1000161683">
                                                                      <w:marLeft w:val="0"/>
                                                                      <w:marRight w:val="0"/>
                                                                      <w:marTop w:val="0"/>
                                                                      <w:marBottom w:val="0"/>
                                                                      <w:divBdr>
                                                                        <w:top w:val="none" w:sz="0" w:space="0" w:color="auto"/>
                                                                        <w:left w:val="none" w:sz="0" w:space="0" w:color="auto"/>
                                                                        <w:bottom w:val="none" w:sz="0" w:space="0" w:color="auto"/>
                                                                        <w:right w:val="none" w:sz="0" w:space="0" w:color="auto"/>
                                                                      </w:divBdr>
                                                                      <w:divsChild>
                                                                        <w:div w:id="724639728">
                                                                          <w:marLeft w:val="0"/>
                                                                          <w:marRight w:val="0"/>
                                                                          <w:marTop w:val="0"/>
                                                                          <w:marBottom w:val="0"/>
                                                                          <w:divBdr>
                                                                            <w:top w:val="none" w:sz="0" w:space="0" w:color="auto"/>
                                                                            <w:left w:val="none" w:sz="0" w:space="0" w:color="auto"/>
                                                                            <w:bottom w:val="none" w:sz="0" w:space="0" w:color="auto"/>
                                                                            <w:right w:val="none" w:sz="0" w:space="0" w:color="auto"/>
                                                                          </w:divBdr>
                                                                        </w:div>
                                                                      </w:divsChild>
                                                                    </w:div>
                                                                    <w:div w:id="1535003908">
                                                                      <w:marLeft w:val="0"/>
                                                                      <w:marRight w:val="0"/>
                                                                      <w:marTop w:val="0"/>
                                                                      <w:marBottom w:val="0"/>
                                                                      <w:divBdr>
                                                                        <w:top w:val="none" w:sz="0" w:space="0" w:color="auto"/>
                                                                        <w:left w:val="none" w:sz="0" w:space="0" w:color="auto"/>
                                                                        <w:bottom w:val="none" w:sz="0" w:space="0" w:color="auto"/>
                                                                        <w:right w:val="none" w:sz="0" w:space="0" w:color="auto"/>
                                                                      </w:divBdr>
                                                                      <w:divsChild>
                                                                        <w:div w:id="8450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46243">
      <w:bodyDiv w:val="1"/>
      <w:marLeft w:val="0"/>
      <w:marRight w:val="0"/>
      <w:marTop w:val="0"/>
      <w:marBottom w:val="0"/>
      <w:divBdr>
        <w:top w:val="none" w:sz="0" w:space="0" w:color="auto"/>
        <w:left w:val="none" w:sz="0" w:space="0" w:color="auto"/>
        <w:bottom w:val="none" w:sz="0" w:space="0" w:color="auto"/>
        <w:right w:val="none" w:sz="0" w:space="0" w:color="auto"/>
      </w:divBdr>
      <w:divsChild>
        <w:div w:id="1459185728">
          <w:marLeft w:val="0"/>
          <w:marRight w:val="0"/>
          <w:marTop w:val="0"/>
          <w:marBottom w:val="0"/>
          <w:divBdr>
            <w:top w:val="none" w:sz="0" w:space="0" w:color="auto"/>
            <w:left w:val="none" w:sz="0" w:space="0" w:color="auto"/>
            <w:bottom w:val="none" w:sz="0" w:space="0" w:color="auto"/>
            <w:right w:val="none" w:sz="0" w:space="0" w:color="auto"/>
          </w:divBdr>
          <w:divsChild>
            <w:div w:id="1713072568">
              <w:marLeft w:val="0"/>
              <w:marRight w:val="0"/>
              <w:marTop w:val="0"/>
              <w:marBottom w:val="0"/>
              <w:divBdr>
                <w:top w:val="none" w:sz="0" w:space="0" w:color="auto"/>
                <w:left w:val="none" w:sz="0" w:space="0" w:color="auto"/>
                <w:bottom w:val="none" w:sz="0" w:space="0" w:color="auto"/>
                <w:right w:val="none" w:sz="0" w:space="0" w:color="auto"/>
              </w:divBdr>
              <w:divsChild>
                <w:div w:id="36977741">
                  <w:marLeft w:val="0"/>
                  <w:marRight w:val="0"/>
                  <w:marTop w:val="0"/>
                  <w:marBottom w:val="0"/>
                  <w:divBdr>
                    <w:top w:val="none" w:sz="0" w:space="0" w:color="auto"/>
                    <w:left w:val="none" w:sz="0" w:space="0" w:color="auto"/>
                    <w:bottom w:val="none" w:sz="0" w:space="0" w:color="auto"/>
                    <w:right w:val="none" w:sz="0" w:space="0" w:color="auto"/>
                  </w:divBdr>
                  <w:divsChild>
                    <w:div w:id="851721057">
                      <w:marLeft w:val="0"/>
                      <w:marRight w:val="0"/>
                      <w:marTop w:val="0"/>
                      <w:marBottom w:val="375"/>
                      <w:divBdr>
                        <w:top w:val="none" w:sz="0" w:space="0" w:color="auto"/>
                        <w:left w:val="none" w:sz="0" w:space="0" w:color="auto"/>
                        <w:bottom w:val="none" w:sz="0" w:space="0" w:color="auto"/>
                        <w:right w:val="none" w:sz="0" w:space="0" w:color="auto"/>
                      </w:divBdr>
                      <w:divsChild>
                        <w:div w:id="1651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46694">
      <w:bodyDiv w:val="1"/>
      <w:marLeft w:val="0"/>
      <w:marRight w:val="0"/>
      <w:marTop w:val="0"/>
      <w:marBottom w:val="0"/>
      <w:divBdr>
        <w:top w:val="none" w:sz="0" w:space="0" w:color="auto"/>
        <w:left w:val="none" w:sz="0" w:space="0" w:color="auto"/>
        <w:bottom w:val="none" w:sz="0" w:space="0" w:color="auto"/>
        <w:right w:val="none" w:sz="0" w:space="0" w:color="auto"/>
      </w:divBdr>
      <w:divsChild>
        <w:div w:id="1264418228">
          <w:marLeft w:val="0"/>
          <w:marRight w:val="0"/>
          <w:marTop w:val="0"/>
          <w:marBottom w:val="0"/>
          <w:divBdr>
            <w:top w:val="none" w:sz="0" w:space="0" w:color="auto"/>
            <w:left w:val="single" w:sz="6" w:space="0" w:color="BBBBBB"/>
            <w:bottom w:val="single" w:sz="6" w:space="0" w:color="BBBBBB"/>
            <w:right w:val="single" w:sz="6" w:space="0" w:color="BBBBBB"/>
          </w:divBdr>
          <w:divsChild>
            <w:div w:id="280770115">
              <w:marLeft w:val="0"/>
              <w:marRight w:val="0"/>
              <w:marTop w:val="0"/>
              <w:marBottom w:val="0"/>
              <w:divBdr>
                <w:top w:val="none" w:sz="0" w:space="0" w:color="auto"/>
                <w:left w:val="none" w:sz="0" w:space="0" w:color="auto"/>
                <w:bottom w:val="none" w:sz="0" w:space="0" w:color="auto"/>
                <w:right w:val="none" w:sz="0" w:space="0" w:color="auto"/>
              </w:divBdr>
              <w:divsChild>
                <w:div w:id="1219902722">
                  <w:marLeft w:val="0"/>
                  <w:marRight w:val="0"/>
                  <w:marTop w:val="75"/>
                  <w:marBottom w:val="0"/>
                  <w:divBdr>
                    <w:top w:val="none" w:sz="0" w:space="0" w:color="auto"/>
                    <w:left w:val="none" w:sz="0" w:space="0" w:color="auto"/>
                    <w:bottom w:val="none" w:sz="0" w:space="0" w:color="auto"/>
                    <w:right w:val="none" w:sz="0" w:space="0" w:color="auto"/>
                  </w:divBdr>
                  <w:divsChild>
                    <w:div w:id="996957663">
                      <w:marLeft w:val="0"/>
                      <w:marRight w:val="0"/>
                      <w:marTop w:val="0"/>
                      <w:marBottom w:val="0"/>
                      <w:divBdr>
                        <w:top w:val="none" w:sz="0" w:space="0" w:color="auto"/>
                        <w:left w:val="none" w:sz="0" w:space="0" w:color="auto"/>
                        <w:bottom w:val="none" w:sz="0" w:space="0" w:color="auto"/>
                        <w:right w:val="none" w:sz="0" w:space="0" w:color="auto"/>
                      </w:divBdr>
                      <w:divsChild>
                        <w:div w:id="1150562359">
                          <w:marLeft w:val="0"/>
                          <w:marRight w:val="0"/>
                          <w:marTop w:val="0"/>
                          <w:marBottom w:val="0"/>
                          <w:divBdr>
                            <w:top w:val="none" w:sz="0" w:space="0" w:color="auto"/>
                            <w:left w:val="none" w:sz="0" w:space="0" w:color="auto"/>
                            <w:bottom w:val="none" w:sz="0" w:space="0" w:color="auto"/>
                            <w:right w:val="none" w:sz="0" w:space="0" w:color="auto"/>
                          </w:divBdr>
                          <w:divsChild>
                            <w:div w:id="1097218454">
                              <w:marLeft w:val="0"/>
                              <w:marRight w:val="0"/>
                              <w:marTop w:val="0"/>
                              <w:marBottom w:val="0"/>
                              <w:divBdr>
                                <w:top w:val="none" w:sz="0" w:space="0" w:color="auto"/>
                                <w:left w:val="none" w:sz="0" w:space="0" w:color="auto"/>
                                <w:bottom w:val="none" w:sz="0" w:space="0" w:color="auto"/>
                                <w:right w:val="none" w:sz="0" w:space="0" w:color="auto"/>
                              </w:divBdr>
                              <w:divsChild>
                                <w:div w:id="1608195473">
                                  <w:marLeft w:val="0"/>
                                  <w:marRight w:val="0"/>
                                  <w:marTop w:val="0"/>
                                  <w:marBottom w:val="0"/>
                                  <w:divBdr>
                                    <w:top w:val="none" w:sz="0" w:space="0" w:color="auto"/>
                                    <w:left w:val="none" w:sz="0" w:space="0" w:color="auto"/>
                                    <w:bottom w:val="none" w:sz="0" w:space="0" w:color="auto"/>
                                    <w:right w:val="none" w:sz="0" w:space="0" w:color="auto"/>
                                  </w:divBdr>
                                  <w:divsChild>
                                    <w:div w:id="1887906234">
                                      <w:marLeft w:val="0"/>
                                      <w:marRight w:val="0"/>
                                      <w:marTop w:val="0"/>
                                      <w:marBottom w:val="0"/>
                                      <w:divBdr>
                                        <w:top w:val="none" w:sz="0" w:space="0" w:color="auto"/>
                                        <w:left w:val="none" w:sz="0" w:space="0" w:color="auto"/>
                                        <w:bottom w:val="none" w:sz="0" w:space="0" w:color="auto"/>
                                        <w:right w:val="none" w:sz="0" w:space="0" w:color="auto"/>
                                      </w:divBdr>
                                      <w:divsChild>
                                        <w:div w:id="179123970">
                                          <w:marLeft w:val="1200"/>
                                          <w:marRight w:val="1200"/>
                                          <w:marTop w:val="0"/>
                                          <w:marBottom w:val="0"/>
                                          <w:divBdr>
                                            <w:top w:val="none" w:sz="0" w:space="0" w:color="auto"/>
                                            <w:left w:val="none" w:sz="0" w:space="0" w:color="auto"/>
                                            <w:bottom w:val="none" w:sz="0" w:space="0" w:color="auto"/>
                                            <w:right w:val="none" w:sz="0" w:space="0" w:color="auto"/>
                                          </w:divBdr>
                                          <w:divsChild>
                                            <w:div w:id="1866361090">
                                              <w:marLeft w:val="0"/>
                                              <w:marRight w:val="0"/>
                                              <w:marTop w:val="0"/>
                                              <w:marBottom w:val="0"/>
                                              <w:divBdr>
                                                <w:top w:val="none" w:sz="0" w:space="0" w:color="auto"/>
                                                <w:left w:val="none" w:sz="0" w:space="0" w:color="auto"/>
                                                <w:bottom w:val="none" w:sz="0" w:space="0" w:color="auto"/>
                                                <w:right w:val="none" w:sz="0" w:space="0" w:color="auto"/>
                                              </w:divBdr>
                                              <w:divsChild>
                                                <w:div w:id="365328512">
                                                  <w:marLeft w:val="0"/>
                                                  <w:marRight w:val="0"/>
                                                  <w:marTop w:val="0"/>
                                                  <w:marBottom w:val="0"/>
                                                  <w:divBdr>
                                                    <w:top w:val="none" w:sz="0" w:space="0" w:color="auto"/>
                                                    <w:left w:val="none" w:sz="0" w:space="0" w:color="auto"/>
                                                    <w:bottom w:val="none" w:sz="0" w:space="0" w:color="auto"/>
                                                    <w:right w:val="none" w:sz="0" w:space="0" w:color="auto"/>
                                                  </w:divBdr>
                                                  <w:divsChild>
                                                    <w:div w:id="544485200">
                                                      <w:marLeft w:val="0"/>
                                                      <w:marRight w:val="0"/>
                                                      <w:marTop w:val="0"/>
                                                      <w:marBottom w:val="0"/>
                                                      <w:divBdr>
                                                        <w:top w:val="none" w:sz="0" w:space="0" w:color="auto"/>
                                                        <w:left w:val="none" w:sz="0" w:space="0" w:color="auto"/>
                                                        <w:bottom w:val="none" w:sz="0" w:space="0" w:color="auto"/>
                                                        <w:right w:val="none" w:sz="0" w:space="0" w:color="auto"/>
                                                      </w:divBdr>
                                                      <w:divsChild>
                                                        <w:div w:id="1292401246">
                                                          <w:marLeft w:val="0"/>
                                                          <w:marRight w:val="0"/>
                                                          <w:marTop w:val="0"/>
                                                          <w:marBottom w:val="0"/>
                                                          <w:divBdr>
                                                            <w:top w:val="none" w:sz="0" w:space="0" w:color="auto"/>
                                                            <w:left w:val="none" w:sz="0" w:space="0" w:color="auto"/>
                                                            <w:bottom w:val="none" w:sz="0" w:space="0" w:color="auto"/>
                                                            <w:right w:val="none" w:sz="0" w:space="0" w:color="auto"/>
                                                          </w:divBdr>
                                                        </w:div>
                                                      </w:divsChild>
                                                    </w:div>
                                                    <w:div w:id="1452355132">
                                                      <w:marLeft w:val="0"/>
                                                      <w:marRight w:val="0"/>
                                                      <w:marTop w:val="0"/>
                                                      <w:marBottom w:val="0"/>
                                                      <w:divBdr>
                                                        <w:top w:val="none" w:sz="0" w:space="0" w:color="auto"/>
                                                        <w:left w:val="none" w:sz="0" w:space="0" w:color="auto"/>
                                                        <w:bottom w:val="none" w:sz="0" w:space="0" w:color="auto"/>
                                                        <w:right w:val="none" w:sz="0" w:space="0" w:color="auto"/>
                                                      </w:divBdr>
                                                      <w:divsChild>
                                                        <w:div w:id="126487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914926">
      <w:bodyDiv w:val="1"/>
      <w:marLeft w:val="0"/>
      <w:marRight w:val="0"/>
      <w:marTop w:val="0"/>
      <w:marBottom w:val="0"/>
      <w:divBdr>
        <w:top w:val="none" w:sz="0" w:space="0" w:color="auto"/>
        <w:left w:val="none" w:sz="0" w:space="0" w:color="auto"/>
        <w:bottom w:val="none" w:sz="0" w:space="0" w:color="auto"/>
        <w:right w:val="none" w:sz="0" w:space="0" w:color="auto"/>
      </w:divBdr>
      <w:divsChild>
        <w:div w:id="735588102">
          <w:marLeft w:val="0"/>
          <w:marRight w:val="0"/>
          <w:marTop w:val="240"/>
          <w:marBottom w:val="0"/>
          <w:divBdr>
            <w:top w:val="none" w:sz="0" w:space="0" w:color="auto"/>
            <w:left w:val="none" w:sz="0" w:space="0" w:color="auto"/>
            <w:bottom w:val="none" w:sz="0" w:space="0" w:color="auto"/>
            <w:right w:val="none" w:sz="0" w:space="0" w:color="auto"/>
          </w:divBdr>
          <w:divsChild>
            <w:div w:id="1413620469">
              <w:marLeft w:val="0"/>
              <w:marRight w:val="0"/>
              <w:marTop w:val="0"/>
              <w:marBottom w:val="0"/>
              <w:divBdr>
                <w:top w:val="none" w:sz="0" w:space="0" w:color="auto"/>
                <w:left w:val="none" w:sz="0" w:space="0" w:color="auto"/>
                <w:bottom w:val="none" w:sz="0" w:space="0" w:color="auto"/>
                <w:right w:val="none" w:sz="0" w:space="0" w:color="auto"/>
              </w:divBdr>
            </w:div>
          </w:divsChild>
        </w:div>
        <w:div w:id="1299798768">
          <w:marLeft w:val="0"/>
          <w:marRight w:val="0"/>
          <w:marTop w:val="240"/>
          <w:marBottom w:val="0"/>
          <w:divBdr>
            <w:top w:val="none" w:sz="0" w:space="0" w:color="auto"/>
            <w:left w:val="none" w:sz="0" w:space="0" w:color="auto"/>
            <w:bottom w:val="none" w:sz="0" w:space="0" w:color="auto"/>
            <w:right w:val="none" w:sz="0" w:space="0" w:color="auto"/>
          </w:divBdr>
          <w:divsChild>
            <w:div w:id="24873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863">
      <w:bodyDiv w:val="1"/>
      <w:marLeft w:val="0"/>
      <w:marRight w:val="0"/>
      <w:marTop w:val="0"/>
      <w:marBottom w:val="0"/>
      <w:divBdr>
        <w:top w:val="none" w:sz="0" w:space="0" w:color="auto"/>
        <w:left w:val="none" w:sz="0" w:space="0" w:color="auto"/>
        <w:bottom w:val="none" w:sz="0" w:space="0" w:color="auto"/>
        <w:right w:val="none" w:sz="0" w:space="0" w:color="auto"/>
      </w:divBdr>
      <w:divsChild>
        <w:div w:id="805513766">
          <w:marLeft w:val="0"/>
          <w:marRight w:val="0"/>
          <w:marTop w:val="0"/>
          <w:marBottom w:val="0"/>
          <w:divBdr>
            <w:top w:val="none" w:sz="0" w:space="0" w:color="auto"/>
            <w:left w:val="single" w:sz="6" w:space="0" w:color="BBBBBB"/>
            <w:bottom w:val="single" w:sz="6" w:space="0" w:color="BBBBBB"/>
            <w:right w:val="single" w:sz="6" w:space="0" w:color="BBBBBB"/>
          </w:divBdr>
          <w:divsChild>
            <w:div w:id="754475887">
              <w:marLeft w:val="0"/>
              <w:marRight w:val="0"/>
              <w:marTop w:val="0"/>
              <w:marBottom w:val="0"/>
              <w:divBdr>
                <w:top w:val="none" w:sz="0" w:space="0" w:color="auto"/>
                <w:left w:val="none" w:sz="0" w:space="0" w:color="auto"/>
                <w:bottom w:val="none" w:sz="0" w:space="0" w:color="auto"/>
                <w:right w:val="none" w:sz="0" w:space="0" w:color="auto"/>
              </w:divBdr>
              <w:divsChild>
                <w:div w:id="1643853539">
                  <w:marLeft w:val="0"/>
                  <w:marRight w:val="0"/>
                  <w:marTop w:val="75"/>
                  <w:marBottom w:val="0"/>
                  <w:divBdr>
                    <w:top w:val="none" w:sz="0" w:space="0" w:color="auto"/>
                    <w:left w:val="none" w:sz="0" w:space="0" w:color="auto"/>
                    <w:bottom w:val="none" w:sz="0" w:space="0" w:color="auto"/>
                    <w:right w:val="none" w:sz="0" w:space="0" w:color="auto"/>
                  </w:divBdr>
                  <w:divsChild>
                    <w:div w:id="375587322">
                      <w:marLeft w:val="0"/>
                      <w:marRight w:val="0"/>
                      <w:marTop w:val="0"/>
                      <w:marBottom w:val="0"/>
                      <w:divBdr>
                        <w:top w:val="none" w:sz="0" w:space="0" w:color="auto"/>
                        <w:left w:val="none" w:sz="0" w:space="0" w:color="auto"/>
                        <w:bottom w:val="none" w:sz="0" w:space="0" w:color="auto"/>
                        <w:right w:val="none" w:sz="0" w:space="0" w:color="auto"/>
                      </w:divBdr>
                      <w:divsChild>
                        <w:div w:id="1292177106">
                          <w:marLeft w:val="0"/>
                          <w:marRight w:val="0"/>
                          <w:marTop w:val="0"/>
                          <w:marBottom w:val="0"/>
                          <w:divBdr>
                            <w:top w:val="none" w:sz="0" w:space="0" w:color="auto"/>
                            <w:left w:val="none" w:sz="0" w:space="0" w:color="auto"/>
                            <w:bottom w:val="none" w:sz="0" w:space="0" w:color="auto"/>
                            <w:right w:val="none" w:sz="0" w:space="0" w:color="auto"/>
                          </w:divBdr>
                          <w:divsChild>
                            <w:div w:id="1545101634">
                              <w:marLeft w:val="0"/>
                              <w:marRight w:val="0"/>
                              <w:marTop w:val="0"/>
                              <w:marBottom w:val="0"/>
                              <w:divBdr>
                                <w:top w:val="none" w:sz="0" w:space="0" w:color="auto"/>
                                <w:left w:val="none" w:sz="0" w:space="0" w:color="auto"/>
                                <w:bottom w:val="none" w:sz="0" w:space="0" w:color="auto"/>
                                <w:right w:val="none" w:sz="0" w:space="0" w:color="auto"/>
                              </w:divBdr>
                              <w:divsChild>
                                <w:div w:id="1223828124">
                                  <w:marLeft w:val="0"/>
                                  <w:marRight w:val="0"/>
                                  <w:marTop w:val="0"/>
                                  <w:marBottom w:val="0"/>
                                  <w:divBdr>
                                    <w:top w:val="none" w:sz="0" w:space="0" w:color="auto"/>
                                    <w:left w:val="none" w:sz="0" w:space="0" w:color="auto"/>
                                    <w:bottom w:val="none" w:sz="0" w:space="0" w:color="auto"/>
                                    <w:right w:val="none" w:sz="0" w:space="0" w:color="auto"/>
                                  </w:divBdr>
                                  <w:divsChild>
                                    <w:div w:id="1896314363">
                                      <w:marLeft w:val="0"/>
                                      <w:marRight w:val="0"/>
                                      <w:marTop w:val="0"/>
                                      <w:marBottom w:val="0"/>
                                      <w:divBdr>
                                        <w:top w:val="none" w:sz="0" w:space="0" w:color="auto"/>
                                        <w:left w:val="none" w:sz="0" w:space="0" w:color="auto"/>
                                        <w:bottom w:val="none" w:sz="0" w:space="0" w:color="auto"/>
                                        <w:right w:val="none" w:sz="0" w:space="0" w:color="auto"/>
                                      </w:divBdr>
                                      <w:divsChild>
                                        <w:div w:id="886406165">
                                          <w:marLeft w:val="1200"/>
                                          <w:marRight w:val="1200"/>
                                          <w:marTop w:val="0"/>
                                          <w:marBottom w:val="0"/>
                                          <w:divBdr>
                                            <w:top w:val="none" w:sz="0" w:space="0" w:color="auto"/>
                                            <w:left w:val="none" w:sz="0" w:space="0" w:color="auto"/>
                                            <w:bottom w:val="none" w:sz="0" w:space="0" w:color="auto"/>
                                            <w:right w:val="none" w:sz="0" w:space="0" w:color="auto"/>
                                          </w:divBdr>
                                          <w:divsChild>
                                            <w:div w:id="1281064426">
                                              <w:marLeft w:val="0"/>
                                              <w:marRight w:val="0"/>
                                              <w:marTop w:val="0"/>
                                              <w:marBottom w:val="0"/>
                                              <w:divBdr>
                                                <w:top w:val="none" w:sz="0" w:space="0" w:color="auto"/>
                                                <w:left w:val="none" w:sz="0" w:space="0" w:color="auto"/>
                                                <w:bottom w:val="none" w:sz="0" w:space="0" w:color="auto"/>
                                                <w:right w:val="none" w:sz="0" w:space="0" w:color="auto"/>
                                              </w:divBdr>
                                              <w:divsChild>
                                                <w:div w:id="1244141328">
                                                  <w:marLeft w:val="0"/>
                                                  <w:marRight w:val="0"/>
                                                  <w:marTop w:val="0"/>
                                                  <w:marBottom w:val="0"/>
                                                  <w:divBdr>
                                                    <w:top w:val="none" w:sz="0" w:space="0" w:color="auto"/>
                                                    <w:left w:val="none" w:sz="0" w:space="0" w:color="auto"/>
                                                    <w:bottom w:val="none" w:sz="0" w:space="0" w:color="auto"/>
                                                    <w:right w:val="none" w:sz="0" w:space="0" w:color="auto"/>
                                                  </w:divBdr>
                                                  <w:divsChild>
                                                    <w:div w:id="1846703581">
                                                      <w:marLeft w:val="0"/>
                                                      <w:marRight w:val="0"/>
                                                      <w:marTop w:val="0"/>
                                                      <w:marBottom w:val="0"/>
                                                      <w:divBdr>
                                                        <w:top w:val="none" w:sz="0" w:space="0" w:color="auto"/>
                                                        <w:left w:val="none" w:sz="0" w:space="0" w:color="auto"/>
                                                        <w:bottom w:val="none" w:sz="0" w:space="0" w:color="auto"/>
                                                        <w:right w:val="none" w:sz="0" w:space="0" w:color="auto"/>
                                                      </w:divBdr>
                                                      <w:divsChild>
                                                        <w:div w:id="1230461544">
                                                          <w:marLeft w:val="0"/>
                                                          <w:marRight w:val="0"/>
                                                          <w:marTop w:val="0"/>
                                                          <w:marBottom w:val="0"/>
                                                          <w:divBdr>
                                                            <w:top w:val="none" w:sz="0" w:space="0" w:color="auto"/>
                                                            <w:left w:val="none" w:sz="0" w:space="0" w:color="auto"/>
                                                            <w:bottom w:val="none" w:sz="0" w:space="0" w:color="auto"/>
                                                            <w:right w:val="none" w:sz="0" w:space="0" w:color="auto"/>
                                                          </w:divBdr>
                                                          <w:divsChild>
                                                            <w:div w:id="2118208746">
                                                              <w:marLeft w:val="0"/>
                                                              <w:marRight w:val="0"/>
                                                              <w:marTop w:val="0"/>
                                                              <w:marBottom w:val="0"/>
                                                              <w:divBdr>
                                                                <w:top w:val="none" w:sz="0" w:space="0" w:color="auto"/>
                                                                <w:left w:val="none" w:sz="0" w:space="0" w:color="auto"/>
                                                                <w:bottom w:val="none" w:sz="0" w:space="0" w:color="auto"/>
                                                                <w:right w:val="none" w:sz="0" w:space="0" w:color="auto"/>
                                                              </w:divBdr>
                                                              <w:divsChild>
                                                                <w:div w:id="55251185">
                                                                  <w:marLeft w:val="0"/>
                                                                  <w:marRight w:val="0"/>
                                                                  <w:marTop w:val="0"/>
                                                                  <w:marBottom w:val="0"/>
                                                                  <w:divBdr>
                                                                    <w:top w:val="none" w:sz="0" w:space="0" w:color="auto"/>
                                                                    <w:left w:val="none" w:sz="0" w:space="0" w:color="auto"/>
                                                                    <w:bottom w:val="none" w:sz="0" w:space="0" w:color="auto"/>
                                                                    <w:right w:val="none" w:sz="0" w:space="0" w:color="auto"/>
                                                                  </w:divBdr>
                                                                  <w:divsChild>
                                                                    <w:div w:id="629943649">
                                                                      <w:marLeft w:val="0"/>
                                                                      <w:marRight w:val="0"/>
                                                                      <w:marTop w:val="0"/>
                                                                      <w:marBottom w:val="0"/>
                                                                      <w:divBdr>
                                                                        <w:top w:val="none" w:sz="0" w:space="0" w:color="auto"/>
                                                                        <w:left w:val="none" w:sz="0" w:space="0" w:color="auto"/>
                                                                        <w:bottom w:val="none" w:sz="0" w:space="0" w:color="auto"/>
                                                                        <w:right w:val="none" w:sz="0" w:space="0" w:color="auto"/>
                                                                      </w:divBdr>
                                                                      <w:divsChild>
                                                                        <w:div w:id="459299650">
                                                                          <w:marLeft w:val="0"/>
                                                                          <w:marRight w:val="0"/>
                                                                          <w:marTop w:val="0"/>
                                                                          <w:marBottom w:val="0"/>
                                                                          <w:divBdr>
                                                                            <w:top w:val="none" w:sz="0" w:space="0" w:color="auto"/>
                                                                            <w:left w:val="none" w:sz="0" w:space="0" w:color="auto"/>
                                                                            <w:bottom w:val="none" w:sz="0" w:space="0" w:color="auto"/>
                                                                            <w:right w:val="none" w:sz="0" w:space="0" w:color="auto"/>
                                                                          </w:divBdr>
                                                                        </w:div>
                                                                      </w:divsChild>
                                                                    </w:div>
                                                                    <w:div w:id="698553310">
                                                                      <w:marLeft w:val="0"/>
                                                                      <w:marRight w:val="0"/>
                                                                      <w:marTop w:val="0"/>
                                                                      <w:marBottom w:val="0"/>
                                                                      <w:divBdr>
                                                                        <w:top w:val="none" w:sz="0" w:space="0" w:color="auto"/>
                                                                        <w:left w:val="none" w:sz="0" w:space="0" w:color="auto"/>
                                                                        <w:bottom w:val="none" w:sz="0" w:space="0" w:color="auto"/>
                                                                        <w:right w:val="none" w:sz="0" w:space="0" w:color="auto"/>
                                                                      </w:divBdr>
                                                                      <w:divsChild>
                                                                        <w:div w:id="2046825654">
                                                                          <w:marLeft w:val="0"/>
                                                                          <w:marRight w:val="0"/>
                                                                          <w:marTop w:val="0"/>
                                                                          <w:marBottom w:val="0"/>
                                                                          <w:divBdr>
                                                                            <w:top w:val="none" w:sz="0" w:space="0" w:color="auto"/>
                                                                            <w:left w:val="none" w:sz="0" w:space="0" w:color="auto"/>
                                                                            <w:bottom w:val="none" w:sz="0" w:space="0" w:color="auto"/>
                                                                            <w:right w:val="none" w:sz="0" w:space="0" w:color="auto"/>
                                                                          </w:divBdr>
                                                                        </w:div>
                                                                      </w:divsChild>
                                                                    </w:div>
                                                                    <w:div w:id="891767240">
                                                                      <w:marLeft w:val="0"/>
                                                                      <w:marRight w:val="0"/>
                                                                      <w:marTop w:val="0"/>
                                                                      <w:marBottom w:val="0"/>
                                                                      <w:divBdr>
                                                                        <w:top w:val="none" w:sz="0" w:space="0" w:color="auto"/>
                                                                        <w:left w:val="none" w:sz="0" w:space="0" w:color="auto"/>
                                                                        <w:bottom w:val="none" w:sz="0" w:space="0" w:color="auto"/>
                                                                        <w:right w:val="none" w:sz="0" w:space="0" w:color="auto"/>
                                                                      </w:divBdr>
                                                                      <w:divsChild>
                                                                        <w:div w:id="57289776">
                                                                          <w:marLeft w:val="0"/>
                                                                          <w:marRight w:val="0"/>
                                                                          <w:marTop w:val="0"/>
                                                                          <w:marBottom w:val="0"/>
                                                                          <w:divBdr>
                                                                            <w:top w:val="none" w:sz="0" w:space="0" w:color="auto"/>
                                                                            <w:left w:val="none" w:sz="0" w:space="0" w:color="auto"/>
                                                                            <w:bottom w:val="none" w:sz="0" w:space="0" w:color="auto"/>
                                                                            <w:right w:val="none" w:sz="0" w:space="0" w:color="auto"/>
                                                                          </w:divBdr>
                                                                        </w:div>
                                                                      </w:divsChild>
                                                                    </w:div>
                                                                    <w:div w:id="905071915">
                                                                      <w:marLeft w:val="0"/>
                                                                      <w:marRight w:val="0"/>
                                                                      <w:marTop w:val="0"/>
                                                                      <w:marBottom w:val="0"/>
                                                                      <w:divBdr>
                                                                        <w:top w:val="none" w:sz="0" w:space="0" w:color="auto"/>
                                                                        <w:left w:val="none" w:sz="0" w:space="0" w:color="auto"/>
                                                                        <w:bottom w:val="none" w:sz="0" w:space="0" w:color="auto"/>
                                                                        <w:right w:val="none" w:sz="0" w:space="0" w:color="auto"/>
                                                                      </w:divBdr>
                                                                      <w:divsChild>
                                                                        <w:div w:id="796339728">
                                                                          <w:marLeft w:val="0"/>
                                                                          <w:marRight w:val="0"/>
                                                                          <w:marTop w:val="0"/>
                                                                          <w:marBottom w:val="0"/>
                                                                          <w:divBdr>
                                                                            <w:top w:val="none" w:sz="0" w:space="0" w:color="auto"/>
                                                                            <w:left w:val="none" w:sz="0" w:space="0" w:color="auto"/>
                                                                            <w:bottom w:val="none" w:sz="0" w:space="0" w:color="auto"/>
                                                                            <w:right w:val="none" w:sz="0" w:space="0" w:color="auto"/>
                                                                          </w:divBdr>
                                                                        </w:div>
                                                                      </w:divsChild>
                                                                    </w:div>
                                                                    <w:div w:id="1916552538">
                                                                      <w:marLeft w:val="0"/>
                                                                      <w:marRight w:val="0"/>
                                                                      <w:marTop w:val="0"/>
                                                                      <w:marBottom w:val="0"/>
                                                                      <w:divBdr>
                                                                        <w:top w:val="none" w:sz="0" w:space="0" w:color="auto"/>
                                                                        <w:left w:val="none" w:sz="0" w:space="0" w:color="auto"/>
                                                                        <w:bottom w:val="none" w:sz="0" w:space="0" w:color="auto"/>
                                                                        <w:right w:val="none" w:sz="0" w:space="0" w:color="auto"/>
                                                                      </w:divBdr>
                                                                      <w:divsChild>
                                                                        <w:div w:id="124237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274596">
      <w:bodyDiv w:val="1"/>
      <w:marLeft w:val="0"/>
      <w:marRight w:val="0"/>
      <w:marTop w:val="0"/>
      <w:marBottom w:val="0"/>
      <w:divBdr>
        <w:top w:val="none" w:sz="0" w:space="0" w:color="auto"/>
        <w:left w:val="none" w:sz="0" w:space="0" w:color="auto"/>
        <w:bottom w:val="none" w:sz="0" w:space="0" w:color="auto"/>
        <w:right w:val="none" w:sz="0" w:space="0" w:color="auto"/>
      </w:divBdr>
      <w:divsChild>
        <w:div w:id="545264311">
          <w:marLeft w:val="0"/>
          <w:marRight w:val="0"/>
          <w:marTop w:val="0"/>
          <w:marBottom w:val="0"/>
          <w:divBdr>
            <w:top w:val="none" w:sz="0" w:space="0" w:color="auto"/>
            <w:left w:val="single" w:sz="6" w:space="0" w:color="BBBBBB"/>
            <w:bottom w:val="single" w:sz="6" w:space="0" w:color="BBBBBB"/>
            <w:right w:val="single" w:sz="6" w:space="0" w:color="BBBBBB"/>
          </w:divBdr>
          <w:divsChild>
            <w:div w:id="726490863">
              <w:marLeft w:val="0"/>
              <w:marRight w:val="0"/>
              <w:marTop w:val="0"/>
              <w:marBottom w:val="0"/>
              <w:divBdr>
                <w:top w:val="none" w:sz="0" w:space="0" w:color="auto"/>
                <w:left w:val="none" w:sz="0" w:space="0" w:color="auto"/>
                <w:bottom w:val="none" w:sz="0" w:space="0" w:color="auto"/>
                <w:right w:val="none" w:sz="0" w:space="0" w:color="auto"/>
              </w:divBdr>
              <w:divsChild>
                <w:div w:id="1130322568">
                  <w:marLeft w:val="0"/>
                  <w:marRight w:val="0"/>
                  <w:marTop w:val="75"/>
                  <w:marBottom w:val="0"/>
                  <w:divBdr>
                    <w:top w:val="none" w:sz="0" w:space="0" w:color="auto"/>
                    <w:left w:val="none" w:sz="0" w:space="0" w:color="auto"/>
                    <w:bottom w:val="none" w:sz="0" w:space="0" w:color="auto"/>
                    <w:right w:val="none" w:sz="0" w:space="0" w:color="auto"/>
                  </w:divBdr>
                  <w:divsChild>
                    <w:div w:id="391731932">
                      <w:marLeft w:val="0"/>
                      <w:marRight w:val="0"/>
                      <w:marTop w:val="0"/>
                      <w:marBottom w:val="0"/>
                      <w:divBdr>
                        <w:top w:val="none" w:sz="0" w:space="0" w:color="auto"/>
                        <w:left w:val="none" w:sz="0" w:space="0" w:color="auto"/>
                        <w:bottom w:val="none" w:sz="0" w:space="0" w:color="auto"/>
                        <w:right w:val="none" w:sz="0" w:space="0" w:color="auto"/>
                      </w:divBdr>
                      <w:divsChild>
                        <w:div w:id="326446931">
                          <w:marLeft w:val="0"/>
                          <w:marRight w:val="0"/>
                          <w:marTop w:val="0"/>
                          <w:marBottom w:val="0"/>
                          <w:divBdr>
                            <w:top w:val="none" w:sz="0" w:space="0" w:color="auto"/>
                            <w:left w:val="none" w:sz="0" w:space="0" w:color="auto"/>
                            <w:bottom w:val="none" w:sz="0" w:space="0" w:color="auto"/>
                            <w:right w:val="none" w:sz="0" w:space="0" w:color="auto"/>
                          </w:divBdr>
                          <w:divsChild>
                            <w:div w:id="1974629511">
                              <w:marLeft w:val="0"/>
                              <w:marRight w:val="0"/>
                              <w:marTop w:val="0"/>
                              <w:marBottom w:val="0"/>
                              <w:divBdr>
                                <w:top w:val="none" w:sz="0" w:space="0" w:color="auto"/>
                                <w:left w:val="none" w:sz="0" w:space="0" w:color="auto"/>
                                <w:bottom w:val="none" w:sz="0" w:space="0" w:color="auto"/>
                                <w:right w:val="none" w:sz="0" w:space="0" w:color="auto"/>
                              </w:divBdr>
                              <w:divsChild>
                                <w:div w:id="114102633">
                                  <w:marLeft w:val="0"/>
                                  <w:marRight w:val="0"/>
                                  <w:marTop w:val="0"/>
                                  <w:marBottom w:val="0"/>
                                  <w:divBdr>
                                    <w:top w:val="none" w:sz="0" w:space="0" w:color="auto"/>
                                    <w:left w:val="none" w:sz="0" w:space="0" w:color="auto"/>
                                    <w:bottom w:val="none" w:sz="0" w:space="0" w:color="auto"/>
                                    <w:right w:val="none" w:sz="0" w:space="0" w:color="auto"/>
                                  </w:divBdr>
                                  <w:divsChild>
                                    <w:div w:id="1761440533">
                                      <w:marLeft w:val="0"/>
                                      <w:marRight w:val="0"/>
                                      <w:marTop w:val="0"/>
                                      <w:marBottom w:val="0"/>
                                      <w:divBdr>
                                        <w:top w:val="none" w:sz="0" w:space="0" w:color="auto"/>
                                        <w:left w:val="none" w:sz="0" w:space="0" w:color="auto"/>
                                        <w:bottom w:val="none" w:sz="0" w:space="0" w:color="auto"/>
                                        <w:right w:val="none" w:sz="0" w:space="0" w:color="auto"/>
                                      </w:divBdr>
                                      <w:divsChild>
                                        <w:div w:id="1784494013">
                                          <w:marLeft w:val="1200"/>
                                          <w:marRight w:val="1200"/>
                                          <w:marTop w:val="0"/>
                                          <w:marBottom w:val="0"/>
                                          <w:divBdr>
                                            <w:top w:val="none" w:sz="0" w:space="0" w:color="auto"/>
                                            <w:left w:val="none" w:sz="0" w:space="0" w:color="auto"/>
                                            <w:bottom w:val="none" w:sz="0" w:space="0" w:color="auto"/>
                                            <w:right w:val="none" w:sz="0" w:space="0" w:color="auto"/>
                                          </w:divBdr>
                                          <w:divsChild>
                                            <w:div w:id="1035499264">
                                              <w:marLeft w:val="0"/>
                                              <w:marRight w:val="0"/>
                                              <w:marTop w:val="0"/>
                                              <w:marBottom w:val="0"/>
                                              <w:divBdr>
                                                <w:top w:val="none" w:sz="0" w:space="0" w:color="auto"/>
                                                <w:left w:val="none" w:sz="0" w:space="0" w:color="auto"/>
                                                <w:bottom w:val="none" w:sz="0" w:space="0" w:color="auto"/>
                                                <w:right w:val="none" w:sz="0" w:space="0" w:color="auto"/>
                                              </w:divBdr>
                                              <w:divsChild>
                                                <w:div w:id="1775516704">
                                                  <w:marLeft w:val="0"/>
                                                  <w:marRight w:val="0"/>
                                                  <w:marTop w:val="0"/>
                                                  <w:marBottom w:val="0"/>
                                                  <w:divBdr>
                                                    <w:top w:val="none" w:sz="0" w:space="0" w:color="auto"/>
                                                    <w:left w:val="none" w:sz="0" w:space="0" w:color="auto"/>
                                                    <w:bottom w:val="none" w:sz="0" w:space="0" w:color="auto"/>
                                                    <w:right w:val="none" w:sz="0" w:space="0" w:color="auto"/>
                                                  </w:divBdr>
                                                  <w:divsChild>
                                                    <w:div w:id="142354374">
                                                      <w:marLeft w:val="0"/>
                                                      <w:marRight w:val="0"/>
                                                      <w:marTop w:val="0"/>
                                                      <w:marBottom w:val="0"/>
                                                      <w:divBdr>
                                                        <w:top w:val="none" w:sz="0" w:space="0" w:color="auto"/>
                                                        <w:left w:val="none" w:sz="0" w:space="0" w:color="auto"/>
                                                        <w:bottom w:val="none" w:sz="0" w:space="0" w:color="auto"/>
                                                        <w:right w:val="none" w:sz="0" w:space="0" w:color="auto"/>
                                                      </w:divBdr>
                                                      <w:divsChild>
                                                        <w:div w:id="1995643819">
                                                          <w:marLeft w:val="0"/>
                                                          <w:marRight w:val="0"/>
                                                          <w:marTop w:val="0"/>
                                                          <w:marBottom w:val="0"/>
                                                          <w:divBdr>
                                                            <w:top w:val="none" w:sz="0" w:space="0" w:color="auto"/>
                                                            <w:left w:val="none" w:sz="0" w:space="0" w:color="auto"/>
                                                            <w:bottom w:val="none" w:sz="0" w:space="0" w:color="auto"/>
                                                            <w:right w:val="none" w:sz="0" w:space="0" w:color="auto"/>
                                                          </w:divBdr>
                                                          <w:divsChild>
                                                            <w:div w:id="2015719341">
                                                              <w:marLeft w:val="0"/>
                                                              <w:marRight w:val="0"/>
                                                              <w:marTop w:val="0"/>
                                                              <w:marBottom w:val="0"/>
                                                              <w:divBdr>
                                                                <w:top w:val="none" w:sz="0" w:space="0" w:color="auto"/>
                                                                <w:left w:val="none" w:sz="0" w:space="0" w:color="auto"/>
                                                                <w:bottom w:val="none" w:sz="0" w:space="0" w:color="auto"/>
                                                                <w:right w:val="none" w:sz="0" w:space="0" w:color="auto"/>
                                                              </w:divBdr>
                                                              <w:divsChild>
                                                                <w:div w:id="1709990832">
                                                                  <w:marLeft w:val="0"/>
                                                                  <w:marRight w:val="0"/>
                                                                  <w:marTop w:val="0"/>
                                                                  <w:marBottom w:val="0"/>
                                                                  <w:divBdr>
                                                                    <w:top w:val="none" w:sz="0" w:space="0" w:color="auto"/>
                                                                    <w:left w:val="none" w:sz="0" w:space="0" w:color="auto"/>
                                                                    <w:bottom w:val="none" w:sz="0" w:space="0" w:color="auto"/>
                                                                    <w:right w:val="none" w:sz="0" w:space="0" w:color="auto"/>
                                                                  </w:divBdr>
                                                                  <w:divsChild>
                                                                    <w:div w:id="659499994">
                                                                      <w:marLeft w:val="0"/>
                                                                      <w:marRight w:val="0"/>
                                                                      <w:marTop w:val="0"/>
                                                                      <w:marBottom w:val="0"/>
                                                                      <w:divBdr>
                                                                        <w:top w:val="none" w:sz="0" w:space="0" w:color="auto"/>
                                                                        <w:left w:val="none" w:sz="0" w:space="0" w:color="auto"/>
                                                                        <w:bottom w:val="none" w:sz="0" w:space="0" w:color="auto"/>
                                                                        <w:right w:val="none" w:sz="0" w:space="0" w:color="auto"/>
                                                                      </w:divBdr>
                                                                      <w:divsChild>
                                                                        <w:div w:id="2021273110">
                                                                          <w:marLeft w:val="0"/>
                                                                          <w:marRight w:val="0"/>
                                                                          <w:marTop w:val="0"/>
                                                                          <w:marBottom w:val="0"/>
                                                                          <w:divBdr>
                                                                            <w:top w:val="none" w:sz="0" w:space="0" w:color="auto"/>
                                                                            <w:left w:val="none" w:sz="0" w:space="0" w:color="auto"/>
                                                                            <w:bottom w:val="none" w:sz="0" w:space="0" w:color="auto"/>
                                                                            <w:right w:val="none" w:sz="0" w:space="0" w:color="auto"/>
                                                                          </w:divBdr>
                                                                        </w:div>
                                                                      </w:divsChild>
                                                                    </w:div>
                                                                    <w:div w:id="1491403182">
                                                                      <w:marLeft w:val="0"/>
                                                                      <w:marRight w:val="0"/>
                                                                      <w:marTop w:val="0"/>
                                                                      <w:marBottom w:val="0"/>
                                                                      <w:divBdr>
                                                                        <w:top w:val="none" w:sz="0" w:space="0" w:color="auto"/>
                                                                        <w:left w:val="none" w:sz="0" w:space="0" w:color="auto"/>
                                                                        <w:bottom w:val="none" w:sz="0" w:space="0" w:color="auto"/>
                                                                        <w:right w:val="none" w:sz="0" w:space="0" w:color="auto"/>
                                                                      </w:divBdr>
                                                                      <w:divsChild>
                                                                        <w:div w:id="2702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120998">
      <w:bodyDiv w:val="1"/>
      <w:marLeft w:val="0"/>
      <w:marRight w:val="0"/>
      <w:marTop w:val="0"/>
      <w:marBottom w:val="0"/>
      <w:divBdr>
        <w:top w:val="none" w:sz="0" w:space="0" w:color="auto"/>
        <w:left w:val="none" w:sz="0" w:space="0" w:color="auto"/>
        <w:bottom w:val="none" w:sz="0" w:space="0" w:color="auto"/>
        <w:right w:val="none" w:sz="0" w:space="0" w:color="auto"/>
      </w:divBdr>
      <w:divsChild>
        <w:div w:id="682364702">
          <w:marLeft w:val="0"/>
          <w:marRight w:val="0"/>
          <w:marTop w:val="0"/>
          <w:marBottom w:val="0"/>
          <w:divBdr>
            <w:top w:val="none" w:sz="0" w:space="0" w:color="auto"/>
            <w:left w:val="single" w:sz="6" w:space="0" w:color="BBBBBB"/>
            <w:bottom w:val="single" w:sz="6" w:space="0" w:color="BBBBBB"/>
            <w:right w:val="single" w:sz="6" w:space="0" w:color="BBBBBB"/>
          </w:divBdr>
          <w:divsChild>
            <w:div w:id="1329094500">
              <w:marLeft w:val="0"/>
              <w:marRight w:val="0"/>
              <w:marTop w:val="0"/>
              <w:marBottom w:val="0"/>
              <w:divBdr>
                <w:top w:val="none" w:sz="0" w:space="0" w:color="auto"/>
                <w:left w:val="none" w:sz="0" w:space="0" w:color="auto"/>
                <w:bottom w:val="none" w:sz="0" w:space="0" w:color="auto"/>
                <w:right w:val="none" w:sz="0" w:space="0" w:color="auto"/>
              </w:divBdr>
              <w:divsChild>
                <w:div w:id="1361206154">
                  <w:marLeft w:val="0"/>
                  <w:marRight w:val="0"/>
                  <w:marTop w:val="75"/>
                  <w:marBottom w:val="0"/>
                  <w:divBdr>
                    <w:top w:val="none" w:sz="0" w:space="0" w:color="auto"/>
                    <w:left w:val="none" w:sz="0" w:space="0" w:color="auto"/>
                    <w:bottom w:val="none" w:sz="0" w:space="0" w:color="auto"/>
                    <w:right w:val="none" w:sz="0" w:space="0" w:color="auto"/>
                  </w:divBdr>
                  <w:divsChild>
                    <w:div w:id="567421457">
                      <w:marLeft w:val="0"/>
                      <w:marRight w:val="0"/>
                      <w:marTop w:val="0"/>
                      <w:marBottom w:val="0"/>
                      <w:divBdr>
                        <w:top w:val="none" w:sz="0" w:space="0" w:color="auto"/>
                        <w:left w:val="none" w:sz="0" w:space="0" w:color="auto"/>
                        <w:bottom w:val="none" w:sz="0" w:space="0" w:color="auto"/>
                        <w:right w:val="none" w:sz="0" w:space="0" w:color="auto"/>
                      </w:divBdr>
                      <w:divsChild>
                        <w:div w:id="1838185044">
                          <w:marLeft w:val="0"/>
                          <w:marRight w:val="0"/>
                          <w:marTop w:val="0"/>
                          <w:marBottom w:val="0"/>
                          <w:divBdr>
                            <w:top w:val="none" w:sz="0" w:space="0" w:color="auto"/>
                            <w:left w:val="none" w:sz="0" w:space="0" w:color="auto"/>
                            <w:bottom w:val="none" w:sz="0" w:space="0" w:color="auto"/>
                            <w:right w:val="none" w:sz="0" w:space="0" w:color="auto"/>
                          </w:divBdr>
                          <w:divsChild>
                            <w:div w:id="1968702540">
                              <w:marLeft w:val="0"/>
                              <w:marRight w:val="0"/>
                              <w:marTop w:val="0"/>
                              <w:marBottom w:val="0"/>
                              <w:divBdr>
                                <w:top w:val="none" w:sz="0" w:space="0" w:color="auto"/>
                                <w:left w:val="none" w:sz="0" w:space="0" w:color="auto"/>
                                <w:bottom w:val="none" w:sz="0" w:space="0" w:color="auto"/>
                                <w:right w:val="none" w:sz="0" w:space="0" w:color="auto"/>
                              </w:divBdr>
                              <w:divsChild>
                                <w:div w:id="1860780490">
                                  <w:marLeft w:val="0"/>
                                  <w:marRight w:val="0"/>
                                  <w:marTop w:val="0"/>
                                  <w:marBottom w:val="0"/>
                                  <w:divBdr>
                                    <w:top w:val="none" w:sz="0" w:space="0" w:color="auto"/>
                                    <w:left w:val="none" w:sz="0" w:space="0" w:color="auto"/>
                                    <w:bottom w:val="none" w:sz="0" w:space="0" w:color="auto"/>
                                    <w:right w:val="none" w:sz="0" w:space="0" w:color="auto"/>
                                  </w:divBdr>
                                  <w:divsChild>
                                    <w:div w:id="630408073">
                                      <w:marLeft w:val="0"/>
                                      <w:marRight w:val="0"/>
                                      <w:marTop w:val="0"/>
                                      <w:marBottom w:val="0"/>
                                      <w:divBdr>
                                        <w:top w:val="none" w:sz="0" w:space="0" w:color="auto"/>
                                        <w:left w:val="none" w:sz="0" w:space="0" w:color="auto"/>
                                        <w:bottom w:val="none" w:sz="0" w:space="0" w:color="auto"/>
                                        <w:right w:val="none" w:sz="0" w:space="0" w:color="auto"/>
                                      </w:divBdr>
                                      <w:divsChild>
                                        <w:div w:id="1168256221">
                                          <w:marLeft w:val="1200"/>
                                          <w:marRight w:val="1200"/>
                                          <w:marTop w:val="0"/>
                                          <w:marBottom w:val="0"/>
                                          <w:divBdr>
                                            <w:top w:val="none" w:sz="0" w:space="0" w:color="auto"/>
                                            <w:left w:val="none" w:sz="0" w:space="0" w:color="auto"/>
                                            <w:bottom w:val="none" w:sz="0" w:space="0" w:color="auto"/>
                                            <w:right w:val="none" w:sz="0" w:space="0" w:color="auto"/>
                                          </w:divBdr>
                                          <w:divsChild>
                                            <w:div w:id="651182717">
                                              <w:marLeft w:val="0"/>
                                              <w:marRight w:val="0"/>
                                              <w:marTop w:val="0"/>
                                              <w:marBottom w:val="0"/>
                                              <w:divBdr>
                                                <w:top w:val="none" w:sz="0" w:space="0" w:color="auto"/>
                                                <w:left w:val="none" w:sz="0" w:space="0" w:color="auto"/>
                                                <w:bottom w:val="none" w:sz="0" w:space="0" w:color="auto"/>
                                                <w:right w:val="none" w:sz="0" w:space="0" w:color="auto"/>
                                              </w:divBdr>
                                              <w:divsChild>
                                                <w:div w:id="1638143839">
                                                  <w:marLeft w:val="0"/>
                                                  <w:marRight w:val="0"/>
                                                  <w:marTop w:val="0"/>
                                                  <w:marBottom w:val="0"/>
                                                  <w:divBdr>
                                                    <w:top w:val="none" w:sz="0" w:space="0" w:color="auto"/>
                                                    <w:left w:val="none" w:sz="0" w:space="0" w:color="auto"/>
                                                    <w:bottom w:val="none" w:sz="0" w:space="0" w:color="auto"/>
                                                    <w:right w:val="none" w:sz="0" w:space="0" w:color="auto"/>
                                                  </w:divBdr>
                                                  <w:divsChild>
                                                    <w:div w:id="1398891776">
                                                      <w:marLeft w:val="0"/>
                                                      <w:marRight w:val="0"/>
                                                      <w:marTop w:val="0"/>
                                                      <w:marBottom w:val="0"/>
                                                      <w:divBdr>
                                                        <w:top w:val="none" w:sz="0" w:space="0" w:color="auto"/>
                                                        <w:left w:val="none" w:sz="0" w:space="0" w:color="auto"/>
                                                        <w:bottom w:val="none" w:sz="0" w:space="0" w:color="auto"/>
                                                        <w:right w:val="none" w:sz="0" w:space="0" w:color="auto"/>
                                                      </w:divBdr>
                                                      <w:divsChild>
                                                        <w:div w:id="1236696248">
                                                          <w:marLeft w:val="0"/>
                                                          <w:marRight w:val="0"/>
                                                          <w:marTop w:val="0"/>
                                                          <w:marBottom w:val="0"/>
                                                          <w:divBdr>
                                                            <w:top w:val="none" w:sz="0" w:space="0" w:color="auto"/>
                                                            <w:left w:val="none" w:sz="0" w:space="0" w:color="auto"/>
                                                            <w:bottom w:val="none" w:sz="0" w:space="0" w:color="auto"/>
                                                            <w:right w:val="none" w:sz="0" w:space="0" w:color="auto"/>
                                                          </w:divBdr>
                                                          <w:divsChild>
                                                            <w:div w:id="918178266">
                                                              <w:marLeft w:val="0"/>
                                                              <w:marRight w:val="0"/>
                                                              <w:marTop w:val="0"/>
                                                              <w:marBottom w:val="0"/>
                                                              <w:divBdr>
                                                                <w:top w:val="none" w:sz="0" w:space="0" w:color="auto"/>
                                                                <w:left w:val="none" w:sz="0" w:space="0" w:color="auto"/>
                                                                <w:bottom w:val="none" w:sz="0" w:space="0" w:color="auto"/>
                                                                <w:right w:val="none" w:sz="0" w:space="0" w:color="auto"/>
                                                              </w:divBdr>
                                                              <w:divsChild>
                                                                <w:div w:id="1027410576">
                                                                  <w:marLeft w:val="0"/>
                                                                  <w:marRight w:val="0"/>
                                                                  <w:marTop w:val="0"/>
                                                                  <w:marBottom w:val="0"/>
                                                                  <w:divBdr>
                                                                    <w:top w:val="none" w:sz="0" w:space="0" w:color="auto"/>
                                                                    <w:left w:val="none" w:sz="0" w:space="0" w:color="auto"/>
                                                                    <w:bottom w:val="none" w:sz="0" w:space="0" w:color="auto"/>
                                                                    <w:right w:val="none" w:sz="0" w:space="0" w:color="auto"/>
                                                                  </w:divBdr>
                                                                  <w:divsChild>
                                                                    <w:div w:id="14187541">
                                                                      <w:marLeft w:val="0"/>
                                                                      <w:marRight w:val="0"/>
                                                                      <w:marTop w:val="0"/>
                                                                      <w:marBottom w:val="0"/>
                                                                      <w:divBdr>
                                                                        <w:top w:val="none" w:sz="0" w:space="0" w:color="auto"/>
                                                                        <w:left w:val="none" w:sz="0" w:space="0" w:color="auto"/>
                                                                        <w:bottom w:val="none" w:sz="0" w:space="0" w:color="auto"/>
                                                                        <w:right w:val="none" w:sz="0" w:space="0" w:color="auto"/>
                                                                      </w:divBdr>
                                                                      <w:divsChild>
                                                                        <w:div w:id="227763490">
                                                                          <w:marLeft w:val="0"/>
                                                                          <w:marRight w:val="0"/>
                                                                          <w:marTop w:val="0"/>
                                                                          <w:marBottom w:val="0"/>
                                                                          <w:divBdr>
                                                                            <w:top w:val="none" w:sz="0" w:space="0" w:color="auto"/>
                                                                            <w:left w:val="none" w:sz="0" w:space="0" w:color="auto"/>
                                                                            <w:bottom w:val="none" w:sz="0" w:space="0" w:color="auto"/>
                                                                            <w:right w:val="none" w:sz="0" w:space="0" w:color="auto"/>
                                                                          </w:divBdr>
                                                                        </w:div>
                                                                      </w:divsChild>
                                                                    </w:div>
                                                                    <w:div w:id="1354378995">
                                                                      <w:marLeft w:val="0"/>
                                                                      <w:marRight w:val="0"/>
                                                                      <w:marTop w:val="0"/>
                                                                      <w:marBottom w:val="0"/>
                                                                      <w:divBdr>
                                                                        <w:top w:val="none" w:sz="0" w:space="0" w:color="auto"/>
                                                                        <w:left w:val="none" w:sz="0" w:space="0" w:color="auto"/>
                                                                        <w:bottom w:val="none" w:sz="0" w:space="0" w:color="auto"/>
                                                                        <w:right w:val="none" w:sz="0" w:space="0" w:color="auto"/>
                                                                      </w:divBdr>
                                                                      <w:divsChild>
                                                                        <w:div w:id="1866017497">
                                                                          <w:marLeft w:val="0"/>
                                                                          <w:marRight w:val="0"/>
                                                                          <w:marTop w:val="0"/>
                                                                          <w:marBottom w:val="0"/>
                                                                          <w:divBdr>
                                                                            <w:top w:val="none" w:sz="0" w:space="0" w:color="auto"/>
                                                                            <w:left w:val="none" w:sz="0" w:space="0" w:color="auto"/>
                                                                            <w:bottom w:val="none" w:sz="0" w:space="0" w:color="auto"/>
                                                                            <w:right w:val="none" w:sz="0" w:space="0" w:color="auto"/>
                                                                          </w:divBdr>
                                                                        </w:div>
                                                                      </w:divsChild>
                                                                    </w:div>
                                                                    <w:div w:id="1567106424">
                                                                      <w:marLeft w:val="0"/>
                                                                      <w:marRight w:val="0"/>
                                                                      <w:marTop w:val="0"/>
                                                                      <w:marBottom w:val="0"/>
                                                                      <w:divBdr>
                                                                        <w:top w:val="none" w:sz="0" w:space="0" w:color="auto"/>
                                                                        <w:left w:val="none" w:sz="0" w:space="0" w:color="auto"/>
                                                                        <w:bottom w:val="none" w:sz="0" w:space="0" w:color="auto"/>
                                                                        <w:right w:val="none" w:sz="0" w:space="0" w:color="auto"/>
                                                                      </w:divBdr>
                                                                      <w:divsChild>
                                                                        <w:div w:id="3684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92024">
      <w:bodyDiv w:val="1"/>
      <w:marLeft w:val="0"/>
      <w:marRight w:val="0"/>
      <w:marTop w:val="0"/>
      <w:marBottom w:val="0"/>
      <w:divBdr>
        <w:top w:val="none" w:sz="0" w:space="0" w:color="auto"/>
        <w:left w:val="none" w:sz="0" w:space="0" w:color="auto"/>
        <w:bottom w:val="none" w:sz="0" w:space="0" w:color="auto"/>
        <w:right w:val="none" w:sz="0" w:space="0" w:color="auto"/>
      </w:divBdr>
      <w:divsChild>
        <w:div w:id="195309862">
          <w:marLeft w:val="0"/>
          <w:marRight w:val="0"/>
          <w:marTop w:val="0"/>
          <w:marBottom w:val="0"/>
          <w:divBdr>
            <w:top w:val="none" w:sz="0" w:space="0" w:color="auto"/>
            <w:left w:val="single" w:sz="6" w:space="0" w:color="BBBBBB"/>
            <w:bottom w:val="single" w:sz="6" w:space="0" w:color="BBBBBB"/>
            <w:right w:val="single" w:sz="6" w:space="0" w:color="BBBBBB"/>
          </w:divBdr>
          <w:divsChild>
            <w:div w:id="869683633">
              <w:marLeft w:val="0"/>
              <w:marRight w:val="0"/>
              <w:marTop w:val="0"/>
              <w:marBottom w:val="0"/>
              <w:divBdr>
                <w:top w:val="none" w:sz="0" w:space="0" w:color="auto"/>
                <w:left w:val="none" w:sz="0" w:space="0" w:color="auto"/>
                <w:bottom w:val="none" w:sz="0" w:space="0" w:color="auto"/>
                <w:right w:val="none" w:sz="0" w:space="0" w:color="auto"/>
              </w:divBdr>
              <w:divsChild>
                <w:div w:id="534777805">
                  <w:marLeft w:val="0"/>
                  <w:marRight w:val="0"/>
                  <w:marTop w:val="75"/>
                  <w:marBottom w:val="0"/>
                  <w:divBdr>
                    <w:top w:val="none" w:sz="0" w:space="0" w:color="auto"/>
                    <w:left w:val="none" w:sz="0" w:space="0" w:color="auto"/>
                    <w:bottom w:val="none" w:sz="0" w:space="0" w:color="auto"/>
                    <w:right w:val="none" w:sz="0" w:space="0" w:color="auto"/>
                  </w:divBdr>
                  <w:divsChild>
                    <w:div w:id="67848738">
                      <w:marLeft w:val="0"/>
                      <w:marRight w:val="0"/>
                      <w:marTop w:val="0"/>
                      <w:marBottom w:val="0"/>
                      <w:divBdr>
                        <w:top w:val="none" w:sz="0" w:space="0" w:color="auto"/>
                        <w:left w:val="none" w:sz="0" w:space="0" w:color="auto"/>
                        <w:bottom w:val="none" w:sz="0" w:space="0" w:color="auto"/>
                        <w:right w:val="none" w:sz="0" w:space="0" w:color="auto"/>
                      </w:divBdr>
                      <w:divsChild>
                        <w:div w:id="766274234">
                          <w:marLeft w:val="0"/>
                          <w:marRight w:val="0"/>
                          <w:marTop w:val="0"/>
                          <w:marBottom w:val="0"/>
                          <w:divBdr>
                            <w:top w:val="none" w:sz="0" w:space="0" w:color="auto"/>
                            <w:left w:val="none" w:sz="0" w:space="0" w:color="auto"/>
                            <w:bottom w:val="none" w:sz="0" w:space="0" w:color="auto"/>
                            <w:right w:val="none" w:sz="0" w:space="0" w:color="auto"/>
                          </w:divBdr>
                          <w:divsChild>
                            <w:div w:id="168565046">
                              <w:marLeft w:val="0"/>
                              <w:marRight w:val="0"/>
                              <w:marTop w:val="0"/>
                              <w:marBottom w:val="0"/>
                              <w:divBdr>
                                <w:top w:val="none" w:sz="0" w:space="0" w:color="auto"/>
                                <w:left w:val="none" w:sz="0" w:space="0" w:color="auto"/>
                                <w:bottom w:val="none" w:sz="0" w:space="0" w:color="auto"/>
                                <w:right w:val="none" w:sz="0" w:space="0" w:color="auto"/>
                              </w:divBdr>
                              <w:divsChild>
                                <w:div w:id="1852717090">
                                  <w:marLeft w:val="0"/>
                                  <w:marRight w:val="0"/>
                                  <w:marTop w:val="0"/>
                                  <w:marBottom w:val="0"/>
                                  <w:divBdr>
                                    <w:top w:val="none" w:sz="0" w:space="0" w:color="auto"/>
                                    <w:left w:val="none" w:sz="0" w:space="0" w:color="auto"/>
                                    <w:bottom w:val="none" w:sz="0" w:space="0" w:color="auto"/>
                                    <w:right w:val="none" w:sz="0" w:space="0" w:color="auto"/>
                                  </w:divBdr>
                                  <w:divsChild>
                                    <w:div w:id="1497527707">
                                      <w:marLeft w:val="0"/>
                                      <w:marRight w:val="0"/>
                                      <w:marTop w:val="0"/>
                                      <w:marBottom w:val="0"/>
                                      <w:divBdr>
                                        <w:top w:val="none" w:sz="0" w:space="0" w:color="auto"/>
                                        <w:left w:val="none" w:sz="0" w:space="0" w:color="auto"/>
                                        <w:bottom w:val="none" w:sz="0" w:space="0" w:color="auto"/>
                                        <w:right w:val="none" w:sz="0" w:space="0" w:color="auto"/>
                                      </w:divBdr>
                                      <w:divsChild>
                                        <w:div w:id="550845690">
                                          <w:marLeft w:val="1200"/>
                                          <w:marRight w:val="1200"/>
                                          <w:marTop w:val="0"/>
                                          <w:marBottom w:val="0"/>
                                          <w:divBdr>
                                            <w:top w:val="none" w:sz="0" w:space="0" w:color="auto"/>
                                            <w:left w:val="none" w:sz="0" w:space="0" w:color="auto"/>
                                            <w:bottom w:val="none" w:sz="0" w:space="0" w:color="auto"/>
                                            <w:right w:val="none" w:sz="0" w:space="0" w:color="auto"/>
                                          </w:divBdr>
                                          <w:divsChild>
                                            <w:div w:id="493188001">
                                              <w:marLeft w:val="0"/>
                                              <w:marRight w:val="0"/>
                                              <w:marTop w:val="0"/>
                                              <w:marBottom w:val="0"/>
                                              <w:divBdr>
                                                <w:top w:val="none" w:sz="0" w:space="0" w:color="auto"/>
                                                <w:left w:val="none" w:sz="0" w:space="0" w:color="auto"/>
                                                <w:bottom w:val="none" w:sz="0" w:space="0" w:color="auto"/>
                                                <w:right w:val="none" w:sz="0" w:space="0" w:color="auto"/>
                                              </w:divBdr>
                                              <w:divsChild>
                                                <w:div w:id="412898821">
                                                  <w:marLeft w:val="0"/>
                                                  <w:marRight w:val="0"/>
                                                  <w:marTop w:val="0"/>
                                                  <w:marBottom w:val="0"/>
                                                  <w:divBdr>
                                                    <w:top w:val="none" w:sz="0" w:space="0" w:color="auto"/>
                                                    <w:left w:val="none" w:sz="0" w:space="0" w:color="auto"/>
                                                    <w:bottom w:val="none" w:sz="0" w:space="0" w:color="auto"/>
                                                    <w:right w:val="none" w:sz="0" w:space="0" w:color="auto"/>
                                                  </w:divBdr>
                                                  <w:divsChild>
                                                    <w:div w:id="184363792">
                                                      <w:marLeft w:val="0"/>
                                                      <w:marRight w:val="0"/>
                                                      <w:marTop w:val="0"/>
                                                      <w:marBottom w:val="0"/>
                                                      <w:divBdr>
                                                        <w:top w:val="none" w:sz="0" w:space="0" w:color="auto"/>
                                                        <w:left w:val="none" w:sz="0" w:space="0" w:color="auto"/>
                                                        <w:bottom w:val="none" w:sz="0" w:space="0" w:color="auto"/>
                                                        <w:right w:val="none" w:sz="0" w:space="0" w:color="auto"/>
                                                      </w:divBdr>
                                                      <w:divsChild>
                                                        <w:div w:id="1492016482">
                                                          <w:marLeft w:val="0"/>
                                                          <w:marRight w:val="0"/>
                                                          <w:marTop w:val="0"/>
                                                          <w:marBottom w:val="0"/>
                                                          <w:divBdr>
                                                            <w:top w:val="none" w:sz="0" w:space="0" w:color="auto"/>
                                                            <w:left w:val="none" w:sz="0" w:space="0" w:color="auto"/>
                                                            <w:bottom w:val="none" w:sz="0" w:space="0" w:color="auto"/>
                                                            <w:right w:val="none" w:sz="0" w:space="0" w:color="auto"/>
                                                          </w:divBdr>
                                                          <w:divsChild>
                                                            <w:div w:id="1683972589">
                                                              <w:marLeft w:val="0"/>
                                                              <w:marRight w:val="0"/>
                                                              <w:marTop w:val="0"/>
                                                              <w:marBottom w:val="0"/>
                                                              <w:divBdr>
                                                                <w:top w:val="none" w:sz="0" w:space="0" w:color="auto"/>
                                                                <w:left w:val="none" w:sz="0" w:space="0" w:color="auto"/>
                                                                <w:bottom w:val="none" w:sz="0" w:space="0" w:color="auto"/>
                                                                <w:right w:val="none" w:sz="0" w:space="0" w:color="auto"/>
                                                              </w:divBdr>
                                                              <w:divsChild>
                                                                <w:div w:id="1084495646">
                                                                  <w:marLeft w:val="0"/>
                                                                  <w:marRight w:val="0"/>
                                                                  <w:marTop w:val="0"/>
                                                                  <w:marBottom w:val="0"/>
                                                                  <w:divBdr>
                                                                    <w:top w:val="none" w:sz="0" w:space="0" w:color="auto"/>
                                                                    <w:left w:val="none" w:sz="0" w:space="0" w:color="auto"/>
                                                                    <w:bottom w:val="none" w:sz="0" w:space="0" w:color="auto"/>
                                                                    <w:right w:val="none" w:sz="0" w:space="0" w:color="auto"/>
                                                                  </w:divBdr>
                                                                  <w:divsChild>
                                                                    <w:div w:id="1602452320">
                                                                      <w:marLeft w:val="0"/>
                                                                      <w:marRight w:val="0"/>
                                                                      <w:marTop w:val="0"/>
                                                                      <w:marBottom w:val="0"/>
                                                                      <w:divBdr>
                                                                        <w:top w:val="none" w:sz="0" w:space="0" w:color="auto"/>
                                                                        <w:left w:val="none" w:sz="0" w:space="0" w:color="auto"/>
                                                                        <w:bottom w:val="none" w:sz="0" w:space="0" w:color="auto"/>
                                                                        <w:right w:val="none" w:sz="0" w:space="0" w:color="auto"/>
                                                                      </w:divBdr>
                                                                      <w:divsChild>
                                                                        <w:div w:id="479420462">
                                                                          <w:marLeft w:val="0"/>
                                                                          <w:marRight w:val="0"/>
                                                                          <w:marTop w:val="0"/>
                                                                          <w:marBottom w:val="0"/>
                                                                          <w:divBdr>
                                                                            <w:top w:val="none" w:sz="0" w:space="0" w:color="auto"/>
                                                                            <w:left w:val="none" w:sz="0" w:space="0" w:color="auto"/>
                                                                            <w:bottom w:val="none" w:sz="0" w:space="0" w:color="auto"/>
                                                                            <w:right w:val="none" w:sz="0" w:space="0" w:color="auto"/>
                                                                          </w:divBdr>
                                                                        </w:div>
                                                                      </w:divsChild>
                                                                    </w:div>
                                                                    <w:div w:id="1707559428">
                                                                      <w:marLeft w:val="0"/>
                                                                      <w:marRight w:val="0"/>
                                                                      <w:marTop w:val="0"/>
                                                                      <w:marBottom w:val="0"/>
                                                                      <w:divBdr>
                                                                        <w:top w:val="none" w:sz="0" w:space="0" w:color="auto"/>
                                                                        <w:left w:val="none" w:sz="0" w:space="0" w:color="auto"/>
                                                                        <w:bottom w:val="none" w:sz="0" w:space="0" w:color="auto"/>
                                                                        <w:right w:val="none" w:sz="0" w:space="0" w:color="auto"/>
                                                                      </w:divBdr>
                                                                      <w:divsChild>
                                                                        <w:div w:id="12331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03079">
      <w:bodyDiv w:val="1"/>
      <w:marLeft w:val="0"/>
      <w:marRight w:val="0"/>
      <w:marTop w:val="0"/>
      <w:marBottom w:val="0"/>
      <w:divBdr>
        <w:top w:val="none" w:sz="0" w:space="0" w:color="auto"/>
        <w:left w:val="none" w:sz="0" w:space="0" w:color="auto"/>
        <w:bottom w:val="none" w:sz="0" w:space="0" w:color="auto"/>
        <w:right w:val="none" w:sz="0" w:space="0" w:color="auto"/>
      </w:divBdr>
      <w:divsChild>
        <w:div w:id="924146294">
          <w:marLeft w:val="0"/>
          <w:marRight w:val="0"/>
          <w:marTop w:val="0"/>
          <w:marBottom w:val="0"/>
          <w:divBdr>
            <w:top w:val="none" w:sz="0" w:space="0" w:color="auto"/>
            <w:left w:val="single" w:sz="6" w:space="0" w:color="BBBBBB"/>
            <w:bottom w:val="single" w:sz="6" w:space="0" w:color="BBBBBB"/>
            <w:right w:val="single" w:sz="6" w:space="0" w:color="BBBBBB"/>
          </w:divBdr>
          <w:divsChild>
            <w:div w:id="373968829">
              <w:marLeft w:val="0"/>
              <w:marRight w:val="0"/>
              <w:marTop w:val="0"/>
              <w:marBottom w:val="0"/>
              <w:divBdr>
                <w:top w:val="none" w:sz="0" w:space="0" w:color="auto"/>
                <w:left w:val="none" w:sz="0" w:space="0" w:color="auto"/>
                <w:bottom w:val="none" w:sz="0" w:space="0" w:color="auto"/>
                <w:right w:val="none" w:sz="0" w:space="0" w:color="auto"/>
              </w:divBdr>
              <w:divsChild>
                <w:div w:id="485629461">
                  <w:marLeft w:val="0"/>
                  <w:marRight w:val="0"/>
                  <w:marTop w:val="75"/>
                  <w:marBottom w:val="0"/>
                  <w:divBdr>
                    <w:top w:val="none" w:sz="0" w:space="0" w:color="auto"/>
                    <w:left w:val="none" w:sz="0" w:space="0" w:color="auto"/>
                    <w:bottom w:val="none" w:sz="0" w:space="0" w:color="auto"/>
                    <w:right w:val="none" w:sz="0" w:space="0" w:color="auto"/>
                  </w:divBdr>
                  <w:divsChild>
                    <w:div w:id="1523477395">
                      <w:marLeft w:val="0"/>
                      <w:marRight w:val="0"/>
                      <w:marTop w:val="0"/>
                      <w:marBottom w:val="0"/>
                      <w:divBdr>
                        <w:top w:val="none" w:sz="0" w:space="0" w:color="auto"/>
                        <w:left w:val="none" w:sz="0" w:space="0" w:color="auto"/>
                        <w:bottom w:val="none" w:sz="0" w:space="0" w:color="auto"/>
                        <w:right w:val="none" w:sz="0" w:space="0" w:color="auto"/>
                      </w:divBdr>
                      <w:divsChild>
                        <w:div w:id="976957169">
                          <w:marLeft w:val="0"/>
                          <w:marRight w:val="0"/>
                          <w:marTop w:val="0"/>
                          <w:marBottom w:val="0"/>
                          <w:divBdr>
                            <w:top w:val="none" w:sz="0" w:space="0" w:color="auto"/>
                            <w:left w:val="none" w:sz="0" w:space="0" w:color="auto"/>
                            <w:bottom w:val="none" w:sz="0" w:space="0" w:color="auto"/>
                            <w:right w:val="none" w:sz="0" w:space="0" w:color="auto"/>
                          </w:divBdr>
                          <w:divsChild>
                            <w:div w:id="1579317044">
                              <w:marLeft w:val="0"/>
                              <w:marRight w:val="0"/>
                              <w:marTop w:val="0"/>
                              <w:marBottom w:val="0"/>
                              <w:divBdr>
                                <w:top w:val="none" w:sz="0" w:space="0" w:color="auto"/>
                                <w:left w:val="none" w:sz="0" w:space="0" w:color="auto"/>
                                <w:bottom w:val="none" w:sz="0" w:space="0" w:color="auto"/>
                                <w:right w:val="none" w:sz="0" w:space="0" w:color="auto"/>
                              </w:divBdr>
                              <w:divsChild>
                                <w:div w:id="1605646943">
                                  <w:marLeft w:val="0"/>
                                  <w:marRight w:val="0"/>
                                  <w:marTop w:val="0"/>
                                  <w:marBottom w:val="0"/>
                                  <w:divBdr>
                                    <w:top w:val="none" w:sz="0" w:space="0" w:color="auto"/>
                                    <w:left w:val="none" w:sz="0" w:space="0" w:color="auto"/>
                                    <w:bottom w:val="none" w:sz="0" w:space="0" w:color="auto"/>
                                    <w:right w:val="none" w:sz="0" w:space="0" w:color="auto"/>
                                  </w:divBdr>
                                  <w:divsChild>
                                    <w:div w:id="1141458885">
                                      <w:marLeft w:val="0"/>
                                      <w:marRight w:val="0"/>
                                      <w:marTop w:val="0"/>
                                      <w:marBottom w:val="0"/>
                                      <w:divBdr>
                                        <w:top w:val="none" w:sz="0" w:space="0" w:color="auto"/>
                                        <w:left w:val="none" w:sz="0" w:space="0" w:color="auto"/>
                                        <w:bottom w:val="none" w:sz="0" w:space="0" w:color="auto"/>
                                        <w:right w:val="none" w:sz="0" w:space="0" w:color="auto"/>
                                      </w:divBdr>
                                      <w:divsChild>
                                        <w:div w:id="1119950678">
                                          <w:marLeft w:val="1200"/>
                                          <w:marRight w:val="1200"/>
                                          <w:marTop w:val="0"/>
                                          <w:marBottom w:val="0"/>
                                          <w:divBdr>
                                            <w:top w:val="none" w:sz="0" w:space="0" w:color="auto"/>
                                            <w:left w:val="none" w:sz="0" w:space="0" w:color="auto"/>
                                            <w:bottom w:val="none" w:sz="0" w:space="0" w:color="auto"/>
                                            <w:right w:val="none" w:sz="0" w:space="0" w:color="auto"/>
                                          </w:divBdr>
                                          <w:divsChild>
                                            <w:div w:id="1479884693">
                                              <w:marLeft w:val="0"/>
                                              <w:marRight w:val="0"/>
                                              <w:marTop w:val="0"/>
                                              <w:marBottom w:val="0"/>
                                              <w:divBdr>
                                                <w:top w:val="none" w:sz="0" w:space="0" w:color="auto"/>
                                                <w:left w:val="none" w:sz="0" w:space="0" w:color="auto"/>
                                                <w:bottom w:val="none" w:sz="0" w:space="0" w:color="auto"/>
                                                <w:right w:val="none" w:sz="0" w:space="0" w:color="auto"/>
                                              </w:divBdr>
                                              <w:divsChild>
                                                <w:div w:id="82841847">
                                                  <w:marLeft w:val="0"/>
                                                  <w:marRight w:val="0"/>
                                                  <w:marTop w:val="0"/>
                                                  <w:marBottom w:val="0"/>
                                                  <w:divBdr>
                                                    <w:top w:val="none" w:sz="0" w:space="0" w:color="auto"/>
                                                    <w:left w:val="none" w:sz="0" w:space="0" w:color="auto"/>
                                                    <w:bottom w:val="none" w:sz="0" w:space="0" w:color="auto"/>
                                                    <w:right w:val="none" w:sz="0" w:space="0" w:color="auto"/>
                                                  </w:divBdr>
                                                  <w:divsChild>
                                                    <w:div w:id="952829272">
                                                      <w:marLeft w:val="0"/>
                                                      <w:marRight w:val="0"/>
                                                      <w:marTop w:val="0"/>
                                                      <w:marBottom w:val="0"/>
                                                      <w:divBdr>
                                                        <w:top w:val="none" w:sz="0" w:space="0" w:color="auto"/>
                                                        <w:left w:val="none" w:sz="0" w:space="0" w:color="auto"/>
                                                        <w:bottom w:val="none" w:sz="0" w:space="0" w:color="auto"/>
                                                        <w:right w:val="none" w:sz="0" w:space="0" w:color="auto"/>
                                                      </w:divBdr>
                                                      <w:divsChild>
                                                        <w:div w:id="1062371001">
                                                          <w:marLeft w:val="0"/>
                                                          <w:marRight w:val="0"/>
                                                          <w:marTop w:val="0"/>
                                                          <w:marBottom w:val="0"/>
                                                          <w:divBdr>
                                                            <w:top w:val="none" w:sz="0" w:space="0" w:color="auto"/>
                                                            <w:left w:val="none" w:sz="0" w:space="0" w:color="auto"/>
                                                            <w:bottom w:val="none" w:sz="0" w:space="0" w:color="auto"/>
                                                            <w:right w:val="none" w:sz="0" w:space="0" w:color="auto"/>
                                                          </w:divBdr>
                                                          <w:divsChild>
                                                            <w:div w:id="661272064">
                                                              <w:marLeft w:val="0"/>
                                                              <w:marRight w:val="0"/>
                                                              <w:marTop w:val="0"/>
                                                              <w:marBottom w:val="0"/>
                                                              <w:divBdr>
                                                                <w:top w:val="none" w:sz="0" w:space="0" w:color="auto"/>
                                                                <w:left w:val="none" w:sz="0" w:space="0" w:color="auto"/>
                                                                <w:bottom w:val="none" w:sz="0" w:space="0" w:color="auto"/>
                                                                <w:right w:val="none" w:sz="0" w:space="0" w:color="auto"/>
                                                              </w:divBdr>
                                                              <w:divsChild>
                                                                <w:div w:id="519902097">
                                                                  <w:marLeft w:val="0"/>
                                                                  <w:marRight w:val="0"/>
                                                                  <w:marTop w:val="0"/>
                                                                  <w:marBottom w:val="0"/>
                                                                  <w:divBdr>
                                                                    <w:top w:val="none" w:sz="0" w:space="0" w:color="auto"/>
                                                                    <w:left w:val="none" w:sz="0" w:space="0" w:color="auto"/>
                                                                    <w:bottom w:val="none" w:sz="0" w:space="0" w:color="auto"/>
                                                                    <w:right w:val="none" w:sz="0" w:space="0" w:color="auto"/>
                                                                  </w:divBdr>
                                                                  <w:divsChild>
                                                                    <w:div w:id="1455324705">
                                                                      <w:marLeft w:val="0"/>
                                                                      <w:marRight w:val="0"/>
                                                                      <w:marTop w:val="0"/>
                                                                      <w:marBottom w:val="0"/>
                                                                      <w:divBdr>
                                                                        <w:top w:val="none" w:sz="0" w:space="0" w:color="auto"/>
                                                                        <w:left w:val="none" w:sz="0" w:space="0" w:color="auto"/>
                                                                        <w:bottom w:val="none" w:sz="0" w:space="0" w:color="auto"/>
                                                                        <w:right w:val="none" w:sz="0" w:space="0" w:color="auto"/>
                                                                      </w:divBdr>
                                                                      <w:divsChild>
                                                                        <w:div w:id="153300604">
                                                                          <w:marLeft w:val="0"/>
                                                                          <w:marRight w:val="0"/>
                                                                          <w:marTop w:val="0"/>
                                                                          <w:marBottom w:val="0"/>
                                                                          <w:divBdr>
                                                                            <w:top w:val="none" w:sz="0" w:space="0" w:color="auto"/>
                                                                            <w:left w:val="none" w:sz="0" w:space="0" w:color="auto"/>
                                                                            <w:bottom w:val="none" w:sz="0" w:space="0" w:color="auto"/>
                                                                            <w:right w:val="none" w:sz="0" w:space="0" w:color="auto"/>
                                                                          </w:divBdr>
                                                                        </w:div>
                                                                      </w:divsChild>
                                                                    </w:div>
                                                                    <w:div w:id="1755084782">
                                                                      <w:marLeft w:val="0"/>
                                                                      <w:marRight w:val="0"/>
                                                                      <w:marTop w:val="0"/>
                                                                      <w:marBottom w:val="0"/>
                                                                      <w:divBdr>
                                                                        <w:top w:val="none" w:sz="0" w:space="0" w:color="auto"/>
                                                                        <w:left w:val="none" w:sz="0" w:space="0" w:color="auto"/>
                                                                        <w:bottom w:val="none" w:sz="0" w:space="0" w:color="auto"/>
                                                                        <w:right w:val="none" w:sz="0" w:space="0" w:color="auto"/>
                                                                      </w:divBdr>
                                                                      <w:divsChild>
                                                                        <w:div w:id="53549987">
                                                                          <w:marLeft w:val="0"/>
                                                                          <w:marRight w:val="0"/>
                                                                          <w:marTop w:val="0"/>
                                                                          <w:marBottom w:val="0"/>
                                                                          <w:divBdr>
                                                                            <w:top w:val="none" w:sz="0" w:space="0" w:color="auto"/>
                                                                            <w:left w:val="none" w:sz="0" w:space="0" w:color="auto"/>
                                                                            <w:bottom w:val="none" w:sz="0" w:space="0" w:color="auto"/>
                                                                            <w:right w:val="none" w:sz="0" w:space="0" w:color="auto"/>
                                                                          </w:divBdr>
                                                                          <w:divsChild>
                                                                            <w:div w:id="1627738495">
                                                                              <w:marLeft w:val="0"/>
                                                                              <w:marRight w:val="0"/>
                                                                              <w:marTop w:val="0"/>
                                                                              <w:marBottom w:val="0"/>
                                                                              <w:divBdr>
                                                                                <w:top w:val="none" w:sz="0" w:space="0" w:color="auto"/>
                                                                                <w:left w:val="none" w:sz="0" w:space="0" w:color="auto"/>
                                                                                <w:bottom w:val="none" w:sz="0" w:space="0" w:color="auto"/>
                                                                                <w:right w:val="none" w:sz="0" w:space="0" w:color="auto"/>
                                                                              </w:divBdr>
                                                                            </w:div>
                                                                          </w:divsChild>
                                                                        </w:div>
                                                                        <w:div w:id="503856575">
                                                                          <w:marLeft w:val="0"/>
                                                                          <w:marRight w:val="0"/>
                                                                          <w:marTop w:val="0"/>
                                                                          <w:marBottom w:val="0"/>
                                                                          <w:divBdr>
                                                                            <w:top w:val="none" w:sz="0" w:space="0" w:color="auto"/>
                                                                            <w:left w:val="none" w:sz="0" w:space="0" w:color="auto"/>
                                                                            <w:bottom w:val="none" w:sz="0" w:space="0" w:color="auto"/>
                                                                            <w:right w:val="none" w:sz="0" w:space="0" w:color="auto"/>
                                                                          </w:divBdr>
                                                                        </w:div>
                                                                        <w:div w:id="1592160193">
                                                                          <w:marLeft w:val="0"/>
                                                                          <w:marRight w:val="0"/>
                                                                          <w:marTop w:val="0"/>
                                                                          <w:marBottom w:val="0"/>
                                                                          <w:divBdr>
                                                                            <w:top w:val="none" w:sz="0" w:space="0" w:color="auto"/>
                                                                            <w:left w:val="none" w:sz="0" w:space="0" w:color="auto"/>
                                                                            <w:bottom w:val="none" w:sz="0" w:space="0" w:color="auto"/>
                                                                            <w:right w:val="none" w:sz="0" w:space="0" w:color="auto"/>
                                                                          </w:divBdr>
                                                                        </w:div>
                                                                      </w:divsChild>
                                                                    </w:div>
                                                                    <w:div w:id="1996713592">
                                                                      <w:marLeft w:val="0"/>
                                                                      <w:marRight w:val="0"/>
                                                                      <w:marTop w:val="0"/>
                                                                      <w:marBottom w:val="0"/>
                                                                      <w:divBdr>
                                                                        <w:top w:val="none" w:sz="0" w:space="0" w:color="auto"/>
                                                                        <w:left w:val="none" w:sz="0" w:space="0" w:color="auto"/>
                                                                        <w:bottom w:val="none" w:sz="0" w:space="0" w:color="auto"/>
                                                                        <w:right w:val="none" w:sz="0" w:space="0" w:color="auto"/>
                                                                      </w:divBdr>
                                                                      <w:divsChild>
                                                                        <w:div w:id="110512580">
                                                                          <w:marLeft w:val="0"/>
                                                                          <w:marRight w:val="0"/>
                                                                          <w:marTop w:val="0"/>
                                                                          <w:marBottom w:val="0"/>
                                                                          <w:divBdr>
                                                                            <w:top w:val="none" w:sz="0" w:space="0" w:color="auto"/>
                                                                            <w:left w:val="none" w:sz="0" w:space="0" w:color="auto"/>
                                                                            <w:bottom w:val="none" w:sz="0" w:space="0" w:color="auto"/>
                                                                            <w:right w:val="none" w:sz="0" w:space="0" w:color="auto"/>
                                                                          </w:divBdr>
                                                                        </w:div>
                                                                      </w:divsChild>
                                                                    </w:div>
                                                                    <w:div w:id="1997569988">
                                                                      <w:marLeft w:val="0"/>
                                                                      <w:marRight w:val="0"/>
                                                                      <w:marTop w:val="0"/>
                                                                      <w:marBottom w:val="0"/>
                                                                      <w:divBdr>
                                                                        <w:top w:val="none" w:sz="0" w:space="0" w:color="auto"/>
                                                                        <w:left w:val="none" w:sz="0" w:space="0" w:color="auto"/>
                                                                        <w:bottom w:val="none" w:sz="0" w:space="0" w:color="auto"/>
                                                                        <w:right w:val="none" w:sz="0" w:space="0" w:color="auto"/>
                                                                      </w:divBdr>
                                                                      <w:divsChild>
                                                                        <w:div w:id="1646275874">
                                                                          <w:marLeft w:val="0"/>
                                                                          <w:marRight w:val="0"/>
                                                                          <w:marTop w:val="0"/>
                                                                          <w:marBottom w:val="0"/>
                                                                          <w:divBdr>
                                                                            <w:top w:val="none" w:sz="0" w:space="0" w:color="auto"/>
                                                                            <w:left w:val="none" w:sz="0" w:space="0" w:color="auto"/>
                                                                            <w:bottom w:val="none" w:sz="0" w:space="0" w:color="auto"/>
                                                                            <w:right w:val="none" w:sz="0" w:space="0" w:color="auto"/>
                                                                          </w:divBdr>
                                                                        </w:div>
                                                                      </w:divsChild>
                                                                    </w:div>
                                                                    <w:div w:id="2061130822">
                                                                      <w:marLeft w:val="0"/>
                                                                      <w:marRight w:val="0"/>
                                                                      <w:marTop w:val="0"/>
                                                                      <w:marBottom w:val="0"/>
                                                                      <w:divBdr>
                                                                        <w:top w:val="none" w:sz="0" w:space="0" w:color="auto"/>
                                                                        <w:left w:val="none" w:sz="0" w:space="0" w:color="auto"/>
                                                                        <w:bottom w:val="none" w:sz="0" w:space="0" w:color="auto"/>
                                                                        <w:right w:val="none" w:sz="0" w:space="0" w:color="auto"/>
                                                                      </w:divBdr>
                                                                      <w:divsChild>
                                                                        <w:div w:id="9624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87254">
      <w:bodyDiv w:val="1"/>
      <w:marLeft w:val="0"/>
      <w:marRight w:val="0"/>
      <w:marTop w:val="0"/>
      <w:marBottom w:val="0"/>
      <w:divBdr>
        <w:top w:val="none" w:sz="0" w:space="0" w:color="auto"/>
        <w:left w:val="none" w:sz="0" w:space="0" w:color="auto"/>
        <w:bottom w:val="none" w:sz="0" w:space="0" w:color="auto"/>
        <w:right w:val="none" w:sz="0" w:space="0" w:color="auto"/>
      </w:divBdr>
      <w:divsChild>
        <w:div w:id="597564008">
          <w:marLeft w:val="0"/>
          <w:marRight w:val="0"/>
          <w:marTop w:val="0"/>
          <w:marBottom w:val="0"/>
          <w:divBdr>
            <w:top w:val="none" w:sz="0" w:space="0" w:color="auto"/>
            <w:left w:val="none" w:sz="0" w:space="0" w:color="auto"/>
            <w:bottom w:val="none" w:sz="0" w:space="0" w:color="auto"/>
            <w:right w:val="none" w:sz="0" w:space="0" w:color="auto"/>
          </w:divBdr>
          <w:divsChild>
            <w:div w:id="953555964">
              <w:marLeft w:val="0"/>
              <w:marRight w:val="0"/>
              <w:marTop w:val="0"/>
              <w:marBottom w:val="0"/>
              <w:divBdr>
                <w:top w:val="none" w:sz="0" w:space="0" w:color="auto"/>
                <w:left w:val="none" w:sz="0" w:space="0" w:color="auto"/>
                <w:bottom w:val="none" w:sz="0" w:space="0" w:color="auto"/>
                <w:right w:val="none" w:sz="0" w:space="0" w:color="auto"/>
              </w:divBdr>
              <w:divsChild>
                <w:div w:id="960960795">
                  <w:marLeft w:val="0"/>
                  <w:marRight w:val="0"/>
                  <w:marTop w:val="0"/>
                  <w:marBottom w:val="0"/>
                  <w:divBdr>
                    <w:top w:val="none" w:sz="0" w:space="0" w:color="auto"/>
                    <w:left w:val="none" w:sz="0" w:space="0" w:color="auto"/>
                    <w:bottom w:val="none" w:sz="0" w:space="0" w:color="auto"/>
                    <w:right w:val="none" w:sz="0" w:space="0" w:color="auto"/>
                  </w:divBdr>
                  <w:divsChild>
                    <w:div w:id="917323562">
                      <w:marLeft w:val="0"/>
                      <w:marRight w:val="0"/>
                      <w:marTop w:val="0"/>
                      <w:marBottom w:val="375"/>
                      <w:divBdr>
                        <w:top w:val="none" w:sz="0" w:space="0" w:color="auto"/>
                        <w:left w:val="none" w:sz="0" w:space="0" w:color="auto"/>
                        <w:bottom w:val="none" w:sz="0" w:space="0" w:color="auto"/>
                        <w:right w:val="none" w:sz="0" w:space="0" w:color="auto"/>
                      </w:divBdr>
                      <w:divsChild>
                        <w:div w:id="4244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78363">
      <w:bodyDiv w:val="1"/>
      <w:marLeft w:val="30"/>
      <w:marRight w:val="30"/>
      <w:marTop w:val="30"/>
      <w:marBottom w:val="30"/>
      <w:divBdr>
        <w:top w:val="none" w:sz="0" w:space="0" w:color="auto"/>
        <w:left w:val="none" w:sz="0" w:space="0" w:color="auto"/>
        <w:bottom w:val="none" w:sz="0" w:space="0" w:color="auto"/>
        <w:right w:val="none" w:sz="0" w:space="0" w:color="auto"/>
      </w:divBdr>
      <w:divsChild>
        <w:div w:id="662852067">
          <w:marLeft w:val="0"/>
          <w:marRight w:val="0"/>
          <w:marTop w:val="0"/>
          <w:marBottom w:val="0"/>
          <w:divBdr>
            <w:top w:val="none" w:sz="0" w:space="0" w:color="auto"/>
            <w:left w:val="none" w:sz="0" w:space="0" w:color="auto"/>
            <w:bottom w:val="none" w:sz="0" w:space="0" w:color="auto"/>
            <w:right w:val="none" w:sz="0" w:space="0" w:color="auto"/>
          </w:divBdr>
          <w:divsChild>
            <w:div w:id="1804927601">
              <w:marLeft w:val="45"/>
              <w:marRight w:val="45"/>
              <w:marTop w:val="45"/>
              <w:marBottom w:val="45"/>
              <w:divBdr>
                <w:top w:val="none" w:sz="0" w:space="0" w:color="auto"/>
                <w:left w:val="none" w:sz="0" w:space="0" w:color="auto"/>
                <w:bottom w:val="none" w:sz="0" w:space="0" w:color="auto"/>
                <w:right w:val="none" w:sz="0" w:space="0" w:color="auto"/>
              </w:divBdr>
              <w:divsChild>
                <w:div w:id="2143115967">
                  <w:marLeft w:val="0"/>
                  <w:marRight w:val="0"/>
                  <w:marTop w:val="0"/>
                  <w:marBottom w:val="0"/>
                  <w:divBdr>
                    <w:top w:val="none" w:sz="0" w:space="0" w:color="auto"/>
                    <w:left w:val="none" w:sz="0" w:space="0" w:color="auto"/>
                    <w:bottom w:val="none" w:sz="0" w:space="0" w:color="auto"/>
                    <w:right w:val="none" w:sz="0" w:space="0" w:color="auto"/>
                  </w:divBdr>
                  <w:divsChild>
                    <w:div w:id="215433131">
                      <w:marLeft w:val="0"/>
                      <w:marRight w:val="0"/>
                      <w:marTop w:val="0"/>
                      <w:marBottom w:val="0"/>
                      <w:divBdr>
                        <w:top w:val="none" w:sz="0" w:space="0" w:color="auto"/>
                        <w:left w:val="none" w:sz="0" w:space="0" w:color="auto"/>
                        <w:bottom w:val="none" w:sz="0" w:space="0" w:color="auto"/>
                        <w:right w:val="none" w:sz="0" w:space="0" w:color="auto"/>
                      </w:divBdr>
                    </w:div>
                    <w:div w:id="6766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2560">
      <w:bodyDiv w:val="1"/>
      <w:marLeft w:val="0"/>
      <w:marRight w:val="0"/>
      <w:marTop w:val="0"/>
      <w:marBottom w:val="0"/>
      <w:divBdr>
        <w:top w:val="none" w:sz="0" w:space="0" w:color="auto"/>
        <w:left w:val="none" w:sz="0" w:space="0" w:color="auto"/>
        <w:bottom w:val="none" w:sz="0" w:space="0" w:color="auto"/>
        <w:right w:val="none" w:sz="0" w:space="0" w:color="auto"/>
      </w:divBdr>
      <w:divsChild>
        <w:div w:id="69889489">
          <w:marLeft w:val="0"/>
          <w:marRight w:val="0"/>
          <w:marTop w:val="0"/>
          <w:marBottom w:val="0"/>
          <w:divBdr>
            <w:top w:val="none" w:sz="0" w:space="0" w:color="auto"/>
            <w:left w:val="single" w:sz="6" w:space="0" w:color="BBBBBB"/>
            <w:bottom w:val="single" w:sz="6" w:space="0" w:color="BBBBBB"/>
            <w:right w:val="single" w:sz="6" w:space="0" w:color="BBBBBB"/>
          </w:divBdr>
          <w:divsChild>
            <w:div w:id="1394620814">
              <w:marLeft w:val="0"/>
              <w:marRight w:val="0"/>
              <w:marTop w:val="0"/>
              <w:marBottom w:val="0"/>
              <w:divBdr>
                <w:top w:val="none" w:sz="0" w:space="0" w:color="auto"/>
                <w:left w:val="none" w:sz="0" w:space="0" w:color="auto"/>
                <w:bottom w:val="none" w:sz="0" w:space="0" w:color="auto"/>
                <w:right w:val="none" w:sz="0" w:space="0" w:color="auto"/>
              </w:divBdr>
              <w:divsChild>
                <w:div w:id="1989937722">
                  <w:marLeft w:val="0"/>
                  <w:marRight w:val="0"/>
                  <w:marTop w:val="75"/>
                  <w:marBottom w:val="0"/>
                  <w:divBdr>
                    <w:top w:val="none" w:sz="0" w:space="0" w:color="auto"/>
                    <w:left w:val="none" w:sz="0" w:space="0" w:color="auto"/>
                    <w:bottom w:val="none" w:sz="0" w:space="0" w:color="auto"/>
                    <w:right w:val="none" w:sz="0" w:space="0" w:color="auto"/>
                  </w:divBdr>
                  <w:divsChild>
                    <w:div w:id="854617759">
                      <w:marLeft w:val="0"/>
                      <w:marRight w:val="0"/>
                      <w:marTop w:val="0"/>
                      <w:marBottom w:val="0"/>
                      <w:divBdr>
                        <w:top w:val="none" w:sz="0" w:space="0" w:color="auto"/>
                        <w:left w:val="none" w:sz="0" w:space="0" w:color="auto"/>
                        <w:bottom w:val="none" w:sz="0" w:space="0" w:color="auto"/>
                        <w:right w:val="none" w:sz="0" w:space="0" w:color="auto"/>
                      </w:divBdr>
                      <w:divsChild>
                        <w:div w:id="749273536">
                          <w:marLeft w:val="0"/>
                          <w:marRight w:val="0"/>
                          <w:marTop w:val="0"/>
                          <w:marBottom w:val="0"/>
                          <w:divBdr>
                            <w:top w:val="none" w:sz="0" w:space="0" w:color="auto"/>
                            <w:left w:val="none" w:sz="0" w:space="0" w:color="auto"/>
                            <w:bottom w:val="none" w:sz="0" w:space="0" w:color="auto"/>
                            <w:right w:val="none" w:sz="0" w:space="0" w:color="auto"/>
                          </w:divBdr>
                          <w:divsChild>
                            <w:div w:id="1745225206">
                              <w:marLeft w:val="0"/>
                              <w:marRight w:val="0"/>
                              <w:marTop w:val="0"/>
                              <w:marBottom w:val="0"/>
                              <w:divBdr>
                                <w:top w:val="none" w:sz="0" w:space="0" w:color="auto"/>
                                <w:left w:val="none" w:sz="0" w:space="0" w:color="auto"/>
                                <w:bottom w:val="none" w:sz="0" w:space="0" w:color="auto"/>
                                <w:right w:val="none" w:sz="0" w:space="0" w:color="auto"/>
                              </w:divBdr>
                              <w:divsChild>
                                <w:div w:id="1860268670">
                                  <w:marLeft w:val="0"/>
                                  <w:marRight w:val="0"/>
                                  <w:marTop w:val="0"/>
                                  <w:marBottom w:val="0"/>
                                  <w:divBdr>
                                    <w:top w:val="none" w:sz="0" w:space="0" w:color="auto"/>
                                    <w:left w:val="none" w:sz="0" w:space="0" w:color="auto"/>
                                    <w:bottom w:val="none" w:sz="0" w:space="0" w:color="auto"/>
                                    <w:right w:val="none" w:sz="0" w:space="0" w:color="auto"/>
                                  </w:divBdr>
                                  <w:divsChild>
                                    <w:div w:id="204176742">
                                      <w:marLeft w:val="0"/>
                                      <w:marRight w:val="0"/>
                                      <w:marTop w:val="0"/>
                                      <w:marBottom w:val="0"/>
                                      <w:divBdr>
                                        <w:top w:val="none" w:sz="0" w:space="0" w:color="auto"/>
                                        <w:left w:val="none" w:sz="0" w:space="0" w:color="auto"/>
                                        <w:bottom w:val="none" w:sz="0" w:space="0" w:color="auto"/>
                                        <w:right w:val="none" w:sz="0" w:space="0" w:color="auto"/>
                                      </w:divBdr>
                                      <w:divsChild>
                                        <w:div w:id="286738507">
                                          <w:marLeft w:val="1200"/>
                                          <w:marRight w:val="1200"/>
                                          <w:marTop w:val="0"/>
                                          <w:marBottom w:val="0"/>
                                          <w:divBdr>
                                            <w:top w:val="none" w:sz="0" w:space="0" w:color="auto"/>
                                            <w:left w:val="none" w:sz="0" w:space="0" w:color="auto"/>
                                            <w:bottom w:val="none" w:sz="0" w:space="0" w:color="auto"/>
                                            <w:right w:val="none" w:sz="0" w:space="0" w:color="auto"/>
                                          </w:divBdr>
                                          <w:divsChild>
                                            <w:div w:id="543635807">
                                              <w:marLeft w:val="0"/>
                                              <w:marRight w:val="0"/>
                                              <w:marTop w:val="0"/>
                                              <w:marBottom w:val="0"/>
                                              <w:divBdr>
                                                <w:top w:val="none" w:sz="0" w:space="0" w:color="auto"/>
                                                <w:left w:val="none" w:sz="0" w:space="0" w:color="auto"/>
                                                <w:bottom w:val="none" w:sz="0" w:space="0" w:color="auto"/>
                                                <w:right w:val="none" w:sz="0" w:space="0" w:color="auto"/>
                                              </w:divBdr>
                                              <w:divsChild>
                                                <w:div w:id="1422724842">
                                                  <w:marLeft w:val="0"/>
                                                  <w:marRight w:val="0"/>
                                                  <w:marTop w:val="0"/>
                                                  <w:marBottom w:val="0"/>
                                                  <w:divBdr>
                                                    <w:top w:val="none" w:sz="0" w:space="0" w:color="auto"/>
                                                    <w:left w:val="none" w:sz="0" w:space="0" w:color="auto"/>
                                                    <w:bottom w:val="none" w:sz="0" w:space="0" w:color="auto"/>
                                                    <w:right w:val="none" w:sz="0" w:space="0" w:color="auto"/>
                                                  </w:divBdr>
                                                  <w:divsChild>
                                                    <w:div w:id="1797334438">
                                                      <w:marLeft w:val="0"/>
                                                      <w:marRight w:val="0"/>
                                                      <w:marTop w:val="0"/>
                                                      <w:marBottom w:val="0"/>
                                                      <w:divBdr>
                                                        <w:top w:val="none" w:sz="0" w:space="0" w:color="auto"/>
                                                        <w:left w:val="none" w:sz="0" w:space="0" w:color="auto"/>
                                                        <w:bottom w:val="none" w:sz="0" w:space="0" w:color="auto"/>
                                                        <w:right w:val="none" w:sz="0" w:space="0" w:color="auto"/>
                                                      </w:divBdr>
                                                      <w:divsChild>
                                                        <w:div w:id="747075785">
                                                          <w:marLeft w:val="0"/>
                                                          <w:marRight w:val="0"/>
                                                          <w:marTop w:val="0"/>
                                                          <w:marBottom w:val="0"/>
                                                          <w:divBdr>
                                                            <w:top w:val="none" w:sz="0" w:space="0" w:color="auto"/>
                                                            <w:left w:val="none" w:sz="0" w:space="0" w:color="auto"/>
                                                            <w:bottom w:val="none" w:sz="0" w:space="0" w:color="auto"/>
                                                            <w:right w:val="none" w:sz="0" w:space="0" w:color="auto"/>
                                                          </w:divBdr>
                                                          <w:divsChild>
                                                            <w:div w:id="97876411">
                                                              <w:marLeft w:val="0"/>
                                                              <w:marRight w:val="0"/>
                                                              <w:marTop w:val="0"/>
                                                              <w:marBottom w:val="0"/>
                                                              <w:divBdr>
                                                                <w:top w:val="none" w:sz="0" w:space="0" w:color="auto"/>
                                                                <w:left w:val="none" w:sz="0" w:space="0" w:color="auto"/>
                                                                <w:bottom w:val="none" w:sz="0" w:space="0" w:color="auto"/>
                                                                <w:right w:val="none" w:sz="0" w:space="0" w:color="auto"/>
                                                              </w:divBdr>
                                                              <w:divsChild>
                                                                <w:div w:id="1817187640">
                                                                  <w:marLeft w:val="0"/>
                                                                  <w:marRight w:val="0"/>
                                                                  <w:marTop w:val="0"/>
                                                                  <w:marBottom w:val="0"/>
                                                                  <w:divBdr>
                                                                    <w:top w:val="none" w:sz="0" w:space="0" w:color="auto"/>
                                                                    <w:left w:val="none" w:sz="0" w:space="0" w:color="auto"/>
                                                                    <w:bottom w:val="none" w:sz="0" w:space="0" w:color="auto"/>
                                                                    <w:right w:val="none" w:sz="0" w:space="0" w:color="auto"/>
                                                                  </w:divBdr>
                                                                  <w:divsChild>
                                                                    <w:div w:id="1460687139">
                                                                      <w:marLeft w:val="0"/>
                                                                      <w:marRight w:val="0"/>
                                                                      <w:marTop w:val="0"/>
                                                                      <w:marBottom w:val="0"/>
                                                                      <w:divBdr>
                                                                        <w:top w:val="none" w:sz="0" w:space="0" w:color="auto"/>
                                                                        <w:left w:val="none" w:sz="0" w:space="0" w:color="auto"/>
                                                                        <w:bottom w:val="none" w:sz="0" w:space="0" w:color="auto"/>
                                                                        <w:right w:val="none" w:sz="0" w:space="0" w:color="auto"/>
                                                                      </w:divBdr>
                                                                      <w:divsChild>
                                                                        <w:div w:id="1009024565">
                                                                          <w:marLeft w:val="0"/>
                                                                          <w:marRight w:val="0"/>
                                                                          <w:marTop w:val="0"/>
                                                                          <w:marBottom w:val="0"/>
                                                                          <w:divBdr>
                                                                            <w:top w:val="none" w:sz="0" w:space="0" w:color="auto"/>
                                                                            <w:left w:val="none" w:sz="0" w:space="0" w:color="auto"/>
                                                                            <w:bottom w:val="none" w:sz="0" w:space="0" w:color="auto"/>
                                                                            <w:right w:val="none" w:sz="0" w:space="0" w:color="auto"/>
                                                                          </w:divBdr>
                                                                        </w:div>
                                                                      </w:divsChild>
                                                                    </w:div>
                                                                    <w:div w:id="1616332574">
                                                                      <w:marLeft w:val="0"/>
                                                                      <w:marRight w:val="0"/>
                                                                      <w:marTop w:val="0"/>
                                                                      <w:marBottom w:val="0"/>
                                                                      <w:divBdr>
                                                                        <w:top w:val="none" w:sz="0" w:space="0" w:color="auto"/>
                                                                        <w:left w:val="none" w:sz="0" w:space="0" w:color="auto"/>
                                                                        <w:bottom w:val="none" w:sz="0" w:space="0" w:color="auto"/>
                                                                        <w:right w:val="none" w:sz="0" w:space="0" w:color="auto"/>
                                                                      </w:divBdr>
                                                                      <w:divsChild>
                                                                        <w:div w:id="10770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07026">
      <w:bodyDiv w:val="1"/>
      <w:marLeft w:val="0"/>
      <w:marRight w:val="0"/>
      <w:marTop w:val="0"/>
      <w:marBottom w:val="0"/>
      <w:divBdr>
        <w:top w:val="none" w:sz="0" w:space="0" w:color="auto"/>
        <w:left w:val="none" w:sz="0" w:space="0" w:color="auto"/>
        <w:bottom w:val="none" w:sz="0" w:space="0" w:color="auto"/>
        <w:right w:val="none" w:sz="0" w:space="0" w:color="auto"/>
      </w:divBdr>
      <w:divsChild>
        <w:div w:id="1615597536">
          <w:marLeft w:val="0"/>
          <w:marRight w:val="0"/>
          <w:marTop w:val="0"/>
          <w:marBottom w:val="0"/>
          <w:divBdr>
            <w:top w:val="none" w:sz="0" w:space="0" w:color="auto"/>
            <w:left w:val="single" w:sz="6" w:space="0" w:color="BBBBBB"/>
            <w:bottom w:val="single" w:sz="6" w:space="0" w:color="BBBBBB"/>
            <w:right w:val="single" w:sz="6" w:space="0" w:color="BBBBBB"/>
          </w:divBdr>
          <w:divsChild>
            <w:div w:id="1330645248">
              <w:marLeft w:val="0"/>
              <w:marRight w:val="0"/>
              <w:marTop w:val="0"/>
              <w:marBottom w:val="0"/>
              <w:divBdr>
                <w:top w:val="none" w:sz="0" w:space="0" w:color="auto"/>
                <w:left w:val="none" w:sz="0" w:space="0" w:color="auto"/>
                <w:bottom w:val="none" w:sz="0" w:space="0" w:color="auto"/>
                <w:right w:val="none" w:sz="0" w:space="0" w:color="auto"/>
              </w:divBdr>
              <w:divsChild>
                <w:div w:id="904686044">
                  <w:marLeft w:val="0"/>
                  <w:marRight w:val="0"/>
                  <w:marTop w:val="0"/>
                  <w:marBottom w:val="0"/>
                  <w:divBdr>
                    <w:top w:val="none" w:sz="0" w:space="0" w:color="auto"/>
                    <w:left w:val="none" w:sz="0" w:space="0" w:color="auto"/>
                    <w:bottom w:val="none" w:sz="0" w:space="0" w:color="auto"/>
                    <w:right w:val="none" w:sz="0" w:space="0" w:color="auto"/>
                  </w:divBdr>
                  <w:divsChild>
                    <w:div w:id="613680707">
                      <w:marLeft w:val="0"/>
                      <w:marRight w:val="0"/>
                      <w:marTop w:val="0"/>
                      <w:marBottom w:val="0"/>
                      <w:divBdr>
                        <w:top w:val="none" w:sz="0" w:space="0" w:color="auto"/>
                        <w:left w:val="none" w:sz="0" w:space="0" w:color="auto"/>
                        <w:bottom w:val="none" w:sz="0" w:space="0" w:color="auto"/>
                        <w:right w:val="none" w:sz="0" w:space="0" w:color="auto"/>
                      </w:divBdr>
                      <w:divsChild>
                        <w:div w:id="299766746">
                          <w:marLeft w:val="0"/>
                          <w:marRight w:val="0"/>
                          <w:marTop w:val="0"/>
                          <w:marBottom w:val="0"/>
                          <w:divBdr>
                            <w:top w:val="none" w:sz="0" w:space="0" w:color="auto"/>
                            <w:left w:val="none" w:sz="0" w:space="0" w:color="auto"/>
                            <w:bottom w:val="none" w:sz="0" w:space="0" w:color="auto"/>
                            <w:right w:val="none" w:sz="0" w:space="0" w:color="auto"/>
                          </w:divBdr>
                          <w:divsChild>
                            <w:div w:id="2074547522">
                              <w:marLeft w:val="0"/>
                              <w:marRight w:val="0"/>
                              <w:marTop w:val="0"/>
                              <w:marBottom w:val="0"/>
                              <w:divBdr>
                                <w:top w:val="none" w:sz="0" w:space="0" w:color="auto"/>
                                <w:left w:val="none" w:sz="0" w:space="0" w:color="auto"/>
                                <w:bottom w:val="none" w:sz="0" w:space="0" w:color="auto"/>
                                <w:right w:val="none" w:sz="0" w:space="0" w:color="auto"/>
                              </w:divBdr>
                              <w:divsChild>
                                <w:div w:id="1123111428">
                                  <w:marLeft w:val="0"/>
                                  <w:marRight w:val="0"/>
                                  <w:marTop w:val="0"/>
                                  <w:marBottom w:val="0"/>
                                  <w:divBdr>
                                    <w:top w:val="none" w:sz="0" w:space="0" w:color="auto"/>
                                    <w:left w:val="none" w:sz="0" w:space="0" w:color="auto"/>
                                    <w:bottom w:val="none" w:sz="0" w:space="0" w:color="auto"/>
                                    <w:right w:val="none" w:sz="0" w:space="0" w:color="auto"/>
                                  </w:divBdr>
                                  <w:divsChild>
                                    <w:div w:id="312805348">
                                      <w:marLeft w:val="0"/>
                                      <w:marRight w:val="0"/>
                                      <w:marTop w:val="0"/>
                                      <w:marBottom w:val="0"/>
                                      <w:divBdr>
                                        <w:top w:val="none" w:sz="0" w:space="0" w:color="auto"/>
                                        <w:left w:val="none" w:sz="0" w:space="0" w:color="auto"/>
                                        <w:bottom w:val="none" w:sz="0" w:space="0" w:color="auto"/>
                                        <w:right w:val="none" w:sz="0" w:space="0" w:color="auto"/>
                                      </w:divBdr>
                                      <w:divsChild>
                                        <w:div w:id="207689123">
                                          <w:marLeft w:val="1200"/>
                                          <w:marRight w:val="1200"/>
                                          <w:marTop w:val="0"/>
                                          <w:marBottom w:val="0"/>
                                          <w:divBdr>
                                            <w:top w:val="none" w:sz="0" w:space="0" w:color="auto"/>
                                            <w:left w:val="none" w:sz="0" w:space="0" w:color="auto"/>
                                            <w:bottom w:val="none" w:sz="0" w:space="0" w:color="auto"/>
                                            <w:right w:val="none" w:sz="0" w:space="0" w:color="auto"/>
                                          </w:divBdr>
                                          <w:divsChild>
                                            <w:div w:id="724334604">
                                              <w:marLeft w:val="0"/>
                                              <w:marRight w:val="0"/>
                                              <w:marTop w:val="0"/>
                                              <w:marBottom w:val="0"/>
                                              <w:divBdr>
                                                <w:top w:val="none" w:sz="0" w:space="0" w:color="auto"/>
                                                <w:left w:val="none" w:sz="0" w:space="0" w:color="auto"/>
                                                <w:bottom w:val="none" w:sz="0" w:space="0" w:color="auto"/>
                                                <w:right w:val="none" w:sz="0" w:space="0" w:color="auto"/>
                                              </w:divBdr>
                                              <w:divsChild>
                                                <w:div w:id="10423965">
                                                  <w:marLeft w:val="0"/>
                                                  <w:marRight w:val="0"/>
                                                  <w:marTop w:val="0"/>
                                                  <w:marBottom w:val="0"/>
                                                  <w:divBdr>
                                                    <w:top w:val="none" w:sz="0" w:space="0" w:color="auto"/>
                                                    <w:left w:val="none" w:sz="0" w:space="0" w:color="auto"/>
                                                    <w:bottom w:val="none" w:sz="0" w:space="0" w:color="auto"/>
                                                    <w:right w:val="none" w:sz="0" w:space="0" w:color="auto"/>
                                                  </w:divBdr>
                                                  <w:divsChild>
                                                    <w:div w:id="1551454937">
                                                      <w:marLeft w:val="0"/>
                                                      <w:marRight w:val="0"/>
                                                      <w:marTop w:val="0"/>
                                                      <w:marBottom w:val="0"/>
                                                      <w:divBdr>
                                                        <w:top w:val="none" w:sz="0" w:space="0" w:color="auto"/>
                                                        <w:left w:val="none" w:sz="0" w:space="0" w:color="auto"/>
                                                        <w:bottom w:val="none" w:sz="0" w:space="0" w:color="auto"/>
                                                        <w:right w:val="none" w:sz="0" w:space="0" w:color="auto"/>
                                                      </w:divBdr>
                                                      <w:divsChild>
                                                        <w:div w:id="697970056">
                                                          <w:marLeft w:val="0"/>
                                                          <w:marRight w:val="0"/>
                                                          <w:marTop w:val="0"/>
                                                          <w:marBottom w:val="0"/>
                                                          <w:divBdr>
                                                            <w:top w:val="none" w:sz="0" w:space="0" w:color="auto"/>
                                                            <w:left w:val="none" w:sz="0" w:space="0" w:color="auto"/>
                                                            <w:bottom w:val="none" w:sz="0" w:space="0" w:color="auto"/>
                                                            <w:right w:val="none" w:sz="0" w:space="0" w:color="auto"/>
                                                          </w:divBdr>
                                                          <w:divsChild>
                                                            <w:div w:id="831525123">
                                                              <w:marLeft w:val="0"/>
                                                              <w:marRight w:val="0"/>
                                                              <w:marTop w:val="0"/>
                                                              <w:marBottom w:val="0"/>
                                                              <w:divBdr>
                                                                <w:top w:val="none" w:sz="0" w:space="0" w:color="auto"/>
                                                                <w:left w:val="none" w:sz="0" w:space="0" w:color="auto"/>
                                                                <w:bottom w:val="none" w:sz="0" w:space="0" w:color="auto"/>
                                                                <w:right w:val="none" w:sz="0" w:space="0" w:color="auto"/>
                                                              </w:divBdr>
                                                              <w:divsChild>
                                                                <w:div w:id="199559483">
                                                                  <w:marLeft w:val="0"/>
                                                                  <w:marRight w:val="0"/>
                                                                  <w:marTop w:val="0"/>
                                                                  <w:marBottom w:val="0"/>
                                                                  <w:divBdr>
                                                                    <w:top w:val="none" w:sz="0" w:space="0" w:color="auto"/>
                                                                    <w:left w:val="none" w:sz="0" w:space="0" w:color="auto"/>
                                                                    <w:bottom w:val="none" w:sz="0" w:space="0" w:color="auto"/>
                                                                    <w:right w:val="none" w:sz="0" w:space="0" w:color="auto"/>
                                                                  </w:divBdr>
                                                                  <w:divsChild>
                                                                    <w:div w:id="52314444">
                                                                      <w:marLeft w:val="0"/>
                                                                      <w:marRight w:val="0"/>
                                                                      <w:marTop w:val="0"/>
                                                                      <w:marBottom w:val="0"/>
                                                                      <w:divBdr>
                                                                        <w:top w:val="none" w:sz="0" w:space="0" w:color="auto"/>
                                                                        <w:left w:val="none" w:sz="0" w:space="0" w:color="auto"/>
                                                                        <w:bottom w:val="none" w:sz="0" w:space="0" w:color="auto"/>
                                                                        <w:right w:val="none" w:sz="0" w:space="0" w:color="auto"/>
                                                                      </w:divBdr>
                                                                      <w:divsChild>
                                                                        <w:div w:id="649477037">
                                                                          <w:marLeft w:val="0"/>
                                                                          <w:marRight w:val="0"/>
                                                                          <w:marTop w:val="0"/>
                                                                          <w:marBottom w:val="0"/>
                                                                          <w:divBdr>
                                                                            <w:top w:val="none" w:sz="0" w:space="0" w:color="auto"/>
                                                                            <w:left w:val="none" w:sz="0" w:space="0" w:color="auto"/>
                                                                            <w:bottom w:val="none" w:sz="0" w:space="0" w:color="auto"/>
                                                                            <w:right w:val="none" w:sz="0" w:space="0" w:color="auto"/>
                                                                          </w:divBdr>
                                                                        </w:div>
                                                                      </w:divsChild>
                                                                    </w:div>
                                                                    <w:div w:id="383873153">
                                                                      <w:marLeft w:val="0"/>
                                                                      <w:marRight w:val="0"/>
                                                                      <w:marTop w:val="0"/>
                                                                      <w:marBottom w:val="0"/>
                                                                      <w:divBdr>
                                                                        <w:top w:val="none" w:sz="0" w:space="0" w:color="auto"/>
                                                                        <w:left w:val="none" w:sz="0" w:space="0" w:color="auto"/>
                                                                        <w:bottom w:val="none" w:sz="0" w:space="0" w:color="auto"/>
                                                                        <w:right w:val="none" w:sz="0" w:space="0" w:color="auto"/>
                                                                      </w:divBdr>
                                                                      <w:divsChild>
                                                                        <w:div w:id="1038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88285">
      <w:bodyDiv w:val="1"/>
      <w:marLeft w:val="0"/>
      <w:marRight w:val="0"/>
      <w:marTop w:val="0"/>
      <w:marBottom w:val="0"/>
      <w:divBdr>
        <w:top w:val="none" w:sz="0" w:space="0" w:color="auto"/>
        <w:left w:val="none" w:sz="0" w:space="0" w:color="auto"/>
        <w:bottom w:val="none" w:sz="0" w:space="0" w:color="auto"/>
        <w:right w:val="none" w:sz="0" w:space="0" w:color="auto"/>
      </w:divBdr>
      <w:divsChild>
        <w:div w:id="363529300">
          <w:marLeft w:val="0"/>
          <w:marRight w:val="0"/>
          <w:marTop w:val="0"/>
          <w:marBottom w:val="0"/>
          <w:divBdr>
            <w:top w:val="none" w:sz="0" w:space="0" w:color="auto"/>
            <w:left w:val="single" w:sz="6" w:space="0" w:color="BBBBBB"/>
            <w:bottom w:val="single" w:sz="6" w:space="0" w:color="BBBBBB"/>
            <w:right w:val="single" w:sz="6" w:space="0" w:color="BBBBBB"/>
          </w:divBdr>
          <w:divsChild>
            <w:div w:id="1395006977">
              <w:marLeft w:val="0"/>
              <w:marRight w:val="0"/>
              <w:marTop w:val="0"/>
              <w:marBottom w:val="0"/>
              <w:divBdr>
                <w:top w:val="none" w:sz="0" w:space="0" w:color="auto"/>
                <w:left w:val="none" w:sz="0" w:space="0" w:color="auto"/>
                <w:bottom w:val="none" w:sz="0" w:space="0" w:color="auto"/>
                <w:right w:val="none" w:sz="0" w:space="0" w:color="auto"/>
              </w:divBdr>
              <w:divsChild>
                <w:div w:id="1975061941">
                  <w:marLeft w:val="0"/>
                  <w:marRight w:val="0"/>
                  <w:marTop w:val="75"/>
                  <w:marBottom w:val="0"/>
                  <w:divBdr>
                    <w:top w:val="none" w:sz="0" w:space="0" w:color="auto"/>
                    <w:left w:val="none" w:sz="0" w:space="0" w:color="auto"/>
                    <w:bottom w:val="none" w:sz="0" w:space="0" w:color="auto"/>
                    <w:right w:val="none" w:sz="0" w:space="0" w:color="auto"/>
                  </w:divBdr>
                  <w:divsChild>
                    <w:div w:id="764111495">
                      <w:marLeft w:val="0"/>
                      <w:marRight w:val="0"/>
                      <w:marTop w:val="0"/>
                      <w:marBottom w:val="0"/>
                      <w:divBdr>
                        <w:top w:val="none" w:sz="0" w:space="0" w:color="auto"/>
                        <w:left w:val="none" w:sz="0" w:space="0" w:color="auto"/>
                        <w:bottom w:val="none" w:sz="0" w:space="0" w:color="auto"/>
                        <w:right w:val="none" w:sz="0" w:space="0" w:color="auto"/>
                      </w:divBdr>
                      <w:divsChild>
                        <w:div w:id="228807236">
                          <w:marLeft w:val="0"/>
                          <w:marRight w:val="0"/>
                          <w:marTop w:val="0"/>
                          <w:marBottom w:val="0"/>
                          <w:divBdr>
                            <w:top w:val="none" w:sz="0" w:space="0" w:color="auto"/>
                            <w:left w:val="none" w:sz="0" w:space="0" w:color="auto"/>
                            <w:bottom w:val="none" w:sz="0" w:space="0" w:color="auto"/>
                            <w:right w:val="none" w:sz="0" w:space="0" w:color="auto"/>
                          </w:divBdr>
                          <w:divsChild>
                            <w:div w:id="940839537">
                              <w:marLeft w:val="0"/>
                              <w:marRight w:val="0"/>
                              <w:marTop w:val="0"/>
                              <w:marBottom w:val="0"/>
                              <w:divBdr>
                                <w:top w:val="none" w:sz="0" w:space="0" w:color="auto"/>
                                <w:left w:val="none" w:sz="0" w:space="0" w:color="auto"/>
                                <w:bottom w:val="none" w:sz="0" w:space="0" w:color="auto"/>
                                <w:right w:val="none" w:sz="0" w:space="0" w:color="auto"/>
                              </w:divBdr>
                              <w:divsChild>
                                <w:div w:id="1393043503">
                                  <w:marLeft w:val="0"/>
                                  <w:marRight w:val="0"/>
                                  <w:marTop w:val="0"/>
                                  <w:marBottom w:val="0"/>
                                  <w:divBdr>
                                    <w:top w:val="none" w:sz="0" w:space="0" w:color="auto"/>
                                    <w:left w:val="none" w:sz="0" w:space="0" w:color="auto"/>
                                    <w:bottom w:val="none" w:sz="0" w:space="0" w:color="auto"/>
                                    <w:right w:val="none" w:sz="0" w:space="0" w:color="auto"/>
                                  </w:divBdr>
                                  <w:divsChild>
                                    <w:div w:id="1996569950">
                                      <w:marLeft w:val="0"/>
                                      <w:marRight w:val="0"/>
                                      <w:marTop w:val="0"/>
                                      <w:marBottom w:val="0"/>
                                      <w:divBdr>
                                        <w:top w:val="none" w:sz="0" w:space="0" w:color="auto"/>
                                        <w:left w:val="none" w:sz="0" w:space="0" w:color="auto"/>
                                        <w:bottom w:val="none" w:sz="0" w:space="0" w:color="auto"/>
                                        <w:right w:val="none" w:sz="0" w:space="0" w:color="auto"/>
                                      </w:divBdr>
                                      <w:divsChild>
                                        <w:div w:id="1356686399">
                                          <w:marLeft w:val="1200"/>
                                          <w:marRight w:val="1200"/>
                                          <w:marTop w:val="0"/>
                                          <w:marBottom w:val="0"/>
                                          <w:divBdr>
                                            <w:top w:val="none" w:sz="0" w:space="0" w:color="auto"/>
                                            <w:left w:val="none" w:sz="0" w:space="0" w:color="auto"/>
                                            <w:bottom w:val="none" w:sz="0" w:space="0" w:color="auto"/>
                                            <w:right w:val="none" w:sz="0" w:space="0" w:color="auto"/>
                                          </w:divBdr>
                                          <w:divsChild>
                                            <w:div w:id="1759406219">
                                              <w:marLeft w:val="0"/>
                                              <w:marRight w:val="0"/>
                                              <w:marTop w:val="0"/>
                                              <w:marBottom w:val="0"/>
                                              <w:divBdr>
                                                <w:top w:val="none" w:sz="0" w:space="0" w:color="auto"/>
                                                <w:left w:val="none" w:sz="0" w:space="0" w:color="auto"/>
                                                <w:bottom w:val="none" w:sz="0" w:space="0" w:color="auto"/>
                                                <w:right w:val="none" w:sz="0" w:space="0" w:color="auto"/>
                                              </w:divBdr>
                                              <w:divsChild>
                                                <w:div w:id="2030139266">
                                                  <w:marLeft w:val="0"/>
                                                  <w:marRight w:val="0"/>
                                                  <w:marTop w:val="0"/>
                                                  <w:marBottom w:val="0"/>
                                                  <w:divBdr>
                                                    <w:top w:val="none" w:sz="0" w:space="0" w:color="auto"/>
                                                    <w:left w:val="none" w:sz="0" w:space="0" w:color="auto"/>
                                                    <w:bottom w:val="none" w:sz="0" w:space="0" w:color="auto"/>
                                                    <w:right w:val="none" w:sz="0" w:space="0" w:color="auto"/>
                                                  </w:divBdr>
                                                  <w:divsChild>
                                                    <w:div w:id="455106833">
                                                      <w:marLeft w:val="0"/>
                                                      <w:marRight w:val="0"/>
                                                      <w:marTop w:val="0"/>
                                                      <w:marBottom w:val="0"/>
                                                      <w:divBdr>
                                                        <w:top w:val="none" w:sz="0" w:space="0" w:color="auto"/>
                                                        <w:left w:val="none" w:sz="0" w:space="0" w:color="auto"/>
                                                        <w:bottom w:val="none" w:sz="0" w:space="0" w:color="auto"/>
                                                        <w:right w:val="none" w:sz="0" w:space="0" w:color="auto"/>
                                                      </w:divBdr>
                                                      <w:divsChild>
                                                        <w:div w:id="606234305">
                                                          <w:marLeft w:val="0"/>
                                                          <w:marRight w:val="0"/>
                                                          <w:marTop w:val="0"/>
                                                          <w:marBottom w:val="0"/>
                                                          <w:divBdr>
                                                            <w:top w:val="none" w:sz="0" w:space="0" w:color="auto"/>
                                                            <w:left w:val="none" w:sz="0" w:space="0" w:color="auto"/>
                                                            <w:bottom w:val="none" w:sz="0" w:space="0" w:color="auto"/>
                                                            <w:right w:val="none" w:sz="0" w:space="0" w:color="auto"/>
                                                          </w:divBdr>
                                                          <w:divsChild>
                                                            <w:div w:id="2109035090">
                                                              <w:marLeft w:val="0"/>
                                                              <w:marRight w:val="0"/>
                                                              <w:marTop w:val="0"/>
                                                              <w:marBottom w:val="0"/>
                                                              <w:divBdr>
                                                                <w:top w:val="none" w:sz="0" w:space="0" w:color="auto"/>
                                                                <w:left w:val="none" w:sz="0" w:space="0" w:color="auto"/>
                                                                <w:bottom w:val="none" w:sz="0" w:space="0" w:color="auto"/>
                                                                <w:right w:val="none" w:sz="0" w:space="0" w:color="auto"/>
                                                              </w:divBdr>
                                                              <w:divsChild>
                                                                <w:div w:id="1957171545">
                                                                  <w:marLeft w:val="0"/>
                                                                  <w:marRight w:val="0"/>
                                                                  <w:marTop w:val="0"/>
                                                                  <w:marBottom w:val="0"/>
                                                                  <w:divBdr>
                                                                    <w:top w:val="none" w:sz="0" w:space="0" w:color="auto"/>
                                                                    <w:left w:val="none" w:sz="0" w:space="0" w:color="auto"/>
                                                                    <w:bottom w:val="none" w:sz="0" w:space="0" w:color="auto"/>
                                                                    <w:right w:val="none" w:sz="0" w:space="0" w:color="auto"/>
                                                                  </w:divBdr>
                                                                  <w:divsChild>
                                                                    <w:div w:id="558589729">
                                                                      <w:marLeft w:val="0"/>
                                                                      <w:marRight w:val="0"/>
                                                                      <w:marTop w:val="0"/>
                                                                      <w:marBottom w:val="0"/>
                                                                      <w:divBdr>
                                                                        <w:top w:val="none" w:sz="0" w:space="0" w:color="auto"/>
                                                                        <w:left w:val="none" w:sz="0" w:space="0" w:color="auto"/>
                                                                        <w:bottom w:val="none" w:sz="0" w:space="0" w:color="auto"/>
                                                                        <w:right w:val="none" w:sz="0" w:space="0" w:color="auto"/>
                                                                      </w:divBdr>
                                                                      <w:divsChild>
                                                                        <w:div w:id="224879777">
                                                                          <w:marLeft w:val="0"/>
                                                                          <w:marRight w:val="0"/>
                                                                          <w:marTop w:val="0"/>
                                                                          <w:marBottom w:val="0"/>
                                                                          <w:divBdr>
                                                                            <w:top w:val="none" w:sz="0" w:space="0" w:color="auto"/>
                                                                            <w:left w:val="none" w:sz="0" w:space="0" w:color="auto"/>
                                                                            <w:bottom w:val="none" w:sz="0" w:space="0" w:color="auto"/>
                                                                            <w:right w:val="none" w:sz="0" w:space="0" w:color="auto"/>
                                                                          </w:divBdr>
                                                                        </w:div>
                                                                      </w:divsChild>
                                                                    </w:div>
                                                                    <w:div w:id="724447970">
                                                                      <w:marLeft w:val="0"/>
                                                                      <w:marRight w:val="0"/>
                                                                      <w:marTop w:val="0"/>
                                                                      <w:marBottom w:val="0"/>
                                                                      <w:divBdr>
                                                                        <w:top w:val="none" w:sz="0" w:space="0" w:color="auto"/>
                                                                        <w:left w:val="none" w:sz="0" w:space="0" w:color="auto"/>
                                                                        <w:bottom w:val="none" w:sz="0" w:space="0" w:color="auto"/>
                                                                        <w:right w:val="none" w:sz="0" w:space="0" w:color="auto"/>
                                                                      </w:divBdr>
                                                                      <w:divsChild>
                                                                        <w:div w:id="2006472624">
                                                                          <w:marLeft w:val="0"/>
                                                                          <w:marRight w:val="0"/>
                                                                          <w:marTop w:val="0"/>
                                                                          <w:marBottom w:val="0"/>
                                                                          <w:divBdr>
                                                                            <w:top w:val="none" w:sz="0" w:space="0" w:color="auto"/>
                                                                            <w:left w:val="none" w:sz="0" w:space="0" w:color="auto"/>
                                                                            <w:bottom w:val="none" w:sz="0" w:space="0" w:color="auto"/>
                                                                            <w:right w:val="none" w:sz="0" w:space="0" w:color="auto"/>
                                                                          </w:divBdr>
                                                                        </w:div>
                                                                      </w:divsChild>
                                                                    </w:div>
                                                                    <w:div w:id="1033581289">
                                                                      <w:marLeft w:val="0"/>
                                                                      <w:marRight w:val="0"/>
                                                                      <w:marTop w:val="0"/>
                                                                      <w:marBottom w:val="0"/>
                                                                      <w:divBdr>
                                                                        <w:top w:val="none" w:sz="0" w:space="0" w:color="auto"/>
                                                                        <w:left w:val="none" w:sz="0" w:space="0" w:color="auto"/>
                                                                        <w:bottom w:val="none" w:sz="0" w:space="0" w:color="auto"/>
                                                                        <w:right w:val="none" w:sz="0" w:space="0" w:color="auto"/>
                                                                      </w:divBdr>
                                                                      <w:divsChild>
                                                                        <w:div w:id="1381630324">
                                                                          <w:marLeft w:val="0"/>
                                                                          <w:marRight w:val="0"/>
                                                                          <w:marTop w:val="0"/>
                                                                          <w:marBottom w:val="0"/>
                                                                          <w:divBdr>
                                                                            <w:top w:val="none" w:sz="0" w:space="0" w:color="auto"/>
                                                                            <w:left w:val="none" w:sz="0" w:space="0" w:color="auto"/>
                                                                            <w:bottom w:val="none" w:sz="0" w:space="0" w:color="auto"/>
                                                                            <w:right w:val="none" w:sz="0" w:space="0" w:color="auto"/>
                                                                          </w:divBdr>
                                                                        </w:div>
                                                                      </w:divsChild>
                                                                    </w:div>
                                                                    <w:div w:id="2068646365">
                                                                      <w:marLeft w:val="0"/>
                                                                      <w:marRight w:val="0"/>
                                                                      <w:marTop w:val="0"/>
                                                                      <w:marBottom w:val="0"/>
                                                                      <w:divBdr>
                                                                        <w:top w:val="none" w:sz="0" w:space="0" w:color="auto"/>
                                                                        <w:left w:val="none" w:sz="0" w:space="0" w:color="auto"/>
                                                                        <w:bottom w:val="none" w:sz="0" w:space="0" w:color="auto"/>
                                                                        <w:right w:val="none" w:sz="0" w:space="0" w:color="auto"/>
                                                                      </w:divBdr>
                                                                      <w:divsChild>
                                                                        <w:div w:id="5313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797724">
      <w:bodyDiv w:val="1"/>
      <w:marLeft w:val="0"/>
      <w:marRight w:val="0"/>
      <w:marTop w:val="0"/>
      <w:marBottom w:val="0"/>
      <w:divBdr>
        <w:top w:val="none" w:sz="0" w:space="0" w:color="auto"/>
        <w:left w:val="none" w:sz="0" w:space="0" w:color="auto"/>
        <w:bottom w:val="none" w:sz="0" w:space="0" w:color="auto"/>
        <w:right w:val="none" w:sz="0" w:space="0" w:color="auto"/>
      </w:divBdr>
      <w:divsChild>
        <w:div w:id="889658290">
          <w:marLeft w:val="0"/>
          <w:marRight w:val="0"/>
          <w:marTop w:val="0"/>
          <w:marBottom w:val="0"/>
          <w:divBdr>
            <w:top w:val="none" w:sz="0" w:space="0" w:color="auto"/>
            <w:left w:val="none" w:sz="0" w:space="0" w:color="auto"/>
            <w:bottom w:val="none" w:sz="0" w:space="0" w:color="auto"/>
            <w:right w:val="none" w:sz="0" w:space="0" w:color="auto"/>
          </w:divBdr>
          <w:divsChild>
            <w:div w:id="1973056655">
              <w:marLeft w:val="0"/>
              <w:marRight w:val="0"/>
              <w:marTop w:val="0"/>
              <w:marBottom w:val="0"/>
              <w:divBdr>
                <w:top w:val="none" w:sz="0" w:space="0" w:color="auto"/>
                <w:left w:val="none" w:sz="0" w:space="0" w:color="auto"/>
                <w:bottom w:val="none" w:sz="0" w:space="0" w:color="auto"/>
                <w:right w:val="none" w:sz="0" w:space="0" w:color="auto"/>
              </w:divBdr>
              <w:divsChild>
                <w:div w:id="1940287926">
                  <w:marLeft w:val="0"/>
                  <w:marRight w:val="0"/>
                  <w:marTop w:val="0"/>
                  <w:marBottom w:val="0"/>
                  <w:divBdr>
                    <w:top w:val="none" w:sz="0" w:space="0" w:color="auto"/>
                    <w:left w:val="none" w:sz="0" w:space="0" w:color="auto"/>
                    <w:bottom w:val="none" w:sz="0" w:space="0" w:color="auto"/>
                    <w:right w:val="none" w:sz="0" w:space="0" w:color="auto"/>
                  </w:divBdr>
                  <w:divsChild>
                    <w:div w:id="87190552">
                      <w:marLeft w:val="0"/>
                      <w:marRight w:val="0"/>
                      <w:marTop w:val="0"/>
                      <w:marBottom w:val="300"/>
                      <w:divBdr>
                        <w:top w:val="none" w:sz="0" w:space="0" w:color="auto"/>
                        <w:left w:val="none" w:sz="0" w:space="0" w:color="auto"/>
                        <w:bottom w:val="none" w:sz="0" w:space="0" w:color="auto"/>
                        <w:right w:val="none" w:sz="0" w:space="0" w:color="auto"/>
                      </w:divBdr>
                      <w:divsChild>
                        <w:div w:id="24183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75587">
      <w:bodyDiv w:val="1"/>
      <w:marLeft w:val="0"/>
      <w:marRight w:val="0"/>
      <w:marTop w:val="0"/>
      <w:marBottom w:val="0"/>
      <w:divBdr>
        <w:top w:val="none" w:sz="0" w:space="0" w:color="auto"/>
        <w:left w:val="none" w:sz="0" w:space="0" w:color="auto"/>
        <w:bottom w:val="none" w:sz="0" w:space="0" w:color="auto"/>
        <w:right w:val="none" w:sz="0" w:space="0" w:color="auto"/>
      </w:divBdr>
      <w:divsChild>
        <w:div w:id="1832142329">
          <w:marLeft w:val="0"/>
          <w:marRight w:val="0"/>
          <w:marTop w:val="0"/>
          <w:marBottom w:val="0"/>
          <w:divBdr>
            <w:top w:val="none" w:sz="0" w:space="0" w:color="auto"/>
            <w:left w:val="none" w:sz="0" w:space="0" w:color="auto"/>
            <w:bottom w:val="none" w:sz="0" w:space="0" w:color="auto"/>
            <w:right w:val="none" w:sz="0" w:space="0" w:color="auto"/>
          </w:divBdr>
          <w:divsChild>
            <w:div w:id="1196650166">
              <w:marLeft w:val="0"/>
              <w:marRight w:val="0"/>
              <w:marTop w:val="0"/>
              <w:marBottom w:val="0"/>
              <w:divBdr>
                <w:top w:val="none" w:sz="0" w:space="0" w:color="auto"/>
                <w:left w:val="none" w:sz="0" w:space="0" w:color="auto"/>
                <w:bottom w:val="none" w:sz="0" w:space="0" w:color="auto"/>
                <w:right w:val="none" w:sz="0" w:space="0" w:color="auto"/>
              </w:divBdr>
              <w:divsChild>
                <w:div w:id="979968221">
                  <w:marLeft w:val="0"/>
                  <w:marRight w:val="0"/>
                  <w:marTop w:val="0"/>
                  <w:marBottom w:val="0"/>
                  <w:divBdr>
                    <w:top w:val="none" w:sz="0" w:space="0" w:color="auto"/>
                    <w:left w:val="none" w:sz="0" w:space="0" w:color="auto"/>
                    <w:bottom w:val="none" w:sz="0" w:space="0" w:color="auto"/>
                    <w:right w:val="none" w:sz="0" w:space="0" w:color="auto"/>
                  </w:divBdr>
                  <w:divsChild>
                    <w:div w:id="1613971075">
                      <w:marLeft w:val="0"/>
                      <w:marRight w:val="0"/>
                      <w:marTop w:val="0"/>
                      <w:marBottom w:val="375"/>
                      <w:divBdr>
                        <w:top w:val="none" w:sz="0" w:space="0" w:color="auto"/>
                        <w:left w:val="none" w:sz="0" w:space="0" w:color="auto"/>
                        <w:bottom w:val="none" w:sz="0" w:space="0" w:color="auto"/>
                        <w:right w:val="none" w:sz="0" w:space="0" w:color="auto"/>
                      </w:divBdr>
                      <w:divsChild>
                        <w:div w:id="17924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70087">
      <w:bodyDiv w:val="1"/>
      <w:marLeft w:val="0"/>
      <w:marRight w:val="0"/>
      <w:marTop w:val="0"/>
      <w:marBottom w:val="0"/>
      <w:divBdr>
        <w:top w:val="none" w:sz="0" w:space="0" w:color="auto"/>
        <w:left w:val="none" w:sz="0" w:space="0" w:color="auto"/>
        <w:bottom w:val="none" w:sz="0" w:space="0" w:color="auto"/>
        <w:right w:val="none" w:sz="0" w:space="0" w:color="auto"/>
      </w:divBdr>
      <w:divsChild>
        <w:div w:id="1022508470">
          <w:marLeft w:val="0"/>
          <w:marRight w:val="0"/>
          <w:marTop w:val="0"/>
          <w:marBottom w:val="0"/>
          <w:divBdr>
            <w:top w:val="none" w:sz="0" w:space="0" w:color="auto"/>
            <w:left w:val="single" w:sz="6" w:space="0" w:color="BBBBBB"/>
            <w:bottom w:val="single" w:sz="6" w:space="0" w:color="BBBBBB"/>
            <w:right w:val="single" w:sz="6" w:space="0" w:color="BBBBBB"/>
          </w:divBdr>
          <w:divsChild>
            <w:div w:id="95171809">
              <w:marLeft w:val="0"/>
              <w:marRight w:val="0"/>
              <w:marTop w:val="0"/>
              <w:marBottom w:val="0"/>
              <w:divBdr>
                <w:top w:val="none" w:sz="0" w:space="0" w:color="auto"/>
                <w:left w:val="none" w:sz="0" w:space="0" w:color="auto"/>
                <w:bottom w:val="none" w:sz="0" w:space="0" w:color="auto"/>
                <w:right w:val="none" w:sz="0" w:space="0" w:color="auto"/>
              </w:divBdr>
              <w:divsChild>
                <w:div w:id="449671620">
                  <w:marLeft w:val="0"/>
                  <w:marRight w:val="0"/>
                  <w:marTop w:val="0"/>
                  <w:marBottom w:val="0"/>
                  <w:divBdr>
                    <w:top w:val="none" w:sz="0" w:space="0" w:color="auto"/>
                    <w:left w:val="none" w:sz="0" w:space="0" w:color="auto"/>
                    <w:bottom w:val="none" w:sz="0" w:space="0" w:color="auto"/>
                    <w:right w:val="none" w:sz="0" w:space="0" w:color="auto"/>
                  </w:divBdr>
                  <w:divsChild>
                    <w:div w:id="1702048922">
                      <w:marLeft w:val="0"/>
                      <w:marRight w:val="0"/>
                      <w:marTop w:val="0"/>
                      <w:marBottom w:val="0"/>
                      <w:divBdr>
                        <w:top w:val="none" w:sz="0" w:space="0" w:color="auto"/>
                        <w:left w:val="none" w:sz="0" w:space="0" w:color="auto"/>
                        <w:bottom w:val="none" w:sz="0" w:space="0" w:color="auto"/>
                        <w:right w:val="none" w:sz="0" w:space="0" w:color="auto"/>
                      </w:divBdr>
                      <w:divsChild>
                        <w:div w:id="1643388049">
                          <w:marLeft w:val="0"/>
                          <w:marRight w:val="0"/>
                          <w:marTop w:val="0"/>
                          <w:marBottom w:val="0"/>
                          <w:divBdr>
                            <w:top w:val="none" w:sz="0" w:space="0" w:color="auto"/>
                            <w:left w:val="none" w:sz="0" w:space="0" w:color="auto"/>
                            <w:bottom w:val="none" w:sz="0" w:space="0" w:color="auto"/>
                            <w:right w:val="none" w:sz="0" w:space="0" w:color="auto"/>
                          </w:divBdr>
                          <w:divsChild>
                            <w:div w:id="1034772229">
                              <w:marLeft w:val="0"/>
                              <w:marRight w:val="0"/>
                              <w:marTop w:val="0"/>
                              <w:marBottom w:val="0"/>
                              <w:divBdr>
                                <w:top w:val="none" w:sz="0" w:space="0" w:color="auto"/>
                                <w:left w:val="none" w:sz="0" w:space="0" w:color="auto"/>
                                <w:bottom w:val="none" w:sz="0" w:space="0" w:color="auto"/>
                                <w:right w:val="none" w:sz="0" w:space="0" w:color="auto"/>
                              </w:divBdr>
                              <w:divsChild>
                                <w:div w:id="2101441175">
                                  <w:marLeft w:val="0"/>
                                  <w:marRight w:val="0"/>
                                  <w:marTop w:val="0"/>
                                  <w:marBottom w:val="0"/>
                                  <w:divBdr>
                                    <w:top w:val="none" w:sz="0" w:space="0" w:color="auto"/>
                                    <w:left w:val="none" w:sz="0" w:space="0" w:color="auto"/>
                                    <w:bottom w:val="none" w:sz="0" w:space="0" w:color="auto"/>
                                    <w:right w:val="none" w:sz="0" w:space="0" w:color="auto"/>
                                  </w:divBdr>
                                  <w:divsChild>
                                    <w:div w:id="163202680">
                                      <w:marLeft w:val="0"/>
                                      <w:marRight w:val="0"/>
                                      <w:marTop w:val="0"/>
                                      <w:marBottom w:val="0"/>
                                      <w:divBdr>
                                        <w:top w:val="none" w:sz="0" w:space="0" w:color="auto"/>
                                        <w:left w:val="none" w:sz="0" w:space="0" w:color="auto"/>
                                        <w:bottom w:val="none" w:sz="0" w:space="0" w:color="auto"/>
                                        <w:right w:val="none" w:sz="0" w:space="0" w:color="auto"/>
                                      </w:divBdr>
                                      <w:divsChild>
                                        <w:div w:id="944338409">
                                          <w:marLeft w:val="1200"/>
                                          <w:marRight w:val="1200"/>
                                          <w:marTop w:val="0"/>
                                          <w:marBottom w:val="0"/>
                                          <w:divBdr>
                                            <w:top w:val="none" w:sz="0" w:space="0" w:color="auto"/>
                                            <w:left w:val="none" w:sz="0" w:space="0" w:color="auto"/>
                                            <w:bottom w:val="none" w:sz="0" w:space="0" w:color="auto"/>
                                            <w:right w:val="none" w:sz="0" w:space="0" w:color="auto"/>
                                          </w:divBdr>
                                          <w:divsChild>
                                            <w:div w:id="1678995625">
                                              <w:marLeft w:val="0"/>
                                              <w:marRight w:val="0"/>
                                              <w:marTop w:val="0"/>
                                              <w:marBottom w:val="0"/>
                                              <w:divBdr>
                                                <w:top w:val="none" w:sz="0" w:space="0" w:color="auto"/>
                                                <w:left w:val="none" w:sz="0" w:space="0" w:color="auto"/>
                                                <w:bottom w:val="none" w:sz="0" w:space="0" w:color="auto"/>
                                                <w:right w:val="none" w:sz="0" w:space="0" w:color="auto"/>
                                              </w:divBdr>
                                              <w:divsChild>
                                                <w:div w:id="464084351">
                                                  <w:marLeft w:val="0"/>
                                                  <w:marRight w:val="0"/>
                                                  <w:marTop w:val="0"/>
                                                  <w:marBottom w:val="0"/>
                                                  <w:divBdr>
                                                    <w:top w:val="none" w:sz="0" w:space="0" w:color="auto"/>
                                                    <w:left w:val="none" w:sz="0" w:space="0" w:color="auto"/>
                                                    <w:bottom w:val="none" w:sz="0" w:space="0" w:color="auto"/>
                                                    <w:right w:val="none" w:sz="0" w:space="0" w:color="auto"/>
                                                  </w:divBdr>
                                                  <w:divsChild>
                                                    <w:div w:id="1532182913">
                                                      <w:marLeft w:val="0"/>
                                                      <w:marRight w:val="0"/>
                                                      <w:marTop w:val="0"/>
                                                      <w:marBottom w:val="0"/>
                                                      <w:divBdr>
                                                        <w:top w:val="none" w:sz="0" w:space="0" w:color="auto"/>
                                                        <w:left w:val="none" w:sz="0" w:space="0" w:color="auto"/>
                                                        <w:bottom w:val="none" w:sz="0" w:space="0" w:color="auto"/>
                                                        <w:right w:val="none" w:sz="0" w:space="0" w:color="auto"/>
                                                      </w:divBdr>
                                                      <w:divsChild>
                                                        <w:div w:id="855120310">
                                                          <w:marLeft w:val="0"/>
                                                          <w:marRight w:val="0"/>
                                                          <w:marTop w:val="0"/>
                                                          <w:marBottom w:val="0"/>
                                                          <w:divBdr>
                                                            <w:top w:val="none" w:sz="0" w:space="0" w:color="auto"/>
                                                            <w:left w:val="none" w:sz="0" w:space="0" w:color="auto"/>
                                                            <w:bottom w:val="none" w:sz="0" w:space="0" w:color="auto"/>
                                                            <w:right w:val="none" w:sz="0" w:space="0" w:color="auto"/>
                                                          </w:divBdr>
                                                          <w:divsChild>
                                                            <w:div w:id="1093817918">
                                                              <w:marLeft w:val="0"/>
                                                              <w:marRight w:val="0"/>
                                                              <w:marTop w:val="0"/>
                                                              <w:marBottom w:val="0"/>
                                                              <w:divBdr>
                                                                <w:top w:val="none" w:sz="0" w:space="0" w:color="auto"/>
                                                                <w:left w:val="none" w:sz="0" w:space="0" w:color="auto"/>
                                                                <w:bottom w:val="none" w:sz="0" w:space="0" w:color="auto"/>
                                                                <w:right w:val="none" w:sz="0" w:space="0" w:color="auto"/>
                                                              </w:divBdr>
                                                              <w:divsChild>
                                                                <w:div w:id="1600600350">
                                                                  <w:marLeft w:val="0"/>
                                                                  <w:marRight w:val="0"/>
                                                                  <w:marTop w:val="0"/>
                                                                  <w:marBottom w:val="0"/>
                                                                  <w:divBdr>
                                                                    <w:top w:val="none" w:sz="0" w:space="0" w:color="auto"/>
                                                                    <w:left w:val="none" w:sz="0" w:space="0" w:color="auto"/>
                                                                    <w:bottom w:val="none" w:sz="0" w:space="0" w:color="auto"/>
                                                                    <w:right w:val="none" w:sz="0" w:space="0" w:color="auto"/>
                                                                  </w:divBdr>
                                                                  <w:divsChild>
                                                                    <w:div w:id="439762873">
                                                                      <w:marLeft w:val="0"/>
                                                                      <w:marRight w:val="0"/>
                                                                      <w:marTop w:val="0"/>
                                                                      <w:marBottom w:val="0"/>
                                                                      <w:divBdr>
                                                                        <w:top w:val="none" w:sz="0" w:space="0" w:color="auto"/>
                                                                        <w:left w:val="none" w:sz="0" w:space="0" w:color="auto"/>
                                                                        <w:bottom w:val="none" w:sz="0" w:space="0" w:color="auto"/>
                                                                        <w:right w:val="none" w:sz="0" w:space="0" w:color="auto"/>
                                                                      </w:divBdr>
                                                                      <w:divsChild>
                                                                        <w:div w:id="1610696793">
                                                                          <w:marLeft w:val="0"/>
                                                                          <w:marRight w:val="0"/>
                                                                          <w:marTop w:val="0"/>
                                                                          <w:marBottom w:val="0"/>
                                                                          <w:divBdr>
                                                                            <w:top w:val="none" w:sz="0" w:space="0" w:color="auto"/>
                                                                            <w:left w:val="none" w:sz="0" w:space="0" w:color="auto"/>
                                                                            <w:bottom w:val="none" w:sz="0" w:space="0" w:color="auto"/>
                                                                            <w:right w:val="none" w:sz="0" w:space="0" w:color="auto"/>
                                                                          </w:divBdr>
                                                                        </w:div>
                                                                      </w:divsChild>
                                                                    </w:div>
                                                                    <w:div w:id="466050394">
                                                                      <w:marLeft w:val="0"/>
                                                                      <w:marRight w:val="0"/>
                                                                      <w:marTop w:val="0"/>
                                                                      <w:marBottom w:val="0"/>
                                                                      <w:divBdr>
                                                                        <w:top w:val="none" w:sz="0" w:space="0" w:color="auto"/>
                                                                        <w:left w:val="none" w:sz="0" w:space="0" w:color="auto"/>
                                                                        <w:bottom w:val="none" w:sz="0" w:space="0" w:color="auto"/>
                                                                        <w:right w:val="none" w:sz="0" w:space="0" w:color="auto"/>
                                                                      </w:divBdr>
                                                                      <w:divsChild>
                                                                        <w:div w:id="1965886432">
                                                                          <w:marLeft w:val="0"/>
                                                                          <w:marRight w:val="0"/>
                                                                          <w:marTop w:val="0"/>
                                                                          <w:marBottom w:val="0"/>
                                                                          <w:divBdr>
                                                                            <w:top w:val="none" w:sz="0" w:space="0" w:color="auto"/>
                                                                            <w:left w:val="none" w:sz="0" w:space="0" w:color="auto"/>
                                                                            <w:bottom w:val="none" w:sz="0" w:space="0" w:color="auto"/>
                                                                            <w:right w:val="none" w:sz="0" w:space="0" w:color="auto"/>
                                                                          </w:divBdr>
                                                                        </w:div>
                                                                      </w:divsChild>
                                                                    </w:div>
                                                                    <w:div w:id="476604746">
                                                                      <w:marLeft w:val="0"/>
                                                                      <w:marRight w:val="0"/>
                                                                      <w:marTop w:val="0"/>
                                                                      <w:marBottom w:val="0"/>
                                                                      <w:divBdr>
                                                                        <w:top w:val="none" w:sz="0" w:space="0" w:color="auto"/>
                                                                        <w:left w:val="none" w:sz="0" w:space="0" w:color="auto"/>
                                                                        <w:bottom w:val="none" w:sz="0" w:space="0" w:color="auto"/>
                                                                        <w:right w:val="none" w:sz="0" w:space="0" w:color="auto"/>
                                                                      </w:divBdr>
                                                                      <w:divsChild>
                                                                        <w:div w:id="274597448">
                                                                          <w:marLeft w:val="0"/>
                                                                          <w:marRight w:val="0"/>
                                                                          <w:marTop w:val="0"/>
                                                                          <w:marBottom w:val="0"/>
                                                                          <w:divBdr>
                                                                            <w:top w:val="none" w:sz="0" w:space="0" w:color="auto"/>
                                                                            <w:left w:val="none" w:sz="0" w:space="0" w:color="auto"/>
                                                                            <w:bottom w:val="none" w:sz="0" w:space="0" w:color="auto"/>
                                                                            <w:right w:val="none" w:sz="0" w:space="0" w:color="auto"/>
                                                                          </w:divBdr>
                                                                        </w:div>
                                                                        <w:div w:id="954600099">
                                                                          <w:marLeft w:val="0"/>
                                                                          <w:marRight w:val="0"/>
                                                                          <w:marTop w:val="0"/>
                                                                          <w:marBottom w:val="0"/>
                                                                          <w:divBdr>
                                                                            <w:top w:val="none" w:sz="0" w:space="0" w:color="auto"/>
                                                                            <w:left w:val="none" w:sz="0" w:space="0" w:color="auto"/>
                                                                            <w:bottom w:val="none" w:sz="0" w:space="0" w:color="auto"/>
                                                                            <w:right w:val="none" w:sz="0" w:space="0" w:color="auto"/>
                                                                          </w:divBdr>
                                                                        </w:div>
                                                                        <w:div w:id="1800302358">
                                                                          <w:marLeft w:val="0"/>
                                                                          <w:marRight w:val="0"/>
                                                                          <w:marTop w:val="0"/>
                                                                          <w:marBottom w:val="0"/>
                                                                          <w:divBdr>
                                                                            <w:top w:val="none" w:sz="0" w:space="0" w:color="auto"/>
                                                                            <w:left w:val="none" w:sz="0" w:space="0" w:color="auto"/>
                                                                            <w:bottom w:val="none" w:sz="0" w:space="0" w:color="auto"/>
                                                                            <w:right w:val="none" w:sz="0" w:space="0" w:color="auto"/>
                                                                          </w:divBdr>
                                                                          <w:divsChild>
                                                                            <w:div w:id="1239901070">
                                                                              <w:marLeft w:val="0"/>
                                                                              <w:marRight w:val="0"/>
                                                                              <w:marTop w:val="0"/>
                                                                              <w:marBottom w:val="0"/>
                                                                              <w:divBdr>
                                                                                <w:top w:val="none" w:sz="0" w:space="0" w:color="auto"/>
                                                                                <w:left w:val="none" w:sz="0" w:space="0" w:color="auto"/>
                                                                                <w:bottom w:val="none" w:sz="0" w:space="0" w:color="auto"/>
                                                                                <w:right w:val="none" w:sz="0" w:space="0" w:color="auto"/>
                                                                              </w:divBdr>
                                                                              <w:divsChild>
                                                                                <w:div w:id="1544247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5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341872">
                                                                      <w:marLeft w:val="0"/>
                                                                      <w:marRight w:val="0"/>
                                                                      <w:marTop w:val="0"/>
                                                                      <w:marBottom w:val="0"/>
                                                                      <w:divBdr>
                                                                        <w:top w:val="none" w:sz="0" w:space="0" w:color="auto"/>
                                                                        <w:left w:val="none" w:sz="0" w:space="0" w:color="auto"/>
                                                                        <w:bottom w:val="none" w:sz="0" w:space="0" w:color="auto"/>
                                                                        <w:right w:val="none" w:sz="0" w:space="0" w:color="auto"/>
                                                                      </w:divBdr>
                                                                      <w:divsChild>
                                                                        <w:div w:id="232157229">
                                                                          <w:marLeft w:val="0"/>
                                                                          <w:marRight w:val="0"/>
                                                                          <w:marTop w:val="0"/>
                                                                          <w:marBottom w:val="0"/>
                                                                          <w:divBdr>
                                                                            <w:top w:val="none" w:sz="0" w:space="0" w:color="auto"/>
                                                                            <w:left w:val="none" w:sz="0" w:space="0" w:color="auto"/>
                                                                            <w:bottom w:val="none" w:sz="0" w:space="0" w:color="auto"/>
                                                                            <w:right w:val="none" w:sz="0" w:space="0" w:color="auto"/>
                                                                          </w:divBdr>
                                                                        </w:div>
                                                                        <w:div w:id="809710825">
                                                                          <w:marLeft w:val="0"/>
                                                                          <w:marRight w:val="0"/>
                                                                          <w:marTop w:val="0"/>
                                                                          <w:marBottom w:val="0"/>
                                                                          <w:divBdr>
                                                                            <w:top w:val="none" w:sz="0" w:space="0" w:color="auto"/>
                                                                            <w:left w:val="none" w:sz="0" w:space="0" w:color="auto"/>
                                                                            <w:bottom w:val="none" w:sz="0" w:space="0" w:color="auto"/>
                                                                            <w:right w:val="none" w:sz="0" w:space="0" w:color="auto"/>
                                                                          </w:divBdr>
                                                                          <w:divsChild>
                                                                            <w:div w:id="1599604004">
                                                                              <w:marLeft w:val="0"/>
                                                                              <w:marRight w:val="0"/>
                                                                              <w:marTop w:val="0"/>
                                                                              <w:marBottom w:val="0"/>
                                                                              <w:divBdr>
                                                                                <w:top w:val="none" w:sz="0" w:space="0" w:color="auto"/>
                                                                                <w:left w:val="none" w:sz="0" w:space="0" w:color="auto"/>
                                                                                <w:bottom w:val="none" w:sz="0" w:space="0" w:color="auto"/>
                                                                                <w:right w:val="none" w:sz="0" w:space="0" w:color="auto"/>
                                                                              </w:divBdr>
                                                                              <w:divsChild>
                                                                                <w:div w:id="62647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5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83197">
                                                                          <w:marLeft w:val="0"/>
                                                                          <w:marRight w:val="0"/>
                                                                          <w:marTop w:val="0"/>
                                                                          <w:marBottom w:val="0"/>
                                                                          <w:divBdr>
                                                                            <w:top w:val="none" w:sz="0" w:space="0" w:color="auto"/>
                                                                            <w:left w:val="none" w:sz="0" w:space="0" w:color="auto"/>
                                                                            <w:bottom w:val="none" w:sz="0" w:space="0" w:color="auto"/>
                                                                            <w:right w:val="none" w:sz="0" w:space="0" w:color="auto"/>
                                                                          </w:divBdr>
                                                                        </w:div>
                                                                      </w:divsChild>
                                                                    </w:div>
                                                                    <w:div w:id="1292785406">
                                                                      <w:marLeft w:val="0"/>
                                                                      <w:marRight w:val="0"/>
                                                                      <w:marTop w:val="0"/>
                                                                      <w:marBottom w:val="0"/>
                                                                      <w:divBdr>
                                                                        <w:top w:val="none" w:sz="0" w:space="0" w:color="auto"/>
                                                                        <w:left w:val="none" w:sz="0" w:space="0" w:color="auto"/>
                                                                        <w:bottom w:val="none" w:sz="0" w:space="0" w:color="auto"/>
                                                                        <w:right w:val="none" w:sz="0" w:space="0" w:color="auto"/>
                                                                      </w:divBdr>
                                                                      <w:divsChild>
                                                                        <w:div w:id="1161196838">
                                                                          <w:marLeft w:val="0"/>
                                                                          <w:marRight w:val="0"/>
                                                                          <w:marTop w:val="0"/>
                                                                          <w:marBottom w:val="0"/>
                                                                          <w:divBdr>
                                                                            <w:top w:val="none" w:sz="0" w:space="0" w:color="auto"/>
                                                                            <w:left w:val="none" w:sz="0" w:space="0" w:color="auto"/>
                                                                            <w:bottom w:val="none" w:sz="0" w:space="0" w:color="auto"/>
                                                                            <w:right w:val="none" w:sz="0" w:space="0" w:color="auto"/>
                                                                          </w:divBdr>
                                                                        </w:div>
                                                                      </w:divsChild>
                                                                    </w:div>
                                                                    <w:div w:id="1748116995">
                                                                      <w:marLeft w:val="0"/>
                                                                      <w:marRight w:val="0"/>
                                                                      <w:marTop w:val="0"/>
                                                                      <w:marBottom w:val="0"/>
                                                                      <w:divBdr>
                                                                        <w:top w:val="none" w:sz="0" w:space="0" w:color="auto"/>
                                                                        <w:left w:val="none" w:sz="0" w:space="0" w:color="auto"/>
                                                                        <w:bottom w:val="none" w:sz="0" w:space="0" w:color="auto"/>
                                                                        <w:right w:val="none" w:sz="0" w:space="0" w:color="auto"/>
                                                                      </w:divBdr>
                                                                      <w:divsChild>
                                                                        <w:div w:id="1946763952">
                                                                          <w:marLeft w:val="0"/>
                                                                          <w:marRight w:val="0"/>
                                                                          <w:marTop w:val="0"/>
                                                                          <w:marBottom w:val="0"/>
                                                                          <w:divBdr>
                                                                            <w:top w:val="none" w:sz="0" w:space="0" w:color="auto"/>
                                                                            <w:left w:val="none" w:sz="0" w:space="0" w:color="auto"/>
                                                                            <w:bottom w:val="none" w:sz="0" w:space="0" w:color="auto"/>
                                                                            <w:right w:val="none" w:sz="0" w:space="0" w:color="auto"/>
                                                                          </w:divBdr>
                                                                        </w:div>
                                                                      </w:divsChild>
                                                                    </w:div>
                                                                    <w:div w:id="1879201433">
                                                                      <w:marLeft w:val="0"/>
                                                                      <w:marRight w:val="0"/>
                                                                      <w:marTop w:val="0"/>
                                                                      <w:marBottom w:val="0"/>
                                                                      <w:divBdr>
                                                                        <w:top w:val="none" w:sz="0" w:space="0" w:color="auto"/>
                                                                        <w:left w:val="none" w:sz="0" w:space="0" w:color="auto"/>
                                                                        <w:bottom w:val="none" w:sz="0" w:space="0" w:color="auto"/>
                                                                        <w:right w:val="none" w:sz="0" w:space="0" w:color="auto"/>
                                                                      </w:divBdr>
                                                                      <w:divsChild>
                                                                        <w:div w:id="146366507">
                                                                          <w:marLeft w:val="0"/>
                                                                          <w:marRight w:val="0"/>
                                                                          <w:marTop w:val="0"/>
                                                                          <w:marBottom w:val="0"/>
                                                                          <w:divBdr>
                                                                            <w:top w:val="none" w:sz="0" w:space="0" w:color="auto"/>
                                                                            <w:left w:val="none" w:sz="0" w:space="0" w:color="auto"/>
                                                                            <w:bottom w:val="none" w:sz="0" w:space="0" w:color="auto"/>
                                                                            <w:right w:val="none" w:sz="0" w:space="0" w:color="auto"/>
                                                                          </w:divBdr>
                                                                        </w:div>
                                                                      </w:divsChild>
                                                                    </w:div>
                                                                    <w:div w:id="2078430564">
                                                                      <w:marLeft w:val="0"/>
                                                                      <w:marRight w:val="0"/>
                                                                      <w:marTop w:val="0"/>
                                                                      <w:marBottom w:val="0"/>
                                                                      <w:divBdr>
                                                                        <w:top w:val="none" w:sz="0" w:space="0" w:color="auto"/>
                                                                        <w:left w:val="none" w:sz="0" w:space="0" w:color="auto"/>
                                                                        <w:bottom w:val="none" w:sz="0" w:space="0" w:color="auto"/>
                                                                        <w:right w:val="none" w:sz="0" w:space="0" w:color="auto"/>
                                                                      </w:divBdr>
                                                                      <w:divsChild>
                                                                        <w:div w:id="7562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5335">
      <w:bodyDiv w:val="1"/>
      <w:marLeft w:val="0"/>
      <w:marRight w:val="0"/>
      <w:marTop w:val="0"/>
      <w:marBottom w:val="0"/>
      <w:divBdr>
        <w:top w:val="none" w:sz="0" w:space="0" w:color="auto"/>
        <w:left w:val="none" w:sz="0" w:space="0" w:color="auto"/>
        <w:bottom w:val="none" w:sz="0" w:space="0" w:color="auto"/>
        <w:right w:val="none" w:sz="0" w:space="0" w:color="auto"/>
      </w:divBdr>
      <w:divsChild>
        <w:div w:id="548228331">
          <w:marLeft w:val="0"/>
          <w:marRight w:val="0"/>
          <w:marTop w:val="240"/>
          <w:marBottom w:val="0"/>
          <w:divBdr>
            <w:top w:val="none" w:sz="0" w:space="0" w:color="auto"/>
            <w:left w:val="none" w:sz="0" w:space="0" w:color="auto"/>
            <w:bottom w:val="none" w:sz="0" w:space="0" w:color="auto"/>
            <w:right w:val="none" w:sz="0" w:space="0" w:color="auto"/>
          </w:divBdr>
          <w:divsChild>
            <w:div w:id="1041857936">
              <w:marLeft w:val="0"/>
              <w:marRight w:val="0"/>
              <w:marTop w:val="0"/>
              <w:marBottom w:val="0"/>
              <w:divBdr>
                <w:top w:val="none" w:sz="0" w:space="0" w:color="auto"/>
                <w:left w:val="none" w:sz="0" w:space="0" w:color="auto"/>
                <w:bottom w:val="none" w:sz="0" w:space="0" w:color="auto"/>
                <w:right w:val="none" w:sz="0" w:space="0" w:color="auto"/>
              </w:divBdr>
            </w:div>
          </w:divsChild>
        </w:div>
        <w:div w:id="614141055">
          <w:marLeft w:val="0"/>
          <w:marRight w:val="0"/>
          <w:marTop w:val="240"/>
          <w:marBottom w:val="0"/>
          <w:divBdr>
            <w:top w:val="none" w:sz="0" w:space="0" w:color="auto"/>
            <w:left w:val="none" w:sz="0" w:space="0" w:color="auto"/>
            <w:bottom w:val="none" w:sz="0" w:space="0" w:color="auto"/>
            <w:right w:val="none" w:sz="0" w:space="0" w:color="auto"/>
          </w:divBdr>
          <w:divsChild>
            <w:div w:id="1112045881">
              <w:marLeft w:val="0"/>
              <w:marRight w:val="0"/>
              <w:marTop w:val="0"/>
              <w:marBottom w:val="0"/>
              <w:divBdr>
                <w:top w:val="none" w:sz="0" w:space="0" w:color="auto"/>
                <w:left w:val="none" w:sz="0" w:space="0" w:color="auto"/>
                <w:bottom w:val="none" w:sz="0" w:space="0" w:color="auto"/>
                <w:right w:val="none" w:sz="0" w:space="0" w:color="auto"/>
              </w:divBdr>
            </w:div>
          </w:divsChild>
        </w:div>
        <w:div w:id="883950865">
          <w:marLeft w:val="0"/>
          <w:marRight w:val="0"/>
          <w:marTop w:val="240"/>
          <w:marBottom w:val="0"/>
          <w:divBdr>
            <w:top w:val="none" w:sz="0" w:space="0" w:color="auto"/>
            <w:left w:val="none" w:sz="0" w:space="0" w:color="auto"/>
            <w:bottom w:val="none" w:sz="0" w:space="0" w:color="auto"/>
            <w:right w:val="none" w:sz="0" w:space="0" w:color="auto"/>
          </w:divBdr>
          <w:divsChild>
            <w:div w:id="838348788">
              <w:marLeft w:val="0"/>
              <w:marRight w:val="0"/>
              <w:marTop w:val="0"/>
              <w:marBottom w:val="0"/>
              <w:divBdr>
                <w:top w:val="none" w:sz="0" w:space="0" w:color="auto"/>
                <w:left w:val="none" w:sz="0" w:space="0" w:color="auto"/>
                <w:bottom w:val="none" w:sz="0" w:space="0" w:color="auto"/>
                <w:right w:val="none" w:sz="0" w:space="0" w:color="auto"/>
              </w:divBdr>
            </w:div>
          </w:divsChild>
        </w:div>
        <w:div w:id="1054351807">
          <w:marLeft w:val="0"/>
          <w:marRight w:val="0"/>
          <w:marTop w:val="240"/>
          <w:marBottom w:val="0"/>
          <w:divBdr>
            <w:top w:val="none" w:sz="0" w:space="0" w:color="auto"/>
            <w:left w:val="none" w:sz="0" w:space="0" w:color="auto"/>
            <w:bottom w:val="none" w:sz="0" w:space="0" w:color="auto"/>
            <w:right w:val="none" w:sz="0" w:space="0" w:color="auto"/>
          </w:divBdr>
          <w:divsChild>
            <w:div w:id="1887451922">
              <w:marLeft w:val="0"/>
              <w:marRight w:val="0"/>
              <w:marTop w:val="0"/>
              <w:marBottom w:val="0"/>
              <w:divBdr>
                <w:top w:val="none" w:sz="0" w:space="0" w:color="auto"/>
                <w:left w:val="none" w:sz="0" w:space="0" w:color="auto"/>
                <w:bottom w:val="none" w:sz="0" w:space="0" w:color="auto"/>
                <w:right w:val="none" w:sz="0" w:space="0" w:color="auto"/>
              </w:divBdr>
            </w:div>
          </w:divsChild>
        </w:div>
        <w:div w:id="1415473705">
          <w:marLeft w:val="0"/>
          <w:marRight w:val="0"/>
          <w:marTop w:val="240"/>
          <w:marBottom w:val="0"/>
          <w:divBdr>
            <w:top w:val="none" w:sz="0" w:space="0" w:color="auto"/>
            <w:left w:val="none" w:sz="0" w:space="0" w:color="auto"/>
            <w:bottom w:val="none" w:sz="0" w:space="0" w:color="auto"/>
            <w:right w:val="none" w:sz="0" w:space="0" w:color="auto"/>
          </w:divBdr>
          <w:divsChild>
            <w:div w:id="45879880">
              <w:marLeft w:val="0"/>
              <w:marRight w:val="0"/>
              <w:marTop w:val="0"/>
              <w:marBottom w:val="0"/>
              <w:divBdr>
                <w:top w:val="none" w:sz="0" w:space="0" w:color="auto"/>
                <w:left w:val="none" w:sz="0" w:space="0" w:color="auto"/>
                <w:bottom w:val="none" w:sz="0" w:space="0" w:color="auto"/>
                <w:right w:val="none" w:sz="0" w:space="0" w:color="auto"/>
              </w:divBdr>
            </w:div>
          </w:divsChild>
        </w:div>
        <w:div w:id="1947691917">
          <w:marLeft w:val="0"/>
          <w:marRight w:val="0"/>
          <w:marTop w:val="240"/>
          <w:marBottom w:val="0"/>
          <w:divBdr>
            <w:top w:val="none" w:sz="0" w:space="0" w:color="auto"/>
            <w:left w:val="none" w:sz="0" w:space="0" w:color="auto"/>
            <w:bottom w:val="none" w:sz="0" w:space="0" w:color="auto"/>
            <w:right w:val="none" w:sz="0" w:space="0" w:color="auto"/>
          </w:divBdr>
          <w:divsChild>
            <w:div w:id="115368098">
              <w:marLeft w:val="0"/>
              <w:marRight w:val="0"/>
              <w:marTop w:val="0"/>
              <w:marBottom w:val="0"/>
              <w:divBdr>
                <w:top w:val="none" w:sz="0" w:space="0" w:color="auto"/>
                <w:left w:val="none" w:sz="0" w:space="0" w:color="auto"/>
                <w:bottom w:val="none" w:sz="0" w:space="0" w:color="auto"/>
                <w:right w:val="none" w:sz="0" w:space="0" w:color="auto"/>
              </w:divBdr>
            </w:div>
            <w:div w:id="865364675">
              <w:marLeft w:val="0"/>
              <w:marRight w:val="0"/>
              <w:marTop w:val="240"/>
              <w:marBottom w:val="0"/>
              <w:divBdr>
                <w:top w:val="none" w:sz="0" w:space="0" w:color="auto"/>
                <w:left w:val="none" w:sz="0" w:space="0" w:color="auto"/>
                <w:bottom w:val="none" w:sz="0" w:space="0" w:color="auto"/>
                <w:right w:val="none" w:sz="0" w:space="0" w:color="auto"/>
              </w:divBdr>
              <w:divsChild>
                <w:div w:id="1177499873">
                  <w:marLeft w:val="0"/>
                  <w:marRight w:val="0"/>
                  <w:marTop w:val="0"/>
                  <w:marBottom w:val="0"/>
                  <w:divBdr>
                    <w:top w:val="none" w:sz="0" w:space="0" w:color="auto"/>
                    <w:left w:val="none" w:sz="0" w:space="0" w:color="auto"/>
                    <w:bottom w:val="none" w:sz="0" w:space="0" w:color="auto"/>
                    <w:right w:val="none" w:sz="0" w:space="0" w:color="auto"/>
                  </w:divBdr>
                </w:div>
              </w:divsChild>
            </w:div>
            <w:div w:id="1210144663">
              <w:marLeft w:val="0"/>
              <w:marRight w:val="0"/>
              <w:marTop w:val="240"/>
              <w:marBottom w:val="0"/>
              <w:divBdr>
                <w:top w:val="none" w:sz="0" w:space="0" w:color="auto"/>
                <w:left w:val="none" w:sz="0" w:space="0" w:color="auto"/>
                <w:bottom w:val="none" w:sz="0" w:space="0" w:color="auto"/>
                <w:right w:val="none" w:sz="0" w:space="0" w:color="auto"/>
              </w:divBdr>
              <w:divsChild>
                <w:div w:id="1828276708">
                  <w:marLeft w:val="0"/>
                  <w:marRight w:val="0"/>
                  <w:marTop w:val="0"/>
                  <w:marBottom w:val="0"/>
                  <w:divBdr>
                    <w:top w:val="none" w:sz="0" w:space="0" w:color="auto"/>
                    <w:left w:val="none" w:sz="0" w:space="0" w:color="auto"/>
                    <w:bottom w:val="none" w:sz="0" w:space="0" w:color="auto"/>
                    <w:right w:val="none" w:sz="0" w:space="0" w:color="auto"/>
                  </w:divBdr>
                </w:div>
              </w:divsChild>
            </w:div>
            <w:div w:id="1357463649">
              <w:marLeft w:val="0"/>
              <w:marRight w:val="0"/>
              <w:marTop w:val="240"/>
              <w:marBottom w:val="0"/>
              <w:divBdr>
                <w:top w:val="none" w:sz="0" w:space="0" w:color="auto"/>
                <w:left w:val="none" w:sz="0" w:space="0" w:color="auto"/>
                <w:bottom w:val="none" w:sz="0" w:space="0" w:color="auto"/>
                <w:right w:val="none" w:sz="0" w:space="0" w:color="auto"/>
              </w:divBdr>
              <w:divsChild>
                <w:div w:id="1705518021">
                  <w:marLeft w:val="0"/>
                  <w:marRight w:val="0"/>
                  <w:marTop w:val="0"/>
                  <w:marBottom w:val="0"/>
                  <w:divBdr>
                    <w:top w:val="none" w:sz="0" w:space="0" w:color="auto"/>
                    <w:left w:val="none" w:sz="0" w:space="0" w:color="auto"/>
                    <w:bottom w:val="none" w:sz="0" w:space="0" w:color="auto"/>
                    <w:right w:val="none" w:sz="0" w:space="0" w:color="auto"/>
                  </w:divBdr>
                </w:div>
              </w:divsChild>
            </w:div>
            <w:div w:id="1422410589">
              <w:marLeft w:val="0"/>
              <w:marRight w:val="0"/>
              <w:marTop w:val="240"/>
              <w:marBottom w:val="0"/>
              <w:divBdr>
                <w:top w:val="none" w:sz="0" w:space="0" w:color="auto"/>
                <w:left w:val="none" w:sz="0" w:space="0" w:color="auto"/>
                <w:bottom w:val="none" w:sz="0" w:space="0" w:color="auto"/>
                <w:right w:val="none" w:sz="0" w:space="0" w:color="auto"/>
              </w:divBdr>
              <w:divsChild>
                <w:div w:id="1882129173">
                  <w:marLeft w:val="0"/>
                  <w:marRight w:val="0"/>
                  <w:marTop w:val="0"/>
                  <w:marBottom w:val="0"/>
                  <w:divBdr>
                    <w:top w:val="none" w:sz="0" w:space="0" w:color="auto"/>
                    <w:left w:val="none" w:sz="0" w:space="0" w:color="auto"/>
                    <w:bottom w:val="none" w:sz="0" w:space="0" w:color="auto"/>
                    <w:right w:val="none" w:sz="0" w:space="0" w:color="auto"/>
                  </w:divBdr>
                </w:div>
              </w:divsChild>
            </w:div>
            <w:div w:id="1719166972">
              <w:marLeft w:val="0"/>
              <w:marRight w:val="0"/>
              <w:marTop w:val="240"/>
              <w:marBottom w:val="0"/>
              <w:divBdr>
                <w:top w:val="none" w:sz="0" w:space="0" w:color="auto"/>
                <w:left w:val="none" w:sz="0" w:space="0" w:color="auto"/>
                <w:bottom w:val="none" w:sz="0" w:space="0" w:color="auto"/>
                <w:right w:val="none" w:sz="0" w:space="0" w:color="auto"/>
              </w:divBdr>
              <w:divsChild>
                <w:div w:id="1141729653">
                  <w:marLeft w:val="0"/>
                  <w:marRight w:val="0"/>
                  <w:marTop w:val="0"/>
                  <w:marBottom w:val="0"/>
                  <w:divBdr>
                    <w:top w:val="none" w:sz="0" w:space="0" w:color="auto"/>
                    <w:left w:val="none" w:sz="0" w:space="0" w:color="auto"/>
                    <w:bottom w:val="none" w:sz="0" w:space="0" w:color="auto"/>
                    <w:right w:val="none" w:sz="0" w:space="0" w:color="auto"/>
                  </w:divBdr>
                </w:div>
              </w:divsChild>
            </w:div>
            <w:div w:id="185842017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0003018">
      <w:bodyDiv w:val="1"/>
      <w:marLeft w:val="0"/>
      <w:marRight w:val="0"/>
      <w:marTop w:val="0"/>
      <w:marBottom w:val="0"/>
      <w:divBdr>
        <w:top w:val="none" w:sz="0" w:space="0" w:color="auto"/>
        <w:left w:val="none" w:sz="0" w:space="0" w:color="auto"/>
        <w:bottom w:val="none" w:sz="0" w:space="0" w:color="auto"/>
        <w:right w:val="none" w:sz="0" w:space="0" w:color="auto"/>
      </w:divBdr>
      <w:divsChild>
        <w:div w:id="96365839">
          <w:marLeft w:val="0"/>
          <w:marRight w:val="0"/>
          <w:marTop w:val="0"/>
          <w:marBottom w:val="0"/>
          <w:divBdr>
            <w:top w:val="none" w:sz="0" w:space="0" w:color="auto"/>
            <w:left w:val="single" w:sz="6" w:space="0" w:color="BBBBBB"/>
            <w:bottom w:val="single" w:sz="6" w:space="0" w:color="BBBBBB"/>
            <w:right w:val="single" w:sz="6" w:space="0" w:color="BBBBBB"/>
          </w:divBdr>
          <w:divsChild>
            <w:div w:id="1874347887">
              <w:marLeft w:val="0"/>
              <w:marRight w:val="0"/>
              <w:marTop w:val="0"/>
              <w:marBottom w:val="0"/>
              <w:divBdr>
                <w:top w:val="none" w:sz="0" w:space="0" w:color="auto"/>
                <w:left w:val="none" w:sz="0" w:space="0" w:color="auto"/>
                <w:bottom w:val="none" w:sz="0" w:space="0" w:color="auto"/>
                <w:right w:val="none" w:sz="0" w:space="0" w:color="auto"/>
              </w:divBdr>
              <w:divsChild>
                <w:div w:id="822156736">
                  <w:marLeft w:val="0"/>
                  <w:marRight w:val="0"/>
                  <w:marTop w:val="75"/>
                  <w:marBottom w:val="0"/>
                  <w:divBdr>
                    <w:top w:val="none" w:sz="0" w:space="0" w:color="auto"/>
                    <w:left w:val="none" w:sz="0" w:space="0" w:color="auto"/>
                    <w:bottom w:val="none" w:sz="0" w:space="0" w:color="auto"/>
                    <w:right w:val="none" w:sz="0" w:space="0" w:color="auto"/>
                  </w:divBdr>
                  <w:divsChild>
                    <w:div w:id="348996090">
                      <w:marLeft w:val="0"/>
                      <w:marRight w:val="0"/>
                      <w:marTop w:val="0"/>
                      <w:marBottom w:val="0"/>
                      <w:divBdr>
                        <w:top w:val="none" w:sz="0" w:space="0" w:color="auto"/>
                        <w:left w:val="none" w:sz="0" w:space="0" w:color="auto"/>
                        <w:bottom w:val="none" w:sz="0" w:space="0" w:color="auto"/>
                        <w:right w:val="none" w:sz="0" w:space="0" w:color="auto"/>
                      </w:divBdr>
                      <w:divsChild>
                        <w:div w:id="1272125205">
                          <w:marLeft w:val="0"/>
                          <w:marRight w:val="0"/>
                          <w:marTop w:val="0"/>
                          <w:marBottom w:val="0"/>
                          <w:divBdr>
                            <w:top w:val="none" w:sz="0" w:space="0" w:color="auto"/>
                            <w:left w:val="none" w:sz="0" w:space="0" w:color="auto"/>
                            <w:bottom w:val="none" w:sz="0" w:space="0" w:color="auto"/>
                            <w:right w:val="none" w:sz="0" w:space="0" w:color="auto"/>
                          </w:divBdr>
                          <w:divsChild>
                            <w:div w:id="1757437820">
                              <w:marLeft w:val="0"/>
                              <w:marRight w:val="0"/>
                              <w:marTop w:val="0"/>
                              <w:marBottom w:val="0"/>
                              <w:divBdr>
                                <w:top w:val="none" w:sz="0" w:space="0" w:color="auto"/>
                                <w:left w:val="none" w:sz="0" w:space="0" w:color="auto"/>
                                <w:bottom w:val="none" w:sz="0" w:space="0" w:color="auto"/>
                                <w:right w:val="none" w:sz="0" w:space="0" w:color="auto"/>
                              </w:divBdr>
                              <w:divsChild>
                                <w:div w:id="178812475">
                                  <w:marLeft w:val="0"/>
                                  <w:marRight w:val="0"/>
                                  <w:marTop w:val="0"/>
                                  <w:marBottom w:val="0"/>
                                  <w:divBdr>
                                    <w:top w:val="none" w:sz="0" w:space="0" w:color="auto"/>
                                    <w:left w:val="none" w:sz="0" w:space="0" w:color="auto"/>
                                    <w:bottom w:val="none" w:sz="0" w:space="0" w:color="auto"/>
                                    <w:right w:val="none" w:sz="0" w:space="0" w:color="auto"/>
                                  </w:divBdr>
                                  <w:divsChild>
                                    <w:div w:id="457799949">
                                      <w:marLeft w:val="0"/>
                                      <w:marRight w:val="0"/>
                                      <w:marTop w:val="0"/>
                                      <w:marBottom w:val="0"/>
                                      <w:divBdr>
                                        <w:top w:val="none" w:sz="0" w:space="0" w:color="auto"/>
                                        <w:left w:val="none" w:sz="0" w:space="0" w:color="auto"/>
                                        <w:bottom w:val="none" w:sz="0" w:space="0" w:color="auto"/>
                                        <w:right w:val="none" w:sz="0" w:space="0" w:color="auto"/>
                                      </w:divBdr>
                                      <w:divsChild>
                                        <w:div w:id="1598169157">
                                          <w:marLeft w:val="1200"/>
                                          <w:marRight w:val="1200"/>
                                          <w:marTop w:val="0"/>
                                          <w:marBottom w:val="0"/>
                                          <w:divBdr>
                                            <w:top w:val="none" w:sz="0" w:space="0" w:color="auto"/>
                                            <w:left w:val="none" w:sz="0" w:space="0" w:color="auto"/>
                                            <w:bottom w:val="none" w:sz="0" w:space="0" w:color="auto"/>
                                            <w:right w:val="none" w:sz="0" w:space="0" w:color="auto"/>
                                          </w:divBdr>
                                          <w:divsChild>
                                            <w:div w:id="831919762">
                                              <w:marLeft w:val="0"/>
                                              <w:marRight w:val="0"/>
                                              <w:marTop w:val="0"/>
                                              <w:marBottom w:val="0"/>
                                              <w:divBdr>
                                                <w:top w:val="none" w:sz="0" w:space="0" w:color="auto"/>
                                                <w:left w:val="none" w:sz="0" w:space="0" w:color="auto"/>
                                                <w:bottom w:val="none" w:sz="0" w:space="0" w:color="auto"/>
                                                <w:right w:val="none" w:sz="0" w:space="0" w:color="auto"/>
                                              </w:divBdr>
                                              <w:divsChild>
                                                <w:div w:id="1411730021">
                                                  <w:marLeft w:val="0"/>
                                                  <w:marRight w:val="0"/>
                                                  <w:marTop w:val="0"/>
                                                  <w:marBottom w:val="0"/>
                                                  <w:divBdr>
                                                    <w:top w:val="none" w:sz="0" w:space="0" w:color="auto"/>
                                                    <w:left w:val="none" w:sz="0" w:space="0" w:color="auto"/>
                                                    <w:bottom w:val="none" w:sz="0" w:space="0" w:color="auto"/>
                                                    <w:right w:val="none" w:sz="0" w:space="0" w:color="auto"/>
                                                  </w:divBdr>
                                                  <w:divsChild>
                                                    <w:div w:id="610479825">
                                                      <w:marLeft w:val="0"/>
                                                      <w:marRight w:val="0"/>
                                                      <w:marTop w:val="0"/>
                                                      <w:marBottom w:val="0"/>
                                                      <w:divBdr>
                                                        <w:top w:val="none" w:sz="0" w:space="0" w:color="auto"/>
                                                        <w:left w:val="none" w:sz="0" w:space="0" w:color="auto"/>
                                                        <w:bottom w:val="none" w:sz="0" w:space="0" w:color="auto"/>
                                                        <w:right w:val="none" w:sz="0" w:space="0" w:color="auto"/>
                                                      </w:divBdr>
                                                      <w:divsChild>
                                                        <w:div w:id="198206789">
                                                          <w:marLeft w:val="0"/>
                                                          <w:marRight w:val="0"/>
                                                          <w:marTop w:val="0"/>
                                                          <w:marBottom w:val="0"/>
                                                          <w:divBdr>
                                                            <w:top w:val="none" w:sz="0" w:space="0" w:color="auto"/>
                                                            <w:left w:val="none" w:sz="0" w:space="0" w:color="auto"/>
                                                            <w:bottom w:val="none" w:sz="0" w:space="0" w:color="auto"/>
                                                            <w:right w:val="none" w:sz="0" w:space="0" w:color="auto"/>
                                                          </w:divBdr>
                                                        </w:div>
                                                      </w:divsChild>
                                                    </w:div>
                                                    <w:div w:id="1037000903">
                                                      <w:marLeft w:val="0"/>
                                                      <w:marRight w:val="0"/>
                                                      <w:marTop w:val="0"/>
                                                      <w:marBottom w:val="0"/>
                                                      <w:divBdr>
                                                        <w:top w:val="none" w:sz="0" w:space="0" w:color="auto"/>
                                                        <w:left w:val="none" w:sz="0" w:space="0" w:color="auto"/>
                                                        <w:bottom w:val="none" w:sz="0" w:space="0" w:color="auto"/>
                                                        <w:right w:val="none" w:sz="0" w:space="0" w:color="auto"/>
                                                      </w:divBdr>
                                                      <w:divsChild>
                                                        <w:div w:id="952977495">
                                                          <w:marLeft w:val="0"/>
                                                          <w:marRight w:val="0"/>
                                                          <w:marTop w:val="0"/>
                                                          <w:marBottom w:val="0"/>
                                                          <w:divBdr>
                                                            <w:top w:val="none" w:sz="0" w:space="0" w:color="auto"/>
                                                            <w:left w:val="none" w:sz="0" w:space="0" w:color="auto"/>
                                                            <w:bottom w:val="none" w:sz="0" w:space="0" w:color="auto"/>
                                                            <w:right w:val="none" w:sz="0" w:space="0" w:color="auto"/>
                                                          </w:divBdr>
                                                        </w:div>
                                                      </w:divsChild>
                                                    </w:div>
                                                    <w:div w:id="1066338876">
                                                      <w:marLeft w:val="0"/>
                                                      <w:marRight w:val="0"/>
                                                      <w:marTop w:val="0"/>
                                                      <w:marBottom w:val="0"/>
                                                      <w:divBdr>
                                                        <w:top w:val="none" w:sz="0" w:space="0" w:color="auto"/>
                                                        <w:left w:val="none" w:sz="0" w:space="0" w:color="auto"/>
                                                        <w:bottom w:val="none" w:sz="0" w:space="0" w:color="auto"/>
                                                        <w:right w:val="none" w:sz="0" w:space="0" w:color="auto"/>
                                                      </w:divBdr>
                                                      <w:divsChild>
                                                        <w:div w:id="206335519">
                                                          <w:marLeft w:val="0"/>
                                                          <w:marRight w:val="0"/>
                                                          <w:marTop w:val="0"/>
                                                          <w:marBottom w:val="0"/>
                                                          <w:divBdr>
                                                            <w:top w:val="none" w:sz="0" w:space="0" w:color="auto"/>
                                                            <w:left w:val="none" w:sz="0" w:space="0" w:color="auto"/>
                                                            <w:bottom w:val="none" w:sz="0" w:space="0" w:color="auto"/>
                                                            <w:right w:val="none" w:sz="0" w:space="0" w:color="auto"/>
                                                          </w:divBdr>
                                                        </w:div>
                                                      </w:divsChild>
                                                    </w:div>
                                                    <w:div w:id="1085342569">
                                                      <w:marLeft w:val="0"/>
                                                      <w:marRight w:val="0"/>
                                                      <w:marTop w:val="0"/>
                                                      <w:marBottom w:val="0"/>
                                                      <w:divBdr>
                                                        <w:top w:val="none" w:sz="0" w:space="0" w:color="auto"/>
                                                        <w:left w:val="none" w:sz="0" w:space="0" w:color="auto"/>
                                                        <w:bottom w:val="none" w:sz="0" w:space="0" w:color="auto"/>
                                                        <w:right w:val="none" w:sz="0" w:space="0" w:color="auto"/>
                                                      </w:divBdr>
                                                      <w:divsChild>
                                                        <w:div w:id="518736179">
                                                          <w:marLeft w:val="0"/>
                                                          <w:marRight w:val="0"/>
                                                          <w:marTop w:val="0"/>
                                                          <w:marBottom w:val="0"/>
                                                          <w:divBdr>
                                                            <w:top w:val="none" w:sz="0" w:space="0" w:color="auto"/>
                                                            <w:left w:val="none" w:sz="0" w:space="0" w:color="auto"/>
                                                            <w:bottom w:val="none" w:sz="0" w:space="0" w:color="auto"/>
                                                            <w:right w:val="none" w:sz="0" w:space="0" w:color="auto"/>
                                                          </w:divBdr>
                                                        </w:div>
                                                      </w:divsChild>
                                                    </w:div>
                                                    <w:div w:id="1312833774">
                                                      <w:marLeft w:val="0"/>
                                                      <w:marRight w:val="0"/>
                                                      <w:marTop w:val="0"/>
                                                      <w:marBottom w:val="0"/>
                                                      <w:divBdr>
                                                        <w:top w:val="none" w:sz="0" w:space="0" w:color="auto"/>
                                                        <w:left w:val="none" w:sz="0" w:space="0" w:color="auto"/>
                                                        <w:bottom w:val="none" w:sz="0" w:space="0" w:color="auto"/>
                                                        <w:right w:val="none" w:sz="0" w:space="0" w:color="auto"/>
                                                      </w:divBdr>
                                                      <w:divsChild>
                                                        <w:div w:id="1407190695">
                                                          <w:marLeft w:val="0"/>
                                                          <w:marRight w:val="0"/>
                                                          <w:marTop w:val="0"/>
                                                          <w:marBottom w:val="0"/>
                                                          <w:divBdr>
                                                            <w:top w:val="none" w:sz="0" w:space="0" w:color="auto"/>
                                                            <w:left w:val="none" w:sz="0" w:space="0" w:color="auto"/>
                                                            <w:bottom w:val="none" w:sz="0" w:space="0" w:color="auto"/>
                                                            <w:right w:val="none" w:sz="0" w:space="0" w:color="auto"/>
                                                          </w:divBdr>
                                                        </w:div>
                                                      </w:divsChild>
                                                    </w:div>
                                                    <w:div w:id="1823308439">
                                                      <w:marLeft w:val="0"/>
                                                      <w:marRight w:val="0"/>
                                                      <w:marTop w:val="0"/>
                                                      <w:marBottom w:val="0"/>
                                                      <w:divBdr>
                                                        <w:top w:val="none" w:sz="0" w:space="0" w:color="auto"/>
                                                        <w:left w:val="none" w:sz="0" w:space="0" w:color="auto"/>
                                                        <w:bottom w:val="none" w:sz="0" w:space="0" w:color="auto"/>
                                                        <w:right w:val="none" w:sz="0" w:space="0" w:color="auto"/>
                                                      </w:divBdr>
                                                      <w:divsChild>
                                                        <w:div w:id="17399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747427">
      <w:bodyDiv w:val="1"/>
      <w:marLeft w:val="0"/>
      <w:marRight w:val="0"/>
      <w:marTop w:val="0"/>
      <w:marBottom w:val="0"/>
      <w:divBdr>
        <w:top w:val="none" w:sz="0" w:space="0" w:color="auto"/>
        <w:left w:val="none" w:sz="0" w:space="0" w:color="auto"/>
        <w:bottom w:val="none" w:sz="0" w:space="0" w:color="auto"/>
        <w:right w:val="none" w:sz="0" w:space="0" w:color="auto"/>
      </w:divBdr>
      <w:divsChild>
        <w:div w:id="58142120">
          <w:marLeft w:val="0"/>
          <w:marRight w:val="0"/>
          <w:marTop w:val="0"/>
          <w:marBottom w:val="0"/>
          <w:divBdr>
            <w:top w:val="none" w:sz="0" w:space="0" w:color="auto"/>
            <w:left w:val="none" w:sz="0" w:space="0" w:color="auto"/>
            <w:bottom w:val="none" w:sz="0" w:space="0" w:color="auto"/>
            <w:right w:val="none" w:sz="0" w:space="0" w:color="auto"/>
          </w:divBdr>
        </w:div>
        <w:div w:id="1009916149">
          <w:marLeft w:val="0"/>
          <w:marRight w:val="0"/>
          <w:marTop w:val="0"/>
          <w:marBottom w:val="0"/>
          <w:divBdr>
            <w:top w:val="none" w:sz="0" w:space="0" w:color="auto"/>
            <w:left w:val="none" w:sz="0" w:space="0" w:color="auto"/>
            <w:bottom w:val="none" w:sz="0" w:space="0" w:color="auto"/>
            <w:right w:val="none" w:sz="0" w:space="0" w:color="auto"/>
          </w:divBdr>
        </w:div>
      </w:divsChild>
    </w:div>
    <w:div w:id="164175182">
      <w:bodyDiv w:val="1"/>
      <w:marLeft w:val="0"/>
      <w:marRight w:val="0"/>
      <w:marTop w:val="0"/>
      <w:marBottom w:val="0"/>
      <w:divBdr>
        <w:top w:val="none" w:sz="0" w:space="0" w:color="auto"/>
        <w:left w:val="none" w:sz="0" w:space="0" w:color="auto"/>
        <w:bottom w:val="none" w:sz="0" w:space="0" w:color="auto"/>
        <w:right w:val="none" w:sz="0" w:space="0" w:color="auto"/>
      </w:divBdr>
    </w:div>
    <w:div w:id="165365899">
      <w:bodyDiv w:val="1"/>
      <w:marLeft w:val="0"/>
      <w:marRight w:val="0"/>
      <w:marTop w:val="0"/>
      <w:marBottom w:val="0"/>
      <w:divBdr>
        <w:top w:val="none" w:sz="0" w:space="0" w:color="auto"/>
        <w:left w:val="none" w:sz="0" w:space="0" w:color="auto"/>
        <w:bottom w:val="none" w:sz="0" w:space="0" w:color="auto"/>
        <w:right w:val="none" w:sz="0" w:space="0" w:color="auto"/>
      </w:divBdr>
      <w:divsChild>
        <w:div w:id="1789006910">
          <w:marLeft w:val="0"/>
          <w:marRight w:val="0"/>
          <w:marTop w:val="0"/>
          <w:marBottom w:val="0"/>
          <w:divBdr>
            <w:top w:val="none" w:sz="0" w:space="0" w:color="auto"/>
            <w:left w:val="single" w:sz="6" w:space="0" w:color="BBBBBB"/>
            <w:bottom w:val="single" w:sz="6" w:space="0" w:color="BBBBBB"/>
            <w:right w:val="single" w:sz="6" w:space="0" w:color="BBBBBB"/>
          </w:divBdr>
          <w:divsChild>
            <w:div w:id="1728406801">
              <w:marLeft w:val="0"/>
              <w:marRight w:val="0"/>
              <w:marTop w:val="0"/>
              <w:marBottom w:val="0"/>
              <w:divBdr>
                <w:top w:val="none" w:sz="0" w:space="0" w:color="auto"/>
                <w:left w:val="none" w:sz="0" w:space="0" w:color="auto"/>
                <w:bottom w:val="none" w:sz="0" w:space="0" w:color="auto"/>
                <w:right w:val="none" w:sz="0" w:space="0" w:color="auto"/>
              </w:divBdr>
              <w:divsChild>
                <w:div w:id="488987363">
                  <w:marLeft w:val="0"/>
                  <w:marRight w:val="0"/>
                  <w:marTop w:val="75"/>
                  <w:marBottom w:val="0"/>
                  <w:divBdr>
                    <w:top w:val="none" w:sz="0" w:space="0" w:color="auto"/>
                    <w:left w:val="none" w:sz="0" w:space="0" w:color="auto"/>
                    <w:bottom w:val="none" w:sz="0" w:space="0" w:color="auto"/>
                    <w:right w:val="none" w:sz="0" w:space="0" w:color="auto"/>
                  </w:divBdr>
                  <w:divsChild>
                    <w:div w:id="1445809111">
                      <w:marLeft w:val="0"/>
                      <w:marRight w:val="0"/>
                      <w:marTop w:val="0"/>
                      <w:marBottom w:val="0"/>
                      <w:divBdr>
                        <w:top w:val="none" w:sz="0" w:space="0" w:color="auto"/>
                        <w:left w:val="none" w:sz="0" w:space="0" w:color="auto"/>
                        <w:bottom w:val="none" w:sz="0" w:space="0" w:color="auto"/>
                        <w:right w:val="none" w:sz="0" w:space="0" w:color="auto"/>
                      </w:divBdr>
                      <w:divsChild>
                        <w:div w:id="1426923344">
                          <w:marLeft w:val="0"/>
                          <w:marRight w:val="0"/>
                          <w:marTop w:val="0"/>
                          <w:marBottom w:val="0"/>
                          <w:divBdr>
                            <w:top w:val="none" w:sz="0" w:space="0" w:color="auto"/>
                            <w:left w:val="none" w:sz="0" w:space="0" w:color="auto"/>
                            <w:bottom w:val="none" w:sz="0" w:space="0" w:color="auto"/>
                            <w:right w:val="none" w:sz="0" w:space="0" w:color="auto"/>
                          </w:divBdr>
                          <w:divsChild>
                            <w:div w:id="1331719011">
                              <w:marLeft w:val="0"/>
                              <w:marRight w:val="0"/>
                              <w:marTop w:val="0"/>
                              <w:marBottom w:val="0"/>
                              <w:divBdr>
                                <w:top w:val="none" w:sz="0" w:space="0" w:color="auto"/>
                                <w:left w:val="none" w:sz="0" w:space="0" w:color="auto"/>
                                <w:bottom w:val="none" w:sz="0" w:space="0" w:color="auto"/>
                                <w:right w:val="none" w:sz="0" w:space="0" w:color="auto"/>
                              </w:divBdr>
                              <w:divsChild>
                                <w:div w:id="1670669781">
                                  <w:marLeft w:val="0"/>
                                  <w:marRight w:val="0"/>
                                  <w:marTop w:val="0"/>
                                  <w:marBottom w:val="0"/>
                                  <w:divBdr>
                                    <w:top w:val="none" w:sz="0" w:space="0" w:color="auto"/>
                                    <w:left w:val="none" w:sz="0" w:space="0" w:color="auto"/>
                                    <w:bottom w:val="none" w:sz="0" w:space="0" w:color="auto"/>
                                    <w:right w:val="none" w:sz="0" w:space="0" w:color="auto"/>
                                  </w:divBdr>
                                  <w:divsChild>
                                    <w:div w:id="1382287169">
                                      <w:marLeft w:val="0"/>
                                      <w:marRight w:val="0"/>
                                      <w:marTop w:val="0"/>
                                      <w:marBottom w:val="0"/>
                                      <w:divBdr>
                                        <w:top w:val="none" w:sz="0" w:space="0" w:color="auto"/>
                                        <w:left w:val="none" w:sz="0" w:space="0" w:color="auto"/>
                                        <w:bottom w:val="none" w:sz="0" w:space="0" w:color="auto"/>
                                        <w:right w:val="none" w:sz="0" w:space="0" w:color="auto"/>
                                      </w:divBdr>
                                      <w:divsChild>
                                        <w:div w:id="727799970">
                                          <w:marLeft w:val="1200"/>
                                          <w:marRight w:val="1200"/>
                                          <w:marTop w:val="0"/>
                                          <w:marBottom w:val="0"/>
                                          <w:divBdr>
                                            <w:top w:val="none" w:sz="0" w:space="0" w:color="auto"/>
                                            <w:left w:val="none" w:sz="0" w:space="0" w:color="auto"/>
                                            <w:bottom w:val="none" w:sz="0" w:space="0" w:color="auto"/>
                                            <w:right w:val="none" w:sz="0" w:space="0" w:color="auto"/>
                                          </w:divBdr>
                                          <w:divsChild>
                                            <w:div w:id="949819692">
                                              <w:marLeft w:val="0"/>
                                              <w:marRight w:val="0"/>
                                              <w:marTop w:val="0"/>
                                              <w:marBottom w:val="0"/>
                                              <w:divBdr>
                                                <w:top w:val="none" w:sz="0" w:space="0" w:color="auto"/>
                                                <w:left w:val="none" w:sz="0" w:space="0" w:color="auto"/>
                                                <w:bottom w:val="none" w:sz="0" w:space="0" w:color="auto"/>
                                                <w:right w:val="none" w:sz="0" w:space="0" w:color="auto"/>
                                              </w:divBdr>
                                              <w:divsChild>
                                                <w:div w:id="1917662944">
                                                  <w:marLeft w:val="0"/>
                                                  <w:marRight w:val="0"/>
                                                  <w:marTop w:val="0"/>
                                                  <w:marBottom w:val="0"/>
                                                  <w:divBdr>
                                                    <w:top w:val="none" w:sz="0" w:space="0" w:color="auto"/>
                                                    <w:left w:val="none" w:sz="0" w:space="0" w:color="auto"/>
                                                    <w:bottom w:val="none" w:sz="0" w:space="0" w:color="auto"/>
                                                    <w:right w:val="none" w:sz="0" w:space="0" w:color="auto"/>
                                                  </w:divBdr>
                                                  <w:divsChild>
                                                    <w:div w:id="35863152">
                                                      <w:marLeft w:val="0"/>
                                                      <w:marRight w:val="0"/>
                                                      <w:marTop w:val="0"/>
                                                      <w:marBottom w:val="0"/>
                                                      <w:divBdr>
                                                        <w:top w:val="none" w:sz="0" w:space="0" w:color="auto"/>
                                                        <w:left w:val="none" w:sz="0" w:space="0" w:color="auto"/>
                                                        <w:bottom w:val="none" w:sz="0" w:space="0" w:color="auto"/>
                                                        <w:right w:val="none" w:sz="0" w:space="0" w:color="auto"/>
                                                      </w:divBdr>
                                                      <w:divsChild>
                                                        <w:div w:id="2074155427">
                                                          <w:marLeft w:val="0"/>
                                                          <w:marRight w:val="0"/>
                                                          <w:marTop w:val="0"/>
                                                          <w:marBottom w:val="0"/>
                                                          <w:divBdr>
                                                            <w:top w:val="none" w:sz="0" w:space="0" w:color="auto"/>
                                                            <w:left w:val="none" w:sz="0" w:space="0" w:color="auto"/>
                                                            <w:bottom w:val="none" w:sz="0" w:space="0" w:color="auto"/>
                                                            <w:right w:val="none" w:sz="0" w:space="0" w:color="auto"/>
                                                          </w:divBdr>
                                                          <w:divsChild>
                                                            <w:div w:id="664280176">
                                                              <w:marLeft w:val="0"/>
                                                              <w:marRight w:val="0"/>
                                                              <w:marTop w:val="0"/>
                                                              <w:marBottom w:val="0"/>
                                                              <w:divBdr>
                                                                <w:top w:val="none" w:sz="0" w:space="0" w:color="auto"/>
                                                                <w:left w:val="none" w:sz="0" w:space="0" w:color="auto"/>
                                                                <w:bottom w:val="none" w:sz="0" w:space="0" w:color="auto"/>
                                                                <w:right w:val="none" w:sz="0" w:space="0" w:color="auto"/>
                                                              </w:divBdr>
                                                              <w:divsChild>
                                                                <w:div w:id="624773740">
                                                                  <w:marLeft w:val="0"/>
                                                                  <w:marRight w:val="0"/>
                                                                  <w:marTop w:val="0"/>
                                                                  <w:marBottom w:val="0"/>
                                                                  <w:divBdr>
                                                                    <w:top w:val="none" w:sz="0" w:space="0" w:color="auto"/>
                                                                    <w:left w:val="none" w:sz="0" w:space="0" w:color="auto"/>
                                                                    <w:bottom w:val="none" w:sz="0" w:space="0" w:color="auto"/>
                                                                    <w:right w:val="none" w:sz="0" w:space="0" w:color="auto"/>
                                                                  </w:divBdr>
                                                                  <w:divsChild>
                                                                    <w:div w:id="1426270863">
                                                                      <w:marLeft w:val="0"/>
                                                                      <w:marRight w:val="0"/>
                                                                      <w:marTop w:val="240"/>
                                                                      <w:marBottom w:val="0"/>
                                                                      <w:divBdr>
                                                                        <w:top w:val="none" w:sz="0" w:space="0" w:color="auto"/>
                                                                        <w:left w:val="none" w:sz="0" w:space="0" w:color="auto"/>
                                                                        <w:bottom w:val="none" w:sz="0" w:space="0" w:color="auto"/>
                                                                        <w:right w:val="none" w:sz="0" w:space="0" w:color="auto"/>
                                                                      </w:divBdr>
                                                                    </w:div>
                                                                    <w:div w:id="1719352318">
                                                                      <w:marLeft w:val="0"/>
                                                                      <w:marRight w:val="0"/>
                                                                      <w:marTop w:val="0"/>
                                                                      <w:marBottom w:val="0"/>
                                                                      <w:divBdr>
                                                                        <w:top w:val="none" w:sz="0" w:space="0" w:color="auto"/>
                                                                        <w:left w:val="none" w:sz="0" w:space="0" w:color="auto"/>
                                                                        <w:bottom w:val="none" w:sz="0" w:space="0" w:color="auto"/>
                                                                        <w:right w:val="none" w:sz="0" w:space="0" w:color="auto"/>
                                                                      </w:divBdr>
                                                                      <w:divsChild>
                                                                        <w:div w:id="9886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84593">
      <w:bodyDiv w:val="1"/>
      <w:marLeft w:val="0"/>
      <w:marRight w:val="0"/>
      <w:marTop w:val="0"/>
      <w:marBottom w:val="0"/>
      <w:divBdr>
        <w:top w:val="none" w:sz="0" w:space="0" w:color="auto"/>
        <w:left w:val="none" w:sz="0" w:space="0" w:color="auto"/>
        <w:bottom w:val="none" w:sz="0" w:space="0" w:color="auto"/>
        <w:right w:val="none" w:sz="0" w:space="0" w:color="auto"/>
      </w:divBdr>
      <w:divsChild>
        <w:div w:id="1113742539">
          <w:marLeft w:val="0"/>
          <w:marRight w:val="0"/>
          <w:marTop w:val="0"/>
          <w:marBottom w:val="0"/>
          <w:divBdr>
            <w:top w:val="none" w:sz="0" w:space="0" w:color="auto"/>
            <w:left w:val="single" w:sz="6" w:space="0" w:color="BBBBBB"/>
            <w:bottom w:val="single" w:sz="6" w:space="0" w:color="BBBBBB"/>
            <w:right w:val="single" w:sz="6" w:space="0" w:color="BBBBBB"/>
          </w:divBdr>
          <w:divsChild>
            <w:div w:id="1208957094">
              <w:marLeft w:val="0"/>
              <w:marRight w:val="0"/>
              <w:marTop w:val="0"/>
              <w:marBottom w:val="0"/>
              <w:divBdr>
                <w:top w:val="none" w:sz="0" w:space="0" w:color="auto"/>
                <w:left w:val="none" w:sz="0" w:space="0" w:color="auto"/>
                <w:bottom w:val="none" w:sz="0" w:space="0" w:color="auto"/>
                <w:right w:val="none" w:sz="0" w:space="0" w:color="auto"/>
              </w:divBdr>
              <w:divsChild>
                <w:div w:id="526069141">
                  <w:marLeft w:val="0"/>
                  <w:marRight w:val="0"/>
                  <w:marTop w:val="75"/>
                  <w:marBottom w:val="0"/>
                  <w:divBdr>
                    <w:top w:val="none" w:sz="0" w:space="0" w:color="auto"/>
                    <w:left w:val="none" w:sz="0" w:space="0" w:color="auto"/>
                    <w:bottom w:val="none" w:sz="0" w:space="0" w:color="auto"/>
                    <w:right w:val="none" w:sz="0" w:space="0" w:color="auto"/>
                  </w:divBdr>
                  <w:divsChild>
                    <w:div w:id="755058477">
                      <w:marLeft w:val="0"/>
                      <w:marRight w:val="0"/>
                      <w:marTop w:val="0"/>
                      <w:marBottom w:val="0"/>
                      <w:divBdr>
                        <w:top w:val="none" w:sz="0" w:space="0" w:color="auto"/>
                        <w:left w:val="none" w:sz="0" w:space="0" w:color="auto"/>
                        <w:bottom w:val="none" w:sz="0" w:space="0" w:color="auto"/>
                        <w:right w:val="none" w:sz="0" w:space="0" w:color="auto"/>
                      </w:divBdr>
                      <w:divsChild>
                        <w:div w:id="80837014">
                          <w:marLeft w:val="0"/>
                          <w:marRight w:val="0"/>
                          <w:marTop w:val="0"/>
                          <w:marBottom w:val="0"/>
                          <w:divBdr>
                            <w:top w:val="none" w:sz="0" w:space="0" w:color="auto"/>
                            <w:left w:val="none" w:sz="0" w:space="0" w:color="auto"/>
                            <w:bottom w:val="none" w:sz="0" w:space="0" w:color="auto"/>
                            <w:right w:val="none" w:sz="0" w:space="0" w:color="auto"/>
                          </w:divBdr>
                          <w:divsChild>
                            <w:div w:id="40786413">
                              <w:marLeft w:val="0"/>
                              <w:marRight w:val="0"/>
                              <w:marTop w:val="0"/>
                              <w:marBottom w:val="0"/>
                              <w:divBdr>
                                <w:top w:val="none" w:sz="0" w:space="0" w:color="auto"/>
                                <w:left w:val="none" w:sz="0" w:space="0" w:color="auto"/>
                                <w:bottom w:val="none" w:sz="0" w:space="0" w:color="auto"/>
                                <w:right w:val="none" w:sz="0" w:space="0" w:color="auto"/>
                              </w:divBdr>
                              <w:divsChild>
                                <w:div w:id="1478837556">
                                  <w:marLeft w:val="0"/>
                                  <w:marRight w:val="0"/>
                                  <w:marTop w:val="0"/>
                                  <w:marBottom w:val="0"/>
                                  <w:divBdr>
                                    <w:top w:val="none" w:sz="0" w:space="0" w:color="auto"/>
                                    <w:left w:val="none" w:sz="0" w:space="0" w:color="auto"/>
                                    <w:bottom w:val="none" w:sz="0" w:space="0" w:color="auto"/>
                                    <w:right w:val="none" w:sz="0" w:space="0" w:color="auto"/>
                                  </w:divBdr>
                                  <w:divsChild>
                                    <w:div w:id="821047241">
                                      <w:marLeft w:val="0"/>
                                      <w:marRight w:val="0"/>
                                      <w:marTop w:val="0"/>
                                      <w:marBottom w:val="0"/>
                                      <w:divBdr>
                                        <w:top w:val="none" w:sz="0" w:space="0" w:color="auto"/>
                                        <w:left w:val="none" w:sz="0" w:space="0" w:color="auto"/>
                                        <w:bottom w:val="none" w:sz="0" w:space="0" w:color="auto"/>
                                        <w:right w:val="none" w:sz="0" w:space="0" w:color="auto"/>
                                      </w:divBdr>
                                      <w:divsChild>
                                        <w:div w:id="859733332">
                                          <w:marLeft w:val="1200"/>
                                          <w:marRight w:val="1200"/>
                                          <w:marTop w:val="0"/>
                                          <w:marBottom w:val="0"/>
                                          <w:divBdr>
                                            <w:top w:val="none" w:sz="0" w:space="0" w:color="auto"/>
                                            <w:left w:val="none" w:sz="0" w:space="0" w:color="auto"/>
                                            <w:bottom w:val="none" w:sz="0" w:space="0" w:color="auto"/>
                                            <w:right w:val="none" w:sz="0" w:space="0" w:color="auto"/>
                                          </w:divBdr>
                                          <w:divsChild>
                                            <w:div w:id="1977951699">
                                              <w:marLeft w:val="0"/>
                                              <w:marRight w:val="0"/>
                                              <w:marTop w:val="0"/>
                                              <w:marBottom w:val="0"/>
                                              <w:divBdr>
                                                <w:top w:val="none" w:sz="0" w:space="0" w:color="auto"/>
                                                <w:left w:val="none" w:sz="0" w:space="0" w:color="auto"/>
                                                <w:bottom w:val="none" w:sz="0" w:space="0" w:color="auto"/>
                                                <w:right w:val="none" w:sz="0" w:space="0" w:color="auto"/>
                                              </w:divBdr>
                                              <w:divsChild>
                                                <w:div w:id="6713318">
                                                  <w:marLeft w:val="0"/>
                                                  <w:marRight w:val="0"/>
                                                  <w:marTop w:val="0"/>
                                                  <w:marBottom w:val="0"/>
                                                  <w:divBdr>
                                                    <w:top w:val="none" w:sz="0" w:space="0" w:color="auto"/>
                                                    <w:left w:val="none" w:sz="0" w:space="0" w:color="auto"/>
                                                    <w:bottom w:val="none" w:sz="0" w:space="0" w:color="auto"/>
                                                    <w:right w:val="none" w:sz="0" w:space="0" w:color="auto"/>
                                                  </w:divBdr>
                                                  <w:divsChild>
                                                    <w:div w:id="1889030453">
                                                      <w:marLeft w:val="0"/>
                                                      <w:marRight w:val="0"/>
                                                      <w:marTop w:val="0"/>
                                                      <w:marBottom w:val="0"/>
                                                      <w:divBdr>
                                                        <w:top w:val="none" w:sz="0" w:space="0" w:color="auto"/>
                                                        <w:left w:val="none" w:sz="0" w:space="0" w:color="auto"/>
                                                        <w:bottom w:val="none" w:sz="0" w:space="0" w:color="auto"/>
                                                        <w:right w:val="none" w:sz="0" w:space="0" w:color="auto"/>
                                                      </w:divBdr>
                                                      <w:divsChild>
                                                        <w:div w:id="1638681988">
                                                          <w:marLeft w:val="0"/>
                                                          <w:marRight w:val="0"/>
                                                          <w:marTop w:val="0"/>
                                                          <w:marBottom w:val="0"/>
                                                          <w:divBdr>
                                                            <w:top w:val="none" w:sz="0" w:space="0" w:color="auto"/>
                                                            <w:left w:val="none" w:sz="0" w:space="0" w:color="auto"/>
                                                            <w:bottom w:val="none" w:sz="0" w:space="0" w:color="auto"/>
                                                            <w:right w:val="none" w:sz="0" w:space="0" w:color="auto"/>
                                                          </w:divBdr>
                                                          <w:divsChild>
                                                            <w:div w:id="140512189">
                                                              <w:marLeft w:val="0"/>
                                                              <w:marRight w:val="0"/>
                                                              <w:marTop w:val="0"/>
                                                              <w:marBottom w:val="0"/>
                                                              <w:divBdr>
                                                                <w:top w:val="none" w:sz="0" w:space="0" w:color="auto"/>
                                                                <w:left w:val="none" w:sz="0" w:space="0" w:color="auto"/>
                                                                <w:bottom w:val="none" w:sz="0" w:space="0" w:color="auto"/>
                                                                <w:right w:val="none" w:sz="0" w:space="0" w:color="auto"/>
                                                              </w:divBdr>
                                                              <w:divsChild>
                                                                <w:div w:id="569853950">
                                                                  <w:marLeft w:val="0"/>
                                                                  <w:marRight w:val="0"/>
                                                                  <w:marTop w:val="0"/>
                                                                  <w:marBottom w:val="0"/>
                                                                  <w:divBdr>
                                                                    <w:top w:val="none" w:sz="0" w:space="0" w:color="auto"/>
                                                                    <w:left w:val="none" w:sz="0" w:space="0" w:color="auto"/>
                                                                    <w:bottom w:val="none" w:sz="0" w:space="0" w:color="auto"/>
                                                                    <w:right w:val="none" w:sz="0" w:space="0" w:color="auto"/>
                                                                  </w:divBdr>
                                                                  <w:divsChild>
                                                                    <w:div w:id="13581317">
                                                                      <w:marLeft w:val="0"/>
                                                                      <w:marRight w:val="0"/>
                                                                      <w:marTop w:val="0"/>
                                                                      <w:marBottom w:val="0"/>
                                                                      <w:divBdr>
                                                                        <w:top w:val="none" w:sz="0" w:space="0" w:color="auto"/>
                                                                        <w:left w:val="none" w:sz="0" w:space="0" w:color="auto"/>
                                                                        <w:bottom w:val="none" w:sz="0" w:space="0" w:color="auto"/>
                                                                        <w:right w:val="none" w:sz="0" w:space="0" w:color="auto"/>
                                                                      </w:divBdr>
                                                                      <w:divsChild>
                                                                        <w:div w:id="121003280">
                                                                          <w:marLeft w:val="0"/>
                                                                          <w:marRight w:val="0"/>
                                                                          <w:marTop w:val="0"/>
                                                                          <w:marBottom w:val="0"/>
                                                                          <w:divBdr>
                                                                            <w:top w:val="none" w:sz="0" w:space="0" w:color="auto"/>
                                                                            <w:left w:val="none" w:sz="0" w:space="0" w:color="auto"/>
                                                                            <w:bottom w:val="none" w:sz="0" w:space="0" w:color="auto"/>
                                                                            <w:right w:val="none" w:sz="0" w:space="0" w:color="auto"/>
                                                                          </w:divBdr>
                                                                          <w:divsChild>
                                                                            <w:div w:id="1378623437">
                                                                              <w:marLeft w:val="0"/>
                                                                              <w:marRight w:val="0"/>
                                                                              <w:marTop w:val="0"/>
                                                                              <w:marBottom w:val="0"/>
                                                                              <w:divBdr>
                                                                                <w:top w:val="none" w:sz="0" w:space="0" w:color="auto"/>
                                                                                <w:left w:val="none" w:sz="0" w:space="0" w:color="auto"/>
                                                                                <w:bottom w:val="none" w:sz="0" w:space="0" w:color="auto"/>
                                                                                <w:right w:val="none" w:sz="0" w:space="0" w:color="auto"/>
                                                                              </w:divBdr>
                                                                            </w:div>
                                                                          </w:divsChild>
                                                                        </w:div>
                                                                        <w:div w:id="411007794">
                                                                          <w:marLeft w:val="0"/>
                                                                          <w:marRight w:val="0"/>
                                                                          <w:marTop w:val="0"/>
                                                                          <w:marBottom w:val="0"/>
                                                                          <w:divBdr>
                                                                            <w:top w:val="none" w:sz="0" w:space="0" w:color="auto"/>
                                                                            <w:left w:val="none" w:sz="0" w:space="0" w:color="auto"/>
                                                                            <w:bottom w:val="none" w:sz="0" w:space="0" w:color="auto"/>
                                                                            <w:right w:val="none" w:sz="0" w:space="0" w:color="auto"/>
                                                                          </w:divBdr>
                                                                          <w:divsChild>
                                                                            <w:div w:id="1501198518">
                                                                              <w:marLeft w:val="0"/>
                                                                              <w:marRight w:val="0"/>
                                                                              <w:marTop w:val="0"/>
                                                                              <w:marBottom w:val="0"/>
                                                                              <w:divBdr>
                                                                                <w:top w:val="none" w:sz="0" w:space="0" w:color="auto"/>
                                                                                <w:left w:val="none" w:sz="0" w:space="0" w:color="auto"/>
                                                                                <w:bottom w:val="none" w:sz="0" w:space="0" w:color="auto"/>
                                                                                <w:right w:val="none" w:sz="0" w:space="0" w:color="auto"/>
                                                                              </w:divBdr>
                                                                            </w:div>
                                                                          </w:divsChild>
                                                                        </w:div>
                                                                        <w:div w:id="419719648">
                                                                          <w:marLeft w:val="0"/>
                                                                          <w:marRight w:val="0"/>
                                                                          <w:marTop w:val="0"/>
                                                                          <w:marBottom w:val="0"/>
                                                                          <w:divBdr>
                                                                            <w:top w:val="none" w:sz="0" w:space="0" w:color="auto"/>
                                                                            <w:left w:val="none" w:sz="0" w:space="0" w:color="auto"/>
                                                                            <w:bottom w:val="none" w:sz="0" w:space="0" w:color="auto"/>
                                                                            <w:right w:val="none" w:sz="0" w:space="0" w:color="auto"/>
                                                                          </w:divBdr>
                                                                        </w:div>
                                                                        <w:div w:id="897209712">
                                                                          <w:marLeft w:val="0"/>
                                                                          <w:marRight w:val="0"/>
                                                                          <w:marTop w:val="0"/>
                                                                          <w:marBottom w:val="0"/>
                                                                          <w:divBdr>
                                                                            <w:top w:val="none" w:sz="0" w:space="0" w:color="auto"/>
                                                                            <w:left w:val="none" w:sz="0" w:space="0" w:color="auto"/>
                                                                            <w:bottom w:val="none" w:sz="0" w:space="0" w:color="auto"/>
                                                                            <w:right w:val="none" w:sz="0" w:space="0" w:color="auto"/>
                                                                          </w:divBdr>
                                                                          <w:divsChild>
                                                                            <w:div w:id="1369645366">
                                                                              <w:marLeft w:val="0"/>
                                                                              <w:marRight w:val="0"/>
                                                                              <w:marTop w:val="0"/>
                                                                              <w:marBottom w:val="0"/>
                                                                              <w:divBdr>
                                                                                <w:top w:val="none" w:sz="0" w:space="0" w:color="auto"/>
                                                                                <w:left w:val="none" w:sz="0" w:space="0" w:color="auto"/>
                                                                                <w:bottom w:val="none" w:sz="0" w:space="0" w:color="auto"/>
                                                                                <w:right w:val="none" w:sz="0" w:space="0" w:color="auto"/>
                                                                              </w:divBdr>
                                                                            </w:div>
                                                                          </w:divsChild>
                                                                        </w:div>
                                                                        <w:div w:id="1027291887">
                                                                          <w:marLeft w:val="0"/>
                                                                          <w:marRight w:val="0"/>
                                                                          <w:marTop w:val="0"/>
                                                                          <w:marBottom w:val="0"/>
                                                                          <w:divBdr>
                                                                            <w:top w:val="none" w:sz="0" w:space="0" w:color="auto"/>
                                                                            <w:left w:val="none" w:sz="0" w:space="0" w:color="auto"/>
                                                                            <w:bottom w:val="none" w:sz="0" w:space="0" w:color="auto"/>
                                                                            <w:right w:val="none" w:sz="0" w:space="0" w:color="auto"/>
                                                                          </w:divBdr>
                                                                          <w:divsChild>
                                                                            <w:div w:id="1304850291">
                                                                              <w:marLeft w:val="0"/>
                                                                              <w:marRight w:val="0"/>
                                                                              <w:marTop w:val="0"/>
                                                                              <w:marBottom w:val="0"/>
                                                                              <w:divBdr>
                                                                                <w:top w:val="none" w:sz="0" w:space="0" w:color="auto"/>
                                                                                <w:left w:val="none" w:sz="0" w:space="0" w:color="auto"/>
                                                                                <w:bottom w:val="none" w:sz="0" w:space="0" w:color="auto"/>
                                                                                <w:right w:val="none" w:sz="0" w:space="0" w:color="auto"/>
                                                                              </w:divBdr>
                                                                            </w:div>
                                                                          </w:divsChild>
                                                                        </w:div>
                                                                        <w:div w:id="1044868396">
                                                                          <w:marLeft w:val="0"/>
                                                                          <w:marRight w:val="0"/>
                                                                          <w:marTop w:val="0"/>
                                                                          <w:marBottom w:val="0"/>
                                                                          <w:divBdr>
                                                                            <w:top w:val="none" w:sz="0" w:space="0" w:color="auto"/>
                                                                            <w:left w:val="none" w:sz="0" w:space="0" w:color="auto"/>
                                                                            <w:bottom w:val="none" w:sz="0" w:space="0" w:color="auto"/>
                                                                            <w:right w:val="none" w:sz="0" w:space="0" w:color="auto"/>
                                                                          </w:divBdr>
                                                                          <w:divsChild>
                                                                            <w:div w:id="1736202855">
                                                                              <w:marLeft w:val="0"/>
                                                                              <w:marRight w:val="0"/>
                                                                              <w:marTop w:val="0"/>
                                                                              <w:marBottom w:val="0"/>
                                                                              <w:divBdr>
                                                                                <w:top w:val="none" w:sz="0" w:space="0" w:color="auto"/>
                                                                                <w:left w:val="none" w:sz="0" w:space="0" w:color="auto"/>
                                                                                <w:bottom w:val="none" w:sz="0" w:space="0" w:color="auto"/>
                                                                                <w:right w:val="none" w:sz="0" w:space="0" w:color="auto"/>
                                                                              </w:divBdr>
                                                                            </w:div>
                                                                          </w:divsChild>
                                                                        </w:div>
                                                                        <w:div w:id="2097945414">
                                                                          <w:marLeft w:val="0"/>
                                                                          <w:marRight w:val="0"/>
                                                                          <w:marTop w:val="0"/>
                                                                          <w:marBottom w:val="0"/>
                                                                          <w:divBdr>
                                                                            <w:top w:val="none" w:sz="0" w:space="0" w:color="auto"/>
                                                                            <w:left w:val="none" w:sz="0" w:space="0" w:color="auto"/>
                                                                            <w:bottom w:val="none" w:sz="0" w:space="0" w:color="auto"/>
                                                                            <w:right w:val="none" w:sz="0" w:space="0" w:color="auto"/>
                                                                          </w:divBdr>
                                                                          <w:divsChild>
                                                                            <w:div w:id="1460755642">
                                                                              <w:marLeft w:val="0"/>
                                                                              <w:marRight w:val="0"/>
                                                                              <w:marTop w:val="0"/>
                                                                              <w:marBottom w:val="0"/>
                                                                              <w:divBdr>
                                                                                <w:top w:val="none" w:sz="0" w:space="0" w:color="auto"/>
                                                                                <w:left w:val="none" w:sz="0" w:space="0" w:color="auto"/>
                                                                                <w:bottom w:val="none" w:sz="0" w:space="0" w:color="auto"/>
                                                                                <w:right w:val="none" w:sz="0" w:space="0" w:color="auto"/>
                                                                              </w:divBdr>
                                                                            </w:div>
                                                                          </w:divsChild>
                                                                        </w:div>
                                                                        <w:div w:id="2110849317">
                                                                          <w:marLeft w:val="0"/>
                                                                          <w:marRight w:val="0"/>
                                                                          <w:marTop w:val="0"/>
                                                                          <w:marBottom w:val="0"/>
                                                                          <w:divBdr>
                                                                            <w:top w:val="none" w:sz="0" w:space="0" w:color="auto"/>
                                                                            <w:left w:val="none" w:sz="0" w:space="0" w:color="auto"/>
                                                                            <w:bottom w:val="none" w:sz="0" w:space="0" w:color="auto"/>
                                                                            <w:right w:val="none" w:sz="0" w:space="0" w:color="auto"/>
                                                                          </w:divBdr>
                                                                          <w:divsChild>
                                                                            <w:div w:id="190552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74638">
      <w:bodyDiv w:val="1"/>
      <w:marLeft w:val="0"/>
      <w:marRight w:val="0"/>
      <w:marTop w:val="0"/>
      <w:marBottom w:val="0"/>
      <w:divBdr>
        <w:top w:val="none" w:sz="0" w:space="0" w:color="auto"/>
        <w:left w:val="none" w:sz="0" w:space="0" w:color="auto"/>
        <w:bottom w:val="none" w:sz="0" w:space="0" w:color="auto"/>
        <w:right w:val="none" w:sz="0" w:space="0" w:color="auto"/>
      </w:divBdr>
      <w:divsChild>
        <w:div w:id="805899348">
          <w:marLeft w:val="0"/>
          <w:marRight w:val="0"/>
          <w:marTop w:val="0"/>
          <w:marBottom w:val="0"/>
          <w:divBdr>
            <w:top w:val="none" w:sz="0" w:space="0" w:color="auto"/>
            <w:left w:val="single" w:sz="6" w:space="0" w:color="BBBBBB"/>
            <w:bottom w:val="single" w:sz="6" w:space="0" w:color="BBBBBB"/>
            <w:right w:val="single" w:sz="6" w:space="0" w:color="BBBBBB"/>
          </w:divBdr>
          <w:divsChild>
            <w:div w:id="588200331">
              <w:marLeft w:val="0"/>
              <w:marRight w:val="0"/>
              <w:marTop w:val="0"/>
              <w:marBottom w:val="0"/>
              <w:divBdr>
                <w:top w:val="none" w:sz="0" w:space="0" w:color="auto"/>
                <w:left w:val="none" w:sz="0" w:space="0" w:color="auto"/>
                <w:bottom w:val="none" w:sz="0" w:space="0" w:color="auto"/>
                <w:right w:val="none" w:sz="0" w:space="0" w:color="auto"/>
              </w:divBdr>
              <w:divsChild>
                <w:div w:id="1881353654">
                  <w:marLeft w:val="0"/>
                  <w:marRight w:val="0"/>
                  <w:marTop w:val="0"/>
                  <w:marBottom w:val="0"/>
                  <w:divBdr>
                    <w:top w:val="none" w:sz="0" w:space="0" w:color="auto"/>
                    <w:left w:val="none" w:sz="0" w:space="0" w:color="auto"/>
                    <w:bottom w:val="none" w:sz="0" w:space="0" w:color="auto"/>
                    <w:right w:val="none" w:sz="0" w:space="0" w:color="auto"/>
                  </w:divBdr>
                  <w:divsChild>
                    <w:div w:id="1308323260">
                      <w:marLeft w:val="0"/>
                      <w:marRight w:val="0"/>
                      <w:marTop w:val="0"/>
                      <w:marBottom w:val="0"/>
                      <w:divBdr>
                        <w:top w:val="none" w:sz="0" w:space="0" w:color="auto"/>
                        <w:left w:val="none" w:sz="0" w:space="0" w:color="auto"/>
                        <w:bottom w:val="none" w:sz="0" w:space="0" w:color="auto"/>
                        <w:right w:val="none" w:sz="0" w:space="0" w:color="auto"/>
                      </w:divBdr>
                      <w:divsChild>
                        <w:div w:id="1751805655">
                          <w:marLeft w:val="0"/>
                          <w:marRight w:val="0"/>
                          <w:marTop w:val="0"/>
                          <w:marBottom w:val="0"/>
                          <w:divBdr>
                            <w:top w:val="none" w:sz="0" w:space="0" w:color="auto"/>
                            <w:left w:val="none" w:sz="0" w:space="0" w:color="auto"/>
                            <w:bottom w:val="none" w:sz="0" w:space="0" w:color="auto"/>
                            <w:right w:val="none" w:sz="0" w:space="0" w:color="auto"/>
                          </w:divBdr>
                          <w:divsChild>
                            <w:div w:id="1604266883">
                              <w:marLeft w:val="0"/>
                              <w:marRight w:val="0"/>
                              <w:marTop w:val="0"/>
                              <w:marBottom w:val="0"/>
                              <w:divBdr>
                                <w:top w:val="none" w:sz="0" w:space="0" w:color="auto"/>
                                <w:left w:val="none" w:sz="0" w:space="0" w:color="auto"/>
                                <w:bottom w:val="none" w:sz="0" w:space="0" w:color="auto"/>
                                <w:right w:val="none" w:sz="0" w:space="0" w:color="auto"/>
                              </w:divBdr>
                              <w:divsChild>
                                <w:div w:id="81461931">
                                  <w:marLeft w:val="0"/>
                                  <w:marRight w:val="0"/>
                                  <w:marTop w:val="0"/>
                                  <w:marBottom w:val="0"/>
                                  <w:divBdr>
                                    <w:top w:val="none" w:sz="0" w:space="0" w:color="auto"/>
                                    <w:left w:val="none" w:sz="0" w:space="0" w:color="auto"/>
                                    <w:bottom w:val="none" w:sz="0" w:space="0" w:color="auto"/>
                                    <w:right w:val="none" w:sz="0" w:space="0" w:color="auto"/>
                                  </w:divBdr>
                                  <w:divsChild>
                                    <w:div w:id="55783627">
                                      <w:marLeft w:val="0"/>
                                      <w:marRight w:val="0"/>
                                      <w:marTop w:val="0"/>
                                      <w:marBottom w:val="0"/>
                                      <w:divBdr>
                                        <w:top w:val="none" w:sz="0" w:space="0" w:color="auto"/>
                                        <w:left w:val="none" w:sz="0" w:space="0" w:color="auto"/>
                                        <w:bottom w:val="none" w:sz="0" w:space="0" w:color="auto"/>
                                        <w:right w:val="none" w:sz="0" w:space="0" w:color="auto"/>
                                      </w:divBdr>
                                      <w:divsChild>
                                        <w:div w:id="1433671892">
                                          <w:marLeft w:val="1200"/>
                                          <w:marRight w:val="1200"/>
                                          <w:marTop w:val="0"/>
                                          <w:marBottom w:val="0"/>
                                          <w:divBdr>
                                            <w:top w:val="none" w:sz="0" w:space="0" w:color="auto"/>
                                            <w:left w:val="none" w:sz="0" w:space="0" w:color="auto"/>
                                            <w:bottom w:val="none" w:sz="0" w:space="0" w:color="auto"/>
                                            <w:right w:val="none" w:sz="0" w:space="0" w:color="auto"/>
                                          </w:divBdr>
                                          <w:divsChild>
                                            <w:div w:id="847213932">
                                              <w:marLeft w:val="0"/>
                                              <w:marRight w:val="0"/>
                                              <w:marTop w:val="0"/>
                                              <w:marBottom w:val="0"/>
                                              <w:divBdr>
                                                <w:top w:val="none" w:sz="0" w:space="0" w:color="auto"/>
                                                <w:left w:val="none" w:sz="0" w:space="0" w:color="auto"/>
                                                <w:bottom w:val="none" w:sz="0" w:space="0" w:color="auto"/>
                                                <w:right w:val="none" w:sz="0" w:space="0" w:color="auto"/>
                                              </w:divBdr>
                                              <w:divsChild>
                                                <w:div w:id="1088042096">
                                                  <w:marLeft w:val="0"/>
                                                  <w:marRight w:val="0"/>
                                                  <w:marTop w:val="0"/>
                                                  <w:marBottom w:val="0"/>
                                                  <w:divBdr>
                                                    <w:top w:val="none" w:sz="0" w:space="0" w:color="auto"/>
                                                    <w:left w:val="none" w:sz="0" w:space="0" w:color="auto"/>
                                                    <w:bottom w:val="none" w:sz="0" w:space="0" w:color="auto"/>
                                                    <w:right w:val="none" w:sz="0" w:space="0" w:color="auto"/>
                                                  </w:divBdr>
                                                  <w:divsChild>
                                                    <w:div w:id="995492802">
                                                      <w:marLeft w:val="0"/>
                                                      <w:marRight w:val="0"/>
                                                      <w:marTop w:val="0"/>
                                                      <w:marBottom w:val="0"/>
                                                      <w:divBdr>
                                                        <w:top w:val="none" w:sz="0" w:space="0" w:color="auto"/>
                                                        <w:left w:val="none" w:sz="0" w:space="0" w:color="auto"/>
                                                        <w:bottom w:val="none" w:sz="0" w:space="0" w:color="auto"/>
                                                        <w:right w:val="none" w:sz="0" w:space="0" w:color="auto"/>
                                                      </w:divBdr>
                                                      <w:divsChild>
                                                        <w:div w:id="2018532870">
                                                          <w:marLeft w:val="0"/>
                                                          <w:marRight w:val="0"/>
                                                          <w:marTop w:val="0"/>
                                                          <w:marBottom w:val="0"/>
                                                          <w:divBdr>
                                                            <w:top w:val="none" w:sz="0" w:space="0" w:color="auto"/>
                                                            <w:left w:val="none" w:sz="0" w:space="0" w:color="auto"/>
                                                            <w:bottom w:val="none" w:sz="0" w:space="0" w:color="auto"/>
                                                            <w:right w:val="none" w:sz="0" w:space="0" w:color="auto"/>
                                                          </w:divBdr>
                                                          <w:divsChild>
                                                            <w:div w:id="1276520427">
                                                              <w:marLeft w:val="0"/>
                                                              <w:marRight w:val="0"/>
                                                              <w:marTop w:val="0"/>
                                                              <w:marBottom w:val="0"/>
                                                              <w:divBdr>
                                                                <w:top w:val="none" w:sz="0" w:space="0" w:color="auto"/>
                                                                <w:left w:val="none" w:sz="0" w:space="0" w:color="auto"/>
                                                                <w:bottom w:val="none" w:sz="0" w:space="0" w:color="auto"/>
                                                                <w:right w:val="none" w:sz="0" w:space="0" w:color="auto"/>
                                                              </w:divBdr>
                                                              <w:divsChild>
                                                                <w:div w:id="522864016">
                                                                  <w:marLeft w:val="0"/>
                                                                  <w:marRight w:val="0"/>
                                                                  <w:marTop w:val="0"/>
                                                                  <w:marBottom w:val="0"/>
                                                                  <w:divBdr>
                                                                    <w:top w:val="none" w:sz="0" w:space="0" w:color="auto"/>
                                                                    <w:left w:val="none" w:sz="0" w:space="0" w:color="auto"/>
                                                                    <w:bottom w:val="none" w:sz="0" w:space="0" w:color="auto"/>
                                                                    <w:right w:val="none" w:sz="0" w:space="0" w:color="auto"/>
                                                                  </w:divBdr>
                                                                  <w:divsChild>
                                                                    <w:div w:id="58409097">
                                                                      <w:marLeft w:val="0"/>
                                                                      <w:marRight w:val="0"/>
                                                                      <w:marTop w:val="0"/>
                                                                      <w:marBottom w:val="0"/>
                                                                      <w:divBdr>
                                                                        <w:top w:val="none" w:sz="0" w:space="0" w:color="auto"/>
                                                                        <w:left w:val="none" w:sz="0" w:space="0" w:color="auto"/>
                                                                        <w:bottom w:val="none" w:sz="0" w:space="0" w:color="auto"/>
                                                                        <w:right w:val="none" w:sz="0" w:space="0" w:color="auto"/>
                                                                      </w:divBdr>
                                                                      <w:divsChild>
                                                                        <w:div w:id="51927513">
                                                                          <w:marLeft w:val="0"/>
                                                                          <w:marRight w:val="0"/>
                                                                          <w:marTop w:val="0"/>
                                                                          <w:marBottom w:val="0"/>
                                                                          <w:divBdr>
                                                                            <w:top w:val="none" w:sz="0" w:space="0" w:color="auto"/>
                                                                            <w:left w:val="none" w:sz="0" w:space="0" w:color="auto"/>
                                                                            <w:bottom w:val="none" w:sz="0" w:space="0" w:color="auto"/>
                                                                            <w:right w:val="none" w:sz="0" w:space="0" w:color="auto"/>
                                                                          </w:divBdr>
                                                                        </w:div>
                                                                      </w:divsChild>
                                                                    </w:div>
                                                                    <w:div w:id="1507666397">
                                                                      <w:marLeft w:val="0"/>
                                                                      <w:marRight w:val="0"/>
                                                                      <w:marTop w:val="0"/>
                                                                      <w:marBottom w:val="0"/>
                                                                      <w:divBdr>
                                                                        <w:top w:val="none" w:sz="0" w:space="0" w:color="auto"/>
                                                                        <w:left w:val="none" w:sz="0" w:space="0" w:color="auto"/>
                                                                        <w:bottom w:val="none" w:sz="0" w:space="0" w:color="auto"/>
                                                                        <w:right w:val="none" w:sz="0" w:space="0" w:color="auto"/>
                                                                      </w:divBdr>
                                                                      <w:divsChild>
                                                                        <w:div w:id="15503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292">
      <w:bodyDiv w:val="1"/>
      <w:marLeft w:val="0"/>
      <w:marRight w:val="0"/>
      <w:marTop w:val="0"/>
      <w:marBottom w:val="0"/>
      <w:divBdr>
        <w:top w:val="none" w:sz="0" w:space="0" w:color="auto"/>
        <w:left w:val="none" w:sz="0" w:space="0" w:color="auto"/>
        <w:bottom w:val="none" w:sz="0" w:space="0" w:color="auto"/>
        <w:right w:val="none" w:sz="0" w:space="0" w:color="auto"/>
      </w:divBdr>
      <w:divsChild>
        <w:div w:id="884877198">
          <w:marLeft w:val="0"/>
          <w:marRight w:val="0"/>
          <w:marTop w:val="0"/>
          <w:marBottom w:val="0"/>
          <w:divBdr>
            <w:top w:val="none" w:sz="0" w:space="0" w:color="auto"/>
            <w:left w:val="none" w:sz="0" w:space="0" w:color="auto"/>
            <w:bottom w:val="none" w:sz="0" w:space="0" w:color="auto"/>
            <w:right w:val="none" w:sz="0" w:space="0" w:color="auto"/>
          </w:divBdr>
          <w:divsChild>
            <w:div w:id="2090687856">
              <w:marLeft w:val="0"/>
              <w:marRight w:val="0"/>
              <w:marTop w:val="0"/>
              <w:marBottom w:val="0"/>
              <w:divBdr>
                <w:top w:val="none" w:sz="0" w:space="0" w:color="auto"/>
                <w:left w:val="none" w:sz="0" w:space="0" w:color="auto"/>
                <w:bottom w:val="none" w:sz="0" w:space="0" w:color="auto"/>
                <w:right w:val="none" w:sz="0" w:space="0" w:color="auto"/>
              </w:divBdr>
              <w:divsChild>
                <w:div w:id="1224368645">
                  <w:marLeft w:val="0"/>
                  <w:marRight w:val="0"/>
                  <w:marTop w:val="0"/>
                  <w:marBottom w:val="0"/>
                  <w:divBdr>
                    <w:top w:val="none" w:sz="0" w:space="0" w:color="auto"/>
                    <w:left w:val="none" w:sz="0" w:space="0" w:color="auto"/>
                    <w:bottom w:val="none" w:sz="0" w:space="0" w:color="auto"/>
                    <w:right w:val="none" w:sz="0" w:space="0" w:color="auto"/>
                  </w:divBdr>
                  <w:divsChild>
                    <w:div w:id="1258826313">
                      <w:marLeft w:val="0"/>
                      <w:marRight w:val="0"/>
                      <w:marTop w:val="0"/>
                      <w:marBottom w:val="300"/>
                      <w:divBdr>
                        <w:top w:val="none" w:sz="0" w:space="0" w:color="auto"/>
                        <w:left w:val="none" w:sz="0" w:space="0" w:color="auto"/>
                        <w:bottom w:val="none" w:sz="0" w:space="0" w:color="auto"/>
                        <w:right w:val="none" w:sz="0" w:space="0" w:color="auto"/>
                      </w:divBdr>
                      <w:divsChild>
                        <w:div w:id="12120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75593">
      <w:bodyDiv w:val="1"/>
      <w:marLeft w:val="0"/>
      <w:marRight w:val="0"/>
      <w:marTop w:val="0"/>
      <w:marBottom w:val="0"/>
      <w:divBdr>
        <w:top w:val="none" w:sz="0" w:space="0" w:color="auto"/>
        <w:left w:val="none" w:sz="0" w:space="0" w:color="auto"/>
        <w:bottom w:val="none" w:sz="0" w:space="0" w:color="auto"/>
        <w:right w:val="none" w:sz="0" w:space="0" w:color="auto"/>
      </w:divBdr>
      <w:divsChild>
        <w:div w:id="1035084281">
          <w:marLeft w:val="0"/>
          <w:marRight w:val="0"/>
          <w:marTop w:val="240"/>
          <w:marBottom w:val="0"/>
          <w:divBdr>
            <w:top w:val="none" w:sz="0" w:space="0" w:color="auto"/>
            <w:left w:val="none" w:sz="0" w:space="0" w:color="auto"/>
            <w:bottom w:val="none" w:sz="0" w:space="0" w:color="auto"/>
            <w:right w:val="none" w:sz="0" w:space="0" w:color="auto"/>
          </w:divBdr>
          <w:divsChild>
            <w:div w:id="1633974035">
              <w:marLeft w:val="0"/>
              <w:marRight w:val="0"/>
              <w:marTop w:val="0"/>
              <w:marBottom w:val="0"/>
              <w:divBdr>
                <w:top w:val="none" w:sz="0" w:space="0" w:color="auto"/>
                <w:left w:val="none" w:sz="0" w:space="0" w:color="auto"/>
                <w:bottom w:val="none" w:sz="0" w:space="0" w:color="auto"/>
                <w:right w:val="none" w:sz="0" w:space="0" w:color="auto"/>
              </w:divBdr>
            </w:div>
          </w:divsChild>
        </w:div>
        <w:div w:id="1141770043">
          <w:marLeft w:val="0"/>
          <w:marRight w:val="0"/>
          <w:marTop w:val="240"/>
          <w:marBottom w:val="0"/>
          <w:divBdr>
            <w:top w:val="none" w:sz="0" w:space="0" w:color="auto"/>
            <w:left w:val="none" w:sz="0" w:space="0" w:color="auto"/>
            <w:bottom w:val="none" w:sz="0" w:space="0" w:color="auto"/>
            <w:right w:val="none" w:sz="0" w:space="0" w:color="auto"/>
          </w:divBdr>
          <w:divsChild>
            <w:div w:id="1908151172">
              <w:marLeft w:val="0"/>
              <w:marRight w:val="0"/>
              <w:marTop w:val="0"/>
              <w:marBottom w:val="0"/>
              <w:divBdr>
                <w:top w:val="none" w:sz="0" w:space="0" w:color="auto"/>
                <w:left w:val="none" w:sz="0" w:space="0" w:color="auto"/>
                <w:bottom w:val="none" w:sz="0" w:space="0" w:color="auto"/>
                <w:right w:val="none" w:sz="0" w:space="0" w:color="auto"/>
              </w:divBdr>
            </w:div>
          </w:divsChild>
        </w:div>
        <w:div w:id="1480881671">
          <w:marLeft w:val="0"/>
          <w:marRight w:val="0"/>
          <w:marTop w:val="240"/>
          <w:marBottom w:val="0"/>
          <w:divBdr>
            <w:top w:val="none" w:sz="0" w:space="0" w:color="auto"/>
            <w:left w:val="none" w:sz="0" w:space="0" w:color="auto"/>
            <w:bottom w:val="none" w:sz="0" w:space="0" w:color="auto"/>
            <w:right w:val="none" w:sz="0" w:space="0" w:color="auto"/>
          </w:divBdr>
          <w:divsChild>
            <w:div w:id="172224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1897">
      <w:bodyDiv w:val="1"/>
      <w:marLeft w:val="0"/>
      <w:marRight w:val="0"/>
      <w:marTop w:val="0"/>
      <w:marBottom w:val="0"/>
      <w:divBdr>
        <w:top w:val="none" w:sz="0" w:space="0" w:color="auto"/>
        <w:left w:val="none" w:sz="0" w:space="0" w:color="auto"/>
        <w:bottom w:val="none" w:sz="0" w:space="0" w:color="auto"/>
        <w:right w:val="none" w:sz="0" w:space="0" w:color="auto"/>
      </w:divBdr>
      <w:divsChild>
        <w:div w:id="1246838051">
          <w:marLeft w:val="0"/>
          <w:marRight w:val="0"/>
          <w:marTop w:val="0"/>
          <w:marBottom w:val="0"/>
          <w:divBdr>
            <w:top w:val="none" w:sz="0" w:space="0" w:color="auto"/>
            <w:left w:val="none" w:sz="0" w:space="0" w:color="auto"/>
            <w:bottom w:val="none" w:sz="0" w:space="0" w:color="auto"/>
            <w:right w:val="none" w:sz="0" w:space="0" w:color="auto"/>
          </w:divBdr>
          <w:divsChild>
            <w:div w:id="300380507">
              <w:marLeft w:val="0"/>
              <w:marRight w:val="0"/>
              <w:marTop w:val="0"/>
              <w:marBottom w:val="0"/>
              <w:divBdr>
                <w:top w:val="none" w:sz="0" w:space="0" w:color="auto"/>
                <w:left w:val="none" w:sz="0" w:space="0" w:color="auto"/>
                <w:bottom w:val="none" w:sz="0" w:space="0" w:color="auto"/>
                <w:right w:val="none" w:sz="0" w:space="0" w:color="auto"/>
              </w:divBdr>
              <w:divsChild>
                <w:div w:id="866598740">
                  <w:marLeft w:val="0"/>
                  <w:marRight w:val="0"/>
                  <w:marTop w:val="0"/>
                  <w:marBottom w:val="0"/>
                  <w:divBdr>
                    <w:top w:val="none" w:sz="0" w:space="0" w:color="auto"/>
                    <w:left w:val="none" w:sz="0" w:space="0" w:color="auto"/>
                    <w:bottom w:val="none" w:sz="0" w:space="0" w:color="auto"/>
                    <w:right w:val="none" w:sz="0" w:space="0" w:color="auto"/>
                  </w:divBdr>
                  <w:divsChild>
                    <w:div w:id="1830903302">
                      <w:marLeft w:val="0"/>
                      <w:marRight w:val="0"/>
                      <w:marTop w:val="0"/>
                      <w:marBottom w:val="300"/>
                      <w:divBdr>
                        <w:top w:val="none" w:sz="0" w:space="0" w:color="auto"/>
                        <w:left w:val="none" w:sz="0" w:space="0" w:color="auto"/>
                        <w:bottom w:val="none" w:sz="0" w:space="0" w:color="auto"/>
                        <w:right w:val="none" w:sz="0" w:space="0" w:color="auto"/>
                      </w:divBdr>
                      <w:divsChild>
                        <w:div w:id="16587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64814">
      <w:bodyDiv w:val="1"/>
      <w:marLeft w:val="0"/>
      <w:marRight w:val="0"/>
      <w:marTop w:val="0"/>
      <w:marBottom w:val="0"/>
      <w:divBdr>
        <w:top w:val="none" w:sz="0" w:space="0" w:color="auto"/>
        <w:left w:val="none" w:sz="0" w:space="0" w:color="auto"/>
        <w:bottom w:val="none" w:sz="0" w:space="0" w:color="auto"/>
        <w:right w:val="none" w:sz="0" w:space="0" w:color="auto"/>
      </w:divBdr>
      <w:divsChild>
        <w:div w:id="643775189">
          <w:marLeft w:val="0"/>
          <w:marRight w:val="0"/>
          <w:marTop w:val="0"/>
          <w:marBottom w:val="0"/>
          <w:divBdr>
            <w:top w:val="none" w:sz="0" w:space="0" w:color="auto"/>
            <w:left w:val="none" w:sz="0" w:space="0" w:color="auto"/>
            <w:bottom w:val="none" w:sz="0" w:space="0" w:color="auto"/>
            <w:right w:val="none" w:sz="0" w:space="0" w:color="auto"/>
          </w:divBdr>
          <w:divsChild>
            <w:div w:id="541285977">
              <w:marLeft w:val="0"/>
              <w:marRight w:val="0"/>
              <w:marTop w:val="0"/>
              <w:marBottom w:val="0"/>
              <w:divBdr>
                <w:top w:val="none" w:sz="0" w:space="0" w:color="auto"/>
                <w:left w:val="none" w:sz="0" w:space="0" w:color="auto"/>
                <w:bottom w:val="none" w:sz="0" w:space="0" w:color="auto"/>
                <w:right w:val="none" w:sz="0" w:space="0" w:color="auto"/>
              </w:divBdr>
              <w:divsChild>
                <w:div w:id="1090856440">
                  <w:marLeft w:val="0"/>
                  <w:marRight w:val="0"/>
                  <w:marTop w:val="0"/>
                  <w:marBottom w:val="0"/>
                  <w:divBdr>
                    <w:top w:val="none" w:sz="0" w:space="0" w:color="auto"/>
                    <w:left w:val="none" w:sz="0" w:space="0" w:color="auto"/>
                    <w:bottom w:val="none" w:sz="0" w:space="0" w:color="auto"/>
                    <w:right w:val="none" w:sz="0" w:space="0" w:color="auto"/>
                  </w:divBdr>
                  <w:divsChild>
                    <w:div w:id="381487943">
                      <w:marLeft w:val="0"/>
                      <w:marRight w:val="0"/>
                      <w:marTop w:val="0"/>
                      <w:marBottom w:val="300"/>
                      <w:divBdr>
                        <w:top w:val="none" w:sz="0" w:space="0" w:color="auto"/>
                        <w:left w:val="none" w:sz="0" w:space="0" w:color="auto"/>
                        <w:bottom w:val="none" w:sz="0" w:space="0" w:color="auto"/>
                        <w:right w:val="none" w:sz="0" w:space="0" w:color="auto"/>
                      </w:divBdr>
                      <w:divsChild>
                        <w:div w:id="9332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26466">
      <w:bodyDiv w:val="1"/>
      <w:marLeft w:val="0"/>
      <w:marRight w:val="0"/>
      <w:marTop w:val="0"/>
      <w:marBottom w:val="0"/>
      <w:divBdr>
        <w:top w:val="none" w:sz="0" w:space="0" w:color="auto"/>
        <w:left w:val="none" w:sz="0" w:space="0" w:color="auto"/>
        <w:bottom w:val="none" w:sz="0" w:space="0" w:color="auto"/>
        <w:right w:val="none" w:sz="0" w:space="0" w:color="auto"/>
      </w:divBdr>
      <w:divsChild>
        <w:div w:id="2059695336">
          <w:marLeft w:val="0"/>
          <w:marRight w:val="0"/>
          <w:marTop w:val="0"/>
          <w:marBottom w:val="0"/>
          <w:divBdr>
            <w:top w:val="none" w:sz="0" w:space="0" w:color="auto"/>
            <w:left w:val="none" w:sz="0" w:space="0" w:color="auto"/>
            <w:bottom w:val="none" w:sz="0" w:space="0" w:color="auto"/>
            <w:right w:val="none" w:sz="0" w:space="0" w:color="auto"/>
          </w:divBdr>
          <w:divsChild>
            <w:div w:id="47728605">
              <w:marLeft w:val="0"/>
              <w:marRight w:val="0"/>
              <w:marTop w:val="0"/>
              <w:marBottom w:val="0"/>
              <w:divBdr>
                <w:top w:val="none" w:sz="0" w:space="0" w:color="auto"/>
                <w:left w:val="none" w:sz="0" w:space="0" w:color="auto"/>
                <w:bottom w:val="none" w:sz="0" w:space="0" w:color="auto"/>
                <w:right w:val="none" w:sz="0" w:space="0" w:color="auto"/>
              </w:divBdr>
              <w:divsChild>
                <w:div w:id="1093474276">
                  <w:marLeft w:val="0"/>
                  <w:marRight w:val="0"/>
                  <w:marTop w:val="0"/>
                  <w:marBottom w:val="0"/>
                  <w:divBdr>
                    <w:top w:val="none" w:sz="0" w:space="0" w:color="auto"/>
                    <w:left w:val="none" w:sz="0" w:space="0" w:color="auto"/>
                    <w:bottom w:val="none" w:sz="0" w:space="0" w:color="auto"/>
                    <w:right w:val="none" w:sz="0" w:space="0" w:color="auto"/>
                  </w:divBdr>
                  <w:divsChild>
                    <w:div w:id="1659965413">
                      <w:marLeft w:val="0"/>
                      <w:marRight w:val="0"/>
                      <w:marTop w:val="0"/>
                      <w:marBottom w:val="375"/>
                      <w:divBdr>
                        <w:top w:val="none" w:sz="0" w:space="0" w:color="auto"/>
                        <w:left w:val="none" w:sz="0" w:space="0" w:color="auto"/>
                        <w:bottom w:val="none" w:sz="0" w:space="0" w:color="auto"/>
                        <w:right w:val="none" w:sz="0" w:space="0" w:color="auto"/>
                      </w:divBdr>
                      <w:divsChild>
                        <w:div w:id="117665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22100">
      <w:bodyDiv w:val="1"/>
      <w:marLeft w:val="0"/>
      <w:marRight w:val="0"/>
      <w:marTop w:val="0"/>
      <w:marBottom w:val="0"/>
      <w:divBdr>
        <w:top w:val="none" w:sz="0" w:space="0" w:color="auto"/>
        <w:left w:val="none" w:sz="0" w:space="0" w:color="auto"/>
        <w:bottom w:val="none" w:sz="0" w:space="0" w:color="auto"/>
        <w:right w:val="none" w:sz="0" w:space="0" w:color="auto"/>
      </w:divBdr>
      <w:divsChild>
        <w:div w:id="642272812">
          <w:marLeft w:val="0"/>
          <w:marRight w:val="0"/>
          <w:marTop w:val="0"/>
          <w:marBottom w:val="0"/>
          <w:divBdr>
            <w:top w:val="none" w:sz="0" w:space="0" w:color="auto"/>
            <w:left w:val="single" w:sz="6" w:space="0" w:color="BBBBBB"/>
            <w:bottom w:val="single" w:sz="6" w:space="0" w:color="BBBBBB"/>
            <w:right w:val="single" w:sz="6" w:space="0" w:color="BBBBBB"/>
          </w:divBdr>
          <w:divsChild>
            <w:div w:id="1178537919">
              <w:marLeft w:val="0"/>
              <w:marRight w:val="0"/>
              <w:marTop w:val="0"/>
              <w:marBottom w:val="0"/>
              <w:divBdr>
                <w:top w:val="none" w:sz="0" w:space="0" w:color="auto"/>
                <w:left w:val="none" w:sz="0" w:space="0" w:color="auto"/>
                <w:bottom w:val="none" w:sz="0" w:space="0" w:color="auto"/>
                <w:right w:val="none" w:sz="0" w:space="0" w:color="auto"/>
              </w:divBdr>
              <w:divsChild>
                <w:div w:id="600144413">
                  <w:marLeft w:val="0"/>
                  <w:marRight w:val="0"/>
                  <w:marTop w:val="75"/>
                  <w:marBottom w:val="0"/>
                  <w:divBdr>
                    <w:top w:val="none" w:sz="0" w:space="0" w:color="auto"/>
                    <w:left w:val="none" w:sz="0" w:space="0" w:color="auto"/>
                    <w:bottom w:val="none" w:sz="0" w:space="0" w:color="auto"/>
                    <w:right w:val="none" w:sz="0" w:space="0" w:color="auto"/>
                  </w:divBdr>
                  <w:divsChild>
                    <w:div w:id="401027870">
                      <w:marLeft w:val="0"/>
                      <w:marRight w:val="0"/>
                      <w:marTop w:val="0"/>
                      <w:marBottom w:val="0"/>
                      <w:divBdr>
                        <w:top w:val="none" w:sz="0" w:space="0" w:color="auto"/>
                        <w:left w:val="none" w:sz="0" w:space="0" w:color="auto"/>
                        <w:bottom w:val="none" w:sz="0" w:space="0" w:color="auto"/>
                        <w:right w:val="none" w:sz="0" w:space="0" w:color="auto"/>
                      </w:divBdr>
                      <w:divsChild>
                        <w:div w:id="1540630781">
                          <w:marLeft w:val="0"/>
                          <w:marRight w:val="0"/>
                          <w:marTop w:val="0"/>
                          <w:marBottom w:val="0"/>
                          <w:divBdr>
                            <w:top w:val="none" w:sz="0" w:space="0" w:color="auto"/>
                            <w:left w:val="none" w:sz="0" w:space="0" w:color="auto"/>
                            <w:bottom w:val="none" w:sz="0" w:space="0" w:color="auto"/>
                            <w:right w:val="none" w:sz="0" w:space="0" w:color="auto"/>
                          </w:divBdr>
                          <w:divsChild>
                            <w:div w:id="1389383277">
                              <w:marLeft w:val="0"/>
                              <w:marRight w:val="0"/>
                              <w:marTop w:val="0"/>
                              <w:marBottom w:val="0"/>
                              <w:divBdr>
                                <w:top w:val="none" w:sz="0" w:space="0" w:color="auto"/>
                                <w:left w:val="none" w:sz="0" w:space="0" w:color="auto"/>
                                <w:bottom w:val="none" w:sz="0" w:space="0" w:color="auto"/>
                                <w:right w:val="none" w:sz="0" w:space="0" w:color="auto"/>
                              </w:divBdr>
                              <w:divsChild>
                                <w:div w:id="240330894">
                                  <w:marLeft w:val="0"/>
                                  <w:marRight w:val="0"/>
                                  <w:marTop w:val="0"/>
                                  <w:marBottom w:val="0"/>
                                  <w:divBdr>
                                    <w:top w:val="none" w:sz="0" w:space="0" w:color="auto"/>
                                    <w:left w:val="none" w:sz="0" w:space="0" w:color="auto"/>
                                    <w:bottom w:val="none" w:sz="0" w:space="0" w:color="auto"/>
                                    <w:right w:val="none" w:sz="0" w:space="0" w:color="auto"/>
                                  </w:divBdr>
                                  <w:divsChild>
                                    <w:div w:id="1176991803">
                                      <w:marLeft w:val="0"/>
                                      <w:marRight w:val="0"/>
                                      <w:marTop w:val="0"/>
                                      <w:marBottom w:val="0"/>
                                      <w:divBdr>
                                        <w:top w:val="none" w:sz="0" w:space="0" w:color="auto"/>
                                        <w:left w:val="none" w:sz="0" w:space="0" w:color="auto"/>
                                        <w:bottom w:val="none" w:sz="0" w:space="0" w:color="auto"/>
                                        <w:right w:val="none" w:sz="0" w:space="0" w:color="auto"/>
                                      </w:divBdr>
                                      <w:divsChild>
                                        <w:div w:id="432210616">
                                          <w:marLeft w:val="1200"/>
                                          <w:marRight w:val="1200"/>
                                          <w:marTop w:val="0"/>
                                          <w:marBottom w:val="0"/>
                                          <w:divBdr>
                                            <w:top w:val="none" w:sz="0" w:space="0" w:color="auto"/>
                                            <w:left w:val="none" w:sz="0" w:space="0" w:color="auto"/>
                                            <w:bottom w:val="none" w:sz="0" w:space="0" w:color="auto"/>
                                            <w:right w:val="none" w:sz="0" w:space="0" w:color="auto"/>
                                          </w:divBdr>
                                          <w:divsChild>
                                            <w:div w:id="1697459410">
                                              <w:marLeft w:val="0"/>
                                              <w:marRight w:val="0"/>
                                              <w:marTop w:val="0"/>
                                              <w:marBottom w:val="0"/>
                                              <w:divBdr>
                                                <w:top w:val="none" w:sz="0" w:space="0" w:color="auto"/>
                                                <w:left w:val="none" w:sz="0" w:space="0" w:color="auto"/>
                                                <w:bottom w:val="none" w:sz="0" w:space="0" w:color="auto"/>
                                                <w:right w:val="none" w:sz="0" w:space="0" w:color="auto"/>
                                              </w:divBdr>
                                              <w:divsChild>
                                                <w:div w:id="1208372435">
                                                  <w:marLeft w:val="0"/>
                                                  <w:marRight w:val="0"/>
                                                  <w:marTop w:val="0"/>
                                                  <w:marBottom w:val="0"/>
                                                  <w:divBdr>
                                                    <w:top w:val="none" w:sz="0" w:space="0" w:color="auto"/>
                                                    <w:left w:val="none" w:sz="0" w:space="0" w:color="auto"/>
                                                    <w:bottom w:val="none" w:sz="0" w:space="0" w:color="auto"/>
                                                    <w:right w:val="none" w:sz="0" w:space="0" w:color="auto"/>
                                                  </w:divBdr>
                                                  <w:divsChild>
                                                    <w:div w:id="1258716254">
                                                      <w:marLeft w:val="0"/>
                                                      <w:marRight w:val="0"/>
                                                      <w:marTop w:val="0"/>
                                                      <w:marBottom w:val="0"/>
                                                      <w:divBdr>
                                                        <w:top w:val="none" w:sz="0" w:space="0" w:color="auto"/>
                                                        <w:left w:val="none" w:sz="0" w:space="0" w:color="auto"/>
                                                        <w:bottom w:val="none" w:sz="0" w:space="0" w:color="auto"/>
                                                        <w:right w:val="none" w:sz="0" w:space="0" w:color="auto"/>
                                                      </w:divBdr>
                                                      <w:divsChild>
                                                        <w:div w:id="1598978592">
                                                          <w:marLeft w:val="0"/>
                                                          <w:marRight w:val="0"/>
                                                          <w:marTop w:val="0"/>
                                                          <w:marBottom w:val="0"/>
                                                          <w:divBdr>
                                                            <w:top w:val="none" w:sz="0" w:space="0" w:color="auto"/>
                                                            <w:left w:val="none" w:sz="0" w:space="0" w:color="auto"/>
                                                            <w:bottom w:val="none" w:sz="0" w:space="0" w:color="auto"/>
                                                            <w:right w:val="none" w:sz="0" w:space="0" w:color="auto"/>
                                                          </w:divBdr>
                                                          <w:divsChild>
                                                            <w:div w:id="1384403486">
                                                              <w:marLeft w:val="0"/>
                                                              <w:marRight w:val="0"/>
                                                              <w:marTop w:val="0"/>
                                                              <w:marBottom w:val="0"/>
                                                              <w:divBdr>
                                                                <w:top w:val="none" w:sz="0" w:space="0" w:color="auto"/>
                                                                <w:left w:val="none" w:sz="0" w:space="0" w:color="auto"/>
                                                                <w:bottom w:val="none" w:sz="0" w:space="0" w:color="auto"/>
                                                                <w:right w:val="none" w:sz="0" w:space="0" w:color="auto"/>
                                                              </w:divBdr>
                                                              <w:divsChild>
                                                                <w:div w:id="1210997862">
                                                                  <w:marLeft w:val="0"/>
                                                                  <w:marRight w:val="0"/>
                                                                  <w:marTop w:val="0"/>
                                                                  <w:marBottom w:val="0"/>
                                                                  <w:divBdr>
                                                                    <w:top w:val="none" w:sz="0" w:space="0" w:color="auto"/>
                                                                    <w:left w:val="none" w:sz="0" w:space="0" w:color="auto"/>
                                                                    <w:bottom w:val="none" w:sz="0" w:space="0" w:color="auto"/>
                                                                    <w:right w:val="none" w:sz="0" w:space="0" w:color="auto"/>
                                                                  </w:divBdr>
                                                                  <w:divsChild>
                                                                    <w:div w:id="652876602">
                                                                      <w:marLeft w:val="0"/>
                                                                      <w:marRight w:val="0"/>
                                                                      <w:marTop w:val="0"/>
                                                                      <w:marBottom w:val="0"/>
                                                                      <w:divBdr>
                                                                        <w:top w:val="none" w:sz="0" w:space="0" w:color="auto"/>
                                                                        <w:left w:val="none" w:sz="0" w:space="0" w:color="auto"/>
                                                                        <w:bottom w:val="none" w:sz="0" w:space="0" w:color="auto"/>
                                                                        <w:right w:val="none" w:sz="0" w:space="0" w:color="auto"/>
                                                                      </w:divBdr>
                                                                      <w:divsChild>
                                                                        <w:div w:id="2029138908">
                                                                          <w:marLeft w:val="0"/>
                                                                          <w:marRight w:val="0"/>
                                                                          <w:marTop w:val="0"/>
                                                                          <w:marBottom w:val="0"/>
                                                                          <w:divBdr>
                                                                            <w:top w:val="none" w:sz="0" w:space="0" w:color="auto"/>
                                                                            <w:left w:val="none" w:sz="0" w:space="0" w:color="auto"/>
                                                                            <w:bottom w:val="none" w:sz="0" w:space="0" w:color="auto"/>
                                                                            <w:right w:val="none" w:sz="0" w:space="0" w:color="auto"/>
                                                                          </w:divBdr>
                                                                        </w:div>
                                                                      </w:divsChild>
                                                                    </w:div>
                                                                    <w:div w:id="710157216">
                                                                      <w:marLeft w:val="0"/>
                                                                      <w:marRight w:val="0"/>
                                                                      <w:marTop w:val="0"/>
                                                                      <w:marBottom w:val="0"/>
                                                                      <w:divBdr>
                                                                        <w:top w:val="none" w:sz="0" w:space="0" w:color="auto"/>
                                                                        <w:left w:val="none" w:sz="0" w:space="0" w:color="auto"/>
                                                                        <w:bottom w:val="none" w:sz="0" w:space="0" w:color="auto"/>
                                                                        <w:right w:val="none" w:sz="0" w:space="0" w:color="auto"/>
                                                                      </w:divBdr>
                                                                      <w:divsChild>
                                                                        <w:div w:id="67728833">
                                                                          <w:marLeft w:val="0"/>
                                                                          <w:marRight w:val="0"/>
                                                                          <w:marTop w:val="0"/>
                                                                          <w:marBottom w:val="0"/>
                                                                          <w:divBdr>
                                                                            <w:top w:val="none" w:sz="0" w:space="0" w:color="auto"/>
                                                                            <w:left w:val="none" w:sz="0" w:space="0" w:color="auto"/>
                                                                            <w:bottom w:val="none" w:sz="0" w:space="0" w:color="auto"/>
                                                                            <w:right w:val="none" w:sz="0" w:space="0" w:color="auto"/>
                                                                          </w:divBdr>
                                                                        </w:div>
                                                                      </w:divsChild>
                                                                    </w:div>
                                                                    <w:div w:id="1627273850">
                                                                      <w:marLeft w:val="0"/>
                                                                      <w:marRight w:val="0"/>
                                                                      <w:marTop w:val="0"/>
                                                                      <w:marBottom w:val="0"/>
                                                                      <w:divBdr>
                                                                        <w:top w:val="none" w:sz="0" w:space="0" w:color="auto"/>
                                                                        <w:left w:val="none" w:sz="0" w:space="0" w:color="auto"/>
                                                                        <w:bottom w:val="none" w:sz="0" w:space="0" w:color="auto"/>
                                                                        <w:right w:val="none" w:sz="0" w:space="0" w:color="auto"/>
                                                                      </w:divBdr>
                                                                      <w:divsChild>
                                                                        <w:div w:id="11560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751678">
      <w:bodyDiv w:val="1"/>
      <w:marLeft w:val="0"/>
      <w:marRight w:val="0"/>
      <w:marTop w:val="0"/>
      <w:marBottom w:val="0"/>
      <w:divBdr>
        <w:top w:val="none" w:sz="0" w:space="0" w:color="auto"/>
        <w:left w:val="none" w:sz="0" w:space="0" w:color="auto"/>
        <w:bottom w:val="none" w:sz="0" w:space="0" w:color="auto"/>
        <w:right w:val="none" w:sz="0" w:space="0" w:color="auto"/>
      </w:divBdr>
      <w:divsChild>
        <w:div w:id="11953755">
          <w:marLeft w:val="0"/>
          <w:marRight w:val="0"/>
          <w:marTop w:val="240"/>
          <w:marBottom w:val="0"/>
          <w:divBdr>
            <w:top w:val="none" w:sz="0" w:space="0" w:color="auto"/>
            <w:left w:val="none" w:sz="0" w:space="0" w:color="auto"/>
            <w:bottom w:val="none" w:sz="0" w:space="0" w:color="auto"/>
            <w:right w:val="none" w:sz="0" w:space="0" w:color="auto"/>
          </w:divBdr>
          <w:divsChild>
            <w:div w:id="1942565274">
              <w:marLeft w:val="0"/>
              <w:marRight w:val="0"/>
              <w:marTop w:val="0"/>
              <w:marBottom w:val="0"/>
              <w:divBdr>
                <w:top w:val="none" w:sz="0" w:space="0" w:color="auto"/>
                <w:left w:val="none" w:sz="0" w:space="0" w:color="auto"/>
                <w:bottom w:val="none" w:sz="0" w:space="0" w:color="auto"/>
                <w:right w:val="none" w:sz="0" w:space="0" w:color="auto"/>
              </w:divBdr>
            </w:div>
          </w:divsChild>
        </w:div>
        <w:div w:id="283538875">
          <w:marLeft w:val="0"/>
          <w:marRight w:val="0"/>
          <w:marTop w:val="0"/>
          <w:marBottom w:val="0"/>
          <w:divBdr>
            <w:top w:val="none" w:sz="0" w:space="0" w:color="auto"/>
            <w:left w:val="none" w:sz="0" w:space="0" w:color="auto"/>
            <w:bottom w:val="none" w:sz="0" w:space="0" w:color="auto"/>
            <w:right w:val="none" w:sz="0" w:space="0" w:color="auto"/>
          </w:divBdr>
        </w:div>
        <w:div w:id="460926909">
          <w:marLeft w:val="0"/>
          <w:marRight w:val="0"/>
          <w:marTop w:val="240"/>
          <w:marBottom w:val="0"/>
          <w:divBdr>
            <w:top w:val="none" w:sz="0" w:space="0" w:color="auto"/>
            <w:left w:val="none" w:sz="0" w:space="0" w:color="auto"/>
            <w:bottom w:val="none" w:sz="0" w:space="0" w:color="auto"/>
            <w:right w:val="none" w:sz="0" w:space="0" w:color="auto"/>
          </w:divBdr>
          <w:divsChild>
            <w:div w:id="792673628">
              <w:marLeft w:val="0"/>
              <w:marRight w:val="0"/>
              <w:marTop w:val="0"/>
              <w:marBottom w:val="0"/>
              <w:divBdr>
                <w:top w:val="none" w:sz="0" w:space="0" w:color="auto"/>
                <w:left w:val="none" w:sz="0" w:space="0" w:color="auto"/>
                <w:bottom w:val="none" w:sz="0" w:space="0" w:color="auto"/>
                <w:right w:val="none" w:sz="0" w:space="0" w:color="auto"/>
              </w:divBdr>
            </w:div>
          </w:divsChild>
        </w:div>
        <w:div w:id="725375162">
          <w:marLeft w:val="0"/>
          <w:marRight w:val="0"/>
          <w:marTop w:val="240"/>
          <w:marBottom w:val="0"/>
          <w:divBdr>
            <w:top w:val="none" w:sz="0" w:space="0" w:color="auto"/>
            <w:left w:val="none" w:sz="0" w:space="0" w:color="auto"/>
            <w:bottom w:val="none" w:sz="0" w:space="0" w:color="auto"/>
            <w:right w:val="none" w:sz="0" w:space="0" w:color="auto"/>
          </w:divBdr>
          <w:divsChild>
            <w:div w:id="851603295">
              <w:marLeft w:val="0"/>
              <w:marRight w:val="0"/>
              <w:marTop w:val="0"/>
              <w:marBottom w:val="0"/>
              <w:divBdr>
                <w:top w:val="none" w:sz="0" w:space="0" w:color="auto"/>
                <w:left w:val="none" w:sz="0" w:space="0" w:color="auto"/>
                <w:bottom w:val="none" w:sz="0" w:space="0" w:color="auto"/>
                <w:right w:val="none" w:sz="0" w:space="0" w:color="auto"/>
              </w:divBdr>
            </w:div>
          </w:divsChild>
        </w:div>
        <w:div w:id="761030845">
          <w:marLeft w:val="0"/>
          <w:marRight w:val="0"/>
          <w:marTop w:val="240"/>
          <w:marBottom w:val="0"/>
          <w:divBdr>
            <w:top w:val="none" w:sz="0" w:space="0" w:color="auto"/>
            <w:left w:val="none" w:sz="0" w:space="0" w:color="auto"/>
            <w:bottom w:val="none" w:sz="0" w:space="0" w:color="auto"/>
            <w:right w:val="none" w:sz="0" w:space="0" w:color="auto"/>
          </w:divBdr>
          <w:divsChild>
            <w:div w:id="13432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5048">
      <w:bodyDiv w:val="1"/>
      <w:marLeft w:val="0"/>
      <w:marRight w:val="0"/>
      <w:marTop w:val="0"/>
      <w:marBottom w:val="0"/>
      <w:divBdr>
        <w:top w:val="none" w:sz="0" w:space="0" w:color="auto"/>
        <w:left w:val="none" w:sz="0" w:space="0" w:color="auto"/>
        <w:bottom w:val="none" w:sz="0" w:space="0" w:color="auto"/>
        <w:right w:val="none" w:sz="0" w:space="0" w:color="auto"/>
      </w:divBdr>
      <w:divsChild>
        <w:div w:id="433789944">
          <w:marLeft w:val="0"/>
          <w:marRight w:val="0"/>
          <w:marTop w:val="0"/>
          <w:marBottom w:val="0"/>
          <w:divBdr>
            <w:top w:val="none" w:sz="0" w:space="0" w:color="auto"/>
            <w:left w:val="none" w:sz="0" w:space="0" w:color="auto"/>
            <w:bottom w:val="none" w:sz="0" w:space="0" w:color="auto"/>
            <w:right w:val="none" w:sz="0" w:space="0" w:color="auto"/>
          </w:divBdr>
          <w:divsChild>
            <w:div w:id="2015914456">
              <w:marLeft w:val="0"/>
              <w:marRight w:val="0"/>
              <w:marTop w:val="0"/>
              <w:marBottom w:val="0"/>
              <w:divBdr>
                <w:top w:val="none" w:sz="0" w:space="0" w:color="auto"/>
                <w:left w:val="none" w:sz="0" w:space="0" w:color="auto"/>
                <w:bottom w:val="none" w:sz="0" w:space="0" w:color="auto"/>
                <w:right w:val="none" w:sz="0" w:space="0" w:color="auto"/>
              </w:divBdr>
              <w:divsChild>
                <w:div w:id="1388647972">
                  <w:marLeft w:val="0"/>
                  <w:marRight w:val="0"/>
                  <w:marTop w:val="0"/>
                  <w:marBottom w:val="0"/>
                  <w:divBdr>
                    <w:top w:val="none" w:sz="0" w:space="0" w:color="auto"/>
                    <w:left w:val="none" w:sz="0" w:space="0" w:color="auto"/>
                    <w:bottom w:val="none" w:sz="0" w:space="0" w:color="auto"/>
                    <w:right w:val="none" w:sz="0" w:space="0" w:color="auto"/>
                  </w:divBdr>
                  <w:divsChild>
                    <w:div w:id="1225722846">
                      <w:marLeft w:val="0"/>
                      <w:marRight w:val="0"/>
                      <w:marTop w:val="0"/>
                      <w:marBottom w:val="300"/>
                      <w:divBdr>
                        <w:top w:val="none" w:sz="0" w:space="0" w:color="auto"/>
                        <w:left w:val="none" w:sz="0" w:space="0" w:color="auto"/>
                        <w:bottom w:val="none" w:sz="0" w:space="0" w:color="auto"/>
                        <w:right w:val="none" w:sz="0" w:space="0" w:color="auto"/>
                      </w:divBdr>
                      <w:divsChild>
                        <w:div w:id="9534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42545">
      <w:bodyDiv w:val="1"/>
      <w:marLeft w:val="0"/>
      <w:marRight w:val="0"/>
      <w:marTop w:val="0"/>
      <w:marBottom w:val="0"/>
      <w:divBdr>
        <w:top w:val="none" w:sz="0" w:space="0" w:color="auto"/>
        <w:left w:val="none" w:sz="0" w:space="0" w:color="auto"/>
        <w:bottom w:val="none" w:sz="0" w:space="0" w:color="auto"/>
        <w:right w:val="none" w:sz="0" w:space="0" w:color="auto"/>
      </w:divBdr>
      <w:divsChild>
        <w:div w:id="176623490">
          <w:marLeft w:val="0"/>
          <w:marRight w:val="0"/>
          <w:marTop w:val="0"/>
          <w:marBottom w:val="0"/>
          <w:divBdr>
            <w:top w:val="none" w:sz="0" w:space="0" w:color="auto"/>
            <w:left w:val="single" w:sz="6" w:space="0" w:color="BBBBBB"/>
            <w:bottom w:val="single" w:sz="6" w:space="0" w:color="BBBBBB"/>
            <w:right w:val="single" w:sz="6" w:space="0" w:color="BBBBBB"/>
          </w:divBdr>
          <w:divsChild>
            <w:div w:id="51319452">
              <w:marLeft w:val="0"/>
              <w:marRight w:val="0"/>
              <w:marTop w:val="0"/>
              <w:marBottom w:val="0"/>
              <w:divBdr>
                <w:top w:val="none" w:sz="0" w:space="0" w:color="auto"/>
                <w:left w:val="none" w:sz="0" w:space="0" w:color="auto"/>
                <w:bottom w:val="none" w:sz="0" w:space="0" w:color="auto"/>
                <w:right w:val="none" w:sz="0" w:space="0" w:color="auto"/>
              </w:divBdr>
              <w:divsChild>
                <w:div w:id="1456867322">
                  <w:marLeft w:val="0"/>
                  <w:marRight w:val="0"/>
                  <w:marTop w:val="0"/>
                  <w:marBottom w:val="0"/>
                  <w:divBdr>
                    <w:top w:val="none" w:sz="0" w:space="0" w:color="auto"/>
                    <w:left w:val="none" w:sz="0" w:space="0" w:color="auto"/>
                    <w:bottom w:val="none" w:sz="0" w:space="0" w:color="auto"/>
                    <w:right w:val="none" w:sz="0" w:space="0" w:color="auto"/>
                  </w:divBdr>
                  <w:divsChild>
                    <w:div w:id="1169521475">
                      <w:marLeft w:val="0"/>
                      <w:marRight w:val="0"/>
                      <w:marTop w:val="0"/>
                      <w:marBottom w:val="0"/>
                      <w:divBdr>
                        <w:top w:val="none" w:sz="0" w:space="0" w:color="auto"/>
                        <w:left w:val="none" w:sz="0" w:space="0" w:color="auto"/>
                        <w:bottom w:val="none" w:sz="0" w:space="0" w:color="auto"/>
                        <w:right w:val="none" w:sz="0" w:space="0" w:color="auto"/>
                      </w:divBdr>
                      <w:divsChild>
                        <w:div w:id="771432735">
                          <w:marLeft w:val="0"/>
                          <w:marRight w:val="0"/>
                          <w:marTop w:val="0"/>
                          <w:marBottom w:val="0"/>
                          <w:divBdr>
                            <w:top w:val="none" w:sz="0" w:space="0" w:color="auto"/>
                            <w:left w:val="none" w:sz="0" w:space="0" w:color="auto"/>
                            <w:bottom w:val="none" w:sz="0" w:space="0" w:color="auto"/>
                            <w:right w:val="none" w:sz="0" w:space="0" w:color="auto"/>
                          </w:divBdr>
                          <w:divsChild>
                            <w:div w:id="1937521449">
                              <w:marLeft w:val="0"/>
                              <w:marRight w:val="0"/>
                              <w:marTop w:val="0"/>
                              <w:marBottom w:val="0"/>
                              <w:divBdr>
                                <w:top w:val="none" w:sz="0" w:space="0" w:color="auto"/>
                                <w:left w:val="none" w:sz="0" w:space="0" w:color="auto"/>
                                <w:bottom w:val="none" w:sz="0" w:space="0" w:color="auto"/>
                                <w:right w:val="none" w:sz="0" w:space="0" w:color="auto"/>
                              </w:divBdr>
                              <w:divsChild>
                                <w:div w:id="767965911">
                                  <w:marLeft w:val="0"/>
                                  <w:marRight w:val="0"/>
                                  <w:marTop w:val="0"/>
                                  <w:marBottom w:val="0"/>
                                  <w:divBdr>
                                    <w:top w:val="none" w:sz="0" w:space="0" w:color="auto"/>
                                    <w:left w:val="none" w:sz="0" w:space="0" w:color="auto"/>
                                    <w:bottom w:val="none" w:sz="0" w:space="0" w:color="auto"/>
                                    <w:right w:val="none" w:sz="0" w:space="0" w:color="auto"/>
                                  </w:divBdr>
                                  <w:divsChild>
                                    <w:div w:id="135605833">
                                      <w:marLeft w:val="0"/>
                                      <w:marRight w:val="0"/>
                                      <w:marTop w:val="0"/>
                                      <w:marBottom w:val="0"/>
                                      <w:divBdr>
                                        <w:top w:val="none" w:sz="0" w:space="0" w:color="auto"/>
                                        <w:left w:val="none" w:sz="0" w:space="0" w:color="auto"/>
                                        <w:bottom w:val="none" w:sz="0" w:space="0" w:color="auto"/>
                                        <w:right w:val="none" w:sz="0" w:space="0" w:color="auto"/>
                                      </w:divBdr>
                                      <w:divsChild>
                                        <w:div w:id="1016351816">
                                          <w:marLeft w:val="1200"/>
                                          <w:marRight w:val="1200"/>
                                          <w:marTop w:val="0"/>
                                          <w:marBottom w:val="0"/>
                                          <w:divBdr>
                                            <w:top w:val="none" w:sz="0" w:space="0" w:color="auto"/>
                                            <w:left w:val="none" w:sz="0" w:space="0" w:color="auto"/>
                                            <w:bottom w:val="none" w:sz="0" w:space="0" w:color="auto"/>
                                            <w:right w:val="none" w:sz="0" w:space="0" w:color="auto"/>
                                          </w:divBdr>
                                          <w:divsChild>
                                            <w:div w:id="1596670905">
                                              <w:marLeft w:val="0"/>
                                              <w:marRight w:val="0"/>
                                              <w:marTop w:val="0"/>
                                              <w:marBottom w:val="0"/>
                                              <w:divBdr>
                                                <w:top w:val="none" w:sz="0" w:space="0" w:color="auto"/>
                                                <w:left w:val="none" w:sz="0" w:space="0" w:color="auto"/>
                                                <w:bottom w:val="none" w:sz="0" w:space="0" w:color="auto"/>
                                                <w:right w:val="none" w:sz="0" w:space="0" w:color="auto"/>
                                              </w:divBdr>
                                              <w:divsChild>
                                                <w:div w:id="1486781888">
                                                  <w:marLeft w:val="0"/>
                                                  <w:marRight w:val="0"/>
                                                  <w:marTop w:val="0"/>
                                                  <w:marBottom w:val="0"/>
                                                  <w:divBdr>
                                                    <w:top w:val="none" w:sz="0" w:space="0" w:color="auto"/>
                                                    <w:left w:val="none" w:sz="0" w:space="0" w:color="auto"/>
                                                    <w:bottom w:val="none" w:sz="0" w:space="0" w:color="auto"/>
                                                    <w:right w:val="none" w:sz="0" w:space="0" w:color="auto"/>
                                                  </w:divBdr>
                                                  <w:divsChild>
                                                    <w:div w:id="1200360988">
                                                      <w:marLeft w:val="0"/>
                                                      <w:marRight w:val="0"/>
                                                      <w:marTop w:val="0"/>
                                                      <w:marBottom w:val="0"/>
                                                      <w:divBdr>
                                                        <w:top w:val="none" w:sz="0" w:space="0" w:color="auto"/>
                                                        <w:left w:val="none" w:sz="0" w:space="0" w:color="auto"/>
                                                        <w:bottom w:val="none" w:sz="0" w:space="0" w:color="auto"/>
                                                        <w:right w:val="none" w:sz="0" w:space="0" w:color="auto"/>
                                                      </w:divBdr>
                                                      <w:divsChild>
                                                        <w:div w:id="459959946">
                                                          <w:marLeft w:val="0"/>
                                                          <w:marRight w:val="0"/>
                                                          <w:marTop w:val="0"/>
                                                          <w:marBottom w:val="0"/>
                                                          <w:divBdr>
                                                            <w:top w:val="none" w:sz="0" w:space="0" w:color="auto"/>
                                                            <w:left w:val="none" w:sz="0" w:space="0" w:color="auto"/>
                                                            <w:bottom w:val="none" w:sz="0" w:space="0" w:color="auto"/>
                                                            <w:right w:val="none" w:sz="0" w:space="0" w:color="auto"/>
                                                          </w:divBdr>
                                                          <w:divsChild>
                                                            <w:div w:id="528569187">
                                                              <w:marLeft w:val="0"/>
                                                              <w:marRight w:val="0"/>
                                                              <w:marTop w:val="0"/>
                                                              <w:marBottom w:val="0"/>
                                                              <w:divBdr>
                                                                <w:top w:val="none" w:sz="0" w:space="0" w:color="auto"/>
                                                                <w:left w:val="none" w:sz="0" w:space="0" w:color="auto"/>
                                                                <w:bottom w:val="none" w:sz="0" w:space="0" w:color="auto"/>
                                                                <w:right w:val="none" w:sz="0" w:space="0" w:color="auto"/>
                                                              </w:divBdr>
                                                              <w:divsChild>
                                                                <w:div w:id="268704317">
                                                                  <w:marLeft w:val="0"/>
                                                                  <w:marRight w:val="0"/>
                                                                  <w:marTop w:val="0"/>
                                                                  <w:marBottom w:val="0"/>
                                                                  <w:divBdr>
                                                                    <w:top w:val="none" w:sz="0" w:space="0" w:color="auto"/>
                                                                    <w:left w:val="none" w:sz="0" w:space="0" w:color="auto"/>
                                                                    <w:bottom w:val="none" w:sz="0" w:space="0" w:color="auto"/>
                                                                    <w:right w:val="none" w:sz="0" w:space="0" w:color="auto"/>
                                                                  </w:divBdr>
                                                                  <w:divsChild>
                                                                    <w:div w:id="744448628">
                                                                      <w:marLeft w:val="0"/>
                                                                      <w:marRight w:val="0"/>
                                                                      <w:marTop w:val="0"/>
                                                                      <w:marBottom w:val="0"/>
                                                                      <w:divBdr>
                                                                        <w:top w:val="none" w:sz="0" w:space="0" w:color="auto"/>
                                                                        <w:left w:val="none" w:sz="0" w:space="0" w:color="auto"/>
                                                                        <w:bottom w:val="none" w:sz="0" w:space="0" w:color="auto"/>
                                                                        <w:right w:val="none" w:sz="0" w:space="0" w:color="auto"/>
                                                                      </w:divBdr>
                                                                      <w:divsChild>
                                                                        <w:div w:id="1439763778">
                                                                          <w:marLeft w:val="0"/>
                                                                          <w:marRight w:val="0"/>
                                                                          <w:marTop w:val="0"/>
                                                                          <w:marBottom w:val="0"/>
                                                                          <w:divBdr>
                                                                            <w:top w:val="none" w:sz="0" w:space="0" w:color="auto"/>
                                                                            <w:left w:val="none" w:sz="0" w:space="0" w:color="auto"/>
                                                                            <w:bottom w:val="none" w:sz="0" w:space="0" w:color="auto"/>
                                                                            <w:right w:val="none" w:sz="0" w:space="0" w:color="auto"/>
                                                                          </w:divBdr>
                                                                        </w:div>
                                                                      </w:divsChild>
                                                                    </w:div>
                                                                    <w:div w:id="1550608267">
                                                                      <w:marLeft w:val="0"/>
                                                                      <w:marRight w:val="0"/>
                                                                      <w:marTop w:val="0"/>
                                                                      <w:marBottom w:val="0"/>
                                                                      <w:divBdr>
                                                                        <w:top w:val="none" w:sz="0" w:space="0" w:color="auto"/>
                                                                        <w:left w:val="none" w:sz="0" w:space="0" w:color="auto"/>
                                                                        <w:bottom w:val="none" w:sz="0" w:space="0" w:color="auto"/>
                                                                        <w:right w:val="none" w:sz="0" w:space="0" w:color="auto"/>
                                                                      </w:divBdr>
                                                                      <w:divsChild>
                                                                        <w:div w:id="206722970">
                                                                          <w:marLeft w:val="0"/>
                                                                          <w:marRight w:val="0"/>
                                                                          <w:marTop w:val="0"/>
                                                                          <w:marBottom w:val="0"/>
                                                                          <w:divBdr>
                                                                            <w:top w:val="none" w:sz="0" w:space="0" w:color="auto"/>
                                                                            <w:left w:val="none" w:sz="0" w:space="0" w:color="auto"/>
                                                                            <w:bottom w:val="none" w:sz="0" w:space="0" w:color="auto"/>
                                                                            <w:right w:val="none" w:sz="0" w:space="0" w:color="auto"/>
                                                                          </w:divBdr>
                                                                        </w:div>
                                                                      </w:divsChild>
                                                                    </w:div>
                                                                    <w:div w:id="1888294073">
                                                                      <w:marLeft w:val="0"/>
                                                                      <w:marRight w:val="0"/>
                                                                      <w:marTop w:val="0"/>
                                                                      <w:marBottom w:val="0"/>
                                                                      <w:divBdr>
                                                                        <w:top w:val="none" w:sz="0" w:space="0" w:color="auto"/>
                                                                        <w:left w:val="none" w:sz="0" w:space="0" w:color="auto"/>
                                                                        <w:bottom w:val="none" w:sz="0" w:space="0" w:color="auto"/>
                                                                        <w:right w:val="none" w:sz="0" w:space="0" w:color="auto"/>
                                                                      </w:divBdr>
                                                                      <w:divsChild>
                                                                        <w:div w:id="563490902">
                                                                          <w:marLeft w:val="0"/>
                                                                          <w:marRight w:val="0"/>
                                                                          <w:marTop w:val="0"/>
                                                                          <w:marBottom w:val="0"/>
                                                                          <w:divBdr>
                                                                            <w:top w:val="none" w:sz="0" w:space="0" w:color="auto"/>
                                                                            <w:left w:val="none" w:sz="0" w:space="0" w:color="auto"/>
                                                                            <w:bottom w:val="none" w:sz="0" w:space="0" w:color="auto"/>
                                                                            <w:right w:val="none" w:sz="0" w:space="0" w:color="auto"/>
                                                                          </w:divBdr>
                                                                        </w:div>
                                                                        <w:div w:id="853423494">
                                                                          <w:marLeft w:val="0"/>
                                                                          <w:marRight w:val="0"/>
                                                                          <w:marTop w:val="0"/>
                                                                          <w:marBottom w:val="0"/>
                                                                          <w:divBdr>
                                                                            <w:top w:val="none" w:sz="0" w:space="0" w:color="auto"/>
                                                                            <w:left w:val="none" w:sz="0" w:space="0" w:color="auto"/>
                                                                            <w:bottom w:val="none" w:sz="0" w:space="0" w:color="auto"/>
                                                                            <w:right w:val="none" w:sz="0" w:space="0" w:color="auto"/>
                                                                          </w:divBdr>
                                                                        </w:div>
                                                                        <w:div w:id="1172572182">
                                                                          <w:marLeft w:val="0"/>
                                                                          <w:marRight w:val="0"/>
                                                                          <w:marTop w:val="0"/>
                                                                          <w:marBottom w:val="0"/>
                                                                          <w:divBdr>
                                                                            <w:top w:val="none" w:sz="0" w:space="0" w:color="auto"/>
                                                                            <w:left w:val="none" w:sz="0" w:space="0" w:color="auto"/>
                                                                            <w:bottom w:val="none" w:sz="0" w:space="0" w:color="auto"/>
                                                                            <w:right w:val="none" w:sz="0" w:space="0" w:color="auto"/>
                                                                          </w:divBdr>
                                                                          <w:divsChild>
                                                                            <w:div w:id="565191828">
                                                                              <w:marLeft w:val="0"/>
                                                                              <w:marRight w:val="0"/>
                                                                              <w:marTop w:val="0"/>
                                                                              <w:marBottom w:val="0"/>
                                                                              <w:divBdr>
                                                                                <w:top w:val="none" w:sz="0" w:space="0" w:color="auto"/>
                                                                                <w:left w:val="none" w:sz="0" w:space="0" w:color="auto"/>
                                                                                <w:bottom w:val="none" w:sz="0" w:space="0" w:color="auto"/>
                                                                                <w:right w:val="none" w:sz="0" w:space="0" w:color="auto"/>
                                                                              </w:divBdr>
                                                                              <w:divsChild>
                                                                                <w:div w:id="142895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6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28044">
      <w:bodyDiv w:val="1"/>
      <w:marLeft w:val="30"/>
      <w:marRight w:val="30"/>
      <w:marTop w:val="30"/>
      <w:marBottom w:val="30"/>
      <w:divBdr>
        <w:top w:val="none" w:sz="0" w:space="0" w:color="auto"/>
        <w:left w:val="none" w:sz="0" w:space="0" w:color="auto"/>
        <w:bottom w:val="none" w:sz="0" w:space="0" w:color="auto"/>
        <w:right w:val="none" w:sz="0" w:space="0" w:color="auto"/>
      </w:divBdr>
      <w:divsChild>
        <w:div w:id="1201357021">
          <w:marLeft w:val="0"/>
          <w:marRight w:val="0"/>
          <w:marTop w:val="0"/>
          <w:marBottom w:val="0"/>
          <w:divBdr>
            <w:top w:val="none" w:sz="0" w:space="0" w:color="auto"/>
            <w:left w:val="none" w:sz="0" w:space="0" w:color="auto"/>
            <w:bottom w:val="none" w:sz="0" w:space="0" w:color="auto"/>
            <w:right w:val="none" w:sz="0" w:space="0" w:color="auto"/>
          </w:divBdr>
          <w:divsChild>
            <w:div w:id="1088191128">
              <w:marLeft w:val="45"/>
              <w:marRight w:val="45"/>
              <w:marTop w:val="45"/>
              <w:marBottom w:val="45"/>
              <w:divBdr>
                <w:top w:val="none" w:sz="0" w:space="0" w:color="auto"/>
                <w:left w:val="none" w:sz="0" w:space="0" w:color="auto"/>
                <w:bottom w:val="none" w:sz="0" w:space="0" w:color="auto"/>
                <w:right w:val="none" w:sz="0" w:space="0" w:color="auto"/>
              </w:divBdr>
              <w:divsChild>
                <w:div w:id="2094810966">
                  <w:marLeft w:val="0"/>
                  <w:marRight w:val="0"/>
                  <w:marTop w:val="0"/>
                  <w:marBottom w:val="0"/>
                  <w:divBdr>
                    <w:top w:val="none" w:sz="0" w:space="0" w:color="auto"/>
                    <w:left w:val="none" w:sz="0" w:space="0" w:color="auto"/>
                    <w:bottom w:val="none" w:sz="0" w:space="0" w:color="auto"/>
                    <w:right w:val="none" w:sz="0" w:space="0" w:color="auto"/>
                  </w:divBdr>
                  <w:divsChild>
                    <w:div w:id="7311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6443">
      <w:bodyDiv w:val="1"/>
      <w:marLeft w:val="0"/>
      <w:marRight w:val="0"/>
      <w:marTop w:val="0"/>
      <w:marBottom w:val="0"/>
      <w:divBdr>
        <w:top w:val="none" w:sz="0" w:space="0" w:color="auto"/>
        <w:left w:val="none" w:sz="0" w:space="0" w:color="auto"/>
        <w:bottom w:val="none" w:sz="0" w:space="0" w:color="auto"/>
        <w:right w:val="none" w:sz="0" w:space="0" w:color="auto"/>
      </w:divBdr>
      <w:divsChild>
        <w:div w:id="1954316174">
          <w:marLeft w:val="0"/>
          <w:marRight w:val="0"/>
          <w:marTop w:val="0"/>
          <w:marBottom w:val="0"/>
          <w:divBdr>
            <w:top w:val="none" w:sz="0" w:space="0" w:color="auto"/>
            <w:left w:val="none" w:sz="0" w:space="0" w:color="auto"/>
            <w:bottom w:val="none" w:sz="0" w:space="0" w:color="auto"/>
            <w:right w:val="none" w:sz="0" w:space="0" w:color="auto"/>
          </w:divBdr>
          <w:divsChild>
            <w:div w:id="1310743384">
              <w:marLeft w:val="0"/>
              <w:marRight w:val="0"/>
              <w:marTop w:val="0"/>
              <w:marBottom w:val="0"/>
              <w:divBdr>
                <w:top w:val="none" w:sz="0" w:space="0" w:color="auto"/>
                <w:left w:val="none" w:sz="0" w:space="0" w:color="auto"/>
                <w:bottom w:val="none" w:sz="0" w:space="0" w:color="auto"/>
                <w:right w:val="none" w:sz="0" w:space="0" w:color="auto"/>
              </w:divBdr>
              <w:divsChild>
                <w:div w:id="80445201">
                  <w:marLeft w:val="0"/>
                  <w:marRight w:val="0"/>
                  <w:marTop w:val="0"/>
                  <w:marBottom w:val="0"/>
                  <w:divBdr>
                    <w:top w:val="none" w:sz="0" w:space="0" w:color="auto"/>
                    <w:left w:val="none" w:sz="0" w:space="0" w:color="auto"/>
                    <w:bottom w:val="none" w:sz="0" w:space="0" w:color="auto"/>
                    <w:right w:val="none" w:sz="0" w:space="0" w:color="auto"/>
                  </w:divBdr>
                  <w:divsChild>
                    <w:div w:id="1224218245">
                      <w:marLeft w:val="0"/>
                      <w:marRight w:val="0"/>
                      <w:marTop w:val="0"/>
                      <w:marBottom w:val="375"/>
                      <w:divBdr>
                        <w:top w:val="none" w:sz="0" w:space="0" w:color="auto"/>
                        <w:left w:val="none" w:sz="0" w:space="0" w:color="auto"/>
                        <w:bottom w:val="none" w:sz="0" w:space="0" w:color="auto"/>
                        <w:right w:val="none" w:sz="0" w:space="0" w:color="auto"/>
                      </w:divBdr>
                      <w:divsChild>
                        <w:div w:id="7537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35426">
      <w:bodyDiv w:val="1"/>
      <w:marLeft w:val="0"/>
      <w:marRight w:val="0"/>
      <w:marTop w:val="0"/>
      <w:marBottom w:val="0"/>
      <w:divBdr>
        <w:top w:val="none" w:sz="0" w:space="0" w:color="auto"/>
        <w:left w:val="none" w:sz="0" w:space="0" w:color="auto"/>
        <w:bottom w:val="none" w:sz="0" w:space="0" w:color="auto"/>
        <w:right w:val="none" w:sz="0" w:space="0" w:color="auto"/>
      </w:divBdr>
      <w:divsChild>
        <w:div w:id="1827669343">
          <w:marLeft w:val="0"/>
          <w:marRight w:val="0"/>
          <w:marTop w:val="0"/>
          <w:marBottom w:val="0"/>
          <w:divBdr>
            <w:top w:val="none" w:sz="0" w:space="0" w:color="auto"/>
            <w:left w:val="single" w:sz="6" w:space="0" w:color="BBBBBB"/>
            <w:bottom w:val="single" w:sz="6" w:space="0" w:color="BBBBBB"/>
            <w:right w:val="single" w:sz="6" w:space="0" w:color="BBBBBB"/>
          </w:divBdr>
          <w:divsChild>
            <w:div w:id="414865347">
              <w:marLeft w:val="0"/>
              <w:marRight w:val="0"/>
              <w:marTop w:val="0"/>
              <w:marBottom w:val="0"/>
              <w:divBdr>
                <w:top w:val="none" w:sz="0" w:space="0" w:color="auto"/>
                <w:left w:val="none" w:sz="0" w:space="0" w:color="auto"/>
                <w:bottom w:val="none" w:sz="0" w:space="0" w:color="auto"/>
                <w:right w:val="none" w:sz="0" w:space="0" w:color="auto"/>
              </w:divBdr>
              <w:divsChild>
                <w:div w:id="292369822">
                  <w:marLeft w:val="0"/>
                  <w:marRight w:val="0"/>
                  <w:marTop w:val="0"/>
                  <w:marBottom w:val="0"/>
                  <w:divBdr>
                    <w:top w:val="none" w:sz="0" w:space="0" w:color="auto"/>
                    <w:left w:val="none" w:sz="0" w:space="0" w:color="auto"/>
                    <w:bottom w:val="none" w:sz="0" w:space="0" w:color="auto"/>
                    <w:right w:val="none" w:sz="0" w:space="0" w:color="auto"/>
                  </w:divBdr>
                  <w:divsChild>
                    <w:div w:id="1584752261">
                      <w:marLeft w:val="0"/>
                      <w:marRight w:val="0"/>
                      <w:marTop w:val="0"/>
                      <w:marBottom w:val="0"/>
                      <w:divBdr>
                        <w:top w:val="none" w:sz="0" w:space="0" w:color="auto"/>
                        <w:left w:val="none" w:sz="0" w:space="0" w:color="auto"/>
                        <w:bottom w:val="none" w:sz="0" w:space="0" w:color="auto"/>
                        <w:right w:val="none" w:sz="0" w:space="0" w:color="auto"/>
                      </w:divBdr>
                      <w:divsChild>
                        <w:div w:id="1487697020">
                          <w:marLeft w:val="0"/>
                          <w:marRight w:val="0"/>
                          <w:marTop w:val="0"/>
                          <w:marBottom w:val="0"/>
                          <w:divBdr>
                            <w:top w:val="none" w:sz="0" w:space="0" w:color="auto"/>
                            <w:left w:val="none" w:sz="0" w:space="0" w:color="auto"/>
                            <w:bottom w:val="none" w:sz="0" w:space="0" w:color="auto"/>
                            <w:right w:val="none" w:sz="0" w:space="0" w:color="auto"/>
                          </w:divBdr>
                          <w:divsChild>
                            <w:div w:id="1937666952">
                              <w:marLeft w:val="0"/>
                              <w:marRight w:val="0"/>
                              <w:marTop w:val="0"/>
                              <w:marBottom w:val="0"/>
                              <w:divBdr>
                                <w:top w:val="none" w:sz="0" w:space="0" w:color="auto"/>
                                <w:left w:val="none" w:sz="0" w:space="0" w:color="auto"/>
                                <w:bottom w:val="none" w:sz="0" w:space="0" w:color="auto"/>
                                <w:right w:val="none" w:sz="0" w:space="0" w:color="auto"/>
                              </w:divBdr>
                              <w:divsChild>
                                <w:div w:id="2108965729">
                                  <w:marLeft w:val="0"/>
                                  <w:marRight w:val="0"/>
                                  <w:marTop w:val="0"/>
                                  <w:marBottom w:val="0"/>
                                  <w:divBdr>
                                    <w:top w:val="none" w:sz="0" w:space="0" w:color="auto"/>
                                    <w:left w:val="none" w:sz="0" w:space="0" w:color="auto"/>
                                    <w:bottom w:val="none" w:sz="0" w:space="0" w:color="auto"/>
                                    <w:right w:val="none" w:sz="0" w:space="0" w:color="auto"/>
                                  </w:divBdr>
                                  <w:divsChild>
                                    <w:div w:id="1746681613">
                                      <w:marLeft w:val="0"/>
                                      <w:marRight w:val="0"/>
                                      <w:marTop w:val="0"/>
                                      <w:marBottom w:val="0"/>
                                      <w:divBdr>
                                        <w:top w:val="none" w:sz="0" w:space="0" w:color="auto"/>
                                        <w:left w:val="none" w:sz="0" w:space="0" w:color="auto"/>
                                        <w:bottom w:val="none" w:sz="0" w:space="0" w:color="auto"/>
                                        <w:right w:val="none" w:sz="0" w:space="0" w:color="auto"/>
                                      </w:divBdr>
                                      <w:divsChild>
                                        <w:div w:id="1076441144">
                                          <w:marLeft w:val="1200"/>
                                          <w:marRight w:val="1200"/>
                                          <w:marTop w:val="0"/>
                                          <w:marBottom w:val="0"/>
                                          <w:divBdr>
                                            <w:top w:val="none" w:sz="0" w:space="0" w:color="auto"/>
                                            <w:left w:val="none" w:sz="0" w:space="0" w:color="auto"/>
                                            <w:bottom w:val="none" w:sz="0" w:space="0" w:color="auto"/>
                                            <w:right w:val="none" w:sz="0" w:space="0" w:color="auto"/>
                                          </w:divBdr>
                                          <w:divsChild>
                                            <w:div w:id="725687563">
                                              <w:marLeft w:val="0"/>
                                              <w:marRight w:val="0"/>
                                              <w:marTop w:val="0"/>
                                              <w:marBottom w:val="0"/>
                                              <w:divBdr>
                                                <w:top w:val="none" w:sz="0" w:space="0" w:color="auto"/>
                                                <w:left w:val="none" w:sz="0" w:space="0" w:color="auto"/>
                                                <w:bottom w:val="none" w:sz="0" w:space="0" w:color="auto"/>
                                                <w:right w:val="none" w:sz="0" w:space="0" w:color="auto"/>
                                              </w:divBdr>
                                              <w:divsChild>
                                                <w:div w:id="996226773">
                                                  <w:marLeft w:val="0"/>
                                                  <w:marRight w:val="0"/>
                                                  <w:marTop w:val="0"/>
                                                  <w:marBottom w:val="0"/>
                                                  <w:divBdr>
                                                    <w:top w:val="none" w:sz="0" w:space="0" w:color="auto"/>
                                                    <w:left w:val="none" w:sz="0" w:space="0" w:color="auto"/>
                                                    <w:bottom w:val="none" w:sz="0" w:space="0" w:color="auto"/>
                                                    <w:right w:val="none" w:sz="0" w:space="0" w:color="auto"/>
                                                  </w:divBdr>
                                                  <w:divsChild>
                                                    <w:div w:id="1631207557">
                                                      <w:marLeft w:val="0"/>
                                                      <w:marRight w:val="0"/>
                                                      <w:marTop w:val="0"/>
                                                      <w:marBottom w:val="0"/>
                                                      <w:divBdr>
                                                        <w:top w:val="none" w:sz="0" w:space="0" w:color="auto"/>
                                                        <w:left w:val="none" w:sz="0" w:space="0" w:color="auto"/>
                                                        <w:bottom w:val="none" w:sz="0" w:space="0" w:color="auto"/>
                                                        <w:right w:val="none" w:sz="0" w:space="0" w:color="auto"/>
                                                      </w:divBdr>
                                                      <w:divsChild>
                                                        <w:div w:id="1280531575">
                                                          <w:marLeft w:val="0"/>
                                                          <w:marRight w:val="0"/>
                                                          <w:marTop w:val="0"/>
                                                          <w:marBottom w:val="0"/>
                                                          <w:divBdr>
                                                            <w:top w:val="none" w:sz="0" w:space="0" w:color="auto"/>
                                                            <w:left w:val="none" w:sz="0" w:space="0" w:color="auto"/>
                                                            <w:bottom w:val="none" w:sz="0" w:space="0" w:color="auto"/>
                                                            <w:right w:val="none" w:sz="0" w:space="0" w:color="auto"/>
                                                          </w:divBdr>
                                                          <w:divsChild>
                                                            <w:div w:id="701370147">
                                                              <w:marLeft w:val="0"/>
                                                              <w:marRight w:val="0"/>
                                                              <w:marTop w:val="0"/>
                                                              <w:marBottom w:val="0"/>
                                                              <w:divBdr>
                                                                <w:top w:val="none" w:sz="0" w:space="0" w:color="auto"/>
                                                                <w:left w:val="none" w:sz="0" w:space="0" w:color="auto"/>
                                                                <w:bottom w:val="none" w:sz="0" w:space="0" w:color="auto"/>
                                                                <w:right w:val="none" w:sz="0" w:space="0" w:color="auto"/>
                                                              </w:divBdr>
                                                              <w:divsChild>
                                                                <w:div w:id="1333336147">
                                                                  <w:marLeft w:val="0"/>
                                                                  <w:marRight w:val="0"/>
                                                                  <w:marTop w:val="0"/>
                                                                  <w:marBottom w:val="0"/>
                                                                  <w:divBdr>
                                                                    <w:top w:val="none" w:sz="0" w:space="0" w:color="auto"/>
                                                                    <w:left w:val="none" w:sz="0" w:space="0" w:color="auto"/>
                                                                    <w:bottom w:val="none" w:sz="0" w:space="0" w:color="auto"/>
                                                                    <w:right w:val="none" w:sz="0" w:space="0" w:color="auto"/>
                                                                  </w:divBdr>
                                                                  <w:divsChild>
                                                                    <w:div w:id="138768265">
                                                                      <w:marLeft w:val="0"/>
                                                                      <w:marRight w:val="0"/>
                                                                      <w:marTop w:val="0"/>
                                                                      <w:marBottom w:val="0"/>
                                                                      <w:divBdr>
                                                                        <w:top w:val="none" w:sz="0" w:space="0" w:color="auto"/>
                                                                        <w:left w:val="none" w:sz="0" w:space="0" w:color="auto"/>
                                                                        <w:bottom w:val="none" w:sz="0" w:space="0" w:color="auto"/>
                                                                        <w:right w:val="none" w:sz="0" w:space="0" w:color="auto"/>
                                                                      </w:divBdr>
                                                                      <w:divsChild>
                                                                        <w:div w:id="1429813042">
                                                                          <w:marLeft w:val="0"/>
                                                                          <w:marRight w:val="0"/>
                                                                          <w:marTop w:val="0"/>
                                                                          <w:marBottom w:val="0"/>
                                                                          <w:divBdr>
                                                                            <w:top w:val="none" w:sz="0" w:space="0" w:color="auto"/>
                                                                            <w:left w:val="none" w:sz="0" w:space="0" w:color="auto"/>
                                                                            <w:bottom w:val="none" w:sz="0" w:space="0" w:color="auto"/>
                                                                            <w:right w:val="none" w:sz="0" w:space="0" w:color="auto"/>
                                                                          </w:divBdr>
                                                                        </w:div>
                                                                      </w:divsChild>
                                                                    </w:div>
                                                                    <w:div w:id="278688895">
                                                                      <w:marLeft w:val="0"/>
                                                                      <w:marRight w:val="0"/>
                                                                      <w:marTop w:val="0"/>
                                                                      <w:marBottom w:val="0"/>
                                                                      <w:divBdr>
                                                                        <w:top w:val="none" w:sz="0" w:space="0" w:color="auto"/>
                                                                        <w:left w:val="none" w:sz="0" w:space="0" w:color="auto"/>
                                                                        <w:bottom w:val="none" w:sz="0" w:space="0" w:color="auto"/>
                                                                        <w:right w:val="none" w:sz="0" w:space="0" w:color="auto"/>
                                                                      </w:divBdr>
                                                                      <w:divsChild>
                                                                        <w:div w:id="1593540377">
                                                                          <w:marLeft w:val="0"/>
                                                                          <w:marRight w:val="0"/>
                                                                          <w:marTop w:val="0"/>
                                                                          <w:marBottom w:val="0"/>
                                                                          <w:divBdr>
                                                                            <w:top w:val="none" w:sz="0" w:space="0" w:color="auto"/>
                                                                            <w:left w:val="none" w:sz="0" w:space="0" w:color="auto"/>
                                                                            <w:bottom w:val="none" w:sz="0" w:space="0" w:color="auto"/>
                                                                            <w:right w:val="none" w:sz="0" w:space="0" w:color="auto"/>
                                                                          </w:divBdr>
                                                                        </w:div>
                                                                      </w:divsChild>
                                                                    </w:div>
                                                                    <w:div w:id="358504870">
                                                                      <w:marLeft w:val="0"/>
                                                                      <w:marRight w:val="0"/>
                                                                      <w:marTop w:val="0"/>
                                                                      <w:marBottom w:val="0"/>
                                                                      <w:divBdr>
                                                                        <w:top w:val="none" w:sz="0" w:space="0" w:color="auto"/>
                                                                        <w:left w:val="none" w:sz="0" w:space="0" w:color="auto"/>
                                                                        <w:bottom w:val="none" w:sz="0" w:space="0" w:color="auto"/>
                                                                        <w:right w:val="none" w:sz="0" w:space="0" w:color="auto"/>
                                                                      </w:divBdr>
                                                                      <w:divsChild>
                                                                        <w:div w:id="20525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9612">
      <w:bodyDiv w:val="1"/>
      <w:marLeft w:val="0"/>
      <w:marRight w:val="0"/>
      <w:marTop w:val="0"/>
      <w:marBottom w:val="0"/>
      <w:divBdr>
        <w:top w:val="none" w:sz="0" w:space="0" w:color="auto"/>
        <w:left w:val="none" w:sz="0" w:space="0" w:color="auto"/>
        <w:bottom w:val="none" w:sz="0" w:space="0" w:color="auto"/>
        <w:right w:val="none" w:sz="0" w:space="0" w:color="auto"/>
      </w:divBdr>
    </w:div>
    <w:div w:id="204948753">
      <w:bodyDiv w:val="1"/>
      <w:marLeft w:val="0"/>
      <w:marRight w:val="0"/>
      <w:marTop w:val="0"/>
      <w:marBottom w:val="0"/>
      <w:divBdr>
        <w:top w:val="none" w:sz="0" w:space="0" w:color="auto"/>
        <w:left w:val="none" w:sz="0" w:space="0" w:color="auto"/>
        <w:bottom w:val="none" w:sz="0" w:space="0" w:color="auto"/>
        <w:right w:val="none" w:sz="0" w:space="0" w:color="auto"/>
      </w:divBdr>
      <w:divsChild>
        <w:div w:id="378356441">
          <w:marLeft w:val="0"/>
          <w:marRight w:val="0"/>
          <w:marTop w:val="0"/>
          <w:marBottom w:val="0"/>
          <w:divBdr>
            <w:top w:val="none" w:sz="0" w:space="0" w:color="auto"/>
            <w:left w:val="none" w:sz="0" w:space="0" w:color="auto"/>
            <w:bottom w:val="none" w:sz="0" w:space="0" w:color="auto"/>
            <w:right w:val="none" w:sz="0" w:space="0" w:color="auto"/>
          </w:divBdr>
          <w:divsChild>
            <w:div w:id="1144615878">
              <w:marLeft w:val="0"/>
              <w:marRight w:val="0"/>
              <w:marTop w:val="0"/>
              <w:marBottom w:val="0"/>
              <w:divBdr>
                <w:top w:val="none" w:sz="0" w:space="0" w:color="auto"/>
                <w:left w:val="none" w:sz="0" w:space="0" w:color="auto"/>
                <w:bottom w:val="none" w:sz="0" w:space="0" w:color="auto"/>
                <w:right w:val="none" w:sz="0" w:space="0" w:color="auto"/>
              </w:divBdr>
              <w:divsChild>
                <w:div w:id="250817057">
                  <w:marLeft w:val="0"/>
                  <w:marRight w:val="0"/>
                  <w:marTop w:val="0"/>
                  <w:marBottom w:val="0"/>
                  <w:divBdr>
                    <w:top w:val="none" w:sz="0" w:space="0" w:color="auto"/>
                    <w:left w:val="none" w:sz="0" w:space="0" w:color="auto"/>
                    <w:bottom w:val="none" w:sz="0" w:space="0" w:color="auto"/>
                    <w:right w:val="none" w:sz="0" w:space="0" w:color="auto"/>
                  </w:divBdr>
                  <w:divsChild>
                    <w:div w:id="1843084166">
                      <w:marLeft w:val="0"/>
                      <w:marRight w:val="0"/>
                      <w:marTop w:val="0"/>
                      <w:marBottom w:val="300"/>
                      <w:divBdr>
                        <w:top w:val="none" w:sz="0" w:space="0" w:color="auto"/>
                        <w:left w:val="none" w:sz="0" w:space="0" w:color="auto"/>
                        <w:bottom w:val="none" w:sz="0" w:space="0" w:color="auto"/>
                        <w:right w:val="none" w:sz="0" w:space="0" w:color="auto"/>
                      </w:divBdr>
                      <w:divsChild>
                        <w:div w:id="16057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48929">
      <w:bodyDiv w:val="1"/>
      <w:marLeft w:val="0"/>
      <w:marRight w:val="0"/>
      <w:marTop w:val="0"/>
      <w:marBottom w:val="0"/>
      <w:divBdr>
        <w:top w:val="none" w:sz="0" w:space="0" w:color="auto"/>
        <w:left w:val="none" w:sz="0" w:space="0" w:color="auto"/>
        <w:bottom w:val="none" w:sz="0" w:space="0" w:color="auto"/>
        <w:right w:val="none" w:sz="0" w:space="0" w:color="auto"/>
      </w:divBdr>
      <w:divsChild>
        <w:div w:id="2037384569">
          <w:marLeft w:val="0"/>
          <w:marRight w:val="0"/>
          <w:marTop w:val="0"/>
          <w:marBottom w:val="0"/>
          <w:divBdr>
            <w:top w:val="none" w:sz="0" w:space="0" w:color="auto"/>
            <w:left w:val="none" w:sz="0" w:space="0" w:color="auto"/>
            <w:bottom w:val="none" w:sz="0" w:space="0" w:color="auto"/>
            <w:right w:val="none" w:sz="0" w:space="0" w:color="auto"/>
          </w:divBdr>
          <w:divsChild>
            <w:div w:id="1145506790">
              <w:marLeft w:val="0"/>
              <w:marRight w:val="0"/>
              <w:marTop w:val="0"/>
              <w:marBottom w:val="0"/>
              <w:divBdr>
                <w:top w:val="none" w:sz="0" w:space="0" w:color="auto"/>
                <w:left w:val="none" w:sz="0" w:space="0" w:color="auto"/>
                <w:bottom w:val="none" w:sz="0" w:space="0" w:color="auto"/>
                <w:right w:val="none" w:sz="0" w:space="0" w:color="auto"/>
              </w:divBdr>
              <w:divsChild>
                <w:div w:id="1867281691">
                  <w:marLeft w:val="0"/>
                  <w:marRight w:val="0"/>
                  <w:marTop w:val="0"/>
                  <w:marBottom w:val="0"/>
                  <w:divBdr>
                    <w:top w:val="none" w:sz="0" w:space="0" w:color="auto"/>
                    <w:left w:val="none" w:sz="0" w:space="0" w:color="auto"/>
                    <w:bottom w:val="none" w:sz="0" w:space="0" w:color="auto"/>
                    <w:right w:val="none" w:sz="0" w:space="0" w:color="auto"/>
                  </w:divBdr>
                  <w:divsChild>
                    <w:div w:id="1529443509">
                      <w:marLeft w:val="0"/>
                      <w:marRight w:val="0"/>
                      <w:marTop w:val="0"/>
                      <w:marBottom w:val="300"/>
                      <w:divBdr>
                        <w:top w:val="none" w:sz="0" w:space="0" w:color="auto"/>
                        <w:left w:val="none" w:sz="0" w:space="0" w:color="auto"/>
                        <w:bottom w:val="none" w:sz="0" w:space="0" w:color="auto"/>
                        <w:right w:val="none" w:sz="0" w:space="0" w:color="auto"/>
                      </w:divBdr>
                      <w:divsChild>
                        <w:div w:id="8074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46612">
      <w:bodyDiv w:val="1"/>
      <w:marLeft w:val="0"/>
      <w:marRight w:val="0"/>
      <w:marTop w:val="0"/>
      <w:marBottom w:val="0"/>
      <w:divBdr>
        <w:top w:val="none" w:sz="0" w:space="0" w:color="auto"/>
        <w:left w:val="none" w:sz="0" w:space="0" w:color="auto"/>
        <w:bottom w:val="none" w:sz="0" w:space="0" w:color="auto"/>
        <w:right w:val="none" w:sz="0" w:space="0" w:color="auto"/>
      </w:divBdr>
      <w:divsChild>
        <w:div w:id="1329363043">
          <w:marLeft w:val="0"/>
          <w:marRight w:val="0"/>
          <w:marTop w:val="0"/>
          <w:marBottom w:val="0"/>
          <w:divBdr>
            <w:top w:val="none" w:sz="0" w:space="0" w:color="auto"/>
            <w:left w:val="none" w:sz="0" w:space="0" w:color="auto"/>
            <w:bottom w:val="none" w:sz="0" w:space="0" w:color="auto"/>
            <w:right w:val="none" w:sz="0" w:space="0" w:color="auto"/>
          </w:divBdr>
          <w:divsChild>
            <w:div w:id="156769264">
              <w:marLeft w:val="0"/>
              <w:marRight w:val="0"/>
              <w:marTop w:val="0"/>
              <w:marBottom w:val="0"/>
              <w:divBdr>
                <w:top w:val="none" w:sz="0" w:space="0" w:color="auto"/>
                <w:left w:val="none" w:sz="0" w:space="0" w:color="auto"/>
                <w:bottom w:val="none" w:sz="0" w:space="0" w:color="auto"/>
                <w:right w:val="none" w:sz="0" w:space="0" w:color="auto"/>
              </w:divBdr>
              <w:divsChild>
                <w:div w:id="401754909">
                  <w:marLeft w:val="0"/>
                  <w:marRight w:val="0"/>
                  <w:marTop w:val="0"/>
                  <w:marBottom w:val="0"/>
                  <w:divBdr>
                    <w:top w:val="none" w:sz="0" w:space="0" w:color="auto"/>
                    <w:left w:val="none" w:sz="0" w:space="0" w:color="auto"/>
                    <w:bottom w:val="none" w:sz="0" w:space="0" w:color="auto"/>
                    <w:right w:val="none" w:sz="0" w:space="0" w:color="auto"/>
                  </w:divBdr>
                </w:div>
                <w:div w:id="652372292">
                  <w:marLeft w:val="0"/>
                  <w:marRight w:val="0"/>
                  <w:marTop w:val="0"/>
                  <w:marBottom w:val="0"/>
                  <w:divBdr>
                    <w:top w:val="none" w:sz="0" w:space="0" w:color="auto"/>
                    <w:left w:val="none" w:sz="0" w:space="0" w:color="auto"/>
                    <w:bottom w:val="none" w:sz="0" w:space="0" w:color="auto"/>
                    <w:right w:val="none" w:sz="0" w:space="0" w:color="auto"/>
                  </w:divBdr>
                </w:div>
                <w:div w:id="853541076">
                  <w:marLeft w:val="0"/>
                  <w:marRight w:val="0"/>
                  <w:marTop w:val="0"/>
                  <w:marBottom w:val="0"/>
                  <w:divBdr>
                    <w:top w:val="none" w:sz="0" w:space="0" w:color="auto"/>
                    <w:left w:val="none" w:sz="0" w:space="0" w:color="auto"/>
                    <w:bottom w:val="none" w:sz="0" w:space="0" w:color="auto"/>
                    <w:right w:val="none" w:sz="0" w:space="0" w:color="auto"/>
                  </w:divBdr>
                </w:div>
                <w:div w:id="1322999154">
                  <w:marLeft w:val="0"/>
                  <w:marRight w:val="0"/>
                  <w:marTop w:val="0"/>
                  <w:marBottom w:val="0"/>
                  <w:divBdr>
                    <w:top w:val="none" w:sz="0" w:space="0" w:color="auto"/>
                    <w:left w:val="none" w:sz="0" w:space="0" w:color="auto"/>
                    <w:bottom w:val="none" w:sz="0" w:space="0" w:color="auto"/>
                    <w:right w:val="none" w:sz="0" w:space="0" w:color="auto"/>
                  </w:divBdr>
                </w:div>
                <w:div w:id="1438939359">
                  <w:marLeft w:val="0"/>
                  <w:marRight w:val="0"/>
                  <w:marTop w:val="0"/>
                  <w:marBottom w:val="0"/>
                  <w:divBdr>
                    <w:top w:val="none" w:sz="0" w:space="0" w:color="auto"/>
                    <w:left w:val="none" w:sz="0" w:space="0" w:color="auto"/>
                    <w:bottom w:val="none" w:sz="0" w:space="0" w:color="auto"/>
                    <w:right w:val="none" w:sz="0" w:space="0" w:color="auto"/>
                  </w:divBdr>
                </w:div>
                <w:div w:id="18309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01322">
      <w:bodyDiv w:val="1"/>
      <w:marLeft w:val="0"/>
      <w:marRight w:val="0"/>
      <w:marTop w:val="0"/>
      <w:marBottom w:val="0"/>
      <w:divBdr>
        <w:top w:val="none" w:sz="0" w:space="0" w:color="auto"/>
        <w:left w:val="none" w:sz="0" w:space="0" w:color="auto"/>
        <w:bottom w:val="none" w:sz="0" w:space="0" w:color="auto"/>
        <w:right w:val="none" w:sz="0" w:space="0" w:color="auto"/>
      </w:divBdr>
      <w:divsChild>
        <w:div w:id="700319641">
          <w:marLeft w:val="0"/>
          <w:marRight w:val="0"/>
          <w:marTop w:val="0"/>
          <w:marBottom w:val="0"/>
          <w:divBdr>
            <w:top w:val="none" w:sz="0" w:space="0" w:color="auto"/>
            <w:left w:val="none" w:sz="0" w:space="0" w:color="auto"/>
            <w:bottom w:val="none" w:sz="0" w:space="0" w:color="auto"/>
            <w:right w:val="none" w:sz="0" w:space="0" w:color="auto"/>
          </w:divBdr>
          <w:divsChild>
            <w:div w:id="69079095">
              <w:marLeft w:val="0"/>
              <w:marRight w:val="0"/>
              <w:marTop w:val="0"/>
              <w:marBottom w:val="0"/>
              <w:divBdr>
                <w:top w:val="none" w:sz="0" w:space="0" w:color="auto"/>
                <w:left w:val="none" w:sz="0" w:space="0" w:color="auto"/>
                <w:bottom w:val="none" w:sz="0" w:space="0" w:color="auto"/>
                <w:right w:val="none" w:sz="0" w:space="0" w:color="auto"/>
              </w:divBdr>
              <w:divsChild>
                <w:div w:id="1431388518">
                  <w:marLeft w:val="0"/>
                  <w:marRight w:val="0"/>
                  <w:marTop w:val="0"/>
                  <w:marBottom w:val="0"/>
                  <w:divBdr>
                    <w:top w:val="none" w:sz="0" w:space="0" w:color="auto"/>
                    <w:left w:val="none" w:sz="0" w:space="0" w:color="auto"/>
                    <w:bottom w:val="none" w:sz="0" w:space="0" w:color="auto"/>
                    <w:right w:val="none" w:sz="0" w:space="0" w:color="auto"/>
                  </w:divBdr>
                  <w:divsChild>
                    <w:div w:id="1802839055">
                      <w:marLeft w:val="0"/>
                      <w:marRight w:val="0"/>
                      <w:marTop w:val="0"/>
                      <w:marBottom w:val="375"/>
                      <w:divBdr>
                        <w:top w:val="none" w:sz="0" w:space="0" w:color="auto"/>
                        <w:left w:val="none" w:sz="0" w:space="0" w:color="auto"/>
                        <w:bottom w:val="none" w:sz="0" w:space="0" w:color="auto"/>
                        <w:right w:val="none" w:sz="0" w:space="0" w:color="auto"/>
                      </w:divBdr>
                      <w:divsChild>
                        <w:div w:id="17609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564291">
      <w:bodyDiv w:val="1"/>
      <w:marLeft w:val="0"/>
      <w:marRight w:val="0"/>
      <w:marTop w:val="0"/>
      <w:marBottom w:val="0"/>
      <w:divBdr>
        <w:top w:val="none" w:sz="0" w:space="0" w:color="auto"/>
        <w:left w:val="none" w:sz="0" w:space="0" w:color="auto"/>
        <w:bottom w:val="none" w:sz="0" w:space="0" w:color="auto"/>
        <w:right w:val="none" w:sz="0" w:space="0" w:color="auto"/>
      </w:divBdr>
    </w:div>
    <w:div w:id="223877276">
      <w:bodyDiv w:val="1"/>
      <w:marLeft w:val="0"/>
      <w:marRight w:val="0"/>
      <w:marTop w:val="0"/>
      <w:marBottom w:val="0"/>
      <w:divBdr>
        <w:top w:val="none" w:sz="0" w:space="0" w:color="auto"/>
        <w:left w:val="none" w:sz="0" w:space="0" w:color="auto"/>
        <w:bottom w:val="none" w:sz="0" w:space="0" w:color="auto"/>
        <w:right w:val="none" w:sz="0" w:space="0" w:color="auto"/>
      </w:divBdr>
      <w:divsChild>
        <w:div w:id="1372026648">
          <w:marLeft w:val="0"/>
          <w:marRight w:val="0"/>
          <w:marTop w:val="0"/>
          <w:marBottom w:val="0"/>
          <w:divBdr>
            <w:top w:val="none" w:sz="0" w:space="0" w:color="auto"/>
            <w:left w:val="none" w:sz="0" w:space="0" w:color="auto"/>
            <w:bottom w:val="none" w:sz="0" w:space="0" w:color="auto"/>
            <w:right w:val="none" w:sz="0" w:space="0" w:color="auto"/>
          </w:divBdr>
          <w:divsChild>
            <w:div w:id="2012565368">
              <w:marLeft w:val="0"/>
              <w:marRight w:val="0"/>
              <w:marTop w:val="0"/>
              <w:marBottom w:val="0"/>
              <w:divBdr>
                <w:top w:val="none" w:sz="0" w:space="0" w:color="auto"/>
                <w:left w:val="none" w:sz="0" w:space="0" w:color="auto"/>
                <w:bottom w:val="none" w:sz="0" w:space="0" w:color="auto"/>
                <w:right w:val="none" w:sz="0" w:space="0" w:color="auto"/>
              </w:divBdr>
              <w:divsChild>
                <w:div w:id="2039692462">
                  <w:marLeft w:val="0"/>
                  <w:marRight w:val="0"/>
                  <w:marTop w:val="0"/>
                  <w:marBottom w:val="0"/>
                  <w:divBdr>
                    <w:top w:val="none" w:sz="0" w:space="0" w:color="auto"/>
                    <w:left w:val="none" w:sz="0" w:space="0" w:color="auto"/>
                    <w:bottom w:val="none" w:sz="0" w:space="0" w:color="auto"/>
                    <w:right w:val="none" w:sz="0" w:space="0" w:color="auto"/>
                  </w:divBdr>
                  <w:divsChild>
                    <w:div w:id="1441073586">
                      <w:marLeft w:val="0"/>
                      <w:marRight w:val="0"/>
                      <w:marTop w:val="0"/>
                      <w:marBottom w:val="300"/>
                      <w:divBdr>
                        <w:top w:val="none" w:sz="0" w:space="0" w:color="auto"/>
                        <w:left w:val="none" w:sz="0" w:space="0" w:color="auto"/>
                        <w:bottom w:val="none" w:sz="0" w:space="0" w:color="auto"/>
                        <w:right w:val="none" w:sz="0" w:space="0" w:color="auto"/>
                      </w:divBdr>
                      <w:divsChild>
                        <w:div w:id="2120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304402">
      <w:bodyDiv w:val="1"/>
      <w:marLeft w:val="0"/>
      <w:marRight w:val="0"/>
      <w:marTop w:val="0"/>
      <w:marBottom w:val="0"/>
      <w:divBdr>
        <w:top w:val="none" w:sz="0" w:space="0" w:color="auto"/>
        <w:left w:val="none" w:sz="0" w:space="0" w:color="auto"/>
        <w:bottom w:val="none" w:sz="0" w:space="0" w:color="auto"/>
        <w:right w:val="none" w:sz="0" w:space="0" w:color="auto"/>
      </w:divBdr>
      <w:divsChild>
        <w:div w:id="447548037">
          <w:marLeft w:val="0"/>
          <w:marRight w:val="0"/>
          <w:marTop w:val="0"/>
          <w:marBottom w:val="0"/>
          <w:divBdr>
            <w:top w:val="none" w:sz="0" w:space="0" w:color="auto"/>
            <w:left w:val="none" w:sz="0" w:space="0" w:color="auto"/>
            <w:bottom w:val="none" w:sz="0" w:space="0" w:color="auto"/>
            <w:right w:val="none" w:sz="0" w:space="0" w:color="auto"/>
          </w:divBdr>
          <w:divsChild>
            <w:div w:id="1979452961">
              <w:marLeft w:val="0"/>
              <w:marRight w:val="0"/>
              <w:marTop w:val="0"/>
              <w:marBottom w:val="0"/>
              <w:divBdr>
                <w:top w:val="none" w:sz="0" w:space="0" w:color="auto"/>
                <w:left w:val="none" w:sz="0" w:space="0" w:color="auto"/>
                <w:bottom w:val="none" w:sz="0" w:space="0" w:color="auto"/>
                <w:right w:val="none" w:sz="0" w:space="0" w:color="auto"/>
              </w:divBdr>
              <w:divsChild>
                <w:div w:id="501437048">
                  <w:marLeft w:val="0"/>
                  <w:marRight w:val="0"/>
                  <w:marTop w:val="0"/>
                  <w:marBottom w:val="0"/>
                  <w:divBdr>
                    <w:top w:val="none" w:sz="0" w:space="0" w:color="auto"/>
                    <w:left w:val="none" w:sz="0" w:space="0" w:color="auto"/>
                    <w:bottom w:val="none" w:sz="0" w:space="0" w:color="auto"/>
                    <w:right w:val="none" w:sz="0" w:space="0" w:color="auto"/>
                  </w:divBdr>
                  <w:divsChild>
                    <w:div w:id="1456825692">
                      <w:marLeft w:val="0"/>
                      <w:marRight w:val="0"/>
                      <w:marTop w:val="0"/>
                      <w:marBottom w:val="300"/>
                      <w:divBdr>
                        <w:top w:val="none" w:sz="0" w:space="0" w:color="auto"/>
                        <w:left w:val="none" w:sz="0" w:space="0" w:color="auto"/>
                        <w:bottom w:val="none" w:sz="0" w:space="0" w:color="auto"/>
                        <w:right w:val="none" w:sz="0" w:space="0" w:color="auto"/>
                      </w:divBdr>
                      <w:divsChild>
                        <w:div w:id="11933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847730">
      <w:bodyDiv w:val="1"/>
      <w:marLeft w:val="0"/>
      <w:marRight w:val="0"/>
      <w:marTop w:val="0"/>
      <w:marBottom w:val="0"/>
      <w:divBdr>
        <w:top w:val="none" w:sz="0" w:space="0" w:color="auto"/>
        <w:left w:val="none" w:sz="0" w:space="0" w:color="auto"/>
        <w:bottom w:val="none" w:sz="0" w:space="0" w:color="auto"/>
        <w:right w:val="none" w:sz="0" w:space="0" w:color="auto"/>
      </w:divBdr>
      <w:divsChild>
        <w:div w:id="1690377969">
          <w:marLeft w:val="0"/>
          <w:marRight w:val="0"/>
          <w:marTop w:val="0"/>
          <w:marBottom w:val="0"/>
          <w:divBdr>
            <w:top w:val="none" w:sz="0" w:space="0" w:color="auto"/>
            <w:left w:val="single" w:sz="6" w:space="0" w:color="BBBBBB"/>
            <w:bottom w:val="single" w:sz="6" w:space="0" w:color="BBBBBB"/>
            <w:right w:val="single" w:sz="6" w:space="0" w:color="BBBBBB"/>
          </w:divBdr>
          <w:divsChild>
            <w:div w:id="1182166076">
              <w:marLeft w:val="0"/>
              <w:marRight w:val="0"/>
              <w:marTop w:val="0"/>
              <w:marBottom w:val="0"/>
              <w:divBdr>
                <w:top w:val="none" w:sz="0" w:space="0" w:color="auto"/>
                <w:left w:val="none" w:sz="0" w:space="0" w:color="auto"/>
                <w:bottom w:val="none" w:sz="0" w:space="0" w:color="auto"/>
                <w:right w:val="none" w:sz="0" w:space="0" w:color="auto"/>
              </w:divBdr>
              <w:divsChild>
                <w:div w:id="294335220">
                  <w:marLeft w:val="0"/>
                  <w:marRight w:val="0"/>
                  <w:marTop w:val="0"/>
                  <w:marBottom w:val="0"/>
                  <w:divBdr>
                    <w:top w:val="none" w:sz="0" w:space="0" w:color="auto"/>
                    <w:left w:val="none" w:sz="0" w:space="0" w:color="auto"/>
                    <w:bottom w:val="none" w:sz="0" w:space="0" w:color="auto"/>
                    <w:right w:val="none" w:sz="0" w:space="0" w:color="auto"/>
                  </w:divBdr>
                  <w:divsChild>
                    <w:div w:id="1020086504">
                      <w:marLeft w:val="0"/>
                      <w:marRight w:val="0"/>
                      <w:marTop w:val="0"/>
                      <w:marBottom w:val="0"/>
                      <w:divBdr>
                        <w:top w:val="none" w:sz="0" w:space="0" w:color="auto"/>
                        <w:left w:val="none" w:sz="0" w:space="0" w:color="auto"/>
                        <w:bottom w:val="none" w:sz="0" w:space="0" w:color="auto"/>
                        <w:right w:val="none" w:sz="0" w:space="0" w:color="auto"/>
                      </w:divBdr>
                      <w:divsChild>
                        <w:div w:id="1153108560">
                          <w:marLeft w:val="0"/>
                          <w:marRight w:val="0"/>
                          <w:marTop w:val="0"/>
                          <w:marBottom w:val="0"/>
                          <w:divBdr>
                            <w:top w:val="none" w:sz="0" w:space="0" w:color="auto"/>
                            <w:left w:val="none" w:sz="0" w:space="0" w:color="auto"/>
                            <w:bottom w:val="none" w:sz="0" w:space="0" w:color="auto"/>
                            <w:right w:val="none" w:sz="0" w:space="0" w:color="auto"/>
                          </w:divBdr>
                          <w:divsChild>
                            <w:div w:id="932317303">
                              <w:marLeft w:val="0"/>
                              <w:marRight w:val="0"/>
                              <w:marTop w:val="0"/>
                              <w:marBottom w:val="0"/>
                              <w:divBdr>
                                <w:top w:val="none" w:sz="0" w:space="0" w:color="auto"/>
                                <w:left w:val="none" w:sz="0" w:space="0" w:color="auto"/>
                                <w:bottom w:val="none" w:sz="0" w:space="0" w:color="auto"/>
                                <w:right w:val="none" w:sz="0" w:space="0" w:color="auto"/>
                              </w:divBdr>
                              <w:divsChild>
                                <w:div w:id="1315186916">
                                  <w:marLeft w:val="0"/>
                                  <w:marRight w:val="0"/>
                                  <w:marTop w:val="0"/>
                                  <w:marBottom w:val="0"/>
                                  <w:divBdr>
                                    <w:top w:val="none" w:sz="0" w:space="0" w:color="auto"/>
                                    <w:left w:val="none" w:sz="0" w:space="0" w:color="auto"/>
                                    <w:bottom w:val="none" w:sz="0" w:space="0" w:color="auto"/>
                                    <w:right w:val="none" w:sz="0" w:space="0" w:color="auto"/>
                                  </w:divBdr>
                                  <w:divsChild>
                                    <w:div w:id="1910769803">
                                      <w:marLeft w:val="0"/>
                                      <w:marRight w:val="0"/>
                                      <w:marTop w:val="0"/>
                                      <w:marBottom w:val="0"/>
                                      <w:divBdr>
                                        <w:top w:val="none" w:sz="0" w:space="0" w:color="auto"/>
                                        <w:left w:val="none" w:sz="0" w:space="0" w:color="auto"/>
                                        <w:bottom w:val="none" w:sz="0" w:space="0" w:color="auto"/>
                                        <w:right w:val="none" w:sz="0" w:space="0" w:color="auto"/>
                                      </w:divBdr>
                                      <w:divsChild>
                                        <w:div w:id="280498807">
                                          <w:marLeft w:val="1200"/>
                                          <w:marRight w:val="1200"/>
                                          <w:marTop w:val="0"/>
                                          <w:marBottom w:val="0"/>
                                          <w:divBdr>
                                            <w:top w:val="none" w:sz="0" w:space="0" w:color="auto"/>
                                            <w:left w:val="none" w:sz="0" w:space="0" w:color="auto"/>
                                            <w:bottom w:val="none" w:sz="0" w:space="0" w:color="auto"/>
                                            <w:right w:val="none" w:sz="0" w:space="0" w:color="auto"/>
                                          </w:divBdr>
                                          <w:divsChild>
                                            <w:div w:id="93745884">
                                              <w:marLeft w:val="0"/>
                                              <w:marRight w:val="0"/>
                                              <w:marTop w:val="0"/>
                                              <w:marBottom w:val="0"/>
                                              <w:divBdr>
                                                <w:top w:val="none" w:sz="0" w:space="0" w:color="auto"/>
                                                <w:left w:val="none" w:sz="0" w:space="0" w:color="auto"/>
                                                <w:bottom w:val="none" w:sz="0" w:space="0" w:color="auto"/>
                                                <w:right w:val="none" w:sz="0" w:space="0" w:color="auto"/>
                                              </w:divBdr>
                                              <w:divsChild>
                                                <w:div w:id="1902716187">
                                                  <w:marLeft w:val="0"/>
                                                  <w:marRight w:val="0"/>
                                                  <w:marTop w:val="0"/>
                                                  <w:marBottom w:val="0"/>
                                                  <w:divBdr>
                                                    <w:top w:val="none" w:sz="0" w:space="0" w:color="auto"/>
                                                    <w:left w:val="none" w:sz="0" w:space="0" w:color="auto"/>
                                                    <w:bottom w:val="none" w:sz="0" w:space="0" w:color="auto"/>
                                                    <w:right w:val="none" w:sz="0" w:space="0" w:color="auto"/>
                                                  </w:divBdr>
                                                  <w:divsChild>
                                                    <w:div w:id="1413357166">
                                                      <w:marLeft w:val="0"/>
                                                      <w:marRight w:val="0"/>
                                                      <w:marTop w:val="0"/>
                                                      <w:marBottom w:val="0"/>
                                                      <w:divBdr>
                                                        <w:top w:val="none" w:sz="0" w:space="0" w:color="auto"/>
                                                        <w:left w:val="none" w:sz="0" w:space="0" w:color="auto"/>
                                                        <w:bottom w:val="none" w:sz="0" w:space="0" w:color="auto"/>
                                                        <w:right w:val="none" w:sz="0" w:space="0" w:color="auto"/>
                                                      </w:divBdr>
                                                      <w:divsChild>
                                                        <w:div w:id="209152657">
                                                          <w:marLeft w:val="0"/>
                                                          <w:marRight w:val="0"/>
                                                          <w:marTop w:val="0"/>
                                                          <w:marBottom w:val="0"/>
                                                          <w:divBdr>
                                                            <w:top w:val="none" w:sz="0" w:space="0" w:color="auto"/>
                                                            <w:left w:val="none" w:sz="0" w:space="0" w:color="auto"/>
                                                            <w:bottom w:val="none" w:sz="0" w:space="0" w:color="auto"/>
                                                            <w:right w:val="none" w:sz="0" w:space="0" w:color="auto"/>
                                                          </w:divBdr>
                                                          <w:divsChild>
                                                            <w:div w:id="210577401">
                                                              <w:marLeft w:val="0"/>
                                                              <w:marRight w:val="0"/>
                                                              <w:marTop w:val="0"/>
                                                              <w:marBottom w:val="0"/>
                                                              <w:divBdr>
                                                                <w:top w:val="none" w:sz="0" w:space="0" w:color="auto"/>
                                                                <w:left w:val="none" w:sz="0" w:space="0" w:color="auto"/>
                                                                <w:bottom w:val="none" w:sz="0" w:space="0" w:color="auto"/>
                                                                <w:right w:val="none" w:sz="0" w:space="0" w:color="auto"/>
                                                              </w:divBdr>
                                                            </w:div>
                                                          </w:divsChild>
                                                        </w:div>
                                                        <w:div w:id="476729553">
                                                          <w:marLeft w:val="0"/>
                                                          <w:marRight w:val="0"/>
                                                          <w:marTop w:val="0"/>
                                                          <w:marBottom w:val="0"/>
                                                          <w:divBdr>
                                                            <w:top w:val="none" w:sz="0" w:space="0" w:color="auto"/>
                                                            <w:left w:val="none" w:sz="0" w:space="0" w:color="auto"/>
                                                            <w:bottom w:val="none" w:sz="0" w:space="0" w:color="auto"/>
                                                            <w:right w:val="none" w:sz="0" w:space="0" w:color="auto"/>
                                                          </w:divBdr>
                                                          <w:divsChild>
                                                            <w:div w:id="946933638">
                                                              <w:marLeft w:val="0"/>
                                                              <w:marRight w:val="0"/>
                                                              <w:marTop w:val="0"/>
                                                              <w:marBottom w:val="0"/>
                                                              <w:divBdr>
                                                                <w:top w:val="none" w:sz="0" w:space="0" w:color="auto"/>
                                                                <w:left w:val="none" w:sz="0" w:space="0" w:color="auto"/>
                                                                <w:bottom w:val="none" w:sz="0" w:space="0" w:color="auto"/>
                                                                <w:right w:val="none" w:sz="0" w:space="0" w:color="auto"/>
                                                              </w:divBdr>
                                                            </w:div>
                                                          </w:divsChild>
                                                        </w:div>
                                                        <w:div w:id="964694942">
                                                          <w:marLeft w:val="0"/>
                                                          <w:marRight w:val="0"/>
                                                          <w:marTop w:val="0"/>
                                                          <w:marBottom w:val="0"/>
                                                          <w:divBdr>
                                                            <w:top w:val="none" w:sz="0" w:space="0" w:color="auto"/>
                                                            <w:left w:val="none" w:sz="0" w:space="0" w:color="auto"/>
                                                            <w:bottom w:val="none" w:sz="0" w:space="0" w:color="auto"/>
                                                            <w:right w:val="none" w:sz="0" w:space="0" w:color="auto"/>
                                                          </w:divBdr>
                                                          <w:divsChild>
                                                            <w:div w:id="962343257">
                                                              <w:marLeft w:val="0"/>
                                                              <w:marRight w:val="0"/>
                                                              <w:marTop w:val="0"/>
                                                              <w:marBottom w:val="0"/>
                                                              <w:divBdr>
                                                                <w:top w:val="none" w:sz="0" w:space="0" w:color="auto"/>
                                                                <w:left w:val="none" w:sz="0" w:space="0" w:color="auto"/>
                                                                <w:bottom w:val="none" w:sz="0" w:space="0" w:color="auto"/>
                                                                <w:right w:val="none" w:sz="0" w:space="0" w:color="auto"/>
                                                              </w:divBdr>
                                                            </w:div>
                                                          </w:divsChild>
                                                        </w:div>
                                                        <w:div w:id="1377513153">
                                                          <w:marLeft w:val="0"/>
                                                          <w:marRight w:val="0"/>
                                                          <w:marTop w:val="0"/>
                                                          <w:marBottom w:val="0"/>
                                                          <w:divBdr>
                                                            <w:top w:val="none" w:sz="0" w:space="0" w:color="auto"/>
                                                            <w:left w:val="none" w:sz="0" w:space="0" w:color="auto"/>
                                                            <w:bottom w:val="none" w:sz="0" w:space="0" w:color="auto"/>
                                                            <w:right w:val="none" w:sz="0" w:space="0" w:color="auto"/>
                                                          </w:divBdr>
                                                          <w:divsChild>
                                                            <w:div w:id="657223426">
                                                              <w:marLeft w:val="0"/>
                                                              <w:marRight w:val="0"/>
                                                              <w:marTop w:val="0"/>
                                                              <w:marBottom w:val="0"/>
                                                              <w:divBdr>
                                                                <w:top w:val="none" w:sz="0" w:space="0" w:color="auto"/>
                                                                <w:left w:val="none" w:sz="0" w:space="0" w:color="auto"/>
                                                                <w:bottom w:val="none" w:sz="0" w:space="0" w:color="auto"/>
                                                                <w:right w:val="none" w:sz="0" w:space="0" w:color="auto"/>
                                                              </w:divBdr>
                                                            </w:div>
                                                          </w:divsChild>
                                                        </w:div>
                                                        <w:div w:id="1424184881">
                                                          <w:marLeft w:val="0"/>
                                                          <w:marRight w:val="0"/>
                                                          <w:marTop w:val="0"/>
                                                          <w:marBottom w:val="0"/>
                                                          <w:divBdr>
                                                            <w:top w:val="none" w:sz="0" w:space="0" w:color="auto"/>
                                                            <w:left w:val="none" w:sz="0" w:space="0" w:color="auto"/>
                                                            <w:bottom w:val="none" w:sz="0" w:space="0" w:color="auto"/>
                                                            <w:right w:val="none" w:sz="0" w:space="0" w:color="auto"/>
                                                          </w:divBdr>
                                                          <w:divsChild>
                                                            <w:div w:id="1524786859">
                                                              <w:marLeft w:val="0"/>
                                                              <w:marRight w:val="0"/>
                                                              <w:marTop w:val="0"/>
                                                              <w:marBottom w:val="0"/>
                                                              <w:divBdr>
                                                                <w:top w:val="none" w:sz="0" w:space="0" w:color="auto"/>
                                                                <w:left w:val="none" w:sz="0" w:space="0" w:color="auto"/>
                                                                <w:bottom w:val="none" w:sz="0" w:space="0" w:color="auto"/>
                                                                <w:right w:val="none" w:sz="0" w:space="0" w:color="auto"/>
                                                              </w:divBdr>
                                                            </w:div>
                                                          </w:divsChild>
                                                        </w:div>
                                                        <w:div w:id="1471434843">
                                                          <w:marLeft w:val="0"/>
                                                          <w:marRight w:val="0"/>
                                                          <w:marTop w:val="0"/>
                                                          <w:marBottom w:val="0"/>
                                                          <w:divBdr>
                                                            <w:top w:val="none" w:sz="0" w:space="0" w:color="auto"/>
                                                            <w:left w:val="none" w:sz="0" w:space="0" w:color="auto"/>
                                                            <w:bottom w:val="none" w:sz="0" w:space="0" w:color="auto"/>
                                                            <w:right w:val="none" w:sz="0" w:space="0" w:color="auto"/>
                                                          </w:divBdr>
                                                          <w:divsChild>
                                                            <w:div w:id="12250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661186">
      <w:bodyDiv w:val="1"/>
      <w:marLeft w:val="0"/>
      <w:marRight w:val="0"/>
      <w:marTop w:val="0"/>
      <w:marBottom w:val="0"/>
      <w:divBdr>
        <w:top w:val="none" w:sz="0" w:space="0" w:color="auto"/>
        <w:left w:val="none" w:sz="0" w:space="0" w:color="auto"/>
        <w:bottom w:val="none" w:sz="0" w:space="0" w:color="auto"/>
        <w:right w:val="none" w:sz="0" w:space="0" w:color="auto"/>
      </w:divBdr>
      <w:divsChild>
        <w:div w:id="2017220508">
          <w:marLeft w:val="0"/>
          <w:marRight w:val="0"/>
          <w:marTop w:val="0"/>
          <w:marBottom w:val="0"/>
          <w:divBdr>
            <w:top w:val="none" w:sz="0" w:space="0" w:color="auto"/>
            <w:left w:val="none" w:sz="0" w:space="0" w:color="auto"/>
            <w:bottom w:val="none" w:sz="0" w:space="0" w:color="auto"/>
            <w:right w:val="none" w:sz="0" w:space="0" w:color="auto"/>
          </w:divBdr>
          <w:divsChild>
            <w:div w:id="1737050297">
              <w:marLeft w:val="0"/>
              <w:marRight w:val="0"/>
              <w:marTop w:val="0"/>
              <w:marBottom w:val="0"/>
              <w:divBdr>
                <w:top w:val="none" w:sz="0" w:space="0" w:color="auto"/>
                <w:left w:val="none" w:sz="0" w:space="0" w:color="auto"/>
                <w:bottom w:val="none" w:sz="0" w:space="0" w:color="auto"/>
                <w:right w:val="none" w:sz="0" w:space="0" w:color="auto"/>
              </w:divBdr>
              <w:divsChild>
                <w:div w:id="165216916">
                  <w:marLeft w:val="0"/>
                  <w:marRight w:val="0"/>
                  <w:marTop w:val="0"/>
                  <w:marBottom w:val="0"/>
                  <w:divBdr>
                    <w:top w:val="none" w:sz="0" w:space="0" w:color="auto"/>
                    <w:left w:val="none" w:sz="0" w:space="0" w:color="auto"/>
                    <w:bottom w:val="none" w:sz="0" w:space="0" w:color="auto"/>
                    <w:right w:val="none" w:sz="0" w:space="0" w:color="auto"/>
                  </w:divBdr>
                </w:div>
                <w:div w:id="708064625">
                  <w:marLeft w:val="0"/>
                  <w:marRight w:val="0"/>
                  <w:marTop w:val="0"/>
                  <w:marBottom w:val="0"/>
                  <w:divBdr>
                    <w:top w:val="none" w:sz="0" w:space="0" w:color="auto"/>
                    <w:left w:val="none" w:sz="0" w:space="0" w:color="auto"/>
                    <w:bottom w:val="none" w:sz="0" w:space="0" w:color="auto"/>
                    <w:right w:val="none" w:sz="0" w:space="0" w:color="auto"/>
                  </w:divBdr>
                </w:div>
                <w:div w:id="1006127661">
                  <w:marLeft w:val="0"/>
                  <w:marRight w:val="0"/>
                  <w:marTop w:val="0"/>
                  <w:marBottom w:val="0"/>
                  <w:divBdr>
                    <w:top w:val="none" w:sz="0" w:space="0" w:color="auto"/>
                    <w:left w:val="none" w:sz="0" w:space="0" w:color="auto"/>
                    <w:bottom w:val="none" w:sz="0" w:space="0" w:color="auto"/>
                    <w:right w:val="none" w:sz="0" w:space="0" w:color="auto"/>
                  </w:divBdr>
                </w:div>
                <w:div w:id="1364359346">
                  <w:marLeft w:val="0"/>
                  <w:marRight w:val="0"/>
                  <w:marTop w:val="0"/>
                  <w:marBottom w:val="0"/>
                  <w:divBdr>
                    <w:top w:val="none" w:sz="0" w:space="0" w:color="auto"/>
                    <w:left w:val="none" w:sz="0" w:space="0" w:color="auto"/>
                    <w:bottom w:val="none" w:sz="0" w:space="0" w:color="auto"/>
                    <w:right w:val="none" w:sz="0" w:space="0" w:color="auto"/>
                  </w:divBdr>
                </w:div>
                <w:div w:id="1471359804">
                  <w:marLeft w:val="864"/>
                  <w:marRight w:val="1296"/>
                  <w:marTop w:val="144"/>
                  <w:marBottom w:val="144"/>
                  <w:divBdr>
                    <w:top w:val="single" w:sz="6" w:space="0" w:color="auto"/>
                    <w:left w:val="none" w:sz="0" w:space="0" w:color="auto"/>
                    <w:bottom w:val="single" w:sz="6" w:space="0" w:color="auto"/>
                    <w:right w:val="none" w:sz="0" w:space="0" w:color="auto"/>
                  </w:divBdr>
                  <w:divsChild>
                    <w:div w:id="2013952237">
                      <w:marLeft w:val="0"/>
                      <w:marRight w:val="0"/>
                      <w:marTop w:val="0"/>
                      <w:marBottom w:val="0"/>
                      <w:divBdr>
                        <w:top w:val="none" w:sz="0" w:space="0" w:color="auto"/>
                        <w:left w:val="none" w:sz="0" w:space="0" w:color="auto"/>
                        <w:bottom w:val="none" w:sz="0" w:space="0" w:color="auto"/>
                        <w:right w:val="none" w:sz="0" w:space="0" w:color="auto"/>
                      </w:divBdr>
                    </w:div>
                  </w:divsChild>
                </w:div>
                <w:div w:id="1526286348">
                  <w:marLeft w:val="0"/>
                  <w:marRight w:val="0"/>
                  <w:marTop w:val="0"/>
                  <w:marBottom w:val="0"/>
                  <w:divBdr>
                    <w:top w:val="none" w:sz="0" w:space="0" w:color="auto"/>
                    <w:left w:val="none" w:sz="0" w:space="0" w:color="auto"/>
                    <w:bottom w:val="none" w:sz="0" w:space="0" w:color="auto"/>
                    <w:right w:val="none" w:sz="0" w:space="0" w:color="auto"/>
                  </w:divBdr>
                </w:div>
                <w:div w:id="16648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440289">
      <w:bodyDiv w:val="1"/>
      <w:marLeft w:val="0"/>
      <w:marRight w:val="0"/>
      <w:marTop w:val="0"/>
      <w:marBottom w:val="0"/>
      <w:divBdr>
        <w:top w:val="none" w:sz="0" w:space="0" w:color="auto"/>
        <w:left w:val="none" w:sz="0" w:space="0" w:color="auto"/>
        <w:bottom w:val="none" w:sz="0" w:space="0" w:color="auto"/>
        <w:right w:val="none" w:sz="0" w:space="0" w:color="auto"/>
      </w:divBdr>
      <w:divsChild>
        <w:div w:id="981957541">
          <w:marLeft w:val="0"/>
          <w:marRight w:val="0"/>
          <w:marTop w:val="0"/>
          <w:marBottom w:val="0"/>
          <w:divBdr>
            <w:top w:val="none" w:sz="0" w:space="0" w:color="auto"/>
            <w:left w:val="none" w:sz="0" w:space="0" w:color="auto"/>
            <w:bottom w:val="none" w:sz="0" w:space="0" w:color="auto"/>
            <w:right w:val="none" w:sz="0" w:space="0" w:color="auto"/>
          </w:divBdr>
          <w:divsChild>
            <w:div w:id="140314216">
              <w:marLeft w:val="0"/>
              <w:marRight w:val="0"/>
              <w:marTop w:val="0"/>
              <w:marBottom w:val="0"/>
              <w:divBdr>
                <w:top w:val="none" w:sz="0" w:space="0" w:color="auto"/>
                <w:left w:val="none" w:sz="0" w:space="0" w:color="auto"/>
                <w:bottom w:val="none" w:sz="0" w:space="0" w:color="auto"/>
                <w:right w:val="none" w:sz="0" w:space="0" w:color="auto"/>
              </w:divBdr>
              <w:divsChild>
                <w:div w:id="1555120246">
                  <w:marLeft w:val="0"/>
                  <w:marRight w:val="0"/>
                  <w:marTop w:val="0"/>
                  <w:marBottom w:val="0"/>
                  <w:divBdr>
                    <w:top w:val="none" w:sz="0" w:space="0" w:color="auto"/>
                    <w:left w:val="none" w:sz="0" w:space="0" w:color="auto"/>
                    <w:bottom w:val="none" w:sz="0" w:space="0" w:color="auto"/>
                    <w:right w:val="none" w:sz="0" w:space="0" w:color="auto"/>
                  </w:divBdr>
                  <w:divsChild>
                    <w:div w:id="1424716927">
                      <w:marLeft w:val="0"/>
                      <w:marRight w:val="0"/>
                      <w:marTop w:val="0"/>
                      <w:marBottom w:val="375"/>
                      <w:divBdr>
                        <w:top w:val="none" w:sz="0" w:space="0" w:color="auto"/>
                        <w:left w:val="none" w:sz="0" w:space="0" w:color="auto"/>
                        <w:bottom w:val="none" w:sz="0" w:space="0" w:color="auto"/>
                        <w:right w:val="none" w:sz="0" w:space="0" w:color="auto"/>
                      </w:divBdr>
                      <w:divsChild>
                        <w:div w:id="19180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050757">
      <w:bodyDiv w:val="1"/>
      <w:marLeft w:val="0"/>
      <w:marRight w:val="0"/>
      <w:marTop w:val="0"/>
      <w:marBottom w:val="0"/>
      <w:divBdr>
        <w:top w:val="none" w:sz="0" w:space="0" w:color="auto"/>
        <w:left w:val="none" w:sz="0" w:space="0" w:color="auto"/>
        <w:bottom w:val="none" w:sz="0" w:space="0" w:color="auto"/>
        <w:right w:val="none" w:sz="0" w:space="0" w:color="auto"/>
      </w:divBdr>
    </w:div>
    <w:div w:id="240221575">
      <w:bodyDiv w:val="1"/>
      <w:marLeft w:val="0"/>
      <w:marRight w:val="0"/>
      <w:marTop w:val="0"/>
      <w:marBottom w:val="0"/>
      <w:divBdr>
        <w:top w:val="none" w:sz="0" w:space="0" w:color="auto"/>
        <w:left w:val="none" w:sz="0" w:space="0" w:color="auto"/>
        <w:bottom w:val="none" w:sz="0" w:space="0" w:color="auto"/>
        <w:right w:val="none" w:sz="0" w:space="0" w:color="auto"/>
      </w:divBdr>
      <w:divsChild>
        <w:div w:id="1222407707">
          <w:marLeft w:val="0"/>
          <w:marRight w:val="0"/>
          <w:marTop w:val="0"/>
          <w:marBottom w:val="0"/>
          <w:divBdr>
            <w:top w:val="none" w:sz="0" w:space="0" w:color="auto"/>
            <w:left w:val="single" w:sz="6" w:space="0" w:color="BBBBBB"/>
            <w:bottom w:val="single" w:sz="6" w:space="0" w:color="BBBBBB"/>
            <w:right w:val="single" w:sz="6" w:space="0" w:color="BBBBBB"/>
          </w:divBdr>
          <w:divsChild>
            <w:div w:id="1388994075">
              <w:marLeft w:val="0"/>
              <w:marRight w:val="0"/>
              <w:marTop w:val="0"/>
              <w:marBottom w:val="0"/>
              <w:divBdr>
                <w:top w:val="none" w:sz="0" w:space="0" w:color="auto"/>
                <w:left w:val="none" w:sz="0" w:space="0" w:color="auto"/>
                <w:bottom w:val="none" w:sz="0" w:space="0" w:color="auto"/>
                <w:right w:val="none" w:sz="0" w:space="0" w:color="auto"/>
              </w:divBdr>
              <w:divsChild>
                <w:div w:id="175702538">
                  <w:marLeft w:val="0"/>
                  <w:marRight w:val="0"/>
                  <w:marTop w:val="75"/>
                  <w:marBottom w:val="0"/>
                  <w:divBdr>
                    <w:top w:val="none" w:sz="0" w:space="0" w:color="auto"/>
                    <w:left w:val="none" w:sz="0" w:space="0" w:color="auto"/>
                    <w:bottom w:val="none" w:sz="0" w:space="0" w:color="auto"/>
                    <w:right w:val="none" w:sz="0" w:space="0" w:color="auto"/>
                  </w:divBdr>
                  <w:divsChild>
                    <w:div w:id="1711030010">
                      <w:marLeft w:val="0"/>
                      <w:marRight w:val="0"/>
                      <w:marTop w:val="0"/>
                      <w:marBottom w:val="0"/>
                      <w:divBdr>
                        <w:top w:val="none" w:sz="0" w:space="0" w:color="auto"/>
                        <w:left w:val="none" w:sz="0" w:space="0" w:color="auto"/>
                        <w:bottom w:val="none" w:sz="0" w:space="0" w:color="auto"/>
                        <w:right w:val="none" w:sz="0" w:space="0" w:color="auto"/>
                      </w:divBdr>
                      <w:divsChild>
                        <w:div w:id="168952037">
                          <w:marLeft w:val="0"/>
                          <w:marRight w:val="0"/>
                          <w:marTop w:val="0"/>
                          <w:marBottom w:val="0"/>
                          <w:divBdr>
                            <w:top w:val="none" w:sz="0" w:space="0" w:color="auto"/>
                            <w:left w:val="none" w:sz="0" w:space="0" w:color="auto"/>
                            <w:bottom w:val="none" w:sz="0" w:space="0" w:color="auto"/>
                            <w:right w:val="none" w:sz="0" w:space="0" w:color="auto"/>
                          </w:divBdr>
                          <w:divsChild>
                            <w:div w:id="633557715">
                              <w:marLeft w:val="0"/>
                              <w:marRight w:val="0"/>
                              <w:marTop w:val="0"/>
                              <w:marBottom w:val="0"/>
                              <w:divBdr>
                                <w:top w:val="none" w:sz="0" w:space="0" w:color="auto"/>
                                <w:left w:val="none" w:sz="0" w:space="0" w:color="auto"/>
                                <w:bottom w:val="none" w:sz="0" w:space="0" w:color="auto"/>
                                <w:right w:val="none" w:sz="0" w:space="0" w:color="auto"/>
                              </w:divBdr>
                              <w:divsChild>
                                <w:div w:id="918176173">
                                  <w:marLeft w:val="0"/>
                                  <w:marRight w:val="0"/>
                                  <w:marTop w:val="0"/>
                                  <w:marBottom w:val="0"/>
                                  <w:divBdr>
                                    <w:top w:val="none" w:sz="0" w:space="0" w:color="auto"/>
                                    <w:left w:val="none" w:sz="0" w:space="0" w:color="auto"/>
                                    <w:bottom w:val="none" w:sz="0" w:space="0" w:color="auto"/>
                                    <w:right w:val="none" w:sz="0" w:space="0" w:color="auto"/>
                                  </w:divBdr>
                                  <w:divsChild>
                                    <w:div w:id="1616791215">
                                      <w:marLeft w:val="0"/>
                                      <w:marRight w:val="0"/>
                                      <w:marTop w:val="0"/>
                                      <w:marBottom w:val="0"/>
                                      <w:divBdr>
                                        <w:top w:val="none" w:sz="0" w:space="0" w:color="auto"/>
                                        <w:left w:val="none" w:sz="0" w:space="0" w:color="auto"/>
                                        <w:bottom w:val="none" w:sz="0" w:space="0" w:color="auto"/>
                                        <w:right w:val="none" w:sz="0" w:space="0" w:color="auto"/>
                                      </w:divBdr>
                                      <w:divsChild>
                                        <w:div w:id="603734697">
                                          <w:marLeft w:val="1200"/>
                                          <w:marRight w:val="1200"/>
                                          <w:marTop w:val="0"/>
                                          <w:marBottom w:val="0"/>
                                          <w:divBdr>
                                            <w:top w:val="none" w:sz="0" w:space="0" w:color="auto"/>
                                            <w:left w:val="none" w:sz="0" w:space="0" w:color="auto"/>
                                            <w:bottom w:val="none" w:sz="0" w:space="0" w:color="auto"/>
                                            <w:right w:val="none" w:sz="0" w:space="0" w:color="auto"/>
                                          </w:divBdr>
                                          <w:divsChild>
                                            <w:div w:id="495222610">
                                              <w:marLeft w:val="0"/>
                                              <w:marRight w:val="0"/>
                                              <w:marTop w:val="0"/>
                                              <w:marBottom w:val="0"/>
                                              <w:divBdr>
                                                <w:top w:val="none" w:sz="0" w:space="0" w:color="auto"/>
                                                <w:left w:val="none" w:sz="0" w:space="0" w:color="auto"/>
                                                <w:bottom w:val="none" w:sz="0" w:space="0" w:color="auto"/>
                                                <w:right w:val="none" w:sz="0" w:space="0" w:color="auto"/>
                                              </w:divBdr>
                                              <w:divsChild>
                                                <w:div w:id="1724718440">
                                                  <w:marLeft w:val="0"/>
                                                  <w:marRight w:val="0"/>
                                                  <w:marTop w:val="0"/>
                                                  <w:marBottom w:val="0"/>
                                                  <w:divBdr>
                                                    <w:top w:val="none" w:sz="0" w:space="0" w:color="auto"/>
                                                    <w:left w:val="none" w:sz="0" w:space="0" w:color="auto"/>
                                                    <w:bottom w:val="none" w:sz="0" w:space="0" w:color="auto"/>
                                                    <w:right w:val="none" w:sz="0" w:space="0" w:color="auto"/>
                                                  </w:divBdr>
                                                  <w:divsChild>
                                                    <w:div w:id="272372711">
                                                      <w:marLeft w:val="0"/>
                                                      <w:marRight w:val="0"/>
                                                      <w:marTop w:val="0"/>
                                                      <w:marBottom w:val="0"/>
                                                      <w:divBdr>
                                                        <w:top w:val="none" w:sz="0" w:space="0" w:color="auto"/>
                                                        <w:left w:val="none" w:sz="0" w:space="0" w:color="auto"/>
                                                        <w:bottom w:val="none" w:sz="0" w:space="0" w:color="auto"/>
                                                        <w:right w:val="none" w:sz="0" w:space="0" w:color="auto"/>
                                                      </w:divBdr>
                                                      <w:divsChild>
                                                        <w:div w:id="562713056">
                                                          <w:marLeft w:val="0"/>
                                                          <w:marRight w:val="0"/>
                                                          <w:marTop w:val="0"/>
                                                          <w:marBottom w:val="0"/>
                                                          <w:divBdr>
                                                            <w:top w:val="none" w:sz="0" w:space="0" w:color="auto"/>
                                                            <w:left w:val="none" w:sz="0" w:space="0" w:color="auto"/>
                                                            <w:bottom w:val="none" w:sz="0" w:space="0" w:color="auto"/>
                                                            <w:right w:val="none" w:sz="0" w:space="0" w:color="auto"/>
                                                          </w:divBdr>
                                                        </w:div>
                                                      </w:divsChild>
                                                    </w:div>
                                                    <w:div w:id="1947732141">
                                                      <w:marLeft w:val="0"/>
                                                      <w:marRight w:val="0"/>
                                                      <w:marTop w:val="0"/>
                                                      <w:marBottom w:val="0"/>
                                                      <w:divBdr>
                                                        <w:top w:val="none" w:sz="0" w:space="0" w:color="auto"/>
                                                        <w:left w:val="none" w:sz="0" w:space="0" w:color="auto"/>
                                                        <w:bottom w:val="none" w:sz="0" w:space="0" w:color="auto"/>
                                                        <w:right w:val="none" w:sz="0" w:space="0" w:color="auto"/>
                                                      </w:divBdr>
                                                      <w:divsChild>
                                                        <w:div w:id="2072341958">
                                                          <w:marLeft w:val="0"/>
                                                          <w:marRight w:val="0"/>
                                                          <w:marTop w:val="0"/>
                                                          <w:marBottom w:val="0"/>
                                                          <w:divBdr>
                                                            <w:top w:val="none" w:sz="0" w:space="0" w:color="auto"/>
                                                            <w:left w:val="none" w:sz="0" w:space="0" w:color="auto"/>
                                                            <w:bottom w:val="none" w:sz="0" w:space="0" w:color="auto"/>
                                                            <w:right w:val="none" w:sz="0" w:space="0" w:color="auto"/>
                                                          </w:divBdr>
                                                        </w:div>
                                                      </w:divsChild>
                                                    </w:div>
                                                    <w:div w:id="2049836816">
                                                      <w:marLeft w:val="0"/>
                                                      <w:marRight w:val="0"/>
                                                      <w:marTop w:val="0"/>
                                                      <w:marBottom w:val="0"/>
                                                      <w:divBdr>
                                                        <w:top w:val="none" w:sz="0" w:space="0" w:color="auto"/>
                                                        <w:left w:val="none" w:sz="0" w:space="0" w:color="auto"/>
                                                        <w:bottom w:val="none" w:sz="0" w:space="0" w:color="auto"/>
                                                        <w:right w:val="none" w:sz="0" w:space="0" w:color="auto"/>
                                                      </w:divBdr>
                                                      <w:divsChild>
                                                        <w:div w:id="2582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0405846">
      <w:bodyDiv w:val="1"/>
      <w:marLeft w:val="30"/>
      <w:marRight w:val="30"/>
      <w:marTop w:val="30"/>
      <w:marBottom w:val="30"/>
      <w:divBdr>
        <w:top w:val="none" w:sz="0" w:space="0" w:color="auto"/>
        <w:left w:val="none" w:sz="0" w:space="0" w:color="auto"/>
        <w:bottom w:val="none" w:sz="0" w:space="0" w:color="auto"/>
        <w:right w:val="none" w:sz="0" w:space="0" w:color="auto"/>
      </w:divBdr>
      <w:divsChild>
        <w:div w:id="1395007440">
          <w:marLeft w:val="0"/>
          <w:marRight w:val="0"/>
          <w:marTop w:val="0"/>
          <w:marBottom w:val="0"/>
          <w:divBdr>
            <w:top w:val="none" w:sz="0" w:space="0" w:color="auto"/>
            <w:left w:val="none" w:sz="0" w:space="0" w:color="auto"/>
            <w:bottom w:val="none" w:sz="0" w:space="0" w:color="auto"/>
            <w:right w:val="none" w:sz="0" w:space="0" w:color="auto"/>
          </w:divBdr>
          <w:divsChild>
            <w:div w:id="1191451615">
              <w:marLeft w:val="45"/>
              <w:marRight w:val="45"/>
              <w:marTop w:val="45"/>
              <w:marBottom w:val="45"/>
              <w:divBdr>
                <w:top w:val="none" w:sz="0" w:space="0" w:color="auto"/>
                <w:left w:val="none" w:sz="0" w:space="0" w:color="auto"/>
                <w:bottom w:val="none" w:sz="0" w:space="0" w:color="auto"/>
                <w:right w:val="none" w:sz="0" w:space="0" w:color="auto"/>
              </w:divBdr>
              <w:divsChild>
                <w:div w:id="1512530509">
                  <w:marLeft w:val="0"/>
                  <w:marRight w:val="0"/>
                  <w:marTop w:val="0"/>
                  <w:marBottom w:val="0"/>
                  <w:divBdr>
                    <w:top w:val="none" w:sz="0" w:space="0" w:color="auto"/>
                    <w:left w:val="none" w:sz="0" w:space="0" w:color="auto"/>
                    <w:bottom w:val="none" w:sz="0" w:space="0" w:color="auto"/>
                    <w:right w:val="none" w:sz="0" w:space="0" w:color="auto"/>
                  </w:divBdr>
                  <w:divsChild>
                    <w:div w:id="101843727">
                      <w:marLeft w:val="0"/>
                      <w:marRight w:val="0"/>
                      <w:marTop w:val="0"/>
                      <w:marBottom w:val="0"/>
                      <w:divBdr>
                        <w:top w:val="none" w:sz="0" w:space="0" w:color="auto"/>
                        <w:left w:val="none" w:sz="0" w:space="0" w:color="auto"/>
                        <w:bottom w:val="none" w:sz="0" w:space="0" w:color="auto"/>
                        <w:right w:val="none" w:sz="0" w:space="0" w:color="auto"/>
                      </w:divBdr>
                    </w:div>
                    <w:div w:id="203905294">
                      <w:marLeft w:val="0"/>
                      <w:marRight w:val="0"/>
                      <w:marTop w:val="0"/>
                      <w:marBottom w:val="0"/>
                      <w:divBdr>
                        <w:top w:val="none" w:sz="0" w:space="0" w:color="auto"/>
                        <w:left w:val="none" w:sz="0" w:space="0" w:color="auto"/>
                        <w:bottom w:val="none" w:sz="0" w:space="0" w:color="auto"/>
                        <w:right w:val="none" w:sz="0" w:space="0" w:color="auto"/>
                      </w:divBdr>
                    </w:div>
                    <w:div w:id="665984362">
                      <w:marLeft w:val="0"/>
                      <w:marRight w:val="0"/>
                      <w:marTop w:val="0"/>
                      <w:marBottom w:val="0"/>
                      <w:divBdr>
                        <w:top w:val="none" w:sz="0" w:space="0" w:color="auto"/>
                        <w:left w:val="none" w:sz="0" w:space="0" w:color="auto"/>
                        <w:bottom w:val="none" w:sz="0" w:space="0" w:color="auto"/>
                        <w:right w:val="none" w:sz="0" w:space="0" w:color="auto"/>
                      </w:divBdr>
                    </w:div>
                    <w:div w:id="14589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86334">
      <w:bodyDiv w:val="1"/>
      <w:marLeft w:val="0"/>
      <w:marRight w:val="0"/>
      <w:marTop w:val="0"/>
      <w:marBottom w:val="0"/>
      <w:divBdr>
        <w:top w:val="none" w:sz="0" w:space="0" w:color="auto"/>
        <w:left w:val="none" w:sz="0" w:space="0" w:color="auto"/>
        <w:bottom w:val="none" w:sz="0" w:space="0" w:color="auto"/>
        <w:right w:val="none" w:sz="0" w:space="0" w:color="auto"/>
      </w:divBdr>
      <w:divsChild>
        <w:div w:id="679506889">
          <w:marLeft w:val="0"/>
          <w:marRight w:val="0"/>
          <w:marTop w:val="0"/>
          <w:marBottom w:val="0"/>
          <w:divBdr>
            <w:top w:val="none" w:sz="0" w:space="0" w:color="auto"/>
            <w:left w:val="none" w:sz="0" w:space="0" w:color="auto"/>
            <w:bottom w:val="none" w:sz="0" w:space="0" w:color="auto"/>
            <w:right w:val="none" w:sz="0" w:space="0" w:color="auto"/>
          </w:divBdr>
          <w:divsChild>
            <w:div w:id="1132282959">
              <w:marLeft w:val="0"/>
              <w:marRight w:val="0"/>
              <w:marTop w:val="0"/>
              <w:marBottom w:val="0"/>
              <w:divBdr>
                <w:top w:val="none" w:sz="0" w:space="0" w:color="auto"/>
                <w:left w:val="none" w:sz="0" w:space="0" w:color="auto"/>
                <w:bottom w:val="none" w:sz="0" w:space="0" w:color="auto"/>
                <w:right w:val="none" w:sz="0" w:space="0" w:color="auto"/>
              </w:divBdr>
              <w:divsChild>
                <w:div w:id="251089060">
                  <w:marLeft w:val="0"/>
                  <w:marRight w:val="0"/>
                  <w:marTop w:val="0"/>
                  <w:marBottom w:val="0"/>
                  <w:divBdr>
                    <w:top w:val="none" w:sz="0" w:space="0" w:color="auto"/>
                    <w:left w:val="none" w:sz="0" w:space="0" w:color="auto"/>
                    <w:bottom w:val="none" w:sz="0" w:space="0" w:color="auto"/>
                    <w:right w:val="none" w:sz="0" w:space="0" w:color="auto"/>
                  </w:divBdr>
                  <w:divsChild>
                    <w:div w:id="1334533911">
                      <w:marLeft w:val="0"/>
                      <w:marRight w:val="0"/>
                      <w:marTop w:val="0"/>
                      <w:marBottom w:val="375"/>
                      <w:divBdr>
                        <w:top w:val="none" w:sz="0" w:space="0" w:color="auto"/>
                        <w:left w:val="none" w:sz="0" w:space="0" w:color="auto"/>
                        <w:bottom w:val="none" w:sz="0" w:space="0" w:color="auto"/>
                        <w:right w:val="none" w:sz="0" w:space="0" w:color="auto"/>
                      </w:divBdr>
                      <w:divsChild>
                        <w:div w:id="6665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954368">
      <w:bodyDiv w:val="1"/>
      <w:marLeft w:val="0"/>
      <w:marRight w:val="0"/>
      <w:marTop w:val="0"/>
      <w:marBottom w:val="0"/>
      <w:divBdr>
        <w:top w:val="none" w:sz="0" w:space="0" w:color="auto"/>
        <w:left w:val="none" w:sz="0" w:space="0" w:color="auto"/>
        <w:bottom w:val="none" w:sz="0" w:space="0" w:color="auto"/>
        <w:right w:val="none" w:sz="0" w:space="0" w:color="auto"/>
      </w:divBdr>
      <w:divsChild>
        <w:div w:id="1596328147">
          <w:marLeft w:val="0"/>
          <w:marRight w:val="0"/>
          <w:marTop w:val="0"/>
          <w:marBottom w:val="0"/>
          <w:divBdr>
            <w:top w:val="none" w:sz="0" w:space="0" w:color="auto"/>
            <w:left w:val="none" w:sz="0" w:space="0" w:color="auto"/>
            <w:bottom w:val="none" w:sz="0" w:space="0" w:color="auto"/>
            <w:right w:val="none" w:sz="0" w:space="0" w:color="auto"/>
          </w:divBdr>
          <w:divsChild>
            <w:div w:id="1947998115">
              <w:marLeft w:val="0"/>
              <w:marRight w:val="0"/>
              <w:marTop w:val="0"/>
              <w:marBottom w:val="0"/>
              <w:divBdr>
                <w:top w:val="none" w:sz="0" w:space="0" w:color="auto"/>
                <w:left w:val="none" w:sz="0" w:space="0" w:color="auto"/>
                <w:bottom w:val="none" w:sz="0" w:space="0" w:color="auto"/>
                <w:right w:val="none" w:sz="0" w:space="0" w:color="auto"/>
              </w:divBdr>
              <w:divsChild>
                <w:div w:id="132254850">
                  <w:marLeft w:val="0"/>
                  <w:marRight w:val="0"/>
                  <w:marTop w:val="0"/>
                  <w:marBottom w:val="0"/>
                  <w:divBdr>
                    <w:top w:val="none" w:sz="0" w:space="0" w:color="auto"/>
                    <w:left w:val="none" w:sz="0" w:space="0" w:color="auto"/>
                    <w:bottom w:val="none" w:sz="0" w:space="0" w:color="auto"/>
                    <w:right w:val="none" w:sz="0" w:space="0" w:color="auto"/>
                  </w:divBdr>
                  <w:divsChild>
                    <w:div w:id="116410226">
                      <w:marLeft w:val="0"/>
                      <w:marRight w:val="0"/>
                      <w:marTop w:val="0"/>
                      <w:marBottom w:val="300"/>
                      <w:divBdr>
                        <w:top w:val="none" w:sz="0" w:space="0" w:color="auto"/>
                        <w:left w:val="none" w:sz="0" w:space="0" w:color="auto"/>
                        <w:bottom w:val="none" w:sz="0" w:space="0" w:color="auto"/>
                        <w:right w:val="none" w:sz="0" w:space="0" w:color="auto"/>
                      </w:divBdr>
                      <w:divsChild>
                        <w:div w:id="1600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232482">
      <w:bodyDiv w:val="1"/>
      <w:marLeft w:val="0"/>
      <w:marRight w:val="0"/>
      <w:marTop w:val="0"/>
      <w:marBottom w:val="0"/>
      <w:divBdr>
        <w:top w:val="none" w:sz="0" w:space="0" w:color="auto"/>
        <w:left w:val="none" w:sz="0" w:space="0" w:color="auto"/>
        <w:bottom w:val="none" w:sz="0" w:space="0" w:color="auto"/>
        <w:right w:val="none" w:sz="0" w:space="0" w:color="auto"/>
      </w:divBdr>
      <w:divsChild>
        <w:div w:id="1578442651">
          <w:marLeft w:val="0"/>
          <w:marRight w:val="0"/>
          <w:marTop w:val="0"/>
          <w:marBottom w:val="0"/>
          <w:divBdr>
            <w:top w:val="none" w:sz="0" w:space="0" w:color="auto"/>
            <w:left w:val="single" w:sz="6" w:space="0" w:color="BBBBBB"/>
            <w:bottom w:val="single" w:sz="6" w:space="0" w:color="BBBBBB"/>
            <w:right w:val="single" w:sz="6" w:space="0" w:color="BBBBBB"/>
          </w:divBdr>
          <w:divsChild>
            <w:div w:id="1114786894">
              <w:marLeft w:val="0"/>
              <w:marRight w:val="0"/>
              <w:marTop w:val="0"/>
              <w:marBottom w:val="0"/>
              <w:divBdr>
                <w:top w:val="none" w:sz="0" w:space="0" w:color="auto"/>
                <w:left w:val="none" w:sz="0" w:space="0" w:color="auto"/>
                <w:bottom w:val="none" w:sz="0" w:space="0" w:color="auto"/>
                <w:right w:val="none" w:sz="0" w:space="0" w:color="auto"/>
              </w:divBdr>
              <w:divsChild>
                <w:div w:id="796142657">
                  <w:marLeft w:val="0"/>
                  <w:marRight w:val="0"/>
                  <w:marTop w:val="0"/>
                  <w:marBottom w:val="0"/>
                  <w:divBdr>
                    <w:top w:val="none" w:sz="0" w:space="0" w:color="auto"/>
                    <w:left w:val="none" w:sz="0" w:space="0" w:color="auto"/>
                    <w:bottom w:val="none" w:sz="0" w:space="0" w:color="auto"/>
                    <w:right w:val="none" w:sz="0" w:space="0" w:color="auto"/>
                  </w:divBdr>
                  <w:divsChild>
                    <w:div w:id="1754737161">
                      <w:marLeft w:val="0"/>
                      <w:marRight w:val="0"/>
                      <w:marTop w:val="0"/>
                      <w:marBottom w:val="0"/>
                      <w:divBdr>
                        <w:top w:val="none" w:sz="0" w:space="0" w:color="auto"/>
                        <w:left w:val="none" w:sz="0" w:space="0" w:color="auto"/>
                        <w:bottom w:val="none" w:sz="0" w:space="0" w:color="auto"/>
                        <w:right w:val="none" w:sz="0" w:space="0" w:color="auto"/>
                      </w:divBdr>
                      <w:divsChild>
                        <w:div w:id="1679041604">
                          <w:marLeft w:val="0"/>
                          <w:marRight w:val="0"/>
                          <w:marTop w:val="0"/>
                          <w:marBottom w:val="0"/>
                          <w:divBdr>
                            <w:top w:val="none" w:sz="0" w:space="0" w:color="auto"/>
                            <w:left w:val="none" w:sz="0" w:space="0" w:color="auto"/>
                            <w:bottom w:val="none" w:sz="0" w:space="0" w:color="auto"/>
                            <w:right w:val="none" w:sz="0" w:space="0" w:color="auto"/>
                          </w:divBdr>
                          <w:divsChild>
                            <w:div w:id="655114414">
                              <w:marLeft w:val="0"/>
                              <w:marRight w:val="0"/>
                              <w:marTop w:val="0"/>
                              <w:marBottom w:val="0"/>
                              <w:divBdr>
                                <w:top w:val="none" w:sz="0" w:space="0" w:color="auto"/>
                                <w:left w:val="none" w:sz="0" w:space="0" w:color="auto"/>
                                <w:bottom w:val="none" w:sz="0" w:space="0" w:color="auto"/>
                                <w:right w:val="none" w:sz="0" w:space="0" w:color="auto"/>
                              </w:divBdr>
                              <w:divsChild>
                                <w:div w:id="1690715902">
                                  <w:marLeft w:val="0"/>
                                  <w:marRight w:val="0"/>
                                  <w:marTop w:val="0"/>
                                  <w:marBottom w:val="0"/>
                                  <w:divBdr>
                                    <w:top w:val="none" w:sz="0" w:space="0" w:color="auto"/>
                                    <w:left w:val="none" w:sz="0" w:space="0" w:color="auto"/>
                                    <w:bottom w:val="none" w:sz="0" w:space="0" w:color="auto"/>
                                    <w:right w:val="none" w:sz="0" w:space="0" w:color="auto"/>
                                  </w:divBdr>
                                  <w:divsChild>
                                    <w:div w:id="78646015">
                                      <w:marLeft w:val="0"/>
                                      <w:marRight w:val="0"/>
                                      <w:marTop w:val="0"/>
                                      <w:marBottom w:val="0"/>
                                      <w:divBdr>
                                        <w:top w:val="none" w:sz="0" w:space="0" w:color="auto"/>
                                        <w:left w:val="none" w:sz="0" w:space="0" w:color="auto"/>
                                        <w:bottom w:val="none" w:sz="0" w:space="0" w:color="auto"/>
                                        <w:right w:val="none" w:sz="0" w:space="0" w:color="auto"/>
                                      </w:divBdr>
                                      <w:divsChild>
                                        <w:div w:id="461391407">
                                          <w:marLeft w:val="1200"/>
                                          <w:marRight w:val="1200"/>
                                          <w:marTop w:val="0"/>
                                          <w:marBottom w:val="0"/>
                                          <w:divBdr>
                                            <w:top w:val="none" w:sz="0" w:space="0" w:color="auto"/>
                                            <w:left w:val="none" w:sz="0" w:space="0" w:color="auto"/>
                                            <w:bottom w:val="none" w:sz="0" w:space="0" w:color="auto"/>
                                            <w:right w:val="none" w:sz="0" w:space="0" w:color="auto"/>
                                          </w:divBdr>
                                          <w:divsChild>
                                            <w:div w:id="1635987450">
                                              <w:marLeft w:val="0"/>
                                              <w:marRight w:val="0"/>
                                              <w:marTop w:val="0"/>
                                              <w:marBottom w:val="0"/>
                                              <w:divBdr>
                                                <w:top w:val="none" w:sz="0" w:space="0" w:color="auto"/>
                                                <w:left w:val="none" w:sz="0" w:space="0" w:color="auto"/>
                                                <w:bottom w:val="none" w:sz="0" w:space="0" w:color="auto"/>
                                                <w:right w:val="none" w:sz="0" w:space="0" w:color="auto"/>
                                              </w:divBdr>
                                              <w:divsChild>
                                                <w:div w:id="1422291815">
                                                  <w:marLeft w:val="0"/>
                                                  <w:marRight w:val="0"/>
                                                  <w:marTop w:val="0"/>
                                                  <w:marBottom w:val="0"/>
                                                  <w:divBdr>
                                                    <w:top w:val="none" w:sz="0" w:space="0" w:color="auto"/>
                                                    <w:left w:val="none" w:sz="0" w:space="0" w:color="auto"/>
                                                    <w:bottom w:val="none" w:sz="0" w:space="0" w:color="auto"/>
                                                    <w:right w:val="none" w:sz="0" w:space="0" w:color="auto"/>
                                                  </w:divBdr>
                                                  <w:divsChild>
                                                    <w:div w:id="310447904">
                                                      <w:marLeft w:val="0"/>
                                                      <w:marRight w:val="0"/>
                                                      <w:marTop w:val="0"/>
                                                      <w:marBottom w:val="0"/>
                                                      <w:divBdr>
                                                        <w:top w:val="none" w:sz="0" w:space="0" w:color="auto"/>
                                                        <w:left w:val="none" w:sz="0" w:space="0" w:color="auto"/>
                                                        <w:bottom w:val="none" w:sz="0" w:space="0" w:color="auto"/>
                                                        <w:right w:val="none" w:sz="0" w:space="0" w:color="auto"/>
                                                      </w:divBdr>
                                                      <w:divsChild>
                                                        <w:div w:id="996877658">
                                                          <w:marLeft w:val="0"/>
                                                          <w:marRight w:val="0"/>
                                                          <w:marTop w:val="0"/>
                                                          <w:marBottom w:val="0"/>
                                                          <w:divBdr>
                                                            <w:top w:val="none" w:sz="0" w:space="0" w:color="auto"/>
                                                            <w:left w:val="none" w:sz="0" w:space="0" w:color="auto"/>
                                                            <w:bottom w:val="none" w:sz="0" w:space="0" w:color="auto"/>
                                                            <w:right w:val="none" w:sz="0" w:space="0" w:color="auto"/>
                                                          </w:divBdr>
                                                          <w:divsChild>
                                                            <w:div w:id="1329209548">
                                                              <w:marLeft w:val="0"/>
                                                              <w:marRight w:val="0"/>
                                                              <w:marTop w:val="0"/>
                                                              <w:marBottom w:val="0"/>
                                                              <w:divBdr>
                                                                <w:top w:val="none" w:sz="0" w:space="0" w:color="auto"/>
                                                                <w:left w:val="none" w:sz="0" w:space="0" w:color="auto"/>
                                                                <w:bottom w:val="none" w:sz="0" w:space="0" w:color="auto"/>
                                                                <w:right w:val="none" w:sz="0" w:space="0" w:color="auto"/>
                                                              </w:divBdr>
                                                              <w:divsChild>
                                                                <w:div w:id="584266744">
                                                                  <w:marLeft w:val="0"/>
                                                                  <w:marRight w:val="0"/>
                                                                  <w:marTop w:val="0"/>
                                                                  <w:marBottom w:val="0"/>
                                                                  <w:divBdr>
                                                                    <w:top w:val="none" w:sz="0" w:space="0" w:color="auto"/>
                                                                    <w:left w:val="none" w:sz="0" w:space="0" w:color="auto"/>
                                                                    <w:bottom w:val="none" w:sz="0" w:space="0" w:color="auto"/>
                                                                    <w:right w:val="none" w:sz="0" w:space="0" w:color="auto"/>
                                                                  </w:divBdr>
                                                                  <w:divsChild>
                                                                    <w:div w:id="1023168081">
                                                                      <w:marLeft w:val="0"/>
                                                                      <w:marRight w:val="0"/>
                                                                      <w:marTop w:val="0"/>
                                                                      <w:marBottom w:val="0"/>
                                                                      <w:divBdr>
                                                                        <w:top w:val="none" w:sz="0" w:space="0" w:color="auto"/>
                                                                        <w:left w:val="none" w:sz="0" w:space="0" w:color="auto"/>
                                                                        <w:bottom w:val="none" w:sz="0" w:space="0" w:color="auto"/>
                                                                        <w:right w:val="none" w:sz="0" w:space="0" w:color="auto"/>
                                                                      </w:divBdr>
                                                                      <w:divsChild>
                                                                        <w:div w:id="817962598">
                                                                          <w:marLeft w:val="0"/>
                                                                          <w:marRight w:val="0"/>
                                                                          <w:marTop w:val="0"/>
                                                                          <w:marBottom w:val="0"/>
                                                                          <w:divBdr>
                                                                            <w:top w:val="none" w:sz="0" w:space="0" w:color="auto"/>
                                                                            <w:left w:val="none" w:sz="0" w:space="0" w:color="auto"/>
                                                                            <w:bottom w:val="none" w:sz="0" w:space="0" w:color="auto"/>
                                                                            <w:right w:val="none" w:sz="0" w:space="0" w:color="auto"/>
                                                                          </w:divBdr>
                                                                        </w:div>
                                                                      </w:divsChild>
                                                                    </w:div>
                                                                    <w:div w:id="1183787252">
                                                                      <w:marLeft w:val="0"/>
                                                                      <w:marRight w:val="0"/>
                                                                      <w:marTop w:val="0"/>
                                                                      <w:marBottom w:val="0"/>
                                                                      <w:divBdr>
                                                                        <w:top w:val="none" w:sz="0" w:space="0" w:color="auto"/>
                                                                        <w:left w:val="none" w:sz="0" w:space="0" w:color="auto"/>
                                                                        <w:bottom w:val="none" w:sz="0" w:space="0" w:color="auto"/>
                                                                        <w:right w:val="none" w:sz="0" w:space="0" w:color="auto"/>
                                                                      </w:divBdr>
                                                                      <w:divsChild>
                                                                        <w:div w:id="827088484">
                                                                          <w:marLeft w:val="0"/>
                                                                          <w:marRight w:val="0"/>
                                                                          <w:marTop w:val="0"/>
                                                                          <w:marBottom w:val="0"/>
                                                                          <w:divBdr>
                                                                            <w:top w:val="none" w:sz="0" w:space="0" w:color="auto"/>
                                                                            <w:left w:val="none" w:sz="0" w:space="0" w:color="auto"/>
                                                                            <w:bottom w:val="none" w:sz="0" w:space="0" w:color="auto"/>
                                                                            <w:right w:val="none" w:sz="0" w:space="0" w:color="auto"/>
                                                                          </w:divBdr>
                                                                        </w:div>
                                                                      </w:divsChild>
                                                                    </w:div>
                                                                    <w:div w:id="1204632455">
                                                                      <w:marLeft w:val="0"/>
                                                                      <w:marRight w:val="0"/>
                                                                      <w:marTop w:val="0"/>
                                                                      <w:marBottom w:val="0"/>
                                                                      <w:divBdr>
                                                                        <w:top w:val="none" w:sz="0" w:space="0" w:color="auto"/>
                                                                        <w:left w:val="none" w:sz="0" w:space="0" w:color="auto"/>
                                                                        <w:bottom w:val="none" w:sz="0" w:space="0" w:color="auto"/>
                                                                        <w:right w:val="none" w:sz="0" w:space="0" w:color="auto"/>
                                                                      </w:divBdr>
                                                                      <w:divsChild>
                                                                        <w:div w:id="370962493">
                                                                          <w:marLeft w:val="0"/>
                                                                          <w:marRight w:val="0"/>
                                                                          <w:marTop w:val="0"/>
                                                                          <w:marBottom w:val="0"/>
                                                                          <w:divBdr>
                                                                            <w:top w:val="none" w:sz="0" w:space="0" w:color="auto"/>
                                                                            <w:left w:val="none" w:sz="0" w:space="0" w:color="auto"/>
                                                                            <w:bottom w:val="none" w:sz="0" w:space="0" w:color="auto"/>
                                                                            <w:right w:val="none" w:sz="0" w:space="0" w:color="auto"/>
                                                                          </w:divBdr>
                                                                        </w:div>
                                                                        <w:div w:id="700857610">
                                                                          <w:marLeft w:val="0"/>
                                                                          <w:marRight w:val="0"/>
                                                                          <w:marTop w:val="0"/>
                                                                          <w:marBottom w:val="0"/>
                                                                          <w:divBdr>
                                                                            <w:top w:val="none" w:sz="0" w:space="0" w:color="auto"/>
                                                                            <w:left w:val="none" w:sz="0" w:space="0" w:color="auto"/>
                                                                            <w:bottom w:val="none" w:sz="0" w:space="0" w:color="auto"/>
                                                                            <w:right w:val="none" w:sz="0" w:space="0" w:color="auto"/>
                                                                          </w:divBdr>
                                                                        </w:div>
                                                                        <w:div w:id="1356926761">
                                                                          <w:marLeft w:val="0"/>
                                                                          <w:marRight w:val="0"/>
                                                                          <w:marTop w:val="0"/>
                                                                          <w:marBottom w:val="0"/>
                                                                          <w:divBdr>
                                                                            <w:top w:val="none" w:sz="0" w:space="0" w:color="auto"/>
                                                                            <w:left w:val="none" w:sz="0" w:space="0" w:color="auto"/>
                                                                            <w:bottom w:val="none" w:sz="0" w:space="0" w:color="auto"/>
                                                                            <w:right w:val="none" w:sz="0" w:space="0" w:color="auto"/>
                                                                          </w:divBdr>
                                                                          <w:divsChild>
                                                                            <w:div w:id="1663584970">
                                                                              <w:marLeft w:val="0"/>
                                                                              <w:marRight w:val="0"/>
                                                                              <w:marTop w:val="0"/>
                                                                              <w:marBottom w:val="0"/>
                                                                              <w:divBdr>
                                                                                <w:top w:val="none" w:sz="0" w:space="0" w:color="auto"/>
                                                                                <w:left w:val="none" w:sz="0" w:space="0" w:color="auto"/>
                                                                                <w:bottom w:val="none" w:sz="0" w:space="0" w:color="auto"/>
                                                                                <w:right w:val="none" w:sz="0" w:space="0" w:color="auto"/>
                                                                              </w:divBdr>
                                                                              <w:divsChild>
                                                                                <w:div w:id="421492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2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46496">
                                                                      <w:marLeft w:val="0"/>
                                                                      <w:marRight w:val="0"/>
                                                                      <w:marTop w:val="0"/>
                                                                      <w:marBottom w:val="0"/>
                                                                      <w:divBdr>
                                                                        <w:top w:val="none" w:sz="0" w:space="0" w:color="auto"/>
                                                                        <w:left w:val="none" w:sz="0" w:space="0" w:color="auto"/>
                                                                        <w:bottom w:val="none" w:sz="0" w:space="0" w:color="auto"/>
                                                                        <w:right w:val="none" w:sz="0" w:space="0" w:color="auto"/>
                                                                      </w:divBdr>
                                                                      <w:divsChild>
                                                                        <w:div w:id="9646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081171">
      <w:bodyDiv w:val="1"/>
      <w:marLeft w:val="0"/>
      <w:marRight w:val="0"/>
      <w:marTop w:val="0"/>
      <w:marBottom w:val="0"/>
      <w:divBdr>
        <w:top w:val="none" w:sz="0" w:space="0" w:color="auto"/>
        <w:left w:val="none" w:sz="0" w:space="0" w:color="auto"/>
        <w:bottom w:val="none" w:sz="0" w:space="0" w:color="auto"/>
        <w:right w:val="none" w:sz="0" w:space="0" w:color="auto"/>
      </w:divBdr>
      <w:divsChild>
        <w:div w:id="177503551">
          <w:marLeft w:val="0"/>
          <w:marRight w:val="0"/>
          <w:marTop w:val="0"/>
          <w:marBottom w:val="0"/>
          <w:divBdr>
            <w:top w:val="none" w:sz="0" w:space="0" w:color="auto"/>
            <w:left w:val="none" w:sz="0" w:space="0" w:color="auto"/>
            <w:bottom w:val="none" w:sz="0" w:space="0" w:color="auto"/>
            <w:right w:val="none" w:sz="0" w:space="0" w:color="auto"/>
          </w:divBdr>
          <w:divsChild>
            <w:div w:id="182328782">
              <w:marLeft w:val="0"/>
              <w:marRight w:val="0"/>
              <w:marTop w:val="0"/>
              <w:marBottom w:val="0"/>
              <w:divBdr>
                <w:top w:val="none" w:sz="0" w:space="0" w:color="auto"/>
                <w:left w:val="none" w:sz="0" w:space="0" w:color="auto"/>
                <w:bottom w:val="none" w:sz="0" w:space="0" w:color="auto"/>
                <w:right w:val="none" w:sz="0" w:space="0" w:color="auto"/>
              </w:divBdr>
              <w:divsChild>
                <w:div w:id="503473603">
                  <w:marLeft w:val="0"/>
                  <w:marRight w:val="0"/>
                  <w:marTop w:val="0"/>
                  <w:marBottom w:val="0"/>
                  <w:divBdr>
                    <w:top w:val="none" w:sz="0" w:space="0" w:color="auto"/>
                    <w:left w:val="none" w:sz="0" w:space="0" w:color="auto"/>
                    <w:bottom w:val="none" w:sz="0" w:space="0" w:color="auto"/>
                    <w:right w:val="none" w:sz="0" w:space="0" w:color="auto"/>
                  </w:divBdr>
                  <w:divsChild>
                    <w:div w:id="1028291430">
                      <w:marLeft w:val="0"/>
                      <w:marRight w:val="0"/>
                      <w:marTop w:val="0"/>
                      <w:marBottom w:val="375"/>
                      <w:divBdr>
                        <w:top w:val="none" w:sz="0" w:space="0" w:color="auto"/>
                        <w:left w:val="none" w:sz="0" w:space="0" w:color="auto"/>
                        <w:bottom w:val="none" w:sz="0" w:space="0" w:color="auto"/>
                        <w:right w:val="none" w:sz="0" w:space="0" w:color="auto"/>
                      </w:divBdr>
                      <w:divsChild>
                        <w:div w:id="4461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364311">
      <w:bodyDiv w:val="1"/>
      <w:marLeft w:val="0"/>
      <w:marRight w:val="0"/>
      <w:marTop w:val="0"/>
      <w:marBottom w:val="0"/>
      <w:divBdr>
        <w:top w:val="none" w:sz="0" w:space="0" w:color="auto"/>
        <w:left w:val="none" w:sz="0" w:space="0" w:color="auto"/>
        <w:bottom w:val="none" w:sz="0" w:space="0" w:color="auto"/>
        <w:right w:val="none" w:sz="0" w:space="0" w:color="auto"/>
      </w:divBdr>
    </w:div>
    <w:div w:id="255402306">
      <w:bodyDiv w:val="1"/>
      <w:marLeft w:val="0"/>
      <w:marRight w:val="0"/>
      <w:marTop w:val="0"/>
      <w:marBottom w:val="0"/>
      <w:divBdr>
        <w:top w:val="none" w:sz="0" w:space="0" w:color="auto"/>
        <w:left w:val="none" w:sz="0" w:space="0" w:color="auto"/>
        <w:bottom w:val="none" w:sz="0" w:space="0" w:color="auto"/>
        <w:right w:val="none" w:sz="0" w:space="0" w:color="auto"/>
      </w:divBdr>
      <w:divsChild>
        <w:div w:id="798450762">
          <w:marLeft w:val="0"/>
          <w:marRight w:val="0"/>
          <w:marTop w:val="0"/>
          <w:marBottom w:val="0"/>
          <w:divBdr>
            <w:top w:val="none" w:sz="0" w:space="0" w:color="auto"/>
            <w:left w:val="none" w:sz="0" w:space="0" w:color="auto"/>
            <w:bottom w:val="none" w:sz="0" w:space="0" w:color="auto"/>
            <w:right w:val="none" w:sz="0" w:space="0" w:color="auto"/>
          </w:divBdr>
          <w:divsChild>
            <w:div w:id="2051488626">
              <w:marLeft w:val="0"/>
              <w:marRight w:val="0"/>
              <w:marTop w:val="0"/>
              <w:marBottom w:val="0"/>
              <w:divBdr>
                <w:top w:val="none" w:sz="0" w:space="0" w:color="auto"/>
                <w:left w:val="none" w:sz="0" w:space="0" w:color="auto"/>
                <w:bottom w:val="none" w:sz="0" w:space="0" w:color="auto"/>
                <w:right w:val="none" w:sz="0" w:space="0" w:color="auto"/>
              </w:divBdr>
              <w:divsChild>
                <w:div w:id="1331370119">
                  <w:marLeft w:val="0"/>
                  <w:marRight w:val="0"/>
                  <w:marTop w:val="0"/>
                  <w:marBottom w:val="0"/>
                  <w:divBdr>
                    <w:top w:val="none" w:sz="0" w:space="0" w:color="auto"/>
                    <w:left w:val="none" w:sz="0" w:space="0" w:color="auto"/>
                    <w:bottom w:val="none" w:sz="0" w:space="0" w:color="auto"/>
                    <w:right w:val="none" w:sz="0" w:space="0" w:color="auto"/>
                  </w:divBdr>
                  <w:divsChild>
                    <w:div w:id="284115354">
                      <w:marLeft w:val="0"/>
                      <w:marRight w:val="0"/>
                      <w:marTop w:val="0"/>
                      <w:marBottom w:val="300"/>
                      <w:divBdr>
                        <w:top w:val="none" w:sz="0" w:space="0" w:color="auto"/>
                        <w:left w:val="none" w:sz="0" w:space="0" w:color="auto"/>
                        <w:bottom w:val="none" w:sz="0" w:space="0" w:color="auto"/>
                        <w:right w:val="none" w:sz="0" w:space="0" w:color="auto"/>
                      </w:divBdr>
                      <w:divsChild>
                        <w:div w:id="109760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026161">
      <w:bodyDiv w:val="1"/>
      <w:marLeft w:val="0"/>
      <w:marRight w:val="0"/>
      <w:marTop w:val="0"/>
      <w:marBottom w:val="0"/>
      <w:divBdr>
        <w:top w:val="none" w:sz="0" w:space="0" w:color="auto"/>
        <w:left w:val="none" w:sz="0" w:space="0" w:color="auto"/>
        <w:bottom w:val="none" w:sz="0" w:space="0" w:color="auto"/>
        <w:right w:val="none" w:sz="0" w:space="0" w:color="auto"/>
      </w:divBdr>
      <w:divsChild>
        <w:div w:id="456720698">
          <w:marLeft w:val="0"/>
          <w:marRight w:val="0"/>
          <w:marTop w:val="0"/>
          <w:marBottom w:val="0"/>
          <w:divBdr>
            <w:top w:val="none" w:sz="0" w:space="0" w:color="auto"/>
            <w:left w:val="none" w:sz="0" w:space="0" w:color="auto"/>
            <w:bottom w:val="none" w:sz="0" w:space="0" w:color="auto"/>
            <w:right w:val="none" w:sz="0" w:space="0" w:color="auto"/>
          </w:divBdr>
          <w:divsChild>
            <w:div w:id="201990304">
              <w:marLeft w:val="0"/>
              <w:marRight w:val="0"/>
              <w:marTop w:val="0"/>
              <w:marBottom w:val="0"/>
              <w:divBdr>
                <w:top w:val="none" w:sz="0" w:space="0" w:color="auto"/>
                <w:left w:val="none" w:sz="0" w:space="0" w:color="auto"/>
                <w:bottom w:val="none" w:sz="0" w:space="0" w:color="auto"/>
                <w:right w:val="none" w:sz="0" w:space="0" w:color="auto"/>
              </w:divBdr>
              <w:divsChild>
                <w:div w:id="324206679">
                  <w:marLeft w:val="0"/>
                  <w:marRight w:val="0"/>
                  <w:marTop w:val="0"/>
                  <w:marBottom w:val="0"/>
                  <w:divBdr>
                    <w:top w:val="none" w:sz="0" w:space="0" w:color="auto"/>
                    <w:left w:val="none" w:sz="0" w:space="0" w:color="auto"/>
                    <w:bottom w:val="none" w:sz="0" w:space="0" w:color="auto"/>
                    <w:right w:val="none" w:sz="0" w:space="0" w:color="auto"/>
                  </w:divBdr>
                  <w:divsChild>
                    <w:div w:id="805045112">
                      <w:marLeft w:val="0"/>
                      <w:marRight w:val="0"/>
                      <w:marTop w:val="0"/>
                      <w:marBottom w:val="300"/>
                      <w:divBdr>
                        <w:top w:val="none" w:sz="0" w:space="0" w:color="auto"/>
                        <w:left w:val="none" w:sz="0" w:space="0" w:color="auto"/>
                        <w:bottom w:val="none" w:sz="0" w:space="0" w:color="auto"/>
                        <w:right w:val="none" w:sz="0" w:space="0" w:color="auto"/>
                      </w:divBdr>
                      <w:divsChild>
                        <w:div w:id="140372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535567">
      <w:bodyDiv w:val="1"/>
      <w:marLeft w:val="0"/>
      <w:marRight w:val="0"/>
      <w:marTop w:val="0"/>
      <w:marBottom w:val="0"/>
      <w:divBdr>
        <w:top w:val="none" w:sz="0" w:space="0" w:color="auto"/>
        <w:left w:val="none" w:sz="0" w:space="0" w:color="auto"/>
        <w:bottom w:val="none" w:sz="0" w:space="0" w:color="auto"/>
        <w:right w:val="none" w:sz="0" w:space="0" w:color="auto"/>
      </w:divBdr>
      <w:divsChild>
        <w:div w:id="2050832555">
          <w:marLeft w:val="0"/>
          <w:marRight w:val="0"/>
          <w:marTop w:val="0"/>
          <w:marBottom w:val="0"/>
          <w:divBdr>
            <w:top w:val="none" w:sz="0" w:space="0" w:color="auto"/>
            <w:left w:val="single" w:sz="6" w:space="0" w:color="BBBBBB"/>
            <w:bottom w:val="single" w:sz="6" w:space="0" w:color="BBBBBB"/>
            <w:right w:val="single" w:sz="6" w:space="0" w:color="BBBBBB"/>
          </w:divBdr>
          <w:divsChild>
            <w:div w:id="1515611119">
              <w:marLeft w:val="0"/>
              <w:marRight w:val="0"/>
              <w:marTop w:val="0"/>
              <w:marBottom w:val="0"/>
              <w:divBdr>
                <w:top w:val="none" w:sz="0" w:space="0" w:color="auto"/>
                <w:left w:val="none" w:sz="0" w:space="0" w:color="auto"/>
                <w:bottom w:val="none" w:sz="0" w:space="0" w:color="auto"/>
                <w:right w:val="none" w:sz="0" w:space="0" w:color="auto"/>
              </w:divBdr>
              <w:divsChild>
                <w:div w:id="234247850">
                  <w:marLeft w:val="0"/>
                  <w:marRight w:val="0"/>
                  <w:marTop w:val="0"/>
                  <w:marBottom w:val="0"/>
                  <w:divBdr>
                    <w:top w:val="none" w:sz="0" w:space="0" w:color="auto"/>
                    <w:left w:val="none" w:sz="0" w:space="0" w:color="auto"/>
                    <w:bottom w:val="none" w:sz="0" w:space="0" w:color="auto"/>
                    <w:right w:val="none" w:sz="0" w:space="0" w:color="auto"/>
                  </w:divBdr>
                  <w:divsChild>
                    <w:div w:id="10956667">
                      <w:marLeft w:val="0"/>
                      <w:marRight w:val="0"/>
                      <w:marTop w:val="0"/>
                      <w:marBottom w:val="0"/>
                      <w:divBdr>
                        <w:top w:val="none" w:sz="0" w:space="0" w:color="auto"/>
                        <w:left w:val="none" w:sz="0" w:space="0" w:color="auto"/>
                        <w:bottom w:val="none" w:sz="0" w:space="0" w:color="auto"/>
                        <w:right w:val="none" w:sz="0" w:space="0" w:color="auto"/>
                      </w:divBdr>
                      <w:divsChild>
                        <w:div w:id="743524717">
                          <w:marLeft w:val="0"/>
                          <w:marRight w:val="0"/>
                          <w:marTop w:val="0"/>
                          <w:marBottom w:val="0"/>
                          <w:divBdr>
                            <w:top w:val="none" w:sz="0" w:space="0" w:color="auto"/>
                            <w:left w:val="none" w:sz="0" w:space="0" w:color="auto"/>
                            <w:bottom w:val="none" w:sz="0" w:space="0" w:color="auto"/>
                            <w:right w:val="none" w:sz="0" w:space="0" w:color="auto"/>
                          </w:divBdr>
                          <w:divsChild>
                            <w:div w:id="1932741468">
                              <w:marLeft w:val="0"/>
                              <w:marRight w:val="0"/>
                              <w:marTop w:val="0"/>
                              <w:marBottom w:val="0"/>
                              <w:divBdr>
                                <w:top w:val="none" w:sz="0" w:space="0" w:color="auto"/>
                                <w:left w:val="none" w:sz="0" w:space="0" w:color="auto"/>
                                <w:bottom w:val="none" w:sz="0" w:space="0" w:color="auto"/>
                                <w:right w:val="none" w:sz="0" w:space="0" w:color="auto"/>
                              </w:divBdr>
                              <w:divsChild>
                                <w:div w:id="1214847281">
                                  <w:marLeft w:val="0"/>
                                  <w:marRight w:val="0"/>
                                  <w:marTop w:val="0"/>
                                  <w:marBottom w:val="0"/>
                                  <w:divBdr>
                                    <w:top w:val="none" w:sz="0" w:space="0" w:color="auto"/>
                                    <w:left w:val="none" w:sz="0" w:space="0" w:color="auto"/>
                                    <w:bottom w:val="none" w:sz="0" w:space="0" w:color="auto"/>
                                    <w:right w:val="none" w:sz="0" w:space="0" w:color="auto"/>
                                  </w:divBdr>
                                  <w:divsChild>
                                    <w:div w:id="1788163077">
                                      <w:marLeft w:val="0"/>
                                      <w:marRight w:val="0"/>
                                      <w:marTop w:val="0"/>
                                      <w:marBottom w:val="0"/>
                                      <w:divBdr>
                                        <w:top w:val="none" w:sz="0" w:space="0" w:color="auto"/>
                                        <w:left w:val="none" w:sz="0" w:space="0" w:color="auto"/>
                                        <w:bottom w:val="none" w:sz="0" w:space="0" w:color="auto"/>
                                        <w:right w:val="none" w:sz="0" w:space="0" w:color="auto"/>
                                      </w:divBdr>
                                      <w:divsChild>
                                        <w:div w:id="1489206830">
                                          <w:marLeft w:val="1200"/>
                                          <w:marRight w:val="1200"/>
                                          <w:marTop w:val="0"/>
                                          <w:marBottom w:val="0"/>
                                          <w:divBdr>
                                            <w:top w:val="none" w:sz="0" w:space="0" w:color="auto"/>
                                            <w:left w:val="none" w:sz="0" w:space="0" w:color="auto"/>
                                            <w:bottom w:val="none" w:sz="0" w:space="0" w:color="auto"/>
                                            <w:right w:val="none" w:sz="0" w:space="0" w:color="auto"/>
                                          </w:divBdr>
                                          <w:divsChild>
                                            <w:div w:id="352151365">
                                              <w:marLeft w:val="0"/>
                                              <w:marRight w:val="0"/>
                                              <w:marTop w:val="0"/>
                                              <w:marBottom w:val="0"/>
                                              <w:divBdr>
                                                <w:top w:val="none" w:sz="0" w:space="0" w:color="auto"/>
                                                <w:left w:val="none" w:sz="0" w:space="0" w:color="auto"/>
                                                <w:bottom w:val="none" w:sz="0" w:space="0" w:color="auto"/>
                                                <w:right w:val="none" w:sz="0" w:space="0" w:color="auto"/>
                                              </w:divBdr>
                                              <w:divsChild>
                                                <w:div w:id="831070721">
                                                  <w:marLeft w:val="0"/>
                                                  <w:marRight w:val="0"/>
                                                  <w:marTop w:val="0"/>
                                                  <w:marBottom w:val="0"/>
                                                  <w:divBdr>
                                                    <w:top w:val="none" w:sz="0" w:space="0" w:color="auto"/>
                                                    <w:left w:val="none" w:sz="0" w:space="0" w:color="auto"/>
                                                    <w:bottom w:val="none" w:sz="0" w:space="0" w:color="auto"/>
                                                    <w:right w:val="none" w:sz="0" w:space="0" w:color="auto"/>
                                                  </w:divBdr>
                                                  <w:divsChild>
                                                    <w:div w:id="210507187">
                                                      <w:marLeft w:val="0"/>
                                                      <w:marRight w:val="0"/>
                                                      <w:marTop w:val="0"/>
                                                      <w:marBottom w:val="0"/>
                                                      <w:divBdr>
                                                        <w:top w:val="none" w:sz="0" w:space="0" w:color="auto"/>
                                                        <w:left w:val="none" w:sz="0" w:space="0" w:color="auto"/>
                                                        <w:bottom w:val="none" w:sz="0" w:space="0" w:color="auto"/>
                                                        <w:right w:val="none" w:sz="0" w:space="0" w:color="auto"/>
                                                      </w:divBdr>
                                                      <w:divsChild>
                                                        <w:div w:id="461772662">
                                                          <w:marLeft w:val="0"/>
                                                          <w:marRight w:val="0"/>
                                                          <w:marTop w:val="0"/>
                                                          <w:marBottom w:val="0"/>
                                                          <w:divBdr>
                                                            <w:top w:val="none" w:sz="0" w:space="0" w:color="auto"/>
                                                            <w:left w:val="none" w:sz="0" w:space="0" w:color="auto"/>
                                                            <w:bottom w:val="none" w:sz="0" w:space="0" w:color="auto"/>
                                                            <w:right w:val="none" w:sz="0" w:space="0" w:color="auto"/>
                                                          </w:divBdr>
                                                        </w:div>
                                                      </w:divsChild>
                                                    </w:div>
                                                    <w:div w:id="1792629825">
                                                      <w:marLeft w:val="0"/>
                                                      <w:marRight w:val="0"/>
                                                      <w:marTop w:val="0"/>
                                                      <w:marBottom w:val="0"/>
                                                      <w:divBdr>
                                                        <w:top w:val="none" w:sz="0" w:space="0" w:color="auto"/>
                                                        <w:left w:val="none" w:sz="0" w:space="0" w:color="auto"/>
                                                        <w:bottom w:val="none" w:sz="0" w:space="0" w:color="auto"/>
                                                        <w:right w:val="none" w:sz="0" w:space="0" w:color="auto"/>
                                                      </w:divBdr>
                                                      <w:divsChild>
                                                        <w:div w:id="72819897">
                                                          <w:marLeft w:val="0"/>
                                                          <w:marRight w:val="0"/>
                                                          <w:marTop w:val="0"/>
                                                          <w:marBottom w:val="0"/>
                                                          <w:divBdr>
                                                            <w:top w:val="none" w:sz="0" w:space="0" w:color="auto"/>
                                                            <w:left w:val="none" w:sz="0" w:space="0" w:color="auto"/>
                                                            <w:bottom w:val="none" w:sz="0" w:space="0" w:color="auto"/>
                                                            <w:right w:val="none" w:sz="0" w:space="0" w:color="auto"/>
                                                          </w:divBdr>
                                                        </w:div>
                                                      </w:divsChild>
                                                    </w:div>
                                                    <w:div w:id="1999729953">
                                                      <w:marLeft w:val="0"/>
                                                      <w:marRight w:val="0"/>
                                                      <w:marTop w:val="0"/>
                                                      <w:marBottom w:val="0"/>
                                                      <w:divBdr>
                                                        <w:top w:val="none" w:sz="0" w:space="0" w:color="auto"/>
                                                        <w:left w:val="none" w:sz="0" w:space="0" w:color="auto"/>
                                                        <w:bottom w:val="none" w:sz="0" w:space="0" w:color="auto"/>
                                                        <w:right w:val="none" w:sz="0" w:space="0" w:color="auto"/>
                                                      </w:divBdr>
                                                      <w:divsChild>
                                                        <w:div w:id="1410536599">
                                                          <w:marLeft w:val="0"/>
                                                          <w:marRight w:val="0"/>
                                                          <w:marTop w:val="0"/>
                                                          <w:marBottom w:val="0"/>
                                                          <w:divBdr>
                                                            <w:top w:val="none" w:sz="0" w:space="0" w:color="auto"/>
                                                            <w:left w:val="none" w:sz="0" w:space="0" w:color="auto"/>
                                                            <w:bottom w:val="none" w:sz="0" w:space="0" w:color="auto"/>
                                                            <w:right w:val="none" w:sz="0" w:space="0" w:color="auto"/>
                                                          </w:divBdr>
                                                        </w:div>
                                                      </w:divsChild>
                                                    </w:div>
                                                    <w:div w:id="2076052611">
                                                      <w:marLeft w:val="0"/>
                                                      <w:marRight w:val="0"/>
                                                      <w:marTop w:val="0"/>
                                                      <w:marBottom w:val="0"/>
                                                      <w:divBdr>
                                                        <w:top w:val="none" w:sz="0" w:space="0" w:color="auto"/>
                                                        <w:left w:val="none" w:sz="0" w:space="0" w:color="auto"/>
                                                        <w:bottom w:val="none" w:sz="0" w:space="0" w:color="auto"/>
                                                        <w:right w:val="none" w:sz="0" w:space="0" w:color="auto"/>
                                                      </w:divBdr>
                                                      <w:divsChild>
                                                        <w:div w:id="1032727194">
                                                          <w:marLeft w:val="0"/>
                                                          <w:marRight w:val="0"/>
                                                          <w:marTop w:val="0"/>
                                                          <w:marBottom w:val="0"/>
                                                          <w:divBdr>
                                                            <w:top w:val="none" w:sz="0" w:space="0" w:color="auto"/>
                                                            <w:left w:val="none" w:sz="0" w:space="0" w:color="auto"/>
                                                            <w:bottom w:val="none" w:sz="0" w:space="0" w:color="auto"/>
                                                            <w:right w:val="none" w:sz="0" w:space="0" w:color="auto"/>
                                                          </w:divBdr>
                                                        </w:div>
                                                      </w:divsChild>
                                                    </w:div>
                                                    <w:div w:id="2078899016">
                                                      <w:marLeft w:val="0"/>
                                                      <w:marRight w:val="0"/>
                                                      <w:marTop w:val="0"/>
                                                      <w:marBottom w:val="0"/>
                                                      <w:divBdr>
                                                        <w:top w:val="none" w:sz="0" w:space="0" w:color="auto"/>
                                                        <w:left w:val="none" w:sz="0" w:space="0" w:color="auto"/>
                                                        <w:bottom w:val="none" w:sz="0" w:space="0" w:color="auto"/>
                                                        <w:right w:val="none" w:sz="0" w:space="0" w:color="auto"/>
                                                      </w:divBdr>
                                                      <w:divsChild>
                                                        <w:div w:id="35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7280474">
      <w:bodyDiv w:val="1"/>
      <w:marLeft w:val="0"/>
      <w:marRight w:val="0"/>
      <w:marTop w:val="0"/>
      <w:marBottom w:val="0"/>
      <w:divBdr>
        <w:top w:val="none" w:sz="0" w:space="0" w:color="auto"/>
        <w:left w:val="none" w:sz="0" w:space="0" w:color="auto"/>
        <w:bottom w:val="none" w:sz="0" w:space="0" w:color="auto"/>
        <w:right w:val="none" w:sz="0" w:space="0" w:color="auto"/>
      </w:divBdr>
      <w:divsChild>
        <w:div w:id="1207134029">
          <w:marLeft w:val="0"/>
          <w:marRight w:val="0"/>
          <w:marTop w:val="0"/>
          <w:marBottom w:val="0"/>
          <w:divBdr>
            <w:top w:val="none" w:sz="0" w:space="0" w:color="auto"/>
            <w:left w:val="single" w:sz="6" w:space="0" w:color="BBBBBB"/>
            <w:bottom w:val="single" w:sz="6" w:space="0" w:color="BBBBBB"/>
            <w:right w:val="single" w:sz="6" w:space="0" w:color="BBBBBB"/>
          </w:divBdr>
          <w:divsChild>
            <w:div w:id="884098074">
              <w:marLeft w:val="0"/>
              <w:marRight w:val="0"/>
              <w:marTop w:val="0"/>
              <w:marBottom w:val="0"/>
              <w:divBdr>
                <w:top w:val="none" w:sz="0" w:space="0" w:color="auto"/>
                <w:left w:val="none" w:sz="0" w:space="0" w:color="auto"/>
                <w:bottom w:val="none" w:sz="0" w:space="0" w:color="auto"/>
                <w:right w:val="none" w:sz="0" w:space="0" w:color="auto"/>
              </w:divBdr>
              <w:divsChild>
                <w:div w:id="720330436">
                  <w:marLeft w:val="0"/>
                  <w:marRight w:val="0"/>
                  <w:marTop w:val="75"/>
                  <w:marBottom w:val="0"/>
                  <w:divBdr>
                    <w:top w:val="none" w:sz="0" w:space="0" w:color="auto"/>
                    <w:left w:val="none" w:sz="0" w:space="0" w:color="auto"/>
                    <w:bottom w:val="none" w:sz="0" w:space="0" w:color="auto"/>
                    <w:right w:val="none" w:sz="0" w:space="0" w:color="auto"/>
                  </w:divBdr>
                  <w:divsChild>
                    <w:div w:id="1340162981">
                      <w:marLeft w:val="0"/>
                      <w:marRight w:val="0"/>
                      <w:marTop w:val="0"/>
                      <w:marBottom w:val="0"/>
                      <w:divBdr>
                        <w:top w:val="none" w:sz="0" w:space="0" w:color="auto"/>
                        <w:left w:val="none" w:sz="0" w:space="0" w:color="auto"/>
                        <w:bottom w:val="none" w:sz="0" w:space="0" w:color="auto"/>
                        <w:right w:val="none" w:sz="0" w:space="0" w:color="auto"/>
                      </w:divBdr>
                      <w:divsChild>
                        <w:div w:id="472597911">
                          <w:marLeft w:val="0"/>
                          <w:marRight w:val="0"/>
                          <w:marTop w:val="0"/>
                          <w:marBottom w:val="0"/>
                          <w:divBdr>
                            <w:top w:val="none" w:sz="0" w:space="0" w:color="auto"/>
                            <w:left w:val="none" w:sz="0" w:space="0" w:color="auto"/>
                            <w:bottom w:val="none" w:sz="0" w:space="0" w:color="auto"/>
                            <w:right w:val="none" w:sz="0" w:space="0" w:color="auto"/>
                          </w:divBdr>
                          <w:divsChild>
                            <w:div w:id="52773199">
                              <w:marLeft w:val="0"/>
                              <w:marRight w:val="0"/>
                              <w:marTop w:val="0"/>
                              <w:marBottom w:val="0"/>
                              <w:divBdr>
                                <w:top w:val="none" w:sz="0" w:space="0" w:color="auto"/>
                                <w:left w:val="none" w:sz="0" w:space="0" w:color="auto"/>
                                <w:bottom w:val="none" w:sz="0" w:space="0" w:color="auto"/>
                                <w:right w:val="none" w:sz="0" w:space="0" w:color="auto"/>
                              </w:divBdr>
                              <w:divsChild>
                                <w:div w:id="689527414">
                                  <w:marLeft w:val="0"/>
                                  <w:marRight w:val="0"/>
                                  <w:marTop w:val="0"/>
                                  <w:marBottom w:val="0"/>
                                  <w:divBdr>
                                    <w:top w:val="none" w:sz="0" w:space="0" w:color="auto"/>
                                    <w:left w:val="none" w:sz="0" w:space="0" w:color="auto"/>
                                    <w:bottom w:val="none" w:sz="0" w:space="0" w:color="auto"/>
                                    <w:right w:val="none" w:sz="0" w:space="0" w:color="auto"/>
                                  </w:divBdr>
                                  <w:divsChild>
                                    <w:div w:id="20668160">
                                      <w:marLeft w:val="0"/>
                                      <w:marRight w:val="0"/>
                                      <w:marTop w:val="0"/>
                                      <w:marBottom w:val="0"/>
                                      <w:divBdr>
                                        <w:top w:val="none" w:sz="0" w:space="0" w:color="auto"/>
                                        <w:left w:val="none" w:sz="0" w:space="0" w:color="auto"/>
                                        <w:bottom w:val="none" w:sz="0" w:space="0" w:color="auto"/>
                                        <w:right w:val="none" w:sz="0" w:space="0" w:color="auto"/>
                                      </w:divBdr>
                                      <w:divsChild>
                                        <w:div w:id="782922653">
                                          <w:marLeft w:val="1200"/>
                                          <w:marRight w:val="1200"/>
                                          <w:marTop w:val="0"/>
                                          <w:marBottom w:val="0"/>
                                          <w:divBdr>
                                            <w:top w:val="none" w:sz="0" w:space="0" w:color="auto"/>
                                            <w:left w:val="none" w:sz="0" w:space="0" w:color="auto"/>
                                            <w:bottom w:val="none" w:sz="0" w:space="0" w:color="auto"/>
                                            <w:right w:val="none" w:sz="0" w:space="0" w:color="auto"/>
                                          </w:divBdr>
                                          <w:divsChild>
                                            <w:div w:id="1931041799">
                                              <w:marLeft w:val="0"/>
                                              <w:marRight w:val="0"/>
                                              <w:marTop w:val="0"/>
                                              <w:marBottom w:val="0"/>
                                              <w:divBdr>
                                                <w:top w:val="none" w:sz="0" w:space="0" w:color="auto"/>
                                                <w:left w:val="none" w:sz="0" w:space="0" w:color="auto"/>
                                                <w:bottom w:val="none" w:sz="0" w:space="0" w:color="auto"/>
                                                <w:right w:val="none" w:sz="0" w:space="0" w:color="auto"/>
                                              </w:divBdr>
                                              <w:divsChild>
                                                <w:div w:id="1134132359">
                                                  <w:marLeft w:val="0"/>
                                                  <w:marRight w:val="0"/>
                                                  <w:marTop w:val="0"/>
                                                  <w:marBottom w:val="0"/>
                                                  <w:divBdr>
                                                    <w:top w:val="none" w:sz="0" w:space="0" w:color="auto"/>
                                                    <w:left w:val="none" w:sz="0" w:space="0" w:color="auto"/>
                                                    <w:bottom w:val="none" w:sz="0" w:space="0" w:color="auto"/>
                                                    <w:right w:val="none" w:sz="0" w:space="0" w:color="auto"/>
                                                  </w:divBdr>
                                                  <w:divsChild>
                                                    <w:div w:id="873270654">
                                                      <w:marLeft w:val="0"/>
                                                      <w:marRight w:val="0"/>
                                                      <w:marTop w:val="0"/>
                                                      <w:marBottom w:val="0"/>
                                                      <w:divBdr>
                                                        <w:top w:val="none" w:sz="0" w:space="0" w:color="auto"/>
                                                        <w:left w:val="none" w:sz="0" w:space="0" w:color="auto"/>
                                                        <w:bottom w:val="none" w:sz="0" w:space="0" w:color="auto"/>
                                                        <w:right w:val="none" w:sz="0" w:space="0" w:color="auto"/>
                                                      </w:divBdr>
                                                      <w:divsChild>
                                                        <w:div w:id="1596741019">
                                                          <w:marLeft w:val="0"/>
                                                          <w:marRight w:val="0"/>
                                                          <w:marTop w:val="0"/>
                                                          <w:marBottom w:val="0"/>
                                                          <w:divBdr>
                                                            <w:top w:val="none" w:sz="0" w:space="0" w:color="auto"/>
                                                            <w:left w:val="none" w:sz="0" w:space="0" w:color="auto"/>
                                                            <w:bottom w:val="none" w:sz="0" w:space="0" w:color="auto"/>
                                                            <w:right w:val="none" w:sz="0" w:space="0" w:color="auto"/>
                                                          </w:divBdr>
                                                        </w:div>
                                                      </w:divsChild>
                                                    </w:div>
                                                    <w:div w:id="2060593734">
                                                      <w:marLeft w:val="0"/>
                                                      <w:marRight w:val="0"/>
                                                      <w:marTop w:val="0"/>
                                                      <w:marBottom w:val="0"/>
                                                      <w:divBdr>
                                                        <w:top w:val="none" w:sz="0" w:space="0" w:color="auto"/>
                                                        <w:left w:val="none" w:sz="0" w:space="0" w:color="auto"/>
                                                        <w:bottom w:val="none" w:sz="0" w:space="0" w:color="auto"/>
                                                        <w:right w:val="none" w:sz="0" w:space="0" w:color="auto"/>
                                                      </w:divBdr>
                                                      <w:divsChild>
                                                        <w:div w:id="61598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9045741">
      <w:bodyDiv w:val="1"/>
      <w:marLeft w:val="0"/>
      <w:marRight w:val="0"/>
      <w:marTop w:val="0"/>
      <w:marBottom w:val="0"/>
      <w:divBdr>
        <w:top w:val="none" w:sz="0" w:space="0" w:color="auto"/>
        <w:left w:val="none" w:sz="0" w:space="0" w:color="auto"/>
        <w:bottom w:val="none" w:sz="0" w:space="0" w:color="auto"/>
        <w:right w:val="none" w:sz="0" w:space="0" w:color="auto"/>
      </w:divBdr>
      <w:divsChild>
        <w:div w:id="1599411982">
          <w:marLeft w:val="0"/>
          <w:marRight w:val="0"/>
          <w:marTop w:val="0"/>
          <w:marBottom w:val="0"/>
          <w:divBdr>
            <w:top w:val="none" w:sz="0" w:space="0" w:color="auto"/>
            <w:left w:val="none" w:sz="0" w:space="0" w:color="auto"/>
            <w:bottom w:val="none" w:sz="0" w:space="0" w:color="auto"/>
            <w:right w:val="none" w:sz="0" w:space="0" w:color="auto"/>
          </w:divBdr>
          <w:divsChild>
            <w:div w:id="316883615">
              <w:marLeft w:val="0"/>
              <w:marRight w:val="0"/>
              <w:marTop w:val="0"/>
              <w:marBottom w:val="0"/>
              <w:divBdr>
                <w:top w:val="none" w:sz="0" w:space="0" w:color="auto"/>
                <w:left w:val="none" w:sz="0" w:space="0" w:color="auto"/>
                <w:bottom w:val="none" w:sz="0" w:space="0" w:color="auto"/>
                <w:right w:val="none" w:sz="0" w:space="0" w:color="auto"/>
              </w:divBdr>
              <w:divsChild>
                <w:div w:id="523858812">
                  <w:marLeft w:val="0"/>
                  <w:marRight w:val="0"/>
                  <w:marTop w:val="0"/>
                  <w:marBottom w:val="0"/>
                  <w:divBdr>
                    <w:top w:val="none" w:sz="0" w:space="0" w:color="auto"/>
                    <w:left w:val="none" w:sz="0" w:space="0" w:color="auto"/>
                    <w:bottom w:val="none" w:sz="0" w:space="0" w:color="auto"/>
                    <w:right w:val="none" w:sz="0" w:space="0" w:color="auto"/>
                  </w:divBdr>
                  <w:divsChild>
                    <w:div w:id="963198974">
                      <w:marLeft w:val="0"/>
                      <w:marRight w:val="0"/>
                      <w:marTop w:val="0"/>
                      <w:marBottom w:val="375"/>
                      <w:divBdr>
                        <w:top w:val="none" w:sz="0" w:space="0" w:color="auto"/>
                        <w:left w:val="none" w:sz="0" w:space="0" w:color="auto"/>
                        <w:bottom w:val="none" w:sz="0" w:space="0" w:color="auto"/>
                        <w:right w:val="none" w:sz="0" w:space="0" w:color="auto"/>
                      </w:divBdr>
                      <w:divsChild>
                        <w:div w:id="12024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474031">
      <w:bodyDiv w:val="1"/>
      <w:marLeft w:val="0"/>
      <w:marRight w:val="0"/>
      <w:marTop w:val="0"/>
      <w:marBottom w:val="0"/>
      <w:divBdr>
        <w:top w:val="none" w:sz="0" w:space="0" w:color="auto"/>
        <w:left w:val="none" w:sz="0" w:space="0" w:color="auto"/>
        <w:bottom w:val="none" w:sz="0" w:space="0" w:color="auto"/>
        <w:right w:val="none" w:sz="0" w:space="0" w:color="auto"/>
      </w:divBdr>
      <w:divsChild>
        <w:div w:id="137768276">
          <w:marLeft w:val="0"/>
          <w:marRight w:val="0"/>
          <w:marTop w:val="0"/>
          <w:marBottom w:val="0"/>
          <w:divBdr>
            <w:top w:val="none" w:sz="0" w:space="0" w:color="auto"/>
            <w:left w:val="none" w:sz="0" w:space="0" w:color="auto"/>
            <w:bottom w:val="none" w:sz="0" w:space="0" w:color="auto"/>
            <w:right w:val="none" w:sz="0" w:space="0" w:color="auto"/>
          </w:divBdr>
          <w:divsChild>
            <w:div w:id="1121418712">
              <w:marLeft w:val="0"/>
              <w:marRight w:val="0"/>
              <w:marTop w:val="0"/>
              <w:marBottom w:val="0"/>
              <w:divBdr>
                <w:top w:val="none" w:sz="0" w:space="0" w:color="auto"/>
                <w:left w:val="none" w:sz="0" w:space="0" w:color="auto"/>
                <w:bottom w:val="none" w:sz="0" w:space="0" w:color="auto"/>
                <w:right w:val="none" w:sz="0" w:space="0" w:color="auto"/>
              </w:divBdr>
              <w:divsChild>
                <w:div w:id="146823252">
                  <w:marLeft w:val="0"/>
                  <w:marRight w:val="0"/>
                  <w:marTop w:val="0"/>
                  <w:marBottom w:val="0"/>
                  <w:divBdr>
                    <w:top w:val="none" w:sz="0" w:space="0" w:color="auto"/>
                    <w:left w:val="none" w:sz="0" w:space="0" w:color="auto"/>
                    <w:bottom w:val="none" w:sz="0" w:space="0" w:color="auto"/>
                    <w:right w:val="none" w:sz="0" w:space="0" w:color="auto"/>
                  </w:divBdr>
                  <w:divsChild>
                    <w:div w:id="664670189">
                      <w:marLeft w:val="0"/>
                      <w:marRight w:val="0"/>
                      <w:marTop w:val="0"/>
                      <w:marBottom w:val="375"/>
                      <w:divBdr>
                        <w:top w:val="none" w:sz="0" w:space="0" w:color="auto"/>
                        <w:left w:val="none" w:sz="0" w:space="0" w:color="auto"/>
                        <w:bottom w:val="none" w:sz="0" w:space="0" w:color="auto"/>
                        <w:right w:val="none" w:sz="0" w:space="0" w:color="auto"/>
                      </w:divBdr>
                      <w:divsChild>
                        <w:div w:id="150169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862931">
      <w:bodyDiv w:val="1"/>
      <w:marLeft w:val="0"/>
      <w:marRight w:val="0"/>
      <w:marTop w:val="0"/>
      <w:marBottom w:val="0"/>
      <w:divBdr>
        <w:top w:val="none" w:sz="0" w:space="0" w:color="auto"/>
        <w:left w:val="none" w:sz="0" w:space="0" w:color="auto"/>
        <w:bottom w:val="none" w:sz="0" w:space="0" w:color="auto"/>
        <w:right w:val="none" w:sz="0" w:space="0" w:color="auto"/>
      </w:divBdr>
      <w:divsChild>
        <w:div w:id="864829665">
          <w:marLeft w:val="0"/>
          <w:marRight w:val="0"/>
          <w:marTop w:val="0"/>
          <w:marBottom w:val="0"/>
          <w:divBdr>
            <w:top w:val="none" w:sz="0" w:space="0" w:color="auto"/>
            <w:left w:val="none" w:sz="0" w:space="0" w:color="auto"/>
            <w:bottom w:val="none" w:sz="0" w:space="0" w:color="auto"/>
            <w:right w:val="none" w:sz="0" w:space="0" w:color="auto"/>
          </w:divBdr>
          <w:divsChild>
            <w:div w:id="253900108">
              <w:marLeft w:val="0"/>
              <w:marRight w:val="0"/>
              <w:marTop w:val="0"/>
              <w:marBottom w:val="0"/>
              <w:divBdr>
                <w:top w:val="none" w:sz="0" w:space="0" w:color="auto"/>
                <w:left w:val="none" w:sz="0" w:space="0" w:color="auto"/>
                <w:bottom w:val="none" w:sz="0" w:space="0" w:color="auto"/>
                <w:right w:val="none" w:sz="0" w:space="0" w:color="auto"/>
              </w:divBdr>
              <w:divsChild>
                <w:div w:id="1705792411">
                  <w:marLeft w:val="0"/>
                  <w:marRight w:val="0"/>
                  <w:marTop w:val="0"/>
                  <w:marBottom w:val="0"/>
                  <w:divBdr>
                    <w:top w:val="none" w:sz="0" w:space="0" w:color="auto"/>
                    <w:left w:val="none" w:sz="0" w:space="0" w:color="auto"/>
                    <w:bottom w:val="none" w:sz="0" w:space="0" w:color="auto"/>
                    <w:right w:val="none" w:sz="0" w:space="0" w:color="auto"/>
                  </w:divBdr>
                  <w:divsChild>
                    <w:div w:id="958609374">
                      <w:marLeft w:val="0"/>
                      <w:marRight w:val="0"/>
                      <w:marTop w:val="0"/>
                      <w:marBottom w:val="0"/>
                      <w:divBdr>
                        <w:top w:val="none" w:sz="0" w:space="0" w:color="auto"/>
                        <w:left w:val="none" w:sz="0" w:space="0" w:color="auto"/>
                        <w:bottom w:val="none" w:sz="0" w:space="0" w:color="auto"/>
                        <w:right w:val="none" w:sz="0" w:space="0" w:color="auto"/>
                      </w:divBdr>
                      <w:divsChild>
                        <w:div w:id="2106682263">
                          <w:marLeft w:val="0"/>
                          <w:marRight w:val="0"/>
                          <w:marTop w:val="0"/>
                          <w:marBottom w:val="0"/>
                          <w:divBdr>
                            <w:top w:val="none" w:sz="0" w:space="0" w:color="auto"/>
                            <w:left w:val="none" w:sz="0" w:space="0" w:color="auto"/>
                            <w:bottom w:val="none" w:sz="0" w:space="0" w:color="auto"/>
                            <w:right w:val="none" w:sz="0" w:space="0" w:color="auto"/>
                          </w:divBdr>
                          <w:divsChild>
                            <w:div w:id="2085638590">
                              <w:marLeft w:val="0"/>
                              <w:marRight w:val="0"/>
                              <w:marTop w:val="0"/>
                              <w:marBottom w:val="0"/>
                              <w:divBdr>
                                <w:top w:val="none" w:sz="0" w:space="0" w:color="auto"/>
                                <w:left w:val="none" w:sz="0" w:space="0" w:color="auto"/>
                                <w:bottom w:val="none" w:sz="0" w:space="0" w:color="auto"/>
                                <w:right w:val="none" w:sz="0" w:space="0" w:color="auto"/>
                              </w:divBdr>
                              <w:divsChild>
                                <w:div w:id="1346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443366">
      <w:bodyDiv w:val="1"/>
      <w:marLeft w:val="0"/>
      <w:marRight w:val="0"/>
      <w:marTop w:val="0"/>
      <w:marBottom w:val="0"/>
      <w:divBdr>
        <w:top w:val="none" w:sz="0" w:space="0" w:color="auto"/>
        <w:left w:val="none" w:sz="0" w:space="0" w:color="auto"/>
        <w:bottom w:val="none" w:sz="0" w:space="0" w:color="auto"/>
        <w:right w:val="none" w:sz="0" w:space="0" w:color="auto"/>
      </w:divBdr>
      <w:divsChild>
        <w:div w:id="1243027155">
          <w:marLeft w:val="0"/>
          <w:marRight w:val="0"/>
          <w:marTop w:val="240"/>
          <w:marBottom w:val="0"/>
          <w:divBdr>
            <w:top w:val="none" w:sz="0" w:space="0" w:color="auto"/>
            <w:left w:val="none" w:sz="0" w:space="0" w:color="auto"/>
            <w:bottom w:val="none" w:sz="0" w:space="0" w:color="auto"/>
            <w:right w:val="none" w:sz="0" w:space="0" w:color="auto"/>
          </w:divBdr>
          <w:divsChild>
            <w:div w:id="644966222">
              <w:marLeft w:val="0"/>
              <w:marRight w:val="0"/>
              <w:marTop w:val="0"/>
              <w:marBottom w:val="0"/>
              <w:divBdr>
                <w:top w:val="none" w:sz="0" w:space="0" w:color="auto"/>
                <w:left w:val="none" w:sz="0" w:space="0" w:color="auto"/>
                <w:bottom w:val="none" w:sz="0" w:space="0" w:color="auto"/>
                <w:right w:val="none" w:sz="0" w:space="0" w:color="auto"/>
              </w:divBdr>
            </w:div>
          </w:divsChild>
        </w:div>
        <w:div w:id="849681210">
          <w:marLeft w:val="0"/>
          <w:marRight w:val="0"/>
          <w:marTop w:val="240"/>
          <w:marBottom w:val="0"/>
          <w:divBdr>
            <w:top w:val="none" w:sz="0" w:space="0" w:color="auto"/>
            <w:left w:val="none" w:sz="0" w:space="0" w:color="auto"/>
            <w:bottom w:val="none" w:sz="0" w:space="0" w:color="auto"/>
            <w:right w:val="none" w:sz="0" w:space="0" w:color="auto"/>
          </w:divBdr>
          <w:divsChild>
            <w:div w:id="882408037">
              <w:marLeft w:val="0"/>
              <w:marRight w:val="0"/>
              <w:marTop w:val="0"/>
              <w:marBottom w:val="0"/>
              <w:divBdr>
                <w:top w:val="none" w:sz="0" w:space="0" w:color="auto"/>
                <w:left w:val="none" w:sz="0" w:space="0" w:color="auto"/>
                <w:bottom w:val="none" w:sz="0" w:space="0" w:color="auto"/>
                <w:right w:val="none" w:sz="0" w:space="0" w:color="auto"/>
              </w:divBdr>
            </w:div>
          </w:divsChild>
        </w:div>
        <w:div w:id="488406570">
          <w:marLeft w:val="0"/>
          <w:marRight w:val="0"/>
          <w:marTop w:val="240"/>
          <w:marBottom w:val="0"/>
          <w:divBdr>
            <w:top w:val="none" w:sz="0" w:space="0" w:color="auto"/>
            <w:left w:val="none" w:sz="0" w:space="0" w:color="auto"/>
            <w:bottom w:val="none" w:sz="0" w:space="0" w:color="auto"/>
            <w:right w:val="none" w:sz="0" w:space="0" w:color="auto"/>
          </w:divBdr>
          <w:divsChild>
            <w:div w:id="503057810">
              <w:marLeft w:val="0"/>
              <w:marRight w:val="0"/>
              <w:marTop w:val="0"/>
              <w:marBottom w:val="0"/>
              <w:divBdr>
                <w:top w:val="none" w:sz="0" w:space="0" w:color="auto"/>
                <w:left w:val="none" w:sz="0" w:space="0" w:color="auto"/>
                <w:bottom w:val="none" w:sz="0" w:space="0" w:color="auto"/>
                <w:right w:val="none" w:sz="0" w:space="0" w:color="auto"/>
              </w:divBdr>
            </w:div>
          </w:divsChild>
        </w:div>
        <w:div w:id="614286164">
          <w:marLeft w:val="0"/>
          <w:marRight w:val="0"/>
          <w:marTop w:val="240"/>
          <w:marBottom w:val="0"/>
          <w:divBdr>
            <w:top w:val="none" w:sz="0" w:space="0" w:color="auto"/>
            <w:left w:val="none" w:sz="0" w:space="0" w:color="auto"/>
            <w:bottom w:val="none" w:sz="0" w:space="0" w:color="auto"/>
            <w:right w:val="none" w:sz="0" w:space="0" w:color="auto"/>
          </w:divBdr>
          <w:divsChild>
            <w:div w:id="7923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68879">
      <w:bodyDiv w:val="1"/>
      <w:marLeft w:val="0"/>
      <w:marRight w:val="0"/>
      <w:marTop w:val="0"/>
      <w:marBottom w:val="0"/>
      <w:divBdr>
        <w:top w:val="none" w:sz="0" w:space="0" w:color="auto"/>
        <w:left w:val="none" w:sz="0" w:space="0" w:color="auto"/>
        <w:bottom w:val="none" w:sz="0" w:space="0" w:color="auto"/>
        <w:right w:val="none" w:sz="0" w:space="0" w:color="auto"/>
      </w:divBdr>
      <w:divsChild>
        <w:div w:id="1783307740">
          <w:marLeft w:val="0"/>
          <w:marRight w:val="0"/>
          <w:marTop w:val="0"/>
          <w:marBottom w:val="0"/>
          <w:divBdr>
            <w:top w:val="none" w:sz="0" w:space="0" w:color="auto"/>
            <w:left w:val="none" w:sz="0" w:space="0" w:color="auto"/>
            <w:bottom w:val="none" w:sz="0" w:space="0" w:color="auto"/>
            <w:right w:val="none" w:sz="0" w:space="0" w:color="auto"/>
          </w:divBdr>
          <w:divsChild>
            <w:div w:id="510410038">
              <w:marLeft w:val="0"/>
              <w:marRight w:val="0"/>
              <w:marTop w:val="0"/>
              <w:marBottom w:val="0"/>
              <w:divBdr>
                <w:top w:val="none" w:sz="0" w:space="0" w:color="auto"/>
                <w:left w:val="none" w:sz="0" w:space="0" w:color="auto"/>
                <w:bottom w:val="none" w:sz="0" w:space="0" w:color="auto"/>
                <w:right w:val="none" w:sz="0" w:space="0" w:color="auto"/>
              </w:divBdr>
              <w:divsChild>
                <w:div w:id="471488599">
                  <w:marLeft w:val="0"/>
                  <w:marRight w:val="0"/>
                  <w:marTop w:val="0"/>
                  <w:marBottom w:val="0"/>
                  <w:divBdr>
                    <w:top w:val="none" w:sz="0" w:space="0" w:color="auto"/>
                    <w:left w:val="none" w:sz="0" w:space="0" w:color="auto"/>
                    <w:bottom w:val="none" w:sz="0" w:space="0" w:color="auto"/>
                    <w:right w:val="none" w:sz="0" w:space="0" w:color="auto"/>
                  </w:divBdr>
                  <w:divsChild>
                    <w:div w:id="1236815258">
                      <w:marLeft w:val="0"/>
                      <w:marRight w:val="0"/>
                      <w:marTop w:val="0"/>
                      <w:marBottom w:val="300"/>
                      <w:divBdr>
                        <w:top w:val="none" w:sz="0" w:space="0" w:color="auto"/>
                        <w:left w:val="none" w:sz="0" w:space="0" w:color="auto"/>
                        <w:bottom w:val="none" w:sz="0" w:space="0" w:color="auto"/>
                        <w:right w:val="none" w:sz="0" w:space="0" w:color="auto"/>
                      </w:divBdr>
                      <w:divsChild>
                        <w:div w:id="201853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219759">
      <w:bodyDiv w:val="1"/>
      <w:marLeft w:val="0"/>
      <w:marRight w:val="0"/>
      <w:marTop w:val="0"/>
      <w:marBottom w:val="0"/>
      <w:divBdr>
        <w:top w:val="none" w:sz="0" w:space="0" w:color="auto"/>
        <w:left w:val="none" w:sz="0" w:space="0" w:color="auto"/>
        <w:bottom w:val="none" w:sz="0" w:space="0" w:color="auto"/>
        <w:right w:val="none" w:sz="0" w:space="0" w:color="auto"/>
      </w:divBdr>
      <w:divsChild>
        <w:div w:id="744030335">
          <w:marLeft w:val="0"/>
          <w:marRight w:val="0"/>
          <w:marTop w:val="0"/>
          <w:marBottom w:val="0"/>
          <w:divBdr>
            <w:top w:val="none" w:sz="0" w:space="0" w:color="auto"/>
            <w:left w:val="single" w:sz="6" w:space="0" w:color="BBBBBB"/>
            <w:bottom w:val="single" w:sz="6" w:space="0" w:color="BBBBBB"/>
            <w:right w:val="single" w:sz="6" w:space="0" w:color="BBBBBB"/>
          </w:divBdr>
          <w:divsChild>
            <w:div w:id="1223444383">
              <w:marLeft w:val="0"/>
              <w:marRight w:val="0"/>
              <w:marTop w:val="0"/>
              <w:marBottom w:val="0"/>
              <w:divBdr>
                <w:top w:val="none" w:sz="0" w:space="0" w:color="auto"/>
                <w:left w:val="none" w:sz="0" w:space="0" w:color="auto"/>
                <w:bottom w:val="none" w:sz="0" w:space="0" w:color="auto"/>
                <w:right w:val="none" w:sz="0" w:space="0" w:color="auto"/>
              </w:divBdr>
              <w:divsChild>
                <w:div w:id="524370991">
                  <w:marLeft w:val="0"/>
                  <w:marRight w:val="0"/>
                  <w:marTop w:val="75"/>
                  <w:marBottom w:val="0"/>
                  <w:divBdr>
                    <w:top w:val="none" w:sz="0" w:space="0" w:color="auto"/>
                    <w:left w:val="none" w:sz="0" w:space="0" w:color="auto"/>
                    <w:bottom w:val="none" w:sz="0" w:space="0" w:color="auto"/>
                    <w:right w:val="none" w:sz="0" w:space="0" w:color="auto"/>
                  </w:divBdr>
                  <w:divsChild>
                    <w:div w:id="2065714302">
                      <w:marLeft w:val="0"/>
                      <w:marRight w:val="0"/>
                      <w:marTop w:val="0"/>
                      <w:marBottom w:val="0"/>
                      <w:divBdr>
                        <w:top w:val="none" w:sz="0" w:space="0" w:color="auto"/>
                        <w:left w:val="none" w:sz="0" w:space="0" w:color="auto"/>
                        <w:bottom w:val="none" w:sz="0" w:space="0" w:color="auto"/>
                        <w:right w:val="none" w:sz="0" w:space="0" w:color="auto"/>
                      </w:divBdr>
                      <w:divsChild>
                        <w:div w:id="1578519981">
                          <w:marLeft w:val="0"/>
                          <w:marRight w:val="0"/>
                          <w:marTop w:val="0"/>
                          <w:marBottom w:val="0"/>
                          <w:divBdr>
                            <w:top w:val="none" w:sz="0" w:space="0" w:color="auto"/>
                            <w:left w:val="none" w:sz="0" w:space="0" w:color="auto"/>
                            <w:bottom w:val="none" w:sz="0" w:space="0" w:color="auto"/>
                            <w:right w:val="none" w:sz="0" w:space="0" w:color="auto"/>
                          </w:divBdr>
                          <w:divsChild>
                            <w:div w:id="163784232">
                              <w:marLeft w:val="0"/>
                              <w:marRight w:val="0"/>
                              <w:marTop w:val="0"/>
                              <w:marBottom w:val="0"/>
                              <w:divBdr>
                                <w:top w:val="none" w:sz="0" w:space="0" w:color="auto"/>
                                <w:left w:val="none" w:sz="0" w:space="0" w:color="auto"/>
                                <w:bottom w:val="none" w:sz="0" w:space="0" w:color="auto"/>
                                <w:right w:val="none" w:sz="0" w:space="0" w:color="auto"/>
                              </w:divBdr>
                              <w:divsChild>
                                <w:div w:id="1831940083">
                                  <w:marLeft w:val="0"/>
                                  <w:marRight w:val="0"/>
                                  <w:marTop w:val="0"/>
                                  <w:marBottom w:val="0"/>
                                  <w:divBdr>
                                    <w:top w:val="none" w:sz="0" w:space="0" w:color="auto"/>
                                    <w:left w:val="none" w:sz="0" w:space="0" w:color="auto"/>
                                    <w:bottom w:val="none" w:sz="0" w:space="0" w:color="auto"/>
                                    <w:right w:val="none" w:sz="0" w:space="0" w:color="auto"/>
                                  </w:divBdr>
                                  <w:divsChild>
                                    <w:div w:id="574971139">
                                      <w:marLeft w:val="0"/>
                                      <w:marRight w:val="0"/>
                                      <w:marTop w:val="0"/>
                                      <w:marBottom w:val="0"/>
                                      <w:divBdr>
                                        <w:top w:val="none" w:sz="0" w:space="0" w:color="auto"/>
                                        <w:left w:val="none" w:sz="0" w:space="0" w:color="auto"/>
                                        <w:bottom w:val="none" w:sz="0" w:space="0" w:color="auto"/>
                                        <w:right w:val="none" w:sz="0" w:space="0" w:color="auto"/>
                                      </w:divBdr>
                                      <w:divsChild>
                                        <w:div w:id="725110747">
                                          <w:marLeft w:val="1200"/>
                                          <w:marRight w:val="1200"/>
                                          <w:marTop w:val="0"/>
                                          <w:marBottom w:val="0"/>
                                          <w:divBdr>
                                            <w:top w:val="none" w:sz="0" w:space="0" w:color="auto"/>
                                            <w:left w:val="none" w:sz="0" w:space="0" w:color="auto"/>
                                            <w:bottom w:val="none" w:sz="0" w:space="0" w:color="auto"/>
                                            <w:right w:val="none" w:sz="0" w:space="0" w:color="auto"/>
                                          </w:divBdr>
                                          <w:divsChild>
                                            <w:div w:id="1404718754">
                                              <w:marLeft w:val="0"/>
                                              <w:marRight w:val="0"/>
                                              <w:marTop w:val="0"/>
                                              <w:marBottom w:val="0"/>
                                              <w:divBdr>
                                                <w:top w:val="none" w:sz="0" w:space="0" w:color="auto"/>
                                                <w:left w:val="none" w:sz="0" w:space="0" w:color="auto"/>
                                                <w:bottom w:val="none" w:sz="0" w:space="0" w:color="auto"/>
                                                <w:right w:val="none" w:sz="0" w:space="0" w:color="auto"/>
                                              </w:divBdr>
                                              <w:divsChild>
                                                <w:div w:id="1040665692">
                                                  <w:marLeft w:val="0"/>
                                                  <w:marRight w:val="0"/>
                                                  <w:marTop w:val="0"/>
                                                  <w:marBottom w:val="0"/>
                                                  <w:divBdr>
                                                    <w:top w:val="none" w:sz="0" w:space="0" w:color="auto"/>
                                                    <w:left w:val="none" w:sz="0" w:space="0" w:color="auto"/>
                                                    <w:bottom w:val="none" w:sz="0" w:space="0" w:color="auto"/>
                                                    <w:right w:val="none" w:sz="0" w:space="0" w:color="auto"/>
                                                  </w:divBdr>
                                                  <w:divsChild>
                                                    <w:div w:id="98919177">
                                                      <w:marLeft w:val="0"/>
                                                      <w:marRight w:val="0"/>
                                                      <w:marTop w:val="0"/>
                                                      <w:marBottom w:val="0"/>
                                                      <w:divBdr>
                                                        <w:top w:val="none" w:sz="0" w:space="0" w:color="auto"/>
                                                        <w:left w:val="none" w:sz="0" w:space="0" w:color="auto"/>
                                                        <w:bottom w:val="none" w:sz="0" w:space="0" w:color="auto"/>
                                                        <w:right w:val="none" w:sz="0" w:space="0" w:color="auto"/>
                                                      </w:divBdr>
                                                      <w:divsChild>
                                                        <w:div w:id="139272478">
                                                          <w:marLeft w:val="0"/>
                                                          <w:marRight w:val="0"/>
                                                          <w:marTop w:val="0"/>
                                                          <w:marBottom w:val="0"/>
                                                          <w:divBdr>
                                                            <w:top w:val="none" w:sz="0" w:space="0" w:color="auto"/>
                                                            <w:left w:val="none" w:sz="0" w:space="0" w:color="auto"/>
                                                            <w:bottom w:val="none" w:sz="0" w:space="0" w:color="auto"/>
                                                            <w:right w:val="none" w:sz="0" w:space="0" w:color="auto"/>
                                                          </w:divBdr>
                                                        </w:div>
                                                      </w:divsChild>
                                                    </w:div>
                                                    <w:div w:id="361706612">
                                                      <w:marLeft w:val="0"/>
                                                      <w:marRight w:val="0"/>
                                                      <w:marTop w:val="0"/>
                                                      <w:marBottom w:val="0"/>
                                                      <w:divBdr>
                                                        <w:top w:val="none" w:sz="0" w:space="0" w:color="auto"/>
                                                        <w:left w:val="none" w:sz="0" w:space="0" w:color="auto"/>
                                                        <w:bottom w:val="none" w:sz="0" w:space="0" w:color="auto"/>
                                                        <w:right w:val="none" w:sz="0" w:space="0" w:color="auto"/>
                                                      </w:divBdr>
                                                      <w:divsChild>
                                                        <w:div w:id="2092388975">
                                                          <w:marLeft w:val="0"/>
                                                          <w:marRight w:val="0"/>
                                                          <w:marTop w:val="0"/>
                                                          <w:marBottom w:val="0"/>
                                                          <w:divBdr>
                                                            <w:top w:val="none" w:sz="0" w:space="0" w:color="auto"/>
                                                            <w:left w:val="none" w:sz="0" w:space="0" w:color="auto"/>
                                                            <w:bottom w:val="none" w:sz="0" w:space="0" w:color="auto"/>
                                                            <w:right w:val="none" w:sz="0" w:space="0" w:color="auto"/>
                                                          </w:divBdr>
                                                        </w:div>
                                                      </w:divsChild>
                                                    </w:div>
                                                    <w:div w:id="1110853429">
                                                      <w:marLeft w:val="0"/>
                                                      <w:marRight w:val="0"/>
                                                      <w:marTop w:val="0"/>
                                                      <w:marBottom w:val="0"/>
                                                      <w:divBdr>
                                                        <w:top w:val="none" w:sz="0" w:space="0" w:color="auto"/>
                                                        <w:left w:val="none" w:sz="0" w:space="0" w:color="auto"/>
                                                        <w:bottom w:val="none" w:sz="0" w:space="0" w:color="auto"/>
                                                        <w:right w:val="none" w:sz="0" w:space="0" w:color="auto"/>
                                                      </w:divBdr>
                                                      <w:divsChild>
                                                        <w:div w:id="1709144411">
                                                          <w:marLeft w:val="0"/>
                                                          <w:marRight w:val="0"/>
                                                          <w:marTop w:val="0"/>
                                                          <w:marBottom w:val="0"/>
                                                          <w:divBdr>
                                                            <w:top w:val="none" w:sz="0" w:space="0" w:color="auto"/>
                                                            <w:left w:val="none" w:sz="0" w:space="0" w:color="auto"/>
                                                            <w:bottom w:val="none" w:sz="0" w:space="0" w:color="auto"/>
                                                            <w:right w:val="none" w:sz="0" w:space="0" w:color="auto"/>
                                                          </w:divBdr>
                                                        </w:div>
                                                      </w:divsChild>
                                                    </w:div>
                                                    <w:div w:id="1493569718">
                                                      <w:marLeft w:val="0"/>
                                                      <w:marRight w:val="0"/>
                                                      <w:marTop w:val="0"/>
                                                      <w:marBottom w:val="0"/>
                                                      <w:divBdr>
                                                        <w:top w:val="none" w:sz="0" w:space="0" w:color="auto"/>
                                                        <w:left w:val="none" w:sz="0" w:space="0" w:color="auto"/>
                                                        <w:bottom w:val="none" w:sz="0" w:space="0" w:color="auto"/>
                                                        <w:right w:val="none" w:sz="0" w:space="0" w:color="auto"/>
                                                      </w:divBdr>
                                                      <w:divsChild>
                                                        <w:div w:id="1767924158">
                                                          <w:marLeft w:val="0"/>
                                                          <w:marRight w:val="0"/>
                                                          <w:marTop w:val="0"/>
                                                          <w:marBottom w:val="0"/>
                                                          <w:divBdr>
                                                            <w:top w:val="none" w:sz="0" w:space="0" w:color="auto"/>
                                                            <w:left w:val="none" w:sz="0" w:space="0" w:color="auto"/>
                                                            <w:bottom w:val="none" w:sz="0" w:space="0" w:color="auto"/>
                                                            <w:right w:val="none" w:sz="0" w:space="0" w:color="auto"/>
                                                          </w:divBdr>
                                                        </w:div>
                                                      </w:divsChild>
                                                    </w:div>
                                                    <w:div w:id="1612591584">
                                                      <w:marLeft w:val="0"/>
                                                      <w:marRight w:val="0"/>
                                                      <w:marTop w:val="0"/>
                                                      <w:marBottom w:val="0"/>
                                                      <w:divBdr>
                                                        <w:top w:val="none" w:sz="0" w:space="0" w:color="auto"/>
                                                        <w:left w:val="none" w:sz="0" w:space="0" w:color="auto"/>
                                                        <w:bottom w:val="none" w:sz="0" w:space="0" w:color="auto"/>
                                                        <w:right w:val="none" w:sz="0" w:space="0" w:color="auto"/>
                                                      </w:divBdr>
                                                      <w:divsChild>
                                                        <w:div w:id="314146590">
                                                          <w:marLeft w:val="0"/>
                                                          <w:marRight w:val="0"/>
                                                          <w:marTop w:val="0"/>
                                                          <w:marBottom w:val="0"/>
                                                          <w:divBdr>
                                                            <w:top w:val="none" w:sz="0" w:space="0" w:color="auto"/>
                                                            <w:left w:val="none" w:sz="0" w:space="0" w:color="auto"/>
                                                            <w:bottom w:val="none" w:sz="0" w:space="0" w:color="auto"/>
                                                            <w:right w:val="none" w:sz="0" w:space="0" w:color="auto"/>
                                                          </w:divBdr>
                                                        </w:div>
                                                      </w:divsChild>
                                                    </w:div>
                                                    <w:div w:id="1631353613">
                                                      <w:marLeft w:val="0"/>
                                                      <w:marRight w:val="0"/>
                                                      <w:marTop w:val="0"/>
                                                      <w:marBottom w:val="0"/>
                                                      <w:divBdr>
                                                        <w:top w:val="none" w:sz="0" w:space="0" w:color="auto"/>
                                                        <w:left w:val="none" w:sz="0" w:space="0" w:color="auto"/>
                                                        <w:bottom w:val="none" w:sz="0" w:space="0" w:color="auto"/>
                                                        <w:right w:val="none" w:sz="0" w:space="0" w:color="auto"/>
                                                      </w:divBdr>
                                                      <w:divsChild>
                                                        <w:div w:id="13433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0781">
                                                  <w:marLeft w:val="0"/>
                                                  <w:marRight w:val="0"/>
                                                  <w:marTop w:val="0"/>
                                                  <w:marBottom w:val="0"/>
                                                  <w:divBdr>
                                                    <w:top w:val="none" w:sz="0" w:space="0" w:color="auto"/>
                                                    <w:left w:val="none" w:sz="0" w:space="0" w:color="auto"/>
                                                    <w:bottom w:val="none" w:sz="0" w:space="0" w:color="auto"/>
                                                    <w:right w:val="none" w:sz="0" w:space="0" w:color="auto"/>
                                                  </w:divBdr>
                                                  <w:divsChild>
                                                    <w:div w:id="922565585">
                                                      <w:marLeft w:val="0"/>
                                                      <w:marRight w:val="0"/>
                                                      <w:marTop w:val="0"/>
                                                      <w:marBottom w:val="0"/>
                                                      <w:divBdr>
                                                        <w:top w:val="none" w:sz="0" w:space="0" w:color="auto"/>
                                                        <w:left w:val="none" w:sz="0" w:space="0" w:color="auto"/>
                                                        <w:bottom w:val="none" w:sz="0" w:space="0" w:color="auto"/>
                                                        <w:right w:val="none" w:sz="0" w:space="0" w:color="auto"/>
                                                      </w:divBdr>
                                                      <w:divsChild>
                                                        <w:div w:id="54545853">
                                                          <w:marLeft w:val="0"/>
                                                          <w:marRight w:val="0"/>
                                                          <w:marTop w:val="0"/>
                                                          <w:marBottom w:val="0"/>
                                                          <w:divBdr>
                                                            <w:top w:val="none" w:sz="0" w:space="0" w:color="auto"/>
                                                            <w:left w:val="none" w:sz="0" w:space="0" w:color="auto"/>
                                                            <w:bottom w:val="none" w:sz="0" w:space="0" w:color="auto"/>
                                                            <w:right w:val="none" w:sz="0" w:space="0" w:color="auto"/>
                                                          </w:divBdr>
                                                        </w:div>
                                                        <w:div w:id="157967639">
                                                          <w:marLeft w:val="0"/>
                                                          <w:marRight w:val="0"/>
                                                          <w:marTop w:val="0"/>
                                                          <w:marBottom w:val="0"/>
                                                          <w:divBdr>
                                                            <w:top w:val="none" w:sz="0" w:space="0" w:color="auto"/>
                                                            <w:left w:val="none" w:sz="0" w:space="0" w:color="auto"/>
                                                            <w:bottom w:val="none" w:sz="0" w:space="0" w:color="auto"/>
                                                            <w:right w:val="none" w:sz="0" w:space="0" w:color="auto"/>
                                                          </w:divBdr>
                                                        </w:div>
                                                        <w:div w:id="752897260">
                                                          <w:marLeft w:val="0"/>
                                                          <w:marRight w:val="0"/>
                                                          <w:marTop w:val="0"/>
                                                          <w:marBottom w:val="0"/>
                                                          <w:divBdr>
                                                            <w:top w:val="none" w:sz="0" w:space="0" w:color="auto"/>
                                                            <w:left w:val="none" w:sz="0" w:space="0" w:color="auto"/>
                                                            <w:bottom w:val="none" w:sz="0" w:space="0" w:color="auto"/>
                                                            <w:right w:val="none" w:sz="0" w:space="0" w:color="auto"/>
                                                          </w:divBdr>
                                                          <w:divsChild>
                                                            <w:div w:id="1339233716">
                                                              <w:marLeft w:val="0"/>
                                                              <w:marRight w:val="0"/>
                                                              <w:marTop w:val="0"/>
                                                              <w:marBottom w:val="0"/>
                                                              <w:divBdr>
                                                                <w:top w:val="none" w:sz="0" w:space="0" w:color="auto"/>
                                                                <w:left w:val="none" w:sz="0" w:space="0" w:color="auto"/>
                                                                <w:bottom w:val="none" w:sz="0" w:space="0" w:color="auto"/>
                                                                <w:right w:val="none" w:sz="0" w:space="0" w:color="auto"/>
                                                              </w:divBdr>
                                                              <w:divsChild>
                                                                <w:div w:id="1505778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3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3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9722839">
      <w:bodyDiv w:val="1"/>
      <w:marLeft w:val="0"/>
      <w:marRight w:val="0"/>
      <w:marTop w:val="0"/>
      <w:marBottom w:val="0"/>
      <w:divBdr>
        <w:top w:val="none" w:sz="0" w:space="0" w:color="auto"/>
        <w:left w:val="none" w:sz="0" w:space="0" w:color="auto"/>
        <w:bottom w:val="none" w:sz="0" w:space="0" w:color="auto"/>
        <w:right w:val="none" w:sz="0" w:space="0" w:color="auto"/>
      </w:divBdr>
      <w:divsChild>
        <w:div w:id="878053173">
          <w:marLeft w:val="0"/>
          <w:marRight w:val="0"/>
          <w:marTop w:val="0"/>
          <w:marBottom w:val="0"/>
          <w:divBdr>
            <w:top w:val="none" w:sz="0" w:space="0" w:color="auto"/>
            <w:left w:val="none" w:sz="0" w:space="0" w:color="auto"/>
            <w:bottom w:val="none" w:sz="0" w:space="0" w:color="auto"/>
            <w:right w:val="none" w:sz="0" w:space="0" w:color="auto"/>
          </w:divBdr>
          <w:divsChild>
            <w:div w:id="1317370079">
              <w:marLeft w:val="0"/>
              <w:marRight w:val="0"/>
              <w:marTop w:val="0"/>
              <w:marBottom w:val="0"/>
              <w:divBdr>
                <w:top w:val="none" w:sz="0" w:space="0" w:color="auto"/>
                <w:left w:val="none" w:sz="0" w:space="0" w:color="auto"/>
                <w:bottom w:val="none" w:sz="0" w:space="0" w:color="auto"/>
                <w:right w:val="none" w:sz="0" w:space="0" w:color="auto"/>
              </w:divBdr>
              <w:divsChild>
                <w:div w:id="1139803015">
                  <w:marLeft w:val="0"/>
                  <w:marRight w:val="0"/>
                  <w:marTop w:val="0"/>
                  <w:marBottom w:val="0"/>
                  <w:divBdr>
                    <w:top w:val="none" w:sz="0" w:space="0" w:color="auto"/>
                    <w:left w:val="none" w:sz="0" w:space="0" w:color="auto"/>
                    <w:bottom w:val="none" w:sz="0" w:space="0" w:color="auto"/>
                    <w:right w:val="none" w:sz="0" w:space="0" w:color="auto"/>
                  </w:divBdr>
                  <w:divsChild>
                    <w:div w:id="1098647214">
                      <w:marLeft w:val="0"/>
                      <w:marRight w:val="0"/>
                      <w:marTop w:val="0"/>
                      <w:marBottom w:val="300"/>
                      <w:divBdr>
                        <w:top w:val="none" w:sz="0" w:space="0" w:color="auto"/>
                        <w:left w:val="none" w:sz="0" w:space="0" w:color="auto"/>
                        <w:bottom w:val="none" w:sz="0" w:space="0" w:color="auto"/>
                        <w:right w:val="none" w:sz="0" w:space="0" w:color="auto"/>
                      </w:divBdr>
                      <w:divsChild>
                        <w:div w:id="151526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846426">
      <w:bodyDiv w:val="1"/>
      <w:marLeft w:val="0"/>
      <w:marRight w:val="0"/>
      <w:marTop w:val="0"/>
      <w:marBottom w:val="0"/>
      <w:divBdr>
        <w:top w:val="none" w:sz="0" w:space="0" w:color="auto"/>
        <w:left w:val="none" w:sz="0" w:space="0" w:color="auto"/>
        <w:bottom w:val="none" w:sz="0" w:space="0" w:color="auto"/>
        <w:right w:val="none" w:sz="0" w:space="0" w:color="auto"/>
      </w:divBdr>
      <w:divsChild>
        <w:div w:id="493299959">
          <w:marLeft w:val="0"/>
          <w:marRight w:val="0"/>
          <w:marTop w:val="0"/>
          <w:marBottom w:val="0"/>
          <w:divBdr>
            <w:top w:val="none" w:sz="0" w:space="0" w:color="auto"/>
            <w:left w:val="none" w:sz="0" w:space="0" w:color="auto"/>
            <w:bottom w:val="none" w:sz="0" w:space="0" w:color="auto"/>
            <w:right w:val="none" w:sz="0" w:space="0" w:color="auto"/>
          </w:divBdr>
          <w:divsChild>
            <w:div w:id="889658444">
              <w:marLeft w:val="0"/>
              <w:marRight w:val="0"/>
              <w:marTop w:val="0"/>
              <w:marBottom w:val="0"/>
              <w:divBdr>
                <w:top w:val="none" w:sz="0" w:space="0" w:color="auto"/>
                <w:left w:val="none" w:sz="0" w:space="0" w:color="auto"/>
                <w:bottom w:val="none" w:sz="0" w:space="0" w:color="auto"/>
                <w:right w:val="none" w:sz="0" w:space="0" w:color="auto"/>
              </w:divBdr>
              <w:divsChild>
                <w:div w:id="1988053579">
                  <w:marLeft w:val="0"/>
                  <w:marRight w:val="0"/>
                  <w:marTop w:val="0"/>
                  <w:marBottom w:val="0"/>
                  <w:divBdr>
                    <w:top w:val="none" w:sz="0" w:space="0" w:color="auto"/>
                    <w:left w:val="none" w:sz="0" w:space="0" w:color="auto"/>
                    <w:bottom w:val="none" w:sz="0" w:space="0" w:color="auto"/>
                    <w:right w:val="none" w:sz="0" w:space="0" w:color="auto"/>
                  </w:divBdr>
                  <w:divsChild>
                    <w:div w:id="1618373776">
                      <w:marLeft w:val="0"/>
                      <w:marRight w:val="0"/>
                      <w:marTop w:val="0"/>
                      <w:marBottom w:val="375"/>
                      <w:divBdr>
                        <w:top w:val="none" w:sz="0" w:space="0" w:color="auto"/>
                        <w:left w:val="none" w:sz="0" w:space="0" w:color="auto"/>
                        <w:bottom w:val="none" w:sz="0" w:space="0" w:color="auto"/>
                        <w:right w:val="none" w:sz="0" w:space="0" w:color="auto"/>
                      </w:divBdr>
                      <w:divsChild>
                        <w:div w:id="20111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782940">
      <w:bodyDiv w:val="1"/>
      <w:marLeft w:val="0"/>
      <w:marRight w:val="0"/>
      <w:marTop w:val="0"/>
      <w:marBottom w:val="0"/>
      <w:divBdr>
        <w:top w:val="none" w:sz="0" w:space="0" w:color="auto"/>
        <w:left w:val="none" w:sz="0" w:space="0" w:color="auto"/>
        <w:bottom w:val="none" w:sz="0" w:space="0" w:color="auto"/>
        <w:right w:val="none" w:sz="0" w:space="0" w:color="auto"/>
      </w:divBdr>
      <w:divsChild>
        <w:div w:id="755857804">
          <w:marLeft w:val="0"/>
          <w:marRight w:val="0"/>
          <w:marTop w:val="0"/>
          <w:marBottom w:val="0"/>
          <w:divBdr>
            <w:top w:val="none" w:sz="0" w:space="0" w:color="auto"/>
            <w:left w:val="none" w:sz="0" w:space="0" w:color="auto"/>
            <w:bottom w:val="none" w:sz="0" w:space="0" w:color="auto"/>
            <w:right w:val="none" w:sz="0" w:space="0" w:color="auto"/>
          </w:divBdr>
          <w:divsChild>
            <w:div w:id="893539699">
              <w:marLeft w:val="0"/>
              <w:marRight w:val="0"/>
              <w:marTop w:val="0"/>
              <w:marBottom w:val="0"/>
              <w:divBdr>
                <w:top w:val="none" w:sz="0" w:space="0" w:color="auto"/>
                <w:left w:val="none" w:sz="0" w:space="0" w:color="auto"/>
                <w:bottom w:val="none" w:sz="0" w:space="0" w:color="auto"/>
                <w:right w:val="none" w:sz="0" w:space="0" w:color="auto"/>
              </w:divBdr>
              <w:divsChild>
                <w:div w:id="59789526">
                  <w:marLeft w:val="0"/>
                  <w:marRight w:val="0"/>
                  <w:marTop w:val="0"/>
                  <w:marBottom w:val="0"/>
                  <w:divBdr>
                    <w:top w:val="none" w:sz="0" w:space="0" w:color="auto"/>
                    <w:left w:val="none" w:sz="0" w:space="0" w:color="auto"/>
                    <w:bottom w:val="none" w:sz="0" w:space="0" w:color="auto"/>
                    <w:right w:val="none" w:sz="0" w:space="0" w:color="auto"/>
                  </w:divBdr>
                  <w:divsChild>
                    <w:div w:id="1638220815">
                      <w:marLeft w:val="0"/>
                      <w:marRight w:val="0"/>
                      <w:marTop w:val="0"/>
                      <w:marBottom w:val="300"/>
                      <w:divBdr>
                        <w:top w:val="none" w:sz="0" w:space="0" w:color="auto"/>
                        <w:left w:val="none" w:sz="0" w:space="0" w:color="auto"/>
                        <w:bottom w:val="none" w:sz="0" w:space="0" w:color="auto"/>
                        <w:right w:val="none" w:sz="0" w:space="0" w:color="auto"/>
                      </w:divBdr>
                      <w:divsChild>
                        <w:div w:id="20944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82690">
      <w:bodyDiv w:val="1"/>
      <w:marLeft w:val="0"/>
      <w:marRight w:val="0"/>
      <w:marTop w:val="0"/>
      <w:marBottom w:val="0"/>
      <w:divBdr>
        <w:top w:val="none" w:sz="0" w:space="0" w:color="auto"/>
        <w:left w:val="none" w:sz="0" w:space="0" w:color="auto"/>
        <w:bottom w:val="none" w:sz="0" w:space="0" w:color="auto"/>
        <w:right w:val="none" w:sz="0" w:space="0" w:color="auto"/>
      </w:divBdr>
      <w:divsChild>
        <w:div w:id="225263711">
          <w:marLeft w:val="0"/>
          <w:marRight w:val="0"/>
          <w:marTop w:val="0"/>
          <w:marBottom w:val="0"/>
          <w:divBdr>
            <w:top w:val="none" w:sz="0" w:space="0" w:color="auto"/>
            <w:left w:val="single" w:sz="6" w:space="0" w:color="BBBBBB"/>
            <w:bottom w:val="single" w:sz="6" w:space="0" w:color="BBBBBB"/>
            <w:right w:val="single" w:sz="6" w:space="0" w:color="BBBBBB"/>
          </w:divBdr>
          <w:divsChild>
            <w:div w:id="1690985930">
              <w:marLeft w:val="0"/>
              <w:marRight w:val="0"/>
              <w:marTop w:val="0"/>
              <w:marBottom w:val="0"/>
              <w:divBdr>
                <w:top w:val="none" w:sz="0" w:space="0" w:color="auto"/>
                <w:left w:val="none" w:sz="0" w:space="0" w:color="auto"/>
                <w:bottom w:val="none" w:sz="0" w:space="0" w:color="auto"/>
                <w:right w:val="none" w:sz="0" w:space="0" w:color="auto"/>
              </w:divBdr>
              <w:divsChild>
                <w:div w:id="697780432">
                  <w:marLeft w:val="0"/>
                  <w:marRight w:val="0"/>
                  <w:marTop w:val="75"/>
                  <w:marBottom w:val="0"/>
                  <w:divBdr>
                    <w:top w:val="none" w:sz="0" w:space="0" w:color="auto"/>
                    <w:left w:val="none" w:sz="0" w:space="0" w:color="auto"/>
                    <w:bottom w:val="none" w:sz="0" w:space="0" w:color="auto"/>
                    <w:right w:val="none" w:sz="0" w:space="0" w:color="auto"/>
                  </w:divBdr>
                  <w:divsChild>
                    <w:div w:id="1086685050">
                      <w:marLeft w:val="0"/>
                      <w:marRight w:val="0"/>
                      <w:marTop w:val="0"/>
                      <w:marBottom w:val="0"/>
                      <w:divBdr>
                        <w:top w:val="none" w:sz="0" w:space="0" w:color="auto"/>
                        <w:left w:val="none" w:sz="0" w:space="0" w:color="auto"/>
                        <w:bottom w:val="none" w:sz="0" w:space="0" w:color="auto"/>
                        <w:right w:val="none" w:sz="0" w:space="0" w:color="auto"/>
                      </w:divBdr>
                      <w:divsChild>
                        <w:div w:id="2140803492">
                          <w:marLeft w:val="0"/>
                          <w:marRight w:val="0"/>
                          <w:marTop w:val="0"/>
                          <w:marBottom w:val="0"/>
                          <w:divBdr>
                            <w:top w:val="none" w:sz="0" w:space="0" w:color="auto"/>
                            <w:left w:val="none" w:sz="0" w:space="0" w:color="auto"/>
                            <w:bottom w:val="none" w:sz="0" w:space="0" w:color="auto"/>
                            <w:right w:val="none" w:sz="0" w:space="0" w:color="auto"/>
                          </w:divBdr>
                          <w:divsChild>
                            <w:div w:id="1915049703">
                              <w:marLeft w:val="0"/>
                              <w:marRight w:val="0"/>
                              <w:marTop w:val="0"/>
                              <w:marBottom w:val="0"/>
                              <w:divBdr>
                                <w:top w:val="none" w:sz="0" w:space="0" w:color="auto"/>
                                <w:left w:val="none" w:sz="0" w:space="0" w:color="auto"/>
                                <w:bottom w:val="none" w:sz="0" w:space="0" w:color="auto"/>
                                <w:right w:val="none" w:sz="0" w:space="0" w:color="auto"/>
                              </w:divBdr>
                              <w:divsChild>
                                <w:div w:id="332531138">
                                  <w:marLeft w:val="0"/>
                                  <w:marRight w:val="0"/>
                                  <w:marTop w:val="0"/>
                                  <w:marBottom w:val="0"/>
                                  <w:divBdr>
                                    <w:top w:val="none" w:sz="0" w:space="0" w:color="auto"/>
                                    <w:left w:val="none" w:sz="0" w:space="0" w:color="auto"/>
                                    <w:bottom w:val="none" w:sz="0" w:space="0" w:color="auto"/>
                                    <w:right w:val="none" w:sz="0" w:space="0" w:color="auto"/>
                                  </w:divBdr>
                                  <w:divsChild>
                                    <w:div w:id="1395817735">
                                      <w:marLeft w:val="0"/>
                                      <w:marRight w:val="0"/>
                                      <w:marTop w:val="0"/>
                                      <w:marBottom w:val="0"/>
                                      <w:divBdr>
                                        <w:top w:val="none" w:sz="0" w:space="0" w:color="auto"/>
                                        <w:left w:val="none" w:sz="0" w:space="0" w:color="auto"/>
                                        <w:bottom w:val="none" w:sz="0" w:space="0" w:color="auto"/>
                                        <w:right w:val="none" w:sz="0" w:space="0" w:color="auto"/>
                                      </w:divBdr>
                                      <w:divsChild>
                                        <w:div w:id="726609712">
                                          <w:marLeft w:val="1200"/>
                                          <w:marRight w:val="1200"/>
                                          <w:marTop w:val="0"/>
                                          <w:marBottom w:val="0"/>
                                          <w:divBdr>
                                            <w:top w:val="none" w:sz="0" w:space="0" w:color="auto"/>
                                            <w:left w:val="none" w:sz="0" w:space="0" w:color="auto"/>
                                            <w:bottom w:val="none" w:sz="0" w:space="0" w:color="auto"/>
                                            <w:right w:val="none" w:sz="0" w:space="0" w:color="auto"/>
                                          </w:divBdr>
                                          <w:divsChild>
                                            <w:div w:id="1618876275">
                                              <w:marLeft w:val="0"/>
                                              <w:marRight w:val="0"/>
                                              <w:marTop w:val="0"/>
                                              <w:marBottom w:val="0"/>
                                              <w:divBdr>
                                                <w:top w:val="none" w:sz="0" w:space="0" w:color="auto"/>
                                                <w:left w:val="none" w:sz="0" w:space="0" w:color="auto"/>
                                                <w:bottom w:val="none" w:sz="0" w:space="0" w:color="auto"/>
                                                <w:right w:val="none" w:sz="0" w:space="0" w:color="auto"/>
                                              </w:divBdr>
                                              <w:divsChild>
                                                <w:div w:id="1834182259">
                                                  <w:marLeft w:val="0"/>
                                                  <w:marRight w:val="0"/>
                                                  <w:marTop w:val="0"/>
                                                  <w:marBottom w:val="0"/>
                                                  <w:divBdr>
                                                    <w:top w:val="none" w:sz="0" w:space="0" w:color="auto"/>
                                                    <w:left w:val="none" w:sz="0" w:space="0" w:color="auto"/>
                                                    <w:bottom w:val="none" w:sz="0" w:space="0" w:color="auto"/>
                                                    <w:right w:val="none" w:sz="0" w:space="0" w:color="auto"/>
                                                  </w:divBdr>
                                                  <w:divsChild>
                                                    <w:div w:id="2144686716">
                                                      <w:marLeft w:val="0"/>
                                                      <w:marRight w:val="0"/>
                                                      <w:marTop w:val="0"/>
                                                      <w:marBottom w:val="0"/>
                                                      <w:divBdr>
                                                        <w:top w:val="none" w:sz="0" w:space="0" w:color="auto"/>
                                                        <w:left w:val="none" w:sz="0" w:space="0" w:color="auto"/>
                                                        <w:bottom w:val="none" w:sz="0" w:space="0" w:color="auto"/>
                                                        <w:right w:val="none" w:sz="0" w:space="0" w:color="auto"/>
                                                      </w:divBdr>
                                                      <w:divsChild>
                                                        <w:div w:id="705252257">
                                                          <w:marLeft w:val="0"/>
                                                          <w:marRight w:val="0"/>
                                                          <w:marTop w:val="0"/>
                                                          <w:marBottom w:val="0"/>
                                                          <w:divBdr>
                                                            <w:top w:val="none" w:sz="0" w:space="0" w:color="auto"/>
                                                            <w:left w:val="none" w:sz="0" w:space="0" w:color="auto"/>
                                                            <w:bottom w:val="none" w:sz="0" w:space="0" w:color="auto"/>
                                                            <w:right w:val="none" w:sz="0" w:space="0" w:color="auto"/>
                                                          </w:divBdr>
                                                          <w:divsChild>
                                                            <w:div w:id="599869960">
                                                              <w:marLeft w:val="0"/>
                                                              <w:marRight w:val="0"/>
                                                              <w:marTop w:val="0"/>
                                                              <w:marBottom w:val="0"/>
                                                              <w:divBdr>
                                                                <w:top w:val="none" w:sz="0" w:space="0" w:color="auto"/>
                                                                <w:left w:val="none" w:sz="0" w:space="0" w:color="auto"/>
                                                                <w:bottom w:val="none" w:sz="0" w:space="0" w:color="auto"/>
                                                                <w:right w:val="none" w:sz="0" w:space="0" w:color="auto"/>
                                                              </w:divBdr>
                                                              <w:divsChild>
                                                                <w:div w:id="545990766">
                                                                  <w:marLeft w:val="0"/>
                                                                  <w:marRight w:val="0"/>
                                                                  <w:marTop w:val="0"/>
                                                                  <w:marBottom w:val="0"/>
                                                                  <w:divBdr>
                                                                    <w:top w:val="none" w:sz="0" w:space="0" w:color="auto"/>
                                                                    <w:left w:val="none" w:sz="0" w:space="0" w:color="auto"/>
                                                                    <w:bottom w:val="none" w:sz="0" w:space="0" w:color="auto"/>
                                                                    <w:right w:val="none" w:sz="0" w:space="0" w:color="auto"/>
                                                                  </w:divBdr>
                                                                  <w:divsChild>
                                                                    <w:div w:id="35156477">
                                                                      <w:marLeft w:val="0"/>
                                                                      <w:marRight w:val="0"/>
                                                                      <w:marTop w:val="0"/>
                                                                      <w:marBottom w:val="0"/>
                                                                      <w:divBdr>
                                                                        <w:top w:val="none" w:sz="0" w:space="0" w:color="auto"/>
                                                                        <w:left w:val="none" w:sz="0" w:space="0" w:color="auto"/>
                                                                        <w:bottom w:val="none" w:sz="0" w:space="0" w:color="auto"/>
                                                                        <w:right w:val="none" w:sz="0" w:space="0" w:color="auto"/>
                                                                      </w:divBdr>
                                                                      <w:divsChild>
                                                                        <w:div w:id="1665207403">
                                                                          <w:marLeft w:val="0"/>
                                                                          <w:marRight w:val="0"/>
                                                                          <w:marTop w:val="0"/>
                                                                          <w:marBottom w:val="0"/>
                                                                          <w:divBdr>
                                                                            <w:top w:val="none" w:sz="0" w:space="0" w:color="auto"/>
                                                                            <w:left w:val="none" w:sz="0" w:space="0" w:color="auto"/>
                                                                            <w:bottom w:val="none" w:sz="0" w:space="0" w:color="auto"/>
                                                                            <w:right w:val="none" w:sz="0" w:space="0" w:color="auto"/>
                                                                          </w:divBdr>
                                                                        </w:div>
                                                                      </w:divsChild>
                                                                    </w:div>
                                                                    <w:div w:id="1678312986">
                                                                      <w:marLeft w:val="0"/>
                                                                      <w:marRight w:val="0"/>
                                                                      <w:marTop w:val="0"/>
                                                                      <w:marBottom w:val="0"/>
                                                                      <w:divBdr>
                                                                        <w:top w:val="none" w:sz="0" w:space="0" w:color="auto"/>
                                                                        <w:left w:val="none" w:sz="0" w:space="0" w:color="auto"/>
                                                                        <w:bottom w:val="none" w:sz="0" w:space="0" w:color="auto"/>
                                                                        <w:right w:val="none" w:sz="0" w:space="0" w:color="auto"/>
                                                                      </w:divBdr>
                                                                      <w:divsChild>
                                                                        <w:div w:id="266698053">
                                                                          <w:marLeft w:val="0"/>
                                                                          <w:marRight w:val="0"/>
                                                                          <w:marTop w:val="0"/>
                                                                          <w:marBottom w:val="0"/>
                                                                          <w:divBdr>
                                                                            <w:top w:val="none" w:sz="0" w:space="0" w:color="auto"/>
                                                                            <w:left w:val="none" w:sz="0" w:space="0" w:color="auto"/>
                                                                            <w:bottom w:val="none" w:sz="0" w:space="0" w:color="auto"/>
                                                                            <w:right w:val="none" w:sz="0" w:space="0" w:color="auto"/>
                                                                          </w:divBdr>
                                                                        </w:div>
                                                                      </w:divsChild>
                                                                    </w:div>
                                                                    <w:div w:id="1808815791">
                                                                      <w:marLeft w:val="0"/>
                                                                      <w:marRight w:val="0"/>
                                                                      <w:marTop w:val="0"/>
                                                                      <w:marBottom w:val="0"/>
                                                                      <w:divBdr>
                                                                        <w:top w:val="none" w:sz="0" w:space="0" w:color="auto"/>
                                                                        <w:left w:val="none" w:sz="0" w:space="0" w:color="auto"/>
                                                                        <w:bottom w:val="none" w:sz="0" w:space="0" w:color="auto"/>
                                                                        <w:right w:val="none" w:sz="0" w:space="0" w:color="auto"/>
                                                                      </w:divBdr>
                                                                      <w:divsChild>
                                                                        <w:div w:id="5553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4603593">
      <w:bodyDiv w:val="1"/>
      <w:marLeft w:val="0"/>
      <w:marRight w:val="0"/>
      <w:marTop w:val="0"/>
      <w:marBottom w:val="0"/>
      <w:divBdr>
        <w:top w:val="none" w:sz="0" w:space="0" w:color="auto"/>
        <w:left w:val="none" w:sz="0" w:space="0" w:color="auto"/>
        <w:bottom w:val="none" w:sz="0" w:space="0" w:color="auto"/>
        <w:right w:val="none" w:sz="0" w:space="0" w:color="auto"/>
      </w:divBdr>
      <w:divsChild>
        <w:div w:id="1392383845">
          <w:marLeft w:val="0"/>
          <w:marRight w:val="0"/>
          <w:marTop w:val="0"/>
          <w:marBottom w:val="0"/>
          <w:divBdr>
            <w:top w:val="none" w:sz="0" w:space="0" w:color="auto"/>
            <w:left w:val="none" w:sz="0" w:space="0" w:color="auto"/>
            <w:bottom w:val="none" w:sz="0" w:space="0" w:color="auto"/>
            <w:right w:val="none" w:sz="0" w:space="0" w:color="auto"/>
          </w:divBdr>
          <w:divsChild>
            <w:div w:id="1352562281">
              <w:marLeft w:val="0"/>
              <w:marRight w:val="0"/>
              <w:marTop w:val="0"/>
              <w:marBottom w:val="0"/>
              <w:divBdr>
                <w:top w:val="none" w:sz="0" w:space="0" w:color="auto"/>
                <w:left w:val="none" w:sz="0" w:space="0" w:color="auto"/>
                <w:bottom w:val="none" w:sz="0" w:space="0" w:color="auto"/>
                <w:right w:val="none" w:sz="0" w:space="0" w:color="auto"/>
              </w:divBdr>
              <w:divsChild>
                <w:div w:id="1653752979">
                  <w:marLeft w:val="0"/>
                  <w:marRight w:val="0"/>
                  <w:marTop w:val="0"/>
                  <w:marBottom w:val="0"/>
                  <w:divBdr>
                    <w:top w:val="none" w:sz="0" w:space="0" w:color="auto"/>
                    <w:left w:val="none" w:sz="0" w:space="0" w:color="auto"/>
                    <w:bottom w:val="none" w:sz="0" w:space="0" w:color="auto"/>
                    <w:right w:val="none" w:sz="0" w:space="0" w:color="auto"/>
                  </w:divBdr>
                  <w:divsChild>
                    <w:div w:id="2099670720">
                      <w:marLeft w:val="0"/>
                      <w:marRight w:val="0"/>
                      <w:marTop w:val="0"/>
                      <w:marBottom w:val="300"/>
                      <w:divBdr>
                        <w:top w:val="none" w:sz="0" w:space="0" w:color="auto"/>
                        <w:left w:val="none" w:sz="0" w:space="0" w:color="auto"/>
                        <w:bottom w:val="none" w:sz="0" w:space="0" w:color="auto"/>
                        <w:right w:val="none" w:sz="0" w:space="0" w:color="auto"/>
                      </w:divBdr>
                      <w:divsChild>
                        <w:div w:id="7959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936912">
      <w:bodyDiv w:val="1"/>
      <w:marLeft w:val="0"/>
      <w:marRight w:val="0"/>
      <w:marTop w:val="0"/>
      <w:marBottom w:val="0"/>
      <w:divBdr>
        <w:top w:val="none" w:sz="0" w:space="0" w:color="auto"/>
        <w:left w:val="none" w:sz="0" w:space="0" w:color="auto"/>
        <w:bottom w:val="none" w:sz="0" w:space="0" w:color="auto"/>
        <w:right w:val="none" w:sz="0" w:space="0" w:color="auto"/>
      </w:divBdr>
      <w:divsChild>
        <w:div w:id="1344019091">
          <w:marLeft w:val="0"/>
          <w:marRight w:val="0"/>
          <w:marTop w:val="0"/>
          <w:marBottom w:val="0"/>
          <w:divBdr>
            <w:top w:val="none" w:sz="0" w:space="0" w:color="auto"/>
            <w:left w:val="none" w:sz="0" w:space="0" w:color="auto"/>
            <w:bottom w:val="none" w:sz="0" w:space="0" w:color="auto"/>
            <w:right w:val="none" w:sz="0" w:space="0" w:color="auto"/>
          </w:divBdr>
          <w:divsChild>
            <w:div w:id="963773766">
              <w:marLeft w:val="0"/>
              <w:marRight w:val="0"/>
              <w:marTop w:val="0"/>
              <w:marBottom w:val="0"/>
              <w:divBdr>
                <w:top w:val="none" w:sz="0" w:space="0" w:color="auto"/>
                <w:left w:val="none" w:sz="0" w:space="0" w:color="auto"/>
                <w:bottom w:val="none" w:sz="0" w:space="0" w:color="auto"/>
                <w:right w:val="none" w:sz="0" w:space="0" w:color="auto"/>
              </w:divBdr>
              <w:divsChild>
                <w:div w:id="1794709904">
                  <w:marLeft w:val="0"/>
                  <w:marRight w:val="0"/>
                  <w:marTop w:val="0"/>
                  <w:marBottom w:val="0"/>
                  <w:divBdr>
                    <w:top w:val="none" w:sz="0" w:space="0" w:color="auto"/>
                    <w:left w:val="none" w:sz="0" w:space="0" w:color="auto"/>
                    <w:bottom w:val="none" w:sz="0" w:space="0" w:color="auto"/>
                    <w:right w:val="none" w:sz="0" w:space="0" w:color="auto"/>
                  </w:divBdr>
                  <w:divsChild>
                    <w:div w:id="1482775171">
                      <w:marLeft w:val="0"/>
                      <w:marRight w:val="0"/>
                      <w:marTop w:val="0"/>
                      <w:marBottom w:val="300"/>
                      <w:divBdr>
                        <w:top w:val="none" w:sz="0" w:space="0" w:color="auto"/>
                        <w:left w:val="none" w:sz="0" w:space="0" w:color="auto"/>
                        <w:bottom w:val="none" w:sz="0" w:space="0" w:color="auto"/>
                        <w:right w:val="none" w:sz="0" w:space="0" w:color="auto"/>
                      </w:divBdr>
                      <w:divsChild>
                        <w:div w:id="5750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980105">
      <w:bodyDiv w:val="1"/>
      <w:marLeft w:val="0"/>
      <w:marRight w:val="0"/>
      <w:marTop w:val="0"/>
      <w:marBottom w:val="0"/>
      <w:divBdr>
        <w:top w:val="none" w:sz="0" w:space="0" w:color="auto"/>
        <w:left w:val="none" w:sz="0" w:space="0" w:color="auto"/>
        <w:bottom w:val="none" w:sz="0" w:space="0" w:color="auto"/>
        <w:right w:val="none" w:sz="0" w:space="0" w:color="auto"/>
      </w:divBdr>
      <w:divsChild>
        <w:div w:id="514341417">
          <w:marLeft w:val="0"/>
          <w:marRight w:val="0"/>
          <w:marTop w:val="240"/>
          <w:marBottom w:val="0"/>
          <w:divBdr>
            <w:top w:val="none" w:sz="0" w:space="0" w:color="auto"/>
            <w:left w:val="none" w:sz="0" w:space="0" w:color="auto"/>
            <w:bottom w:val="none" w:sz="0" w:space="0" w:color="auto"/>
            <w:right w:val="none" w:sz="0" w:space="0" w:color="auto"/>
          </w:divBdr>
          <w:divsChild>
            <w:div w:id="74861731">
              <w:marLeft w:val="0"/>
              <w:marRight w:val="0"/>
              <w:marTop w:val="0"/>
              <w:marBottom w:val="0"/>
              <w:divBdr>
                <w:top w:val="none" w:sz="0" w:space="0" w:color="auto"/>
                <w:left w:val="none" w:sz="0" w:space="0" w:color="auto"/>
                <w:bottom w:val="none" w:sz="0" w:space="0" w:color="auto"/>
                <w:right w:val="none" w:sz="0" w:space="0" w:color="auto"/>
              </w:divBdr>
            </w:div>
          </w:divsChild>
        </w:div>
        <w:div w:id="517155606">
          <w:marLeft w:val="0"/>
          <w:marRight w:val="0"/>
          <w:marTop w:val="240"/>
          <w:marBottom w:val="0"/>
          <w:divBdr>
            <w:top w:val="none" w:sz="0" w:space="0" w:color="auto"/>
            <w:left w:val="none" w:sz="0" w:space="0" w:color="auto"/>
            <w:bottom w:val="none" w:sz="0" w:space="0" w:color="auto"/>
            <w:right w:val="none" w:sz="0" w:space="0" w:color="auto"/>
          </w:divBdr>
          <w:divsChild>
            <w:div w:id="724525287">
              <w:marLeft w:val="0"/>
              <w:marRight w:val="0"/>
              <w:marTop w:val="0"/>
              <w:marBottom w:val="0"/>
              <w:divBdr>
                <w:top w:val="none" w:sz="0" w:space="0" w:color="auto"/>
                <w:left w:val="none" w:sz="0" w:space="0" w:color="auto"/>
                <w:bottom w:val="none" w:sz="0" w:space="0" w:color="auto"/>
                <w:right w:val="none" w:sz="0" w:space="0" w:color="auto"/>
              </w:divBdr>
            </w:div>
          </w:divsChild>
        </w:div>
        <w:div w:id="700201462">
          <w:marLeft w:val="0"/>
          <w:marRight w:val="0"/>
          <w:marTop w:val="240"/>
          <w:marBottom w:val="0"/>
          <w:divBdr>
            <w:top w:val="none" w:sz="0" w:space="0" w:color="auto"/>
            <w:left w:val="none" w:sz="0" w:space="0" w:color="auto"/>
            <w:bottom w:val="none" w:sz="0" w:space="0" w:color="auto"/>
            <w:right w:val="none" w:sz="0" w:space="0" w:color="auto"/>
          </w:divBdr>
          <w:divsChild>
            <w:div w:id="1685547984">
              <w:marLeft w:val="0"/>
              <w:marRight w:val="0"/>
              <w:marTop w:val="0"/>
              <w:marBottom w:val="0"/>
              <w:divBdr>
                <w:top w:val="none" w:sz="0" w:space="0" w:color="auto"/>
                <w:left w:val="none" w:sz="0" w:space="0" w:color="auto"/>
                <w:bottom w:val="none" w:sz="0" w:space="0" w:color="auto"/>
                <w:right w:val="none" w:sz="0" w:space="0" w:color="auto"/>
              </w:divBdr>
            </w:div>
          </w:divsChild>
        </w:div>
        <w:div w:id="850139897">
          <w:marLeft w:val="0"/>
          <w:marRight w:val="0"/>
          <w:marTop w:val="240"/>
          <w:marBottom w:val="0"/>
          <w:divBdr>
            <w:top w:val="none" w:sz="0" w:space="0" w:color="auto"/>
            <w:left w:val="none" w:sz="0" w:space="0" w:color="auto"/>
            <w:bottom w:val="none" w:sz="0" w:space="0" w:color="auto"/>
            <w:right w:val="none" w:sz="0" w:space="0" w:color="auto"/>
          </w:divBdr>
          <w:divsChild>
            <w:div w:id="931283377">
              <w:marLeft w:val="0"/>
              <w:marRight w:val="0"/>
              <w:marTop w:val="240"/>
              <w:marBottom w:val="0"/>
              <w:divBdr>
                <w:top w:val="none" w:sz="0" w:space="0" w:color="auto"/>
                <w:left w:val="none" w:sz="0" w:space="0" w:color="auto"/>
                <w:bottom w:val="none" w:sz="0" w:space="0" w:color="auto"/>
                <w:right w:val="none" w:sz="0" w:space="0" w:color="auto"/>
              </w:divBdr>
            </w:div>
          </w:divsChild>
        </w:div>
        <w:div w:id="1049037580">
          <w:marLeft w:val="0"/>
          <w:marRight w:val="0"/>
          <w:marTop w:val="240"/>
          <w:marBottom w:val="0"/>
          <w:divBdr>
            <w:top w:val="none" w:sz="0" w:space="0" w:color="auto"/>
            <w:left w:val="none" w:sz="0" w:space="0" w:color="auto"/>
            <w:bottom w:val="none" w:sz="0" w:space="0" w:color="auto"/>
            <w:right w:val="none" w:sz="0" w:space="0" w:color="auto"/>
          </w:divBdr>
          <w:divsChild>
            <w:div w:id="745111222">
              <w:marLeft w:val="0"/>
              <w:marRight w:val="0"/>
              <w:marTop w:val="0"/>
              <w:marBottom w:val="0"/>
              <w:divBdr>
                <w:top w:val="none" w:sz="0" w:space="0" w:color="auto"/>
                <w:left w:val="none" w:sz="0" w:space="0" w:color="auto"/>
                <w:bottom w:val="none" w:sz="0" w:space="0" w:color="auto"/>
                <w:right w:val="none" w:sz="0" w:space="0" w:color="auto"/>
              </w:divBdr>
            </w:div>
          </w:divsChild>
        </w:div>
        <w:div w:id="1157187527">
          <w:marLeft w:val="0"/>
          <w:marRight w:val="0"/>
          <w:marTop w:val="240"/>
          <w:marBottom w:val="0"/>
          <w:divBdr>
            <w:top w:val="none" w:sz="0" w:space="0" w:color="auto"/>
            <w:left w:val="none" w:sz="0" w:space="0" w:color="auto"/>
            <w:bottom w:val="none" w:sz="0" w:space="0" w:color="auto"/>
            <w:right w:val="none" w:sz="0" w:space="0" w:color="auto"/>
          </w:divBdr>
          <w:divsChild>
            <w:div w:id="1612274021">
              <w:marLeft w:val="0"/>
              <w:marRight w:val="0"/>
              <w:marTop w:val="240"/>
              <w:marBottom w:val="0"/>
              <w:divBdr>
                <w:top w:val="none" w:sz="0" w:space="0" w:color="auto"/>
                <w:left w:val="none" w:sz="0" w:space="0" w:color="auto"/>
                <w:bottom w:val="none" w:sz="0" w:space="0" w:color="auto"/>
                <w:right w:val="none" w:sz="0" w:space="0" w:color="auto"/>
              </w:divBdr>
              <w:divsChild>
                <w:div w:id="442384264">
                  <w:marLeft w:val="0"/>
                  <w:marRight w:val="0"/>
                  <w:marTop w:val="0"/>
                  <w:marBottom w:val="0"/>
                  <w:divBdr>
                    <w:top w:val="none" w:sz="0" w:space="0" w:color="auto"/>
                    <w:left w:val="none" w:sz="0" w:space="0" w:color="auto"/>
                    <w:bottom w:val="none" w:sz="0" w:space="0" w:color="auto"/>
                    <w:right w:val="none" w:sz="0" w:space="0" w:color="auto"/>
                  </w:divBdr>
                </w:div>
              </w:divsChild>
            </w:div>
            <w:div w:id="1626351821">
              <w:marLeft w:val="0"/>
              <w:marRight w:val="0"/>
              <w:marTop w:val="240"/>
              <w:marBottom w:val="0"/>
              <w:divBdr>
                <w:top w:val="none" w:sz="0" w:space="0" w:color="auto"/>
                <w:left w:val="none" w:sz="0" w:space="0" w:color="auto"/>
                <w:bottom w:val="none" w:sz="0" w:space="0" w:color="auto"/>
                <w:right w:val="none" w:sz="0" w:space="0" w:color="auto"/>
              </w:divBdr>
              <w:divsChild>
                <w:div w:id="406539035">
                  <w:marLeft w:val="0"/>
                  <w:marRight w:val="0"/>
                  <w:marTop w:val="0"/>
                  <w:marBottom w:val="0"/>
                  <w:divBdr>
                    <w:top w:val="none" w:sz="0" w:space="0" w:color="auto"/>
                    <w:left w:val="none" w:sz="0" w:space="0" w:color="auto"/>
                    <w:bottom w:val="none" w:sz="0" w:space="0" w:color="auto"/>
                    <w:right w:val="none" w:sz="0" w:space="0" w:color="auto"/>
                  </w:divBdr>
                </w:div>
              </w:divsChild>
            </w:div>
            <w:div w:id="1784767215">
              <w:marLeft w:val="0"/>
              <w:marRight w:val="0"/>
              <w:marTop w:val="0"/>
              <w:marBottom w:val="0"/>
              <w:divBdr>
                <w:top w:val="none" w:sz="0" w:space="0" w:color="auto"/>
                <w:left w:val="none" w:sz="0" w:space="0" w:color="auto"/>
                <w:bottom w:val="none" w:sz="0" w:space="0" w:color="auto"/>
                <w:right w:val="none" w:sz="0" w:space="0" w:color="auto"/>
              </w:divBdr>
            </w:div>
          </w:divsChild>
        </w:div>
        <w:div w:id="1225292830">
          <w:marLeft w:val="0"/>
          <w:marRight w:val="0"/>
          <w:marTop w:val="240"/>
          <w:marBottom w:val="0"/>
          <w:divBdr>
            <w:top w:val="none" w:sz="0" w:space="0" w:color="auto"/>
            <w:left w:val="none" w:sz="0" w:space="0" w:color="auto"/>
            <w:bottom w:val="none" w:sz="0" w:space="0" w:color="auto"/>
            <w:right w:val="none" w:sz="0" w:space="0" w:color="auto"/>
          </w:divBdr>
          <w:divsChild>
            <w:div w:id="1517305168">
              <w:marLeft w:val="0"/>
              <w:marRight w:val="0"/>
              <w:marTop w:val="0"/>
              <w:marBottom w:val="0"/>
              <w:divBdr>
                <w:top w:val="none" w:sz="0" w:space="0" w:color="auto"/>
                <w:left w:val="none" w:sz="0" w:space="0" w:color="auto"/>
                <w:bottom w:val="none" w:sz="0" w:space="0" w:color="auto"/>
                <w:right w:val="none" w:sz="0" w:space="0" w:color="auto"/>
              </w:divBdr>
            </w:div>
          </w:divsChild>
        </w:div>
        <w:div w:id="1259411569">
          <w:marLeft w:val="0"/>
          <w:marRight w:val="0"/>
          <w:marTop w:val="0"/>
          <w:marBottom w:val="0"/>
          <w:divBdr>
            <w:top w:val="none" w:sz="0" w:space="0" w:color="auto"/>
            <w:left w:val="none" w:sz="0" w:space="0" w:color="auto"/>
            <w:bottom w:val="none" w:sz="0" w:space="0" w:color="auto"/>
            <w:right w:val="none" w:sz="0" w:space="0" w:color="auto"/>
          </w:divBdr>
        </w:div>
        <w:div w:id="1309359015">
          <w:marLeft w:val="0"/>
          <w:marRight w:val="0"/>
          <w:marTop w:val="240"/>
          <w:marBottom w:val="0"/>
          <w:divBdr>
            <w:top w:val="none" w:sz="0" w:space="0" w:color="auto"/>
            <w:left w:val="none" w:sz="0" w:space="0" w:color="auto"/>
            <w:bottom w:val="none" w:sz="0" w:space="0" w:color="auto"/>
            <w:right w:val="none" w:sz="0" w:space="0" w:color="auto"/>
          </w:divBdr>
          <w:divsChild>
            <w:div w:id="1668824781">
              <w:marLeft w:val="0"/>
              <w:marRight w:val="0"/>
              <w:marTop w:val="0"/>
              <w:marBottom w:val="0"/>
              <w:divBdr>
                <w:top w:val="none" w:sz="0" w:space="0" w:color="auto"/>
                <w:left w:val="none" w:sz="0" w:space="0" w:color="auto"/>
                <w:bottom w:val="none" w:sz="0" w:space="0" w:color="auto"/>
                <w:right w:val="none" w:sz="0" w:space="0" w:color="auto"/>
              </w:divBdr>
            </w:div>
          </w:divsChild>
        </w:div>
        <w:div w:id="1385832036">
          <w:marLeft w:val="0"/>
          <w:marRight w:val="0"/>
          <w:marTop w:val="240"/>
          <w:marBottom w:val="0"/>
          <w:divBdr>
            <w:top w:val="none" w:sz="0" w:space="0" w:color="auto"/>
            <w:left w:val="none" w:sz="0" w:space="0" w:color="auto"/>
            <w:bottom w:val="none" w:sz="0" w:space="0" w:color="auto"/>
            <w:right w:val="none" w:sz="0" w:space="0" w:color="auto"/>
          </w:divBdr>
          <w:divsChild>
            <w:div w:id="1518735293">
              <w:marLeft w:val="0"/>
              <w:marRight w:val="0"/>
              <w:marTop w:val="0"/>
              <w:marBottom w:val="0"/>
              <w:divBdr>
                <w:top w:val="none" w:sz="0" w:space="0" w:color="auto"/>
                <w:left w:val="none" w:sz="0" w:space="0" w:color="auto"/>
                <w:bottom w:val="none" w:sz="0" w:space="0" w:color="auto"/>
                <w:right w:val="none" w:sz="0" w:space="0" w:color="auto"/>
              </w:divBdr>
            </w:div>
          </w:divsChild>
        </w:div>
        <w:div w:id="1407730275">
          <w:marLeft w:val="0"/>
          <w:marRight w:val="0"/>
          <w:marTop w:val="240"/>
          <w:marBottom w:val="0"/>
          <w:divBdr>
            <w:top w:val="none" w:sz="0" w:space="0" w:color="auto"/>
            <w:left w:val="none" w:sz="0" w:space="0" w:color="auto"/>
            <w:bottom w:val="none" w:sz="0" w:space="0" w:color="auto"/>
            <w:right w:val="none" w:sz="0" w:space="0" w:color="auto"/>
          </w:divBdr>
          <w:divsChild>
            <w:div w:id="2142573271">
              <w:marLeft w:val="0"/>
              <w:marRight w:val="0"/>
              <w:marTop w:val="0"/>
              <w:marBottom w:val="0"/>
              <w:divBdr>
                <w:top w:val="none" w:sz="0" w:space="0" w:color="auto"/>
                <w:left w:val="none" w:sz="0" w:space="0" w:color="auto"/>
                <w:bottom w:val="none" w:sz="0" w:space="0" w:color="auto"/>
                <w:right w:val="none" w:sz="0" w:space="0" w:color="auto"/>
              </w:divBdr>
            </w:div>
          </w:divsChild>
        </w:div>
        <w:div w:id="1867795528">
          <w:marLeft w:val="0"/>
          <w:marRight w:val="0"/>
          <w:marTop w:val="240"/>
          <w:marBottom w:val="0"/>
          <w:divBdr>
            <w:top w:val="none" w:sz="0" w:space="0" w:color="auto"/>
            <w:left w:val="none" w:sz="0" w:space="0" w:color="auto"/>
            <w:bottom w:val="none" w:sz="0" w:space="0" w:color="auto"/>
            <w:right w:val="none" w:sz="0" w:space="0" w:color="auto"/>
          </w:divBdr>
          <w:divsChild>
            <w:div w:id="1088189027">
              <w:marLeft w:val="0"/>
              <w:marRight w:val="0"/>
              <w:marTop w:val="0"/>
              <w:marBottom w:val="0"/>
              <w:divBdr>
                <w:top w:val="none" w:sz="0" w:space="0" w:color="auto"/>
                <w:left w:val="none" w:sz="0" w:space="0" w:color="auto"/>
                <w:bottom w:val="none" w:sz="0" w:space="0" w:color="auto"/>
                <w:right w:val="none" w:sz="0" w:space="0" w:color="auto"/>
              </w:divBdr>
            </w:div>
          </w:divsChild>
        </w:div>
        <w:div w:id="2079279318">
          <w:marLeft w:val="0"/>
          <w:marRight w:val="0"/>
          <w:marTop w:val="240"/>
          <w:marBottom w:val="0"/>
          <w:divBdr>
            <w:top w:val="none" w:sz="0" w:space="0" w:color="auto"/>
            <w:left w:val="none" w:sz="0" w:space="0" w:color="auto"/>
            <w:bottom w:val="none" w:sz="0" w:space="0" w:color="auto"/>
            <w:right w:val="none" w:sz="0" w:space="0" w:color="auto"/>
          </w:divBdr>
          <w:divsChild>
            <w:div w:id="5695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24204">
      <w:bodyDiv w:val="1"/>
      <w:marLeft w:val="0"/>
      <w:marRight w:val="0"/>
      <w:marTop w:val="0"/>
      <w:marBottom w:val="0"/>
      <w:divBdr>
        <w:top w:val="none" w:sz="0" w:space="0" w:color="auto"/>
        <w:left w:val="none" w:sz="0" w:space="0" w:color="auto"/>
        <w:bottom w:val="none" w:sz="0" w:space="0" w:color="auto"/>
        <w:right w:val="none" w:sz="0" w:space="0" w:color="auto"/>
      </w:divBdr>
      <w:divsChild>
        <w:div w:id="1877156330">
          <w:marLeft w:val="0"/>
          <w:marRight w:val="0"/>
          <w:marTop w:val="240"/>
          <w:marBottom w:val="0"/>
          <w:divBdr>
            <w:top w:val="none" w:sz="0" w:space="0" w:color="auto"/>
            <w:left w:val="none" w:sz="0" w:space="0" w:color="auto"/>
            <w:bottom w:val="none" w:sz="0" w:space="0" w:color="auto"/>
            <w:right w:val="none" w:sz="0" w:space="0" w:color="auto"/>
          </w:divBdr>
          <w:divsChild>
            <w:div w:id="1137918837">
              <w:marLeft w:val="0"/>
              <w:marRight w:val="0"/>
              <w:marTop w:val="0"/>
              <w:marBottom w:val="0"/>
              <w:divBdr>
                <w:top w:val="none" w:sz="0" w:space="0" w:color="auto"/>
                <w:left w:val="none" w:sz="0" w:space="0" w:color="auto"/>
                <w:bottom w:val="none" w:sz="0" w:space="0" w:color="auto"/>
                <w:right w:val="none" w:sz="0" w:space="0" w:color="auto"/>
              </w:divBdr>
            </w:div>
          </w:divsChild>
        </w:div>
        <w:div w:id="1988631027">
          <w:marLeft w:val="0"/>
          <w:marRight w:val="0"/>
          <w:marTop w:val="240"/>
          <w:marBottom w:val="0"/>
          <w:divBdr>
            <w:top w:val="none" w:sz="0" w:space="0" w:color="auto"/>
            <w:left w:val="none" w:sz="0" w:space="0" w:color="auto"/>
            <w:bottom w:val="none" w:sz="0" w:space="0" w:color="auto"/>
            <w:right w:val="none" w:sz="0" w:space="0" w:color="auto"/>
          </w:divBdr>
          <w:divsChild>
            <w:div w:id="55924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9815">
      <w:bodyDiv w:val="1"/>
      <w:marLeft w:val="0"/>
      <w:marRight w:val="0"/>
      <w:marTop w:val="0"/>
      <w:marBottom w:val="0"/>
      <w:divBdr>
        <w:top w:val="none" w:sz="0" w:space="0" w:color="auto"/>
        <w:left w:val="none" w:sz="0" w:space="0" w:color="auto"/>
        <w:bottom w:val="none" w:sz="0" w:space="0" w:color="auto"/>
        <w:right w:val="none" w:sz="0" w:space="0" w:color="auto"/>
      </w:divBdr>
      <w:divsChild>
        <w:div w:id="1167358184">
          <w:marLeft w:val="0"/>
          <w:marRight w:val="0"/>
          <w:marTop w:val="0"/>
          <w:marBottom w:val="0"/>
          <w:divBdr>
            <w:top w:val="none" w:sz="0" w:space="0" w:color="auto"/>
            <w:left w:val="none" w:sz="0" w:space="0" w:color="auto"/>
            <w:bottom w:val="none" w:sz="0" w:space="0" w:color="auto"/>
            <w:right w:val="none" w:sz="0" w:space="0" w:color="auto"/>
          </w:divBdr>
          <w:divsChild>
            <w:div w:id="2105608728">
              <w:marLeft w:val="0"/>
              <w:marRight w:val="0"/>
              <w:marTop w:val="0"/>
              <w:marBottom w:val="0"/>
              <w:divBdr>
                <w:top w:val="none" w:sz="0" w:space="0" w:color="auto"/>
                <w:left w:val="none" w:sz="0" w:space="0" w:color="auto"/>
                <w:bottom w:val="none" w:sz="0" w:space="0" w:color="auto"/>
                <w:right w:val="none" w:sz="0" w:space="0" w:color="auto"/>
              </w:divBdr>
              <w:divsChild>
                <w:div w:id="268203520">
                  <w:marLeft w:val="0"/>
                  <w:marRight w:val="0"/>
                  <w:marTop w:val="0"/>
                  <w:marBottom w:val="0"/>
                  <w:divBdr>
                    <w:top w:val="none" w:sz="0" w:space="0" w:color="auto"/>
                    <w:left w:val="none" w:sz="0" w:space="0" w:color="auto"/>
                    <w:bottom w:val="none" w:sz="0" w:space="0" w:color="auto"/>
                    <w:right w:val="none" w:sz="0" w:space="0" w:color="auto"/>
                  </w:divBdr>
                  <w:divsChild>
                    <w:div w:id="1423180133">
                      <w:marLeft w:val="0"/>
                      <w:marRight w:val="0"/>
                      <w:marTop w:val="0"/>
                      <w:marBottom w:val="300"/>
                      <w:divBdr>
                        <w:top w:val="none" w:sz="0" w:space="0" w:color="auto"/>
                        <w:left w:val="none" w:sz="0" w:space="0" w:color="auto"/>
                        <w:bottom w:val="none" w:sz="0" w:space="0" w:color="auto"/>
                        <w:right w:val="none" w:sz="0" w:space="0" w:color="auto"/>
                      </w:divBdr>
                      <w:divsChild>
                        <w:div w:id="7410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299796">
      <w:bodyDiv w:val="1"/>
      <w:marLeft w:val="0"/>
      <w:marRight w:val="0"/>
      <w:marTop w:val="0"/>
      <w:marBottom w:val="0"/>
      <w:divBdr>
        <w:top w:val="none" w:sz="0" w:space="0" w:color="auto"/>
        <w:left w:val="none" w:sz="0" w:space="0" w:color="auto"/>
        <w:bottom w:val="none" w:sz="0" w:space="0" w:color="auto"/>
        <w:right w:val="none" w:sz="0" w:space="0" w:color="auto"/>
      </w:divBdr>
      <w:divsChild>
        <w:div w:id="1039745806">
          <w:marLeft w:val="0"/>
          <w:marRight w:val="0"/>
          <w:marTop w:val="0"/>
          <w:marBottom w:val="0"/>
          <w:divBdr>
            <w:top w:val="none" w:sz="0" w:space="0" w:color="auto"/>
            <w:left w:val="single" w:sz="6" w:space="0" w:color="BBBBBB"/>
            <w:bottom w:val="single" w:sz="6" w:space="0" w:color="BBBBBB"/>
            <w:right w:val="single" w:sz="6" w:space="0" w:color="BBBBBB"/>
          </w:divBdr>
          <w:divsChild>
            <w:div w:id="1170950227">
              <w:marLeft w:val="0"/>
              <w:marRight w:val="0"/>
              <w:marTop w:val="0"/>
              <w:marBottom w:val="0"/>
              <w:divBdr>
                <w:top w:val="none" w:sz="0" w:space="0" w:color="auto"/>
                <w:left w:val="none" w:sz="0" w:space="0" w:color="auto"/>
                <w:bottom w:val="none" w:sz="0" w:space="0" w:color="auto"/>
                <w:right w:val="none" w:sz="0" w:space="0" w:color="auto"/>
              </w:divBdr>
              <w:divsChild>
                <w:div w:id="2087991118">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sChild>
                        <w:div w:id="535239749">
                          <w:marLeft w:val="0"/>
                          <w:marRight w:val="0"/>
                          <w:marTop w:val="0"/>
                          <w:marBottom w:val="0"/>
                          <w:divBdr>
                            <w:top w:val="none" w:sz="0" w:space="0" w:color="auto"/>
                            <w:left w:val="none" w:sz="0" w:space="0" w:color="auto"/>
                            <w:bottom w:val="none" w:sz="0" w:space="0" w:color="auto"/>
                            <w:right w:val="none" w:sz="0" w:space="0" w:color="auto"/>
                          </w:divBdr>
                          <w:divsChild>
                            <w:div w:id="1314531855">
                              <w:marLeft w:val="0"/>
                              <w:marRight w:val="0"/>
                              <w:marTop w:val="0"/>
                              <w:marBottom w:val="0"/>
                              <w:divBdr>
                                <w:top w:val="none" w:sz="0" w:space="0" w:color="auto"/>
                                <w:left w:val="none" w:sz="0" w:space="0" w:color="auto"/>
                                <w:bottom w:val="none" w:sz="0" w:space="0" w:color="auto"/>
                                <w:right w:val="none" w:sz="0" w:space="0" w:color="auto"/>
                              </w:divBdr>
                              <w:divsChild>
                                <w:div w:id="1034772479">
                                  <w:marLeft w:val="0"/>
                                  <w:marRight w:val="0"/>
                                  <w:marTop w:val="0"/>
                                  <w:marBottom w:val="0"/>
                                  <w:divBdr>
                                    <w:top w:val="none" w:sz="0" w:space="0" w:color="auto"/>
                                    <w:left w:val="none" w:sz="0" w:space="0" w:color="auto"/>
                                    <w:bottom w:val="none" w:sz="0" w:space="0" w:color="auto"/>
                                    <w:right w:val="none" w:sz="0" w:space="0" w:color="auto"/>
                                  </w:divBdr>
                                  <w:divsChild>
                                    <w:div w:id="1192455724">
                                      <w:marLeft w:val="0"/>
                                      <w:marRight w:val="0"/>
                                      <w:marTop w:val="0"/>
                                      <w:marBottom w:val="0"/>
                                      <w:divBdr>
                                        <w:top w:val="none" w:sz="0" w:space="0" w:color="auto"/>
                                        <w:left w:val="none" w:sz="0" w:space="0" w:color="auto"/>
                                        <w:bottom w:val="none" w:sz="0" w:space="0" w:color="auto"/>
                                        <w:right w:val="none" w:sz="0" w:space="0" w:color="auto"/>
                                      </w:divBdr>
                                      <w:divsChild>
                                        <w:div w:id="447899343">
                                          <w:marLeft w:val="1200"/>
                                          <w:marRight w:val="1200"/>
                                          <w:marTop w:val="0"/>
                                          <w:marBottom w:val="0"/>
                                          <w:divBdr>
                                            <w:top w:val="none" w:sz="0" w:space="0" w:color="auto"/>
                                            <w:left w:val="none" w:sz="0" w:space="0" w:color="auto"/>
                                            <w:bottom w:val="none" w:sz="0" w:space="0" w:color="auto"/>
                                            <w:right w:val="none" w:sz="0" w:space="0" w:color="auto"/>
                                          </w:divBdr>
                                          <w:divsChild>
                                            <w:div w:id="981811132">
                                              <w:marLeft w:val="0"/>
                                              <w:marRight w:val="0"/>
                                              <w:marTop w:val="0"/>
                                              <w:marBottom w:val="0"/>
                                              <w:divBdr>
                                                <w:top w:val="none" w:sz="0" w:space="0" w:color="auto"/>
                                                <w:left w:val="none" w:sz="0" w:space="0" w:color="auto"/>
                                                <w:bottom w:val="none" w:sz="0" w:space="0" w:color="auto"/>
                                                <w:right w:val="none" w:sz="0" w:space="0" w:color="auto"/>
                                              </w:divBdr>
                                              <w:divsChild>
                                                <w:div w:id="763647077">
                                                  <w:marLeft w:val="0"/>
                                                  <w:marRight w:val="0"/>
                                                  <w:marTop w:val="0"/>
                                                  <w:marBottom w:val="0"/>
                                                  <w:divBdr>
                                                    <w:top w:val="none" w:sz="0" w:space="0" w:color="auto"/>
                                                    <w:left w:val="none" w:sz="0" w:space="0" w:color="auto"/>
                                                    <w:bottom w:val="none" w:sz="0" w:space="0" w:color="auto"/>
                                                    <w:right w:val="none" w:sz="0" w:space="0" w:color="auto"/>
                                                  </w:divBdr>
                                                  <w:divsChild>
                                                    <w:div w:id="184829771">
                                                      <w:marLeft w:val="0"/>
                                                      <w:marRight w:val="0"/>
                                                      <w:marTop w:val="0"/>
                                                      <w:marBottom w:val="0"/>
                                                      <w:divBdr>
                                                        <w:top w:val="none" w:sz="0" w:space="0" w:color="auto"/>
                                                        <w:left w:val="none" w:sz="0" w:space="0" w:color="auto"/>
                                                        <w:bottom w:val="none" w:sz="0" w:space="0" w:color="auto"/>
                                                        <w:right w:val="none" w:sz="0" w:space="0" w:color="auto"/>
                                                      </w:divBdr>
                                                      <w:divsChild>
                                                        <w:div w:id="413360418">
                                                          <w:marLeft w:val="0"/>
                                                          <w:marRight w:val="0"/>
                                                          <w:marTop w:val="0"/>
                                                          <w:marBottom w:val="0"/>
                                                          <w:divBdr>
                                                            <w:top w:val="none" w:sz="0" w:space="0" w:color="auto"/>
                                                            <w:left w:val="none" w:sz="0" w:space="0" w:color="auto"/>
                                                            <w:bottom w:val="none" w:sz="0" w:space="0" w:color="auto"/>
                                                            <w:right w:val="none" w:sz="0" w:space="0" w:color="auto"/>
                                                          </w:divBdr>
                                                          <w:divsChild>
                                                            <w:div w:id="1031807816">
                                                              <w:marLeft w:val="0"/>
                                                              <w:marRight w:val="0"/>
                                                              <w:marTop w:val="0"/>
                                                              <w:marBottom w:val="0"/>
                                                              <w:divBdr>
                                                                <w:top w:val="none" w:sz="0" w:space="0" w:color="auto"/>
                                                                <w:left w:val="none" w:sz="0" w:space="0" w:color="auto"/>
                                                                <w:bottom w:val="none" w:sz="0" w:space="0" w:color="auto"/>
                                                                <w:right w:val="none" w:sz="0" w:space="0" w:color="auto"/>
                                                              </w:divBdr>
                                                              <w:divsChild>
                                                                <w:div w:id="816721998">
                                                                  <w:marLeft w:val="0"/>
                                                                  <w:marRight w:val="0"/>
                                                                  <w:marTop w:val="0"/>
                                                                  <w:marBottom w:val="0"/>
                                                                  <w:divBdr>
                                                                    <w:top w:val="none" w:sz="0" w:space="0" w:color="auto"/>
                                                                    <w:left w:val="none" w:sz="0" w:space="0" w:color="auto"/>
                                                                    <w:bottom w:val="none" w:sz="0" w:space="0" w:color="auto"/>
                                                                    <w:right w:val="none" w:sz="0" w:space="0" w:color="auto"/>
                                                                  </w:divBdr>
                                                                  <w:divsChild>
                                                                    <w:div w:id="135071262">
                                                                      <w:marLeft w:val="0"/>
                                                                      <w:marRight w:val="0"/>
                                                                      <w:marTop w:val="0"/>
                                                                      <w:marBottom w:val="0"/>
                                                                      <w:divBdr>
                                                                        <w:top w:val="none" w:sz="0" w:space="0" w:color="auto"/>
                                                                        <w:left w:val="none" w:sz="0" w:space="0" w:color="auto"/>
                                                                        <w:bottom w:val="none" w:sz="0" w:space="0" w:color="auto"/>
                                                                        <w:right w:val="none" w:sz="0" w:space="0" w:color="auto"/>
                                                                      </w:divBdr>
                                                                      <w:divsChild>
                                                                        <w:div w:id="2146577191">
                                                                          <w:marLeft w:val="0"/>
                                                                          <w:marRight w:val="0"/>
                                                                          <w:marTop w:val="0"/>
                                                                          <w:marBottom w:val="0"/>
                                                                          <w:divBdr>
                                                                            <w:top w:val="none" w:sz="0" w:space="0" w:color="auto"/>
                                                                            <w:left w:val="none" w:sz="0" w:space="0" w:color="auto"/>
                                                                            <w:bottom w:val="none" w:sz="0" w:space="0" w:color="auto"/>
                                                                            <w:right w:val="none" w:sz="0" w:space="0" w:color="auto"/>
                                                                          </w:divBdr>
                                                                        </w:div>
                                                                      </w:divsChild>
                                                                    </w:div>
                                                                    <w:div w:id="1669362135">
                                                                      <w:marLeft w:val="0"/>
                                                                      <w:marRight w:val="0"/>
                                                                      <w:marTop w:val="0"/>
                                                                      <w:marBottom w:val="0"/>
                                                                      <w:divBdr>
                                                                        <w:top w:val="none" w:sz="0" w:space="0" w:color="auto"/>
                                                                        <w:left w:val="none" w:sz="0" w:space="0" w:color="auto"/>
                                                                        <w:bottom w:val="none" w:sz="0" w:space="0" w:color="auto"/>
                                                                        <w:right w:val="none" w:sz="0" w:space="0" w:color="auto"/>
                                                                      </w:divBdr>
                                                                      <w:divsChild>
                                                                        <w:div w:id="58028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881337">
      <w:bodyDiv w:val="1"/>
      <w:marLeft w:val="0"/>
      <w:marRight w:val="0"/>
      <w:marTop w:val="0"/>
      <w:marBottom w:val="0"/>
      <w:divBdr>
        <w:top w:val="none" w:sz="0" w:space="0" w:color="auto"/>
        <w:left w:val="none" w:sz="0" w:space="0" w:color="auto"/>
        <w:bottom w:val="none" w:sz="0" w:space="0" w:color="auto"/>
        <w:right w:val="none" w:sz="0" w:space="0" w:color="auto"/>
      </w:divBdr>
      <w:divsChild>
        <w:div w:id="592395412">
          <w:marLeft w:val="0"/>
          <w:marRight w:val="0"/>
          <w:marTop w:val="0"/>
          <w:marBottom w:val="0"/>
          <w:divBdr>
            <w:top w:val="none" w:sz="0" w:space="0" w:color="auto"/>
            <w:left w:val="none" w:sz="0" w:space="0" w:color="auto"/>
            <w:bottom w:val="none" w:sz="0" w:space="0" w:color="auto"/>
            <w:right w:val="none" w:sz="0" w:space="0" w:color="auto"/>
          </w:divBdr>
          <w:divsChild>
            <w:div w:id="431243303">
              <w:marLeft w:val="0"/>
              <w:marRight w:val="0"/>
              <w:marTop w:val="0"/>
              <w:marBottom w:val="0"/>
              <w:divBdr>
                <w:top w:val="none" w:sz="0" w:space="0" w:color="auto"/>
                <w:left w:val="none" w:sz="0" w:space="0" w:color="auto"/>
                <w:bottom w:val="none" w:sz="0" w:space="0" w:color="auto"/>
                <w:right w:val="none" w:sz="0" w:space="0" w:color="auto"/>
              </w:divBdr>
              <w:divsChild>
                <w:div w:id="1313867193">
                  <w:marLeft w:val="0"/>
                  <w:marRight w:val="0"/>
                  <w:marTop w:val="0"/>
                  <w:marBottom w:val="0"/>
                  <w:divBdr>
                    <w:top w:val="none" w:sz="0" w:space="0" w:color="auto"/>
                    <w:left w:val="none" w:sz="0" w:space="0" w:color="auto"/>
                    <w:bottom w:val="none" w:sz="0" w:space="0" w:color="auto"/>
                    <w:right w:val="none" w:sz="0" w:space="0" w:color="auto"/>
                  </w:divBdr>
                  <w:divsChild>
                    <w:div w:id="364137266">
                      <w:marLeft w:val="0"/>
                      <w:marRight w:val="0"/>
                      <w:marTop w:val="0"/>
                      <w:marBottom w:val="375"/>
                      <w:divBdr>
                        <w:top w:val="none" w:sz="0" w:space="0" w:color="auto"/>
                        <w:left w:val="none" w:sz="0" w:space="0" w:color="auto"/>
                        <w:bottom w:val="none" w:sz="0" w:space="0" w:color="auto"/>
                        <w:right w:val="none" w:sz="0" w:space="0" w:color="auto"/>
                      </w:divBdr>
                      <w:divsChild>
                        <w:div w:id="130889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861848">
      <w:bodyDiv w:val="1"/>
      <w:marLeft w:val="0"/>
      <w:marRight w:val="0"/>
      <w:marTop w:val="0"/>
      <w:marBottom w:val="0"/>
      <w:divBdr>
        <w:top w:val="none" w:sz="0" w:space="0" w:color="auto"/>
        <w:left w:val="none" w:sz="0" w:space="0" w:color="auto"/>
        <w:bottom w:val="none" w:sz="0" w:space="0" w:color="auto"/>
        <w:right w:val="none" w:sz="0" w:space="0" w:color="auto"/>
      </w:divBdr>
      <w:divsChild>
        <w:div w:id="119692044">
          <w:marLeft w:val="0"/>
          <w:marRight w:val="0"/>
          <w:marTop w:val="240"/>
          <w:marBottom w:val="0"/>
          <w:divBdr>
            <w:top w:val="none" w:sz="0" w:space="0" w:color="auto"/>
            <w:left w:val="none" w:sz="0" w:space="0" w:color="auto"/>
            <w:bottom w:val="none" w:sz="0" w:space="0" w:color="auto"/>
            <w:right w:val="none" w:sz="0" w:space="0" w:color="auto"/>
          </w:divBdr>
          <w:divsChild>
            <w:div w:id="63334331">
              <w:marLeft w:val="0"/>
              <w:marRight w:val="0"/>
              <w:marTop w:val="0"/>
              <w:marBottom w:val="0"/>
              <w:divBdr>
                <w:top w:val="none" w:sz="0" w:space="0" w:color="auto"/>
                <w:left w:val="none" w:sz="0" w:space="0" w:color="auto"/>
                <w:bottom w:val="none" w:sz="0" w:space="0" w:color="auto"/>
                <w:right w:val="none" w:sz="0" w:space="0" w:color="auto"/>
              </w:divBdr>
            </w:div>
          </w:divsChild>
        </w:div>
        <w:div w:id="153373672">
          <w:marLeft w:val="0"/>
          <w:marRight w:val="0"/>
          <w:marTop w:val="240"/>
          <w:marBottom w:val="0"/>
          <w:divBdr>
            <w:top w:val="none" w:sz="0" w:space="0" w:color="auto"/>
            <w:left w:val="none" w:sz="0" w:space="0" w:color="auto"/>
            <w:bottom w:val="none" w:sz="0" w:space="0" w:color="auto"/>
            <w:right w:val="none" w:sz="0" w:space="0" w:color="auto"/>
          </w:divBdr>
          <w:divsChild>
            <w:div w:id="1397625424">
              <w:marLeft w:val="0"/>
              <w:marRight w:val="0"/>
              <w:marTop w:val="0"/>
              <w:marBottom w:val="0"/>
              <w:divBdr>
                <w:top w:val="none" w:sz="0" w:space="0" w:color="auto"/>
                <w:left w:val="none" w:sz="0" w:space="0" w:color="auto"/>
                <w:bottom w:val="none" w:sz="0" w:space="0" w:color="auto"/>
                <w:right w:val="none" w:sz="0" w:space="0" w:color="auto"/>
              </w:divBdr>
            </w:div>
          </w:divsChild>
        </w:div>
        <w:div w:id="1336373486">
          <w:marLeft w:val="0"/>
          <w:marRight w:val="0"/>
          <w:marTop w:val="240"/>
          <w:marBottom w:val="0"/>
          <w:divBdr>
            <w:top w:val="none" w:sz="0" w:space="0" w:color="auto"/>
            <w:left w:val="none" w:sz="0" w:space="0" w:color="auto"/>
            <w:bottom w:val="none" w:sz="0" w:space="0" w:color="auto"/>
            <w:right w:val="none" w:sz="0" w:space="0" w:color="auto"/>
          </w:divBdr>
          <w:divsChild>
            <w:div w:id="651132111">
              <w:marLeft w:val="0"/>
              <w:marRight w:val="0"/>
              <w:marTop w:val="0"/>
              <w:marBottom w:val="0"/>
              <w:divBdr>
                <w:top w:val="none" w:sz="0" w:space="0" w:color="auto"/>
                <w:left w:val="none" w:sz="0" w:space="0" w:color="auto"/>
                <w:bottom w:val="none" w:sz="0" w:space="0" w:color="auto"/>
                <w:right w:val="none" w:sz="0" w:space="0" w:color="auto"/>
              </w:divBdr>
            </w:div>
          </w:divsChild>
        </w:div>
        <w:div w:id="1340084828">
          <w:marLeft w:val="0"/>
          <w:marRight w:val="0"/>
          <w:marTop w:val="240"/>
          <w:marBottom w:val="0"/>
          <w:divBdr>
            <w:top w:val="none" w:sz="0" w:space="0" w:color="auto"/>
            <w:left w:val="none" w:sz="0" w:space="0" w:color="auto"/>
            <w:bottom w:val="none" w:sz="0" w:space="0" w:color="auto"/>
            <w:right w:val="none" w:sz="0" w:space="0" w:color="auto"/>
          </w:divBdr>
          <w:divsChild>
            <w:div w:id="247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0363">
      <w:bodyDiv w:val="1"/>
      <w:marLeft w:val="0"/>
      <w:marRight w:val="0"/>
      <w:marTop w:val="0"/>
      <w:marBottom w:val="0"/>
      <w:divBdr>
        <w:top w:val="none" w:sz="0" w:space="0" w:color="auto"/>
        <w:left w:val="none" w:sz="0" w:space="0" w:color="auto"/>
        <w:bottom w:val="none" w:sz="0" w:space="0" w:color="auto"/>
        <w:right w:val="none" w:sz="0" w:space="0" w:color="auto"/>
      </w:divBdr>
      <w:divsChild>
        <w:div w:id="2040230720">
          <w:marLeft w:val="0"/>
          <w:marRight w:val="0"/>
          <w:marTop w:val="0"/>
          <w:marBottom w:val="0"/>
          <w:divBdr>
            <w:top w:val="none" w:sz="0" w:space="0" w:color="auto"/>
            <w:left w:val="none" w:sz="0" w:space="0" w:color="auto"/>
            <w:bottom w:val="none" w:sz="0" w:space="0" w:color="auto"/>
            <w:right w:val="none" w:sz="0" w:space="0" w:color="auto"/>
          </w:divBdr>
          <w:divsChild>
            <w:div w:id="975334564">
              <w:marLeft w:val="0"/>
              <w:marRight w:val="0"/>
              <w:marTop w:val="0"/>
              <w:marBottom w:val="0"/>
              <w:divBdr>
                <w:top w:val="none" w:sz="0" w:space="0" w:color="auto"/>
                <w:left w:val="none" w:sz="0" w:space="0" w:color="auto"/>
                <w:bottom w:val="none" w:sz="0" w:space="0" w:color="auto"/>
                <w:right w:val="none" w:sz="0" w:space="0" w:color="auto"/>
              </w:divBdr>
              <w:divsChild>
                <w:div w:id="1144548868">
                  <w:marLeft w:val="0"/>
                  <w:marRight w:val="0"/>
                  <w:marTop w:val="0"/>
                  <w:marBottom w:val="0"/>
                  <w:divBdr>
                    <w:top w:val="none" w:sz="0" w:space="0" w:color="auto"/>
                    <w:left w:val="none" w:sz="0" w:space="0" w:color="auto"/>
                    <w:bottom w:val="none" w:sz="0" w:space="0" w:color="auto"/>
                    <w:right w:val="none" w:sz="0" w:space="0" w:color="auto"/>
                  </w:divBdr>
                  <w:divsChild>
                    <w:div w:id="1991446754">
                      <w:marLeft w:val="0"/>
                      <w:marRight w:val="0"/>
                      <w:marTop w:val="0"/>
                      <w:marBottom w:val="375"/>
                      <w:divBdr>
                        <w:top w:val="none" w:sz="0" w:space="0" w:color="auto"/>
                        <w:left w:val="none" w:sz="0" w:space="0" w:color="auto"/>
                        <w:bottom w:val="none" w:sz="0" w:space="0" w:color="auto"/>
                        <w:right w:val="none" w:sz="0" w:space="0" w:color="auto"/>
                      </w:divBdr>
                      <w:divsChild>
                        <w:div w:id="180481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151286">
      <w:bodyDiv w:val="1"/>
      <w:marLeft w:val="0"/>
      <w:marRight w:val="0"/>
      <w:marTop w:val="0"/>
      <w:marBottom w:val="0"/>
      <w:divBdr>
        <w:top w:val="none" w:sz="0" w:space="0" w:color="auto"/>
        <w:left w:val="none" w:sz="0" w:space="0" w:color="auto"/>
        <w:bottom w:val="none" w:sz="0" w:space="0" w:color="auto"/>
        <w:right w:val="none" w:sz="0" w:space="0" w:color="auto"/>
      </w:divBdr>
      <w:divsChild>
        <w:div w:id="322050921">
          <w:marLeft w:val="0"/>
          <w:marRight w:val="0"/>
          <w:marTop w:val="0"/>
          <w:marBottom w:val="0"/>
          <w:divBdr>
            <w:top w:val="none" w:sz="0" w:space="0" w:color="auto"/>
            <w:left w:val="single" w:sz="6" w:space="0" w:color="BBBBBB"/>
            <w:bottom w:val="single" w:sz="6" w:space="0" w:color="BBBBBB"/>
            <w:right w:val="single" w:sz="6" w:space="0" w:color="BBBBBB"/>
          </w:divBdr>
          <w:divsChild>
            <w:div w:id="59251327">
              <w:marLeft w:val="0"/>
              <w:marRight w:val="0"/>
              <w:marTop w:val="0"/>
              <w:marBottom w:val="0"/>
              <w:divBdr>
                <w:top w:val="none" w:sz="0" w:space="0" w:color="auto"/>
                <w:left w:val="none" w:sz="0" w:space="0" w:color="auto"/>
                <w:bottom w:val="none" w:sz="0" w:space="0" w:color="auto"/>
                <w:right w:val="none" w:sz="0" w:space="0" w:color="auto"/>
              </w:divBdr>
              <w:divsChild>
                <w:div w:id="879587176">
                  <w:marLeft w:val="0"/>
                  <w:marRight w:val="0"/>
                  <w:marTop w:val="75"/>
                  <w:marBottom w:val="0"/>
                  <w:divBdr>
                    <w:top w:val="none" w:sz="0" w:space="0" w:color="auto"/>
                    <w:left w:val="none" w:sz="0" w:space="0" w:color="auto"/>
                    <w:bottom w:val="none" w:sz="0" w:space="0" w:color="auto"/>
                    <w:right w:val="none" w:sz="0" w:space="0" w:color="auto"/>
                  </w:divBdr>
                  <w:divsChild>
                    <w:div w:id="227500814">
                      <w:marLeft w:val="0"/>
                      <w:marRight w:val="0"/>
                      <w:marTop w:val="0"/>
                      <w:marBottom w:val="0"/>
                      <w:divBdr>
                        <w:top w:val="none" w:sz="0" w:space="0" w:color="auto"/>
                        <w:left w:val="none" w:sz="0" w:space="0" w:color="auto"/>
                        <w:bottom w:val="none" w:sz="0" w:space="0" w:color="auto"/>
                        <w:right w:val="none" w:sz="0" w:space="0" w:color="auto"/>
                      </w:divBdr>
                      <w:divsChild>
                        <w:div w:id="1740127847">
                          <w:marLeft w:val="0"/>
                          <w:marRight w:val="0"/>
                          <w:marTop w:val="0"/>
                          <w:marBottom w:val="0"/>
                          <w:divBdr>
                            <w:top w:val="none" w:sz="0" w:space="0" w:color="auto"/>
                            <w:left w:val="none" w:sz="0" w:space="0" w:color="auto"/>
                            <w:bottom w:val="none" w:sz="0" w:space="0" w:color="auto"/>
                            <w:right w:val="none" w:sz="0" w:space="0" w:color="auto"/>
                          </w:divBdr>
                          <w:divsChild>
                            <w:div w:id="1863780418">
                              <w:marLeft w:val="0"/>
                              <w:marRight w:val="0"/>
                              <w:marTop w:val="0"/>
                              <w:marBottom w:val="0"/>
                              <w:divBdr>
                                <w:top w:val="none" w:sz="0" w:space="0" w:color="auto"/>
                                <w:left w:val="none" w:sz="0" w:space="0" w:color="auto"/>
                                <w:bottom w:val="none" w:sz="0" w:space="0" w:color="auto"/>
                                <w:right w:val="none" w:sz="0" w:space="0" w:color="auto"/>
                              </w:divBdr>
                              <w:divsChild>
                                <w:div w:id="1568370659">
                                  <w:marLeft w:val="0"/>
                                  <w:marRight w:val="0"/>
                                  <w:marTop w:val="0"/>
                                  <w:marBottom w:val="0"/>
                                  <w:divBdr>
                                    <w:top w:val="none" w:sz="0" w:space="0" w:color="auto"/>
                                    <w:left w:val="none" w:sz="0" w:space="0" w:color="auto"/>
                                    <w:bottom w:val="none" w:sz="0" w:space="0" w:color="auto"/>
                                    <w:right w:val="none" w:sz="0" w:space="0" w:color="auto"/>
                                  </w:divBdr>
                                  <w:divsChild>
                                    <w:div w:id="1965581051">
                                      <w:marLeft w:val="0"/>
                                      <w:marRight w:val="0"/>
                                      <w:marTop w:val="0"/>
                                      <w:marBottom w:val="0"/>
                                      <w:divBdr>
                                        <w:top w:val="none" w:sz="0" w:space="0" w:color="auto"/>
                                        <w:left w:val="none" w:sz="0" w:space="0" w:color="auto"/>
                                        <w:bottom w:val="none" w:sz="0" w:space="0" w:color="auto"/>
                                        <w:right w:val="none" w:sz="0" w:space="0" w:color="auto"/>
                                      </w:divBdr>
                                      <w:divsChild>
                                        <w:div w:id="58788794">
                                          <w:marLeft w:val="1200"/>
                                          <w:marRight w:val="1200"/>
                                          <w:marTop w:val="0"/>
                                          <w:marBottom w:val="0"/>
                                          <w:divBdr>
                                            <w:top w:val="none" w:sz="0" w:space="0" w:color="auto"/>
                                            <w:left w:val="none" w:sz="0" w:space="0" w:color="auto"/>
                                            <w:bottom w:val="none" w:sz="0" w:space="0" w:color="auto"/>
                                            <w:right w:val="none" w:sz="0" w:space="0" w:color="auto"/>
                                          </w:divBdr>
                                          <w:divsChild>
                                            <w:div w:id="70739215">
                                              <w:marLeft w:val="0"/>
                                              <w:marRight w:val="0"/>
                                              <w:marTop w:val="0"/>
                                              <w:marBottom w:val="0"/>
                                              <w:divBdr>
                                                <w:top w:val="none" w:sz="0" w:space="0" w:color="auto"/>
                                                <w:left w:val="none" w:sz="0" w:space="0" w:color="auto"/>
                                                <w:bottom w:val="none" w:sz="0" w:space="0" w:color="auto"/>
                                                <w:right w:val="none" w:sz="0" w:space="0" w:color="auto"/>
                                              </w:divBdr>
                                              <w:divsChild>
                                                <w:div w:id="1264411768">
                                                  <w:marLeft w:val="0"/>
                                                  <w:marRight w:val="0"/>
                                                  <w:marTop w:val="0"/>
                                                  <w:marBottom w:val="0"/>
                                                  <w:divBdr>
                                                    <w:top w:val="none" w:sz="0" w:space="0" w:color="auto"/>
                                                    <w:left w:val="none" w:sz="0" w:space="0" w:color="auto"/>
                                                    <w:bottom w:val="none" w:sz="0" w:space="0" w:color="auto"/>
                                                    <w:right w:val="none" w:sz="0" w:space="0" w:color="auto"/>
                                                  </w:divBdr>
                                                  <w:divsChild>
                                                    <w:div w:id="423691380">
                                                      <w:marLeft w:val="0"/>
                                                      <w:marRight w:val="0"/>
                                                      <w:marTop w:val="0"/>
                                                      <w:marBottom w:val="0"/>
                                                      <w:divBdr>
                                                        <w:top w:val="none" w:sz="0" w:space="0" w:color="auto"/>
                                                        <w:left w:val="none" w:sz="0" w:space="0" w:color="auto"/>
                                                        <w:bottom w:val="none" w:sz="0" w:space="0" w:color="auto"/>
                                                        <w:right w:val="none" w:sz="0" w:space="0" w:color="auto"/>
                                                      </w:divBdr>
                                                      <w:divsChild>
                                                        <w:div w:id="1355183500">
                                                          <w:marLeft w:val="0"/>
                                                          <w:marRight w:val="0"/>
                                                          <w:marTop w:val="0"/>
                                                          <w:marBottom w:val="0"/>
                                                          <w:divBdr>
                                                            <w:top w:val="none" w:sz="0" w:space="0" w:color="auto"/>
                                                            <w:left w:val="none" w:sz="0" w:space="0" w:color="auto"/>
                                                            <w:bottom w:val="none" w:sz="0" w:space="0" w:color="auto"/>
                                                            <w:right w:val="none" w:sz="0" w:space="0" w:color="auto"/>
                                                          </w:divBdr>
                                                        </w:div>
                                                      </w:divsChild>
                                                    </w:div>
                                                    <w:div w:id="426000903">
                                                      <w:marLeft w:val="0"/>
                                                      <w:marRight w:val="0"/>
                                                      <w:marTop w:val="0"/>
                                                      <w:marBottom w:val="0"/>
                                                      <w:divBdr>
                                                        <w:top w:val="none" w:sz="0" w:space="0" w:color="auto"/>
                                                        <w:left w:val="none" w:sz="0" w:space="0" w:color="auto"/>
                                                        <w:bottom w:val="none" w:sz="0" w:space="0" w:color="auto"/>
                                                        <w:right w:val="none" w:sz="0" w:space="0" w:color="auto"/>
                                                      </w:divBdr>
                                                      <w:divsChild>
                                                        <w:div w:id="1651446682">
                                                          <w:marLeft w:val="0"/>
                                                          <w:marRight w:val="0"/>
                                                          <w:marTop w:val="0"/>
                                                          <w:marBottom w:val="0"/>
                                                          <w:divBdr>
                                                            <w:top w:val="none" w:sz="0" w:space="0" w:color="auto"/>
                                                            <w:left w:val="none" w:sz="0" w:space="0" w:color="auto"/>
                                                            <w:bottom w:val="none" w:sz="0" w:space="0" w:color="auto"/>
                                                            <w:right w:val="none" w:sz="0" w:space="0" w:color="auto"/>
                                                          </w:divBdr>
                                                        </w:div>
                                                      </w:divsChild>
                                                    </w:div>
                                                    <w:div w:id="1218473787">
                                                      <w:marLeft w:val="0"/>
                                                      <w:marRight w:val="0"/>
                                                      <w:marTop w:val="0"/>
                                                      <w:marBottom w:val="0"/>
                                                      <w:divBdr>
                                                        <w:top w:val="none" w:sz="0" w:space="0" w:color="auto"/>
                                                        <w:left w:val="none" w:sz="0" w:space="0" w:color="auto"/>
                                                        <w:bottom w:val="none" w:sz="0" w:space="0" w:color="auto"/>
                                                        <w:right w:val="none" w:sz="0" w:space="0" w:color="auto"/>
                                                      </w:divBdr>
                                                      <w:divsChild>
                                                        <w:div w:id="1516843577">
                                                          <w:marLeft w:val="0"/>
                                                          <w:marRight w:val="0"/>
                                                          <w:marTop w:val="0"/>
                                                          <w:marBottom w:val="0"/>
                                                          <w:divBdr>
                                                            <w:top w:val="none" w:sz="0" w:space="0" w:color="auto"/>
                                                            <w:left w:val="none" w:sz="0" w:space="0" w:color="auto"/>
                                                            <w:bottom w:val="none" w:sz="0" w:space="0" w:color="auto"/>
                                                            <w:right w:val="none" w:sz="0" w:space="0" w:color="auto"/>
                                                          </w:divBdr>
                                                        </w:div>
                                                      </w:divsChild>
                                                    </w:div>
                                                    <w:div w:id="1221599563">
                                                      <w:marLeft w:val="0"/>
                                                      <w:marRight w:val="0"/>
                                                      <w:marTop w:val="0"/>
                                                      <w:marBottom w:val="0"/>
                                                      <w:divBdr>
                                                        <w:top w:val="none" w:sz="0" w:space="0" w:color="auto"/>
                                                        <w:left w:val="none" w:sz="0" w:space="0" w:color="auto"/>
                                                        <w:bottom w:val="none" w:sz="0" w:space="0" w:color="auto"/>
                                                        <w:right w:val="none" w:sz="0" w:space="0" w:color="auto"/>
                                                      </w:divBdr>
                                                      <w:divsChild>
                                                        <w:div w:id="482504984">
                                                          <w:marLeft w:val="0"/>
                                                          <w:marRight w:val="0"/>
                                                          <w:marTop w:val="0"/>
                                                          <w:marBottom w:val="0"/>
                                                          <w:divBdr>
                                                            <w:top w:val="none" w:sz="0" w:space="0" w:color="auto"/>
                                                            <w:left w:val="none" w:sz="0" w:space="0" w:color="auto"/>
                                                            <w:bottom w:val="none" w:sz="0" w:space="0" w:color="auto"/>
                                                            <w:right w:val="none" w:sz="0" w:space="0" w:color="auto"/>
                                                          </w:divBdr>
                                                        </w:div>
                                                      </w:divsChild>
                                                    </w:div>
                                                    <w:div w:id="1368724380">
                                                      <w:marLeft w:val="0"/>
                                                      <w:marRight w:val="0"/>
                                                      <w:marTop w:val="0"/>
                                                      <w:marBottom w:val="0"/>
                                                      <w:divBdr>
                                                        <w:top w:val="none" w:sz="0" w:space="0" w:color="auto"/>
                                                        <w:left w:val="none" w:sz="0" w:space="0" w:color="auto"/>
                                                        <w:bottom w:val="none" w:sz="0" w:space="0" w:color="auto"/>
                                                        <w:right w:val="none" w:sz="0" w:space="0" w:color="auto"/>
                                                      </w:divBdr>
                                                      <w:divsChild>
                                                        <w:div w:id="658465474">
                                                          <w:marLeft w:val="0"/>
                                                          <w:marRight w:val="0"/>
                                                          <w:marTop w:val="0"/>
                                                          <w:marBottom w:val="0"/>
                                                          <w:divBdr>
                                                            <w:top w:val="none" w:sz="0" w:space="0" w:color="auto"/>
                                                            <w:left w:val="none" w:sz="0" w:space="0" w:color="auto"/>
                                                            <w:bottom w:val="none" w:sz="0" w:space="0" w:color="auto"/>
                                                            <w:right w:val="none" w:sz="0" w:space="0" w:color="auto"/>
                                                          </w:divBdr>
                                                        </w:div>
                                                      </w:divsChild>
                                                    </w:div>
                                                    <w:div w:id="1966501209">
                                                      <w:marLeft w:val="0"/>
                                                      <w:marRight w:val="0"/>
                                                      <w:marTop w:val="0"/>
                                                      <w:marBottom w:val="0"/>
                                                      <w:divBdr>
                                                        <w:top w:val="none" w:sz="0" w:space="0" w:color="auto"/>
                                                        <w:left w:val="none" w:sz="0" w:space="0" w:color="auto"/>
                                                        <w:bottom w:val="none" w:sz="0" w:space="0" w:color="auto"/>
                                                        <w:right w:val="none" w:sz="0" w:space="0" w:color="auto"/>
                                                      </w:divBdr>
                                                      <w:divsChild>
                                                        <w:div w:id="20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3804587">
      <w:bodyDiv w:val="1"/>
      <w:marLeft w:val="0"/>
      <w:marRight w:val="0"/>
      <w:marTop w:val="0"/>
      <w:marBottom w:val="0"/>
      <w:divBdr>
        <w:top w:val="none" w:sz="0" w:space="0" w:color="auto"/>
        <w:left w:val="none" w:sz="0" w:space="0" w:color="auto"/>
        <w:bottom w:val="none" w:sz="0" w:space="0" w:color="auto"/>
        <w:right w:val="none" w:sz="0" w:space="0" w:color="auto"/>
      </w:divBdr>
    </w:div>
    <w:div w:id="335112206">
      <w:bodyDiv w:val="1"/>
      <w:marLeft w:val="0"/>
      <w:marRight w:val="0"/>
      <w:marTop w:val="0"/>
      <w:marBottom w:val="0"/>
      <w:divBdr>
        <w:top w:val="none" w:sz="0" w:space="0" w:color="auto"/>
        <w:left w:val="none" w:sz="0" w:space="0" w:color="auto"/>
        <w:bottom w:val="none" w:sz="0" w:space="0" w:color="auto"/>
        <w:right w:val="none" w:sz="0" w:space="0" w:color="auto"/>
      </w:divBdr>
      <w:divsChild>
        <w:div w:id="1445661160">
          <w:marLeft w:val="0"/>
          <w:marRight w:val="0"/>
          <w:marTop w:val="0"/>
          <w:marBottom w:val="0"/>
          <w:divBdr>
            <w:top w:val="none" w:sz="0" w:space="0" w:color="auto"/>
            <w:left w:val="none" w:sz="0" w:space="0" w:color="auto"/>
            <w:bottom w:val="none" w:sz="0" w:space="0" w:color="auto"/>
            <w:right w:val="none" w:sz="0" w:space="0" w:color="auto"/>
          </w:divBdr>
          <w:divsChild>
            <w:div w:id="611471374">
              <w:marLeft w:val="0"/>
              <w:marRight w:val="0"/>
              <w:marTop w:val="0"/>
              <w:marBottom w:val="0"/>
              <w:divBdr>
                <w:top w:val="none" w:sz="0" w:space="0" w:color="auto"/>
                <w:left w:val="none" w:sz="0" w:space="0" w:color="auto"/>
                <w:bottom w:val="none" w:sz="0" w:space="0" w:color="auto"/>
                <w:right w:val="none" w:sz="0" w:space="0" w:color="auto"/>
              </w:divBdr>
              <w:divsChild>
                <w:div w:id="681207576">
                  <w:marLeft w:val="0"/>
                  <w:marRight w:val="0"/>
                  <w:marTop w:val="0"/>
                  <w:marBottom w:val="0"/>
                  <w:divBdr>
                    <w:top w:val="none" w:sz="0" w:space="0" w:color="auto"/>
                    <w:left w:val="none" w:sz="0" w:space="0" w:color="auto"/>
                    <w:bottom w:val="none" w:sz="0" w:space="0" w:color="auto"/>
                    <w:right w:val="none" w:sz="0" w:space="0" w:color="auto"/>
                  </w:divBdr>
                  <w:divsChild>
                    <w:div w:id="1354113915">
                      <w:marLeft w:val="0"/>
                      <w:marRight w:val="0"/>
                      <w:marTop w:val="0"/>
                      <w:marBottom w:val="375"/>
                      <w:divBdr>
                        <w:top w:val="none" w:sz="0" w:space="0" w:color="auto"/>
                        <w:left w:val="none" w:sz="0" w:space="0" w:color="auto"/>
                        <w:bottom w:val="none" w:sz="0" w:space="0" w:color="auto"/>
                        <w:right w:val="none" w:sz="0" w:space="0" w:color="auto"/>
                      </w:divBdr>
                      <w:divsChild>
                        <w:div w:id="19536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500162">
      <w:bodyDiv w:val="1"/>
      <w:marLeft w:val="0"/>
      <w:marRight w:val="0"/>
      <w:marTop w:val="0"/>
      <w:marBottom w:val="0"/>
      <w:divBdr>
        <w:top w:val="none" w:sz="0" w:space="0" w:color="auto"/>
        <w:left w:val="none" w:sz="0" w:space="0" w:color="auto"/>
        <w:bottom w:val="none" w:sz="0" w:space="0" w:color="auto"/>
        <w:right w:val="none" w:sz="0" w:space="0" w:color="auto"/>
      </w:divBdr>
      <w:divsChild>
        <w:div w:id="1420635954">
          <w:marLeft w:val="0"/>
          <w:marRight w:val="0"/>
          <w:marTop w:val="240"/>
          <w:marBottom w:val="0"/>
          <w:divBdr>
            <w:top w:val="none" w:sz="0" w:space="0" w:color="auto"/>
            <w:left w:val="none" w:sz="0" w:space="0" w:color="auto"/>
            <w:bottom w:val="none" w:sz="0" w:space="0" w:color="auto"/>
            <w:right w:val="none" w:sz="0" w:space="0" w:color="auto"/>
          </w:divBdr>
          <w:divsChild>
            <w:div w:id="580872992">
              <w:marLeft w:val="0"/>
              <w:marRight w:val="0"/>
              <w:marTop w:val="0"/>
              <w:marBottom w:val="0"/>
              <w:divBdr>
                <w:top w:val="none" w:sz="0" w:space="0" w:color="auto"/>
                <w:left w:val="none" w:sz="0" w:space="0" w:color="auto"/>
                <w:bottom w:val="none" w:sz="0" w:space="0" w:color="auto"/>
                <w:right w:val="none" w:sz="0" w:space="0" w:color="auto"/>
              </w:divBdr>
            </w:div>
          </w:divsChild>
        </w:div>
        <w:div w:id="109787094">
          <w:marLeft w:val="0"/>
          <w:marRight w:val="0"/>
          <w:marTop w:val="240"/>
          <w:marBottom w:val="0"/>
          <w:divBdr>
            <w:top w:val="none" w:sz="0" w:space="0" w:color="auto"/>
            <w:left w:val="none" w:sz="0" w:space="0" w:color="auto"/>
            <w:bottom w:val="none" w:sz="0" w:space="0" w:color="auto"/>
            <w:right w:val="none" w:sz="0" w:space="0" w:color="auto"/>
          </w:divBdr>
          <w:divsChild>
            <w:div w:id="389882465">
              <w:marLeft w:val="0"/>
              <w:marRight w:val="0"/>
              <w:marTop w:val="0"/>
              <w:marBottom w:val="0"/>
              <w:divBdr>
                <w:top w:val="none" w:sz="0" w:space="0" w:color="auto"/>
                <w:left w:val="none" w:sz="0" w:space="0" w:color="auto"/>
                <w:bottom w:val="none" w:sz="0" w:space="0" w:color="auto"/>
                <w:right w:val="none" w:sz="0" w:space="0" w:color="auto"/>
              </w:divBdr>
            </w:div>
          </w:divsChild>
        </w:div>
        <w:div w:id="887107127">
          <w:marLeft w:val="0"/>
          <w:marRight w:val="0"/>
          <w:marTop w:val="240"/>
          <w:marBottom w:val="0"/>
          <w:divBdr>
            <w:top w:val="none" w:sz="0" w:space="0" w:color="auto"/>
            <w:left w:val="none" w:sz="0" w:space="0" w:color="auto"/>
            <w:bottom w:val="none" w:sz="0" w:space="0" w:color="auto"/>
            <w:right w:val="none" w:sz="0" w:space="0" w:color="auto"/>
          </w:divBdr>
          <w:divsChild>
            <w:div w:id="36321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68024">
      <w:bodyDiv w:val="1"/>
      <w:marLeft w:val="30"/>
      <w:marRight w:val="30"/>
      <w:marTop w:val="30"/>
      <w:marBottom w:val="30"/>
      <w:divBdr>
        <w:top w:val="none" w:sz="0" w:space="0" w:color="auto"/>
        <w:left w:val="none" w:sz="0" w:space="0" w:color="auto"/>
        <w:bottom w:val="none" w:sz="0" w:space="0" w:color="auto"/>
        <w:right w:val="none" w:sz="0" w:space="0" w:color="auto"/>
      </w:divBdr>
      <w:divsChild>
        <w:div w:id="1487437677">
          <w:marLeft w:val="0"/>
          <w:marRight w:val="0"/>
          <w:marTop w:val="0"/>
          <w:marBottom w:val="0"/>
          <w:divBdr>
            <w:top w:val="none" w:sz="0" w:space="0" w:color="auto"/>
            <w:left w:val="none" w:sz="0" w:space="0" w:color="auto"/>
            <w:bottom w:val="none" w:sz="0" w:space="0" w:color="auto"/>
            <w:right w:val="none" w:sz="0" w:space="0" w:color="auto"/>
          </w:divBdr>
          <w:divsChild>
            <w:div w:id="362751741">
              <w:marLeft w:val="45"/>
              <w:marRight w:val="45"/>
              <w:marTop w:val="45"/>
              <w:marBottom w:val="45"/>
              <w:divBdr>
                <w:top w:val="none" w:sz="0" w:space="0" w:color="auto"/>
                <w:left w:val="none" w:sz="0" w:space="0" w:color="auto"/>
                <w:bottom w:val="none" w:sz="0" w:space="0" w:color="auto"/>
                <w:right w:val="none" w:sz="0" w:space="0" w:color="auto"/>
              </w:divBdr>
              <w:divsChild>
                <w:div w:id="1824589375">
                  <w:marLeft w:val="0"/>
                  <w:marRight w:val="0"/>
                  <w:marTop w:val="0"/>
                  <w:marBottom w:val="0"/>
                  <w:divBdr>
                    <w:top w:val="none" w:sz="0" w:space="0" w:color="auto"/>
                    <w:left w:val="none" w:sz="0" w:space="0" w:color="auto"/>
                    <w:bottom w:val="none" w:sz="0" w:space="0" w:color="auto"/>
                    <w:right w:val="none" w:sz="0" w:space="0" w:color="auto"/>
                  </w:divBdr>
                  <w:divsChild>
                    <w:div w:id="479883295">
                      <w:marLeft w:val="0"/>
                      <w:marRight w:val="0"/>
                      <w:marTop w:val="0"/>
                      <w:marBottom w:val="0"/>
                      <w:divBdr>
                        <w:top w:val="none" w:sz="0" w:space="0" w:color="auto"/>
                        <w:left w:val="none" w:sz="0" w:space="0" w:color="auto"/>
                        <w:bottom w:val="none" w:sz="0" w:space="0" w:color="auto"/>
                        <w:right w:val="none" w:sz="0" w:space="0" w:color="auto"/>
                      </w:divBdr>
                    </w:div>
                    <w:div w:id="20083601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88418">
      <w:bodyDiv w:val="1"/>
      <w:marLeft w:val="0"/>
      <w:marRight w:val="0"/>
      <w:marTop w:val="0"/>
      <w:marBottom w:val="0"/>
      <w:divBdr>
        <w:top w:val="none" w:sz="0" w:space="0" w:color="auto"/>
        <w:left w:val="none" w:sz="0" w:space="0" w:color="auto"/>
        <w:bottom w:val="none" w:sz="0" w:space="0" w:color="auto"/>
        <w:right w:val="none" w:sz="0" w:space="0" w:color="auto"/>
      </w:divBdr>
      <w:divsChild>
        <w:div w:id="885945049">
          <w:marLeft w:val="0"/>
          <w:marRight w:val="0"/>
          <w:marTop w:val="0"/>
          <w:marBottom w:val="0"/>
          <w:divBdr>
            <w:top w:val="none" w:sz="0" w:space="0" w:color="auto"/>
            <w:left w:val="none" w:sz="0" w:space="0" w:color="auto"/>
            <w:bottom w:val="none" w:sz="0" w:space="0" w:color="auto"/>
            <w:right w:val="none" w:sz="0" w:space="0" w:color="auto"/>
          </w:divBdr>
          <w:divsChild>
            <w:div w:id="562060125">
              <w:marLeft w:val="0"/>
              <w:marRight w:val="0"/>
              <w:marTop w:val="0"/>
              <w:marBottom w:val="0"/>
              <w:divBdr>
                <w:top w:val="none" w:sz="0" w:space="0" w:color="auto"/>
                <w:left w:val="none" w:sz="0" w:space="0" w:color="auto"/>
                <w:bottom w:val="none" w:sz="0" w:space="0" w:color="auto"/>
                <w:right w:val="none" w:sz="0" w:space="0" w:color="auto"/>
              </w:divBdr>
              <w:divsChild>
                <w:div w:id="747726806">
                  <w:marLeft w:val="0"/>
                  <w:marRight w:val="0"/>
                  <w:marTop w:val="0"/>
                  <w:marBottom w:val="0"/>
                  <w:divBdr>
                    <w:top w:val="none" w:sz="0" w:space="0" w:color="auto"/>
                    <w:left w:val="none" w:sz="0" w:space="0" w:color="auto"/>
                    <w:bottom w:val="none" w:sz="0" w:space="0" w:color="auto"/>
                    <w:right w:val="none" w:sz="0" w:space="0" w:color="auto"/>
                  </w:divBdr>
                  <w:divsChild>
                    <w:div w:id="1229614145">
                      <w:marLeft w:val="0"/>
                      <w:marRight w:val="0"/>
                      <w:marTop w:val="0"/>
                      <w:marBottom w:val="375"/>
                      <w:divBdr>
                        <w:top w:val="none" w:sz="0" w:space="0" w:color="auto"/>
                        <w:left w:val="none" w:sz="0" w:space="0" w:color="auto"/>
                        <w:bottom w:val="none" w:sz="0" w:space="0" w:color="auto"/>
                        <w:right w:val="none" w:sz="0" w:space="0" w:color="auto"/>
                      </w:divBdr>
                      <w:divsChild>
                        <w:div w:id="8145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013926">
      <w:bodyDiv w:val="1"/>
      <w:marLeft w:val="0"/>
      <w:marRight w:val="0"/>
      <w:marTop w:val="0"/>
      <w:marBottom w:val="0"/>
      <w:divBdr>
        <w:top w:val="none" w:sz="0" w:space="0" w:color="auto"/>
        <w:left w:val="none" w:sz="0" w:space="0" w:color="auto"/>
        <w:bottom w:val="none" w:sz="0" w:space="0" w:color="auto"/>
        <w:right w:val="none" w:sz="0" w:space="0" w:color="auto"/>
      </w:divBdr>
      <w:divsChild>
        <w:div w:id="697853282">
          <w:marLeft w:val="0"/>
          <w:marRight w:val="0"/>
          <w:marTop w:val="0"/>
          <w:marBottom w:val="0"/>
          <w:divBdr>
            <w:top w:val="none" w:sz="0" w:space="0" w:color="auto"/>
            <w:left w:val="single" w:sz="6" w:space="0" w:color="BBBBBB"/>
            <w:bottom w:val="single" w:sz="6" w:space="0" w:color="BBBBBB"/>
            <w:right w:val="single" w:sz="6" w:space="0" w:color="BBBBBB"/>
          </w:divBdr>
          <w:divsChild>
            <w:div w:id="1213079749">
              <w:marLeft w:val="0"/>
              <w:marRight w:val="0"/>
              <w:marTop w:val="0"/>
              <w:marBottom w:val="0"/>
              <w:divBdr>
                <w:top w:val="none" w:sz="0" w:space="0" w:color="auto"/>
                <w:left w:val="none" w:sz="0" w:space="0" w:color="auto"/>
                <w:bottom w:val="none" w:sz="0" w:space="0" w:color="auto"/>
                <w:right w:val="none" w:sz="0" w:space="0" w:color="auto"/>
              </w:divBdr>
              <w:divsChild>
                <w:div w:id="1464887912">
                  <w:marLeft w:val="0"/>
                  <w:marRight w:val="0"/>
                  <w:marTop w:val="75"/>
                  <w:marBottom w:val="0"/>
                  <w:divBdr>
                    <w:top w:val="none" w:sz="0" w:space="0" w:color="auto"/>
                    <w:left w:val="none" w:sz="0" w:space="0" w:color="auto"/>
                    <w:bottom w:val="none" w:sz="0" w:space="0" w:color="auto"/>
                    <w:right w:val="none" w:sz="0" w:space="0" w:color="auto"/>
                  </w:divBdr>
                  <w:divsChild>
                    <w:div w:id="1195536514">
                      <w:marLeft w:val="0"/>
                      <w:marRight w:val="0"/>
                      <w:marTop w:val="0"/>
                      <w:marBottom w:val="0"/>
                      <w:divBdr>
                        <w:top w:val="none" w:sz="0" w:space="0" w:color="auto"/>
                        <w:left w:val="none" w:sz="0" w:space="0" w:color="auto"/>
                        <w:bottom w:val="none" w:sz="0" w:space="0" w:color="auto"/>
                        <w:right w:val="none" w:sz="0" w:space="0" w:color="auto"/>
                      </w:divBdr>
                      <w:divsChild>
                        <w:div w:id="1145194563">
                          <w:marLeft w:val="0"/>
                          <w:marRight w:val="0"/>
                          <w:marTop w:val="0"/>
                          <w:marBottom w:val="0"/>
                          <w:divBdr>
                            <w:top w:val="none" w:sz="0" w:space="0" w:color="auto"/>
                            <w:left w:val="none" w:sz="0" w:space="0" w:color="auto"/>
                            <w:bottom w:val="none" w:sz="0" w:space="0" w:color="auto"/>
                            <w:right w:val="none" w:sz="0" w:space="0" w:color="auto"/>
                          </w:divBdr>
                          <w:divsChild>
                            <w:div w:id="886644379">
                              <w:marLeft w:val="0"/>
                              <w:marRight w:val="0"/>
                              <w:marTop w:val="0"/>
                              <w:marBottom w:val="0"/>
                              <w:divBdr>
                                <w:top w:val="none" w:sz="0" w:space="0" w:color="auto"/>
                                <w:left w:val="none" w:sz="0" w:space="0" w:color="auto"/>
                                <w:bottom w:val="none" w:sz="0" w:space="0" w:color="auto"/>
                                <w:right w:val="none" w:sz="0" w:space="0" w:color="auto"/>
                              </w:divBdr>
                              <w:divsChild>
                                <w:div w:id="1043751143">
                                  <w:marLeft w:val="0"/>
                                  <w:marRight w:val="0"/>
                                  <w:marTop w:val="0"/>
                                  <w:marBottom w:val="0"/>
                                  <w:divBdr>
                                    <w:top w:val="none" w:sz="0" w:space="0" w:color="auto"/>
                                    <w:left w:val="none" w:sz="0" w:space="0" w:color="auto"/>
                                    <w:bottom w:val="none" w:sz="0" w:space="0" w:color="auto"/>
                                    <w:right w:val="none" w:sz="0" w:space="0" w:color="auto"/>
                                  </w:divBdr>
                                  <w:divsChild>
                                    <w:div w:id="1000080112">
                                      <w:marLeft w:val="0"/>
                                      <w:marRight w:val="0"/>
                                      <w:marTop w:val="0"/>
                                      <w:marBottom w:val="0"/>
                                      <w:divBdr>
                                        <w:top w:val="none" w:sz="0" w:space="0" w:color="auto"/>
                                        <w:left w:val="none" w:sz="0" w:space="0" w:color="auto"/>
                                        <w:bottom w:val="none" w:sz="0" w:space="0" w:color="auto"/>
                                        <w:right w:val="none" w:sz="0" w:space="0" w:color="auto"/>
                                      </w:divBdr>
                                      <w:divsChild>
                                        <w:div w:id="1140539701">
                                          <w:marLeft w:val="1200"/>
                                          <w:marRight w:val="1200"/>
                                          <w:marTop w:val="0"/>
                                          <w:marBottom w:val="0"/>
                                          <w:divBdr>
                                            <w:top w:val="none" w:sz="0" w:space="0" w:color="auto"/>
                                            <w:left w:val="none" w:sz="0" w:space="0" w:color="auto"/>
                                            <w:bottom w:val="none" w:sz="0" w:space="0" w:color="auto"/>
                                            <w:right w:val="none" w:sz="0" w:space="0" w:color="auto"/>
                                          </w:divBdr>
                                          <w:divsChild>
                                            <w:div w:id="224068570">
                                              <w:marLeft w:val="0"/>
                                              <w:marRight w:val="0"/>
                                              <w:marTop w:val="0"/>
                                              <w:marBottom w:val="0"/>
                                              <w:divBdr>
                                                <w:top w:val="none" w:sz="0" w:space="0" w:color="auto"/>
                                                <w:left w:val="none" w:sz="0" w:space="0" w:color="auto"/>
                                                <w:bottom w:val="none" w:sz="0" w:space="0" w:color="auto"/>
                                                <w:right w:val="none" w:sz="0" w:space="0" w:color="auto"/>
                                              </w:divBdr>
                                              <w:divsChild>
                                                <w:div w:id="326712508">
                                                  <w:marLeft w:val="0"/>
                                                  <w:marRight w:val="0"/>
                                                  <w:marTop w:val="0"/>
                                                  <w:marBottom w:val="0"/>
                                                  <w:divBdr>
                                                    <w:top w:val="none" w:sz="0" w:space="0" w:color="auto"/>
                                                    <w:left w:val="none" w:sz="0" w:space="0" w:color="auto"/>
                                                    <w:bottom w:val="none" w:sz="0" w:space="0" w:color="auto"/>
                                                    <w:right w:val="none" w:sz="0" w:space="0" w:color="auto"/>
                                                  </w:divBdr>
                                                  <w:divsChild>
                                                    <w:div w:id="130096330">
                                                      <w:marLeft w:val="0"/>
                                                      <w:marRight w:val="0"/>
                                                      <w:marTop w:val="0"/>
                                                      <w:marBottom w:val="0"/>
                                                      <w:divBdr>
                                                        <w:top w:val="none" w:sz="0" w:space="0" w:color="auto"/>
                                                        <w:left w:val="none" w:sz="0" w:space="0" w:color="auto"/>
                                                        <w:bottom w:val="none" w:sz="0" w:space="0" w:color="auto"/>
                                                        <w:right w:val="none" w:sz="0" w:space="0" w:color="auto"/>
                                                      </w:divBdr>
                                                      <w:divsChild>
                                                        <w:div w:id="292492450">
                                                          <w:marLeft w:val="0"/>
                                                          <w:marRight w:val="0"/>
                                                          <w:marTop w:val="0"/>
                                                          <w:marBottom w:val="0"/>
                                                          <w:divBdr>
                                                            <w:top w:val="none" w:sz="0" w:space="0" w:color="auto"/>
                                                            <w:left w:val="none" w:sz="0" w:space="0" w:color="auto"/>
                                                            <w:bottom w:val="none" w:sz="0" w:space="0" w:color="auto"/>
                                                            <w:right w:val="none" w:sz="0" w:space="0" w:color="auto"/>
                                                          </w:divBdr>
                                                        </w:div>
                                                      </w:divsChild>
                                                    </w:div>
                                                    <w:div w:id="792677441">
                                                      <w:marLeft w:val="0"/>
                                                      <w:marRight w:val="0"/>
                                                      <w:marTop w:val="0"/>
                                                      <w:marBottom w:val="0"/>
                                                      <w:divBdr>
                                                        <w:top w:val="none" w:sz="0" w:space="0" w:color="auto"/>
                                                        <w:left w:val="none" w:sz="0" w:space="0" w:color="auto"/>
                                                        <w:bottom w:val="none" w:sz="0" w:space="0" w:color="auto"/>
                                                        <w:right w:val="none" w:sz="0" w:space="0" w:color="auto"/>
                                                      </w:divBdr>
                                                      <w:divsChild>
                                                        <w:div w:id="1831171899">
                                                          <w:marLeft w:val="0"/>
                                                          <w:marRight w:val="0"/>
                                                          <w:marTop w:val="0"/>
                                                          <w:marBottom w:val="0"/>
                                                          <w:divBdr>
                                                            <w:top w:val="none" w:sz="0" w:space="0" w:color="auto"/>
                                                            <w:left w:val="none" w:sz="0" w:space="0" w:color="auto"/>
                                                            <w:bottom w:val="none" w:sz="0" w:space="0" w:color="auto"/>
                                                            <w:right w:val="none" w:sz="0" w:space="0" w:color="auto"/>
                                                          </w:divBdr>
                                                        </w:div>
                                                      </w:divsChild>
                                                    </w:div>
                                                    <w:div w:id="826092347">
                                                      <w:marLeft w:val="0"/>
                                                      <w:marRight w:val="0"/>
                                                      <w:marTop w:val="0"/>
                                                      <w:marBottom w:val="0"/>
                                                      <w:divBdr>
                                                        <w:top w:val="none" w:sz="0" w:space="0" w:color="auto"/>
                                                        <w:left w:val="none" w:sz="0" w:space="0" w:color="auto"/>
                                                        <w:bottom w:val="none" w:sz="0" w:space="0" w:color="auto"/>
                                                        <w:right w:val="none" w:sz="0" w:space="0" w:color="auto"/>
                                                      </w:divBdr>
                                                      <w:divsChild>
                                                        <w:div w:id="730927200">
                                                          <w:marLeft w:val="0"/>
                                                          <w:marRight w:val="0"/>
                                                          <w:marTop w:val="0"/>
                                                          <w:marBottom w:val="0"/>
                                                          <w:divBdr>
                                                            <w:top w:val="none" w:sz="0" w:space="0" w:color="auto"/>
                                                            <w:left w:val="none" w:sz="0" w:space="0" w:color="auto"/>
                                                            <w:bottom w:val="none" w:sz="0" w:space="0" w:color="auto"/>
                                                            <w:right w:val="none" w:sz="0" w:space="0" w:color="auto"/>
                                                          </w:divBdr>
                                                        </w:div>
                                                      </w:divsChild>
                                                    </w:div>
                                                    <w:div w:id="1034113363">
                                                      <w:marLeft w:val="0"/>
                                                      <w:marRight w:val="0"/>
                                                      <w:marTop w:val="0"/>
                                                      <w:marBottom w:val="0"/>
                                                      <w:divBdr>
                                                        <w:top w:val="none" w:sz="0" w:space="0" w:color="auto"/>
                                                        <w:left w:val="none" w:sz="0" w:space="0" w:color="auto"/>
                                                        <w:bottom w:val="none" w:sz="0" w:space="0" w:color="auto"/>
                                                        <w:right w:val="none" w:sz="0" w:space="0" w:color="auto"/>
                                                      </w:divBdr>
                                                      <w:divsChild>
                                                        <w:div w:id="2109348594">
                                                          <w:marLeft w:val="0"/>
                                                          <w:marRight w:val="0"/>
                                                          <w:marTop w:val="0"/>
                                                          <w:marBottom w:val="0"/>
                                                          <w:divBdr>
                                                            <w:top w:val="none" w:sz="0" w:space="0" w:color="auto"/>
                                                            <w:left w:val="none" w:sz="0" w:space="0" w:color="auto"/>
                                                            <w:bottom w:val="none" w:sz="0" w:space="0" w:color="auto"/>
                                                            <w:right w:val="none" w:sz="0" w:space="0" w:color="auto"/>
                                                          </w:divBdr>
                                                        </w:div>
                                                      </w:divsChild>
                                                    </w:div>
                                                    <w:div w:id="1202552145">
                                                      <w:marLeft w:val="0"/>
                                                      <w:marRight w:val="0"/>
                                                      <w:marTop w:val="0"/>
                                                      <w:marBottom w:val="0"/>
                                                      <w:divBdr>
                                                        <w:top w:val="none" w:sz="0" w:space="0" w:color="auto"/>
                                                        <w:left w:val="none" w:sz="0" w:space="0" w:color="auto"/>
                                                        <w:bottom w:val="none" w:sz="0" w:space="0" w:color="auto"/>
                                                        <w:right w:val="none" w:sz="0" w:space="0" w:color="auto"/>
                                                      </w:divBdr>
                                                      <w:divsChild>
                                                        <w:div w:id="2110155078">
                                                          <w:marLeft w:val="0"/>
                                                          <w:marRight w:val="0"/>
                                                          <w:marTop w:val="0"/>
                                                          <w:marBottom w:val="0"/>
                                                          <w:divBdr>
                                                            <w:top w:val="none" w:sz="0" w:space="0" w:color="auto"/>
                                                            <w:left w:val="none" w:sz="0" w:space="0" w:color="auto"/>
                                                            <w:bottom w:val="none" w:sz="0" w:space="0" w:color="auto"/>
                                                            <w:right w:val="none" w:sz="0" w:space="0" w:color="auto"/>
                                                          </w:divBdr>
                                                        </w:div>
                                                      </w:divsChild>
                                                    </w:div>
                                                    <w:div w:id="1450660500">
                                                      <w:marLeft w:val="0"/>
                                                      <w:marRight w:val="0"/>
                                                      <w:marTop w:val="0"/>
                                                      <w:marBottom w:val="0"/>
                                                      <w:divBdr>
                                                        <w:top w:val="none" w:sz="0" w:space="0" w:color="auto"/>
                                                        <w:left w:val="none" w:sz="0" w:space="0" w:color="auto"/>
                                                        <w:bottom w:val="none" w:sz="0" w:space="0" w:color="auto"/>
                                                        <w:right w:val="none" w:sz="0" w:space="0" w:color="auto"/>
                                                      </w:divBdr>
                                                      <w:divsChild>
                                                        <w:div w:id="205403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6442625">
      <w:bodyDiv w:val="1"/>
      <w:marLeft w:val="0"/>
      <w:marRight w:val="0"/>
      <w:marTop w:val="0"/>
      <w:marBottom w:val="0"/>
      <w:divBdr>
        <w:top w:val="none" w:sz="0" w:space="0" w:color="auto"/>
        <w:left w:val="none" w:sz="0" w:space="0" w:color="auto"/>
        <w:bottom w:val="none" w:sz="0" w:space="0" w:color="auto"/>
        <w:right w:val="none" w:sz="0" w:space="0" w:color="auto"/>
      </w:divBdr>
      <w:divsChild>
        <w:div w:id="2120639679">
          <w:marLeft w:val="0"/>
          <w:marRight w:val="0"/>
          <w:marTop w:val="0"/>
          <w:marBottom w:val="0"/>
          <w:divBdr>
            <w:top w:val="none" w:sz="0" w:space="0" w:color="auto"/>
            <w:left w:val="single" w:sz="6" w:space="0" w:color="BBBBBB"/>
            <w:bottom w:val="single" w:sz="6" w:space="0" w:color="BBBBBB"/>
            <w:right w:val="single" w:sz="6" w:space="0" w:color="BBBBBB"/>
          </w:divBdr>
          <w:divsChild>
            <w:div w:id="1801336372">
              <w:marLeft w:val="0"/>
              <w:marRight w:val="0"/>
              <w:marTop w:val="0"/>
              <w:marBottom w:val="0"/>
              <w:divBdr>
                <w:top w:val="none" w:sz="0" w:space="0" w:color="auto"/>
                <w:left w:val="none" w:sz="0" w:space="0" w:color="auto"/>
                <w:bottom w:val="none" w:sz="0" w:space="0" w:color="auto"/>
                <w:right w:val="none" w:sz="0" w:space="0" w:color="auto"/>
              </w:divBdr>
              <w:divsChild>
                <w:div w:id="162479121">
                  <w:marLeft w:val="0"/>
                  <w:marRight w:val="0"/>
                  <w:marTop w:val="75"/>
                  <w:marBottom w:val="0"/>
                  <w:divBdr>
                    <w:top w:val="none" w:sz="0" w:space="0" w:color="auto"/>
                    <w:left w:val="none" w:sz="0" w:space="0" w:color="auto"/>
                    <w:bottom w:val="none" w:sz="0" w:space="0" w:color="auto"/>
                    <w:right w:val="none" w:sz="0" w:space="0" w:color="auto"/>
                  </w:divBdr>
                  <w:divsChild>
                    <w:div w:id="1133598790">
                      <w:marLeft w:val="0"/>
                      <w:marRight w:val="0"/>
                      <w:marTop w:val="0"/>
                      <w:marBottom w:val="0"/>
                      <w:divBdr>
                        <w:top w:val="none" w:sz="0" w:space="0" w:color="auto"/>
                        <w:left w:val="none" w:sz="0" w:space="0" w:color="auto"/>
                        <w:bottom w:val="none" w:sz="0" w:space="0" w:color="auto"/>
                        <w:right w:val="none" w:sz="0" w:space="0" w:color="auto"/>
                      </w:divBdr>
                      <w:divsChild>
                        <w:div w:id="1274825611">
                          <w:marLeft w:val="0"/>
                          <w:marRight w:val="0"/>
                          <w:marTop w:val="0"/>
                          <w:marBottom w:val="0"/>
                          <w:divBdr>
                            <w:top w:val="none" w:sz="0" w:space="0" w:color="auto"/>
                            <w:left w:val="none" w:sz="0" w:space="0" w:color="auto"/>
                            <w:bottom w:val="none" w:sz="0" w:space="0" w:color="auto"/>
                            <w:right w:val="none" w:sz="0" w:space="0" w:color="auto"/>
                          </w:divBdr>
                          <w:divsChild>
                            <w:div w:id="635183015">
                              <w:marLeft w:val="0"/>
                              <w:marRight w:val="0"/>
                              <w:marTop w:val="0"/>
                              <w:marBottom w:val="0"/>
                              <w:divBdr>
                                <w:top w:val="none" w:sz="0" w:space="0" w:color="auto"/>
                                <w:left w:val="none" w:sz="0" w:space="0" w:color="auto"/>
                                <w:bottom w:val="none" w:sz="0" w:space="0" w:color="auto"/>
                                <w:right w:val="none" w:sz="0" w:space="0" w:color="auto"/>
                              </w:divBdr>
                              <w:divsChild>
                                <w:div w:id="1469394935">
                                  <w:marLeft w:val="0"/>
                                  <w:marRight w:val="0"/>
                                  <w:marTop w:val="0"/>
                                  <w:marBottom w:val="0"/>
                                  <w:divBdr>
                                    <w:top w:val="none" w:sz="0" w:space="0" w:color="auto"/>
                                    <w:left w:val="none" w:sz="0" w:space="0" w:color="auto"/>
                                    <w:bottom w:val="none" w:sz="0" w:space="0" w:color="auto"/>
                                    <w:right w:val="none" w:sz="0" w:space="0" w:color="auto"/>
                                  </w:divBdr>
                                  <w:divsChild>
                                    <w:div w:id="1927768717">
                                      <w:marLeft w:val="0"/>
                                      <w:marRight w:val="0"/>
                                      <w:marTop w:val="0"/>
                                      <w:marBottom w:val="0"/>
                                      <w:divBdr>
                                        <w:top w:val="none" w:sz="0" w:space="0" w:color="auto"/>
                                        <w:left w:val="none" w:sz="0" w:space="0" w:color="auto"/>
                                        <w:bottom w:val="none" w:sz="0" w:space="0" w:color="auto"/>
                                        <w:right w:val="none" w:sz="0" w:space="0" w:color="auto"/>
                                      </w:divBdr>
                                      <w:divsChild>
                                        <w:div w:id="2101683419">
                                          <w:marLeft w:val="1200"/>
                                          <w:marRight w:val="1200"/>
                                          <w:marTop w:val="0"/>
                                          <w:marBottom w:val="0"/>
                                          <w:divBdr>
                                            <w:top w:val="none" w:sz="0" w:space="0" w:color="auto"/>
                                            <w:left w:val="none" w:sz="0" w:space="0" w:color="auto"/>
                                            <w:bottom w:val="none" w:sz="0" w:space="0" w:color="auto"/>
                                            <w:right w:val="none" w:sz="0" w:space="0" w:color="auto"/>
                                          </w:divBdr>
                                          <w:divsChild>
                                            <w:div w:id="538279651">
                                              <w:marLeft w:val="0"/>
                                              <w:marRight w:val="0"/>
                                              <w:marTop w:val="0"/>
                                              <w:marBottom w:val="0"/>
                                              <w:divBdr>
                                                <w:top w:val="none" w:sz="0" w:space="0" w:color="auto"/>
                                                <w:left w:val="none" w:sz="0" w:space="0" w:color="auto"/>
                                                <w:bottom w:val="none" w:sz="0" w:space="0" w:color="auto"/>
                                                <w:right w:val="none" w:sz="0" w:space="0" w:color="auto"/>
                                              </w:divBdr>
                                              <w:divsChild>
                                                <w:div w:id="343895415">
                                                  <w:marLeft w:val="0"/>
                                                  <w:marRight w:val="0"/>
                                                  <w:marTop w:val="0"/>
                                                  <w:marBottom w:val="0"/>
                                                  <w:divBdr>
                                                    <w:top w:val="none" w:sz="0" w:space="0" w:color="auto"/>
                                                    <w:left w:val="none" w:sz="0" w:space="0" w:color="auto"/>
                                                    <w:bottom w:val="none" w:sz="0" w:space="0" w:color="auto"/>
                                                    <w:right w:val="none" w:sz="0" w:space="0" w:color="auto"/>
                                                  </w:divBdr>
                                                  <w:divsChild>
                                                    <w:div w:id="465853787">
                                                      <w:marLeft w:val="0"/>
                                                      <w:marRight w:val="0"/>
                                                      <w:marTop w:val="0"/>
                                                      <w:marBottom w:val="0"/>
                                                      <w:divBdr>
                                                        <w:top w:val="none" w:sz="0" w:space="0" w:color="auto"/>
                                                        <w:left w:val="none" w:sz="0" w:space="0" w:color="auto"/>
                                                        <w:bottom w:val="none" w:sz="0" w:space="0" w:color="auto"/>
                                                        <w:right w:val="none" w:sz="0" w:space="0" w:color="auto"/>
                                                      </w:divBdr>
                                                      <w:divsChild>
                                                        <w:div w:id="10181903">
                                                          <w:marLeft w:val="0"/>
                                                          <w:marRight w:val="0"/>
                                                          <w:marTop w:val="0"/>
                                                          <w:marBottom w:val="0"/>
                                                          <w:divBdr>
                                                            <w:top w:val="none" w:sz="0" w:space="0" w:color="auto"/>
                                                            <w:left w:val="none" w:sz="0" w:space="0" w:color="auto"/>
                                                            <w:bottom w:val="none" w:sz="0" w:space="0" w:color="auto"/>
                                                            <w:right w:val="none" w:sz="0" w:space="0" w:color="auto"/>
                                                          </w:divBdr>
                                                          <w:divsChild>
                                                            <w:div w:id="2069919138">
                                                              <w:marLeft w:val="0"/>
                                                              <w:marRight w:val="0"/>
                                                              <w:marTop w:val="0"/>
                                                              <w:marBottom w:val="0"/>
                                                              <w:divBdr>
                                                                <w:top w:val="none" w:sz="0" w:space="0" w:color="auto"/>
                                                                <w:left w:val="none" w:sz="0" w:space="0" w:color="auto"/>
                                                                <w:bottom w:val="none" w:sz="0" w:space="0" w:color="auto"/>
                                                                <w:right w:val="none" w:sz="0" w:space="0" w:color="auto"/>
                                                              </w:divBdr>
                                                              <w:divsChild>
                                                                <w:div w:id="1569343970">
                                                                  <w:marLeft w:val="0"/>
                                                                  <w:marRight w:val="0"/>
                                                                  <w:marTop w:val="0"/>
                                                                  <w:marBottom w:val="0"/>
                                                                  <w:divBdr>
                                                                    <w:top w:val="none" w:sz="0" w:space="0" w:color="auto"/>
                                                                    <w:left w:val="none" w:sz="0" w:space="0" w:color="auto"/>
                                                                    <w:bottom w:val="none" w:sz="0" w:space="0" w:color="auto"/>
                                                                    <w:right w:val="none" w:sz="0" w:space="0" w:color="auto"/>
                                                                  </w:divBdr>
                                                                  <w:divsChild>
                                                                    <w:div w:id="732966003">
                                                                      <w:marLeft w:val="0"/>
                                                                      <w:marRight w:val="0"/>
                                                                      <w:marTop w:val="0"/>
                                                                      <w:marBottom w:val="0"/>
                                                                      <w:divBdr>
                                                                        <w:top w:val="none" w:sz="0" w:space="0" w:color="auto"/>
                                                                        <w:left w:val="none" w:sz="0" w:space="0" w:color="auto"/>
                                                                        <w:bottom w:val="none" w:sz="0" w:space="0" w:color="auto"/>
                                                                        <w:right w:val="none" w:sz="0" w:space="0" w:color="auto"/>
                                                                      </w:divBdr>
                                                                      <w:divsChild>
                                                                        <w:div w:id="1724333515">
                                                                          <w:marLeft w:val="0"/>
                                                                          <w:marRight w:val="0"/>
                                                                          <w:marTop w:val="0"/>
                                                                          <w:marBottom w:val="0"/>
                                                                          <w:divBdr>
                                                                            <w:top w:val="none" w:sz="0" w:space="0" w:color="auto"/>
                                                                            <w:left w:val="none" w:sz="0" w:space="0" w:color="auto"/>
                                                                            <w:bottom w:val="none" w:sz="0" w:space="0" w:color="auto"/>
                                                                            <w:right w:val="none" w:sz="0" w:space="0" w:color="auto"/>
                                                                          </w:divBdr>
                                                                        </w:div>
                                                                      </w:divsChild>
                                                                    </w:div>
                                                                    <w:div w:id="733282757">
                                                                      <w:marLeft w:val="0"/>
                                                                      <w:marRight w:val="0"/>
                                                                      <w:marTop w:val="0"/>
                                                                      <w:marBottom w:val="0"/>
                                                                      <w:divBdr>
                                                                        <w:top w:val="none" w:sz="0" w:space="0" w:color="auto"/>
                                                                        <w:left w:val="none" w:sz="0" w:space="0" w:color="auto"/>
                                                                        <w:bottom w:val="none" w:sz="0" w:space="0" w:color="auto"/>
                                                                        <w:right w:val="none" w:sz="0" w:space="0" w:color="auto"/>
                                                                      </w:divBdr>
                                                                      <w:divsChild>
                                                                        <w:div w:id="137649083">
                                                                          <w:marLeft w:val="0"/>
                                                                          <w:marRight w:val="0"/>
                                                                          <w:marTop w:val="0"/>
                                                                          <w:marBottom w:val="0"/>
                                                                          <w:divBdr>
                                                                            <w:top w:val="none" w:sz="0" w:space="0" w:color="auto"/>
                                                                            <w:left w:val="none" w:sz="0" w:space="0" w:color="auto"/>
                                                                            <w:bottom w:val="none" w:sz="0" w:space="0" w:color="auto"/>
                                                                            <w:right w:val="none" w:sz="0" w:space="0" w:color="auto"/>
                                                                          </w:divBdr>
                                                                        </w:div>
                                                                      </w:divsChild>
                                                                    </w:div>
                                                                    <w:div w:id="1106459846">
                                                                      <w:marLeft w:val="0"/>
                                                                      <w:marRight w:val="0"/>
                                                                      <w:marTop w:val="0"/>
                                                                      <w:marBottom w:val="0"/>
                                                                      <w:divBdr>
                                                                        <w:top w:val="none" w:sz="0" w:space="0" w:color="auto"/>
                                                                        <w:left w:val="none" w:sz="0" w:space="0" w:color="auto"/>
                                                                        <w:bottom w:val="none" w:sz="0" w:space="0" w:color="auto"/>
                                                                        <w:right w:val="none" w:sz="0" w:space="0" w:color="auto"/>
                                                                      </w:divBdr>
                                                                      <w:divsChild>
                                                                        <w:div w:id="167807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9646756">
      <w:bodyDiv w:val="1"/>
      <w:marLeft w:val="0"/>
      <w:marRight w:val="0"/>
      <w:marTop w:val="0"/>
      <w:marBottom w:val="0"/>
      <w:divBdr>
        <w:top w:val="none" w:sz="0" w:space="0" w:color="auto"/>
        <w:left w:val="none" w:sz="0" w:space="0" w:color="auto"/>
        <w:bottom w:val="none" w:sz="0" w:space="0" w:color="auto"/>
        <w:right w:val="none" w:sz="0" w:space="0" w:color="auto"/>
      </w:divBdr>
      <w:divsChild>
        <w:div w:id="1109592789">
          <w:marLeft w:val="0"/>
          <w:marRight w:val="0"/>
          <w:marTop w:val="0"/>
          <w:marBottom w:val="0"/>
          <w:divBdr>
            <w:top w:val="none" w:sz="0" w:space="0" w:color="auto"/>
            <w:left w:val="none" w:sz="0" w:space="0" w:color="auto"/>
            <w:bottom w:val="none" w:sz="0" w:space="0" w:color="auto"/>
            <w:right w:val="none" w:sz="0" w:space="0" w:color="auto"/>
          </w:divBdr>
          <w:divsChild>
            <w:div w:id="774519273">
              <w:marLeft w:val="0"/>
              <w:marRight w:val="0"/>
              <w:marTop w:val="0"/>
              <w:marBottom w:val="0"/>
              <w:divBdr>
                <w:top w:val="none" w:sz="0" w:space="0" w:color="auto"/>
                <w:left w:val="none" w:sz="0" w:space="0" w:color="auto"/>
                <w:bottom w:val="none" w:sz="0" w:space="0" w:color="auto"/>
                <w:right w:val="none" w:sz="0" w:space="0" w:color="auto"/>
              </w:divBdr>
              <w:divsChild>
                <w:div w:id="1081637681">
                  <w:marLeft w:val="0"/>
                  <w:marRight w:val="0"/>
                  <w:marTop w:val="0"/>
                  <w:marBottom w:val="0"/>
                  <w:divBdr>
                    <w:top w:val="none" w:sz="0" w:space="0" w:color="auto"/>
                    <w:left w:val="none" w:sz="0" w:space="0" w:color="auto"/>
                    <w:bottom w:val="none" w:sz="0" w:space="0" w:color="auto"/>
                    <w:right w:val="none" w:sz="0" w:space="0" w:color="auto"/>
                  </w:divBdr>
                  <w:divsChild>
                    <w:div w:id="388967292">
                      <w:marLeft w:val="0"/>
                      <w:marRight w:val="0"/>
                      <w:marTop w:val="0"/>
                      <w:marBottom w:val="375"/>
                      <w:divBdr>
                        <w:top w:val="none" w:sz="0" w:space="0" w:color="auto"/>
                        <w:left w:val="none" w:sz="0" w:space="0" w:color="auto"/>
                        <w:bottom w:val="none" w:sz="0" w:space="0" w:color="auto"/>
                        <w:right w:val="none" w:sz="0" w:space="0" w:color="auto"/>
                      </w:divBdr>
                      <w:divsChild>
                        <w:div w:id="6776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450767">
      <w:bodyDiv w:val="1"/>
      <w:marLeft w:val="0"/>
      <w:marRight w:val="0"/>
      <w:marTop w:val="0"/>
      <w:marBottom w:val="0"/>
      <w:divBdr>
        <w:top w:val="none" w:sz="0" w:space="0" w:color="auto"/>
        <w:left w:val="none" w:sz="0" w:space="0" w:color="auto"/>
        <w:bottom w:val="none" w:sz="0" w:space="0" w:color="auto"/>
        <w:right w:val="none" w:sz="0" w:space="0" w:color="auto"/>
      </w:divBdr>
      <w:divsChild>
        <w:div w:id="629936990">
          <w:marLeft w:val="0"/>
          <w:marRight w:val="0"/>
          <w:marTop w:val="0"/>
          <w:marBottom w:val="0"/>
          <w:divBdr>
            <w:top w:val="none" w:sz="0" w:space="0" w:color="auto"/>
            <w:left w:val="single" w:sz="6" w:space="0" w:color="BBBBBB"/>
            <w:bottom w:val="single" w:sz="6" w:space="0" w:color="BBBBBB"/>
            <w:right w:val="single" w:sz="6" w:space="0" w:color="BBBBBB"/>
          </w:divBdr>
          <w:divsChild>
            <w:div w:id="809127962">
              <w:marLeft w:val="0"/>
              <w:marRight w:val="0"/>
              <w:marTop w:val="0"/>
              <w:marBottom w:val="0"/>
              <w:divBdr>
                <w:top w:val="none" w:sz="0" w:space="0" w:color="auto"/>
                <w:left w:val="none" w:sz="0" w:space="0" w:color="auto"/>
                <w:bottom w:val="none" w:sz="0" w:space="0" w:color="auto"/>
                <w:right w:val="none" w:sz="0" w:space="0" w:color="auto"/>
              </w:divBdr>
              <w:divsChild>
                <w:div w:id="764038047">
                  <w:marLeft w:val="0"/>
                  <w:marRight w:val="0"/>
                  <w:marTop w:val="75"/>
                  <w:marBottom w:val="0"/>
                  <w:divBdr>
                    <w:top w:val="none" w:sz="0" w:space="0" w:color="auto"/>
                    <w:left w:val="none" w:sz="0" w:space="0" w:color="auto"/>
                    <w:bottom w:val="none" w:sz="0" w:space="0" w:color="auto"/>
                    <w:right w:val="none" w:sz="0" w:space="0" w:color="auto"/>
                  </w:divBdr>
                  <w:divsChild>
                    <w:div w:id="351693039">
                      <w:marLeft w:val="0"/>
                      <w:marRight w:val="0"/>
                      <w:marTop w:val="0"/>
                      <w:marBottom w:val="0"/>
                      <w:divBdr>
                        <w:top w:val="none" w:sz="0" w:space="0" w:color="auto"/>
                        <w:left w:val="none" w:sz="0" w:space="0" w:color="auto"/>
                        <w:bottom w:val="none" w:sz="0" w:space="0" w:color="auto"/>
                        <w:right w:val="none" w:sz="0" w:space="0" w:color="auto"/>
                      </w:divBdr>
                      <w:divsChild>
                        <w:div w:id="1593926930">
                          <w:marLeft w:val="0"/>
                          <w:marRight w:val="0"/>
                          <w:marTop w:val="0"/>
                          <w:marBottom w:val="0"/>
                          <w:divBdr>
                            <w:top w:val="none" w:sz="0" w:space="0" w:color="auto"/>
                            <w:left w:val="none" w:sz="0" w:space="0" w:color="auto"/>
                            <w:bottom w:val="none" w:sz="0" w:space="0" w:color="auto"/>
                            <w:right w:val="none" w:sz="0" w:space="0" w:color="auto"/>
                          </w:divBdr>
                          <w:divsChild>
                            <w:div w:id="1654723291">
                              <w:marLeft w:val="0"/>
                              <w:marRight w:val="0"/>
                              <w:marTop w:val="0"/>
                              <w:marBottom w:val="0"/>
                              <w:divBdr>
                                <w:top w:val="none" w:sz="0" w:space="0" w:color="auto"/>
                                <w:left w:val="none" w:sz="0" w:space="0" w:color="auto"/>
                                <w:bottom w:val="none" w:sz="0" w:space="0" w:color="auto"/>
                                <w:right w:val="none" w:sz="0" w:space="0" w:color="auto"/>
                              </w:divBdr>
                              <w:divsChild>
                                <w:div w:id="736706500">
                                  <w:marLeft w:val="0"/>
                                  <w:marRight w:val="0"/>
                                  <w:marTop w:val="0"/>
                                  <w:marBottom w:val="0"/>
                                  <w:divBdr>
                                    <w:top w:val="none" w:sz="0" w:space="0" w:color="auto"/>
                                    <w:left w:val="none" w:sz="0" w:space="0" w:color="auto"/>
                                    <w:bottom w:val="none" w:sz="0" w:space="0" w:color="auto"/>
                                    <w:right w:val="none" w:sz="0" w:space="0" w:color="auto"/>
                                  </w:divBdr>
                                  <w:divsChild>
                                    <w:div w:id="1056851370">
                                      <w:marLeft w:val="0"/>
                                      <w:marRight w:val="0"/>
                                      <w:marTop w:val="0"/>
                                      <w:marBottom w:val="0"/>
                                      <w:divBdr>
                                        <w:top w:val="none" w:sz="0" w:space="0" w:color="auto"/>
                                        <w:left w:val="none" w:sz="0" w:space="0" w:color="auto"/>
                                        <w:bottom w:val="none" w:sz="0" w:space="0" w:color="auto"/>
                                        <w:right w:val="none" w:sz="0" w:space="0" w:color="auto"/>
                                      </w:divBdr>
                                      <w:divsChild>
                                        <w:div w:id="758602790">
                                          <w:marLeft w:val="1200"/>
                                          <w:marRight w:val="1200"/>
                                          <w:marTop w:val="0"/>
                                          <w:marBottom w:val="0"/>
                                          <w:divBdr>
                                            <w:top w:val="none" w:sz="0" w:space="0" w:color="auto"/>
                                            <w:left w:val="none" w:sz="0" w:space="0" w:color="auto"/>
                                            <w:bottom w:val="none" w:sz="0" w:space="0" w:color="auto"/>
                                            <w:right w:val="none" w:sz="0" w:space="0" w:color="auto"/>
                                          </w:divBdr>
                                          <w:divsChild>
                                            <w:div w:id="1505241449">
                                              <w:marLeft w:val="0"/>
                                              <w:marRight w:val="0"/>
                                              <w:marTop w:val="0"/>
                                              <w:marBottom w:val="0"/>
                                              <w:divBdr>
                                                <w:top w:val="none" w:sz="0" w:space="0" w:color="auto"/>
                                                <w:left w:val="none" w:sz="0" w:space="0" w:color="auto"/>
                                                <w:bottom w:val="none" w:sz="0" w:space="0" w:color="auto"/>
                                                <w:right w:val="none" w:sz="0" w:space="0" w:color="auto"/>
                                              </w:divBdr>
                                              <w:divsChild>
                                                <w:div w:id="1942182347">
                                                  <w:marLeft w:val="0"/>
                                                  <w:marRight w:val="0"/>
                                                  <w:marTop w:val="0"/>
                                                  <w:marBottom w:val="0"/>
                                                  <w:divBdr>
                                                    <w:top w:val="none" w:sz="0" w:space="0" w:color="auto"/>
                                                    <w:left w:val="none" w:sz="0" w:space="0" w:color="auto"/>
                                                    <w:bottom w:val="none" w:sz="0" w:space="0" w:color="auto"/>
                                                    <w:right w:val="none" w:sz="0" w:space="0" w:color="auto"/>
                                                  </w:divBdr>
                                                  <w:divsChild>
                                                    <w:div w:id="693072887">
                                                      <w:marLeft w:val="0"/>
                                                      <w:marRight w:val="0"/>
                                                      <w:marTop w:val="0"/>
                                                      <w:marBottom w:val="0"/>
                                                      <w:divBdr>
                                                        <w:top w:val="none" w:sz="0" w:space="0" w:color="auto"/>
                                                        <w:left w:val="none" w:sz="0" w:space="0" w:color="auto"/>
                                                        <w:bottom w:val="none" w:sz="0" w:space="0" w:color="auto"/>
                                                        <w:right w:val="none" w:sz="0" w:space="0" w:color="auto"/>
                                                      </w:divBdr>
                                                      <w:divsChild>
                                                        <w:div w:id="78068451">
                                                          <w:marLeft w:val="0"/>
                                                          <w:marRight w:val="0"/>
                                                          <w:marTop w:val="0"/>
                                                          <w:marBottom w:val="0"/>
                                                          <w:divBdr>
                                                            <w:top w:val="none" w:sz="0" w:space="0" w:color="auto"/>
                                                            <w:left w:val="none" w:sz="0" w:space="0" w:color="auto"/>
                                                            <w:bottom w:val="none" w:sz="0" w:space="0" w:color="auto"/>
                                                            <w:right w:val="none" w:sz="0" w:space="0" w:color="auto"/>
                                                          </w:divBdr>
                                                          <w:divsChild>
                                                            <w:div w:id="1949968487">
                                                              <w:marLeft w:val="0"/>
                                                              <w:marRight w:val="0"/>
                                                              <w:marTop w:val="0"/>
                                                              <w:marBottom w:val="0"/>
                                                              <w:divBdr>
                                                                <w:top w:val="none" w:sz="0" w:space="0" w:color="auto"/>
                                                                <w:left w:val="none" w:sz="0" w:space="0" w:color="auto"/>
                                                                <w:bottom w:val="none" w:sz="0" w:space="0" w:color="auto"/>
                                                                <w:right w:val="none" w:sz="0" w:space="0" w:color="auto"/>
                                                              </w:divBdr>
                                                              <w:divsChild>
                                                                <w:div w:id="1703439000">
                                                                  <w:marLeft w:val="0"/>
                                                                  <w:marRight w:val="0"/>
                                                                  <w:marTop w:val="0"/>
                                                                  <w:marBottom w:val="0"/>
                                                                  <w:divBdr>
                                                                    <w:top w:val="none" w:sz="0" w:space="0" w:color="auto"/>
                                                                    <w:left w:val="none" w:sz="0" w:space="0" w:color="auto"/>
                                                                    <w:bottom w:val="none" w:sz="0" w:space="0" w:color="auto"/>
                                                                    <w:right w:val="none" w:sz="0" w:space="0" w:color="auto"/>
                                                                  </w:divBdr>
                                                                  <w:divsChild>
                                                                    <w:div w:id="1543251610">
                                                                      <w:marLeft w:val="0"/>
                                                                      <w:marRight w:val="0"/>
                                                                      <w:marTop w:val="0"/>
                                                                      <w:marBottom w:val="0"/>
                                                                      <w:divBdr>
                                                                        <w:top w:val="none" w:sz="0" w:space="0" w:color="auto"/>
                                                                        <w:left w:val="none" w:sz="0" w:space="0" w:color="auto"/>
                                                                        <w:bottom w:val="none" w:sz="0" w:space="0" w:color="auto"/>
                                                                        <w:right w:val="none" w:sz="0" w:space="0" w:color="auto"/>
                                                                      </w:divBdr>
                                                                      <w:divsChild>
                                                                        <w:div w:id="1077750366">
                                                                          <w:marLeft w:val="0"/>
                                                                          <w:marRight w:val="0"/>
                                                                          <w:marTop w:val="0"/>
                                                                          <w:marBottom w:val="0"/>
                                                                          <w:divBdr>
                                                                            <w:top w:val="none" w:sz="0" w:space="0" w:color="auto"/>
                                                                            <w:left w:val="none" w:sz="0" w:space="0" w:color="auto"/>
                                                                            <w:bottom w:val="none" w:sz="0" w:space="0" w:color="auto"/>
                                                                            <w:right w:val="none" w:sz="0" w:space="0" w:color="auto"/>
                                                                          </w:divBdr>
                                                                        </w:div>
                                                                      </w:divsChild>
                                                                    </w:div>
                                                                    <w:div w:id="1921207189">
                                                                      <w:marLeft w:val="0"/>
                                                                      <w:marRight w:val="0"/>
                                                                      <w:marTop w:val="0"/>
                                                                      <w:marBottom w:val="0"/>
                                                                      <w:divBdr>
                                                                        <w:top w:val="none" w:sz="0" w:space="0" w:color="auto"/>
                                                                        <w:left w:val="none" w:sz="0" w:space="0" w:color="auto"/>
                                                                        <w:bottom w:val="none" w:sz="0" w:space="0" w:color="auto"/>
                                                                        <w:right w:val="none" w:sz="0" w:space="0" w:color="auto"/>
                                                                      </w:divBdr>
                                                                      <w:divsChild>
                                                                        <w:div w:id="990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855631">
      <w:bodyDiv w:val="1"/>
      <w:marLeft w:val="0"/>
      <w:marRight w:val="0"/>
      <w:marTop w:val="0"/>
      <w:marBottom w:val="0"/>
      <w:divBdr>
        <w:top w:val="none" w:sz="0" w:space="0" w:color="auto"/>
        <w:left w:val="none" w:sz="0" w:space="0" w:color="auto"/>
        <w:bottom w:val="none" w:sz="0" w:space="0" w:color="auto"/>
        <w:right w:val="none" w:sz="0" w:space="0" w:color="auto"/>
      </w:divBdr>
    </w:div>
    <w:div w:id="358550617">
      <w:bodyDiv w:val="1"/>
      <w:marLeft w:val="30"/>
      <w:marRight w:val="30"/>
      <w:marTop w:val="30"/>
      <w:marBottom w:val="30"/>
      <w:divBdr>
        <w:top w:val="none" w:sz="0" w:space="0" w:color="auto"/>
        <w:left w:val="none" w:sz="0" w:space="0" w:color="auto"/>
        <w:bottom w:val="none" w:sz="0" w:space="0" w:color="auto"/>
        <w:right w:val="none" w:sz="0" w:space="0" w:color="auto"/>
      </w:divBdr>
      <w:divsChild>
        <w:div w:id="1451123069">
          <w:marLeft w:val="0"/>
          <w:marRight w:val="0"/>
          <w:marTop w:val="0"/>
          <w:marBottom w:val="0"/>
          <w:divBdr>
            <w:top w:val="none" w:sz="0" w:space="0" w:color="auto"/>
            <w:left w:val="none" w:sz="0" w:space="0" w:color="auto"/>
            <w:bottom w:val="none" w:sz="0" w:space="0" w:color="auto"/>
            <w:right w:val="none" w:sz="0" w:space="0" w:color="auto"/>
          </w:divBdr>
          <w:divsChild>
            <w:div w:id="39061490">
              <w:marLeft w:val="45"/>
              <w:marRight w:val="45"/>
              <w:marTop w:val="45"/>
              <w:marBottom w:val="45"/>
              <w:divBdr>
                <w:top w:val="none" w:sz="0" w:space="0" w:color="auto"/>
                <w:left w:val="none" w:sz="0" w:space="0" w:color="auto"/>
                <w:bottom w:val="none" w:sz="0" w:space="0" w:color="auto"/>
                <w:right w:val="none" w:sz="0" w:space="0" w:color="auto"/>
              </w:divBdr>
              <w:divsChild>
                <w:div w:id="616713962">
                  <w:marLeft w:val="0"/>
                  <w:marRight w:val="0"/>
                  <w:marTop w:val="0"/>
                  <w:marBottom w:val="0"/>
                  <w:divBdr>
                    <w:top w:val="none" w:sz="0" w:space="0" w:color="auto"/>
                    <w:left w:val="none" w:sz="0" w:space="0" w:color="auto"/>
                    <w:bottom w:val="none" w:sz="0" w:space="0" w:color="auto"/>
                    <w:right w:val="none" w:sz="0" w:space="0" w:color="auto"/>
                  </w:divBdr>
                  <w:divsChild>
                    <w:div w:id="151483212">
                      <w:marLeft w:val="0"/>
                      <w:marRight w:val="0"/>
                      <w:marTop w:val="0"/>
                      <w:marBottom w:val="0"/>
                      <w:divBdr>
                        <w:top w:val="none" w:sz="0" w:space="0" w:color="auto"/>
                        <w:left w:val="none" w:sz="0" w:space="0" w:color="auto"/>
                        <w:bottom w:val="none" w:sz="0" w:space="0" w:color="auto"/>
                        <w:right w:val="none" w:sz="0" w:space="0" w:color="auto"/>
                      </w:divBdr>
                    </w:div>
                    <w:div w:id="1599559819">
                      <w:marLeft w:val="0"/>
                      <w:marRight w:val="0"/>
                      <w:marTop w:val="0"/>
                      <w:marBottom w:val="0"/>
                      <w:divBdr>
                        <w:top w:val="none" w:sz="0" w:space="0" w:color="auto"/>
                        <w:left w:val="none" w:sz="0" w:space="0" w:color="auto"/>
                        <w:bottom w:val="none" w:sz="0" w:space="0" w:color="auto"/>
                        <w:right w:val="none" w:sz="0" w:space="0" w:color="auto"/>
                      </w:divBdr>
                    </w:div>
                    <w:div w:id="20399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988249">
      <w:bodyDiv w:val="1"/>
      <w:marLeft w:val="0"/>
      <w:marRight w:val="0"/>
      <w:marTop w:val="0"/>
      <w:marBottom w:val="0"/>
      <w:divBdr>
        <w:top w:val="none" w:sz="0" w:space="0" w:color="auto"/>
        <w:left w:val="none" w:sz="0" w:space="0" w:color="auto"/>
        <w:bottom w:val="none" w:sz="0" w:space="0" w:color="auto"/>
        <w:right w:val="none" w:sz="0" w:space="0" w:color="auto"/>
      </w:divBdr>
      <w:divsChild>
        <w:div w:id="539897613">
          <w:marLeft w:val="0"/>
          <w:marRight w:val="0"/>
          <w:marTop w:val="0"/>
          <w:marBottom w:val="0"/>
          <w:divBdr>
            <w:top w:val="none" w:sz="0" w:space="0" w:color="auto"/>
            <w:left w:val="single" w:sz="6" w:space="0" w:color="BBBBBB"/>
            <w:bottom w:val="single" w:sz="6" w:space="0" w:color="BBBBBB"/>
            <w:right w:val="single" w:sz="6" w:space="0" w:color="BBBBBB"/>
          </w:divBdr>
          <w:divsChild>
            <w:div w:id="1789667545">
              <w:marLeft w:val="0"/>
              <w:marRight w:val="0"/>
              <w:marTop w:val="0"/>
              <w:marBottom w:val="0"/>
              <w:divBdr>
                <w:top w:val="none" w:sz="0" w:space="0" w:color="auto"/>
                <w:left w:val="none" w:sz="0" w:space="0" w:color="auto"/>
                <w:bottom w:val="none" w:sz="0" w:space="0" w:color="auto"/>
                <w:right w:val="none" w:sz="0" w:space="0" w:color="auto"/>
              </w:divBdr>
              <w:divsChild>
                <w:div w:id="1716928929">
                  <w:marLeft w:val="0"/>
                  <w:marRight w:val="0"/>
                  <w:marTop w:val="75"/>
                  <w:marBottom w:val="0"/>
                  <w:divBdr>
                    <w:top w:val="none" w:sz="0" w:space="0" w:color="auto"/>
                    <w:left w:val="none" w:sz="0" w:space="0" w:color="auto"/>
                    <w:bottom w:val="none" w:sz="0" w:space="0" w:color="auto"/>
                    <w:right w:val="none" w:sz="0" w:space="0" w:color="auto"/>
                  </w:divBdr>
                  <w:divsChild>
                    <w:div w:id="1975284106">
                      <w:marLeft w:val="0"/>
                      <w:marRight w:val="0"/>
                      <w:marTop w:val="0"/>
                      <w:marBottom w:val="0"/>
                      <w:divBdr>
                        <w:top w:val="none" w:sz="0" w:space="0" w:color="auto"/>
                        <w:left w:val="none" w:sz="0" w:space="0" w:color="auto"/>
                        <w:bottom w:val="none" w:sz="0" w:space="0" w:color="auto"/>
                        <w:right w:val="none" w:sz="0" w:space="0" w:color="auto"/>
                      </w:divBdr>
                      <w:divsChild>
                        <w:div w:id="541942017">
                          <w:marLeft w:val="0"/>
                          <w:marRight w:val="0"/>
                          <w:marTop w:val="0"/>
                          <w:marBottom w:val="0"/>
                          <w:divBdr>
                            <w:top w:val="none" w:sz="0" w:space="0" w:color="auto"/>
                            <w:left w:val="none" w:sz="0" w:space="0" w:color="auto"/>
                            <w:bottom w:val="none" w:sz="0" w:space="0" w:color="auto"/>
                            <w:right w:val="none" w:sz="0" w:space="0" w:color="auto"/>
                          </w:divBdr>
                          <w:divsChild>
                            <w:div w:id="1344628260">
                              <w:marLeft w:val="0"/>
                              <w:marRight w:val="0"/>
                              <w:marTop w:val="0"/>
                              <w:marBottom w:val="0"/>
                              <w:divBdr>
                                <w:top w:val="none" w:sz="0" w:space="0" w:color="auto"/>
                                <w:left w:val="none" w:sz="0" w:space="0" w:color="auto"/>
                                <w:bottom w:val="none" w:sz="0" w:space="0" w:color="auto"/>
                                <w:right w:val="none" w:sz="0" w:space="0" w:color="auto"/>
                              </w:divBdr>
                              <w:divsChild>
                                <w:div w:id="484008332">
                                  <w:marLeft w:val="0"/>
                                  <w:marRight w:val="0"/>
                                  <w:marTop w:val="0"/>
                                  <w:marBottom w:val="0"/>
                                  <w:divBdr>
                                    <w:top w:val="none" w:sz="0" w:space="0" w:color="auto"/>
                                    <w:left w:val="none" w:sz="0" w:space="0" w:color="auto"/>
                                    <w:bottom w:val="none" w:sz="0" w:space="0" w:color="auto"/>
                                    <w:right w:val="none" w:sz="0" w:space="0" w:color="auto"/>
                                  </w:divBdr>
                                  <w:divsChild>
                                    <w:div w:id="289169469">
                                      <w:marLeft w:val="0"/>
                                      <w:marRight w:val="0"/>
                                      <w:marTop w:val="0"/>
                                      <w:marBottom w:val="0"/>
                                      <w:divBdr>
                                        <w:top w:val="none" w:sz="0" w:space="0" w:color="auto"/>
                                        <w:left w:val="none" w:sz="0" w:space="0" w:color="auto"/>
                                        <w:bottom w:val="none" w:sz="0" w:space="0" w:color="auto"/>
                                        <w:right w:val="none" w:sz="0" w:space="0" w:color="auto"/>
                                      </w:divBdr>
                                      <w:divsChild>
                                        <w:div w:id="2027487626">
                                          <w:marLeft w:val="1200"/>
                                          <w:marRight w:val="1200"/>
                                          <w:marTop w:val="0"/>
                                          <w:marBottom w:val="0"/>
                                          <w:divBdr>
                                            <w:top w:val="none" w:sz="0" w:space="0" w:color="auto"/>
                                            <w:left w:val="none" w:sz="0" w:space="0" w:color="auto"/>
                                            <w:bottom w:val="none" w:sz="0" w:space="0" w:color="auto"/>
                                            <w:right w:val="none" w:sz="0" w:space="0" w:color="auto"/>
                                          </w:divBdr>
                                          <w:divsChild>
                                            <w:div w:id="1881240030">
                                              <w:marLeft w:val="0"/>
                                              <w:marRight w:val="0"/>
                                              <w:marTop w:val="0"/>
                                              <w:marBottom w:val="0"/>
                                              <w:divBdr>
                                                <w:top w:val="none" w:sz="0" w:space="0" w:color="auto"/>
                                                <w:left w:val="none" w:sz="0" w:space="0" w:color="auto"/>
                                                <w:bottom w:val="none" w:sz="0" w:space="0" w:color="auto"/>
                                                <w:right w:val="none" w:sz="0" w:space="0" w:color="auto"/>
                                              </w:divBdr>
                                              <w:divsChild>
                                                <w:div w:id="148374297">
                                                  <w:marLeft w:val="0"/>
                                                  <w:marRight w:val="0"/>
                                                  <w:marTop w:val="0"/>
                                                  <w:marBottom w:val="0"/>
                                                  <w:divBdr>
                                                    <w:top w:val="none" w:sz="0" w:space="0" w:color="auto"/>
                                                    <w:left w:val="none" w:sz="0" w:space="0" w:color="auto"/>
                                                    <w:bottom w:val="none" w:sz="0" w:space="0" w:color="auto"/>
                                                    <w:right w:val="none" w:sz="0" w:space="0" w:color="auto"/>
                                                  </w:divBdr>
                                                  <w:divsChild>
                                                    <w:div w:id="710806706">
                                                      <w:marLeft w:val="0"/>
                                                      <w:marRight w:val="0"/>
                                                      <w:marTop w:val="0"/>
                                                      <w:marBottom w:val="0"/>
                                                      <w:divBdr>
                                                        <w:top w:val="none" w:sz="0" w:space="0" w:color="auto"/>
                                                        <w:left w:val="none" w:sz="0" w:space="0" w:color="auto"/>
                                                        <w:bottom w:val="none" w:sz="0" w:space="0" w:color="auto"/>
                                                        <w:right w:val="none" w:sz="0" w:space="0" w:color="auto"/>
                                                      </w:divBdr>
                                                      <w:divsChild>
                                                        <w:div w:id="47073623">
                                                          <w:marLeft w:val="0"/>
                                                          <w:marRight w:val="0"/>
                                                          <w:marTop w:val="0"/>
                                                          <w:marBottom w:val="0"/>
                                                          <w:divBdr>
                                                            <w:top w:val="none" w:sz="0" w:space="0" w:color="auto"/>
                                                            <w:left w:val="none" w:sz="0" w:space="0" w:color="auto"/>
                                                            <w:bottom w:val="none" w:sz="0" w:space="0" w:color="auto"/>
                                                            <w:right w:val="none" w:sz="0" w:space="0" w:color="auto"/>
                                                          </w:divBdr>
                                                          <w:divsChild>
                                                            <w:div w:id="767382901">
                                                              <w:marLeft w:val="0"/>
                                                              <w:marRight w:val="0"/>
                                                              <w:marTop w:val="0"/>
                                                              <w:marBottom w:val="0"/>
                                                              <w:divBdr>
                                                                <w:top w:val="none" w:sz="0" w:space="0" w:color="auto"/>
                                                                <w:left w:val="none" w:sz="0" w:space="0" w:color="auto"/>
                                                                <w:bottom w:val="none" w:sz="0" w:space="0" w:color="auto"/>
                                                                <w:right w:val="none" w:sz="0" w:space="0" w:color="auto"/>
                                                              </w:divBdr>
                                                              <w:divsChild>
                                                                <w:div w:id="1334528413">
                                                                  <w:marLeft w:val="0"/>
                                                                  <w:marRight w:val="0"/>
                                                                  <w:marTop w:val="0"/>
                                                                  <w:marBottom w:val="0"/>
                                                                  <w:divBdr>
                                                                    <w:top w:val="none" w:sz="0" w:space="0" w:color="auto"/>
                                                                    <w:left w:val="none" w:sz="0" w:space="0" w:color="auto"/>
                                                                    <w:bottom w:val="none" w:sz="0" w:space="0" w:color="auto"/>
                                                                    <w:right w:val="none" w:sz="0" w:space="0" w:color="auto"/>
                                                                  </w:divBdr>
                                                                  <w:divsChild>
                                                                    <w:div w:id="1787314">
                                                                      <w:marLeft w:val="0"/>
                                                                      <w:marRight w:val="0"/>
                                                                      <w:marTop w:val="0"/>
                                                                      <w:marBottom w:val="0"/>
                                                                      <w:divBdr>
                                                                        <w:top w:val="none" w:sz="0" w:space="0" w:color="auto"/>
                                                                        <w:left w:val="none" w:sz="0" w:space="0" w:color="auto"/>
                                                                        <w:bottom w:val="none" w:sz="0" w:space="0" w:color="auto"/>
                                                                        <w:right w:val="none" w:sz="0" w:space="0" w:color="auto"/>
                                                                      </w:divBdr>
                                                                      <w:divsChild>
                                                                        <w:div w:id="436869055">
                                                                          <w:marLeft w:val="0"/>
                                                                          <w:marRight w:val="0"/>
                                                                          <w:marTop w:val="0"/>
                                                                          <w:marBottom w:val="0"/>
                                                                          <w:divBdr>
                                                                            <w:top w:val="none" w:sz="0" w:space="0" w:color="auto"/>
                                                                            <w:left w:val="none" w:sz="0" w:space="0" w:color="auto"/>
                                                                            <w:bottom w:val="none" w:sz="0" w:space="0" w:color="auto"/>
                                                                            <w:right w:val="none" w:sz="0" w:space="0" w:color="auto"/>
                                                                          </w:divBdr>
                                                                        </w:div>
                                                                      </w:divsChild>
                                                                    </w:div>
                                                                    <w:div w:id="406223024">
                                                                      <w:marLeft w:val="0"/>
                                                                      <w:marRight w:val="0"/>
                                                                      <w:marTop w:val="0"/>
                                                                      <w:marBottom w:val="0"/>
                                                                      <w:divBdr>
                                                                        <w:top w:val="none" w:sz="0" w:space="0" w:color="auto"/>
                                                                        <w:left w:val="none" w:sz="0" w:space="0" w:color="auto"/>
                                                                        <w:bottom w:val="none" w:sz="0" w:space="0" w:color="auto"/>
                                                                        <w:right w:val="none" w:sz="0" w:space="0" w:color="auto"/>
                                                                      </w:divBdr>
                                                                      <w:divsChild>
                                                                        <w:div w:id="1568146229">
                                                                          <w:marLeft w:val="0"/>
                                                                          <w:marRight w:val="0"/>
                                                                          <w:marTop w:val="0"/>
                                                                          <w:marBottom w:val="0"/>
                                                                          <w:divBdr>
                                                                            <w:top w:val="none" w:sz="0" w:space="0" w:color="auto"/>
                                                                            <w:left w:val="none" w:sz="0" w:space="0" w:color="auto"/>
                                                                            <w:bottom w:val="none" w:sz="0" w:space="0" w:color="auto"/>
                                                                            <w:right w:val="none" w:sz="0" w:space="0" w:color="auto"/>
                                                                          </w:divBdr>
                                                                        </w:div>
                                                                      </w:divsChild>
                                                                    </w:div>
                                                                    <w:div w:id="782577591">
                                                                      <w:marLeft w:val="0"/>
                                                                      <w:marRight w:val="0"/>
                                                                      <w:marTop w:val="0"/>
                                                                      <w:marBottom w:val="0"/>
                                                                      <w:divBdr>
                                                                        <w:top w:val="none" w:sz="0" w:space="0" w:color="auto"/>
                                                                        <w:left w:val="none" w:sz="0" w:space="0" w:color="auto"/>
                                                                        <w:bottom w:val="none" w:sz="0" w:space="0" w:color="auto"/>
                                                                        <w:right w:val="none" w:sz="0" w:space="0" w:color="auto"/>
                                                                      </w:divBdr>
                                                                      <w:divsChild>
                                                                        <w:div w:id="748964337">
                                                                          <w:marLeft w:val="0"/>
                                                                          <w:marRight w:val="0"/>
                                                                          <w:marTop w:val="0"/>
                                                                          <w:marBottom w:val="0"/>
                                                                          <w:divBdr>
                                                                            <w:top w:val="none" w:sz="0" w:space="0" w:color="auto"/>
                                                                            <w:left w:val="none" w:sz="0" w:space="0" w:color="auto"/>
                                                                            <w:bottom w:val="none" w:sz="0" w:space="0" w:color="auto"/>
                                                                            <w:right w:val="none" w:sz="0" w:space="0" w:color="auto"/>
                                                                          </w:divBdr>
                                                                        </w:div>
                                                                      </w:divsChild>
                                                                    </w:div>
                                                                    <w:div w:id="2105147855">
                                                                      <w:marLeft w:val="0"/>
                                                                      <w:marRight w:val="0"/>
                                                                      <w:marTop w:val="0"/>
                                                                      <w:marBottom w:val="0"/>
                                                                      <w:divBdr>
                                                                        <w:top w:val="none" w:sz="0" w:space="0" w:color="auto"/>
                                                                        <w:left w:val="none" w:sz="0" w:space="0" w:color="auto"/>
                                                                        <w:bottom w:val="none" w:sz="0" w:space="0" w:color="auto"/>
                                                                        <w:right w:val="none" w:sz="0" w:space="0" w:color="auto"/>
                                                                      </w:divBdr>
                                                                      <w:divsChild>
                                                                        <w:div w:id="2338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6222771">
      <w:bodyDiv w:val="1"/>
      <w:marLeft w:val="0"/>
      <w:marRight w:val="0"/>
      <w:marTop w:val="0"/>
      <w:marBottom w:val="0"/>
      <w:divBdr>
        <w:top w:val="none" w:sz="0" w:space="0" w:color="auto"/>
        <w:left w:val="none" w:sz="0" w:space="0" w:color="auto"/>
        <w:bottom w:val="none" w:sz="0" w:space="0" w:color="auto"/>
        <w:right w:val="none" w:sz="0" w:space="0" w:color="auto"/>
      </w:divBdr>
      <w:divsChild>
        <w:div w:id="1774936191">
          <w:marLeft w:val="0"/>
          <w:marRight w:val="0"/>
          <w:marTop w:val="0"/>
          <w:marBottom w:val="0"/>
          <w:divBdr>
            <w:top w:val="none" w:sz="0" w:space="0" w:color="auto"/>
            <w:left w:val="none" w:sz="0" w:space="0" w:color="auto"/>
            <w:bottom w:val="none" w:sz="0" w:space="0" w:color="auto"/>
            <w:right w:val="none" w:sz="0" w:space="0" w:color="auto"/>
          </w:divBdr>
          <w:divsChild>
            <w:div w:id="1842621873">
              <w:marLeft w:val="0"/>
              <w:marRight w:val="0"/>
              <w:marTop w:val="0"/>
              <w:marBottom w:val="0"/>
              <w:divBdr>
                <w:top w:val="none" w:sz="0" w:space="0" w:color="auto"/>
                <w:left w:val="none" w:sz="0" w:space="0" w:color="auto"/>
                <w:bottom w:val="none" w:sz="0" w:space="0" w:color="auto"/>
                <w:right w:val="none" w:sz="0" w:space="0" w:color="auto"/>
              </w:divBdr>
              <w:divsChild>
                <w:div w:id="318508159">
                  <w:marLeft w:val="0"/>
                  <w:marRight w:val="0"/>
                  <w:marTop w:val="0"/>
                  <w:marBottom w:val="0"/>
                  <w:divBdr>
                    <w:top w:val="none" w:sz="0" w:space="0" w:color="auto"/>
                    <w:left w:val="none" w:sz="0" w:space="0" w:color="auto"/>
                    <w:bottom w:val="none" w:sz="0" w:space="0" w:color="auto"/>
                    <w:right w:val="none" w:sz="0" w:space="0" w:color="auto"/>
                  </w:divBdr>
                  <w:divsChild>
                    <w:div w:id="705912402">
                      <w:marLeft w:val="0"/>
                      <w:marRight w:val="0"/>
                      <w:marTop w:val="0"/>
                      <w:marBottom w:val="300"/>
                      <w:divBdr>
                        <w:top w:val="none" w:sz="0" w:space="0" w:color="auto"/>
                        <w:left w:val="none" w:sz="0" w:space="0" w:color="auto"/>
                        <w:bottom w:val="none" w:sz="0" w:space="0" w:color="auto"/>
                        <w:right w:val="none" w:sz="0" w:space="0" w:color="auto"/>
                      </w:divBdr>
                      <w:divsChild>
                        <w:div w:id="1700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041209">
      <w:bodyDiv w:val="1"/>
      <w:marLeft w:val="0"/>
      <w:marRight w:val="0"/>
      <w:marTop w:val="0"/>
      <w:marBottom w:val="0"/>
      <w:divBdr>
        <w:top w:val="none" w:sz="0" w:space="0" w:color="auto"/>
        <w:left w:val="none" w:sz="0" w:space="0" w:color="auto"/>
        <w:bottom w:val="none" w:sz="0" w:space="0" w:color="auto"/>
        <w:right w:val="none" w:sz="0" w:space="0" w:color="auto"/>
      </w:divBdr>
      <w:divsChild>
        <w:div w:id="1090467394">
          <w:marLeft w:val="0"/>
          <w:marRight w:val="0"/>
          <w:marTop w:val="0"/>
          <w:marBottom w:val="0"/>
          <w:divBdr>
            <w:top w:val="none" w:sz="0" w:space="0" w:color="auto"/>
            <w:left w:val="none" w:sz="0" w:space="0" w:color="auto"/>
            <w:bottom w:val="none" w:sz="0" w:space="0" w:color="auto"/>
            <w:right w:val="none" w:sz="0" w:space="0" w:color="auto"/>
          </w:divBdr>
          <w:divsChild>
            <w:div w:id="686909175">
              <w:marLeft w:val="0"/>
              <w:marRight w:val="0"/>
              <w:marTop w:val="0"/>
              <w:marBottom w:val="0"/>
              <w:divBdr>
                <w:top w:val="none" w:sz="0" w:space="0" w:color="auto"/>
                <w:left w:val="none" w:sz="0" w:space="0" w:color="auto"/>
                <w:bottom w:val="none" w:sz="0" w:space="0" w:color="auto"/>
                <w:right w:val="none" w:sz="0" w:space="0" w:color="auto"/>
              </w:divBdr>
              <w:divsChild>
                <w:div w:id="1457600664">
                  <w:marLeft w:val="0"/>
                  <w:marRight w:val="0"/>
                  <w:marTop w:val="0"/>
                  <w:marBottom w:val="0"/>
                  <w:divBdr>
                    <w:top w:val="none" w:sz="0" w:space="0" w:color="auto"/>
                    <w:left w:val="none" w:sz="0" w:space="0" w:color="auto"/>
                    <w:bottom w:val="none" w:sz="0" w:space="0" w:color="auto"/>
                    <w:right w:val="none" w:sz="0" w:space="0" w:color="auto"/>
                  </w:divBdr>
                  <w:divsChild>
                    <w:div w:id="1688093042">
                      <w:marLeft w:val="0"/>
                      <w:marRight w:val="0"/>
                      <w:marTop w:val="0"/>
                      <w:marBottom w:val="300"/>
                      <w:divBdr>
                        <w:top w:val="none" w:sz="0" w:space="0" w:color="auto"/>
                        <w:left w:val="none" w:sz="0" w:space="0" w:color="auto"/>
                        <w:bottom w:val="none" w:sz="0" w:space="0" w:color="auto"/>
                        <w:right w:val="none" w:sz="0" w:space="0" w:color="auto"/>
                      </w:divBdr>
                      <w:divsChild>
                        <w:div w:id="8422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778288">
      <w:bodyDiv w:val="1"/>
      <w:marLeft w:val="0"/>
      <w:marRight w:val="0"/>
      <w:marTop w:val="0"/>
      <w:marBottom w:val="0"/>
      <w:divBdr>
        <w:top w:val="none" w:sz="0" w:space="0" w:color="auto"/>
        <w:left w:val="none" w:sz="0" w:space="0" w:color="auto"/>
        <w:bottom w:val="none" w:sz="0" w:space="0" w:color="auto"/>
        <w:right w:val="none" w:sz="0" w:space="0" w:color="auto"/>
      </w:divBdr>
      <w:divsChild>
        <w:div w:id="385110649">
          <w:marLeft w:val="0"/>
          <w:marRight w:val="0"/>
          <w:marTop w:val="0"/>
          <w:marBottom w:val="0"/>
          <w:divBdr>
            <w:top w:val="none" w:sz="0" w:space="0" w:color="auto"/>
            <w:left w:val="none" w:sz="0" w:space="0" w:color="auto"/>
            <w:bottom w:val="none" w:sz="0" w:space="0" w:color="auto"/>
            <w:right w:val="none" w:sz="0" w:space="0" w:color="auto"/>
          </w:divBdr>
          <w:divsChild>
            <w:div w:id="1478065928">
              <w:marLeft w:val="0"/>
              <w:marRight w:val="0"/>
              <w:marTop w:val="0"/>
              <w:marBottom w:val="0"/>
              <w:divBdr>
                <w:top w:val="none" w:sz="0" w:space="0" w:color="auto"/>
                <w:left w:val="none" w:sz="0" w:space="0" w:color="auto"/>
                <w:bottom w:val="none" w:sz="0" w:space="0" w:color="auto"/>
                <w:right w:val="none" w:sz="0" w:space="0" w:color="auto"/>
              </w:divBdr>
              <w:divsChild>
                <w:div w:id="611520502">
                  <w:marLeft w:val="0"/>
                  <w:marRight w:val="0"/>
                  <w:marTop w:val="0"/>
                  <w:marBottom w:val="0"/>
                  <w:divBdr>
                    <w:top w:val="none" w:sz="0" w:space="0" w:color="auto"/>
                    <w:left w:val="none" w:sz="0" w:space="0" w:color="auto"/>
                    <w:bottom w:val="none" w:sz="0" w:space="0" w:color="auto"/>
                    <w:right w:val="none" w:sz="0" w:space="0" w:color="auto"/>
                  </w:divBdr>
                  <w:divsChild>
                    <w:div w:id="883912342">
                      <w:marLeft w:val="0"/>
                      <w:marRight w:val="0"/>
                      <w:marTop w:val="0"/>
                      <w:marBottom w:val="300"/>
                      <w:divBdr>
                        <w:top w:val="none" w:sz="0" w:space="0" w:color="auto"/>
                        <w:left w:val="none" w:sz="0" w:space="0" w:color="auto"/>
                        <w:bottom w:val="none" w:sz="0" w:space="0" w:color="auto"/>
                        <w:right w:val="none" w:sz="0" w:space="0" w:color="auto"/>
                      </w:divBdr>
                      <w:divsChild>
                        <w:div w:id="20599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308225">
      <w:bodyDiv w:val="1"/>
      <w:marLeft w:val="0"/>
      <w:marRight w:val="0"/>
      <w:marTop w:val="0"/>
      <w:marBottom w:val="0"/>
      <w:divBdr>
        <w:top w:val="none" w:sz="0" w:space="0" w:color="auto"/>
        <w:left w:val="none" w:sz="0" w:space="0" w:color="auto"/>
        <w:bottom w:val="none" w:sz="0" w:space="0" w:color="auto"/>
        <w:right w:val="none" w:sz="0" w:space="0" w:color="auto"/>
      </w:divBdr>
      <w:divsChild>
        <w:div w:id="1604460316">
          <w:marLeft w:val="0"/>
          <w:marRight w:val="0"/>
          <w:marTop w:val="0"/>
          <w:marBottom w:val="0"/>
          <w:divBdr>
            <w:top w:val="none" w:sz="0" w:space="0" w:color="auto"/>
            <w:left w:val="none" w:sz="0" w:space="0" w:color="auto"/>
            <w:bottom w:val="none" w:sz="0" w:space="0" w:color="auto"/>
            <w:right w:val="none" w:sz="0" w:space="0" w:color="auto"/>
          </w:divBdr>
          <w:divsChild>
            <w:div w:id="193202339">
              <w:marLeft w:val="0"/>
              <w:marRight w:val="0"/>
              <w:marTop w:val="0"/>
              <w:marBottom w:val="0"/>
              <w:divBdr>
                <w:top w:val="none" w:sz="0" w:space="0" w:color="auto"/>
                <w:left w:val="none" w:sz="0" w:space="0" w:color="auto"/>
                <w:bottom w:val="none" w:sz="0" w:space="0" w:color="auto"/>
                <w:right w:val="none" w:sz="0" w:space="0" w:color="auto"/>
              </w:divBdr>
              <w:divsChild>
                <w:div w:id="307587957">
                  <w:marLeft w:val="0"/>
                  <w:marRight w:val="0"/>
                  <w:marTop w:val="0"/>
                  <w:marBottom w:val="0"/>
                  <w:divBdr>
                    <w:top w:val="none" w:sz="0" w:space="0" w:color="auto"/>
                    <w:left w:val="none" w:sz="0" w:space="0" w:color="auto"/>
                    <w:bottom w:val="none" w:sz="0" w:space="0" w:color="auto"/>
                    <w:right w:val="none" w:sz="0" w:space="0" w:color="auto"/>
                  </w:divBdr>
                  <w:divsChild>
                    <w:div w:id="1504393390">
                      <w:marLeft w:val="0"/>
                      <w:marRight w:val="0"/>
                      <w:marTop w:val="0"/>
                      <w:marBottom w:val="300"/>
                      <w:divBdr>
                        <w:top w:val="none" w:sz="0" w:space="0" w:color="auto"/>
                        <w:left w:val="none" w:sz="0" w:space="0" w:color="auto"/>
                        <w:bottom w:val="none" w:sz="0" w:space="0" w:color="auto"/>
                        <w:right w:val="none" w:sz="0" w:space="0" w:color="auto"/>
                      </w:divBdr>
                      <w:divsChild>
                        <w:div w:id="7221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312770">
      <w:bodyDiv w:val="1"/>
      <w:marLeft w:val="0"/>
      <w:marRight w:val="0"/>
      <w:marTop w:val="0"/>
      <w:marBottom w:val="0"/>
      <w:divBdr>
        <w:top w:val="none" w:sz="0" w:space="0" w:color="auto"/>
        <w:left w:val="none" w:sz="0" w:space="0" w:color="auto"/>
        <w:bottom w:val="none" w:sz="0" w:space="0" w:color="auto"/>
        <w:right w:val="none" w:sz="0" w:space="0" w:color="auto"/>
      </w:divBdr>
      <w:divsChild>
        <w:div w:id="425080399">
          <w:marLeft w:val="0"/>
          <w:marRight w:val="0"/>
          <w:marTop w:val="0"/>
          <w:marBottom w:val="0"/>
          <w:divBdr>
            <w:top w:val="none" w:sz="0" w:space="0" w:color="auto"/>
            <w:left w:val="single" w:sz="6" w:space="0" w:color="BBBBBB"/>
            <w:bottom w:val="single" w:sz="6" w:space="0" w:color="BBBBBB"/>
            <w:right w:val="single" w:sz="6" w:space="0" w:color="BBBBBB"/>
          </w:divBdr>
          <w:divsChild>
            <w:div w:id="1687828461">
              <w:marLeft w:val="0"/>
              <w:marRight w:val="0"/>
              <w:marTop w:val="0"/>
              <w:marBottom w:val="0"/>
              <w:divBdr>
                <w:top w:val="none" w:sz="0" w:space="0" w:color="auto"/>
                <w:left w:val="none" w:sz="0" w:space="0" w:color="auto"/>
                <w:bottom w:val="none" w:sz="0" w:space="0" w:color="auto"/>
                <w:right w:val="none" w:sz="0" w:space="0" w:color="auto"/>
              </w:divBdr>
              <w:divsChild>
                <w:div w:id="161555264">
                  <w:marLeft w:val="0"/>
                  <w:marRight w:val="0"/>
                  <w:marTop w:val="75"/>
                  <w:marBottom w:val="0"/>
                  <w:divBdr>
                    <w:top w:val="none" w:sz="0" w:space="0" w:color="auto"/>
                    <w:left w:val="none" w:sz="0" w:space="0" w:color="auto"/>
                    <w:bottom w:val="none" w:sz="0" w:space="0" w:color="auto"/>
                    <w:right w:val="none" w:sz="0" w:space="0" w:color="auto"/>
                  </w:divBdr>
                  <w:divsChild>
                    <w:div w:id="1310355361">
                      <w:marLeft w:val="0"/>
                      <w:marRight w:val="0"/>
                      <w:marTop w:val="0"/>
                      <w:marBottom w:val="0"/>
                      <w:divBdr>
                        <w:top w:val="none" w:sz="0" w:space="0" w:color="auto"/>
                        <w:left w:val="none" w:sz="0" w:space="0" w:color="auto"/>
                        <w:bottom w:val="none" w:sz="0" w:space="0" w:color="auto"/>
                        <w:right w:val="none" w:sz="0" w:space="0" w:color="auto"/>
                      </w:divBdr>
                      <w:divsChild>
                        <w:div w:id="591738672">
                          <w:marLeft w:val="0"/>
                          <w:marRight w:val="0"/>
                          <w:marTop w:val="0"/>
                          <w:marBottom w:val="0"/>
                          <w:divBdr>
                            <w:top w:val="none" w:sz="0" w:space="0" w:color="auto"/>
                            <w:left w:val="none" w:sz="0" w:space="0" w:color="auto"/>
                            <w:bottom w:val="none" w:sz="0" w:space="0" w:color="auto"/>
                            <w:right w:val="none" w:sz="0" w:space="0" w:color="auto"/>
                          </w:divBdr>
                          <w:divsChild>
                            <w:div w:id="1477450998">
                              <w:marLeft w:val="0"/>
                              <w:marRight w:val="0"/>
                              <w:marTop w:val="0"/>
                              <w:marBottom w:val="0"/>
                              <w:divBdr>
                                <w:top w:val="none" w:sz="0" w:space="0" w:color="auto"/>
                                <w:left w:val="none" w:sz="0" w:space="0" w:color="auto"/>
                                <w:bottom w:val="none" w:sz="0" w:space="0" w:color="auto"/>
                                <w:right w:val="none" w:sz="0" w:space="0" w:color="auto"/>
                              </w:divBdr>
                              <w:divsChild>
                                <w:div w:id="1865829430">
                                  <w:marLeft w:val="0"/>
                                  <w:marRight w:val="0"/>
                                  <w:marTop w:val="0"/>
                                  <w:marBottom w:val="0"/>
                                  <w:divBdr>
                                    <w:top w:val="none" w:sz="0" w:space="0" w:color="auto"/>
                                    <w:left w:val="none" w:sz="0" w:space="0" w:color="auto"/>
                                    <w:bottom w:val="none" w:sz="0" w:space="0" w:color="auto"/>
                                    <w:right w:val="none" w:sz="0" w:space="0" w:color="auto"/>
                                  </w:divBdr>
                                  <w:divsChild>
                                    <w:div w:id="752311966">
                                      <w:marLeft w:val="0"/>
                                      <w:marRight w:val="0"/>
                                      <w:marTop w:val="0"/>
                                      <w:marBottom w:val="0"/>
                                      <w:divBdr>
                                        <w:top w:val="none" w:sz="0" w:space="0" w:color="auto"/>
                                        <w:left w:val="none" w:sz="0" w:space="0" w:color="auto"/>
                                        <w:bottom w:val="none" w:sz="0" w:space="0" w:color="auto"/>
                                        <w:right w:val="none" w:sz="0" w:space="0" w:color="auto"/>
                                      </w:divBdr>
                                      <w:divsChild>
                                        <w:div w:id="114100369">
                                          <w:marLeft w:val="1200"/>
                                          <w:marRight w:val="1200"/>
                                          <w:marTop w:val="0"/>
                                          <w:marBottom w:val="0"/>
                                          <w:divBdr>
                                            <w:top w:val="none" w:sz="0" w:space="0" w:color="auto"/>
                                            <w:left w:val="none" w:sz="0" w:space="0" w:color="auto"/>
                                            <w:bottom w:val="none" w:sz="0" w:space="0" w:color="auto"/>
                                            <w:right w:val="none" w:sz="0" w:space="0" w:color="auto"/>
                                          </w:divBdr>
                                          <w:divsChild>
                                            <w:div w:id="288315652">
                                              <w:marLeft w:val="0"/>
                                              <w:marRight w:val="0"/>
                                              <w:marTop w:val="0"/>
                                              <w:marBottom w:val="0"/>
                                              <w:divBdr>
                                                <w:top w:val="none" w:sz="0" w:space="0" w:color="auto"/>
                                                <w:left w:val="none" w:sz="0" w:space="0" w:color="auto"/>
                                                <w:bottom w:val="none" w:sz="0" w:space="0" w:color="auto"/>
                                                <w:right w:val="none" w:sz="0" w:space="0" w:color="auto"/>
                                              </w:divBdr>
                                              <w:divsChild>
                                                <w:div w:id="1080520021">
                                                  <w:marLeft w:val="0"/>
                                                  <w:marRight w:val="0"/>
                                                  <w:marTop w:val="0"/>
                                                  <w:marBottom w:val="0"/>
                                                  <w:divBdr>
                                                    <w:top w:val="none" w:sz="0" w:space="0" w:color="auto"/>
                                                    <w:left w:val="none" w:sz="0" w:space="0" w:color="auto"/>
                                                    <w:bottom w:val="none" w:sz="0" w:space="0" w:color="auto"/>
                                                    <w:right w:val="none" w:sz="0" w:space="0" w:color="auto"/>
                                                  </w:divBdr>
                                                  <w:divsChild>
                                                    <w:div w:id="305625215">
                                                      <w:marLeft w:val="0"/>
                                                      <w:marRight w:val="0"/>
                                                      <w:marTop w:val="0"/>
                                                      <w:marBottom w:val="0"/>
                                                      <w:divBdr>
                                                        <w:top w:val="none" w:sz="0" w:space="0" w:color="auto"/>
                                                        <w:left w:val="none" w:sz="0" w:space="0" w:color="auto"/>
                                                        <w:bottom w:val="none" w:sz="0" w:space="0" w:color="auto"/>
                                                        <w:right w:val="none" w:sz="0" w:space="0" w:color="auto"/>
                                                      </w:divBdr>
                                                      <w:divsChild>
                                                        <w:div w:id="2018261997">
                                                          <w:marLeft w:val="0"/>
                                                          <w:marRight w:val="0"/>
                                                          <w:marTop w:val="0"/>
                                                          <w:marBottom w:val="0"/>
                                                          <w:divBdr>
                                                            <w:top w:val="none" w:sz="0" w:space="0" w:color="auto"/>
                                                            <w:left w:val="none" w:sz="0" w:space="0" w:color="auto"/>
                                                            <w:bottom w:val="none" w:sz="0" w:space="0" w:color="auto"/>
                                                            <w:right w:val="none" w:sz="0" w:space="0" w:color="auto"/>
                                                          </w:divBdr>
                                                          <w:divsChild>
                                                            <w:div w:id="47463384">
                                                              <w:marLeft w:val="0"/>
                                                              <w:marRight w:val="0"/>
                                                              <w:marTop w:val="0"/>
                                                              <w:marBottom w:val="0"/>
                                                              <w:divBdr>
                                                                <w:top w:val="none" w:sz="0" w:space="0" w:color="auto"/>
                                                                <w:left w:val="none" w:sz="0" w:space="0" w:color="auto"/>
                                                                <w:bottom w:val="none" w:sz="0" w:space="0" w:color="auto"/>
                                                                <w:right w:val="none" w:sz="0" w:space="0" w:color="auto"/>
                                                              </w:divBdr>
                                                              <w:divsChild>
                                                                <w:div w:id="1344824824">
                                                                  <w:marLeft w:val="0"/>
                                                                  <w:marRight w:val="0"/>
                                                                  <w:marTop w:val="0"/>
                                                                  <w:marBottom w:val="0"/>
                                                                  <w:divBdr>
                                                                    <w:top w:val="none" w:sz="0" w:space="0" w:color="auto"/>
                                                                    <w:left w:val="none" w:sz="0" w:space="0" w:color="auto"/>
                                                                    <w:bottom w:val="none" w:sz="0" w:space="0" w:color="auto"/>
                                                                    <w:right w:val="none" w:sz="0" w:space="0" w:color="auto"/>
                                                                  </w:divBdr>
                                                                  <w:divsChild>
                                                                    <w:div w:id="442067890">
                                                                      <w:marLeft w:val="0"/>
                                                                      <w:marRight w:val="0"/>
                                                                      <w:marTop w:val="0"/>
                                                                      <w:marBottom w:val="0"/>
                                                                      <w:divBdr>
                                                                        <w:top w:val="none" w:sz="0" w:space="0" w:color="auto"/>
                                                                        <w:left w:val="none" w:sz="0" w:space="0" w:color="auto"/>
                                                                        <w:bottom w:val="none" w:sz="0" w:space="0" w:color="auto"/>
                                                                        <w:right w:val="none" w:sz="0" w:space="0" w:color="auto"/>
                                                                      </w:divBdr>
                                                                      <w:divsChild>
                                                                        <w:div w:id="1230189152">
                                                                          <w:marLeft w:val="0"/>
                                                                          <w:marRight w:val="0"/>
                                                                          <w:marTop w:val="0"/>
                                                                          <w:marBottom w:val="0"/>
                                                                          <w:divBdr>
                                                                            <w:top w:val="none" w:sz="0" w:space="0" w:color="auto"/>
                                                                            <w:left w:val="none" w:sz="0" w:space="0" w:color="auto"/>
                                                                            <w:bottom w:val="none" w:sz="0" w:space="0" w:color="auto"/>
                                                                            <w:right w:val="none" w:sz="0" w:space="0" w:color="auto"/>
                                                                          </w:divBdr>
                                                                        </w:div>
                                                                      </w:divsChild>
                                                                    </w:div>
                                                                    <w:div w:id="765275348">
                                                                      <w:marLeft w:val="0"/>
                                                                      <w:marRight w:val="0"/>
                                                                      <w:marTop w:val="0"/>
                                                                      <w:marBottom w:val="0"/>
                                                                      <w:divBdr>
                                                                        <w:top w:val="none" w:sz="0" w:space="0" w:color="auto"/>
                                                                        <w:left w:val="none" w:sz="0" w:space="0" w:color="auto"/>
                                                                        <w:bottom w:val="none" w:sz="0" w:space="0" w:color="auto"/>
                                                                        <w:right w:val="none" w:sz="0" w:space="0" w:color="auto"/>
                                                                      </w:divBdr>
                                                                      <w:divsChild>
                                                                        <w:div w:id="922104269">
                                                                          <w:marLeft w:val="0"/>
                                                                          <w:marRight w:val="0"/>
                                                                          <w:marTop w:val="0"/>
                                                                          <w:marBottom w:val="0"/>
                                                                          <w:divBdr>
                                                                            <w:top w:val="none" w:sz="0" w:space="0" w:color="auto"/>
                                                                            <w:left w:val="none" w:sz="0" w:space="0" w:color="auto"/>
                                                                            <w:bottom w:val="none" w:sz="0" w:space="0" w:color="auto"/>
                                                                            <w:right w:val="none" w:sz="0" w:space="0" w:color="auto"/>
                                                                          </w:divBdr>
                                                                        </w:div>
                                                                      </w:divsChild>
                                                                    </w:div>
                                                                    <w:div w:id="1038165236">
                                                                      <w:marLeft w:val="0"/>
                                                                      <w:marRight w:val="0"/>
                                                                      <w:marTop w:val="0"/>
                                                                      <w:marBottom w:val="0"/>
                                                                      <w:divBdr>
                                                                        <w:top w:val="none" w:sz="0" w:space="0" w:color="auto"/>
                                                                        <w:left w:val="none" w:sz="0" w:space="0" w:color="auto"/>
                                                                        <w:bottom w:val="none" w:sz="0" w:space="0" w:color="auto"/>
                                                                        <w:right w:val="none" w:sz="0" w:space="0" w:color="auto"/>
                                                                      </w:divBdr>
                                                                      <w:divsChild>
                                                                        <w:div w:id="1252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813431">
      <w:bodyDiv w:val="1"/>
      <w:marLeft w:val="0"/>
      <w:marRight w:val="0"/>
      <w:marTop w:val="0"/>
      <w:marBottom w:val="0"/>
      <w:divBdr>
        <w:top w:val="none" w:sz="0" w:space="0" w:color="auto"/>
        <w:left w:val="none" w:sz="0" w:space="0" w:color="auto"/>
        <w:bottom w:val="none" w:sz="0" w:space="0" w:color="auto"/>
        <w:right w:val="none" w:sz="0" w:space="0" w:color="auto"/>
      </w:divBdr>
    </w:div>
    <w:div w:id="378014163">
      <w:bodyDiv w:val="1"/>
      <w:marLeft w:val="0"/>
      <w:marRight w:val="0"/>
      <w:marTop w:val="0"/>
      <w:marBottom w:val="0"/>
      <w:divBdr>
        <w:top w:val="none" w:sz="0" w:space="0" w:color="auto"/>
        <w:left w:val="none" w:sz="0" w:space="0" w:color="auto"/>
        <w:bottom w:val="none" w:sz="0" w:space="0" w:color="auto"/>
        <w:right w:val="none" w:sz="0" w:space="0" w:color="auto"/>
      </w:divBdr>
      <w:divsChild>
        <w:div w:id="1293290751">
          <w:marLeft w:val="0"/>
          <w:marRight w:val="0"/>
          <w:marTop w:val="0"/>
          <w:marBottom w:val="0"/>
          <w:divBdr>
            <w:top w:val="none" w:sz="0" w:space="0" w:color="auto"/>
            <w:left w:val="none" w:sz="0" w:space="0" w:color="auto"/>
            <w:bottom w:val="none" w:sz="0" w:space="0" w:color="auto"/>
            <w:right w:val="none" w:sz="0" w:space="0" w:color="auto"/>
          </w:divBdr>
          <w:divsChild>
            <w:div w:id="330302796">
              <w:marLeft w:val="0"/>
              <w:marRight w:val="0"/>
              <w:marTop w:val="0"/>
              <w:marBottom w:val="0"/>
              <w:divBdr>
                <w:top w:val="none" w:sz="0" w:space="0" w:color="auto"/>
                <w:left w:val="none" w:sz="0" w:space="0" w:color="auto"/>
                <w:bottom w:val="none" w:sz="0" w:space="0" w:color="auto"/>
                <w:right w:val="none" w:sz="0" w:space="0" w:color="auto"/>
              </w:divBdr>
              <w:divsChild>
                <w:div w:id="1858732536">
                  <w:marLeft w:val="0"/>
                  <w:marRight w:val="0"/>
                  <w:marTop w:val="0"/>
                  <w:marBottom w:val="0"/>
                  <w:divBdr>
                    <w:top w:val="none" w:sz="0" w:space="0" w:color="auto"/>
                    <w:left w:val="none" w:sz="0" w:space="0" w:color="auto"/>
                    <w:bottom w:val="none" w:sz="0" w:space="0" w:color="auto"/>
                    <w:right w:val="none" w:sz="0" w:space="0" w:color="auto"/>
                  </w:divBdr>
                  <w:divsChild>
                    <w:div w:id="1253589780">
                      <w:marLeft w:val="0"/>
                      <w:marRight w:val="0"/>
                      <w:marTop w:val="0"/>
                      <w:marBottom w:val="300"/>
                      <w:divBdr>
                        <w:top w:val="none" w:sz="0" w:space="0" w:color="auto"/>
                        <w:left w:val="none" w:sz="0" w:space="0" w:color="auto"/>
                        <w:bottom w:val="none" w:sz="0" w:space="0" w:color="auto"/>
                        <w:right w:val="none" w:sz="0" w:space="0" w:color="auto"/>
                      </w:divBdr>
                      <w:divsChild>
                        <w:div w:id="276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785293">
      <w:bodyDiv w:val="1"/>
      <w:marLeft w:val="0"/>
      <w:marRight w:val="0"/>
      <w:marTop w:val="0"/>
      <w:marBottom w:val="0"/>
      <w:divBdr>
        <w:top w:val="none" w:sz="0" w:space="0" w:color="auto"/>
        <w:left w:val="none" w:sz="0" w:space="0" w:color="auto"/>
        <w:bottom w:val="none" w:sz="0" w:space="0" w:color="auto"/>
        <w:right w:val="none" w:sz="0" w:space="0" w:color="auto"/>
      </w:divBdr>
      <w:divsChild>
        <w:div w:id="1458985804">
          <w:marLeft w:val="0"/>
          <w:marRight w:val="0"/>
          <w:marTop w:val="0"/>
          <w:marBottom w:val="0"/>
          <w:divBdr>
            <w:top w:val="none" w:sz="0" w:space="0" w:color="auto"/>
            <w:left w:val="none" w:sz="0" w:space="0" w:color="auto"/>
            <w:bottom w:val="none" w:sz="0" w:space="0" w:color="auto"/>
            <w:right w:val="none" w:sz="0" w:space="0" w:color="auto"/>
          </w:divBdr>
          <w:divsChild>
            <w:div w:id="1030641669">
              <w:marLeft w:val="0"/>
              <w:marRight w:val="0"/>
              <w:marTop w:val="0"/>
              <w:marBottom w:val="0"/>
              <w:divBdr>
                <w:top w:val="none" w:sz="0" w:space="0" w:color="auto"/>
                <w:left w:val="none" w:sz="0" w:space="0" w:color="auto"/>
                <w:bottom w:val="none" w:sz="0" w:space="0" w:color="auto"/>
                <w:right w:val="none" w:sz="0" w:space="0" w:color="auto"/>
              </w:divBdr>
              <w:divsChild>
                <w:div w:id="704450766">
                  <w:marLeft w:val="0"/>
                  <w:marRight w:val="0"/>
                  <w:marTop w:val="0"/>
                  <w:marBottom w:val="0"/>
                  <w:divBdr>
                    <w:top w:val="none" w:sz="0" w:space="0" w:color="auto"/>
                    <w:left w:val="none" w:sz="0" w:space="0" w:color="auto"/>
                    <w:bottom w:val="none" w:sz="0" w:space="0" w:color="auto"/>
                    <w:right w:val="none" w:sz="0" w:space="0" w:color="auto"/>
                  </w:divBdr>
                  <w:divsChild>
                    <w:div w:id="947733930">
                      <w:marLeft w:val="0"/>
                      <w:marRight w:val="0"/>
                      <w:marTop w:val="0"/>
                      <w:marBottom w:val="300"/>
                      <w:divBdr>
                        <w:top w:val="none" w:sz="0" w:space="0" w:color="auto"/>
                        <w:left w:val="none" w:sz="0" w:space="0" w:color="auto"/>
                        <w:bottom w:val="none" w:sz="0" w:space="0" w:color="auto"/>
                        <w:right w:val="none" w:sz="0" w:space="0" w:color="auto"/>
                      </w:divBdr>
                      <w:divsChild>
                        <w:div w:id="181236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797002">
      <w:bodyDiv w:val="1"/>
      <w:marLeft w:val="0"/>
      <w:marRight w:val="0"/>
      <w:marTop w:val="0"/>
      <w:marBottom w:val="0"/>
      <w:divBdr>
        <w:top w:val="none" w:sz="0" w:space="0" w:color="auto"/>
        <w:left w:val="none" w:sz="0" w:space="0" w:color="auto"/>
        <w:bottom w:val="none" w:sz="0" w:space="0" w:color="auto"/>
        <w:right w:val="none" w:sz="0" w:space="0" w:color="auto"/>
      </w:divBdr>
      <w:divsChild>
        <w:div w:id="277688824">
          <w:marLeft w:val="0"/>
          <w:marRight w:val="0"/>
          <w:marTop w:val="240"/>
          <w:marBottom w:val="0"/>
          <w:divBdr>
            <w:top w:val="none" w:sz="0" w:space="0" w:color="auto"/>
            <w:left w:val="none" w:sz="0" w:space="0" w:color="auto"/>
            <w:bottom w:val="none" w:sz="0" w:space="0" w:color="auto"/>
            <w:right w:val="none" w:sz="0" w:space="0" w:color="auto"/>
          </w:divBdr>
          <w:divsChild>
            <w:div w:id="1612783552">
              <w:marLeft w:val="0"/>
              <w:marRight w:val="0"/>
              <w:marTop w:val="0"/>
              <w:marBottom w:val="0"/>
              <w:divBdr>
                <w:top w:val="none" w:sz="0" w:space="0" w:color="auto"/>
                <w:left w:val="none" w:sz="0" w:space="0" w:color="auto"/>
                <w:bottom w:val="none" w:sz="0" w:space="0" w:color="auto"/>
                <w:right w:val="none" w:sz="0" w:space="0" w:color="auto"/>
              </w:divBdr>
            </w:div>
          </w:divsChild>
        </w:div>
        <w:div w:id="1815218723">
          <w:marLeft w:val="0"/>
          <w:marRight w:val="0"/>
          <w:marTop w:val="0"/>
          <w:marBottom w:val="0"/>
          <w:divBdr>
            <w:top w:val="none" w:sz="0" w:space="0" w:color="auto"/>
            <w:left w:val="none" w:sz="0" w:space="0" w:color="auto"/>
            <w:bottom w:val="none" w:sz="0" w:space="0" w:color="auto"/>
            <w:right w:val="none" w:sz="0" w:space="0" w:color="auto"/>
          </w:divBdr>
        </w:div>
      </w:divsChild>
    </w:div>
    <w:div w:id="382868245">
      <w:bodyDiv w:val="1"/>
      <w:marLeft w:val="0"/>
      <w:marRight w:val="0"/>
      <w:marTop w:val="0"/>
      <w:marBottom w:val="0"/>
      <w:divBdr>
        <w:top w:val="none" w:sz="0" w:space="0" w:color="auto"/>
        <w:left w:val="none" w:sz="0" w:space="0" w:color="auto"/>
        <w:bottom w:val="none" w:sz="0" w:space="0" w:color="auto"/>
        <w:right w:val="none" w:sz="0" w:space="0" w:color="auto"/>
      </w:divBdr>
      <w:divsChild>
        <w:div w:id="1555694631">
          <w:marLeft w:val="240"/>
          <w:marRight w:val="0"/>
          <w:marTop w:val="240"/>
          <w:marBottom w:val="0"/>
          <w:divBdr>
            <w:top w:val="none" w:sz="0" w:space="0" w:color="auto"/>
            <w:left w:val="none" w:sz="0" w:space="0" w:color="auto"/>
            <w:bottom w:val="none" w:sz="0" w:space="0" w:color="auto"/>
            <w:right w:val="none" w:sz="0" w:space="0" w:color="auto"/>
          </w:divBdr>
          <w:divsChild>
            <w:div w:id="2047438017">
              <w:marLeft w:val="0"/>
              <w:marRight w:val="0"/>
              <w:marTop w:val="0"/>
              <w:marBottom w:val="0"/>
              <w:divBdr>
                <w:top w:val="none" w:sz="0" w:space="0" w:color="auto"/>
                <w:left w:val="none" w:sz="0" w:space="0" w:color="auto"/>
                <w:bottom w:val="none" w:sz="0" w:space="0" w:color="auto"/>
                <w:right w:val="none" w:sz="0" w:space="0" w:color="auto"/>
              </w:divBdr>
            </w:div>
          </w:divsChild>
        </w:div>
        <w:div w:id="80882426">
          <w:marLeft w:val="240"/>
          <w:marRight w:val="0"/>
          <w:marTop w:val="240"/>
          <w:marBottom w:val="0"/>
          <w:divBdr>
            <w:top w:val="none" w:sz="0" w:space="0" w:color="auto"/>
            <w:left w:val="none" w:sz="0" w:space="0" w:color="auto"/>
            <w:bottom w:val="none" w:sz="0" w:space="0" w:color="auto"/>
            <w:right w:val="none" w:sz="0" w:space="0" w:color="auto"/>
          </w:divBdr>
          <w:divsChild>
            <w:div w:id="1648780482">
              <w:marLeft w:val="0"/>
              <w:marRight w:val="0"/>
              <w:marTop w:val="0"/>
              <w:marBottom w:val="0"/>
              <w:divBdr>
                <w:top w:val="none" w:sz="0" w:space="0" w:color="auto"/>
                <w:left w:val="none" w:sz="0" w:space="0" w:color="auto"/>
                <w:bottom w:val="none" w:sz="0" w:space="0" w:color="auto"/>
                <w:right w:val="none" w:sz="0" w:space="0" w:color="auto"/>
              </w:divBdr>
            </w:div>
          </w:divsChild>
        </w:div>
        <w:div w:id="1228608328">
          <w:marLeft w:val="240"/>
          <w:marRight w:val="0"/>
          <w:marTop w:val="240"/>
          <w:marBottom w:val="0"/>
          <w:divBdr>
            <w:top w:val="none" w:sz="0" w:space="0" w:color="auto"/>
            <w:left w:val="none" w:sz="0" w:space="0" w:color="auto"/>
            <w:bottom w:val="none" w:sz="0" w:space="0" w:color="auto"/>
            <w:right w:val="none" w:sz="0" w:space="0" w:color="auto"/>
          </w:divBdr>
          <w:divsChild>
            <w:div w:id="163861308">
              <w:marLeft w:val="0"/>
              <w:marRight w:val="0"/>
              <w:marTop w:val="0"/>
              <w:marBottom w:val="0"/>
              <w:divBdr>
                <w:top w:val="none" w:sz="0" w:space="0" w:color="auto"/>
                <w:left w:val="none" w:sz="0" w:space="0" w:color="auto"/>
                <w:bottom w:val="none" w:sz="0" w:space="0" w:color="auto"/>
                <w:right w:val="none" w:sz="0" w:space="0" w:color="auto"/>
              </w:divBdr>
              <w:divsChild>
                <w:div w:id="10020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1409">
          <w:marLeft w:val="240"/>
          <w:marRight w:val="0"/>
          <w:marTop w:val="240"/>
          <w:marBottom w:val="0"/>
          <w:divBdr>
            <w:top w:val="none" w:sz="0" w:space="0" w:color="auto"/>
            <w:left w:val="none" w:sz="0" w:space="0" w:color="auto"/>
            <w:bottom w:val="none" w:sz="0" w:space="0" w:color="auto"/>
            <w:right w:val="none" w:sz="0" w:space="0" w:color="auto"/>
          </w:divBdr>
          <w:divsChild>
            <w:div w:id="1372801607">
              <w:marLeft w:val="0"/>
              <w:marRight w:val="0"/>
              <w:marTop w:val="0"/>
              <w:marBottom w:val="0"/>
              <w:divBdr>
                <w:top w:val="none" w:sz="0" w:space="0" w:color="auto"/>
                <w:left w:val="none" w:sz="0" w:space="0" w:color="auto"/>
                <w:bottom w:val="none" w:sz="0" w:space="0" w:color="auto"/>
                <w:right w:val="none" w:sz="0" w:space="0" w:color="auto"/>
              </w:divBdr>
            </w:div>
          </w:divsChild>
        </w:div>
        <w:div w:id="493030948">
          <w:marLeft w:val="0"/>
          <w:marRight w:val="0"/>
          <w:marTop w:val="240"/>
          <w:marBottom w:val="0"/>
          <w:divBdr>
            <w:top w:val="none" w:sz="0" w:space="0" w:color="auto"/>
            <w:left w:val="none" w:sz="0" w:space="0" w:color="auto"/>
            <w:bottom w:val="none" w:sz="0" w:space="0" w:color="auto"/>
            <w:right w:val="none" w:sz="0" w:space="0" w:color="auto"/>
          </w:divBdr>
        </w:div>
      </w:divsChild>
    </w:div>
    <w:div w:id="385881696">
      <w:bodyDiv w:val="1"/>
      <w:marLeft w:val="0"/>
      <w:marRight w:val="0"/>
      <w:marTop w:val="0"/>
      <w:marBottom w:val="0"/>
      <w:divBdr>
        <w:top w:val="none" w:sz="0" w:space="0" w:color="auto"/>
        <w:left w:val="none" w:sz="0" w:space="0" w:color="auto"/>
        <w:bottom w:val="none" w:sz="0" w:space="0" w:color="auto"/>
        <w:right w:val="none" w:sz="0" w:space="0" w:color="auto"/>
      </w:divBdr>
      <w:divsChild>
        <w:div w:id="715397412">
          <w:marLeft w:val="0"/>
          <w:marRight w:val="0"/>
          <w:marTop w:val="240"/>
          <w:marBottom w:val="0"/>
          <w:divBdr>
            <w:top w:val="none" w:sz="0" w:space="0" w:color="auto"/>
            <w:left w:val="none" w:sz="0" w:space="0" w:color="auto"/>
            <w:bottom w:val="none" w:sz="0" w:space="0" w:color="auto"/>
            <w:right w:val="none" w:sz="0" w:space="0" w:color="auto"/>
          </w:divBdr>
          <w:divsChild>
            <w:div w:id="1343628345">
              <w:marLeft w:val="0"/>
              <w:marRight w:val="0"/>
              <w:marTop w:val="0"/>
              <w:marBottom w:val="0"/>
              <w:divBdr>
                <w:top w:val="none" w:sz="0" w:space="0" w:color="auto"/>
                <w:left w:val="none" w:sz="0" w:space="0" w:color="auto"/>
                <w:bottom w:val="none" w:sz="0" w:space="0" w:color="auto"/>
                <w:right w:val="none" w:sz="0" w:space="0" w:color="auto"/>
              </w:divBdr>
            </w:div>
          </w:divsChild>
        </w:div>
        <w:div w:id="745690002">
          <w:marLeft w:val="0"/>
          <w:marRight w:val="0"/>
          <w:marTop w:val="240"/>
          <w:marBottom w:val="0"/>
          <w:divBdr>
            <w:top w:val="none" w:sz="0" w:space="0" w:color="auto"/>
            <w:left w:val="none" w:sz="0" w:space="0" w:color="auto"/>
            <w:bottom w:val="none" w:sz="0" w:space="0" w:color="auto"/>
            <w:right w:val="none" w:sz="0" w:space="0" w:color="auto"/>
          </w:divBdr>
          <w:divsChild>
            <w:div w:id="2049062987">
              <w:marLeft w:val="0"/>
              <w:marRight w:val="0"/>
              <w:marTop w:val="0"/>
              <w:marBottom w:val="0"/>
              <w:divBdr>
                <w:top w:val="none" w:sz="0" w:space="0" w:color="auto"/>
                <w:left w:val="none" w:sz="0" w:space="0" w:color="auto"/>
                <w:bottom w:val="none" w:sz="0" w:space="0" w:color="auto"/>
                <w:right w:val="none" w:sz="0" w:space="0" w:color="auto"/>
              </w:divBdr>
            </w:div>
          </w:divsChild>
        </w:div>
        <w:div w:id="1082029131">
          <w:marLeft w:val="0"/>
          <w:marRight w:val="0"/>
          <w:marTop w:val="240"/>
          <w:marBottom w:val="0"/>
          <w:divBdr>
            <w:top w:val="none" w:sz="0" w:space="0" w:color="auto"/>
            <w:left w:val="none" w:sz="0" w:space="0" w:color="auto"/>
            <w:bottom w:val="none" w:sz="0" w:space="0" w:color="auto"/>
            <w:right w:val="none" w:sz="0" w:space="0" w:color="auto"/>
          </w:divBdr>
          <w:divsChild>
            <w:div w:id="1216695450">
              <w:marLeft w:val="0"/>
              <w:marRight w:val="0"/>
              <w:marTop w:val="0"/>
              <w:marBottom w:val="0"/>
              <w:divBdr>
                <w:top w:val="none" w:sz="0" w:space="0" w:color="auto"/>
                <w:left w:val="none" w:sz="0" w:space="0" w:color="auto"/>
                <w:bottom w:val="none" w:sz="0" w:space="0" w:color="auto"/>
                <w:right w:val="none" w:sz="0" w:space="0" w:color="auto"/>
              </w:divBdr>
            </w:div>
          </w:divsChild>
        </w:div>
        <w:div w:id="1126705610">
          <w:marLeft w:val="0"/>
          <w:marRight w:val="0"/>
          <w:marTop w:val="240"/>
          <w:marBottom w:val="0"/>
          <w:divBdr>
            <w:top w:val="none" w:sz="0" w:space="0" w:color="auto"/>
            <w:left w:val="none" w:sz="0" w:space="0" w:color="auto"/>
            <w:bottom w:val="none" w:sz="0" w:space="0" w:color="auto"/>
            <w:right w:val="none" w:sz="0" w:space="0" w:color="auto"/>
          </w:divBdr>
          <w:divsChild>
            <w:div w:id="15935155">
              <w:marLeft w:val="0"/>
              <w:marRight w:val="0"/>
              <w:marTop w:val="240"/>
              <w:marBottom w:val="0"/>
              <w:divBdr>
                <w:top w:val="none" w:sz="0" w:space="0" w:color="auto"/>
                <w:left w:val="none" w:sz="0" w:space="0" w:color="auto"/>
                <w:bottom w:val="none" w:sz="0" w:space="0" w:color="auto"/>
                <w:right w:val="none" w:sz="0" w:space="0" w:color="auto"/>
              </w:divBdr>
            </w:div>
            <w:div w:id="423184559">
              <w:marLeft w:val="0"/>
              <w:marRight w:val="0"/>
              <w:marTop w:val="240"/>
              <w:marBottom w:val="0"/>
              <w:divBdr>
                <w:top w:val="none" w:sz="0" w:space="0" w:color="auto"/>
                <w:left w:val="none" w:sz="0" w:space="0" w:color="auto"/>
                <w:bottom w:val="none" w:sz="0" w:space="0" w:color="auto"/>
                <w:right w:val="none" w:sz="0" w:space="0" w:color="auto"/>
              </w:divBdr>
              <w:divsChild>
                <w:div w:id="1099369810">
                  <w:marLeft w:val="0"/>
                  <w:marRight w:val="0"/>
                  <w:marTop w:val="0"/>
                  <w:marBottom w:val="0"/>
                  <w:divBdr>
                    <w:top w:val="none" w:sz="0" w:space="0" w:color="auto"/>
                    <w:left w:val="none" w:sz="0" w:space="0" w:color="auto"/>
                    <w:bottom w:val="none" w:sz="0" w:space="0" w:color="auto"/>
                    <w:right w:val="none" w:sz="0" w:space="0" w:color="auto"/>
                  </w:divBdr>
                </w:div>
              </w:divsChild>
            </w:div>
            <w:div w:id="4459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4945">
      <w:bodyDiv w:val="1"/>
      <w:marLeft w:val="0"/>
      <w:marRight w:val="0"/>
      <w:marTop w:val="0"/>
      <w:marBottom w:val="0"/>
      <w:divBdr>
        <w:top w:val="none" w:sz="0" w:space="0" w:color="auto"/>
        <w:left w:val="none" w:sz="0" w:space="0" w:color="auto"/>
        <w:bottom w:val="none" w:sz="0" w:space="0" w:color="auto"/>
        <w:right w:val="none" w:sz="0" w:space="0" w:color="auto"/>
      </w:divBdr>
    </w:div>
    <w:div w:id="387388172">
      <w:bodyDiv w:val="1"/>
      <w:marLeft w:val="0"/>
      <w:marRight w:val="0"/>
      <w:marTop w:val="0"/>
      <w:marBottom w:val="0"/>
      <w:divBdr>
        <w:top w:val="none" w:sz="0" w:space="0" w:color="auto"/>
        <w:left w:val="none" w:sz="0" w:space="0" w:color="auto"/>
        <w:bottom w:val="none" w:sz="0" w:space="0" w:color="auto"/>
        <w:right w:val="none" w:sz="0" w:space="0" w:color="auto"/>
      </w:divBdr>
      <w:divsChild>
        <w:div w:id="195044899">
          <w:marLeft w:val="0"/>
          <w:marRight w:val="0"/>
          <w:marTop w:val="0"/>
          <w:marBottom w:val="0"/>
          <w:divBdr>
            <w:top w:val="none" w:sz="0" w:space="0" w:color="auto"/>
            <w:left w:val="none" w:sz="0" w:space="0" w:color="auto"/>
            <w:bottom w:val="none" w:sz="0" w:space="0" w:color="auto"/>
            <w:right w:val="none" w:sz="0" w:space="0" w:color="auto"/>
          </w:divBdr>
          <w:divsChild>
            <w:div w:id="1145590476">
              <w:marLeft w:val="0"/>
              <w:marRight w:val="0"/>
              <w:marTop w:val="0"/>
              <w:marBottom w:val="0"/>
              <w:divBdr>
                <w:top w:val="none" w:sz="0" w:space="0" w:color="auto"/>
                <w:left w:val="none" w:sz="0" w:space="0" w:color="auto"/>
                <w:bottom w:val="none" w:sz="0" w:space="0" w:color="auto"/>
                <w:right w:val="none" w:sz="0" w:space="0" w:color="auto"/>
              </w:divBdr>
              <w:divsChild>
                <w:div w:id="1993828501">
                  <w:marLeft w:val="0"/>
                  <w:marRight w:val="0"/>
                  <w:marTop w:val="0"/>
                  <w:marBottom w:val="0"/>
                  <w:divBdr>
                    <w:top w:val="none" w:sz="0" w:space="0" w:color="auto"/>
                    <w:left w:val="none" w:sz="0" w:space="0" w:color="auto"/>
                    <w:bottom w:val="none" w:sz="0" w:space="0" w:color="auto"/>
                    <w:right w:val="none" w:sz="0" w:space="0" w:color="auto"/>
                  </w:divBdr>
                  <w:divsChild>
                    <w:div w:id="1931352389">
                      <w:marLeft w:val="0"/>
                      <w:marRight w:val="0"/>
                      <w:marTop w:val="0"/>
                      <w:marBottom w:val="375"/>
                      <w:divBdr>
                        <w:top w:val="none" w:sz="0" w:space="0" w:color="auto"/>
                        <w:left w:val="none" w:sz="0" w:space="0" w:color="auto"/>
                        <w:bottom w:val="none" w:sz="0" w:space="0" w:color="auto"/>
                        <w:right w:val="none" w:sz="0" w:space="0" w:color="auto"/>
                      </w:divBdr>
                      <w:divsChild>
                        <w:div w:id="27062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586037">
      <w:bodyDiv w:val="1"/>
      <w:marLeft w:val="0"/>
      <w:marRight w:val="0"/>
      <w:marTop w:val="0"/>
      <w:marBottom w:val="0"/>
      <w:divBdr>
        <w:top w:val="none" w:sz="0" w:space="0" w:color="auto"/>
        <w:left w:val="none" w:sz="0" w:space="0" w:color="auto"/>
        <w:bottom w:val="none" w:sz="0" w:space="0" w:color="auto"/>
        <w:right w:val="none" w:sz="0" w:space="0" w:color="auto"/>
      </w:divBdr>
    </w:div>
    <w:div w:id="397900032">
      <w:bodyDiv w:val="1"/>
      <w:marLeft w:val="0"/>
      <w:marRight w:val="0"/>
      <w:marTop w:val="0"/>
      <w:marBottom w:val="0"/>
      <w:divBdr>
        <w:top w:val="none" w:sz="0" w:space="0" w:color="auto"/>
        <w:left w:val="none" w:sz="0" w:space="0" w:color="auto"/>
        <w:bottom w:val="none" w:sz="0" w:space="0" w:color="auto"/>
        <w:right w:val="none" w:sz="0" w:space="0" w:color="auto"/>
      </w:divBdr>
      <w:divsChild>
        <w:div w:id="1307781023">
          <w:marLeft w:val="0"/>
          <w:marRight w:val="0"/>
          <w:marTop w:val="0"/>
          <w:marBottom w:val="0"/>
          <w:divBdr>
            <w:top w:val="none" w:sz="0" w:space="0" w:color="auto"/>
            <w:left w:val="single" w:sz="6" w:space="0" w:color="BBBBBB"/>
            <w:bottom w:val="single" w:sz="6" w:space="0" w:color="BBBBBB"/>
            <w:right w:val="single" w:sz="6" w:space="0" w:color="BBBBBB"/>
          </w:divBdr>
          <w:divsChild>
            <w:div w:id="1804618195">
              <w:marLeft w:val="0"/>
              <w:marRight w:val="0"/>
              <w:marTop w:val="0"/>
              <w:marBottom w:val="0"/>
              <w:divBdr>
                <w:top w:val="none" w:sz="0" w:space="0" w:color="auto"/>
                <w:left w:val="none" w:sz="0" w:space="0" w:color="auto"/>
                <w:bottom w:val="none" w:sz="0" w:space="0" w:color="auto"/>
                <w:right w:val="none" w:sz="0" w:space="0" w:color="auto"/>
              </w:divBdr>
              <w:divsChild>
                <w:div w:id="591821281">
                  <w:marLeft w:val="0"/>
                  <w:marRight w:val="0"/>
                  <w:marTop w:val="75"/>
                  <w:marBottom w:val="0"/>
                  <w:divBdr>
                    <w:top w:val="none" w:sz="0" w:space="0" w:color="auto"/>
                    <w:left w:val="none" w:sz="0" w:space="0" w:color="auto"/>
                    <w:bottom w:val="none" w:sz="0" w:space="0" w:color="auto"/>
                    <w:right w:val="none" w:sz="0" w:space="0" w:color="auto"/>
                  </w:divBdr>
                  <w:divsChild>
                    <w:div w:id="860899401">
                      <w:marLeft w:val="0"/>
                      <w:marRight w:val="0"/>
                      <w:marTop w:val="0"/>
                      <w:marBottom w:val="0"/>
                      <w:divBdr>
                        <w:top w:val="none" w:sz="0" w:space="0" w:color="auto"/>
                        <w:left w:val="none" w:sz="0" w:space="0" w:color="auto"/>
                        <w:bottom w:val="none" w:sz="0" w:space="0" w:color="auto"/>
                        <w:right w:val="none" w:sz="0" w:space="0" w:color="auto"/>
                      </w:divBdr>
                      <w:divsChild>
                        <w:div w:id="1137801536">
                          <w:marLeft w:val="0"/>
                          <w:marRight w:val="0"/>
                          <w:marTop w:val="0"/>
                          <w:marBottom w:val="0"/>
                          <w:divBdr>
                            <w:top w:val="none" w:sz="0" w:space="0" w:color="auto"/>
                            <w:left w:val="none" w:sz="0" w:space="0" w:color="auto"/>
                            <w:bottom w:val="none" w:sz="0" w:space="0" w:color="auto"/>
                            <w:right w:val="none" w:sz="0" w:space="0" w:color="auto"/>
                          </w:divBdr>
                          <w:divsChild>
                            <w:div w:id="989135887">
                              <w:marLeft w:val="0"/>
                              <w:marRight w:val="0"/>
                              <w:marTop w:val="0"/>
                              <w:marBottom w:val="0"/>
                              <w:divBdr>
                                <w:top w:val="none" w:sz="0" w:space="0" w:color="auto"/>
                                <w:left w:val="none" w:sz="0" w:space="0" w:color="auto"/>
                                <w:bottom w:val="none" w:sz="0" w:space="0" w:color="auto"/>
                                <w:right w:val="none" w:sz="0" w:space="0" w:color="auto"/>
                              </w:divBdr>
                              <w:divsChild>
                                <w:div w:id="1973242560">
                                  <w:marLeft w:val="0"/>
                                  <w:marRight w:val="0"/>
                                  <w:marTop w:val="0"/>
                                  <w:marBottom w:val="0"/>
                                  <w:divBdr>
                                    <w:top w:val="none" w:sz="0" w:space="0" w:color="auto"/>
                                    <w:left w:val="none" w:sz="0" w:space="0" w:color="auto"/>
                                    <w:bottom w:val="none" w:sz="0" w:space="0" w:color="auto"/>
                                    <w:right w:val="none" w:sz="0" w:space="0" w:color="auto"/>
                                  </w:divBdr>
                                  <w:divsChild>
                                    <w:div w:id="1425223610">
                                      <w:marLeft w:val="0"/>
                                      <w:marRight w:val="0"/>
                                      <w:marTop w:val="0"/>
                                      <w:marBottom w:val="0"/>
                                      <w:divBdr>
                                        <w:top w:val="none" w:sz="0" w:space="0" w:color="auto"/>
                                        <w:left w:val="none" w:sz="0" w:space="0" w:color="auto"/>
                                        <w:bottom w:val="none" w:sz="0" w:space="0" w:color="auto"/>
                                        <w:right w:val="none" w:sz="0" w:space="0" w:color="auto"/>
                                      </w:divBdr>
                                      <w:divsChild>
                                        <w:div w:id="314067462">
                                          <w:marLeft w:val="1200"/>
                                          <w:marRight w:val="1200"/>
                                          <w:marTop w:val="0"/>
                                          <w:marBottom w:val="0"/>
                                          <w:divBdr>
                                            <w:top w:val="none" w:sz="0" w:space="0" w:color="auto"/>
                                            <w:left w:val="none" w:sz="0" w:space="0" w:color="auto"/>
                                            <w:bottom w:val="none" w:sz="0" w:space="0" w:color="auto"/>
                                            <w:right w:val="none" w:sz="0" w:space="0" w:color="auto"/>
                                          </w:divBdr>
                                          <w:divsChild>
                                            <w:div w:id="1694040568">
                                              <w:marLeft w:val="0"/>
                                              <w:marRight w:val="0"/>
                                              <w:marTop w:val="0"/>
                                              <w:marBottom w:val="0"/>
                                              <w:divBdr>
                                                <w:top w:val="none" w:sz="0" w:space="0" w:color="auto"/>
                                                <w:left w:val="none" w:sz="0" w:space="0" w:color="auto"/>
                                                <w:bottom w:val="none" w:sz="0" w:space="0" w:color="auto"/>
                                                <w:right w:val="none" w:sz="0" w:space="0" w:color="auto"/>
                                              </w:divBdr>
                                              <w:divsChild>
                                                <w:div w:id="1666738626">
                                                  <w:marLeft w:val="0"/>
                                                  <w:marRight w:val="0"/>
                                                  <w:marTop w:val="0"/>
                                                  <w:marBottom w:val="0"/>
                                                  <w:divBdr>
                                                    <w:top w:val="none" w:sz="0" w:space="0" w:color="auto"/>
                                                    <w:left w:val="none" w:sz="0" w:space="0" w:color="auto"/>
                                                    <w:bottom w:val="none" w:sz="0" w:space="0" w:color="auto"/>
                                                    <w:right w:val="none" w:sz="0" w:space="0" w:color="auto"/>
                                                  </w:divBdr>
                                                  <w:divsChild>
                                                    <w:div w:id="420444308">
                                                      <w:marLeft w:val="0"/>
                                                      <w:marRight w:val="0"/>
                                                      <w:marTop w:val="0"/>
                                                      <w:marBottom w:val="0"/>
                                                      <w:divBdr>
                                                        <w:top w:val="none" w:sz="0" w:space="0" w:color="auto"/>
                                                        <w:left w:val="none" w:sz="0" w:space="0" w:color="auto"/>
                                                        <w:bottom w:val="none" w:sz="0" w:space="0" w:color="auto"/>
                                                        <w:right w:val="none" w:sz="0" w:space="0" w:color="auto"/>
                                                      </w:divBdr>
                                                      <w:divsChild>
                                                        <w:div w:id="1465781123">
                                                          <w:marLeft w:val="0"/>
                                                          <w:marRight w:val="0"/>
                                                          <w:marTop w:val="0"/>
                                                          <w:marBottom w:val="0"/>
                                                          <w:divBdr>
                                                            <w:top w:val="none" w:sz="0" w:space="0" w:color="auto"/>
                                                            <w:left w:val="none" w:sz="0" w:space="0" w:color="auto"/>
                                                            <w:bottom w:val="none" w:sz="0" w:space="0" w:color="auto"/>
                                                            <w:right w:val="none" w:sz="0" w:space="0" w:color="auto"/>
                                                          </w:divBdr>
                                                          <w:divsChild>
                                                            <w:div w:id="120196346">
                                                              <w:marLeft w:val="0"/>
                                                              <w:marRight w:val="0"/>
                                                              <w:marTop w:val="0"/>
                                                              <w:marBottom w:val="0"/>
                                                              <w:divBdr>
                                                                <w:top w:val="none" w:sz="0" w:space="0" w:color="auto"/>
                                                                <w:left w:val="none" w:sz="0" w:space="0" w:color="auto"/>
                                                                <w:bottom w:val="none" w:sz="0" w:space="0" w:color="auto"/>
                                                                <w:right w:val="none" w:sz="0" w:space="0" w:color="auto"/>
                                                              </w:divBdr>
                                                              <w:divsChild>
                                                                <w:div w:id="410348228">
                                                                  <w:marLeft w:val="0"/>
                                                                  <w:marRight w:val="0"/>
                                                                  <w:marTop w:val="0"/>
                                                                  <w:marBottom w:val="0"/>
                                                                  <w:divBdr>
                                                                    <w:top w:val="none" w:sz="0" w:space="0" w:color="auto"/>
                                                                    <w:left w:val="none" w:sz="0" w:space="0" w:color="auto"/>
                                                                    <w:bottom w:val="none" w:sz="0" w:space="0" w:color="auto"/>
                                                                    <w:right w:val="none" w:sz="0" w:space="0" w:color="auto"/>
                                                                  </w:divBdr>
                                                                  <w:divsChild>
                                                                    <w:div w:id="231816038">
                                                                      <w:marLeft w:val="0"/>
                                                                      <w:marRight w:val="0"/>
                                                                      <w:marTop w:val="0"/>
                                                                      <w:marBottom w:val="0"/>
                                                                      <w:divBdr>
                                                                        <w:top w:val="none" w:sz="0" w:space="0" w:color="auto"/>
                                                                        <w:left w:val="none" w:sz="0" w:space="0" w:color="auto"/>
                                                                        <w:bottom w:val="none" w:sz="0" w:space="0" w:color="auto"/>
                                                                        <w:right w:val="none" w:sz="0" w:space="0" w:color="auto"/>
                                                                      </w:divBdr>
                                                                      <w:divsChild>
                                                                        <w:div w:id="2112585283">
                                                                          <w:marLeft w:val="0"/>
                                                                          <w:marRight w:val="0"/>
                                                                          <w:marTop w:val="0"/>
                                                                          <w:marBottom w:val="0"/>
                                                                          <w:divBdr>
                                                                            <w:top w:val="none" w:sz="0" w:space="0" w:color="auto"/>
                                                                            <w:left w:val="none" w:sz="0" w:space="0" w:color="auto"/>
                                                                            <w:bottom w:val="none" w:sz="0" w:space="0" w:color="auto"/>
                                                                            <w:right w:val="none" w:sz="0" w:space="0" w:color="auto"/>
                                                                          </w:divBdr>
                                                                        </w:div>
                                                                      </w:divsChild>
                                                                    </w:div>
                                                                    <w:div w:id="355424751">
                                                                      <w:marLeft w:val="0"/>
                                                                      <w:marRight w:val="0"/>
                                                                      <w:marTop w:val="0"/>
                                                                      <w:marBottom w:val="0"/>
                                                                      <w:divBdr>
                                                                        <w:top w:val="none" w:sz="0" w:space="0" w:color="auto"/>
                                                                        <w:left w:val="none" w:sz="0" w:space="0" w:color="auto"/>
                                                                        <w:bottom w:val="none" w:sz="0" w:space="0" w:color="auto"/>
                                                                        <w:right w:val="none" w:sz="0" w:space="0" w:color="auto"/>
                                                                      </w:divBdr>
                                                                      <w:divsChild>
                                                                        <w:div w:id="2092269090">
                                                                          <w:marLeft w:val="0"/>
                                                                          <w:marRight w:val="0"/>
                                                                          <w:marTop w:val="0"/>
                                                                          <w:marBottom w:val="0"/>
                                                                          <w:divBdr>
                                                                            <w:top w:val="none" w:sz="0" w:space="0" w:color="auto"/>
                                                                            <w:left w:val="none" w:sz="0" w:space="0" w:color="auto"/>
                                                                            <w:bottom w:val="none" w:sz="0" w:space="0" w:color="auto"/>
                                                                            <w:right w:val="none" w:sz="0" w:space="0" w:color="auto"/>
                                                                          </w:divBdr>
                                                                        </w:div>
                                                                      </w:divsChild>
                                                                    </w:div>
                                                                    <w:div w:id="545678616">
                                                                      <w:marLeft w:val="0"/>
                                                                      <w:marRight w:val="0"/>
                                                                      <w:marTop w:val="0"/>
                                                                      <w:marBottom w:val="0"/>
                                                                      <w:divBdr>
                                                                        <w:top w:val="none" w:sz="0" w:space="0" w:color="auto"/>
                                                                        <w:left w:val="none" w:sz="0" w:space="0" w:color="auto"/>
                                                                        <w:bottom w:val="none" w:sz="0" w:space="0" w:color="auto"/>
                                                                        <w:right w:val="none" w:sz="0" w:space="0" w:color="auto"/>
                                                                      </w:divBdr>
                                                                      <w:divsChild>
                                                                        <w:div w:id="126510138">
                                                                          <w:marLeft w:val="0"/>
                                                                          <w:marRight w:val="0"/>
                                                                          <w:marTop w:val="0"/>
                                                                          <w:marBottom w:val="0"/>
                                                                          <w:divBdr>
                                                                            <w:top w:val="none" w:sz="0" w:space="0" w:color="auto"/>
                                                                            <w:left w:val="none" w:sz="0" w:space="0" w:color="auto"/>
                                                                            <w:bottom w:val="none" w:sz="0" w:space="0" w:color="auto"/>
                                                                            <w:right w:val="none" w:sz="0" w:space="0" w:color="auto"/>
                                                                          </w:divBdr>
                                                                        </w:div>
                                                                      </w:divsChild>
                                                                    </w:div>
                                                                    <w:div w:id="1138955619">
                                                                      <w:marLeft w:val="0"/>
                                                                      <w:marRight w:val="0"/>
                                                                      <w:marTop w:val="0"/>
                                                                      <w:marBottom w:val="0"/>
                                                                      <w:divBdr>
                                                                        <w:top w:val="none" w:sz="0" w:space="0" w:color="auto"/>
                                                                        <w:left w:val="none" w:sz="0" w:space="0" w:color="auto"/>
                                                                        <w:bottom w:val="none" w:sz="0" w:space="0" w:color="auto"/>
                                                                        <w:right w:val="none" w:sz="0" w:space="0" w:color="auto"/>
                                                                      </w:divBdr>
                                                                      <w:divsChild>
                                                                        <w:div w:id="1678463957">
                                                                          <w:marLeft w:val="0"/>
                                                                          <w:marRight w:val="0"/>
                                                                          <w:marTop w:val="0"/>
                                                                          <w:marBottom w:val="0"/>
                                                                          <w:divBdr>
                                                                            <w:top w:val="none" w:sz="0" w:space="0" w:color="auto"/>
                                                                            <w:left w:val="none" w:sz="0" w:space="0" w:color="auto"/>
                                                                            <w:bottom w:val="none" w:sz="0" w:space="0" w:color="auto"/>
                                                                            <w:right w:val="none" w:sz="0" w:space="0" w:color="auto"/>
                                                                          </w:divBdr>
                                                                        </w:div>
                                                                      </w:divsChild>
                                                                    </w:div>
                                                                    <w:div w:id="1175076378">
                                                                      <w:marLeft w:val="0"/>
                                                                      <w:marRight w:val="0"/>
                                                                      <w:marTop w:val="0"/>
                                                                      <w:marBottom w:val="0"/>
                                                                      <w:divBdr>
                                                                        <w:top w:val="none" w:sz="0" w:space="0" w:color="auto"/>
                                                                        <w:left w:val="none" w:sz="0" w:space="0" w:color="auto"/>
                                                                        <w:bottom w:val="none" w:sz="0" w:space="0" w:color="auto"/>
                                                                        <w:right w:val="none" w:sz="0" w:space="0" w:color="auto"/>
                                                                      </w:divBdr>
                                                                      <w:divsChild>
                                                                        <w:div w:id="52581687">
                                                                          <w:marLeft w:val="0"/>
                                                                          <w:marRight w:val="0"/>
                                                                          <w:marTop w:val="0"/>
                                                                          <w:marBottom w:val="0"/>
                                                                          <w:divBdr>
                                                                            <w:top w:val="none" w:sz="0" w:space="0" w:color="auto"/>
                                                                            <w:left w:val="none" w:sz="0" w:space="0" w:color="auto"/>
                                                                            <w:bottom w:val="none" w:sz="0" w:space="0" w:color="auto"/>
                                                                            <w:right w:val="none" w:sz="0" w:space="0" w:color="auto"/>
                                                                          </w:divBdr>
                                                                        </w:div>
                                                                      </w:divsChild>
                                                                    </w:div>
                                                                    <w:div w:id="1243682631">
                                                                      <w:marLeft w:val="0"/>
                                                                      <w:marRight w:val="0"/>
                                                                      <w:marTop w:val="0"/>
                                                                      <w:marBottom w:val="0"/>
                                                                      <w:divBdr>
                                                                        <w:top w:val="none" w:sz="0" w:space="0" w:color="auto"/>
                                                                        <w:left w:val="none" w:sz="0" w:space="0" w:color="auto"/>
                                                                        <w:bottom w:val="none" w:sz="0" w:space="0" w:color="auto"/>
                                                                        <w:right w:val="none" w:sz="0" w:space="0" w:color="auto"/>
                                                                      </w:divBdr>
                                                                      <w:divsChild>
                                                                        <w:div w:id="1110586477">
                                                                          <w:marLeft w:val="0"/>
                                                                          <w:marRight w:val="0"/>
                                                                          <w:marTop w:val="0"/>
                                                                          <w:marBottom w:val="0"/>
                                                                          <w:divBdr>
                                                                            <w:top w:val="none" w:sz="0" w:space="0" w:color="auto"/>
                                                                            <w:left w:val="none" w:sz="0" w:space="0" w:color="auto"/>
                                                                            <w:bottom w:val="none" w:sz="0" w:space="0" w:color="auto"/>
                                                                            <w:right w:val="none" w:sz="0" w:space="0" w:color="auto"/>
                                                                          </w:divBdr>
                                                                        </w:div>
                                                                      </w:divsChild>
                                                                    </w:div>
                                                                    <w:div w:id="1481573995">
                                                                      <w:marLeft w:val="0"/>
                                                                      <w:marRight w:val="0"/>
                                                                      <w:marTop w:val="0"/>
                                                                      <w:marBottom w:val="0"/>
                                                                      <w:divBdr>
                                                                        <w:top w:val="none" w:sz="0" w:space="0" w:color="auto"/>
                                                                        <w:left w:val="none" w:sz="0" w:space="0" w:color="auto"/>
                                                                        <w:bottom w:val="none" w:sz="0" w:space="0" w:color="auto"/>
                                                                        <w:right w:val="none" w:sz="0" w:space="0" w:color="auto"/>
                                                                      </w:divBdr>
                                                                      <w:divsChild>
                                                                        <w:div w:id="760760657">
                                                                          <w:marLeft w:val="0"/>
                                                                          <w:marRight w:val="0"/>
                                                                          <w:marTop w:val="0"/>
                                                                          <w:marBottom w:val="0"/>
                                                                          <w:divBdr>
                                                                            <w:top w:val="none" w:sz="0" w:space="0" w:color="auto"/>
                                                                            <w:left w:val="none" w:sz="0" w:space="0" w:color="auto"/>
                                                                            <w:bottom w:val="none" w:sz="0" w:space="0" w:color="auto"/>
                                                                            <w:right w:val="none" w:sz="0" w:space="0" w:color="auto"/>
                                                                          </w:divBdr>
                                                                        </w:div>
                                                                        <w:div w:id="1319262070">
                                                                          <w:marLeft w:val="0"/>
                                                                          <w:marRight w:val="0"/>
                                                                          <w:marTop w:val="0"/>
                                                                          <w:marBottom w:val="0"/>
                                                                          <w:divBdr>
                                                                            <w:top w:val="none" w:sz="0" w:space="0" w:color="auto"/>
                                                                            <w:left w:val="none" w:sz="0" w:space="0" w:color="auto"/>
                                                                            <w:bottom w:val="none" w:sz="0" w:space="0" w:color="auto"/>
                                                                            <w:right w:val="none" w:sz="0" w:space="0" w:color="auto"/>
                                                                          </w:divBdr>
                                                                          <w:divsChild>
                                                                            <w:div w:id="785851423">
                                                                              <w:marLeft w:val="0"/>
                                                                              <w:marRight w:val="0"/>
                                                                              <w:marTop w:val="0"/>
                                                                              <w:marBottom w:val="0"/>
                                                                              <w:divBdr>
                                                                                <w:top w:val="none" w:sz="0" w:space="0" w:color="auto"/>
                                                                                <w:left w:val="none" w:sz="0" w:space="0" w:color="auto"/>
                                                                                <w:bottom w:val="none" w:sz="0" w:space="0" w:color="auto"/>
                                                                                <w:right w:val="none" w:sz="0" w:space="0" w:color="auto"/>
                                                                              </w:divBdr>
                                                                            </w:div>
                                                                          </w:divsChild>
                                                                        </w:div>
                                                                        <w:div w:id="1363749845">
                                                                          <w:marLeft w:val="0"/>
                                                                          <w:marRight w:val="0"/>
                                                                          <w:marTop w:val="0"/>
                                                                          <w:marBottom w:val="0"/>
                                                                          <w:divBdr>
                                                                            <w:top w:val="none" w:sz="0" w:space="0" w:color="auto"/>
                                                                            <w:left w:val="none" w:sz="0" w:space="0" w:color="auto"/>
                                                                            <w:bottom w:val="none" w:sz="0" w:space="0" w:color="auto"/>
                                                                            <w:right w:val="none" w:sz="0" w:space="0" w:color="auto"/>
                                                                          </w:divBdr>
                                                                        </w:div>
                                                                        <w:div w:id="2071922756">
                                                                          <w:marLeft w:val="0"/>
                                                                          <w:marRight w:val="0"/>
                                                                          <w:marTop w:val="0"/>
                                                                          <w:marBottom w:val="0"/>
                                                                          <w:divBdr>
                                                                            <w:top w:val="none" w:sz="0" w:space="0" w:color="auto"/>
                                                                            <w:left w:val="none" w:sz="0" w:space="0" w:color="auto"/>
                                                                            <w:bottom w:val="none" w:sz="0" w:space="0" w:color="auto"/>
                                                                            <w:right w:val="none" w:sz="0" w:space="0" w:color="auto"/>
                                                                          </w:divBdr>
                                                                          <w:divsChild>
                                                                            <w:div w:id="16384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96128">
                                                                      <w:marLeft w:val="0"/>
                                                                      <w:marRight w:val="0"/>
                                                                      <w:marTop w:val="0"/>
                                                                      <w:marBottom w:val="0"/>
                                                                      <w:divBdr>
                                                                        <w:top w:val="none" w:sz="0" w:space="0" w:color="auto"/>
                                                                        <w:left w:val="none" w:sz="0" w:space="0" w:color="auto"/>
                                                                        <w:bottom w:val="none" w:sz="0" w:space="0" w:color="auto"/>
                                                                        <w:right w:val="none" w:sz="0" w:space="0" w:color="auto"/>
                                                                      </w:divBdr>
                                                                      <w:divsChild>
                                                                        <w:div w:id="370810484">
                                                                          <w:marLeft w:val="0"/>
                                                                          <w:marRight w:val="0"/>
                                                                          <w:marTop w:val="0"/>
                                                                          <w:marBottom w:val="0"/>
                                                                          <w:divBdr>
                                                                            <w:top w:val="none" w:sz="0" w:space="0" w:color="auto"/>
                                                                            <w:left w:val="none" w:sz="0" w:space="0" w:color="auto"/>
                                                                            <w:bottom w:val="none" w:sz="0" w:space="0" w:color="auto"/>
                                                                            <w:right w:val="none" w:sz="0" w:space="0" w:color="auto"/>
                                                                          </w:divBdr>
                                                                        </w:div>
                                                                        <w:div w:id="1659384509">
                                                                          <w:marLeft w:val="0"/>
                                                                          <w:marRight w:val="0"/>
                                                                          <w:marTop w:val="0"/>
                                                                          <w:marBottom w:val="0"/>
                                                                          <w:divBdr>
                                                                            <w:top w:val="none" w:sz="0" w:space="0" w:color="auto"/>
                                                                            <w:left w:val="none" w:sz="0" w:space="0" w:color="auto"/>
                                                                            <w:bottom w:val="none" w:sz="0" w:space="0" w:color="auto"/>
                                                                            <w:right w:val="none" w:sz="0" w:space="0" w:color="auto"/>
                                                                          </w:divBdr>
                                                                          <w:divsChild>
                                                                            <w:div w:id="475609952">
                                                                              <w:marLeft w:val="0"/>
                                                                              <w:marRight w:val="0"/>
                                                                              <w:marTop w:val="0"/>
                                                                              <w:marBottom w:val="0"/>
                                                                              <w:divBdr>
                                                                                <w:top w:val="none" w:sz="0" w:space="0" w:color="auto"/>
                                                                                <w:left w:val="none" w:sz="0" w:space="0" w:color="auto"/>
                                                                                <w:bottom w:val="none" w:sz="0" w:space="0" w:color="auto"/>
                                                                                <w:right w:val="none" w:sz="0" w:space="0" w:color="auto"/>
                                                                              </w:divBdr>
                                                                              <w:divsChild>
                                                                                <w:div w:id="1009715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4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3987">
                                                                          <w:marLeft w:val="0"/>
                                                                          <w:marRight w:val="0"/>
                                                                          <w:marTop w:val="0"/>
                                                                          <w:marBottom w:val="0"/>
                                                                          <w:divBdr>
                                                                            <w:top w:val="none" w:sz="0" w:space="0" w:color="auto"/>
                                                                            <w:left w:val="none" w:sz="0" w:space="0" w:color="auto"/>
                                                                            <w:bottom w:val="none" w:sz="0" w:space="0" w:color="auto"/>
                                                                            <w:right w:val="none" w:sz="0" w:space="0" w:color="auto"/>
                                                                          </w:divBdr>
                                                                        </w:div>
                                                                      </w:divsChild>
                                                                    </w:div>
                                                                    <w:div w:id="1646928011">
                                                                      <w:marLeft w:val="0"/>
                                                                      <w:marRight w:val="0"/>
                                                                      <w:marTop w:val="0"/>
                                                                      <w:marBottom w:val="0"/>
                                                                      <w:divBdr>
                                                                        <w:top w:val="none" w:sz="0" w:space="0" w:color="auto"/>
                                                                        <w:left w:val="none" w:sz="0" w:space="0" w:color="auto"/>
                                                                        <w:bottom w:val="none" w:sz="0" w:space="0" w:color="auto"/>
                                                                        <w:right w:val="none" w:sz="0" w:space="0" w:color="auto"/>
                                                                      </w:divBdr>
                                                                      <w:divsChild>
                                                                        <w:div w:id="9199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9332085">
      <w:bodyDiv w:val="1"/>
      <w:marLeft w:val="0"/>
      <w:marRight w:val="0"/>
      <w:marTop w:val="0"/>
      <w:marBottom w:val="0"/>
      <w:divBdr>
        <w:top w:val="none" w:sz="0" w:space="0" w:color="auto"/>
        <w:left w:val="none" w:sz="0" w:space="0" w:color="auto"/>
        <w:bottom w:val="none" w:sz="0" w:space="0" w:color="auto"/>
        <w:right w:val="none" w:sz="0" w:space="0" w:color="auto"/>
      </w:divBdr>
      <w:divsChild>
        <w:div w:id="1188718103">
          <w:marLeft w:val="0"/>
          <w:marRight w:val="0"/>
          <w:marTop w:val="0"/>
          <w:marBottom w:val="0"/>
          <w:divBdr>
            <w:top w:val="none" w:sz="0" w:space="0" w:color="auto"/>
            <w:left w:val="none" w:sz="0" w:space="0" w:color="auto"/>
            <w:bottom w:val="none" w:sz="0" w:space="0" w:color="auto"/>
            <w:right w:val="none" w:sz="0" w:space="0" w:color="auto"/>
          </w:divBdr>
          <w:divsChild>
            <w:div w:id="954949077">
              <w:marLeft w:val="0"/>
              <w:marRight w:val="0"/>
              <w:marTop w:val="0"/>
              <w:marBottom w:val="0"/>
              <w:divBdr>
                <w:top w:val="none" w:sz="0" w:space="0" w:color="auto"/>
                <w:left w:val="none" w:sz="0" w:space="0" w:color="auto"/>
                <w:bottom w:val="none" w:sz="0" w:space="0" w:color="auto"/>
                <w:right w:val="none" w:sz="0" w:space="0" w:color="auto"/>
              </w:divBdr>
              <w:divsChild>
                <w:div w:id="582689415">
                  <w:marLeft w:val="0"/>
                  <w:marRight w:val="0"/>
                  <w:marTop w:val="0"/>
                  <w:marBottom w:val="0"/>
                  <w:divBdr>
                    <w:top w:val="none" w:sz="0" w:space="0" w:color="auto"/>
                    <w:left w:val="none" w:sz="0" w:space="0" w:color="auto"/>
                    <w:bottom w:val="none" w:sz="0" w:space="0" w:color="auto"/>
                    <w:right w:val="none" w:sz="0" w:space="0" w:color="auto"/>
                  </w:divBdr>
                  <w:divsChild>
                    <w:div w:id="1571578981">
                      <w:marLeft w:val="0"/>
                      <w:marRight w:val="0"/>
                      <w:marTop w:val="0"/>
                      <w:marBottom w:val="0"/>
                      <w:divBdr>
                        <w:top w:val="none" w:sz="0" w:space="0" w:color="auto"/>
                        <w:left w:val="none" w:sz="0" w:space="0" w:color="auto"/>
                        <w:bottom w:val="none" w:sz="0" w:space="0" w:color="auto"/>
                        <w:right w:val="none" w:sz="0" w:space="0" w:color="auto"/>
                      </w:divBdr>
                      <w:divsChild>
                        <w:div w:id="824588641">
                          <w:marLeft w:val="0"/>
                          <w:marRight w:val="0"/>
                          <w:marTop w:val="0"/>
                          <w:marBottom w:val="0"/>
                          <w:divBdr>
                            <w:top w:val="none" w:sz="0" w:space="0" w:color="auto"/>
                            <w:left w:val="none" w:sz="0" w:space="0" w:color="auto"/>
                            <w:bottom w:val="none" w:sz="0" w:space="0" w:color="auto"/>
                            <w:right w:val="none" w:sz="0" w:space="0" w:color="auto"/>
                          </w:divBdr>
                          <w:divsChild>
                            <w:div w:id="1242833707">
                              <w:marLeft w:val="0"/>
                              <w:marRight w:val="0"/>
                              <w:marTop w:val="0"/>
                              <w:marBottom w:val="0"/>
                              <w:divBdr>
                                <w:top w:val="none" w:sz="0" w:space="0" w:color="auto"/>
                                <w:left w:val="none" w:sz="0" w:space="0" w:color="auto"/>
                                <w:bottom w:val="none" w:sz="0" w:space="0" w:color="auto"/>
                                <w:right w:val="none" w:sz="0" w:space="0" w:color="auto"/>
                              </w:divBdr>
                              <w:divsChild>
                                <w:div w:id="2070297773">
                                  <w:marLeft w:val="0"/>
                                  <w:marRight w:val="0"/>
                                  <w:marTop w:val="0"/>
                                  <w:marBottom w:val="0"/>
                                  <w:divBdr>
                                    <w:top w:val="none" w:sz="0" w:space="0" w:color="auto"/>
                                    <w:left w:val="none" w:sz="0" w:space="0" w:color="auto"/>
                                    <w:bottom w:val="none" w:sz="0" w:space="0" w:color="auto"/>
                                    <w:right w:val="none" w:sz="0" w:space="0" w:color="auto"/>
                                  </w:divBdr>
                                  <w:divsChild>
                                    <w:div w:id="1207985796">
                                      <w:marLeft w:val="0"/>
                                      <w:marRight w:val="0"/>
                                      <w:marTop w:val="0"/>
                                      <w:marBottom w:val="0"/>
                                      <w:divBdr>
                                        <w:top w:val="none" w:sz="0" w:space="0" w:color="auto"/>
                                        <w:left w:val="none" w:sz="0" w:space="0" w:color="auto"/>
                                        <w:bottom w:val="none" w:sz="0" w:space="0" w:color="auto"/>
                                        <w:right w:val="none" w:sz="0" w:space="0" w:color="auto"/>
                                      </w:divBdr>
                                      <w:divsChild>
                                        <w:div w:id="12630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1564811">
      <w:bodyDiv w:val="1"/>
      <w:marLeft w:val="0"/>
      <w:marRight w:val="0"/>
      <w:marTop w:val="0"/>
      <w:marBottom w:val="0"/>
      <w:divBdr>
        <w:top w:val="none" w:sz="0" w:space="0" w:color="auto"/>
        <w:left w:val="none" w:sz="0" w:space="0" w:color="auto"/>
        <w:bottom w:val="none" w:sz="0" w:space="0" w:color="auto"/>
        <w:right w:val="none" w:sz="0" w:space="0" w:color="auto"/>
      </w:divBdr>
      <w:divsChild>
        <w:div w:id="1408646252">
          <w:marLeft w:val="0"/>
          <w:marRight w:val="0"/>
          <w:marTop w:val="0"/>
          <w:marBottom w:val="0"/>
          <w:divBdr>
            <w:top w:val="none" w:sz="0" w:space="0" w:color="auto"/>
            <w:left w:val="single" w:sz="6" w:space="0" w:color="BBBBBB"/>
            <w:bottom w:val="single" w:sz="6" w:space="0" w:color="BBBBBB"/>
            <w:right w:val="single" w:sz="6" w:space="0" w:color="BBBBBB"/>
          </w:divBdr>
          <w:divsChild>
            <w:div w:id="1884978440">
              <w:marLeft w:val="0"/>
              <w:marRight w:val="0"/>
              <w:marTop w:val="0"/>
              <w:marBottom w:val="0"/>
              <w:divBdr>
                <w:top w:val="none" w:sz="0" w:space="0" w:color="auto"/>
                <w:left w:val="none" w:sz="0" w:space="0" w:color="auto"/>
                <w:bottom w:val="none" w:sz="0" w:space="0" w:color="auto"/>
                <w:right w:val="none" w:sz="0" w:space="0" w:color="auto"/>
              </w:divBdr>
              <w:divsChild>
                <w:div w:id="974334038">
                  <w:marLeft w:val="0"/>
                  <w:marRight w:val="0"/>
                  <w:marTop w:val="75"/>
                  <w:marBottom w:val="0"/>
                  <w:divBdr>
                    <w:top w:val="none" w:sz="0" w:space="0" w:color="auto"/>
                    <w:left w:val="none" w:sz="0" w:space="0" w:color="auto"/>
                    <w:bottom w:val="none" w:sz="0" w:space="0" w:color="auto"/>
                    <w:right w:val="none" w:sz="0" w:space="0" w:color="auto"/>
                  </w:divBdr>
                  <w:divsChild>
                    <w:div w:id="1771781446">
                      <w:marLeft w:val="0"/>
                      <w:marRight w:val="0"/>
                      <w:marTop w:val="0"/>
                      <w:marBottom w:val="0"/>
                      <w:divBdr>
                        <w:top w:val="none" w:sz="0" w:space="0" w:color="auto"/>
                        <w:left w:val="none" w:sz="0" w:space="0" w:color="auto"/>
                        <w:bottom w:val="none" w:sz="0" w:space="0" w:color="auto"/>
                        <w:right w:val="none" w:sz="0" w:space="0" w:color="auto"/>
                      </w:divBdr>
                      <w:divsChild>
                        <w:div w:id="197204710">
                          <w:marLeft w:val="0"/>
                          <w:marRight w:val="0"/>
                          <w:marTop w:val="0"/>
                          <w:marBottom w:val="0"/>
                          <w:divBdr>
                            <w:top w:val="none" w:sz="0" w:space="0" w:color="auto"/>
                            <w:left w:val="none" w:sz="0" w:space="0" w:color="auto"/>
                            <w:bottom w:val="none" w:sz="0" w:space="0" w:color="auto"/>
                            <w:right w:val="none" w:sz="0" w:space="0" w:color="auto"/>
                          </w:divBdr>
                          <w:divsChild>
                            <w:div w:id="127209640">
                              <w:marLeft w:val="0"/>
                              <w:marRight w:val="0"/>
                              <w:marTop w:val="0"/>
                              <w:marBottom w:val="0"/>
                              <w:divBdr>
                                <w:top w:val="none" w:sz="0" w:space="0" w:color="auto"/>
                                <w:left w:val="none" w:sz="0" w:space="0" w:color="auto"/>
                                <w:bottom w:val="none" w:sz="0" w:space="0" w:color="auto"/>
                                <w:right w:val="none" w:sz="0" w:space="0" w:color="auto"/>
                              </w:divBdr>
                              <w:divsChild>
                                <w:div w:id="1198276426">
                                  <w:marLeft w:val="0"/>
                                  <w:marRight w:val="0"/>
                                  <w:marTop w:val="0"/>
                                  <w:marBottom w:val="0"/>
                                  <w:divBdr>
                                    <w:top w:val="none" w:sz="0" w:space="0" w:color="auto"/>
                                    <w:left w:val="none" w:sz="0" w:space="0" w:color="auto"/>
                                    <w:bottom w:val="none" w:sz="0" w:space="0" w:color="auto"/>
                                    <w:right w:val="none" w:sz="0" w:space="0" w:color="auto"/>
                                  </w:divBdr>
                                  <w:divsChild>
                                    <w:div w:id="1532258053">
                                      <w:marLeft w:val="0"/>
                                      <w:marRight w:val="0"/>
                                      <w:marTop w:val="0"/>
                                      <w:marBottom w:val="0"/>
                                      <w:divBdr>
                                        <w:top w:val="none" w:sz="0" w:space="0" w:color="auto"/>
                                        <w:left w:val="none" w:sz="0" w:space="0" w:color="auto"/>
                                        <w:bottom w:val="none" w:sz="0" w:space="0" w:color="auto"/>
                                        <w:right w:val="none" w:sz="0" w:space="0" w:color="auto"/>
                                      </w:divBdr>
                                      <w:divsChild>
                                        <w:div w:id="69012056">
                                          <w:marLeft w:val="1200"/>
                                          <w:marRight w:val="1200"/>
                                          <w:marTop w:val="0"/>
                                          <w:marBottom w:val="0"/>
                                          <w:divBdr>
                                            <w:top w:val="none" w:sz="0" w:space="0" w:color="auto"/>
                                            <w:left w:val="none" w:sz="0" w:space="0" w:color="auto"/>
                                            <w:bottom w:val="none" w:sz="0" w:space="0" w:color="auto"/>
                                            <w:right w:val="none" w:sz="0" w:space="0" w:color="auto"/>
                                          </w:divBdr>
                                          <w:divsChild>
                                            <w:div w:id="1354726625">
                                              <w:marLeft w:val="0"/>
                                              <w:marRight w:val="0"/>
                                              <w:marTop w:val="0"/>
                                              <w:marBottom w:val="0"/>
                                              <w:divBdr>
                                                <w:top w:val="none" w:sz="0" w:space="0" w:color="auto"/>
                                                <w:left w:val="none" w:sz="0" w:space="0" w:color="auto"/>
                                                <w:bottom w:val="none" w:sz="0" w:space="0" w:color="auto"/>
                                                <w:right w:val="none" w:sz="0" w:space="0" w:color="auto"/>
                                              </w:divBdr>
                                              <w:divsChild>
                                                <w:div w:id="894703876">
                                                  <w:marLeft w:val="0"/>
                                                  <w:marRight w:val="0"/>
                                                  <w:marTop w:val="0"/>
                                                  <w:marBottom w:val="0"/>
                                                  <w:divBdr>
                                                    <w:top w:val="none" w:sz="0" w:space="0" w:color="auto"/>
                                                    <w:left w:val="none" w:sz="0" w:space="0" w:color="auto"/>
                                                    <w:bottom w:val="none" w:sz="0" w:space="0" w:color="auto"/>
                                                    <w:right w:val="none" w:sz="0" w:space="0" w:color="auto"/>
                                                  </w:divBdr>
                                                  <w:divsChild>
                                                    <w:div w:id="1383822742">
                                                      <w:marLeft w:val="0"/>
                                                      <w:marRight w:val="0"/>
                                                      <w:marTop w:val="0"/>
                                                      <w:marBottom w:val="0"/>
                                                      <w:divBdr>
                                                        <w:top w:val="none" w:sz="0" w:space="0" w:color="auto"/>
                                                        <w:left w:val="none" w:sz="0" w:space="0" w:color="auto"/>
                                                        <w:bottom w:val="none" w:sz="0" w:space="0" w:color="auto"/>
                                                        <w:right w:val="none" w:sz="0" w:space="0" w:color="auto"/>
                                                      </w:divBdr>
                                                      <w:divsChild>
                                                        <w:div w:id="1919972062">
                                                          <w:marLeft w:val="0"/>
                                                          <w:marRight w:val="0"/>
                                                          <w:marTop w:val="0"/>
                                                          <w:marBottom w:val="0"/>
                                                          <w:divBdr>
                                                            <w:top w:val="none" w:sz="0" w:space="0" w:color="auto"/>
                                                            <w:left w:val="none" w:sz="0" w:space="0" w:color="auto"/>
                                                            <w:bottom w:val="none" w:sz="0" w:space="0" w:color="auto"/>
                                                            <w:right w:val="none" w:sz="0" w:space="0" w:color="auto"/>
                                                          </w:divBdr>
                                                          <w:divsChild>
                                                            <w:div w:id="970288889">
                                                              <w:marLeft w:val="0"/>
                                                              <w:marRight w:val="0"/>
                                                              <w:marTop w:val="0"/>
                                                              <w:marBottom w:val="0"/>
                                                              <w:divBdr>
                                                                <w:top w:val="none" w:sz="0" w:space="0" w:color="auto"/>
                                                                <w:left w:val="none" w:sz="0" w:space="0" w:color="auto"/>
                                                                <w:bottom w:val="none" w:sz="0" w:space="0" w:color="auto"/>
                                                                <w:right w:val="none" w:sz="0" w:space="0" w:color="auto"/>
                                                              </w:divBdr>
                                                              <w:divsChild>
                                                                <w:div w:id="1866284071">
                                                                  <w:marLeft w:val="0"/>
                                                                  <w:marRight w:val="0"/>
                                                                  <w:marTop w:val="0"/>
                                                                  <w:marBottom w:val="0"/>
                                                                  <w:divBdr>
                                                                    <w:top w:val="none" w:sz="0" w:space="0" w:color="auto"/>
                                                                    <w:left w:val="none" w:sz="0" w:space="0" w:color="auto"/>
                                                                    <w:bottom w:val="none" w:sz="0" w:space="0" w:color="auto"/>
                                                                    <w:right w:val="none" w:sz="0" w:space="0" w:color="auto"/>
                                                                  </w:divBdr>
                                                                  <w:divsChild>
                                                                    <w:div w:id="1786148895">
                                                                      <w:marLeft w:val="0"/>
                                                                      <w:marRight w:val="0"/>
                                                                      <w:marTop w:val="0"/>
                                                                      <w:marBottom w:val="0"/>
                                                                      <w:divBdr>
                                                                        <w:top w:val="none" w:sz="0" w:space="0" w:color="auto"/>
                                                                        <w:left w:val="none" w:sz="0" w:space="0" w:color="auto"/>
                                                                        <w:bottom w:val="none" w:sz="0" w:space="0" w:color="auto"/>
                                                                        <w:right w:val="none" w:sz="0" w:space="0" w:color="auto"/>
                                                                      </w:divBdr>
                                                                      <w:divsChild>
                                                                        <w:div w:id="347026235">
                                                                          <w:marLeft w:val="0"/>
                                                                          <w:marRight w:val="0"/>
                                                                          <w:marTop w:val="0"/>
                                                                          <w:marBottom w:val="0"/>
                                                                          <w:divBdr>
                                                                            <w:top w:val="none" w:sz="0" w:space="0" w:color="auto"/>
                                                                            <w:left w:val="none" w:sz="0" w:space="0" w:color="auto"/>
                                                                            <w:bottom w:val="none" w:sz="0" w:space="0" w:color="auto"/>
                                                                            <w:right w:val="none" w:sz="0" w:space="0" w:color="auto"/>
                                                                          </w:divBdr>
                                                                          <w:divsChild>
                                                                            <w:div w:id="1206680555">
                                                                              <w:marLeft w:val="0"/>
                                                                              <w:marRight w:val="0"/>
                                                                              <w:marTop w:val="0"/>
                                                                              <w:marBottom w:val="0"/>
                                                                              <w:divBdr>
                                                                                <w:top w:val="none" w:sz="0" w:space="0" w:color="auto"/>
                                                                                <w:left w:val="none" w:sz="0" w:space="0" w:color="auto"/>
                                                                                <w:bottom w:val="none" w:sz="0" w:space="0" w:color="auto"/>
                                                                                <w:right w:val="none" w:sz="0" w:space="0" w:color="auto"/>
                                                                              </w:divBdr>
                                                                            </w:div>
                                                                          </w:divsChild>
                                                                        </w:div>
                                                                        <w:div w:id="1442409228">
                                                                          <w:marLeft w:val="0"/>
                                                                          <w:marRight w:val="0"/>
                                                                          <w:marTop w:val="0"/>
                                                                          <w:marBottom w:val="0"/>
                                                                          <w:divBdr>
                                                                            <w:top w:val="none" w:sz="0" w:space="0" w:color="auto"/>
                                                                            <w:left w:val="none" w:sz="0" w:space="0" w:color="auto"/>
                                                                            <w:bottom w:val="none" w:sz="0" w:space="0" w:color="auto"/>
                                                                            <w:right w:val="none" w:sz="0" w:space="0" w:color="auto"/>
                                                                          </w:divBdr>
                                                                          <w:divsChild>
                                                                            <w:div w:id="1233541138">
                                                                              <w:marLeft w:val="0"/>
                                                                              <w:marRight w:val="0"/>
                                                                              <w:marTop w:val="0"/>
                                                                              <w:marBottom w:val="0"/>
                                                                              <w:divBdr>
                                                                                <w:top w:val="none" w:sz="0" w:space="0" w:color="auto"/>
                                                                                <w:left w:val="none" w:sz="0" w:space="0" w:color="auto"/>
                                                                                <w:bottom w:val="none" w:sz="0" w:space="0" w:color="auto"/>
                                                                                <w:right w:val="none" w:sz="0" w:space="0" w:color="auto"/>
                                                                              </w:divBdr>
                                                                            </w:div>
                                                                          </w:divsChild>
                                                                        </w:div>
                                                                        <w:div w:id="1524511100">
                                                                          <w:marLeft w:val="0"/>
                                                                          <w:marRight w:val="0"/>
                                                                          <w:marTop w:val="0"/>
                                                                          <w:marBottom w:val="0"/>
                                                                          <w:divBdr>
                                                                            <w:top w:val="none" w:sz="0" w:space="0" w:color="auto"/>
                                                                            <w:left w:val="none" w:sz="0" w:space="0" w:color="auto"/>
                                                                            <w:bottom w:val="none" w:sz="0" w:space="0" w:color="auto"/>
                                                                            <w:right w:val="none" w:sz="0" w:space="0" w:color="auto"/>
                                                                          </w:divBdr>
                                                                          <w:divsChild>
                                                                            <w:div w:id="18179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678200">
      <w:bodyDiv w:val="1"/>
      <w:marLeft w:val="0"/>
      <w:marRight w:val="0"/>
      <w:marTop w:val="0"/>
      <w:marBottom w:val="0"/>
      <w:divBdr>
        <w:top w:val="none" w:sz="0" w:space="0" w:color="auto"/>
        <w:left w:val="none" w:sz="0" w:space="0" w:color="auto"/>
        <w:bottom w:val="none" w:sz="0" w:space="0" w:color="auto"/>
        <w:right w:val="none" w:sz="0" w:space="0" w:color="auto"/>
      </w:divBdr>
      <w:divsChild>
        <w:div w:id="197666496">
          <w:marLeft w:val="0"/>
          <w:marRight w:val="0"/>
          <w:marTop w:val="0"/>
          <w:marBottom w:val="0"/>
          <w:divBdr>
            <w:top w:val="none" w:sz="0" w:space="0" w:color="auto"/>
            <w:left w:val="none" w:sz="0" w:space="0" w:color="auto"/>
            <w:bottom w:val="none" w:sz="0" w:space="0" w:color="auto"/>
            <w:right w:val="none" w:sz="0" w:space="0" w:color="auto"/>
          </w:divBdr>
          <w:divsChild>
            <w:div w:id="1025516760">
              <w:marLeft w:val="0"/>
              <w:marRight w:val="0"/>
              <w:marTop w:val="0"/>
              <w:marBottom w:val="0"/>
              <w:divBdr>
                <w:top w:val="none" w:sz="0" w:space="0" w:color="auto"/>
                <w:left w:val="none" w:sz="0" w:space="0" w:color="auto"/>
                <w:bottom w:val="none" w:sz="0" w:space="0" w:color="auto"/>
                <w:right w:val="none" w:sz="0" w:space="0" w:color="auto"/>
              </w:divBdr>
              <w:divsChild>
                <w:div w:id="984314172">
                  <w:marLeft w:val="0"/>
                  <w:marRight w:val="0"/>
                  <w:marTop w:val="0"/>
                  <w:marBottom w:val="0"/>
                  <w:divBdr>
                    <w:top w:val="none" w:sz="0" w:space="0" w:color="auto"/>
                    <w:left w:val="none" w:sz="0" w:space="0" w:color="auto"/>
                    <w:bottom w:val="none" w:sz="0" w:space="0" w:color="auto"/>
                    <w:right w:val="none" w:sz="0" w:space="0" w:color="auto"/>
                  </w:divBdr>
                  <w:divsChild>
                    <w:div w:id="1507595827">
                      <w:marLeft w:val="0"/>
                      <w:marRight w:val="0"/>
                      <w:marTop w:val="0"/>
                      <w:marBottom w:val="375"/>
                      <w:divBdr>
                        <w:top w:val="none" w:sz="0" w:space="0" w:color="auto"/>
                        <w:left w:val="none" w:sz="0" w:space="0" w:color="auto"/>
                        <w:bottom w:val="none" w:sz="0" w:space="0" w:color="auto"/>
                        <w:right w:val="none" w:sz="0" w:space="0" w:color="auto"/>
                      </w:divBdr>
                      <w:divsChild>
                        <w:div w:id="170964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728357">
      <w:bodyDiv w:val="1"/>
      <w:marLeft w:val="0"/>
      <w:marRight w:val="0"/>
      <w:marTop w:val="0"/>
      <w:marBottom w:val="0"/>
      <w:divBdr>
        <w:top w:val="none" w:sz="0" w:space="0" w:color="auto"/>
        <w:left w:val="none" w:sz="0" w:space="0" w:color="auto"/>
        <w:bottom w:val="none" w:sz="0" w:space="0" w:color="auto"/>
        <w:right w:val="none" w:sz="0" w:space="0" w:color="auto"/>
      </w:divBdr>
      <w:divsChild>
        <w:div w:id="147795031">
          <w:marLeft w:val="0"/>
          <w:marRight w:val="0"/>
          <w:marTop w:val="0"/>
          <w:marBottom w:val="0"/>
          <w:divBdr>
            <w:top w:val="none" w:sz="0" w:space="0" w:color="auto"/>
            <w:left w:val="none" w:sz="0" w:space="0" w:color="auto"/>
            <w:bottom w:val="none" w:sz="0" w:space="0" w:color="auto"/>
            <w:right w:val="none" w:sz="0" w:space="0" w:color="auto"/>
          </w:divBdr>
          <w:divsChild>
            <w:div w:id="231543900">
              <w:marLeft w:val="0"/>
              <w:marRight w:val="0"/>
              <w:marTop w:val="0"/>
              <w:marBottom w:val="0"/>
              <w:divBdr>
                <w:top w:val="none" w:sz="0" w:space="0" w:color="auto"/>
                <w:left w:val="none" w:sz="0" w:space="0" w:color="auto"/>
                <w:bottom w:val="none" w:sz="0" w:space="0" w:color="auto"/>
                <w:right w:val="none" w:sz="0" w:space="0" w:color="auto"/>
              </w:divBdr>
              <w:divsChild>
                <w:div w:id="1107962827">
                  <w:marLeft w:val="0"/>
                  <w:marRight w:val="0"/>
                  <w:marTop w:val="0"/>
                  <w:marBottom w:val="0"/>
                  <w:divBdr>
                    <w:top w:val="none" w:sz="0" w:space="0" w:color="auto"/>
                    <w:left w:val="none" w:sz="0" w:space="0" w:color="auto"/>
                    <w:bottom w:val="none" w:sz="0" w:space="0" w:color="auto"/>
                    <w:right w:val="none" w:sz="0" w:space="0" w:color="auto"/>
                  </w:divBdr>
                  <w:divsChild>
                    <w:div w:id="670762390">
                      <w:marLeft w:val="0"/>
                      <w:marRight w:val="0"/>
                      <w:marTop w:val="0"/>
                      <w:marBottom w:val="375"/>
                      <w:divBdr>
                        <w:top w:val="none" w:sz="0" w:space="0" w:color="auto"/>
                        <w:left w:val="none" w:sz="0" w:space="0" w:color="auto"/>
                        <w:bottom w:val="none" w:sz="0" w:space="0" w:color="auto"/>
                        <w:right w:val="none" w:sz="0" w:space="0" w:color="auto"/>
                      </w:divBdr>
                      <w:divsChild>
                        <w:div w:id="7836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664785">
      <w:bodyDiv w:val="1"/>
      <w:marLeft w:val="0"/>
      <w:marRight w:val="0"/>
      <w:marTop w:val="0"/>
      <w:marBottom w:val="0"/>
      <w:divBdr>
        <w:top w:val="none" w:sz="0" w:space="0" w:color="auto"/>
        <w:left w:val="none" w:sz="0" w:space="0" w:color="auto"/>
        <w:bottom w:val="none" w:sz="0" w:space="0" w:color="auto"/>
        <w:right w:val="none" w:sz="0" w:space="0" w:color="auto"/>
      </w:divBdr>
      <w:divsChild>
        <w:div w:id="1368943300">
          <w:marLeft w:val="0"/>
          <w:marRight w:val="0"/>
          <w:marTop w:val="0"/>
          <w:marBottom w:val="0"/>
          <w:divBdr>
            <w:top w:val="none" w:sz="0" w:space="0" w:color="auto"/>
            <w:left w:val="single" w:sz="6" w:space="0" w:color="BBBBBB"/>
            <w:bottom w:val="single" w:sz="6" w:space="0" w:color="BBBBBB"/>
            <w:right w:val="single" w:sz="6" w:space="0" w:color="BBBBBB"/>
          </w:divBdr>
          <w:divsChild>
            <w:div w:id="1333333832">
              <w:marLeft w:val="0"/>
              <w:marRight w:val="0"/>
              <w:marTop w:val="0"/>
              <w:marBottom w:val="0"/>
              <w:divBdr>
                <w:top w:val="none" w:sz="0" w:space="0" w:color="auto"/>
                <w:left w:val="none" w:sz="0" w:space="0" w:color="auto"/>
                <w:bottom w:val="none" w:sz="0" w:space="0" w:color="auto"/>
                <w:right w:val="none" w:sz="0" w:space="0" w:color="auto"/>
              </w:divBdr>
              <w:divsChild>
                <w:div w:id="226890005">
                  <w:marLeft w:val="0"/>
                  <w:marRight w:val="0"/>
                  <w:marTop w:val="75"/>
                  <w:marBottom w:val="0"/>
                  <w:divBdr>
                    <w:top w:val="none" w:sz="0" w:space="0" w:color="auto"/>
                    <w:left w:val="none" w:sz="0" w:space="0" w:color="auto"/>
                    <w:bottom w:val="none" w:sz="0" w:space="0" w:color="auto"/>
                    <w:right w:val="none" w:sz="0" w:space="0" w:color="auto"/>
                  </w:divBdr>
                  <w:divsChild>
                    <w:div w:id="132606593">
                      <w:marLeft w:val="0"/>
                      <w:marRight w:val="0"/>
                      <w:marTop w:val="0"/>
                      <w:marBottom w:val="0"/>
                      <w:divBdr>
                        <w:top w:val="none" w:sz="0" w:space="0" w:color="auto"/>
                        <w:left w:val="none" w:sz="0" w:space="0" w:color="auto"/>
                        <w:bottom w:val="none" w:sz="0" w:space="0" w:color="auto"/>
                        <w:right w:val="none" w:sz="0" w:space="0" w:color="auto"/>
                      </w:divBdr>
                      <w:divsChild>
                        <w:div w:id="358162418">
                          <w:marLeft w:val="0"/>
                          <w:marRight w:val="0"/>
                          <w:marTop w:val="0"/>
                          <w:marBottom w:val="0"/>
                          <w:divBdr>
                            <w:top w:val="none" w:sz="0" w:space="0" w:color="auto"/>
                            <w:left w:val="none" w:sz="0" w:space="0" w:color="auto"/>
                            <w:bottom w:val="none" w:sz="0" w:space="0" w:color="auto"/>
                            <w:right w:val="none" w:sz="0" w:space="0" w:color="auto"/>
                          </w:divBdr>
                          <w:divsChild>
                            <w:div w:id="1961647561">
                              <w:marLeft w:val="0"/>
                              <w:marRight w:val="0"/>
                              <w:marTop w:val="0"/>
                              <w:marBottom w:val="0"/>
                              <w:divBdr>
                                <w:top w:val="none" w:sz="0" w:space="0" w:color="auto"/>
                                <w:left w:val="none" w:sz="0" w:space="0" w:color="auto"/>
                                <w:bottom w:val="none" w:sz="0" w:space="0" w:color="auto"/>
                                <w:right w:val="none" w:sz="0" w:space="0" w:color="auto"/>
                              </w:divBdr>
                              <w:divsChild>
                                <w:div w:id="1236670559">
                                  <w:marLeft w:val="0"/>
                                  <w:marRight w:val="0"/>
                                  <w:marTop w:val="0"/>
                                  <w:marBottom w:val="0"/>
                                  <w:divBdr>
                                    <w:top w:val="none" w:sz="0" w:space="0" w:color="auto"/>
                                    <w:left w:val="none" w:sz="0" w:space="0" w:color="auto"/>
                                    <w:bottom w:val="none" w:sz="0" w:space="0" w:color="auto"/>
                                    <w:right w:val="none" w:sz="0" w:space="0" w:color="auto"/>
                                  </w:divBdr>
                                  <w:divsChild>
                                    <w:div w:id="536042334">
                                      <w:marLeft w:val="0"/>
                                      <w:marRight w:val="0"/>
                                      <w:marTop w:val="0"/>
                                      <w:marBottom w:val="0"/>
                                      <w:divBdr>
                                        <w:top w:val="none" w:sz="0" w:space="0" w:color="auto"/>
                                        <w:left w:val="none" w:sz="0" w:space="0" w:color="auto"/>
                                        <w:bottom w:val="none" w:sz="0" w:space="0" w:color="auto"/>
                                        <w:right w:val="none" w:sz="0" w:space="0" w:color="auto"/>
                                      </w:divBdr>
                                      <w:divsChild>
                                        <w:div w:id="245959805">
                                          <w:marLeft w:val="1200"/>
                                          <w:marRight w:val="1200"/>
                                          <w:marTop w:val="0"/>
                                          <w:marBottom w:val="0"/>
                                          <w:divBdr>
                                            <w:top w:val="none" w:sz="0" w:space="0" w:color="auto"/>
                                            <w:left w:val="none" w:sz="0" w:space="0" w:color="auto"/>
                                            <w:bottom w:val="none" w:sz="0" w:space="0" w:color="auto"/>
                                            <w:right w:val="none" w:sz="0" w:space="0" w:color="auto"/>
                                          </w:divBdr>
                                          <w:divsChild>
                                            <w:div w:id="1531719166">
                                              <w:marLeft w:val="0"/>
                                              <w:marRight w:val="0"/>
                                              <w:marTop w:val="0"/>
                                              <w:marBottom w:val="0"/>
                                              <w:divBdr>
                                                <w:top w:val="none" w:sz="0" w:space="0" w:color="auto"/>
                                                <w:left w:val="none" w:sz="0" w:space="0" w:color="auto"/>
                                                <w:bottom w:val="none" w:sz="0" w:space="0" w:color="auto"/>
                                                <w:right w:val="none" w:sz="0" w:space="0" w:color="auto"/>
                                              </w:divBdr>
                                              <w:divsChild>
                                                <w:div w:id="1881742510">
                                                  <w:marLeft w:val="0"/>
                                                  <w:marRight w:val="0"/>
                                                  <w:marTop w:val="0"/>
                                                  <w:marBottom w:val="0"/>
                                                  <w:divBdr>
                                                    <w:top w:val="none" w:sz="0" w:space="0" w:color="auto"/>
                                                    <w:left w:val="none" w:sz="0" w:space="0" w:color="auto"/>
                                                    <w:bottom w:val="none" w:sz="0" w:space="0" w:color="auto"/>
                                                    <w:right w:val="none" w:sz="0" w:space="0" w:color="auto"/>
                                                  </w:divBdr>
                                                  <w:divsChild>
                                                    <w:div w:id="1360668531">
                                                      <w:marLeft w:val="0"/>
                                                      <w:marRight w:val="0"/>
                                                      <w:marTop w:val="0"/>
                                                      <w:marBottom w:val="0"/>
                                                      <w:divBdr>
                                                        <w:top w:val="none" w:sz="0" w:space="0" w:color="auto"/>
                                                        <w:left w:val="none" w:sz="0" w:space="0" w:color="auto"/>
                                                        <w:bottom w:val="none" w:sz="0" w:space="0" w:color="auto"/>
                                                        <w:right w:val="none" w:sz="0" w:space="0" w:color="auto"/>
                                                      </w:divBdr>
                                                      <w:divsChild>
                                                        <w:div w:id="121268227">
                                                          <w:marLeft w:val="0"/>
                                                          <w:marRight w:val="0"/>
                                                          <w:marTop w:val="0"/>
                                                          <w:marBottom w:val="0"/>
                                                          <w:divBdr>
                                                            <w:top w:val="none" w:sz="0" w:space="0" w:color="auto"/>
                                                            <w:left w:val="none" w:sz="0" w:space="0" w:color="auto"/>
                                                            <w:bottom w:val="none" w:sz="0" w:space="0" w:color="auto"/>
                                                            <w:right w:val="none" w:sz="0" w:space="0" w:color="auto"/>
                                                          </w:divBdr>
                                                          <w:divsChild>
                                                            <w:div w:id="1816216921">
                                                              <w:marLeft w:val="0"/>
                                                              <w:marRight w:val="0"/>
                                                              <w:marTop w:val="0"/>
                                                              <w:marBottom w:val="0"/>
                                                              <w:divBdr>
                                                                <w:top w:val="none" w:sz="0" w:space="0" w:color="auto"/>
                                                                <w:left w:val="none" w:sz="0" w:space="0" w:color="auto"/>
                                                                <w:bottom w:val="none" w:sz="0" w:space="0" w:color="auto"/>
                                                                <w:right w:val="none" w:sz="0" w:space="0" w:color="auto"/>
                                                              </w:divBdr>
                                                              <w:divsChild>
                                                                <w:div w:id="563567552">
                                                                  <w:marLeft w:val="0"/>
                                                                  <w:marRight w:val="0"/>
                                                                  <w:marTop w:val="0"/>
                                                                  <w:marBottom w:val="0"/>
                                                                  <w:divBdr>
                                                                    <w:top w:val="none" w:sz="0" w:space="0" w:color="auto"/>
                                                                    <w:left w:val="none" w:sz="0" w:space="0" w:color="auto"/>
                                                                    <w:bottom w:val="none" w:sz="0" w:space="0" w:color="auto"/>
                                                                    <w:right w:val="none" w:sz="0" w:space="0" w:color="auto"/>
                                                                  </w:divBdr>
                                                                  <w:divsChild>
                                                                    <w:div w:id="314332994">
                                                                      <w:marLeft w:val="0"/>
                                                                      <w:marRight w:val="0"/>
                                                                      <w:marTop w:val="0"/>
                                                                      <w:marBottom w:val="0"/>
                                                                      <w:divBdr>
                                                                        <w:top w:val="none" w:sz="0" w:space="0" w:color="auto"/>
                                                                        <w:left w:val="none" w:sz="0" w:space="0" w:color="auto"/>
                                                                        <w:bottom w:val="none" w:sz="0" w:space="0" w:color="auto"/>
                                                                        <w:right w:val="none" w:sz="0" w:space="0" w:color="auto"/>
                                                                      </w:divBdr>
                                                                      <w:divsChild>
                                                                        <w:div w:id="275018660">
                                                                          <w:marLeft w:val="0"/>
                                                                          <w:marRight w:val="0"/>
                                                                          <w:marTop w:val="0"/>
                                                                          <w:marBottom w:val="0"/>
                                                                          <w:divBdr>
                                                                            <w:top w:val="none" w:sz="0" w:space="0" w:color="auto"/>
                                                                            <w:left w:val="none" w:sz="0" w:space="0" w:color="auto"/>
                                                                            <w:bottom w:val="none" w:sz="0" w:space="0" w:color="auto"/>
                                                                            <w:right w:val="none" w:sz="0" w:space="0" w:color="auto"/>
                                                                          </w:divBdr>
                                                                        </w:div>
                                                                      </w:divsChild>
                                                                    </w:div>
                                                                    <w:div w:id="1796286604">
                                                                      <w:marLeft w:val="0"/>
                                                                      <w:marRight w:val="0"/>
                                                                      <w:marTop w:val="0"/>
                                                                      <w:marBottom w:val="0"/>
                                                                      <w:divBdr>
                                                                        <w:top w:val="none" w:sz="0" w:space="0" w:color="auto"/>
                                                                        <w:left w:val="none" w:sz="0" w:space="0" w:color="auto"/>
                                                                        <w:bottom w:val="none" w:sz="0" w:space="0" w:color="auto"/>
                                                                        <w:right w:val="none" w:sz="0" w:space="0" w:color="auto"/>
                                                                      </w:divBdr>
                                                                      <w:divsChild>
                                                                        <w:div w:id="6495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044317">
      <w:bodyDiv w:val="1"/>
      <w:marLeft w:val="0"/>
      <w:marRight w:val="0"/>
      <w:marTop w:val="0"/>
      <w:marBottom w:val="0"/>
      <w:divBdr>
        <w:top w:val="none" w:sz="0" w:space="0" w:color="auto"/>
        <w:left w:val="none" w:sz="0" w:space="0" w:color="auto"/>
        <w:bottom w:val="none" w:sz="0" w:space="0" w:color="auto"/>
        <w:right w:val="none" w:sz="0" w:space="0" w:color="auto"/>
      </w:divBdr>
      <w:divsChild>
        <w:div w:id="2009551481">
          <w:marLeft w:val="0"/>
          <w:marRight w:val="0"/>
          <w:marTop w:val="0"/>
          <w:marBottom w:val="0"/>
          <w:divBdr>
            <w:top w:val="none" w:sz="0" w:space="0" w:color="auto"/>
            <w:left w:val="single" w:sz="6" w:space="0" w:color="BBBBBB"/>
            <w:bottom w:val="single" w:sz="6" w:space="0" w:color="BBBBBB"/>
            <w:right w:val="single" w:sz="6" w:space="0" w:color="BBBBBB"/>
          </w:divBdr>
          <w:divsChild>
            <w:div w:id="311066105">
              <w:marLeft w:val="0"/>
              <w:marRight w:val="0"/>
              <w:marTop w:val="0"/>
              <w:marBottom w:val="0"/>
              <w:divBdr>
                <w:top w:val="none" w:sz="0" w:space="0" w:color="auto"/>
                <w:left w:val="none" w:sz="0" w:space="0" w:color="auto"/>
                <w:bottom w:val="none" w:sz="0" w:space="0" w:color="auto"/>
                <w:right w:val="none" w:sz="0" w:space="0" w:color="auto"/>
              </w:divBdr>
              <w:divsChild>
                <w:div w:id="1355040009">
                  <w:marLeft w:val="0"/>
                  <w:marRight w:val="0"/>
                  <w:marTop w:val="75"/>
                  <w:marBottom w:val="0"/>
                  <w:divBdr>
                    <w:top w:val="none" w:sz="0" w:space="0" w:color="auto"/>
                    <w:left w:val="none" w:sz="0" w:space="0" w:color="auto"/>
                    <w:bottom w:val="none" w:sz="0" w:space="0" w:color="auto"/>
                    <w:right w:val="none" w:sz="0" w:space="0" w:color="auto"/>
                  </w:divBdr>
                  <w:divsChild>
                    <w:div w:id="1536507770">
                      <w:marLeft w:val="0"/>
                      <w:marRight w:val="0"/>
                      <w:marTop w:val="0"/>
                      <w:marBottom w:val="0"/>
                      <w:divBdr>
                        <w:top w:val="none" w:sz="0" w:space="0" w:color="auto"/>
                        <w:left w:val="none" w:sz="0" w:space="0" w:color="auto"/>
                        <w:bottom w:val="none" w:sz="0" w:space="0" w:color="auto"/>
                        <w:right w:val="none" w:sz="0" w:space="0" w:color="auto"/>
                      </w:divBdr>
                      <w:divsChild>
                        <w:div w:id="2067801907">
                          <w:marLeft w:val="0"/>
                          <w:marRight w:val="0"/>
                          <w:marTop w:val="0"/>
                          <w:marBottom w:val="0"/>
                          <w:divBdr>
                            <w:top w:val="none" w:sz="0" w:space="0" w:color="auto"/>
                            <w:left w:val="none" w:sz="0" w:space="0" w:color="auto"/>
                            <w:bottom w:val="none" w:sz="0" w:space="0" w:color="auto"/>
                            <w:right w:val="none" w:sz="0" w:space="0" w:color="auto"/>
                          </w:divBdr>
                          <w:divsChild>
                            <w:div w:id="1201747588">
                              <w:marLeft w:val="0"/>
                              <w:marRight w:val="0"/>
                              <w:marTop w:val="0"/>
                              <w:marBottom w:val="0"/>
                              <w:divBdr>
                                <w:top w:val="none" w:sz="0" w:space="0" w:color="auto"/>
                                <w:left w:val="none" w:sz="0" w:space="0" w:color="auto"/>
                                <w:bottom w:val="none" w:sz="0" w:space="0" w:color="auto"/>
                                <w:right w:val="none" w:sz="0" w:space="0" w:color="auto"/>
                              </w:divBdr>
                              <w:divsChild>
                                <w:div w:id="2087605563">
                                  <w:marLeft w:val="0"/>
                                  <w:marRight w:val="0"/>
                                  <w:marTop w:val="0"/>
                                  <w:marBottom w:val="0"/>
                                  <w:divBdr>
                                    <w:top w:val="none" w:sz="0" w:space="0" w:color="auto"/>
                                    <w:left w:val="none" w:sz="0" w:space="0" w:color="auto"/>
                                    <w:bottom w:val="none" w:sz="0" w:space="0" w:color="auto"/>
                                    <w:right w:val="none" w:sz="0" w:space="0" w:color="auto"/>
                                  </w:divBdr>
                                  <w:divsChild>
                                    <w:div w:id="595020074">
                                      <w:marLeft w:val="0"/>
                                      <w:marRight w:val="0"/>
                                      <w:marTop w:val="0"/>
                                      <w:marBottom w:val="0"/>
                                      <w:divBdr>
                                        <w:top w:val="none" w:sz="0" w:space="0" w:color="auto"/>
                                        <w:left w:val="none" w:sz="0" w:space="0" w:color="auto"/>
                                        <w:bottom w:val="none" w:sz="0" w:space="0" w:color="auto"/>
                                        <w:right w:val="none" w:sz="0" w:space="0" w:color="auto"/>
                                      </w:divBdr>
                                      <w:divsChild>
                                        <w:div w:id="1359308251">
                                          <w:marLeft w:val="1200"/>
                                          <w:marRight w:val="1200"/>
                                          <w:marTop w:val="0"/>
                                          <w:marBottom w:val="0"/>
                                          <w:divBdr>
                                            <w:top w:val="none" w:sz="0" w:space="0" w:color="auto"/>
                                            <w:left w:val="none" w:sz="0" w:space="0" w:color="auto"/>
                                            <w:bottom w:val="none" w:sz="0" w:space="0" w:color="auto"/>
                                            <w:right w:val="none" w:sz="0" w:space="0" w:color="auto"/>
                                          </w:divBdr>
                                          <w:divsChild>
                                            <w:div w:id="1586383636">
                                              <w:marLeft w:val="0"/>
                                              <w:marRight w:val="0"/>
                                              <w:marTop w:val="0"/>
                                              <w:marBottom w:val="0"/>
                                              <w:divBdr>
                                                <w:top w:val="none" w:sz="0" w:space="0" w:color="auto"/>
                                                <w:left w:val="none" w:sz="0" w:space="0" w:color="auto"/>
                                                <w:bottom w:val="none" w:sz="0" w:space="0" w:color="auto"/>
                                                <w:right w:val="none" w:sz="0" w:space="0" w:color="auto"/>
                                              </w:divBdr>
                                              <w:divsChild>
                                                <w:div w:id="2130082937">
                                                  <w:marLeft w:val="0"/>
                                                  <w:marRight w:val="0"/>
                                                  <w:marTop w:val="0"/>
                                                  <w:marBottom w:val="0"/>
                                                  <w:divBdr>
                                                    <w:top w:val="none" w:sz="0" w:space="0" w:color="auto"/>
                                                    <w:left w:val="none" w:sz="0" w:space="0" w:color="auto"/>
                                                    <w:bottom w:val="none" w:sz="0" w:space="0" w:color="auto"/>
                                                    <w:right w:val="none" w:sz="0" w:space="0" w:color="auto"/>
                                                  </w:divBdr>
                                                  <w:divsChild>
                                                    <w:div w:id="284849735">
                                                      <w:marLeft w:val="0"/>
                                                      <w:marRight w:val="0"/>
                                                      <w:marTop w:val="0"/>
                                                      <w:marBottom w:val="0"/>
                                                      <w:divBdr>
                                                        <w:top w:val="none" w:sz="0" w:space="0" w:color="auto"/>
                                                        <w:left w:val="none" w:sz="0" w:space="0" w:color="auto"/>
                                                        <w:bottom w:val="none" w:sz="0" w:space="0" w:color="auto"/>
                                                        <w:right w:val="none" w:sz="0" w:space="0" w:color="auto"/>
                                                      </w:divBdr>
                                                      <w:divsChild>
                                                        <w:div w:id="221184447">
                                                          <w:marLeft w:val="0"/>
                                                          <w:marRight w:val="0"/>
                                                          <w:marTop w:val="0"/>
                                                          <w:marBottom w:val="0"/>
                                                          <w:divBdr>
                                                            <w:top w:val="none" w:sz="0" w:space="0" w:color="auto"/>
                                                            <w:left w:val="none" w:sz="0" w:space="0" w:color="auto"/>
                                                            <w:bottom w:val="none" w:sz="0" w:space="0" w:color="auto"/>
                                                            <w:right w:val="none" w:sz="0" w:space="0" w:color="auto"/>
                                                          </w:divBdr>
                                                        </w:div>
                                                      </w:divsChild>
                                                    </w:div>
                                                    <w:div w:id="416027309">
                                                      <w:marLeft w:val="0"/>
                                                      <w:marRight w:val="0"/>
                                                      <w:marTop w:val="0"/>
                                                      <w:marBottom w:val="0"/>
                                                      <w:divBdr>
                                                        <w:top w:val="none" w:sz="0" w:space="0" w:color="auto"/>
                                                        <w:left w:val="none" w:sz="0" w:space="0" w:color="auto"/>
                                                        <w:bottom w:val="none" w:sz="0" w:space="0" w:color="auto"/>
                                                        <w:right w:val="none" w:sz="0" w:space="0" w:color="auto"/>
                                                      </w:divBdr>
                                                      <w:divsChild>
                                                        <w:div w:id="55130460">
                                                          <w:marLeft w:val="0"/>
                                                          <w:marRight w:val="0"/>
                                                          <w:marTop w:val="0"/>
                                                          <w:marBottom w:val="0"/>
                                                          <w:divBdr>
                                                            <w:top w:val="none" w:sz="0" w:space="0" w:color="auto"/>
                                                            <w:left w:val="none" w:sz="0" w:space="0" w:color="auto"/>
                                                            <w:bottom w:val="none" w:sz="0" w:space="0" w:color="auto"/>
                                                            <w:right w:val="none" w:sz="0" w:space="0" w:color="auto"/>
                                                          </w:divBdr>
                                                        </w:div>
                                                      </w:divsChild>
                                                    </w:div>
                                                    <w:div w:id="1177884327">
                                                      <w:marLeft w:val="0"/>
                                                      <w:marRight w:val="0"/>
                                                      <w:marTop w:val="0"/>
                                                      <w:marBottom w:val="0"/>
                                                      <w:divBdr>
                                                        <w:top w:val="none" w:sz="0" w:space="0" w:color="auto"/>
                                                        <w:left w:val="none" w:sz="0" w:space="0" w:color="auto"/>
                                                        <w:bottom w:val="none" w:sz="0" w:space="0" w:color="auto"/>
                                                        <w:right w:val="none" w:sz="0" w:space="0" w:color="auto"/>
                                                      </w:divBdr>
                                                      <w:divsChild>
                                                        <w:div w:id="580483192">
                                                          <w:marLeft w:val="0"/>
                                                          <w:marRight w:val="0"/>
                                                          <w:marTop w:val="0"/>
                                                          <w:marBottom w:val="0"/>
                                                          <w:divBdr>
                                                            <w:top w:val="none" w:sz="0" w:space="0" w:color="auto"/>
                                                            <w:left w:val="none" w:sz="0" w:space="0" w:color="auto"/>
                                                            <w:bottom w:val="none" w:sz="0" w:space="0" w:color="auto"/>
                                                            <w:right w:val="none" w:sz="0" w:space="0" w:color="auto"/>
                                                          </w:divBdr>
                                                        </w:div>
                                                      </w:divsChild>
                                                    </w:div>
                                                    <w:div w:id="1486507730">
                                                      <w:marLeft w:val="0"/>
                                                      <w:marRight w:val="0"/>
                                                      <w:marTop w:val="0"/>
                                                      <w:marBottom w:val="0"/>
                                                      <w:divBdr>
                                                        <w:top w:val="none" w:sz="0" w:space="0" w:color="auto"/>
                                                        <w:left w:val="none" w:sz="0" w:space="0" w:color="auto"/>
                                                        <w:bottom w:val="none" w:sz="0" w:space="0" w:color="auto"/>
                                                        <w:right w:val="none" w:sz="0" w:space="0" w:color="auto"/>
                                                      </w:divBdr>
                                                      <w:divsChild>
                                                        <w:div w:id="960764822">
                                                          <w:marLeft w:val="0"/>
                                                          <w:marRight w:val="0"/>
                                                          <w:marTop w:val="0"/>
                                                          <w:marBottom w:val="0"/>
                                                          <w:divBdr>
                                                            <w:top w:val="none" w:sz="0" w:space="0" w:color="auto"/>
                                                            <w:left w:val="none" w:sz="0" w:space="0" w:color="auto"/>
                                                            <w:bottom w:val="none" w:sz="0" w:space="0" w:color="auto"/>
                                                            <w:right w:val="none" w:sz="0" w:space="0" w:color="auto"/>
                                                          </w:divBdr>
                                                        </w:div>
                                                      </w:divsChild>
                                                    </w:div>
                                                    <w:div w:id="1588228278">
                                                      <w:marLeft w:val="0"/>
                                                      <w:marRight w:val="0"/>
                                                      <w:marTop w:val="0"/>
                                                      <w:marBottom w:val="0"/>
                                                      <w:divBdr>
                                                        <w:top w:val="none" w:sz="0" w:space="0" w:color="auto"/>
                                                        <w:left w:val="none" w:sz="0" w:space="0" w:color="auto"/>
                                                        <w:bottom w:val="none" w:sz="0" w:space="0" w:color="auto"/>
                                                        <w:right w:val="none" w:sz="0" w:space="0" w:color="auto"/>
                                                      </w:divBdr>
                                                      <w:divsChild>
                                                        <w:div w:id="1373311640">
                                                          <w:marLeft w:val="0"/>
                                                          <w:marRight w:val="0"/>
                                                          <w:marTop w:val="0"/>
                                                          <w:marBottom w:val="0"/>
                                                          <w:divBdr>
                                                            <w:top w:val="none" w:sz="0" w:space="0" w:color="auto"/>
                                                            <w:left w:val="none" w:sz="0" w:space="0" w:color="auto"/>
                                                            <w:bottom w:val="none" w:sz="0" w:space="0" w:color="auto"/>
                                                            <w:right w:val="none" w:sz="0" w:space="0" w:color="auto"/>
                                                          </w:divBdr>
                                                        </w:div>
                                                      </w:divsChild>
                                                    </w:div>
                                                    <w:div w:id="2035643062">
                                                      <w:marLeft w:val="0"/>
                                                      <w:marRight w:val="0"/>
                                                      <w:marTop w:val="0"/>
                                                      <w:marBottom w:val="0"/>
                                                      <w:divBdr>
                                                        <w:top w:val="none" w:sz="0" w:space="0" w:color="auto"/>
                                                        <w:left w:val="none" w:sz="0" w:space="0" w:color="auto"/>
                                                        <w:bottom w:val="none" w:sz="0" w:space="0" w:color="auto"/>
                                                        <w:right w:val="none" w:sz="0" w:space="0" w:color="auto"/>
                                                      </w:divBdr>
                                                      <w:divsChild>
                                                        <w:div w:id="13861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584055">
      <w:bodyDiv w:val="1"/>
      <w:marLeft w:val="0"/>
      <w:marRight w:val="0"/>
      <w:marTop w:val="0"/>
      <w:marBottom w:val="0"/>
      <w:divBdr>
        <w:top w:val="none" w:sz="0" w:space="0" w:color="auto"/>
        <w:left w:val="none" w:sz="0" w:space="0" w:color="auto"/>
        <w:bottom w:val="none" w:sz="0" w:space="0" w:color="auto"/>
        <w:right w:val="none" w:sz="0" w:space="0" w:color="auto"/>
      </w:divBdr>
      <w:divsChild>
        <w:div w:id="2061710597">
          <w:marLeft w:val="0"/>
          <w:marRight w:val="0"/>
          <w:marTop w:val="0"/>
          <w:marBottom w:val="0"/>
          <w:divBdr>
            <w:top w:val="none" w:sz="0" w:space="0" w:color="auto"/>
            <w:left w:val="none" w:sz="0" w:space="0" w:color="auto"/>
            <w:bottom w:val="none" w:sz="0" w:space="0" w:color="auto"/>
            <w:right w:val="none" w:sz="0" w:space="0" w:color="auto"/>
          </w:divBdr>
          <w:divsChild>
            <w:div w:id="202594687">
              <w:marLeft w:val="0"/>
              <w:marRight w:val="0"/>
              <w:marTop w:val="0"/>
              <w:marBottom w:val="0"/>
              <w:divBdr>
                <w:top w:val="none" w:sz="0" w:space="0" w:color="auto"/>
                <w:left w:val="none" w:sz="0" w:space="0" w:color="auto"/>
                <w:bottom w:val="none" w:sz="0" w:space="0" w:color="auto"/>
                <w:right w:val="none" w:sz="0" w:space="0" w:color="auto"/>
              </w:divBdr>
              <w:divsChild>
                <w:div w:id="1849975859">
                  <w:marLeft w:val="0"/>
                  <w:marRight w:val="0"/>
                  <w:marTop w:val="0"/>
                  <w:marBottom w:val="0"/>
                  <w:divBdr>
                    <w:top w:val="none" w:sz="0" w:space="0" w:color="auto"/>
                    <w:left w:val="none" w:sz="0" w:space="0" w:color="auto"/>
                    <w:bottom w:val="none" w:sz="0" w:space="0" w:color="auto"/>
                    <w:right w:val="none" w:sz="0" w:space="0" w:color="auto"/>
                  </w:divBdr>
                  <w:divsChild>
                    <w:div w:id="651712708">
                      <w:marLeft w:val="0"/>
                      <w:marRight w:val="0"/>
                      <w:marTop w:val="0"/>
                      <w:marBottom w:val="300"/>
                      <w:divBdr>
                        <w:top w:val="none" w:sz="0" w:space="0" w:color="auto"/>
                        <w:left w:val="none" w:sz="0" w:space="0" w:color="auto"/>
                        <w:bottom w:val="none" w:sz="0" w:space="0" w:color="auto"/>
                        <w:right w:val="none" w:sz="0" w:space="0" w:color="auto"/>
                      </w:divBdr>
                      <w:divsChild>
                        <w:div w:id="3410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128456">
      <w:bodyDiv w:val="1"/>
      <w:marLeft w:val="0"/>
      <w:marRight w:val="0"/>
      <w:marTop w:val="0"/>
      <w:marBottom w:val="0"/>
      <w:divBdr>
        <w:top w:val="none" w:sz="0" w:space="0" w:color="auto"/>
        <w:left w:val="none" w:sz="0" w:space="0" w:color="auto"/>
        <w:bottom w:val="none" w:sz="0" w:space="0" w:color="auto"/>
        <w:right w:val="none" w:sz="0" w:space="0" w:color="auto"/>
      </w:divBdr>
      <w:divsChild>
        <w:div w:id="2085445606">
          <w:marLeft w:val="0"/>
          <w:marRight w:val="0"/>
          <w:marTop w:val="0"/>
          <w:marBottom w:val="0"/>
          <w:divBdr>
            <w:top w:val="none" w:sz="0" w:space="0" w:color="auto"/>
            <w:left w:val="none" w:sz="0" w:space="0" w:color="auto"/>
            <w:bottom w:val="none" w:sz="0" w:space="0" w:color="auto"/>
            <w:right w:val="none" w:sz="0" w:space="0" w:color="auto"/>
          </w:divBdr>
          <w:divsChild>
            <w:div w:id="77487060">
              <w:marLeft w:val="0"/>
              <w:marRight w:val="0"/>
              <w:marTop w:val="0"/>
              <w:marBottom w:val="0"/>
              <w:divBdr>
                <w:top w:val="none" w:sz="0" w:space="0" w:color="auto"/>
                <w:left w:val="none" w:sz="0" w:space="0" w:color="auto"/>
                <w:bottom w:val="none" w:sz="0" w:space="0" w:color="auto"/>
                <w:right w:val="none" w:sz="0" w:space="0" w:color="auto"/>
              </w:divBdr>
              <w:divsChild>
                <w:div w:id="1971931488">
                  <w:marLeft w:val="0"/>
                  <w:marRight w:val="0"/>
                  <w:marTop w:val="0"/>
                  <w:marBottom w:val="0"/>
                  <w:divBdr>
                    <w:top w:val="none" w:sz="0" w:space="0" w:color="auto"/>
                    <w:left w:val="none" w:sz="0" w:space="0" w:color="auto"/>
                    <w:bottom w:val="none" w:sz="0" w:space="0" w:color="auto"/>
                    <w:right w:val="none" w:sz="0" w:space="0" w:color="auto"/>
                  </w:divBdr>
                  <w:divsChild>
                    <w:div w:id="1158615404">
                      <w:marLeft w:val="0"/>
                      <w:marRight w:val="0"/>
                      <w:marTop w:val="0"/>
                      <w:marBottom w:val="0"/>
                      <w:divBdr>
                        <w:top w:val="none" w:sz="0" w:space="0" w:color="auto"/>
                        <w:left w:val="none" w:sz="0" w:space="0" w:color="auto"/>
                        <w:bottom w:val="none" w:sz="0" w:space="0" w:color="auto"/>
                        <w:right w:val="none" w:sz="0" w:space="0" w:color="auto"/>
                      </w:divBdr>
                      <w:divsChild>
                        <w:div w:id="1480225538">
                          <w:marLeft w:val="0"/>
                          <w:marRight w:val="0"/>
                          <w:marTop w:val="0"/>
                          <w:marBottom w:val="0"/>
                          <w:divBdr>
                            <w:top w:val="none" w:sz="0" w:space="0" w:color="auto"/>
                            <w:left w:val="none" w:sz="0" w:space="0" w:color="auto"/>
                            <w:bottom w:val="none" w:sz="0" w:space="0" w:color="auto"/>
                            <w:right w:val="none" w:sz="0" w:space="0" w:color="auto"/>
                          </w:divBdr>
                          <w:divsChild>
                            <w:div w:id="1279683353">
                              <w:marLeft w:val="0"/>
                              <w:marRight w:val="0"/>
                              <w:marTop w:val="0"/>
                              <w:marBottom w:val="0"/>
                              <w:divBdr>
                                <w:top w:val="none" w:sz="0" w:space="0" w:color="auto"/>
                                <w:left w:val="none" w:sz="0" w:space="0" w:color="auto"/>
                                <w:bottom w:val="none" w:sz="0" w:space="0" w:color="auto"/>
                                <w:right w:val="none" w:sz="0" w:space="0" w:color="auto"/>
                              </w:divBdr>
                              <w:divsChild>
                                <w:div w:id="91791043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134047">
      <w:bodyDiv w:val="1"/>
      <w:marLeft w:val="0"/>
      <w:marRight w:val="0"/>
      <w:marTop w:val="0"/>
      <w:marBottom w:val="0"/>
      <w:divBdr>
        <w:top w:val="none" w:sz="0" w:space="0" w:color="auto"/>
        <w:left w:val="none" w:sz="0" w:space="0" w:color="auto"/>
        <w:bottom w:val="none" w:sz="0" w:space="0" w:color="auto"/>
        <w:right w:val="none" w:sz="0" w:space="0" w:color="auto"/>
      </w:divBdr>
      <w:divsChild>
        <w:div w:id="980693660">
          <w:marLeft w:val="0"/>
          <w:marRight w:val="0"/>
          <w:marTop w:val="0"/>
          <w:marBottom w:val="0"/>
          <w:divBdr>
            <w:top w:val="none" w:sz="0" w:space="0" w:color="auto"/>
            <w:left w:val="single" w:sz="6" w:space="0" w:color="BBBBBB"/>
            <w:bottom w:val="single" w:sz="6" w:space="0" w:color="BBBBBB"/>
            <w:right w:val="single" w:sz="6" w:space="0" w:color="BBBBBB"/>
          </w:divBdr>
          <w:divsChild>
            <w:div w:id="182675128">
              <w:marLeft w:val="0"/>
              <w:marRight w:val="0"/>
              <w:marTop w:val="0"/>
              <w:marBottom w:val="0"/>
              <w:divBdr>
                <w:top w:val="none" w:sz="0" w:space="0" w:color="auto"/>
                <w:left w:val="none" w:sz="0" w:space="0" w:color="auto"/>
                <w:bottom w:val="none" w:sz="0" w:space="0" w:color="auto"/>
                <w:right w:val="none" w:sz="0" w:space="0" w:color="auto"/>
              </w:divBdr>
              <w:divsChild>
                <w:div w:id="380331085">
                  <w:marLeft w:val="0"/>
                  <w:marRight w:val="0"/>
                  <w:marTop w:val="0"/>
                  <w:marBottom w:val="0"/>
                  <w:divBdr>
                    <w:top w:val="none" w:sz="0" w:space="0" w:color="auto"/>
                    <w:left w:val="none" w:sz="0" w:space="0" w:color="auto"/>
                    <w:bottom w:val="none" w:sz="0" w:space="0" w:color="auto"/>
                    <w:right w:val="none" w:sz="0" w:space="0" w:color="auto"/>
                  </w:divBdr>
                  <w:divsChild>
                    <w:div w:id="755784688">
                      <w:marLeft w:val="0"/>
                      <w:marRight w:val="0"/>
                      <w:marTop w:val="0"/>
                      <w:marBottom w:val="0"/>
                      <w:divBdr>
                        <w:top w:val="none" w:sz="0" w:space="0" w:color="auto"/>
                        <w:left w:val="none" w:sz="0" w:space="0" w:color="auto"/>
                        <w:bottom w:val="none" w:sz="0" w:space="0" w:color="auto"/>
                        <w:right w:val="none" w:sz="0" w:space="0" w:color="auto"/>
                      </w:divBdr>
                      <w:divsChild>
                        <w:div w:id="1323897675">
                          <w:marLeft w:val="0"/>
                          <w:marRight w:val="0"/>
                          <w:marTop w:val="0"/>
                          <w:marBottom w:val="0"/>
                          <w:divBdr>
                            <w:top w:val="none" w:sz="0" w:space="0" w:color="auto"/>
                            <w:left w:val="none" w:sz="0" w:space="0" w:color="auto"/>
                            <w:bottom w:val="none" w:sz="0" w:space="0" w:color="auto"/>
                            <w:right w:val="none" w:sz="0" w:space="0" w:color="auto"/>
                          </w:divBdr>
                          <w:divsChild>
                            <w:div w:id="486018568">
                              <w:marLeft w:val="0"/>
                              <w:marRight w:val="0"/>
                              <w:marTop w:val="0"/>
                              <w:marBottom w:val="0"/>
                              <w:divBdr>
                                <w:top w:val="none" w:sz="0" w:space="0" w:color="auto"/>
                                <w:left w:val="none" w:sz="0" w:space="0" w:color="auto"/>
                                <w:bottom w:val="none" w:sz="0" w:space="0" w:color="auto"/>
                                <w:right w:val="none" w:sz="0" w:space="0" w:color="auto"/>
                              </w:divBdr>
                              <w:divsChild>
                                <w:div w:id="415899774">
                                  <w:marLeft w:val="0"/>
                                  <w:marRight w:val="0"/>
                                  <w:marTop w:val="0"/>
                                  <w:marBottom w:val="0"/>
                                  <w:divBdr>
                                    <w:top w:val="none" w:sz="0" w:space="0" w:color="auto"/>
                                    <w:left w:val="none" w:sz="0" w:space="0" w:color="auto"/>
                                    <w:bottom w:val="none" w:sz="0" w:space="0" w:color="auto"/>
                                    <w:right w:val="none" w:sz="0" w:space="0" w:color="auto"/>
                                  </w:divBdr>
                                  <w:divsChild>
                                    <w:div w:id="1208372173">
                                      <w:marLeft w:val="0"/>
                                      <w:marRight w:val="0"/>
                                      <w:marTop w:val="0"/>
                                      <w:marBottom w:val="0"/>
                                      <w:divBdr>
                                        <w:top w:val="none" w:sz="0" w:space="0" w:color="auto"/>
                                        <w:left w:val="none" w:sz="0" w:space="0" w:color="auto"/>
                                        <w:bottom w:val="none" w:sz="0" w:space="0" w:color="auto"/>
                                        <w:right w:val="none" w:sz="0" w:space="0" w:color="auto"/>
                                      </w:divBdr>
                                      <w:divsChild>
                                        <w:div w:id="19279156">
                                          <w:marLeft w:val="1200"/>
                                          <w:marRight w:val="1200"/>
                                          <w:marTop w:val="0"/>
                                          <w:marBottom w:val="0"/>
                                          <w:divBdr>
                                            <w:top w:val="none" w:sz="0" w:space="0" w:color="auto"/>
                                            <w:left w:val="none" w:sz="0" w:space="0" w:color="auto"/>
                                            <w:bottom w:val="none" w:sz="0" w:space="0" w:color="auto"/>
                                            <w:right w:val="none" w:sz="0" w:space="0" w:color="auto"/>
                                          </w:divBdr>
                                          <w:divsChild>
                                            <w:div w:id="1357074207">
                                              <w:marLeft w:val="0"/>
                                              <w:marRight w:val="0"/>
                                              <w:marTop w:val="0"/>
                                              <w:marBottom w:val="0"/>
                                              <w:divBdr>
                                                <w:top w:val="none" w:sz="0" w:space="0" w:color="auto"/>
                                                <w:left w:val="none" w:sz="0" w:space="0" w:color="auto"/>
                                                <w:bottom w:val="none" w:sz="0" w:space="0" w:color="auto"/>
                                                <w:right w:val="none" w:sz="0" w:space="0" w:color="auto"/>
                                              </w:divBdr>
                                              <w:divsChild>
                                                <w:div w:id="2010712744">
                                                  <w:marLeft w:val="0"/>
                                                  <w:marRight w:val="0"/>
                                                  <w:marTop w:val="0"/>
                                                  <w:marBottom w:val="0"/>
                                                  <w:divBdr>
                                                    <w:top w:val="none" w:sz="0" w:space="0" w:color="auto"/>
                                                    <w:left w:val="none" w:sz="0" w:space="0" w:color="auto"/>
                                                    <w:bottom w:val="none" w:sz="0" w:space="0" w:color="auto"/>
                                                    <w:right w:val="none" w:sz="0" w:space="0" w:color="auto"/>
                                                  </w:divBdr>
                                                  <w:divsChild>
                                                    <w:div w:id="1064065810">
                                                      <w:marLeft w:val="0"/>
                                                      <w:marRight w:val="0"/>
                                                      <w:marTop w:val="0"/>
                                                      <w:marBottom w:val="0"/>
                                                      <w:divBdr>
                                                        <w:top w:val="none" w:sz="0" w:space="0" w:color="auto"/>
                                                        <w:left w:val="none" w:sz="0" w:space="0" w:color="auto"/>
                                                        <w:bottom w:val="none" w:sz="0" w:space="0" w:color="auto"/>
                                                        <w:right w:val="none" w:sz="0" w:space="0" w:color="auto"/>
                                                      </w:divBdr>
                                                      <w:divsChild>
                                                        <w:div w:id="196235288">
                                                          <w:marLeft w:val="0"/>
                                                          <w:marRight w:val="0"/>
                                                          <w:marTop w:val="0"/>
                                                          <w:marBottom w:val="0"/>
                                                          <w:divBdr>
                                                            <w:top w:val="none" w:sz="0" w:space="0" w:color="auto"/>
                                                            <w:left w:val="none" w:sz="0" w:space="0" w:color="auto"/>
                                                            <w:bottom w:val="none" w:sz="0" w:space="0" w:color="auto"/>
                                                            <w:right w:val="none" w:sz="0" w:space="0" w:color="auto"/>
                                                          </w:divBdr>
                                                          <w:divsChild>
                                                            <w:div w:id="763066110">
                                                              <w:marLeft w:val="0"/>
                                                              <w:marRight w:val="0"/>
                                                              <w:marTop w:val="0"/>
                                                              <w:marBottom w:val="0"/>
                                                              <w:divBdr>
                                                                <w:top w:val="none" w:sz="0" w:space="0" w:color="auto"/>
                                                                <w:left w:val="none" w:sz="0" w:space="0" w:color="auto"/>
                                                                <w:bottom w:val="none" w:sz="0" w:space="0" w:color="auto"/>
                                                                <w:right w:val="none" w:sz="0" w:space="0" w:color="auto"/>
                                                              </w:divBdr>
                                                            </w:div>
                                                          </w:divsChild>
                                                        </w:div>
                                                        <w:div w:id="1933470565">
                                                          <w:marLeft w:val="0"/>
                                                          <w:marRight w:val="0"/>
                                                          <w:marTop w:val="0"/>
                                                          <w:marBottom w:val="0"/>
                                                          <w:divBdr>
                                                            <w:top w:val="none" w:sz="0" w:space="0" w:color="auto"/>
                                                            <w:left w:val="none" w:sz="0" w:space="0" w:color="auto"/>
                                                            <w:bottom w:val="none" w:sz="0" w:space="0" w:color="auto"/>
                                                            <w:right w:val="none" w:sz="0" w:space="0" w:color="auto"/>
                                                          </w:divBdr>
                                                          <w:divsChild>
                                                            <w:div w:id="4871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5175674">
      <w:bodyDiv w:val="1"/>
      <w:marLeft w:val="30"/>
      <w:marRight w:val="30"/>
      <w:marTop w:val="30"/>
      <w:marBottom w:val="30"/>
      <w:divBdr>
        <w:top w:val="none" w:sz="0" w:space="0" w:color="auto"/>
        <w:left w:val="none" w:sz="0" w:space="0" w:color="auto"/>
        <w:bottom w:val="none" w:sz="0" w:space="0" w:color="auto"/>
        <w:right w:val="none" w:sz="0" w:space="0" w:color="auto"/>
      </w:divBdr>
      <w:divsChild>
        <w:div w:id="514458638">
          <w:marLeft w:val="0"/>
          <w:marRight w:val="0"/>
          <w:marTop w:val="0"/>
          <w:marBottom w:val="0"/>
          <w:divBdr>
            <w:top w:val="none" w:sz="0" w:space="0" w:color="auto"/>
            <w:left w:val="none" w:sz="0" w:space="0" w:color="auto"/>
            <w:bottom w:val="none" w:sz="0" w:space="0" w:color="auto"/>
            <w:right w:val="none" w:sz="0" w:space="0" w:color="auto"/>
          </w:divBdr>
          <w:divsChild>
            <w:div w:id="813722028">
              <w:marLeft w:val="45"/>
              <w:marRight w:val="45"/>
              <w:marTop w:val="45"/>
              <w:marBottom w:val="45"/>
              <w:divBdr>
                <w:top w:val="none" w:sz="0" w:space="0" w:color="auto"/>
                <w:left w:val="none" w:sz="0" w:space="0" w:color="auto"/>
                <w:bottom w:val="none" w:sz="0" w:space="0" w:color="auto"/>
                <w:right w:val="none" w:sz="0" w:space="0" w:color="auto"/>
              </w:divBdr>
              <w:divsChild>
                <w:div w:id="525683031">
                  <w:marLeft w:val="0"/>
                  <w:marRight w:val="0"/>
                  <w:marTop w:val="0"/>
                  <w:marBottom w:val="0"/>
                  <w:divBdr>
                    <w:top w:val="none" w:sz="0" w:space="0" w:color="auto"/>
                    <w:left w:val="none" w:sz="0" w:space="0" w:color="auto"/>
                    <w:bottom w:val="none" w:sz="0" w:space="0" w:color="auto"/>
                    <w:right w:val="none" w:sz="0" w:space="0" w:color="auto"/>
                  </w:divBdr>
                  <w:divsChild>
                    <w:div w:id="6368976">
                      <w:marLeft w:val="0"/>
                      <w:marRight w:val="0"/>
                      <w:marTop w:val="0"/>
                      <w:marBottom w:val="0"/>
                      <w:divBdr>
                        <w:top w:val="none" w:sz="0" w:space="0" w:color="auto"/>
                        <w:left w:val="none" w:sz="0" w:space="0" w:color="auto"/>
                        <w:bottom w:val="none" w:sz="0" w:space="0" w:color="auto"/>
                        <w:right w:val="none" w:sz="0" w:space="0" w:color="auto"/>
                      </w:divBdr>
                    </w:div>
                    <w:div w:id="414405411">
                      <w:blockQuote w:val="1"/>
                      <w:marLeft w:val="720"/>
                      <w:marRight w:val="720"/>
                      <w:marTop w:val="100"/>
                      <w:marBottom w:val="100"/>
                      <w:divBdr>
                        <w:top w:val="none" w:sz="0" w:space="0" w:color="auto"/>
                        <w:left w:val="none" w:sz="0" w:space="0" w:color="auto"/>
                        <w:bottom w:val="none" w:sz="0" w:space="0" w:color="auto"/>
                        <w:right w:val="none" w:sz="0" w:space="0" w:color="auto"/>
                      </w:divBdr>
                    </w:div>
                    <w:div w:id="444076598">
                      <w:blockQuote w:val="1"/>
                      <w:marLeft w:val="720"/>
                      <w:marRight w:val="720"/>
                      <w:marTop w:val="100"/>
                      <w:marBottom w:val="100"/>
                      <w:divBdr>
                        <w:top w:val="none" w:sz="0" w:space="0" w:color="auto"/>
                        <w:left w:val="none" w:sz="0" w:space="0" w:color="auto"/>
                        <w:bottom w:val="none" w:sz="0" w:space="0" w:color="auto"/>
                        <w:right w:val="none" w:sz="0" w:space="0" w:color="auto"/>
                      </w:divBdr>
                    </w:div>
                    <w:div w:id="587270410">
                      <w:blockQuote w:val="1"/>
                      <w:marLeft w:val="720"/>
                      <w:marRight w:val="720"/>
                      <w:marTop w:val="100"/>
                      <w:marBottom w:val="100"/>
                      <w:divBdr>
                        <w:top w:val="none" w:sz="0" w:space="0" w:color="auto"/>
                        <w:left w:val="none" w:sz="0" w:space="0" w:color="auto"/>
                        <w:bottom w:val="none" w:sz="0" w:space="0" w:color="auto"/>
                        <w:right w:val="none" w:sz="0" w:space="0" w:color="auto"/>
                      </w:divBdr>
                    </w:div>
                    <w:div w:id="636372121">
                      <w:marLeft w:val="0"/>
                      <w:marRight w:val="0"/>
                      <w:marTop w:val="0"/>
                      <w:marBottom w:val="0"/>
                      <w:divBdr>
                        <w:top w:val="none" w:sz="0" w:space="0" w:color="auto"/>
                        <w:left w:val="none" w:sz="0" w:space="0" w:color="auto"/>
                        <w:bottom w:val="none" w:sz="0" w:space="0" w:color="auto"/>
                        <w:right w:val="none" w:sz="0" w:space="0" w:color="auto"/>
                      </w:divBdr>
                    </w:div>
                    <w:div w:id="895815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36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727823">
                      <w:marLeft w:val="0"/>
                      <w:marRight w:val="0"/>
                      <w:marTop w:val="0"/>
                      <w:marBottom w:val="0"/>
                      <w:divBdr>
                        <w:top w:val="none" w:sz="0" w:space="0" w:color="auto"/>
                        <w:left w:val="none" w:sz="0" w:space="0" w:color="auto"/>
                        <w:bottom w:val="none" w:sz="0" w:space="0" w:color="auto"/>
                        <w:right w:val="none" w:sz="0" w:space="0" w:color="auto"/>
                      </w:divBdr>
                    </w:div>
                    <w:div w:id="1857648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17136768">
      <w:bodyDiv w:val="1"/>
      <w:marLeft w:val="0"/>
      <w:marRight w:val="0"/>
      <w:marTop w:val="0"/>
      <w:marBottom w:val="0"/>
      <w:divBdr>
        <w:top w:val="none" w:sz="0" w:space="0" w:color="auto"/>
        <w:left w:val="none" w:sz="0" w:space="0" w:color="auto"/>
        <w:bottom w:val="none" w:sz="0" w:space="0" w:color="auto"/>
        <w:right w:val="none" w:sz="0" w:space="0" w:color="auto"/>
      </w:divBdr>
      <w:divsChild>
        <w:div w:id="883369357">
          <w:marLeft w:val="0"/>
          <w:marRight w:val="150"/>
          <w:marTop w:val="0"/>
          <w:marBottom w:val="0"/>
          <w:divBdr>
            <w:top w:val="none" w:sz="0" w:space="0" w:color="auto"/>
            <w:left w:val="none" w:sz="0" w:space="0" w:color="auto"/>
            <w:bottom w:val="none" w:sz="0" w:space="0" w:color="auto"/>
            <w:right w:val="none" w:sz="0" w:space="0" w:color="auto"/>
          </w:divBdr>
          <w:divsChild>
            <w:div w:id="766194202">
              <w:marLeft w:val="0"/>
              <w:marRight w:val="0"/>
              <w:marTop w:val="0"/>
              <w:marBottom w:val="0"/>
              <w:divBdr>
                <w:top w:val="none" w:sz="0" w:space="0" w:color="auto"/>
                <w:left w:val="none" w:sz="0" w:space="0" w:color="auto"/>
                <w:bottom w:val="none" w:sz="0" w:space="0" w:color="auto"/>
                <w:right w:val="none" w:sz="0" w:space="0" w:color="auto"/>
              </w:divBdr>
              <w:divsChild>
                <w:div w:id="1013145711">
                  <w:marLeft w:val="0"/>
                  <w:marRight w:val="0"/>
                  <w:marTop w:val="0"/>
                  <w:marBottom w:val="0"/>
                  <w:divBdr>
                    <w:top w:val="none" w:sz="0" w:space="0" w:color="auto"/>
                    <w:left w:val="none" w:sz="0" w:space="0" w:color="auto"/>
                    <w:bottom w:val="none" w:sz="0" w:space="0" w:color="auto"/>
                    <w:right w:val="none" w:sz="0" w:space="0" w:color="auto"/>
                  </w:divBdr>
                  <w:divsChild>
                    <w:div w:id="85153969">
                      <w:marLeft w:val="0"/>
                      <w:marRight w:val="0"/>
                      <w:marTop w:val="0"/>
                      <w:marBottom w:val="0"/>
                      <w:divBdr>
                        <w:top w:val="none" w:sz="0" w:space="0" w:color="auto"/>
                        <w:left w:val="none" w:sz="0" w:space="0" w:color="auto"/>
                        <w:bottom w:val="none" w:sz="0" w:space="0" w:color="auto"/>
                        <w:right w:val="none" w:sz="0" w:space="0" w:color="auto"/>
                      </w:divBdr>
                    </w:div>
                    <w:div w:id="6485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84168">
      <w:bodyDiv w:val="1"/>
      <w:marLeft w:val="30"/>
      <w:marRight w:val="30"/>
      <w:marTop w:val="30"/>
      <w:marBottom w:val="30"/>
      <w:divBdr>
        <w:top w:val="none" w:sz="0" w:space="0" w:color="auto"/>
        <w:left w:val="none" w:sz="0" w:space="0" w:color="auto"/>
        <w:bottom w:val="none" w:sz="0" w:space="0" w:color="auto"/>
        <w:right w:val="none" w:sz="0" w:space="0" w:color="auto"/>
      </w:divBdr>
      <w:divsChild>
        <w:div w:id="682515857">
          <w:marLeft w:val="0"/>
          <w:marRight w:val="0"/>
          <w:marTop w:val="0"/>
          <w:marBottom w:val="0"/>
          <w:divBdr>
            <w:top w:val="none" w:sz="0" w:space="0" w:color="auto"/>
            <w:left w:val="none" w:sz="0" w:space="0" w:color="auto"/>
            <w:bottom w:val="none" w:sz="0" w:space="0" w:color="auto"/>
            <w:right w:val="none" w:sz="0" w:space="0" w:color="auto"/>
          </w:divBdr>
          <w:divsChild>
            <w:div w:id="1377000862">
              <w:marLeft w:val="45"/>
              <w:marRight w:val="45"/>
              <w:marTop w:val="45"/>
              <w:marBottom w:val="45"/>
              <w:divBdr>
                <w:top w:val="none" w:sz="0" w:space="0" w:color="auto"/>
                <w:left w:val="none" w:sz="0" w:space="0" w:color="auto"/>
                <w:bottom w:val="none" w:sz="0" w:space="0" w:color="auto"/>
                <w:right w:val="none" w:sz="0" w:space="0" w:color="auto"/>
              </w:divBdr>
              <w:divsChild>
                <w:div w:id="432215290">
                  <w:marLeft w:val="0"/>
                  <w:marRight w:val="0"/>
                  <w:marTop w:val="0"/>
                  <w:marBottom w:val="0"/>
                  <w:divBdr>
                    <w:top w:val="none" w:sz="0" w:space="0" w:color="auto"/>
                    <w:left w:val="none" w:sz="0" w:space="0" w:color="auto"/>
                    <w:bottom w:val="none" w:sz="0" w:space="0" w:color="auto"/>
                    <w:right w:val="none" w:sz="0" w:space="0" w:color="auto"/>
                  </w:divBdr>
                  <w:divsChild>
                    <w:div w:id="295110333">
                      <w:marLeft w:val="0"/>
                      <w:marRight w:val="0"/>
                      <w:marTop w:val="0"/>
                      <w:marBottom w:val="0"/>
                      <w:divBdr>
                        <w:top w:val="none" w:sz="0" w:space="0" w:color="auto"/>
                        <w:left w:val="none" w:sz="0" w:space="0" w:color="auto"/>
                        <w:bottom w:val="none" w:sz="0" w:space="0" w:color="auto"/>
                        <w:right w:val="none" w:sz="0" w:space="0" w:color="auto"/>
                      </w:divBdr>
                    </w:div>
                    <w:div w:id="4900248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083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036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729009">
      <w:bodyDiv w:val="1"/>
      <w:marLeft w:val="0"/>
      <w:marRight w:val="0"/>
      <w:marTop w:val="0"/>
      <w:marBottom w:val="0"/>
      <w:divBdr>
        <w:top w:val="none" w:sz="0" w:space="0" w:color="auto"/>
        <w:left w:val="none" w:sz="0" w:space="0" w:color="auto"/>
        <w:bottom w:val="none" w:sz="0" w:space="0" w:color="auto"/>
        <w:right w:val="none" w:sz="0" w:space="0" w:color="auto"/>
      </w:divBdr>
      <w:divsChild>
        <w:div w:id="481315946">
          <w:marLeft w:val="0"/>
          <w:marRight w:val="0"/>
          <w:marTop w:val="0"/>
          <w:marBottom w:val="0"/>
          <w:divBdr>
            <w:top w:val="none" w:sz="0" w:space="0" w:color="auto"/>
            <w:left w:val="single" w:sz="6" w:space="0" w:color="BBBBBB"/>
            <w:bottom w:val="single" w:sz="6" w:space="0" w:color="BBBBBB"/>
            <w:right w:val="single" w:sz="6" w:space="0" w:color="BBBBBB"/>
          </w:divBdr>
          <w:divsChild>
            <w:div w:id="1818843286">
              <w:marLeft w:val="0"/>
              <w:marRight w:val="0"/>
              <w:marTop w:val="0"/>
              <w:marBottom w:val="0"/>
              <w:divBdr>
                <w:top w:val="none" w:sz="0" w:space="0" w:color="auto"/>
                <w:left w:val="none" w:sz="0" w:space="0" w:color="auto"/>
                <w:bottom w:val="none" w:sz="0" w:space="0" w:color="auto"/>
                <w:right w:val="none" w:sz="0" w:space="0" w:color="auto"/>
              </w:divBdr>
              <w:divsChild>
                <w:div w:id="1087117803">
                  <w:marLeft w:val="0"/>
                  <w:marRight w:val="0"/>
                  <w:marTop w:val="0"/>
                  <w:marBottom w:val="0"/>
                  <w:divBdr>
                    <w:top w:val="none" w:sz="0" w:space="0" w:color="auto"/>
                    <w:left w:val="none" w:sz="0" w:space="0" w:color="auto"/>
                    <w:bottom w:val="none" w:sz="0" w:space="0" w:color="auto"/>
                    <w:right w:val="none" w:sz="0" w:space="0" w:color="auto"/>
                  </w:divBdr>
                  <w:divsChild>
                    <w:div w:id="1057242798">
                      <w:marLeft w:val="0"/>
                      <w:marRight w:val="0"/>
                      <w:marTop w:val="0"/>
                      <w:marBottom w:val="0"/>
                      <w:divBdr>
                        <w:top w:val="none" w:sz="0" w:space="0" w:color="auto"/>
                        <w:left w:val="none" w:sz="0" w:space="0" w:color="auto"/>
                        <w:bottom w:val="none" w:sz="0" w:space="0" w:color="auto"/>
                        <w:right w:val="none" w:sz="0" w:space="0" w:color="auto"/>
                      </w:divBdr>
                      <w:divsChild>
                        <w:div w:id="1554853593">
                          <w:marLeft w:val="0"/>
                          <w:marRight w:val="0"/>
                          <w:marTop w:val="0"/>
                          <w:marBottom w:val="0"/>
                          <w:divBdr>
                            <w:top w:val="none" w:sz="0" w:space="0" w:color="auto"/>
                            <w:left w:val="none" w:sz="0" w:space="0" w:color="auto"/>
                            <w:bottom w:val="none" w:sz="0" w:space="0" w:color="auto"/>
                            <w:right w:val="none" w:sz="0" w:space="0" w:color="auto"/>
                          </w:divBdr>
                          <w:divsChild>
                            <w:div w:id="1918975286">
                              <w:marLeft w:val="0"/>
                              <w:marRight w:val="0"/>
                              <w:marTop w:val="0"/>
                              <w:marBottom w:val="0"/>
                              <w:divBdr>
                                <w:top w:val="none" w:sz="0" w:space="0" w:color="auto"/>
                                <w:left w:val="none" w:sz="0" w:space="0" w:color="auto"/>
                                <w:bottom w:val="none" w:sz="0" w:space="0" w:color="auto"/>
                                <w:right w:val="none" w:sz="0" w:space="0" w:color="auto"/>
                              </w:divBdr>
                              <w:divsChild>
                                <w:div w:id="1977367803">
                                  <w:marLeft w:val="0"/>
                                  <w:marRight w:val="0"/>
                                  <w:marTop w:val="0"/>
                                  <w:marBottom w:val="0"/>
                                  <w:divBdr>
                                    <w:top w:val="none" w:sz="0" w:space="0" w:color="auto"/>
                                    <w:left w:val="none" w:sz="0" w:space="0" w:color="auto"/>
                                    <w:bottom w:val="none" w:sz="0" w:space="0" w:color="auto"/>
                                    <w:right w:val="none" w:sz="0" w:space="0" w:color="auto"/>
                                  </w:divBdr>
                                  <w:divsChild>
                                    <w:div w:id="1335492644">
                                      <w:marLeft w:val="0"/>
                                      <w:marRight w:val="0"/>
                                      <w:marTop w:val="0"/>
                                      <w:marBottom w:val="0"/>
                                      <w:divBdr>
                                        <w:top w:val="none" w:sz="0" w:space="0" w:color="auto"/>
                                        <w:left w:val="none" w:sz="0" w:space="0" w:color="auto"/>
                                        <w:bottom w:val="none" w:sz="0" w:space="0" w:color="auto"/>
                                        <w:right w:val="none" w:sz="0" w:space="0" w:color="auto"/>
                                      </w:divBdr>
                                      <w:divsChild>
                                        <w:div w:id="437604206">
                                          <w:marLeft w:val="1200"/>
                                          <w:marRight w:val="1200"/>
                                          <w:marTop w:val="0"/>
                                          <w:marBottom w:val="0"/>
                                          <w:divBdr>
                                            <w:top w:val="none" w:sz="0" w:space="0" w:color="auto"/>
                                            <w:left w:val="none" w:sz="0" w:space="0" w:color="auto"/>
                                            <w:bottom w:val="none" w:sz="0" w:space="0" w:color="auto"/>
                                            <w:right w:val="none" w:sz="0" w:space="0" w:color="auto"/>
                                          </w:divBdr>
                                          <w:divsChild>
                                            <w:div w:id="328480919">
                                              <w:marLeft w:val="0"/>
                                              <w:marRight w:val="0"/>
                                              <w:marTop w:val="0"/>
                                              <w:marBottom w:val="0"/>
                                              <w:divBdr>
                                                <w:top w:val="none" w:sz="0" w:space="0" w:color="auto"/>
                                                <w:left w:val="none" w:sz="0" w:space="0" w:color="auto"/>
                                                <w:bottom w:val="none" w:sz="0" w:space="0" w:color="auto"/>
                                                <w:right w:val="none" w:sz="0" w:space="0" w:color="auto"/>
                                              </w:divBdr>
                                              <w:divsChild>
                                                <w:div w:id="415520888">
                                                  <w:marLeft w:val="0"/>
                                                  <w:marRight w:val="0"/>
                                                  <w:marTop w:val="0"/>
                                                  <w:marBottom w:val="0"/>
                                                  <w:divBdr>
                                                    <w:top w:val="none" w:sz="0" w:space="0" w:color="auto"/>
                                                    <w:left w:val="none" w:sz="0" w:space="0" w:color="auto"/>
                                                    <w:bottom w:val="none" w:sz="0" w:space="0" w:color="auto"/>
                                                    <w:right w:val="none" w:sz="0" w:space="0" w:color="auto"/>
                                                  </w:divBdr>
                                                  <w:divsChild>
                                                    <w:div w:id="738526976">
                                                      <w:marLeft w:val="0"/>
                                                      <w:marRight w:val="0"/>
                                                      <w:marTop w:val="0"/>
                                                      <w:marBottom w:val="0"/>
                                                      <w:divBdr>
                                                        <w:top w:val="none" w:sz="0" w:space="0" w:color="auto"/>
                                                        <w:left w:val="none" w:sz="0" w:space="0" w:color="auto"/>
                                                        <w:bottom w:val="none" w:sz="0" w:space="0" w:color="auto"/>
                                                        <w:right w:val="none" w:sz="0" w:space="0" w:color="auto"/>
                                                      </w:divBdr>
                                                      <w:divsChild>
                                                        <w:div w:id="386952411">
                                                          <w:marLeft w:val="0"/>
                                                          <w:marRight w:val="0"/>
                                                          <w:marTop w:val="0"/>
                                                          <w:marBottom w:val="0"/>
                                                          <w:divBdr>
                                                            <w:top w:val="none" w:sz="0" w:space="0" w:color="auto"/>
                                                            <w:left w:val="none" w:sz="0" w:space="0" w:color="auto"/>
                                                            <w:bottom w:val="none" w:sz="0" w:space="0" w:color="auto"/>
                                                            <w:right w:val="none" w:sz="0" w:space="0" w:color="auto"/>
                                                          </w:divBdr>
                                                          <w:divsChild>
                                                            <w:div w:id="1099255791">
                                                              <w:marLeft w:val="0"/>
                                                              <w:marRight w:val="0"/>
                                                              <w:marTop w:val="0"/>
                                                              <w:marBottom w:val="0"/>
                                                              <w:divBdr>
                                                                <w:top w:val="none" w:sz="0" w:space="0" w:color="auto"/>
                                                                <w:left w:val="none" w:sz="0" w:space="0" w:color="auto"/>
                                                                <w:bottom w:val="none" w:sz="0" w:space="0" w:color="auto"/>
                                                                <w:right w:val="none" w:sz="0" w:space="0" w:color="auto"/>
                                                              </w:divBdr>
                                                              <w:divsChild>
                                                                <w:div w:id="91750578">
                                                                  <w:marLeft w:val="0"/>
                                                                  <w:marRight w:val="0"/>
                                                                  <w:marTop w:val="0"/>
                                                                  <w:marBottom w:val="0"/>
                                                                  <w:divBdr>
                                                                    <w:top w:val="none" w:sz="0" w:space="0" w:color="auto"/>
                                                                    <w:left w:val="none" w:sz="0" w:space="0" w:color="auto"/>
                                                                    <w:bottom w:val="none" w:sz="0" w:space="0" w:color="auto"/>
                                                                    <w:right w:val="none" w:sz="0" w:space="0" w:color="auto"/>
                                                                  </w:divBdr>
                                                                  <w:divsChild>
                                                                    <w:div w:id="617568165">
                                                                      <w:marLeft w:val="0"/>
                                                                      <w:marRight w:val="0"/>
                                                                      <w:marTop w:val="0"/>
                                                                      <w:marBottom w:val="0"/>
                                                                      <w:divBdr>
                                                                        <w:top w:val="none" w:sz="0" w:space="0" w:color="auto"/>
                                                                        <w:left w:val="none" w:sz="0" w:space="0" w:color="auto"/>
                                                                        <w:bottom w:val="none" w:sz="0" w:space="0" w:color="auto"/>
                                                                        <w:right w:val="none" w:sz="0" w:space="0" w:color="auto"/>
                                                                      </w:divBdr>
                                                                      <w:divsChild>
                                                                        <w:div w:id="291598858">
                                                                          <w:marLeft w:val="0"/>
                                                                          <w:marRight w:val="0"/>
                                                                          <w:marTop w:val="0"/>
                                                                          <w:marBottom w:val="0"/>
                                                                          <w:divBdr>
                                                                            <w:top w:val="none" w:sz="0" w:space="0" w:color="auto"/>
                                                                            <w:left w:val="none" w:sz="0" w:space="0" w:color="auto"/>
                                                                            <w:bottom w:val="none" w:sz="0" w:space="0" w:color="auto"/>
                                                                            <w:right w:val="none" w:sz="0" w:space="0" w:color="auto"/>
                                                                          </w:divBdr>
                                                                        </w:div>
                                                                      </w:divsChild>
                                                                    </w:div>
                                                                    <w:div w:id="1528375820">
                                                                      <w:marLeft w:val="0"/>
                                                                      <w:marRight w:val="0"/>
                                                                      <w:marTop w:val="0"/>
                                                                      <w:marBottom w:val="0"/>
                                                                      <w:divBdr>
                                                                        <w:top w:val="none" w:sz="0" w:space="0" w:color="auto"/>
                                                                        <w:left w:val="none" w:sz="0" w:space="0" w:color="auto"/>
                                                                        <w:bottom w:val="none" w:sz="0" w:space="0" w:color="auto"/>
                                                                        <w:right w:val="none" w:sz="0" w:space="0" w:color="auto"/>
                                                                      </w:divBdr>
                                                                      <w:divsChild>
                                                                        <w:div w:id="198269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6929430">
      <w:bodyDiv w:val="1"/>
      <w:marLeft w:val="0"/>
      <w:marRight w:val="0"/>
      <w:marTop w:val="0"/>
      <w:marBottom w:val="0"/>
      <w:divBdr>
        <w:top w:val="none" w:sz="0" w:space="0" w:color="auto"/>
        <w:left w:val="none" w:sz="0" w:space="0" w:color="auto"/>
        <w:bottom w:val="none" w:sz="0" w:space="0" w:color="auto"/>
        <w:right w:val="none" w:sz="0" w:space="0" w:color="auto"/>
      </w:divBdr>
      <w:divsChild>
        <w:div w:id="1557162866">
          <w:marLeft w:val="0"/>
          <w:marRight w:val="0"/>
          <w:marTop w:val="0"/>
          <w:marBottom w:val="0"/>
          <w:divBdr>
            <w:top w:val="none" w:sz="0" w:space="0" w:color="auto"/>
            <w:left w:val="single" w:sz="6" w:space="0" w:color="BBBBBB"/>
            <w:bottom w:val="single" w:sz="6" w:space="0" w:color="BBBBBB"/>
            <w:right w:val="single" w:sz="6" w:space="0" w:color="BBBBBB"/>
          </w:divBdr>
          <w:divsChild>
            <w:div w:id="2123916337">
              <w:marLeft w:val="0"/>
              <w:marRight w:val="0"/>
              <w:marTop w:val="0"/>
              <w:marBottom w:val="0"/>
              <w:divBdr>
                <w:top w:val="none" w:sz="0" w:space="0" w:color="auto"/>
                <w:left w:val="none" w:sz="0" w:space="0" w:color="auto"/>
                <w:bottom w:val="none" w:sz="0" w:space="0" w:color="auto"/>
                <w:right w:val="none" w:sz="0" w:space="0" w:color="auto"/>
              </w:divBdr>
              <w:divsChild>
                <w:div w:id="1792091162">
                  <w:marLeft w:val="0"/>
                  <w:marRight w:val="0"/>
                  <w:marTop w:val="0"/>
                  <w:marBottom w:val="0"/>
                  <w:divBdr>
                    <w:top w:val="none" w:sz="0" w:space="0" w:color="auto"/>
                    <w:left w:val="none" w:sz="0" w:space="0" w:color="auto"/>
                    <w:bottom w:val="none" w:sz="0" w:space="0" w:color="auto"/>
                    <w:right w:val="none" w:sz="0" w:space="0" w:color="auto"/>
                  </w:divBdr>
                  <w:divsChild>
                    <w:div w:id="2060744081">
                      <w:marLeft w:val="0"/>
                      <w:marRight w:val="0"/>
                      <w:marTop w:val="0"/>
                      <w:marBottom w:val="0"/>
                      <w:divBdr>
                        <w:top w:val="none" w:sz="0" w:space="0" w:color="auto"/>
                        <w:left w:val="none" w:sz="0" w:space="0" w:color="auto"/>
                        <w:bottom w:val="none" w:sz="0" w:space="0" w:color="auto"/>
                        <w:right w:val="none" w:sz="0" w:space="0" w:color="auto"/>
                      </w:divBdr>
                      <w:divsChild>
                        <w:div w:id="2076583999">
                          <w:marLeft w:val="0"/>
                          <w:marRight w:val="0"/>
                          <w:marTop w:val="0"/>
                          <w:marBottom w:val="0"/>
                          <w:divBdr>
                            <w:top w:val="none" w:sz="0" w:space="0" w:color="auto"/>
                            <w:left w:val="none" w:sz="0" w:space="0" w:color="auto"/>
                            <w:bottom w:val="none" w:sz="0" w:space="0" w:color="auto"/>
                            <w:right w:val="none" w:sz="0" w:space="0" w:color="auto"/>
                          </w:divBdr>
                          <w:divsChild>
                            <w:div w:id="2026052873">
                              <w:marLeft w:val="0"/>
                              <w:marRight w:val="0"/>
                              <w:marTop w:val="0"/>
                              <w:marBottom w:val="0"/>
                              <w:divBdr>
                                <w:top w:val="none" w:sz="0" w:space="0" w:color="auto"/>
                                <w:left w:val="none" w:sz="0" w:space="0" w:color="auto"/>
                                <w:bottom w:val="none" w:sz="0" w:space="0" w:color="auto"/>
                                <w:right w:val="none" w:sz="0" w:space="0" w:color="auto"/>
                              </w:divBdr>
                              <w:divsChild>
                                <w:div w:id="29499964">
                                  <w:marLeft w:val="0"/>
                                  <w:marRight w:val="0"/>
                                  <w:marTop w:val="0"/>
                                  <w:marBottom w:val="0"/>
                                  <w:divBdr>
                                    <w:top w:val="none" w:sz="0" w:space="0" w:color="auto"/>
                                    <w:left w:val="none" w:sz="0" w:space="0" w:color="auto"/>
                                    <w:bottom w:val="none" w:sz="0" w:space="0" w:color="auto"/>
                                    <w:right w:val="none" w:sz="0" w:space="0" w:color="auto"/>
                                  </w:divBdr>
                                  <w:divsChild>
                                    <w:div w:id="597830395">
                                      <w:marLeft w:val="0"/>
                                      <w:marRight w:val="0"/>
                                      <w:marTop w:val="0"/>
                                      <w:marBottom w:val="0"/>
                                      <w:divBdr>
                                        <w:top w:val="none" w:sz="0" w:space="0" w:color="auto"/>
                                        <w:left w:val="none" w:sz="0" w:space="0" w:color="auto"/>
                                        <w:bottom w:val="none" w:sz="0" w:space="0" w:color="auto"/>
                                        <w:right w:val="none" w:sz="0" w:space="0" w:color="auto"/>
                                      </w:divBdr>
                                      <w:divsChild>
                                        <w:div w:id="644286282">
                                          <w:marLeft w:val="1200"/>
                                          <w:marRight w:val="1200"/>
                                          <w:marTop w:val="0"/>
                                          <w:marBottom w:val="0"/>
                                          <w:divBdr>
                                            <w:top w:val="none" w:sz="0" w:space="0" w:color="auto"/>
                                            <w:left w:val="none" w:sz="0" w:space="0" w:color="auto"/>
                                            <w:bottom w:val="none" w:sz="0" w:space="0" w:color="auto"/>
                                            <w:right w:val="none" w:sz="0" w:space="0" w:color="auto"/>
                                          </w:divBdr>
                                          <w:divsChild>
                                            <w:div w:id="35356198">
                                              <w:marLeft w:val="0"/>
                                              <w:marRight w:val="0"/>
                                              <w:marTop w:val="0"/>
                                              <w:marBottom w:val="0"/>
                                              <w:divBdr>
                                                <w:top w:val="none" w:sz="0" w:space="0" w:color="auto"/>
                                                <w:left w:val="none" w:sz="0" w:space="0" w:color="auto"/>
                                                <w:bottom w:val="none" w:sz="0" w:space="0" w:color="auto"/>
                                                <w:right w:val="none" w:sz="0" w:space="0" w:color="auto"/>
                                              </w:divBdr>
                                              <w:divsChild>
                                                <w:div w:id="428504169">
                                                  <w:marLeft w:val="0"/>
                                                  <w:marRight w:val="0"/>
                                                  <w:marTop w:val="0"/>
                                                  <w:marBottom w:val="0"/>
                                                  <w:divBdr>
                                                    <w:top w:val="none" w:sz="0" w:space="0" w:color="auto"/>
                                                    <w:left w:val="none" w:sz="0" w:space="0" w:color="auto"/>
                                                    <w:bottom w:val="none" w:sz="0" w:space="0" w:color="auto"/>
                                                    <w:right w:val="none" w:sz="0" w:space="0" w:color="auto"/>
                                                  </w:divBdr>
                                                  <w:divsChild>
                                                    <w:div w:id="1988434289">
                                                      <w:marLeft w:val="0"/>
                                                      <w:marRight w:val="0"/>
                                                      <w:marTop w:val="0"/>
                                                      <w:marBottom w:val="0"/>
                                                      <w:divBdr>
                                                        <w:top w:val="none" w:sz="0" w:space="0" w:color="auto"/>
                                                        <w:left w:val="none" w:sz="0" w:space="0" w:color="auto"/>
                                                        <w:bottom w:val="none" w:sz="0" w:space="0" w:color="auto"/>
                                                        <w:right w:val="none" w:sz="0" w:space="0" w:color="auto"/>
                                                      </w:divBdr>
                                                      <w:divsChild>
                                                        <w:div w:id="244537136">
                                                          <w:marLeft w:val="0"/>
                                                          <w:marRight w:val="0"/>
                                                          <w:marTop w:val="0"/>
                                                          <w:marBottom w:val="0"/>
                                                          <w:divBdr>
                                                            <w:top w:val="none" w:sz="0" w:space="0" w:color="auto"/>
                                                            <w:left w:val="none" w:sz="0" w:space="0" w:color="auto"/>
                                                            <w:bottom w:val="none" w:sz="0" w:space="0" w:color="auto"/>
                                                            <w:right w:val="none" w:sz="0" w:space="0" w:color="auto"/>
                                                          </w:divBdr>
                                                          <w:divsChild>
                                                            <w:div w:id="107893819">
                                                              <w:marLeft w:val="0"/>
                                                              <w:marRight w:val="0"/>
                                                              <w:marTop w:val="0"/>
                                                              <w:marBottom w:val="0"/>
                                                              <w:divBdr>
                                                                <w:top w:val="none" w:sz="0" w:space="0" w:color="auto"/>
                                                                <w:left w:val="none" w:sz="0" w:space="0" w:color="auto"/>
                                                                <w:bottom w:val="none" w:sz="0" w:space="0" w:color="auto"/>
                                                                <w:right w:val="none" w:sz="0" w:space="0" w:color="auto"/>
                                                              </w:divBdr>
                                                              <w:divsChild>
                                                                <w:div w:id="862018780">
                                                                  <w:marLeft w:val="0"/>
                                                                  <w:marRight w:val="0"/>
                                                                  <w:marTop w:val="0"/>
                                                                  <w:marBottom w:val="0"/>
                                                                  <w:divBdr>
                                                                    <w:top w:val="none" w:sz="0" w:space="0" w:color="auto"/>
                                                                    <w:left w:val="none" w:sz="0" w:space="0" w:color="auto"/>
                                                                    <w:bottom w:val="none" w:sz="0" w:space="0" w:color="auto"/>
                                                                    <w:right w:val="none" w:sz="0" w:space="0" w:color="auto"/>
                                                                  </w:divBdr>
                                                                  <w:divsChild>
                                                                    <w:div w:id="320542176">
                                                                      <w:marLeft w:val="0"/>
                                                                      <w:marRight w:val="0"/>
                                                                      <w:marTop w:val="0"/>
                                                                      <w:marBottom w:val="0"/>
                                                                      <w:divBdr>
                                                                        <w:top w:val="none" w:sz="0" w:space="0" w:color="auto"/>
                                                                        <w:left w:val="none" w:sz="0" w:space="0" w:color="auto"/>
                                                                        <w:bottom w:val="none" w:sz="0" w:space="0" w:color="auto"/>
                                                                        <w:right w:val="none" w:sz="0" w:space="0" w:color="auto"/>
                                                                      </w:divBdr>
                                                                      <w:divsChild>
                                                                        <w:div w:id="326596807">
                                                                          <w:marLeft w:val="0"/>
                                                                          <w:marRight w:val="0"/>
                                                                          <w:marTop w:val="0"/>
                                                                          <w:marBottom w:val="0"/>
                                                                          <w:divBdr>
                                                                            <w:top w:val="none" w:sz="0" w:space="0" w:color="auto"/>
                                                                            <w:left w:val="none" w:sz="0" w:space="0" w:color="auto"/>
                                                                            <w:bottom w:val="none" w:sz="0" w:space="0" w:color="auto"/>
                                                                            <w:right w:val="none" w:sz="0" w:space="0" w:color="auto"/>
                                                                          </w:divBdr>
                                                                        </w:div>
                                                                      </w:divsChild>
                                                                    </w:div>
                                                                    <w:div w:id="357974138">
                                                                      <w:marLeft w:val="0"/>
                                                                      <w:marRight w:val="0"/>
                                                                      <w:marTop w:val="0"/>
                                                                      <w:marBottom w:val="0"/>
                                                                      <w:divBdr>
                                                                        <w:top w:val="none" w:sz="0" w:space="0" w:color="auto"/>
                                                                        <w:left w:val="none" w:sz="0" w:space="0" w:color="auto"/>
                                                                        <w:bottom w:val="none" w:sz="0" w:space="0" w:color="auto"/>
                                                                        <w:right w:val="none" w:sz="0" w:space="0" w:color="auto"/>
                                                                      </w:divBdr>
                                                                      <w:divsChild>
                                                                        <w:div w:id="625355523">
                                                                          <w:marLeft w:val="0"/>
                                                                          <w:marRight w:val="0"/>
                                                                          <w:marTop w:val="0"/>
                                                                          <w:marBottom w:val="0"/>
                                                                          <w:divBdr>
                                                                            <w:top w:val="none" w:sz="0" w:space="0" w:color="auto"/>
                                                                            <w:left w:val="none" w:sz="0" w:space="0" w:color="auto"/>
                                                                            <w:bottom w:val="none" w:sz="0" w:space="0" w:color="auto"/>
                                                                            <w:right w:val="none" w:sz="0" w:space="0" w:color="auto"/>
                                                                          </w:divBdr>
                                                                        </w:div>
                                                                      </w:divsChild>
                                                                    </w:div>
                                                                    <w:div w:id="1711805480">
                                                                      <w:marLeft w:val="0"/>
                                                                      <w:marRight w:val="0"/>
                                                                      <w:marTop w:val="0"/>
                                                                      <w:marBottom w:val="0"/>
                                                                      <w:divBdr>
                                                                        <w:top w:val="none" w:sz="0" w:space="0" w:color="auto"/>
                                                                        <w:left w:val="none" w:sz="0" w:space="0" w:color="auto"/>
                                                                        <w:bottom w:val="none" w:sz="0" w:space="0" w:color="auto"/>
                                                                        <w:right w:val="none" w:sz="0" w:space="0" w:color="auto"/>
                                                                      </w:divBdr>
                                                                      <w:divsChild>
                                                                        <w:div w:id="97911434">
                                                                          <w:marLeft w:val="0"/>
                                                                          <w:marRight w:val="0"/>
                                                                          <w:marTop w:val="0"/>
                                                                          <w:marBottom w:val="0"/>
                                                                          <w:divBdr>
                                                                            <w:top w:val="none" w:sz="0" w:space="0" w:color="auto"/>
                                                                            <w:left w:val="none" w:sz="0" w:space="0" w:color="auto"/>
                                                                            <w:bottom w:val="none" w:sz="0" w:space="0" w:color="auto"/>
                                                                            <w:right w:val="none" w:sz="0" w:space="0" w:color="auto"/>
                                                                          </w:divBdr>
                                                                        </w:div>
                                                                      </w:divsChild>
                                                                    </w:div>
                                                                    <w:div w:id="1909337152">
                                                                      <w:marLeft w:val="0"/>
                                                                      <w:marRight w:val="0"/>
                                                                      <w:marTop w:val="0"/>
                                                                      <w:marBottom w:val="0"/>
                                                                      <w:divBdr>
                                                                        <w:top w:val="none" w:sz="0" w:space="0" w:color="auto"/>
                                                                        <w:left w:val="none" w:sz="0" w:space="0" w:color="auto"/>
                                                                        <w:bottom w:val="none" w:sz="0" w:space="0" w:color="auto"/>
                                                                        <w:right w:val="none" w:sz="0" w:space="0" w:color="auto"/>
                                                                      </w:divBdr>
                                                                      <w:divsChild>
                                                                        <w:div w:id="15297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054153">
      <w:bodyDiv w:val="1"/>
      <w:marLeft w:val="0"/>
      <w:marRight w:val="0"/>
      <w:marTop w:val="0"/>
      <w:marBottom w:val="0"/>
      <w:divBdr>
        <w:top w:val="none" w:sz="0" w:space="0" w:color="auto"/>
        <w:left w:val="none" w:sz="0" w:space="0" w:color="auto"/>
        <w:bottom w:val="none" w:sz="0" w:space="0" w:color="auto"/>
        <w:right w:val="none" w:sz="0" w:space="0" w:color="auto"/>
      </w:divBdr>
      <w:divsChild>
        <w:div w:id="394352627">
          <w:marLeft w:val="0"/>
          <w:marRight w:val="0"/>
          <w:marTop w:val="0"/>
          <w:marBottom w:val="0"/>
          <w:divBdr>
            <w:top w:val="none" w:sz="0" w:space="0" w:color="auto"/>
            <w:left w:val="single" w:sz="6" w:space="0" w:color="BBBBBB"/>
            <w:bottom w:val="single" w:sz="6" w:space="0" w:color="BBBBBB"/>
            <w:right w:val="single" w:sz="6" w:space="0" w:color="BBBBBB"/>
          </w:divBdr>
          <w:divsChild>
            <w:div w:id="745610800">
              <w:marLeft w:val="0"/>
              <w:marRight w:val="0"/>
              <w:marTop w:val="0"/>
              <w:marBottom w:val="0"/>
              <w:divBdr>
                <w:top w:val="none" w:sz="0" w:space="0" w:color="auto"/>
                <w:left w:val="none" w:sz="0" w:space="0" w:color="auto"/>
                <w:bottom w:val="none" w:sz="0" w:space="0" w:color="auto"/>
                <w:right w:val="none" w:sz="0" w:space="0" w:color="auto"/>
              </w:divBdr>
              <w:divsChild>
                <w:div w:id="516042546">
                  <w:marLeft w:val="0"/>
                  <w:marRight w:val="0"/>
                  <w:marTop w:val="75"/>
                  <w:marBottom w:val="0"/>
                  <w:divBdr>
                    <w:top w:val="none" w:sz="0" w:space="0" w:color="auto"/>
                    <w:left w:val="none" w:sz="0" w:space="0" w:color="auto"/>
                    <w:bottom w:val="none" w:sz="0" w:space="0" w:color="auto"/>
                    <w:right w:val="none" w:sz="0" w:space="0" w:color="auto"/>
                  </w:divBdr>
                  <w:divsChild>
                    <w:div w:id="1932938">
                      <w:marLeft w:val="0"/>
                      <w:marRight w:val="0"/>
                      <w:marTop w:val="0"/>
                      <w:marBottom w:val="0"/>
                      <w:divBdr>
                        <w:top w:val="none" w:sz="0" w:space="0" w:color="auto"/>
                        <w:left w:val="none" w:sz="0" w:space="0" w:color="auto"/>
                        <w:bottom w:val="none" w:sz="0" w:space="0" w:color="auto"/>
                        <w:right w:val="none" w:sz="0" w:space="0" w:color="auto"/>
                      </w:divBdr>
                      <w:divsChild>
                        <w:div w:id="1529562754">
                          <w:marLeft w:val="0"/>
                          <w:marRight w:val="0"/>
                          <w:marTop w:val="0"/>
                          <w:marBottom w:val="0"/>
                          <w:divBdr>
                            <w:top w:val="none" w:sz="0" w:space="0" w:color="auto"/>
                            <w:left w:val="none" w:sz="0" w:space="0" w:color="auto"/>
                            <w:bottom w:val="none" w:sz="0" w:space="0" w:color="auto"/>
                            <w:right w:val="none" w:sz="0" w:space="0" w:color="auto"/>
                          </w:divBdr>
                          <w:divsChild>
                            <w:div w:id="1790275254">
                              <w:marLeft w:val="0"/>
                              <w:marRight w:val="0"/>
                              <w:marTop w:val="0"/>
                              <w:marBottom w:val="0"/>
                              <w:divBdr>
                                <w:top w:val="none" w:sz="0" w:space="0" w:color="auto"/>
                                <w:left w:val="none" w:sz="0" w:space="0" w:color="auto"/>
                                <w:bottom w:val="none" w:sz="0" w:space="0" w:color="auto"/>
                                <w:right w:val="none" w:sz="0" w:space="0" w:color="auto"/>
                              </w:divBdr>
                              <w:divsChild>
                                <w:div w:id="152180073">
                                  <w:marLeft w:val="0"/>
                                  <w:marRight w:val="0"/>
                                  <w:marTop w:val="0"/>
                                  <w:marBottom w:val="0"/>
                                  <w:divBdr>
                                    <w:top w:val="none" w:sz="0" w:space="0" w:color="auto"/>
                                    <w:left w:val="none" w:sz="0" w:space="0" w:color="auto"/>
                                    <w:bottom w:val="none" w:sz="0" w:space="0" w:color="auto"/>
                                    <w:right w:val="none" w:sz="0" w:space="0" w:color="auto"/>
                                  </w:divBdr>
                                  <w:divsChild>
                                    <w:div w:id="188836915">
                                      <w:marLeft w:val="0"/>
                                      <w:marRight w:val="0"/>
                                      <w:marTop w:val="0"/>
                                      <w:marBottom w:val="0"/>
                                      <w:divBdr>
                                        <w:top w:val="none" w:sz="0" w:space="0" w:color="auto"/>
                                        <w:left w:val="none" w:sz="0" w:space="0" w:color="auto"/>
                                        <w:bottom w:val="none" w:sz="0" w:space="0" w:color="auto"/>
                                        <w:right w:val="none" w:sz="0" w:space="0" w:color="auto"/>
                                      </w:divBdr>
                                      <w:divsChild>
                                        <w:div w:id="2091585177">
                                          <w:marLeft w:val="1200"/>
                                          <w:marRight w:val="1200"/>
                                          <w:marTop w:val="0"/>
                                          <w:marBottom w:val="0"/>
                                          <w:divBdr>
                                            <w:top w:val="none" w:sz="0" w:space="0" w:color="auto"/>
                                            <w:left w:val="none" w:sz="0" w:space="0" w:color="auto"/>
                                            <w:bottom w:val="none" w:sz="0" w:space="0" w:color="auto"/>
                                            <w:right w:val="none" w:sz="0" w:space="0" w:color="auto"/>
                                          </w:divBdr>
                                          <w:divsChild>
                                            <w:div w:id="1758593885">
                                              <w:marLeft w:val="0"/>
                                              <w:marRight w:val="0"/>
                                              <w:marTop w:val="0"/>
                                              <w:marBottom w:val="0"/>
                                              <w:divBdr>
                                                <w:top w:val="none" w:sz="0" w:space="0" w:color="auto"/>
                                                <w:left w:val="none" w:sz="0" w:space="0" w:color="auto"/>
                                                <w:bottom w:val="none" w:sz="0" w:space="0" w:color="auto"/>
                                                <w:right w:val="none" w:sz="0" w:space="0" w:color="auto"/>
                                              </w:divBdr>
                                              <w:divsChild>
                                                <w:div w:id="138812337">
                                                  <w:marLeft w:val="0"/>
                                                  <w:marRight w:val="0"/>
                                                  <w:marTop w:val="0"/>
                                                  <w:marBottom w:val="0"/>
                                                  <w:divBdr>
                                                    <w:top w:val="none" w:sz="0" w:space="0" w:color="auto"/>
                                                    <w:left w:val="none" w:sz="0" w:space="0" w:color="auto"/>
                                                    <w:bottom w:val="none" w:sz="0" w:space="0" w:color="auto"/>
                                                    <w:right w:val="none" w:sz="0" w:space="0" w:color="auto"/>
                                                  </w:divBdr>
                                                  <w:divsChild>
                                                    <w:div w:id="2061325912">
                                                      <w:marLeft w:val="0"/>
                                                      <w:marRight w:val="0"/>
                                                      <w:marTop w:val="0"/>
                                                      <w:marBottom w:val="0"/>
                                                      <w:divBdr>
                                                        <w:top w:val="none" w:sz="0" w:space="0" w:color="auto"/>
                                                        <w:left w:val="none" w:sz="0" w:space="0" w:color="auto"/>
                                                        <w:bottom w:val="none" w:sz="0" w:space="0" w:color="auto"/>
                                                        <w:right w:val="none" w:sz="0" w:space="0" w:color="auto"/>
                                                      </w:divBdr>
                                                      <w:divsChild>
                                                        <w:div w:id="1132551251">
                                                          <w:marLeft w:val="0"/>
                                                          <w:marRight w:val="0"/>
                                                          <w:marTop w:val="0"/>
                                                          <w:marBottom w:val="0"/>
                                                          <w:divBdr>
                                                            <w:top w:val="none" w:sz="0" w:space="0" w:color="auto"/>
                                                            <w:left w:val="none" w:sz="0" w:space="0" w:color="auto"/>
                                                            <w:bottom w:val="none" w:sz="0" w:space="0" w:color="auto"/>
                                                            <w:right w:val="none" w:sz="0" w:space="0" w:color="auto"/>
                                                          </w:divBdr>
                                                          <w:divsChild>
                                                            <w:div w:id="201137950">
                                                              <w:marLeft w:val="0"/>
                                                              <w:marRight w:val="0"/>
                                                              <w:marTop w:val="0"/>
                                                              <w:marBottom w:val="0"/>
                                                              <w:divBdr>
                                                                <w:top w:val="none" w:sz="0" w:space="0" w:color="auto"/>
                                                                <w:left w:val="none" w:sz="0" w:space="0" w:color="auto"/>
                                                                <w:bottom w:val="none" w:sz="0" w:space="0" w:color="auto"/>
                                                                <w:right w:val="none" w:sz="0" w:space="0" w:color="auto"/>
                                                              </w:divBdr>
                                                              <w:divsChild>
                                                                <w:div w:id="1994260880">
                                                                  <w:marLeft w:val="0"/>
                                                                  <w:marRight w:val="0"/>
                                                                  <w:marTop w:val="0"/>
                                                                  <w:marBottom w:val="0"/>
                                                                  <w:divBdr>
                                                                    <w:top w:val="none" w:sz="0" w:space="0" w:color="auto"/>
                                                                    <w:left w:val="none" w:sz="0" w:space="0" w:color="auto"/>
                                                                    <w:bottom w:val="none" w:sz="0" w:space="0" w:color="auto"/>
                                                                    <w:right w:val="none" w:sz="0" w:space="0" w:color="auto"/>
                                                                  </w:divBdr>
                                                                  <w:divsChild>
                                                                    <w:div w:id="290787919">
                                                                      <w:marLeft w:val="0"/>
                                                                      <w:marRight w:val="0"/>
                                                                      <w:marTop w:val="0"/>
                                                                      <w:marBottom w:val="0"/>
                                                                      <w:divBdr>
                                                                        <w:top w:val="none" w:sz="0" w:space="0" w:color="auto"/>
                                                                        <w:left w:val="none" w:sz="0" w:space="0" w:color="auto"/>
                                                                        <w:bottom w:val="none" w:sz="0" w:space="0" w:color="auto"/>
                                                                        <w:right w:val="none" w:sz="0" w:space="0" w:color="auto"/>
                                                                      </w:divBdr>
                                                                      <w:divsChild>
                                                                        <w:div w:id="142701723">
                                                                          <w:marLeft w:val="0"/>
                                                                          <w:marRight w:val="0"/>
                                                                          <w:marTop w:val="0"/>
                                                                          <w:marBottom w:val="0"/>
                                                                          <w:divBdr>
                                                                            <w:top w:val="none" w:sz="0" w:space="0" w:color="auto"/>
                                                                            <w:left w:val="none" w:sz="0" w:space="0" w:color="auto"/>
                                                                            <w:bottom w:val="none" w:sz="0" w:space="0" w:color="auto"/>
                                                                            <w:right w:val="none" w:sz="0" w:space="0" w:color="auto"/>
                                                                          </w:divBdr>
                                                                        </w:div>
                                                                      </w:divsChild>
                                                                    </w:div>
                                                                    <w:div w:id="822043782">
                                                                      <w:marLeft w:val="0"/>
                                                                      <w:marRight w:val="0"/>
                                                                      <w:marTop w:val="0"/>
                                                                      <w:marBottom w:val="0"/>
                                                                      <w:divBdr>
                                                                        <w:top w:val="none" w:sz="0" w:space="0" w:color="auto"/>
                                                                        <w:left w:val="none" w:sz="0" w:space="0" w:color="auto"/>
                                                                        <w:bottom w:val="none" w:sz="0" w:space="0" w:color="auto"/>
                                                                        <w:right w:val="none" w:sz="0" w:space="0" w:color="auto"/>
                                                                      </w:divBdr>
                                                                      <w:divsChild>
                                                                        <w:div w:id="1723939949">
                                                                          <w:marLeft w:val="0"/>
                                                                          <w:marRight w:val="0"/>
                                                                          <w:marTop w:val="0"/>
                                                                          <w:marBottom w:val="0"/>
                                                                          <w:divBdr>
                                                                            <w:top w:val="none" w:sz="0" w:space="0" w:color="auto"/>
                                                                            <w:left w:val="none" w:sz="0" w:space="0" w:color="auto"/>
                                                                            <w:bottom w:val="none" w:sz="0" w:space="0" w:color="auto"/>
                                                                            <w:right w:val="none" w:sz="0" w:space="0" w:color="auto"/>
                                                                          </w:divBdr>
                                                                        </w:div>
                                                                      </w:divsChild>
                                                                    </w:div>
                                                                    <w:div w:id="1392509178">
                                                                      <w:marLeft w:val="0"/>
                                                                      <w:marRight w:val="0"/>
                                                                      <w:marTop w:val="0"/>
                                                                      <w:marBottom w:val="0"/>
                                                                      <w:divBdr>
                                                                        <w:top w:val="none" w:sz="0" w:space="0" w:color="auto"/>
                                                                        <w:left w:val="none" w:sz="0" w:space="0" w:color="auto"/>
                                                                        <w:bottom w:val="none" w:sz="0" w:space="0" w:color="auto"/>
                                                                        <w:right w:val="none" w:sz="0" w:space="0" w:color="auto"/>
                                                                      </w:divBdr>
                                                                      <w:divsChild>
                                                                        <w:div w:id="1041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249505">
      <w:bodyDiv w:val="1"/>
      <w:marLeft w:val="0"/>
      <w:marRight w:val="0"/>
      <w:marTop w:val="0"/>
      <w:marBottom w:val="0"/>
      <w:divBdr>
        <w:top w:val="none" w:sz="0" w:space="0" w:color="auto"/>
        <w:left w:val="none" w:sz="0" w:space="0" w:color="auto"/>
        <w:bottom w:val="none" w:sz="0" w:space="0" w:color="auto"/>
        <w:right w:val="none" w:sz="0" w:space="0" w:color="auto"/>
      </w:divBdr>
      <w:divsChild>
        <w:div w:id="2105614619">
          <w:marLeft w:val="0"/>
          <w:marRight w:val="0"/>
          <w:marTop w:val="0"/>
          <w:marBottom w:val="0"/>
          <w:divBdr>
            <w:top w:val="none" w:sz="0" w:space="0" w:color="auto"/>
            <w:left w:val="single" w:sz="6" w:space="0" w:color="BBBBBB"/>
            <w:bottom w:val="single" w:sz="6" w:space="0" w:color="BBBBBB"/>
            <w:right w:val="single" w:sz="6" w:space="0" w:color="BBBBBB"/>
          </w:divBdr>
          <w:divsChild>
            <w:div w:id="548493171">
              <w:marLeft w:val="0"/>
              <w:marRight w:val="0"/>
              <w:marTop w:val="0"/>
              <w:marBottom w:val="0"/>
              <w:divBdr>
                <w:top w:val="none" w:sz="0" w:space="0" w:color="auto"/>
                <w:left w:val="none" w:sz="0" w:space="0" w:color="auto"/>
                <w:bottom w:val="none" w:sz="0" w:space="0" w:color="auto"/>
                <w:right w:val="none" w:sz="0" w:space="0" w:color="auto"/>
              </w:divBdr>
              <w:divsChild>
                <w:div w:id="1860005486">
                  <w:marLeft w:val="0"/>
                  <w:marRight w:val="0"/>
                  <w:marTop w:val="75"/>
                  <w:marBottom w:val="0"/>
                  <w:divBdr>
                    <w:top w:val="none" w:sz="0" w:space="0" w:color="auto"/>
                    <w:left w:val="none" w:sz="0" w:space="0" w:color="auto"/>
                    <w:bottom w:val="none" w:sz="0" w:space="0" w:color="auto"/>
                    <w:right w:val="none" w:sz="0" w:space="0" w:color="auto"/>
                  </w:divBdr>
                  <w:divsChild>
                    <w:div w:id="1371418427">
                      <w:marLeft w:val="0"/>
                      <w:marRight w:val="0"/>
                      <w:marTop w:val="0"/>
                      <w:marBottom w:val="0"/>
                      <w:divBdr>
                        <w:top w:val="none" w:sz="0" w:space="0" w:color="auto"/>
                        <w:left w:val="none" w:sz="0" w:space="0" w:color="auto"/>
                        <w:bottom w:val="none" w:sz="0" w:space="0" w:color="auto"/>
                        <w:right w:val="none" w:sz="0" w:space="0" w:color="auto"/>
                      </w:divBdr>
                      <w:divsChild>
                        <w:div w:id="38554835">
                          <w:marLeft w:val="0"/>
                          <w:marRight w:val="0"/>
                          <w:marTop w:val="0"/>
                          <w:marBottom w:val="0"/>
                          <w:divBdr>
                            <w:top w:val="none" w:sz="0" w:space="0" w:color="auto"/>
                            <w:left w:val="none" w:sz="0" w:space="0" w:color="auto"/>
                            <w:bottom w:val="none" w:sz="0" w:space="0" w:color="auto"/>
                            <w:right w:val="none" w:sz="0" w:space="0" w:color="auto"/>
                          </w:divBdr>
                          <w:divsChild>
                            <w:div w:id="871303996">
                              <w:marLeft w:val="0"/>
                              <w:marRight w:val="0"/>
                              <w:marTop w:val="0"/>
                              <w:marBottom w:val="0"/>
                              <w:divBdr>
                                <w:top w:val="none" w:sz="0" w:space="0" w:color="auto"/>
                                <w:left w:val="none" w:sz="0" w:space="0" w:color="auto"/>
                                <w:bottom w:val="none" w:sz="0" w:space="0" w:color="auto"/>
                                <w:right w:val="none" w:sz="0" w:space="0" w:color="auto"/>
                              </w:divBdr>
                              <w:divsChild>
                                <w:div w:id="1856337266">
                                  <w:marLeft w:val="0"/>
                                  <w:marRight w:val="0"/>
                                  <w:marTop w:val="0"/>
                                  <w:marBottom w:val="0"/>
                                  <w:divBdr>
                                    <w:top w:val="none" w:sz="0" w:space="0" w:color="auto"/>
                                    <w:left w:val="none" w:sz="0" w:space="0" w:color="auto"/>
                                    <w:bottom w:val="none" w:sz="0" w:space="0" w:color="auto"/>
                                    <w:right w:val="none" w:sz="0" w:space="0" w:color="auto"/>
                                  </w:divBdr>
                                  <w:divsChild>
                                    <w:div w:id="1049962935">
                                      <w:marLeft w:val="0"/>
                                      <w:marRight w:val="0"/>
                                      <w:marTop w:val="0"/>
                                      <w:marBottom w:val="0"/>
                                      <w:divBdr>
                                        <w:top w:val="none" w:sz="0" w:space="0" w:color="auto"/>
                                        <w:left w:val="none" w:sz="0" w:space="0" w:color="auto"/>
                                        <w:bottom w:val="none" w:sz="0" w:space="0" w:color="auto"/>
                                        <w:right w:val="none" w:sz="0" w:space="0" w:color="auto"/>
                                      </w:divBdr>
                                      <w:divsChild>
                                        <w:div w:id="707294044">
                                          <w:marLeft w:val="1200"/>
                                          <w:marRight w:val="1200"/>
                                          <w:marTop w:val="0"/>
                                          <w:marBottom w:val="0"/>
                                          <w:divBdr>
                                            <w:top w:val="none" w:sz="0" w:space="0" w:color="auto"/>
                                            <w:left w:val="none" w:sz="0" w:space="0" w:color="auto"/>
                                            <w:bottom w:val="none" w:sz="0" w:space="0" w:color="auto"/>
                                            <w:right w:val="none" w:sz="0" w:space="0" w:color="auto"/>
                                          </w:divBdr>
                                          <w:divsChild>
                                            <w:div w:id="676738213">
                                              <w:marLeft w:val="0"/>
                                              <w:marRight w:val="0"/>
                                              <w:marTop w:val="0"/>
                                              <w:marBottom w:val="0"/>
                                              <w:divBdr>
                                                <w:top w:val="none" w:sz="0" w:space="0" w:color="auto"/>
                                                <w:left w:val="none" w:sz="0" w:space="0" w:color="auto"/>
                                                <w:bottom w:val="none" w:sz="0" w:space="0" w:color="auto"/>
                                                <w:right w:val="none" w:sz="0" w:space="0" w:color="auto"/>
                                              </w:divBdr>
                                              <w:divsChild>
                                                <w:div w:id="619462054">
                                                  <w:marLeft w:val="0"/>
                                                  <w:marRight w:val="0"/>
                                                  <w:marTop w:val="0"/>
                                                  <w:marBottom w:val="0"/>
                                                  <w:divBdr>
                                                    <w:top w:val="none" w:sz="0" w:space="0" w:color="auto"/>
                                                    <w:left w:val="none" w:sz="0" w:space="0" w:color="auto"/>
                                                    <w:bottom w:val="none" w:sz="0" w:space="0" w:color="auto"/>
                                                    <w:right w:val="none" w:sz="0" w:space="0" w:color="auto"/>
                                                  </w:divBdr>
                                                  <w:divsChild>
                                                    <w:div w:id="368802655">
                                                      <w:marLeft w:val="0"/>
                                                      <w:marRight w:val="0"/>
                                                      <w:marTop w:val="0"/>
                                                      <w:marBottom w:val="0"/>
                                                      <w:divBdr>
                                                        <w:top w:val="none" w:sz="0" w:space="0" w:color="auto"/>
                                                        <w:left w:val="none" w:sz="0" w:space="0" w:color="auto"/>
                                                        <w:bottom w:val="none" w:sz="0" w:space="0" w:color="auto"/>
                                                        <w:right w:val="none" w:sz="0" w:space="0" w:color="auto"/>
                                                      </w:divBdr>
                                                      <w:divsChild>
                                                        <w:div w:id="895508767">
                                                          <w:marLeft w:val="0"/>
                                                          <w:marRight w:val="0"/>
                                                          <w:marTop w:val="0"/>
                                                          <w:marBottom w:val="0"/>
                                                          <w:divBdr>
                                                            <w:top w:val="none" w:sz="0" w:space="0" w:color="auto"/>
                                                            <w:left w:val="none" w:sz="0" w:space="0" w:color="auto"/>
                                                            <w:bottom w:val="none" w:sz="0" w:space="0" w:color="auto"/>
                                                            <w:right w:val="none" w:sz="0" w:space="0" w:color="auto"/>
                                                          </w:divBdr>
                                                          <w:divsChild>
                                                            <w:div w:id="1283881210">
                                                              <w:marLeft w:val="0"/>
                                                              <w:marRight w:val="0"/>
                                                              <w:marTop w:val="0"/>
                                                              <w:marBottom w:val="0"/>
                                                              <w:divBdr>
                                                                <w:top w:val="none" w:sz="0" w:space="0" w:color="auto"/>
                                                                <w:left w:val="none" w:sz="0" w:space="0" w:color="auto"/>
                                                                <w:bottom w:val="none" w:sz="0" w:space="0" w:color="auto"/>
                                                                <w:right w:val="none" w:sz="0" w:space="0" w:color="auto"/>
                                                              </w:divBdr>
                                                              <w:divsChild>
                                                                <w:div w:id="188690053">
                                                                  <w:marLeft w:val="0"/>
                                                                  <w:marRight w:val="0"/>
                                                                  <w:marTop w:val="0"/>
                                                                  <w:marBottom w:val="0"/>
                                                                  <w:divBdr>
                                                                    <w:top w:val="none" w:sz="0" w:space="0" w:color="auto"/>
                                                                    <w:left w:val="none" w:sz="0" w:space="0" w:color="auto"/>
                                                                    <w:bottom w:val="none" w:sz="0" w:space="0" w:color="auto"/>
                                                                    <w:right w:val="none" w:sz="0" w:space="0" w:color="auto"/>
                                                                  </w:divBdr>
                                                                  <w:divsChild>
                                                                    <w:div w:id="9837821">
                                                                      <w:marLeft w:val="0"/>
                                                                      <w:marRight w:val="0"/>
                                                                      <w:marTop w:val="0"/>
                                                                      <w:marBottom w:val="0"/>
                                                                      <w:divBdr>
                                                                        <w:top w:val="none" w:sz="0" w:space="0" w:color="auto"/>
                                                                        <w:left w:val="none" w:sz="0" w:space="0" w:color="auto"/>
                                                                        <w:bottom w:val="none" w:sz="0" w:space="0" w:color="auto"/>
                                                                        <w:right w:val="none" w:sz="0" w:space="0" w:color="auto"/>
                                                                      </w:divBdr>
                                                                      <w:divsChild>
                                                                        <w:div w:id="532887656">
                                                                          <w:marLeft w:val="0"/>
                                                                          <w:marRight w:val="0"/>
                                                                          <w:marTop w:val="0"/>
                                                                          <w:marBottom w:val="0"/>
                                                                          <w:divBdr>
                                                                            <w:top w:val="none" w:sz="0" w:space="0" w:color="auto"/>
                                                                            <w:left w:val="none" w:sz="0" w:space="0" w:color="auto"/>
                                                                            <w:bottom w:val="none" w:sz="0" w:space="0" w:color="auto"/>
                                                                            <w:right w:val="none" w:sz="0" w:space="0" w:color="auto"/>
                                                                          </w:divBdr>
                                                                        </w:div>
                                                                      </w:divsChild>
                                                                    </w:div>
                                                                    <w:div w:id="910190553">
                                                                      <w:marLeft w:val="0"/>
                                                                      <w:marRight w:val="0"/>
                                                                      <w:marTop w:val="0"/>
                                                                      <w:marBottom w:val="0"/>
                                                                      <w:divBdr>
                                                                        <w:top w:val="none" w:sz="0" w:space="0" w:color="auto"/>
                                                                        <w:left w:val="none" w:sz="0" w:space="0" w:color="auto"/>
                                                                        <w:bottom w:val="none" w:sz="0" w:space="0" w:color="auto"/>
                                                                        <w:right w:val="none" w:sz="0" w:space="0" w:color="auto"/>
                                                                      </w:divBdr>
                                                                      <w:divsChild>
                                                                        <w:div w:id="926772767">
                                                                          <w:marLeft w:val="0"/>
                                                                          <w:marRight w:val="0"/>
                                                                          <w:marTop w:val="0"/>
                                                                          <w:marBottom w:val="0"/>
                                                                          <w:divBdr>
                                                                            <w:top w:val="none" w:sz="0" w:space="0" w:color="auto"/>
                                                                            <w:left w:val="none" w:sz="0" w:space="0" w:color="auto"/>
                                                                            <w:bottom w:val="none" w:sz="0" w:space="0" w:color="auto"/>
                                                                            <w:right w:val="none" w:sz="0" w:space="0" w:color="auto"/>
                                                                          </w:divBdr>
                                                                        </w:div>
                                                                      </w:divsChild>
                                                                    </w:div>
                                                                    <w:div w:id="1766346211">
                                                                      <w:marLeft w:val="0"/>
                                                                      <w:marRight w:val="0"/>
                                                                      <w:marTop w:val="0"/>
                                                                      <w:marBottom w:val="0"/>
                                                                      <w:divBdr>
                                                                        <w:top w:val="none" w:sz="0" w:space="0" w:color="auto"/>
                                                                        <w:left w:val="none" w:sz="0" w:space="0" w:color="auto"/>
                                                                        <w:bottom w:val="none" w:sz="0" w:space="0" w:color="auto"/>
                                                                        <w:right w:val="none" w:sz="0" w:space="0" w:color="auto"/>
                                                                      </w:divBdr>
                                                                      <w:divsChild>
                                                                        <w:div w:id="6470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643291">
      <w:bodyDiv w:val="1"/>
      <w:marLeft w:val="0"/>
      <w:marRight w:val="0"/>
      <w:marTop w:val="0"/>
      <w:marBottom w:val="0"/>
      <w:divBdr>
        <w:top w:val="none" w:sz="0" w:space="0" w:color="auto"/>
        <w:left w:val="none" w:sz="0" w:space="0" w:color="auto"/>
        <w:bottom w:val="none" w:sz="0" w:space="0" w:color="auto"/>
        <w:right w:val="none" w:sz="0" w:space="0" w:color="auto"/>
      </w:divBdr>
      <w:divsChild>
        <w:div w:id="708336153">
          <w:marLeft w:val="0"/>
          <w:marRight w:val="0"/>
          <w:marTop w:val="0"/>
          <w:marBottom w:val="0"/>
          <w:divBdr>
            <w:top w:val="none" w:sz="0" w:space="0" w:color="auto"/>
            <w:left w:val="single" w:sz="6" w:space="0" w:color="BBBBBB"/>
            <w:bottom w:val="single" w:sz="6" w:space="0" w:color="BBBBBB"/>
            <w:right w:val="single" w:sz="6" w:space="0" w:color="BBBBBB"/>
          </w:divBdr>
          <w:divsChild>
            <w:div w:id="1180195831">
              <w:marLeft w:val="0"/>
              <w:marRight w:val="0"/>
              <w:marTop w:val="0"/>
              <w:marBottom w:val="0"/>
              <w:divBdr>
                <w:top w:val="none" w:sz="0" w:space="0" w:color="auto"/>
                <w:left w:val="none" w:sz="0" w:space="0" w:color="auto"/>
                <w:bottom w:val="none" w:sz="0" w:space="0" w:color="auto"/>
                <w:right w:val="none" w:sz="0" w:space="0" w:color="auto"/>
              </w:divBdr>
              <w:divsChild>
                <w:div w:id="848102786">
                  <w:marLeft w:val="0"/>
                  <w:marRight w:val="0"/>
                  <w:marTop w:val="0"/>
                  <w:marBottom w:val="0"/>
                  <w:divBdr>
                    <w:top w:val="none" w:sz="0" w:space="0" w:color="auto"/>
                    <w:left w:val="none" w:sz="0" w:space="0" w:color="auto"/>
                    <w:bottom w:val="none" w:sz="0" w:space="0" w:color="auto"/>
                    <w:right w:val="none" w:sz="0" w:space="0" w:color="auto"/>
                  </w:divBdr>
                  <w:divsChild>
                    <w:div w:id="202518449">
                      <w:marLeft w:val="0"/>
                      <w:marRight w:val="0"/>
                      <w:marTop w:val="0"/>
                      <w:marBottom w:val="0"/>
                      <w:divBdr>
                        <w:top w:val="none" w:sz="0" w:space="0" w:color="auto"/>
                        <w:left w:val="none" w:sz="0" w:space="0" w:color="auto"/>
                        <w:bottom w:val="none" w:sz="0" w:space="0" w:color="auto"/>
                        <w:right w:val="none" w:sz="0" w:space="0" w:color="auto"/>
                      </w:divBdr>
                      <w:divsChild>
                        <w:div w:id="1884635728">
                          <w:marLeft w:val="0"/>
                          <w:marRight w:val="0"/>
                          <w:marTop w:val="0"/>
                          <w:marBottom w:val="0"/>
                          <w:divBdr>
                            <w:top w:val="none" w:sz="0" w:space="0" w:color="auto"/>
                            <w:left w:val="none" w:sz="0" w:space="0" w:color="auto"/>
                            <w:bottom w:val="none" w:sz="0" w:space="0" w:color="auto"/>
                            <w:right w:val="none" w:sz="0" w:space="0" w:color="auto"/>
                          </w:divBdr>
                          <w:divsChild>
                            <w:div w:id="1590386584">
                              <w:marLeft w:val="0"/>
                              <w:marRight w:val="0"/>
                              <w:marTop w:val="0"/>
                              <w:marBottom w:val="0"/>
                              <w:divBdr>
                                <w:top w:val="none" w:sz="0" w:space="0" w:color="auto"/>
                                <w:left w:val="none" w:sz="0" w:space="0" w:color="auto"/>
                                <w:bottom w:val="none" w:sz="0" w:space="0" w:color="auto"/>
                                <w:right w:val="none" w:sz="0" w:space="0" w:color="auto"/>
                              </w:divBdr>
                              <w:divsChild>
                                <w:div w:id="1168405671">
                                  <w:marLeft w:val="0"/>
                                  <w:marRight w:val="0"/>
                                  <w:marTop w:val="0"/>
                                  <w:marBottom w:val="0"/>
                                  <w:divBdr>
                                    <w:top w:val="none" w:sz="0" w:space="0" w:color="auto"/>
                                    <w:left w:val="none" w:sz="0" w:space="0" w:color="auto"/>
                                    <w:bottom w:val="none" w:sz="0" w:space="0" w:color="auto"/>
                                    <w:right w:val="none" w:sz="0" w:space="0" w:color="auto"/>
                                  </w:divBdr>
                                  <w:divsChild>
                                    <w:div w:id="792987537">
                                      <w:marLeft w:val="0"/>
                                      <w:marRight w:val="0"/>
                                      <w:marTop w:val="0"/>
                                      <w:marBottom w:val="0"/>
                                      <w:divBdr>
                                        <w:top w:val="none" w:sz="0" w:space="0" w:color="auto"/>
                                        <w:left w:val="none" w:sz="0" w:space="0" w:color="auto"/>
                                        <w:bottom w:val="none" w:sz="0" w:space="0" w:color="auto"/>
                                        <w:right w:val="none" w:sz="0" w:space="0" w:color="auto"/>
                                      </w:divBdr>
                                      <w:divsChild>
                                        <w:div w:id="842158714">
                                          <w:marLeft w:val="1200"/>
                                          <w:marRight w:val="1200"/>
                                          <w:marTop w:val="0"/>
                                          <w:marBottom w:val="0"/>
                                          <w:divBdr>
                                            <w:top w:val="none" w:sz="0" w:space="0" w:color="auto"/>
                                            <w:left w:val="none" w:sz="0" w:space="0" w:color="auto"/>
                                            <w:bottom w:val="none" w:sz="0" w:space="0" w:color="auto"/>
                                            <w:right w:val="none" w:sz="0" w:space="0" w:color="auto"/>
                                          </w:divBdr>
                                          <w:divsChild>
                                            <w:div w:id="962805469">
                                              <w:marLeft w:val="0"/>
                                              <w:marRight w:val="0"/>
                                              <w:marTop w:val="0"/>
                                              <w:marBottom w:val="0"/>
                                              <w:divBdr>
                                                <w:top w:val="none" w:sz="0" w:space="0" w:color="auto"/>
                                                <w:left w:val="none" w:sz="0" w:space="0" w:color="auto"/>
                                                <w:bottom w:val="none" w:sz="0" w:space="0" w:color="auto"/>
                                                <w:right w:val="none" w:sz="0" w:space="0" w:color="auto"/>
                                              </w:divBdr>
                                              <w:divsChild>
                                                <w:div w:id="286281765">
                                                  <w:marLeft w:val="0"/>
                                                  <w:marRight w:val="0"/>
                                                  <w:marTop w:val="0"/>
                                                  <w:marBottom w:val="0"/>
                                                  <w:divBdr>
                                                    <w:top w:val="none" w:sz="0" w:space="0" w:color="auto"/>
                                                    <w:left w:val="none" w:sz="0" w:space="0" w:color="auto"/>
                                                    <w:bottom w:val="none" w:sz="0" w:space="0" w:color="auto"/>
                                                    <w:right w:val="none" w:sz="0" w:space="0" w:color="auto"/>
                                                  </w:divBdr>
                                                  <w:divsChild>
                                                    <w:div w:id="245654328">
                                                      <w:marLeft w:val="0"/>
                                                      <w:marRight w:val="0"/>
                                                      <w:marTop w:val="0"/>
                                                      <w:marBottom w:val="0"/>
                                                      <w:divBdr>
                                                        <w:top w:val="none" w:sz="0" w:space="0" w:color="auto"/>
                                                        <w:left w:val="none" w:sz="0" w:space="0" w:color="auto"/>
                                                        <w:bottom w:val="none" w:sz="0" w:space="0" w:color="auto"/>
                                                        <w:right w:val="none" w:sz="0" w:space="0" w:color="auto"/>
                                                      </w:divBdr>
                                                      <w:divsChild>
                                                        <w:div w:id="365907583">
                                                          <w:marLeft w:val="0"/>
                                                          <w:marRight w:val="0"/>
                                                          <w:marTop w:val="0"/>
                                                          <w:marBottom w:val="0"/>
                                                          <w:divBdr>
                                                            <w:top w:val="none" w:sz="0" w:space="0" w:color="auto"/>
                                                            <w:left w:val="none" w:sz="0" w:space="0" w:color="auto"/>
                                                            <w:bottom w:val="none" w:sz="0" w:space="0" w:color="auto"/>
                                                            <w:right w:val="none" w:sz="0" w:space="0" w:color="auto"/>
                                                          </w:divBdr>
                                                          <w:divsChild>
                                                            <w:div w:id="1721049908">
                                                              <w:marLeft w:val="0"/>
                                                              <w:marRight w:val="0"/>
                                                              <w:marTop w:val="0"/>
                                                              <w:marBottom w:val="0"/>
                                                              <w:divBdr>
                                                                <w:top w:val="none" w:sz="0" w:space="0" w:color="auto"/>
                                                                <w:left w:val="none" w:sz="0" w:space="0" w:color="auto"/>
                                                                <w:bottom w:val="none" w:sz="0" w:space="0" w:color="auto"/>
                                                                <w:right w:val="none" w:sz="0" w:space="0" w:color="auto"/>
                                                              </w:divBdr>
                                                              <w:divsChild>
                                                                <w:div w:id="1447263750">
                                                                  <w:marLeft w:val="0"/>
                                                                  <w:marRight w:val="0"/>
                                                                  <w:marTop w:val="0"/>
                                                                  <w:marBottom w:val="0"/>
                                                                  <w:divBdr>
                                                                    <w:top w:val="none" w:sz="0" w:space="0" w:color="auto"/>
                                                                    <w:left w:val="none" w:sz="0" w:space="0" w:color="auto"/>
                                                                    <w:bottom w:val="none" w:sz="0" w:space="0" w:color="auto"/>
                                                                    <w:right w:val="none" w:sz="0" w:space="0" w:color="auto"/>
                                                                  </w:divBdr>
                                                                  <w:divsChild>
                                                                    <w:div w:id="127674553">
                                                                      <w:marLeft w:val="0"/>
                                                                      <w:marRight w:val="0"/>
                                                                      <w:marTop w:val="0"/>
                                                                      <w:marBottom w:val="0"/>
                                                                      <w:divBdr>
                                                                        <w:top w:val="none" w:sz="0" w:space="0" w:color="auto"/>
                                                                        <w:left w:val="none" w:sz="0" w:space="0" w:color="auto"/>
                                                                        <w:bottom w:val="none" w:sz="0" w:space="0" w:color="auto"/>
                                                                        <w:right w:val="none" w:sz="0" w:space="0" w:color="auto"/>
                                                                      </w:divBdr>
                                                                      <w:divsChild>
                                                                        <w:div w:id="2096323187">
                                                                          <w:marLeft w:val="0"/>
                                                                          <w:marRight w:val="0"/>
                                                                          <w:marTop w:val="0"/>
                                                                          <w:marBottom w:val="0"/>
                                                                          <w:divBdr>
                                                                            <w:top w:val="none" w:sz="0" w:space="0" w:color="auto"/>
                                                                            <w:left w:val="none" w:sz="0" w:space="0" w:color="auto"/>
                                                                            <w:bottom w:val="none" w:sz="0" w:space="0" w:color="auto"/>
                                                                            <w:right w:val="none" w:sz="0" w:space="0" w:color="auto"/>
                                                                          </w:divBdr>
                                                                        </w:div>
                                                                      </w:divsChild>
                                                                    </w:div>
                                                                    <w:div w:id="1692024573">
                                                                      <w:marLeft w:val="0"/>
                                                                      <w:marRight w:val="0"/>
                                                                      <w:marTop w:val="0"/>
                                                                      <w:marBottom w:val="0"/>
                                                                      <w:divBdr>
                                                                        <w:top w:val="none" w:sz="0" w:space="0" w:color="auto"/>
                                                                        <w:left w:val="none" w:sz="0" w:space="0" w:color="auto"/>
                                                                        <w:bottom w:val="none" w:sz="0" w:space="0" w:color="auto"/>
                                                                        <w:right w:val="none" w:sz="0" w:space="0" w:color="auto"/>
                                                                      </w:divBdr>
                                                                      <w:divsChild>
                                                                        <w:div w:id="159198636">
                                                                          <w:marLeft w:val="0"/>
                                                                          <w:marRight w:val="0"/>
                                                                          <w:marTop w:val="0"/>
                                                                          <w:marBottom w:val="0"/>
                                                                          <w:divBdr>
                                                                            <w:top w:val="none" w:sz="0" w:space="0" w:color="auto"/>
                                                                            <w:left w:val="none" w:sz="0" w:space="0" w:color="auto"/>
                                                                            <w:bottom w:val="none" w:sz="0" w:space="0" w:color="auto"/>
                                                                            <w:right w:val="none" w:sz="0" w:space="0" w:color="auto"/>
                                                                          </w:divBdr>
                                                                          <w:divsChild>
                                                                            <w:div w:id="307440626">
                                                                              <w:marLeft w:val="0"/>
                                                                              <w:marRight w:val="0"/>
                                                                              <w:marTop w:val="0"/>
                                                                              <w:marBottom w:val="0"/>
                                                                              <w:divBdr>
                                                                                <w:top w:val="none" w:sz="0" w:space="0" w:color="auto"/>
                                                                                <w:left w:val="none" w:sz="0" w:space="0" w:color="auto"/>
                                                                                <w:bottom w:val="none" w:sz="0" w:space="0" w:color="auto"/>
                                                                                <w:right w:val="none" w:sz="0" w:space="0" w:color="auto"/>
                                                                              </w:divBdr>
                                                                              <w:divsChild>
                                                                                <w:div w:id="54822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15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6630">
                                                                          <w:marLeft w:val="0"/>
                                                                          <w:marRight w:val="0"/>
                                                                          <w:marTop w:val="0"/>
                                                                          <w:marBottom w:val="0"/>
                                                                          <w:divBdr>
                                                                            <w:top w:val="none" w:sz="0" w:space="0" w:color="auto"/>
                                                                            <w:left w:val="none" w:sz="0" w:space="0" w:color="auto"/>
                                                                            <w:bottom w:val="none" w:sz="0" w:space="0" w:color="auto"/>
                                                                            <w:right w:val="none" w:sz="0" w:space="0" w:color="auto"/>
                                                                          </w:divBdr>
                                                                        </w:div>
                                                                        <w:div w:id="12957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871026">
      <w:bodyDiv w:val="1"/>
      <w:marLeft w:val="0"/>
      <w:marRight w:val="0"/>
      <w:marTop w:val="0"/>
      <w:marBottom w:val="0"/>
      <w:divBdr>
        <w:top w:val="none" w:sz="0" w:space="0" w:color="auto"/>
        <w:left w:val="none" w:sz="0" w:space="0" w:color="auto"/>
        <w:bottom w:val="none" w:sz="0" w:space="0" w:color="auto"/>
        <w:right w:val="none" w:sz="0" w:space="0" w:color="auto"/>
      </w:divBdr>
      <w:divsChild>
        <w:div w:id="410079268">
          <w:marLeft w:val="0"/>
          <w:marRight w:val="0"/>
          <w:marTop w:val="0"/>
          <w:marBottom w:val="0"/>
          <w:divBdr>
            <w:top w:val="none" w:sz="0" w:space="0" w:color="auto"/>
            <w:left w:val="single" w:sz="6" w:space="0" w:color="BBBBBB"/>
            <w:bottom w:val="single" w:sz="6" w:space="0" w:color="BBBBBB"/>
            <w:right w:val="single" w:sz="6" w:space="0" w:color="BBBBBB"/>
          </w:divBdr>
          <w:divsChild>
            <w:div w:id="1223909637">
              <w:marLeft w:val="0"/>
              <w:marRight w:val="0"/>
              <w:marTop w:val="0"/>
              <w:marBottom w:val="0"/>
              <w:divBdr>
                <w:top w:val="none" w:sz="0" w:space="0" w:color="auto"/>
                <w:left w:val="none" w:sz="0" w:space="0" w:color="auto"/>
                <w:bottom w:val="none" w:sz="0" w:space="0" w:color="auto"/>
                <w:right w:val="none" w:sz="0" w:space="0" w:color="auto"/>
              </w:divBdr>
              <w:divsChild>
                <w:div w:id="1901093813">
                  <w:marLeft w:val="0"/>
                  <w:marRight w:val="0"/>
                  <w:marTop w:val="75"/>
                  <w:marBottom w:val="0"/>
                  <w:divBdr>
                    <w:top w:val="none" w:sz="0" w:space="0" w:color="auto"/>
                    <w:left w:val="none" w:sz="0" w:space="0" w:color="auto"/>
                    <w:bottom w:val="none" w:sz="0" w:space="0" w:color="auto"/>
                    <w:right w:val="none" w:sz="0" w:space="0" w:color="auto"/>
                  </w:divBdr>
                  <w:divsChild>
                    <w:div w:id="1686132945">
                      <w:marLeft w:val="0"/>
                      <w:marRight w:val="0"/>
                      <w:marTop w:val="0"/>
                      <w:marBottom w:val="0"/>
                      <w:divBdr>
                        <w:top w:val="none" w:sz="0" w:space="0" w:color="auto"/>
                        <w:left w:val="none" w:sz="0" w:space="0" w:color="auto"/>
                        <w:bottom w:val="none" w:sz="0" w:space="0" w:color="auto"/>
                        <w:right w:val="none" w:sz="0" w:space="0" w:color="auto"/>
                      </w:divBdr>
                      <w:divsChild>
                        <w:div w:id="269899421">
                          <w:marLeft w:val="0"/>
                          <w:marRight w:val="0"/>
                          <w:marTop w:val="0"/>
                          <w:marBottom w:val="0"/>
                          <w:divBdr>
                            <w:top w:val="none" w:sz="0" w:space="0" w:color="auto"/>
                            <w:left w:val="none" w:sz="0" w:space="0" w:color="auto"/>
                            <w:bottom w:val="none" w:sz="0" w:space="0" w:color="auto"/>
                            <w:right w:val="none" w:sz="0" w:space="0" w:color="auto"/>
                          </w:divBdr>
                          <w:divsChild>
                            <w:div w:id="2132355666">
                              <w:marLeft w:val="0"/>
                              <w:marRight w:val="0"/>
                              <w:marTop w:val="0"/>
                              <w:marBottom w:val="0"/>
                              <w:divBdr>
                                <w:top w:val="none" w:sz="0" w:space="0" w:color="auto"/>
                                <w:left w:val="none" w:sz="0" w:space="0" w:color="auto"/>
                                <w:bottom w:val="none" w:sz="0" w:space="0" w:color="auto"/>
                                <w:right w:val="none" w:sz="0" w:space="0" w:color="auto"/>
                              </w:divBdr>
                              <w:divsChild>
                                <w:div w:id="1521510424">
                                  <w:marLeft w:val="0"/>
                                  <w:marRight w:val="0"/>
                                  <w:marTop w:val="0"/>
                                  <w:marBottom w:val="0"/>
                                  <w:divBdr>
                                    <w:top w:val="none" w:sz="0" w:space="0" w:color="auto"/>
                                    <w:left w:val="none" w:sz="0" w:space="0" w:color="auto"/>
                                    <w:bottom w:val="none" w:sz="0" w:space="0" w:color="auto"/>
                                    <w:right w:val="none" w:sz="0" w:space="0" w:color="auto"/>
                                  </w:divBdr>
                                  <w:divsChild>
                                    <w:div w:id="1653825618">
                                      <w:marLeft w:val="0"/>
                                      <w:marRight w:val="0"/>
                                      <w:marTop w:val="0"/>
                                      <w:marBottom w:val="0"/>
                                      <w:divBdr>
                                        <w:top w:val="none" w:sz="0" w:space="0" w:color="auto"/>
                                        <w:left w:val="none" w:sz="0" w:space="0" w:color="auto"/>
                                        <w:bottom w:val="none" w:sz="0" w:space="0" w:color="auto"/>
                                        <w:right w:val="none" w:sz="0" w:space="0" w:color="auto"/>
                                      </w:divBdr>
                                      <w:divsChild>
                                        <w:div w:id="1907063996">
                                          <w:marLeft w:val="1200"/>
                                          <w:marRight w:val="1200"/>
                                          <w:marTop w:val="0"/>
                                          <w:marBottom w:val="0"/>
                                          <w:divBdr>
                                            <w:top w:val="none" w:sz="0" w:space="0" w:color="auto"/>
                                            <w:left w:val="none" w:sz="0" w:space="0" w:color="auto"/>
                                            <w:bottom w:val="none" w:sz="0" w:space="0" w:color="auto"/>
                                            <w:right w:val="none" w:sz="0" w:space="0" w:color="auto"/>
                                          </w:divBdr>
                                          <w:divsChild>
                                            <w:div w:id="1378309886">
                                              <w:marLeft w:val="0"/>
                                              <w:marRight w:val="0"/>
                                              <w:marTop w:val="0"/>
                                              <w:marBottom w:val="0"/>
                                              <w:divBdr>
                                                <w:top w:val="none" w:sz="0" w:space="0" w:color="auto"/>
                                                <w:left w:val="none" w:sz="0" w:space="0" w:color="auto"/>
                                                <w:bottom w:val="none" w:sz="0" w:space="0" w:color="auto"/>
                                                <w:right w:val="none" w:sz="0" w:space="0" w:color="auto"/>
                                              </w:divBdr>
                                              <w:divsChild>
                                                <w:div w:id="1697392161">
                                                  <w:marLeft w:val="0"/>
                                                  <w:marRight w:val="0"/>
                                                  <w:marTop w:val="0"/>
                                                  <w:marBottom w:val="0"/>
                                                  <w:divBdr>
                                                    <w:top w:val="none" w:sz="0" w:space="0" w:color="auto"/>
                                                    <w:left w:val="none" w:sz="0" w:space="0" w:color="auto"/>
                                                    <w:bottom w:val="none" w:sz="0" w:space="0" w:color="auto"/>
                                                    <w:right w:val="none" w:sz="0" w:space="0" w:color="auto"/>
                                                  </w:divBdr>
                                                  <w:divsChild>
                                                    <w:div w:id="515386179">
                                                      <w:marLeft w:val="0"/>
                                                      <w:marRight w:val="0"/>
                                                      <w:marTop w:val="0"/>
                                                      <w:marBottom w:val="0"/>
                                                      <w:divBdr>
                                                        <w:top w:val="none" w:sz="0" w:space="0" w:color="auto"/>
                                                        <w:left w:val="none" w:sz="0" w:space="0" w:color="auto"/>
                                                        <w:bottom w:val="none" w:sz="0" w:space="0" w:color="auto"/>
                                                        <w:right w:val="none" w:sz="0" w:space="0" w:color="auto"/>
                                                      </w:divBdr>
                                                      <w:divsChild>
                                                        <w:div w:id="509295641">
                                                          <w:marLeft w:val="0"/>
                                                          <w:marRight w:val="0"/>
                                                          <w:marTop w:val="0"/>
                                                          <w:marBottom w:val="0"/>
                                                          <w:divBdr>
                                                            <w:top w:val="none" w:sz="0" w:space="0" w:color="auto"/>
                                                            <w:left w:val="none" w:sz="0" w:space="0" w:color="auto"/>
                                                            <w:bottom w:val="none" w:sz="0" w:space="0" w:color="auto"/>
                                                            <w:right w:val="none" w:sz="0" w:space="0" w:color="auto"/>
                                                          </w:divBdr>
                                                        </w:div>
                                                      </w:divsChild>
                                                    </w:div>
                                                    <w:div w:id="1441952368">
                                                      <w:marLeft w:val="0"/>
                                                      <w:marRight w:val="0"/>
                                                      <w:marTop w:val="0"/>
                                                      <w:marBottom w:val="0"/>
                                                      <w:divBdr>
                                                        <w:top w:val="none" w:sz="0" w:space="0" w:color="auto"/>
                                                        <w:left w:val="none" w:sz="0" w:space="0" w:color="auto"/>
                                                        <w:bottom w:val="none" w:sz="0" w:space="0" w:color="auto"/>
                                                        <w:right w:val="none" w:sz="0" w:space="0" w:color="auto"/>
                                                      </w:divBdr>
                                                      <w:divsChild>
                                                        <w:div w:id="1385372980">
                                                          <w:marLeft w:val="0"/>
                                                          <w:marRight w:val="0"/>
                                                          <w:marTop w:val="0"/>
                                                          <w:marBottom w:val="0"/>
                                                          <w:divBdr>
                                                            <w:top w:val="none" w:sz="0" w:space="0" w:color="auto"/>
                                                            <w:left w:val="none" w:sz="0" w:space="0" w:color="auto"/>
                                                            <w:bottom w:val="none" w:sz="0" w:space="0" w:color="auto"/>
                                                            <w:right w:val="none" w:sz="0" w:space="0" w:color="auto"/>
                                                          </w:divBdr>
                                                        </w:div>
                                                      </w:divsChild>
                                                    </w:div>
                                                    <w:div w:id="1608461734">
                                                      <w:marLeft w:val="0"/>
                                                      <w:marRight w:val="0"/>
                                                      <w:marTop w:val="0"/>
                                                      <w:marBottom w:val="0"/>
                                                      <w:divBdr>
                                                        <w:top w:val="none" w:sz="0" w:space="0" w:color="auto"/>
                                                        <w:left w:val="none" w:sz="0" w:space="0" w:color="auto"/>
                                                        <w:bottom w:val="none" w:sz="0" w:space="0" w:color="auto"/>
                                                        <w:right w:val="none" w:sz="0" w:space="0" w:color="auto"/>
                                                      </w:divBdr>
                                                      <w:divsChild>
                                                        <w:div w:id="12282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1845504">
      <w:bodyDiv w:val="1"/>
      <w:marLeft w:val="0"/>
      <w:marRight w:val="0"/>
      <w:marTop w:val="0"/>
      <w:marBottom w:val="0"/>
      <w:divBdr>
        <w:top w:val="none" w:sz="0" w:space="0" w:color="auto"/>
        <w:left w:val="none" w:sz="0" w:space="0" w:color="auto"/>
        <w:bottom w:val="none" w:sz="0" w:space="0" w:color="auto"/>
        <w:right w:val="none" w:sz="0" w:space="0" w:color="auto"/>
      </w:divBdr>
      <w:divsChild>
        <w:div w:id="1448234834">
          <w:marLeft w:val="0"/>
          <w:marRight w:val="0"/>
          <w:marTop w:val="0"/>
          <w:marBottom w:val="0"/>
          <w:divBdr>
            <w:top w:val="none" w:sz="0" w:space="0" w:color="auto"/>
            <w:left w:val="single" w:sz="6" w:space="0" w:color="BBBBBB"/>
            <w:bottom w:val="single" w:sz="6" w:space="0" w:color="BBBBBB"/>
            <w:right w:val="single" w:sz="6" w:space="0" w:color="BBBBBB"/>
          </w:divBdr>
          <w:divsChild>
            <w:div w:id="126824500">
              <w:marLeft w:val="0"/>
              <w:marRight w:val="0"/>
              <w:marTop w:val="0"/>
              <w:marBottom w:val="0"/>
              <w:divBdr>
                <w:top w:val="none" w:sz="0" w:space="0" w:color="auto"/>
                <w:left w:val="none" w:sz="0" w:space="0" w:color="auto"/>
                <w:bottom w:val="none" w:sz="0" w:space="0" w:color="auto"/>
                <w:right w:val="none" w:sz="0" w:space="0" w:color="auto"/>
              </w:divBdr>
              <w:divsChild>
                <w:div w:id="477502276">
                  <w:marLeft w:val="0"/>
                  <w:marRight w:val="0"/>
                  <w:marTop w:val="0"/>
                  <w:marBottom w:val="0"/>
                  <w:divBdr>
                    <w:top w:val="none" w:sz="0" w:space="0" w:color="auto"/>
                    <w:left w:val="none" w:sz="0" w:space="0" w:color="auto"/>
                    <w:bottom w:val="none" w:sz="0" w:space="0" w:color="auto"/>
                    <w:right w:val="none" w:sz="0" w:space="0" w:color="auto"/>
                  </w:divBdr>
                  <w:divsChild>
                    <w:div w:id="568198068">
                      <w:marLeft w:val="0"/>
                      <w:marRight w:val="0"/>
                      <w:marTop w:val="0"/>
                      <w:marBottom w:val="0"/>
                      <w:divBdr>
                        <w:top w:val="none" w:sz="0" w:space="0" w:color="auto"/>
                        <w:left w:val="none" w:sz="0" w:space="0" w:color="auto"/>
                        <w:bottom w:val="none" w:sz="0" w:space="0" w:color="auto"/>
                        <w:right w:val="none" w:sz="0" w:space="0" w:color="auto"/>
                      </w:divBdr>
                      <w:divsChild>
                        <w:div w:id="1084763640">
                          <w:marLeft w:val="0"/>
                          <w:marRight w:val="0"/>
                          <w:marTop w:val="0"/>
                          <w:marBottom w:val="0"/>
                          <w:divBdr>
                            <w:top w:val="none" w:sz="0" w:space="0" w:color="auto"/>
                            <w:left w:val="none" w:sz="0" w:space="0" w:color="auto"/>
                            <w:bottom w:val="none" w:sz="0" w:space="0" w:color="auto"/>
                            <w:right w:val="none" w:sz="0" w:space="0" w:color="auto"/>
                          </w:divBdr>
                          <w:divsChild>
                            <w:div w:id="787705438">
                              <w:marLeft w:val="0"/>
                              <w:marRight w:val="0"/>
                              <w:marTop w:val="0"/>
                              <w:marBottom w:val="0"/>
                              <w:divBdr>
                                <w:top w:val="none" w:sz="0" w:space="0" w:color="auto"/>
                                <w:left w:val="none" w:sz="0" w:space="0" w:color="auto"/>
                                <w:bottom w:val="none" w:sz="0" w:space="0" w:color="auto"/>
                                <w:right w:val="none" w:sz="0" w:space="0" w:color="auto"/>
                              </w:divBdr>
                              <w:divsChild>
                                <w:div w:id="1788041847">
                                  <w:marLeft w:val="0"/>
                                  <w:marRight w:val="0"/>
                                  <w:marTop w:val="0"/>
                                  <w:marBottom w:val="0"/>
                                  <w:divBdr>
                                    <w:top w:val="none" w:sz="0" w:space="0" w:color="auto"/>
                                    <w:left w:val="none" w:sz="0" w:space="0" w:color="auto"/>
                                    <w:bottom w:val="none" w:sz="0" w:space="0" w:color="auto"/>
                                    <w:right w:val="none" w:sz="0" w:space="0" w:color="auto"/>
                                  </w:divBdr>
                                  <w:divsChild>
                                    <w:div w:id="1141656617">
                                      <w:marLeft w:val="0"/>
                                      <w:marRight w:val="0"/>
                                      <w:marTop w:val="0"/>
                                      <w:marBottom w:val="0"/>
                                      <w:divBdr>
                                        <w:top w:val="none" w:sz="0" w:space="0" w:color="auto"/>
                                        <w:left w:val="none" w:sz="0" w:space="0" w:color="auto"/>
                                        <w:bottom w:val="none" w:sz="0" w:space="0" w:color="auto"/>
                                        <w:right w:val="none" w:sz="0" w:space="0" w:color="auto"/>
                                      </w:divBdr>
                                      <w:divsChild>
                                        <w:div w:id="50810193">
                                          <w:marLeft w:val="1200"/>
                                          <w:marRight w:val="1200"/>
                                          <w:marTop w:val="0"/>
                                          <w:marBottom w:val="0"/>
                                          <w:divBdr>
                                            <w:top w:val="none" w:sz="0" w:space="0" w:color="auto"/>
                                            <w:left w:val="none" w:sz="0" w:space="0" w:color="auto"/>
                                            <w:bottom w:val="none" w:sz="0" w:space="0" w:color="auto"/>
                                            <w:right w:val="none" w:sz="0" w:space="0" w:color="auto"/>
                                          </w:divBdr>
                                          <w:divsChild>
                                            <w:div w:id="1673410027">
                                              <w:marLeft w:val="0"/>
                                              <w:marRight w:val="0"/>
                                              <w:marTop w:val="0"/>
                                              <w:marBottom w:val="0"/>
                                              <w:divBdr>
                                                <w:top w:val="none" w:sz="0" w:space="0" w:color="auto"/>
                                                <w:left w:val="none" w:sz="0" w:space="0" w:color="auto"/>
                                                <w:bottom w:val="none" w:sz="0" w:space="0" w:color="auto"/>
                                                <w:right w:val="none" w:sz="0" w:space="0" w:color="auto"/>
                                              </w:divBdr>
                                              <w:divsChild>
                                                <w:div w:id="904267635">
                                                  <w:marLeft w:val="0"/>
                                                  <w:marRight w:val="0"/>
                                                  <w:marTop w:val="0"/>
                                                  <w:marBottom w:val="0"/>
                                                  <w:divBdr>
                                                    <w:top w:val="none" w:sz="0" w:space="0" w:color="auto"/>
                                                    <w:left w:val="none" w:sz="0" w:space="0" w:color="auto"/>
                                                    <w:bottom w:val="none" w:sz="0" w:space="0" w:color="auto"/>
                                                    <w:right w:val="none" w:sz="0" w:space="0" w:color="auto"/>
                                                  </w:divBdr>
                                                  <w:divsChild>
                                                    <w:div w:id="456026871">
                                                      <w:marLeft w:val="0"/>
                                                      <w:marRight w:val="0"/>
                                                      <w:marTop w:val="0"/>
                                                      <w:marBottom w:val="0"/>
                                                      <w:divBdr>
                                                        <w:top w:val="none" w:sz="0" w:space="0" w:color="auto"/>
                                                        <w:left w:val="none" w:sz="0" w:space="0" w:color="auto"/>
                                                        <w:bottom w:val="none" w:sz="0" w:space="0" w:color="auto"/>
                                                        <w:right w:val="none" w:sz="0" w:space="0" w:color="auto"/>
                                                      </w:divBdr>
                                                      <w:divsChild>
                                                        <w:div w:id="1826511112">
                                                          <w:marLeft w:val="0"/>
                                                          <w:marRight w:val="0"/>
                                                          <w:marTop w:val="0"/>
                                                          <w:marBottom w:val="0"/>
                                                          <w:divBdr>
                                                            <w:top w:val="none" w:sz="0" w:space="0" w:color="auto"/>
                                                            <w:left w:val="none" w:sz="0" w:space="0" w:color="auto"/>
                                                            <w:bottom w:val="none" w:sz="0" w:space="0" w:color="auto"/>
                                                            <w:right w:val="none" w:sz="0" w:space="0" w:color="auto"/>
                                                          </w:divBdr>
                                                          <w:divsChild>
                                                            <w:div w:id="91555606">
                                                              <w:marLeft w:val="0"/>
                                                              <w:marRight w:val="0"/>
                                                              <w:marTop w:val="0"/>
                                                              <w:marBottom w:val="0"/>
                                                              <w:divBdr>
                                                                <w:top w:val="none" w:sz="0" w:space="0" w:color="auto"/>
                                                                <w:left w:val="none" w:sz="0" w:space="0" w:color="auto"/>
                                                                <w:bottom w:val="none" w:sz="0" w:space="0" w:color="auto"/>
                                                                <w:right w:val="none" w:sz="0" w:space="0" w:color="auto"/>
                                                              </w:divBdr>
                                                              <w:divsChild>
                                                                <w:div w:id="35396800">
                                                                  <w:marLeft w:val="0"/>
                                                                  <w:marRight w:val="0"/>
                                                                  <w:marTop w:val="0"/>
                                                                  <w:marBottom w:val="0"/>
                                                                  <w:divBdr>
                                                                    <w:top w:val="none" w:sz="0" w:space="0" w:color="auto"/>
                                                                    <w:left w:val="none" w:sz="0" w:space="0" w:color="auto"/>
                                                                    <w:bottom w:val="none" w:sz="0" w:space="0" w:color="auto"/>
                                                                    <w:right w:val="none" w:sz="0" w:space="0" w:color="auto"/>
                                                                  </w:divBdr>
                                                                  <w:divsChild>
                                                                    <w:div w:id="1455368405">
                                                                      <w:marLeft w:val="0"/>
                                                                      <w:marRight w:val="0"/>
                                                                      <w:marTop w:val="0"/>
                                                                      <w:marBottom w:val="0"/>
                                                                      <w:divBdr>
                                                                        <w:top w:val="none" w:sz="0" w:space="0" w:color="auto"/>
                                                                        <w:left w:val="none" w:sz="0" w:space="0" w:color="auto"/>
                                                                        <w:bottom w:val="none" w:sz="0" w:space="0" w:color="auto"/>
                                                                        <w:right w:val="none" w:sz="0" w:space="0" w:color="auto"/>
                                                                      </w:divBdr>
                                                                      <w:divsChild>
                                                                        <w:div w:id="267740838">
                                                                          <w:marLeft w:val="0"/>
                                                                          <w:marRight w:val="0"/>
                                                                          <w:marTop w:val="0"/>
                                                                          <w:marBottom w:val="0"/>
                                                                          <w:divBdr>
                                                                            <w:top w:val="none" w:sz="0" w:space="0" w:color="auto"/>
                                                                            <w:left w:val="none" w:sz="0" w:space="0" w:color="auto"/>
                                                                            <w:bottom w:val="none" w:sz="0" w:space="0" w:color="auto"/>
                                                                            <w:right w:val="none" w:sz="0" w:space="0" w:color="auto"/>
                                                                          </w:divBdr>
                                                                          <w:divsChild>
                                                                            <w:div w:id="1328167307">
                                                                              <w:marLeft w:val="0"/>
                                                                              <w:marRight w:val="0"/>
                                                                              <w:marTop w:val="0"/>
                                                                              <w:marBottom w:val="0"/>
                                                                              <w:divBdr>
                                                                                <w:top w:val="none" w:sz="0" w:space="0" w:color="auto"/>
                                                                                <w:left w:val="none" w:sz="0" w:space="0" w:color="auto"/>
                                                                                <w:bottom w:val="none" w:sz="0" w:space="0" w:color="auto"/>
                                                                                <w:right w:val="none" w:sz="0" w:space="0" w:color="auto"/>
                                                                              </w:divBdr>
                                                                            </w:div>
                                                                          </w:divsChild>
                                                                        </w:div>
                                                                        <w:div w:id="355229231">
                                                                          <w:marLeft w:val="0"/>
                                                                          <w:marRight w:val="0"/>
                                                                          <w:marTop w:val="0"/>
                                                                          <w:marBottom w:val="0"/>
                                                                          <w:divBdr>
                                                                            <w:top w:val="none" w:sz="0" w:space="0" w:color="auto"/>
                                                                            <w:left w:val="none" w:sz="0" w:space="0" w:color="auto"/>
                                                                            <w:bottom w:val="none" w:sz="0" w:space="0" w:color="auto"/>
                                                                            <w:right w:val="none" w:sz="0" w:space="0" w:color="auto"/>
                                                                          </w:divBdr>
                                                                        </w:div>
                                                                        <w:div w:id="1165780317">
                                                                          <w:marLeft w:val="0"/>
                                                                          <w:marRight w:val="0"/>
                                                                          <w:marTop w:val="0"/>
                                                                          <w:marBottom w:val="0"/>
                                                                          <w:divBdr>
                                                                            <w:top w:val="none" w:sz="0" w:space="0" w:color="auto"/>
                                                                            <w:left w:val="none" w:sz="0" w:space="0" w:color="auto"/>
                                                                            <w:bottom w:val="none" w:sz="0" w:space="0" w:color="auto"/>
                                                                            <w:right w:val="none" w:sz="0" w:space="0" w:color="auto"/>
                                                                          </w:divBdr>
                                                                          <w:divsChild>
                                                                            <w:div w:id="1237282378">
                                                                              <w:marLeft w:val="0"/>
                                                                              <w:marRight w:val="0"/>
                                                                              <w:marTop w:val="0"/>
                                                                              <w:marBottom w:val="0"/>
                                                                              <w:divBdr>
                                                                                <w:top w:val="none" w:sz="0" w:space="0" w:color="auto"/>
                                                                                <w:left w:val="none" w:sz="0" w:space="0" w:color="auto"/>
                                                                                <w:bottom w:val="none" w:sz="0" w:space="0" w:color="auto"/>
                                                                                <w:right w:val="none" w:sz="0" w:space="0" w:color="auto"/>
                                                                              </w:divBdr>
                                                                            </w:div>
                                                                          </w:divsChild>
                                                                        </w:div>
                                                                        <w:div w:id="1586183644">
                                                                          <w:marLeft w:val="0"/>
                                                                          <w:marRight w:val="0"/>
                                                                          <w:marTop w:val="0"/>
                                                                          <w:marBottom w:val="0"/>
                                                                          <w:divBdr>
                                                                            <w:top w:val="none" w:sz="0" w:space="0" w:color="auto"/>
                                                                            <w:left w:val="none" w:sz="0" w:space="0" w:color="auto"/>
                                                                            <w:bottom w:val="none" w:sz="0" w:space="0" w:color="auto"/>
                                                                            <w:right w:val="none" w:sz="0" w:space="0" w:color="auto"/>
                                                                          </w:divBdr>
                                                                          <w:divsChild>
                                                                            <w:div w:id="60596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925365">
      <w:bodyDiv w:val="1"/>
      <w:marLeft w:val="0"/>
      <w:marRight w:val="0"/>
      <w:marTop w:val="0"/>
      <w:marBottom w:val="0"/>
      <w:divBdr>
        <w:top w:val="none" w:sz="0" w:space="0" w:color="auto"/>
        <w:left w:val="none" w:sz="0" w:space="0" w:color="auto"/>
        <w:bottom w:val="none" w:sz="0" w:space="0" w:color="auto"/>
        <w:right w:val="none" w:sz="0" w:space="0" w:color="auto"/>
      </w:divBdr>
      <w:divsChild>
        <w:div w:id="1083335254">
          <w:marLeft w:val="0"/>
          <w:marRight w:val="0"/>
          <w:marTop w:val="0"/>
          <w:marBottom w:val="0"/>
          <w:divBdr>
            <w:top w:val="none" w:sz="0" w:space="0" w:color="auto"/>
            <w:left w:val="single" w:sz="6" w:space="0" w:color="BBBBBB"/>
            <w:bottom w:val="single" w:sz="6" w:space="0" w:color="BBBBBB"/>
            <w:right w:val="single" w:sz="6" w:space="0" w:color="BBBBBB"/>
          </w:divBdr>
          <w:divsChild>
            <w:div w:id="1705055508">
              <w:marLeft w:val="0"/>
              <w:marRight w:val="0"/>
              <w:marTop w:val="0"/>
              <w:marBottom w:val="0"/>
              <w:divBdr>
                <w:top w:val="none" w:sz="0" w:space="0" w:color="auto"/>
                <w:left w:val="none" w:sz="0" w:space="0" w:color="auto"/>
                <w:bottom w:val="none" w:sz="0" w:space="0" w:color="auto"/>
                <w:right w:val="none" w:sz="0" w:space="0" w:color="auto"/>
              </w:divBdr>
              <w:divsChild>
                <w:div w:id="1131560393">
                  <w:marLeft w:val="0"/>
                  <w:marRight w:val="0"/>
                  <w:marTop w:val="75"/>
                  <w:marBottom w:val="0"/>
                  <w:divBdr>
                    <w:top w:val="none" w:sz="0" w:space="0" w:color="auto"/>
                    <w:left w:val="none" w:sz="0" w:space="0" w:color="auto"/>
                    <w:bottom w:val="none" w:sz="0" w:space="0" w:color="auto"/>
                    <w:right w:val="none" w:sz="0" w:space="0" w:color="auto"/>
                  </w:divBdr>
                  <w:divsChild>
                    <w:div w:id="1169710682">
                      <w:marLeft w:val="0"/>
                      <w:marRight w:val="0"/>
                      <w:marTop w:val="0"/>
                      <w:marBottom w:val="0"/>
                      <w:divBdr>
                        <w:top w:val="none" w:sz="0" w:space="0" w:color="auto"/>
                        <w:left w:val="none" w:sz="0" w:space="0" w:color="auto"/>
                        <w:bottom w:val="none" w:sz="0" w:space="0" w:color="auto"/>
                        <w:right w:val="none" w:sz="0" w:space="0" w:color="auto"/>
                      </w:divBdr>
                      <w:divsChild>
                        <w:div w:id="1439718742">
                          <w:marLeft w:val="0"/>
                          <w:marRight w:val="0"/>
                          <w:marTop w:val="0"/>
                          <w:marBottom w:val="0"/>
                          <w:divBdr>
                            <w:top w:val="none" w:sz="0" w:space="0" w:color="auto"/>
                            <w:left w:val="none" w:sz="0" w:space="0" w:color="auto"/>
                            <w:bottom w:val="none" w:sz="0" w:space="0" w:color="auto"/>
                            <w:right w:val="none" w:sz="0" w:space="0" w:color="auto"/>
                          </w:divBdr>
                          <w:divsChild>
                            <w:div w:id="458499627">
                              <w:marLeft w:val="0"/>
                              <w:marRight w:val="0"/>
                              <w:marTop w:val="0"/>
                              <w:marBottom w:val="0"/>
                              <w:divBdr>
                                <w:top w:val="none" w:sz="0" w:space="0" w:color="auto"/>
                                <w:left w:val="none" w:sz="0" w:space="0" w:color="auto"/>
                                <w:bottom w:val="none" w:sz="0" w:space="0" w:color="auto"/>
                                <w:right w:val="none" w:sz="0" w:space="0" w:color="auto"/>
                              </w:divBdr>
                              <w:divsChild>
                                <w:div w:id="719288616">
                                  <w:marLeft w:val="0"/>
                                  <w:marRight w:val="0"/>
                                  <w:marTop w:val="0"/>
                                  <w:marBottom w:val="0"/>
                                  <w:divBdr>
                                    <w:top w:val="none" w:sz="0" w:space="0" w:color="auto"/>
                                    <w:left w:val="none" w:sz="0" w:space="0" w:color="auto"/>
                                    <w:bottom w:val="none" w:sz="0" w:space="0" w:color="auto"/>
                                    <w:right w:val="none" w:sz="0" w:space="0" w:color="auto"/>
                                  </w:divBdr>
                                  <w:divsChild>
                                    <w:div w:id="252402969">
                                      <w:marLeft w:val="0"/>
                                      <w:marRight w:val="0"/>
                                      <w:marTop w:val="0"/>
                                      <w:marBottom w:val="0"/>
                                      <w:divBdr>
                                        <w:top w:val="none" w:sz="0" w:space="0" w:color="auto"/>
                                        <w:left w:val="none" w:sz="0" w:space="0" w:color="auto"/>
                                        <w:bottom w:val="none" w:sz="0" w:space="0" w:color="auto"/>
                                        <w:right w:val="none" w:sz="0" w:space="0" w:color="auto"/>
                                      </w:divBdr>
                                      <w:divsChild>
                                        <w:div w:id="1823501990">
                                          <w:marLeft w:val="1200"/>
                                          <w:marRight w:val="1200"/>
                                          <w:marTop w:val="0"/>
                                          <w:marBottom w:val="0"/>
                                          <w:divBdr>
                                            <w:top w:val="none" w:sz="0" w:space="0" w:color="auto"/>
                                            <w:left w:val="none" w:sz="0" w:space="0" w:color="auto"/>
                                            <w:bottom w:val="none" w:sz="0" w:space="0" w:color="auto"/>
                                            <w:right w:val="none" w:sz="0" w:space="0" w:color="auto"/>
                                          </w:divBdr>
                                          <w:divsChild>
                                            <w:div w:id="1384256756">
                                              <w:marLeft w:val="0"/>
                                              <w:marRight w:val="0"/>
                                              <w:marTop w:val="0"/>
                                              <w:marBottom w:val="0"/>
                                              <w:divBdr>
                                                <w:top w:val="none" w:sz="0" w:space="0" w:color="auto"/>
                                                <w:left w:val="none" w:sz="0" w:space="0" w:color="auto"/>
                                                <w:bottom w:val="none" w:sz="0" w:space="0" w:color="auto"/>
                                                <w:right w:val="none" w:sz="0" w:space="0" w:color="auto"/>
                                              </w:divBdr>
                                              <w:divsChild>
                                                <w:div w:id="117068941">
                                                  <w:marLeft w:val="0"/>
                                                  <w:marRight w:val="0"/>
                                                  <w:marTop w:val="0"/>
                                                  <w:marBottom w:val="0"/>
                                                  <w:divBdr>
                                                    <w:top w:val="none" w:sz="0" w:space="0" w:color="auto"/>
                                                    <w:left w:val="none" w:sz="0" w:space="0" w:color="auto"/>
                                                    <w:bottom w:val="none" w:sz="0" w:space="0" w:color="auto"/>
                                                    <w:right w:val="none" w:sz="0" w:space="0" w:color="auto"/>
                                                  </w:divBdr>
                                                  <w:divsChild>
                                                    <w:div w:id="656692911">
                                                      <w:marLeft w:val="0"/>
                                                      <w:marRight w:val="0"/>
                                                      <w:marTop w:val="0"/>
                                                      <w:marBottom w:val="0"/>
                                                      <w:divBdr>
                                                        <w:top w:val="none" w:sz="0" w:space="0" w:color="auto"/>
                                                        <w:left w:val="none" w:sz="0" w:space="0" w:color="auto"/>
                                                        <w:bottom w:val="none" w:sz="0" w:space="0" w:color="auto"/>
                                                        <w:right w:val="none" w:sz="0" w:space="0" w:color="auto"/>
                                                      </w:divBdr>
                                                      <w:divsChild>
                                                        <w:div w:id="833305068">
                                                          <w:marLeft w:val="0"/>
                                                          <w:marRight w:val="0"/>
                                                          <w:marTop w:val="0"/>
                                                          <w:marBottom w:val="0"/>
                                                          <w:divBdr>
                                                            <w:top w:val="none" w:sz="0" w:space="0" w:color="auto"/>
                                                            <w:left w:val="none" w:sz="0" w:space="0" w:color="auto"/>
                                                            <w:bottom w:val="none" w:sz="0" w:space="0" w:color="auto"/>
                                                            <w:right w:val="none" w:sz="0" w:space="0" w:color="auto"/>
                                                          </w:divBdr>
                                                          <w:divsChild>
                                                            <w:div w:id="824780674">
                                                              <w:marLeft w:val="0"/>
                                                              <w:marRight w:val="0"/>
                                                              <w:marTop w:val="0"/>
                                                              <w:marBottom w:val="0"/>
                                                              <w:divBdr>
                                                                <w:top w:val="none" w:sz="0" w:space="0" w:color="auto"/>
                                                                <w:left w:val="none" w:sz="0" w:space="0" w:color="auto"/>
                                                                <w:bottom w:val="none" w:sz="0" w:space="0" w:color="auto"/>
                                                                <w:right w:val="none" w:sz="0" w:space="0" w:color="auto"/>
                                                              </w:divBdr>
                                                              <w:divsChild>
                                                                <w:div w:id="679041318">
                                                                  <w:marLeft w:val="0"/>
                                                                  <w:marRight w:val="0"/>
                                                                  <w:marTop w:val="0"/>
                                                                  <w:marBottom w:val="0"/>
                                                                  <w:divBdr>
                                                                    <w:top w:val="none" w:sz="0" w:space="0" w:color="auto"/>
                                                                    <w:left w:val="none" w:sz="0" w:space="0" w:color="auto"/>
                                                                    <w:bottom w:val="none" w:sz="0" w:space="0" w:color="auto"/>
                                                                    <w:right w:val="none" w:sz="0" w:space="0" w:color="auto"/>
                                                                  </w:divBdr>
                                                                  <w:divsChild>
                                                                    <w:div w:id="813568874">
                                                                      <w:marLeft w:val="0"/>
                                                                      <w:marRight w:val="0"/>
                                                                      <w:marTop w:val="0"/>
                                                                      <w:marBottom w:val="0"/>
                                                                      <w:divBdr>
                                                                        <w:top w:val="none" w:sz="0" w:space="0" w:color="auto"/>
                                                                        <w:left w:val="none" w:sz="0" w:space="0" w:color="auto"/>
                                                                        <w:bottom w:val="none" w:sz="0" w:space="0" w:color="auto"/>
                                                                        <w:right w:val="none" w:sz="0" w:space="0" w:color="auto"/>
                                                                      </w:divBdr>
                                                                      <w:divsChild>
                                                                        <w:div w:id="378087488">
                                                                          <w:marLeft w:val="0"/>
                                                                          <w:marRight w:val="0"/>
                                                                          <w:marTop w:val="0"/>
                                                                          <w:marBottom w:val="0"/>
                                                                          <w:divBdr>
                                                                            <w:top w:val="none" w:sz="0" w:space="0" w:color="auto"/>
                                                                            <w:left w:val="none" w:sz="0" w:space="0" w:color="auto"/>
                                                                            <w:bottom w:val="none" w:sz="0" w:space="0" w:color="auto"/>
                                                                            <w:right w:val="none" w:sz="0" w:space="0" w:color="auto"/>
                                                                          </w:divBdr>
                                                                        </w:div>
                                                                      </w:divsChild>
                                                                    </w:div>
                                                                    <w:div w:id="821001937">
                                                                      <w:marLeft w:val="0"/>
                                                                      <w:marRight w:val="0"/>
                                                                      <w:marTop w:val="0"/>
                                                                      <w:marBottom w:val="0"/>
                                                                      <w:divBdr>
                                                                        <w:top w:val="none" w:sz="0" w:space="0" w:color="auto"/>
                                                                        <w:left w:val="none" w:sz="0" w:space="0" w:color="auto"/>
                                                                        <w:bottom w:val="none" w:sz="0" w:space="0" w:color="auto"/>
                                                                        <w:right w:val="none" w:sz="0" w:space="0" w:color="auto"/>
                                                                      </w:divBdr>
                                                                      <w:divsChild>
                                                                        <w:div w:id="1390031206">
                                                                          <w:marLeft w:val="0"/>
                                                                          <w:marRight w:val="0"/>
                                                                          <w:marTop w:val="0"/>
                                                                          <w:marBottom w:val="0"/>
                                                                          <w:divBdr>
                                                                            <w:top w:val="none" w:sz="0" w:space="0" w:color="auto"/>
                                                                            <w:left w:val="none" w:sz="0" w:space="0" w:color="auto"/>
                                                                            <w:bottom w:val="none" w:sz="0" w:space="0" w:color="auto"/>
                                                                            <w:right w:val="none" w:sz="0" w:space="0" w:color="auto"/>
                                                                          </w:divBdr>
                                                                        </w:div>
                                                                      </w:divsChild>
                                                                    </w:div>
                                                                    <w:div w:id="847792094">
                                                                      <w:marLeft w:val="0"/>
                                                                      <w:marRight w:val="0"/>
                                                                      <w:marTop w:val="0"/>
                                                                      <w:marBottom w:val="0"/>
                                                                      <w:divBdr>
                                                                        <w:top w:val="none" w:sz="0" w:space="0" w:color="auto"/>
                                                                        <w:left w:val="none" w:sz="0" w:space="0" w:color="auto"/>
                                                                        <w:bottom w:val="none" w:sz="0" w:space="0" w:color="auto"/>
                                                                        <w:right w:val="none" w:sz="0" w:space="0" w:color="auto"/>
                                                                      </w:divBdr>
                                                                      <w:divsChild>
                                                                        <w:div w:id="1621523960">
                                                                          <w:marLeft w:val="0"/>
                                                                          <w:marRight w:val="0"/>
                                                                          <w:marTop w:val="0"/>
                                                                          <w:marBottom w:val="0"/>
                                                                          <w:divBdr>
                                                                            <w:top w:val="none" w:sz="0" w:space="0" w:color="auto"/>
                                                                            <w:left w:val="none" w:sz="0" w:space="0" w:color="auto"/>
                                                                            <w:bottom w:val="none" w:sz="0" w:space="0" w:color="auto"/>
                                                                            <w:right w:val="none" w:sz="0" w:space="0" w:color="auto"/>
                                                                          </w:divBdr>
                                                                        </w:div>
                                                                      </w:divsChild>
                                                                    </w:div>
                                                                    <w:div w:id="1174756910">
                                                                      <w:marLeft w:val="0"/>
                                                                      <w:marRight w:val="0"/>
                                                                      <w:marTop w:val="0"/>
                                                                      <w:marBottom w:val="0"/>
                                                                      <w:divBdr>
                                                                        <w:top w:val="none" w:sz="0" w:space="0" w:color="auto"/>
                                                                        <w:left w:val="none" w:sz="0" w:space="0" w:color="auto"/>
                                                                        <w:bottom w:val="none" w:sz="0" w:space="0" w:color="auto"/>
                                                                        <w:right w:val="none" w:sz="0" w:space="0" w:color="auto"/>
                                                                      </w:divBdr>
                                                                      <w:divsChild>
                                                                        <w:div w:id="1247498578">
                                                                          <w:marLeft w:val="0"/>
                                                                          <w:marRight w:val="0"/>
                                                                          <w:marTop w:val="0"/>
                                                                          <w:marBottom w:val="0"/>
                                                                          <w:divBdr>
                                                                            <w:top w:val="none" w:sz="0" w:space="0" w:color="auto"/>
                                                                            <w:left w:val="none" w:sz="0" w:space="0" w:color="auto"/>
                                                                            <w:bottom w:val="none" w:sz="0" w:space="0" w:color="auto"/>
                                                                            <w:right w:val="none" w:sz="0" w:space="0" w:color="auto"/>
                                                                          </w:divBdr>
                                                                        </w:div>
                                                                      </w:divsChild>
                                                                    </w:div>
                                                                    <w:div w:id="1317031003">
                                                                      <w:marLeft w:val="0"/>
                                                                      <w:marRight w:val="0"/>
                                                                      <w:marTop w:val="0"/>
                                                                      <w:marBottom w:val="0"/>
                                                                      <w:divBdr>
                                                                        <w:top w:val="none" w:sz="0" w:space="0" w:color="auto"/>
                                                                        <w:left w:val="none" w:sz="0" w:space="0" w:color="auto"/>
                                                                        <w:bottom w:val="none" w:sz="0" w:space="0" w:color="auto"/>
                                                                        <w:right w:val="none" w:sz="0" w:space="0" w:color="auto"/>
                                                                      </w:divBdr>
                                                                      <w:divsChild>
                                                                        <w:div w:id="104590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8596313">
      <w:bodyDiv w:val="1"/>
      <w:marLeft w:val="0"/>
      <w:marRight w:val="0"/>
      <w:marTop w:val="0"/>
      <w:marBottom w:val="0"/>
      <w:divBdr>
        <w:top w:val="none" w:sz="0" w:space="0" w:color="auto"/>
        <w:left w:val="none" w:sz="0" w:space="0" w:color="auto"/>
        <w:bottom w:val="none" w:sz="0" w:space="0" w:color="auto"/>
        <w:right w:val="none" w:sz="0" w:space="0" w:color="auto"/>
      </w:divBdr>
      <w:divsChild>
        <w:div w:id="1462386610">
          <w:marLeft w:val="0"/>
          <w:marRight w:val="0"/>
          <w:marTop w:val="0"/>
          <w:marBottom w:val="0"/>
          <w:divBdr>
            <w:top w:val="none" w:sz="0" w:space="0" w:color="auto"/>
            <w:left w:val="single" w:sz="6" w:space="0" w:color="BBBBBB"/>
            <w:bottom w:val="single" w:sz="6" w:space="0" w:color="BBBBBB"/>
            <w:right w:val="single" w:sz="6" w:space="0" w:color="BBBBBB"/>
          </w:divBdr>
          <w:divsChild>
            <w:div w:id="1137380058">
              <w:marLeft w:val="0"/>
              <w:marRight w:val="0"/>
              <w:marTop w:val="0"/>
              <w:marBottom w:val="0"/>
              <w:divBdr>
                <w:top w:val="none" w:sz="0" w:space="0" w:color="auto"/>
                <w:left w:val="none" w:sz="0" w:space="0" w:color="auto"/>
                <w:bottom w:val="none" w:sz="0" w:space="0" w:color="auto"/>
                <w:right w:val="none" w:sz="0" w:space="0" w:color="auto"/>
              </w:divBdr>
              <w:divsChild>
                <w:div w:id="833227451">
                  <w:marLeft w:val="0"/>
                  <w:marRight w:val="0"/>
                  <w:marTop w:val="0"/>
                  <w:marBottom w:val="0"/>
                  <w:divBdr>
                    <w:top w:val="none" w:sz="0" w:space="0" w:color="auto"/>
                    <w:left w:val="none" w:sz="0" w:space="0" w:color="auto"/>
                    <w:bottom w:val="none" w:sz="0" w:space="0" w:color="auto"/>
                    <w:right w:val="none" w:sz="0" w:space="0" w:color="auto"/>
                  </w:divBdr>
                  <w:divsChild>
                    <w:div w:id="1817332506">
                      <w:marLeft w:val="0"/>
                      <w:marRight w:val="0"/>
                      <w:marTop w:val="0"/>
                      <w:marBottom w:val="0"/>
                      <w:divBdr>
                        <w:top w:val="none" w:sz="0" w:space="0" w:color="auto"/>
                        <w:left w:val="none" w:sz="0" w:space="0" w:color="auto"/>
                        <w:bottom w:val="none" w:sz="0" w:space="0" w:color="auto"/>
                        <w:right w:val="none" w:sz="0" w:space="0" w:color="auto"/>
                      </w:divBdr>
                      <w:divsChild>
                        <w:div w:id="93795504">
                          <w:marLeft w:val="0"/>
                          <w:marRight w:val="0"/>
                          <w:marTop w:val="0"/>
                          <w:marBottom w:val="0"/>
                          <w:divBdr>
                            <w:top w:val="none" w:sz="0" w:space="0" w:color="auto"/>
                            <w:left w:val="none" w:sz="0" w:space="0" w:color="auto"/>
                            <w:bottom w:val="none" w:sz="0" w:space="0" w:color="auto"/>
                            <w:right w:val="none" w:sz="0" w:space="0" w:color="auto"/>
                          </w:divBdr>
                          <w:divsChild>
                            <w:div w:id="1789811068">
                              <w:marLeft w:val="0"/>
                              <w:marRight w:val="0"/>
                              <w:marTop w:val="0"/>
                              <w:marBottom w:val="0"/>
                              <w:divBdr>
                                <w:top w:val="none" w:sz="0" w:space="0" w:color="auto"/>
                                <w:left w:val="none" w:sz="0" w:space="0" w:color="auto"/>
                                <w:bottom w:val="none" w:sz="0" w:space="0" w:color="auto"/>
                                <w:right w:val="none" w:sz="0" w:space="0" w:color="auto"/>
                              </w:divBdr>
                              <w:divsChild>
                                <w:div w:id="1916208665">
                                  <w:marLeft w:val="0"/>
                                  <w:marRight w:val="0"/>
                                  <w:marTop w:val="0"/>
                                  <w:marBottom w:val="0"/>
                                  <w:divBdr>
                                    <w:top w:val="none" w:sz="0" w:space="0" w:color="auto"/>
                                    <w:left w:val="none" w:sz="0" w:space="0" w:color="auto"/>
                                    <w:bottom w:val="none" w:sz="0" w:space="0" w:color="auto"/>
                                    <w:right w:val="none" w:sz="0" w:space="0" w:color="auto"/>
                                  </w:divBdr>
                                  <w:divsChild>
                                    <w:div w:id="987366603">
                                      <w:marLeft w:val="0"/>
                                      <w:marRight w:val="0"/>
                                      <w:marTop w:val="0"/>
                                      <w:marBottom w:val="0"/>
                                      <w:divBdr>
                                        <w:top w:val="none" w:sz="0" w:space="0" w:color="auto"/>
                                        <w:left w:val="none" w:sz="0" w:space="0" w:color="auto"/>
                                        <w:bottom w:val="none" w:sz="0" w:space="0" w:color="auto"/>
                                        <w:right w:val="none" w:sz="0" w:space="0" w:color="auto"/>
                                      </w:divBdr>
                                      <w:divsChild>
                                        <w:div w:id="1731031179">
                                          <w:marLeft w:val="1200"/>
                                          <w:marRight w:val="1200"/>
                                          <w:marTop w:val="0"/>
                                          <w:marBottom w:val="0"/>
                                          <w:divBdr>
                                            <w:top w:val="none" w:sz="0" w:space="0" w:color="auto"/>
                                            <w:left w:val="none" w:sz="0" w:space="0" w:color="auto"/>
                                            <w:bottom w:val="none" w:sz="0" w:space="0" w:color="auto"/>
                                            <w:right w:val="none" w:sz="0" w:space="0" w:color="auto"/>
                                          </w:divBdr>
                                          <w:divsChild>
                                            <w:div w:id="2078701335">
                                              <w:marLeft w:val="0"/>
                                              <w:marRight w:val="0"/>
                                              <w:marTop w:val="0"/>
                                              <w:marBottom w:val="0"/>
                                              <w:divBdr>
                                                <w:top w:val="none" w:sz="0" w:space="0" w:color="auto"/>
                                                <w:left w:val="none" w:sz="0" w:space="0" w:color="auto"/>
                                                <w:bottom w:val="none" w:sz="0" w:space="0" w:color="auto"/>
                                                <w:right w:val="none" w:sz="0" w:space="0" w:color="auto"/>
                                              </w:divBdr>
                                              <w:divsChild>
                                                <w:div w:id="218135137">
                                                  <w:marLeft w:val="0"/>
                                                  <w:marRight w:val="0"/>
                                                  <w:marTop w:val="0"/>
                                                  <w:marBottom w:val="0"/>
                                                  <w:divBdr>
                                                    <w:top w:val="none" w:sz="0" w:space="0" w:color="auto"/>
                                                    <w:left w:val="none" w:sz="0" w:space="0" w:color="auto"/>
                                                    <w:bottom w:val="none" w:sz="0" w:space="0" w:color="auto"/>
                                                    <w:right w:val="none" w:sz="0" w:space="0" w:color="auto"/>
                                                  </w:divBdr>
                                                  <w:divsChild>
                                                    <w:div w:id="376706333">
                                                      <w:marLeft w:val="0"/>
                                                      <w:marRight w:val="0"/>
                                                      <w:marTop w:val="0"/>
                                                      <w:marBottom w:val="0"/>
                                                      <w:divBdr>
                                                        <w:top w:val="none" w:sz="0" w:space="0" w:color="auto"/>
                                                        <w:left w:val="none" w:sz="0" w:space="0" w:color="auto"/>
                                                        <w:bottom w:val="none" w:sz="0" w:space="0" w:color="auto"/>
                                                        <w:right w:val="none" w:sz="0" w:space="0" w:color="auto"/>
                                                      </w:divBdr>
                                                      <w:divsChild>
                                                        <w:div w:id="1511292644">
                                                          <w:marLeft w:val="0"/>
                                                          <w:marRight w:val="0"/>
                                                          <w:marTop w:val="0"/>
                                                          <w:marBottom w:val="0"/>
                                                          <w:divBdr>
                                                            <w:top w:val="none" w:sz="0" w:space="0" w:color="auto"/>
                                                            <w:left w:val="none" w:sz="0" w:space="0" w:color="auto"/>
                                                            <w:bottom w:val="none" w:sz="0" w:space="0" w:color="auto"/>
                                                            <w:right w:val="none" w:sz="0" w:space="0" w:color="auto"/>
                                                          </w:divBdr>
                                                          <w:divsChild>
                                                            <w:div w:id="1639799697">
                                                              <w:marLeft w:val="0"/>
                                                              <w:marRight w:val="0"/>
                                                              <w:marTop w:val="0"/>
                                                              <w:marBottom w:val="0"/>
                                                              <w:divBdr>
                                                                <w:top w:val="none" w:sz="0" w:space="0" w:color="auto"/>
                                                                <w:left w:val="none" w:sz="0" w:space="0" w:color="auto"/>
                                                                <w:bottom w:val="none" w:sz="0" w:space="0" w:color="auto"/>
                                                                <w:right w:val="none" w:sz="0" w:space="0" w:color="auto"/>
                                                              </w:divBdr>
                                                              <w:divsChild>
                                                                <w:div w:id="1692143476">
                                                                  <w:marLeft w:val="0"/>
                                                                  <w:marRight w:val="0"/>
                                                                  <w:marTop w:val="0"/>
                                                                  <w:marBottom w:val="0"/>
                                                                  <w:divBdr>
                                                                    <w:top w:val="none" w:sz="0" w:space="0" w:color="auto"/>
                                                                    <w:left w:val="none" w:sz="0" w:space="0" w:color="auto"/>
                                                                    <w:bottom w:val="none" w:sz="0" w:space="0" w:color="auto"/>
                                                                    <w:right w:val="none" w:sz="0" w:space="0" w:color="auto"/>
                                                                  </w:divBdr>
                                                                  <w:divsChild>
                                                                    <w:div w:id="642277495">
                                                                      <w:marLeft w:val="0"/>
                                                                      <w:marRight w:val="0"/>
                                                                      <w:marTop w:val="0"/>
                                                                      <w:marBottom w:val="0"/>
                                                                      <w:divBdr>
                                                                        <w:top w:val="none" w:sz="0" w:space="0" w:color="auto"/>
                                                                        <w:left w:val="none" w:sz="0" w:space="0" w:color="auto"/>
                                                                        <w:bottom w:val="none" w:sz="0" w:space="0" w:color="auto"/>
                                                                        <w:right w:val="none" w:sz="0" w:space="0" w:color="auto"/>
                                                                      </w:divBdr>
                                                                      <w:divsChild>
                                                                        <w:div w:id="1277524184">
                                                                          <w:marLeft w:val="0"/>
                                                                          <w:marRight w:val="0"/>
                                                                          <w:marTop w:val="0"/>
                                                                          <w:marBottom w:val="0"/>
                                                                          <w:divBdr>
                                                                            <w:top w:val="none" w:sz="0" w:space="0" w:color="auto"/>
                                                                            <w:left w:val="none" w:sz="0" w:space="0" w:color="auto"/>
                                                                            <w:bottom w:val="none" w:sz="0" w:space="0" w:color="auto"/>
                                                                            <w:right w:val="none" w:sz="0" w:space="0" w:color="auto"/>
                                                                          </w:divBdr>
                                                                          <w:divsChild>
                                                                            <w:div w:id="1373654597">
                                                                              <w:marLeft w:val="0"/>
                                                                              <w:marRight w:val="0"/>
                                                                              <w:marTop w:val="0"/>
                                                                              <w:marBottom w:val="0"/>
                                                                              <w:divBdr>
                                                                                <w:top w:val="none" w:sz="0" w:space="0" w:color="auto"/>
                                                                                <w:left w:val="none" w:sz="0" w:space="0" w:color="auto"/>
                                                                                <w:bottom w:val="none" w:sz="0" w:space="0" w:color="auto"/>
                                                                                <w:right w:val="none" w:sz="0" w:space="0" w:color="auto"/>
                                                                              </w:divBdr>
                                                                            </w:div>
                                                                          </w:divsChild>
                                                                        </w:div>
                                                                        <w:div w:id="1633437536">
                                                                          <w:marLeft w:val="0"/>
                                                                          <w:marRight w:val="0"/>
                                                                          <w:marTop w:val="0"/>
                                                                          <w:marBottom w:val="0"/>
                                                                          <w:divBdr>
                                                                            <w:top w:val="none" w:sz="0" w:space="0" w:color="auto"/>
                                                                            <w:left w:val="none" w:sz="0" w:space="0" w:color="auto"/>
                                                                            <w:bottom w:val="none" w:sz="0" w:space="0" w:color="auto"/>
                                                                            <w:right w:val="none" w:sz="0" w:space="0" w:color="auto"/>
                                                                          </w:divBdr>
                                                                          <w:divsChild>
                                                                            <w:div w:id="676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591729">
      <w:bodyDiv w:val="1"/>
      <w:marLeft w:val="0"/>
      <w:marRight w:val="0"/>
      <w:marTop w:val="0"/>
      <w:marBottom w:val="0"/>
      <w:divBdr>
        <w:top w:val="none" w:sz="0" w:space="0" w:color="auto"/>
        <w:left w:val="none" w:sz="0" w:space="0" w:color="auto"/>
        <w:bottom w:val="none" w:sz="0" w:space="0" w:color="auto"/>
        <w:right w:val="none" w:sz="0" w:space="0" w:color="auto"/>
      </w:divBdr>
      <w:divsChild>
        <w:div w:id="925573166">
          <w:marLeft w:val="0"/>
          <w:marRight w:val="0"/>
          <w:marTop w:val="0"/>
          <w:marBottom w:val="0"/>
          <w:divBdr>
            <w:top w:val="none" w:sz="0" w:space="0" w:color="auto"/>
            <w:left w:val="none" w:sz="0" w:space="0" w:color="auto"/>
            <w:bottom w:val="none" w:sz="0" w:space="0" w:color="auto"/>
            <w:right w:val="none" w:sz="0" w:space="0" w:color="auto"/>
          </w:divBdr>
        </w:div>
      </w:divsChild>
    </w:div>
    <w:div w:id="451366630">
      <w:bodyDiv w:val="1"/>
      <w:marLeft w:val="0"/>
      <w:marRight w:val="0"/>
      <w:marTop w:val="0"/>
      <w:marBottom w:val="0"/>
      <w:divBdr>
        <w:top w:val="none" w:sz="0" w:space="0" w:color="auto"/>
        <w:left w:val="none" w:sz="0" w:space="0" w:color="auto"/>
        <w:bottom w:val="none" w:sz="0" w:space="0" w:color="auto"/>
        <w:right w:val="none" w:sz="0" w:space="0" w:color="auto"/>
      </w:divBdr>
      <w:divsChild>
        <w:div w:id="1594126485">
          <w:marLeft w:val="0"/>
          <w:marRight w:val="0"/>
          <w:marTop w:val="0"/>
          <w:marBottom w:val="0"/>
          <w:divBdr>
            <w:top w:val="none" w:sz="0" w:space="0" w:color="auto"/>
            <w:left w:val="single" w:sz="6" w:space="0" w:color="BBBBBB"/>
            <w:bottom w:val="single" w:sz="6" w:space="0" w:color="BBBBBB"/>
            <w:right w:val="single" w:sz="6" w:space="0" w:color="BBBBBB"/>
          </w:divBdr>
          <w:divsChild>
            <w:div w:id="1133861940">
              <w:marLeft w:val="0"/>
              <w:marRight w:val="0"/>
              <w:marTop w:val="0"/>
              <w:marBottom w:val="0"/>
              <w:divBdr>
                <w:top w:val="none" w:sz="0" w:space="0" w:color="auto"/>
                <w:left w:val="none" w:sz="0" w:space="0" w:color="auto"/>
                <w:bottom w:val="none" w:sz="0" w:space="0" w:color="auto"/>
                <w:right w:val="none" w:sz="0" w:space="0" w:color="auto"/>
              </w:divBdr>
              <w:divsChild>
                <w:div w:id="558247404">
                  <w:marLeft w:val="0"/>
                  <w:marRight w:val="0"/>
                  <w:marTop w:val="75"/>
                  <w:marBottom w:val="0"/>
                  <w:divBdr>
                    <w:top w:val="none" w:sz="0" w:space="0" w:color="auto"/>
                    <w:left w:val="none" w:sz="0" w:space="0" w:color="auto"/>
                    <w:bottom w:val="none" w:sz="0" w:space="0" w:color="auto"/>
                    <w:right w:val="none" w:sz="0" w:space="0" w:color="auto"/>
                  </w:divBdr>
                  <w:divsChild>
                    <w:div w:id="1345521368">
                      <w:marLeft w:val="0"/>
                      <w:marRight w:val="0"/>
                      <w:marTop w:val="0"/>
                      <w:marBottom w:val="0"/>
                      <w:divBdr>
                        <w:top w:val="none" w:sz="0" w:space="0" w:color="auto"/>
                        <w:left w:val="none" w:sz="0" w:space="0" w:color="auto"/>
                        <w:bottom w:val="none" w:sz="0" w:space="0" w:color="auto"/>
                        <w:right w:val="none" w:sz="0" w:space="0" w:color="auto"/>
                      </w:divBdr>
                      <w:divsChild>
                        <w:div w:id="443156019">
                          <w:marLeft w:val="0"/>
                          <w:marRight w:val="0"/>
                          <w:marTop w:val="0"/>
                          <w:marBottom w:val="0"/>
                          <w:divBdr>
                            <w:top w:val="none" w:sz="0" w:space="0" w:color="auto"/>
                            <w:left w:val="none" w:sz="0" w:space="0" w:color="auto"/>
                            <w:bottom w:val="none" w:sz="0" w:space="0" w:color="auto"/>
                            <w:right w:val="none" w:sz="0" w:space="0" w:color="auto"/>
                          </w:divBdr>
                          <w:divsChild>
                            <w:div w:id="1048720365">
                              <w:marLeft w:val="0"/>
                              <w:marRight w:val="0"/>
                              <w:marTop w:val="0"/>
                              <w:marBottom w:val="0"/>
                              <w:divBdr>
                                <w:top w:val="none" w:sz="0" w:space="0" w:color="auto"/>
                                <w:left w:val="none" w:sz="0" w:space="0" w:color="auto"/>
                                <w:bottom w:val="none" w:sz="0" w:space="0" w:color="auto"/>
                                <w:right w:val="none" w:sz="0" w:space="0" w:color="auto"/>
                              </w:divBdr>
                              <w:divsChild>
                                <w:div w:id="629088750">
                                  <w:marLeft w:val="0"/>
                                  <w:marRight w:val="0"/>
                                  <w:marTop w:val="0"/>
                                  <w:marBottom w:val="0"/>
                                  <w:divBdr>
                                    <w:top w:val="none" w:sz="0" w:space="0" w:color="auto"/>
                                    <w:left w:val="none" w:sz="0" w:space="0" w:color="auto"/>
                                    <w:bottom w:val="none" w:sz="0" w:space="0" w:color="auto"/>
                                    <w:right w:val="none" w:sz="0" w:space="0" w:color="auto"/>
                                  </w:divBdr>
                                  <w:divsChild>
                                    <w:div w:id="405225090">
                                      <w:marLeft w:val="0"/>
                                      <w:marRight w:val="0"/>
                                      <w:marTop w:val="0"/>
                                      <w:marBottom w:val="0"/>
                                      <w:divBdr>
                                        <w:top w:val="none" w:sz="0" w:space="0" w:color="auto"/>
                                        <w:left w:val="none" w:sz="0" w:space="0" w:color="auto"/>
                                        <w:bottom w:val="none" w:sz="0" w:space="0" w:color="auto"/>
                                        <w:right w:val="none" w:sz="0" w:space="0" w:color="auto"/>
                                      </w:divBdr>
                                      <w:divsChild>
                                        <w:div w:id="231737845">
                                          <w:marLeft w:val="1200"/>
                                          <w:marRight w:val="1200"/>
                                          <w:marTop w:val="0"/>
                                          <w:marBottom w:val="0"/>
                                          <w:divBdr>
                                            <w:top w:val="none" w:sz="0" w:space="0" w:color="auto"/>
                                            <w:left w:val="none" w:sz="0" w:space="0" w:color="auto"/>
                                            <w:bottom w:val="none" w:sz="0" w:space="0" w:color="auto"/>
                                            <w:right w:val="none" w:sz="0" w:space="0" w:color="auto"/>
                                          </w:divBdr>
                                          <w:divsChild>
                                            <w:div w:id="1956907136">
                                              <w:marLeft w:val="0"/>
                                              <w:marRight w:val="0"/>
                                              <w:marTop w:val="0"/>
                                              <w:marBottom w:val="0"/>
                                              <w:divBdr>
                                                <w:top w:val="none" w:sz="0" w:space="0" w:color="auto"/>
                                                <w:left w:val="none" w:sz="0" w:space="0" w:color="auto"/>
                                                <w:bottom w:val="none" w:sz="0" w:space="0" w:color="auto"/>
                                                <w:right w:val="none" w:sz="0" w:space="0" w:color="auto"/>
                                              </w:divBdr>
                                              <w:divsChild>
                                                <w:div w:id="2115860455">
                                                  <w:marLeft w:val="0"/>
                                                  <w:marRight w:val="0"/>
                                                  <w:marTop w:val="0"/>
                                                  <w:marBottom w:val="0"/>
                                                  <w:divBdr>
                                                    <w:top w:val="none" w:sz="0" w:space="0" w:color="auto"/>
                                                    <w:left w:val="none" w:sz="0" w:space="0" w:color="auto"/>
                                                    <w:bottom w:val="none" w:sz="0" w:space="0" w:color="auto"/>
                                                    <w:right w:val="none" w:sz="0" w:space="0" w:color="auto"/>
                                                  </w:divBdr>
                                                  <w:divsChild>
                                                    <w:div w:id="97214420">
                                                      <w:marLeft w:val="0"/>
                                                      <w:marRight w:val="0"/>
                                                      <w:marTop w:val="0"/>
                                                      <w:marBottom w:val="0"/>
                                                      <w:divBdr>
                                                        <w:top w:val="none" w:sz="0" w:space="0" w:color="auto"/>
                                                        <w:left w:val="none" w:sz="0" w:space="0" w:color="auto"/>
                                                        <w:bottom w:val="none" w:sz="0" w:space="0" w:color="auto"/>
                                                        <w:right w:val="none" w:sz="0" w:space="0" w:color="auto"/>
                                                      </w:divBdr>
                                                      <w:divsChild>
                                                        <w:div w:id="443614485">
                                                          <w:marLeft w:val="0"/>
                                                          <w:marRight w:val="0"/>
                                                          <w:marTop w:val="0"/>
                                                          <w:marBottom w:val="0"/>
                                                          <w:divBdr>
                                                            <w:top w:val="none" w:sz="0" w:space="0" w:color="auto"/>
                                                            <w:left w:val="none" w:sz="0" w:space="0" w:color="auto"/>
                                                            <w:bottom w:val="none" w:sz="0" w:space="0" w:color="auto"/>
                                                            <w:right w:val="none" w:sz="0" w:space="0" w:color="auto"/>
                                                          </w:divBdr>
                                                          <w:divsChild>
                                                            <w:div w:id="2017532717">
                                                              <w:marLeft w:val="0"/>
                                                              <w:marRight w:val="0"/>
                                                              <w:marTop w:val="0"/>
                                                              <w:marBottom w:val="0"/>
                                                              <w:divBdr>
                                                                <w:top w:val="none" w:sz="0" w:space="0" w:color="auto"/>
                                                                <w:left w:val="none" w:sz="0" w:space="0" w:color="auto"/>
                                                                <w:bottom w:val="none" w:sz="0" w:space="0" w:color="auto"/>
                                                                <w:right w:val="none" w:sz="0" w:space="0" w:color="auto"/>
                                                              </w:divBdr>
                                                              <w:divsChild>
                                                                <w:div w:id="1852403563">
                                                                  <w:marLeft w:val="0"/>
                                                                  <w:marRight w:val="0"/>
                                                                  <w:marTop w:val="0"/>
                                                                  <w:marBottom w:val="0"/>
                                                                  <w:divBdr>
                                                                    <w:top w:val="none" w:sz="0" w:space="0" w:color="auto"/>
                                                                    <w:left w:val="none" w:sz="0" w:space="0" w:color="auto"/>
                                                                    <w:bottom w:val="none" w:sz="0" w:space="0" w:color="auto"/>
                                                                    <w:right w:val="none" w:sz="0" w:space="0" w:color="auto"/>
                                                                  </w:divBdr>
                                                                  <w:divsChild>
                                                                    <w:div w:id="169178974">
                                                                      <w:marLeft w:val="0"/>
                                                                      <w:marRight w:val="0"/>
                                                                      <w:marTop w:val="0"/>
                                                                      <w:marBottom w:val="0"/>
                                                                      <w:divBdr>
                                                                        <w:top w:val="none" w:sz="0" w:space="0" w:color="auto"/>
                                                                        <w:left w:val="none" w:sz="0" w:space="0" w:color="auto"/>
                                                                        <w:bottom w:val="none" w:sz="0" w:space="0" w:color="auto"/>
                                                                        <w:right w:val="none" w:sz="0" w:space="0" w:color="auto"/>
                                                                      </w:divBdr>
                                                                      <w:divsChild>
                                                                        <w:div w:id="153955892">
                                                                          <w:marLeft w:val="0"/>
                                                                          <w:marRight w:val="0"/>
                                                                          <w:marTop w:val="0"/>
                                                                          <w:marBottom w:val="0"/>
                                                                          <w:divBdr>
                                                                            <w:top w:val="none" w:sz="0" w:space="0" w:color="auto"/>
                                                                            <w:left w:val="none" w:sz="0" w:space="0" w:color="auto"/>
                                                                            <w:bottom w:val="none" w:sz="0" w:space="0" w:color="auto"/>
                                                                            <w:right w:val="none" w:sz="0" w:space="0" w:color="auto"/>
                                                                          </w:divBdr>
                                                                        </w:div>
                                                                      </w:divsChild>
                                                                    </w:div>
                                                                    <w:div w:id="378088741">
                                                                      <w:marLeft w:val="0"/>
                                                                      <w:marRight w:val="0"/>
                                                                      <w:marTop w:val="0"/>
                                                                      <w:marBottom w:val="0"/>
                                                                      <w:divBdr>
                                                                        <w:top w:val="none" w:sz="0" w:space="0" w:color="auto"/>
                                                                        <w:left w:val="none" w:sz="0" w:space="0" w:color="auto"/>
                                                                        <w:bottom w:val="none" w:sz="0" w:space="0" w:color="auto"/>
                                                                        <w:right w:val="none" w:sz="0" w:space="0" w:color="auto"/>
                                                                      </w:divBdr>
                                                                      <w:divsChild>
                                                                        <w:div w:id="9428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4832178">
      <w:bodyDiv w:val="1"/>
      <w:marLeft w:val="0"/>
      <w:marRight w:val="0"/>
      <w:marTop w:val="0"/>
      <w:marBottom w:val="0"/>
      <w:divBdr>
        <w:top w:val="none" w:sz="0" w:space="0" w:color="auto"/>
        <w:left w:val="none" w:sz="0" w:space="0" w:color="auto"/>
        <w:bottom w:val="none" w:sz="0" w:space="0" w:color="auto"/>
        <w:right w:val="none" w:sz="0" w:space="0" w:color="auto"/>
      </w:divBdr>
      <w:divsChild>
        <w:div w:id="476997206">
          <w:marLeft w:val="0"/>
          <w:marRight w:val="0"/>
          <w:marTop w:val="0"/>
          <w:marBottom w:val="0"/>
          <w:divBdr>
            <w:top w:val="none" w:sz="0" w:space="0" w:color="auto"/>
            <w:left w:val="none" w:sz="0" w:space="0" w:color="auto"/>
            <w:bottom w:val="none" w:sz="0" w:space="0" w:color="auto"/>
            <w:right w:val="none" w:sz="0" w:space="0" w:color="auto"/>
          </w:divBdr>
          <w:divsChild>
            <w:div w:id="1029525380">
              <w:marLeft w:val="0"/>
              <w:marRight w:val="0"/>
              <w:marTop w:val="0"/>
              <w:marBottom w:val="0"/>
              <w:divBdr>
                <w:top w:val="none" w:sz="0" w:space="0" w:color="auto"/>
                <w:left w:val="none" w:sz="0" w:space="0" w:color="auto"/>
                <w:bottom w:val="none" w:sz="0" w:space="0" w:color="auto"/>
                <w:right w:val="none" w:sz="0" w:space="0" w:color="auto"/>
              </w:divBdr>
              <w:divsChild>
                <w:div w:id="1051735822">
                  <w:marLeft w:val="0"/>
                  <w:marRight w:val="0"/>
                  <w:marTop w:val="0"/>
                  <w:marBottom w:val="0"/>
                  <w:divBdr>
                    <w:top w:val="none" w:sz="0" w:space="0" w:color="auto"/>
                    <w:left w:val="none" w:sz="0" w:space="0" w:color="auto"/>
                    <w:bottom w:val="none" w:sz="0" w:space="0" w:color="auto"/>
                    <w:right w:val="none" w:sz="0" w:space="0" w:color="auto"/>
                  </w:divBdr>
                  <w:divsChild>
                    <w:div w:id="1345547767">
                      <w:marLeft w:val="0"/>
                      <w:marRight w:val="0"/>
                      <w:marTop w:val="0"/>
                      <w:marBottom w:val="300"/>
                      <w:divBdr>
                        <w:top w:val="none" w:sz="0" w:space="0" w:color="auto"/>
                        <w:left w:val="none" w:sz="0" w:space="0" w:color="auto"/>
                        <w:bottom w:val="none" w:sz="0" w:space="0" w:color="auto"/>
                        <w:right w:val="none" w:sz="0" w:space="0" w:color="auto"/>
                      </w:divBdr>
                      <w:divsChild>
                        <w:div w:id="189354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603310">
      <w:bodyDiv w:val="1"/>
      <w:marLeft w:val="0"/>
      <w:marRight w:val="0"/>
      <w:marTop w:val="0"/>
      <w:marBottom w:val="0"/>
      <w:divBdr>
        <w:top w:val="none" w:sz="0" w:space="0" w:color="auto"/>
        <w:left w:val="none" w:sz="0" w:space="0" w:color="auto"/>
        <w:bottom w:val="none" w:sz="0" w:space="0" w:color="auto"/>
        <w:right w:val="none" w:sz="0" w:space="0" w:color="auto"/>
      </w:divBdr>
      <w:divsChild>
        <w:div w:id="927928202">
          <w:marLeft w:val="0"/>
          <w:marRight w:val="0"/>
          <w:marTop w:val="0"/>
          <w:marBottom w:val="0"/>
          <w:divBdr>
            <w:top w:val="none" w:sz="0" w:space="0" w:color="auto"/>
            <w:left w:val="none" w:sz="0" w:space="0" w:color="auto"/>
            <w:bottom w:val="none" w:sz="0" w:space="0" w:color="auto"/>
            <w:right w:val="none" w:sz="0" w:space="0" w:color="auto"/>
          </w:divBdr>
          <w:divsChild>
            <w:div w:id="1458142625">
              <w:marLeft w:val="0"/>
              <w:marRight w:val="0"/>
              <w:marTop w:val="0"/>
              <w:marBottom w:val="0"/>
              <w:divBdr>
                <w:top w:val="none" w:sz="0" w:space="0" w:color="auto"/>
                <w:left w:val="none" w:sz="0" w:space="0" w:color="auto"/>
                <w:bottom w:val="none" w:sz="0" w:space="0" w:color="auto"/>
                <w:right w:val="none" w:sz="0" w:space="0" w:color="auto"/>
              </w:divBdr>
              <w:divsChild>
                <w:div w:id="1153983744">
                  <w:marLeft w:val="0"/>
                  <w:marRight w:val="0"/>
                  <w:marTop w:val="0"/>
                  <w:marBottom w:val="0"/>
                  <w:divBdr>
                    <w:top w:val="none" w:sz="0" w:space="0" w:color="auto"/>
                    <w:left w:val="none" w:sz="0" w:space="0" w:color="auto"/>
                    <w:bottom w:val="none" w:sz="0" w:space="0" w:color="auto"/>
                    <w:right w:val="none" w:sz="0" w:space="0" w:color="auto"/>
                  </w:divBdr>
                  <w:divsChild>
                    <w:div w:id="2105494054">
                      <w:marLeft w:val="0"/>
                      <w:marRight w:val="0"/>
                      <w:marTop w:val="0"/>
                      <w:marBottom w:val="300"/>
                      <w:divBdr>
                        <w:top w:val="none" w:sz="0" w:space="0" w:color="auto"/>
                        <w:left w:val="none" w:sz="0" w:space="0" w:color="auto"/>
                        <w:bottom w:val="none" w:sz="0" w:space="0" w:color="auto"/>
                        <w:right w:val="none" w:sz="0" w:space="0" w:color="auto"/>
                      </w:divBdr>
                      <w:divsChild>
                        <w:div w:id="9567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378979">
      <w:bodyDiv w:val="1"/>
      <w:marLeft w:val="0"/>
      <w:marRight w:val="0"/>
      <w:marTop w:val="0"/>
      <w:marBottom w:val="0"/>
      <w:divBdr>
        <w:top w:val="none" w:sz="0" w:space="0" w:color="auto"/>
        <w:left w:val="none" w:sz="0" w:space="0" w:color="auto"/>
        <w:bottom w:val="none" w:sz="0" w:space="0" w:color="auto"/>
        <w:right w:val="none" w:sz="0" w:space="0" w:color="auto"/>
      </w:divBdr>
      <w:divsChild>
        <w:div w:id="88893805">
          <w:marLeft w:val="0"/>
          <w:marRight w:val="0"/>
          <w:marTop w:val="0"/>
          <w:marBottom w:val="0"/>
          <w:divBdr>
            <w:top w:val="none" w:sz="0" w:space="0" w:color="auto"/>
            <w:left w:val="none" w:sz="0" w:space="0" w:color="auto"/>
            <w:bottom w:val="none" w:sz="0" w:space="0" w:color="auto"/>
            <w:right w:val="none" w:sz="0" w:space="0" w:color="auto"/>
          </w:divBdr>
        </w:div>
        <w:div w:id="94718989">
          <w:marLeft w:val="0"/>
          <w:marRight w:val="0"/>
          <w:marTop w:val="0"/>
          <w:marBottom w:val="0"/>
          <w:divBdr>
            <w:top w:val="none" w:sz="0" w:space="0" w:color="auto"/>
            <w:left w:val="none" w:sz="0" w:space="0" w:color="auto"/>
            <w:bottom w:val="none" w:sz="0" w:space="0" w:color="auto"/>
            <w:right w:val="none" w:sz="0" w:space="0" w:color="auto"/>
          </w:divBdr>
        </w:div>
        <w:div w:id="333191258">
          <w:marLeft w:val="0"/>
          <w:marRight w:val="0"/>
          <w:marTop w:val="0"/>
          <w:marBottom w:val="0"/>
          <w:divBdr>
            <w:top w:val="none" w:sz="0" w:space="0" w:color="auto"/>
            <w:left w:val="none" w:sz="0" w:space="0" w:color="auto"/>
            <w:bottom w:val="none" w:sz="0" w:space="0" w:color="auto"/>
            <w:right w:val="none" w:sz="0" w:space="0" w:color="auto"/>
          </w:divBdr>
        </w:div>
        <w:div w:id="662854141">
          <w:marLeft w:val="0"/>
          <w:marRight w:val="0"/>
          <w:marTop w:val="0"/>
          <w:marBottom w:val="0"/>
          <w:divBdr>
            <w:top w:val="none" w:sz="0" w:space="0" w:color="auto"/>
            <w:left w:val="none" w:sz="0" w:space="0" w:color="auto"/>
            <w:bottom w:val="none" w:sz="0" w:space="0" w:color="auto"/>
            <w:right w:val="none" w:sz="0" w:space="0" w:color="auto"/>
          </w:divBdr>
        </w:div>
        <w:div w:id="667712970">
          <w:marLeft w:val="0"/>
          <w:marRight w:val="0"/>
          <w:marTop w:val="0"/>
          <w:marBottom w:val="0"/>
          <w:divBdr>
            <w:top w:val="none" w:sz="0" w:space="0" w:color="auto"/>
            <w:left w:val="none" w:sz="0" w:space="0" w:color="auto"/>
            <w:bottom w:val="none" w:sz="0" w:space="0" w:color="auto"/>
            <w:right w:val="none" w:sz="0" w:space="0" w:color="auto"/>
          </w:divBdr>
        </w:div>
        <w:div w:id="850486976">
          <w:marLeft w:val="0"/>
          <w:marRight w:val="0"/>
          <w:marTop w:val="0"/>
          <w:marBottom w:val="0"/>
          <w:divBdr>
            <w:top w:val="none" w:sz="0" w:space="0" w:color="auto"/>
            <w:left w:val="none" w:sz="0" w:space="0" w:color="auto"/>
            <w:bottom w:val="none" w:sz="0" w:space="0" w:color="auto"/>
            <w:right w:val="none" w:sz="0" w:space="0" w:color="auto"/>
          </w:divBdr>
        </w:div>
        <w:div w:id="854073382">
          <w:marLeft w:val="0"/>
          <w:marRight w:val="0"/>
          <w:marTop w:val="0"/>
          <w:marBottom w:val="0"/>
          <w:divBdr>
            <w:top w:val="none" w:sz="0" w:space="0" w:color="auto"/>
            <w:left w:val="none" w:sz="0" w:space="0" w:color="auto"/>
            <w:bottom w:val="none" w:sz="0" w:space="0" w:color="auto"/>
            <w:right w:val="none" w:sz="0" w:space="0" w:color="auto"/>
          </w:divBdr>
        </w:div>
        <w:div w:id="1708674774">
          <w:marLeft w:val="0"/>
          <w:marRight w:val="0"/>
          <w:marTop w:val="0"/>
          <w:marBottom w:val="0"/>
          <w:divBdr>
            <w:top w:val="none" w:sz="0" w:space="0" w:color="auto"/>
            <w:left w:val="none" w:sz="0" w:space="0" w:color="auto"/>
            <w:bottom w:val="none" w:sz="0" w:space="0" w:color="auto"/>
            <w:right w:val="none" w:sz="0" w:space="0" w:color="auto"/>
          </w:divBdr>
        </w:div>
        <w:div w:id="1750886564">
          <w:marLeft w:val="0"/>
          <w:marRight w:val="0"/>
          <w:marTop w:val="0"/>
          <w:marBottom w:val="0"/>
          <w:divBdr>
            <w:top w:val="none" w:sz="0" w:space="0" w:color="auto"/>
            <w:left w:val="none" w:sz="0" w:space="0" w:color="auto"/>
            <w:bottom w:val="none" w:sz="0" w:space="0" w:color="auto"/>
            <w:right w:val="none" w:sz="0" w:space="0" w:color="auto"/>
          </w:divBdr>
        </w:div>
        <w:div w:id="1815679145">
          <w:marLeft w:val="0"/>
          <w:marRight w:val="0"/>
          <w:marTop w:val="0"/>
          <w:marBottom w:val="0"/>
          <w:divBdr>
            <w:top w:val="none" w:sz="0" w:space="0" w:color="auto"/>
            <w:left w:val="none" w:sz="0" w:space="0" w:color="auto"/>
            <w:bottom w:val="none" w:sz="0" w:space="0" w:color="auto"/>
            <w:right w:val="none" w:sz="0" w:space="0" w:color="auto"/>
          </w:divBdr>
        </w:div>
        <w:div w:id="1816413480">
          <w:marLeft w:val="0"/>
          <w:marRight w:val="0"/>
          <w:marTop w:val="0"/>
          <w:marBottom w:val="0"/>
          <w:divBdr>
            <w:top w:val="none" w:sz="0" w:space="0" w:color="auto"/>
            <w:left w:val="none" w:sz="0" w:space="0" w:color="auto"/>
            <w:bottom w:val="none" w:sz="0" w:space="0" w:color="auto"/>
            <w:right w:val="none" w:sz="0" w:space="0" w:color="auto"/>
          </w:divBdr>
        </w:div>
      </w:divsChild>
    </w:div>
    <w:div w:id="459230153">
      <w:bodyDiv w:val="1"/>
      <w:marLeft w:val="0"/>
      <w:marRight w:val="0"/>
      <w:marTop w:val="0"/>
      <w:marBottom w:val="0"/>
      <w:divBdr>
        <w:top w:val="none" w:sz="0" w:space="0" w:color="auto"/>
        <w:left w:val="none" w:sz="0" w:space="0" w:color="auto"/>
        <w:bottom w:val="none" w:sz="0" w:space="0" w:color="auto"/>
        <w:right w:val="none" w:sz="0" w:space="0" w:color="auto"/>
      </w:divBdr>
      <w:divsChild>
        <w:div w:id="1567186814">
          <w:marLeft w:val="0"/>
          <w:marRight w:val="0"/>
          <w:marTop w:val="0"/>
          <w:marBottom w:val="0"/>
          <w:divBdr>
            <w:top w:val="none" w:sz="0" w:space="0" w:color="auto"/>
            <w:left w:val="none" w:sz="0" w:space="0" w:color="auto"/>
            <w:bottom w:val="none" w:sz="0" w:space="0" w:color="auto"/>
            <w:right w:val="none" w:sz="0" w:space="0" w:color="auto"/>
          </w:divBdr>
          <w:divsChild>
            <w:div w:id="866136333">
              <w:marLeft w:val="0"/>
              <w:marRight w:val="0"/>
              <w:marTop w:val="0"/>
              <w:marBottom w:val="0"/>
              <w:divBdr>
                <w:top w:val="none" w:sz="0" w:space="0" w:color="auto"/>
                <w:left w:val="none" w:sz="0" w:space="0" w:color="auto"/>
                <w:bottom w:val="none" w:sz="0" w:space="0" w:color="auto"/>
                <w:right w:val="none" w:sz="0" w:space="0" w:color="auto"/>
              </w:divBdr>
              <w:divsChild>
                <w:div w:id="1163661955">
                  <w:marLeft w:val="0"/>
                  <w:marRight w:val="0"/>
                  <w:marTop w:val="0"/>
                  <w:marBottom w:val="0"/>
                  <w:divBdr>
                    <w:top w:val="none" w:sz="0" w:space="0" w:color="auto"/>
                    <w:left w:val="none" w:sz="0" w:space="0" w:color="auto"/>
                    <w:bottom w:val="none" w:sz="0" w:space="0" w:color="auto"/>
                    <w:right w:val="none" w:sz="0" w:space="0" w:color="auto"/>
                  </w:divBdr>
                  <w:divsChild>
                    <w:div w:id="1865096206">
                      <w:marLeft w:val="0"/>
                      <w:marRight w:val="0"/>
                      <w:marTop w:val="0"/>
                      <w:marBottom w:val="375"/>
                      <w:divBdr>
                        <w:top w:val="none" w:sz="0" w:space="0" w:color="auto"/>
                        <w:left w:val="none" w:sz="0" w:space="0" w:color="auto"/>
                        <w:bottom w:val="none" w:sz="0" w:space="0" w:color="auto"/>
                        <w:right w:val="none" w:sz="0" w:space="0" w:color="auto"/>
                      </w:divBdr>
                      <w:divsChild>
                        <w:div w:id="12536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804703">
      <w:bodyDiv w:val="1"/>
      <w:marLeft w:val="0"/>
      <w:marRight w:val="0"/>
      <w:marTop w:val="0"/>
      <w:marBottom w:val="0"/>
      <w:divBdr>
        <w:top w:val="none" w:sz="0" w:space="0" w:color="auto"/>
        <w:left w:val="none" w:sz="0" w:space="0" w:color="auto"/>
        <w:bottom w:val="none" w:sz="0" w:space="0" w:color="auto"/>
        <w:right w:val="none" w:sz="0" w:space="0" w:color="auto"/>
      </w:divBdr>
      <w:divsChild>
        <w:div w:id="1900751315">
          <w:marLeft w:val="0"/>
          <w:marRight w:val="0"/>
          <w:marTop w:val="0"/>
          <w:marBottom w:val="0"/>
          <w:divBdr>
            <w:top w:val="none" w:sz="0" w:space="0" w:color="auto"/>
            <w:left w:val="none" w:sz="0" w:space="0" w:color="auto"/>
            <w:bottom w:val="none" w:sz="0" w:space="0" w:color="auto"/>
            <w:right w:val="none" w:sz="0" w:space="0" w:color="auto"/>
          </w:divBdr>
          <w:divsChild>
            <w:div w:id="1037579544">
              <w:marLeft w:val="0"/>
              <w:marRight w:val="0"/>
              <w:marTop w:val="0"/>
              <w:marBottom w:val="0"/>
              <w:divBdr>
                <w:top w:val="none" w:sz="0" w:space="0" w:color="auto"/>
                <w:left w:val="none" w:sz="0" w:space="0" w:color="auto"/>
                <w:bottom w:val="none" w:sz="0" w:space="0" w:color="auto"/>
                <w:right w:val="none" w:sz="0" w:space="0" w:color="auto"/>
              </w:divBdr>
              <w:divsChild>
                <w:div w:id="237981146">
                  <w:marLeft w:val="0"/>
                  <w:marRight w:val="0"/>
                  <w:marTop w:val="0"/>
                  <w:marBottom w:val="0"/>
                  <w:divBdr>
                    <w:top w:val="none" w:sz="0" w:space="0" w:color="auto"/>
                    <w:left w:val="none" w:sz="0" w:space="0" w:color="auto"/>
                    <w:bottom w:val="none" w:sz="0" w:space="0" w:color="auto"/>
                    <w:right w:val="none" w:sz="0" w:space="0" w:color="auto"/>
                  </w:divBdr>
                  <w:divsChild>
                    <w:div w:id="410389105">
                      <w:marLeft w:val="0"/>
                      <w:marRight w:val="0"/>
                      <w:marTop w:val="0"/>
                      <w:marBottom w:val="300"/>
                      <w:divBdr>
                        <w:top w:val="none" w:sz="0" w:space="0" w:color="auto"/>
                        <w:left w:val="none" w:sz="0" w:space="0" w:color="auto"/>
                        <w:bottom w:val="none" w:sz="0" w:space="0" w:color="auto"/>
                        <w:right w:val="none" w:sz="0" w:space="0" w:color="auto"/>
                      </w:divBdr>
                      <w:divsChild>
                        <w:div w:id="10177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46746">
      <w:bodyDiv w:val="1"/>
      <w:marLeft w:val="0"/>
      <w:marRight w:val="0"/>
      <w:marTop w:val="0"/>
      <w:marBottom w:val="0"/>
      <w:divBdr>
        <w:top w:val="none" w:sz="0" w:space="0" w:color="auto"/>
        <w:left w:val="none" w:sz="0" w:space="0" w:color="auto"/>
        <w:bottom w:val="none" w:sz="0" w:space="0" w:color="auto"/>
        <w:right w:val="none" w:sz="0" w:space="0" w:color="auto"/>
      </w:divBdr>
      <w:divsChild>
        <w:div w:id="275603523">
          <w:marLeft w:val="0"/>
          <w:marRight w:val="0"/>
          <w:marTop w:val="0"/>
          <w:marBottom w:val="0"/>
          <w:divBdr>
            <w:top w:val="none" w:sz="0" w:space="0" w:color="auto"/>
            <w:left w:val="none" w:sz="0" w:space="0" w:color="auto"/>
            <w:bottom w:val="none" w:sz="0" w:space="0" w:color="auto"/>
            <w:right w:val="none" w:sz="0" w:space="0" w:color="auto"/>
          </w:divBdr>
          <w:divsChild>
            <w:div w:id="289635470">
              <w:marLeft w:val="0"/>
              <w:marRight w:val="0"/>
              <w:marTop w:val="0"/>
              <w:marBottom w:val="0"/>
              <w:divBdr>
                <w:top w:val="none" w:sz="0" w:space="0" w:color="auto"/>
                <w:left w:val="none" w:sz="0" w:space="0" w:color="auto"/>
                <w:bottom w:val="none" w:sz="0" w:space="0" w:color="auto"/>
                <w:right w:val="none" w:sz="0" w:space="0" w:color="auto"/>
              </w:divBdr>
              <w:divsChild>
                <w:div w:id="1220945763">
                  <w:marLeft w:val="0"/>
                  <w:marRight w:val="0"/>
                  <w:marTop w:val="0"/>
                  <w:marBottom w:val="0"/>
                  <w:divBdr>
                    <w:top w:val="none" w:sz="0" w:space="0" w:color="auto"/>
                    <w:left w:val="none" w:sz="0" w:space="0" w:color="auto"/>
                    <w:bottom w:val="none" w:sz="0" w:space="0" w:color="auto"/>
                    <w:right w:val="none" w:sz="0" w:space="0" w:color="auto"/>
                  </w:divBdr>
                  <w:divsChild>
                    <w:div w:id="1245069642">
                      <w:marLeft w:val="0"/>
                      <w:marRight w:val="0"/>
                      <w:marTop w:val="0"/>
                      <w:marBottom w:val="0"/>
                      <w:divBdr>
                        <w:top w:val="none" w:sz="0" w:space="0" w:color="auto"/>
                        <w:left w:val="none" w:sz="0" w:space="0" w:color="auto"/>
                        <w:bottom w:val="none" w:sz="0" w:space="0" w:color="auto"/>
                        <w:right w:val="none" w:sz="0" w:space="0" w:color="auto"/>
                      </w:divBdr>
                      <w:divsChild>
                        <w:div w:id="1906335532">
                          <w:marLeft w:val="0"/>
                          <w:marRight w:val="0"/>
                          <w:marTop w:val="0"/>
                          <w:marBottom w:val="0"/>
                          <w:divBdr>
                            <w:top w:val="none" w:sz="0" w:space="0" w:color="auto"/>
                            <w:left w:val="none" w:sz="0" w:space="0" w:color="auto"/>
                            <w:bottom w:val="none" w:sz="0" w:space="0" w:color="auto"/>
                            <w:right w:val="none" w:sz="0" w:space="0" w:color="auto"/>
                          </w:divBdr>
                          <w:divsChild>
                            <w:div w:id="510410262">
                              <w:marLeft w:val="0"/>
                              <w:marRight w:val="0"/>
                              <w:marTop w:val="0"/>
                              <w:marBottom w:val="0"/>
                              <w:divBdr>
                                <w:top w:val="none" w:sz="0" w:space="0" w:color="auto"/>
                                <w:left w:val="none" w:sz="0" w:space="0" w:color="auto"/>
                                <w:bottom w:val="none" w:sz="0" w:space="0" w:color="auto"/>
                                <w:right w:val="none" w:sz="0" w:space="0" w:color="auto"/>
                              </w:divBdr>
                              <w:divsChild>
                                <w:div w:id="25560010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507058">
      <w:bodyDiv w:val="1"/>
      <w:marLeft w:val="0"/>
      <w:marRight w:val="0"/>
      <w:marTop w:val="0"/>
      <w:marBottom w:val="0"/>
      <w:divBdr>
        <w:top w:val="none" w:sz="0" w:space="0" w:color="auto"/>
        <w:left w:val="none" w:sz="0" w:space="0" w:color="auto"/>
        <w:bottom w:val="none" w:sz="0" w:space="0" w:color="auto"/>
        <w:right w:val="none" w:sz="0" w:space="0" w:color="auto"/>
      </w:divBdr>
      <w:divsChild>
        <w:div w:id="1882356625">
          <w:marLeft w:val="0"/>
          <w:marRight w:val="0"/>
          <w:marTop w:val="0"/>
          <w:marBottom w:val="0"/>
          <w:divBdr>
            <w:top w:val="none" w:sz="0" w:space="0" w:color="auto"/>
            <w:left w:val="none" w:sz="0" w:space="0" w:color="auto"/>
            <w:bottom w:val="none" w:sz="0" w:space="0" w:color="auto"/>
            <w:right w:val="none" w:sz="0" w:space="0" w:color="auto"/>
          </w:divBdr>
          <w:divsChild>
            <w:div w:id="807168741">
              <w:marLeft w:val="0"/>
              <w:marRight w:val="0"/>
              <w:marTop w:val="0"/>
              <w:marBottom w:val="0"/>
              <w:divBdr>
                <w:top w:val="none" w:sz="0" w:space="0" w:color="auto"/>
                <w:left w:val="none" w:sz="0" w:space="0" w:color="auto"/>
                <w:bottom w:val="none" w:sz="0" w:space="0" w:color="auto"/>
                <w:right w:val="none" w:sz="0" w:space="0" w:color="auto"/>
              </w:divBdr>
              <w:divsChild>
                <w:div w:id="2013288846">
                  <w:marLeft w:val="0"/>
                  <w:marRight w:val="0"/>
                  <w:marTop w:val="0"/>
                  <w:marBottom w:val="0"/>
                  <w:divBdr>
                    <w:top w:val="none" w:sz="0" w:space="0" w:color="auto"/>
                    <w:left w:val="none" w:sz="0" w:space="0" w:color="auto"/>
                    <w:bottom w:val="none" w:sz="0" w:space="0" w:color="auto"/>
                    <w:right w:val="none" w:sz="0" w:space="0" w:color="auto"/>
                  </w:divBdr>
                  <w:divsChild>
                    <w:div w:id="120538163">
                      <w:marLeft w:val="0"/>
                      <w:marRight w:val="0"/>
                      <w:marTop w:val="0"/>
                      <w:marBottom w:val="375"/>
                      <w:divBdr>
                        <w:top w:val="none" w:sz="0" w:space="0" w:color="auto"/>
                        <w:left w:val="none" w:sz="0" w:space="0" w:color="auto"/>
                        <w:bottom w:val="none" w:sz="0" w:space="0" w:color="auto"/>
                        <w:right w:val="none" w:sz="0" w:space="0" w:color="auto"/>
                      </w:divBdr>
                      <w:divsChild>
                        <w:div w:id="18696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13371">
      <w:bodyDiv w:val="1"/>
      <w:marLeft w:val="0"/>
      <w:marRight w:val="0"/>
      <w:marTop w:val="0"/>
      <w:marBottom w:val="0"/>
      <w:divBdr>
        <w:top w:val="none" w:sz="0" w:space="0" w:color="auto"/>
        <w:left w:val="none" w:sz="0" w:space="0" w:color="auto"/>
        <w:bottom w:val="none" w:sz="0" w:space="0" w:color="auto"/>
        <w:right w:val="none" w:sz="0" w:space="0" w:color="auto"/>
      </w:divBdr>
      <w:divsChild>
        <w:div w:id="1271862608">
          <w:marLeft w:val="0"/>
          <w:marRight w:val="0"/>
          <w:marTop w:val="0"/>
          <w:marBottom w:val="0"/>
          <w:divBdr>
            <w:top w:val="none" w:sz="0" w:space="0" w:color="auto"/>
            <w:left w:val="none" w:sz="0" w:space="0" w:color="auto"/>
            <w:bottom w:val="none" w:sz="0" w:space="0" w:color="auto"/>
            <w:right w:val="none" w:sz="0" w:space="0" w:color="auto"/>
          </w:divBdr>
          <w:divsChild>
            <w:div w:id="8620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5328">
      <w:bodyDiv w:val="1"/>
      <w:marLeft w:val="0"/>
      <w:marRight w:val="0"/>
      <w:marTop w:val="0"/>
      <w:marBottom w:val="0"/>
      <w:divBdr>
        <w:top w:val="none" w:sz="0" w:space="0" w:color="auto"/>
        <w:left w:val="none" w:sz="0" w:space="0" w:color="auto"/>
        <w:bottom w:val="none" w:sz="0" w:space="0" w:color="auto"/>
        <w:right w:val="none" w:sz="0" w:space="0" w:color="auto"/>
      </w:divBdr>
      <w:divsChild>
        <w:div w:id="1442340581">
          <w:marLeft w:val="0"/>
          <w:marRight w:val="0"/>
          <w:marTop w:val="0"/>
          <w:marBottom w:val="0"/>
          <w:divBdr>
            <w:top w:val="none" w:sz="0" w:space="0" w:color="auto"/>
            <w:left w:val="none" w:sz="0" w:space="0" w:color="auto"/>
            <w:bottom w:val="none" w:sz="0" w:space="0" w:color="auto"/>
            <w:right w:val="none" w:sz="0" w:space="0" w:color="auto"/>
          </w:divBdr>
          <w:divsChild>
            <w:div w:id="342097932">
              <w:marLeft w:val="0"/>
              <w:marRight w:val="0"/>
              <w:marTop w:val="0"/>
              <w:marBottom w:val="0"/>
              <w:divBdr>
                <w:top w:val="none" w:sz="0" w:space="0" w:color="auto"/>
                <w:left w:val="none" w:sz="0" w:space="0" w:color="auto"/>
                <w:bottom w:val="none" w:sz="0" w:space="0" w:color="auto"/>
                <w:right w:val="none" w:sz="0" w:space="0" w:color="auto"/>
              </w:divBdr>
              <w:divsChild>
                <w:div w:id="1193611652">
                  <w:marLeft w:val="0"/>
                  <w:marRight w:val="0"/>
                  <w:marTop w:val="0"/>
                  <w:marBottom w:val="0"/>
                  <w:divBdr>
                    <w:top w:val="none" w:sz="0" w:space="0" w:color="auto"/>
                    <w:left w:val="none" w:sz="0" w:space="0" w:color="auto"/>
                    <w:bottom w:val="none" w:sz="0" w:space="0" w:color="auto"/>
                    <w:right w:val="none" w:sz="0" w:space="0" w:color="auto"/>
                  </w:divBdr>
                  <w:divsChild>
                    <w:div w:id="1297955405">
                      <w:marLeft w:val="0"/>
                      <w:marRight w:val="0"/>
                      <w:marTop w:val="0"/>
                      <w:marBottom w:val="300"/>
                      <w:divBdr>
                        <w:top w:val="none" w:sz="0" w:space="0" w:color="auto"/>
                        <w:left w:val="none" w:sz="0" w:space="0" w:color="auto"/>
                        <w:bottom w:val="none" w:sz="0" w:space="0" w:color="auto"/>
                        <w:right w:val="none" w:sz="0" w:space="0" w:color="auto"/>
                      </w:divBdr>
                      <w:divsChild>
                        <w:div w:id="1189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522703">
      <w:bodyDiv w:val="1"/>
      <w:marLeft w:val="0"/>
      <w:marRight w:val="0"/>
      <w:marTop w:val="0"/>
      <w:marBottom w:val="0"/>
      <w:divBdr>
        <w:top w:val="none" w:sz="0" w:space="0" w:color="auto"/>
        <w:left w:val="none" w:sz="0" w:space="0" w:color="auto"/>
        <w:bottom w:val="none" w:sz="0" w:space="0" w:color="auto"/>
        <w:right w:val="none" w:sz="0" w:space="0" w:color="auto"/>
      </w:divBdr>
      <w:divsChild>
        <w:div w:id="1231429768">
          <w:marLeft w:val="0"/>
          <w:marRight w:val="0"/>
          <w:marTop w:val="0"/>
          <w:marBottom w:val="0"/>
          <w:divBdr>
            <w:top w:val="none" w:sz="0" w:space="0" w:color="auto"/>
            <w:left w:val="none" w:sz="0" w:space="0" w:color="auto"/>
            <w:bottom w:val="none" w:sz="0" w:space="0" w:color="auto"/>
            <w:right w:val="none" w:sz="0" w:space="0" w:color="auto"/>
          </w:divBdr>
        </w:div>
        <w:div w:id="139926978">
          <w:marLeft w:val="0"/>
          <w:marRight w:val="0"/>
          <w:marTop w:val="240"/>
          <w:marBottom w:val="0"/>
          <w:divBdr>
            <w:top w:val="none" w:sz="0" w:space="0" w:color="auto"/>
            <w:left w:val="none" w:sz="0" w:space="0" w:color="auto"/>
            <w:bottom w:val="none" w:sz="0" w:space="0" w:color="auto"/>
            <w:right w:val="none" w:sz="0" w:space="0" w:color="auto"/>
          </w:divBdr>
          <w:divsChild>
            <w:div w:id="279268154">
              <w:marLeft w:val="0"/>
              <w:marRight w:val="0"/>
              <w:marTop w:val="0"/>
              <w:marBottom w:val="0"/>
              <w:divBdr>
                <w:top w:val="none" w:sz="0" w:space="0" w:color="auto"/>
                <w:left w:val="none" w:sz="0" w:space="0" w:color="auto"/>
                <w:bottom w:val="none" w:sz="0" w:space="0" w:color="auto"/>
                <w:right w:val="none" w:sz="0" w:space="0" w:color="auto"/>
              </w:divBdr>
            </w:div>
          </w:divsChild>
        </w:div>
        <w:div w:id="1243101596">
          <w:marLeft w:val="0"/>
          <w:marRight w:val="0"/>
          <w:marTop w:val="240"/>
          <w:marBottom w:val="0"/>
          <w:divBdr>
            <w:top w:val="none" w:sz="0" w:space="0" w:color="auto"/>
            <w:left w:val="none" w:sz="0" w:space="0" w:color="auto"/>
            <w:bottom w:val="none" w:sz="0" w:space="0" w:color="auto"/>
            <w:right w:val="none" w:sz="0" w:space="0" w:color="auto"/>
          </w:divBdr>
          <w:divsChild>
            <w:div w:id="996609053">
              <w:marLeft w:val="0"/>
              <w:marRight w:val="0"/>
              <w:marTop w:val="0"/>
              <w:marBottom w:val="0"/>
              <w:divBdr>
                <w:top w:val="none" w:sz="0" w:space="0" w:color="auto"/>
                <w:left w:val="none" w:sz="0" w:space="0" w:color="auto"/>
                <w:bottom w:val="none" w:sz="0" w:space="0" w:color="auto"/>
                <w:right w:val="none" w:sz="0" w:space="0" w:color="auto"/>
              </w:divBdr>
            </w:div>
          </w:divsChild>
        </w:div>
        <w:div w:id="1377197630">
          <w:marLeft w:val="0"/>
          <w:marRight w:val="0"/>
          <w:marTop w:val="240"/>
          <w:marBottom w:val="0"/>
          <w:divBdr>
            <w:top w:val="none" w:sz="0" w:space="0" w:color="auto"/>
            <w:left w:val="none" w:sz="0" w:space="0" w:color="auto"/>
            <w:bottom w:val="none" w:sz="0" w:space="0" w:color="auto"/>
            <w:right w:val="none" w:sz="0" w:space="0" w:color="auto"/>
          </w:divBdr>
          <w:divsChild>
            <w:div w:id="575945637">
              <w:marLeft w:val="0"/>
              <w:marRight w:val="0"/>
              <w:marTop w:val="0"/>
              <w:marBottom w:val="0"/>
              <w:divBdr>
                <w:top w:val="none" w:sz="0" w:space="0" w:color="auto"/>
                <w:left w:val="none" w:sz="0" w:space="0" w:color="auto"/>
                <w:bottom w:val="none" w:sz="0" w:space="0" w:color="auto"/>
                <w:right w:val="none" w:sz="0" w:space="0" w:color="auto"/>
              </w:divBdr>
            </w:div>
          </w:divsChild>
        </w:div>
        <w:div w:id="1925652329">
          <w:marLeft w:val="0"/>
          <w:marRight w:val="0"/>
          <w:marTop w:val="240"/>
          <w:marBottom w:val="0"/>
          <w:divBdr>
            <w:top w:val="none" w:sz="0" w:space="0" w:color="auto"/>
            <w:left w:val="none" w:sz="0" w:space="0" w:color="auto"/>
            <w:bottom w:val="none" w:sz="0" w:space="0" w:color="auto"/>
            <w:right w:val="none" w:sz="0" w:space="0" w:color="auto"/>
          </w:divBdr>
          <w:divsChild>
            <w:div w:id="556625740">
              <w:marLeft w:val="0"/>
              <w:marRight w:val="0"/>
              <w:marTop w:val="0"/>
              <w:marBottom w:val="0"/>
              <w:divBdr>
                <w:top w:val="none" w:sz="0" w:space="0" w:color="auto"/>
                <w:left w:val="none" w:sz="0" w:space="0" w:color="auto"/>
                <w:bottom w:val="none" w:sz="0" w:space="0" w:color="auto"/>
                <w:right w:val="none" w:sz="0" w:space="0" w:color="auto"/>
              </w:divBdr>
            </w:div>
          </w:divsChild>
        </w:div>
        <w:div w:id="1925265339">
          <w:marLeft w:val="0"/>
          <w:marRight w:val="0"/>
          <w:marTop w:val="240"/>
          <w:marBottom w:val="0"/>
          <w:divBdr>
            <w:top w:val="none" w:sz="0" w:space="0" w:color="auto"/>
            <w:left w:val="none" w:sz="0" w:space="0" w:color="auto"/>
            <w:bottom w:val="none" w:sz="0" w:space="0" w:color="auto"/>
            <w:right w:val="none" w:sz="0" w:space="0" w:color="auto"/>
          </w:divBdr>
          <w:divsChild>
            <w:div w:id="21089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1489">
      <w:bodyDiv w:val="1"/>
      <w:marLeft w:val="0"/>
      <w:marRight w:val="0"/>
      <w:marTop w:val="0"/>
      <w:marBottom w:val="0"/>
      <w:divBdr>
        <w:top w:val="none" w:sz="0" w:space="0" w:color="auto"/>
        <w:left w:val="none" w:sz="0" w:space="0" w:color="auto"/>
        <w:bottom w:val="none" w:sz="0" w:space="0" w:color="auto"/>
        <w:right w:val="none" w:sz="0" w:space="0" w:color="auto"/>
      </w:divBdr>
      <w:divsChild>
        <w:div w:id="683900434">
          <w:marLeft w:val="0"/>
          <w:marRight w:val="0"/>
          <w:marTop w:val="240"/>
          <w:marBottom w:val="0"/>
          <w:divBdr>
            <w:top w:val="none" w:sz="0" w:space="0" w:color="auto"/>
            <w:left w:val="none" w:sz="0" w:space="0" w:color="auto"/>
            <w:bottom w:val="none" w:sz="0" w:space="0" w:color="auto"/>
            <w:right w:val="none" w:sz="0" w:space="0" w:color="auto"/>
          </w:divBdr>
          <w:divsChild>
            <w:div w:id="375545910">
              <w:marLeft w:val="0"/>
              <w:marRight w:val="0"/>
              <w:marTop w:val="0"/>
              <w:marBottom w:val="0"/>
              <w:divBdr>
                <w:top w:val="none" w:sz="0" w:space="0" w:color="auto"/>
                <w:left w:val="none" w:sz="0" w:space="0" w:color="auto"/>
                <w:bottom w:val="none" w:sz="0" w:space="0" w:color="auto"/>
                <w:right w:val="none" w:sz="0" w:space="0" w:color="auto"/>
              </w:divBdr>
            </w:div>
          </w:divsChild>
        </w:div>
        <w:div w:id="1263340452">
          <w:marLeft w:val="0"/>
          <w:marRight w:val="0"/>
          <w:marTop w:val="240"/>
          <w:marBottom w:val="0"/>
          <w:divBdr>
            <w:top w:val="none" w:sz="0" w:space="0" w:color="auto"/>
            <w:left w:val="none" w:sz="0" w:space="0" w:color="auto"/>
            <w:bottom w:val="none" w:sz="0" w:space="0" w:color="auto"/>
            <w:right w:val="none" w:sz="0" w:space="0" w:color="auto"/>
          </w:divBdr>
          <w:divsChild>
            <w:div w:id="14701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6010">
      <w:bodyDiv w:val="1"/>
      <w:marLeft w:val="0"/>
      <w:marRight w:val="0"/>
      <w:marTop w:val="0"/>
      <w:marBottom w:val="0"/>
      <w:divBdr>
        <w:top w:val="none" w:sz="0" w:space="0" w:color="auto"/>
        <w:left w:val="none" w:sz="0" w:space="0" w:color="auto"/>
        <w:bottom w:val="none" w:sz="0" w:space="0" w:color="auto"/>
        <w:right w:val="none" w:sz="0" w:space="0" w:color="auto"/>
      </w:divBdr>
    </w:div>
    <w:div w:id="481234674">
      <w:bodyDiv w:val="1"/>
      <w:marLeft w:val="0"/>
      <w:marRight w:val="0"/>
      <w:marTop w:val="0"/>
      <w:marBottom w:val="0"/>
      <w:divBdr>
        <w:top w:val="none" w:sz="0" w:space="0" w:color="auto"/>
        <w:left w:val="none" w:sz="0" w:space="0" w:color="auto"/>
        <w:bottom w:val="none" w:sz="0" w:space="0" w:color="auto"/>
        <w:right w:val="none" w:sz="0" w:space="0" w:color="auto"/>
      </w:divBdr>
      <w:divsChild>
        <w:div w:id="663122923">
          <w:marLeft w:val="0"/>
          <w:marRight w:val="0"/>
          <w:marTop w:val="0"/>
          <w:marBottom w:val="0"/>
          <w:divBdr>
            <w:top w:val="none" w:sz="0" w:space="0" w:color="auto"/>
            <w:left w:val="single" w:sz="6" w:space="0" w:color="BBBBBB"/>
            <w:bottom w:val="single" w:sz="6" w:space="0" w:color="BBBBBB"/>
            <w:right w:val="single" w:sz="6" w:space="0" w:color="BBBBBB"/>
          </w:divBdr>
          <w:divsChild>
            <w:div w:id="993143618">
              <w:marLeft w:val="0"/>
              <w:marRight w:val="0"/>
              <w:marTop w:val="0"/>
              <w:marBottom w:val="0"/>
              <w:divBdr>
                <w:top w:val="none" w:sz="0" w:space="0" w:color="auto"/>
                <w:left w:val="none" w:sz="0" w:space="0" w:color="auto"/>
                <w:bottom w:val="none" w:sz="0" w:space="0" w:color="auto"/>
                <w:right w:val="none" w:sz="0" w:space="0" w:color="auto"/>
              </w:divBdr>
              <w:divsChild>
                <w:div w:id="1990478448">
                  <w:marLeft w:val="0"/>
                  <w:marRight w:val="0"/>
                  <w:marTop w:val="75"/>
                  <w:marBottom w:val="0"/>
                  <w:divBdr>
                    <w:top w:val="none" w:sz="0" w:space="0" w:color="auto"/>
                    <w:left w:val="none" w:sz="0" w:space="0" w:color="auto"/>
                    <w:bottom w:val="none" w:sz="0" w:space="0" w:color="auto"/>
                    <w:right w:val="none" w:sz="0" w:space="0" w:color="auto"/>
                  </w:divBdr>
                  <w:divsChild>
                    <w:div w:id="1109856717">
                      <w:marLeft w:val="0"/>
                      <w:marRight w:val="0"/>
                      <w:marTop w:val="0"/>
                      <w:marBottom w:val="0"/>
                      <w:divBdr>
                        <w:top w:val="none" w:sz="0" w:space="0" w:color="auto"/>
                        <w:left w:val="none" w:sz="0" w:space="0" w:color="auto"/>
                        <w:bottom w:val="none" w:sz="0" w:space="0" w:color="auto"/>
                        <w:right w:val="none" w:sz="0" w:space="0" w:color="auto"/>
                      </w:divBdr>
                      <w:divsChild>
                        <w:div w:id="1678775276">
                          <w:marLeft w:val="0"/>
                          <w:marRight w:val="0"/>
                          <w:marTop w:val="0"/>
                          <w:marBottom w:val="0"/>
                          <w:divBdr>
                            <w:top w:val="none" w:sz="0" w:space="0" w:color="auto"/>
                            <w:left w:val="none" w:sz="0" w:space="0" w:color="auto"/>
                            <w:bottom w:val="none" w:sz="0" w:space="0" w:color="auto"/>
                            <w:right w:val="none" w:sz="0" w:space="0" w:color="auto"/>
                          </w:divBdr>
                          <w:divsChild>
                            <w:div w:id="1632662475">
                              <w:marLeft w:val="0"/>
                              <w:marRight w:val="0"/>
                              <w:marTop w:val="0"/>
                              <w:marBottom w:val="0"/>
                              <w:divBdr>
                                <w:top w:val="none" w:sz="0" w:space="0" w:color="auto"/>
                                <w:left w:val="none" w:sz="0" w:space="0" w:color="auto"/>
                                <w:bottom w:val="none" w:sz="0" w:space="0" w:color="auto"/>
                                <w:right w:val="none" w:sz="0" w:space="0" w:color="auto"/>
                              </w:divBdr>
                              <w:divsChild>
                                <w:div w:id="1332444461">
                                  <w:marLeft w:val="0"/>
                                  <w:marRight w:val="0"/>
                                  <w:marTop w:val="0"/>
                                  <w:marBottom w:val="0"/>
                                  <w:divBdr>
                                    <w:top w:val="none" w:sz="0" w:space="0" w:color="auto"/>
                                    <w:left w:val="none" w:sz="0" w:space="0" w:color="auto"/>
                                    <w:bottom w:val="none" w:sz="0" w:space="0" w:color="auto"/>
                                    <w:right w:val="none" w:sz="0" w:space="0" w:color="auto"/>
                                  </w:divBdr>
                                  <w:divsChild>
                                    <w:div w:id="1597134959">
                                      <w:marLeft w:val="0"/>
                                      <w:marRight w:val="0"/>
                                      <w:marTop w:val="0"/>
                                      <w:marBottom w:val="0"/>
                                      <w:divBdr>
                                        <w:top w:val="none" w:sz="0" w:space="0" w:color="auto"/>
                                        <w:left w:val="none" w:sz="0" w:space="0" w:color="auto"/>
                                        <w:bottom w:val="none" w:sz="0" w:space="0" w:color="auto"/>
                                        <w:right w:val="none" w:sz="0" w:space="0" w:color="auto"/>
                                      </w:divBdr>
                                      <w:divsChild>
                                        <w:div w:id="77020430">
                                          <w:marLeft w:val="1200"/>
                                          <w:marRight w:val="1200"/>
                                          <w:marTop w:val="0"/>
                                          <w:marBottom w:val="0"/>
                                          <w:divBdr>
                                            <w:top w:val="none" w:sz="0" w:space="0" w:color="auto"/>
                                            <w:left w:val="none" w:sz="0" w:space="0" w:color="auto"/>
                                            <w:bottom w:val="none" w:sz="0" w:space="0" w:color="auto"/>
                                            <w:right w:val="none" w:sz="0" w:space="0" w:color="auto"/>
                                          </w:divBdr>
                                          <w:divsChild>
                                            <w:div w:id="456029886">
                                              <w:marLeft w:val="0"/>
                                              <w:marRight w:val="0"/>
                                              <w:marTop w:val="0"/>
                                              <w:marBottom w:val="0"/>
                                              <w:divBdr>
                                                <w:top w:val="none" w:sz="0" w:space="0" w:color="auto"/>
                                                <w:left w:val="none" w:sz="0" w:space="0" w:color="auto"/>
                                                <w:bottom w:val="none" w:sz="0" w:space="0" w:color="auto"/>
                                                <w:right w:val="none" w:sz="0" w:space="0" w:color="auto"/>
                                              </w:divBdr>
                                              <w:divsChild>
                                                <w:div w:id="1943800029">
                                                  <w:marLeft w:val="0"/>
                                                  <w:marRight w:val="0"/>
                                                  <w:marTop w:val="0"/>
                                                  <w:marBottom w:val="0"/>
                                                  <w:divBdr>
                                                    <w:top w:val="none" w:sz="0" w:space="0" w:color="auto"/>
                                                    <w:left w:val="none" w:sz="0" w:space="0" w:color="auto"/>
                                                    <w:bottom w:val="none" w:sz="0" w:space="0" w:color="auto"/>
                                                    <w:right w:val="none" w:sz="0" w:space="0" w:color="auto"/>
                                                  </w:divBdr>
                                                  <w:divsChild>
                                                    <w:div w:id="67192610">
                                                      <w:marLeft w:val="0"/>
                                                      <w:marRight w:val="0"/>
                                                      <w:marTop w:val="0"/>
                                                      <w:marBottom w:val="0"/>
                                                      <w:divBdr>
                                                        <w:top w:val="none" w:sz="0" w:space="0" w:color="auto"/>
                                                        <w:left w:val="none" w:sz="0" w:space="0" w:color="auto"/>
                                                        <w:bottom w:val="none" w:sz="0" w:space="0" w:color="auto"/>
                                                        <w:right w:val="none" w:sz="0" w:space="0" w:color="auto"/>
                                                      </w:divBdr>
                                                      <w:divsChild>
                                                        <w:div w:id="1526215830">
                                                          <w:marLeft w:val="0"/>
                                                          <w:marRight w:val="0"/>
                                                          <w:marTop w:val="0"/>
                                                          <w:marBottom w:val="0"/>
                                                          <w:divBdr>
                                                            <w:top w:val="none" w:sz="0" w:space="0" w:color="auto"/>
                                                            <w:left w:val="none" w:sz="0" w:space="0" w:color="auto"/>
                                                            <w:bottom w:val="none" w:sz="0" w:space="0" w:color="auto"/>
                                                            <w:right w:val="none" w:sz="0" w:space="0" w:color="auto"/>
                                                          </w:divBdr>
                                                          <w:divsChild>
                                                            <w:div w:id="691688980">
                                                              <w:marLeft w:val="0"/>
                                                              <w:marRight w:val="0"/>
                                                              <w:marTop w:val="0"/>
                                                              <w:marBottom w:val="0"/>
                                                              <w:divBdr>
                                                                <w:top w:val="none" w:sz="0" w:space="0" w:color="auto"/>
                                                                <w:left w:val="none" w:sz="0" w:space="0" w:color="auto"/>
                                                                <w:bottom w:val="none" w:sz="0" w:space="0" w:color="auto"/>
                                                                <w:right w:val="none" w:sz="0" w:space="0" w:color="auto"/>
                                                              </w:divBdr>
                                                              <w:divsChild>
                                                                <w:div w:id="527646989">
                                                                  <w:marLeft w:val="0"/>
                                                                  <w:marRight w:val="0"/>
                                                                  <w:marTop w:val="0"/>
                                                                  <w:marBottom w:val="0"/>
                                                                  <w:divBdr>
                                                                    <w:top w:val="none" w:sz="0" w:space="0" w:color="auto"/>
                                                                    <w:left w:val="none" w:sz="0" w:space="0" w:color="auto"/>
                                                                    <w:bottom w:val="none" w:sz="0" w:space="0" w:color="auto"/>
                                                                    <w:right w:val="none" w:sz="0" w:space="0" w:color="auto"/>
                                                                  </w:divBdr>
                                                                  <w:divsChild>
                                                                    <w:div w:id="654577073">
                                                                      <w:marLeft w:val="0"/>
                                                                      <w:marRight w:val="0"/>
                                                                      <w:marTop w:val="0"/>
                                                                      <w:marBottom w:val="0"/>
                                                                      <w:divBdr>
                                                                        <w:top w:val="none" w:sz="0" w:space="0" w:color="auto"/>
                                                                        <w:left w:val="none" w:sz="0" w:space="0" w:color="auto"/>
                                                                        <w:bottom w:val="none" w:sz="0" w:space="0" w:color="auto"/>
                                                                        <w:right w:val="none" w:sz="0" w:space="0" w:color="auto"/>
                                                                      </w:divBdr>
                                                                      <w:divsChild>
                                                                        <w:div w:id="1048260015">
                                                                          <w:marLeft w:val="0"/>
                                                                          <w:marRight w:val="0"/>
                                                                          <w:marTop w:val="0"/>
                                                                          <w:marBottom w:val="0"/>
                                                                          <w:divBdr>
                                                                            <w:top w:val="none" w:sz="0" w:space="0" w:color="auto"/>
                                                                            <w:left w:val="none" w:sz="0" w:space="0" w:color="auto"/>
                                                                            <w:bottom w:val="none" w:sz="0" w:space="0" w:color="auto"/>
                                                                            <w:right w:val="none" w:sz="0" w:space="0" w:color="auto"/>
                                                                          </w:divBdr>
                                                                        </w:div>
                                                                      </w:divsChild>
                                                                    </w:div>
                                                                    <w:div w:id="1024597659">
                                                                      <w:marLeft w:val="0"/>
                                                                      <w:marRight w:val="0"/>
                                                                      <w:marTop w:val="0"/>
                                                                      <w:marBottom w:val="0"/>
                                                                      <w:divBdr>
                                                                        <w:top w:val="none" w:sz="0" w:space="0" w:color="auto"/>
                                                                        <w:left w:val="none" w:sz="0" w:space="0" w:color="auto"/>
                                                                        <w:bottom w:val="none" w:sz="0" w:space="0" w:color="auto"/>
                                                                        <w:right w:val="none" w:sz="0" w:space="0" w:color="auto"/>
                                                                      </w:divBdr>
                                                                      <w:divsChild>
                                                                        <w:div w:id="1230992974">
                                                                          <w:marLeft w:val="0"/>
                                                                          <w:marRight w:val="0"/>
                                                                          <w:marTop w:val="0"/>
                                                                          <w:marBottom w:val="0"/>
                                                                          <w:divBdr>
                                                                            <w:top w:val="none" w:sz="0" w:space="0" w:color="auto"/>
                                                                            <w:left w:val="none" w:sz="0" w:space="0" w:color="auto"/>
                                                                            <w:bottom w:val="none" w:sz="0" w:space="0" w:color="auto"/>
                                                                            <w:right w:val="none" w:sz="0" w:space="0" w:color="auto"/>
                                                                          </w:divBdr>
                                                                        </w:div>
                                                                      </w:divsChild>
                                                                    </w:div>
                                                                    <w:div w:id="1826319312">
                                                                      <w:marLeft w:val="0"/>
                                                                      <w:marRight w:val="0"/>
                                                                      <w:marTop w:val="0"/>
                                                                      <w:marBottom w:val="0"/>
                                                                      <w:divBdr>
                                                                        <w:top w:val="none" w:sz="0" w:space="0" w:color="auto"/>
                                                                        <w:left w:val="none" w:sz="0" w:space="0" w:color="auto"/>
                                                                        <w:bottom w:val="none" w:sz="0" w:space="0" w:color="auto"/>
                                                                        <w:right w:val="none" w:sz="0" w:space="0" w:color="auto"/>
                                                                      </w:divBdr>
                                                                      <w:divsChild>
                                                                        <w:div w:id="1544058891">
                                                                          <w:marLeft w:val="0"/>
                                                                          <w:marRight w:val="0"/>
                                                                          <w:marTop w:val="0"/>
                                                                          <w:marBottom w:val="0"/>
                                                                          <w:divBdr>
                                                                            <w:top w:val="none" w:sz="0" w:space="0" w:color="auto"/>
                                                                            <w:left w:val="none" w:sz="0" w:space="0" w:color="auto"/>
                                                                            <w:bottom w:val="none" w:sz="0" w:space="0" w:color="auto"/>
                                                                            <w:right w:val="none" w:sz="0" w:space="0" w:color="auto"/>
                                                                          </w:divBdr>
                                                                        </w:div>
                                                                      </w:divsChild>
                                                                    </w:div>
                                                                    <w:div w:id="1997563176">
                                                                      <w:marLeft w:val="0"/>
                                                                      <w:marRight w:val="0"/>
                                                                      <w:marTop w:val="0"/>
                                                                      <w:marBottom w:val="0"/>
                                                                      <w:divBdr>
                                                                        <w:top w:val="none" w:sz="0" w:space="0" w:color="auto"/>
                                                                        <w:left w:val="none" w:sz="0" w:space="0" w:color="auto"/>
                                                                        <w:bottom w:val="none" w:sz="0" w:space="0" w:color="auto"/>
                                                                        <w:right w:val="none" w:sz="0" w:space="0" w:color="auto"/>
                                                                      </w:divBdr>
                                                                      <w:divsChild>
                                                                        <w:div w:id="10763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5061">
                                                                  <w:marLeft w:val="0"/>
                                                                  <w:marRight w:val="0"/>
                                                                  <w:marTop w:val="0"/>
                                                                  <w:marBottom w:val="0"/>
                                                                  <w:divBdr>
                                                                    <w:top w:val="none" w:sz="0" w:space="0" w:color="auto"/>
                                                                    <w:left w:val="none" w:sz="0" w:space="0" w:color="auto"/>
                                                                    <w:bottom w:val="none" w:sz="0" w:space="0" w:color="auto"/>
                                                                    <w:right w:val="none" w:sz="0" w:space="0" w:color="auto"/>
                                                                  </w:divBdr>
                                                                  <w:divsChild>
                                                                    <w:div w:id="931010757">
                                                                      <w:marLeft w:val="0"/>
                                                                      <w:marRight w:val="0"/>
                                                                      <w:marTop w:val="0"/>
                                                                      <w:marBottom w:val="0"/>
                                                                      <w:divBdr>
                                                                        <w:top w:val="none" w:sz="0" w:space="0" w:color="auto"/>
                                                                        <w:left w:val="none" w:sz="0" w:space="0" w:color="auto"/>
                                                                        <w:bottom w:val="none" w:sz="0" w:space="0" w:color="auto"/>
                                                                        <w:right w:val="none" w:sz="0" w:space="0" w:color="auto"/>
                                                                      </w:divBdr>
                                                                      <w:divsChild>
                                                                        <w:div w:id="1238663021">
                                                                          <w:marLeft w:val="0"/>
                                                                          <w:marRight w:val="0"/>
                                                                          <w:marTop w:val="0"/>
                                                                          <w:marBottom w:val="0"/>
                                                                          <w:divBdr>
                                                                            <w:top w:val="none" w:sz="0" w:space="0" w:color="auto"/>
                                                                            <w:left w:val="none" w:sz="0" w:space="0" w:color="auto"/>
                                                                            <w:bottom w:val="none" w:sz="0" w:space="0" w:color="auto"/>
                                                                            <w:right w:val="none" w:sz="0" w:space="0" w:color="auto"/>
                                                                          </w:divBdr>
                                                                        </w:div>
                                                                      </w:divsChild>
                                                                    </w:div>
                                                                    <w:div w:id="1213158854">
                                                                      <w:marLeft w:val="0"/>
                                                                      <w:marRight w:val="0"/>
                                                                      <w:marTop w:val="0"/>
                                                                      <w:marBottom w:val="0"/>
                                                                      <w:divBdr>
                                                                        <w:top w:val="none" w:sz="0" w:space="0" w:color="auto"/>
                                                                        <w:left w:val="none" w:sz="0" w:space="0" w:color="auto"/>
                                                                        <w:bottom w:val="none" w:sz="0" w:space="0" w:color="auto"/>
                                                                        <w:right w:val="none" w:sz="0" w:space="0" w:color="auto"/>
                                                                      </w:divBdr>
                                                                      <w:divsChild>
                                                                        <w:div w:id="10992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510168">
      <w:bodyDiv w:val="1"/>
      <w:marLeft w:val="0"/>
      <w:marRight w:val="0"/>
      <w:marTop w:val="0"/>
      <w:marBottom w:val="0"/>
      <w:divBdr>
        <w:top w:val="none" w:sz="0" w:space="0" w:color="auto"/>
        <w:left w:val="none" w:sz="0" w:space="0" w:color="auto"/>
        <w:bottom w:val="none" w:sz="0" w:space="0" w:color="auto"/>
        <w:right w:val="none" w:sz="0" w:space="0" w:color="auto"/>
      </w:divBdr>
      <w:divsChild>
        <w:div w:id="1255237443">
          <w:marLeft w:val="0"/>
          <w:marRight w:val="0"/>
          <w:marTop w:val="0"/>
          <w:marBottom w:val="0"/>
          <w:divBdr>
            <w:top w:val="none" w:sz="0" w:space="0" w:color="auto"/>
            <w:left w:val="none" w:sz="0" w:space="0" w:color="auto"/>
            <w:bottom w:val="none" w:sz="0" w:space="0" w:color="auto"/>
            <w:right w:val="none" w:sz="0" w:space="0" w:color="auto"/>
          </w:divBdr>
          <w:divsChild>
            <w:div w:id="834488904">
              <w:marLeft w:val="0"/>
              <w:marRight w:val="0"/>
              <w:marTop w:val="0"/>
              <w:marBottom w:val="0"/>
              <w:divBdr>
                <w:top w:val="none" w:sz="0" w:space="0" w:color="auto"/>
                <w:left w:val="none" w:sz="0" w:space="0" w:color="auto"/>
                <w:bottom w:val="none" w:sz="0" w:space="0" w:color="auto"/>
                <w:right w:val="none" w:sz="0" w:space="0" w:color="auto"/>
              </w:divBdr>
              <w:divsChild>
                <w:div w:id="1675064109">
                  <w:marLeft w:val="0"/>
                  <w:marRight w:val="0"/>
                  <w:marTop w:val="0"/>
                  <w:marBottom w:val="0"/>
                  <w:divBdr>
                    <w:top w:val="none" w:sz="0" w:space="0" w:color="auto"/>
                    <w:left w:val="none" w:sz="0" w:space="0" w:color="auto"/>
                    <w:bottom w:val="none" w:sz="0" w:space="0" w:color="auto"/>
                    <w:right w:val="none" w:sz="0" w:space="0" w:color="auto"/>
                  </w:divBdr>
                  <w:divsChild>
                    <w:div w:id="1140414743">
                      <w:marLeft w:val="0"/>
                      <w:marRight w:val="0"/>
                      <w:marTop w:val="0"/>
                      <w:marBottom w:val="0"/>
                      <w:divBdr>
                        <w:top w:val="none" w:sz="0" w:space="0" w:color="auto"/>
                        <w:left w:val="none" w:sz="0" w:space="0" w:color="auto"/>
                        <w:bottom w:val="none" w:sz="0" w:space="0" w:color="auto"/>
                        <w:right w:val="none" w:sz="0" w:space="0" w:color="auto"/>
                      </w:divBdr>
                      <w:divsChild>
                        <w:div w:id="815486740">
                          <w:marLeft w:val="0"/>
                          <w:marRight w:val="0"/>
                          <w:marTop w:val="0"/>
                          <w:marBottom w:val="0"/>
                          <w:divBdr>
                            <w:top w:val="none" w:sz="0" w:space="0" w:color="auto"/>
                            <w:left w:val="none" w:sz="0" w:space="0" w:color="auto"/>
                            <w:bottom w:val="none" w:sz="0" w:space="0" w:color="auto"/>
                            <w:right w:val="none" w:sz="0" w:space="0" w:color="auto"/>
                          </w:divBdr>
                          <w:divsChild>
                            <w:div w:id="402878066">
                              <w:marLeft w:val="0"/>
                              <w:marRight w:val="0"/>
                              <w:marTop w:val="0"/>
                              <w:marBottom w:val="0"/>
                              <w:divBdr>
                                <w:top w:val="none" w:sz="0" w:space="0" w:color="auto"/>
                                <w:left w:val="none" w:sz="0" w:space="0" w:color="auto"/>
                                <w:bottom w:val="none" w:sz="0" w:space="0" w:color="auto"/>
                                <w:right w:val="none" w:sz="0" w:space="0" w:color="auto"/>
                              </w:divBdr>
                              <w:divsChild>
                                <w:div w:id="193739643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171683">
      <w:bodyDiv w:val="1"/>
      <w:marLeft w:val="0"/>
      <w:marRight w:val="0"/>
      <w:marTop w:val="0"/>
      <w:marBottom w:val="0"/>
      <w:divBdr>
        <w:top w:val="none" w:sz="0" w:space="0" w:color="auto"/>
        <w:left w:val="none" w:sz="0" w:space="0" w:color="auto"/>
        <w:bottom w:val="none" w:sz="0" w:space="0" w:color="auto"/>
        <w:right w:val="none" w:sz="0" w:space="0" w:color="auto"/>
      </w:divBdr>
      <w:divsChild>
        <w:div w:id="373703081">
          <w:marLeft w:val="0"/>
          <w:marRight w:val="0"/>
          <w:marTop w:val="0"/>
          <w:marBottom w:val="0"/>
          <w:divBdr>
            <w:top w:val="none" w:sz="0" w:space="0" w:color="auto"/>
            <w:left w:val="none" w:sz="0" w:space="0" w:color="auto"/>
            <w:bottom w:val="none" w:sz="0" w:space="0" w:color="auto"/>
            <w:right w:val="none" w:sz="0" w:space="0" w:color="auto"/>
          </w:divBdr>
          <w:divsChild>
            <w:div w:id="68315220">
              <w:marLeft w:val="0"/>
              <w:marRight w:val="0"/>
              <w:marTop w:val="0"/>
              <w:marBottom w:val="0"/>
              <w:divBdr>
                <w:top w:val="none" w:sz="0" w:space="0" w:color="auto"/>
                <w:left w:val="none" w:sz="0" w:space="0" w:color="auto"/>
                <w:bottom w:val="none" w:sz="0" w:space="0" w:color="auto"/>
                <w:right w:val="none" w:sz="0" w:space="0" w:color="auto"/>
              </w:divBdr>
              <w:divsChild>
                <w:div w:id="149101093">
                  <w:marLeft w:val="0"/>
                  <w:marRight w:val="0"/>
                  <w:marTop w:val="0"/>
                  <w:marBottom w:val="0"/>
                  <w:divBdr>
                    <w:top w:val="none" w:sz="0" w:space="0" w:color="auto"/>
                    <w:left w:val="none" w:sz="0" w:space="0" w:color="auto"/>
                    <w:bottom w:val="none" w:sz="0" w:space="0" w:color="auto"/>
                    <w:right w:val="none" w:sz="0" w:space="0" w:color="auto"/>
                  </w:divBdr>
                  <w:divsChild>
                    <w:div w:id="1347976344">
                      <w:marLeft w:val="0"/>
                      <w:marRight w:val="0"/>
                      <w:marTop w:val="0"/>
                      <w:marBottom w:val="300"/>
                      <w:divBdr>
                        <w:top w:val="none" w:sz="0" w:space="0" w:color="auto"/>
                        <w:left w:val="none" w:sz="0" w:space="0" w:color="auto"/>
                        <w:bottom w:val="none" w:sz="0" w:space="0" w:color="auto"/>
                        <w:right w:val="none" w:sz="0" w:space="0" w:color="auto"/>
                      </w:divBdr>
                      <w:divsChild>
                        <w:div w:id="12366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750157">
      <w:bodyDiv w:val="1"/>
      <w:marLeft w:val="0"/>
      <w:marRight w:val="0"/>
      <w:marTop w:val="0"/>
      <w:marBottom w:val="0"/>
      <w:divBdr>
        <w:top w:val="none" w:sz="0" w:space="0" w:color="auto"/>
        <w:left w:val="none" w:sz="0" w:space="0" w:color="auto"/>
        <w:bottom w:val="none" w:sz="0" w:space="0" w:color="auto"/>
        <w:right w:val="none" w:sz="0" w:space="0" w:color="auto"/>
      </w:divBdr>
      <w:divsChild>
        <w:div w:id="272637725">
          <w:marLeft w:val="0"/>
          <w:marRight w:val="0"/>
          <w:marTop w:val="240"/>
          <w:marBottom w:val="0"/>
          <w:divBdr>
            <w:top w:val="none" w:sz="0" w:space="0" w:color="auto"/>
            <w:left w:val="none" w:sz="0" w:space="0" w:color="auto"/>
            <w:bottom w:val="none" w:sz="0" w:space="0" w:color="auto"/>
            <w:right w:val="none" w:sz="0" w:space="0" w:color="auto"/>
          </w:divBdr>
          <w:divsChild>
            <w:div w:id="812599158">
              <w:marLeft w:val="0"/>
              <w:marRight w:val="0"/>
              <w:marTop w:val="0"/>
              <w:marBottom w:val="0"/>
              <w:divBdr>
                <w:top w:val="none" w:sz="0" w:space="0" w:color="auto"/>
                <w:left w:val="none" w:sz="0" w:space="0" w:color="auto"/>
                <w:bottom w:val="none" w:sz="0" w:space="0" w:color="auto"/>
                <w:right w:val="none" w:sz="0" w:space="0" w:color="auto"/>
              </w:divBdr>
            </w:div>
          </w:divsChild>
        </w:div>
        <w:div w:id="1503742628">
          <w:marLeft w:val="0"/>
          <w:marRight w:val="0"/>
          <w:marTop w:val="240"/>
          <w:marBottom w:val="0"/>
          <w:divBdr>
            <w:top w:val="none" w:sz="0" w:space="0" w:color="auto"/>
            <w:left w:val="none" w:sz="0" w:space="0" w:color="auto"/>
            <w:bottom w:val="none" w:sz="0" w:space="0" w:color="auto"/>
            <w:right w:val="none" w:sz="0" w:space="0" w:color="auto"/>
          </w:divBdr>
          <w:divsChild>
            <w:div w:id="1000044291">
              <w:marLeft w:val="0"/>
              <w:marRight w:val="0"/>
              <w:marTop w:val="0"/>
              <w:marBottom w:val="0"/>
              <w:divBdr>
                <w:top w:val="none" w:sz="0" w:space="0" w:color="auto"/>
                <w:left w:val="none" w:sz="0" w:space="0" w:color="auto"/>
                <w:bottom w:val="none" w:sz="0" w:space="0" w:color="auto"/>
                <w:right w:val="none" w:sz="0" w:space="0" w:color="auto"/>
              </w:divBdr>
            </w:div>
          </w:divsChild>
        </w:div>
        <w:div w:id="1614097335">
          <w:marLeft w:val="0"/>
          <w:marRight w:val="0"/>
          <w:marTop w:val="240"/>
          <w:marBottom w:val="0"/>
          <w:divBdr>
            <w:top w:val="none" w:sz="0" w:space="0" w:color="auto"/>
            <w:left w:val="none" w:sz="0" w:space="0" w:color="auto"/>
            <w:bottom w:val="none" w:sz="0" w:space="0" w:color="auto"/>
            <w:right w:val="none" w:sz="0" w:space="0" w:color="auto"/>
          </w:divBdr>
          <w:divsChild>
            <w:div w:id="1051004811">
              <w:marLeft w:val="0"/>
              <w:marRight w:val="0"/>
              <w:marTop w:val="0"/>
              <w:marBottom w:val="0"/>
              <w:divBdr>
                <w:top w:val="none" w:sz="0" w:space="0" w:color="auto"/>
                <w:left w:val="none" w:sz="0" w:space="0" w:color="auto"/>
                <w:bottom w:val="none" w:sz="0" w:space="0" w:color="auto"/>
                <w:right w:val="none" w:sz="0" w:space="0" w:color="auto"/>
              </w:divBdr>
            </w:div>
          </w:divsChild>
        </w:div>
        <w:div w:id="2053263921">
          <w:marLeft w:val="0"/>
          <w:marRight w:val="0"/>
          <w:marTop w:val="240"/>
          <w:marBottom w:val="0"/>
          <w:divBdr>
            <w:top w:val="none" w:sz="0" w:space="0" w:color="auto"/>
            <w:left w:val="none" w:sz="0" w:space="0" w:color="auto"/>
            <w:bottom w:val="none" w:sz="0" w:space="0" w:color="auto"/>
            <w:right w:val="none" w:sz="0" w:space="0" w:color="auto"/>
          </w:divBdr>
          <w:divsChild>
            <w:div w:id="65040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4233">
      <w:bodyDiv w:val="1"/>
      <w:marLeft w:val="0"/>
      <w:marRight w:val="0"/>
      <w:marTop w:val="0"/>
      <w:marBottom w:val="0"/>
      <w:divBdr>
        <w:top w:val="none" w:sz="0" w:space="0" w:color="auto"/>
        <w:left w:val="none" w:sz="0" w:space="0" w:color="auto"/>
        <w:bottom w:val="none" w:sz="0" w:space="0" w:color="auto"/>
        <w:right w:val="none" w:sz="0" w:space="0" w:color="auto"/>
      </w:divBdr>
      <w:divsChild>
        <w:div w:id="54819512">
          <w:marLeft w:val="0"/>
          <w:marRight w:val="0"/>
          <w:marTop w:val="240"/>
          <w:marBottom w:val="0"/>
          <w:divBdr>
            <w:top w:val="none" w:sz="0" w:space="0" w:color="auto"/>
            <w:left w:val="none" w:sz="0" w:space="0" w:color="auto"/>
            <w:bottom w:val="none" w:sz="0" w:space="0" w:color="auto"/>
            <w:right w:val="none" w:sz="0" w:space="0" w:color="auto"/>
          </w:divBdr>
          <w:divsChild>
            <w:div w:id="278148133">
              <w:marLeft w:val="0"/>
              <w:marRight w:val="0"/>
              <w:marTop w:val="0"/>
              <w:marBottom w:val="0"/>
              <w:divBdr>
                <w:top w:val="none" w:sz="0" w:space="0" w:color="auto"/>
                <w:left w:val="none" w:sz="0" w:space="0" w:color="auto"/>
                <w:bottom w:val="none" w:sz="0" w:space="0" w:color="auto"/>
                <w:right w:val="none" w:sz="0" w:space="0" w:color="auto"/>
              </w:divBdr>
            </w:div>
          </w:divsChild>
        </w:div>
        <w:div w:id="1624071859">
          <w:marLeft w:val="0"/>
          <w:marRight w:val="0"/>
          <w:marTop w:val="240"/>
          <w:marBottom w:val="0"/>
          <w:divBdr>
            <w:top w:val="none" w:sz="0" w:space="0" w:color="auto"/>
            <w:left w:val="none" w:sz="0" w:space="0" w:color="auto"/>
            <w:bottom w:val="none" w:sz="0" w:space="0" w:color="auto"/>
            <w:right w:val="none" w:sz="0" w:space="0" w:color="auto"/>
          </w:divBdr>
          <w:divsChild>
            <w:div w:id="214630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4881">
      <w:bodyDiv w:val="1"/>
      <w:marLeft w:val="0"/>
      <w:marRight w:val="0"/>
      <w:marTop w:val="0"/>
      <w:marBottom w:val="0"/>
      <w:divBdr>
        <w:top w:val="none" w:sz="0" w:space="0" w:color="auto"/>
        <w:left w:val="none" w:sz="0" w:space="0" w:color="auto"/>
        <w:bottom w:val="none" w:sz="0" w:space="0" w:color="auto"/>
        <w:right w:val="none" w:sz="0" w:space="0" w:color="auto"/>
      </w:divBdr>
      <w:divsChild>
        <w:div w:id="462576023">
          <w:marLeft w:val="0"/>
          <w:marRight w:val="0"/>
          <w:marTop w:val="0"/>
          <w:marBottom w:val="0"/>
          <w:divBdr>
            <w:top w:val="none" w:sz="0" w:space="0" w:color="auto"/>
            <w:left w:val="none" w:sz="0" w:space="0" w:color="auto"/>
            <w:bottom w:val="none" w:sz="0" w:space="0" w:color="auto"/>
            <w:right w:val="none" w:sz="0" w:space="0" w:color="auto"/>
          </w:divBdr>
          <w:divsChild>
            <w:div w:id="1991517811">
              <w:marLeft w:val="0"/>
              <w:marRight w:val="0"/>
              <w:marTop w:val="0"/>
              <w:marBottom w:val="0"/>
              <w:divBdr>
                <w:top w:val="none" w:sz="0" w:space="0" w:color="auto"/>
                <w:left w:val="none" w:sz="0" w:space="0" w:color="auto"/>
                <w:bottom w:val="none" w:sz="0" w:space="0" w:color="auto"/>
                <w:right w:val="none" w:sz="0" w:space="0" w:color="auto"/>
              </w:divBdr>
              <w:divsChild>
                <w:div w:id="1153060289">
                  <w:marLeft w:val="0"/>
                  <w:marRight w:val="0"/>
                  <w:marTop w:val="0"/>
                  <w:marBottom w:val="0"/>
                  <w:divBdr>
                    <w:top w:val="none" w:sz="0" w:space="0" w:color="auto"/>
                    <w:left w:val="none" w:sz="0" w:space="0" w:color="auto"/>
                    <w:bottom w:val="none" w:sz="0" w:space="0" w:color="auto"/>
                    <w:right w:val="none" w:sz="0" w:space="0" w:color="auto"/>
                  </w:divBdr>
                  <w:divsChild>
                    <w:div w:id="1673219009">
                      <w:marLeft w:val="0"/>
                      <w:marRight w:val="0"/>
                      <w:marTop w:val="0"/>
                      <w:marBottom w:val="300"/>
                      <w:divBdr>
                        <w:top w:val="none" w:sz="0" w:space="0" w:color="auto"/>
                        <w:left w:val="none" w:sz="0" w:space="0" w:color="auto"/>
                        <w:bottom w:val="none" w:sz="0" w:space="0" w:color="auto"/>
                        <w:right w:val="none" w:sz="0" w:space="0" w:color="auto"/>
                      </w:divBdr>
                      <w:divsChild>
                        <w:div w:id="10839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800563">
      <w:bodyDiv w:val="1"/>
      <w:marLeft w:val="0"/>
      <w:marRight w:val="0"/>
      <w:marTop w:val="0"/>
      <w:marBottom w:val="0"/>
      <w:divBdr>
        <w:top w:val="none" w:sz="0" w:space="0" w:color="auto"/>
        <w:left w:val="none" w:sz="0" w:space="0" w:color="auto"/>
        <w:bottom w:val="none" w:sz="0" w:space="0" w:color="auto"/>
        <w:right w:val="none" w:sz="0" w:space="0" w:color="auto"/>
      </w:divBdr>
      <w:divsChild>
        <w:div w:id="1255047099">
          <w:marLeft w:val="0"/>
          <w:marRight w:val="0"/>
          <w:marTop w:val="240"/>
          <w:marBottom w:val="0"/>
          <w:divBdr>
            <w:top w:val="none" w:sz="0" w:space="0" w:color="auto"/>
            <w:left w:val="none" w:sz="0" w:space="0" w:color="auto"/>
            <w:bottom w:val="none" w:sz="0" w:space="0" w:color="auto"/>
            <w:right w:val="none" w:sz="0" w:space="0" w:color="auto"/>
          </w:divBdr>
          <w:divsChild>
            <w:div w:id="905527416">
              <w:marLeft w:val="0"/>
              <w:marRight w:val="0"/>
              <w:marTop w:val="0"/>
              <w:marBottom w:val="0"/>
              <w:divBdr>
                <w:top w:val="none" w:sz="0" w:space="0" w:color="auto"/>
                <w:left w:val="none" w:sz="0" w:space="0" w:color="auto"/>
                <w:bottom w:val="none" w:sz="0" w:space="0" w:color="auto"/>
                <w:right w:val="none" w:sz="0" w:space="0" w:color="auto"/>
              </w:divBdr>
            </w:div>
          </w:divsChild>
        </w:div>
        <w:div w:id="1320036939">
          <w:marLeft w:val="0"/>
          <w:marRight w:val="0"/>
          <w:marTop w:val="240"/>
          <w:marBottom w:val="0"/>
          <w:divBdr>
            <w:top w:val="none" w:sz="0" w:space="0" w:color="auto"/>
            <w:left w:val="none" w:sz="0" w:space="0" w:color="auto"/>
            <w:bottom w:val="none" w:sz="0" w:space="0" w:color="auto"/>
            <w:right w:val="none" w:sz="0" w:space="0" w:color="auto"/>
          </w:divBdr>
          <w:divsChild>
            <w:div w:id="1296327902">
              <w:marLeft w:val="0"/>
              <w:marRight w:val="0"/>
              <w:marTop w:val="0"/>
              <w:marBottom w:val="0"/>
              <w:divBdr>
                <w:top w:val="none" w:sz="0" w:space="0" w:color="auto"/>
                <w:left w:val="none" w:sz="0" w:space="0" w:color="auto"/>
                <w:bottom w:val="none" w:sz="0" w:space="0" w:color="auto"/>
                <w:right w:val="none" w:sz="0" w:space="0" w:color="auto"/>
              </w:divBdr>
            </w:div>
          </w:divsChild>
        </w:div>
        <w:div w:id="1922718668">
          <w:marLeft w:val="0"/>
          <w:marRight w:val="0"/>
          <w:marTop w:val="240"/>
          <w:marBottom w:val="0"/>
          <w:divBdr>
            <w:top w:val="none" w:sz="0" w:space="0" w:color="auto"/>
            <w:left w:val="none" w:sz="0" w:space="0" w:color="auto"/>
            <w:bottom w:val="none" w:sz="0" w:space="0" w:color="auto"/>
            <w:right w:val="none" w:sz="0" w:space="0" w:color="auto"/>
          </w:divBdr>
          <w:divsChild>
            <w:div w:id="134093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2313">
      <w:bodyDiv w:val="1"/>
      <w:marLeft w:val="0"/>
      <w:marRight w:val="0"/>
      <w:marTop w:val="0"/>
      <w:marBottom w:val="0"/>
      <w:divBdr>
        <w:top w:val="none" w:sz="0" w:space="0" w:color="auto"/>
        <w:left w:val="none" w:sz="0" w:space="0" w:color="auto"/>
        <w:bottom w:val="none" w:sz="0" w:space="0" w:color="auto"/>
        <w:right w:val="none" w:sz="0" w:space="0" w:color="auto"/>
      </w:divBdr>
    </w:div>
    <w:div w:id="496844339">
      <w:bodyDiv w:val="1"/>
      <w:marLeft w:val="0"/>
      <w:marRight w:val="0"/>
      <w:marTop w:val="0"/>
      <w:marBottom w:val="0"/>
      <w:divBdr>
        <w:top w:val="none" w:sz="0" w:space="0" w:color="auto"/>
        <w:left w:val="none" w:sz="0" w:space="0" w:color="auto"/>
        <w:bottom w:val="none" w:sz="0" w:space="0" w:color="auto"/>
        <w:right w:val="none" w:sz="0" w:space="0" w:color="auto"/>
      </w:divBdr>
      <w:divsChild>
        <w:div w:id="1788348538">
          <w:marLeft w:val="0"/>
          <w:marRight w:val="0"/>
          <w:marTop w:val="240"/>
          <w:marBottom w:val="0"/>
          <w:divBdr>
            <w:top w:val="none" w:sz="0" w:space="0" w:color="auto"/>
            <w:left w:val="none" w:sz="0" w:space="0" w:color="auto"/>
            <w:bottom w:val="none" w:sz="0" w:space="0" w:color="auto"/>
            <w:right w:val="none" w:sz="0" w:space="0" w:color="auto"/>
          </w:divBdr>
          <w:divsChild>
            <w:div w:id="1164316752">
              <w:marLeft w:val="0"/>
              <w:marRight w:val="0"/>
              <w:marTop w:val="0"/>
              <w:marBottom w:val="0"/>
              <w:divBdr>
                <w:top w:val="none" w:sz="0" w:space="0" w:color="auto"/>
                <w:left w:val="none" w:sz="0" w:space="0" w:color="auto"/>
                <w:bottom w:val="none" w:sz="0" w:space="0" w:color="auto"/>
                <w:right w:val="none" w:sz="0" w:space="0" w:color="auto"/>
              </w:divBdr>
            </w:div>
          </w:divsChild>
        </w:div>
        <w:div w:id="1790858280">
          <w:marLeft w:val="0"/>
          <w:marRight w:val="0"/>
          <w:marTop w:val="240"/>
          <w:marBottom w:val="0"/>
          <w:divBdr>
            <w:top w:val="none" w:sz="0" w:space="0" w:color="auto"/>
            <w:left w:val="none" w:sz="0" w:space="0" w:color="auto"/>
            <w:bottom w:val="none" w:sz="0" w:space="0" w:color="auto"/>
            <w:right w:val="none" w:sz="0" w:space="0" w:color="auto"/>
          </w:divBdr>
          <w:divsChild>
            <w:div w:id="1008288972">
              <w:marLeft w:val="0"/>
              <w:marRight w:val="0"/>
              <w:marTop w:val="0"/>
              <w:marBottom w:val="0"/>
              <w:divBdr>
                <w:top w:val="none" w:sz="0" w:space="0" w:color="auto"/>
                <w:left w:val="none" w:sz="0" w:space="0" w:color="auto"/>
                <w:bottom w:val="none" w:sz="0" w:space="0" w:color="auto"/>
                <w:right w:val="none" w:sz="0" w:space="0" w:color="auto"/>
              </w:divBdr>
            </w:div>
          </w:divsChild>
        </w:div>
        <w:div w:id="769855643">
          <w:marLeft w:val="0"/>
          <w:marRight w:val="0"/>
          <w:marTop w:val="240"/>
          <w:marBottom w:val="0"/>
          <w:divBdr>
            <w:top w:val="none" w:sz="0" w:space="0" w:color="auto"/>
            <w:left w:val="none" w:sz="0" w:space="0" w:color="auto"/>
            <w:bottom w:val="none" w:sz="0" w:space="0" w:color="auto"/>
            <w:right w:val="none" w:sz="0" w:space="0" w:color="auto"/>
          </w:divBdr>
          <w:divsChild>
            <w:div w:id="54664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20916">
      <w:bodyDiv w:val="1"/>
      <w:marLeft w:val="0"/>
      <w:marRight w:val="0"/>
      <w:marTop w:val="0"/>
      <w:marBottom w:val="0"/>
      <w:divBdr>
        <w:top w:val="none" w:sz="0" w:space="0" w:color="auto"/>
        <w:left w:val="none" w:sz="0" w:space="0" w:color="auto"/>
        <w:bottom w:val="none" w:sz="0" w:space="0" w:color="auto"/>
        <w:right w:val="none" w:sz="0" w:space="0" w:color="auto"/>
      </w:divBdr>
    </w:div>
    <w:div w:id="498692149">
      <w:bodyDiv w:val="1"/>
      <w:marLeft w:val="0"/>
      <w:marRight w:val="0"/>
      <w:marTop w:val="0"/>
      <w:marBottom w:val="0"/>
      <w:divBdr>
        <w:top w:val="none" w:sz="0" w:space="0" w:color="auto"/>
        <w:left w:val="none" w:sz="0" w:space="0" w:color="auto"/>
        <w:bottom w:val="none" w:sz="0" w:space="0" w:color="auto"/>
        <w:right w:val="none" w:sz="0" w:space="0" w:color="auto"/>
      </w:divBdr>
    </w:div>
    <w:div w:id="506140581">
      <w:bodyDiv w:val="1"/>
      <w:marLeft w:val="0"/>
      <w:marRight w:val="0"/>
      <w:marTop w:val="0"/>
      <w:marBottom w:val="0"/>
      <w:divBdr>
        <w:top w:val="none" w:sz="0" w:space="0" w:color="auto"/>
        <w:left w:val="none" w:sz="0" w:space="0" w:color="auto"/>
        <w:bottom w:val="none" w:sz="0" w:space="0" w:color="auto"/>
        <w:right w:val="none" w:sz="0" w:space="0" w:color="auto"/>
      </w:divBdr>
      <w:divsChild>
        <w:div w:id="987590409">
          <w:marLeft w:val="0"/>
          <w:marRight w:val="0"/>
          <w:marTop w:val="0"/>
          <w:marBottom w:val="0"/>
          <w:divBdr>
            <w:top w:val="none" w:sz="0" w:space="0" w:color="auto"/>
            <w:left w:val="none" w:sz="0" w:space="0" w:color="auto"/>
            <w:bottom w:val="none" w:sz="0" w:space="0" w:color="auto"/>
            <w:right w:val="none" w:sz="0" w:space="0" w:color="auto"/>
          </w:divBdr>
        </w:div>
        <w:div w:id="1148861830">
          <w:marLeft w:val="0"/>
          <w:marRight w:val="0"/>
          <w:marTop w:val="0"/>
          <w:marBottom w:val="0"/>
          <w:divBdr>
            <w:top w:val="none" w:sz="0" w:space="0" w:color="auto"/>
            <w:left w:val="none" w:sz="0" w:space="0" w:color="auto"/>
            <w:bottom w:val="none" w:sz="0" w:space="0" w:color="auto"/>
            <w:right w:val="none" w:sz="0" w:space="0" w:color="auto"/>
          </w:divBdr>
        </w:div>
        <w:div w:id="1166673959">
          <w:marLeft w:val="0"/>
          <w:marRight w:val="0"/>
          <w:marTop w:val="0"/>
          <w:marBottom w:val="0"/>
          <w:divBdr>
            <w:top w:val="none" w:sz="0" w:space="0" w:color="auto"/>
            <w:left w:val="none" w:sz="0" w:space="0" w:color="auto"/>
            <w:bottom w:val="none" w:sz="0" w:space="0" w:color="auto"/>
            <w:right w:val="none" w:sz="0" w:space="0" w:color="auto"/>
          </w:divBdr>
        </w:div>
        <w:div w:id="1277059443">
          <w:marLeft w:val="0"/>
          <w:marRight w:val="0"/>
          <w:marTop w:val="0"/>
          <w:marBottom w:val="0"/>
          <w:divBdr>
            <w:top w:val="none" w:sz="0" w:space="0" w:color="auto"/>
            <w:left w:val="none" w:sz="0" w:space="0" w:color="auto"/>
            <w:bottom w:val="none" w:sz="0" w:space="0" w:color="auto"/>
            <w:right w:val="none" w:sz="0" w:space="0" w:color="auto"/>
          </w:divBdr>
        </w:div>
        <w:div w:id="2048025665">
          <w:marLeft w:val="0"/>
          <w:marRight w:val="0"/>
          <w:marTop w:val="0"/>
          <w:marBottom w:val="0"/>
          <w:divBdr>
            <w:top w:val="none" w:sz="0" w:space="0" w:color="auto"/>
            <w:left w:val="none" w:sz="0" w:space="0" w:color="auto"/>
            <w:bottom w:val="none" w:sz="0" w:space="0" w:color="auto"/>
            <w:right w:val="none" w:sz="0" w:space="0" w:color="auto"/>
          </w:divBdr>
        </w:div>
      </w:divsChild>
    </w:div>
    <w:div w:id="508564475">
      <w:bodyDiv w:val="1"/>
      <w:marLeft w:val="0"/>
      <w:marRight w:val="0"/>
      <w:marTop w:val="0"/>
      <w:marBottom w:val="0"/>
      <w:divBdr>
        <w:top w:val="none" w:sz="0" w:space="0" w:color="auto"/>
        <w:left w:val="none" w:sz="0" w:space="0" w:color="auto"/>
        <w:bottom w:val="none" w:sz="0" w:space="0" w:color="auto"/>
        <w:right w:val="none" w:sz="0" w:space="0" w:color="auto"/>
      </w:divBdr>
      <w:divsChild>
        <w:div w:id="1271358251">
          <w:marLeft w:val="0"/>
          <w:marRight w:val="0"/>
          <w:marTop w:val="0"/>
          <w:marBottom w:val="0"/>
          <w:divBdr>
            <w:top w:val="none" w:sz="0" w:space="0" w:color="auto"/>
            <w:left w:val="single" w:sz="6" w:space="0" w:color="BBBBBB"/>
            <w:bottom w:val="single" w:sz="6" w:space="0" w:color="BBBBBB"/>
            <w:right w:val="single" w:sz="6" w:space="0" w:color="BBBBBB"/>
          </w:divBdr>
          <w:divsChild>
            <w:div w:id="1714649565">
              <w:marLeft w:val="0"/>
              <w:marRight w:val="0"/>
              <w:marTop w:val="0"/>
              <w:marBottom w:val="0"/>
              <w:divBdr>
                <w:top w:val="none" w:sz="0" w:space="0" w:color="auto"/>
                <w:left w:val="none" w:sz="0" w:space="0" w:color="auto"/>
                <w:bottom w:val="none" w:sz="0" w:space="0" w:color="auto"/>
                <w:right w:val="none" w:sz="0" w:space="0" w:color="auto"/>
              </w:divBdr>
              <w:divsChild>
                <w:div w:id="1246645046">
                  <w:marLeft w:val="0"/>
                  <w:marRight w:val="0"/>
                  <w:marTop w:val="75"/>
                  <w:marBottom w:val="0"/>
                  <w:divBdr>
                    <w:top w:val="none" w:sz="0" w:space="0" w:color="auto"/>
                    <w:left w:val="none" w:sz="0" w:space="0" w:color="auto"/>
                    <w:bottom w:val="none" w:sz="0" w:space="0" w:color="auto"/>
                    <w:right w:val="none" w:sz="0" w:space="0" w:color="auto"/>
                  </w:divBdr>
                  <w:divsChild>
                    <w:div w:id="726491305">
                      <w:marLeft w:val="0"/>
                      <w:marRight w:val="0"/>
                      <w:marTop w:val="0"/>
                      <w:marBottom w:val="0"/>
                      <w:divBdr>
                        <w:top w:val="none" w:sz="0" w:space="0" w:color="auto"/>
                        <w:left w:val="none" w:sz="0" w:space="0" w:color="auto"/>
                        <w:bottom w:val="none" w:sz="0" w:space="0" w:color="auto"/>
                        <w:right w:val="none" w:sz="0" w:space="0" w:color="auto"/>
                      </w:divBdr>
                      <w:divsChild>
                        <w:div w:id="1669943409">
                          <w:marLeft w:val="0"/>
                          <w:marRight w:val="0"/>
                          <w:marTop w:val="0"/>
                          <w:marBottom w:val="0"/>
                          <w:divBdr>
                            <w:top w:val="none" w:sz="0" w:space="0" w:color="auto"/>
                            <w:left w:val="none" w:sz="0" w:space="0" w:color="auto"/>
                            <w:bottom w:val="none" w:sz="0" w:space="0" w:color="auto"/>
                            <w:right w:val="none" w:sz="0" w:space="0" w:color="auto"/>
                          </w:divBdr>
                          <w:divsChild>
                            <w:div w:id="280959938">
                              <w:marLeft w:val="0"/>
                              <w:marRight w:val="0"/>
                              <w:marTop w:val="0"/>
                              <w:marBottom w:val="0"/>
                              <w:divBdr>
                                <w:top w:val="none" w:sz="0" w:space="0" w:color="auto"/>
                                <w:left w:val="none" w:sz="0" w:space="0" w:color="auto"/>
                                <w:bottom w:val="none" w:sz="0" w:space="0" w:color="auto"/>
                                <w:right w:val="none" w:sz="0" w:space="0" w:color="auto"/>
                              </w:divBdr>
                              <w:divsChild>
                                <w:div w:id="988050404">
                                  <w:marLeft w:val="0"/>
                                  <w:marRight w:val="0"/>
                                  <w:marTop w:val="0"/>
                                  <w:marBottom w:val="0"/>
                                  <w:divBdr>
                                    <w:top w:val="none" w:sz="0" w:space="0" w:color="auto"/>
                                    <w:left w:val="none" w:sz="0" w:space="0" w:color="auto"/>
                                    <w:bottom w:val="none" w:sz="0" w:space="0" w:color="auto"/>
                                    <w:right w:val="none" w:sz="0" w:space="0" w:color="auto"/>
                                  </w:divBdr>
                                  <w:divsChild>
                                    <w:div w:id="1371999921">
                                      <w:marLeft w:val="0"/>
                                      <w:marRight w:val="0"/>
                                      <w:marTop w:val="0"/>
                                      <w:marBottom w:val="0"/>
                                      <w:divBdr>
                                        <w:top w:val="none" w:sz="0" w:space="0" w:color="auto"/>
                                        <w:left w:val="none" w:sz="0" w:space="0" w:color="auto"/>
                                        <w:bottom w:val="none" w:sz="0" w:space="0" w:color="auto"/>
                                        <w:right w:val="none" w:sz="0" w:space="0" w:color="auto"/>
                                      </w:divBdr>
                                      <w:divsChild>
                                        <w:div w:id="393741047">
                                          <w:marLeft w:val="1200"/>
                                          <w:marRight w:val="1200"/>
                                          <w:marTop w:val="0"/>
                                          <w:marBottom w:val="0"/>
                                          <w:divBdr>
                                            <w:top w:val="none" w:sz="0" w:space="0" w:color="auto"/>
                                            <w:left w:val="none" w:sz="0" w:space="0" w:color="auto"/>
                                            <w:bottom w:val="none" w:sz="0" w:space="0" w:color="auto"/>
                                            <w:right w:val="none" w:sz="0" w:space="0" w:color="auto"/>
                                          </w:divBdr>
                                          <w:divsChild>
                                            <w:div w:id="733235089">
                                              <w:marLeft w:val="0"/>
                                              <w:marRight w:val="0"/>
                                              <w:marTop w:val="0"/>
                                              <w:marBottom w:val="0"/>
                                              <w:divBdr>
                                                <w:top w:val="none" w:sz="0" w:space="0" w:color="auto"/>
                                                <w:left w:val="none" w:sz="0" w:space="0" w:color="auto"/>
                                                <w:bottom w:val="none" w:sz="0" w:space="0" w:color="auto"/>
                                                <w:right w:val="none" w:sz="0" w:space="0" w:color="auto"/>
                                              </w:divBdr>
                                              <w:divsChild>
                                                <w:div w:id="942153454">
                                                  <w:marLeft w:val="0"/>
                                                  <w:marRight w:val="0"/>
                                                  <w:marTop w:val="0"/>
                                                  <w:marBottom w:val="0"/>
                                                  <w:divBdr>
                                                    <w:top w:val="none" w:sz="0" w:space="0" w:color="auto"/>
                                                    <w:left w:val="none" w:sz="0" w:space="0" w:color="auto"/>
                                                    <w:bottom w:val="none" w:sz="0" w:space="0" w:color="auto"/>
                                                    <w:right w:val="none" w:sz="0" w:space="0" w:color="auto"/>
                                                  </w:divBdr>
                                                  <w:divsChild>
                                                    <w:div w:id="731082494">
                                                      <w:marLeft w:val="0"/>
                                                      <w:marRight w:val="0"/>
                                                      <w:marTop w:val="0"/>
                                                      <w:marBottom w:val="0"/>
                                                      <w:divBdr>
                                                        <w:top w:val="none" w:sz="0" w:space="0" w:color="auto"/>
                                                        <w:left w:val="none" w:sz="0" w:space="0" w:color="auto"/>
                                                        <w:bottom w:val="none" w:sz="0" w:space="0" w:color="auto"/>
                                                        <w:right w:val="none" w:sz="0" w:space="0" w:color="auto"/>
                                                      </w:divBdr>
                                                      <w:divsChild>
                                                        <w:div w:id="1285649294">
                                                          <w:marLeft w:val="0"/>
                                                          <w:marRight w:val="0"/>
                                                          <w:marTop w:val="0"/>
                                                          <w:marBottom w:val="0"/>
                                                          <w:divBdr>
                                                            <w:top w:val="none" w:sz="0" w:space="0" w:color="auto"/>
                                                            <w:left w:val="none" w:sz="0" w:space="0" w:color="auto"/>
                                                            <w:bottom w:val="none" w:sz="0" w:space="0" w:color="auto"/>
                                                            <w:right w:val="none" w:sz="0" w:space="0" w:color="auto"/>
                                                          </w:divBdr>
                                                          <w:divsChild>
                                                            <w:div w:id="1095789621">
                                                              <w:marLeft w:val="0"/>
                                                              <w:marRight w:val="0"/>
                                                              <w:marTop w:val="0"/>
                                                              <w:marBottom w:val="0"/>
                                                              <w:divBdr>
                                                                <w:top w:val="none" w:sz="0" w:space="0" w:color="auto"/>
                                                                <w:left w:val="none" w:sz="0" w:space="0" w:color="auto"/>
                                                                <w:bottom w:val="none" w:sz="0" w:space="0" w:color="auto"/>
                                                                <w:right w:val="none" w:sz="0" w:space="0" w:color="auto"/>
                                                              </w:divBdr>
                                                              <w:divsChild>
                                                                <w:div w:id="656567849">
                                                                  <w:marLeft w:val="0"/>
                                                                  <w:marRight w:val="0"/>
                                                                  <w:marTop w:val="0"/>
                                                                  <w:marBottom w:val="0"/>
                                                                  <w:divBdr>
                                                                    <w:top w:val="none" w:sz="0" w:space="0" w:color="auto"/>
                                                                    <w:left w:val="none" w:sz="0" w:space="0" w:color="auto"/>
                                                                    <w:bottom w:val="none" w:sz="0" w:space="0" w:color="auto"/>
                                                                    <w:right w:val="none" w:sz="0" w:space="0" w:color="auto"/>
                                                                  </w:divBdr>
                                                                  <w:divsChild>
                                                                    <w:div w:id="671109914">
                                                                      <w:marLeft w:val="0"/>
                                                                      <w:marRight w:val="0"/>
                                                                      <w:marTop w:val="0"/>
                                                                      <w:marBottom w:val="0"/>
                                                                      <w:divBdr>
                                                                        <w:top w:val="none" w:sz="0" w:space="0" w:color="auto"/>
                                                                        <w:left w:val="none" w:sz="0" w:space="0" w:color="auto"/>
                                                                        <w:bottom w:val="none" w:sz="0" w:space="0" w:color="auto"/>
                                                                        <w:right w:val="none" w:sz="0" w:space="0" w:color="auto"/>
                                                                      </w:divBdr>
                                                                      <w:divsChild>
                                                                        <w:div w:id="682708739">
                                                                          <w:marLeft w:val="0"/>
                                                                          <w:marRight w:val="0"/>
                                                                          <w:marTop w:val="0"/>
                                                                          <w:marBottom w:val="0"/>
                                                                          <w:divBdr>
                                                                            <w:top w:val="none" w:sz="0" w:space="0" w:color="auto"/>
                                                                            <w:left w:val="none" w:sz="0" w:space="0" w:color="auto"/>
                                                                            <w:bottom w:val="none" w:sz="0" w:space="0" w:color="auto"/>
                                                                            <w:right w:val="none" w:sz="0" w:space="0" w:color="auto"/>
                                                                          </w:divBdr>
                                                                        </w:div>
                                                                        <w:div w:id="1225943857">
                                                                          <w:marLeft w:val="0"/>
                                                                          <w:marRight w:val="0"/>
                                                                          <w:marTop w:val="0"/>
                                                                          <w:marBottom w:val="0"/>
                                                                          <w:divBdr>
                                                                            <w:top w:val="none" w:sz="0" w:space="0" w:color="auto"/>
                                                                            <w:left w:val="none" w:sz="0" w:space="0" w:color="auto"/>
                                                                            <w:bottom w:val="none" w:sz="0" w:space="0" w:color="auto"/>
                                                                            <w:right w:val="none" w:sz="0" w:space="0" w:color="auto"/>
                                                                          </w:divBdr>
                                                                          <w:divsChild>
                                                                            <w:div w:id="830877648">
                                                                              <w:marLeft w:val="0"/>
                                                                              <w:marRight w:val="0"/>
                                                                              <w:marTop w:val="0"/>
                                                                              <w:marBottom w:val="0"/>
                                                                              <w:divBdr>
                                                                                <w:top w:val="none" w:sz="0" w:space="0" w:color="auto"/>
                                                                                <w:left w:val="none" w:sz="0" w:space="0" w:color="auto"/>
                                                                                <w:bottom w:val="none" w:sz="0" w:space="0" w:color="auto"/>
                                                                                <w:right w:val="none" w:sz="0" w:space="0" w:color="auto"/>
                                                                              </w:divBdr>
                                                                              <w:divsChild>
                                                                                <w:div w:id="1047606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6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942395">
                                                                          <w:marLeft w:val="0"/>
                                                                          <w:marRight w:val="0"/>
                                                                          <w:marTop w:val="0"/>
                                                                          <w:marBottom w:val="0"/>
                                                                          <w:divBdr>
                                                                            <w:top w:val="none" w:sz="0" w:space="0" w:color="auto"/>
                                                                            <w:left w:val="none" w:sz="0" w:space="0" w:color="auto"/>
                                                                            <w:bottom w:val="none" w:sz="0" w:space="0" w:color="auto"/>
                                                                            <w:right w:val="none" w:sz="0" w:space="0" w:color="auto"/>
                                                                          </w:divBdr>
                                                                        </w:div>
                                                                      </w:divsChild>
                                                                    </w:div>
                                                                    <w:div w:id="1008751242">
                                                                      <w:marLeft w:val="0"/>
                                                                      <w:marRight w:val="0"/>
                                                                      <w:marTop w:val="0"/>
                                                                      <w:marBottom w:val="0"/>
                                                                      <w:divBdr>
                                                                        <w:top w:val="none" w:sz="0" w:space="0" w:color="auto"/>
                                                                        <w:left w:val="none" w:sz="0" w:space="0" w:color="auto"/>
                                                                        <w:bottom w:val="none" w:sz="0" w:space="0" w:color="auto"/>
                                                                        <w:right w:val="none" w:sz="0" w:space="0" w:color="auto"/>
                                                                      </w:divBdr>
                                                                      <w:divsChild>
                                                                        <w:div w:id="351032891">
                                                                          <w:marLeft w:val="0"/>
                                                                          <w:marRight w:val="0"/>
                                                                          <w:marTop w:val="0"/>
                                                                          <w:marBottom w:val="0"/>
                                                                          <w:divBdr>
                                                                            <w:top w:val="none" w:sz="0" w:space="0" w:color="auto"/>
                                                                            <w:left w:val="none" w:sz="0" w:space="0" w:color="auto"/>
                                                                            <w:bottom w:val="none" w:sz="0" w:space="0" w:color="auto"/>
                                                                            <w:right w:val="none" w:sz="0" w:space="0" w:color="auto"/>
                                                                          </w:divBdr>
                                                                        </w:div>
                                                                      </w:divsChild>
                                                                    </w:div>
                                                                    <w:div w:id="2089031052">
                                                                      <w:marLeft w:val="0"/>
                                                                      <w:marRight w:val="0"/>
                                                                      <w:marTop w:val="0"/>
                                                                      <w:marBottom w:val="0"/>
                                                                      <w:divBdr>
                                                                        <w:top w:val="none" w:sz="0" w:space="0" w:color="auto"/>
                                                                        <w:left w:val="none" w:sz="0" w:space="0" w:color="auto"/>
                                                                        <w:bottom w:val="none" w:sz="0" w:space="0" w:color="auto"/>
                                                                        <w:right w:val="none" w:sz="0" w:space="0" w:color="auto"/>
                                                                      </w:divBdr>
                                                                      <w:divsChild>
                                                                        <w:div w:id="1373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8625">
                                                                  <w:marLeft w:val="0"/>
                                                                  <w:marRight w:val="0"/>
                                                                  <w:marTop w:val="0"/>
                                                                  <w:marBottom w:val="0"/>
                                                                  <w:divBdr>
                                                                    <w:top w:val="none" w:sz="0" w:space="0" w:color="auto"/>
                                                                    <w:left w:val="none" w:sz="0" w:space="0" w:color="auto"/>
                                                                    <w:bottom w:val="none" w:sz="0" w:space="0" w:color="auto"/>
                                                                    <w:right w:val="none" w:sz="0" w:space="0" w:color="auto"/>
                                                                  </w:divBdr>
                                                                  <w:divsChild>
                                                                    <w:div w:id="1223640831">
                                                                      <w:marLeft w:val="0"/>
                                                                      <w:marRight w:val="0"/>
                                                                      <w:marTop w:val="0"/>
                                                                      <w:marBottom w:val="0"/>
                                                                      <w:divBdr>
                                                                        <w:top w:val="none" w:sz="0" w:space="0" w:color="auto"/>
                                                                        <w:left w:val="none" w:sz="0" w:space="0" w:color="auto"/>
                                                                        <w:bottom w:val="none" w:sz="0" w:space="0" w:color="auto"/>
                                                                        <w:right w:val="none" w:sz="0" w:space="0" w:color="auto"/>
                                                                      </w:divBdr>
                                                                      <w:divsChild>
                                                                        <w:div w:id="176109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0997210">
      <w:bodyDiv w:val="1"/>
      <w:marLeft w:val="0"/>
      <w:marRight w:val="0"/>
      <w:marTop w:val="0"/>
      <w:marBottom w:val="0"/>
      <w:divBdr>
        <w:top w:val="none" w:sz="0" w:space="0" w:color="auto"/>
        <w:left w:val="none" w:sz="0" w:space="0" w:color="auto"/>
        <w:bottom w:val="none" w:sz="0" w:space="0" w:color="auto"/>
        <w:right w:val="none" w:sz="0" w:space="0" w:color="auto"/>
      </w:divBdr>
    </w:div>
    <w:div w:id="512840234">
      <w:bodyDiv w:val="1"/>
      <w:marLeft w:val="0"/>
      <w:marRight w:val="0"/>
      <w:marTop w:val="0"/>
      <w:marBottom w:val="0"/>
      <w:divBdr>
        <w:top w:val="none" w:sz="0" w:space="0" w:color="auto"/>
        <w:left w:val="none" w:sz="0" w:space="0" w:color="auto"/>
        <w:bottom w:val="none" w:sz="0" w:space="0" w:color="auto"/>
        <w:right w:val="none" w:sz="0" w:space="0" w:color="auto"/>
      </w:divBdr>
      <w:divsChild>
        <w:div w:id="1553300232">
          <w:marLeft w:val="0"/>
          <w:marRight w:val="0"/>
          <w:marTop w:val="0"/>
          <w:marBottom w:val="0"/>
          <w:divBdr>
            <w:top w:val="none" w:sz="0" w:space="0" w:color="auto"/>
            <w:left w:val="none" w:sz="0" w:space="0" w:color="auto"/>
            <w:bottom w:val="none" w:sz="0" w:space="0" w:color="auto"/>
            <w:right w:val="none" w:sz="0" w:space="0" w:color="auto"/>
          </w:divBdr>
          <w:divsChild>
            <w:div w:id="1195193300">
              <w:marLeft w:val="0"/>
              <w:marRight w:val="0"/>
              <w:marTop w:val="0"/>
              <w:marBottom w:val="0"/>
              <w:divBdr>
                <w:top w:val="none" w:sz="0" w:space="0" w:color="auto"/>
                <w:left w:val="none" w:sz="0" w:space="0" w:color="auto"/>
                <w:bottom w:val="none" w:sz="0" w:space="0" w:color="auto"/>
                <w:right w:val="none" w:sz="0" w:space="0" w:color="auto"/>
              </w:divBdr>
              <w:divsChild>
                <w:div w:id="625085846">
                  <w:marLeft w:val="0"/>
                  <w:marRight w:val="0"/>
                  <w:marTop w:val="0"/>
                  <w:marBottom w:val="0"/>
                  <w:divBdr>
                    <w:top w:val="none" w:sz="0" w:space="0" w:color="auto"/>
                    <w:left w:val="none" w:sz="0" w:space="0" w:color="auto"/>
                    <w:bottom w:val="none" w:sz="0" w:space="0" w:color="auto"/>
                    <w:right w:val="none" w:sz="0" w:space="0" w:color="auto"/>
                  </w:divBdr>
                  <w:divsChild>
                    <w:div w:id="25982121">
                      <w:marLeft w:val="0"/>
                      <w:marRight w:val="0"/>
                      <w:marTop w:val="0"/>
                      <w:marBottom w:val="300"/>
                      <w:divBdr>
                        <w:top w:val="none" w:sz="0" w:space="0" w:color="auto"/>
                        <w:left w:val="none" w:sz="0" w:space="0" w:color="auto"/>
                        <w:bottom w:val="none" w:sz="0" w:space="0" w:color="auto"/>
                        <w:right w:val="none" w:sz="0" w:space="0" w:color="auto"/>
                      </w:divBdr>
                      <w:divsChild>
                        <w:div w:id="4869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45443">
      <w:bodyDiv w:val="1"/>
      <w:marLeft w:val="0"/>
      <w:marRight w:val="0"/>
      <w:marTop w:val="0"/>
      <w:marBottom w:val="0"/>
      <w:divBdr>
        <w:top w:val="none" w:sz="0" w:space="0" w:color="auto"/>
        <w:left w:val="none" w:sz="0" w:space="0" w:color="auto"/>
        <w:bottom w:val="none" w:sz="0" w:space="0" w:color="auto"/>
        <w:right w:val="none" w:sz="0" w:space="0" w:color="auto"/>
      </w:divBdr>
      <w:divsChild>
        <w:div w:id="596401676">
          <w:marLeft w:val="0"/>
          <w:marRight w:val="0"/>
          <w:marTop w:val="240"/>
          <w:marBottom w:val="0"/>
          <w:divBdr>
            <w:top w:val="none" w:sz="0" w:space="0" w:color="auto"/>
            <w:left w:val="none" w:sz="0" w:space="0" w:color="auto"/>
            <w:bottom w:val="none" w:sz="0" w:space="0" w:color="auto"/>
            <w:right w:val="none" w:sz="0" w:space="0" w:color="auto"/>
          </w:divBdr>
          <w:divsChild>
            <w:div w:id="2126726103">
              <w:marLeft w:val="0"/>
              <w:marRight w:val="0"/>
              <w:marTop w:val="0"/>
              <w:marBottom w:val="0"/>
              <w:divBdr>
                <w:top w:val="none" w:sz="0" w:space="0" w:color="auto"/>
                <w:left w:val="none" w:sz="0" w:space="0" w:color="auto"/>
                <w:bottom w:val="none" w:sz="0" w:space="0" w:color="auto"/>
                <w:right w:val="none" w:sz="0" w:space="0" w:color="auto"/>
              </w:divBdr>
            </w:div>
          </w:divsChild>
        </w:div>
        <w:div w:id="1417901138">
          <w:marLeft w:val="0"/>
          <w:marRight w:val="0"/>
          <w:marTop w:val="240"/>
          <w:marBottom w:val="0"/>
          <w:divBdr>
            <w:top w:val="none" w:sz="0" w:space="0" w:color="auto"/>
            <w:left w:val="none" w:sz="0" w:space="0" w:color="auto"/>
            <w:bottom w:val="none" w:sz="0" w:space="0" w:color="auto"/>
            <w:right w:val="none" w:sz="0" w:space="0" w:color="auto"/>
          </w:divBdr>
          <w:divsChild>
            <w:div w:id="6921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5185">
      <w:bodyDiv w:val="1"/>
      <w:marLeft w:val="0"/>
      <w:marRight w:val="0"/>
      <w:marTop w:val="0"/>
      <w:marBottom w:val="0"/>
      <w:divBdr>
        <w:top w:val="none" w:sz="0" w:space="0" w:color="auto"/>
        <w:left w:val="none" w:sz="0" w:space="0" w:color="auto"/>
        <w:bottom w:val="none" w:sz="0" w:space="0" w:color="auto"/>
        <w:right w:val="none" w:sz="0" w:space="0" w:color="auto"/>
      </w:divBdr>
      <w:divsChild>
        <w:div w:id="2111773812">
          <w:marLeft w:val="0"/>
          <w:marRight w:val="0"/>
          <w:marTop w:val="0"/>
          <w:marBottom w:val="0"/>
          <w:divBdr>
            <w:top w:val="none" w:sz="0" w:space="0" w:color="auto"/>
            <w:left w:val="none" w:sz="0" w:space="0" w:color="auto"/>
            <w:bottom w:val="none" w:sz="0" w:space="0" w:color="auto"/>
            <w:right w:val="none" w:sz="0" w:space="0" w:color="auto"/>
          </w:divBdr>
          <w:divsChild>
            <w:div w:id="435906637">
              <w:marLeft w:val="0"/>
              <w:marRight w:val="0"/>
              <w:marTop w:val="0"/>
              <w:marBottom w:val="0"/>
              <w:divBdr>
                <w:top w:val="none" w:sz="0" w:space="0" w:color="auto"/>
                <w:left w:val="none" w:sz="0" w:space="0" w:color="auto"/>
                <w:bottom w:val="none" w:sz="0" w:space="0" w:color="auto"/>
                <w:right w:val="none" w:sz="0" w:space="0" w:color="auto"/>
              </w:divBdr>
              <w:divsChild>
                <w:div w:id="841166211">
                  <w:marLeft w:val="0"/>
                  <w:marRight w:val="0"/>
                  <w:marTop w:val="0"/>
                  <w:marBottom w:val="0"/>
                  <w:divBdr>
                    <w:top w:val="none" w:sz="0" w:space="0" w:color="auto"/>
                    <w:left w:val="none" w:sz="0" w:space="0" w:color="auto"/>
                    <w:bottom w:val="none" w:sz="0" w:space="0" w:color="auto"/>
                    <w:right w:val="none" w:sz="0" w:space="0" w:color="auto"/>
                  </w:divBdr>
                  <w:divsChild>
                    <w:div w:id="1517036995">
                      <w:marLeft w:val="0"/>
                      <w:marRight w:val="0"/>
                      <w:marTop w:val="0"/>
                      <w:marBottom w:val="375"/>
                      <w:divBdr>
                        <w:top w:val="none" w:sz="0" w:space="0" w:color="auto"/>
                        <w:left w:val="none" w:sz="0" w:space="0" w:color="auto"/>
                        <w:bottom w:val="none" w:sz="0" w:space="0" w:color="auto"/>
                        <w:right w:val="none" w:sz="0" w:space="0" w:color="auto"/>
                      </w:divBdr>
                      <w:divsChild>
                        <w:div w:id="861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59408">
      <w:bodyDiv w:val="1"/>
      <w:marLeft w:val="0"/>
      <w:marRight w:val="0"/>
      <w:marTop w:val="0"/>
      <w:marBottom w:val="0"/>
      <w:divBdr>
        <w:top w:val="none" w:sz="0" w:space="0" w:color="auto"/>
        <w:left w:val="none" w:sz="0" w:space="0" w:color="auto"/>
        <w:bottom w:val="none" w:sz="0" w:space="0" w:color="auto"/>
        <w:right w:val="none" w:sz="0" w:space="0" w:color="auto"/>
      </w:divBdr>
      <w:divsChild>
        <w:div w:id="5060940">
          <w:marLeft w:val="0"/>
          <w:marRight w:val="0"/>
          <w:marTop w:val="0"/>
          <w:marBottom w:val="0"/>
          <w:divBdr>
            <w:top w:val="none" w:sz="0" w:space="0" w:color="auto"/>
            <w:left w:val="single" w:sz="6" w:space="0" w:color="BBBBBB"/>
            <w:bottom w:val="single" w:sz="6" w:space="0" w:color="BBBBBB"/>
            <w:right w:val="single" w:sz="6" w:space="0" w:color="BBBBBB"/>
          </w:divBdr>
          <w:divsChild>
            <w:div w:id="1641031633">
              <w:marLeft w:val="0"/>
              <w:marRight w:val="0"/>
              <w:marTop w:val="0"/>
              <w:marBottom w:val="0"/>
              <w:divBdr>
                <w:top w:val="none" w:sz="0" w:space="0" w:color="auto"/>
                <w:left w:val="none" w:sz="0" w:space="0" w:color="auto"/>
                <w:bottom w:val="none" w:sz="0" w:space="0" w:color="auto"/>
                <w:right w:val="none" w:sz="0" w:space="0" w:color="auto"/>
              </w:divBdr>
              <w:divsChild>
                <w:div w:id="1932617611">
                  <w:marLeft w:val="0"/>
                  <w:marRight w:val="0"/>
                  <w:marTop w:val="75"/>
                  <w:marBottom w:val="0"/>
                  <w:divBdr>
                    <w:top w:val="none" w:sz="0" w:space="0" w:color="auto"/>
                    <w:left w:val="none" w:sz="0" w:space="0" w:color="auto"/>
                    <w:bottom w:val="none" w:sz="0" w:space="0" w:color="auto"/>
                    <w:right w:val="none" w:sz="0" w:space="0" w:color="auto"/>
                  </w:divBdr>
                  <w:divsChild>
                    <w:div w:id="1894000102">
                      <w:marLeft w:val="0"/>
                      <w:marRight w:val="0"/>
                      <w:marTop w:val="0"/>
                      <w:marBottom w:val="0"/>
                      <w:divBdr>
                        <w:top w:val="none" w:sz="0" w:space="0" w:color="auto"/>
                        <w:left w:val="none" w:sz="0" w:space="0" w:color="auto"/>
                        <w:bottom w:val="none" w:sz="0" w:space="0" w:color="auto"/>
                        <w:right w:val="none" w:sz="0" w:space="0" w:color="auto"/>
                      </w:divBdr>
                      <w:divsChild>
                        <w:div w:id="1644234248">
                          <w:marLeft w:val="0"/>
                          <w:marRight w:val="0"/>
                          <w:marTop w:val="0"/>
                          <w:marBottom w:val="0"/>
                          <w:divBdr>
                            <w:top w:val="none" w:sz="0" w:space="0" w:color="auto"/>
                            <w:left w:val="none" w:sz="0" w:space="0" w:color="auto"/>
                            <w:bottom w:val="none" w:sz="0" w:space="0" w:color="auto"/>
                            <w:right w:val="none" w:sz="0" w:space="0" w:color="auto"/>
                          </w:divBdr>
                          <w:divsChild>
                            <w:div w:id="456263893">
                              <w:marLeft w:val="0"/>
                              <w:marRight w:val="0"/>
                              <w:marTop w:val="0"/>
                              <w:marBottom w:val="0"/>
                              <w:divBdr>
                                <w:top w:val="none" w:sz="0" w:space="0" w:color="auto"/>
                                <w:left w:val="none" w:sz="0" w:space="0" w:color="auto"/>
                                <w:bottom w:val="none" w:sz="0" w:space="0" w:color="auto"/>
                                <w:right w:val="none" w:sz="0" w:space="0" w:color="auto"/>
                              </w:divBdr>
                              <w:divsChild>
                                <w:div w:id="586960518">
                                  <w:marLeft w:val="0"/>
                                  <w:marRight w:val="0"/>
                                  <w:marTop w:val="0"/>
                                  <w:marBottom w:val="0"/>
                                  <w:divBdr>
                                    <w:top w:val="none" w:sz="0" w:space="0" w:color="auto"/>
                                    <w:left w:val="none" w:sz="0" w:space="0" w:color="auto"/>
                                    <w:bottom w:val="none" w:sz="0" w:space="0" w:color="auto"/>
                                    <w:right w:val="none" w:sz="0" w:space="0" w:color="auto"/>
                                  </w:divBdr>
                                  <w:divsChild>
                                    <w:div w:id="1870529310">
                                      <w:marLeft w:val="0"/>
                                      <w:marRight w:val="0"/>
                                      <w:marTop w:val="0"/>
                                      <w:marBottom w:val="0"/>
                                      <w:divBdr>
                                        <w:top w:val="none" w:sz="0" w:space="0" w:color="auto"/>
                                        <w:left w:val="none" w:sz="0" w:space="0" w:color="auto"/>
                                        <w:bottom w:val="none" w:sz="0" w:space="0" w:color="auto"/>
                                        <w:right w:val="none" w:sz="0" w:space="0" w:color="auto"/>
                                      </w:divBdr>
                                      <w:divsChild>
                                        <w:div w:id="1416124175">
                                          <w:marLeft w:val="1200"/>
                                          <w:marRight w:val="1200"/>
                                          <w:marTop w:val="0"/>
                                          <w:marBottom w:val="0"/>
                                          <w:divBdr>
                                            <w:top w:val="none" w:sz="0" w:space="0" w:color="auto"/>
                                            <w:left w:val="none" w:sz="0" w:space="0" w:color="auto"/>
                                            <w:bottom w:val="none" w:sz="0" w:space="0" w:color="auto"/>
                                            <w:right w:val="none" w:sz="0" w:space="0" w:color="auto"/>
                                          </w:divBdr>
                                          <w:divsChild>
                                            <w:div w:id="1793670420">
                                              <w:marLeft w:val="0"/>
                                              <w:marRight w:val="0"/>
                                              <w:marTop w:val="0"/>
                                              <w:marBottom w:val="0"/>
                                              <w:divBdr>
                                                <w:top w:val="none" w:sz="0" w:space="0" w:color="auto"/>
                                                <w:left w:val="none" w:sz="0" w:space="0" w:color="auto"/>
                                                <w:bottom w:val="none" w:sz="0" w:space="0" w:color="auto"/>
                                                <w:right w:val="none" w:sz="0" w:space="0" w:color="auto"/>
                                              </w:divBdr>
                                              <w:divsChild>
                                                <w:div w:id="1325738016">
                                                  <w:marLeft w:val="0"/>
                                                  <w:marRight w:val="0"/>
                                                  <w:marTop w:val="0"/>
                                                  <w:marBottom w:val="0"/>
                                                  <w:divBdr>
                                                    <w:top w:val="none" w:sz="0" w:space="0" w:color="auto"/>
                                                    <w:left w:val="none" w:sz="0" w:space="0" w:color="auto"/>
                                                    <w:bottom w:val="none" w:sz="0" w:space="0" w:color="auto"/>
                                                    <w:right w:val="none" w:sz="0" w:space="0" w:color="auto"/>
                                                  </w:divBdr>
                                                  <w:divsChild>
                                                    <w:div w:id="1574852856">
                                                      <w:marLeft w:val="0"/>
                                                      <w:marRight w:val="0"/>
                                                      <w:marTop w:val="0"/>
                                                      <w:marBottom w:val="0"/>
                                                      <w:divBdr>
                                                        <w:top w:val="none" w:sz="0" w:space="0" w:color="auto"/>
                                                        <w:left w:val="none" w:sz="0" w:space="0" w:color="auto"/>
                                                        <w:bottom w:val="none" w:sz="0" w:space="0" w:color="auto"/>
                                                        <w:right w:val="none" w:sz="0" w:space="0" w:color="auto"/>
                                                      </w:divBdr>
                                                      <w:divsChild>
                                                        <w:div w:id="142427033">
                                                          <w:marLeft w:val="0"/>
                                                          <w:marRight w:val="0"/>
                                                          <w:marTop w:val="0"/>
                                                          <w:marBottom w:val="0"/>
                                                          <w:divBdr>
                                                            <w:top w:val="none" w:sz="0" w:space="0" w:color="auto"/>
                                                            <w:left w:val="none" w:sz="0" w:space="0" w:color="auto"/>
                                                            <w:bottom w:val="none" w:sz="0" w:space="0" w:color="auto"/>
                                                            <w:right w:val="none" w:sz="0" w:space="0" w:color="auto"/>
                                                          </w:divBdr>
                                                          <w:divsChild>
                                                            <w:div w:id="1102190303">
                                                              <w:marLeft w:val="0"/>
                                                              <w:marRight w:val="0"/>
                                                              <w:marTop w:val="0"/>
                                                              <w:marBottom w:val="0"/>
                                                              <w:divBdr>
                                                                <w:top w:val="none" w:sz="0" w:space="0" w:color="auto"/>
                                                                <w:left w:val="none" w:sz="0" w:space="0" w:color="auto"/>
                                                                <w:bottom w:val="none" w:sz="0" w:space="0" w:color="auto"/>
                                                                <w:right w:val="none" w:sz="0" w:space="0" w:color="auto"/>
                                                              </w:divBdr>
                                                              <w:divsChild>
                                                                <w:div w:id="974985403">
                                                                  <w:marLeft w:val="0"/>
                                                                  <w:marRight w:val="0"/>
                                                                  <w:marTop w:val="0"/>
                                                                  <w:marBottom w:val="0"/>
                                                                  <w:divBdr>
                                                                    <w:top w:val="none" w:sz="0" w:space="0" w:color="auto"/>
                                                                    <w:left w:val="none" w:sz="0" w:space="0" w:color="auto"/>
                                                                    <w:bottom w:val="none" w:sz="0" w:space="0" w:color="auto"/>
                                                                    <w:right w:val="none" w:sz="0" w:space="0" w:color="auto"/>
                                                                  </w:divBdr>
                                                                  <w:divsChild>
                                                                    <w:div w:id="35591627">
                                                                      <w:marLeft w:val="0"/>
                                                                      <w:marRight w:val="0"/>
                                                                      <w:marTop w:val="0"/>
                                                                      <w:marBottom w:val="0"/>
                                                                      <w:divBdr>
                                                                        <w:top w:val="none" w:sz="0" w:space="0" w:color="auto"/>
                                                                        <w:left w:val="none" w:sz="0" w:space="0" w:color="auto"/>
                                                                        <w:bottom w:val="none" w:sz="0" w:space="0" w:color="auto"/>
                                                                        <w:right w:val="none" w:sz="0" w:space="0" w:color="auto"/>
                                                                      </w:divBdr>
                                                                      <w:divsChild>
                                                                        <w:div w:id="1744794639">
                                                                          <w:marLeft w:val="0"/>
                                                                          <w:marRight w:val="0"/>
                                                                          <w:marTop w:val="0"/>
                                                                          <w:marBottom w:val="0"/>
                                                                          <w:divBdr>
                                                                            <w:top w:val="none" w:sz="0" w:space="0" w:color="auto"/>
                                                                            <w:left w:val="none" w:sz="0" w:space="0" w:color="auto"/>
                                                                            <w:bottom w:val="none" w:sz="0" w:space="0" w:color="auto"/>
                                                                            <w:right w:val="none" w:sz="0" w:space="0" w:color="auto"/>
                                                                          </w:divBdr>
                                                                        </w:div>
                                                                      </w:divsChild>
                                                                    </w:div>
                                                                    <w:div w:id="147863211">
                                                                      <w:marLeft w:val="0"/>
                                                                      <w:marRight w:val="0"/>
                                                                      <w:marTop w:val="0"/>
                                                                      <w:marBottom w:val="0"/>
                                                                      <w:divBdr>
                                                                        <w:top w:val="none" w:sz="0" w:space="0" w:color="auto"/>
                                                                        <w:left w:val="none" w:sz="0" w:space="0" w:color="auto"/>
                                                                        <w:bottom w:val="none" w:sz="0" w:space="0" w:color="auto"/>
                                                                        <w:right w:val="none" w:sz="0" w:space="0" w:color="auto"/>
                                                                      </w:divBdr>
                                                                      <w:divsChild>
                                                                        <w:div w:id="1749843717">
                                                                          <w:marLeft w:val="0"/>
                                                                          <w:marRight w:val="0"/>
                                                                          <w:marTop w:val="0"/>
                                                                          <w:marBottom w:val="0"/>
                                                                          <w:divBdr>
                                                                            <w:top w:val="none" w:sz="0" w:space="0" w:color="auto"/>
                                                                            <w:left w:val="none" w:sz="0" w:space="0" w:color="auto"/>
                                                                            <w:bottom w:val="none" w:sz="0" w:space="0" w:color="auto"/>
                                                                            <w:right w:val="none" w:sz="0" w:space="0" w:color="auto"/>
                                                                          </w:divBdr>
                                                                        </w:div>
                                                                      </w:divsChild>
                                                                    </w:div>
                                                                    <w:div w:id="1036005467">
                                                                      <w:marLeft w:val="0"/>
                                                                      <w:marRight w:val="0"/>
                                                                      <w:marTop w:val="0"/>
                                                                      <w:marBottom w:val="0"/>
                                                                      <w:divBdr>
                                                                        <w:top w:val="none" w:sz="0" w:space="0" w:color="auto"/>
                                                                        <w:left w:val="none" w:sz="0" w:space="0" w:color="auto"/>
                                                                        <w:bottom w:val="none" w:sz="0" w:space="0" w:color="auto"/>
                                                                        <w:right w:val="none" w:sz="0" w:space="0" w:color="auto"/>
                                                                      </w:divBdr>
                                                                      <w:divsChild>
                                                                        <w:div w:id="187526266">
                                                                          <w:marLeft w:val="0"/>
                                                                          <w:marRight w:val="0"/>
                                                                          <w:marTop w:val="0"/>
                                                                          <w:marBottom w:val="0"/>
                                                                          <w:divBdr>
                                                                            <w:top w:val="none" w:sz="0" w:space="0" w:color="auto"/>
                                                                            <w:left w:val="none" w:sz="0" w:space="0" w:color="auto"/>
                                                                            <w:bottom w:val="none" w:sz="0" w:space="0" w:color="auto"/>
                                                                            <w:right w:val="none" w:sz="0" w:space="0" w:color="auto"/>
                                                                          </w:divBdr>
                                                                        </w:div>
                                                                      </w:divsChild>
                                                                    </w:div>
                                                                    <w:div w:id="1155992593">
                                                                      <w:marLeft w:val="0"/>
                                                                      <w:marRight w:val="0"/>
                                                                      <w:marTop w:val="0"/>
                                                                      <w:marBottom w:val="0"/>
                                                                      <w:divBdr>
                                                                        <w:top w:val="none" w:sz="0" w:space="0" w:color="auto"/>
                                                                        <w:left w:val="none" w:sz="0" w:space="0" w:color="auto"/>
                                                                        <w:bottom w:val="none" w:sz="0" w:space="0" w:color="auto"/>
                                                                        <w:right w:val="none" w:sz="0" w:space="0" w:color="auto"/>
                                                                      </w:divBdr>
                                                                      <w:divsChild>
                                                                        <w:div w:id="1575120025">
                                                                          <w:marLeft w:val="0"/>
                                                                          <w:marRight w:val="0"/>
                                                                          <w:marTop w:val="0"/>
                                                                          <w:marBottom w:val="0"/>
                                                                          <w:divBdr>
                                                                            <w:top w:val="none" w:sz="0" w:space="0" w:color="auto"/>
                                                                            <w:left w:val="none" w:sz="0" w:space="0" w:color="auto"/>
                                                                            <w:bottom w:val="none" w:sz="0" w:space="0" w:color="auto"/>
                                                                            <w:right w:val="none" w:sz="0" w:space="0" w:color="auto"/>
                                                                          </w:divBdr>
                                                                        </w:div>
                                                                      </w:divsChild>
                                                                    </w:div>
                                                                    <w:div w:id="1481074965">
                                                                      <w:marLeft w:val="0"/>
                                                                      <w:marRight w:val="0"/>
                                                                      <w:marTop w:val="0"/>
                                                                      <w:marBottom w:val="0"/>
                                                                      <w:divBdr>
                                                                        <w:top w:val="none" w:sz="0" w:space="0" w:color="auto"/>
                                                                        <w:left w:val="none" w:sz="0" w:space="0" w:color="auto"/>
                                                                        <w:bottom w:val="none" w:sz="0" w:space="0" w:color="auto"/>
                                                                        <w:right w:val="none" w:sz="0" w:space="0" w:color="auto"/>
                                                                      </w:divBdr>
                                                                      <w:divsChild>
                                                                        <w:div w:id="1635521223">
                                                                          <w:marLeft w:val="0"/>
                                                                          <w:marRight w:val="0"/>
                                                                          <w:marTop w:val="0"/>
                                                                          <w:marBottom w:val="0"/>
                                                                          <w:divBdr>
                                                                            <w:top w:val="none" w:sz="0" w:space="0" w:color="auto"/>
                                                                            <w:left w:val="none" w:sz="0" w:space="0" w:color="auto"/>
                                                                            <w:bottom w:val="none" w:sz="0" w:space="0" w:color="auto"/>
                                                                            <w:right w:val="none" w:sz="0" w:space="0" w:color="auto"/>
                                                                          </w:divBdr>
                                                                        </w:div>
                                                                      </w:divsChild>
                                                                    </w:div>
                                                                    <w:div w:id="1761560964">
                                                                      <w:marLeft w:val="0"/>
                                                                      <w:marRight w:val="0"/>
                                                                      <w:marTop w:val="0"/>
                                                                      <w:marBottom w:val="0"/>
                                                                      <w:divBdr>
                                                                        <w:top w:val="none" w:sz="0" w:space="0" w:color="auto"/>
                                                                        <w:left w:val="none" w:sz="0" w:space="0" w:color="auto"/>
                                                                        <w:bottom w:val="none" w:sz="0" w:space="0" w:color="auto"/>
                                                                        <w:right w:val="none" w:sz="0" w:space="0" w:color="auto"/>
                                                                      </w:divBdr>
                                                                      <w:divsChild>
                                                                        <w:div w:id="205114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825872">
      <w:bodyDiv w:val="1"/>
      <w:marLeft w:val="0"/>
      <w:marRight w:val="0"/>
      <w:marTop w:val="0"/>
      <w:marBottom w:val="0"/>
      <w:divBdr>
        <w:top w:val="none" w:sz="0" w:space="0" w:color="auto"/>
        <w:left w:val="none" w:sz="0" w:space="0" w:color="auto"/>
        <w:bottom w:val="none" w:sz="0" w:space="0" w:color="auto"/>
        <w:right w:val="none" w:sz="0" w:space="0" w:color="auto"/>
      </w:divBdr>
      <w:divsChild>
        <w:div w:id="1409427600">
          <w:marLeft w:val="0"/>
          <w:marRight w:val="0"/>
          <w:marTop w:val="0"/>
          <w:marBottom w:val="0"/>
          <w:divBdr>
            <w:top w:val="none" w:sz="0" w:space="0" w:color="auto"/>
            <w:left w:val="none" w:sz="0" w:space="0" w:color="auto"/>
            <w:bottom w:val="none" w:sz="0" w:space="0" w:color="auto"/>
            <w:right w:val="none" w:sz="0" w:space="0" w:color="auto"/>
          </w:divBdr>
          <w:divsChild>
            <w:div w:id="2115515127">
              <w:marLeft w:val="0"/>
              <w:marRight w:val="0"/>
              <w:marTop w:val="0"/>
              <w:marBottom w:val="0"/>
              <w:divBdr>
                <w:top w:val="none" w:sz="0" w:space="0" w:color="auto"/>
                <w:left w:val="none" w:sz="0" w:space="0" w:color="auto"/>
                <w:bottom w:val="none" w:sz="0" w:space="0" w:color="auto"/>
                <w:right w:val="none" w:sz="0" w:space="0" w:color="auto"/>
              </w:divBdr>
              <w:divsChild>
                <w:div w:id="2038459122">
                  <w:marLeft w:val="0"/>
                  <w:marRight w:val="0"/>
                  <w:marTop w:val="0"/>
                  <w:marBottom w:val="0"/>
                  <w:divBdr>
                    <w:top w:val="none" w:sz="0" w:space="0" w:color="auto"/>
                    <w:left w:val="none" w:sz="0" w:space="0" w:color="auto"/>
                    <w:bottom w:val="none" w:sz="0" w:space="0" w:color="auto"/>
                    <w:right w:val="none" w:sz="0" w:space="0" w:color="auto"/>
                  </w:divBdr>
                  <w:divsChild>
                    <w:div w:id="616714332">
                      <w:marLeft w:val="0"/>
                      <w:marRight w:val="0"/>
                      <w:marTop w:val="0"/>
                      <w:marBottom w:val="375"/>
                      <w:divBdr>
                        <w:top w:val="none" w:sz="0" w:space="0" w:color="auto"/>
                        <w:left w:val="none" w:sz="0" w:space="0" w:color="auto"/>
                        <w:bottom w:val="none" w:sz="0" w:space="0" w:color="auto"/>
                        <w:right w:val="none" w:sz="0" w:space="0" w:color="auto"/>
                      </w:divBdr>
                      <w:divsChild>
                        <w:div w:id="20565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589851">
      <w:bodyDiv w:val="1"/>
      <w:marLeft w:val="0"/>
      <w:marRight w:val="0"/>
      <w:marTop w:val="0"/>
      <w:marBottom w:val="0"/>
      <w:divBdr>
        <w:top w:val="none" w:sz="0" w:space="0" w:color="auto"/>
        <w:left w:val="none" w:sz="0" w:space="0" w:color="auto"/>
        <w:bottom w:val="none" w:sz="0" w:space="0" w:color="auto"/>
        <w:right w:val="none" w:sz="0" w:space="0" w:color="auto"/>
      </w:divBdr>
      <w:divsChild>
        <w:div w:id="1884170110">
          <w:marLeft w:val="0"/>
          <w:marRight w:val="0"/>
          <w:marTop w:val="240"/>
          <w:marBottom w:val="0"/>
          <w:divBdr>
            <w:top w:val="none" w:sz="0" w:space="0" w:color="auto"/>
            <w:left w:val="none" w:sz="0" w:space="0" w:color="auto"/>
            <w:bottom w:val="none" w:sz="0" w:space="0" w:color="auto"/>
            <w:right w:val="none" w:sz="0" w:space="0" w:color="auto"/>
          </w:divBdr>
          <w:divsChild>
            <w:div w:id="1414889157">
              <w:marLeft w:val="0"/>
              <w:marRight w:val="0"/>
              <w:marTop w:val="0"/>
              <w:marBottom w:val="0"/>
              <w:divBdr>
                <w:top w:val="none" w:sz="0" w:space="0" w:color="auto"/>
                <w:left w:val="none" w:sz="0" w:space="0" w:color="auto"/>
                <w:bottom w:val="none" w:sz="0" w:space="0" w:color="auto"/>
                <w:right w:val="none" w:sz="0" w:space="0" w:color="auto"/>
              </w:divBdr>
            </w:div>
          </w:divsChild>
        </w:div>
        <w:div w:id="692026765">
          <w:marLeft w:val="0"/>
          <w:marRight w:val="0"/>
          <w:marTop w:val="240"/>
          <w:marBottom w:val="0"/>
          <w:divBdr>
            <w:top w:val="none" w:sz="0" w:space="0" w:color="auto"/>
            <w:left w:val="none" w:sz="0" w:space="0" w:color="auto"/>
            <w:bottom w:val="none" w:sz="0" w:space="0" w:color="auto"/>
            <w:right w:val="none" w:sz="0" w:space="0" w:color="auto"/>
          </w:divBdr>
          <w:divsChild>
            <w:div w:id="288777751">
              <w:marLeft w:val="0"/>
              <w:marRight w:val="0"/>
              <w:marTop w:val="0"/>
              <w:marBottom w:val="0"/>
              <w:divBdr>
                <w:top w:val="none" w:sz="0" w:space="0" w:color="auto"/>
                <w:left w:val="none" w:sz="0" w:space="0" w:color="auto"/>
                <w:bottom w:val="none" w:sz="0" w:space="0" w:color="auto"/>
                <w:right w:val="none" w:sz="0" w:space="0" w:color="auto"/>
              </w:divBdr>
            </w:div>
          </w:divsChild>
        </w:div>
        <w:div w:id="1339776067">
          <w:marLeft w:val="0"/>
          <w:marRight w:val="0"/>
          <w:marTop w:val="240"/>
          <w:marBottom w:val="0"/>
          <w:divBdr>
            <w:top w:val="none" w:sz="0" w:space="0" w:color="auto"/>
            <w:left w:val="none" w:sz="0" w:space="0" w:color="auto"/>
            <w:bottom w:val="none" w:sz="0" w:space="0" w:color="auto"/>
            <w:right w:val="none" w:sz="0" w:space="0" w:color="auto"/>
          </w:divBdr>
          <w:divsChild>
            <w:div w:id="1168407246">
              <w:marLeft w:val="0"/>
              <w:marRight w:val="0"/>
              <w:marTop w:val="0"/>
              <w:marBottom w:val="0"/>
              <w:divBdr>
                <w:top w:val="none" w:sz="0" w:space="0" w:color="auto"/>
                <w:left w:val="none" w:sz="0" w:space="0" w:color="auto"/>
                <w:bottom w:val="none" w:sz="0" w:space="0" w:color="auto"/>
                <w:right w:val="none" w:sz="0" w:space="0" w:color="auto"/>
              </w:divBdr>
            </w:div>
          </w:divsChild>
        </w:div>
        <w:div w:id="386880840">
          <w:marLeft w:val="0"/>
          <w:marRight w:val="0"/>
          <w:marTop w:val="0"/>
          <w:marBottom w:val="0"/>
          <w:divBdr>
            <w:top w:val="none" w:sz="0" w:space="0" w:color="auto"/>
            <w:left w:val="none" w:sz="0" w:space="0" w:color="auto"/>
            <w:bottom w:val="none" w:sz="0" w:space="0" w:color="auto"/>
            <w:right w:val="none" w:sz="0" w:space="0" w:color="auto"/>
          </w:divBdr>
        </w:div>
        <w:div w:id="1130124795">
          <w:marLeft w:val="0"/>
          <w:marRight w:val="0"/>
          <w:marTop w:val="240"/>
          <w:marBottom w:val="0"/>
          <w:divBdr>
            <w:top w:val="none" w:sz="0" w:space="0" w:color="auto"/>
            <w:left w:val="none" w:sz="0" w:space="0" w:color="auto"/>
            <w:bottom w:val="none" w:sz="0" w:space="0" w:color="auto"/>
            <w:right w:val="none" w:sz="0" w:space="0" w:color="auto"/>
          </w:divBdr>
          <w:divsChild>
            <w:div w:id="1428037909">
              <w:marLeft w:val="0"/>
              <w:marRight w:val="0"/>
              <w:marTop w:val="0"/>
              <w:marBottom w:val="0"/>
              <w:divBdr>
                <w:top w:val="none" w:sz="0" w:space="0" w:color="auto"/>
                <w:left w:val="none" w:sz="0" w:space="0" w:color="auto"/>
                <w:bottom w:val="none" w:sz="0" w:space="0" w:color="auto"/>
                <w:right w:val="none" w:sz="0" w:space="0" w:color="auto"/>
              </w:divBdr>
            </w:div>
          </w:divsChild>
        </w:div>
        <w:div w:id="1785270577">
          <w:marLeft w:val="0"/>
          <w:marRight w:val="0"/>
          <w:marTop w:val="240"/>
          <w:marBottom w:val="0"/>
          <w:divBdr>
            <w:top w:val="none" w:sz="0" w:space="0" w:color="auto"/>
            <w:left w:val="none" w:sz="0" w:space="0" w:color="auto"/>
            <w:bottom w:val="none" w:sz="0" w:space="0" w:color="auto"/>
            <w:right w:val="none" w:sz="0" w:space="0" w:color="auto"/>
          </w:divBdr>
          <w:divsChild>
            <w:div w:id="3899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67551">
      <w:bodyDiv w:val="1"/>
      <w:marLeft w:val="0"/>
      <w:marRight w:val="0"/>
      <w:marTop w:val="0"/>
      <w:marBottom w:val="0"/>
      <w:divBdr>
        <w:top w:val="none" w:sz="0" w:space="0" w:color="auto"/>
        <w:left w:val="none" w:sz="0" w:space="0" w:color="auto"/>
        <w:bottom w:val="none" w:sz="0" w:space="0" w:color="auto"/>
        <w:right w:val="none" w:sz="0" w:space="0" w:color="auto"/>
      </w:divBdr>
      <w:divsChild>
        <w:div w:id="1867133439">
          <w:marLeft w:val="0"/>
          <w:marRight w:val="0"/>
          <w:marTop w:val="0"/>
          <w:marBottom w:val="0"/>
          <w:divBdr>
            <w:top w:val="none" w:sz="0" w:space="0" w:color="auto"/>
            <w:left w:val="none" w:sz="0" w:space="0" w:color="auto"/>
            <w:bottom w:val="none" w:sz="0" w:space="0" w:color="auto"/>
            <w:right w:val="none" w:sz="0" w:space="0" w:color="auto"/>
          </w:divBdr>
          <w:divsChild>
            <w:div w:id="1724980486">
              <w:marLeft w:val="0"/>
              <w:marRight w:val="0"/>
              <w:marTop w:val="0"/>
              <w:marBottom w:val="0"/>
              <w:divBdr>
                <w:top w:val="none" w:sz="0" w:space="0" w:color="auto"/>
                <w:left w:val="none" w:sz="0" w:space="0" w:color="auto"/>
                <w:bottom w:val="none" w:sz="0" w:space="0" w:color="auto"/>
                <w:right w:val="none" w:sz="0" w:space="0" w:color="auto"/>
              </w:divBdr>
              <w:divsChild>
                <w:div w:id="2015960729">
                  <w:marLeft w:val="3960"/>
                  <w:marRight w:val="240"/>
                  <w:marTop w:val="240"/>
                  <w:marBottom w:val="0"/>
                  <w:divBdr>
                    <w:top w:val="none" w:sz="0" w:space="0" w:color="auto"/>
                    <w:left w:val="none" w:sz="0" w:space="0" w:color="auto"/>
                    <w:bottom w:val="none" w:sz="0" w:space="0" w:color="auto"/>
                    <w:right w:val="none" w:sz="0" w:space="0" w:color="auto"/>
                  </w:divBdr>
                  <w:divsChild>
                    <w:div w:id="1232932881">
                      <w:marLeft w:val="0"/>
                      <w:marRight w:val="0"/>
                      <w:marTop w:val="0"/>
                      <w:marBottom w:val="0"/>
                      <w:divBdr>
                        <w:top w:val="none" w:sz="0" w:space="0" w:color="auto"/>
                        <w:left w:val="none" w:sz="0" w:space="0" w:color="auto"/>
                        <w:bottom w:val="none" w:sz="0" w:space="0" w:color="auto"/>
                        <w:right w:val="none" w:sz="0" w:space="0" w:color="auto"/>
                      </w:divBdr>
                      <w:divsChild>
                        <w:div w:id="613100475">
                          <w:marLeft w:val="0"/>
                          <w:marRight w:val="0"/>
                          <w:marTop w:val="0"/>
                          <w:marBottom w:val="0"/>
                          <w:divBdr>
                            <w:top w:val="none" w:sz="0" w:space="0" w:color="auto"/>
                            <w:left w:val="none" w:sz="0" w:space="0" w:color="auto"/>
                            <w:bottom w:val="none" w:sz="0" w:space="0" w:color="auto"/>
                            <w:right w:val="none" w:sz="0" w:space="0" w:color="auto"/>
                          </w:divBdr>
                          <w:divsChild>
                            <w:div w:id="5571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304302">
      <w:bodyDiv w:val="1"/>
      <w:marLeft w:val="0"/>
      <w:marRight w:val="0"/>
      <w:marTop w:val="0"/>
      <w:marBottom w:val="0"/>
      <w:divBdr>
        <w:top w:val="none" w:sz="0" w:space="0" w:color="auto"/>
        <w:left w:val="none" w:sz="0" w:space="0" w:color="auto"/>
        <w:bottom w:val="none" w:sz="0" w:space="0" w:color="auto"/>
        <w:right w:val="none" w:sz="0" w:space="0" w:color="auto"/>
      </w:divBdr>
      <w:divsChild>
        <w:div w:id="169879385">
          <w:marLeft w:val="0"/>
          <w:marRight w:val="0"/>
          <w:marTop w:val="0"/>
          <w:marBottom w:val="0"/>
          <w:divBdr>
            <w:top w:val="none" w:sz="0" w:space="0" w:color="auto"/>
            <w:left w:val="none" w:sz="0" w:space="0" w:color="auto"/>
            <w:bottom w:val="none" w:sz="0" w:space="0" w:color="auto"/>
            <w:right w:val="none" w:sz="0" w:space="0" w:color="auto"/>
          </w:divBdr>
          <w:divsChild>
            <w:div w:id="495535035">
              <w:marLeft w:val="0"/>
              <w:marRight w:val="0"/>
              <w:marTop w:val="0"/>
              <w:marBottom w:val="0"/>
              <w:divBdr>
                <w:top w:val="none" w:sz="0" w:space="0" w:color="auto"/>
                <w:left w:val="none" w:sz="0" w:space="0" w:color="auto"/>
                <w:bottom w:val="none" w:sz="0" w:space="0" w:color="auto"/>
                <w:right w:val="none" w:sz="0" w:space="0" w:color="auto"/>
              </w:divBdr>
              <w:divsChild>
                <w:div w:id="31851915">
                  <w:marLeft w:val="0"/>
                  <w:marRight w:val="0"/>
                  <w:marTop w:val="0"/>
                  <w:marBottom w:val="0"/>
                  <w:divBdr>
                    <w:top w:val="none" w:sz="0" w:space="0" w:color="auto"/>
                    <w:left w:val="none" w:sz="0" w:space="0" w:color="auto"/>
                    <w:bottom w:val="none" w:sz="0" w:space="0" w:color="auto"/>
                    <w:right w:val="none" w:sz="0" w:space="0" w:color="auto"/>
                  </w:divBdr>
                  <w:divsChild>
                    <w:div w:id="1376345668">
                      <w:marLeft w:val="0"/>
                      <w:marRight w:val="0"/>
                      <w:marTop w:val="0"/>
                      <w:marBottom w:val="300"/>
                      <w:divBdr>
                        <w:top w:val="none" w:sz="0" w:space="0" w:color="auto"/>
                        <w:left w:val="none" w:sz="0" w:space="0" w:color="auto"/>
                        <w:bottom w:val="none" w:sz="0" w:space="0" w:color="auto"/>
                        <w:right w:val="none" w:sz="0" w:space="0" w:color="auto"/>
                      </w:divBdr>
                      <w:divsChild>
                        <w:div w:id="19716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391446">
      <w:bodyDiv w:val="1"/>
      <w:marLeft w:val="0"/>
      <w:marRight w:val="0"/>
      <w:marTop w:val="0"/>
      <w:marBottom w:val="0"/>
      <w:divBdr>
        <w:top w:val="none" w:sz="0" w:space="0" w:color="auto"/>
        <w:left w:val="none" w:sz="0" w:space="0" w:color="auto"/>
        <w:bottom w:val="none" w:sz="0" w:space="0" w:color="auto"/>
        <w:right w:val="none" w:sz="0" w:space="0" w:color="auto"/>
      </w:divBdr>
      <w:divsChild>
        <w:div w:id="2062511943">
          <w:marLeft w:val="0"/>
          <w:marRight w:val="0"/>
          <w:marTop w:val="0"/>
          <w:marBottom w:val="0"/>
          <w:divBdr>
            <w:top w:val="none" w:sz="0" w:space="0" w:color="auto"/>
            <w:left w:val="single" w:sz="6" w:space="0" w:color="BBBBBB"/>
            <w:bottom w:val="single" w:sz="6" w:space="0" w:color="BBBBBB"/>
            <w:right w:val="single" w:sz="6" w:space="0" w:color="BBBBBB"/>
          </w:divBdr>
          <w:divsChild>
            <w:div w:id="1805001463">
              <w:marLeft w:val="0"/>
              <w:marRight w:val="0"/>
              <w:marTop w:val="0"/>
              <w:marBottom w:val="0"/>
              <w:divBdr>
                <w:top w:val="none" w:sz="0" w:space="0" w:color="auto"/>
                <w:left w:val="none" w:sz="0" w:space="0" w:color="auto"/>
                <w:bottom w:val="none" w:sz="0" w:space="0" w:color="auto"/>
                <w:right w:val="none" w:sz="0" w:space="0" w:color="auto"/>
              </w:divBdr>
              <w:divsChild>
                <w:div w:id="102504786">
                  <w:marLeft w:val="0"/>
                  <w:marRight w:val="0"/>
                  <w:marTop w:val="0"/>
                  <w:marBottom w:val="0"/>
                  <w:divBdr>
                    <w:top w:val="none" w:sz="0" w:space="0" w:color="auto"/>
                    <w:left w:val="none" w:sz="0" w:space="0" w:color="auto"/>
                    <w:bottom w:val="none" w:sz="0" w:space="0" w:color="auto"/>
                    <w:right w:val="none" w:sz="0" w:space="0" w:color="auto"/>
                  </w:divBdr>
                  <w:divsChild>
                    <w:div w:id="1218010806">
                      <w:marLeft w:val="0"/>
                      <w:marRight w:val="0"/>
                      <w:marTop w:val="0"/>
                      <w:marBottom w:val="0"/>
                      <w:divBdr>
                        <w:top w:val="none" w:sz="0" w:space="0" w:color="auto"/>
                        <w:left w:val="none" w:sz="0" w:space="0" w:color="auto"/>
                        <w:bottom w:val="none" w:sz="0" w:space="0" w:color="auto"/>
                        <w:right w:val="none" w:sz="0" w:space="0" w:color="auto"/>
                      </w:divBdr>
                      <w:divsChild>
                        <w:div w:id="1360200259">
                          <w:marLeft w:val="0"/>
                          <w:marRight w:val="0"/>
                          <w:marTop w:val="0"/>
                          <w:marBottom w:val="0"/>
                          <w:divBdr>
                            <w:top w:val="none" w:sz="0" w:space="0" w:color="auto"/>
                            <w:left w:val="none" w:sz="0" w:space="0" w:color="auto"/>
                            <w:bottom w:val="none" w:sz="0" w:space="0" w:color="auto"/>
                            <w:right w:val="none" w:sz="0" w:space="0" w:color="auto"/>
                          </w:divBdr>
                          <w:divsChild>
                            <w:div w:id="1885822321">
                              <w:marLeft w:val="0"/>
                              <w:marRight w:val="0"/>
                              <w:marTop w:val="0"/>
                              <w:marBottom w:val="0"/>
                              <w:divBdr>
                                <w:top w:val="none" w:sz="0" w:space="0" w:color="auto"/>
                                <w:left w:val="none" w:sz="0" w:space="0" w:color="auto"/>
                                <w:bottom w:val="none" w:sz="0" w:space="0" w:color="auto"/>
                                <w:right w:val="none" w:sz="0" w:space="0" w:color="auto"/>
                              </w:divBdr>
                              <w:divsChild>
                                <w:div w:id="1766726791">
                                  <w:marLeft w:val="0"/>
                                  <w:marRight w:val="0"/>
                                  <w:marTop w:val="0"/>
                                  <w:marBottom w:val="0"/>
                                  <w:divBdr>
                                    <w:top w:val="none" w:sz="0" w:space="0" w:color="auto"/>
                                    <w:left w:val="none" w:sz="0" w:space="0" w:color="auto"/>
                                    <w:bottom w:val="none" w:sz="0" w:space="0" w:color="auto"/>
                                    <w:right w:val="none" w:sz="0" w:space="0" w:color="auto"/>
                                  </w:divBdr>
                                  <w:divsChild>
                                    <w:div w:id="1577476235">
                                      <w:marLeft w:val="0"/>
                                      <w:marRight w:val="0"/>
                                      <w:marTop w:val="0"/>
                                      <w:marBottom w:val="0"/>
                                      <w:divBdr>
                                        <w:top w:val="none" w:sz="0" w:space="0" w:color="auto"/>
                                        <w:left w:val="none" w:sz="0" w:space="0" w:color="auto"/>
                                        <w:bottom w:val="none" w:sz="0" w:space="0" w:color="auto"/>
                                        <w:right w:val="none" w:sz="0" w:space="0" w:color="auto"/>
                                      </w:divBdr>
                                      <w:divsChild>
                                        <w:div w:id="44917786">
                                          <w:marLeft w:val="1200"/>
                                          <w:marRight w:val="1200"/>
                                          <w:marTop w:val="0"/>
                                          <w:marBottom w:val="0"/>
                                          <w:divBdr>
                                            <w:top w:val="none" w:sz="0" w:space="0" w:color="auto"/>
                                            <w:left w:val="none" w:sz="0" w:space="0" w:color="auto"/>
                                            <w:bottom w:val="none" w:sz="0" w:space="0" w:color="auto"/>
                                            <w:right w:val="none" w:sz="0" w:space="0" w:color="auto"/>
                                          </w:divBdr>
                                          <w:divsChild>
                                            <w:div w:id="1592350282">
                                              <w:marLeft w:val="0"/>
                                              <w:marRight w:val="0"/>
                                              <w:marTop w:val="0"/>
                                              <w:marBottom w:val="0"/>
                                              <w:divBdr>
                                                <w:top w:val="none" w:sz="0" w:space="0" w:color="auto"/>
                                                <w:left w:val="none" w:sz="0" w:space="0" w:color="auto"/>
                                                <w:bottom w:val="none" w:sz="0" w:space="0" w:color="auto"/>
                                                <w:right w:val="none" w:sz="0" w:space="0" w:color="auto"/>
                                              </w:divBdr>
                                              <w:divsChild>
                                                <w:div w:id="1901473861">
                                                  <w:marLeft w:val="0"/>
                                                  <w:marRight w:val="0"/>
                                                  <w:marTop w:val="0"/>
                                                  <w:marBottom w:val="0"/>
                                                  <w:divBdr>
                                                    <w:top w:val="none" w:sz="0" w:space="0" w:color="auto"/>
                                                    <w:left w:val="none" w:sz="0" w:space="0" w:color="auto"/>
                                                    <w:bottom w:val="none" w:sz="0" w:space="0" w:color="auto"/>
                                                    <w:right w:val="none" w:sz="0" w:space="0" w:color="auto"/>
                                                  </w:divBdr>
                                                  <w:divsChild>
                                                    <w:div w:id="1155611668">
                                                      <w:marLeft w:val="0"/>
                                                      <w:marRight w:val="0"/>
                                                      <w:marTop w:val="0"/>
                                                      <w:marBottom w:val="0"/>
                                                      <w:divBdr>
                                                        <w:top w:val="none" w:sz="0" w:space="0" w:color="auto"/>
                                                        <w:left w:val="none" w:sz="0" w:space="0" w:color="auto"/>
                                                        <w:bottom w:val="none" w:sz="0" w:space="0" w:color="auto"/>
                                                        <w:right w:val="none" w:sz="0" w:space="0" w:color="auto"/>
                                                      </w:divBdr>
                                                      <w:divsChild>
                                                        <w:div w:id="196241123">
                                                          <w:marLeft w:val="0"/>
                                                          <w:marRight w:val="0"/>
                                                          <w:marTop w:val="0"/>
                                                          <w:marBottom w:val="0"/>
                                                          <w:divBdr>
                                                            <w:top w:val="none" w:sz="0" w:space="0" w:color="auto"/>
                                                            <w:left w:val="none" w:sz="0" w:space="0" w:color="auto"/>
                                                            <w:bottom w:val="none" w:sz="0" w:space="0" w:color="auto"/>
                                                            <w:right w:val="none" w:sz="0" w:space="0" w:color="auto"/>
                                                          </w:divBdr>
                                                          <w:divsChild>
                                                            <w:div w:id="294263980">
                                                              <w:marLeft w:val="0"/>
                                                              <w:marRight w:val="0"/>
                                                              <w:marTop w:val="0"/>
                                                              <w:marBottom w:val="0"/>
                                                              <w:divBdr>
                                                                <w:top w:val="none" w:sz="0" w:space="0" w:color="auto"/>
                                                                <w:left w:val="none" w:sz="0" w:space="0" w:color="auto"/>
                                                                <w:bottom w:val="none" w:sz="0" w:space="0" w:color="auto"/>
                                                                <w:right w:val="none" w:sz="0" w:space="0" w:color="auto"/>
                                                              </w:divBdr>
                                                              <w:divsChild>
                                                                <w:div w:id="331952956">
                                                                  <w:marLeft w:val="0"/>
                                                                  <w:marRight w:val="0"/>
                                                                  <w:marTop w:val="0"/>
                                                                  <w:marBottom w:val="0"/>
                                                                  <w:divBdr>
                                                                    <w:top w:val="none" w:sz="0" w:space="0" w:color="auto"/>
                                                                    <w:left w:val="none" w:sz="0" w:space="0" w:color="auto"/>
                                                                    <w:bottom w:val="none" w:sz="0" w:space="0" w:color="auto"/>
                                                                    <w:right w:val="none" w:sz="0" w:space="0" w:color="auto"/>
                                                                  </w:divBdr>
                                                                  <w:divsChild>
                                                                    <w:div w:id="1322390169">
                                                                      <w:marLeft w:val="0"/>
                                                                      <w:marRight w:val="0"/>
                                                                      <w:marTop w:val="0"/>
                                                                      <w:marBottom w:val="0"/>
                                                                      <w:divBdr>
                                                                        <w:top w:val="none" w:sz="0" w:space="0" w:color="auto"/>
                                                                        <w:left w:val="none" w:sz="0" w:space="0" w:color="auto"/>
                                                                        <w:bottom w:val="none" w:sz="0" w:space="0" w:color="auto"/>
                                                                        <w:right w:val="none" w:sz="0" w:space="0" w:color="auto"/>
                                                                      </w:divBdr>
                                                                      <w:divsChild>
                                                                        <w:div w:id="653144039">
                                                                          <w:marLeft w:val="0"/>
                                                                          <w:marRight w:val="0"/>
                                                                          <w:marTop w:val="0"/>
                                                                          <w:marBottom w:val="0"/>
                                                                          <w:divBdr>
                                                                            <w:top w:val="none" w:sz="0" w:space="0" w:color="auto"/>
                                                                            <w:left w:val="none" w:sz="0" w:space="0" w:color="auto"/>
                                                                            <w:bottom w:val="none" w:sz="0" w:space="0" w:color="auto"/>
                                                                            <w:right w:val="none" w:sz="0" w:space="0" w:color="auto"/>
                                                                          </w:divBdr>
                                                                        </w:div>
                                                                      </w:divsChild>
                                                                    </w:div>
                                                                    <w:div w:id="1352681288">
                                                                      <w:marLeft w:val="0"/>
                                                                      <w:marRight w:val="0"/>
                                                                      <w:marTop w:val="0"/>
                                                                      <w:marBottom w:val="0"/>
                                                                      <w:divBdr>
                                                                        <w:top w:val="none" w:sz="0" w:space="0" w:color="auto"/>
                                                                        <w:left w:val="none" w:sz="0" w:space="0" w:color="auto"/>
                                                                        <w:bottom w:val="none" w:sz="0" w:space="0" w:color="auto"/>
                                                                        <w:right w:val="none" w:sz="0" w:space="0" w:color="auto"/>
                                                                      </w:divBdr>
                                                                      <w:divsChild>
                                                                        <w:div w:id="1064379563">
                                                                          <w:marLeft w:val="0"/>
                                                                          <w:marRight w:val="0"/>
                                                                          <w:marTop w:val="0"/>
                                                                          <w:marBottom w:val="0"/>
                                                                          <w:divBdr>
                                                                            <w:top w:val="none" w:sz="0" w:space="0" w:color="auto"/>
                                                                            <w:left w:val="none" w:sz="0" w:space="0" w:color="auto"/>
                                                                            <w:bottom w:val="none" w:sz="0" w:space="0" w:color="auto"/>
                                                                            <w:right w:val="none" w:sz="0" w:space="0" w:color="auto"/>
                                                                          </w:divBdr>
                                                                        </w:div>
                                                                      </w:divsChild>
                                                                    </w:div>
                                                                    <w:div w:id="1653296045">
                                                                      <w:marLeft w:val="0"/>
                                                                      <w:marRight w:val="0"/>
                                                                      <w:marTop w:val="0"/>
                                                                      <w:marBottom w:val="0"/>
                                                                      <w:divBdr>
                                                                        <w:top w:val="none" w:sz="0" w:space="0" w:color="auto"/>
                                                                        <w:left w:val="none" w:sz="0" w:space="0" w:color="auto"/>
                                                                        <w:bottom w:val="none" w:sz="0" w:space="0" w:color="auto"/>
                                                                        <w:right w:val="none" w:sz="0" w:space="0" w:color="auto"/>
                                                                      </w:divBdr>
                                                                      <w:divsChild>
                                                                        <w:div w:id="126184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7815012">
      <w:bodyDiv w:val="1"/>
      <w:marLeft w:val="0"/>
      <w:marRight w:val="0"/>
      <w:marTop w:val="0"/>
      <w:marBottom w:val="0"/>
      <w:divBdr>
        <w:top w:val="none" w:sz="0" w:space="0" w:color="auto"/>
        <w:left w:val="none" w:sz="0" w:space="0" w:color="auto"/>
        <w:bottom w:val="none" w:sz="0" w:space="0" w:color="auto"/>
        <w:right w:val="none" w:sz="0" w:space="0" w:color="auto"/>
      </w:divBdr>
    </w:div>
    <w:div w:id="541601719">
      <w:bodyDiv w:val="1"/>
      <w:marLeft w:val="0"/>
      <w:marRight w:val="0"/>
      <w:marTop w:val="0"/>
      <w:marBottom w:val="0"/>
      <w:divBdr>
        <w:top w:val="none" w:sz="0" w:space="0" w:color="auto"/>
        <w:left w:val="none" w:sz="0" w:space="0" w:color="auto"/>
        <w:bottom w:val="none" w:sz="0" w:space="0" w:color="auto"/>
        <w:right w:val="none" w:sz="0" w:space="0" w:color="auto"/>
      </w:divBdr>
      <w:divsChild>
        <w:div w:id="1741365368">
          <w:marLeft w:val="0"/>
          <w:marRight w:val="0"/>
          <w:marTop w:val="0"/>
          <w:marBottom w:val="0"/>
          <w:divBdr>
            <w:top w:val="none" w:sz="0" w:space="0" w:color="auto"/>
            <w:left w:val="single" w:sz="6" w:space="0" w:color="BBBBBB"/>
            <w:bottom w:val="single" w:sz="6" w:space="0" w:color="BBBBBB"/>
            <w:right w:val="single" w:sz="6" w:space="0" w:color="BBBBBB"/>
          </w:divBdr>
          <w:divsChild>
            <w:div w:id="1458372701">
              <w:marLeft w:val="0"/>
              <w:marRight w:val="0"/>
              <w:marTop w:val="0"/>
              <w:marBottom w:val="0"/>
              <w:divBdr>
                <w:top w:val="none" w:sz="0" w:space="0" w:color="auto"/>
                <w:left w:val="none" w:sz="0" w:space="0" w:color="auto"/>
                <w:bottom w:val="none" w:sz="0" w:space="0" w:color="auto"/>
                <w:right w:val="none" w:sz="0" w:space="0" w:color="auto"/>
              </w:divBdr>
              <w:divsChild>
                <w:div w:id="1806312089">
                  <w:marLeft w:val="0"/>
                  <w:marRight w:val="0"/>
                  <w:marTop w:val="75"/>
                  <w:marBottom w:val="0"/>
                  <w:divBdr>
                    <w:top w:val="none" w:sz="0" w:space="0" w:color="auto"/>
                    <w:left w:val="none" w:sz="0" w:space="0" w:color="auto"/>
                    <w:bottom w:val="none" w:sz="0" w:space="0" w:color="auto"/>
                    <w:right w:val="none" w:sz="0" w:space="0" w:color="auto"/>
                  </w:divBdr>
                  <w:divsChild>
                    <w:div w:id="193269957">
                      <w:marLeft w:val="0"/>
                      <w:marRight w:val="0"/>
                      <w:marTop w:val="0"/>
                      <w:marBottom w:val="0"/>
                      <w:divBdr>
                        <w:top w:val="none" w:sz="0" w:space="0" w:color="auto"/>
                        <w:left w:val="none" w:sz="0" w:space="0" w:color="auto"/>
                        <w:bottom w:val="none" w:sz="0" w:space="0" w:color="auto"/>
                        <w:right w:val="none" w:sz="0" w:space="0" w:color="auto"/>
                      </w:divBdr>
                      <w:divsChild>
                        <w:div w:id="1330213196">
                          <w:marLeft w:val="0"/>
                          <w:marRight w:val="0"/>
                          <w:marTop w:val="0"/>
                          <w:marBottom w:val="0"/>
                          <w:divBdr>
                            <w:top w:val="none" w:sz="0" w:space="0" w:color="auto"/>
                            <w:left w:val="none" w:sz="0" w:space="0" w:color="auto"/>
                            <w:bottom w:val="none" w:sz="0" w:space="0" w:color="auto"/>
                            <w:right w:val="none" w:sz="0" w:space="0" w:color="auto"/>
                          </w:divBdr>
                          <w:divsChild>
                            <w:div w:id="294215986">
                              <w:marLeft w:val="0"/>
                              <w:marRight w:val="0"/>
                              <w:marTop w:val="0"/>
                              <w:marBottom w:val="0"/>
                              <w:divBdr>
                                <w:top w:val="none" w:sz="0" w:space="0" w:color="auto"/>
                                <w:left w:val="none" w:sz="0" w:space="0" w:color="auto"/>
                                <w:bottom w:val="none" w:sz="0" w:space="0" w:color="auto"/>
                                <w:right w:val="none" w:sz="0" w:space="0" w:color="auto"/>
                              </w:divBdr>
                              <w:divsChild>
                                <w:div w:id="490561900">
                                  <w:marLeft w:val="0"/>
                                  <w:marRight w:val="0"/>
                                  <w:marTop w:val="0"/>
                                  <w:marBottom w:val="0"/>
                                  <w:divBdr>
                                    <w:top w:val="none" w:sz="0" w:space="0" w:color="auto"/>
                                    <w:left w:val="none" w:sz="0" w:space="0" w:color="auto"/>
                                    <w:bottom w:val="none" w:sz="0" w:space="0" w:color="auto"/>
                                    <w:right w:val="none" w:sz="0" w:space="0" w:color="auto"/>
                                  </w:divBdr>
                                  <w:divsChild>
                                    <w:div w:id="1485707486">
                                      <w:marLeft w:val="0"/>
                                      <w:marRight w:val="0"/>
                                      <w:marTop w:val="0"/>
                                      <w:marBottom w:val="0"/>
                                      <w:divBdr>
                                        <w:top w:val="none" w:sz="0" w:space="0" w:color="auto"/>
                                        <w:left w:val="none" w:sz="0" w:space="0" w:color="auto"/>
                                        <w:bottom w:val="none" w:sz="0" w:space="0" w:color="auto"/>
                                        <w:right w:val="none" w:sz="0" w:space="0" w:color="auto"/>
                                      </w:divBdr>
                                      <w:divsChild>
                                        <w:div w:id="1268736880">
                                          <w:marLeft w:val="1200"/>
                                          <w:marRight w:val="1200"/>
                                          <w:marTop w:val="0"/>
                                          <w:marBottom w:val="0"/>
                                          <w:divBdr>
                                            <w:top w:val="none" w:sz="0" w:space="0" w:color="auto"/>
                                            <w:left w:val="none" w:sz="0" w:space="0" w:color="auto"/>
                                            <w:bottom w:val="none" w:sz="0" w:space="0" w:color="auto"/>
                                            <w:right w:val="none" w:sz="0" w:space="0" w:color="auto"/>
                                          </w:divBdr>
                                          <w:divsChild>
                                            <w:div w:id="288829098">
                                              <w:marLeft w:val="0"/>
                                              <w:marRight w:val="0"/>
                                              <w:marTop w:val="0"/>
                                              <w:marBottom w:val="0"/>
                                              <w:divBdr>
                                                <w:top w:val="none" w:sz="0" w:space="0" w:color="auto"/>
                                                <w:left w:val="none" w:sz="0" w:space="0" w:color="auto"/>
                                                <w:bottom w:val="none" w:sz="0" w:space="0" w:color="auto"/>
                                                <w:right w:val="none" w:sz="0" w:space="0" w:color="auto"/>
                                              </w:divBdr>
                                              <w:divsChild>
                                                <w:div w:id="1659262098">
                                                  <w:marLeft w:val="0"/>
                                                  <w:marRight w:val="0"/>
                                                  <w:marTop w:val="0"/>
                                                  <w:marBottom w:val="0"/>
                                                  <w:divBdr>
                                                    <w:top w:val="none" w:sz="0" w:space="0" w:color="auto"/>
                                                    <w:left w:val="none" w:sz="0" w:space="0" w:color="auto"/>
                                                    <w:bottom w:val="none" w:sz="0" w:space="0" w:color="auto"/>
                                                    <w:right w:val="none" w:sz="0" w:space="0" w:color="auto"/>
                                                  </w:divBdr>
                                                  <w:divsChild>
                                                    <w:div w:id="1516263092">
                                                      <w:marLeft w:val="0"/>
                                                      <w:marRight w:val="0"/>
                                                      <w:marTop w:val="0"/>
                                                      <w:marBottom w:val="0"/>
                                                      <w:divBdr>
                                                        <w:top w:val="none" w:sz="0" w:space="0" w:color="auto"/>
                                                        <w:left w:val="none" w:sz="0" w:space="0" w:color="auto"/>
                                                        <w:bottom w:val="none" w:sz="0" w:space="0" w:color="auto"/>
                                                        <w:right w:val="none" w:sz="0" w:space="0" w:color="auto"/>
                                                      </w:divBdr>
                                                      <w:divsChild>
                                                        <w:div w:id="1105079438">
                                                          <w:marLeft w:val="0"/>
                                                          <w:marRight w:val="0"/>
                                                          <w:marTop w:val="0"/>
                                                          <w:marBottom w:val="0"/>
                                                          <w:divBdr>
                                                            <w:top w:val="none" w:sz="0" w:space="0" w:color="auto"/>
                                                            <w:left w:val="none" w:sz="0" w:space="0" w:color="auto"/>
                                                            <w:bottom w:val="none" w:sz="0" w:space="0" w:color="auto"/>
                                                            <w:right w:val="none" w:sz="0" w:space="0" w:color="auto"/>
                                                          </w:divBdr>
                                                        </w:div>
                                                      </w:divsChild>
                                                    </w:div>
                                                    <w:div w:id="1614511826">
                                                      <w:marLeft w:val="0"/>
                                                      <w:marRight w:val="0"/>
                                                      <w:marTop w:val="0"/>
                                                      <w:marBottom w:val="0"/>
                                                      <w:divBdr>
                                                        <w:top w:val="none" w:sz="0" w:space="0" w:color="auto"/>
                                                        <w:left w:val="none" w:sz="0" w:space="0" w:color="auto"/>
                                                        <w:bottom w:val="none" w:sz="0" w:space="0" w:color="auto"/>
                                                        <w:right w:val="none" w:sz="0" w:space="0" w:color="auto"/>
                                                      </w:divBdr>
                                                      <w:divsChild>
                                                        <w:div w:id="1521309401">
                                                          <w:marLeft w:val="0"/>
                                                          <w:marRight w:val="0"/>
                                                          <w:marTop w:val="0"/>
                                                          <w:marBottom w:val="0"/>
                                                          <w:divBdr>
                                                            <w:top w:val="none" w:sz="0" w:space="0" w:color="auto"/>
                                                            <w:left w:val="none" w:sz="0" w:space="0" w:color="auto"/>
                                                            <w:bottom w:val="none" w:sz="0" w:space="0" w:color="auto"/>
                                                            <w:right w:val="none" w:sz="0" w:space="0" w:color="auto"/>
                                                          </w:divBdr>
                                                        </w:div>
                                                      </w:divsChild>
                                                    </w:div>
                                                    <w:div w:id="1647666705">
                                                      <w:marLeft w:val="0"/>
                                                      <w:marRight w:val="0"/>
                                                      <w:marTop w:val="0"/>
                                                      <w:marBottom w:val="0"/>
                                                      <w:divBdr>
                                                        <w:top w:val="none" w:sz="0" w:space="0" w:color="auto"/>
                                                        <w:left w:val="none" w:sz="0" w:space="0" w:color="auto"/>
                                                        <w:bottom w:val="none" w:sz="0" w:space="0" w:color="auto"/>
                                                        <w:right w:val="none" w:sz="0" w:space="0" w:color="auto"/>
                                                      </w:divBdr>
                                                      <w:divsChild>
                                                        <w:div w:id="20908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4565354">
      <w:bodyDiv w:val="1"/>
      <w:marLeft w:val="0"/>
      <w:marRight w:val="0"/>
      <w:marTop w:val="0"/>
      <w:marBottom w:val="0"/>
      <w:divBdr>
        <w:top w:val="none" w:sz="0" w:space="0" w:color="auto"/>
        <w:left w:val="none" w:sz="0" w:space="0" w:color="auto"/>
        <w:bottom w:val="none" w:sz="0" w:space="0" w:color="auto"/>
        <w:right w:val="none" w:sz="0" w:space="0" w:color="auto"/>
      </w:divBdr>
      <w:divsChild>
        <w:div w:id="1638342472">
          <w:marLeft w:val="0"/>
          <w:marRight w:val="0"/>
          <w:marTop w:val="0"/>
          <w:marBottom w:val="0"/>
          <w:divBdr>
            <w:top w:val="none" w:sz="0" w:space="0" w:color="auto"/>
            <w:left w:val="none" w:sz="0" w:space="0" w:color="auto"/>
            <w:bottom w:val="none" w:sz="0" w:space="0" w:color="auto"/>
            <w:right w:val="none" w:sz="0" w:space="0" w:color="auto"/>
          </w:divBdr>
          <w:divsChild>
            <w:div w:id="759833485">
              <w:marLeft w:val="0"/>
              <w:marRight w:val="0"/>
              <w:marTop w:val="0"/>
              <w:marBottom w:val="0"/>
              <w:divBdr>
                <w:top w:val="none" w:sz="0" w:space="0" w:color="auto"/>
                <w:left w:val="none" w:sz="0" w:space="0" w:color="auto"/>
                <w:bottom w:val="none" w:sz="0" w:space="0" w:color="auto"/>
                <w:right w:val="none" w:sz="0" w:space="0" w:color="auto"/>
              </w:divBdr>
              <w:divsChild>
                <w:div w:id="211236515">
                  <w:marLeft w:val="0"/>
                  <w:marRight w:val="0"/>
                  <w:marTop w:val="0"/>
                  <w:marBottom w:val="0"/>
                  <w:divBdr>
                    <w:top w:val="none" w:sz="0" w:space="0" w:color="auto"/>
                    <w:left w:val="none" w:sz="0" w:space="0" w:color="auto"/>
                    <w:bottom w:val="none" w:sz="0" w:space="0" w:color="auto"/>
                    <w:right w:val="none" w:sz="0" w:space="0" w:color="auto"/>
                  </w:divBdr>
                  <w:divsChild>
                    <w:div w:id="1641420655">
                      <w:marLeft w:val="0"/>
                      <w:marRight w:val="0"/>
                      <w:marTop w:val="0"/>
                      <w:marBottom w:val="375"/>
                      <w:divBdr>
                        <w:top w:val="none" w:sz="0" w:space="0" w:color="auto"/>
                        <w:left w:val="none" w:sz="0" w:space="0" w:color="auto"/>
                        <w:bottom w:val="none" w:sz="0" w:space="0" w:color="auto"/>
                        <w:right w:val="none" w:sz="0" w:space="0" w:color="auto"/>
                      </w:divBdr>
                      <w:divsChild>
                        <w:div w:id="2397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8073">
      <w:bodyDiv w:val="1"/>
      <w:marLeft w:val="0"/>
      <w:marRight w:val="0"/>
      <w:marTop w:val="0"/>
      <w:marBottom w:val="0"/>
      <w:divBdr>
        <w:top w:val="none" w:sz="0" w:space="0" w:color="auto"/>
        <w:left w:val="none" w:sz="0" w:space="0" w:color="auto"/>
        <w:bottom w:val="none" w:sz="0" w:space="0" w:color="auto"/>
        <w:right w:val="none" w:sz="0" w:space="0" w:color="auto"/>
      </w:divBdr>
      <w:divsChild>
        <w:div w:id="572281863">
          <w:marLeft w:val="0"/>
          <w:marRight w:val="0"/>
          <w:marTop w:val="0"/>
          <w:marBottom w:val="0"/>
          <w:divBdr>
            <w:top w:val="none" w:sz="0" w:space="0" w:color="auto"/>
            <w:left w:val="single" w:sz="6" w:space="0" w:color="BBBBBB"/>
            <w:bottom w:val="single" w:sz="6" w:space="0" w:color="BBBBBB"/>
            <w:right w:val="single" w:sz="6" w:space="0" w:color="BBBBBB"/>
          </w:divBdr>
          <w:divsChild>
            <w:div w:id="46075722">
              <w:marLeft w:val="0"/>
              <w:marRight w:val="0"/>
              <w:marTop w:val="0"/>
              <w:marBottom w:val="0"/>
              <w:divBdr>
                <w:top w:val="none" w:sz="0" w:space="0" w:color="auto"/>
                <w:left w:val="none" w:sz="0" w:space="0" w:color="auto"/>
                <w:bottom w:val="none" w:sz="0" w:space="0" w:color="auto"/>
                <w:right w:val="none" w:sz="0" w:space="0" w:color="auto"/>
              </w:divBdr>
              <w:divsChild>
                <w:div w:id="845021384">
                  <w:marLeft w:val="0"/>
                  <w:marRight w:val="0"/>
                  <w:marTop w:val="0"/>
                  <w:marBottom w:val="0"/>
                  <w:divBdr>
                    <w:top w:val="none" w:sz="0" w:space="0" w:color="auto"/>
                    <w:left w:val="none" w:sz="0" w:space="0" w:color="auto"/>
                    <w:bottom w:val="none" w:sz="0" w:space="0" w:color="auto"/>
                    <w:right w:val="none" w:sz="0" w:space="0" w:color="auto"/>
                  </w:divBdr>
                  <w:divsChild>
                    <w:div w:id="406000990">
                      <w:marLeft w:val="0"/>
                      <w:marRight w:val="0"/>
                      <w:marTop w:val="0"/>
                      <w:marBottom w:val="0"/>
                      <w:divBdr>
                        <w:top w:val="none" w:sz="0" w:space="0" w:color="auto"/>
                        <w:left w:val="none" w:sz="0" w:space="0" w:color="auto"/>
                        <w:bottom w:val="none" w:sz="0" w:space="0" w:color="auto"/>
                        <w:right w:val="none" w:sz="0" w:space="0" w:color="auto"/>
                      </w:divBdr>
                      <w:divsChild>
                        <w:div w:id="1502039536">
                          <w:marLeft w:val="0"/>
                          <w:marRight w:val="0"/>
                          <w:marTop w:val="0"/>
                          <w:marBottom w:val="0"/>
                          <w:divBdr>
                            <w:top w:val="none" w:sz="0" w:space="0" w:color="auto"/>
                            <w:left w:val="none" w:sz="0" w:space="0" w:color="auto"/>
                            <w:bottom w:val="none" w:sz="0" w:space="0" w:color="auto"/>
                            <w:right w:val="none" w:sz="0" w:space="0" w:color="auto"/>
                          </w:divBdr>
                          <w:divsChild>
                            <w:div w:id="1668434961">
                              <w:marLeft w:val="0"/>
                              <w:marRight w:val="0"/>
                              <w:marTop w:val="0"/>
                              <w:marBottom w:val="0"/>
                              <w:divBdr>
                                <w:top w:val="none" w:sz="0" w:space="0" w:color="auto"/>
                                <w:left w:val="none" w:sz="0" w:space="0" w:color="auto"/>
                                <w:bottom w:val="none" w:sz="0" w:space="0" w:color="auto"/>
                                <w:right w:val="none" w:sz="0" w:space="0" w:color="auto"/>
                              </w:divBdr>
                              <w:divsChild>
                                <w:div w:id="1245338366">
                                  <w:marLeft w:val="0"/>
                                  <w:marRight w:val="0"/>
                                  <w:marTop w:val="0"/>
                                  <w:marBottom w:val="0"/>
                                  <w:divBdr>
                                    <w:top w:val="none" w:sz="0" w:space="0" w:color="auto"/>
                                    <w:left w:val="none" w:sz="0" w:space="0" w:color="auto"/>
                                    <w:bottom w:val="none" w:sz="0" w:space="0" w:color="auto"/>
                                    <w:right w:val="none" w:sz="0" w:space="0" w:color="auto"/>
                                  </w:divBdr>
                                  <w:divsChild>
                                    <w:div w:id="1920482867">
                                      <w:marLeft w:val="0"/>
                                      <w:marRight w:val="0"/>
                                      <w:marTop w:val="0"/>
                                      <w:marBottom w:val="0"/>
                                      <w:divBdr>
                                        <w:top w:val="none" w:sz="0" w:space="0" w:color="auto"/>
                                        <w:left w:val="none" w:sz="0" w:space="0" w:color="auto"/>
                                        <w:bottom w:val="none" w:sz="0" w:space="0" w:color="auto"/>
                                        <w:right w:val="none" w:sz="0" w:space="0" w:color="auto"/>
                                      </w:divBdr>
                                      <w:divsChild>
                                        <w:div w:id="1577546643">
                                          <w:marLeft w:val="1200"/>
                                          <w:marRight w:val="1200"/>
                                          <w:marTop w:val="0"/>
                                          <w:marBottom w:val="0"/>
                                          <w:divBdr>
                                            <w:top w:val="none" w:sz="0" w:space="0" w:color="auto"/>
                                            <w:left w:val="none" w:sz="0" w:space="0" w:color="auto"/>
                                            <w:bottom w:val="none" w:sz="0" w:space="0" w:color="auto"/>
                                            <w:right w:val="none" w:sz="0" w:space="0" w:color="auto"/>
                                          </w:divBdr>
                                          <w:divsChild>
                                            <w:div w:id="334768570">
                                              <w:marLeft w:val="0"/>
                                              <w:marRight w:val="0"/>
                                              <w:marTop w:val="0"/>
                                              <w:marBottom w:val="0"/>
                                              <w:divBdr>
                                                <w:top w:val="none" w:sz="0" w:space="0" w:color="auto"/>
                                                <w:left w:val="none" w:sz="0" w:space="0" w:color="auto"/>
                                                <w:bottom w:val="none" w:sz="0" w:space="0" w:color="auto"/>
                                                <w:right w:val="none" w:sz="0" w:space="0" w:color="auto"/>
                                              </w:divBdr>
                                              <w:divsChild>
                                                <w:div w:id="1131171886">
                                                  <w:marLeft w:val="0"/>
                                                  <w:marRight w:val="0"/>
                                                  <w:marTop w:val="0"/>
                                                  <w:marBottom w:val="0"/>
                                                  <w:divBdr>
                                                    <w:top w:val="none" w:sz="0" w:space="0" w:color="auto"/>
                                                    <w:left w:val="none" w:sz="0" w:space="0" w:color="auto"/>
                                                    <w:bottom w:val="none" w:sz="0" w:space="0" w:color="auto"/>
                                                    <w:right w:val="none" w:sz="0" w:space="0" w:color="auto"/>
                                                  </w:divBdr>
                                                  <w:divsChild>
                                                    <w:div w:id="228619644">
                                                      <w:marLeft w:val="0"/>
                                                      <w:marRight w:val="0"/>
                                                      <w:marTop w:val="0"/>
                                                      <w:marBottom w:val="0"/>
                                                      <w:divBdr>
                                                        <w:top w:val="none" w:sz="0" w:space="0" w:color="auto"/>
                                                        <w:left w:val="none" w:sz="0" w:space="0" w:color="auto"/>
                                                        <w:bottom w:val="none" w:sz="0" w:space="0" w:color="auto"/>
                                                        <w:right w:val="none" w:sz="0" w:space="0" w:color="auto"/>
                                                      </w:divBdr>
                                                      <w:divsChild>
                                                        <w:div w:id="1386027554">
                                                          <w:marLeft w:val="0"/>
                                                          <w:marRight w:val="0"/>
                                                          <w:marTop w:val="0"/>
                                                          <w:marBottom w:val="0"/>
                                                          <w:divBdr>
                                                            <w:top w:val="none" w:sz="0" w:space="0" w:color="auto"/>
                                                            <w:left w:val="none" w:sz="0" w:space="0" w:color="auto"/>
                                                            <w:bottom w:val="none" w:sz="0" w:space="0" w:color="auto"/>
                                                            <w:right w:val="none" w:sz="0" w:space="0" w:color="auto"/>
                                                          </w:divBdr>
                                                          <w:divsChild>
                                                            <w:div w:id="85343902">
                                                              <w:marLeft w:val="0"/>
                                                              <w:marRight w:val="0"/>
                                                              <w:marTop w:val="0"/>
                                                              <w:marBottom w:val="0"/>
                                                              <w:divBdr>
                                                                <w:top w:val="none" w:sz="0" w:space="0" w:color="auto"/>
                                                                <w:left w:val="none" w:sz="0" w:space="0" w:color="auto"/>
                                                                <w:bottom w:val="none" w:sz="0" w:space="0" w:color="auto"/>
                                                                <w:right w:val="none" w:sz="0" w:space="0" w:color="auto"/>
                                                              </w:divBdr>
                                                              <w:divsChild>
                                                                <w:div w:id="574704642">
                                                                  <w:marLeft w:val="0"/>
                                                                  <w:marRight w:val="0"/>
                                                                  <w:marTop w:val="0"/>
                                                                  <w:marBottom w:val="0"/>
                                                                  <w:divBdr>
                                                                    <w:top w:val="none" w:sz="0" w:space="0" w:color="auto"/>
                                                                    <w:left w:val="none" w:sz="0" w:space="0" w:color="auto"/>
                                                                    <w:bottom w:val="none" w:sz="0" w:space="0" w:color="auto"/>
                                                                    <w:right w:val="none" w:sz="0" w:space="0" w:color="auto"/>
                                                                  </w:divBdr>
                                                                  <w:divsChild>
                                                                    <w:div w:id="765004861">
                                                                      <w:marLeft w:val="0"/>
                                                                      <w:marRight w:val="0"/>
                                                                      <w:marTop w:val="0"/>
                                                                      <w:marBottom w:val="0"/>
                                                                      <w:divBdr>
                                                                        <w:top w:val="none" w:sz="0" w:space="0" w:color="auto"/>
                                                                        <w:left w:val="none" w:sz="0" w:space="0" w:color="auto"/>
                                                                        <w:bottom w:val="none" w:sz="0" w:space="0" w:color="auto"/>
                                                                        <w:right w:val="none" w:sz="0" w:space="0" w:color="auto"/>
                                                                      </w:divBdr>
                                                                      <w:divsChild>
                                                                        <w:div w:id="2099211943">
                                                                          <w:marLeft w:val="0"/>
                                                                          <w:marRight w:val="0"/>
                                                                          <w:marTop w:val="0"/>
                                                                          <w:marBottom w:val="0"/>
                                                                          <w:divBdr>
                                                                            <w:top w:val="none" w:sz="0" w:space="0" w:color="auto"/>
                                                                            <w:left w:val="none" w:sz="0" w:space="0" w:color="auto"/>
                                                                            <w:bottom w:val="none" w:sz="0" w:space="0" w:color="auto"/>
                                                                            <w:right w:val="none" w:sz="0" w:space="0" w:color="auto"/>
                                                                          </w:divBdr>
                                                                        </w:div>
                                                                      </w:divsChild>
                                                                    </w:div>
                                                                    <w:div w:id="1685329196">
                                                                      <w:marLeft w:val="0"/>
                                                                      <w:marRight w:val="0"/>
                                                                      <w:marTop w:val="0"/>
                                                                      <w:marBottom w:val="0"/>
                                                                      <w:divBdr>
                                                                        <w:top w:val="none" w:sz="0" w:space="0" w:color="auto"/>
                                                                        <w:left w:val="none" w:sz="0" w:space="0" w:color="auto"/>
                                                                        <w:bottom w:val="none" w:sz="0" w:space="0" w:color="auto"/>
                                                                        <w:right w:val="none" w:sz="0" w:space="0" w:color="auto"/>
                                                                      </w:divBdr>
                                                                      <w:divsChild>
                                                                        <w:div w:id="2125267720">
                                                                          <w:marLeft w:val="0"/>
                                                                          <w:marRight w:val="0"/>
                                                                          <w:marTop w:val="0"/>
                                                                          <w:marBottom w:val="0"/>
                                                                          <w:divBdr>
                                                                            <w:top w:val="none" w:sz="0" w:space="0" w:color="auto"/>
                                                                            <w:left w:val="none" w:sz="0" w:space="0" w:color="auto"/>
                                                                            <w:bottom w:val="none" w:sz="0" w:space="0" w:color="auto"/>
                                                                            <w:right w:val="none" w:sz="0" w:space="0" w:color="auto"/>
                                                                          </w:divBdr>
                                                                        </w:div>
                                                                      </w:divsChild>
                                                                    </w:div>
                                                                    <w:div w:id="1735468733">
                                                                      <w:marLeft w:val="0"/>
                                                                      <w:marRight w:val="0"/>
                                                                      <w:marTop w:val="0"/>
                                                                      <w:marBottom w:val="0"/>
                                                                      <w:divBdr>
                                                                        <w:top w:val="none" w:sz="0" w:space="0" w:color="auto"/>
                                                                        <w:left w:val="none" w:sz="0" w:space="0" w:color="auto"/>
                                                                        <w:bottom w:val="none" w:sz="0" w:space="0" w:color="auto"/>
                                                                        <w:right w:val="none" w:sz="0" w:space="0" w:color="auto"/>
                                                                      </w:divBdr>
                                                                      <w:divsChild>
                                                                        <w:div w:id="2054697400">
                                                                          <w:marLeft w:val="0"/>
                                                                          <w:marRight w:val="0"/>
                                                                          <w:marTop w:val="0"/>
                                                                          <w:marBottom w:val="0"/>
                                                                          <w:divBdr>
                                                                            <w:top w:val="none" w:sz="0" w:space="0" w:color="auto"/>
                                                                            <w:left w:val="none" w:sz="0" w:space="0" w:color="auto"/>
                                                                            <w:bottom w:val="none" w:sz="0" w:space="0" w:color="auto"/>
                                                                            <w:right w:val="none" w:sz="0" w:space="0" w:color="auto"/>
                                                                          </w:divBdr>
                                                                        </w:div>
                                                                      </w:divsChild>
                                                                    </w:div>
                                                                    <w:div w:id="2090611612">
                                                                      <w:marLeft w:val="0"/>
                                                                      <w:marRight w:val="0"/>
                                                                      <w:marTop w:val="0"/>
                                                                      <w:marBottom w:val="0"/>
                                                                      <w:divBdr>
                                                                        <w:top w:val="none" w:sz="0" w:space="0" w:color="auto"/>
                                                                        <w:left w:val="none" w:sz="0" w:space="0" w:color="auto"/>
                                                                        <w:bottom w:val="none" w:sz="0" w:space="0" w:color="auto"/>
                                                                        <w:right w:val="none" w:sz="0" w:space="0" w:color="auto"/>
                                                                      </w:divBdr>
                                                                      <w:divsChild>
                                                                        <w:div w:id="10609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953910">
      <w:bodyDiv w:val="1"/>
      <w:marLeft w:val="0"/>
      <w:marRight w:val="0"/>
      <w:marTop w:val="0"/>
      <w:marBottom w:val="0"/>
      <w:divBdr>
        <w:top w:val="none" w:sz="0" w:space="0" w:color="auto"/>
        <w:left w:val="none" w:sz="0" w:space="0" w:color="auto"/>
        <w:bottom w:val="none" w:sz="0" w:space="0" w:color="auto"/>
        <w:right w:val="none" w:sz="0" w:space="0" w:color="auto"/>
      </w:divBdr>
      <w:divsChild>
        <w:div w:id="2071079039">
          <w:marLeft w:val="0"/>
          <w:marRight w:val="0"/>
          <w:marTop w:val="0"/>
          <w:marBottom w:val="0"/>
          <w:divBdr>
            <w:top w:val="none" w:sz="0" w:space="0" w:color="auto"/>
            <w:left w:val="single" w:sz="6" w:space="0" w:color="BBBBBB"/>
            <w:bottom w:val="single" w:sz="6" w:space="0" w:color="BBBBBB"/>
            <w:right w:val="single" w:sz="6" w:space="0" w:color="BBBBBB"/>
          </w:divBdr>
          <w:divsChild>
            <w:div w:id="1505633899">
              <w:marLeft w:val="0"/>
              <w:marRight w:val="0"/>
              <w:marTop w:val="0"/>
              <w:marBottom w:val="0"/>
              <w:divBdr>
                <w:top w:val="none" w:sz="0" w:space="0" w:color="auto"/>
                <w:left w:val="none" w:sz="0" w:space="0" w:color="auto"/>
                <w:bottom w:val="none" w:sz="0" w:space="0" w:color="auto"/>
                <w:right w:val="none" w:sz="0" w:space="0" w:color="auto"/>
              </w:divBdr>
              <w:divsChild>
                <w:div w:id="1284846134">
                  <w:marLeft w:val="0"/>
                  <w:marRight w:val="0"/>
                  <w:marTop w:val="75"/>
                  <w:marBottom w:val="0"/>
                  <w:divBdr>
                    <w:top w:val="none" w:sz="0" w:space="0" w:color="auto"/>
                    <w:left w:val="none" w:sz="0" w:space="0" w:color="auto"/>
                    <w:bottom w:val="none" w:sz="0" w:space="0" w:color="auto"/>
                    <w:right w:val="none" w:sz="0" w:space="0" w:color="auto"/>
                  </w:divBdr>
                  <w:divsChild>
                    <w:div w:id="1389264670">
                      <w:marLeft w:val="0"/>
                      <w:marRight w:val="0"/>
                      <w:marTop w:val="0"/>
                      <w:marBottom w:val="0"/>
                      <w:divBdr>
                        <w:top w:val="none" w:sz="0" w:space="0" w:color="auto"/>
                        <w:left w:val="none" w:sz="0" w:space="0" w:color="auto"/>
                        <w:bottom w:val="none" w:sz="0" w:space="0" w:color="auto"/>
                        <w:right w:val="none" w:sz="0" w:space="0" w:color="auto"/>
                      </w:divBdr>
                      <w:divsChild>
                        <w:div w:id="1948538771">
                          <w:marLeft w:val="0"/>
                          <w:marRight w:val="0"/>
                          <w:marTop w:val="0"/>
                          <w:marBottom w:val="0"/>
                          <w:divBdr>
                            <w:top w:val="none" w:sz="0" w:space="0" w:color="auto"/>
                            <w:left w:val="none" w:sz="0" w:space="0" w:color="auto"/>
                            <w:bottom w:val="none" w:sz="0" w:space="0" w:color="auto"/>
                            <w:right w:val="none" w:sz="0" w:space="0" w:color="auto"/>
                          </w:divBdr>
                          <w:divsChild>
                            <w:div w:id="386030731">
                              <w:marLeft w:val="0"/>
                              <w:marRight w:val="0"/>
                              <w:marTop w:val="0"/>
                              <w:marBottom w:val="0"/>
                              <w:divBdr>
                                <w:top w:val="none" w:sz="0" w:space="0" w:color="auto"/>
                                <w:left w:val="none" w:sz="0" w:space="0" w:color="auto"/>
                                <w:bottom w:val="none" w:sz="0" w:space="0" w:color="auto"/>
                                <w:right w:val="none" w:sz="0" w:space="0" w:color="auto"/>
                              </w:divBdr>
                              <w:divsChild>
                                <w:div w:id="909265489">
                                  <w:marLeft w:val="0"/>
                                  <w:marRight w:val="0"/>
                                  <w:marTop w:val="0"/>
                                  <w:marBottom w:val="0"/>
                                  <w:divBdr>
                                    <w:top w:val="none" w:sz="0" w:space="0" w:color="auto"/>
                                    <w:left w:val="none" w:sz="0" w:space="0" w:color="auto"/>
                                    <w:bottom w:val="none" w:sz="0" w:space="0" w:color="auto"/>
                                    <w:right w:val="none" w:sz="0" w:space="0" w:color="auto"/>
                                  </w:divBdr>
                                  <w:divsChild>
                                    <w:div w:id="120999376">
                                      <w:marLeft w:val="0"/>
                                      <w:marRight w:val="0"/>
                                      <w:marTop w:val="0"/>
                                      <w:marBottom w:val="0"/>
                                      <w:divBdr>
                                        <w:top w:val="none" w:sz="0" w:space="0" w:color="auto"/>
                                        <w:left w:val="none" w:sz="0" w:space="0" w:color="auto"/>
                                        <w:bottom w:val="none" w:sz="0" w:space="0" w:color="auto"/>
                                        <w:right w:val="none" w:sz="0" w:space="0" w:color="auto"/>
                                      </w:divBdr>
                                      <w:divsChild>
                                        <w:div w:id="1084910136">
                                          <w:marLeft w:val="1200"/>
                                          <w:marRight w:val="1200"/>
                                          <w:marTop w:val="0"/>
                                          <w:marBottom w:val="0"/>
                                          <w:divBdr>
                                            <w:top w:val="none" w:sz="0" w:space="0" w:color="auto"/>
                                            <w:left w:val="none" w:sz="0" w:space="0" w:color="auto"/>
                                            <w:bottom w:val="none" w:sz="0" w:space="0" w:color="auto"/>
                                            <w:right w:val="none" w:sz="0" w:space="0" w:color="auto"/>
                                          </w:divBdr>
                                          <w:divsChild>
                                            <w:div w:id="343677498">
                                              <w:marLeft w:val="0"/>
                                              <w:marRight w:val="0"/>
                                              <w:marTop w:val="0"/>
                                              <w:marBottom w:val="0"/>
                                              <w:divBdr>
                                                <w:top w:val="none" w:sz="0" w:space="0" w:color="auto"/>
                                                <w:left w:val="none" w:sz="0" w:space="0" w:color="auto"/>
                                                <w:bottom w:val="none" w:sz="0" w:space="0" w:color="auto"/>
                                                <w:right w:val="none" w:sz="0" w:space="0" w:color="auto"/>
                                              </w:divBdr>
                                              <w:divsChild>
                                                <w:div w:id="355693240">
                                                  <w:marLeft w:val="0"/>
                                                  <w:marRight w:val="0"/>
                                                  <w:marTop w:val="0"/>
                                                  <w:marBottom w:val="0"/>
                                                  <w:divBdr>
                                                    <w:top w:val="none" w:sz="0" w:space="0" w:color="auto"/>
                                                    <w:left w:val="none" w:sz="0" w:space="0" w:color="auto"/>
                                                    <w:bottom w:val="none" w:sz="0" w:space="0" w:color="auto"/>
                                                    <w:right w:val="none" w:sz="0" w:space="0" w:color="auto"/>
                                                  </w:divBdr>
                                                  <w:divsChild>
                                                    <w:div w:id="797602958">
                                                      <w:marLeft w:val="0"/>
                                                      <w:marRight w:val="0"/>
                                                      <w:marTop w:val="0"/>
                                                      <w:marBottom w:val="0"/>
                                                      <w:divBdr>
                                                        <w:top w:val="none" w:sz="0" w:space="0" w:color="auto"/>
                                                        <w:left w:val="none" w:sz="0" w:space="0" w:color="auto"/>
                                                        <w:bottom w:val="none" w:sz="0" w:space="0" w:color="auto"/>
                                                        <w:right w:val="none" w:sz="0" w:space="0" w:color="auto"/>
                                                      </w:divBdr>
                                                      <w:divsChild>
                                                        <w:div w:id="1595170590">
                                                          <w:marLeft w:val="0"/>
                                                          <w:marRight w:val="0"/>
                                                          <w:marTop w:val="0"/>
                                                          <w:marBottom w:val="0"/>
                                                          <w:divBdr>
                                                            <w:top w:val="none" w:sz="0" w:space="0" w:color="auto"/>
                                                            <w:left w:val="none" w:sz="0" w:space="0" w:color="auto"/>
                                                            <w:bottom w:val="none" w:sz="0" w:space="0" w:color="auto"/>
                                                            <w:right w:val="none" w:sz="0" w:space="0" w:color="auto"/>
                                                          </w:divBdr>
                                                          <w:divsChild>
                                                            <w:div w:id="1012074262">
                                                              <w:marLeft w:val="0"/>
                                                              <w:marRight w:val="0"/>
                                                              <w:marTop w:val="0"/>
                                                              <w:marBottom w:val="0"/>
                                                              <w:divBdr>
                                                                <w:top w:val="none" w:sz="0" w:space="0" w:color="auto"/>
                                                                <w:left w:val="none" w:sz="0" w:space="0" w:color="auto"/>
                                                                <w:bottom w:val="none" w:sz="0" w:space="0" w:color="auto"/>
                                                                <w:right w:val="none" w:sz="0" w:space="0" w:color="auto"/>
                                                              </w:divBdr>
                                                              <w:divsChild>
                                                                <w:div w:id="1591500238">
                                                                  <w:marLeft w:val="0"/>
                                                                  <w:marRight w:val="0"/>
                                                                  <w:marTop w:val="0"/>
                                                                  <w:marBottom w:val="0"/>
                                                                  <w:divBdr>
                                                                    <w:top w:val="none" w:sz="0" w:space="0" w:color="auto"/>
                                                                    <w:left w:val="none" w:sz="0" w:space="0" w:color="auto"/>
                                                                    <w:bottom w:val="none" w:sz="0" w:space="0" w:color="auto"/>
                                                                    <w:right w:val="none" w:sz="0" w:space="0" w:color="auto"/>
                                                                  </w:divBdr>
                                                                  <w:divsChild>
                                                                    <w:div w:id="1030297754">
                                                                      <w:marLeft w:val="0"/>
                                                                      <w:marRight w:val="0"/>
                                                                      <w:marTop w:val="0"/>
                                                                      <w:marBottom w:val="0"/>
                                                                      <w:divBdr>
                                                                        <w:top w:val="none" w:sz="0" w:space="0" w:color="auto"/>
                                                                        <w:left w:val="none" w:sz="0" w:space="0" w:color="auto"/>
                                                                        <w:bottom w:val="none" w:sz="0" w:space="0" w:color="auto"/>
                                                                        <w:right w:val="none" w:sz="0" w:space="0" w:color="auto"/>
                                                                      </w:divBdr>
                                                                      <w:divsChild>
                                                                        <w:div w:id="320621276">
                                                                          <w:marLeft w:val="0"/>
                                                                          <w:marRight w:val="0"/>
                                                                          <w:marTop w:val="0"/>
                                                                          <w:marBottom w:val="0"/>
                                                                          <w:divBdr>
                                                                            <w:top w:val="none" w:sz="0" w:space="0" w:color="auto"/>
                                                                            <w:left w:val="none" w:sz="0" w:space="0" w:color="auto"/>
                                                                            <w:bottom w:val="none" w:sz="0" w:space="0" w:color="auto"/>
                                                                            <w:right w:val="none" w:sz="0" w:space="0" w:color="auto"/>
                                                                          </w:divBdr>
                                                                          <w:divsChild>
                                                                            <w:div w:id="1310399430">
                                                                              <w:marLeft w:val="0"/>
                                                                              <w:marRight w:val="0"/>
                                                                              <w:marTop w:val="0"/>
                                                                              <w:marBottom w:val="0"/>
                                                                              <w:divBdr>
                                                                                <w:top w:val="none" w:sz="0" w:space="0" w:color="auto"/>
                                                                                <w:left w:val="none" w:sz="0" w:space="0" w:color="auto"/>
                                                                                <w:bottom w:val="none" w:sz="0" w:space="0" w:color="auto"/>
                                                                                <w:right w:val="none" w:sz="0" w:space="0" w:color="auto"/>
                                                                              </w:divBdr>
                                                                            </w:div>
                                                                          </w:divsChild>
                                                                        </w:div>
                                                                        <w:div w:id="1333097976">
                                                                          <w:marLeft w:val="0"/>
                                                                          <w:marRight w:val="0"/>
                                                                          <w:marTop w:val="0"/>
                                                                          <w:marBottom w:val="0"/>
                                                                          <w:divBdr>
                                                                            <w:top w:val="none" w:sz="0" w:space="0" w:color="auto"/>
                                                                            <w:left w:val="none" w:sz="0" w:space="0" w:color="auto"/>
                                                                            <w:bottom w:val="none" w:sz="0" w:space="0" w:color="auto"/>
                                                                            <w:right w:val="none" w:sz="0" w:space="0" w:color="auto"/>
                                                                          </w:divBdr>
                                                                          <w:divsChild>
                                                                            <w:div w:id="1770002732">
                                                                              <w:marLeft w:val="0"/>
                                                                              <w:marRight w:val="0"/>
                                                                              <w:marTop w:val="0"/>
                                                                              <w:marBottom w:val="0"/>
                                                                              <w:divBdr>
                                                                                <w:top w:val="none" w:sz="0" w:space="0" w:color="auto"/>
                                                                                <w:left w:val="none" w:sz="0" w:space="0" w:color="auto"/>
                                                                                <w:bottom w:val="none" w:sz="0" w:space="0" w:color="auto"/>
                                                                                <w:right w:val="none" w:sz="0" w:space="0" w:color="auto"/>
                                                                              </w:divBdr>
                                                                            </w:div>
                                                                          </w:divsChild>
                                                                        </w:div>
                                                                        <w:div w:id="1458916266">
                                                                          <w:marLeft w:val="0"/>
                                                                          <w:marRight w:val="0"/>
                                                                          <w:marTop w:val="0"/>
                                                                          <w:marBottom w:val="0"/>
                                                                          <w:divBdr>
                                                                            <w:top w:val="none" w:sz="0" w:space="0" w:color="auto"/>
                                                                            <w:left w:val="none" w:sz="0" w:space="0" w:color="auto"/>
                                                                            <w:bottom w:val="none" w:sz="0" w:space="0" w:color="auto"/>
                                                                            <w:right w:val="none" w:sz="0" w:space="0" w:color="auto"/>
                                                                          </w:divBdr>
                                                                        </w:div>
                                                                        <w:div w:id="1697002271">
                                                                          <w:marLeft w:val="0"/>
                                                                          <w:marRight w:val="0"/>
                                                                          <w:marTop w:val="0"/>
                                                                          <w:marBottom w:val="0"/>
                                                                          <w:divBdr>
                                                                            <w:top w:val="none" w:sz="0" w:space="0" w:color="auto"/>
                                                                            <w:left w:val="none" w:sz="0" w:space="0" w:color="auto"/>
                                                                            <w:bottom w:val="none" w:sz="0" w:space="0" w:color="auto"/>
                                                                            <w:right w:val="none" w:sz="0" w:space="0" w:color="auto"/>
                                                                          </w:divBdr>
                                                                        </w:div>
                                                                      </w:divsChild>
                                                                    </w:div>
                                                                    <w:div w:id="2038894178">
                                                                      <w:marLeft w:val="0"/>
                                                                      <w:marRight w:val="0"/>
                                                                      <w:marTop w:val="0"/>
                                                                      <w:marBottom w:val="0"/>
                                                                      <w:divBdr>
                                                                        <w:top w:val="none" w:sz="0" w:space="0" w:color="auto"/>
                                                                        <w:left w:val="none" w:sz="0" w:space="0" w:color="auto"/>
                                                                        <w:bottom w:val="none" w:sz="0" w:space="0" w:color="auto"/>
                                                                        <w:right w:val="none" w:sz="0" w:space="0" w:color="auto"/>
                                                                      </w:divBdr>
                                                                      <w:divsChild>
                                                                        <w:div w:id="345333062">
                                                                          <w:marLeft w:val="0"/>
                                                                          <w:marRight w:val="0"/>
                                                                          <w:marTop w:val="0"/>
                                                                          <w:marBottom w:val="0"/>
                                                                          <w:divBdr>
                                                                            <w:top w:val="none" w:sz="0" w:space="0" w:color="auto"/>
                                                                            <w:left w:val="none" w:sz="0" w:space="0" w:color="auto"/>
                                                                            <w:bottom w:val="none" w:sz="0" w:space="0" w:color="auto"/>
                                                                            <w:right w:val="none" w:sz="0" w:space="0" w:color="auto"/>
                                                                          </w:divBdr>
                                                                          <w:divsChild>
                                                                            <w:div w:id="1696341945">
                                                                              <w:marLeft w:val="0"/>
                                                                              <w:marRight w:val="0"/>
                                                                              <w:marTop w:val="0"/>
                                                                              <w:marBottom w:val="0"/>
                                                                              <w:divBdr>
                                                                                <w:top w:val="none" w:sz="0" w:space="0" w:color="auto"/>
                                                                                <w:left w:val="none" w:sz="0" w:space="0" w:color="auto"/>
                                                                                <w:bottom w:val="none" w:sz="0" w:space="0" w:color="auto"/>
                                                                                <w:right w:val="none" w:sz="0" w:space="0" w:color="auto"/>
                                                                              </w:divBdr>
                                                                            </w:div>
                                                                          </w:divsChild>
                                                                        </w:div>
                                                                        <w:div w:id="973368039">
                                                                          <w:marLeft w:val="0"/>
                                                                          <w:marRight w:val="0"/>
                                                                          <w:marTop w:val="0"/>
                                                                          <w:marBottom w:val="0"/>
                                                                          <w:divBdr>
                                                                            <w:top w:val="none" w:sz="0" w:space="0" w:color="auto"/>
                                                                            <w:left w:val="none" w:sz="0" w:space="0" w:color="auto"/>
                                                                            <w:bottom w:val="none" w:sz="0" w:space="0" w:color="auto"/>
                                                                            <w:right w:val="none" w:sz="0" w:space="0" w:color="auto"/>
                                                                          </w:divBdr>
                                                                          <w:divsChild>
                                                                            <w:div w:id="1751148790">
                                                                              <w:marLeft w:val="0"/>
                                                                              <w:marRight w:val="0"/>
                                                                              <w:marTop w:val="0"/>
                                                                              <w:marBottom w:val="0"/>
                                                                              <w:divBdr>
                                                                                <w:top w:val="none" w:sz="0" w:space="0" w:color="auto"/>
                                                                                <w:left w:val="none" w:sz="0" w:space="0" w:color="auto"/>
                                                                                <w:bottom w:val="none" w:sz="0" w:space="0" w:color="auto"/>
                                                                                <w:right w:val="none" w:sz="0" w:space="0" w:color="auto"/>
                                                                              </w:divBdr>
                                                                            </w:div>
                                                                          </w:divsChild>
                                                                        </w:div>
                                                                        <w:div w:id="1365715713">
                                                                          <w:marLeft w:val="0"/>
                                                                          <w:marRight w:val="0"/>
                                                                          <w:marTop w:val="0"/>
                                                                          <w:marBottom w:val="0"/>
                                                                          <w:divBdr>
                                                                            <w:top w:val="none" w:sz="0" w:space="0" w:color="auto"/>
                                                                            <w:left w:val="none" w:sz="0" w:space="0" w:color="auto"/>
                                                                            <w:bottom w:val="none" w:sz="0" w:space="0" w:color="auto"/>
                                                                            <w:right w:val="none" w:sz="0" w:space="0" w:color="auto"/>
                                                                          </w:divBdr>
                                                                          <w:divsChild>
                                                                            <w:div w:id="914358915">
                                                                              <w:marLeft w:val="0"/>
                                                                              <w:marRight w:val="0"/>
                                                                              <w:marTop w:val="0"/>
                                                                              <w:marBottom w:val="0"/>
                                                                              <w:divBdr>
                                                                                <w:top w:val="none" w:sz="0" w:space="0" w:color="auto"/>
                                                                                <w:left w:val="none" w:sz="0" w:space="0" w:color="auto"/>
                                                                                <w:bottom w:val="none" w:sz="0" w:space="0" w:color="auto"/>
                                                                                <w:right w:val="none" w:sz="0" w:space="0" w:color="auto"/>
                                                                              </w:divBdr>
                                                                            </w:div>
                                                                          </w:divsChild>
                                                                        </w:div>
                                                                        <w:div w:id="1473058650">
                                                                          <w:marLeft w:val="0"/>
                                                                          <w:marRight w:val="0"/>
                                                                          <w:marTop w:val="0"/>
                                                                          <w:marBottom w:val="0"/>
                                                                          <w:divBdr>
                                                                            <w:top w:val="none" w:sz="0" w:space="0" w:color="auto"/>
                                                                            <w:left w:val="none" w:sz="0" w:space="0" w:color="auto"/>
                                                                            <w:bottom w:val="none" w:sz="0" w:space="0" w:color="auto"/>
                                                                            <w:right w:val="none" w:sz="0" w:space="0" w:color="auto"/>
                                                                          </w:divBdr>
                                                                          <w:divsChild>
                                                                            <w:div w:id="993531341">
                                                                              <w:marLeft w:val="0"/>
                                                                              <w:marRight w:val="0"/>
                                                                              <w:marTop w:val="0"/>
                                                                              <w:marBottom w:val="0"/>
                                                                              <w:divBdr>
                                                                                <w:top w:val="none" w:sz="0" w:space="0" w:color="auto"/>
                                                                                <w:left w:val="none" w:sz="0" w:space="0" w:color="auto"/>
                                                                                <w:bottom w:val="none" w:sz="0" w:space="0" w:color="auto"/>
                                                                                <w:right w:val="none" w:sz="0" w:space="0" w:color="auto"/>
                                                                              </w:divBdr>
                                                                            </w:div>
                                                                          </w:divsChild>
                                                                        </w:div>
                                                                        <w:div w:id="1617060977">
                                                                          <w:marLeft w:val="0"/>
                                                                          <w:marRight w:val="0"/>
                                                                          <w:marTop w:val="0"/>
                                                                          <w:marBottom w:val="0"/>
                                                                          <w:divBdr>
                                                                            <w:top w:val="none" w:sz="0" w:space="0" w:color="auto"/>
                                                                            <w:left w:val="none" w:sz="0" w:space="0" w:color="auto"/>
                                                                            <w:bottom w:val="none" w:sz="0" w:space="0" w:color="auto"/>
                                                                            <w:right w:val="none" w:sz="0" w:space="0" w:color="auto"/>
                                                                          </w:divBdr>
                                                                          <w:divsChild>
                                                                            <w:div w:id="1732460898">
                                                                              <w:marLeft w:val="0"/>
                                                                              <w:marRight w:val="0"/>
                                                                              <w:marTop w:val="0"/>
                                                                              <w:marBottom w:val="0"/>
                                                                              <w:divBdr>
                                                                                <w:top w:val="none" w:sz="0" w:space="0" w:color="auto"/>
                                                                                <w:left w:val="none" w:sz="0" w:space="0" w:color="auto"/>
                                                                                <w:bottom w:val="none" w:sz="0" w:space="0" w:color="auto"/>
                                                                                <w:right w:val="none" w:sz="0" w:space="0" w:color="auto"/>
                                                                              </w:divBdr>
                                                                            </w:div>
                                                                          </w:divsChild>
                                                                        </w:div>
                                                                        <w:div w:id="1928532691">
                                                                          <w:marLeft w:val="0"/>
                                                                          <w:marRight w:val="0"/>
                                                                          <w:marTop w:val="0"/>
                                                                          <w:marBottom w:val="0"/>
                                                                          <w:divBdr>
                                                                            <w:top w:val="none" w:sz="0" w:space="0" w:color="auto"/>
                                                                            <w:left w:val="none" w:sz="0" w:space="0" w:color="auto"/>
                                                                            <w:bottom w:val="none" w:sz="0" w:space="0" w:color="auto"/>
                                                                            <w:right w:val="none" w:sz="0" w:space="0" w:color="auto"/>
                                                                          </w:divBdr>
                                                                        </w:div>
                                                                        <w:div w:id="2124419171">
                                                                          <w:marLeft w:val="0"/>
                                                                          <w:marRight w:val="0"/>
                                                                          <w:marTop w:val="0"/>
                                                                          <w:marBottom w:val="0"/>
                                                                          <w:divBdr>
                                                                            <w:top w:val="none" w:sz="0" w:space="0" w:color="auto"/>
                                                                            <w:left w:val="none" w:sz="0" w:space="0" w:color="auto"/>
                                                                            <w:bottom w:val="none" w:sz="0" w:space="0" w:color="auto"/>
                                                                            <w:right w:val="none" w:sz="0" w:space="0" w:color="auto"/>
                                                                          </w:divBdr>
                                                                          <w:divsChild>
                                                                            <w:div w:id="114662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003503">
      <w:bodyDiv w:val="1"/>
      <w:marLeft w:val="0"/>
      <w:marRight w:val="0"/>
      <w:marTop w:val="0"/>
      <w:marBottom w:val="0"/>
      <w:divBdr>
        <w:top w:val="none" w:sz="0" w:space="0" w:color="auto"/>
        <w:left w:val="none" w:sz="0" w:space="0" w:color="auto"/>
        <w:bottom w:val="none" w:sz="0" w:space="0" w:color="auto"/>
        <w:right w:val="none" w:sz="0" w:space="0" w:color="auto"/>
      </w:divBdr>
      <w:divsChild>
        <w:div w:id="133836167">
          <w:marLeft w:val="0"/>
          <w:marRight w:val="0"/>
          <w:marTop w:val="0"/>
          <w:marBottom w:val="0"/>
          <w:divBdr>
            <w:top w:val="none" w:sz="0" w:space="0" w:color="auto"/>
            <w:left w:val="none" w:sz="0" w:space="0" w:color="auto"/>
            <w:bottom w:val="none" w:sz="0" w:space="0" w:color="auto"/>
            <w:right w:val="none" w:sz="0" w:space="0" w:color="auto"/>
          </w:divBdr>
          <w:divsChild>
            <w:div w:id="1333873342">
              <w:marLeft w:val="0"/>
              <w:marRight w:val="0"/>
              <w:marTop w:val="0"/>
              <w:marBottom w:val="0"/>
              <w:divBdr>
                <w:top w:val="none" w:sz="0" w:space="0" w:color="auto"/>
                <w:left w:val="none" w:sz="0" w:space="0" w:color="auto"/>
                <w:bottom w:val="none" w:sz="0" w:space="0" w:color="auto"/>
                <w:right w:val="none" w:sz="0" w:space="0" w:color="auto"/>
              </w:divBdr>
              <w:divsChild>
                <w:div w:id="1210192405">
                  <w:marLeft w:val="0"/>
                  <w:marRight w:val="0"/>
                  <w:marTop w:val="0"/>
                  <w:marBottom w:val="0"/>
                  <w:divBdr>
                    <w:top w:val="none" w:sz="0" w:space="0" w:color="auto"/>
                    <w:left w:val="none" w:sz="0" w:space="0" w:color="auto"/>
                    <w:bottom w:val="none" w:sz="0" w:space="0" w:color="auto"/>
                    <w:right w:val="none" w:sz="0" w:space="0" w:color="auto"/>
                  </w:divBdr>
                  <w:divsChild>
                    <w:div w:id="2062358501">
                      <w:marLeft w:val="0"/>
                      <w:marRight w:val="0"/>
                      <w:marTop w:val="0"/>
                      <w:marBottom w:val="375"/>
                      <w:divBdr>
                        <w:top w:val="none" w:sz="0" w:space="0" w:color="auto"/>
                        <w:left w:val="none" w:sz="0" w:space="0" w:color="auto"/>
                        <w:bottom w:val="none" w:sz="0" w:space="0" w:color="auto"/>
                        <w:right w:val="none" w:sz="0" w:space="0" w:color="auto"/>
                      </w:divBdr>
                      <w:divsChild>
                        <w:div w:id="40850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26620">
      <w:bodyDiv w:val="1"/>
      <w:marLeft w:val="0"/>
      <w:marRight w:val="0"/>
      <w:marTop w:val="0"/>
      <w:marBottom w:val="0"/>
      <w:divBdr>
        <w:top w:val="none" w:sz="0" w:space="0" w:color="auto"/>
        <w:left w:val="none" w:sz="0" w:space="0" w:color="auto"/>
        <w:bottom w:val="none" w:sz="0" w:space="0" w:color="auto"/>
        <w:right w:val="none" w:sz="0" w:space="0" w:color="auto"/>
      </w:divBdr>
    </w:div>
    <w:div w:id="557016876">
      <w:bodyDiv w:val="1"/>
      <w:marLeft w:val="0"/>
      <w:marRight w:val="0"/>
      <w:marTop w:val="0"/>
      <w:marBottom w:val="0"/>
      <w:divBdr>
        <w:top w:val="none" w:sz="0" w:space="0" w:color="auto"/>
        <w:left w:val="none" w:sz="0" w:space="0" w:color="auto"/>
        <w:bottom w:val="none" w:sz="0" w:space="0" w:color="auto"/>
        <w:right w:val="none" w:sz="0" w:space="0" w:color="auto"/>
      </w:divBdr>
      <w:divsChild>
        <w:div w:id="1364402970">
          <w:marLeft w:val="0"/>
          <w:marRight w:val="0"/>
          <w:marTop w:val="0"/>
          <w:marBottom w:val="0"/>
          <w:divBdr>
            <w:top w:val="none" w:sz="0" w:space="0" w:color="auto"/>
            <w:left w:val="single" w:sz="6" w:space="0" w:color="BBBBBB"/>
            <w:bottom w:val="single" w:sz="6" w:space="0" w:color="BBBBBB"/>
            <w:right w:val="single" w:sz="6" w:space="0" w:color="BBBBBB"/>
          </w:divBdr>
          <w:divsChild>
            <w:div w:id="42951726">
              <w:marLeft w:val="0"/>
              <w:marRight w:val="0"/>
              <w:marTop w:val="0"/>
              <w:marBottom w:val="0"/>
              <w:divBdr>
                <w:top w:val="none" w:sz="0" w:space="0" w:color="auto"/>
                <w:left w:val="none" w:sz="0" w:space="0" w:color="auto"/>
                <w:bottom w:val="none" w:sz="0" w:space="0" w:color="auto"/>
                <w:right w:val="none" w:sz="0" w:space="0" w:color="auto"/>
              </w:divBdr>
              <w:divsChild>
                <w:div w:id="454254936">
                  <w:marLeft w:val="0"/>
                  <w:marRight w:val="0"/>
                  <w:marTop w:val="75"/>
                  <w:marBottom w:val="0"/>
                  <w:divBdr>
                    <w:top w:val="none" w:sz="0" w:space="0" w:color="auto"/>
                    <w:left w:val="none" w:sz="0" w:space="0" w:color="auto"/>
                    <w:bottom w:val="none" w:sz="0" w:space="0" w:color="auto"/>
                    <w:right w:val="none" w:sz="0" w:space="0" w:color="auto"/>
                  </w:divBdr>
                  <w:divsChild>
                    <w:div w:id="1627272106">
                      <w:marLeft w:val="0"/>
                      <w:marRight w:val="0"/>
                      <w:marTop w:val="0"/>
                      <w:marBottom w:val="0"/>
                      <w:divBdr>
                        <w:top w:val="none" w:sz="0" w:space="0" w:color="auto"/>
                        <w:left w:val="none" w:sz="0" w:space="0" w:color="auto"/>
                        <w:bottom w:val="none" w:sz="0" w:space="0" w:color="auto"/>
                        <w:right w:val="none" w:sz="0" w:space="0" w:color="auto"/>
                      </w:divBdr>
                      <w:divsChild>
                        <w:div w:id="779028513">
                          <w:marLeft w:val="0"/>
                          <w:marRight w:val="0"/>
                          <w:marTop w:val="0"/>
                          <w:marBottom w:val="0"/>
                          <w:divBdr>
                            <w:top w:val="none" w:sz="0" w:space="0" w:color="auto"/>
                            <w:left w:val="none" w:sz="0" w:space="0" w:color="auto"/>
                            <w:bottom w:val="none" w:sz="0" w:space="0" w:color="auto"/>
                            <w:right w:val="none" w:sz="0" w:space="0" w:color="auto"/>
                          </w:divBdr>
                          <w:divsChild>
                            <w:div w:id="1203404119">
                              <w:marLeft w:val="0"/>
                              <w:marRight w:val="0"/>
                              <w:marTop w:val="0"/>
                              <w:marBottom w:val="0"/>
                              <w:divBdr>
                                <w:top w:val="none" w:sz="0" w:space="0" w:color="auto"/>
                                <w:left w:val="none" w:sz="0" w:space="0" w:color="auto"/>
                                <w:bottom w:val="none" w:sz="0" w:space="0" w:color="auto"/>
                                <w:right w:val="none" w:sz="0" w:space="0" w:color="auto"/>
                              </w:divBdr>
                              <w:divsChild>
                                <w:div w:id="509376939">
                                  <w:marLeft w:val="0"/>
                                  <w:marRight w:val="0"/>
                                  <w:marTop w:val="0"/>
                                  <w:marBottom w:val="0"/>
                                  <w:divBdr>
                                    <w:top w:val="none" w:sz="0" w:space="0" w:color="auto"/>
                                    <w:left w:val="none" w:sz="0" w:space="0" w:color="auto"/>
                                    <w:bottom w:val="none" w:sz="0" w:space="0" w:color="auto"/>
                                    <w:right w:val="none" w:sz="0" w:space="0" w:color="auto"/>
                                  </w:divBdr>
                                  <w:divsChild>
                                    <w:div w:id="1767067828">
                                      <w:marLeft w:val="0"/>
                                      <w:marRight w:val="0"/>
                                      <w:marTop w:val="0"/>
                                      <w:marBottom w:val="0"/>
                                      <w:divBdr>
                                        <w:top w:val="none" w:sz="0" w:space="0" w:color="auto"/>
                                        <w:left w:val="none" w:sz="0" w:space="0" w:color="auto"/>
                                        <w:bottom w:val="none" w:sz="0" w:space="0" w:color="auto"/>
                                        <w:right w:val="none" w:sz="0" w:space="0" w:color="auto"/>
                                      </w:divBdr>
                                      <w:divsChild>
                                        <w:div w:id="410201641">
                                          <w:marLeft w:val="1200"/>
                                          <w:marRight w:val="1200"/>
                                          <w:marTop w:val="0"/>
                                          <w:marBottom w:val="0"/>
                                          <w:divBdr>
                                            <w:top w:val="none" w:sz="0" w:space="0" w:color="auto"/>
                                            <w:left w:val="none" w:sz="0" w:space="0" w:color="auto"/>
                                            <w:bottom w:val="none" w:sz="0" w:space="0" w:color="auto"/>
                                            <w:right w:val="none" w:sz="0" w:space="0" w:color="auto"/>
                                          </w:divBdr>
                                          <w:divsChild>
                                            <w:div w:id="2100641010">
                                              <w:marLeft w:val="0"/>
                                              <w:marRight w:val="0"/>
                                              <w:marTop w:val="0"/>
                                              <w:marBottom w:val="0"/>
                                              <w:divBdr>
                                                <w:top w:val="none" w:sz="0" w:space="0" w:color="auto"/>
                                                <w:left w:val="none" w:sz="0" w:space="0" w:color="auto"/>
                                                <w:bottom w:val="none" w:sz="0" w:space="0" w:color="auto"/>
                                                <w:right w:val="none" w:sz="0" w:space="0" w:color="auto"/>
                                              </w:divBdr>
                                              <w:divsChild>
                                                <w:div w:id="1472870994">
                                                  <w:marLeft w:val="0"/>
                                                  <w:marRight w:val="0"/>
                                                  <w:marTop w:val="0"/>
                                                  <w:marBottom w:val="0"/>
                                                  <w:divBdr>
                                                    <w:top w:val="none" w:sz="0" w:space="0" w:color="auto"/>
                                                    <w:left w:val="none" w:sz="0" w:space="0" w:color="auto"/>
                                                    <w:bottom w:val="none" w:sz="0" w:space="0" w:color="auto"/>
                                                    <w:right w:val="none" w:sz="0" w:space="0" w:color="auto"/>
                                                  </w:divBdr>
                                                  <w:divsChild>
                                                    <w:div w:id="789250841">
                                                      <w:marLeft w:val="0"/>
                                                      <w:marRight w:val="0"/>
                                                      <w:marTop w:val="0"/>
                                                      <w:marBottom w:val="0"/>
                                                      <w:divBdr>
                                                        <w:top w:val="none" w:sz="0" w:space="0" w:color="auto"/>
                                                        <w:left w:val="none" w:sz="0" w:space="0" w:color="auto"/>
                                                        <w:bottom w:val="none" w:sz="0" w:space="0" w:color="auto"/>
                                                        <w:right w:val="none" w:sz="0" w:space="0" w:color="auto"/>
                                                      </w:divBdr>
                                                      <w:divsChild>
                                                        <w:div w:id="1250849995">
                                                          <w:marLeft w:val="0"/>
                                                          <w:marRight w:val="0"/>
                                                          <w:marTop w:val="0"/>
                                                          <w:marBottom w:val="0"/>
                                                          <w:divBdr>
                                                            <w:top w:val="none" w:sz="0" w:space="0" w:color="auto"/>
                                                            <w:left w:val="none" w:sz="0" w:space="0" w:color="auto"/>
                                                            <w:bottom w:val="none" w:sz="0" w:space="0" w:color="auto"/>
                                                            <w:right w:val="none" w:sz="0" w:space="0" w:color="auto"/>
                                                          </w:divBdr>
                                                          <w:divsChild>
                                                            <w:div w:id="624579442">
                                                              <w:marLeft w:val="0"/>
                                                              <w:marRight w:val="0"/>
                                                              <w:marTop w:val="0"/>
                                                              <w:marBottom w:val="0"/>
                                                              <w:divBdr>
                                                                <w:top w:val="none" w:sz="0" w:space="0" w:color="auto"/>
                                                                <w:left w:val="none" w:sz="0" w:space="0" w:color="auto"/>
                                                                <w:bottom w:val="none" w:sz="0" w:space="0" w:color="auto"/>
                                                                <w:right w:val="none" w:sz="0" w:space="0" w:color="auto"/>
                                                              </w:divBdr>
                                                              <w:divsChild>
                                                                <w:div w:id="561334138">
                                                                  <w:marLeft w:val="0"/>
                                                                  <w:marRight w:val="0"/>
                                                                  <w:marTop w:val="0"/>
                                                                  <w:marBottom w:val="0"/>
                                                                  <w:divBdr>
                                                                    <w:top w:val="none" w:sz="0" w:space="0" w:color="auto"/>
                                                                    <w:left w:val="none" w:sz="0" w:space="0" w:color="auto"/>
                                                                    <w:bottom w:val="none" w:sz="0" w:space="0" w:color="auto"/>
                                                                    <w:right w:val="none" w:sz="0" w:space="0" w:color="auto"/>
                                                                  </w:divBdr>
                                                                  <w:divsChild>
                                                                    <w:div w:id="1217206117">
                                                                      <w:marLeft w:val="0"/>
                                                                      <w:marRight w:val="0"/>
                                                                      <w:marTop w:val="0"/>
                                                                      <w:marBottom w:val="0"/>
                                                                      <w:divBdr>
                                                                        <w:top w:val="none" w:sz="0" w:space="0" w:color="auto"/>
                                                                        <w:left w:val="none" w:sz="0" w:space="0" w:color="auto"/>
                                                                        <w:bottom w:val="none" w:sz="0" w:space="0" w:color="auto"/>
                                                                        <w:right w:val="none" w:sz="0" w:space="0" w:color="auto"/>
                                                                      </w:divBdr>
                                                                      <w:divsChild>
                                                                        <w:div w:id="721632195">
                                                                          <w:marLeft w:val="0"/>
                                                                          <w:marRight w:val="0"/>
                                                                          <w:marTop w:val="0"/>
                                                                          <w:marBottom w:val="0"/>
                                                                          <w:divBdr>
                                                                            <w:top w:val="none" w:sz="0" w:space="0" w:color="auto"/>
                                                                            <w:left w:val="none" w:sz="0" w:space="0" w:color="auto"/>
                                                                            <w:bottom w:val="none" w:sz="0" w:space="0" w:color="auto"/>
                                                                            <w:right w:val="none" w:sz="0" w:space="0" w:color="auto"/>
                                                                          </w:divBdr>
                                                                        </w:div>
                                                                      </w:divsChild>
                                                                    </w:div>
                                                                    <w:div w:id="1424566917">
                                                                      <w:marLeft w:val="0"/>
                                                                      <w:marRight w:val="0"/>
                                                                      <w:marTop w:val="0"/>
                                                                      <w:marBottom w:val="0"/>
                                                                      <w:divBdr>
                                                                        <w:top w:val="none" w:sz="0" w:space="0" w:color="auto"/>
                                                                        <w:left w:val="none" w:sz="0" w:space="0" w:color="auto"/>
                                                                        <w:bottom w:val="none" w:sz="0" w:space="0" w:color="auto"/>
                                                                        <w:right w:val="none" w:sz="0" w:space="0" w:color="auto"/>
                                                                      </w:divBdr>
                                                                      <w:divsChild>
                                                                        <w:div w:id="1327324632">
                                                                          <w:marLeft w:val="0"/>
                                                                          <w:marRight w:val="0"/>
                                                                          <w:marTop w:val="0"/>
                                                                          <w:marBottom w:val="0"/>
                                                                          <w:divBdr>
                                                                            <w:top w:val="none" w:sz="0" w:space="0" w:color="auto"/>
                                                                            <w:left w:val="none" w:sz="0" w:space="0" w:color="auto"/>
                                                                            <w:bottom w:val="none" w:sz="0" w:space="0" w:color="auto"/>
                                                                            <w:right w:val="none" w:sz="0" w:space="0" w:color="auto"/>
                                                                          </w:divBdr>
                                                                        </w:div>
                                                                      </w:divsChild>
                                                                    </w:div>
                                                                    <w:div w:id="1471166425">
                                                                      <w:marLeft w:val="0"/>
                                                                      <w:marRight w:val="0"/>
                                                                      <w:marTop w:val="0"/>
                                                                      <w:marBottom w:val="0"/>
                                                                      <w:divBdr>
                                                                        <w:top w:val="none" w:sz="0" w:space="0" w:color="auto"/>
                                                                        <w:left w:val="none" w:sz="0" w:space="0" w:color="auto"/>
                                                                        <w:bottom w:val="none" w:sz="0" w:space="0" w:color="auto"/>
                                                                        <w:right w:val="none" w:sz="0" w:space="0" w:color="auto"/>
                                                                      </w:divBdr>
                                                                      <w:divsChild>
                                                                        <w:div w:id="315768832">
                                                                          <w:marLeft w:val="0"/>
                                                                          <w:marRight w:val="0"/>
                                                                          <w:marTop w:val="0"/>
                                                                          <w:marBottom w:val="0"/>
                                                                          <w:divBdr>
                                                                            <w:top w:val="none" w:sz="0" w:space="0" w:color="auto"/>
                                                                            <w:left w:val="none" w:sz="0" w:space="0" w:color="auto"/>
                                                                            <w:bottom w:val="none" w:sz="0" w:space="0" w:color="auto"/>
                                                                            <w:right w:val="none" w:sz="0" w:space="0" w:color="auto"/>
                                                                          </w:divBdr>
                                                                        </w:div>
                                                                      </w:divsChild>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196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713740">
      <w:bodyDiv w:val="1"/>
      <w:marLeft w:val="0"/>
      <w:marRight w:val="0"/>
      <w:marTop w:val="0"/>
      <w:marBottom w:val="0"/>
      <w:divBdr>
        <w:top w:val="none" w:sz="0" w:space="0" w:color="auto"/>
        <w:left w:val="none" w:sz="0" w:space="0" w:color="auto"/>
        <w:bottom w:val="none" w:sz="0" w:space="0" w:color="auto"/>
        <w:right w:val="none" w:sz="0" w:space="0" w:color="auto"/>
      </w:divBdr>
      <w:divsChild>
        <w:div w:id="121964639">
          <w:marLeft w:val="0"/>
          <w:marRight w:val="0"/>
          <w:marTop w:val="0"/>
          <w:marBottom w:val="0"/>
          <w:divBdr>
            <w:top w:val="none" w:sz="0" w:space="0" w:color="auto"/>
            <w:left w:val="none" w:sz="0" w:space="0" w:color="auto"/>
            <w:bottom w:val="none" w:sz="0" w:space="0" w:color="auto"/>
            <w:right w:val="none" w:sz="0" w:space="0" w:color="auto"/>
          </w:divBdr>
          <w:divsChild>
            <w:div w:id="1892307957">
              <w:marLeft w:val="0"/>
              <w:marRight w:val="0"/>
              <w:marTop w:val="0"/>
              <w:marBottom w:val="0"/>
              <w:divBdr>
                <w:top w:val="none" w:sz="0" w:space="0" w:color="auto"/>
                <w:left w:val="none" w:sz="0" w:space="0" w:color="auto"/>
                <w:bottom w:val="none" w:sz="0" w:space="0" w:color="auto"/>
                <w:right w:val="none" w:sz="0" w:space="0" w:color="auto"/>
              </w:divBdr>
              <w:divsChild>
                <w:div w:id="490949477">
                  <w:marLeft w:val="0"/>
                  <w:marRight w:val="0"/>
                  <w:marTop w:val="0"/>
                  <w:marBottom w:val="0"/>
                  <w:divBdr>
                    <w:top w:val="none" w:sz="0" w:space="0" w:color="auto"/>
                    <w:left w:val="none" w:sz="0" w:space="0" w:color="auto"/>
                    <w:bottom w:val="none" w:sz="0" w:space="0" w:color="auto"/>
                    <w:right w:val="none" w:sz="0" w:space="0" w:color="auto"/>
                  </w:divBdr>
                  <w:divsChild>
                    <w:div w:id="1851680893">
                      <w:marLeft w:val="0"/>
                      <w:marRight w:val="0"/>
                      <w:marTop w:val="0"/>
                      <w:marBottom w:val="375"/>
                      <w:divBdr>
                        <w:top w:val="none" w:sz="0" w:space="0" w:color="auto"/>
                        <w:left w:val="none" w:sz="0" w:space="0" w:color="auto"/>
                        <w:bottom w:val="none" w:sz="0" w:space="0" w:color="auto"/>
                        <w:right w:val="none" w:sz="0" w:space="0" w:color="auto"/>
                      </w:divBdr>
                      <w:divsChild>
                        <w:div w:id="11634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57321">
      <w:bodyDiv w:val="1"/>
      <w:marLeft w:val="0"/>
      <w:marRight w:val="0"/>
      <w:marTop w:val="0"/>
      <w:marBottom w:val="0"/>
      <w:divBdr>
        <w:top w:val="none" w:sz="0" w:space="0" w:color="auto"/>
        <w:left w:val="none" w:sz="0" w:space="0" w:color="auto"/>
        <w:bottom w:val="none" w:sz="0" w:space="0" w:color="auto"/>
        <w:right w:val="none" w:sz="0" w:space="0" w:color="auto"/>
      </w:divBdr>
    </w:div>
    <w:div w:id="560095587">
      <w:bodyDiv w:val="1"/>
      <w:marLeft w:val="0"/>
      <w:marRight w:val="0"/>
      <w:marTop w:val="0"/>
      <w:marBottom w:val="0"/>
      <w:divBdr>
        <w:top w:val="none" w:sz="0" w:space="0" w:color="auto"/>
        <w:left w:val="none" w:sz="0" w:space="0" w:color="auto"/>
        <w:bottom w:val="none" w:sz="0" w:space="0" w:color="auto"/>
        <w:right w:val="none" w:sz="0" w:space="0" w:color="auto"/>
      </w:divBdr>
      <w:divsChild>
        <w:div w:id="683358398">
          <w:marLeft w:val="0"/>
          <w:marRight w:val="0"/>
          <w:marTop w:val="240"/>
          <w:marBottom w:val="0"/>
          <w:divBdr>
            <w:top w:val="none" w:sz="0" w:space="0" w:color="auto"/>
            <w:left w:val="none" w:sz="0" w:space="0" w:color="auto"/>
            <w:bottom w:val="none" w:sz="0" w:space="0" w:color="auto"/>
            <w:right w:val="none" w:sz="0" w:space="0" w:color="auto"/>
          </w:divBdr>
          <w:divsChild>
            <w:div w:id="2034071171">
              <w:marLeft w:val="0"/>
              <w:marRight w:val="0"/>
              <w:marTop w:val="0"/>
              <w:marBottom w:val="0"/>
              <w:divBdr>
                <w:top w:val="none" w:sz="0" w:space="0" w:color="auto"/>
                <w:left w:val="none" w:sz="0" w:space="0" w:color="auto"/>
                <w:bottom w:val="none" w:sz="0" w:space="0" w:color="auto"/>
                <w:right w:val="none" w:sz="0" w:space="0" w:color="auto"/>
              </w:divBdr>
              <w:divsChild>
                <w:div w:id="998655928">
                  <w:blockQuote w:val="1"/>
                  <w:marLeft w:val="0"/>
                  <w:marRight w:val="0"/>
                  <w:marTop w:val="0"/>
                  <w:marBottom w:val="0"/>
                  <w:divBdr>
                    <w:top w:val="none" w:sz="0" w:space="0" w:color="auto"/>
                    <w:left w:val="none" w:sz="0" w:space="0" w:color="auto"/>
                    <w:bottom w:val="none" w:sz="0" w:space="0" w:color="auto"/>
                    <w:right w:val="none" w:sz="0" w:space="0" w:color="auto"/>
                  </w:divBdr>
                  <w:divsChild>
                    <w:div w:id="174699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53945">
          <w:marLeft w:val="0"/>
          <w:marRight w:val="0"/>
          <w:marTop w:val="240"/>
          <w:marBottom w:val="0"/>
          <w:divBdr>
            <w:top w:val="none" w:sz="0" w:space="0" w:color="auto"/>
            <w:left w:val="none" w:sz="0" w:space="0" w:color="auto"/>
            <w:bottom w:val="none" w:sz="0" w:space="0" w:color="auto"/>
            <w:right w:val="none" w:sz="0" w:space="0" w:color="auto"/>
          </w:divBdr>
        </w:div>
      </w:divsChild>
    </w:div>
    <w:div w:id="562450004">
      <w:bodyDiv w:val="1"/>
      <w:marLeft w:val="0"/>
      <w:marRight w:val="0"/>
      <w:marTop w:val="0"/>
      <w:marBottom w:val="0"/>
      <w:divBdr>
        <w:top w:val="none" w:sz="0" w:space="0" w:color="auto"/>
        <w:left w:val="none" w:sz="0" w:space="0" w:color="auto"/>
        <w:bottom w:val="none" w:sz="0" w:space="0" w:color="auto"/>
        <w:right w:val="none" w:sz="0" w:space="0" w:color="auto"/>
      </w:divBdr>
      <w:divsChild>
        <w:div w:id="397020849">
          <w:marLeft w:val="0"/>
          <w:marRight w:val="0"/>
          <w:marTop w:val="240"/>
          <w:marBottom w:val="0"/>
          <w:divBdr>
            <w:top w:val="none" w:sz="0" w:space="0" w:color="auto"/>
            <w:left w:val="none" w:sz="0" w:space="0" w:color="auto"/>
            <w:bottom w:val="none" w:sz="0" w:space="0" w:color="auto"/>
            <w:right w:val="none" w:sz="0" w:space="0" w:color="auto"/>
          </w:divBdr>
          <w:divsChild>
            <w:div w:id="569465583">
              <w:marLeft w:val="0"/>
              <w:marRight w:val="0"/>
              <w:marTop w:val="0"/>
              <w:marBottom w:val="0"/>
              <w:divBdr>
                <w:top w:val="none" w:sz="0" w:space="0" w:color="auto"/>
                <w:left w:val="none" w:sz="0" w:space="0" w:color="auto"/>
                <w:bottom w:val="none" w:sz="0" w:space="0" w:color="auto"/>
                <w:right w:val="none" w:sz="0" w:space="0" w:color="auto"/>
              </w:divBdr>
            </w:div>
          </w:divsChild>
        </w:div>
        <w:div w:id="466825179">
          <w:marLeft w:val="0"/>
          <w:marRight w:val="0"/>
          <w:marTop w:val="240"/>
          <w:marBottom w:val="0"/>
          <w:divBdr>
            <w:top w:val="none" w:sz="0" w:space="0" w:color="auto"/>
            <w:left w:val="none" w:sz="0" w:space="0" w:color="auto"/>
            <w:bottom w:val="none" w:sz="0" w:space="0" w:color="auto"/>
            <w:right w:val="none" w:sz="0" w:space="0" w:color="auto"/>
          </w:divBdr>
          <w:divsChild>
            <w:div w:id="108016818">
              <w:marLeft w:val="0"/>
              <w:marRight w:val="0"/>
              <w:marTop w:val="0"/>
              <w:marBottom w:val="0"/>
              <w:divBdr>
                <w:top w:val="none" w:sz="0" w:space="0" w:color="auto"/>
                <w:left w:val="none" w:sz="0" w:space="0" w:color="auto"/>
                <w:bottom w:val="none" w:sz="0" w:space="0" w:color="auto"/>
                <w:right w:val="none" w:sz="0" w:space="0" w:color="auto"/>
              </w:divBdr>
            </w:div>
          </w:divsChild>
        </w:div>
        <w:div w:id="678123593">
          <w:marLeft w:val="0"/>
          <w:marRight w:val="0"/>
          <w:marTop w:val="240"/>
          <w:marBottom w:val="0"/>
          <w:divBdr>
            <w:top w:val="none" w:sz="0" w:space="0" w:color="auto"/>
            <w:left w:val="none" w:sz="0" w:space="0" w:color="auto"/>
            <w:bottom w:val="none" w:sz="0" w:space="0" w:color="auto"/>
            <w:right w:val="none" w:sz="0" w:space="0" w:color="auto"/>
          </w:divBdr>
          <w:divsChild>
            <w:div w:id="1640497807">
              <w:marLeft w:val="0"/>
              <w:marRight w:val="0"/>
              <w:marTop w:val="240"/>
              <w:marBottom w:val="0"/>
              <w:divBdr>
                <w:top w:val="none" w:sz="0" w:space="0" w:color="auto"/>
                <w:left w:val="none" w:sz="0" w:space="0" w:color="auto"/>
                <w:bottom w:val="none" w:sz="0" w:space="0" w:color="auto"/>
                <w:right w:val="none" w:sz="0" w:space="0" w:color="auto"/>
              </w:divBdr>
              <w:divsChild>
                <w:div w:id="1351909301">
                  <w:marLeft w:val="0"/>
                  <w:marRight w:val="0"/>
                  <w:marTop w:val="0"/>
                  <w:marBottom w:val="0"/>
                  <w:divBdr>
                    <w:top w:val="none" w:sz="0" w:space="0" w:color="auto"/>
                    <w:left w:val="none" w:sz="0" w:space="0" w:color="auto"/>
                    <w:bottom w:val="none" w:sz="0" w:space="0" w:color="auto"/>
                    <w:right w:val="none" w:sz="0" w:space="0" w:color="auto"/>
                  </w:divBdr>
                </w:div>
              </w:divsChild>
            </w:div>
            <w:div w:id="1709572688">
              <w:marLeft w:val="0"/>
              <w:marRight w:val="0"/>
              <w:marTop w:val="240"/>
              <w:marBottom w:val="0"/>
              <w:divBdr>
                <w:top w:val="none" w:sz="0" w:space="0" w:color="auto"/>
                <w:left w:val="none" w:sz="0" w:space="0" w:color="auto"/>
                <w:bottom w:val="none" w:sz="0" w:space="0" w:color="auto"/>
                <w:right w:val="none" w:sz="0" w:space="0" w:color="auto"/>
              </w:divBdr>
              <w:divsChild>
                <w:div w:id="1489900565">
                  <w:marLeft w:val="0"/>
                  <w:marRight w:val="0"/>
                  <w:marTop w:val="0"/>
                  <w:marBottom w:val="0"/>
                  <w:divBdr>
                    <w:top w:val="none" w:sz="0" w:space="0" w:color="auto"/>
                    <w:left w:val="none" w:sz="0" w:space="0" w:color="auto"/>
                    <w:bottom w:val="none" w:sz="0" w:space="0" w:color="auto"/>
                    <w:right w:val="none" w:sz="0" w:space="0" w:color="auto"/>
                  </w:divBdr>
                </w:div>
              </w:divsChild>
            </w:div>
            <w:div w:id="1735735552">
              <w:marLeft w:val="0"/>
              <w:marRight w:val="0"/>
              <w:marTop w:val="240"/>
              <w:marBottom w:val="0"/>
              <w:divBdr>
                <w:top w:val="none" w:sz="0" w:space="0" w:color="auto"/>
                <w:left w:val="none" w:sz="0" w:space="0" w:color="auto"/>
                <w:bottom w:val="none" w:sz="0" w:space="0" w:color="auto"/>
                <w:right w:val="none" w:sz="0" w:space="0" w:color="auto"/>
              </w:divBdr>
              <w:divsChild>
                <w:div w:id="611058424">
                  <w:marLeft w:val="0"/>
                  <w:marRight w:val="0"/>
                  <w:marTop w:val="0"/>
                  <w:marBottom w:val="0"/>
                  <w:divBdr>
                    <w:top w:val="none" w:sz="0" w:space="0" w:color="auto"/>
                    <w:left w:val="none" w:sz="0" w:space="0" w:color="auto"/>
                    <w:bottom w:val="none" w:sz="0" w:space="0" w:color="auto"/>
                    <w:right w:val="none" w:sz="0" w:space="0" w:color="auto"/>
                  </w:divBdr>
                </w:div>
              </w:divsChild>
            </w:div>
            <w:div w:id="1792699669">
              <w:marLeft w:val="0"/>
              <w:marRight w:val="0"/>
              <w:marTop w:val="0"/>
              <w:marBottom w:val="0"/>
              <w:divBdr>
                <w:top w:val="none" w:sz="0" w:space="0" w:color="auto"/>
                <w:left w:val="none" w:sz="0" w:space="0" w:color="auto"/>
                <w:bottom w:val="none" w:sz="0" w:space="0" w:color="auto"/>
                <w:right w:val="none" w:sz="0" w:space="0" w:color="auto"/>
              </w:divBdr>
            </w:div>
            <w:div w:id="2039313370">
              <w:marLeft w:val="0"/>
              <w:marRight w:val="0"/>
              <w:marTop w:val="240"/>
              <w:marBottom w:val="0"/>
              <w:divBdr>
                <w:top w:val="none" w:sz="0" w:space="0" w:color="auto"/>
                <w:left w:val="none" w:sz="0" w:space="0" w:color="auto"/>
                <w:bottom w:val="none" w:sz="0" w:space="0" w:color="auto"/>
                <w:right w:val="none" w:sz="0" w:space="0" w:color="auto"/>
              </w:divBdr>
              <w:divsChild>
                <w:div w:id="9012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2234">
          <w:marLeft w:val="0"/>
          <w:marRight w:val="0"/>
          <w:marTop w:val="240"/>
          <w:marBottom w:val="0"/>
          <w:divBdr>
            <w:top w:val="none" w:sz="0" w:space="0" w:color="auto"/>
            <w:left w:val="none" w:sz="0" w:space="0" w:color="auto"/>
            <w:bottom w:val="none" w:sz="0" w:space="0" w:color="auto"/>
            <w:right w:val="none" w:sz="0" w:space="0" w:color="auto"/>
          </w:divBdr>
          <w:divsChild>
            <w:div w:id="150025968">
              <w:marLeft w:val="0"/>
              <w:marRight w:val="0"/>
              <w:marTop w:val="0"/>
              <w:marBottom w:val="0"/>
              <w:divBdr>
                <w:top w:val="none" w:sz="0" w:space="0" w:color="auto"/>
                <w:left w:val="none" w:sz="0" w:space="0" w:color="auto"/>
                <w:bottom w:val="none" w:sz="0" w:space="0" w:color="auto"/>
                <w:right w:val="none" w:sz="0" w:space="0" w:color="auto"/>
              </w:divBdr>
            </w:div>
          </w:divsChild>
        </w:div>
        <w:div w:id="868446901">
          <w:marLeft w:val="0"/>
          <w:marRight w:val="0"/>
          <w:marTop w:val="240"/>
          <w:marBottom w:val="0"/>
          <w:divBdr>
            <w:top w:val="none" w:sz="0" w:space="0" w:color="auto"/>
            <w:left w:val="none" w:sz="0" w:space="0" w:color="auto"/>
            <w:bottom w:val="none" w:sz="0" w:space="0" w:color="auto"/>
            <w:right w:val="none" w:sz="0" w:space="0" w:color="auto"/>
          </w:divBdr>
          <w:divsChild>
            <w:div w:id="2026398942">
              <w:marLeft w:val="0"/>
              <w:marRight w:val="0"/>
              <w:marTop w:val="0"/>
              <w:marBottom w:val="0"/>
              <w:divBdr>
                <w:top w:val="none" w:sz="0" w:space="0" w:color="auto"/>
                <w:left w:val="none" w:sz="0" w:space="0" w:color="auto"/>
                <w:bottom w:val="none" w:sz="0" w:space="0" w:color="auto"/>
                <w:right w:val="none" w:sz="0" w:space="0" w:color="auto"/>
              </w:divBdr>
            </w:div>
          </w:divsChild>
        </w:div>
        <w:div w:id="1149203631">
          <w:marLeft w:val="0"/>
          <w:marRight w:val="0"/>
          <w:marTop w:val="240"/>
          <w:marBottom w:val="0"/>
          <w:divBdr>
            <w:top w:val="none" w:sz="0" w:space="0" w:color="auto"/>
            <w:left w:val="none" w:sz="0" w:space="0" w:color="auto"/>
            <w:bottom w:val="none" w:sz="0" w:space="0" w:color="auto"/>
            <w:right w:val="none" w:sz="0" w:space="0" w:color="auto"/>
          </w:divBdr>
          <w:divsChild>
            <w:div w:id="226502694">
              <w:marLeft w:val="0"/>
              <w:marRight w:val="0"/>
              <w:marTop w:val="240"/>
              <w:marBottom w:val="0"/>
              <w:divBdr>
                <w:top w:val="none" w:sz="0" w:space="0" w:color="auto"/>
                <w:left w:val="none" w:sz="0" w:space="0" w:color="auto"/>
                <w:bottom w:val="none" w:sz="0" w:space="0" w:color="auto"/>
                <w:right w:val="none" w:sz="0" w:space="0" w:color="auto"/>
              </w:divBdr>
              <w:divsChild>
                <w:div w:id="2004891312">
                  <w:marLeft w:val="0"/>
                  <w:marRight w:val="0"/>
                  <w:marTop w:val="0"/>
                  <w:marBottom w:val="0"/>
                  <w:divBdr>
                    <w:top w:val="none" w:sz="0" w:space="0" w:color="auto"/>
                    <w:left w:val="none" w:sz="0" w:space="0" w:color="auto"/>
                    <w:bottom w:val="none" w:sz="0" w:space="0" w:color="auto"/>
                    <w:right w:val="none" w:sz="0" w:space="0" w:color="auto"/>
                  </w:divBdr>
                </w:div>
              </w:divsChild>
            </w:div>
            <w:div w:id="373311993">
              <w:marLeft w:val="0"/>
              <w:marRight w:val="0"/>
              <w:marTop w:val="240"/>
              <w:marBottom w:val="0"/>
              <w:divBdr>
                <w:top w:val="none" w:sz="0" w:space="0" w:color="auto"/>
                <w:left w:val="none" w:sz="0" w:space="0" w:color="auto"/>
                <w:bottom w:val="none" w:sz="0" w:space="0" w:color="auto"/>
                <w:right w:val="none" w:sz="0" w:space="0" w:color="auto"/>
              </w:divBdr>
              <w:divsChild>
                <w:div w:id="36857477">
                  <w:marLeft w:val="0"/>
                  <w:marRight w:val="0"/>
                  <w:marTop w:val="0"/>
                  <w:marBottom w:val="0"/>
                  <w:divBdr>
                    <w:top w:val="none" w:sz="0" w:space="0" w:color="auto"/>
                    <w:left w:val="none" w:sz="0" w:space="0" w:color="auto"/>
                    <w:bottom w:val="none" w:sz="0" w:space="0" w:color="auto"/>
                    <w:right w:val="none" w:sz="0" w:space="0" w:color="auto"/>
                  </w:divBdr>
                </w:div>
              </w:divsChild>
            </w:div>
            <w:div w:id="477453939">
              <w:marLeft w:val="0"/>
              <w:marRight w:val="0"/>
              <w:marTop w:val="0"/>
              <w:marBottom w:val="0"/>
              <w:divBdr>
                <w:top w:val="none" w:sz="0" w:space="0" w:color="auto"/>
                <w:left w:val="none" w:sz="0" w:space="0" w:color="auto"/>
                <w:bottom w:val="none" w:sz="0" w:space="0" w:color="auto"/>
                <w:right w:val="none" w:sz="0" w:space="0" w:color="auto"/>
              </w:divBdr>
            </w:div>
            <w:div w:id="497306546">
              <w:marLeft w:val="0"/>
              <w:marRight w:val="0"/>
              <w:marTop w:val="240"/>
              <w:marBottom w:val="0"/>
              <w:divBdr>
                <w:top w:val="none" w:sz="0" w:space="0" w:color="auto"/>
                <w:left w:val="none" w:sz="0" w:space="0" w:color="auto"/>
                <w:bottom w:val="none" w:sz="0" w:space="0" w:color="auto"/>
                <w:right w:val="none" w:sz="0" w:space="0" w:color="auto"/>
              </w:divBdr>
              <w:divsChild>
                <w:div w:id="3545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5015">
          <w:marLeft w:val="0"/>
          <w:marRight w:val="0"/>
          <w:marTop w:val="240"/>
          <w:marBottom w:val="0"/>
          <w:divBdr>
            <w:top w:val="none" w:sz="0" w:space="0" w:color="auto"/>
            <w:left w:val="none" w:sz="0" w:space="0" w:color="auto"/>
            <w:bottom w:val="none" w:sz="0" w:space="0" w:color="auto"/>
            <w:right w:val="none" w:sz="0" w:space="0" w:color="auto"/>
          </w:divBdr>
          <w:divsChild>
            <w:div w:id="21088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28782">
      <w:bodyDiv w:val="1"/>
      <w:marLeft w:val="0"/>
      <w:marRight w:val="0"/>
      <w:marTop w:val="0"/>
      <w:marBottom w:val="0"/>
      <w:divBdr>
        <w:top w:val="none" w:sz="0" w:space="0" w:color="auto"/>
        <w:left w:val="none" w:sz="0" w:space="0" w:color="auto"/>
        <w:bottom w:val="none" w:sz="0" w:space="0" w:color="auto"/>
        <w:right w:val="none" w:sz="0" w:space="0" w:color="auto"/>
      </w:divBdr>
      <w:divsChild>
        <w:div w:id="1867912304">
          <w:marLeft w:val="0"/>
          <w:marRight w:val="0"/>
          <w:marTop w:val="0"/>
          <w:marBottom w:val="0"/>
          <w:divBdr>
            <w:top w:val="none" w:sz="0" w:space="0" w:color="auto"/>
            <w:left w:val="none" w:sz="0" w:space="0" w:color="auto"/>
            <w:bottom w:val="none" w:sz="0" w:space="0" w:color="auto"/>
            <w:right w:val="none" w:sz="0" w:space="0" w:color="auto"/>
          </w:divBdr>
          <w:divsChild>
            <w:div w:id="853225571">
              <w:marLeft w:val="0"/>
              <w:marRight w:val="0"/>
              <w:marTop w:val="0"/>
              <w:marBottom w:val="0"/>
              <w:divBdr>
                <w:top w:val="none" w:sz="0" w:space="0" w:color="auto"/>
                <w:left w:val="none" w:sz="0" w:space="0" w:color="auto"/>
                <w:bottom w:val="none" w:sz="0" w:space="0" w:color="auto"/>
                <w:right w:val="none" w:sz="0" w:space="0" w:color="auto"/>
              </w:divBdr>
              <w:divsChild>
                <w:div w:id="2005468255">
                  <w:marLeft w:val="0"/>
                  <w:marRight w:val="0"/>
                  <w:marTop w:val="0"/>
                  <w:marBottom w:val="0"/>
                  <w:divBdr>
                    <w:top w:val="none" w:sz="0" w:space="0" w:color="auto"/>
                    <w:left w:val="none" w:sz="0" w:space="0" w:color="auto"/>
                    <w:bottom w:val="none" w:sz="0" w:space="0" w:color="auto"/>
                    <w:right w:val="none" w:sz="0" w:space="0" w:color="auto"/>
                  </w:divBdr>
                  <w:divsChild>
                    <w:div w:id="1200095392">
                      <w:marLeft w:val="0"/>
                      <w:marRight w:val="0"/>
                      <w:marTop w:val="0"/>
                      <w:marBottom w:val="375"/>
                      <w:divBdr>
                        <w:top w:val="none" w:sz="0" w:space="0" w:color="auto"/>
                        <w:left w:val="none" w:sz="0" w:space="0" w:color="auto"/>
                        <w:bottom w:val="none" w:sz="0" w:space="0" w:color="auto"/>
                        <w:right w:val="none" w:sz="0" w:space="0" w:color="auto"/>
                      </w:divBdr>
                      <w:divsChild>
                        <w:div w:id="30628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840430">
      <w:bodyDiv w:val="1"/>
      <w:marLeft w:val="0"/>
      <w:marRight w:val="0"/>
      <w:marTop w:val="0"/>
      <w:marBottom w:val="0"/>
      <w:divBdr>
        <w:top w:val="none" w:sz="0" w:space="0" w:color="auto"/>
        <w:left w:val="none" w:sz="0" w:space="0" w:color="auto"/>
        <w:bottom w:val="none" w:sz="0" w:space="0" w:color="auto"/>
        <w:right w:val="none" w:sz="0" w:space="0" w:color="auto"/>
      </w:divBdr>
      <w:divsChild>
        <w:div w:id="71003455">
          <w:marLeft w:val="0"/>
          <w:marRight w:val="0"/>
          <w:marTop w:val="0"/>
          <w:marBottom w:val="0"/>
          <w:divBdr>
            <w:top w:val="none" w:sz="0" w:space="0" w:color="auto"/>
            <w:left w:val="single" w:sz="6" w:space="0" w:color="BBBBBB"/>
            <w:bottom w:val="single" w:sz="6" w:space="0" w:color="BBBBBB"/>
            <w:right w:val="single" w:sz="6" w:space="0" w:color="BBBBBB"/>
          </w:divBdr>
          <w:divsChild>
            <w:div w:id="266815400">
              <w:marLeft w:val="0"/>
              <w:marRight w:val="0"/>
              <w:marTop w:val="0"/>
              <w:marBottom w:val="0"/>
              <w:divBdr>
                <w:top w:val="none" w:sz="0" w:space="0" w:color="auto"/>
                <w:left w:val="none" w:sz="0" w:space="0" w:color="auto"/>
                <w:bottom w:val="none" w:sz="0" w:space="0" w:color="auto"/>
                <w:right w:val="none" w:sz="0" w:space="0" w:color="auto"/>
              </w:divBdr>
              <w:divsChild>
                <w:div w:id="1372420855">
                  <w:marLeft w:val="0"/>
                  <w:marRight w:val="0"/>
                  <w:marTop w:val="75"/>
                  <w:marBottom w:val="0"/>
                  <w:divBdr>
                    <w:top w:val="none" w:sz="0" w:space="0" w:color="auto"/>
                    <w:left w:val="none" w:sz="0" w:space="0" w:color="auto"/>
                    <w:bottom w:val="none" w:sz="0" w:space="0" w:color="auto"/>
                    <w:right w:val="none" w:sz="0" w:space="0" w:color="auto"/>
                  </w:divBdr>
                  <w:divsChild>
                    <w:div w:id="1497720571">
                      <w:marLeft w:val="0"/>
                      <w:marRight w:val="0"/>
                      <w:marTop w:val="0"/>
                      <w:marBottom w:val="0"/>
                      <w:divBdr>
                        <w:top w:val="none" w:sz="0" w:space="0" w:color="auto"/>
                        <w:left w:val="none" w:sz="0" w:space="0" w:color="auto"/>
                        <w:bottom w:val="none" w:sz="0" w:space="0" w:color="auto"/>
                        <w:right w:val="none" w:sz="0" w:space="0" w:color="auto"/>
                      </w:divBdr>
                      <w:divsChild>
                        <w:div w:id="1963803378">
                          <w:marLeft w:val="0"/>
                          <w:marRight w:val="0"/>
                          <w:marTop w:val="0"/>
                          <w:marBottom w:val="0"/>
                          <w:divBdr>
                            <w:top w:val="none" w:sz="0" w:space="0" w:color="auto"/>
                            <w:left w:val="none" w:sz="0" w:space="0" w:color="auto"/>
                            <w:bottom w:val="none" w:sz="0" w:space="0" w:color="auto"/>
                            <w:right w:val="none" w:sz="0" w:space="0" w:color="auto"/>
                          </w:divBdr>
                          <w:divsChild>
                            <w:div w:id="114763265">
                              <w:marLeft w:val="0"/>
                              <w:marRight w:val="0"/>
                              <w:marTop w:val="0"/>
                              <w:marBottom w:val="0"/>
                              <w:divBdr>
                                <w:top w:val="none" w:sz="0" w:space="0" w:color="auto"/>
                                <w:left w:val="none" w:sz="0" w:space="0" w:color="auto"/>
                                <w:bottom w:val="none" w:sz="0" w:space="0" w:color="auto"/>
                                <w:right w:val="none" w:sz="0" w:space="0" w:color="auto"/>
                              </w:divBdr>
                              <w:divsChild>
                                <w:div w:id="64685547">
                                  <w:marLeft w:val="0"/>
                                  <w:marRight w:val="0"/>
                                  <w:marTop w:val="0"/>
                                  <w:marBottom w:val="0"/>
                                  <w:divBdr>
                                    <w:top w:val="none" w:sz="0" w:space="0" w:color="auto"/>
                                    <w:left w:val="none" w:sz="0" w:space="0" w:color="auto"/>
                                    <w:bottom w:val="none" w:sz="0" w:space="0" w:color="auto"/>
                                    <w:right w:val="none" w:sz="0" w:space="0" w:color="auto"/>
                                  </w:divBdr>
                                  <w:divsChild>
                                    <w:div w:id="1648240169">
                                      <w:marLeft w:val="0"/>
                                      <w:marRight w:val="0"/>
                                      <w:marTop w:val="0"/>
                                      <w:marBottom w:val="0"/>
                                      <w:divBdr>
                                        <w:top w:val="none" w:sz="0" w:space="0" w:color="auto"/>
                                        <w:left w:val="none" w:sz="0" w:space="0" w:color="auto"/>
                                        <w:bottom w:val="none" w:sz="0" w:space="0" w:color="auto"/>
                                        <w:right w:val="none" w:sz="0" w:space="0" w:color="auto"/>
                                      </w:divBdr>
                                      <w:divsChild>
                                        <w:div w:id="184442072">
                                          <w:marLeft w:val="1200"/>
                                          <w:marRight w:val="1200"/>
                                          <w:marTop w:val="0"/>
                                          <w:marBottom w:val="0"/>
                                          <w:divBdr>
                                            <w:top w:val="none" w:sz="0" w:space="0" w:color="auto"/>
                                            <w:left w:val="none" w:sz="0" w:space="0" w:color="auto"/>
                                            <w:bottom w:val="none" w:sz="0" w:space="0" w:color="auto"/>
                                            <w:right w:val="none" w:sz="0" w:space="0" w:color="auto"/>
                                          </w:divBdr>
                                          <w:divsChild>
                                            <w:div w:id="2107923242">
                                              <w:marLeft w:val="0"/>
                                              <w:marRight w:val="0"/>
                                              <w:marTop w:val="0"/>
                                              <w:marBottom w:val="0"/>
                                              <w:divBdr>
                                                <w:top w:val="none" w:sz="0" w:space="0" w:color="auto"/>
                                                <w:left w:val="none" w:sz="0" w:space="0" w:color="auto"/>
                                                <w:bottom w:val="none" w:sz="0" w:space="0" w:color="auto"/>
                                                <w:right w:val="none" w:sz="0" w:space="0" w:color="auto"/>
                                              </w:divBdr>
                                              <w:divsChild>
                                                <w:div w:id="1820421144">
                                                  <w:marLeft w:val="0"/>
                                                  <w:marRight w:val="0"/>
                                                  <w:marTop w:val="0"/>
                                                  <w:marBottom w:val="0"/>
                                                  <w:divBdr>
                                                    <w:top w:val="none" w:sz="0" w:space="0" w:color="auto"/>
                                                    <w:left w:val="none" w:sz="0" w:space="0" w:color="auto"/>
                                                    <w:bottom w:val="none" w:sz="0" w:space="0" w:color="auto"/>
                                                    <w:right w:val="none" w:sz="0" w:space="0" w:color="auto"/>
                                                  </w:divBdr>
                                                  <w:divsChild>
                                                    <w:div w:id="2038848805">
                                                      <w:marLeft w:val="0"/>
                                                      <w:marRight w:val="0"/>
                                                      <w:marTop w:val="0"/>
                                                      <w:marBottom w:val="0"/>
                                                      <w:divBdr>
                                                        <w:top w:val="none" w:sz="0" w:space="0" w:color="auto"/>
                                                        <w:left w:val="none" w:sz="0" w:space="0" w:color="auto"/>
                                                        <w:bottom w:val="none" w:sz="0" w:space="0" w:color="auto"/>
                                                        <w:right w:val="none" w:sz="0" w:space="0" w:color="auto"/>
                                                      </w:divBdr>
                                                      <w:divsChild>
                                                        <w:div w:id="994265313">
                                                          <w:marLeft w:val="0"/>
                                                          <w:marRight w:val="0"/>
                                                          <w:marTop w:val="0"/>
                                                          <w:marBottom w:val="0"/>
                                                          <w:divBdr>
                                                            <w:top w:val="none" w:sz="0" w:space="0" w:color="auto"/>
                                                            <w:left w:val="none" w:sz="0" w:space="0" w:color="auto"/>
                                                            <w:bottom w:val="none" w:sz="0" w:space="0" w:color="auto"/>
                                                            <w:right w:val="none" w:sz="0" w:space="0" w:color="auto"/>
                                                          </w:divBdr>
                                                          <w:divsChild>
                                                            <w:div w:id="1264610927">
                                                              <w:marLeft w:val="0"/>
                                                              <w:marRight w:val="0"/>
                                                              <w:marTop w:val="0"/>
                                                              <w:marBottom w:val="0"/>
                                                              <w:divBdr>
                                                                <w:top w:val="none" w:sz="0" w:space="0" w:color="auto"/>
                                                                <w:left w:val="none" w:sz="0" w:space="0" w:color="auto"/>
                                                                <w:bottom w:val="none" w:sz="0" w:space="0" w:color="auto"/>
                                                                <w:right w:val="none" w:sz="0" w:space="0" w:color="auto"/>
                                                              </w:divBdr>
                                                              <w:divsChild>
                                                                <w:div w:id="997077307">
                                                                  <w:marLeft w:val="0"/>
                                                                  <w:marRight w:val="0"/>
                                                                  <w:marTop w:val="0"/>
                                                                  <w:marBottom w:val="0"/>
                                                                  <w:divBdr>
                                                                    <w:top w:val="none" w:sz="0" w:space="0" w:color="auto"/>
                                                                    <w:left w:val="none" w:sz="0" w:space="0" w:color="auto"/>
                                                                    <w:bottom w:val="none" w:sz="0" w:space="0" w:color="auto"/>
                                                                    <w:right w:val="none" w:sz="0" w:space="0" w:color="auto"/>
                                                                  </w:divBdr>
                                                                  <w:divsChild>
                                                                    <w:div w:id="286669489">
                                                                      <w:marLeft w:val="0"/>
                                                                      <w:marRight w:val="0"/>
                                                                      <w:marTop w:val="0"/>
                                                                      <w:marBottom w:val="0"/>
                                                                      <w:divBdr>
                                                                        <w:top w:val="none" w:sz="0" w:space="0" w:color="auto"/>
                                                                        <w:left w:val="none" w:sz="0" w:space="0" w:color="auto"/>
                                                                        <w:bottom w:val="none" w:sz="0" w:space="0" w:color="auto"/>
                                                                        <w:right w:val="none" w:sz="0" w:space="0" w:color="auto"/>
                                                                      </w:divBdr>
                                                                      <w:divsChild>
                                                                        <w:div w:id="1856455351">
                                                                          <w:marLeft w:val="0"/>
                                                                          <w:marRight w:val="0"/>
                                                                          <w:marTop w:val="0"/>
                                                                          <w:marBottom w:val="0"/>
                                                                          <w:divBdr>
                                                                            <w:top w:val="none" w:sz="0" w:space="0" w:color="auto"/>
                                                                            <w:left w:val="none" w:sz="0" w:space="0" w:color="auto"/>
                                                                            <w:bottom w:val="none" w:sz="0" w:space="0" w:color="auto"/>
                                                                            <w:right w:val="none" w:sz="0" w:space="0" w:color="auto"/>
                                                                          </w:divBdr>
                                                                        </w:div>
                                                                      </w:divsChild>
                                                                    </w:div>
                                                                    <w:div w:id="495070441">
                                                                      <w:marLeft w:val="0"/>
                                                                      <w:marRight w:val="0"/>
                                                                      <w:marTop w:val="0"/>
                                                                      <w:marBottom w:val="0"/>
                                                                      <w:divBdr>
                                                                        <w:top w:val="none" w:sz="0" w:space="0" w:color="auto"/>
                                                                        <w:left w:val="none" w:sz="0" w:space="0" w:color="auto"/>
                                                                        <w:bottom w:val="none" w:sz="0" w:space="0" w:color="auto"/>
                                                                        <w:right w:val="none" w:sz="0" w:space="0" w:color="auto"/>
                                                                      </w:divBdr>
                                                                      <w:divsChild>
                                                                        <w:div w:id="20090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96928">
      <w:bodyDiv w:val="1"/>
      <w:marLeft w:val="0"/>
      <w:marRight w:val="0"/>
      <w:marTop w:val="0"/>
      <w:marBottom w:val="0"/>
      <w:divBdr>
        <w:top w:val="none" w:sz="0" w:space="0" w:color="auto"/>
        <w:left w:val="none" w:sz="0" w:space="0" w:color="auto"/>
        <w:bottom w:val="none" w:sz="0" w:space="0" w:color="auto"/>
        <w:right w:val="none" w:sz="0" w:space="0" w:color="auto"/>
      </w:divBdr>
    </w:div>
    <w:div w:id="568001336">
      <w:bodyDiv w:val="1"/>
      <w:marLeft w:val="0"/>
      <w:marRight w:val="0"/>
      <w:marTop w:val="0"/>
      <w:marBottom w:val="0"/>
      <w:divBdr>
        <w:top w:val="none" w:sz="0" w:space="0" w:color="auto"/>
        <w:left w:val="none" w:sz="0" w:space="0" w:color="auto"/>
        <w:bottom w:val="none" w:sz="0" w:space="0" w:color="auto"/>
        <w:right w:val="none" w:sz="0" w:space="0" w:color="auto"/>
      </w:divBdr>
      <w:divsChild>
        <w:div w:id="1321927638">
          <w:marLeft w:val="0"/>
          <w:marRight w:val="0"/>
          <w:marTop w:val="0"/>
          <w:marBottom w:val="0"/>
          <w:divBdr>
            <w:top w:val="none" w:sz="0" w:space="0" w:color="auto"/>
            <w:left w:val="single" w:sz="6" w:space="0" w:color="BBBBBB"/>
            <w:bottom w:val="single" w:sz="6" w:space="0" w:color="BBBBBB"/>
            <w:right w:val="single" w:sz="6" w:space="0" w:color="BBBBBB"/>
          </w:divBdr>
          <w:divsChild>
            <w:div w:id="366415341">
              <w:marLeft w:val="0"/>
              <w:marRight w:val="0"/>
              <w:marTop w:val="0"/>
              <w:marBottom w:val="0"/>
              <w:divBdr>
                <w:top w:val="none" w:sz="0" w:space="0" w:color="auto"/>
                <w:left w:val="none" w:sz="0" w:space="0" w:color="auto"/>
                <w:bottom w:val="none" w:sz="0" w:space="0" w:color="auto"/>
                <w:right w:val="none" w:sz="0" w:space="0" w:color="auto"/>
              </w:divBdr>
              <w:divsChild>
                <w:div w:id="1974601869">
                  <w:marLeft w:val="0"/>
                  <w:marRight w:val="0"/>
                  <w:marTop w:val="0"/>
                  <w:marBottom w:val="0"/>
                  <w:divBdr>
                    <w:top w:val="none" w:sz="0" w:space="0" w:color="auto"/>
                    <w:left w:val="none" w:sz="0" w:space="0" w:color="auto"/>
                    <w:bottom w:val="none" w:sz="0" w:space="0" w:color="auto"/>
                    <w:right w:val="none" w:sz="0" w:space="0" w:color="auto"/>
                  </w:divBdr>
                  <w:divsChild>
                    <w:div w:id="1145128177">
                      <w:marLeft w:val="0"/>
                      <w:marRight w:val="0"/>
                      <w:marTop w:val="0"/>
                      <w:marBottom w:val="0"/>
                      <w:divBdr>
                        <w:top w:val="none" w:sz="0" w:space="0" w:color="auto"/>
                        <w:left w:val="none" w:sz="0" w:space="0" w:color="auto"/>
                        <w:bottom w:val="none" w:sz="0" w:space="0" w:color="auto"/>
                        <w:right w:val="none" w:sz="0" w:space="0" w:color="auto"/>
                      </w:divBdr>
                      <w:divsChild>
                        <w:div w:id="1922370269">
                          <w:marLeft w:val="0"/>
                          <w:marRight w:val="0"/>
                          <w:marTop w:val="0"/>
                          <w:marBottom w:val="0"/>
                          <w:divBdr>
                            <w:top w:val="none" w:sz="0" w:space="0" w:color="auto"/>
                            <w:left w:val="none" w:sz="0" w:space="0" w:color="auto"/>
                            <w:bottom w:val="none" w:sz="0" w:space="0" w:color="auto"/>
                            <w:right w:val="none" w:sz="0" w:space="0" w:color="auto"/>
                          </w:divBdr>
                          <w:divsChild>
                            <w:div w:id="866983904">
                              <w:marLeft w:val="0"/>
                              <w:marRight w:val="0"/>
                              <w:marTop w:val="0"/>
                              <w:marBottom w:val="0"/>
                              <w:divBdr>
                                <w:top w:val="none" w:sz="0" w:space="0" w:color="auto"/>
                                <w:left w:val="none" w:sz="0" w:space="0" w:color="auto"/>
                                <w:bottom w:val="none" w:sz="0" w:space="0" w:color="auto"/>
                                <w:right w:val="none" w:sz="0" w:space="0" w:color="auto"/>
                              </w:divBdr>
                              <w:divsChild>
                                <w:div w:id="1685286267">
                                  <w:marLeft w:val="0"/>
                                  <w:marRight w:val="0"/>
                                  <w:marTop w:val="0"/>
                                  <w:marBottom w:val="0"/>
                                  <w:divBdr>
                                    <w:top w:val="none" w:sz="0" w:space="0" w:color="auto"/>
                                    <w:left w:val="none" w:sz="0" w:space="0" w:color="auto"/>
                                    <w:bottom w:val="none" w:sz="0" w:space="0" w:color="auto"/>
                                    <w:right w:val="none" w:sz="0" w:space="0" w:color="auto"/>
                                  </w:divBdr>
                                  <w:divsChild>
                                    <w:div w:id="205676430">
                                      <w:marLeft w:val="0"/>
                                      <w:marRight w:val="0"/>
                                      <w:marTop w:val="0"/>
                                      <w:marBottom w:val="0"/>
                                      <w:divBdr>
                                        <w:top w:val="none" w:sz="0" w:space="0" w:color="auto"/>
                                        <w:left w:val="none" w:sz="0" w:space="0" w:color="auto"/>
                                        <w:bottom w:val="none" w:sz="0" w:space="0" w:color="auto"/>
                                        <w:right w:val="none" w:sz="0" w:space="0" w:color="auto"/>
                                      </w:divBdr>
                                      <w:divsChild>
                                        <w:div w:id="643044554">
                                          <w:marLeft w:val="1200"/>
                                          <w:marRight w:val="1200"/>
                                          <w:marTop w:val="0"/>
                                          <w:marBottom w:val="0"/>
                                          <w:divBdr>
                                            <w:top w:val="none" w:sz="0" w:space="0" w:color="auto"/>
                                            <w:left w:val="none" w:sz="0" w:space="0" w:color="auto"/>
                                            <w:bottom w:val="none" w:sz="0" w:space="0" w:color="auto"/>
                                            <w:right w:val="none" w:sz="0" w:space="0" w:color="auto"/>
                                          </w:divBdr>
                                          <w:divsChild>
                                            <w:div w:id="208689733">
                                              <w:marLeft w:val="0"/>
                                              <w:marRight w:val="0"/>
                                              <w:marTop w:val="0"/>
                                              <w:marBottom w:val="0"/>
                                              <w:divBdr>
                                                <w:top w:val="none" w:sz="0" w:space="0" w:color="auto"/>
                                                <w:left w:val="none" w:sz="0" w:space="0" w:color="auto"/>
                                                <w:bottom w:val="none" w:sz="0" w:space="0" w:color="auto"/>
                                                <w:right w:val="none" w:sz="0" w:space="0" w:color="auto"/>
                                              </w:divBdr>
                                              <w:divsChild>
                                                <w:div w:id="1553689574">
                                                  <w:marLeft w:val="0"/>
                                                  <w:marRight w:val="0"/>
                                                  <w:marTop w:val="0"/>
                                                  <w:marBottom w:val="0"/>
                                                  <w:divBdr>
                                                    <w:top w:val="none" w:sz="0" w:space="0" w:color="auto"/>
                                                    <w:left w:val="none" w:sz="0" w:space="0" w:color="auto"/>
                                                    <w:bottom w:val="none" w:sz="0" w:space="0" w:color="auto"/>
                                                    <w:right w:val="none" w:sz="0" w:space="0" w:color="auto"/>
                                                  </w:divBdr>
                                                  <w:divsChild>
                                                    <w:div w:id="2122606371">
                                                      <w:marLeft w:val="0"/>
                                                      <w:marRight w:val="0"/>
                                                      <w:marTop w:val="0"/>
                                                      <w:marBottom w:val="0"/>
                                                      <w:divBdr>
                                                        <w:top w:val="none" w:sz="0" w:space="0" w:color="auto"/>
                                                        <w:left w:val="none" w:sz="0" w:space="0" w:color="auto"/>
                                                        <w:bottom w:val="none" w:sz="0" w:space="0" w:color="auto"/>
                                                        <w:right w:val="none" w:sz="0" w:space="0" w:color="auto"/>
                                                      </w:divBdr>
                                                      <w:divsChild>
                                                        <w:div w:id="238059198">
                                                          <w:marLeft w:val="0"/>
                                                          <w:marRight w:val="0"/>
                                                          <w:marTop w:val="0"/>
                                                          <w:marBottom w:val="0"/>
                                                          <w:divBdr>
                                                            <w:top w:val="none" w:sz="0" w:space="0" w:color="auto"/>
                                                            <w:left w:val="none" w:sz="0" w:space="0" w:color="auto"/>
                                                            <w:bottom w:val="none" w:sz="0" w:space="0" w:color="auto"/>
                                                            <w:right w:val="none" w:sz="0" w:space="0" w:color="auto"/>
                                                          </w:divBdr>
                                                          <w:divsChild>
                                                            <w:div w:id="1206798331">
                                                              <w:marLeft w:val="0"/>
                                                              <w:marRight w:val="0"/>
                                                              <w:marTop w:val="0"/>
                                                              <w:marBottom w:val="0"/>
                                                              <w:divBdr>
                                                                <w:top w:val="none" w:sz="0" w:space="0" w:color="auto"/>
                                                                <w:left w:val="none" w:sz="0" w:space="0" w:color="auto"/>
                                                                <w:bottom w:val="none" w:sz="0" w:space="0" w:color="auto"/>
                                                                <w:right w:val="none" w:sz="0" w:space="0" w:color="auto"/>
                                                              </w:divBdr>
                                                            </w:div>
                                                          </w:divsChild>
                                                        </w:div>
                                                        <w:div w:id="674958778">
                                                          <w:marLeft w:val="0"/>
                                                          <w:marRight w:val="0"/>
                                                          <w:marTop w:val="0"/>
                                                          <w:marBottom w:val="0"/>
                                                          <w:divBdr>
                                                            <w:top w:val="none" w:sz="0" w:space="0" w:color="auto"/>
                                                            <w:left w:val="none" w:sz="0" w:space="0" w:color="auto"/>
                                                            <w:bottom w:val="none" w:sz="0" w:space="0" w:color="auto"/>
                                                            <w:right w:val="none" w:sz="0" w:space="0" w:color="auto"/>
                                                          </w:divBdr>
                                                          <w:divsChild>
                                                            <w:div w:id="1460563543">
                                                              <w:marLeft w:val="0"/>
                                                              <w:marRight w:val="0"/>
                                                              <w:marTop w:val="0"/>
                                                              <w:marBottom w:val="0"/>
                                                              <w:divBdr>
                                                                <w:top w:val="none" w:sz="0" w:space="0" w:color="auto"/>
                                                                <w:left w:val="none" w:sz="0" w:space="0" w:color="auto"/>
                                                                <w:bottom w:val="none" w:sz="0" w:space="0" w:color="auto"/>
                                                                <w:right w:val="none" w:sz="0" w:space="0" w:color="auto"/>
                                                              </w:divBdr>
                                                            </w:div>
                                                          </w:divsChild>
                                                        </w:div>
                                                        <w:div w:id="893079024">
                                                          <w:marLeft w:val="0"/>
                                                          <w:marRight w:val="0"/>
                                                          <w:marTop w:val="0"/>
                                                          <w:marBottom w:val="0"/>
                                                          <w:divBdr>
                                                            <w:top w:val="none" w:sz="0" w:space="0" w:color="auto"/>
                                                            <w:left w:val="none" w:sz="0" w:space="0" w:color="auto"/>
                                                            <w:bottom w:val="none" w:sz="0" w:space="0" w:color="auto"/>
                                                            <w:right w:val="none" w:sz="0" w:space="0" w:color="auto"/>
                                                          </w:divBdr>
                                                          <w:divsChild>
                                                            <w:div w:id="1527788566">
                                                              <w:marLeft w:val="0"/>
                                                              <w:marRight w:val="0"/>
                                                              <w:marTop w:val="0"/>
                                                              <w:marBottom w:val="0"/>
                                                              <w:divBdr>
                                                                <w:top w:val="none" w:sz="0" w:space="0" w:color="auto"/>
                                                                <w:left w:val="none" w:sz="0" w:space="0" w:color="auto"/>
                                                                <w:bottom w:val="none" w:sz="0" w:space="0" w:color="auto"/>
                                                                <w:right w:val="none" w:sz="0" w:space="0" w:color="auto"/>
                                                              </w:divBdr>
                                                            </w:div>
                                                          </w:divsChild>
                                                        </w:div>
                                                        <w:div w:id="1386875429">
                                                          <w:marLeft w:val="0"/>
                                                          <w:marRight w:val="0"/>
                                                          <w:marTop w:val="0"/>
                                                          <w:marBottom w:val="0"/>
                                                          <w:divBdr>
                                                            <w:top w:val="none" w:sz="0" w:space="0" w:color="auto"/>
                                                            <w:left w:val="none" w:sz="0" w:space="0" w:color="auto"/>
                                                            <w:bottom w:val="none" w:sz="0" w:space="0" w:color="auto"/>
                                                            <w:right w:val="none" w:sz="0" w:space="0" w:color="auto"/>
                                                          </w:divBdr>
                                                          <w:divsChild>
                                                            <w:div w:id="408120560">
                                                              <w:marLeft w:val="0"/>
                                                              <w:marRight w:val="0"/>
                                                              <w:marTop w:val="0"/>
                                                              <w:marBottom w:val="0"/>
                                                              <w:divBdr>
                                                                <w:top w:val="none" w:sz="0" w:space="0" w:color="auto"/>
                                                                <w:left w:val="none" w:sz="0" w:space="0" w:color="auto"/>
                                                                <w:bottom w:val="none" w:sz="0" w:space="0" w:color="auto"/>
                                                                <w:right w:val="none" w:sz="0" w:space="0" w:color="auto"/>
                                                              </w:divBdr>
                                                            </w:div>
                                                          </w:divsChild>
                                                        </w:div>
                                                        <w:div w:id="1724939303">
                                                          <w:marLeft w:val="0"/>
                                                          <w:marRight w:val="0"/>
                                                          <w:marTop w:val="0"/>
                                                          <w:marBottom w:val="0"/>
                                                          <w:divBdr>
                                                            <w:top w:val="none" w:sz="0" w:space="0" w:color="auto"/>
                                                            <w:left w:val="none" w:sz="0" w:space="0" w:color="auto"/>
                                                            <w:bottom w:val="none" w:sz="0" w:space="0" w:color="auto"/>
                                                            <w:right w:val="none" w:sz="0" w:space="0" w:color="auto"/>
                                                          </w:divBdr>
                                                          <w:divsChild>
                                                            <w:div w:id="35299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8461276">
      <w:bodyDiv w:val="1"/>
      <w:marLeft w:val="0"/>
      <w:marRight w:val="0"/>
      <w:marTop w:val="0"/>
      <w:marBottom w:val="0"/>
      <w:divBdr>
        <w:top w:val="none" w:sz="0" w:space="0" w:color="auto"/>
        <w:left w:val="none" w:sz="0" w:space="0" w:color="auto"/>
        <w:bottom w:val="none" w:sz="0" w:space="0" w:color="auto"/>
        <w:right w:val="none" w:sz="0" w:space="0" w:color="auto"/>
      </w:divBdr>
      <w:divsChild>
        <w:div w:id="965357098">
          <w:marLeft w:val="0"/>
          <w:marRight w:val="0"/>
          <w:marTop w:val="0"/>
          <w:marBottom w:val="0"/>
          <w:divBdr>
            <w:top w:val="none" w:sz="0" w:space="0" w:color="auto"/>
            <w:left w:val="single" w:sz="6" w:space="0" w:color="BBBBBB"/>
            <w:bottom w:val="single" w:sz="6" w:space="0" w:color="BBBBBB"/>
            <w:right w:val="single" w:sz="6" w:space="0" w:color="BBBBBB"/>
          </w:divBdr>
          <w:divsChild>
            <w:div w:id="1400983085">
              <w:marLeft w:val="0"/>
              <w:marRight w:val="0"/>
              <w:marTop w:val="0"/>
              <w:marBottom w:val="0"/>
              <w:divBdr>
                <w:top w:val="none" w:sz="0" w:space="0" w:color="auto"/>
                <w:left w:val="none" w:sz="0" w:space="0" w:color="auto"/>
                <w:bottom w:val="none" w:sz="0" w:space="0" w:color="auto"/>
                <w:right w:val="none" w:sz="0" w:space="0" w:color="auto"/>
              </w:divBdr>
              <w:divsChild>
                <w:div w:id="557790777">
                  <w:marLeft w:val="0"/>
                  <w:marRight w:val="0"/>
                  <w:marTop w:val="75"/>
                  <w:marBottom w:val="0"/>
                  <w:divBdr>
                    <w:top w:val="none" w:sz="0" w:space="0" w:color="auto"/>
                    <w:left w:val="none" w:sz="0" w:space="0" w:color="auto"/>
                    <w:bottom w:val="none" w:sz="0" w:space="0" w:color="auto"/>
                    <w:right w:val="none" w:sz="0" w:space="0" w:color="auto"/>
                  </w:divBdr>
                  <w:divsChild>
                    <w:div w:id="470901761">
                      <w:marLeft w:val="0"/>
                      <w:marRight w:val="0"/>
                      <w:marTop w:val="0"/>
                      <w:marBottom w:val="0"/>
                      <w:divBdr>
                        <w:top w:val="none" w:sz="0" w:space="0" w:color="auto"/>
                        <w:left w:val="none" w:sz="0" w:space="0" w:color="auto"/>
                        <w:bottom w:val="none" w:sz="0" w:space="0" w:color="auto"/>
                        <w:right w:val="none" w:sz="0" w:space="0" w:color="auto"/>
                      </w:divBdr>
                      <w:divsChild>
                        <w:div w:id="933199485">
                          <w:marLeft w:val="0"/>
                          <w:marRight w:val="0"/>
                          <w:marTop w:val="0"/>
                          <w:marBottom w:val="0"/>
                          <w:divBdr>
                            <w:top w:val="none" w:sz="0" w:space="0" w:color="auto"/>
                            <w:left w:val="none" w:sz="0" w:space="0" w:color="auto"/>
                            <w:bottom w:val="none" w:sz="0" w:space="0" w:color="auto"/>
                            <w:right w:val="none" w:sz="0" w:space="0" w:color="auto"/>
                          </w:divBdr>
                          <w:divsChild>
                            <w:div w:id="724572667">
                              <w:marLeft w:val="0"/>
                              <w:marRight w:val="0"/>
                              <w:marTop w:val="0"/>
                              <w:marBottom w:val="0"/>
                              <w:divBdr>
                                <w:top w:val="none" w:sz="0" w:space="0" w:color="auto"/>
                                <w:left w:val="none" w:sz="0" w:space="0" w:color="auto"/>
                                <w:bottom w:val="none" w:sz="0" w:space="0" w:color="auto"/>
                                <w:right w:val="none" w:sz="0" w:space="0" w:color="auto"/>
                              </w:divBdr>
                              <w:divsChild>
                                <w:div w:id="1379208297">
                                  <w:marLeft w:val="0"/>
                                  <w:marRight w:val="0"/>
                                  <w:marTop w:val="0"/>
                                  <w:marBottom w:val="0"/>
                                  <w:divBdr>
                                    <w:top w:val="none" w:sz="0" w:space="0" w:color="auto"/>
                                    <w:left w:val="none" w:sz="0" w:space="0" w:color="auto"/>
                                    <w:bottom w:val="none" w:sz="0" w:space="0" w:color="auto"/>
                                    <w:right w:val="none" w:sz="0" w:space="0" w:color="auto"/>
                                  </w:divBdr>
                                  <w:divsChild>
                                    <w:div w:id="316348296">
                                      <w:marLeft w:val="0"/>
                                      <w:marRight w:val="0"/>
                                      <w:marTop w:val="0"/>
                                      <w:marBottom w:val="0"/>
                                      <w:divBdr>
                                        <w:top w:val="none" w:sz="0" w:space="0" w:color="auto"/>
                                        <w:left w:val="none" w:sz="0" w:space="0" w:color="auto"/>
                                        <w:bottom w:val="none" w:sz="0" w:space="0" w:color="auto"/>
                                        <w:right w:val="none" w:sz="0" w:space="0" w:color="auto"/>
                                      </w:divBdr>
                                      <w:divsChild>
                                        <w:div w:id="1132554117">
                                          <w:marLeft w:val="1200"/>
                                          <w:marRight w:val="1200"/>
                                          <w:marTop w:val="0"/>
                                          <w:marBottom w:val="0"/>
                                          <w:divBdr>
                                            <w:top w:val="none" w:sz="0" w:space="0" w:color="auto"/>
                                            <w:left w:val="none" w:sz="0" w:space="0" w:color="auto"/>
                                            <w:bottom w:val="none" w:sz="0" w:space="0" w:color="auto"/>
                                            <w:right w:val="none" w:sz="0" w:space="0" w:color="auto"/>
                                          </w:divBdr>
                                          <w:divsChild>
                                            <w:div w:id="1273635844">
                                              <w:marLeft w:val="0"/>
                                              <w:marRight w:val="0"/>
                                              <w:marTop w:val="0"/>
                                              <w:marBottom w:val="0"/>
                                              <w:divBdr>
                                                <w:top w:val="none" w:sz="0" w:space="0" w:color="auto"/>
                                                <w:left w:val="none" w:sz="0" w:space="0" w:color="auto"/>
                                                <w:bottom w:val="none" w:sz="0" w:space="0" w:color="auto"/>
                                                <w:right w:val="none" w:sz="0" w:space="0" w:color="auto"/>
                                              </w:divBdr>
                                              <w:divsChild>
                                                <w:div w:id="1064795777">
                                                  <w:marLeft w:val="0"/>
                                                  <w:marRight w:val="0"/>
                                                  <w:marTop w:val="0"/>
                                                  <w:marBottom w:val="0"/>
                                                  <w:divBdr>
                                                    <w:top w:val="none" w:sz="0" w:space="0" w:color="auto"/>
                                                    <w:left w:val="none" w:sz="0" w:space="0" w:color="auto"/>
                                                    <w:bottom w:val="none" w:sz="0" w:space="0" w:color="auto"/>
                                                    <w:right w:val="none" w:sz="0" w:space="0" w:color="auto"/>
                                                  </w:divBdr>
                                                  <w:divsChild>
                                                    <w:div w:id="203445906">
                                                      <w:marLeft w:val="0"/>
                                                      <w:marRight w:val="0"/>
                                                      <w:marTop w:val="0"/>
                                                      <w:marBottom w:val="0"/>
                                                      <w:divBdr>
                                                        <w:top w:val="none" w:sz="0" w:space="0" w:color="auto"/>
                                                        <w:left w:val="none" w:sz="0" w:space="0" w:color="auto"/>
                                                        <w:bottom w:val="none" w:sz="0" w:space="0" w:color="auto"/>
                                                        <w:right w:val="none" w:sz="0" w:space="0" w:color="auto"/>
                                                      </w:divBdr>
                                                      <w:divsChild>
                                                        <w:div w:id="1080785548">
                                                          <w:marLeft w:val="0"/>
                                                          <w:marRight w:val="0"/>
                                                          <w:marTop w:val="0"/>
                                                          <w:marBottom w:val="0"/>
                                                          <w:divBdr>
                                                            <w:top w:val="none" w:sz="0" w:space="0" w:color="auto"/>
                                                            <w:left w:val="none" w:sz="0" w:space="0" w:color="auto"/>
                                                            <w:bottom w:val="none" w:sz="0" w:space="0" w:color="auto"/>
                                                            <w:right w:val="none" w:sz="0" w:space="0" w:color="auto"/>
                                                          </w:divBdr>
                                                        </w:div>
                                                      </w:divsChild>
                                                    </w:div>
                                                    <w:div w:id="272175065">
                                                      <w:marLeft w:val="0"/>
                                                      <w:marRight w:val="0"/>
                                                      <w:marTop w:val="0"/>
                                                      <w:marBottom w:val="0"/>
                                                      <w:divBdr>
                                                        <w:top w:val="none" w:sz="0" w:space="0" w:color="auto"/>
                                                        <w:left w:val="none" w:sz="0" w:space="0" w:color="auto"/>
                                                        <w:bottom w:val="none" w:sz="0" w:space="0" w:color="auto"/>
                                                        <w:right w:val="none" w:sz="0" w:space="0" w:color="auto"/>
                                                      </w:divBdr>
                                                      <w:divsChild>
                                                        <w:div w:id="1438216781">
                                                          <w:marLeft w:val="0"/>
                                                          <w:marRight w:val="0"/>
                                                          <w:marTop w:val="0"/>
                                                          <w:marBottom w:val="0"/>
                                                          <w:divBdr>
                                                            <w:top w:val="none" w:sz="0" w:space="0" w:color="auto"/>
                                                            <w:left w:val="none" w:sz="0" w:space="0" w:color="auto"/>
                                                            <w:bottom w:val="none" w:sz="0" w:space="0" w:color="auto"/>
                                                            <w:right w:val="none" w:sz="0" w:space="0" w:color="auto"/>
                                                          </w:divBdr>
                                                        </w:div>
                                                      </w:divsChild>
                                                    </w:div>
                                                    <w:div w:id="637803237">
                                                      <w:marLeft w:val="0"/>
                                                      <w:marRight w:val="0"/>
                                                      <w:marTop w:val="0"/>
                                                      <w:marBottom w:val="0"/>
                                                      <w:divBdr>
                                                        <w:top w:val="none" w:sz="0" w:space="0" w:color="auto"/>
                                                        <w:left w:val="none" w:sz="0" w:space="0" w:color="auto"/>
                                                        <w:bottom w:val="none" w:sz="0" w:space="0" w:color="auto"/>
                                                        <w:right w:val="none" w:sz="0" w:space="0" w:color="auto"/>
                                                      </w:divBdr>
                                                      <w:divsChild>
                                                        <w:div w:id="2099672533">
                                                          <w:marLeft w:val="0"/>
                                                          <w:marRight w:val="0"/>
                                                          <w:marTop w:val="0"/>
                                                          <w:marBottom w:val="0"/>
                                                          <w:divBdr>
                                                            <w:top w:val="none" w:sz="0" w:space="0" w:color="auto"/>
                                                            <w:left w:val="none" w:sz="0" w:space="0" w:color="auto"/>
                                                            <w:bottom w:val="none" w:sz="0" w:space="0" w:color="auto"/>
                                                            <w:right w:val="none" w:sz="0" w:space="0" w:color="auto"/>
                                                          </w:divBdr>
                                                        </w:div>
                                                      </w:divsChild>
                                                    </w:div>
                                                    <w:div w:id="1345940209">
                                                      <w:marLeft w:val="0"/>
                                                      <w:marRight w:val="0"/>
                                                      <w:marTop w:val="0"/>
                                                      <w:marBottom w:val="0"/>
                                                      <w:divBdr>
                                                        <w:top w:val="none" w:sz="0" w:space="0" w:color="auto"/>
                                                        <w:left w:val="none" w:sz="0" w:space="0" w:color="auto"/>
                                                        <w:bottom w:val="none" w:sz="0" w:space="0" w:color="auto"/>
                                                        <w:right w:val="none" w:sz="0" w:space="0" w:color="auto"/>
                                                      </w:divBdr>
                                                      <w:divsChild>
                                                        <w:div w:id="987710318">
                                                          <w:marLeft w:val="0"/>
                                                          <w:marRight w:val="0"/>
                                                          <w:marTop w:val="0"/>
                                                          <w:marBottom w:val="0"/>
                                                          <w:divBdr>
                                                            <w:top w:val="none" w:sz="0" w:space="0" w:color="auto"/>
                                                            <w:left w:val="none" w:sz="0" w:space="0" w:color="auto"/>
                                                            <w:bottom w:val="none" w:sz="0" w:space="0" w:color="auto"/>
                                                            <w:right w:val="none" w:sz="0" w:space="0" w:color="auto"/>
                                                          </w:divBdr>
                                                          <w:divsChild>
                                                            <w:div w:id="411782124">
                                                              <w:marLeft w:val="0"/>
                                                              <w:marRight w:val="0"/>
                                                              <w:marTop w:val="0"/>
                                                              <w:marBottom w:val="0"/>
                                                              <w:divBdr>
                                                                <w:top w:val="none" w:sz="0" w:space="0" w:color="auto"/>
                                                                <w:left w:val="none" w:sz="0" w:space="0" w:color="auto"/>
                                                                <w:bottom w:val="none" w:sz="0" w:space="0" w:color="auto"/>
                                                                <w:right w:val="none" w:sz="0" w:space="0" w:color="auto"/>
                                                              </w:divBdr>
                                                            </w:div>
                                                          </w:divsChild>
                                                        </w:div>
                                                        <w:div w:id="1081414563">
                                                          <w:marLeft w:val="0"/>
                                                          <w:marRight w:val="0"/>
                                                          <w:marTop w:val="0"/>
                                                          <w:marBottom w:val="0"/>
                                                          <w:divBdr>
                                                            <w:top w:val="none" w:sz="0" w:space="0" w:color="auto"/>
                                                            <w:left w:val="none" w:sz="0" w:space="0" w:color="auto"/>
                                                            <w:bottom w:val="none" w:sz="0" w:space="0" w:color="auto"/>
                                                            <w:right w:val="none" w:sz="0" w:space="0" w:color="auto"/>
                                                          </w:divBdr>
                                                          <w:divsChild>
                                                            <w:div w:id="2087191404">
                                                              <w:marLeft w:val="0"/>
                                                              <w:marRight w:val="0"/>
                                                              <w:marTop w:val="0"/>
                                                              <w:marBottom w:val="0"/>
                                                              <w:divBdr>
                                                                <w:top w:val="none" w:sz="0" w:space="0" w:color="auto"/>
                                                                <w:left w:val="none" w:sz="0" w:space="0" w:color="auto"/>
                                                                <w:bottom w:val="none" w:sz="0" w:space="0" w:color="auto"/>
                                                                <w:right w:val="none" w:sz="0" w:space="0" w:color="auto"/>
                                                              </w:divBdr>
                                                            </w:div>
                                                          </w:divsChild>
                                                        </w:div>
                                                        <w:div w:id="1154032081">
                                                          <w:marLeft w:val="0"/>
                                                          <w:marRight w:val="0"/>
                                                          <w:marTop w:val="0"/>
                                                          <w:marBottom w:val="0"/>
                                                          <w:divBdr>
                                                            <w:top w:val="none" w:sz="0" w:space="0" w:color="auto"/>
                                                            <w:left w:val="none" w:sz="0" w:space="0" w:color="auto"/>
                                                            <w:bottom w:val="none" w:sz="0" w:space="0" w:color="auto"/>
                                                            <w:right w:val="none" w:sz="0" w:space="0" w:color="auto"/>
                                                          </w:divBdr>
                                                          <w:divsChild>
                                                            <w:div w:id="1521897966">
                                                              <w:marLeft w:val="0"/>
                                                              <w:marRight w:val="0"/>
                                                              <w:marTop w:val="0"/>
                                                              <w:marBottom w:val="0"/>
                                                              <w:divBdr>
                                                                <w:top w:val="none" w:sz="0" w:space="0" w:color="auto"/>
                                                                <w:left w:val="none" w:sz="0" w:space="0" w:color="auto"/>
                                                                <w:bottom w:val="none" w:sz="0" w:space="0" w:color="auto"/>
                                                                <w:right w:val="none" w:sz="0" w:space="0" w:color="auto"/>
                                                              </w:divBdr>
                                                            </w:div>
                                                          </w:divsChild>
                                                        </w:div>
                                                        <w:div w:id="2104185098">
                                                          <w:marLeft w:val="0"/>
                                                          <w:marRight w:val="0"/>
                                                          <w:marTop w:val="0"/>
                                                          <w:marBottom w:val="0"/>
                                                          <w:divBdr>
                                                            <w:top w:val="none" w:sz="0" w:space="0" w:color="auto"/>
                                                            <w:left w:val="none" w:sz="0" w:space="0" w:color="auto"/>
                                                            <w:bottom w:val="none" w:sz="0" w:space="0" w:color="auto"/>
                                                            <w:right w:val="none" w:sz="0" w:space="0" w:color="auto"/>
                                                          </w:divBdr>
                                                        </w:div>
                                                      </w:divsChild>
                                                    </w:div>
                                                    <w:div w:id="1712149550">
                                                      <w:marLeft w:val="0"/>
                                                      <w:marRight w:val="0"/>
                                                      <w:marTop w:val="0"/>
                                                      <w:marBottom w:val="0"/>
                                                      <w:divBdr>
                                                        <w:top w:val="none" w:sz="0" w:space="0" w:color="auto"/>
                                                        <w:left w:val="none" w:sz="0" w:space="0" w:color="auto"/>
                                                        <w:bottom w:val="none" w:sz="0" w:space="0" w:color="auto"/>
                                                        <w:right w:val="none" w:sz="0" w:space="0" w:color="auto"/>
                                                      </w:divBdr>
                                                      <w:divsChild>
                                                        <w:div w:id="939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8659716">
      <w:bodyDiv w:val="1"/>
      <w:marLeft w:val="0"/>
      <w:marRight w:val="0"/>
      <w:marTop w:val="0"/>
      <w:marBottom w:val="0"/>
      <w:divBdr>
        <w:top w:val="none" w:sz="0" w:space="0" w:color="auto"/>
        <w:left w:val="none" w:sz="0" w:space="0" w:color="auto"/>
        <w:bottom w:val="none" w:sz="0" w:space="0" w:color="auto"/>
        <w:right w:val="none" w:sz="0" w:space="0" w:color="auto"/>
      </w:divBdr>
      <w:divsChild>
        <w:div w:id="1149444443">
          <w:marLeft w:val="0"/>
          <w:marRight w:val="0"/>
          <w:marTop w:val="0"/>
          <w:marBottom w:val="0"/>
          <w:divBdr>
            <w:top w:val="none" w:sz="0" w:space="0" w:color="auto"/>
            <w:left w:val="single" w:sz="6" w:space="0" w:color="BBBBBB"/>
            <w:bottom w:val="single" w:sz="6" w:space="0" w:color="BBBBBB"/>
            <w:right w:val="single" w:sz="6" w:space="0" w:color="BBBBBB"/>
          </w:divBdr>
          <w:divsChild>
            <w:div w:id="619840607">
              <w:marLeft w:val="0"/>
              <w:marRight w:val="0"/>
              <w:marTop w:val="0"/>
              <w:marBottom w:val="0"/>
              <w:divBdr>
                <w:top w:val="none" w:sz="0" w:space="0" w:color="auto"/>
                <w:left w:val="none" w:sz="0" w:space="0" w:color="auto"/>
                <w:bottom w:val="none" w:sz="0" w:space="0" w:color="auto"/>
                <w:right w:val="none" w:sz="0" w:space="0" w:color="auto"/>
              </w:divBdr>
              <w:divsChild>
                <w:div w:id="113640486">
                  <w:marLeft w:val="0"/>
                  <w:marRight w:val="0"/>
                  <w:marTop w:val="0"/>
                  <w:marBottom w:val="0"/>
                  <w:divBdr>
                    <w:top w:val="none" w:sz="0" w:space="0" w:color="auto"/>
                    <w:left w:val="none" w:sz="0" w:space="0" w:color="auto"/>
                    <w:bottom w:val="none" w:sz="0" w:space="0" w:color="auto"/>
                    <w:right w:val="none" w:sz="0" w:space="0" w:color="auto"/>
                  </w:divBdr>
                  <w:divsChild>
                    <w:div w:id="1404379285">
                      <w:marLeft w:val="0"/>
                      <w:marRight w:val="0"/>
                      <w:marTop w:val="0"/>
                      <w:marBottom w:val="0"/>
                      <w:divBdr>
                        <w:top w:val="none" w:sz="0" w:space="0" w:color="auto"/>
                        <w:left w:val="none" w:sz="0" w:space="0" w:color="auto"/>
                        <w:bottom w:val="none" w:sz="0" w:space="0" w:color="auto"/>
                        <w:right w:val="none" w:sz="0" w:space="0" w:color="auto"/>
                      </w:divBdr>
                      <w:divsChild>
                        <w:div w:id="459885145">
                          <w:marLeft w:val="0"/>
                          <w:marRight w:val="0"/>
                          <w:marTop w:val="0"/>
                          <w:marBottom w:val="0"/>
                          <w:divBdr>
                            <w:top w:val="none" w:sz="0" w:space="0" w:color="auto"/>
                            <w:left w:val="none" w:sz="0" w:space="0" w:color="auto"/>
                            <w:bottom w:val="none" w:sz="0" w:space="0" w:color="auto"/>
                            <w:right w:val="none" w:sz="0" w:space="0" w:color="auto"/>
                          </w:divBdr>
                          <w:divsChild>
                            <w:div w:id="1871600500">
                              <w:marLeft w:val="0"/>
                              <w:marRight w:val="0"/>
                              <w:marTop w:val="0"/>
                              <w:marBottom w:val="0"/>
                              <w:divBdr>
                                <w:top w:val="none" w:sz="0" w:space="0" w:color="auto"/>
                                <w:left w:val="none" w:sz="0" w:space="0" w:color="auto"/>
                                <w:bottom w:val="none" w:sz="0" w:space="0" w:color="auto"/>
                                <w:right w:val="none" w:sz="0" w:space="0" w:color="auto"/>
                              </w:divBdr>
                              <w:divsChild>
                                <w:div w:id="1904753888">
                                  <w:marLeft w:val="0"/>
                                  <w:marRight w:val="0"/>
                                  <w:marTop w:val="0"/>
                                  <w:marBottom w:val="0"/>
                                  <w:divBdr>
                                    <w:top w:val="none" w:sz="0" w:space="0" w:color="auto"/>
                                    <w:left w:val="none" w:sz="0" w:space="0" w:color="auto"/>
                                    <w:bottom w:val="none" w:sz="0" w:space="0" w:color="auto"/>
                                    <w:right w:val="none" w:sz="0" w:space="0" w:color="auto"/>
                                  </w:divBdr>
                                  <w:divsChild>
                                    <w:div w:id="537352701">
                                      <w:marLeft w:val="0"/>
                                      <w:marRight w:val="0"/>
                                      <w:marTop w:val="0"/>
                                      <w:marBottom w:val="0"/>
                                      <w:divBdr>
                                        <w:top w:val="none" w:sz="0" w:space="0" w:color="auto"/>
                                        <w:left w:val="none" w:sz="0" w:space="0" w:color="auto"/>
                                        <w:bottom w:val="none" w:sz="0" w:space="0" w:color="auto"/>
                                        <w:right w:val="none" w:sz="0" w:space="0" w:color="auto"/>
                                      </w:divBdr>
                                      <w:divsChild>
                                        <w:div w:id="198857558">
                                          <w:marLeft w:val="1200"/>
                                          <w:marRight w:val="1200"/>
                                          <w:marTop w:val="0"/>
                                          <w:marBottom w:val="0"/>
                                          <w:divBdr>
                                            <w:top w:val="none" w:sz="0" w:space="0" w:color="auto"/>
                                            <w:left w:val="none" w:sz="0" w:space="0" w:color="auto"/>
                                            <w:bottom w:val="none" w:sz="0" w:space="0" w:color="auto"/>
                                            <w:right w:val="none" w:sz="0" w:space="0" w:color="auto"/>
                                          </w:divBdr>
                                          <w:divsChild>
                                            <w:div w:id="1379860730">
                                              <w:marLeft w:val="0"/>
                                              <w:marRight w:val="0"/>
                                              <w:marTop w:val="0"/>
                                              <w:marBottom w:val="0"/>
                                              <w:divBdr>
                                                <w:top w:val="none" w:sz="0" w:space="0" w:color="auto"/>
                                                <w:left w:val="none" w:sz="0" w:space="0" w:color="auto"/>
                                                <w:bottom w:val="none" w:sz="0" w:space="0" w:color="auto"/>
                                                <w:right w:val="none" w:sz="0" w:space="0" w:color="auto"/>
                                              </w:divBdr>
                                              <w:divsChild>
                                                <w:div w:id="2022468517">
                                                  <w:marLeft w:val="0"/>
                                                  <w:marRight w:val="0"/>
                                                  <w:marTop w:val="0"/>
                                                  <w:marBottom w:val="0"/>
                                                  <w:divBdr>
                                                    <w:top w:val="none" w:sz="0" w:space="0" w:color="auto"/>
                                                    <w:left w:val="none" w:sz="0" w:space="0" w:color="auto"/>
                                                    <w:bottom w:val="none" w:sz="0" w:space="0" w:color="auto"/>
                                                    <w:right w:val="none" w:sz="0" w:space="0" w:color="auto"/>
                                                  </w:divBdr>
                                                  <w:divsChild>
                                                    <w:div w:id="37708683">
                                                      <w:marLeft w:val="0"/>
                                                      <w:marRight w:val="0"/>
                                                      <w:marTop w:val="0"/>
                                                      <w:marBottom w:val="0"/>
                                                      <w:divBdr>
                                                        <w:top w:val="none" w:sz="0" w:space="0" w:color="auto"/>
                                                        <w:left w:val="none" w:sz="0" w:space="0" w:color="auto"/>
                                                        <w:bottom w:val="none" w:sz="0" w:space="0" w:color="auto"/>
                                                        <w:right w:val="none" w:sz="0" w:space="0" w:color="auto"/>
                                                      </w:divBdr>
                                                      <w:divsChild>
                                                        <w:div w:id="153104454">
                                                          <w:marLeft w:val="0"/>
                                                          <w:marRight w:val="0"/>
                                                          <w:marTop w:val="0"/>
                                                          <w:marBottom w:val="0"/>
                                                          <w:divBdr>
                                                            <w:top w:val="none" w:sz="0" w:space="0" w:color="auto"/>
                                                            <w:left w:val="none" w:sz="0" w:space="0" w:color="auto"/>
                                                            <w:bottom w:val="none" w:sz="0" w:space="0" w:color="auto"/>
                                                            <w:right w:val="none" w:sz="0" w:space="0" w:color="auto"/>
                                                          </w:divBdr>
                                                        </w:div>
                                                      </w:divsChild>
                                                    </w:div>
                                                    <w:div w:id="781536888">
                                                      <w:marLeft w:val="0"/>
                                                      <w:marRight w:val="0"/>
                                                      <w:marTop w:val="0"/>
                                                      <w:marBottom w:val="0"/>
                                                      <w:divBdr>
                                                        <w:top w:val="none" w:sz="0" w:space="0" w:color="auto"/>
                                                        <w:left w:val="none" w:sz="0" w:space="0" w:color="auto"/>
                                                        <w:bottom w:val="none" w:sz="0" w:space="0" w:color="auto"/>
                                                        <w:right w:val="none" w:sz="0" w:space="0" w:color="auto"/>
                                                      </w:divBdr>
                                                      <w:divsChild>
                                                        <w:div w:id="471602419">
                                                          <w:marLeft w:val="0"/>
                                                          <w:marRight w:val="0"/>
                                                          <w:marTop w:val="0"/>
                                                          <w:marBottom w:val="0"/>
                                                          <w:divBdr>
                                                            <w:top w:val="none" w:sz="0" w:space="0" w:color="auto"/>
                                                            <w:left w:val="none" w:sz="0" w:space="0" w:color="auto"/>
                                                            <w:bottom w:val="none" w:sz="0" w:space="0" w:color="auto"/>
                                                            <w:right w:val="none" w:sz="0" w:space="0" w:color="auto"/>
                                                          </w:divBdr>
                                                        </w:div>
                                                      </w:divsChild>
                                                    </w:div>
                                                    <w:div w:id="1741903888">
                                                      <w:marLeft w:val="0"/>
                                                      <w:marRight w:val="0"/>
                                                      <w:marTop w:val="0"/>
                                                      <w:marBottom w:val="0"/>
                                                      <w:divBdr>
                                                        <w:top w:val="none" w:sz="0" w:space="0" w:color="auto"/>
                                                        <w:left w:val="none" w:sz="0" w:space="0" w:color="auto"/>
                                                        <w:bottom w:val="none" w:sz="0" w:space="0" w:color="auto"/>
                                                        <w:right w:val="none" w:sz="0" w:space="0" w:color="auto"/>
                                                      </w:divBdr>
                                                      <w:divsChild>
                                                        <w:div w:id="19160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0581415">
      <w:bodyDiv w:val="1"/>
      <w:marLeft w:val="0"/>
      <w:marRight w:val="0"/>
      <w:marTop w:val="0"/>
      <w:marBottom w:val="0"/>
      <w:divBdr>
        <w:top w:val="none" w:sz="0" w:space="0" w:color="auto"/>
        <w:left w:val="none" w:sz="0" w:space="0" w:color="auto"/>
        <w:bottom w:val="none" w:sz="0" w:space="0" w:color="auto"/>
        <w:right w:val="none" w:sz="0" w:space="0" w:color="auto"/>
      </w:divBdr>
      <w:divsChild>
        <w:div w:id="281113142">
          <w:marLeft w:val="0"/>
          <w:marRight w:val="0"/>
          <w:marTop w:val="0"/>
          <w:marBottom w:val="0"/>
          <w:divBdr>
            <w:top w:val="none" w:sz="0" w:space="0" w:color="auto"/>
            <w:left w:val="none" w:sz="0" w:space="0" w:color="auto"/>
            <w:bottom w:val="none" w:sz="0" w:space="0" w:color="auto"/>
            <w:right w:val="none" w:sz="0" w:space="0" w:color="auto"/>
          </w:divBdr>
          <w:divsChild>
            <w:div w:id="279149650">
              <w:marLeft w:val="0"/>
              <w:marRight w:val="0"/>
              <w:marTop w:val="0"/>
              <w:marBottom w:val="0"/>
              <w:divBdr>
                <w:top w:val="none" w:sz="0" w:space="0" w:color="auto"/>
                <w:left w:val="none" w:sz="0" w:space="0" w:color="auto"/>
                <w:bottom w:val="none" w:sz="0" w:space="0" w:color="auto"/>
                <w:right w:val="none" w:sz="0" w:space="0" w:color="auto"/>
              </w:divBdr>
              <w:divsChild>
                <w:div w:id="1710031632">
                  <w:marLeft w:val="0"/>
                  <w:marRight w:val="0"/>
                  <w:marTop w:val="0"/>
                  <w:marBottom w:val="0"/>
                  <w:divBdr>
                    <w:top w:val="none" w:sz="0" w:space="0" w:color="auto"/>
                    <w:left w:val="none" w:sz="0" w:space="0" w:color="auto"/>
                    <w:bottom w:val="none" w:sz="0" w:space="0" w:color="auto"/>
                    <w:right w:val="none" w:sz="0" w:space="0" w:color="auto"/>
                  </w:divBdr>
                  <w:divsChild>
                    <w:div w:id="778067667">
                      <w:marLeft w:val="0"/>
                      <w:marRight w:val="0"/>
                      <w:marTop w:val="0"/>
                      <w:marBottom w:val="300"/>
                      <w:divBdr>
                        <w:top w:val="none" w:sz="0" w:space="0" w:color="auto"/>
                        <w:left w:val="none" w:sz="0" w:space="0" w:color="auto"/>
                        <w:bottom w:val="none" w:sz="0" w:space="0" w:color="auto"/>
                        <w:right w:val="none" w:sz="0" w:space="0" w:color="auto"/>
                      </w:divBdr>
                      <w:divsChild>
                        <w:div w:id="8864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082703">
      <w:bodyDiv w:val="1"/>
      <w:marLeft w:val="0"/>
      <w:marRight w:val="0"/>
      <w:marTop w:val="0"/>
      <w:marBottom w:val="0"/>
      <w:divBdr>
        <w:top w:val="none" w:sz="0" w:space="0" w:color="auto"/>
        <w:left w:val="none" w:sz="0" w:space="0" w:color="auto"/>
        <w:bottom w:val="none" w:sz="0" w:space="0" w:color="auto"/>
        <w:right w:val="none" w:sz="0" w:space="0" w:color="auto"/>
      </w:divBdr>
      <w:divsChild>
        <w:div w:id="1894342924">
          <w:marLeft w:val="0"/>
          <w:marRight w:val="0"/>
          <w:marTop w:val="0"/>
          <w:marBottom w:val="0"/>
          <w:divBdr>
            <w:top w:val="none" w:sz="0" w:space="0" w:color="auto"/>
            <w:left w:val="none" w:sz="0" w:space="0" w:color="auto"/>
            <w:bottom w:val="none" w:sz="0" w:space="0" w:color="auto"/>
            <w:right w:val="none" w:sz="0" w:space="0" w:color="auto"/>
          </w:divBdr>
          <w:divsChild>
            <w:div w:id="333728202">
              <w:marLeft w:val="0"/>
              <w:marRight w:val="0"/>
              <w:marTop w:val="0"/>
              <w:marBottom w:val="0"/>
              <w:divBdr>
                <w:top w:val="none" w:sz="0" w:space="0" w:color="auto"/>
                <w:left w:val="none" w:sz="0" w:space="0" w:color="auto"/>
                <w:bottom w:val="none" w:sz="0" w:space="0" w:color="auto"/>
                <w:right w:val="none" w:sz="0" w:space="0" w:color="auto"/>
              </w:divBdr>
              <w:divsChild>
                <w:div w:id="1216434529">
                  <w:marLeft w:val="0"/>
                  <w:marRight w:val="0"/>
                  <w:marTop w:val="0"/>
                  <w:marBottom w:val="0"/>
                  <w:divBdr>
                    <w:top w:val="none" w:sz="0" w:space="0" w:color="auto"/>
                    <w:left w:val="none" w:sz="0" w:space="0" w:color="auto"/>
                    <w:bottom w:val="none" w:sz="0" w:space="0" w:color="auto"/>
                    <w:right w:val="none" w:sz="0" w:space="0" w:color="auto"/>
                  </w:divBdr>
                  <w:divsChild>
                    <w:div w:id="1494224255">
                      <w:marLeft w:val="0"/>
                      <w:marRight w:val="0"/>
                      <w:marTop w:val="0"/>
                      <w:marBottom w:val="375"/>
                      <w:divBdr>
                        <w:top w:val="none" w:sz="0" w:space="0" w:color="auto"/>
                        <w:left w:val="none" w:sz="0" w:space="0" w:color="auto"/>
                        <w:bottom w:val="none" w:sz="0" w:space="0" w:color="auto"/>
                        <w:right w:val="none" w:sz="0" w:space="0" w:color="auto"/>
                      </w:divBdr>
                      <w:divsChild>
                        <w:div w:id="17997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661385">
      <w:bodyDiv w:val="1"/>
      <w:marLeft w:val="0"/>
      <w:marRight w:val="0"/>
      <w:marTop w:val="0"/>
      <w:marBottom w:val="0"/>
      <w:divBdr>
        <w:top w:val="none" w:sz="0" w:space="0" w:color="auto"/>
        <w:left w:val="none" w:sz="0" w:space="0" w:color="auto"/>
        <w:bottom w:val="none" w:sz="0" w:space="0" w:color="auto"/>
        <w:right w:val="none" w:sz="0" w:space="0" w:color="auto"/>
      </w:divBdr>
      <w:divsChild>
        <w:div w:id="1696733723">
          <w:marLeft w:val="0"/>
          <w:marRight w:val="0"/>
          <w:marTop w:val="240"/>
          <w:marBottom w:val="0"/>
          <w:divBdr>
            <w:top w:val="none" w:sz="0" w:space="0" w:color="auto"/>
            <w:left w:val="none" w:sz="0" w:space="0" w:color="auto"/>
            <w:bottom w:val="none" w:sz="0" w:space="0" w:color="auto"/>
            <w:right w:val="none" w:sz="0" w:space="0" w:color="auto"/>
          </w:divBdr>
          <w:divsChild>
            <w:div w:id="1306936094">
              <w:marLeft w:val="0"/>
              <w:marRight w:val="0"/>
              <w:marTop w:val="0"/>
              <w:marBottom w:val="0"/>
              <w:divBdr>
                <w:top w:val="none" w:sz="0" w:space="0" w:color="auto"/>
                <w:left w:val="none" w:sz="0" w:space="0" w:color="auto"/>
                <w:bottom w:val="none" w:sz="0" w:space="0" w:color="auto"/>
                <w:right w:val="none" w:sz="0" w:space="0" w:color="auto"/>
              </w:divBdr>
            </w:div>
          </w:divsChild>
        </w:div>
        <w:div w:id="489760324">
          <w:marLeft w:val="0"/>
          <w:marRight w:val="0"/>
          <w:marTop w:val="240"/>
          <w:marBottom w:val="0"/>
          <w:divBdr>
            <w:top w:val="none" w:sz="0" w:space="0" w:color="auto"/>
            <w:left w:val="none" w:sz="0" w:space="0" w:color="auto"/>
            <w:bottom w:val="none" w:sz="0" w:space="0" w:color="auto"/>
            <w:right w:val="none" w:sz="0" w:space="0" w:color="auto"/>
          </w:divBdr>
          <w:divsChild>
            <w:div w:id="309292901">
              <w:marLeft w:val="0"/>
              <w:marRight w:val="0"/>
              <w:marTop w:val="0"/>
              <w:marBottom w:val="0"/>
              <w:divBdr>
                <w:top w:val="none" w:sz="0" w:space="0" w:color="auto"/>
                <w:left w:val="none" w:sz="0" w:space="0" w:color="auto"/>
                <w:bottom w:val="none" w:sz="0" w:space="0" w:color="auto"/>
                <w:right w:val="none" w:sz="0" w:space="0" w:color="auto"/>
              </w:divBdr>
            </w:div>
          </w:divsChild>
        </w:div>
        <w:div w:id="217397283">
          <w:marLeft w:val="0"/>
          <w:marRight w:val="0"/>
          <w:marTop w:val="240"/>
          <w:marBottom w:val="0"/>
          <w:divBdr>
            <w:top w:val="none" w:sz="0" w:space="0" w:color="auto"/>
            <w:left w:val="none" w:sz="0" w:space="0" w:color="auto"/>
            <w:bottom w:val="none" w:sz="0" w:space="0" w:color="auto"/>
            <w:right w:val="none" w:sz="0" w:space="0" w:color="auto"/>
          </w:divBdr>
          <w:divsChild>
            <w:div w:id="40495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359532">
      <w:bodyDiv w:val="1"/>
      <w:marLeft w:val="0"/>
      <w:marRight w:val="0"/>
      <w:marTop w:val="0"/>
      <w:marBottom w:val="0"/>
      <w:divBdr>
        <w:top w:val="none" w:sz="0" w:space="0" w:color="auto"/>
        <w:left w:val="none" w:sz="0" w:space="0" w:color="auto"/>
        <w:bottom w:val="none" w:sz="0" w:space="0" w:color="auto"/>
        <w:right w:val="none" w:sz="0" w:space="0" w:color="auto"/>
      </w:divBdr>
      <w:divsChild>
        <w:div w:id="1620186414">
          <w:marLeft w:val="0"/>
          <w:marRight w:val="0"/>
          <w:marTop w:val="0"/>
          <w:marBottom w:val="0"/>
          <w:divBdr>
            <w:top w:val="none" w:sz="0" w:space="0" w:color="auto"/>
            <w:left w:val="none" w:sz="0" w:space="0" w:color="auto"/>
            <w:bottom w:val="none" w:sz="0" w:space="0" w:color="auto"/>
            <w:right w:val="none" w:sz="0" w:space="0" w:color="auto"/>
          </w:divBdr>
          <w:divsChild>
            <w:div w:id="717053974">
              <w:marLeft w:val="0"/>
              <w:marRight w:val="0"/>
              <w:marTop w:val="0"/>
              <w:marBottom w:val="0"/>
              <w:divBdr>
                <w:top w:val="none" w:sz="0" w:space="0" w:color="auto"/>
                <w:left w:val="none" w:sz="0" w:space="0" w:color="auto"/>
                <w:bottom w:val="none" w:sz="0" w:space="0" w:color="auto"/>
                <w:right w:val="none" w:sz="0" w:space="0" w:color="auto"/>
              </w:divBdr>
              <w:divsChild>
                <w:div w:id="1279334139">
                  <w:marLeft w:val="0"/>
                  <w:marRight w:val="0"/>
                  <w:marTop w:val="0"/>
                  <w:marBottom w:val="0"/>
                  <w:divBdr>
                    <w:top w:val="none" w:sz="0" w:space="0" w:color="auto"/>
                    <w:left w:val="none" w:sz="0" w:space="0" w:color="auto"/>
                    <w:bottom w:val="none" w:sz="0" w:space="0" w:color="auto"/>
                    <w:right w:val="none" w:sz="0" w:space="0" w:color="auto"/>
                  </w:divBdr>
                  <w:divsChild>
                    <w:div w:id="406652400">
                      <w:marLeft w:val="0"/>
                      <w:marRight w:val="0"/>
                      <w:marTop w:val="0"/>
                      <w:marBottom w:val="300"/>
                      <w:divBdr>
                        <w:top w:val="none" w:sz="0" w:space="0" w:color="auto"/>
                        <w:left w:val="none" w:sz="0" w:space="0" w:color="auto"/>
                        <w:bottom w:val="none" w:sz="0" w:space="0" w:color="auto"/>
                        <w:right w:val="none" w:sz="0" w:space="0" w:color="auto"/>
                      </w:divBdr>
                      <w:divsChild>
                        <w:div w:id="585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751259">
      <w:bodyDiv w:val="1"/>
      <w:marLeft w:val="0"/>
      <w:marRight w:val="0"/>
      <w:marTop w:val="0"/>
      <w:marBottom w:val="0"/>
      <w:divBdr>
        <w:top w:val="none" w:sz="0" w:space="0" w:color="auto"/>
        <w:left w:val="none" w:sz="0" w:space="0" w:color="auto"/>
        <w:bottom w:val="none" w:sz="0" w:space="0" w:color="auto"/>
        <w:right w:val="none" w:sz="0" w:space="0" w:color="auto"/>
      </w:divBdr>
      <w:divsChild>
        <w:div w:id="451634684">
          <w:marLeft w:val="0"/>
          <w:marRight w:val="0"/>
          <w:marTop w:val="0"/>
          <w:marBottom w:val="0"/>
          <w:divBdr>
            <w:top w:val="none" w:sz="0" w:space="0" w:color="auto"/>
            <w:left w:val="single" w:sz="6" w:space="0" w:color="BBBBBB"/>
            <w:bottom w:val="single" w:sz="6" w:space="0" w:color="BBBBBB"/>
            <w:right w:val="single" w:sz="6" w:space="0" w:color="BBBBBB"/>
          </w:divBdr>
          <w:divsChild>
            <w:div w:id="298995361">
              <w:marLeft w:val="0"/>
              <w:marRight w:val="0"/>
              <w:marTop w:val="0"/>
              <w:marBottom w:val="0"/>
              <w:divBdr>
                <w:top w:val="none" w:sz="0" w:space="0" w:color="auto"/>
                <w:left w:val="none" w:sz="0" w:space="0" w:color="auto"/>
                <w:bottom w:val="none" w:sz="0" w:space="0" w:color="auto"/>
                <w:right w:val="none" w:sz="0" w:space="0" w:color="auto"/>
              </w:divBdr>
              <w:divsChild>
                <w:div w:id="1480803660">
                  <w:marLeft w:val="0"/>
                  <w:marRight w:val="0"/>
                  <w:marTop w:val="75"/>
                  <w:marBottom w:val="0"/>
                  <w:divBdr>
                    <w:top w:val="none" w:sz="0" w:space="0" w:color="auto"/>
                    <w:left w:val="none" w:sz="0" w:space="0" w:color="auto"/>
                    <w:bottom w:val="none" w:sz="0" w:space="0" w:color="auto"/>
                    <w:right w:val="none" w:sz="0" w:space="0" w:color="auto"/>
                  </w:divBdr>
                  <w:divsChild>
                    <w:div w:id="2084133136">
                      <w:marLeft w:val="0"/>
                      <w:marRight w:val="0"/>
                      <w:marTop w:val="0"/>
                      <w:marBottom w:val="0"/>
                      <w:divBdr>
                        <w:top w:val="none" w:sz="0" w:space="0" w:color="auto"/>
                        <w:left w:val="none" w:sz="0" w:space="0" w:color="auto"/>
                        <w:bottom w:val="none" w:sz="0" w:space="0" w:color="auto"/>
                        <w:right w:val="none" w:sz="0" w:space="0" w:color="auto"/>
                      </w:divBdr>
                      <w:divsChild>
                        <w:div w:id="79062637">
                          <w:marLeft w:val="0"/>
                          <w:marRight w:val="0"/>
                          <w:marTop w:val="0"/>
                          <w:marBottom w:val="0"/>
                          <w:divBdr>
                            <w:top w:val="none" w:sz="0" w:space="0" w:color="auto"/>
                            <w:left w:val="none" w:sz="0" w:space="0" w:color="auto"/>
                            <w:bottom w:val="none" w:sz="0" w:space="0" w:color="auto"/>
                            <w:right w:val="none" w:sz="0" w:space="0" w:color="auto"/>
                          </w:divBdr>
                          <w:divsChild>
                            <w:div w:id="1514998444">
                              <w:marLeft w:val="0"/>
                              <w:marRight w:val="0"/>
                              <w:marTop w:val="0"/>
                              <w:marBottom w:val="0"/>
                              <w:divBdr>
                                <w:top w:val="none" w:sz="0" w:space="0" w:color="auto"/>
                                <w:left w:val="none" w:sz="0" w:space="0" w:color="auto"/>
                                <w:bottom w:val="none" w:sz="0" w:space="0" w:color="auto"/>
                                <w:right w:val="none" w:sz="0" w:space="0" w:color="auto"/>
                              </w:divBdr>
                              <w:divsChild>
                                <w:div w:id="1118716254">
                                  <w:marLeft w:val="0"/>
                                  <w:marRight w:val="0"/>
                                  <w:marTop w:val="0"/>
                                  <w:marBottom w:val="0"/>
                                  <w:divBdr>
                                    <w:top w:val="none" w:sz="0" w:space="0" w:color="auto"/>
                                    <w:left w:val="none" w:sz="0" w:space="0" w:color="auto"/>
                                    <w:bottom w:val="none" w:sz="0" w:space="0" w:color="auto"/>
                                    <w:right w:val="none" w:sz="0" w:space="0" w:color="auto"/>
                                  </w:divBdr>
                                  <w:divsChild>
                                    <w:div w:id="1972859046">
                                      <w:marLeft w:val="0"/>
                                      <w:marRight w:val="0"/>
                                      <w:marTop w:val="0"/>
                                      <w:marBottom w:val="0"/>
                                      <w:divBdr>
                                        <w:top w:val="none" w:sz="0" w:space="0" w:color="auto"/>
                                        <w:left w:val="none" w:sz="0" w:space="0" w:color="auto"/>
                                        <w:bottom w:val="none" w:sz="0" w:space="0" w:color="auto"/>
                                        <w:right w:val="none" w:sz="0" w:space="0" w:color="auto"/>
                                      </w:divBdr>
                                      <w:divsChild>
                                        <w:div w:id="923952992">
                                          <w:marLeft w:val="1200"/>
                                          <w:marRight w:val="1200"/>
                                          <w:marTop w:val="0"/>
                                          <w:marBottom w:val="0"/>
                                          <w:divBdr>
                                            <w:top w:val="none" w:sz="0" w:space="0" w:color="auto"/>
                                            <w:left w:val="none" w:sz="0" w:space="0" w:color="auto"/>
                                            <w:bottom w:val="none" w:sz="0" w:space="0" w:color="auto"/>
                                            <w:right w:val="none" w:sz="0" w:space="0" w:color="auto"/>
                                          </w:divBdr>
                                          <w:divsChild>
                                            <w:div w:id="2040277503">
                                              <w:marLeft w:val="0"/>
                                              <w:marRight w:val="0"/>
                                              <w:marTop w:val="0"/>
                                              <w:marBottom w:val="0"/>
                                              <w:divBdr>
                                                <w:top w:val="none" w:sz="0" w:space="0" w:color="auto"/>
                                                <w:left w:val="none" w:sz="0" w:space="0" w:color="auto"/>
                                                <w:bottom w:val="none" w:sz="0" w:space="0" w:color="auto"/>
                                                <w:right w:val="none" w:sz="0" w:space="0" w:color="auto"/>
                                              </w:divBdr>
                                              <w:divsChild>
                                                <w:div w:id="1320617520">
                                                  <w:marLeft w:val="0"/>
                                                  <w:marRight w:val="0"/>
                                                  <w:marTop w:val="0"/>
                                                  <w:marBottom w:val="0"/>
                                                  <w:divBdr>
                                                    <w:top w:val="none" w:sz="0" w:space="0" w:color="auto"/>
                                                    <w:left w:val="none" w:sz="0" w:space="0" w:color="auto"/>
                                                    <w:bottom w:val="none" w:sz="0" w:space="0" w:color="auto"/>
                                                    <w:right w:val="none" w:sz="0" w:space="0" w:color="auto"/>
                                                  </w:divBdr>
                                                  <w:divsChild>
                                                    <w:div w:id="363482343">
                                                      <w:marLeft w:val="0"/>
                                                      <w:marRight w:val="0"/>
                                                      <w:marTop w:val="0"/>
                                                      <w:marBottom w:val="0"/>
                                                      <w:divBdr>
                                                        <w:top w:val="none" w:sz="0" w:space="0" w:color="auto"/>
                                                        <w:left w:val="none" w:sz="0" w:space="0" w:color="auto"/>
                                                        <w:bottom w:val="none" w:sz="0" w:space="0" w:color="auto"/>
                                                        <w:right w:val="none" w:sz="0" w:space="0" w:color="auto"/>
                                                      </w:divBdr>
                                                      <w:divsChild>
                                                        <w:div w:id="1117917089">
                                                          <w:marLeft w:val="0"/>
                                                          <w:marRight w:val="0"/>
                                                          <w:marTop w:val="0"/>
                                                          <w:marBottom w:val="0"/>
                                                          <w:divBdr>
                                                            <w:top w:val="none" w:sz="0" w:space="0" w:color="auto"/>
                                                            <w:left w:val="none" w:sz="0" w:space="0" w:color="auto"/>
                                                            <w:bottom w:val="none" w:sz="0" w:space="0" w:color="auto"/>
                                                            <w:right w:val="none" w:sz="0" w:space="0" w:color="auto"/>
                                                          </w:divBdr>
                                                          <w:divsChild>
                                                            <w:div w:id="1433161378">
                                                              <w:marLeft w:val="0"/>
                                                              <w:marRight w:val="0"/>
                                                              <w:marTop w:val="0"/>
                                                              <w:marBottom w:val="0"/>
                                                              <w:divBdr>
                                                                <w:top w:val="none" w:sz="0" w:space="0" w:color="auto"/>
                                                                <w:left w:val="none" w:sz="0" w:space="0" w:color="auto"/>
                                                                <w:bottom w:val="none" w:sz="0" w:space="0" w:color="auto"/>
                                                                <w:right w:val="none" w:sz="0" w:space="0" w:color="auto"/>
                                                              </w:divBdr>
                                                              <w:divsChild>
                                                                <w:div w:id="735738761">
                                                                  <w:marLeft w:val="0"/>
                                                                  <w:marRight w:val="0"/>
                                                                  <w:marTop w:val="0"/>
                                                                  <w:marBottom w:val="0"/>
                                                                  <w:divBdr>
                                                                    <w:top w:val="none" w:sz="0" w:space="0" w:color="auto"/>
                                                                    <w:left w:val="none" w:sz="0" w:space="0" w:color="auto"/>
                                                                    <w:bottom w:val="none" w:sz="0" w:space="0" w:color="auto"/>
                                                                    <w:right w:val="none" w:sz="0" w:space="0" w:color="auto"/>
                                                                  </w:divBdr>
                                                                  <w:divsChild>
                                                                    <w:div w:id="102768513">
                                                                      <w:marLeft w:val="0"/>
                                                                      <w:marRight w:val="0"/>
                                                                      <w:marTop w:val="0"/>
                                                                      <w:marBottom w:val="0"/>
                                                                      <w:divBdr>
                                                                        <w:top w:val="none" w:sz="0" w:space="0" w:color="auto"/>
                                                                        <w:left w:val="none" w:sz="0" w:space="0" w:color="auto"/>
                                                                        <w:bottom w:val="none" w:sz="0" w:space="0" w:color="auto"/>
                                                                        <w:right w:val="none" w:sz="0" w:space="0" w:color="auto"/>
                                                                      </w:divBdr>
                                                                      <w:divsChild>
                                                                        <w:div w:id="1398088316">
                                                                          <w:marLeft w:val="0"/>
                                                                          <w:marRight w:val="0"/>
                                                                          <w:marTop w:val="0"/>
                                                                          <w:marBottom w:val="0"/>
                                                                          <w:divBdr>
                                                                            <w:top w:val="none" w:sz="0" w:space="0" w:color="auto"/>
                                                                            <w:left w:val="none" w:sz="0" w:space="0" w:color="auto"/>
                                                                            <w:bottom w:val="none" w:sz="0" w:space="0" w:color="auto"/>
                                                                            <w:right w:val="none" w:sz="0" w:space="0" w:color="auto"/>
                                                                          </w:divBdr>
                                                                        </w:div>
                                                                      </w:divsChild>
                                                                    </w:div>
                                                                    <w:div w:id="362101082">
                                                                      <w:marLeft w:val="0"/>
                                                                      <w:marRight w:val="0"/>
                                                                      <w:marTop w:val="0"/>
                                                                      <w:marBottom w:val="0"/>
                                                                      <w:divBdr>
                                                                        <w:top w:val="none" w:sz="0" w:space="0" w:color="auto"/>
                                                                        <w:left w:val="none" w:sz="0" w:space="0" w:color="auto"/>
                                                                        <w:bottom w:val="none" w:sz="0" w:space="0" w:color="auto"/>
                                                                        <w:right w:val="none" w:sz="0" w:space="0" w:color="auto"/>
                                                                      </w:divBdr>
                                                                      <w:divsChild>
                                                                        <w:div w:id="1158694397">
                                                                          <w:marLeft w:val="0"/>
                                                                          <w:marRight w:val="0"/>
                                                                          <w:marTop w:val="0"/>
                                                                          <w:marBottom w:val="0"/>
                                                                          <w:divBdr>
                                                                            <w:top w:val="none" w:sz="0" w:space="0" w:color="auto"/>
                                                                            <w:left w:val="none" w:sz="0" w:space="0" w:color="auto"/>
                                                                            <w:bottom w:val="none" w:sz="0" w:space="0" w:color="auto"/>
                                                                            <w:right w:val="none" w:sz="0" w:space="0" w:color="auto"/>
                                                                          </w:divBdr>
                                                                        </w:div>
                                                                      </w:divsChild>
                                                                    </w:div>
                                                                    <w:div w:id="510605491">
                                                                      <w:marLeft w:val="0"/>
                                                                      <w:marRight w:val="0"/>
                                                                      <w:marTop w:val="0"/>
                                                                      <w:marBottom w:val="0"/>
                                                                      <w:divBdr>
                                                                        <w:top w:val="none" w:sz="0" w:space="0" w:color="auto"/>
                                                                        <w:left w:val="none" w:sz="0" w:space="0" w:color="auto"/>
                                                                        <w:bottom w:val="none" w:sz="0" w:space="0" w:color="auto"/>
                                                                        <w:right w:val="none" w:sz="0" w:space="0" w:color="auto"/>
                                                                      </w:divBdr>
                                                                      <w:divsChild>
                                                                        <w:div w:id="1565598800">
                                                                          <w:marLeft w:val="0"/>
                                                                          <w:marRight w:val="0"/>
                                                                          <w:marTop w:val="0"/>
                                                                          <w:marBottom w:val="0"/>
                                                                          <w:divBdr>
                                                                            <w:top w:val="none" w:sz="0" w:space="0" w:color="auto"/>
                                                                            <w:left w:val="none" w:sz="0" w:space="0" w:color="auto"/>
                                                                            <w:bottom w:val="none" w:sz="0" w:space="0" w:color="auto"/>
                                                                            <w:right w:val="none" w:sz="0" w:space="0" w:color="auto"/>
                                                                          </w:divBdr>
                                                                        </w:div>
                                                                      </w:divsChild>
                                                                    </w:div>
                                                                    <w:div w:id="1025247981">
                                                                      <w:marLeft w:val="0"/>
                                                                      <w:marRight w:val="0"/>
                                                                      <w:marTop w:val="0"/>
                                                                      <w:marBottom w:val="0"/>
                                                                      <w:divBdr>
                                                                        <w:top w:val="none" w:sz="0" w:space="0" w:color="auto"/>
                                                                        <w:left w:val="none" w:sz="0" w:space="0" w:color="auto"/>
                                                                        <w:bottom w:val="none" w:sz="0" w:space="0" w:color="auto"/>
                                                                        <w:right w:val="none" w:sz="0" w:space="0" w:color="auto"/>
                                                                      </w:divBdr>
                                                                      <w:divsChild>
                                                                        <w:div w:id="588974242">
                                                                          <w:marLeft w:val="0"/>
                                                                          <w:marRight w:val="0"/>
                                                                          <w:marTop w:val="0"/>
                                                                          <w:marBottom w:val="0"/>
                                                                          <w:divBdr>
                                                                            <w:top w:val="none" w:sz="0" w:space="0" w:color="auto"/>
                                                                            <w:left w:val="none" w:sz="0" w:space="0" w:color="auto"/>
                                                                            <w:bottom w:val="none" w:sz="0" w:space="0" w:color="auto"/>
                                                                            <w:right w:val="none" w:sz="0" w:space="0" w:color="auto"/>
                                                                          </w:divBdr>
                                                                        </w:div>
                                                                      </w:divsChild>
                                                                    </w:div>
                                                                    <w:div w:id="1559583976">
                                                                      <w:marLeft w:val="0"/>
                                                                      <w:marRight w:val="0"/>
                                                                      <w:marTop w:val="0"/>
                                                                      <w:marBottom w:val="0"/>
                                                                      <w:divBdr>
                                                                        <w:top w:val="none" w:sz="0" w:space="0" w:color="auto"/>
                                                                        <w:left w:val="none" w:sz="0" w:space="0" w:color="auto"/>
                                                                        <w:bottom w:val="none" w:sz="0" w:space="0" w:color="auto"/>
                                                                        <w:right w:val="none" w:sz="0" w:space="0" w:color="auto"/>
                                                                      </w:divBdr>
                                                                      <w:divsChild>
                                                                        <w:div w:id="1896308415">
                                                                          <w:marLeft w:val="0"/>
                                                                          <w:marRight w:val="0"/>
                                                                          <w:marTop w:val="0"/>
                                                                          <w:marBottom w:val="0"/>
                                                                          <w:divBdr>
                                                                            <w:top w:val="none" w:sz="0" w:space="0" w:color="auto"/>
                                                                            <w:left w:val="none" w:sz="0" w:space="0" w:color="auto"/>
                                                                            <w:bottom w:val="none" w:sz="0" w:space="0" w:color="auto"/>
                                                                            <w:right w:val="none" w:sz="0" w:space="0" w:color="auto"/>
                                                                          </w:divBdr>
                                                                        </w:div>
                                                                      </w:divsChild>
                                                                    </w:div>
                                                                    <w:div w:id="1629815999">
                                                                      <w:marLeft w:val="0"/>
                                                                      <w:marRight w:val="0"/>
                                                                      <w:marTop w:val="0"/>
                                                                      <w:marBottom w:val="0"/>
                                                                      <w:divBdr>
                                                                        <w:top w:val="none" w:sz="0" w:space="0" w:color="auto"/>
                                                                        <w:left w:val="none" w:sz="0" w:space="0" w:color="auto"/>
                                                                        <w:bottom w:val="none" w:sz="0" w:space="0" w:color="auto"/>
                                                                        <w:right w:val="none" w:sz="0" w:space="0" w:color="auto"/>
                                                                      </w:divBdr>
                                                                      <w:divsChild>
                                                                        <w:div w:id="1055080438">
                                                                          <w:marLeft w:val="0"/>
                                                                          <w:marRight w:val="0"/>
                                                                          <w:marTop w:val="0"/>
                                                                          <w:marBottom w:val="0"/>
                                                                          <w:divBdr>
                                                                            <w:top w:val="none" w:sz="0" w:space="0" w:color="auto"/>
                                                                            <w:left w:val="none" w:sz="0" w:space="0" w:color="auto"/>
                                                                            <w:bottom w:val="none" w:sz="0" w:space="0" w:color="auto"/>
                                                                            <w:right w:val="none" w:sz="0" w:space="0" w:color="auto"/>
                                                                          </w:divBdr>
                                                                        </w:div>
                                                                      </w:divsChild>
                                                                    </w:div>
                                                                    <w:div w:id="1729066892">
                                                                      <w:marLeft w:val="0"/>
                                                                      <w:marRight w:val="0"/>
                                                                      <w:marTop w:val="0"/>
                                                                      <w:marBottom w:val="0"/>
                                                                      <w:divBdr>
                                                                        <w:top w:val="none" w:sz="0" w:space="0" w:color="auto"/>
                                                                        <w:left w:val="none" w:sz="0" w:space="0" w:color="auto"/>
                                                                        <w:bottom w:val="none" w:sz="0" w:space="0" w:color="auto"/>
                                                                        <w:right w:val="none" w:sz="0" w:space="0" w:color="auto"/>
                                                                      </w:divBdr>
                                                                      <w:divsChild>
                                                                        <w:div w:id="10721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718692">
      <w:bodyDiv w:val="1"/>
      <w:marLeft w:val="0"/>
      <w:marRight w:val="0"/>
      <w:marTop w:val="0"/>
      <w:marBottom w:val="0"/>
      <w:divBdr>
        <w:top w:val="none" w:sz="0" w:space="0" w:color="auto"/>
        <w:left w:val="none" w:sz="0" w:space="0" w:color="auto"/>
        <w:bottom w:val="none" w:sz="0" w:space="0" w:color="auto"/>
        <w:right w:val="none" w:sz="0" w:space="0" w:color="auto"/>
      </w:divBdr>
      <w:divsChild>
        <w:div w:id="419638890">
          <w:marLeft w:val="0"/>
          <w:marRight w:val="0"/>
          <w:marTop w:val="240"/>
          <w:marBottom w:val="0"/>
          <w:divBdr>
            <w:top w:val="none" w:sz="0" w:space="0" w:color="auto"/>
            <w:left w:val="none" w:sz="0" w:space="0" w:color="auto"/>
            <w:bottom w:val="none" w:sz="0" w:space="0" w:color="auto"/>
            <w:right w:val="none" w:sz="0" w:space="0" w:color="auto"/>
          </w:divBdr>
          <w:divsChild>
            <w:div w:id="1275746271">
              <w:marLeft w:val="0"/>
              <w:marRight w:val="0"/>
              <w:marTop w:val="0"/>
              <w:marBottom w:val="0"/>
              <w:divBdr>
                <w:top w:val="none" w:sz="0" w:space="0" w:color="auto"/>
                <w:left w:val="none" w:sz="0" w:space="0" w:color="auto"/>
                <w:bottom w:val="none" w:sz="0" w:space="0" w:color="auto"/>
                <w:right w:val="none" w:sz="0" w:space="0" w:color="auto"/>
              </w:divBdr>
            </w:div>
          </w:divsChild>
        </w:div>
        <w:div w:id="1461608699">
          <w:marLeft w:val="0"/>
          <w:marRight w:val="0"/>
          <w:marTop w:val="240"/>
          <w:marBottom w:val="0"/>
          <w:divBdr>
            <w:top w:val="none" w:sz="0" w:space="0" w:color="auto"/>
            <w:left w:val="none" w:sz="0" w:space="0" w:color="auto"/>
            <w:bottom w:val="none" w:sz="0" w:space="0" w:color="auto"/>
            <w:right w:val="none" w:sz="0" w:space="0" w:color="auto"/>
          </w:divBdr>
          <w:divsChild>
            <w:div w:id="789085322">
              <w:marLeft w:val="0"/>
              <w:marRight w:val="0"/>
              <w:marTop w:val="0"/>
              <w:marBottom w:val="0"/>
              <w:divBdr>
                <w:top w:val="none" w:sz="0" w:space="0" w:color="auto"/>
                <w:left w:val="none" w:sz="0" w:space="0" w:color="auto"/>
                <w:bottom w:val="none" w:sz="0" w:space="0" w:color="auto"/>
                <w:right w:val="none" w:sz="0" w:space="0" w:color="auto"/>
              </w:divBdr>
            </w:div>
          </w:divsChild>
        </w:div>
        <w:div w:id="1842235292">
          <w:marLeft w:val="0"/>
          <w:marRight w:val="0"/>
          <w:marTop w:val="240"/>
          <w:marBottom w:val="0"/>
          <w:divBdr>
            <w:top w:val="none" w:sz="0" w:space="0" w:color="auto"/>
            <w:left w:val="none" w:sz="0" w:space="0" w:color="auto"/>
            <w:bottom w:val="none" w:sz="0" w:space="0" w:color="auto"/>
            <w:right w:val="none" w:sz="0" w:space="0" w:color="auto"/>
          </w:divBdr>
          <w:divsChild>
            <w:div w:id="94595753">
              <w:marLeft w:val="0"/>
              <w:marRight w:val="0"/>
              <w:marTop w:val="240"/>
              <w:marBottom w:val="0"/>
              <w:divBdr>
                <w:top w:val="none" w:sz="0" w:space="0" w:color="auto"/>
                <w:left w:val="none" w:sz="0" w:space="0" w:color="auto"/>
                <w:bottom w:val="none" w:sz="0" w:space="0" w:color="auto"/>
                <w:right w:val="none" w:sz="0" w:space="0" w:color="auto"/>
              </w:divBdr>
              <w:divsChild>
                <w:div w:id="1430546596">
                  <w:marLeft w:val="0"/>
                  <w:marRight w:val="0"/>
                  <w:marTop w:val="0"/>
                  <w:marBottom w:val="0"/>
                  <w:divBdr>
                    <w:top w:val="none" w:sz="0" w:space="0" w:color="auto"/>
                    <w:left w:val="none" w:sz="0" w:space="0" w:color="auto"/>
                    <w:bottom w:val="none" w:sz="0" w:space="0" w:color="auto"/>
                    <w:right w:val="none" w:sz="0" w:space="0" w:color="auto"/>
                  </w:divBdr>
                </w:div>
              </w:divsChild>
            </w:div>
            <w:div w:id="3790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80739">
      <w:bodyDiv w:val="1"/>
      <w:marLeft w:val="0"/>
      <w:marRight w:val="0"/>
      <w:marTop w:val="0"/>
      <w:marBottom w:val="0"/>
      <w:divBdr>
        <w:top w:val="none" w:sz="0" w:space="0" w:color="auto"/>
        <w:left w:val="none" w:sz="0" w:space="0" w:color="auto"/>
        <w:bottom w:val="none" w:sz="0" w:space="0" w:color="auto"/>
        <w:right w:val="none" w:sz="0" w:space="0" w:color="auto"/>
      </w:divBdr>
      <w:divsChild>
        <w:div w:id="338049836">
          <w:marLeft w:val="0"/>
          <w:marRight w:val="0"/>
          <w:marTop w:val="0"/>
          <w:marBottom w:val="0"/>
          <w:divBdr>
            <w:top w:val="none" w:sz="0" w:space="0" w:color="auto"/>
            <w:left w:val="single" w:sz="6" w:space="0" w:color="BBBBBB"/>
            <w:bottom w:val="single" w:sz="6" w:space="0" w:color="BBBBBB"/>
            <w:right w:val="single" w:sz="6" w:space="0" w:color="BBBBBB"/>
          </w:divBdr>
          <w:divsChild>
            <w:div w:id="386877933">
              <w:marLeft w:val="0"/>
              <w:marRight w:val="0"/>
              <w:marTop w:val="0"/>
              <w:marBottom w:val="0"/>
              <w:divBdr>
                <w:top w:val="none" w:sz="0" w:space="0" w:color="auto"/>
                <w:left w:val="none" w:sz="0" w:space="0" w:color="auto"/>
                <w:bottom w:val="none" w:sz="0" w:space="0" w:color="auto"/>
                <w:right w:val="none" w:sz="0" w:space="0" w:color="auto"/>
              </w:divBdr>
              <w:divsChild>
                <w:div w:id="1233349967">
                  <w:marLeft w:val="0"/>
                  <w:marRight w:val="0"/>
                  <w:marTop w:val="75"/>
                  <w:marBottom w:val="0"/>
                  <w:divBdr>
                    <w:top w:val="none" w:sz="0" w:space="0" w:color="auto"/>
                    <w:left w:val="none" w:sz="0" w:space="0" w:color="auto"/>
                    <w:bottom w:val="none" w:sz="0" w:space="0" w:color="auto"/>
                    <w:right w:val="none" w:sz="0" w:space="0" w:color="auto"/>
                  </w:divBdr>
                  <w:divsChild>
                    <w:div w:id="751396136">
                      <w:marLeft w:val="0"/>
                      <w:marRight w:val="0"/>
                      <w:marTop w:val="0"/>
                      <w:marBottom w:val="0"/>
                      <w:divBdr>
                        <w:top w:val="none" w:sz="0" w:space="0" w:color="auto"/>
                        <w:left w:val="none" w:sz="0" w:space="0" w:color="auto"/>
                        <w:bottom w:val="none" w:sz="0" w:space="0" w:color="auto"/>
                        <w:right w:val="none" w:sz="0" w:space="0" w:color="auto"/>
                      </w:divBdr>
                      <w:divsChild>
                        <w:div w:id="1612124592">
                          <w:marLeft w:val="0"/>
                          <w:marRight w:val="0"/>
                          <w:marTop w:val="0"/>
                          <w:marBottom w:val="0"/>
                          <w:divBdr>
                            <w:top w:val="none" w:sz="0" w:space="0" w:color="auto"/>
                            <w:left w:val="none" w:sz="0" w:space="0" w:color="auto"/>
                            <w:bottom w:val="none" w:sz="0" w:space="0" w:color="auto"/>
                            <w:right w:val="none" w:sz="0" w:space="0" w:color="auto"/>
                          </w:divBdr>
                          <w:divsChild>
                            <w:div w:id="2055889659">
                              <w:marLeft w:val="0"/>
                              <w:marRight w:val="0"/>
                              <w:marTop w:val="0"/>
                              <w:marBottom w:val="0"/>
                              <w:divBdr>
                                <w:top w:val="none" w:sz="0" w:space="0" w:color="auto"/>
                                <w:left w:val="none" w:sz="0" w:space="0" w:color="auto"/>
                                <w:bottom w:val="none" w:sz="0" w:space="0" w:color="auto"/>
                                <w:right w:val="none" w:sz="0" w:space="0" w:color="auto"/>
                              </w:divBdr>
                              <w:divsChild>
                                <w:div w:id="518786309">
                                  <w:marLeft w:val="0"/>
                                  <w:marRight w:val="0"/>
                                  <w:marTop w:val="0"/>
                                  <w:marBottom w:val="0"/>
                                  <w:divBdr>
                                    <w:top w:val="none" w:sz="0" w:space="0" w:color="auto"/>
                                    <w:left w:val="none" w:sz="0" w:space="0" w:color="auto"/>
                                    <w:bottom w:val="none" w:sz="0" w:space="0" w:color="auto"/>
                                    <w:right w:val="none" w:sz="0" w:space="0" w:color="auto"/>
                                  </w:divBdr>
                                  <w:divsChild>
                                    <w:div w:id="460877739">
                                      <w:marLeft w:val="0"/>
                                      <w:marRight w:val="0"/>
                                      <w:marTop w:val="0"/>
                                      <w:marBottom w:val="0"/>
                                      <w:divBdr>
                                        <w:top w:val="none" w:sz="0" w:space="0" w:color="auto"/>
                                        <w:left w:val="none" w:sz="0" w:space="0" w:color="auto"/>
                                        <w:bottom w:val="none" w:sz="0" w:space="0" w:color="auto"/>
                                        <w:right w:val="none" w:sz="0" w:space="0" w:color="auto"/>
                                      </w:divBdr>
                                      <w:divsChild>
                                        <w:div w:id="1974168317">
                                          <w:marLeft w:val="1200"/>
                                          <w:marRight w:val="1200"/>
                                          <w:marTop w:val="0"/>
                                          <w:marBottom w:val="0"/>
                                          <w:divBdr>
                                            <w:top w:val="none" w:sz="0" w:space="0" w:color="auto"/>
                                            <w:left w:val="none" w:sz="0" w:space="0" w:color="auto"/>
                                            <w:bottom w:val="none" w:sz="0" w:space="0" w:color="auto"/>
                                            <w:right w:val="none" w:sz="0" w:space="0" w:color="auto"/>
                                          </w:divBdr>
                                          <w:divsChild>
                                            <w:div w:id="2047944700">
                                              <w:marLeft w:val="0"/>
                                              <w:marRight w:val="0"/>
                                              <w:marTop w:val="0"/>
                                              <w:marBottom w:val="0"/>
                                              <w:divBdr>
                                                <w:top w:val="none" w:sz="0" w:space="0" w:color="auto"/>
                                                <w:left w:val="none" w:sz="0" w:space="0" w:color="auto"/>
                                                <w:bottom w:val="none" w:sz="0" w:space="0" w:color="auto"/>
                                                <w:right w:val="none" w:sz="0" w:space="0" w:color="auto"/>
                                              </w:divBdr>
                                              <w:divsChild>
                                                <w:div w:id="1899121506">
                                                  <w:marLeft w:val="0"/>
                                                  <w:marRight w:val="0"/>
                                                  <w:marTop w:val="0"/>
                                                  <w:marBottom w:val="0"/>
                                                  <w:divBdr>
                                                    <w:top w:val="none" w:sz="0" w:space="0" w:color="auto"/>
                                                    <w:left w:val="none" w:sz="0" w:space="0" w:color="auto"/>
                                                    <w:bottom w:val="none" w:sz="0" w:space="0" w:color="auto"/>
                                                    <w:right w:val="none" w:sz="0" w:space="0" w:color="auto"/>
                                                  </w:divBdr>
                                                  <w:divsChild>
                                                    <w:div w:id="1315916234">
                                                      <w:marLeft w:val="0"/>
                                                      <w:marRight w:val="0"/>
                                                      <w:marTop w:val="0"/>
                                                      <w:marBottom w:val="0"/>
                                                      <w:divBdr>
                                                        <w:top w:val="none" w:sz="0" w:space="0" w:color="auto"/>
                                                        <w:left w:val="none" w:sz="0" w:space="0" w:color="auto"/>
                                                        <w:bottom w:val="none" w:sz="0" w:space="0" w:color="auto"/>
                                                        <w:right w:val="none" w:sz="0" w:space="0" w:color="auto"/>
                                                      </w:divBdr>
                                                      <w:divsChild>
                                                        <w:div w:id="827789765">
                                                          <w:marLeft w:val="0"/>
                                                          <w:marRight w:val="0"/>
                                                          <w:marTop w:val="0"/>
                                                          <w:marBottom w:val="0"/>
                                                          <w:divBdr>
                                                            <w:top w:val="none" w:sz="0" w:space="0" w:color="auto"/>
                                                            <w:left w:val="none" w:sz="0" w:space="0" w:color="auto"/>
                                                            <w:bottom w:val="none" w:sz="0" w:space="0" w:color="auto"/>
                                                            <w:right w:val="none" w:sz="0" w:space="0" w:color="auto"/>
                                                          </w:divBdr>
                                                          <w:divsChild>
                                                            <w:div w:id="974603353">
                                                              <w:marLeft w:val="0"/>
                                                              <w:marRight w:val="0"/>
                                                              <w:marTop w:val="0"/>
                                                              <w:marBottom w:val="0"/>
                                                              <w:divBdr>
                                                                <w:top w:val="none" w:sz="0" w:space="0" w:color="auto"/>
                                                                <w:left w:val="none" w:sz="0" w:space="0" w:color="auto"/>
                                                                <w:bottom w:val="none" w:sz="0" w:space="0" w:color="auto"/>
                                                                <w:right w:val="none" w:sz="0" w:space="0" w:color="auto"/>
                                                              </w:divBdr>
                                                              <w:divsChild>
                                                                <w:div w:id="1132479557">
                                                                  <w:marLeft w:val="0"/>
                                                                  <w:marRight w:val="0"/>
                                                                  <w:marTop w:val="0"/>
                                                                  <w:marBottom w:val="0"/>
                                                                  <w:divBdr>
                                                                    <w:top w:val="none" w:sz="0" w:space="0" w:color="auto"/>
                                                                    <w:left w:val="none" w:sz="0" w:space="0" w:color="auto"/>
                                                                    <w:bottom w:val="none" w:sz="0" w:space="0" w:color="auto"/>
                                                                    <w:right w:val="none" w:sz="0" w:space="0" w:color="auto"/>
                                                                  </w:divBdr>
                                                                  <w:divsChild>
                                                                    <w:div w:id="727534654">
                                                                      <w:marLeft w:val="0"/>
                                                                      <w:marRight w:val="0"/>
                                                                      <w:marTop w:val="0"/>
                                                                      <w:marBottom w:val="0"/>
                                                                      <w:divBdr>
                                                                        <w:top w:val="none" w:sz="0" w:space="0" w:color="auto"/>
                                                                        <w:left w:val="none" w:sz="0" w:space="0" w:color="auto"/>
                                                                        <w:bottom w:val="none" w:sz="0" w:space="0" w:color="auto"/>
                                                                        <w:right w:val="none" w:sz="0" w:space="0" w:color="auto"/>
                                                                      </w:divBdr>
                                                                      <w:divsChild>
                                                                        <w:div w:id="365105878">
                                                                          <w:marLeft w:val="0"/>
                                                                          <w:marRight w:val="0"/>
                                                                          <w:marTop w:val="0"/>
                                                                          <w:marBottom w:val="0"/>
                                                                          <w:divBdr>
                                                                            <w:top w:val="none" w:sz="0" w:space="0" w:color="auto"/>
                                                                            <w:left w:val="none" w:sz="0" w:space="0" w:color="auto"/>
                                                                            <w:bottom w:val="none" w:sz="0" w:space="0" w:color="auto"/>
                                                                            <w:right w:val="none" w:sz="0" w:space="0" w:color="auto"/>
                                                                          </w:divBdr>
                                                                        </w:div>
                                                                      </w:divsChild>
                                                                    </w:div>
                                                                    <w:div w:id="1026754956">
                                                                      <w:marLeft w:val="0"/>
                                                                      <w:marRight w:val="0"/>
                                                                      <w:marTop w:val="0"/>
                                                                      <w:marBottom w:val="0"/>
                                                                      <w:divBdr>
                                                                        <w:top w:val="none" w:sz="0" w:space="0" w:color="auto"/>
                                                                        <w:left w:val="none" w:sz="0" w:space="0" w:color="auto"/>
                                                                        <w:bottom w:val="none" w:sz="0" w:space="0" w:color="auto"/>
                                                                        <w:right w:val="none" w:sz="0" w:space="0" w:color="auto"/>
                                                                      </w:divBdr>
                                                                      <w:divsChild>
                                                                        <w:div w:id="763654107">
                                                                          <w:marLeft w:val="0"/>
                                                                          <w:marRight w:val="0"/>
                                                                          <w:marTop w:val="0"/>
                                                                          <w:marBottom w:val="0"/>
                                                                          <w:divBdr>
                                                                            <w:top w:val="none" w:sz="0" w:space="0" w:color="auto"/>
                                                                            <w:left w:val="none" w:sz="0" w:space="0" w:color="auto"/>
                                                                            <w:bottom w:val="none" w:sz="0" w:space="0" w:color="auto"/>
                                                                            <w:right w:val="none" w:sz="0" w:space="0" w:color="auto"/>
                                                                          </w:divBdr>
                                                                        </w:div>
                                                                      </w:divsChild>
                                                                    </w:div>
                                                                    <w:div w:id="1116943098">
                                                                      <w:marLeft w:val="0"/>
                                                                      <w:marRight w:val="0"/>
                                                                      <w:marTop w:val="0"/>
                                                                      <w:marBottom w:val="0"/>
                                                                      <w:divBdr>
                                                                        <w:top w:val="none" w:sz="0" w:space="0" w:color="auto"/>
                                                                        <w:left w:val="none" w:sz="0" w:space="0" w:color="auto"/>
                                                                        <w:bottom w:val="none" w:sz="0" w:space="0" w:color="auto"/>
                                                                        <w:right w:val="none" w:sz="0" w:space="0" w:color="auto"/>
                                                                      </w:divBdr>
                                                                      <w:divsChild>
                                                                        <w:div w:id="156504400">
                                                                          <w:marLeft w:val="0"/>
                                                                          <w:marRight w:val="0"/>
                                                                          <w:marTop w:val="0"/>
                                                                          <w:marBottom w:val="0"/>
                                                                          <w:divBdr>
                                                                            <w:top w:val="none" w:sz="0" w:space="0" w:color="auto"/>
                                                                            <w:left w:val="none" w:sz="0" w:space="0" w:color="auto"/>
                                                                            <w:bottom w:val="none" w:sz="0" w:space="0" w:color="auto"/>
                                                                            <w:right w:val="none" w:sz="0" w:space="0" w:color="auto"/>
                                                                          </w:divBdr>
                                                                        </w:div>
                                                                      </w:divsChild>
                                                                    </w:div>
                                                                    <w:div w:id="1647278279">
                                                                      <w:marLeft w:val="0"/>
                                                                      <w:marRight w:val="0"/>
                                                                      <w:marTop w:val="0"/>
                                                                      <w:marBottom w:val="0"/>
                                                                      <w:divBdr>
                                                                        <w:top w:val="none" w:sz="0" w:space="0" w:color="auto"/>
                                                                        <w:left w:val="none" w:sz="0" w:space="0" w:color="auto"/>
                                                                        <w:bottom w:val="none" w:sz="0" w:space="0" w:color="auto"/>
                                                                        <w:right w:val="none" w:sz="0" w:space="0" w:color="auto"/>
                                                                      </w:divBdr>
                                                                      <w:divsChild>
                                                                        <w:div w:id="1328022984">
                                                                          <w:marLeft w:val="0"/>
                                                                          <w:marRight w:val="0"/>
                                                                          <w:marTop w:val="0"/>
                                                                          <w:marBottom w:val="0"/>
                                                                          <w:divBdr>
                                                                            <w:top w:val="none" w:sz="0" w:space="0" w:color="auto"/>
                                                                            <w:left w:val="none" w:sz="0" w:space="0" w:color="auto"/>
                                                                            <w:bottom w:val="none" w:sz="0" w:space="0" w:color="auto"/>
                                                                            <w:right w:val="none" w:sz="0" w:space="0" w:color="auto"/>
                                                                          </w:divBdr>
                                                                        </w:div>
                                                                      </w:divsChild>
                                                                    </w:div>
                                                                    <w:div w:id="1953201316">
                                                                      <w:marLeft w:val="0"/>
                                                                      <w:marRight w:val="0"/>
                                                                      <w:marTop w:val="0"/>
                                                                      <w:marBottom w:val="0"/>
                                                                      <w:divBdr>
                                                                        <w:top w:val="none" w:sz="0" w:space="0" w:color="auto"/>
                                                                        <w:left w:val="none" w:sz="0" w:space="0" w:color="auto"/>
                                                                        <w:bottom w:val="none" w:sz="0" w:space="0" w:color="auto"/>
                                                                        <w:right w:val="none" w:sz="0" w:space="0" w:color="auto"/>
                                                                      </w:divBdr>
                                                                      <w:divsChild>
                                                                        <w:div w:id="206796808">
                                                                          <w:marLeft w:val="0"/>
                                                                          <w:marRight w:val="0"/>
                                                                          <w:marTop w:val="0"/>
                                                                          <w:marBottom w:val="0"/>
                                                                          <w:divBdr>
                                                                            <w:top w:val="none" w:sz="0" w:space="0" w:color="auto"/>
                                                                            <w:left w:val="none" w:sz="0" w:space="0" w:color="auto"/>
                                                                            <w:bottom w:val="none" w:sz="0" w:space="0" w:color="auto"/>
                                                                            <w:right w:val="none" w:sz="0" w:space="0" w:color="auto"/>
                                                                          </w:divBdr>
                                                                        </w:div>
                                                                      </w:divsChild>
                                                                    </w:div>
                                                                    <w:div w:id="1965849490">
                                                                      <w:marLeft w:val="0"/>
                                                                      <w:marRight w:val="0"/>
                                                                      <w:marTop w:val="0"/>
                                                                      <w:marBottom w:val="0"/>
                                                                      <w:divBdr>
                                                                        <w:top w:val="none" w:sz="0" w:space="0" w:color="auto"/>
                                                                        <w:left w:val="none" w:sz="0" w:space="0" w:color="auto"/>
                                                                        <w:bottom w:val="none" w:sz="0" w:space="0" w:color="auto"/>
                                                                        <w:right w:val="none" w:sz="0" w:space="0" w:color="auto"/>
                                                                      </w:divBdr>
                                                                      <w:divsChild>
                                                                        <w:div w:id="9217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9678144">
      <w:bodyDiv w:val="1"/>
      <w:marLeft w:val="0"/>
      <w:marRight w:val="0"/>
      <w:marTop w:val="0"/>
      <w:marBottom w:val="0"/>
      <w:divBdr>
        <w:top w:val="none" w:sz="0" w:space="0" w:color="auto"/>
        <w:left w:val="none" w:sz="0" w:space="0" w:color="auto"/>
        <w:bottom w:val="none" w:sz="0" w:space="0" w:color="auto"/>
        <w:right w:val="none" w:sz="0" w:space="0" w:color="auto"/>
      </w:divBdr>
      <w:divsChild>
        <w:div w:id="1677075036">
          <w:marLeft w:val="0"/>
          <w:marRight w:val="0"/>
          <w:marTop w:val="0"/>
          <w:marBottom w:val="0"/>
          <w:divBdr>
            <w:top w:val="none" w:sz="0" w:space="0" w:color="auto"/>
            <w:left w:val="single" w:sz="6" w:space="0" w:color="BBBBBB"/>
            <w:bottom w:val="single" w:sz="6" w:space="0" w:color="BBBBBB"/>
            <w:right w:val="single" w:sz="6" w:space="0" w:color="BBBBBB"/>
          </w:divBdr>
          <w:divsChild>
            <w:div w:id="1749036471">
              <w:marLeft w:val="0"/>
              <w:marRight w:val="0"/>
              <w:marTop w:val="0"/>
              <w:marBottom w:val="0"/>
              <w:divBdr>
                <w:top w:val="none" w:sz="0" w:space="0" w:color="auto"/>
                <w:left w:val="none" w:sz="0" w:space="0" w:color="auto"/>
                <w:bottom w:val="none" w:sz="0" w:space="0" w:color="auto"/>
                <w:right w:val="none" w:sz="0" w:space="0" w:color="auto"/>
              </w:divBdr>
              <w:divsChild>
                <w:div w:id="1047068885">
                  <w:marLeft w:val="0"/>
                  <w:marRight w:val="0"/>
                  <w:marTop w:val="75"/>
                  <w:marBottom w:val="0"/>
                  <w:divBdr>
                    <w:top w:val="none" w:sz="0" w:space="0" w:color="auto"/>
                    <w:left w:val="none" w:sz="0" w:space="0" w:color="auto"/>
                    <w:bottom w:val="none" w:sz="0" w:space="0" w:color="auto"/>
                    <w:right w:val="none" w:sz="0" w:space="0" w:color="auto"/>
                  </w:divBdr>
                  <w:divsChild>
                    <w:div w:id="634526283">
                      <w:marLeft w:val="0"/>
                      <w:marRight w:val="0"/>
                      <w:marTop w:val="0"/>
                      <w:marBottom w:val="0"/>
                      <w:divBdr>
                        <w:top w:val="none" w:sz="0" w:space="0" w:color="auto"/>
                        <w:left w:val="none" w:sz="0" w:space="0" w:color="auto"/>
                        <w:bottom w:val="none" w:sz="0" w:space="0" w:color="auto"/>
                        <w:right w:val="none" w:sz="0" w:space="0" w:color="auto"/>
                      </w:divBdr>
                      <w:divsChild>
                        <w:div w:id="269555087">
                          <w:marLeft w:val="0"/>
                          <w:marRight w:val="0"/>
                          <w:marTop w:val="0"/>
                          <w:marBottom w:val="0"/>
                          <w:divBdr>
                            <w:top w:val="none" w:sz="0" w:space="0" w:color="auto"/>
                            <w:left w:val="none" w:sz="0" w:space="0" w:color="auto"/>
                            <w:bottom w:val="none" w:sz="0" w:space="0" w:color="auto"/>
                            <w:right w:val="none" w:sz="0" w:space="0" w:color="auto"/>
                          </w:divBdr>
                          <w:divsChild>
                            <w:div w:id="1070537260">
                              <w:marLeft w:val="0"/>
                              <w:marRight w:val="0"/>
                              <w:marTop w:val="0"/>
                              <w:marBottom w:val="0"/>
                              <w:divBdr>
                                <w:top w:val="none" w:sz="0" w:space="0" w:color="auto"/>
                                <w:left w:val="none" w:sz="0" w:space="0" w:color="auto"/>
                                <w:bottom w:val="none" w:sz="0" w:space="0" w:color="auto"/>
                                <w:right w:val="none" w:sz="0" w:space="0" w:color="auto"/>
                              </w:divBdr>
                              <w:divsChild>
                                <w:div w:id="1966546764">
                                  <w:marLeft w:val="0"/>
                                  <w:marRight w:val="0"/>
                                  <w:marTop w:val="0"/>
                                  <w:marBottom w:val="0"/>
                                  <w:divBdr>
                                    <w:top w:val="none" w:sz="0" w:space="0" w:color="auto"/>
                                    <w:left w:val="none" w:sz="0" w:space="0" w:color="auto"/>
                                    <w:bottom w:val="none" w:sz="0" w:space="0" w:color="auto"/>
                                    <w:right w:val="none" w:sz="0" w:space="0" w:color="auto"/>
                                  </w:divBdr>
                                  <w:divsChild>
                                    <w:div w:id="957371915">
                                      <w:marLeft w:val="0"/>
                                      <w:marRight w:val="0"/>
                                      <w:marTop w:val="0"/>
                                      <w:marBottom w:val="0"/>
                                      <w:divBdr>
                                        <w:top w:val="none" w:sz="0" w:space="0" w:color="auto"/>
                                        <w:left w:val="none" w:sz="0" w:space="0" w:color="auto"/>
                                        <w:bottom w:val="none" w:sz="0" w:space="0" w:color="auto"/>
                                        <w:right w:val="none" w:sz="0" w:space="0" w:color="auto"/>
                                      </w:divBdr>
                                      <w:divsChild>
                                        <w:div w:id="111556560">
                                          <w:marLeft w:val="1200"/>
                                          <w:marRight w:val="1200"/>
                                          <w:marTop w:val="0"/>
                                          <w:marBottom w:val="0"/>
                                          <w:divBdr>
                                            <w:top w:val="none" w:sz="0" w:space="0" w:color="auto"/>
                                            <w:left w:val="none" w:sz="0" w:space="0" w:color="auto"/>
                                            <w:bottom w:val="none" w:sz="0" w:space="0" w:color="auto"/>
                                            <w:right w:val="none" w:sz="0" w:space="0" w:color="auto"/>
                                          </w:divBdr>
                                          <w:divsChild>
                                            <w:div w:id="921839322">
                                              <w:marLeft w:val="0"/>
                                              <w:marRight w:val="0"/>
                                              <w:marTop w:val="0"/>
                                              <w:marBottom w:val="0"/>
                                              <w:divBdr>
                                                <w:top w:val="none" w:sz="0" w:space="0" w:color="auto"/>
                                                <w:left w:val="none" w:sz="0" w:space="0" w:color="auto"/>
                                                <w:bottom w:val="none" w:sz="0" w:space="0" w:color="auto"/>
                                                <w:right w:val="none" w:sz="0" w:space="0" w:color="auto"/>
                                              </w:divBdr>
                                              <w:divsChild>
                                                <w:div w:id="502746149">
                                                  <w:marLeft w:val="0"/>
                                                  <w:marRight w:val="0"/>
                                                  <w:marTop w:val="0"/>
                                                  <w:marBottom w:val="0"/>
                                                  <w:divBdr>
                                                    <w:top w:val="none" w:sz="0" w:space="0" w:color="auto"/>
                                                    <w:left w:val="none" w:sz="0" w:space="0" w:color="auto"/>
                                                    <w:bottom w:val="none" w:sz="0" w:space="0" w:color="auto"/>
                                                    <w:right w:val="none" w:sz="0" w:space="0" w:color="auto"/>
                                                  </w:divBdr>
                                                  <w:divsChild>
                                                    <w:div w:id="468669860">
                                                      <w:marLeft w:val="0"/>
                                                      <w:marRight w:val="0"/>
                                                      <w:marTop w:val="0"/>
                                                      <w:marBottom w:val="0"/>
                                                      <w:divBdr>
                                                        <w:top w:val="none" w:sz="0" w:space="0" w:color="auto"/>
                                                        <w:left w:val="none" w:sz="0" w:space="0" w:color="auto"/>
                                                        <w:bottom w:val="none" w:sz="0" w:space="0" w:color="auto"/>
                                                        <w:right w:val="none" w:sz="0" w:space="0" w:color="auto"/>
                                                      </w:divBdr>
                                                      <w:divsChild>
                                                        <w:div w:id="611666686">
                                                          <w:marLeft w:val="0"/>
                                                          <w:marRight w:val="0"/>
                                                          <w:marTop w:val="0"/>
                                                          <w:marBottom w:val="0"/>
                                                          <w:divBdr>
                                                            <w:top w:val="none" w:sz="0" w:space="0" w:color="auto"/>
                                                            <w:left w:val="none" w:sz="0" w:space="0" w:color="auto"/>
                                                            <w:bottom w:val="none" w:sz="0" w:space="0" w:color="auto"/>
                                                            <w:right w:val="none" w:sz="0" w:space="0" w:color="auto"/>
                                                          </w:divBdr>
                                                          <w:divsChild>
                                                            <w:div w:id="1638531276">
                                                              <w:marLeft w:val="0"/>
                                                              <w:marRight w:val="0"/>
                                                              <w:marTop w:val="0"/>
                                                              <w:marBottom w:val="0"/>
                                                              <w:divBdr>
                                                                <w:top w:val="none" w:sz="0" w:space="0" w:color="auto"/>
                                                                <w:left w:val="none" w:sz="0" w:space="0" w:color="auto"/>
                                                                <w:bottom w:val="none" w:sz="0" w:space="0" w:color="auto"/>
                                                                <w:right w:val="none" w:sz="0" w:space="0" w:color="auto"/>
                                                              </w:divBdr>
                                                              <w:divsChild>
                                                                <w:div w:id="436995035">
                                                                  <w:marLeft w:val="0"/>
                                                                  <w:marRight w:val="0"/>
                                                                  <w:marTop w:val="0"/>
                                                                  <w:marBottom w:val="0"/>
                                                                  <w:divBdr>
                                                                    <w:top w:val="none" w:sz="0" w:space="0" w:color="auto"/>
                                                                    <w:left w:val="none" w:sz="0" w:space="0" w:color="auto"/>
                                                                    <w:bottom w:val="none" w:sz="0" w:space="0" w:color="auto"/>
                                                                    <w:right w:val="none" w:sz="0" w:space="0" w:color="auto"/>
                                                                  </w:divBdr>
                                                                  <w:divsChild>
                                                                    <w:div w:id="146939682">
                                                                      <w:marLeft w:val="0"/>
                                                                      <w:marRight w:val="0"/>
                                                                      <w:marTop w:val="0"/>
                                                                      <w:marBottom w:val="0"/>
                                                                      <w:divBdr>
                                                                        <w:top w:val="none" w:sz="0" w:space="0" w:color="auto"/>
                                                                        <w:left w:val="none" w:sz="0" w:space="0" w:color="auto"/>
                                                                        <w:bottom w:val="none" w:sz="0" w:space="0" w:color="auto"/>
                                                                        <w:right w:val="none" w:sz="0" w:space="0" w:color="auto"/>
                                                                      </w:divBdr>
                                                                      <w:divsChild>
                                                                        <w:div w:id="1309357046">
                                                                          <w:marLeft w:val="0"/>
                                                                          <w:marRight w:val="0"/>
                                                                          <w:marTop w:val="0"/>
                                                                          <w:marBottom w:val="0"/>
                                                                          <w:divBdr>
                                                                            <w:top w:val="none" w:sz="0" w:space="0" w:color="auto"/>
                                                                            <w:left w:val="none" w:sz="0" w:space="0" w:color="auto"/>
                                                                            <w:bottom w:val="none" w:sz="0" w:space="0" w:color="auto"/>
                                                                            <w:right w:val="none" w:sz="0" w:space="0" w:color="auto"/>
                                                                          </w:divBdr>
                                                                        </w:div>
                                                                      </w:divsChild>
                                                                    </w:div>
                                                                    <w:div w:id="716517173">
                                                                      <w:marLeft w:val="0"/>
                                                                      <w:marRight w:val="0"/>
                                                                      <w:marTop w:val="0"/>
                                                                      <w:marBottom w:val="0"/>
                                                                      <w:divBdr>
                                                                        <w:top w:val="none" w:sz="0" w:space="0" w:color="auto"/>
                                                                        <w:left w:val="none" w:sz="0" w:space="0" w:color="auto"/>
                                                                        <w:bottom w:val="none" w:sz="0" w:space="0" w:color="auto"/>
                                                                        <w:right w:val="none" w:sz="0" w:space="0" w:color="auto"/>
                                                                      </w:divBdr>
                                                                      <w:divsChild>
                                                                        <w:div w:id="1244222037">
                                                                          <w:marLeft w:val="0"/>
                                                                          <w:marRight w:val="0"/>
                                                                          <w:marTop w:val="0"/>
                                                                          <w:marBottom w:val="0"/>
                                                                          <w:divBdr>
                                                                            <w:top w:val="none" w:sz="0" w:space="0" w:color="auto"/>
                                                                            <w:left w:val="none" w:sz="0" w:space="0" w:color="auto"/>
                                                                            <w:bottom w:val="none" w:sz="0" w:space="0" w:color="auto"/>
                                                                            <w:right w:val="none" w:sz="0" w:space="0" w:color="auto"/>
                                                                          </w:divBdr>
                                                                        </w:div>
                                                                      </w:divsChild>
                                                                    </w:div>
                                                                    <w:div w:id="797799513">
                                                                      <w:marLeft w:val="0"/>
                                                                      <w:marRight w:val="0"/>
                                                                      <w:marTop w:val="0"/>
                                                                      <w:marBottom w:val="0"/>
                                                                      <w:divBdr>
                                                                        <w:top w:val="none" w:sz="0" w:space="0" w:color="auto"/>
                                                                        <w:left w:val="none" w:sz="0" w:space="0" w:color="auto"/>
                                                                        <w:bottom w:val="none" w:sz="0" w:space="0" w:color="auto"/>
                                                                        <w:right w:val="none" w:sz="0" w:space="0" w:color="auto"/>
                                                                      </w:divBdr>
                                                                      <w:divsChild>
                                                                        <w:div w:id="292489811">
                                                                          <w:marLeft w:val="0"/>
                                                                          <w:marRight w:val="0"/>
                                                                          <w:marTop w:val="0"/>
                                                                          <w:marBottom w:val="0"/>
                                                                          <w:divBdr>
                                                                            <w:top w:val="none" w:sz="0" w:space="0" w:color="auto"/>
                                                                            <w:left w:val="none" w:sz="0" w:space="0" w:color="auto"/>
                                                                            <w:bottom w:val="none" w:sz="0" w:space="0" w:color="auto"/>
                                                                            <w:right w:val="none" w:sz="0" w:space="0" w:color="auto"/>
                                                                          </w:divBdr>
                                                                        </w:div>
                                                                      </w:divsChild>
                                                                    </w:div>
                                                                    <w:div w:id="1138456762">
                                                                      <w:marLeft w:val="0"/>
                                                                      <w:marRight w:val="0"/>
                                                                      <w:marTop w:val="0"/>
                                                                      <w:marBottom w:val="0"/>
                                                                      <w:divBdr>
                                                                        <w:top w:val="none" w:sz="0" w:space="0" w:color="auto"/>
                                                                        <w:left w:val="none" w:sz="0" w:space="0" w:color="auto"/>
                                                                        <w:bottom w:val="none" w:sz="0" w:space="0" w:color="auto"/>
                                                                        <w:right w:val="none" w:sz="0" w:space="0" w:color="auto"/>
                                                                      </w:divBdr>
                                                                      <w:divsChild>
                                                                        <w:div w:id="305623984">
                                                                          <w:marLeft w:val="0"/>
                                                                          <w:marRight w:val="0"/>
                                                                          <w:marTop w:val="0"/>
                                                                          <w:marBottom w:val="0"/>
                                                                          <w:divBdr>
                                                                            <w:top w:val="none" w:sz="0" w:space="0" w:color="auto"/>
                                                                            <w:left w:val="none" w:sz="0" w:space="0" w:color="auto"/>
                                                                            <w:bottom w:val="none" w:sz="0" w:space="0" w:color="auto"/>
                                                                            <w:right w:val="none" w:sz="0" w:space="0" w:color="auto"/>
                                                                          </w:divBdr>
                                                                        </w:div>
                                                                      </w:divsChild>
                                                                    </w:div>
                                                                    <w:div w:id="1273511875">
                                                                      <w:marLeft w:val="0"/>
                                                                      <w:marRight w:val="0"/>
                                                                      <w:marTop w:val="0"/>
                                                                      <w:marBottom w:val="0"/>
                                                                      <w:divBdr>
                                                                        <w:top w:val="none" w:sz="0" w:space="0" w:color="auto"/>
                                                                        <w:left w:val="none" w:sz="0" w:space="0" w:color="auto"/>
                                                                        <w:bottom w:val="none" w:sz="0" w:space="0" w:color="auto"/>
                                                                        <w:right w:val="none" w:sz="0" w:space="0" w:color="auto"/>
                                                                      </w:divBdr>
                                                                      <w:divsChild>
                                                                        <w:div w:id="1552615620">
                                                                          <w:marLeft w:val="0"/>
                                                                          <w:marRight w:val="0"/>
                                                                          <w:marTop w:val="0"/>
                                                                          <w:marBottom w:val="0"/>
                                                                          <w:divBdr>
                                                                            <w:top w:val="none" w:sz="0" w:space="0" w:color="auto"/>
                                                                            <w:left w:val="none" w:sz="0" w:space="0" w:color="auto"/>
                                                                            <w:bottom w:val="none" w:sz="0" w:space="0" w:color="auto"/>
                                                                            <w:right w:val="none" w:sz="0" w:space="0" w:color="auto"/>
                                                                          </w:divBdr>
                                                                        </w:div>
                                                                      </w:divsChild>
                                                                    </w:div>
                                                                    <w:div w:id="1738019101">
                                                                      <w:marLeft w:val="0"/>
                                                                      <w:marRight w:val="0"/>
                                                                      <w:marTop w:val="0"/>
                                                                      <w:marBottom w:val="0"/>
                                                                      <w:divBdr>
                                                                        <w:top w:val="none" w:sz="0" w:space="0" w:color="auto"/>
                                                                        <w:left w:val="none" w:sz="0" w:space="0" w:color="auto"/>
                                                                        <w:bottom w:val="none" w:sz="0" w:space="0" w:color="auto"/>
                                                                        <w:right w:val="none" w:sz="0" w:space="0" w:color="auto"/>
                                                                      </w:divBdr>
                                                                      <w:divsChild>
                                                                        <w:div w:id="938946976">
                                                                          <w:marLeft w:val="0"/>
                                                                          <w:marRight w:val="0"/>
                                                                          <w:marTop w:val="0"/>
                                                                          <w:marBottom w:val="0"/>
                                                                          <w:divBdr>
                                                                            <w:top w:val="none" w:sz="0" w:space="0" w:color="auto"/>
                                                                            <w:left w:val="none" w:sz="0" w:space="0" w:color="auto"/>
                                                                            <w:bottom w:val="none" w:sz="0" w:space="0" w:color="auto"/>
                                                                            <w:right w:val="none" w:sz="0" w:space="0" w:color="auto"/>
                                                                          </w:divBdr>
                                                                        </w:div>
                                                                      </w:divsChild>
                                                                    </w:div>
                                                                    <w:div w:id="1816871482">
                                                                      <w:marLeft w:val="0"/>
                                                                      <w:marRight w:val="0"/>
                                                                      <w:marTop w:val="0"/>
                                                                      <w:marBottom w:val="0"/>
                                                                      <w:divBdr>
                                                                        <w:top w:val="none" w:sz="0" w:space="0" w:color="auto"/>
                                                                        <w:left w:val="none" w:sz="0" w:space="0" w:color="auto"/>
                                                                        <w:bottom w:val="none" w:sz="0" w:space="0" w:color="auto"/>
                                                                        <w:right w:val="none" w:sz="0" w:space="0" w:color="auto"/>
                                                                      </w:divBdr>
                                                                      <w:divsChild>
                                                                        <w:div w:id="5197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9759449">
      <w:bodyDiv w:val="1"/>
      <w:marLeft w:val="0"/>
      <w:marRight w:val="0"/>
      <w:marTop w:val="0"/>
      <w:marBottom w:val="0"/>
      <w:divBdr>
        <w:top w:val="none" w:sz="0" w:space="0" w:color="auto"/>
        <w:left w:val="none" w:sz="0" w:space="0" w:color="auto"/>
        <w:bottom w:val="none" w:sz="0" w:space="0" w:color="auto"/>
        <w:right w:val="none" w:sz="0" w:space="0" w:color="auto"/>
      </w:divBdr>
      <w:divsChild>
        <w:div w:id="510069788">
          <w:marLeft w:val="0"/>
          <w:marRight w:val="0"/>
          <w:marTop w:val="0"/>
          <w:marBottom w:val="0"/>
          <w:divBdr>
            <w:top w:val="none" w:sz="0" w:space="0" w:color="auto"/>
            <w:left w:val="none" w:sz="0" w:space="0" w:color="auto"/>
            <w:bottom w:val="none" w:sz="0" w:space="0" w:color="auto"/>
            <w:right w:val="none" w:sz="0" w:space="0" w:color="auto"/>
          </w:divBdr>
          <w:divsChild>
            <w:div w:id="808938477">
              <w:marLeft w:val="0"/>
              <w:marRight w:val="0"/>
              <w:marTop w:val="0"/>
              <w:marBottom w:val="0"/>
              <w:divBdr>
                <w:top w:val="none" w:sz="0" w:space="0" w:color="auto"/>
                <w:left w:val="none" w:sz="0" w:space="0" w:color="auto"/>
                <w:bottom w:val="none" w:sz="0" w:space="0" w:color="auto"/>
                <w:right w:val="none" w:sz="0" w:space="0" w:color="auto"/>
              </w:divBdr>
              <w:divsChild>
                <w:div w:id="1092164291">
                  <w:marLeft w:val="0"/>
                  <w:marRight w:val="0"/>
                  <w:marTop w:val="0"/>
                  <w:marBottom w:val="0"/>
                  <w:divBdr>
                    <w:top w:val="none" w:sz="0" w:space="0" w:color="auto"/>
                    <w:left w:val="none" w:sz="0" w:space="0" w:color="auto"/>
                    <w:bottom w:val="none" w:sz="0" w:space="0" w:color="auto"/>
                    <w:right w:val="none" w:sz="0" w:space="0" w:color="auto"/>
                  </w:divBdr>
                  <w:divsChild>
                    <w:div w:id="1345324361">
                      <w:marLeft w:val="0"/>
                      <w:marRight w:val="0"/>
                      <w:marTop w:val="0"/>
                      <w:marBottom w:val="300"/>
                      <w:divBdr>
                        <w:top w:val="none" w:sz="0" w:space="0" w:color="auto"/>
                        <w:left w:val="none" w:sz="0" w:space="0" w:color="auto"/>
                        <w:bottom w:val="none" w:sz="0" w:space="0" w:color="auto"/>
                        <w:right w:val="none" w:sz="0" w:space="0" w:color="auto"/>
                      </w:divBdr>
                      <w:divsChild>
                        <w:div w:id="1633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867990">
      <w:bodyDiv w:val="1"/>
      <w:marLeft w:val="30"/>
      <w:marRight w:val="30"/>
      <w:marTop w:val="30"/>
      <w:marBottom w:val="30"/>
      <w:divBdr>
        <w:top w:val="none" w:sz="0" w:space="0" w:color="auto"/>
        <w:left w:val="none" w:sz="0" w:space="0" w:color="auto"/>
        <w:bottom w:val="none" w:sz="0" w:space="0" w:color="auto"/>
        <w:right w:val="none" w:sz="0" w:space="0" w:color="auto"/>
      </w:divBdr>
      <w:divsChild>
        <w:div w:id="1907835669">
          <w:marLeft w:val="0"/>
          <w:marRight w:val="0"/>
          <w:marTop w:val="0"/>
          <w:marBottom w:val="0"/>
          <w:divBdr>
            <w:top w:val="none" w:sz="0" w:space="0" w:color="auto"/>
            <w:left w:val="none" w:sz="0" w:space="0" w:color="auto"/>
            <w:bottom w:val="none" w:sz="0" w:space="0" w:color="auto"/>
            <w:right w:val="none" w:sz="0" w:space="0" w:color="auto"/>
          </w:divBdr>
          <w:divsChild>
            <w:div w:id="1124080128">
              <w:marLeft w:val="45"/>
              <w:marRight w:val="45"/>
              <w:marTop w:val="45"/>
              <w:marBottom w:val="45"/>
              <w:divBdr>
                <w:top w:val="none" w:sz="0" w:space="0" w:color="auto"/>
                <w:left w:val="none" w:sz="0" w:space="0" w:color="auto"/>
                <w:bottom w:val="none" w:sz="0" w:space="0" w:color="auto"/>
                <w:right w:val="none" w:sz="0" w:space="0" w:color="auto"/>
              </w:divBdr>
              <w:divsChild>
                <w:div w:id="139537376">
                  <w:marLeft w:val="0"/>
                  <w:marRight w:val="0"/>
                  <w:marTop w:val="0"/>
                  <w:marBottom w:val="0"/>
                  <w:divBdr>
                    <w:top w:val="none" w:sz="0" w:space="0" w:color="auto"/>
                    <w:left w:val="none" w:sz="0" w:space="0" w:color="auto"/>
                    <w:bottom w:val="none" w:sz="0" w:space="0" w:color="auto"/>
                    <w:right w:val="none" w:sz="0" w:space="0" w:color="auto"/>
                  </w:divBdr>
                  <w:divsChild>
                    <w:div w:id="14927165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956871">
      <w:bodyDiv w:val="1"/>
      <w:marLeft w:val="0"/>
      <w:marRight w:val="0"/>
      <w:marTop w:val="0"/>
      <w:marBottom w:val="0"/>
      <w:divBdr>
        <w:top w:val="none" w:sz="0" w:space="0" w:color="auto"/>
        <w:left w:val="none" w:sz="0" w:space="0" w:color="auto"/>
        <w:bottom w:val="none" w:sz="0" w:space="0" w:color="auto"/>
        <w:right w:val="none" w:sz="0" w:space="0" w:color="auto"/>
      </w:divBdr>
      <w:divsChild>
        <w:div w:id="1252003889">
          <w:marLeft w:val="0"/>
          <w:marRight w:val="0"/>
          <w:marTop w:val="0"/>
          <w:marBottom w:val="0"/>
          <w:divBdr>
            <w:top w:val="none" w:sz="0" w:space="0" w:color="auto"/>
            <w:left w:val="none" w:sz="0" w:space="0" w:color="auto"/>
            <w:bottom w:val="none" w:sz="0" w:space="0" w:color="auto"/>
            <w:right w:val="none" w:sz="0" w:space="0" w:color="auto"/>
          </w:divBdr>
          <w:divsChild>
            <w:div w:id="1704551453">
              <w:marLeft w:val="0"/>
              <w:marRight w:val="0"/>
              <w:marTop w:val="0"/>
              <w:marBottom w:val="0"/>
              <w:divBdr>
                <w:top w:val="none" w:sz="0" w:space="0" w:color="auto"/>
                <w:left w:val="none" w:sz="0" w:space="0" w:color="auto"/>
                <w:bottom w:val="none" w:sz="0" w:space="0" w:color="auto"/>
                <w:right w:val="none" w:sz="0" w:space="0" w:color="auto"/>
              </w:divBdr>
              <w:divsChild>
                <w:div w:id="941766863">
                  <w:marLeft w:val="0"/>
                  <w:marRight w:val="0"/>
                  <w:marTop w:val="0"/>
                  <w:marBottom w:val="0"/>
                  <w:divBdr>
                    <w:top w:val="none" w:sz="0" w:space="0" w:color="auto"/>
                    <w:left w:val="none" w:sz="0" w:space="0" w:color="auto"/>
                    <w:bottom w:val="none" w:sz="0" w:space="0" w:color="auto"/>
                    <w:right w:val="none" w:sz="0" w:space="0" w:color="auto"/>
                  </w:divBdr>
                  <w:divsChild>
                    <w:div w:id="902184345">
                      <w:marLeft w:val="0"/>
                      <w:marRight w:val="0"/>
                      <w:marTop w:val="0"/>
                      <w:marBottom w:val="375"/>
                      <w:divBdr>
                        <w:top w:val="none" w:sz="0" w:space="0" w:color="auto"/>
                        <w:left w:val="none" w:sz="0" w:space="0" w:color="auto"/>
                        <w:bottom w:val="none" w:sz="0" w:space="0" w:color="auto"/>
                        <w:right w:val="none" w:sz="0" w:space="0" w:color="auto"/>
                      </w:divBdr>
                      <w:divsChild>
                        <w:div w:id="15611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4869">
      <w:bodyDiv w:val="1"/>
      <w:marLeft w:val="0"/>
      <w:marRight w:val="0"/>
      <w:marTop w:val="0"/>
      <w:marBottom w:val="0"/>
      <w:divBdr>
        <w:top w:val="none" w:sz="0" w:space="0" w:color="auto"/>
        <w:left w:val="none" w:sz="0" w:space="0" w:color="auto"/>
        <w:bottom w:val="none" w:sz="0" w:space="0" w:color="auto"/>
        <w:right w:val="none" w:sz="0" w:space="0" w:color="auto"/>
      </w:divBdr>
      <w:divsChild>
        <w:div w:id="116266353">
          <w:marLeft w:val="0"/>
          <w:marRight w:val="0"/>
          <w:marTop w:val="0"/>
          <w:marBottom w:val="0"/>
          <w:divBdr>
            <w:top w:val="none" w:sz="0" w:space="0" w:color="auto"/>
            <w:left w:val="none" w:sz="0" w:space="0" w:color="auto"/>
            <w:bottom w:val="none" w:sz="0" w:space="0" w:color="auto"/>
            <w:right w:val="none" w:sz="0" w:space="0" w:color="auto"/>
          </w:divBdr>
          <w:divsChild>
            <w:div w:id="1709136932">
              <w:marLeft w:val="0"/>
              <w:marRight w:val="0"/>
              <w:marTop w:val="0"/>
              <w:marBottom w:val="0"/>
              <w:divBdr>
                <w:top w:val="none" w:sz="0" w:space="0" w:color="auto"/>
                <w:left w:val="none" w:sz="0" w:space="0" w:color="auto"/>
                <w:bottom w:val="none" w:sz="0" w:space="0" w:color="auto"/>
                <w:right w:val="none" w:sz="0" w:space="0" w:color="auto"/>
              </w:divBdr>
              <w:divsChild>
                <w:div w:id="628516744">
                  <w:marLeft w:val="0"/>
                  <w:marRight w:val="0"/>
                  <w:marTop w:val="0"/>
                  <w:marBottom w:val="0"/>
                  <w:divBdr>
                    <w:top w:val="none" w:sz="0" w:space="0" w:color="auto"/>
                    <w:left w:val="none" w:sz="0" w:space="0" w:color="auto"/>
                    <w:bottom w:val="none" w:sz="0" w:space="0" w:color="auto"/>
                    <w:right w:val="none" w:sz="0" w:space="0" w:color="auto"/>
                  </w:divBdr>
                  <w:divsChild>
                    <w:div w:id="160977936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583997613">
      <w:bodyDiv w:val="1"/>
      <w:marLeft w:val="0"/>
      <w:marRight w:val="0"/>
      <w:marTop w:val="0"/>
      <w:marBottom w:val="0"/>
      <w:divBdr>
        <w:top w:val="none" w:sz="0" w:space="0" w:color="auto"/>
        <w:left w:val="none" w:sz="0" w:space="0" w:color="auto"/>
        <w:bottom w:val="none" w:sz="0" w:space="0" w:color="auto"/>
        <w:right w:val="none" w:sz="0" w:space="0" w:color="auto"/>
      </w:divBdr>
      <w:divsChild>
        <w:div w:id="168643560">
          <w:marLeft w:val="0"/>
          <w:marRight w:val="0"/>
          <w:marTop w:val="0"/>
          <w:marBottom w:val="0"/>
          <w:divBdr>
            <w:top w:val="none" w:sz="0" w:space="0" w:color="auto"/>
            <w:left w:val="single" w:sz="6" w:space="0" w:color="BBBBBB"/>
            <w:bottom w:val="single" w:sz="6" w:space="0" w:color="BBBBBB"/>
            <w:right w:val="single" w:sz="6" w:space="0" w:color="BBBBBB"/>
          </w:divBdr>
          <w:divsChild>
            <w:div w:id="1147435547">
              <w:marLeft w:val="0"/>
              <w:marRight w:val="0"/>
              <w:marTop w:val="0"/>
              <w:marBottom w:val="0"/>
              <w:divBdr>
                <w:top w:val="none" w:sz="0" w:space="0" w:color="auto"/>
                <w:left w:val="none" w:sz="0" w:space="0" w:color="auto"/>
                <w:bottom w:val="none" w:sz="0" w:space="0" w:color="auto"/>
                <w:right w:val="none" w:sz="0" w:space="0" w:color="auto"/>
              </w:divBdr>
              <w:divsChild>
                <w:div w:id="839467625">
                  <w:marLeft w:val="0"/>
                  <w:marRight w:val="0"/>
                  <w:marTop w:val="0"/>
                  <w:marBottom w:val="0"/>
                  <w:divBdr>
                    <w:top w:val="none" w:sz="0" w:space="0" w:color="auto"/>
                    <w:left w:val="none" w:sz="0" w:space="0" w:color="auto"/>
                    <w:bottom w:val="none" w:sz="0" w:space="0" w:color="auto"/>
                    <w:right w:val="none" w:sz="0" w:space="0" w:color="auto"/>
                  </w:divBdr>
                  <w:divsChild>
                    <w:div w:id="1757558269">
                      <w:marLeft w:val="0"/>
                      <w:marRight w:val="0"/>
                      <w:marTop w:val="0"/>
                      <w:marBottom w:val="0"/>
                      <w:divBdr>
                        <w:top w:val="none" w:sz="0" w:space="0" w:color="auto"/>
                        <w:left w:val="none" w:sz="0" w:space="0" w:color="auto"/>
                        <w:bottom w:val="none" w:sz="0" w:space="0" w:color="auto"/>
                        <w:right w:val="none" w:sz="0" w:space="0" w:color="auto"/>
                      </w:divBdr>
                      <w:divsChild>
                        <w:div w:id="918683704">
                          <w:marLeft w:val="0"/>
                          <w:marRight w:val="0"/>
                          <w:marTop w:val="0"/>
                          <w:marBottom w:val="0"/>
                          <w:divBdr>
                            <w:top w:val="none" w:sz="0" w:space="0" w:color="auto"/>
                            <w:left w:val="none" w:sz="0" w:space="0" w:color="auto"/>
                            <w:bottom w:val="none" w:sz="0" w:space="0" w:color="auto"/>
                            <w:right w:val="none" w:sz="0" w:space="0" w:color="auto"/>
                          </w:divBdr>
                          <w:divsChild>
                            <w:div w:id="1406996572">
                              <w:marLeft w:val="0"/>
                              <w:marRight w:val="0"/>
                              <w:marTop w:val="0"/>
                              <w:marBottom w:val="0"/>
                              <w:divBdr>
                                <w:top w:val="none" w:sz="0" w:space="0" w:color="auto"/>
                                <w:left w:val="none" w:sz="0" w:space="0" w:color="auto"/>
                                <w:bottom w:val="none" w:sz="0" w:space="0" w:color="auto"/>
                                <w:right w:val="none" w:sz="0" w:space="0" w:color="auto"/>
                              </w:divBdr>
                              <w:divsChild>
                                <w:div w:id="1576550894">
                                  <w:marLeft w:val="0"/>
                                  <w:marRight w:val="0"/>
                                  <w:marTop w:val="0"/>
                                  <w:marBottom w:val="0"/>
                                  <w:divBdr>
                                    <w:top w:val="none" w:sz="0" w:space="0" w:color="auto"/>
                                    <w:left w:val="none" w:sz="0" w:space="0" w:color="auto"/>
                                    <w:bottom w:val="none" w:sz="0" w:space="0" w:color="auto"/>
                                    <w:right w:val="none" w:sz="0" w:space="0" w:color="auto"/>
                                  </w:divBdr>
                                  <w:divsChild>
                                    <w:div w:id="1156142962">
                                      <w:marLeft w:val="0"/>
                                      <w:marRight w:val="0"/>
                                      <w:marTop w:val="0"/>
                                      <w:marBottom w:val="0"/>
                                      <w:divBdr>
                                        <w:top w:val="none" w:sz="0" w:space="0" w:color="auto"/>
                                        <w:left w:val="none" w:sz="0" w:space="0" w:color="auto"/>
                                        <w:bottom w:val="none" w:sz="0" w:space="0" w:color="auto"/>
                                        <w:right w:val="none" w:sz="0" w:space="0" w:color="auto"/>
                                      </w:divBdr>
                                      <w:divsChild>
                                        <w:div w:id="1686208019">
                                          <w:marLeft w:val="1200"/>
                                          <w:marRight w:val="1200"/>
                                          <w:marTop w:val="0"/>
                                          <w:marBottom w:val="0"/>
                                          <w:divBdr>
                                            <w:top w:val="none" w:sz="0" w:space="0" w:color="auto"/>
                                            <w:left w:val="none" w:sz="0" w:space="0" w:color="auto"/>
                                            <w:bottom w:val="none" w:sz="0" w:space="0" w:color="auto"/>
                                            <w:right w:val="none" w:sz="0" w:space="0" w:color="auto"/>
                                          </w:divBdr>
                                          <w:divsChild>
                                            <w:div w:id="1343123456">
                                              <w:marLeft w:val="0"/>
                                              <w:marRight w:val="0"/>
                                              <w:marTop w:val="0"/>
                                              <w:marBottom w:val="0"/>
                                              <w:divBdr>
                                                <w:top w:val="none" w:sz="0" w:space="0" w:color="auto"/>
                                                <w:left w:val="none" w:sz="0" w:space="0" w:color="auto"/>
                                                <w:bottom w:val="none" w:sz="0" w:space="0" w:color="auto"/>
                                                <w:right w:val="none" w:sz="0" w:space="0" w:color="auto"/>
                                              </w:divBdr>
                                              <w:divsChild>
                                                <w:div w:id="1204059534">
                                                  <w:marLeft w:val="0"/>
                                                  <w:marRight w:val="0"/>
                                                  <w:marTop w:val="0"/>
                                                  <w:marBottom w:val="0"/>
                                                  <w:divBdr>
                                                    <w:top w:val="none" w:sz="0" w:space="0" w:color="auto"/>
                                                    <w:left w:val="none" w:sz="0" w:space="0" w:color="auto"/>
                                                    <w:bottom w:val="none" w:sz="0" w:space="0" w:color="auto"/>
                                                    <w:right w:val="none" w:sz="0" w:space="0" w:color="auto"/>
                                                  </w:divBdr>
                                                  <w:divsChild>
                                                    <w:div w:id="1283264892">
                                                      <w:marLeft w:val="0"/>
                                                      <w:marRight w:val="0"/>
                                                      <w:marTop w:val="0"/>
                                                      <w:marBottom w:val="0"/>
                                                      <w:divBdr>
                                                        <w:top w:val="none" w:sz="0" w:space="0" w:color="auto"/>
                                                        <w:left w:val="none" w:sz="0" w:space="0" w:color="auto"/>
                                                        <w:bottom w:val="none" w:sz="0" w:space="0" w:color="auto"/>
                                                        <w:right w:val="none" w:sz="0" w:space="0" w:color="auto"/>
                                                      </w:divBdr>
                                                      <w:divsChild>
                                                        <w:div w:id="904492072">
                                                          <w:marLeft w:val="0"/>
                                                          <w:marRight w:val="0"/>
                                                          <w:marTop w:val="0"/>
                                                          <w:marBottom w:val="0"/>
                                                          <w:divBdr>
                                                            <w:top w:val="none" w:sz="0" w:space="0" w:color="auto"/>
                                                            <w:left w:val="none" w:sz="0" w:space="0" w:color="auto"/>
                                                            <w:bottom w:val="none" w:sz="0" w:space="0" w:color="auto"/>
                                                            <w:right w:val="none" w:sz="0" w:space="0" w:color="auto"/>
                                                          </w:divBdr>
                                                          <w:divsChild>
                                                            <w:div w:id="1207377199">
                                                              <w:marLeft w:val="0"/>
                                                              <w:marRight w:val="0"/>
                                                              <w:marTop w:val="0"/>
                                                              <w:marBottom w:val="0"/>
                                                              <w:divBdr>
                                                                <w:top w:val="none" w:sz="0" w:space="0" w:color="auto"/>
                                                                <w:left w:val="none" w:sz="0" w:space="0" w:color="auto"/>
                                                                <w:bottom w:val="none" w:sz="0" w:space="0" w:color="auto"/>
                                                                <w:right w:val="none" w:sz="0" w:space="0" w:color="auto"/>
                                                              </w:divBdr>
                                                              <w:divsChild>
                                                                <w:div w:id="707803819">
                                                                  <w:marLeft w:val="0"/>
                                                                  <w:marRight w:val="0"/>
                                                                  <w:marTop w:val="0"/>
                                                                  <w:marBottom w:val="0"/>
                                                                  <w:divBdr>
                                                                    <w:top w:val="none" w:sz="0" w:space="0" w:color="auto"/>
                                                                    <w:left w:val="none" w:sz="0" w:space="0" w:color="auto"/>
                                                                    <w:bottom w:val="none" w:sz="0" w:space="0" w:color="auto"/>
                                                                    <w:right w:val="none" w:sz="0" w:space="0" w:color="auto"/>
                                                                  </w:divBdr>
                                                                  <w:divsChild>
                                                                    <w:div w:id="349725151">
                                                                      <w:marLeft w:val="0"/>
                                                                      <w:marRight w:val="0"/>
                                                                      <w:marTop w:val="0"/>
                                                                      <w:marBottom w:val="0"/>
                                                                      <w:divBdr>
                                                                        <w:top w:val="none" w:sz="0" w:space="0" w:color="auto"/>
                                                                        <w:left w:val="none" w:sz="0" w:space="0" w:color="auto"/>
                                                                        <w:bottom w:val="none" w:sz="0" w:space="0" w:color="auto"/>
                                                                        <w:right w:val="none" w:sz="0" w:space="0" w:color="auto"/>
                                                                      </w:divBdr>
                                                                      <w:divsChild>
                                                                        <w:div w:id="520093770">
                                                                          <w:marLeft w:val="0"/>
                                                                          <w:marRight w:val="0"/>
                                                                          <w:marTop w:val="0"/>
                                                                          <w:marBottom w:val="0"/>
                                                                          <w:divBdr>
                                                                            <w:top w:val="none" w:sz="0" w:space="0" w:color="auto"/>
                                                                            <w:left w:val="none" w:sz="0" w:space="0" w:color="auto"/>
                                                                            <w:bottom w:val="none" w:sz="0" w:space="0" w:color="auto"/>
                                                                            <w:right w:val="none" w:sz="0" w:space="0" w:color="auto"/>
                                                                          </w:divBdr>
                                                                        </w:div>
                                                                      </w:divsChild>
                                                                    </w:div>
                                                                    <w:div w:id="579212422">
                                                                      <w:marLeft w:val="0"/>
                                                                      <w:marRight w:val="0"/>
                                                                      <w:marTop w:val="0"/>
                                                                      <w:marBottom w:val="0"/>
                                                                      <w:divBdr>
                                                                        <w:top w:val="none" w:sz="0" w:space="0" w:color="auto"/>
                                                                        <w:left w:val="none" w:sz="0" w:space="0" w:color="auto"/>
                                                                        <w:bottom w:val="none" w:sz="0" w:space="0" w:color="auto"/>
                                                                        <w:right w:val="none" w:sz="0" w:space="0" w:color="auto"/>
                                                                      </w:divBdr>
                                                                      <w:divsChild>
                                                                        <w:div w:id="816990064">
                                                                          <w:marLeft w:val="0"/>
                                                                          <w:marRight w:val="0"/>
                                                                          <w:marTop w:val="0"/>
                                                                          <w:marBottom w:val="0"/>
                                                                          <w:divBdr>
                                                                            <w:top w:val="none" w:sz="0" w:space="0" w:color="auto"/>
                                                                            <w:left w:val="none" w:sz="0" w:space="0" w:color="auto"/>
                                                                            <w:bottom w:val="none" w:sz="0" w:space="0" w:color="auto"/>
                                                                            <w:right w:val="none" w:sz="0" w:space="0" w:color="auto"/>
                                                                          </w:divBdr>
                                                                        </w:div>
                                                                      </w:divsChild>
                                                                    </w:div>
                                                                    <w:div w:id="1202278533">
                                                                      <w:marLeft w:val="0"/>
                                                                      <w:marRight w:val="0"/>
                                                                      <w:marTop w:val="0"/>
                                                                      <w:marBottom w:val="0"/>
                                                                      <w:divBdr>
                                                                        <w:top w:val="none" w:sz="0" w:space="0" w:color="auto"/>
                                                                        <w:left w:val="none" w:sz="0" w:space="0" w:color="auto"/>
                                                                        <w:bottom w:val="none" w:sz="0" w:space="0" w:color="auto"/>
                                                                        <w:right w:val="none" w:sz="0" w:space="0" w:color="auto"/>
                                                                      </w:divBdr>
                                                                      <w:divsChild>
                                                                        <w:div w:id="1074549144">
                                                                          <w:marLeft w:val="0"/>
                                                                          <w:marRight w:val="0"/>
                                                                          <w:marTop w:val="0"/>
                                                                          <w:marBottom w:val="0"/>
                                                                          <w:divBdr>
                                                                            <w:top w:val="none" w:sz="0" w:space="0" w:color="auto"/>
                                                                            <w:left w:val="none" w:sz="0" w:space="0" w:color="auto"/>
                                                                            <w:bottom w:val="none" w:sz="0" w:space="0" w:color="auto"/>
                                                                            <w:right w:val="none" w:sz="0" w:space="0" w:color="auto"/>
                                                                          </w:divBdr>
                                                                        </w:div>
                                                                      </w:divsChild>
                                                                    </w:div>
                                                                    <w:div w:id="1450315268">
                                                                      <w:marLeft w:val="0"/>
                                                                      <w:marRight w:val="0"/>
                                                                      <w:marTop w:val="0"/>
                                                                      <w:marBottom w:val="0"/>
                                                                      <w:divBdr>
                                                                        <w:top w:val="none" w:sz="0" w:space="0" w:color="auto"/>
                                                                        <w:left w:val="none" w:sz="0" w:space="0" w:color="auto"/>
                                                                        <w:bottom w:val="none" w:sz="0" w:space="0" w:color="auto"/>
                                                                        <w:right w:val="none" w:sz="0" w:space="0" w:color="auto"/>
                                                                      </w:divBdr>
                                                                      <w:divsChild>
                                                                        <w:div w:id="1102260115">
                                                                          <w:marLeft w:val="0"/>
                                                                          <w:marRight w:val="0"/>
                                                                          <w:marTop w:val="0"/>
                                                                          <w:marBottom w:val="0"/>
                                                                          <w:divBdr>
                                                                            <w:top w:val="none" w:sz="0" w:space="0" w:color="auto"/>
                                                                            <w:left w:val="none" w:sz="0" w:space="0" w:color="auto"/>
                                                                            <w:bottom w:val="none" w:sz="0" w:space="0" w:color="auto"/>
                                                                            <w:right w:val="none" w:sz="0" w:space="0" w:color="auto"/>
                                                                          </w:divBdr>
                                                                        </w:div>
                                                                      </w:divsChild>
                                                                    </w:div>
                                                                    <w:div w:id="1798177140">
                                                                      <w:marLeft w:val="0"/>
                                                                      <w:marRight w:val="0"/>
                                                                      <w:marTop w:val="0"/>
                                                                      <w:marBottom w:val="0"/>
                                                                      <w:divBdr>
                                                                        <w:top w:val="none" w:sz="0" w:space="0" w:color="auto"/>
                                                                        <w:left w:val="none" w:sz="0" w:space="0" w:color="auto"/>
                                                                        <w:bottom w:val="none" w:sz="0" w:space="0" w:color="auto"/>
                                                                        <w:right w:val="none" w:sz="0" w:space="0" w:color="auto"/>
                                                                      </w:divBdr>
                                                                      <w:divsChild>
                                                                        <w:div w:id="204492048">
                                                                          <w:marLeft w:val="0"/>
                                                                          <w:marRight w:val="0"/>
                                                                          <w:marTop w:val="0"/>
                                                                          <w:marBottom w:val="0"/>
                                                                          <w:divBdr>
                                                                            <w:top w:val="none" w:sz="0" w:space="0" w:color="auto"/>
                                                                            <w:left w:val="none" w:sz="0" w:space="0" w:color="auto"/>
                                                                            <w:bottom w:val="none" w:sz="0" w:space="0" w:color="auto"/>
                                                                            <w:right w:val="none" w:sz="0" w:space="0" w:color="auto"/>
                                                                          </w:divBdr>
                                                                        </w:div>
                                                                      </w:divsChild>
                                                                    </w:div>
                                                                    <w:div w:id="1856919281">
                                                                      <w:marLeft w:val="0"/>
                                                                      <w:marRight w:val="0"/>
                                                                      <w:marTop w:val="0"/>
                                                                      <w:marBottom w:val="0"/>
                                                                      <w:divBdr>
                                                                        <w:top w:val="none" w:sz="0" w:space="0" w:color="auto"/>
                                                                        <w:left w:val="none" w:sz="0" w:space="0" w:color="auto"/>
                                                                        <w:bottom w:val="none" w:sz="0" w:space="0" w:color="auto"/>
                                                                        <w:right w:val="none" w:sz="0" w:space="0" w:color="auto"/>
                                                                      </w:divBdr>
                                                                      <w:divsChild>
                                                                        <w:div w:id="1420100266">
                                                                          <w:marLeft w:val="0"/>
                                                                          <w:marRight w:val="0"/>
                                                                          <w:marTop w:val="0"/>
                                                                          <w:marBottom w:val="0"/>
                                                                          <w:divBdr>
                                                                            <w:top w:val="none" w:sz="0" w:space="0" w:color="auto"/>
                                                                            <w:left w:val="none" w:sz="0" w:space="0" w:color="auto"/>
                                                                            <w:bottom w:val="none" w:sz="0" w:space="0" w:color="auto"/>
                                                                            <w:right w:val="none" w:sz="0" w:space="0" w:color="auto"/>
                                                                          </w:divBdr>
                                                                        </w:div>
                                                                        <w:div w:id="1513950473">
                                                                          <w:marLeft w:val="0"/>
                                                                          <w:marRight w:val="0"/>
                                                                          <w:marTop w:val="0"/>
                                                                          <w:marBottom w:val="0"/>
                                                                          <w:divBdr>
                                                                            <w:top w:val="none" w:sz="0" w:space="0" w:color="auto"/>
                                                                            <w:left w:val="none" w:sz="0" w:space="0" w:color="auto"/>
                                                                            <w:bottom w:val="none" w:sz="0" w:space="0" w:color="auto"/>
                                                                            <w:right w:val="none" w:sz="0" w:space="0" w:color="auto"/>
                                                                          </w:divBdr>
                                                                          <w:divsChild>
                                                                            <w:div w:id="1215191829">
                                                                              <w:marLeft w:val="0"/>
                                                                              <w:marRight w:val="0"/>
                                                                              <w:marTop w:val="0"/>
                                                                              <w:marBottom w:val="0"/>
                                                                              <w:divBdr>
                                                                                <w:top w:val="none" w:sz="0" w:space="0" w:color="auto"/>
                                                                                <w:left w:val="none" w:sz="0" w:space="0" w:color="auto"/>
                                                                                <w:bottom w:val="none" w:sz="0" w:space="0" w:color="auto"/>
                                                                                <w:right w:val="none" w:sz="0" w:space="0" w:color="auto"/>
                                                                              </w:divBdr>
                                                                            </w:div>
                                                                          </w:divsChild>
                                                                        </w:div>
                                                                        <w:div w:id="1531457635">
                                                                          <w:marLeft w:val="0"/>
                                                                          <w:marRight w:val="0"/>
                                                                          <w:marTop w:val="0"/>
                                                                          <w:marBottom w:val="0"/>
                                                                          <w:divBdr>
                                                                            <w:top w:val="none" w:sz="0" w:space="0" w:color="auto"/>
                                                                            <w:left w:val="none" w:sz="0" w:space="0" w:color="auto"/>
                                                                            <w:bottom w:val="none" w:sz="0" w:space="0" w:color="auto"/>
                                                                            <w:right w:val="none" w:sz="0" w:space="0" w:color="auto"/>
                                                                          </w:divBdr>
                                                                          <w:divsChild>
                                                                            <w:div w:id="596644594">
                                                                              <w:marLeft w:val="0"/>
                                                                              <w:marRight w:val="0"/>
                                                                              <w:marTop w:val="0"/>
                                                                              <w:marBottom w:val="0"/>
                                                                              <w:divBdr>
                                                                                <w:top w:val="none" w:sz="0" w:space="0" w:color="auto"/>
                                                                                <w:left w:val="none" w:sz="0" w:space="0" w:color="auto"/>
                                                                                <w:bottom w:val="none" w:sz="0" w:space="0" w:color="auto"/>
                                                                                <w:right w:val="none" w:sz="0" w:space="0" w:color="auto"/>
                                                                              </w:divBdr>
                                                                            </w:div>
                                                                          </w:divsChild>
                                                                        </w:div>
                                                                        <w:div w:id="1831556582">
                                                                          <w:marLeft w:val="0"/>
                                                                          <w:marRight w:val="0"/>
                                                                          <w:marTop w:val="0"/>
                                                                          <w:marBottom w:val="0"/>
                                                                          <w:divBdr>
                                                                            <w:top w:val="none" w:sz="0" w:space="0" w:color="auto"/>
                                                                            <w:left w:val="none" w:sz="0" w:space="0" w:color="auto"/>
                                                                            <w:bottom w:val="none" w:sz="0" w:space="0" w:color="auto"/>
                                                                            <w:right w:val="none" w:sz="0" w:space="0" w:color="auto"/>
                                                                          </w:divBdr>
                                                                        </w:div>
                                                                      </w:divsChild>
                                                                    </w:div>
                                                                    <w:div w:id="1865899262">
                                                                      <w:marLeft w:val="0"/>
                                                                      <w:marRight w:val="0"/>
                                                                      <w:marTop w:val="0"/>
                                                                      <w:marBottom w:val="0"/>
                                                                      <w:divBdr>
                                                                        <w:top w:val="none" w:sz="0" w:space="0" w:color="auto"/>
                                                                        <w:left w:val="none" w:sz="0" w:space="0" w:color="auto"/>
                                                                        <w:bottom w:val="none" w:sz="0" w:space="0" w:color="auto"/>
                                                                        <w:right w:val="none" w:sz="0" w:space="0" w:color="auto"/>
                                                                      </w:divBdr>
                                                                      <w:divsChild>
                                                                        <w:div w:id="3913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148873">
      <w:bodyDiv w:val="1"/>
      <w:marLeft w:val="0"/>
      <w:marRight w:val="0"/>
      <w:marTop w:val="0"/>
      <w:marBottom w:val="0"/>
      <w:divBdr>
        <w:top w:val="none" w:sz="0" w:space="0" w:color="auto"/>
        <w:left w:val="none" w:sz="0" w:space="0" w:color="auto"/>
        <w:bottom w:val="none" w:sz="0" w:space="0" w:color="auto"/>
        <w:right w:val="none" w:sz="0" w:space="0" w:color="auto"/>
      </w:divBdr>
      <w:divsChild>
        <w:div w:id="1078749209">
          <w:marLeft w:val="0"/>
          <w:marRight w:val="0"/>
          <w:marTop w:val="0"/>
          <w:marBottom w:val="0"/>
          <w:divBdr>
            <w:top w:val="none" w:sz="0" w:space="0" w:color="auto"/>
            <w:left w:val="none" w:sz="0" w:space="0" w:color="auto"/>
            <w:bottom w:val="none" w:sz="0" w:space="0" w:color="auto"/>
            <w:right w:val="none" w:sz="0" w:space="0" w:color="auto"/>
          </w:divBdr>
          <w:divsChild>
            <w:div w:id="2073767774">
              <w:marLeft w:val="0"/>
              <w:marRight w:val="0"/>
              <w:marTop w:val="0"/>
              <w:marBottom w:val="0"/>
              <w:divBdr>
                <w:top w:val="none" w:sz="0" w:space="0" w:color="auto"/>
                <w:left w:val="none" w:sz="0" w:space="0" w:color="auto"/>
                <w:bottom w:val="none" w:sz="0" w:space="0" w:color="auto"/>
                <w:right w:val="none" w:sz="0" w:space="0" w:color="auto"/>
              </w:divBdr>
              <w:divsChild>
                <w:div w:id="2088990111">
                  <w:marLeft w:val="0"/>
                  <w:marRight w:val="0"/>
                  <w:marTop w:val="0"/>
                  <w:marBottom w:val="0"/>
                  <w:divBdr>
                    <w:top w:val="none" w:sz="0" w:space="0" w:color="auto"/>
                    <w:left w:val="none" w:sz="0" w:space="0" w:color="auto"/>
                    <w:bottom w:val="none" w:sz="0" w:space="0" w:color="auto"/>
                    <w:right w:val="none" w:sz="0" w:space="0" w:color="auto"/>
                  </w:divBdr>
                  <w:divsChild>
                    <w:div w:id="746073304">
                      <w:marLeft w:val="0"/>
                      <w:marRight w:val="0"/>
                      <w:marTop w:val="0"/>
                      <w:marBottom w:val="0"/>
                      <w:divBdr>
                        <w:top w:val="none" w:sz="0" w:space="0" w:color="auto"/>
                        <w:left w:val="none" w:sz="0" w:space="0" w:color="auto"/>
                        <w:bottom w:val="none" w:sz="0" w:space="0" w:color="auto"/>
                        <w:right w:val="none" w:sz="0" w:space="0" w:color="auto"/>
                      </w:divBdr>
                      <w:divsChild>
                        <w:div w:id="1613899449">
                          <w:marLeft w:val="0"/>
                          <w:marRight w:val="0"/>
                          <w:marTop w:val="0"/>
                          <w:marBottom w:val="0"/>
                          <w:divBdr>
                            <w:top w:val="none" w:sz="0" w:space="0" w:color="auto"/>
                            <w:left w:val="none" w:sz="0" w:space="0" w:color="auto"/>
                            <w:bottom w:val="none" w:sz="0" w:space="0" w:color="auto"/>
                            <w:right w:val="none" w:sz="0" w:space="0" w:color="auto"/>
                          </w:divBdr>
                          <w:divsChild>
                            <w:div w:id="763380106">
                              <w:marLeft w:val="0"/>
                              <w:marRight w:val="0"/>
                              <w:marTop w:val="0"/>
                              <w:marBottom w:val="0"/>
                              <w:divBdr>
                                <w:top w:val="none" w:sz="0" w:space="0" w:color="auto"/>
                                <w:left w:val="none" w:sz="0" w:space="0" w:color="auto"/>
                                <w:bottom w:val="none" w:sz="0" w:space="0" w:color="auto"/>
                                <w:right w:val="none" w:sz="0" w:space="0" w:color="auto"/>
                              </w:divBdr>
                              <w:divsChild>
                                <w:div w:id="16694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341596">
      <w:bodyDiv w:val="1"/>
      <w:marLeft w:val="0"/>
      <w:marRight w:val="0"/>
      <w:marTop w:val="0"/>
      <w:marBottom w:val="0"/>
      <w:divBdr>
        <w:top w:val="none" w:sz="0" w:space="0" w:color="auto"/>
        <w:left w:val="none" w:sz="0" w:space="0" w:color="auto"/>
        <w:bottom w:val="none" w:sz="0" w:space="0" w:color="auto"/>
        <w:right w:val="none" w:sz="0" w:space="0" w:color="auto"/>
      </w:divBdr>
      <w:divsChild>
        <w:div w:id="837699146">
          <w:marLeft w:val="0"/>
          <w:marRight w:val="0"/>
          <w:marTop w:val="0"/>
          <w:marBottom w:val="0"/>
          <w:divBdr>
            <w:top w:val="none" w:sz="0" w:space="0" w:color="auto"/>
            <w:left w:val="none" w:sz="0" w:space="0" w:color="auto"/>
            <w:bottom w:val="none" w:sz="0" w:space="0" w:color="auto"/>
            <w:right w:val="none" w:sz="0" w:space="0" w:color="auto"/>
          </w:divBdr>
          <w:divsChild>
            <w:div w:id="1866402641">
              <w:marLeft w:val="0"/>
              <w:marRight w:val="0"/>
              <w:marTop w:val="0"/>
              <w:marBottom w:val="0"/>
              <w:divBdr>
                <w:top w:val="none" w:sz="0" w:space="0" w:color="auto"/>
                <w:left w:val="none" w:sz="0" w:space="0" w:color="auto"/>
                <w:bottom w:val="none" w:sz="0" w:space="0" w:color="auto"/>
                <w:right w:val="none" w:sz="0" w:space="0" w:color="auto"/>
              </w:divBdr>
              <w:divsChild>
                <w:div w:id="1153177511">
                  <w:marLeft w:val="0"/>
                  <w:marRight w:val="0"/>
                  <w:marTop w:val="0"/>
                  <w:marBottom w:val="0"/>
                  <w:divBdr>
                    <w:top w:val="none" w:sz="0" w:space="0" w:color="auto"/>
                    <w:left w:val="none" w:sz="0" w:space="0" w:color="auto"/>
                    <w:bottom w:val="none" w:sz="0" w:space="0" w:color="auto"/>
                    <w:right w:val="none" w:sz="0" w:space="0" w:color="auto"/>
                  </w:divBdr>
                  <w:divsChild>
                    <w:div w:id="1671059901">
                      <w:marLeft w:val="0"/>
                      <w:marRight w:val="0"/>
                      <w:marTop w:val="0"/>
                      <w:marBottom w:val="375"/>
                      <w:divBdr>
                        <w:top w:val="none" w:sz="0" w:space="0" w:color="auto"/>
                        <w:left w:val="none" w:sz="0" w:space="0" w:color="auto"/>
                        <w:bottom w:val="none" w:sz="0" w:space="0" w:color="auto"/>
                        <w:right w:val="none" w:sz="0" w:space="0" w:color="auto"/>
                      </w:divBdr>
                      <w:divsChild>
                        <w:div w:id="10869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13001">
      <w:bodyDiv w:val="1"/>
      <w:marLeft w:val="0"/>
      <w:marRight w:val="0"/>
      <w:marTop w:val="0"/>
      <w:marBottom w:val="0"/>
      <w:divBdr>
        <w:top w:val="none" w:sz="0" w:space="0" w:color="auto"/>
        <w:left w:val="none" w:sz="0" w:space="0" w:color="auto"/>
        <w:bottom w:val="none" w:sz="0" w:space="0" w:color="auto"/>
        <w:right w:val="none" w:sz="0" w:space="0" w:color="auto"/>
      </w:divBdr>
    </w:div>
    <w:div w:id="585067683">
      <w:bodyDiv w:val="1"/>
      <w:marLeft w:val="0"/>
      <w:marRight w:val="0"/>
      <w:marTop w:val="0"/>
      <w:marBottom w:val="0"/>
      <w:divBdr>
        <w:top w:val="none" w:sz="0" w:space="0" w:color="auto"/>
        <w:left w:val="none" w:sz="0" w:space="0" w:color="auto"/>
        <w:bottom w:val="none" w:sz="0" w:space="0" w:color="auto"/>
        <w:right w:val="none" w:sz="0" w:space="0" w:color="auto"/>
      </w:divBdr>
      <w:divsChild>
        <w:div w:id="1625958730">
          <w:marLeft w:val="0"/>
          <w:marRight w:val="0"/>
          <w:marTop w:val="0"/>
          <w:marBottom w:val="0"/>
          <w:divBdr>
            <w:top w:val="none" w:sz="0" w:space="0" w:color="auto"/>
            <w:left w:val="single" w:sz="6" w:space="0" w:color="BBBBBB"/>
            <w:bottom w:val="single" w:sz="6" w:space="0" w:color="BBBBBB"/>
            <w:right w:val="single" w:sz="6" w:space="0" w:color="BBBBBB"/>
          </w:divBdr>
          <w:divsChild>
            <w:div w:id="1284073048">
              <w:marLeft w:val="0"/>
              <w:marRight w:val="0"/>
              <w:marTop w:val="0"/>
              <w:marBottom w:val="0"/>
              <w:divBdr>
                <w:top w:val="none" w:sz="0" w:space="0" w:color="auto"/>
                <w:left w:val="none" w:sz="0" w:space="0" w:color="auto"/>
                <w:bottom w:val="none" w:sz="0" w:space="0" w:color="auto"/>
                <w:right w:val="none" w:sz="0" w:space="0" w:color="auto"/>
              </w:divBdr>
              <w:divsChild>
                <w:div w:id="613635634">
                  <w:marLeft w:val="0"/>
                  <w:marRight w:val="0"/>
                  <w:marTop w:val="75"/>
                  <w:marBottom w:val="0"/>
                  <w:divBdr>
                    <w:top w:val="none" w:sz="0" w:space="0" w:color="auto"/>
                    <w:left w:val="none" w:sz="0" w:space="0" w:color="auto"/>
                    <w:bottom w:val="none" w:sz="0" w:space="0" w:color="auto"/>
                    <w:right w:val="none" w:sz="0" w:space="0" w:color="auto"/>
                  </w:divBdr>
                  <w:divsChild>
                    <w:div w:id="1318925750">
                      <w:marLeft w:val="0"/>
                      <w:marRight w:val="0"/>
                      <w:marTop w:val="0"/>
                      <w:marBottom w:val="0"/>
                      <w:divBdr>
                        <w:top w:val="none" w:sz="0" w:space="0" w:color="auto"/>
                        <w:left w:val="none" w:sz="0" w:space="0" w:color="auto"/>
                        <w:bottom w:val="none" w:sz="0" w:space="0" w:color="auto"/>
                        <w:right w:val="none" w:sz="0" w:space="0" w:color="auto"/>
                      </w:divBdr>
                      <w:divsChild>
                        <w:div w:id="1833830339">
                          <w:marLeft w:val="0"/>
                          <w:marRight w:val="0"/>
                          <w:marTop w:val="0"/>
                          <w:marBottom w:val="0"/>
                          <w:divBdr>
                            <w:top w:val="none" w:sz="0" w:space="0" w:color="auto"/>
                            <w:left w:val="none" w:sz="0" w:space="0" w:color="auto"/>
                            <w:bottom w:val="none" w:sz="0" w:space="0" w:color="auto"/>
                            <w:right w:val="none" w:sz="0" w:space="0" w:color="auto"/>
                          </w:divBdr>
                          <w:divsChild>
                            <w:div w:id="584002055">
                              <w:marLeft w:val="0"/>
                              <w:marRight w:val="0"/>
                              <w:marTop w:val="0"/>
                              <w:marBottom w:val="0"/>
                              <w:divBdr>
                                <w:top w:val="none" w:sz="0" w:space="0" w:color="auto"/>
                                <w:left w:val="none" w:sz="0" w:space="0" w:color="auto"/>
                                <w:bottom w:val="none" w:sz="0" w:space="0" w:color="auto"/>
                                <w:right w:val="none" w:sz="0" w:space="0" w:color="auto"/>
                              </w:divBdr>
                              <w:divsChild>
                                <w:div w:id="1951088902">
                                  <w:marLeft w:val="0"/>
                                  <w:marRight w:val="0"/>
                                  <w:marTop w:val="0"/>
                                  <w:marBottom w:val="0"/>
                                  <w:divBdr>
                                    <w:top w:val="none" w:sz="0" w:space="0" w:color="auto"/>
                                    <w:left w:val="none" w:sz="0" w:space="0" w:color="auto"/>
                                    <w:bottom w:val="none" w:sz="0" w:space="0" w:color="auto"/>
                                    <w:right w:val="none" w:sz="0" w:space="0" w:color="auto"/>
                                  </w:divBdr>
                                  <w:divsChild>
                                    <w:div w:id="1345521270">
                                      <w:marLeft w:val="0"/>
                                      <w:marRight w:val="0"/>
                                      <w:marTop w:val="0"/>
                                      <w:marBottom w:val="0"/>
                                      <w:divBdr>
                                        <w:top w:val="none" w:sz="0" w:space="0" w:color="auto"/>
                                        <w:left w:val="none" w:sz="0" w:space="0" w:color="auto"/>
                                        <w:bottom w:val="none" w:sz="0" w:space="0" w:color="auto"/>
                                        <w:right w:val="none" w:sz="0" w:space="0" w:color="auto"/>
                                      </w:divBdr>
                                      <w:divsChild>
                                        <w:div w:id="1053508084">
                                          <w:marLeft w:val="1200"/>
                                          <w:marRight w:val="1200"/>
                                          <w:marTop w:val="0"/>
                                          <w:marBottom w:val="0"/>
                                          <w:divBdr>
                                            <w:top w:val="none" w:sz="0" w:space="0" w:color="auto"/>
                                            <w:left w:val="none" w:sz="0" w:space="0" w:color="auto"/>
                                            <w:bottom w:val="none" w:sz="0" w:space="0" w:color="auto"/>
                                            <w:right w:val="none" w:sz="0" w:space="0" w:color="auto"/>
                                          </w:divBdr>
                                          <w:divsChild>
                                            <w:div w:id="1007252506">
                                              <w:marLeft w:val="0"/>
                                              <w:marRight w:val="0"/>
                                              <w:marTop w:val="0"/>
                                              <w:marBottom w:val="0"/>
                                              <w:divBdr>
                                                <w:top w:val="none" w:sz="0" w:space="0" w:color="auto"/>
                                                <w:left w:val="none" w:sz="0" w:space="0" w:color="auto"/>
                                                <w:bottom w:val="none" w:sz="0" w:space="0" w:color="auto"/>
                                                <w:right w:val="none" w:sz="0" w:space="0" w:color="auto"/>
                                              </w:divBdr>
                                              <w:divsChild>
                                                <w:div w:id="1348674150">
                                                  <w:marLeft w:val="0"/>
                                                  <w:marRight w:val="0"/>
                                                  <w:marTop w:val="0"/>
                                                  <w:marBottom w:val="0"/>
                                                  <w:divBdr>
                                                    <w:top w:val="none" w:sz="0" w:space="0" w:color="auto"/>
                                                    <w:left w:val="none" w:sz="0" w:space="0" w:color="auto"/>
                                                    <w:bottom w:val="none" w:sz="0" w:space="0" w:color="auto"/>
                                                    <w:right w:val="none" w:sz="0" w:space="0" w:color="auto"/>
                                                  </w:divBdr>
                                                  <w:divsChild>
                                                    <w:div w:id="47533654">
                                                      <w:marLeft w:val="0"/>
                                                      <w:marRight w:val="0"/>
                                                      <w:marTop w:val="0"/>
                                                      <w:marBottom w:val="0"/>
                                                      <w:divBdr>
                                                        <w:top w:val="none" w:sz="0" w:space="0" w:color="auto"/>
                                                        <w:left w:val="none" w:sz="0" w:space="0" w:color="auto"/>
                                                        <w:bottom w:val="none" w:sz="0" w:space="0" w:color="auto"/>
                                                        <w:right w:val="none" w:sz="0" w:space="0" w:color="auto"/>
                                                      </w:divBdr>
                                                      <w:divsChild>
                                                        <w:div w:id="738598087">
                                                          <w:marLeft w:val="0"/>
                                                          <w:marRight w:val="0"/>
                                                          <w:marTop w:val="0"/>
                                                          <w:marBottom w:val="0"/>
                                                          <w:divBdr>
                                                            <w:top w:val="none" w:sz="0" w:space="0" w:color="auto"/>
                                                            <w:left w:val="none" w:sz="0" w:space="0" w:color="auto"/>
                                                            <w:bottom w:val="none" w:sz="0" w:space="0" w:color="auto"/>
                                                            <w:right w:val="none" w:sz="0" w:space="0" w:color="auto"/>
                                                          </w:divBdr>
                                                          <w:divsChild>
                                                            <w:div w:id="2064013713">
                                                              <w:marLeft w:val="0"/>
                                                              <w:marRight w:val="0"/>
                                                              <w:marTop w:val="0"/>
                                                              <w:marBottom w:val="0"/>
                                                              <w:divBdr>
                                                                <w:top w:val="none" w:sz="0" w:space="0" w:color="auto"/>
                                                                <w:left w:val="none" w:sz="0" w:space="0" w:color="auto"/>
                                                                <w:bottom w:val="none" w:sz="0" w:space="0" w:color="auto"/>
                                                                <w:right w:val="none" w:sz="0" w:space="0" w:color="auto"/>
                                                              </w:divBdr>
                                                              <w:divsChild>
                                                                <w:div w:id="626207183">
                                                                  <w:marLeft w:val="0"/>
                                                                  <w:marRight w:val="0"/>
                                                                  <w:marTop w:val="0"/>
                                                                  <w:marBottom w:val="0"/>
                                                                  <w:divBdr>
                                                                    <w:top w:val="none" w:sz="0" w:space="0" w:color="auto"/>
                                                                    <w:left w:val="none" w:sz="0" w:space="0" w:color="auto"/>
                                                                    <w:bottom w:val="none" w:sz="0" w:space="0" w:color="auto"/>
                                                                    <w:right w:val="none" w:sz="0" w:space="0" w:color="auto"/>
                                                                  </w:divBdr>
                                                                  <w:divsChild>
                                                                    <w:div w:id="947782998">
                                                                      <w:marLeft w:val="0"/>
                                                                      <w:marRight w:val="0"/>
                                                                      <w:marTop w:val="0"/>
                                                                      <w:marBottom w:val="0"/>
                                                                      <w:divBdr>
                                                                        <w:top w:val="none" w:sz="0" w:space="0" w:color="auto"/>
                                                                        <w:left w:val="none" w:sz="0" w:space="0" w:color="auto"/>
                                                                        <w:bottom w:val="none" w:sz="0" w:space="0" w:color="auto"/>
                                                                        <w:right w:val="none" w:sz="0" w:space="0" w:color="auto"/>
                                                                      </w:divBdr>
                                                                      <w:divsChild>
                                                                        <w:div w:id="253052954">
                                                                          <w:marLeft w:val="0"/>
                                                                          <w:marRight w:val="0"/>
                                                                          <w:marTop w:val="0"/>
                                                                          <w:marBottom w:val="0"/>
                                                                          <w:divBdr>
                                                                            <w:top w:val="none" w:sz="0" w:space="0" w:color="auto"/>
                                                                            <w:left w:val="none" w:sz="0" w:space="0" w:color="auto"/>
                                                                            <w:bottom w:val="none" w:sz="0" w:space="0" w:color="auto"/>
                                                                            <w:right w:val="none" w:sz="0" w:space="0" w:color="auto"/>
                                                                          </w:divBdr>
                                                                        </w:div>
                                                                      </w:divsChild>
                                                                    </w:div>
                                                                    <w:div w:id="1246455733">
                                                                      <w:marLeft w:val="0"/>
                                                                      <w:marRight w:val="0"/>
                                                                      <w:marTop w:val="0"/>
                                                                      <w:marBottom w:val="0"/>
                                                                      <w:divBdr>
                                                                        <w:top w:val="none" w:sz="0" w:space="0" w:color="auto"/>
                                                                        <w:left w:val="none" w:sz="0" w:space="0" w:color="auto"/>
                                                                        <w:bottom w:val="none" w:sz="0" w:space="0" w:color="auto"/>
                                                                        <w:right w:val="none" w:sz="0" w:space="0" w:color="auto"/>
                                                                      </w:divBdr>
                                                                      <w:divsChild>
                                                                        <w:div w:id="751008401">
                                                                          <w:marLeft w:val="0"/>
                                                                          <w:marRight w:val="0"/>
                                                                          <w:marTop w:val="0"/>
                                                                          <w:marBottom w:val="0"/>
                                                                          <w:divBdr>
                                                                            <w:top w:val="none" w:sz="0" w:space="0" w:color="auto"/>
                                                                            <w:left w:val="none" w:sz="0" w:space="0" w:color="auto"/>
                                                                            <w:bottom w:val="none" w:sz="0" w:space="0" w:color="auto"/>
                                                                            <w:right w:val="none" w:sz="0" w:space="0" w:color="auto"/>
                                                                          </w:divBdr>
                                                                        </w:div>
                                                                      </w:divsChild>
                                                                    </w:div>
                                                                    <w:div w:id="1430734737">
                                                                      <w:marLeft w:val="0"/>
                                                                      <w:marRight w:val="0"/>
                                                                      <w:marTop w:val="0"/>
                                                                      <w:marBottom w:val="0"/>
                                                                      <w:divBdr>
                                                                        <w:top w:val="none" w:sz="0" w:space="0" w:color="auto"/>
                                                                        <w:left w:val="none" w:sz="0" w:space="0" w:color="auto"/>
                                                                        <w:bottom w:val="none" w:sz="0" w:space="0" w:color="auto"/>
                                                                        <w:right w:val="none" w:sz="0" w:space="0" w:color="auto"/>
                                                                      </w:divBdr>
                                                                      <w:divsChild>
                                                                        <w:div w:id="213659710">
                                                                          <w:marLeft w:val="0"/>
                                                                          <w:marRight w:val="0"/>
                                                                          <w:marTop w:val="0"/>
                                                                          <w:marBottom w:val="0"/>
                                                                          <w:divBdr>
                                                                            <w:top w:val="none" w:sz="0" w:space="0" w:color="auto"/>
                                                                            <w:left w:val="none" w:sz="0" w:space="0" w:color="auto"/>
                                                                            <w:bottom w:val="none" w:sz="0" w:space="0" w:color="auto"/>
                                                                            <w:right w:val="none" w:sz="0" w:space="0" w:color="auto"/>
                                                                          </w:divBdr>
                                                                        </w:div>
                                                                      </w:divsChild>
                                                                    </w:div>
                                                                    <w:div w:id="1709834530">
                                                                      <w:marLeft w:val="0"/>
                                                                      <w:marRight w:val="0"/>
                                                                      <w:marTop w:val="0"/>
                                                                      <w:marBottom w:val="0"/>
                                                                      <w:divBdr>
                                                                        <w:top w:val="none" w:sz="0" w:space="0" w:color="auto"/>
                                                                        <w:left w:val="none" w:sz="0" w:space="0" w:color="auto"/>
                                                                        <w:bottom w:val="none" w:sz="0" w:space="0" w:color="auto"/>
                                                                        <w:right w:val="none" w:sz="0" w:space="0" w:color="auto"/>
                                                                      </w:divBdr>
                                                                      <w:divsChild>
                                                                        <w:div w:id="99530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892418">
      <w:bodyDiv w:val="1"/>
      <w:marLeft w:val="0"/>
      <w:marRight w:val="0"/>
      <w:marTop w:val="0"/>
      <w:marBottom w:val="0"/>
      <w:divBdr>
        <w:top w:val="none" w:sz="0" w:space="0" w:color="auto"/>
        <w:left w:val="none" w:sz="0" w:space="0" w:color="auto"/>
        <w:bottom w:val="none" w:sz="0" w:space="0" w:color="auto"/>
        <w:right w:val="none" w:sz="0" w:space="0" w:color="auto"/>
      </w:divBdr>
    </w:div>
    <w:div w:id="586158450">
      <w:bodyDiv w:val="1"/>
      <w:marLeft w:val="0"/>
      <w:marRight w:val="0"/>
      <w:marTop w:val="0"/>
      <w:marBottom w:val="0"/>
      <w:divBdr>
        <w:top w:val="none" w:sz="0" w:space="0" w:color="auto"/>
        <w:left w:val="none" w:sz="0" w:space="0" w:color="auto"/>
        <w:bottom w:val="none" w:sz="0" w:space="0" w:color="auto"/>
        <w:right w:val="none" w:sz="0" w:space="0" w:color="auto"/>
      </w:divBdr>
      <w:divsChild>
        <w:div w:id="2782224">
          <w:marLeft w:val="0"/>
          <w:marRight w:val="0"/>
          <w:marTop w:val="0"/>
          <w:marBottom w:val="0"/>
          <w:divBdr>
            <w:top w:val="none" w:sz="0" w:space="0" w:color="auto"/>
            <w:left w:val="single" w:sz="6" w:space="0" w:color="BBBBBB"/>
            <w:bottom w:val="single" w:sz="6" w:space="0" w:color="BBBBBB"/>
            <w:right w:val="single" w:sz="6" w:space="0" w:color="BBBBBB"/>
          </w:divBdr>
          <w:divsChild>
            <w:div w:id="954825153">
              <w:marLeft w:val="0"/>
              <w:marRight w:val="0"/>
              <w:marTop w:val="0"/>
              <w:marBottom w:val="0"/>
              <w:divBdr>
                <w:top w:val="none" w:sz="0" w:space="0" w:color="auto"/>
                <w:left w:val="none" w:sz="0" w:space="0" w:color="auto"/>
                <w:bottom w:val="none" w:sz="0" w:space="0" w:color="auto"/>
                <w:right w:val="none" w:sz="0" w:space="0" w:color="auto"/>
              </w:divBdr>
              <w:divsChild>
                <w:div w:id="1034891883">
                  <w:marLeft w:val="0"/>
                  <w:marRight w:val="0"/>
                  <w:marTop w:val="75"/>
                  <w:marBottom w:val="0"/>
                  <w:divBdr>
                    <w:top w:val="none" w:sz="0" w:space="0" w:color="auto"/>
                    <w:left w:val="none" w:sz="0" w:space="0" w:color="auto"/>
                    <w:bottom w:val="none" w:sz="0" w:space="0" w:color="auto"/>
                    <w:right w:val="none" w:sz="0" w:space="0" w:color="auto"/>
                  </w:divBdr>
                  <w:divsChild>
                    <w:div w:id="1050766168">
                      <w:marLeft w:val="0"/>
                      <w:marRight w:val="0"/>
                      <w:marTop w:val="0"/>
                      <w:marBottom w:val="0"/>
                      <w:divBdr>
                        <w:top w:val="none" w:sz="0" w:space="0" w:color="auto"/>
                        <w:left w:val="none" w:sz="0" w:space="0" w:color="auto"/>
                        <w:bottom w:val="none" w:sz="0" w:space="0" w:color="auto"/>
                        <w:right w:val="none" w:sz="0" w:space="0" w:color="auto"/>
                      </w:divBdr>
                      <w:divsChild>
                        <w:div w:id="1717460540">
                          <w:marLeft w:val="0"/>
                          <w:marRight w:val="0"/>
                          <w:marTop w:val="0"/>
                          <w:marBottom w:val="0"/>
                          <w:divBdr>
                            <w:top w:val="none" w:sz="0" w:space="0" w:color="auto"/>
                            <w:left w:val="none" w:sz="0" w:space="0" w:color="auto"/>
                            <w:bottom w:val="none" w:sz="0" w:space="0" w:color="auto"/>
                            <w:right w:val="none" w:sz="0" w:space="0" w:color="auto"/>
                          </w:divBdr>
                          <w:divsChild>
                            <w:div w:id="875699912">
                              <w:marLeft w:val="0"/>
                              <w:marRight w:val="0"/>
                              <w:marTop w:val="0"/>
                              <w:marBottom w:val="0"/>
                              <w:divBdr>
                                <w:top w:val="none" w:sz="0" w:space="0" w:color="auto"/>
                                <w:left w:val="none" w:sz="0" w:space="0" w:color="auto"/>
                                <w:bottom w:val="none" w:sz="0" w:space="0" w:color="auto"/>
                                <w:right w:val="none" w:sz="0" w:space="0" w:color="auto"/>
                              </w:divBdr>
                              <w:divsChild>
                                <w:div w:id="182517761">
                                  <w:marLeft w:val="0"/>
                                  <w:marRight w:val="0"/>
                                  <w:marTop w:val="0"/>
                                  <w:marBottom w:val="0"/>
                                  <w:divBdr>
                                    <w:top w:val="none" w:sz="0" w:space="0" w:color="auto"/>
                                    <w:left w:val="none" w:sz="0" w:space="0" w:color="auto"/>
                                    <w:bottom w:val="none" w:sz="0" w:space="0" w:color="auto"/>
                                    <w:right w:val="none" w:sz="0" w:space="0" w:color="auto"/>
                                  </w:divBdr>
                                  <w:divsChild>
                                    <w:div w:id="392701765">
                                      <w:marLeft w:val="0"/>
                                      <w:marRight w:val="0"/>
                                      <w:marTop w:val="0"/>
                                      <w:marBottom w:val="0"/>
                                      <w:divBdr>
                                        <w:top w:val="none" w:sz="0" w:space="0" w:color="auto"/>
                                        <w:left w:val="none" w:sz="0" w:space="0" w:color="auto"/>
                                        <w:bottom w:val="none" w:sz="0" w:space="0" w:color="auto"/>
                                        <w:right w:val="none" w:sz="0" w:space="0" w:color="auto"/>
                                      </w:divBdr>
                                      <w:divsChild>
                                        <w:div w:id="1678314534">
                                          <w:marLeft w:val="1200"/>
                                          <w:marRight w:val="1200"/>
                                          <w:marTop w:val="0"/>
                                          <w:marBottom w:val="0"/>
                                          <w:divBdr>
                                            <w:top w:val="none" w:sz="0" w:space="0" w:color="auto"/>
                                            <w:left w:val="none" w:sz="0" w:space="0" w:color="auto"/>
                                            <w:bottom w:val="none" w:sz="0" w:space="0" w:color="auto"/>
                                            <w:right w:val="none" w:sz="0" w:space="0" w:color="auto"/>
                                          </w:divBdr>
                                          <w:divsChild>
                                            <w:div w:id="994183488">
                                              <w:marLeft w:val="0"/>
                                              <w:marRight w:val="0"/>
                                              <w:marTop w:val="0"/>
                                              <w:marBottom w:val="0"/>
                                              <w:divBdr>
                                                <w:top w:val="none" w:sz="0" w:space="0" w:color="auto"/>
                                                <w:left w:val="none" w:sz="0" w:space="0" w:color="auto"/>
                                                <w:bottom w:val="none" w:sz="0" w:space="0" w:color="auto"/>
                                                <w:right w:val="none" w:sz="0" w:space="0" w:color="auto"/>
                                              </w:divBdr>
                                              <w:divsChild>
                                                <w:div w:id="1469517977">
                                                  <w:marLeft w:val="0"/>
                                                  <w:marRight w:val="0"/>
                                                  <w:marTop w:val="0"/>
                                                  <w:marBottom w:val="0"/>
                                                  <w:divBdr>
                                                    <w:top w:val="none" w:sz="0" w:space="0" w:color="auto"/>
                                                    <w:left w:val="none" w:sz="0" w:space="0" w:color="auto"/>
                                                    <w:bottom w:val="none" w:sz="0" w:space="0" w:color="auto"/>
                                                    <w:right w:val="none" w:sz="0" w:space="0" w:color="auto"/>
                                                  </w:divBdr>
                                                  <w:divsChild>
                                                    <w:div w:id="1007170436">
                                                      <w:marLeft w:val="0"/>
                                                      <w:marRight w:val="0"/>
                                                      <w:marTop w:val="0"/>
                                                      <w:marBottom w:val="0"/>
                                                      <w:divBdr>
                                                        <w:top w:val="none" w:sz="0" w:space="0" w:color="auto"/>
                                                        <w:left w:val="none" w:sz="0" w:space="0" w:color="auto"/>
                                                        <w:bottom w:val="none" w:sz="0" w:space="0" w:color="auto"/>
                                                        <w:right w:val="none" w:sz="0" w:space="0" w:color="auto"/>
                                                      </w:divBdr>
                                                      <w:divsChild>
                                                        <w:div w:id="180053701">
                                                          <w:marLeft w:val="0"/>
                                                          <w:marRight w:val="0"/>
                                                          <w:marTop w:val="0"/>
                                                          <w:marBottom w:val="0"/>
                                                          <w:divBdr>
                                                            <w:top w:val="none" w:sz="0" w:space="0" w:color="auto"/>
                                                            <w:left w:val="none" w:sz="0" w:space="0" w:color="auto"/>
                                                            <w:bottom w:val="none" w:sz="0" w:space="0" w:color="auto"/>
                                                            <w:right w:val="none" w:sz="0" w:space="0" w:color="auto"/>
                                                          </w:divBdr>
                                                          <w:divsChild>
                                                            <w:div w:id="1847816487">
                                                              <w:marLeft w:val="0"/>
                                                              <w:marRight w:val="0"/>
                                                              <w:marTop w:val="0"/>
                                                              <w:marBottom w:val="0"/>
                                                              <w:divBdr>
                                                                <w:top w:val="none" w:sz="0" w:space="0" w:color="auto"/>
                                                                <w:left w:val="none" w:sz="0" w:space="0" w:color="auto"/>
                                                                <w:bottom w:val="none" w:sz="0" w:space="0" w:color="auto"/>
                                                                <w:right w:val="none" w:sz="0" w:space="0" w:color="auto"/>
                                                              </w:divBdr>
                                                              <w:divsChild>
                                                                <w:div w:id="1797481649">
                                                                  <w:marLeft w:val="0"/>
                                                                  <w:marRight w:val="0"/>
                                                                  <w:marTop w:val="0"/>
                                                                  <w:marBottom w:val="0"/>
                                                                  <w:divBdr>
                                                                    <w:top w:val="none" w:sz="0" w:space="0" w:color="auto"/>
                                                                    <w:left w:val="none" w:sz="0" w:space="0" w:color="auto"/>
                                                                    <w:bottom w:val="none" w:sz="0" w:space="0" w:color="auto"/>
                                                                    <w:right w:val="none" w:sz="0" w:space="0" w:color="auto"/>
                                                                  </w:divBdr>
                                                                  <w:divsChild>
                                                                    <w:div w:id="795684089">
                                                                      <w:marLeft w:val="0"/>
                                                                      <w:marRight w:val="0"/>
                                                                      <w:marTop w:val="0"/>
                                                                      <w:marBottom w:val="0"/>
                                                                      <w:divBdr>
                                                                        <w:top w:val="none" w:sz="0" w:space="0" w:color="auto"/>
                                                                        <w:left w:val="none" w:sz="0" w:space="0" w:color="auto"/>
                                                                        <w:bottom w:val="none" w:sz="0" w:space="0" w:color="auto"/>
                                                                        <w:right w:val="none" w:sz="0" w:space="0" w:color="auto"/>
                                                                      </w:divBdr>
                                                                      <w:divsChild>
                                                                        <w:div w:id="753360940">
                                                                          <w:marLeft w:val="0"/>
                                                                          <w:marRight w:val="0"/>
                                                                          <w:marTop w:val="0"/>
                                                                          <w:marBottom w:val="0"/>
                                                                          <w:divBdr>
                                                                            <w:top w:val="none" w:sz="0" w:space="0" w:color="auto"/>
                                                                            <w:left w:val="none" w:sz="0" w:space="0" w:color="auto"/>
                                                                            <w:bottom w:val="none" w:sz="0" w:space="0" w:color="auto"/>
                                                                            <w:right w:val="none" w:sz="0" w:space="0" w:color="auto"/>
                                                                          </w:divBdr>
                                                                        </w:div>
                                                                      </w:divsChild>
                                                                    </w:div>
                                                                    <w:div w:id="1076128570">
                                                                      <w:marLeft w:val="0"/>
                                                                      <w:marRight w:val="0"/>
                                                                      <w:marTop w:val="0"/>
                                                                      <w:marBottom w:val="0"/>
                                                                      <w:divBdr>
                                                                        <w:top w:val="none" w:sz="0" w:space="0" w:color="auto"/>
                                                                        <w:left w:val="none" w:sz="0" w:space="0" w:color="auto"/>
                                                                        <w:bottom w:val="none" w:sz="0" w:space="0" w:color="auto"/>
                                                                        <w:right w:val="none" w:sz="0" w:space="0" w:color="auto"/>
                                                                      </w:divBdr>
                                                                      <w:divsChild>
                                                                        <w:div w:id="17646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007789">
      <w:bodyDiv w:val="1"/>
      <w:marLeft w:val="0"/>
      <w:marRight w:val="0"/>
      <w:marTop w:val="0"/>
      <w:marBottom w:val="0"/>
      <w:divBdr>
        <w:top w:val="none" w:sz="0" w:space="0" w:color="auto"/>
        <w:left w:val="none" w:sz="0" w:space="0" w:color="auto"/>
        <w:bottom w:val="none" w:sz="0" w:space="0" w:color="auto"/>
        <w:right w:val="none" w:sz="0" w:space="0" w:color="auto"/>
      </w:divBdr>
      <w:divsChild>
        <w:div w:id="320738502">
          <w:marLeft w:val="0"/>
          <w:marRight w:val="0"/>
          <w:marTop w:val="240"/>
          <w:marBottom w:val="0"/>
          <w:divBdr>
            <w:top w:val="none" w:sz="0" w:space="0" w:color="auto"/>
            <w:left w:val="none" w:sz="0" w:space="0" w:color="auto"/>
            <w:bottom w:val="none" w:sz="0" w:space="0" w:color="auto"/>
            <w:right w:val="none" w:sz="0" w:space="0" w:color="auto"/>
          </w:divBdr>
          <w:divsChild>
            <w:div w:id="601686096">
              <w:marLeft w:val="0"/>
              <w:marRight w:val="0"/>
              <w:marTop w:val="0"/>
              <w:marBottom w:val="0"/>
              <w:divBdr>
                <w:top w:val="none" w:sz="0" w:space="0" w:color="auto"/>
                <w:left w:val="none" w:sz="0" w:space="0" w:color="auto"/>
                <w:bottom w:val="none" w:sz="0" w:space="0" w:color="auto"/>
                <w:right w:val="none" w:sz="0" w:space="0" w:color="auto"/>
              </w:divBdr>
            </w:div>
          </w:divsChild>
        </w:div>
        <w:div w:id="688678453">
          <w:marLeft w:val="0"/>
          <w:marRight w:val="0"/>
          <w:marTop w:val="240"/>
          <w:marBottom w:val="0"/>
          <w:divBdr>
            <w:top w:val="none" w:sz="0" w:space="0" w:color="auto"/>
            <w:left w:val="none" w:sz="0" w:space="0" w:color="auto"/>
            <w:bottom w:val="none" w:sz="0" w:space="0" w:color="auto"/>
            <w:right w:val="none" w:sz="0" w:space="0" w:color="auto"/>
          </w:divBdr>
          <w:divsChild>
            <w:div w:id="116023500">
              <w:marLeft w:val="0"/>
              <w:marRight w:val="0"/>
              <w:marTop w:val="0"/>
              <w:marBottom w:val="0"/>
              <w:divBdr>
                <w:top w:val="none" w:sz="0" w:space="0" w:color="auto"/>
                <w:left w:val="none" w:sz="0" w:space="0" w:color="auto"/>
                <w:bottom w:val="none" w:sz="0" w:space="0" w:color="auto"/>
                <w:right w:val="none" w:sz="0" w:space="0" w:color="auto"/>
              </w:divBdr>
            </w:div>
          </w:divsChild>
        </w:div>
        <w:div w:id="1015377398">
          <w:marLeft w:val="0"/>
          <w:marRight w:val="0"/>
          <w:marTop w:val="0"/>
          <w:marBottom w:val="0"/>
          <w:divBdr>
            <w:top w:val="none" w:sz="0" w:space="0" w:color="auto"/>
            <w:left w:val="none" w:sz="0" w:space="0" w:color="auto"/>
            <w:bottom w:val="none" w:sz="0" w:space="0" w:color="auto"/>
            <w:right w:val="none" w:sz="0" w:space="0" w:color="auto"/>
          </w:divBdr>
        </w:div>
      </w:divsChild>
    </w:div>
    <w:div w:id="588124484">
      <w:bodyDiv w:val="1"/>
      <w:marLeft w:val="0"/>
      <w:marRight w:val="0"/>
      <w:marTop w:val="0"/>
      <w:marBottom w:val="0"/>
      <w:divBdr>
        <w:top w:val="none" w:sz="0" w:space="0" w:color="auto"/>
        <w:left w:val="none" w:sz="0" w:space="0" w:color="auto"/>
        <w:bottom w:val="none" w:sz="0" w:space="0" w:color="auto"/>
        <w:right w:val="none" w:sz="0" w:space="0" w:color="auto"/>
      </w:divBdr>
    </w:div>
    <w:div w:id="588388328">
      <w:bodyDiv w:val="1"/>
      <w:marLeft w:val="0"/>
      <w:marRight w:val="0"/>
      <w:marTop w:val="0"/>
      <w:marBottom w:val="0"/>
      <w:divBdr>
        <w:top w:val="none" w:sz="0" w:space="0" w:color="auto"/>
        <w:left w:val="none" w:sz="0" w:space="0" w:color="auto"/>
        <w:bottom w:val="none" w:sz="0" w:space="0" w:color="auto"/>
        <w:right w:val="none" w:sz="0" w:space="0" w:color="auto"/>
      </w:divBdr>
    </w:div>
    <w:div w:id="590163596">
      <w:bodyDiv w:val="1"/>
      <w:marLeft w:val="0"/>
      <w:marRight w:val="0"/>
      <w:marTop w:val="0"/>
      <w:marBottom w:val="0"/>
      <w:divBdr>
        <w:top w:val="none" w:sz="0" w:space="0" w:color="auto"/>
        <w:left w:val="none" w:sz="0" w:space="0" w:color="auto"/>
        <w:bottom w:val="none" w:sz="0" w:space="0" w:color="auto"/>
        <w:right w:val="none" w:sz="0" w:space="0" w:color="auto"/>
      </w:divBdr>
      <w:divsChild>
        <w:div w:id="829952002">
          <w:marLeft w:val="0"/>
          <w:marRight w:val="0"/>
          <w:marTop w:val="0"/>
          <w:marBottom w:val="0"/>
          <w:divBdr>
            <w:top w:val="none" w:sz="0" w:space="0" w:color="auto"/>
            <w:left w:val="single" w:sz="6" w:space="0" w:color="BBBBBB"/>
            <w:bottom w:val="single" w:sz="6" w:space="0" w:color="BBBBBB"/>
            <w:right w:val="single" w:sz="6" w:space="0" w:color="BBBBBB"/>
          </w:divBdr>
          <w:divsChild>
            <w:div w:id="1232350990">
              <w:marLeft w:val="0"/>
              <w:marRight w:val="0"/>
              <w:marTop w:val="0"/>
              <w:marBottom w:val="0"/>
              <w:divBdr>
                <w:top w:val="none" w:sz="0" w:space="0" w:color="auto"/>
                <w:left w:val="none" w:sz="0" w:space="0" w:color="auto"/>
                <w:bottom w:val="none" w:sz="0" w:space="0" w:color="auto"/>
                <w:right w:val="none" w:sz="0" w:space="0" w:color="auto"/>
              </w:divBdr>
              <w:divsChild>
                <w:div w:id="1818298817">
                  <w:marLeft w:val="0"/>
                  <w:marRight w:val="0"/>
                  <w:marTop w:val="0"/>
                  <w:marBottom w:val="0"/>
                  <w:divBdr>
                    <w:top w:val="none" w:sz="0" w:space="0" w:color="auto"/>
                    <w:left w:val="none" w:sz="0" w:space="0" w:color="auto"/>
                    <w:bottom w:val="none" w:sz="0" w:space="0" w:color="auto"/>
                    <w:right w:val="none" w:sz="0" w:space="0" w:color="auto"/>
                  </w:divBdr>
                  <w:divsChild>
                    <w:div w:id="2141460277">
                      <w:marLeft w:val="0"/>
                      <w:marRight w:val="0"/>
                      <w:marTop w:val="0"/>
                      <w:marBottom w:val="0"/>
                      <w:divBdr>
                        <w:top w:val="none" w:sz="0" w:space="0" w:color="auto"/>
                        <w:left w:val="none" w:sz="0" w:space="0" w:color="auto"/>
                        <w:bottom w:val="none" w:sz="0" w:space="0" w:color="auto"/>
                        <w:right w:val="none" w:sz="0" w:space="0" w:color="auto"/>
                      </w:divBdr>
                      <w:divsChild>
                        <w:div w:id="496117115">
                          <w:marLeft w:val="0"/>
                          <w:marRight w:val="0"/>
                          <w:marTop w:val="0"/>
                          <w:marBottom w:val="0"/>
                          <w:divBdr>
                            <w:top w:val="none" w:sz="0" w:space="0" w:color="auto"/>
                            <w:left w:val="none" w:sz="0" w:space="0" w:color="auto"/>
                            <w:bottom w:val="none" w:sz="0" w:space="0" w:color="auto"/>
                            <w:right w:val="none" w:sz="0" w:space="0" w:color="auto"/>
                          </w:divBdr>
                          <w:divsChild>
                            <w:div w:id="956178125">
                              <w:marLeft w:val="0"/>
                              <w:marRight w:val="0"/>
                              <w:marTop w:val="0"/>
                              <w:marBottom w:val="0"/>
                              <w:divBdr>
                                <w:top w:val="none" w:sz="0" w:space="0" w:color="auto"/>
                                <w:left w:val="none" w:sz="0" w:space="0" w:color="auto"/>
                                <w:bottom w:val="none" w:sz="0" w:space="0" w:color="auto"/>
                                <w:right w:val="none" w:sz="0" w:space="0" w:color="auto"/>
                              </w:divBdr>
                              <w:divsChild>
                                <w:div w:id="1992711549">
                                  <w:marLeft w:val="0"/>
                                  <w:marRight w:val="0"/>
                                  <w:marTop w:val="0"/>
                                  <w:marBottom w:val="0"/>
                                  <w:divBdr>
                                    <w:top w:val="none" w:sz="0" w:space="0" w:color="auto"/>
                                    <w:left w:val="none" w:sz="0" w:space="0" w:color="auto"/>
                                    <w:bottom w:val="none" w:sz="0" w:space="0" w:color="auto"/>
                                    <w:right w:val="none" w:sz="0" w:space="0" w:color="auto"/>
                                  </w:divBdr>
                                  <w:divsChild>
                                    <w:div w:id="1231843125">
                                      <w:marLeft w:val="0"/>
                                      <w:marRight w:val="0"/>
                                      <w:marTop w:val="0"/>
                                      <w:marBottom w:val="0"/>
                                      <w:divBdr>
                                        <w:top w:val="none" w:sz="0" w:space="0" w:color="auto"/>
                                        <w:left w:val="none" w:sz="0" w:space="0" w:color="auto"/>
                                        <w:bottom w:val="none" w:sz="0" w:space="0" w:color="auto"/>
                                        <w:right w:val="none" w:sz="0" w:space="0" w:color="auto"/>
                                      </w:divBdr>
                                      <w:divsChild>
                                        <w:div w:id="1497652272">
                                          <w:marLeft w:val="1200"/>
                                          <w:marRight w:val="1200"/>
                                          <w:marTop w:val="0"/>
                                          <w:marBottom w:val="0"/>
                                          <w:divBdr>
                                            <w:top w:val="none" w:sz="0" w:space="0" w:color="auto"/>
                                            <w:left w:val="none" w:sz="0" w:space="0" w:color="auto"/>
                                            <w:bottom w:val="none" w:sz="0" w:space="0" w:color="auto"/>
                                            <w:right w:val="none" w:sz="0" w:space="0" w:color="auto"/>
                                          </w:divBdr>
                                          <w:divsChild>
                                            <w:div w:id="1129014144">
                                              <w:marLeft w:val="0"/>
                                              <w:marRight w:val="0"/>
                                              <w:marTop w:val="0"/>
                                              <w:marBottom w:val="0"/>
                                              <w:divBdr>
                                                <w:top w:val="none" w:sz="0" w:space="0" w:color="auto"/>
                                                <w:left w:val="none" w:sz="0" w:space="0" w:color="auto"/>
                                                <w:bottom w:val="none" w:sz="0" w:space="0" w:color="auto"/>
                                                <w:right w:val="none" w:sz="0" w:space="0" w:color="auto"/>
                                              </w:divBdr>
                                              <w:divsChild>
                                                <w:div w:id="1153374348">
                                                  <w:marLeft w:val="0"/>
                                                  <w:marRight w:val="0"/>
                                                  <w:marTop w:val="0"/>
                                                  <w:marBottom w:val="0"/>
                                                  <w:divBdr>
                                                    <w:top w:val="none" w:sz="0" w:space="0" w:color="auto"/>
                                                    <w:left w:val="none" w:sz="0" w:space="0" w:color="auto"/>
                                                    <w:bottom w:val="none" w:sz="0" w:space="0" w:color="auto"/>
                                                    <w:right w:val="none" w:sz="0" w:space="0" w:color="auto"/>
                                                  </w:divBdr>
                                                  <w:divsChild>
                                                    <w:div w:id="999887785">
                                                      <w:marLeft w:val="0"/>
                                                      <w:marRight w:val="0"/>
                                                      <w:marTop w:val="0"/>
                                                      <w:marBottom w:val="0"/>
                                                      <w:divBdr>
                                                        <w:top w:val="none" w:sz="0" w:space="0" w:color="auto"/>
                                                        <w:left w:val="none" w:sz="0" w:space="0" w:color="auto"/>
                                                        <w:bottom w:val="none" w:sz="0" w:space="0" w:color="auto"/>
                                                        <w:right w:val="none" w:sz="0" w:space="0" w:color="auto"/>
                                                      </w:divBdr>
                                                      <w:divsChild>
                                                        <w:div w:id="1970240949">
                                                          <w:marLeft w:val="0"/>
                                                          <w:marRight w:val="0"/>
                                                          <w:marTop w:val="0"/>
                                                          <w:marBottom w:val="0"/>
                                                          <w:divBdr>
                                                            <w:top w:val="none" w:sz="0" w:space="0" w:color="auto"/>
                                                            <w:left w:val="none" w:sz="0" w:space="0" w:color="auto"/>
                                                            <w:bottom w:val="none" w:sz="0" w:space="0" w:color="auto"/>
                                                            <w:right w:val="none" w:sz="0" w:space="0" w:color="auto"/>
                                                          </w:divBdr>
                                                          <w:divsChild>
                                                            <w:div w:id="841621699">
                                                              <w:marLeft w:val="0"/>
                                                              <w:marRight w:val="0"/>
                                                              <w:marTop w:val="0"/>
                                                              <w:marBottom w:val="0"/>
                                                              <w:divBdr>
                                                                <w:top w:val="none" w:sz="0" w:space="0" w:color="auto"/>
                                                                <w:left w:val="none" w:sz="0" w:space="0" w:color="auto"/>
                                                                <w:bottom w:val="none" w:sz="0" w:space="0" w:color="auto"/>
                                                                <w:right w:val="none" w:sz="0" w:space="0" w:color="auto"/>
                                                              </w:divBdr>
                                                              <w:divsChild>
                                                                <w:div w:id="1009679877">
                                                                  <w:marLeft w:val="0"/>
                                                                  <w:marRight w:val="0"/>
                                                                  <w:marTop w:val="0"/>
                                                                  <w:marBottom w:val="0"/>
                                                                  <w:divBdr>
                                                                    <w:top w:val="none" w:sz="0" w:space="0" w:color="auto"/>
                                                                    <w:left w:val="none" w:sz="0" w:space="0" w:color="auto"/>
                                                                    <w:bottom w:val="none" w:sz="0" w:space="0" w:color="auto"/>
                                                                    <w:right w:val="none" w:sz="0" w:space="0" w:color="auto"/>
                                                                  </w:divBdr>
                                                                  <w:divsChild>
                                                                    <w:div w:id="220143803">
                                                                      <w:marLeft w:val="0"/>
                                                                      <w:marRight w:val="0"/>
                                                                      <w:marTop w:val="0"/>
                                                                      <w:marBottom w:val="0"/>
                                                                      <w:divBdr>
                                                                        <w:top w:val="none" w:sz="0" w:space="0" w:color="auto"/>
                                                                        <w:left w:val="none" w:sz="0" w:space="0" w:color="auto"/>
                                                                        <w:bottom w:val="none" w:sz="0" w:space="0" w:color="auto"/>
                                                                        <w:right w:val="none" w:sz="0" w:space="0" w:color="auto"/>
                                                                      </w:divBdr>
                                                                      <w:divsChild>
                                                                        <w:div w:id="1384134713">
                                                                          <w:marLeft w:val="0"/>
                                                                          <w:marRight w:val="0"/>
                                                                          <w:marTop w:val="0"/>
                                                                          <w:marBottom w:val="0"/>
                                                                          <w:divBdr>
                                                                            <w:top w:val="none" w:sz="0" w:space="0" w:color="auto"/>
                                                                            <w:left w:val="none" w:sz="0" w:space="0" w:color="auto"/>
                                                                            <w:bottom w:val="none" w:sz="0" w:space="0" w:color="auto"/>
                                                                            <w:right w:val="none" w:sz="0" w:space="0" w:color="auto"/>
                                                                          </w:divBdr>
                                                                        </w:div>
                                                                      </w:divsChild>
                                                                    </w:div>
                                                                    <w:div w:id="1125466799">
                                                                      <w:marLeft w:val="0"/>
                                                                      <w:marRight w:val="0"/>
                                                                      <w:marTop w:val="0"/>
                                                                      <w:marBottom w:val="0"/>
                                                                      <w:divBdr>
                                                                        <w:top w:val="none" w:sz="0" w:space="0" w:color="auto"/>
                                                                        <w:left w:val="none" w:sz="0" w:space="0" w:color="auto"/>
                                                                        <w:bottom w:val="none" w:sz="0" w:space="0" w:color="auto"/>
                                                                        <w:right w:val="none" w:sz="0" w:space="0" w:color="auto"/>
                                                                      </w:divBdr>
                                                                      <w:divsChild>
                                                                        <w:div w:id="13801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163662">
      <w:bodyDiv w:val="1"/>
      <w:marLeft w:val="0"/>
      <w:marRight w:val="0"/>
      <w:marTop w:val="0"/>
      <w:marBottom w:val="0"/>
      <w:divBdr>
        <w:top w:val="none" w:sz="0" w:space="0" w:color="auto"/>
        <w:left w:val="none" w:sz="0" w:space="0" w:color="auto"/>
        <w:bottom w:val="none" w:sz="0" w:space="0" w:color="auto"/>
        <w:right w:val="none" w:sz="0" w:space="0" w:color="auto"/>
      </w:divBdr>
      <w:divsChild>
        <w:div w:id="1551989209">
          <w:marLeft w:val="0"/>
          <w:marRight w:val="0"/>
          <w:marTop w:val="240"/>
          <w:marBottom w:val="0"/>
          <w:divBdr>
            <w:top w:val="none" w:sz="0" w:space="0" w:color="auto"/>
            <w:left w:val="none" w:sz="0" w:space="0" w:color="auto"/>
            <w:bottom w:val="none" w:sz="0" w:space="0" w:color="auto"/>
            <w:right w:val="none" w:sz="0" w:space="0" w:color="auto"/>
          </w:divBdr>
          <w:divsChild>
            <w:div w:id="2031835224">
              <w:marLeft w:val="0"/>
              <w:marRight w:val="0"/>
              <w:marTop w:val="0"/>
              <w:marBottom w:val="0"/>
              <w:divBdr>
                <w:top w:val="none" w:sz="0" w:space="0" w:color="auto"/>
                <w:left w:val="none" w:sz="0" w:space="0" w:color="auto"/>
                <w:bottom w:val="none" w:sz="0" w:space="0" w:color="auto"/>
                <w:right w:val="none" w:sz="0" w:space="0" w:color="auto"/>
              </w:divBdr>
            </w:div>
          </w:divsChild>
        </w:div>
        <w:div w:id="1709253971">
          <w:marLeft w:val="0"/>
          <w:marRight w:val="0"/>
          <w:marTop w:val="240"/>
          <w:marBottom w:val="0"/>
          <w:divBdr>
            <w:top w:val="none" w:sz="0" w:space="0" w:color="auto"/>
            <w:left w:val="none" w:sz="0" w:space="0" w:color="auto"/>
            <w:bottom w:val="none" w:sz="0" w:space="0" w:color="auto"/>
            <w:right w:val="none" w:sz="0" w:space="0" w:color="auto"/>
          </w:divBdr>
          <w:divsChild>
            <w:div w:id="1937859900">
              <w:marLeft w:val="0"/>
              <w:marRight w:val="0"/>
              <w:marTop w:val="0"/>
              <w:marBottom w:val="0"/>
              <w:divBdr>
                <w:top w:val="none" w:sz="0" w:space="0" w:color="auto"/>
                <w:left w:val="none" w:sz="0" w:space="0" w:color="auto"/>
                <w:bottom w:val="none" w:sz="0" w:space="0" w:color="auto"/>
                <w:right w:val="none" w:sz="0" w:space="0" w:color="auto"/>
              </w:divBdr>
            </w:div>
          </w:divsChild>
        </w:div>
        <w:div w:id="1821653483">
          <w:marLeft w:val="0"/>
          <w:marRight w:val="0"/>
          <w:marTop w:val="240"/>
          <w:marBottom w:val="0"/>
          <w:divBdr>
            <w:top w:val="none" w:sz="0" w:space="0" w:color="auto"/>
            <w:left w:val="none" w:sz="0" w:space="0" w:color="auto"/>
            <w:bottom w:val="none" w:sz="0" w:space="0" w:color="auto"/>
            <w:right w:val="none" w:sz="0" w:space="0" w:color="auto"/>
          </w:divBdr>
          <w:divsChild>
            <w:div w:id="19947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9885">
      <w:bodyDiv w:val="1"/>
      <w:marLeft w:val="0"/>
      <w:marRight w:val="0"/>
      <w:marTop w:val="0"/>
      <w:marBottom w:val="0"/>
      <w:divBdr>
        <w:top w:val="none" w:sz="0" w:space="0" w:color="auto"/>
        <w:left w:val="none" w:sz="0" w:space="0" w:color="auto"/>
        <w:bottom w:val="none" w:sz="0" w:space="0" w:color="auto"/>
        <w:right w:val="none" w:sz="0" w:space="0" w:color="auto"/>
      </w:divBdr>
      <w:divsChild>
        <w:div w:id="1482966045">
          <w:marLeft w:val="0"/>
          <w:marRight w:val="0"/>
          <w:marTop w:val="0"/>
          <w:marBottom w:val="0"/>
          <w:divBdr>
            <w:top w:val="none" w:sz="0" w:space="0" w:color="auto"/>
            <w:left w:val="none" w:sz="0" w:space="0" w:color="auto"/>
            <w:bottom w:val="none" w:sz="0" w:space="0" w:color="auto"/>
            <w:right w:val="none" w:sz="0" w:space="0" w:color="auto"/>
          </w:divBdr>
          <w:divsChild>
            <w:div w:id="1523588774">
              <w:marLeft w:val="0"/>
              <w:marRight w:val="0"/>
              <w:marTop w:val="0"/>
              <w:marBottom w:val="0"/>
              <w:divBdr>
                <w:top w:val="none" w:sz="0" w:space="0" w:color="auto"/>
                <w:left w:val="none" w:sz="0" w:space="0" w:color="auto"/>
                <w:bottom w:val="none" w:sz="0" w:space="0" w:color="auto"/>
                <w:right w:val="none" w:sz="0" w:space="0" w:color="auto"/>
              </w:divBdr>
              <w:divsChild>
                <w:div w:id="1025791548">
                  <w:marLeft w:val="0"/>
                  <w:marRight w:val="0"/>
                  <w:marTop w:val="0"/>
                  <w:marBottom w:val="0"/>
                  <w:divBdr>
                    <w:top w:val="none" w:sz="0" w:space="0" w:color="auto"/>
                    <w:left w:val="none" w:sz="0" w:space="0" w:color="auto"/>
                    <w:bottom w:val="none" w:sz="0" w:space="0" w:color="auto"/>
                    <w:right w:val="none" w:sz="0" w:space="0" w:color="auto"/>
                  </w:divBdr>
                  <w:divsChild>
                    <w:div w:id="1991399352">
                      <w:marLeft w:val="0"/>
                      <w:marRight w:val="0"/>
                      <w:marTop w:val="0"/>
                      <w:marBottom w:val="375"/>
                      <w:divBdr>
                        <w:top w:val="none" w:sz="0" w:space="0" w:color="auto"/>
                        <w:left w:val="none" w:sz="0" w:space="0" w:color="auto"/>
                        <w:bottom w:val="none" w:sz="0" w:space="0" w:color="auto"/>
                        <w:right w:val="none" w:sz="0" w:space="0" w:color="auto"/>
                      </w:divBdr>
                      <w:divsChild>
                        <w:div w:id="7718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22321">
      <w:bodyDiv w:val="1"/>
      <w:marLeft w:val="0"/>
      <w:marRight w:val="0"/>
      <w:marTop w:val="0"/>
      <w:marBottom w:val="0"/>
      <w:divBdr>
        <w:top w:val="none" w:sz="0" w:space="0" w:color="auto"/>
        <w:left w:val="none" w:sz="0" w:space="0" w:color="auto"/>
        <w:bottom w:val="none" w:sz="0" w:space="0" w:color="auto"/>
        <w:right w:val="none" w:sz="0" w:space="0" w:color="auto"/>
      </w:divBdr>
      <w:divsChild>
        <w:div w:id="18547918">
          <w:marLeft w:val="0"/>
          <w:marRight w:val="0"/>
          <w:marTop w:val="24"/>
          <w:marBottom w:val="24"/>
          <w:divBdr>
            <w:top w:val="none" w:sz="0" w:space="0" w:color="auto"/>
            <w:left w:val="none" w:sz="0" w:space="0" w:color="auto"/>
            <w:bottom w:val="none" w:sz="0" w:space="0" w:color="auto"/>
            <w:right w:val="none" w:sz="0" w:space="0" w:color="auto"/>
          </w:divBdr>
          <w:divsChild>
            <w:div w:id="1734042594">
              <w:marLeft w:val="0"/>
              <w:marRight w:val="0"/>
              <w:marTop w:val="0"/>
              <w:marBottom w:val="0"/>
              <w:divBdr>
                <w:top w:val="none" w:sz="0" w:space="0" w:color="auto"/>
                <w:left w:val="none" w:sz="0" w:space="0" w:color="auto"/>
                <w:bottom w:val="none" w:sz="0" w:space="0" w:color="auto"/>
                <w:right w:val="none" w:sz="0" w:space="0" w:color="auto"/>
              </w:divBdr>
            </w:div>
          </w:divsChild>
        </w:div>
        <w:div w:id="39673356">
          <w:marLeft w:val="0"/>
          <w:marRight w:val="0"/>
          <w:marTop w:val="24"/>
          <w:marBottom w:val="24"/>
          <w:divBdr>
            <w:top w:val="none" w:sz="0" w:space="0" w:color="auto"/>
            <w:left w:val="none" w:sz="0" w:space="0" w:color="auto"/>
            <w:bottom w:val="none" w:sz="0" w:space="0" w:color="auto"/>
            <w:right w:val="none" w:sz="0" w:space="0" w:color="auto"/>
          </w:divBdr>
          <w:divsChild>
            <w:div w:id="1664241099">
              <w:marLeft w:val="0"/>
              <w:marRight w:val="0"/>
              <w:marTop w:val="0"/>
              <w:marBottom w:val="0"/>
              <w:divBdr>
                <w:top w:val="none" w:sz="0" w:space="0" w:color="auto"/>
                <w:left w:val="none" w:sz="0" w:space="0" w:color="auto"/>
                <w:bottom w:val="none" w:sz="0" w:space="0" w:color="auto"/>
                <w:right w:val="none" w:sz="0" w:space="0" w:color="auto"/>
              </w:divBdr>
            </w:div>
          </w:divsChild>
        </w:div>
        <w:div w:id="46689201">
          <w:marLeft w:val="0"/>
          <w:marRight w:val="0"/>
          <w:marTop w:val="24"/>
          <w:marBottom w:val="24"/>
          <w:divBdr>
            <w:top w:val="none" w:sz="0" w:space="0" w:color="auto"/>
            <w:left w:val="none" w:sz="0" w:space="0" w:color="auto"/>
            <w:bottom w:val="none" w:sz="0" w:space="0" w:color="auto"/>
            <w:right w:val="none" w:sz="0" w:space="0" w:color="auto"/>
          </w:divBdr>
          <w:divsChild>
            <w:div w:id="1599168722">
              <w:marLeft w:val="0"/>
              <w:marRight w:val="0"/>
              <w:marTop w:val="0"/>
              <w:marBottom w:val="0"/>
              <w:divBdr>
                <w:top w:val="none" w:sz="0" w:space="0" w:color="auto"/>
                <w:left w:val="none" w:sz="0" w:space="0" w:color="auto"/>
                <w:bottom w:val="none" w:sz="0" w:space="0" w:color="auto"/>
                <w:right w:val="none" w:sz="0" w:space="0" w:color="auto"/>
              </w:divBdr>
            </w:div>
          </w:divsChild>
        </w:div>
        <w:div w:id="47847118">
          <w:marLeft w:val="0"/>
          <w:marRight w:val="0"/>
          <w:marTop w:val="24"/>
          <w:marBottom w:val="24"/>
          <w:divBdr>
            <w:top w:val="none" w:sz="0" w:space="0" w:color="auto"/>
            <w:left w:val="none" w:sz="0" w:space="0" w:color="auto"/>
            <w:bottom w:val="none" w:sz="0" w:space="0" w:color="auto"/>
            <w:right w:val="none" w:sz="0" w:space="0" w:color="auto"/>
          </w:divBdr>
          <w:divsChild>
            <w:div w:id="545026970">
              <w:marLeft w:val="0"/>
              <w:marRight w:val="0"/>
              <w:marTop w:val="0"/>
              <w:marBottom w:val="0"/>
              <w:divBdr>
                <w:top w:val="none" w:sz="0" w:space="0" w:color="auto"/>
                <w:left w:val="none" w:sz="0" w:space="0" w:color="auto"/>
                <w:bottom w:val="none" w:sz="0" w:space="0" w:color="auto"/>
                <w:right w:val="none" w:sz="0" w:space="0" w:color="auto"/>
              </w:divBdr>
            </w:div>
          </w:divsChild>
        </w:div>
        <w:div w:id="180434937">
          <w:marLeft w:val="0"/>
          <w:marRight w:val="0"/>
          <w:marTop w:val="24"/>
          <w:marBottom w:val="24"/>
          <w:divBdr>
            <w:top w:val="none" w:sz="0" w:space="0" w:color="auto"/>
            <w:left w:val="none" w:sz="0" w:space="0" w:color="auto"/>
            <w:bottom w:val="none" w:sz="0" w:space="0" w:color="auto"/>
            <w:right w:val="none" w:sz="0" w:space="0" w:color="auto"/>
          </w:divBdr>
          <w:divsChild>
            <w:div w:id="798959659">
              <w:marLeft w:val="0"/>
              <w:marRight w:val="0"/>
              <w:marTop w:val="0"/>
              <w:marBottom w:val="0"/>
              <w:divBdr>
                <w:top w:val="none" w:sz="0" w:space="0" w:color="auto"/>
                <w:left w:val="none" w:sz="0" w:space="0" w:color="auto"/>
                <w:bottom w:val="none" w:sz="0" w:space="0" w:color="auto"/>
                <w:right w:val="none" w:sz="0" w:space="0" w:color="auto"/>
              </w:divBdr>
            </w:div>
          </w:divsChild>
        </w:div>
        <w:div w:id="217010750">
          <w:marLeft w:val="0"/>
          <w:marRight w:val="0"/>
          <w:marTop w:val="24"/>
          <w:marBottom w:val="24"/>
          <w:divBdr>
            <w:top w:val="none" w:sz="0" w:space="0" w:color="auto"/>
            <w:left w:val="none" w:sz="0" w:space="0" w:color="auto"/>
            <w:bottom w:val="none" w:sz="0" w:space="0" w:color="auto"/>
            <w:right w:val="none" w:sz="0" w:space="0" w:color="auto"/>
          </w:divBdr>
          <w:divsChild>
            <w:div w:id="595675171">
              <w:marLeft w:val="0"/>
              <w:marRight w:val="0"/>
              <w:marTop w:val="0"/>
              <w:marBottom w:val="0"/>
              <w:divBdr>
                <w:top w:val="none" w:sz="0" w:space="0" w:color="auto"/>
                <w:left w:val="none" w:sz="0" w:space="0" w:color="auto"/>
                <w:bottom w:val="none" w:sz="0" w:space="0" w:color="auto"/>
                <w:right w:val="none" w:sz="0" w:space="0" w:color="auto"/>
              </w:divBdr>
            </w:div>
          </w:divsChild>
        </w:div>
        <w:div w:id="222761758">
          <w:marLeft w:val="0"/>
          <w:marRight w:val="0"/>
          <w:marTop w:val="24"/>
          <w:marBottom w:val="24"/>
          <w:divBdr>
            <w:top w:val="none" w:sz="0" w:space="0" w:color="auto"/>
            <w:left w:val="none" w:sz="0" w:space="0" w:color="auto"/>
            <w:bottom w:val="none" w:sz="0" w:space="0" w:color="auto"/>
            <w:right w:val="none" w:sz="0" w:space="0" w:color="auto"/>
          </w:divBdr>
          <w:divsChild>
            <w:div w:id="1680504767">
              <w:marLeft w:val="0"/>
              <w:marRight w:val="0"/>
              <w:marTop w:val="0"/>
              <w:marBottom w:val="0"/>
              <w:divBdr>
                <w:top w:val="none" w:sz="0" w:space="0" w:color="auto"/>
                <w:left w:val="none" w:sz="0" w:space="0" w:color="auto"/>
                <w:bottom w:val="none" w:sz="0" w:space="0" w:color="auto"/>
                <w:right w:val="none" w:sz="0" w:space="0" w:color="auto"/>
              </w:divBdr>
            </w:div>
          </w:divsChild>
        </w:div>
        <w:div w:id="234627696">
          <w:marLeft w:val="0"/>
          <w:marRight w:val="0"/>
          <w:marTop w:val="24"/>
          <w:marBottom w:val="24"/>
          <w:divBdr>
            <w:top w:val="none" w:sz="0" w:space="0" w:color="auto"/>
            <w:left w:val="none" w:sz="0" w:space="0" w:color="auto"/>
            <w:bottom w:val="none" w:sz="0" w:space="0" w:color="auto"/>
            <w:right w:val="none" w:sz="0" w:space="0" w:color="auto"/>
          </w:divBdr>
          <w:divsChild>
            <w:div w:id="2021155914">
              <w:marLeft w:val="0"/>
              <w:marRight w:val="0"/>
              <w:marTop w:val="0"/>
              <w:marBottom w:val="0"/>
              <w:divBdr>
                <w:top w:val="none" w:sz="0" w:space="0" w:color="auto"/>
                <w:left w:val="none" w:sz="0" w:space="0" w:color="auto"/>
                <w:bottom w:val="none" w:sz="0" w:space="0" w:color="auto"/>
                <w:right w:val="none" w:sz="0" w:space="0" w:color="auto"/>
              </w:divBdr>
            </w:div>
          </w:divsChild>
        </w:div>
        <w:div w:id="330448392">
          <w:marLeft w:val="0"/>
          <w:marRight w:val="0"/>
          <w:marTop w:val="24"/>
          <w:marBottom w:val="24"/>
          <w:divBdr>
            <w:top w:val="none" w:sz="0" w:space="0" w:color="auto"/>
            <w:left w:val="none" w:sz="0" w:space="0" w:color="auto"/>
            <w:bottom w:val="none" w:sz="0" w:space="0" w:color="auto"/>
            <w:right w:val="none" w:sz="0" w:space="0" w:color="auto"/>
          </w:divBdr>
          <w:divsChild>
            <w:div w:id="230504209">
              <w:marLeft w:val="0"/>
              <w:marRight w:val="0"/>
              <w:marTop w:val="0"/>
              <w:marBottom w:val="0"/>
              <w:divBdr>
                <w:top w:val="none" w:sz="0" w:space="0" w:color="auto"/>
                <w:left w:val="none" w:sz="0" w:space="0" w:color="auto"/>
                <w:bottom w:val="none" w:sz="0" w:space="0" w:color="auto"/>
                <w:right w:val="none" w:sz="0" w:space="0" w:color="auto"/>
              </w:divBdr>
            </w:div>
          </w:divsChild>
        </w:div>
        <w:div w:id="335575521">
          <w:marLeft w:val="0"/>
          <w:marRight w:val="0"/>
          <w:marTop w:val="24"/>
          <w:marBottom w:val="24"/>
          <w:divBdr>
            <w:top w:val="none" w:sz="0" w:space="0" w:color="auto"/>
            <w:left w:val="none" w:sz="0" w:space="0" w:color="auto"/>
            <w:bottom w:val="none" w:sz="0" w:space="0" w:color="auto"/>
            <w:right w:val="none" w:sz="0" w:space="0" w:color="auto"/>
          </w:divBdr>
          <w:divsChild>
            <w:div w:id="756368860">
              <w:marLeft w:val="0"/>
              <w:marRight w:val="0"/>
              <w:marTop w:val="0"/>
              <w:marBottom w:val="0"/>
              <w:divBdr>
                <w:top w:val="none" w:sz="0" w:space="0" w:color="auto"/>
                <w:left w:val="none" w:sz="0" w:space="0" w:color="auto"/>
                <w:bottom w:val="none" w:sz="0" w:space="0" w:color="auto"/>
                <w:right w:val="none" w:sz="0" w:space="0" w:color="auto"/>
              </w:divBdr>
            </w:div>
          </w:divsChild>
        </w:div>
        <w:div w:id="417868815">
          <w:marLeft w:val="0"/>
          <w:marRight w:val="0"/>
          <w:marTop w:val="24"/>
          <w:marBottom w:val="24"/>
          <w:divBdr>
            <w:top w:val="none" w:sz="0" w:space="0" w:color="auto"/>
            <w:left w:val="none" w:sz="0" w:space="0" w:color="auto"/>
            <w:bottom w:val="none" w:sz="0" w:space="0" w:color="auto"/>
            <w:right w:val="none" w:sz="0" w:space="0" w:color="auto"/>
          </w:divBdr>
          <w:divsChild>
            <w:div w:id="1096318752">
              <w:marLeft w:val="0"/>
              <w:marRight w:val="0"/>
              <w:marTop w:val="0"/>
              <w:marBottom w:val="0"/>
              <w:divBdr>
                <w:top w:val="none" w:sz="0" w:space="0" w:color="auto"/>
                <w:left w:val="none" w:sz="0" w:space="0" w:color="auto"/>
                <w:bottom w:val="none" w:sz="0" w:space="0" w:color="auto"/>
                <w:right w:val="none" w:sz="0" w:space="0" w:color="auto"/>
              </w:divBdr>
            </w:div>
          </w:divsChild>
        </w:div>
        <w:div w:id="443304716">
          <w:marLeft w:val="0"/>
          <w:marRight w:val="0"/>
          <w:marTop w:val="24"/>
          <w:marBottom w:val="24"/>
          <w:divBdr>
            <w:top w:val="none" w:sz="0" w:space="0" w:color="auto"/>
            <w:left w:val="none" w:sz="0" w:space="0" w:color="auto"/>
            <w:bottom w:val="none" w:sz="0" w:space="0" w:color="auto"/>
            <w:right w:val="none" w:sz="0" w:space="0" w:color="auto"/>
          </w:divBdr>
          <w:divsChild>
            <w:div w:id="115568101">
              <w:marLeft w:val="0"/>
              <w:marRight w:val="0"/>
              <w:marTop w:val="0"/>
              <w:marBottom w:val="0"/>
              <w:divBdr>
                <w:top w:val="none" w:sz="0" w:space="0" w:color="auto"/>
                <w:left w:val="none" w:sz="0" w:space="0" w:color="auto"/>
                <w:bottom w:val="none" w:sz="0" w:space="0" w:color="auto"/>
                <w:right w:val="none" w:sz="0" w:space="0" w:color="auto"/>
              </w:divBdr>
            </w:div>
          </w:divsChild>
        </w:div>
        <w:div w:id="475803928">
          <w:marLeft w:val="0"/>
          <w:marRight w:val="0"/>
          <w:marTop w:val="24"/>
          <w:marBottom w:val="24"/>
          <w:divBdr>
            <w:top w:val="none" w:sz="0" w:space="0" w:color="auto"/>
            <w:left w:val="none" w:sz="0" w:space="0" w:color="auto"/>
            <w:bottom w:val="none" w:sz="0" w:space="0" w:color="auto"/>
            <w:right w:val="none" w:sz="0" w:space="0" w:color="auto"/>
          </w:divBdr>
          <w:divsChild>
            <w:div w:id="88356378">
              <w:marLeft w:val="0"/>
              <w:marRight w:val="0"/>
              <w:marTop w:val="0"/>
              <w:marBottom w:val="0"/>
              <w:divBdr>
                <w:top w:val="none" w:sz="0" w:space="0" w:color="auto"/>
                <w:left w:val="none" w:sz="0" w:space="0" w:color="auto"/>
                <w:bottom w:val="none" w:sz="0" w:space="0" w:color="auto"/>
                <w:right w:val="none" w:sz="0" w:space="0" w:color="auto"/>
              </w:divBdr>
            </w:div>
          </w:divsChild>
        </w:div>
        <w:div w:id="478304949">
          <w:marLeft w:val="0"/>
          <w:marRight w:val="0"/>
          <w:marTop w:val="24"/>
          <w:marBottom w:val="24"/>
          <w:divBdr>
            <w:top w:val="none" w:sz="0" w:space="0" w:color="auto"/>
            <w:left w:val="none" w:sz="0" w:space="0" w:color="auto"/>
            <w:bottom w:val="none" w:sz="0" w:space="0" w:color="auto"/>
            <w:right w:val="none" w:sz="0" w:space="0" w:color="auto"/>
          </w:divBdr>
          <w:divsChild>
            <w:div w:id="196239494">
              <w:marLeft w:val="0"/>
              <w:marRight w:val="0"/>
              <w:marTop w:val="0"/>
              <w:marBottom w:val="0"/>
              <w:divBdr>
                <w:top w:val="none" w:sz="0" w:space="0" w:color="auto"/>
                <w:left w:val="none" w:sz="0" w:space="0" w:color="auto"/>
                <w:bottom w:val="none" w:sz="0" w:space="0" w:color="auto"/>
                <w:right w:val="none" w:sz="0" w:space="0" w:color="auto"/>
              </w:divBdr>
            </w:div>
          </w:divsChild>
        </w:div>
        <w:div w:id="488329080">
          <w:marLeft w:val="0"/>
          <w:marRight w:val="0"/>
          <w:marTop w:val="24"/>
          <w:marBottom w:val="24"/>
          <w:divBdr>
            <w:top w:val="none" w:sz="0" w:space="0" w:color="auto"/>
            <w:left w:val="none" w:sz="0" w:space="0" w:color="auto"/>
            <w:bottom w:val="none" w:sz="0" w:space="0" w:color="auto"/>
            <w:right w:val="none" w:sz="0" w:space="0" w:color="auto"/>
          </w:divBdr>
          <w:divsChild>
            <w:div w:id="1752389082">
              <w:marLeft w:val="0"/>
              <w:marRight w:val="0"/>
              <w:marTop w:val="0"/>
              <w:marBottom w:val="0"/>
              <w:divBdr>
                <w:top w:val="none" w:sz="0" w:space="0" w:color="auto"/>
                <w:left w:val="none" w:sz="0" w:space="0" w:color="auto"/>
                <w:bottom w:val="none" w:sz="0" w:space="0" w:color="auto"/>
                <w:right w:val="none" w:sz="0" w:space="0" w:color="auto"/>
              </w:divBdr>
            </w:div>
          </w:divsChild>
        </w:div>
        <w:div w:id="539708699">
          <w:marLeft w:val="0"/>
          <w:marRight w:val="0"/>
          <w:marTop w:val="24"/>
          <w:marBottom w:val="24"/>
          <w:divBdr>
            <w:top w:val="none" w:sz="0" w:space="0" w:color="auto"/>
            <w:left w:val="none" w:sz="0" w:space="0" w:color="auto"/>
            <w:bottom w:val="none" w:sz="0" w:space="0" w:color="auto"/>
            <w:right w:val="none" w:sz="0" w:space="0" w:color="auto"/>
          </w:divBdr>
          <w:divsChild>
            <w:div w:id="907811702">
              <w:marLeft w:val="0"/>
              <w:marRight w:val="0"/>
              <w:marTop w:val="0"/>
              <w:marBottom w:val="0"/>
              <w:divBdr>
                <w:top w:val="none" w:sz="0" w:space="0" w:color="auto"/>
                <w:left w:val="none" w:sz="0" w:space="0" w:color="auto"/>
                <w:bottom w:val="none" w:sz="0" w:space="0" w:color="auto"/>
                <w:right w:val="none" w:sz="0" w:space="0" w:color="auto"/>
              </w:divBdr>
            </w:div>
          </w:divsChild>
        </w:div>
        <w:div w:id="539904169">
          <w:marLeft w:val="0"/>
          <w:marRight w:val="0"/>
          <w:marTop w:val="24"/>
          <w:marBottom w:val="24"/>
          <w:divBdr>
            <w:top w:val="none" w:sz="0" w:space="0" w:color="auto"/>
            <w:left w:val="none" w:sz="0" w:space="0" w:color="auto"/>
            <w:bottom w:val="none" w:sz="0" w:space="0" w:color="auto"/>
            <w:right w:val="none" w:sz="0" w:space="0" w:color="auto"/>
          </w:divBdr>
          <w:divsChild>
            <w:div w:id="1652564385">
              <w:marLeft w:val="0"/>
              <w:marRight w:val="0"/>
              <w:marTop w:val="0"/>
              <w:marBottom w:val="0"/>
              <w:divBdr>
                <w:top w:val="none" w:sz="0" w:space="0" w:color="auto"/>
                <w:left w:val="none" w:sz="0" w:space="0" w:color="auto"/>
                <w:bottom w:val="none" w:sz="0" w:space="0" w:color="auto"/>
                <w:right w:val="none" w:sz="0" w:space="0" w:color="auto"/>
              </w:divBdr>
            </w:div>
          </w:divsChild>
        </w:div>
        <w:div w:id="547106151">
          <w:marLeft w:val="0"/>
          <w:marRight w:val="0"/>
          <w:marTop w:val="24"/>
          <w:marBottom w:val="24"/>
          <w:divBdr>
            <w:top w:val="none" w:sz="0" w:space="0" w:color="auto"/>
            <w:left w:val="none" w:sz="0" w:space="0" w:color="auto"/>
            <w:bottom w:val="none" w:sz="0" w:space="0" w:color="auto"/>
            <w:right w:val="none" w:sz="0" w:space="0" w:color="auto"/>
          </w:divBdr>
          <w:divsChild>
            <w:div w:id="723411819">
              <w:marLeft w:val="0"/>
              <w:marRight w:val="0"/>
              <w:marTop w:val="0"/>
              <w:marBottom w:val="0"/>
              <w:divBdr>
                <w:top w:val="none" w:sz="0" w:space="0" w:color="auto"/>
                <w:left w:val="none" w:sz="0" w:space="0" w:color="auto"/>
                <w:bottom w:val="none" w:sz="0" w:space="0" w:color="auto"/>
                <w:right w:val="none" w:sz="0" w:space="0" w:color="auto"/>
              </w:divBdr>
            </w:div>
          </w:divsChild>
        </w:div>
        <w:div w:id="573202883">
          <w:marLeft w:val="0"/>
          <w:marRight w:val="0"/>
          <w:marTop w:val="0"/>
          <w:marBottom w:val="0"/>
          <w:divBdr>
            <w:top w:val="none" w:sz="0" w:space="0" w:color="auto"/>
            <w:left w:val="none" w:sz="0" w:space="0" w:color="auto"/>
            <w:bottom w:val="none" w:sz="0" w:space="0" w:color="auto"/>
            <w:right w:val="none" w:sz="0" w:space="0" w:color="auto"/>
          </w:divBdr>
        </w:div>
        <w:div w:id="596640939">
          <w:marLeft w:val="0"/>
          <w:marRight w:val="0"/>
          <w:marTop w:val="24"/>
          <w:marBottom w:val="24"/>
          <w:divBdr>
            <w:top w:val="none" w:sz="0" w:space="0" w:color="auto"/>
            <w:left w:val="none" w:sz="0" w:space="0" w:color="auto"/>
            <w:bottom w:val="none" w:sz="0" w:space="0" w:color="auto"/>
            <w:right w:val="none" w:sz="0" w:space="0" w:color="auto"/>
          </w:divBdr>
          <w:divsChild>
            <w:div w:id="185677111">
              <w:marLeft w:val="0"/>
              <w:marRight w:val="0"/>
              <w:marTop w:val="0"/>
              <w:marBottom w:val="0"/>
              <w:divBdr>
                <w:top w:val="none" w:sz="0" w:space="0" w:color="auto"/>
                <w:left w:val="none" w:sz="0" w:space="0" w:color="auto"/>
                <w:bottom w:val="none" w:sz="0" w:space="0" w:color="auto"/>
                <w:right w:val="none" w:sz="0" w:space="0" w:color="auto"/>
              </w:divBdr>
            </w:div>
          </w:divsChild>
        </w:div>
        <w:div w:id="629630383">
          <w:marLeft w:val="0"/>
          <w:marRight w:val="0"/>
          <w:marTop w:val="24"/>
          <w:marBottom w:val="24"/>
          <w:divBdr>
            <w:top w:val="none" w:sz="0" w:space="0" w:color="auto"/>
            <w:left w:val="none" w:sz="0" w:space="0" w:color="auto"/>
            <w:bottom w:val="none" w:sz="0" w:space="0" w:color="auto"/>
            <w:right w:val="none" w:sz="0" w:space="0" w:color="auto"/>
          </w:divBdr>
          <w:divsChild>
            <w:div w:id="427776985">
              <w:marLeft w:val="0"/>
              <w:marRight w:val="0"/>
              <w:marTop w:val="0"/>
              <w:marBottom w:val="0"/>
              <w:divBdr>
                <w:top w:val="none" w:sz="0" w:space="0" w:color="auto"/>
                <w:left w:val="none" w:sz="0" w:space="0" w:color="auto"/>
                <w:bottom w:val="none" w:sz="0" w:space="0" w:color="auto"/>
                <w:right w:val="none" w:sz="0" w:space="0" w:color="auto"/>
              </w:divBdr>
            </w:div>
          </w:divsChild>
        </w:div>
        <w:div w:id="667250019">
          <w:marLeft w:val="0"/>
          <w:marRight w:val="0"/>
          <w:marTop w:val="24"/>
          <w:marBottom w:val="24"/>
          <w:divBdr>
            <w:top w:val="none" w:sz="0" w:space="0" w:color="auto"/>
            <w:left w:val="none" w:sz="0" w:space="0" w:color="auto"/>
            <w:bottom w:val="none" w:sz="0" w:space="0" w:color="auto"/>
            <w:right w:val="none" w:sz="0" w:space="0" w:color="auto"/>
          </w:divBdr>
          <w:divsChild>
            <w:div w:id="502861853">
              <w:marLeft w:val="0"/>
              <w:marRight w:val="0"/>
              <w:marTop w:val="0"/>
              <w:marBottom w:val="0"/>
              <w:divBdr>
                <w:top w:val="none" w:sz="0" w:space="0" w:color="auto"/>
                <w:left w:val="none" w:sz="0" w:space="0" w:color="auto"/>
                <w:bottom w:val="none" w:sz="0" w:space="0" w:color="auto"/>
                <w:right w:val="none" w:sz="0" w:space="0" w:color="auto"/>
              </w:divBdr>
            </w:div>
          </w:divsChild>
        </w:div>
        <w:div w:id="671949680">
          <w:marLeft w:val="0"/>
          <w:marRight w:val="0"/>
          <w:marTop w:val="240"/>
          <w:marBottom w:val="0"/>
          <w:divBdr>
            <w:top w:val="none" w:sz="0" w:space="0" w:color="auto"/>
            <w:left w:val="none" w:sz="0" w:space="0" w:color="auto"/>
            <w:bottom w:val="none" w:sz="0" w:space="0" w:color="auto"/>
            <w:right w:val="none" w:sz="0" w:space="0" w:color="auto"/>
          </w:divBdr>
        </w:div>
        <w:div w:id="700977017">
          <w:marLeft w:val="0"/>
          <w:marRight w:val="0"/>
          <w:marTop w:val="24"/>
          <w:marBottom w:val="24"/>
          <w:divBdr>
            <w:top w:val="none" w:sz="0" w:space="0" w:color="auto"/>
            <w:left w:val="none" w:sz="0" w:space="0" w:color="auto"/>
            <w:bottom w:val="none" w:sz="0" w:space="0" w:color="auto"/>
            <w:right w:val="none" w:sz="0" w:space="0" w:color="auto"/>
          </w:divBdr>
          <w:divsChild>
            <w:div w:id="1315648560">
              <w:marLeft w:val="0"/>
              <w:marRight w:val="0"/>
              <w:marTop w:val="0"/>
              <w:marBottom w:val="0"/>
              <w:divBdr>
                <w:top w:val="none" w:sz="0" w:space="0" w:color="auto"/>
                <w:left w:val="none" w:sz="0" w:space="0" w:color="auto"/>
                <w:bottom w:val="none" w:sz="0" w:space="0" w:color="auto"/>
                <w:right w:val="none" w:sz="0" w:space="0" w:color="auto"/>
              </w:divBdr>
            </w:div>
          </w:divsChild>
        </w:div>
        <w:div w:id="821624874">
          <w:marLeft w:val="0"/>
          <w:marRight w:val="0"/>
          <w:marTop w:val="24"/>
          <w:marBottom w:val="24"/>
          <w:divBdr>
            <w:top w:val="none" w:sz="0" w:space="0" w:color="auto"/>
            <w:left w:val="none" w:sz="0" w:space="0" w:color="auto"/>
            <w:bottom w:val="none" w:sz="0" w:space="0" w:color="auto"/>
            <w:right w:val="none" w:sz="0" w:space="0" w:color="auto"/>
          </w:divBdr>
          <w:divsChild>
            <w:div w:id="1467235380">
              <w:marLeft w:val="0"/>
              <w:marRight w:val="0"/>
              <w:marTop w:val="0"/>
              <w:marBottom w:val="0"/>
              <w:divBdr>
                <w:top w:val="none" w:sz="0" w:space="0" w:color="auto"/>
                <w:left w:val="none" w:sz="0" w:space="0" w:color="auto"/>
                <w:bottom w:val="none" w:sz="0" w:space="0" w:color="auto"/>
                <w:right w:val="none" w:sz="0" w:space="0" w:color="auto"/>
              </w:divBdr>
            </w:div>
          </w:divsChild>
        </w:div>
        <w:div w:id="824854008">
          <w:marLeft w:val="0"/>
          <w:marRight w:val="0"/>
          <w:marTop w:val="24"/>
          <w:marBottom w:val="24"/>
          <w:divBdr>
            <w:top w:val="none" w:sz="0" w:space="0" w:color="auto"/>
            <w:left w:val="none" w:sz="0" w:space="0" w:color="auto"/>
            <w:bottom w:val="none" w:sz="0" w:space="0" w:color="auto"/>
            <w:right w:val="none" w:sz="0" w:space="0" w:color="auto"/>
          </w:divBdr>
          <w:divsChild>
            <w:div w:id="925990735">
              <w:marLeft w:val="0"/>
              <w:marRight w:val="0"/>
              <w:marTop w:val="0"/>
              <w:marBottom w:val="0"/>
              <w:divBdr>
                <w:top w:val="none" w:sz="0" w:space="0" w:color="auto"/>
                <w:left w:val="none" w:sz="0" w:space="0" w:color="auto"/>
                <w:bottom w:val="none" w:sz="0" w:space="0" w:color="auto"/>
                <w:right w:val="none" w:sz="0" w:space="0" w:color="auto"/>
              </w:divBdr>
            </w:div>
          </w:divsChild>
        </w:div>
        <w:div w:id="859586520">
          <w:marLeft w:val="0"/>
          <w:marRight w:val="0"/>
          <w:marTop w:val="24"/>
          <w:marBottom w:val="24"/>
          <w:divBdr>
            <w:top w:val="none" w:sz="0" w:space="0" w:color="auto"/>
            <w:left w:val="none" w:sz="0" w:space="0" w:color="auto"/>
            <w:bottom w:val="none" w:sz="0" w:space="0" w:color="auto"/>
            <w:right w:val="none" w:sz="0" w:space="0" w:color="auto"/>
          </w:divBdr>
          <w:divsChild>
            <w:div w:id="1848016352">
              <w:marLeft w:val="0"/>
              <w:marRight w:val="0"/>
              <w:marTop w:val="0"/>
              <w:marBottom w:val="0"/>
              <w:divBdr>
                <w:top w:val="none" w:sz="0" w:space="0" w:color="auto"/>
                <w:left w:val="none" w:sz="0" w:space="0" w:color="auto"/>
                <w:bottom w:val="none" w:sz="0" w:space="0" w:color="auto"/>
                <w:right w:val="none" w:sz="0" w:space="0" w:color="auto"/>
              </w:divBdr>
            </w:div>
          </w:divsChild>
        </w:div>
        <w:div w:id="869685078">
          <w:marLeft w:val="0"/>
          <w:marRight w:val="0"/>
          <w:marTop w:val="24"/>
          <w:marBottom w:val="24"/>
          <w:divBdr>
            <w:top w:val="none" w:sz="0" w:space="0" w:color="auto"/>
            <w:left w:val="none" w:sz="0" w:space="0" w:color="auto"/>
            <w:bottom w:val="none" w:sz="0" w:space="0" w:color="auto"/>
            <w:right w:val="none" w:sz="0" w:space="0" w:color="auto"/>
          </w:divBdr>
          <w:divsChild>
            <w:div w:id="938487372">
              <w:marLeft w:val="0"/>
              <w:marRight w:val="0"/>
              <w:marTop w:val="0"/>
              <w:marBottom w:val="0"/>
              <w:divBdr>
                <w:top w:val="none" w:sz="0" w:space="0" w:color="auto"/>
                <w:left w:val="none" w:sz="0" w:space="0" w:color="auto"/>
                <w:bottom w:val="none" w:sz="0" w:space="0" w:color="auto"/>
                <w:right w:val="none" w:sz="0" w:space="0" w:color="auto"/>
              </w:divBdr>
            </w:div>
          </w:divsChild>
        </w:div>
        <w:div w:id="902066541">
          <w:marLeft w:val="0"/>
          <w:marRight w:val="0"/>
          <w:marTop w:val="24"/>
          <w:marBottom w:val="24"/>
          <w:divBdr>
            <w:top w:val="none" w:sz="0" w:space="0" w:color="auto"/>
            <w:left w:val="none" w:sz="0" w:space="0" w:color="auto"/>
            <w:bottom w:val="none" w:sz="0" w:space="0" w:color="auto"/>
            <w:right w:val="none" w:sz="0" w:space="0" w:color="auto"/>
          </w:divBdr>
          <w:divsChild>
            <w:div w:id="898129858">
              <w:marLeft w:val="0"/>
              <w:marRight w:val="0"/>
              <w:marTop w:val="0"/>
              <w:marBottom w:val="0"/>
              <w:divBdr>
                <w:top w:val="none" w:sz="0" w:space="0" w:color="auto"/>
                <w:left w:val="none" w:sz="0" w:space="0" w:color="auto"/>
                <w:bottom w:val="none" w:sz="0" w:space="0" w:color="auto"/>
                <w:right w:val="none" w:sz="0" w:space="0" w:color="auto"/>
              </w:divBdr>
            </w:div>
          </w:divsChild>
        </w:div>
        <w:div w:id="972055835">
          <w:marLeft w:val="0"/>
          <w:marRight w:val="0"/>
          <w:marTop w:val="24"/>
          <w:marBottom w:val="24"/>
          <w:divBdr>
            <w:top w:val="none" w:sz="0" w:space="0" w:color="auto"/>
            <w:left w:val="none" w:sz="0" w:space="0" w:color="auto"/>
            <w:bottom w:val="none" w:sz="0" w:space="0" w:color="auto"/>
            <w:right w:val="none" w:sz="0" w:space="0" w:color="auto"/>
          </w:divBdr>
          <w:divsChild>
            <w:div w:id="1296981524">
              <w:marLeft w:val="0"/>
              <w:marRight w:val="0"/>
              <w:marTop w:val="0"/>
              <w:marBottom w:val="0"/>
              <w:divBdr>
                <w:top w:val="none" w:sz="0" w:space="0" w:color="auto"/>
                <w:left w:val="none" w:sz="0" w:space="0" w:color="auto"/>
                <w:bottom w:val="none" w:sz="0" w:space="0" w:color="auto"/>
                <w:right w:val="none" w:sz="0" w:space="0" w:color="auto"/>
              </w:divBdr>
            </w:div>
          </w:divsChild>
        </w:div>
        <w:div w:id="976033004">
          <w:marLeft w:val="0"/>
          <w:marRight w:val="0"/>
          <w:marTop w:val="24"/>
          <w:marBottom w:val="24"/>
          <w:divBdr>
            <w:top w:val="none" w:sz="0" w:space="0" w:color="auto"/>
            <w:left w:val="none" w:sz="0" w:space="0" w:color="auto"/>
            <w:bottom w:val="none" w:sz="0" w:space="0" w:color="auto"/>
            <w:right w:val="none" w:sz="0" w:space="0" w:color="auto"/>
          </w:divBdr>
          <w:divsChild>
            <w:div w:id="345523500">
              <w:marLeft w:val="0"/>
              <w:marRight w:val="0"/>
              <w:marTop w:val="0"/>
              <w:marBottom w:val="0"/>
              <w:divBdr>
                <w:top w:val="none" w:sz="0" w:space="0" w:color="auto"/>
                <w:left w:val="none" w:sz="0" w:space="0" w:color="auto"/>
                <w:bottom w:val="none" w:sz="0" w:space="0" w:color="auto"/>
                <w:right w:val="none" w:sz="0" w:space="0" w:color="auto"/>
              </w:divBdr>
            </w:div>
          </w:divsChild>
        </w:div>
        <w:div w:id="1003705009">
          <w:marLeft w:val="0"/>
          <w:marRight w:val="0"/>
          <w:marTop w:val="24"/>
          <w:marBottom w:val="24"/>
          <w:divBdr>
            <w:top w:val="none" w:sz="0" w:space="0" w:color="auto"/>
            <w:left w:val="none" w:sz="0" w:space="0" w:color="auto"/>
            <w:bottom w:val="none" w:sz="0" w:space="0" w:color="auto"/>
            <w:right w:val="none" w:sz="0" w:space="0" w:color="auto"/>
          </w:divBdr>
          <w:divsChild>
            <w:div w:id="616832707">
              <w:marLeft w:val="0"/>
              <w:marRight w:val="0"/>
              <w:marTop w:val="0"/>
              <w:marBottom w:val="0"/>
              <w:divBdr>
                <w:top w:val="none" w:sz="0" w:space="0" w:color="auto"/>
                <w:left w:val="none" w:sz="0" w:space="0" w:color="auto"/>
                <w:bottom w:val="none" w:sz="0" w:space="0" w:color="auto"/>
                <w:right w:val="none" w:sz="0" w:space="0" w:color="auto"/>
              </w:divBdr>
            </w:div>
          </w:divsChild>
        </w:div>
        <w:div w:id="1008101096">
          <w:marLeft w:val="0"/>
          <w:marRight w:val="0"/>
          <w:marTop w:val="0"/>
          <w:marBottom w:val="0"/>
          <w:divBdr>
            <w:top w:val="none" w:sz="0" w:space="0" w:color="auto"/>
            <w:left w:val="none" w:sz="0" w:space="0" w:color="auto"/>
            <w:bottom w:val="none" w:sz="0" w:space="0" w:color="auto"/>
            <w:right w:val="none" w:sz="0" w:space="0" w:color="auto"/>
          </w:divBdr>
        </w:div>
        <w:div w:id="1033574406">
          <w:marLeft w:val="0"/>
          <w:marRight w:val="0"/>
          <w:marTop w:val="240"/>
          <w:marBottom w:val="0"/>
          <w:divBdr>
            <w:top w:val="none" w:sz="0" w:space="0" w:color="auto"/>
            <w:left w:val="none" w:sz="0" w:space="0" w:color="auto"/>
            <w:bottom w:val="none" w:sz="0" w:space="0" w:color="auto"/>
            <w:right w:val="none" w:sz="0" w:space="0" w:color="auto"/>
          </w:divBdr>
          <w:divsChild>
            <w:div w:id="1562642874">
              <w:marLeft w:val="0"/>
              <w:marRight w:val="0"/>
              <w:marTop w:val="0"/>
              <w:marBottom w:val="0"/>
              <w:divBdr>
                <w:top w:val="none" w:sz="0" w:space="0" w:color="auto"/>
                <w:left w:val="none" w:sz="0" w:space="0" w:color="auto"/>
                <w:bottom w:val="none" w:sz="0" w:space="0" w:color="auto"/>
                <w:right w:val="none" w:sz="0" w:space="0" w:color="auto"/>
              </w:divBdr>
            </w:div>
          </w:divsChild>
        </w:div>
        <w:div w:id="1035154850">
          <w:marLeft w:val="0"/>
          <w:marRight w:val="0"/>
          <w:marTop w:val="24"/>
          <w:marBottom w:val="24"/>
          <w:divBdr>
            <w:top w:val="none" w:sz="0" w:space="0" w:color="auto"/>
            <w:left w:val="none" w:sz="0" w:space="0" w:color="auto"/>
            <w:bottom w:val="none" w:sz="0" w:space="0" w:color="auto"/>
            <w:right w:val="none" w:sz="0" w:space="0" w:color="auto"/>
          </w:divBdr>
          <w:divsChild>
            <w:div w:id="1967857261">
              <w:marLeft w:val="0"/>
              <w:marRight w:val="0"/>
              <w:marTop w:val="0"/>
              <w:marBottom w:val="0"/>
              <w:divBdr>
                <w:top w:val="none" w:sz="0" w:space="0" w:color="auto"/>
                <w:left w:val="none" w:sz="0" w:space="0" w:color="auto"/>
                <w:bottom w:val="none" w:sz="0" w:space="0" w:color="auto"/>
                <w:right w:val="none" w:sz="0" w:space="0" w:color="auto"/>
              </w:divBdr>
            </w:div>
          </w:divsChild>
        </w:div>
        <w:div w:id="1086994271">
          <w:marLeft w:val="0"/>
          <w:marRight w:val="0"/>
          <w:marTop w:val="24"/>
          <w:marBottom w:val="24"/>
          <w:divBdr>
            <w:top w:val="none" w:sz="0" w:space="0" w:color="auto"/>
            <w:left w:val="none" w:sz="0" w:space="0" w:color="auto"/>
            <w:bottom w:val="none" w:sz="0" w:space="0" w:color="auto"/>
            <w:right w:val="none" w:sz="0" w:space="0" w:color="auto"/>
          </w:divBdr>
          <w:divsChild>
            <w:div w:id="214508098">
              <w:marLeft w:val="0"/>
              <w:marRight w:val="0"/>
              <w:marTop w:val="0"/>
              <w:marBottom w:val="0"/>
              <w:divBdr>
                <w:top w:val="none" w:sz="0" w:space="0" w:color="auto"/>
                <w:left w:val="none" w:sz="0" w:space="0" w:color="auto"/>
                <w:bottom w:val="none" w:sz="0" w:space="0" w:color="auto"/>
                <w:right w:val="none" w:sz="0" w:space="0" w:color="auto"/>
              </w:divBdr>
            </w:div>
          </w:divsChild>
        </w:div>
        <w:div w:id="1095053088">
          <w:marLeft w:val="0"/>
          <w:marRight w:val="0"/>
          <w:marTop w:val="24"/>
          <w:marBottom w:val="24"/>
          <w:divBdr>
            <w:top w:val="none" w:sz="0" w:space="0" w:color="auto"/>
            <w:left w:val="none" w:sz="0" w:space="0" w:color="auto"/>
            <w:bottom w:val="none" w:sz="0" w:space="0" w:color="auto"/>
            <w:right w:val="none" w:sz="0" w:space="0" w:color="auto"/>
          </w:divBdr>
          <w:divsChild>
            <w:div w:id="626860546">
              <w:marLeft w:val="0"/>
              <w:marRight w:val="0"/>
              <w:marTop w:val="0"/>
              <w:marBottom w:val="0"/>
              <w:divBdr>
                <w:top w:val="none" w:sz="0" w:space="0" w:color="auto"/>
                <w:left w:val="none" w:sz="0" w:space="0" w:color="auto"/>
                <w:bottom w:val="none" w:sz="0" w:space="0" w:color="auto"/>
                <w:right w:val="none" w:sz="0" w:space="0" w:color="auto"/>
              </w:divBdr>
            </w:div>
          </w:divsChild>
        </w:div>
        <w:div w:id="1132527953">
          <w:marLeft w:val="0"/>
          <w:marRight w:val="0"/>
          <w:marTop w:val="24"/>
          <w:marBottom w:val="24"/>
          <w:divBdr>
            <w:top w:val="none" w:sz="0" w:space="0" w:color="auto"/>
            <w:left w:val="none" w:sz="0" w:space="0" w:color="auto"/>
            <w:bottom w:val="none" w:sz="0" w:space="0" w:color="auto"/>
            <w:right w:val="none" w:sz="0" w:space="0" w:color="auto"/>
          </w:divBdr>
          <w:divsChild>
            <w:div w:id="412967357">
              <w:marLeft w:val="0"/>
              <w:marRight w:val="0"/>
              <w:marTop w:val="0"/>
              <w:marBottom w:val="0"/>
              <w:divBdr>
                <w:top w:val="none" w:sz="0" w:space="0" w:color="auto"/>
                <w:left w:val="none" w:sz="0" w:space="0" w:color="auto"/>
                <w:bottom w:val="none" w:sz="0" w:space="0" w:color="auto"/>
                <w:right w:val="none" w:sz="0" w:space="0" w:color="auto"/>
              </w:divBdr>
            </w:div>
          </w:divsChild>
        </w:div>
        <w:div w:id="1166557566">
          <w:marLeft w:val="0"/>
          <w:marRight w:val="0"/>
          <w:marTop w:val="24"/>
          <w:marBottom w:val="24"/>
          <w:divBdr>
            <w:top w:val="none" w:sz="0" w:space="0" w:color="auto"/>
            <w:left w:val="none" w:sz="0" w:space="0" w:color="auto"/>
            <w:bottom w:val="none" w:sz="0" w:space="0" w:color="auto"/>
            <w:right w:val="none" w:sz="0" w:space="0" w:color="auto"/>
          </w:divBdr>
          <w:divsChild>
            <w:div w:id="1347320946">
              <w:marLeft w:val="0"/>
              <w:marRight w:val="0"/>
              <w:marTop w:val="0"/>
              <w:marBottom w:val="0"/>
              <w:divBdr>
                <w:top w:val="none" w:sz="0" w:space="0" w:color="auto"/>
                <w:left w:val="none" w:sz="0" w:space="0" w:color="auto"/>
                <w:bottom w:val="none" w:sz="0" w:space="0" w:color="auto"/>
                <w:right w:val="none" w:sz="0" w:space="0" w:color="auto"/>
              </w:divBdr>
            </w:div>
          </w:divsChild>
        </w:div>
        <w:div w:id="1220239081">
          <w:marLeft w:val="0"/>
          <w:marRight w:val="0"/>
          <w:marTop w:val="24"/>
          <w:marBottom w:val="24"/>
          <w:divBdr>
            <w:top w:val="none" w:sz="0" w:space="0" w:color="auto"/>
            <w:left w:val="none" w:sz="0" w:space="0" w:color="auto"/>
            <w:bottom w:val="none" w:sz="0" w:space="0" w:color="auto"/>
            <w:right w:val="none" w:sz="0" w:space="0" w:color="auto"/>
          </w:divBdr>
          <w:divsChild>
            <w:div w:id="1892768946">
              <w:marLeft w:val="0"/>
              <w:marRight w:val="0"/>
              <w:marTop w:val="0"/>
              <w:marBottom w:val="0"/>
              <w:divBdr>
                <w:top w:val="none" w:sz="0" w:space="0" w:color="auto"/>
                <w:left w:val="none" w:sz="0" w:space="0" w:color="auto"/>
                <w:bottom w:val="none" w:sz="0" w:space="0" w:color="auto"/>
                <w:right w:val="none" w:sz="0" w:space="0" w:color="auto"/>
              </w:divBdr>
            </w:div>
          </w:divsChild>
        </w:div>
        <w:div w:id="1243953131">
          <w:marLeft w:val="0"/>
          <w:marRight w:val="0"/>
          <w:marTop w:val="240"/>
          <w:marBottom w:val="0"/>
          <w:divBdr>
            <w:top w:val="none" w:sz="0" w:space="0" w:color="auto"/>
            <w:left w:val="none" w:sz="0" w:space="0" w:color="auto"/>
            <w:bottom w:val="none" w:sz="0" w:space="0" w:color="auto"/>
            <w:right w:val="none" w:sz="0" w:space="0" w:color="auto"/>
          </w:divBdr>
          <w:divsChild>
            <w:div w:id="1087116428">
              <w:marLeft w:val="0"/>
              <w:marRight w:val="0"/>
              <w:marTop w:val="0"/>
              <w:marBottom w:val="0"/>
              <w:divBdr>
                <w:top w:val="none" w:sz="0" w:space="0" w:color="auto"/>
                <w:left w:val="none" w:sz="0" w:space="0" w:color="auto"/>
                <w:bottom w:val="none" w:sz="0" w:space="0" w:color="auto"/>
                <w:right w:val="none" w:sz="0" w:space="0" w:color="auto"/>
              </w:divBdr>
            </w:div>
          </w:divsChild>
        </w:div>
        <w:div w:id="1333684800">
          <w:marLeft w:val="0"/>
          <w:marRight w:val="0"/>
          <w:marTop w:val="24"/>
          <w:marBottom w:val="24"/>
          <w:divBdr>
            <w:top w:val="none" w:sz="0" w:space="0" w:color="auto"/>
            <w:left w:val="none" w:sz="0" w:space="0" w:color="auto"/>
            <w:bottom w:val="none" w:sz="0" w:space="0" w:color="auto"/>
            <w:right w:val="none" w:sz="0" w:space="0" w:color="auto"/>
          </w:divBdr>
          <w:divsChild>
            <w:div w:id="1642730015">
              <w:marLeft w:val="0"/>
              <w:marRight w:val="0"/>
              <w:marTop w:val="0"/>
              <w:marBottom w:val="0"/>
              <w:divBdr>
                <w:top w:val="none" w:sz="0" w:space="0" w:color="auto"/>
                <w:left w:val="none" w:sz="0" w:space="0" w:color="auto"/>
                <w:bottom w:val="none" w:sz="0" w:space="0" w:color="auto"/>
                <w:right w:val="none" w:sz="0" w:space="0" w:color="auto"/>
              </w:divBdr>
            </w:div>
          </w:divsChild>
        </w:div>
        <w:div w:id="1404446813">
          <w:marLeft w:val="0"/>
          <w:marRight w:val="0"/>
          <w:marTop w:val="24"/>
          <w:marBottom w:val="24"/>
          <w:divBdr>
            <w:top w:val="none" w:sz="0" w:space="0" w:color="auto"/>
            <w:left w:val="none" w:sz="0" w:space="0" w:color="auto"/>
            <w:bottom w:val="none" w:sz="0" w:space="0" w:color="auto"/>
            <w:right w:val="none" w:sz="0" w:space="0" w:color="auto"/>
          </w:divBdr>
          <w:divsChild>
            <w:div w:id="101456216">
              <w:marLeft w:val="0"/>
              <w:marRight w:val="0"/>
              <w:marTop w:val="0"/>
              <w:marBottom w:val="0"/>
              <w:divBdr>
                <w:top w:val="none" w:sz="0" w:space="0" w:color="auto"/>
                <w:left w:val="none" w:sz="0" w:space="0" w:color="auto"/>
                <w:bottom w:val="none" w:sz="0" w:space="0" w:color="auto"/>
                <w:right w:val="none" w:sz="0" w:space="0" w:color="auto"/>
              </w:divBdr>
            </w:div>
          </w:divsChild>
        </w:div>
        <w:div w:id="1416901494">
          <w:marLeft w:val="0"/>
          <w:marRight w:val="0"/>
          <w:marTop w:val="24"/>
          <w:marBottom w:val="24"/>
          <w:divBdr>
            <w:top w:val="none" w:sz="0" w:space="0" w:color="auto"/>
            <w:left w:val="none" w:sz="0" w:space="0" w:color="auto"/>
            <w:bottom w:val="none" w:sz="0" w:space="0" w:color="auto"/>
            <w:right w:val="none" w:sz="0" w:space="0" w:color="auto"/>
          </w:divBdr>
          <w:divsChild>
            <w:div w:id="667513983">
              <w:marLeft w:val="0"/>
              <w:marRight w:val="0"/>
              <w:marTop w:val="0"/>
              <w:marBottom w:val="0"/>
              <w:divBdr>
                <w:top w:val="none" w:sz="0" w:space="0" w:color="auto"/>
                <w:left w:val="none" w:sz="0" w:space="0" w:color="auto"/>
                <w:bottom w:val="none" w:sz="0" w:space="0" w:color="auto"/>
                <w:right w:val="none" w:sz="0" w:space="0" w:color="auto"/>
              </w:divBdr>
            </w:div>
          </w:divsChild>
        </w:div>
        <w:div w:id="1449810131">
          <w:marLeft w:val="0"/>
          <w:marRight w:val="0"/>
          <w:marTop w:val="24"/>
          <w:marBottom w:val="24"/>
          <w:divBdr>
            <w:top w:val="none" w:sz="0" w:space="0" w:color="auto"/>
            <w:left w:val="none" w:sz="0" w:space="0" w:color="auto"/>
            <w:bottom w:val="none" w:sz="0" w:space="0" w:color="auto"/>
            <w:right w:val="none" w:sz="0" w:space="0" w:color="auto"/>
          </w:divBdr>
          <w:divsChild>
            <w:div w:id="1591620023">
              <w:marLeft w:val="0"/>
              <w:marRight w:val="0"/>
              <w:marTop w:val="0"/>
              <w:marBottom w:val="0"/>
              <w:divBdr>
                <w:top w:val="none" w:sz="0" w:space="0" w:color="auto"/>
                <w:left w:val="none" w:sz="0" w:space="0" w:color="auto"/>
                <w:bottom w:val="none" w:sz="0" w:space="0" w:color="auto"/>
                <w:right w:val="none" w:sz="0" w:space="0" w:color="auto"/>
              </w:divBdr>
            </w:div>
          </w:divsChild>
        </w:div>
        <w:div w:id="1458403383">
          <w:marLeft w:val="0"/>
          <w:marRight w:val="0"/>
          <w:marTop w:val="240"/>
          <w:marBottom w:val="0"/>
          <w:divBdr>
            <w:top w:val="none" w:sz="0" w:space="0" w:color="auto"/>
            <w:left w:val="none" w:sz="0" w:space="0" w:color="auto"/>
            <w:bottom w:val="none" w:sz="0" w:space="0" w:color="auto"/>
            <w:right w:val="none" w:sz="0" w:space="0" w:color="auto"/>
          </w:divBdr>
          <w:divsChild>
            <w:div w:id="438258482">
              <w:marLeft w:val="0"/>
              <w:marRight w:val="0"/>
              <w:marTop w:val="0"/>
              <w:marBottom w:val="0"/>
              <w:divBdr>
                <w:top w:val="none" w:sz="0" w:space="0" w:color="auto"/>
                <w:left w:val="none" w:sz="0" w:space="0" w:color="auto"/>
                <w:bottom w:val="none" w:sz="0" w:space="0" w:color="auto"/>
                <w:right w:val="none" w:sz="0" w:space="0" w:color="auto"/>
              </w:divBdr>
            </w:div>
          </w:divsChild>
        </w:div>
        <w:div w:id="1547838186">
          <w:marLeft w:val="0"/>
          <w:marRight w:val="0"/>
          <w:marTop w:val="24"/>
          <w:marBottom w:val="24"/>
          <w:divBdr>
            <w:top w:val="none" w:sz="0" w:space="0" w:color="auto"/>
            <w:left w:val="none" w:sz="0" w:space="0" w:color="auto"/>
            <w:bottom w:val="none" w:sz="0" w:space="0" w:color="auto"/>
            <w:right w:val="none" w:sz="0" w:space="0" w:color="auto"/>
          </w:divBdr>
          <w:divsChild>
            <w:div w:id="1389498231">
              <w:marLeft w:val="0"/>
              <w:marRight w:val="0"/>
              <w:marTop w:val="0"/>
              <w:marBottom w:val="0"/>
              <w:divBdr>
                <w:top w:val="none" w:sz="0" w:space="0" w:color="auto"/>
                <w:left w:val="none" w:sz="0" w:space="0" w:color="auto"/>
                <w:bottom w:val="none" w:sz="0" w:space="0" w:color="auto"/>
                <w:right w:val="none" w:sz="0" w:space="0" w:color="auto"/>
              </w:divBdr>
            </w:div>
          </w:divsChild>
        </w:div>
        <w:div w:id="1619987696">
          <w:marLeft w:val="0"/>
          <w:marRight w:val="0"/>
          <w:marTop w:val="24"/>
          <w:marBottom w:val="24"/>
          <w:divBdr>
            <w:top w:val="none" w:sz="0" w:space="0" w:color="auto"/>
            <w:left w:val="none" w:sz="0" w:space="0" w:color="auto"/>
            <w:bottom w:val="none" w:sz="0" w:space="0" w:color="auto"/>
            <w:right w:val="none" w:sz="0" w:space="0" w:color="auto"/>
          </w:divBdr>
          <w:divsChild>
            <w:div w:id="734352002">
              <w:marLeft w:val="0"/>
              <w:marRight w:val="0"/>
              <w:marTop w:val="0"/>
              <w:marBottom w:val="0"/>
              <w:divBdr>
                <w:top w:val="none" w:sz="0" w:space="0" w:color="auto"/>
                <w:left w:val="none" w:sz="0" w:space="0" w:color="auto"/>
                <w:bottom w:val="none" w:sz="0" w:space="0" w:color="auto"/>
                <w:right w:val="none" w:sz="0" w:space="0" w:color="auto"/>
              </w:divBdr>
            </w:div>
          </w:divsChild>
        </w:div>
        <w:div w:id="1670475036">
          <w:marLeft w:val="0"/>
          <w:marRight w:val="0"/>
          <w:marTop w:val="24"/>
          <w:marBottom w:val="24"/>
          <w:divBdr>
            <w:top w:val="none" w:sz="0" w:space="0" w:color="auto"/>
            <w:left w:val="none" w:sz="0" w:space="0" w:color="auto"/>
            <w:bottom w:val="none" w:sz="0" w:space="0" w:color="auto"/>
            <w:right w:val="none" w:sz="0" w:space="0" w:color="auto"/>
          </w:divBdr>
          <w:divsChild>
            <w:div w:id="1768691326">
              <w:marLeft w:val="0"/>
              <w:marRight w:val="0"/>
              <w:marTop w:val="0"/>
              <w:marBottom w:val="0"/>
              <w:divBdr>
                <w:top w:val="none" w:sz="0" w:space="0" w:color="auto"/>
                <w:left w:val="none" w:sz="0" w:space="0" w:color="auto"/>
                <w:bottom w:val="none" w:sz="0" w:space="0" w:color="auto"/>
                <w:right w:val="none" w:sz="0" w:space="0" w:color="auto"/>
              </w:divBdr>
            </w:div>
          </w:divsChild>
        </w:div>
        <w:div w:id="1672220822">
          <w:marLeft w:val="0"/>
          <w:marRight w:val="0"/>
          <w:marTop w:val="240"/>
          <w:marBottom w:val="0"/>
          <w:divBdr>
            <w:top w:val="none" w:sz="0" w:space="0" w:color="auto"/>
            <w:left w:val="none" w:sz="0" w:space="0" w:color="auto"/>
            <w:bottom w:val="none" w:sz="0" w:space="0" w:color="auto"/>
            <w:right w:val="none" w:sz="0" w:space="0" w:color="auto"/>
          </w:divBdr>
          <w:divsChild>
            <w:div w:id="2040818761">
              <w:marLeft w:val="0"/>
              <w:marRight w:val="0"/>
              <w:marTop w:val="0"/>
              <w:marBottom w:val="0"/>
              <w:divBdr>
                <w:top w:val="none" w:sz="0" w:space="0" w:color="auto"/>
                <w:left w:val="none" w:sz="0" w:space="0" w:color="auto"/>
                <w:bottom w:val="none" w:sz="0" w:space="0" w:color="auto"/>
                <w:right w:val="none" w:sz="0" w:space="0" w:color="auto"/>
              </w:divBdr>
            </w:div>
          </w:divsChild>
        </w:div>
        <w:div w:id="1692221674">
          <w:marLeft w:val="0"/>
          <w:marRight w:val="0"/>
          <w:marTop w:val="0"/>
          <w:marBottom w:val="0"/>
          <w:divBdr>
            <w:top w:val="none" w:sz="0" w:space="0" w:color="auto"/>
            <w:left w:val="none" w:sz="0" w:space="0" w:color="auto"/>
            <w:bottom w:val="none" w:sz="0" w:space="0" w:color="auto"/>
            <w:right w:val="none" w:sz="0" w:space="0" w:color="auto"/>
          </w:divBdr>
        </w:div>
        <w:div w:id="1693846673">
          <w:marLeft w:val="0"/>
          <w:marRight w:val="0"/>
          <w:marTop w:val="24"/>
          <w:marBottom w:val="24"/>
          <w:divBdr>
            <w:top w:val="none" w:sz="0" w:space="0" w:color="auto"/>
            <w:left w:val="none" w:sz="0" w:space="0" w:color="auto"/>
            <w:bottom w:val="none" w:sz="0" w:space="0" w:color="auto"/>
            <w:right w:val="none" w:sz="0" w:space="0" w:color="auto"/>
          </w:divBdr>
          <w:divsChild>
            <w:div w:id="1368143852">
              <w:marLeft w:val="0"/>
              <w:marRight w:val="0"/>
              <w:marTop w:val="0"/>
              <w:marBottom w:val="0"/>
              <w:divBdr>
                <w:top w:val="none" w:sz="0" w:space="0" w:color="auto"/>
                <w:left w:val="none" w:sz="0" w:space="0" w:color="auto"/>
                <w:bottom w:val="none" w:sz="0" w:space="0" w:color="auto"/>
                <w:right w:val="none" w:sz="0" w:space="0" w:color="auto"/>
              </w:divBdr>
            </w:div>
          </w:divsChild>
        </w:div>
        <w:div w:id="1699969682">
          <w:marLeft w:val="0"/>
          <w:marRight w:val="0"/>
          <w:marTop w:val="24"/>
          <w:marBottom w:val="24"/>
          <w:divBdr>
            <w:top w:val="none" w:sz="0" w:space="0" w:color="auto"/>
            <w:left w:val="none" w:sz="0" w:space="0" w:color="auto"/>
            <w:bottom w:val="none" w:sz="0" w:space="0" w:color="auto"/>
            <w:right w:val="none" w:sz="0" w:space="0" w:color="auto"/>
          </w:divBdr>
          <w:divsChild>
            <w:div w:id="469172927">
              <w:marLeft w:val="0"/>
              <w:marRight w:val="0"/>
              <w:marTop w:val="0"/>
              <w:marBottom w:val="0"/>
              <w:divBdr>
                <w:top w:val="none" w:sz="0" w:space="0" w:color="auto"/>
                <w:left w:val="none" w:sz="0" w:space="0" w:color="auto"/>
                <w:bottom w:val="none" w:sz="0" w:space="0" w:color="auto"/>
                <w:right w:val="none" w:sz="0" w:space="0" w:color="auto"/>
              </w:divBdr>
            </w:div>
          </w:divsChild>
        </w:div>
        <w:div w:id="1771582894">
          <w:marLeft w:val="0"/>
          <w:marRight w:val="0"/>
          <w:marTop w:val="24"/>
          <w:marBottom w:val="24"/>
          <w:divBdr>
            <w:top w:val="none" w:sz="0" w:space="0" w:color="auto"/>
            <w:left w:val="none" w:sz="0" w:space="0" w:color="auto"/>
            <w:bottom w:val="none" w:sz="0" w:space="0" w:color="auto"/>
            <w:right w:val="none" w:sz="0" w:space="0" w:color="auto"/>
          </w:divBdr>
          <w:divsChild>
            <w:div w:id="1321080970">
              <w:marLeft w:val="0"/>
              <w:marRight w:val="0"/>
              <w:marTop w:val="0"/>
              <w:marBottom w:val="0"/>
              <w:divBdr>
                <w:top w:val="none" w:sz="0" w:space="0" w:color="auto"/>
                <w:left w:val="none" w:sz="0" w:space="0" w:color="auto"/>
                <w:bottom w:val="none" w:sz="0" w:space="0" w:color="auto"/>
                <w:right w:val="none" w:sz="0" w:space="0" w:color="auto"/>
              </w:divBdr>
            </w:div>
          </w:divsChild>
        </w:div>
        <w:div w:id="1785922129">
          <w:marLeft w:val="0"/>
          <w:marRight w:val="0"/>
          <w:marTop w:val="24"/>
          <w:marBottom w:val="24"/>
          <w:divBdr>
            <w:top w:val="none" w:sz="0" w:space="0" w:color="auto"/>
            <w:left w:val="none" w:sz="0" w:space="0" w:color="auto"/>
            <w:bottom w:val="none" w:sz="0" w:space="0" w:color="auto"/>
            <w:right w:val="none" w:sz="0" w:space="0" w:color="auto"/>
          </w:divBdr>
          <w:divsChild>
            <w:div w:id="373386390">
              <w:marLeft w:val="0"/>
              <w:marRight w:val="0"/>
              <w:marTop w:val="0"/>
              <w:marBottom w:val="0"/>
              <w:divBdr>
                <w:top w:val="none" w:sz="0" w:space="0" w:color="auto"/>
                <w:left w:val="none" w:sz="0" w:space="0" w:color="auto"/>
                <w:bottom w:val="none" w:sz="0" w:space="0" w:color="auto"/>
                <w:right w:val="none" w:sz="0" w:space="0" w:color="auto"/>
              </w:divBdr>
            </w:div>
          </w:divsChild>
        </w:div>
        <w:div w:id="1809125789">
          <w:marLeft w:val="0"/>
          <w:marRight w:val="0"/>
          <w:marTop w:val="24"/>
          <w:marBottom w:val="24"/>
          <w:divBdr>
            <w:top w:val="none" w:sz="0" w:space="0" w:color="auto"/>
            <w:left w:val="none" w:sz="0" w:space="0" w:color="auto"/>
            <w:bottom w:val="none" w:sz="0" w:space="0" w:color="auto"/>
            <w:right w:val="none" w:sz="0" w:space="0" w:color="auto"/>
          </w:divBdr>
          <w:divsChild>
            <w:div w:id="590312739">
              <w:marLeft w:val="0"/>
              <w:marRight w:val="0"/>
              <w:marTop w:val="0"/>
              <w:marBottom w:val="0"/>
              <w:divBdr>
                <w:top w:val="none" w:sz="0" w:space="0" w:color="auto"/>
                <w:left w:val="none" w:sz="0" w:space="0" w:color="auto"/>
                <w:bottom w:val="none" w:sz="0" w:space="0" w:color="auto"/>
                <w:right w:val="none" w:sz="0" w:space="0" w:color="auto"/>
              </w:divBdr>
            </w:div>
          </w:divsChild>
        </w:div>
        <w:div w:id="1841845455">
          <w:marLeft w:val="0"/>
          <w:marRight w:val="0"/>
          <w:marTop w:val="24"/>
          <w:marBottom w:val="24"/>
          <w:divBdr>
            <w:top w:val="none" w:sz="0" w:space="0" w:color="auto"/>
            <w:left w:val="none" w:sz="0" w:space="0" w:color="auto"/>
            <w:bottom w:val="none" w:sz="0" w:space="0" w:color="auto"/>
            <w:right w:val="none" w:sz="0" w:space="0" w:color="auto"/>
          </w:divBdr>
          <w:divsChild>
            <w:div w:id="1526626722">
              <w:marLeft w:val="0"/>
              <w:marRight w:val="0"/>
              <w:marTop w:val="0"/>
              <w:marBottom w:val="0"/>
              <w:divBdr>
                <w:top w:val="none" w:sz="0" w:space="0" w:color="auto"/>
                <w:left w:val="none" w:sz="0" w:space="0" w:color="auto"/>
                <w:bottom w:val="none" w:sz="0" w:space="0" w:color="auto"/>
                <w:right w:val="none" w:sz="0" w:space="0" w:color="auto"/>
              </w:divBdr>
            </w:div>
          </w:divsChild>
        </w:div>
        <w:div w:id="1855997144">
          <w:marLeft w:val="0"/>
          <w:marRight w:val="0"/>
          <w:marTop w:val="240"/>
          <w:marBottom w:val="0"/>
          <w:divBdr>
            <w:top w:val="none" w:sz="0" w:space="0" w:color="auto"/>
            <w:left w:val="none" w:sz="0" w:space="0" w:color="auto"/>
            <w:bottom w:val="none" w:sz="0" w:space="0" w:color="auto"/>
            <w:right w:val="none" w:sz="0" w:space="0" w:color="auto"/>
          </w:divBdr>
          <w:divsChild>
            <w:div w:id="1190686287">
              <w:marLeft w:val="0"/>
              <w:marRight w:val="0"/>
              <w:marTop w:val="0"/>
              <w:marBottom w:val="0"/>
              <w:divBdr>
                <w:top w:val="none" w:sz="0" w:space="0" w:color="auto"/>
                <w:left w:val="none" w:sz="0" w:space="0" w:color="auto"/>
                <w:bottom w:val="none" w:sz="0" w:space="0" w:color="auto"/>
                <w:right w:val="none" w:sz="0" w:space="0" w:color="auto"/>
              </w:divBdr>
            </w:div>
          </w:divsChild>
        </w:div>
        <w:div w:id="1861313066">
          <w:marLeft w:val="0"/>
          <w:marRight w:val="0"/>
          <w:marTop w:val="24"/>
          <w:marBottom w:val="24"/>
          <w:divBdr>
            <w:top w:val="none" w:sz="0" w:space="0" w:color="auto"/>
            <w:left w:val="none" w:sz="0" w:space="0" w:color="auto"/>
            <w:bottom w:val="none" w:sz="0" w:space="0" w:color="auto"/>
            <w:right w:val="none" w:sz="0" w:space="0" w:color="auto"/>
          </w:divBdr>
          <w:divsChild>
            <w:div w:id="1190952204">
              <w:marLeft w:val="0"/>
              <w:marRight w:val="0"/>
              <w:marTop w:val="0"/>
              <w:marBottom w:val="0"/>
              <w:divBdr>
                <w:top w:val="none" w:sz="0" w:space="0" w:color="auto"/>
                <w:left w:val="none" w:sz="0" w:space="0" w:color="auto"/>
                <w:bottom w:val="none" w:sz="0" w:space="0" w:color="auto"/>
                <w:right w:val="none" w:sz="0" w:space="0" w:color="auto"/>
              </w:divBdr>
            </w:div>
          </w:divsChild>
        </w:div>
        <w:div w:id="1897624549">
          <w:marLeft w:val="0"/>
          <w:marRight w:val="0"/>
          <w:marTop w:val="24"/>
          <w:marBottom w:val="24"/>
          <w:divBdr>
            <w:top w:val="none" w:sz="0" w:space="0" w:color="auto"/>
            <w:left w:val="none" w:sz="0" w:space="0" w:color="auto"/>
            <w:bottom w:val="none" w:sz="0" w:space="0" w:color="auto"/>
            <w:right w:val="none" w:sz="0" w:space="0" w:color="auto"/>
          </w:divBdr>
          <w:divsChild>
            <w:div w:id="413164727">
              <w:marLeft w:val="0"/>
              <w:marRight w:val="0"/>
              <w:marTop w:val="0"/>
              <w:marBottom w:val="0"/>
              <w:divBdr>
                <w:top w:val="none" w:sz="0" w:space="0" w:color="auto"/>
                <w:left w:val="none" w:sz="0" w:space="0" w:color="auto"/>
                <w:bottom w:val="none" w:sz="0" w:space="0" w:color="auto"/>
                <w:right w:val="none" w:sz="0" w:space="0" w:color="auto"/>
              </w:divBdr>
            </w:div>
          </w:divsChild>
        </w:div>
        <w:div w:id="1913852248">
          <w:marLeft w:val="0"/>
          <w:marRight w:val="0"/>
          <w:marTop w:val="24"/>
          <w:marBottom w:val="24"/>
          <w:divBdr>
            <w:top w:val="none" w:sz="0" w:space="0" w:color="auto"/>
            <w:left w:val="none" w:sz="0" w:space="0" w:color="auto"/>
            <w:bottom w:val="none" w:sz="0" w:space="0" w:color="auto"/>
            <w:right w:val="none" w:sz="0" w:space="0" w:color="auto"/>
          </w:divBdr>
          <w:divsChild>
            <w:div w:id="1763528135">
              <w:marLeft w:val="0"/>
              <w:marRight w:val="0"/>
              <w:marTop w:val="0"/>
              <w:marBottom w:val="0"/>
              <w:divBdr>
                <w:top w:val="none" w:sz="0" w:space="0" w:color="auto"/>
                <w:left w:val="none" w:sz="0" w:space="0" w:color="auto"/>
                <w:bottom w:val="none" w:sz="0" w:space="0" w:color="auto"/>
                <w:right w:val="none" w:sz="0" w:space="0" w:color="auto"/>
              </w:divBdr>
            </w:div>
          </w:divsChild>
        </w:div>
        <w:div w:id="2017880457">
          <w:marLeft w:val="0"/>
          <w:marRight w:val="0"/>
          <w:marTop w:val="24"/>
          <w:marBottom w:val="24"/>
          <w:divBdr>
            <w:top w:val="none" w:sz="0" w:space="0" w:color="auto"/>
            <w:left w:val="none" w:sz="0" w:space="0" w:color="auto"/>
            <w:bottom w:val="none" w:sz="0" w:space="0" w:color="auto"/>
            <w:right w:val="none" w:sz="0" w:space="0" w:color="auto"/>
          </w:divBdr>
          <w:divsChild>
            <w:div w:id="1194152729">
              <w:marLeft w:val="0"/>
              <w:marRight w:val="0"/>
              <w:marTop w:val="0"/>
              <w:marBottom w:val="0"/>
              <w:divBdr>
                <w:top w:val="none" w:sz="0" w:space="0" w:color="auto"/>
                <w:left w:val="none" w:sz="0" w:space="0" w:color="auto"/>
                <w:bottom w:val="none" w:sz="0" w:space="0" w:color="auto"/>
                <w:right w:val="none" w:sz="0" w:space="0" w:color="auto"/>
              </w:divBdr>
            </w:div>
          </w:divsChild>
        </w:div>
        <w:div w:id="2050101397">
          <w:marLeft w:val="0"/>
          <w:marRight w:val="0"/>
          <w:marTop w:val="24"/>
          <w:marBottom w:val="24"/>
          <w:divBdr>
            <w:top w:val="none" w:sz="0" w:space="0" w:color="auto"/>
            <w:left w:val="none" w:sz="0" w:space="0" w:color="auto"/>
            <w:bottom w:val="none" w:sz="0" w:space="0" w:color="auto"/>
            <w:right w:val="none" w:sz="0" w:space="0" w:color="auto"/>
          </w:divBdr>
          <w:divsChild>
            <w:div w:id="1209494452">
              <w:marLeft w:val="0"/>
              <w:marRight w:val="0"/>
              <w:marTop w:val="0"/>
              <w:marBottom w:val="0"/>
              <w:divBdr>
                <w:top w:val="none" w:sz="0" w:space="0" w:color="auto"/>
                <w:left w:val="none" w:sz="0" w:space="0" w:color="auto"/>
                <w:bottom w:val="none" w:sz="0" w:space="0" w:color="auto"/>
                <w:right w:val="none" w:sz="0" w:space="0" w:color="auto"/>
              </w:divBdr>
            </w:div>
          </w:divsChild>
        </w:div>
        <w:div w:id="2065372629">
          <w:marLeft w:val="0"/>
          <w:marRight w:val="0"/>
          <w:marTop w:val="24"/>
          <w:marBottom w:val="24"/>
          <w:divBdr>
            <w:top w:val="none" w:sz="0" w:space="0" w:color="auto"/>
            <w:left w:val="none" w:sz="0" w:space="0" w:color="auto"/>
            <w:bottom w:val="none" w:sz="0" w:space="0" w:color="auto"/>
            <w:right w:val="none" w:sz="0" w:space="0" w:color="auto"/>
          </w:divBdr>
          <w:divsChild>
            <w:div w:id="144323577">
              <w:marLeft w:val="0"/>
              <w:marRight w:val="0"/>
              <w:marTop w:val="0"/>
              <w:marBottom w:val="0"/>
              <w:divBdr>
                <w:top w:val="none" w:sz="0" w:space="0" w:color="auto"/>
                <w:left w:val="none" w:sz="0" w:space="0" w:color="auto"/>
                <w:bottom w:val="none" w:sz="0" w:space="0" w:color="auto"/>
                <w:right w:val="none" w:sz="0" w:space="0" w:color="auto"/>
              </w:divBdr>
            </w:div>
          </w:divsChild>
        </w:div>
        <w:div w:id="2072002103">
          <w:marLeft w:val="0"/>
          <w:marRight w:val="0"/>
          <w:marTop w:val="24"/>
          <w:marBottom w:val="24"/>
          <w:divBdr>
            <w:top w:val="none" w:sz="0" w:space="0" w:color="auto"/>
            <w:left w:val="none" w:sz="0" w:space="0" w:color="auto"/>
            <w:bottom w:val="none" w:sz="0" w:space="0" w:color="auto"/>
            <w:right w:val="none" w:sz="0" w:space="0" w:color="auto"/>
          </w:divBdr>
          <w:divsChild>
            <w:div w:id="440414278">
              <w:marLeft w:val="0"/>
              <w:marRight w:val="0"/>
              <w:marTop w:val="0"/>
              <w:marBottom w:val="0"/>
              <w:divBdr>
                <w:top w:val="none" w:sz="0" w:space="0" w:color="auto"/>
                <w:left w:val="none" w:sz="0" w:space="0" w:color="auto"/>
                <w:bottom w:val="none" w:sz="0" w:space="0" w:color="auto"/>
                <w:right w:val="none" w:sz="0" w:space="0" w:color="auto"/>
              </w:divBdr>
            </w:div>
          </w:divsChild>
        </w:div>
        <w:div w:id="2081243768">
          <w:marLeft w:val="0"/>
          <w:marRight w:val="0"/>
          <w:marTop w:val="24"/>
          <w:marBottom w:val="24"/>
          <w:divBdr>
            <w:top w:val="none" w:sz="0" w:space="0" w:color="auto"/>
            <w:left w:val="none" w:sz="0" w:space="0" w:color="auto"/>
            <w:bottom w:val="none" w:sz="0" w:space="0" w:color="auto"/>
            <w:right w:val="none" w:sz="0" w:space="0" w:color="auto"/>
          </w:divBdr>
          <w:divsChild>
            <w:div w:id="1168060406">
              <w:marLeft w:val="0"/>
              <w:marRight w:val="0"/>
              <w:marTop w:val="0"/>
              <w:marBottom w:val="0"/>
              <w:divBdr>
                <w:top w:val="none" w:sz="0" w:space="0" w:color="auto"/>
                <w:left w:val="none" w:sz="0" w:space="0" w:color="auto"/>
                <w:bottom w:val="none" w:sz="0" w:space="0" w:color="auto"/>
                <w:right w:val="none" w:sz="0" w:space="0" w:color="auto"/>
              </w:divBdr>
            </w:div>
          </w:divsChild>
        </w:div>
        <w:div w:id="2083915995">
          <w:marLeft w:val="0"/>
          <w:marRight w:val="0"/>
          <w:marTop w:val="0"/>
          <w:marBottom w:val="0"/>
          <w:divBdr>
            <w:top w:val="none" w:sz="0" w:space="0" w:color="auto"/>
            <w:left w:val="none" w:sz="0" w:space="0" w:color="auto"/>
            <w:bottom w:val="none" w:sz="0" w:space="0" w:color="auto"/>
            <w:right w:val="none" w:sz="0" w:space="0" w:color="auto"/>
          </w:divBdr>
        </w:div>
        <w:div w:id="2093699623">
          <w:marLeft w:val="0"/>
          <w:marRight w:val="0"/>
          <w:marTop w:val="24"/>
          <w:marBottom w:val="24"/>
          <w:divBdr>
            <w:top w:val="none" w:sz="0" w:space="0" w:color="auto"/>
            <w:left w:val="none" w:sz="0" w:space="0" w:color="auto"/>
            <w:bottom w:val="none" w:sz="0" w:space="0" w:color="auto"/>
            <w:right w:val="none" w:sz="0" w:space="0" w:color="auto"/>
          </w:divBdr>
          <w:divsChild>
            <w:div w:id="505093532">
              <w:marLeft w:val="0"/>
              <w:marRight w:val="0"/>
              <w:marTop w:val="0"/>
              <w:marBottom w:val="0"/>
              <w:divBdr>
                <w:top w:val="none" w:sz="0" w:space="0" w:color="auto"/>
                <w:left w:val="none" w:sz="0" w:space="0" w:color="auto"/>
                <w:bottom w:val="none" w:sz="0" w:space="0" w:color="auto"/>
                <w:right w:val="none" w:sz="0" w:space="0" w:color="auto"/>
              </w:divBdr>
            </w:div>
          </w:divsChild>
        </w:div>
        <w:div w:id="2098204738">
          <w:marLeft w:val="0"/>
          <w:marRight w:val="0"/>
          <w:marTop w:val="240"/>
          <w:marBottom w:val="0"/>
          <w:divBdr>
            <w:top w:val="none" w:sz="0" w:space="0" w:color="auto"/>
            <w:left w:val="none" w:sz="0" w:space="0" w:color="auto"/>
            <w:bottom w:val="none" w:sz="0" w:space="0" w:color="auto"/>
            <w:right w:val="none" w:sz="0" w:space="0" w:color="auto"/>
          </w:divBdr>
          <w:divsChild>
            <w:div w:id="11999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88319">
      <w:bodyDiv w:val="1"/>
      <w:marLeft w:val="0"/>
      <w:marRight w:val="0"/>
      <w:marTop w:val="0"/>
      <w:marBottom w:val="0"/>
      <w:divBdr>
        <w:top w:val="none" w:sz="0" w:space="0" w:color="auto"/>
        <w:left w:val="none" w:sz="0" w:space="0" w:color="auto"/>
        <w:bottom w:val="none" w:sz="0" w:space="0" w:color="auto"/>
        <w:right w:val="none" w:sz="0" w:space="0" w:color="auto"/>
      </w:divBdr>
      <w:divsChild>
        <w:div w:id="1842312932">
          <w:marLeft w:val="0"/>
          <w:marRight w:val="0"/>
          <w:marTop w:val="0"/>
          <w:marBottom w:val="0"/>
          <w:divBdr>
            <w:top w:val="none" w:sz="0" w:space="0" w:color="auto"/>
            <w:left w:val="none" w:sz="0" w:space="0" w:color="auto"/>
            <w:bottom w:val="none" w:sz="0" w:space="0" w:color="auto"/>
            <w:right w:val="none" w:sz="0" w:space="0" w:color="auto"/>
          </w:divBdr>
          <w:divsChild>
            <w:div w:id="1498840859">
              <w:marLeft w:val="0"/>
              <w:marRight w:val="0"/>
              <w:marTop w:val="0"/>
              <w:marBottom w:val="0"/>
              <w:divBdr>
                <w:top w:val="none" w:sz="0" w:space="0" w:color="auto"/>
                <w:left w:val="none" w:sz="0" w:space="0" w:color="auto"/>
                <w:bottom w:val="none" w:sz="0" w:space="0" w:color="auto"/>
                <w:right w:val="none" w:sz="0" w:space="0" w:color="auto"/>
              </w:divBdr>
              <w:divsChild>
                <w:div w:id="637995228">
                  <w:marLeft w:val="0"/>
                  <w:marRight w:val="0"/>
                  <w:marTop w:val="0"/>
                  <w:marBottom w:val="0"/>
                  <w:divBdr>
                    <w:top w:val="none" w:sz="0" w:space="0" w:color="auto"/>
                    <w:left w:val="none" w:sz="0" w:space="0" w:color="auto"/>
                    <w:bottom w:val="none" w:sz="0" w:space="0" w:color="auto"/>
                    <w:right w:val="none" w:sz="0" w:space="0" w:color="auto"/>
                  </w:divBdr>
                  <w:divsChild>
                    <w:div w:id="213855636">
                      <w:marLeft w:val="0"/>
                      <w:marRight w:val="0"/>
                      <w:marTop w:val="0"/>
                      <w:marBottom w:val="0"/>
                      <w:divBdr>
                        <w:top w:val="none" w:sz="0" w:space="0" w:color="auto"/>
                        <w:left w:val="none" w:sz="0" w:space="0" w:color="auto"/>
                        <w:bottom w:val="none" w:sz="0" w:space="0" w:color="auto"/>
                        <w:right w:val="none" w:sz="0" w:space="0" w:color="auto"/>
                      </w:divBdr>
                      <w:divsChild>
                        <w:div w:id="2120760932">
                          <w:marLeft w:val="0"/>
                          <w:marRight w:val="0"/>
                          <w:marTop w:val="0"/>
                          <w:marBottom w:val="0"/>
                          <w:divBdr>
                            <w:top w:val="none" w:sz="0" w:space="0" w:color="auto"/>
                            <w:left w:val="none" w:sz="0" w:space="0" w:color="auto"/>
                            <w:bottom w:val="none" w:sz="0" w:space="0" w:color="auto"/>
                            <w:right w:val="none" w:sz="0" w:space="0" w:color="auto"/>
                          </w:divBdr>
                          <w:divsChild>
                            <w:div w:id="194346410">
                              <w:marLeft w:val="0"/>
                              <w:marRight w:val="0"/>
                              <w:marTop w:val="0"/>
                              <w:marBottom w:val="0"/>
                              <w:divBdr>
                                <w:top w:val="none" w:sz="0" w:space="0" w:color="auto"/>
                                <w:left w:val="none" w:sz="0" w:space="0" w:color="auto"/>
                                <w:bottom w:val="none" w:sz="0" w:space="0" w:color="auto"/>
                                <w:right w:val="none" w:sz="0" w:space="0" w:color="auto"/>
                              </w:divBdr>
                              <w:divsChild>
                                <w:div w:id="21397645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394842">
      <w:bodyDiv w:val="1"/>
      <w:marLeft w:val="0"/>
      <w:marRight w:val="0"/>
      <w:marTop w:val="0"/>
      <w:marBottom w:val="0"/>
      <w:divBdr>
        <w:top w:val="none" w:sz="0" w:space="0" w:color="auto"/>
        <w:left w:val="none" w:sz="0" w:space="0" w:color="auto"/>
        <w:bottom w:val="none" w:sz="0" w:space="0" w:color="auto"/>
        <w:right w:val="none" w:sz="0" w:space="0" w:color="auto"/>
      </w:divBdr>
      <w:divsChild>
        <w:div w:id="1735814426">
          <w:marLeft w:val="0"/>
          <w:marRight w:val="0"/>
          <w:marTop w:val="0"/>
          <w:marBottom w:val="0"/>
          <w:divBdr>
            <w:top w:val="none" w:sz="0" w:space="0" w:color="auto"/>
            <w:left w:val="none" w:sz="0" w:space="0" w:color="auto"/>
            <w:bottom w:val="none" w:sz="0" w:space="0" w:color="auto"/>
            <w:right w:val="none" w:sz="0" w:space="0" w:color="auto"/>
          </w:divBdr>
          <w:divsChild>
            <w:div w:id="1447001616">
              <w:marLeft w:val="0"/>
              <w:marRight w:val="0"/>
              <w:marTop w:val="0"/>
              <w:marBottom w:val="0"/>
              <w:divBdr>
                <w:top w:val="none" w:sz="0" w:space="0" w:color="auto"/>
                <w:left w:val="none" w:sz="0" w:space="0" w:color="auto"/>
                <w:bottom w:val="none" w:sz="0" w:space="0" w:color="auto"/>
                <w:right w:val="none" w:sz="0" w:space="0" w:color="auto"/>
              </w:divBdr>
              <w:divsChild>
                <w:div w:id="508448272">
                  <w:marLeft w:val="0"/>
                  <w:marRight w:val="0"/>
                  <w:marTop w:val="0"/>
                  <w:marBottom w:val="0"/>
                  <w:divBdr>
                    <w:top w:val="none" w:sz="0" w:space="0" w:color="auto"/>
                    <w:left w:val="none" w:sz="0" w:space="0" w:color="auto"/>
                    <w:bottom w:val="none" w:sz="0" w:space="0" w:color="auto"/>
                    <w:right w:val="none" w:sz="0" w:space="0" w:color="auto"/>
                  </w:divBdr>
                  <w:divsChild>
                    <w:div w:id="192962137">
                      <w:marLeft w:val="0"/>
                      <w:marRight w:val="0"/>
                      <w:marTop w:val="0"/>
                      <w:marBottom w:val="300"/>
                      <w:divBdr>
                        <w:top w:val="none" w:sz="0" w:space="0" w:color="auto"/>
                        <w:left w:val="none" w:sz="0" w:space="0" w:color="auto"/>
                        <w:bottom w:val="none" w:sz="0" w:space="0" w:color="auto"/>
                        <w:right w:val="none" w:sz="0" w:space="0" w:color="auto"/>
                      </w:divBdr>
                      <w:divsChild>
                        <w:div w:id="10930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808549">
      <w:bodyDiv w:val="1"/>
      <w:marLeft w:val="0"/>
      <w:marRight w:val="0"/>
      <w:marTop w:val="0"/>
      <w:marBottom w:val="0"/>
      <w:divBdr>
        <w:top w:val="none" w:sz="0" w:space="0" w:color="auto"/>
        <w:left w:val="none" w:sz="0" w:space="0" w:color="auto"/>
        <w:bottom w:val="none" w:sz="0" w:space="0" w:color="auto"/>
        <w:right w:val="none" w:sz="0" w:space="0" w:color="auto"/>
      </w:divBdr>
      <w:divsChild>
        <w:div w:id="2030060246">
          <w:marLeft w:val="0"/>
          <w:marRight w:val="0"/>
          <w:marTop w:val="0"/>
          <w:marBottom w:val="0"/>
          <w:divBdr>
            <w:top w:val="none" w:sz="0" w:space="0" w:color="auto"/>
            <w:left w:val="none" w:sz="0" w:space="0" w:color="auto"/>
            <w:bottom w:val="none" w:sz="0" w:space="0" w:color="auto"/>
            <w:right w:val="none" w:sz="0" w:space="0" w:color="auto"/>
          </w:divBdr>
          <w:divsChild>
            <w:div w:id="1110931721">
              <w:marLeft w:val="0"/>
              <w:marRight w:val="0"/>
              <w:marTop w:val="0"/>
              <w:marBottom w:val="0"/>
              <w:divBdr>
                <w:top w:val="none" w:sz="0" w:space="0" w:color="auto"/>
                <w:left w:val="none" w:sz="0" w:space="0" w:color="auto"/>
                <w:bottom w:val="none" w:sz="0" w:space="0" w:color="auto"/>
                <w:right w:val="none" w:sz="0" w:space="0" w:color="auto"/>
              </w:divBdr>
              <w:divsChild>
                <w:div w:id="825903714">
                  <w:marLeft w:val="0"/>
                  <w:marRight w:val="0"/>
                  <w:marTop w:val="0"/>
                  <w:marBottom w:val="0"/>
                  <w:divBdr>
                    <w:top w:val="none" w:sz="0" w:space="0" w:color="auto"/>
                    <w:left w:val="none" w:sz="0" w:space="0" w:color="auto"/>
                    <w:bottom w:val="none" w:sz="0" w:space="0" w:color="auto"/>
                    <w:right w:val="none" w:sz="0" w:space="0" w:color="auto"/>
                  </w:divBdr>
                  <w:divsChild>
                    <w:div w:id="416825370">
                      <w:marLeft w:val="0"/>
                      <w:marRight w:val="0"/>
                      <w:marTop w:val="0"/>
                      <w:marBottom w:val="300"/>
                      <w:divBdr>
                        <w:top w:val="none" w:sz="0" w:space="0" w:color="auto"/>
                        <w:left w:val="none" w:sz="0" w:space="0" w:color="auto"/>
                        <w:bottom w:val="none" w:sz="0" w:space="0" w:color="auto"/>
                        <w:right w:val="none" w:sz="0" w:space="0" w:color="auto"/>
                      </w:divBdr>
                      <w:divsChild>
                        <w:div w:id="12813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016105">
      <w:bodyDiv w:val="1"/>
      <w:marLeft w:val="0"/>
      <w:marRight w:val="0"/>
      <w:marTop w:val="0"/>
      <w:marBottom w:val="0"/>
      <w:divBdr>
        <w:top w:val="none" w:sz="0" w:space="0" w:color="auto"/>
        <w:left w:val="none" w:sz="0" w:space="0" w:color="auto"/>
        <w:bottom w:val="none" w:sz="0" w:space="0" w:color="auto"/>
        <w:right w:val="none" w:sz="0" w:space="0" w:color="auto"/>
      </w:divBdr>
    </w:div>
    <w:div w:id="610934276">
      <w:bodyDiv w:val="1"/>
      <w:marLeft w:val="0"/>
      <w:marRight w:val="0"/>
      <w:marTop w:val="0"/>
      <w:marBottom w:val="0"/>
      <w:divBdr>
        <w:top w:val="none" w:sz="0" w:space="0" w:color="auto"/>
        <w:left w:val="none" w:sz="0" w:space="0" w:color="auto"/>
        <w:bottom w:val="none" w:sz="0" w:space="0" w:color="auto"/>
        <w:right w:val="none" w:sz="0" w:space="0" w:color="auto"/>
      </w:divBdr>
      <w:divsChild>
        <w:div w:id="890270515">
          <w:marLeft w:val="0"/>
          <w:marRight w:val="0"/>
          <w:marTop w:val="0"/>
          <w:marBottom w:val="0"/>
          <w:divBdr>
            <w:top w:val="none" w:sz="0" w:space="0" w:color="auto"/>
            <w:left w:val="none" w:sz="0" w:space="0" w:color="auto"/>
            <w:bottom w:val="none" w:sz="0" w:space="0" w:color="auto"/>
            <w:right w:val="none" w:sz="0" w:space="0" w:color="auto"/>
          </w:divBdr>
          <w:divsChild>
            <w:div w:id="1267730904">
              <w:marLeft w:val="0"/>
              <w:marRight w:val="0"/>
              <w:marTop w:val="0"/>
              <w:marBottom w:val="0"/>
              <w:divBdr>
                <w:top w:val="none" w:sz="0" w:space="0" w:color="auto"/>
                <w:left w:val="none" w:sz="0" w:space="0" w:color="auto"/>
                <w:bottom w:val="none" w:sz="0" w:space="0" w:color="auto"/>
                <w:right w:val="none" w:sz="0" w:space="0" w:color="auto"/>
              </w:divBdr>
              <w:divsChild>
                <w:div w:id="1782072030">
                  <w:marLeft w:val="0"/>
                  <w:marRight w:val="0"/>
                  <w:marTop w:val="0"/>
                  <w:marBottom w:val="0"/>
                  <w:divBdr>
                    <w:top w:val="none" w:sz="0" w:space="0" w:color="auto"/>
                    <w:left w:val="none" w:sz="0" w:space="0" w:color="auto"/>
                    <w:bottom w:val="none" w:sz="0" w:space="0" w:color="auto"/>
                    <w:right w:val="none" w:sz="0" w:space="0" w:color="auto"/>
                  </w:divBdr>
                  <w:divsChild>
                    <w:div w:id="1431387390">
                      <w:marLeft w:val="0"/>
                      <w:marRight w:val="0"/>
                      <w:marTop w:val="0"/>
                      <w:marBottom w:val="300"/>
                      <w:divBdr>
                        <w:top w:val="none" w:sz="0" w:space="0" w:color="auto"/>
                        <w:left w:val="none" w:sz="0" w:space="0" w:color="auto"/>
                        <w:bottom w:val="none" w:sz="0" w:space="0" w:color="auto"/>
                        <w:right w:val="none" w:sz="0" w:space="0" w:color="auto"/>
                      </w:divBdr>
                      <w:divsChild>
                        <w:div w:id="27999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526118">
      <w:bodyDiv w:val="1"/>
      <w:marLeft w:val="0"/>
      <w:marRight w:val="0"/>
      <w:marTop w:val="0"/>
      <w:marBottom w:val="0"/>
      <w:divBdr>
        <w:top w:val="none" w:sz="0" w:space="0" w:color="auto"/>
        <w:left w:val="none" w:sz="0" w:space="0" w:color="auto"/>
        <w:bottom w:val="none" w:sz="0" w:space="0" w:color="auto"/>
        <w:right w:val="none" w:sz="0" w:space="0" w:color="auto"/>
      </w:divBdr>
      <w:divsChild>
        <w:div w:id="79065197">
          <w:marLeft w:val="0"/>
          <w:marRight w:val="0"/>
          <w:marTop w:val="240"/>
          <w:marBottom w:val="0"/>
          <w:divBdr>
            <w:top w:val="none" w:sz="0" w:space="0" w:color="auto"/>
            <w:left w:val="none" w:sz="0" w:space="0" w:color="auto"/>
            <w:bottom w:val="none" w:sz="0" w:space="0" w:color="auto"/>
            <w:right w:val="none" w:sz="0" w:space="0" w:color="auto"/>
          </w:divBdr>
          <w:divsChild>
            <w:div w:id="1846285757">
              <w:marLeft w:val="0"/>
              <w:marRight w:val="0"/>
              <w:marTop w:val="0"/>
              <w:marBottom w:val="0"/>
              <w:divBdr>
                <w:top w:val="none" w:sz="0" w:space="0" w:color="auto"/>
                <w:left w:val="none" w:sz="0" w:space="0" w:color="auto"/>
                <w:bottom w:val="none" w:sz="0" w:space="0" w:color="auto"/>
                <w:right w:val="none" w:sz="0" w:space="0" w:color="auto"/>
              </w:divBdr>
            </w:div>
          </w:divsChild>
        </w:div>
        <w:div w:id="421530755">
          <w:marLeft w:val="0"/>
          <w:marRight w:val="0"/>
          <w:marTop w:val="240"/>
          <w:marBottom w:val="0"/>
          <w:divBdr>
            <w:top w:val="none" w:sz="0" w:space="0" w:color="auto"/>
            <w:left w:val="none" w:sz="0" w:space="0" w:color="auto"/>
            <w:bottom w:val="none" w:sz="0" w:space="0" w:color="auto"/>
            <w:right w:val="none" w:sz="0" w:space="0" w:color="auto"/>
          </w:divBdr>
          <w:divsChild>
            <w:div w:id="505630055">
              <w:marLeft w:val="0"/>
              <w:marRight w:val="0"/>
              <w:marTop w:val="0"/>
              <w:marBottom w:val="0"/>
              <w:divBdr>
                <w:top w:val="none" w:sz="0" w:space="0" w:color="auto"/>
                <w:left w:val="none" w:sz="0" w:space="0" w:color="auto"/>
                <w:bottom w:val="none" w:sz="0" w:space="0" w:color="auto"/>
                <w:right w:val="none" w:sz="0" w:space="0" w:color="auto"/>
              </w:divBdr>
            </w:div>
          </w:divsChild>
        </w:div>
        <w:div w:id="1606230826">
          <w:marLeft w:val="0"/>
          <w:marRight w:val="0"/>
          <w:marTop w:val="240"/>
          <w:marBottom w:val="0"/>
          <w:divBdr>
            <w:top w:val="none" w:sz="0" w:space="0" w:color="auto"/>
            <w:left w:val="none" w:sz="0" w:space="0" w:color="auto"/>
            <w:bottom w:val="none" w:sz="0" w:space="0" w:color="auto"/>
            <w:right w:val="none" w:sz="0" w:space="0" w:color="auto"/>
          </w:divBdr>
          <w:divsChild>
            <w:div w:id="292641154">
              <w:marLeft w:val="0"/>
              <w:marRight w:val="0"/>
              <w:marTop w:val="0"/>
              <w:marBottom w:val="0"/>
              <w:divBdr>
                <w:top w:val="none" w:sz="0" w:space="0" w:color="auto"/>
                <w:left w:val="none" w:sz="0" w:space="0" w:color="auto"/>
                <w:bottom w:val="none" w:sz="0" w:space="0" w:color="auto"/>
                <w:right w:val="none" w:sz="0" w:space="0" w:color="auto"/>
              </w:divBdr>
            </w:div>
          </w:divsChild>
        </w:div>
        <w:div w:id="278949481">
          <w:marLeft w:val="0"/>
          <w:marRight w:val="0"/>
          <w:marTop w:val="240"/>
          <w:marBottom w:val="0"/>
          <w:divBdr>
            <w:top w:val="none" w:sz="0" w:space="0" w:color="auto"/>
            <w:left w:val="none" w:sz="0" w:space="0" w:color="auto"/>
            <w:bottom w:val="none" w:sz="0" w:space="0" w:color="auto"/>
            <w:right w:val="none" w:sz="0" w:space="0" w:color="auto"/>
          </w:divBdr>
          <w:divsChild>
            <w:div w:id="46491672">
              <w:marLeft w:val="0"/>
              <w:marRight w:val="0"/>
              <w:marTop w:val="0"/>
              <w:marBottom w:val="0"/>
              <w:divBdr>
                <w:top w:val="none" w:sz="0" w:space="0" w:color="auto"/>
                <w:left w:val="none" w:sz="0" w:space="0" w:color="auto"/>
                <w:bottom w:val="none" w:sz="0" w:space="0" w:color="auto"/>
                <w:right w:val="none" w:sz="0" w:space="0" w:color="auto"/>
              </w:divBdr>
            </w:div>
          </w:divsChild>
        </w:div>
        <w:div w:id="1462844237">
          <w:marLeft w:val="0"/>
          <w:marRight w:val="0"/>
          <w:marTop w:val="240"/>
          <w:marBottom w:val="0"/>
          <w:divBdr>
            <w:top w:val="none" w:sz="0" w:space="0" w:color="auto"/>
            <w:left w:val="none" w:sz="0" w:space="0" w:color="auto"/>
            <w:bottom w:val="none" w:sz="0" w:space="0" w:color="auto"/>
            <w:right w:val="none" w:sz="0" w:space="0" w:color="auto"/>
          </w:divBdr>
          <w:divsChild>
            <w:div w:id="13422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0592">
      <w:bodyDiv w:val="1"/>
      <w:marLeft w:val="0"/>
      <w:marRight w:val="0"/>
      <w:marTop w:val="0"/>
      <w:marBottom w:val="0"/>
      <w:divBdr>
        <w:top w:val="none" w:sz="0" w:space="0" w:color="auto"/>
        <w:left w:val="none" w:sz="0" w:space="0" w:color="auto"/>
        <w:bottom w:val="none" w:sz="0" w:space="0" w:color="auto"/>
        <w:right w:val="none" w:sz="0" w:space="0" w:color="auto"/>
      </w:divBdr>
      <w:divsChild>
        <w:div w:id="471563474">
          <w:marLeft w:val="0"/>
          <w:marRight w:val="0"/>
          <w:marTop w:val="0"/>
          <w:marBottom w:val="0"/>
          <w:divBdr>
            <w:top w:val="none" w:sz="0" w:space="0" w:color="auto"/>
            <w:left w:val="single" w:sz="6" w:space="0" w:color="BBBBBB"/>
            <w:bottom w:val="single" w:sz="6" w:space="0" w:color="BBBBBB"/>
            <w:right w:val="single" w:sz="6" w:space="0" w:color="BBBBBB"/>
          </w:divBdr>
          <w:divsChild>
            <w:div w:id="836311920">
              <w:marLeft w:val="0"/>
              <w:marRight w:val="0"/>
              <w:marTop w:val="0"/>
              <w:marBottom w:val="0"/>
              <w:divBdr>
                <w:top w:val="none" w:sz="0" w:space="0" w:color="auto"/>
                <w:left w:val="none" w:sz="0" w:space="0" w:color="auto"/>
                <w:bottom w:val="none" w:sz="0" w:space="0" w:color="auto"/>
                <w:right w:val="none" w:sz="0" w:space="0" w:color="auto"/>
              </w:divBdr>
              <w:divsChild>
                <w:div w:id="1877355344">
                  <w:marLeft w:val="0"/>
                  <w:marRight w:val="0"/>
                  <w:marTop w:val="75"/>
                  <w:marBottom w:val="0"/>
                  <w:divBdr>
                    <w:top w:val="none" w:sz="0" w:space="0" w:color="auto"/>
                    <w:left w:val="none" w:sz="0" w:space="0" w:color="auto"/>
                    <w:bottom w:val="none" w:sz="0" w:space="0" w:color="auto"/>
                    <w:right w:val="none" w:sz="0" w:space="0" w:color="auto"/>
                  </w:divBdr>
                  <w:divsChild>
                    <w:div w:id="733968525">
                      <w:marLeft w:val="0"/>
                      <w:marRight w:val="0"/>
                      <w:marTop w:val="0"/>
                      <w:marBottom w:val="0"/>
                      <w:divBdr>
                        <w:top w:val="none" w:sz="0" w:space="0" w:color="auto"/>
                        <w:left w:val="none" w:sz="0" w:space="0" w:color="auto"/>
                        <w:bottom w:val="none" w:sz="0" w:space="0" w:color="auto"/>
                        <w:right w:val="none" w:sz="0" w:space="0" w:color="auto"/>
                      </w:divBdr>
                      <w:divsChild>
                        <w:div w:id="1650288365">
                          <w:marLeft w:val="0"/>
                          <w:marRight w:val="0"/>
                          <w:marTop w:val="0"/>
                          <w:marBottom w:val="0"/>
                          <w:divBdr>
                            <w:top w:val="none" w:sz="0" w:space="0" w:color="auto"/>
                            <w:left w:val="none" w:sz="0" w:space="0" w:color="auto"/>
                            <w:bottom w:val="none" w:sz="0" w:space="0" w:color="auto"/>
                            <w:right w:val="none" w:sz="0" w:space="0" w:color="auto"/>
                          </w:divBdr>
                          <w:divsChild>
                            <w:div w:id="816992971">
                              <w:marLeft w:val="0"/>
                              <w:marRight w:val="0"/>
                              <w:marTop w:val="0"/>
                              <w:marBottom w:val="0"/>
                              <w:divBdr>
                                <w:top w:val="none" w:sz="0" w:space="0" w:color="auto"/>
                                <w:left w:val="none" w:sz="0" w:space="0" w:color="auto"/>
                                <w:bottom w:val="none" w:sz="0" w:space="0" w:color="auto"/>
                                <w:right w:val="none" w:sz="0" w:space="0" w:color="auto"/>
                              </w:divBdr>
                              <w:divsChild>
                                <w:div w:id="1032002923">
                                  <w:marLeft w:val="0"/>
                                  <w:marRight w:val="0"/>
                                  <w:marTop w:val="0"/>
                                  <w:marBottom w:val="0"/>
                                  <w:divBdr>
                                    <w:top w:val="none" w:sz="0" w:space="0" w:color="auto"/>
                                    <w:left w:val="none" w:sz="0" w:space="0" w:color="auto"/>
                                    <w:bottom w:val="none" w:sz="0" w:space="0" w:color="auto"/>
                                    <w:right w:val="none" w:sz="0" w:space="0" w:color="auto"/>
                                  </w:divBdr>
                                  <w:divsChild>
                                    <w:div w:id="1937206044">
                                      <w:marLeft w:val="0"/>
                                      <w:marRight w:val="0"/>
                                      <w:marTop w:val="0"/>
                                      <w:marBottom w:val="0"/>
                                      <w:divBdr>
                                        <w:top w:val="none" w:sz="0" w:space="0" w:color="auto"/>
                                        <w:left w:val="none" w:sz="0" w:space="0" w:color="auto"/>
                                        <w:bottom w:val="none" w:sz="0" w:space="0" w:color="auto"/>
                                        <w:right w:val="none" w:sz="0" w:space="0" w:color="auto"/>
                                      </w:divBdr>
                                      <w:divsChild>
                                        <w:div w:id="1862470977">
                                          <w:marLeft w:val="1200"/>
                                          <w:marRight w:val="1200"/>
                                          <w:marTop w:val="0"/>
                                          <w:marBottom w:val="0"/>
                                          <w:divBdr>
                                            <w:top w:val="none" w:sz="0" w:space="0" w:color="auto"/>
                                            <w:left w:val="none" w:sz="0" w:space="0" w:color="auto"/>
                                            <w:bottom w:val="none" w:sz="0" w:space="0" w:color="auto"/>
                                            <w:right w:val="none" w:sz="0" w:space="0" w:color="auto"/>
                                          </w:divBdr>
                                          <w:divsChild>
                                            <w:div w:id="1459224842">
                                              <w:marLeft w:val="0"/>
                                              <w:marRight w:val="0"/>
                                              <w:marTop w:val="0"/>
                                              <w:marBottom w:val="0"/>
                                              <w:divBdr>
                                                <w:top w:val="none" w:sz="0" w:space="0" w:color="auto"/>
                                                <w:left w:val="none" w:sz="0" w:space="0" w:color="auto"/>
                                                <w:bottom w:val="none" w:sz="0" w:space="0" w:color="auto"/>
                                                <w:right w:val="none" w:sz="0" w:space="0" w:color="auto"/>
                                              </w:divBdr>
                                              <w:divsChild>
                                                <w:div w:id="1774940554">
                                                  <w:marLeft w:val="0"/>
                                                  <w:marRight w:val="0"/>
                                                  <w:marTop w:val="0"/>
                                                  <w:marBottom w:val="0"/>
                                                  <w:divBdr>
                                                    <w:top w:val="none" w:sz="0" w:space="0" w:color="auto"/>
                                                    <w:left w:val="none" w:sz="0" w:space="0" w:color="auto"/>
                                                    <w:bottom w:val="none" w:sz="0" w:space="0" w:color="auto"/>
                                                    <w:right w:val="none" w:sz="0" w:space="0" w:color="auto"/>
                                                  </w:divBdr>
                                                  <w:divsChild>
                                                    <w:div w:id="1150362335">
                                                      <w:marLeft w:val="0"/>
                                                      <w:marRight w:val="0"/>
                                                      <w:marTop w:val="0"/>
                                                      <w:marBottom w:val="0"/>
                                                      <w:divBdr>
                                                        <w:top w:val="none" w:sz="0" w:space="0" w:color="auto"/>
                                                        <w:left w:val="none" w:sz="0" w:space="0" w:color="auto"/>
                                                        <w:bottom w:val="none" w:sz="0" w:space="0" w:color="auto"/>
                                                        <w:right w:val="none" w:sz="0" w:space="0" w:color="auto"/>
                                                      </w:divBdr>
                                                      <w:divsChild>
                                                        <w:div w:id="1869634815">
                                                          <w:marLeft w:val="0"/>
                                                          <w:marRight w:val="0"/>
                                                          <w:marTop w:val="0"/>
                                                          <w:marBottom w:val="0"/>
                                                          <w:divBdr>
                                                            <w:top w:val="none" w:sz="0" w:space="0" w:color="auto"/>
                                                            <w:left w:val="none" w:sz="0" w:space="0" w:color="auto"/>
                                                            <w:bottom w:val="none" w:sz="0" w:space="0" w:color="auto"/>
                                                            <w:right w:val="none" w:sz="0" w:space="0" w:color="auto"/>
                                                          </w:divBdr>
                                                          <w:divsChild>
                                                            <w:div w:id="1916235803">
                                                              <w:marLeft w:val="0"/>
                                                              <w:marRight w:val="0"/>
                                                              <w:marTop w:val="0"/>
                                                              <w:marBottom w:val="0"/>
                                                              <w:divBdr>
                                                                <w:top w:val="none" w:sz="0" w:space="0" w:color="auto"/>
                                                                <w:left w:val="none" w:sz="0" w:space="0" w:color="auto"/>
                                                                <w:bottom w:val="none" w:sz="0" w:space="0" w:color="auto"/>
                                                                <w:right w:val="none" w:sz="0" w:space="0" w:color="auto"/>
                                                              </w:divBdr>
                                                              <w:divsChild>
                                                                <w:div w:id="547573161">
                                                                  <w:marLeft w:val="0"/>
                                                                  <w:marRight w:val="0"/>
                                                                  <w:marTop w:val="0"/>
                                                                  <w:marBottom w:val="0"/>
                                                                  <w:divBdr>
                                                                    <w:top w:val="none" w:sz="0" w:space="0" w:color="auto"/>
                                                                    <w:left w:val="none" w:sz="0" w:space="0" w:color="auto"/>
                                                                    <w:bottom w:val="none" w:sz="0" w:space="0" w:color="auto"/>
                                                                    <w:right w:val="none" w:sz="0" w:space="0" w:color="auto"/>
                                                                  </w:divBdr>
                                                                  <w:divsChild>
                                                                    <w:div w:id="16736042">
                                                                      <w:marLeft w:val="0"/>
                                                                      <w:marRight w:val="0"/>
                                                                      <w:marTop w:val="0"/>
                                                                      <w:marBottom w:val="0"/>
                                                                      <w:divBdr>
                                                                        <w:top w:val="none" w:sz="0" w:space="0" w:color="auto"/>
                                                                        <w:left w:val="none" w:sz="0" w:space="0" w:color="auto"/>
                                                                        <w:bottom w:val="none" w:sz="0" w:space="0" w:color="auto"/>
                                                                        <w:right w:val="none" w:sz="0" w:space="0" w:color="auto"/>
                                                                      </w:divBdr>
                                                                      <w:divsChild>
                                                                        <w:div w:id="900677002">
                                                                          <w:marLeft w:val="0"/>
                                                                          <w:marRight w:val="0"/>
                                                                          <w:marTop w:val="0"/>
                                                                          <w:marBottom w:val="0"/>
                                                                          <w:divBdr>
                                                                            <w:top w:val="none" w:sz="0" w:space="0" w:color="auto"/>
                                                                            <w:left w:val="none" w:sz="0" w:space="0" w:color="auto"/>
                                                                            <w:bottom w:val="none" w:sz="0" w:space="0" w:color="auto"/>
                                                                            <w:right w:val="none" w:sz="0" w:space="0" w:color="auto"/>
                                                                          </w:divBdr>
                                                                        </w:div>
                                                                      </w:divsChild>
                                                                    </w:div>
                                                                    <w:div w:id="427965923">
                                                                      <w:marLeft w:val="0"/>
                                                                      <w:marRight w:val="0"/>
                                                                      <w:marTop w:val="0"/>
                                                                      <w:marBottom w:val="0"/>
                                                                      <w:divBdr>
                                                                        <w:top w:val="none" w:sz="0" w:space="0" w:color="auto"/>
                                                                        <w:left w:val="none" w:sz="0" w:space="0" w:color="auto"/>
                                                                        <w:bottom w:val="none" w:sz="0" w:space="0" w:color="auto"/>
                                                                        <w:right w:val="none" w:sz="0" w:space="0" w:color="auto"/>
                                                                      </w:divBdr>
                                                                      <w:divsChild>
                                                                        <w:div w:id="68844486">
                                                                          <w:marLeft w:val="0"/>
                                                                          <w:marRight w:val="0"/>
                                                                          <w:marTop w:val="0"/>
                                                                          <w:marBottom w:val="0"/>
                                                                          <w:divBdr>
                                                                            <w:top w:val="none" w:sz="0" w:space="0" w:color="auto"/>
                                                                            <w:left w:val="none" w:sz="0" w:space="0" w:color="auto"/>
                                                                            <w:bottom w:val="none" w:sz="0" w:space="0" w:color="auto"/>
                                                                            <w:right w:val="none" w:sz="0" w:space="0" w:color="auto"/>
                                                                          </w:divBdr>
                                                                        </w:div>
                                                                      </w:divsChild>
                                                                    </w:div>
                                                                    <w:div w:id="793065347">
                                                                      <w:marLeft w:val="0"/>
                                                                      <w:marRight w:val="0"/>
                                                                      <w:marTop w:val="0"/>
                                                                      <w:marBottom w:val="0"/>
                                                                      <w:divBdr>
                                                                        <w:top w:val="none" w:sz="0" w:space="0" w:color="auto"/>
                                                                        <w:left w:val="none" w:sz="0" w:space="0" w:color="auto"/>
                                                                        <w:bottom w:val="none" w:sz="0" w:space="0" w:color="auto"/>
                                                                        <w:right w:val="none" w:sz="0" w:space="0" w:color="auto"/>
                                                                      </w:divBdr>
                                                                      <w:divsChild>
                                                                        <w:div w:id="1626623009">
                                                                          <w:marLeft w:val="0"/>
                                                                          <w:marRight w:val="0"/>
                                                                          <w:marTop w:val="0"/>
                                                                          <w:marBottom w:val="0"/>
                                                                          <w:divBdr>
                                                                            <w:top w:val="none" w:sz="0" w:space="0" w:color="auto"/>
                                                                            <w:left w:val="none" w:sz="0" w:space="0" w:color="auto"/>
                                                                            <w:bottom w:val="none" w:sz="0" w:space="0" w:color="auto"/>
                                                                            <w:right w:val="none" w:sz="0" w:space="0" w:color="auto"/>
                                                                          </w:divBdr>
                                                                        </w:div>
                                                                      </w:divsChild>
                                                                    </w:div>
                                                                    <w:div w:id="1143237249">
                                                                      <w:marLeft w:val="0"/>
                                                                      <w:marRight w:val="0"/>
                                                                      <w:marTop w:val="0"/>
                                                                      <w:marBottom w:val="0"/>
                                                                      <w:divBdr>
                                                                        <w:top w:val="none" w:sz="0" w:space="0" w:color="auto"/>
                                                                        <w:left w:val="none" w:sz="0" w:space="0" w:color="auto"/>
                                                                        <w:bottom w:val="none" w:sz="0" w:space="0" w:color="auto"/>
                                                                        <w:right w:val="none" w:sz="0" w:space="0" w:color="auto"/>
                                                                      </w:divBdr>
                                                                      <w:divsChild>
                                                                        <w:div w:id="938609460">
                                                                          <w:marLeft w:val="0"/>
                                                                          <w:marRight w:val="0"/>
                                                                          <w:marTop w:val="0"/>
                                                                          <w:marBottom w:val="0"/>
                                                                          <w:divBdr>
                                                                            <w:top w:val="none" w:sz="0" w:space="0" w:color="auto"/>
                                                                            <w:left w:val="none" w:sz="0" w:space="0" w:color="auto"/>
                                                                            <w:bottom w:val="none" w:sz="0" w:space="0" w:color="auto"/>
                                                                            <w:right w:val="none" w:sz="0" w:space="0" w:color="auto"/>
                                                                          </w:divBdr>
                                                                        </w:div>
                                                                      </w:divsChild>
                                                                    </w:div>
                                                                    <w:div w:id="1285622275">
                                                                      <w:marLeft w:val="0"/>
                                                                      <w:marRight w:val="0"/>
                                                                      <w:marTop w:val="0"/>
                                                                      <w:marBottom w:val="0"/>
                                                                      <w:divBdr>
                                                                        <w:top w:val="none" w:sz="0" w:space="0" w:color="auto"/>
                                                                        <w:left w:val="none" w:sz="0" w:space="0" w:color="auto"/>
                                                                        <w:bottom w:val="none" w:sz="0" w:space="0" w:color="auto"/>
                                                                        <w:right w:val="none" w:sz="0" w:space="0" w:color="auto"/>
                                                                      </w:divBdr>
                                                                      <w:divsChild>
                                                                        <w:div w:id="15211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046610">
      <w:bodyDiv w:val="1"/>
      <w:marLeft w:val="0"/>
      <w:marRight w:val="0"/>
      <w:marTop w:val="0"/>
      <w:marBottom w:val="0"/>
      <w:divBdr>
        <w:top w:val="none" w:sz="0" w:space="0" w:color="auto"/>
        <w:left w:val="none" w:sz="0" w:space="0" w:color="auto"/>
        <w:bottom w:val="none" w:sz="0" w:space="0" w:color="auto"/>
        <w:right w:val="none" w:sz="0" w:space="0" w:color="auto"/>
      </w:divBdr>
    </w:div>
    <w:div w:id="628127184">
      <w:bodyDiv w:val="1"/>
      <w:marLeft w:val="0"/>
      <w:marRight w:val="0"/>
      <w:marTop w:val="0"/>
      <w:marBottom w:val="0"/>
      <w:divBdr>
        <w:top w:val="none" w:sz="0" w:space="0" w:color="auto"/>
        <w:left w:val="none" w:sz="0" w:space="0" w:color="auto"/>
        <w:bottom w:val="none" w:sz="0" w:space="0" w:color="auto"/>
        <w:right w:val="none" w:sz="0" w:space="0" w:color="auto"/>
      </w:divBdr>
      <w:divsChild>
        <w:div w:id="87847478">
          <w:marLeft w:val="0"/>
          <w:marRight w:val="0"/>
          <w:marTop w:val="0"/>
          <w:marBottom w:val="0"/>
          <w:divBdr>
            <w:top w:val="none" w:sz="0" w:space="0" w:color="auto"/>
            <w:left w:val="single" w:sz="6" w:space="0" w:color="BBBBBB"/>
            <w:bottom w:val="single" w:sz="6" w:space="0" w:color="BBBBBB"/>
            <w:right w:val="single" w:sz="6" w:space="0" w:color="BBBBBB"/>
          </w:divBdr>
          <w:divsChild>
            <w:div w:id="402679372">
              <w:marLeft w:val="0"/>
              <w:marRight w:val="0"/>
              <w:marTop w:val="0"/>
              <w:marBottom w:val="0"/>
              <w:divBdr>
                <w:top w:val="none" w:sz="0" w:space="0" w:color="auto"/>
                <w:left w:val="none" w:sz="0" w:space="0" w:color="auto"/>
                <w:bottom w:val="none" w:sz="0" w:space="0" w:color="auto"/>
                <w:right w:val="none" w:sz="0" w:space="0" w:color="auto"/>
              </w:divBdr>
              <w:divsChild>
                <w:div w:id="1474449027">
                  <w:marLeft w:val="0"/>
                  <w:marRight w:val="0"/>
                  <w:marTop w:val="75"/>
                  <w:marBottom w:val="0"/>
                  <w:divBdr>
                    <w:top w:val="none" w:sz="0" w:space="0" w:color="auto"/>
                    <w:left w:val="none" w:sz="0" w:space="0" w:color="auto"/>
                    <w:bottom w:val="none" w:sz="0" w:space="0" w:color="auto"/>
                    <w:right w:val="none" w:sz="0" w:space="0" w:color="auto"/>
                  </w:divBdr>
                  <w:divsChild>
                    <w:div w:id="328099436">
                      <w:marLeft w:val="0"/>
                      <w:marRight w:val="0"/>
                      <w:marTop w:val="0"/>
                      <w:marBottom w:val="0"/>
                      <w:divBdr>
                        <w:top w:val="none" w:sz="0" w:space="0" w:color="auto"/>
                        <w:left w:val="none" w:sz="0" w:space="0" w:color="auto"/>
                        <w:bottom w:val="none" w:sz="0" w:space="0" w:color="auto"/>
                        <w:right w:val="none" w:sz="0" w:space="0" w:color="auto"/>
                      </w:divBdr>
                      <w:divsChild>
                        <w:div w:id="806706370">
                          <w:marLeft w:val="0"/>
                          <w:marRight w:val="0"/>
                          <w:marTop w:val="0"/>
                          <w:marBottom w:val="0"/>
                          <w:divBdr>
                            <w:top w:val="none" w:sz="0" w:space="0" w:color="auto"/>
                            <w:left w:val="none" w:sz="0" w:space="0" w:color="auto"/>
                            <w:bottom w:val="none" w:sz="0" w:space="0" w:color="auto"/>
                            <w:right w:val="none" w:sz="0" w:space="0" w:color="auto"/>
                          </w:divBdr>
                          <w:divsChild>
                            <w:div w:id="1102410998">
                              <w:marLeft w:val="0"/>
                              <w:marRight w:val="0"/>
                              <w:marTop w:val="0"/>
                              <w:marBottom w:val="0"/>
                              <w:divBdr>
                                <w:top w:val="none" w:sz="0" w:space="0" w:color="auto"/>
                                <w:left w:val="none" w:sz="0" w:space="0" w:color="auto"/>
                                <w:bottom w:val="none" w:sz="0" w:space="0" w:color="auto"/>
                                <w:right w:val="none" w:sz="0" w:space="0" w:color="auto"/>
                              </w:divBdr>
                              <w:divsChild>
                                <w:div w:id="1477452837">
                                  <w:marLeft w:val="0"/>
                                  <w:marRight w:val="0"/>
                                  <w:marTop w:val="0"/>
                                  <w:marBottom w:val="0"/>
                                  <w:divBdr>
                                    <w:top w:val="none" w:sz="0" w:space="0" w:color="auto"/>
                                    <w:left w:val="none" w:sz="0" w:space="0" w:color="auto"/>
                                    <w:bottom w:val="none" w:sz="0" w:space="0" w:color="auto"/>
                                    <w:right w:val="none" w:sz="0" w:space="0" w:color="auto"/>
                                  </w:divBdr>
                                  <w:divsChild>
                                    <w:div w:id="836505213">
                                      <w:marLeft w:val="0"/>
                                      <w:marRight w:val="0"/>
                                      <w:marTop w:val="0"/>
                                      <w:marBottom w:val="0"/>
                                      <w:divBdr>
                                        <w:top w:val="none" w:sz="0" w:space="0" w:color="auto"/>
                                        <w:left w:val="none" w:sz="0" w:space="0" w:color="auto"/>
                                        <w:bottom w:val="none" w:sz="0" w:space="0" w:color="auto"/>
                                        <w:right w:val="none" w:sz="0" w:space="0" w:color="auto"/>
                                      </w:divBdr>
                                      <w:divsChild>
                                        <w:div w:id="1058699294">
                                          <w:marLeft w:val="1200"/>
                                          <w:marRight w:val="1200"/>
                                          <w:marTop w:val="0"/>
                                          <w:marBottom w:val="0"/>
                                          <w:divBdr>
                                            <w:top w:val="none" w:sz="0" w:space="0" w:color="auto"/>
                                            <w:left w:val="none" w:sz="0" w:space="0" w:color="auto"/>
                                            <w:bottom w:val="none" w:sz="0" w:space="0" w:color="auto"/>
                                            <w:right w:val="none" w:sz="0" w:space="0" w:color="auto"/>
                                          </w:divBdr>
                                          <w:divsChild>
                                            <w:div w:id="44717921">
                                              <w:marLeft w:val="0"/>
                                              <w:marRight w:val="0"/>
                                              <w:marTop w:val="0"/>
                                              <w:marBottom w:val="0"/>
                                              <w:divBdr>
                                                <w:top w:val="none" w:sz="0" w:space="0" w:color="auto"/>
                                                <w:left w:val="none" w:sz="0" w:space="0" w:color="auto"/>
                                                <w:bottom w:val="none" w:sz="0" w:space="0" w:color="auto"/>
                                                <w:right w:val="none" w:sz="0" w:space="0" w:color="auto"/>
                                              </w:divBdr>
                                              <w:divsChild>
                                                <w:div w:id="345060516">
                                                  <w:marLeft w:val="0"/>
                                                  <w:marRight w:val="0"/>
                                                  <w:marTop w:val="0"/>
                                                  <w:marBottom w:val="0"/>
                                                  <w:divBdr>
                                                    <w:top w:val="none" w:sz="0" w:space="0" w:color="auto"/>
                                                    <w:left w:val="none" w:sz="0" w:space="0" w:color="auto"/>
                                                    <w:bottom w:val="none" w:sz="0" w:space="0" w:color="auto"/>
                                                    <w:right w:val="none" w:sz="0" w:space="0" w:color="auto"/>
                                                  </w:divBdr>
                                                  <w:divsChild>
                                                    <w:div w:id="564025851">
                                                      <w:marLeft w:val="0"/>
                                                      <w:marRight w:val="0"/>
                                                      <w:marTop w:val="0"/>
                                                      <w:marBottom w:val="0"/>
                                                      <w:divBdr>
                                                        <w:top w:val="none" w:sz="0" w:space="0" w:color="auto"/>
                                                        <w:left w:val="none" w:sz="0" w:space="0" w:color="auto"/>
                                                        <w:bottom w:val="none" w:sz="0" w:space="0" w:color="auto"/>
                                                        <w:right w:val="none" w:sz="0" w:space="0" w:color="auto"/>
                                                      </w:divBdr>
                                                      <w:divsChild>
                                                        <w:div w:id="213589505">
                                                          <w:marLeft w:val="0"/>
                                                          <w:marRight w:val="0"/>
                                                          <w:marTop w:val="0"/>
                                                          <w:marBottom w:val="0"/>
                                                          <w:divBdr>
                                                            <w:top w:val="none" w:sz="0" w:space="0" w:color="auto"/>
                                                            <w:left w:val="none" w:sz="0" w:space="0" w:color="auto"/>
                                                            <w:bottom w:val="none" w:sz="0" w:space="0" w:color="auto"/>
                                                            <w:right w:val="none" w:sz="0" w:space="0" w:color="auto"/>
                                                          </w:divBdr>
                                                          <w:divsChild>
                                                            <w:div w:id="457649826">
                                                              <w:marLeft w:val="0"/>
                                                              <w:marRight w:val="0"/>
                                                              <w:marTop w:val="0"/>
                                                              <w:marBottom w:val="0"/>
                                                              <w:divBdr>
                                                                <w:top w:val="none" w:sz="0" w:space="0" w:color="auto"/>
                                                                <w:left w:val="none" w:sz="0" w:space="0" w:color="auto"/>
                                                                <w:bottom w:val="none" w:sz="0" w:space="0" w:color="auto"/>
                                                                <w:right w:val="none" w:sz="0" w:space="0" w:color="auto"/>
                                                              </w:divBdr>
                                                              <w:divsChild>
                                                                <w:div w:id="732891374">
                                                                  <w:marLeft w:val="0"/>
                                                                  <w:marRight w:val="0"/>
                                                                  <w:marTop w:val="0"/>
                                                                  <w:marBottom w:val="0"/>
                                                                  <w:divBdr>
                                                                    <w:top w:val="none" w:sz="0" w:space="0" w:color="auto"/>
                                                                    <w:left w:val="none" w:sz="0" w:space="0" w:color="auto"/>
                                                                    <w:bottom w:val="none" w:sz="0" w:space="0" w:color="auto"/>
                                                                    <w:right w:val="none" w:sz="0" w:space="0" w:color="auto"/>
                                                                  </w:divBdr>
                                                                  <w:divsChild>
                                                                    <w:div w:id="1051271349">
                                                                      <w:marLeft w:val="0"/>
                                                                      <w:marRight w:val="0"/>
                                                                      <w:marTop w:val="0"/>
                                                                      <w:marBottom w:val="0"/>
                                                                      <w:divBdr>
                                                                        <w:top w:val="none" w:sz="0" w:space="0" w:color="auto"/>
                                                                        <w:left w:val="none" w:sz="0" w:space="0" w:color="auto"/>
                                                                        <w:bottom w:val="none" w:sz="0" w:space="0" w:color="auto"/>
                                                                        <w:right w:val="none" w:sz="0" w:space="0" w:color="auto"/>
                                                                      </w:divBdr>
                                                                      <w:divsChild>
                                                                        <w:div w:id="91902373">
                                                                          <w:marLeft w:val="0"/>
                                                                          <w:marRight w:val="0"/>
                                                                          <w:marTop w:val="0"/>
                                                                          <w:marBottom w:val="0"/>
                                                                          <w:divBdr>
                                                                            <w:top w:val="none" w:sz="0" w:space="0" w:color="auto"/>
                                                                            <w:left w:val="none" w:sz="0" w:space="0" w:color="auto"/>
                                                                            <w:bottom w:val="none" w:sz="0" w:space="0" w:color="auto"/>
                                                                            <w:right w:val="none" w:sz="0" w:space="0" w:color="auto"/>
                                                                          </w:divBdr>
                                                                        </w:div>
                                                                      </w:divsChild>
                                                                    </w:div>
                                                                    <w:div w:id="1404570843">
                                                                      <w:marLeft w:val="0"/>
                                                                      <w:marRight w:val="0"/>
                                                                      <w:marTop w:val="0"/>
                                                                      <w:marBottom w:val="0"/>
                                                                      <w:divBdr>
                                                                        <w:top w:val="none" w:sz="0" w:space="0" w:color="auto"/>
                                                                        <w:left w:val="none" w:sz="0" w:space="0" w:color="auto"/>
                                                                        <w:bottom w:val="none" w:sz="0" w:space="0" w:color="auto"/>
                                                                        <w:right w:val="none" w:sz="0" w:space="0" w:color="auto"/>
                                                                      </w:divBdr>
                                                                      <w:divsChild>
                                                                        <w:div w:id="12148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9167286">
      <w:bodyDiv w:val="1"/>
      <w:marLeft w:val="0"/>
      <w:marRight w:val="0"/>
      <w:marTop w:val="0"/>
      <w:marBottom w:val="0"/>
      <w:divBdr>
        <w:top w:val="none" w:sz="0" w:space="0" w:color="auto"/>
        <w:left w:val="none" w:sz="0" w:space="0" w:color="auto"/>
        <w:bottom w:val="none" w:sz="0" w:space="0" w:color="auto"/>
        <w:right w:val="none" w:sz="0" w:space="0" w:color="auto"/>
      </w:divBdr>
      <w:divsChild>
        <w:div w:id="160777458">
          <w:marLeft w:val="0"/>
          <w:marRight w:val="0"/>
          <w:marTop w:val="0"/>
          <w:marBottom w:val="0"/>
          <w:divBdr>
            <w:top w:val="none" w:sz="0" w:space="0" w:color="auto"/>
            <w:left w:val="single" w:sz="6" w:space="0" w:color="BBBBBB"/>
            <w:bottom w:val="single" w:sz="6" w:space="0" w:color="BBBBBB"/>
            <w:right w:val="single" w:sz="6" w:space="0" w:color="BBBBBB"/>
          </w:divBdr>
          <w:divsChild>
            <w:div w:id="154031447">
              <w:marLeft w:val="0"/>
              <w:marRight w:val="0"/>
              <w:marTop w:val="0"/>
              <w:marBottom w:val="0"/>
              <w:divBdr>
                <w:top w:val="none" w:sz="0" w:space="0" w:color="auto"/>
                <w:left w:val="none" w:sz="0" w:space="0" w:color="auto"/>
                <w:bottom w:val="none" w:sz="0" w:space="0" w:color="auto"/>
                <w:right w:val="none" w:sz="0" w:space="0" w:color="auto"/>
              </w:divBdr>
              <w:divsChild>
                <w:div w:id="2024892560">
                  <w:marLeft w:val="0"/>
                  <w:marRight w:val="0"/>
                  <w:marTop w:val="75"/>
                  <w:marBottom w:val="0"/>
                  <w:divBdr>
                    <w:top w:val="none" w:sz="0" w:space="0" w:color="auto"/>
                    <w:left w:val="none" w:sz="0" w:space="0" w:color="auto"/>
                    <w:bottom w:val="none" w:sz="0" w:space="0" w:color="auto"/>
                    <w:right w:val="none" w:sz="0" w:space="0" w:color="auto"/>
                  </w:divBdr>
                  <w:divsChild>
                    <w:div w:id="992876869">
                      <w:marLeft w:val="0"/>
                      <w:marRight w:val="0"/>
                      <w:marTop w:val="0"/>
                      <w:marBottom w:val="0"/>
                      <w:divBdr>
                        <w:top w:val="none" w:sz="0" w:space="0" w:color="auto"/>
                        <w:left w:val="none" w:sz="0" w:space="0" w:color="auto"/>
                        <w:bottom w:val="none" w:sz="0" w:space="0" w:color="auto"/>
                        <w:right w:val="none" w:sz="0" w:space="0" w:color="auto"/>
                      </w:divBdr>
                      <w:divsChild>
                        <w:div w:id="1463696350">
                          <w:marLeft w:val="0"/>
                          <w:marRight w:val="0"/>
                          <w:marTop w:val="0"/>
                          <w:marBottom w:val="0"/>
                          <w:divBdr>
                            <w:top w:val="none" w:sz="0" w:space="0" w:color="auto"/>
                            <w:left w:val="none" w:sz="0" w:space="0" w:color="auto"/>
                            <w:bottom w:val="none" w:sz="0" w:space="0" w:color="auto"/>
                            <w:right w:val="none" w:sz="0" w:space="0" w:color="auto"/>
                          </w:divBdr>
                          <w:divsChild>
                            <w:div w:id="145124278">
                              <w:marLeft w:val="0"/>
                              <w:marRight w:val="0"/>
                              <w:marTop w:val="0"/>
                              <w:marBottom w:val="0"/>
                              <w:divBdr>
                                <w:top w:val="none" w:sz="0" w:space="0" w:color="auto"/>
                                <w:left w:val="none" w:sz="0" w:space="0" w:color="auto"/>
                                <w:bottom w:val="none" w:sz="0" w:space="0" w:color="auto"/>
                                <w:right w:val="none" w:sz="0" w:space="0" w:color="auto"/>
                              </w:divBdr>
                              <w:divsChild>
                                <w:div w:id="1398085887">
                                  <w:marLeft w:val="0"/>
                                  <w:marRight w:val="0"/>
                                  <w:marTop w:val="0"/>
                                  <w:marBottom w:val="0"/>
                                  <w:divBdr>
                                    <w:top w:val="none" w:sz="0" w:space="0" w:color="auto"/>
                                    <w:left w:val="none" w:sz="0" w:space="0" w:color="auto"/>
                                    <w:bottom w:val="none" w:sz="0" w:space="0" w:color="auto"/>
                                    <w:right w:val="none" w:sz="0" w:space="0" w:color="auto"/>
                                  </w:divBdr>
                                  <w:divsChild>
                                    <w:div w:id="1856840825">
                                      <w:marLeft w:val="0"/>
                                      <w:marRight w:val="0"/>
                                      <w:marTop w:val="0"/>
                                      <w:marBottom w:val="0"/>
                                      <w:divBdr>
                                        <w:top w:val="none" w:sz="0" w:space="0" w:color="auto"/>
                                        <w:left w:val="none" w:sz="0" w:space="0" w:color="auto"/>
                                        <w:bottom w:val="none" w:sz="0" w:space="0" w:color="auto"/>
                                        <w:right w:val="none" w:sz="0" w:space="0" w:color="auto"/>
                                      </w:divBdr>
                                      <w:divsChild>
                                        <w:div w:id="462427133">
                                          <w:marLeft w:val="1200"/>
                                          <w:marRight w:val="1200"/>
                                          <w:marTop w:val="0"/>
                                          <w:marBottom w:val="0"/>
                                          <w:divBdr>
                                            <w:top w:val="none" w:sz="0" w:space="0" w:color="auto"/>
                                            <w:left w:val="none" w:sz="0" w:space="0" w:color="auto"/>
                                            <w:bottom w:val="none" w:sz="0" w:space="0" w:color="auto"/>
                                            <w:right w:val="none" w:sz="0" w:space="0" w:color="auto"/>
                                          </w:divBdr>
                                          <w:divsChild>
                                            <w:div w:id="318192231">
                                              <w:marLeft w:val="0"/>
                                              <w:marRight w:val="0"/>
                                              <w:marTop w:val="0"/>
                                              <w:marBottom w:val="0"/>
                                              <w:divBdr>
                                                <w:top w:val="none" w:sz="0" w:space="0" w:color="auto"/>
                                                <w:left w:val="none" w:sz="0" w:space="0" w:color="auto"/>
                                                <w:bottom w:val="none" w:sz="0" w:space="0" w:color="auto"/>
                                                <w:right w:val="none" w:sz="0" w:space="0" w:color="auto"/>
                                              </w:divBdr>
                                              <w:divsChild>
                                                <w:div w:id="183713747">
                                                  <w:marLeft w:val="0"/>
                                                  <w:marRight w:val="0"/>
                                                  <w:marTop w:val="0"/>
                                                  <w:marBottom w:val="0"/>
                                                  <w:divBdr>
                                                    <w:top w:val="none" w:sz="0" w:space="0" w:color="auto"/>
                                                    <w:left w:val="none" w:sz="0" w:space="0" w:color="auto"/>
                                                    <w:bottom w:val="none" w:sz="0" w:space="0" w:color="auto"/>
                                                    <w:right w:val="none" w:sz="0" w:space="0" w:color="auto"/>
                                                  </w:divBdr>
                                                  <w:divsChild>
                                                    <w:div w:id="1868255758">
                                                      <w:marLeft w:val="0"/>
                                                      <w:marRight w:val="0"/>
                                                      <w:marTop w:val="0"/>
                                                      <w:marBottom w:val="0"/>
                                                      <w:divBdr>
                                                        <w:top w:val="none" w:sz="0" w:space="0" w:color="auto"/>
                                                        <w:left w:val="none" w:sz="0" w:space="0" w:color="auto"/>
                                                        <w:bottom w:val="none" w:sz="0" w:space="0" w:color="auto"/>
                                                        <w:right w:val="none" w:sz="0" w:space="0" w:color="auto"/>
                                                      </w:divBdr>
                                                      <w:divsChild>
                                                        <w:div w:id="362900277">
                                                          <w:marLeft w:val="0"/>
                                                          <w:marRight w:val="0"/>
                                                          <w:marTop w:val="0"/>
                                                          <w:marBottom w:val="0"/>
                                                          <w:divBdr>
                                                            <w:top w:val="none" w:sz="0" w:space="0" w:color="auto"/>
                                                            <w:left w:val="none" w:sz="0" w:space="0" w:color="auto"/>
                                                            <w:bottom w:val="none" w:sz="0" w:space="0" w:color="auto"/>
                                                            <w:right w:val="none" w:sz="0" w:space="0" w:color="auto"/>
                                                          </w:divBdr>
                                                          <w:divsChild>
                                                            <w:div w:id="1855459203">
                                                              <w:marLeft w:val="0"/>
                                                              <w:marRight w:val="0"/>
                                                              <w:marTop w:val="0"/>
                                                              <w:marBottom w:val="0"/>
                                                              <w:divBdr>
                                                                <w:top w:val="none" w:sz="0" w:space="0" w:color="auto"/>
                                                                <w:left w:val="none" w:sz="0" w:space="0" w:color="auto"/>
                                                                <w:bottom w:val="none" w:sz="0" w:space="0" w:color="auto"/>
                                                                <w:right w:val="none" w:sz="0" w:space="0" w:color="auto"/>
                                                              </w:divBdr>
                                                              <w:divsChild>
                                                                <w:div w:id="1673409265">
                                                                  <w:marLeft w:val="0"/>
                                                                  <w:marRight w:val="0"/>
                                                                  <w:marTop w:val="0"/>
                                                                  <w:marBottom w:val="0"/>
                                                                  <w:divBdr>
                                                                    <w:top w:val="none" w:sz="0" w:space="0" w:color="auto"/>
                                                                    <w:left w:val="none" w:sz="0" w:space="0" w:color="auto"/>
                                                                    <w:bottom w:val="none" w:sz="0" w:space="0" w:color="auto"/>
                                                                    <w:right w:val="none" w:sz="0" w:space="0" w:color="auto"/>
                                                                  </w:divBdr>
                                                                  <w:divsChild>
                                                                    <w:div w:id="1226255169">
                                                                      <w:marLeft w:val="0"/>
                                                                      <w:marRight w:val="0"/>
                                                                      <w:marTop w:val="0"/>
                                                                      <w:marBottom w:val="0"/>
                                                                      <w:divBdr>
                                                                        <w:top w:val="none" w:sz="0" w:space="0" w:color="auto"/>
                                                                        <w:left w:val="none" w:sz="0" w:space="0" w:color="auto"/>
                                                                        <w:bottom w:val="none" w:sz="0" w:space="0" w:color="auto"/>
                                                                        <w:right w:val="none" w:sz="0" w:space="0" w:color="auto"/>
                                                                      </w:divBdr>
                                                                      <w:divsChild>
                                                                        <w:div w:id="964846864">
                                                                          <w:marLeft w:val="0"/>
                                                                          <w:marRight w:val="0"/>
                                                                          <w:marTop w:val="0"/>
                                                                          <w:marBottom w:val="0"/>
                                                                          <w:divBdr>
                                                                            <w:top w:val="none" w:sz="0" w:space="0" w:color="auto"/>
                                                                            <w:left w:val="none" w:sz="0" w:space="0" w:color="auto"/>
                                                                            <w:bottom w:val="none" w:sz="0" w:space="0" w:color="auto"/>
                                                                            <w:right w:val="none" w:sz="0" w:space="0" w:color="auto"/>
                                                                          </w:divBdr>
                                                                        </w:div>
                                                                      </w:divsChild>
                                                                    </w:div>
                                                                    <w:div w:id="1858885834">
                                                                      <w:marLeft w:val="0"/>
                                                                      <w:marRight w:val="0"/>
                                                                      <w:marTop w:val="0"/>
                                                                      <w:marBottom w:val="0"/>
                                                                      <w:divBdr>
                                                                        <w:top w:val="none" w:sz="0" w:space="0" w:color="auto"/>
                                                                        <w:left w:val="none" w:sz="0" w:space="0" w:color="auto"/>
                                                                        <w:bottom w:val="none" w:sz="0" w:space="0" w:color="auto"/>
                                                                        <w:right w:val="none" w:sz="0" w:space="0" w:color="auto"/>
                                                                      </w:divBdr>
                                                                      <w:divsChild>
                                                                        <w:div w:id="559023184">
                                                                          <w:marLeft w:val="0"/>
                                                                          <w:marRight w:val="0"/>
                                                                          <w:marTop w:val="0"/>
                                                                          <w:marBottom w:val="0"/>
                                                                          <w:divBdr>
                                                                            <w:top w:val="none" w:sz="0" w:space="0" w:color="auto"/>
                                                                            <w:left w:val="none" w:sz="0" w:space="0" w:color="auto"/>
                                                                            <w:bottom w:val="none" w:sz="0" w:space="0" w:color="auto"/>
                                                                            <w:right w:val="none" w:sz="0" w:space="0" w:color="auto"/>
                                                                          </w:divBdr>
                                                                        </w:div>
                                                                      </w:divsChild>
                                                                    </w:div>
                                                                    <w:div w:id="2080709945">
                                                                      <w:marLeft w:val="0"/>
                                                                      <w:marRight w:val="0"/>
                                                                      <w:marTop w:val="0"/>
                                                                      <w:marBottom w:val="0"/>
                                                                      <w:divBdr>
                                                                        <w:top w:val="none" w:sz="0" w:space="0" w:color="auto"/>
                                                                        <w:left w:val="none" w:sz="0" w:space="0" w:color="auto"/>
                                                                        <w:bottom w:val="none" w:sz="0" w:space="0" w:color="auto"/>
                                                                        <w:right w:val="none" w:sz="0" w:space="0" w:color="auto"/>
                                                                      </w:divBdr>
                                                                      <w:divsChild>
                                                                        <w:div w:id="610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9670708">
      <w:bodyDiv w:val="1"/>
      <w:marLeft w:val="0"/>
      <w:marRight w:val="0"/>
      <w:marTop w:val="0"/>
      <w:marBottom w:val="0"/>
      <w:divBdr>
        <w:top w:val="none" w:sz="0" w:space="0" w:color="auto"/>
        <w:left w:val="none" w:sz="0" w:space="0" w:color="auto"/>
        <w:bottom w:val="none" w:sz="0" w:space="0" w:color="auto"/>
        <w:right w:val="none" w:sz="0" w:space="0" w:color="auto"/>
      </w:divBdr>
      <w:divsChild>
        <w:div w:id="649287794">
          <w:marLeft w:val="0"/>
          <w:marRight w:val="0"/>
          <w:marTop w:val="0"/>
          <w:marBottom w:val="0"/>
          <w:divBdr>
            <w:top w:val="none" w:sz="0" w:space="0" w:color="auto"/>
            <w:left w:val="none" w:sz="0" w:space="0" w:color="auto"/>
            <w:bottom w:val="none" w:sz="0" w:space="0" w:color="auto"/>
            <w:right w:val="none" w:sz="0" w:space="0" w:color="auto"/>
          </w:divBdr>
          <w:divsChild>
            <w:div w:id="1014695904">
              <w:marLeft w:val="0"/>
              <w:marRight w:val="0"/>
              <w:marTop w:val="0"/>
              <w:marBottom w:val="0"/>
              <w:divBdr>
                <w:top w:val="none" w:sz="0" w:space="0" w:color="auto"/>
                <w:left w:val="none" w:sz="0" w:space="0" w:color="auto"/>
                <w:bottom w:val="none" w:sz="0" w:space="0" w:color="auto"/>
                <w:right w:val="none" w:sz="0" w:space="0" w:color="auto"/>
              </w:divBdr>
              <w:divsChild>
                <w:div w:id="538129023">
                  <w:marLeft w:val="0"/>
                  <w:marRight w:val="0"/>
                  <w:marTop w:val="0"/>
                  <w:marBottom w:val="0"/>
                  <w:divBdr>
                    <w:top w:val="none" w:sz="0" w:space="0" w:color="auto"/>
                    <w:left w:val="none" w:sz="0" w:space="0" w:color="auto"/>
                    <w:bottom w:val="none" w:sz="0" w:space="0" w:color="auto"/>
                    <w:right w:val="none" w:sz="0" w:space="0" w:color="auto"/>
                  </w:divBdr>
                  <w:divsChild>
                    <w:div w:id="1978105268">
                      <w:marLeft w:val="0"/>
                      <w:marRight w:val="0"/>
                      <w:marTop w:val="0"/>
                      <w:marBottom w:val="375"/>
                      <w:divBdr>
                        <w:top w:val="none" w:sz="0" w:space="0" w:color="auto"/>
                        <w:left w:val="none" w:sz="0" w:space="0" w:color="auto"/>
                        <w:bottom w:val="none" w:sz="0" w:space="0" w:color="auto"/>
                        <w:right w:val="none" w:sz="0" w:space="0" w:color="auto"/>
                      </w:divBdr>
                      <w:divsChild>
                        <w:div w:id="13697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552851">
      <w:bodyDiv w:val="1"/>
      <w:marLeft w:val="0"/>
      <w:marRight w:val="0"/>
      <w:marTop w:val="0"/>
      <w:marBottom w:val="0"/>
      <w:divBdr>
        <w:top w:val="none" w:sz="0" w:space="0" w:color="auto"/>
        <w:left w:val="none" w:sz="0" w:space="0" w:color="auto"/>
        <w:bottom w:val="none" w:sz="0" w:space="0" w:color="auto"/>
        <w:right w:val="none" w:sz="0" w:space="0" w:color="auto"/>
      </w:divBdr>
      <w:divsChild>
        <w:div w:id="672531357">
          <w:marLeft w:val="0"/>
          <w:marRight w:val="0"/>
          <w:marTop w:val="0"/>
          <w:marBottom w:val="0"/>
          <w:divBdr>
            <w:top w:val="none" w:sz="0" w:space="0" w:color="auto"/>
            <w:left w:val="single" w:sz="6" w:space="0" w:color="BBBBBB"/>
            <w:bottom w:val="single" w:sz="6" w:space="0" w:color="BBBBBB"/>
            <w:right w:val="single" w:sz="6" w:space="0" w:color="BBBBBB"/>
          </w:divBdr>
          <w:divsChild>
            <w:div w:id="1745254816">
              <w:marLeft w:val="0"/>
              <w:marRight w:val="0"/>
              <w:marTop w:val="0"/>
              <w:marBottom w:val="0"/>
              <w:divBdr>
                <w:top w:val="none" w:sz="0" w:space="0" w:color="auto"/>
                <w:left w:val="none" w:sz="0" w:space="0" w:color="auto"/>
                <w:bottom w:val="none" w:sz="0" w:space="0" w:color="auto"/>
                <w:right w:val="none" w:sz="0" w:space="0" w:color="auto"/>
              </w:divBdr>
              <w:divsChild>
                <w:div w:id="849106045">
                  <w:marLeft w:val="0"/>
                  <w:marRight w:val="0"/>
                  <w:marTop w:val="75"/>
                  <w:marBottom w:val="0"/>
                  <w:divBdr>
                    <w:top w:val="none" w:sz="0" w:space="0" w:color="auto"/>
                    <w:left w:val="none" w:sz="0" w:space="0" w:color="auto"/>
                    <w:bottom w:val="none" w:sz="0" w:space="0" w:color="auto"/>
                    <w:right w:val="none" w:sz="0" w:space="0" w:color="auto"/>
                  </w:divBdr>
                  <w:divsChild>
                    <w:div w:id="2015180695">
                      <w:marLeft w:val="0"/>
                      <w:marRight w:val="0"/>
                      <w:marTop w:val="0"/>
                      <w:marBottom w:val="0"/>
                      <w:divBdr>
                        <w:top w:val="none" w:sz="0" w:space="0" w:color="auto"/>
                        <w:left w:val="none" w:sz="0" w:space="0" w:color="auto"/>
                        <w:bottom w:val="none" w:sz="0" w:space="0" w:color="auto"/>
                        <w:right w:val="none" w:sz="0" w:space="0" w:color="auto"/>
                      </w:divBdr>
                      <w:divsChild>
                        <w:div w:id="1662155948">
                          <w:marLeft w:val="0"/>
                          <w:marRight w:val="0"/>
                          <w:marTop w:val="0"/>
                          <w:marBottom w:val="0"/>
                          <w:divBdr>
                            <w:top w:val="none" w:sz="0" w:space="0" w:color="auto"/>
                            <w:left w:val="none" w:sz="0" w:space="0" w:color="auto"/>
                            <w:bottom w:val="none" w:sz="0" w:space="0" w:color="auto"/>
                            <w:right w:val="none" w:sz="0" w:space="0" w:color="auto"/>
                          </w:divBdr>
                          <w:divsChild>
                            <w:div w:id="1925913084">
                              <w:marLeft w:val="0"/>
                              <w:marRight w:val="0"/>
                              <w:marTop w:val="0"/>
                              <w:marBottom w:val="0"/>
                              <w:divBdr>
                                <w:top w:val="none" w:sz="0" w:space="0" w:color="auto"/>
                                <w:left w:val="none" w:sz="0" w:space="0" w:color="auto"/>
                                <w:bottom w:val="none" w:sz="0" w:space="0" w:color="auto"/>
                                <w:right w:val="none" w:sz="0" w:space="0" w:color="auto"/>
                              </w:divBdr>
                              <w:divsChild>
                                <w:div w:id="1274442186">
                                  <w:marLeft w:val="0"/>
                                  <w:marRight w:val="0"/>
                                  <w:marTop w:val="0"/>
                                  <w:marBottom w:val="0"/>
                                  <w:divBdr>
                                    <w:top w:val="none" w:sz="0" w:space="0" w:color="auto"/>
                                    <w:left w:val="none" w:sz="0" w:space="0" w:color="auto"/>
                                    <w:bottom w:val="none" w:sz="0" w:space="0" w:color="auto"/>
                                    <w:right w:val="none" w:sz="0" w:space="0" w:color="auto"/>
                                  </w:divBdr>
                                  <w:divsChild>
                                    <w:div w:id="1660890841">
                                      <w:marLeft w:val="0"/>
                                      <w:marRight w:val="0"/>
                                      <w:marTop w:val="0"/>
                                      <w:marBottom w:val="0"/>
                                      <w:divBdr>
                                        <w:top w:val="none" w:sz="0" w:space="0" w:color="auto"/>
                                        <w:left w:val="none" w:sz="0" w:space="0" w:color="auto"/>
                                        <w:bottom w:val="none" w:sz="0" w:space="0" w:color="auto"/>
                                        <w:right w:val="none" w:sz="0" w:space="0" w:color="auto"/>
                                      </w:divBdr>
                                      <w:divsChild>
                                        <w:div w:id="221331766">
                                          <w:marLeft w:val="1200"/>
                                          <w:marRight w:val="1200"/>
                                          <w:marTop w:val="0"/>
                                          <w:marBottom w:val="0"/>
                                          <w:divBdr>
                                            <w:top w:val="none" w:sz="0" w:space="0" w:color="auto"/>
                                            <w:left w:val="none" w:sz="0" w:space="0" w:color="auto"/>
                                            <w:bottom w:val="none" w:sz="0" w:space="0" w:color="auto"/>
                                            <w:right w:val="none" w:sz="0" w:space="0" w:color="auto"/>
                                          </w:divBdr>
                                          <w:divsChild>
                                            <w:div w:id="1586190052">
                                              <w:marLeft w:val="0"/>
                                              <w:marRight w:val="0"/>
                                              <w:marTop w:val="0"/>
                                              <w:marBottom w:val="0"/>
                                              <w:divBdr>
                                                <w:top w:val="none" w:sz="0" w:space="0" w:color="auto"/>
                                                <w:left w:val="none" w:sz="0" w:space="0" w:color="auto"/>
                                                <w:bottom w:val="none" w:sz="0" w:space="0" w:color="auto"/>
                                                <w:right w:val="none" w:sz="0" w:space="0" w:color="auto"/>
                                              </w:divBdr>
                                              <w:divsChild>
                                                <w:div w:id="664087371">
                                                  <w:marLeft w:val="0"/>
                                                  <w:marRight w:val="0"/>
                                                  <w:marTop w:val="0"/>
                                                  <w:marBottom w:val="0"/>
                                                  <w:divBdr>
                                                    <w:top w:val="none" w:sz="0" w:space="0" w:color="auto"/>
                                                    <w:left w:val="none" w:sz="0" w:space="0" w:color="auto"/>
                                                    <w:bottom w:val="none" w:sz="0" w:space="0" w:color="auto"/>
                                                    <w:right w:val="none" w:sz="0" w:space="0" w:color="auto"/>
                                                  </w:divBdr>
                                                  <w:divsChild>
                                                    <w:div w:id="20128621">
                                                      <w:marLeft w:val="0"/>
                                                      <w:marRight w:val="0"/>
                                                      <w:marTop w:val="0"/>
                                                      <w:marBottom w:val="0"/>
                                                      <w:divBdr>
                                                        <w:top w:val="none" w:sz="0" w:space="0" w:color="auto"/>
                                                        <w:left w:val="none" w:sz="0" w:space="0" w:color="auto"/>
                                                        <w:bottom w:val="none" w:sz="0" w:space="0" w:color="auto"/>
                                                        <w:right w:val="none" w:sz="0" w:space="0" w:color="auto"/>
                                                      </w:divBdr>
                                                      <w:divsChild>
                                                        <w:div w:id="1510363272">
                                                          <w:marLeft w:val="0"/>
                                                          <w:marRight w:val="0"/>
                                                          <w:marTop w:val="0"/>
                                                          <w:marBottom w:val="0"/>
                                                          <w:divBdr>
                                                            <w:top w:val="none" w:sz="0" w:space="0" w:color="auto"/>
                                                            <w:left w:val="none" w:sz="0" w:space="0" w:color="auto"/>
                                                            <w:bottom w:val="none" w:sz="0" w:space="0" w:color="auto"/>
                                                            <w:right w:val="none" w:sz="0" w:space="0" w:color="auto"/>
                                                          </w:divBdr>
                                                          <w:divsChild>
                                                            <w:div w:id="1652980490">
                                                              <w:marLeft w:val="0"/>
                                                              <w:marRight w:val="0"/>
                                                              <w:marTop w:val="0"/>
                                                              <w:marBottom w:val="0"/>
                                                              <w:divBdr>
                                                                <w:top w:val="none" w:sz="0" w:space="0" w:color="auto"/>
                                                                <w:left w:val="none" w:sz="0" w:space="0" w:color="auto"/>
                                                                <w:bottom w:val="none" w:sz="0" w:space="0" w:color="auto"/>
                                                                <w:right w:val="none" w:sz="0" w:space="0" w:color="auto"/>
                                                              </w:divBdr>
                                                              <w:divsChild>
                                                                <w:div w:id="1968848032">
                                                                  <w:marLeft w:val="0"/>
                                                                  <w:marRight w:val="0"/>
                                                                  <w:marTop w:val="0"/>
                                                                  <w:marBottom w:val="0"/>
                                                                  <w:divBdr>
                                                                    <w:top w:val="none" w:sz="0" w:space="0" w:color="auto"/>
                                                                    <w:left w:val="none" w:sz="0" w:space="0" w:color="auto"/>
                                                                    <w:bottom w:val="none" w:sz="0" w:space="0" w:color="auto"/>
                                                                    <w:right w:val="none" w:sz="0" w:space="0" w:color="auto"/>
                                                                  </w:divBdr>
                                                                  <w:divsChild>
                                                                    <w:div w:id="221216633">
                                                                      <w:marLeft w:val="0"/>
                                                                      <w:marRight w:val="0"/>
                                                                      <w:marTop w:val="0"/>
                                                                      <w:marBottom w:val="0"/>
                                                                      <w:divBdr>
                                                                        <w:top w:val="none" w:sz="0" w:space="0" w:color="auto"/>
                                                                        <w:left w:val="none" w:sz="0" w:space="0" w:color="auto"/>
                                                                        <w:bottom w:val="none" w:sz="0" w:space="0" w:color="auto"/>
                                                                        <w:right w:val="none" w:sz="0" w:space="0" w:color="auto"/>
                                                                      </w:divBdr>
                                                                      <w:divsChild>
                                                                        <w:div w:id="811021973">
                                                                          <w:marLeft w:val="0"/>
                                                                          <w:marRight w:val="0"/>
                                                                          <w:marTop w:val="0"/>
                                                                          <w:marBottom w:val="0"/>
                                                                          <w:divBdr>
                                                                            <w:top w:val="none" w:sz="0" w:space="0" w:color="auto"/>
                                                                            <w:left w:val="none" w:sz="0" w:space="0" w:color="auto"/>
                                                                            <w:bottom w:val="none" w:sz="0" w:space="0" w:color="auto"/>
                                                                            <w:right w:val="none" w:sz="0" w:space="0" w:color="auto"/>
                                                                          </w:divBdr>
                                                                        </w:div>
                                                                      </w:divsChild>
                                                                    </w:div>
                                                                    <w:div w:id="487094709">
                                                                      <w:marLeft w:val="0"/>
                                                                      <w:marRight w:val="0"/>
                                                                      <w:marTop w:val="0"/>
                                                                      <w:marBottom w:val="0"/>
                                                                      <w:divBdr>
                                                                        <w:top w:val="none" w:sz="0" w:space="0" w:color="auto"/>
                                                                        <w:left w:val="none" w:sz="0" w:space="0" w:color="auto"/>
                                                                        <w:bottom w:val="none" w:sz="0" w:space="0" w:color="auto"/>
                                                                        <w:right w:val="none" w:sz="0" w:space="0" w:color="auto"/>
                                                                      </w:divBdr>
                                                                      <w:divsChild>
                                                                        <w:div w:id="1640304952">
                                                                          <w:marLeft w:val="0"/>
                                                                          <w:marRight w:val="0"/>
                                                                          <w:marTop w:val="0"/>
                                                                          <w:marBottom w:val="0"/>
                                                                          <w:divBdr>
                                                                            <w:top w:val="none" w:sz="0" w:space="0" w:color="auto"/>
                                                                            <w:left w:val="none" w:sz="0" w:space="0" w:color="auto"/>
                                                                            <w:bottom w:val="none" w:sz="0" w:space="0" w:color="auto"/>
                                                                            <w:right w:val="none" w:sz="0" w:space="0" w:color="auto"/>
                                                                          </w:divBdr>
                                                                        </w:div>
                                                                      </w:divsChild>
                                                                    </w:div>
                                                                    <w:div w:id="637540586">
                                                                      <w:marLeft w:val="0"/>
                                                                      <w:marRight w:val="0"/>
                                                                      <w:marTop w:val="0"/>
                                                                      <w:marBottom w:val="0"/>
                                                                      <w:divBdr>
                                                                        <w:top w:val="none" w:sz="0" w:space="0" w:color="auto"/>
                                                                        <w:left w:val="none" w:sz="0" w:space="0" w:color="auto"/>
                                                                        <w:bottom w:val="none" w:sz="0" w:space="0" w:color="auto"/>
                                                                        <w:right w:val="none" w:sz="0" w:space="0" w:color="auto"/>
                                                                      </w:divBdr>
                                                                      <w:divsChild>
                                                                        <w:div w:id="12737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3221061">
      <w:bodyDiv w:val="1"/>
      <w:marLeft w:val="0"/>
      <w:marRight w:val="0"/>
      <w:marTop w:val="0"/>
      <w:marBottom w:val="0"/>
      <w:divBdr>
        <w:top w:val="none" w:sz="0" w:space="0" w:color="auto"/>
        <w:left w:val="none" w:sz="0" w:space="0" w:color="auto"/>
        <w:bottom w:val="none" w:sz="0" w:space="0" w:color="auto"/>
        <w:right w:val="none" w:sz="0" w:space="0" w:color="auto"/>
      </w:divBdr>
      <w:divsChild>
        <w:div w:id="1159686462">
          <w:marLeft w:val="0"/>
          <w:marRight w:val="0"/>
          <w:marTop w:val="0"/>
          <w:marBottom w:val="0"/>
          <w:divBdr>
            <w:top w:val="none" w:sz="0" w:space="0" w:color="auto"/>
            <w:left w:val="none" w:sz="0" w:space="0" w:color="auto"/>
            <w:bottom w:val="none" w:sz="0" w:space="0" w:color="auto"/>
            <w:right w:val="none" w:sz="0" w:space="0" w:color="auto"/>
          </w:divBdr>
          <w:divsChild>
            <w:div w:id="1392967902">
              <w:marLeft w:val="0"/>
              <w:marRight w:val="0"/>
              <w:marTop w:val="0"/>
              <w:marBottom w:val="0"/>
              <w:divBdr>
                <w:top w:val="none" w:sz="0" w:space="0" w:color="auto"/>
                <w:left w:val="none" w:sz="0" w:space="0" w:color="auto"/>
                <w:bottom w:val="none" w:sz="0" w:space="0" w:color="auto"/>
                <w:right w:val="none" w:sz="0" w:space="0" w:color="auto"/>
              </w:divBdr>
              <w:divsChild>
                <w:div w:id="549343039">
                  <w:marLeft w:val="0"/>
                  <w:marRight w:val="0"/>
                  <w:marTop w:val="0"/>
                  <w:marBottom w:val="0"/>
                  <w:divBdr>
                    <w:top w:val="none" w:sz="0" w:space="0" w:color="auto"/>
                    <w:left w:val="none" w:sz="0" w:space="0" w:color="auto"/>
                    <w:bottom w:val="none" w:sz="0" w:space="0" w:color="auto"/>
                    <w:right w:val="none" w:sz="0" w:space="0" w:color="auto"/>
                  </w:divBdr>
                  <w:divsChild>
                    <w:div w:id="1856848054">
                      <w:marLeft w:val="0"/>
                      <w:marRight w:val="0"/>
                      <w:marTop w:val="0"/>
                      <w:marBottom w:val="0"/>
                      <w:divBdr>
                        <w:top w:val="none" w:sz="0" w:space="0" w:color="auto"/>
                        <w:left w:val="single" w:sz="6" w:space="0" w:color="EDEDED"/>
                        <w:bottom w:val="none" w:sz="0" w:space="0" w:color="auto"/>
                        <w:right w:val="single" w:sz="6" w:space="0" w:color="EDEDED"/>
                      </w:divBdr>
                      <w:divsChild>
                        <w:div w:id="1516574067">
                          <w:marLeft w:val="0"/>
                          <w:marRight w:val="0"/>
                          <w:marTop w:val="0"/>
                          <w:marBottom w:val="0"/>
                          <w:divBdr>
                            <w:top w:val="none" w:sz="0" w:space="0" w:color="auto"/>
                            <w:left w:val="none" w:sz="0" w:space="0" w:color="auto"/>
                            <w:bottom w:val="none" w:sz="0" w:space="0" w:color="auto"/>
                            <w:right w:val="none" w:sz="0" w:space="0" w:color="auto"/>
                          </w:divBdr>
                          <w:divsChild>
                            <w:div w:id="578951699">
                              <w:marLeft w:val="0"/>
                              <w:marRight w:val="0"/>
                              <w:marTop w:val="0"/>
                              <w:marBottom w:val="0"/>
                              <w:divBdr>
                                <w:top w:val="none" w:sz="0" w:space="0" w:color="auto"/>
                                <w:left w:val="none" w:sz="0" w:space="0" w:color="auto"/>
                                <w:bottom w:val="none" w:sz="0" w:space="0" w:color="auto"/>
                                <w:right w:val="none" w:sz="0" w:space="0" w:color="auto"/>
                              </w:divBdr>
                              <w:divsChild>
                                <w:div w:id="78216528">
                                  <w:marLeft w:val="0"/>
                                  <w:marRight w:val="0"/>
                                  <w:marTop w:val="0"/>
                                  <w:marBottom w:val="0"/>
                                  <w:divBdr>
                                    <w:top w:val="none" w:sz="0" w:space="0" w:color="auto"/>
                                    <w:left w:val="none" w:sz="0" w:space="0" w:color="auto"/>
                                    <w:bottom w:val="none" w:sz="0" w:space="0" w:color="auto"/>
                                    <w:right w:val="none" w:sz="0" w:space="0" w:color="auto"/>
                                  </w:divBdr>
                                  <w:divsChild>
                                    <w:div w:id="2008554288">
                                      <w:marLeft w:val="0"/>
                                      <w:marRight w:val="0"/>
                                      <w:marTop w:val="0"/>
                                      <w:marBottom w:val="0"/>
                                      <w:divBdr>
                                        <w:top w:val="none" w:sz="0" w:space="0" w:color="auto"/>
                                        <w:left w:val="none" w:sz="0" w:space="0" w:color="auto"/>
                                        <w:bottom w:val="none" w:sz="0" w:space="0" w:color="auto"/>
                                        <w:right w:val="none" w:sz="0" w:space="0" w:color="auto"/>
                                      </w:divBdr>
                                      <w:divsChild>
                                        <w:div w:id="1494644467">
                                          <w:marLeft w:val="0"/>
                                          <w:marRight w:val="0"/>
                                          <w:marTop w:val="0"/>
                                          <w:marBottom w:val="0"/>
                                          <w:divBdr>
                                            <w:top w:val="none" w:sz="0" w:space="0" w:color="auto"/>
                                            <w:left w:val="none" w:sz="0" w:space="0" w:color="auto"/>
                                            <w:bottom w:val="none" w:sz="0" w:space="0" w:color="auto"/>
                                            <w:right w:val="none" w:sz="0" w:space="0" w:color="auto"/>
                                          </w:divBdr>
                                          <w:divsChild>
                                            <w:div w:id="2080593568">
                                              <w:marLeft w:val="0"/>
                                              <w:marRight w:val="0"/>
                                              <w:marTop w:val="0"/>
                                              <w:marBottom w:val="0"/>
                                              <w:divBdr>
                                                <w:top w:val="none" w:sz="0" w:space="0" w:color="auto"/>
                                                <w:left w:val="none" w:sz="0" w:space="0" w:color="auto"/>
                                                <w:bottom w:val="none" w:sz="0" w:space="0" w:color="auto"/>
                                                <w:right w:val="none" w:sz="0" w:space="0" w:color="auto"/>
                                              </w:divBdr>
                                              <w:divsChild>
                                                <w:div w:id="1100373859">
                                                  <w:marLeft w:val="0"/>
                                                  <w:marRight w:val="0"/>
                                                  <w:marTop w:val="0"/>
                                                  <w:marBottom w:val="0"/>
                                                  <w:divBdr>
                                                    <w:top w:val="none" w:sz="0" w:space="0" w:color="auto"/>
                                                    <w:left w:val="none" w:sz="0" w:space="0" w:color="auto"/>
                                                    <w:bottom w:val="none" w:sz="0" w:space="0" w:color="auto"/>
                                                    <w:right w:val="none" w:sz="0" w:space="0" w:color="auto"/>
                                                  </w:divBdr>
                                                  <w:divsChild>
                                                    <w:div w:id="1152140131">
                                                      <w:marLeft w:val="0"/>
                                                      <w:marRight w:val="0"/>
                                                      <w:marTop w:val="0"/>
                                                      <w:marBottom w:val="0"/>
                                                      <w:divBdr>
                                                        <w:top w:val="none" w:sz="0" w:space="0" w:color="auto"/>
                                                        <w:left w:val="none" w:sz="0" w:space="0" w:color="auto"/>
                                                        <w:bottom w:val="none" w:sz="0" w:space="0" w:color="auto"/>
                                                        <w:right w:val="none" w:sz="0" w:space="0" w:color="auto"/>
                                                      </w:divBdr>
                                                      <w:divsChild>
                                                        <w:div w:id="179466600">
                                                          <w:marLeft w:val="0"/>
                                                          <w:marRight w:val="0"/>
                                                          <w:marTop w:val="0"/>
                                                          <w:marBottom w:val="0"/>
                                                          <w:divBdr>
                                                            <w:top w:val="none" w:sz="0" w:space="0" w:color="auto"/>
                                                            <w:left w:val="none" w:sz="0" w:space="0" w:color="auto"/>
                                                            <w:bottom w:val="none" w:sz="0" w:space="0" w:color="auto"/>
                                                            <w:right w:val="none" w:sz="0" w:space="0" w:color="auto"/>
                                                          </w:divBdr>
                                                          <w:divsChild>
                                                            <w:div w:id="1010062335">
                                                              <w:marLeft w:val="0"/>
                                                              <w:marRight w:val="0"/>
                                                              <w:marTop w:val="0"/>
                                                              <w:marBottom w:val="0"/>
                                                              <w:divBdr>
                                                                <w:top w:val="none" w:sz="0" w:space="0" w:color="auto"/>
                                                                <w:left w:val="none" w:sz="0" w:space="0" w:color="auto"/>
                                                                <w:bottom w:val="none" w:sz="0" w:space="0" w:color="auto"/>
                                                                <w:right w:val="none" w:sz="0" w:space="0" w:color="auto"/>
                                                              </w:divBdr>
                                                              <w:divsChild>
                                                                <w:div w:id="285161634">
                                                                  <w:marLeft w:val="0"/>
                                                                  <w:marRight w:val="0"/>
                                                                  <w:marTop w:val="0"/>
                                                                  <w:marBottom w:val="0"/>
                                                                  <w:divBdr>
                                                                    <w:top w:val="none" w:sz="0" w:space="0" w:color="auto"/>
                                                                    <w:left w:val="none" w:sz="0" w:space="0" w:color="auto"/>
                                                                    <w:bottom w:val="none" w:sz="0" w:space="0" w:color="auto"/>
                                                                    <w:right w:val="none" w:sz="0" w:space="0" w:color="auto"/>
                                                                  </w:divBdr>
                                                                  <w:divsChild>
                                                                    <w:div w:id="2124691524">
                                                                      <w:marLeft w:val="0"/>
                                                                      <w:marRight w:val="0"/>
                                                                      <w:marTop w:val="240"/>
                                                                      <w:marBottom w:val="0"/>
                                                                      <w:divBdr>
                                                                        <w:top w:val="none" w:sz="0" w:space="0" w:color="auto"/>
                                                                        <w:left w:val="none" w:sz="0" w:space="0" w:color="auto"/>
                                                                        <w:bottom w:val="none" w:sz="0" w:space="0" w:color="auto"/>
                                                                        <w:right w:val="none" w:sz="0" w:space="0" w:color="auto"/>
                                                                      </w:divBdr>
                                                                      <w:divsChild>
                                                                        <w:div w:id="763721356">
                                                                          <w:marLeft w:val="0"/>
                                                                          <w:marRight w:val="0"/>
                                                                          <w:marTop w:val="0"/>
                                                                          <w:marBottom w:val="0"/>
                                                                          <w:divBdr>
                                                                            <w:top w:val="none" w:sz="0" w:space="0" w:color="auto"/>
                                                                            <w:left w:val="none" w:sz="0" w:space="0" w:color="auto"/>
                                                                            <w:bottom w:val="none" w:sz="0" w:space="0" w:color="auto"/>
                                                                            <w:right w:val="none" w:sz="0" w:space="0" w:color="auto"/>
                                                                          </w:divBdr>
                                                                          <w:divsChild>
                                                                            <w:div w:id="1431244845">
                                                                              <w:marLeft w:val="0"/>
                                                                              <w:marRight w:val="0"/>
                                                                              <w:marTop w:val="0"/>
                                                                              <w:marBottom w:val="0"/>
                                                                              <w:divBdr>
                                                                                <w:top w:val="none" w:sz="0" w:space="0" w:color="auto"/>
                                                                                <w:left w:val="none" w:sz="0" w:space="0" w:color="auto"/>
                                                                                <w:bottom w:val="none" w:sz="0" w:space="0" w:color="auto"/>
                                                                                <w:right w:val="none" w:sz="0" w:space="0" w:color="auto"/>
                                                                              </w:divBdr>
                                                                              <w:divsChild>
                                                                                <w:div w:id="1782334935">
                                                                                  <w:marLeft w:val="0"/>
                                                                                  <w:marRight w:val="4500"/>
                                                                                  <w:marTop w:val="0"/>
                                                                                  <w:marBottom w:val="0"/>
                                                                                  <w:divBdr>
                                                                                    <w:top w:val="none" w:sz="0" w:space="0" w:color="auto"/>
                                                                                    <w:left w:val="none" w:sz="0" w:space="0" w:color="auto"/>
                                                                                    <w:bottom w:val="none" w:sz="0" w:space="0" w:color="auto"/>
                                                                                    <w:right w:val="none" w:sz="0" w:space="0" w:color="auto"/>
                                                                                  </w:divBdr>
                                                                                  <w:divsChild>
                                                                                    <w:div w:id="1970431026">
                                                                                      <w:marLeft w:val="0"/>
                                                                                      <w:marRight w:val="0"/>
                                                                                      <w:marTop w:val="0"/>
                                                                                      <w:marBottom w:val="0"/>
                                                                                      <w:divBdr>
                                                                                        <w:top w:val="none" w:sz="0" w:space="0" w:color="auto"/>
                                                                                        <w:left w:val="none" w:sz="0" w:space="0" w:color="auto"/>
                                                                                        <w:bottom w:val="none" w:sz="0" w:space="0" w:color="auto"/>
                                                                                        <w:right w:val="none" w:sz="0" w:space="0" w:color="auto"/>
                                                                                      </w:divBdr>
                                                                                      <w:divsChild>
                                                                                        <w:div w:id="1431463372">
                                                                                          <w:marLeft w:val="0"/>
                                                                                          <w:marRight w:val="0"/>
                                                                                          <w:marTop w:val="0"/>
                                                                                          <w:marBottom w:val="0"/>
                                                                                          <w:divBdr>
                                                                                            <w:top w:val="none" w:sz="0" w:space="0" w:color="auto"/>
                                                                                            <w:left w:val="none" w:sz="0" w:space="0" w:color="auto"/>
                                                                                            <w:bottom w:val="none" w:sz="0" w:space="0" w:color="auto"/>
                                                                                            <w:right w:val="none" w:sz="0" w:space="0" w:color="auto"/>
                                                                                          </w:divBdr>
                                                                                          <w:divsChild>
                                                                                            <w:div w:id="1750613856">
                                                                                              <w:marLeft w:val="0"/>
                                                                                              <w:marRight w:val="0"/>
                                                                                              <w:marTop w:val="0"/>
                                                                                              <w:marBottom w:val="0"/>
                                                                                              <w:divBdr>
                                                                                                <w:top w:val="none" w:sz="0" w:space="0" w:color="auto"/>
                                                                                                <w:left w:val="none" w:sz="0" w:space="0" w:color="auto"/>
                                                                                                <w:bottom w:val="none" w:sz="0" w:space="0" w:color="auto"/>
                                                                                                <w:right w:val="none" w:sz="0" w:space="0" w:color="auto"/>
                                                                                              </w:divBdr>
                                                                                              <w:divsChild>
                                                                                                <w:div w:id="1819608881">
                                                                                                  <w:marLeft w:val="0"/>
                                                                                                  <w:marRight w:val="0"/>
                                                                                                  <w:marTop w:val="0"/>
                                                                                                  <w:marBottom w:val="0"/>
                                                                                                  <w:divBdr>
                                                                                                    <w:top w:val="none" w:sz="0" w:space="0" w:color="auto"/>
                                                                                                    <w:left w:val="none" w:sz="0" w:space="0" w:color="auto"/>
                                                                                                    <w:bottom w:val="none" w:sz="0" w:space="0" w:color="auto"/>
                                                                                                    <w:right w:val="none" w:sz="0" w:space="0" w:color="auto"/>
                                                                                                  </w:divBdr>
                                                                                                  <w:divsChild>
                                                                                                    <w:div w:id="996419543">
                                                                                                      <w:marLeft w:val="0"/>
                                                                                                      <w:marRight w:val="0"/>
                                                                                                      <w:marTop w:val="0"/>
                                                                                                      <w:marBottom w:val="0"/>
                                                                                                      <w:divBdr>
                                                                                                        <w:top w:val="none" w:sz="0" w:space="0" w:color="auto"/>
                                                                                                        <w:left w:val="none" w:sz="0" w:space="0" w:color="auto"/>
                                                                                                        <w:bottom w:val="none" w:sz="0" w:space="0" w:color="auto"/>
                                                                                                        <w:right w:val="none" w:sz="0" w:space="0" w:color="auto"/>
                                                                                                      </w:divBdr>
                                                                                                      <w:divsChild>
                                                                                                        <w:div w:id="287443340">
                                                                                                          <w:marLeft w:val="0"/>
                                                                                                          <w:marRight w:val="0"/>
                                                                                                          <w:marTop w:val="0"/>
                                                                                                          <w:marBottom w:val="0"/>
                                                                                                          <w:divBdr>
                                                                                                            <w:top w:val="none" w:sz="0" w:space="0" w:color="auto"/>
                                                                                                            <w:left w:val="none" w:sz="0" w:space="0" w:color="auto"/>
                                                                                                            <w:bottom w:val="none" w:sz="0" w:space="0" w:color="auto"/>
                                                                                                            <w:right w:val="none" w:sz="0" w:space="0" w:color="auto"/>
                                                                                                          </w:divBdr>
                                                                                                          <w:divsChild>
                                                                                                            <w:div w:id="683826179">
                                                                                                              <w:marLeft w:val="0"/>
                                                                                                              <w:marRight w:val="0"/>
                                                                                                              <w:marTop w:val="0"/>
                                                                                                              <w:marBottom w:val="0"/>
                                                                                                              <w:divBdr>
                                                                                                                <w:top w:val="none" w:sz="0" w:space="0" w:color="auto"/>
                                                                                                                <w:left w:val="none" w:sz="0" w:space="0" w:color="auto"/>
                                                                                                                <w:bottom w:val="none" w:sz="0" w:space="0" w:color="auto"/>
                                                                                                                <w:right w:val="none" w:sz="0" w:space="0" w:color="auto"/>
                                                                                                              </w:divBdr>
                                                                                                              <w:divsChild>
                                                                                                                <w:div w:id="1621573481">
                                                                                                                  <w:marLeft w:val="0"/>
                                                                                                                  <w:marRight w:val="0"/>
                                                                                                                  <w:marTop w:val="0"/>
                                                                                                                  <w:marBottom w:val="0"/>
                                                                                                                  <w:divBdr>
                                                                                                                    <w:top w:val="none" w:sz="0" w:space="0" w:color="auto"/>
                                                                                                                    <w:left w:val="none" w:sz="0" w:space="0" w:color="auto"/>
                                                                                                                    <w:bottom w:val="none" w:sz="0" w:space="0" w:color="auto"/>
                                                                                                                    <w:right w:val="none" w:sz="0" w:space="0" w:color="auto"/>
                                                                                                                  </w:divBdr>
                                                                                                                  <w:divsChild>
                                                                                                                    <w:div w:id="1067993232">
                                                                                                                      <w:marLeft w:val="0"/>
                                                                                                                      <w:marRight w:val="0"/>
                                                                                                                      <w:marTop w:val="0"/>
                                                                                                                      <w:marBottom w:val="0"/>
                                                                                                                      <w:divBdr>
                                                                                                                        <w:top w:val="none" w:sz="0" w:space="0" w:color="auto"/>
                                                                                                                        <w:left w:val="none" w:sz="0" w:space="0" w:color="auto"/>
                                                                                                                        <w:bottom w:val="none" w:sz="0" w:space="0" w:color="auto"/>
                                                                                                                        <w:right w:val="none" w:sz="0" w:space="0" w:color="auto"/>
                                                                                                                      </w:divBdr>
                                                                                                                      <w:divsChild>
                                                                                                                        <w:div w:id="295989925">
                                                                                                                          <w:marLeft w:val="0"/>
                                                                                                                          <w:marRight w:val="0"/>
                                                                                                                          <w:marTop w:val="0"/>
                                                                                                                          <w:marBottom w:val="0"/>
                                                                                                                          <w:divBdr>
                                                                                                                            <w:top w:val="none" w:sz="0" w:space="0" w:color="auto"/>
                                                                                                                            <w:left w:val="none" w:sz="0" w:space="0" w:color="auto"/>
                                                                                                                            <w:bottom w:val="none" w:sz="0" w:space="0" w:color="auto"/>
                                                                                                                            <w:right w:val="none" w:sz="0" w:space="0" w:color="auto"/>
                                                                                                                          </w:divBdr>
                                                                                                                          <w:divsChild>
                                                                                                                            <w:div w:id="378938828">
                                                                                                                              <w:marLeft w:val="0"/>
                                                                                                                              <w:marRight w:val="0"/>
                                                                                                                              <w:marTop w:val="0"/>
                                                                                                                              <w:marBottom w:val="0"/>
                                                                                                                              <w:divBdr>
                                                                                                                                <w:top w:val="none" w:sz="0" w:space="0" w:color="auto"/>
                                                                                                                                <w:left w:val="none" w:sz="0" w:space="0" w:color="auto"/>
                                                                                                                                <w:bottom w:val="none" w:sz="0" w:space="0" w:color="auto"/>
                                                                                                                                <w:right w:val="none" w:sz="0" w:space="0" w:color="auto"/>
                                                                                                                              </w:divBdr>
                                                                                                                              <w:divsChild>
                                                                                                                                <w:div w:id="84393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3758005">
      <w:bodyDiv w:val="1"/>
      <w:marLeft w:val="0"/>
      <w:marRight w:val="0"/>
      <w:marTop w:val="0"/>
      <w:marBottom w:val="0"/>
      <w:divBdr>
        <w:top w:val="none" w:sz="0" w:space="0" w:color="auto"/>
        <w:left w:val="none" w:sz="0" w:space="0" w:color="auto"/>
        <w:bottom w:val="none" w:sz="0" w:space="0" w:color="auto"/>
        <w:right w:val="none" w:sz="0" w:space="0" w:color="auto"/>
      </w:divBdr>
      <w:divsChild>
        <w:div w:id="1133326333">
          <w:marLeft w:val="0"/>
          <w:marRight w:val="0"/>
          <w:marTop w:val="0"/>
          <w:marBottom w:val="0"/>
          <w:divBdr>
            <w:top w:val="none" w:sz="0" w:space="0" w:color="auto"/>
            <w:left w:val="single" w:sz="6" w:space="0" w:color="BBBBBB"/>
            <w:bottom w:val="single" w:sz="6" w:space="0" w:color="BBBBBB"/>
            <w:right w:val="single" w:sz="6" w:space="0" w:color="BBBBBB"/>
          </w:divBdr>
          <w:divsChild>
            <w:div w:id="2033412011">
              <w:marLeft w:val="0"/>
              <w:marRight w:val="0"/>
              <w:marTop w:val="0"/>
              <w:marBottom w:val="0"/>
              <w:divBdr>
                <w:top w:val="none" w:sz="0" w:space="0" w:color="auto"/>
                <w:left w:val="none" w:sz="0" w:space="0" w:color="auto"/>
                <w:bottom w:val="none" w:sz="0" w:space="0" w:color="auto"/>
                <w:right w:val="none" w:sz="0" w:space="0" w:color="auto"/>
              </w:divBdr>
              <w:divsChild>
                <w:div w:id="988481199">
                  <w:marLeft w:val="0"/>
                  <w:marRight w:val="0"/>
                  <w:marTop w:val="0"/>
                  <w:marBottom w:val="0"/>
                  <w:divBdr>
                    <w:top w:val="none" w:sz="0" w:space="0" w:color="auto"/>
                    <w:left w:val="none" w:sz="0" w:space="0" w:color="auto"/>
                    <w:bottom w:val="none" w:sz="0" w:space="0" w:color="auto"/>
                    <w:right w:val="none" w:sz="0" w:space="0" w:color="auto"/>
                  </w:divBdr>
                  <w:divsChild>
                    <w:div w:id="1029526102">
                      <w:marLeft w:val="0"/>
                      <w:marRight w:val="0"/>
                      <w:marTop w:val="0"/>
                      <w:marBottom w:val="0"/>
                      <w:divBdr>
                        <w:top w:val="none" w:sz="0" w:space="0" w:color="auto"/>
                        <w:left w:val="none" w:sz="0" w:space="0" w:color="auto"/>
                        <w:bottom w:val="none" w:sz="0" w:space="0" w:color="auto"/>
                        <w:right w:val="none" w:sz="0" w:space="0" w:color="auto"/>
                      </w:divBdr>
                      <w:divsChild>
                        <w:div w:id="736782962">
                          <w:marLeft w:val="0"/>
                          <w:marRight w:val="0"/>
                          <w:marTop w:val="0"/>
                          <w:marBottom w:val="0"/>
                          <w:divBdr>
                            <w:top w:val="none" w:sz="0" w:space="0" w:color="auto"/>
                            <w:left w:val="none" w:sz="0" w:space="0" w:color="auto"/>
                            <w:bottom w:val="none" w:sz="0" w:space="0" w:color="auto"/>
                            <w:right w:val="none" w:sz="0" w:space="0" w:color="auto"/>
                          </w:divBdr>
                          <w:divsChild>
                            <w:div w:id="1676607873">
                              <w:marLeft w:val="0"/>
                              <w:marRight w:val="0"/>
                              <w:marTop w:val="0"/>
                              <w:marBottom w:val="0"/>
                              <w:divBdr>
                                <w:top w:val="none" w:sz="0" w:space="0" w:color="auto"/>
                                <w:left w:val="none" w:sz="0" w:space="0" w:color="auto"/>
                                <w:bottom w:val="none" w:sz="0" w:space="0" w:color="auto"/>
                                <w:right w:val="none" w:sz="0" w:space="0" w:color="auto"/>
                              </w:divBdr>
                              <w:divsChild>
                                <w:div w:id="1042628909">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sChild>
                                        <w:div w:id="699474712">
                                          <w:marLeft w:val="1200"/>
                                          <w:marRight w:val="1200"/>
                                          <w:marTop w:val="0"/>
                                          <w:marBottom w:val="0"/>
                                          <w:divBdr>
                                            <w:top w:val="none" w:sz="0" w:space="0" w:color="auto"/>
                                            <w:left w:val="none" w:sz="0" w:space="0" w:color="auto"/>
                                            <w:bottom w:val="none" w:sz="0" w:space="0" w:color="auto"/>
                                            <w:right w:val="none" w:sz="0" w:space="0" w:color="auto"/>
                                          </w:divBdr>
                                          <w:divsChild>
                                            <w:div w:id="1471092815">
                                              <w:marLeft w:val="0"/>
                                              <w:marRight w:val="0"/>
                                              <w:marTop w:val="0"/>
                                              <w:marBottom w:val="0"/>
                                              <w:divBdr>
                                                <w:top w:val="none" w:sz="0" w:space="0" w:color="auto"/>
                                                <w:left w:val="none" w:sz="0" w:space="0" w:color="auto"/>
                                                <w:bottom w:val="none" w:sz="0" w:space="0" w:color="auto"/>
                                                <w:right w:val="none" w:sz="0" w:space="0" w:color="auto"/>
                                              </w:divBdr>
                                              <w:divsChild>
                                                <w:div w:id="1537741677">
                                                  <w:marLeft w:val="0"/>
                                                  <w:marRight w:val="0"/>
                                                  <w:marTop w:val="0"/>
                                                  <w:marBottom w:val="0"/>
                                                  <w:divBdr>
                                                    <w:top w:val="none" w:sz="0" w:space="0" w:color="auto"/>
                                                    <w:left w:val="none" w:sz="0" w:space="0" w:color="auto"/>
                                                    <w:bottom w:val="none" w:sz="0" w:space="0" w:color="auto"/>
                                                    <w:right w:val="none" w:sz="0" w:space="0" w:color="auto"/>
                                                  </w:divBdr>
                                                  <w:divsChild>
                                                    <w:div w:id="1477454216">
                                                      <w:marLeft w:val="0"/>
                                                      <w:marRight w:val="0"/>
                                                      <w:marTop w:val="0"/>
                                                      <w:marBottom w:val="0"/>
                                                      <w:divBdr>
                                                        <w:top w:val="none" w:sz="0" w:space="0" w:color="auto"/>
                                                        <w:left w:val="none" w:sz="0" w:space="0" w:color="auto"/>
                                                        <w:bottom w:val="none" w:sz="0" w:space="0" w:color="auto"/>
                                                        <w:right w:val="none" w:sz="0" w:space="0" w:color="auto"/>
                                                      </w:divBdr>
                                                      <w:divsChild>
                                                        <w:div w:id="660692891">
                                                          <w:marLeft w:val="0"/>
                                                          <w:marRight w:val="0"/>
                                                          <w:marTop w:val="0"/>
                                                          <w:marBottom w:val="0"/>
                                                          <w:divBdr>
                                                            <w:top w:val="none" w:sz="0" w:space="0" w:color="auto"/>
                                                            <w:left w:val="none" w:sz="0" w:space="0" w:color="auto"/>
                                                            <w:bottom w:val="none" w:sz="0" w:space="0" w:color="auto"/>
                                                            <w:right w:val="none" w:sz="0" w:space="0" w:color="auto"/>
                                                          </w:divBdr>
                                                          <w:divsChild>
                                                            <w:div w:id="1494294918">
                                                              <w:marLeft w:val="0"/>
                                                              <w:marRight w:val="0"/>
                                                              <w:marTop w:val="0"/>
                                                              <w:marBottom w:val="0"/>
                                                              <w:divBdr>
                                                                <w:top w:val="none" w:sz="0" w:space="0" w:color="auto"/>
                                                                <w:left w:val="none" w:sz="0" w:space="0" w:color="auto"/>
                                                                <w:bottom w:val="none" w:sz="0" w:space="0" w:color="auto"/>
                                                                <w:right w:val="none" w:sz="0" w:space="0" w:color="auto"/>
                                                              </w:divBdr>
                                                              <w:divsChild>
                                                                <w:div w:id="708723522">
                                                                  <w:marLeft w:val="0"/>
                                                                  <w:marRight w:val="0"/>
                                                                  <w:marTop w:val="0"/>
                                                                  <w:marBottom w:val="0"/>
                                                                  <w:divBdr>
                                                                    <w:top w:val="none" w:sz="0" w:space="0" w:color="auto"/>
                                                                    <w:left w:val="none" w:sz="0" w:space="0" w:color="auto"/>
                                                                    <w:bottom w:val="none" w:sz="0" w:space="0" w:color="auto"/>
                                                                    <w:right w:val="none" w:sz="0" w:space="0" w:color="auto"/>
                                                                  </w:divBdr>
                                                                  <w:divsChild>
                                                                    <w:div w:id="1684211386">
                                                                      <w:marLeft w:val="0"/>
                                                                      <w:marRight w:val="0"/>
                                                                      <w:marTop w:val="0"/>
                                                                      <w:marBottom w:val="0"/>
                                                                      <w:divBdr>
                                                                        <w:top w:val="none" w:sz="0" w:space="0" w:color="auto"/>
                                                                        <w:left w:val="none" w:sz="0" w:space="0" w:color="auto"/>
                                                                        <w:bottom w:val="none" w:sz="0" w:space="0" w:color="auto"/>
                                                                        <w:right w:val="none" w:sz="0" w:space="0" w:color="auto"/>
                                                                      </w:divBdr>
                                                                      <w:divsChild>
                                                                        <w:div w:id="810636760">
                                                                          <w:marLeft w:val="0"/>
                                                                          <w:marRight w:val="0"/>
                                                                          <w:marTop w:val="0"/>
                                                                          <w:marBottom w:val="0"/>
                                                                          <w:divBdr>
                                                                            <w:top w:val="none" w:sz="0" w:space="0" w:color="auto"/>
                                                                            <w:left w:val="none" w:sz="0" w:space="0" w:color="auto"/>
                                                                            <w:bottom w:val="none" w:sz="0" w:space="0" w:color="auto"/>
                                                                            <w:right w:val="none" w:sz="0" w:space="0" w:color="auto"/>
                                                                          </w:divBdr>
                                                                        </w:div>
                                                                      </w:divsChild>
                                                                    </w:div>
                                                                    <w:div w:id="1977297771">
                                                                      <w:marLeft w:val="0"/>
                                                                      <w:marRight w:val="0"/>
                                                                      <w:marTop w:val="0"/>
                                                                      <w:marBottom w:val="0"/>
                                                                      <w:divBdr>
                                                                        <w:top w:val="none" w:sz="0" w:space="0" w:color="auto"/>
                                                                        <w:left w:val="none" w:sz="0" w:space="0" w:color="auto"/>
                                                                        <w:bottom w:val="none" w:sz="0" w:space="0" w:color="auto"/>
                                                                        <w:right w:val="none" w:sz="0" w:space="0" w:color="auto"/>
                                                                      </w:divBdr>
                                                                      <w:divsChild>
                                                                        <w:div w:id="8042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8263272">
      <w:bodyDiv w:val="1"/>
      <w:marLeft w:val="0"/>
      <w:marRight w:val="0"/>
      <w:marTop w:val="0"/>
      <w:marBottom w:val="0"/>
      <w:divBdr>
        <w:top w:val="none" w:sz="0" w:space="0" w:color="auto"/>
        <w:left w:val="none" w:sz="0" w:space="0" w:color="auto"/>
        <w:bottom w:val="none" w:sz="0" w:space="0" w:color="auto"/>
        <w:right w:val="none" w:sz="0" w:space="0" w:color="auto"/>
      </w:divBdr>
      <w:divsChild>
        <w:div w:id="628509541">
          <w:marLeft w:val="0"/>
          <w:marRight w:val="0"/>
          <w:marTop w:val="240"/>
          <w:marBottom w:val="0"/>
          <w:divBdr>
            <w:top w:val="none" w:sz="0" w:space="0" w:color="auto"/>
            <w:left w:val="none" w:sz="0" w:space="0" w:color="auto"/>
            <w:bottom w:val="none" w:sz="0" w:space="0" w:color="auto"/>
            <w:right w:val="none" w:sz="0" w:space="0" w:color="auto"/>
          </w:divBdr>
          <w:divsChild>
            <w:div w:id="94597276">
              <w:marLeft w:val="0"/>
              <w:marRight w:val="0"/>
              <w:marTop w:val="240"/>
              <w:marBottom w:val="0"/>
              <w:divBdr>
                <w:top w:val="none" w:sz="0" w:space="0" w:color="auto"/>
                <w:left w:val="none" w:sz="0" w:space="0" w:color="auto"/>
                <w:bottom w:val="none" w:sz="0" w:space="0" w:color="auto"/>
                <w:right w:val="none" w:sz="0" w:space="0" w:color="auto"/>
              </w:divBdr>
              <w:divsChild>
                <w:div w:id="647514761">
                  <w:marLeft w:val="0"/>
                  <w:marRight w:val="0"/>
                  <w:marTop w:val="0"/>
                  <w:marBottom w:val="0"/>
                  <w:divBdr>
                    <w:top w:val="none" w:sz="0" w:space="0" w:color="auto"/>
                    <w:left w:val="none" w:sz="0" w:space="0" w:color="auto"/>
                    <w:bottom w:val="none" w:sz="0" w:space="0" w:color="auto"/>
                    <w:right w:val="none" w:sz="0" w:space="0" w:color="auto"/>
                  </w:divBdr>
                </w:div>
              </w:divsChild>
            </w:div>
            <w:div w:id="112988833">
              <w:marLeft w:val="0"/>
              <w:marRight w:val="0"/>
              <w:marTop w:val="0"/>
              <w:marBottom w:val="0"/>
              <w:divBdr>
                <w:top w:val="none" w:sz="0" w:space="0" w:color="auto"/>
                <w:left w:val="none" w:sz="0" w:space="0" w:color="auto"/>
                <w:bottom w:val="none" w:sz="0" w:space="0" w:color="auto"/>
                <w:right w:val="none" w:sz="0" w:space="0" w:color="auto"/>
              </w:divBdr>
            </w:div>
            <w:div w:id="993608633">
              <w:marLeft w:val="0"/>
              <w:marRight w:val="0"/>
              <w:marTop w:val="240"/>
              <w:marBottom w:val="0"/>
              <w:divBdr>
                <w:top w:val="none" w:sz="0" w:space="0" w:color="auto"/>
                <w:left w:val="none" w:sz="0" w:space="0" w:color="auto"/>
                <w:bottom w:val="none" w:sz="0" w:space="0" w:color="auto"/>
                <w:right w:val="none" w:sz="0" w:space="0" w:color="auto"/>
              </w:divBdr>
              <w:divsChild>
                <w:div w:id="551117319">
                  <w:marLeft w:val="0"/>
                  <w:marRight w:val="0"/>
                  <w:marTop w:val="0"/>
                  <w:marBottom w:val="0"/>
                  <w:divBdr>
                    <w:top w:val="none" w:sz="0" w:space="0" w:color="auto"/>
                    <w:left w:val="none" w:sz="0" w:space="0" w:color="auto"/>
                    <w:bottom w:val="none" w:sz="0" w:space="0" w:color="auto"/>
                    <w:right w:val="none" w:sz="0" w:space="0" w:color="auto"/>
                  </w:divBdr>
                </w:div>
              </w:divsChild>
            </w:div>
            <w:div w:id="1393580054">
              <w:marLeft w:val="0"/>
              <w:marRight w:val="0"/>
              <w:marTop w:val="240"/>
              <w:marBottom w:val="0"/>
              <w:divBdr>
                <w:top w:val="none" w:sz="0" w:space="0" w:color="auto"/>
                <w:left w:val="none" w:sz="0" w:space="0" w:color="auto"/>
                <w:bottom w:val="none" w:sz="0" w:space="0" w:color="auto"/>
                <w:right w:val="none" w:sz="0" w:space="0" w:color="auto"/>
              </w:divBdr>
              <w:divsChild>
                <w:div w:id="1106467215">
                  <w:marLeft w:val="0"/>
                  <w:marRight w:val="0"/>
                  <w:marTop w:val="0"/>
                  <w:marBottom w:val="0"/>
                  <w:divBdr>
                    <w:top w:val="none" w:sz="0" w:space="0" w:color="auto"/>
                    <w:left w:val="none" w:sz="0" w:space="0" w:color="auto"/>
                    <w:bottom w:val="none" w:sz="0" w:space="0" w:color="auto"/>
                    <w:right w:val="none" w:sz="0" w:space="0" w:color="auto"/>
                  </w:divBdr>
                </w:div>
              </w:divsChild>
            </w:div>
            <w:div w:id="1501311784">
              <w:marLeft w:val="0"/>
              <w:marRight w:val="0"/>
              <w:marTop w:val="240"/>
              <w:marBottom w:val="0"/>
              <w:divBdr>
                <w:top w:val="none" w:sz="0" w:space="0" w:color="auto"/>
                <w:left w:val="none" w:sz="0" w:space="0" w:color="auto"/>
                <w:bottom w:val="none" w:sz="0" w:space="0" w:color="auto"/>
                <w:right w:val="none" w:sz="0" w:space="0" w:color="auto"/>
              </w:divBdr>
            </w:div>
            <w:div w:id="1754012906">
              <w:marLeft w:val="0"/>
              <w:marRight w:val="0"/>
              <w:marTop w:val="240"/>
              <w:marBottom w:val="0"/>
              <w:divBdr>
                <w:top w:val="none" w:sz="0" w:space="0" w:color="auto"/>
                <w:left w:val="none" w:sz="0" w:space="0" w:color="auto"/>
                <w:bottom w:val="none" w:sz="0" w:space="0" w:color="auto"/>
                <w:right w:val="none" w:sz="0" w:space="0" w:color="auto"/>
              </w:divBdr>
              <w:divsChild>
                <w:div w:id="957446282">
                  <w:marLeft w:val="0"/>
                  <w:marRight w:val="0"/>
                  <w:marTop w:val="0"/>
                  <w:marBottom w:val="0"/>
                  <w:divBdr>
                    <w:top w:val="none" w:sz="0" w:space="0" w:color="auto"/>
                    <w:left w:val="none" w:sz="0" w:space="0" w:color="auto"/>
                    <w:bottom w:val="none" w:sz="0" w:space="0" w:color="auto"/>
                    <w:right w:val="none" w:sz="0" w:space="0" w:color="auto"/>
                  </w:divBdr>
                </w:div>
              </w:divsChild>
            </w:div>
            <w:div w:id="2025089100">
              <w:marLeft w:val="0"/>
              <w:marRight w:val="0"/>
              <w:marTop w:val="240"/>
              <w:marBottom w:val="0"/>
              <w:divBdr>
                <w:top w:val="none" w:sz="0" w:space="0" w:color="auto"/>
                <w:left w:val="none" w:sz="0" w:space="0" w:color="auto"/>
                <w:bottom w:val="none" w:sz="0" w:space="0" w:color="auto"/>
                <w:right w:val="none" w:sz="0" w:space="0" w:color="auto"/>
              </w:divBdr>
              <w:divsChild>
                <w:div w:id="1030227488">
                  <w:marLeft w:val="0"/>
                  <w:marRight w:val="0"/>
                  <w:marTop w:val="0"/>
                  <w:marBottom w:val="0"/>
                  <w:divBdr>
                    <w:top w:val="none" w:sz="0" w:space="0" w:color="auto"/>
                    <w:left w:val="none" w:sz="0" w:space="0" w:color="auto"/>
                    <w:bottom w:val="none" w:sz="0" w:space="0" w:color="auto"/>
                    <w:right w:val="none" w:sz="0" w:space="0" w:color="auto"/>
                  </w:divBdr>
                </w:div>
              </w:divsChild>
            </w:div>
            <w:div w:id="2064329975">
              <w:marLeft w:val="0"/>
              <w:marRight w:val="0"/>
              <w:marTop w:val="240"/>
              <w:marBottom w:val="0"/>
              <w:divBdr>
                <w:top w:val="none" w:sz="0" w:space="0" w:color="auto"/>
                <w:left w:val="none" w:sz="0" w:space="0" w:color="auto"/>
                <w:bottom w:val="none" w:sz="0" w:space="0" w:color="auto"/>
                <w:right w:val="none" w:sz="0" w:space="0" w:color="auto"/>
              </w:divBdr>
              <w:divsChild>
                <w:div w:id="1334070380">
                  <w:marLeft w:val="0"/>
                  <w:marRight w:val="0"/>
                  <w:marTop w:val="0"/>
                  <w:marBottom w:val="0"/>
                  <w:divBdr>
                    <w:top w:val="none" w:sz="0" w:space="0" w:color="auto"/>
                    <w:left w:val="none" w:sz="0" w:space="0" w:color="auto"/>
                    <w:bottom w:val="none" w:sz="0" w:space="0" w:color="auto"/>
                    <w:right w:val="none" w:sz="0" w:space="0" w:color="auto"/>
                  </w:divBdr>
                </w:div>
              </w:divsChild>
            </w:div>
            <w:div w:id="2084836681">
              <w:marLeft w:val="0"/>
              <w:marRight w:val="0"/>
              <w:marTop w:val="240"/>
              <w:marBottom w:val="0"/>
              <w:divBdr>
                <w:top w:val="none" w:sz="0" w:space="0" w:color="auto"/>
                <w:left w:val="none" w:sz="0" w:space="0" w:color="auto"/>
                <w:bottom w:val="none" w:sz="0" w:space="0" w:color="auto"/>
                <w:right w:val="none" w:sz="0" w:space="0" w:color="auto"/>
              </w:divBdr>
              <w:divsChild>
                <w:div w:id="12802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96541">
          <w:marLeft w:val="0"/>
          <w:marRight w:val="0"/>
          <w:marTop w:val="240"/>
          <w:marBottom w:val="0"/>
          <w:divBdr>
            <w:top w:val="none" w:sz="0" w:space="0" w:color="auto"/>
            <w:left w:val="none" w:sz="0" w:space="0" w:color="auto"/>
            <w:bottom w:val="none" w:sz="0" w:space="0" w:color="auto"/>
            <w:right w:val="none" w:sz="0" w:space="0" w:color="auto"/>
          </w:divBdr>
          <w:divsChild>
            <w:div w:id="1888831218">
              <w:marLeft w:val="0"/>
              <w:marRight w:val="0"/>
              <w:marTop w:val="0"/>
              <w:marBottom w:val="0"/>
              <w:divBdr>
                <w:top w:val="none" w:sz="0" w:space="0" w:color="auto"/>
                <w:left w:val="none" w:sz="0" w:space="0" w:color="auto"/>
                <w:bottom w:val="none" w:sz="0" w:space="0" w:color="auto"/>
                <w:right w:val="none" w:sz="0" w:space="0" w:color="auto"/>
              </w:divBdr>
            </w:div>
          </w:divsChild>
        </w:div>
        <w:div w:id="2090152176">
          <w:marLeft w:val="0"/>
          <w:marRight w:val="0"/>
          <w:marTop w:val="0"/>
          <w:marBottom w:val="0"/>
          <w:divBdr>
            <w:top w:val="none" w:sz="0" w:space="0" w:color="auto"/>
            <w:left w:val="none" w:sz="0" w:space="0" w:color="auto"/>
            <w:bottom w:val="none" w:sz="0" w:space="0" w:color="auto"/>
            <w:right w:val="none" w:sz="0" w:space="0" w:color="auto"/>
          </w:divBdr>
        </w:div>
      </w:divsChild>
    </w:div>
    <w:div w:id="639384374">
      <w:bodyDiv w:val="1"/>
      <w:marLeft w:val="0"/>
      <w:marRight w:val="0"/>
      <w:marTop w:val="0"/>
      <w:marBottom w:val="0"/>
      <w:divBdr>
        <w:top w:val="none" w:sz="0" w:space="0" w:color="auto"/>
        <w:left w:val="none" w:sz="0" w:space="0" w:color="auto"/>
        <w:bottom w:val="none" w:sz="0" w:space="0" w:color="auto"/>
        <w:right w:val="none" w:sz="0" w:space="0" w:color="auto"/>
      </w:divBdr>
      <w:divsChild>
        <w:div w:id="466776303">
          <w:marLeft w:val="0"/>
          <w:marRight w:val="0"/>
          <w:marTop w:val="0"/>
          <w:marBottom w:val="0"/>
          <w:divBdr>
            <w:top w:val="none" w:sz="0" w:space="0" w:color="auto"/>
            <w:left w:val="single" w:sz="6" w:space="0" w:color="BBBBBB"/>
            <w:bottom w:val="single" w:sz="6" w:space="0" w:color="BBBBBB"/>
            <w:right w:val="single" w:sz="6" w:space="0" w:color="BBBBBB"/>
          </w:divBdr>
          <w:divsChild>
            <w:div w:id="162279762">
              <w:marLeft w:val="0"/>
              <w:marRight w:val="0"/>
              <w:marTop w:val="0"/>
              <w:marBottom w:val="0"/>
              <w:divBdr>
                <w:top w:val="none" w:sz="0" w:space="0" w:color="auto"/>
                <w:left w:val="none" w:sz="0" w:space="0" w:color="auto"/>
                <w:bottom w:val="none" w:sz="0" w:space="0" w:color="auto"/>
                <w:right w:val="none" w:sz="0" w:space="0" w:color="auto"/>
              </w:divBdr>
              <w:divsChild>
                <w:div w:id="1648825229">
                  <w:marLeft w:val="0"/>
                  <w:marRight w:val="0"/>
                  <w:marTop w:val="75"/>
                  <w:marBottom w:val="0"/>
                  <w:divBdr>
                    <w:top w:val="none" w:sz="0" w:space="0" w:color="auto"/>
                    <w:left w:val="none" w:sz="0" w:space="0" w:color="auto"/>
                    <w:bottom w:val="none" w:sz="0" w:space="0" w:color="auto"/>
                    <w:right w:val="none" w:sz="0" w:space="0" w:color="auto"/>
                  </w:divBdr>
                  <w:divsChild>
                    <w:div w:id="298612767">
                      <w:marLeft w:val="0"/>
                      <w:marRight w:val="0"/>
                      <w:marTop w:val="0"/>
                      <w:marBottom w:val="0"/>
                      <w:divBdr>
                        <w:top w:val="none" w:sz="0" w:space="0" w:color="auto"/>
                        <w:left w:val="none" w:sz="0" w:space="0" w:color="auto"/>
                        <w:bottom w:val="none" w:sz="0" w:space="0" w:color="auto"/>
                        <w:right w:val="none" w:sz="0" w:space="0" w:color="auto"/>
                      </w:divBdr>
                      <w:divsChild>
                        <w:div w:id="1519274053">
                          <w:marLeft w:val="0"/>
                          <w:marRight w:val="0"/>
                          <w:marTop w:val="0"/>
                          <w:marBottom w:val="0"/>
                          <w:divBdr>
                            <w:top w:val="none" w:sz="0" w:space="0" w:color="auto"/>
                            <w:left w:val="none" w:sz="0" w:space="0" w:color="auto"/>
                            <w:bottom w:val="none" w:sz="0" w:space="0" w:color="auto"/>
                            <w:right w:val="none" w:sz="0" w:space="0" w:color="auto"/>
                          </w:divBdr>
                          <w:divsChild>
                            <w:div w:id="44111806">
                              <w:marLeft w:val="0"/>
                              <w:marRight w:val="0"/>
                              <w:marTop w:val="0"/>
                              <w:marBottom w:val="0"/>
                              <w:divBdr>
                                <w:top w:val="none" w:sz="0" w:space="0" w:color="auto"/>
                                <w:left w:val="none" w:sz="0" w:space="0" w:color="auto"/>
                                <w:bottom w:val="none" w:sz="0" w:space="0" w:color="auto"/>
                                <w:right w:val="none" w:sz="0" w:space="0" w:color="auto"/>
                              </w:divBdr>
                              <w:divsChild>
                                <w:div w:id="1486511204">
                                  <w:marLeft w:val="0"/>
                                  <w:marRight w:val="0"/>
                                  <w:marTop w:val="0"/>
                                  <w:marBottom w:val="0"/>
                                  <w:divBdr>
                                    <w:top w:val="none" w:sz="0" w:space="0" w:color="auto"/>
                                    <w:left w:val="none" w:sz="0" w:space="0" w:color="auto"/>
                                    <w:bottom w:val="none" w:sz="0" w:space="0" w:color="auto"/>
                                    <w:right w:val="none" w:sz="0" w:space="0" w:color="auto"/>
                                  </w:divBdr>
                                  <w:divsChild>
                                    <w:div w:id="1941838201">
                                      <w:marLeft w:val="0"/>
                                      <w:marRight w:val="0"/>
                                      <w:marTop w:val="0"/>
                                      <w:marBottom w:val="0"/>
                                      <w:divBdr>
                                        <w:top w:val="none" w:sz="0" w:space="0" w:color="auto"/>
                                        <w:left w:val="none" w:sz="0" w:space="0" w:color="auto"/>
                                        <w:bottom w:val="none" w:sz="0" w:space="0" w:color="auto"/>
                                        <w:right w:val="none" w:sz="0" w:space="0" w:color="auto"/>
                                      </w:divBdr>
                                      <w:divsChild>
                                        <w:div w:id="895626516">
                                          <w:marLeft w:val="1200"/>
                                          <w:marRight w:val="1200"/>
                                          <w:marTop w:val="0"/>
                                          <w:marBottom w:val="0"/>
                                          <w:divBdr>
                                            <w:top w:val="none" w:sz="0" w:space="0" w:color="auto"/>
                                            <w:left w:val="none" w:sz="0" w:space="0" w:color="auto"/>
                                            <w:bottom w:val="none" w:sz="0" w:space="0" w:color="auto"/>
                                            <w:right w:val="none" w:sz="0" w:space="0" w:color="auto"/>
                                          </w:divBdr>
                                          <w:divsChild>
                                            <w:div w:id="943725918">
                                              <w:marLeft w:val="0"/>
                                              <w:marRight w:val="0"/>
                                              <w:marTop w:val="0"/>
                                              <w:marBottom w:val="0"/>
                                              <w:divBdr>
                                                <w:top w:val="none" w:sz="0" w:space="0" w:color="auto"/>
                                                <w:left w:val="none" w:sz="0" w:space="0" w:color="auto"/>
                                                <w:bottom w:val="none" w:sz="0" w:space="0" w:color="auto"/>
                                                <w:right w:val="none" w:sz="0" w:space="0" w:color="auto"/>
                                              </w:divBdr>
                                              <w:divsChild>
                                                <w:div w:id="1799033945">
                                                  <w:marLeft w:val="0"/>
                                                  <w:marRight w:val="0"/>
                                                  <w:marTop w:val="0"/>
                                                  <w:marBottom w:val="0"/>
                                                  <w:divBdr>
                                                    <w:top w:val="none" w:sz="0" w:space="0" w:color="auto"/>
                                                    <w:left w:val="none" w:sz="0" w:space="0" w:color="auto"/>
                                                    <w:bottom w:val="none" w:sz="0" w:space="0" w:color="auto"/>
                                                    <w:right w:val="none" w:sz="0" w:space="0" w:color="auto"/>
                                                  </w:divBdr>
                                                  <w:divsChild>
                                                    <w:div w:id="64228132">
                                                      <w:marLeft w:val="0"/>
                                                      <w:marRight w:val="0"/>
                                                      <w:marTop w:val="0"/>
                                                      <w:marBottom w:val="0"/>
                                                      <w:divBdr>
                                                        <w:top w:val="none" w:sz="0" w:space="0" w:color="auto"/>
                                                        <w:left w:val="none" w:sz="0" w:space="0" w:color="auto"/>
                                                        <w:bottom w:val="none" w:sz="0" w:space="0" w:color="auto"/>
                                                        <w:right w:val="none" w:sz="0" w:space="0" w:color="auto"/>
                                                      </w:divBdr>
                                                      <w:divsChild>
                                                        <w:div w:id="782505118">
                                                          <w:marLeft w:val="0"/>
                                                          <w:marRight w:val="0"/>
                                                          <w:marTop w:val="0"/>
                                                          <w:marBottom w:val="0"/>
                                                          <w:divBdr>
                                                            <w:top w:val="none" w:sz="0" w:space="0" w:color="auto"/>
                                                            <w:left w:val="none" w:sz="0" w:space="0" w:color="auto"/>
                                                            <w:bottom w:val="none" w:sz="0" w:space="0" w:color="auto"/>
                                                            <w:right w:val="none" w:sz="0" w:space="0" w:color="auto"/>
                                                          </w:divBdr>
                                                          <w:divsChild>
                                                            <w:div w:id="846480753">
                                                              <w:marLeft w:val="0"/>
                                                              <w:marRight w:val="0"/>
                                                              <w:marTop w:val="0"/>
                                                              <w:marBottom w:val="0"/>
                                                              <w:divBdr>
                                                                <w:top w:val="none" w:sz="0" w:space="0" w:color="auto"/>
                                                                <w:left w:val="none" w:sz="0" w:space="0" w:color="auto"/>
                                                                <w:bottom w:val="none" w:sz="0" w:space="0" w:color="auto"/>
                                                                <w:right w:val="none" w:sz="0" w:space="0" w:color="auto"/>
                                                              </w:divBdr>
                                                              <w:divsChild>
                                                                <w:div w:id="2039700805">
                                                                  <w:marLeft w:val="0"/>
                                                                  <w:marRight w:val="0"/>
                                                                  <w:marTop w:val="0"/>
                                                                  <w:marBottom w:val="0"/>
                                                                  <w:divBdr>
                                                                    <w:top w:val="none" w:sz="0" w:space="0" w:color="auto"/>
                                                                    <w:left w:val="none" w:sz="0" w:space="0" w:color="auto"/>
                                                                    <w:bottom w:val="none" w:sz="0" w:space="0" w:color="auto"/>
                                                                    <w:right w:val="none" w:sz="0" w:space="0" w:color="auto"/>
                                                                  </w:divBdr>
                                                                  <w:divsChild>
                                                                    <w:div w:id="183789407">
                                                                      <w:marLeft w:val="0"/>
                                                                      <w:marRight w:val="0"/>
                                                                      <w:marTop w:val="0"/>
                                                                      <w:marBottom w:val="0"/>
                                                                      <w:divBdr>
                                                                        <w:top w:val="none" w:sz="0" w:space="0" w:color="auto"/>
                                                                        <w:left w:val="none" w:sz="0" w:space="0" w:color="auto"/>
                                                                        <w:bottom w:val="none" w:sz="0" w:space="0" w:color="auto"/>
                                                                        <w:right w:val="none" w:sz="0" w:space="0" w:color="auto"/>
                                                                      </w:divBdr>
                                                                      <w:divsChild>
                                                                        <w:div w:id="465240144">
                                                                          <w:marLeft w:val="0"/>
                                                                          <w:marRight w:val="0"/>
                                                                          <w:marTop w:val="0"/>
                                                                          <w:marBottom w:val="0"/>
                                                                          <w:divBdr>
                                                                            <w:top w:val="none" w:sz="0" w:space="0" w:color="auto"/>
                                                                            <w:left w:val="none" w:sz="0" w:space="0" w:color="auto"/>
                                                                            <w:bottom w:val="none" w:sz="0" w:space="0" w:color="auto"/>
                                                                            <w:right w:val="none" w:sz="0" w:space="0" w:color="auto"/>
                                                                          </w:divBdr>
                                                                        </w:div>
                                                                      </w:divsChild>
                                                                    </w:div>
                                                                    <w:div w:id="808090394">
                                                                      <w:marLeft w:val="0"/>
                                                                      <w:marRight w:val="0"/>
                                                                      <w:marTop w:val="0"/>
                                                                      <w:marBottom w:val="0"/>
                                                                      <w:divBdr>
                                                                        <w:top w:val="none" w:sz="0" w:space="0" w:color="auto"/>
                                                                        <w:left w:val="none" w:sz="0" w:space="0" w:color="auto"/>
                                                                        <w:bottom w:val="none" w:sz="0" w:space="0" w:color="auto"/>
                                                                        <w:right w:val="none" w:sz="0" w:space="0" w:color="auto"/>
                                                                      </w:divBdr>
                                                                      <w:divsChild>
                                                                        <w:div w:id="1493638354">
                                                                          <w:marLeft w:val="0"/>
                                                                          <w:marRight w:val="0"/>
                                                                          <w:marTop w:val="0"/>
                                                                          <w:marBottom w:val="0"/>
                                                                          <w:divBdr>
                                                                            <w:top w:val="none" w:sz="0" w:space="0" w:color="auto"/>
                                                                            <w:left w:val="none" w:sz="0" w:space="0" w:color="auto"/>
                                                                            <w:bottom w:val="none" w:sz="0" w:space="0" w:color="auto"/>
                                                                            <w:right w:val="none" w:sz="0" w:space="0" w:color="auto"/>
                                                                          </w:divBdr>
                                                                        </w:div>
                                                                      </w:divsChild>
                                                                    </w:div>
                                                                    <w:div w:id="1143813753">
                                                                      <w:marLeft w:val="0"/>
                                                                      <w:marRight w:val="0"/>
                                                                      <w:marTop w:val="0"/>
                                                                      <w:marBottom w:val="0"/>
                                                                      <w:divBdr>
                                                                        <w:top w:val="none" w:sz="0" w:space="0" w:color="auto"/>
                                                                        <w:left w:val="none" w:sz="0" w:space="0" w:color="auto"/>
                                                                        <w:bottom w:val="none" w:sz="0" w:space="0" w:color="auto"/>
                                                                        <w:right w:val="none" w:sz="0" w:space="0" w:color="auto"/>
                                                                      </w:divBdr>
                                                                      <w:divsChild>
                                                                        <w:div w:id="1246841823">
                                                                          <w:marLeft w:val="0"/>
                                                                          <w:marRight w:val="0"/>
                                                                          <w:marTop w:val="0"/>
                                                                          <w:marBottom w:val="0"/>
                                                                          <w:divBdr>
                                                                            <w:top w:val="none" w:sz="0" w:space="0" w:color="auto"/>
                                                                            <w:left w:val="none" w:sz="0" w:space="0" w:color="auto"/>
                                                                            <w:bottom w:val="none" w:sz="0" w:space="0" w:color="auto"/>
                                                                            <w:right w:val="none" w:sz="0" w:space="0" w:color="auto"/>
                                                                          </w:divBdr>
                                                                        </w:div>
                                                                      </w:divsChild>
                                                                    </w:div>
                                                                    <w:div w:id="1184981382">
                                                                      <w:marLeft w:val="0"/>
                                                                      <w:marRight w:val="0"/>
                                                                      <w:marTop w:val="0"/>
                                                                      <w:marBottom w:val="0"/>
                                                                      <w:divBdr>
                                                                        <w:top w:val="none" w:sz="0" w:space="0" w:color="auto"/>
                                                                        <w:left w:val="none" w:sz="0" w:space="0" w:color="auto"/>
                                                                        <w:bottom w:val="none" w:sz="0" w:space="0" w:color="auto"/>
                                                                        <w:right w:val="none" w:sz="0" w:space="0" w:color="auto"/>
                                                                      </w:divBdr>
                                                                      <w:divsChild>
                                                                        <w:div w:id="132783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1539466">
      <w:bodyDiv w:val="1"/>
      <w:marLeft w:val="0"/>
      <w:marRight w:val="0"/>
      <w:marTop w:val="0"/>
      <w:marBottom w:val="0"/>
      <w:divBdr>
        <w:top w:val="none" w:sz="0" w:space="0" w:color="auto"/>
        <w:left w:val="none" w:sz="0" w:space="0" w:color="auto"/>
        <w:bottom w:val="none" w:sz="0" w:space="0" w:color="auto"/>
        <w:right w:val="none" w:sz="0" w:space="0" w:color="auto"/>
      </w:divBdr>
      <w:divsChild>
        <w:div w:id="1697073999">
          <w:marLeft w:val="0"/>
          <w:marRight w:val="0"/>
          <w:marTop w:val="240"/>
          <w:marBottom w:val="0"/>
          <w:divBdr>
            <w:top w:val="none" w:sz="0" w:space="0" w:color="auto"/>
            <w:left w:val="none" w:sz="0" w:space="0" w:color="auto"/>
            <w:bottom w:val="none" w:sz="0" w:space="0" w:color="auto"/>
            <w:right w:val="none" w:sz="0" w:space="0" w:color="auto"/>
          </w:divBdr>
          <w:divsChild>
            <w:div w:id="719672452">
              <w:marLeft w:val="0"/>
              <w:marRight w:val="0"/>
              <w:marTop w:val="0"/>
              <w:marBottom w:val="0"/>
              <w:divBdr>
                <w:top w:val="none" w:sz="0" w:space="0" w:color="auto"/>
                <w:left w:val="none" w:sz="0" w:space="0" w:color="auto"/>
                <w:bottom w:val="none" w:sz="0" w:space="0" w:color="auto"/>
                <w:right w:val="none" w:sz="0" w:space="0" w:color="auto"/>
              </w:divBdr>
            </w:div>
          </w:divsChild>
        </w:div>
        <w:div w:id="1831167458">
          <w:marLeft w:val="0"/>
          <w:marRight w:val="0"/>
          <w:marTop w:val="240"/>
          <w:marBottom w:val="0"/>
          <w:divBdr>
            <w:top w:val="none" w:sz="0" w:space="0" w:color="auto"/>
            <w:left w:val="none" w:sz="0" w:space="0" w:color="auto"/>
            <w:bottom w:val="none" w:sz="0" w:space="0" w:color="auto"/>
            <w:right w:val="none" w:sz="0" w:space="0" w:color="auto"/>
          </w:divBdr>
          <w:divsChild>
            <w:div w:id="21134361">
              <w:marLeft w:val="0"/>
              <w:marRight w:val="0"/>
              <w:marTop w:val="0"/>
              <w:marBottom w:val="0"/>
              <w:divBdr>
                <w:top w:val="none" w:sz="0" w:space="0" w:color="auto"/>
                <w:left w:val="none" w:sz="0" w:space="0" w:color="auto"/>
                <w:bottom w:val="none" w:sz="0" w:space="0" w:color="auto"/>
                <w:right w:val="none" w:sz="0" w:space="0" w:color="auto"/>
              </w:divBdr>
            </w:div>
          </w:divsChild>
        </w:div>
        <w:div w:id="1968314206">
          <w:marLeft w:val="0"/>
          <w:marRight w:val="0"/>
          <w:marTop w:val="240"/>
          <w:marBottom w:val="0"/>
          <w:divBdr>
            <w:top w:val="none" w:sz="0" w:space="0" w:color="auto"/>
            <w:left w:val="none" w:sz="0" w:space="0" w:color="auto"/>
            <w:bottom w:val="none" w:sz="0" w:space="0" w:color="auto"/>
            <w:right w:val="none" w:sz="0" w:space="0" w:color="auto"/>
          </w:divBdr>
          <w:divsChild>
            <w:div w:id="1206061563">
              <w:marLeft w:val="0"/>
              <w:marRight w:val="0"/>
              <w:marTop w:val="240"/>
              <w:marBottom w:val="0"/>
              <w:divBdr>
                <w:top w:val="none" w:sz="0" w:space="0" w:color="auto"/>
                <w:left w:val="none" w:sz="0" w:space="0" w:color="auto"/>
                <w:bottom w:val="none" w:sz="0" w:space="0" w:color="auto"/>
                <w:right w:val="none" w:sz="0" w:space="0" w:color="auto"/>
              </w:divBdr>
              <w:divsChild>
                <w:div w:id="1698894587">
                  <w:marLeft w:val="0"/>
                  <w:marRight w:val="0"/>
                  <w:marTop w:val="0"/>
                  <w:marBottom w:val="0"/>
                  <w:divBdr>
                    <w:top w:val="none" w:sz="0" w:space="0" w:color="auto"/>
                    <w:left w:val="none" w:sz="0" w:space="0" w:color="auto"/>
                    <w:bottom w:val="none" w:sz="0" w:space="0" w:color="auto"/>
                    <w:right w:val="none" w:sz="0" w:space="0" w:color="auto"/>
                  </w:divBdr>
                  <w:divsChild>
                    <w:div w:id="822821401">
                      <w:blockQuote w:val="1"/>
                      <w:marLeft w:val="0"/>
                      <w:marRight w:val="0"/>
                      <w:marTop w:val="0"/>
                      <w:marBottom w:val="0"/>
                      <w:divBdr>
                        <w:top w:val="none" w:sz="0" w:space="0" w:color="auto"/>
                        <w:left w:val="none" w:sz="0" w:space="0" w:color="auto"/>
                        <w:bottom w:val="none" w:sz="0" w:space="0" w:color="auto"/>
                        <w:right w:val="none" w:sz="0" w:space="0" w:color="auto"/>
                      </w:divBdr>
                      <w:divsChild>
                        <w:div w:id="182677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59542">
              <w:marLeft w:val="0"/>
              <w:marRight w:val="0"/>
              <w:marTop w:val="240"/>
              <w:marBottom w:val="0"/>
              <w:divBdr>
                <w:top w:val="none" w:sz="0" w:space="0" w:color="auto"/>
                <w:left w:val="none" w:sz="0" w:space="0" w:color="auto"/>
                <w:bottom w:val="none" w:sz="0" w:space="0" w:color="auto"/>
                <w:right w:val="none" w:sz="0" w:space="0" w:color="auto"/>
              </w:divBdr>
            </w:div>
            <w:div w:id="207573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3592">
      <w:bodyDiv w:val="1"/>
      <w:marLeft w:val="0"/>
      <w:marRight w:val="0"/>
      <w:marTop w:val="0"/>
      <w:marBottom w:val="0"/>
      <w:divBdr>
        <w:top w:val="none" w:sz="0" w:space="0" w:color="auto"/>
        <w:left w:val="none" w:sz="0" w:space="0" w:color="auto"/>
        <w:bottom w:val="none" w:sz="0" w:space="0" w:color="auto"/>
        <w:right w:val="none" w:sz="0" w:space="0" w:color="auto"/>
      </w:divBdr>
    </w:div>
    <w:div w:id="646202087">
      <w:bodyDiv w:val="1"/>
      <w:marLeft w:val="0"/>
      <w:marRight w:val="0"/>
      <w:marTop w:val="0"/>
      <w:marBottom w:val="0"/>
      <w:divBdr>
        <w:top w:val="none" w:sz="0" w:space="0" w:color="auto"/>
        <w:left w:val="none" w:sz="0" w:space="0" w:color="auto"/>
        <w:bottom w:val="none" w:sz="0" w:space="0" w:color="auto"/>
        <w:right w:val="none" w:sz="0" w:space="0" w:color="auto"/>
      </w:divBdr>
      <w:divsChild>
        <w:div w:id="801507543">
          <w:marLeft w:val="0"/>
          <w:marRight w:val="0"/>
          <w:marTop w:val="0"/>
          <w:marBottom w:val="0"/>
          <w:divBdr>
            <w:top w:val="none" w:sz="0" w:space="0" w:color="auto"/>
            <w:left w:val="single" w:sz="6" w:space="0" w:color="BBBBBB"/>
            <w:bottom w:val="single" w:sz="6" w:space="0" w:color="BBBBBB"/>
            <w:right w:val="single" w:sz="6" w:space="0" w:color="BBBBBB"/>
          </w:divBdr>
          <w:divsChild>
            <w:div w:id="717554099">
              <w:marLeft w:val="0"/>
              <w:marRight w:val="0"/>
              <w:marTop w:val="0"/>
              <w:marBottom w:val="0"/>
              <w:divBdr>
                <w:top w:val="none" w:sz="0" w:space="0" w:color="auto"/>
                <w:left w:val="none" w:sz="0" w:space="0" w:color="auto"/>
                <w:bottom w:val="none" w:sz="0" w:space="0" w:color="auto"/>
                <w:right w:val="none" w:sz="0" w:space="0" w:color="auto"/>
              </w:divBdr>
              <w:divsChild>
                <w:div w:id="1755398953">
                  <w:marLeft w:val="0"/>
                  <w:marRight w:val="0"/>
                  <w:marTop w:val="75"/>
                  <w:marBottom w:val="0"/>
                  <w:divBdr>
                    <w:top w:val="none" w:sz="0" w:space="0" w:color="auto"/>
                    <w:left w:val="none" w:sz="0" w:space="0" w:color="auto"/>
                    <w:bottom w:val="none" w:sz="0" w:space="0" w:color="auto"/>
                    <w:right w:val="none" w:sz="0" w:space="0" w:color="auto"/>
                  </w:divBdr>
                  <w:divsChild>
                    <w:div w:id="1251356224">
                      <w:marLeft w:val="0"/>
                      <w:marRight w:val="0"/>
                      <w:marTop w:val="0"/>
                      <w:marBottom w:val="0"/>
                      <w:divBdr>
                        <w:top w:val="none" w:sz="0" w:space="0" w:color="auto"/>
                        <w:left w:val="none" w:sz="0" w:space="0" w:color="auto"/>
                        <w:bottom w:val="none" w:sz="0" w:space="0" w:color="auto"/>
                        <w:right w:val="none" w:sz="0" w:space="0" w:color="auto"/>
                      </w:divBdr>
                      <w:divsChild>
                        <w:div w:id="1821848985">
                          <w:marLeft w:val="0"/>
                          <w:marRight w:val="0"/>
                          <w:marTop w:val="0"/>
                          <w:marBottom w:val="0"/>
                          <w:divBdr>
                            <w:top w:val="none" w:sz="0" w:space="0" w:color="auto"/>
                            <w:left w:val="none" w:sz="0" w:space="0" w:color="auto"/>
                            <w:bottom w:val="none" w:sz="0" w:space="0" w:color="auto"/>
                            <w:right w:val="none" w:sz="0" w:space="0" w:color="auto"/>
                          </w:divBdr>
                          <w:divsChild>
                            <w:div w:id="823354268">
                              <w:marLeft w:val="0"/>
                              <w:marRight w:val="0"/>
                              <w:marTop w:val="0"/>
                              <w:marBottom w:val="0"/>
                              <w:divBdr>
                                <w:top w:val="none" w:sz="0" w:space="0" w:color="auto"/>
                                <w:left w:val="none" w:sz="0" w:space="0" w:color="auto"/>
                                <w:bottom w:val="none" w:sz="0" w:space="0" w:color="auto"/>
                                <w:right w:val="none" w:sz="0" w:space="0" w:color="auto"/>
                              </w:divBdr>
                              <w:divsChild>
                                <w:div w:id="147981180">
                                  <w:marLeft w:val="0"/>
                                  <w:marRight w:val="0"/>
                                  <w:marTop w:val="0"/>
                                  <w:marBottom w:val="0"/>
                                  <w:divBdr>
                                    <w:top w:val="none" w:sz="0" w:space="0" w:color="auto"/>
                                    <w:left w:val="none" w:sz="0" w:space="0" w:color="auto"/>
                                    <w:bottom w:val="none" w:sz="0" w:space="0" w:color="auto"/>
                                    <w:right w:val="none" w:sz="0" w:space="0" w:color="auto"/>
                                  </w:divBdr>
                                  <w:divsChild>
                                    <w:div w:id="62216071">
                                      <w:marLeft w:val="0"/>
                                      <w:marRight w:val="0"/>
                                      <w:marTop w:val="0"/>
                                      <w:marBottom w:val="0"/>
                                      <w:divBdr>
                                        <w:top w:val="none" w:sz="0" w:space="0" w:color="auto"/>
                                        <w:left w:val="none" w:sz="0" w:space="0" w:color="auto"/>
                                        <w:bottom w:val="none" w:sz="0" w:space="0" w:color="auto"/>
                                        <w:right w:val="none" w:sz="0" w:space="0" w:color="auto"/>
                                      </w:divBdr>
                                      <w:divsChild>
                                        <w:div w:id="960528069">
                                          <w:marLeft w:val="1200"/>
                                          <w:marRight w:val="1200"/>
                                          <w:marTop w:val="0"/>
                                          <w:marBottom w:val="0"/>
                                          <w:divBdr>
                                            <w:top w:val="none" w:sz="0" w:space="0" w:color="auto"/>
                                            <w:left w:val="none" w:sz="0" w:space="0" w:color="auto"/>
                                            <w:bottom w:val="none" w:sz="0" w:space="0" w:color="auto"/>
                                            <w:right w:val="none" w:sz="0" w:space="0" w:color="auto"/>
                                          </w:divBdr>
                                          <w:divsChild>
                                            <w:div w:id="1505703648">
                                              <w:marLeft w:val="0"/>
                                              <w:marRight w:val="0"/>
                                              <w:marTop w:val="0"/>
                                              <w:marBottom w:val="0"/>
                                              <w:divBdr>
                                                <w:top w:val="none" w:sz="0" w:space="0" w:color="auto"/>
                                                <w:left w:val="none" w:sz="0" w:space="0" w:color="auto"/>
                                                <w:bottom w:val="none" w:sz="0" w:space="0" w:color="auto"/>
                                                <w:right w:val="none" w:sz="0" w:space="0" w:color="auto"/>
                                              </w:divBdr>
                                              <w:divsChild>
                                                <w:div w:id="147213967">
                                                  <w:marLeft w:val="0"/>
                                                  <w:marRight w:val="0"/>
                                                  <w:marTop w:val="0"/>
                                                  <w:marBottom w:val="0"/>
                                                  <w:divBdr>
                                                    <w:top w:val="none" w:sz="0" w:space="0" w:color="auto"/>
                                                    <w:left w:val="none" w:sz="0" w:space="0" w:color="auto"/>
                                                    <w:bottom w:val="none" w:sz="0" w:space="0" w:color="auto"/>
                                                    <w:right w:val="none" w:sz="0" w:space="0" w:color="auto"/>
                                                  </w:divBdr>
                                                  <w:divsChild>
                                                    <w:div w:id="1220094655">
                                                      <w:marLeft w:val="0"/>
                                                      <w:marRight w:val="0"/>
                                                      <w:marTop w:val="0"/>
                                                      <w:marBottom w:val="0"/>
                                                      <w:divBdr>
                                                        <w:top w:val="none" w:sz="0" w:space="0" w:color="auto"/>
                                                        <w:left w:val="none" w:sz="0" w:space="0" w:color="auto"/>
                                                        <w:bottom w:val="none" w:sz="0" w:space="0" w:color="auto"/>
                                                        <w:right w:val="none" w:sz="0" w:space="0" w:color="auto"/>
                                                      </w:divBdr>
                                                      <w:divsChild>
                                                        <w:div w:id="923496574">
                                                          <w:marLeft w:val="0"/>
                                                          <w:marRight w:val="0"/>
                                                          <w:marTop w:val="0"/>
                                                          <w:marBottom w:val="0"/>
                                                          <w:divBdr>
                                                            <w:top w:val="none" w:sz="0" w:space="0" w:color="auto"/>
                                                            <w:left w:val="none" w:sz="0" w:space="0" w:color="auto"/>
                                                            <w:bottom w:val="none" w:sz="0" w:space="0" w:color="auto"/>
                                                            <w:right w:val="none" w:sz="0" w:space="0" w:color="auto"/>
                                                          </w:divBdr>
                                                          <w:divsChild>
                                                            <w:div w:id="974987121">
                                                              <w:marLeft w:val="0"/>
                                                              <w:marRight w:val="0"/>
                                                              <w:marTop w:val="0"/>
                                                              <w:marBottom w:val="0"/>
                                                              <w:divBdr>
                                                                <w:top w:val="none" w:sz="0" w:space="0" w:color="auto"/>
                                                                <w:left w:val="none" w:sz="0" w:space="0" w:color="auto"/>
                                                                <w:bottom w:val="none" w:sz="0" w:space="0" w:color="auto"/>
                                                                <w:right w:val="none" w:sz="0" w:space="0" w:color="auto"/>
                                                              </w:divBdr>
                                                            </w:div>
                                                          </w:divsChild>
                                                        </w:div>
                                                        <w:div w:id="1223517369">
                                                          <w:marLeft w:val="0"/>
                                                          <w:marRight w:val="0"/>
                                                          <w:marTop w:val="0"/>
                                                          <w:marBottom w:val="0"/>
                                                          <w:divBdr>
                                                            <w:top w:val="none" w:sz="0" w:space="0" w:color="auto"/>
                                                            <w:left w:val="none" w:sz="0" w:space="0" w:color="auto"/>
                                                            <w:bottom w:val="none" w:sz="0" w:space="0" w:color="auto"/>
                                                            <w:right w:val="none" w:sz="0" w:space="0" w:color="auto"/>
                                                          </w:divBdr>
                                                        </w:div>
                                                        <w:div w:id="1987198268">
                                                          <w:marLeft w:val="0"/>
                                                          <w:marRight w:val="0"/>
                                                          <w:marTop w:val="0"/>
                                                          <w:marBottom w:val="0"/>
                                                          <w:divBdr>
                                                            <w:top w:val="none" w:sz="0" w:space="0" w:color="auto"/>
                                                            <w:left w:val="none" w:sz="0" w:space="0" w:color="auto"/>
                                                            <w:bottom w:val="none" w:sz="0" w:space="0" w:color="auto"/>
                                                            <w:right w:val="none" w:sz="0" w:space="0" w:color="auto"/>
                                                          </w:divBdr>
                                                          <w:divsChild>
                                                            <w:div w:id="87997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90538">
                                                      <w:marLeft w:val="0"/>
                                                      <w:marRight w:val="0"/>
                                                      <w:marTop w:val="0"/>
                                                      <w:marBottom w:val="0"/>
                                                      <w:divBdr>
                                                        <w:top w:val="none" w:sz="0" w:space="0" w:color="auto"/>
                                                        <w:left w:val="none" w:sz="0" w:space="0" w:color="auto"/>
                                                        <w:bottom w:val="none" w:sz="0" w:space="0" w:color="auto"/>
                                                        <w:right w:val="none" w:sz="0" w:space="0" w:color="auto"/>
                                                      </w:divBdr>
                                                      <w:divsChild>
                                                        <w:div w:id="1209998467">
                                                          <w:marLeft w:val="0"/>
                                                          <w:marRight w:val="0"/>
                                                          <w:marTop w:val="0"/>
                                                          <w:marBottom w:val="0"/>
                                                          <w:divBdr>
                                                            <w:top w:val="none" w:sz="0" w:space="0" w:color="auto"/>
                                                            <w:left w:val="none" w:sz="0" w:space="0" w:color="auto"/>
                                                            <w:bottom w:val="none" w:sz="0" w:space="0" w:color="auto"/>
                                                            <w:right w:val="none" w:sz="0" w:space="0" w:color="auto"/>
                                                          </w:divBdr>
                                                        </w:div>
                                                      </w:divsChild>
                                                    </w:div>
                                                    <w:div w:id="2063022443">
                                                      <w:marLeft w:val="0"/>
                                                      <w:marRight w:val="0"/>
                                                      <w:marTop w:val="0"/>
                                                      <w:marBottom w:val="0"/>
                                                      <w:divBdr>
                                                        <w:top w:val="none" w:sz="0" w:space="0" w:color="auto"/>
                                                        <w:left w:val="none" w:sz="0" w:space="0" w:color="auto"/>
                                                        <w:bottom w:val="none" w:sz="0" w:space="0" w:color="auto"/>
                                                        <w:right w:val="none" w:sz="0" w:space="0" w:color="auto"/>
                                                      </w:divBdr>
                                                      <w:divsChild>
                                                        <w:div w:id="1778452077">
                                                          <w:marLeft w:val="0"/>
                                                          <w:marRight w:val="0"/>
                                                          <w:marTop w:val="0"/>
                                                          <w:marBottom w:val="0"/>
                                                          <w:divBdr>
                                                            <w:top w:val="none" w:sz="0" w:space="0" w:color="auto"/>
                                                            <w:left w:val="none" w:sz="0" w:space="0" w:color="auto"/>
                                                            <w:bottom w:val="none" w:sz="0" w:space="0" w:color="auto"/>
                                                            <w:right w:val="none" w:sz="0" w:space="0" w:color="auto"/>
                                                          </w:divBdr>
                                                        </w:div>
                                                      </w:divsChild>
                                                    </w:div>
                                                    <w:div w:id="2079741089">
                                                      <w:marLeft w:val="0"/>
                                                      <w:marRight w:val="0"/>
                                                      <w:marTop w:val="0"/>
                                                      <w:marBottom w:val="0"/>
                                                      <w:divBdr>
                                                        <w:top w:val="none" w:sz="0" w:space="0" w:color="auto"/>
                                                        <w:left w:val="none" w:sz="0" w:space="0" w:color="auto"/>
                                                        <w:bottom w:val="none" w:sz="0" w:space="0" w:color="auto"/>
                                                        <w:right w:val="none" w:sz="0" w:space="0" w:color="auto"/>
                                                      </w:divBdr>
                                                      <w:divsChild>
                                                        <w:div w:id="12096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0251258">
      <w:bodyDiv w:val="1"/>
      <w:marLeft w:val="0"/>
      <w:marRight w:val="0"/>
      <w:marTop w:val="0"/>
      <w:marBottom w:val="0"/>
      <w:divBdr>
        <w:top w:val="none" w:sz="0" w:space="0" w:color="auto"/>
        <w:left w:val="none" w:sz="0" w:space="0" w:color="auto"/>
        <w:bottom w:val="none" w:sz="0" w:space="0" w:color="auto"/>
        <w:right w:val="none" w:sz="0" w:space="0" w:color="auto"/>
      </w:divBdr>
      <w:divsChild>
        <w:div w:id="2134056883">
          <w:marLeft w:val="0"/>
          <w:marRight w:val="0"/>
          <w:marTop w:val="0"/>
          <w:marBottom w:val="0"/>
          <w:divBdr>
            <w:top w:val="none" w:sz="0" w:space="0" w:color="auto"/>
            <w:left w:val="single" w:sz="6" w:space="0" w:color="BBBBBB"/>
            <w:bottom w:val="single" w:sz="6" w:space="0" w:color="BBBBBB"/>
            <w:right w:val="single" w:sz="6" w:space="0" w:color="BBBBBB"/>
          </w:divBdr>
          <w:divsChild>
            <w:div w:id="279609246">
              <w:marLeft w:val="0"/>
              <w:marRight w:val="0"/>
              <w:marTop w:val="0"/>
              <w:marBottom w:val="0"/>
              <w:divBdr>
                <w:top w:val="none" w:sz="0" w:space="0" w:color="auto"/>
                <w:left w:val="none" w:sz="0" w:space="0" w:color="auto"/>
                <w:bottom w:val="none" w:sz="0" w:space="0" w:color="auto"/>
                <w:right w:val="none" w:sz="0" w:space="0" w:color="auto"/>
              </w:divBdr>
              <w:divsChild>
                <w:div w:id="1442845140">
                  <w:marLeft w:val="0"/>
                  <w:marRight w:val="0"/>
                  <w:marTop w:val="75"/>
                  <w:marBottom w:val="0"/>
                  <w:divBdr>
                    <w:top w:val="none" w:sz="0" w:space="0" w:color="auto"/>
                    <w:left w:val="none" w:sz="0" w:space="0" w:color="auto"/>
                    <w:bottom w:val="none" w:sz="0" w:space="0" w:color="auto"/>
                    <w:right w:val="none" w:sz="0" w:space="0" w:color="auto"/>
                  </w:divBdr>
                  <w:divsChild>
                    <w:div w:id="1748763257">
                      <w:marLeft w:val="0"/>
                      <w:marRight w:val="0"/>
                      <w:marTop w:val="0"/>
                      <w:marBottom w:val="0"/>
                      <w:divBdr>
                        <w:top w:val="none" w:sz="0" w:space="0" w:color="auto"/>
                        <w:left w:val="none" w:sz="0" w:space="0" w:color="auto"/>
                        <w:bottom w:val="none" w:sz="0" w:space="0" w:color="auto"/>
                        <w:right w:val="none" w:sz="0" w:space="0" w:color="auto"/>
                      </w:divBdr>
                      <w:divsChild>
                        <w:div w:id="1542014066">
                          <w:marLeft w:val="0"/>
                          <w:marRight w:val="0"/>
                          <w:marTop w:val="0"/>
                          <w:marBottom w:val="0"/>
                          <w:divBdr>
                            <w:top w:val="none" w:sz="0" w:space="0" w:color="auto"/>
                            <w:left w:val="none" w:sz="0" w:space="0" w:color="auto"/>
                            <w:bottom w:val="none" w:sz="0" w:space="0" w:color="auto"/>
                            <w:right w:val="none" w:sz="0" w:space="0" w:color="auto"/>
                          </w:divBdr>
                          <w:divsChild>
                            <w:div w:id="307132033">
                              <w:marLeft w:val="0"/>
                              <w:marRight w:val="0"/>
                              <w:marTop w:val="0"/>
                              <w:marBottom w:val="0"/>
                              <w:divBdr>
                                <w:top w:val="none" w:sz="0" w:space="0" w:color="auto"/>
                                <w:left w:val="none" w:sz="0" w:space="0" w:color="auto"/>
                                <w:bottom w:val="none" w:sz="0" w:space="0" w:color="auto"/>
                                <w:right w:val="none" w:sz="0" w:space="0" w:color="auto"/>
                              </w:divBdr>
                              <w:divsChild>
                                <w:div w:id="116027584">
                                  <w:marLeft w:val="0"/>
                                  <w:marRight w:val="0"/>
                                  <w:marTop w:val="0"/>
                                  <w:marBottom w:val="0"/>
                                  <w:divBdr>
                                    <w:top w:val="none" w:sz="0" w:space="0" w:color="auto"/>
                                    <w:left w:val="none" w:sz="0" w:space="0" w:color="auto"/>
                                    <w:bottom w:val="none" w:sz="0" w:space="0" w:color="auto"/>
                                    <w:right w:val="none" w:sz="0" w:space="0" w:color="auto"/>
                                  </w:divBdr>
                                  <w:divsChild>
                                    <w:div w:id="2093626305">
                                      <w:marLeft w:val="0"/>
                                      <w:marRight w:val="0"/>
                                      <w:marTop w:val="0"/>
                                      <w:marBottom w:val="0"/>
                                      <w:divBdr>
                                        <w:top w:val="none" w:sz="0" w:space="0" w:color="auto"/>
                                        <w:left w:val="none" w:sz="0" w:space="0" w:color="auto"/>
                                        <w:bottom w:val="none" w:sz="0" w:space="0" w:color="auto"/>
                                        <w:right w:val="none" w:sz="0" w:space="0" w:color="auto"/>
                                      </w:divBdr>
                                      <w:divsChild>
                                        <w:div w:id="1797598141">
                                          <w:marLeft w:val="1200"/>
                                          <w:marRight w:val="1200"/>
                                          <w:marTop w:val="0"/>
                                          <w:marBottom w:val="0"/>
                                          <w:divBdr>
                                            <w:top w:val="none" w:sz="0" w:space="0" w:color="auto"/>
                                            <w:left w:val="none" w:sz="0" w:space="0" w:color="auto"/>
                                            <w:bottom w:val="none" w:sz="0" w:space="0" w:color="auto"/>
                                            <w:right w:val="none" w:sz="0" w:space="0" w:color="auto"/>
                                          </w:divBdr>
                                          <w:divsChild>
                                            <w:div w:id="451441825">
                                              <w:marLeft w:val="0"/>
                                              <w:marRight w:val="0"/>
                                              <w:marTop w:val="0"/>
                                              <w:marBottom w:val="0"/>
                                              <w:divBdr>
                                                <w:top w:val="none" w:sz="0" w:space="0" w:color="auto"/>
                                                <w:left w:val="none" w:sz="0" w:space="0" w:color="auto"/>
                                                <w:bottom w:val="none" w:sz="0" w:space="0" w:color="auto"/>
                                                <w:right w:val="none" w:sz="0" w:space="0" w:color="auto"/>
                                              </w:divBdr>
                                              <w:divsChild>
                                                <w:div w:id="1163546930">
                                                  <w:marLeft w:val="0"/>
                                                  <w:marRight w:val="0"/>
                                                  <w:marTop w:val="0"/>
                                                  <w:marBottom w:val="0"/>
                                                  <w:divBdr>
                                                    <w:top w:val="none" w:sz="0" w:space="0" w:color="auto"/>
                                                    <w:left w:val="none" w:sz="0" w:space="0" w:color="auto"/>
                                                    <w:bottom w:val="none" w:sz="0" w:space="0" w:color="auto"/>
                                                    <w:right w:val="none" w:sz="0" w:space="0" w:color="auto"/>
                                                  </w:divBdr>
                                                  <w:divsChild>
                                                    <w:div w:id="500629712">
                                                      <w:marLeft w:val="0"/>
                                                      <w:marRight w:val="0"/>
                                                      <w:marTop w:val="0"/>
                                                      <w:marBottom w:val="0"/>
                                                      <w:divBdr>
                                                        <w:top w:val="none" w:sz="0" w:space="0" w:color="auto"/>
                                                        <w:left w:val="none" w:sz="0" w:space="0" w:color="auto"/>
                                                        <w:bottom w:val="none" w:sz="0" w:space="0" w:color="auto"/>
                                                        <w:right w:val="none" w:sz="0" w:space="0" w:color="auto"/>
                                                      </w:divBdr>
                                                      <w:divsChild>
                                                        <w:div w:id="149054815">
                                                          <w:marLeft w:val="0"/>
                                                          <w:marRight w:val="0"/>
                                                          <w:marTop w:val="0"/>
                                                          <w:marBottom w:val="0"/>
                                                          <w:divBdr>
                                                            <w:top w:val="none" w:sz="0" w:space="0" w:color="auto"/>
                                                            <w:left w:val="none" w:sz="0" w:space="0" w:color="auto"/>
                                                            <w:bottom w:val="none" w:sz="0" w:space="0" w:color="auto"/>
                                                            <w:right w:val="none" w:sz="0" w:space="0" w:color="auto"/>
                                                          </w:divBdr>
                                                          <w:divsChild>
                                                            <w:div w:id="1836191835">
                                                              <w:marLeft w:val="0"/>
                                                              <w:marRight w:val="0"/>
                                                              <w:marTop w:val="0"/>
                                                              <w:marBottom w:val="0"/>
                                                              <w:divBdr>
                                                                <w:top w:val="none" w:sz="0" w:space="0" w:color="auto"/>
                                                                <w:left w:val="none" w:sz="0" w:space="0" w:color="auto"/>
                                                                <w:bottom w:val="none" w:sz="0" w:space="0" w:color="auto"/>
                                                                <w:right w:val="none" w:sz="0" w:space="0" w:color="auto"/>
                                                              </w:divBdr>
                                                              <w:divsChild>
                                                                <w:div w:id="1032078197">
                                                                  <w:marLeft w:val="0"/>
                                                                  <w:marRight w:val="0"/>
                                                                  <w:marTop w:val="0"/>
                                                                  <w:marBottom w:val="0"/>
                                                                  <w:divBdr>
                                                                    <w:top w:val="none" w:sz="0" w:space="0" w:color="auto"/>
                                                                    <w:left w:val="none" w:sz="0" w:space="0" w:color="auto"/>
                                                                    <w:bottom w:val="none" w:sz="0" w:space="0" w:color="auto"/>
                                                                    <w:right w:val="none" w:sz="0" w:space="0" w:color="auto"/>
                                                                  </w:divBdr>
                                                                  <w:divsChild>
                                                                    <w:div w:id="1233544220">
                                                                      <w:marLeft w:val="0"/>
                                                                      <w:marRight w:val="0"/>
                                                                      <w:marTop w:val="0"/>
                                                                      <w:marBottom w:val="0"/>
                                                                      <w:divBdr>
                                                                        <w:top w:val="none" w:sz="0" w:space="0" w:color="auto"/>
                                                                        <w:left w:val="none" w:sz="0" w:space="0" w:color="auto"/>
                                                                        <w:bottom w:val="none" w:sz="0" w:space="0" w:color="auto"/>
                                                                        <w:right w:val="none" w:sz="0" w:space="0" w:color="auto"/>
                                                                      </w:divBdr>
                                                                      <w:divsChild>
                                                                        <w:div w:id="1328169974">
                                                                          <w:marLeft w:val="0"/>
                                                                          <w:marRight w:val="0"/>
                                                                          <w:marTop w:val="0"/>
                                                                          <w:marBottom w:val="0"/>
                                                                          <w:divBdr>
                                                                            <w:top w:val="none" w:sz="0" w:space="0" w:color="auto"/>
                                                                            <w:left w:val="none" w:sz="0" w:space="0" w:color="auto"/>
                                                                            <w:bottom w:val="none" w:sz="0" w:space="0" w:color="auto"/>
                                                                            <w:right w:val="none" w:sz="0" w:space="0" w:color="auto"/>
                                                                          </w:divBdr>
                                                                        </w:div>
                                                                      </w:divsChild>
                                                                    </w:div>
                                                                    <w:div w:id="1872957356">
                                                                      <w:marLeft w:val="0"/>
                                                                      <w:marRight w:val="0"/>
                                                                      <w:marTop w:val="0"/>
                                                                      <w:marBottom w:val="0"/>
                                                                      <w:divBdr>
                                                                        <w:top w:val="none" w:sz="0" w:space="0" w:color="auto"/>
                                                                        <w:left w:val="none" w:sz="0" w:space="0" w:color="auto"/>
                                                                        <w:bottom w:val="none" w:sz="0" w:space="0" w:color="auto"/>
                                                                        <w:right w:val="none" w:sz="0" w:space="0" w:color="auto"/>
                                                                      </w:divBdr>
                                                                      <w:divsChild>
                                                                        <w:div w:id="6430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984228">
      <w:bodyDiv w:val="1"/>
      <w:marLeft w:val="0"/>
      <w:marRight w:val="0"/>
      <w:marTop w:val="0"/>
      <w:marBottom w:val="0"/>
      <w:divBdr>
        <w:top w:val="none" w:sz="0" w:space="0" w:color="auto"/>
        <w:left w:val="none" w:sz="0" w:space="0" w:color="auto"/>
        <w:bottom w:val="none" w:sz="0" w:space="0" w:color="auto"/>
        <w:right w:val="none" w:sz="0" w:space="0" w:color="auto"/>
      </w:divBdr>
      <w:divsChild>
        <w:div w:id="1724670443">
          <w:marLeft w:val="0"/>
          <w:marRight w:val="0"/>
          <w:marTop w:val="240"/>
          <w:marBottom w:val="0"/>
          <w:divBdr>
            <w:top w:val="none" w:sz="0" w:space="0" w:color="auto"/>
            <w:left w:val="none" w:sz="0" w:space="0" w:color="auto"/>
            <w:bottom w:val="none" w:sz="0" w:space="0" w:color="auto"/>
            <w:right w:val="none" w:sz="0" w:space="0" w:color="auto"/>
          </w:divBdr>
          <w:divsChild>
            <w:div w:id="1063723069">
              <w:marLeft w:val="0"/>
              <w:marRight w:val="0"/>
              <w:marTop w:val="0"/>
              <w:marBottom w:val="0"/>
              <w:divBdr>
                <w:top w:val="none" w:sz="0" w:space="0" w:color="auto"/>
                <w:left w:val="none" w:sz="0" w:space="0" w:color="auto"/>
                <w:bottom w:val="none" w:sz="0" w:space="0" w:color="auto"/>
                <w:right w:val="none" w:sz="0" w:space="0" w:color="auto"/>
              </w:divBdr>
            </w:div>
          </w:divsChild>
        </w:div>
        <w:div w:id="372969809">
          <w:marLeft w:val="0"/>
          <w:marRight w:val="0"/>
          <w:marTop w:val="240"/>
          <w:marBottom w:val="0"/>
          <w:divBdr>
            <w:top w:val="none" w:sz="0" w:space="0" w:color="auto"/>
            <w:left w:val="none" w:sz="0" w:space="0" w:color="auto"/>
            <w:bottom w:val="none" w:sz="0" w:space="0" w:color="auto"/>
            <w:right w:val="none" w:sz="0" w:space="0" w:color="auto"/>
          </w:divBdr>
          <w:divsChild>
            <w:div w:id="330329917">
              <w:marLeft w:val="0"/>
              <w:marRight w:val="0"/>
              <w:marTop w:val="0"/>
              <w:marBottom w:val="0"/>
              <w:divBdr>
                <w:top w:val="none" w:sz="0" w:space="0" w:color="auto"/>
                <w:left w:val="none" w:sz="0" w:space="0" w:color="auto"/>
                <w:bottom w:val="none" w:sz="0" w:space="0" w:color="auto"/>
                <w:right w:val="none" w:sz="0" w:space="0" w:color="auto"/>
              </w:divBdr>
            </w:div>
          </w:divsChild>
        </w:div>
        <w:div w:id="59522474">
          <w:marLeft w:val="0"/>
          <w:marRight w:val="0"/>
          <w:marTop w:val="240"/>
          <w:marBottom w:val="0"/>
          <w:divBdr>
            <w:top w:val="none" w:sz="0" w:space="0" w:color="auto"/>
            <w:left w:val="none" w:sz="0" w:space="0" w:color="auto"/>
            <w:bottom w:val="none" w:sz="0" w:space="0" w:color="auto"/>
            <w:right w:val="none" w:sz="0" w:space="0" w:color="auto"/>
          </w:divBdr>
          <w:divsChild>
            <w:div w:id="1617835295">
              <w:marLeft w:val="0"/>
              <w:marRight w:val="0"/>
              <w:marTop w:val="0"/>
              <w:marBottom w:val="0"/>
              <w:divBdr>
                <w:top w:val="none" w:sz="0" w:space="0" w:color="auto"/>
                <w:left w:val="none" w:sz="0" w:space="0" w:color="auto"/>
                <w:bottom w:val="none" w:sz="0" w:space="0" w:color="auto"/>
                <w:right w:val="none" w:sz="0" w:space="0" w:color="auto"/>
              </w:divBdr>
            </w:div>
          </w:divsChild>
        </w:div>
        <w:div w:id="303463087">
          <w:marLeft w:val="0"/>
          <w:marRight w:val="0"/>
          <w:marTop w:val="240"/>
          <w:marBottom w:val="0"/>
          <w:divBdr>
            <w:top w:val="none" w:sz="0" w:space="0" w:color="auto"/>
            <w:left w:val="none" w:sz="0" w:space="0" w:color="auto"/>
            <w:bottom w:val="none" w:sz="0" w:space="0" w:color="auto"/>
            <w:right w:val="none" w:sz="0" w:space="0" w:color="auto"/>
          </w:divBdr>
          <w:divsChild>
            <w:div w:id="1336032234">
              <w:marLeft w:val="0"/>
              <w:marRight w:val="0"/>
              <w:marTop w:val="0"/>
              <w:marBottom w:val="0"/>
              <w:divBdr>
                <w:top w:val="none" w:sz="0" w:space="0" w:color="auto"/>
                <w:left w:val="none" w:sz="0" w:space="0" w:color="auto"/>
                <w:bottom w:val="none" w:sz="0" w:space="0" w:color="auto"/>
                <w:right w:val="none" w:sz="0" w:space="0" w:color="auto"/>
              </w:divBdr>
            </w:div>
          </w:divsChild>
        </w:div>
        <w:div w:id="1739089975">
          <w:marLeft w:val="0"/>
          <w:marRight w:val="0"/>
          <w:marTop w:val="240"/>
          <w:marBottom w:val="0"/>
          <w:divBdr>
            <w:top w:val="none" w:sz="0" w:space="0" w:color="auto"/>
            <w:left w:val="none" w:sz="0" w:space="0" w:color="auto"/>
            <w:bottom w:val="none" w:sz="0" w:space="0" w:color="auto"/>
            <w:right w:val="none" w:sz="0" w:space="0" w:color="auto"/>
          </w:divBdr>
          <w:divsChild>
            <w:div w:id="754402271">
              <w:marLeft w:val="0"/>
              <w:marRight w:val="0"/>
              <w:marTop w:val="0"/>
              <w:marBottom w:val="0"/>
              <w:divBdr>
                <w:top w:val="none" w:sz="0" w:space="0" w:color="auto"/>
                <w:left w:val="none" w:sz="0" w:space="0" w:color="auto"/>
                <w:bottom w:val="none" w:sz="0" w:space="0" w:color="auto"/>
                <w:right w:val="none" w:sz="0" w:space="0" w:color="auto"/>
              </w:divBdr>
            </w:div>
            <w:div w:id="154540684">
              <w:marLeft w:val="0"/>
              <w:marRight w:val="0"/>
              <w:marTop w:val="240"/>
              <w:marBottom w:val="0"/>
              <w:divBdr>
                <w:top w:val="none" w:sz="0" w:space="0" w:color="auto"/>
                <w:left w:val="none" w:sz="0" w:space="0" w:color="auto"/>
                <w:bottom w:val="none" w:sz="0" w:space="0" w:color="auto"/>
                <w:right w:val="none" w:sz="0" w:space="0" w:color="auto"/>
              </w:divBdr>
              <w:divsChild>
                <w:div w:id="2074817606">
                  <w:marLeft w:val="0"/>
                  <w:marRight w:val="0"/>
                  <w:marTop w:val="0"/>
                  <w:marBottom w:val="0"/>
                  <w:divBdr>
                    <w:top w:val="none" w:sz="0" w:space="0" w:color="auto"/>
                    <w:left w:val="none" w:sz="0" w:space="0" w:color="auto"/>
                    <w:bottom w:val="none" w:sz="0" w:space="0" w:color="auto"/>
                    <w:right w:val="none" w:sz="0" w:space="0" w:color="auto"/>
                  </w:divBdr>
                  <w:divsChild>
                    <w:div w:id="609975978">
                      <w:blockQuote w:val="1"/>
                      <w:marLeft w:val="0"/>
                      <w:marRight w:val="0"/>
                      <w:marTop w:val="0"/>
                      <w:marBottom w:val="0"/>
                      <w:divBdr>
                        <w:top w:val="none" w:sz="0" w:space="0" w:color="auto"/>
                        <w:left w:val="none" w:sz="0" w:space="0" w:color="auto"/>
                        <w:bottom w:val="none" w:sz="0" w:space="0" w:color="auto"/>
                        <w:right w:val="none" w:sz="0" w:space="0" w:color="auto"/>
                      </w:divBdr>
                      <w:divsChild>
                        <w:div w:id="13034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3475">
              <w:marLeft w:val="0"/>
              <w:marRight w:val="0"/>
              <w:marTop w:val="240"/>
              <w:marBottom w:val="0"/>
              <w:divBdr>
                <w:top w:val="none" w:sz="0" w:space="0" w:color="auto"/>
                <w:left w:val="none" w:sz="0" w:space="0" w:color="auto"/>
                <w:bottom w:val="none" w:sz="0" w:space="0" w:color="auto"/>
                <w:right w:val="none" w:sz="0" w:space="0" w:color="auto"/>
              </w:divBdr>
            </w:div>
          </w:divsChild>
        </w:div>
        <w:div w:id="1275789794">
          <w:marLeft w:val="0"/>
          <w:marRight w:val="0"/>
          <w:marTop w:val="240"/>
          <w:marBottom w:val="0"/>
          <w:divBdr>
            <w:top w:val="none" w:sz="0" w:space="0" w:color="auto"/>
            <w:left w:val="none" w:sz="0" w:space="0" w:color="auto"/>
            <w:bottom w:val="none" w:sz="0" w:space="0" w:color="auto"/>
            <w:right w:val="none" w:sz="0" w:space="0" w:color="auto"/>
          </w:divBdr>
          <w:divsChild>
            <w:div w:id="545063601">
              <w:marLeft w:val="0"/>
              <w:marRight w:val="0"/>
              <w:marTop w:val="0"/>
              <w:marBottom w:val="0"/>
              <w:divBdr>
                <w:top w:val="none" w:sz="0" w:space="0" w:color="auto"/>
                <w:left w:val="none" w:sz="0" w:space="0" w:color="auto"/>
                <w:bottom w:val="none" w:sz="0" w:space="0" w:color="auto"/>
                <w:right w:val="none" w:sz="0" w:space="0" w:color="auto"/>
              </w:divBdr>
            </w:div>
          </w:divsChild>
        </w:div>
        <w:div w:id="2041665907">
          <w:marLeft w:val="0"/>
          <w:marRight w:val="0"/>
          <w:marTop w:val="240"/>
          <w:marBottom w:val="0"/>
          <w:divBdr>
            <w:top w:val="none" w:sz="0" w:space="0" w:color="auto"/>
            <w:left w:val="none" w:sz="0" w:space="0" w:color="auto"/>
            <w:bottom w:val="none" w:sz="0" w:space="0" w:color="auto"/>
            <w:right w:val="none" w:sz="0" w:space="0" w:color="auto"/>
          </w:divBdr>
          <w:divsChild>
            <w:div w:id="11276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52425">
      <w:bodyDiv w:val="1"/>
      <w:marLeft w:val="0"/>
      <w:marRight w:val="0"/>
      <w:marTop w:val="0"/>
      <w:marBottom w:val="0"/>
      <w:divBdr>
        <w:top w:val="none" w:sz="0" w:space="0" w:color="auto"/>
        <w:left w:val="none" w:sz="0" w:space="0" w:color="auto"/>
        <w:bottom w:val="none" w:sz="0" w:space="0" w:color="auto"/>
        <w:right w:val="none" w:sz="0" w:space="0" w:color="auto"/>
      </w:divBdr>
      <w:divsChild>
        <w:div w:id="2052798080">
          <w:marLeft w:val="0"/>
          <w:marRight w:val="0"/>
          <w:marTop w:val="15"/>
          <w:marBottom w:val="0"/>
          <w:divBdr>
            <w:top w:val="none" w:sz="0" w:space="0" w:color="auto"/>
            <w:left w:val="none" w:sz="0" w:space="0" w:color="auto"/>
            <w:bottom w:val="none" w:sz="0" w:space="0" w:color="auto"/>
            <w:right w:val="none" w:sz="0" w:space="0" w:color="auto"/>
          </w:divBdr>
          <w:divsChild>
            <w:div w:id="184655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44755">
      <w:bodyDiv w:val="1"/>
      <w:marLeft w:val="0"/>
      <w:marRight w:val="0"/>
      <w:marTop w:val="0"/>
      <w:marBottom w:val="0"/>
      <w:divBdr>
        <w:top w:val="none" w:sz="0" w:space="0" w:color="auto"/>
        <w:left w:val="none" w:sz="0" w:space="0" w:color="auto"/>
        <w:bottom w:val="none" w:sz="0" w:space="0" w:color="auto"/>
        <w:right w:val="none" w:sz="0" w:space="0" w:color="auto"/>
      </w:divBdr>
      <w:divsChild>
        <w:div w:id="2113744343">
          <w:marLeft w:val="0"/>
          <w:marRight w:val="0"/>
          <w:marTop w:val="0"/>
          <w:marBottom w:val="0"/>
          <w:divBdr>
            <w:top w:val="none" w:sz="0" w:space="0" w:color="auto"/>
            <w:left w:val="single" w:sz="6" w:space="0" w:color="BBBBBB"/>
            <w:bottom w:val="single" w:sz="6" w:space="0" w:color="BBBBBB"/>
            <w:right w:val="single" w:sz="6" w:space="0" w:color="BBBBBB"/>
          </w:divBdr>
          <w:divsChild>
            <w:div w:id="1301770685">
              <w:marLeft w:val="0"/>
              <w:marRight w:val="0"/>
              <w:marTop w:val="0"/>
              <w:marBottom w:val="0"/>
              <w:divBdr>
                <w:top w:val="none" w:sz="0" w:space="0" w:color="auto"/>
                <w:left w:val="none" w:sz="0" w:space="0" w:color="auto"/>
                <w:bottom w:val="none" w:sz="0" w:space="0" w:color="auto"/>
                <w:right w:val="none" w:sz="0" w:space="0" w:color="auto"/>
              </w:divBdr>
              <w:divsChild>
                <w:div w:id="1929654891">
                  <w:marLeft w:val="0"/>
                  <w:marRight w:val="0"/>
                  <w:marTop w:val="75"/>
                  <w:marBottom w:val="0"/>
                  <w:divBdr>
                    <w:top w:val="none" w:sz="0" w:space="0" w:color="auto"/>
                    <w:left w:val="none" w:sz="0" w:space="0" w:color="auto"/>
                    <w:bottom w:val="none" w:sz="0" w:space="0" w:color="auto"/>
                    <w:right w:val="none" w:sz="0" w:space="0" w:color="auto"/>
                  </w:divBdr>
                  <w:divsChild>
                    <w:div w:id="1186213123">
                      <w:marLeft w:val="0"/>
                      <w:marRight w:val="0"/>
                      <w:marTop w:val="0"/>
                      <w:marBottom w:val="0"/>
                      <w:divBdr>
                        <w:top w:val="none" w:sz="0" w:space="0" w:color="auto"/>
                        <w:left w:val="none" w:sz="0" w:space="0" w:color="auto"/>
                        <w:bottom w:val="none" w:sz="0" w:space="0" w:color="auto"/>
                        <w:right w:val="none" w:sz="0" w:space="0" w:color="auto"/>
                      </w:divBdr>
                      <w:divsChild>
                        <w:div w:id="1790082272">
                          <w:marLeft w:val="0"/>
                          <w:marRight w:val="0"/>
                          <w:marTop w:val="0"/>
                          <w:marBottom w:val="0"/>
                          <w:divBdr>
                            <w:top w:val="none" w:sz="0" w:space="0" w:color="auto"/>
                            <w:left w:val="none" w:sz="0" w:space="0" w:color="auto"/>
                            <w:bottom w:val="none" w:sz="0" w:space="0" w:color="auto"/>
                            <w:right w:val="none" w:sz="0" w:space="0" w:color="auto"/>
                          </w:divBdr>
                          <w:divsChild>
                            <w:div w:id="1148745065">
                              <w:marLeft w:val="0"/>
                              <w:marRight w:val="0"/>
                              <w:marTop w:val="0"/>
                              <w:marBottom w:val="0"/>
                              <w:divBdr>
                                <w:top w:val="none" w:sz="0" w:space="0" w:color="auto"/>
                                <w:left w:val="none" w:sz="0" w:space="0" w:color="auto"/>
                                <w:bottom w:val="none" w:sz="0" w:space="0" w:color="auto"/>
                                <w:right w:val="none" w:sz="0" w:space="0" w:color="auto"/>
                              </w:divBdr>
                              <w:divsChild>
                                <w:div w:id="296687012">
                                  <w:marLeft w:val="0"/>
                                  <w:marRight w:val="0"/>
                                  <w:marTop w:val="0"/>
                                  <w:marBottom w:val="0"/>
                                  <w:divBdr>
                                    <w:top w:val="none" w:sz="0" w:space="0" w:color="auto"/>
                                    <w:left w:val="none" w:sz="0" w:space="0" w:color="auto"/>
                                    <w:bottom w:val="none" w:sz="0" w:space="0" w:color="auto"/>
                                    <w:right w:val="none" w:sz="0" w:space="0" w:color="auto"/>
                                  </w:divBdr>
                                  <w:divsChild>
                                    <w:div w:id="1277248617">
                                      <w:marLeft w:val="0"/>
                                      <w:marRight w:val="0"/>
                                      <w:marTop w:val="0"/>
                                      <w:marBottom w:val="0"/>
                                      <w:divBdr>
                                        <w:top w:val="none" w:sz="0" w:space="0" w:color="auto"/>
                                        <w:left w:val="none" w:sz="0" w:space="0" w:color="auto"/>
                                        <w:bottom w:val="none" w:sz="0" w:space="0" w:color="auto"/>
                                        <w:right w:val="none" w:sz="0" w:space="0" w:color="auto"/>
                                      </w:divBdr>
                                      <w:divsChild>
                                        <w:div w:id="2104915985">
                                          <w:marLeft w:val="1200"/>
                                          <w:marRight w:val="1200"/>
                                          <w:marTop w:val="0"/>
                                          <w:marBottom w:val="0"/>
                                          <w:divBdr>
                                            <w:top w:val="none" w:sz="0" w:space="0" w:color="auto"/>
                                            <w:left w:val="none" w:sz="0" w:space="0" w:color="auto"/>
                                            <w:bottom w:val="none" w:sz="0" w:space="0" w:color="auto"/>
                                            <w:right w:val="none" w:sz="0" w:space="0" w:color="auto"/>
                                          </w:divBdr>
                                          <w:divsChild>
                                            <w:div w:id="1716156654">
                                              <w:marLeft w:val="0"/>
                                              <w:marRight w:val="0"/>
                                              <w:marTop w:val="0"/>
                                              <w:marBottom w:val="0"/>
                                              <w:divBdr>
                                                <w:top w:val="none" w:sz="0" w:space="0" w:color="auto"/>
                                                <w:left w:val="none" w:sz="0" w:space="0" w:color="auto"/>
                                                <w:bottom w:val="none" w:sz="0" w:space="0" w:color="auto"/>
                                                <w:right w:val="none" w:sz="0" w:space="0" w:color="auto"/>
                                              </w:divBdr>
                                              <w:divsChild>
                                                <w:div w:id="889464847">
                                                  <w:marLeft w:val="0"/>
                                                  <w:marRight w:val="0"/>
                                                  <w:marTop w:val="0"/>
                                                  <w:marBottom w:val="0"/>
                                                  <w:divBdr>
                                                    <w:top w:val="none" w:sz="0" w:space="0" w:color="auto"/>
                                                    <w:left w:val="none" w:sz="0" w:space="0" w:color="auto"/>
                                                    <w:bottom w:val="none" w:sz="0" w:space="0" w:color="auto"/>
                                                    <w:right w:val="none" w:sz="0" w:space="0" w:color="auto"/>
                                                  </w:divBdr>
                                                  <w:divsChild>
                                                    <w:div w:id="1945115788">
                                                      <w:marLeft w:val="0"/>
                                                      <w:marRight w:val="0"/>
                                                      <w:marTop w:val="0"/>
                                                      <w:marBottom w:val="0"/>
                                                      <w:divBdr>
                                                        <w:top w:val="none" w:sz="0" w:space="0" w:color="auto"/>
                                                        <w:left w:val="none" w:sz="0" w:space="0" w:color="auto"/>
                                                        <w:bottom w:val="none" w:sz="0" w:space="0" w:color="auto"/>
                                                        <w:right w:val="none" w:sz="0" w:space="0" w:color="auto"/>
                                                      </w:divBdr>
                                                      <w:divsChild>
                                                        <w:div w:id="1549797887">
                                                          <w:marLeft w:val="0"/>
                                                          <w:marRight w:val="0"/>
                                                          <w:marTop w:val="0"/>
                                                          <w:marBottom w:val="0"/>
                                                          <w:divBdr>
                                                            <w:top w:val="none" w:sz="0" w:space="0" w:color="auto"/>
                                                            <w:left w:val="none" w:sz="0" w:space="0" w:color="auto"/>
                                                            <w:bottom w:val="none" w:sz="0" w:space="0" w:color="auto"/>
                                                            <w:right w:val="none" w:sz="0" w:space="0" w:color="auto"/>
                                                          </w:divBdr>
                                                          <w:divsChild>
                                                            <w:div w:id="647518920">
                                                              <w:marLeft w:val="0"/>
                                                              <w:marRight w:val="0"/>
                                                              <w:marTop w:val="0"/>
                                                              <w:marBottom w:val="0"/>
                                                              <w:divBdr>
                                                                <w:top w:val="none" w:sz="0" w:space="0" w:color="auto"/>
                                                                <w:left w:val="none" w:sz="0" w:space="0" w:color="auto"/>
                                                                <w:bottom w:val="none" w:sz="0" w:space="0" w:color="auto"/>
                                                                <w:right w:val="none" w:sz="0" w:space="0" w:color="auto"/>
                                                              </w:divBdr>
                                                              <w:divsChild>
                                                                <w:div w:id="161093444">
                                                                  <w:marLeft w:val="0"/>
                                                                  <w:marRight w:val="0"/>
                                                                  <w:marTop w:val="0"/>
                                                                  <w:marBottom w:val="0"/>
                                                                  <w:divBdr>
                                                                    <w:top w:val="none" w:sz="0" w:space="0" w:color="auto"/>
                                                                    <w:left w:val="none" w:sz="0" w:space="0" w:color="auto"/>
                                                                    <w:bottom w:val="none" w:sz="0" w:space="0" w:color="auto"/>
                                                                    <w:right w:val="none" w:sz="0" w:space="0" w:color="auto"/>
                                                                  </w:divBdr>
                                                                  <w:divsChild>
                                                                    <w:div w:id="869417486">
                                                                      <w:marLeft w:val="0"/>
                                                                      <w:marRight w:val="0"/>
                                                                      <w:marTop w:val="0"/>
                                                                      <w:marBottom w:val="0"/>
                                                                      <w:divBdr>
                                                                        <w:top w:val="none" w:sz="0" w:space="0" w:color="auto"/>
                                                                        <w:left w:val="none" w:sz="0" w:space="0" w:color="auto"/>
                                                                        <w:bottom w:val="none" w:sz="0" w:space="0" w:color="auto"/>
                                                                        <w:right w:val="none" w:sz="0" w:space="0" w:color="auto"/>
                                                                      </w:divBdr>
                                                                      <w:divsChild>
                                                                        <w:div w:id="1293050868">
                                                                          <w:marLeft w:val="0"/>
                                                                          <w:marRight w:val="0"/>
                                                                          <w:marTop w:val="0"/>
                                                                          <w:marBottom w:val="0"/>
                                                                          <w:divBdr>
                                                                            <w:top w:val="none" w:sz="0" w:space="0" w:color="auto"/>
                                                                            <w:left w:val="none" w:sz="0" w:space="0" w:color="auto"/>
                                                                            <w:bottom w:val="none" w:sz="0" w:space="0" w:color="auto"/>
                                                                            <w:right w:val="none" w:sz="0" w:space="0" w:color="auto"/>
                                                                          </w:divBdr>
                                                                        </w:div>
                                                                      </w:divsChild>
                                                                    </w:div>
                                                                    <w:div w:id="1023945966">
                                                                      <w:marLeft w:val="0"/>
                                                                      <w:marRight w:val="0"/>
                                                                      <w:marTop w:val="0"/>
                                                                      <w:marBottom w:val="0"/>
                                                                      <w:divBdr>
                                                                        <w:top w:val="none" w:sz="0" w:space="0" w:color="auto"/>
                                                                        <w:left w:val="none" w:sz="0" w:space="0" w:color="auto"/>
                                                                        <w:bottom w:val="none" w:sz="0" w:space="0" w:color="auto"/>
                                                                        <w:right w:val="none" w:sz="0" w:space="0" w:color="auto"/>
                                                                      </w:divBdr>
                                                                      <w:divsChild>
                                                                        <w:div w:id="471169855">
                                                                          <w:marLeft w:val="0"/>
                                                                          <w:marRight w:val="0"/>
                                                                          <w:marTop w:val="0"/>
                                                                          <w:marBottom w:val="0"/>
                                                                          <w:divBdr>
                                                                            <w:top w:val="none" w:sz="0" w:space="0" w:color="auto"/>
                                                                            <w:left w:val="none" w:sz="0" w:space="0" w:color="auto"/>
                                                                            <w:bottom w:val="none" w:sz="0" w:space="0" w:color="auto"/>
                                                                            <w:right w:val="none" w:sz="0" w:space="0" w:color="auto"/>
                                                                          </w:divBdr>
                                                                        </w:div>
                                                                      </w:divsChild>
                                                                    </w:div>
                                                                    <w:div w:id="1339042057">
                                                                      <w:marLeft w:val="0"/>
                                                                      <w:marRight w:val="0"/>
                                                                      <w:marTop w:val="0"/>
                                                                      <w:marBottom w:val="0"/>
                                                                      <w:divBdr>
                                                                        <w:top w:val="none" w:sz="0" w:space="0" w:color="auto"/>
                                                                        <w:left w:val="none" w:sz="0" w:space="0" w:color="auto"/>
                                                                        <w:bottom w:val="none" w:sz="0" w:space="0" w:color="auto"/>
                                                                        <w:right w:val="none" w:sz="0" w:space="0" w:color="auto"/>
                                                                      </w:divBdr>
                                                                      <w:divsChild>
                                                                        <w:div w:id="1646663377">
                                                                          <w:marLeft w:val="0"/>
                                                                          <w:marRight w:val="0"/>
                                                                          <w:marTop w:val="0"/>
                                                                          <w:marBottom w:val="0"/>
                                                                          <w:divBdr>
                                                                            <w:top w:val="none" w:sz="0" w:space="0" w:color="auto"/>
                                                                            <w:left w:val="none" w:sz="0" w:space="0" w:color="auto"/>
                                                                            <w:bottom w:val="none" w:sz="0" w:space="0" w:color="auto"/>
                                                                            <w:right w:val="none" w:sz="0" w:space="0" w:color="auto"/>
                                                                          </w:divBdr>
                                                                        </w:div>
                                                                      </w:divsChild>
                                                                    </w:div>
                                                                    <w:div w:id="1728258161">
                                                                      <w:marLeft w:val="0"/>
                                                                      <w:marRight w:val="0"/>
                                                                      <w:marTop w:val="0"/>
                                                                      <w:marBottom w:val="0"/>
                                                                      <w:divBdr>
                                                                        <w:top w:val="none" w:sz="0" w:space="0" w:color="auto"/>
                                                                        <w:left w:val="none" w:sz="0" w:space="0" w:color="auto"/>
                                                                        <w:bottom w:val="none" w:sz="0" w:space="0" w:color="auto"/>
                                                                        <w:right w:val="none" w:sz="0" w:space="0" w:color="auto"/>
                                                                      </w:divBdr>
                                                                      <w:divsChild>
                                                                        <w:div w:id="1692028776">
                                                                          <w:marLeft w:val="0"/>
                                                                          <w:marRight w:val="0"/>
                                                                          <w:marTop w:val="0"/>
                                                                          <w:marBottom w:val="0"/>
                                                                          <w:divBdr>
                                                                            <w:top w:val="none" w:sz="0" w:space="0" w:color="auto"/>
                                                                            <w:left w:val="none" w:sz="0" w:space="0" w:color="auto"/>
                                                                            <w:bottom w:val="none" w:sz="0" w:space="0" w:color="auto"/>
                                                                            <w:right w:val="none" w:sz="0" w:space="0" w:color="auto"/>
                                                                          </w:divBdr>
                                                                        </w:div>
                                                                      </w:divsChild>
                                                                    </w:div>
                                                                    <w:div w:id="1738433953">
                                                                      <w:marLeft w:val="0"/>
                                                                      <w:marRight w:val="0"/>
                                                                      <w:marTop w:val="0"/>
                                                                      <w:marBottom w:val="0"/>
                                                                      <w:divBdr>
                                                                        <w:top w:val="none" w:sz="0" w:space="0" w:color="auto"/>
                                                                        <w:left w:val="none" w:sz="0" w:space="0" w:color="auto"/>
                                                                        <w:bottom w:val="none" w:sz="0" w:space="0" w:color="auto"/>
                                                                        <w:right w:val="none" w:sz="0" w:space="0" w:color="auto"/>
                                                                      </w:divBdr>
                                                                      <w:divsChild>
                                                                        <w:div w:id="10710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706149">
      <w:bodyDiv w:val="1"/>
      <w:marLeft w:val="0"/>
      <w:marRight w:val="0"/>
      <w:marTop w:val="0"/>
      <w:marBottom w:val="0"/>
      <w:divBdr>
        <w:top w:val="none" w:sz="0" w:space="0" w:color="auto"/>
        <w:left w:val="none" w:sz="0" w:space="0" w:color="auto"/>
        <w:bottom w:val="none" w:sz="0" w:space="0" w:color="auto"/>
        <w:right w:val="none" w:sz="0" w:space="0" w:color="auto"/>
      </w:divBdr>
      <w:divsChild>
        <w:div w:id="2084523575">
          <w:marLeft w:val="0"/>
          <w:marRight w:val="0"/>
          <w:marTop w:val="0"/>
          <w:marBottom w:val="0"/>
          <w:divBdr>
            <w:top w:val="none" w:sz="0" w:space="0" w:color="auto"/>
            <w:left w:val="none" w:sz="0" w:space="0" w:color="auto"/>
            <w:bottom w:val="none" w:sz="0" w:space="0" w:color="auto"/>
            <w:right w:val="none" w:sz="0" w:space="0" w:color="auto"/>
          </w:divBdr>
          <w:divsChild>
            <w:div w:id="137113580">
              <w:marLeft w:val="0"/>
              <w:marRight w:val="0"/>
              <w:marTop w:val="0"/>
              <w:marBottom w:val="0"/>
              <w:divBdr>
                <w:top w:val="none" w:sz="0" w:space="0" w:color="auto"/>
                <w:left w:val="none" w:sz="0" w:space="0" w:color="auto"/>
                <w:bottom w:val="none" w:sz="0" w:space="0" w:color="auto"/>
                <w:right w:val="none" w:sz="0" w:space="0" w:color="auto"/>
              </w:divBdr>
              <w:divsChild>
                <w:div w:id="267281288">
                  <w:marLeft w:val="0"/>
                  <w:marRight w:val="0"/>
                  <w:marTop w:val="0"/>
                  <w:marBottom w:val="0"/>
                  <w:divBdr>
                    <w:top w:val="none" w:sz="0" w:space="0" w:color="auto"/>
                    <w:left w:val="none" w:sz="0" w:space="0" w:color="auto"/>
                    <w:bottom w:val="none" w:sz="0" w:space="0" w:color="auto"/>
                    <w:right w:val="none" w:sz="0" w:space="0" w:color="auto"/>
                  </w:divBdr>
                  <w:divsChild>
                    <w:div w:id="176895904">
                      <w:marLeft w:val="0"/>
                      <w:marRight w:val="0"/>
                      <w:marTop w:val="0"/>
                      <w:marBottom w:val="300"/>
                      <w:divBdr>
                        <w:top w:val="none" w:sz="0" w:space="0" w:color="auto"/>
                        <w:left w:val="none" w:sz="0" w:space="0" w:color="auto"/>
                        <w:bottom w:val="none" w:sz="0" w:space="0" w:color="auto"/>
                        <w:right w:val="none" w:sz="0" w:space="0" w:color="auto"/>
                      </w:divBdr>
                      <w:divsChild>
                        <w:div w:id="4944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628">
      <w:bodyDiv w:val="1"/>
      <w:marLeft w:val="0"/>
      <w:marRight w:val="0"/>
      <w:marTop w:val="0"/>
      <w:marBottom w:val="0"/>
      <w:divBdr>
        <w:top w:val="none" w:sz="0" w:space="0" w:color="auto"/>
        <w:left w:val="none" w:sz="0" w:space="0" w:color="auto"/>
        <w:bottom w:val="none" w:sz="0" w:space="0" w:color="auto"/>
        <w:right w:val="none" w:sz="0" w:space="0" w:color="auto"/>
      </w:divBdr>
      <w:divsChild>
        <w:div w:id="640812881">
          <w:marLeft w:val="0"/>
          <w:marRight w:val="0"/>
          <w:marTop w:val="0"/>
          <w:marBottom w:val="0"/>
          <w:divBdr>
            <w:top w:val="none" w:sz="0" w:space="0" w:color="auto"/>
            <w:left w:val="single" w:sz="6" w:space="0" w:color="BBBBBB"/>
            <w:bottom w:val="single" w:sz="6" w:space="0" w:color="BBBBBB"/>
            <w:right w:val="single" w:sz="6" w:space="0" w:color="BBBBBB"/>
          </w:divBdr>
          <w:divsChild>
            <w:div w:id="1674533598">
              <w:marLeft w:val="0"/>
              <w:marRight w:val="0"/>
              <w:marTop w:val="0"/>
              <w:marBottom w:val="0"/>
              <w:divBdr>
                <w:top w:val="none" w:sz="0" w:space="0" w:color="auto"/>
                <w:left w:val="none" w:sz="0" w:space="0" w:color="auto"/>
                <w:bottom w:val="none" w:sz="0" w:space="0" w:color="auto"/>
                <w:right w:val="none" w:sz="0" w:space="0" w:color="auto"/>
              </w:divBdr>
              <w:divsChild>
                <w:div w:id="1334722527">
                  <w:marLeft w:val="0"/>
                  <w:marRight w:val="0"/>
                  <w:marTop w:val="75"/>
                  <w:marBottom w:val="0"/>
                  <w:divBdr>
                    <w:top w:val="none" w:sz="0" w:space="0" w:color="auto"/>
                    <w:left w:val="none" w:sz="0" w:space="0" w:color="auto"/>
                    <w:bottom w:val="none" w:sz="0" w:space="0" w:color="auto"/>
                    <w:right w:val="none" w:sz="0" w:space="0" w:color="auto"/>
                  </w:divBdr>
                  <w:divsChild>
                    <w:div w:id="1853839375">
                      <w:marLeft w:val="0"/>
                      <w:marRight w:val="0"/>
                      <w:marTop w:val="0"/>
                      <w:marBottom w:val="0"/>
                      <w:divBdr>
                        <w:top w:val="none" w:sz="0" w:space="0" w:color="auto"/>
                        <w:left w:val="none" w:sz="0" w:space="0" w:color="auto"/>
                        <w:bottom w:val="none" w:sz="0" w:space="0" w:color="auto"/>
                        <w:right w:val="none" w:sz="0" w:space="0" w:color="auto"/>
                      </w:divBdr>
                      <w:divsChild>
                        <w:div w:id="1097750630">
                          <w:marLeft w:val="0"/>
                          <w:marRight w:val="0"/>
                          <w:marTop w:val="0"/>
                          <w:marBottom w:val="0"/>
                          <w:divBdr>
                            <w:top w:val="none" w:sz="0" w:space="0" w:color="auto"/>
                            <w:left w:val="none" w:sz="0" w:space="0" w:color="auto"/>
                            <w:bottom w:val="none" w:sz="0" w:space="0" w:color="auto"/>
                            <w:right w:val="none" w:sz="0" w:space="0" w:color="auto"/>
                          </w:divBdr>
                          <w:divsChild>
                            <w:div w:id="334040800">
                              <w:marLeft w:val="0"/>
                              <w:marRight w:val="0"/>
                              <w:marTop w:val="0"/>
                              <w:marBottom w:val="0"/>
                              <w:divBdr>
                                <w:top w:val="none" w:sz="0" w:space="0" w:color="auto"/>
                                <w:left w:val="none" w:sz="0" w:space="0" w:color="auto"/>
                                <w:bottom w:val="none" w:sz="0" w:space="0" w:color="auto"/>
                                <w:right w:val="none" w:sz="0" w:space="0" w:color="auto"/>
                              </w:divBdr>
                              <w:divsChild>
                                <w:div w:id="1211723384">
                                  <w:marLeft w:val="0"/>
                                  <w:marRight w:val="0"/>
                                  <w:marTop w:val="0"/>
                                  <w:marBottom w:val="0"/>
                                  <w:divBdr>
                                    <w:top w:val="none" w:sz="0" w:space="0" w:color="auto"/>
                                    <w:left w:val="none" w:sz="0" w:space="0" w:color="auto"/>
                                    <w:bottom w:val="none" w:sz="0" w:space="0" w:color="auto"/>
                                    <w:right w:val="none" w:sz="0" w:space="0" w:color="auto"/>
                                  </w:divBdr>
                                  <w:divsChild>
                                    <w:div w:id="64422537">
                                      <w:marLeft w:val="0"/>
                                      <w:marRight w:val="0"/>
                                      <w:marTop w:val="0"/>
                                      <w:marBottom w:val="0"/>
                                      <w:divBdr>
                                        <w:top w:val="none" w:sz="0" w:space="0" w:color="auto"/>
                                        <w:left w:val="none" w:sz="0" w:space="0" w:color="auto"/>
                                        <w:bottom w:val="none" w:sz="0" w:space="0" w:color="auto"/>
                                        <w:right w:val="none" w:sz="0" w:space="0" w:color="auto"/>
                                      </w:divBdr>
                                      <w:divsChild>
                                        <w:div w:id="1662584402">
                                          <w:marLeft w:val="1200"/>
                                          <w:marRight w:val="1200"/>
                                          <w:marTop w:val="0"/>
                                          <w:marBottom w:val="0"/>
                                          <w:divBdr>
                                            <w:top w:val="none" w:sz="0" w:space="0" w:color="auto"/>
                                            <w:left w:val="none" w:sz="0" w:space="0" w:color="auto"/>
                                            <w:bottom w:val="none" w:sz="0" w:space="0" w:color="auto"/>
                                            <w:right w:val="none" w:sz="0" w:space="0" w:color="auto"/>
                                          </w:divBdr>
                                          <w:divsChild>
                                            <w:div w:id="1180896846">
                                              <w:marLeft w:val="0"/>
                                              <w:marRight w:val="0"/>
                                              <w:marTop w:val="0"/>
                                              <w:marBottom w:val="0"/>
                                              <w:divBdr>
                                                <w:top w:val="none" w:sz="0" w:space="0" w:color="auto"/>
                                                <w:left w:val="none" w:sz="0" w:space="0" w:color="auto"/>
                                                <w:bottom w:val="none" w:sz="0" w:space="0" w:color="auto"/>
                                                <w:right w:val="none" w:sz="0" w:space="0" w:color="auto"/>
                                              </w:divBdr>
                                              <w:divsChild>
                                                <w:div w:id="1533879474">
                                                  <w:marLeft w:val="0"/>
                                                  <w:marRight w:val="0"/>
                                                  <w:marTop w:val="0"/>
                                                  <w:marBottom w:val="0"/>
                                                  <w:divBdr>
                                                    <w:top w:val="none" w:sz="0" w:space="0" w:color="auto"/>
                                                    <w:left w:val="none" w:sz="0" w:space="0" w:color="auto"/>
                                                    <w:bottom w:val="none" w:sz="0" w:space="0" w:color="auto"/>
                                                    <w:right w:val="none" w:sz="0" w:space="0" w:color="auto"/>
                                                  </w:divBdr>
                                                  <w:divsChild>
                                                    <w:div w:id="1303075125">
                                                      <w:marLeft w:val="0"/>
                                                      <w:marRight w:val="0"/>
                                                      <w:marTop w:val="0"/>
                                                      <w:marBottom w:val="0"/>
                                                      <w:divBdr>
                                                        <w:top w:val="none" w:sz="0" w:space="0" w:color="auto"/>
                                                        <w:left w:val="none" w:sz="0" w:space="0" w:color="auto"/>
                                                        <w:bottom w:val="none" w:sz="0" w:space="0" w:color="auto"/>
                                                        <w:right w:val="none" w:sz="0" w:space="0" w:color="auto"/>
                                                      </w:divBdr>
                                                      <w:divsChild>
                                                        <w:div w:id="169101489">
                                                          <w:marLeft w:val="0"/>
                                                          <w:marRight w:val="0"/>
                                                          <w:marTop w:val="0"/>
                                                          <w:marBottom w:val="0"/>
                                                          <w:divBdr>
                                                            <w:top w:val="none" w:sz="0" w:space="0" w:color="auto"/>
                                                            <w:left w:val="none" w:sz="0" w:space="0" w:color="auto"/>
                                                            <w:bottom w:val="none" w:sz="0" w:space="0" w:color="auto"/>
                                                            <w:right w:val="none" w:sz="0" w:space="0" w:color="auto"/>
                                                          </w:divBdr>
                                                          <w:divsChild>
                                                            <w:div w:id="1734573015">
                                                              <w:marLeft w:val="0"/>
                                                              <w:marRight w:val="0"/>
                                                              <w:marTop w:val="0"/>
                                                              <w:marBottom w:val="0"/>
                                                              <w:divBdr>
                                                                <w:top w:val="none" w:sz="0" w:space="0" w:color="auto"/>
                                                                <w:left w:val="none" w:sz="0" w:space="0" w:color="auto"/>
                                                                <w:bottom w:val="none" w:sz="0" w:space="0" w:color="auto"/>
                                                                <w:right w:val="none" w:sz="0" w:space="0" w:color="auto"/>
                                                              </w:divBdr>
                                                              <w:divsChild>
                                                                <w:div w:id="1551304680">
                                                                  <w:marLeft w:val="0"/>
                                                                  <w:marRight w:val="0"/>
                                                                  <w:marTop w:val="0"/>
                                                                  <w:marBottom w:val="0"/>
                                                                  <w:divBdr>
                                                                    <w:top w:val="none" w:sz="0" w:space="0" w:color="auto"/>
                                                                    <w:left w:val="none" w:sz="0" w:space="0" w:color="auto"/>
                                                                    <w:bottom w:val="none" w:sz="0" w:space="0" w:color="auto"/>
                                                                    <w:right w:val="none" w:sz="0" w:space="0" w:color="auto"/>
                                                                  </w:divBdr>
                                                                  <w:divsChild>
                                                                    <w:div w:id="272329152">
                                                                      <w:marLeft w:val="0"/>
                                                                      <w:marRight w:val="0"/>
                                                                      <w:marTop w:val="0"/>
                                                                      <w:marBottom w:val="0"/>
                                                                      <w:divBdr>
                                                                        <w:top w:val="none" w:sz="0" w:space="0" w:color="auto"/>
                                                                        <w:left w:val="none" w:sz="0" w:space="0" w:color="auto"/>
                                                                        <w:bottom w:val="none" w:sz="0" w:space="0" w:color="auto"/>
                                                                        <w:right w:val="none" w:sz="0" w:space="0" w:color="auto"/>
                                                                      </w:divBdr>
                                                                      <w:divsChild>
                                                                        <w:div w:id="1493913289">
                                                                          <w:marLeft w:val="0"/>
                                                                          <w:marRight w:val="0"/>
                                                                          <w:marTop w:val="0"/>
                                                                          <w:marBottom w:val="0"/>
                                                                          <w:divBdr>
                                                                            <w:top w:val="none" w:sz="0" w:space="0" w:color="auto"/>
                                                                            <w:left w:val="none" w:sz="0" w:space="0" w:color="auto"/>
                                                                            <w:bottom w:val="none" w:sz="0" w:space="0" w:color="auto"/>
                                                                            <w:right w:val="none" w:sz="0" w:space="0" w:color="auto"/>
                                                                          </w:divBdr>
                                                                        </w:div>
                                                                      </w:divsChild>
                                                                    </w:div>
                                                                    <w:div w:id="853035486">
                                                                      <w:marLeft w:val="0"/>
                                                                      <w:marRight w:val="0"/>
                                                                      <w:marTop w:val="0"/>
                                                                      <w:marBottom w:val="0"/>
                                                                      <w:divBdr>
                                                                        <w:top w:val="none" w:sz="0" w:space="0" w:color="auto"/>
                                                                        <w:left w:val="none" w:sz="0" w:space="0" w:color="auto"/>
                                                                        <w:bottom w:val="none" w:sz="0" w:space="0" w:color="auto"/>
                                                                        <w:right w:val="none" w:sz="0" w:space="0" w:color="auto"/>
                                                                      </w:divBdr>
                                                                      <w:divsChild>
                                                                        <w:div w:id="490760084">
                                                                          <w:marLeft w:val="0"/>
                                                                          <w:marRight w:val="0"/>
                                                                          <w:marTop w:val="0"/>
                                                                          <w:marBottom w:val="0"/>
                                                                          <w:divBdr>
                                                                            <w:top w:val="none" w:sz="0" w:space="0" w:color="auto"/>
                                                                            <w:left w:val="none" w:sz="0" w:space="0" w:color="auto"/>
                                                                            <w:bottom w:val="none" w:sz="0" w:space="0" w:color="auto"/>
                                                                            <w:right w:val="none" w:sz="0" w:space="0" w:color="auto"/>
                                                                          </w:divBdr>
                                                                        </w:div>
                                                                      </w:divsChild>
                                                                    </w:div>
                                                                    <w:div w:id="1019741789">
                                                                      <w:marLeft w:val="0"/>
                                                                      <w:marRight w:val="0"/>
                                                                      <w:marTop w:val="0"/>
                                                                      <w:marBottom w:val="0"/>
                                                                      <w:divBdr>
                                                                        <w:top w:val="none" w:sz="0" w:space="0" w:color="auto"/>
                                                                        <w:left w:val="none" w:sz="0" w:space="0" w:color="auto"/>
                                                                        <w:bottom w:val="none" w:sz="0" w:space="0" w:color="auto"/>
                                                                        <w:right w:val="none" w:sz="0" w:space="0" w:color="auto"/>
                                                                      </w:divBdr>
                                                                      <w:divsChild>
                                                                        <w:div w:id="334041141">
                                                                          <w:marLeft w:val="0"/>
                                                                          <w:marRight w:val="0"/>
                                                                          <w:marTop w:val="0"/>
                                                                          <w:marBottom w:val="0"/>
                                                                          <w:divBdr>
                                                                            <w:top w:val="none" w:sz="0" w:space="0" w:color="auto"/>
                                                                            <w:left w:val="none" w:sz="0" w:space="0" w:color="auto"/>
                                                                            <w:bottom w:val="none" w:sz="0" w:space="0" w:color="auto"/>
                                                                            <w:right w:val="none" w:sz="0" w:space="0" w:color="auto"/>
                                                                          </w:divBdr>
                                                                        </w:div>
                                                                      </w:divsChild>
                                                                    </w:div>
                                                                    <w:div w:id="1146118438">
                                                                      <w:marLeft w:val="0"/>
                                                                      <w:marRight w:val="0"/>
                                                                      <w:marTop w:val="0"/>
                                                                      <w:marBottom w:val="0"/>
                                                                      <w:divBdr>
                                                                        <w:top w:val="none" w:sz="0" w:space="0" w:color="auto"/>
                                                                        <w:left w:val="none" w:sz="0" w:space="0" w:color="auto"/>
                                                                        <w:bottom w:val="none" w:sz="0" w:space="0" w:color="auto"/>
                                                                        <w:right w:val="none" w:sz="0" w:space="0" w:color="auto"/>
                                                                      </w:divBdr>
                                                                      <w:divsChild>
                                                                        <w:div w:id="730233833">
                                                                          <w:marLeft w:val="0"/>
                                                                          <w:marRight w:val="0"/>
                                                                          <w:marTop w:val="0"/>
                                                                          <w:marBottom w:val="0"/>
                                                                          <w:divBdr>
                                                                            <w:top w:val="none" w:sz="0" w:space="0" w:color="auto"/>
                                                                            <w:left w:val="none" w:sz="0" w:space="0" w:color="auto"/>
                                                                            <w:bottom w:val="none" w:sz="0" w:space="0" w:color="auto"/>
                                                                            <w:right w:val="none" w:sz="0" w:space="0" w:color="auto"/>
                                                                          </w:divBdr>
                                                                        </w:div>
                                                                      </w:divsChild>
                                                                    </w:div>
                                                                    <w:div w:id="1708019138">
                                                                      <w:marLeft w:val="0"/>
                                                                      <w:marRight w:val="0"/>
                                                                      <w:marTop w:val="0"/>
                                                                      <w:marBottom w:val="0"/>
                                                                      <w:divBdr>
                                                                        <w:top w:val="none" w:sz="0" w:space="0" w:color="auto"/>
                                                                        <w:left w:val="none" w:sz="0" w:space="0" w:color="auto"/>
                                                                        <w:bottom w:val="none" w:sz="0" w:space="0" w:color="auto"/>
                                                                        <w:right w:val="none" w:sz="0" w:space="0" w:color="auto"/>
                                                                      </w:divBdr>
                                                                      <w:divsChild>
                                                                        <w:div w:id="2295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096841">
      <w:bodyDiv w:val="1"/>
      <w:marLeft w:val="0"/>
      <w:marRight w:val="0"/>
      <w:marTop w:val="0"/>
      <w:marBottom w:val="0"/>
      <w:divBdr>
        <w:top w:val="none" w:sz="0" w:space="0" w:color="auto"/>
        <w:left w:val="none" w:sz="0" w:space="0" w:color="auto"/>
        <w:bottom w:val="none" w:sz="0" w:space="0" w:color="auto"/>
        <w:right w:val="none" w:sz="0" w:space="0" w:color="auto"/>
      </w:divBdr>
      <w:divsChild>
        <w:div w:id="1611081329">
          <w:marLeft w:val="0"/>
          <w:marRight w:val="0"/>
          <w:marTop w:val="240"/>
          <w:marBottom w:val="0"/>
          <w:divBdr>
            <w:top w:val="none" w:sz="0" w:space="0" w:color="auto"/>
            <w:left w:val="none" w:sz="0" w:space="0" w:color="auto"/>
            <w:bottom w:val="none" w:sz="0" w:space="0" w:color="auto"/>
            <w:right w:val="none" w:sz="0" w:space="0" w:color="auto"/>
          </w:divBdr>
          <w:divsChild>
            <w:div w:id="717047578">
              <w:marLeft w:val="0"/>
              <w:marRight w:val="0"/>
              <w:marTop w:val="0"/>
              <w:marBottom w:val="0"/>
              <w:divBdr>
                <w:top w:val="none" w:sz="0" w:space="0" w:color="auto"/>
                <w:left w:val="none" w:sz="0" w:space="0" w:color="auto"/>
                <w:bottom w:val="none" w:sz="0" w:space="0" w:color="auto"/>
                <w:right w:val="none" w:sz="0" w:space="0" w:color="auto"/>
              </w:divBdr>
            </w:div>
          </w:divsChild>
        </w:div>
        <w:div w:id="1389190318">
          <w:marLeft w:val="0"/>
          <w:marRight w:val="0"/>
          <w:marTop w:val="240"/>
          <w:marBottom w:val="0"/>
          <w:divBdr>
            <w:top w:val="none" w:sz="0" w:space="0" w:color="auto"/>
            <w:left w:val="none" w:sz="0" w:space="0" w:color="auto"/>
            <w:bottom w:val="none" w:sz="0" w:space="0" w:color="auto"/>
            <w:right w:val="none" w:sz="0" w:space="0" w:color="auto"/>
          </w:divBdr>
          <w:divsChild>
            <w:div w:id="1409645342">
              <w:marLeft w:val="0"/>
              <w:marRight w:val="0"/>
              <w:marTop w:val="0"/>
              <w:marBottom w:val="0"/>
              <w:divBdr>
                <w:top w:val="none" w:sz="0" w:space="0" w:color="auto"/>
                <w:left w:val="none" w:sz="0" w:space="0" w:color="auto"/>
                <w:bottom w:val="none" w:sz="0" w:space="0" w:color="auto"/>
                <w:right w:val="none" w:sz="0" w:space="0" w:color="auto"/>
              </w:divBdr>
            </w:div>
          </w:divsChild>
        </w:div>
        <w:div w:id="147017193">
          <w:marLeft w:val="0"/>
          <w:marRight w:val="0"/>
          <w:marTop w:val="240"/>
          <w:marBottom w:val="0"/>
          <w:divBdr>
            <w:top w:val="none" w:sz="0" w:space="0" w:color="auto"/>
            <w:left w:val="none" w:sz="0" w:space="0" w:color="auto"/>
            <w:bottom w:val="none" w:sz="0" w:space="0" w:color="auto"/>
            <w:right w:val="none" w:sz="0" w:space="0" w:color="auto"/>
          </w:divBdr>
          <w:divsChild>
            <w:div w:id="319310310">
              <w:marLeft w:val="0"/>
              <w:marRight w:val="0"/>
              <w:marTop w:val="0"/>
              <w:marBottom w:val="0"/>
              <w:divBdr>
                <w:top w:val="none" w:sz="0" w:space="0" w:color="auto"/>
                <w:left w:val="none" w:sz="0" w:space="0" w:color="auto"/>
                <w:bottom w:val="none" w:sz="0" w:space="0" w:color="auto"/>
                <w:right w:val="none" w:sz="0" w:space="0" w:color="auto"/>
              </w:divBdr>
            </w:div>
          </w:divsChild>
        </w:div>
        <w:div w:id="611209823">
          <w:marLeft w:val="0"/>
          <w:marRight w:val="0"/>
          <w:marTop w:val="240"/>
          <w:marBottom w:val="0"/>
          <w:divBdr>
            <w:top w:val="none" w:sz="0" w:space="0" w:color="auto"/>
            <w:left w:val="none" w:sz="0" w:space="0" w:color="auto"/>
            <w:bottom w:val="none" w:sz="0" w:space="0" w:color="auto"/>
            <w:right w:val="none" w:sz="0" w:space="0" w:color="auto"/>
          </w:divBdr>
          <w:divsChild>
            <w:div w:id="2736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15074">
      <w:bodyDiv w:val="1"/>
      <w:marLeft w:val="0"/>
      <w:marRight w:val="0"/>
      <w:marTop w:val="0"/>
      <w:marBottom w:val="0"/>
      <w:divBdr>
        <w:top w:val="none" w:sz="0" w:space="0" w:color="auto"/>
        <w:left w:val="none" w:sz="0" w:space="0" w:color="auto"/>
        <w:bottom w:val="none" w:sz="0" w:space="0" w:color="auto"/>
        <w:right w:val="none" w:sz="0" w:space="0" w:color="auto"/>
      </w:divBdr>
      <w:divsChild>
        <w:div w:id="1162307365">
          <w:marLeft w:val="0"/>
          <w:marRight w:val="0"/>
          <w:marTop w:val="0"/>
          <w:marBottom w:val="0"/>
          <w:divBdr>
            <w:top w:val="none" w:sz="0" w:space="0" w:color="auto"/>
            <w:left w:val="none" w:sz="0" w:space="0" w:color="auto"/>
            <w:bottom w:val="none" w:sz="0" w:space="0" w:color="auto"/>
            <w:right w:val="none" w:sz="0" w:space="0" w:color="auto"/>
          </w:divBdr>
          <w:divsChild>
            <w:div w:id="484513008">
              <w:marLeft w:val="0"/>
              <w:marRight w:val="0"/>
              <w:marTop w:val="0"/>
              <w:marBottom w:val="0"/>
              <w:divBdr>
                <w:top w:val="none" w:sz="0" w:space="0" w:color="auto"/>
                <w:left w:val="none" w:sz="0" w:space="0" w:color="auto"/>
                <w:bottom w:val="none" w:sz="0" w:space="0" w:color="auto"/>
                <w:right w:val="none" w:sz="0" w:space="0" w:color="auto"/>
              </w:divBdr>
              <w:divsChild>
                <w:div w:id="1783259490">
                  <w:marLeft w:val="0"/>
                  <w:marRight w:val="0"/>
                  <w:marTop w:val="0"/>
                  <w:marBottom w:val="0"/>
                  <w:divBdr>
                    <w:top w:val="none" w:sz="0" w:space="0" w:color="auto"/>
                    <w:left w:val="none" w:sz="0" w:space="0" w:color="auto"/>
                    <w:bottom w:val="none" w:sz="0" w:space="0" w:color="auto"/>
                    <w:right w:val="none" w:sz="0" w:space="0" w:color="auto"/>
                  </w:divBdr>
                  <w:divsChild>
                    <w:div w:id="1939366648">
                      <w:marLeft w:val="0"/>
                      <w:marRight w:val="0"/>
                      <w:marTop w:val="0"/>
                      <w:marBottom w:val="375"/>
                      <w:divBdr>
                        <w:top w:val="none" w:sz="0" w:space="0" w:color="auto"/>
                        <w:left w:val="none" w:sz="0" w:space="0" w:color="auto"/>
                        <w:bottom w:val="none" w:sz="0" w:space="0" w:color="auto"/>
                        <w:right w:val="none" w:sz="0" w:space="0" w:color="auto"/>
                      </w:divBdr>
                      <w:divsChild>
                        <w:div w:id="8247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819627">
      <w:bodyDiv w:val="1"/>
      <w:marLeft w:val="0"/>
      <w:marRight w:val="0"/>
      <w:marTop w:val="0"/>
      <w:marBottom w:val="0"/>
      <w:divBdr>
        <w:top w:val="none" w:sz="0" w:space="0" w:color="auto"/>
        <w:left w:val="none" w:sz="0" w:space="0" w:color="auto"/>
        <w:bottom w:val="none" w:sz="0" w:space="0" w:color="auto"/>
        <w:right w:val="none" w:sz="0" w:space="0" w:color="auto"/>
      </w:divBdr>
      <w:divsChild>
        <w:div w:id="224804285">
          <w:marLeft w:val="0"/>
          <w:marRight w:val="0"/>
          <w:marTop w:val="0"/>
          <w:marBottom w:val="0"/>
          <w:divBdr>
            <w:top w:val="none" w:sz="0" w:space="0" w:color="auto"/>
            <w:left w:val="none" w:sz="0" w:space="0" w:color="auto"/>
            <w:bottom w:val="none" w:sz="0" w:space="0" w:color="auto"/>
            <w:right w:val="none" w:sz="0" w:space="0" w:color="auto"/>
          </w:divBdr>
          <w:divsChild>
            <w:div w:id="984313310">
              <w:marLeft w:val="0"/>
              <w:marRight w:val="0"/>
              <w:marTop w:val="0"/>
              <w:marBottom w:val="0"/>
              <w:divBdr>
                <w:top w:val="none" w:sz="0" w:space="0" w:color="auto"/>
                <w:left w:val="none" w:sz="0" w:space="0" w:color="auto"/>
                <w:bottom w:val="none" w:sz="0" w:space="0" w:color="auto"/>
                <w:right w:val="none" w:sz="0" w:space="0" w:color="auto"/>
              </w:divBdr>
              <w:divsChild>
                <w:div w:id="436827002">
                  <w:marLeft w:val="0"/>
                  <w:marRight w:val="0"/>
                  <w:marTop w:val="0"/>
                  <w:marBottom w:val="0"/>
                  <w:divBdr>
                    <w:top w:val="none" w:sz="0" w:space="0" w:color="auto"/>
                    <w:left w:val="none" w:sz="0" w:space="0" w:color="auto"/>
                    <w:bottom w:val="none" w:sz="0" w:space="0" w:color="auto"/>
                    <w:right w:val="none" w:sz="0" w:space="0" w:color="auto"/>
                  </w:divBdr>
                  <w:divsChild>
                    <w:div w:id="1852524600">
                      <w:marLeft w:val="0"/>
                      <w:marRight w:val="0"/>
                      <w:marTop w:val="0"/>
                      <w:marBottom w:val="375"/>
                      <w:divBdr>
                        <w:top w:val="none" w:sz="0" w:space="0" w:color="auto"/>
                        <w:left w:val="none" w:sz="0" w:space="0" w:color="auto"/>
                        <w:bottom w:val="none" w:sz="0" w:space="0" w:color="auto"/>
                        <w:right w:val="none" w:sz="0" w:space="0" w:color="auto"/>
                      </w:divBdr>
                      <w:divsChild>
                        <w:div w:id="18234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132158">
      <w:bodyDiv w:val="1"/>
      <w:marLeft w:val="0"/>
      <w:marRight w:val="0"/>
      <w:marTop w:val="0"/>
      <w:marBottom w:val="0"/>
      <w:divBdr>
        <w:top w:val="none" w:sz="0" w:space="0" w:color="auto"/>
        <w:left w:val="none" w:sz="0" w:space="0" w:color="auto"/>
        <w:bottom w:val="none" w:sz="0" w:space="0" w:color="auto"/>
        <w:right w:val="none" w:sz="0" w:space="0" w:color="auto"/>
      </w:divBdr>
      <w:divsChild>
        <w:div w:id="1240023195">
          <w:marLeft w:val="0"/>
          <w:marRight w:val="0"/>
          <w:marTop w:val="0"/>
          <w:marBottom w:val="0"/>
          <w:divBdr>
            <w:top w:val="none" w:sz="0" w:space="0" w:color="auto"/>
            <w:left w:val="none" w:sz="0" w:space="0" w:color="auto"/>
            <w:bottom w:val="none" w:sz="0" w:space="0" w:color="auto"/>
            <w:right w:val="none" w:sz="0" w:space="0" w:color="auto"/>
          </w:divBdr>
        </w:div>
        <w:div w:id="1541042655">
          <w:marLeft w:val="0"/>
          <w:marRight w:val="0"/>
          <w:marTop w:val="240"/>
          <w:marBottom w:val="0"/>
          <w:divBdr>
            <w:top w:val="none" w:sz="0" w:space="0" w:color="auto"/>
            <w:left w:val="none" w:sz="0" w:space="0" w:color="auto"/>
            <w:bottom w:val="none" w:sz="0" w:space="0" w:color="auto"/>
            <w:right w:val="none" w:sz="0" w:space="0" w:color="auto"/>
          </w:divBdr>
          <w:divsChild>
            <w:div w:id="834148666">
              <w:marLeft w:val="0"/>
              <w:marRight w:val="0"/>
              <w:marTop w:val="0"/>
              <w:marBottom w:val="0"/>
              <w:divBdr>
                <w:top w:val="none" w:sz="0" w:space="0" w:color="auto"/>
                <w:left w:val="none" w:sz="0" w:space="0" w:color="auto"/>
                <w:bottom w:val="none" w:sz="0" w:space="0" w:color="auto"/>
                <w:right w:val="none" w:sz="0" w:space="0" w:color="auto"/>
              </w:divBdr>
            </w:div>
          </w:divsChild>
        </w:div>
        <w:div w:id="1577395994">
          <w:marLeft w:val="0"/>
          <w:marRight w:val="0"/>
          <w:marTop w:val="240"/>
          <w:marBottom w:val="0"/>
          <w:divBdr>
            <w:top w:val="none" w:sz="0" w:space="0" w:color="auto"/>
            <w:left w:val="none" w:sz="0" w:space="0" w:color="auto"/>
            <w:bottom w:val="none" w:sz="0" w:space="0" w:color="auto"/>
            <w:right w:val="none" w:sz="0" w:space="0" w:color="auto"/>
          </w:divBdr>
          <w:divsChild>
            <w:div w:id="31676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4928">
      <w:bodyDiv w:val="1"/>
      <w:marLeft w:val="30"/>
      <w:marRight w:val="30"/>
      <w:marTop w:val="30"/>
      <w:marBottom w:val="30"/>
      <w:divBdr>
        <w:top w:val="none" w:sz="0" w:space="0" w:color="auto"/>
        <w:left w:val="none" w:sz="0" w:space="0" w:color="auto"/>
        <w:bottom w:val="none" w:sz="0" w:space="0" w:color="auto"/>
        <w:right w:val="none" w:sz="0" w:space="0" w:color="auto"/>
      </w:divBdr>
      <w:divsChild>
        <w:div w:id="1065109090">
          <w:marLeft w:val="0"/>
          <w:marRight w:val="0"/>
          <w:marTop w:val="0"/>
          <w:marBottom w:val="0"/>
          <w:divBdr>
            <w:top w:val="none" w:sz="0" w:space="0" w:color="auto"/>
            <w:left w:val="none" w:sz="0" w:space="0" w:color="auto"/>
            <w:bottom w:val="none" w:sz="0" w:space="0" w:color="auto"/>
            <w:right w:val="none" w:sz="0" w:space="0" w:color="auto"/>
          </w:divBdr>
          <w:divsChild>
            <w:div w:id="745423264">
              <w:marLeft w:val="45"/>
              <w:marRight w:val="45"/>
              <w:marTop w:val="45"/>
              <w:marBottom w:val="45"/>
              <w:divBdr>
                <w:top w:val="none" w:sz="0" w:space="0" w:color="auto"/>
                <w:left w:val="none" w:sz="0" w:space="0" w:color="auto"/>
                <w:bottom w:val="none" w:sz="0" w:space="0" w:color="auto"/>
                <w:right w:val="none" w:sz="0" w:space="0" w:color="auto"/>
              </w:divBdr>
              <w:divsChild>
                <w:div w:id="1172065176">
                  <w:marLeft w:val="0"/>
                  <w:marRight w:val="0"/>
                  <w:marTop w:val="0"/>
                  <w:marBottom w:val="0"/>
                  <w:divBdr>
                    <w:top w:val="none" w:sz="0" w:space="0" w:color="auto"/>
                    <w:left w:val="none" w:sz="0" w:space="0" w:color="auto"/>
                    <w:bottom w:val="none" w:sz="0" w:space="0" w:color="auto"/>
                    <w:right w:val="none" w:sz="0" w:space="0" w:color="auto"/>
                  </w:divBdr>
                  <w:divsChild>
                    <w:div w:id="1977248922">
                      <w:marLeft w:val="0"/>
                      <w:marRight w:val="0"/>
                      <w:marTop w:val="0"/>
                      <w:marBottom w:val="0"/>
                      <w:divBdr>
                        <w:top w:val="none" w:sz="0" w:space="0" w:color="auto"/>
                        <w:left w:val="none" w:sz="0" w:space="0" w:color="auto"/>
                        <w:bottom w:val="none" w:sz="0" w:space="0" w:color="auto"/>
                        <w:right w:val="none" w:sz="0" w:space="0" w:color="auto"/>
                      </w:divBdr>
                    </w:div>
                    <w:div w:id="21119696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582033">
                      <w:marLeft w:val="360"/>
                      <w:marRight w:val="0"/>
                      <w:marTop w:val="0"/>
                      <w:marBottom w:val="0"/>
                      <w:divBdr>
                        <w:top w:val="none" w:sz="0" w:space="0" w:color="auto"/>
                        <w:left w:val="none" w:sz="0" w:space="0" w:color="auto"/>
                        <w:bottom w:val="none" w:sz="0" w:space="0" w:color="auto"/>
                        <w:right w:val="none" w:sz="0" w:space="0" w:color="auto"/>
                      </w:divBdr>
                      <w:divsChild>
                        <w:div w:id="147407610">
                          <w:marLeft w:val="360"/>
                          <w:marRight w:val="0"/>
                          <w:marTop w:val="0"/>
                          <w:marBottom w:val="0"/>
                          <w:divBdr>
                            <w:top w:val="none" w:sz="0" w:space="0" w:color="auto"/>
                            <w:left w:val="none" w:sz="0" w:space="0" w:color="auto"/>
                            <w:bottom w:val="none" w:sz="0" w:space="0" w:color="auto"/>
                            <w:right w:val="none" w:sz="0" w:space="0" w:color="auto"/>
                          </w:divBdr>
                        </w:div>
                        <w:div w:id="321084823">
                          <w:marLeft w:val="360"/>
                          <w:marRight w:val="0"/>
                          <w:marTop w:val="0"/>
                          <w:marBottom w:val="0"/>
                          <w:divBdr>
                            <w:top w:val="none" w:sz="0" w:space="0" w:color="auto"/>
                            <w:left w:val="none" w:sz="0" w:space="0" w:color="auto"/>
                            <w:bottom w:val="none" w:sz="0" w:space="0" w:color="auto"/>
                            <w:right w:val="none" w:sz="0" w:space="0" w:color="auto"/>
                          </w:divBdr>
                        </w:div>
                        <w:div w:id="1126386159">
                          <w:marLeft w:val="360"/>
                          <w:marRight w:val="0"/>
                          <w:marTop w:val="0"/>
                          <w:marBottom w:val="0"/>
                          <w:divBdr>
                            <w:top w:val="none" w:sz="0" w:space="0" w:color="auto"/>
                            <w:left w:val="none" w:sz="0" w:space="0" w:color="auto"/>
                            <w:bottom w:val="none" w:sz="0" w:space="0" w:color="auto"/>
                            <w:right w:val="none" w:sz="0" w:space="0" w:color="auto"/>
                          </w:divBdr>
                        </w:div>
                        <w:div w:id="1208495466">
                          <w:marLeft w:val="360"/>
                          <w:marRight w:val="0"/>
                          <w:marTop w:val="0"/>
                          <w:marBottom w:val="0"/>
                          <w:divBdr>
                            <w:top w:val="none" w:sz="0" w:space="0" w:color="auto"/>
                            <w:left w:val="none" w:sz="0" w:space="0" w:color="auto"/>
                            <w:bottom w:val="none" w:sz="0" w:space="0" w:color="auto"/>
                            <w:right w:val="none" w:sz="0" w:space="0" w:color="auto"/>
                          </w:divBdr>
                        </w:div>
                        <w:div w:id="213774917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02451">
      <w:bodyDiv w:val="1"/>
      <w:marLeft w:val="0"/>
      <w:marRight w:val="0"/>
      <w:marTop w:val="0"/>
      <w:marBottom w:val="0"/>
      <w:divBdr>
        <w:top w:val="none" w:sz="0" w:space="0" w:color="auto"/>
        <w:left w:val="none" w:sz="0" w:space="0" w:color="auto"/>
        <w:bottom w:val="none" w:sz="0" w:space="0" w:color="auto"/>
        <w:right w:val="none" w:sz="0" w:space="0" w:color="auto"/>
      </w:divBdr>
      <w:divsChild>
        <w:div w:id="1303149871">
          <w:marLeft w:val="0"/>
          <w:marRight w:val="0"/>
          <w:marTop w:val="0"/>
          <w:marBottom w:val="0"/>
          <w:divBdr>
            <w:top w:val="none" w:sz="0" w:space="0" w:color="auto"/>
            <w:left w:val="single" w:sz="6" w:space="0" w:color="BBBBBB"/>
            <w:bottom w:val="single" w:sz="6" w:space="0" w:color="BBBBBB"/>
            <w:right w:val="single" w:sz="6" w:space="0" w:color="BBBBBB"/>
          </w:divBdr>
          <w:divsChild>
            <w:div w:id="1118720181">
              <w:marLeft w:val="0"/>
              <w:marRight w:val="0"/>
              <w:marTop w:val="0"/>
              <w:marBottom w:val="0"/>
              <w:divBdr>
                <w:top w:val="none" w:sz="0" w:space="0" w:color="auto"/>
                <w:left w:val="none" w:sz="0" w:space="0" w:color="auto"/>
                <w:bottom w:val="none" w:sz="0" w:space="0" w:color="auto"/>
                <w:right w:val="none" w:sz="0" w:space="0" w:color="auto"/>
              </w:divBdr>
              <w:divsChild>
                <w:div w:id="1836064355">
                  <w:marLeft w:val="0"/>
                  <w:marRight w:val="0"/>
                  <w:marTop w:val="75"/>
                  <w:marBottom w:val="0"/>
                  <w:divBdr>
                    <w:top w:val="none" w:sz="0" w:space="0" w:color="auto"/>
                    <w:left w:val="none" w:sz="0" w:space="0" w:color="auto"/>
                    <w:bottom w:val="none" w:sz="0" w:space="0" w:color="auto"/>
                    <w:right w:val="none" w:sz="0" w:space="0" w:color="auto"/>
                  </w:divBdr>
                  <w:divsChild>
                    <w:div w:id="1008823957">
                      <w:marLeft w:val="0"/>
                      <w:marRight w:val="0"/>
                      <w:marTop w:val="0"/>
                      <w:marBottom w:val="0"/>
                      <w:divBdr>
                        <w:top w:val="none" w:sz="0" w:space="0" w:color="auto"/>
                        <w:left w:val="none" w:sz="0" w:space="0" w:color="auto"/>
                        <w:bottom w:val="none" w:sz="0" w:space="0" w:color="auto"/>
                        <w:right w:val="none" w:sz="0" w:space="0" w:color="auto"/>
                      </w:divBdr>
                      <w:divsChild>
                        <w:div w:id="1040978760">
                          <w:marLeft w:val="0"/>
                          <w:marRight w:val="0"/>
                          <w:marTop w:val="0"/>
                          <w:marBottom w:val="0"/>
                          <w:divBdr>
                            <w:top w:val="none" w:sz="0" w:space="0" w:color="auto"/>
                            <w:left w:val="none" w:sz="0" w:space="0" w:color="auto"/>
                            <w:bottom w:val="none" w:sz="0" w:space="0" w:color="auto"/>
                            <w:right w:val="none" w:sz="0" w:space="0" w:color="auto"/>
                          </w:divBdr>
                          <w:divsChild>
                            <w:div w:id="993752140">
                              <w:marLeft w:val="0"/>
                              <w:marRight w:val="0"/>
                              <w:marTop w:val="0"/>
                              <w:marBottom w:val="0"/>
                              <w:divBdr>
                                <w:top w:val="none" w:sz="0" w:space="0" w:color="auto"/>
                                <w:left w:val="none" w:sz="0" w:space="0" w:color="auto"/>
                                <w:bottom w:val="none" w:sz="0" w:space="0" w:color="auto"/>
                                <w:right w:val="none" w:sz="0" w:space="0" w:color="auto"/>
                              </w:divBdr>
                              <w:divsChild>
                                <w:div w:id="833688232">
                                  <w:marLeft w:val="0"/>
                                  <w:marRight w:val="0"/>
                                  <w:marTop w:val="0"/>
                                  <w:marBottom w:val="0"/>
                                  <w:divBdr>
                                    <w:top w:val="none" w:sz="0" w:space="0" w:color="auto"/>
                                    <w:left w:val="none" w:sz="0" w:space="0" w:color="auto"/>
                                    <w:bottom w:val="none" w:sz="0" w:space="0" w:color="auto"/>
                                    <w:right w:val="none" w:sz="0" w:space="0" w:color="auto"/>
                                  </w:divBdr>
                                  <w:divsChild>
                                    <w:div w:id="95254377">
                                      <w:marLeft w:val="0"/>
                                      <w:marRight w:val="0"/>
                                      <w:marTop w:val="0"/>
                                      <w:marBottom w:val="0"/>
                                      <w:divBdr>
                                        <w:top w:val="none" w:sz="0" w:space="0" w:color="auto"/>
                                        <w:left w:val="none" w:sz="0" w:space="0" w:color="auto"/>
                                        <w:bottom w:val="none" w:sz="0" w:space="0" w:color="auto"/>
                                        <w:right w:val="none" w:sz="0" w:space="0" w:color="auto"/>
                                      </w:divBdr>
                                      <w:divsChild>
                                        <w:div w:id="388001123">
                                          <w:marLeft w:val="1200"/>
                                          <w:marRight w:val="1200"/>
                                          <w:marTop w:val="0"/>
                                          <w:marBottom w:val="0"/>
                                          <w:divBdr>
                                            <w:top w:val="none" w:sz="0" w:space="0" w:color="auto"/>
                                            <w:left w:val="none" w:sz="0" w:space="0" w:color="auto"/>
                                            <w:bottom w:val="none" w:sz="0" w:space="0" w:color="auto"/>
                                            <w:right w:val="none" w:sz="0" w:space="0" w:color="auto"/>
                                          </w:divBdr>
                                          <w:divsChild>
                                            <w:div w:id="1316379588">
                                              <w:marLeft w:val="0"/>
                                              <w:marRight w:val="0"/>
                                              <w:marTop w:val="0"/>
                                              <w:marBottom w:val="0"/>
                                              <w:divBdr>
                                                <w:top w:val="none" w:sz="0" w:space="0" w:color="auto"/>
                                                <w:left w:val="none" w:sz="0" w:space="0" w:color="auto"/>
                                                <w:bottom w:val="none" w:sz="0" w:space="0" w:color="auto"/>
                                                <w:right w:val="none" w:sz="0" w:space="0" w:color="auto"/>
                                              </w:divBdr>
                                              <w:divsChild>
                                                <w:div w:id="1636830271">
                                                  <w:marLeft w:val="0"/>
                                                  <w:marRight w:val="0"/>
                                                  <w:marTop w:val="0"/>
                                                  <w:marBottom w:val="0"/>
                                                  <w:divBdr>
                                                    <w:top w:val="none" w:sz="0" w:space="0" w:color="auto"/>
                                                    <w:left w:val="none" w:sz="0" w:space="0" w:color="auto"/>
                                                    <w:bottom w:val="none" w:sz="0" w:space="0" w:color="auto"/>
                                                    <w:right w:val="none" w:sz="0" w:space="0" w:color="auto"/>
                                                  </w:divBdr>
                                                  <w:divsChild>
                                                    <w:div w:id="503595106">
                                                      <w:marLeft w:val="0"/>
                                                      <w:marRight w:val="0"/>
                                                      <w:marTop w:val="0"/>
                                                      <w:marBottom w:val="0"/>
                                                      <w:divBdr>
                                                        <w:top w:val="none" w:sz="0" w:space="0" w:color="auto"/>
                                                        <w:left w:val="none" w:sz="0" w:space="0" w:color="auto"/>
                                                        <w:bottom w:val="none" w:sz="0" w:space="0" w:color="auto"/>
                                                        <w:right w:val="none" w:sz="0" w:space="0" w:color="auto"/>
                                                      </w:divBdr>
                                                      <w:divsChild>
                                                        <w:div w:id="976378507">
                                                          <w:marLeft w:val="0"/>
                                                          <w:marRight w:val="0"/>
                                                          <w:marTop w:val="0"/>
                                                          <w:marBottom w:val="0"/>
                                                          <w:divBdr>
                                                            <w:top w:val="none" w:sz="0" w:space="0" w:color="auto"/>
                                                            <w:left w:val="none" w:sz="0" w:space="0" w:color="auto"/>
                                                            <w:bottom w:val="none" w:sz="0" w:space="0" w:color="auto"/>
                                                            <w:right w:val="none" w:sz="0" w:space="0" w:color="auto"/>
                                                          </w:divBdr>
                                                        </w:div>
                                                      </w:divsChild>
                                                    </w:div>
                                                    <w:div w:id="885607422">
                                                      <w:marLeft w:val="0"/>
                                                      <w:marRight w:val="0"/>
                                                      <w:marTop w:val="0"/>
                                                      <w:marBottom w:val="0"/>
                                                      <w:divBdr>
                                                        <w:top w:val="none" w:sz="0" w:space="0" w:color="auto"/>
                                                        <w:left w:val="none" w:sz="0" w:space="0" w:color="auto"/>
                                                        <w:bottom w:val="none" w:sz="0" w:space="0" w:color="auto"/>
                                                        <w:right w:val="none" w:sz="0" w:space="0" w:color="auto"/>
                                                      </w:divBdr>
                                                      <w:divsChild>
                                                        <w:div w:id="2138522570">
                                                          <w:marLeft w:val="0"/>
                                                          <w:marRight w:val="0"/>
                                                          <w:marTop w:val="0"/>
                                                          <w:marBottom w:val="0"/>
                                                          <w:divBdr>
                                                            <w:top w:val="none" w:sz="0" w:space="0" w:color="auto"/>
                                                            <w:left w:val="none" w:sz="0" w:space="0" w:color="auto"/>
                                                            <w:bottom w:val="none" w:sz="0" w:space="0" w:color="auto"/>
                                                            <w:right w:val="none" w:sz="0" w:space="0" w:color="auto"/>
                                                          </w:divBdr>
                                                        </w:div>
                                                      </w:divsChild>
                                                    </w:div>
                                                    <w:div w:id="1578251413">
                                                      <w:marLeft w:val="0"/>
                                                      <w:marRight w:val="0"/>
                                                      <w:marTop w:val="0"/>
                                                      <w:marBottom w:val="0"/>
                                                      <w:divBdr>
                                                        <w:top w:val="none" w:sz="0" w:space="0" w:color="auto"/>
                                                        <w:left w:val="none" w:sz="0" w:space="0" w:color="auto"/>
                                                        <w:bottom w:val="none" w:sz="0" w:space="0" w:color="auto"/>
                                                        <w:right w:val="none" w:sz="0" w:space="0" w:color="auto"/>
                                                      </w:divBdr>
                                                      <w:divsChild>
                                                        <w:div w:id="1772773202">
                                                          <w:marLeft w:val="0"/>
                                                          <w:marRight w:val="0"/>
                                                          <w:marTop w:val="0"/>
                                                          <w:marBottom w:val="0"/>
                                                          <w:divBdr>
                                                            <w:top w:val="none" w:sz="0" w:space="0" w:color="auto"/>
                                                            <w:left w:val="none" w:sz="0" w:space="0" w:color="auto"/>
                                                            <w:bottom w:val="none" w:sz="0" w:space="0" w:color="auto"/>
                                                            <w:right w:val="none" w:sz="0" w:space="0" w:color="auto"/>
                                                          </w:divBdr>
                                                        </w:div>
                                                      </w:divsChild>
                                                    </w:div>
                                                    <w:div w:id="1695155916">
                                                      <w:marLeft w:val="0"/>
                                                      <w:marRight w:val="0"/>
                                                      <w:marTop w:val="0"/>
                                                      <w:marBottom w:val="0"/>
                                                      <w:divBdr>
                                                        <w:top w:val="none" w:sz="0" w:space="0" w:color="auto"/>
                                                        <w:left w:val="none" w:sz="0" w:space="0" w:color="auto"/>
                                                        <w:bottom w:val="none" w:sz="0" w:space="0" w:color="auto"/>
                                                        <w:right w:val="none" w:sz="0" w:space="0" w:color="auto"/>
                                                      </w:divBdr>
                                                      <w:divsChild>
                                                        <w:div w:id="1333140331">
                                                          <w:marLeft w:val="0"/>
                                                          <w:marRight w:val="0"/>
                                                          <w:marTop w:val="0"/>
                                                          <w:marBottom w:val="0"/>
                                                          <w:divBdr>
                                                            <w:top w:val="none" w:sz="0" w:space="0" w:color="auto"/>
                                                            <w:left w:val="none" w:sz="0" w:space="0" w:color="auto"/>
                                                            <w:bottom w:val="none" w:sz="0" w:space="0" w:color="auto"/>
                                                            <w:right w:val="none" w:sz="0" w:space="0" w:color="auto"/>
                                                          </w:divBdr>
                                                        </w:div>
                                                      </w:divsChild>
                                                    </w:div>
                                                    <w:div w:id="1926839443">
                                                      <w:marLeft w:val="0"/>
                                                      <w:marRight w:val="0"/>
                                                      <w:marTop w:val="0"/>
                                                      <w:marBottom w:val="0"/>
                                                      <w:divBdr>
                                                        <w:top w:val="none" w:sz="0" w:space="0" w:color="auto"/>
                                                        <w:left w:val="none" w:sz="0" w:space="0" w:color="auto"/>
                                                        <w:bottom w:val="none" w:sz="0" w:space="0" w:color="auto"/>
                                                        <w:right w:val="none" w:sz="0" w:space="0" w:color="auto"/>
                                                      </w:divBdr>
                                                      <w:divsChild>
                                                        <w:div w:id="4410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9179657">
      <w:bodyDiv w:val="1"/>
      <w:marLeft w:val="0"/>
      <w:marRight w:val="0"/>
      <w:marTop w:val="0"/>
      <w:marBottom w:val="0"/>
      <w:divBdr>
        <w:top w:val="none" w:sz="0" w:space="0" w:color="auto"/>
        <w:left w:val="none" w:sz="0" w:space="0" w:color="auto"/>
        <w:bottom w:val="none" w:sz="0" w:space="0" w:color="auto"/>
        <w:right w:val="none" w:sz="0" w:space="0" w:color="auto"/>
      </w:divBdr>
      <w:divsChild>
        <w:div w:id="1387148192">
          <w:marLeft w:val="0"/>
          <w:marRight w:val="0"/>
          <w:marTop w:val="0"/>
          <w:marBottom w:val="0"/>
          <w:divBdr>
            <w:top w:val="none" w:sz="0" w:space="0" w:color="auto"/>
            <w:left w:val="single" w:sz="6" w:space="0" w:color="BBBBBB"/>
            <w:bottom w:val="single" w:sz="6" w:space="0" w:color="BBBBBB"/>
            <w:right w:val="single" w:sz="6" w:space="0" w:color="BBBBBB"/>
          </w:divBdr>
          <w:divsChild>
            <w:div w:id="926571415">
              <w:marLeft w:val="0"/>
              <w:marRight w:val="0"/>
              <w:marTop w:val="0"/>
              <w:marBottom w:val="0"/>
              <w:divBdr>
                <w:top w:val="none" w:sz="0" w:space="0" w:color="auto"/>
                <w:left w:val="none" w:sz="0" w:space="0" w:color="auto"/>
                <w:bottom w:val="none" w:sz="0" w:space="0" w:color="auto"/>
                <w:right w:val="none" w:sz="0" w:space="0" w:color="auto"/>
              </w:divBdr>
              <w:divsChild>
                <w:div w:id="1346664861">
                  <w:marLeft w:val="0"/>
                  <w:marRight w:val="0"/>
                  <w:marTop w:val="75"/>
                  <w:marBottom w:val="0"/>
                  <w:divBdr>
                    <w:top w:val="none" w:sz="0" w:space="0" w:color="auto"/>
                    <w:left w:val="none" w:sz="0" w:space="0" w:color="auto"/>
                    <w:bottom w:val="none" w:sz="0" w:space="0" w:color="auto"/>
                    <w:right w:val="none" w:sz="0" w:space="0" w:color="auto"/>
                  </w:divBdr>
                  <w:divsChild>
                    <w:div w:id="948901915">
                      <w:marLeft w:val="0"/>
                      <w:marRight w:val="0"/>
                      <w:marTop w:val="0"/>
                      <w:marBottom w:val="0"/>
                      <w:divBdr>
                        <w:top w:val="none" w:sz="0" w:space="0" w:color="auto"/>
                        <w:left w:val="none" w:sz="0" w:space="0" w:color="auto"/>
                        <w:bottom w:val="none" w:sz="0" w:space="0" w:color="auto"/>
                        <w:right w:val="none" w:sz="0" w:space="0" w:color="auto"/>
                      </w:divBdr>
                      <w:divsChild>
                        <w:div w:id="312830638">
                          <w:marLeft w:val="0"/>
                          <w:marRight w:val="0"/>
                          <w:marTop w:val="0"/>
                          <w:marBottom w:val="0"/>
                          <w:divBdr>
                            <w:top w:val="none" w:sz="0" w:space="0" w:color="auto"/>
                            <w:left w:val="none" w:sz="0" w:space="0" w:color="auto"/>
                            <w:bottom w:val="none" w:sz="0" w:space="0" w:color="auto"/>
                            <w:right w:val="none" w:sz="0" w:space="0" w:color="auto"/>
                          </w:divBdr>
                          <w:divsChild>
                            <w:div w:id="1851215007">
                              <w:marLeft w:val="0"/>
                              <w:marRight w:val="0"/>
                              <w:marTop w:val="0"/>
                              <w:marBottom w:val="0"/>
                              <w:divBdr>
                                <w:top w:val="none" w:sz="0" w:space="0" w:color="auto"/>
                                <w:left w:val="none" w:sz="0" w:space="0" w:color="auto"/>
                                <w:bottom w:val="none" w:sz="0" w:space="0" w:color="auto"/>
                                <w:right w:val="none" w:sz="0" w:space="0" w:color="auto"/>
                              </w:divBdr>
                              <w:divsChild>
                                <w:div w:id="114376594">
                                  <w:marLeft w:val="0"/>
                                  <w:marRight w:val="0"/>
                                  <w:marTop w:val="0"/>
                                  <w:marBottom w:val="0"/>
                                  <w:divBdr>
                                    <w:top w:val="none" w:sz="0" w:space="0" w:color="auto"/>
                                    <w:left w:val="none" w:sz="0" w:space="0" w:color="auto"/>
                                    <w:bottom w:val="none" w:sz="0" w:space="0" w:color="auto"/>
                                    <w:right w:val="none" w:sz="0" w:space="0" w:color="auto"/>
                                  </w:divBdr>
                                  <w:divsChild>
                                    <w:div w:id="1219977870">
                                      <w:marLeft w:val="0"/>
                                      <w:marRight w:val="0"/>
                                      <w:marTop w:val="0"/>
                                      <w:marBottom w:val="0"/>
                                      <w:divBdr>
                                        <w:top w:val="none" w:sz="0" w:space="0" w:color="auto"/>
                                        <w:left w:val="none" w:sz="0" w:space="0" w:color="auto"/>
                                        <w:bottom w:val="none" w:sz="0" w:space="0" w:color="auto"/>
                                        <w:right w:val="none" w:sz="0" w:space="0" w:color="auto"/>
                                      </w:divBdr>
                                      <w:divsChild>
                                        <w:div w:id="747577378">
                                          <w:marLeft w:val="1200"/>
                                          <w:marRight w:val="1200"/>
                                          <w:marTop w:val="0"/>
                                          <w:marBottom w:val="0"/>
                                          <w:divBdr>
                                            <w:top w:val="none" w:sz="0" w:space="0" w:color="auto"/>
                                            <w:left w:val="none" w:sz="0" w:space="0" w:color="auto"/>
                                            <w:bottom w:val="none" w:sz="0" w:space="0" w:color="auto"/>
                                            <w:right w:val="none" w:sz="0" w:space="0" w:color="auto"/>
                                          </w:divBdr>
                                          <w:divsChild>
                                            <w:div w:id="995458345">
                                              <w:marLeft w:val="0"/>
                                              <w:marRight w:val="0"/>
                                              <w:marTop w:val="0"/>
                                              <w:marBottom w:val="0"/>
                                              <w:divBdr>
                                                <w:top w:val="none" w:sz="0" w:space="0" w:color="auto"/>
                                                <w:left w:val="none" w:sz="0" w:space="0" w:color="auto"/>
                                                <w:bottom w:val="none" w:sz="0" w:space="0" w:color="auto"/>
                                                <w:right w:val="none" w:sz="0" w:space="0" w:color="auto"/>
                                              </w:divBdr>
                                              <w:divsChild>
                                                <w:div w:id="560753546">
                                                  <w:marLeft w:val="0"/>
                                                  <w:marRight w:val="0"/>
                                                  <w:marTop w:val="0"/>
                                                  <w:marBottom w:val="0"/>
                                                  <w:divBdr>
                                                    <w:top w:val="none" w:sz="0" w:space="0" w:color="auto"/>
                                                    <w:left w:val="none" w:sz="0" w:space="0" w:color="auto"/>
                                                    <w:bottom w:val="none" w:sz="0" w:space="0" w:color="auto"/>
                                                    <w:right w:val="none" w:sz="0" w:space="0" w:color="auto"/>
                                                  </w:divBdr>
                                                  <w:divsChild>
                                                    <w:div w:id="662389629">
                                                      <w:marLeft w:val="0"/>
                                                      <w:marRight w:val="0"/>
                                                      <w:marTop w:val="0"/>
                                                      <w:marBottom w:val="0"/>
                                                      <w:divBdr>
                                                        <w:top w:val="none" w:sz="0" w:space="0" w:color="auto"/>
                                                        <w:left w:val="none" w:sz="0" w:space="0" w:color="auto"/>
                                                        <w:bottom w:val="none" w:sz="0" w:space="0" w:color="auto"/>
                                                        <w:right w:val="none" w:sz="0" w:space="0" w:color="auto"/>
                                                      </w:divBdr>
                                                      <w:divsChild>
                                                        <w:div w:id="928387801">
                                                          <w:marLeft w:val="0"/>
                                                          <w:marRight w:val="0"/>
                                                          <w:marTop w:val="0"/>
                                                          <w:marBottom w:val="0"/>
                                                          <w:divBdr>
                                                            <w:top w:val="none" w:sz="0" w:space="0" w:color="auto"/>
                                                            <w:left w:val="none" w:sz="0" w:space="0" w:color="auto"/>
                                                            <w:bottom w:val="none" w:sz="0" w:space="0" w:color="auto"/>
                                                            <w:right w:val="none" w:sz="0" w:space="0" w:color="auto"/>
                                                          </w:divBdr>
                                                          <w:divsChild>
                                                            <w:div w:id="207110971">
                                                              <w:marLeft w:val="0"/>
                                                              <w:marRight w:val="0"/>
                                                              <w:marTop w:val="0"/>
                                                              <w:marBottom w:val="0"/>
                                                              <w:divBdr>
                                                                <w:top w:val="none" w:sz="0" w:space="0" w:color="auto"/>
                                                                <w:left w:val="none" w:sz="0" w:space="0" w:color="auto"/>
                                                                <w:bottom w:val="none" w:sz="0" w:space="0" w:color="auto"/>
                                                                <w:right w:val="none" w:sz="0" w:space="0" w:color="auto"/>
                                                              </w:divBdr>
                                                              <w:divsChild>
                                                                <w:div w:id="1929650886">
                                                                  <w:marLeft w:val="0"/>
                                                                  <w:marRight w:val="0"/>
                                                                  <w:marTop w:val="0"/>
                                                                  <w:marBottom w:val="0"/>
                                                                  <w:divBdr>
                                                                    <w:top w:val="none" w:sz="0" w:space="0" w:color="auto"/>
                                                                    <w:left w:val="none" w:sz="0" w:space="0" w:color="auto"/>
                                                                    <w:bottom w:val="none" w:sz="0" w:space="0" w:color="auto"/>
                                                                    <w:right w:val="none" w:sz="0" w:space="0" w:color="auto"/>
                                                                  </w:divBdr>
                                                                  <w:divsChild>
                                                                    <w:div w:id="641346946">
                                                                      <w:marLeft w:val="0"/>
                                                                      <w:marRight w:val="0"/>
                                                                      <w:marTop w:val="0"/>
                                                                      <w:marBottom w:val="0"/>
                                                                      <w:divBdr>
                                                                        <w:top w:val="none" w:sz="0" w:space="0" w:color="auto"/>
                                                                        <w:left w:val="none" w:sz="0" w:space="0" w:color="auto"/>
                                                                        <w:bottom w:val="none" w:sz="0" w:space="0" w:color="auto"/>
                                                                        <w:right w:val="none" w:sz="0" w:space="0" w:color="auto"/>
                                                                      </w:divBdr>
                                                                      <w:divsChild>
                                                                        <w:div w:id="160853541">
                                                                          <w:marLeft w:val="0"/>
                                                                          <w:marRight w:val="0"/>
                                                                          <w:marTop w:val="0"/>
                                                                          <w:marBottom w:val="0"/>
                                                                          <w:divBdr>
                                                                            <w:top w:val="none" w:sz="0" w:space="0" w:color="auto"/>
                                                                            <w:left w:val="none" w:sz="0" w:space="0" w:color="auto"/>
                                                                            <w:bottom w:val="none" w:sz="0" w:space="0" w:color="auto"/>
                                                                            <w:right w:val="none" w:sz="0" w:space="0" w:color="auto"/>
                                                                          </w:divBdr>
                                                                        </w:div>
                                                                      </w:divsChild>
                                                                    </w:div>
                                                                    <w:div w:id="1662538964">
                                                                      <w:marLeft w:val="0"/>
                                                                      <w:marRight w:val="0"/>
                                                                      <w:marTop w:val="0"/>
                                                                      <w:marBottom w:val="0"/>
                                                                      <w:divBdr>
                                                                        <w:top w:val="none" w:sz="0" w:space="0" w:color="auto"/>
                                                                        <w:left w:val="none" w:sz="0" w:space="0" w:color="auto"/>
                                                                        <w:bottom w:val="none" w:sz="0" w:space="0" w:color="auto"/>
                                                                        <w:right w:val="none" w:sz="0" w:space="0" w:color="auto"/>
                                                                      </w:divBdr>
                                                                      <w:divsChild>
                                                                        <w:div w:id="190587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763846">
      <w:bodyDiv w:val="1"/>
      <w:marLeft w:val="0"/>
      <w:marRight w:val="0"/>
      <w:marTop w:val="0"/>
      <w:marBottom w:val="0"/>
      <w:divBdr>
        <w:top w:val="none" w:sz="0" w:space="0" w:color="auto"/>
        <w:left w:val="none" w:sz="0" w:space="0" w:color="auto"/>
        <w:bottom w:val="none" w:sz="0" w:space="0" w:color="auto"/>
        <w:right w:val="none" w:sz="0" w:space="0" w:color="auto"/>
      </w:divBdr>
      <w:divsChild>
        <w:div w:id="249238003">
          <w:marLeft w:val="0"/>
          <w:marRight w:val="0"/>
          <w:marTop w:val="0"/>
          <w:marBottom w:val="0"/>
          <w:divBdr>
            <w:top w:val="none" w:sz="0" w:space="0" w:color="auto"/>
            <w:left w:val="single" w:sz="6" w:space="0" w:color="BBBBBB"/>
            <w:bottom w:val="single" w:sz="6" w:space="0" w:color="BBBBBB"/>
            <w:right w:val="single" w:sz="6" w:space="0" w:color="BBBBBB"/>
          </w:divBdr>
          <w:divsChild>
            <w:div w:id="2035308344">
              <w:marLeft w:val="0"/>
              <w:marRight w:val="0"/>
              <w:marTop w:val="0"/>
              <w:marBottom w:val="0"/>
              <w:divBdr>
                <w:top w:val="none" w:sz="0" w:space="0" w:color="auto"/>
                <w:left w:val="none" w:sz="0" w:space="0" w:color="auto"/>
                <w:bottom w:val="none" w:sz="0" w:space="0" w:color="auto"/>
                <w:right w:val="none" w:sz="0" w:space="0" w:color="auto"/>
              </w:divBdr>
              <w:divsChild>
                <w:div w:id="1680430980">
                  <w:marLeft w:val="0"/>
                  <w:marRight w:val="0"/>
                  <w:marTop w:val="0"/>
                  <w:marBottom w:val="0"/>
                  <w:divBdr>
                    <w:top w:val="none" w:sz="0" w:space="0" w:color="auto"/>
                    <w:left w:val="none" w:sz="0" w:space="0" w:color="auto"/>
                    <w:bottom w:val="none" w:sz="0" w:space="0" w:color="auto"/>
                    <w:right w:val="none" w:sz="0" w:space="0" w:color="auto"/>
                  </w:divBdr>
                  <w:divsChild>
                    <w:div w:id="1380130190">
                      <w:marLeft w:val="0"/>
                      <w:marRight w:val="0"/>
                      <w:marTop w:val="0"/>
                      <w:marBottom w:val="0"/>
                      <w:divBdr>
                        <w:top w:val="none" w:sz="0" w:space="0" w:color="auto"/>
                        <w:left w:val="none" w:sz="0" w:space="0" w:color="auto"/>
                        <w:bottom w:val="none" w:sz="0" w:space="0" w:color="auto"/>
                        <w:right w:val="none" w:sz="0" w:space="0" w:color="auto"/>
                      </w:divBdr>
                      <w:divsChild>
                        <w:div w:id="1999382242">
                          <w:marLeft w:val="0"/>
                          <w:marRight w:val="0"/>
                          <w:marTop w:val="0"/>
                          <w:marBottom w:val="0"/>
                          <w:divBdr>
                            <w:top w:val="none" w:sz="0" w:space="0" w:color="auto"/>
                            <w:left w:val="none" w:sz="0" w:space="0" w:color="auto"/>
                            <w:bottom w:val="none" w:sz="0" w:space="0" w:color="auto"/>
                            <w:right w:val="none" w:sz="0" w:space="0" w:color="auto"/>
                          </w:divBdr>
                          <w:divsChild>
                            <w:div w:id="1438715578">
                              <w:marLeft w:val="0"/>
                              <w:marRight w:val="0"/>
                              <w:marTop w:val="0"/>
                              <w:marBottom w:val="0"/>
                              <w:divBdr>
                                <w:top w:val="none" w:sz="0" w:space="0" w:color="auto"/>
                                <w:left w:val="none" w:sz="0" w:space="0" w:color="auto"/>
                                <w:bottom w:val="none" w:sz="0" w:space="0" w:color="auto"/>
                                <w:right w:val="none" w:sz="0" w:space="0" w:color="auto"/>
                              </w:divBdr>
                              <w:divsChild>
                                <w:div w:id="676618416">
                                  <w:marLeft w:val="0"/>
                                  <w:marRight w:val="0"/>
                                  <w:marTop w:val="0"/>
                                  <w:marBottom w:val="0"/>
                                  <w:divBdr>
                                    <w:top w:val="none" w:sz="0" w:space="0" w:color="auto"/>
                                    <w:left w:val="none" w:sz="0" w:space="0" w:color="auto"/>
                                    <w:bottom w:val="none" w:sz="0" w:space="0" w:color="auto"/>
                                    <w:right w:val="none" w:sz="0" w:space="0" w:color="auto"/>
                                  </w:divBdr>
                                  <w:divsChild>
                                    <w:div w:id="723481502">
                                      <w:marLeft w:val="0"/>
                                      <w:marRight w:val="0"/>
                                      <w:marTop w:val="0"/>
                                      <w:marBottom w:val="0"/>
                                      <w:divBdr>
                                        <w:top w:val="none" w:sz="0" w:space="0" w:color="auto"/>
                                        <w:left w:val="none" w:sz="0" w:space="0" w:color="auto"/>
                                        <w:bottom w:val="none" w:sz="0" w:space="0" w:color="auto"/>
                                        <w:right w:val="none" w:sz="0" w:space="0" w:color="auto"/>
                                      </w:divBdr>
                                      <w:divsChild>
                                        <w:div w:id="292444664">
                                          <w:marLeft w:val="1200"/>
                                          <w:marRight w:val="1200"/>
                                          <w:marTop w:val="0"/>
                                          <w:marBottom w:val="0"/>
                                          <w:divBdr>
                                            <w:top w:val="none" w:sz="0" w:space="0" w:color="auto"/>
                                            <w:left w:val="none" w:sz="0" w:space="0" w:color="auto"/>
                                            <w:bottom w:val="none" w:sz="0" w:space="0" w:color="auto"/>
                                            <w:right w:val="none" w:sz="0" w:space="0" w:color="auto"/>
                                          </w:divBdr>
                                          <w:divsChild>
                                            <w:div w:id="486677433">
                                              <w:marLeft w:val="0"/>
                                              <w:marRight w:val="0"/>
                                              <w:marTop w:val="0"/>
                                              <w:marBottom w:val="0"/>
                                              <w:divBdr>
                                                <w:top w:val="none" w:sz="0" w:space="0" w:color="auto"/>
                                                <w:left w:val="none" w:sz="0" w:space="0" w:color="auto"/>
                                                <w:bottom w:val="none" w:sz="0" w:space="0" w:color="auto"/>
                                                <w:right w:val="none" w:sz="0" w:space="0" w:color="auto"/>
                                              </w:divBdr>
                                              <w:divsChild>
                                                <w:div w:id="906186274">
                                                  <w:marLeft w:val="0"/>
                                                  <w:marRight w:val="0"/>
                                                  <w:marTop w:val="0"/>
                                                  <w:marBottom w:val="0"/>
                                                  <w:divBdr>
                                                    <w:top w:val="none" w:sz="0" w:space="0" w:color="auto"/>
                                                    <w:left w:val="none" w:sz="0" w:space="0" w:color="auto"/>
                                                    <w:bottom w:val="none" w:sz="0" w:space="0" w:color="auto"/>
                                                    <w:right w:val="none" w:sz="0" w:space="0" w:color="auto"/>
                                                  </w:divBdr>
                                                  <w:divsChild>
                                                    <w:div w:id="487868696">
                                                      <w:marLeft w:val="0"/>
                                                      <w:marRight w:val="0"/>
                                                      <w:marTop w:val="0"/>
                                                      <w:marBottom w:val="0"/>
                                                      <w:divBdr>
                                                        <w:top w:val="none" w:sz="0" w:space="0" w:color="auto"/>
                                                        <w:left w:val="none" w:sz="0" w:space="0" w:color="auto"/>
                                                        <w:bottom w:val="none" w:sz="0" w:space="0" w:color="auto"/>
                                                        <w:right w:val="none" w:sz="0" w:space="0" w:color="auto"/>
                                                      </w:divBdr>
                                                      <w:divsChild>
                                                        <w:div w:id="195850278">
                                                          <w:marLeft w:val="0"/>
                                                          <w:marRight w:val="0"/>
                                                          <w:marTop w:val="0"/>
                                                          <w:marBottom w:val="0"/>
                                                          <w:divBdr>
                                                            <w:top w:val="none" w:sz="0" w:space="0" w:color="auto"/>
                                                            <w:left w:val="none" w:sz="0" w:space="0" w:color="auto"/>
                                                            <w:bottom w:val="none" w:sz="0" w:space="0" w:color="auto"/>
                                                            <w:right w:val="none" w:sz="0" w:space="0" w:color="auto"/>
                                                          </w:divBdr>
                                                          <w:divsChild>
                                                            <w:div w:id="2010525613">
                                                              <w:marLeft w:val="0"/>
                                                              <w:marRight w:val="0"/>
                                                              <w:marTop w:val="0"/>
                                                              <w:marBottom w:val="0"/>
                                                              <w:divBdr>
                                                                <w:top w:val="none" w:sz="0" w:space="0" w:color="auto"/>
                                                                <w:left w:val="none" w:sz="0" w:space="0" w:color="auto"/>
                                                                <w:bottom w:val="none" w:sz="0" w:space="0" w:color="auto"/>
                                                                <w:right w:val="none" w:sz="0" w:space="0" w:color="auto"/>
                                                              </w:divBdr>
                                                              <w:divsChild>
                                                                <w:div w:id="1802723815">
                                                                  <w:marLeft w:val="0"/>
                                                                  <w:marRight w:val="0"/>
                                                                  <w:marTop w:val="0"/>
                                                                  <w:marBottom w:val="0"/>
                                                                  <w:divBdr>
                                                                    <w:top w:val="none" w:sz="0" w:space="0" w:color="auto"/>
                                                                    <w:left w:val="none" w:sz="0" w:space="0" w:color="auto"/>
                                                                    <w:bottom w:val="none" w:sz="0" w:space="0" w:color="auto"/>
                                                                    <w:right w:val="none" w:sz="0" w:space="0" w:color="auto"/>
                                                                  </w:divBdr>
                                                                  <w:divsChild>
                                                                    <w:div w:id="182324195">
                                                                      <w:marLeft w:val="0"/>
                                                                      <w:marRight w:val="0"/>
                                                                      <w:marTop w:val="0"/>
                                                                      <w:marBottom w:val="0"/>
                                                                      <w:divBdr>
                                                                        <w:top w:val="none" w:sz="0" w:space="0" w:color="auto"/>
                                                                        <w:left w:val="none" w:sz="0" w:space="0" w:color="auto"/>
                                                                        <w:bottom w:val="none" w:sz="0" w:space="0" w:color="auto"/>
                                                                        <w:right w:val="none" w:sz="0" w:space="0" w:color="auto"/>
                                                                      </w:divBdr>
                                                                      <w:divsChild>
                                                                        <w:div w:id="1216626356">
                                                                          <w:marLeft w:val="0"/>
                                                                          <w:marRight w:val="0"/>
                                                                          <w:marTop w:val="0"/>
                                                                          <w:marBottom w:val="0"/>
                                                                          <w:divBdr>
                                                                            <w:top w:val="none" w:sz="0" w:space="0" w:color="auto"/>
                                                                            <w:left w:val="none" w:sz="0" w:space="0" w:color="auto"/>
                                                                            <w:bottom w:val="none" w:sz="0" w:space="0" w:color="auto"/>
                                                                            <w:right w:val="none" w:sz="0" w:space="0" w:color="auto"/>
                                                                          </w:divBdr>
                                                                        </w:div>
                                                                      </w:divsChild>
                                                                    </w:div>
                                                                    <w:div w:id="637338648">
                                                                      <w:marLeft w:val="0"/>
                                                                      <w:marRight w:val="0"/>
                                                                      <w:marTop w:val="0"/>
                                                                      <w:marBottom w:val="0"/>
                                                                      <w:divBdr>
                                                                        <w:top w:val="none" w:sz="0" w:space="0" w:color="auto"/>
                                                                        <w:left w:val="none" w:sz="0" w:space="0" w:color="auto"/>
                                                                        <w:bottom w:val="none" w:sz="0" w:space="0" w:color="auto"/>
                                                                        <w:right w:val="none" w:sz="0" w:space="0" w:color="auto"/>
                                                                      </w:divBdr>
                                                                      <w:divsChild>
                                                                        <w:div w:id="397944459">
                                                                          <w:marLeft w:val="0"/>
                                                                          <w:marRight w:val="0"/>
                                                                          <w:marTop w:val="0"/>
                                                                          <w:marBottom w:val="0"/>
                                                                          <w:divBdr>
                                                                            <w:top w:val="none" w:sz="0" w:space="0" w:color="auto"/>
                                                                            <w:left w:val="none" w:sz="0" w:space="0" w:color="auto"/>
                                                                            <w:bottom w:val="none" w:sz="0" w:space="0" w:color="auto"/>
                                                                            <w:right w:val="none" w:sz="0" w:space="0" w:color="auto"/>
                                                                          </w:divBdr>
                                                                        </w:div>
                                                                      </w:divsChild>
                                                                    </w:div>
                                                                    <w:div w:id="1658336091">
                                                                      <w:marLeft w:val="0"/>
                                                                      <w:marRight w:val="0"/>
                                                                      <w:marTop w:val="0"/>
                                                                      <w:marBottom w:val="0"/>
                                                                      <w:divBdr>
                                                                        <w:top w:val="none" w:sz="0" w:space="0" w:color="auto"/>
                                                                        <w:left w:val="none" w:sz="0" w:space="0" w:color="auto"/>
                                                                        <w:bottom w:val="none" w:sz="0" w:space="0" w:color="auto"/>
                                                                        <w:right w:val="none" w:sz="0" w:space="0" w:color="auto"/>
                                                                      </w:divBdr>
                                                                      <w:divsChild>
                                                                        <w:div w:id="1215194445">
                                                                          <w:marLeft w:val="0"/>
                                                                          <w:marRight w:val="0"/>
                                                                          <w:marTop w:val="0"/>
                                                                          <w:marBottom w:val="0"/>
                                                                          <w:divBdr>
                                                                            <w:top w:val="none" w:sz="0" w:space="0" w:color="auto"/>
                                                                            <w:left w:val="none" w:sz="0" w:space="0" w:color="auto"/>
                                                                            <w:bottom w:val="none" w:sz="0" w:space="0" w:color="auto"/>
                                                                            <w:right w:val="none" w:sz="0" w:space="0" w:color="auto"/>
                                                                          </w:divBdr>
                                                                        </w:div>
                                                                      </w:divsChild>
                                                                    </w:div>
                                                                    <w:div w:id="1875341686">
                                                                      <w:marLeft w:val="0"/>
                                                                      <w:marRight w:val="0"/>
                                                                      <w:marTop w:val="0"/>
                                                                      <w:marBottom w:val="0"/>
                                                                      <w:divBdr>
                                                                        <w:top w:val="none" w:sz="0" w:space="0" w:color="auto"/>
                                                                        <w:left w:val="none" w:sz="0" w:space="0" w:color="auto"/>
                                                                        <w:bottom w:val="none" w:sz="0" w:space="0" w:color="auto"/>
                                                                        <w:right w:val="none" w:sz="0" w:space="0" w:color="auto"/>
                                                                      </w:divBdr>
                                                                      <w:divsChild>
                                                                        <w:div w:id="170730044">
                                                                          <w:marLeft w:val="0"/>
                                                                          <w:marRight w:val="0"/>
                                                                          <w:marTop w:val="0"/>
                                                                          <w:marBottom w:val="0"/>
                                                                          <w:divBdr>
                                                                            <w:top w:val="none" w:sz="0" w:space="0" w:color="auto"/>
                                                                            <w:left w:val="none" w:sz="0" w:space="0" w:color="auto"/>
                                                                            <w:bottom w:val="none" w:sz="0" w:space="0" w:color="auto"/>
                                                                            <w:right w:val="none" w:sz="0" w:space="0" w:color="auto"/>
                                                                          </w:divBdr>
                                                                        </w:div>
                                                                      </w:divsChild>
                                                                    </w:div>
                                                                    <w:div w:id="2011760154">
                                                                      <w:marLeft w:val="0"/>
                                                                      <w:marRight w:val="0"/>
                                                                      <w:marTop w:val="0"/>
                                                                      <w:marBottom w:val="0"/>
                                                                      <w:divBdr>
                                                                        <w:top w:val="none" w:sz="0" w:space="0" w:color="auto"/>
                                                                        <w:left w:val="none" w:sz="0" w:space="0" w:color="auto"/>
                                                                        <w:bottom w:val="none" w:sz="0" w:space="0" w:color="auto"/>
                                                                        <w:right w:val="none" w:sz="0" w:space="0" w:color="auto"/>
                                                                      </w:divBdr>
                                                                      <w:divsChild>
                                                                        <w:div w:id="750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158296">
      <w:bodyDiv w:val="1"/>
      <w:marLeft w:val="0"/>
      <w:marRight w:val="0"/>
      <w:marTop w:val="0"/>
      <w:marBottom w:val="0"/>
      <w:divBdr>
        <w:top w:val="none" w:sz="0" w:space="0" w:color="auto"/>
        <w:left w:val="none" w:sz="0" w:space="0" w:color="auto"/>
        <w:bottom w:val="none" w:sz="0" w:space="0" w:color="auto"/>
        <w:right w:val="none" w:sz="0" w:space="0" w:color="auto"/>
      </w:divBdr>
      <w:divsChild>
        <w:div w:id="2072074044">
          <w:marLeft w:val="0"/>
          <w:marRight w:val="0"/>
          <w:marTop w:val="0"/>
          <w:marBottom w:val="0"/>
          <w:divBdr>
            <w:top w:val="none" w:sz="0" w:space="0" w:color="auto"/>
            <w:left w:val="none" w:sz="0" w:space="0" w:color="auto"/>
            <w:bottom w:val="none" w:sz="0" w:space="0" w:color="auto"/>
            <w:right w:val="none" w:sz="0" w:space="0" w:color="auto"/>
          </w:divBdr>
          <w:divsChild>
            <w:div w:id="508447409">
              <w:marLeft w:val="0"/>
              <w:marRight w:val="0"/>
              <w:marTop w:val="0"/>
              <w:marBottom w:val="0"/>
              <w:divBdr>
                <w:top w:val="none" w:sz="0" w:space="0" w:color="auto"/>
                <w:left w:val="none" w:sz="0" w:space="0" w:color="auto"/>
                <w:bottom w:val="none" w:sz="0" w:space="0" w:color="auto"/>
                <w:right w:val="none" w:sz="0" w:space="0" w:color="auto"/>
              </w:divBdr>
              <w:divsChild>
                <w:div w:id="1782916646">
                  <w:marLeft w:val="0"/>
                  <w:marRight w:val="0"/>
                  <w:marTop w:val="0"/>
                  <w:marBottom w:val="0"/>
                  <w:divBdr>
                    <w:top w:val="none" w:sz="0" w:space="0" w:color="auto"/>
                    <w:left w:val="none" w:sz="0" w:space="0" w:color="auto"/>
                    <w:bottom w:val="none" w:sz="0" w:space="0" w:color="auto"/>
                    <w:right w:val="none" w:sz="0" w:space="0" w:color="auto"/>
                  </w:divBdr>
                  <w:divsChild>
                    <w:div w:id="1164660781">
                      <w:marLeft w:val="0"/>
                      <w:marRight w:val="0"/>
                      <w:marTop w:val="0"/>
                      <w:marBottom w:val="375"/>
                      <w:divBdr>
                        <w:top w:val="none" w:sz="0" w:space="0" w:color="auto"/>
                        <w:left w:val="none" w:sz="0" w:space="0" w:color="auto"/>
                        <w:bottom w:val="none" w:sz="0" w:space="0" w:color="auto"/>
                        <w:right w:val="none" w:sz="0" w:space="0" w:color="auto"/>
                      </w:divBdr>
                      <w:divsChild>
                        <w:div w:id="10638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976144">
      <w:bodyDiv w:val="1"/>
      <w:marLeft w:val="30"/>
      <w:marRight w:val="30"/>
      <w:marTop w:val="30"/>
      <w:marBottom w:val="30"/>
      <w:divBdr>
        <w:top w:val="none" w:sz="0" w:space="0" w:color="auto"/>
        <w:left w:val="none" w:sz="0" w:space="0" w:color="auto"/>
        <w:bottom w:val="none" w:sz="0" w:space="0" w:color="auto"/>
        <w:right w:val="none" w:sz="0" w:space="0" w:color="auto"/>
      </w:divBdr>
      <w:divsChild>
        <w:div w:id="1891647553">
          <w:marLeft w:val="0"/>
          <w:marRight w:val="0"/>
          <w:marTop w:val="0"/>
          <w:marBottom w:val="0"/>
          <w:divBdr>
            <w:top w:val="none" w:sz="0" w:space="0" w:color="auto"/>
            <w:left w:val="none" w:sz="0" w:space="0" w:color="auto"/>
            <w:bottom w:val="none" w:sz="0" w:space="0" w:color="auto"/>
            <w:right w:val="none" w:sz="0" w:space="0" w:color="auto"/>
          </w:divBdr>
          <w:divsChild>
            <w:div w:id="628824966">
              <w:marLeft w:val="45"/>
              <w:marRight w:val="45"/>
              <w:marTop w:val="45"/>
              <w:marBottom w:val="45"/>
              <w:divBdr>
                <w:top w:val="none" w:sz="0" w:space="0" w:color="auto"/>
                <w:left w:val="none" w:sz="0" w:space="0" w:color="auto"/>
                <w:bottom w:val="none" w:sz="0" w:space="0" w:color="auto"/>
                <w:right w:val="none" w:sz="0" w:space="0" w:color="auto"/>
              </w:divBdr>
              <w:divsChild>
                <w:div w:id="487283132">
                  <w:marLeft w:val="0"/>
                  <w:marRight w:val="0"/>
                  <w:marTop w:val="0"/>
                  <w:marBottom w:val="0"/>
                  <w:divBdr>
                    <w:top w:val="none" w:sz="0" w:space="0" w:color="auto"/>
                    <w:left w:val="none" w:sz="0" w:space="0" w:color="auto"/>
                    <w:bottom w:val="none" w:sz="0" w:space="0" w:color="auto"/>
                    <w:right w:val="none" w:sz="0" w:space="0" w:color="auto"/>
                  </w:divBdr>
                  <w:divsChild>
                    <w:div w:id="768240328">
                      <w:marLeft w:val="0"/>
                      <w:marRight w:val="0"/>
                      <w:marTop w:val="0"/>
                      <w:marBottom w:val="0"/>
                      <w:divBdr>
                        <w:top w:val="none" w:sz="0" w:space="0" w:color="auto"/>
                        <w:left w:val="none" w:sz="0" w:space="0" w:color="auto"/>
                        <w:bottom w:val="none" w:sz="0" w:space="0" w:color="auto"/>
                        <w:right w:val="none" w:sz="0" w:space="0" w:color="auto"/>
                      </w:divBdr>
                    </w:div>
                    <w:div w:id="1394813991">
                      <w:marLeft w:val="0"/>
                      <w:marRight w:val="0"/>
                      <w:marTop w:val="0"/>
                      <w:marBottom w:val="0"/>
                      <w:divBdr>
                        <w:top w:val="none" w:sz="0" w:space="0" w:color="auto"/>
                        <w:left w:val="none" w:sz="0" w:space="0" w:color="auto"/>
                        <w:bottom w:val="none" w:sz="0" w:space="0" w:color="auto"/>
                        <w:right w:val="none" w:sz="0" w:space="0" w:color="auto"/>
                      </w:divBdr>
                    </w:div>
                    <w:div w:id="178102651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72313">
      <w:bodyDiv w:val="1"/>
      <w:marLeft w:val="0"/>
      <w:marRight w:val="0"/>
      <w:marTop w:val="0"/>
      <w:marBottom w:val="0"/>
      <w:divBdr>
        <w:top w:val="none" w:sz="0" w:space="0" w:color="auto"/>
        <w:left w:val="none" w:sz="0" w:space="0" w:color="auto"/>
        <w:bottom w:val="none" w:sz="0" w:space="0" w:color="auto"/>
        <w:right w:val="none" w:sz="0" w:space="0" w:color="auto"/>
      </w:divBdr>
      <w:divsChild>
        <w:div w:id="1995379384">
          <w:marLeft w:val="0"/>
          <w:marRight w:val="0"/>
          <w:marTop w:val="0"/>
          <w:marBottom w:val="0"/>
          <w:divBdr>
            <w:top w:val="none" w:sz="0" w:space="0" w:color="auto"/>
            <w:left w:val="none" w:sz="0" w:space="0" w:color="auto"/>
            <w:bottom w:val="none" w:sz="0" w:space="0" w:color="auto"/>
            <w:right w:val="none" w:sz="0" w:space="0" w:color="auto"/>
          </w:divBdr>
          <w:divsChild>
            <w:div w:id="853036828">
              <w:marLeft w:val="0"/>
              <w:marRight w:val="0"/>
              <w:marTop w:val="0"/>
              <w:marBottom w:val="0"/>
              <w:divBdr>
                <w:top w:val="none" w:sz="0" w:space="0" w:color="auto"/>
                <w:left w:val="none" w:sz="0" w:space="0" w:color="auto"/>
                <w:bottom w:val="none" w:sz="0" w:space="0" w:color="auto"/>
                <w:right w:val="none" w:sz="0" w:space="0" w:color="auto"/>
              </w:divBdr>
              <w:divsChild>
                <w:div w:id="828600689">
                  <w:marLeft w:val="0"/>
                  <w:marRight w:val="0"/>
                  <w:marTop w:val="0"/>
                  <w:marBottom w:val="0"/>
                  <w:divBdr>
                    <w:top w:val="none" w:sz="0" w:space="0" w:color="auto"/>
                    <w:left w:val="none" w:sz="0" w:space="0" w:color="auto"/>
                    <w:bottom w:val="none" w:sz="0" w:space="0" w:color="auto"/>
                    <w:right w:val="none" w:sz="0" w:space="0" w:color="auto"/>
                  </w:divBdr>
                  <w:divsChild>
                    <w:div w:id="1474102607">
                      <w:marLeft w:val="0"/>
                      <w:marRight w:val="0"/>
                      <w:marTop w:val="0"/>
                      <w:marBottom w:val="300"/>
                      <w:divBdr>
                        <w:top w:val="none" w:sz="0" w:space="0" w:color="auto"/>
                        <w:left w:val="none" w:sz="0" w:space="0" w:color="auto"/>
                        <w:bottom w:val="none" w:sz="0" w:space="0" w:color="auto"/>
                        <w:right w:val="none" w:sz="0" w:space="0" w:color="auto"/>
                      </w:divBdr>
                      <w:divsChild>
                        <w:div w:id="6137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159671">
      <w:bodyDiv w:val="1"/>
      <w:marLeft w:val="0"/>
      <w:marRight w:val="0"/>
      <w:marTop w:val="0"/>
      <w:marBottom w:val="0"/>
      <w:divBdr>
        <w:top w:val="none" w:sz="0" w:space="0" w:color="auto"/>
        <w:left w:val="none" w:sz="0" w:space="0" w:color="auto"/>
        <w:bottom w:val="none" w:sz="0" w:space="0" w:color="auto"/>
        <w:right w:val="none" w:sz="0" w:space="0" w:color="auto"/>
      </w:divBdr>
      <w:divsChild>
        <w:div w:id="70665946">
          <w:marLeft w:val="0"/>
          <w:marRight w:val="0"/>
          <w:marTop w:val="0"/>
          <w:marBottom w:val="0"/>
          <w:divBdr>
            <w:top w:val="none" w:sz="0" w:space="0" w:color="auto"/>
            <w:left w:val="single" w:sz="6" w:space="0" w:color="BBBBBB"/>
            <w:bottom w:val="single" w:sz="6" w:space="0" w:color="BBBBBB"/>
            <w:right w:val="single" w:sz="6" w:space="0" w:color="BBBBBB"/>
          </w:divBdr>
          <w:divsChild>
            <w:div w:id="569734362">
              <w:marLeft w:val="0"/>
              <w:marRight w:val="0"/>
              <w:marTop w:val="0"/>
              <w:marBottom w:val="0"/>
              <w:divBdr>
                <w:top w:val="none" w:sz="0" w:space="0" w:color="auto"/>
                <w:left w:val="none" w:sz="0" w:space="0" w:color="auto"/>
                <w:bottom w:val="none" w:sz="0" w:space="0" w:color="auto"/>
                <w:right w:val="none" w:sz="0" w:space="0" w:color="auto"/>
              </w:divBdr>
              <w:divsChild>
                <w:div w:id="207181948">
                  <w:marLeft w:val="0"/>
                  <w:marRight w:val="0"/>
                  <w:marTop w:val="75"/>
                  <w:marBottom w:val="0"/>
                  <w:divBdr>
                    <w:top w:val="none" w:sz="0" w:space="0" w:color="auto"/>
                    <w:left w:val="none" w:sz="0" w:space="0" w:color="auto"/>
                    <w:bottom w:val="none" w:sz="0" w:space="0" w:color="auto"/>
                    <w:right w:val="none" w:sz="0" w:space="0" w:color="auto"/>
                  </w:divBdr>
                  <w:divsChild>
                    <w:div w:id="331615393">
                      <w:marLeft w:val="0"/>
                      <w:marRight w:val="0"/>
                      <w:marTop w:val="0"/>
                      <w:marBottom w:val="0"/>
                      <w:divBdr>
                        <w:top w:val="none" w:sz="0" w:space="0" w:color="auto"/>
                        <w:left w:val="none" w:sz="0" w:space="0" w:color="auto"/>
                        <w:bottom w:val="none" w:sz="0" w:space="0" w:color="auto"/>
                        <w:right w:val="none" w:sz="0" w:space="0" w:color="auto"/>
                      </w:divBdr>
                      <w:divsChild>
                        <w:div w:id="1888491565">
                          <w:marLeft w:val="0"/>
                          <w:marRight w:val="0"/>
                          <w:marTop w:val="0"/>
                          <w:marBottom w:val="0"/>
                          <w:divBdr>
                            <w:top w:val="none" w:sz="0" w:space="0" w:color="auto"/>
                            <w:left w:val="none" w:sz="0" w:space="0" w:color="auto"/>
                            <w:bottom w:val="none" w:sz="0" w:space="0" w:color="auto"/>
                            <w:right w:val="none" w:sz="0" w:space="0" w:color="auto"/>
                          </w:divBdr>
                          <w:divsChild>
                            <w:div w:id="1098869277">
                              <w:marLeft w:val="0"/>
                              <w:marRight w:val="0"/>
                              <w:marTop w:val="0"/>
                              <w:marBottom w:val="0"/>
                              <w:divBdr>
                                <w:top w:val="none" w:sz="0" w:space="0" w:color="auto"/>
                                <w:left w:val="none" w:sz="0" w:space="0" w:color="auto"/>
                                <w:bottom w:val="none" w:sz="0" w:space="0" w:color="auto"/>
                                <w:right w:val="none" w:sz="0" w:space="0" w:color="auto"/>
                              </w:divBdr>
                              <w:divsChild>
                                <w:div w:id="1035234200">
                                  <w:marLeft w:val="0"/>
                                  <w:marRight w:val="0"/>
                                  <w:marTop w:val="0"/>
                                  <w:marBottom w:val="0"/>
                                  <w:divBdr>
                                    <w:top w:val="none" w:sz="0" w:space="0" w:color="auto"/>
                                    <w:left w:val="none" w:sz="0" w:space="0" w:color="auto"/>
                                    <w:bottom w:val="none" w:sz="0" w:space="0" w:color="auto"/>
                                    <w:right w:val="none" w:sz="0" w:space="0" w:color="auto"/>
                                  </w:divBdr>
                                  <w:divsChild>
                                    <w:div w:id="1736856610">
                                      <w:marLeft w:val="0"/>
                                      <w:marRight w:val="0"/>
                                      <w:marTop w:val="0"/>
                                      <w:marBottom w:val="0"/>
                                      <w:divBdr>
                                        <w:top w:val="none" w:sz="0" w:space="0" w:color="auto"/>
                                        <w:left w:val="none" w:sz="0" w:space="0" w:color="auto"/>
                                        <w:bottom w:val="none" w:sz="0" w:space="0" w:color="auto"/>
                                        <w:right w:val="none" w:sz="0" w:space="0" w:color="auto"/>
                                      </w:divBdr>
                                      <w:divsChild>
                                        <w:div w:id="1899628614">
                                          <w:marLeft w:val="1200"/>
                                          <w:marRight w:val="1200"/>
                                          <w:marTop w:val="0"/>
                                          <w:marBottom w:val="0"/>
                                          <w:divBdr>
                                            <w:top w:val="none" w:sz="0" w:space="0" w:color="auto"/>
                                            <w:left w:val="none" w:sz="0" w:space="0" w:color="auto"/>
                                            <w:bottom w:val="none" w:sz="0" w:space="0" w:color="auto"/>
                                            <w:right w:val="none" w:sz="0" w:space="0" w:color="auto"/>
                                          </w:divBdr>
                                          <w:divsChild>
                                            <w:div w:id="757139222">
                                              <w:marLeft w:val="0"/>
                                              <w:marRight w:val="0"/>
                                              <w:marTop w:val="0"/>
                                              <w:marBottom w:val="0"/>
                                              <w:divBdr>
                                                <w:top w:val="none" w:sz="0" w:space="0" w:color="auto"/>
                                                <w:left w:val="none" w:sz="0" w:space="0" w:color="auto"/>
                                                <w:bottom w:val="none" w:sz="0" w:space="0" w:color="auto"/>
                                                <w:right w:val="none" w:sz="0" w:space="0" w:color="auto"/>
                                              </w:divBdr>
                                              <w:divsChild>
                                                <w:div w:id="881478966">
                                                  <w:marLeft w:val="0"/>
                                                  <w:marRight w:val="0"/>
                                                  <w:marTop w:val="0"/>
                                                  <w:marBottom w:val="0"/>
                                                  <w:divBdr>
                                                    <w:top w:val="none" w:sz="0" w:space="0" w:color="auto"/>
                                                    <w:left w:val="none" w:sz="0" w:space="0" w:color="auto"/>
                                                    <w:bottom w:val="none" w:sz="0" w:space="0" w:color="auto"/>
                                                    <w:right w:val="none" w:sz="0" w:space="0" w:color="auto"/>
                                                  </w:divBdr>
                                                  <w:divsChild>
                                                    <w:div w:id="1231429125">
                                                      <w:marLeft w:val="0"/>
                                                      <w:marRight w:val="0"/>
                                                      <w:marTop w:val="0"/>
                                                      <w:marBottom w:val="0"/>
                                                      <w:divBdr>
                                                        <w:top w:val="none" w:sz="0" w:space="0" w:color="auto"/>
                                                        <w:left w:val="none" w:sz="0" w:space="0" w:color="auto"/>
                                                        <w:bottom w:val="none" w:sz="0" w:space="0" w:color="auto"/>
                                                        <w:right w:val="none" w:sz="0" w:space="0" w:color="auto"/>
                                                      </w:divBdr>
                                                      <w:divsChild>
                                                        <w:div w:id="212542325">
                                                          <w:marLeft w:val="0"/>
                                                          <w:marRight w:val="0"/>
                                                          <w:marTop w:val="0"/>
                                                          <w:marBottom w:val="0"/>
                                                          <w:divBdr>
                                                            <w:top w:val="none" w:sz="0" w:space="0" w:color="auto"/>
                                                            <w:left w:val="none" w:sz="0" w:space="0" w:color="auto"/>
                                                            <w:bottom w:val="none" w:sz="0" w:space="0" w:color="auto"/>
                                                            <w:right w:val="none" w:sz="0" w:space="0" w:color="auto"/>
                                                          </w:divBdr>
                                                          <w:divsChild>
                                                            <w:div w:id="1048069072">
                                                              <w:marLeft w:val="0"/>
                                                              <w:marRight w:val="0"/>
                                                              <w:marTop w:val="0"/>
                                                              <w:marBottom w:val="0"/>
                                                              <w:divBdr>
                                                                <w:top w:val="none" w:sz="0" w:space="0" w:color="auto"/>
                                                                <w:left w:val="none" w:sz="0" w:space="0" w:color="auto"/>
                                                                <w:bottom w:val="none" w:sz="0" w:space="0" w:color="auto"/>
                                                                <w:right w:val="none" w:sz="0" w:space="0" w:color="auto"/>
                                                              </w:divBdr>
                                                              <w:divsChild>
                                                                <w:div w:id="1679623724">
                                                                  <w:marLeft w:val="0"/>
                                                                  <w:marRight w:val="0"/>
                                                                  <w:marTop w:val="0"/>
                                                                  <w:marBottom w:val="0"/>
                                                                  <w:divBdr>
                                                                    <w:top w:val="none" w:sz="0" w:space="0" w:color="auto"/>
                                                                    <w:left w:val="none" w:sz="0" w:space="0" w:color="auto"/>
                                                                    <w:bottom w:val="none" w:sz="0" w:space="0" w:color="auto"/>
                                                                    <w:right w:val="none" w:sz="0" w:space="0" w:color="auto"/>
                                                                  </w:divBdr>
                                                                  <w:divsChild>
                                                                    <w:div w:id="799804723">
                                                                      <w:marLeft w:val="0"/>
                                                                      <w:marRight w:val="0"/>
                                                                      <w:marTop w:val="0"/>
                                                                      <w:marBottom w:val="0"/>
                                                                      <w:divBdr>
                                                                        <w:top w:val="none" w:sz="0" w:space="0" w:color="auto"/>
                                                                        <w:left w:val="none" w:sz="0" w:space="0" w:color="auto"/>
                                                                        <w:bottom w:val="none" w:sz="0" w:space="0" w:color="auto"/>
                                                                        <w:right w:val="none" w:sz="0" w:space="0" w:color="auto"/>
                                                                      </w:divBdr>
                                                                      <w:divsChild>
                                                                        <w:div w:id="33576604">
                                                                          <w:marLeft w:val="0"/>
                                                                          <w:marRight w:val="0"/>
                                                                          <w:marTop w:val="0"/>
                                                                          <w:marBottom w:val="0"/>
                                                                          <w:divBdr>
                                                                            <w:top w:val="none" w:sz="0" w:space="0" w:color="auto"/>
                                                                            <w:left w:val="none" w:sz="0" w:space="0" w:color="auto"/>
                                                                            <w:bottom w:val="none" w:sz="0" w:space="0" w:color="auto"/>
                                                                            <w:right w:val="none" w:sz="0" w:space="0" w:color="auto"/>
                                                                          </w:divBdr>
                                                                        </w:div>
                                                                      </w:divsChild>
                                                                    </w:div>
                                                                    <w:div w:id="1660646471">
                                                                      <w:marLeft w:val="0"/>
                                                                      <w:marRight w:val="0"/>
                                                                      <w:marTop w:val="0"/>
                                                                      <w:marBottom w:val="0"/>
                                                                      <w:divBdr>
                                                                        <w:top w:val="none" w:sz="0" w:space="0" w:color="auto"/>
                                                                        <w:left w:val="none" w:sz="0" w:space="0" w:color="auto"/>
                                                                        <w:bottom w:val="none" w:sz="0" w:space="0" w:color="auto"/>
                                                                        <w:right w:val="none" w:sz="0" w:space="0" w:color="auto"/>
                                                                      </w:divBdr>
                                                                      <w:divsChild>
                                                                        <w:div w:id="16715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637936">
      <w:bodyDiv w:val="1"/>
      <w:marLeft w:val="0"/>
      <w:marRight w:val="0"/>
      <w:marTop w:val="0"/>
      <w:marBottom w:val="0"/>
      <w:divBdr>
        <w:top w:val="none" w:sz="0" w:space="0" w:color="auto"/>
        <w:left w:val="none" w:sz="0" w:space="0" w:color="auto"/>
        <w:bottom w:val="none" w:sz="0" w:space="0" w:color="auto"/>
        <w:right w:val="none" w:sz="0" w:space="0" w:color="auto"/>
      </w:divBdr>
      <w:divsChild>
        <w:div w:id="1639530882">
          <w:marLeft w:val="0"/>
          <w:marRight w:val="0"/>
          <w:marTop w:val="0"/>
          <w:marBottom w:val="0"/>
          <w:divBdr>
            <w:top w:val="none" w:sz="0" w:space="0" w:color="auto"/>
            <w:left w:val="none" w:sz="0" w:space="0" w:color="auto"/>
            <w:bottom w:val="none" w:sz="0" w:space="0" w:color="auto"/>
            <w:right w:val="none" w:sz="0" w:space="0" w:color="auto"/>
          </w:divBdr>
          <w:divsChild>
            <w:div w:id="1632054955">
              <w:marLeft w:val="0"/>
              <w:marRight w:val="0"/>
              <w:marTop w:val="0"/>
              <w:marBottom w:val="0"/>
              <w:divBdr>
                <w:top w:val="none" w:sz="0" w:space="0" w:color="auto"/>
                <w:left w:val="none" w:sz="0" w:space="0" w:color="auto"/>
                <w:bottom w:val="none" w:sz="0" w:space="0" w:color="auto"/>
                <w:right w:val="none" w:sz="0" w:space="0" w:color="auto"/>
              </w:divBdr>
              <w:divsChild>
                <w:div w:id="1216357821">
                  <w:marLeft w:val="0"/>
                  <w:marRight w:val="0"/>
                  <w:marTop w:val="0"/>
                  <w:marBottom w:val="0"/>
                  <w:divBdr>
                    <w:top w:val="none" w:sz="0" w:space="0" w:color="auto"/>
                    <w:left w:val="none" w:sz="0" w:space="0" w:color="auto"/>
                    <w:bottom w:val="none" w:sz="0" w:space="0" w:color="auto"/>
                    <w:right w:val="none" w:sz="0" w:space="0" w:color="auto"/>
                  </w:divBdr>
                  <w:divsChild>
                    <w:div w:id="757411351">
                      <w:marLeft w:val="0"/>
                      <w:marRight w:val="0"/>
                      <w:marTop w:val="0"/>
                      <w:marBottom w:val="300"/>
                      <w:divBdr>
                        <w:top w:val="none" w:sz="0" w:space="0" w:color="auto"/>
                        <w:left w:val="none" w:sz="0" w:space="0" w:color="auto"/>
                        <w:bottom w:val="none" w:sz="0" w:space="0" w:color="auto"/>
                        <w:right w:val="none" w:sz="0" w:space="0" w:color="auto"/>
                      </w:divBdr>
                      <w:divsChild>
                        <w:div w:id="21161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219837">
      <w:bodyDiv w:val="1"/>
      <w:marLeft w:val="0"/>
      <w:marRight w:val="0"/>
      <w:marTop w:val="0"/>
      <w:marBottom w:val="0"/>
      <w:divBdr>
        <w:top w:val="none" w:sz="0" w:space="0" w:color="auto"/>
        <w:left w:val="none" w:sz="0" w:space="0" w:color="auto"/>
        <w:bottom w:val="none" w:sz="0" w:space="0" w:color="auto"/>
        <w:right w:val="none" w:sz="0" w:space="0" w:color="auto"/>
      </w:divBdr>
      <w:divsChild>
        <w:div w:id="887912057">
          <w:marLeft w:val="0"/>
          <w:marRight w:val="0"/>
          <w:marTop w:val="0"/>
          <w:marBottom w:val="0"/>
          <w:divBdr>
            <w:top w:val="none" w:sz="0" w:space="0" w:color="auto"/>
            <w:left w:val="none" w:sz="0" w:space="0" w:color="auto"/>
            <w:bottom w:val="none" w:sz="0" w:space="0" w:color="auto"/>
            <w:right w:val="none" w:sz="0" w:space="0" w:color="auto"/>
          </w:divBdr>
          <w:divsChild>
            <w:div w:id="1940330109">
              <w:marLeft w:val="0"/>
              <w:marRight w:val="0"/>
              <w:marTop w:val="0"/>
              <w:marBottom w:val="0"/>
              <w:divBdr>
                <w:top w:val="none" w:sz="0" w:space="0" w:color="auto"/>
                <w:left w:val="none" w:sz="0" w:space="0" w:color="auto"/>
                <w:bottom w:val="none" w:sz="0" w:space="0" w:color="auto"/>
                <w:right w:val="none" w:sz="0" w:space="0" w:color="auto"/>
              </w:divBdr>
              <w:divsChild>
                <w:div w:id="1084374433">
                  <w:marLeft w:val="0"/>
                  <w:marRight w:val="0"/>
                  <w:marTop w:val="0"/>
                  <w:marBottom w:val="0"/>
                  <w:divBdr>
                    <w:top w:val="none" w:sz="0" w:space="0" w:color="auto"/>
                    <w:left w:val="none" w:sz="0" w:space="0" w:color="auto"/>
                    <w:bottom w:val="none" w:sz="0" w:space="0" w:color="auto"/>
                    <w:right w:val="none" w:sz="0" w:space="0" w:color="auto"/>
                  </w:divBdr>
                  <w:divsChild>
                    <w:div w:id="31668937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706761222">
      <w:bodyDiv w:val="1"/>
      <w:marLeft w:val="0"/>
      <w:marRight w:val="0"/>
      <w:marTop w:val="0"/>
      <w:marBottom w:val="0"/>
      <w:divBdr>
        <w:top w:val="none" w:sz="0" w:space="0" w:color="auto"/>
        <w:left w:val="none" w:sz="0" w:space="0" w:color="auto"/>
        <w:bottom w:val="none" w:sz="0" w:space="0" w:color="auto"/>
        <w:right w:val="none" w:sz="0" w:space="0" w:color="auto"/>
      </w:divBdr>
    </w:div>
    <w:div w:id="707413696">
      <w:bodyDiv w:val="1"/>
      <w:marLeft w:val="30"/>
      <w:marRight w:val="30"/>
      <w:marTop w:val="30"/>
      <w:marBottom w:val="30"/>
      <w:divBdr>
        <w:top w:val="none" w:sz="0" w:space="0" w:color="auto"/>
        <w:left w:val="none" w:sz="0" w:space="0" w:color="auto"/>
        <w:bottom w:val="none" w:sz="0" w:space="0" w:color="auto"/>
        <w:right w:val="none" w:sz="0" w:space="0" w:color="auto"/>
      </w:divBdr>
      <w:divsChild>
        <w:div w:id="1090006530">
          <w:marLeft w:val="0"/>
          <w:marRight w:val="0"/>
          <w:marTop w:val="0"/>
          <w:marBottom w:val="0"/>
          <w:divBdr>
            <w:top w:val="none" w:sz="0" w:space="0" w:color="auto"/>
            <w:left w:val="none" w:sz="0" w:space="0" w:color="auto"/>
            <w:bottom w:val="none" w:sz="0" w:space="0" w:color="auto"/>
            <w:right w:val="none" w:sz="0" w:space="0" w:color="auto"/>
          </w:divBdr>
          <w:divsChild>
            <w:div w:id="1468818791">
              <w:marLeft w:val="45"/>
              <w:marRight w:val="45"/>
              <w:marTop w:val="45"/>
              <w:marBottom w:val="45"/>
              <w:divBdr>
                <w:top w:val="none" w:sz="0" w:space="0" w:color="auto"/>
                <w:left w:val="none" w:sz="0" w:space="0" w:color="auto"/>
                <w:bottom w:val="none" w:sz="0" w:space="0" w:color="auto"/>
                <w:right w:val="none" w:sz="0" w:space="0" w:color="auto"/>
              </w:divBdr>
              <w:divsChild>
                <w:div w:id="1898591208">
                  <w:marLeft w:val="0"/>
                  <w:marRight w:val="0"/>
                  <w:marTop w:val="0"/>
                  <w:marBottom w:val="0"/>
                  <w:divBdr>
                    <w:top w:val="none" w:sz="0" w:space="0" w:color="auto"/>
                    <w:left w:val="none" w:sz="0" w:space="0" w:color="auto"/>
                    <w:bottom w:val="none" w:sz="0" w:space="0" w:color="auto"/>
                    <w:right w:val="none" w:sz="0" w:space="0" w:color="auto"/>
                  </w:divBdr>
                  <w:divsChild>
                    <w:div w:id="785664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166732">
                          <w:marLeft w:val="360"/>
                          <w:marRight w:val="0"/>
                          <w:marTop w:val="0"/>
                          <w:marBottom w:val="0"/>
                          <w:divBdr>
                            <w:top w:val="none" w:sz="0" w:space="0" w:color="auto"/>
                            <w:left w:val="none" w:sz="0" w:space="0" w:color="auto"/>
                            <w:bottom w:val="none" w:sz="0" w:space="0" w:color="auto"/>
                            <w:right w:val="none" w:sz="0" w:space="0" w:color="auto"/>
                          </w:divBdr>
                        </w:div>
                        <w:div w:id="291059276">
                          <w:marLeft w:val="360"/>
                          <w:marRight w:val="0"/>
                          <w:marTop w:val="0"/>
                          <w:marBottom w:val="0"/>
                          <w:divBdr>
                            <w:top w:val="none" w:sz="0" w:space="0" w:color="auto"/>
                            <w:left w:val="none" w:sz="0" w:space="0" w:color="auto"/>
                            <w:bottom w:val="none" w:sz="0" w:space="0" w:color="auto"/>
                            <w:right w:val="none" w:sz="0" w:space="0" w:color="auto"/>
                          </w:divBdr>
                        </w:div>
                        <w:div w:id="1598559445">
                          <w:marLeft w:val="180"/>
                          <w:marRight w:val="0"/>
                          <w:marTop w:val="0"/>
                          <w:marBottom w:val="0"/>
                          <w:divBdr>
                            <w:top w:val="none" w:sz="0" w:space="0" w:color="auto"/>
                            <w:left w:val="none" w:sz="0" w:space="0" w:color="auto"/>
                            <w:bottom w:val="none" w:sz="0" w:space="0" w:color="auto"/>
                            <w:right w:val="none" w:sz="0" w:space="0" w:color="auto"/>
                          </w:divBdr>
                        </w:div>
                      </w:divsChild>
                    </w:div>
                    <w:div w:id="1548570716">
                      <w:marLeft w:val="0"/>
                      <w:marRight w:val="0"/>
                      <w:marTop w:val="0"/>
                      <w:marBottom w:val="0"/>
                      <w:divBdr>
                        <w:top w:val="none" w:sz="0" w:space="0" w:color="auto"/>
                        <w:left w:val="none" w:sz="0" w:space="0" w:color="auto"/>
                        <w:bottom w:val="none" w:sz="0" w:space="0" w:color="auto"/>
                        <w:right w:val="none" w:sz="0" w:space="0" w:color="auto"/>
                      </w:divBdr>
                    </w:div>
                    <w:div w:id="1562670172">
                      <w:marLeft w:val="0"/>
                      <w:marRight w:val="0"/>
                      <w:marTop w:val="0"/>
                      <w:marBottom w:val="0"/>
                      <w:divBdr>
                        <w:top w:val="none" w:sz="0" w:space="0" w:color="auto"/>
                        <w:left w:val="none" w:sz="0" w:space="0" w:color="auto"/>
                        <w:bottom w:val="none" w:sz="0" w:space="0" w:color="auto"/>
                        <w:right w:val="none" w:sz="0" w:space="0" w:color="auto"/>
                      </w:divBdr>
                    </w:div>
                    <w:div w:id="1831942925">
                      <w:marLeft w:val="0"/>
                      <w:marRight w:val="0"/>
                      <w:marTop w:val="0"/>
                      <w:marBottom w:val="0"/>
                      <w:divBdr>
                        <w:top w:val="none" w:sz="0" w:space="0" w:color="auto"/>
                        <w:left w:val="none" w:sz="0" w:space="0" w:color="auto"/>
                        <w:bottom w:val="none" w:sz="0" w:space="0" w:color="auto"/>
                        <w:right w:val="none" w:sz="0" w:space="0" w:color="auto"/>
                      </w:divBdr>
                    </w:div>
                    <w:div w:id="1844540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08382543">
      <w:bodyDiv w:val="1"/>
      <w:marLeft w:val="0"/>
      <w:marRight w:val="0"/>
      <w:marTop w:val="0"/>
      <w:marBottom w:val="0"/>
      <w:divBdr>
        <w:top w:val="none" w:sz="0" w:space="0" w:color="auto"/>
        <w:left w:val="none" w:sz="0" w:space="0" w:color="auto"/>
        <w:bottom w:val="none" w:sz="0" w:space="0" w:color="auto"/>
        <w:right w:val="none" w:sz="0" w:space="0" w:color="auto"/>
      </w:divBdr>
      <w:divsChild>
        <w:div w:id="712195472">
          <w:marLeft w:val="0"/>
          <w:marRight w:val="0"/>
          <w:marTop w:val="240"/>
          <w:marBottom w:val="0"/>
          <w:divBdr>
            <w:top w:val="none" w:sz="0" w:space="0" w:color="auto"/>
            <w:left w:val="none" w:sz="0" w:space="0" w:color="auto"/>
            <w:bottom w:val="none" w:sz="0" w:space="0" w:color="auto"/>
            <w:right w:val="none" w:sz="0" w:space="0" w:color="auto"/>
          </w:divBdr>
          <w:divsChild>
            <w:div w:id="964390530">
              <w:marLeft w:val="0"/>
              <w:marRight w:val="0"/>
              <w:marTop w:val="0"/>
              <w:marBottom w:val="0"/>
              <w:divBdr>
                <w:top w:val="none" w:sz="0" w:space="0" w:color="auto"/>
                <w:left w:val="none" w:sz="0" w:space="0" w:color="auto"/>
                <w:bottom w:val="none" w:sz="0" w:space="0" w:color="auto"/>
                <w:right w:val="none" w:sz="0" w:space="0" w:color="auto"/>
              </w:divBdr>
            </w:div>
          </w:divsChild>
        </w:div>
        <w:div w:id="1463692035">
          <w:marLeft w:val="0"/>
          <w:marRight w:val="0"/>
          <w:marTop w:val="240"/>
          <w:marBottom w:val="0"/>
          <w:divBdr>
            <w:top w:val="none" w:sz="0" w:space="0" w:color="auto"/>
            <w:left w:val="none" w:sz="0" w:space="0" w:color="auto"/>
            <w:bottom w:val="none" w:sz="0" w:space="0" w:color="auto"/>
            <w:right w:val="none" w:sz="0" w:space="0" w:color="auto"/>
          </w:divBdr>
          <w:divsChild>
            <w:div w:id="15613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167">
      <w:bodyDiv w:val="1"/>
      <w:marLeft w:val="0"/>
      <w:marRight w:val="0"/>
      <w:marTop w:val="0"/>
      <w:marBottom w:val="0"/>
      <w:divBdr>
        <w:top w:val="none" w:sz="0" w:space="0" w:color="auto"/>
        <w:left w:val="none" w:sz="0" w:space="0" w:color="auto"/>
        <w:bottom w:val="none" w:sz="0" w:space="0" w:color="auto"/>
        <w:right w:val="none" w:sz="0" w:space="0" w:color="auto"/>
      </w:divBdr>
      <w:divsChild>
        <w:div w:id="1937640560">
          <w:marLeft w:val="0"/>
          <w:marRight w:val="0"/>
          <w:marTop w:val="0"/>
          <w:marBottom w:val="0"/>
          <w:divBdr>
            <w:top w:val="none" w:sz="0" w:space="0" w:color="auto"/>
            <w:left w:val="none" w:sz="0" w:space="0" w:color="auto"/>
            <w:bottom w:val="none" w:sz="0" w:space="0" w:color="auto"/>
            <w:right w:val="none" w:sz="0" w:space="0" w:color="auto"/>
          </w:divBdr>
          <w:divsChild>
            <w:div w:id="397166780">
              <w:marLeft w:val="0"/>
              <w:marRight w:val="0"/>
              <w:marTop w:val="0"/>
              <w:marBottom w:val="0"/>
              <w:divBdr>
                <w:top w:val="none" w:sz="0" w:space="0" w:color="auto"/>
                <w:left w:val="none" w:sz="0" w:space="0" w:color="auto"/>
                <w:bottom w:val="none" w:sz="0" w:space="0" w:color="auto"/>
                <w:right w:val="none" w:sz="0" w:space="0" w:color="auto"/>
              </w:divBdr>
              <w:divsChild>
                <w:div w:id="833497365">
                  <w:marLeft w:val="0"/>
                  <w:marRight w:val="0"/>
                  <w:marTop w:val="0"/>
                  <w:marBottom w:val="0"/>
                  <w:divBdr>
                    <w:top w:val="none" w:sz="0" w:space="0" w:color="auto"/>
                    <w:left w:val="none" w:sz="0" w:space="0" w:color="auto"/>
                    <w:bottom w:val="none" w:sz="0" w:space="0" w:color="auto"/>
                    <w:right w:val="none" w:sz="0" w:space="0" w:color="auto"/>
                  </w:divBdr>
                  <w:divsChild>
                    <w:div w:id="895122652">
                      <w:marLeft w:val="0"/>
                      <w:marRight w:val="0"/>
                      <w:marTop w:val="0"/>
                      <w:marBottom w:val="375"/>
                      <w:divBdr>
                        <w:top w:val="none" w:sz="0" w:space="0" w:color="auto"/>
                        <w:left w:val="none" w:sz="0" w:space="0" w:color="auto"/>
                        <w:bottom w:val="none" w:sz="0" w:space="0" w:color="auto"/>
                        <w:right w:val="none" w:sz="0" w:space="0" w:color="auto"/>
                      </w:divBdr>
                      <w:divsChild>
                        <w:div w:id="11456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376930">
      <w:bodyDiv w:val="1"/>
      <w:marLeft w:val="0"/>
      <w:marRight w:val="0"/>
      <w:marTop w:val="0"/>
      <w:marBottom w:val="0"/>
      <w:divBdr>
        <w:top w:val="none" w:sz="0" w:space="0" w:color="auto"/>
        <w:left w:val="none" w:sz="0" w:space="0" w:color="auto"/>
        <w:bottom w:val="none" w:sz="0" w:space="0" w:color="auto"/>
        <w:right w:val="none" w:sz="0" w:space="0" w:color="auto"/>
      </w:divBdr>
    </w:div>
    <w:div w:id="718625097">
      <w:bodyDiv w:val="1"/>
      <w:marLeft w:val="0"/>
      <w:marRight w:val="0"/>
      <w:marTop w:val="0"/>
      <w:marBottom w:val="0"/>
      <w:divBdr>
        <w:top w:val="none" w:sz="0" w:space="0" w:color="auto"/>
        <w:left w:val="none" w:sz="0" w:space="0" w:color="auto"/>
        <w:bottom w:val="none" w:sz="0" w:space="0" w:color="auto"/>
        <w:right w:val="none" w:sz="0" w:space="0" w:color="auto"/>
      </w:divBdr>
      <w:divsChild>
        <w:div w:id="1461612006">
          <w:marLeft w:val="0"/>
          <w:marRight w:val="0"/>
          <w:marTop w:val="240"/>
          <w:marBottom w:val="0"/>
          <w:divBdr>
            <w:top w:val="none" w:sz="0" w:space="0" w:color="auto"/>
            <w:left w:val="none" w:sz="0" w:space="0" w:color="auto"/>
            <w:bottom w:val="none" w:sz="0" w:space="0" w:color="auto"/>
            <w:right w:val="none" w:sz="0" w:space="0" w:color="auto"/>
          </w:divBdr>
          <w:divsChild>
            <w:div w:id="1469592435">
              <w:marLeft w:val="0"/>
              <w:marRight w:val="0"/>
              <w:marTop w:val="0"/>
              <w:marBottom w:val="0"/>
              <w:divBdr>
                <w:top w:val="none" w:sz="0" w:space="0" w:color="auto"/>
                <w:left w:val="none" w:sz="0" w:space="0" w:color="auto"/>
                <w:bottom w:val="none" w:sz="0" w:space="0" w:color="auto"/>
                <w:right w:val="none" w:sz="0" w:space="0" w:color="auto"/>
              </w:divBdr>
            </w:div>
          </w:divsChild>
        </w:div>
        <w:div w:id="65881247">
          <w:marLeft w:val="0"/>
          <w:marRight w:val="0"/>
          <w:marTop w:val="240"/>
          <w:marBottom w:val="0"/>
          <w:divBdr>
            <w:top w:val="none" w:sz="0" w:space="0" w:color="auto"/>
            <w:left w:val="none" w:sz="0" w:space="0" w:color="auto"/>
            <w:bottom w:val="none" w:sz="0" w:space="0" w:color="auto"/>
            <w:right w:val="none" w:sz="0" w:space="0" w:color="auto"/>
          </w:divBdr>
          <w:divsChild>
            <w:div w:id="10923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114">
      <w:bodyDiv w:val="1"/>
      <w:marLeft w:val="0"/>
      <w:marRight w:val="0"/>
      <w:marTop w:val="0"/>
      <w:marBottom w:val="0"/>
      <w:divBdr>
        <w:top w:val="none" w:sz="0" w:space="0" w:color="auto"/>
        <w:left w:val="none" w:sz="0" w:space="0" w:color="auto"/>
        <w:bottom w:val="none" w:sz="0" w:space="0" w:color="auto"/>
        <w:right w:val="none" w:sz="0" w:space="0" w:color="auto"/>
      </w:divBdr>
    </w:div>
    <w:div w:id="722405422">
      <w:bodyDiv w:val="1"/>
      <w:marLeft w:val="0"/>
      <w:marRight w:val="0"/>
      <w:marTop w:val="0"/>
      <w:marBottom w:val="0"/>
      <w:divBdr>
        <w:top w:val="none" w:sz="0" w:space="0" w:color="auto"/>
        <w:left w:val="none" w:sz="0" w:space="0" w:color="auto"/>
        <w:bottom w:val="none" w:sz="0" w:space="0" w:color="auto"/>
        <w:right w:val="none" w:sz="0" w:space="0" w:color="auto"/>
      </w:divBdr>
      <w:divsChild>
        <w:div w:id="757946782">
          <w:marLeft w:val="0"/>
          <w:marRight w:val="0"/>
          <w:marTop w:val="0"/>
          <w:marBottom w:val="0"/>
          <w:divBdr>
            <w:top w:val="none" w:sz="0" w:space="0" w:color="auto"/>
            <w:left w:val="none" w:sz="0" w:space="0" w:color="auto"/>
            <w:bottom w:val="none" w:sz="0" w:space="0" w:color="auto"/>
            <w:right w:val="none" w:sz="0" w:space="0" w:color="auto"/>
          </w:divBdr>
          <w:divsChild>
            <w:div w:id="1177380856">
              <w:marLeft w:val="0"/>
              <w:marRight w:val="0"/>
              <w:marTop w:val="0"/>
              <w:marBottom w:val="0"/>
              <w:divBdr>
                <w:top w:val="none" w:sz="0" w:space="0" w:color="auto"/>
                <w:left w:val="none" w:sz="0" w:space="0" w:color="auto"/>
                <w:bottom w:val="none" w:sz="0" w:space="0" w:color="auto"/>
                <w:right w:val="none" w:sz="0" w:space="0" w:color="auto"/>
              </w:divBdr>
              <w:divsChild>
                <w:div w:id="1254438327">
                  <w:marLeft w:val="0"/>
                  <w:marRight w:val="0"/>
                  <w:marTop w:val="0"/>
                  <w:marBottom w:val="0"/>
                  <w:divBdr>
                    <w:top w:val="none" w:sz="0" w:space="0" w:color="auto"/>
                    <w:left w:val="none" w:sz="0" w:space="0" w:color="auto"/>
                    <w:bottom w:val="none" w:sz="0" w:space="0" w:color="auto"/>
                    <w:right w:val="none" w:sz="0" w:space="0" w:color="auto"/>
                  </w:divBdr>
                  <w:divsChild>
                    <w:div w:id="2080245475">
                      <w:marLeft w:val="0"/>
                      <w:marRight w:val="0"/>
                      <w:marTop w:val="0"/>
                      <w:marBottom w:val="300"/>
                      <w:divBdr>
                        <w:top w:val="none" w:sz="0" w:space="0" w:color="auto"/>
                        <w:left w:val="none" w:sz="0" w:space="0" w:color="auto"/>
                        <w:bottom w:val="none" w:sz="0" w:space="0" w:color="auto"/>
                        <w:right w:val="none" w:sz="0" w:space="0" w:color="auto"/>
                      </w:divBdr>
                      <w:divsChild>
                        <w:div w:id="15738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526055">
      <w:bodyDiv w:val="1"/>
      <w:marLeft w:val="0"/>
      <w:marRight w:val="0"/>
      <w:marTop w:val="0"/>
      <w:marBottom w:val="0"/>
      <w:divBdr>
        <w:top w:val="none" w:sz="0" w:space="0" w:color="auto"/>
        <w:left w:val="none" w:sz="0" w:space="0" w:color="auto"/>
        <w:bottom w:val="none" w:sz="0" w:space="0" w:color="auto"/>
        <w:right w:val="none" w:sz="0" w:space="0" w:color="auto"/>
      </w:divBdr>
      <w:divsChild>
        <w:div w:id="1982421837">
          <w:marLeft w:val="0"/>
          <w:marRight w:val="0"/>
          <w:marTop w:val="0"/>
          <w:marBottom w:val="0"/>
          <w:divBdr>
            <w:top w:val="none" w:sz="0" w:space="0" w:color="auto"/>
            <w:left w:val="single" w:sz="6" w:space="0" w:color="BBBBBB"/>
            <w:bottom w:val="single" w:sz="6" w:space="0" w:color="BBBBBB"/>
            <w:right w:val="single" w:sz="6" w:space="0" w:color="BBBBBB"/>
          </w:divBdr>
          <w:divsChild>
            <w:div w:id="82999518">
              <w:marLeft w:val="0"/>
              <w:marRight w:val="0"/>
              <w:marTop w:val="0"/>
              <w:marBottom w:val="0"/>
              <w:divBdr>
                <w:top w:val="none" w:sz="0" w:space="0" w:color="auto"/>
                <w:left w:val="none" w:sz="0" w:space="0" w:color="auto"/>
                <w:bottom w:val="none" w:sz="0" w:space="0" w:color="auto"/>
                <w:right w:val="none" w:sz="0" w:space="0" w:color="auto"/>
              </w:divBdr>
              <w:divsChild>
                <w:div w:id="582494878">
                  <w:marLeft w:val="0"/>
                  <w:marRight w:val="0"/>
                  <w:marTop w:val="0"/>
                  <w:marBottom w:val="0"/>
                  <w:divBdr>
                    <w:top w:val="none" w:sz="0" w:space="0" w:color="auto"/>
                    <w:left w:val="none" w:sz="0" w:space="0" w:color="auto"/>
                    <w:bottom w:val="none" w:sz="0" w:space="0" w:color="auto"/>
                    <w:right w:val="none" w:sz="0" w:space="0" w:color="auto"/>
                  </w:divBdr>
                  <w:divsChild>
                    <w:div w:id="475757130">
                      <w:marLeft w:val="0"/>
                      <w:marRight w:val="0"/>
                      <w:marTop w:val="0"/>
                      <w:marBottom w:val="0"/>
                      <w:divBdr>
                        <w:top w:val="none" w:sz="0" w:space="0" w:color="auto"/>
                        <w:left w:val="none" w:sz="0" w:space="0" w:color="auto"/>
                        <w:bottom w:val="none" w:sz="0" w:space="0" w:color="auto"/>
                        <w:right w:val="none" w:sz="0" w:space="0" w:color="auto"/>
                      </w:divBdr>
                      <w:divsChild>
                        <w:div w:id="1491827414">
                          <w:marLeft w:val="0"/>
                          <w:marRight w:val="0"/>
                          <w:marTop w:val="0"/>
                          <w:marBottom w:val="0"/>
                          <w:divBdr>
                            <w:top w:val="none" w:sz="0" w:space="0" w:color="auto"/>
                            <w:left w:val="none" w:sz="0" w:space="0" w:color="auto"/>
                            <w:bottom w:val="none" w:sz="0" w:space="0" w:color="auto"/>
                            <w:right w:val="none" w:sz="0" w:space="0" w:color="auto"/>
                          </w:divBdr>
                          <w:divsChild>
                            <w:div w:id="838618707">
                              <w:marLeft w:val="0"/>
                              <w:marRight w:val="0"/>
                              <w:marTop w:val="0"/>
                              <w:marBottom w:val="0"/>
                              <w:divBdr>
                                <w:top w:val="none" w:sz="0" w:space="0" w:color="auto"/>
                                <w:left w:val="none" w:sz="0" w:space="0" w:color="auto"/>
                                <w:bottom w:val="none" w:sz="0" w:space="0" w:color="auto"/>
                                <w:right w:val="none" w:sz="0" w:space="0" w:color="auto"/>
                              </w:divBdr>
                              <w:divsChild>
                                <w:div w:id="1809323151">
                                  <w:marLeft w:val="0"/>
                                  <w:marRight w:val="0"/>
                                  <w:marTop w:val="0"/>
                                  <w:marBottom w:val="0"/>
                                  <w:divBdr>
                                    <w:top w:val="none" w:sz="0" w:space="0" w:color="auto"/>
                                    <w:left w:val="none" w:sz="0" w:space="0" w:color="auto"/>
                                    <w:bottom w:val="none" w:sz="0" w:space="0" w:color="auto"/>
                                    <w:right w:val="none" w:sz="0" w:space="0" w:color="auto"/>
                                  </w:divBdr>
                                  <w:divsChild>
                                    <w:div w:id="68700218">
                                      <w:marLeft w:val="0"/>
                                      <w:marRight w:val="0"/>
                                      <w:marTop w:val="0"/>
                                      <w:marBottom w:val="0"/>
                                      <w:divBdr>
                                        <w:top w:val="none" w:sz="0" w:space="0" w:color="auto"/>
                                        <w:left w:val="none" w:sz="0" w:space="0" w:color="auto"/>
                                        <w:bottom w:val="none" w:sz="0" w:space="0" w:color="auto"/>
                                        <w:right w:val="none" w:sz="0" w:space="0" w:color="auto"/>
                                      </w:divBdr>
                                      <w:divsChild>
                                        <w:div w:id="922303085">
                                          <w:marLeft w:val="1200"/>
                                          <w:marRight w:val="1200"/>
                                          <w:marTop w:val="0"/>
                                          <w:marBottom w:val="0"/>
                                          <w:divBdr>
                                            <w:top w:val="none" w:sz="0" w:space="0" w:color="auto"/>
                                            <w:left w:val="none" w:sz="0" w:space="0" w:color="auto"/>
                                            <w:bottom w:val="none" w:sz="0" w:space="0" w:color="auto"/>
                                            <w:right w:val="none" w:sz="0" w:space="0" w:color="auto"/>
                                          </w:divBdr>
                                          <w:divsChild>
                                            <w:div w:id="831530448">
                                              <w:marLeft w:val="0"/>
                                              <w:marRight w:val="0"/>
                                              <w:marTop w:val="0"/>
                                              <w:marBottom w:val="0"/>
                                              <w:divBdr>
                                                <w:top w:val="none" w:sz="0" w:space="0" w:color="auto"/>
                                                <w:left w:val="none" w:sz="0" w:space="0" w:color="auto"/>
                                                <w:bottom w:val="none" w:sz="0" w:space="0" w:color="auto"/>
                                                <w:right w:val="none" w:sz="0" w:space="0" w:color="auto"/>
                                              </w:divBdr>
                                              <w:divsChild>
                                                <w:div w:id="2027487590">
                                                  <w:marLeft w:val="0"/>
                                                  <w:marRight w:val="0"/>
                                                  <w:marTop w:val="0"/>
                                                  <w:marBottom w:val="0"/>
                                                  <w:divBdr>
                                                    <w:top w:val="none" w:sz="0" w:space="0" w:color="auto"/>
                                                    <w:left w:val="none" w:sz="0" w:space="0" w:color="auto"/>
                                                    <w:bottom w:val="none" w:sz="0" w:space="0" w:color="auto"/>
                                                    <w:right w:val="none" w:sz="0" w:space="0" w:color="auto"/>
                                                  </w:divBdr>
                                                  <w:divsChild>
                                                    <w:div w:id="351760618">
                                                      <w:marLeft w:val="0"/>
                                                      <w:marRight w:val="0"/>
                                                      <w:marTop w:val="0"/>
                                                      <w:marBottom w:val="0"/>
                                                      <w:divBdr>
                                                        <w:top w:val="none" w:sz="0" w:space="0" w:color="auto"/>
                                                        <w:left w:val="none" w:sz="0" w:space="0" w:color="auto"/>
                                                        <w:bottom w:val="none" w:sz="0" w:space="0" w:color="auto"/>
                                                        <w:right w:val="none" w:sz="0" w:space="0" w:color="auto"/>
                                                      </w:divBdr>
                                                      <w:divsChild>
                                                        <w:div w:id="1335376117">
                                                          <w:marLeft w:val="0"/>
                                                          <w:marRight w:val="0"/>
                                                          <w:marTop w:val="0"/>
                                                          <w:marBottom w:val="0"/>
                                                          <w:divBdr>
                                                            <w:top w:val="none" w:sz="0" w:space="0" w:color="auto"/>
                                                            <w:left w:val="none" w:sz="0" w:space="0" w:color="auto"/>
                                                            <w:bottom w:val="none" w:sz="0" w:space="0" w:color="auto"/>
                                                            <w:right w:val="none" w:sz="0" w:space="0" w:color="auto"/>
                                                          </w:divBdr>
                                                          <w:divsChild>
                                                            <w:div w:id="604122010">
                                                              <w:marLeft w:val="0"/>
                                                              <w:marRight w:val="0"/>
                                                              <w:marTop w:val="0"/>
                                                              <w:marBottom w:val="0"/>
                                                              <w:divBdr>
                                                                <w:top w:val="none" w:sz="0" w:space="0" w:color="auto"/>
                                                                <w:left w:val="none" w:sz="0" w:space="0" w:color="auto"/>
                                                                <w:bottom w:val="none" w:sz="0" w:space="0" w:color="auto"/>
                                                                <w:right w:val="none" w:sz="0" w:space="0" w:color="auto"/>
                                                              </w:divBdr>
                                                              <w:divsChild>
                                                                <w:div w:id="856239361">
                                                                  <w:marLeft w:val="0"/>
                                                                  <w:marRight w:val="0"/>
                                                                  <w:marTop w:val="0"/>
                                                                  <w:marBottom w:val="0"/>
                                                                  <w:divBdr>
                                                                    <w:top w:val="none" w:sz="0" w:space="0" w:color="auto"/>
                                                                    <w:left w:val="none" w:sz="0" w:space="0" w:color="auto"/>
                                                                    <w:bottom w:val="none" w:sz="0" w:space="0" w:color="auto"/>
                                                                    <w:right w:val="none" w:sz="0" w:space="0" w:color="auto"/>
                                                                  </w:divBdr>
                                                                  <w:divsChild>
                                                                    <w:div w:id="83579001">
                                                                      <w:marLeft w:val="0"/>
                                                                      <w:marRight w:val="0"/>
                                                                      <w:marTop w:val="0"/>
                                                                      <w:marBottom w:val="0"/>
                                                                      <w:divBdr>
                                                                        <w:top w:val="none" w:sz="0" w:space="0" w:color="auto"/>
                                                                        <w:left w:val="none" w:sz="0" w:space="0" w:color="auto"/>
                                                                        <w:bottom w:val="none" w:sz="0" w:space="0" w:color="auto"/>
                                                                        <w:right w:val="none" w:sz="0" w:space="0" w:color="auto"/>
                                                                      </w:divBdr>
                                                                      <w:divsChild>
                                                                        <w:div w:id="151454373">
                                                                          <w:marLeft w:val="0"/>
                                                                          <w:marRight w:val="0"/>
                                                                          <w:marTop w:val="0"/>
                                                                          <w:marBottom w:val="0"/>
                                                                          <w:divBdr>
                                                                            <w:top w:val="none" w:sz="0" w:space="0" w:color="auto"/>
                                                                            <w:left w:val="none" w:sz="0" w:space="0" w:color="auto"/>
                                                                            <w:bottom w:val="none" w:sz="0" w:space="0" w:color="auto"/>
                                                                            <w:right w:val="none" w:sz="0" w:space="0" w:color="auto"/>
                                                                          </w:divBdr>
                                                                        </w:div>
                                                                      </w:divsChild>
                                                                    </w:div>
                                                                    <w:div w:id="1445079461">
                                                                      <w:marLeft w:val="0"/>
                                                                      <w:marRight w:val="0"/>
                                                                      <w:marTop w:val="0"/>
                                                                      <w:marBottom w:val="0"/>
                                                                      <w:divBdr>
                                                                        <w:top w:val="none" w:sz="0" w:space="0" w:color="auto"/>
                                                                        <w:left w:val="none" w:sz="0" w:space="0" w:color="auto"/>
                                                                        <w:bottom w:val="none" w:sz="0" w:space="0" w:color="auto"/>
                                                                        <w:right w:val="none" w:sz="0" w:space="0" w:color="auto"/>
                                                                      </w:divBdr>
                                                                      <w:divsChild>
                                                                        <w:div w:id="12652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5837993">
      <w:bodyDiv w:val="1"/>
      <w:marLeft w:val="0"/>
      <w:marRight w:val="0"/>
      <w:marTop w:val="0"/>
      <w:marBottom w:val="0"/>
      <w:divBdr>
        <w:top w:val="none" w:sz="0" w:space="0" w:color="auto"/>
        <w:left w:val="none" w:sz="0" w:space="0" w:color="auto"/>
        <w:bottom w:val="none" w:sz="0" w:space="0" w:color="auto"/>
        <w:right w:val="none" w:sz="0" w:space="0" w:color="auto"/>
      </w:divBdr>
      <w:divsChild>
        <w:div w:id="1699313607">
          <w:marLeft w:val="0"/>
          <w:marRight w:val="0"/>
          <w:marTop w:val="0"/>
          <w:marBottom w:val="0"/>
          <w:divBdr>
            <w:top w:val="none" w:sz="0" w:space="0" w:color="auto"/>
            <w:left w:val="single" w:sz="6" w:space="0" w:color="BBBBBB"/>
            <w:bottom w:val="single" w:sz="6" w:space="0" w:color="BBBBBB"/>
            <w:right w:val="single" w:sz="6" w:space="0" w:color="BBBBBB"/>
          </w:divBdr>
          <w:divsChild>
            <w:div w:id="1530945091">
              <w:marLeft w:val="0"/>
              <w:marRight w:val="0"/>
              <w:marTop w:val="0"/>
              <w:marBottom w:val="0"/>
              <w:divBdr>
                <w:top w:val="none" w:sz="0" w:space="0" w:color="auto"/>
                <w:left w:val="none" w:sz="0" w:space="0" w:color="auto"/>
                <w:bottom w:val="none" w:sz="0" w:space="0" w:color="auto"/>
                <w:right w:val="none" w:sz="0" w:space="0" w:color="auto"/>
              </w:divBdr>
              <w:divsChild>
                <w:div w:id="514806675">
                  <w:marLeft w:val="0"/>
                  <w:marRight w:val="0"/>
                  <w:marTop w:val="75"/>
                  <w:marBottom w:val="0"/>
                  <w:divBdr>
                    <w:top w:val="none" w:sz="0" w:space="0" w:color="auto"/>
                    <w:left w:val="none" w:sz="0" w:space="0" w:color="auto"/>
                    <w:bottom w:val="none" w:sz="0" w:space="0" w:color="auto"/>
                    <w:right w:val="none" w:sz="0" w:space="0" w:color="auto"/>
                  </w:divBdr>
                  <w:divsChild>
                    <w:div w:id="1779835857">
                      <w:marLeft w:val="0"/>
                      <w:marRight w:val="0"/>
                      <w:marTop w:val="0"/>
                      <w:marBottom w:val="0"/>
                      <w:divBdr>
                        <w:top w:val="none" w:sz="0" w:space="0" w:color="auto"/>
                        <w:left w:val="none" w:sz="0" w:space="0" w:color="auto"/>
                        <w:bottom w:val="none" w:sz="0" w:space="0" w:color="auto"/>
                        <w:right w:val="none" w:sz="0" w:space="0" w:color="auto"/>
                      </w:divBdr>
                      <w:divsChild>
                        <w:div w:id="1491218772">
                          <w:marLeft w:val="0"/>
                          <w:marRight w:val="0"/>
                          <w:marTop w:val="0"/>
                          <w:marBottom w:val="0"/>
                          <w:divBdr>
                            <w:top w:val="none" w:sz="0" w:space="0" w:color="auto"/>
                            <w:left w:val="none" w:sz="0" w:space="0" w:color="auto"/>
                            <w:bottom w:val="none" w:sz="0" w:space="0" w:color="auto"/>
                            <w:right w:val="none" w:sz="0" w:space="0" w:color="auto"/>
                          </w:divBdr>
                          <w:divsChild>
                            <w:div w:id="1823885823">
                              <w:marLeft w:val="0"/>
                              <w:marRight w:val="0"/>
                              <w:marTop w:val="0"/>
                              <w:marBottom w:val="0"/>
                              <w:divBdr>
                                <w:top w:val="none" w:sz="0" w:space="0" w:color="auto"/>
                                <w:left w:val="none" w:sz="0" w:space="0" w:color="auto"/>
                                <w:bottom w:val="none" w:sz="0" w:space="0" w:color="auto"/>
                                <w:right w:val="none" w:sz="0" w:space="0" w:color="auto"/>
                              </w:divBdr>
                              <w:divsChild>
                                <w:div w:id="1935212640">
                                  <w:marLeft w:val="0"/>
                                  <w:marRight w:val="0"/>
                                  <w:marTop w:val="0"/>
                                  <w:marBottom w:val="0"/>
                                  <w:divBdr>
                                    <w:top w:val="none" w:sz="0" w:space="0" w:color="auto"/>
                                    <w:left w:val="none" w:sz="0" w:space="0" w:color="auto"/>
                                    <w:bottom w:val="none" w:sz="0" w:space="0" w:color="auto"/>
                                    <w:right w:val="none" w:sz="0" w:space="0" w:color="auto"/>
                                  </w:divBdr>
                                  <w:divsChild>
                                    <w:div w:id="1084574034">
                                      <w:marLeft w:val="0"/>
                                      <w:marRight w:val="0"/>
                                      <w:marTop w:val="0"/>
                                      <w:marBottom w:val="0"/>
                                      <w:divBdr>
                                        <w:top w:val="none" w:sz="0" w:space="0" w:color="auto"/>
                                        <w:left w:val="none" w:sz="0" w:space="0" w:color="auto"/>
                                        <w:bottom w:val="none" w:sz="0" w:space="0" w:color="auto"/>
                                        <w:right w:val="none" w:sz="0" w:space="0" w:color="auto"/>
                                      </w:divBdr>
                                      <w:divsChild>
                                        <w:div w:id="1511413461">
                                          <w:marLeft w:val="1200"/>
                                          <w:marRight w:val="1200"/>
                                          <w:marTop w:val="0"/>
                                          <w:marBottom w:val="0"/>
                                          <w:divBdr>
                                            <w:top w:val="none" w:sz="0" w:space="0" w:color="auto"/>
                                            <w:left w:val="none" w:sz="0" w:space="0" w:color="auto"/>
                                            <w:bottom w:val="none" w:sz="0" w:space="0" w:color="auto"/>
                                            <w:right w:val="none" w:sz="0" w:space="0" w:color="auto"/>
                                          </w:divBdr>
                                          <w:divsChild>
                                            <w:div w:id="972249287">
                                              <w:marLeft w:val="0"/>
                                              <w:marRight w:val="0"/>
                                              <w:marTop w:val="0"/>
                                              <w:marBottom w:val="0"/>
                                              <w:divBdr>
                                                <w:top w:val="none" w:sz="0" w:space="0" w:color="auto"/>
                                                <w:left w:val="none" w:sz="0" w:space="0" w:color="auto"/>
                                                <w:bottom w:val="none" w:sz="0" w:space="0" w:color="auto"/>
                                                <w:right w:val="none" w:sz="0" w:space="0" w:color="auto"/>
                                              </w:divBdr>
                                              <w:divsChild>
                                                <w:div w:id="1103576770">
                                                  <w:marLeft w:val="0"/>
                                                  <w:marRight w:val="0"/>
                                                  <w:marTop w:val="0"/>
                                                  <w:marBottom w:val="0"/>
                                                  <w:divBdr>
                                                    <w:top w:val="none" w:sz="0" w:space="0" w:color="auto"/>
                                                    <w:left w:val="none" w:sz="0" w:space="0" w:color="auto"/>
                                                    <w:bottom w:val="none" w:sz="0" w:space="0" w:color="auto"/>
                                                    <w:right w:val="none" w:sz="0" w:space="0" w:color="auto"/>
                                                  </w:divBdr>
                                                  <w:divsChild>
                                                    <w:div w:id="1848447436">
                                                      <w:marLeft w:val="0"/>
                                                      <w:marRight w:val="0"/>
                                                      <w:marTop w:val="0"/>
                                                      <w:marBottom w:val="0"/>
                                                      <w:divBdr>
                                                        <w:top w:val="none" w:sz="0" w:space="0" w:color="auto"/>
                                                        <w:left w:val="none" w:sz="0" w:space="0" w:color="auto"/>
                                                        <w:bottom w:val="none" w:sz="0" w:space="0" w:color="auto"/>
                                                        <w:right w:val="none" w:sz="0" w:space="0" w:color="auto"/>
                                                      </w:divBdr>
                                                      <w:divsChild>
                                                        <w:div w:id="1151289569">
                                                          <w:marLeft w:val="0"/>
                                                          <w:marRight w:val="0"/>
                                                          <w:marTop w:val="0"/>
                                                          <w:marBottom w:val="0"/>
                                                          <w:divBdr>
                                                            <w:top w:val="none" w:sz="0" w:space="0" w:color="auto"/>
                                                            <w:left w:val="none" w:sz="0" w:space="0" w:color="auto"/>
                                                            <w:bottom w:val="none" w:sz="0" w:space="0" w:color="auto"/>
                                                            <w:right w:val="none" w:sz="0" w:space="0" w:color="auto"/>
                                                          </w:divBdr>
                                                          <w:divsChild>
                                                            <w:div w:id="2006783266">
                                                              <w:marLeft w:val="0"/>
                                                              <w:marRight w:val="0"/>
                                                              <w:marTop w:val="0"/>
                                                              <w:marBottom w:val="0"/>
                                                              <w:divBdr>
                                                                <w:top w:val="none" w:sz="0" w:space="0" w:color="auto"/>
                                                                <w:left w:val="none" w:sz="0" w:space="0" w:color="auto"/>
                                                                <w:bottom w:val="none" w:sz="0" w:space="0" w:color="auto"/>
                                                                <w:right w:val="none" w:sz="0" w:space="0" w:color="auto"/>
                                                              </w:divBdr>
                                                              <w:divsChild>
                                                                <w:div w:id="949581178">
                                                                  <w:marLeft w:val="0"/>
                                                                  <w:marRight w:val="0"/>
                                                                  <w:marTop w:val="0"/>
                                                                  <w:marBottom w:val="0"/>
                                                                  <w:divBdr>
                                                                    <w:top w:val="none" w:sz="0" w:space="0" w:color="auto"/>
                                                                    <w:left w:val="none" w:sz="0" w:space="0" w:color="auto"/>
                                                                    <w:bottom w:val="none" w:sz="0" w:space="0" w:color="auto"/>
                                                                    <w:right w:val="none" w:sz="0" w:space="0" w:color="auto"/>
                                                                  </w:divBdr>
                                                                  <w:divsChild>
                                                                    <w:div w:id="31852765">
                                                                      <w:marLeft w:val="0"/>
                                                                      <w:marRight w:val="0"/>
                                                                      <w:marTop w:val="0"/>
                                                                      <w:marBottom w:val="0"/>
                                                                      <w:divBdr>
                                                                        <w:top w:val="none" w:sz="0" w:space="0" w:color="auto"/>
                                                                        <w:left w:val="none" w:sz="0" w:space="0" w:color="auto"/>
                                                                        <w:bottom w:val="none" w:sz="0" w:space="0" w:color="auto"/>
                                                                        <w:right w:val="none" w:sz="0" w:space="0" w:color="auto"/>
                                                                      </w:divBdr>
                                                                      <w:divsChild>
                                                                        <w:div w:id="370495437">
                                                                          <w:marLeft w:val="0"/>
                                                                          <w:marRight w:val="0"/>
                                                                          <w:marTop w:val="0"/>
                                                                          <w:marBottom w:val="0"/>
                                                                          <w:divBdr>
                                                                            <w:top w:val="none" w:sz="0" w:space="0" w:color="auto"/>
                                                                            <w:left w:val="none" w:sz="0" w:space="0" w:color="auto"/>
                                                                            <w:bottom w:val="none" w:sz="0" w:space="0" w:color="auto"/>
                                                                            <w:right w:val="none" w:sz="0" w:space="0" w:color="auto"/>
                                                                          </w:divBdr>
                                                                        </w:div>
                                                                      </w:divsChild>
                                                                    </w:div>
                                                                    <w:div w:id="491144902">
                                                                      <w:marLeft w:val="0"/>
                                                                      <w:marRight w:val="0"/>
                                                                      <w:marTop w:val="0"/>
                                                                      <w:marBottom w:val="0"/>
                                                                      <w:divBdr>
                                                                        <w:top w:val="none" w:sz="0" w:space="0" w:color="auto"/>
                                                                        <w:left w:val="none" w:sz="0" w:space="0" w:color="auto"/>
                                                                        <w:bottom w:val="none" w:sz="0" w:space="0" w:color="auto"/>
                                                                        <w:right w:val="none" w:sz="0" w:space="0" w:color="auto"/>
                                                                      </w:divBdr>
                                                                      <w:divsChild>
                                                                        <w:div w:id="1313095882">
                                                                          <w:marLeft w:val="0"/>
                                                                          <w:marRight w:val="0"/>
                                                                          <w:marTop w:val="0"/>
                                                                          <w:marBottom w:val="0"/>
                                                                          <w:divBdr>
                                                                            <w:top w:val="none" w:sz="0" w:space="0" w:color="auto"/>
                                                                            <w:left w:val="none" w:sz="0" w:space="0" w:color="auto"/>
                                                                            <w:bottom w:val="none" w:sz="0" w:space="0" w:color="auto"/>
                                                                            <w:right w:val="none" w:sz="0" w:space="0" w:color="auto"/>
                                                                          </w:divBdr>
                                                                        </w:div>
                                                                      </w:divsChild>
                                                                    </w:div>
                                                                    <w:div w:id="499392794">
                                                                      <w:marLeft w:val="0"/>
                                                                      <w:marRight w:val="0"/>
                                                                      <w:marTop w:val="0"/>
                                                                      <w:marBottom w:val="0"/>
                                                                      <w:divBdr>
                                                                        <w:top w:val="none" w:sz="0" w:space="0" w:color="auto"/>
                                                                        <w:left w:val="none" w:sz="0" w:space="0" w:color="auto"/>
                                                                        <w:bottom w:val="none" w:sz="0" w:space="0" w:color="auto"/>
                                                                        <w:right w:val="none" w:sz="0" w:space="0" w:color="auto"/>
                                                                      </w:divBdr>
                                                                      <w:divsChild>
                                                                        <w:div w:id="365253565">
                                                                          <w:marLeft w:val="0"/>
                                                                          <w:marRight w:val="0"/>
                                                                          <w:marTop w:val="0"/>
                                                                          <w:marBottom w:val="0"/>
                                                                          <w:divBdr>
                                                                            <w:top w:val="none" w:sz="0" w:space="0" w:color="auto"/>
                                                                            <w:left w:val="none" w:sz="0" w:space="0" w:color="auto"/>
                                                                            <w:bottom w:val="none" w:sz="0" w:space="0" w:color="auto"/>
                                                                            <w:right w:val="none" w:sz="0" w:space="0" w:color="auto"/>
                                                                          </w:divBdr>
                                                                        </w:div>
                                                                      </w:divsChild>
                                                                    </w:div>
                                                                    <w:div w:id="632685155">
                                                                      <w:marLeft w:val="0"/>
                                                                      <w:marRight w:val="0"/>
                                                                      <w:marTop w:val="0"/>
                                                                      <w:marBottom w:val="0"/>
                                                                      <w:divBdr>
                                                                        <w:top w:val="none" w:sz="0" w:space="0" w:color="auto"/>
                                                                        <w:left w:val="none" w:sz="0" w:space="0" w:color="auto"/>
                                                                        <w:bottom w:val="none" w:sz="0" w:space="0" w:color="auto"/>
                                                                        <w:right w:val="none" w:sz="0" w:space="0" w:color="auto"/>
                                                                      </w:divBdr>
                                                                      <w:divsChild>
                                                                        <w:div w:id="979042749">
                                                                          <w:marLeft w:val="0"/>
                                                                          <w:marRight w:val="0"/>
                                                                          <w:marTop w:val="0"/>
                                                                          <w:marBottom w:val="0"/>
                                                                          <w:divBdr>
                                                                            <w:top w:val="none" w:sz="0" w:space="0" w:color="auto"/>
                                                                            <w:left w:val="none" w:sz="0" w:space="0" w:color="auto"/>
                                                                            <w:bottom w:val="none" w:sz="0" w:space="0" w:color="auto"/>
                                                                            <w:right w:val="none" w:sz="0" w:space="0" w:color="auto"/>
                                                                          </w:divBdr>
                                                                        </w:div>
                                                                      </w:divsChild>
                                                                    </w:div>
                                                                    <w:div w:id="673849081">
                                                                      <w:marLeft w:val="0"/>
                                                                      <w:marRight w:val="0"/>
                                                                      <w:marTop w:val="0"/>
                                                                      <w:marBottom w:val="0"/>
                                                                      <w:divBdr>
                                                                        <w:top w:val="none" w:sz="0" w:space="0" w:color="auto"/>
                                                                        <w:left w:val="none" w:sz="0" w:space="0" w:color="auto"/>
                                                                        <w:bottom w:val="none" w:sz="0" w:space="0" w:color="auto"/>
                                                                        <w:right w:val="none" w:sz="0" w:space="0" w:color="auto"/>
                                                                      </w:divBdr>
                                                                      <w:divsChild>
                                                                        <w:div w:id="730427654">
                                                                          <w:marLeft w:val="0"/>
                                                                          <w:marRight w:val="0"/>
                                                                          <w:marTop w:val="0"/>
                                                                          <w:marBottom w:val="0"/>
                                                                          <w:divBdr>
                                                                            <w:top w:val="none" w:sz="0" w:space="0" w:color="auto"/>
                                                                            <w:left w:val="none" w:sz="0" w:space="0" w:color="auto"/>
                                                                            <w:bottom w:val="none" w:sz="0" w:space="0" w:color="auto"/>
                                                                            <w:right w:val="none" w:sz="0" w:space="0" w:color="auto"/>
                                                                          </w:divBdr>
                                                                        </w:div>
                                                                      </w:divsChild>
                                                                    </w:div>
                                                                    <w:div w:id="1262253816">
                                                                      <w:marLeft w:val="0"/>
                                                                      <w:marRight w:val="0"/>
                                                                      <w:marTop w:val="0"/>
                                                                      <w:marBottom w:val="0"/>
                                                                      <w:divBdr>
                                                                        <w:top w:val="none" w:sz="0" w:space="0" w:color="auto"/>
                                                                        <w:left w:val="none" w:sz="0" w:space="0" w:color="auto"/>
                                                                        <w:bottom w:val="none" w:sz="0" w:space="0" w:color="auto"/>
                                                                        <w:right w:val="none" w:sz="0" w:space="0" w:color="auto"/>
                                                                      </w:divBdr>
                                                                      <w:divsChild>
                                                                        <w:div w:id="594633213">
                                                                          <w:marLeft w:val="0"/>
                                                                          <w:marRight w:val="0"/>
                                                                          <w:marTop w:val="0"/>
                                                                          <w:marBottom w:val="0"/>
                                                                          <w:divBdr>
                                                                            <w:top w:val="none" w:sz="0" w:space="0" w:color="auto"/>
                                                                            <w:left w:val="none" w:sz="0" w:space="0" w:color="auto"/>
                                                                            <w:bottom w:val="none" w:sz="0" w:space="0" w:color="auto"/>
                                                                            <w:right w:val="none" w:sz="0" w:space="0" w:color="auto"/>
                                                                          </w:divBdr>
                                                                        </w:div>
                                                                        <w:div w:id="1199585633">
                                                                          <w:marLeft w:val="0"/>
                                                                          <w:marRight w:val="0"/>
                                                                          <w:marTop w:val="0"/>
                                                                          <w:marBottom w:val="0"/>
                                                                          <w:divBdr>
                                                                            <w:top w:val="none" w:sz="0" w:space="0" w:color="auto"/>
                                                                            <w:left w:val="none" w:sz="0" w:space="0" w:color="auto"/>
                                                                            <w:bottom w:val="none" w:sz="0" w:space="0" w:color="auto"/>
                                                                            <w:right w:val="none" w:sz="0" w:space="0" w:color="auto"/>
                                                                          </w:divBdr>
                                                                        </w:div>
                                                                        <w:div w:id="1321228406">
                                                                          <w:marLeft w:val="0"/>
                                                                          <w:marRight w:val="0"/>
                                                                          <w:marTop w:val="0"/>
                                                                          <w:marBottom w:val="0"/>
                                                                          <w:divBdr>
                                                                            <w:top w:val="none" w:sz="0" w:space="0" w:color="auto"/>
                                                                            <w:left w:val="none" w:sz="0" w:space="0" w:color="auto"/>
                                                                            <w:bottom w:val="none" w:sz="0" w:space="0" w:color="auto"/>
                                                                            <w:right w:val="none" w:sz="0" w:space="0" w:color="auto"/>
                                                                          </w:divBdr>
                                                                          <w:divsChild>
                                                                            <w:div w:id="1175613540">
                                                                              <w:marLeft w:val="0"/>
                                                                              <w:marRight w:val="0"/>
                                                                              <w:marTop w:val="0"/>
                                                                              <w:marBottom w:val="0"/>
                                                                              <w:divBdr>
                                                                                <w:top w:val="none" w:sz="0" w:space="0" w:color="auto"/>
                                                                                <w:left w:val="none" w:sz="0" w:space="0" w:color="auto"/>
                                                                                <w:bottom w:val="none" w:sz="0" w:space="0" w:color="auto"/>
                                                                                <w:right w:val="none" w:sz="0" w:space="0" w:color="auto"/>
                                                                              </w:divBdr>
                                                                              <w:divsChild>
                                                                                <w:div w:id="1236548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3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953206">
                                                                      <w:marLeft w:val="0"/>
                                                                      <w:marRight w:val="0"/>
                                                                      <w:marTop w:val="0"/>
                                                                      <w:marBottom w:val="0"/>
                                                                      <w:divBdr>
                                                                        <w:top w:val="none" w:sz="0" w:space="0" w:color="auto"/>
                                                                        <w:left w:val="none" w:sz="0" w:space="0" w:color="auto"/>
                                                                        <w:bottom w:val="none" w:sz="0" w:space="0" w:color="auto"/>
                                                                        <w:right w:val="none" w:sz="0" w:space="0" w:color="auto"/>
                                                                      </w:divBdr>
                                                                      <w:divsChild>
                                                                        <w:div w:id="1808010313">
                                                                          <w:marLeft w:val="0"/>
                                                                          <w:marRight w:val="0"/>
                                                                          <w:marTop w:val="0"/>
                                                                          <w:marBottom w:val="0"/>
                                                                          <w:divBdr>
                                                                            <w:top w:val="none" w:sz="0" w:space="0" w:color="auto"/>
                                                                            <w:left w:val="none" w:sz="0" w:space="0" w:color="auto"/>
                                                                            <w:bottom w:val="none" w:sz="0" w:space="0" w:color="auto"/>
                                                                            <w:right w:val="none" w:sz="0" w:space="0" w:color="auto"/>
                                                                          </w:divBdr>
                                                                        </w:div>
                                                                      </w:divsChild>
                                                                    </w:div>
                                                                    <w:div w:id="1910113302">
                                                                      <w:marLeft w:val="0"/>
                                                                      <w:marRight w:val="0"/>
                                                                      <w:marTop w:val="0"/>
                                                                      <w:marBottom w:val="0"/>
                                                                      <w:divBdr>
                                                                        <w:top w:val="none" w:sz="0" w:space="0" w:color="auto"/>
                                                                        <w:left w:val="none" w:sz="0" w:space="0" w:color="auto"/>
                                                                        <w:bottom w:val="none" w:sz="0" w:space="0" w:color="auto"/>
                                                                        <w:right w:val="none" w:sz="0" w:space="0" w:color="auto"/>
                                                                      </w:divBdr>
                                                                      <w:divsChild>
                                                                        <w:div w:id="1405103090">
                                                                          <w:marLeft w:val="0"/>
                                                                          <w:marRight w:val="0"/>
                                                                          <w:marTop w:val="0"/>
                                                                          <w:marBottom w:val="0"/>
                                                                          <w:divBdr>
                                                                            <w:top w:val="none" w:sz="0" w:space="0" w:color="auto"/>
                                                                            <w:left w:val="none" w:sz="0" w:space="0" w:color="auto"/>
                                                                            <w:bottom w:val="none" w:sz="0" w:space="0" w:color="auto"/>
                                                                            <w:right w:val="none" w:sz="0" w:space="0" w:color="auto"/>
                                                                          </w:divBdr>
                                                                          <w:divsChild>
                                                                            <w:div w:id="607615630">
                                                                              <w:marLeft w:val="0"/>
                                                                              <w:marRight w:val="0"/>
                                                                              <w:marTop w:val="0"/>
                                                                              <w:marBottom w:val="0"/>
                                                                              <w:divBdr>
                                                                                <w:top w:val="none" w:sz="0" w:space="0" w:color="auto"/>
                                                                                <w:left w:val="none" w:sz="0" w:space="0" w:color="auto"/>
                                                                                <w:bottom w:val="none" w:sz="0" w:space="0" w:color="auto"/>
                                                                                <w:right w:val="none" w:sz="0" w:space="0" w:color="auto"/>
                                                                              </w:divBdr>
                                                                              <w:divsChild>
                                                                                <w:div w:id="1235430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0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5841189">
      <w:bodyDiv w:val="1"/>
      <w:marLeft w:val="0"/>
      <w:marRight w:val="0"/>
      <w:marTop w:val="0"/>
      <w:marBottom w:val="0"/>
      <w:divBdr>
        <w:top w:val="none" w:sz="0" w:space="0" w:color="auto"/>
        <w:left w:val="none" w:sz="0" w:space="0" w:color="auto"/>
        <w:bottom w:val="none" w:sz="0" w:space="0" w:color="auto"/>
        <w:right w:val="none" w:sz="0" w:space="0" w:color="auto"/>
      </w:divBdr>
      <w:divsChild>
        <w:div w:id="22289651">
          <w:marLeft w:val="0"/>
          <w:marRight w:val="0"/>
          <w:marTop w:val="0"/>
          <w:marBottom w:val="0"/>
          <w:divBdr>
            <w:top w:val="none" w:sz="0" w:space="0" w:color="auto"/>
            <w:left w:val="single" w:sz="6" w:space="0" w:color="BBBBBB"/>
            <w:bottom w:val="single" w:sz="6" w:space="0" w:color="BBBBBB"/>
            <w:right w:val="single" w:sz="6" w:space="0" w:color="BBBBBB"/>
          </w:divBdr>
          <w:divsChild>
            <w:div w:id="1160346723">
              <w:marLeft w:val="0"/>
              <w:marRight w:val="0"/>
              <w:marTop w:val="0"/>
              <w:marBottom w:val="0"/>
              <w:divBdr>
                <w:top w:val="none" w:sz="0" w:space="0" w:color="auto"/>
                <w:left w:val="none" w:sz="0" w:space="0" w:color="auto"/>
                <w:bottom w:val="none" w:sz="0" w:space="0" w:color="auto"/>
                <w:right w:val="none" w:sz="0" w:space="0" w:color="auto"/>
              </w:divBdr>
              <w:divsChild>
                <w:div w:id="71782864">
                  <w:marLeft w:val="0"/>
                  <w:marRight w:val="0"/>
                  <w:marTop w:val="75"/>
                  <w:marBottom w:val="0"/>
                  <w:divBdr>
                    <w:top w:val="none" w:sz="0" w:space="0" w:color="auto"/>
                    <w:left w:val="none" w:sz="0" w:space="0" w:color="auto"/>
                    <w:bottom w:val="none" w:sz="0" w:space="0" w:color="auto"/>
                    <w:right w:val="none" w:sz="0" w:space="0" w:color="auto"/>
                  </w:divBdr>
                  <w:divsChild>
                    <w:div w:id="495221775">
                      <w:marLeft w:val="0"/>
                      <w:marRight w:val="0"/>
                      <w:marTop w:val="0"/>
                      <w:marBottom w:val="0"/>
                      <w:divBdr>
                        <w:top w:val="none" w:sz="0" w:space="0" w:color="auto"/>
                        <w:left w:val="none" w:sz="0" w:space="0" w:color="auto"/>
                        <w:bottom w:val="none" w:sz="0" w:space="0" w:color="auto"/>
                        <w:right w:val="none" w:sz="0" w:space="0" w:color="auto"/>
                      </w:divBdr>
                      <w:divsChild>
                        <w:div w:id="1515729284">
                          <w:marLeft w:val="0"/>
                          <w:marRight w:val="0"/>
                          <w:marTop w:val="0"/>
                          <w:marBottom w:val="0"/>
                          <w:divBdr>
                            <w:top w:val="none" w:sz="0" w:space="0" w:color="auto"/>
                            <w:left w:val="none" w:sz="0" w:space="0" w:color="auto"/>
                            <w:bottom w:val="none" w:sz="0" w:space="0" w:color="auto"/>
                            <w:right w:val="none" w:sz="0" w:space="0" w:color="auto"/>
                          </w:divBdr>
                          <w:divsChild>
                            <w:div w:id="1163546328">
                              <w:marLeft w:val="0"/>
                              <w:marRight w:val="0"/>
                              <w:marTop w:val="0"/>
                              <w:marBottom w:val="0"/>
                              <w:divBdr>
                                <w:top w:val="none" w:sz="0" w:space="0" w:color="auto"/>
                                <w:left w:val="none" w:sz="0" w:space="0" w:color="auto"/>
                                <w:bottom w:val="none" w:sz="0" w:space="0" w:color="auto"/>
                                <w:right w:val="none" w:sz="0" w:space="0" w:color="auto"/>
                              </w:divBdr>
                              <w:divsChild>
                                <w:div w:id="670060301">
                                  <w:marLeft w:val="0"/>
                                  <w:marRight w:val="0"/>
                                  <w:marTop w:val="0"/>
                                  <w:marBottom w:val="0"/>
                                  <w:divBdr>
                                    <w:top w:val="none" w:sz="0" w:space="0" w:color="auto"/>
                                    <w:left w:val="none" w:sz="0" w:space="0" w:color="auto"/>
                                    <w:bottom w:val="none" w:sz="0" w:space="0" w:color="auto"/>
                                    <w:right w:val="none" w:sz="0" w:space="0" w:color="auto"/>
                                  </w:divBdr>
                                  <w:divsChild>
                                    <w:div w:id="1575621874">
                                      <w:marLeft w:val="0"/>
                                      <w:marRight w:val="0"/>
                                      <w:marTop w:val="0"/>
                                      <w:marBottom w:val="0"/>
                                      <w:divBdr>
                                        <w:top w:val="none" w:sz="0" w:space="0" w:color="auto"/>
                                        <w:left w:val="none" w:sz="0" w:space="0" w:color="auto"/>
                                        <w:bottom w:val="none" w:sz="0" w:space="0" w:color="auto"/>
                                        <w:right w:val="none" w:sz="0" w:space="0" w:color="auto"/>
                                      </w:divBdr>
                                      <w:divsChild>
                                        <w:div w:id="1113406487">
                                          <w:marLeft w:val="1200"/>
                                          <w:marRight w:val="1200"/>
                                          <w:marTop w:val="0"/>
                                          <w:marBottom w:val="0"/>
                                          <w:divBdr>
                                            <w:top w:val="none" w:sz="0" w:space="0" w:color="auto"/>
                                            <w:left w:val="none" w:sz="0" w:space="0" w:color="auto"/>
                                            <w:bottom w:val="none" w:sz="0" w:space="0" w:color="auto"/>
                                            <w:right w:val="none" w:sz="0" w:space="0" w:color="auto"/>
                                          </w:divBdr>
                                          <w:divsChild>
                                            <w:div w:id="181482511">
                                              <w:marLeft w:val="0"/>
                                              <w:marRight w:val="0"/>
                                              <w:marTop w:val="0"/>
                                              <w:marBottom w:val="0"/>
                                              <w:divBdr>
                                                <w:top w:val="none" w:sz="0" w:space="0" w:color="auto"/>
                                                <w:left w:val="none" w:sz="0" w:space="0" w:color="auto"/>
                                                <w:bottom w:val="none" w:sz="0" w:space="0" w:color="auto"/>
                                                <w:right w:val="none" w:sz="0" w:space="0" w:color="auto"/>
                                              </w:divBdr>
                                              <w:divsChild>
                                                <w:div w:id="438986813">
                                                  <w:marLeft w:val="0"/>
                                                  <w:marRight w:val="0"/>
                                                  <w:marTop w:val="0"/>
                                                  <w:marBottom w:val="0"/>
                                                  <w:divBdr>
                                                    <w:top w:val="none" w:sz="0" w:space="0" w:color="auto"/>
                                                    <w:left w:val="none" w:sz="0" w:space="0" w:color="auto"/>
                                                    <w:bottom w:val="none" w:sz="0" w:space="0" w:color="auto"/>
                                                    <w:right w:val="none" w:sz="0" w:space="0" w:color="auto"/>
                                                  </w:divBdr>
                                                  <w:divsChild>
                                                    <w:div w:id="1576864386">
                                                      <w:marLeft w:val="0"/>
                                                      <w:marRight w:val="0"/>
                                                      <w:marTop w:val="0"/>
                                                      <w:marBottom w:val="0"/>
                                                      <w:divBdr>
                                                        <w:top w:val="none" w:sz="0" w:space="0" w:color="auto"/>
                                                        <w:left w:val="none" w:sz="0" w:space="0" w:color="auto"/>
                                                        <w:bottom w:val="none" w:sz="0" w:space="0" w:color="auto"/>
                                                        <w:right w:val="none" w:sz="0" w:space="0" w:color="auto"/>
                                                      </w:divBdr>
                                                      <w:divsChild>
                                                        <w:div w:id="1261766395">
                                                          <w:marLeft w:val="0"/>
                                                          <w:marRight w:val="0"/>
                                                          <w:marTop w:val="0"/>
                                                          <w:marBottom w:val="0"/>
                                                          <w:divBdr>
                                                            <w:top w:val="none" w:sz="0" w:space="0" w:color="auto"/>
                                                            <w:left w:val="none" w:sz="0" w:space="0" w:color="auto"/>
                                                            <w:bottom w:val="none" w:sz="0" w:space="0" w:color="auto"/>
                                                            <w:right w:val="none" w:sz="0" w:space="0" w:color="auto"/>
                                                          </w:divBdr>
                                                          <w:divsChild>
                                                            <w:div w:id="1909724757">
                                                              <w:marLeft w:val="0"/>
                                                              <w:marRight w:val="0"/>
                                                              <w:marTop w:val="0"/>
                                                              <w:marBottom w:val="0"/>
                                                              <w:divBdr>
                                                                <w:top w:val="none" w:sz="0" w:space="0" w:color="auto"/>
                                                                <w:left w:val="none" w:sz="0" w:space="0" w:color="auto"/>
                                                                <w:bottom w:val="none" w:sz="0" w:space="0" w:color="auto"/>
                                                                <w:right w:val="none" w:sz="0" w:space="0" w:color="auto"/>
                                                              </w:divBdr>
                                                              <w:divsChild>
                                                                <w:div w:id="1359432989">
                                                                  <w:marLeft w:val="0"/>
                                                                  <w:marRight w:val="0"/>
                                                                  <w:marTop w:val="0"/>
                                                                  <w:marBottom w:val="0"/>
                                                                  <w:divBdr>
                                                                    <w:top w:val="none" w:sz="0" w:space="0" w:color="auto"/>
                                                                    <w:left w:val="none" w:sz="0" w:space="0" w:color="auto"/>
                                                                    <w:bottom w:val="none" w:sz="0" w:space="0" w:color="auto"/>
                                                                    <w:right w:val="none" w:sz="0" w:space="0" w:color="auto"/>
                                                                  </w:divBdr>
                                                                  <w:divsChild>
                                                                    <w:div w:id="963585192">
                                                                      <w:marLeft w:val="0"/>
                                                                      <w:marRight w:val="0"/>
                                                                      <w:marTop w:val="0"/>
                                                                      <w:marBottom w:val="0"/>
                                                                      <w:divBdr>
                                                                        <w:top w:val="none" w:sz="0" w:space="0" w:color="auto"/>
                                                                        <w:left w:val="none" w:sz="0" w:space="0" w:color="auto"/>
                                                                        <w:bottom w:val="none" w:sz="0" w:space="0" w:color="auto"/>
                                                                        <w:right w:val="none" w:sz="0" w:space="0" w:color="auto"/>
                                                                      </w:divBdr>
                                                                      <w:divsChild>
                                                                        <w:div w:id="2143232724">
                                                                          <w:marLeft w:val="0"/>
                                                                          <w:marRight w:val="0"/>
                                                                          <w:marTop w:val="0"/>
                                                                          <w:marBottom w:val="0"/>
                                                                          <w:divBdr>
                                                                            <w:top w:val="none" w:sz="0" w:space="0" w:color="auto"/>
                                                                            <w:left w:val="none" w:sz="0" w:space="0" w:color="auto"/>
                                                                            <w:bottom w:val="none" w:sz="0" w:space="0" w:color="auto"/>
                                                                            <w:right w:val="none" w:sz="0" w:space="0" w:color="auto"/>
                                                                          </w:divBdr>
                                                                        </w:div>
                                                                      </w:divsChild>
                                                                    </w:div>
                                                                    <w:div w:id="1377000458">
                                                                      <w:marLeft w:val="0"/>
                                                                      <w:marRight w:val="0"/>
                                                                      <w:marTop w:val="0"/>
                                                                      <w:marBottom w:val="0"/>
                                                                      <w:divBdr>
                                                                        <w:top w:val="none" w:sz="0" w:space="0" w:color="auto"/>
                                                                        <w:left w:val="none" w:sz="0" w:space="0" w:color="auto"/>
                                                                        <w:bottom w:val="none" w:sz="0" w:space="0" w:color="auto"/>
                                                                        <w:right w:val="none" w:sz="0" w:space="0" w:color="auto"/>
                                                                      </w:divBdr>
                                                                      <w:divsChild>
                                                                        <w:div w:id="7247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6345726">
      <w:bodyDiv w:val="1"/>
      <w:marLeft w:val="0"/>
      <w:marRight w:val="0"/>
      <w:marTop w:val="0"/>
      <w:marBottom w:val="0"/>
      <w:divBdr>
        <w:top w:val="none" w:sz="0" w:space="0" w:color="auto"/>
        <w:left w:val="none" w:sz="0" w:space="0" w:color="auto"/>
        <w:bottom w:val="none" w:sz="0" w:space="0" w:color="auto"/>
        <w:right w:val="none" w:sz="0" w:space="0" w:color="auto"/>
      </w:divBdr>
      <w:divsChild>
        <w:div w:id="1251236281">
          <w:marLeft w:val="0"/>
          <w:marRight w:val="0"/>
          <w:marTop w:val="0"/>
          <w:marBottom w:val="0"/>
          <w:divBdr>
            <w:top w:val="none" w:sz="0" w:space="0" w:color="auto"/>
            <w:left w:val="single" w:sz="6" w:space="0" w:color="BBBBBB"/>
            <w:bottom w:val="single" w:sz="6" w:space="0" w:color="BBBBBB"/>
            <w:right w:val="single" w:sz="6" w:space="0" w:color="BBBBBB"/>
          </w:divBdr>
          <w:divsChild>
            <w:div w:id="524289987">
              <w:marLeft w:val="0"/>
              <w:marRight w:val="0"/>
              <w:marTop w:val="0"/>
              <w:marBottom w:val="0"/>
              <w:divBdr>
                <w:top w:val="none" w:sz="0" w:space="0" w:color="auto"/>
                <w:left w:val="none" w:sz="0" w:space="0" w:color="auto"/>
                <w:bottom w:val="none" w:sz="0" w:space="0" w:color="auto"/>
                <w:right w:val="none" w:sz="0" w:space="0" w:color="auto"/>
              </w:divBdr>
              <w:divsChild>
                <w:div w:id="508132805">
                  <w:marLeft w:val="0"/>
                  <w:marRight w:val="0"/>
                  <w:marTop w:val="75"/>
                  <w:marBottom w:val="0"/>
                  <w:divBdr>
                    <w:top w:val="none" w:sz="0" w:space="0" w:color="auto"/>
                    <w:left w:val="none" w:sz="0" w:space="0" w:color="auto"/>
                    <w:bottom w:val="none" w:sz="0" w:space="0" w:color="auto"/>
                    <w:right w:val="none" w:sz="0" w:space="0" w:color="auto"/>
                  </w:divBdr>
                  <w:divsChild>
                    <w:div w:id="1667130476">
                      <w:marLeft w:val="0"/>
                      <w:marRight w:val="0"/>
                      <w:marTop w:val="0"/>
                      <w:marBottom w:val="0"/>
                      <w:divBdr>
                        <w:top w:val="none" w:sz="0" w:space="0" w:color="auto"/>
                        <w:left w:val="none" w:sz="0" w:space="0" w:color="auto"/>
                        <w:bottom w:val="none" w:sz="0" w:space="0" w:color="auto"/>
                        <w:right w:val="none" w:sz="0" w:space="0" w:color="auto"/>
                      </w:divBdr>
                      <w:divsChild>
                        <w:div w:id="268199395">
                          <w:marLeft w:val="0"/>
                          <w:marRight w:val="0"/>
                          <w:marTop w:val="0"/>
                          <w:marBottom w:val="0"/>
                          <w:divBdr>
                            <w:top w:val="none" w:sz="0" w:space="0" w:color="auto"/>
                            <w:left w:val="none" w:sz="0" w:space="0" w:color="auto"/>
                            <w:bottom w:val="none" w:sz="0" w:space="0" w:color="auto"/>
                            <w:right w:val="none" w:sz="0" w:space="0" w:color="auto"/>
                          </w:divBdr>
                          <w:divsChild>
                            <w:div w:id="1588150927">
                              <w:marLeft w:val="0"/>
                              <w:marRight w:val="0"/>
                              <w:marTop w:val="0"/>
                              <w:marBottom w:val="0"/>
                              <w:divBdr>
                                <w:top w:val="none" w:sz="0" w:space="0" w:color="auto"/>
                                <w:left w:val="none" w:sz="0" w:space="0" w:color="auto"/>
                                <w:bottom w:val="none" w:sz="0" w:space="0" w:color="auto"/>
                                <w:right w:val="none" w:sz="0" w:space="0" w:color="auto"/>
                              </w:divBdr>
                              <w:divsChild>
                                <w:div w:id="448162359">
                                  <w:marLeft w:val="0"/>
                                  <w:marRight w:val="0"/>
                                  <w:marTop w:val="0"/>
                                  <w:marBottom w:val="0"/>
                                  <w:divBdr>
                                    <w:top w:val="none" w:sz="0" w:space="0" w:color="auto"/>
                                    <w:left w:val="none" w:sz="0" w:space="0" w:color="auto"/>
                                    <w:bottom w:val="none" w:sz="0" w:space="0" w:color="auto"/>
                                    <w:right w:val="none" w:sz="0" w:space="0" w:color="auto"/>
                                  </w:divBdr>
                                  <w:divsChild>
                                    <w:div w:id="2026245712">
                                      <w:marLeft w:val="0"/>
                                      <w:marRight w:val="0"/>
                                      <w:marTop w:val="0"/>
                                      <w:marBottom w:val="0"/>
                                      <w:divBdr>
                                        <w:top w:val="none" w:sz="0" w:space="0" w:color="auto"/>
                                        <w:left w:val="none" w:sz="0" w:space="0" w:color="auto"/>
                                        <w:bottom w:val="none" w:sz="0" w:space="0" w:color="auto"/>
                                        <w:right w:val="none" w:sz="0" w:space="0" w:color="auto"/>
                                      </w:divBdr>
                                      <w:divsChild>
                                        <w:div w:id="1005211543">
                                          <w:marLeft w:val="1200"/>
                                          <w:marRight w:val="1200"/>
                                          <w:marTop w:val="0"/>
                                          <w:marBottom w:val="0"/>
                                          <w:divBdr>
                                            <w:top w:val="none" w:sz="0" w:space="0" w:color="auto"/>
                                            <w:left w:val="none" w:sz="0" w:space="0" w:color="auto"/>
                                            <w:bottom w:val="none" w:sz="0" w:space="0" w:color="auto"/>
                                            <w:right w:val="none" w:sz="0" w:space="0" w:color="auto"/>
                                          </w:divBdr>
                                          <w:divsChild>
                                            <w:div w:id="255940122">
                                              <w:marLeft w:val="0"/>
                                              <w:marRight w:val="0"/>
                                              <w:marTop w:val="0"/>
                                              <w:marBottom w:val="0"/>
                                              <w:divBdr>
                                                <w:top w:val="none" w:sz="0" w:space="0" w:color="auto"/>
                                                <w:left w:val="none" w:sz="0" w:space="0" w:color="auto"/>
                                                <w:bottom w:val="none" w:sz="0" w:space="0" w:color="auto"/>
                                                <w:right w:val="none" w:sz="0" w:space="0" w:color="auto"/>
                                              </w:divBdr>
                                              <w:divsChild>
                                                <w:div w:id="708259844">
                                                  <w:marLeft w:val="0"/>
                                                  <w:marRight w:val="0"/>
                                                  <w:marTop w:val="0"/>
                                                  <w:marBottom w:val="0"/>
                                                  <w:divBdr>
                                                    <w:top w:val="none" w:sz="0" w:space="0" w:color="auto"/>
                                                    <w:left w:val="none" w:sz="0" w:space="0" w:color="auto"/>
                                                    <w:bottom w:val="none" w:sz="0" w:space="0" w:color="auto"/>
                                                    <w:right w:val="none" w:sz="0" w:space="0" w:color="auto"/>
                                                  </w:divBdr>
                                                  <w:divsChild>
                                                    <w:div w:id="891620207">
                                                      <w:marLeft w:val="0"/>
                                                      <w:marRight w:val="0"/>
                                                      <w:marTop w:val="0"/>
                                                      <w:marBottom w:val="0"/>
                                                      <w:divBdr>
                                                        <w:top w:val="none" w:sz="0" w:space="0" w:color="auto"/>
                                                        <w:left w:val="none" w:sz="0" w:space="0" w:color="auto"/>
                                                        <w:bottom w:val="none" w:sz="0" w:space="0" w:color="auto"/>
                                                        <w:right w:val="none" w:sz="0" w:space="0" w:color="auto"/>
                                                      </w:divBdr>
                                                      <w:divsChild>
                                                        <w:div w:id="1050766101">
                                                          <w:marLeft w:val="0"/>
                                                          <w:marRight w:val="0"/>
                                                          <w:marTop w:val="0"/>
                                                          <w:marBottom w:val="0"/>
                                                          <w:divBdr>
                                                            <w:top w:val="none" w:sz="0" w:space="0" w:color="auto"/>
                                                            <w:left w:val="none" w:sz="0" w:space="0" w:color="auto"/>
                                                            <w:bottom w:val="none" w:sz="0" w:space="0" w:color="auto"/>
                                                            <w:right w:val="none" w:sz="0" w:space="0" w:color="auto"/>
                                                          </w:divBdr>
                                                          <w:divsChild>
                                                            <w:div w:id="1776830771">
                                                              <w:marLeft w:val="0"/>
                                                              <w:marRight w:val="0"/>
                                                              <w:marTop w:val="0"/>
                                                              <w:marBottom w:val="0"/>
                                                              <w:divBdr>
                                                                <w:top w:val="none" w:sz="0" w:space="0" w:color="auto"/>
                                                                <w:left w:val="none" w:sz="0" w:space="0" w:color="auto"/>
                                                                <w:bottom w:val="none" w:sz="0" w:space="0" w:color="auto"/>
                                                                <w:right w:val="none" w:sz="0" w:space="0" w:color="auto"/>
                                                              </w:divBdr>
                                                              <w:divsChild>
                                                                <w:div w:id="767893535">
                                                                  <w:marLeft w:val="0"/>
                                                                  <w:marRight w:val="0"/>
                                                                  <w:marTop w:val="0"/>
                                                                  <w:marBottom w:val="0"/>
                                                                  <w:divBdr>
                                                                    <w:top w:val="none" w:sz="0" w:space="0" w:color="auto"/>
                                                                    <w:left w:val="none" w:sz="0" w:space="0" w:color="auto"/>
                                                                    <w:bottom w:val="none" w:sz="0" w:space="0" w:color="auto"/>
                                                                    <w:right w:val="none" w:sz="0" w:space="0" w:color="auto"/>
                                                                  </w:divBdr>
                                                                  <w:divsChild>
                                                                    <w:div w:id="642320750">
                                                                      <w:marLeft w:val="0"/>
                                                                      <w:marRight w:val="0"/>
                                                                      <w:marTop w:val="0"/>
                                                                      <w:marBottom w:val="0"/>
                                                                      <w:divBdr>
                                                                        <w:top w:val="none" w:sz="0" w:space="0" w:color="auto"/>
                                                                        <w:left w:val="none" w:sz="0" w:space="0" w:color="auto"/>
                                                                        <w:bottom w:val="none" w:sz="0" w:space="0" w:color="auto"/>
                                                                        <w:right w:val="none" w:sz="0" w:space="0" w:color="auto"/>
                                                                      </w:divBdr>
                                                                      <w:divsChild>
                                                                        <w:div w:id="1870952778">
                                                                          <w:marLeft w:val="0"/>
                                                                          <w:marRight w:val="0"/>
                                                                          <w:marTop w:val="0"/>
                                                                          <w:marBottom w:val="0"/>
                                                                          <w:divBdr>
                                                                            <w:top w:val="none" w:sz="0" w:space="0" w:color="auto"/>
                                                                            <w:left w:val="none" w:sz="0" w:space="0" w:color="auto"/>
                                                                            <w:bottom w:val="none" w:sz="0" w:space="0" w:color="auto"/>
                                                                            <w:right w:val="none" w:sz="0" w:space="0" w:color="auto"/>
                                                                          </w:divBdr>
                                                                        </w:div>
                                                                      </w:divsChild>
                                                                    </w:div>
                                                                    <w:div w:id="981497139">
                                                                      <w:marLeft w:val="0"/>
                                                                      <w:marRight w:val="0"/>
                                                                      <w:marTop w:val="0"/>
                                                                      <w:marBottom w:val="0"/>
                                                                      <w:divBdr>
                                                                        <w:top w:val="none" w:sz="0" w:space="0" w:color="auto"/>
                                                                        <w:left w:val="none" w:sz="0" w:space="0" w:color="auto"/>
                                                                        <w:bottom w:val="none" w:sz="0" w:space="0" w:color="auto"/>
                                                                        <w:right w:val="none" w:sz="0" w:space="0" w:color="auto"/>
                                                                      </w:divBdr>
                                                                      <w:divsChild>
                                                                        <w:div w:id="1527673732">
                                                                          <w:marLeft w:val="0"/>
                                                                          <w:marRight w:val="0"/>
                                                                          <w:marTop w:val="0"/>
                                                                          <w:marBottom w:val="0"/>
                                                                          <w:divBdr>
                                                                            <w:top w:val="none" w:sz="0" w:space="0" w:color="auto"/>
                                                                            <w:left w:val="none" w:sz="0" w:space="0" w:color="auto"/>
                                                                            <w:bottom w:val="none" w:sz="0" w:space="0" w:color="auto"/>
                                                                            <w:right w:val="none" w:sz="0" w:space="0" w:color="auto"/>
                                                                          </w:divBdr>
                                                                        </w:div>
                                                                      </w:divsChild>
                                                                    </w:div>
                                                                    <w:div w:id="1395007062">
                                                                      <w:marLeft w:val="0"/>
                                                                      <w:marRight w:val="0"/>
                                                                      <w:marTop w:val="0"/>
                                                                      <w:marBottom w:val="0"/>
                                                                      <w:divBdr>
                                                                        <w:top w:val="none" w:sz="0" w:space="0" w:color="auto"/>
                                                                        <w:left w:val="none" w:sz="0" w:space="0" w:color="auto"/>
                                                                        <w:bottom w:val="none" w:sz="0" w:space="0" w:color="auto"/>
                                                                        <w:right w:val="none" w:sz="0" w:space="0" w:color="auto"/>
                                                                      </w:divBdr>
                                                                      <w:divsChild>
                                                                        <w:div w:id="1376657983">
                                                                          <w:marLeft w:val="0"/>
                                                                          <w:marRight w:val="0"/>
                                                                          <w:marTop w:val="0"/>
                                                                          <w:marBottom w:val="0"/>
                                                                          <w:divBdr>
                                                                            <w:top w:val="none" w:sz="0" w:space="0" w:color="auto"/>
                                                                            <w:left w:val="none" w:sz="0" w:space="0" w:color="auto"/>
                                                                            <w:bottom w:val="none" w:sz="0" w:space="0" w:color="auto"/>
                                                                            <w:right w:val="none" w:sz="0" w:space="0" w:color="auto"/>
                                                                          </w:divBdr>
                                                                        </w:div>
                                                                      </w:divsChild>
                                                                    </w:div>
                                                                    <w:div w:id="1448428436">
                                                                      <w:marLeft w:val="0"/>
                                                                      <w:marRight w:val="0"/>
                                                                      <w:marTop w:val="0"/>
                                                                      <w:marBottom w:val="0"/>
                                                                      <w:divBdr>
                                                                        <w:top w:val="none" w:sz="0" w:space="0" w:color="auto"/>
                                                                        <w:left w:val="none" w:sz="0" w:space="0" w:color="auto"/>
                                                                        <w:bottom w:val="none" w:sz="0" w:space="0" w:color="auto"/>
                                                                        <w:right w:val="none" w:sz="0" w:space="0" w:color="auto"/>
                                                                      </w:divBdr>
                                                                      <w:divsChild>
                                                                        <w:div w:id="17559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6412826">
      <w:bodyDiv w:val="1"/>
      <w:marLeft w:val="0"/>
      <w:marRight w:val="0"/>
      <w:marTop w:val="0"/>
      <w:marBottom w:val="0"/>
      <w:divBdr>
        <w:top w:val="none" w:sz="0" w:space="0" w:color="auto"/>
        <w:left w:val="none" w:sz="0" w:space="0" w:color="auto"/>
        <w:bottom w:val="none" w:sz="0" w:space="0" w:color="auto"/>
        <w:right w:val="none" w:sz="0" w:space="0" w:color="auto"/>
      </w:divBdr>
      <w:divsChild>
        <w:div w:id="1492283848">
          <w:marLeft w:val="0"/>
          <w:marRight w:val="0"/>
          <w:marTop w:val="0"/>
          <w:marBottom w:val="0"/>
          <w:divBdr>
            <w:top w:val="none" w:sz="0" w:space="0" w:color="auto"/>
            <w:left w:val="single" w:sz="6" w:space="0" w:color="BBBBBB"/>
            <w:bottom w:val="single" w:sz="6" w:space="0" w:color="BBBBBB"/>
            <w:right w:val="single" w:sz="6" w:space="0" w:color="BBBBBB"/>
          </w:divBdr>
          <w:divsChild>
            <w:div w:id="1194615684">
              <w:marLeft w:val="0"/>
              <w:marRight w:val="0"/>
              <w:marTop w:val="0"/>
              <w:marBottom w:val="0"/>
              <w:divBdr>
                <w:top w:val="none" w:sz="0" w:space="0" w:color="auto"/>
                <w:left w:val="none" w:sz="0" w:space="0" w:color="auto"/>
                <w:bottom w:val="none" w:sz="0" w:space="0" w:color="auto"/>
                <w:right w:val="none" w:sz="0" w:space="0" w:color="auto"/>
              </w:divBdr>
              <w:divsChild>
                <w:div w:id="1123884406">
                  <w:marLeft w:val="0"/>
                  <w:marRight w:val="0"/>
                  <w:marTop w:val="0"/>
                  <w:marBottom w:val="0"/>
                  <w:divBdr>
                    <w:top w:val="none" w:sz="0" w:space="0" w:color="auto"/>
                    <w:left w:val="none" w:sz="0" w:space="0" w:color="auto"/>
                    <w:bottom w:val="none" w:sz="0" w:space="0" w:color="auto"/>
                    <w:right w:val="none" w:sz="0" w:space="0" w:color="auto"/>
                  </w:divBdr>
                  <w:divsChild>
                    <w:div w:id="1341084262">
                      <w:marLeft w:val="0"/>
                      <w:marRight w:val="0"/>
                      <w:marTop w:val="0"/>
                      <w:marBottom w:val="0"/>
                      <w:divBdr>
                        <w:top w:val="none" w:sz="0" w:space="0" w:color="auto"/>
                        <w:left w:val="none" w:sz="0" w:space="0" w:color="auto"/>
                        <w:bottom w:val="none" w:sz="0" w:space="0" w:color="auto"/>
                        <w:right w:val="none" w:sz="0" w:space="0" w:color="auto"/>
                      </w:divBdr>
                      <w:divsChild>
                        <w:div w:id="174272244">
                          <w:marLeft w:val="0"/>
                          <w:marRight w:val="0"/>
                          <w:marTop w:val="0"/>
                          <w:marBottom w:val="0"/>
                          <w:divBdr>
                            <w:top w:val="none" w:sz="0" w:space="0" w:color="auto"/>
                            <w:left w:val="none" w:sz="0" w:space="0" w:color="auto"/>
                            <w:bottom w:val="none" w:sz="0" w:space="0" w:color="auto"/>
                            <w:right w:val="none" w:sz="0" w:space="0" w:color="auto"/>
                          </w:divBdr>
                          <w:divsChild>
                            <w:div w:id="717582678">
                              <w:marLeft w:val="0"/>
                              <w:marRight w:val="0"/>
                              <w:marTop w:val="0"/>
                              <w:marBottom w:val="0"/>
                              <w:divBdr>
                                <w:top w:val="none" w:sz="0" w:space="0" w:color="auto"/>
                                <w:left w:val="none" w:sz="0" w:space="0" w:color="auto"/>
                                <w:bottom w:val="none" w:sz="0" w:space="0" w:color="auto"/>
                                <w:right w:val="none" w:sz="0" w:space="0" w:color="auto"/>
                              </w:divBdr>
                              <w:divsChild>
                                <w:div w:id="2031686999">
                                  <w:marLeft w:val="0"/>
                                  <w:marRight w:val="0"/>
                                  <w:marTop w:val="0"/>
                                  <w:marBottom w:val="0"/>
                                  <w:divBdr>
                                    <w:top w:val="none" w:sz="0" w:space="0" w:color="auto"/>
                                    <w:left w:val="none" w:sz="0" w:space="0" w:color="auto"/>
                                    <w:bottom w:val="none" w:sz="0" w:space="0" w:color="auto"/>
                                    <w:right w:val="none" w:sz="0" w:space="0" w:color="auto"/>
                                  </w:divBdr>
                                  <w:divsChild>
                                    <w:div w:id="362948330">
                                      <w:marLeft w:val="0"/>
                                      <w:marRight w:val="0"/>
                                      <w:marTop w:val="0"/>
                                      <w:marBottom w:val="0"/>
                                      <w:divBdr>
                                        <w:top w:val="none" w:sz="0" w:space="0" w:color="auto"/>
                                        <w:left w:val="none" w:sz="0" w:space="0" w:color="auto"/>
                                        <w:bottom w:val="none" w:sz="0" w:space="0" w:color="auto"/>
                                        <w:right w:val="none" w:sz="0" w:space="0" w:color="auto"/>
                                      </w:divBdr>
                                      <w:divsChild>
                                        <w:div w:id="1805780799">
                                          <w:marLeft w:val="1200"/>
                                          <w:marRight w:val="1200"/>
                                          <w:marTop w:val="0"/>
                                          <w:marBottom w:val="0"/>
                                          <w:divBdr>
                                            <w:top w:val="none" w:sz="0" w:space="0" w:color="auto"/>
                                            <w:left w:val="none" w:sz="0" w:space="0" w:color="auto"/>
                                            <w:bottom w:val="none" w:sz="0" w:space="0" w:color="auto"/>
                                            <w:right w:val="none" w:sz="0" w:space="0" w:color="auto"/>
                                          </w:divBdr>
                                          <w:divsChild>
                                            <w:div w:id="522321943">
                                              <w:marLeft w:val="0"/>
                                              <w:marRight w:val="0"/>
                                              <w:marTop w:val="0"/>
                                              <w:marBottom w:val="0"/>
                                              <w:divBdr>
                                                <w:top w:val="none" w:sz="0" w:space="0" w:color="auto"/>
                                                <w:left w:val="none" w:sz="0" w:space="0" w:color="auto"/>
                                                <w:bottom w:val="none" w:sz="0" w:space="0" w:color="auto"/>
                                                <w:right w:val="none" w:sz="0" w:space="0" w:color="auto"/>
                                              </w:divBdr>
                                              <w:divsChild>
                                                <w:div w:id="751894826">
                                                  <w:marLeft w:val="0"/>
                                                  <w:marRight w:val="0"/>
                                                  <w:marTop w:val="0"/>
                                                  <w:marBottom w:val="0"/>
                                                  <w:divBdr>
                                                    <w:top w:val="none" w:sz="0" w:space="0" w:color="auto"/>
                                                    <w:left w:val="none" w:sz="0" w:space="0" w:color="auto"/>
                                                    <w:bottom w:val="none" w:sz="0" w:space="0" w:color="auto"/>
                                                    <w:right w:val="none" w:sz="0" w:space="0" w:color="auto"/>
                                                  </w:divBdr>
                                                  <w:divsChild>
                                                    <w:div w:id="912475512">
                                                      <w:marLeft w:val="0"/>
                                                      <w:marRight w:val="0"/>
                                                      <w:marTop w:val="0"/>
                                                      <w:marBottom w:val="0"/>
                                                      <w:divBdr>
                                                        <w:top w:val="none" w:sz="0" w:space="0" w:color="auto"/>
                                                        <w:left w:val="none" w:sz="0" w:space="0" w:color="auto"/>
                                                        <w:bottom w:val="none" w:sz="0" w:space="0" w:color="auto"/>
                                                        <w:right w:val="none" w:sz="0" w:space="0" w:color="auto"/>
                                                      </w:divBdr>
                                                      <w:divsChild>
                                                        <w:div w:id="1304891551">
                                                          <w:marLeft w:val="0"/>
                                                          <w:marRight w:val="0"/>
                                                          <w:marTop w:val="0"/>
                                                          <w:marBottom w:val="0"/>
                                                          <w:divBdr>
                                                            <w:top w:val="none" w:sz="0" w:space="0" w:color="auto"/>
                                                            <w:left w:val="none" w:sz="0" w:space="0" w:color="auto"/>
                                                            <w:bottom w:val="none" w:sz="0" w:space="0" w:color="auto"/>
                                                            <w:right w:val="none" w:sz="0" w:space="0" w:color="auto"/>
                                                          </w:divBdr>
                                                          <w:divsChild>
                                                            <w:div w:id="1269388433">
                                                              <w:marLeft w:val="0"/>
                                                              <w:marRight w:val="0"/>
                                                              <w:marTop w:val="0"/>
                                                              <w:marBottom w:val="0"/>
                                                              <w:divBdr>
                                                                <w:top w:val="none" w:sz="0" w:space="0" w:color="auto"/>
                                                                <w:left w:val="none" w:sz="0" w:space="0" w:color="auto"/>
                                                                <w:bottom w:val="none" w:sz="0" w:space="0" w:color="auto"/>
                                                                <w:right w:val="none" w:sz="0" w:space="0" w:color="auto"/>
                                                              </w:divBdr>
                                                              <w:divsChild>
                                                                <w:div w:id="1103036671">
                                                                  <w:marLeft w:val="0"/>
                                                                  <w:marRight w:val="0"/>
                                                                  <w:marTop w:val="0"/>
                                                                  <w:marBottom w:val="0"/>
                                                                  <w:divBdr>
                                                                    <w:top w:val="none" w:sz="0" w:space="0" w:color="auto"/>
                                                                    <w:left w:val="none" w:sz="0" w:space="0" w:color="auto"/>
                                                                    <w:bottom w:val="none" w:sz="0" w:space="0" w:color="auto"/>
                                                                    <w:right w:val="none" w:sz="0" w:space="0" w:color="auto"/>
                                                                  </w:divBdr>
                                                                  <w:divsChild>
                                                                    <w:div w:id="934634469">
                                                                      <w:marLeft w:val="0"/>
                                                                      <w:marRight w:val="0"/>
                                                                      <w:marTop w:val="0"/>
                                                                      <w:marBottom w:val="0"/>
                                                                      <w:divBdr>
                                                                        <w:top w:val="none" w:sz="0" w:space="0" w:color="auto"/>
                                                                        <w:left w:val="none" w:sz="0" w:space="0" w:color="auto"/>
                                                                        <w:bottom w:val="none" w:sz="0" w:space="0" w:color="auto"/>
                                                                        <w:right w:val="none" w:sz="0" w:space="0" w:color="auto"/>
                                                                      </w:divBdr>
                                                                      <w:divsChild>
                                                                        <w:div w:id="787165135">
                                                                          <w:marLeft w:val="0"/>
                                                                          <w:marRight w:val="0"/>
                                                                          <w:marTop w:val="0"/>
                                                                          <w:marBottom w:val="0"/>
                                                                          <w:divBdr>
                                                                            <w:top w:val="none" w:sz="0" w:space="0" w:color="auto"/>
                                                                            <w:left w:val="none" w:sz="0" w:space="0" w:color="auto"/>
                                                                            <w:bottom w:val="none" w:sz="0" w:space="0" w:color="auto"/>
                                                                            <w:right w:val="none" w:sz="0" w:space="0" w:color="auto"/>
                                                                          </w:divBdr>
                                                                        </w:div>
                                                                      </w:divsChild>
                                                                    </w:div>
                                                                    <w:div w:id="1166282441">
                                                                      <w:marLeft w:val="0"/>
                                                                      <w:marRight w:val="0"/>
                                                                      <w:marTop w:val="0"/>
                                                                      <w:marBottom w:val="0"/>
                                                                      <w:divBdr>
                                                                        <w:top w:val="none" w:sz="0" w:space="0" w:color="auto"/>
                                                                        <w:left w:val="none" w:sz="0" w:space="0" w:color="auto"/>
                                                                        <w:bottom w:val="none" w:sz="0" w:space="0" w:color="auto"/>
                                                                        <w:right w:val="none" w:sz="0" w:space="0" w:color="auto"/>
                                                                      </w:divBdr>
                                                                      <w:divsChild>
                                                                        <w:div w:id="15385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996435">
      <w:bodyDiv w:val="1"/>
      <w:marLeft w:val="0"/>
      <w:marRight w:val="0"/>
      <w:marTop w:val="0"/>
      <w:marBottom w:val="0"/>
      <w:divBdr>
        <w:top w:val="none" w:sz="0" w:space="0" w:color="auto"/>
        <w:left w:val="none" w:sz="0" w:space="0" w:color="auto"/>
        <w:bottom w:val="none" w:sz="0" w:space="0" w:color="auto"/>
        <w:right w:val="none" w:sz="0" w:space="0" w:color="auto"/>
      </w:divBdr>
      <w:divsChild>
        <w:div w:id="1625887359">
          <w:marLeft w:val="0"/>
          <w:marRight w:val="0"/>
          <w:marTop w:val="0"/>
          <w:marBottom w:val="0"/>
          <w:divBdr>
            <w:top w:val="none" w:sz="0" w:space="0" w:color="auto"/>
            <w:left w:val="none" w:sz="0" w:space="0" w:color="auto"/>
            <w:bottom w:val="none" w:sz="0" w:space="0" w:color="auto"/>
            <w:right w:val="none" w:sz="0" w:space="0" w:color="auto"/>
          </w:divBdr>
          <w:divsChild>
            <w:div w:id="77677475">
              <w:marLeft w:val="0"/>
              <w:marRight w:val="0"/>
              <w:marTop w:val="0"/>
              <w:marBottom w:val="0"/>
              <w:divBdr>
                <w:top w:val="none" w:sz="0" w:space="0" w:color="auto"/>
                <w:left w:val="none" w:sz="0" w:space="0" w:color="auto"/>
                <w:bottom w:val="none" w:sz="0" w:space="0" w:color="auto"/>
                <w:right w:val="none" w:sz="0" w:space="0" w:color="auto"/>
              </w:divBdr>
              <w:divsChild>
                <w:div w:id="1231233180">
                  <w:marLeft w:val="0"/>
                  <w:marRight w:val="0"/>
                  <w:marTop w:val="0"/>
                  <w:marBottom w:val="0"/>
                  <w:divBdr>
                    <w:top w:val="none" w:sz="0" w:space="0" w:color="auto"/>
                    <w:left w:val="none" w:sz="0" w:space="0" w:color="auto"/>
                    <w:bottom w:val="none" w:sz="0" w:space="0" w:color="auto"/>
                    <w:right w:val="none" w:sz="0" w:space="0" w:color="auto"/>
                  </w:divBdr>
                  <w:divsChild>
                    <w:div w:id="2109152406">
                      <w:marLeft w:val="0"/>
                      <w:marRight w:val="0"/>
                      <w:marTop w:val="0"/>
                      <w:marBottom w:val="300"/>
                      <w:divBdr>
                        <w:top w:val="none" w:sz="0" w:space="0" w:color="auto"/>
                        <w:left w:val="none" w:sz="0" w:space="0" w:color="auto"/>
                        <w:bottom w:val="none" w:sz="0" w:space="0" w:color="auto"/>
                        <w:right w:val="none" w:sz="0" w:space="0" w:color="auto"/>
                      </w:divBdr>
                      <w:divsChild>
                        <w:div w:id="23490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069862">
      <w:bodyDiv w:val="1"/>
      <w:marLeft w:val="0"/>
      <w:marRight w:val="0"/>
      <w:marTop w:val="0"/>
      <w:marBottom w:val="0"/>
      <w:divBdr>
        <w:top w:val="none" w:sz="0" w:space="0" w:color="auto"/>
        <w:left w:val="none" w:sz="0" w:space="0" w:color="auto"/>
        <w:bottom w:val="none" w:sz="0" w:space="0" w:color="auto"/>
        <w:right w:val="none" w:sz="0" w:space="0" w:color="auto"/>
      </w:divBdr>
      <w:divsChild>
        <w:div w:id="1488354317">
          <w:marLeft w:val="0"/>
          <w:marRight w:val="0"/>
          <w:marTop w:val="0"/>
          <w:marBottom w:val="0"/>
          <w:divBdr>
            <w:top w:val="none" w:sz="0" w:space="0" w:color="auto"/>
            <w:left w:val="none" w:sz="0" w:space="0" w:color="auto"/>
            <w:bottom w:val="none" w:sz="0" w:space="0" w:color="auto"/>
            <w:right w:val="none" w:sz="0" w:space="0" w:color="auto"/>
          </w:divBdr>
          <w:divsChild>
            <w:div w:id="1416435596">
              <w:marLeft w:val="0"/>
              <w:marRight w:val="0"/>
              <w:marTop w:val="0"/>
              <w:marBottom w:val="0"/>
              <w:divBdr>
                <w:top w:val="none" w:sz="0" w:space="0" w:color="auto"/>
                <w:left w:val="none" w:sz="0" w:space="0" w:color="auto"/>
                <w:bottom w:val="none" w:sz="0" w:space="0" w:color="auto"/>
                <w:right w:val="none" w:sz="0" w:space="0" w:color="auto"/>
              </w:divBdr>
              <w:divsChild>
                <w:div w:id="1888908375">
                  <w:marLeft w:val="0"/>
                  <w:marRight w:val="0"/>
                  <w:marTop w:val="0"/>
                  <w:marBottom w:val="0"/>
                  <w:divBdr>
                    <w:top w:val="none" w:sz="0" w:space="0" w:color="auto"/>
                    <w:left w:val="none" w:sz="0" w:space="0" w:color="auto"/>
                    <w:bottom w:val="none" w:sz="0" w:space="0" w:color="auto"/>
                    <w:right w:val="none" w:sz="0" w:space="0" w:color="auto"/>
                  </w:divBdr>
                  <w:divsChild>
                    <w:div w:id="49337463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728722185">
      <w:bodyDiv w:val="1"/>
      <w:marLeft w:val="0"/>
      <w:marRight w:val="0"/>
      <w:marTop w:val="0"/>
      <w:marBottom w:val="0"/>
      <w:divBdr>
        <w:top w:val="none" w:sz="0" w:space="0" w:color="auto"/>
        <w:left w:val="none" w:sz="0" w:space="0" w:color="auto"/>
        <w:bottom w:val="none" w:sz="0" w:space="0" w:color="auto"/>
        <w:right w:val="none" w:sz="0" w:space="0" w:color="auto"/>
      </w:divBdr>
      <w:divsChild>
        <w:div w:id="354115265">
          <w:marLeft w:val="0"/>
          <w:marRight w:val="0"/>
          <w:marTop w:val="0"/>
          <w:marBottom w:val="0"/>
          <w:divBdr>
            <w:top w:val="none" w:sz="0" w:space="0" w:color="auto"/>
            <w:left w:val="none" w:sz="0" w:space="0" w:color="auto"/>
            <w:bottom w:val="none" w:sz="0" w:space="0" w:color="auto"/>
            <w:right w:val="none" w:sz="0" w:space="0" w:color="auto"/>
          </w:divBdr>
          <w:divsChild>
            <w:div w:id="2072146762">
              <w:marLeft w:val="0"/>
              <w:marRight w:val="0"/>
              <w:marTop w:val="0"/>
              <w:marBottom w:val="0"/>
              <w:divBdr>
                <w:top w:val="none" w:sz="0" w:space="0" w:color="auto"/>
                <w:left w:val="none" w:sz="0" w:space="0" w:color="auto"/>
                <w:bottom w:val="none" w:sz="0" w:space="0" w:color="auto"/>
                <w:right w:val="none" w:sz="0" w:space="0" w:color="auto"/>
              </w:divBdr>
              <w:divsChild>
                <w:div w:id="1051613690">
                  <w:marLeft w:val="0"/>
                  <w:marRight w:val="0"/>
                  <w:marTop w:val="0"/>
                  <w:marBottom w:val="0"/>
                  <w:divBdr>
                    <w:top w:val="none" w:sz="0" w:space="0" w:color="auto"/>
                    <w:left w:val="none" w:sz="0" w:space="0" w:color="auto"/>
                    <w:bottom w:val="none" w:sz="0" w:space="0" w:color="auto"/>
                    <w:right w:val="none" w:sz="0" w:space="0" w:color="auto"/>
                  </w:divBdr>
                  <w:divsChild>
                    <w:div w:id="233248014">
                      <w:marLeft w:val="0"/>
                      <w:marRight w:val="0"/>
                      <w:marTop w:val="0"/>
                      <w:marBottom w:val="300"/>
                      <w:divBdr>
                        <w:top w:val="none" w:sz="0" w:space="0" w:color="auto"/>
                        <w:left w:val="none" w:sz="0" w:space="0" w:color="auto"/>
                        <w:bottom w:val="none" w:sz="0" w:space="0" w:color="auto"/>
                        <w:right w:val="none" w:sz="0" w:space="0" w:color="auto"/>
                      </w:divBdr>
                      <w:divsChild>
                        <w:div w:id="13656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419774">
      <w:bodyDiv w:val="1"/>
      <w:marLeft w:val="0"/>
      <w:marRight w:val="0"/>
      <w:marTop w:val="0"/>
      <w:marBottom w:val="0"/>
      <w:divBdr>
        <w:top w:val="none" w:sz="0" w:space="0" w:color="auto"/>
        <w:left w:val="none" w:sz="0" w:space="0" w:color="auto"/>
        <w:bottom w:val="none" w:sz="0" w:space="0" w:color="auto"/>
        <w:right w:val="none" w:sz="0" w:space="0" w:color="auto"/>
      </w:divBdr>
      <w:divsChild>
        <w:div w:id="960067053">
          <w:marLeft w:val="0"/>
          <w:marRight w:val="0"/>
          <w:marTop w:val="0"/>
          <w:marBottom w:val="0"/>
          <w:divBdr>
            <w:top w:val="none" w:sz="0" w:space="0" w:color="auto"/>
            <w:left w:val="none" w:sz="0" w:space="0" w:color="auto"/>
            <w:bottom w:val="none" w:sz="0" w:space="0" w:color="auto"/>
            <w:right w:val="none" w:sz="0" w:space="0" w:color="auto"/>
          </w:divBdr>
          <w:divsChild>
            <w:div w:id="701370020">
              <w:marLeft w:val="0"/>
              <w:marRight w:val="0"/>
              <w:marTop w:val="0"/>
              <w:marBottom w:val="0"/>
              <w:divBdr>
                <w:top w:val="none" w:sz="0" w:space="0" w:color="auto"/>
                <w:left w:val="none" w:sz="0" w:space="0" w:color="auto"/>
                <w:bottom w:val="none" w:sz="0" w:space="0" w:color="auto"/>
                <w:right w:val="none" w:sz="0" w:space="0" w:color="auto"/>
              </w:divBdr>
              <w:divsChild>
                <w:div w:id="982735099">
                  <w:marLeft w:val="0"/>
                  <w:marRight w:val="0"/>
                  <w:marTop w:val="0"/>
                  <w:marBottom w:val="0"/>
                  <w:divBdr>
                    <w:top w:val="none" w:sz="0" w:space="0" w:color="auto"/>
                    <w:left w:val="none" w:sz="0" w:space="0" w:color="auto"/>
                    <w:bottom w:val="none" w:sz="0" w:space="0" w:color="auto"/>
                    <w:right w:val="none" w:sz="0" w:space="0" w:color="auto"/>
                  </w:divBdr>
                  <w:divsChild>
                    <w:div w:id="901256739">
                      <w:marLeft w:val="0"/>
                      <w:marRight w:val="0"/>
                      <w:marTop w:val="0"/>
                      <w:marBottom w:val="300"/>
                      <w:divBdr>
                        <w:top w:val="none" w:sz="0" w:space="0" w:color="auto"/>
                        <w:left w:val="none" w:sz="0" w:space="0" w:color="auto"/>
                        <w:bottom w:val="none" w:sz="0" w:space="0" w:color="auto"/>
                        <w:right w:val="none" w:sz="0" w:space="0" w:color="auto"/>
                      </w:divBdr>
                      <w:divsChild>
                        <w:div w:id="12995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628492">
      <w:bodyDiv w:val="1"/>
      <w:marLeft w:val="0"/>
      <w:marRight w:val="0"/>
      <w:marTop w:val="0"/>
      <w:marBottom w:val="0"/>
      <w:divBdr>
        <w:top w:val="none" w:sz="0" w:space="0" w:color="auto"/>
        <w:left w:val="none" w:sz="0" w:space="0" w:color="auto"/>
        <w:bottom w:val="none" w:sz="0" w:space="0" w:color="auto"/>
        <w:right w:val="none" w:sz="0" w:space="0" w:color="auto"/>
      </w:divBdr>
      <w:divsChild>
        <w:div w:id="45300664">
          <w:marLeft w:val="0"/>
          <w:marRight w:val="0"/>
          <w:marTop w:val="0"/>
          <w:marBottom w:val="0"/>
          <w:divBdr>
            <w:top w:val="none" w:sz="0" w:space="0" w:color="auto"/>
            <w:left w:val="single" w:sz="6" w:space="0" w:color="BBBBBB"/>
            <w:bottom w:val="single" w:sz="6" w:space="0" w:color="BBBBBB"/>
            <w:right w:val="single" w:sz="6" w:space="0" w:color="BBBBBB"/>
          </w:divBdr>
          <w:divsChild>
            <w:div w:id="1273517973">
              <w:marLeft w:val="0"/>
              <w:marRight w:val="0"/>
              <w:marTop w:val="0"/>
              <w:marBottom w:val="0"/>
              <w:divBdr>
                <w:top w:val="none" w:sz="0" w:space="0" w:color="auto"/>
                <w:left w:val="none" w:sz="0" w:space="0" w:color="auto"/>
                <w:bottom w:val="none" w:sz="0" w:space="0" w:color="auto"/>
                <w:right w:val="none" w:sz="0" w:space="0" w:color="auto"/>
              </w:divBdr>
              <w:divsChild>
                <w:div w:id="275866539">
                  <w:marLeft w:val="0"/>
                  <w:marRight w:val="0"/>
                  <w:marTop w:val="75"/>
                  <w:marBottom w:val="0"/>
                  <w:divBdr>
                    <w:top w:val="none" w:sz="0" w:space="0" w:color="auto"/>
                    <w:left w:val="none" w:sz="0" w:space="0" w:color="auto"/>
                    <w:bottom w:val="none" w:sz="0" w:space="0" w:color="auto"/>
                    <w:right w:val="none" w:sz="0" w:space="0" w:color="auto"/>
                  </w:divBdr>
                  <w:divsChild>
                    <w:div w:id="272976832">
                      <w:marLeft w:val="0"/>
                      <w:marRight w:val="0"/>
                      <w:marTop w:val="0"/>
                      <w:marBottom w:val="0"/>
                      <w:divBdr>
                        <w:top w:val="none" w:sz="0" w:space="0" w:color="auto"/>
                        <w:left w:val="none" w:sz="0" w:space="0" w:color="auto"/>
                        <w:bottom w:val="none" w:sz="0" w:space="0" w:color="auto"/>
                        <w:right w:val="none" w:sz="0" w:space="0" w:color="auto"/>
                      </w:divBdr>
                      <w:divsChild>
                        <w:div w:id="653491132">
                          <w:marLeft w:val="0"/>
                          <w:marRight w:val="0"/>
                          <w:marTop w:val="0"/>
                          <w:marBottom w:val="0"/>
                          <w:divBdr>
                            <w:top w:val="none" w:sz="0" w:space="0" w:color="auto"/>
                            <w:left w:val="none" w:sz="0" w:space="0" w:color="auto"/>
                            <w:bottom w:val="none" w:sz="0" w:space="0" w:color="auto"/>
                            <w:right w:val="none" w:sz="0" w:space="0" w:color="auto"/>
                          </w:divBdr>
                          <w:divsChild>
                            <w:div w:id="825435460">
                              <w:marLeft w:val="0"/>
                              <w:marRight w:val="0"/>
                              <w:marTop w:val="0"/>
                              <w:marBottom w:val="0"/>
                              <w:divBdr>
                                <w:top w:val="none" w:sz="0" w:space="0" w:color="auto"/>
                                <w:left w:val="none" w:sz="0" w:space="0" w:color="auto"/>
                                <w:bottom w:val="none" w:sz="0" w:space="0" w:color="auto"/>
                                <w:right w:val="none" w:sz="0" w:space="0" w:color="auto"/>
                              </w:divBdr>
                              <w:divsChild>
                                <w:div w:id="473647631">
                                  <w:marLeft w:val="0"/>
                                  <w:marRight w:val="0"/>
                                  <w:marTop w:val="0"/>
                                  <w:marBottom w:val="0"/>
                                  <w:divBdr>
                                    <w:top w:val="none" w:sz="0" w:space="0" w:color="auto"/>
                                    <w:left w:val="none" w:sz="0" w:space="0" w:color="auto"/>
                                    <w:bottom w:val="none" w:sz="0" w:space="0" w:color="auto"/>
                                    <w:right w:val="none" w:sz="0" w:space="0" w:color="auto"/>
                                  </w:divBdr>
                                  <w:divsChild>
                                    <w:div w:id="751396291">
                                      <w:marLeft w:val="0"/>
                                      <w:marRight w:val="0"/>
                                      <w:marTop w:val="0"/>
                                      <w:marBottom w:val="0"/>
                                      <w:divBdr>
                                        <w:top w:val="none" w:sz="0" w:space="0" w:color="auto"/>
                                        <w:left w:val="none" w:sz="0" w:space="0" w:color="auto"/>
                                        <w:bottom w:val="none" w:sz="0" w:space="0" w:color="auto"/>
                                        <w:right w:val="none" w:sz="0" w:space="0" w:color="auto"/>
                                      </w:divBdr>
                                      <w:divsChild>
                                        <w:div w:id="1751853103">
                                          <w:marLeft w:val="1200"/>
                                          <w:marRight w:val="1200"/>
                                          <w:marTop w:val="0"/>
                                          <w:marBottom w:val="0"/>
                                          <w:divBdr>
                                            <w:top w:val="none" w:sz="0" w:space="0" w:color="auto"/>
                                            <w:left w:val="none" w:sz="0" w:space="0" w:color="auto"/>
                                            <w:bottom w:val="none" w:sz="0" w:space="0" w:color="auto"/>
                                            <w:right w:val="none" w:sz="0" w:space="0" w:color="auto"/>
                                          </w:divBdr>
                                          <w:divsChild>
                                            <w:div w:id="255597399">
                                              <w:marLeft w:val="0"/>
                                              <w:marRight w:val="0"/>
                                              <w:marTop w:val="0"/>
                                              <w:marBottom w:val="0"/>
                                              <w:divBdr>
                                                <w:top w:val="none" w:sz="0" w:space="0" w:color="auto"/>
                                                <w:left w:val="none" w:sz="0" w:space="0" w:color="auto"/>
                                                <w:bottom w:val="none" w:sz="0" w:space="0" w:color="auto"/>
                                                <w:right w:val="none" w:sz="0" w:space="0" w:color="auto"/>
                                              </w:divBdr>
                                              <w:divsChild>
                                                <w:div w:id="1241676575">
                                                  <w:marLeft w:val="0"/>
                                                  <w:marRight w:val="0"/>
                                                  <w:marTop w:val="0"/>
                                                  <w:marBottom w:val="0"/>
                                                  <w:divBdr>
                                                    <w:top w:val="none" w:sz="0" w:space="0" w:color="auto"/>
                                                    <w:left w:val="none" w:sz="0" w:space="0" w:color="auto"/>
                                                    <w:bottom w:val="none" w:sz="0" w:space="0" w:color="auto"/>
                                                    <w:right w:val="none" w:sz="0" w:space="0" w:color="auto"/>
                                                  </w:divBdr>
                                                  <w:divsChild>
                                                    <w:div w:id="1662352184">
                                                      <w:marLeft w:val="0"/>
                                                      <w:marRight w:val="0"/>
                                                      <w:marTop w:val="0"/>
                                                      <w:marBottom w:val="0"/>
                                                      <w:divBdr>
                                                        <w:top w:val="none" w:sz="0" w:space="0" w:color="auto"/>
                                                        <w:left w:val="none" w:sz="0" w:space="0" w:color="auto"/>
                                                        <w:bottom w:val="none" w:sz="0" w:space="0" w:color="auto"/>
                                                        <w:right w:val="none" w:sz="0" w:space="0" w:color="auto"/>
                                                      </w:divBdr>
                                                      <w:divsChild>
                                                        <w:div w:id="2037191353">
                                                          <w:marLeft w:val="0"/>
                                                          <w:marRight w:val="0"/>
                                                          <w:marTop w:val="0"/>
                                                          <w:marBottom w:val="0"/>
                                                          <w:divBdr>
                                                            <w:top w:val="none" w:sz="0" w:space="0" w:color="auto"/>
                                                            <w:left w:val="none" w:sz="0" w:space="0" w:color="auto"/>
                                                            <w:bottom w:val="none" w:sz="0" w:space="0" w:color="auto"/>
                                                            <w:right w:val="none" w:sz="0" w:space="0" w:color="auto"/>
                                                          </w:divBdr>
                                                          <w:divsChild>
                                                            <w:div w:id="1025520937">
                                                              <w:marLeft w:val="0"/>
                                                              <w:marRight w:val="0"/>
                                                              <w:marTop w:val="0"/>
                                                              <w:marBottom w:val="0"/>
                                                              <w:divBdr>
                                                                <w:top w:val="none" w:sz="0" w:space="0" w:color="auto"/>
                                                                <w:left w:val="none" w:sz="0" w:space="0" w:color="auto"/>
                                                                <w:bottom w:val="none" w:sz="0" w:space="0" w:color="auto"/>
                                                                <w:right w:val="none" w:sz="0" w:space="0" w:color="auto"/>
                                                              </w:divBdr>
                                                              <w:divsChild>
                                                                <w:div w:id="1023172876">
                                                                  <w:marLeft w:val="0"/>
                                                                  <w:marRight w:val="0"/>
                                                                  <w:marTop w:val="0"/>
                                                                  <w:marBottom w:val="0"/>
                                                                  <w:divBdr>
                                                                    <w:top w:val="none" w:sz="0" w:space="0" w:color="auto"/>
                                                                    <w:left w:val="none" w:sz="0" w:space="0" w:color="auto"/>
                                                                    <w:bottom w:val="none" w:sz="0" w:space="0" w:color="auto"/>
                                                                    <w:right w:val="none" w:sz="0" w:space="0" w:color="auto"/>
                                                                  </w:divBdr>
                                                                  <w:divsChild>
                                                                    <w:div w:id="609506093">
                                                                      <w:marLeft w:val="0"/>
                                                                      <w:marRight w:val="0"/>
                                                                      <w:marTop w:val="0"/>
                                                                      <w:marBottom w:val="0"/>
                                                                      <w:divBdr>
                                                                        <w:top w:val="none" w:sz="0" w:space="0" w:color="auto"/>
                                                                        <w:left w:val="none" w:sz="0" w:space="0" w:color="auto"/>
                                                                        <w:bottom w:val="none" w:sz="0" w:space="0" w:color="auto"/>
                                                                        <w:right w:val="none" w:sz="0" w:space="0" w:color="auto"/>
                                                                      </w:divBdr>
                                                                      <w:divsChild>
                                                                        <w:div w:id="1342275440">
                                                                          <w:marLeft w:val="0"/>
                                                                          <w:marRight w:val="0"/>
                                                                          <w:marTop w:val="0"/>
                                                                          <w:marBottom w:val="0"/>
                                                                          <w:divBdr>
                                                                            <w:top w:val="none" w:sz="0" w:space="0" w:color="auto"/>
                                                                            <w:left w:val="none" w:sz="0" w:space="0" w:color="auto"/>
                                                                            <w:bottom w:val="none" w:sz="0" w:space="0" w:color="auto"/>
                                                                            <w:right w:val="none" w:sz="0" w:space="0" w:color="auto"/>
                                                                          </w:divBdr>
                                                                        </w:div>
                                                                      </w:divsChild>
                                                                    </w:div>
                                                                    <w:div w:id="678392642">
                                                                      <w:marLeft w:val="0"/>
                                                                      <w:marRight w:val="0"/>
                                                                      <w:marTop w:val="0"/>
                                                                      <w:marBottom w:val="0"/>
                                                                      <w:divBdr>
                                                                        <w:top w:val="none" w:sz="0" w:space="0" w:color="auto"/>
                                                                        <w:left w:val="none" w:sz="0" w:space="0" w:color="auto"/>
                                                                        <w:bottom w:val="none" w:sz="0" w:space="0" w:color="auto"/>
                                                                        <w:right w:val="none" w:sz="0" w:space="0" w:color="auto"/>
                                                                      </w:divBdr>
                                                                      <w:divsChild>
                                                                        <w:div w:id="2129010211">
                                                                          <w:marLeft w:val="0"/>
                                                                          <w:marRight w:val="0"/>
                                                                          <w:marTop w:val="0"/>
                                                                          <w:marBottom w:val="0"/>
                                                                          <w:divBdr>
                                                                            <w:top w:val="none" w:sz="0" w:space="0" w:color="auto"/>
                                                                            <w:left w:val="none" w:sz="0" w:space="0" w:color="auto"/>
                                                                            <w:bottom w:val="none" w:sz="0" w:space="0" w:color="auto"/>
                                                                            <w:right w:val="none" w:sz="0" w:space="0" w:color="auto"/>
                                                                          </w:divBdr>
                                                                        </w:div>
                                                                      </w:divsChild>
                                                                    </w:div>
                                                                    <w:div w:id="1280720758">
                                                                      <w:marLeft w:val="0"/>
                                                                      <w:marRight w:val="0"/>
                                                                      <w:marTop w:val="0"/>
                                                                      <w:marBottom w:val="0"/>
                                                                      <w:divBdr>
                                                                        <w:top w:val="none" w:sz="0" w:space="0" w:color="auto"/>
                                                                        <w:left w:val="none" w:sz="0" w:space="0" w:color="auto"/>
                                                                        <w:bottom w:val="none" w:sz="0" w:space="0" w:color="auto"/>
                                                                        <w:right w:val="none" w:sz="0" w:space="0" w:color="auto"/>
                                                                      </w:divBdr>
                                                                      <w:divsChild>
                                                                        <w:div w:id="582110742">
                                                                          <w:marLeft w:val="0"/>
                                                                          <w:marRight w:val="0"/>
                                                                          <w:marTop w:val="0"/>
                                                                          <w:marBottom w:val="0"/>
                                                                          <w:divBdr>
                                                                            <w:top w:val="none" w:sz="0" w:space="0" w:color="auto"/>
                                                                            <w:left w:val="none" w:sz="0" w:space="0" w:color="auto"/>
                                                                            <w:bottom w:val="none" w:sz="0" w:space="0" w:color="auto"/>
                                                                            <w:right w:val="none" w:sz="0" w:space="0" w:color="auto"/>
                                                                          </w:divBdr>
                                                                        </w:div>
                                                                      </w:divsChild>
                                                                    </w:div>
                                                                    <w:div w:id="1380864717">
                                                                      <w:marLeft w:val="0"/>
                                                                      <w:marRight w:val="0"/>
                                                                      <w:marTop w:val="0"/>
                                                                      <w:marBottom w:val="0"/>
                                                                      <w:divBdr>
                                                                        <w:top w:val="none" w:sz="0" w:space="0" w:color="auto"/>
                                                                        <w:left w:val="none" w:sz="0" w:space="0" w:color="auto"/>
                                                                        <w:bottom w:val="none" w:sz="0" w:space="0" w:color="auto"/>
                                                                        <w:right w:val="none" w:sz="0" w:space="0" w:color="auto"/>
                                                                      </w:divBdr>
                                                                      <w:divsChild>
                                                                        <w:div w:id="89392384">
                                                                          <w:marLeft w:val="0"/>
                                                                          <w:marRight w:val="0"/>
                                                                          <w:marTop w:val="0"/>
                                                                          <w:marBottom w:val="0"/>
                                                                          <w:divBdr>
                                                                            <w:top w:val="none" w:sz="0" w:space="0" w:color="auto"/>
                                                                            <w:left w:val="none" w:sz="0" w:space="0" w:color="auto"/>
                                                                            <w:bottom w:val="none" w:sz="0" w:space="0" w:color="auto"/>
                                                                            <w:right w:val="none" w:sz="0" w:space="0" w:color="auto"/>
                                                                          </w:divBdr>
                                                                        </w:div>
                                                                        <w:div w:id="1605070791">
                                                                          <w:marLeft w:val="0"/>
                                                                          <w:marRight w:val="0"/>
                                                                          <w:marTop w:val="0"/>
                                                                          <w:marBottom w:val="0"/>
                                                                          <w:divBdr>
                                                                            <w:top w:val="none" w:sz="0" w:space="0" w:color="auto"/>
                                                                            <w:left w:val="none" w:sz="0" w:space="0" w:color="auto"/>
                                                                            <w:bottom w:val="none" w:sz="0" w:space="0" w:color="auto"/>
                                                                            <w:right w:val="none" w:sz="0" w:space="0" w:color="auto"/>
                                                                          </w:divBdr>
                                                                        </w:div>
                                                                        <w:div w:id="1946113380">
                                                                          <w:marLeft w:val="0"/>
                                                                          <w:marRight w:val="0"/>
                                                                          <w:marTop w:val="0"/>
                                                                          <w:marBottom w:val="0"/>
                                                                          <w:divBdr>
                                                                            <w:top w:val="none" w:sz="0" w:space="0" w:color="auto"/>
                                                                            <w:left w:val="none" w:sz="0" w:space="0" w:color="auto"/>
                                                                            <w:bottom w:val="none" w:sz="0" w:space="0" w:color="auto"/>
                                                                            <w:right w:val="none" w:sz="0" w:space="0" w:color="auto"/>
                                                                          </w:divBdr>
                                                                          <w:divsChild>
                                                                            <w:div w:id="1057362998">
                                                                              <w:marLeft w:val="0"/>
                                                                              <w:marRight w:val="0"/>
                                                                              <w:marTop w:val="0"/>
                                                                              <w:marBottom w:val="0"/>
                                                                              <w:divBdr>
                                                                                <w:top w:val="none" w:sz="0" w:space="0" w:color="auto"/>
                                                                                <w:left w:val="none" w:sz="0" w:space="0" w:color="auto"/>
                                                                                <w:bottom w:val="none" w:sz="0" w:space="0" w:color="auto"/>
                                                                                <w:right w:val="none" w:sz="0" w:space="0" w:color="auto"/>
                                                                              </w:divBdr>
                                                                              <w:divsChild>
                                                                                <w:div w:id="1303267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8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661464">
      <w:bodyDiv w:val="1"/>
      <w:marLeft w:val="0"/>
      <w:marRight w:val="0"/>
      <w:marTop w:val="0"/>
      <w:marBottom w:val="0"/>
      <w:divBdr>
        <w:top w:val="none" w:sz="0" w:space="0" w:color="auto"/>
        <w:left w:val="none" w:sz="0" w:space="0" w:color="auto"/>
        <w:bottom w:val="none" w:sz="0" w:space="0" w:color="auto"/>
        <w:right w:val="none" w:sz="0" w:space="0" w:color="auto"/>
      </w:divBdr>
      <w:divsChild>
        <w:div w:id="310907669">
          <w:marLeft w:val="0"/>
          <w:marRight w:val="0"/>
          <w:marTop w:val="240"/>
          <w:marBottom w:val="0"/>
          <w:divBdr>
            <w:top w:val="none" w:sz="0" w:space="0" w:color="auto"/>
            <w:left w:val="none" w:sz="0" w:space="0" w:color="auto"/>
            <w:bottom w:val="none" w:sz="0" w:space="0" w:color="auto"/>
            <w:right w:val="none" w:sz="0" w:space="0" w:color="auto"/>
          </w:divBdr>
          <w:divsChild>
            <w:div w:id="1373114289">
              <w:marLeft w:val="0"/>
              <w:marRight w:val="0"/>
              <w:marTop w:val="0"/>
              <w:marBottom w:val="0"/>
              <w:divBdr>
                <w:top w:val="none" w:sz="0" w:space="0" w:color="auto"/>
                <w:left w:val="none" w:sz="0" w:space="0" w:color="auto"/>
                <w:bottom w:val="none" w:sz="0" w:space="0" w:color="auto"/>
                <w:right w:val="none" w:sz="0" w:space="0" w:color="auto"/>
              </w:divBdr>
            </w:div>
          </w:divsChild>
        </w:div>
        <w:div w:id="457065122">
          <w:marLeft w:val="0"/>
          <w:marRight w:val="0"/>
          <w:marTop w:val="240"/>
          <w:marBottom w:val="0"/>
          <w:divBdr>
            <w:top w:val="none" w:sz="0" w:space="0" w:color="auto"/>
            <w:left w:val="none" w:sz="0" w:space="0" w:color="auto"/>
            <w:bottom w:val="none" w:sz="0" w:space="0" w:color="auto"/>
            <w:right w:val="none" w:sz="0" w:space="0" w:color="auto"/>
          </w:divBdr>
          <w:divsChild>
            <w:div w:id="645357075">
              <w:marLeft w:val="0"/>
              <w:marRight w:val="0"/>
              <w:marTop w:val="0"/>
              <w:marBottom w:val="0"/>
              <w:divBdr>
                <w:top w:val="none" w:sz="0" w:space="0" w:color="auto"/>
                <w:left w:val="none" w:sz="0" w:space="0" w:color="auto"/>
                <w:bottom w:val="none" w:sz="0" w:space="0" w:color="auto"/>
                <w:right w:val="none" w:sz="0" w:space="0" w:color="auto"/>
              </w:divBdr>
            </w:div>
          </w:divsChild>
        </w:div>
        <w:div w:id="2009090752">
          <w:marLeft w:val="0"/>
          <w:marRight w:val="0"/>
          <w:marTop w:val="240"/>
          <w:marBottom w:val="0"/>
          <w:divBdr>
            <w:top w:val="none" w:sz="0" w:space="0" w:color="auto"/>
            <w:left w:val="none" w:sz="0" w:space="0" w:color="auto"/>
            <w:bottom w:val="none" w:sz="0" w:space="0" w:color="auto"/>
            <w:right w:val="none" w:sz="0" w:space="0" w:color="auto"/>
          </w:divBdr>
          <w:divsChild>
            <w:div w:id="15190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91186">
      <w:bodyDiv w:val="1"/>
      <w:marLeft w:val="0"/>
      <w:marRight w:val="0"/>
      <w:marTop w:val="0"/>
      <w:marBottom w:val="0"/>
      <w:divBdr>
        <w:top w:val="none" w:sz="0" w:space="0" w:color="auto"/>
        <w:left w:val="none" w:sz="0" w:space="0" w:color="auto"/>
        <w:bottom w:val="none" w:sz="0" w:space="0" w:color="auto"/>
        <w:right w:val="none" w:sz="0" w:space="0" w:color="auto"/>
      </w:divBdr>
      <w:divsChild>
        <w:div w:id="424501179">
          <w:marLeft w:val="0"/>
          <w:marRight w:val="0"/>
          <w:marTop w:val="0"/>
          <w:marBottom w:val="0"/>
          <w:divBdr>
            <w:top w:val="none" w:sz="0" w:space="0" w:color="auto"/>
            <w:left w:val="single" w:sz="6" w:space="0" w:color="BBBBBB"/>
            <w:bottom w:val="single" w:sz="6" w:space="0" w:color="BBBBBB"/>
            <w:right w:val="single" w:sz="6" w:space="0" w:color="BBBBBB"/>
          </w:divBdr>
          <w:divsChild>
            <w:div w:id="222453537">
              <w:marLeft w:val="0"/>
              <w:marRight w:val="0"/>
              <w:marTop w:val="0"/>
              <w:marBottom w:val="0"/>
              <w:divBdr>
                <w:top w:val="none" w:sz="0" w:space="0" w:color="auto"/>
                <w:left w:val="none" w:sz="0" w:space="0" w:color="auto"/>
                <w:bottom w:val="none" w:sz="0" w:space="0" w:color="auto"/>
                <w:right w:val="none" w:sz="0" w:space="0" w:color="auto"/>
              </w:divBdr>
              <w:divsChild>
                <w:div w:id="1249269286">
                  <w:marLeft w:val="0"/>
                  <w:marRight w:val="0"/>
                  <w:marTop w:val="75"/>
                  <w:marBottom w:val="0"/>
                  <w:divBdr>
                    <w:top w:val="none" w:sz="0" w:space="0" w:color="auto"/>
                    <w:left w:val="none" w:sz="0" w:space="0" w:color="auto"/>
                    <w:bottom w:val="none" w:sz="0" w:space="0" w:color="auto"/>
                    <w:right w:val="none" w:sz="0" w:space="0" w:color="auto"/>
                  </w:divBdr>
                  <w:divsChild>
                    <w:div w:id="1633251288">
                      <w:marLeft w:val="0"/>
                      <w:marRight w:val="0"/>
                      <w:marTop w:val="0"/>
                      <w:marBottom w:val="0"/>
                      <w:divBdr>
                        <w:top w:val="none" w:sz="0" w:space="0" w:color="auto"/>
                        <w:left w:val="none" w:sz="0" w:space="0" w:color="auto"/>
                        <w:bottom w:val="none" w:sz="0" w:space="0" w:color="auto"/>
                        <w:right w:val="none" w:sz="0" w:space="0" w:color="auto"/>
                      </w:divBdr>
                      <w:divsChild>
                        <w:div w:id="1831869331">
                          <w:marLeft w:val="0"/>
                          <w:marRight w:val="0"/>
                          <w:marTop w:val="0"/>
                          <w:marBottom w:val="0"/>
                          <w:divBdr>
                            <w:top w:val="none" w:sz="0" w:space="0" w:color="auto"/>
                            <w:left w:val="none" w:sz="0" w:space="0" w:color="auto"/>
                            <w:bottom w:val="none" w:sz="0" w:space="0" w:color="auto"/>
                            <w:right w:val="none" w:sz="0" w:space="0" w:color="auto"/>
                          </w:divBdr>
                          <w:divsChild>
                            <w:div w:id="200019935">
                              <w:marLeft w:val="0"/>
                              <w:marRight w:val="0"/>
                              <w:marTop w:val="0"/>
                              <w:marBottom w:val="0"/>
                              <w:divBdr>
                                <w:top w:val="none" w:sz="0" w:space="0" w:color="auto"/>
                                <w:left w:val="none" w:sz="0" w:space="0" w:color="auto"/>
                                <w:bottom w:val="none" w:sz="0" w:space="0" w:color="auto"/>
                                <w:right w:val="none" w:sz="0" w:space="0" w:color="auto"/>
                              </w:divBdr>
                              <w:divsChild>
                                <w:div w:id="1190100547">
                                  <w:marLeft w:val="0"/>
                                  <w:marRight w:val="0"/>
                                  <w:marTop w:val="0"/>
                                  <w:marBottom w:val="0"/>
                                  <w:divBdr>
                                    <w:top w:val="none" w:sz="0" w:space="0" w:color="auto"/>
                                    <w:left w:val="none" w:sz="0" w:space="0" w:color="auto"/>
                                    <w:bottom w:val="none" w:sz="0" w:space="0" w:color="auto"/>
                                    <w:right w:val="none" w:sz="0" w:space="0" w:color="auto"/>
                                  </w:divBdr>
                                  <w:divsChild>
                                    <w:div w:id="192618393">
                                      <w:marLeft w:val="0"/>
                                      <w:marRight w:val="0"/>
                                      <w:marTop w:val="0"/>
                                      <w:marBottom w:val="0"/>
                                      <w:divBdr>
                                        <w:top w:val="none" w:sz="0" w:space="0" w:color="auto"/>
                                        <w:left w:val="none" w:sz="0" w:space="0" w:color="auto"/>
                                        <w:bottom w:val="none" w:sz="0" w:space="0" w:color="auto"/>
                                        <w:right w:val="none" w:sz="0" w:space="0" w:color="auto"/>
                                      </w:divBdr>
                                      <w:divsChild>
                                        <w:div w:id="110563339">
                                          <w:marLeft w:val="1200"/>
                                          <w:marRight w:val="1200"/>
                                          <w:marTop w:val="0"/>
                                          <w:marBottom w:val="0"/>
                                          <w:divBdr>
                                            <w:top w:val="none" w:sz="0" w:space="0" w:color="auto"/>
                                            <w:left w:val="none" w:sz="0" w:space="0" w:color="auto"/>
                                            <w:bottom w:val="none" w:sz="0" w:space="0" w:color="auto"/>
                                            <w:right w:val="none" w:sz="0" w:space="0" w:color="auto"/>
                                          </w:divBdr>
                                          <w:divsChild>
                                            <w:div w:id="409230269">
                                              <w:marLeft w:val="0"/>
                                              <w:marRight w:val="0"/>
                                              <w:marTop w:val="0"/>
                                              <w:marBottom w:val="0"/>
                                              <w:divBdr>
                                                <w:top w:val="none" w:sz="0" w:space="0" w:color="auto"/>
                                                <w:left w:val="none" w:sz="0" w:space="0" w:color="auto"/>
                                                <w:bottom w:val="none" w:sz="0" w:space="0" w:color="auto"/>
                                                <w:right w:val="none" w:sz="0" w:space="0" w:color="auto"/>
                                              </w:divBdr>
                                              <w:divsChild>
                                                <w:div w:id="2116097937">
                                                  <w:marLeft w:val="0"/>
                                                  <w:marRight w:val="0"/>
                                                  <w:marTop w:val="0"/>
                                                  <w:marBottom w:val="0"/>
                                                  <w:divBdr>
                                                    <w:top w:val="none" w:sz="0" w:space="0" w:color="auto"/>
                                                    <w:left w:val="none" w:sz="0" w:space="0" w:color="auto"/>
                                                    <w:bottom w:val="none" w:sz="0" w:space="0" w:color="auto"/>
                                                    <w:right w:val="none" w:sz="0" w:space="0" w:color="auto"/>
                                                  </w:divBdr>
                                                  <w:divsChild>
                                                    <w:div w:id="340468495">
                                                      <w:marLeft w:val="0"/>
                                                      <w:marRight w:val="0"/>
                                                      <w:marTop w:val="0"/>
                                                      <w:marBottom w:val="0"/>
                                                      <w:divBdr>
                                                        <w:top w:val="none" w:sz="0" w:space="0" w:color="auto"/>
                                                        <w:left w:val="none" w:sz="0" w:space="0" w:color="auto"/>
                                                        <w:bottom w:val="none" w:sz="0" w:space="0" w:color="auto"/>
                                                        <w:right w:val="none" w:sz="0" w:space="0" w:color="auto"/>
                                                      </w:divBdr>
                                                      <w:divsChild>
                                                        <w:div w:id="1032420154">
                                                          <w:marLeft w:val="0"/>
                                                          <w:marRight w:val="0"/>
                                                          <w:marTop w:val="0"/>
                                                          <w:marBottom w:val="0"/>
                                                          <w:divBdr>
                                                            <w:top w:val="none" w:sz="0" w:space="0" w:color="auto"/>
                                                            <w:left w:val="none" w:sz="0" w:space="0" w:color="auto"/>
                                                            <w:bottom w:val="none" w:sz="0" w:space="0" w:color="auto"/>
                                                            <w:right w:val="none" w:sz="0" w:space="0" w:color="auto"/>
                                                          </w:divBdr>
                                                          <w:divsChild>
                                                            <w:div w:id="2025548242">
                                                              <w:marLeft w:val="0"/>
                                                              <w:marRight w:val="0"/>
                                                              <w:marTop w:val="0"/>
                                                              <w:marBottom w:val="0"/>
                                                              <w:divBdr>
                                                                <w:top w:val="none" w:sz="0" w:space="0" w:color="auto"/>
                                                                <w:left w:val="none" w:sz="0" w:space="0" w:color="auto"/>
                                                                <w:bottom w:val="none" w:sz="0" w:space="0" w:color="auto"/>
                                                                <w:right w:val="none" w:sz="0" w:space="0" w:color="auto"/>
                                                              </w:divBdr>
                                                              <w:divsChild>
                                                                <w:div w:id="1550722804">
                                                                  <w:marLeft w:val="0"/>
                                                                  <w:marRight w:val="0"/>
                                                                  <w:marTop w:val="0"/>
                                                                  <w:marBottom w:val="0"/>
                                                                  <w:divBdr>
                                                                    <w:top w:val="none" w:sz="0" w:space="0" w:color="auto"/>
                                                                    <w:left w:val="none" w:sz="0" w:space="0" w:color="auto"/>
                                                                    <w:bottom w:val="none" w:sz="0" w:space="0" w:color="auto"/>
                                                                    <w:right w:val="none" w:sz="0" w:space="0" w:color="auto"/>
                                                                  </w:divBdr>
                                                                  <w:divsChild>
                                                                    <w:div w:id="266696688">
                                                                      <w:marLeft w:val="0"/>
                                                                      <w:marRight w:val="0"/>
                                                                      <w:marTop w:val="0"/>
                                                                      <w:marBottom w:val="0"/>
                                                                      <w:divBdr>
                                                                        <w:top w:val="none" w:sz="0" w:space="0" w:color="auto"/>
                                                                        <w:left w:val="none" w:sz="0" w:space="0" w:color="auto"/>
                                                                        <w:bottom w:val="none" w:sz="0" w:space="0" w:color="auto"/>
                                                                        <w:right w:val="none" w:sz="0" w:space="0" w:color="auto"/>
                                                                      </w:divBdr>
                                                                      <w:divsChild>
                                                                        <w:div w:id="1491746741">
                                                                          <w:marLeft w:val="0"/>
                                                                          <w:marRight w:val="0"/>
                                                                          <w:marTop w:val="0"/>
                                                                          <w:marBottom w:val="0"/>
                                                                          <w:divBdr>
                                                                            <w:top w:val="none" w:sz="0" w:space="0" w:color="auto"/>
                                                                            <w:left w:val="none" w:sz="0" w:space="0" w:color="auto"/>
                                                                            <w:bottom w:val="none" w:sz="0" w:space="0" w:color="auto"/>
                                                                            <w:right w:val="none" w:sz="0" w:space="0" w:color="auto"/>
                                                                          </w:divBdr>
                                                                        </w:div>
                                                                      </w:divsChild>
                                                                    </w:div>
                                                                    <w:div w:id="2136439832">
                                                                      <w:marLeft w:val="0"/>
                                                                      <w:marRight w:val="0"/>
                                                                      <w:marTop w:val="0"/>
                                                                      <w:marBottom w:val="0"/>
                                                                      <w:divBdr>
                                                                        <w:top w:val="none" w:sz="0" w:space="0" w:color="auto"/>
                                                                        <w:left w:val="none" w:sz="0" w:space="0" w:color="auto"/>
                                                                        <w:bottom w:val="none" w:sz="0" w:space="0" w:color="auto"/>
                                                                        <w:right w:val="none" w:sz="0" w:space="0" w:color="auto"/>
                                                                      </w:divBdr>
                                                                      <w:divsChild>
                                                                        <w:div w:id="4611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979145">
      <w:bodyDiv w:val="1"/>
      <w:marLeft w:val="0"/>
      <w:marRight w:val="0"/>
      <w:marTop w:val="0"/>
      <w:marBottom w:val="0"/>
      <w:divBdr>
        <w:top w:val="none" w:sz="0" w:space="0" w:color="auto"/>
        <w:left w:val="none" w:sz="0" w:space="0" w:color="auto"/>
        <w:bottom w:val="none" w:sz="0" w:space="0" w:color="auto"/>
        <w:right w:val="none" w:sz="0" w:space="0" w:color="auto"/>
      </w:divBdr>
      <w:divsChild>
        <w:div w:id="214661590">
          <w:marLeft w:val="0"/>
          <w:marRight w:val="0"/>
          <w:marTop w:val="0"/>
          <w:marBottom w:val="0"/>
          <w:divBdr>
            <w:top w:val="none" w:sz="0" w:space="0" w:color="auto"/>
            <w:left w:val="none" w:sz="0" w:space="0" w:color="auto"/>
            <w:bottom w:val="none" w:sz="0" w:space="0" w:color="auto"/>
            <w:right w:val="none" w:sz="0" w:space="0" w:color="auto"/>
          </w:divBdr>
          <w:divsChild>
            <w:div w:id="1890144972">
              <w:marLeft w:val="0"/>
              <w:marRight w:val="0"/>
              <w:marTop w:val="0"/>
              <w:marBottom w:val="0"/>
              <w:divBdr>
                <w:top w:val="none" w:sz="0" w:space="0" w:color="auto"/>
                <w:left w:val="none" w:sz="0" w:space="0" w:color="auto"/>
                <w:bottom w:val="none" w:sz="0" w:space="0" w:color="auto"/>
                <w:right w:val="none" w:sz="0" w:space="0" w:color="auto"/>
              </w:divBdr>
              <w:divsChild>
                <w:div w:id="194006785">
                  <w:marLeft w:val="0"/>
                  <w:marRight w:val="0"/>
                  <w:marTop w:val="0"/>
                  <w:marBottom w:val="0"/>
                  <w:divBdr>
                    <w:top w:val="none" w:sz="0" w:space="0" w:color="auto"/>
                    <w:left w:val="none" w:sz="0" w:space="0" w:color="auto"/>
                    <w:bottom w:val="none" w:sz="0" w:space="0" w:color="auto"/>
                    <w:right w:val="none" w:sz="0" w:space="0" w:color="auto"/>
                  </w:divBdr>
                  <w:divsChild>
                    <w:div w:id="585655176">
                      <w:marLeft w:val="0"/>
                      <w:marRight w:val="0"/>
                      <w:marTop w:val="0"/>
                      <w:marBottom w:val="300"/>
                      <w:divBdr>
                        <w:top w:val="none" w:sz="0" w:space="0" w:color="auto"/>
                        <w:left w:val="none" w:sz="0" w:space="0" w:color="auto"/>
                        <w:bottom w:val="none" w:sz="0" w:space="0" w:color="auto"/>
                        <w:right w:val="none" w:sz="0" w:space="0" w:color="auto"/>
                      </w:divBdr>
                      <w:divsChild>
                        <w:div w:id="1701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096706">
      <w:bodyDiv w:val="1"/>
      <w:marLeft w:val="0"/>
      <w:marRight w:val="0"/>
      <w:marTop w:val="0"/>
      <w:marBottom w:val="0"/>
      <w:divBdr>
        <w:top w:val="none" w:sz="0" w:space="0" w:color="auto"/>
        <w:left w:val="none" w:sz="0" w:space="0" w:color="auto"/>
        <w:bottom w:val="none" w:sz="0" w:space="0" w:color="auto"/>
        <w:right w:val="none" w:sz="0" w:space="0" w:color="auto"/>
      </w:divBdr>
    </w:div>
    <w:div w:id="740101842">
      <w:bodyDiv w:val="1"/>
      <w:marLeft w:val="0"/>
      <w:marRight w:val="0"/>
      <w:marTop w:val="0"/>
      <w:marBottom w:val="0"/>
      <w:divBdr>
        <w:top w:val="none" w:sz="0" w:space="0" w:color="auto"/>
        <w:left w:val="none" w:sz="0" w:space="0" w:color="auto"/>
        <w:bottom w:val="none" w:sz="0" w:space="0" w:color="auto"/>
        <w:right w:val="none" w:sz="0" w:space="0" w:color="auto"/>
      </w:divBdr>
    </w:div>
    <w:div w:id="746150817">
      <w:bodyDiv w:val="1"/>
      <w:marLeft w:val="0"/>
      <w:marRight w:val="0"/>
      <w:marTop w:val="0"/>
      <w:marBottom w:val="0"/>
      <w:divBdr>
        <w:top w:val="none" w:sz="0" w:space="0" w:color="auto"/>
        <w:left w:val="none" w:sz="0" w:space="0" w:color="auto"/>
        <w:bottom w:val="none" w:sz="0" w:space="0" w:color="auto"/>
        <w:right w:val="none" w:sz="0" w:space="0" w:color="auto"/>
      </w:divBdr>
      <w:divsChild>
        <w:div w:id="891889394">
          <w:marLeft w:val="0"/>
          <w:marRight w:val="0"/>
          <w:marTop w:val="0"/>
          <w:marBottom w:val="0"/>
          <w:divBdr>
            <w:top w:val="none" w:sz="0" w:space="0" w:color="auto"/>
            <w:left w:val="single" w:sz="6" w:space="0" w:color="BBBBBB"/>
            <w:bottom w:val="single" w:sz="6" w:space="0" w:color="BBBBBB"/>
            <w:right w:val="single" w:sz="6" w:space="0" w:color="BBBBBB"/>
          </w:divBdr>
          <w:divsChild>
            <w:div w:id="1282567190">
              <w:marLeft w:val="0"/>
              <w:marRight w:val="0"/>
              <w:marTop w:val="0"/>
              <w:marBottom w:val="0"/>
              <w:divBdr>
                <w:top w:val="none" w:sz="0" w:space="0" w:color="auto"/>
                <w:left w:val="none" w:sz="0" w:space="0" w:color="auto"/>
                <w:bottom w:val="none" w:sz="0" w:space="0" w:color="auto"/>
                <w:right w:val="none" w:sz="0" w:space="0" w:color="auto"/>
              </w:divBdr>
              <w:divsChild>
                <w:div w:id="747461383">
                  <w:marLeft w:val="0"/>
                  <w:marRight w:val="0"/>
                  <w:marTop w:val="0"/>
                  <w:marBottom w:val="0"/>
                  <w:divBdr>
                    <w:top w:val="none" w:sz="0" w:space="0" w:color="auto"/>
                    <w:left w:val="none" w:sz="0" w:space="0" w:color="auto"/>
                    <w:bottom w:val="none" w:sz="0" w:space="0" w:color="auto"/>
                    <w:right w:val="none" w:sz="0" w:space="0" w:color="auto"/>
                  </w:divBdr>
                  <w:divsChild>
                    <w:div w:id="780422214">
                      <w:marLeft w:val="0"/>
                      <w:marRight w:val="0"/>
                      <w:marTop w:val="0"/>
                      <w:marBottom w:val="0"/>
                      <w:divBdr>
                        <w:top w:val="none" w:sz="0" w:space="0" w:color="auto"/>
                        <w:left w:val="none" w:sz="0" w:space="0" w:color="auto"/>
                        <w:bottom w:val="none" w:sz="0" w:space="0" w:color="auto"/>
                        <w:right w:val="none" w:sz="0" w:space="0" w:color="auto"/>
                      </w:divBdr>
                      <w:divsChild>
                        <w:div w:id="1668899167">
                          <w:marLeft w:val="0"/>
                          <w:marRight w:val="0"/>
                          <w:marTop w:val="0"/>
                          <w:marBottom w:val="0"/>
                          <w:divBdr>
                            <w:top w:val="none" w:sz="0" w:space="0" w:color="auto"/>
                            <w:left w:val="none" w:sz="0" w:space="0" w:color="auto"/>
                            <w:bottom w:val="none" w:sz="0" w:space="0" w:color="auto"/>
                            <w:right w:val="none" w:sz="0" w:space="0" w:color="auto"/>
                          </w:divBdr>
                          <w:divsChild>
                            <w:div w:id="1740321394">
                              <w:marLeft w:val="0"/>
                              <w:marRight w:val="0"/>
                              <w:marTop w:val="0"/>
                              <w:marBottom w:val="0"/>
                              <w:divBdr>
                                <w:top w:val="none" w:sz="0" w:space="0" w:color="auto"/>
                                <w:left w:val="none" w:sz="0" w:space="0" w:color="auto"/>
                                <w:bottom w:val="none" w:sz="0" w:space="0" w:color="auto"/>
                                <w:right w:val="none" w:sz="0" w:space="0" w:color="auto"/>
                              </w:divBdr>
                              <w:divsChild>
                                <w:div w:id="1829444396">
                                  <w:marLeft w:val="0"/>
                                  <w:marRight w:val="0"/>
                                  <w:marTop w:val="0"/>
                                  <w:marBottom w:val="0"/>
                                  <w:divBdr>
                                    <w:top w:val="none" w:sz="0" w:space="0" w:color="auto"/>
                                    <w:left w:val="none" w:sz="0" w:space="0" w:color="auto"/>
                                    <w:bottom w:val="none" w:sz="0" w:space="0" w:color="auto"/>
                                    <w:right w:val="none" w:sz="0" w:space="0" w:color="auto"/>
                                  </w:divBdr>
                                  <w:divsChild>
                                    <w:div w:id="1222447515">
                                      <w:marLeft w:val="0"/>
                                      <w:marRight w:val="0"/>
                                      <w:marTop w:val="0"/>
                                      <w:marBottom w:val="0"/>
                                      <w:divBdr>
                                        <w:top w:val="none" w:sz="0" w:space="0" w:color="auto"/>
                                        <w:left w:val="none" w:sz="0" w:space="0" w:color="auto"/>
                                        <w:bottom w:val="none" w:sz="0" w:space="0" w:color="auto"/>
                                        <w:right w:val="none" w:sz="0" w:space="0" w:color="auto"/>
                                      </w:divBdr>
                                      <w:divsChild>
                                        <w:div w:id="836070109">
                                          <w:marLeft w:val="1200"/>
                                          <w:marRight w:val="1200"/>
                                          <w:marTop w:val="0"/>
                                          <w:marBottom w:val="0"/>
                                          <w:divBdr>
                                            <w:top w:val="none" w:sz="0" w:space="0" w:color="auto"/>
                                            <w:left w:val="none" w:sz="0" w:space="0" w:color="auto"/>
                                            <w:bottom w:val="none" w:sz="0" w:space="0" w:color="auto"/>
                                            <w:right w:val="none" w:sz="0" w:space="0" w:color="auto"/>
                                          </w:divBdr>
                                          <w:divsChild>
                                            <w:div w:id="999962806">
                                              <w:marLeft w:val="0"/>
                                              <w:marRight w:val="0"/>
                                              <w:marTop w:val="0"/>
                                              <w:marBottom w:val="0"/>
                                              <w:divBdr>
                                                <w:top w:val="none" w:sz="0" w:space="0" w:color="auto"/>
                                                <w:left w:val="none" w:sz="0" w:space="0" w:color="auto"/>
                                                <w:bottom w:val="none" w:sz="0" w:space="0" w:color="auto"/>
                                                <w:right w:val="none" w:sz="0" w:space="0" w:color="auto"/>
                                              </w:divBdr>
                                              <w:divsChild>
                                                <w:div w:id="1261912894">
                                                  <w:marLeft w:val="0"/>
                                                  <w:marRight w:val="0"/>
                                                  <w:marTop w:val="0"/>
                                                  <w:marBottom w:val="0"/>
                                                  <w:divBdr>
                                                    <w:top w:val="none" w:sz="0" w:space="0" w:color="auto"/>
                                                    <w:left w:val="none" w:sz="0" w:space="0" w:color="auto"/>
                                                    <w:bottom w:val="none" w:sz="0" w:space="0" w:color="auto"/>
                                                    <w:right w:val="none" w:sz="0" w:space="0" w:color="auto"/>
                                                  </w:divBdr>
                                                  <w:divsChild>
                                                    <w:div w:id="742219478">
                                                      <w:marLeft w:val="0"/>
                                                      <w:marRight w:val="0"/>
                                                      <w:marTop w:val="0"/>
                                                      <w:marBottom w:val="0"/>
                                                      <w:divBdr>
                                                        <w:top w:val="none" w:sz="0" w:space="0" w:color="auto"/>
                                                        <w:left w:val="none" w:sz="0" w:space="0" w:color="auto"/>
                                                        <w:bottom w:val="none" w:sz="0" w:space="0" w:color="auto"/>
                                                        <w:right w:val="none" w:sz="0" w:space="0" w:color="auto"/>
                                                      </w:divBdr>
                                                      <w:divsChild>
                                                        <w:div w:id="1138183601">
                                                          <w:marLeft w:val="0"/>
                                                          <w:marRight w:val="0"/>
                                                          <w:marTop w:val="0"/>
                                                          <w:marBottom w:val="0"/>
                                                          <w:divBdr>
                                                            <w:top w:val="none" w:sz="0" w:space="0" w:color="auto"/>
                                                            <w:left w:val="none" w:sz="0" w:space="0" w:color="auto"/>
                                                            <w:bottom w:val="none" w:sz="0" w:space="0" w:color="auto"/>
                                                            <w:right w:val="none" w:sz="0" w:space="0" w:color="auto"/>
                                                          </w:divBdr>
                                                          <w:divsChild>
                                                            <w:div w:id="114913626">
                                                              <w:marLeft w:val="0"/>
                                                              <w:marRight w:val="0"/>
                                                              <w:marTop w:val="0"/>
                                                              <w:marBottom w:val="0"/>
                                                              <w:divBdr>
                                                                <w:top w:val="none" w:sz="0" w:space="0" w:color="auto"/>
                                                                <w:left w:val="none" w:sz="0" w:space="0" w:color="auto"/>
                                                                <w:bottom w:val="none" w:sz="0" w:space="0" w:color="auto"/>
                                                                <w:right w:val="none" w:sz="0" w:space="0" w:color="auto"/>
                                                              </w:divBdr>
                                                              <w:divsChild>
                                                                <w:div w:id="693650230">
                                                                  <w:marLeft w:val="0"/>
                                                                  <w:marRight w:val="0"/>
                                                                  <w:marTop w:val="0"/>
                                                                  <w:marBottom w:val="0"/>
                                                                  <w:divBdr>
                                                                    <w:top w:val="none" w:sz="0" w:space="0" w:color="auto"/>
                                                                    <w:left w:val="none" w:sz="0" w:space="0" w:color="auto"/>
                                                                    <w:bottom w:val="none" w:sz="0" w:space="0" w:color="auto"/>
                                                                    <w:right w:val="none" w:sz="0" w:space="0" w:color="auto"/>
                                                                  </w:divBdr>
                                                                  <w:divsChild>
                                                                    <w:div w:id="122426957">
                                                                      <w:marLeft w:val="0"/>
                                                                      <w:marRight w:val="0"/>
                                                                      <w:marTop w:val="0"/>
                                                                      <w:marBottom w:val="0"/>
                                                                      <w:divBdr>
                                                                        <w:top w:val="none" w:sz="0" w:space="0" w:color="auto"/>
                                                                        <w:left w:val="none" w:sz="0" w:space="0" w:color="auto"/>
                                                                        <w:bottom w:val="none" w:sz="0" w:space="0" w:color="auto"/>
                                                                        <w:right w:val="none" w:sz="0" w:space="0" w:color="auto"/>
                                                                      </w:divBdr>
                                                                      <w:divsChild>
                                                                        <w:div w:id="854881295">
                                                                          <w:marLeft w:val="0"/>
                                                                          <w:marRight w:val="0"/>
                                                                          <w:marTop w:val="0"/>
                                                                          <w:marBottom w:val="0"/>
                                                                          <w:divBdr>
                                                                            <w:top w:val="none" w:sz="0" w:space="0" w:color="auto"/>
                                                                            <w:left w:val="none" w:sz="0" w:space="0" w:color="auto"/>
                                                                            <w:bottom w:val="none" w:sz="0" w:space="0" w:color="auto"/>
                                                                            <w:right w:val="none" w:sz="0" w:space="0" w:color="auto"/>
                                                                          </w:divBdr>
                                                                        </w:div>
                                                                      </w:divsChild>
                                                                    </w:div>
                                                                    <w:div w:id="272327294">
                                                                      <w:marLeft w:val="0"/>
                                                                      <w:marRight w:val="0"/>
                                                                      <w:marTop w:val="0"/>
                                                                      <w:marBottom w:val="0"/>
                                                                      <w:divBdr>
                                                                        <w:top w:val="none" w:sz="0" w:space="0" w:color="auto"/>
                                                                        <w:left w:val="none" w:sz="0" w:space="0" w:color="auto"/>
                                                                        <w:bottom w:val="none" w:sz="0" w:space="0" w:color="auto"/>
                                                                        <w:right w:val="none" w:sz="0" w:space="0" w:color="auto"/>
                                                                      </w:divBdr>
                                                                      <w:divsChild>
                                                                        <w:div w:id="343172547">
                                                                          <w:marLeft w:val="0"/>
                                                                          <w:marRight w:val="0"/>
                                                                          <w:marTop w:val="0"/>
                                                                          <w:marBottom w:val="0"/>
                                                                          <w:divBdr>
                                                                            <w:top w:val="none" w:sz="0" w:space="0" w:color="auto"/>
                                                                            <w:left w:val="none" w:sz="0" w:space="0" w:color="auto"/>
                                                                            <w:bottom w:val="none" w:sz="0" w:space="0" w:color="auto"/>
                                                                            <w:right w:val="none" w:sz="0" w:space="0" w:color="auto"/>
                                                                          </w:divBdr>
                                                                        </w:div>
                                                                      </w:divsChild>
                                                                    </w:div>
                                                                    <w:div w:id="1361316982">
                                                                      <w:marLeft w:val="0"/>
                                                                      <w:marRight w:val="0"/>
                                                                      <w:marTop w:val="0"/>
                                                                      <w:marBottom w:val="0"/>
                                                                      <w:divBdr>
                                                                        <w:top w:val="none" w:sz="0" w:space="0" w:color="auto"/>
                                                                        <w:left w:val="none" w:sz="0" w:space="0" w:color="auto"/>
                                                                        <w:bottom w:val="none" w:sz="0" w:space="0" w:color="auto"/>
                                                                        <w:right w:val="none" w:sz="0" w:space="0" w:color="auto"/>
                                                                      </w:divBdr>
                                                                      <w:divsChild>
                                                                        <w:div w:id="412357749">
                                                                          <w:marLeft w:val="0"/>
                                                                          <w:marRight w:val="0"/>
                                                                          <w:marTop w:val="0"/>
                                                                          <w:marBottom w:val="0"/>
                                                                          <w:divBdr>
                                                                            <w:top w:val="none" w:sz="0" w:space="0" w:color="auto"/>
                                                                            <w:left w:val="none" w:sz="0" w:space="0" w:color="auto"/>
                                                                            <w:bottom w:val="none" w:sz="0" w:space="0" w:color="auto"/>
                                                                            <w:right w:val="none" w:sz="0" w:space="0" w:color="auto"/>
                                                                          </w:divBdr>
                                                                        </w:div>
                                                                      </w:divsChild>
                                                                    </w:div>
                                                                    <w:div w:id="1400012536">
                                                                      <w:marLeft w:val="0"/>
                                                                      <w:marRight w:val="0"/>
                                                                      <w:marTop w:val="0"/>
                                                                      <w:marBottom w:val="0"/>
                                                                      <w:divBdr>
                                                                        <w:top w:val="none" w:sz="0" w:space="0" w:color="auto"/>
                                                                        <w:left w:val="none" w:sz="0" w:space="0" w:color="auto"/>
                                                                        <w:bottom w:val="none" w:sz="0" w:space="0" w:color="auto"/>
                                                                        <w:right w:val="none" w:sz="0" w:space="0" w:color="auto"/>
                                                                      </w:divBdr>
                                                                      <w:divsChild>
                                                                        <w:div w:id="9816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537053">
      <w:bodyDiv w:val="1"/>
      <w:marLeft w:val="0"/>
      <w:marRight w:val="0"/>
      <w:marTop w:val="0"/>
      <w:marBottom w:val="0"/>
      <w:divBdr>
        <w:top w:val="none" w:sz="0" w:space="0" w:color="auto"/>
        <w:left w:val="none" w:sz="0" w:space="0" w:color="auto"/>
        <w:bottom w:val="none" w:sz="0" w:space="0" w:color="auto"/>
        <w:right w:val="none" w:sz="0" w:space="0" w:color="auto"/>
      </w:divBdr>
      <w:divsChild>
        <w:div w:id="164983153">
          <w:marLeft w:val="0"/>
          <w:marRight w:val="0"/>
          <w:marTop w:val="0"/>
          <w:marBottom w:val="0"/>
          <w:divBdr>
            <w:top w:val="none" w:sz="0" w:space="0" w:color="auto"/>
            <w:left w:val="none" w:sz="0" w:space="0" w:color="auto"/>
            <w:bottom w:val="none" w:sz="0" w:space="0" w:color="auto"/>
            <w:right w:val="none" w:sz="0" w:space="0" w:color="auto"/>
          </w:divBdr>
          <w:divsChild>
            <w:div w:id="705443701">
              <w:marLeft w:val="0"/>
              <w:marRight w:val="0"/>
              <w:marTop w:val="0"/>
              <w:marBottom w:val="0"/>
              <w:divBdr>
                <w:top w:val="none" w:sz="0" w:space="0" w:color="auto"/>
                <w:left w:val="none" w:sz="0" w:space="0" w:color="auto"/>
                <w:bottom w:val="none" w:sz="0" w:space="0" w:color="auto"/>
                <w:right w:val="none" w:sz="0" w:space="0" w:color="auto"/>
              </w:divBdr>
              <w:divsChild>
                <w:div w:id="1987196179">
                  <w:marLeft w:val="0"/>
                  <w:marRight w:val="0"/>
                  <w:marTop w:val="0"/>
                  <w:marBottom w:val="0"/>
                  <w:divBdr>
                    <w:top w:val="none" w:sz="0" w:space="0" w:color="auto"/>
                    <w:left w:val="none" w:sz="0" w:space="0" w:color="auto"/>
                    <w:bottom w:val="none" w:sz="0" w:space="0" w:color="auto"/>
                    <w:right w:val="none" w:sz="0" w:space="0" w:color="auto"/>
                  </w:divBdr>
                  <w:divsChild>
                    <w:div w:id="388655671">
                      <w:marLeft w:val="0"/>
                      <w:marRight w:val="0"/>
                      <w:marTop w:val="0"/>
                      <w:marBottom w:val="0"/>
                      <w:divBdr>
                        <w:top w:val="none" w:sz="0" w:space="0" w:color="auto"/>
                        <w:left w:val="none" w:sz="0" w:space="0" w:color="auto"/>
                        <w:bottom w:val="none" w:sz="0" w:space="0" w:color="auto"/>
                        <w:right w:val="none" w:sz="0" w:space="0" w:color="auto"/>
                      </w:divBdr>
                      <w:divsChild>
                        <w:div w:id="615329993">
                          <w:marLeft w:val="0"/>
                          <w:marRight w:val="0"/>
                          <w:marTop w:val="0"/>
                          <w:marBottom w:val="0"/>
                          <w:divBdr>
                            <w:top w:val="none" w:sz="0" w:space="0" w:color="auto"/>
                            <w:left w:val="none" w:sz="0" w:space="0" w:color="auto"/>
                            <w:bottom w:val="none" w:sz="0" w:space="0" w:color="auto"/>
                            <w:right w:val="none" w:sz="0" w:space="0" w:color="auto"/>
                          </w:divBdr>
                          <w:divsChild>
                            <w:div w:id="1614631639">
                              <w:marLeft w:val="0"/>
                              <w:marRight w:val="0"/>
                              <w:marTop w:val="0"/>
                              <w:marBottom w:val="0"/>
                              <w:divBdr>
                                <w:top w:val="none" w:sz="0" w:space="0" w:color="auto"/>
                                <w:left w:val="none" w:sz="0" w:space="0" w:color="auto"/>
                                <w:bottom w:val="none" w:sz="0" w:space="0" w:color="auto"/>
                                <w:right w:val="none" w:sz="0" w:space="0" w:color="auto"/>
                              </w:divBdr>
                              <w:divsChild>
                                <w:div w:id="698629086">
                                  <w:marLeft w:val="0"/>
                                  <w:marRight w:val="0"/>
                                  <w:marTop w:val="0"/>
                                  <w:marBottom w:val="0"/>
                                  <w:divBdr>
                                    <w:top w:val="none" w:sz="0" w:space="0" w:color="auto"/>
                                    <w:left w:val="none" w:sz="0" w:space="0" w:color="auto"/>
                                    <w:bottom w:val="none" w:sz="0" w:space="0" w:color="auto"/>
                                    <w:right w:val="none" w:sz="0" w:space="0" w:color="auto"/>
                                  </w:divBdr>
                                  <w:divsChild>
                                    <w:div w:id="2041544440">
                                      <w:marLeft w:val="0"/>
                                      <w:marRight w:val="0"/>
                                      <w:marTop w:val="0"/>
                                      <w:marBottom w:val="0"/>
                                      <w:divBdr>
                                        <w:top w:val="none" w:sz="0" w:space="0" w:color="auto"/>
                                        <w:left w:val="none" w:sz="0" w:space="0" w:color="auto"/>
                                        <w:bottom w:val="none" w:sz="0" w:space="0" w:color="auto"/>
                                        <w:right w:val="none" w:sz="0" w:space="0" w:color="auto"/>
                                      </w:divBdr>
                                      <w:divsChild>
                                        <w:div w:id="478886842">
                                          <w:marLeft w:val="0"/>
                                          <w:marRight w:val="0"/>
                                          <w:marTop w:val="0"/>
                                          <w:marBottom w:val="0"/>
                                          <w:divBdr>
                                            <w:top w:val="none" w:sz="0" w:space="0" w:color="auto"/>
                                            <w:left w:val="none" w:sz="0" w:space="0" w:color="auto"/>
                                            <w:bottom w:val="none" w:sz="0" w:space="0" w:color="auto"/>
                                            <w:right w:val="none" w:sz="0" w:space="0" w:color="auto"/>
                                          </w:divBdr>
                                          <w:divsChild>
                                            <w:div w:id="545872723">
                                              <w:marLeft w:val="0"/>
                                              <w:marRight w:val="0"/>
                                              <w:marTop w:val="0"/>
                                              <w:marBottom w:val="0"/>
                                              <w:divBdr>
                                                <w:top w:val="none" w:sz="0" w:space="0" w:color="auto"/>
                                                <w:left w:val="none" w:sz="0" w:space="0" w:color="auto"/>
                                                <w:bottom w:val="none" w:sz="0" w:space="0" w:color="auto"/>
                                                <w:right w:val="none" w:sz="0" w:space="0" w:color="auto"/>
                                              </w:divBdr>
                                              <w:divsChild>
                                                <w:div w:id="1686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649264">
      <w:bodyDiv w:val="1"/>
      <w:marLeft w:val="0"/>
      <w:marRight w:val="0"/>
      <w:marTop w:val="0"/>
      <w:marBottom w:val="0"/>
      <w:divBdr>
        <w:top w:val="none" w:sz="0" w:space="0" w:color="auto"/>
        <w:left w:val="none" w:sz="0" w:space="0" w:color="auto"/>
        <w:bottom w:val="none" w:sz="0" w:space="0" w:color="auto"/>
        <w:right w:val="none" w:sz="0" w:space="0" w:color="auto"/>
      </w:divBdr>
      <w:divsChild>
        <w:div w:id="389621680">
          <w:marLeft w:val="0"/>
          <w:marRight w:val="0"/>
          <w:marTop w:val="0"/>
          <w:marBottom w:val="0"/>
          <w:divBdr>
            <w:top w:val="none" w:sz="0" w:space="0" w:color="auto"/>
            <w:left w:val="single" w:sz="6" w:space="0" w:color="BBBBBB"/>
            <w:bottom w:val="single" w:sz="6" w:space="0" w:color="BBBBBB"/>
            <w:right w:val="single" w:sz="6" w:space="0" w:color="BBBBBB"/>
          </w:divBdr>
          <w:divsChild>
            <w:div w:id="183828547">
              <w:marLeft w:val="0"/>
              <w:marRight w:val="0"/>
              <w:marTop w:val="0"/>
              <w:marBottom w:val="0"/>
              <w:divBdr>
                <w:top w:val="none" w:sz="0" w:space="0" w:color="auto"/>
                <w:left w:val="none" w:sz="0" w:space="0" w:color="auto"/>
                <w:bottom w:val="none" w:sz="0" w:space="0" w:color="auto"/>
                <w:right w:val="none" w:sz="0" w:space="0" w:color="auto"/>
              </w:divBdr>
              <w:divsChild>
                <w:div w:id="304090420">
                  <w:marLeft w:val="0"/>
                  <w:marRight w:val="0"/>
                  <w:marTop w:val="0"/>
                  <w:marBottom w:val="0"/>
                  <w:divBdr>
                    <w:top w:val="none" w:sz="0" w:space="0" w:color="auto"/>
                    <w:left w:val="none" w:sz="0" w:space="0" w:color="auto"/>
                    <w:bottom w:val="none" w:sz="0" w:space="0" w:color="auto"/>
                    <w:right w:val="none" w:sz="0" w:space="0" w:color="auto"/>
                  </w:divBdr>
                  <w:divsChild>
                    <w:div w:id="715006762">
                      <w:marLeft w:val="0"/>
                      <w:marRight w:val="0"/>
                      <w:marTop w:val="0"/>
                      <w:marBottom w:val="0"/>
                      <w:divBdr>
                        <w:top w:val="none" w:sz="0" w:space="0" w:color="auto"/>
                        <w:left w:val="none" w:sz="0" w:space="0" w:color="auto"/>
                        <w:bottom w:val="none" w:sz="0" w:space="0" w:color="auto"/>
                        <w:right w:val="none" w:sz="0" w:space="0" w:color="auto"/>
                      </w:divBdr>
                      <w:divsChild>
                        <w:div w:id="940793770">
                          <w:marLeft w:val="0"/>
                          <w:marRight w:val="0"/>
                          <w:marTop w:val="0"/>
                          <w:marBottom w:val="0"/>
                          <w:divBdr>
                            <w:top w:val="none" w:sz="0" w:space="0" w:color="auto"/>
                            <w:left w:val="none" w:sz="0" w:space="0" w:color="auto"/>
                            <w:bottom w:val="none" w:sz="0" w:space="0" w:color="auto"/>
                            <w:right w:val="none" w:sz="0" w:space="0" w:color="auto"/>
                          </w:divBdr>
                          <w:divsChild>
                            <w:div w:id="762579153">
                              <w:marLeft w:val="0"/>
                              <w:marRight w:val="0"/>
                              <w:marTop w:val="0"/>
                              <w:marBottom w:val="0"/>
                              <w:divBdr>
                                <w:top w:val="none" w:sz="0" w:space="0" w:color="auto"/>
                                <w:left w:val="none" w:sz="0" w:space="0" w:color="auto"/>
                                <w:bottom w:val="none" w:sz="0" w:space="0" w:color="auto"/>
                                <w:right w:val="none" w:sz="0" w:space="0" w:color="auto"/>
                              </w:divBdr>
                              <w:divsChild>
                                <w:div w:id="1261600561">
                                  <w:marLeft w:val="0"/>
                                  <w:marRight w:val="0"/>
                                  <w:marTop w:val="0"/>
                                  <w:marBottom w:val="0"/>
                                  <w:divBdr>
                                    <w:top w:val="none" w:sz="0" w:space="0" w:color="auto"/>
                                    <w:left w:val="none" w:sz="0" w:space="0" w:color="auto"/>
                                    <w:bottom w:val="none" w:sz="0" w:space="0" w:color="auto"/>
                                    <w:right w:val="none" w:sz="0" w:space="0" w:color="auto"/>
                                  </w:divBdr>
                                  <w:divsChild>
                                    <w:div w:id="489104402">
                                      <w:marLeft w:val="0"/>
                                      <w:marRight w:val="0"/>
                                      <w:marTop w:val="0"/>
                                      <w:marBottom w:val="0"/>
                                      <w:divBdr>
                                        <w:top w:val="none" w:sz="0" w:space="0" w:color="auto"/>
                                        <w:left w:val="none" w:sz="0" w:space="0" w:color="auto"/>
                                        <w:bottom w:val="none" w:sz="0" w:space="0" w:color="auto"/>
                                        <w:right w:val="none" w:sz="0" w:space="0" w:color="auto"/>
                                      </w:divBdr>
                                      <w:divsChild>
                                        <w:div w:id="58944604">
                                          <w:marLeft w:val="1200"/>
                                          <w:marRight w:val="1200"/>
                                          <w:marTop w:val="0"/>
                                          <w:marBottom w:val="0"/>
                                          <w:divBdr>
                                            <w:top w:val="none" w:sz="0" w:space="0" w:color="auto"/>
                                            <w:left w:val="none" w:sz="0" w:space="0" w:color="auto"/>
                                            <w:bottom w:val="none" w:sz="0" w:space="0" w:color="auto"/>
                                            <w:right w:val="none" w:sz="0" w:space="0" w:color="auto"/>
                                          </w:divBdr>
                                          <w:divsChild>
                                            <w:div w:id="290596179">
                                              <w:marLeft w:val="0"/>
                                              <w:marRight w:val="0"/>
                                              <w:marTop w:val="0"/>
                                              <w:marBottom w:val="0"/>
                                              <w:divBdr>
                                                <w:top w:val="none" w:sz="0" w:space="0" w:color="auto"/>
                                                <w:left w:val="none" w:sz="0" w:space="0" w:color="auto"/>
                                                <w:bottom w:val="none" w:sz="0" w:space="0" w:color="auto"/>
                                                <w:right w:val="none" w:sz="0" w:space="0" w:color="auto"/>
                                              </w:divBdr>
                                              <w:divsChild>
                                                <w:div w:id="351224520">
                                                  <w:marLeft w:val="0"/>
                                                  <w:marRight w:val="0"/>
                                                  <w:marTop w:val="0"/>
                                                  <w:marBottom w:val="0"/>
                                                  <w:divBdr>
                                                    <w:top w:val="none" w:sz="0" w:space="0" w:color="auto"/>
                                                    <w:left w:val="none" w:sz="0" w:space="0" w:color="auto"/>
                                                    <w:bottom w:val="none" w:sz="0" w:space="0" w:color="auto"/>
                                                    <w:right w:val="none" w:sz="0" w:space="0" w:color="auto"/>
                                                  </w:divBdr>
                                                  <w:divsChild>
                                                    <w:div w:id="934095368">
                                                      <w:marLeft w:val="0"/>
                                                      <w:marRight w:val="0"/>
                                                      <w:marTop w:val="0"/>
                                                      <w:marBottom w:val="0"/>
                                                      <w:divBdr>
                                                        <w:top w:val="none" w:sz="0" w:space="0" w:color="auto"/>
                                                        <w:left w:val="none" w:sz="0" w:space="0" w:color="auto"/>
                                                        <w:bottom w:val="none" w:sz="0" w:space="0" w:color="auto"/>
                                                        <w:right w:val="none" w:sz="0" w:space="0" w:color="auto"/>
                                                      </w:divBdr>
                                                      <w:divsChild>
                                                        <w:div w:id="1887519233">
                                                          <w:marLeft w:val="0"/>
                                                          <w:marRight w:val="0"/>
                                                          <w:marTop w:val="0"/>
                                                          <w:marBottom w:val="0"/>
                                                          <w:divBdr>
                                                            <w:top w:val="none" w:sz="0" w:space="0" w:color="auto"/>
                                                            <w:left w:val="none" w:sz="0" w:space="0" w:color="auto"/>
                                                            <w:bottom w:val="none" w:sz="0" w:space="0" w:color="auto"/>
                                                            <w:right w:val="none" w:sz="0" w:space="0" w:color="auto"/>
                                                          </w:divBdr>
                                                          <w:divsChild>
                                                            <w:div w:id="45763465">
                                                              <w:marLeft w:val="0"/>
                                                              <w:marRight w:val="0"/>
                                                              <w:marTop w:val="0"/>
                                                              <w:marBottom w:val="0"/>
                                                              <w:divBdr>
                                                                <w:top w:val="none" w:sz="0" w:space="0" w:color="auto"/>
                                                                <w:left w:val="none" w:sz="0" w:space="0" w:color="auto"/>
                                                                <w:bottom w:val="none" w:sz="0" w:space="0" w:color="auto"/>
                                                                <w:right w:val="none" w:sz="0" w:space="0" w:color="auto"/>
                                                              </w:divBdr>
                                                              <w:divsChild>
                                                                <w:div w:id="1592857575">
                                                                  <w:marLeft w:val="0"/>
                                                                  <w:marRight w:val="0"/>
                                                                  <w:marTop w:val="0"/>
                                                                  <w:marBottom w:val="0"/>
                                                                  <w:divBdr>
                                                                    <w:top w:val="none" w:sz="0" w:space="0" w:color="auto"/>
                                                                    <w:left w:val="none" w:sz="0" w:space="0" w:color="auto"/>
                                                                    <w:bottom w:val="none" w:sz="0" w:space="0" w:color="auto"/>
                                                                    <w:right w:val="none" w:sz="0" w:space="0" w:color="auto"/>
                                                                  </w:divBdr>
                                                                  <w:divsChild>
                                                                    <w:div w:id="1241869558">
                                                                      <w:marLeft w:val="0"/>
                                                                      <w:marRight w:val="0"/>
                                                                      <w:marTop w:val="0"/>
                                                                      <w:marBottom w:val="0"/>
                                                                      <w:divBdr>
                                                                        <w:top w:val="none" w:sz="0" w:space="0" w:color="auto"/>
                                                                        <w:left w:val="none" w:sz="0" w:space="0" w:color="auto"/>
                                                                        <w:bottom w:val="none" w:sz="0" w:space="0" w:color="auto"/>
                                                                        <w:right w:val="none" w:sz="0" w:space="0" w:color="auto"/>
                                                                      </w:divBdr>
                                                                      <w:divsChild>
                                                                        <w:div w:id="398527998">
                                                                          <w:marLeft w:val="0"/>
                                                                          <w:marRight w:val="0"/>
                                                                          <w:marTop w:val="0"/>
                                                                          <w:marBottom w:val="0"/>
                                                                          <w:divBdr>
                                                                            <w:top w:val="none" w:sz="0" w:space="0" w:color="auto"/>
                                                                            <w:left w:val="none" w:sz="0" w:space="0" w:color="auto"/>
                                                                            <w:bottom w:val="none" w:sz="0" w:space="0" w:color="auto"/>
                                                                            <w:right w:val="none" w:sz="0" w:space="0" w:color="auto"/>
                                                                          </w:divBdr>
                                                                        </w:div>
                                                                      </w:divsChild>
                                                                    </w:div>
                                                                    <w:div w:id="1778595787">
                                                                      <w:marLeft w:val="0"/>
                                                                      <w:marRight w:val="0"/>
                                                                      <w:marTop w:val="0"/>
                                                                      <w:marBottom w:val="0"/>
                                                                      <w:divBdr>
                                                                        <w:top w:val="none" w:sz="0" w:space="0" w:color="auto"/>
                                                                        <w:left w:val="none" w:sz="0" w:space="0" w:color="auto"/>
                                                                        <w:bottom w:val="none" w:sz="0" w:space="0" w:color="auto"/>
                                                                        <w:right w:val="none" w:sz="0" w:space="0" w:color="auto"/>
                                                                      </w:divBdr>
                                                                      <w:divsChild>
                                                                        <w:div w:id="1234315927">
                                                                          <w:marLeft w:val="0"/>
                                                                          <w:marRight w:val="0"/>
                                                                          <w:marTop w:val="0"/>
                                                                          <w:marBottom w:val="0"/>
                                                                          <w:divBdr>
                                                                            <w:top w:val="none" w:sz="0" w:space="0" w:color="auto"/>
                                                                            <w:left w:val="none" w:sz="0" w:space="0" w:color="auto"/>
                                                                            <w:bottom w:val="none" w:sz="0" w:space="0" w:color="auto"/>
                                                                            <w:right w:val="none" w:sz="0" w:space="0" w:color="auto"/>
                                                                          </w:divBdr>
                                                                        </w:div>
                                                                      </w:divsChild>
                                                                    </w:div>
                                                                    <w:div w:id="1843741928">
                                                                      <w:marLeft w:val="0"/>
                                                                      <w:marRight w:val="0"/>
                                                                      <w:marTop w:val="0"/>
                                                                      <w:marBottom w:val="0"/>
                                                                      <w:divBdr>
                                                                        <w:top w:val="none" w:sz="0" w:space="0" w:color="auto"/>
                                                                        <w:left w:val="none" w:sz="0" w:space="0" w:color="auto"/>
                                                                        <w:bottom w:val="none" w:sz="0" w:space="0" w:color="auto"/>
                                                                        <w:right w:val="none" w:sz="0" w:space="0" w:color="auto"/>
                                                                      </w:divBdr>
                                                                      <w:divsChild>
                                                                        <w:div w:id="33236627">
                                                                          <w:marLeft w:val="0"/>
                                                                          <w:marRight w:val="0"/>
                                                                          <w:marTop w:val="0"/>
                                                                          <w:marBottom w:val="0"/>
                                                                          <w:divBdr>
                                                                            <w:top w:val="none" w:sz="0" w:space="0" w:color="auto"/>
                                                                            <w:left w:val="none" w:sz="0" w:space="0" w:color="auto"/>
                                                                            <w:bottom w:val="none" w:sz="0" w:space="0" w:color="auto"/>
                                                                            <w:right w:val="none" w:sz="0" w:space="0" w:color="auto"/>
                                                                          </w:divBdr>
                                                                        </w:div>
                                                                      </w:divsChild>
                                                                    </w:div>
                                                                    <w:div w:id="1980258247">
                                                                      <w:marLeft w:val="0"/>
                                                                      <w:marRight w:val="0"/>
                                                                      <w:marTop w:val="0"/>
                                                                      <w:marBottom w:val="0"/>
                                                                      <w:divBdr>
                                                                        <w:top w:val="none" w:sz="0" w:space="0" w:color="auto"/>
                                                                        <w:left w:val="none" w:sz="0" w:space="0" w:color="auto"/>
                                                                        <w:bottom w:val="none" w:sz="0" w:space="0" w:color="auto"/>
                                                                        <w:right w:val="none" w:sz="0" w:space="0" w:color="auto"/>
                                                                      </w:divBdr>
                                                                      <w:divsChild>
                                                                        <w:div w:id="917329365">
                                                                          <w:marLeft w:val="0"/>
                                                                          <w:marRight w:val="0"/>
                                                                          <w:marTop w:val="0"/>
                                                                          <w:marBottom w:val="0"/>
                                                                          <w:divBdr>
                                                                            <w:top w:val="none" w:sz="0" w:space="0" w:color="auto"/>
                                                                            <w:left w:val="none" w:sz="0" w:space="0" w:color="auto"/>
                                                                            <w:bottom w:val="none" w:sz="0" w:space="0" w:color="auto"/>
                                                                            <w:right w:val="none" w:sz="0" w:space="0" w:color="auto"/>
                                                                          </w:divBdr>
                                                                        </w:div>
                                                                      </w:divsChild>
                                                                    </w:div>
                                                                    <w:div w:id="2092696572">
                                                                      <w:marLeft w:val="0"/>
                                                                      <w:marRight w:val="0"/>
                                                                      <w:marTop w:val="0"/>
                                                                      <w:marBottom w:val="0"/>
                                                                      <w:divBdr>
                                                                        <w:top w:val="none" w:sz="0" w:space="0" w:color="auto"/>
                                                                        <w:left w:val="none" w:sz="0" w:space="0" w:color="auto"/>
                                                                        <w:bottom w:val="none" w:sz="0" w:space="0" w:color="auto"/>
                                                                        <w:right w:val="none" w:sz="0" w:space="0" w:color="auto"/>
                                                                      </w:divBdr>
                                                                      <w:divsChild>
                                                                        <w:div w:id="1822382660">
                                                                          <w:marLeft w:val="0"/>
                                                                          <w:marRight w:val="0"/>
                                                                          <w:marTop w:val="0"/>
                                                                          <w:marBottom w:val="0"/>
                                                                          <w:divBdr>
                                                                            <w:top w:val="none" w:sz="0" w:space="0" w:color="auto"/>
                                                                            <w:left w:val="none" w:sz="0" w:space="0" w:color="auto"/>
                                                                            <w:bottom w:val="none" w:sz="0" w:space="0" w:color="auto"/>
                                                                            <w:right w:val="none" w:sz="0" w:space="0" w:color="auto"/>
                                                                          </w:divBdr>
                                                                        </w:div>
                                                                      </w:divsChild>
                                                                    </w:div>
                                                                    <w:div w:id="2093888145">
                                                                      <w:marLeft w:val="0"/>
                                                                      <w:marRight w:val="0"/>
                                                                      <w:marTop w:val="0"/>
                                                                      <w:marBottom w:val="0"/>
                                                                      <w:divBdr>
                                                                        <w:top w:val="none" w:sz="0" w:space="0" w:color="auto"/>
                                                                        <w:left w:val="none" w:sz="0" w:space="0" w:color="auto"/>
                                                                        <w:bottom w:val="none" w:sz="0" w:space="0" w:color="auto"/>
                                                                        <w:right w:val="none" w:sz="0" w:space="0" w:color="auto"/>
                                                                      </w:divBdr>
                                                                      <w:divsChild>
                                                                        <w:div w:id="56899530">
                                                                          <w:marLeft w:val="0"/>
                                                                          <w:marRight w:val="0"/>
                                                                          <w:marTop w:val="0"/>
                                                                          <w:marBottom w:val="0"/>
                                                                          <w:divBdr>
                                                                            <w:top w:val="none" w:sz="0" w:space="0" w:color="auto"/>
                                                                            <w:left w:val="none" w:sz="0" w:space="0" w:color="auto"/>
                                                                            <w:bottom w:val="none" w:sz="0" w:space="0" w:color="auto"/>
                                                                            <w:right w:val="none" w:sz="0" w:space="0" w:color="auto"/>
                                                                          </w:divBdr>
                                                                        </w:div>
                                                                        <w:div w:id="1213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619982">
      <w:bodyDiv w:val="1"/>
      <w:marLeft w:val="0"/>
      <w:marRight w:val="0"/>
      <w:marTop w:val="0"/>
      <w:marBottom w:val="0"/>
      <w:divBdr>
        <w:top w:val="none" w:sz="0" w:space="0" w:color="auto"/>
        <w:left w:val="none" w:sz="0" w:space="0" w:color="auto"/>
        <w:bottom w:val="none" w:sz="0" w:space="0" w:color="auto"/>
        <w:right w:val="none" w:sz="0" w:space="0" w:color="auto"/>
      </w:divBdr>
    </w:div>
    <w:div w:id="751396585">
      <w:bodyDiv w:val="1"/>
      <w:marLeft w:val="0"/>
      <w:marRight w:val="0"/>
      <w:marTop w:val="0"/>
      <w:marBottom w:val="0"/>
      <w:divBdr>
        <w:top w:val="none" w:sz="0" w:space="0" w:color="auto"/>
        <w:left w:val="none" w:sz="0" w:space="0" w:color="auto"/>
        <w:bottom w:val="none" w:sz="0" w:space="0" w:color="auto"/>
        <w:right w:val="none" w:sz="0" w:space="0" w:color="auto"/>
      </w:divBdr>
      <w:divsChild>
        <w:div w:id="812790532">
          <w:marLeft w:val="0"/>
          <w:marRight w:val="0"/>
          <w:marTop w:val="0"/>
          <w:marBottom w:val="0"/>
          <w:divBdr>
            <w:top w:val="none" w:sz="0" w:space="0" w:color="auto"/>
            <w:left w:val="none" w:sz="0" w:space="0" w:color="auto"/>
            <w:bottom w:val="none" w:sz="0" w:space="0" w:color="auto"/>
            <w:right w:val="none" w:sz="0" w:space="0" w:color="auto"/>
          </w:divBdr>
          <w:divsChild>
            <w:div w:id="1337463724">
              <w:marLeft w:val="0"/>
              <w:marRight w:val="0"/>
              <w:marTop w:val="0"/>
              <w:marBottom w:val="0"/>
              <w:divBdr>
                <w:top w:val="none" w:sz="0" w:space="0" w:color="auto"/>
                <w:left w:val="none" w:sz="0" w:space="0" w:color="auto"/>
                <w:bottom w:val="none" w:sz="0" w:space="0" w:color="auto"/>
                <w:right w:val="none" w:sz="0" w:space="0" w:color="auto"/>
              </w:divBdr>
              <w:divsChild>
                <w:div w:id="1558515395">
                  <w:marLeft w:val="0"/>
                  <w:marRight w:val="0"/>
                  <w:marTop w:val="0"/>
                  <w:marBottom w:val="0"/>
                  <w:divBdr>
                    <w:top w:val="none" w:sz="0" w:space="0" w:color="auto"/>
                    <w:left w:val="none" w:sz="0" w:space="0" w:color="auto"/>
                    <w:bottom w:val="none" w:sz="0" w:space="0" w:color="auto"/>
                    <w:right w:val="none" w:sz="0" w:space="0" w:color="auto"/>
                  </w:divBdr>
                  <w:divsChild>
                    <w:div w:id="1587763329">
                      <w:marLeft w:val="0"/>
                      <w:marRight w:val="0"/>
                      <w:marTop w:val="0"/>
                      <w:marBottom w:val="375"/>
                      <w:divBdr>
                        <w:top w:val="none" w:sz="0" w:space="0" w:color="auto"/>
                        <w:left w:val="none" w:sz="0" w:space="0" w:color="auto"/>
                        <w:bottom w:val="none" w:sz="0" w:space="0" w:color="auto"/>
                        <w:right w:val="none" w:sz="0" w:space="0" w:color="auto"/>
                      </w:divBdr>
                      <w:divsChild>
                        <w:div w:id="5284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663170">
      <w:bodyDiv w:val="1"/>
      <w:marLeft w:val="0"/>
      <w:marRight w:val="0"/>
      <w:marTop w:val="0"/>
      <w:marBottom w:val="0"/>
      <w:divBdr>
        <w:top w:val="none" w:sz="0" w:space="0" w:color="auto"/>
        <w:left w:val="none" w:sz="0" w:space="0" w:color="auto"/>
        <w:bottom w:val="none" w:sz="0" w:space="0" w:color="auto"/>
        <w:right w:val="none" w:sz="0" w:space="0" w:color="auto"/>
      </w:divBdr>
      <w:divsChild>
        <w:div w:id="378823251">
          <w:marLeft w:val="0"/>
          <w:marRight w:val="0"/>
          <w:marTop w:val="0"/>
          <w:marBottom w:val="0"/>
          <w:divBdr>
            <w:top w:val="none" w:sz="0" w:space="0" w:color="auto"/>
            <w:left w:val="none" w:sz="0" w:space="0" w:color="auto"/>
            <w:bottom w:val="none" w:sz="0" w:space="0" w:color="auto"/>
            <w:right w:val="none" w:sz="0" w:space="0" w:color="auto"/>
          </w:divBdr>
          <w:divsChild>
            <w:div w:id="976566727">
              <w:marLeft w:val="0"/>
              <w:marRight w:val="0"/>
              <w:marTop w:val="0"/>
              <w:marBottom w:val="0"/>
              <w:divBdr>
                <w:top w:val="none" w:sz="0" w:space="0" w:color="auto"/>
                <w:left w:val="none" w:sz="0" w:space="0" w:color="auto"/>
                <w:bottom w:val="none" w:sz="0" w:space="0" w:color="auto"/>
                <w:right w:val="none" w:sz="0" w:space="0" w:color="auto"/>
              </w:divBdr>
              <w:divsChild>
                <w:div w:id="954677647">
                  <w:marLeft w:val="0"/>
                  <w:marRight w:val="0"/>
                  <w:marTop w:val="0"/>
                  <w:marBottom w:val="0"/>
                  <w:divBdr>
                    <w:top w:val="none" w:sz="0" w:space="0" w:color="auto"/>
                    <w:left w:val="none" w:sz="0" w:space="0" w:color="auto"/>
                    <w:bottom w:val="none" w:sz="0" w:space="0" w:color="auto"/>
                    <w:right w:val="none" w:sz="0" w:space="0" w:color="auto"/>
                  </w:divBdr>
                  <w:divsChild>
                    <w:div w:id="1041592666">
                      <w:marLeft w:val="0"/>
                      <w:marRight w:val="0"/>
                      <w:marTop w:val="0"/>
                      <w:marBottom w:val="0"/>
                      <w:divBdr>
                        <w:top w:val="none" w:sz="0" w:space="0" w:color="auto"/>
                        <w:left w:val="none" w:sz="0" w:space="0" w:color="auto"/>
                        <w:bottom w:val="none" w:sz="0" w:space="0" w:color="auto"/>
                        <w:right w:val="none" w:sz="0" w:space="0" w:color="auto"/>
                      </w:divBdr>
                      <w:divsChild>
                        <w:div w:id="1793396488">
                          <w:marLeft w:val="0"/>
                          <w:marRight w:val="0"/>
                          <w:marTop w:val="0"/>
                          <w:marBottom w:val="0"/>
                          <w:divBdr>
                            <w:top w:val="none" w:sz="0" w:space="0" w:color="auto"/>
                            <w:left w:val="none" w:sz="0" w:space="0" w:color="auto"/>
                            <w:bottom w:val="none" w:sz="0" w:space="0" w:color="auto"/>
                            <w:right w:val="none" w:sz="0" w:space="0" w:color="auto"/>
                          </w:divBdr>
                          <w:divsChild>
                            <w:div w:id="1555964726">
                              <w:marLeft w:val="0"/>
                              <w:marRight w:val="0"/>
                              <w:marTop w:val="0"/>
                              <w:marBottom w:val="0"/>
                              <w:divBdr>
                                <w:top w:val="none" w:sz="0" w:space="0" w:color="auto"/>
                                <w:left w:val="none" w:sz="0" w:space="0" w:color="auto"/>
                                <w:bottom w:val="none" w:sz="0" w:space="0" w:color="auto"/>
                                <w:right w:val="none" w:sz="0" w:space="0" w:color="auto"/>
                              </w:divBdr>
                              <w:divsChild>
                                <w:div w:id="1173179593">
                                  <w:marLeft w:val="0"/>
                                  <w:marRight w:val="0"/>
                                  <w:marTop w:val="0"/>
                                  <w:marBottom w:val="0"/>
                                  <w:divBdr>
                                    <w:top w:val="none" w:sz="0" w:space="0" w:color="auto"/>
                                    <w:left w:val="none" w:sz="0" w:space="0" w:color="auto"/>
                                    <w:bottom w:val="none" w:sz="0" w:space="0" w:color="auto"/>
                                    <w:right w:val="none" w:sz="0" w:space="0" w:color="auto"/>
                                  </w:divBdr>
                                  <w:divsChild>
                                    <w:div w:id="933704279">
                                      <w:marLeft w:val="0"/>
                                      <w:marRight w:val="0"/>
                                      <w:marTop w:val="0"/>
                                      <w:marBottom w:val="0"/>
                                      <w:divBdr>
                                        <w:top w:val="none" w:sz="0" w:space="0" w:color="auto"/>
                                        <w:left w:val="none" w:sz="0" w:space="0" w:color="auto"/>
                                        <w:bottom w:val="none" w:sz="0" w:space="0" w:color="auto"/>
                                        <w:right w:val="none" w:sz="0" w:space="0" w:color="auto"/>
                                      </w:divBdr>
                                      <w:divsChild>
                                        <w:div w:id="1892033703">
                                          <w:marLeft w:val="0"/>
                                          <w:marRight w:val="0"/>
                                          <w:marTop w:val="0"/>
                                          <w:marBottom w:val="0"/>
                                          <w:divBdr>
                                            <w:top w:val="none" w:sz="0" w:space="0" w:color="auto"/>
                                            <w:left w:val="none" w:sz="0" w:space="0" w:color="auto"/>
                                            <w:bottom w:val="none" w:sz="0" w:space="0" w:color="auto"/>
                                            <w:right w:val="none" w:sz="0" w:space="0" w:color="auto"/>
                                          </w:divBdr>
                                          <w:divsChild>
                                            <w:div w:id="261306348">
                                              <w:marLeft w:val="0"/>
                                              <w:marRight w:val="0"/>
                                              <w:marTop w:val="0"/>
                                              <w:marBottom w:val="0"/>
                                              <w:divBdr>
                                                <w:top w:val="none" w:sz="0" w:space="0" w:color="auto"/>
                                                <w:left w:val="none" w:sz="0" w:space="0" w:color="auto"/>
                                                <w:bottom w:val="none" w:sz="0" w:space="0" w:color="auto"/>
                                                <w:right w:val="none" w:sz="0" w:space="0" w:color="auto"/>
                                              </w:divBdr>
                                              <w:divsChild>
                                                <w:div w:id="1488402553">
                                                  <w:marLeft w:val="0"/>
                                                  <w:marRight w:val="0"/>
                                                  <w:marTop w:val="0"/>
                                                  <w:marBottom w:val="0"/>
                                                  <w:divBdr>
                                                    <w:top w:val="none" w:sz="0" w:space="0" w:color="auto"/>
                                                    <w:left w:val="none" w:sz="0" w:space="0" w:color="auto"/>
                                                    <w:bottom w:val="none" w:sz="0" w:space="0" w:color="auto"/>
                                                    <w:right w:val="none" w:sz="0" w:space="0" w:color="auto"/>
                                                  </w:divBdr>
                                                  <w:divsChild>
                                                    <w:div w:id="2074228575">
                                                      <w:marLeft w:val="0"/>
                                                      <w:marRight w:val="0"/>
                                                      <w:marTop w:val="0"/>
                                                      <w:marBottom w:val="0"/>
                                                      <w:divBdr>
                                                        <w:top w:val="none" w:sz="0" w:space="0" w:color="auto"/>
                                                        <w:left w:val="none" w:sz="0" w:space="0" w:color="auto"/>
                                                        <w:bottom w:val="none" w:sz="0" w:space="0" w:color="auto"/>
                                                        <w:right w:val="none" w:sz="0" w:space="0" w:color="auto"/>
                                                      </w:divBdr>
                                                      <w:divsChild>
                                                        <w:div w:id="852574489">
                                                          <w:marLeft w:val="0"/>
                                                          <w:marRight w:val="0"/>
                                                          <w:marTop w:val="0"/>
                                                          <w:marBottom w:val="0"/>
                                                          <w:divBdr>
                                                            <w:top w:val="none" w:sz="0" w:space="0" w:color="auto"/>
                                                            <w:left w:val="none" w:sz="0" w:space="0" w:color="auto"/>
                                                            <w:bottom w:val="none" w:sz="0" w:space="0" w:color="auto"/>
                                                            <w:right w:val="none" w:sz="0" w:space="0" w:color="auto"/>
                                                          </w:divBdr>
                                                          <w:divsChild>
                                                            <w:div w:id="394740912">
                                                              <w:marLeft w:val="0"/>
                                                              <w:marRight w:val="0"/>
                                                              <w:marTop w:val="0"/>
                                                              <w:marBottom w:val="0"/>
                                                              <w:divBdr>
                                                                <w:top w:val="none" w:sz="0" w:space="0" w:color="auto"/>
                                                                <w:left w:val="none" w:sz="0" w:space="0" w:color="auto"/>
                                                                <w:bottom w:val="none" w:sz="0" w:space="0" w:color="auto"/>
                                                                <w:right w:val="none" w:sz="0" w:space="0" w:color="auto"/>
                                                              </w:divBdr>
                                                              <w:divsChild>
                                                                <w:div w:id="1096829891">
                                                                  <w:marLeft w:val="0"/>
                                                                  <w:marRight w:val="0"/>
                                                                  <w:marTop w:val="0"/>
                                                                  <w:marBottom w:val="0"/>
                                                                  <w:divBdr>
                                                                    <w:top w:val="none" w:sz="0" w:space="0" w:color="auto"/>
                                                                    <w:left w:val="none" w:sz="0" w:space="0" w:color="auto"/>
                                                                    <w:bottom w:val="none" w:sz="0" w:space="0" w:color="auto"/>
                                                                    <w:right w:val="none" w:sz="0" w:space="0" w:color="auto"/>
                                                                  </w:divBdr>
                                                                  <w:divsChild>
                                                                    <w:div w:id="1513257304">
                                                                      <w:marLeft w:val="0"/>
                                                                      <w:marRight w:val="0"/>
                                                                      <w:marTop w:val="0"/>
                                                                      <w:marBottom w:val="0"/>
                                                                      <w:divBdr>
                                                                        <w:top w:val="none" w:sz="0" w:space="0" w:color="auto"/>
                                                                        <w:left w:val="none" w:sz="0" w:space="0" w:color="auto"/>
                                                                        <w:bottom w:val="none" w:sz="0" w:space="0" w:color="auto"/>
                                                                        <w:right w:val="none" w:sz="0" w:space="0" w:color="auto"/>
                                                                      </w:divBdr>
                                                                      <w:divsChild>
                                                                        <w:div w:id="576742322">
                                                                          <w:marLeft w:val="0"/>
                                                                          <w:marRight w:val="0"/>
                                                                          <w:marTop w:val="0"/>
                                                                          <w:marBottom w:val="0"/>
                                                                          <w:divBdr>
                                                                            <w:top w:val="none" w:sz="0" w:space="0" w:color="auto"/>
                                                                            <w:left w:val="none" w:sz="0" w:space="0" w:color="auto"/>
                                                                            <w:bottom w:val="none" w:sz="0" w:space="0" w:color="auto"/>
                                                                            <w:right w:val="none" w:sz="0" w:space="0" w:color="auto"/>
                                                                          </w:divBdr>
                                                                          <w:divsChild>
                                                                            <w:div w:id="3129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2044400">
      <w:bodyDiv w:val="1"/>
      <w:marLeft w:val="0"/>
      <w:marRight w:val="0"/>
      <w:marTop w:val="0"/>
      <w:marBottom w:val="0"/>
      <w:divBdr>
        <w:top w:val="none" w:sz="0" w:space="0" w:color="auto"/>
        <w:left w:val="none" w:sz="0" w:space="0" w:color="auto"/>
        <w:bottom w:val="none" w:sz="0" w:space="0" w:color="auto"/>
        <w:right w:val="none" w:sz="0" w:space="0" w:color="auto"/>
      </w:divBdr>
      <w:divsChild>
        <w:div w:id="1027607013">
          <w:marLeft w:val="0"/>
          <w:marRight w:val="0"/>
          <w:marTop w:val="0"/>
          <w:marBottom w:val="0"/>
          <w:divBdr>
            <w:top w:val="none" w:sz="0" w:space="0" w:color="auto"/>
            <w:left w:val="none" w:sz="0" w:space="0" w:color="auto"/>
            <w:bottom w:val="none" w:sz="0" w:space="0" w:color="auto"/>
            <w:right w:val="none" w:sz="0" w:space="0" w:color="auto"/>
          </w:divBdr>
          <w:divsChild>
            <w:div w:id="1742949153">
              <w:marLeft w:val="0"/>
              <w:marRight w:val="0"/>
              <w:marTop w:val="0"/>
              <w:marBottom w:val="0"/>
              <w:divBdr>
                <w:top w:val="none" w:sz="0" w:space="0" w:color="auto"/>
                <w:left w:val="none" w:sz="0" w:space="0" w:color="auto"/>
                <w:bottom w:val="none" w:sz="0" w:space="0" w:color="auto"/>
                <w:right w:val="none" w:sz="0" w:space="0" w:color="auto"/>
              </w:divBdr>
              <w:divsChild>
                <w:div w:id="741487625">
                  <w:marLeft w:val="0"/>
                  <w:marRight w:val="0"/>
                  <w:marTop w:val="0"/>
                  <w:marBottom w:val="0"/>
                  <w:divBdr>
                    <w:top w:val="none" w:sz="0" w:space="0" w:color="auto"/>
                    <w:left w:val="none" w:sz="0" w:space="0" w:color="auto"/>
                    <w:bottom w:val="none" w:sz="0" w:space="0" w:color="auto"/>
                    <w:right w:val="none" w:sz="0" w:space="0" w:color="auto"/>
                  </w:divBdr>
                  <w:divsChild>
                    <w:div w:id="1879775678">
                      <w:marLeft w:val="0"/>
                      <w:marRight w:val="0"/>
                      <w:marTop w:val="0"/>
                      <w:marBottom w:val="375"/>
                      <w:divBdr>
                        <w:top w:val="none" w:sz="0" w:space="0" w:color="auto"/>
                        <w:left w:val="none" w:sz="0" w:space="0" w:color="auto"/>
                        <w:bottom w:val="none" w:sz="0" w:space="0" w:color="auto"/>
                        <w:right w:val="none" w:sz="0" w:space="0" w:color="auto"/>
                      </w:divBdr>
                      <w:divsChild>
                        <w:div w:id="6574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323993">
      <w:bodyDiv w:val="1"/>
      <w:marLeft w:val="0"/>
      <w:marRight w:val="0"/>
      <w:marTop w:val="0"/>
      <w:marBottom w:val="0"/>
      <w:divBdr>
        <w:top w:val="none" w:sz="0" w:space="0" w:color="auto"/>
        <w:left w:val="none" w:sz="0" w:space="0" w:color="auto"/>
        <w:bottom w:val="none" w:sz="0" w:space="0" w:color="auto"/>
        <w:right w:val="none" w:sz="0" w:space="0" w:color="auto"/>
      </w:divBdr>
      <w:divsChild>
        <w:div w:id="686951209">
          <w:marLeft w:val="0"/>
          <w:marRight w:val="0"/>
          <w:marTop w:val="0"/>
          <w:marBottom w:val="0"/>
          <w:divBdr>
            <w:top w:val="none" w:sz="0" w:space="0" w:color="auto"/>
            <w:left w:val="none" w:sz="0" w:space="0" w:color="auto"/>
            <w:bottom w:val="none" w:sz="0" w:space="0" w:color="auto"/>
            <w:right w:val="none" w:sz="0" w:space="0" w:color="auto"/>
          </w:divBdr>
          <w:divsChild>
            <w:div w:id="533230421">
              <w:marLeft w:val="0"/>
              <w:marRight w:val="0"/>
              <w:marTop w:val="0"/>
              <w:marBottom w:val="0"/>
              <w:divBdr>
                <w:top w:val="none" w:sz="0" w:space="0" w:color="auto"/>
                <w:left w:val="none" w:sz="0" w:space="0" w:color="auto"/>
                <w:bottom w:val="none" w:sz="0" w:space="0" w:color="auto"/>
                <w:right w:val="none" w:sz="0" w:space="0" w:color="auto"/>
              </w:divBdr>
              <w:divsChild>
                <w:div w:id="1980645751">
                  <w:marLeft w:val="0"/>
                  <w:marRight w:val="0"/>
                  <w:marTop w:val="0"/>
                  <w:marBottom w:val="0"/>
                  <w:divBdr>
                    <w:top w:val="none" w:sz="0" w:space="0" w:color="auto"/>
                    <w:left w:val="none" w:sz="0" w:space="0" w:color="auto"/>
                    <w:bottom w:val="none" w:sz="0" w:space="0" w:color="auto"/>
                    <w:right w:val="none" w:sz="0" w:space="0" w:color="auto"/>
                  </w:divBdr>
                  <w:divsChild>
                    <w:div w:id="1795177416">
                      <w:marLeft w:val="0"/>
                      <w:marRight w:val="0"/>
                      <w:marTop w:val="0"/>
                      <w:marBottom w:val="300"/>
                      <w:divBdr>
                        <w:top w:val="none" w:sz="0" w:space="0" w:color="auto"/>
                        <w:left w:val="none" w:sz="0" w:space="0" w:color="auto"/>
                        <w:bottom w:val="none" w:sz="0" w:space="0" w:color="auto"/>
                        <w:right w:val="none" w:sz="0" w:space="0" w:color="auto"/>
                      </w:divBdr>
                      <w:divsChild>
                        <w:div w:id="190336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139369">
      <w:bodyDiv w:val="1"/>
      <w:marLeft w:val="0"/>
      <w:marRight w:val="0"/>
      <w:marTop w:val="0"/>
      <w:marBottom w:val="0"/>
      <w:divBdr>
        <w:top w:val="none" w:sz="0" w:space="0" w:color="auto"/>
        <w:left w:val="none" w:sz="0" w:space="0" w:color="auto"/>
        <w:bottom w:val="none" w:sz="0" w:space="0" w:color="auto"/>
        <w:right w:val="none" w:sz="0" w:space="0" w:color="auto"/>
      </w:divBdr>
      <w:divsChild>
        <w:div w:id="306782919">
          <w:marLeft w:val="0"/>
          <w:marRight w:val="0"/>
          <w:marTop w:val="0"/>
          <w:marBottom w:val="0"/>
          <w:divBdr>
            <w:top w:val="none" w:sz="0" w:space="0" w:color="auto"/>
            <w:left w:val="none" w:sz="0" w:space="0" w:color="auto"/>
            <w:bottom w:val="none" w:sz="0" w:space="0" w:color="auto"/>
            <w:right w:val="none" w:sz="0" w:space="0" w:color="auto"/>
          </w:divBdr>
          <w:divsChild>
            <w:div w:id="1292251086">
              <w:marLeft w:val="0"/>
              <w:marRight w:val="0"/>
              <w:marTop w:val="0"/>
              <w:marBottom w:val="0"/>
              <w:divBdr>
                <w:top w:val="none" w:sz="0" w:space="0" w:color="auto"/>
                <w:left w:val="none" w:sz="0" w:space="0" w:color="auto"/>
                <w:bottom w:val="none" w:sz="0" w:space="0" w:color="auto"/>
                <w:right w:val="none" w:sz="0" w:space="0" w:color="auto"/>
              </w:divBdr>
              <w:divsChild>
                <w:div w:id="84229129">
                  <w:marLeft w:val="0"/>
                  <w:marRight w:val="0"/>
                  <w:marTop w:val="0"/>
                  <w:marBottom w:val="0"/>
                  <w:divBdr>
                    <w:top w:val="none" w:sz="0" w:space="0" w:color="auto"/>
                    <w:left w:val="none" w:sz="0" w:space="0" w:color="auto"/>
                    <w:bottom w:val="none" w:sz="0" w:space="0" w:color="auto"/>
                    <w:right w:val="none" w:sz="0" w:space="0" w:color="auto"/>
                  </w:divBdr>
                  <w:divsChild>
                    <w:div w:id="1033074596">
                      <w:marLeft w:val="0"/>
                      <w:marRight w:val="0"/>
                      <w:marTop w:val="0"/>
                      <w:marBottom w:val="300"/>
                      <w:divBdr>
                        <w:top w:val="none" w:sz="0" w:space="0" w:color="auto"/>
                        <w:left w:val="none" w:sz="0" w:space="0" w:color="auto"/>
                        <w:bottom w:val="none" w:sz="0" w:space="0" w:color="auto"/>
                        <w:right w:val="none" w:sz="0" w:space="0" w:color="auto"/>
                      </w:divBdr>
                      <w:divsChild>
                        <w:div w:id="106641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452642">
      <w:bodyDiv w:val="1"/>
      <w:marLeft w:val="0"/>
      <w:marRight w:val="0"/>
      <w:marTop w:val="0"/>
      <w:marBottom w:val="0"/>
      <w:divBdr>
        <w:top w:val="none" w:sz="0" w:space="0" w:color="auto"/>
        <w:left w:val="none" w:sz="0" w:space="0" w:color="auto"/>
        <w:bottom w:val="none" w:sz="0" w:space="0" w:color="auto"/>
        <w:right w:val="none" w:sz="0" w:space="0" w:color="auto"/>
      </w:divBdr>
      <w:divsChild>
        <w:div w:id="1911227226">
          <w:marLeft w:val="0"/>
          <w:marRight w:val="0"/>
          <w:marTop w:val="240"/>
          <w:marBottom w:val="0"/>
          <w:divBdr>
            <w:top w:val="none" w:sz="0" w:space="0" w:color="auto"/>
            <w:left w:val="none" w:sz="0" w:space="0" w:color="auto"/>
            <w:bottom w:val="none" w:sz="0" w:space="0" w:color="auto"/>
            <w:right w:val="none" w:sz="0" w:space="0" w:color="auto"/>
          </w:divBdr>
          <w:divsChild>
            <w:div w:id="1764303600">
              <w:marLeft w:val="0"/>
              <w:marRight w:val="0"/>
              <w:marTop w:val="240"/>
              <w:marBottom w:val="0"/>
              <w:divBdr>
                <w:top w:val="none" w:sz="0" w:space="0" w:color="auto"/>
                <w:left w:val="none" w:sz="0" w:space="0" w:color="auto"/>
                <w:bottom w:val="none" w:sz="0" w:space="0" w:color="auto"/>
                <w:right w:val="none" w:sz="0" w:space="0" w:color="auto"/>
              </w:divBdr>
            </w:div>
          </w:divsChild>
        </w:div>
        <w:div w:id="261036414">
          <w:marLeft w:val="0"/>
          <w:marRight w:val="0"/>
          <w:marTop w:val="240"/>
          <w:marBottom w:val="0"/>
          <w:divBdr>
            <w:top w:val="none" w:sz="0" w:space="0" w:color="auto"/>
            <w:left w:val="none" w:sz="0" w:space="0" w:color="auto"/>
            <w:bottom w:val="none" w:sz="0" w:space="0" w:color="auto"/>
            <w:right w:val="none" w:sz="0" w:space="0" w:color="auto"/>
          </w:divBdr>
          <w:divsChild>
            <w:div w:id="558513621">
              <w:marLeft w:val="0"/>
              <w:marRight w:val="0"/>
              <w:marTop w:val="0"/>
              <w:marBottom w:val="0"/>
              <w:divBdr>
                <w:top w:val="none" w:sz="0" w:space="0" w:color="auto"/>
                <w:left w:val="none" w:sz="0" w:space="0" w:color="auto"/>
                <w:bottom w:val="none" w:sz="0" w:space="0" w:color="auto"/>
                <w:right w:val="none" w:sz="0" w:space="0" w:color="auto"/>
              </w:divBdr>
            </w:div>
            <w:div w:id="1869489812">
              <w:marLeft w:val="0"/>
              <w:marRight w:val="0"/>
              <w:marTop w:val="240"/>
              <w:marBottom w:val="0"/>
              <w:divBdr>
                <w:top w:val="none" w:sz="0" w:space="0" w:color="auto"/>
                <w:left w:val="none" w:sz="0" w:space="0" w:color="auto"/>
                <w:bottom w:val="none" w:sz="0" w:space="0" w:color="auto"/>
                <w:right w:val="none" w:sz="0" w:space="0" w:color="auto"/>
              </w:divBdr>
              <w:divsChild>
                <w:div w:id="978723271">
                  <w:marLeft w:val="0"/>
                  <w:marRight w:val="0"/>
                  <w:marTop w:val="0"/>
                  <w:marBottom w:val="0"/>
                  <w:divBdr>
                    <w:top w:val="none" w:sz="0" w:space="0" w:color="auto"/>
                    <w:left w:val="none" w:sz="0" w:space="0" w:color="auto"/>
                    <w:bottom w:val="none" w:sz="0" w:space="0" w:color="auto"/>
                    <w:right w:val="none" w:sz="0" w:space="0" w:color="auto"/>
                  </w:divBdr>
                  <w:divsChild>
                    <w:div w:id="1009601526">
                      <w:blockQuote w:val="1"/>
                      <w:marLeft w:val="0"/>
                      <w:marRight w:val="0"/>
                      <w:marTop w:val="0"/>
                      <w:marBottom w:val="0"/>
                      <w:divBdr>
                        <w:top w:val="none" w:sz="0" w:space="0" w:color="auto"/>
                        <w:left w:val="none" w:sz="0" w:space="0" w:color="auto"/>
                        <w:bottom w:val="none" w:sz="0" w:space="0" w:color="auto"/>
                        <w:right w:val="none" w:sz="0" w:space="0" w:color="auto"/>
                      </w:divBdr>
                      <w:divsChild>
                        <w:div w:id="7934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741783">
              <w:marLeft w:val="0"/>
              <w:marRight w:val="0"/>
              <w:marTop w:val="240"/>
              <w:marBottom w:val="0"/>
              <w:divBdr>
                <w:top w:val="none" w:sz="0" w:space="0" w:color="auto"/>
                <w:left w:val="none" w:sz="0" w:space="0" w:color="auto"/>
                <w:bottom w:val="none" w:sz="0" w:space="0" w:color="auto"/>
                <w:right w:val="none" w:sz="0" w:space="0" w:color="auto"/>
              </w:divBdr>
            </w:div>
          </w:divsChild>
        </w:div>
        <w:div w:id="1809743258">
          <w:marLeft w:val="0"/>
          <w:marRight w:val="0"/>
          <w:marTop w:val="240"/>
          <w:marBottom w:val="0"/>
          <w:divBdr>
            <w:top w:val="none" w:sz="0" w:space="0" w:color="auto"/>
            <w:left w:val="none" w:sz="0" w:space="0" w:color="auto"/>
            <w:bottom w:val="none" w:sz="0" w:space="0" w:color="auto"/>
            <w:right w:val="none" w:sz="0" w:space="0" w:color="auto"/>
          </w:divBdr>
          <w:divsChild>
            <w:div w:id="1937665421">
              <w:marLeft w:val="0"/>
              <w:marRight w:val="0"/>
              <w:marTop w:val="0"/>
              <w:marBottom w:val="0"/>
              <w:divBdr>
                <w:top w:val="none" w:sz="0" w:space="0" w:color="auto"/>
                <w:left w:val="none" w:sz="0" w:space="0" w:color="auto"/>
                <w:bottom w:val="none" w:sz="0" w:space="0" w:color="auto"/>
                <w:right w:val="none" w:sz="0" w:space="0" w:color="auto"/>
              </w:divBdr>
            </w:div>
          </w:divsChild>
        </w:div>
        <w:div w:id="151878542">
          <w:marLeft w:val="0"/>
          <w:marRight w:val="0"/>
          <w:marTop w:val="240"/>
          <w:marBottom w:val="0"/>
          <w:divBdr>
            <w:top w:val="none" w:sz="0" w:space="0" w:color="auto"/>
            <w:left w:val="none" w:sz="0" w:space="0" w:color="auto"/>
            <w:bottom w:val="none" w:sz="0" w:space="0" w:color="auto"/>
            <w:right w:val="none" w:sz="0" w:space="0" w:color="auto"/>
          </w:divBdr>
          <w:divsChild>
            <w:div w:id="8055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8583">
      <w:bodyDiv w:val="1"/>
      <w:marLeft w:val="0"/>
      <w:marRight w:val="0"/>
      <w:marTop w:val="0"/>
      <w:marBottom w:val="0"/>
      <w:divBdr>
        <w:top w:val="none" w:sz="0" w:space="0" w:color="auto"/>
        <w:left w:val="none" w:sz="0" w:space="0" w:color="auto"/>
        <w:bottom w:val="none" w:sz="0" w:space="0" w:color="auto"/>
        <w:right w:val="none" w:sz="0" w:space="0" w:color="auto"/>
      </w:divBdr>
      <w:divsChild>
        <w:div w:id="1005326949">
          <w:marLeft w:val="0"/>
          <w:marRight w:val="0"/>
          <w:marTop w:val="0"/>
          <w:marBottom w:val="0"/>
          <w:divBdr>
            <w:top w:val="none" w:sz="0" w:space="0" w:color="auto"/>
            <w:left w:val="single" w:sz="6" w:space="0" w:color="BBBBBB"/>
            <w:bottom w:val="single" w:sz="6" w:space="0" w:color="BBBBBB"/>
            <w:right w:val="single" w:sz="6" w:space="0" w:color="BBBBBB"/>
          </w:divBdr>
          <w:divsChild>
            <w:div w:id="37899878">
              <w:marLeft w:val="0"/>
              <w:marRight w:val="0"/>
              <w:marTop w:val="0"/>
              <w:marBottom w:val="0"/>
              <w:divBdr>
                <w:top w:val="none" w:sz="0" w:space="0" w:color="auto"/>
                <w:left w:val="none" w:sz="0" w:space="0" w:color="auto"/>
                <w:bottom w:val="none" w:sz="0" w:space="0" w:color="auto"/>
                <w:right w:val="none" w:sz="0" w:space="0" w:color="auto"/>
              </w:divBdr>
              <w:divsChild>
                <w:div w:id="1417753310">
                  <w:marLeft w:val="0"/>
                  <w:marRight w:val="0"/>
                  <w:marTop w:val="75"/>
                  <w:marBottom w:val="0"/>
                  <w:divBdr>
                    <w:top w:val="none" w:sz="0" w:space="0" w:color="auto"/>
                    <w:left w:val="none" w:sz="0" w:space="0" w:color="auto"/>
                    <w:bottom w:val="none" w:sz="0" w:space="0" w:color="auto"/>
                    <w:right w:val="none" w:sz="0" w:space="0" w:color="auto"/>
                  </w:divBdr>
                  <w:divsChild>
                    <w:div w:id="301889393">
                      <w:marLeft w:val="0"/>
                      <w:marRight w:val="0"/>
                      <w:marTop w:val="0"/>
                      <w:marBottom w:val="0"/>
                      <w:divBdr>
                        <w:top w:val="none" w:sz="0" w:space="0" w:color="auto"/>
                        <w:left w:val="none" w:sz="0" w:space="0" w:color="auto"/>
                        <w:bottom w:val="none" w:sz="0" w:space="0" w:color="auto"/>
                        <w:right w:val="none" w:sz="0" w:space="0" w:color="auto"/>
                      </w:divBdr>
                      <w:divsChild>
                        <w:div w:id="326330783">
                          <w:marLeft w:val="0"/>
                          <w:marRight w:val="0"/>
                          <w:marTop w:val="0"/>
                          <w:marBottom w:val="0"/>
                          <w:divBdr>
                            <w:top w:val="none" w:sz="0" w:space="0" w:color="auto"/>
                            <w:left w:val="none" w:sz="0" w:space="0" w:color="auto"/>
                            <w:bottom w:val="none" w:sz="0" w:space="0" w:color="auto"/>
                            <w:right w:val="none" w:sz="0" w:space="0" w:color="auto"/>
                          </w:divBdr>
                          <w:divsChild>
                            <w:div w:id="1241020815">
                              <w:marLeft w:val="0"/>
                              <w:marRight w:val="0"/>
                              <w:marTop w:val="0"/>
                              <w:marBottom w:val="0"/>
                              <w:divBdr>
                                <w:top w:val="none" w:sz="0" w:space="0" w:color="auto"/>
                                <w:left w:val="none" w:sz="0" w:space="0" w:color="auto"/>
                                <w:bottom w:val="none" w:sz="0" w:space="0" w:color="auto"/>
                                <w:right w:val="none" w:sz="0" w:space="0" w:color="auto"/>
                              </w:divBdr>
                              <w:divsChild>
                                <w:div w:id="1087848010">
                                  <w:marLeft w:val="0"/>
                                  <w:marRight w:val="0"/>
                                  <w:marTop w:val="0"/>
                                  <w:marBottom w:val="0"/>
                                  <w:divBdr>
                                    <w:top w:val="none" w:sz="0" w:space="0" w:color="auto"/>
                                    <w:left w:val="none" w:sz="0" w:space="0" w:color="auto"/>
                                    <w:bottom w:val="none" w:sz="0" w:space="0" w:color="auto"/>
                                    <w:right w:val="none" w:sz="0" w:space="0" w:color="auto"/>
                                  </w:divBdr>
                                  <w:divsChild>
                                    <w:div w:id="578297426">
                                      <w:marLeft w:val="0"/>
                                      <w:marRight w:val="0"/>
                                      <w:marTop w:val="0"/>
                                      <w:marBottom w:val="0"/>
                                      <w:divBdr>
                                        <w:top w:val="none" w:sz="0" w:space="0" w:color="auto"/>
                                        <w:left w:val="none" w:sz="0" w:space="0" w:color="auto"/>
                                        <w:bottom w:val="none" w:sz="0" w:space="0" w:color="auto"/>
                                        <w:right w:val="none" w:sz="0" w:space="0" w:color="auto"/>
                                      </w:divBdr>
                                      <w:divsChild>
                                        <w:div w:id="1746880751">
                                          <w:marLeft w:val="1200"/>
                                          <w:marRight w:val="1200"/>
                                          <w:marTop w:val="0"/>
                                          <w:marBottom w:val="0"/>
                                          <w:divBdr>
                                            <w:top w:val="none" w:sz="0" w:space="0" w:color="auto"/>
                                            <w:left w:val="none" w:sz="0" w:space="0" w:color="auto"/>
                                            <w:bottom w:val="none" w:sz="0" w:space="0" w:color="auto"/>
                                            <w:right w:val="none" w:sz="0" w:space="0" w:color="auto"/>
                                          </w:divBdr>
                                          <w:divsChild>
                                            <w:div w:id="1668367277">
                                              <w:marLeft w:val="0"/>
                                              <w:marRight w:val="0"/>
                                              <w:marTop w:val="0"/>
                                              <w:marBottom w:val="0"/>
                                              <w:divBdr>
                                                <w:top w:val="none" w:sz="0" w:space="0" w:color="auto"/>
                                                <w:left w:val="none" w:sz="0" w:space="0" w:color="auto"/>
                                                <w:bottom w:val="none" w:sz="0" w:space="0" w:color="auto"/>
                                                <w:right w:val="none" w:sz="0" w:space="0" w:color="auto"/>
                                              </w:divBdr>
                                              <w:divsChild>
                                                <w:div w:id="1516458516">
                                                  <w:marLeft w:val="0"/>
                                                  <w:marRight w:val="0"/>
                                                  <w:marTop w:val="0"/>
                                                  <w:marBottom w:val="0"/>
                                                  <w:divBdr>
                                                    <w:top w:val="none" w:sz="0" w:space="0" w:color="auto"/>
                                                    <w:left w:val="none" w:sz="0" w:space="0" w:color="auto"/>
                                                    <w:bottom w:val="none" w:sz="0" w:space="0" w:color="auto"/>
                                                    <w:right w:val="none" w:sz="0" w:space="0" w:color="auto"/>
                                                  </w:divBdr>
                                                  <w:divsChild>
                                                    <w:div w:id="417678964">
                                                      <w:marLeft w:val="0"/>
                                                      <w:marRight w:val="0"/>
                                                      <w:marTop w:val="0"/>
                                                      <w:marBottom w:val="0"/>
                                                      <w:divBdr>
                                                        <w:top w:val="none" w:sz="0" w:space="0" w:color="auto"/>
                                                        <w:left w:val="none" w:sz="0" w:space="0" w:color="auto"/>
                                                        <w:bottom w:val="none" w:sz="0" w:space="0" w:color="auto"/>
                                                        <w:right w:val="none" w:sz="0" w:space="0" w:color="auto"/>
                                                      </w:divBdr>
                                                      <w:divsChild>
                                                        <w:div w:id="279537962">
                                                          <w:marLeft w:val="0"/>
                                                          <w:marRight w:val="0"/>
                                                          <w:marTop w:val="0"/>
                                                          <w:marBottom w:val="0"/>
                                                          <w:divBdr>
                                                            <w:top w:val="none" w:sz="0" w:space="0" w:color="auto"/>
                                                            <w:left w:val="none" w:sz="0" w:space="0" w:color="auto"/>
                                                            <w:bottom w:val="none" w:sz="0" w:space="0" w:color="auto"/>
                                                            <w:right w:val="none" w:sz="0" w:space="0" w:color="auto"/>
                                                          </w:divBdr>
                                                        </w:div>
                                                      </w:divsChild>
                                                    </w:div>
                                                    <w:div w:id="1942294990">
                                                      <w:marLeft w:val="0"/>
                                                      <w:marRight w:val="0"/>
                                                      <w:marTop w:val="0"/>
                                                      <w:marBottom w:val="0"/>
                                                      <w:divBdr>
                                                        <w:top w:val="none" w:sz="0" w:space="0" w:color="auto"/>
                                                        <w:left w:val="none" w:sz="0" w:space="0" w:color="auto"/>
                                                        <w:bottom w:val="none" w:sz="0" w:space="0" w:color="auto"/>
                                                        <w:right w:val="none" w:sz="0" w:space="0" w:color="auto"/>
                                                      </w:divBdr>
                                                      <w:divsChild>
                                                        <w:div w:id="174641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9857644">
      <w:bodyDiv w:val="1"/>
      <w:marLeft w:val="0"/>
      <w:marRight w:val="0"/>
      <w:marTop w:val="0"/>
      <w:marBottom w:val="0"/>
      <w:divBdr>
        <w:top w:val="none" w:sz="0" w:space="0" w:color="auto"/>
        <w:left w:val="none" w:sz="0" w:space="0" w:color="auto"/>
        <w:bottom w:val="none" w:sz="0" w:space="0" w:color="auto"/>
        <w:right w:val="none" w:sz="0" w:space="0" w:color="auto"/>
      </w:divBdr>
      <w:divsChild>
        <w:div w:id="306710042">
          <w:marLeft w:val="0"/>
          <w:marRight w:val="0"/>
          <w:marTop w:val="0"/>
          <w:marBottom w:val="0"/>
          <w:divBdr>
            <w:top w:val="none" w:sz="0" w:space="0" w:color="auto"/>
            <w:left w:val="single" w:sz="6" w:space="0" w:color="BBBBBB"/>
            <w:bottom w:val="single" w:sz="6" w:space="0" w:color="BBBBBB"/>
            <w:right w:val="single" w:sz="6" w:space="0" w:color="BBBBBB"/>
          </w:divBdr>
          <w:divsChild>
            <w:div w:id="1681422311">
              <w:marLeft w:val="0"/>
              <w:marRight w:val="0"/>
              <w:marTop w:val="0"/>
              <w:marBottom w:val="0"/>
              <w:divBdr>
                <w:top w:val="none" w:sz="0" w:space="0" w:color="auto"/>
                <w:left w:val="none" w:sz="0" w:space="0" w:color="auto"/>
                <w:bottom w:val="none" w:sz="0" w:space="0" w:color="auto"/>
                <w:right w:val="none" w:sz="0" w:space="0" w:color="auto"/>
              </w:divBdr>
              <w:divsChild>
                <w:div w:id="1038897754">
                  <w:marLeft w:val="0"/>
                  <w:marRight w:val="0"/>
                  <w:marTop w:val="75"/>
                  <w:marBottom w:val="0"/>
                  <w:divBdr>
                    <w:top w:val="none" w:sz="0" w:space="0" w:color="auto"/>
                    <w:left w:val="none" w:sz="0" w:space="0" w:color="auto"/>
                    <w:bottom w:val="none" w:sz="0" w:space="0" w:color="auto"/>
                    <w:right w:val="none" w:sz="0" w:space="0" w:color="auto"/>
                  </w:divBdr>
                  <w:divsChild>
                    <w:div w:id="1647782226">
                      <w:marLeft w:val="0"/>
                      <w:marRight w:val="0"/>
                      <w:marTop w:val="0"/>
                      <w:marBottom w:val="0"/>
                      <w:divBdr>
                        <w:top w:val="none" w:sz="0" w:space="0" w:color="auto"/>
                        <w:left w:val="none" w:sz="0" w:space="0" w:color="auto"/>
                        <w:bottom w:val="none" w:sz="0" w:space="0" w:color="auto"/>
                        <w:right w:val="none" w:sz="0" w:space="0" w:color="auto"/>
                      </w:divBdr>
                      <w:divsChild>
                        <w:div w:id="576939691">
                          <w:marLeft w:val="0"/>
                          <w:marRight w:val="0"/>
                          <w:marTop w:val="0"/>
                          <w:marBottom w:val="0"/>
                          <w:divBdr>
                            <w:top w:val="none" w:sz="0" w:space="0" w:color="auto"/>
                            <w:left w:val="none" w:sz="0" w:space="0" w:color="auto"/>
                            <w:bottom w:val="none" w:sz="0" w:space="0" w:color="auto"/>
                            <w:right w:val="none" w:sz="0" w:space="0" w:color="auto"/>
                          </w:divBdr>
                          <w:divsChild>
                            <w:div w:id="115687222">
                              <w:marLeft w:val="0"/>
                              <w:marRight w:val="0"/>
                              <w:marTop w:val="0"/>
                              <w:marBottom w:val="0"/>
                              <w:divBdr>
                                <w:top w:val="none" w:sz="0" w:space="0" w:color="auto"/>
                                <w:left w:val="none" w:sz="0" w:space="0" w:color="auto"/>
                                <w:bottom w:val="none" w:sz="0" w:space="0" w:color="auto"/>
                                <w:right w:val="none" w:sz="0" w:space="0" w:color="auto"/>
                              </w:divBdr>
                              <w:divsChild>
                                <w:div w:id="1739785416">
                                  <w:marLeft w:val="0"/>
                                  <w:marRight w:val="0"/>
                                  <w:marTop w:val="0"/>
                                  <w:marBottom w:val="0"/>
                                  <w:divBdr>
                                    <w:top w:val="none" w:sz="0" w:space="0" w:color="auto"/>
                                    <w:left w:val="none" w:sz="0" w:space="0" w:color="auto"/>
                                    <w:bottom w:val="none" w:sz="0" w:space="0" w:color="auto"/>
                                    <w:right w:val="none" w:sz="0" w:space="0" w:color="auto"/>
                                  </w:divBdr>
                                  <w:divsChild>
                                    <w:div w:id="1490710125">
                                      <w:marLeft w:val="0"/>
                                      <w:marRight w:val="0"/>
                                      <w:marTop w:val="0"/>
                                      <w:marBottom w:val="0"/>
                                      <w:divBdr>
                                        <w:top w:val="none" w:sz="0" w:space="0" w:color="auto"/>
                                        <w:left w:val="none" w:sz="0" w:space="0" w:color="auto"/>
                                        <w:bottom w:val="none" w:sz="0" w:space="0" w:color="auto"/>
                                        <w:right w:val="none" w:sz="0" w:space="0" w:color="auto"/>
                                      </w:divBdr>
                                      <w:divsChild>
                                        <w:div w:id="1414353678">
                                          <w:marLeft w:val="1200"/>
                                          <w:marRight w:val="1200"/>
                                          <w:marTop w:val="0"/>
                                          <w:marBottom w:val="0"/>
                                          <w:divBdr>
                                            <w:top w:val="none" w:sz="0" w:space="0" w:color="auto"/>
                                            <w:left w:val="none" w:sz="0" w:space="0" w:color="auto"/>
                                            <w:bottom w:val="none" w:sz="0" w:space="0" w:color="auto"/>
                                            <w:right w:val="none" w:sz="0" w:space="0" w:color="auto"/>
                                          </w:divBdr>
                                          <w:divsChild>
                                            <w:div w:id="1098873116">
                                              <w:marLeft w:val="0"/>
                                              <w:marRight w:val="0"/>
                                              <w:marTop w:val="0"/>
                                              <w:marBottom w:val="0"/>
                                              <w:divBdr>
                                                <w:top w:val="none" w:sz="0" w:space="0" w:color="auto"/>
                                                <w:left w:val="none" w:sz="0" w:space="0" w:color="auto"/>
                                                <w:bottom w:val="none" w:sz="0" w:space="0" w:color="auto"/>
                                                <w:right w:val="none" w:sz="0" w:space="0" w:color="auto"/>
                                              </w:divBdr>
                                              <w:divsChild>
                                                <w:div w:id="141772823">
                                                  <w:marLeft w:val="0"/>
                                                  <w:marRight w:val="0"/>
                                                  <w:marTop w:val="0"/>
                                                  <w:marBottom w:val="0"/>
                                                  <w:divBdr>
                                                    <w:top w:val="none" w:sz="0" w:space="0" w:color="auto"/>
                                                    <w:left w:val="none" w:sz="0" w:space="0" w:color="auto"/>
                                                    <w:bottom w:val="none" w:sz="0" w:space="0" w:color="auto"/>
                                                    <w:right w:val="none" w:sz="0" w:space="0" w:color="auto"/>
                                                  </w:divBdr>
                                                  <w:divsChild>
                                                    <w:div w:id="1800564447">
                                                      <w:marLeft w:val="0"/>
                                                      <w:marRight w:val="0"/>
                                                      <w:marTop w:val="0"/>
                                                      <w:marBottom w:val="0"/>
                                                      <w:divBdr>
                                                        <w:top w:val="none" w:sz="0" w:space="0" w:color="auto"/>
                                                        <w:left w:val="none" w:sz="0" w:space="0" w:color="auto"/>
                                                        <w:bottom w:val="none" w:sz="0" w:space="0" w:color="auto"/>
                                                        <w:right w:val="none" w:sz="0" w:space="0" w:color="auto"/>
                                                      </w:divBdr>
                                                      <w:divsChild>
                                                        <w:div w:id="1044448269">
                                                          <w:marLeft w:val="0"/>
                                                          <w:marRight w:val="0"/>
                                                          <w:marTop w:val="0"/>
                                                          <w:marBottom w:val="0"/>
                                                          <w:divBdr>
                                                            <w:top w:val="none" w:sz="0" w:space="0" w:color="auto"/>
                                                            <w:left w:val="none" w:sz="0" w:space="0" w:color="auto"/>
                                                            <w:bottom w:val="none" w:sz="0" w:space="0" w:color="auto"/>
                                                            <w:right w:val="none" w:sz="0" w:space="0" w:color="auto"/>
                                                          </w:divBdr>
                                                          <w:divsChild>
                                                            <w:div w:id="342705145">
                                                              <w:marLeft w:val="0"/>
                                                              <w:marRight w:val="0"/>
                                                              <w:marTop w:val="0"/>
                                                              <w:marBottom w:val="0"/>
                                                              <w:divBdr>
                                                                <w:top w:val="none" w:sz="0" w:space="0" w:color="auto"/>
                                                                <w:left w:val="none" w:sz="0" w:space="0" w:color="auto"/>
                                                                <w:bottom w:val="none" w:sz="0" w:space="0" w:color="auto"/>
                                                                <w:right w:val="none" w:sz="0" w:space="0" w:color="auto"/>
                                                              </w:divBdr>
                                                              <w:divsChild>
                                                                <w:div w:id="1351107743">
                                                                  <w:marLeft w:val="0"/>
                                                                  <w:marRight w:val="0"/>
                                                                  <w:marTop w:val="0"/>
                                                                  <w:marBottom w:val="0"/>
                                                                  <w:divBdr>
                                                                    <w:top w:val="none" w:sz="0" w:space="0" w:color="auto"/>
                                                                    <w:left w:val="none" w:sz="0" w:space="0" w:color="auto"/>
                                                                    <w:bottom w:val="none" w:sz="0" w:space="0" w:color="auto"/>
                                                                    <w:right w:val="none" w:sz="0" w:space="0" w:color="auto"/>
                                                                  </w:divBdr>
                                                                  <w:divsChild>
                                                                    <w:div w:id="254872646">
                                                                      <w:marLeft w:val="0"/>
                                                                      <w:marRight w:val="0"/>
                                                                      <w:marTop w:val="240"/>
                                                                      <w:marBottom w:val="0"/>
                                                                      <w:divBdr>
                                                                        <w:top w:val="none" w:sz="0" w:space="0" w:color="auto"/>
                                                                        <w:left w:val="none" w:sz="0" w:space="0" w:color="auto"/>
                                                                        <w:bottom w:val="none" w:sz="0" w:space="0" w:color="auto"/>
                                                                        <w:right w:val="none" w:sz="0" w:space="0" w:color="auto"/>
                                                                      </w:divBdr>
                                                                    </w:div>
                                                                    <w:div w:id="1944024117">
                                                                      <w:marLeft w:val="0"/>
                                                                      <w:marRight w:val="0"/>
                                                                      <w:marTop w:val="0"/>
                                                                      <w:marBottom w:val="0"/>
                                                                      <w:divBdr>
                                                                        <w:top w:val="none" w:sz="0" w:space="0" w:color="auto"/>
                                                                        <w:left w:val="none" w:sz="0" w:space="0" w:color="auto"/>
                                                                        <w:bottom w:val="none" w:sz="0" w:space="0" w:color="auto"/>
                                                                        <w:right w:val="none" w:sz="0" w:space="0" w:color="auto"/>
                                                                      </w:divBdr>
                                                                      <w:divsChild>
                                                                        <w:div w:id="14948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0513924">
      <w:bodyDiv w:val="1"/>
      <w:marLeft w:val="0"/>
      <w:marRight w:val="0"/>
      <w:marTop w:val="0"/>
      <w:marBottom w:val="0"/>
      <w:divBdr>
        <w:top w:val="none" w:sz="0" w:space="0" w:color="auto"/>
        <w:left w:val="none" w:sz="0" w:space="0" w:color="auto"/>
        <w:bottom w:val="none" w:sz="0" w:space="0" w:color="auto"/>
        <w:right w:val="none" w:sz="0" w:space="0" w:color="auto"/>
      </w:divBdr>
      <w:divsChild>
        <w:div w:id="823014405">
          <w:marLeft w:val="0"/>
          <w:marRight w:val="0"/>
          <w:marTop w:val="0"/>
          <w:marBottom w:val="0"/>
          <w:divBdr>
            <w:top w:val="none" w:sz="0" w:space="0" w:color="auto"/>
            <w:left w:val="none" w:sz="0" w:space="0" w:color="auto"/>
            <w:bottom w:val="none" w:sz="0" w:space="0" w:color="auto"/>
            <w:right w:val="none" w:sz="0" w:space="0" w:color="auto"/>
          </w:divBdr>
          <w:divsChild>
            <w:div w:id="929629352">
              <w:marLeft w:val="0"/>
              <w:marRight w:val="0"/>
              <w:marTop w:val="0"/>
              <w:marBottom w:val="0"/>
              <w:divBdr>
                <w:top w:val="none" w:sz="0" w:space="0" w:color="auto"/>
                <w:left w:val="none" w:sz="0" w:space="0" w:color="auto"/>
                <w:bottom w:val="none" w:sz="0" w:space="0" w:color="auto"/>
                <w:right w:val="none" w:sz="0" w:space="0" w:color="auto"/>
              </w:divBdr>
              <w:divsChild>
                <w:div w:id="1846092800">
                  <w:marLeft w:val="0"/>
                  <w:marRight w:val="0"/>
                  <w:marTop w:val="0"/>
                  <w:marBottom w:val="0"/>
                  <w:divBdr>
                    <w:top w:val="none" w:sz="0" w:space="0" w:color="auto"/>
                    <w:left w:val="none" w:sz="0" w:space="0" w:color="auto"/>
                    <w:bottom w:val="none" w:sz="0" w:space="0" w:color="auto"/>
                    <w:right w:val="none" w:sz="0" w:space="0" w:color="auto"/>
                  </w:divBdr>
                  <w:divsChild>
                    <w:div w:id="552621305">
                      <w:marLeft w:val="0"/>
                      <w:marRight w:val="0"/>
                      <w:marTop w:val="0"/>
                      <w:marBottom w:val="375"/>
                      <w:divBdr>
                        <w:top w:val="none" w:sz="0" w:space="0" w:color="auto"/>
                        <w:left w:val="none" w:sz="0" w:space="0" w:color="auto"/>
                        <w:bottom w:val="none" w:sz="0" w:space="0" w:color="auto"/>
                        <w:right w:val="none" w:sz="0" w:space="0" w:color="auto"/>
                      </w:divBdr>
                      <w:divsChild>
                        <w:div w:id="4433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556635">
      <w:bodyDiv w:val="1"/>
      <w:marLeft w:val="0"/>
      <w:marRight w:val="0"/>
      <w:marTop w:val="0"/>
      <w:marBottom w:val="0"/>
      <w:divBdr>
        <w:top w:val="none" w:sz="0" w:space="0" w:color="auto"/>
        <w:left w:val="none" w:sz="0" w:space="0" w:color="auto"/>
        <w:bottom w:val="none" w:sz="0" w:space="0" w:color="auto"/>
        <w:right w:val="none" w:sz="0" w:space="0" w:color="auto"/>
      </w:divBdr>
      <w:divsChild>
        <w:div w:id="1777601711">
          <w:marLeft w:val="0"/>
          <w:marRight w:val="0"/>
          <w:marTop w:val="0"/>
          <w:marBottom w:val="0"/>
          <w:divBdr>
            <w:top w:val="none" w:sz="0" w:space="0" w:color="auto"/>
            <w:left w:val="single" w:sz="6" w:space="0" w:color="BBBBBB"/>
            <w:bottom w:val="single" w:sz="6" w:space="0" w:color="BBBBBB"/>
            <w:right w:val="single" w:sz="6" w:space="0" w:color="BBBBBB"/>
          </w:divBdr>
          <w:divsChild>
            <w:div w:id="1409304507">
              <w:marLeft w:val="0"/>
              <w:marRight w:val="0"/>
              <w:marTop w:val="0"/>
              <w:marBottom w:val="0"/>
              <w:divBdr>
                <w:top w:val="none" w:sz="0" w:space="0" w:color="auto"/>
                <w:left w:val="none" w:sz="0" w:space="0" w:color="auto"/>
                <w:bottom w:val="none" w:sz="0" w:space="0" w:color="auto"/>
                <w:right w:val="none" w:sz="0" w:space="0" w:color="auto"/>
              </w:divBdr>
              <w:divsChild>
                <w:div w:id="1911428470">
                  <w:marLeft w:val="0"/>
                  <w:marRight w:val="0"/>
                  <w:marTop w:val="0"/>
                  <w:marBottom w:val="0"/>
                  <w:divBdr>
                    <w:top w:val="none" w:sz="0" w:space="0" w:color="auto"/>
                    <w:left w:val="none" w:sz="0" w:space="0" w:color="auto"/>
                    <w:bottom w:val="none" w:sz="0" w:space="0" w:color="auto"/>
                    <w:right w:val="none" w:sz="0" w:space="0" w:color="auto"/>
                  </w:divBdr>
                  <w:divsChild>
                    <w:div w:id="1535651012">
                      <w:marLeft w:val="0"/>
                      <w:marRight w:val="0"/>
                      <w:marTop w:val="0"/>
                      <w:marBottom w:val="0"/>
                      <w:divBdr>
                        <w:top w:val="none" w:sz="0" w:space="0" w:color="auto"/>
                        <w:left w:val="none" w:sz="0" w:space="0" w:color="auto"/>
                        <w:bottom w:val="none" w:sz="0" w:space="0" w:color="auto"/>
                        <w:right w:val="none" w:sz="0" w:space="0" w:color="auto"/>
                      </w:divBdr>
                      <w:divsChild>
                        <w:div w:id="412243179">
                          <w:marLeft w:val="0"/>
                          <w:marRight w:val="0"/>
                          <w:marTop w:val="0"/>
                          <w:marBottom w:val="0"/>
                          <w:divBdr>
                            <w:top w:val="none" w:sz="0" w:space="0" w:color="auto"/>
                            <w:left w:val="none" w:sz="0" w:space="0" w:color="auto"/>
                            <w:bottom w:val="none" w:sz="0" w:space="0" w:color="auto"/>
                            <w:right w:val="none" w:sz="0" w:space="0" w:color="auto"/>
                          </w:divBdr>
                          <w:divsChild>
                            <w:div w:id="576936900">
                              <w:marLeft w:val="0"/>
                              <w:marRight w:val="0"/>
                              <w:marTop w:val="0"/>
                              <w:marBottom w:val="0"/>
                              <w:divBdr>
                                <w:top w:val="none" w:sz="0" w:space="0" w:color="auto"/>
                                <w:left w:val="none" w:sz="0" w:space="0" w:color="auto"/>
                                <w:bottom w:val="none" w:sz="0" w:space="0" w:color="auto"/>
                                <w:right w:val="none" w:sz="0" w:space="0" w:color="auto"/>
                              </w:divBdr>
                              <w:divsChild>
                                <w:div w:id="1619679112">
                                  <w:marLeft w:val="0"/>
                                  <w:marRight w:val="0"/>
                                  <w:marTop w:val="0"/>
                                  <w:marBottom w:val="0"/>
                                  <w:divBdr>
                                    <w:top w:val="none" w:sz="0" w:space="0" w:color="auto"/>
                                    <w:left w:val="none" w:sz="0" w:space="0" w:color="auto"/>
                                    <w:bottom w:val="none" w:sz="0" w:space="0" w:color="auto"/>
                                    <w:right w:val="none" w:sz="0" w:space="0" w:color="auto"/>
                                  </w:divBdr>
                                  <w:divsChild>
                                    <w:div w:id="30155340">
                                      <w:marLeft w:val="0"/>
                                      <w:marRight w:val="0"/>
                                      <w:marTop w:val="0"/>
                                      <w:marBottom w:val="0"/>
                                      <w:divBdr>
                                        <w:top w:val="none" w:sz="0" w:space="0" w:color="auto"/>
                                        <w:left w:val="none" w:sz="0" w:space="0" w:color="auto"/>
                                        <w:bottom w:val="none" w:sz="0" w:space="0" w:color="auto"/>
                                        <w:right w:val="none" w:sz="0" w:space="0" w:color="auto"/>
                                      </w:divBdr>
                                      <w:divsChild>
                                        <w:div w:id="2138135238">
                                          <w:marLeft w:val="1200"/>
                                          <w:marRight w:val="1200"/>
                                          <w:marTop w:val="0"/>
                                          <w:marBottom w:val="0"/>
                                          <w:divBdr>
                                            <w:top w:val="none" w:sz="0" w:space="0" w:color="auto"/>
                                            <w:left w:val="none" w:sz="0" w:space="0" w:color="auto"/>
                                            <w:bottom w:val="none" w:sz="0" w:space="0" w:color="auto"/>
                                            <w:right w:val="none" w:sz="0" w:space="0" w:color="auto"/>
                                          </w:divBdr>
                                          <w:divsChild>
                                            <w:div w:id="147330049">
                                              <w:marLeft w:val="0"/>
                                              <w:marRight w:val="0"/>
                                              <w:marTop w:val="0"/>
                                              <w:marBottom w:val="0"/>
                                              <w:divBdr>
                                                <w:top w:val="none" w:sz="0" w:space="0" w:color="auto"/>
                                                <w:left w:val="none" w:sz="0" w:space="0" w:color="auto"/>
                                                <w:bottom w:val="none" w:sz="0" w:space="0" w:color="auto"/>
                                                <w:right w:val="none" w:sz="0" w:space="0" w:color="auto"/>
                                              </w:divBdr>
                                              <w:divsChild>
                                                <w:div w:id="304705180">
                                                  <w:marLeft w:val="0"/>
                                                  <w:marRight w:val="0"/>
                                                  <w:marTop w:val="0"/>
                                                  <w:marBottom w:val="0"/>
                                                  <w:divBdr>
                                                    <w:top w:val="none" w:sz="0" w:space="0" w:color="auto"/>
                                                    <w:left w:val="none" w:sz="0" w:space="0" w:color="auto"/>
                                                    <w:bottom w:val="none" w:sz="0" w:space="0" w:color="auto"/>
                                                    <w:right w:val="none" w:sz="0" w:space="0" w:color="auto"/>
                                                  </w:divBdr>
                                                  <w:divsChild>
                                                    <w:div w:id="1455519236">
                                                      <w:marLeft w:val="0"/>
                                                      <w:marRight w:val="0"/>
                                                      <w:marTop w:val="0"/>
                                                      <w:marBottom w:val="0"/>
                                                      <w:divBdr>
                                                        <w:top w:val="none" w:sz="0" w:space="0" w:color="auto"/>
                                                        <w:left w:val="none" w:sz="0" w:space="0" w:color="auto"/>
                                                        <w:bottom w:val="none" w:sz="0" w:space="0" w:color="auto"/>
                                                        <w:right w:val="none" w:sz="0" w:space="0" w:color="auto"/>
                                                      </w:divBdr>
                                                      <w:divsChild>
                                                        <w:div w:id="1341275613">
                                                          <w:marLeft w:val="0"/>
                                                          <w:marRight w:val="0"/>
                                                          <w:marTop w:val="0"/>
                                                          <w:marBottom w:val="0"/>
                                                          <w:divBdr>
                                                            <w:top w:val="none" w:sz="0" w:space="0" w:color="auto"/>
                                                            <w:left w:val="none" w:sz="0" w:space="0" w:color="auto"/>
                                                            <w:bottom w:val="none" w:sz="0" w:space="0" w:color="auto"/>
                                                            <w:right w:val="none" w:sz="0" w:space="0" w:color="auto"/>
                                                          </w:divBdr>
                                                          <w:divsChild>
                                                            <w:div w:id="630937888">
                                                              <w:marLeft w:val="0"/>
                                                              <w:marRight w:val="0"/>
                                                              <w:marTop w:val="0"/>
                                                              <w:marBottom w:val="0"/>
                                                              <w:divBdr>
                                                                <w:top w:val="none" w:sz="0" w:space="0" w:color="auto"/>
                                                                <w:left w:val="none" w:sz="0" w:space="0" w:color="auto"/>
                                                                <w:bottom w:val="none" w:sz="0" w:space="0" w:color="auto"/>
                                                                <w:right w:val="none" w:sz="0" w:space="0" w:color="auto"/>
                                                              </w:divBdr>
                                                              <w:divsChild>
                                                                <w:div w:id="2007242928">
                                                                  <w:marLeft w:val="0"/>
                                                                  <w:marRight w:val="0"/>
                                                                  <w:marTop w:val="0"/>
                                                                  <w:marBottom w:val="0"/>
                                                                  <w:divBdr>
                                                                    <w:top w:val="none" w:sz="0" w:space="0" w:color="auto"/>
                                                                    <w:left w:val="none" w:sz="0" w:space="0" w:color="auto"/>
                                                                    <w:bottom w:val="none" w:sz="0" w:space="0" w:color="auto"/>
                                                                    <w:right w:val="none" w:sz="0" w:space="0" w:color="auto"/>
                                                                  </w:divBdr>
                                                                  <w:divsChild>
                                                                    <w:div w:id="782041942">
                                                                      <w:marLeft w:val="0"/>
                                                                      <w:marRight w:val="0"/>
                                                                      <w:marTop w:val="0"/>
                                                                      <w:marBottom w:val="0"/>
                                                                      <w:divBdr>
                                                                        <w:top w:val="none" w:sz="0" w:space="0" w:color="auto"/>
                                                                        <w:left w:val="none" w:sz="0" w:space="0" w:color="auto"/>
                                                                        <w:bottom w:val="none" w:sz="0" w:space="0" w:color="auto"/>
                                                                        <w:right w:val="none" w:sz="0" w:space="0" w:color="auto"/>
                                                                      </w:divBdr>
                                                                      <w:divsChild>
                                                                        <w:div w:id="1419984007">
                                                                          <w:marLeft w:val="0"/>
                                                                          <w:marRight w:val="0"/>
                                                                          <w:marTop w:val="0"/>
                                                                          <w:marBottom w:val="0"/>
                                                                          <w:divBdr>
                                                                            <w:top w:val="none" w:sz="0" w:space="0" w:color="auto"/>
                                                                            <w:left w:val="none" w:sz="0" w:space="0" w:color="auto"/>
                                                                            <w:bottom w:val="none" w:sz="0" w:space="0" w:color="auto"/>
                                                                            <w:right w:val="none" w:sz="0" w:space="0" w:color="auto"/>
                                                                          </w:divBdr>
                                                                        </w:div>
                                                                      </w:divsChild>
                                                                    </w:div>
                                                                    <w:div w:id="1362435498">
                                                                      <w:marLeft w:val="0"/>
                                                                      <w:marRight w:val="0"/>
                                                                      <w:marTop w:val="0"/>
                                                                      <w:marBottom w:val="0"/>
                                                                      <w:divBdr>
                                                                        <w:top w:val="none" w:sz="0" w:space="0" w:color="auto"/>
                                                                        <w:left w:val="none" w:sz="0" w:space="0" w:color="auto"/>
                                                                        <w:bottom w:val="none" w:sz="0" w:space="0" w:color="auto"/>
                                                                        <w:right w:val="none" w:sz="0" w:space="0" w:color="auto"/>
                                                                      </w:divBdr>
                                                                      <w:divsChild>
                                                                        <w:div w:id="946036561">
                                                                          <w:marLeft w:val="0"/>
                                                                          <w:marRight w:val="0"/>
                                                                          <w:marTop w:val="0"/>
                                                                          <w:marBottom w:val="0"/>
                                                                          <w:divBdr>
                                                                            <w:top w:val="none" w:sz="0" w:space="0" w:color="auto"/>
                                                                            <w:left w:val="none" w:sz="0" w:space="0" w:color="auto"/>
                                                                            <w:bottom w:val="none" w:sz="0" w:space="0" w:color="auto"/>
                                                                            <w:right w:val="none" w:sz="0" w:space="0" w:color="auto"/>
                                                                          </w:divBdr>
                                                                        </w:div>
                                                                      </w:divsChild>
                                                                    </w:div>
                                                                    <w:div w:id="1558734724">
                                                                      <w:marLeft w:val="0"/>
                                                                      <w:marRight w:val="0"/>
                                                                      <w:marTop w:val="0"/>
                                                                      <w:marBottom w:val="0"/>
                                                                      <w:divBdr>
                                                                        <w:top w:val="none" w:sz="0" w:space="0" w:color="auto"/>
                                                                        <w:left w:val="none" w:sz="0" w:space="0" w:color="auto"/>
                                                                        <w:bottom w:val="none" w:sz="0" w:space="0" w:color="auto"/>
                                                                        <w:right w:val="none" w:sz="0" w:space="0" w:color="auto"/>
                                                                      </w:divBdr>
                                                                      <w:divsChild>
                                                                        <w:div w:id="3513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286501">
      <w:bodyDiv w:val="1"/>
      <w:marLeft w:val="0"/>
      <w:marRight w:val="0"/>
      <w:marTop w:val="0"/>
      <w:marBottom w:val="0"/>
      <w:divBdr>
        <w:top w:val="none" w:sz="0" w:space="0" w:color="auto"/>
        <w:left w:val="none" w:sz="0" w:space="0" w:color="auto"/>
        <w:bottom w:val="none" w:sz="0" w:space="0" w:color="auto"/>
        <w:right w:val="none" w:sz="0" w:space="0" w:color="auto"/>
      </w:divBdr>
      <w:divsChild>
        <w:div w:id="677852865">
          <w:marLeft w:val="0"/>
          <w:marRight w:val="0"/>
          <w:marTop w:val="0"/>
          <w:marBottom w:val="0"/>
          <w:divBdr>
            <w:top w:val="none" w:sz="0" w:space="0" w:color="auto"/>
            <w:left w:val="none" w:sz="0" w:space="0" w:color="auto"/>
            <w:bottom w:val="none" w:sz="0" w:space="0" w:color="auto"/>
            <w:right w:val="none" w:sz="0" w:space="0" w:color="auto"/>
          </w:divBdr>
          <w:divsChild>
            <w:div w:id="1615820119">
              <w:marLeft w:val="0"/>
              <w:marRight w:val="0"/>
              <w:marTop w:val="0"/>
              <w:marBottom w:val="0"/>
              <w:divBdr>
                <w:top w:val="none" w:sz="0" w:space="0" w:color="auto"/>
                <w:left w:val="none" w:sz="0" w:space="0" w:color="auto"/>
                <w:bottom w:val="none" w:sz="0" w:space="0" w:color="auto"/>
                <w:right w:val="none" w:sz="0" w:space="0" w:color="auto"/>
              </w:divBdr>
              <w:divsChild>
                <w:div w:id="1734114679">
                  <w:marLeft w:val="0"/>
                  <w:marRight w:val="0"/>
                  <w:marTop w:val="0"/>
                  <w:marBottom w:val="0"/>
                  <w:divBdr>
                    <w:top w:val="none" w:sz="0" w:space="0" w:color="auto"/>
                    <w:left w:val="none" w:sz="0" w:space="0" w:color="auto"/>
                    <w:bottom w:val="none" w:sz="0" w:space="0" w:color="auto"/>
                    <w:right w:val="none" w:sz="0" w:space="0" w:color="auto"/>
                  </w:divBdr>
                  <w:divsChild>
                    <w:div w:id="1363549789">
                      <w:marLeft w:val="0"/>
                      <w:marRight w:val="0"/>
                      <w:marTop w:val="0"/>
                      <w:marBottom w:val="375"/>
                      <w:divBdr>
                        <w:top w:val="none" w:sz="0" w:space="0" w:color="auto"/>
                        <w:left w:val="none" w:sz="0" w:space="0" w:color="auto"/>
                        <w:bottom w:val="none" w:sz="0" w:space="0" w:color="auto"/>
                        <w:right w:val="none" w:sz="0" w:space="0" w:color="auto"/>
                      </w:divBdr>
                      <w:divsChild>
                        <w:div w:id="8741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397799">
      <w:bodyDiv w:val="1"/>
      <w:marLeft w:val="0"/>
      <w:marRight w:val="0"/>
      <w:marTop w:val="0"/>
      <w:marBottom w:val="0"/>
      <w:divBdr>
        <w:top w:val="none" w:sz="0" w:space="0" w:color="auto"/>
        <w:left w:val="none" w:sz="0" w:space="0" w:color="auto"/>
        <w:bottom w:val="none" w:sz="0" w:space="0" w:color="auto"/>
        <w:right w:val="none" w:sz="0" w:space="0" w:color="auto"/>
      </w:divBdr>
      <w:divsChild>
        <w:div w:id="678166536">
          <w:marLeft w:val="0"/>
          <w:marRight w:val="0"/>
          <w:marTop w:val="0"/>
          <w:marBottom w:val="0"/>
          <w:divBdr>
            <w:top w:val="none" w:sz="0" w:space="0" w:color="auto"/>
            <w:left w:val="none" w:sz="0" w:space="0" w:color="auto"/>
            <w:bottom w:val="none" w:sz="0" w:space="0" w:color="auto"/>
            <w:right w:val="none" w:sz="0" w:space="0" w:color="auto"/>
          </w:divBdr>
          <w:divsChild>
            <w:div w:id="416369620">
              <w:marLeft w:val="0"/>
              <w:marRight w:val="0"/>
              <w:marTop w:val="0"/>
              <w:marBottom w:val="0"/>
              <w:divBdr>
                <w:top w:val="none" w:sz="0" w:space="0" w:color="auto"/>
                <w:left w:val="none" w:sz="0" w:space="0" w:color="auto"/>
                <w:bottom w:val="none" w:sz="0" w:space="0" w:color="auto"/>
                <w:right w:val="none" w:sz="0" w:space="0" w:color="auto"/>
              </w:divBdr>
              <w:divsChild>
                <w:div w:id="528109657">
                  <w:marLeft w:val="0"/>
                  <w:marRight w:val="0"/>
                  <w:marTop w:val="0"/>
                  <w:marBottom w:val="0"/>
                  <w:divBdr>
                    <w:top w:val="none" w:sz="0" w:space="0" w:color="auto"/>
                    <w:left w:val="none" w:sz="0" w:space="0" w:color="auto"/>
                    <w:bottom w:val="none" w:sz="0" w:space="0" w:color="auto"/>
                    <w:right w:val="none" w:sz="0" w:space="0" w:color="auto"/>
                  </w:divBdr>
                  <w:divsChild>
                    <w:div w:id="126168298">
                      <w:marLeft w:val="0"/>
                      <w:marRight w:val="0"/>
                      <w:marTop w:val="0"/>
                      <w:marBottom w:val="375"/>
                      <w:divBdr>
                        <w:top w:val="none" w:sz="0" w:space="0" w:color="auto"/>
                        <w:left w:val="none" w:sz="0" w:space="0" w:color="auto"/>
                        <w:bottom w:val="none" w:sz="0" w:space="0" w:color="auto"/>
                        <w:right w:val="none" w:sz="0" w:space="0" w:color="auto"/>
                      </w:divBdr>
                      <w:divsChild>
                        <w:div w:id="14085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916826">
      <w:bodyDiv w:val="1"/>
      <w:marLeft w:val="0"/>
      <w:marRight w:val="0"/>
      <w:marTop w:val="0"/>
      <w:marBottom w:val="0"/>
      <w:divBdr>
        <w:top w:val="none" w:sz="0" w:space="0" w:color="auto"/>
        <w:left w:val="none" w:sz="0" w:space="0" w:color="auto"/>
        <w:bottom w:val="none" w:sz="0" w:space="0" w:color="auto"/>
        <w:right w:val="none" w:sz="0" w:space="0" w:color="auto"/>
      </w:divBdr>
      <w:divsChild>
        <w:div w:id="1584677550">
          <w:marLeft w:val="0"/>
          <w:marRight w:val="0"/>
          <w:marTop w:val="0"/>
          <w:marBottom w:val="0"/>
          <w:divBdr>
            <w:top w:val="none" w:sz="0" w:space="0" w:color="auto"/>
            <w:left w:val="single" w:sz="6" w:space="0" w:color="BBBBBB"/>
            <w:bottom w:val="single" w:sz="6" w:space="0" w:color="BBBBBB"/>
            <w:right w:val="single" w:sz="6" w:space="0" w:color="BBBBBB"/>
          </w:divBdr>
          <w:divsChild>
            <w:div w:id="41486566">
              <w:marLeft w:val="0"/>
              <w:marRight w:val="0"/>
              <w:marTop w:val="0"/>
              <w:marBottom w:val="0"/>
              <w:divBdr>
                <w:top w:val="none" w:sz="0" w:space="0" w:color="auto"/>
                <w:left w:val="none" w:sz="0" w:space="0" w:color="auto"/>
                <w:bottom w:val="none" w:sz="0" w:space="0" w:color="auto"/>
                <w:right w:val="none" w:sz="0" w:space="0" w:color="auto"/>
              </w:divBdr>
              <w:divsChild>
                <w:div w:id="1884058709">
                  <w:marLeft w:val="0"/>
                  <w:marRight w:val="0"/>
                  <w:marTop w:val="75"/>
                  <w:marBottom w:val="0"/>
                  <w:divBdr>
                    <w:top w:val="none" w:sz="0" w:space="0" w:color="auto"/>
                    <w:left w:val="none" w:sz="0" w:space="0" w:color="auto"/>
                    <w:bottom w:val="none" w:sz="0" w:space="0" w:color="auto"/>
                    <w:right w:val="none" w:sz="0" w:space="0" w:color="auto"/>
                  </w:divBdr>
                  <w:divsChild>
                    <w:div w:id="387195052">
                      <w:marLeft w:val="0"/>
                      <w:marRight w:val="0"/>
                      <w:marTop w:val="0"/>
                      <w:marBottom w:val="0"/>
                      <w:divBdr>
                        <w:top w:val="none" w:sz="0" w:space="0" w:color="auto"/>
                        <w:left w:val="none" w:sz="0" w:space="0" w:color="auto"/>
                        <w:bottom w:val="none" w:sz="0" w:space="0" w:color="auto"/>
                        <w:right w:val="none" w:sz="0" w:space="0" w:color="auto"/>
                      </w:divBdr>
                      <w:divsChild>
                        <w:div w:id="673410520">
                          <w:marLeft w:val="0"/>
                          <w:marRight w:val="0"/>
                          <w:marTop w:val="0"/>
                          <w:marBottom w:val="0"/>
                          <w:divBdr>
                            <w:top w:val="none" w:sz="0" w:space="0" w:color="auto"/>
                            <w:left w:val="none" w:sz="0" w:space="0" w:color="auto"/>
                            <w:bottom w:val="none" w:sz="0" w:space="0" w:color="auto"/>
                            <w:right w:val="none" w:sz="0" w:space="0" w:color="auto"/>
                          </w:divBdr>
                          <w:divsChild>
                            <w:div w:id="1214276019">
                              <w:marLeft w:val="0"/>
                              <w:marRight w:val="0"/>
                              <w:marTop w:val="0"/>
                              <w:marBottom w:val="0"/>
                              <w:divBdr>
                                <w:top w:val="none" w:sz="0" w:space="0" w:color="auto"/>
                                <w:left w:val="none" w:sz="0" w:space="0" w:color="auto"/>
                                <w:bottom w:val="none" w:sz="0" w:space="0" w:color="auto"/>
                                <w:right w:val="none" w:sz="0" w:space="0" w:color="auto"/>
                              </w:divBdr>
                              <w:divsChild>
                                <w:div w:id="514347923">
                                  <w:marLeft w:val="0"/>
                                  <w:marRight w:val="0"/>
                                  <w:marTop w:val="0"/>
                                  <w:marBottom w:val="0"/>
                                  <w:divBdr>
                                    <w:top w:val="none" w:sz="0" w:space="0" w:color="auto"/>
                                    <w:left w:val="none" w:sz="0" w:space="0" w:color="auto"/>
                                    <w:bottom w:val="none" w:sz="0" w:space="0" w:color="auto"/>
                                    <w:right w:val="none" w:sz="0" w:space="0" w:color="auto"/>
                                  </w:divBdr>
                                  <w:divsChild>
                                    <w:div w:id="1588464311">
                                      <w:marLeft w:val="0"/>
                                      <w:marRight w:val="0"/>
                                      <w:marTop w:val="0"/>
                                      <w:marBottom w:val="0"/>
                                      <w:divBdr>
                                        <w:top w:val="none" w:sz="0" w:space="0" w:color="auto"/>
                                        <w:left w:val="none" w:sz="0" w:space="0" w:color="auto"/>
                                        <w:bottom w:val="none" w:sz="0" w:space="0" w:color="auto"/>
                                        <w:right w:val="none" w:sz="0" w:space="0" w:color="auto"/>
                                      </w:divBdr>
                                      <w:divsChild>
                                        <w:div w:id="1501894216">
                                          <w:marLeft w:val="1200"/>
                                          <w:marRight w:val="1200"/>
                                          <w:marTop w:val="0"/>
                                          <w:marBottom w:val="0"/>
                                          <w:divBdr>
                                            <w:top w:val="none" w:sz="0" w:space="0" w:color="auto"/>
                                            <w:left w:val="none" w:sz="0" w:space="0" w:color="auto"/>
                                            <w:bottom w:val="none" w:sz="0" w:space="0" w:color="auto"/>
                                            <w:right w:val="none" w:sz="0" w:space="0" w:color="auto"/>
                                          </w:divBdr>
                                          <w:divsChild>
                                            <w:div w:id="2136829752">
                                              <w:marLeft w:val="0"/>
                                              <w:marRight w:val="0"/>
                                              <w:marTop w:val="0"/>
                                              <w:marBottom w:val="0"/>
                                              <w:divBdr>
                                                <w:top w:val="none" w:sz="0" w:space="0" w:color="auto"/>
                                                <w:left w:val="none" w:sz="0" w:space="0" w:color="auto"/>
                                                <w:bottom w:val="none" w:sz="0" w:space="0" w:color="auto"/>
                                                <w:right w:val="none" w:sz="0" w:space="0" w:color="auto"/>
                                              </w:divBdr>
                                              <w:divsChild>
                                                <w:div w:id="1905600104">
                                                  <w:marLeft w:val="0"/>
                                                  <w:marRight w:val="0"/>
                                                  <w:marTop w:val="0"/>
                                                  <w:marBottom w:val="0"/>
                                                  <w:divBdr>
                                                    <w:top w:val="none" w:sz="0" w:space="0" w:color="auto"/>
                                                    <w:left w:val="none" w:sz="0" w:space="0" w:color="auto"/>
                                                    <w:bottom w:val="none" w:sz="0" w:space="0" w:color="auto"/>
                                                    <w:right w:val="none" w:sz="0" w:space="0" w:color="auto"/>
                                                  </w:divBdr>
                                                  <w:divsChild>
                                                    <w:div w:id="839589546">
                                                      <w:marLeft w:val="0"/>
                                                      <w:marRight w:val="0"/>
                                                      <w:marTop w:val="0"/>
                                                      <w:marBottom w:val="0"/>
                                                      <w:divBdr>
                                                        <w:top w:val="none" w:sz="0" w:space="0" w:color="auto"/>
                                                        <w:left w:val="none" w:sz="0" w:space="0" w:color="auto"/>
                                                        <w:bottom w:val="none" w:sz="0" w:space="0" w:color="auto"/>
                                                        <w:right w:val="none" w:sz="0" w:space="0" w:color="auto"/>
                                                      </w:divBdr>
                                                      <w:divsChild>
                                                        <w:div w:id="775102838">
                                                          <w:marLeft w:val="0"/>
                                                          <w:marRight w:val="0"/>
                                                          <w:marTop w:val="0"/>
                                                          <w:marBottom w:val="0"/>
                                                          <w:divBdr>
                                                            <w:top w:val="none" w:sz="0" w:space="0" w:color="auto"/>
                                                            <w:left w:val="none" w:sz="0" w:space="0" w:color="auto"/>
                                                            <w:bottom w:val="none" w:sz="0" w:space="0" w:color="auto"/>
                                                            <w:right w:val="none" w:sz="0" w:space="0" w:color="auto"/>
                                                          </w:divBdr>
                                                          <w:divsChild>
                                                            <w:div w:id="1240484286">
                                                              <w:marLeft w:val="0"/>
                                                              <w:marRight w:val="0"/>
                                                              <w:marTop w:val="0"/>
                                                              <w:marBottom w:val="0"/>
                                                              <w:divBdr>
                                                                <w:top w:val="none" w:sz="0" w:space="0" w:color="auto"/>
                                                                <w:left w:val="none" w:sz="0" w:space="0" w:color="auto"/>
                                                                <w:bottom w:val="none" w:sz="0" w:space="0" w:color="auto"/>
                                                                <w:right w:val="none" w:sz="0" w:space="0" w:color="auto"/>
                                                              </w:divBdr>
                                                              <w:divsChild>
                                                                <w:div w:id="716441235">
                                                                  <w:marLeft w:val="0"/>
                                                                  <w:marRight w:val="0"/>
                                                                  <w:marTop w:val="0"/>
                                                                  <w:marBottom w:val="0"/>
                                                                  <w:divBdr>
                                                                    <w:top w:val="none" w:sz="0" w:space="0" w:color="auto"/>
                                                                    <w:left w:val="none" w:sz="0" w:space="0" w:color="auto"/>
                                                                    <w:bottom w:val="none" w:sz="0" w:space="0" w:color="auto"/>
                                                                    <w:right w:val="none" w:sz="0" w:space="0" w:color="auto"/>
                                                                  </w:divBdr>
                                                                  <w:divsChild>
                                                                    <w:div w:id="56444530">
                                                                      <w:marLeft w:val="0"/>
                                                                      <w:marRight w:val="0"/>
                                                                      <w:marTop w:val="0"/>
                                                                      <w:marBottom w:val="0"/>
                                                                      <w:divBdr>
                                                                        <w:top w:val="none" w:sz="0" w:space="0" w:color="auto"/>
                                                                        <w:left w:val="none" w:sz="0" w:space="0" w:color="auto"/>
                                                                        <w:bottom w:val="none" w:sz="0" w:space="0" w:color="auto"/>
                                                                        <w:right w:val="none" w:sz="0" w:space="0" w:color="auto"/>
                                                                      </w:divBdr>
                                                                      <w:divsChild>
                                                                        <w:div w:id="1401514709">
                                                                          <w:marLeft w:val="0"/>
                                                                          <w:marRight w:val="0"/>
                                                                          <w:marTop w:val="0"/>
                                                                          <w:marBottom w:val="0"/>
                                                                          <w:divBdr>
                                                                            <w:top w:val="none" w:sz="0" w:space="0" w:color="auto"/>
                                                                            <w:left w:val="none" w:sz="0" w:space="0" w:color="auto"/>
                                                                            <w:bottom w:val="none" w:sz="0" w:space="0" w:color="auto"/>
                                                                            <w:right w:val="none" w:sz="0" w:space="0" w:color="auto"/>
                                                                          </w:divBdr>
                                                                        </w:div>
                                                                      </w:divsChild>
                                                                    </w:div>
                                                                    <w:div w:id="441876428">
                                                                      <w:marLeft w:val="0"/>
                                                                      <w:marRight w:val="0"/>
                                                                      <w:marTop w:val="0"/>
                                                                      <w:marBottom w:val="0"/>
                                                                      <w:divBdr>
                                                                        <w:top w:val="none" w:sz="0" w:space="0" w:color="auto"/>
                                                                        <w:left w:val="none" w:sz="0" w:space="0" w:color="auto"/>
                                                                        <w:bottom w:val="none" w:sz="0" w:space="0" w:color="auto"/>
                                                                        <w:right w:val="none" w:sz="0" w:space="0" w:color="auto"/>
                                                                      </w:divBdr>
                                                                      <w:divsChild>
                                                                        <w:div w:id="1966616176">
                                                                          <w:marLeft w:val="0"/>
                                                                          <w:marRight w:val="0"/>
                                                                          <w:marTop w:val="0"/>
                                                                          <w:marBottom w:val="0"/>
                                                                          <w:divBdr>
                                                                            <w:top w:val="none" w:sz="0" w:space="0" w:color="auto"/>
                                                                            <w:left w:val="none" w:sz="0" w:space="0" w:color="auto"/>
                                                                            <w:bottom w:val="none" w:sz="0" w:space="0" w:color="auto"/>
                                                                            <w:right w:val="none" w:sz="0" w:space="0" w:color="auto"/>
                                                                          </w:divBdr>
                                                                        </w:div>
                                                                      </w:divsChild>
                                                                    </w:div>
                                                                    <w:div w:id="1453864011">
                                                                      <w:marLeft w:val="0"/>
                                                                      <w:marRight w:val="0"/>
                                                                      <w:marTop w:val="0"/>
                                                                      <w:marBottom w:val="0"/>
                                                                      <w:divBdr>
                                                                        <w:top w:val="none" w:sz="0" w:space="0" w:color="auto"/>
                                                                        <w:left w:val="none" w:sz="0" w:space="0" w:color="auto"/>
                                                                        <w:bottom w:val="none" w:sz="0" w:space="0" w:color="auto"/>
                                                                        <w:right w:val="none" w:sz="0" w:space="0" w:color="auto"/>
                                                                      </w:divBdr>
                                                                      <w:divsChild>
                                                                        <w:div w:id="1665620967">
                                                                          <w:marLeft w:val="0"/>
                                                                          <w:marRight w:val="0"/>
                                                                          <w:marTop w:val="0"/>
                                                                          <w:marBottom w:val="0"/>
                                                                          <w:divBdr>
                                                                            <w:top w:val="none" w:sz="0" w:space="0" w:color="auto"/>
                                                                            <w:left w:val="none" w:sz="0" w:space="0" w:color="auto"/>
                                                                            <w:bottom w:val="none" w:sz="0" w:space="0" w:color="auto"/>
                                                                            <w:right w:val="none" w:sz="0" w:space="0" w:color="auto"/>
                                                                          </w:divBdr>
                                                                        </w:div>
                                                                      </w:divsChild>
                                                                    </w:div>
                                                                    <w:div w:id="1966034105">
                                                                      <w:marLeft w:val="0"/>
                                                                      <w:marRight w:val="0"/>
                                                                      <w:marTop w:val="0"/>
                                                                      <w:marBottom w:val="0"/>
                                                                      <w:divBdr>
                                                                        <w:top w:val="none" w:sz="0" w:space="0" w:color="auto"/>
                                                                        <w:left w:val="none" w:sz="0" w:space="0" w:color="auto"/>
                                                                        <w:bottom w:val="none" w:sz="0" w:space="0" w:color="auto"/>
                                                                        <w:right w:val="none" w:sz="0" w:space="0" w:color="auto"/>
                                                                      </w:divBdr>
                                                                      <w:divsChild>
                                                                        <w:div w:id="322391324">
                                                                          <w:marLeft w:val="0"/>
                                                                          <w:marRight w:val="0"/>
                                                                          <w:marTop w:val="0"/>
                                                                          <w:marBottom w:val="0"/>
                                                                          <w:divBdr>
                                                                            <w:top w:val="none" w:sz="0" w:space="0" w:color="auto"/>
                                                                            <w:left w:val="none" w:sz="0" w:space="0" w:color="auto"/>
                                                                            <w:bottom w:val="none" w:sz="0" w:space="0" w:color="auto"/>
                                                                            <w:right w:val="none" w:sz="0" w:space="0" w:color="auto"/>
                                                                          </w:divBdr>
                                                                        </w:div>
                                                                        <w:div w:id="493837435">
                                                                          <w:marLeft w:val="0"/>
                                                                          <w:marRight w:val="0"/>
                                                                          <w:marTop w:val="0"/>
                                                                          <w:marBottom w:val="0"/>
                                                                          <w:divBdr>
                                                                            <w:top w:val="none" w:sz="0" w:space="0" w:color="auto"/>
                                                                            <w:left w:val="none" w:sz="0" w:space="0" w:color="auto"/>
                                                                            <w:bottom w:val="none" w:sz="0" w:space="0" w:color="auto"/>
                                                                            <w:right w:val="none" w:sz="0" w:space="0" w:color="auto"/>
                                                                          </w:divBdr>
                                                                        </w:div>
                                                                        <w:div w:id="1589999228">
                                                                          <w:marLeft w:val="0"/>
                                                                          <w:marRight w:val="0"/>
                                                                          <w:marTop w:val="0"/>
                                                                          <w:marBottom w:val="0"/>
                                                                          <w:divBdr>
                                                                            <w:top w:val="none" w:sz="0" w:space="0" w:color="auto"/>
                                                                            <w:left w:val="none" w:sz="0" w:space="0" w:color="auto"/>
                                                                            <w:bottom w:val="none" w:sz="0" w:space="0" w:color="auto"/>
                                                                            <w:right w:val="none" w:sz="0" w:space="0" w:color="auto"/>
                                                                          </w:divBdr>
                                                                          <w:divsChild>
                                                                            <w:div w:id="1073354833">
                                                                              <w:marLeft w:val="0"/>
                                                                              <w:marRight w:val="0"/>
                                                                              <w:marTop w:val="0"/>
                                                                              <w:marBottom w:val="0"/>
                                                                              <w:divBdr>
                                                                                <w:top w:val="none" w:sz="0" w:space="0" w:color="auto"/>
                                                                                <w:left w:val="none" w:sz="0" w:space="0" w:color="auto"/>
                                                                                <w:bottom w:val="none" w:sz="0" w:space="0" w:color="auto"/>
                                                                                <w:right w:val="none" w:sz="0" w:space="0" w:color="auto"/>
                                                                              </w:divBdr>
                                                                              <w:divsChild>
                                                                                <w:div w:id="675037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4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85964">
      <w:bodyDiv w:val="1"/>
      <w:marLeft w:val="0"/>
      <w:marRight w:val="0"/>
      <w:marTop w:val="0"/>
      <w:marBottom w:val="0"/>
      <w:divBdr>
        <w:top w:val="none" w:sz="0" w:space="0" w:color="auto"/>
        <w:left w:val="none" w:sz="0" w:space="0" w:color="auto"/>
        <w:bottom w:val="none" w:sz="0" w:space="0" w:color="auto"/>
        <w:right w:val="none" w:sz="0" w:space="0" w:color="auto"/>
      </w:divBdr>
      <w:divsChild>
        <w:div w:id="1707410280">
          <w:marLeft w:val="0"/>
          <w:marRight w:val="0"/>
          <w:marTop w:val="0"/>
          <w:marBottom w:val="0"/>
          <w:divBdr>
            <w:top w:val="none" w:sz="0" w:space="0" w:color="auto"/>
            <w:left w:val="single" w:sz="6" w:space="0" w:color="BBBBBB"/>
            <w:bottom w:val="single" w:sz="6" w:space="0" w:color="BBBBBB"/>
            <w:right w:val="single" w:sz="6" w:space="0" w:color="BBBBBB"/>
          </w:divBdr>
          <w:divsChild>
            <w:div w:id="336805711">
              <w:marLeft w:val="0"/>
              <w:marRight w:val="0"/>
              <w:marTop w:val="0"/>
              <w:marBottom w:val="0"/>
              <w:divBdr>
                <w:top w:val="none" w:sz="0" w:space="0" w:color="auto"/>
                <w:left w:val="none" w:sz="0" w:space="0" w:color="auto"/>
                <w:bottom w:val="none" w:sz="0" w:space="0" w:color="auto"/>
                <w:right w:val="none" w:sz="0" w:space="0" w:color="auto"/>
              </w:divBdr>
              <w:divsChild>
                <w:div w:id="1220168146">
                  <w:marLeft w:val="0"/>
                  <w:marRight w:val="0"/>
                  <w:marTop w:val="0"/>
                  <w:marBottom w:val="0"/>
                  <w:divBdr>
                    <w:top w:val="none" w:sz="0" w:space="0" w:color="auto"/>
                    <w:left w:val="none" w:sz="0" w:space="0" w:color="auto"/>
                    <w:bottom w:val="none" w:sz="0" w:space="0" w:color="auto"/>
                    <w:right w:val="none" w:sz="0" w:space="0" w:color="auto"/>
                  </w:divBdr>
                  <w:divsChild>
                    <w:div w:id="562713174">
                      <w:marLeft w:val="0"/>
                      <w:marRight w:val="0"/>
                      <w:marTop w:val="0"/>
                      <w:marBottom w:val="0"/>
                      <w:divBdr>
                        <w:top w:val="none" w:sz="0" w:space="0" w:color="auto"/>
                        <w:left w:val="none" w:sz="0" w:space="0" w:color="auto"/>
                        <w:bottom w:val="none" w:sz="0" w:space="0" w:color="auto"/>
                        <w:right w:val="none" w:sz="0" w:space="0" w:color="auto"/>
                      </w:divBdr>
                      <w:divsChild>
                        <w:div w:id="189806423">
                          <w:marLeft w:val="0"/>
                          <w:marRight w:val="0"/>
                          <w:marTop w:val="0"/>
                          <w:marBottom w:val="0"/>
                          <w:divBdr>
                            <w:top w:val="none" w:sz="0" w:space="0" w:color="auto"/>
                            <w:left w:val="none" w:sz="0" w:space="0" w:color="auto"/>
                            <w:bottom w:val="none" w:sz="0" w:space="0" w:color="auto"/>
                            <w:right w:val="none" w:sz="0" w:space="0" w:color="auto"/>
                          </w:divBdr>
                          <w:divsChild>
                            <w:div w:id="873661674">
                              <w:marLeft w:val="0"/>
                              <w:marRight w:val="0"/>
                              <w:marTop w:val="0"/>
                              <w:marBottom w:val="0"/>
                              <w:divBdr>
                                <w:top w:val="none" w:sz="0" w:space="0" w:color="auto"/>
                                <w:left w:val="none" w:sz="0" w:space="0" w:color="auto"/>
                                <w:bottom w:val="none" w:sz="0" w:space="0" w:color="auto"/>
                                <w:right w:val="none" w:sz="0" w:space="0" w:color="auto"/>
                              </w:divBdr>
                              <w:divsChild>
                                <w:div w:id="492837150">
                                  <w:marLeft w:val="0"/>
                                  <w:marRight w:val="0"/>
                                  <w:marTop w:val="0"/>
                                  <w:marBottom w:val="0"/>
                                  <w:divBdr>
                                    <w:top w:val="none" w:sz="0" w:space="0" w:color="auto"/>
                                    <w:left w:val="none" w:sz="0" w:space="0" w:color="auto"/>
                                    <w:bottom w:val="none" w:sz="0" w:space="0" w:color="auto"/>
                                    <w:right w:val="none" w:sz="0" w:space="0" w:color="auto"/>
                                  </w:divBdr>
                                  <w:divsChild>
                                    <w:div w:id="1757049324">
                                      <w:marLeft w:val="0"/>
                                      <w:marRight w:val="0"/>
                                      <w:marTop w:val="0"/>
                                      <w:marBottom w:val="0"/>
                                      <w:divBdr>
                                        <w:top w:val="none" w:sz="0" w:space="0" w:color="auto"/>
                                        <w:left w:val="none" w:sz="0" w:space="0" w:color="auto"/>
                                        <w:bottom w:val="none" w:sz="0" w:space="0" w:color="auto"/>
                                        <w:right w:val="none" w:sz="0" w:space="0" w:color="auto"/>
                                      </w:divBdr>
                                      <w:divsChild>
                                        <w:div w:id="1645354339">
                                          <w:marLeft w:val="1200"/>
                                          <w:marRight w:val="1200"/>
                                          <w:marTop w:val="0"/>
                                          <w:marBottom w:val="0"/>
                                          <w:divBdr>
                                            <w:top w:val="none" w:sz="0" w:space="0" w:color="auto"/>
                                            <w:left w:val="none" w:sz="0" w:space="0" w:color="auto"/>
                                            <w:bottom w:val="none" w:sz="0" w:space="0" w:color="auto"/>
                                            <w:right w:val="none" w:sz="0" w:space="0" w:color="auto"/>
                                          </w:divBdr>
                                          <w:divsChild>
                                            <w:div w:id="1517573459">
                                              <w:marLeft w:val="0"/>
                                              <w:marRight w:val="0"/>
                                              <w:marTop w:val="0"/>
                                              <w:marBottom w:val="0"/>
                                              <w:divBdr>
                                                <w:top w:val="none" w:sz="0" w:space="0" w:color="auto"/>
                                                <w:left w:val="none" w:sz="0" w:space="0" w:color="auto"/>
                                                <w:bottom w:val="none" w:sz="0" w:space="0" w:color="auto"/>
                                                <w:right w:val="none" w:sz="0" w:space="0" w:color="auto"/>
                                              </w:divBdr>
                                              <w:divsChild>
                                                <w:div w:id="29957278">
                                                  <w:marLeft w:val="0"/>
                                                  <w:marRight w:val="0"/>
                                                  <w:marTop w:val="0"/>
                                                  <w:marBottom w:val="0"/>
                                                  <w:divBdr>
                                                    <w:top w:val="none" w:sz="0" w:space="0" w:color="auto"/>
                                                    <w:left w:val="none" w:sz="0" w:space="0" w:color="auto"/>
                                                    <w:bottom w:val="none" w:sz="0" w:space="0" w:color="auto"/>
                                                    <w:right w:val="none" w:sz="0" w:space="0" w:color="auto"/>
                                                  </w:divBdr>
                                                  <w:divsChild>
                                                    <w:div w:id="711808987">
                                                      <w:marLeft w:val="0"/>
                                                      <w:marRight w:val="0"/>
                                                      <w:marTop w:val="0"/>
                                                      <w:marBottom w:val="0"/>
                                                      <w:divBdr>
                                                        <w:top w:val="none" w:sz="0" w:space="0" w:color="auto"/>
                                                        <w:left w:val="none" w:sz="0" w:space="0" w:color="auto"/>
                                                        <w:bottom w:val="none" w:sz="0" w:space="0" w:color="auto"/>
                                                        <w:right w:val="none" w:sz="0" w:space="0" w:color="auto"/>
                                                      </w:divBdr>
                                                      <w:divsChild>
                                                        <w:div w:id="2141412129">
                                                          <w:marLeft w:val="0"/>
                                                          <w:marRight w:val="0"/>
                                                          <w:marTop w:val="0"/>
                                                          <w:marBottom w:val="0"/>
                                                          <w:divBdr>
                                                            <w:top w:val="none" w:sz="0" w:space="0" w:color="auto"/>
                                                            <w:left w:val="none" w:sz="0" w:space="0" w:color="auto"/>
                                                            <w:bottom w:val="none" w:sz="0" w:space="0" w:color="auto"/>
                                                            <w:right w:val="none" w:sz="0" w:space="0" w:color="auto"/>
                                                          </w:divBdr>
                                                          <w:divsChild>
                                                            <w:div w:id="1735544370">
                                                              <w:marLeft w:val="0"/>
                                                              <w:marRight w:val="0"/>
                                                              <w:marTop w:val="0"/>
                                                              <w:marBottom w:val="0"/>
                                                              <w:divBdr>
                                                                <w:top w:val="none" w:sz="0" w:space="0" w:color="auto"/>
                                                                <w:left w:val="none" w:sz="0" w:space="0" w:color="auto"/>
                                                                <w:bottom w:val="none" w:sz="0" w:space="0" w:color="auto"/>
                                                                <w:right w:val="none" w:sz="0" w:space="0" w:color="auto"/>
                                                              </w:divBdr>
                                                              <w:divsChild>
                                                                <w:div w:id="1464687335">
                                                                  <w:marLeft w:val="0"/>
                                                                  <w:marRight w:val="0"/>
                                                                  <w:marTop w:val="0"/>
                                                                  <w:marBottom w:val="0"/>
                                                                  <w:divBdr>
                                                                    <w:top w:val="none" w:sz="0" w:space="0" w:color="auto"/>
                                                                    <w:left w:val="none" w:sz="0" w:space="0" w:color="auto"/>
                                                                    <w:bottom w:val="none" w:sz="0" w:space="0" w:color="auto"/>
                                                                    <w:right w:val="none" w:sz="0" w:space="0" w:color="auto"/>
                                                                  </w:divBdr>
                                                                  <w:divsChild>
                                                                    <w:div w:id="2056851646">
                                                                      <w:marLeft w:val="0"/>
                                                                      <w:marRight w:val="0"/>
                                                                      <w:marTop w:val="0"/>
                                                                      <w:marBottom w:val="0"/>
                                                                      <w:divBdr>
                                                                        <w:top w:val="none" w:sz="0" w:space="0" w:color="auto"/>
                                                                        <w:left w:val="none" w:sz="0" w:space="0" w:color="auto"/>
                                                                        <w:bottom w:val="none" w:sz="0" w:space="0" w:color="auto"/>
                                                                        <w:right w:val="none" w:sz="0" w:space="0" w:color="auto"/>
                                                                      </w:divBdr>
                                                                      <w:divsChild>
                                                                        <w:div w:id="451830272">
                                                                          <w:marLeft w:val="0"/>
                                                                          <w:marRight w:val="0"/>
                                                                          <w:marTop w:val="0"/>
                                                                          <w:marBottom w:val="0"/>
                                                                          <w:divBdr>
                                                                            <w:top w:val="none" w:sz="0" w:space="0" w:color="auto"/>
                                                                            <w:left w:val="none" w:sz="0" w:space="0" w:color="auto"/>
                                                                            <w:bottom w:val="none" w:sz="0" w:space="0" w:color="auto"/>
                                                                            <w:right w:val="none" w:sz="0" w:space="0" w:color="auto"/>
                                                                          </w:divBdr>
                                                                          <w:divsChild>
                                                                            <w:div w:id="669260649">
                                                                              <w:marLeft w:val="0"/>
                                                                              <w:marRight w:val="0"/>
                                                                              <w:marTop w:val="0"/>
                                                                              <w:marBottom w:val="0"/>
                                                                              <w:divBdr>
                                                                                <w:top w:val="none" w:sz="0" w:space="0" w:color="auto"/>
                                                                                <w:left w:val="none" w:sz="0" w:space="0" w:color="auto"/>
                                                                                <w:bottom w:val="none" w:sz="0" w:space="0" w:color="auto"/>
                                                                                <w:right w:val="none" w:sz="0" w:space="0" w:color="auto"/>
                                                                              </w:divBdr>
                                                                            </w:div>
                                                                          </w:divsChild>
                                                                        </w:div>
                                                                        <w:div w:id="685905499">
                                                                          <w:marLeft w:val="0"/>
                                                                          <w:marRight w:val="0"/>
                                                                          <w:marTop w:val="0"/>
                                                                          <w:marBottom w:val="0"/>
                                                                          <w:divBdr>
                                                                            <w:top w:val="none" w:sz="0" w:space="0" w:color="auto"/>
                                                                            <w:left w:val="none" w:sz="0" w:space="0" w:color="auto"/>
                                                                            <w:bottom w:val="none" w:sz="0" w:space="0" w:color="auto"/>
                                                                            <w:right w:val="none" w:sz="0" w:space="0" w:color="auto"/>
                                                                          </w:divBdr>
                                                                          <w:divsChild>
                                                                            <w:div w:id="828132952">
                                                                              <w:marLeft w:val="0"/>
                                                                              <w:marRight w:val="0"/>
                                                                              <w:marTop w:val="0"/>
                                                                              <w:marBottom w:val="0"/>
                                                                              <w:divBdr>
                                                                                <w:top w:val="none" w:sz="0" w:space="0" w:color="auto"/>
                                                                                <w:left w:val="none" w:sz="0" w:space="0" w:color="auto"/>
                                                                                <w:bottom w:val="none" w:sz="0" w:space="0" w:color="auto"/>
                                                                                <w:right w:val="none" w:sz="0" w:space="0" w:color="auto"/>
                                                                              </w:divBdr>
                                                                            </w:div>
                                                                          </w:divsChild>
                                                                        </w:div>
                                                                        <w:div w:id="775490055">
                                                                          <w:marLeft w:val="0"/>
                                                                          <w:marRight w:val="0"/>
                                                                          <w:marTop w:val="0"/>
                                                                          <w:marBottom w:val="0"/>
                                                                          <w:divBdr>
                                                                            <w:top w:val="none" w:sz="0" w:space="0" w:color="auto"/>
                                                                            <w:left w:val="none" w:sz="0" w:space="0" w:color="auto"/>
                                                                            <w:bottom w:val="none" w:sz="0" w:space="0" w:color="auto"/>
                                                                            <w:right w:val="none" w:sz="0" w:space="0" w:color="auto"/>
                                                                          </w:divBdr>
                                                                          <w:divsChild>
                                                                            <w:div w:id="1032728637">
                                                                              <w:marLeft w:val="0"/>
                                                                              <w:marRight w:val="0"/>
                                                                              <w:marTop w:val="0"/>
                                                                              <w:marBottom w:val="0"/>
                                                                              <w:divBdr>
                                                                                <w:top w:val="none" w:sz="0" w:space="0" w:color="auto"/>
                                                                                <w:left w:val="none" w:sz="0" w:space="0" w:color="auto"/>
                                                                                <w:bottom w:val="none" w:sz="0" w:space="0" w:color="auto"/>
                                                                                <w:right w:val="none" w:sz="0" w:space="0" w:color="auto"/>
                                                                              </w:divBdr>
                                                                            </w:div>
                                                                          </w:divsChild>
                                                                        </w:div>
                                                                        <w:div w:id="849371895">
                                                                          <w:marLeft w:val="0"/>
                                                                          <w:marRight w:val="0"/>
                                                                          <w:marTop w:val="0"/>
                                                                          <w:marBottom w:val="0"/>
                                                                          <w:divBdr>
                                                                            <w:top w:val="none" w:sz="0" w:space="0" w:color="auto"/>
                                                                            <w:left w:val="none" w:sz="0" w:space="0" w:color="auto"/>
                                                                            <w:bottom w:val="none" w:sz="0" w:space="0" w:color="auto"/>
                                                                            <w:right w:val="none" w:sz="0" w:space="0" w:color="auto"/>
                                                                          </w:divBdr>
                                                                          <w:divsChild>
                                                                            <w:div w:id="885874232">
                                                                              <w:marLeft w:val="0"/>
                                                                              <w:marRight w:val="0"/>
                                                                              <w:marTop w:val="0"/>
                                                                              <w:marBottom w:val="0"/>
                                                                              <w:divBdr>
                                                                                <w:top w:val="none" w:sz="0" w:space="0" w:color="auto"/>
                                                                                <w:left w:val="none" w:sz="0" w:space="0" w:color="auto"/>
                                                                                <w:bottom w:val="none" w:sz="0" w:space="0" w:color="auto"/>
                                                                                <w:right w:val="none" w:sz="0" w:space="0" w:color="auto"/>
                                                                              </w:divBdr>
                                                                            </w:div>
                                                                          </w:divsChild>
                                                                        </w:div>
                                                                        <w:div w:id="1705250156">
                                                                          <w:marLeft w:val="0"/>
                                                                          <w:marRight w:val="0"/>
                                                                          <w:marTop w:val="0"/>
                                                                          <w:marBottom w:val="0"/>
                                                                          <w:divBdr>
                                                                            <w:top w:val="none" w:sz="0" w:space="0" w:color="auto"/>
                                                                            <w:left w:val="none" w:sz="0" w:space="0" w:color="auto"/>
                                                                            <w:bottom w:val="none" w:sz="0" w:space="0" w:color="auto"/>
                                                                            <w:right w:val="none" w:sz="0" w:space="0" w:color="auto"/>
                                                                          </w:divBdr>
                                                                          <w:divsChild>
                                                                            <w:div w:id="6740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418132">
      <w:bodyDiv w:val="1"/>
      <w:marLeft w:val="0"/>
      <w:marRight w:val="0"/>
      <w:marTop w:val="0"/>
      <w:marBottom w:val="0"/>
      <w:divBdr>
        <w:top w:val="none" w:sz="0" w:space="0" w:color="auto"/>
        <w:left w:val="none" w:sz="0" w:space="0" w:color="auto"/>
        <w:bottom w:val="none" w:sz="0" w:space="0" w:color="auto"/>
        <w:right w:val="none" w:sz="0" w:space="0" w:color="auto"/>
      </w:divBdr>
      <w:divsChild>
        <w:div w:id="1606890334">
          <w:marLeft w:val="0"/>
          <w:marRight w:val="0"/>
          <w:marTop w:val="0"/>
          <w:marBottom w:val="0"/>
          <w:divBdr>
            <w:top w:val="none" w:sz="0" w:space="0" w:color="auto"/>
            <w:left w:val="single" w:sz="6" w:space="0" w:color="BBBBBB"/>
            <w:bottom w:val="single" w:sz="6" w:space="0" w:color="BBBBBB"/>
            <w:right w:val="single" w:sz="6" w:space="0" w:color="BBBBBB"/>
          </w:divBdr>
          <w:divsChild>
            <w:div w:id="160315595">
              <w:marLeft w:val="0"/>
              <w:marRight w:val="0"/>
              <w:marTop w:val="0"/>
              <w:marBottom w:val="0"/>
              <w:divBdr>
                <w:top w:val="none" w:sz="0" w:space="0" w:color="auto"/>
                <w:left w:val="none" w:sz="0" w:space="0" w:color="auto"/>
                <w:bottom w:val="none" w:sz="0" w:space="0" w:color="auto"/>
                <w:right w:val="none" w:sz="0" w:space="0" w:color="auto"/>
              </w:divBdr>
              <w:divsChild>
                <w:div w:id="1239289247">
                  <w:marLeft w:val="0"/>
                  <w:marRight w:val="0"/>
                  <w:marTop w:val="75"/>
                  <w:marBottom w:val="0"/>
                  <w:divBdr>
                    <w:top w:val="none" w:sz="0" w:space="0" w:color="auto"/>
                    <w:left w:val="none" w:sz="0" w:space="0" w:color="auto"/>
                    <w:bottom w:val="none" w:sz="0" w:space="0" w:color="auto"/>
                    <w:right w:val="none" w:sz="0" w:space="0" w:color="auto"/>
                  </w:divBdr>
                  <w:divsChild>
                    <w:div w:id="820004490">
                      <w:marLeft w:val="0"/>
                      <w:marRight w:val="0"/>
                      <w:marTop w:val="0"/>
                      <w:marBottom w:val="0"/>
                      <w:divBdr>
                        <w:top w:val="none" w:sz="0" w:space="0" w:color="auto"/>
                        <w:left w:val="none" w:sz="0" w:space="0" w:color="auto"/>
                        <w:bottom w:val="none" w:sz="0" w:space="0" w:color="auto"/>
                        <w:right w:val="none" w:sz="0" w:space="0" w:color="auto"/>
                      </w:divBdr>
                      <w:divsChild>
                        <w:div w:id="1519469951">
                          <w:marLeft w:val="0"/>
                          <w:marRight w:val="0"/>
                          <w:marTop w:val="0"/>
                          <w:marBottom w:val="0"/>
                          <w:divBdr>
                            <w:top w:val="none" w:sz="0" w:space="0" w:color="auto"/>
                            <w:left w:val="none" w:sz="0" w:space="0" w:color="auto"/>
                            <w:bottom w:val="none" w:sz="0" w:space="0" w:color="auto"/>
                            <w:right w:val="none" w:sz="0" w:space="0" w:color="auto"/>
                          </w:divBdr>
                          <w:divsChild>
                            <w:div w:id="1564099231">
                              <w:marLeft w:val="0"/>
                              <w:marRight w:val="0"/>
                              <w:marTop w:val="0"/>
                              <w:marBottom w:val="0"/>
                              <w:divBdr>
                                <w:top w:val="none" w:sz="0" w:space="0" w:color="auto"/>
                                <w:left w:val="none" w:sz="0" w:space="0" w:color="auto"/>
                                <w:bottom w:val="none" w:sz="0" w:space="0" w:color="auto"/>
                                <w:right w:val="none" w:sz="0" w:space="0" w:color="auto"/>
                              </w:divBdr>
                              <w:divsChild>
                                <w:div w:id="1921937852">
                                  <w:marLeft w:val="0"/>
                                  <w:marRight w:val="0"/>
                                  <w:marTop w:val="0"/>
                                  <w:marBottom w:val="0"/>
                                  <w:divBdr>
                                    <w:top w:val="none" w:sz="0" w:space="0" w:color="auto"/>
                                    <w:left w:val="none" w:sz="0" w:space="0" w:color="auto"/>
                                    <w:bottom w:val="none" w:sz="0" w:space="0" w:color="auto"/>
                                    <w:right w:val="none" w:sz="0" w:space="0" w:color="auto"/>
                                  </w:divBdr>
                                  <w:divsChild>
                                    <w:div w:id="1723360329">
                                      <w:marLeft w:val="0"/>
                                      <w:marRight w:val="0"/>
                                      <w:marTop w:val="0"/>
                                      <w:marBottom w:val="0"/>
                                      <w:divBdr>
                                        <w:top w:val="none" w:sz="0" w:space="0" w:color="auto"/>
                                        <w:left w:val="none" w:sz="0" w:space="0" w:color="auto"/>
                                        <w:bottom w:val="none" w:sz="0" w:space="0" w:color="auto"/>
                                        <w:right w:val="none" w:sz="0" w:space="0" w:color="auto"/>
                                      </w:divBdr>
                                      <w:divsChild>
                                        <w:div w:id="513226141">
                                          <w:marLeft w:val="1200"/>
                                          <w:marRight w:val="1200"/>
                                          <w:marTop w:val="0"/>
                                          <w:marBottom w:val="0"/>
                                          <w:divBdr>
                                            <w:top w:val="none" w:sz="0" w:space="0" w:color="auto"/>
                                            <w:left w:val="none" w:sz="0" w:space="0" w:color="auto"/>
                                            <w:bottom w:val="none" w:sz="0" w:space="0" w:color="auto"/>
                                            <w:right w:val="none" w:sz="0" w:space="0" w:color="auto"/>
                                          </w:divBdr>
                                          <w:divsChild>
                                            <w:div w:id="330181629">
                                              <w:marLeft w:val="0"/>
                                              <w:marRight w:val="0"/>
                                              <w:marTop w:val="0"/>
                                              <w:marBottom w:val="0"/>
                                              <w:divBdr>
                                                <w:top w:val="none" w:sz="0" w:space="0" w:color="auto"/>
                                                <w:left w:val="none" w:sz="0" w:space="0" w:color="auto"/>
                                                <w:bottom w:val="none" w:sz="0" w:space="0" w:color="auto"/>
                                                <w:right w:val="none" w:sz="0" w:space="0" w:color="auto"/>
                                              </w:divBdr>
                                              <w:divsChild>
                                                <w:div w:id="1426535361">
                                                  <w:marLeft w:val="0"/>
                                                  <w:marRight w:val="0"/>
                                                  <w:marTop w:val="0"/>
                                                  <w:marBottom w:val="0"/>
                                                  <w:divBdr>
                                                    <w:top w:val="none" w:sz="0" w:space="0" w:color="auto"/>
                                                    <w:left w:val="none" w:sz="0" w:space="0" w:color="auto"/>
                                                    <w:bottom w:val="none" w:sz="0" w:space="0" w:color="auto"/>
                                                    <w:right w:val="none" w:sz="0" w:space="0" w:color="auto"/>
                                                  </w:divBdr>
                                                  <w:divsChild>
                                                    <w:div w:id="331108339">
                                                      <w:marLeft w:val="0"/>
                                                      <w:marRight w:val="0"/>
                                                      <w:marTop w:val="0"/>
                                                      <w:marBottom w:val="0"/>
                                                      <w:divBdr>
                                                        <w:top w:val="none" w:sz="0" w:space="0" w:color="auto"/>
                                                        <w:left w:val="none" w:sz="0" w:space="0" w:color="auto"/>
                                                        <w:bottom w:val="none" w:sz="0" w:space="0" w:color="auto"/>
                                                        <w:right w:val="none" w:sz="0" w:space="0" w:color="auto"/>
                                                      </w:divBdr>
                                                      <w:divsChild>
                                                        <w:div w:id="1221861595">
                                                          <w:marLeft w:val="0"/>
                                                          <w:marRight w:val="0"/>
                                                          <w:marTop w:val="0"/>
                                                          <w:marBottom w:val="0"/>
                                                          <w:divBdr>
                                                            <w:top w:val="none" w:sz="0" w:space="0" w:color="auto"/>
                                                            <w:left w:val="none" w:sz="0" w:space="0" w:color="auto"/>
                                                            <w:bottom w:val="none" w:sz="0" w:space="0" w:color="auto"/>
                                                            <w:right w:val="none" w:sz="0" w:space="0" w:color="auto"/>
                                                          </w:divBdr>
                                                        </w:div>
                                                      </w:divsChild>
                                                    </w:div>
                                                    <w:div w:id="623577922">
                                                      <w:marLeft w:val="0"/>
                                                      <w:marRight w:val="0"/>
                                                      <w:marTop w:val="0"/>
                                                      <w:marBottom w:val="0"/>
                                                      <w:divBdr>
                                                        <w:top w:val="none" w:sz="0" w:space="0" w:color="auto"/>
                                                        <w:left w:val="none" w:sz="0" w:space="0" w:color="auto"/>
                                                        <w:bottom w:val="none" w:sz="0" w:space="0" w:color="auto"/>
                                                        <w:right w:val="none" w:sz="0" w:space="0" w:color="auto"/>
                                                      </w:divBdr>
                                                      <w:divsChild>
                                                        <w:div w:id="1090547250">
                                                          <w:marLeft w:val="0"/>
                                                          <w:marRight w:val="0"/>
                                                          <w:marTop w:val="0"/>
                                                          <w:marBottom w:val="0"/>
                                                          <w:divBdr>
                                                            <w:top w:val="none" w:sz="0" w:space="0" w:color="auto"/>
                                                            <w:left w:val="none" w:sz="0" w:space="0" w:color="auto"/>
                                                            <w:bottom w:val="none" w:sz="0" w:space="0" w:color="auto"/>
                                                            <w:right w:val="none" w:sz="0" w:space="0" w:color="auto"/>
                                                          </w:divBdr>
                                                        </w:div>
                                                      </w:divsChild>
                                                    </w:div>
                                                    <w:div w:id="670255822">
                                                      <w:marLeft w:val="0"/>
                                                      <w:marRight w:val="0"/>
                                                      <w:marTop w:val="0"/>
                                                      <w:marBottom w:val="0"/>
                                                      <w:divBdr>
                                                        <w:top w:val="none" w:sz="0" w:space="0" w:color="auto"/>
                                                        <w:left w:val="none" w:sz="0" w:space="0" w:color="auto"/>
                                                        <w:bottom w:val="none" w:sz="0" w:space="0" w:color="auto"/>
                                                        <w:right w:val="none" w:sz="0" w:space="0" w:color="auto"/>
                                                      </w:divBdr>
                                                      <w:divsChild>
                                                        <w:div w:id="1458330014">
                                                          <w:marLeft w:val="0"/>
                                                          <w:marRight w:val="0"/>
                                                          <w:marTop w:val="0"/>
                                                          <w:marBottom w:val="0"/>
                                                          <w:divBdr>
                                                            <w:top w:val="none" w:sz="0" w:space="0" w:color="auto"/>
                                                            <w:left w:val="none" w:sz="0" w:space="0" w:color="auto"/>
                                                            <w:bottom w:val="none" w:sz="0" w:space="0" w:color="auto"/>
                                                            <w:right w:val="none" w:sz="0" w:space="0" w:color="auto"/>
                                                          </w:divBdr>
                                                        </w:div>
                                                      </w:divsChild>
                                                    </w:div>
                                                    <w:div w:id="951474027">
                                                      <w:marLeft w:val="0"/>
                                                      <w:marRight w:val="0"/>
                                                      <w:marTop w:val="0"/>
                                                      <w:marBottom w:val="0"/>
                                                      <w:divBdr>
                                                        <w:top w:val="none" w:sz="0" w:space="0" w:color="auto"/>
                                                        <w:left w:val="none" w:sz="0" w:space="0" w:color="auto"/>
                                                        <w:bottom w:val="none" w:sz="0" w:space="0" w:color="auto"/>
                                                        <w:right w:val="none" w:sz="0" w:space="0" w:color="auto"/>
                                                      </w:divBdr>
                                                      <w:divsChild>
                                                        <w:div w:id="1161510060">
                                                          <w:marLeft w:val="0"/>
                                                          <w:marRight w:val="0"/>
                                                          <w:marTop w:val="0"/>
                                                          <w:marBottom w:val="0"/>
                                                          <w:divBdr>
                                                            <w:top w:val="none" w:sz="0" w:space="0" w:color="auto"/>
                                                            <w:left w:val="none" w:sz="0" w:space="0" w:color="auto"/>
                                                            <w:bottom w:val="none" w:sz="0" w:space="0" w:color="auto"/>
                                                            <w:right w:val="none" w:sz="0" w:space="0" w:color="auto"/>
                                                          </w:divBdr>
                                                        </w:div>
                                                      </w:divsChild>
                                                    </w:div>
                                                    <w:div w:id="1218320210">
                                                      <w:marLeft w:val="0"/>
                                                      <w:marRight w:val="0"/>
                                                      <w:marTop w:val="0"/>
                                                      <w:marBottom w:val="0"/>
                                                      <w:divBdr>
                                                        <w:top w:val="none" w:sz="0" w:space="0" w:color="auto"/>
                                                        <w:left w:val="none" w:sz="0" w:space="0" w:color="auto"/>
                                                        <w:bottom w:val="none" w:sz="0" w:space="0" w:color="auto"/>
                                                        <w:right w:val="none" w:sz="0" w:space="0" w:color="auto"/>
                                                      </w:divBdr>
                                                      <w:divsChild>
                                                        <w:div w:id="222956406">
                                                          <w:marLeft w:val="0"/>
                                                          <w:marRight w:val="0"/>
                                                          <w:marTop w:val="0"/>
                                                          <w:marBottom w:val="0"/>
                                                          <w:divBdr>
                                                            <w:top w:val="none" w:sz="0" w:space="0" w:color="auto"/>
                                                            <w:left w:val="none" w:sz="0" w:space="0" w:color="auto"/>
                                                            <w:bottom w:val="none" w:sz="0" w:space="0" w:color="auto"/>
                                                            <w:right w:val="none" w:sz="0" w:space="0" w:color="auto"/>
                                                          </w:divBdr>
                                                        </w:div>
                                                      </w:divsChild>
                                                    </w:div>
                                                    <w:div w:id="1356538916">
                                                      <w:marLeft w:val="0"/>
                                                      <w:marRight w:val="0"/>
                                                      <w:marTop w:val="0"/>
                                                      <w:marBottom w:val="0"/>
                                                      <w:divBdr>
                                                        <w:top w:val="none" w:sz="0" w:space="0" w:color="auto"/>
                                                        <w:left w:val="none" w:sz="0" w:space="0" w:color="auto"/>
                                                        <w:bottom w:val="none" w:sz="0" w:space="0" w:color="auto"/>
                                                        <w:right w:val="none" w:sz="0" w:space="0" w:color="auto"/>
                                                      </w:divBdr>
                                                      <w:divsChild>
                                                        <w:div w:id="1112743473">
                                                          <w:marLeft w:val="0"/>
                                                          <w:marRight w:val="0"/>
                                                          <w:marTop w:val="0"/>
                                                          <w:marBottom w:val="0"/>
                                                          <w:divBdr>
                                                            <w:top w:val="none" w:sz="0" w:space="0" w:color="auto"/>
                                                            <w:left w:val="none" w:sz="0" w:space="0" w:color="auto"/>
                                                            <w:bottom w:val="none" w:sz="0" w:space="0" w:color="auto"/>
                                                            <w:right w:val="none" w:sz="0" w:space="0" w:color="auto"/>
                                                          </w:divBdr>
                                                        </w:div>
                                                      </w:divsChild>
                                                    </w:div>
                                                    <w:div w:id="1694989456">
                                                      <w:marLeft w:val="0"/>
                                                      <w:marRight w:val="0"/>
                                                      <w:marTop w:val="0"/>
                                                      <w:marBottom w:val="0"/>
                                                      <w:divBdr>
                                                        <w:top w:val="none" w:sz="0" w:space="0" w:color="auto"/>
                                                        <w:left w:val="none" w:sz="0" w:space="0" w:color="auto"/>
                                                        <w:bottom w:val="none" w:sz="0" w:space="0" w:color="auto"/>
                                                        <w:right w:val="none" w:sz="0" w:space="0" w:color="auto"/>
                                                      </w:divBdr>
                                                      <w:divsChild>
                                                        <w:div w:id="475610552">
                                                          <w:marLeft w:val="0"/>
                                                          <w:marRight w:val="0"/>
                                                          <w:marTop w:val="0"/>
                                                          <w:marBottom w:val="0"/>
                                                          <w:divBdr>
                                                            <w:top w:val="none" w:sz="0" w:space="0" w:color="auto"/>
                                                            <w:left w:val="none" w:sz="0" w:space="0" w:color="auto"/>
                                                            <w:bottom w:val="none" w:sz="0" w:space="0" w:color="auto"/>
                                                            <w:right w:val="none" w:sz="0" w:space="0" w:color="auto"/>
                                                          </w:divBdr>
                                                        </w:div>
                                                      </w:divsChild>
                                                    </w:div>
                                                    <w:div w:id="1737121616">
                                                      <w:marLeft w:val="0"/>
                                                      <w:marRight w:val="0"/>
                                                      <w:marTop w:val="0"/>
                                                      <w:marBottom w:val="0"/>
                                                      <w:divBdr>
                                                        <w:top w:val="none" w:sz="0" w:space="0" w:color="auto"/>
                                                        <w:left w:val="none" w:sz="0" w:space="0" w:color="auto"/>
                                                        <w:bottom w:val="none" w:sz="0" w:space="0" w:color="auto"/>
                                                        <w:right w:val="none" w:sz="0" w:space="0" w:color="auto"/>
                                                      </w:divBdr>
                                                      <w:divsChild>
                                                        <w:div w:id="16529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0759824">
      <w:bodyDiv w:val="1"/>
      <w:marLeft w:val="0"/>
      <w:marRight w:val="0"/>
      <w:marTop w:val="0"/>
      <w:marBottom w:val="0"/>
      <w:divBdr>
        <w:top w:val="none" w:sz="0" w:space="0" w:color="auto"/>
        <w:left w:val="none" w:sz="0" w:space="0" w:color="auto"/>
        <w:bottom w:val="none" w:sz="0" w:space="0" w:color="auto"/>
        <w:right w:val="none" w:sz="0" w:space="0" w:color="auto"/>
      </w:divBdr>
      <w:divsChild>
        <w:div w:id="379863689">
          <w:marLeft w:val="0"/>
          <w:marRight w:val="0"/>
          <w:marTop w:val="0"/>
          <w:marBottom w:val="0"/>
          <w:divBdr>
            <w:top w:val="none" w:sz="0" w:space="0" w:color="auto"/>
            <w:left w:val="none" w:sz="0" w:space="0" w:color="auto"/>
            <w:bottom w:val="none" w:sz="0" w:space="0" w:color="auto"/>
            <w:right w:val="none" w:sz="0" w:space="0" w:color="auto"/>
          </w:divBdr>
          <w:divsChild>
            <w:div w:id="752048748">
              <w:marLeft w:val="0"/>
              <w:marRight w:val="0"/>
              <w:marTop w:val="0"/>
              <w:marBottom w:val="0"/>
              <w:divBdr>
                <w:top w:val="none" w:sz="0" w:space="0" w:color="auto"/>
                <w:left w:val="none" w:sz="0" w:space="0" w:color="auto"/>
                <w:bottom w:val="none" w:sz="0" w:space="0" w:color="auto"/>
                <w:right w:val="none" w:sz="0" w:space="0" w:color="auto"/>
              </w:divBdr>
              <w:divsChild>
                <w:div w:id="748381819">
                  <w:marLeft w:val="0"/>
                  <w:marRight w:val="0"/>
                  <w:marTop w:val="0"/>
                  <w:marBottom w:val="0"/>
                  <w:divBdr>
                    <w:top w:val="none" w:sz="0" w:space="0" w:color="auto"/>
                    <w:left w:val="none" w:sz="0" w:space="0" w:color="auto"/>
                    <w:bottom w:val="none" w:sz="0" w:space="0" w:color="auto"/>
                    <w:right w:val="none" w:sz="0" w:space="0" w:color="auto"/>
                  </w:divBdr>
                  <w:divsChild>
                    <w:div w:id="657728055">
                      <w:marLeft w:val="0"/>
                      <w:marRight w:val="0"/>
                      <w:marTop w:val="0"/>
                      <w:marBottom w:val="0"/>
                      <w:divBdr>
                        <w:top w:val="none" w:sz="0" w:space="0" w:color="auto"/>
                        <w:left w:val="none" w:sz="0" w:space="0" w:color="auto"/>
                        <w:bottom w:val="none" w:sz="0" w:space="0" w:color="auto"/>
                        <w:right w:val="none" w:sz="0" w:space="0" w:color="auto"/>
                      </w:divBdr>
                      <w:divsChild>
                        <w:div w:id="1064136372">
                          <w:marLeft w:val="0"/>
                          <w:marRight w:val="0"/>
                          <w:marTop w:val="0"/>
                          <w:marBottom w:val="0"/>
                          <w:divBdr>
                            <w:top w:val="none" w:sz="0" w:space="0" w:color="auto"/>
                            <w:left w:val="none" w:sz="0" w:space="0" w:color="auto"/>
                            <w:bottom w:val="none" w:sz="0" w:space="0" w:color="auto"/>
                            <w:right w:val="none" w:sz="0" w:space="0" w:color="auto"/>
                          </w:divBdr>
                          <w:divsChild>
                            <w:div w:id="1819688232">
                              <w:marLeft w:val="0"/>
                              <w:marRight w:val="0"/>
                              <w:marTop w:val="0"/>
                              <w:marBottom w:val="0"/>
                              <w:divBdr>
                                <w:top w:val="none" w:sz="0" w:space="0" w:color="auto"/>
                                <w:left w:val="none" w:sz="0" w:space="0" w:color="auto"/>
                                <w:bottom w:val="none" w:sz="0" w:space="0" w:color="auto"/>
                                <w:right w:val="none" w:sz="0" w:space="0" w:color="auto"/>
                              </w:divBdr>
                              <w:divsChild>
                                <w:div w:id="16147071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847913">
      <w:bodyDiv w:val="1"/>
      <w:marLeft w:val="0"/>
      <w:marRight w:val="0"/>
      <w:marTop w:val="0"/>
      <w:marBottom w:val="0"/>
      <w:divBdr>
        <w:top w:val="none" w:sz="0" w:space="0" w:color="auto"/>
        <w:left w:val="none" w:sz="0" w:space="0" w:color="auto"/>
        <w:bottom w:val="none" w:sz="0" w:space="0" w:color="auto"/>
        <w:right w:val="none" w:sz="0" w:space="0" w:color="auto"/>
      </w:divBdr>
      <w:divsChild>
        <w:div w:id="1863203869">
          <w:marLeft w:val="0"/>
          <w:marRight w:val="0"/>
          <w:marTop w:val="0"/>
          <w:marBottom w:val="0"/>
          <w:divBdr>
            <w:top w:val="none" w:sz="0" w:space="0" w:color="auto"/>
            <w:left w:val="single" w:sz="6" w:space="0" w:color="BBBBBB"/>
            <w:bottom w:val="single" w:sz="6" w:space="0" w:color="BBBBBB"/>
            <w:right w:val="single" w:sz="6" w:space="0" w:color="BBBBBB"/>
          </w:divBdr>
          <w:divsChild>
            <w:div w:id="705564242">
              <w:marLeft w:val="0"/>
              <w:marRight w:val="0"/>
              <w:marTop w:val="0"/>
              <w:marBottom w:val="0"/>
              <w:divBdr>
                <w:top w:val="none" w:sz="0" w:space="0" w:color="auto"/>
                <w:left w:val="none" w:sz="0" w:space="0" w:color="auto"/>
                <w:bottom w:val="none" w:sz="0" w:space="0" w:color="auto"/>
                <w:right w:val="none" w:sz="0" w:space="0" w:color="auto"/>
              </w:divBdr>
              <w:divsChild>
                <w:div w:id="544565770">
                  <w:marLeft w:val="0"/>
                  <w:marRight w:val="0"/>
                  <w:marTop w:val="75"/>
                  <w:marBottom w:val="0"/>
                  <w:divBdr>
                    <w:top w:val="none" w:sz="0" w:space="0" w:color="auto"/>
                    <w:left w:val="none" w:sz="0" w:space="0" w:color="auto"/>
                    <w:bottom w:val="none" w:sz="0" w:space="0" w:color="auto"/>
                    <w:right w:val="none" w:sz="0" w:space="0" w:color="auto"/>
                  </w:divBdr>
                  <w:divsChild>
                    <w:div w:id="1392385360">
                      <w:marLeft w:val="0"/>
                      <w:marRight w:val="0"/>
                      <w:marTop w:val="0"/>
                      <w:marBottom w:val="0"/>
                      <w:divBdr>
                        <w:top w:val="none" w:sz="0" w:space="0" w:color="auto"/>
                        <w:left w:val="none" w:sz="0" w:space="0" w:color="auto"/>
                        <w:bottom w:val="none" w:sz="0" w:space="0" w:color="auto"/>
                        <w:right w:val="none" w:sz="0" w:space="0" w:color="auto"/>
                      </w:divBdr>
                      <w:divsChild>
                        <w:div w:id="297344187">
                          <w:marLeft w:val="0"/>
                          <w:marRight w:val="0"/>
                          <w:marTop w:val="0"/>
                          <w:marBottom w:val="0"/>
                          <w:divBdr>
                            <w:top w:val="none" w:sz="0" w:space="0" w:color="auto"/>
                            <w:left w:val="none" w:sz="0" w:space="0" w:color="auto"/>
                            <w:bottom w:val="none" w:sz="0" w:space="0" w:color="auto"/>
                            <w:right w:val="none" w:sz="0" w:space="0" w:color="auto"/>
                          </w:divBdr>
                          <w:divsChild>
                            <w:div w:id="1924685627">
                              <w:marLeft w:val="0"/>
                              <w:marRight w:val="0"/>
                              <w:marTop w:val="0"/>
                              <w:marBottom w:val="0"/>
                              <w:divBdr>
                                <w:top w:val="none" w:sz="0" w:space="0" w:color="auto"/>
                                <w:left w:val="none" w:sz="0" w:space="0" w:color="auto"/>
                                <w:bottom w:val="none" w:sz="0" w:space="0" w:color="auto"/>
                                <w:right w:val="none" w:sz="0" w:space="0" w:color="auto"/>
                              </w:divBdr>
                              <w:divsChild>
                                <w:div w:id="1265652818">
                                  <w:marLeft w:val="0"/>
                                  <w:marRight w:val="0"/>
                                  <w:marTop w:val="0"/>
                                  <w:marBottom w:val="0"/>
                                  <w:divBdr>
                                    <w:top w:val="none" w:sz="0" w:space="0" w:color="auto"/>
                                    <w:left w:val="none" w:sz="0" w:space="0" w:color="auto"/>
                                    <w:bottom w:val="none" w:sz="0" w:space="0" w:color="auto"/>
                                    <w:right w:val="none" w:sz="0" w:space="0" w:color="auto"/>
                                  </w:divBdr>
                                  <w:divsChild>
                                    <w:div w:id="1546528743">
                                      <w:marLeft w:val="0"/>
                                      <w:marRight w:val="0"/>
                                      <w:marTop w:val="0"/>
                                      <w:marBottom w:val="0"/>
                                      <w:divBdr>
                                        <w:top w:val="none" w:sz="0" w:space="0" w:color="auto"/>
                                        <w:left w:val="none" w:sz="0" w:space="0" w:color="auto"/>
                                        <w:bottom w:val="none" w:sz="0" w:space="0" w:color="auto"/>
                                        <w:right w:val="none" w:sz="0" w:space="0" w:color="auto"/>
                                      </w:divBdr>
                                      <w:divsChild>
                                        <w:div w:id="1668169041">
                                          <w:marLeft w:val="1200"/>
                                          <w:marRight w:val="1200"/>
                                          <w:marTop w:val="0"/>
                                          <w:marBottom w:val="0"/>
                                          <w:divBdr>
                                            <w:top w:val="none" w:sz="0" w:space="0" w:color="auto"/>
                                            <w:left w:val="none" w:sz="0" w:space="0" w:color="auto"/>
                                            <w:bottom w:val="none" w:sz="0" w:space="0" w:color="auto"/>
                                            <w:right w:val="none" w:sz="0" w:space="0" w:color="auto"/>
                                          </w:divBdr>
                                          <w:divsChild>
                                            <w:div w:id="1504969841">
                                              <w:marLeft w:val="0"/>
                                              <w:marRight w:val="0"/>
                                              <w:marTop w:val="0"/>
                                              <w:marBottom w:val="0"/>
                                              <w:divBdr>
                                                <w:top w:val="none" w:sz="0" w:space="0" w:color="auto"/>
                                                <w:left w:val="none" w:sz="0" w:space="0" w:color="auto"/>
                                                <w:bottom w:val="none" w:sz="0" w:space="0" w:color="auto"/>
                                                <w:right w:val="none" w:sz="0" w:space="0" w:color="auto"/>
                                              </w:divBdr>
                                              <w:divsChild>
                                                <w:div w:id="780494290">
                                                  <w:marLeft w:val="0"/>
                                                  <w:marRight w:val="0"/>
                                                  <w:marTop w:val="0"/>
                                                  <w:marBottom w:val="0"/>
                                                  <w:divBdr>
                                                    <w:top w:val="none" w:sz="0" w:space="0" w:color="auto"/>
                                                    <w:left w:val="none" w:sz="0" w:space="0" w:color="auto"/>
                                                    <w:bottom w:val="none" w:sz="0" w:space="0" w:color="auto"/>
                                                    <w:right w:val="none" w:sz="0" w:space="0" w:color="auto"/>
                                                  </w:divBdr>
                                                  <w:divsChild>
                                                    <w:div w:id="272712253">
                                                      <w:marLeft w:val="0"/>
                                                      <w:marRight w:val="0"/>
                                                      <w:marTop w:val="0"/>
                                                      <w:marBottom w:val="0"/>
                                                      <w:divBdr>
                                                        <w:top w:val="none" w:sz="0" w:space="0" w:color="auto"/>
                                                        <w:left w:val="none" w:sz="0" w:space="0" w:color="auto"/>
                                                        <w:bottom w:val="none" w:sz="0" w:space="0" w:color="auto"/>
                                                        <w:right w:val="none" w:sz="0" w:space="0" w:color="auto"/>
                                                      </w:divBdr>
                                                      <w:divsChild>
                                                        <w:div w:id="1671257081">
                                                          <w:marLeft w:val="0"/>
                                                          <w:marRight w:val="0"/>
                                                          <w:marTop w:val="0"/>
                                                          <w:marBottom w:val="0"/>
                                                          <w:divBdr>
                                                            <w:top w:val="none" w:sz="0" w:space="0" w:color="auto"/>
                                                            <w:left w:val="none" w:sz="0" w:space="0" w:color="auto"/>
                                                            <w:bottom w:val="none" w:sz="0" w:space="0" w:color="auto"/>
                                                            <w:right w:val="none" w:sz="0" w:space="0" w:color="auto"/>
                                                          </w:divBdr>
                                                          <w:divsChild>
                                                            <w:div w:id="1400010940">
                                                              <w:marLeft w:val="0"/>
                                                              <w:marRight w:val="0"/>
                                                              <w:marTop w:val="0"/>
                                                              <w:marBottom w:val="0"/>
                                                              <w:divBdr>
                                                                <w:top w:val="none" w:sz="0" w:space="0" w:color="auto"/>
                                                                <w:left w:val="none" w:sz="0" w:space="0" w:color="auto"/>
                                                                <w:bottom w:val="none" w:sz="0" w:space="0" w:color="auto"/>
                                                                <w:right w:val="none" w:sz="0" w:space="0" w:color="auto"/>
                                                              </w:divBdr>
                                                              <w:divsChild>
                                                                <w:div w:id="1766338225">
                                                                  <w:marLeft w:val="0"/>
                                                                  <w:marRight w:val="0"/>
                                                                  <w:marTop w:val="0"/>
                                                                  <w:marBottom w:val="0"/>
                                                                  <w:divBdr>
                                                                    <w:top w:val="none" w:sz="0" w:space="0" w:color="auto"/>
                                                                    <w:left w:val="none" w:sz="0" w:space="0" w:color="auto"/>
                                                                    <w:bottom w:val="none" w:sz="0" w:space="0" w:color="auto"/>
                                                                    <w:right w:val="none" w:sz="0" w:space="0" w:color="auto"/>
                                                                  </w:divBdr>
                                                                  <w:divsChild>
                                                                    <w:div w:id="1224367165">
                                                                      <w:marLeft w:val="0"/>
                                                                      <w:marRight w:val="0"/>
                                                                      <w:marTop w:val="0"/>
                                                                      <w:marBottom w:val="0"/>
                                                                      <w:divBdr>
                                                                        <w:top w:val="none" w:sz="0" w:space="0" w:color="auto"/>
                                                                        <w:left w:val="none" w:sz="0" w:space="0" w:color="auto"/>
                                                                        <w:bottom w:val="none" w:sz="0" w:space="0" w:color="auto"/>
                                                                        <w:right w:val="none" w:sz="0" w:space="0" w:color="auto"/>
                                                                      </w:divBdr>
                                                                      <w:divsChild>
                                                                        <w:div w:id="483667686">
                                                                          <w:marLeft w:val="0"/>
                                                                          <w:marRight w:val="0"/>
                                                                          <w:marTop w:val="0"/>
                                                                          <w:marBottom w:val="0"/>
                                                                          <w:divBdr>
                                                                            <w:top w:val="none" w:sz="0" w:space="0" w:color="auto"/>
                                                                            <w:left w:val="none" w:sz="0" w:space="0" w:color="auto"/>
                                                                            <w:bottom w:val="none" w:sz="0" w:space="0" w:color="auto"/>
                                                                            <w:right w:val="none" w:sz="0" w:space="0" w:color="auto"/>
                                                                          </w:divBdr>
                                                                        </w:div>
                                                                      </w:divsChild>
                                                                    </w:div>
                                                                    <w:div w:id="1325815016">
                                                                      <w:marLeft w:val="0"/>
                                                                      <w:marRight w:val="0"/>
                                                                      <w:marTop w:val="0"/>
                                                                      <w:marBottom w:val="0"/>
                                                                      <w:divBdr>
                                                                        <w:top w:val="none" w:sz="0" w:space="0" w:color="auto"/>
                                                                        <w:left w:val="none" w:sz="0" w:space="0" w:color="auto"/>
                                                                        <w:bottom w:val="none" w:sz="0" w:space="0" w:color="auto"/>
                                                                        <w:right w:val="none" w:sz="0" w:space="0" w:color="auto"/>
                                                                      </w:divBdr>
                                                                      <w:divsChild>
                                                                        <w:div w:id="546140370">
                                                                          <w:marLeft w:val="0"/>
                                                                          <w:marRight w:val="0"/>
                                                                          <w:marTop w:val="0"/>
                                                                          <w:marBottom w:val="0"/>
                                                                          <w:divBdr>
                                                                            <w:top w:val="none" w:sz="0" w:space="0" w:color="auto"/>
                                                                            <w:left w:val="none" w:sz="0" w:space="0" w:color="auto"/>
                                                                            <w:bottom w:val="none" w:sz="0" w:space="0" w:color="auto"/>
                                                                            <w:right w:val="none" w:sz="0" w:space="0" w:color="auto"/>
                                                                          </w:divBdr>
                                                                        </w:div>
                                                                      </w:divsChild>
                                                                    </w:div>
                                                                    <w:div w:id="1625966034">
                                                                      <w:marLeft w:val="0"/>
                                                                      <w:marRight w:val="0"/>
                                                                      <w:marTop w:val="0"/>
                                                                      <w:marBottom w:val="0"/>
                                                                      <w:divBdr>
                                                                        <w:top w:val="none" w:sz="0" w:space="0" w:color="auto"/>
                                                                        <w:left w:val="none" w:sz="0" w:space="0" w:color="auto"/>
                                                                        <w:bottom w:val="none" w:sz="0" w:space="0" w:color="auto"/>
                                                                        <w:right w:val="none" w:sz="0" w:space="0" w:color="auto"/>
                                                                      </w:divBdr>
                                                                      <w:divsChild>
                                                                        <w:div w:id="418915193">
                                                                          <w:marLeft w:val="0"/>
                                                                          <w:marRight w:val="0"/>
                                                                          <w:marTop w:val="0"/>
                                                                          <w:marBottom w:val="0"/>
                                                                          <w:divBdr>
                                                                            <w:top w:val="none" w:sz="0" w:space="0" w:color="auto"/>
                                                                            <w:left w:val="none" w:sz="0" w:space="0" w:color="auto"/>
                                                                            <w:bottom w:val="none" w:sz="0" w:space="0" w:color="auto"/>
                                                                            <w:right w:val="none" w:sz="0" w:space="0" w:color="auto"/>
                                                                          </w:divBdr>
                                                                        </w:div>
                                                                      </w:divsChild>
                                                                    </w:div>
                                                                    <w:div w:id="1919752166">
                                                                      <w:marLeft w:val="0"/>
                                                                      <w:marRight w:val="0"/>
                                                                      <w:marTop w:val="0"/>
                                                                      <w:marBottom w:val="0"/>
                                                                      <w:divBdr>
                                                                        <w:top w:val="none" w:sz="0" w:space="0" w:color="auto"/>
                                                                        <w:left w:val="none" w:sz="0" w:space="0" w:color="auto"/>
                                                                        <w:bottom w:val="none" w:sz="0" w:space="0" w:color="auto"/>
                                                                        <w:right w:val="none" w:sz="0" w:space="0" w:color="auto"/>
                                                                      </w:divBdr>
                                                                      <w:divsChild>
                                                                        <w:div w:id="15479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288614">
      <w:bodyDiv w:val="1"/>
      <w:marLeft w:val="0"/>
      <w:marRight w:val="0"/>
      <w:marTop w:val="0"/>
      <w:marBottom w:val="0"/>
      <w:divBdr>
        <w:top w:val="none" w:sz="0" w:space="0" w:color="auto"/>
        <w:left w:val="none" w:sz="0" w:space="0" w:color="auto"/>
        <w:bottom w:val="none" w:sz="0" w:space="0" w:color="auto"/>
        <w:right w:val="none" w:sz="0" w:space="0" w:color="auto"/>
      </w:divBdr>
      <w:divsChild>
        <w:div w:id="1792816880">
          <w:marLeft w:val="0"/>
          <w:marRight w:val="0"/>
          <w:marTop w:val="0"/>
          <w:marBottom w:val="0"/>
          <w:divBdr>
            <w:top w:val="none" w:sz="0" w:space="0" w:color="auto"/>
            <w:left w:val="single" w:sz="6" w:space="0" w:color="BBBBBB"/>
            <w:bottom w:val="single" w:sz="6" w:space="0" w:color="BBBBBB"/>
            <w:right w:val="single" w:sz="6" w:space="0" w:color="BBBBBB"/>
          </w:divBdr>
          <w:divsChild>
            <w:div w:id="445544602">
              <w:marLeft w:val="0"/>
              <w:marRight w:val="0"/>
              <w:marTop w:val="0"/>
              <w:marBottom w:val="0"/>
              <w:divBdr>
                <w:top w:val="none" w:sz="0" w:space="0" w:color="auto"/>
                <w:left w:val="none" w:sz="0" w:space="0" w:color="auto"/>
                <w:bottom w:val="none" w:sz="0" w:space="0" w:color="auto"/>
                <w:right w:val="none" w:sz="0" w:space="0" w:color="auto"/>
              </w:divBdr>
              <w:divsChild>
                <w:div w:id="1411468631">
                  <w:marLeft w:val="0"/>
                  <w:marRight w:val="0"/>
                  <w:marTop w:val="75"/>
                  <w:marBottom w:val="0"/>
                  <w:divBdr>
                    <w:top w:val="none" w:sz="0" w:space="0" w:color="auto"/>
                    <w:left w:val="none" w:sz="0" w:space="0" w:color="auto"/>
                    <w:bottom w:val="none" w:sz="0" w:space="0" w:color="auto"/>
                    <w:right w:val="none" w:sz="0" w:space="0" w:color="auto"/>
                  </w:divBdr>
                  <w:divsChild>
                    <w:div w:id="36901378">
                      <w:marLeft w:val="0"/>
                      <w:marRight w:val="0"/>
                      <w:marTop w:val="0"/>
                      <w:marBottom w:val="0"/>
                      <w:divBdr>
                        <w:top w:val="none" w:sz="0" w:space="0" w:color="auto"/>
                        <w:left w:val="none" w:sz="0" w:space="0" w:color="auto"/>
                        <w:bottom w:val="none" w:sz="0" w:space="0" w:color="auto"/>
                        <w:right w:val="none" w:sz="0" w:space="0" w:color="auto"/>
                      </w:divBdr>
                      <w:divsChild>
                        <w:div w:id="461772571">
                          <w:marLeft w:val="0"/>
                          <w:marRight w:val="0"/>
                          <w:marTop w:val="0"/>
                          <w:marBottom w:val="0"/>
                          <w:divBdr>
                            <w:top w:val="none" w:sz="0" w:space="0" w:color="auto"/>
                            <w:left w:val="none" w:sz="0" w:space="0" w:color="auto"/>
                            <w:bottom w:val="none" w:sz="0" w:space="0" w:color="auto"/>
                            <w:right w:val="none" w:sz="0" w:space="0" w:color="auto"/>
                          </w:divBdr>
                          <w:divsChild>
                            <w:div w:id="222762376">
                              <w:marLeft w:val="0"/>
                              <w:marRight w:val="0"/>
                              <w:marTop w:val="0"/>
                              <w:marBottom w:val="0"/>
                              <w:divBdr>
                                <w:top w:val="none" w:sz="0" w:space="0" w:color="auto"/>
                                <w:left w:val="none" w:sz="0" w:space="0" w:color="auto"/>
                                <w:bottom w:val="none" w:sz="0" w:space="0" w:color="auto"/>
                                <w:right w:val="none" w:sz="0" w:space="0" w:color="auto"/>
                              </w:divBdr>
                              <w:divsChild>
                                <w:div w:id="1657802186">
                                  <w:marLeft w:val="0"/>
                                  <w:marRight w:val="0"/>
                                  <w:marTop w:val="0"/>
                                  <w:marBottom w:val="0"/>
                                  <w:divBdr>
                                    <w:top w:val="none" w:sz="0" w:space="0" w:color="auto"/>
                                    <w:left w:val="none" w:sz="0" w:space="0" w:color="auto"/>
                                    <w:bottom w:val="none" w:sz="0" w:space="0" w:color="auto"/>
                                    <w:right w:val="none" w:sz="0" w:space="0" w:color="auto"/>
                                  </w:divBdr>
                                  <w:divsChild>
                                    <w:div w:id="491458203">
                                      <w:marLeft w:val="0"/>
                                      <w:marRight w:val="0"/>
                                      <w:marTop w:val="0"/>
                                      <w:marBottom w:val="0"/>
                                      <w:divBdr>
                                        <w:top w:val="none" w:sz="0" w:space="0" w:color="auto"/>
                                        <w:left w:val="none" w:sz="0" w:space="0" w:color="auto"/>
                                        <w:bottom w:val="none" w:sz="0" w:space="0" w:color="auto"/>
                                        <w:right w:val="none" w:sz="0" w:space="0" w:color="auto"/>
                                      </w:divBdr>
                                      <w:divsChild>
                                        <w:div w:id="674304903">
                                          <w:marLeft w:val="1200"/>
                                          <w:marRight w:val="1200"/>
                                          <w:marTop w:val="0"/>
                                          <w:marBottom w:val="0"/>
                                          <w:divBdr>
                                            <w:top w:val="none" w:sz="0" w:space="0" w:color="auto"/>
                                            <w:left w:val="none" w:sz="0" w:space="0" w:color="auto"/>
                                            <w:bottom w:val="none" w:sz="0" w:space="0" w:color="auto"/>
                                            <w:right w:val="none" w:sz="0" w:space="0" w:color="auto"/>
                                          </w:divBdr>
                                          <w:divsChild>
                                            <w:div w:id="909198348">
                                              <w:marLeft w:val="0"/>
                                              <w:marRight w:val="0"/>
                                              <w:marTop w:val="0"/>
                                              <w:marBottom w:val="0"/>
                                              <w:divBdr>
                                                <w:top w:val="none" w:sz="0" w:space="0" w:color="auto"/>
                                                <w:left w:val="none" w:sz="0" w:space="0" w:color="auto"/>
                                                <w:bottom w:val="none" w:sz="0" w:space="0" w:color="auto"/>
                                                <w:right w:val="none" w:sz="0" w:space="0" w:color="auto"/>
                                              </w:divBdr>
                                              <w:divsChild>
                                                <w:div w:id="1230846171">
                                                  <w:marLeft w:val="0"/>
                                                  <w:marRight w:val="0"/>
                                                  <w:marTop w:val="0"/>
                                                  <w:marBottom w:val="0"/>
                                                  <w:divBdr>
                                                    <w:top w:val="none" w:sz="0" w:space="0" w:color="auto"/>
                                                    <w:left w:val="none" w:sz="0" w:space="0" w:color="auto"/>
                                                    <w:bottom w:val="none" w:sz="0" w:space="0" w:color="auto"/>
                                                    <w:right w:val="none" w:sz="0" w:space="0" w:color="auto"/>
                                                  </w:divBdr>
                                                  <w:divsChild>
                                                    <w:div w:id="1552956675">
                                                      <w:marLeft w:val="0"/>
                                                      <w:marRight w:val="0"/>
                                                      <w:marTop w:val="0"/>
                                                      <w:marBottom w:val="0"/>
                                                      <w:divBdr>
                                                        <w:top w:val="none" w:sz="0" w:space="0" w:color="auto"/>
                                                        <w:left w:val="none" w:sz="0" w:space="0" w:color="auto"/>
                                                        <w:bottom w:val="none" w:sz="0" w:space="0" w:color="auto"/>
                                                        <w:right w:val="none" w:sz="0" w:space="0" w:color="auto"/>
                                                      </w:divBdr>
                                                      <w:divsChild>
                                                        <w:div w:id="1772624079">
                                                          <w:marLeft w:val="0"/>
                                                          <w:marRight w:val="0"/>
                                                          <w:marTop w:val="0"/>
                                                          <w:marBottom w:val="0"/>
                                                          <w:divBdr>
                                                            <w:top w:val="none" w:sz="0" w:space="0" w:color="auto"/>
                                                            <w:left w:val="none" w:sz="0" w:space="0" w:color="auto"/>
                                                            <w:bottom w:val="none" w:sz="0" w:space="0" w:color="auto"/>
                                                            <w:right w:val="none" w:sz="0" w:space="0" w:color="auto"/>
                                                          </w:divBdr>
                                                          <w:divsChild>
                                                            <w:div w:id="385371181">
                                                              <w:marLeft w:val="0"/>
                                                              <w:marRight w:val="0"/>
                                                              <w:marTop w:val="0"/>
                                                              <w:marBottom w:val="0"/>
                                                              <w:divBdr>
                                                                <w:top w:val="none" w:sz="0" w:space="0" w:color="auto"/>
                                                                <w:left w:val="none" w:sz="0" w:space="0" w:color="auto"/>
                                                                <w:bottom w:val="none" w:sz="0" w:space="0" w:color="auto"/>
                                                                <w:right w:val="none" w:sz="0" w:space="0" w:color="auto"/>
                                                              </w:divBdr>
                                                              <w:divsChild>
                                                                <w:div w:id="547883339">
                                                                  <w:marLeft w:val="0"/>
                                                                  <w:marRight w:val="0"/>
                                                                  <w:marTop w:val="0"/>
                                                                  <w:marBottom w:val="0"/>
                                                                  <w:divBdr>
                                                                    <w:top w:val="none" w:sz="0" w:space="0" w:color="auto"/>
                                                                    <w:left w:val="none" w:sz="0" w:space="0" w:color="auto"/>
                                                                    <w:bottom w:val="none" w:sz="0" w:space="0" w:color="auto"/>
                                                                    <w:right w:val="none" w:sz="0" w:space="0" w:color="auto"/>
                                                                  </w:divBdr>
                                                                  <w:divsChild>
                                                                    <w:div w:id="1327630197">
                                                                      <w:marLeft w:val="0"/>
                                                                      <w:marRight w:val="0"/>
                                                                      <w:marTop w:val="0"/>
                                                                      <w:marBottom w:val="0"/>
                                                                      <w:divBdr>
                                                                        <w:top w:val="none" w:sz="0" w:space="0" w:color="auto"/>
                                                                        <w:left w:val="none" w:sz="0" w:space="0" w:color="auto"/>
                                                                        <w:bottom w:val="none" w:sz="0" w:space="0" w:color="auto"/>
                                                                        <w:right w:val="none" w:sz="0" w:space="0" w:color="auto"/>
                                                                      </w:divBdr>
                                                                      <w:divsChild>
                                                                        <w:div w:id="791364037">
                                                                          <w:marLeft w:val="0"/>
                                                                          <w:marRight w:val="0"/>
                                                                          <w:marTop w:val="0"/>
                                                                          <w:marBottom w:val="0"/>
                                                                          <w:divBdr>
                                                                            <w:top w:val="none" w:sz="0" w:space="0" w:color="auto"/>
                                                                            <w:left w:val="none" w:sz="0" w:space="0" w:color="auto"/>
                                                                            <w:bottom w:val="none" w:sz="0" w:space="0" w:color="auto"/>
                                                                            <w:right w:val="none" w:sz="0" w:space="0" w:color="auto"/>
                                                                          </w:divBdr>
                                                                        </w:div>
                                                                      </w:divsChild>
                                                                    </w:div>
                                                                    <w:div w:id="1622111555">
                                                                      <w:marLeft w:val="0"/>
                                                                      <w:marRight w:val="0"/>
                                                                      <w:marTop w:val="0"/>
                                                                      <w:marBottom w:val="0"/>
                                                                      <w:divBdr>
                                                                        <w:top w:val="none" w:sz="0" w:space="0" w:color="auto"/>
                                                                        <w:left w:val="none" w:sz="0" w:space="0" w:color="auto"/>
                                                                        <w:bottom w:val="none" w:sz="0" w:space="0" w:color="auto"/>
                                                                        <w:right w:val="none" w:sz="0" w:space="0" w:color="auto"/>
                                                                      </w:divBdr>
                                                                      <w:divsChild>
                                                                        <w:div w:id="679967505">
                                                                          <w:marLeft w:val="0"/>
                                                                          <w:marRight w:val="0"/>
                                                                          <w:marTop w:val="0"/>
                                                                          <w:marBottom w:val="0"/>
                                                                          <w:divBdr>
                                                                            <w:top w:val="none" w:sz="0" w:space="0" w:color="auto"/>
                                                                            <w:left w:val="none" w:sz="0" w:space="0" w:color="auto"/>
                                                                            <w:bottom w:val="none" w:sz="0" w:space="0" w:color="auto"/>
                                                                            <w:right w:val="none" w:sz="0" w:space="0" w:color="auto"/>
                                                                          </w:divBdr>
                                                                        </w:div>
                                                                      </w:divsChild>
                                                                    </w:div>
                                                                    <w:div w:id="1775126818">
                                                                      <w:marLeft w:val="0"/>
                                                                      <w:marRight w:val="0"/>
                                                                      <w:marTop w:val="0"/>
                                                                      <w:marBottom w:val="0"/>
                                                                      <w:divBdr>
                                                                        <w:top w:val="none" w:sz="0" w:space="0" w:color="auto"/>
                                                                        <w:left w:val="none" w:sz="0" w:space="0" w:color="auto"/>
                                                                        <w:bottom w:val="none" w:sz="0" w:space="0" w:color="auto"/>
                                                                        <w:right w:val="none" w:sz="0" w:space="0" w:color="auto"/>
                                                                      </w:divBdr>
                                                                      <w:divsChild>
                                                                        <w:div w:id="70224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640527">
      <w:bodyDiv w:val="1"/>
      <w:marLeft w:val="0"/>
      <w:marRight w:val="0"/>
      <w:marTop w:val="0"/>
      <w:marBottom w:val="0"/>
      <w:divBdr>
        <w:top w:val="none" w:sz="0" w:space="0" w:color="auto"/>
        <w:left w:val="none" w:sz="0" w:space="0" w:color="auto"/>
        <w:bottom w:val="none" w:sz="0" w:space="0" w:color="auto"/>
        <w:right w:val="none" w:sz="0" w:space="0" w:color="auto"/>
      </w:divBdr>
      <w:divsChild>
        <w:div w:id="1526166514">
          <w:marLeft w:val="0"/>
          <w:marRight w:val="0"/>
          <w:marTop w:val="0"/>
          <w:marBottom w:val="0"/>
          <w:divBdr>
            <w:top w:val="none" w:sz="0" w:space="0" w:color="auto"/>
            <w:left w:val="single" w:sz="6" w:space="0" w:color="BBBBBB"/>
            <w:bottom w:val="single" w:sz="6" w:space="0" w:color="BBBBBB"/>
            <w:right w:val="single" w:sz="6" w:space="0" w:color="BBBBBB"/>
          </w:divBdr>
          <w:divsChild>
            <w:div w:id="1247567828">
              <w:marLeft w:val="0"/>
              <w:marRight w:val="0"/>
              <w:marTop w:val="0"/>
              <w:marBottom w:val="0"/>
              <w:divBdr>
                <w:top w:val="none" w:sz="0" w:space="0" w:color="auto"/>
                <w:left w:val="none" w:sz="0" w:space="0" w:color="auto"/>
                <w:bottom w:val="none" w:sz="0" w:space="0" w:color="auto"/>
                <w:right w:val="none" w:sz="0" w:space="0" w:color="auto"/>
              </w:divBdr>
              <w:divsChild>
                <w:div w:id="1817258386">
                  <w:marLeft w:val="0"/>
                  <w:marRight w:val="0"/>
                  <w:marTop w:val="75"/>
                  <w:marBottom w:val="0"/>
                  <w:divBdr>
                    <w:top w:val="none" w:sz="0" w:space="0" w:color="auto"/>
                    <w:left w:val="none" w:sz="0" w:space="0" w:color="auto"/>
                    <w:bottom w:val="none" w:sz="0" w:space="0" w:color="auto"/>
                    <w:right w:val="none" w:sz="0" w:space="0" w:color="auto"/>
                  </w:divBdr>
                  <w:divsChild>
                    <w:div w:id="2053923399">
                      <w:marLeft w:val="0"/>
                      <w:marRight w:val="0"/>
                      <w:marTop w:val="0"/>
                      <w:marBottom w:val="0"/>
                      <w:divBdr>
                        <w:top w:val="none" w:sz="0" w:space="0" w:color="auto"/>
                        <w:left w:val="none" w:sz="0" w:space="0" w:color="auto"/>
                        <w:bottom w:val="none" w:sz="0" w:space="0" w:color="auto"/>
                        <w:right w:val="none" w:sz="0" w:space="0" w:color="auto"/>
                      </w:divBdr>
                      <w:divsChild>
                        <w:div w:id="1282423945">
                          <w:marLeft w:val="0"/>
                          <w:marRight w:val="0"/>
                          <w:marTop w:val="0"/>
                          <w:marBottom w:val="0"/>
                          <w:divBdr>
                            <w:top w:val="none" w:sz="0" w:space="0" w:color="auto"/>
                            <w:left w:val="none" w:sz="0" w:space="0" w:color="auto"/>
                            <w:bottom w:val="none" w:sz="0" w:space="0" w:color="auto"/>
                            <w:right w:val="none" w:sz="0" w:space="0" w:color="auto"/>
                          </w:divBdr>
                          <w:divsChild>
                            <w:div w:id="1095831758">
                              <w:marLeft w:val="0"/>
                              <w:marRight w:val="0"/>
                              <w:marTop w:val="0"/>
                              <w:marBottom w:val="0"/>
                              <w:divBdr>
                                <w:top w:val="none" w:sz="0" w:space="0" w:color="auto"/>
                                <w:left w:val="none" w:sz="0" w:space="0" w:color="auto"/>
                                <w:bottom w:val="none" w:sz="0" w:space="0" w:color="auto"/>
                                <w:right w:val="none" w:sz="0" w:space="0" w:color="auto"/>
                              </w:divBdr>
                              <w:divsChild>
                                <w:div w:id="1036852237">
                                  <w:marLeft w:val="0"/>
                                  <w:marRight w:val="0"/>
                                  <w:marTop w:val="0"/>
                                  <w:marBottom w:val="0"/>
                                  <w:divBdr>
                                    <w:top w:val="none" w:sz="0" w:space="0" w:color="auto"/>
                                    <w:left w:val="none" w:sz="0" w:space="0" w:color="auto"/>
                                    <w:bottom w:val="none" w:sz="0" w:space="0" w:color="auto"/>
                                    <w:right w:val="none" w:sz="0" w:space="0" w:color="auto"/>
                                  </w:divBdr>
                                  <w:divsChild>
                                    <w:div w:id="118840792">
                                      <w:marLeft w:val="0"/>
                                      <w:marRight w:val="0"/>
                                      <w:marTop w:val="0"/>
                                      <w:marBottom w:val="0"/>
                                      <w:divBdr>
                                        <w:top w:val="none" w:sz="0" w:space="0" w:color="auto"/>
                                        <w:left w:val="none" w:sz="0" w:space="0" w:color="auto"/>
                                        <w:bottom w:val="none" w:sz="0" w:space="0" w:color="auto"/>
                                        <w:right w:val="none" w:sz="0" w:space="0" w:color="auto"/>
                                      </w:divBdr>
                                      <w:divsChild>
                                        <w:div w:id="970478655">
                                          <w:marLeft w:val="1200"/>
                                          <w:marRight w:val="1200"/>
                                          <w:marTop w:val="0"/>
                                          <w:marBottom w:val="0"/>
                                          <w:divBdr>
                                            <w:top w:val="none" w:sz="0" w:space="0" w:color="auto"/>
                                            <w:left w:val="none" w:sz="0" w:space="0" w:color="auto"/>
                                            <w:bottom w:val="none" w:sz="0" w:space="0" w:color="auto"/>
                                            <w:right w:val="none" w:sz="0" w:space="0" w:color="auto"/>
                                          </w:divBdr>
                                          <w:divsChild>
                                            <w:div w:id="959073317">
                                              <w:marLeft w:val="0"/>
                                              <w:marRight w:val="0"/>
                                              <w:marTop w:val="0"/>
                                              <w:marBottom w:val="0"/>
                                              <w:divBdr>
                                                <w:top w:val="none" w:sz="0" w:space="0" w:color="auto"/>
                                                <w:left w:val="none" w:sz="0" w:space="0" w:color="auto"/>
                                                <w:bottom w:val="none" w:sz="0" w:space="0" w:color="auto"/>
                                                <w:right w:val="none" w:sz="0" w:space="0" w:color="auto"/>
                                              </w:divBdr>
                                              <w:divsChild>
                                                <w:div w:id="761874221">
                                                  <w:marLeft w:val="0"/>
                                                  <w:marRight w:val="0"/>
                                                  <w:marTop w:val="0"/>
                                                  <w:marBottom w:val="0"/>
                                                  <w:divBdr>
                                                    <w:top w:val="none" w:sz="0" w:space="0" w:color="auto"/>
                                                    <w:left w:val="none" w:sz="0" w:space="0" w:color="auto"/>
                                                    <w:bottom w:val="none" w:sz="0" w:space="0" w:color="auto"/>
                                                    <w:right w:val="none" w:sz="0" w:space="0" w:color="auto"/>
                                                  </w:divBdr>
                                                  <w:divsChild>
                                                    <w:div w:id="1832060135">
                                                      <w:marLeft w:val="0"/>
                                                      <w:marRight w:val="0"/>
                                                      <w:marTop w:val="0"/>
                                                      <w:marBottom w:val="0"/>
                                                      <w:divBdr>
                                                        <w:top w:val="none" w:sz="0" w:space="0" w:color="auto"/>
                                                        <w:left w:val="none" w:sz="0" w:space="0" w:color="auto"/>
                                                        <w:bottom w:val="none" w:sz="0" w:space="0" w:color="auto"/>
                                                        <w:right w:val="none" w:sz="0" w:space="0" w:color="auto"/>
                                                      </w:divBdr>
                                                      <w:divsChild>
                                                        <w:div w:id="2067214729">
                                                          <w:marLeft w:val="0"/>
                                                          <w:marRight w:val="0"/>
                                                          <w:marTop w:val="0"/>
                                                          <w:marBottom w:val="0"/>
                                                          <w:divBdr>
                                                            <w:top w:val="none" w:sz="0" w:space="0" w:color="auto"/>
                                                            <w:left w:val="none" w:sz="0" w:space="0" w:color="auto"/>
                                                            <w:bottom w:val="none" w:sz="0" w:space="0" w:color="auto"/>
                                                            <w:right w:val="none" w:sz="0" w:space="0" w:color="auto"/>
                                                          </w:divBdr>
                                                          <w:divsChild>
                                                            <w:div w:id="71901396">
                                                              <w:marLeft w:val="0"/>
                                                              <w:marRight w:val="0"/>
                                                              <w:marTop w:val="0"/>
                                                              <w:marBottom w:val="0"/>
                                                              <w:divBdr>
                                                                <w:top w:val="none" w:sz="0" w:space="0" w:color="auto"/>
                                                                <w:left w:val="none" w:sz="0" w:space="0" w:color="auto"/>
                                                                <w:bottom w:val="none" w:sz="0" w:space="0" w:color="auto"/>
                                                                <w:right w:val="none" w:sz="0" w:space="0" w:color="auto"/>
                                                              </w:divBdr>
                                                              <w:divsChild>
                                                                <w:div w:id="1428427043">
                                                                  <w:marLeft w:val="0"/>
                                                                  <w:marRight w:val="0"/>
                                                                  <w:marTop w:val="0"/>
                                                                  <w:marBottom w:val="0"/>
                                                                  <w:divBdr>
                                                                    <w:top w:val="none" w:sz="0" w:space="0" w:color="auto"/>
                                                                    <w:left w:val="none" w:sz="0" w:space="0" w:color="auto"/>
                                                                    <w:bottom w:val="none" w:sz="0" w:space="0" w:color="auto"/>
                                                                    <w:right w:val="none" w:sz="0" w:space="0" w:color="auto"/>
                                                                  </w:divBdr>
                                                                  <w:divsChild>
                                                                    <w:div w:id="675767685">
                                                                      <w:marLeft w:val="0"/>
                                                                      <w:marRight w:val="0"/>
                                                                      <w:marTop w:val="0"/>
                                                                      <w:marBottom w:val="0"/>
                                                                      <w:divBdr>
                                                                        <w:top w:val="none" w:sz="0" w:space="0" w:color="auto"/>
                                                                        <w:left w:val="none" w:sz="0" w:space="0" w:color="auto"/>
                                                                        <w:bottom w:val="none" w:sz="0" w:space="0" w:color="auto"/>
                                                                        <w:right w:val="none" w:sz="0" w:space="0" w:color="auto"/>
                                                                      </w:divBdr>
                                                                      <w:divsChild>
                                                                        <w:div w:id="2037727324">
                                                                          <w:marLeft w:val="0"/>
                                                                          <w:marRight w:val="0"/>
                                                                          <w:marTop w:val="0"/>
                                                                          <w:marBottom w:val="0"/>
                                                                          <w:divBdr>
                                                                            <w:top w:val="none" w:sz="0" w:space="0" w:color="auto"/>
                                                                            <w:left w:val="none" w:sz="0" w:space="0" w:color="auto"/>
                                                                            <w:bottom w:val="none" w:sz="0" w:space="0" w:color="auto"/>
                                                                            <w:right w:val="none" w:sz="0" w:space="0" w:color="auto"/>
                                                                          </w:divBdr>
                                                                        </w:div>
                                                                      </w:divsChild>
                                                                    </w:div>
                                                                    <w:div w:id="1611430977">
                                                                      <w:marLeft w:val="0"/>
                                                                      <w:marRight w:val="0"/>
                                                                      <w:marTop w:val="0"/>
                                                                      <w:marBottom w:val="0"/>
                                                                      <w:divBdr>
                                                                        <w:top w:val="none" w:sz="0" w:space="0" w:color="auto"/>
                                                                        <w:left w:val="none" w:sz="0" w:space="0" w:color="auto"/>
                                                                        <w:bottom w:val="none" w:sz="0" w:space="0" w:color="auto"/>
                                                                        <w:right w:val="none" w:sz="0" w:space="0" w:color="auto"/>
                                                                      </w:divBdr>
                                                                      <w:divsChild>
                                                                        <w:div w:id="1623222038">
                                                                          <w:marLeft w:val="0"/>
                                                                          <w:marRight w:val="0"/>
                                                                          <w:marTop w:val="0"/>
                                                                          <w:marBottom w:val="0"/>
                                                                          <w:divBdr>
                                                                            <w:top w:val="none" w:sz="0" w:space="0" w:color="auto"/>
                                                                            <w:left w:val="none" w:sz="0" w:space="0" w:color="auto"/>
                                                                            <w:bottom w:val="none" w:sz="0" w:space="0" w:color="auto"/>
                                                                            <w:right w:val="none" w:sz="0" w:space="0" w:color="auto"/>
                                                                          </w:divBdr>
                                                                        </w:div>
                                                                      </w:divsChild>
                                                                    </w:div>
                                                                    <w:div w:id="2094743632">
                                                                      <w:marLeft w:val="0"/>
                                                                      <w:marRight w:val="0"/>
                                                                      <w:marTop w:val="0"/>
                                                                      <w:marBottom w:val="0"/>
                                                                      <w:divBdr>
                                                                        <w:top w:val="none" w:sz="0" w:space="0" w:color="auto"/>
                                                                        <w:left w:val="none" w:sz="0" w:space="0" w:color="auto"/>
                                                                        <w:bottom w:val="none" w:sz="0" w:space="0" w:color="auto"/>
                                                                        <w:right w:val="none" w:sz="0" w:space="0" w:color="auto"/>
                                                                      </w:divBdr>
                                                                      <w:divsChild>
                                                                        <w:div w:id="89123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0486">
      <w:bodyDiv w:val="1"/>
      <w:marLeft w:val="0"/>
      <w:marRight w:val="0"/>
      <w:marTop w:val="0"/>
      <w:marBottom w:val="0"/>
      <w:divBdr>
        <w:top w:val="none" w:sz="0" w:space="0" w:color="auto"/>
        <w:left w:val="none" w:sz="0" w:space="0" w:color="auto"/>
        <w:bottom w:val="none" w:sz="0" w:space="0" w:color="auto"/>
        <w:right w:val="none" w:sz="0" w:space="0" w:color="auto"/>
      </w:divBdr>
      <w:divsChild>
        <w:div w:id="247428368">
          <w:marLeft w:val="0"/>
          <w:marRight w:val="0"/>
          <w:marTop w:val="0"/>
          <w:marBottom w:val="0"/>
          <w:divBdr>
            <w:top w:val="none" w:sz="0" w:space="0" w:color="auto"/>
            <w:left w:val="none" w:sz="0" w:space="0" w:color="auto"/>
            <w:bottom w:val="none" w:sz="0" w:space="0" w:color="auto"/>
            <w:right w:val="none" w:sz="0" w:space="0" w:color="auto"/>
          </w:divBdr>
        </w:div>
        <w:div w:id="135804337">
          <w:marLeft w:val="0"/>
          <w:marRight w:val="0"/>
          <w:marTop w:val="240"/>
          <w:marBottom w:val="0"/>
          <w:divBdr>
            <w:top w:val="none" w:sz="0" w:space="0" w:color="auto"/>
            <w:left w:val="none" w:sz="0" w:space="0" w:color="auto"/>
            <w:bottom w:val="none" w:sz="0" w:space="0" w:color="auto"/>
            <w:right w:val="none" w:sz="0" w:space="0" w:color="auto"/>
          </w:divBdr>
          <w:divsChild>
            <w:div w:id="1050228623">
              <w:marLeft w:val="0"/>
              <w:marRight w:val="0"/>
              <w:marTop w:val="0"/>
              <w:marBottom w:val="0"/>
              <w:divBdr>
                <w:top w:val="none" w:sz="0" w:space="0" w:color="auto"/>
                <w:left w:val="none" w:sz="0" w:space="0" w:color="auto"/>
                <w:bottom w:val="none" w:sz="0" w:space="0" w:color="auto"/>
                <w:right w:val="none" w:sz="0" w:space="0" w:color="auto"/>
              </w:divBdr>
              <w:divsChild>
                <w:div w:id="933393788">
                  <w:blockQuote w:val="1"/>
                  <w:marLeft w:val="0"/>
                  <w:marRight w:val="0"/>
                  <w:marTop w:val="0"/>
                  <w:marBottom w:val="0"/>
                  <w:divBdr>
                    <w:top w:val="none" w:sz="0" w:space="0" w:color="auto"/>
                    <w:left w:val="none" w:sz="0" w:space="0" w:color="auto"/>
                    <w:bottom w:val="none" w:sz="0" w:space="0" w:color="auto"/>
                    <w:right w:val="none" w:sz="0" w:space="0" w:color="auto"/>
                  </w:divBdr>
                  <w:divsChild>
                    <w:div w:id="5398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98629">
          <w:marLeft w:val="0"/>
          <w:marRight w:val="0"/>
          <w:marTop w:val="240"/>
          <w:marBottom w:val="0"/>
          <w:divBdr>
            <w:top w:val="none" w:sz="0" w:space="0" w:color="auto"/>
            <w:left w:val="none" w:sz="0" w:space="0" w:color="auto"/>
            <w:bottom w:val="none" w:sz="0" w:space="0" w:color="auto"/>
            <w:right w:val="none" w:sz="0" w:space="0" w:color="auto"/>
          </w:divBdr>
        </w:div>
        <w:div w:id="2072458899">
          <w:marLeft w:val="0"/>
          <w:marRight w:val="0"/>
          <w:marTop w:val="240"/>
          <w:marBottom w:val="0"/>
          <w:divBdr>
            <w:top w:val="none" w:sz="0" w:space="0" w:color="auto"/>
            <w:left w:val="none" w:sz="0" w:space="0" w:color="auto"/>
            <w:bottom w:val="none" w:sz="0" w:space="0" w:color="auto"/>
            <w:right w:val="none" w:sz="0" w:space="0" w:color="auto"/>
          </w:divBdr>
          <w:divsChild>
            <w:div w:id="214191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07395">
      <w:bodyDiv w:val="1"/>
      <w:marLeft w:val="0"/>
      <w:marRight w:val="0"/>
      <w:marTop w:val="0"/>
      <w:marBottom w:val="0"/>
      <w:divBdr>
        <w:top w:val="none" w:sz="0" w:space="0" w:color="auto"/>
        <w:left w:val="none" w:sz="0" w:space="0" w:color="auto"/>
        <w:bottom w:val="none" w:sz="0" w:space="0" w:color="auto"/>
        <w:right w:val="none" w:sz="0" w:space="0" w:color="auto"/>
      </w:divBdr>
      <w:divsChild>
        <w:div w:id="1577327155">
          <w:marLeft w:val="0"/>
          <w:marRight w:val="0"/>
          <w:marTop w:val="0"/>
          <w:marBottom w:val="0"/>
          <w:divBdr>
            <w:top w:val="none" w:sz="0" w:space="0" w:color="auto"/>
            <w:left w:val="none" w:sz="0" w:space="0" w:color="auto"/>
            <w:bottom w:val="none" w:sz="0" w:space="0" w:color="auto"/>
            <w:right w:val="none" w:sz="0" w:space="0" w:color="auto"/>
          </w:divBdr>
          <w:divsChild>
            <w:div w:id="570193801">
              <w:marLeft w:val="0"/>
              <w:marRight w:val="0"/>
              <w:marTop w:val="0"/>
              <w:marBottom w:val="0"/>
              <w:divBdr>
                <w:top w:val="none" w:sz="0" w:space="0" w:color="auto"/>
                <w:left w:val="none" w:sz="0" w:space="0" w:color="auto"/>
                <w:bottom w:val="none" w:sz="0" w:space="0" w:color="auto"/>
                <w:right w:val="none" w:sz="0" w:space="0" w:color="auto"/>
              </w:divBdr>
              <w:divsChild>
                <w:div w:id="1279877605">
                  <w:marLeft w:val="0"/>
                  <w:marRight w:val="0"/>
                  <w:marTop w:val="0"/>
                  <w:marBottom w:val="0"/>
                  <w:divBdr>
                    <w:top w:val="none" w:sz="0" w:space="0" w:color="auto"/>
                    <w:left w:val="none" w:sz="0" w:space="0" w:color="auto"/>
                    <w:bottom w:val="none" w:sz="0" w:space="0" w:color="auto"/>
                    <w:right w:val="none" w:sz="0" w:space="0" w:color="auto"/>
                  </w:divBdr>
                  <w:divsChild>
                    <w:div w:id="160313129">
                      <w:marLeft w:val="0"/>
                      <w:marRight w:val="0"/>
                      <w:marTop w:val="0"/>
                      <w:marBottom w:val="375"/>
                      <w:divBdr>
                        <w:top w:val="none" w:sz="0" w:space="0" w:color="auto"/>
                        <w:left w:val="none" w:sz="0" w:space="0" w:color="auto"/>
                        <w:bottom w:val="none" w:sz="0" w:space="0" w:color="auto"/>
                        <w:right w:val="none" w:sz="0" w:space="0" w:color="auto"/>
                      </w:divBdr>
                      <w:divsChild>
                        <w:div w:id="59120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201120">
      <w:bodyDiv w:val="1"/>
      <w:marLeft w:val="0"/>
      <w:marRight w:val="0"/>
      <w:marTop w:val="0"/>
      <w:marBottom w:val="0"/>
      <w:divBdr>
        <w:top w:val="none" w:sz="0" w:space="0" w:color="auto"/>
        <w:left w:val="none" w:sz="0" w:space="0" w:color="auto"/>
        <w:bottom w:val="none" w:sz="0" w:space="0" w:color="auto"/>
        <w:right w:val="none" w:sz="0" w:space="0" w:color="auto"/>
      </w:divBdr>
      <w:divsChild>
        <w:div w:id="192040420">
          <w:marLeft w:val="0"/>
          <w:marRight w:val="0"/>
          <w:marTop w:val="0"/>
          <w:marBottom w:val="0"/>
          <w:divBdr>
            <w:top w:val="none" w:sz="0" w:space="0" w:color="auto"/>
            <w:left w:val="none" w:sz="0" w:space="0" w:color="auto"/>
            <w:bottom w:val="none" w:sz="0" w:space="0" w:color="auto"/>
            <w:right w:val="none" w:sz="0" w:space="0" w:color="auto"/>
          </w:divBdr>
          <w:divsChild>
            <w:div w:id="288827345">
              <w:marLeft w:val="0"/>
              <w:marRight w:val="0"/>
              <w:marTop w:val="0"/>
              <w:marBottom w:val="0"/>
              <w:divBdr>
                <w:top w:val="none" w:sz="0" w:space="0" w:color="auto"/>
                <w:left w:val="none" w:sz="0" w:space="0" w:color="auto"/>
                <w:bottom w:val="none" w:sz="0" w:space="0" w:color="auto"/>
                <w:right w:val="none" w:sz="0" w:space="0" w:color="auto"/>
              </w:divBdr>
              <w:divsChild>
                <w:div w:id="768240681">
                  <w:marLeft w:val="0"/>
                  <w:marRight w:val="0"/>
                  <w:marTop w:val="0"/>
                  <w:marBottom w:val="0"/>
                  <w:divBdr>
                    <w:top w:val="none" w:sz="0" w:space="0" w:color="auto"/>
                    <w:left w:val="none" w:sz="0" w:space="0" w:color="auto"/>
                    <w:bottom w:val="none" w:sz="0" w:space="0" w:color="auto"/>
                    <w:right w:val="none" w:sz="0" w:space="0" w:color="auto"/>
                  </w:divBdr>
                  <w:divsChild>
                    <w:div w:id="1035304426">
                      <w:marLeft w:val="0"/>
                      <w:marRight w:val="0"/>
                      <w:marTop w:val="0"/>
                      <w:marBottom w:val="300"/>
                      <w:divBdr>
                        <w:top w:val="none" w:sz="0" w:space="0" w:color="auto"/>
                        <w:left w:val="none" w:sz="0" w:space="0" w:color="auto"/>
                        <w:bottom w:val="none" w:sz="0" w:space="0" w:color="auto"/>
                        <w:right w:val="none" w:sz="0" w:space="0" w:color="auto"/>
                      </w:divBdr>
                      <w:divsChild>
                        <w:div w:id="15049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660895">
      <w:bodyDiv w:val="1"/>
      <w:marLeft w:val="0"/>
      <w:marRight w:val="0"/>
      <w:marTop w:val="0"/>
      <w:marBottom w:val="0"/>
      <w:divBdr>
        <w:top w:val="none" w:sz="0" w:space="0" w:color="auto"/>
        <w:left w:val="none" w:sz="0" w:space="0" w:color="auto"/>
        <w:bottom w:val="none" w:sz="0" w:space="0" w:color="auto"/>
        <w:right w:val="none" w:sz="0" w:space="0" w:color="auto"/>
      </w:divBdr>
      <w:divsChild>
        <w:div w:id="1249772092">
          <w:marLeft w:val="0"/>
          <w:marRight w:val="0"/>
          <w:marTop w:val="0"/>
          <w:marBottom w:val="0"/>
          <w:divBdr>
            <w:top w:val="none" w:sz="0" w:space="0" w:color="auto"/>
            <w:left w:val="single" w:sz="6" w:space="0" w:color="BBBBBB"/>
            <w:bottom w:val="single" w:sz="6" w:space="0" w:color="BBBBBB"/>
            <w:right w:val="single" w:sz="6" w:space="0" w:color="BBBBBB"/>
          </w:divBdr>
          <w:divsChild>
            <w:div w:id="399602027">
              <w:marLeft w:val="0"/>
              <w:marRight w:val="0"/>
              <w:marTop w:val="0"/>
              <w:marBottom w:val="0"/>
              <w:divBdr>
                <w:top w:val="none" w:sz="0" w:space="0" w:color="auto"/>
                <w:left w:val="none" w:sz="0" w:space="0" w:color="auto"/>
                <w:bottom w:val="none" w:sz="0" w:space="0" w:color="auto"/>
                <w:right w:val="none" w:sz="0" w:space="0" w:color="auto"/>
              </w:divBdr>
              <w:divsChild>
                <w:div w:id="1059979398">
                  <w:marLeft w:val="0"/>
                  <w:marRight w:val="0"/>
                  <w:marTop w:val="75"/>
                  <w:marBottom w:val="0"/>
                  <w:divBdr>
                    <w:top w:val="none" w:sz="0" w:space="0" w:color="auto"/>
                    <w:left w:val="none" w:sz="0" w:space="0" w:color="auto"/>
                    <w:bottom w:val="none" w:sz="0" w:space="0" w:color="auto"/>
                    <w:right w:val="none" w:sz="0" w:space="0" w:color="auto"/>
                  </w:divBdr>
                  <w:divsChild>
                    <w:div w:id="1609502576">
                      <w:marLeft w:val="0"/>
                      <w:marRight w:val="0"/>
                      <w:marTop w:val="0"/>
                      <w:marBottom w:val="0"/>
                      <w:divBdr>
                        <w:top w:val="none" w:sz="0" w:space="0" w:color="auto"/>
                        <w:left w:val="none" w:sz="0" w:space="0" w:color="auto"/>
                        <w:bottom w:val="none" w:sz="0" w:space="0" w:color="auto"/>
                        <w:right w:val="none" w:sz="0" w:space="0" w:color="auto"/>
                      </w:divBdr>
                      <w:divsChild>
                        <w:div w:id="487676273">
                          <w:marLeft w:val="0"/>
                          <w:marRight w:val="0"/>
                          <w:marTop w:val="0"/>
                          <w:marBottom w:val="0"/>
                          <w:divBdr>
                            <w:top w:val="none" w:sz="0" w:space="0" w:color="auto"/>
                            <w:left w:val="none" w:sz="0" w:space="0" w:color="auto"/>
                            <w:bottom w:val="none" w:sz="0" w:space="0" w:color="auto"/>
                            <w:right w:val="none" w:sz="0" w:space="0" w:color="auto"/>
                          </w:divBdr>
                          <w:divsChild>
                            <w:div w:id="212157002">
                              <w:marLeft w:val="0"/>
                              <w:marRight w:val="0"/>
                              <w:marTop w:val="0"/>
                              <w:marBottom w:val="0"/>
                              <w:divBdr>
                                <w:top w:val="none" w:sz="0" w:space="0" w:color="auto"/>
                                <w:left w:val="none" w:sz="0" w:space="0" w:color="auto"/>
                                <w:bottom w:val="none" w:sz="0" w:space="0" w:color="auto"/>
                                <w:right w:val="none" w:sz="0" w:space="0" w:color="auto"/>
                              </w:divBdr>
                              <w:divsChild>
                                <w:div w:id="1439056737">
                                  <w:marLeft w:val="0"/>
                                  <w:marRight w:val="0"/>
                                  <w:marTop w:val="0"/>
                                  <w:marBottom w:val="0"/>
                                  <w:divBdr>
                                    <w:top w:val="none" w:sz="0" w:space="0" w:color="auto"/>
                                    <w:left w:val="none" w:sz="0" w:space="0" w:color="auto"/>
                                    <w:bottom w:val="none" w:sz="0" w:space="0" w:color="auto"/>
                                    <w:right w:val="none" w:sz="0" w:space="0" w:color="auto"/>
                                  </w:divBdr>
                                  <w:divsChild>
                                    <w:div w:id="282349556">
                                      <w:marLeft w:val="0"/>
                                      <w:marRight w:val="0"/>
                                      <w:marTop w:val="0"/>
                                      <w:marBottom w:val="0"/>
                                      <w:divBdr>
                                        <w:top w:val="none" w:sz="0" w:space="0" w:color="auto"/>
                                        <w:left w:val="none" w:sz="0" w:space="0" w:color="auto"/>
                                        <w:bottom w:val="none" w:sz="0" w:space="0" w:color="auto"/>
                                        <w:right w:val="none" w:sz="0" w:space="0" w:color="auto"/>
                                      </w:divBdr>
                                      <w:divsChild>
                                        <w:div w:id="837619296">
                                          <w:marLeft w:val="1200"/>
                                          <w:marRight w:val="1200"/>
                                          <w:marTop w:val="0"/>
                                          <w:marBottom w:val="0"/>
                                          <w:divBdr>
                                            <w:top w:val="none" w:sz="0" w:space="0" w:color="auto"/>
                                            <w:left w:val="none" w:sz="0" w:space="0" w:color="auto"/>
                                            <w:bottom w:val="none" w:sz="0" w:space="0" w:color="auto"/>
                                            <w:right w:val="none" w:sz="0" w:space="0" w:color="auto"/>
                                          </w:divBdr>
                                          <w:divsChild>
                                            <w:div w:id="1917157026">
                                              <w:marLeft w:val="0"/>
                                              <w:marRight w:val="0"/>
                                              <w:marTop w:val="0"/>
                                              <w:marBottom w:val="0"/>
                                              <w:divBdr>
                                                <w:top w:val="none" w:sz="0" w:space="0" w:color="auto"/>
                                                <w:left w:val="none" w:sz="0" w:space="0" w:color="auto"/>
                                                <w:bottom w:val="none" w:sz="0" w:space="0" w:color="auto"/>
                                                <w:right w:val="none" w:sz="0" w:space="0" w:color="auto"/>
                                              </w:divBdr>
                                              <w:divsChild>
                                                <w:div w:id="2126537217">
                                                  <w:marLeft w:val="0"/>
                                                  <w:marRight w:val="0"/>
                                                  <w:marTop w:val="0"/>
                                                  <w:marBottom w:val="0"/>
                                                  <w:divBdr>
                                                    <w:top w:val="none" w:sz="0" w:space="0" w:color="auto"/>
                                                    <w:left w:val="none" w:sz="0" w:space="0" w:color="auto"/>
                                                    <w:bottom w:val="none" w:sz="0" w:space="0" w:color="auto"/>
                                                    <w:right w:val="none" w:sz="0" w:space="0" w:color="auto"/>
                                                  </w:divBdr>
                                                  <w:divsChild>
                                                    <w:div w:id="1113133134">
                                                      <w:marLeft w:val="0"/>
                                                      <w:marRight w:val="0"/>
                                                      <w:marTop w:val="0"/>
                                                      <w:marBottom w:val="0"/>
                                                      <w:divBdr>
                                                        <w:top w:val="none" w:sz="0" w:space="0" w:color="auto"/>
                                                        <w:left w:val="none" w:sz="0" w:space="0" w:color="auto"/>
                                                        <w:bottom w:val="none" w:sz="0" w:space="0" w:color="auto"/>
                                                        <w:right w:val="none" w:sz="0" w:space="0" w:color="auto"/>
                                                      </w:divBdr>
                                                      <w:divsChild>
                                                        <w:div w:id="156464451">
                                                          <w:marLeft w:val="0"/>
                                                          <w:marRight w:val="0"/>
                                                          <w:marTop w:val="0"/>
                                                          <w:marBottom w:val="0"/>
                                                          <w:divBdr>
                                                            <w:top w:val="none" w:sz="0" w:space="0" w:color="auto"/>
                                                            <w:left w:val="none" w:sz="0" w:space="0" w:color="auto"/>
                                                            <w:bottom w:val="none" w:sz="0" w:space="0" w:color="auto"/>
                                                            <w:right w:val="none" w:sz="0" w:space="0" w:color="auto"/>
                                                          </w:divBdr>
                                                          <w:divsChild>
                                                            <w:div w:id="740761516">
                                                              <w:marLeft w:val="0"/>
                                                              <w:marRight w:val="0"/>
                                                              <w:marTop w:val="0"/>
                                                              <w:marBottom w:val="0"/>
                                                              <w:divBdr>
                                                                <w:top w:val="none" w:sz="0" w:space="0" w:color="auto"/>
                                                                <w:left w:val="none" w:sz="0" w:space="0" w:color="auto"/>
                                                                <w:bottom w:val="none" w:sz="0" w:space="0" w:color="auto"/>
                                                                <w:right w:val="none" w:sz="0" w:space="0" w:color="auto"/>
                                                              </w:divBdr>
                                                              <w:divsChild>
                                                                <w:div w:id="563103210">
                                                                  <w:marLeft w:val="0"/>
                                                                  <w:marRight w:val="0"/>
                                                                  <w:marTop w:val="0"/>
                                                                  <w:marBottom w:val="0"/>
                                                                  <w:divBdr>
                                                                    <w:top w:val="none" w:sz="0" w:space="0" w:color="auto"/>
                                                                    <w:left w:val="none" w:sz="0" w:space="0" w:color="auto"/>
                                                                    <w:bottom w:val="none" w:sz="0" w:space="0" w:color="auto"/>
                                                                    <w:right w:val="none" w:sz="0" w:space="0" w:color="auto"/>
                                                                  </w:divBdr>
                                                                  <w:divsChild>
                                                                    <w:div w:id="854347625">
                                                                      <w:marLeft w:val="0"/>
                                                                      <w:marRight w:val="0"/>
                                                                      <w:marTop w:val="0"/>
                                                                      <w:marBottom w:val="0"/>
                                                                      <w:divBdr>
                                                                        <w:top w:val="none" w:sz="0" w:space="0" w:color="auto"/>
                                                                        <w:left w:val="none" w:sz="0" w:space="0" w:color="auto"/>
                                                                        <w:bottom w:val="none" w:sz="0" w:space="0" w:color="auto"/>
                                                                        <w:right w:val="none" w:sz="0" w:space="0" w:color="auto"/>
                                                                      </w:divBdr>
                                                                      <w:divsChild>
                                                                        <w:div w:id="919481315">
                                                                          <w:marLeft w:val="0"/>
                                                                          <w:marRight w:val="0"/>
                                                                          <w:marTop w:val="0"/>
                                                                          <w:marBottom w:val="0"/>
                                                                          <w:divBdr>
                                                                            <w:top w:val="none" w:sz="0" w:space="0" w:color="auto"/>
                                                                            <w:left w:val="none" w:sz="0" w:space="0" w:color="auto"/>
                                                                            <w:bottom w:val="none" w:sz="0" w:space="0" w:color="auto"/>
                                                                            <w:right w:val="none" w:sz="0" w:space="0" w:color="auto"/>
                                                                          </w:divBdr>
                                                                        </w:div>
                                                                      </w:divsChild>
                                                                    </w:div>
                                                                    <w:div w:id="1110969793">
                                                                      <w:marLeft w:val="0"/>
                                                                      <w:marRight w:val="0"/>
                                                                      <w:marTop w:val="0"/>
                                                                      <w:marBottom w:val="0"/>
                                                                      <w:divBdr>
                                                                        <w:top w:val="none" w:sz="0" w:space="0" w:color="auto"/>
                                                                        <w:left w:val="none" w:sz="0" w:space="0" w:color="auto"/>
                                                                        <w:bottom w:val="none" w:sz="0" w:space="0" w:color="auto"/>
                                                                        <w:right w:val="none" w:sz="0" w:space="0" w:color="auto"/>
                                                                      </w:divBdr>
                                                                      <w:divsChild>
                                                                        <w:div w:id="20021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7818598">
      <w:bodyDiv w:val="1"/>
      <w:marLeft w:val="0"/>
      <w:marRight w:val="0"/>
      <w:marTop w:val="0"/>
      <w:marBottom w:val="0"/>
      <w:divBdr>
        <w:top w:val="none" w:sz="0" w:space="0" w:color="auto"/>
        <w:left w:val="none" w:sz="0" w:space="0" w:color="auto"/>
        <w:bottom w:val="none" w:sz="0" w:space="0" w:color="auto"/>
        <w:right w:val="none" w:sz="0" w:space="0" w:color="auto"/>
      </w:divBdr>
      <w:divsChild>
        <w:div w:id="662902462">
          <w:marLeft w:val="0"/>
          <w:marRight w:val="0"/>
          <w:marTop w:val="240"/>
          <w:marBottom w:val="0"/>
          <w:divBdr>
            <w:top w:val="none" w:sz="0" w:space="0" w:color="auto"/>
            <w:left w:val="none" w:sz="0" w:space="0" w:color="auto"/>
            <w:bottom w:val="none" w:sz="0" w:space="0" w:color="auto"/>
            <w:right w:val="none" w:sz="0" w:space="0" w:color="auto"/>
          </w:divBdr>
          <w:divsChild>
            <w:div w:id="1061834145">
              <w:marLeft w:val="0"/>
              <w:marRight w:val="0"/>
              <w:marTop w:val="0"/>
              <w:marBottom w:val="0"/>
              <w:divBdr>
                <w:top w:val="none" w:sz="0" w:space="0" w:color="auto"/>
                <w:left w:val="none" w:sz="0" w:space="0" w:color="auto"/>
                <w:bottom w:val="none" w:sz="0" w:space="0" w:color="auto"/>
                <w:right w:val="none" w:sz="0" w:space="0" w:color="auto"/>
              </w:divBdr>
            </w:div>
          </w:divsChild>
        </w:div>
        <w:div w:id="1864172542">
          <w:marLeft w:val="0"/>
          <w:marRight w:val="0"/>
          <w:marTop w:val="240"/>
          <w:marBottom w:val="0"/>
          <w:divBdr>
            <w:top w:val="none" w:sz="0" w:space="0" w:color="auto"/>
            <w:left w:val="none" w:sz="0" w:space="0" w:color="auto"/>
            <w:bottom w:val="none" w:sz="0" w:space="0" w:color="auto"/>
            <w:right w:val="none" w:sz="0" w:space="0" w:color="auto"/>
          </w:divBdr>
          <w:divsChild>
            <w:div w:id="150485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1961">
      <w:bodyDiv w:val="1"/>
      <w:marLeft w:val="0"/>
      <w:marRight w:val="0"/>
      <w:marTop w:val="0"/>
      <w:marBottom w:val="0"/>
      <w:divBdr>
        <w:top w:val="none" w:sz="0" w:space="0" w:color="auto"/>
        <w:left w:val="none" w:sz="0" w:space="0" w:color="auto"/>
        <w:bottom w:val="none" w:sz="0" w:space="0" w:color="auto"/>
        <w:right w:val="none" w:sz="0" w:space="0" w:color="auto"/>
      </w:divBdr>
      <w:divsChild>
        <w:div w:id="121196110">
          <w:marLeft w:val="0"/>
          <w:marRight w:val="0"/>
          <w:marTop w:val="0"/>
          <w:marBottom w:val="0"/>
          <w:divBdr>
            <w:top w:val="none" w:sz="0" w:space="0" w:color="auto"/>
            <w:left w:val="single" w:sz="6" w:space="0" w:color="BBBBBB"/>
            <w:bottom w:val="single" w:sz="6" w:space="0" w:color="BBBBBB"/>
            <w:right w:val="single" w:sz="6" w:space="0" w:color="BBBBBB"/>
          </w:divBdr>
          <w:divsChild>
            <w:div w:id="712998250">
              <w:marLeft w:val="0"/>
              <w:marRight w:val="0"/>
              <w:marTop w:val="0"/>
              <w:marBottom w:val="0"/>
              <w:divBdr>
                <w:top w:val="none" w:sz="0" w:space="0" w:color="auto"/>
                <w:left w:val="none" w:sz="0" w:space="0" w:color="auto"/>
                <w:bottom w:val="none" w:sz="0" w:space="0" w:color="auto"/>
                <w:right w:val="none" w:sz="0" w:space="0" w:color="auto"/>
              </w:divBdr>
              <w:divsChild>
                <w:div w:id="339240948">
                  <w:marLeft w:val="0"/>
                  <w:marRight w:val="0"/>
                  <w:marTop w:val="75"/>
                  <w:marBottom w:val="0"/>
                  <w:divBdr>
                    <w:top w:val="none" w:sz="0" w:space="0" w:color="auto"/>
                    <w:left w:val="none" w:sz="0" w:space="0" w:color="auto"/>
                    <w:bottom w:val="none" w:sz="0" w:space="0" w:color="auto"/>
                    <w:right w:val="none" w:sz="0" w:space="0" w:color="auto"/>
                  </w:divBdr>
                  <w:divsChild>
                    <w:div w:id="978263499">
                      <w:marLeft w:val="0"/>
                      <w:marRight w:val="0"/>
                      <w:marTop w:val="0"/>
                      <w:marBottom w:val="0"/>
                      <w:divBdr>
                        <w:top w:val="none" w:sz="0" w:space="0" w:color="auto"/>
                        <w:left w:val="none" w:sz="0" w:space="0" w:color="auto"/>
                        <w:bottom w:val="none" w:sz="0" w:space="0" w:color="auto"/>
                        <w:right w:val="none" w:sz="0" w:space="0" w:color="auto"/>
                      </w:divBdr>
                      <w:divsChild>
                        <w:div w:id="1540975305">
                          <w:marLeft w:val="0"/>
                          <w:marRight w:val="0"/>
                          <w:marTop w:val="0"/>
                          <w:marBottom w:val="0"/>
                          <w:divBdr>
                            <w:top w:val="none" w:sz="0" w:space="0" w:color="auto"/>
                            <w:left w:val="none" w:sz="0" w:space="0" w:color="auto"/>
                            <w:bottom w:val="none" w:sz="0" w:space="0" w:color="auto"/>
                            <w:right w:val="none" w:sz="0" w:space="0" w:color="auto"/>
                          </w:divBdr>
                          <w:divsChild>
                            <w:div w:id="1154564960">
                              <w:marLeft w:val="0"/>
                              <w:marRight w:val="0"/>
                              <w:marTop w:val="0"/>
                              <w:marBottom w:val="0"/>
                              <w:divBdr>
                                <w:top w:val="none" w:sz="0" w:space="0" w:color="auto"/>
                                <w:left w:val="none" w:sz="0" w:space="0" w:color="auto"/>
                                <w:bottom w:val="none" w:sz="0" w:space="0" w:color="auto"/>
                                <w:right w:val="none" w:sz="0" w:space="0" w:color="auto"/>
                              </w:divBdr>
                              <w:divsChild>
                                <w:div w:id="127817282">
                                  <w:marLeft w:val="0"/>
                                  <w:marRight w:val="0"/>
                                  <w:marTop w:val="0"/>
                                  <w:marBottom w:val="0"/>
                                  <w:divBdr>
                                    <w:top w:val="none" w:sz="0" w:space="0" w:color="auto"/>
                                    <w:left w:val="none" w:sz="0" w:space="0" w:color="auto"/>
                                    <w:bottom w:val="none" w:sz="0" w:space="0" w:color="auto"/>
                                    <w:right w:val="none" w:sz="0" w:space="0" w:color="auto"/>
                                  </w:divBdr>
                                  <w:divsChild>
                                    <w:div w:id="180315527">
                                      <w:marLeft w:val="0"/>
                                      <w:marRight w:val="0"/>
                                      <w:marTop w:val="0"/>
                                      <w:marBottom w:val="0"/>
                                      <w:divBdr>
                                        <w:top w:val="none" w:sz="0" w:space="0" w:color="auto"/>
                                        <w:left w:val="none" w:sz="0" w:space="0" w:color="auto"/>
                                        <w:bottom w:val="none" w:sz="0" w:space="0" w:color="auto"/>
                                        <w:right w:val="none" w:sz="0" w:space="0" w:color="auto"/>
                                      </w:divBdr>
                                      <w:divsChild>
                                        <w:div w:id="1206984680">
                                          <w:marLeft w:val="1200"/>
                                          <w:marRight w:val="1200"/>
                                          <w:marTop w:val="0"/>
                                          <w:marBottom w:val="0"/>
                                          <w:divBdr>
                                            <w:top w:val="none" w:sz="0" w:space="0" w:color="auto"/>
                                            <w:left w:val="none" w:sz="0" w:space="0" w:color="auto"/>
                                            <w:bottom w:val="none" w:sz="0" w:space="0" w:color="auto"/>
                                            <w:right w:val="none" w:sz="0" w:space="0" w:color="auto"/>
                                          </w:divBdr>
                                          <w:divsChild>
                                            <w:div w:id="1833331161">
                                              <w:marLeft w:val="0"/>
                                              <w:marRight w:val="0"/>
                                              <w:marTop w:val="0"/>
                                              <w:marBottom w:val="0"/>
                                              <w:divBdr>
                                                <w:top w:val="none" w:sz="0" w:space="0" w:color="auto"/>
                                                <w:left w:val="none" w:sz="0" w:space="0" w:color="auto"/>
                                                <w:bottom w:val="none" w:sz="0" w:space="0" w:color="auto"/>
                                                <w:right w:val="none" w:sz="0" w:space="0" w:color="auto"/>
                                              </w:divBdr>
                                              <w:divsChild>
                                                <w:div w:id="1118184396">
                                                  <w:marLeft w:val="0"/>
                                                  <w:marRight w:val="0"/>
                                                  <w:marTop w:val="0"/>
                                                  <w:marBottom w:val="0"/>
                                                  <w:divBdr>
                                                    <w:top w:val="none" w:sz="0" w:space="0" w:color="auto"/>
                                                    <w:left w:val="none" w:sz="0" w:space="0" w:color="auto"/>
                                                    <w:bottom w:val="none" w:sz="0" w:space="0" w:color="auto"/>
                                                    <w:right w:val="none" w:sz="0" w:space="0" w:color="auto"/>
                                                  </w:divBdr>
                                                  <w:divsChild>
                                                    <w:div w:id="2029479157">
                                                      <w:marLeft w:val="0"/>
                                                      <w:marRight w:val="0"/>
                                                      <w:marTop w:val="0"/>
                                                      <w:marBottom w:val="0"/>
                                                      <w:divBdr>
                                                        <w:top w:val="none" w:sz="0" w:space="0" w:color="auto"/>
                                                        <w:left w:val="none" w:sz="0" w:space="0" w:color="auto"/>
                                                        <w:bottom w:val="none" w:sz="0" w:space="0" w:color="auto"/>
                                                        <w:right w:val="none" w:sz="0" w:space="0" w:color="auto"/>
                                                      </w:divBdr>
                                                      <w:divsChild>
                                                        <w:div w:id="1484469418">
                                                          <w:marLeft w:val="0"/>
                                                          <w:marRight w:val="0"/>
                                                          <w:marTop w:val="0"/>
                                                          <w:marBottom w:val="0"/>
                                                          <w:divBdr>
                                                            <w:top w:val="none" w:sz="0" w:space="0" w:color="auto"/>
                                                            <w:left w:val="none" w:sz="0" w:space="0" w:color="auto"/>
                                                            <w:bottom w:val="none" w:sz="0" w:space="0" w:color="auto"/>
                                                            <w:right w:val="none" w:sz="0" w:space="0" w:color="auto"/>
                                                          </w:divBdr>
                                                          <w:divsChild>
                                                            <w:div w:id="1573199222">
                                                              <w:marLeft w:val="0"/>
                                                              <w:marRight w:val="0"/>
                                                              <w:marTop w:val="0"/>
                                                              <w:marBottom w:val="0"/>
                                                              <w:divBdr>
                                                                <w:top w:val="none" w:sz="0" w:space="0" w:color="auto"/>
                                                                <w:left w:val="none" w:sz="0" w:space="0" w:color="auto"/>
                                                                <w:bottom w:val="none" w:sz="0" w:space="0" w:color="auto"/>
                                                                <w:right w:val="none" w:sz="0" w:space="0" w:color="auto"/>
                                                              </w:divBdr>
                                                              <w:divsChild>
                                                                <w:div w:id="1932615115">
                                                                  <w:marLeft w:val="0"/>
                                                                  <w:marRight w:val="0"/>
                                                                  <w:marTop w:val="0"/>
                                                                  <w:marBottom w:val="0"/>
                                                                  <w:divBdr>
                                                                    <w:top w:val="none" w:sz="0" w:space="0" w:color="auto"/>
                                                                    <w:left w:val="none" w:sz="0" w:space="0" w:color="auto"/>
                                                                    <w:bottom w:val="none" w:sz="0" w:space="0" w:color="auto"/>
                                                                    <w:right w:val="none" w:sz="0" w:space="0" w:color="auto"/>
                                                                  </w:divBdr>
                                                                  <w:divsChild>
                                                                    <w:div w:id="862747010">
                                                                      <w:marLeft w:val="0"/>
                                                                      <w:marRight w:val="0"/>
                                                                      <w:marTop w:val="0"/>
                                                                      <w:marBottom w:val="0"/>
                                                                      <w:divBdr>
                                                                        <w:top w:val="none" w:sz="0" w:space="0" w:color="auto"/>
                                                                        <w:left w:val="none" w:sz="0" w:space="0" w:color="auto"/>
                                                                        <w:bottom w:val="none" w:sz="0" w:space="0" w:color="auto"/>
                                                                        <w:right w:val="none" w:sz="0" w:space="0" w:color="auto"/>
                                                                      </w:divBdr>
                                                                      <w:divsChild>
                                                                        <w:div w:id="783620890">
                                                                          <w:marLeft w:val="0"/>
                                                                          <w:marRight w:val="0"/>
                                                                          <w:marTop w:val="0"/>
                                                                          <w:marBottom w:val="0"/>
                                                                          <w:divBdr>
                                                                            <w:top w:val="none" w:sz="0" w:space="0" w:color="auto"/>
                                                                            <w:left w:val="none" w:sz="0" w:space="0" w:color="auto"/>
                                                                            <w:bottom w:val="none" w:sz="0" w:space="0" w:color="auto"/>
                                                                            <w:right w:val="none" w:sz="0" w:space="0" w:color="auto"/>
                                                                          </w:divBdr>
                                                                        </w:div>
                                                                      </w:divsChild>
                                                                    </w:div>
                                                                    <w:div w:id="1262765941">
                                                                      <w:marLeft w:val="0"/>
                                                                      <w:marRight w:val="0"/>
                                                                      <w:marTop w:val="0"/>
                                                                      <w:marBottom w:val="0"/>
                                                                      <w:divBdr>
                                                                        <w:top w:val="none" w:sz="0" w:space="0" w:color="auto"/>
                                                                        <w:left w:val="none" w:sz="0" w:space="0" w:color="auto"/>
                                                                        <w:bottom w:val="none" w:sz="0" w:space="0" w:color="auto"/>
                                                                        <w:right w:val="none" w:sz="0" w:space="0" w:color="auto"/>
                                                                      </w:divBdr>
                                                                      <w:divsChild>
                                                                        <w:div w:id="4508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040469">
      <w:bodyDiv w:val="1"/>
      <w:marLeft w:val="0"/>
      <w:marRight w:val="0"/>
      <w:marTop w:val="0"/>
      <w:marBottom w:val="0"/>
      <w:divBdr>
        <w:top w:val="none" w:sz="0" w:space="0" w:color="auto"/>
        <w:left w:val="none" w:sz="0" w:space="0" w:color="auto"/>
        <w:bottom w:val="none" w:sz="0" w:space="0" w:color="auto"/>
        <w:right w:val="none" w:sz="0" w:space="0" w:color="auto"/>
      </w:divBdr>
      <w:divsChild>
        <w:div w:id="1321691298">
          <w:marLeft w:val="0"/>
          <w:marRight w:val="0"/>
          <w:marTop w:val="240"/>
          <w:marBottom w:val="0"/>
          <w:divBdr>
            <w:top w:val="none" w:sz="0" w:space="0" w:color="auto"/>
            <w:left w:val="none" w:sz="0" w:space="0" w:color="auto"/>
            <w:bottom w:val="none" w:sz="0" w:space="0" w:color="auto"/>
            <w:right w:val="none" w:sz="0" w:space="0" w:color="auto"/>
          </w:divBdr>
          <w:divsChild>
            <w:div w:id="410153490">
              <w:marLeft w:val="0"/>
              <w:marRight w:val="0"/>
              <w:marTop w:val="0"/>
              <w:marBottom w:val="0"/>
              <w:divBdr>
                <w:top w:val="none" w:sz="0" w:space="0" w:color="auto"/>
                <w:left w:val="none" w:sz="0" w:space="0" w:color="auto"/>
                <w:bottom w:val="none" w:sz="0" w:space="0" w:color="auto"/>
                <w:right w:val="none" w:sz="0" w:space="0" w:color="auto"/>
              </w:divBdr>
            </w:div>
          </w:divsChild>
        </w:div>
        <w:div w:id="1365325545">
          <w:marLeft w:val="0"/>
          <w:marRight w:val="0"/>
          <w:marTop w:val="0"/>
          <w:marBottom w:val="0"/>
          <w:divBdr>
            <w:top w:val="none" w:sz="0" w:space="0" w:color="auto"/>
            <w:left w:val="none" w:sz="0" w:space="0" w:color="auto"/>
            <w:bottom w:val="none" w:sz="0" w:space="0" w:color="auto"/>
            <w:right w:val="none" w:sz="0" w:space="0" w:color="auto"/>
          </w:divBdr>
        </w:div>
        <w:div w:id="2007900933">
          <w:marLeft w:val="0"/>
          <w:marRight w:val="0"/>
          <w:marTop w:val="240"/>
          <w:marBottom w:val="0"/>
          <w:divBdr>
            <w:top w:val="none" w:sz="0" w:space="0" w:color="auto"/>
            <w:left w:val="none" w:sz="0" w:space="0" w:color="auto"/>
            <w:bottom w:val="none" w:sz="0" w:space="0" w:color="auto"/>
            <w:right w:val="none" w:sz="0" w:space="0" w:color="auto"/>
          </w:divBdr>
          <w:divsChild>
            <w:div w:id="31641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84630">
      <w:bodyDiv w:val="1"/>
      <w:marLeft w:val="0"/>
      <w:marRight w:val="0"/>
      <w:marTop w:val="0"/>
      <w:marBottom w:val="0"/>
      <w:divBdr>
        <w:top w:val="none" w:sz="0" w:space="0" w:color="auto"/>
        <w:left w:val="none" w:sz="0" w:space="0" w:color="auto"/>
        <w:bottom w:val="none" w:sz="0" w:space="0" w:color="auto"/>
        <w:right w:val="none" w:sz="0" w:space="0" w:color="auto"/>
      </w:divBdr>
    </w:div>
    <w:div w:id="823854119">
      <w:bodyDiv w:val="1"/>
      <w:marLeft w:val="0"/>
      <w:marRight w:val="0"/>
      <w:marTop w:val="0"/>
      <w:marBottom w:val="0"/>
      <w:divBdr>
        <w:top w:val="none" w:sz="0" w:space="0" w:color="auto"/>
        <w:left w:val="none" w:sz="0" w:space="0" w:color="auto"/>
        <w:bottom w:val="none" w:sz="0" w:space="0" w:color="auto"/>
        <w:right w:val="none" w:sz="0" w:space="0" w:color="auto"/>
      </w:divBdr>
      <w:divsChild>
        <w:div w:id="24260449">
          <w:marLeft w:val="0"/>
          <w:marRight w:val="0"/>
          <w:marTop w:val="0"/>
          <w:marBottom w:val="0"/>
          <w:divBdr>
            <w:top w:val="none" w:sz="0" w:space="0" w:color="auto"/>
            <w:left w:val="single" w:sz="6" w:space="0" w:color="BBBBBB"/>
            <w:bottom w:val="single" w:sz="6" w:space="0" w:color="BBBBBB"/>
            <w:right w:val="single" w:sz="6" w:space="0" w:color="BBBBBB"/>
          </w:divBdr>
          <w:divsChild>
            <w:div w:id="1451707134">
              <w:marLeft w:val="0"/>
              <w:marRight w:val="0"/>
              <w:marTop w:val="0"/>
              <w:marBottom w:val="0"/>
              <w:divBdr>
                <w:top w:val="none" w:sz="0" w:space="0" w:color="auto"/>
                <w:left w:val="none" w:sz="0" w:space="0" w:color="auto"/>
                <w:bottom w:val="none" w:sz="0" w:space="0" w:color="auto"/>
                <w:right w:val="none" w:sz="0" w:space="0" w:color="auto"/>
              </w:divBdr>
              <w:divsChild>
                <w:div w:id="420611038">
                  <w:marLeft w:val="0"/>
                  <w:marRight w:val="0"/>
                  <w:marTop w:val="75"/>
                  <w:marBottom w:val="0"/>
                  <w:divBdr>
                    <w:top w:val="none" w:sz="0" w:space="0" w:color="auto"/>
                    <w:left w:val="none" w:sz="0" w:space="0" w:color="auto"/>
                    <w:bottom w:val="none" w:sz="0" w:space="0" w:color="auto"/>
                    <w:right w:val="none" w:sz="0" w:space="0" w:color="auto"/>
                  </w:divBdr>
                  <w:divsChild>
                    <w:div w:id="624117926">
                      <w:marLeft w:val="0"/>
                      <w:marRight w:val="0"/>
                      <w:marTop w:val="0"/>
                      <w:marBottom w:val="0"/>
                      <w:divBdr>
                        <w:top w:val="none" w:sz="0" w:space="0" w:color="auto"/>
                        <w:left w:val="none" w:sz="0" w:space="0" w:color="auto"/>
                        <w:bottom w:val="none" w:sz="0" w:space="0" w:color="auto"/>
                        <w:right w:val="none" w:sz="0" w:space="0" w:color="auto"/>
                      </w:divBdr>
                      <w:divsChild>
                        <w:div w:id="49228607">
                          <w:marLeft w:val="0"/>
                          <w:marRight w:val="0"/>
                          <w:marTop w:val="0"/>
                          <w:marBottom w:val="0"/>
                          <w:divBdr>
                            <w:top w:val="none" w:sz="0" w:space="0" w:color="auto"/>
                            <w:left w:val="none" w:sz="0" w:space="0" w:color="auto"/>
                            <w:bottom w:val="none" w:sz="0" w:space="0" w:color="auto"/>
                            <w:right w:val="none" w:sz="0" w:space="0" w:color="auto"/>
                          </w:divBdr>
                          <w:divsChild>
                            <w:div w:id="1177816322">
                              <w:marLeft w:val="0"/>
                              <w:marRight w:val="0"/>
                              <w:marTop w:val="0"/>
                              <w:marBottom w:val="0"/>
                              <w:divBdr>
                                <w:top w:val="none" w:sz="0" w:space="0" w:color="auto"/>
                                <w:left w:val="none" w:sz="0" w:space="0" w:color="auto"/>
                                <w:bottom w:val="none" w:sz="0" w:space="0" w:color="auto"/>
                                <w:right w:val="none" w:sz="0" w:space="0" w:color="auto"/>
                              </w:divBdr>
                              <w:divsChild>
                                <w:div w:id="1506630607">
                                  <w:marLeft w:val="0"/>
                                  <w:marRight w:val="0"/>
                                  <w:marTop w:val="0"/>
                                  <w:marBottom w:val="0"/>
                                  <w:divBdr>
                                    <w:top w:val="none" w:sz="0" w:space="0" w:color="auto"/>
                                    <w:left w:val="none" w:sz="0" w:space="0" w:color="auto"/>
                                    <w:bottom w:val="none" w:sz="0" w:space="0" w:color="auto"/>
                                    <w:right w:val="none" w:sz="0" w:space="0" w:color="auto"/>
                                  </w:divBdr>
                                  <w:divsChild>
                                    <w:div w:id="757946336">
                                      <w:marLeft w:val="0"/>
                                      <w:marRight w:val="0"/>
                                      <w:marTop w:val="0"/>
                                      <w:marBottom w:val="0"/>
                                      <w:divBdr>
                                        <w:top w:val="none" w:sz="0" w:space="0" w:color="auto"/>
                                        <w:left w:val="none" w:sz="0" w:space="0" w:color="auto"/>
                                        <w:bottom w:val="none" w:sz="0" w:space="0" w:color="auto"/>
                                        <w:right w:val="none" w:sz="0" w:space="0" w:color="auto"/>
                                      </w:divBdr>
                                      <w:divsChild>
                                        <w:div w:id="1722745811">
                                          <w:marLeft w:val="1200"/>
                                          <w:marRight w:val="1200"/>
                                          <w:marTop w:val="0"/>
                                          <w:marBottom w:val="0"/>
                                          <w:divBdr>
                                            <w:top w:val="none" w:sz="0" w:space="0" w:color="auto"/>
                                            <w:left w:val="none" w:sz="0" w:space="0" w:color="auto"/>
                                            <w:bottom w:val="none" w:sz="0" w:space="0" w:color="auto"/>
                                            <w:right w:val="none" w:sz="0" w:space="0" w:color="auto"/>
                                          </w:divBdr>
                                          <w:divsChild>
                                            <w:div w:id="660473832">
                                              <w:marLeft w:val="0"/>
                                              <w:marRight w:val="0"/>
                                              <w:marTop w:val="0"/>
                                              <w:marBottom w:val="0"/>
                                              <w:divBdr>
                                                <w:top w:val="none" w:sz="0" w:space="0" w:color="auto"/>
                                                <w:left w:val="none" w:sz="0" w:space="0" w:color="auto"/>
                                                <w:bottom w:val="none" w:sz="0" w:space="0" w:color="auto"/>
                                                <w:right w:val="none" w:sz="0" w:space="0" w:color="auto"/>
                                              </w:divBdr>
                                              <w:divsChild>
                                                <w:div w:id="1790079815">
                                                  <w:marLeft w:val="0"/>
                                                  <w:marRight w:val="0"/>
                                                  <w:marTop w:val="0"/>
                                                  <w:marBottom w:val="0"/>
                                                  <w:divBdr>
                                                    <w:top w:val="none" w:sz="0" w:space="0" w:color="auto"/>
                                                    <w:left w:val="none" w:sz="0" w:space="0" w:color="auto"/>
                                                    <w:bottom w:val="none" w:sz="0" w:space="0" w:color="auto"/>
                                                    <w:right w:val="none" w:sz="0" w:space="0" w:color="auto"/>
                                                  </w:divBdr>
                                                  <w:divsChild>
                                                    <w:div w:id="919218221">
                                                      <w:marLeft w:val="0"/>
                                                      <w:marRight w:val="0"/>
                                                      <w:marTop w:val="0"/>
                                                      <w:marBottom w:val="0"/>
                                                      <w:divBdr>
                                                        <w:top w:val="none" w:sz="0" w:space="0" w:color="auto"/>
                                                        <w:left w:val="none" w:sz="0" w:space="0" w:color="auto"/>
                                                        <w:bottom w:val="none" w:sz="0" w:space="0" w:color="auto"/>
                                                        <w:right w:val="none" w:sz="0" w:space="0" w:color="auto"/>
                                                      </w:divBdr>
                                                      <w:divsChild>
                                                        <w:div w:id="343023663">
                                                          <w:marLeft w:val="0"/>
                                                          <w:marRight w:val="0"/>
                                                          <w:marTop w:val="0"/>
                                                          <w:marBottom w:val="0"/>
                                                          <w:divBdr>
                                                            <w:top w:val="none" w:sz="0" w:space="0" w:color="auto"/>
                                                            <w:left w:val="none" w:sz="0" w:space="0" w:color="auto"/>
                                                            <w:bottom w:val="none" w:sz="0" w:space="0" w:color="auto"/>
                                                            <w:right w:val="none" w:sz="0" w:space="0" w:color="auto"/>
                                                          </w:divBdr>
                                                          <w:divsChild>
                                                            <w:div w:id="1454714450">
                                                              <w:marLeft w:val="0"/>
                                                              <w:marRight w:val="0"/>
                                                              <w:marTop w:val="0"/>
                                                              <w:marBottom w:val="0"/>
                                                              <w:divBdr>
                                                                <w:top w:val="none" w:sz="0" w:space="0" w:color="auto"/>
                                                                <w:left w:val="none" w:sz="0" w:space="0" w:color="auto"/>
                                                                <w:bottom w:val="none" w:sz="0" w:space="0" w:color="auto"/>
                                                                <w:right w:val="none" w:sz="0" w:space="0" w:color="auto"/>
                                                              </w:divBdr>
                                                              <w:divsChild>
                                                                <w:div w:id="1926650428">
                                                                  <w:marLeft w:val="0"/>
                                                                  <w:marRight w:val="0"/>
                                                                  <w:marTop w:val="0"/>
                                                                  <w:marBottom w:val="0"/>
                                                                  <w:divBdr>
                                                                    <w:top w:val="none" w:sz="0" w:space="0" w:color="auto"/>
                                                                    <w:left w:val="none" w:sz="0" w:space="0" w:color="auto"/>
                                                                    <w:bottom w:val="none" w:sz="0" w:space="0" w:color="auto"/>
                                                                    <w:right w:val="none" w:sz="0" w:space="0" w:color="auto"/>
                                                                  </w:divBdr>
                                                                  <w:divsChild>
                                                                    <w:div w:id="66928656">
                                                                      <w:marLeft w:val="0"/>
                                                                      <w:marRight w:val="0"/>
                                                                      <w:marTop w:val="0"/>
                                                                      <w:marBottom w:val="0"/>
                                                                      <w:divBdr>
                                                                        <w:top w:val="none" w:sz="0" w:space="0" w:color="auto"/>
                                                                        <w:left w:val="none" w:sz="0" w:space="0" w:color="auto"/>
                                                                        <w:bottom w:val="none" w:sz="0" w:space="0" w:color="auto"/>
                                                                        <w:right w:val="none" w:sz="0" w:space="0" w:color="auto"/>
                                                                      </w:divBdr>
                                                                      <w:divsChild>
                                                                        <w:div w:id="1586839967">
                                                                          <w:marLeft w:val="0"/>
                                                                          <w:marRight w:val="0"/>
                                                                          <w:marTop w:val="0"/>
                                                                          <w:marBottom w:val="0"/>
                                                                          <w:divBdr>
                                                                            <w:top w:val="none" w:sz="0" w:space="0" w:color="auto"/>
                                                                            <w:left w:val="none" w:sz="0" w:space="0" w:color="auto"/>
                                                                            <w:bottom w:val="none" w:sz="0" w:space="0" w:color="auto"/>
                                                                            <w:right w:val="none" w:sz="0" w:space="0" w:color="auto"/>
                                                                          </w:divBdr>
                                                                        </w:div>
                                                                      </w:divsChild>
                                                                    </w:div>
                                                                    <w:div w:id="1176112592">
                                                                      <w:marLeft w:val="0"/>
                                                                      <w:marRight w:val="0"/>
                                                                      <w:marTop w:val="0"/>
                                                                      <w:marBottom w:val="0"/>
                                                                      <w:divBdr>
                                                                        <w:top w:val="none" w:sz="0" w:space="0" w:color="auto"/>
                                                                        <w:left w:val="none" w:sz="0" w:space="0" w:color="auto"/>
                                                                        <w:bottom w:val="none" w:sz="0" w:space="0" w:color="auto"/>
                                                                        <w:right w:val="none" w:sz="0" w:space="0" w:color="auto"/>
                                                                      </w:divBdr>
                                                                      <w:divsChild>
                                                                        <w:div w:id="102852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056402">
      <w:bodyDiv w:val="1"/>
      <w:marLeft w:val="0"/>
      <w:marRight w:val="0"/>
      <w:marTop w:val="0"/>
      <w:marBottom w:val="0"/>
      <w:divBdr>
        <w:top w:val="none" w:sz="0" w:space="0" w:color="auto"/>
        <w:left w:val="none" w:sz="0" w:space="0" w:color="auto"/>
        <w:bottom w:val="none" w:sz="0" w:space="0" w:color="auto"/>
        <w:right w:val="none" w:sz="0" w:space="0" w:color="auto"/>
      </w:divBdr>
      <w:divsChild>
        <w:div w:id="1535970019">
          <w:marLeft w:val="0"/>
          <w:marRight w:val="0"/>
          <w:marTop w:val="0"/>
          <w:marBottom w:val="0"/>
          <w:divBdr>
            <w:top w:val="none" w:sz="0" w:space="0" w:color="auto"/>
            <w:left w:val="single" w:sz="6" w:space="0" w:color="BBBBBB"/>
            <w:bottom w:val="single" w:sz="6" w:space="0" w:color="BBBBBB"/>
            <w:right w:val="single" w:sz="6" w:space="0" w:color="BBBBBB"/>
          </w:divBdr>
          <w:divsChild>
            <w:div w:id="1553274767">
              <w:marLeft w:val="0"/>
              <w:marRight w:val="0"/>
              <w:marTop w:val="0"/>
              <w:marBottom w:val="0"/>
              <w:divBdr>
                <w:top w:val="none" w:sz="0" w:space="0" w:color="auto"/>
                <w:left w:val="none" w:sz="0" w:space="0" w:color="auto"/>
                <w:bottom w:val="none" w:sz="0" w:space="0" w:color="auto"/>
                <w:right w:val="none" w:sz="0" w:space="0" w:color="auto"/>
              </w:divBdr>
              <w:divsChild>
                <w:div w:id="1141970264">
                  <w:marLeft w:val="0"/>
                  <w:marRight w:val="0"/>
                  <w:marTop w:val="0"/>
                  <w:marBottom w:val="0"/>
                  <w:divBdr>
                    <w:top w:val="none" w:sz="0" w:space="0" w:color="auto"/>
                    <w:left w:val="none" w:sz="0" w:space="0" w:color="auto"/>
                    <w:bottom w:val="none" w:sz="0" w:space="0" w:color="auto"/>
                    <w:right w:val="none" w:sz="0" w:space="0" w:color="auto"/>
                  </w:divBdr>
                  <w:divsChild>
                    <w:div w:id="1511329661">
                      <w:marLeft w:val="0"/>
                      <w:marRight w:val="0"/>
                      <w:marTop w:val="0"/>
                      <w:marBottom w:val="0"/>
                      <w:divBdr>
                        <w:top w:val="none" w:sz="0" w:space="0" w:color="auto"/>
                        <w:left w:val="none" w:sz="0" w:space="0" w:color="auto"/>
                        <w:bottom w:val="none" w:sz="0" w:space="0" w:color="auto"/>
                        <w:right w:val="none" w:sz="0" w:space="0" w:color="auto"/>
                      </w:divBdr>
                      <w:divsChild>
                        <w:div w:id="416555423">
                          <w:marLeft w:val="0"/>
                          <w:marRight w:val="0"/>
                          <w:marTop w:val="0"/>
                          <w:marBottom w:val="0"/>
                          <w:divBdr>
                            <w:top w:val="none" w:sz="0" w:space="0" w:color="auto"/>
                            <w:left w:val="none" w:sz="0" w:space="0" w:color="auto"/>
                            <w:bottom w:val="none" w:sz="0" w:space="0" w:color="auto"/>
                            <w:right w:val="none" w:sz="0" w:space="0" w:color="auto"/>
                          </w:divBdr>
                          <w:divsChild>
                            <w:div w:id="2142840068">
                              <w:marLeft w:val="0"/>
                              <w:marRight w:val="0"/>
                              <w:marTop w:val="0"/>
                              <w:marBottom w:val="0"/>
                              <w:divBdr>
                                <w:top w:val="none" w:sz="0" w:space="0" w:color="auto"/>
                                <w:left w:val="none" w:sz="0" w:space="0" w:color="auto"/>
                                <w:bottom w:val="none" w:sz="0" w:space="0" w:color="auto"/>
                                <w:right w:val="none" w:sz="0" w:space="0" w:color="auto"/>
                              </w:divBdr>
                              <w:divsChild>
                                <w:div w:id="410397392">
                                  <w:marLeft w:val="0"/>
                                  <w:marRight w:val="0"/>
                                  <w:marTop w:val="0"/>
                                  <w:marBottom w:val="0"/>
                                  <w:divBdr>
                                    <w:top w:val="none" w:sz="0" w:space="0" w:color="auto"/>
                                    <w:left w:val="none" w:sz="0" w:space="0" w:color="auto"/>
                                    <w:bottom w:val="none" w:sz="0" w:space="0" w:color="auto"/>
                                    <w:right w:val="none" w:sz="0" w:space="0" w:color="auto"/>
                                  </w:divBdr>
                                  <w:divsChild>
                                    <w:div w:id="1314719888">
                                      <w:marLeft w:val="0"/>
                                      <w:marRight w:val="0"/>
                                      <w:marTop w:val="0"/>
                                      <w:marBottom w:val="0"/>
                                      <w:divBdr>
                                        <w:top w:val="none" w:sz="0" w:space="0" w:color="auto"/>
                                        <w:left w:val="none" w:sz="0" w:space="0" w:color="auto"/>
                                        <w:bottom w:val="none" w:sz="0" w:space="0" w:color="auto"/>
                                        <w:right w:val="none" w:sz="0" w:space="0" w:color="auto"/>
                                      </w:divBdr>
                                      <w:divsChild>
                                        <w:div w:id="1953632246">
                                          <w:marLeft w:val="1200"/>
                                          <w:marRight w:val="1200"/>
                                          <w:marTop w:val="0"/>
                                          <w:marBottom w:val="0"/>
                                          <w:divBdr>
                                            <w:top w:val="none" w:sz="0" w:space="0" w:color="auto"/>
                                            <w:left w:val="none" w:sz="0" w:space="0" w:color="auto"/>
                                            <w:bottom w:val="none" w:sz="0" w:space="0" w:color="auto"/>
                                            <w:right w:val="none" w:sz="0" w:space="0" w:color="auto"/>
                                          </w:divBdr>
                                          <w:divsChild>
                                            <w:div w:id="1167087498">
                                              <w:marLeft w:val="0"/>
                                              <w:marRight w:val="0"/>
                                              <w:marTop w:val="0"/>
                                              <w:marBottom w:val="0"/>
                                              <w:divBdr>
                                                <w:top w:val="none" w:sz="0" w:space="0" w:color="auto"/>
                                                <w:left w:val="none" w:sz="0" w:space="0" w:color="auto"/>
                                                <w:bottom w:val="none" w:sz="0" w:space="0" w:color="auto"/>
                                                <w:right w:val="none" w:sz="0" w:space="0" w:color="auto"/>
                                              </w:divBdr>
                                              <w:divsChild>
                                                <w:div w:id="1738094094">
                                                  <w:marLeft w:val="0"/>
                                                  <w:marRight w:val="0"/>
                                                  <w:marTop w:val="0"/>
                                                  <w:marBottom w:val="0"/>
                                                  <w:divBdr>
                                                    <w:top w:val="none" w:sz="0" w:space="0" w:color="auto"/>
                                                    <w:left w:val="none" w:sz="0" w:space="0" w:color="auto"/>
                                                    <w:bottom w:val="none" w:sz="0" w:space="0" w:color="auto"/>
                                                    <w:right w:val="none" w:sz="0" w:space="0" w:color="auto"/>
                                                  </w:divBdr>
                                                  <w:divsChild>
                                                    <w:div w:id="840003838">
                                                      <w:marLeft w:val="0"/>
                                                      <w:marRight w:val="0"/>
                                                      <w:marTop w:val="0"/>
                                                      <w:marBottom w:val="0"/>
                                                      <w:divBdr>
                                                        <w:top w:val="none" w:sz="0" w:space="0" w:color="auto"/>
                                                        <w:left w:val="none" w:sz="0" w:space="0" w:color="auto"/>
                                                        <w:bottom w:val="none" w:sz="0" w:space="0" w:color="auto"/>
                                                        <w:right w:val="none" w:sz="0" w:space="0" w:color="auto"/>
                                                      </w:divBdr>
                                                      <w:divsChild>
                                                        <w:div w:id="369427134">
                                                          <w:marLeft w:val="0"/>
                                                          <w:marRight w:val="0"/>
                                                          <w:marTop w:val="0"/>
                                                          <w:marBottom w:val="0"/>
                                                          <w:divBdr>
                                                            <w:top w:val="none" w:sz="0" w:space="0" w:color="auto"/>
                                                            <w:left w:val="none" w:sz="0" w:space="0" w:color="auto"/>
                                                            <w:bottom w:val="none" w:sz="0" w:space="0" w:color="auto"/>
                                                            <w:right w:val="none" w:sz="0" w:space="0" w:color="auto"/>
                                                          </w:divBdr>
                                                          <w:divsChild>
                                                            <w:div w:id="1426458585">
                                                              <w:marLeft w:val="0"/>
                                                              <w:marRight w:val="0"/>
                                                              <w:marTop w:val="0"/>
                                                              <w:marBottom w:val="0"/>
                                                              <w:divBdr>
                                                                <w:top w:val="none" w:sz="0" w:space="0" w:color="auto"/>
                                                                <w:left w:val="none" w:sz="0" w:space="0" w:color="auto"/>
                                                                <w:bottom w:val="none" w:sz="0" w:space="0" w:color="auto"/>
                                                                <w:right w:val="none" w:sz="0" w:space="0" w:color="auto"/>
                                                              </w:divBdr>
                                                              <w:divsChild>
                                                                <w:div w:id="943801084">
                                                                  <w:marLeft w:val="0"/>
                                                                  <w:marRight w:val="0"/>
                                                                  <w:marTop w:val="0"/>
                                                                  <w:marBottom w:val="0"/>
                                                                  <w:divBdr>
                                                                    <w:top w:val="none" w:sz="0" w:space="0" w:color="auto"/>
                                                                    <w:left w:val="none" w:sz="0" w:space="0" w:color="auto"/>
                                                                    <w:bottom w:val="none" w:sz="0" w:space="0" w:color="auto"/>
                                                                    <w:right w:val="none" w:sz="0" w:space="0" w:color="auto"/>
                                                                  </w:divBdr>
                                                                  <w:divsChild>
                                                                    <w:div w:id="34014032">
                                                                      <w:marLeft w:val="0"/>
                                                                      <w:marRight w:val="0"/>
                                                                      <w:marTop w:val="0"/>
                                                                      <w:marBottom w:val="0"/>
                                                                      <w:divBdr>
                                                                        <w:top w:val="none" w:sz="0" w:space="0" w:color="auto"/>
                                                                        <w:left w:val="none" w:sz="0" w:space="0" w:color="auto"/>
                                                                        <w:bottom w:val="none" w:sz="0" w:space="0" w:color="auto"/>
                                                                        <w:right w:val="none" w:sz="0" w:space="0" w:color="auto"/>
                                                                      </w:divBdr>
                                                                      <w:divsChild>
                                                                        <w:div w:id="2110463438">
                                                                          <w:marLeft w:val="0"/>
                                                                          <w:marRight w:val="0"/>
                                                                          <w:marTop w:val="0"/>
                                                                          <w:marBottom w:val="0"/>
                                                                          <w:divBdr>
                                                                            <w:top w:val="none" w:sz="0" w:space="0" w:color="auto"/>
                                                                            <w:left w:val="none" w:sz="0" w:space="0" w:color="auto"/>
                                                                            <w:bottom w:val="none" w:sz="0" w:space="0" w:color="auto"/>
                                                                            <w:right w:val="none" w:sz="0" w:space="0" w:color="auto"/>
                                                                          </w:divBdr>
                                                                        </w:div>
                                                                      </w:divsChild>
                                                                    </w:div>
                                                                    <w:div w:id="952204890">
                                                                      <w:marLeft w:val="0"/>
                                                                      <w:marRight w:val="0"/>
                                                                      <w:marTop w:val="0"/>
                                                                      <w:marBottom w:val="0"/>
                                                                      <w:divBdr>
                                                                        <w:top w:val="none" w:sz="0" w:space="0" w:color="auto"/>
                                                                        <w:left w:val="none" w:sz="0" w:space="0" w:color="auto"/>
                                                                        <w:bottom w:val="none" w:sz="0" w:space="0" w:color="auto"/>
                                                                        <w:right w:val="none" w:sz="0" w:space="0" w:color="auto"/>
                                                                      </w:divBdr>
                                                                      <w:divsChild>
                                                                        <w:div w:id="1300190869">
                                                                          <w:marLeft w:val="0"/>
                                                                          <w:marRight w:val="0"/>
                                                                          <w:marTop w:val="0"/>
                                                                          <w:marBottom w:val="0"/>
                                                                          <w:divBdr>
                                                                            <w:top w:val="none" w:sz="0" w:space="0" w:color="auto"/>
                                                                            <w:left w:val="none" w:sz="0" w:space="0" w:color="auto"/>
                                                                            <w:bottom w:val="none" w:sz="0" w:space="0" w:color="auto"/>
                                                                            <w:right w:val="none" w:sz="0" w:space="0" w:color="auto"/>
                                                                          </w:divBdr>
                                                                        </w:div>
                                                                      </w:divsChild>
                                                                    </w:div>
                                                                    <w:div w:id="1524006183">
                                                                      <w:marLeft w:val="0"/>
                                                                      <w:marRight w:val="0"/>
                                                                      <w:marTop w:val="0"/>
                                                                      <w:marBottom w:val="0"/>
                                                                      <w:divBdr>
                                                                        <w:top w:val="none" w:sz="0" w:space="0" w:color="auto"/>
                                                                        <w:left w:val="none" w:sz="0" w:space="0" w:color="auto"/>
                                                                        <w:bottom w:val="none" w:sz="0" w:space="0" w:color="auto"/>
                                                                        <w:right w:val="none" w:sz="0" w:space="0" w:color="auto"/>
                                                                      </w:divBdr>
                                                                      <w:divsChild>
                                                                        <w:div w:id="316304130">
                                                                          <w:marLeft w:val="0"/>
                                                                          <w:marRight w:val="0"/>
                                                                          <w:marTop w:val="0"/>
                                                                          <w:marBottom w:val="0"/>
                                                                          <w:divBdr>
                                                                            <w:top w:val="none" w:sz="0" w:space="0" w:color="auto"/>
                                                                            <w:left w:val="none" w:sz="0" w:space="0" w:color="auto"/>
                                                                            <w:bottom w:val="none" w:sz="0" w:space="0" w:color="auto"/>
                                                                            <w:right w:val="none" w:sz="0" w:space="0" w:color="auto"/>
                                                                          </w:divBdr>
                                                                        </w:div>
                                                                      </w:divsChild>
                                                                    </w:div>
                                                                    <w:div w:id="1827159351">
                                                                      <w:marLeft w:val="0"/>
                                                                      <w:marRight w:val="0"/>
                                                                      <w:marTop w:val="0"/>
                                                                      <w:marBottom w:val="0"/>
                                                                      <w:divBdr>
                                                                        <w:top w:val="none" w:sz="0" w:space="0" w:color="auto"/>
                                                                        <w:left w:val="none" w:sz="0" w:space="0" w:color="auto"/>
                                                                        <w:bottom w:val="none" w:sz="0" w:space="0" w:color="auto"/>
                                                                        <w:right w:val="none" w:sz="0" w:space="0" w:color="auto"/>
                                                                      </w:divBdr>
                                                                      <w:divsChild>
                                                                        <w:div w:id="349458270">
                                                                          <w:marLeft w:val="0"/>
                                                                          <w:marRight w:val="0"/>
                                                                          <w:marTop w:val="0"/>
                                                                          <w:marBottom w:val="0"/>
                                                                          <w:divBdr>
                                                                            <w:top w:val="none" w:sz="0" w:space="0" w:color="auto"/>
                                                                            <w:left w:val="none" w:sz="0" w:space="0" w:color="auto"/>
                                                                            <w:bottom w:val="none" w:sz="0" w:space="0" w:color="auto"/>
                                                                            <w:right w:val="none" w:sz="0" w:space="0" w:color="auto"/>
                                                                          </w:divBdr>
                                                                        </w:div>
                                                                      </w:divsChild>
                                                                    </w:div>
                                                                    <w:div w:id="1974165525">
                                                                      <w:marLeft w:val="0"/>
                                                                      <w:marRight w:val="0"/>
                                                                      <w:marTop w:val="0"/>
                                                                      <w:marBottom w:val="0"/>
                                                                      <w:divBdr>
                                                                        <w:top w:val="none" w:sz="0" w:space="0" w:color="auto"/>
                                                                        <w:left w:val="none" w:sz="0" w:space="0" w:color="auto"/>
                                                                        <w:bottom w:val="none" w:sz="0" w:space="0" w:color="auto"/>
                                                                        <w:right w:val="none" w:sz="0" w:space="0" w:color="auto"/>
                                                                      </w:divBdr>
                                                                      <w:divsChild>
                                                                        <w:div w:id="17153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486108">
      <w:bodyDiv w:val="1"/>
      <w:marLeft w:val="0"/>
      <w:marRight w:val="0"/>
      <w:marTop w:val="0"/>
      <w:marBottom w:val="0"/>
      <w:divBdr>
        <w:top w:val="none" w:sz="0" w:space="0" w:color="auto"/>
        <w:left w:val="none" w:sz="0" w:space="0" w:color="auto"/>
        <w:bottom w:val="none" w:sz="0" w:space="0" w:color="auto"/>
        <w:right w:val="none" w:sz="0" w:space="0" w:color="auto"/>
      </w:divBdr>
      <w:divsChild>
        <w:div w:id="1249652967">
          <w:marLeft w:val="0"/>
          <w:marRight w:val="0"/>
          <w:marTop w:val="0"/>
          <w:marBottom w:val="0"/>
          <w:divBdr>
            <w:top w:val="none" w:sz="0" w:space="0" w:color="auto"/>
            <w:left w:val="single" w:sz="6" w:space="0" w:color="BBBBBB"/>
            <w:bottom w:val="single" w:sz="6" w:space="0" w:color="BBBBBB"/>
            <w:right w:val="single" w:sz="6" w:space="0" w:color="BBBBBB"/>
          </w:divBdr>
          <w:divsChild>
            <w:div w:id="1743217593">
              <w:marLeft w:val="0"/>
              <w:marRight w:val="0"/>
              <w:marTop w:val="0"/>
              <w:marBottom w:val="0"/>
              <w:divBdr>
                <w:top w:val="none" w:sz="0" w:space="0" w:color="auto"/>
                <w:left w:val="none" w:sz="0" w:space="0" w:color="auto"/>
                <w:bottom w:val="none" w:sz="0" w:space="0" w:color="auto"/>
                <w:right w:val="none" w:sz="0" w:space="0" w:color="auto"/>
              </w:divBdr>
              <w:divsChild>
                <w:div w:id="386147130">
                  <w:marLeft w:val="0"/>
                  <w:marRight w:val="0"/>
                  <w:marTop w:val="0"/>
                  <w:marBottom w:val="0"/>
                  <w:divBdr>
                    <w:top w:val="none" w:sz="0" w:space="0" w:color="auto"/>
                    <w:left w:val="none" w:sz="0" w:space="0" w:color="auto"/>
                    <w:bottom w:val="none" w:sz="0" w:space="0" w:color="auto"/>
                    <w:right w:val="none" w:sz="0" w:space="0" w:color="auto"/>
                  </w:divBdr>
                  <w:divsChild>
                    <w:div w:id="962156337">
                      <w:marLeft w:val="0"/>
                      <w:marRight w:val="0"/>
                      <w:marTop w:val="0"/>
                      <w:marBottom w:val="0"/>
                      <w:divBdr>
                        <w:top w:val="none" w:sz="0" w:space="0" w:color="auto"/>
                        <w:left w:val="none" w:sz="0" w:space="0" w:color="auto"/>
                        <w:bottom w:val="none" w:sz="0" w:space="0" w:color="auto"/>
                        <w:right w:val="none" w:sz="0" w:space="0" w:color="auto"/>
                      </w:divBdr>
                      <w:divsChild>
                        <w:div w:id="1006522055">
                          <w:marLeft w:val="0"/>
                          <w:marRight w:val="0"/>
                          <w:marTop w:val="0"/>
                          <w:marBottom w:val="0"/>
                          <w:divBdr>
                            <w:top w:val="none" w:sz="0" w:space="0" w:color="auto"/>
                            <w:left w:val="none" w:sz="0" w:space="0" w:color="auto"/>
                            <w:bottom w:val="none" w:sz="0" w:space="0" w:color="auto"/>
                            <w:right w:val="none" w:sz="0" w:space="0" w:color="auto"/>
                          </w:divBdr>
                          <w:divsChild>
                            <w:div w:id="1893347690">
                              <w:marLeft w:val="0"/>
                              <w:marRight w:val="0"/>
                              <w:marTop w:val="0"/>
                              <w:marBottom w:val="0"/>
                              <w:divBdr>
                                <w:top w:val="none" w:sz="0" w:space="0" w:color="auto"/>
                                <w:left w:val="none" w:sz="0" w:space="0" w:color="auto"/>
                                <w:bottom w:val="none" w:sz="0" w:space="0" w:color="auto"/>
                                <w:right w:val="none" w:sz="0" w:space="0" w:color="auto"/>
                              </w:divBdr>
                              <w:divsChild>
                                <w:div w:id="854343537">
                                  <w:marLeft w:val="0"/>
                                  <w:marRight w:val="0"/>
                                  <w:marTop w:val="0"/>
                                  <w:marBottom w:val="0"/>
                                  <w:divBdr>
                                    <w:top w:val="none" w:sz="0" w:space="0" w:color="auto"/>
                                    <w:left w:val="none" w:sz="0" w:space="0" w:color="auto"/>
                                    <w:bottom w:val="none" w:sz="0" w:space="0" w:color="auto"/>
                                    <w:right w:val="none" w:sz="0" w:space="0" w:color="auto"/>
                                  </w:divBdr>
                                  <w:divsChild>
                                    <w:div w:id="105082505">
                                      <w:marLeft w:val="0"/>
                                      <w:marRight w:val="0"/>
                                      <w:marTop w:val="0"/>
                                      <w:marBottom w:val="0"/>
                                      <w:divBdr>
                                        <w:top w:val="none" w:sz="0" w:space="0" w:color="auto"/>
                                        <w:left w:val="none" w:sz="0" w:space="0" w:color="auto"/>
                                        <w:bottom w:val="none" w:sz="0" w:space="0" w:color="auto"/>
                                        <w:right w:val="none" w:sz="0" w:space="0" w:color="auto"/>
                                      </w:divBdr>
                                      <w:divsChild>
                                        <w:div w:id="761144429">
                                          <w:marLeft w:val="1200"/>
                                          <w:marRight w:val="1200"/>
                                          <w:marTop w:val="0"/>
                                          <w:marBottom w:val="0"/>
                                          <w:divBdr>
                                            <w:top w:val="none" w:sz="0" w:space="0" w:color="auto"/>
                                            <w:left w:val="none" w:sz="0" w:space="0" w:color="auto"/>
                                            <w:bottom w:val="none" w:sz="0" w:space="0" w:color="auto"/>
                                            <w:right w:val="none" w:sz="0" w:space="0" w:color="auto"/>
                                          </w:divBdr>
                                          <w:divsChild>
                                            <w:div w:id="654727062">
                                              <w:marLeft w:val="0"/>
                                              <w:marRight w:val="0"/>
                                              <w:marTop w:val="0"/>
                                              <w:marBottom w:val="0"/>
                                              <w:divBdr>
                                                <w:top w:val="none" w:sz="0" w:space="0" w:color="auto"/>
                                                <w:left w:val="none" w:sz="0" w:space="0" w:color="auto"/>
                                                <w:bottom w:val="none" w:sz="0" w:space="0" w:color="auto"/>
                                                <w:right w:val="none" w:sz="0" w:space="0" w:color="auto"/>
                                              </w:divBdr>
                                              <w:divsChild>
                                                <w:div w:id="2013294694">
                                                  <w:marLeft w:val="0"/>
                                                  <w:marRight w:val="0"/>
                                                  <w:marTop w:val="0"/>
                                                  <w:marBottom w:val="0"/>
                                                  <w:divBdr>
                                                    <w:top w:val="none" w:sz="0" w:space="0" w:color="auto"/>
                                                    <w:left w:val="none" w:sz="0" w:space="0" w:color="auto"/>
                                                    <w:bottom w:val="none" w:sz="0" w:space="0" w:color="auto"/>
                                                    <w:right w:val="none" w:sz="0" w:space="0" w:color="auto"/>
                                                  </w:divBdr>
                                                  <w:divsChild>
                                                    <w:div w:id="2088915239">
                                                      <w:marLeft w:val="0"/>
                                                      <w:marRight w:val="0"/>
                                                      <w:marTop w:val="0"/>
                                                      <w:marBottom w:val="0"/>
                                                      <w:divBdr>
                                                        <w:top w:val="none" w:sz="0" w:space="0" w:color="auto"/>
                                                        <w:left w:val="none" w:sz="0" w:space="0" w:color="auto"/>
                                                        <w:bottom w:val="none" w:sz="0" w:space="0" w:color="auto"/>
                                                        <w:right w:val="none" w:sz="0" w:space="0" w:color="auto"/>
                                                      </w:divBdr>
                                                      <w:divsChild>
                                                        <w:div w:id="751856087">
                                                          <w:marLeft w:val="0"/>
                                                          <w:marRight w:val="0"/>
                                                          <w:marTop w:val="0"/>
                                                          <w:marBottom w:val="0"/>
                                                          <w:divBdr>
                                                            <w:top w:val="none" w:sz="0" w:space="0" w:color="auto"/>
                                                            <w:left w:val="none" w:sz="0" w:space="0" w:color="auto"/>
                                                            <w:bottom w:val="none" w:sz="0" w:space="0" w:color="auto"/>
                                                            <w:right w:val="none" w:sz="0" w:space="0" w:color="auto"/>
                                                          </w:divBdr>
                                                          <w:divsChild>
                                                            <w:div w:id="1459300719">
                                                              <w:marLeft w:val="0"/>
                                                              <w:marRight w:val="0"/>
                                                              <w:marTop w:val="0"/>
                                                              <w:marBottom w:val="0"/>
                                                              <w:divBdr>
                                                                <w:top w:val="none" w:sz="0" w:space="0" w:color="auto"/>
                                                                <w:left w:val="none" w:sz="0" w:space="0" w:color="auto"/>
                                                                <w:bottom w:val="none" w:sz="0" w:space="0" w:color="auto"/>
                                                                <w:right w:val="none" w:sz="0" w:space="0" w:color="auto"/>
                                                              </w:divBdr>
                                                              <w:divsChild>
                                                                <w:div w:id="133791381">
                                                                  <w:marLeft w:val="0"/>
                                                                  <w:marRight w:val="0"/>
                                                                  <w:marTop w:val="0"/>
                                                                  <w:marBottom w:val="0"/>
                                                                  <w:divBdr>
                                                                    <w:top w:val="none" w:sz="0" w:space="0" w:color="auto"/>
                                                                    <w:left w:val="none" w:sz="0" w:space="0" w:color="auto"/>
                                                                    <w:bottom w:val="none" w:sz="0" w:space="0" w:color="auto"/>
                                                                    <w:right w:val="none" w:sz="0" w:space="0" w:color="auto"/>
                                                                  </w:divBdr>
                                                                  <w:divsChild>
                                                                    <w:div w:id="1104575459">
                                                                      <w:marLeft w:val="0"/>
                                                                      <w:marRight w:val="0"/>
                                                                      <w:marTop w:val="0"/>
                                                                      <w:marBottom w:val="0"/>
                                                                      <w:divBdr>
                                                                        <w:top w:val="none" w:sz="0" w:space="0" w:color="auto"/>
                                                                        <w:left w:val="none" w:sz="0" w:space="0" w:color="auto"/>
                                                                        <w:bottom w:val="none" w:sz="0" w:space="0" w:color="auto"/>
                                                                        <w:right w:val="none" w:sz="0" w:space="0" w:color="auto"/>
                                                                      </w:divBdr>
                                                                      <w:divsChild>
                                                                        <w:div w:id="2130779610">
                                                                          <w:marLeft w:val="0"/>
                                                                          <w:marRight w:val="0"/>
                                                                          <w:marTop w:val="0"/>
                                                                          <w:marBottom w:val="0"/>
                                                                          <w:divBdr>
                                                                            <w:top w:val="none" w:sz="0" w:space="0" w:color="auto"/>
                                                                            <w:left w:val="none" w:sz="0" w:space="0" w:color="auto"/>
                                                                            <w:bottom w:val="none" w:sz="0" w:space="0" w:color="auto"/>
                                                                            <w:right w:val="none" w:sz="0" w:space="0" w:color="auto"/>
                                                                          </w:divBdr>
                                                                        </w:div>
                                                                      </w:divsChild>
                                                                    </w:div>
                                                                    <w:div w:id="1259485411">
                                                                      <w:marLeft w:val="0"/>
                                                                      <w:marRight w:val="0"/>
                                                                      <w:marTop w:val="0"/>
                                                                      <w:marBottom w:val="0"/>
                                                                      <w:divBdr>
                                                                        <w:top w:val="none" w:sz="0" w:space="0" w:color="auto"/>
                                                                        <w:left w:val="none" w:sz="0" w:space="0" w:color="auto"/>
                                                                        <w:bottom w:val="none" w:sz="0" w:space="0" w:color="auto"/>
                                                                        <w:right w:val="none" w:sz="0" w:space="0" w:color="auto"/>
                                                                      </w:divBdr>
                                                                      <w:divsChild>
                                                                        <w:div w:id="1405376603">
                                                                          <w:marLeft w:val="0"/>
                                                                          <w:marRight w:val="0"/>
                                                                          <w:marTop w:val="0"/>
                                                                          <w:marBottom w:val="0"/>
                                                                          <w:divBdr>
                                                                            <w:top w:val="none" w:sz="0" w:space="0" w:color="auto"/>
                                                                            <w:left w:val="none" w:sz="0" w:space="0" w:color="auto"/>
                                                                            <w:bottom w:val="none" w:sz="0" w:space="0" w:color="auto"/>
                                                                            <w:right w:val="none" w:sz="0" w:space="0" w:color="auto"/>
                                                                          </w:divBdr>
                                                                        </w:div>
                                                                      </w:divsChild>
                                                                    </w:div>
                                                                    <w:div w:id="1285768230">
                                                                      <w:marLeft w:val="0"/>
                                                                      <w:marRight w:val="0"/>
                                                                      <w:marTop w:val="0"/>
                                                                      <w:marBottom w:val="0"/>
                                                                      <w:divBdr>
                                                                        <w:top w:val="none" w:sz="0" w:space="0" w:color="auto"/>
                                                                        <w:left w:val="none" w:sz="0" w:space="0" w:color="auto"/>
                                                                        <w:bottom w:val="none" w:sz="0" w:space="0" w:color="auto"/>
                                                                        <w:right w:val="none" w:sz="0" w:space="0" w:color="auto"/>
                                                                      </w:divBdr>
                                                                      <w:divsChild>
                                                                        <w:div w:id="1190604001">
                                                                          <w:marLeft w:val="0"/>
                                                                          <w:marRight w:val="0"/>
                                                                          <w:marTop w:val="0"/>
                                                                          <w:marBottom w:val="0"/>
                                                                          <w:divBdr>
                                                                            <w:top w:val="none" w:sz="0" w:space="0" w:color="auto"/>
                                                                            <w:left w:val="none" w:sz="0" w:space="0" w:color="auto"/>
                                                                            <w:bottom w:val="none" w:sz="0" w:space="0" w:color="auto"/>
                                                                            <w:right w:val="none" w:sz="0" w:space="0" w:color="auto"/>
                                                                          </w:divBdr>
                                                                        </w:div>
                                                                      </w:divsChild>
                                                                    </w:div>
                                                                    <w:div w:id="2037997170">
                                                                      <w:marLeft w:val="0"/>
                                                                      <w:marRight w:val="0"/>
                                                                      <w:marTop w:val="0"/>
                                                                      <w:marBottom w:val="0"/>
                                                                      <w:divBdr>
                                                                        <w:top w:val="none" w:sz="0" w:space="0" w:color="auto"/>
                                                                        <w:left w:val="none" w:sz="0" w:space="0" w:color="auto"/>
                                                                        <w:bottom w:val="none" w:sz="0" w:space="0" w:color="auto"/>
                                                                        <w:right w:val="none" w:sz="0" w:space="0" w:color="auto"/>
                                                                      </w:divBdr>
                                                                      <w:divsChild>
                                                                        <w:div w:id="19291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141148">
      <w:bodyDiv w:val="1"/>
      <w:marLeft w:val="0"/>
      <w:marRight w:val="0"/>
      <w:marTop w:val="0"/>
      <w:marBottom w:val="0"/>
      <w:divBdr>
        <w:top w:val="none" w:sz="0" w:space="0" w:color="auto"/>
        <w:left w:val="none" w:sz="0" w:space="0" w:color="auto"/>
        <w:bottom w:val="none" w:sz="0" w:space="0" w:color="auto"/>
        <w:right w:val="none" w:sz="0" w:space="0" w:color="auto"/>
      </w:divBdr>
      <w:divsChild>
        <w:div w:id="1374842292">
          <w:marLeft w:val="0"/>
          <w:marRight w:val="0"/>
          <w:marTop w:val="0"/>
          <w:marBottom w:val="0"/>
          <w:divBdr>
            <w:top w:val="none" w:sz="0" w:space="0" w:color="auto"/>
            <w:left w:val="none" w:sz="0" w:space="0" w:color="auto"/>
            <w:bottom w:val="none" w:sz="0" w:space="0" w:color="auto"/>
            <w:right w:val="none" w:sz="0" w:space="0" w:color="auto"/>
          </w:divBdr>
          <w:divsChild>
            <w:div w:id="1282955676">
              <w:marLeft w:val="0"/>
              <w:marRight w:val="0"/>
              <w:marTop w:val="0"/>
              <w:marBottom w:val="0"/>
              <w:divBdr>
                <w:top w:val="none" w:sz="0" w:space="0" w:color="auto"/>
                <w:left w:val="none" w:sz="0" w:space="0" w:color="auto"/>
                <w:bottom w:val="none" w:sz="0" w:space="0" w:color="auto"/>
                <w:right w:val="none" w:sz="0" w:space="0" w:color="auto"/>
              </w:divBdr>
              <w:divsChild>
                <w:div w:id="1580604226">
                  <w:marLeft w:val="0"/>
                  <w:marRight w:val="0"/>
                  <w:marTop w:val="0"/>
                  <w:marBottom w:val="0"/>
                  <w:divBdr>
                    <w:top w:val="none" w:sz="0" w:space="0" w:color="auto"/>
                    <w:left w:val="none" w:sz="0" w:space="0" w:color="auto"/>
                    <w:bottom w:val="none" w:sz="0" w:space="0" w:color="auto"/>
                    <w:right w:val="none" w:sz="0" w:space="0" w:color="auto"/>
                  </w:divBdr>
                  <w:divsChild>
                    <w:div w:id="2056464709">
                      <w:marLeft w:val="0"/>
                      <w:marRight w:val="0"/>
                      <w:marTop w:val="0"/>
                      <w:marBottom w:val="300"/>
                      <w:divBdr>
                        <w:top w:val="none" w:sz="0" w:space="0" w:color="auto"/>
                        <w:left w:val="none" w:sz="0" w:space="0" w:color="auto"/>
                        <w:bottom w:val="none" w:sz="0" w:space="0" w:color="auto"/>
                        <w:right w:val="none" w:sz="0" w:space="0" w:color="auto"/>
                      </w:divBdr>
                      <w:divsChild>
                        <w:div w:id="80092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793073">
      <w:bodyDiv w:val="1"/>
      <w:marLeft w:val="0"/>
      <w:marRight w:val="0"/>
      <w:marTop w:val="0"/>
      <w:marBottom w:val="0"/>
      <w:divBdr>
        <w:top w:val="none" w:sz="0" w:space="0" w:color="auto"/>
        <w:left w:val="none" w:sz="0" w:space="0" w:color="auto"/>
        <w:bottom w:val="none" w:sz="0" w:space="0" w:color="auto"/>
        <w:right w:val="none" w:sz="0" w:space="0" w:color="auto"/>
      </w:divBdr>
      <w:divsChild>
        <w:div w:id="324358164">
          <w:marLeft w:val="0"/>
          <w:marRight w:val="0"/>
          <w:marTop w:val="0"/>
          <w:marBottom w:val="0"/>
          <w:divBdr>
            <w:top w:val="none" w:sz="0" w:space="0" w:color="auto"/>
            <w:left w:val="none" w:sz="0" w:space="0" w:color="auto"/>
            <w:bottom w:val="none" w:sz="0" w:space="0" w:color="auto"/>
            <w:right w:val="none" w:sz="0" w:space="0" w:color="auto"/>
          </w:divBdr>
          <w:divsChild>
            <w:div w:id="2078480896">
              <w:marLeft w:val="0"/>
              <w:marRight w:val="0"/>
              <w:marTop w:val="0"/>
              <w:marBottom w:val="0"/>
              <w:divBdr>
                <w:top w:val="none" w:sz="0" w:space="0" w:color="auto"/>
                <w:left w:val="none" w:sz="0" w:space="0" w:color="auto"/>
                <w:bottom w:val="none" w:sz="0" w:space="0" w:color="auto"/>
                <w:right w:val="none" w:sz="0" w:space="0" w:color="auto"/>
              </w:divBdr>
              <w:divsChild>
                <w:div w:id="1774086908">
                  <w:marLeft w:val="0"/>
                  <w:marRight w:val="0"/>
                  <w:marTop w:val="0"/>
                  <w:marBottom w:val="0"/>
                  <w:divBdr>
                    <w:top w:val="none" w:sz="0" w:space="0" w:color="auto"/>
                    <w:left w:val="none" w:sz="0" w:space="0" w:color="auto"/>
                    <w:bottom w:val="none" w:sz="0" w:space="0" w:color="auto"/>
                    <w:right w:val="none" w:sz="0" w:space="0" w:color="auto"/>
                  </w:divBdr>
                  <w:divsChild>
                    <w:div w:id="2141530785">
                      <w:marLeft w:val="0"/>
                      <w:marRight w:val="0"/>
                      <w:marTop w:val="0"/>
                      <w:marBottom w:val="300"/>
                      <w:divBdr>
                        <w:top w:val="none" w:sz="0" w:space="0" w:color="auto"/>
                        <w:left w:val="none" w:sz="0" w:space="0" w:color="auto"/>
                        <w:bottom w:val="none" w:sz="0" w:space="0" w:color="auto"/>
                        <w:right w:val="none" w:sz="0" w:space="0" w:color="auto"/>
                      </w:divBdr>
                      <w:divsChild>
                        <w:div w:id="3645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917073">
      <w:bodyDiv w:val="1"/>
      <w:marLeft w:val="0"/>
      <w:marRight w:val="0"/>
      <w:marTop w:val="0"/>
      <w:marBottom w:val="0"/>
      <w:divBdr>
        <w:top w:val="none" w:sz="0" w:space="0" w:color="auto"/>
        <w:left w:val="none" w:sz="0" w:space="0" w:color="auto"/>
        <w:bottom w:val="none" w:sz="0" w:space="0" w:color="auto"/>
        <w:right w:val="none" w:sz="0" w:space="0" w:color="auto"/>
      </w:divBdr>
      <w:divsChild>
        <w:div w:id="468399993">
          <w:marLeft w:val="0"/>
          <w:marRight w:val="0"/>
          <w:marTop w:val="0"/>
          <w:marBottom w:val="0"/>
          <w:divBdr>
            <w:top w:val="none" w:sz="0" w:space="0" w:color="auto"/>
            <w:left w:val="single" w:sz="6" w:space="0" w:color="BBBBBB"/>
            <w:bottom w:val="single" w:sz="6" w:space="0" w:color="BBBBBB"/>
            <w:right w:val="single" w:sz="6" w:space="0" w:color="BBBBBB"/>
          </w:divBdr>
          <w:divsChild>
            <w:div w:id="891962330">
              <w:marLeft w:val="0"/>
              <w:marRight w:val="0"/>
              <w:marTop w:val="0"/>
              <w:marBottom w:val="0"/>
              <w:divBdr>
                <w:top w:val="none" w:sz="0" w:space="0" w:color="auto"/>
                <w:left w:val="none" w:sz="0" w:space="0" w:color="auto"/>
                <w:bottom w:val="none" w:sz="0" w:space="0" w:color="auto"/>
                <w:right w:val="none" w:sz="0" w:space="0" w:color="auto"/>
              </w:divBdr>
              <w:divsChild>
                <w:div w:id="990788854">
                  <w:marLeft w:val="0"/>
                  <w:marRight w:val="0"/>
                  <w:marTop w:val="75"/>
                  <w:marBottom w:val="0"/>
                  <w:divBdr>
                    <w:top w:val="none" w:sz="0" w:space="0" w:color="auto"/>
                    <w:left w:val="none" w:sz="0" w:space="0" w:color="auto"/>
                    <w:bottom w:val="none" w:sz="0" w:space="0" w:color="auto"/>
                    <w:right w:val="none" w:sz="0" w:space="0" w:color="auto"/>
                  </w:divBdr>
                  <w:divsChild>
                    <w:div w:id="626010270">
                      <w:marLeft w:val="0"/>
                      <w:marRight w:val="0"/>
                      <w:marTop w:val="0"/>
                      <w:marBottom w:val="0"/>
                      <w:divBdr>
                        <w:top w:val="none" w:sz="0" w:space="0" w:color="auto"/>
                        <w:left w:val="none" w:sz="0" w:space="0" w:color="auto"/>
                        <w:bottom w:val="none" w:sz="0" w:space="0" w:color="auto"/>
                        <w:right w:val="none" w:sz="0" w:space="0" w:color="auto"/>
                      </w:divBdr>
                      <w:divsChild>
                        <w:div w:id="836841843">
                          <w:marLeft w:val="0"/>
                          <w:marRight w:val="0"/>
                          <w:marTop w:val="0"/>
                          <w:marBottom w:val="0"/>
                          <w:divBdr>
                            <w:top w:val="none" w:sz="0" w:space="0" w:color="auto"/>
                            <w:left w:val="none" w:sz="0" w:space="0" w:color="auto"/>
                            <w:bottom w:val="none" w:sz="0" w:space="0" w:color="auto"/>
                            <w:right w:val="none" w:sz="0" w:space="0" w:color="auto"/>
                          </w:divBdr>
                          <w:divsChild>
                            <w:div w:id="549656876">
                              <w:marLeft w:val="0"/>
                              <w:marRight w:val="0"/>
                              <w:marTop w:val="0"/>
                              <w:marBottom w:val="0"/>
                              <w:divBdr>
                                <w:top w:val="none" w:sz="0" w:space="0" w:color="auto"/>
                                <w:left w:val="none" w:sz="0" w:space="0" w:color="auto"/>
                                <w:bottom w:val="none" w:sz="0" w:space="0" w:color="auto"/>
                                <w:right w:val="none" w:sz="0" w:space="0" w:color="auto"/>
                              </w:divBdr>
                              <w:divsChild>
                                <w:div w:id="22364505">
                                  <w:marLeft w:val="0"/>
                                  <w:marRight w:val="0"/>
                                  <w:marTop w:val="0"/>
                                  <w:marBottom w:val="0"/>
                                  <w:divBdr>
                                    <w:top w:val="none" w:sz="0" w:space="0" w:color="auto"/>
                                    <w:left w:val="none" w:sz="0" w:space="0" w:color="auto"/>
                                    <w:bottom w:val="none" w:sz="0" w:space="0" w:color="auto"/>
                                    <w:right w:val="none" w:sz="0" w:space="0" w:color="auto"/>
                                  </w:divBdr>
                                  <w:divsChild>
                                    <w:div w:id="1999113597">
                                      <w:marLeft w:val="0"/>
                                      <w:marRight w:val="0"/>
                                      <w:marTop w:val="0"/>
                                      <w:marBottom w:val="0"/>
                                      <w:divBdr>
                                        <w:top w:val="none" w:sz="0" w:space="0" w:color="auto"/>
                                        <w:left w:val="none" w:sz="0" w:space="0" w:color="auto"/>
                                        <w:bottom w:val="none" w:sz="0" w:space="0" w:color="auto"/>
                                        <w:right w:val="none" w:sz="0" w:space="0" w:color="auto"/>
                                      </w:divBdr>
                                      <w:divsChild>
                                        <w:div w:id="1799179739">
                                          <w:marLeft w:val="1200"/>
                                          <w:marRight w:val="1200"/>
                                          <w:marTop w:val="0"/>
                                          <w:marBottom w:val="0"/>
                                          <w:divBdr>
                                            <w:top w:val="none" w:sz="0" w:space="0" w:color="auto"/>
                                            <w:left w:val="none" w:sz="0" w:space="0" w:color="auto"/>
                                            <w:bottom w:val="none" w:sz="0" w:space="0" w:color="auto"/>
                                            <w:right w:val="none" w:sz="0" w:space="0" w:color="auto"/>
                                          </w:divBdr>
                                          <w:divsChild>
                                            <w:div w:id="1157766833">
                                              <w:marLeft w:val="0"/>
                                              <w:marRight w:val="0"/>
                                              <w:marTop w:val="0"/>
                                              <w:marBottom w:val="0"/>
                                              <w:divBdr>
                                                <w:top w:val="none" w:sz="0" w:space="0" w:color="auto"/>
                                                <w:left w:val="none" w:sz="0" w:space="0" w:color="auto"/>
                                                <w:bottom w:val="none" w:sz="0" w:space="0" w:color="auto"/>
                                                <w:right w:val="none" w:sz="0" w:space="0" w:color="auto"/>
                                              </w:divBdr>
                                              <w:divsChild>
                                                <w:div w:id="734860908">
                                                  <w:marLeft w:val="0"/>
                                                  <w:marRight w:val="0"/>
                                                  <w:marTop w:val="0"/>
                                                  <w:marBottom w:val="0"/>
                                                  <w:divBdr>
                                                    <w:top w:val="none" w:sz="0" w:space="0" w:color="auto"/>
                                                    <w:left w:val="none" w:sz="0" w:space="0" w:color="auto"/>
                                                    <w:bottom w:val="none" w:sz="0" w:space="0" w:color="auto"/>
                                                    <w:right w:val="none" w:sz="0" w:space="0" w:color="auto"/>
                                                  </w:divBdr>
                                                  <w:divsChild>
                                                    <w:div w:id="142822089">
                                                      <w:marLeft w:val="0"/>
                                                      <w:marRight w:val="0"/>
                                                      <w:marTop w:val="0"/>
                                                      <w:marBottom w:val="0"/>
                                                      <w:divBdr>
                                                        <w:top w:val="none" w:sz="0" w:space="0" w:color="auto"/>
                                                        <w:left w:val="none" w:sz="0" w:space="0" w:color="auto"/>
                                                        <w:bottom w:val="none" w:sz="0" w:space="0" w:color="auto"/>
                                                        <w:right w:val="none" w:sz="0" w:space="0" w:color="auto"/>
                                                      </w:divBdr>
                                                      <w:divsChild>
                                                        <w:div w:id="1138037468">
                                                          <w:marLeft w:val="0"/>
                                                          <w:marRight w:val="0"/>
                                                          <w:marTop w:val="0"/>
                                                          <w:marBottom w:val="0"/>
                                                          <w:divBdr>
                                                            <w:top w:val="none" w:sz="0" w:space="0" w:color="auto"/>
                                                            <w:left w:val="none" w:sz="0" w:space="0" w:color="auto"/>
                                                            <w:bottom w:val="none" w:sz="0" w:space="0" w:color="auto"/>
                                                            <w:right w:val="none" w:sz="0" w:space="0" w:color="auto"/>
                                                          </w:divBdr>
                                                          <w:divsChild>
                                                            <w:div w:id="1102920730">
                                                              <w:marLeft w:val="0"/>
                                                              <w:marRight w:val="0"/>
                                                              <w:marTop w:val="0"/>
                                                              <w:marBottom w:val="0"/>
                                                              <w:divBdr>
                                                                <w:top w:val="none" w:sz="0" w:space="0" w:color="auto"/>
                                                                <w:left w:val="none" w:sz="0" w:space="0" w:color="auto"/>
                                                                <w:bottom w:val="none" w:sz="0" w:space="0" w:color="auto"/>
                                                                <w:right w:val="none" w:sz="0" w:space="0" w:color="auto"/>
                                                              </w:divBdr>
                                                              <w:divsChild>
                                                                <w:div w:id="420105019">
                                                                  <w:marLeft w:val="0"/>
                                                                  <w:marRight w:val="0"/>
                                                                  <w:marTop w:val="0"/>
                                                                  <w:marBottom w:val="0"/>
                                                                  <w:divBdr>
                                                                    <w:top w:val="none" w:sz="0" w:space="0" w:color="auto"/>
                                                                    <w:left w:val="none" w:sz="0" w:space="0" w:color="auto"/>
                                                                    <w:bottom w:val="none" w:sz="0" w:space="0" w:color="auto"/>
                                                                    <w:right w:val="none" w:sz="0" w:space="0" w:color="auto"/>
                                                                  </w:divBdr>
                                                                  <w:divsChild>
                                                                    <w:div w:id="372267398">
                                                                      <w:marLeft w:val="0"/>
                                                                      <w:marRight w:val="0"/>
                                                                      <w:marTop w:val="0"/>
                                                                      <w:marBottom w:val="0"/>
                                                                      <w:divBdr>
                                                                        <w:top w:val="none" w:sz="0" w:space="0" w:color="auto"/>
                                                                        <w:left w:val="none" w:sz="0" w:space="0" w:color="auto"/>
                                                                        <w:bottom w:val="none" w:sz="0" w:space="0" w:color="auto"/>
                                                                        <w:right w:val="none" w:sz="0" w:space="0" w:color="auto"/>
                                                                      </w:divBdr>
                                                                      <w:divsChild>
                                                                        <w:div w:id="354160915">
                                                                          <w:marLeft w:val="0"/>
                                                                          <w:marRight w:val="0"/>
                                                                          <w:marTop w:val="0"/>
                                                                          <w:marBottom w:val="0"/>
                                                                          <w:divBdr>
                                                                            <w:top w:val="none" w:sz="0" w:space="0" w:color="auto"/>
                                                                            <w:left w:val="none" w:sz="0" w:space="0" w:color="auto"/>
                                                                            <w:bottom w:val="none" w:sz="0" w:space="0" w:color="auto"/>
                                                                            <w:right w:val="none" w:sz="0" w:space="0" w:color="auto"/>
                                                                          </w:divBdr>
                                                                        </w:div>
                                                                      </w:divsChild>
                                                                    </w:div>
                                                                    <w:div w:id="1899317237">
                                                                      <w:marLeft w:val="0"/>
                                                                      <w:marRight w:val="0"/>
                                                                      <w:marTop w:val="0"/>
                                                                      <w:marBottom w:val="0"/>
                                                                      <w:divBdr>
                                                                        <w:top w:val="none" w:sz="0" w:space="0" w:color="auto"/>
                                                                        <w:left w:val="none" w:sz="0" w:space="0" w:color="auto"/>
                                                                        <w:bottom w:val="none" w:sz="0" w:space="0" w:color="auto"/>
                                                                        <w:right w:val="none" w:sz="0" w:space="0" w:color="auto"/>
                                                                      </w:divBdr>
                                                                      <w:divsChild>
                                                                        <w:div w:id="15125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7429961">
      <w:bodyDiv w:val="1"/>
      <w:marLeft w:val="0"/>
      <w:marRight w:val="0"/>
      <w:marTop w:val="0"/>
      <w:marBottom w:val="0"/>
      <w:divBdr>
        <w:top w:val="none" w:sz="0" w:space="0" w:color="auto"/>
        <w:left w:val="none" w:sz="0" w:space="0" w:color="auto"/>
        <w:bottom w:val="none" w:sz="0" w:space="0" w:color="auto"/>
        <w:right w:val="none" w:sz="0" w:space="0" w:color="auto"/>
      </w:divBdr>
      <w:divsChild>
        <w:div w:id="1378697755">
          <w:marLeft w:val="0"/>
          <w:marRight w:val="0"/>
          <w:marTop w:val="0"/>
          <w:marBottom w:val="0"/>
          <w:divBdr>
            <w:top w:val="none" w:sz="0" w:space="0" w:color="auto"/>
            <w:left w:val="none" w:sz="0" w:space="0" w:color="auto"/>
            <w:bottom w:val="none" w:sz="0" w:space="0" w:color="auto"/>
            <w:right w:val="none" w:sz="0" w:space="0" w:color="auto"/>
          </w:divBdr>
          <w:divsChild>
            <w:div w:id="601038819">
              <w:marLeft w:val="0"/>
              <w:marRight w:val="0"/>
              <w:marTop w:val="0"/>
              <w:marBottom w:val="0"/>
              <w:divBdr>
                <w:top w:val="none" w:sz="0" w:space="0" w:color="auto"/>
                <w:left w:val="none" w:sz="0" w:space="0" w:color="auto"/>
                <w:bottom w:val="none" w:sz="0" w:space="0" w:color="auto"/>
                <w:right w:val="none" w:sz="0" w:space="0" w:color="auto"/>
              </w:divBdr>
              <w:divsChild>
                <w:div w:id="853954613">
                  <w:marLeft w:val="0"/>
                  <w:marRight w:val="0"/>
                  <w:marTop w:val="0"/>
                  <w:marBottom w:val="0"/>
                  <w:divBdr>
                    <w:top w:val="none" w:sz="0" w:space="0" w:color="auto"/>
                    <w:left w:val="none" w:sz="0" w:space="0" w:color="auto"/>
                    <w:bottom w:val="none" w:sz="0" w:space="0" w:color="auto"/>
                    <w:right w:val="none" w:sz="0" w:space="0" w:color="auto"/>
                  </w:divBdr>
                  <w:divsChild>
                    <w:div w:id="376128525">
                      <w:marLeft w:val="0"/>
                      <w:marRight w:val="0"/>
                      <w:marTop w:val="0"/>
                      <w:marBottom w:val="300"/>
                      <w:divBdr>
                        <w:top w:val="none" w:sz="0" w:space="0" w:color="auto"/>
                        <w:left w:val="none" w:sz="0" w:space="0" w:color="auto"/>
                        <w:bottom w:val="none" w:sz="0" w:space="0" w:color="auto"/>
                        <w:right w:val="none" w:sz="0" w:space="0" w:color="auto"/>
                      </w:divBdr>
                      <w:divsChild>
                        <w:div w:id="151548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927262">
      <w:bodyDiv w:val="1"/>
      <w:marLeft w:val="0"/>
      <w:marRight w:val="0"/>
      <w:marTop w:val="0"/>
      <w:marBottom w:val="0"/>
      <w:divBdr>
        <w:top w:val="none" w:sz="0" w:space="0" w:color="auto"/>
        <w:left w:val="none" w:sz="0" w:space="0" w:color="auto"/>
        <w:bottom w:val="none" w:sz="0" w:space="0" w:color="auto"/>
        <w:right w:val="none" w:sz="0" w:space="0" w:color="auto"/>
      </w:divBdr>
    </w:div>
    <w:div w:id="840241032">
      <w:bodyDiv w:val="1"/>
      <w:marLeft w:val="0"/>
      <w:marRight w:val="0"/>
      <w:marTop w:val="0"/>
      <w:marBottom w:val="0"/>
      <w:divBdr>
        <w:top w:val="none" w:sz="0" w:space="0" w:color="auto"/>
        <w:left w:val="none" w:sz="0" w:space="0" w:color="auto"/>
        <w:bottom w:val="none" w:sz="0" w:space="0" w:color="auto"/>
        <w:right w:val="none" w:sz="0" w:space="0" w:color="auto"/>
      </w:divBdr>
      <w:divsChild>
        <w:div w:id="676424619">
          <w:marLeft w:val="0"/>
          <w:marRight w:val="0"/>
          <w:marTop w:val="0"/>
          <w:marBottom w:val="0"/>
          <w:divBdr>
            <w:top w:val="none" w:sz="0" w:space="0" w:color="auto"/>
            <w:left w:val="none" w:sz="0" w:space="0" w:color="auto"/>
            <w:bottom w:val="none" w:sz="0" w:space="0" w:color="auto"/>
            <w:right w:val="none" w:sz="0" w:space="0" w:color="auto"/>
          </w:divBdr>
          <w:divsChild>
            <w:div w:id="62996282">
              <w:marLeft w:val="0"/>
              <w:marRight w:val="0"/>
              <w:marTop w:val="0"/>
              <w:marBottom w:val="0"/>
              <w:divBdr>
                <w:top w:val="none" w:sz="0" w:space="0" w:color="auto"/>
                <w:left w:val="none" w:sz="0" w:space="0" w:color="auto"/>
                <w:bottom w:val="none" w:sz="0" w:space="0" w:color="auto"/>
                <w:right w:val="none" w:sz="0" w:space="0" w:color="auto"/>
              </w:divBdr>
              <w:divsChild>
                <w:div w:id="1363821299">
                  <w:marLeft w:val="0"/>
                  <w:marRight w:val="0"/>
                  <w:marTop w:val="0"/>
                  <w:marBottom w:val="0"/>
                  <w:divBdr>
                    <w:top w:val="none" w:sz="0" w:space="0" w:color="auto"/>
                    <w:left w:val="none" w:sz="0" w:space="0" w:color="auto"/>
                    <w:bottom w:val="none" w:sz="0" w:space="0" w:color="auto"/>
                    <w:right w:val="none" w:sz="0" w:space="0" w:color="auto"/>
                  </w:divBdr>
                  <w:divsChild>
                    <w:div w:id="1949191506">
                      <w:marLeft w:val="0"/>
                      <w:marRight w:val="0"/>
                      <w:marTop w:val="0"/>
                      <w:marBottom w:val="375"/>
                      <w:divBdr>
                        <w:top w:val="none" w:sz="0" w:space="0" w:color="auto"/>
                        <w:left w:val="none" w:sz="0" w:space="0" w:color="auto"/>
                        <w:bottom w:val="none" w:sz="0" w:space="0" w:color="auto"/>
                        <w:right w:val="none" w:sz="0" w:space="0" w:color="auto"/>
                      </w:divBdr>
                      <w:divsChild>
                        <w:div w:id="19273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314556">
      <w:bodyDiv w:val="1"/>
      <w:marLeft w:val="0"/>
      <w:marRight w:val="0"/>
      <w:marTop w:val="0"/>
      <w:marBottom w:val="0"/>
      <w:divBdr>
        <w:top w:val="none" w:sz="0" w:space="0" w:color="auto"/>
        <w:left w:val="none" w:sz="0" w:space="0" w:color="auto"/>
        <w:bottom w:val="none" w:sz="0" w:space="0" w:color="auto"/>
        <w:right w:val="none" w:sz="0" w:space="0" w:color="auto"/>
      </w:divBdr>
      <w:divsChild>
        <w:div w:id="1529754485">
          <w:marLeft w:val="0"/>
          <w:marRight w:val="0"/>
          <w:marTop w:val="0"/>
          <w:marBottom w:val="0"/>
          <w:divBdr>
            <w:top w:val="none" w:sz="0" w:space="0" w:color="auto"/>
            <w:left w:val="single" w:sz="6" w:space="0" w:color="BBBBBB"/>
            <w:bottom w:val="single" w:sz="6" w:space="0" w:color="BBBBBB"/>
            <w:right w:val="single" w:sz="6" w:space="0" w:color="BBBBBB"/>
          </w:divBdr>
          <w:divsChild>
            <w:div w:id="1239368044">
              <w:marLeft w:val="0"/>
              <w:marRight w:val="0"/>
              <w:marTop w:val="0"/>
              <w:marBottom w:val="0"/>
              <w:divBdr>
                <w:top w:val="none" w:sz="0" w:space="0" w:color="auto"/>
                <w:left w:val="none" w:sz="0" w:space="0" w:color="auto"/>
                <w:bottom w:val="none" w:sz="0" w:space="0" w:color="auto"/>
                <w:right w:val="none" w:sz="0" w:space="0" w:color="auto"/>
              </w:divBdr>
              <w:divsChild>
                <w:div w:id="1438595381">
                  <w:marLeft w:val="0"/>
                  <w:marRight w:val="0"/>
                  <w:marTop w:val="75"/>
                  <w:marBottom w:val="0"/>
                  <w:divBdr>
                    <w:top w:val="none" w:sz="0" w:space="0" w:color="auto"/>
                    <w:left w:val="none" w:sz="0" w:space="0" w:color="auto"/>
                    <w:bottom w:val="none" w:sz="0" w:space="0" w:color="auto"/>
                    <w:right w:val="none" w:sz="0" w:space="0" w:color="auto"/>
                  </w:divBdr>
                  <w:divsChild>
                    <w:div w:id="1286621348">
                      <w:marLeft w:val="0"/>
                      <w:marRight w:val="0"/>
                      <w:marTop w:val="0"/>
                      <w:marBottom w:val="0"/>
                      <w:divBdr>
                        <w:top w:val="none" w:sz="0" w:space="0" w:color="auto"/>
                        <w:left w:val="none" w:sz="0" w:space="0" w:color="auto"/>
                        <w:bottom w:val="none" w:sz="0" w:space="0" w:color="auto"/>
                        <w:right w:val="none" w:sz="0" w:space="0" w:color="auto"/>
                      </w:divBdr>
                      <w:divsChild>
                        <w:div w:id="168905875">
                          <w:marLeft w:val="0"/>
                          <w:marRight w:val="0"/>
                          <w:marTop w:val="0"/>
                          <w:marBottom w:val="0"/>
                          <w:divBdr>
                            <w:top w:val="none" w:sz="0" w:space="0" w:color="auto"/>
                            <w:left w:val="none" w:sz="0" w:space="0" w:color="auto"/>
                            <w:bottom w:val="none" w:sz="0" w:space="0" w:color="auto"/>
                            <w:right w:val="none" w:sz="0" w:space="0" w:color="auto"/>
                          </w:divBdr>
                          <w:divsChild>
                            <w:div w:id="1718895417">
                              <w:marLeft w:val="0"/>
                              <w:marRight w:val="0"/>
                              <w:marTop w:val="0"/>
                              <w:marBottom w:val="0"/>
                              <w:divBdr>
                                <w:top w:val="none" w:sz="0" w:space="0" w:color="auto"/>
                                <w:left w:val="none" w:sz="0" w:space="0" w:color="auto"/>
                                <w:bottom w:val="none" w:sz="0" w:space="0" w:color="auto"/>
                                <w:right w:val="none" w:sz="0" w:space="0" w:color="auto"/>
                              </w:divBdr>
                              <w:divsChild>
                                <w:div w:id="895968459">
                                  <w:marLeft w:val="0"/>
                                  <w:marRight w:val="0"/>
                                  <w:marTop w:val="0"/>
                                  <w:marBottom w:val="0"/>
                                  <w:divBdr>
                                    <w:top w:val="none" w:sz="0" w:space="0" w:color="auto"/>
                                    <w:left w:val="none" w:sz="0" w:space="0" w:color="auto"/>
                                    <w:bottom w:val="none" w:sz="0" w:space="0" w:color="auto"/>
                                    <w:right w:val="none" w:sz="0" w:space="0" w:color="auto"/>
                                  </w:divBdr>
                                  <w:divsChild>
                                    <w:div w:id="1472359783">
                                      <w:marLeft w:val="0"/>
                                      <w:marRight w:val="0"/>
                                      <w:marTop w:val="0"/>
                                      <w:marBottom w:val="0"/>
                                      <w:divBdr>
                                        <w:top w:val="none" w:sz="0" w:space="0" w:color="auto"/>
                                        <w:left w:val="none" w:sz="0" w:space="0" w:color="auto"/>
                                        <w:bottom w:val="none" w:sz="0" w:space="0" w:color="auto"/>
                                        <w:right w:val="none" w:sz="0" w:space="0" w:color="auto"/>
                                      </w:divBdr>
                                      <w:divsChild>
                                        <w:div w:id="829442395">
                                          <w:marLeft w:val="1200"/>
                                          <w:marRight w:val="1200"/>
                                          <w:marTop w:val="0"/>
                                          <w:marBottom w:val="0"/>
                                          <w:divBdr>
                                            <w:top w:val="none" w:sz="0" w:space="0" w:color="auto"/>
                                            <w:left w:val="none" w:sz="0" w:space="0" w:color="auto"/>
                                            <w:bottom w:val="none" w:sz="0" w:space="0" w:color="auto"/>
                                            <w:right w:val="none" w:sz="0" w:space="0" w:color="auto"/>
                                          </w:divBdr>
                                          <w:divsChild>
                                            <w:div w:id="2085255214">
                                              <w:marLeft w:val="0"/>
                                              <w:marRight w:val="0"/>
                                              <w:marTop w:val="0"/>
                                              <w:marBottom w:val="0"/>
                                              <w:divBdr>
                                                <w:top w:val="none" w:sz="0" w:space="0" w:color="auto"/>
                                                <w:left w:val="none" w:sz="0" w:space="0" w:color="auto"/>
                                                <w:bottom w:val="none" w:sz="0" w:space="0" w:color="auto"/>
                                                <w:right w:val="none" w:sz="0" w:space="0" w:color="auto"/>
                                              </w:divBdr>
                                              <w:divsChild>
                                                <w:div w:id="634871201">
                                                  <w:marLeft w:val="0"/>
                                                  <w:marRight w:val="0"/>
                                                  <w:marTop w:val="0"/>
                                                  <w:marBottom w:val="0"/>
                                                  <w:divBdr>
                                                    <w:top w:val="none" w:sz="0" w:space="0" w:color="auto"/>
                                                    <w:left w:val="none" w:sz="0" w:space="0" w:color="auto"/>
                                                    <w:bottom w:val="none" w:sz="0" w:space="0" w:color="auto"/>
                                                    <w:right w:val="none" w:sz="0" w:space="0" w:color="auto"/>
                                                  </w:divBdr>
                                                  <w:divsChild>
                                                    <w:div w:id="864754347">
                                                      <w:marLeft w:val="0"/>
                                                      <w:marRight w:val="0"/>
                                                      <w:marTop w:val="0"/>
                                                      <w:marBottom w:val="0"/>
                                                      <w:divBdr>
                                                        <w:top w:val="none" w:sz="0" w:space="0" w:color="auto"/>
                                                        <w:left w:val="none" w:sz="0" w:space="0" w:color="auto"/>
                                                        <w:bottom w:val="none" w:sz="0" w:space="0" w:color="auto"/>
                                                        <w:right w:val="none" w:sz="0" w:space="0" w:color="auto"/>
                                                      </w:divBdr>
                                                      <w:divsChild>
                                                        <w:div w:id="960115513">
                                                          <w:marLeft w:val="0"/>
                                                          <w:marRight w:val="0"/>
                                                          <w:marTop w:val="0"/>
                                                          <w:marBottom w:val="0"/>
                                                          <w:divBdr>
                                                            <w:top w:val="none" w:sz="0" w:space="0" w:color="auto"/>
                                                            <w:left w:val="none" w:sz="0" w:space="0" w:color="auto"/>
                                                            <w:bottom w:val="none" w:sz="0" w:space="0" w:color="auto"/>
                                                            <w:right w:val="none" w:sz="0" w:space="0" w:color="auto"/>
                                                          </w:divBdr>
                                                          <w:divsChild>
                                                            <w:div w:id="843520473">
                                                              <w:marLeft w:val="0"/>
                                                              <w:marRight w:val="0"/>
                                                              <w:marTop w:val="0"/>
                                                              <w:marBottom w:val="0"/>
                                                              <w:divBdr>
                                                                <w:top w:val="none" w:sz="0" w:space="0" w:color="auto"/>
                                                                <w:left w:val="none" w:sz="0" w:space="0" w:color="auto"/>
                                                                <w:bottom w:val="none" w:sz="0" w:space="0" w:color="auto"/>
                                                                <w:right w:val="none" w:sz="0" w:space="0" w:color="auto"/>
                                                              </w:divBdr>
                                                              <w:divsChild>
                                                                <w:div w:id="1032851658">
                                                                  <w:marLeft w:val="0"/>
                                                                  <w:marRight w:val="0"/>
                                                                  <w:marTop w:val="0"/>
                                                                  <w:marBottom w:val="0"/>
                                                                  <w:divBdr>
                                                                    <w:top w:val="none" w:sz="0" w:space="0" w:color="auto"/>
                                                                    <w:left w:val="none" w:sz="0" w:space="0" w:color="auto"/>
                                                                    <w:bottom w:val="none" w:sz="0" w:space="0" w:color="auto"/>
                                                                    <w:right w:val="none" w:sz="0" w:space="0" w:color="auto"/>
                                                                  </w:divBdr>
                                                                  <w:divsChild>
                                                                    <w:div w:id="355665455">
                                                                      <w:marLeft w:val="0"/>
                                                                      <w:marRight w:val="0"/>
                                                                      <w:marTop w:val="0"/>
                                                                      <w:marBottom w:val="0"/>
                                                                      <w:divBdr>
                                                                        <w:top w:val="none" w:sz="0" w:space="0" w:color="auto"/>
                                                                        <w:left w:val="none" w:sz="0" w:space="0" w:color="auto"/>
                                                                        <w:bottom w:val="none" w:sz="0" w:space="0" w:color="auto"/>
                                                                        <w:right w:val="none" w:sz="0" w:space="0" w:color="auto"/>
                                                                      </w:divBdr>
                                                                      <w:divsChild>
                                                                        <w:div w:id="617569287">
                                                                          <w:marLeft w:val="0"/>
                                                                          <w:marRight w:val="0"/>
                                                                          <w:marTop w:val="0"/>
                                                                          <w:marBottom w:val="0"/>
                                                                          <w:divBdr>
                                                                            <w:top w:val="none" w:sz="0" w:space="0" w:color="auto"/>
                                                                            <w:left w:val="none" w:sz="0" w:space="0" w:color="auto"/>
                                                                            <w:bottom w:val="none" w:sz="0" w:space="0" w:color="auto"/>
                                                                            <w:right w:val="none" w:sz="0" w:space="0" w:color="auto"/>
                                                                          </w:divBdr>
                                                                        </w:div>
                                                                      </w:divsChild>
                                                                    </w:div>
                                                                    <w:div w:id="962660253">
                                                                      <w:marLeft w:val="0"/>
                                                                      <w:marRight w:val="0"/>
                                                                      <w:marTop w:val="0"/>
                                                                      <w:marBottom w:val="0"/>
                                                                      <w:divBdr>
                                                                        <w:top w:val="none" w:sz="0" w:space="0" w:color="auto"/>
                                                                        <w:left w:val="none" w:sz="0" w:space="0" w:color="auto"/>
                                                                        <w:bottom w:val="none" w:sz="0" w:space="0" w:color="auto"/>
                                                                        <w:right w:val="none" w:sz="0" w:space="0" w:color="auto"/>
                                                                      </w:divBdr>
                                                                      <w:divsChild>
                                                                        <w:div w:id="1224950597">
                                                                          <w:marLeft w:val="0"/>
                                                                          <w:marRight w:val="0"/>
                                                                          <w:marTop w:val="0"/>
                                                                          <w:marBottom w:val="0"/>
                                                                          <w:divBdr>
                                                                            <w:top w:val="none" w:sz="0" w:space="0" w:color="auto"/>
                                                                            <w:left w:val="none" w:sz="0" w:space="0" w:color="auto"/>
                                                                            <w:bottom w:val="none" w:sz="0" w:space="0" w:color="auto"/>
                                                                            <w:right w:val="none" w:sz="0" w:space="0" w:color="auto"/>
                                                                          </w:divBdr>
                                                                        </w:div>
                                                                      </w:divsChild>
                                                                    </w:div>
                                                                    <w:div w:id="1255893663">
                                                                      <w:marLeft w:val="0"/>
                                                                      <w:marRight w:val="0"/>
                                                                      <w:marTop w:val="0"/>
                                                                      <w:marBottom w:val="0"/>
                                                                      <w:divBdr>
                                                                        <w:top w:val="none" w:sz="0" w:space="0" w:color="auto"/>
                                                                        <w:left w:val="none" w:sz="0" w:space="0" w:color="auto"/>
                                                                        <w:bottom w:val="none" w:sz="0" w:space="0" w:color="auto"/>
                                                                        <w:right w:val="none" w:sz="0" w:space="0" w:color="auto"/>
                                                                      </w:divBdr>
                                                                      <w:divsChild>
                                                                        <w:div w:id="475757035">
                                                                          <w:marLeft w:val="0"/>
                                                                          <w:marRight w:val="0"/>
                                                                          <w:marTop w:val="0"/>
                                                                          <w:marBottom w:val="0"/>
                                                                          <w:divBdr>
                                                                            <w:top w:val="none" w:sz="0" w:space="0" w:color="auto"/>
                                                                            <w:left w:val="none" w:sz="0" w:space="0" w:color="auto"/>
                                                                            <w:bottom w:val="none" w:sz="0" w:space="0" w:color="auto"/>
                                                                            <w:right w:val="none" w:sz="0" w:space="0" w:color="auto"/>
                                                                          </w:divBdr>
                                                                        </w:div>
                                                                      </w:divsChild>
                                                                    </w:div>
                                                                    <w:div w:id="1298026552">
                                                                      <w:marLeft w:val="0"/>
                                                                      <w:marRight w:val="0"/>
                                                                      <w:marTop w:val="0"/>
                                                                      <w:marBottom w:val="0"/>
                                                                      <w:divBdr>
                                                                        <w:top w:val="none" w:sz="0" w:space="0" w:color="auto"/>
                                                                        <w:left w:val="none" w:sz="0" w:space="0" w:color="auto"/>
                                                                        <w:bottom w:val="none" w:sz="0" w:space="0" w:color="auto"/>
                                                                        <w:right w:val="none" w:sz="0" w:space="0" w:color="auto"/>
                                                                      </w:divBdr>
                                                                      <w:divsChild>
                                                                        <w:div w:id="1976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430457">
      <w:bodyDiv w:val="1"/>
      <w:marLeft w:val="0"/>
      <w:marRight w:val="0"/>
      <w:marTop w:val="0"/>
      <w:marBottom w:val="0"/>
      <w:divBdr>
        <w:top w:val="none" w:sz="0" w:space="0" w:color="auto"/>
        <w:left w:val="none" w:sz="0" w:space="0" w:color="auto"/>
        <w:bottom w:val="none" w:sz="0" w:space="0" w:color="auto"/>
        <w:right w:val="none" w:sz="0" w:space="0" w:color="auto"/>
      </w:divBdr>
      <w:divsChild>
        <w:div w:id="807239527">
          <w:marLeft w:val="0"/>
          <w:marRight w:val="0"/>
          <w:marTop w:val="0"/>
          <w:marBottom w:val="0"/>
          <w:divBdr>
            <w:top w:val="none" w:sz="0" w:space="0" w:color="auto"/>
            <w:left w:val="none" w:sz="0" w:space="0" w:color="auto"/>
            <w:bottom w:val="none" w:sz="0" w:space="0" w:color="auto"/>
            <w:right w:val="none" w:sz="0" w:space="0" w:color="auto"/>
          </w:divBdr>
          <w:divsChild>
            <w:div w:id="259140736">
              <w:marLeft w:val="0"/>
              <w:marRight w:val="0"/>
              <w:marTop w:val="0"/>
              <w:marBottom w:val="0"/>
              <w:divBdr>
                <w:top w:val="none" w:sz="0" w:space="0" w:color="auto"/>
                <w:left w:val="none" w:sz="0" w:space="0" w:color="auto"/>
                <w:bottom w:val="none" w:sz="0" w:space="0" w:color="auto"/>
                <w:right w:val="none" w:sz="0" w:space="0" w:color="auto"/>
              </w:divBdr>
              <w:divsChild>
                <w:div w:id="2025477456">
                  <w:marLeft w:val="0"/>
                  <w:marRight w:val="0"/>
                  <w:marTop w:val="0"/>
                  <w:marBottom w:val="0"/>
                  <w:divBdr>
                    <w:top w:val="none" w:sz="0" w:space="0" w:color="auto"/>
                    <w:left w:val="none" w:sz="0" w:space="0" w:color="auto"/>
                    <w:bottom w:val="none" w:sz="0" w:space="0" w:color="auto"/>
                    <w:right w:val="none" w:sz="0" w:space="0" w:color="auto"/>
                  </w:divBdr>
                  <w:divsChild>
                    <w:div w:id="1188757670">
                      <w:marLeft w:val="0"/>
                      <w:marRight w:val="0"/>
                      <w:marTop w:val="0"/>
                      <w:marBottom w:val="300"/>
                      <w:divBdr>
                        <w:top w:val="none" w:sz="0" w:space="0" w:color="auto"/>
                        <w:left w:val="none" w:sz="0" w:space="0" w:color="auto"/>
                        <w:bottom w:val="none" w:sz="0" w:space="0" w:color="auto"/>
                        <w:right w:val="none" w:sz="0" w:space="0" w:color="auto"/>
                      </w:divBdr>
                      <w:divsChild>
                        <w:div w:id="91370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3381">
      <w:bodyDiv w:val="1"/>
      <w:marLeft w:val="0"/>
      <w:marRight w:val="0"/>
      <w:marTop w:val="0"/>
      <w:marBottom w:val="0"/>
      <w:divBdr>
        <w:top w:val="none" w:sz="0" w:space="0" w:color="auto"/>
        <w:left w:val="none" w:sz="0" w:space="0" w:color="auto"/>
        <w:bottom w:val="none" w:sz="0" w:space="0" w:color="auto"/>
        <w:right w:val="none" w:sz="0" w:space="0" w:color="auto"/>
      </w:divBdr>
      <w:divsChild>
        <w:div w:id="1948927689">
          <w:marLeft w:val="0"/>
          <w:marRight w:val="0"/>
          <w:marTop w:val="0"/>
          <w:marBottom w:val="0"/>
          <w:divBdr>
            <w:top w:val="none" w:sz="0" w:space="0" w:color="auto"/>
            <w:left w:val="none" w:sz="0" w:space="0" w:color="auto"/>
            <w:bottom w:val="none" w:sz="0" w:space="0" w:color="auto"/>
            <w:right w:val="none" w:sz="0" w:space="0" w:color="auto"/>
          </w:divBdr>
          <w:divsChild>
            <w:div w:id="573899863">
              <w:marLeft w:val="0"/>
              <w:marRight w:val="0"/>
              <w:marTop w:val="0"/>
              <w:marBottom w:val="0"/>
              <w:divBdr>
                <w:top w:val="none" w:sz="0" w:space="0" w:color="auto"/>
                <w:left w:val="none" w:sz="0" w:space="0" w:color="auto"/>
                <w:bottom w:val="none" w:sz="0" w:space="0" w:color="auto"/>
                <w:right w:val="none" w:sz="0" w:space="0" w:color="auto"/>
              </w:divBdr>
              <w:divsChild>
                <w:div w:id="727647533">
                  <w:marLeft w:val="0"/>
                  <w:marRight w:val="0"/>
                  <w:marTop w:val="0"/>
                  <w:marBottom w:val="0"/>
                  <w:divBdr>
                    <w:top w:val="none" w:sz="0" w:space="0" w:color="auto"/>
                    <w:left w:val="none" w:sz="0" w:space="0" w:color="auto"/>
                    <w:bottom w:val="none" w:sz="0" w:space="0" w:color="auto"/>
                    <w:right w:val="none" w:sz="0" w:space="0" w:color="auto"/>
                  </w:divBdr>
                  <w:divsChild>
                    <w:div w:id="73163817">
                      <w:marLeft w:val="0"/>
                      <w:marRight w:val="0"/>
                      <w:marTop w:val="0"/>
                      <w:marBottom w:val="375"/>
                      <w:divBdr>
                        <w:top w:val="none" w:sz="0" w:space="0" w:color="auto"/>
                        <w:left w:val="none" w:sz="0" w:space="0" w:color="auto"/>
                        <w:bottom w:val="none" w:sz="0" w:space="0" w:color="auto"/>
                        <w:right w:val="none" w:sz="0" w:space="0" w:color="auto"/>
                      </w:divBdr>
                      <w:divsChild>
                        <w:div w:id="14901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512226">
      <w:bodyDiv w:val="1"/>
      <w:marLeft w:val="0"/>
      <w:marRight w:val="0"/>
      <w:marTop w:val="0"/>
      <w:marBottom w:val="0"/>
      <w:divBdr>
        <w:top w:val="none" w:sz="0" w:space="0" w:color="auto"/>
        <w:left w:val="none" w:sz="0" w:space="0" w:color="auto"/>
        <w:bottom w:val="none" w:sz="0" w:space="0" w:color="auto"/>
        <w:right w:val="none" w:sz="0" w:space="0" w:color="auto"/>
      </w:divBdr>
      <w:divsChild>
        <w:div w:id="2007241961">
          <w:marLeft w:val="0"/>
          <w:marRight w:val="0"/>
          <w:marTop w:val="0"/>
          <w:marBottom w:val="0"/>
          <w:divBdr>
            <w:top w:val="none" w:sz="0" w:space="0" w:color="auto"/>
            <w:left w:val="single" w:sz="6" w:space="0" w:color="BBBBBB"/>
            <w:bottom w:val="single" w:sz="6" w:space="0" w:color="BBBBBB"/>
            <w:right w:val="single" w:sz="6" w:space="0" w:color="BBBBBB"/>
          </w:divBdr>
          <w:divsChild>
            <w:div w:id="602342403">
              <w:marLeft w:val="0"/>
              <w:marRight w:val="0"/>
              <w:marTop w:val="0"/>
              <w:marBottom w:val="0"/>
              <w:divBdr>
                <w:top w:val="none" w:sz="0" w:space="0" w:color="auto"/>
                <w:left w:val="none" w:sz="0" w:space="0" w:color="auto"/>
                <w:bottom w:val="none" w:sz="0" w:space="0" w:color="auto"/>
                <w:right w:val="none" w:sz="0" w:space="0" w:color="auto"/>
              </w:divBdr>
              <w:divsChild>
                <w:div w:id="2026125540">
                  <w:marLeft w:val="0"/>
                  <w:marRight w:val="0"/>
                  <w:marTop w:val="75"/>
                  <w:marBottom w:val="0"/>
                  <w:divBdr>
                    <w:top w:val="none" w:sz="0" w:space="0" w:color="auto"/>
                    <w:left w:val="none" w:sz="0" w:space="0" w:color="auto"/>
                    <w:bottom w:val="none" w:sz="0" w:space="0" w:color="auto"/>
                    <w:right w:val="none" w:sz="0" w:space="0" w:color="auto"/>
                  </w:divBdr>
                  <w:divsChild>
                    <w:div w:id="1314488015">
                      <w:marLeft w:val="0"/>
                      <w:marRight w:val="0"/>
                      <w:marTop w:val="0"/>
                      <w:marBottom w:val="0"/>
                      <w:divBdr>
                        <w:top w:val="none" w:sz="0" w:space="0" w:color="auto"/>
                        <w:left w:val="none" w:sz="0" w:space="0" w:color="auto"/>
                        <w:bottom w:val="none" w:sz="0" w:space="0" w:color="auto"/>
                        <w:right w:val="none" w:sz="0" w:space="0" w:color="auto"/>
                      </w:divBdr>
                      <w:divsChild>
                        <w:div w:id="908806054">
                          <w:marLeft w:val="0"/>
                          <w:marRight w:val="0"/>
                          <w:marTop w:val="0"/>
                          <w:marBottom w:val="0"/>
                          <w:divBdr>
                            <w:top w:val="none" w:sz="0" w:space="0" w:color="auto"/>
                            <w:left w:val="none" w:sz="0" w:space="0" w:color="auto"/>
                            <w:bottom w:val="none" w:sz="0" w:space="0" w:color="auto"/>
                            <w:right w:val="none" w:sz="0" w:space="0" w:color="auto"/>
                          </w:divBdr>
                          <w:divsChild>
                            <w:div w:id="1380476740">
                              <w:marLeft w:val="0"/>
                              <w:marRight w:val="0"/>
                              <w:marTop w:val="0"/>
                              <w:marBottom w:val="0"/>
                              <w:divBdr>
                                <w:top w:val="none" w:sz="0" w:space="0" w:color="auto"/>
                                <w:left w:val="none" w:sz="0" w:space="0" w:color="auto"/>
                                <w:bottom w:val="none" w:sz="0" w:space="0" w:color="auto"/>
                                <w:right w:val="none" w:sz="0" w:space="0" w:color="auto"/>
                              </w:divBdr>
                              <w:divsChild>
                                <w:div w:id="938754879">
                                  <w:marLeft w:val="0"/>
                                  <w:marRight w:val="0"/>
                                  <w:marTop w:val="0"/>
                                  <w:marBottom w:val="0"/>
                                  <w:divBdr>
                                    <w:top w:val="none" w:sz="0" w:space="0" w:color="auto"/>
                                    <w:left w:val="none" w:sz="0" w:space="0" w:color="auto"/>
                                    <w:bottom w:val="none" w:sz="0" w:space="0" w:color="auto"/>
                                    <w:right w:val="none" w:sz="0" w:space="0" w:color="auto"/>
                                  </w:divBdr>
                                  <w:divsChild>
                                    <w:div w:id="1001666799">
                                      <w:marLeft w:val="0"/>
                                      <w:marRight w:val="0"/>
                                      <w:marTop w:val="0"/>
                                      <w:marBottom w:val="0"/>
                                      <w:divBdr>
                                        <w:top w:val="none" w:sz="0" w:space="0" w:color="auto"/>
                                        <w:left w:val="none" w:sz="0" w:space="0" w:color="auto"/>
                                        <w:bottom w:val="none" w:sz="0" w:space="0" w:color="auto"/>
                                        <w:right w:val="none" w:sz="0" w:space="0" w:color="auto"/>
                                      </w:divBdr>
                                      <w:divsChild>
                                        <w:div w:id="1611544091">
                                          <w:marLeft w:val="1200"/>
                                          <w:marRight w:val="1200"/>
                                          <w:marTop w:val="0"/>
                                          <w:marBottom w:val="0"/>
                                          <w:divBdr>
                                            <w:top w:val="none" w:sz="0" w:space="0" w:color="auto"/>
                                            <w:left w:val="none" w:sz="0" w:space="0" w:color="auto"/>
                                            <w:bottom w:val="none" w:sz="0" w:space="0" w:color="auto"/>
                                            <w:right w:val="none" w:sz="0" w:space="0" w:color="auto"/>
                                          </w:divBdr>
                                          <w:divsChild>
                                            <w:div w:id="543253370">
                                              <w:marLeft w:val="0"/>
                                              <w:marRight w:val="0"/>
                                              <w:marTop w:val="0"/>
                                              <w:marBottom w:val="0"/>
                                              <w:divBdr>
                                                <w:top w:val="none" w:sz="0" w:space="0" w:color="auto"/>
                                                <w:left w:val="none" w:sz="0" w:space="0" w:color="auto"/>
                                                <w:bottom w:val="none" w:sz="0" w:space="0" w:color="auto"/>
                                                <w:right w:val="none" w:sz="0" w:space="0" w:color="auto"/>
                                              </w:divBdr>
                                              <w:divsChild>
                                                <w:div w:id="386539016">
                                                  <w:marLeft w:val="0"/>
                                                  <w:marRight w:val="0"/>
                                                  <w:marTop w:val="0"/>
                                                  <w:marBottom w:val="0"/>
                                                  <w:divBdr>
                                                    <w:top w:val="none" w:sz="0" w:space="0" w:color="auto"/>
                                                    <w:left w:val="none" w:sz="0" w:space="0" w:color="auto"/>
                                                    <w:bottom w:val="none" w:sz="0" w:space="0" w:color="auto"/>
                                                    <w:right w:val="none" w:sz="0" w:space="0" w:color="auto"/>
                                                  </w:divBdr>
                                                  <w:divsChild>
                                                    <w:div w:id="210308685">
                                                      <w:marLeft w:val="0"/>
                                                      <w:marRight w:val="0"/>
                                                      <w:marTop w:val="0"/>
                                                      <w:marBottom w:val="0"/>
                                                      <w:divBdr>
                                                        <w:top w:val="none" w:sz="0" w:space="0" w:color="auto"/>
                                                        <w:left w:val="none" w:sz="0" w:space="0" w:color="auto"/>
                                                        <w:bottom w:val="none" w:sz="0" w:space="0" w:color="auto"/>
                                                        <w:right w:val="none" w:sz="0" w:space="0" w:color="auto"/>
                                                      </w:divBdr>
                                                      <w:divsChild>
                                                        <w:div w:id="1047266161">
                                                          <w:marLeft w:val="0"/>
                                                          <w:marRight w:val="0"/>
                                                          <w:marTop w:val="0"/>
                                                          <w:marBottom w:val="0"/>
                                                          <w:divBdr>
                                                            <w:top w:val="none" w:sz="0" w:space="0" w:color="auto"/>
                                                            <w:left w:val="none" w:sz="0" w:space="0" w:color="auto"/>
                                                            <w:bottom w:val="none" w:sz="0" w:space="0" w:color="auto"/>
                                                            <w:right w:val="none" w:sz="0" w:space="0" w:color="auto"/>
                                                          </w:divBdr>
                                                        </w:div>
                                                      </w:divsChild>
                                                    </w:div>
                                                    <w:div w:id="669455420">
                                                      <w:marLeft w:val="0"/>
                                                      <w:marRight w:val="0"/>
                                                      <w:marTop w:val="0"/>
                                                      <w:marBottom w:val="0"/>
                                                      <w:divBdr>
                                                        <w:top w:val="none" w:sz="0" w:space="0" w:color="auto"/>
                                                        <w:left w:val="none" w:sz="0" w:space="0" w:color="auto"/>
                                                        <w:bottom w:val="none" w:sz="0" w:space="0" w:color="auto"/>
                                                        <w:right w:val="none" w:sz="0" w:space="0" w:color="auto"/>
                                                      </w:divBdr>
                                                      <w:divsChild>
                                                        <w:div w:id="157499584">
                                                          <w:marLeft w:val="0"/>
                                                          <w:marRight w:val="0"/>
                                                          <w:marTop w:val="0"/>
                                                          <w:marBottom w:val="0"/>
                                                          <w:divBdr>
                                                            <w:top w:val="none" w:sz="0" w:space="0" w:color="auto"/>
                                                            <w:left w:val="none" w:sz="0" w:space="0" w:color="auto"/>
                                                            <w:bottom w:val="none" w:sz="0" w:space="0" w:color="auto"/>
                                                            <w:right w:val="none" w:sz="0" w:space="0" w:color="auto"/>
                                                          </w:divBdr>
                                                        </w:div>
                                                      </w:divsChild>
                                                    </w:div>
                                                    <w:div w:id="776633726">
                                                      <w:marLeft w:val="0"/>
                                                      <w:marRight w:val="0"/>
                                                      <w:marTop w:val="0"/>
                                                      <w:marBottom w:val="0"/>
                                                      <w:divBdr>
                                                        <w:top w:val="none" w:sz="0" w:space="0" w:color="auto"/>
                                                        <w:left w:val="none" w:sz="0" w:space="0" w:color="auto"/>
                                                        <w:bottom w:val="none" w:sz="0" w:space="0" w:color="auto"/>
                                                        <w:right w:val="none" w:sz="0" w:space="0" w:color="auto"/>
                                                      </w:divBdr>
                                                      <w:divsChild>
                                                        <w:div w:id="608468271">
                                                          <w:marLeft w:val="0"/>
                                                          <w:marRight w:val="0"/>
                                                          <w:marTop w:val="0"/>
                                                          <w:marBottom w:val="0"/>
                                                          <w:divBdr>
                                                            <w:top w:val="none" w:sz="0" w:space="0" w:color="auto"/>
                                                            <w:left w:val="none" w:sz="0" w:space="0" w:color="auto"/>
                                                            <w:bottom w:val="none" w:sz="0" w:space="0" w:color="auto"/>
                                                            <w:right w:val="none" w:sz="0" w:space="0" w:color="auto"/>
                                                          </w:divBdr>
                                                        </w:div>
                                                      </w:divsChild>
                                                    </w:div>
                                                    <w:div w:id="869413546">
                                                      <w:marLeft w:val="0"/>
                                                      <w:marRight w:val="0"/>
                                                      <w:marTop w:val="0"/>
                                                      <w:marBottom w:val="0"/>
                                                      <w:divBdr>
                                                        <w:top w:val="none" w:sz="0" w:space="0" w:color="auto"/>
                                                        <w:left w:val="none" w:sz="0" w:space="0" w:color="auto"/>
                                                        <w:bottom w:val="none" w:sz="0" w:space="0" w:color="auto"/>
                                                        <w:right w:val="none" w:sz="0" w:space="0" w:color="auto"/>
                                                      </w:divBdr>
                                                      <w:divsChild>
                                                        <w:div w:id="459228860">
                                                          <w:marLeft w:val="0"/>
                                                          <w:marRight w:val="0"/>
                                                          <w:marTop w:val="0"/>
                                                          <w:marBottom w:val="0"/>
                                                          <w:divBdr>
                                                            <w:top w:val="none" w:sz="0" w:space="0" w:color="auto"/>
                                                            <w:left w:val="none" w:sz="0" w:space="0" w:color="auto"/>
                                                            <w:bottom w:val="none" w:sz="0" w:space="0" w:color="auto"/>
                                                            <w:right w:val="none" w:sz="0" w:space="0" w:color="auto"/>
                                                          </w:divBdr>
                                                        </w:div>
                                                      </w:divsChild>
                                                    </w:div>
                                                    <w:div w:id="1076588549">
                                                      <w:marLeft w:val="0"/>
                                                      <w:marRight w:val="0"/>
                                                      <w:marTop w:val="0"/>
                                                      <w:marBottom w:val="0"/>
                                                      <w:divBdr>
                                                        <w:top w:val="none" w:sz="0" w:space="0" w:color="auto"/>
                                                        <w:left w:val="none" w:sz="0" w:space="0" w:color="auto"/>
                                                        <w:bottom w:val="none" w:sz="0" w:space="0" w:color="auto"/>
                                                        <w:right w:val="none" w:sz="0" w:space="0" w:color="auto"/>
                                                      </w:divBdr>
                                                      <w:divsChild>
                                                        <w:div w:id="1886748255">
                                                          <w:marLeft w:val="0"/>
                                                          <w:marRight w:val="0"/>
                                                          <w:marTop w:val="0"/>
                                                          <w:marBottom w:val="0"/>
                                                          <w:divBdr>
                                                            <w:top w:val="none" w:sz="0" w:space="0" w:color="auto"/>
                                                            <w:left w:val="none" w:sz="0" w:space="0" w:color="auto"/>
                                                            <w:bottom w:val="none" w:sz="0" w:space="0" w:color="auto"/>
                                                            <w:right w:val="none" w:sz="0" w:space="0" w:color="auto"/>
                                                          </w:divBdr>
                                                        </w:div>
                                                      </w:divsChild>
                                                    </w:div>
                                                    <w:div w:id="1724134187">
                                                      <w:marLeft w:val="0"/>
                                                      <w:marRight w:val="0"/>
                                                      <w:marTop w:val="0"/>
                                                      <w:marBottom w:val="0"/>
                                                      <w:divBdr>
                                                        <w:top w:val="none" w:sz="0" w:space="0" w:color="auto"/>
                                                        <w:left w:val="none" w:sz="0" w:space="0" w:color="auto"/>
                                                        <w:bottom w:val="none" w:sz="0" w:space="0" w:color="auto"/>
                                                        <w:right w:val="none" w:sz="0" w:space="0" w:color="auto"/>
                                                      </w:divBdr>
                                                      <w:divsChild>
                                                        <w:div w:id="1270433556">
                                                          <w:marLeft w:val="0"/>
                                                          <w:marRight w:val="0"/>
                                                          <w:marTop w:val="0"/>
                                                          <w:marBottom w:val="0"/>
                                                          <w:divBdr>
                                                            <w:top w:val="none" w:sz="0" w:space="0" w:color="auto"/>
                                                            <w:left w:val="none" w:sz="0" w:space="0" w:color="auto"/>
                                                            <w:bottom w:val="none" w:sz="0" w:space="0" w:color="auto"/>
                                                            <w:right w:val="none" w:sz="0" w:space="0" w:color="auto"/>
                                                          </w:divBdr>
                                                        </w:div>
                                                      </w:divsChild>
                                                    </w:div>
                                                    <w:div w:id="2033458120">
                                                      <w:marLeft w:val="0"/>
                                                      <w:marRight w:val="0"/>
                                                      <w:marTop w:val="0"/>
                                                      <w:marBottom w:val="0"/>
                                                      <w:divBdr>
                                                        <w:top w:val="none" w:sz="0" w:space="0" w:color="auto"/>
                                                        <w:left w:val="none" w:sz="0" w:space="0" w:color="auto"/>
                                                        <w:bottom w:val="none" w:sz="0" w:space="0" w:color="auto"/>
                                                        <w:right w:val="none" w:sz="0" w:space="0" w:color="auto"/>
                                                      </w:divBdr>
                                                      <w:divsChild>
                                                        <w:div w:id="12195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7136118">
      <w:bodyDiv w:val="1"/>
      <w:marLeft w:val="0"/>
      <w:marRight w:val="0"/>
      <w:marTop w:val="0"/>
      <w:marBottom w:val="0"/>
      <w:divBdr>
        <w:top w:val="none" w:sz="0" w:space="0" w:color="auto"/>
        <w:left w:val="none" w:sz="0" w:space="0" w:color="auto"/>
        <w:bottom w:val="none" w:sz="0" w:space="0" w:color="auto"/>
        <w:right w:val="none" w:sz="0" w:space="0" w:color="auto"/>
      </w:divBdr>
      <w:divsChild>
        <w:div w:id="1538853326">
          <w:marLeft w:val="0"/>
          <w:marRight w:val="0"/>
          <w:marTop w:val="0"/>
          <w:marBottom w:val="0"/>
          <w:divBdr>
            <w:top w:val="none" w:sz="0" w:space="0" w:color="auto"/>
            <w:left w:val="none" w:sz="0" w:space="0" w:color="auto"/>
            <w:bottom w:val="none" w:sz="0" w:space="0" w:color="auto"/>
            <w:right w:val="none" w:sz="0" w:space="0" w:color="auto"/>
          </w:divBdr>
          <w:divsChild>
            <w:div w:id="1543906936">
              <w:marLeft w:val="0"/>
              <w:marRight w:val="0"/>
              <w:marTop w:val="0"/>
              <w:marBottom w:val="0"/>
              <w:divBdr>
                <w:top w:val="none" w:sz="0" w:space="0" w:color="auto"/>
                <w:left w:val="none" w:sz="0" w:space="0" w:color="auto"/>
                <w:bottom w:val="none" w:sz="0" w:space="0" w:color="auto"/>
                <w:right w:val="none" w:sz="0" w:space="0" w:color="auto"/>
              </w:divBdr>
              <w:divsChild>
                <w:div w:id="584725537">
                  <w:marLeft w:val="0"/>
                  <w:marRight w:val="0"/>
                  <w:marTop w:val="0"/>
                  <w:marBottom w:val="0"/>
                  <w:divBdr>
                    <w:top w:val="none" w:sz="0" w:space="0" w:color="auto"/>
                    <w:left w:val="none" w:sz="0" w:space="0" w:color="auto"/>
                    <w:bottom w:val="none" w:sz="0" w:space="0" w:color="auto"/>
                    <w:right w:val="none" w:sz="0" w:space="0" w:color="auto"/>
                  </w:divBdr>
                  <w:divsChild>
                    <w:div w:id="309990469">
                      <w:marLeft w:val="0"/>
                      <w:marRight w:val="0"/>
                      <w:marTop w:val="0"/>
                      <w:marBottom w:val="375"/>
                      <w:divBdr>
                        <w:top w:val="none" w:sz="0" w:space="0" w:color="auto"/>
                        <w:left w:val="none" w:sz="0" w:space="0" w:color="auto"/>
                        <w:bottom w:val="none" w:sz="0" w:space="0" w:color="auto"/>
                        <w:right w:val="none" w:sz="0" w:space="0" w:color="auto"/>
                      </w:divBdr>
                      <w:divsChild>
                        <w:div w:id="786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24320">
      <w:bodyDiv w:val="1"/>
      <w:marLeft w:val="0"/>
      <w:marRight w:val="0"/>
      <w:marTop w:val="0"/>
      <w:marBottom w:val="0"/>
      <w:divBdr>
        <w:top w:val="none" w:sz="0" w:space="0" w:color="auto"/>
        <w:left w:val="none" w:sz="0" w:space="0" w:color="auto"/>
        <w:bottom w:val="none" w:sz="0" w:space="0" w:color="auto"/>
        <w:right w:val="none" w:sz="0" w:space="0" w:color="auto"/>
      </w:divBdr>
      <w:divsChild>
        <w:div w:id="468784808">
          <w:marLeft w:val="0"/>
          <w:marRight w:val="0"/>
          <w:marTop w:val="0"/>
          <w:marBottom w:val="0"/>
          <w:divBdr>
            <w:top w:val="none" w:sz="0" w:space="0" w:color="auto"/>
            <w:left w:val="single" w:sz="6" w:space="0" w:color="BBBBBB"/>
            <w:bottom w:val="single" w:sz="6" w:space="0" w:color="BBBBBB"/>
            <w:right w:val="single" w:sz="6" w:space="0" w:color="BBBBBB"/>
          </w:divBdr>
          <w:divsChild>
            <w:div w:id="1126050109">
              <w:marLeft w:val="0"/>
              <w:marRight w:val="0"/>
              <w:marTop w:val="0"/>
              <w:marBottom w:val="0"/>
              <w:divBdr>
                <w:top w:val="none" w:sz="0" w:space="0" w:color="auto"/>
                <w:left w:val="none" w:sz="0" w:space="0" w:color="auto"/>
                <w:bottom w:val="none" w:sz="0" w:space="0" w:color="auto"/>
                <w:right w:val="none" w:sz="0" w:space="0" w:color="auto"/>
              </w:divBdr>
              <w:divsChild>
                <w:div w:id="1754934323">
                  <w:marLeft w:val="0"/>
                  <w:marRight w:val="0"/>
                  <w:marTop w:val="75"/>
                  <w:marBottom w:val="0"/>
                  <w:divBdr>
                    <w:top w:val="none" w:sz="0" w:space="0" w:color="auto"/>
                    <w:left w:val="none" w:sz="0" w:space="0" w:color="auto"/>
                    <w:bottom w:val="none" w:sz="0" w:space="0" w:color="auto"/>
                    <w:right w:val="none" w:sz="0" w:space="0" w:color="auto"/>
                  </w:divBdr>
                  <w:divsChild>
                    <w:div w:id="195044781">
                      <w:marLeft w:val="0"/>
                      <w:marRight w:val="0"/>
                      <w:marTop w:val="0"/>
                      <w:marBottom w:val="0"/>
                      <w:divBdr>
                        <w:top w:val="none" w:sz="0" w:space="0" w:color="auto"/>
                        <w:left w:val="none" w:sz="0" w:space="0" w:color="auto"/>
                        <w:bottom w:val="none" w:sz="0" w:space="0" w:color="auto"/>
                        <w:right w:val="none" w:sz="0" w:space="0" w:color="auto"/>
                      </w:divBdr>
                      <w:divsChild>
                        <w:div w:id="1438479261">
                          <w:marLeft w:val="0"/>
                          <w:marRight w:val="0"/>
                          <w:marTop w:val="0"/>
                          <w:marBottom w:val="0"/>
                          <w:divBdr>
                            <w:top w:val="none" w:sz="0" w:space="0" w:color="auto"/>
                            <w:left w:val="none" w:sz="0" w:space="0" w:color="auto"/>
                            <w:bottom w:val="none" w:sz="0" w:space="0" w:color="auto"/>
                            <w:right w:val="none" w:sz="0" w:space="0" w:color="auto"/>
                          </w:divBdr>
                          <w:divsChild>
                            <w:div w:id="2090615578">
                              <w:marLeft w:val="0"/>
                              <w:marRight w:val="0"/>
                              <w:marTop w:val="0"/>
                              <w:marBottom w:val="0"/>
                              <w:divBdr>
                                <w:top w:val="none" w:sz="0" w:space="0" w:color="auto"/>
                                <w:left w:val="none" w:sz="0" w:space="0" w:color="auto"/>
                                <w:bottom w:val="none" w:sz="0" w:space="0" w:color="auto"/>
                                <w:right w:val="none" w:sz="0" w:space="0" w:color="auto"/>
                              </w:divBdr>
                              <w:divsChild>
                                <w:div w:id="1819760256">
                                  <w:marLeft w:val="0"/>
                                  <w:marRight w:val="0"/>
                                  <w:marTop w:val="0"/>
                                  <w:marBottom w:val="0"/>
                                  <w:divBdr>
                                    <w:top w:val="none" w:sz="0" w:space="0" w:color="auto"/>
                                    <w:left w:val="none" w:sz="0" w:space="0" w:color="auto"/>
                                    <w:bottom w:val="none" w:sz="0" w:space="0" w:color="auto"/>
                                    <w:right w:val="none" w:sz="0" w:space="0" w:color="auto"/>
                                  </w:divBdr>
                                  <w:divsChild>
                                    <w:div w:id="1211916044">
                                      <w:marLeft w:val="0"/>
                                      <w:marRight w:val="0"/>
                                      <w:marTop w:val="0"/>
                                      <w:marBottom w:val="0"/>
                                      <w:divBdr>
                                        <w:top w:val="none" w:sz="0" w:space="0" w:color="auto"/>
                                        <w:left w:val="none" w:sz="0" w:space="0" w:color="auto"/>
                                        <w:bottom w:val="none" w:sz="0" w:space="0" w:color="auto"/>
                                        <w:right w:val="none" w:sz="0" w:space="0" w:color="auto"/>
                                      </w:divBdr>
                                      <w:divsChild>
                                        <w:div w:id="1758794445">
                                          <w:marLeft w:val="1200"/>
                                          <w:marRight w:val="1200"/>
                                          <w:marTop w:val="0"/>
                                          <w:marBottom w:val="0"/>
                                          <w:divBdr>
                                            <w:top w:val="none" w:sz="0" w:space="0" w:color="auto"/>
                                            <w:left w:val="none" w:sz="0" w:space="0" w:color="auto"/>
                                            <w:bottom w:val="none" w:sz="0" w:space="0" w:color="auto"/>
                                            <w:right w:val="none" w:sz="0" w:space="0" w:color="auto"/>
                                          </w:divBdr>
                                          <w:divsChild>
                                            <w:div w:id="73403876">
                                              <w:marLeft w:val="0"/>
                                              <w:marRight w:val="0"/>
                                              <w:marTop w:val="0"/>
                                              <w:marBottom w:val="0"/>
                                              <w:divBdr>
                                                <w:top w:val="none" w:sz="0" w:space="0" w:color="auto"/>
                                                <w:left w:val="none" w:sz="0" w:space="0" w:color="auto"/>
                                                <w:bottom w:val="none" w:sz="0" w:space="0" w:color="auto"/>
                                                <w:right w:val="none" w:sz="0" w:space="0" w:color="auto"/>
                                              </w:divBdr>
                                              <w:divsChild>
                                                <w:div w:id="164823924">
                                                  <w:marLeft w:val="0"/>
                                                  <w:marRight w:val="0"/>
                                                  <w:marTop w:val="0"/>
                                                  <w:marBottom w:val="0"/>
                                                  <w:divBdr>
                                                    <w:top w:val="none" w:sz="0" w:space="0" w:color="auto"/>
                                                    <w:left w:val="none" w:sz="0" w:space="0" w:color="auto"/>
                                                    <w:bottom w:val="none" w:sz="0" w:space="0" w:color="auto"/>
                                                    <w:right w:val="none" w:sz="0" w:space="0" w:color="auto"/>
                                                  </w:divBdr>
                                                  <w:divsChild>
                                                    <w:div w:id="1299382996">
                                                      <w:marLeft w:val="0"/>
                                                      <w:marRight w:val="0"/>
                                                      <w:marTop w:val="0"/>
                                                      <w:marBottom w:val="0"/>
                                                      <w:divBdr>
                                                        <w:top w:val="none" w:sz="0" w:space="0" w:color="auto"/>
                                                        <w:left w:val="none" w:sz="0" w:space="0" w:color="auto"/>
                                                        <w:bottom w:val="none" w:sz="0" w:space="0" w:color="auto"/>
                                                        <w:right w:val="none" w:sz="0" w:space="0" w:color="auto"/>
                                                      </w:divBdr>
                                                      <w:divsChild>
                                                        <w:div w:id="2027054332">
                                                          <w:marLeft w:val="0"/>
                                                          <w:marRight w:val="0"/>
                                                          <w:marTop w:val="0"/>
                                                          <w:marBottom w:val="0"/>
                                                          <w:divBdr>
                                                            <w:top w:val="none" w:sz="0" w:space="0" w:color="auto"/>
                                                            <w:left w:val="none" w:sz="0" w:space="0" w:color="auto"/>
                                                            <w:bottom w:val="none" w:sz="0" w:space="0" w:color="auto"/>
                                                            <w:right w:val="none" w:sz="0" w:space="0" w:color="auto"/>
                                                          </w:divBdr>
                                                          <w:divsChild>
                                                            <w:div w:id="89006873">
                                                              <w:marLeft w:val="0"/>
                                                              <w:marRight w:val="0"/>
                                                              <w:marTop w:val="0"/>
                                                              <w:marBottom w:val="0"/>
                                                              <w:divBdr>
                                                                <w:top w:val="none" w:sz="0" w:space="0" w:color="auto"/>
                                                                <w:left w:val="none" w:sz="0" w:space="0" w:color="auto"/>
                                                                <w:bottom w:val="none" w:sz="0" w:space="0" w:color="auto"/>
                                                                <w:right w:val="none" w:sz="0" w:space="0" w:color="auto"/>
                                                              </w:divBdr>
                                                              <w:divsChild>
                                                                <w:div w:id="551354468">
                                                                  <w:marLeft w:val="0"/>
                                                                  <w:marRight w:val="0"/>
                                                                  <w:marTop w:val="0"/>
                                                                  <w:marBottom w:val="0"/>
                                                                  <w:divBdr>
                                                                    <w:top w:val="none" w:sz="0" w:space="0" w:color="auto"/>
                                                                    <w:left w:val="none" w:sz="0" w:space="0" w:color="auto"/>
                                                                    <w:bottom w:val="none" w:sz="0" w:space="0" w:color="auto"/>
                                                                    <w:right w:val="none" w:sz="0" w:space="0" w:color="auto"/>
                                                                  </w:divBdr>
                                                                  <w:divsChild>
                                                                    <w:div w:id="138108565">
                                                                      <w:marLeft w:val="0"/>
                                                                      <w:marRight w:val="0"/>
                                                                      <w:marTop w:val="0"/>
                                                                      <w:marBottom w:val="0"/>
                                                                      <w:divBdr>
                                                                        <w:top w:val="none" w:sz="0" w:space="0" w:color="auto"/>
                                                                        <w:left w:val="none" w:sz="0" w:space="0" w:color="auto"/>
                                                                        <w:bottom w:val="none" w:sz="0" w:space="0" w:color="auto"/>
                                                                        <w:right w:val="none" w:sz="0" w:space="0" w:color="auto"/>
                                                                      </w:divBdr>
                                                                      <w:divsChild>
                                                                        <w:div w:id="1652170314">
                                                                          <w:marLeft w:val="0"/>
                                                                          <w:marRight w:val="0"/>
                                                                          <w:marTop w:val="0"/>
                                                                          <w:marBottom w:val="0"/>
                                                                          <w:divBdr>
                                                                            <w:top w:val="none" w:sz="0" w:space="0" w:color="auto"/>
                                                                            <w:left w:val="none" w:sz="0" w:space="0" w:color="auto"/>
                                                                            <w:bottom w:val="none" w:sz="0" w:space="0" w:color="auto"/>
                                                                            <w:right w:val="none" w:sz="0" w:space="0" w:color="auto"/>
                                                                          </w:divBdr>
                                                                        </w:div>
                                                                      </w:divsChild>
                                                                    </w:div>
                                                                    <w:div w:id="644775470">
                                                                      <w:marLeft w:val="0"/>
                                                                      <w:marRight w:val="0"/>
                                                                      <w:marTop w:val="0"/>
                                                                      <w:marBottom w:val="0"/>
                                                                      <w:divBdr>
                                                                        <w:top w:val="none" w:sz="0" w:space="0" w:color="auto"/>
                                                                        <w:left w:val="none" w:sz="0" w:space="0" w:color="auto"/>
                                                                        <w:bottom w:val="none" w:sz="0" w:space="0" w:color="auto"/>
                                                                        <w:right w:val="none" w:sz="0" w:space="0" w:color="auto"/>
                                                                      </w:divBdr>
                                                                      <w:divsChild>
                                                                        <w:div w:id="1913932786">
                                                                          <w:marLeft w:val="0"/>
                                                                          <w:marRight w:val="0"/>
                                                                          <w:marTop w:val="0"/>
                                                                          <w:marBottom w:val="0"/>
                                                                          <w:divBdr>
                                                                            <w:top w:val="none" w:sz="0" w:space="0" w:color="auto"/>
                                                                            <w:left w:val="none" w:sz="0" w:space="0" w:color="auto"/>
                                                                            <w:bottom w:val="none" w:sz="0" w:space="0" w:color="auto"/>
                                                                            <w:right w:val="none" w:sz="0" w:space="0" w:color="auto"/>
                                                                          </w:divBdr>
                                                                        </w:div>
                                                                      </w:divsChild>
                                                                    </w:div>
                                                                    <w:div w:id="795223178">
                                                                      <w:marLeft w:val="0"/>
                                                                      <w:marRight w:val="0"/>
                                                                      <w:marTop w:val="0"/>
                                                                      <w:marBottom w:val="0"/>
                                                                      <w:divBdr>
                                                                        <w:top w:val="none" w:sz="0" w:space="0" w:color="auto"/>
                                                                        <w:left w:val="none" w:sz="0" w:space="0" w:color="auto"/>
                                                                        <w:bottom w:val="none" w:sz="0" w:space="0" w:color="auto"/>
                                                                        <w:right w:val="none" w:sz="0" w:space="0" w:color="auto"/>
                                                                      </w:divBdr>
                                                                      <w:divsChild>
                                                                        <w:div w:id="739330111">
                                                                          <w:marLeft w:val="0"/>
                                                                          <w:marRight w:val="0"/>
                                                                          <w:marTop w:val="0"/>
                                                                          <w:marBottom w:val="0"/>
                                                                          <w:divBdr>
                                                                            <w:top w:val="none" w:sz="0" w:space="0" w:color="auto"/>
                                                                            <w:left w:val="none" w:sz="0" w:space="0" w:color="auto"/>
                                                                            <w:bottom w:val="none" w:sz="0" w:space="0" w:color="auto"/>
                                                                            <w:right w:val="none" w:sz="0" w:space="0" w:color="auto"/>
                                                                          </w:divBdr>
                                                                        </w:div>
                                                                      </w:divsChild>
                                                                    </w:div>
                                                                    <w:div w:id="1066994588">
                                                                      <w:marLeft w:val="0"/>
                                                                      <w:marRight w:val="0"/>
                                                                      <w:marTop w:val="0"/>
                                                                      <w:marBottom w:val="0"/>
                                                                      <w:divBdr>
                                                                        <w:top w:val="none" w:sz="0" w:space="0" w:color="auto"/>
                                                                        <w:left w:val="none" w:sz="0" w:space="0" w:color="auto"/>
                                                                        <w:bottom w:val="none" w:sz="0" w:space="0" w:color="auto"/>
                                                                        <w:right w:val="none" w:sz="0" w:space="0" w:color="auto"/>
                                                                      </w:divBdr>
                                                                      <w:divsChild>
                                                                        <w:div w:id="1515264343">
                                                                          <w:marLeft w:val="0"/>
                                                                          <w:marRight w:val="0"/>
                                                                          <w:marTop w:val="0"/>
                                                                          <w:marBottom w:val="0"/>
                                                                          <w:divBdr>
                                                                            <w:top w:val="none" w:sz="0" w:space="0" w:color="auto"/>
                                                                            <w:left w:val="none" w:sz="0" w:space="0" w:color="auto"/>
                                                                            <w:bottom w:val="none" w:sz="0" w:space="0" w:color="auto"/>
                                                                            <w:right w:val="none" w:sz="0" w:space="0" w:color="auto"/>
                                                                          </w:divBdr>
                                                                        </w:div>
                                                                      </w:divsChild>
                                                                    </w:div>
                                                                    <w:div w:id="1090010149">
                                                                      <w:marLeft w:val="0"/>
                                                                      <w:marRight w:val="0"/>
                                                                      <w:marTop w:val="0"/>
                                                                      <w:marBottom w:val="0"/>
                                                                      <w:divBdr>
                                                                        <w:top w:val="none" w:sz="0" w:space="0" w:color="auto"/>
                                                                        <w:left w:val="none" w:sz="0" w:space="0" w:color="auto"/>
                                                                        <w:bottom w:val="none" w:sz="0" w:space="0" w:color="auto"/>
                                                                        <w:right w:val="none" w:sz="0" w:space="0" w:color="auto"/>
                                                                      </w:divBdr>
                                                                      <w:divsChild>
                                                                        <w:div w:id="168375367">
                                                                          <w:marLeft w:val="0"/>
                                                                          <w:marRight w:val="0"/>
                                                                          <w:marTop w:val="0"/>
                                                                          <w:marBottom w:val="0"/>
                                                                          <w:divBdr>
                                                                            <w:top w:val="none" w:sz="0" w:space="0" w:color="auto"/>
                                                                            <w:left w:val="none" w:sz="0" w:space="0" w:color="auto"/>
                                                                            <w:bottom w:val="none" w:sz="0" w:space="0" w:color="auto"/>
                                                                            <w:right w:val="none" w:sz="0" w:space="0" w:color="auto"/>
                                                                          </w:divBdr>
                                                                        </w:div>
                                                                        <w:div w:id="1246037724">
                                                                          <w:marLeft w:val="0"/>
                                                                          <w:marRight w:val="0"/>
                                                                          <w:marTop w:val="0"/>
                                                                          <w:marBottom w:val="0"/>
                                                                          <w:divBdr>
                                                                            <w:top w:val="none" w:sz="0" w:space="0" w:color="auto"/>
                                                                            <w:left w:val="none" w:sz="0" w:space="0" w:color="auto"/>
                                                                            <w:bottom w:val="none" w:sz="0" w:space="0" w:color="auto"/>
                                                                            <w:right w:val="none" w:sz="0" w:space="0" w:color="auto"/>
                                                                          </w:divBdr>
                                                                          <w:divsChild>
                                                                            <w:div w:id="84043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90783">
                                                                      <w:marLeft w:val="0"/>
                                                                      <w:marRight w:val="0"/>
                                                                      <w:marTop w:val="0"/>
                                                                      <w:marBottom w:val="0"/>
                                                                      <w:divBdr>
                                                                        <w:top w:val="none" w:sz="0" w:space="0" w:color="auto"/>
                                                                        <w:left w:val="none" w:sz="0" w:space="0" w:color="auto"/>
                                                                        <w:bottom w:val="none" w:sz="0" w:space="0" w:color="auto"/>
                                                                        <w:right w:val="none" w:sz="0" w:space="0" w:color="auto"/>
                                                                      </w:divBdr>
                                                                      <w:divsChild>
                                                                        <w:div w:id="15346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141255">
      <w:bodyDiv w:val="1"/>
      <w:marLeft w:val="0"/>
      <w:marRight w:val="0"/>
      <w:marTop w:val="0"/>
      <w:marBottom w:val="0"/>
      <w:divBdr>
        <w:top w:val="none" w:sz="0" w:space="0" w:color="auto"/>
        <w:left w:val="none" w:sz="0" w:space="0" w:color="auto"/>
        <w:bottom w:val="none" w:sz="0" w:space="0" w:color="auto"/>
        <w:right w:val="none" w:sz="0" w:space="0" w:color="auto"/>
      </w:divBdr>
      <w:divsChild>
        <w:div w:id="1835678412">
          <w:marLeft w:val="0"/>
          <w:marRight w:val="0"/>
          <w:marTop w:val="0"/>
          <w:marBottom w:val="0"/>
          <w:divBdr>
            <w:top w:val="none" w:sz="0" w:space="0" w:color="auto"/>
            <w:left w:val="none" w:sz="0" w:space="0" w:color="auto"/>
            <w:bottom w:val="none" w:sz="0" w:space="0" w:color="auto"/>
            <w:right w:val="none" w:sz="0" w:space="0" w:color="auto"/>
          </w:divBdr>
          <w:divsChild>
            <w:div w:id="1245264583">
              <w:marLeft w:val="0"/>
              <w:marRight w:val="0"/>
              <w:marTop w:val="0"/>
              <w:marBottom w:val="0"/>
              <w:divBdr>
                <w:top w:val="none" w:sz="0" w:space="0" w:color="auto"/>
                <w:left w:val="none" w:sz="0" w:space="0" w:color="auto"/>
                <w:bottom w:val="none" w:sz="0" w:space="0" w:color="auto"/>
                <w:right w:val="none" w:sz="0" w:space="0" w:color="auto"/>
              </w:divBdr>
              <w:divsChild>
                <w:div w:id="611745406">
                  <w:marLeft w:val="0"/>
                  <w:marRight w:val="0"/>
                  <w:marTop w:val="0"/>
                  <w:marBottom w:val="0"/>
                  <w:divBdr>
                    <w:top w:val="none" w:sz="0" w:space="0" w:color="auto"/>
                    <w:left w:val="none" w:sz="0" w:space="0" w:color="auto"/>
                    <w:bottom w:val="none" w:sz="0" w:space="0" w:color="auto"/>
                    <w:right w:val="none" w:sz="0" w:space="0" w:color="auto"/>
                  </w:divBdr>
                  <w:divsChild>
                    <w:div w:id="520165789">
                      <w:marLeft w:val="0"/>
                      <w:marRight w:val="0"/>
                      <w:marTop w:val="0"/>
                      <w:marBottom w:val="300"/>
                      <w:divBdr>
                        <w:top w:val="none" w:sz="0" w:space="0" w:color="auto"/>
                        <w:left w:val="none" w:sz="0" w:space="0" w:color="auto"/>
                        <w:bottom w:val="none" w:sz="0" w:space="0" w:color="auto"/>
                        <w:right w:val="none" w:sz="0" w:space="0" w:color="auto"/>
                      </w:divBdr>
                      <w:divsChild>
                        <w:div w:id="9179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09275">
      <w:bodyDiv w:val="1"/>
      <w:marLeft w:val="0"/>
      <w:marRight w:val="0"/>
      <w:marTop w:val="0"/>
      <w:marBottom w:val="0"/>
      <w:divBdr>
        <w:top w:val="none" w:sz="0" w:space="0" w:color="auto"/>
        <w:left w:val="none" w:sz="0" w:space="0" w:color="auto"/>
        <w:bottom w:val="none" w:sz="0" w:space="0" w:color="auto"/>
        <w:right w:val="none" w:sz="0" w:space="0" w:color="auto"/>
      </w:divBdr>
      <w:divsChild>
        <w:div w:id="1428816276">
          <w:marLeft w:val="0"/>
          <w:marRight w:val="0"/>
          <w:marTop w:val="240"/>
          <w:marBottom w:val="0"/>
          <w:divBdr>
            <w:top w:val="none" w:sz="0" w:space="0" w:color="auto"/>
            <w:left w:val="none" w:sz="0" w:space="0" w:color="auto"/>
            <w:bottom w:val="none" w:sz="0" w:space="0" w:color="auto"/>
            <w:right w:val="none" w:sz="0" w:space="0" w:color="auto"/>
          </w:divBdr>
          <w:divsChild>
            <w:div w:id="32778649">
              <w:marLeft w:val="0"/>
              <w:marRight w:val="0"/>
              <w:marTop w:val="0"/>
              <w:marBottom w:val="0"/>
              <w:divBdr>
                <w:top w:val="none" w:sz="0" w:space="0" w:color="auto"/>
                <w:left w:val="none" w:sz="0" w:space="0" w:color="auto"/>
                <w:bottom w:val="none" w:sz="0" w:space="0" w:color="auto"/>
                <w:right w:val="none" w:sz="0" w:space="0" w:color="auto"/>
              </w:divBdr>
            </w:div>
          </w:divsChild>
        </w:div>
        <w:div w:id="1544174754">
          <w:marLeft w:val="0"/>
          <w:marRight w:val="0"/>
          <w:marTop w:val="240"/>
          <w:marBottom w:val="0"/>
          <w:divBdr>
            <w:top w:val="none" w:sz="0" w:space="0" w:color="auto"/>
            <w:left w:val="none" w:sz="0" w:space="0" w:color="auto"/>
            <w:bottom w:val="none" w:sz="0" w:space="0" w:color="auto"/>
            <w:right w:val="none" w:sz="0" w:space="0" w:color="auto"/>
          </w:divBdr>
          <w:divsChild>
            <w:div w:id="1171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8083">
      <w:bodyDiv w:val="1"/>
      <w:marLeft w:val="0"/>
      <w:marRight w:val="0"/>
      <w:marTop w:val="0"/>
      <w:marBottom w:val="0"/>
      <w:divBdr>
        <w:top w:val="none" w:sz="0" w:space="0" w:color="auto"/>
        <w:left w:val="none" w:sz="0" w:space="0" w:color="auto"/>
        <w:bottom w:val="none" w:sz="0" w:space="0" w:color="auto"/>
        <w:right w:val="none" w:sz="0" w:space="0" w:color="auto"/>
      </w:divBdr>
      <w:divsChild>
        <w:div w:id="1063873271">
          <w:marLeft w:val="0"/>
          <w:marRight w:val="0"/>
          <w:marTop w:val="0"/>
          <w:marBottom w:val="0"/>
          <w:divBdr>
            <w:top w:val="none" w:sz="0" w:space="0" w:color="auto"/>
            <w:left w:val="single" w:sz="6" w:space="0" w:color="BBBBBB"/>
            <w:bottom w:val="single" w:sz="6" w:space="0" w:color="BBBBBB"/>
            <w:right w:val="single" w:sz="6" w:space="0" w:color="BBBBBB"/>
          </w:divBdr>
          <w:divsChild>
            <w:div w:id="14966232">
              <w:marLeft w:val="0"/>
              <w:marRight w:val="0"/>
              <w:marTop w:val="0"/>
              <w:marBottom w:val="0"/>
              <w:divBdr>
                <w:top w:val="none" w:sz="0" w:space="0" w:color="auto"/>
                <w:left w:val="none" w:sz="0" w:space="0" w:color="auto"/>
                <w:bottom w:val="none" w:sz="0" w:space="0" w:color="auto"/>
                <w:right w:val="none" w:sz="0" w:space="0" w:color="auto"/>
              </w:divBdr>
              <w:divsChild>
                <w:div w:id="1146165350">
                  <w:marLeft w:val="0"/>
                  <w:marRight w:val="0"/>
                  <w:marTop w:val="75"/>
                  <w:marBottom w:val="0"/>
                  <w:divBdr>
                    <w:top w:val="none" w:sz="0" w:space="0" w:color="auto"/>
                    <w:left w:val="none" w:sz="0" w:space="0" w:color="auto"/>
                    <w:bottom w:val="none" w:sz="0" w:space="0" w:color="auto"/>
                    <w:right w:val="none" w:sz="0" w:space="0" w:color="auto"/>
                  </w:divBdr>
                  <w:divsChild>
                    <w:div w:id="1148399514">
                      <w:marLeft w:val="0"/>
                      <w:marRight w:val="0"/>
                      <w:marTop w:val="0"/>
                      <w:marBottom w:val="0"/>
                      <w:divBdr>
                        <w:top w:val="none" w:sz="0" w:space="0" w:color="auto"/>
                        <w:left w:val="none" w:sz="0" w:space="0" w:color="auto"/>
                        <w:bottom w:val="none" w:sz="0" w:space="0" w:color="auto"/>
                        <w:right w:val="none" w:sz="0" w:space="0" w:color="auto"/>
                      </w:divBdr>
                      <w:divsChild>
                        <w:div w:id="1607423090">
                          <w:marLeft w:val="0"/>
                          <w:marRight w:val="0"/>
                          <w:marTop w:val="0"/>
                          <w:marBottom w:val="0"/>
                          <w:divBdr>
                            <w:top w:val="none" w:sz="0" w:space="0" w:color="auto"/>
                            <w:left w:val="none" w:sz="0" w:space="0" w:color="auto"/>
                            <w:bottom w:val="none" w:sz="0" w:space="0" w:color="auto"/>
                            <w:right w:val="none" w:sz="0" w:space="0" w:color="auto"/>
                          </w:divBdr>
                          <w:divsChild>
                            <w:div w:id="2041347170">
                              <w:marLeft w:val="0"/>
                              <w:marRight w:val="0"/>
                              <w:marTop w:val="0"/>
                              <w:marBottom w:val="0"/>
                              <w:divBdr>
                                <w:top w:val="none" w:sz="0" w:space="0" w:color="auto"/>
                                <w:left w:val="none" w:sz="0" w:space="0" w:color="auto"/>
                                <w:bottom w:val="none" w:sz="0" w:space="0" w:color="auto"/>
                                <w:right w:val="none" w:sz="0" w:space="0" w:color="auto"/>
                              </w:divBdr>
                              <w:divsChild>
                                <w:div w:id="269554215">
                                  <w:marLeft w:val="0"/>
                                  <w:marRight w:val="0"/>
                                  <w:marTop w:val="0"/>
                                  <w:marBottom w:val="0"/>
                                  <w:divBdr>
                                    <w:top w:val="none" w:sz="0" w:space="0" w:color="auto"/>
                                    <w:left w:val="none" w:sz="0" w:space="0" w:color="auto"/>
                                    <w:bottom w:val="none" w:sz="0" w:space="0" w:color="auto"/>
                                    <w:right w:val="none" w:sz="0" w:space="0" w:color="auto"/>
                                  </w:divBdr>
                                  <w:divsChild>
                                    <w:div w:id="1630823415">
                                      <w:marLeft w:val="0"/>
                                      <w:marRight w:val="0"/>
                                      <w:marTop w:val="0"/>
                                      <w:marBottom w:val="0"/>
                                      <w:divBdr>
                                        <w:top w:val="none" w:sz="0" w:space="0" w:color="auto"/>
                                        <w:left w:val="none" w:sz="0" w:space="0" w:color="auto"/>
                                        <w:bottom w:val="none" w:sz="0" w:space="0" w:color="auto"/>
                                        <w:right w:val="none" w:sz="0" w:space="0" w:color="auto"/>
                                      </w:divBdr>
                                      <w:divsChild>
                                        <w:div w:id="1152529084">
                                          <w:marLeft w:val="1200"/>
                                          <w:marRight w:val="1200"/>
                                          <w:marTop w:val="0"/>
                                          <w:marBottom w:val="0"/>
                                          <w:divBdr>
                                            <w:top w:val="none" w:sz="0" w:space="0" w:color="auto"/>
                                            <w:left w:val="none" w:sz="0" w:space="0" w:color="auto"/>
                                            <w:bottom w:val="none" w:sz="0" w:space="0" w:color="auto"/>
                                            <w:right w:val="none" w:sz="0" w:space="0" w:color="auto"/>
                                          </w:divBdr>
                                          <w:divsChild>
                                            <w:div w:id="160497">
                                              <w:marLeft w:val="0"/>
                                              <w:marRight w:val="0"/>
                                              <w:marTop w:val="0"/>
                                              <w:marBottom w:val="0"/>
                                              <w:divBdr>
                                                <w:top w:val="none" w:sz="0" w:space="0" w:color="auto"/>
                                                <w:left w:val="none" w:sz="0" w:space="0" w:color="auto"/>
                                                <w:bottom w:val="none" w:sz="0" w:space="0" w:color="auto"/>
                                                <w:right w:val="none" w:sz="0" w:space="0" w:color="auto"/>
                                              </w:divBdr>
                                              <w:divsChild>
                                                <w:div w:id="1583031412">
                                                  <w:marLeft w:val="0"/>
                                                  <w:marRight w:val="0"/>
                                                  <w:marTop w:val="0"/>
                                                  <w:marBottom w:val="0"/>
                                                  <w:divBdr>
                                                    <w:top w:val="none" w:sz="0" w:space="0" w:color="auto"/>
                                                    <w:left w:val="none" w:sz="0" w:space="0" w:color="auto"/>
                                                    <w:bottom w:val="none" w:sz="0" w:space="0" w:color="auto"/>
                                                    <w:right w:val="none" w:sz="0" w:space="0" w:color="auto"/>
                                                  </w:divBdr>
                                                  <w:divsChild>
                                                    <w:div w:id="292249681">
                                                      <w:marLeft w:val="0"/>
                                                      <w:marRight w:val="0"/>
                                                      <w:marTop w:val="0"/>
                                                      <w:marBottom w:val="0"/>
                                                      <w:divBdr>
                                                        <w:top w:val="none" w:sz="0" w:space="0" w:color="auto"/>
                                                        <w:left w:val="none" w:sz="0" w:space="0" w:color="auto"/>
                                                        <w:bottom w:val="none" w:sz="0" w:space="0" w:color="auto"/>
                                                        <w:right w:val="none" w:sz="0" w:space="0" w:color="auto"/>
                                                      </w:divBdr>
                                                      <w:divsChild>
                                                        <w:div w:id="1557201870">
                                                          <w:marLeft w:val="0"/>
                                                          <w:marRight w:val="0"/>
                                                          <w:marTop w:val="0"/>
                                                          <w:marBottom w:val="0"/>
                                                          <w:divBdr>
                                                            <w:top w:val="none" w:sz="0" w:space="0" w:color="auto"/>
                                                            <w:left w:val="none" w:sz="0" w:space="0" w:color="auto"/>
                                                            <w:bottom w:val="none" w:sz="0" w:space="0" w:color="auto"/>
                                                            <w:right w:val="none" w:sz="0" w:space="0" w:color="auto"/>
                                                          </w:divBdr>
                                                        </w:div>
                                                      </w:divsChild>
                                                    </w:div>
                                                    <w:div w:id="327559320">
                                                      <w:marLeft w:val="0"/>
                                                      <w:marRight w:val="0"/>
                                                      <w:marTop w:val="0"/>
                                                      <w:marBottom w:val="0"/>
                                                      <w:divBdr>
                                                        <w:top w:val="none" w:sz="0" w:space="0" w:color="auto"/>
                                                        <w:left w:val="none" w:sz="0" w:space="0" w:color="auto"/>
                                                        <w:bottom w:val="none" w:sz="0" w:space="0" w:color="auto"/>
                                                        <w:right w:val="none" w:sz="0" w:space="0" w:color="auto"/>
                                                      </w:divBdr>
                                                      <w:divsChild>
                                                        <w:div w:id="2007391532">
                                                          <w:marLeft w:val="0"/>
                                                          <w:marRight w:val="0"/>
                                                          <w:marTop w:val="0"/>
                                                          <w:marBottom w:val="0"/>
                                                          <w:divBdr>
                                                            <w:top w:val="none" w:sz="0" w:space="0" w:color="auto"/>
                                                            <w:left w:val="none" w:sz="0" w:space="0" w:color="auto"/>
                                                            <w:bottom w:val="none" w:sz="0" w:space="0" w:color="auto"/>
                                                            <w:right w:val="none" w:sz="0" w:space="0" w:color="auto"/>
                                                          </w:divBdr>
                                                        </w:div>
                                                      </w:divsChild>
                                                    </w:div>
                                                    <w:div w:id="869344795">
                                                      <w:marLeft w:val="0"/>
                                                      <w:marRight w:val="0"/>
                                                      <w:marTop w:val="0"/>
                                                      <w:marBottom w:val="0"/>
                                                      <w:divBdr>
                                                        <w:top w:val="none" w:sz="0" w:space="0" w:color="auto"/>
                                                        <w:left w:val="none" w:sz="0" w:space="0" w:color="auto"/>
                                                        <w:bottom w:val="none" w:sz="0" w:space="0" w:color="auto"/>
                                                        <w:right w:val="none" w:sz="0" w:space="0" w:color="auto"/>
                                                      </w:divBdr>
                                                      <w:divsChild>
                                                        <w:div w:id="1440292430">
                                                          <w:marLeft w:val="0"/>
                                                          <w:marRight w:val="0"/>
                                                          <w:marTop w:val="0"/>
                                                          <w:marBottom w:val="0"/>
                                                          <w:divBdr>
                                                            <w:top w:val="none" w:sz="0" w:space="0" w:color="auto"/>
                                                            <w:left w:val="none" w:sz="0" w:space="0" w:color="auto"/>
                                                            <w:bottom w:val="none" w:sz="0" w:space="0" w:color="auto"/>
                                                            <w:right w:val="none" w:sz="0" w:space="0" w:color="auto"/>
                                                          </w:divBdr>
                                                        </w:div>
                                                      </w:divsChild>
                                                    </w:div>
                                                    <w:div w:id="2029521155">
                                                      <w:marLeft w:val="0"/>
                                                      <w:marRight w:val="0"/>
                                                      <w:marTop w:val="0"/>
                                                      <w:marBottom w:val="0"/>
                                                      <w:divBdr>
                                                        <w:top w:val="none" w:sz="0" w:space="0" w:color="auto"/>
                                                        <w:left w:val="none" w:sz="0" w:space="0" w:color="auto"/>
                                                        <w:bottom w:val="none" w:sz="0" w:space="0" w:color="auto"/>
                                                        <w:right w:val="none" w:sz="0" w:space="0" w:color="auto"/>
                                                      </w:divBdr>
                                                      <w:divsChild>
                                                        <w:div w:id="469370220">
                                                          <w:marLeft w:val="0"/>
                                                          <w:marRight w:val="0"/>
                                                          <w:marTop w:val="0"/>
                                                          <w:marBottom w:val="0"/>
                                                          <w:divBdr>
                                                            <w:top w:val="none" w:sz="0" w:space="0" w:color="auto"/>
                                                            <w:left w:val="none" w:sz="0" w:space="0" w:color="auto"/>
                                                            <w:bottom w:val="none" w:sz="0" w:space="0" w:color="auto"/>
                                                            <w:right w:val="none" w:sz="0" w:space="0" w:color="auto"/>
                                                          </w:divBdr>
                                                        </w:div>
                                                      </w:divsChild>
                                                    </w:div>
                                                    <w:div w:id="2067557636">
                                                      <w:marLeft w:val="0"/>
                                                      <w:marRight w:val="0"/>
                                                      <w:marTop w:val="0"/>
                                                      <w:marBottom w:val="0"/>
                                                      <w:divBdr>
                                                        <w:top w:val="none" w:sz="0" w:space="0" w:color="auto"/>
                                                        <w:left w:val="none" w:sz="0" w:space="0" w:color="auto"/>
                                                        <w:bottom w:val="none" w:sz="0" w:space="0" w:color="auto"/>
                                                        <w:right w:val="none" w:sz="0" w:space="0" w:color="auto"/>
                                                      </w:divBdr>
                                                      <w:divsChild>
                                                        <w:div w:id="123917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0049010">
      <w:bodyDiv w:val="1"/>
      <w:marLeft w:val="0"/>
      <w:marRight w:val="0"/>
      <w:marTop w:val="0"/>
      <w:marBottom w:val="0"/>
      <w:divBdr>
        <w:top w:val="none" w:sz="0" w:space="0" w:color="auto"/>
        <w:left w:val="none" w:sz="0" w:space="0" w:color="auto"/>
        <w:bottom w:val="none" w:sz="0" w:space="0" w:color="auto"/>
        <w:right w:val="none" w:sz="0" w:space="0" w:color="auto"/>
      </w:divBdr>
      <w:divsChild>
        <w:div w:id="635255043">
          <w:marLeft w:val="0"/>
          <w:marRight w:val="0"/>
          <w:marTop w:val="0"/>
          <w:marBottom w:val="0"/>
          <w:divBdr>
            <w:top w:val="none" w:sz="0" w:space="0" w:color="auto"/>
            <w:left w:val="none" w:sz="0" w:space="0" w:color="auto"/>
            <w:bottom w:val="none" w:sz="0" w:space="0" w:color="auto"/>
            <w:right w:val="none" w:sz="0" w:space="0" w:color="auto"/>
          </w:divBdr>
          <w:divsChild>
            <w:div w:id="1239754649">
              <w:marLeft w:val="0"/>
              <w:marRight w:val="0"/>
              <w:marTop w:val="0"/>
              <w:marBottom w:val="0"/>
              <w:divBdr>
                <w:top w:val="none" w:sz="0" w:space="0" w:color="auto"/>
                <w:left w:val="none" w:sz="0" w:space="0" w:color="auto"/>
                <w:bottom w:val="none" w:sz="0" w:space="0" w:color="auto"/>
                <w:right w:val="none" w:sz="0" w:space="0" w:color="auto"/>
              </w:divBdr>
              <w:divsChild>
                <w:div w:id="1044135395">
                  <w:marLeft w:val="0"/>
                  <w:marRight w:val="0"/>
                  <w:marTop w:val="0"/>
                  <w:marBottom w:val="0"/>
                  <w:divBdr>
                    <w:top w:val="none" w:sz="0" w:space="0" w:color="auto"/>
                    <w:left w:val="none" w:sz="0" w:space="0" w:color="auto"/>
                    <w:bottom w:val="none" w:sz="0" w:space="0" w:color="auto"/>
                    <w:right w:val="none" w:sz="0" w:space="0" w:color="auto"/>
                  </w:divBdr>
                  <w:divsChild>
                    <w:div w:id="977877074">
                      <w:marLeft w:val="0"/>
                      <w:marRight w:val="0"/>
                      <w:marTop w:val="0"/>
                      <w:marBottom w:val="375"/>
                      <w:divBdr>
                        <w:top w:val="none" w:sz="0" w:space="0" w:color="auto"/>
                        <w:left w:val="none" w:sz="0" w:space="0" w:color="auto"/>
                        <w:bottom w:val="none" w:sz="0" w:space="0" w:color="auto"/>
                        <w:right w:val="none" w:sz="0" w:space="0" w:color="auto"/>
                      </w:divBdr>
                      <w:divsChild>
                        <w:div w:id="2024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210967">
      <w:bodyDiv w:val="1"/>
      <w:marLeft w:val="0"/>
      <w:marRight w:val="0"/>
      <w:marTop w:val="0"/>
      <w:marBottom w:val="0"/>
      <w:divBdr>
        <w:top w:val="none" w:sz="0" w:space="0" w:color="auto"/>
        <w:left w:val="none" w:sz="0" w:space="0" w:color="auto"/>
        <w:bottom w:val="none" w:sz="0" w:space="0" w:color="auto"/>
        <w:right w:val="none" w:sz="0" w:space="0" w:color="auto"/>
      </w:divBdr>
      <w:divsChild>
        <w:div w:id="332805750">
          <w:marLeft w:val="0"/>
          <w:marRight w:val="0"/>
          <w:marTop w:val="240"/>
          <w:marBottom w:val="0"/>
          <w:divBdr>
            <w:top w:val="none" w:sz="0" w:space="0" w:color="auto"/>
            <w:left w:val="none" w:sz="0" w:space="0" w:color="auto"/>
            <w:bottom w:val="none" w:sz="0" w:space="0" w:color="auto"/>
            <w:right w:val="none" w:sz="0" w:space="0" w:color="auto"/>
          </w:divBdr>
          <w:divsChild>
            <w:div w:id="347953045">
              <w:marLeft w:val="0"/>
              <w:marRight w:val="0"/>
              <w:marTop w:val="0"/>
              <w:marBottom w:val="0"/>
              <w:divBdr>
                <w:top w:val="none" w:sz="0" w:space="0" w:color="auto"/>
                <w:left w:val="none" w:sz="0" w:space="0" w:color="auto"/>
                <w:bottom w:val="none" w:sz="0" w:space="0" w:color="auto"/>
                <w:right w:val="none" w:sz="0" w:space="0" w:color="auto"/>
              </w:divBdr>
            </w:div>
          </w:divsChild>
        </w:div>
        <w:div w:id="1032192515">
          <w:marLeft w:val="0"/>
          <w:marRight w:val="0"/>
          <w:marTop w:val="240"/>
          <w:marBottom w:val="0"/>
          <w:divBdr>
            <w:top w:val="none" w:sz="0" w:space="0" w:color="auto"/>
            <w:left w:val="none" w:sz="0" w:space="0" w:color="auto"/>
            <w:bottom w:val="none" w:sz="0" w:space="0" w:color="auto"/>
            <w:right w:val="none" w:sz="0" w:space="0" w:color="auto"/>
          </w:divBdr>
          <w:divsChild>
            <w:div w:id="19156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1246">
      <w:bodyDiv w:val="1"/>
      <w:marLeft w:val="30"/>
      <w:marRight w:val="30"/>
      <w:marTop w:val="30"/>
      <w:marBottom w:val="30"/>
      <w:divBdr>
        <w:top w:val="none" w:sz="0" w:space="0" w:color="auto"/>
        <w:left w:val="none" w:sz="0" w:space="0" w:color="auto"/>
        <w:bottom w:val="none" w:sz="0" w:space="0" w:color="auto"/>
        <w:right w:val="none" w:sz="0" w:space="0" w:color="auto"/>
      </w:divBdr>
      <w:divsChild>
        <w:div w:id="694117324">
          <w:marLeft w:val="0"/>
          <w:marRight w:val="0"/>
          <w:marTop w:val="0"/>
          <w:marBottom w:val="0"/>
          <w:divBdr>
            <w:top w:val="none" w:sz="0" w:space="0" w:color="auto"/>
            <w:left w:val="none" w:sz="0" w:space="0" w:color="auto"/>
            <w:bottom w:val="none" w:sz="0" w:space="0" w:color="auto"/>
            <w:right w:val="none" w:sz="0" w:space="0" w:color="auto"/>
          </w:divBdr>
          <w:divsChild>
            <w:div w:id="194541174">
              <w:marLeft w:val="45"/>
              <w:marRight w:val="45"/>
              <w:marTop w:val="45"/>
              <w:marBottom w:val="45"/>
              <w:divBdr>
                <w:top w:val="none" w:sz="0" w:space="0" w:color="auto"/>
                <w:left w:val="none" w:sz="0" w:space="0" w:color="auto"/>
                <w:bottom w:val="none" w:sz="0" w:space="0" w:color="auto"/>
                <w:right w:val="none" w:sz="0" w:space="0" w:color="auto"/>
              </w:divBdr>
              <w:divsChild>
                <w:div w:id="473178712">
                  <w:marLeft w:val="0"/>
                  <w:marRight w:val="0"/>
                  <w:marTop w:val="0"/>
                  <w:marBottom w:val="0"/>
                  <w:divBdr>
                    <w:top w:val="none" w:sz="0" w:space="0" w:color="auto"/>
                    <w:left w:val="none" w:sz="0" w:space="0" w:color="auto"/>
                    <w:bottom w:val="none" w:sz="0" w:space="0" w:color="auto"/>
                    <w:right w:val="none" w:sz="0" w:space="0" w:color="auto"/>
                  </w:divBdr>
                  <w:divsChild>
                    <w:div w:id="13010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174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108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403527">
                      <w:marLeft w:val="0"/>
                      <w:marRight w:val="0"/>
                      <w:marTop w:val="0"/>
                      <w:marBottom w:val="0"/>
                      <w:divBdr>
                        <w:top w:val="none" w:sz="0" w:space="0" w:color="auto"/>
                        <w:left w:val="none" w:sz="0" w:space="0" w:color="auto"/>
                        <w:bottom w:val="none" w:sz="0" w:space="0" w:color="auto"/>
                        <w:right w:val="none" w:sz="0" w:space="0" w:color="auto"/>
                      </w:divBdr>
                    </w:div>
                    <w:div w:id="1151755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060511">
                      <w:marLeft w:val="0"/>
                      <w:marRight w:val="0"/>
                      <w:marTop w:val="0"/>
                      <w:marBottom w:val="0"/>
                      <w:divBdr>
                        <w:top w:val="none" w:sz="0" w:space="0" w:color="auto"/>
                        <w:left w:val="none" w:sz="0" w:space="0" w:color="auto"/>
                        <w:bottom w:val="none" w:sz="0" w:space="0" w:color="auto"/>
                        <w:right w:val="none" w:sz="0" w:space="0" w:color="auto"/>
                      </w:divBdr>
                    </w:div>
                    <w:div w:id="1567111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022487">
                      <w:marLeft w:val="0"/>
                      <w:marRight w:val="0"/>
                      <w:marTop w:val="0"/>
                      <w:marBottom w:val="0"/>
                      <w:divBdr>
                        <w:top w:val="none" w:sz="0" w:space="0" w:color="auto"/>
                        <w:left w:val="none" w:sz="0" w:space="0" w:color="auto"/>
                        <w:bottom w:val="none" w:sz="0" w:space="0" w:color="auto"/>
                        <w:right w:val="none" w:sz="0" w:space="0" w:color="auto"/>
                      </w:divBdr>
                    </w:div>
                    <w:div w:id="1823962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6983963">
      <w:bodyDiv w:val="1"/>
      <w:marLeft w:val="0"/>
      <w:marRight w:val="0"/>
      <w:marTop w:val="0"/>
      <w:marBottom w:val="0"/>
      <w:divBdr>
        <w:top w:val="none" w:sz="0" w:space="0" w:color="auto"/>
        <w:left w:val="none" w:sz="0" w:space="0" w:color="auto"/>
        <w:bottom w:val="none" w:sz="0" w:space="0" w:color="auto"/>
        <w:right w:val="none" w:sz="0" w:space="0" w:color="auto"/>
      </w:divBdr>
      <w:divsChild>
        <w:div w:id="673337478">
          <w:marLeft w:val="0"/>
          <w:marRight w:val="0"/>
          <w:marTop w:val="240"/>
          <w:marBottom w:val="0"/>
          <w:divBdr>
            <w:top w:val="none" w:sz="0" w:space="0" w:color="auto"/>
            <w:left w:val="none" w:sz="0" w:space="0" w:color="auto"/>
            <w:bottom w:val="none" w:sz="0" w:space="0" w:color="auto"/>
            <w:right w:val="none" w:sz="0" w:space="0" w:color="auto"/>
          </w:divBdr>
          <w:divsChild>
            <w:div w:id="1108044231">
              <w:marLeft w:val="0"/>
              <w:marRight w:val="0"/>
              <w:marTop w:val="0"/>
              <w:marBottom w:val="0"/>
              <w:divBdr>
                <w:top w:val="none" w:sz="0" w:space="0" w:color="auto"/>
                <w:left w:val="none" w:sz="0" w:space="0" w:color="auto"/>
                <w:bottom w:val="none" w:sz="0" w:space="0" w:color="auto"/>
                <w:right w:val="none" w:sz="0" w:space="0" w:color="auto"/>
              </w:divBdr>
            </w:div>
          </w:divsChild>
        </w:div>
        <w:div w:id="814761283">
          <w:marLeft w:val="0"/>
          <w:marRight w:val="0"/>
          <w:marTop w:val="240"/>
          <w:marBottom w:val="0"/>
          <w:divBdr>
            <w:top w:val="none" w:sz="0" w:space="0" w:color="auto"/>
            <w:left w:val="none" w:sz="0" w:space="0" w:color="auto"/>
            <w:bottom w:val="none" w:sz="0" w:space="0" w:color="auto"/>
            <w:right w:val="none" w:sz="0" w:space="0" w:color="auto"/>
          </w:divBdr>
          <w:divsChild>
            <w:div w:id="1267421261">
              <w:marLeft w:val="0"/>
              <w:marRight w:val="0"/>
              <w:marTop w:val="0"/>
              <w:marBottom w:val="0"/>
              <w:divBdr>
                <w:top w:val="none" w:sz="0" w:space="0" w:color="auto"/>
                <w:left w:val="none" w:sz="0" w:space="0" w:color="auto"/>
                <w:bottom w:val="none" w:sz="0" w:space="0" w:color="auto"/>
                <w:right w:val="none" w:sz="0" w:space="0" w:color="auto"/>
              </w:divBdr>
            </w:div>
          </w:divsChild>
        </w:div>
        <w:div w:id="837425232">
          <w:marLeft w:val="0"/>
          <w:marRight w:val="0"/>
          <w:marTop w:val="240"/>
          <w:marBottom w:val="0"/>
          <w:divBdr>
            <w:top w:val="none" w:sz="0" w:space="0" w:color="auto"/>
            <w:left w:val="none" w:sz="0" w:space="0" w:color="auto"/>
            <w:bottom w:val="none" w:sz="0" w:space="0" w:color="auto"/>
            <w:right w:val="none" w:sz="0" w:space="0" w:color="auto"/>
          </w:divBdr>
          <w:divsChild>
            <w:div w:id="478499914">
              <w:marLeft w:val="0"/>
              <w:marRight w:val="0"/>
              <w:marTop w:val="0"/>
              <w:marBottom w:val="0"/>
              <w:divBdr>
                <w:top w:val="none" w:sz="0" w:space="0" w:color="auto"/>
                <w:left w:val="none" w:sz="0" w:space="0" w:color="auto"/>
                <w:bottom w:val="none" w:sz="0" w:space="0" w:color="auto"/>
                <w:right w:val="none" w:sz="0" w:space="0" w:color="auto"/>
              </w:divBdr>
            </w:div>
          </w:divsChild>
        </w:div>
        <w:div w:id="1121846354">
          <w:marLeft w:val="0"/>
          <w:marRight w:val="0"/>
          <w:marTop w:val="240"/>
          <w:marBottom w:val="0"/>
          <w:divBdr>
            <w:top w:val="none" w:sz="0" w:space="0" w:color="auto"/>
            <w:left w:val="none" w:sz="0" w:space="0" w:color="auto"/>
            <w:bottom w:val="none" w:sz="0" w:space="0" w:color="auto"/>
            <w:right w:val="none" w:sz="0" w:space="0" w:color="auto"/>
          </w:divBdr>
          <w:divsChild>
            <w:div w:id="709763463">
              <w:marLeft w:val="0"/>
              <w:marRight w:val="0"/>
              <w:marTop w:val="0"/>
              <w:marBottom w:val="0"/>
              <w:divBdr>
                <w:top w:val="none" w:sz="0" w:space="0" w:color="auto"/>
                <w:left w:val="none" w:sz="0" w:space="0" w:color="auto"/>
                <w:bottom w:val="none" w:sz="0" w:space="0" w:color="auto"/>
                <w:right w:val="none" w:sz="0" w:space="0" w:color="auto"/>
              </w:divBdr>
            </w:div>
          </w:divsChild>
        </w:div>
        <w:div w:id="1493790906">
          <w:marLeft w:val="0"/>
          <w:marRight w:val="0"/>
          <w:marTop w:val="240"/>
          <w:marBottom w:val="0"/>
          <w:divBdr>
            <w:top w:val="none" w:sz="0" w:space="0" w:color="auto"/>
            <w:left w:val="none" w:sz="0" w:space="0" w:color="auto"/>
            <w:bottom w:val="none" w:sz="0" w:space="0" w:color="auto"/>
            <w:right w:val="none" w:sz="0" w:space="0" w:color="auto"/>
          </w:divBdr>
          <w:divsChild>
            <w:div w:id="989364078">
              <w:marLeft w:val="0"/>
              <w:marRight w:val="0"/>
              <w:marTop w:val="0"/>
              <w:marBottom w:val="0"/>
              <w:divBdr>
                <w:top w:val="none" w:sz="0" w:space="0" w:color="auto"/>
                <w:left w:val="none" w:sz="0" w:space="0" w:color="auto"/>
                <w:bottom w:val="none" w:sz="0" w:space="0" w:color="auto"/>
                <w:right w:val="none" w:sz="0" w:space="0" w:color="auto"/>
              </w:divBdr>
            </w:div>
          </w:divsChild>
        </w:div>
        <w:div w:id="1620601053">
          <w:marLeft w:val="0"/>
          <w:marRight w:val="0"/>
          <w:marTop w:val="240"/>
          <w:marBottom w:val="0"/>
          <w:divBdr>
            <w:top w:val="none" w:sz="0" w:space="0" w:color="auto"/>
            <w:left w:val="none" w:sz="0" w:space="0" w:color="auto"/>
            <w:bottom w:val="none" w:sz="0" w:space="0" w:color="auto"/>
            <w:right w:val="none" w:sz="0" w:space="0" w:color="auto"/>
          </w:divBdr>
          <w:divsChild>
            <w:div w:id="914432995">
              <w:marLeft w:val="0"/>
              <w:marRight w:val="0"/>
              <w:marTop w:val="0"/>
              <w:marBottom w:val="0"/>
              <w:divBdr>
                <w:top w:val="none" w:sz="0" w:space="0" w:color="auto"/>
                <w:left w:val="none" w:sz="0" w:space="0" w:color="auto"/>
                <w:bottom w:val="none" w:sz="0" w:space="0" w:color="auto"/>
                <w:right w:val="none" w:sz="0" w:space="0" w:color="auto"/>
              </w:divBdr>
            </w:div>
            <w:div w:id="1734963764">
              <w:marLeft w:val="0"/>
              <w:marRight w:val="0"/>
              <w:marTop w:val="240"/>
              <w:marBottom w:val="0"/>
              <w:divBdr>
                <w:top w:val="none" w:sz="0" w:space="0" w:color="auto"/>
                <w:left w:val="none" w:sz="0" w:space="0" w:color="auto"/>
                <w:bottom w:val="none" w:sz="0" w:space="0" w:color="auto"/>
                <w:right w:val="none" w:sz="0" w:space="0" w:color="auto"/>
              </w:divBdr>
              <w:divsChild>
                <w:div w:id="1861508228">
                  <w:marLeft w:val="0"/>
                  <w:marRight w:val="0"/>
                  <w:marTop w:val="0"/>
                  <w:marBottom w:val="0"/>
                  <w:divBdr>
                    <w:top w:val="none" w:sz="0" w:space="0" w:color="auto"/>
                    <w:left w:val="none" w:sz="0" w:space="0" w:color="auto"/>
                    <w:bottom w:val="none" w:sz="0" w:space="0" w:color="auto"/>
                    <w:right w:val="none" w:sz="0" w:space="0" w:color="auto"/>
                  </w:divBdr>
                  <w:divsChild>
                    <w:div w:id="301889173">
                      <w:blockQuote w:val="1"/>
                      <w:marLeft w:val="0"/>
                      <w:marRight w:val="0"/>
                      <w:marTop w:val="0"/>
                      <w:marBottom w:val="0"/>
                      <w:divBdr>
                        <w:top w:val="none" w:sz="0" w:space="0" w:color="auto"/>
                        <w:left w:val="none" w:sz="0" w:space="0" w:color="auto"/>
                        <w:bottom w:val="none" w:sz="0" w:space="0" w:color="auto"/>
                        <w:right w:val="none" w:sz="0" w:space="0" w:color="auto"/>
                      </w:divBdr>
                      <w:divsChild>
                        <w:div w:id="11284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614332">
      <w:bodyDiv w:val="1"/>
      <w:marLeft w:val="0"/>
      <w:marRight w:val="0"/>
      <w:marTop w:val="0"/>
      <w:marBottom w:val="0"/>
      <w:divBdr>
        <w:top w:val="none" w:sz="0" w:space="0" w:color="auto"/>
        <w:left w:val="none" w:sz="0" w:space="0" w:color="auto"/>
        <w:bottom w:val="none" w:sz="0" w:space="0" w:color="auto"/>
        <w:right w:val="none" w:sz="0" w:space="0" w:color="auto"/>
      </w:divBdr>
    </w:div>
    <w:div w:id="871265546">
      <w:bodyDiv w:val="1"/>
      <w:marLeft w:val="0"/>
      <w:marRight w:val="0"/>
      <w:marTop w:val="0"/>
      <w:marBottom w:val="0"/>
      <w:divBdr>
        <w:top w:val="none" w:sz="0" w:space="0" w:color="auto"/>
        <w:left w:val="none" w:sz="0" w:space="0" w:color="auto"/>
        <w:bottom w:val="none" w:sz="0" w:space="0" w:color="auto"/>
        <w:right w:val="none" w:sz="0" w:space="0" w:color="auto"/>
      </w:divBdr>
      <w:divsChild>
        <w:div w:id="499077160">
          <w:marLeft w:val="0"/>
          <w:marRight w:val="0"/>
          <w:marTop w:val="0"/>
          <w:marBottom w:val="0"/>
          <w:divBdr>
            <w:top w:val="none" w:sz="0" w:space="0" w:color="auto"/>
            <w:left w:val="none" w:sz="0" w:space="0" w:color="auto"/>
            <w:bottom w:val="none" w:sz="0" w:space="0" w:color="auto"/>
            <w:right w:val="none" w:sz="0" w:space="0" w:color="auto"/>
          </w:divBdr>
          <w:divsChild>
            <w:div w:id="1958245985">
              <w:marLeft w:val="0"/>
              <w:marRight w:val="0"/>
              <w:marTop w:val="0"/>
              <w:marBottom w:val="0"/>
              <w:divBdr>
                <w:top w:val="none" w:sz="0" w:space="0" w:color="auto"/>
                <w:left w:val="none" w:sz="0" w:space="0" w:color="auto"/>
                <w:bottom w:val="none" w:sz="0" w:space="0" w:color="auto"/>
                <w:right w:val="none" w:sz="0" w:space="0" w:color="auto"/>
              </w:divBdr>
              <w:divsChild>
                <w:div w:id="1403674283">
                  <w:marLeft w:val="0"/>
                  <w:marRight w:val="0"/>
                  <w:marTop w:val="0"/>
                  <w:marBottom w:val="0"/>
                  <w:divBdr>
                    <w:top w:val="none" w:sz="0" w:space="0" w:color="auto"/>
                    <w:left w:val="none" w:sz="0" w:space="0" w:color="auto"/>
                    <w:bottom w:val="none" w:sz="0" w:space="0" w:color="auto"/>
                    <w:right w:val="none" w:sz="0" w:space="0" w:color="auto"/>
                  </w:divBdr>
                  <w:divsChild>
                    <w:div w:id="1084763308">
                      <w:marLeft w:val="0"/>
                      <w:marRight w:val="0"/>
                      <w:marTop w:val="0"/>
                      <w:marBottom w:val="375"/>
                      <w:divBdr>
                        <w:top w:val="none" w:sz="0" w:space="0" w:color="auto"/>
                        <w:left w:val="none" w:sz="0" w:space="0" w:color="auto"/>
                        <w:bottom w:val="none" w:sz="0" w:space="0" w:color="auto"/>
                        <w:right w:val="none" w:sz="0" w:space="0" w:color="auto"/>
                      </w:divBdr>
                      <w:divsChild>
                        <w:div w:id="74869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225825">
      <w:bodyDiv w:val="1"/>
      <w:marLeft w:val="30"/>
      <w:marRight w:val="30"/>
      <w:marTop w:val="30"/>
      <w:marBottom w:val="30"/>
      <w:divBdr>
        <w:top w:val="none" w:sz="0" w:space="0" w:color="auto"/>
        <w:left w:val="none" w:sz="0" w:space="0" w:color="auto"/>
        <w:bottom w:val="none" w:sz="0" w:space="0" w:color="auto"/>
        <w:right w:val="none" w:sz="0" w:space="0" w:color="auto"/>
      </w:divBdr>
      <w:divsChild>
        <w:div w:id="1427112434">
          <w:marLeft w:val="0"/>
          <w:marRight w:val="0"/>
          <w:marTop w:val="0"/>
          <w:marBottom w:val="0"/>
          <w:divBdr>
            <w:top w:val="none" w:sz="0" w:space="0" w:color="auto"/>
            <w:left w:val="none" w:sz="0" w:space="0" w:color="auto"/>
            <w:bottom w:val="none" w:sz="0" w:space="0" w:color="auto"/>
            <w:right w:val="none" w:sz="0" w:space="0" w:color="auto"/>
          </w:divBdr>
          <w:divsChild>
            <w:div w:id="214851303">
              <w:marLeft w:val="45"/>
              <w:marRight w:val="45"/>
              <w:marTop w:val="45"/>
              <w:marBottom w:val="45"/>
              <w:divBdr>
                <w:top w:val="none" w:sz="0" w:space="0" w:color="auto"/>
                <w:left w:val="none" w:sz="0" w:space="0" w:color="auto"/>
                <w:bottom w:val="none" w:sz="0" w:space="0" w:color="auto"/>
                <w:right w:val="none" w:sz="0" w:space="0" w:color="auto"/>
              </w:divBdr>
              <w:divsChild>
                <w:div w:id="801852381">
                  <w:marLeft w:val="0"/>
                  <w:marRight w:val="0"/>
                  <w:marTop w:val="0"/>
                  <w:marBottom w:val="0"/>
                  <w:divBdr>
                    <w:top w:val="none" w:sz="0" w:space="0" w:color="auto"/>
                    <w:left w:val="none" w:sz="0" w:space="0" w:color="auto"/>
                    <w:bottom w:val="none" w:sz="0" w:space="0" w:color="auto"/>
                    <w:right w:val="none" w:sz="0" w:space="0" w:color="auto"/>
                  </w:divBdr>
                  <w:divsChild>
                    <w:div w:id="55207560">
                      <w:marLeft w:val="180"/>
                      <w:marRight w:val="0"/>
                      <w:marTop w:val="0"/>
                      <w:marBottom w:val="0"/>
                      <w:divBdr>
                        <w:top w:val="none" w:sz="0" w:space="0" w:color="auto"/>
                        <w:left w:val="none" w:sz="0" w:space="0" w:color="auto"/>
                        <w:bottom w:val="none" w:sz="0" w:space="0" w:color="auto"/>
                        <w:right w:val="none" w:sz="0" w:space="0" w:color="auto"/>
                      </w:divBdr>
                    </w:div>
                    <w:div w:id="73747068">
                      <w:marLeft w:val="180"/>
                      <w:marRight w:val="0"/>
                      <w:marTop w:val="0"/>
                      <w:marBottom w:val="0"/>
                      <w:divBdr>
                        <w:top w:val="none" w:sz="0" w:space="0" w:color="auto"/>
                        <w:left w:val="none" w:sz="0" w:space="0" w:color="auto"/>
                        <w:bottom w:val="none" w:sz="0" w:space="0" w:color="auto"/>
                        <w:right w:val="none" w:sz="0" w:space="0" w:color="auto"/>
                      </w:divBdr>
                    </w:div>
                    <w:div w:id="81881210">
                      <w:marLeft w:val="180"/>
                      <w:marRight w:val="0"/>
                      <w:marTop w:val="0"/>
                      <w:marBottom w:val="0"/>
                      <w:divBdr>
                        <w:top w:val="none" w:sz="0" w:space="0" w:color="auto"/>
                        <w:left w:val="none" w:sz="0" w:space="0" w:color="auto"/>
                        <w:bottom w:val="none" w:sz="0" w:space="0" w:color="auto"/>
                        <w:right w:val="none" w:sz="0" w:space="0" w:color="auto"/>
                      </w:divBdr>
                    </w:div>
                    <w:div w:id="302080566">
                      <w:marLeft w:val="180"/>
                      <w:marRight w:val="0"/>
                      <w:marTop w:val="0"/>
                      <w:marBottom w:val="0"/>
                      <w:divBdr>
                        <w:top w:val="none" w:sz="0" w:space="0" w:color="auto"/>
                        <w:left w:val="none" w:sz="0" w:space="0" w:color="auto"/>
                        <w:bottom w:val="none" w:sz="0" w:space="0" w:color="auto"/>
                        <w:right w:val="none" w:sz="0" w:space="0" w:color="auto"/>
                      </w:divBdr>
                    </w:div>
                    <w:div w:id="136120209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632452">
      <w:bodyDiv w:val="1"/>
      <w:marLeft w:val="0"/>
      <w:marRight w:val="0"/>
      <w:marTop w:val="0"/>
      <w:marBottom w:val="0"/>
      <w:divBdr>
        <w:top w:val="none" w:sz="0" w:space="0" w:color="auto"/>
        <w:left w:val="none" w:sz="0" w:space="0" w:color="auto"/>
        <w:bottom w:val="none" w:sz="0" w:space="0" w:color="auto"/>
        <w:right w:val="none" w:sz="0" w:space="0" w:color="auto"/>
      </w:divBdr>
      <w:divsChild>
        <w:div w:id="429858639">
          <w:marLeft w:val="0"/>
          <w:marRight w:val="0"/>
          <w:marTop w:val="0"/>
          <w:marBottom w:val="0"/>
          <w:divBdr>
            <w:top w:val="none" w:sz="0" w:space="0" w:color="auto"/>
            <w:left w:val="single" w:sz="6" w:space="0" w:color="BBBBBB"/>
            <w:bottom w:val="single" w:sz="6" w:space="0" w:color="BBBBBB"/>
            <w:right w:val="single" w:sz="6" w:space="0" w:color="BBBBBB"/>
          </w:divBdr>
          <w:divsChild>
            <w:div w:id="2132237956">
              <w:marLeft w:val="0"/>
              <w:marRight w:val="0"/>
              <w:marTop w:val="0"/>
              <w:marBottom w:val="0"/>
              <w:divBdr>
                <w:top w:val="none" w:sz="0" w:space="0" w:color="auto"/>
                <w:left w:val="none" w:sz="0" w:space="0" w:color="auto"/>
                <w:bottom w:val="none" w:sz="0" w:space="0" w:color="auto"/>
                <w:right w:val="none" w:sz="0" w:space="0" w:color="auto"/>
              </w:divBdr>
              <w:divsChild>
                <w:div w:id="1884974231">
                  <w:marLeft w:val="0"/>
                  <w:marRight w:val="0"/>
                  <w:marTop w:val="75"/>
                  <w:marBottom w:val="0"/>
                  <w:divBdr>
                    <w:top w:val="none" w:sz="0" w:space="0" w:color="auto"/>
                    <w:left w:val="none" w:sz="0" w:space="0" w:color="auto"/>
                    <w:bottom w:val="none" w:sz="0" w:space="0" w:color="auto"/>
                    <w:right w:val="none" w:sz="0" w:space="0" w:color="auto"/>
                  </w:divBdr>
                  <w:divsChild>
                    <w:div w:id="1206987265">
                      <w:marLeft w:val="0"/>
                      <w:marRight w:val="0"/>
                      <w:marTop w:val="0"/>
                      <w:marBottom w:val="0"/>
                      <w:divBdr>
                        <w:top w:val="none" w:sz="0" w:space="0" w:color="auto"/>
                        <w:left w:val="none" w:sz="0" w:space="0" w:color="auto"/>
                        <w:bottom w:val="none" w:sz="0" w:space="0" w:color="auto"/>
                        <w:right w:val="none" w:sz="0" w:space="0" w:color="auto"/>
                      </w:divBdr>
                      <w:divsChild>
                        <w:div w:id="871917570">
                          <w:marLeft w:val="0"/>
                          <w:marRight w:val="0"/>
                          <w:marTop w:val="0"/>
                          <w:marBottom w:val="0"/>
                          <w:divBdr>
                            <w:top w:val="none" w:sz="0" w:space="0" w:color="auto"/>
                            <w:left w:val="none" w:sz="0" w:space="0" w:color="auto"/>
                            <w:bottom w:val="none" w:sz="0" w:space="0" w:color="auto"/>
                            <w:right w:val="none" w:sz="0" w:space="0" w:color="auto"/>
                          </w:divBdr>
                          <w:divsChild>
                            <w:div w:id="1843887187">
                              <w:marLeft w:val="0"/>
                              <w:marRight w:val="0"/>
                              <w:marTop w:val="0"/>
                              <w:marBottom w:val="0"/>
                              <w:divBdr>
                                <w:top w:val="none" w:sz="0" w:space="0" w:color="auto"/>
                                <w:left w:val="none" w:sz="0" w:space="0" w:color="auto"/>
                                <w:bottom w:val="none" w:sz="0" w:space="0" w:color="auto"/>
                                <w:right w:val="none" w:sz="0" w:space="0" w:color="auto"/>
                              </w:divBdr>
                              <w:divsChild>
                                <w:div w:id="1939022032">
                                  <w:marLeft w:val="0"/>
                                  <w:marRight w:val="0"/>
                                  <w:marTop w:val="0"/>
                                  <w:marBottom w:val="0"/>
                                  <w:divBdr>
                                    <w:top w:val="none" w:sz="0" w:space="0" w:color="auto"/>
                                    <w:left w:val="none" w:sz="0" w:space="0" w:color="auto"/>
                                    <w:bottom w:val="none" w:sz="0" w:space="0" w:color="auto"/>
                                    <w:right w:val="none" w:sz="0" w:space="0" w:color="auto"/>
                                  </w:divBdr>
                                  <w:divsChild>
                                    <w:div w:id="384765082">
                                      <w:marLeft w:val="0"/>
                                      <w:marRight w:val="0"/>
                                      <w:marTop w:val="0"/>
                                      <w:marBottom w:val="0"/>
                                      <w:divBdr>
                                        <w:top w:val="none" w:sz="0" w:space="0" w:color="auto"/>
                                        <w:left w:val="none" w:sz="0" w:space="0" w:color="auto"/>
                                        <w:bottom w:val="none" w:sz="0" w:space="0" w:color="auto"/>
                                        <w:right w:val="none" w:sz="0" w:space="0" w:color="auto"/>
                                      </w:divBdr>
                                      <w:divsChild>
                                        <w:div w:id="981421893">
                                          <w:marLeft w:val="1200"/>
                                          <w:marRight w:val="1200"/>
                                          <w:marTop w:val="0"/>
                                          <w:marBottom w:val="0"/>
                                          <w:divBdr>
                                            <w:top w:val="none" w:sz="0" w:space="0" w:color="auto"/>
                                            <w:left w:val="none" w:sz="0" w:space="0" w:color="auto"/>
                                            <w:bottom w:val="none" w:sz="0" w:space="0" w:color="auto"/>
                                            <w:right w:val="none" w:sz="0" w:space="0" w:color="auto"/>
                                          </w:divBdr>
                                          <w:divsChild>
                                            <w:div w:id="1693454572">
                                              <w:marLeft w:val="0"/>
                                              <w:marRight w:val="0"/>
                                              <w:marTop w:val="0"/>
                                              <w:marBottom w:val="0"/>
                                              <w:divBdr>
                                                <w:top w:val="none" w:sz="0" w:space="0" w:color="auto"/>
                                                <w:left w:val="none" w:sz="0" w:space="0" w:color="auto"/>
                                                <w:bottom w:val="none" w:sz="0" w:space="0" w:color="auto"/>
                                                <w:right w:val="none" w:sz="0" w:space="0" w:color="auto"/>
                                              </w:divBdr>
                                              <w:divsChild>
                                                <w:div w:id="1699893316">
                                                  <w:marLeft w:val="0"/>
                                                  <w:marRight w:val="0"/>
                                                  <w:marTop w:val="0"/>
                                                  <w:marBottom w:val="0"/>
                                                  <w:divBdr>
                                                    <w:top w:val="none" w:sz="0" w:space="0" w:color="auto"/>
                                                    <w:left w:val="none" w:sz="0" w:space="0" w:color="auto"/>
                                                    <w:bottom w:val="none" w:sz="0" w:space="0" w:color="auto"/>
                                                    <w:right w:val="none" w:sz="0" w:space="0" w:color="auto"/>
                                                  </w:divBdr>
                                                  <w:divsChild>
                                                    <w:div w:id="23025442">
                                                      <w:marLeft w:val="0"/>
                                                      <w:marRight w:val="0"/>
                                                      <w:marTop w:val="0"/>
                                                      <w:marBottom w:val="0"/>
                                                      <w:divBdr>
                                                        <w:top w:val="none" w:sz="0" w:space="0" w:color="auto"/>
                                                        <w:left w:val="none" w:sz="0" w:space="0" w:color="auto"/>
                                                        <w:bottom w:val="none" w:sz="0" w:space="0" w:color="auto"/>
                                                        <w:right w:val="none" w:sz="0" w:space="0" w:color="auto"/>
                                                      </w:divBdr>
                                                      <w:divsChild>
                                                        <w:div w:id="483278739">
                                                          <w:marLeft w:val="0"/>
                                                          <w:marRight w:val="0"/>
                                                          <w:marTop w:val="0"/>
                                                          <w:marBottom w:val="0"/>
                                                          <w:divBdr>
                                                            <w:top w:val="none" w:sz="0" w:space="0" w:color="auto"/>
                                                            <w:left w:val="none" w:sz="0" w:space="0" w:color="auto"/>
                                                            <w:bottom w:val="none" w:sz="0" w:space="0" w:color="auto"/>
                                                            <w:right w:val="none" w:sz="0" w:space="0" w:color="auto"/>
                                                          </w:divBdr>
                                                          <w:divsChild>
                                                            <w:div w:id="1168712477">
                                                              <w:marLeft w:val="0"/>
                                                              <w:marRight w:val="0"/>
                                                              <w:marTop w:val="0"/>
                                                              <w:marBottom w:val="0"/>
                                                              <w:divBdr>
                                                                <w:top w:val="none" w:sz="0" w:space="0" w:color="auto"/>
                                                                <w:left w:val="none" w:sz="0" w:space="0" w:color="auto"/>
                                                                <w:bottom w:val="none" w:sz="0" w:space="0" w:color="auto"/>
                                                                <w:right w:val="none" w:sz="0" w:space="0" w:color="auto"/>
                                                              </w:divBdr>
                                                              <w:divsChild>
                                                                <w:div w:id="671302342">
                                                                  <w:marLeft w:val="0"/>
                                                                  <w:marRight w:val="0"/>
                                                                  <w:marTop w:val="0"/>
                                                                  <w:marBottom w:val="0"/>
                                                                  <w:divBdr>
                                                                    <w:top w:val="none" w:sz="0" w:space="0" w:color="auto"/>
                                                                    <w:left w:val="none" w:sz="0" w:space="0" w:color="auto"/>
                                                                    <w:bottom w:val="none" w:sz="0" w:space="0" w:color="auto"/>
                                                                    <w:right w:val="none" w:sz="0" w:space="0" w:color="auto"/>
                                                                  </w:divBdr>
                                                                  <w:divsChild>
                                                                    <w:div w:id="34431264">
                                                                      <w:marLeft w:val="0"/>
                                                                      <w:marRight w:val="0"/>
                                                                      <w:marTop w:val="0"/>
                                                                      <w:marBottom w:val="0"/>
                                                                      <w:divBdr>
                                                                        <w:top w:val="none" w:sz="0" w:space="0" w:color="auto"/>
                                                                        <w:left w:val="none" w:sz="0" w:space="0" w:color="auto"/>
                                                                        <w:bottom w:val="none" w:sz="0" w:space="0" w:color="auto"/>
                                                                        <w:right w:val="none" w:sz="0" w:space="0" w:color="auto"/>
                                                                      </w:divBdr>
                                                                      <w:divsChild>
                                                                        <w:div w:id="1247108633">
                                                                          <w:marLeft w:val="0"/>
                                                                          <w:marRight w:val="0"/>
                                                                          <w:marTop w:val="0"/>
                                                                          <w:marBottom w:val="0"/>
                                                                          <w:divBdr>
                                                                            <w:top w:val="none" w:sz="0" w:space="0" w:color="auto"/>
                                                                            <w:left w:val="none" w:sz="0" w:space="0" w:color="auto"/>
                                                                            <w:bottom w:val="none" w:sz="0" w:space="0" w:color="auto"/>
                                                                            <w:right w:val="none" w:sz="0" w:space="0" w:color="auto"/>
                                                                          </w:divBdr>
                                                                        </w:div>
                                                                      </w:divsChild>
                                                                    </w:div>
                                                                    <w:div w:id="153689960">
                                                                      <w:marLeft w:val="0"/>
                                                                      <w:marRight w:val="0"/>
                                                                      <w:marTop w:val="0"/>
                                                                      <w:marBottom w:val="0"/>
                                                                      <w:divBdr>
                                                                        <w:top w:val="none" w:sz="0" w:space="0" w:color="auto"/>
                                                                        <w:left w:val="none" w:sz="0" w:space="0" w:color="auto"/>
                                                                        <w:bottom w:val="none" w:sz="0" w:space="0" w:color="auto"/>
                                                                        <w:right w:val="none" w:sz="0" w:space="0" w:color="auto"/>
                                                                      </w:divBdr>
                                                                      <w:divsChild>
                                                                        <w:div w:id="764889090">
                                                                          <w:marLeft w:val="0"/>
                                                                          <w:marRight w:val="0"/>
                                                                          <w:marTop w:val="0"/>
                                                                          <w:marBottom w:val="0"/>
                                                                          <w:divBdr>
                                                                            <w:top w:val="none" w:sz="0" w:space="0" w:color="auto"/>
                                                                            <w:left w:val="none" w:sz="0" w:space="0" w:color="auto"/>
                                                                            <w:bottom w:val="none" w:sz="0" w:space="0" w:color="auto"/>
                                                                            <w:right w:val="none" w:sz="0" w:space="0" w:color="auto"/>
                                                                          </w:divBdr>
                                                                        </w:div>
                                                                      </w:divsChild>
                                                                    </w:div>
                                                                    <w:div w:id="649602436">
                                                                      <w:marLeft w:val="0"/>
                                                                      <w:marRight w:val="0"/>
                                                                      <w:marTop w:val="0"/>
                                                                      <w:marBottom w:val="0"/>
                                                                      <w:divBdr>
                                                                        <w:top w:val="none" w:sz="0" w:space="0" w:color="auto"/>
                                                                        <w:left w:val="none" w:sz="0" w:space="0" w:color="auto"/>
                                                                        <w:bottom w:val="none" w:sz="0" w:space="0" w:color="auto"/>
                                                                        <w:right w:val="none" w:sz="0" w:space="0" w:color="auto"/>
                                                                      </w:divBdr>
                                                                      <w:divsChild>
                                                                        <w:div w:id="254827497">
                                                                          <w:marLeft w:val="0"/>
                                                                          <w:marRight w:val="0"/>
                                                                          <w:marTop w:val="0"/>
                                                                          <w:marBottom w:val="0"/>
                                                                          <w:divBdr>
                                                                            <w:top w:val="none" w:sz="0" w:space="0" w:color="auto"/>
                                                                            <w:left w:val="none" w:sz="0" w:space="0" w:color="auto"/>
                                                                            <w:bottom w:val="none" w:sz="0" w:space="0" w:color="auto"/>
                                                                            <w:right w:val="none" w:sz="0" w:space="0" w:color="auto"/>
                                                                          </w:divBdr>
                                                                        </w:div>
                                                                      </w:divsChild>
                                                                    </w:div>
                                                                    <w:div w:id="885528512">
                                                                      <w:marLeft w:val="0"/>
                                                                      <w:marRight w:val="0"/>
                                                                      <w:marTop w:val="0"/>
                                                                      <w:marBottom w:val="0"/>
                                                                      <w:divBdr>
                                                                        <w:top w:val="none" w:sz="0" w:space="0" w:color="auto"/>
                                                                        <w:left w:val="none" w:sz="0" w:space="0" w:color="auto"/>
                                                                        <w:bottom w:val="none" w:sz="0" w:space="0" w:color="auto"/>
                                                                        <w:right w:val="none" w:sz="0" w:space="0" w:color="auto"/>
                                                                      </w:divBdr>
                                                                      <w:divsChild>
                                                                        <w:div w:id="32929541">
                                                                          <w:marLeft w:val="0"/>
                                                                          <w:marRight w:val="0"/>
                                                                          <w:marTop w:val="0"/>
                                                                          <w:marBottom w:val="0"/>
                                                                          <w:divBdr>
                                                                            <w:top w:val="none" w:sz="0" w:space="0" w:color="auto"/>
                                                                            <w:left w:val="none" w:sz="0" w:space="0" w:color="auto"/>
                                                                            <w:bottom w:val="none" w:sz="0" w:space="0" w:color="auto"/>
                                                                            <w:right w:val="none" w:sz="0" w:space="0" w:color="auto"/>
                                                                          </w:divBdr>
                                                                        </w:div>
                                                                      </w:divsChild>
                                                                    </w:div>
                                                                    <w:div w:id="1454904982">
                                                                      <w:marLeft w:val="0"/>
                                                                      <w:marRight w:val="0"/>
                                                                      <w:marTop w:val="0"/>
                                                                      <w:marBottom w:val="0"/>
                                                                      <w:divBdr>
                                                                        <w:top w:val="none" w:sz="0" w:space="0" w:color="auto"/>
                                                                        <w:left w:val="none" w:sz="0" w:space="0" w:color="auto"/>
                                                                        <w:bottom w:val="none" w:sz="0" w:space="0" w:color="auto"/>
                                                                        <w:right w:val="none" w:sz="0" w:space="0" w:color="auto"/>
                                                                      </w:divBdr>
                                                                      <w:divsChild>
                                                                        <w:div w:id="2029137955">
                                                                          <w:marLeft w:val="0"/>
                                                                          <w:marRight w:val="0"/>
                                                                          <w:marTop w:val="0"/>
                                                                          <w:marBottom w:val="0"/>
                                                                          <w:divBdr>
                                                                            <w:top w:val="none" w:sz="0" w:space="0" w:color="auto"/>
                                                                            <w:left w:val="none" w:sz="0" w:space="0" w:color="auto"/>
                                                                            <w:bottom w:val="none" w:sz="0" w:space="0" w:color="auto"/>
                                                                            <w:right w:val="none" w:sz="0" w:space="0" w:color="auto"/>
                                                                          </w:divBdr>
                                                                        </w:div>
                                                                      </w:divsChild>
                                                                    </w:div>
                                                                    <w:div w:id="2134247378">
                                                                      <w:marLeft w:val="0"/>
                                                                      <w:marRight w:val="0"/>
                                                                      <w:marTop w:val="240"/>
                                                                      <w:marBottom w:val="0"/>
                                                                      <w:divBdr>
                                                                        <w:top w:val="none" w:sz="0" w:space="0" w:color="auto"/>
                                                                        <w:left w:val="none" w:sz="0" w:space="0" w:color="auto"/>
                                                                        <w:bottom w:val="none" w:sz="0" w:space="0" w:color="auto"/>
                                                                        <w:right w:val="none" w:sz="0" w:space="0" w:color="auto"/>
                                                                      </w:divBdr>
                                                                    </w:div>
                                                                  </w:divsChild>
                                                                </w:div>
                                                                <w:div w:id="1726293678">
                                                                  <w:marLeft w:val="0"/>
                                                                  <w:marRight w:val="0"/>
                                                                  <w:marTop w:val="0"/>
                                                                  <w:marBottom w:val="0"/>
                                                                  <w:divBdr>
                                                                    <w:top w:val="none" w:sz="0" w:space="0" w:color="auto"/>
                                                                    <w:left w:val="none" w:sz="0" w:space="0" w:color="auto"/>
                                                                    <w:bottom w:val="none" w:sz="0" w:space="0" w:color="auto"/>
                                                                    <w:right w:val="none" w:sz="0" w:space="0" w:color="auto"/>
                                                                  </w:divBdr>
                                                                  <w:divsChild>
                                                                    <w:div w:id="1072463411">
                                                                      <w:marLeft w:val="0"/>
                                                                      <w:marRight w:val="0"/>
                                                                      <w:marTop w:val="0"/>
                                                                      <w:marBottom w:val="0"/>
                                                                      <w:divBdr>
                                                                        <w:top w:val="none" w:sz="0" w:space="0" w:color="auto"/>
                                                                        <w:left w:val="none" w:sz="0" w:space="0" w:color="auto"/>
                                                                        <w:bottom w:val="none" w:sz="0" w:space="0" w:color="auto"/>
                                                                        <w:right w:val="none" w:sz="0" w:space="0" w:color="auto"/>
                                                                      </w:divBdr>
                                                                      <w:divsChild>
                                                                        <w:div w:id="494147621">
                                                                          <w:marLeft w:val="0"/>
                                                                          <w:marRight w:val="0"/>
                                                                          <w:marTop w:val="0"/>
                                                                          <w:marBottom w:val="0"/>
                                                                          <w:divBdr>
                                                                            <w:top w:val="none" w:sz="0" w:space="0" w:color="auto"/>
                                                                            <w:left w:val="none" w:sz="0" w:space="0" w:color="auto"/>
                                                                            <w:bottom w:val="none" w:sz="0" w:space="0" w:color="auto"/>
                                                                            <w:right w:val="none" w:sz="0" w:space="0" w:color="auto"/>
                                                                          </w:divBdr>
                                                                        </w:div>
                                                                        <w:div w:id="741410778">
                                                                          <w:marLeft w:val="0"/>
                                                                          <w:marRight w:val="0"/>
                                                                          <w:marTop w:val="0"/>
                                                                          <w:marBottom w:val="0"/>
                                                                          <w:divBdr>
                                                                            <w:top w:val="none" w:sz="0" w:space="0" w:color="auto"/>
                                                                            <w:left w:val="none" w:sz="0" w:space="0" w:color="auto"/>
                                                                            <w:bottom w:val="none" w:sz="0" w:space="0" w:color="auto"/>
                                                                            <w:right w:val="none" w:sz="0" w:space="0" w:color="auto"/>
                                                                          </w:divBdr>
                                                                          <w:divsChild>
                                                                            <w:div w:id="478154637">
                                                                              <w:marLeft w:val="0"/>
                                                                              <w:marRight w:val="0"/>
                                                                              <w:marTop w:val="0"/>
                                                                              <w:marBottom w:val="0"/>
                                                                              <w:divBdr>
                                                                                <w:top w:val="none" w:sz="0" w:space="0" w:color="auto"/>
                                                                                <w:left w:val="none" w:sz="0" w:space="0" w:color="auto"/>
                                                                                <w:bottom w:val="none" w:sz="0" w:space="0" w:color="auto"/>
                                                                                <w:right w:val="none" w:sz="0" w:space="0" w:color="auto"/>
                                                                              </w:divBdr>
                                                                              <w:divsChild>
                                                                                <w:div w:id="1718892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52361">
                                                                      <w:marLeft w:val="0"/>
                                                                      <w:marRight w:val="0"/>
                                                                      <w:marTop w:val="0"/>
                                                                      <w:marBottom w:val="0"/>
                                                                      <w:divBdr>
                                                                        <w:top w:val="none" w:sz="0" w:space="0" w:color="auto"/>
                                                                        <w:left w:val="none" w:sz="0" w:space="0" w:color="auto"/>
                                                                        <w:bottom w:val="none" w:sz="0" w:space="0" w:color="auto"/>
                                                                        <w:right w:val="none" w:sz="0" w:space="0" w:color="auto"/>
                                                                      </w:divBdr>
                                                                      <w:divsChild>
                                                                        <w:div w:id="643003856">
                                                                          <w:marLeft w:val="0"/>
                                                                          <w:marRight w:val="0"/>
                                                                          <w:marTop w:val="0"/>
                                                                          <w:marBottom w:val="0"/>
                                                                          <w:divBdr>
                                                                            <w:top w:val="none" w:sz="0" w:space="0" w:color="auto"/>
                                                                            <w:left w:val="none" w:sz="0" w:space="0" w:color="auto"/>
                                                                            <w:bottom w:val="none" w:sz="0" w:space="0" w:color="auto"/>
                                                                            <w:right w:val="none" w:sz="0" w:space="0" w:color="auto"/>
                                                                          </w:divBdr>
                                                                        </w:div>
                                                                      </w:divsChild>
                                                                    </w:div>
                                                                    <w:div w:id="1927494491">
                                                                      <w:marLeft w:val="0"/>
                                                                      <w:marRight w:val="0"/>
                                                                      <w:marTop w:val="0"/>
                                                                      <w:marBottom w:val="0"/>
                                                                      <w:divBdr>
                                                                        <w:top w:val="none" w:sz="0" w:space="0" w:color="auto"/>
                                                                        <w:left w:val="none" w:sz="0" w:space="0" w:color="auto"/>
                                                                        <w:bottom w:val="none" w:sz="0" w:space="0" w:color="auto"/>
                                                                        <w:right w:val="none" w:sz="0" w:space="0" w:color="auto"/>
                                                                      </w:divBdr>
                                                                      <w:divsChild>
                                                                        <w:div w:id="601375917">
                                                                          <w:marLeft w:val="0"/>
                                                                          <w:marRight w:val="0"/>
                                                                          <w:marTop w:val="0"/>
                                                                          <w:marBottom w:val="0"/>
                                                                          <w:divBdr>
                                                                            <w:top w:val="none" w:sz="0" w:space="0" w:color="auto"/>
                                                                            <w:left w:val="none" w:sz="0" w:space="0" w:color="auto"/>
                                                                            <w:bottom w:val="none" w:sz="0" w:space="0" w:color="auto"/>
                                                                            <w:right w:val="none" w:sz="0" w:space="0" w:color="auto"/>
                                                                          </w:divBdr>
                                                                        </w:div>
                                                                        <w:div w:id="1878198742">
                                                                          <w:marLeft w:val="0"/>
                                                                          <w:marRight w:val="0"/>
                                                                          <w:marTop w:val="0"/>
                                                                          <w:marBottom w:val="0"/>
                                                                          <w:divBdr>
                                                                            <w:top w:val="none" w:sz="0" w:space="0" w:color="auto"/>
                                                                            <w:left w:val="none" w:sz="0" w:space="0" w:color="auto"/>
                                                                            <w:bottom w:val="none" w:sz="0" w:space="0" w:color="auto"/>
                                                                            <w:right w:val="none" w:sz="0" w:space="0" w:color="auto"/>
                                                                          </w:divBdr>
                                                                          <w:divsChild>
                                                                            <w:div w:id="1705279179">
                                                                              <w:marLeft w:val="0"/>
                                                                              <w:marRight w:val="0"/>
                                                                              <w:marTop w:val="0"/>
                                                                              <w:marBottom w:val="0"/>
                                                                              <w:divBdr>
                                                                                <w:top w:val="none" w:sz="0" w:space="0" w:color="auto"/>
                                                                                <w:left w:val="none" w:sz="0" w:space="0" w:color="auto"/>
                                                                                <w:bottom w:val="none" w:sz="0" w:space="0" w:color="auto"/>
                                                                                <w:right w:val="none" w:sz="0" w:space="0" w:color="auto"/>
                                                                              </w:divBdr>
                                                                              <w:divsChild>
                                                                                <w:div w:id="679965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7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904474">
      <w:bodyDiv w:val="1"/>
      <w:marLeft w:val="0"/>
      <w:marRight w:val="0"/>
      <w:marTop w:val="0"/>
      <w:marBottom w:val="0"/>
      <w:divBdr>
        <w:top w:val="none" w:sz="0" w:space="0" w:color="auto"/>
        <w:left w:val="none" w:sz="0" w:space="0" w:color="auto"/>
        <w:bottom w:val="none" w:sz="0" w:space="0" w:color="auto"/>
        <w:right w:val="none" w:sz="0" w:space="0" w:color="auto"/>
      </w:divBdr>
      <w:divsChild>
        <w:div w:id="1341005596">
          <w:marLeft w:val="0"/>
          <w:marRight w:val="0"/>
          <w:marTop w:val="240"/>
          <w:marBottom w:val="0"/>
          <w:divBdr>
            <w:top w:val="none" w:sz="0" w:space="0" w:color="auto"/>
            <w:left w:val="none" w:sz="0" w:space="0" w:color="auto"/>
            <w:bottom w:val="none" w:sz="0" w:space="0" w:color="auto"/>
            <w:right w:val="none" w:sz="0" w:space="0" w:color="auto"/>
          </w:divBdr>
          <w:divsChild>
            <w:div w:id="1846168056">
              <w:marLeft w:val="0"/>
              <w:marRight w:val="0"/>
              <w:marTop w:val="0"/>
              <w:marBottom w:val="0"/>
              <w:divBdr>
                <w:top w:val="none" w:sz="0" w:space="0" w:color="auto"/>
                <w:left w:val="none" w:sz="0" w:space="0" w:color="auto"/>
                <w:bottom w:val="none" w:sz="0" w:space="0" w:color="auto"/>
                <w:right w:val="none" w:sz="0" w:space="0" w:color="auto"/>
              </w:divBdr>
            </w:div>
          </w:divsChild>
        </w:div>
        <w:div w:id="1683429532">
          <w:marLeft w:val="0"/>
          <w:marRight w:val="0"/>
          <w:marTop w:val="240"/>
          <w:marBottom w:val="0"/>
          <w:divBdr>
            <w:top w:val="none" w:sz="0" w:space="0" w:color="auto"/>
            <w:left w:val="none" w:sz="0" w:space="0" w:color="auto"/>
            <w:bottom w:val="none" w:sz="0" w:space="0" w:color="auto"/>
            <w:right w:val="none" w:sz="0" w:space="0" w:color="auto"/>
          </w:divBdr>
          <w:divsChild>
            <w:div w:id="386226004">
              <w:marLeft w:val="0"/>
              <w:marRight w:val="0"/>
              <w:marTop w:val="0"/>
              <w:marBottom w:val="0"/>
              <w:divBdr>
                <w:top w:val="none" w:sz="0" w:space="0" w:color="auto"/>
                <w:left w:val="none" w:sz="0" w:space="0" w:color="auto"/>
                <w:bottom w:val="none" w:sz="0" w:space="0" w:color="auto"/>
                <w:right w:val="none" w:sz="0" w:space="0" w:color="auto"/>
              </w:divBdr>
            </w:div>
            <w:div w:id="799613236">
              <w:marLeft w:val="0"/>
              <w:marRight w:val="0"/>
              <w:marTop w:val="240"/>
              <w:marBottom w:val="0"/>
              <w:divBdr>
                <w:top w:val="none" w:sz="0" w:space="0" w:color="auto"/>
                <w:left w:val="none" w:sz="0" w:space="0" w:color="auto"/>
                <w:bottom w:val="none" w:sz="0" w:space="0" w:color="auto"/>
                <w:right w:val="none" w:sz="0" w:space="0" w:color="auto"/>
              </w:divBdr>
            </w:div>
            <w:div w:id="1222131964">
              <w:marLeft w:val="0"/>
              <w:marRight w:val="0"/>
              <w:marTop w:val="240"/>
              <w:marBottom w:val="0"/>
              <w:divBdr>
                <w:top w:val="none" w:sz="0" w:space="0" w:color="auto"/>
                <w:left w:val="none" w:sz="0" w:space="0" w:color="auto"/>
                <w:bottom w:val="none" w:sz="0" w:space="0" w:color="auto"/>
                <w:right w:val="none" w:sz="0" w:space="0" w:color="auto"/>
              </w:divBdr>
              <w:divsChild>
                <w:div w:id="850333499">
                  <w:marLeft w:val="0"/>
                  <w:marRight w:val="0"/>
                  <w:marTop w:val="0"/>
                  <w:marBottom w:val="0"/>
                  <w:divBdr>
                    <w:top w:val="none" w:sz="0" w:space="0" w:color="auto"/>
                    <w:left w:val="none" w:sz="0" w:space="0" w:color="auto"/>
                    <w:bottom w:val="none" w:sz="0" w:space="0" w:color="auto"/>
                    <w:right w:val="none" w:sz="0" w:space="0" w:color="auto"/>
                  </w:divBdr>
                </w:div>
              </w:divsChild>
            </w:div>
            <w:div w:id="1383676193">
              <w:marLeft w:val="0"/>
              <w:marRight w:val="0"/>
              <w:marTop w:val="240"/>
              <w:marBottom w:val="0"/>
              <w:divBdr>
                <w:top w:val="none" w:sz="0" w:space="0" w:color="auto"/>
                <w:left w:val="none" w:sz="0" w:space="0" w:color="auto"/>
                <w:bottom w:val="none" w:sz="0" w:space="0" w:color="auto"/>
                <w:right w:val="none" w:sz="0" w:space="0" w:color="auto"/>
              </w:divBdr>
              <w:divsChild>
                <w:div w:id="13653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12823">
      <w:bodyDiv w:val="1"/>
      <w:marLeft w:val="0"/>
      <w:marRight w:val="0"/>
      <w:marTop w:val="0"/>
      <w:marBottom w:val="0"/>
      <w:divBdr>
        <w:top w:val="none" w:sz="0" w:space="0" w:color="auto"/>
        <w:left w:val="none" w:sz="0" w:space="0" w:color="auto"/>
        <w:bottom w:val="none" w:sz="0" w:space="0" w:color="auto"/>
        <w:right w:val="none" w:sz="0" w:space="0" w:color="auto"/>
      </w:divBdr>
      <w:divsChild>
        <w:div w:id="883903421">
          <w:marLeft w:val="0"/>
          <w:marRight w:val="0"/>
          <w:marTop w:val="0"/>
          <w:marBottom w:val="0"/>
          <w:divBdr>
            <w:top w:val="none" w:sz="0" w:space="0" w:color="auto"/>
            <w:left w:val="none" w:sz="0" w:space="0" w:color="auto"/>
            <w:bottom w:val="none" w:sz="0" w:space="0" w:color="auto"/>
            <w:right w:val="none" w:sz="0" w:space="0" w:color="auto"/>
          </w:divBdr>
          <w:divsChild>
            <w:div w:id="751048413">
              <w:marLeft w:val="0"/>
              <w:marRight w:val="0"/>
              <w:marTop w:val="0"/>
              <w:marBottom w:val="0"/>
              <w:divBdr>
                <w:top w:val="none" w:sz="0" w:space="0" w:color="auto"/>
                <w:left w:val="none" w:sz="0" w:space="0" w:color="auto"/>
                <w:bottom w:val="none" w:sz="0" w:space="0" w:color="auto"/>
                <w:right w:val="none" w:sz="0" w:space="0" w:color="auto"/>
              </w:divBdr>
              <w:divsChild>
                <w:div w:id="493492050">
                  <w:marLeft w:val="0"/>
                  <w:marRight w:val="0"/>
                  <w:marTop w:val="0"/>
                  <w:marBottom w:val="0"/>
                  <w:divBdr>
                    <w:top w:val="none" w:sz="0" w:space="0" w:color="auto"/>
                    <w:left w:val="none" w:sz="0" w:space="0" w:color="auto"/>
                    <w:bottom w:val="none" w:sz="0" w:space="0" w:color="auto"/>
                    <w:right w:val="none" w:sz="0" w:space="0" w:color="auto"/>
                  </w:divBdr>
                  <w:divsChild>
                    <w:div w:id="766923442">
                      <w:marLeft w:val="0"/>
                      <w:marRight w:val="0"/>
                      <w:marTop w:val="0"/>
                      <w:marBottom w:val="0"/>
                      <w:divBdr>
                        <w:top w:val="none" w:sz="0" w:space="0" w:color="auto"/>
                        <w:left w:val="none" w:sz="0" w:space="0" w:color="auto"/>
                        <w:bottom w:val="none" w:sz="0" w:space="0" w:color="auto"/>
                        <w:right w:val="none" w:sz="0" w:space="0" w:color="auto"/>
                      </w:divBdr>
                      <w:divsChild>
                        <w:div w:id="540938873">
                          <w:marLeft w:val="0"/>
                          <w:marRight w:val="0"/>
                          <w:marTop w:val="0"/>
                          <w:marBottom w:val="0"/>
                          <w:divBdr>
                            <w:top w:val="none" w:sz="0" w:space="0" w:color="auto"/>
                            <w:left w:val="none" w:sz="0" w:space="0" w:color="auto"/>
                            <w:bottom w:val="none" w:sz="0" w:space="0" w:color="auto"/>
                            <w:right w:val="none" w:sz="0" w:space="0" w:color="auto"/>
                          </w:divBdr>
                          <w:divsChild>
                            <w:div w:id="1428118402">
                              <w:marLeft w:val="0"/>
                              <w:marRight w:val="0"/>
                              <w:marTop w:val="0"/>
                              <w:marBottom w:val="0"/>
                              <w:divBdr>
                                <w:top w:val="none" w:sz="0" w:space="0" w:color="auto"/>
                                <w:left w:val="none" w:sz="0" w:space="0" w:color="auto"/>
                                <w:bottom w:val="none" w:sz="0" w:space="0" w:color="auto"/>
                                <w:right w:val="none" w:sz="0" w:space="0" w:color="auto"/>
                              </w:divBdr>
                              <w:divsChild>
                                <w:div w:id="198909353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789803">
      <w:bodyDiv w:val="1"/>
      <w:marLeft w:val="0"/>
      <w:marRight w:val="0"/>
      <w:marTop w:val="0"/>
      <w:marBottom w:val="0"/>
      <w:divBdr>
        <w:top w:val="none" w:sz="0" w:space="0" w:color="auto"/>
        <w:left w:val="none" w:sz="0" w:space="0" w:color="auto"/>
        <w:bottom w:val="none" w:sz="0" w:space="0" w:color="auto"/>
        <w:right w:val="none" w:sz="0" w:space="0" w:color="auto"/>
      </w:divBdr>
      <w:divsChild>
        <w:div w:id="299386536">
          <w:marLeft w:val="0"/>
          <w:marRight w:val="150"/>
          <w:marTop w:val="0"/>
          <w:marBottom w:val="0"/>
          <w:divBdr>
            <w:top w:val="none" w:sz="0" w:space="0" w:color="auto"/>
            <w:left w:val="none" w:sz="0" w:space="0" w:color="auto"/>
            <w:bottom w:val="none" w:sz="0" w:space="0" w:color="auto"/>
            <w:right w:val="none" w:sz="0" w:space="0" w:color="auto"/>
          </w:divBdr>
          <w:divsChild>
            <w:div w:id="1573200418">
              <w:marLeft w:val="0"/>
              <w:marRight w:val="0"/>
              <w:marTop w:val="0"/>
              <w:marBottom w:val="0"/>
              <w:divBdr>
                <w:top w:val="none" w:sz="0" w:space="0" w:color="auto"/>
                <w:left w:val="none" w:sz="0" w:space="0" w:color="auto"/>
                <w:bottom w:val="none" w:sz="0" w:space="0" w:color="auto"/>
                <w:right w:val="none" w:sz="0" w:space="0" w:color="auto"/>
              </w:divBdr>
              <w:divsChild>
                <w:div w:id="2007777547">
                  <w:marLeft w:val="0"/>
                  <w:marRight w:val="0"/>
                  <w:marTop w:val="0"/>
                  <w:marBottom w:val="0"/>
                  <w:divBdr>
                    <w:top w:val="none" w:sz="0" w:space="0" w:color="auto"/>
                    <w:left w:val="none" w:sz="0" w:space="0" w:color="auto"/>
                    <w:bottom w:val="none" w:sz="0" w:space="0" w:color="auto"/>
                    <w:right w:val="none" w:sz="0" w:space="0" w:color="auto"/>
                  </w:divBdr>
                  <w:divsChild>
                    <w:div w:id="115568151">
                      <w:marLeft w:val="0"/>
                      <w:marRight w:val="0"/>
                      <w:marTop w:val="0"/>
                      <w:marBottom w:val="0"/>
                      <w:divBdr>
                        <w:top w:val="none" w:sz="0" w:space="0" w:color="auto"/>
                        <w:left w:val="none" w:sz="0" w:space="0" w:color="auto"/>
                        <w:bottom w:val="none" w:sz="0" w:space="0" w:color="auto"/>
                        <w:right w:val="none" w:sz="0" w:space="0" w:color="auto"/>
                      </w:divBdr>
                    </w:div>
                    <w:div w:id="400762200">
                      <w:marLeft w:val="0"/>
                      <w:marRight w:val="0"/>
                      <w:marTop w:val="0"/>
                      <w:marBottom w:val="0"/>
                      <w:divBdr>
                        <w:top w:val="none" w:sz="0" w:space="0" w:color="auto"/>
                        <w:left w:val="none" w:sz="0" w:space="0" w:color="auto"/>
                        <w:bottom w:val="none" w:sz="0" w:space="0" w:color="auto"/>
                        <w:right w:val="none" w:sz="0" w:space="0" w:color="auto"/>
                      </w:divBdr>
                    </w:div>
                    <w:div w:id="496069323">
                      <w:marLeft w:val="0"/>
                      <w:marRight w:val="0"/>
                      <w:marTop w:val="0"/>
                      <w:marBottom w:val="0"/>
                      <w:divBdr>
                        <w:top w:val="none" w:sz="0" w:space="0" w:color="auto"/>
                        <w:left w:val="none" w:sz="0" w:space="0" w:color="auto"/>
                        <w:bottom w:val="none" w:sz="0" w:space="0" w:color="auto"/>
                        <w:right w:val="none" w:sz="0" w:space="0" w:color="auto"/>
                      </w:divBdr>
                    </w:div>
                    <w:div w:id="632103267">
                      <w:marLeft w:val="0"/>
                      <w:marRight w:val="0"/>
                      <w:marTop w:val="0"/>
                      <w:marBottom w:val="0"/>
                      <w:divBdr>
                        <w:top w:val="none" w:sz="0" w:space="0" w:color="auto"/>
                        <w:left w:val="none" w:sz="0" w:space="0" w:color="auto"/>
                        <w:bottom w:val="none" w:sz="0" w:space="0" w:color="auto"/>
                        <w:right w:val="none" w:sz="0" w:space="0" w:color="auto"/>
                      </w:divBdr>
                    </w:div>
                    <w:div w:id="1208488800">
                      <w:marLeft w:val="0"/>
                      <w:marRight w:val="0"/>
                      <w:marTop w:val="0"/>
                      <w:marBottom w:val="0"/>
                      <w:divBdr>
                        <w:top w:val="none" w:sz="0" w:space="0" w:color="auto"/>
                        <w:left w:val="none" w:sz="0" w:space="0" w:color="auto"/>
                        <w:bottom w:val="none" w:sz="0" w:space="0" w:color="auto"/>
                        <w:right w:val="none" w:sz="0" w:space="0" w:color="auto"/>
                      </w:divBdr>
                    </w:div>
                    <w:div w:id="1433546564">
                      <w:marLeft w:val="0"/>
                      <w:marRight w:val="0"/>
                      <w:marTop w:val="0"/>
                      <w:marBottom w:val="0"/>
                      <w:divBdr>
                        <w:top w:val="none" w:sz="0" w:space="0" w:color="auto"/>
                        <w:left w:val="none" w:sz="0" w:space="0" w:color="auto"/>
                        <w:bottom w:val="none" w:sz="0" w:space="0" w:color="auto"/>
                        <w:right w:val="none" w:sz="0" w:space="0" w:color="auto"/>
                      </w:divBdr>
                    </w:div>
                    <w:div w:id="155106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4465">
      <w:bodyDiv w:val="1"/>
      <w:marLeft w:val="0"/>
      <w:marRight w:val="0"/>
      <w:marTop w:val="0"/>
      <w:marBottom w:val="0"/>
      <w:divBdr>
        <w:top w:val="none" w:sz="0" w:space="0" w:color="auto"/>
        <w:left w:val="none" w:sz="0" w:space="0" w:color="auto"/>
        <w:bottom w:val="none" w:sz="0" w:space="0" w:color="auto"/>
        <w:right w:val="none" w:sz="0" w:space="0" w:color="auto"/>
      </w:divBdr>
      <w:divsChild>
        <w:div w:id="826091884">
          <w:marLeft w:val="0"/>
          <w:marRight w:val="0"/>
          <w:marTop w:val="0"/>
          <w:marBottom w:val="0"/>
          <w:divBdr>
            <w:top w:val="none" w:sz="0" w:space="0" w:color="auto"/>
            <w:left w:val="none" w:sz="0" w:space="0" w:color="auto"/>
            <w:bottom w:val="none" w:sz="0" w:space="0" w:color="auto"/>
            <w:right w:val="none" w:sz="0" w:space="0" w:color="auto"/>
          </w:divBdr>
          <w:divsChild>
            <w:div w:id="1615743963">
              <w:marLeft w:val="0"/>
              <w:marRight w:val="0"/>
              <w:marTop w:val="0"/>
              <w:marBottom w:val="0"/>
              <w:divBdr>
                <w:top w:val="none" w:sz="0" w:space="0" w:color="auto"/>
                <w:left w:val="none" w:sz="0" w:space="0" w:color="auto"/>
                <w:bottom w:val="none" w:sz="0" w:space="0" w:color="auto"/>
                <w:right w:val="none" w:sz="0" w:space="0" w:color="auto"/>
              </w:divBdr>
              <w:divsChild>
                <w:div w:id="1985352247">
                  <w:marLeft w:val="0"/>
                  <w:marRight w:val="0"/>
                  <w:marTop w:val="0"/>
                  <w:marBottom w:val="0"/>
                  <w:divBdr>
                    <w:top w:val="none" w:sz="0" w:space="0" w:color="auto"/>
                    <w:left w:val="none" w:sz="0" w:space="0" w:color="auto"/>
                    <w:bottom w:val="none" w:sz="0" w:space="0" w:color="auto"/>
                    <w:right w:val="none" w:sz="0" w:space="0" w:color="auto"/>
                  </w:divBdr>
                  <w:divsChild>
                    <w:div w:id="189802208">
                      <w:marLeft w:val="0"/>
                      <w:marRight w:val="0"/>
                      <w:marTop w:val="0"/>
                      <w:marBottom w:val="375"/>
                      <w:divBdr>
                        <w:top w:val="none" w:sz="0" w:space="0" w:color="auto"/>
                        <w:left w:val="none" w:sz="0" w:space="0" w:color="auto"/>
                        <w:bottom w:val="none" w:sz="0" w:space="0" w:color="auto"/>
                        <w:right w:val="none" w:sz="0" w:space="0" w:color="auto"/>
                      </w:divBdr>
                      <w:divsChild>
                        <w:div w:id="11249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290197">
      <w:bodyDiv w:val="1"/>
      <w:marLeft w:val="0"/>
      <w:marRight w:val="0"/>
      <w:marTop w:val="0"/>
      <w:marBottom w:val="0"/>
      <w:divBdr>
        <w:top w:val="none" w:sz="0" w:space="0" w:color="auto"/>
        <w:left w:val="none" w:sz="0" w:space="0" w:color="auto"/>
        <w:bottom w:val="none" w:sz="0" w:space="0" w:color="auto"/>
        <w:right w:val="none" w:sz="0" w:space="0" w:color="auto"/>
      </w:divBdr>
      <w:divsChild>
        <w:div w:id="1937473309">
          <w:marLeft w:val="0"/>
          <w:marRight w:val="0"/>
          <w:marTop w:val="0"/>
          <w:marBottom w:val="0"/>
          <w:divBdr>
            <w:top w:val="none" w:sz="0" w:space="0" w:color="auto"/>
            <w:left w:val="none" w:sz="0" w:space="0" w:color="auto"/>
            <w:bottom w:val="none" w:sz="0" w:space="0" w:color="auto"/>
            <w:right w:val="none" w:sz="0" w:space="0" w:color="auto"/>
          </w:divBdr>
          <w:divsChild>
            <w:div w:id="786310980">
              <w:marLeft w:val="0"/>
              <w:marRight w:val="0"/>
              <w:marTop w:val="0"/>
              <w:marBottom w:val="0"/>
              <w:divBdr>
                <w:top w:val="none" w:sz="0" w:space="0" w:color="auto"/>
                <w:left w:val="none" w:sz="0" w:space="0" w:color="auto"/>
                <w:bottom w:val="none" w:sz="0" w:space="0" w:color="auto"/>
                <w:right w:val="none" w:sz="0" w:space="0" w:color="auto"/>
              </w:divBdr>
              <w:divsChild>
                <w:div w:id="743259875">
                  <w:marLeft w:val="0"/>
                  <w:marRight w:val="0"/>
                  <w:marTop w:val="0"/>
                  <w:marBottom w:val="0"/>
                  <w:divBdr>
                    <w:top w:val="none" w:sz="0" w:space="0" w:color="auto"/>
                    <w:left w:val="none" w:sz="0" w:space="0" w:color="auto"/>
                    <w:bottom w:val="none" w:sz="0" w:space="0" w:color="auto"/>
                    <w:right w:val="none" w:sz="0" w:space="0" w:color="auto"/>
                  </w:divBdr>
                  <w:divsChild>
                    <w:div w:id="674264564">
                      <w:marLeft w:val="0"/>
                      <w:marRight w:val="0"/>
                      <w:marTop w:val="0"/>
                      <w:marBottom w:val="375"/>
                      <w:divBdr>
                        <w:top w:val="none" w:sz="0" w:space="0" w:color="auto"/>
                        <w:left w:val="none" w:sz="0" w:space="0" w:color="auto"/>
                        <w:bottom w:val="none" w:sz="0" w:space="0" w:color="auto"/>
                        <w:right w:val="none" w:sz="0" w:space="0" w:color="auto"/>
                      </w:divBdr>
                      <w:divsChild>
                        <w:div w:id="17046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367286">
      <w:bodyDiv w:val="1"/>
      <w:marLeft w:val="0"/>
      <w:marRight w:val="0"/>
      <w:marTop w:val="0"/>
      <w:marBottom w:val="0"/>
      <w:divBdr>
        <w:top w:val="none" w:sz="0" w:space="0" w:color="auto"/>
        <w:left w:val="none" w:sz="0" w:space="0" w:color="auto"/>
        <w:bottom w:val="none" w:sz="0" w:space="0" w:color="auto"/>
        <w:right w:val="none" w:sz="0" w:space="0" w:color="auto"/>
      </w:divBdr>
      <w:divsChild>
        <w:div w:id="819807879">
          <w:marLeft w:val="0"/>
          <w:marRight w:val="0"/>
          <w:marTop w:val="0"/>
          <w:marBottom w:val="0"/>
          <w:divBdr>
            <w:top w:val="none" w:sz="0" w:space="0" w:color="auto"/>
            <w:left w:val="none" w:sz="0" w:space="0" w:color="auto"/>
            <w:bottom w:val="none" w:sz="0" w:space="0" w:color="auto"/>
            <w:right w:val="none" w:sz="0" w:space="0" w:color="auto"/>
          </w:divBdr>
          <w:divsChild>
            <w:div w:id="1507819467">
              <w:marLeft w:val="0"/>
              <w:marRight w:val="0"/>
              <w:marTop w:val="0"/>
              <w:marBottom w:val="0"/>
              <w:divBdr>
                <w:top w:val="none" w:sz="0" w:space="0" w:color="auto"/>
                <w:left w:val="none" w:sz="0" w:space="0" w:color="auto"/>
                <w:bottom w:val="none" w:sz="0" w:space="0" w:color="auto"/>
                <w:right w:val="none" w:sz="0" w:space="0" w:color="auto"/>
              </w:divBdr>
              <w:divsChild>
                <w:div w:id="1563250889">
                  <w:marLeft w:val="0"/>
                  <w:marRight w:val="0"/>
                  <w:marTop w:val="0"/>
                  <w:marBottom w:val="0"/>
                  <w:divBdr>
                    <w:top w:val="none" w:sz="0" w:space="0" w:color="auto"/>
                    <w:left w:val="none" w:sz="0" w:space="0" w:color="auto"/>
                    <w:bottom w:val="none" w:sz="0" w:space="0" w:color="auto"/>
                    <w:right w:val="none" w:sz="0" w:space="0" w:color="auto"/>
                  </w:divBdr>
                  <w:divsChild>
                    <w:div w:id="1029794098">
                      <w:marLeft w:val="0"/>
                      <w:marRight w:val="0"/>
                      <w:marTop w:val="0"/>
                      <w:marBottom w:val="300"/>
                      <w:divBdr>
                        <w:top w:val="none" w:sz="0" w:space="0" w:color="auto"/>
                        <w:left w:val="none" w:sz="0" w:space="0" w:color="auto"/>
                        <w:bottom w:val="none" w:sz="0" w:space="0" w:color="auto"/>
                        <w:right w:val="none" w:sz="0" w:space="0" w:color="auto"/>
                      </w:divBdr>
                      <w:divsChild>
                        <w:div w:id="17341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656181">
      <w:bodyDiv w:val="1"/>
      <w:marLeft w:val="30"/>
      <w:marRight w:val="30"/>
      <w:marTop w:val="30"/>
      <w:marBottom w:val="30"/>
      <w:divBdr>
        <w:top w:val="none" w:sz="0" w:space="0" w:color="auto"/>
        <w:left w:val="none" w:sz="0" w:space="0" w:color="auto"/>
        <w:bottom w:val="none" w:sz="0" w:space="0" w:color="auto"/>
        <w:right w:val="none" w:sz="0" w:space="0" w:color="auto"/>
      </w:divBdr>
      <w:divsChild>
        <w:div w:id="1409227325">
          <w:marLeft w:val="0"/>
          <w:marRight w:val="0"/>
          <w:marTop w:val="0"/>
          <w:marBottom w:val="0"/>
          <w:divBdr>
            <w:top w:val="none" w:sz="0" w:space="0" w:color="auto"/>
            <w:left w:val="none" w:sz="0" w:space="0" w:color="auto"/>
            <w:bottom w:val="none" w:sz="0" w:space="0" w:color="auto"/>
            <w:right w:val="none" w:sz="0" w:space="0" w:color="auto"/>
          </w:divBdr>
          <w:divsChild>
            <w:div w:id="238911252">
              <w:marLeft w:val="45"/>
              <w:marRight w:val="45"/>
              <w:marTop w:val="45"/>
              <w:marBottom w:val="45"/>
              <w:divBdr>
                <w:top w:val="none" w:sz="0" w:space="0" w:color="auto"/>
                <w:left w:val="none" w:sz="0" w:space="0" w:color="auto"/>
                <w:bottom w:val="none" w:sz="0" w:space="0" w:color="auto"/>
                <w:right w:val="none" w:sz="0" w:space="0" w:color="auto"/>
              </w:divBdr>
              <w:divsChild>
                <w:div w:id="1504666755">
                  <w:marLeft w:val="0"/>
                  <w:marRight w:val="0"/>
                  <w:marTop w:val="0"/>
                  <w:marBottom w:val="0"/>
                  <w:divBdr>
                    <w:top w:val="none" w:sz="0" w:space="0" w:color="auto"/>
                    <w:left w:val="none" w:sz="0" w:space="0" w:color="auto"/>
                    <w:bottom w:val="none" w:sz="0" w:space="0" w:color="auto"/>
                    <w:right w:val="none" w:sz="0" w:space="0" w:color="auto"/>
                  </w:divBdr>
                  <w:divsChild>
                    <w:div w:id="316811192">
                      <w:marLeft w:val="0"/>
                      <w:marRight w:val="0"/>
                      <w:marTop w:val="0"/>
                      <w:marBottom w:val="0"/>
                      <w:divBdr>
                        <w:top w:val="none" w:sz="0" w:space="0" w:color="auto"/>
                        <w:left w:val="none" w:sz="0" w:space="0" w:color="auto"/>
                        <w:bottom w:val="none" w:sz="0" w:space="0" w:color="auto"/>
                        <w:right w:val="none" w:sz="0" w:space="0" w:color="auto"/>
                      </w:divBdr>
                    </w:div>
                    <w:div w:id="17297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94062">
      <w:bodyDiv w:val="1"/>
      <w:marLeft w:val="0"/>
      <w:marRight w:val="0"/>
      <w:marTop w:val="0"/>
      <w:marBottom w:val="0"/>
      <w:divBdr>
        <w:top w:val="none" w:sz="0" w:space="0" w:color="auto"/>
        <w:left w:val="none" w:sz="0" w:space="0" w:color="auto"/>
        <w:bottom w:val="none" w:sz="0" w:space="0" w:color="auto"/>
        <w:right w:val="none" w:sz="0" w:space="0" w:color="auto"/>
      </w:divBdr>
      <w:divsChild>
        <w:div w:id="851531113">
          <w:marLeft w:val="0"/>
          <w:marRight w:val="0"/>
          <w:marTop w:val="0"/>
          <w:marBottom w:val="0"/>
          <w:divBdr>
            <w:top w:val="none" w:sz="0" w:space="0" w:color="auto"/>
            <w:left w:val="single" w:sz="6" w:space="0" w:color="BBBBBB"/>
            <w:bottom w:val="single" w:sz="6" w:space="0" w:color="BBBBBB"/>
            <w:right w:val="single" w:sz="6" w:space="0" w:color="BBBBBB"/>
          </w:divBdr>
          <w:divsChild>
            <w:div w:id="2086535209">
              <w:marLeft w:val="0"/>
              <w:marRight w:val="0"/>
              <w:marTop w:val="0"/>
              <w:marBottom w:val="0"/>
              <w:divBdr>
                <w:top w:val="none" w:sz="0" w:space="0" w:color="auto"/>
                <w:left w:val="none" w:sz="0" w:space="0" w:color="auto"/>
                <w:bottom w:val="none" w:sz="0" w:space="0" w:color="auto"/>
                <w:right w:val="none" w:sz="0" w:space="0" w:color="auto"/>
              </w:divBdr>
              <w:divsChild>
                <w:div w:id="221985566">
                  <w:marLeft w:val="0"/>
                  <w:marRight w:val="0"/>
                  <w:marTop w:val="75"/>
                  <w:marBottom w:val="0"/>
                  <w:divBdr>
                    <w:top w:val="none" w:sz="0" w:space="0" w:color="auto"/>
                    <w:left w:val="none" w:sz="0" w:space="0" w:color="auto"/>
                    <w:bottom w:val="none" w:sz="0" w:space="0" w:color="auto"/>
                    <w:right w:val="none" w:sz="0" w:space="0" w:color="auto"/>
                  </w:divBdr>
                  <w:divsChild>
                    <w:div w:id="951324823">
                      <w:marLeft w:val="0"/>
                      <w:marRight w:val="0"/>
                      <w:marTop w:val="0"/>
                      <w:marBottom w:val="0"/>
                      <w:divBdr>
                        <w:top w:val="none" w:sz="0" w:space="0" w:color="auto"/>
                        <w:left w:val="none" w:sz="0" w:space="0" w:color="auto"/>
                        <w:bottom w:val="none" w:sz="0" w:space="0" w:color="auto"/>
                        <w:right w:val="none" w:sz="0" w:space="0" w:color="auto"/>
                      </w:divBdr>
                      <w:divsChild>
                        <w:div w:id="1574044160">
                          <w:marLeft w:val="0"/>
                          <w:marRight w:val="0"/>
                          <w:marTop w:val="0"/>
                          <w:marBottom w:val="0"/>
                          <w:divBdr>
                            <w:top w:val="none" w:sz="0" w:space="0" w:color="auto"/>
                            <w:left w:val="none" w:sz="0" w:space="0" w:color="auto"/>
                            <w:bottom w:val="none" w:sz="0" w:space="0" w:color="auto"/>
                            <w:right w:val="none" w:sz="0" w:space="0" w:color="auto"/>
                          </w:divBdr>
                          <w:divsChild>
                            <w:div w:id="1685521988">
                              <w:marLeft w:val="0"/>
                              <w:marRight w:val="0"/>
                              <w:marTop w:val="0"/>
                              <w:marBottom w:val="0"/>
                              <w:divBdr>
                                <w:top w:val="none" w:sz="0" w:space="0" w:color="auto"/>
                                <w:left w:val="none" w:sz="0" w:space="0" w:color="auto"/>
                                <w:bottom w:val="none" w:sz="0" w:space="0" w:color="auto"/>
                                <w:right w:val="none" w:sz="0" w:space="0" w:color="auto"/>
                              </w:divBdr>
                              <w:divsChild>
                                <w:div w:id="652878416">
                                  <w:marLeft w:val="0"/>
                                  <w:marRight w:val="0"/>
                                  <w:marTop w:val="0"/>
                                  <w:marBottom w:val="0"/>
                                  <w:divBdr>
                                    <w:top w:val="none" w:sz="0" w:space="0" w:color="auto"/>
                                    <w:left w:val="none" w:sz="0" w:space="0" w:color="auto"/>
                                    <w:bottom w:val="none" w:sz="0" w:space="0" w:color="auto"/>
                                    <w:right w:val="none" w:sz="0" w:space="0" w:color="auto"/>
                                  </w:divBdr>
                                  <w:divsChild>
                                    <w:div w:id="1439639322">
                                      <w:marLeft w:val="0"/>
                                      <w:marRight w:val="0"/>
                                      <w:marTop w:val="0"/>
                                      <w:marBottom w:val="0"/>
                                      <w:divBdr>
                                        <w:top w:val="none" w:sz="0" w:space="0" w:color="auto"/>
                                        <w:left w:val="none" w:sz="0" w:space="0" w:color="auto"/>
                                        <w:bottom w:val="none" w:sz="0" w:space="0" w:color="auto"/>
                                        <w:right w:val="none" w:sz="0" w:space="0" w:color="auto"/>
                                      </w:divBdr>
                                      <w:divsChild>
                                        <w:div w:id="1298804975">
                                          <w:marLeft w:val="1200"/>
                                          <w:marRight w:val="1200"/>
                                          <w:marTop w:val="0"/>
                                          <w:marBottom w:val="0"/>
                                          <w:divBdr>
                                            <w:top w:val="none" w:sz="0" w:space="0" w:color="auto"/>
                                            <w:left w:val="none" w:sz="0" w:space="0" w:color="auto"/>
                                            <w:bottom w:val="none" w:sz="0" w:space="0" w:color="auto"/>
                                            <w:right w:val="none" w:sz="0" w:space="0" w:color="auto"/>
                                          </w:divBdr>
                                          <w:divsChild>
                                            <w:div w:id="264191206">
                                              <w:marLeft w:val="0"/>
                                              <w:marRight w:val="0"/>
                                              <w:marTop w:val="0"/>
                                              <w:marBottom w:val="0"/>
                                              <w:divBdr>
                                                <w:top w:val="none" w:sz="0" w:space="0" w:color="auto"/>
                                                <w:left w:val="none" w:sz="0" w:space="0" w:color="auto"/>
                                                <w:bottom w:val="none" w:sz="0" w:space="0" w:color="auto"/>
                                                <w:right w:val="none" w:sz="0" w:space="0" w:color="auto"/>
                                              </w:divBdr>
                                              <w:divsChild>
                                                <w:div w:id="1352881568">
                                                  <w:marLeft w:val="0"/>
                                                  <w:marRight w:val="0"/>
                                                  <w:marTop w:val="0"/>
                                                  <w:marBottom w:val="0"/>
                                                  <w:divBdr>
                                                    <w:top w:val="none" w:sz="0" w:space="0" w:color="auto"/>
                                                    <w:left w:val="none" w:sz="0" w:space="0" w:color="auto"/>
                                                    <w:bottom w:val="none" w:sz="0" w:space="0" w:color="auto"/>
                                                    <w:right w:val="none" w:sz="0" w:space="0" w:color="auto"/>
                                                  </w:divBdr>
                                                  <w:divsChild>
                                                    <w:div w:id="820779629">
                                                      <w:marLeft w:val="0"/>
                                                      <w:marRight w:val="0"/>
                                                      <w:marTop w:val="0"/>
                                                      <w:marBottom w:val="0"/>
                                                      <w:divBdr>
                                                        <w:top w:val="none" w:sz="0" w:space="0" w:color="auto"/>
                                                        <w:left w:val="none" w:sz="0" w:space="0" w:color="auto"/>
                                                        <w:bottom w:val="none" w:sz="0" w:space="0" w:color="auto"/>
                                                        <w:right w:val="none" w:sz="0" w:space="0" w:color="auto"/>
                                                      </w:divBdr>
                                                      <w:divsChild>
                                                        <w:div w:id="1868832735">
                                                          <w:marLeft w:val="0"/>
                                                          <w:marRight w:val="0"/>
                                                          <w:marTop w:val="0"/>
                                                          <w:marBottom w:val="0"/>
                                                          <w:divBdr>
                                                            <w:top w:val="none" w:sz="0" w:space="0" w:color="auto"/>
                                                            <w:left w:val="none" w:sz="0" w:space="0" w:color="auto"/>
                                                            <w:bottom w:val="none" w:sz="0" w:space="0" w:color="auto"/>
                                                            <w:right w:val="none" w:sz="0" w:space="0" w:color="auto"/>
                                                          </w:divBdr>
                                                        </w:div>
                                                      </w:divsChild>
                                                    </w:div>
                                                    <w:div w:id="1730423627">
                                                      <w:marLeft w:val="0"/>
                                                      <w:marRight w:val="0"/>
                                                      <w:marTop w:val="0"/>
                                                      <w:marBottom w:val="0"/>
                                                      <w:divBdr>
                                                        <w:top w:val="none" w:sz="0" w:space="0" w:color="auto"/>
                                                        <w:left w:val="none" w:sz="0" w:space="0" w:color="auto"/>
                                                        <w:bottom w:val="none" w:sz="0" w:space="0" w:color="auto"/>
                                                        <w:right w:val="none" w:sz="0" w:space="0" w:color="auto"/>
                                                      </w:divBdr>
                                                      <w:divsChild>
                                                        <w:div w:id="187480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2237078">
      <w:bodyDiv w:val="1"/>
      <w:marLeft w:val="0"/>
      <w:marRight w:val="0"/>
      <w:marTop w:val="0"/>
      <w:marBottom w:val="0"/>
      <w:divBdr>
        <w:top w:val="none" w:sz="0" w:space="0" w:color="auto"/>
        <w:left w:val="none" w:sz="0" w:space="0" w:color="auto"/>
        <w:bottom w:val="none" w:sz="0" w:space="0" w:color="auto"/>
        <w:right w:val="none" w:sz="0" w:space="0" w:color="auto"/>
      </w:divBdr>
      <w:divsChild>
        <w:div w:id="1029993628">
          <w:marLeft w:val="0"/>
          <w:marRight w:val="0"/>
          <w:marTop w:val="0"/>
          <w:marBottom w:val="0"/>
          <w:divBdr>
            <w:top w:val="none" w:sz="0" w:space="0" w:color="auto"/>
            <w:left w:val="single" w:sz="6" w:space="0" w:color="BBBBBB"/>
            <w:bottom w:val="single" w:sz="6" w:space="0" w:color="BBBBBB"/>
            <w:right w:val="single" w:sz="6" w:space="0" w:color="BBBBBB"/>
          </w:divBdr>
          <w:divsChild>
            <w:div w:id="1512916014">
              <w:marLeft w:val="0"/>
              <w:marRight w:val="0"/>
              <w:marTop w:val="0"/>
              <w:marBottom w:val="0"/>
              <w:divBdr>
                <w:top w:val="none" w:sz="0" w:space="0" w:color="auto"/>
                <w:left w:val="none" w:sz="0" w:space="0" w:color="auto"/>
                <w:bottom w:val="none" w:sz="0" w:space="0" w:color="auto"/>
                <w:right w:val="none" w:sz="0" w:space="0" w:color="auto"/>
              </w:divBdr>
              <w:divsChild>
                <w:div w:id="253786196">
                  <w:marLeft w:val="0"/>
                  <w:marRight w:val="0"/>
                  <w:marTop w:val="75"/>
                  <w:marBottom w:val="0"/>
                  <w:divBdr>
                    <w:top w:val="none" w:sz="0" w:space="0" w:color="auto"/>
                    <w:left w:val="none" w:sz="0" w:space="0" w:color="auto"/>
                    <w:bottom w:val="none" w:sz="0" w:space="0" w:color="auto"/>
                    <w:right w:val="none" w:sz="0" w:space="0" w:color="auto"/>
                  </w:divBdr>
                  <w:divsChild>
                    <w:div w:id="636908873">
                      <w:marLeft w:val="0"/>
                      <w:marRight w:val="0"/>
                      <w:marTop w:val="0"/>
                      <w:marBottom w:val="0"/>
                      <w:divBdr>
                        <w:top w:val="none" w:sz="0" w:space="0" w:color="auto"/>
                        <w:left w:val="none" w:sz="0" w:space="0" w:color="auto"/>
                        <w:bottom w:val="none" w:sz="0" w:space="0" w:color="auto"/>
                        <w:right w:val="none" w:sz="0" w:space="0" w:color="auto"/>
                      </w:divBdr>
                      <w:divsChild>
                        <w:div w:id="1966160601">
                          <w:marLeft w:val="0"/>
                          <w:marRight w:val="0"/>
                          <w:marTop w:val="0"/>
                          <w:marBottom w:val="0"/>
                          <w:divBdr>
                            <w:top w:val="none" w:sz="0" w:space="0" w:color="auto"/>
                            <w:left w:val="none" w:sz="0" w:space="0" w:color="auto"/>
                            <w:bottom w:val="none" w:sz="0" w:space="0" w:color="auto"/>
                            <w:right w:val="none" w:sz="0" w:space="0" w:color="auto"/>
                          </w:divBdr>
                          <w:divsChild>
                            <w:div w:id="1896039382">
                              <w:marLeft w:val="0"/>
                              <w:marRight w:val="0"/>
                              <w:marTop w:val="0"/>
                              <w:marBottom w:val="0"/>
                              <w:divBdr>
                                <w:top w:val="none" w:sz="0" w:space="0" w:color="auto"/>
                                <w:left w:val="none" w:sz="0" w:space="0" w:color="auto"/>
                                <w:bottom w:val="none" w:sz="0" w:space="0" w:color="auto"/>
                                <w:right w:val="none" w:sz="0" w:space="0" w:color="auto"/>
                              </w:divBdr>
                              <w:divsChild>
                                <w:div w:id="1724014832">
                                  <w:marLeft w:val="0"/>
                                  <w:marRight w:val="0"/>
                                  <w:marTop w:val="0"/>
                                  <w:marBottom w:val="0"/>
                                  <w:divBdr>
                                    <w:top w:val="none" w:sz="0" w:space="0" w:color="auto"/>
                                    <w:left w:val="none" w:sz="0" w:space="0" w:color="auto"/>
                                    <w:bottom w:val="none" w:sz="0" w:space="0" w:color="auto"/>
                                    <w:right w:val="none" w:sz="0" w:space="0" w:color="auto"/>
                                  </w:divBdr>
                                  <w:divsChild>
                                    <w:div w:id="945576612">
                                      <w:marLeft w:val="0"/>
                                      <w:marRight w:val="0"/>
                                      <w:marTop w:val="0"/>
                                      <w:marBottom w:val="0"/>
                                      <w:divBdr>
                                        <w:top w:val="none" w:sz="0" w:space="0" w:color="auto"/>
                                        <w:left w:val="none" w:sz="0" w:space="0" w:color="auto"/>
                                        <w:bottom w:val="none" w:sz="0" w:space="0" w:color="auto"/>
                                        <w:right w:val="none" w:sz="0" w:space="0" w:color="auto"/>
                                      </w:divBdr>
                                      <w:divsChild>
                                        <w:div w:id="294023387">
                                          <w:marLeft w:val="1200"/>
                                          <w:marRight w:val="1200"/>
                                          <w:marTop w:val="0"/>
                                          <w:marBottom w:val="0"/>
                                          <w:divBdr>
                                            <w:top w:val="none" w:sz="0" w:space="0" w:color="auto"/>
                                            <w:left w:val="none" w:sz="0" w:space="0" w:color="auto"/>
                                            <w:bottom w:val="none" w:sz="0" w:space="0" w:color="auto"/>
                                            <w:right w:val="none" w:sz="0" w:space="0" w:color="auto"/>
                                          </w:divBdr>
                                          <w:divsChild>
                                            <w:div w:id="1506046908">
                                              <w:marLeft w:val="0"/>
                                              <w:marRight w:val="0"/>
                                              <w:marTop w:val="0"/>
                                              <w:marBottom w:val="0"/>
                                              <w:divBdr>
                                                <w:top w:val="none" w:sz="0" w:space="0" w:color="auto"/>
                                                <w:left w:val="none" w:sz="0" w:space="0" w:color="auto"/>
                                                <w:bottom w:val="none" w:sz="0" w:space="0" w:color="auto"/>
                                                <w:right w:val="none" w:sz="0" w:space="0" w:color="auto"/>
                                              </w:divBdr>
                                              <w:divsChild>
                                                <w:div w:id="617225250">
                                                  <w:marLeft w:val="0"/>
                                                  <w:marRight w:val="0"/>
                                                  <w:marTop w:val="0"/>
                                                  <w:marBottom w:val="0"/>
                                                  <w:divBdr>
                                                    <w:top w:val="none" w:sz="0" w:space="0" w:color="auto"/>
                                                    <w:left w:val="none" w:sz="0" w:space="0" w:color="auto"/>
                                                    <w:bottom w:val="none" w:sz="0" w:space="0" w:color="auto"/>
                                                    <w:right w:val="none" w:sz="0" w:space="0" w:color="auto"/>
                                                  </w:divBdr>
                                                  <w:divsChild>
                                                    <w:div w:id="1332372161">
                                                      <w:marLeft w:val="0"/>
                                                      <w:marRight w:val="0"/>
                                                      <w:marTop w:val="0"/>
                                                      <w:marBottom w:val="0"/>
                                                      <w:divBdr>
                                                        <w:top w:val="none" w:sz="0" w:space="0" w:color="auto"/>
                                                        <w:left w:val="none" w:sz="0" w:space="0" w:color="auto"/>
                                                        <w:bottom w:val="none" w:sz="0" w:space="0" w:color="auto"/>
                                                        <w:right w:val="none" w:sz="0" w:space="0" w:color="auto"/>
                                                      </w:divBdr>
                                                      <w:divsChild>
                                                        <w:div w:id="148525234">
                                                          <w:marLeft w:val="0"/>
                                                          <w:marRight w:val="0"/>
                                                          <w:marTop w:val="0"/>
                                                          <w:marBottom w:val="0"/>
                                                          <w:divBdr>
                                                            <w:top w:val="none" w:sz="0" w:space="0" w:color="auto"/>
                                                            <w:left w:val="none" w:sz="0" w:space="0" w:color="auto"/>
                                                            <w:bottom w:val="none" w:sz="0" w:space="0" w:color="auto"/>
                                                            <w:right w:val="none" w:sz="0" w:space="0" w:color="auto"/>
                                                          </w:divBdr>
                                                          <w:divsChild>
                                                            <w:div w:id="1156342401">
                                                              <w:marLeft w:val="0"/>
                                                              <w:marRight w:val="0"/>
                                                              <w:marTop w:val="0"/>
                                                              <w:marBottom w:val="0"/>
                                                              <w:divBdr>
                                                                <w:top w:val="none" w:sz="0" w:space="0" w:color="auto"/>
                                                                <w:left w:val="none" w:sz="0" w:space="0" w:color="auto"/>
                                                                <w:bottom w:val="none" w:sz="0" w:space="0" w:color="auto"/>
                                                                <w:right w:val="none" w:sz="0" w:space="0" w:color="auto"/>
                                                              </w:divBdr>
                                                              <w:divsChild>
                                                                <w:div w:id="1218977456">
                                                                  <w:marLeft w:val="0"/>
                                                                  <w:marRight w:val="0"/>
                                                                  <w:marTop w:val="0"/>
                                                                  <w:marBottom w:val="0"/>
                                                                  <w:divBdr>
                                                                    <w:top w:val="none" w:sz="0" w:space="0" w:color="auto"/>
                                                                    <w:left w:val="none" w:sz="0" w:space="0" w:color="auto"/>
                                                                    <w:bottom w:val="none" w:sz="0" w:space="0" w:color="auto"/>
                                                                    <w:right w:val="none" w:sz="0" w:space="0" w:color="auto"/>
                                                                  </w:divBdr>
                                                                  <w:divsChild>
                                                                    <w:div w:id="25958231">
                                                                      <w:marLeft w:val="0"/>
                                                                      <w:marRight w:val="0"/>
                                                                      <w:marTop w:val="0"/>
                                                                      <w:marBottom w:val="0"/>
                                                                      <w:divBdr>
                                                                        <w:top w:val="none" w:sz="0" w:space="0" w:color="auto"/>
                                                                        <w:left w:val="none" w:sz="0" w:space="0" w:color="auto"/>
                                                                        <w:bottom w:val="none" w:sz="0" w:space="0" w:color="auto"/>
                                                                        <w:right w:val="none" w:sz="0" w:space="0" w:color="auto"/>
                                                                      </w:divBdr>
                                                                      <w:divsChild>
                                                                        <w:div w:id="290401820">
                                                                          <w:marLeft w:val="0"/>
                                                                          <w:marRight w:val="0"/>
                                                                          <w:marTop w:val="0"/>
                                                                          <w:marBottom w:val="0"/>
                                                                          <w:divBdr>
                                                                            <w:top w:val="none" w:sz="0" w:space="0" w:color="auto"/>
                                                                            <w:left w:val="none" w:sz="0" w:space="0" w:color="auto"/>
                                                                            <w:bottom w:val="none" w:sz="0" w:space="0" w:color="auto"/>
                                                                            <w:right w:val="none" w:sz="0" w:space="0" w:color="auto"/>
                                                                          </w:divBdr>
                                                                        </w:div>
                                                                      </w:divsChild>
                                                                    </w:div>
                                                                    <w:div w:id="107093832">
                                                                      <w:marLeft w:val="0"/>
                                                                      <w:marRight w:val="0"/>
                                                                      <w:marTop w:val="0"/>
                                                                      <w:marBottom w:val="0"/>
                                                                      <w:divBdr>
                                                                        <w:top w:val="none" w:sz="0" w:space="0" w:color="auto"/>
                                                                        <w:left w:val="none" w:sz="0" w:space="0" w:color="auto"/>
                                                                        <w:bottom w:val="none" w:sz="0" w:space="0" w:color="auto"/>
                                                                        <w:right w:val="none" w:sz="0" w:space="0" w:color="auto"/>
                                                                      </w:divBdr>
                                                                      <w:divsChild>
                                                                        <w:div w:id="460924847">
                                                                          <w:marLeft w:val="0"/>
                                                                          <w:marRight w:val="0"/>
                                                                          <w:marTop w:val="0"/>
                                                                          <w:marBottom w:val="0"/>
                                                                          <w:divBdr>
                                                                            <w:top w:val="none" w:sz="0" w:space="0" w:color="auto"/>
                                                                            <w:left w:val="none" w:sz="0" w:space="0" w:color="auto"/>
                                                                            <w:bottom w:val="none" w:sz="0" w:space="0" w:color="auto"/>
                                                                            <w:right w:val="none" w:sz="0" w:space="0" w:color="auto"/>
                                                                          </w:divBdr>
                                                                        </w:div>
                                                                      </w:divsChild>
                                                                    </w:div>
                                                                    <w:div w:id="185607146">
                                                                      <w:marLeft w:val="0"/>
                                                                      <w:marRight w:val="0"/>
                                                                      <w:marTop w:val="0"/>
                                                                      <w:marBottom w:val="0"/>
                                                                      <w:divBdr>
                                                                        <w:top w:val="none" w:sz="0" w:space="0" w:color="auto"/>
                                                                        <w:left w:val="none" w:sz="0" w:space="0" w:color="auto"/>
                                                                        <w:bottom w:val="none" w:sz="0" w:space="0" w:color="auto"/>
                                                                        <w:right w:val="none" w:sz="0" w:space="0" w:color="auto"/>
                                                                      </w:divBdr>
                                                                      <w:divsChild>
                                                                        <w:div w:id="1772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554695">
      <w:bodyDiv w:val="1"/>
      <w:marLeft w:val="0"/>
      <w:marRight w:val="0"/>
      <w:marTop w:val="0"/>
      <w:marBottom w:val="0"/>
      <w:divBdr>
        <w:top w:val="none" w:sz="0" w:space="0" w:color="auto"/>
        <w:left w:val="none" w:sz="0" w:space="0" w:color="auto"/>
        <w:bottom w:val="none" w:sz="0" w:space="0" w:color="auto"/>
        <w:right w:val="none" w:sz="0" w:space="0" w:color="auto"/>
      </w:divBdr>
      <w:divsChild>
        <w:div w:id="1379936861">
          <w:marLeft w:val="0"/>
          <w:marRight w:val="0"/>
          <w:marTop w:val="0"/>
          <w:marBottom w:val="0"/>
          <w:divBdr>
            <w:top w:val="none" w:sz="0" w:space="0" w:color="auto"/>
            <w:left w:val="none" w:sz="0" w:space="0" w:color="auto"/>
            <w:bottom w:val="none" w:sz="0" w:space="0" w:color="auto"/>
            <w:right w:val="none" w:sz="0" w:space="0" w:color="auto"/>
          </w:divBdr>
          <w:divsChild>
            <w:div w:id="1389182285">
              <w:marLeft w:val="0"/>
              <w:marRight w:val="0"/>
              <w:marTop w:val="0"/>
              <w:marBottom w:val="0"/>
              <w:divBdr>
                <w:top w:val="none" w:sz="0" w:space="0" w:color="auto"/>
                <w:left w:val="none" w:sz="0" w:space="0" w:color="auto"/>
                <w:bottom w:val="none" w:sz="0" w:space="0" w:color="auto"/>
                <w:right w:val="none" w:sz="0" w:space="0" w:color="auto"/>
              </w:divBdr>
              <w:divsChild>
                <w:div w:id="2041081936">
                  <w:marLeft w:val="0"/>
                  <w:marRight w:val="0"/>
                  <w:marTop w:val="0"/>
                  <w:marBottom w:val="0"/>
                  <w:divBdr>
                    <w:top w:val="none" w:sz="0" w:space="0" w:color="auto"/>
                    <w:left w:val="none" w:sz="0" w:space="0" w:color="auto"/>
                    <w:bottom w:val="none" w:sz="0" w:space="0" w:color="auto"/>
                    <w:right w:val="none" w:sz="0" w:space="0" w:color="auto"/>
                  </w:divBdr>
                  <w:divsChild>
                    <w:div w:id="366877941">
                      <w:marLeft w:val="0"/>
                      <w:marRight w:val="0"/>
                      <w:marTop w:val="0"/>
                      <w:marBottom w:val="300"/>
                      <w:divBdr>
                        <w:top w:val="none" w:sz="0" w:space="0" w:color="auto"/>
                        <w:left w:val="none" w:sz="0" w:space="0" w:color="auto"/>
                        <w:bottom w:val="none" w:sz="0" w:space="0" w:color="auto"/>
                        <w:right w:val="none" w:sz="0" w:space="0" w:color="auto"/>
                      </w:divBdr>
                      <w:divsChild>
                        <w:div w:id="52528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33228">
      <w:bodyDiv w:val="1"/>
      <w:marLeft w:val="0"/>
      <w:marRight w:val="0"/>
      <w:marTop w:val="0"/>
      <w:marBottom w:val="0"/>
      <w:divBdr>
        <w:top w:val="none" w:sz="0" w:space="0" w:color="auto"/>
        <w:left w:val="none" w:sz="0" w:space="0" w:color="auto"/>
        <w:bottom w:val="none" w:sz="0" w:space="0" w:color="auto"/>
        <w:right w:val="none" w:sz="0" w:space="0" w:color="auto"/>
      </w:divBdr>
      <w:divsChild>
        <w:div w:id="128285616">
          <w:marLeft w:val="0"/>
          <w:marRight w:val="0"/>
          <w:marTop w:val="240"/>
          <w:marBottom w:val="0"/>
          <w:divBdr>
            <w:top w:val="none" w:sz="0" w:space="0" w:color="auto"/>
            <w:left w:val="none" w:sz="0" w:space="0" w:color="auto"/>
            <w:bottom w:val="none" w:sz="0" w:space="0" w:color="auto"/>
            <w:right w:val="none" w:sz="0" w:space="0" w:color="auto"/>
          </w:divBdr>
          <w:divsChild>
            <w:div w:id="612371914">
              <w:marLeft w:val="0"/>
              <w:marRight w:val="0"/>
              <w:marTop w:val="0"/>
              <w:marBottom w:val="0"/>
              <w:divBdr>
                <w:top w:val="none" w:sz="0" w:space="0" w:color="auto"/>
                <w:left w:val="none" w:sz="0" w:space="0" w:color="auto"/>
                <w:bottom w:val="none" w:sz="0" w:space="0" w:color="auto"/>
                <w:right w:val="none" w:sz="0" w:space="0" w:color="auto"/>
              </w:divBdr>
            </w:div>
          </w:divsChild>
        </w:div>
        <w:div w:id="1819806021">
          <w:marLeft w:val="0"/>
          <w:marRight w:val="0"/>
          <w:marTop w:val="240"/>
          <w:marBottom w:val="0"/>
          <w:divBdr>
            <w:top w:val="none" w:sz="0" w:space="0" w:color="auto"/>
            <w:left w:val="none" w:sz="0" w:space="0" w:color="auto"/>
            <w:bottom w:val="none" w:sz="0" w:space="0" w:color="auto"/>
            <w:right w:val="none" w:sz="0" w:space="0" w:color="auto"/>
          </w:divBdr>
          <w:divsChild>
            <w:div w:id="20075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67068">
      <w:bodyDiv w:val="1"/>
      <w:marLeft w:val="0"/>
      <w:marRight w:val="0"/>
      <w:marTop w:val="0"/>
      <w:marBottom w:val="0"/>
      <w:divBdr>
        <w:top w:val="none" w:sz="0" w:space="0" w:color="auto"/>
        <w:left w:val="none" w:sz="0" w:space="0" w:color="auto"/>
        <w:bottom w:val="none" w:sz="0" w:space="0" w:color="auto"/>
        <w:right w:val="none" w:sz="0" w:space="0" w:color="auto"/>
      </w:divBdr>
      <w:divsChild>
        <w:div w:id="757824074">
          <w:marLeft w:val="0"/>
          <w:marRight w:val="0"/>
          <w:marTop w:val="240"/>
          <w:marBottom w:val="0"/>
          <w:divBdr>
            <w:top w:val="none" w:sz="0" w:space="0" w:color="auto"/>
            <w:left w:val="none" w:sz="0" w:space="0" w:color="auto"/>
            <w:bottom w:val="none" w:sz="0" w:space="0" w:color="auto"/>
            <w:right w:val="none" w:sz="0" w:space="0" w:color="auto"/>
          </w:divBdr>
          <w:divsChild>
            <w:div w:id="441917627">
              <w:marLeft w:val="0"/>
              <w:marRight w:val="0"/>
              <w:marTop w:val="0"/>
              <w:marBottom w:val="0"/>
              <w:divBdr>
                <w:top w:val="none" w:sz="0" w:space="0" w:color="auto"/>
                <w:left w:val="none" w:sz="0" w:space="0" w:color="auto"/>
                <w:bottom w:val="none" w:sz="0" w:space="0" w:color="auto"/>
                <w:right w:val="none" w:sz="0" w:space="0" w:color="auto"/>
              </w:divBdr>
            </w:div>
          </w:divsChild>
        </w:div>
        <w:div w:id="623926905">
          <w:marLeft w:val="0"/>
          <w:marRight w:val="0"/>
          <w:marTop w:val="240"/>
          <w:marBottom w:val="0"/>
          <w:divBdr>
            <w:top w:val="none" w:sz="0" w:space="0" w:color="auto"/>
            <w:left w:val="none" w:sz="0" w:space="0" w:color="auto"/>
            <w:bottom w:val="none" w:sz="0" w:space="0" w:color="auto"/>
            <w:right w:val="none" w:sz="0" w:space="0" w:color="auto"/>
          </w:divBdr>
          <w:divsChild>
            <w:div w:id="168642833">
              <w:marLeft w:val="0"/>
              <w:marRight w:val="0"/>
              <w:marTop w:val="0"/>
              <w:marBottom w:val="0"/>
              <w:divBdr>
                <w:top w:val="none" w:sz="0" w:space="0" w:color="auto"/>
                <w:left w:val="none" w:sz="0" w:space="0" w:color="auto"/>
                <w:bottom w:val="none" w:sz="0" w:space="0" w:color="auto"/>
                <w:right w:val="none" w:sz="0" w:space="0" w:color="auto"/>
              </w:divBdr>
            </w:div>
          </w:divsChild>
        </w:div>
        <w:div w:id="23602116">
          <w:marLeft w:val="0"/>
          <w:marRight w:val="0"/>
          <w:marTop w:val="240"/>
          <w:marBottom w:val="0"/>
          <w:divBdr>
            <w:top w:val="none" w:sz="0" w:space="0" w:color="auto"/>
            <w:left w:val="none" w:sz="0" w:space="0" w:color="auto"/>
            <w:bottom w:val="none" w:sz="0" w:space="0" w:color="auto"/>
            <w:right w:val="none" w:sz="0" w:space="0" w:color="auto"/>
          </w:divBdr>
          <w:divsChild>
            <w:div w:id="1498497846">
              <w:marLeft w:val="0"/>
              <w:marRight w:val="0"/>
              <w:marTop w:val="0"/>
              <w:marBottom w:val="0"/>
              <w:divBdr>
                <w:top w:val="none" w:sz="0" w:space="0" w:color="auto"/>
                <w:left w:val="none" w:sz="0" w:space="0" w:color="auto"/>
                <w:bottom w:val="none" w:sz="0" w:space="0" w:color="auto"/>
                <w:right w:val="none" w:sz="0" w:space="0" w:color="auto"/>
              </w:divBdr>
            </w:div>
          </w:divsChild>
        </w:div>
        <w:div w:id="1112747086">
          <w:marLeft w:val="0"/>
          <w:marRight w:val="0"/>
          <w:marTop w:val="240"/>
          <w:marBottom w:val="0"/>
          <w:divBdr>
            <w:top w:val="none" w:sz="0" w:space="0" w:color="auto"/>
            <w:left w:val="none" w:sz="0" w:space="0" w:color="auto"/>
            <w:bottom w:val="none" w:sz="0" w:space="0" w:color="auto"/>
            <w:right w:val="none" w:sz="0" w:space="0" w:color="auto"/>
          </w:divBdr>
          <w:divsChild>
            <w:div w:id="814183277">
              <w:marLeft w:val="0"/>
              <w:marRight w:val="0"/>
              <w:marTop w:val="0"/>
              <w:marBottom w:val="0"/>
              <w:divBdr>
                <w:top w:val="none" w:sz="0" w:space="0" w:color="auto"/>
                <w:left w:val="none" w:sz="0" w:space="0" w:color="auto"/>
                <w:bottom w:val="none" w:sz="0" w:space="0" w:color="auto"/>
                <w:right w:val="none" w:sz="0" w:space="0" w:color="auto"/>
              </w:divBdr>
            </w:div>
          </w:divsChild>
        </w:div>
        <w:div w:id="580528446">
          <w:marLeft w:val="0"/>
          <w:marRight w:val="0"/>
          <w:marTop w:val="240"/>
          <w:marBottom w:val="0"/>
          <w:divBdr>
            <w:top w:val="none" w:sz="0" w:space="0" w:color="auto"/>
            <w:left w:val="none" w:sz="0" w:space="0" w:color="auto"/>
            <w:bottom w:val="none" w:sz="0" w:space="0" w:color="auto"/>
            <w:right w:val="none" w:sz="0" w:space="0" w:color="auto"/>
          </w:divBdr>
          <w:divsChild>
            <w:div w:id="12916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5673">
      <w:bodyDiv w:val="1"/>
      <w:marLeft w:val="0"/>
      <w:marRight w:val="0"/>
      <w:marTop w:val="0"/>
      <w:marBottom w:val="0"/>
      <w:divBdr>
        <w:top w:val="none" w:sz="0" w:space="0" w:color="auto"/>
        <w:left w:val="none" w:sz="0" w:space="0" w:color="auto"/>
        <w:bottom w:val="none" w:sz="0" w:space="0" w:color="auto"/>
        <w:right w:val="none" w:sz="0" w:space="0" w:color="auto"/>
      </w:divBdr>
      <w:divsChild>
        <w:div w:id="442965652">
          <w:marLeft w:val="0"/>
          <w:marRight w:val="0"/>
          <w:marTop w:val="0"/>
          <w:marBottom w:val="0"/>
          <w:divBdr>
            <w:top w:val="none" w:sz="0" w:space="0" w:color="auto"/>
            <w:left w:val="none" w:sz="0" w:space="0" w:color="auto"/>
            <w:bottom w:val="none" w:sz="0" w:space="0" w:color="auto"/>
            <w:right w:val="none" w:sz="0" w:space="0" w:color="auto"/>
          </w:divBdr>
          <w:divsChild>
            <w:div w:id="815420132">
              <w:marLeft w:val="0"/>
              <w:marRight w:val="0"/>
              <w:marTop w:val="0"/>
              <w:marBottom w:val="0"/>
              <w:divBdr>
                <w:top w:val="none" w:sz="0" w:space="0" w:color="auto"/>
                <w:left w:val="none" w:sz="0" w:space="0" w:color="auto"/>
                <w:bottom w:val="none" w:sz="0" w:space="0" w:color="auto"/>
                <w:right w:val="none" w:sz="0" w:space="0" w:color="auto"/>
              </w:divBdr>
              <w:divsChild>
                <w:div w:id="23527582">
                  <w:marLeft w:val="0"/>
                  <w:marRight w:val="0"/>
                  <w:marTop w:val="0"/>
                  <w:marBottom w:val="0"/>
                  <w:divBdr>
                    <w:top w:val="none" w:sz="0" w:space="0" w:color="auto"/>
                    <w:left w:val="none" w:sz="0" w:space="0" w:color="auto"/>
                    <w:bottom w:val="none" w:sz="0" w:space="0" w:color="auto"/>
                    <w:right w:val="none" w:sz="0" w:space="0" w:color="auto"/>
                  </w:divBdr>
                  <w:divsChild>
                    <w:div w:id="1796560792">
                      <w:marLeft w:val="0"/>
                      <w:marRight w:val="0"/>
                      <w:marTop w:val="0"/>
                      <w:marBottom w:val="375"/>
                      <w:divBdr>
                        <w:top w:val="none" w:sz="0" w:space="0" w:color="auto"/>
                        <w:left w:val="none" w:sz="0" w:space="0" w:color="auto"/>
                        <w:bottom w:val="none" w:sz="0" w:space="0" w:color="auto"/>
                        <w:right w:val="none" w:sz="0" w:space="0" w:color="auto"/>
                      </w:divBdr>
                      <w:divsChild>
                        <w:div w:id="19709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729540">
      <w:bodyDiv w:val="1"/>
      <w:marLeft w:val="0"/>
      <w:marRight w:val="0"/>
      <w:marTop w:val="0"/>
      <w:marBottom w:val="0"/>
      <w:divBdr>
        <w:top w:val="none" w:sz="0" w:space="0" w:color="auto"/>
        <w:left w:val="none" w:sz="0" w:space="0" w:color="auto"/>
        <w:bottom w:val="none" w:sz="0" w:space="0" w:color="auto"/>
        <w:right w:val="none" w:sz="0" w:space="0" w:color="auto"/>
      </w:divBdr>
    </w:div>
    <w:div w:id="917247529">
      <w:bodyDiv w:val="1"/>
      <w:marLeft w:val="0"/>
      <w:marRight w:val="0"/>
      <w:marTop w:val="0"/>
      <w:marBottom w:val="0"/>
      <w:divBdr>
        <w:top w:val="none" w:sz="0" w:space="0" w:color="auto"/>
        <w:left w:val="none" w:sz="0" w:space="0" w:color="auto"/>
        <w:bottom w:val="none" w:sz="0" w:space="0" w:color="auto"/>
        <w:right w:val="none" w:sz="0" w:space="0" w:color="auto"/>
      </w:divBdr>
      <w:divsChild>
        <w:div w:id="367488579">
          <w:marLeft w:val="0"/>
          <w:marRight w:val="0"/>
          <w:marTop w:val="0"/>
          <w:marBottom w:val="0"/>
          <w:divBdr>
            <w:top w:val="none" w:sz="0" w:space="0" w:color="auto"/>
            <w:left w:val="single" w:sz="6" w:space="0" w:color="BBBBBB"/>
            <w:bottom w:val="single" w:sz="6" w:space="0" w:color="BBBBBB"/>
            <w:right w:val="single" w:sz="6" w:space="0" w:color="BBBBBB"/>
          </w:divBdr>
          <w:divsChild>
            <w:div w:id="1261447975">
              <w:marLeft w:val="0"/>
              <w:marRight w:val="0"/>
              <w:marTop w:val="0"/>
              <w:marBottom w:val="0"/>
              <w:divBdr>
                <w:top w:val="none" w:sz="0" w:space="0" w:color="auto"/>
                <w:left w:val="none" w:sz="0" w:space="0" w:color="auto"/>
                <w:bottom w:val="none" w:sz="0" w:space="0" w:color="auto"/>
                <w:right w:val="none" w:sz="0" w:space="0" w:color="auto"/>
              </w:divBdr>
              <w:divsChild>
                <w:div w:id="930046591">
                  <w:marLeft w:val="0"/>
                  <w:marRight w:val="0"/>
                  <w:marTop w:val="75"/>
                  <w:marBottom w:val="0"/>
                  <w:divBdr>
                    <w:top w:val="none" w:sz="0" w:space="0" w:color="auto"/>
                    <w:left w:val="none" w:sz="0" w:space="0" w:color="auto"/>
                    <w:bottom w:val="none" w:sz="0" w:space="0" w:color="auto"/>
                    <w:right w:val="none" w:sz="0" w:space="0" w:color="auto"/>
                  </w:divBdr>
                  <w:divsChild>
                    <w:div w:id="120736384">
                      <w:marLeft w:val="0"/>
                      <w:marRight w:val="0"/>
                      <w:marTop w:val="0"/>
                      <w:marBottom w:val="0"/>
                      <w:divBdr>
                        <w:top w:val="none" w:sz="0" w:space="0" w:color="auto"/>
                        <w:left w:val="none" w:sz="0" w:space="0" w:color="auto"/>
                        <w:bottom w:val="none" w:sz="0" w:space="0" w:color="auto"/>
                        <w:right w:val="none" w:sz="0" w:space="0" w:color="auto"/>
                      </w:divBdr>
                      <w:divsChild>
                        <w:div w:id="1992129551">
                          <w:marLeft w:val="0"/>
                          <w:marRight w:val="0"/>
                          <w:marTop w:val="0"/>
                          <w:marBottom w:val="0"/>
                          <w:divBdr>
                            <w:top w:val="none" w:sz="0" w:space="0" w:color="auto"/>
                            <w:left w:val="none" w:sz="0" w:space="0" w:color="auto"/>
                            <w:bottom w:val="none" w:sz="0" w:space="0" w:color="auto"/>
                            <w:right w:val="none" w:sz="0" w:space="0" w:color="auto"/>
                          </w:divBdr>
                          <w:divsChild>
                            <w:div w:id="200827720">
                              <w:marLeft w:val="0"/>
                              <w:marRight w:val="0"/>
                              <w:marTop w:val="0"/>
                              <w:marBottom w:val="0"/>
                              <w:divBdr>
                                <w:top w:val="none" w:sz="0" w:space="0" w:color="auto"/>
                                <w:left w:val="none" w:sz="0" w:space="0" w:color="auto"/>
                                <w:bottom w:val="none" w:sz="0" w:space="0" w:color="auto"/>
                                <w:right w:val="none" w:sz="0" w:space="0" w:color="auto"/>
                              </w:divBdr>
                              <w:divsChild>
                                <w:div w:id="388962046">
                                  <w:marLeft w:val="0"/>
                                  <w:marRight w:val="0"/>
                                  <w:marTop w:val="0"/>
                                  <w:marBottom w:val="0"/>
                                  <w:divBdr>
                                    <w:top w:val="none" w:sz="0" w:space="0" w:color="auto"/>
                                    <w:left w:val="none" w:sz="0" w:space="0" w:color="auto"/>
                                    <w:bottom w:val="none" w:sz="0" w:space="0" w:color="auto"/>
                                    <w:right w:val="none" w:sz="0" w:space="0" w:color="auto"/>
                                  </w:divBdr>
                                  <w:divsChild>
                                    <w:div w:id="1039667242">
                                      <w:marLeft w:val="0"/>
                                      <w:marRight w:val="0"/>
                                      <w:marTop w:val="0"/>
                                      <w:marBottom w:val="0"/>
                                      <w:divBdr>
                                        <w:top w:val="none" w:sz="0" w:space="0" w:color="auto"/>
                                        <w:left w:val="none" w:sz="0" w:space="0" w:color="auto"/>
                                        <w:bottom w:val="none" w:sz="0" w:space="0" w:color="auto"/>
                                        <w:right w:val="none" w:sz="0" w:space="0" w:color="auto"/>
                                      </w:divBdr>
                                      <w:divsChild>
                                        <w:div w:id="1129472919">
                                          <w:marLeft w:val="1200"/>
                                          <w:marRight w:val="1200"/>
                                          <w:marTop w:val="0"/>
                                          <w:marBottom w:val="0"/>
                                          <w:divBdr>
                                            <w:top w:val="none" w:sz="0" w:space="0" w:color="auto"/>
                                            <w:left w:val="none" w:sz="0" w:space="0" w:color="auto"/>
                                            <w:bottom w:val="none" w:sz="0" w:space="0" w:color="auto"/>
                                            <w:right w:val="none" w:sz="0" w:space="0" w:color="auto"/>
                                          </w:divBdr>
                                          <w:divsChild>
                                            <w:div w:id="352923730">
                                              <w:marLeft w:val="0"/>
                                              <w:marRight w:val="0"/>
                                              <w:marTop w:val="0"/>
                                              <w:marBottom w:val="0"/>
                                              <w:divBdr>
                                                <w:top w:val="none" w:sz="0" w:space="0" w:color="auto"/>
                                                <w:left w:val="none" w:sz="0" w:space="0" w:color="auto"/>
                                                <w:bottom w:val="none" w:sz="0" w:space="0" w:color="auto"/>
                                                <w:right w:val="none" w:sz="0" w:space="0" w:color="auto"/>
                                              </w:divBdr>
                                              <w:divsChild>
                                                <w:div w:id="983630258">
                                                  <w:marLeft w:val="0"/>
                                                  <w:marRight w:val="0"/>
                                                  <w:marTop w:val="0"/>
                                                  <w:marBottom w:val="0"/>
                                                  <w:divBdr>
                                                    <w:top w:val="none" w:sz="0" w:space="0" w:color="auto"/>
                                                    <w:left w:val="none" w:sz="0" w:space="0" w:color="auto"/>
                                                    <w:bottom w:val="none" w:sz="0" w:space="0" w:color="auto"/>
                                                    <w:right w:val="none" w:sz="0" w:space="0" w:color="auto"/>
                                                  </w:divBdr>
                                                  <w:divsChild>
                                                    <w:div w:id="1034044008">
                                                      <w:marLeft w:val="0"/>
                                                      <w:marRight w:val="0"/>
                                                      <w:marTop w:val="0"/>
                                                      <w:marBottom w:val="0"/>
                                                      <w:divBdr>
                                                        <w:top w:val="none" w:sz="0" w:space="0" w:color="auto"/>
                                                        <w:left w:val="none" w:sz="0" w:space="0" w:color="auto"/>
                                                        <w:bottom w:val="none" w:sz="0" w:space="0" w:color="auto"/>
                                                        <w:right w:val="none" w:sz="0" w:space="0" w:color="auto"/>
                                                      </w:divBdr>
                                                      <w:divsChild>
                                                        <w:div w:id="2052263648">
                                                          <w:marLeft w:val="0"/>
                                                          <w:marRight w:val="0"/>
                                                          <w:marTop w:val="0"/>
                                                          <w:marBottom w:val="0"/>
                                                          <w:divBdr>
                                                            <w:top w:val="none" w:sz="0" w:space="0" w:color="auto"/>
                                                            <w:left w:val="none" w:sz="0" w:space="0" w:color="auto"/>
                                                            <w:bottom w:val="none" w:sz="0" w:space="0" w:color="auto"/>
                                                            <w:right w:val="none" w:sz="0" w:space="0" w:color="auto"/>
                                                          </w:divBdr>
                                                          <w:divsChild>
                                                            <w:div w:id="871916367">
                                                              <w:marLeft w:val="0"/>
                                                              <w:marRight w:val="0"/>
                                                              <w:marTop w:val="0"/>
                                                              <w:marBottom w:val="0"/>
                                                              <w:divBdr>
                                                                <w:top w:val="none" w:sz="0" w:space="0" w:color="auto"/>
                                                                <w:left w:val="none" w:sz="0" w:space="0" w:color="auto"/>
                                                                <w:bottom w:val="none" w:sz="0" w:space="0" w:color="auto"/>
                                                                <w:right w:val="none" w:sz="0" w:space="0" w:color="auto"/>
                                                              </w:divBdr>
                                                              <w:divsChild>
                                                                <w:div w:id="440683640">
                                                                  <w:marLeft w:val="0"/>
                                                                  <w:marRight w:val="0"/>
                                                                  <w:marTop w:val="0"/>
                                                                  <w:marBottom w:val="0"/>
                                                                  <w:divBdr>
                                                                    <w:top w:val="none" w:sz="0" w:space="0" w:color="auto"/>
                                                                    <w:left w:val="none" w:sz="0" w:space="0" w:color="auto"/>
                                                                    <w:bottom w:val="none" w:sz="0" w:space="0" w:color="auto"/>
                                                                    <w:right w:val="none" w:sz="0" w:space="0" w:color="auto"/>
                                                                  </w:divBdr>
                                                                  <w:divsChild>
                                                                    <w:div w:id="98455358">
                                                                      <w:marLeft w:val="0"/>
                                                                      <w:marRight w:val="0"/>
                                                                      <w:marTop w:val="0"/>
                                                                      <w:marBottom w:val="0"/>
                                                                      <w:divBdr>
                                                                        <w:top w:val="none" w:sz="0" w:space="0" w:color="auto"/>
                                                                        <w:left w:val="none" w:sz="0" w:space="0" w:color="auto"/>
                                                                        <w:bottom w:val="none" w:sz="0" w:space="0" w:color="auto"/>
                                                                        <w:right w:val="none" w:sz="0" w:space="0" w:color="auto"/>
                                                                      </w:divBdr>
                                                                      <w:divsChild>
                                                                        <w:div w:id="604925816">
                                                                          <w:marLeft w:val="0"/>
                                                                          <w:marRight w:val="0"/>
                                                                          <w:marTop w:val="0"/>
                                                                          <w:marBottom w:val="0"/>
                                                                          <w:divBdr>
                                                                            <w:top w:val="none" w:sz="0" w:space="0" w:color="auto"/>
                                                                            <w:left w:val="none" w:sz="0" w:space="0" w:color="auto"/>
                                                                            <w:bottom w:val="none" w:sz="0" w:space="0" w:color="auto"/>
                                                                            <w:right w:val="none" w:sz="0" w:space="0" w:color="auto"/>
                                                                          </w:divBdr>
                                                                        </w:div>
                                                                      </w:divsChild>
                                                                    </w:div>
                                                                    <w:div w:id="750348202">
                                                                      <w:marLeft w:val="0"/>
                                                                      <w:marRight w:val="0"/>
                                                                      <w:marTop w:val="0"/>
                                                                      <w:marBottom w:val="0"/>
                                                                      <w:divBdr>
                                                                        <w:top w:val="none" w:sz="0" w:space="0" w:color="auto"/>
                                                                        <w:left w:val="none" w:sz="0" w:space="0" w:color="auto"/>
                                                                        <w:bottom w:val="none" w:sz="0" w:space="0" w:color="auto"/>
                                                                        <w:right w:val="none" w:sz="0" w:space="0" w:color="auto"/>
                                                                      </w:divBdr>
                                                                      <w:divsChild>
                                                                        <w:div w:id="1428041796">
                                                                          <w:marLeft w:val="0"/>
                                                                          <w:marRight w:val="0"/>
                                                                          <w:marTop w:val="0"/>
                                                                          <w:marBottom w:val="0"/>
                                                                          <w:divBdr>
                                                                            <w:top w:val="none" w:sz="0" w:space="0" w:color="auto"/>
                                                                            <w:left w:val="none" w:sz="0" w:space="0" w:color="auto"/>
                                                                            <w:bottom w:val="none" w:sz="0" w:space="0" w:color="auto"/>
                                                                            <w:right w:val="none" w:sz="0" w:space="0" w:color="auto"/>
                                                                          </w:divBdr>
                                                                        </w:div>
                                                                      </w:divsChild>
                                                                    </w:div>
                                                                    <w:div w:id="846334851">
                                                                      <w:marLeft w:val="0"/>
                                                                      <w:marRight w:val="0"/>
                                                                      <w:marTop w:val="0"/>
                                                                      <w:marBottom w:val="0"/>
                                                                      <w:divBdr>
                                                                        <w:top w:val="none" w:sz="0" w:space="0" w:color="auto"/>
                                                                        <w:left w:val="none" w:sz="0" w:space="0" w:color="auto"/>
                                                                        <w:bottom w:val="none" w:sz="0" w:space="0" w:color="auto"/>
                                                                        <w:right w:val="none" w:sz="0" w:space="0" w:color="auto"/>
                                                                      </w:divBdr>
                                                                      <w:divsChild>
                                                                        <w:div w:id="442916525">
                                                                          <w:marLeft w:val="0"/>
                                                                          <w:marRight w:val="0"/>
                                                                          <w:marTop w:val="0"/>
                                                                          <w:marBottom w:val="0"/>
                                                                          <w:divBdr>
                                                                            <w:top w:val="none" w:sz="0" w:space="0" w:color="auto"/>
                                                                            <w:left w:val="none" w:sz="0" w:space="0" w:color="auto"/>
                                                                            <w:bottom w:val="none" w:sz="0" w:space="0" w:color="auto"/>
                                                                            <w:right w:val="none" w:sz="0" w:space="0" w:color="auto"/>
                                                                          </w:divBdr>
                                                                        </w:div>
                                                                        <w:div w:id="1295019176">
                                                                          <w:marLeft w:val="0"/>
                                                                          <w:marRight w:val="0"/>
                                                                          <w:marTop w:val="0"/>
                                                                          <w:marBottom w:val="0"/>
                                                                          <w:divBdr>
                                                                            <w:top w:val="none" w:sz="0" w:space="0" w:color="auto"/>
                                                                            <w:left w:val="none" w:sz="0" w:space="0" w:color="auto"/>
                                                                            <w:bottom w:val="none" w:sz="0" w:space="0" w:color="auto"/>
                                                                            <w:right w:val="none" w:sz="0" w:space="0" w:color="auto"/>
                                                                          </w:divBdr>
                                                                        </w:div>
                                                                        <w:div w:id="1679430607">
                                                                          <w:marLeft w:val="0"/>
                                                                          <w:marRight w:val="0"/>
                                                                          <w:marTop w:val="0"/>
                                                                          <w:marBottom w:val="0"/>
                                                                          <w:divBdr>
                                                                            <w:top w:val="none" w:sz="0" w:space="0" w:color="auto"/>
                                                                            <w:left w:val="none" w:sz="0" w:space="0" w:color="auto"/>
                                                                            <w:bottom w:val="none" w:sz="0" w:space="0" w:color="auto"/>
                                                                            <w:right w:val="none" w:sz="0" w:space="0" w:color="auto"/>
                                                                          </w:divBdr>
                                                                          <w:divsChild>
                                                                            <w:div w:id="1487622542">
                                                                              <w:marLeft w:val="0"/>
                                                                              <w:marRight w:val="0"/>
                                                                              <w:marTop w:val="0"/>
                                                                              <w:marBottom w:val="0"/>
                                                                              <w:divBdr>
                                                                                <w:top w:val="none" w:sz="0" w:space="0" w:color="auto"/>
                                                                                <w:left w:val="none" w:sz="0" w:space="0" w:color="auto"/>
                                                                                <w:bottom w:val="none" w:sz="0" w:space="0" w:color="auto"/>
                                                                                <w:right w:val="none" w:sz="0" w:space="0" w:color="auto"/>
                                                                              </w:divBdr>
                                                                              <w:divsChild>
                                                                                <w:div w:id="51265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3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43349">
                                                                          <w:marLeft w:val="0"/>
                                                                          <w:marRight w:val="0"/>
                                                                          <w:marTop w:val="0"/>
                                                                          <w:marBottom w:val="0"/>
                                                                          <w:divBdr>
                                                                            <w:top w:val="none" w:sz="0" w:space="0" w:color="auto"/>
                                                                            <w:left w:val="none" w:sz="0" w:space="0" w:color="auto"/>
                                                                            <w:bottom w:val="none" w:sz="0" w:space="0" w:color="auto"/>
                                                                            <w:right w:val="none" w:sz="0" w:space="0" w:color="auto"/>
                                                                          </w:divBdr>
                                                                          <w:divsChild>
                                                                            <w:div w:id="12996109">
                                                                              <w:marLeft w:val="0"/>
                                                                              <w:marRight w:val="0"/>
                                                                              <w:marTop w:val="0"/>
                                                                              <w:marBottom w:val="0"/>
                                                                              <w:divBdr>
                                                                                <w:top w:val="none" w:sz="0" w:space="0" w:color="auto"/>
                                                                                <w:left w:val="none" w:sz="0" w:space="0" w:color="auto"/>
                                                                                <w:bottom w:val="none" w:sz="0" w:space="0" w:color="auto"/>
                                                                                <w:right w:val="none" w:sz="0" w:space="0" w:color="auto"/>
                                                                              </w:divBdr>
                                                                              <w:divsChild>
                                                                                <w:div w:id="695618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50004">
                                                                          <w:marLeft w:val="0"/>
                                                                          <w:marRight w:val="0"/>
                                                                          <w:marTop w:val="0"/>
                                                                          <w:marBottom w:val="0"/>
                                                                          <w:divBdr>
                                                                            <w:top w:val="none" w:sz="0" w:space="0" w:color="auto"/>
                                                                            <w:left w:val="none" w:sz="0" w:space="0" w:color="auto"/>
                                                                            <w:bottom w:val="none" w:sz="0" w:space="0" w:color="auto"/>
                                                                            <w:right w:val="none" w:sz="0" w:space="0" w:color="auto"/>
                                                                          </w:divBdr>
                                                                        </w:div>
                                                                      </w:divsChild>
                                                                    </w:div>
                                                                    <w:div w:id="1140077961">
                                                                      <w:marLeft w:val="0"/>
                                                                      <w:marRight w:val="0"/>
                                                                      <w:marTop w:val="0"/>
                                                                      <w:marBottom w:val="0"/>
                                                                      <w:divBdr>
                                                                        <w:top w:val="none" w:sz="0" w:space="0" w:color="auto"/>
                                                                        <w:left w:val="none" w:sz="0" w:space="0" w:color="auto"/>
                                                                        <w:bottom w:val="none" w:sz="0" w:space="0" w:color="auto"/>
                                                                        <w:right w:val="none" w:sz="0" w:space="0" w:color="auto"/>
                                                                      </w:divBdr>
                                                                      <w:divsChild>
                                                                        <w:div w:id="1488935307">
                                                                          <w:marLeft w:val="0"/>
                                                                          <w:marRight w:val="0"/>
                                                                          <w:marTop w:val="0"/>
                                                                          <w:marBottom w:val="0"/>
                                                                          <w:divBdr>
                                                                            <w:top w:val="none" w:sz="0" w:space="0" w:color="auto"/>
                                                                            <w:left w:val="none" w:sz="0" w:space="0" w:color="auto"/>
                                                                            <w:bottom w:val="none" w:sz="0" w:space="0" w:color="auto"/>
                                                                            <w:right w:val="none" w:sz="0" w:space="0" w:color="auto"/>
                                                                          </w:divBdr>
                                                                        </w:div>
                                                                      </w:divsChild>
                                                                    </w:div>
                                                                    <w:div w:id="1194419535">
                                                                      <w:marLeft w:val="0"/>
                                                                      <w:marRight w:val="0"/>
                                                                      <w:marTop w:val="0"/>
                                                                      <w:marBottom w:val="0"/>
                                                                      <w:divBdr>
                                                                        <w:top w:val="none" w:sz="0" w:space="0" w:color="auto"/>
                                                                        <w:left w:val="none" w:sz="0" w:space="0" w:color="auto"/>
                                                                        <w:bottom w:val="none" w:sz="0" w:space="0" w:color="auto"/>
                                                                        <w:right w:val="none" w:sz="0" w:space="0" w:color="auto"/>
                                                                      </w:divBdr>
                                                                      <w:divsChild>
                                                                        <w:div w:id="244148970">
                                                                          <w:marLeft w:val="0"/>
                                                                          <w:marRight w:val="0"/>
                                                                          <w:marTop w:val="0"/>
                                                                          <w:marBottom w:val="0"/>
                                                                          <w:divBdr>
                                                                            <w:top w:val="none" w:sz="0" w:space="0" w:color="auto"/>
                                                                            <w:left w:val="none" w:sz="0" w:space="0" w:color="auto"/>
                                                                            <w:bottom w:val="none" w:sz="0" w:space="0" w:color="auto"/>
                                                                            <w:right w:val="none" w:sz="0" w:space="0" w:color="auto"/>
                                                                          </w:divBdr>
                                                                        </w:div>
                                                                      </w:divsChild>
                                                                    </w:div>
                                                                    <w:div w:id="1656225894">
                                                                      <w:marLeft w:val="0"/>
                                                                      <w:marRight w:val="0"/>
                                                                      <w:marTop w:val="0"/>
                                                                      <w:marBottom w:val="0"/>
                                                                      <w:divBdr>
                                                                        <w:top w:val="none" w:sz="0" w:space="0" w:color="auto"/>
                                                                        <w:left w:val="none" w:sz="0" w:space="0" w:color="auto"/>
                                                                        <w:bottom w:val="none" w:sz="0" w:space="0" w:color="auto"/>
                                                                        <w:right w:val="none" w:sz="0" w:space="0" w:color="auto"/>
                                                                      </w:divBdr>
                                                                      <w:divsChild>
                                                                        <w:div w:id="586233315">
                                                                          <w:marLeft w:val="0"/>
                                                                          <w:marRight w:val="0"/>
                                                                          <w:marTop w:val="0"/>
                                                                          <w:marBottom w:val="0"/>
                                                                          <w:divBdr>
                                                                            <w:top w:val="none" w:sz="0" w:space="0" w:color="auto"/>
                                                                            <w:left w:val="none" w:sz="0" w:space="0" w:color="auto"/>
                                                                            <w:bottom w:val="none" w:sz="0" w:space="0" w:color="auto"/>
                                                                            <w:right w:val="none" w:sz="0" w:space="0" w:color="auto"/>
                                                                          </w:divBdr>
                                                                          <w:divsChild>
                                                                            <w:div w:id="5736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7282">
                                                                      <w:marLeft w:val="0"/>
                                                                      <w:marRight w:val="0"/>
                                                                      <w:marTop w:val="0"/>
                                                                      <w:marBottom w:val="0"/>
                                                                      <w:divBdr>
                                                                        <w:top w:val="none" w:sz="0" w:space="0" w:color="auto"/>
                                                                        <w:left w:val="none" w:sz="0" w:space="0" w:color="auto"/>
                                                                        <w:bottom w:val="none" w:sz="0" w:space="0" w:color="auto"/>
                                                                        <w:right w:val="none" w:sz="0" w:space="0" w:color="auto"/>
                                                                      </w:divBdr>
                                                                      <w:divsChild>
                                                                        <w:div w:id="1305700675">
                                                                          <w:marLeft w:val="0"/>
                                                                          <w:marRight w:val="0"/>
                                                                          <w:marTop w:val="0"/>
                                                                          <w:marBottom w:val="0"/>
                                                                          <w:divBdr>
                                                                            <w:top w:val="none" w:sz="0" w:space="0" w:color="auto"/>
                                                                            <w:left w:val="none" w:sz="0" w:space="0" w:color="auto"/>
                                                                            <w:bottom w:val="none" w:sz="0" w:space="0" w:color="auto"/>
                                                                            <w:right w:val="none" w:sz="0" w:space="0" w:color="auto"/>
                                                                          </w:divBdr>
                                                                        </w:div>
                                                                      </w:divsChild>
                                                                    </w:div>
                                                                    <w:div w:id="2108844553">
                                                                      <w:marLeft w:val="0"/>
                                                                      <w:marRight w:val="0"/>
                                                                      <w:marTop w:val="0"/>
                                                                      <w:marBottom w:val="0"/>
                                                                      <w:divBdr>
                                                                        <w:top w:val="none" w:sz="0" w:space="0" w:color="auto"/>
                                                                        <w:left w:val="none" w:sz="0" w:space="0" w:color="auto"/>
                                                                        <w:bottom w:val="none" w:sz="0" w:space="0" w:color="auto"/>
                                                                        <w:right w:val="none" w:sz="0" w:space="0" w:color="auto"/>
                                                                      </w:divBdr>
                                                                      <w:divsChild>
                                                                        <w:div w:id="1319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8366719">
      <w:bodyDiv w:val="1"/>
      <w:marLeft w:val="0"/>
      <w:marRight w:val="0"/>
      <w:marTop w:val="0"/>
      <w:marBottom w:val="0"/>
      <w:divBdr>
        <w:top w:val="none" w:sz="0" w:space="0" w:color="auto"/>
        <w:left w:val="none" w:sz="0" w:space="0" w:color="auto"/>
        <w:bottom w:val="none" w:sz="0" w:space="0" w:color="auto"/>
        <w:right w:val="none" w:sz="0" w:space="0" w:color="auto"/>
      </w:divBdr>
      <w:divsChild>
        <w:div w:id="702245113">
          <w:marLeft w:val="0"/>
          <w:marRight w:val="0"/>
          <w:marTop w:val="0"/>
          <w:marBottom w:val="0"/>
          <w:divBdr>
            <w:top w:val="none" w:sz="0" w:space="0" w:color="auto"/>
            <w:left w:val="single" w:sz="6" w:space="0" w:color="BBBBBB"/>
            <w:bottom w:val="single" w:sz="6" w:space="0" w:color="BBBBBB"/>
            <w:right w:val="single" w:sz="6" w:space="0" w:color="BBBBBB"/>
          </w:divBdr>
          <w:divsChild>
            <w:div w:id="776364717">
              <w:marLeft w:val="0"/>
              <w:marRight w:val="0"/>
              <w:marTop w:val="0"/>
              <w:marBottom w:val="0"/>
              <w:divBdr>
                <w:top w:val="none" w:sz="0" w:space="0" w:color="auto"/>
                <w:left w:val="none" w:sz="0" w:space="0" w:color="auto"/>
                <w:bottom w:val="none" w:sz="0" w:space="0" w:color="auto"/>
                <w:right w:val="none" w:sz="0" w:space="0" w:color="auto"/>
              </w:divBdr>
              <w:divsChild>
                <w:div w:id="1853717040">
                  <w:marLeft w:val="0"/>
                  <w:marRight w:val="0"/>
                  <w:marTop w:val="0"/>
                  <w:marBottom w:val="0"/>
                  <w:divBdr>
                    <w:top w:val="none" w:sz="0" w:space="0" w:color="auto"/>
                    <w:left w:val="none" w:sz="0" w:space="0" w:color="auto"/>
                    <w:bottom w:val="none" w:sz="0" w:space="0" w:color="auto"/>
                    <w:right w:val="none" w:sz="0" w:space="0" w:color="auto"/>
                  </w:divBdr>
                  <w:divsChild>
                    <w:div w:id="666445739">
                      <w:marLeft w:val="0"/>
                      <w:marRight w:val="0"/>
                      <w:marTop w:val="0"/>
                      <w:marBottom w:val="0"/>
                      <w:divBdr>
                        <w:top w:val="none" w:sz="0" w:space="0" w:color="auto"/>
                        <w:left w:val="none" w:sz="0" w:space="0" w:color="auto"/>
                        <w:bottom w:val="none" w:sz="0" w:space="0" w:color="auto"/>
                        <w:right w:val="none" w:sz="0" w:space="0" w:color="auto"/>
                      </w:divBdr>
                      <w:divsChild>
                        <w:div w:id="1037126319">
                          <w:marLeft w:val="0"/>
                          <w:marRight w:val="0"/>
                          <w:marTop w:val="0"/>
                          <w:marBottom w:val="0"/>
                          <w:divBdr>
                            <w:top w:val="none" w:sz="0" w:space="0" w:color="auto"/>
                            <w:left w:val="none" w:sz="0" w:space="0" w:color="auto"/>
                            <w:bottom w:val="none" w:sz="0" w:space="0" w:color="auto"/>
                            <w:right w:val="none" w:sz="0" w:space="0" w:color="auto"/>
                          </w:divBdr>
                          <w:divsChild>
                            <w:div w:id="340397449">
                              <w:marLeft w:val="0"/>
                              <w:marRight w:val="0"/>
                              <w:marTop w:val="0"/>
                              <w:marBottom w:val="0"/>
                              <w:divBdr>
                                <w:top w:val="none" w:sz="0" w:space="0" w:color="auto"/>
                                <w:left w:val="none" w:sz="0" w:space="0" w:color="auto"/>
                                <w:bottom w:val="none" w:sz="0" w:space="0" w:color="auto"/>
                                <w:right w:val="none" w:sz="0" w:space="0" w:color="auto"/>
                              </w:divBdr>
                              <w:divsChild>
                                <w:div w:id="2106807502">
                                  <w:marLeft w:val="0"/>
                                  <w:marRight w:val="0"/>
                                  <w:marTop w:val="0"/>
                                  <w:marBottom w:val="0"/>
                                  <w:divBdr>
                                    <w:top w:val="none" w:sz="0" w:space="0" w:color="auto"/>
                                    <w:left w:val="none" w:sz="0" w:space="0" w:color="auto"/>
                                    <w:bottom w:val="none" w:sz="0" w:space="0" w:color="auto"/>
                                    <w:right w:val="none" w:sz="0" w:space="0" w:color="auto"/>
                                  </w:divBdr>
                                  <w:divsChild>
                                    <w:div w:id="1204320221">
                                      <w:marLeft w:val="0"/>
                                      <w:marRight w:val="0"/>
                                      <w:marTop w:val="0"/>
                                      <w:marBottom w:val="0"/>
                                      <w:divBdr>
                                        <w:top w:val="none" w:sz="0" w:space="0" w:color="auto"/>
                                        <w:left w:val="none" w:sz="0" w:space="0" w:color="auto"/>
                                        <w:bottom w:val="none" w:sz="0" w:space="0" w:color="auto"/>
                                        <w:right w:val="none" w:sz="0" w:space="0" w:color="auto"/>
                                      </w:divBdr>
                                      <w:divsChild>
                                        <w:div w:id="477842869">
                                          <w:marLeft w:val="1200"/>
                                          <w:marRight w:val="1200"/>
                                          <w:marTop w:val="0"/>
                                          <w:marBottom w:val="0"/>
                                          <w:divBdr>
                                            <w:top w:val="none" w:sz="0" w:space="0" w:color="auto"/>
                                            <w:left w:val="none" w:sz="0" w:space="0" w:color="auto"/>
                                            <w:bottom w:val="none" w:sz="0" w:space="0" w:color="auto"/>
                                            <w:right w:val="none" w:sz="0" w:space="0" w:color="auto"/>
                                          </w:divBdr>
                                          <w:divsChild>
                                            <w:div w:id="1533761079">
                                              <w:marLeft w:val="0"/>
                                              <w:marRight w:val="0"/>
                                              <w:marTop w:val="0"/>
                                              <w:marBottom w:val="0"/>
                                              <w:divBdr>
                                                <w:top w:val="none" w:sz="0" w:space="0" w:color="auto"/>
                                                <w:left w:val="none" w:sz="0" w:space="0" w:color="auto"/>
                                                <w:bottom w:val="none" w:sz="0" w:space="0" w:color="auto"/>
                                                <w:right w:val="none" w:sz="0" w:space="0" w:color="auto"/>
                                              </w:divBdr>
                                              <w:divsChild>
                                                <w:div w:id="1299186937">
                                                  <w:marLeft w:val="0"/>
                                                  <w:marRight w:val="0"/>
                                                  <w:marTop w:val="0"/>
                                                  <w:marBottom w:val="0"/>
                                                  <w:divBdr>
                                                    <w:top w:val="none" w:sz="0" w:space="0" w:color="auto"/>
                                                    <w:left w:val="none" w:sz="0" w:space="0" w:color="auto"/>
                                                    <w:bottom w:val="none" w:sz="0" w:space="0" w:color="auto"/>
                                                    <w:right w:val="none" w:sz="0" w:space="0" w:color="auto"/>
                                                  </w:divBdr>
                                                  <w:divsChild>
                                                    <w:div w:id="719591428">
                                                      <w:marLeft w:val="0"/>
                                                      <w:marRight w:val="0"/>
                                                      <w:marTop w:val="0"/>
                                                      <w:marBottom w:val="0"/>
                                                      <w:divBdr>
                                                        <w:top w:val="none" w:sz="0" w:space="0" w:color="auto"/>
                                                        <w:left w:val="none" w:sz="0" w:space="0" w:color="auto"/>
                                                        <w:bottom w:val="none" w:sz="0" w:space="0" w:color="auto"/>
                                                        <w:right w:val="none" w:sz="0" w:space="0" w:color="auto"/>
                                                      </w:divBdr>
                                                      <w:divsChild>
                                                        <w:div w:id="1593007976">
                                                          <w:marLeft w:val="0"/>
                                                          <w:marRight w:val="0"/>
                                                          <w:marTop w:val="0"/>
                                                          <w:marBottom w:val="0"/>
                                                          <w:divBdr>
                                                            <w:top w:val="none" w:sz="0" w:space="0" w:color="auto"/>
                                                            <w:left w:val="none" w:sz="0" w:space="0" w:color="auto"/>
                                                            <w:bottom w:val="none" w:sz="0" w:space="0" w:color="auto"/>
                                                            <w:right w:val="none" w:sz="0" w:space="0" w:color="auto"/>
                                                          </w:divBdr>
                                                          <w:divsChild>
                                                            <w:div w:id="1022704173">
                                                              <w:marLeft w:val="0"/>
                                                              <w:marRight w:val="0"/>
                                                              <w:marTop w:val="0"/>
                                                              <w:marBottom w:val="0"/>
                                                              <w:divBdr>
                                                                <w:top w:val="none" w:sz="0" w:space="0" w:color="auto"/>
                                                                <w:left w:val="none" w:sz="0" w:space="0" w:color="auto"/>
                                                                <w:bottom w:val="none" w:sz="0" w:space="0" w:color="auto"/>
                                                                <w:right w:val="none" w:sz="0" w:space="0" w:color="auto"/>
                                                              </w:divBdr>
                                                              <w:divsChild>
                                                                <w:div w:id="537201910">
                                                                  <w:marLeft w:val="0"/>
                                                                  <w:marRight w:val="0"/>
                                                                  <w:marTop w:val="0"/>
                                                                  <w:marBottom w:val="0"/>
                                                                  <w:divBdr>
                                                                    <w:top w:val="none" w:sz="0" w:space="0" w:color="auto"/>
                                                                    <w:left w:val="none" w:sz="0" w:space="0" w:color="auto"/>
                                                                    <w:bottom w:val="none" w:sz="0" w:space="0" w:color="auto"/>
                                                                    <w:right w:val="none" w:sz="0" w:space="0" w:color="auto"/>
                                                                  </w:divBdr>
                                                                  <w:divsChild>
                                                                    <w:div w:id="1320039669">
                                                                      <w:marLeft w:val="0"/>
                                                                      <w:marRight w:val="0"/>
                                                                      <w:marTop w:val="0"/>
                                                                      <w:marBottom w:val="0"/>
                                                                      <w:divBdr>
                                                                        <w:top w:val="none" w:sz="0" w:space="0" w:color="auto"/>
                                                                        <w:left w:val="none" w:sz="0" w:space="0" w:color="auto"/>
                                                                        <w:bottom w:val="none" w:sz="0" w:space="0" w:color="auto"/>
                                                                        <w:right w:val="none" w:sz="0" w:space="0" w:color="auto"/>
                                                                      </w:divBdr>
                                                                      <w:divsChild>
                                                                        <w:div w:id="618025219">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1460565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3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564777">
      <w:bodyDiv w:val="1"/>
      <w:marLeft w:val="0"/>
      <w:marRight w:val="0"/>
      <w:marTop w:val="0"/>
      <w:marBottom w:val="0"/>
      <w:divBdr>
        <w:top w:val="none" w:sz="0" w:space="0" w:color="auto"/>
        <w:left w:val="none" w:sz="0" w:space="0" w:color="auto"/>
        <w:bottom w:val="none" w:sz="0" w:space="0" w:color="auto"/>
        <w:right w:val="none" w:sz="0" w:space="0" w:color="auto"/>
      </w:divBdr>
      <w:divsChild>
        <w:div w:id="502472657">
          <w:marLeft w:val="0"/>
          <w:marRight w:val="0"/>
          <w:marTop w:val="0"/>
          <w:marBottom w:val="0"/>
          <w:divBdr>
            <w:top w:val="none" w:sz="0" w:space="0" w:color="auto"/>
            <w:left w:val="single" w:sz="6" w:space="0" w:color="BBBBBB"/>
            <w:bottom w:val="single" w:sz="6" w:space="0" w:color="BBBBBB"/>
            <w:right w:val="single" w:sz="6" w:space="0" w:color="BBBBBB"/>
          </w:divBdr>
          <w:divsChild>
            <w:div w:id="1520316894">
              <w:marLeft w:val="0"/>
              <w:marRight w:val="0"/>
              <w:marTop w:val="0"/>
              <w:marBottom w:val="0"/>
              <w:divBdr>
                <w:top w:val="none" w:sz="0" w:space="0" w:color="auto"/>
                <w:left w:val="none" w:sz="0" w:space="0" w:color="auto"/>
                <w:bottom w:val="none" w:sz="0" w:space="0" w:color="auto"/>
                <w:right w:val="none" w:sz="0" w:space="0" w:color="auto"/>
              </w:divBdr>
              <w:divsChild>
                <w:div w:id="1565918664">
                  <w:marLeft w:val="0"/>
                  <w:marRight w:val="0"/>
                  <w:marTop w:val="75"/>
                  <w:marBottom w:val="0"/>
                  <w:divBdr>
                    <w:top w:val="none" w:sz="0" w:space="0" w:color="auto"/>
                    <w:left w:val="none" w:sz="0" w:space="0" w:color="auto"/>
                    <w:bottom w:val="none" w:sz="0" w:space="0" w:color="auto"/>
                    <w:right w:val="none" w:sz="0" w:space="0" w:color="auto"/>
                  </w:divBdr>
                  <w:divsChild>
                    <w:div w:id="454836835">
                      <w:marLeft w:val="0"/>
                      <w:marRight w:val="0"/>
                      <w:marTop w:val="0"/>
                      <w:marBottom w:val="0"/>
                      <w:divBdr>
                        <w:top w:val="none" w:sz="0" w:space="0" w:color="auto"/>
                        <w:left w:val="none" w:sz="0" w:space="0" w:color="auto"/>
                        <w:bottom w:val="none" w:sz="0" w:space="0" w:color="auto"/>
                        <w:right w:val="none" w:sz="0" w:space="0" w:color="auto"/>
                      </w:divBdr>
                      <w:divsChild>
                        <w:div w:id="316618229">
                          <w:marLeft w:val="0"/>
                          <w:marRight w:val="0"/>
                          <w:marTop w:val="0"/>
                          <w:marBottom w:val="0"/>
                          <w:divBdr>
                            <w:top w:val="none" w:sz="0" w:space="0" w:color="auto"/>
                            <w:left w:val="none" w:sz="0" w:space="0" w:color="auto"/>
                            <w:bottom w:val="none" w:sz="0" w:space="0" w:color="auto"/>
                            <w:right w:val="none" w:sz="0" w:space="0" w:color="auto"/>
                          </w:divBdr>
                          <w:divsChild>
                            <w:div w:id="1937396449">
                              <w:marLeft w:val="0"/>
                              <w:marRight w:val="0"/>
                              <w:marTop w:val="0"/>
                              <w:marBottom w:val="0"/>
                              <w:divBdr>
                                <w:top w:val="none" w:sz="0" w:space="0" w:color="auto"/>
                                <w:left w:val="none" w:sz="0" w:space="0" w:color="auto"/>
                                <w:bottom w:val="none" w:sz="0" w:space="0" w:color="auto"/>
                                <w:right w:val="none" w:sz="0" w:space="0" w:color="auto"/>
                              </w:divBdr>
                              <w:divsChild>
                                <w:div w:id="678777878">
                                  <w:marLeft w:val="0"/>
                                  <w:marRight w:val="0"/>
                                  <w:marTop w:val="0"/>
                                  <w:marBottom w:val="0"/>
                                  <w:divBdr>
                                    <w:top w:val="none" w:sz="0" w:space="0" w:color="auto"/>
                                    <w:left w:val="none" w:sz="0" w:space="0" w:color="auto"/>
                                    <w:bottom w:val="none" w:sz="0" w:space="0" w:color="auto"/>
                                    <w:right w:val="none" w:sz="0" w:space="0" w:color="auto"/>
                                  </w:divBdr>
                                  <w:divsChild>
                                    <w:div w:id="1182860179">
                                      <w:marLeft w:val="0"/>
                                      <w:marRight w:val="0"/>
                                      <w:marTop w:val="0"/>
                                      <w:marBottom w:val="0"/>
                                      <w:divBdr>
                                        <w:top w:val="none" w:sz="0" w:space="0" w:color="auto"/>
                                        <w:left w:val="none" w:sz="0" w:space="0" w:color="auto"/>
                                        <w:bottom w:val="none" w:sz="0" w:space="0" w:color="auto"/>
                                        <w:right w:val="none" w:sz="0" w:space="0" w:color="auto"/>
                                      </w:divBdr>
                                      <w:divsChild>
                                        <w:div w:id="72820577">
                                          <w:marLeft w:val="1200"/>
                                          <w:marRight w:val="1200"/>
                                          <w:marTop w:val="0"/>
                                          <w:marBottom w:val="0"/>
                                          <w:divBdr>
                                            <w:top w:val="none" w:sz="0" w:space="0" w:color="auto"/>
                                            <w:left w:val="none" w:sz="0" w:space="0" w:color="auto"/>
                                            <w:bottom w:val="none" w:sz="0" w:space="0" w:color="auto"/>
                                            <w:right w:val="none" w:sz="0" w:space="0" w:color="auto"/>
                                          </w:divBdr>
                                          <w:divsChild>
                                            <w:div w:id="250168798">
                                              <w:marLeft w:val="0"/>
                                              <w:marRight w:val="0"/>
                                              <w:marTop w:val="0"/>
                                              <w:marBottom w:val="0"/>
                                              <w:divBdr>
                                                <w:top w:val="none" w:sz="0" w:space="0" w:color="auto"/>
                                                <w:left w:val="none" w:sz="0" w:space="0" w:color="auto"/>
                                                <w:bottom w:val="none" w:sz="0" w:space="0" w:color="auto"/>
                                                <w:right w:val="none" w:sz="0" w:space="0" w:color="auto"/>
                                              </w:divBdr>
                                              <w:divsChild>
                                                <w:div w:id="594752843">
                                                  <w:marLeft w:val="0"/>
                                                  <w:marRight w:val="0"/>
                                                  <w:marTop w:val="0"/>
                                                  <w:marBottom w:val="0"/>
                                                  <w:divBdr>
                                                    <w:top w:val="none" w:sz="0" w:space="0" w:color="auto"/>
                                                    <w:left w:val="none" w:sz="0" w:space="0" w:color="auto"/>
                                                    <w:bottom w:val="none" w:sz="0" w:space="0" w:color="auto"/>
                                                    <w:right w:val="none" w:sz="0" w:space="0" w:color="auto"/>
                                                  </w:divBdr>
                                                  <w:divsChild>
                                                    <w:div w:id="1719822377">
                                                      <w:marLeft w:val="0"/>
                                                      <w:marRight w:val="0"/>
                                                      <w:marTop w:val="0"/>
                                                      <w:marBottom w:val="0"/>
                                                      <w:divBdr>
                                                        <w:top w:val="none" w:sz="0" w:space="0" w:color="auto"/>
                                                        <w:left w:val="none" w:sz="0" w:space="0" w:color="auto"/>
                                                        <w:bottom w:val="none" w:sz="0" w:space="0" w:color="auto"/>
                                                        <w:right w:val="none" w:sz="0" w:space="0" w:color="auto"/>
                                                      </w:divBdr>
                                                      <w:divsChild>
                                                        <w:div w:id="1347058809">
                                                          <w:marLeft w:val="0"/>
                                                          <w:marRight w:val="0"/>
                                                          <w:marTop w:val="0"/>
                                                          <w:marBottom w:val="0"/>
                                                          <w:divBdr>
                                                            <w:top w:val="none" w:sz="0" w:space="0" w:color="auto"/>
                                                            <w:left w:val="none" w:sz="0" w:space="0" w:color="auto"/>
                                                            <w:bottom w:val="none" w:sz="0" w:space="0" w:color="auto"/>
                                                            <w:right w:val="none" w:sz="0" w:space="0" w:color="auto"/>
                                                          </w:divBdr>
                                                          <w:divsChild>
                                                            <w:div w:id="1978298781">
                                                              <w:marLeft w:val="0"/>
                                                              <w:marRight w:val="0"/>
                                                              <w:marTop w:val="0"/>
                                                              <w:marBottom w:val="0"/>
                                                              <w:divBdr>
                                                                <w:top w:val="none" w:sz="0" w:space="0" w:color="auto"/>
                                                                <w:left w:val="none" w:sz="0" w:space="0" w:color="auto"/>
                                                                <w:bottom w:val="none" w:sz="0" w:space="0" w:color="auto"/>
                                                                <w:right w:val="none" w:sz="0" w:space="0" w:color="auto"/>
                                                              </w:divBdr>
                                                              <w:divsChild>
                                                                <w:div w:id="867062856">
                                                                  <w:marLeft w:val="0"/>
                                                                  <w:marRight w:val="0"/>
                                                                  <w:marTop w:val="0"/>
                                                                  <w:marBottom w:val="0"/>
                                                                  <w:divBdr>
                                                                    <w:top w:val="none" w:sz="0" w:space="0" w:color="auto"/>
                                                                    <w:left w:val="none" w:sz="0" w:space="0" w:color="auto"/>
                                                                    <w:bottom w:val="none" w:sz="0" w:space="0" w:color="auto"/>
                                                                    <w:right w:val="none" w:sz="0" w:space="0" w:color="auto"/>
                                                                  </w:divBdr>
                                                                  <w:divsChild>
                                                                    <w:div w:id="59711926">
                                                                      <w:marLeft w:val="0"/>
                                                                      <w:marRight w:val="0"/>
                                                                      <w:marTop w:val="0"/>
                                                                      <w:marBottom w:val="0"/>
                                                                      <w:divBdr>
                                                                        <w:top w:val="none" w:sz="0" w:space="0" w:color="auto"/>
                                                                        <w:left w:val="none" w:sz="0" w:space="0" w:color="auto"/>
                                                                        <w:bottom w:val="none" w:sz="0" w:space="0" w:color="auto"/>
                                                                        <w:right w:val="none" w:sz="0" w:space="0" w:color="auto"/>
                                                                      </w:divBdr>
                                                                      <w:divsChild>
                                                                        <w:div w:id="308020791">
                                                                          <w:marLeft w:val="0"/>
                                                                          <w:marRight w:val="0"/>
                                                                          <w:marTop w:val="0"/>
                                                                          <w:marBottom w:val="0"/>
                                                                          <w:divBdr>
                                                                            <w:top w:val="none" w:sz="0" w:space="0" w:color="auto"/>
                                                                            <w:left w:val="none" w:sz="0" w:space="0" w:color="auto"/>
                                                                            <w:bottom w:val="none" w:sz="0" w:space="0" w:color="auto"/>
                                                                            <w:right w:val="none" w:sz="0" w:space="0" w:color="auto"/>
                                                                          </w:divBdr>
                                                                        </w:div>
                                                                      </w:divsChild>
                                                                    </w:div>
                                                                    <w:div w:id="1021857815">
                                                                      <w:marLeft w:val="0"/>
                                                                      <w:marRight w:val="0"/>
                                                                      <w:marTop w:val="0"/>
                                                                      <w:marBottom w:val="0"/>
                                                                      <w:divBdr>
                                                                        <w:top w:val="none" w:sz="0" w:space="0" w:color="auto"/>
                                                                        <w:left w:val="none" w:sz="0" w:space="0" w:color="auto"/>
                                                                        <w:bottom w:val="none" w:sz="0" w:space="0" w:color="auto"/>
                                                                        <w:right w:val="none" w:sz="0" w:space="0" w:color="auto"/>
                                                                      </w:divBdr>
                                                                      <w:divsChild>
                                                                        <w:div w:id="1099980892">
                                                                          <w:marLeft w:val="0"/>
                                                                          <w:marRight w:val="0"/>
                                                                          <w:marTop w:val="0"/>
                                                                          <w:marBottom w:val="0"/>
                                                                          <w:divBdr>
                                                                            <w:top w:val="none" w:sz="0" w:space="0" w:color="auto"/>
                                                                            <w:left w:val="none" w:sz="0" w:space="0" w:color="auto"/>
                                                                            <w:bottom w:val="none" w:sz="0" w:space="0" w:color="auto"/>
                                                                            <w:right w:val="none" w:sz="0" w:space="0" w:color="auto"/>
                                                                          </w:divBdr>
                                                                        </w:div>
                                                                      </w:divsChild>
                                                                    </w:div>
                                                                    <w:div w:id="2052727034">
                                                                      <w:marLeft w:val="0"/>
                                                                      <w:marRight w:val="0"/>
                                                                      <w:marTop w:val="0"/>
                                                                      <w:marBottom w:val="0"/>
                                                                      <w:divBdr>
                                                                        <w:top w:val="none" w:sz="0" w:space="0" w:color="auto"/>
                                                                        <w:left w:val="none" w:sz="0" w:space="0" w:color="auto"/>
                                                                        <w:bottom w:val="none" w:sz="0" w:space="0" w:color="auto"/>
                                                                        <w:right w:val="none" w:sz="0" w:space="0" w:color="auto"/>
                                                                      </w:divBdr>
                                                                      <w:divsChild>
                                                                        <w:div w:id="154490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2530">
      <w:bodyDiv w:val="1"/>
      <w:marLeft w:val="0"/>
      <w:marRight w:val="0"/>
      <w:marTop w:val="0"/>
      <w:marBottom w:val="0"/>
      <w:divBdr>
        <w:top w:val="none" w:sz="0" w:space="0" w:color="auto"/>
        <w:left w:val="none" w:sz="0" w:space="0" w:color="auto"/>
        <w:bottom w:val="none" w:sz="0" w:space="0" w:color="auto"/>
        <w:right w:val="none" w:sz="0" w:space="0" w:color="auto"/>
      </w:divBdr>
      <w:divsChild>
        <w:div w:id="1073745659">
          <w:marLeft w:val="0"/>
          <w:marRight w:val="0"/>
          <w:marTop w:val="0"/>
          <w:marBottom w:val="0"/>
          <w:divBdr>
            <w:top w:val="none" w:sz="0" w:space="0" w:color="auto"/>
            <w:left w:val="none" w:sz="0" w:space="0" w:color="auto"/>
            <w:bottom w:val="none" w:sz="0" w:space="0" w:color="auto"/>
            <w:right w:val="none" w:sz="0" w:space="0" w:color="auto"/>
          </w:divBdr>
          <w:divsChild>
            <w:div w:id="666633845">
              <w:marLeft w:val="0"/>
              <w:marRight w:val="0"/>
              <w:marTop w:val="0"/>
              <w:marBottom w:val="0"/>
              <w:divBdr>
                <w:top w:val="none" w:sz="0" w:space="0" w:color="auto"/>
                <w:left w:val="none" w:sz="0" w:space="0" w:color="auto"/>
                <w:bottom w:val="none" w:sz="0" w:space="0" w:color="auto"/>
                <w:right w:val="none" w:sz="0" w:space="0" w:color="auto"/>
              </w:divBdr>
              <w:divsChild>
                <w:div w:id="1579750292">
                  <w:marLeft w:val="0"/>
                  <w:marRight w:val="0"/>
                  <w:marTop w:val="0"/>
                  <w:marBottom w:val="0"/>
                  <w:divBdr>
                    <w:top w:val="none" w:sz="0" w:space="0" w:color="auto"/>
                    <w:left w:val="none" w:sz="0" w:space="0" w:color="auto"/>
                    <w:bottom w:val="none" w:sz="0" w:space="0" w:color="auto"/>
                    <w:right w:val="none" w:sz="0" w:space="0" w:color="auto"/>
                  </w:divBdr>
                  <w:divsChild>
                    <w:div w:id="1928419590">
                      <w:marLeft w:val="0"/>
                      <w:marRight w:val="0"/>
                      <w:marTop w:val="0"/>
                      <w:marBottom w:val="300"/>
                      <w:divBdr>
                        <w:top w:val="none" w:sz="0" w:space="0" w:color="auto"/>
                        <w:left w:val="none" w:sz="0" w:space="0" w:color="auto"/>
                        <w:bottom w:val="none" w:sz="0" w:space="0" w:color="auto"/>
                        <w:right w:val="none" w:sz="0" w:space="0" w:color="auto"/>
                      </w:divBdr>
                      <w:divsChild>
                        <w:div w:id="11975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366684">
      <w:bodyDiv w:val="1"/>
      <w:marLeft w:val="0"/>
      <w:marRight w:val="0"/>
      <w:marTop w:val="0"/>
      <w:marBottom w:val="0"/>
      <w:divBdr>
        <w:top w:val="none" w:sz="0" w:space="0" w:color="auto"/>
        <w:left w:val="none" w:sz="0" w:space="0" w:color="auto"/>
        <w:bottom w:val="none" w:sz="0" w:space="0" w:color="auto"/>
        <w:right w:val="none" w:sz="0" w:space="0" w:color="auto"/>
      </w:divBdr>
      <w:divsChild>
        <w:div w:id="719598870">
          <w:marLeft w:val="0"/>
          <w:marRight w:val="0"/>
          <w:marTop w:val="0"/>
          <w:marBottom w:val="0"/>
          <w:divBdr>
            <w:top w:val="none" w:sz="0" w:space="0" w:color="auto"/>
            <w:left w:val="none" w:sz="0" w:space="0" w:color="auto"/>
            <w:bottom w:val="none" w:sz="0" w:space="0" w:color="auto"/>
            <w:right w:val="none" w:sz="0" w:space="0" w:color="auto"/>
          </w:divBdr>
          <w:divsChild>
            <w:div w:id="81339549">
              <w:marLeft w:val="0"/>
              <w:marRight w:val="0"/>
              <w:marTop w:val="0"/>
              <w:marBottom w:val="0"/>
              <w:divBdr>
                <w:top w:val="none" w:sz="0" w:space="0" w:color="auto"/>
                <w:left w:val="none" w:sz="0" w:space="0" w:color="auto"/>
                <w:bottom w:val="none" w:sz="0" w:space="0" w:color="auto"/>
                <w:right w:val="none" w:sz="0" w:space="0" w:color="auto"/>
              </w:divBdr>
              <w:divsChild>
                <w:div w:id="1224483559">
                  <w:marLeft w:val="0"/>
                  <w:marRight w:val="0"/>
                  <w:marTop w:val="0"/>
                  <w:marBottom w:val="0"/>
                  <w:divBdr>
                    <w:top w:val="none" w:sz="0" w:space="0" w:color="auto"/>
                    <w:left w:val="none" w:sz="0" w:space="0" w:color="auto"/>
                    <w:bottom w:val="none" w:sz="0" w:space="0" w:color="auto"/>
                    <w:right w:val="none" w:sz="0" w:space="0" w:color="auto"/>
                  </w:divBdr>
                  <w:divsChild>
                    <w:div w:id="1598829437">
                      <w:marLeft w:val="0"/>
                      <w:marRight w:val="0"/>
                      <w:marTop w:val="0"/>
                      <w:marBottom w:val="0"/>
                      <w:divBdr>
                        <w:top w:val="none" w:sz="0" w:space="0" w:color="auto"/>
                        <w:left w:val="none" w:sz="0" w:space="0" w:color="auto"/>
                        <w:bottom w:val="none" w:sz="0" w:space="0" w:color="auto"/>
                        <w:right w:val="none" w:sz="0" w:space="0" w:color="auto"/>
                      </w:divBdr>
                      <w:divsChild>
                        <w:div w:id="1005327554">
                          <w:marLeft w:val="0"/>
                          <w:marRight w:val="0"/>
                          <w:marTop w:val="0"/>
                          <w:marBottom w:val="0"/>
                          <w:divBdr>
                            <w:top w:val="none" w:sz="0" w:space="0" w:color="auto"/>
                            <w:left w:val="none" w:sz="0" w:space="0" w:color="auto"/>
                            <w:bottom w:val="none" w:sz="0" w:space="0" w:color="auto"/>
                            <w:right w:val="none" w:sz="0" w:space="0" w:color="auto"/>
                          </w:divBdr>
                          <w:divsChild>
                            <w:div w:id="940188359">
                              <w:marLeft w:val="0"/>
                              <w:marRight w:val="0"/>
                              <w:marTop w:val="0"/>
                              <w:marBottom w:val="0"/>
                              <w:divBdr>
                                <w:top w:val="none" w:sz="0" w:space="0" w:color="auto"/>
                                <w:left w:val="none" w:sz="0" w:space="0" w:color="auto"/>
                                <w:bottom w:val="none" w:sz="0" w:space="0" w:color="auto"/>
                                <w:right w:val="none" w:sz="0" w:space="0" w:color="auto"/>
                              </w:divBdr>
                              <w:divsChild>
                                <w:div w:id="140903615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288803">
      <w:bodyDiv w:val="1"/>
      <w:marLeft w:val="0"/>
      <w:marRight w:val="0"/>
      <w:marTop w:val="0"/>
      <w:marBottom w:val="0"/>
      <w:divBdr>
        <w:top w:val="none" w:sz="0" w:space="0" w:color="auto"/>
        <w:left w:val="none" w:sz="0" w:space="0" w:color="auto"/>
        <w:bottom w:val="none" w:sz="0" w:space="0" w:color="auto"/>
        <w:right w:val="none" w:sz="0" w:space="0" w:color="auto"/>
      </w:divBdr>
      <w:divsChild>
        <w:div w:id="1069158541">
          <w:marLeft w:val="0"/>
          <w:marRight w:val="0"/>
          <w:marTop w:val="0"/>
          <w:marBottom w:val="0"/>
          <w:divBdr>
            <w:top w:val="none" w:sz="0" w:space="0" w:color="auto"/>
            <w:left w:val="none" w:sz="0" w:space="0" w:color="auto"/>
            <w:bottom w:val="none" w:sz="0" w:space="0" w:color="auto"/>
            <w:right w:val="none" w:sz="0" w:space="0" w:color="auto"/>
          </w:divBdr>
        </w:div>
        <w:div w:id="611329157">
          <w:marLeft w:val="0"/>
          <w:marRight w:val="0"/>
          <w:marTop w:val="240"/>
          <w:marBottom w:val="0"/>
          <w:divBdr>
            <w:top w:val="none" w:sz="0" w:space="0" w:color="auto"/>
            <w:left w:val="none" w:sz="0" w:space="0" w:color="auto"/>
            <w:bottom w:val="none" w:sz="0" w:space="0" w:color="auto"/>
            <w:right w:val="none" w:sz="0" w:space="0" w:color="auto"/>
          </w:divBdr>
          <w:divsChild>
            <w:div w:id="1855142867">
              <w:marLeft w:val="0"/>
              <w:marRight w:val="0"/>
              <w:marTop w:val="0"/>
              <w:marBottom w:val="0"/>
              <w:divBdr>
                <w:top w:val="none" w:sz="0" w:space="0" w:color="auto"/>
                <w:left w:val="none" w:sz="0" w:space="0" w:color="auto"/>
                <w:bottom w:val="none" w:sz="0" w:space="0" w:color="auto"/>
                <w:right w:val="none" w:sz="0" w:space="0" w:color="auto"/>
              </w:divBdr>
            </w:div>
          </w:divsChild>
        </w:div>
        <w:div w:id="1096756522">
          <w:marLeft w:val="0"/>
          <w:marRight w:val="0"/>
          <w:marTop w:val="240"/>
          <w:marBottom w:val="0"/>
          <w:divBdr>
            <w:top w:val="none" w:sz="0" w:space="0" w:color="auto"/>
            <w:left w:val="none" w:sz="0" w:space="0" w:color="auto"/>
            <w:bottom w:val="none" w:sz="0" w:space="0" w:color="auto"/>
            <w:right w:val="none" w:sz="0" w:space="0" w:color="auto"/>
          </w:divBdr>
          <w:divsChild>
            <w:div w:id="5795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71860">
      <w:bodyDiv w:val="1"/>
      <w:marLeft w:val="0"/>
      <w:marRight w:val="0"/>
      <w:marTop w:val="0"/>
      <w:marBottom w:val="0"/>
      <w:divBdr>
        <w:top w:val="none" w:sz="0" w:space="0" w:color="auto"/>
        <w:left w:val="none" w:sz="0" w:space="0" w:color="auto"/>
        <w:bottom w:val="none" w:sz="0" w:space="0" w:color="auto"/>
        <w:right w:val="none" w:sz="0" w:space="0" w:color="auto"/>
      </w:divBdr>
      <w:divsChild>
        <w:div w:id="1052996974">
          <w:marLeft w:val="0"/>
          <w:marRight w:val="0"/>
          <w:marTop w:val="0"/>
          <w:marBottom w:val="0"/>
          <w:divBdr>
            <w:top w:val="none" w:sz="0" w:space="0" w:color="auto"/>
            <w:left w:val="single" w:sz="6" w:space="0" w:color="BBBBBB"/>
            <w:bottom w:val="single" w:sz="6" w:space="0" w:color="BBBBBB"/>
            <w:right w:val="single" w:sz="6" w:space="0" w:color="BBBBBB"/>
          </w:divBdr>
          <w:divsChild>
            <w:div w:id="48499324">
              <w:marLeft w:val="0"/>
              <w:marRight w:val="0"/>
              <w:marTop w:val="0"/>
              <w:marBottom w:val="0"/>
              <w:divBdr>
                <w:top w:val="none" w:sz="0" w:space="0" w:color="auto"/>
                <w:left w:val="none" w:sz="0" w:space="0" w:color="auto"/>
                <w:bottom w:val="none" w:sz="0" w:space="0" w:color="auto"/>
                <w:right w:val="none" w:sz="0" w:space="0" w:color="auto"/>
              </w:divBdr>
              <w:divsChild>
                <w:div w:id="124589798">
                  <w:marLeft w:val="0"/>
                  <w:marRight w:val="0"/>
                  <w:marTop w:val="0"/>
                  <w:marBottom w:val="0"/>
                  <w:divBdr>
                    <w:top w:val="none" w:sz="0" w:space="0" w:color="auto"/>
                    <w:left w:val="none" w:sz="0" w:space="0" w:color="auto"/>
                    <w:bottom w:val="none" w:sz="0" w:space="0" w:color="auto"/>
                    <w:right w:val="none" w:sz="0" w:space="0" w:color="auto"/>
                  </w:divBdr>
                  <w:divsChild>
                    <w:div w:id="1427964391">
                      <w:marLeft w:val="0"/>
                      <w:marRight w:val="0"/>
                      <w:marTop w:val="0"/>
                      <w:marBottom w:val="0"/>
                      <w:divBdr>
                        <w:top w:val="none" w:sz="0" w:space="0" w:color="auto"/>
                        <w:left w:val="none" w:sz="0" w:space="0" w:color="auto"/>
                        <w:bottom w:val="none" w:sz="0" w:space="0" w:color="auto"/>
                        <w:right w:val="none" w:sz="0" w:space="0" w:color="auto"/>
                      </w:divBdr>
                      <w:divsChild>
                        <w:div w:id="1006371452">
                          <w:marLeft w:val="0"/>
                          <w:marRight w:val="0"/>
                          <w:marTop w:val="0"/>
                          <w:marBottom w:val="0"/>
                          <w:divBdr>
                            <w:top w:val="none" w:sz="0" w:space="0" w:color="auto"/>
                            <w:left w:val="none" w:sz="0" w:space="0" w:color="auto"/>
                            <w:bottom w:val="none" w:sz="0" w:space="0" w:color="auto"/>
                            <w:right w:val="none" w:sz="0" w:space="0" w:color="auto"/>
                          </w:divBdr>
                          <w:divsChild>
                            <w:div w:id="1915703673">
                              <w:marLeft w:val="0"/>
                              <w:marRight w:val="0"/>
                              <w:marTop w:val="0"/>
                              <w:marBottom w:val="0"/>
                              <w:divBdr>
                                <w:top w:val="none" w:sz="0" w:space="0" w:color="auto"/>
                                <w:left w:val="none" w:sz="0" w:space="0" w:color="auto"/>
                                <w:bottom w:val="none" w:sz="0" w:space="0" w:color="auto"/>
                                <w:right w:val="none" w:sz="0" w:space="0" w:color="auto"/>
                              </w:divBdr>
                              <w:divsChild>
                                <w:div w:id="1760059125">
                                  <w:marLeft w:val="0"/>
                                  <w:marRight w:val="0"/>
                                  <w:marTop w:val="0"/>
                                  <w:marBottom w:val="0"/>
                                  <w:divBdr>
                                    <w:top w:val="none" w:sz="0" w:space="0" w:color="auto"/>
                                    <w:left w:val="none" w:sz="0" w:space="0" w:color="auto"/>
                                    <w:bottom w:val="none" w:sz="0" w:space="0" w:color="auto"/>
                                    <w:right w:val="none" w:sz="0" w:space="0" w:color="auto"/>
                                  </w:divBdr>
                                  <w:divsChild>
                                    <w:div w:id="64038400">
                                      <w:marLeft w:val="0"/>
                                      <w:marRight w:val="0"/>
                                      <w:marTop w:val="0"/>
                                      <w:marBottom w:val="0"/>
                                      <w:divBdr>
                                        <w:top w:val="none" w:sz="0" w:space="0" w:color="auto"/>
                                        <w:left w:val="none" w:sz="0" w:space="0" w:color="auto"/>
                                        <w:bottom w:val="none" w:sz="0" w:space="0" w:color="auto"/>
                                        <w:right w:val="none" w:sz="0" w:space="0" w:color="auto"/>
                                      </w:divBdr>
                                      <w:divsChild>
                                        <w:div w:id="882402585">
                                          <w:marLeft w:val="1200"/>
                                          <w:marRight w:val="1200"/>
                                          <w:marTop w:val="0"/>
                                          <w:marBottom w:val="0"/>
                                          <w:divBdr>
                                            <w:top w:val="none" w:sz="0" w:space="0" w:color="auto"/>
                                            <w:left w:val="none" w:sz="0" w:space="0" w:color="auto"/>
                                            <w:bottom w:val="none" w:sz="0" w:space="0" w:color="auto"/>
                                            <w:right w:val="none" w:sz="0" w:space="0" w:color="auto"/>
                                          </w:divBdr>
                                          <w:divsChild>
                                            <w:div w:id="952783856">
                                              <w:marLeft w:val="0"/>
                                              <w:marRight w:val="0"/>
                                              <w:marTop w:val="0"/>
                                              <w:marBottom w:val="0"/>
                                              <w:divBdr>
                                                <w:top w:val="none" w:sz="0" w:space="0" w:color="auto"/>
                                                <w:left w:val="none" w:sz="0" w:space="0" w:color="auto"/>
                                                <w:bottom w:val="none" w:sz="0" w:space="0" w:color="auto"/>
                                                <w:right w:val="none" w:sz="0" w:space="0" w:color="auto"/>
                                              </w:divBdr>
                                              <w:divsChild>
                                                <w:div w:id="1292829200">
                                                  <w:marLeft w:val="0"/>
                                                  <w:marRight w:val="0"/>
                                                  <w:marTop w:val="0"/>
                                                  <w:marBottom w:val="0"/>
                                                  <w:divBdr>
                                                    <w:top w:val="none" w:sz="0" w:space="0" w:color="auto"/>
                                                    <w:left w:val="none" w:sz="0" w:space="0" w:color="auto"/>
                                                    <w:bottom w:val="none" w:sz="0" w:space="0" w:color="auto"/>
                                                    <w:right w:val="none" w:sz="0" w:space="0" w:color="auto"/>
                                                  </w:divBdr>
                                                  <w:divsChild>
                                                    <w:div w:id="550725488">
                                                      <w:marLeft w:val="0"/>
                                                      <w:marRight w:val="0"/>
                                                      <w:marTop w:val="0"/>
                                                      <w:marBottom w:val="0"/>
                                                      <w:divBdr>
                                                        <w:top w:val="none" w:sz="0" w:space="0" w:color="auto"/>
                                                        <w:left w:val="none" w:sz="0" w:space="0" w:color="auto"/>
                                                        <w:bottom w:val="none" w:sz="0" w:space="0" w:color="auto"/>
                                                        <w:right w:val="none" w:sz="0" w:space="0" w:color="auto"/>
                                                      </w:divBdr>
                                                      <w:divsChild>
                                                        <w:div w:id="304555608">
                                                          <w:marLeft w:val="0"/>
                                                          <w:marRight w:val="0"/>
                                                          <w:marTop w:val="0"/>
                                                          <w:marBottom w:val="0"/>
                                                          <w:divBdr>
                                                            <w:top w:val="none" w:sz="0" w:space="0" w:color="auto"/>
                                                            <w:left w:val="none" w:sz="0" w:space="0" w:color="auto"/>
                                                            <w:bottom w:val="none" w:sz="0" w:space="0" w:color="auto"/>
                                                            <w:right w:val="none" w:sz="0" w:space="0" w:color="auto"/>
                                                          </w:divBdr>
                                                          <w:divsChild>
                                                            <w:div w:id="1724329674">
                                                              <w:marLeft w:val="0"/>
                                                              <w:marRight w:val="0"/>
                                                              <w:marTop w:val="0"/>
                                                              <w:marBottom w:val="0"/>
                                                              <w:divBdr>
                                                                <w:top w:val="none" w:sz="0" w:space="0" w:color="auto"/>
                                                                <w:left w:val="none" w:sz="0" w:space="0" w:color="auto"/>
                                                                <w:bottom w:val="none" w:sz="0" w:space="0" w:color="auto"/>
                                                                <w:right w:val="none" w:sz="0" w:space="0" w:color="auto"/>
                                                              </w:divBdr>
                                                              <w:divsChild>
                                                                <w:div w:id="2024354435">
                                                                  <w:marLeft w:val="0"/>
                                                                  <w:marRight w:val="0"/>
                                                                  <w:marTop w:val="0"/>
                                                                  <w:marBottom w:val="0"/>
                                                                  <w:divBdr>
                                                                    <w:top w:val="none" w:sz="0" w:space="0" w:color="auto"/>
                                                                    <w:left w:val="none" w:sz="0" w:space="0" w:color="auto"/>
                                                                    <w:bottom w:val="none" w:sz="0" w:space="0" w:color="auto"/>
                                                                    <w:right w:val="none" w:sz="0" w:space="0" w:color="auto"/>
                                                                  </w:divBdr>
                                                                  <w:divsChild>
                                                                    <w:div w:id="493423623">
                                                                      <w:marLeft w:val="0"/>
                                                                      <w:marRight w:val="0"/>
                                                                      <w:marTop w:val="0"/>
                                                                      <w:marBottom w:val="0"/>
                                                                      <w:divBdr>
                                                                        <w:top w:val="none" w:sz="0" w:space="0" w:color="auto"/>
                                                                        <w:left w:val="none" w:sz="0" w:space="0" w:color="auto"/>
                                                                        <w:bottom w:val="none" w:sz="0" w:space="0" w:color="auto"/>
                                                                        <w:right w:val="none" w:sz="0" w:space="0" w:color="auto"/>
                                                                      </w:divBdr>
                                                                      <w:divsChild>
                                                                        <w:div w:id="818613046">
                                                                          <w:marLeft w:val="0"/>
                                                                          <w:marRight w:val="0"/>
                                                                          <w:marTop w:val="0"/>
                                                                          <w:marBottom w:val="0"/>
                                                                          <w:divBdr>
                                                                            <w:top w:val="none" w:sz="0" w:space="0" w:color="auto"/>
                                                                            <w:left w:val="none" w:sz="0" w:space="0" w:color="auto"/>
                                                                            <w:bottom w:val="none" w:sz="0" w:space="0" w:color="auto"/>
                                                                            <w:right w:val="none" w:sz="0" w:space="0" w:color="auto"/>
                                                                          </w:divBdr>
                                                                        </w:div>
                                                                      </w:divsChild>
                                                                    </w:div>
                                                                    <w:div w:id="1046610181">
                                                                      <w:marLeft w:val="0"/>
                                                                      <w:marRight w:val="0"/>
                                                                      <w:marTop w:val="0"/>
                                                                      <w:marBottom w:val="0"/>
                                                                      <w:divBdr>
                                                                        <w:top w:val="none" w:sz="0" w:space="0" w:color="auto"/>
                                                                        <w:left w:val="none" w:sz="0" w:space="0" w:color="auto"/>
                                                                        <w:bottom w:val="none" w:sz="0" w:space="0" w:color="auto"/>
                                                                        <w:right w:val="none" w:sz="0" w:space="0" w:color="auto"/>
                                                                      </w:divBdr>
                                                                      <w:divsChild>
                                                                        <w:div w:id="2474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0800009">
      <w:bodyDiv w:val="1"/>
      <w:marLeft w:val="0"/>
      <w:marRight w:val="0"/>
      <w:marTop w:val="0"/>
      <w:marBottom w:val="0"/>
      <w:divBdr>
        <w:top w:val="none" w:sz="0" w:space="0" w:color="auto"/>
        <w:left w:val="none" w:sz="0" w:space="0" w:color="auto"/>
        <w:bottom w:val="none" w:sz="0" w:space="0" w:color="auto"/>
        <w:right w:val="none" w:sz="0" w:space="0" w:color="auto"/>
      </w:divBdr>
      <w:divsChild>
        <w:div w:id="1554148611">
          <w:marLeft w:val="0"/>
          <w:marRight w:val="0"/>
          <w:marTop w:val="0"/>
          <w:marBottom w:val="0"/>
          <w:divBdr>
            <w:top w:val="none" w:sz="0" w:space="0" w:color="auto"/>
            <w:left w:val="single" w:sz="6" w:space="0" w:color="BBBBBB"/>
            <w:bottom w:val="single" w:sz="6" w:space="0" w:color="BBBBBB"/>
            <w:right w:val="single" w:sz="6" w:space="0" w:color="BBBBBB"/>
          </w:divBdr>
          <w:divsChild>
            <w:div w:id="111675492">
              <w:marLeft w:val="0"/>
              <w:marRight w:val="0"/>
              <w:marTop w:val="0"/>
              <w:marBottom w:val="0"/>
              <w:divBdr>
                <w:top w:val="none" w:sz="0" w:space="0" w:color="auto"/>
                <w:left w:val="none" w:sz="0" w:space="0" w:color="auto"/>
                <w:bottom w:val="none" w:sz="0" w:space="0" w:color="auto"/>
                <w:right w:val="none" w:sz="0" w:space="0" w:color="auto"/>
              </w:divBdr>
              <w:divsChild>
                <w:div w:id="570431380">
                  <w:marLeft w:val="0"/>
                  <w:marRight w:val="0"/>
                  <w:marTop w:val="75"/>
                  <w:marBottom w:val="0"/>
                  <w:divBdr>
                    <w:top w:val="none" w:sz="0" w:space="0" w:color="auto"/>
                    <w:left w:val="none" w:sz="0" w:space="0" w:color="auto"/>
                    <w:bottom w:val="none" w:sz="0" w:space="0" w:color="auto"/>
                    <w:right w:val="none" w:sz="0" w:space="0" w:color="auto"/>
                  </w:divBdr>
                  <w:divsChild>
                    <w:div w:id="438110843">
                      <w:marLeft w:val="0"/>
                      <w:marRight w:val="0"/>
                      <w:marTop w:val="0"/>
                      <w:marBottom w:val="0"/>
                      <w:divBdr>
                        <w:top w:val="none" w:sz="0" w:space="0" w:color="auto"/>
                        <w:left w:val="none" w:sz="0" w:space="0" w:color="auto"/>
                        <w:bottom w:val="none" w:sz="0" w:space="0" w:color="auto"/>
                        <w:right w:val="none" w:sz="0" w:space="0" w:color="auto"/>
                      </w:divBdr>
                      <w:divsChild>
                        <w:div w:id="796026244">
                          <w:marLeft w:val="0"/>
                          <w:marRight w:val="0"/>
                          <w:marTop w:val="0"/>
                          <w:marBottom w:val="0"/>
                          <w:divBdr>
                            <w:top w:val="none" w:sz="0" w:space="0" w:color="auto"/>
                            <w:left w:val="none" w:sz="0" w:space="0" w:color="auto"/>
                            <w:bottom w:val="none" w:sz="0" w:space="0" w:color="auto"/>
                            <w:right w:val="none" w:sz="0" w:space="0" w:color="auto"/>
                          </w:divBdr>
                          <w:divsChild>
                            <w:div w:id="1152333736">
                              <w:marLeft w:val="0"/>
                              <w:marRight w:val="0"/>
                              <w:marTop w:val="0"/>
                              <w:marBottom w:val="0"/>
                              <w:divBdr>
                                <w:top w:val="none" w:sz="0" w:space="0" w:color="auto"/>
                                <w:left w:val="none" w:sz="0" w:space="0" w:color="auto"/>
                                <w:bottom w:val="none" w:sz="0" w:space="0" w:color="auto"/>
                                <w:right w:val="none" w:sz="0" w:space="0" w:color="auto"/>
                              </w:divBdr>
                              <w:divsChild>
                                <w:div w:id="936520035">
                                  <w:marLeft w:val="0"/>
                                  <w:marRight w:val="0"/>
                                  <w:marTop w:val="0"/>
                                  <w:marBottom w:val="0"/>
                                  <w:divBdr>
                                    <w:top w:val="none" w:sz="0" w:space="0" w:color="auto"/>
                                    <w:left w:val="none" w:sz="0" w:space="0" w:color="auto"/>
                                    <w:bottom w:val="none" w:sz="0" w:space="0" w:color="auto"/>
                                    <w:right w:val="none" w:sz="0" w:space="0" w:color="auto"/>
                                  </w:divBdr>
                                  <w:divsChild>
                                    <w:div w:id="97794257">
                                      <w:marLeft w:val="0"/>
                                      <w:marRight w:val="0"/>
                                      <w:marTop w:val="0"/>
                                      <w:marBottom w:val="0"/>
                                      <w:divBdr>
                                        <w:top w:val="none" w:sz="0" w:space="0" w:color="auto"/>
                                        <w:left w:val="none" w:sz="0" w:space="0" w:color="auto"/>
                                        <w:bottom w:val="none" w:sz="0" w:space="0" w:color="auto"/>
                                        <w:right w:val="none" w:sz="0" w:space="0" w:color="auto"/>
                                      </w:divBdr>
                                      <w:divsChild>
                                        <w:div w:id="205677058">
                                          <w:marLeft w:val="1200"/>
                                          <w:marRight w:val="1200"/>
                                          <w:marTop w:val="0"/>
                                          <w:marBottom w:val="0"/>
                                          <w:divBdr>
                                            <w:top w:val="none" w:sz="0" w:space="0" w:color="auto"/>
                                            <w:left w:val="none" w:sz="0" w:space="0" w:color="auto"/>
                                            <w:bottom w:val="none" w:sz="0" w:space="0" w:color="auto"/>
                                            <w:right w:val="none" w:sz="0" w:space="0" w:color="auto"/>
                                          </w:divBdr>
                                          <w:divsChild>
                                            <w:div w:id="878667126">
                                              <w:marLeft w:val="0"/>
                                              <w:marRight w:val="0"/>
                                              <w:marTop w:val="0"/>
                                              <w:marBottom w:val="0"/>
                                              <w:divBdr>
                                                <w:top w:val="none" w:sz="0" w:space="0" w:color="auto"/>
                                                <w:left w:val="none" w:sz="0" w:space="0" w:color="auto"/>
                                                <w:bottom w:val="none" w:sz="0" w:space="0" w:color="auto"/>
                                                <w:right w:val="none" w:sz="0" w:space="0" w:color="auto"/>
                                              </w:divBdr>
                                              <w:divsChild>
                                                <w:div w:id="1540704282">
                                                  <w:marLeft w:val="0"/>
                                                  <w:marRight w:val="0"/>
                                                  <w:marTop w:val="0"/>
                                                  <w:marBottom w:val="0"/>
                                                  <w:divBdr>
                                                    <w:top w:val="none" w:sz="0" w:space="0" w:color="auto"/>
                                                    <w:left w:val="none" w:sz="0" w:space="0" w:color="auto"/>
                                                    <w:bottom w:val="none" w:sz="0" w:space="0" w:color="auto"/>
                                                    <w:right w:val="none" w:sz="0" w:space="0" w:color="auto"/>
                                                  </w:divBdr>
                                                  <w:divsChild>
                                                    <w:div w:id="1943802890">
                                                      <w:marLeft w:val="0"/>
                                                      <w:marRight w:val="0"/>
                                                      <w:marTop w:val="0"/>
                                                      <w:marBottom w:val="0"/>
                                                      <w:divBdr>
                                                        <w:top w:val="none" w:sz="0" w:space="0" w:color="auto"/>
                                                        <w:left w:val="none" w:sz="0" w:space="0" w:color="auto"/>
                                                        <w:bottom w:val="none" w:sz="0" w:space="0" w:color="auto"/>
                                                        <w:right w:val="none" w:sz="0" w:space="0" w:color="auto"/>
                                                      </w:divBdr>
                                                      <w:divsChild>
                                                        <w:div w:id="1345549944">
                                                          <w:marLeft w:val="0"/>
                                                          <w:marRight w:val="0"/>
                                                          <w:marTop w:val="0"/>
                                                          <w:marBottom w:val="0"/>
                                                          <w:divBdr>
                                                            <w:top w:val="none" w:sz="0" w:space="0" w:color="auto"/>
                                                            <w:left w:val="none" w:sz="0" w:space="0" w:color="auto"/>
                                                            <w:bottom w:val="none" w:sz="0" w:space="0" w:color="auto"/>
                                                            <w:right w:val="none" w:sz="0" w:space="0" w:color="auto"/>
                                                          </w:divBdr>
                                                          <w:divsChild>
                                                            <w:div w:id="335962548">
                                                              <w:marLeft w:val="0"/>
                                                              <w:marRight w:val="0"/>
                                                              <w:marTop w:val="0"/>
                                                              <w:marBottom w:val="0"/>
                                                              <w:divBdr>
                                                                <w:top w:val="none" w:sz="0" w:space="0" w:color="auto"/>
                                                                <w:left w:val="none" w:sz="0" w:space="0" w:color="auto"/>
                                                                <w:bottom w:val="none" w:sz="0" w:space="0" w:color="auto"/>
                                                                <w:right w:val="none" w:sz="0" w:space="0" w:color="auto"/>
                                                              </w:divBdr>
                                                              <w:divsChild>
                                                                <w:div w:id="815144519">
                                                                  <w:marLeft w:val="0"/>
                                                                  <w:marRight w:val="0"/>
                                                                  <w:marTop w:val="0"/>
                                                                  <w:marBottom w:val="0"/>
                                                                  <w:divBdr>
                                                                    <w:top w:val="none" w:sz="0" w:space="0" w:color="auto"/>
                                                                    <w:left w:val="none" w:sz="0" w:space="0" w:color="auto"/>
                                                                    <w:bottom w:val="none" w:sz="0" w:space="0" w:color="auto"/>
                                                                    <w:right w:val="none" w:sz="0" w:space="0" w:color="auto"/>
                                                                  </w:divBdr>
                                                                  <w:divsChild>
                                                                    <w:div w:id="435176188">
                                                                      <w:marLeft w:val="0"/>
                                                                      <w:marRight w:val="0"/>
                                                                      <w:marTop w:val="0"/>
                                                                      <w:marBottom w:val="0"/>
                                                                      <w:divBdr>
                                                                        <w:top w:val="none" w:sz="0" w:space="0" w:color="auto"/>
                                                                        <w:left w:val="none" w:sz="0" w:space="0" w:color="auto"/>
                                                                        <w:bottom w:val="none" w:sz="0" w:space="0" w:color="auto"/>
                                                                        <w:right w:val="none" w:sz="0" w:space="0" w:color="auto"/>
                                                                      </w:divBdr>
                                                                      <w:divsChild>
                                                                        <w:div w:id="141436004">
                                                                          <w:marLeft w:val="0"/>
                                                                          <w:marRight w:val="0"/>
                                                                          <w:marTop w:val="0"/>
                                                                          <w:marBottom w:val="0"/>
                                                                          <w:divBdr>
                                                                            <w:top w:val="none" w:sz="0" w:space="0" w:color="auto"/>
                                                                            <w:left w:val="none" w:sz="0" w:space="0" w:color="auto"/>
                                                                            <w:bottom w:val="none" w:sz="0" w:space="0" w:color="auto"/>
                                                                            <w:right w:val="none" w:sz="0" w:space="0" w:color="auto"/>
                                                                          </w:divBdr>
                                                                        </w:div>
                                                                      </w:divsChild>
                                                                    </w:div>
                                                                    <w:div w:id="1380202885">
                                                                      <w:marLeft w:val="0"/>
                                                                      <w:marRight w:val="0"/>
                                                                      <w:marTop w:val="0"/>
                                                                      <w:marBottom w:val="0"/>
                                                                      <w:divBdr>
                                                                        <w:top w:val="none" w:sz="0" w:space="0" w:color="auto"/>
                                                                        <w:left w:val="none" w:sz="0" w:space="0" w:color="auto"/>
                                                                        <w:bottom w:val="none" w:sz="0" w:space="0" w:color="auto"/>
                                                                        <w:right w:val="none" w:sz="0" w:space="0" w:color="auto"/>
                                                                      </w:divBdr>
                                                                      <w:divsChild>
                                                                        <w:div w:id="176541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453100">
      <w:bodyDiv w:val="1"/>
      <w:marLeft w:val="0"/>
      <w:marRight w:val="0"/>
      <w:marTop w:val="0"/>
      <w:marBottom w:val="0"/>
      <w:divBdr>
        <w:top w:val="none" w:sz="0" w:space="0" w:color="auto"/>
        <w:left w:val="none" w:sz="0" w:space="0" w:color="auto"/>
        <w:bottom w:val="none" w:sz="0" w:space="0" w:color="auto"/>
        <w:right w:val="none" w:sz="0" w:space="0" w:color="auto"/>
      </w:divBdr>
      <w:divsChild>
        <w:div w:id="592321349">
          <w:marLeft w:val="0"/>
          <w:marRight w:val="0"/>
          <w:marTop w:val="0"/>
          <w:marBottom w:val="0"/>
          <w:divBdr>
            <w:top w:val="none" w:sz="0" w:space="0" w:color="auto"/>
            <w:left w:val="none" w:sz="0" w:space="0" w:color="auto"/>
            <w:bottom w:val="none" w:sz="0" w:space="0" w:color="auto"/>
            <w:right w:val="none" w:sz="0" w:space="0" w:color="auto"/>
          </w:divBdr>
          <w:divsChild>
            <w:div w:id="1513644336">
              <w:marLeft w:val="0"/>
              <w:marRight w:val="0"/>
              <w:marTop w:val="0"/>
              <w:marBottom w:val="0"/>
              <w:divBdr>
                <w:top w:val="none" w:sz="0" w:space="0" w:color="auto"/>
                <w:left w:val="none" w:sz="0" w:space="0" w:color="auto"/>
                <w:bottom w:val="none" w:sz="0" w:space="0" w:color="auto"/>
                <w:right w:val="none" w:sz="0" w:space="0" w:color="auto"/>
              </w:divBdr>
              <w:divsChild>
                <w:div w:id="472909833">
                  <w:marLeft w:val="0"/>
                  <w:marRight w:val="0"/>
                  <w:marTop w:val="0"/>
                  <w:marBottom w:val="0"/>
                  <w:divBdr>
                    <w:top w:val="none" w:sz="0" w:space="0" w:color="auto"/>
                    <w:left w:val="none" w:sz="0" w:space="0" w:color="auto"/>
                    <w:bottom w:val="none" w:sz="0" w:space="0" w:color="auto"/>
                    <w:right w:val="none" w:sz="0" w:space="0" w:color="auto"/>
                  </w:divBdr>
                  <w:divsChild>
                    <w:div w:id="1319729264">
                      <w:marLeft w:val="0"/>
                      <w:marRight w:val="0"/>
                      <w:marTop w:val="0"/>
                      <w:marBottom w:val="0"/>
                      <w:divBdr>
                        <w:top w:val="none" w:sz="0" w:space="0" w:color="auto"/>
                        <w:left w:val="none" w:sz="0" w:space="0" w:color="auto"/>
                        <w:bottom w:val="none" w:sz="0" w:space="0" w:color="auto"/>
                        <w:right w:val="none" w:sz="0" w:space="0" w:color="auto"/>
                      </w:divBdr>
                      <w:divsChild>
                        <w:div w:id="359431619">
                          <w:marLeft w:val="0"/>
                          <w:marRight w:val="0"/>
                          <w:marTop w:val="0"/>
                          <w:marBottom w:val="0"/>
                          <w:divBdr>
                            <w:top w:val="none" w:sz="0" w:space="0" w:color="auto"/>
                            <w:left w:val="none" w:sz="0" w:space="0" w:color="auto"/>
                            <w:bottom w:val="none" w:sz="0" w:space="0" w:color="auto"/>
                            <w:right w:val="none" w:sz="0" w:space="0" w:color="auto"/>
                          </w:divBdr>
                          <w:divsChild>
                            <w:div w:id="988825012">
                              <w:marLeft w:val="0"/>
                              <w:marRight w:val="0"/>
                              <w:marTop w:val="0"/>
                              <w:marBottom w:val="0"/>
                              <w:divBdr>
                                <w:top w:val="none" w:sz="0" w:space="0" w:color="auto"/>
                                <w:left w:val="none" w:sz="0" w:space="0" w:color="auto"/>
                                <w:bottom w:val="none" w:sz="0" w:space="0" w:color="auto"/>
                                <w:right w:val="none" w:sz="0" w:space="0" w:color="auto"/>
                              </w:divBdr>
                              <w:divsChild>
                                <w:div w:id="62149651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305155">
      <w:bodyDiv w:val="1"/>
      <w:marLeft w:val="0"/>
      <w:marRight w:val="0"/>
      <w:marTop w:val="0"/>
      <w:marBottom w:val="0"/>
      <w:divBdr>
        <w:top w:val="none" w:sz="0" w:space="0" w:color="auto"/>
        <w:left w:val="none" w:sz="0" w:space="0" w:color="auto"/>
        <w:bottom w:val="none" w:sz="0" w:space="0" w:color="auto"/>
        <w:right w:val="none" w:sz="0" w:space="0" w:color="auto"/>
      </w:divBdr>
      <w:divsChild>
        <w:div w:id="828785180">
          <w:marLeft w:val="0"/>
          <w:marRight w:val="0"/>
          <w:marTop w:val="0"/>
          <w:marBottom w:val="0"/>
          <w:divBdr>
            <w:top w:val="none" w:sz="0" w:space="0" w:color="auto"/>
            <w:left w:val="none" w:sz="0" w:space="0" w:color="auto"/>
            <w:bottom w:val="none" w:sz="0" w:space="0" w:color="auto"/>
            <w:right w:val="none" w:sz="0" w:space="0" w:color="auto"/>
          </w:divBdr>
          <w:divsChild>
            <w:div w:id="1250310916">
              <w:marLeft w:val="0"/>
              <w:marRight w:val="0"/>
              <w:marTop w:val="0"/>
              <w:marBottom w:val="0"/>
              <w:divBdr>
                <w:top w:val="none" w:sz="0" w:space="0" w:color="auto"/>
                <w:left w:val="none" w:sz="0" w:space="0" w:color="auto"/>
                <w:bottom w:val="none" w:sz="0" w:space="0" w:color="auto"/>
                <w:right w:val="none" w:sz="0" w:space="0" w:color="auto"/>
              </w:divBdr>
              <w:divsChild>
                <w:div w:id="616984662">
                  <w:marLeft w:val="0"/>
                  <w:marRight w:val="0"/>
                  <w:marTop w:val="0"/>
                  <w:marBottom w:val="0"/>
                  <w:divBdr>
                    <w:top w:val="none" w:sz="0" w:space="0" w:color="auto"/>
                    <w:left w:val="none" w:sz="0" w:space="0" w:color="auto"/>
                    <w:bottom w:val="none" w:sz="0" w:space="0" w:color="auto"/>
                    <w:right w:val="none" w:sz="0" w:space="0" w:color="auto"/>
                  </w:divBdr>
                  <w:divsChild>
                    <w:div w:id="1556117613">
                      <w:marLeft w:val="0"/>
                      <w:marRight w:val="0"/>
                      <w:marTop w:val="0"/>
                      <w:marBottom w:val="300"/>
                      <w:divBdr>
                        <w:top w:val="none" w:sz="0" w:space="0" w:color="auto"/>
                        <w:left w:val="none" w:sz="0" w:space="0" w:color="auto"/>
                        <w:bottom w:val="none" w:sz="0" w:space="0" w:color="auto"/>
                        <w:right w:val="none" w:sz="0" w:space="0" w:color="auto"/>
                      </w:divBdr>
                      <w:divsChild>
                        <w:div w:id="10296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766234">
      <w:bodyDiv w:val="1"/>
      <w:marLeft w:val="0"/>
      <w:marRight w:val="0"/>
      <w:marTop w:val="0"/>
      <w:marBottom w:val="0"/>
      <w:divBdr>
        <w:top w:val="none" w:sz="0" w:space="0" w:color="auto"/>
        <w:left w:val="none" w:sz="0" w:space="0" w:color="auto"/>
        <w:bottom w:val="none" w:sz="0" w:space="0" w:color="auto"/>
        <w:right w:val="none" w:sz="0" w:space="0" w:color="auto"/>
      </w:divBdr>
      <w:divsChild>
        <w:div w:id="1513765003">
          <w:marLeft w:val="0"/>
          <w:marRight w:val="0"/>
          <w:marTop w:val="0"/>
          <w:marBottom w:val="0"/>
          <w:divBdr>
            <w:top w:val="none" w:sz="0" w:space="0" w:color="auto"/>
            <w:left w:val="none" w:sz="0" w:space="0" w:color="auto"/>
            <w:bottom w:val="none" w:sz="0" w:space="0" w:color="auto"/>
            <w:right w:val="none" w:sz="0" w:space="0" w:color="auto"/>
          </w:divBdr>
          <w:divsChild>
            <w:div w:id="67701106">
              <w:marLeft w:val="0"/>
              <w:marRight w:val="0"/>
              <w:marTop w:val="0"/>
              <w:marBottom w:val="0"/>
              <w:divBdr>
                <w:top w:val="none" w:sz="0" w:space="0" w:color="auto"/>
                <w:left w:val="none" w:sz="0" w:space="0" w:color="auto"/>
                <w:bottom w:val="none" w:sz="0" w:space="0" w:color="auto"/>
                <w:right w:val="none" w:sz="0" w:space="0" w:color="auto"/>
              </w:divBdr>
              <w:divsChild>
                <w:div w:id="1777208257">
                  <w:marLeft w:val="0"/>
                  <w:marRight w:val="0"/>
                  <w:marTop w:val="0"/>
                  <w:marBottom w:val="0"/>
                  <w:divBdr>
                    <w:top w:val="none" w:sz="0" w:space="0" w:color="auto"/>
                    <w:left w:val="none" w:sz="0" w:space="0" w:color="auto"/>
                    <w:bottom w:val="none" w:sz="0" w:space="0" w:color="auto"/>
                    <w:right w:val="none" w:sz="0" w:space="0" w:color="auto"/>
                  </w:divBdr>
                  <w:divsChild>
                    <w:div w:id="195751981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955216799">
      <w:bodyDiv w:val="1"/>
      <w:marLeft w:val="0"/>
      <w:marRight w:val="0"/>
      <w:marTop w:val="0"/>
      <w:marBottom w:val="0"/>
      <w:divBdr>
        <w:top w:val="none" w:sz="0" w:space="0" w:color="auto"/>
        <w:left w:val="none" w:sz="0" w:space="0" w:color="auto"/>
        <w:bottom w:val="none" w:sz="0" w:space="0" w:color="auto"/>
        <w:right w:val="none" w:sz="0" w:space="0" w:color="auto"/>
      </w:divBdr>
    </w:div>
    <w:div w:id="955407120">
      <w:bodyDiv w:val="1"/>
      <w:marLeft w:val="0"/>
      <w:marRight w:val="0"/>
      <w:marTop w:val="0"/>
      <w:marBottom w:val="0"/>
      <w:divBdr>
        <w:top w:val="none" w:sz="0" w:space="0" w:color="auto"/>
        <w:left w:val="none" w:sz="0" w:space="0" w:color="auto"/>
        <w:bottom w:val="none" w:sz="0" w:space="0" w:color="auto"/>
        <w:right w:val="none" w:sz="0" w:space="0" w:color="auto"/>
      </w:divBdr>
      <w:divsChild>
        <w:div w:id="484471721">
          <w:marLeft w:val="0"/>
          <w:marRight w:val="0"/>
          <w:marTop w:val="0"/>
          <w:marBottom w:val="0"/>
          <w:divBdr>
            <w:top w:val="none" w:sz="0" w:space="0" w:color="auto"/>
            <w:left w:val="single" w:sz="6" w:space="0" w:color="BBBBBB"/>
            <w:bottom w:val="single" w:sz="6" w:space="0" w:color="BBBBBB"/>
            <w:right w:val="single" w:sz="6" w:space="0" w:color="BBBBBB"/>
          </w:divBdr>
          <w:divsChild>
            <w:div w:id="1031028014">
              <w:marLeft w:val="0"/>
              <w:marRight w:val="0"/>
              <w:marTop w:val="0"/>
              <w:marBottom w:val="0"/>
              <w:divBdr>
                <w:top w:val="none" w:sz="0" w:space="0" w:color="auto"/>
                <w:left w:val="none" w:sz="0" w:space="0" w:color="auto"/>
                <w:bottom w:val="none" w:sz="0" w:space="0" w:color="auto"/>
                <w:right w:val="none" w:sz="0" w:space="0" w:color="auto"/>
              </w:divBdr>
              <w:divsChild>
                <w:div w:id="347996282">
                  <w:marLeft w:val="0"/>
                  <w:marRight w:val="0"/>
                  <w:marTop w:val="0"/>
                  <w:marBottom w:val="0"/>
                  <w:divBdr>
                    <w:top w:val="none" w:sz="0" w:space="0" w:color="auto"/>
                    <w:left w:val="none" w:sz="0" w:space="0" w:color="auto"/>
                    <w:bottom w:val="none" w:sz="0" w:space="0" w:color="auto"/>
                    <w:right w:val="none" w:sz="0" w:space="0" w:color="auto"/>
                  </w:divBdr>
                  <w:divsChild>
                    <w:div w:id="378944086">
                      <w:marLeft w:val="0"/>
                      <w:marRight w:val="0"/>
                      <w:marTop w:val="0"/>
                      <w:marBottom w:val="0"/>
                      <w:divBdr>
                        <w:top w:val="none" w:sz="0" w:space="0" w:color="auto"/>
                        <w:left w:val="none" w:sz="0" w:space="0" w:color="auto"/>
                        <w:bottom w:val="none" w:sz="0" w:space="0" w:color="auto"/>
                        <w:right w:val="none" w:sz="0" w:space="0" w:color="auto"/>
                      </w:divBdr>
                      <w:divsChild>
                        <w:div w:id="437532937">
                          <w:marLeft w:val="0"/>
                          <w:marRight w:val="0"/>
                          <w:marTop w:val="0"/>
                          <w:marBottom w:val="0"/>
                          <w:divBdr>
                            <w:top w:val="none" w:sz="0" w:space="0" w:color="auto"/>
                            <w:left w:val="none" w:sz="0" w:space="0" w:color="auto"/>
                            <w:bottom w:val="none" w:sz="0" w:space="0" w:color="auto"/>
                            <w:right w:val="none" w:sz="0" w:space="0" w:color="auto"/>
                          </w:divBdr>
                          <w:divsChild>
                            <w:div w:id="1972664509">
                              <w:marLeft w:val="0"/>
                              <w:marRight w:val="0"/>
                              <w:marTop w:val="0"/>
                              <w:marBottom w:val="0"/>
                              <w:divBdr>
                                <w:top w:val="none" w:sz="0" w:space="0" w:color="auto"/>
                                <w:left w:val="none" w:sz="0" w:space="0" w:color="auto"/>
                                <w:bottom w:val="none" w:sz="0" w:space="0" w:color="auto"/>
                                <w:right w:val="none" w:sz="0" w:space="0" w:color="auto"/>
                              </w:divBdr>
                              <w:divsChild>
                                <w:div w:id="2007900732">
                                  <w:marLeft w:val="0"/>
                                  <w:marRight w:val="0"/>
                                  <w:marTop w:val="0"/>
                                  <w:marBottom w:val="0"/>
                                  <w:divBdr>
                                    <w:top w:val="none" w:sz="0" w:space="0" w:color="auto"/>
                                    <w:left w:val="none" w:sz="0" w:space="0" w:color="auto"/>
                                    <w:bottom w:val="none" w:sz="0" w:space="0" w:color="auto"/>
                                    <w:right w:val="none" w:sz="0" w:space="0" w:color="auto"/>
                                  </w:divBdr>
                                  <w:divsChild>
                                    <w:div w:id="896622054">
                                      <w:marLeft w:val="0"/>
                                      <w:marRight w:val="0"/>
                                      <w:marTop w:val="0"/>
                                      <w:marBottom w:val="0"/>
                                      <w:divBdr>
                                        <w:top w:val="none" w:sz="0" w:space="0" w:color="auto"/>
                                        <w:left w:val="none" w:sz="0" w:space="0" w:color="auto"/>
                                        <w:bottom w:val="none" w:sz="0" w:space="0" w:color="auto"/>
                                        <w:right w:val="none" w:sz="0" w:space="0" w:color="auto"/>
                                      </w:divBdr>
                                      <w:divsChild>
                                        <w:div w:id="445276772">
                                          <w:marLeft w:val="1200"/>
                                          <w:marRight w:val="1200"/>
                                          <w:marTop w:val="0"/>
                                          <w:marBottom w:val="0"/>
                                          <w:divBdr>
                                            <w:top w:val="none" w:sz="0" w:space="0" w:color="auto"/>
                                            <w:left w:val="none" w:sz="0" w:space="0" w:color="auto"/>
                                            <w:bottom w:val="none" w:sz="0" w:space="0" w:color="auto"/>
                                            <w:right w:val="none" w:sz="0" w:space="0" w:color="auto"/>
                                          </w:divBdr>
                                          <w:divsChild>
                                            <w:div w:id="915942510">
                                              <w:marLeft w:val="0"/>
                                              <w:marRight w:val="0"/>
                                              <w:marTop w:val="0"/>
                                              <w:marBottom w:val="0"/>
                                              <w:divBdr>
                                                <w:top w:val="none" w:sz="0" w:space="0" w:color="auto"/>
                                                <w:left w:val="none" w:sz="0" w:space="0" w:color="auto"/>
                                                <w:bottom w:val="none" w:sz="0" w:space="0" w:color="auto"/>
                                                <w:right w:val="none" w:sz="0" w:space="0" w:color="auto"/>
                                              </w:divBdr>
                                              <w:divsChild>
                                                <w:div w:id="312294422">
                                                  <w:marLeft w:val="0"/>
                                                  <w:marRight w:val="0"/>
                                                  <w:marTop w:val="0"/>
                                                  <w:marBottom w:val="0"/>
                                                  <w:divBdr>
                                                    <w:top w:val="none" w:sz="0" w:space="0" w:color="auto"/>
                                                    <w:left w:val="none" w:sz="0" w:space="0" w:color="auto"/>
                                                    <w:bottom w:val="none" w:sz="0" w:space="0" w:color="auto"/>
                                                    <w:right w:val="none" w:sz="0" w:space="0" w:color="auto"/>
                                                  </w:divBdr>
                                                  <w:divsChild>
                                                    <w:div w:id="1240945737">
                                                      <w:marLeft w:val="0"/>
                                                      <w:marRight w:val="0"/>
                                                      <w:marTop w:val="0"/>
                                                      <w:marBottom w:val="0"/>
                                                      <w:divBdr>
                                                        <w:top w:val="none" w:sz="0" w:space="0" w:color="auto"/>
                                                        <w:left w:val="none" w:sz="0" w:space="0" w:color="auto"/>
                                                        <w:bottom w:val="none" w:sz="0" w:space="0" w:color="auto"/>
                                                        <w:right w:val="none" w:sz="0" w:space="0" w:color="auto"/>
                                                      </w:divBdr>
                                                      <w:divsChild>
                                                        <w:div w:id="1975014945">
                                                          <w:marLeft w:val="0"/>
                                                          <w:marRight w:val="0"/>
                                                          <w:marTop w:val="0"/>
                                                          <w:marBottom w:val="0"/>
                                                          <w:divBdr>
                                                            <w:top w:val="none" w:sz="0" w:space="0" w:color="auto"/>
                                                            <w:left w:val="none" w:sz="0" w:space="0" w:color="auto"/>
                                                            <w:bottom w:val="none" w:sz="0" w:space="0" w:color="auto"/>
                                                            <w:right w:val="none" w:sz="0" w:space="0" w:color="auto"/>
                                                          </w:divBdr>
                                                          <w:divsChild>
                                                            <w:div w:id="570585549">
                                                              <w:marLeft w:val="0"/>
                                                              <w:marRight w:val="0"/>
                                                              <w:marTop w:val="0"/>
                                                              <w:marBottom w:val="0"/>
                                                              <w:divBdr>
                                                                <w:top w:val="none" w:sz="0" w:space="0" w:color="auto"/>
                                                                <w:left w:val="none" w:sz="0" w:space="0" w:color="auto"/>
                                                                <w:bottom w:val="none" w:sz="0" w:space="0" w:color="auto"/>
                                                                <w:right w:val="none" w:sz="0" w:space="0" w:color="auto"/>
                                                              </w:divBdr>
                                                              <w:divsChild>
                                                                <w:div w:id="1481919547">
                                                                  <w:marLeft w:val="0"/>
                                                                  <w:marRight w:val="0"/>
                                                                  <w:marTop w:val="0"/>
                                                                  <w:marBottom w:val="0"/>
                                                                  <w:divBdr>
                                                                    <w:top w:val="none" w:sz="0" w:space="0" w:color="auto"/>
                                                                    <w:left w:val="none" w:sz="0" w:space="0" w:color="auto"/>
                                                                    <w:bottom w:val="none" w:sz="0" w:space="0" w:color="auto"/>
                                                                    <w:right w:val="none" w:sz="0" w:space="0" w:color="auto"/>
                                                                  </w:divBdr>
                                                                  <w:divsChild>
                                                                    <w:div w:id="1407337248">
                                                                      <w:marLeft w:val="0"/>
                                                                      <w:marRight w:val="0"/>
                                                                      <w:marTop w:val="0"/>
                                                                      <w:marBottom w:val="0"/>
                                                                      <w:divBdr>
                                                                        <w:top w:val="none" w:sz="0" w:space="0" w:color="auto"/>
                                                                        <w:left w:val="none" w:sz="0" w:space="0" w:color="auto"/>
                                                                        <w:bottom w:val="none" w:sz="0" w:space="0" w:color="auto"/>
                                                                        <w:right w:val="none" w:sz="0" w:space="0" w:color="auto"/>
                                                                      </w:divBdr>
                                                                      <w:divsChild>
                                                                        <w:div w:id="813791653">
                                                                          <w:marLeft w:val="0"/>
                                                                          <w:marRight w:val="0"/>
                                                                          <w:marTop w:val="0"/>
                                                                          <w:marBottom w:val="0"/>
                                                                          <w:divBdr>
                                                                            <w:top w:val="none" w:sz="0" w:space="0" w:color="auto"/>
                                                                            <w:left w:val="none" w:sz="0" w:space="0" w:color="auto"/>
                                                                            <w:bottom w:val="none" w:sz="0" w:space="0" w:color="auto"/>
                                                                            <w:right w:val="none" w:sz="0" w:space="0" w:color="auto"/>
                                                                          </w:divBdr>
                                                                        </w:div>
                                                                      </w:divsChild>
                                                                    </w:div>
                                                                    <w:div w:id="1891991129">
                                                                      <w:marLeft w:val="0"/>
                                                                      <w:marRight w:val="0"/>
                                                                      <w:marTop w:val="0"/>
                                                                      <w:marBottom w:val="0"/>
                                                                      <w:divBdr>
                                                                        <w:top w:val="none" w:sz="0" w:space="0" w:color="auto"/>
                                                                        <w:left w:val="none" w:sz="0" w:space="0" w:color="auto"/>
                                                                        <w:bottom w:val="none" w:sz="0" w:space="0" w:color="auto"/>
                                                                        <w:right w:val="none" w:sz="0" w:space="0" w:color="auto"/>
                                                                      </w:divBdr>
                                                                      <w:divsChild>
                                                                        <w:div w:id="91863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030327">
      <w:bodyDiv w:val="1"/>
      <w:marLeft w:val="0"/>
      <w:marRight w:val="0"/>
      <w:marTop w:val="0"/>
      <w:marBottom w:val="0"/>
      <w:divBdr>
        <w:top w:val="none" w:sz="0" w:space="0" w:color="auto"/>
        <w:left w:val="none" w:sz="0" w:space="0" w:color="auto"/>
        <w:bottom w:val="none" w:sz="0" w:space="0" w:color="auto"/>
        <w:right w:val="none" w:sz="0" w:space="0" w:color="auto"/>
      </w:divBdr>
      <w:divsChild>
        <w:div w:id="435295897">
          <w:marLeft w:val="0"/>
          <w:marRight w:val="0"/>
          <w:marTop w:val="240"/>
          <w:marBottom w:val="0"/>
          <w:divBdr>
            <w:top w:val="none" w:sz="0" w:space="0" w:color="auto"/>
            <w:left w:val="none" w:sz="0" w:space="0" w:color="auto"/>
            <w:bottom w:val="none" w:sz="0" w:space="0" w:color="auto"/>
            <w:right w:val="none" w:sz="0" w:space="0" w:color="auto"/>
          </w:divBdr>
          <w:divsChild>
            <w:div w:id="753743593">
              <w:marLeft w:val="0"/>
              <w:marRight w:val="0"/>
              <w:marTop w:val="0"/>
              <w:marBottom w:val="0"/>
              <w:divBdr>
                <w:top w:val="none" w:sz="0" w:space="0" w:color="auto"/>
                <w:left w:val="none" w:sz="0" w:space="0" w:color="auto"/>
                <w:bottom w:val="none" w:sz="0" w:space="0" w:color="auto"/>
                <w:right w:val="none" w:sz="0" w:space="0" w:color="auto"/>
              </w:divBdr>
            </w:div>
          </w:divsChild>
        </w:div>
        <w:div w:id="737627226">
          <w:marLeft w:val="0"/>
          <w:marRight w:val="0"/>
          <w:marTop w:val="240"/>
          <w:marBottom w:val="0"/>
          <w:divBdr>
            <w:top w:val="none" w:sz="0" w:space="0" w:color="auto"/>
            <w:left w:val="none" w:sz="0" w:space="0" w:color="auto"/>
            <w:bottom w:val="none" w:sz="0" w:space="0" w:color="auto"/>
            <w:right w:val="none" w:sz="0" w:space="0" w:color="auto"/>
          </w:divBdr>
          <w:divsChild>
            <w:div w:id="17850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5608">
      <w:bodyDiv w:val="1"/>
      <w:marLeft w:val="0"/>
      <w:marRight w:val="0"/>
      <w:marTop w:val="0"/>
      <w:marBottom w:val="0"/>
      <w:divBdr>
        <w:top w:val="none" w:sz="0" w:space="0" w:color="auto"/>
        <w:left w:val="none" w:sz="0" w:space="0" w:color="auto"/>
        <w:bottom w:val="none" w:sz="0" w:space="0" w:color="auto"/>
        <w:right w:val="none" w:sz="0" w:space="0" w:color="auto"/>
      </w:divBdr>
      <w:divsChild>
        <w:div w:id="2127001298">
          <w:marLeft w:val="0"/>
          <w:marRight w:val="0"/>
          <w:marTop w:val="0"/>
          <w:marBottom w:val="0"/>
          <w:divBdr>
            <w:top w:val="none" w:sz="0" w:space="0" w:color="auto"/>
            <w:left w:val="none" w:sz="0" w:space="0" w:color="auto"/>
            <w:bottom w:val="none" w:sz="0" w:space="0" w:color="auto"/>
            <w:right w:val="none" w:sz="0" w:space="0" w:color="auto"/>
          </w:divBdr>
          <w:divsChild>
            <w:div w:id="504826130">
              <w:marLeft w:val="0"/>
              <w:marRight w:val="0"/>
              <w:marTop w:val="0"/>
              <w:marBottom w:val="0"/>
              <w:divBdr>
                <w:top w:val="none" w:sz="0" w:space="0" w:color="auto"/>
                <w:left w:val="none" w:sz="0" w:space="0" w:color="auto"/>
                <w:bottom w:val="none" w:sz="0" w:space="0" w:color="auto"/>
                <w:right w:val="none" w:sz="0" w:space="0" w:color="auto"/>
              </w:divBdr>
              <w:divsChild>
                <w:div w:id="3198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39899">
          <w:marLeft w:val="0"/>
          <w:marRight w:val="0"/>
          <w:marTop w:val="0"/>
          <w:marBottom w:val="0"/>
          <w:divBdr>
            <w:top w:val="none" w:sz="0" w:space="0" w:color="auto"/>
            <w:left w:val="none" w:sz="0" w:space="0" w:color="auto"/>
            <w:bottom w:val="none" w:sz="0" w:space="0" w:color="auto"/>
            <w:right w:val="none" w:sz="0" w:space="0" w:color="auto"/>
          </w:divBdr>
          <w:divsChild>
            <w:div w:id="644630235">
              <w:marLeft w:val="0"/>
              <w:marRight w:val="0"/>
              <w:marTop w:val="0"/>
              <w:marBottom w:val="0"/>
              <w:divBdr>
                <w:top w:val="none" w:sz="0" w:space="0" w:color="auto"/>
                <w:left w:val="none" w:sz="0" w:space="0" w:color="auto"/>
                <w:bottom w:val="none" w:sz="0" w:space="0" w:color="auto"/>
                <w:right w:val="none" w:sz="0" w:space="0" w:color="auto"/>
              </w:divBdr>
              <w:divsChild>
                <w:div w:id="124273066">
                  <w:marLeft w:val="0"/>
                  <w:marRight w:val="0"/>
                  <w:marTop w:val="0"/>
                  <w:marBottom w:val="0"/>
                  <w:divBdr>
                    <w:top w:val="none" w:sz="0" w:space="0" w:color="auto"/>
                    <w:left w:val="none" w:sz="0" w:space="0" w:color="auto"/>
                    <w:bottom w:val="none" w:sz="0" w:space="0" w:color="auto"/>
                    <w:right w:val="none" w:sz="0" w:space="0" w:color="auto"/>
                  </w:divBdr>
                </w:div>
              </w:divsChild>
            </w:div>
            <w:div w:id="1848060708">
              <w:marLeft w:val="0"/>
              <w:marRight w:val="0"/>
              <w:marTop w:val="0"/>
              <w:marBottom w:val="0"/>
              <w:divBdr>
                <w:top w:val="none" w:sz="0" w:space="0" w:color="auto"/>
                <w:left w:val="none" w:sz="0" w:space="0" w:color="auto"/>
                <w:bottom w:val="none" w:sz="0" w:space="0" w:color="auto"/>
                <w:right w:val="none" w:sz="0" w:space="0" w:color="auto"/>
              </w:divBdr>
              <w:divsChild>
                <w:div w:id="1789738158">
                  <w:marLeft w:val="0"/>
                  <w:marRight w:val="0"/>
                  <w:marTop w:val="0"/>
                  <w:marBottom w:val="0"/>
                  <w:divBdr>
                    <w:top w:val="none" w:sz="0" w:space="0" w:color="auto"/>
                    <w:left w:val="none" w:sz="0" w:space="0" w:color="auto"/>
                    <w:bottom w:val="none" w:sz="0" w:space="0" w:color="auto"/>
                    <w:right w:val="none" w:sz="0" w:space="0" w:color="auto"/>
                  </w:divBdr>
                </w:div>
              </w:divsChild>
            </w:div>
            <w:div w:id="1612938244">
              <w:marLeft w:val="0"/>
              <w:marRight w:val="0"/>
              <w:marTop w:val="0"/>
              <w:marBottom w:val="0"/>
              <w:divBdr>
                <w:top w:val="none" w:sz="0" w:space="0" w:color="auto"/>
                <w:left w:val="none" w:sz="0" w:space="0" w:color="auto"/>
                <w:bottom w:val="none" w:sz="0" w:space="0" w:color="auto"/>
                <w:right w:val="none" w:sz="0" w:space="0" w:color="auto"/>
              </w:divBdr>
              <w:divsChild>
                <w:div w:id="108814585">
                  <w:marLeft w:val="0"/>
                  <w:marRight w:val="0"/>
                  <w:marTop w:val="0"/>
                  <w:marBottom w:val="0"/>
                  <w:divBdr>
                    <w:top w:val="none" w:sz="0" w:space="0" w:color="auto"/>
                    <w:left w:val="none" w:sz="0" w:space="0" w:color="auto"/>
                    <w:bottom w:val="none" w:sz="0" w:space="0" w:color="auto"/>
                    <w:right w:val="none" w:sz="0" w:space="0" w:color="auto"/>
                  </w:divBdr>
                </w:div>
              </w:divsChild>
            </w:div>
            <w:div w:id="967517881">
              <w:marLeft w:val="0"/>
              <w:marRight w:val="0"/>
              <w:marTop w:val="0"/>
              <w:marBottom w:val="0"/>
              <w:divBdr>
                <w:top w:val="none" w:sz="0" w:space="0" w:color="auto"/>
                <w:left w:val="none" w:sz="0" w:space="0" w:color="auto"/>
                <w:bottom w:val="none" w:sz="0" w:space="0" w:color="auto"/>
                <w:right w:val="none" w:sz="0" w:space="0" w:color="auto"/>
              </w:divBdr>
              <w:divsChild>
                <w:div w:id="944993526">
                  <w:marLeft w:val="0"/>
                  <w:marRight w:val="0"/>
                  <w:marTop w:val="0"/>
                  <w:marBottom w:val="0"/>
                  <w:divBdr>
                    <w:top w:val="none" w:sz="0" w:space="0" w:color="auto"/>
                    <w:left w:val="none" w:sz="0" w:space="0" w:color="auto"/>
                    <w:bottom w:val="none" w:sz="0" w:space="0" w:color="auto"/>
                    <w:right w:val="none" w:sz="0" w:space="0" w:color="auto"/>
                  </w:divBdr>
                  <w:divsChild>
                    <w:div w:id="11793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7495">
              <w:marLeft w:val="0"/>
              <w:marRight w:val="0"/>
              <w:marTop w:val="0"/>
              <w:marBottom w:val="0"/>
              <w:divBdr>
                <w:top w:val="none" w:sz="0" w:space="0" w:color="auto"/>
                <w:left w:val="none" w:sz="0" w:space="0" w:color="auto"/>
                <w:bottom w:val="none" w:sz="0" w:space="0" w:color="auto"/>
                <w:right w:val="none" w:sz="0" w:space="0" w:color="auto"/>
              </w:divBdr>
              <w:divsChild>
                <w:div w:id="594828255">
                  <w:marLeft w:val="0"/>
                  <w:marRight w:val="0"/>
                  <w:marTop w:val="0"/>
                  <w:marBottom w:val="0"/>
                  <w:divBdr>
                    <w:top w:val="none" w:sz="0" w:space="0" w:color="auto"/>
                    <w:left w:val="none" w:sz="0" w:space="0" w:color="auto"/>
                    <w:bottom w:val="none" w:sz="0" w:space="0" w:color="auto"/>
                    <w:right w:val="none" w:sz="0" w:space="0" w:color="auto"/>
                  </w:divBdr>
                </w:div>
              </w:divsChild>
            </w:div>
            <w:div w:id="1445810130">
              <w:marLeft w:val="0"/>
              <w:marRight w:val="0"/>
              <w:marTop w:val="0"/>
              <w:marBottom w:val="0"/>
              <w:divBdr>
                <w:top w:val="none" w:sz="0" w:space="0" w:color="auto"/>
                <w:left w:val="none" w:sz="0" w:space="0" w:color="auto"/>
                <w:bottom w:val="none" w:sz="0" w:space="0" w:color="auto"/>
                <w:right w:val="none" w:sz="0" w:space="0" w:color="auto"/>
              </w:divBdr>
              <w:divsChild>
                <w:div w:id="1610618937">
                  <w:marLeft w:val="0"/>
                  <w:marRight w:val="0"/>
                  <w:marTop w:val="0"/>
                  <w:marBottom w:val="0"/>
                  <w:divBdr>
                    <w:top w:val="none" w:sz="0" w:space="0" w:color="auto"/>
                    <w:left w:val="none" w:sz="0" w:space="0" w:color="auto"/>
                    <w:bottom w:val="none" w:sz="0" w:space="0" w:color="auto"/>
                    <w:right w:val="none" w:sz="0" w:space="0" w:color="auto"/>
                  </w:divBdr>
                </w:div>
              </w:divsChild>
            </w:div>
            <w:div w:id="119568062">
              <w:marLeft w:val="0"/>
              <w:marRight w:val="0"/>
              <w:marTop w:val="0"/>
              <w:marBottom w:val="0"/>
              <w:divBdr>
                <w:top w:val="none" w:sz="0" w:space="0" w:color="auto"/>
                <w:left w:val="none" w:sz="0" w:space="0" w:color="auto"/>
                <w:bottom w:val="none" w:sz="0" w:space="0" w:color="auto"/>
                <w:right w:val="none" w:sz="0" w:space="0" w:color="auto"/>
              </w:divBdr>
              <w:divsChild>
                <w:div w:id="1248463819">
                  <w:marLeft w:val="0"/>
                  <w:marRight w:val="0"/>
                  <w:marTop w:val="0"/>
                  <w:marBottom w:val="0"/>
                  <w:divBdr>
                    <w:top w:val="none" w:sz="0" w:space="0" w:color="auto"/>
                    <w:left w:val="none" w:sz="0" w:space="0" w:color="auto"/>
                    <w:bottom w:val="none" w:sz="0" w:space="0" w:color="auto"/>
                    <w:right w:val="none" w:sz="0" w:space="0" w:color="auto"/>
                  </w:divBdr>
                </w:div>
              </w:divsChild>
            </w:div>
            <w:div w:id="1633167277">
              <w:marLeft w:val="0"/>
              <w:marRight w:val="0"/>
              <w:marTop w:val="0"/>
              <w:marBottom w:val="0"/>
              <w:divBdr>
                <w:top w:val="none" w:sz="0" w:space="0" w:color="auto"/>
                <w:left w:val="none" w:sz="0" w:space="0" w:color="auto"/>
                <w:bottom w:val="none" w:sz="0" w:space="0" w:color="auto"/>
                <w:right w:val="none" w:sz="0" w:space="0" w:color="auto"/>
              </w:divBdr>
              <w:divsChild>
                <w:div w:id="227424022">
                  <w:marLeft w:val="0"/>
                  <w:marRight w:val="0"/>
                  <w:marTop w:val="0"/>
                  <w:marBottom w:val="0"/>
                  <w:divBdr>
                    <w:top w:val="none" w:sz="0" w:space="0" w:color="auto"/>
                    <w:left w:val="none" w:sz="0" w:space="0" w:color="auto"/>
                    <w:bottom w:val="none" w:sz="0" w:space="0" w:color="auto"/>
                    <w:right w:val="none" w:sz="0" w:space="0" w:color="auto"/>
                  </w:divBdr>
                  <w:divsChild>
                    <w:div w:id="35936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226003">
      <w:bodyDiv w:val="1"/>
      <w:marLeft w:val="0"/>
      <w:marRight w:val="0"/>
      <w:marTop w:val="0"/>
      <w:marBottom w:val="0"/>
      <w:divBdr>
        <w:top w:val="none" w:sz="0" w:space="0" w:color="auto"/>
        <w:left w:val="none" w:sz="0" w:space="0" w:color="auto"/>
        <w:bottom w:val="none" w:sz="0" w:space="0" w:color="auto"/>
        <w:right w:val="none" w:sz="0" w:space="0" w:color="auto"/>
      </w:divBdr>
      <w:divsChild>
        <w:div w:id="1972442482">
          <w:marLeft w:val="0"/>
          <w:marRight w:val="0"/>
          <w:marTop w:val="0"/>
          <w:marBottom w:val="0"/>
          <w:divBdr>
            <w:top w:val="none" w:sz="0" w:space="0" w:color="auto"/>
            <w:left w:val="none" w:sz="0" w:space="0" w:color="auto"/>
            <w:bottom w:val="none" w:sz="0" w:space="0" w:color="auto"/>
            <w:right w:val="none" w:sz="0" w:space="0" w:color="auto"/>
          </w:divBdr>
          <w:divsChild>
            <w:div w:id="953631902">
              <w:marLeft w:val="0"/>
              <w:marRight w:val="0"/>
              <w:marTop w:val="0"/>
              <w:marBottom w:val="0"/>
              <w:divBdr>
                <w:top w:val="none" w:sz="0" w:space="0" w:color="auto"/>
                <w:left w:val="none" w:sz="0" w:space="0" w:color="auto"/>
                <w:bottom w:val="none" w:sz="0" w:space="0" w:color="auto"/>
                <w:right w:val="none" w:sz="0" w:space="0" w:color="auto"/>
              </w:divBdr>
              <w:divsChild>
                <w:div w:id="1274945119">
                  <w:marLeft w:val="0"/>
                  <w:marRight w:val="0"/>
                  <w:marTop w:val="0"/>
                  <w:marBottom w:val="0"/>
                  <w:divBdr>
                    <w:top w:val="none" w:sz="0" w:space="0" w:color="auto"/>
                    <w:left w:val="none" w:sz="0" w:space="0" w:color="auto"/>
                    <w:bottom w:val="none" w:sz="0" w:space="0" w:color="auto"/>
                    <w:right w:val="none" w:sz="0" w:space="0" w:color="auto"/>
                  </w:divBdr>
                  <w:divsChild>
                    <w:div w:id="1076972868">
                      <w:marLeft w:val="0"/>
                      <w:marRight w:val="0"/>
                      <w:marTop w:val="0"/>
                      <w:marBottom w:val="300"/>
                      <w:divBdr>
                        <w:top w:val="none" w:sz="0" w:space="0" w:color="auto"/>
                        <w:left w:val="none" w:sz="0" w:space="0" w:color="auto"/>
                        <w:bottom w:val="none" w:sz="0" w:space="0" w:color="auto"/>
                        <w:right w:val="none" w:sz="0" w:space="0" w:color="auto"/>
                      </w:divBdr>
                      <w:divsChild>
                        <w:div w:id="57535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886862">
      <w:bodyDiv w:val="1"/>
      <w:marLeft w:val="0"/>
      <w:marRight w:val="0"/>
      <w:marTop w:val="0"/>
      <w:marBottom w:val="0"/>
      <w:divBdr>
        <w:top w:val="none" w:sz="0" w:space="0" w:color="auto"/>
        <w:left w:val="none" w:sz="0" w:space="0" w:color="auto"/>
        <w:bottom w:val="none" w:sz="0" w:space="0" w:color="auto"/>
        <w:right w:val="none" w:sz="0" w:space="0" w:color="auto"/>
      </w:divBdr>
      <w:divsChild>
        <w:div w:id="999044665">
          <w:marLeft w:val="0"/>
          <w:marRight w:val="0"/>
          <w:marTop w:val="0"/>
          <w:marBottom w:val="0"/>
          <w:divBdr>
            <w:top w:val="none" w:sz="0" w:space="0" w:color="auto"/>
            <w:left w:val="single" w:sz="6" w:space="0" w:color="BBBBBB"/>
            <w:bottom w:val="single" w:sz="6" w:space="0" w:color="BBBBBB"/>
            <w:right w:val="single" w:sz="6" w:space="0" w:color="BBBBBB"/>
          </w:divBdr>
          <w:divsChild>
            <w:div w:id="2064671756">
              <w:marLeft w:val="0"/>
              <w:marRight w:val="0"/>
              <w:marTop w:val="0"/>
              <w:marBottom w:val="0"/>
              <w:divBdr>
                <w:top w:val="none" w:sz="0" w:space="0" w:color="auto"/>
                <w:left w:val="none" w:sz="0" w:space="0" w:color="auto"/>
                <w:bottom w:val="none" w:sz="0" w:space="0" w:color="auto"/>
                <w:right w:val="none" w:sz="0" w:space="0" w:color="auto"/>
              </w:divBdr>
              <w:divsChild>
                <w:div w:id="913005491">
                  <w:marLeft w:val="0"/>
                  <w:marRight w:val="0"/>
                  <w:marTop w:val="0"/>
                  <w:marBottom w:val="0"/>
                  <w:divBdr>
                    <w:top w:val="none" w:sz="0" w:space="0" w:color="auto"/>
                    <w:left w:val="none" w:sz="0" w:space="0" w:color="auto"/>
                    <w:bottom w:val="none" w:sz="0" w:space="0" w:color="auto"/>
                    <w:right w:val="none" w:sz="0" w:space="0" w:color="auto"/>
                  </w:divBdr>
                  <w:divsChild>
                    <w:div w:id="321741262">
                      <w:marLeft w:val="0"/>
                      <w:marRight w:val="0"/>
                      <w:marTop w:val="0"/>
                      <w:marBottom w:val="0"/>
                      <w:divBdr>
                        <w:top w:val="none" w:sz="0" w:space="0" w:color="auto"/>
                        <w:left w:val="none" w:sz="0" w:space="0" w:color="auto"/>
                        <w:bottom w:val="none" w:sz="0" w:space="0" w:color="auto"/>
                        <w:right w:val="none" w:sz="0" w:space="0" w:color="auto"/>
                      </w:divBdr>
                      <w:divsChild>
                        <w:div w:id="384180937">
                          <w:marLeft w:val="0"/>
                          <w:marRight w:val="0"/>
                          <w:marTop w:val="0"/>
                          <w:marBottom w:val="0"/>
                          <w:divBdr>
                            <w:top w:val="none" w:sz="0" w:space="0" w:color="auto"/>
                            <w:left w:val="none" w:sz="0" w:space="0" w:color="auto"/>
                            <w:bottom w:val="none" w:sz="0" w:space="0" w:color="auto"/>
                            <w:right w:val="none" w:sz="0" w:space="0" w:color="auto"/>
                          </w:divBdr>
                          <w:divsChild>
                            <w:div w:id="1319264273">
                              <w:marLeft w:val="0"/>
                              <w:marRight w:val="0"/>
                              <w:marTop w:val="0"/>
                              <w:marBottom w:val="0"/>
                              <w:divBdr>
                                <w:top w:val="none" w:sz="0" w:space="0" w:color="auto"/>
                                <w:left w:val="none" w:sz="0" w:space="0" w:color="auto"/>
                                <w:bottom w:val="none" w:sz="0" w:space="0" w:color="auto"/>
                                <w:right w:val="none" w:sz="0" w:space="0" w:color="auto"/>
                              </w:divBdr>
                              <w:divsChild>
                                <w:div w:id="207764139">
                                  <w:marLeft w:val="0"/>
                                  <w:marRight w:val="0"/>
                                  <w:marTop w:val="0"/>
                                  <w:marBottom w:val="0"/>
                                  <w:divBdr>
                                    <w:top w:val="none" w:sz="0" w:space="0" w:color="auto"/>
                                    <w:left w:val="none" w:sz="0" w:space="0" w:color="auto"/>
                                    <w:bottom w:val="none" w:sz="0" w:space="0" w:color="auto"/>
                                    <w:right w:val="none" w:sz="0" w:space="0" w:color="auto"/>
                                  </w:divBdr>
                                  <w:divsChild>
                                    <w:div w:id="1265727924">
                                      <w:marLeft w:val="0"/>
                                      <w:marRight w:val="0"/>
                                      <w:marTop w:val="0"/>
                                      <w:marBottom w:val="0"/>
                                      <w:divBdr>
                                        <w:top w:val="none" w:sz="0" w:space="0" w:color="auto"/>
                                        <w:left w:val="none" w:sz="0" w:space="0" w:color="auto"/>
                                        <w:bottom w:val="none" w:sz="0" w:space="0" w:color="auto"/>
                                        <w:right w:val="none" w:sz="0" w:space="0" w:color="auto"/>
                                      </w:divBdr>
                                      <w:divsChild>
                                        <w:div w:id="1342198828">
                                          <w:marLeft w:val="1200"/>
                                          <w:marRight w:val="1200"/>
                                          <w:marTop w:val="0"/>
                                          <w:marBottom w:val="0"/>
                                          <w:divBdr>
                                            <w:top w:val="none" w:sz="0" w:space="0" w:color="auto"/>
                                            <w:left w:val="none" w:sz="0" w:space="0" w:color="auto"/>
                                            <w:bottom w:val="none" w:sz="0" w:space="0" w:color="auto"/>
                                            <w:right w:val="none" w:sz="0" w:space="0" w:color="auto"/>
                                          </w:divBdr>
                                          <w:divsChild>
                                            <w:div w:id="574823074">
                                              <w:marLeft w:val="0"/>
                                              <w:marRight w:val="0"/>
                                              <w:marTop w:val="0"/>
                                              <w:marBottom w:val="0"/>
                                              <w:divBdr>
                                                <w:top w:val="none" w:sz="0" w:space="0" w:color="auto"/>
                                                <w:left w:val="none" w:sz="0" w:space="0" w:color="auto"/>
                                                <w:bottom w:val="none" w:sz="0" w:space="0" w:color="auto"/>
                                                <w:right w:val="none" w:sz="0" w:space="0" w:color="auto"/>
                                              </w:divBdr>
                                              <w:divsChild>
                                                <w:div w:id="1111320941">
                                                  <w:marLeft w:val="0"/>
                                                  <w:marRight w:val="0"/>
                                                  <w:marTop w:val="0"/>
                                                  <w:marBottom w:val="0"/>
                                                  <w:divBdr>
                                                    <w:top w:val="none" w:sz="0" w:space="0" w:color="auto"/>
                                                    <w:left w:val="none" w:sz="0" w:space="0" w:color="auto"/>
                                                    <w:bottom w:val="none" w:sz="0" w:space="0" w:color="auto"/>
                                                    <w:right w:val="none" w:sz="0" w:space="0" w:color="auto"/>
                                                  </w:divBdr>
                                                  <w:divsChild>
                                                    <w:div w:id="1983464765">
                                                      <w:marLeft w:val="0"/>
                                                      <w:marRight w:val="0"/>
                                                      <w:marTop w:val="0"/>
                                                      <w:marBottom w:val="0"/>
                                                      <w:divBdr>
                                                        <w:top w:val="none" w:sz="0" w:space="0" w:color="auto"/>
                                                        <w:left w:val="none" w:sz="0" w:space="0" w:color="auto"/>
                                                        <w:bottom w:val="none" w:sz="0" w:space="0" w:color="auto"/>
                                                        <w:right w:val="none" w:sz="0" w:space="0" w:color="auto"/>
                                                      </w:divBdr>
                                                      <w:divsChild>
                                                        <w:div w:id="1423063264">
                                                          <w:marLeft w:val="0"/>
                                                          <w:marRight w:val="0"/>
                                                          <w:marTop w:val="0"/>
                                                          <w:marBottom w:val="0"/>
                                                          <w:divBdr>
                                                            <w:top w:val="none" w:sz="0" w:space="0" w:color="auto"/>
                                                            <w:left w:val="none" w:sz="0" w:space="0" w:color="auto"/>
                                                            <w:bottom w:val="none" w:sz="0" w:space="0" w:color="auto"/>
                                                            <w:right w:val="none" w:sz="0" w:space="0" w:color="auto"/>
                                                          </w:divBdr>
                                                          <w:divsChild>
                                                            <w:div w:id="2017613088">
                                                              <w:marLeft w:val="0"/>
                                                              <w:marRight w:val="0"/>
                                                              <w:marTop w:val="0"/>
                                                              <w:marBottom w:val="0"/>
                                                              <w:divBdr>
                                                                <w:top w:val="none" w:sz="0" w:space="0" w:color="auto"/>
                                                                <w:left w:val="none" w:sz="0" w:space="0" w:color="auto"/>
                                                                <w:bottom w:val="none" w:sz="0" w:space="0" w:color="auto"/>
                                                                <w:right w:val="none" w:sz="0" w:space="0" w:color="auto"/>
                                                              </w:divBdr>
                                                              <w:divsChild>
                                                                <w:div w:id="1634629930">
                                                                  <w:marLeft w:val="0"/>
                                                                  <w:marRight w:val="0"/>
                                                                  <w:marTop w:val="0"/>
                                                                  <w:marBottom w:val="0"/>
                                                                  <w:divBdr>
                                                                    <w:top w:val="none" w:sz="0" w:space="0" w:color="auto"/>
                                                                    <w:left w:val="none" w:sz="0" w:space="0" w:color="auto"/>
                                                                    <w:bottom w:val="none" w:sz="0" w:space="0" w:color="auto"/>
                                                                    <w:right w:val="none" w:sz="0" w:space="0" w:color="auto"/>
                                                                  </w:divBdr>
                                                                  <w:divsChild>
                                                                    <w:div w:id="1984658143">
                                                                      <w:marLeft w:val="0"/>
                                                                      <w:marRight w:val="0"/>
                                                                      <w:marTop w:val="0"/>
                                                                      <w:marBottom w:val="0"/>
                                                                      <w:divBdr>
                                                                        <w:top w:val="none" w:sz="0" w:space="0" w:color="auto"/>
                                                                        <w:left w:val="none" w:sz="0" w:space="0" w:color="auto"/>
                                                                        <w:bottom w:val="none" w:sz="0" w:space="0" w:color="auto"/>
                                                                        <w:right w:val="none" w:sz="0" w:space="0" w:color="auto"/>
                                                                      </w:divBdr>
                                                                      <w:divsChild>
                                                                        <w:div w:id="119689485">
                                                                          <w:marLeft w:val="0"/>
                                                                          <w:marRight w:val="0"/>
                                                                          <w:marTop w:val="0"/>
                                                                          <w:marBottom w:val="0"/>
                                                                          <w:divBdr>
                                                                            <w:top w:val="none" w:sz="0" w:space="0" w:color="auto"/>
                                                                            <w:left w:val="none" w:sz="0" w:space="0" w:color="auto"/>
                                                                            <w:bottom w:val="none" w:sz="0" w:space="0" w:color="auto"/>
                                                                            <w:right w:val="none" w:sz="0" w:space="0" w:color="auto"/>
                                                                          </w:divBdr>
                                                                        </w:div>
                                                                        <w:div w:id="824324500">
                                                                          <w:marLeft w:val="0"/>
                                                                          <w:marRight w:val="0"/>
                                                                          <w:marTop w:val="0"/>
                                                                          <w:marBottom w:val="0"/>
                                                                          <w:divBdr>
                                                                            <w:top w:val="none" w:sz="0" w:space="0" w:color="auto"/>
                                                                            <w:left w:val="none" w:sz="0" w:space="0" w:color="auto"/>
                                                                            <w:bottom w:val="none" w:sz="0" w:space="0" w:color="auto"/>
                                                                            <w:right w:val="none" w:sz="0" w:space="0" w:color="auto"/>
                                                                          </w:divBdr>
                                                                        </w:div>
                                                                        <w:div w:id="945119701">
                                                                          <w:marLeft w:val="0"/>
                                                                          <w:marRight w:val="0"/>
                                                                          <w:marTop w:val="0"/>
                                                                          <w:marBottom w:val="0"/>
                                                                          <w:divBdr>
                                                                            <w:top w:val="none" w:sz="0" w:space="0" w:color="auto"/>
                                                                            <w:left w:val="none" w:sz="0" w:space="0" w:color="auto"/>
                                                                            <w:bottom w:val="none" w:sz="0" w:space="0" w:color="auto"/>
                                                                            <w:right w:val="none" w:sz="0" w:space="0" w:color="auto"/>
                                                                          </w:divBdr>
                                                                          <w:divsChild>
                                                                            <w:div w:id="418525325">
                                                                              <w:marLeft w:val="0"/>
                                                                              <w:marRight w:val="0"/>
                                                                              <w:marTop w:val="0"/>
                                                                              <w:marBottom w:val="0"/>
                                                                              <w:divBdr>
                                                                                <w:top w:val="none" w:sz="0" w:space="0" w:color="auto"/>
                                                                                <w:left w:val="none" w:sz="0" w:space="0" w:color="auto"/>
                                                                                <w:bottom w:val="none" w:sz="0" w:space="0" w:color="auto"/>
                                                                                <w:right w:val="none" w:sz="0" w:space="0" w:color="auto"/>
                                                                              </w:divBdr>
                                                                            </w:div>
                                                                          </w:divsChild>
                                                                        </w:div>
                                                                        <w:div w:id="1401175625">
                                                                          <w:marLeft w:val="0"/>
                                                                          <w:marRight w:val="0"/>
                                                                          <w:marTop w:val="0"/>
                                                                          <w:marBottom w:val="0"/>
                                                                          <w:divBdr>
                                                                            <w:top w:val="none" w:sz="0" w:space="0" w:color="auto"/>
                                                                            <w:left w:val="none" w:sz="0" w:space="0" w:color="auto"/>
                                                                            <w:bottom w:val="none" w:sz="0" w:space="0" w:color="auto"/>
                                                                            <w:right w:val="none" w:sz="0" w:space="0" w:color="auto"/>
                                                                          </w:divBdr>
                                                                          <w:divsChild>
                                                                            <w:div w:id="2075541797">
                                                                              <w:marLeft w:val="0"/>
                                                                              <w:marRight w:val="0"/>
                                                                              <w:marTop w:val="0"/>
                                                                              <w:marBottom w:val="0"/>
                                                                              <w:divBdr>
                                                                                <w:top w:val="none" w:sz="0" w:space="0" w:color="auto"/>
                                                                                <w:left w:val="none" w:sz="0" w:space="0" w:color="auto"/>
                                                                                <w:bottom w:val="none" w:sz="0" w:space="0" w:color="auto"/>
                                                                                <w:right w:val="none" w:sz="0" w:space="0" w:color="auto"/>
                                                                              </w:divBdr>
                                                                            </w:div>
                                                                          </w:divsChild>
                                                                        </w:div>
                                                                        <w:div w:id="1417097700">
                                                                          <w:marLeft w:val="0"/>
                                                                          <w:marRight w:val="0"/>
                                                                          <w:marTop w:val="0"/>
                                                                          <w:marBottom w:val="0"/>
                                                                          <w:divBdr>
                                                                            <w:top w:val="none" w:sz="0" w:space="0" w:color="auto"/>
                                                                            <w:left w:val="none" w:sz="0" w:space="0" w:color="auto"/>
                                                                            <w:bottom w:val="none" w:sz="0" w:space="0" w:color="auto"/>
                                                                            <w:right w:val="none" w:sz="0" w:space="0" w:color="auto"/>
                                                                          </w:divBdr>
                                                                          <w:divsChild>
                                                                            <w:div w:id="1353409829">
                                                                              <w:marLeft w:val="0"/>
                                                                              <w:marRight w:val="0"/>
                                                                              <w:marTop w:val="0"/>
                                                                              <w:marBottom w:val="0"/>
                                                                              <w:divBdr>
                                                                                <w:top w:val="none" w:sz="0" w:space="0" w:color="auto"/>
                                                                                <w:left w:val="none" w:sz="0" w:space="0" w:color="auto"/>
                                                                                <w:bottom w:val="none" w:sz="0" w:space="0" w:color="auto"/>
                                                                                <w:right w:val="none" w:sz="0" w:space="0" w:color="auto"/>
                                                                              </w:divBdr>
                                                                            </w:div>
                                                                          </w:divsChild>
                                                                        </w:div>
                                                                        <w:div w:id="1729262383">
                                                                          <w:marLeft w:val="0"/>
                                                                          <w:marRight w:val="0"/>
                                                                          <w:marTop w:val="0"/>
                                                                          <w:marBottom w:val="0"/>
                                                                          <w:divBdr>
                                                                            <w:top w:val="none" w:sz="0" w:space="0" w:color="auto"/>
                                                                            <w:left w:val="none" w:sz="0" w:space="0" w:color="auto"/>
                                                                            <w:bottom w:val="none" w:sz="0" w:space="0" w:color="auto"/>
                                                                            <w:right w:val="none" w:sz="0" w:space="0" w:color="auto"/>
                                                                          </w:divBdr>
                                                                          <w:divsChild>
                                                                            <w:div w:id="3890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349548">
      <w:bodyDiv w:val="1"/>
      <w:marLeft w:val="0"/>
      <w:marRight w:val="0"/>
      <w:marTop w:val="0"/>
      <w:marBottom w:val="0"/>
      <w:divBdr>
        <w:top w:val="none" w:sz="0" w:space="0" w:color="auto"/>
        <w:left w:val="none" w:sz="0" w:space="0" w:color="auto"/>
        <w:bottom w:val="none" w:sz="0" w:space="0" w:color="auto"/>
        <w:right w:val="none" w:sz="0" w:space="0" w:color="auto"/>
      </w:divBdr>
      <w:divsChild>
        <w:div w:id="891159614">
          <w:marLeft w:val="0"/>
          <w:marRight w:val="0"/>
          <w:marTop w:val="0"/>
          <w:marBottom w:val="0"/>
          <w:divBdr>
            <w:top w:val="none" w:sz="0" w:space="0" w:color="auto"/>
            <w:left w:val="single" w:sz="6" w:space="0" w:color="BBBBBB"/>
            <w:bottom w:val="single" w:sz="6" w:space="0" w:color="BBBBBB"/>
            <w:right w:val="single" w:sz="6" w:space="0" w:color="BBBBBB"/>
          </w:divBdr>
          <w:divsChild>
            <w:div w:id="1524399835">
              <w:marLeft w:val="0"/>
              <w:marRight w:val="0"/>
              <w:marTop w:val="0"/>
              <w:marBottom w:val="0"/>
              <w:divBdr>
                <w:top w:val="none" w:sz="0" w:space="0" w:color="auto"/>
                <w:left w:val="none" w:sz="0" w:space="0" w:color="auto"/>
                <w:bottom w:val="none" w:sz="0" w:space="0" w:color="auto"/>
                <w:right w:val="none" w:sz="0" w:space="0" w:color="auto"/>
              </w:divBdr>
              <w:divsChild>
                <w:div w:id="992682379">
                  <w:marLeft w:val="0"/>
                  <w:marRight w:val="0"/>
                  <w:marTop w:val="75"/>
                  <w:marBottom w:val="0"/>
                  <w:divBdr>
                    <w:top w:val="none" w:sz="0" w:space="0" w:color="auto"/>
                    <w:left w:val="none" w:sz="0" w:space="0" w:color="auto"/>
                    <w:bottom w:val="none" w:sz="0" w:space="0" w:color="auto"/>
                    <w:right w:val="none" w:sz="0" w:space="0" w:color="auto"/>
                  </w:divBdr>
                  <w:divsChild>
                    <w:div w:id="1397051786">
                      <w:marLeft w:val="0"/>
                      <w:marRight w:val="0"/>
                      <w:marTop w:val="0"/>
                      <w:marBottom w:val="0"/>
                      <w:divBdr>
                        <w:top w:val="none" w:sz="0" w:space="0" w:color="auto"/>
                        <w:left w:val="none" w:sz="0" w:space="0" w:color="auto"/>
                        <w:bottom w:val="none" w:sz="0" w:space="0" w:color="auto"/>
                        <w:right w:val="none" w:sz="0" w:space="0" w:color="auto"/>
                      </w:divBdr>
                      <w:divsChild>
                        <w:div w:id="1473718390">
                          <w:marLeft w:val="0"/>
                          <w:marRight w:val="0"/>
                          <w:marTop w:val="0"/>
                          <w:marBottom w:val="0"/>
                          <w:divBdr>
                            <w:top w:val="none" w:sz="0" w:space="0" w:color="auto"/>
                            <w:left w:val="none" w:sz="0" w:space="0" w:color="auto"/>
                            <w:bottom w:val="none" w:sz="0" w:space="0" w:color="auto"/>
                            <w:right w:val="none" w:sz="0" w:space="0" w:color="auto"/>
                          </w:divBdr>
                          <w:divsChild>
                            <w:div w:id="2126458615">
                              <w:marLeft w:val="0"/>
                              <w:marRight w:val="0"/>
                              <w:marTop w:val="0"/>
                              <w:marBottom w:val="0"/>
                              <w:divBdr>
                                <w:top w:val="none" w:sz="0" w:space="0" w:color="auto"/>
                                <w:left w:val="none" w:sz="0" w:space="0" w:color="auto"/>
                                <w:bottom w:val="none" w:sz="0" w:space="0" w:color="auto"/>
                                <w:right w:val="none" w:sz="0" w:space="0" w:color="auto"/>
                              </w:divBdr>
                              <w:divsChild>
                                <w:div w:id="2032338447">
                                  <w:marLeft w:val="0"/>
                                  <w:marRight w:val="0"/>
                                  <w:marTop w:val="0"/>
                                  <w:marBottom w:val="0"/>
                                  <w:divBdr>
                                    <w:top w:val="none" w:sz="0" w:space="0" w:color="auto"/>
                                    <w:left w:val="none" w:sz="0" w:space="0" w:color="auto"/>
                                    <w:bottom w:val="none" w:sz="0" w:space="0" w:color="auto"/>
                                    <w:right w:val="none" w:sz="0" w:space="0" w:color="auto"/>
                                  </w:divBdr>
                                  <w:divsChild>
                                    <w:div w:id="1860705021">
                                      <w:marLeft w:val="0"/>
                                      <w:marRight w:val="0"/>
                                      <w:marTop w:val="0"/>
                                      <w:marBottom w:val="0"/>
                                      <w:divBdr>
                                        <w:top w:val="none" w:sz="0" w:space="0" w:color="auto"/>
                                        <w:left w:val="none" w:sz="0" w:space="0" w:color="auto"/>
                                        <w:bottom w:val="none" w:sz="0" w:space="0" w:color="auto"/>
                                        <w:right w:val="none" w:sz="0" w:space="0" w:color="auto"/>
                                      </w:divBdr>
                                      <w:divsChild>
                                        <w:div w:id="1025860684">
                                          <w:marLeft w:val="1200"/>
                                          <w:marRight w:val="1200"/>
                                          <w:marTop w:val="0"/>
                                          <w:marBottom w:val="0"/>
                                          <w:divBdr>
                                            <w:top w:val="none" w:sz="0" w:space="0" w:color="auto"/>
                                            <w:left w:val="none" w:sz="0" w:space="0" w:color="auto"/>
                                            <w:bottom w:val="none" w:sz="0" w:space="0" w:color="auto"/>
                                            <w:right w:val="none" w:sz="0" w:space="0" w:color="auto"/>
                                          </w:divBdr>
                                          <w:divsChild>
                                            <w:div w:id="1018192884">
                                              <w:marLeft w:val="0"/>
                                              <w:marRight w:val="0"/>
                                              <w:marTop w:val="0"/>
                                              <w:marBottom w:val="0"/>
                                              <w:divBdr>
                                                <w:top w:val="none" w:sz="0" w:space="0" w:color="auto"/>
                                                <w:left w:val="none" w:sz="0" w:space="0" w:color="auto"/>
                                                <w:bottom w:val="none" w:sz="0" w:space="0" w:color="auto"/>
                                                <w:right w:val="none" w:sz="0" w:space="0" w:color="auto"/>
                                              </w:divBdr>
                                              <w:divsChild>
                                                <w:div w:id="544758171">
                                                  <w:marLeft w:val="0"/>
                                                  <w:marRight w:val="0"/>
                                                  <w:marTop w:val="0"/>
                                                  <w:marBottom w:val="0"/>
                                                  <w:divBdr>
                                                    <w:top w:val="none" w:sz="0" w:space="0" w:color="auto"/>
                                                    <w:left w:val="none" w:sz="0" w:space="0" w:color="auto"/>
                                                    <w:bottom w:val="none" w:sz="0" w:space="0" w:color="auto"/>
                                                    <w:right w:val="none" w:sz="0" w:space="0" w:color="auto"/>
                                                  </w:divBdr>
                                                  <w:divsChild>
                                                    <w:div w:id="73557130">
                                                      <w:marLeft w:val="0"/>
                                                      <w:marRight w:val="0"/>
                                                      <w:marTop w:val="0"/>
                                                      <w:marBottom w:val="0"/>
                                                      <w:divBdr>
                                                        <w:top w:val="none" w:sz="0" w:space="0" w:color="auto"/>
                                                        <w:left w:val="none" w:sz="0" w:space="0" w:color="auto"/>
                                                        <w:bottom w:val="none" w:sz="0" w:space="0" w:color="auto"/>
                                                        <w:right w:val="none" w:sz="0" w:space="0" w:color="auto"/>
                                                      </w:divBdr>
                                                      <w:divsChild>
                                                        <w:div w:id="186063143">
                                                          <w:marLeft w:val="0"/>
                                                          <w:marRight w:val="0"/>
                                                          <w:marTop w:val="0"/>
                                                          <w:marBottom w:val="0"/>
                                                          <w:divBdr>
                                                            <w:top w:val="none" w:sz="0" w:space="0" w:color="auto"/>
                                                            <w:left w:val="none" w:sz="0" w:space="0" w:color="auto"/>
                                                            <w:bottom w:val="none" w:sz="0" w:space="0" w:color="auto"/>
                                                            <w:right w:val="none" w:sz="0" w:space="0" w:color="auto"/>
                                                          </w:divBdr>
                                                          <w:divsChild>
                                                            <w:div w:id="2096123152">
                                                              <w:marLeft w:val="0"/>
                                                              <w:marRight w:val="0"/>
                                                              <w:marTop w:val="0"/>
                                                              <w:marBottom w:val="0"/>
                                                              <w:divBdr>
                                                                <w:top w:val="none" w:sz="0" w:space="0" w:color="auto"/>
                                                                <w:left w:val="none" w:sz="0" w:space="0" w:color="auto"/>
                                                                <w:bottom w:val="none" w:sz="0" w:space="0" w:color="auto"/>
                                                                <w:right w:val="none" w:sz="0" w:space="0" w:color="auto"/>
                                                              </w:divBdr>
                                                              <w:divsChild>
                                                                <w:div w:id="24214890">
                                                                  <w:marLeft w:val="0"/>
                                                                  <w:marRight w:val="0"/>
                                                                  <w:marTop w:val="0"/>
                                                                  <w:marBottom w:val="0"/>
                                                                  <w:divBdr>
                                                                    <w:top w:val="none" w:sz="0" w:space="0" w:color="auto"/>
                                                                    <w:left w:val="none" w:sz="0" w:space="0" w:color="auto"/>
                                                                    <w:bottom w:val="none" w:sz="0" w:space="0" w:color="auto"/>
                                                                    <w:right w:val="none" w:sz="0" w:space="0" w:color="auto"/>
                                                                  </w:divBdr>
                                                                  <w:divsChild>
                                                                    <w:div w:id="265315111">
                                                                      <w:marLeft w:val="0"/>
                                                                      <w:marRight w:val="0"/>
                                                                      <w:marTop w:val="0"/>
                                                                      <w:marBottom w:val="0"/>
                                                                      <w:divBdr>
                                                                        <w:top w:val="none" w:sz="0" w:space="0" w:color="auto"/>
                                                                        <w:left w:val="none" w:sz="0" w:space="0" w:color="auto"/>
                                                                        <w:bottom w:val="none" w:sz="0" w:space="0" w:color="auto"/>
                                                                        <w:right w:val="none" w:sz="0" w:space="0" w:color="auto"/>
                                                                      </w:divBdr>
                                                                      <w:divsChild>
                                                                        <w:div w:id="1352534174">
                                                                          <w:marLeft w:val="0"/>
                                                                          <w:marRight w:val="0"/>
                                                                          <w:marTop w:val="0"/>
                                                                          <w:marBottom w:val="0"/>
                                                                          <w:divBdr>
                                                                            <w:top w:val="none" w:sz="0" w:space="0" w:color="auto"/>
                                                                            <w:left w:val="none" w:sz="0" w:space="0" w:color="auto"/>
                                                                            <w:bottom w:val="none" w:sz="0" w:space="0" w:color="auto"/>
                                                                            <w:right w:val="none" w:sz="0" w:space="0" w:color="auto"/>
                                                                          </w:divBdr>
                                                                        </w:div>
                                                                      </w:divsChild>
                                                                    </w:div>
                                                                    <w:div w:id="1471434177">
                                                                      <w:marLeft w:val="0"/>
                                                                      <w:marRight w:val="0"/>
                                                                      <w:marTop w:val="0"/>
                                                                      <w:marBottom w:val="0"/>
                                                                      <w:divBdr>
                                                                        <w:top w:val="none" w:sz="0" w:space="0" w:color="auto"/>
                                                                        <w:left w:val="none" w:sz="0" w:space="0" w:color="auto"/>
                                                                        <w:bottom w:val="none" w:sz="0" w:space="0" w:color="auto"/>
                                                                        <w:right w:val="none" w:sz="0" w:space="0" w:color="auto"/>
                                                                      </w:divBdr>
                                                                      <w:divsChild>
                                                                        <w:div w:id="19813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9435517">
      <w:bodyDiv w:val="1"/>
      <w:marLeft w:val="0"/>
      <w:marRight w:val="0"/>
      <w:marTop w:val="0"/>
      <w:marBottom w:val="0"/>
      <w:divBdr>
        <w:top w:val="none" w:sz="0" w:space="0" w:color="auto"/>
        <w:left w:val="none" w:sz="0" w:space="0" w:color="auto"/>
        <w:bottom w:val="none" w:sz="0" w:space="0" w:color="auto"/>
        <w:right w:val="none" w:sz="0" w:space="0" w:color="auto"/>
      </w:divBdr>
      <w:divsChild>
        <w:div w:id="2143695063">
          <w:marLeft w:val="0"/>
          <w:marRight w:val="0"/>
          <w:marTop w:val="0"/>
          <w:marBottom w:val="0"/>
          <w:divBdr>
            <w:top w:val="none" w:sz="0" w:space="0" w:color="auto"/>
            <w:left w:val="single" w:sz="6" w:space="0" w:color="BBBBBB"/>
            <w:bottom w:val="single" w:sz="6" w:space="0" w:color="BBBBBB"/>
            <w:right w:val="single" w:sz="6" w:space="0" w:color="BBBBBB"/>
          </w:divBdr>
          <w:divsChild>
            <w:div w:id="847983963">
              <w:marLeft w:val="0"/>
              <w:marRight w:val="0"/>
              <w:marTop w:val="0"/>
              <w:marBottom w:val="0"/>
              <w:divBdr>
                <w:top w:val="none" w:sz="0" w:space="0" w:color="auto"/>
                <w:left w:val="none" w:sz="0" w:space="0" w:color="auto"/>
                <w:bottom w:val="none" w:sz="0" w:space="0" w:color="auto"/>
                <w:right w:val="none" w:sz="0" w:space="0" w:color="auto"/>
              </w:divBdr>
              <w:divsChild>
                <w:div w:id="1810433749">
                  <w:marLeft w:val="0"/>
                  <w:marRight w:val="0"/>
                  <w:marTop w:val="75"/>
                  <w:marBottom w:val="0"/>
                  <w:divBdr>
                    <w:top w:val="none" w:sz="0" w:space="0" w:color="auto"/>
                    <w:left w:val="none" w:sz="0" w:space="0" w:color="auto"/>
                    <w:bottom w:val="none" w:sz="0" w:space="0" w:color="auto"/>
                    <w:right w:val="none" w:sz="0" w:space="0" w:color="auto"/>
                  </w:divBdr>
                  <w:divsChild>
                    <w:div w:id="503518559">
                      <w:marLeft w:val="0"/>
                      <w:marRight w:val="0"/>
                      <w:marTop w:val="0"/>
                      <w:marBottom w:val="0"/>
                      <w:divBdr>
                        <w:top w:val="none" w:sz="0" w:space="0" w:color="auto"/>
                        <w:left w:val="none" w:sz="0" w:space="0" w:color="auto"/>
                        <w:bottom w:val="none" w:sz="0" w:space="0" w:color="auto"/>
                        <w:right w:val="none" w:sz="0" w:space="0" w:color="auto"/>
                      </w:divBdr>
                      <w:divsChild>
                        <w:div w:id="1264924943">
                          <w:marLeft w:val="0"/>
                          <w:marRight w:val="0"/>
                          <w:marTop w:val="0"/>
                          <w:marBottom w:val="0"/>
                          <w:divBdr>
                            <w:top w:val="none" w:sz="0" w:space="0" w:color="auto"/>
                            <w:left w:val="none" w:sz="0" w:space="0" w:color="auto"/>
                            <w:bottom w:val="none" w:sz="0" w:space="0" w:color="auto"/>
                            <w:right w:val="none" w:sz="0" w:space="0" w:color="auto"/>
                          </w:divBdr>
                          <w:divsChild>
                            <w:div w:id="1027948127">
                              <w:marLeft w:val="0"/>
                              <w:marRight w:val="0"/>
                              <w:marTop w:val="0"/>
                              <w:marBottom w:val="0"/>
                              <w:divBdr>
                                <w:top w:val="none" w:sz="0" w:space="0" w:color="auto"/>
                                <w:left w:val="none" w:sz="0" w:space="0" w:color="auto"/>
                                <w:bottom w:val="none" w:sz="0" w:space="0" w:color="auto"/>
                                <w:right w:val="none" w:sz="0" w:space="0" w:color="auto"/>
                              </w:divBdr>
                              <w:divsChild>
                                <w:div w:id="894009231">
                                  <w:marLeft w:val="0"/>
                                  <w:marRight w:val="0"/>
                                  <w:marTop w:val="0"/>
                                  <w:marBottom w:val="0"/>
                                  <w:divBdr>
                                    <w:top w:val="none" w:sz="0" w:space="0" w:color="auto"/>
                                    <w:left w:val="none" w:sz="0" w:space="0" w:color="auto"/>
                                    <w:bottom w:val="none" w:sz="0" w:space="0" w:color="auto"/>
                                    <w:right w:val="none" w:sz="0" w:space="0" w:color="auto"/>
                                  </w:divBdr>
                                  <w:divsChild>
                                    <w:div w:id="1163663757">
                                      <w:marLeft w:val="0"/>
                                      <w:marRight w:val="0"/>
                                      <w:marTop w:val="0"/>
                                      <w:marBottom w:val="0"/>
                                      <w:divBdr>
                                        <w:top w:val="none" w:sz="0" w:space="0" w:color="auto"/>
                                        <w:left w:val="none" w:sz="0" w:space="0" w:color="auto"/>
                                        <w:bottom w:val="none" w:sz="0" w:space="0" w:color="auto"/>
                                        <w:right w:val="none" w:sz="0" w:space="0" w:color="auto"/>
                                      </w:divBdr>
                                      <w:divsChild>
                                        <w:div w:id="514996386">
                                          <w:marLeft w:val="1200"/>
                                          <w:marRight w:val="1200"/>
                                          <w:marTop w:val="0"/>
                                          <w:marBottom w:val="0"/>
                                          <w:divBdr>
                                            <w:top w:val="none" w:sz="0" w:space="0" w:color="auto"/>
                                            <w:left w:val="none" w:sz="0" w:space="0" w:color="auto"/>
                                            <w:bottom w:val="none" w:sz="0" w:space="0" w:color="auto"/>
                                            <w:right w:val="none" w:sz="0" w:space="0" w:color="auto"/>
                                          </w:divBdr>
                                          <w:divsChild>
                                            <w:div w:id="1127816778">
                                              <w:marLeft w:val="0"/>
                                              <w:marRight w:val="0"/>
                                              <w:marTop w:val="0"/>
                                              <w:marBottom w:val="0"/>
                                              <w:divBdr>
                                                <w:top w:val="none" w:sz="0" w:space="0" w:color="auto"/>
                                                <w:left w:val="none" w:sz="0" w:space="0" w:color="auto"/>
                                                <w:bottom w:val="none" w:sz="0" w:space="0" w:color="auto"/>
                                                <w:right w:val="none" w:sz="0" w:space="0" w:color="auto"/>
                                              </w:divBdr>
                                              <w:divsChild>
                                                <w:div w:id="324600003">
                                                  <w:marLeft w:val="0"/>
                                                  <w:marRight w:val="0"/>
                                                  <w:marTop w:val="0"/>
                                                  <w:marBottom w:val="0"/>
                                                  <w:divBdr>
                                                    <w:top w:val="none" w:sz="0" w:space="0" w:color="auto"/>
                                                    <w:left w:val="none" w:sz="0" w:space="0" w:color="auto"/>
                                                    <w:bottom w:val="none" w:sz="0" w:space="0" w:color="auto"/>
                                                    <w:right w:val="none" w:sz="0" w:space="0" w:color="auto"/>
                                                  </w:divBdr>
                                                  <w:divsChild>
                                                    <w:div w:id="637689406">
                                                      <w:marLeft w:val="0"/>
                                                      <w:marRight w:val="0"/>
                                                      <w:marTop w:val="0"/>
                                                      <w:marBottom w:val="0"/>
                                                      <w:divBdr>
                                                        <w:top w:val="none" w:sz="0" w:space="0" w:color="auto"/>
                                                        <w:left w:val="none" w:sz="0" w:space="0" w:color="auto"/>
                                                        <w:bottom w:val="none" w:sz="0" w:space="0" w:color="auto"/>
                                                        <w:right w:val="none" w:sz="0" w:space="0" w:color="auto"/>
                                                      </w:divBdr>
                                                      <w:divsChild>
                                                        <w:div w:id="1833252895">
                                                          <w:marLeft w:val="0"/>
                                                          <w:marRight w:val="0"/>
                                                          <w:marTop w:val="0"/>
                                                          <w:marBottom w:val="0"/>
                                                          <w:divBdr>
                                                            <w:top w:val="none" w:sz="0" w:space="0" w:color="auto"/>
                                                            <w:left w:val="none" w:sz="0" w:space="0" w:color="auto"/>
                                                            <w:bottom w:val="none" w:sz="0" w:space="0" w:color="auto"/>
                                                            <w:right w:val="none" w:sz="0" w:space="0" w:color="auto"/>
                                                          </w:divBdr>
                                                          <w:divsChild>
                                                            <w:div w:id="1434091161">
                                                              <w:marLeft w:val="0"/>
                                                              <w:marRight w:val="0"/>
                                                              <w:marTop w:val="0"/>
                                                              <w:marBottom w:val="0"/>
                                                              <w:divBdr>
                                                                <w:top w:val="none" w:sz="0" w:space="0" w:color="auto"/>
                                                                <w:left w:val="none" w:sz="0" w:space="0" w:color="auto"/>
                                                                <w:bottom w:val="none" w:sz="0" w:space="0" w:color="auto"/>
                                                                <w:right w:val="none" w:sz="0" w:space="0" w:color="auto"/>
                                                              </w:divBdr>
                                                              <w:divsChild>
                                                                <w:div w:id="775446330">
                                                                  <w:marLeft w:val="0"/>
                                                                  <w:marRight w:val="0"/>
                                                                  <w:marTop w:val="0"/>
                                                                  <w:marBottom w:val="0"/>
                                                                  <w:divBdr>
                                                                    <w:top w:val="none" w:sz="0" w:space="0" w:color="auto"/>
                                                                    <w:left w:val="none" w:sz="0" w:space="0" w:color="auto"/>
                                                                    <w:bottom w:val="none" w:sz="0" w:space="0" w:color="auto"/>
                                                                    <w:right w:val="none" w:sz="0" w:space="0" w:color="auto"/>
                                                                  </w:divBdr>
                                                                  <w:divsChild>
                                                                    <w:div w:id="529681869">
                                                                      <w:marLeft w:val="0"/>
                                                                      <w:marRight w:val="0"/>
                                                                      <w:marTop w:val="0"/>
                                                                      <w:marBottom w:val="0"/>
                                                                      <w:divBdr>
                                                                        <w:top w:val="none" w:sz="0" w:space="0" w:color="auto"/>
                                                                        <w:left w:val="none" w:sz="0" w:space="0" w:color="auto"/>
                                                                        <w:bottom w:val="none" w:sz="0" w:space="0" w:color="auto"/>
                                                                        <w:right w:val="none" w:sz="0" w:space="0" w:color="auto"/>
                                                                      </w:divBdr>
                                                                      <w:divsChild>
                                                                        <w:div w:id="1630358831">
                                                                          <w:marLeft w:val="0"/>
                                                                          <w:marRight w:val="0"/>
                                                                          <w:marTop w:val="0"/>
                                                                          <w:marBottom w:val="0"/>
                                                                          <w:divBdr>
                                                                            <w:top w:val="none" w:sz="0" w:space="0" w:color="auto"/>
                                                                            <w:left w:val="none" w:sz="0" w:space="0" w:color="auto"/>
                                                                            <w:bottom w:val="none" w:sz="0" w:space="0" w:color="auto"/>
                                                                            <w:right w:val="none" w:sz="0" w:space="0" w:color="auto"/>
                                                                          </w:divBdr>
                                                                        </w:div>
                                                                      </w:divsChild>
                                                                    </w:div>
                                                                    <w:div w:id="1749963219">
                                                                      <w:marLeft w:val="0"/>
                                                                      <w:marRight w:val="0"/>
                                                                      <w:marTop w:val="0"/>
                                                                      <w:marBottom w:val="0"/>
                                                                      <w:divBdr>
                                                                        <w:top w:val="none" w:sz="0" w:space="0" w:color="auto"/>
                                                                        <w:left w:val="none" w:sz="0" w:space="0" w:color="auto"/>
                                                                        <w:bottom w:val="none" w:sz="0" w:space="0" w:color="auto"/>
                                                                        <w:right w:val="none" w:sz="0" w:space="0" w:color="auto"/>
                                                                      </w:divBdr>
                                                                      <w:divsChild>
                                                                        <w:div w:id="14045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2560487">
      <w:bodyDiv w:val="1"/>
      <w:marLeft w:val="0"/>
      <w:marRight w:val="0"/>
      <w:marTop w:val="0"/>
      <w:marBottom w:val="0"/>
      <w:divBdr>
        <w:top w:val="none" w:sz="0" w:space="0" w:color="auto"/>
        <w:left w:val="none" w:sz="0" w:space="0" w:color="auto"/>
        <w:bottom w:val="none" w:sz="0" w:space="0" w:color="auto"/>
        <w:right w:val="none" w:sz="0" w:space="0" w:color="auto"/>
      </w:divBdr>
      <w:divsChild>
        <w:div w:id="1377923632">
          <w:marLeft w:val="0"/>
          <w:marRight w:val="0"/>
          <w:marTop w:val="0"/>
          <w:marBottom w:val="0"/>
          <w:divBdr>
            <w:top w:val="none" w:sz="0" w:space="0" w:color="auto"/>
            <w:left w:val="none" w:sz="0" w:space="0" w:color="auto"/>
            <w:bottom w:val="none" w:sz="0" w:space="0" w:color="auto"/>
            <w:right w:val="none" w:sz="0" w:space="0" w:color="auto"/>
          </w:divBdr>
          <w:divsChild>
            <w:div w:id="1115715988">
              <w:marLeft w:val="0"/>
              <w:marRight w:val="0"/>
              <w:marTop w:val="0"/>
              <w:marBottom w:val="0"/>
              <w:divBdr>
                <w:top w:val="none" w:sz="0" w:space="0" w:color="auto"/>
                <w:left w:val="none" w:sz="0" w:space="0" w:color="auto"/>
                <w:bottom w:val="none" w:sz="0" w:space="0" w:color="auto"/>
                <w:right w:val="none" w:sz="0" w:space="0" w:color="auto"/>
              </w:divBdr>
              <w:divsChild>
                <w:div w:id="575289980">
                  <w:marLeft w:val="0"/>
                  <w:marRight w:val="0"/>
                  <w:marTop w:val="0"/>
                  <w:marBottom w:val="0"/>
                  <w:divBdr>
                    <w:top w:val="none" w:sz="0" w:space="0" w:color="auto"/>
                    <w:left w:val="none" w:sz="0" w:space="0" w:color="auto"/>
                    <w:bottom w:val="none" w:sz="0" w:space="0" w:color="auto"/>
                    <w:right w:val="none" w:sz="0" w:space="0" w:color="auto"/>
                  </w:divBdr>
                  <w:divsChild>
                    <w:div w:id="1504204243">
                      <w:marLeft w:val="0"/>
                      <w:marRight w:val="0"/>
                      <w:marTop w:val="0"/>
                      <w:marBottom w:val="375"/>
                      <w:divBdr>
                        <w:top w:val="none" w:sz="0" w:space="0" w:color="auto"/>
                        <w:left w:val="none" w:sz="0" w:space="0" w:color="auto"/>
                        <w:bottom w:val="none" w:sz="0" w:space="0" w:color="auto"/>
                        <w:right w:val="none" w:sz="0" w:space="0" w:color="auto"/>
                      </w:divBdr>
                      <w:divsChild>
                        <w:div w:id="17297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882738">
      <w:bodyDiv w:val="1"/>
      <w:marLeft w:val="0"/>
      <w:marRight w:val="0"/>
      <w:marTop w:val="0"/>
      <w:marBottom w:val="0"/>
      <w:divBdr>
        <w:top w:val="none" w:sz="0" w:space="0" w:color="auto"/>
        <w:left w:val="none" w:sz="0" w:space="0" w:color="auto"/>
        <w:bottom w:val="none" w:sz="0" w:space="0" w:color="auto"/>
        <w:right w:val="none" w:sz="0" w:space="0" w:color="auto"/>
      </w:divBdr>
      <w:divsChild>
        <w:div w:id="257370937">
          <w:marLeft w:val="0"/>
          <w:marRight w:val="0"/>
          <w:marTop w:val="0"/>
          <w:marBottom w:val="0"/>
          <w:divBdr>
            <w:top w:val="none" w:sz="0" w:space="0" w:color="auto"/>
            <w:left w:val="single" w:sz="6" w:space="0" w:color="BBBBBB"/>
            <w:bottom w:val="single" w:sz="6" w:space="0" w:color="BBBBBB"/>
            <w:right w:val="single" w:sz="6" w:space="0" w:color="BBBBBB"/>
          </w:divBdr>
          <w:divsChild>
            <w:div w:id="1424835856">
              <w:marLeft w:val="0"/>
              <w:marRight w:val="0"/>
              <w:marTop w:val="0"/>
              <w:marBottom w:val="0"/>
              <w:divBdr>
                <w:top w:val="none" w:sz="0" w:space="0" w:color="auto"/>
                <w:left w:val="none" w:sz="0" w:space="0" w:color="auto"/>
                <w:bottom w:val="none" w:sz="0" w:space="0" w:color="auto"/>
                <w:right w:val="none" w:sz="0" w:space="0" w:color="auto"/>
              </w:divBdr>
              <w:divsChild>
                <w:div w:id="1047602718">
                  <w:marLeft w:val="0"/>
                  <w:marRight w:val="0"/>
                  <w:marTop w:val="0"/>
                  <w:marBottom w:val="0"/>
                  <w:divBdr>
                    <w:top w:val="none" w:sz="0" w:space="0" w:color="auto"/>
                    <w:left w:val="none" w:sz="0" w:space="0" w:color="auto"/>
                    <w:bottom w:val="none" w:sz="0" w:space="0" w:color="auto"/>
                    <w:right w:val="none" w:sz="0" w:space="0" w:color="auto"/>
                  </w:divBdr>
                  <w:divsChild>
                    <w:div w:id="708994714">
                      <w:marLeft w:val="0"/>
                      <w:marRight w:val="0"/>
                      <w:marTop w:val="0"/>
                      <w:marBottom w:val="0"/>
                      <w:divBdr>
                        <w:top w:val="none" w:sz="0" w:space="0" w:color="auto"/>
                        <w:left w:val="none" w:sz="0" w:space="0" w:color="auto"/>
                        <w:bottom w:val="none" w:sz="0" w:space="0" w:color="auto"/>
                        <w:right w:val="none" w:sz="0" w:space="0" w:color="auto"/>
                      </w:divBdr>
                      <w:divsChild>
                        <w:div w:id="2079864223">
                          <w:marLeft w:val="0"/>
                          <w:marRight w:val="0"/>
                          <w:marTop w:val="0"/>
                          <w:marBottom w:val="0"/>
                          <w:divBdr>
                            <w:top w:val="none" w:sz="0" w:space="0" w:color="auto"/>
                            <w:left w:val="none" w:sz="0" w:space="0" w:color="auto"/>
                            <w:bottom w:val="none" w:sz="0" w:space="0" w:color="auto"/>
                            <w:right w:val="none" w:sz="0" w:space="0" w:color="auto"/>
                          </w:divBdr>
                          <w:divsChild>
                            <w:div w:id="183977402">
                              <w:marLeft w:val="0"/>
                              <w:marRight w:val="0"/>
                              <w:marTop w:val="0"/>
                              <w:marBottom w:val="0"/>
                              <w:divBdr>
                                <w:top w:val="none" w:sz="0" w:space="0" w:color="auto"/>
                                <w:left w:val="none" w:sz="0" w:space="0" w:color="auto"/>
                                <w:bottom w:val="none" w:sz="0" w:space="0" w:color="auto"/>
                                <w:right w:val="none" w:sz="0" w:space="0" w:color="auto"/>
                              </w:divBdr>
                              <w:divsChild>
                                <w:div w:id="1161116483">
                                  <w:marLeft w:val="0"/>
                                  <w:marRight w:val="0"/>
                                  <w:marTop w:val="0"/>
                                  <w:marBottom w:val="0"/>
                                  <w:divBdr>
                                    <w:top w:val="none" w:sz="0" w:space="0" w:color="auto"/>
                                    <w:left w:val="none" w:sz="0" w:space="0" w:color="auto"/>
                                    <w:bottom w:val="none" w:sz="0" w:space="0" w:color="auto"/>
                                    <w:right w:val="none" w:sz="0" w:space="0" w:color="auto"/>
                                  </w:divBdr>
                                  <w:divsChild>
                                    <w:div w:id="1657605633">
                                      <w:marLeft w:val="0"/>
                                      <w:marRight w:val="0"/>
                                      <w:marTop w:val="0"/>
                                      <w:marBottom w:val="0"/>
                                      <w:divBdr>
                                        <w:top w:val="none" w:sz="0" w:space="0" w:color="auto"/>
                                        <w:left w:val="none" w:sz="0" w:space="0" w:color="auto"/>
                                        <w:bottom w:val="none" w:sz="0" w:space="0" w:color="auto"/>
                                        <w:right w:val="none" w:sz="0" w:space="0" w:color="auto"/>
                                      </w:divBdr>
                                      <w:divsChild>
                                        <w:div w:id="468674873">
                                          <w:marLeft w:val="1200"/>
                                          <w:marRight w:val="1200"/>
                                          <w:marTop w:val="0"/>
                                          <w:marBottom w:val="0"/>
                                          <w:divBdr>
                                            <w:top w:val="none" w:sz="0" w:space="0" w:color="auto"/>
                                            <w:left w:val="none" w:sz="0" w:space="0" w:color="auto"/>
                                            <w:bottom w:val="none" w:sz="0" w:space="0" w:color="auto"/>
                                            <w:right w:val="none" w:sz="0" w:space="0" w:color="auto"/>
                                          </w:divBdr>
                                          <w:divsChild>
                                            <w:div w:id="908150172">
                                              <w:marLeft w:val="0"/>
                                              <w:marRight w:val="0"/>
                                              <w:marTop w:val="0"/>
                                              <w:marBottom w:val="0"/>
                                              <w:divBdr>
                                                <w:top w:val="none" w:sz="0" w:space="0" w:color="auto"/>
                                                <w:left w:val="none" w:sz="0" w:space="0" w:color="auto"/>
                                                <w:bottom w:val="none" w:sz="0" w:space="0" w:color="auto"/>
                                                <w:right w:val="none" w:sz="0" w:space="0" w:color="auto"/>
                                              </w:divBdr>
                                              <w:divsChild>
                                                <w:div w:id="509301167">
                                                  <w:marLeft w:val="0"/>
                                                  <w:marRight w:val="0"/>
                                                  <w:marTop w:val="0"/>
                                                  <w:marBottom w:val="0"/>
                                                  <w:divBdr>
                                                    <w:top w:val="none" w:sz="0" w:space="0" w:color="auto"/>
                                                    <w:left w:val="none" w:sz="0" w:space="0" w:color="auto"/>
                                                    <w:bottom w:val="none" w:sz="0" w:space="0" w:color="auto"/>
                                                    <w:right w:val="none" w:sz="0" w:space="0" w:color="auto"/>
                                                  </w:divBdr>
                                                  <w:divsChild>
                                                    <w:div w:id="502477264">
                                                      <w:marLeft w:val="0"/>
                                                      <w:marRight w:val="0"/>
                                                      <w:marTop w:val="0"/>
                                                      <w:marBottom w:val="0"/>
                                                      <w:divBdr>
                                                        <w:top w:val="none" w:sz="0" w:space="0" w:color="auto"/>
                                                        <w:left w:val="none" w:sz="0" w:space="0" w:color="auto"/>
                                                        <w:bottom w:val="none" w:sz="0" w:space="0" w:color="auto"/>
                                                        <w:right w:val="none" w:sz="0" w:space="0" w:color="auto"/>
                                                      </w:divBdr>
                                                      <w:divsChild>
                                                        <w:div w:id="1583485227">
                                                          <w:marLeft w:val="0"/>
                                                          <w:marRight w:val="0"/>
                                                          <w:marTop w:val="0"/>
                                                          <w:marBottom w:val="0"/>
                                                          <w:divBdr>
                                                            <w:top w:val="none" w:sz="0" w:space="0" w:color="auto"/>
                                                            <w:left w:val="none" w:sz="0" w:space="0" w:color="auto"/>
                                                            <w:bottom w:val="none" w:sz="0" w:space="0" w:color="auto"/>
                                                            <w:right w:val="none" w:sz="0" w:space="0" w:color="auto"/>
                                                          </w:divBdr>
                                                          <w:divsChild>
                                                            <w:div w:id="86997396">
                                                              <w:marLeft w:val="0"/>
                                                              <w:marRight w:val="0"/>
                                                              <w:marTop w:val="0"/>
                                                              <w:marBottom w:val="0"/>
                                                              <w:divBdr>
                                                                <w:top w:val="none" w:sz="0" w:space="0" w:color="auto"/>
                                                                <w:left w:val="none" w:sz="0" w:space="0" w:color="auto"/>
                                                                <w:bottom w:val="none" w:sz="0" w:space="0" w:color="auto"/>
                                                                <w:right w:val="none" w:sz="0" w:space="0" w:color="auto"/>
                                                              </w:divBdr>
                                                              <w:divsChild>
                                                                <w:div w:id="541986437">
                                                                  <w:marLeft w:val="0"/>
                                                                  <w:marRight w:val="0"/>
                                                                  <w:marTop w:val="0"/>
                                                                  <w:marBottom w:val="0"/>
                                                                  <w:divBdr>
                                                                    <w:top w:val="none" w:sz="0" w:space="0" w:color="auto"/>
                                                                    <w:left w:val="none" w:sz="0" w:space="0" w:color="auto"/>
                                                                    <w:bottom w:val="none" w:sz="0" w:space="0" w:color="auto"/>
                                                                    <w:right w:val="none" w:sz="0" w:space="0" w:color="auto"/>
                                                                  </w:divBdr>
                                                                  <w:divsChild>
                                                                    <w:div w:id="334039767">
                                                                      <w:marLeft w:val="0"/>
                                                                      <w:marRight w:val="0"/>
                                                                      <w:marTop w:val="0"/>
                                                                      <w:marBottom w:val="0"/>
                                                                      <w:divBdr>
                                                                        <w:top w:val="none" w:sz="0" w:space="0" w:color="auto"/>
                                                                        <w:left w:val="none" w:sz="0" w:space="0" w:color="auto"/>
                                                                        <w:bottom w:val="none" w:sz="0" w:space="0" w:color="auto"/>
                                                                        <w:right w:val="none" w:sz="0" w:space="0" w:color="auto"/>
                                                                      </w:divBdr>
                                                                      <w:divsChild>
                                                                        <w:div w:id="513347552">
                                                                          <w:marLeft w:val="0"/>
                                                                          <w:marRight w:val="0"/>
                                                                          <w:marTop w:val="0"/>
                                                                          <w:marBottom w:val="0"/>
                                                                          <w:divBdr>
                                                                            <w:top w:val="none" w:sz="0" w:space="0" w:color="auto"/>
                                                                            <w:left w:val="none" w:sz="0" w:space="0" w:color="auto"/>
                                                                            <w:bottom w:val="none" w:sz="0" w:space="0" w:color="auto"/>
                                                                            <w:right w:val="none" w:sz="0" w:space="0" w:color="auto"/>
                                                                          </w:divBdr>
                                                                        </w:div>
                                                                      </w:divsChild>
                                                                    </w:div>
                                                                    <w:div w:id="1592860638">
                                                                      <w:marLeft w:val="0"/>
                                                                      <w:marRight w:val="0"/>
                                                                      <w:marTop w:val="0"/>
                                                                      <w:marBottom w:val="0"/>
                                                                      <w:divBdr>
                                                                        <w:top w:val="none" w:sz="0" w:space="0" w:color="auto"/>
                                                                        <w:left w:val="none" w:sz="0" w:space="0" w:color="auto"/>
                                                                        <w:bottom w:val="none" w:sz="0" w:space="0" w:color="auto"/>
                                                                        <w:right w:val="none" w:sz="0" w:space="0" w:color="auto"/>
                                                                      </w:divBdr>
                                                                      <w:divsChild>
                                                                        <w:div w:id="16378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9116714">
      <w:bodyDiv w:val="1"/>
      <w:marLeft w:val="0"/>
      <w:marRight w:val="0"/>
      <w:marTop w:val="0"/>
      <w:marBottom w:val="0"/>
      <w:divBdr>
        <w:top w:val="none" w:sz="0" w:space="0" w:color="auto"/>
        <w:left w:val="none" w:sz="0" w:space="0" w:color="auto"/>
        <w:bottom w:val="none" w:sz="0" w:space="0" w:color="auto"/>
        <w:right w:val="none" w:sz="0" w:space="0" w:color="auto"/>
      </w:divBdr>
      <w:divsChild>
        <w:div w:id="1464150640">
          <w:marLeft w:val="0"/>
          <w:marRight w:val="0"/>
          <w:marTop w:val="240"/>
          <w:marBottom w:val="0"/>
          <w:divBdr>
            <w:top w:val="none" w:sz="0" w:space="0" w:color="auto"/>
            <w:left w:val="none" w:sz="0" w:space="0" w:color="auto"/>
            <w:bottom w:val="none" w:sz="0" w:space="0" w:color="auto"/>
            <w:right w:val="none" w:sz="0" w:space="0" w:color="auto"/>
          </w:divBdr>
          <w:divsChild>
            <w:div w:id="891307245">
              <w:marLeft w:val="0"/>
              <w:marRight w:val="0"/>
              <w:marTop w:val="0"/>
              <w:marBottom w:val="0"/>
              <w:divBdr>
                <w:top w:val="none" w:sz="0" w:space="0" w:color="auto"/>
                <w:left w:val="none" w:sz="0" w:space="0" w:color="auto"/>
                <w:bottom w:val="none" w:sz="0" w:space="0" w:color="auto"/>
                <w:right w:val="none" w:sz="0" w:space="0" w:color="auto"/>
              </w:divBdr>
            </w:div>
          </w:divsChild>
        </w:div>
        <w:div w:id="2049451586">
          <w:marLeft w:val="0"/>
          <w:marRight w:val="0"/>
          <w:marTop w:val="240"/>
          <w:marBottom w:val="0"/>
          <w:divBdr>
            <w:top w:val="none" w:sz="0" w:space="0" w:color="auto"/>
            <w:left w:val="none" w:sz="0" w:space="0" w:color="auto"/>
            <w:bottom w:val="none" w:sz="0" w:space="0" w:color="auto"/>
            <w:right w:val="none" w:sz="0" w:space="0" w:color="auto"/>
          </w:divBdr>
          <w:divsChild>
            <w:div w:id="70949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2397">
      <w:bodyDiv w:val="1"/>
      <w:marLeft w:val="0"/>
      <w:marRight w:val="0"/>
      <w:marTop w:val="0"/>
      <w:marBottom w:val="0"/>
      <w:divBdr>
        <w:top w:val="none" w:sz="0" w:space="0" w:color="auto"/>
        <w:left w:val="none" w:sz="0" w:space="0" w:color="auto"/>
        <w:bottom w:val="none" w:sz="0" w:space="0" w:color="auto"/>
        <w:right w:val="none" w:sz="0" w:space="0" w:color="auto"/>
      </w:divBdr>
      <w:divsChild>
        <w:div w:id="610363521">
          <w:marLeft w:val="0"/>
          <w:marRight w:val="0"/>
          <w:marTop w:val="240"/>
          <w:marBottom w:val="0"/>
          <w:divBdr>
            <w:top w:val="none" w:sz="0" w:space="0" w:color="auto"/>
            <w:left w:val="none" w:sz="0" w:space="0" w:color="auto"/>
            <w:bottom w:val="none" w:sz="0" w:space="0" w:color="auto"/>
            <w:right w:val="none" w:sz="0" w:space="0" w:color="auto"/>
          </w:divBdr>
          <w:divsChild>
            <w:div w:id="920989553">
              <w:marLeft w:val="0"/>
              <w:marRight w:val="0"/>
              <w:marTop w:val="0"/>
              <w:marBottom w:val="0"/>
              <w:divBdr>
                <w:top w:val="none" w:sz="0" w:space="0" w:color="auto"/>
                <w:left w:val="none" w:sz="0" w:space="0" w:color="auto"/>
                <w:bottom w:val="none" w:sz="0" w:space="0" w:color="auto"/>
                <w:right w:val="none" w:sz="0" w:space="0" w:color="auto"/>
              </w:divBdr>
            </w:div>
          </w:divsChild>
        </w:div>
        <w:div w:id="788745093">
          <w:marLeft w:val="0"/>
          <w:marRight w:val="0"/>
          <w:marTop w:val="240"/>
          <w:marBottom w:val="0"/>
          <w:divBdr>
            <w:top w:val="none" w:sz="0" w:space="0" w:color="auto"/>
            <w:left w:val="none" w:sz="0" w:space="0" w:color="auto"/>
            <w:bottom w:val="none" w:sz="0" w:space="0" w:color="auto"/>
            <w:right w:val="none" w:sz="0" w:space="0" w:color="auto"/>
          </w:divBdr>
          <w:divsChild>
            <w:div w:id="13655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4586">
      <w:bodyDiv w:val="1"/>
      <w:marLeft w:val="0"/>
      <w:marRight w:val="0"/>
      <w:marTop w:val="0"/>
      <w:marBottom w:val="0"/>
      <w:divBdr>
        <w:top w:val="none" w:sz="0" w:space="0" w:color="auto"/>
        <w:left w:val="none" w:sz="0" w:space="0" w:color="auto"/>
        <w:bottom w:val="none" w:sz="0" w:space="0" w:color="auto"/>
        <w:right w:val="none" w:sz="0" w:space="0" w:color="auto"/>
      </w:divBdr>
      <w:divsChild>
        <w:div w:id="1467357988">
          <w:marLeft w:val="0"/>
          <w:marRight w:val="0"/>
          <w:marTop w:val="0"/>
          <w:marBottom w:val="0"/>
          <w:divBdr>
            <w:top w:val="none" w:sz="0" w:space="0" w:color="auto"/>
            <w:left w:val="none" w:sz="0" w:space="0" w:color="auto"/>
            <w:bottom w:val="none" w:sz="0" w:space="0" w:color="auto"/>
            <w:right w:val="none" w:sz="0" w:space="0" w:color="auto"/>
          </w:divBdr>
          <w:divsChild>
            <w:div w:id="199709147">
              <w:marLeft w:val="0"/>
              <w:marRight w:val="0"/>
              <w:marTop w:val="0"/>
              <w:marBottom w:val="0"/>
              <w:divBdr>
                <w:top w:val="none" w:sz="0" w:space="0" w:color="auto"/>
                <w:left w:val="none" w:sz="0" w:space="0" w:color="auto"/>
                <w:bottom w:val="none" w:sz="0" w:space="0" w:color="auto"/>
                <w:right w:val="none" w:sz="0" w:space="0" w:color="auto"/>
              </w:divBdr>
              <w:divsChild>
                <w:div w:id="1827013519">
                  <w:marLeft w:val="0"/>
                  <w:marRight w:val="0"/>
                  <w:marTop w:val="0"/>
                  <w:marBottom w:val="0"/>
                  <w:divBdr>
                    <w:top w:val="none" w:sz="0" w:space="0" w:color="auto"/>
                    <w:left w:val="none" w:sz="0" w:space="0" w:color="auto"/>
                    <w:bottom w:val="none" w:sz="0" w:space="0" w:color="auto"/>
                    <w:right w:val="none" w:sz="0" w:space="0" w:color="auto"/>
                  </w:divBdr>
                  <w:divsChild>
                    <w:div w:id="1567690519">
                      <w:marLeft w:val="0"/>
                      <w:marRight w:val="0"/>
                      <w:marTop w:val="0"/>
                      <w:marBottom w:val="300"/>
                      <w:divBdr>
                        <w:top w:val="none" w:sz="0" w:space="0" w:color="auto"/>
                        <w:left w:val="none" w:sz="0" w:space="0" w:color="auto"/>
                        <w:bottom w:val="none" w:sz="0" w:space="0" w:color="auto"/>
                        <w:right w:val="none" w:sz="0" w:space="0" w:color="auto"/>
                      </w:divBdr>
                      <w:divsChild>
                        <w:div w:id="871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642399">
      <w:bodyDiv w:val="1"/>
      <w:marLeft w:val="0"/>
      <w:marRight w:val="0"/>
      <w:marTop w:val="0"/>
      <w:marBottom w:val="0"/>
      <w:divBdr>
        <w:top w:val="none" w:sz="0" w:space="0" w:color="auto"/>
        <w:left w:val="none" w:sz="0" w:space="0" w:color="auto"/>
        <w:bottom w:val="none" w:sz="0" w:space="0" w:color="auto"/>
        <w:right w:val="none" w:sz="0" w:space="0" w:color="auto"/>
      </w:divBdr>
      <w:divsChild>
        <w:div w:id="435322370">
          <w:marLeft w:val="0"/>
          <w:marRight w:val="0"/>
          <w:marTop w:val="0"/>
          <w:marBottom w:val="0"/>
          <w:divBdr>
            <w:top w:val="none" w:sz="0" w:space="0" w:color="auto"/>
            <w:left w:val="none" w:sz="0" w:space="0" w:color="auto"/>
            <w:bottom w:val="none" w:sz="0" w:space="0" w:color="auto"/>
            <w:right w:val="none" w:sz="0" w:space="0" w:color="auto"/>
          </w:divBdr>
          <w:divsChild>
            <w:div w:id="1079793120">
              <w:marLeft w:val="0"/>
              <w:marRight w:val="0"/>
              <w:marTop w:val="0"/>
              <w:marBottom w:val="0"/>
              <w:divBdr>
                <w:top w:val="none" w:sz="0" w:space="0" w:color="auto"/>
                <w:left w:val="none" w:sz="0" w:space="0" w:color="auto"/>
                <w:bottom w:val="none" w:sz="0" w:space="0" w:color="auto"/>
                <w:right w:val="none" w:sz="0" w:space="0" w:color="auto"/>
              </w:divBdr>
              <w:divsChild>
                <w:div w:id="899365036">
                  <w:marLeft w:val="0"/>
                  <w:marRight w:val="0"/>
                  <w:marTop w:val="0"/>
                  <w:marBottom w:val="0"/>
                  <w:divBdr>
                    <w:top w:val="none" w:sz="0" w:space="0" w:color="auto"/>
                    <w:left w:val="none" w:sz="0" w:space="0" w:color="auto"/>
                    <w:bottom w:val="none" w:sz="0" w:space="0" w:color="auto"/>
                    <w:right w:val="none" w:sz="0" w:space="0" w:color="auto"/>
                  </w:divBdr>
                  <w:divsChild>
                    <w:div w:id="1302420384">
                      <w:marLeft w:val="0"/>
                      <w:marRight w:val="0"/>
                      <w:marTop w:val="0"/>
                      <w:marBottom w:val="375"/>
                      <w:divBdr>
                        <w:top w:val="none" w:sz="0" w:space="0" w:color="auto"/>
                        <w:left w:val="none" w:sz="0" w:space="0" w:color="auto"/>
                        <w:bottom w:val="none" w:sz="0" w:space="0" w:color="auto"/>
                        <w:right w:val="none" w:sz="0" w:space="0" w:color="auto"/>
                      </w:divBdr>
                      <w:divsChild>
                        <w:div w:id="20219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407700">
      <w:bodyDiv w:val="1"/>
      <w:marLeft w:val="0"/>
      <w:marRight w:val="0"/>
      <w:marTop w:val="0"/>
      <w:marBottom w:val="0"/>
      <w:divBdr>
        <w:top w:val="none" w:sz="0" w:space="0" w:color="auto"/>
        <w:left w:val="none" w:sz="0" w:space="0" w:color="auto"/>
        <w:bottom w:val="none" w:sz="0" w:space="0" w:color="auto"/>
        <w:right w:val="none" w:sz="0" w:space="0" w:color="auto"/>
      </w:divBdr>
      <w:divsChild>
        <w:div w:id="164831166">
          <w:marLeft w:val="0"/>
          <w:marRight w:val="0"/>
          <w:marTop w:val="0"/>
          <w:marBottom w:val="0"/>
          <w:divBdr>
            <w:top w:val="none" w:sz="0" w:space="0" w:color="auto"/>
            <w:left w:val="none" w:sz="0" w:space="0" w:color="auto"/>
            <w:bottom w:val="none" w:sz="0" w:space="0" w:color="auto"/>
            <w:right w:val="none" w:sz="0" w:space="0" w:color="auto"/>
          </w:divBdr>
          <w:divsChild>
            <w:div w:id="480077117">
              <w:marLeft w:val="0"/>
              <w:marRight w:val="0"/>
              <w:marTop w:val="0"/>
              <w:marBottom w:val="0"/>
              <w:divBdr>
                <w:top w:val="none" w:sz="0" w:space="0" w:color="auto"/>
                <w:left w:val="none" w:sz="0" w:space="0" w:color="auto"/>
                <w:bottom w:val="none" w:sz="0" w:space="0" w:color="auto"/>
                <w:right w:val="none" w:sz="0" w:space="0" w:color="auto"/>
              </w:divBdr>
              <w:divsChild>
                <w:div w:id="1622298470">
                  <w:marLeft w:val="0"/>
                  <w:marRight w:val="0"/>
                  <w:marTop w:val="0"/>
                  <w:marBottom w:val="0"/>
                  <w:divBdr>
                    <w:top w:val="none" w:sz="0" w:space="0" w:color="auto"/>
                    <w:left w:val="none" w:sz="0" w:space="0" w:color="auto"/>
                    <w:bottom w:val="none" w:sz="0" w:space="0" w:color="auto"/>
                    <w:right w:val="none" w:sz="0" w:space="0" w:color="auto"/>
                  </w:divBdr>
                  <w:divsChild>
                    <w:div w:id="1816599903">
                      <w:marLeft w:val="0"/>
                      <w:marRight w:val="0"/>
                      <w:marTop w:val="0"/>
                      <w:marBottom w:val="300"/>
                      <w:divBdr>
                        <w:top w:val="none" w:sz="0" w:space="0" w:color="auto"/>
                        <w:left w:val="none" w:sz="0" w:space="0" w:color="auto"/>
                        <w:bottom w:val="none" w:sz="0" w:space="0" w:color="auto"/>
                        <w:right w:val="none" w:sz="0" w:space="0" w:color="auto"/>
                      </w:divBdr>
                      <w:divsChild>
                        <w:div w:id="9438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301284">
      <w:bodyDiv w:val="1"/>
      <w:marLeft w:val="0"/>
      <w:marRight w:val="0"/>
      <w:marTop w:val="0"/>
      <w:marBottom w:val="0"/>
      <w:divBdr>
        <w:top w:val="none" w:sz="0" w:space="0" w:color="auto"/>
        <w:left w:val="none" w:sz="0" w:space="0" w:color="auto"/>
        <w:bottom w:val="none" w:sz="0" w:space="0" w:color="auto"/>
        <w:right w:val="none" w:sz="0" w:space="0" w:color="auto"/>
      </w:divBdr>
      <w:divsChild>
        <w:div w:id="1974477701">
          <w:marLeft w:val="0"/>
          <w:marRight w:val="0"/>
          <w:marTop w:val="0"/>
          <w:marBottom w:val="0"/>
          <w:divBdr>
            <w:top w:val="none" w:sz="0" w:space="0" w:color="auto"/>
            <w:left w:val="none" w:sz="0" w:space="0" w:color="auto"/>
            <w:bottom w:val="none" w:sz="0" w:space="0" w:color="auto"/>
            <w:right w:val="none" w:sz="0" w:space="0" w:color="auto"/>
          </w:divBdr>
          <w:divsChild>
            <w:div w:id="342979308">
              <w:marLeft w:val="-3072"/>
              <w:marRight w:val="0"/>
              <w:marTop w:val="0"/>
              <w:marBottom w:val="0"/>
              <w:divBdr>
                <w:top w:val="none" w:sz="0" w:space="0" w:color="auto"/>
                <w:left w:val="none" w:sz="0" w:space="0" w:color="auto"/>
                <w:bottom w:val="none" w:sz="0" w:space="0" w:color="auto"/>
                <w:right w:val="none" w:sz="0" w:space="0" w:color="auto"/>
              </w:divBdr>
              <w:divsChild>
                <w:div w:id="1684895826">
                  <w:marLeft w:val="3072"/>
                  <w:marRight w:val="0"/>
                  <w:marTop w:val="0"/>
                  <w:marBottom w:val="0"/>
                  <w:divBdr>
                    <w:top w:val="none" w:sz="0" w:space="0" w:color="auto"/>
                    <w:left w:val="none" w:sz="0" w:space="0" w:color="auto"/>
                    <w:bottom w:val="none" w:sz="0" w:space="0" w:color="auto"/>
                    <w:right w:val="none" w:sz="0" w:space="0" w:color="auto"/>
                  </w:divBdr>
                  <w:divsChild>
                    <w:div w:id="18944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89442">
      <w:bodyDiv w:val="1"/>
      <w:marLeft w:val="0"/>
      <w:marRight w:val="0"/>
      <w:marTop w:val="0"/>
      <w:marBottom w:val="0"/>
      <w:divBdr>
        <w:top w:val="none" w:sz="0" w:space="0" w:color="auto"/>
        <w:left w:val="none" w:sz="0" w:space="0" w:color="auto"/>
        <w:bottom w:val="none" w:sz="0" w:space="0" w:color="auto"/>
        <w:right w:val="none" w:sz="0" w:space="0" w:color="auto"/>
      </w:divBdr>
      <w:divsChild>
        <w:div w:id="324750690">
          <w:marLeft w:val="0"/>
          <w:marRight w:val="0"/>
          <w:marTop w:val="0"/>
          <w:marBottom w:val="0"/>
          <w:divBdr>
            <w:top w:val="none" w:sz="0" w:space="0" w:color="auto"/>
            <w:left w:val="none" w:sz="0" w:space="0" w:color="auto"/>
            <w:bottom w:val="none" w:sz="0" w:space="0" w:color="auto"/>
            <w:right w:val="none" w:sz="0" w:space="0" w:color="auto"/>
          </w:divBdr>
          <w:divsChild>
            <w:div w:id="1830825144">
              <w:marLeft w:val="0"/>
              <w:marRight w:val="0"/>
              <w:marTop w:val="0"/>
              <w:marBottom w:val="0"/>
              <w:divBdr>
                <w:top w:val="none" w:sz="0" w:space="0" w:color="auto"/>
                <w:left w:val="none" w:sz="0" w:space="0" w:color="auto"/>
                <w:bottom w:val="none" w:sz="0" w:space="0" w:color="auto"/>
                <w:right w:val="none" w:sz="0" w:space="0" w:color="auto"/>
              </w:divBdr>
              <w:divsChild>
                <w:div w:id="2104838956">
                  <w:marLeft w:val="0"/>
                  <w:marRight w:val="0"/>
                  <w:marTop w:val="0"/>
                  <w:marBottom w:val="0"/>
                  <w:divBdr>
                    <w:top w:val="none" w:sz="0" w:space="0" w:color="auto"/>
                    <w:left w:val="none" w:sz="0" w:space="0" w:color="auto"/>
                    <w:bottom w:val="none" w:sz="0" w:space="0" w:color="auto"/>
                    <w:right w:val="none" w:sz="0" w:space="0" w:color="auto"/>
                  </w:divBdr>
                  <w:divsChild>
                    <w:div w:id="774635873">
                      <w:marLeft w:val="0"/>
                      <w:marRight w:val="0"/>
                      <w:marTop w:val="0"/>
                      <w:marBottom w:val="300"/>
                      <w:divBdr>
                        <w:top w:val="none" w:sz="0" w:space="0" w:color="auto"/>
                        <w:left w:val="none" w:sz="0" w:space="0" w:color="auto"/>
                        <w:bottom w:val="none" w:sz="0" w:space="0" w:color="auto"/>
                        <w:right w:val="none" w:sz="0" w:space="0" w:color="auto"/>
                      </w:divBdr>
                      <w:divsChild>
                        <w:div w:id="27317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781157">
      <w:bodyDiv w:val="1"/>
      <w:marLeft w:val="0"/>
      <w:marRight w:val="0"/>
      <w:marTop w:val="0"/>
      <w:marBottom w:val="0"/>
      <w:divBdr>
        <w:top w:val="none" w:sz="0" w:space="0" w:color="auto"/>
        <w:left w:val="none" w:sz="0" w:space="0" w:color="auto"/>
        <w:bottom w:val="none" w:sz="0" w:space="0" w:color="auto"/>
        <w:right w:val="none" w:sz="0" w:space="0" w:color="auto"/>
      </w:divBdr>
      <w:divsChild>
        <w:div w:id="947197852">
          <w:marLeft w:val="0"/>
          <w:marRight w:val="0"/>
          <w:marTop w:val="0"/>
          <w:marBottom w:val="0"/>
          <w:divBdr>
            <w:top w:val="none" w:sz="0" w:space="0" w:color="auto"/>
            <w:left w:val="none" w:sz="0" w:space="0" w:color="auto"/>
            <w:bottom w:val="none" w:sz="0" w:space="0" w:color="auto"/>
            <w:right w:val="none" w:sz="0" w:space="0" w:color="auto"/>
          </w:divBdr>
          <w:divsChild>
            <w:div w:id="2119251216">
              <w:marLeft w:val="0"/>
              <w:marRight w:val="0"/>
              <w:marTop w:val="0"/>
              <w:marBottom w:val="0"/>
              <w:divBdr>
                <w:top w:val="none" w:sz="0" w:space="0" w:color="auto"/>
                <w:left w:val="none" w:sz="0" w:space="0" w:color="auto"/>
                <w:bottom w:val="none" w:sz="0" w:space="0" w:color="auto"/>
                <w:right w:val="none" w:sz="0" w:space="0" w:color="auto"/>
              </w:divBdr>
              <w:divsChild>
                <w:div w:id="2056005478">
                  <w:marLeft w:val="0"/>
                  <w:marRight w:val="0"/>
                  <w:marTop w:val="0"/>
                  <w:marBottom w:val="0"/>
                  <w:divBdr>
                    <w:top w:val="none" w:sz="0" w:space="0" w:color="auto"/>
                    <w:left w:val="none" w:sz="0" w:space="0" w:color="auto"/>
                    <w:bottom w:val="none" w:sz="0" w:space="0" w:color="auto"/>
                    <w:right w:val="none" w:sz="0" w:space="0" w:color="auto"/>
                  </w:divBdr>
                  <w:divsChild>
                    <w:div w:id="1694376562">
                      <w:marLeft w:val="0"/>
                      <w:marRight w:val="0"/>
                      <w:marTop w:val="0"/>
                      <w:marBottom w:val="0"/>
                      <w:divBdr>
                        <w:top w:val="none" w:sz="0" w:space="0" w:color="auto"/>
                        <w:left w:val="none" w:sz="0" w:space="0" w:color="auto"/>
                        <w:bottom w:val="none" w:sz="0" w:space="0" w:color="auto"/>
                        <w:right w:val="none" w:sz="0" w:space="0" w:color="auto"/>
                      </w:divBdr>
                      <w:divsChild>
                        <w:div w:id="216672648">
                          <w:marLeft w:val="0"/>
                          <w:marRight w:val="0"/>
                          <w:marTop w:val="0"/>
                          <w:marBottom w:val="0"/>
                          <w:divBdr>
                            <w:top w:val="none" w:sz="0" w:space="0" w:color="auto"/>
                            <w:left w:val="none" w:sz="0" w:space="0" w:color="auto"/>
                            <w:bottom w:val="none" w:sz="0" w:space="0" w:color="auto"/>
                            <w:right w:val="none" w:sz="0" w:space="0" w:color="auto"/>
                          </w:divBdr>
                          <w:divsChild>
                            <w:div w:id="2754924">
                              <w:marLeft w:val="0"/>
                              <w:marRight w:val="0"/>
                              <w:marTop w:val="0"/>
                              <w:marBottom w:val="0"/>
                              <w:divBdr>
                                <w:top w:val="none" w:sz="0" w:space="0" w:color="auto"/>
                                <w:left w:val="none" w:sz="0" w:space="0" w:color="auto"/>
                                <w:bottom w:val="none" w:sz="0" w:space="0" w:color="auto"/>
                                <w:right w:val="none" w:sz="0" w:space="0" w:color="auto"/>
                              </w:divBdr>
                              <w:divsChild>
                                <w:div w:id="32795037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315400">
      <w:bodyDiv w:val="1"/>
      <w:marLeft w:val="0"/>
      <w:marRight w:val="0"/>
      <w:marTop w:val="0"/>
      <w:marBottom w:val="0"/>
      <w:divBdr>
        <w:top w:val="none" w:sz="0" w:space="0" w:color="auto"/>
        <w:left w:val="none" w:sz="0" w:space="0" w:color="auto"/>
        <w:bottom w:val="none" w:sz="0" w:space="0" w:color="auto"/>
        <w:right w:val="none" w:sz="0" w:space="0" w:color="auto"/>
      </w:divBdr>
      <w:divsChild>
        <w:div w:id="1111973666">
          <w:marLeft w:val="0"/>
          <w:marRight w:val="0"/>
          <w:marTop w:val="0"/>
          <w:marBottom w:val="0"/>
          <w:divBdr>
            <w:top w:val="none" w:sz="0" w:space="0" w:color="auto"/>
            <w:left w:val="single" w:sz="6" w:space="0" w:color="BBBBBB"/>
            <w:bottom w:val="single" w:sz="6" w:space="0" w:color="BBBBBB"/>
            <w:right w:val="single" w:sz="6" w:space="0" w:color="BBBBBB"/>
          </w:divBdr>
          <w:divsChild>
            <w:div w:id="1933394290">
              <w:marLeft w:val="0"/>
              <w:marRight w:val="0"/>
              <w:marTop w:val="0"/>
              <w:marBottom w:val="0"/>
              <w:divBdr>
                <w:top w:val="none" w:sz="0" w:space="0" w:color="auto"/>
                <w:left w:val="none" w:sz="0" w:space="0" w:color="auto"/>
                <w:bottom w:val="none" w:sz="0" w:space="0" w:color="auto"/>
                <w:right w:val="none" w:sz="0" w:space="0" w:color="auto"/>
              </w:divBdr>
              <w:divsChild>
                <w:div w:id="797534522">
                  <w:marLeft w:val="0"/>
                  <w:marRight w:val="0"/>
                  <w:marTop w:val="0"/>
                  <w:marBottom w:val="0"/>
                  <w:divBdr>
                    <w:top w:val="none" w:sz="0" w:space="0" w:color="auto"/>
                    <w:left w:val="none" w:sz="0" w:space="0" w:color="auto"/>
                    <w:bottom w:val="none" w:sz="0" w:space="0" w:color="auto"/>
                    <w:right w:val="none" w:sz="0" w:space="0" w:color="auto"/>
                  </w:divBdr>
                  <w:divsChild>
                    <w:div w:id="2047678991">
                      <w:marLeft w:val="0"/>
                      <w:marRight w:val="0"/>
                      <w:marTop w:val="0"/>
                      <w:marBottom w:val="0"/>
                      <w:divBdr>
                        <w:top w:val="none" w:sz="0" w:space="0" w:color="auto"/>
                        <w:left w:val="none" w:sz="0" w:space="0" w:color="auto"/>
                        <w:bottom w:val="none" w:sz="0" w:space="0" w:color="auto"/>
                        <w:right w:val="none" w:sz="0" w:space="0" w:color="auto"/>
                      </w:divBdr>
                      <w:divsChild>
                        <w:div w:id="1025256588">
                          <w:marLeft w:val="0"/>
                          <w:marRight w:val="0"/>
                          <w:marTop w:val="0"/>
                          <w:marBottom w:val="0"/>
                          <w:divBdr>
                            <w:top w:val="none" w:sz="0" w:space="0" w:color="auto"/>
                            <w:left w:val="none" w:sz="0" w:space="0" w:color="auto"/>
                            <w:bottom w:val="none" w:sz="0" w:space="0" w:color="auto"/>
                            <w:right w:val="none" w:sz="0" w:space="0" w:color="auto"/>
                          </w:divBdr>
                          <w:divsChild>
                            <w:div w:id="1557542494">
                              <w:marLeft w:val="0"/>
                              <w:marRight w:val="0"/>
                              <w:marTop w:val="0"/>
                              <w:marBottom w:val="0"/>
                              <w:divBdr>
                                <w:top w:val="none" w:sz="0" w:space="0" w:color="auto"/>
                                <w:left w:val="none" w:sz="0" w:space="0" w:color="auto"/>
                                <w:bottom w:val="none" w:sz="0" w:space="0" w:color="auto"/>
                                <w:right w:val="none" w:sz="0" w:space="0" w:color="auto"/>
                              </w:divBdr>
                              <w:divsChild>
                                <w:div w:id="1601525808">
                                  <w:marLeft w:val="0"/>
                                  <w:marRight w:val="0"/>
                                  <w:marTop w:val="0"/>
                                  <w:marBottom w:val="0"/>
                                  <w:divBdr>
                                    <w:top w:val="none" w:sz="0" w:space="0" w:color="auto"/>
                                    <w:left w:val="none" w:sz="0" w:space="0" w:color="auto"/>
                                    <w:bottom w:val="none" w:sz="0" w:space="0" w:color="auto"/>
                                    <w:right w:val="none" w:sz="0" w:space="0" w:color="auto"/>
                                  </w:divBdr>
                                  <w:divsChild>
                                    <w:div w:id="466319741">
                                      <w:marLeft w:val="0"/>
                                      <w:marRight w:val="0"/>
                                      <w:marTop w:val="0"/>
                                      <w:marBottom w:val="0"/>
                                      <w:divBdr>
                                        <w:top w:val="none" w:sz="0" w:space="0" w:color="auto"/>
                                        <w:left w:val="none" w:sz="0" w:space="0" w:color="auto"/>
                                        <w:bottom w:val="none" w:sz="0" w:space="0" w:color="auto"/>
                                        <w:right w:val="none" w:sz="0" w:space="0" w:color="auto"/>
                                      </w:divBdr>
                                      <w:divsChild>
                                        <w:div w:id="862744454">
                                          <w:marLeft w:val="1200"/>
                                          <w:marRight w:val="1200"/>
                                          <w:marTop w:val="0"/>
                                          <w:marBottom w:val="0"/>
                                          <w:divBdr>
                                            <w:top w:val="none" w:sz="0" w:space="0" w:color="auto"/>
                                            <w:left w:val="none" w:sz="0" w:space="0" w:color="auto"/>
                                            <w:bottom w:val="none" w:sz="0" w:space="0" w:color="auto"/>
                                            <w:right w:val="none" w:sz="0" w:space="0" w:color="auto"/>
                                          </w:divBdr>
                                          <w:divsChild>
                                            <w:div w:id="1814104559">
                                              <w:marLeft w:val="0"/>
                                              <w:marRight w:val="0"/>
                                              <w:marTop w:val="0"/>
                                              <w:marBottom w:val="0"/>
                                              <w:divBdr>
                                                <w:top w:val="none" w:sz="0" w:space="0" w:color="auto"/>
                                                <w:left w:val="none" w:sz="0" w:space="0" w:color="auto"/>
                                                <w:bottom w:val="none" w:sz="0" w:space="0" w:color="auto"/>
                                                <w:right w:val="none" w:sz="0" w:space="0" w:color="auto"/>
                                              </w:divBdr>
                                              <w:divsChild>
                                                <w:div w:id="600534357">
                                                  <w:marLeft w:val="0"/>
                                                  <w:marRight w:val="0"/>
                                                  <w:marTop w:val="0"/>
                                                  <w:marBottom w:val="0"/>
                                                  <w:divBdr>
                                                    <w:top w:val="none" w:sz="0" w:space="0" w:color="auto"/>
                                                    <w:left w:val="none" w:sz="0" w:space="0" w:color="auto"/>
                                                    <w:bottom w:val="none" w:sz="0" w:space="0" w:color="auto"/>
                                                    <w:right w:val="none" w:sz="0" w:space="0" w:color="auto"/>
                                                  </w:divBdr>
                                                  <w:divsChild>
                                                    <w:div w:id="1340960089">
                                                      <w:marLeft w:val="0"/>
                                                      <w:marRight w:val="0"/>
                                                      <w:marTop w:val="0"/>
                                                      <w:marBottom w:val="0"/>
                                                      <w:divBdr>
                                                        <w:top w:val="none" w:sz="0" w:space="0" w:color="auto"/>
                                                        <w:left w:val="none" w:sz="0" w:space="0" w:color="auto"/>
                                                        <w:bottom w:val="none" w:sz="0" w:space="0" w:color="auto"/>
                                                        <w:right w:val="none" w:sz="0" w:space="0" w:color="auto"/>
                                                      </w:divBdr>
                                                      <w:divsChild>
                                                        <w:div w:id="1338386834">
                                                          <w:marLeft w:val="0"/>
                                                          <w:marRight w:val="0"/>
                                                          <w:marTop w:val="0"/>
                                                          <w:marBottom w:val="0"/>
                                                          <w:divBdr>
                                                            <w:top w:val="none" w:sz="0" w:space="0" w:color="auto"/>
                                                            <w:left w:val="none" w:sz="0" w:space="0" w:color="auto"/>
                                                            <w:bottom w:val="none" w:sz="0" w:space="0" w:color="auto"/>
                                                            <w:right w:val="none" w:sz="0" w:space="0" w:color="auto"/>
                                                          </w:divBdr>
                                                          <w:divsChild>
                                                            <w:div w:id="445857738">
                                                              <w:marLeft w:val="0"/>
                                                              <w:marRight w:val="0"/>
                                                              <w:marTop w:val="0"/>
                                                              <w:marBottom w:val="0"/>
                                                              <w:divBdr>
                                                                <w:top w:val="none" w:sz="0" w:space="0" w:color="auto"/>
                                                                <w:left w:val="none" w:sz="0" w:space="0" w:color="auto"/>
                                                                <w:bottom w:val="none" w:sz="0" w:space="0" w:color="auto"/>
                                                                <w:right w:val="none" w:sz="0" w:space="0" w:color="auto"/>
                                                              </w:divBdr>
                                                              <w:divsChild>
                                                                <w:div w:id="1480996652">
                                                                  <w:marLeft w:val="0"/>
                                                                  <w:marRight w:val="0"/>
                                                                  <w:marTop w:val="0"/>
                                                                  <w:marBottom w:val="0"/>
                                                                  <w:divBdr>
                                                                    <w:top w:val="none" w:sz="0" w:space="0" w:color="auto"/>
                                                                    <w:left w:val="none" w:sz="0" w:space="0" w:color="auto"/>
                                                                    <w:bottom w:val="none" w:sz="0" w:space="0" w:color="auto"/>
                                                                    <w:right w:val="none" w:sz="0" w:space="0" w:color="auto"/>
                                                                  </w:divBdr>
                                                                  <w:divsChild>
                                                                    <w:div w:id="1734506056">
                                                                      <w:marLeft w:val="0"/>
                                                                      <w:marRight w:val="0"/>
                                                                      <w:marTop w:val="0"/>
                                                                      <w:marBottom w:val="0"/>
                                                                      <w:divBdr>
                                                                        <w:top w:val="none" w:sz="0" w:space="0" w:color="auto"/>
                                                                        <w:left w:val="none" w:sz="0" w:space="0" w:color="auto"/>
                                                                        <w:bottom w:val="none" w:sz="0" w:space="0" w:color="auto"/>
                                                                        <w:right w:val="none" w:sz="0" w:space="0" w:color="auto"/>
                                                                      </w:divBdr>
                                                                      <w:divsChild>
                                                                        <w:div w:id="1516260693">
                                                                          <w:marLeft w:val="0"/>
                                                                          <w:marRight w:val="0"/>
                                                                          <w:marTop w:val="0"/>
                                                                          <w:marBottom w:val="0"/>
                                                                          <w:divBdr>
                                                                            <w:top w:val="none" w:sz="0" w:space="0" w:color="auto"/>
                                                                            <w:left w:val="none" w:sz="0" w:space="0" w:color="auto"/>
                                                                            <w:bottom w:val="none" w:sz="0" w:space="0" w:color="auto"/>
                                                                            <w:right w:val="none" w:sz="0" w:space="0" w:color="auto"/>
                                                                          </w:divBdr>
                                                                        </w:div>
                                                                      </w:divsChild>
                                                                    </w:div>
                                                                    <w:div w:id="2121219352">
                                                                      <w:marLeft w:val="0"/>
                                                                      <w:marRight w:val="0"/>
                                                                      <w:marTop w:val="0"/>
                                                                      <w:marBottom w:val="0"/>
                                                                      <w:divBdr>
                                                                        <w:top w:val="none" w:sz="0" w:space="0" w:color="auto"/>
                                                                        <w:left w:val="none" w:sz="0" w:space="0" w:color="auto"/>
                                                                        <w:bottom w:val="none" w:sz="0" w:space="0" w:color="auto"/>
                                                                        <w:right w:val="none" w:sz="0" w:space="0" w:color="auto"/>
                                                                      </w:divBdr>
                                                                      <w:divsChild>
                                                                        <w:div w:id="12459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93576">
      <w:bodyDiv w:val="1"/>
      <w:marLeft w:val="30"/>
      <w:marRight w:val="30"/>
      <w:marTop w:val="30"/>
      <w:marBottom w:val="30"/>
      <w:divBdr>
        <w:top w:val="none" w:sz="0" w:space="0" w:color="auto"/>
        <w:left w:val="none" w:sz="0" w:space="0" w:color="auto"/>
        <w:bottom w:val="none" w:sz="0" w:space="0" w:color="auto"/>
        <w:right w:val="none" w:sz="0" w:space="0" w:color="auto"/>
      </w:divBdr>
      <w:divsChild>
        <w:div w:id="1876649973">
          <w:marLeft w:val="0"/>
          <w:marRight w:val="0"/>
          <w:marTop w:val="0"/>
          <w:marBottom w:val="0"/>
          <w:divBdr>
            <w:top w:val="none" w:sz="0" w:space="0" w:color="auto"/>
            <w:left w:val="none" w:sz="0" w:space="0" w:color="auto"/>
            <w:bottom w:val="none" w:sz="0" w:space="0" w:color="auto"/>
            <w:right w:val="none" w:sz="0" w:space="0" w:color="auto"/>
          </w:divBdr>
          <w:divsChild>
            <w:div w:id="1365062926">
              <w:marLeft w:val="45"/>
              <w:marRight w:val="45"/>
              <w:marTop w:val="45"/>
              <w:marBottom w:val="45"/>
              <w:divBdr>
                <w:top w:val="none" w:sz="0" w:space="0" w:color="auto"/>
                <w:left w:val="none" w:sz="0" w:space="0" w:color="auto"/>
                <w:bottom w:val="none" w:sz="0" w:space="0" w:color="auto"/>
                <w:right w:val="none" w:sz="0" w:space="0" w:color="auto"/>
              </w:divBdr>
              <w:divsChild>
                <w:div w:id="1702244941">
                  <w:marLeft w:val="0"/>
                  <w:marRight w:val="0"/>
                  <w:marTop w:val="0"/>
                  <w:marBottom w:val="0"/>
                  <w:divBdr>
                    <w:top w:val="none" w:sz="0" w:space="0" w:color="auto"/>
                    <w:left w:val="none" w:sz="0" w:space="0" w:color="auto"/>
                    <w:bottom w:val="none" w:sz="0" w:space="0" w:color="auto"/>
                    <w:right w:val="none" w:sz="0" w:space="0" w:color="auto"/>
                  </w:divBdr>
                  <w:divsChild>
                    <w:div w:id="49158609">
                      <w:marLeft w:val="0"/>
                      <w:marRight w:val="0"/>
                      <w:marTop w:val="0"/>
                      <w:marBottom w:val="0"/>
                      <w:divBdr>
                        <w:top w:val="none" w:sz="0" w:space="0" w:color="auto"/>
                        <w:left w:val="none" w:sz="0" w:space="0" w:color="auto"/>
                        <w:bottom w:val="none" w:sz="0" w:space="0" w:color="auto"/>
                        <w:right w:val="none" w:sz="0" w:space="0" w:color="auto"/>
                      </w:divBdr>
                    </w:div>
                    <w:div w:id="800540970">
                      <w:marLeft w:val="0"/>
                      <w:marRight w:val="0"/>
                      <w:marTop w:val="0"/>
                      <w:marBottom w:val="0"/>
                      <w:divBdr>
                        <w:top w:val="none" w:sz="0" w:space="0" w:color="auto"/>
                        <w:left w:val="none" w:sz="0" w:space="0" w:color="auto"/>
                        <w:bottom w:val="none" w:sz="0" w:space="0" w:color="auto"/>
                        <w:right w:val="none" w:sz="0" w:space="0" w:color="auto"/>
                      </w:divBdr>
                    </w:div>
                    <w:div w:id="845827151">
                      <w:marLeft w:val="0"/>
                      <w:marRight w:val="0"/>
                      <w:marTop w:val="0"/>
                      <w:marBottom w:val="0"/>
                      <w:divBdr>
                        <w:top w:val="none" w:sz="0" w:space="0" w:color="auto"/>
                        <w:left w:val="none" w:sz="0" w:space="0" w:color="auto"/>
                        <w:bottom w:val="none" w:sz="0" w:space="0" w:color="auto"/>
                        <w:right w:val="none" w:sz="0" w:space="0" w:color="auto"/>
                      </w:divBdr>
                    </w:div>
                    <w:div w:id="2059238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05589329">
      <w:bodyDiv w:val="1"/>
      <w:marLeft w:val="0"/>
      <w:marRight w:val="0"/>
      <w:marTop w:val="0"/>
      <w:marBottom w:val="0"/>
      <w:divBdr>
        <w:top w:val="none" w:sz="0" w:space="0" w:color="auto"/>
        <w:left w:val="none" w:sz="0" w:space="0" w:color="auto"/>
        <w:bottom w:val="none" w:sz="0" w:space="0" w:color="auto"/>
        <w:right w:val="none" w:sz="0" w:space="0" w:color="auto"/>
      </w:divBdr>
      <w:divsChild>
        <w:div w:id="293023216">
          <w:marLeft w:val="0"/>
          <w:marRight w:val="0"/>
          <w:marTop w:val="0"/>
          <w:marBottom w:val="0"/>
          <w:divBdr>
            <w:top w:val="none" w:sz="0" w:space="0" w:color="auto"/>
            <w:left w:val="none" w:sz="0" w:space="0" w:color="auto"/>
            <w:bottom w:val="none" w:sz="0" w:space="0" w:color="auto"/>
            <w:right w:val="none" w:sz="0" w:space="0" w:color="auto"/>
          </w:divBdr>
        </w:div>
        <w:div w:id="306473564">
          <w:marLeft w:val="0"/>
          <w:marRight w:val="0"/>
          <w:marTop w:val="240"/>
          <w:marBottom w:val="0"/>
          <w:divBdr>
            <w:top w:val="none" w:sz="0" w:space="0" w:color="auto"/>
            <w:left w:val="none" w:sz="0" w:space="0" w:color="auto"/>
            <w:bottom w:val="none" w:sz="0" w:space="0" w:color="auto"/>
            <w:right w:val="none" w:sz="0" w:space="0" w:color="auto"/>
          </w:divBdr>
          <w:divsChild>
            <w:div w:id="880752644">
              <w:marLeft w:val="0"/>
              <w:marRight w:val="0"/>
              <w:marTop w:val="0"/>
              <w:marBottom w:val="0"/>
              <w:divBdr>
                <w:top w:val="none" w:sz="0" w:space="0" w:color="auto"/>
                <w:left w:val="none" w:sz="0" w:space="0" w:color="auto"/>
                <w:bottom w:val="none" w:sz="0" w:space="0" w:color="auto"/>
                <w:right w:val="none" w:sz="0" w:space="0" w:color="auto"/>
              </w:divBdr>
            </w:div>
          </w:divsChild>
        </w:div>
        <w:div w:id="1075517737">
          <w:marLeft w:val="0"/>
          <w:marRight w:val="0"/>
          <w:marTop w:val="240"/>
          <w:marBottom w:val="0"/>
          <w:divBdr>
            <w:top w:val="none" w:sz="0" w:space="0" w:color="auto"/>
            <w:left w:val="none" w:sz="0" w:space="0" w:color="auto"/>
            <w:bottom w:val="none" w:sz="0" w:space="0" w:color="auto"/>
            <w:right w:val="none" w:sz="0" w:space="0" w:color="auto"/>
          </w:divBdr>
          <w:divsChild>
            <w:div w:id="1778795660">
              <w:marLeft w:val="0"/>
              <w:marRight w:val="0"/>
              <w:marTop w:val="0"/>
              <w:marBottom w:val="0"/>
              <w:divBdr>
                <w:top w:val="none" w:sz="0" w:space="0" w:color="auto"/>
                <w:left w:val="none" w:sz="0" w:space="0" w:color="auto"/>
                <w:bottom w:val="none" w:sz="0" w:space="0" w:color="auto"/>
                <w:right w:val="none" w:sz="0" w:space="0" w:color="auto"/>
              </w:divBdr>
            </w:div>
          </w:divsChild>
        </w:div>
        <w:div w:id="1931893057">
          <w:marLeft w:val="0"/>
          <w:marRight w:val="0"/>
          <w:marTop w:val="240"/>
          <w:marBottom w:val="0"/>
          <w:divBdr>
            <w:top w:val="none" w:sz="0" w:space="0" w:color="auto"/>
            <w:left w:val="none" w:sz="0" w:space="0" w:color="auto"/>
            <w:bottom w:val="none" w:sz="0" w:space="0" w:color="auto"/>
            <w:right w:val="none" w:sz="0" w:space="0" w:color="auto"/>
          </w:divBdr>
          <w:divsChild>
            <w:div w:id="630137608">
              <w:marLeft w:val="0"/>
              <w:marRight w:val="0"/>
              <w:marTop w:val="240"/>
              <w:marBottom w:val="0"/>
              <w:divBdr>
                <w:top w:val="none" w:sz="0" w:space="0" w:color="auto"/>
                <w:left w:val="none" w:sz="0" w:space="0" w:color="auto"/>
                <w:bottom w:val="none" w:sz="0" w:space="0" w:color="auto"/>
                <w:right w:val="none" w:sz="0" w:space="0" w:color="auto"/>
              </w:divBdr>
              <w:divsChild>
                <w:div w:id="744255874">
                  <w:marLeft w:val="0"/>
                  <w:marRight w:val="0"/>
                  <w:marTop w:val="0"/>
                  <w:marBottom w:val="0"/>
                  <w:divBdr>
                    <w:top w:val="none" w:sz="0" w:space="0" w:color="auto"/>
                    <w:left w:val="none" w:sz="0" w:space="0" w:color="auto"/>
                    <w:bottom w:val="none" w:sz="0" w:space="0" w:color="auto"/>
                    <w:right w:val="none" w:sz="0" w:space="0" w:color="auto"/>
                  </w:divBdr>
                </w:div>
              </w:divsChild>
            </w:div>
            <w:div w:id="1181239409">
              <w:marLeft w:val="0"/>
              <w:marRight w:val="0"/>
              <w:marTop w:val="240"/>
              <w:marBottom w:val="0"/>
              <w:divBdr>
                <w:top w:val="none" w:sz="0" w:space="0" w:color="auto"/>
                <w:left w:val="none" w:sz="0" w:space="0" w:color="auto"/>
                <w:bottom w:val="none" w:sz="0" w:space="0" w:color="auto"/>
                <w:right w:val="none" w:sz="0" w:space="0" w:color="auto"/>
              </w:divBdr>
              <w:divsChild>
                <w:div w:id="2085832040">
                  <w:marLeft w:val="0"/>
                  <w:marRight w:val="0"/>
                  <w:marTop w:val="0"/>
                  <w:marBottom w:val="0"/>
                  <w:divBdr>
                    <w:top w:val="none" w:sz="0" w:space="0" w:color="auto"/>
                    <w:left w:val="none" w:sz="0" w:space="0" w:color="auto"/>
                    <w:bottom w:val="none" w:sz="0" w:space="0" w:color="auto"/>
                    <w:right w:val="none" w:sz="0" w:space="0" w:color="auto"/>
                  </w:divBdr>
                </w:div>
              </w:divsChild>
            </w:div>
            <w:div w:id="13951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56520">
      <w:bodyDiv w:val="1"/>
      <w:marLeft w:val="0"/>
      <w:marRight w:val="0"/>
      <w:marTop w:val="0"/>
      <w:marBottom w:val="0"/>
      <w:divBdr>
        <w:top w:val="none" w:sz="0" w:space="0" w:color="auto"/>
        <w:left w:val="none" w:sz="0" w:space="0" w:color="auto"/>
        <w:bottom w:val="none" w:sz="0" w:space="0" w:color="auto"/>
        <w:right w:val="none" w:sz="0" w:space="0" w:color="auto"/>
      </w:divBdr>
      <w:divsChild>
        <w:div w:id="635063126">
          <w:marLeft w:val="0"/>
          <w:marRight w:val="0"/>
          <w:marTop w:val="0"/>
          <w:marBottom w:val="0"/>
          <w:divBdr>
            <w:top w:val="none" w:sz="0" w:space="0" w:color="auto"/>
            <w:left w:val="single" w:sz="6" w:space="0" w:color="BBBBBB"/>
            <w:bottom w:val="single" w:sz="6" w:space="0" w:color="BBBBBB"/>
            <w:right w:val="single" w:sz="6" w:space="0" w:color="BBBBBB"/>
          </w:divBdr>
          <w:divsChild>
            <w:div w:id="1360275526">
              <w:marLeft w:val="0"/>
              <w:marRight w:val="0"/>
              <w:marTop w:val="0"/>
              <w:marBottom w:val="0"/>
              <w:divBdr>
                <w:top w:val="none" w:sz="0" w:space="0" w:color="auto"/>
                <w:left w:val="none" w:sz="0" w:space="0" w:color="auto"/>
                <w:bottom w:val="none" w:sz="0" w:space="0" w:color="auto"/>
                <w:right w:val="none" w:sz="0" w:space="0" w:color="auto"/>
              </w:divBdr>
              <w:divsChild>
                <w:div w:id="1172913855">
                  <w:marLeft w:val="0"/>
                  <w:marRight w:val="0"/>
                  <w:marTop w:val="0"/>
                  <w:marBottom w:val="0"/>
                  <w:divBdr>
                    <w:top w:val="none" w:sz="0" w:space="0" w:color="auto"/>
                    <w:left w:val="none" w:sz="0" w:space="0" w:color="auto"/>
                    <w:bottom w:val="none" w:sz="0" w:space="0" w:color="auto"/>
                    <w:right w:val="none" w:sz="0" w:space="0" w:color="auto"/>
                  </w:divBdr>
                  <w:divsChild>
                    <w:div w:id="940071170">
                      <w:marLeft w:val="0"/>
                      <w:marRight w:val="0"/>
                      <w:marTop w:val="0"/>
                      <w:marBottom w:val="0"/>
                      <w:divBdr>
                        <w:top w:val="none" w:sz="0" w:space="0" w:color="auto"/>
                        <w:left w:val="none" w:sz="0" w:space="0" w:color="auto"/>
                        <w:bottom w:val="none" w:sz="0" w:space="0" w:color="auto"/>
                        <w:right w:val="none" w:sz="0" w:space="0" w:color="auto"/>
                      </w:divBdr>
                      <w:divsChild>
                        <w:div w:id="236020130">
                          <w:marLeft w:val="0"/>
                          <w:marRight w:val="0"/>
                          <w:marTop w:val="0"/>
                          <w:marBottom w:val="0"/>
                          <w:divBdr>
                            <w:top w:val="none" w:sz="0" w:space="0" w:color="auto"/>
                            <w:left w:val="none" w:sz="0" w:space="0" w:color="auto"/>
                            <w:bottom w:val="none" w:sz="0" w:space="0" w:color="auto"/>
                            <w:right w:val="none" w:sz="0" w:space="0" w:color="auto"/>
                          </w:divBdr>
                          <w:divsChild>
                            <w:div w:id="897058797">
                              <w:marLeft w:val="0"/>
                              <w:marRight w:val="0"/>
                              <w:marTop w:val="0"/>
                              <w:marBottom w:val="0"/>
                              <w:divBdr>
                                <w:top w:val="none" w:sz="0" w:space="0" w:color="auto"/>
                                <w:left w:val="none" w:sz="0" w:space="0" w:color="auto"/>
                                <w:bottom w:val="none" w:sz="0" w:space="0" w:color="auto"/>
                                <w:right w:val="none" w:sz="0" w:space="0" w:color="auto"/>
                              </w:divBdr>
                              <w:divsChild>
                                <w:div w:id="2056733619">
                                  <w:marLeft w:val="0"/>
                                  <w:marRight w:val="0"/>
                                  <w:marTop w:val="0"/>
                                  <w:marBottom w:val="0"/>
                                  <w:divBdr>
                                    <w:top w:val="none" w:sz="0" w:space="0" w:color="auto"/>
                                    <w:left w:val="none" w:sz="0" w:space="0" w:color="auto"/>
                                    <w:bottom w:val="none" w:sz="0" w:space="0" w:color="auto"/>
                                    <w:right w:val="none" w:sz="0" w:space="0" w:color="auto"/>
                                  </w:divBdr>
                                  <w:divsChild>
                                    <w:div w:id="1322999134">
                                      <w:marLeft w:val="0"/>
                                      <w:marRight w:val="0"/>
                                      <w:marTop w:val="0"/>
                                      <w:marBottom w:val="0"/>
                                      <w:divBdr>
                                        <w:top w:val="none" w:sz="0" w:space="0" w:color="auto"/>
                                        <w:left w:val="none" w:sz="0" w:space="0" w:color="auto"/>
                                        <w:bottom w:val="none" w:sz="0" w:space="0" w:color="auto"/>
                                        <w:right w:val="none" w:sz="0" w:space="0" w:color="auto"/>
                                      </w:divBdr>
                                      <w:divsChild>
                                        <w:div w:id="1537812605">
                                          <w:marLeft w:val="1200"/>
                                          <w:marRight w:val="1200"/>
                                          <w:marTop w:val="0"/>
                                          <w:marBottom w:val="0"/>
                                          <w:divBdr>
                                            <w:top w:val="none" w:sz="0" w:space="0" w:color="auto"/>
                                            <w:left w:val="none" w:sz="0" w:space="0" w:color="auto"/>
                                            <w:bottom w:val="none" w:sz="0" w:space="0" w:color="auto"/>
                                            <w:right w:val="none" w:sz="0" w:space="0" w:color="auto"/>
                                          </w:divBdr>
                                          <w:divsChild>
                                            <w:div w:id="199630889">
                                              <w:marLeft w:val="0"/>
                                              <w:marRight w:val="0"/>
                                              <w:marTop w:val="0"/>
                                              <w:marBottom w:val="0"/>
                                              <w:divBdr>
                                                <w:top w:val="none" w:sz="0" w:space="0" w:color="auto"/>
                                                <w:left w:val="none" w:sz="0" w:space="0" w:color="auto"/>
                                                <w:bottom w:val="none" w:sz="0" w:space="0" w:color="auto"/>
                                                <w:right w:val="none" w:sz="0" w:space="0" w:color="auto"/>
                                              </w:divBdr>
                                              <w:divsChild>
                                                <w:div w:id="1307319839">
                                                  <w:marLeft w:val="0"/>
                                                  <w:marRight w:val="0"/>
                                                  <w:marTop w:val="0"/>
                                                  <w:marBottom w:val="0"/>
                                                  <w:divBdr>
                                                    <w:top w:val="none" w:sz="0" w:space="0" w:color="auto"/>
                                                    <w:left w:val="none" w:sz="0" w:space="0" w:color="auto"/>
                                                    <w:bottom w:val="none" w:sz="0" w:space="0" w:color="auto"/>
                                                    <w:right w:val="none" w:sz="0" w:space="0" w:color="auto"/>
                                                  </w:divBdr>
                                                  <w:divsChild>
                                                    <w:div w:id="1584682235">
                                                      <w:marLeft w:val="0"/>
                                                      <w:marRight w:val="0"/>
                                                      <w:marTop w:val="0"/>
                                                      <w:marBottom w:val="0"/>
                                                      <w:divBdr>
                                                        <w:top w:val="none" w:sz="0" w:space="0" w:color="auto"/>
                                                        <w:left w:val="none" w:sz="0" w:space="0" w:color="auto"/>
                                                        <w:bottom w:val="none" w:sz="0" w:space="0" w:color="auto"/>
                                                        <w:right w:val="none" w:sz="0" w:space="0" w:color="auto"/>
                                                      </w:divBdr>
                                                      <w:divsChild>
                                                        <w:div w:id="1846751334">
                                                          <w:marLeft w:val="0"/>
                                                          <w:marRight w:val="0"/>
                                                          <w:marTop w:val="0"/>
                                                          <w:marBottom w:val="0"/>
                                                          <w:divBdr>
                                                            <w:top w:val="none" w:sz="0" w:space="0" w:color="auto"/>
                                                            <w:left w:val="none" w:sz="0" w:space="0" w:color="auto"/>
                                                            <w:bottom w:val="none" w:sz="0" w:space="0" w:color="auto"/>
                                                            <w:right w:val="none" w:sz="0" w:space="0" w:color="auto"/>
                                                          </w:divBdr>
                                                          <w:divsChild>
                                                            <w:div w:id="275136329">
                                                              <w:marLeft w:val="0"/>
                                                              <w:marRight w:val="0"/>
                                                              <w:marTop w:val="0"/>
                                                              <w:marBottom w:val="0"/>
                                                              <w:divBdr>
                                                                <w:top w:val="none" w:sz="0" w:space="0" w:color="auto"/>
                                                                <w:left w:val="none" w:sz="0" w:space="0" w:color="auto"/>
                                                                <w:bottom w:val="none" w:sz="0" w:space="0" w:color="auto"/>
                                                                <w:right w:val="none" w:sz="0" w:space="0" w:color="auto"/>
                                                              </w:divBdr>
                                                              <w:divsChild>
                                                                <w:div w:id="1380400253">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0"/>
                                                                      <w:divBdr>
                                                                        <w:top w:val="none" w:sz="0" w:space="0" w:color="auto"/>
                                                                        <w:left w:val="none" w:sz="0" w:space="0" w:color="auto"/>
                                                                        <w:bottom w:val="none" w:sz="0" w:space="0" w:color="auto"/>
                                                                        <w:right w:val="none" w:sz="0" w:space="0" w:color="auto"/>
                                                                      </w:divBdr>
                                                                      <w:divsChild>
                                                                        <w:div w:id="916942917">
                                                                          <w:marLeft w:val="0"/>
                                                                          <w:marRight w:val="0"/>
                                                                          <w:marTop w:val="0"/>
                                                                          <w:marBottom w:val="0"/>
                                                                          <w:divBdr>
                                                                            <w:top w:val="none" w:sz="0" w:space="0" w:color="auto"/>
                                                                            <w:left w:val="none" w:sz="0" w:space="0" w:color="auto"/>
                                                                            <w:bottom w:val="none" w:sz="0" w:space="0" w:color="auto"/>
                                                                            <w:right w:val="none" w:sz="0" w:space="0" w:color="auto"/>
                                                                          </w:divBdr>
                                                                          <w:divsChild>
                                                                            <w:div w:id="2142336910">
                                                                              <w:marLeft w:val="0"/>
                                                                              <w:marRight w:val="0"/>
                                                                              <w:marTop w:val="0"/>
                                                                              <w:marBottom w:val="0"/>
                                                                              <w:divBdr>
                                                                                <w:top w:val="none" w:sz="0" w:space="0" w:color="auto"/>
                                                                                <w:left w:val="none" w:sz="0" w:space="0" w:color="auto"/>
                                                                                <w:bottom w:val="none" w:sz="0" w:space="0" w:color="auto"/>
                                                                                <w:right w:val="none" w:sz="0" w:space="0" w:color="auto"/>
                                                                              </w:divBdr>
                                                                            </w:div>
                                                                          </w:divsChild>
                                                                        </w:div>
                                                                        <w:div w:id="1216700193">
                                                                          <w:marLeft w:val="0"/>
                                                                          <w:marRight w:val="0"/>
                                                                          <w:marTop w:val="0"/>
                                                                          <w:marBottom w:val="0"/>
                                                                          <w:divBdr>
                                                                            <w:top w:val="none" w:sz="0" w:space="0" w:color="auto"/>
                                                                            <w:left w:val="none" w:sz="0" w:space="0" w:color="auto"/>
                                                                            <w:bottom w:val="none" w:sz="0" w:space="0" w:color="auto"/>
                                                                            <w:right w:val="none" w:sz="0" w:space="0" w:color="auto"/>
                                                                          </w:divBdr>
                                                                          <w:divsChild>
                                                                            <w:div w:id="832842827">
                                                                              <w:marLeft w:val="0"/>
                                                                              <w:marRight w:val="0"/>
                                                                              <w:marTop w:val="0"/>
                                                                              <w:marBottom w:val="0"/>
                                                                              <w:divBdr>
                                                                                <w:top w:val="none" w:sz="0" w:space="0" w:color="auto"/>
                                                                                <w:left w:val="none" w:sz="0" w:space="0" w:color="auto"/>
                                                                                <w:bottom w:val="none" w:sz="0" w:space="0" w:color="auto"/>
                                                                                <w:right w:val="none" w:sz="0" w:space="0" w:color="auto"/>
                                                                              </w:divBdr>
                                                                            </w:div>
                                                                          </w:divsChild>
                                                                        </w:div>
                                                                        <w:div w:id="1284658288">
                                                                          <w:marLeft w:val="0"/>
                                                                          <w:marRight w:val="0"/>
                                                                          <w:marTop w:val="0"/>
                                                                          <w:marBottom w:val="0"/>
                                                                          <w:divBdr>
                                                                            <w:top w:val="none" w:sz="0" w:space="0" w:color="auto"/>
                                                                            <w:left w:val="none" w:sz="0" w:space="0" w:color="auto"/>
                                                                            <w:bottom w:val="none" w:sz="0" w:space="0" w:color="auto"/>
                                                                            <w:right w:val="none" w:sz="0" w:space="0" w:color="auto"/>
                                                                          </w:divBdr>
                                                                          <w:divsChild>
                                                                            <w:div w:id="291643703">
                                                                              <w:marLeft w:val="0"/>
                                                                              <w:marRight w:val="0"/>
                                                                              <w:marTop w:val="0"/>
                                                                              <w:marBottom w:val="0"/>
                                                                              <w:divBdr>
                                                                                <w:top w:val="none" w:sz="0" w:space="0" w:color="auto"/>
                                                                                <w:left w:val="none" w:sz="0" w:space="0" w:color="auto"/>
                                                                                <w:bottom w:val="none" w:sz="0" w:space="0" w:color="auto"/>
                                                                                <w:right w:val="none" w:sz="0" w:space="0" w:color="auto"/>
                                                                              </w:divBdr>
                                                                            </w:div>
                                                                          </w:divsChild>
                                                                        </w:div>
                                                                        <w:div w:id="1471023396">
                                                                          <w:marLeft w:val="0"/>
                                                                          <w:marRight w:val="0"/>
                                                                          <w:marTop w:val="0"/>
                                                                          <w:marBottom w:val="0"/>
                                                                          <w:divBdr>
                                                                            <w:top w:val="none" w:sz="0" w:space="0" w:color="auto"/>
                                                                            <w:left w:val="none" w:sz="0" w:space="0" w:color="auto"/>
                                                                            <w:bottom w:val="none" w:sz="0" w:space="0" w:color="auto"/>
                                                                            <w:right w:val="none" w:sz="0" w:space="0" w:color="auto"/>
                                                                          </w:divBdr>
                                                                          <w:divsChild>
                                                                            <w:div w:id="626161464">
                                                                              <w:marLeft w:val="0"/>
                                                                              <w:marRight w:val="0"/>
                                                                              <w:marTop w:val="0"/>
                                                                              <w:marBottom w:val="0"/>
                                                                              <w:divBdr>
                                                                                <w:top w:val="none" w:sz="0" w:space="0" w:color="auto"/>
                                                                                <w:left w:val="none" w:sz="0" w:space="0" w:color="auto"/>
                                                                                <w:bottom w:val="none" w:sz="0" w:space="0" w:color="auto"/>
                                                                                <w:right w:val="none" w:sz="0" w:space="0" w:color="auto"/>
                                                                              </w:divBdr>
                                                                            </w:div>
                                                                          </w:divsChild>
                                                                        </w:div>
                                                                        <w:div w:id="1475369830">
                                                                          <w:marLeft w:val="0"/>
                                                                          <w:marRight w:val="0"/>
                                                                          <w:marTop w:val="0"/>
                                                                          <w:marBottom w:val="0"/>
                                                                          <w:divBdr>
                                                                            <w:top w:val="none" w:sz="0" w:space="0" w:color="auto"/>
                                                                            <w:left w:val="none" w:sz="0" w:space="0" w:color="auto"/>
                                                                            <w:bottom w:val="none" w:sz="0" w:space="0" w:color="auto"/>
                                                                            <w:right w:val="none" w:sz="0" w:space="0" w:color="auto"/>
                                                                          </w:divBdr>
                                                                          <w:divsChild>
                                                                            <w:div w:id="206753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8604589">
      <w:bodyDiv w:val="1"/>
      <w:marLeft w:val="0"/>
      <w:marRight w:val="0"/>
      <w:marTop w:val="0"/>
      <w:marBottom w:val="0"/>
      <w:divBdr>
        <w:top w:val="none" w:sz="0" w:space="0" w:color="auto"/>
        <w:left w:val="none" w:sz="0" w:space="0" w:color="auto"/>
        <w:bottom w:val="none" w:sz="0" w:space="0" w:color="auto"/>
        <w:right w:val="none" w:sz="0" w:space="0" w:color="auto"/>
      </w:divBdr>
    </w:div>
    <w:div w:id="1011033001">
      <w:bodyDiv w:val="1"/>
      <w:marLeft w:val="0"/>
      <w:marRight w:val="0"/>
      <w:marTop w:val="0"/>
      <w:marBottom w:val="0"/>
      <w:divBdr>
        <w:top w:val="none" w:sz="0" w:space="0" w:color="auto"/>
        <w:left w:val="none" w:sz="0" w:space="0" w:color="auto"/>
        <w:bottom w:val="none" w:sz="0" w:space="0" w:color="auto"/>
        <w:right w:val="none" w:sz="0" w:space="0" w:color="auto"/>
      </w:divBdr>
      <w:divsChild>
        <w:div w:id="1301420592">
          <w:marLeft w:val="0"/>
          <w:marRight w:val="0"/>
          <w:marTop w:val="0"/>
          <w:marBottom w:val="0"/>
          <w:divBdr>
            <w:top w:val="none" w:sz="0" w:space="0" w:color="auto"/>
            <w:left w:val="none" w:sz="0" w:space="0" w:color="auto"/>
            <w:bottom w:val="none" w:sz="0" w:space="0" w:color="auto"/>
            <w:right w:val="none" w:sz="0" w:space="0" w:color="auto"/>
          </w:divBdr>
          <w:divsChild>
            <w:div w:id="1661082134">
              <w:marLeft w:val="0"/>
              <w:marRight w:val="0"/>
              <w:marTop w:val="0"/>
              <w:marBottom w:val="0"/>
              <w:divBdr>
                <w:top w:val="none" w:sz="0" w:space="0" w:color="auto"/>
                <w:left w:val="none" w:sz="0" w:space="0" w:color="auto"/>
                <w:bottom w:val="none" w:sz="0" w:space="0" w:color="auto"/>
                <w:right w:val="none" w:sz="0" w:space="0" w:color="auto"/>
              </w:divBdr>
              <w:divsChild>
                <w:div w:id="2126194396">
                  <w:marLeft w:val="0"/>
                  <w:marRight w:val="0"/>
                  <w:marTop w:val="0"/>
                  <w:marBottom w:val="0"/>
                  <w:divBdr>
                    <w:top w:val="none" w:sz="0" w:space="0" w:color="auto"/>
                    <w:left w:val="none" w:sz="0" w:space="0" w:color="auto"/>
                    <w:bottom w:val="none" w:sz="0" w:space="0" w:color="auto"/>
                    <w:right w:val="none" w:sz="0" w:space="0" w:color="auto"/>
                  </w:divBdr>
                  <w:divsChild>
                    <w:div w:id="241184871">
                      <w:marLeft w:val="0"/>
                      <w:marRight w:val="0"/>
                      <w:marTop w:val="0"/>
                      <w:marBottom w:val="375"/>
                      <w:divBdr>
                        <w:top w:val="none" w:sz="0" w:space="0" w:color="auto"/>
                        <w:left w:val="none" w:sz="0" w:space="0" w:color="auto"/>
                        <w:bottom w:val="none" w:sz="0" w:space="0" w:color="auto"/>
                        <w:right w:val="none" w:sz="0" w:space="0" w:color="auto"/>
                      </w:divBdr>
                      <w:divsChild>
                        <w:div w:id="4711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224426">
      <w:bodyDiv w:val="1"/>
      <w:marLeft w:val="0"/>
      <w:marRight w:val="0"/>
      <w:marTop w:val="0"/>
      <w:marBottom w:val="0"/>
      <w:divBdr>
        <w:top w:val="none" w:sz="0" w:space="0" w:color="auto"/>
        <w:left w:val="none" w:sz="0" w:space="0" w:color="auto"/>
        <w:bottom w:val="none" w:sz="0" w:space="0" w:color="auto"/>
        <w:right w:val="none" w:sz="0" w:space="0" w:color="auto"/>
      </w:divBdr>
      <w:divsChild>
        <w:div w:id="587344216">
          <w:marLeft w:val="0"/>
          <w:marRight w:val="0"/>
          <w:marTop w:val="0"/>
          <w:marBottom w:val="0"/>
          <w:divBdr>
            <w:top w:val="none" w:sz="0" w:space="0" w:color="auto"/>
            <w:left w:val="single" w:sz="6" w:space="0" w:color="BBBBBB"/>
            <w:bottom w:val="single" w:sz="6" w:space="0" w:color="BBBBBB"/>
            <w:right w:val="single" w:sz="6" w:space="0" w:color="BBBBBB"/>
          </w:divBdr>
          <w:divsChild>
            <w:div w:id="726143985">
              <w:marLeft w:val="0"/>
              <w:marRight w:val="0"/>
              <w:marTop w:val="0"/>
              <w:marBottom w:val="0"/>
              <w:divBdr>
                <w:top w:val="none" w:sz="0" w:space="0" w:color="auto"/>
                <w:left w:val="none" w:sz="0" w:space="0" w:color="auto"/>
                <w:bottom w:val="none" w:sz="0" w:space="0" w:color="auto"/>
                <w:right w:val="none" w:sz="0" w:space="0" w:color="auto"/>
              </w:divBdr>
              <w:divsChild>
                <w:div w:id="1931041726">
                  <w:marLeft w:val="0"/>
                  <w:marRight w:val="0"/>
                  <w:marTop w:val="0"/>
                  <w:marBottom w:val="0"/>
                  <w:divBdr>
                    <w:top w:val="none" w:sz="0" w:space="0" w:color="auto"/>
                    <w:left w:val="none" w:sz="0" w:space="0" w:color="auto"/>
                    <w:bottom w:val="none" w:sz="0" w:space="0" w:color="auto"/>
                    <w:right w:val="none" w:sz="0" w:space="0" w:color="auto"/>
                  </w:divBdr>
                  <w:divsChild>
                    <w:div w:id="268661411">
                      <w:marLeft w:val="0"/>
                      <w:marRight w:val="0"/>
                      <w:marTop w:val="0"/>
                      <w:marBottom w:val="0"/>
                      <w:divBdr>
                        <w:top w:val="none" w:sz="0" w:space="0" w:color="auto"/>
                        <w:left w:val="none" w:sz="0" w:space="0" w:color="auto"/>
                        <w:bottom w:val="none" w:sz="0" w:space="0" w:color="auto"/>
                        <w:right w:val="none" w:sz="0" w:space="0" w:color="auto"/>
                      </w:divBdr>
                      <w:divsChild>
                        <w:div w:id="1069041950">
                          <w:marLeft w:val="0"/>
                          <w:marRight w:val="0"/>
                          <w:marTop w:val="0"/>
                          <w:marBottom w:val="0"/>
                          <w:divBdr>
                            <w:top w:val="none" w:sz="0" w:space="0" w:color="auto"/>
                            <w:left w:val="none" w:sz="0" w:space="0" w:color="auto"/>
                            <w:bottom w:val="none" w:sz="0" w:space="0" w:color="auto"/>
                            <w:right w:val="none" w:sz="0" w:space="0" w:color="auto"/>
                          </w:divBdr>
                          <w:divsChild>
                            <w:div w:id="1134638219">
                              <w:marLeft w:val="0"/>
                              <w:marRight w:val="0"/>
                              <w:marTop w:val="0"/>
                              <w:marBottom w:val="0"/>
                              <w:divBdr>
                                <w:top w:val="none" w:sz="0" w:space="0" w:color="auto"/>
                                <w:left w:val="none" w:sz="0" w:space="0" w:color="auto"/>
                                <w:bottom w:val="none" w:sz="0" w:space="0" w:color="auto"/>
                                <w:right w:val="none" w:sz="0" w:space="0" w:color="auto"/>
                              </w:divBdr>
                              <w:divsChild>
                                <w:div w:id="553925941">
                                  <w:marLeft w:val="0"/>
                                  <w:marRight w:val="0"/>
                                  <w:marTop w:val="0"/>
                                  <w:marBottom w:val="0"/>
                                  <w:divBdr>
                                    <w:top w:val="none" w:sz="0" w:space="0" w:color="auto"/>
                                    <w:left w:val="none" w:sz="0" w:space="0" w:color="auto"/>
                                    <w:bottom w:val="none" w:sz="0" w:space="0" w:color="auto"/>
                                    <w:right w:val="none" w:sz="0" w:space="0" w:color="auto"/>
                                  </w:divBdr>
                                  <w:divsChild>
                                    <w:div w:id="195197044">
                                      <w:marLeft w:val="0"/>
                                      <w:marRight w:val="0"/>
                                      <w:marTop w:val="0"/>
                                      <w:marBottom w:val="0"/>
                                      <w:divBdr>
                                        <w:top w:val="none" w:sz="0" w:space="0" w:color="auto"/>
                                        <w:left w:val="none" w:sz="0" w:space="0" w:color="auto"/>
                                        <w:bottom w:val="none" w:sz="0" w:space="0" w:color="auto"/>
                                        <w:right w:val="none" w:sz="0" w:space="0" w:color="auto"/>
                                      </w:divBdr>
                                      <w:divsChild>
                                        <w:div w:id="294142083">
                                          <w:marLeft w:val="1200"/>
                                          <w:marRight w:val="1200"/>
                                          <w:marTop w:val="0"/>
                                          <w:marBottom w:val="0"/>
                                          <w:divBdr>
                                            <w:top w:val="none" w:sz="0" w:space="0" w:color="auto"/>
                                            <w:left w:val="none" w:sz="0" w:space="0" w:color="auto"/>
                                            <w:bottom w:val="none" w:sz="0" w:space="0" w:color="auto"/>
                                            <w:right w:val="none" w:sz="0" w:space="0" w:color="auto"/>
                                          </w:divBdr>
                                          <w:divsChild>
                                            <w:div w:id="1072702350">
                                              <w:marLeft w:val="0"/>
                                              <w:marRight w:val="0"/>
                                              <w:marTop w:val="0"/>
                                              <w:marBottom w:val="0"/>
                                              <w:divBdr>
                                                <w:top w:val="none" w:sz="0" w:space="0" w:color="auto"/>
                                                <w:left w:val="none" w:sz="0" w:space="0" w:color="auto"/>
                                                <w:bottom w:val="none" w:sz="0" w:space="0" w:color="auto"/>
                                                <w:right w:val="none" w:sz="0" w:space="0" w:color="auto"/>
                                              </w:divBdr>
                                              <w:divsChild>
                                                <w:div w:id="1745905786">
                                                  <w:marLeft w:val="0"/>
                                                  <w:marRight w:val="0"/>
                                                  <w:marTop w:val="0"/>
                                                  <w:marBottom w:val="0"/>
                                                  <w:divBdr>
                                                    <w:top w:val="none" w:sz="0" w:space="0" w:color="auto"/>
                                                    <w:left w:val="none" w:sz="0" w:space="0" w:color="auto"/>
                                                    <w:bottom w:val="none" w:sz="0" w:space="0" w:color="auto"/>
                                                    <w:right w:val="none" w:sz="0" w:space="0" w:color="auto"/>
                                                  </w:divBdr>
                                                  <w:divsChild>
                                                    <w:div w:id="359361363">
                                                      <w:marLeft w:val="0"/>
                                                      <w:marRight w:val="0"/>
                                                      <w:marTop w:val="0"/>
                                                      <w:marBottom w:val="0"/>
                                                      <w:divBdr>
                                                        <w:top w:val="none" w:sz="0" w:space="0" w:color="auto"/>
                                                        <w:left w:val="none" w:sz="0" w:space="0" w:color="auto"/>
                                                        <w:bottom w:val="none" w:sz="0" w:space="0" w:color="auto"/>
                                                        <w:right w:val="none" w:sz="0" w:space="0" w:color="auto"/>
                                                      </w:divBdr>
                                                      <w:divsChild>
                                                        <w:div w:id="1554735018">
                                                          <w:marLeft w:val="0"/>
                                                          <w:marRight w:val="0"/>
                                                          <w:marTop w:val="0"/>
                                                          <w:marBottom w:val="0"/>
                                                          <w:divBdr>
                                                            <w:top w:val="none" w:sz="0" w:space="0" w:color="auto"/>
                                                            <w:left w:val="none" w:sz="0" w:space="0" w:color="auto"/>
                                                            <w:bottom w:val="none" w:sz="0" w:space="0" w:color="auto"/>
                                                            <w:right w:val="none" w:sz="0" w:space="0" w:color="auto"/>
                                                          </w:divBdr>
                                                          <w:divsChild>
                                                            <w:div w:id="757097211">
                                                              <w:marLeft w:val="0"/>
                                                              <w:marRight w:val="0"/>
                                                              <w:marTop w:val="0"/>
                                                              <w:marBottom w:val="0"/>
                                                              <w:divBdr>
                                                                <w:top w:val="none" w:sz="0" w:space="0" w:color="auto"/>
                                                                <w:left w:val="none" w:sz="0" w:space="0" w:color="auto"/>
                                                                <w:bottom w:val="none" w:sz="0" w:space="0" w:color="auto"/>
                                                                <w:right w:val="none" w:sz="0" w:space="0" w:color="auto"/>
                                                              </w:divBdr>
                                                              <w:divsChild>
                                                                <w:div w:id="379937336">
                                                                  <w:marLeft w:val="0"/>
                                                                  <w:marRight w:val="0"/>
                                                                  <w:marTop w:val="0"/>
                                                                  <w:marBottom w:val="0"/>
                                                                  <w:divBdr>
                                                                    <w:top w:val="none" w:sz="0" w:space="0" w:color="auto"/>
                                                                    <w:left w:val="none" w:sz="0" w:space="0" w:color="auto"/>
                                                                    <w:bottom w:val="none" w:sz="0" w:space="0" w:color="auto"/>
                                                                    <w:right w:val="none" w:sz="0" w:space="0" w:color="auto"/>
                                                                  </w:divBdr>
                                                                  <w:divsChild>
                                                                    <w:div w:id="1336573715">
                                                                      <w:marLeft w:val="0"/>
                                                                      <w:marRight w:val="0"/>
                                                                      <w:marTop w:val="0"/>
                                                                      <w:marBottom w:val="0"/>
                                                                      <w:divBdr>
                                                                        <w:top w:val="none" w:sz="0" w:space="0" w:color="auto"/>
                                                                        <w:left w:val="none" w:sz="0" w:space="0" w:color="auto"/>
                                                                        <w:bottom w:val="none" w:sz="0" w:space="0" w:color="auto"/>
                                                                        <w:right w:val="none" w:sz="0" w:space="0" w:color="auto"/>
                                                                      </w:divBdr>
                                                                      <w:divsChild>
                                                                        <w:div w:id="261184644">
                                                                          <w:marLeft w:val="0"/>
                                                                          <w:marRight w:val="0"/>
                                                                          <w:marTop w:val="0"/>
                                                                          <w:marBottom w:val="0"/>
                                                                          <w:divBdr>
                                                                            <w:top w:val="none" w:sz="0" w:space="0" w:color="auto"/>
                                                                            <w:left w:val="none" w:sz="0" w:space="0" w:color="auto"/>
                                                                            <w:bottom w:val="none" w:sz="0" w:space="0" w:color="auto"/>
                                                                            <w:right w:val="none" w:sz="0" w:space="0" w:color="auto"/>
                                                                          </w:divBdr>
                                                                        </w:div>
                                                                      </w:divsChild>
                                                                    </w:div>
                                                                    <w:div w:id="1825271165">
                                                                      <w:marLeft w:val="0"/>
                                                                      <w:marRight w:val="0"/>
                                                                      <w:marTop w:val="0"/>
                                                                      <w:marBottom w:val="0"/>
                                                                      <w:divBdr>
                                                                        <w:top w:val="none" w:sz="0" w:space="0" w:color="auto"/>
                                                                        <w:left w:val="none" w:sz="0" w:space="0" w:color="auto"/>
                                                                        <w:bottom w:val="none" w:sz="0" w:space="0" w:color="auto"/>
                                                                        <w:right w:val="none" w:sz="0" w:space="0" w:color="auto"/>
                                                                      </w:divBdr>
                                                                      <w:divsChild>
                                                                        <w:div w:id="534775624">
                                                                          <w:marLeft w:val="0"/>
                                                                          <w:marRight w:val="0"/>
                                                                          <w:marTop w:val="0"/>
                                                                          <w:marBottom w:val="0"/>
                                                                          <w:divBdr>
                                                                            <w:top w:val="none" w:sz="0" w:space="0" w:color="auto"/>
                                                                            <w:left w:val="none" w:sz="0" w:space="0" w:color="auto"/>
                                                                            <w:bottom w:val="none" w:sz="0" w:space="0" w:color="auto"/>
                                                                            <w:right w:val="none" w:sz="0" w:space="0" w:color="auto"/>
                                                                          </w:divBdr>
                                                                        </w:div>
                                                                      </w:divsChild>
                                                                    </w:div>
                                                                    <w:div w:id="1887839078">
                                                                      <w:marLeft w:val="0"/>
                                                                      <w:marRight w:val="0"/>
                                                                      <w:marTop w:val="0"/>
                                                                      <w:marBottom w:val="0"/>
                                                                      <w:divBdr>
                                                                        <w:top w:val="none" w:sz="0" w:space="0" w:color="auto"/>
                                                                        <w:left w:val="none" w:sz="0" w:space="0" w:color="auto"/>
                                                                        <w:bottom w:val="none" w:sz="0" w:space="0" w:color="auto"/>
                                                                        <w:right w:val="none" w:sz="0" w:space="0" w:color="auto"/>
                                                                      </w:divBdr>
                                                                      <w:divsChild>
                                                                        <w:div w:id="90514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1417882">
      <w:bodyDiv w:val="1"/>
      <w:marLeft w:val="0"/>
      <w:marRight w:val="0"/>
      <w:marTop w:val="0"/>
      <w:marBottom w:val="0"/>
      <w:divBdr>
        <w:top w:val="none" w:sz="0" w:space="0" w:color="auto"/>
        <w:left w:val="none" w:sz="0" w:space="0" w:color="auto"/>
        <w:bottom w:val="none" w:sz="0" w:space="0" w:color="auto"/>
        <w:right w:val="none" w:sz="0" w:space="0" w:color="auto"/>
      </w:divBdr>
      <w:divsChild>
        <w:div w:id="1022123810">
          <w:marLeft w:val="0"/>
          <w:marRight w:val="0"/>
          <w:marTop w:val="0"/>
          <w:marBottom w:val="0"/>
          <w:divBdr>
            <w:top w:val="none" w:sz="0" w:space="0" w:color="auto"/>
            <w:left w:val="none" w:sz="0" w:space="0" w:color="auto"/>
            <w:bottom w:val="none" w:sz="0" w:space="0" w:color="auto"/>
            <w:right w:val="none" w:sz="0" w:space="0" w:color="auto"/>
          </w:divBdr>
          <w:divsChild>
            <w:div w:id="148593682">
              <w:marLeft w:val="0"/>
              <w:marRight w:val="0"/>
              <w:marTop w:val="0"/>
              <w:marBottom w:val="0"/>
              <w:divBdr>
                <w:top w:val="none" w:sz="0" w:space="0" w:color="auto"/>
                <w:left w:val="none" w:sz="0" w:space="0" w:color="auto"/>
                <w:bottom w:val="none" w:sz="0" w:space="0" w:color="auto"/>
                <w:right w:val="none" w:sz="0" w:space="0" w:color="auto"/>
              </w:divBdr>
              <w:divsChild>
                <w:div w:id="1999918526">
                  <w:marLeft w:val="0"/>
                  <w:marRight w:val="0"/>
                  <w:marTop w:val="0"/>
                  <w:marBottom w:val="0"/>
                  <w:divBdr>
                    <w:top w:val="none" w:sz="0" w:space="0" w:color="auto"/>
                    <w:left w:val="none" w:sz="0" w:space="0" w:color="auto"/>
                    <w:bottom w:val="none" w:sz="0" w:space="0" w:color="auto"/>
                    <w:right w:val="none" w:sz="0" w:space="0" w:color="auto"/>
                  </w:divBdr>
                  <w:divsChild>
                    <w:div w:id="545022285">
                      <w:marLeft w:val="0"/>
                      <w:marRight w:val="0"/>
                      <w:marTop w:val="0"/>
                      <w:marBottom w:val="375"/>
                      <w:divBdr>
                        <w:top w:val="none" w:sz="0" w:space="0" w:color="auto"/>
                        <w:left w:val="none" w:sz="0" w:space="0" w:color="auto"/>
                        <w:bottom w:val="none" w:sz="0" w:space="0" w:color="auto"/>
                        <w:right w:val="none" w:sz="0" w:space="0" w:color="auto"/>
                      </w:divBdr>
                      <w:divsChild>
                        <w:div w:id="11264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12322">
      <w:bodyDiv w:val="1"/>
      <w:marLeft w:val="0"/>
      <w:marRight w:val="0"/>
      <w:marTop w:val="0"/>
      <w:marBottom w:val="0"/>
      <w:divBdr>
        <w:top w:val="none" w:sz="0" w:space="0" w:color="auto"/>
        <w:left w:val="none" w:sz="0" w:space="0" w:color="auto"/>
        <w:bottom w:val="none" w:sz="0" w:space="0" w:color="auto"/>
        <w:right w:val="none" w:sz="0" w:space="0" w:color="auto"/>
      </w:divBdr>
      <w:divsChild>
        <w:div w:id="1789396987">
          <w:marLeft w:val="0"/>
          <w:marRight w:val="0"/>
          <w:marTop w:val="0"/>
          <w:marBottom w:val="0"/>
          <w:divBdr>
            <w:top w:val="none" w:sz="0" w:space="0" w:color="auto"/>
            <w:left w:val="single" w:sz="6" w:space="0" w:color="BBBBBB"/>
            <w:bottom w:val="single" w:sz="6" w:space="0" w:color="BBBBBB"/>
            <w:right w:val="single" w:sz="6" w:space="0" w:color="BBBBBB"/>
          </w:divBdr>
          <w:divsChild>
            <w:div w:id="1271624691">
              <w:marLeft w:val="0"/>
              <w:marRight w:val="0"/>
              <w:marTop w:val="0"/>
              <w:marBottom w:val="0"/>
              <w:divBdr>
                <w:top w:val="none" w:sz="0" w:space="0" w:color="auto"/>
                <w:left w:val="none" w:sz="0" w:space="0" w:color="auto"/>
                <w:bottom w:val="none" w:sz="0" w:space="0" w:color="auto"/>
                <w:right w:val="none" w:sz="0" w:space="0" w:color="auto"/>
              </w:divBdr>
              <w:divsChild>
                <w:div w:id="788163937">
                  <w:marLeft w:val="0"/>
                  <w:marRight w:val="0"/>
                  <w:marTop w:val="75"/>
                  <w:marBottom w:val="0"/>
                  <w:divBdr>
                    <w:top w:val="none" w:sz="0" w:space="0" w:color="auto"/>
                    <w:left w:val="none" w:sz="0" w:space="0" w:color="auto"/>
                    <w:bottom w:val="none" w:sz="0" w:space="0" w:color="auto"/>
                    <w:right w:val="none" w:sz="0" w:space="0" w:color="auto"/>
                  </w:divBdr>
                  <w:divsChild>
                    <w:div w:id="1536769927">
                      <w:marLeft w:val="0"/>
                      <w:marRight w:val="0"/>
                      <w:marTop w:val="0"/>
                      <w:marBottom w:val="0"/>
                      <w:divBdr>
                        <w:top w:val="none" w:sz="0" w:space="0" w:color="auto"/>
                        <w:left w:val="none" w:sz="0" w:space="0" w:color="auto"/>
                        <w:bottom w:val="none" w:sz="0" w:space="0" w:color="auto"/>
                        <w:right w:val="none" w:sz="0" w:space="0" w:color="auto"/>
                      </w:divBdr>
                      <w:divsChild>
                        <w:div w:id="1476409604">
                          <w:marLeft w:val="0"/>
                          <w:marRight w:val="0"/>
                          <w:marTop w:val="0"/>
                          <w:marBottom w:val="0"/>
                          <w:divBdr>
                            <w:top w:val="none" w:sz="0" w:space="0" w:color="auto"/>
                            <w:left w:val="none" w:sz="0" w:space="0" w:color="auto"/>
                            <w:bottom w:val="none" w:sz="0" w:space="0" w:color="auto"/>
                            <w:right w:val="none" w:sz="0" w:space="0" w:color="auto"/>
                          </w:divBdr>
                          <w:divsChild>
                            <w:div w:id="1244215435">
                              <w:marLeft w:val="0"/>
                              <w:marRight w:val="0"/>
                              <w:marTop w:val="0"/>
                              <w:marBottom w:val="0"/>
                              <w:divBdr>
                                <w:top w:val="none" w:sz="0" w:space="0" w:color="auto"/>
                                <w:left w:val="none" w:sz="0" w:space="0" w:color="auto"/>
                                <w:bottom w:val="none" w:sz="0" w:space="0" w:color="auto"/>
                                <w:right w:val="none" w:sz="0" w:space="0" w:color="auto"/>
                              </w:divBdr>
                              <w:divsChild>
                                <w:div w:id="1208033578">
                                  <w:marLeft w:val="0"/>
                                  <w:marRight w:val="0"/>
                                  <w:marTop w:val="0"/>
                                  <w:marBottom w:val="0"/>
                                  <w:divBdr>
                                    <w:top w:val="none" w:sz="0" w:space="0" w:color="auto"/>
                                    <w:left w:val="none" w:sz="0" w:space="0" w:color="auto"/>
                                    <w:bottom w:val="none" w:sz="0" w:space="0" w:color="auto"/>
                                    <w:right w:val="none" w:sz="0" w:space="0" w:color="auto"/>
                                  </w:divBdr>
                                  <w:divsChild>
                                    <w:div w:id="1262909083">
                                      <w:marLeft w:val="0"/>
                                      <w:marRight w:val="0"/>
                                      <w:marTop w:val="0"/>
                                      <w:marBottom w:val="0"/>
                                      <w:divBdr>
                                        <w:top w:val="none" w:sz="0" w:space="0" w:color="auto"/>
                                        <w:left w:val="none" w:sz="0" w:space="0" w:color="auto"/>
                                        <w:bottom w:val="none" w:sz="0" w:space="0" w:color="auto"/>
                                        <w:right w:val="none" w:sz="0" w:space="0" w:color="auto"/>
                                      </w:divBdr>
                                      <w:divsChild>
                                        <w:div w:id="1692760151">
                                          <w:marLeft w:val="1200"/>
                                          <w:marRight w:val="1200"/>
                                          <w:marTop w:val="0"/>
                                          <w:marBottom w:val="0"/>
                                          <w:divBdr>
                                            <w:top w:val="none" w:sz="0" w:space="0" w:color="auto"/>
                                            <w:left w:val="none" w:sz="0" w:space="0" w:color="auto"/>
                                            <w:bottom w:val="none" w:sz="0" w:space="0" w:color="auto"/>
                                            <w:right w:val="none" w:sz="0" w:space="0" w:color="auto"/>
                                          </w:divBdr>
                                          <w:divsChild>
                                            <w:div w:id="890574805">
                                              <w:marLeft w:val="0"/>
                                              <w:marRight w:val="0"/>
                                              <w:marTop w:val="0"/>
                                              <w:marBottom w:val="0"/>
                                              <w:divBdr>
                                                <w:top w:val="none" w:sz="0" w:space="0" w:color="auto"/>
                                                <w:left w:val="none" w:sz="0" w:space="0" w:color="auto"/>
                                                <w:bottom w:val="none" w:sz="0" w:space="0" w:color="auto"/>
                                                <w:right w:val="none" w:sz="0" w:space="0" w:color="auto"/>
                                              </w:divBdr>
                                              <w:divsChild>
                                                <w:div w:id="520627451">
                                                  <w:marLeft w:val="0"/>
                                                  <w:marRight w:val="0"/>
                                                  <w:marTop w:val="0"/>
                                                  <w:marBottom w:val="0"/>
                                                  <w:divBdr>
                                                    <w:top w:val="none" w:sz="0" w:space="0" w:color="auto"/>
                                                    <w:left w:val="none" w:sz="0" w:space="0" w:color="auto"/>
                                                    <w:bottom w:val="none" w:sz="0" w:space="0" w:color="auto"/>
                                                    <w:right w:val="none" w:sz="0" w:space="0" w:color="auto"/>
                                                  </w:divBdr>
                                                  <w:divsChild>
                                                    <w:div w:id="1628585749">
                                                      <w:marLeft w:val="0"/>
                                                      <w:marRight w:val="0"/>
                                                      <w:marTop w:val="0"/>
                                                      <w:marBottom w:val="0"/>
                                                      <w:divBdr>
                                                        <w:top w:val="none" w:sz="0" w:space="0" w:color="auto"/>
                                                        <w:left w:val="none" w:sz="0" w:space="0" w:color="auto"/>
                                                        <w:bottom w:val="none" w:sz="0" w:space="0" w:color="auto"/>
                                                        <w:right w:val="none" w:sz="0" w:space="0" w:color="auto"/>
                                                      </w:divBdr>
                                                      <w:divsChild>
                                                        <w:div w:id="782848779">
                                                          <w:marLeft w:val="0"/>
                                                          <w:marRight w:val="0"/>
                                                          <w:marTop w:val="0"/>
                                                          <w:marBottom w:val="0"/>
                                                          <w:divBdr>
                                                            <w:top w:val="none" w:sz="0" w:space="0" w:color="auto"/>
                                                            <w:left w:val="none" w:sz="0" w:space="0" w:color="auto"/>
                                                            <w:bottom w:val="none" w:sz="0" w:space="0" w:color="auto"/>
                                                            <w:right w:val="none" w:sz="0" w:space="0" w:color="auto"/>
                                                          </w:divBdr>
                                                          <w:divsChild>
                                                            <w:div w:id="514196244">
                                                              <w:marLeft w:val="0"/>
                                                              <w:marRight w:val="0"/>
                                                              <w:marTop w:val="0"/>
                                                              <w:marBottom w:val="0"/>
                                                              <w:divBdr>
                                                                <w:top w:val="none" w:sz="0" w:space="0" w:color="auto"/>
                                                                <w:left w:val="none" w:sz="0" w:space="0" w:color="auto"/>
                                                                <w:bottom w:val="none" w:sz="0" w:space="0" w:color="auto"/>
                                                                <w:right w:val="none" w:sz="0" w:space="0" w:color="auto"/>
                                                              </w:divBdr>
                                                              <w:divsChild>
                                                                <w:div w:id="2072804692">
                                                                  <w:marLeft w:val="0"/>
                                                                  <w:marRight w:val="0"/>
                                                                  <w:marTop w:val="0"/>
                                                                  <w:marBottom w:val="0"/>
                                                                  <w:divBdr>
                                                                    <w:top w:val="none" w:sz="0" w:space="0" w:color="auto"/>
                                                                    <w:left w:val="none" w:sz="0" w:space="0" w:color="auto"/>
                                                                    <w:bottom w:val="none" w:sz="0" w:space="0" w:color="auto"/>
                                                                    <w:right w:val="none" w:sz="0" w:space="0" w:color="auto"/>
                                                                  </w:divBdr>
                                                                  <w:divsChild>
                                                                    <w:div w:id="763307901">
                                                                      <w:marLeft w:val="0"/>
                                                                      <w:marRight w:val="0"/>
                                                                      <w:marTop w:val="0"/>
                                                                      <w:marBottom w:val="0"/>
                                                                      <w:divBdr>
                                                                        <w:top w:val="none" w:sz="0" w:space="0" w:color="auto"/>
                                                                        <w:left w:val="none" w:sz="0" w:space="0" w:color="auto"/>
                                                                        <w:bottom w:val="none" w:sz="0" w:space="0" w:color="auto"/>
                                                                        <w:right w:val="none" w:sz="0" w:space="0" w:color="auto"/>
                                                                      </w:divBdr>
                                                                      <w:divsChild>
                                                                        <w:div w:id="1804037833">
                                                                          <w:marLeft w:val="0"/>
                                                                          <w:marRight w:val="0"/>
                                                                          <w:marTop w:val="0"/>
                                                                          <w:marBottom w:val="0"/>
                                                                          <w:divBdr>
                                                                            <w:top w:val="none" w:sz="0" w:space="0" w:color="auto"/>
                                                                            <w:left w:val="none" w:sz="0" w:space="0" w:color="auto"/>
                                                                            <w:bottom w:val="none" w:sz="0" w:space="0" w:color="auto"/>
                                                                            <w:right w:val="none" w:sz="0" w:space="0" w:color="auto"/>
                                                                          </w:divBdr>
                                                                        </w:div>
                                                                      </w:divsChild>
                                                                    </w:div>
                                                                    <w:div w:id="905067084">
                                                                      <w:marLeft w:val="0"/>
                                                                      <w:marRight w:val="0"/>
                                                                      <w:marTop w:val="0"/>
                                                                      <w:marBottom w:val="0"/>
                                                                      <w:divBdr>
                                                                        <w:top w:val="none" w:sz="0" w:space="0" w:color="auto"/>
                                                                        <w:left w:val="none" w:sz="0" w:space="0" w:color="auto"/>
                                                                        <w:bottom w:val="none" w:sz="0" w:space="0" w:color="auto"/>
                                                                        <w:right w:val="none" w:sz="0" w:space="0" w:color="auto"/>
                                                                      </w:divBdr>
                                                                      <w:divsChild>
                                                                        <w:div w:id="475075610">
                                                                          <w:marLeft w:val="0"/>
                                                                          <w:marRight w:val="0"/>
                                                                          <w:marTop w:val="0"/>
                                                                          <w:marBottom w:val="0"/>
                                                                          <w:divBdr>
                                                                            <w:top w:val="none" w:sz="0" w:space="0" w:color="auto"/>
                                                                            <w:left w:val="none" w:sz="0" w:space="0" w:color="auto"/>
                                                                            <w:bottom w:val="none" w:sz="0" w:space="0" w:color="auto"/>
                                                                            <w:right w:val="none" w:sz="0" w:space="0" w:color="auto"/>
                                                                          </w:divBdr>
                                                                        </w:div>
                                                                      </w:divsChild>
                                                                    </w:div>
                                                                    <w:div w:id="1210193635">
                                                                      <w:marLeft w:val="0"/>
                                                                      <w:marRight w:val="0"/>
                                                                      <w:marTop w:val="0"/>
                                                                      <w:marBottom w:val="0"/>
                                                                      <w:divBdr>
                                                                        <w:top w:val="none" w:sz="0" w:space="0" w:color="auto"/>
                                                                        <w:left w:val="none" w:sz="0" w:space="0" w:color="auto"/>
                                                                        <w:bottom w:val="none" w:sz="0" w:space="0" w:color="auto"/>
                                                                        <w:right w:val="none" w:sz="0" w:space="0" w:color="auto"/>
                                                                      </w:divBdr>
                                                                      <w:divsChild>
                                                                        <w:div w:id="1854880554">
                                                                          <w:marLeft w:val="0"/>
                                                                          <w:marRight w:val="0"/>
                                                                          <w:marTop w:val="0"/>
                                                                          <w:marBottom w:val="0"/>
                                                                          <w:divBdr>
                                                                            <w:top w:val="none" w:sz="0" w:space="0" w:color="auto"/>
                                                                            <w:left w:val="none" w:sz="0" w:space="0" w:color="auto"/>
                                                                            <w:bottom w:val="none" w:sz="0" w:space="0" w:color="auto"/>
                                                                            <w:right w:val="none" w:sz="0" w:space="0" w:color="auto"/>
                                                                          </w:divBdr>
                                                                        </w:div>
                                                                      </w:divsChild>
                                                                    </w:div>
                                                                    <w:div w:id="1354258501">
                                                                      <w:marLeft w:val="0"/>
                                                                      <w:marRight w:val="0"/>
                                                                      <w:marTop w:val="0"/>
                                                                      <w:marBottom w:val="0"/>
                                                                      <w:divBdr>
                                                                        <w:top w:val="none" w:sz="0" w:space="0" w:color="auto"/>
                                                                        <w:left w:val="none" w:sz="0" w:space="0" w:color="auto"/>
                                                                        <w:bottom w:val="none" w:sz="0" w:space="0" w:color="auto"/>
                                                                        <w:right w:val="none" w:sz="0" w:space="0" w:color="auto"/>
                                                                      </w:divBdr>
                                                                      <w:divsChild>
                                                                        <w:div w:id="2112049490">
                                                                          <w:marLeft w:val="0"/>
                                                                          <w:marRight w:val="0"/>
                                                                          <w:marTop w:val="0"/>
                                                                          <w:marBottom w:val="0"/>
                                                                          <w:divBdr>
                                                                            <w:top w:val="none" w:sz="0" w:space="0" w:color="auto"/>
                                                                            <w:left w:val="none" w:sz="0" w:space="0" w:color="auto"/>
                                                                            <w:bottom w:val="none" w:sz="0" w:space="0" w:color="auto"/>
                                                                            <w:right w:val="none" w:sz="0" w:space="0" w:color="auto"/>
                                                                          </w:divBdr>
                                                                        </w:div>
                                                                      </w:divsChild>
                                                                    </w:div>
                                                                    <w:div w:id="1416317530">
                                                                      <w:marLeft w:val="0"/>
                                                                      <w:marRight w:val="0"/>
                                                                      <w:marTop w:val="0"/>
                                                                      <w:marBottom w:val="0"/>
                                                                      <w:divBdr>
                                                                        <w:top w:val="none" w:sz="0" w:space="0" w:color="auto"/>
                                                                        <w:left w:val="none" w:sz="0" w:space="0" w:color="auto"/>
                                                                        <w:bottom w:val="none" w:sz="0" w:space="0" w:color="auto"/>
                                                                        <w:right w:val="none" w:sz="0" w:space="0" w:color="auto"/>
                                                                      </w:divBdr>
                                                                      <w:divsChild>
                                                                        <w:div w:id="8275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738584">
      <w:bodyDiv w:val="1"/>
      <w:marLeft w:val="0"/>
      <w:marRight w:val="0"/>
      <w:marTop w:val="0"/>
      <w:marBottom w:val="0"/>
      <w:divBdr>
        <w:top w:val="none" w:sz="0" w:space="0" w:color="auto"/>
        <w:left w:val="none" w:sz="0" w:space="0" w:color="auto"/>
        <w:bottom w:val="none" w:sz="0" w:space="0" w:color="auto"/>
        <w:right w:val="none" w:sz="0" w:space="0" w:color="auto"/>
      </w:divBdr>
      <w:divsChild>
        <w:div w:id="327828760">
          <w:marLeft w:val="0"/>
          <w:marRight w:val="0"/>
          <w:marTop w:val="240"/>
          <w:marBottom w:val="0"/>
          <w:divBdr>
            <w:top w:val="none" w:sz="0" w:space="0" w:color="auto"/>
            <w:left w:val="none" w:sz="0" w:space="0" w:color="auto"/>
            <w:bottom w:val="none" w:sz="0" w:space="0" w:color="auto"/>
            <w:right w:val="none" w:sz="0" w:space="0" w:color="auto"/>
          </w:divBdr>
          <w:divsChild>
            <w:div w:id="1061249642">
              <w:marLeft w:val="0"/>
              <w:marRight w:val="0"/>
              <w:marTop w:val="0"/>
              <w:marBottom w:val="0"/>
              <w:divBdr>
                <w:top w:val="none" w:sz="0" w:space="0" w:color="auto"/>
                <w:left w:val="none" w:sz="0" w:space="0" w:color="auto"/>
                <w:bottom w:val="none" w:sz="0" w:space="0" w:color="auto"/>
                <w:right w:val="none" w:sz="0" w:space="0" w:color="auto"/>
              </w:divBdr>
            </w:div>
          </w:divsChild>
        </w:div>
        <w:div w:id="410196510">
          <w:marLeft w:val="0"/>
          <w:marRight w:val="0"/>
          <w:marTop w:val="240"/>
          <w:marBottom w:val="0"/>
          <w:divBdr>
            <w:top w:val="none" w:sz="0" w:space="0" w:color="auto"/>
            <w:left w:val="none" w:sz="0" w:space="0" w:color="auto"/>
            <w:bottom w:val="none" w:sz="0" w:space="0" w:color="auto"/>
            <w:right w:val="none" w:sz="0" w:space="0" w:color="auto"/>
          </w:divBdr>
          <w:divsChild>
            <w:div w:id="1978684970">
              <w:marLeft w:val="0"/>
              <w:marRight w:val="0"/>
              <w:marTop w:val="0"/>
              <w:marBottom w:val="0"/>
              <w:divBdr>
                <w:top w:val="none" w:sz="0" w:space="0" w:color="auto"/>
                <w:left w:val="none" w:sz="0" w:space="0" w:color="auto"/>
                <w:bottom w:val="none" w:sz="0" w:space="0" w:color="auto"/>
                <w:right w:val="none" w:sz="0" w:space="0" w:color="auto"/>
              </w:divBdr>
            </w:div>
          </w:divsChild>
        </w:div>
        <w:div w:id="761411798">
          <w:marLeft w:val="0"/>
          <w:marRight w:val="0"/>
          <w:marTop w:val="240"/>
          <w:marBottom w:val="0"/>
          <w:divBdr>
            <w:top w:val="none" w:sz="0" w:space="0" w:color="auto"/>
            <w:left w:val="none" w:sz="0" w:space="0" w:color="auto"/>
            <w:bottom w:val="none" w:sz="0" w:space="0" w:color="auto"/>
            <w:right w:val="none" w:sz="0" w:space="0" w:color="auto"/>
          </w:divBdr>
          <w:divsChild>
            <w:div w:id="24671955">
              <w:marLeft w:val="0"/>
              <w:marRight w:val="0"/>
              <w:marTop w:val="0"/>
              <w:marBottom w:val="0"/>
              <w:divBdr>
                <w:top w:val="none" w:sz="0" w:space="0" w:color="auto"/>
                <w:left w:val="none" w:sz="0" w:space="0" w:color="auto"/>
                <w:bottom w:val="none" w:sz="0" w:space="0" w:color="auto"/>
                <w:right w:val="none" w:sz="0" w:space="0" w:color="auto"/>
              </w:divBdr>
            </w:div>
          </w:divsChild>
        </w:div>
        <w:div w:id="1425146261">
          <w:marLeft w:val="0"/>
          <w:marRight w:val="0"/>
          <w:marTop w:val="240"/>
          <w:marBottom w:val="0"/>
          <w:divBdr>
            <w:top w:val="none" w:sz="0" w:space="0" w:color="auto"/>
            <w:left w:val="none" w:sz="0" w:space="0" w:color="auto"/>
            <w:bottom w:val="none" w:sz="0" w:space="0" w:color="auto"/>
            <w:right w:val="none" w:sz="0" w:space="0" w:color="auto"/>
          </w:divBdr>
          <w:divsChild>
            <w:div w:id="357857971">
              <w:marLeft w:val="0"/>
              <w:marRight w:val="0"/>
              <w:marTop w:val="0"/>
              <w:marBottom w:val="0"/>
              <w:divBdr>
                <w:top w:val="none" w:sz="0" w:space="0" w:color="auto"/>
                <w:left w:val="none" w:sz="0" w:space="0" w:color="auto"/>
                <w:bottom w:val="none" w:sz="0" w:space="0" w:color="auto"/>
                <w:right w:val="none" w:sz="0" w:space="0" w:color="auto"/>
              </w:divBdr>
            </w:div>
          </w:divsChild>
        </w:div>
        <w:div w:id="1804152445">
          <w:marLeft w:val="0"/>
          <w:marRight w:val="0"/>
          <w:marTop w:val="240"/>
          <w:marBottom w:val="0"/>
          <w:divBdr>
            <w:top w:val="none" w:sz="0" w:space="0" w:color="auto"/>
            <w:left w:val="none" w:sz="0" w:space="0" w:color="auto"/>
            <w:bottom w:val="none" w:sz="0" w:space="0" w:color="auto"/>
            <w:right w:val="none" w:sz="0" w:space="0" w:color="auto"/>
          </w:divBdr>
          <w:divsChild>
            <w:div w:id="14570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18938">
      <w:bodyDiv w:val="1"/>
      <w:marLeft w:val="0"/>
      <w:marRight w:val="0"/>
      <w:marTop w:val="0"/>
      <w:marBottom w:val="0"/>
      <w:divBdr>
        <w:top w:val="none" w:sz="0" w:space="0" w:color="auto"/>
        <w:left w:val="none" w:sz="0" w:space="0" w:color="auto"/>
        <w:bottom w:val="none" w:sz="0" w:space="0" w:color="auto"/>
        <w:right w:val="none" w:sz="0" w:space="0" w:color="auto"/>
      </w:divBdr>
      <w:divsChild>
        <w:div w:id="1219786823">
          <w:marLeft w:val="0"/>
          <w:marRight w:val="0"/>
          <w:marTop w:val="240"/>
          <w:marBottom w:val="0"/>
          <w:divBdr>
            <w:top w:val="none" w:sz="0" w:space="0" w:color="auto"/>
            <w:left w:val="none" w:sz="0" w:space="0" w:color="auto"/>
            <w:bottom w:val="none" w:sz="0" w:space="0" w:color="auto"/>
            <w:right w:val="none" w:sz="0" w:space="0" w:color="auto"/>
          </w:divBdr>
          <w:divsChild>
            <w:div w:id="2113892408">
              <w:marLeft w:val="0"/>
              <w:marRight w:val="0"/>
              <w:marTop w:val="0"/>
              <w:marBottom w:val="0"/>
              <w:divBdr>
                <w:top w:val="none" w:sz="0" w:space="0" w:color="auto"/>
                <w:left w:val="none" w:sz="0" w:space="0" w:color="auto"/>
                <w:bottom w:val="none" w:sz="0" w:space="0" w:color="auto"/>
                <w:right w:val="none" w:sz="0" w:space="0" w:color="auto"/>
              </w:divBdr>
            </w:div>
          </w:divsChild>
        </w:div>
        <w:div w:id="2089884918">
          <w:marLeft w:val="0"/>
          <w:marRight w:val="0"/>
          <w:marTop w:val="240"/>
          <w:marBottom w:val="0"/>
          <w:divBdr>
            <w:top w:val="none" w:sz="0" w:space="0" w:color="auto"/>
            <w:left w:val="none" w:sz="0" w:space="0" w:color="auto"/>
            <w:bottom w:val="none" w:sz="0" w:space="0" w:color="auto"/>
            <w:right w:val="none" w:sz="0" w:space="0" w:color="auto"/>
          </w:divBdr>
          <w:divsChild>
            <w:div w:id="1584023807">
              <w:marLeft w:val="0"/>
              <w:marRight w:val="0"/>
              <w:marTop w:val="0"/>
              <w:marBottom w:val="0"/>
              <w:divBdr>
                <w:top w:val="none" w:sz="0" w:space="0" w:color="auto"/>
                <w:left w:val="none" w:sz="0" w:space="0" w:color="auto"/>
                <w:bottom w:val="none" w:sz="0" w:space="0" w:color="auto"/>
                <w:right w:val="none" w:sz="0" w:space="0" w:color="auto"/>
              </w:divBdr>
            </w:div>
          </w:divsChild>
        </w:div>
        <w:div w:id="151260236">
          <w:marLeft w:val="0"/>
          <w:marRight w:val="0"/>
          <w:marTop w:val="240"/>
          <w:marBottom w:val="0"/>
          <w:divBdr>
            <w:top w:val="none" w:sz="0" w:space="0" w:color="auto"/>
            <w:left w:val="none" w:sz="0" w:space="0" w:color="auto"/>
            <w:bottom w:val="none" w:sz="0" w:space="0" w:color="auto"/>
            <w:right w:val="none" w:sz="0" w:space="0" w:color="auto"/>
          </w:divBdr>
          <w:divsChild>
            <w:div w:id="2984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42002">
      <w:bodyDiv w:val="1"/>
      <w:marLeft w:val="0"/>
      <w:marRight w:val="0"/>
      <w:marTop w:val="0"/>
      <w:marBottom w:val="0"/>
      <w:divBdr>
        <w:top w:val="none" w:sz="0" w:space="0" w:color="auto"/>
        <w:left w:val="none" w:sz="0" w:space="0" w:color="auto"/>
        <w:bottom w:val="none" w:sz="0" w:space="0" w:color="auto"/>
        <w:right w:val="none" w:sz="0" w:space="0" w:color="auto"/>
      </w:divBdr>
      <w:divsChild>
        <w:div w:id="140121448">
          <w:marLeft w:val="0"/>
          <w:marRight w:val="0"/>
          <w:marTop w:val="0"/>
          <w:marBottom w:val="0"/>
          <w:divBdr>
            <w:top w:val="none" w:sz="0" w:space="0" w:color="auto"/>
            <w:left w:val="single" w:sz="6" w:space="0" w:color="BBBBBB"/>
            <w:bottom w:val="single" w:sz="6" w:space="0" w:color="BBBBBB"/>
            <w:right w:val="single" w:sz="6" w:space="0" w:color="BBBBBB"/>
          </w:divBdr>
          <w:divsChild>
            <w:div w:id="1242373743">
              <w:marLeft w:val="0"/>
              <w:marRight w:val="0"/>
              <w:marTop w:val="0"/>
              <w:marBottom w:val="0"/>
              <w:divBdr>
                <w:top w:val="none" w:sz="0" w:space="0" w:color="auto"/>
                <w:left w:val="none" w:sz="0" w:space="0" w:color="auto"/>
                <w:bottom w:val="none" w:sz="0" w:space="0" w:color="auto"/>
                <w:right w:val="none" w:sz="0" w:space="0" w:color="auto"/>
              </w:divBdr>
              <w:divsChild>
                <w:div w:id="2086367765">
                  <w:marLeft w:val="0"/>
                  <w:marRight w:val="0"/>
                  <w:marTop w:val="75"/>
                  <w:marBottom w:val="0"/>
                  <w:divBdr>
                    <w:top w:val="none" w:sz="0" w:space="0" w:color="auto"/>
                    <w:left w:val="none" w:sz="0" w:space="0" w:color="auto"/>
                    <w:bottom w:val="none" w:sz="0" w:space="0" w:color="auto"/>
                    <w:right w:val="none" w:sz="0" w:space="0" w:color="auto"/>
                  </w:divBdr>
                  <w:divsChild>
                    <w:div w:id="492574221">
                      <w:marLeft w:val="0"/>
                      <w:marRight w:val="0"/>
                      <w:marTop w:val="0"/>
                      <w:marBottom w:val="0"/>
                      <w:divBdr>
                        <w:top w:val="none" w:sz="0" w:space="0" w:color="auto"/>
                        <w:left w:val="none" w:sz="0" w:space="0" w:color="auto"/>
                        <w:bottom w:val="none" w:sz="0" w:space="0" w:color="auto"/>
                        <w:right w:val="none" w:sz="0" w:space="0" w:color="auto"/>
                      </w:divBdr>
                      <w:divsChild>
                        <w:div w:id="1847599524">
                          <w:marLeft w:val="0"/>
                          <w:marRight w:val="0"/>
                          <w:marTop w:val="0"/>
                          <w:marBottom w:val="0"/>
                          <w:divBdr>
                            <w:top w:val="none" w:sz="0" w:space="0" w:color="auto"/>
                            <w:left w:val="none" w:sz="0" w:space="0" w:color="auto"/>
                            <w:bottom w:val="none" w:sz="0" w:space="0" w:color="auto"/>
                            <w:right w:val="none" w:sz="0" w:space="0" w:color="auto"/>
                          </w:divBdr>
                          <w:divsChild>
                            <w:div w:id="470366228">
                              <w:marLeft w:val="0"/>
                              <w:marRight w:val="0"/>
                              <w:marTop w:val="0"/>
                              <w:marBottom w:val="0"/>
                              <w:divBdr>
                                <w:top w:val="none" w:sz="0" w:space="0" w:color="auto"/>
                                <w:left w:val="none" w:sz="0" w:space="0" w:color="auto"/>
                                <w:bottom w:val="none" w:sz="0" w:space="0" w:color="auto"/>
                                <w:right w:val="none" w:sz="0" w:space="0" w:color="auto"/>
                              </w:divBdr>
                              <w:divsChild>
                                <w:div w:id="1033070917">
                                  <w:marLeft w:val="0"/>
                                  <w:marRight w:val="0"/>
                                  <w:marTop w:val="0"/>
                                  <w:marBottom w:val="0"/>
                                  <w:divBdr>
                                    <w:top w:val="none" w:sz="0" w:space="0" w:color="auto"/>
                                    <w:left w:val="none" w:sz="0" w:space="0" w:color="auto"/>
                                    <w:bottom w:val="none" w:sz="0" w:space="0" w:color="auto"/>
                                    <w:right w:val="none" w:sz="0" w:space="0" w:color="auto"/>
                                  </w:divBdr>
                                  <w:divsChild>
                                    <w:div w:id="1226184770">
                                      <w:marLeft w:val="0"/>
                                      <w:marRight w:val="0"/>
                                      <w:marTop w:val="0"/>
                                      <w:marBottom w:val="0"/>
                                      <w:divBdr>
                                        <w:top w:val="none" w:sz="0" w:space="0" w:color="auto"/>
                                        <w:left w:val="none" w:sz="0" w:space="0" w:color="auto"/>
                                        <w:bottom w:val="none" w:sz="0" w:space="0" w:color="auto"/>
                                        <w:right w:val="none" w:sz="0" w:space="0" w:color="auto"/>
                                      </w:divBdr>
                                      <w:divsChild>
                                        <w:div w:id="387802588">
                                          <w:marLeft w:val="1200"/>
                                          <w:marRight w:val="1200"/>
                                          <w:marTop w:val="0"/>
                                          <w:marBottom w:val="0"/>
                                          <w:divBdr>
                                            <w:top w:val="none" w:sz="0" w:space="0" w:color="auto"/>
                                            <w:left w:val="none" w:sz="0" w:space="0" w:color="auto"/>
                                            <w:bottom w:val="none" w:sz="0" w:space="0" w:color="auto"/>
                                            <w:right w:val="none" w:sz="0" w:space="0" w:color="auto"/>
                                          </w:divBdr>
                                          <w:divsChild>
                                            <w:div w:id="615018728">
                                              <w:marLeft w:val="0"/>
                                              <w:marRight w:val="0"/>
                                              <w:marTop w:val="0"/>
                                              <w:marBottom w:val="0"/>
                                              <w:divBdr>
                                                <w:top w:val="none" w:sz="0" w:space="0" w:color="auto"/>
                                                <w:left w:val="none" w:sz="0" w:space="0" w:color="auto"/>
                                                <w:bottom w:val="none" w:sz="0" w:space="0" w:color="auto"/>
                                                <w:right w:val="none" w:sz="0" w:space="0" w:color="auto"/>
                                              </w:divBdr>
                                              <w:divsChild>
                                                <w:div w:id="1004479338">
                                                  <w:marLeft w:val="0"/>
                                                  <w:marRight w:val="0"/>
                                                  <w:marTop w:val="0"/>
                                                  <w:marBottom w:val="0"/>
                                                  <w:divBdr>
                                                    <w:top w:val="none" w:sz="0" w:space="0" w:color="auto"/>
                                                    <w:left w:val="none" w:sz="0" w:space="0" w:color="auto"/>
                                                    <w:bottom w:val="none" w:sz="0" w:space="0" w:color="auto"/>
                                                    <w:right w:val="none" w:sz="0" w:space="0" w:color="auto"/>
                                                  </w:divBdr>
                                                  <w:divsChild>
                                                    <w:div w:id="532424755">
                                                      <w:marLeft w:val="0"/>
                                                      <w:marRight w:val="0"/>
                                                      <w:marTop w:val="0"/>
                                                      <w:marBottom w:val="0"/>
                                                      <w:divBdr>
                                                        <w:top w:val="none" w:sz="0" w:space="0" w:color="auto"/>
                                                        <w:left w:val="none" w:sz="0" w:space="0" w:color="auto"/>
                                                        <w:bottom w:val="none" w:sz="0" w:space="0" w:color="auto"/>
                                                        <w:right w:val="none" w:sz="0" w:space="0" w:color="auto"/>
                                                      </w:divBdr>
                                                      <w:divsChild>
                                                        <w:div w:id="1753434295">
                                                          <w:marLeft w:val="0"/>
                                                          <w:marRight w:val="0"/>
                                                          <w:marTop w:val="0"/>
                                                          <w:marBottom w:val="0"/>
                                                          <w:divBdr>
                                                            <w:top w:val="none" w:sz="0" w:space="0" w:color="auto"/>
                                                            <w:left w:val="none" w:sz="0" w:space="0" w:color="auto"/>
                                                            <w:bottom w:val="none" w:sz="0" w:space="0" w:color="auto"/>
                                                            <w:right w:val="none" w:sz="0" w:space="0" w:color="auto"/>
                                                          </w:divBdr>
                                                        </w:div>
                                                      </w:divsChild>
                                                    </w:div>
                                                    <w:div w:id="1999847271">
                                                      <w:marLeft w:val="0"/>
                                                      <w:marRight w:val="0"/>
                                                      <w:marTop w:val="0"/>
                                                      <w:marBottom w:val="0"/>
                                                      <w:divBdr>
                                                        <w:top w:val="none" w:sz="0" w:space="0" w:color="auto"/>
                                                        <w:left w:val="none" w:sz="0" w:space="0" w:color="auto"/>
                                                        <w:bottom w:val="none" w:sz="0" w:space="0" w:color="auto"/>
                                                        <w:right w:val="none" w:sz="0" w:space="0" w:color="auto"/>
                                                      </w:divBdr>
                                                      <w:divsChild>
                                                        <w:div w:id="3633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4021647">
      <w:bodyDiv w:val="1"/>
      <w:marLeft w:val="0"/>
      <w:marRight w:val="0"/>
      <w:marTop w:val="0"/>
      <w:marBottom w:val="0"/>
      <w:divBdr>
        <w:top w:val="none" w:sz="0" w:space="0" w:color="auto"/>
        <w:left w:val="none" w:sz="0" w:space="0" w:color="auto"/>
        <w:bottom w:val="none" w:sz="0" w:space="0" w:color="auto"/>
        <w:right w:val="none" w:sz="0" w:space="0" w:color="auto"/>
      </w:divBdr>
      <w:divsChild>
        <w:div w:id="202523884">
          <w:marLeft w:val="0"/>
          <w:marRight w:val="0"/>
          <w:marTop w:val="240"/>
          <w:marBottom w:val="0"/>
          <w:divBdr>
            <w:top w:val="none" w:sz="0" w:space="0" w:color="auto"/>
            <w:left w:val="none" w:sz="0" w:space="0" w:color="auto"/>
            <w:bottom w:val="none" w:sz="0" w:space="0" w:color="auto"/>
            <w:right w:val="none" w:sz="0" w:space="0" w:color="auto"/>
          </w:divBdr>
          <w:divsChild>
            <w:div w:id="123233567">
              <w:marLeft w:val="0"/>
              <w:marRight w:val="0"/>
              <w:marTop w:val="240"/>
              <w:marBottom w:val="0"/>
              <w:divBdr>
                <w:top w:val="none" w:sz="0" w:space="0" w:color="auto"/>
                <w:left w:val="none" w:sz="0" w:space="0" w:color="auto"/>
                <w:bottom w:val="none" w:sz="0" w:space="0" w:color="auto"/>
                <w:right w:val="none" w:sz="0" w:space="0" w:color="auto"/>
              </w:divBdr>
              <w:divsChild>
                <w:div w:id="1526989364">
                  <w:marLeft w:val="0"/>
                  <w:marRight w:val="0"/>
                  <w:marTop w:val="0"/>
                  <w:marBottom w:val="0"/>
                  <w:divBdr>
                    <w:top w:val="none" w:sz="0" w:space="0" w:color="auto"/>
                    <w:left w:val="none" w:sz="0" w:space="0" w:color="auto"/>
                    <w:bottom w:val="none" w:sz="0" w:space="0" w:color="auto"/>
                    <w:right w:val="none" w:sz="0" w:space="0" w:color="auto"/>
                  </w:divBdr>
                </w:div>
              </w:divsChild>
            </w:div>
            <w:div w:id="158203952">
              <w:marLeft w:val="0"/>
              <w:marRight w:val="0"/>
              <w:marTop w:val="0"/>
              <w:marBottom w:val="0"/>
              <w:divBdr>
                <w:top w:val="none" w:sz="0" w:space="0" w:color="auto"/>
                <w:left w:val="none" w:sz="0" w:space="0" w:color="auto"/>
                <w:bottom w:val="none" w:sz="0" w:space="0" w:color="auto"/>
                <w:right w:val="none" w:sz="0" w:space="0" w:color="auto"/>
              </w:divBdr>
            </w:div>
            <w:div w:id="372927154">
              <w:marLeft w:val="0"/>
              <w:marRight w:val="0"/>
              <w:marTop w:val="240"/>
              <w:marBottom w:val="0"/>
              <w:divBdr>
                <w:top w:val="none" w:sz="0" w:space="0" w:color="auto"/>
                <w:left w:val="none" w:sz="0" w:space="0" w:color="auto"/>
                <w:bottom w:val="none" w:sz="0" w:space="0" w:color="auto"/>
                <w:right w:val="none" w:sz="0" w:space="0" w:color="auto"/>
              </w:divBdr>
              <w:divsChild>
                <w:div w:id="2021151920">
                  <w:marLeft w:val="0"/>
                  <w:marRight w:val="0"/>
                  <w:marTop w:val="0"/>
                  <w:marBottom w:val="0"/>
                  <w:divBdr>
                    <w:top w:val="none" w:sz="0" w:space="0" w:color="auto"/>
                    <w:left w:val="none" w:sz="0" w:space="0" w:color="auto"/>
                    <w:bottom w:val="none" w:sz="0" w:space="0" w:color="auto"/>
                    <w:right w:val="none" w:sz="0" w:space="0" w:color="auto"/>
                  </w:divBdr>
                </w:div>
              </w:divsChild>
            </w:div>
            <w:div w:id="1443644507">
              <w:marLeft w:val="0"/>
              <w:marRight w:val="0"/>
              <w:marTop w:val="240"/>
              <w:marBottom w:val="0"/>
              <w:divBdr>
                <w:top w:val="none" w:sz="0" w:space="0" w:color="auto"/>
                <w:left w:val="none" w:sz="0" w:space="0" w:color="auto"/>
                <w:bottom w:val="none" w:sz="0" w:space="0" w:color="auto"/>
                <w:right w:val="none" w:sz="0" w:space="0" w:color="auto"/>
              </w:divBdr>
              <w:divsChild>
                <w:div w:id="826361860">
                  <w:marLeft w:val="0"/>
                  <w:marRight w:val="0"/>
                  <w:marTop w:val="0"/>
                  <w:marBottom w:val="0"/>
                  <w:divBdr>
                    <w:top w:val="none" w:sz="0" w:space="0" w:color="auto"/>
                    <w:left w:val="none" w:sz="0" w:space="0" w:color="auto"/>
                    <w:bottom w:val="none" w:sz="0" w:space="0" w:color="auto"/>
                    <w:right w:val="none" w:sz="0" w:space="0" w:color="auto"/>
                  </w:divBdr>
                </w:div>
              </w:divsChild>
            </w:div>
            <w:div w:id="2078555624">
              <w:marLeft w:val="0"/>
              <w:marRight w:val="0"/>
              <w:marTop w:val="240"/>
              <w:marBottom w:val="0"/>
              <w:divBdr>
                <w:top w:val="none" w:sz="0" w:space="0" w:color="auto"/>
                <w:left w:val="none" w:sz="0" w:space="0" w:color="auto"/>
                <w:bottom w:val="none" w:sz="0" w:space="0" w:color="auto"/>
                <w:right w:val="none" w:sz="0" w:space="0" w:color="auto"/>
              </w:divBdr>
            </w:div>
          </w:divsChild>
        </w:div>
        <w:div w:id="271324055">
          <w:marLeft w:val="0"/>
          <w:marRight w:val="0"/>
          <w:marTop w:val="240"/>
          <w:marBottom w:val="0"/>
          <w:divBdr>
            <w:top w:val="none" w:sz="0" w:space="0" w:color="auto"/>
            <w:left w:val="none" w:sz="0" w:space="0" w:color="auto"/>
            <w:bottom w:val="none" w:sz="0" w:space="0" w:color="auto"/>
            <w:right w:val="none" w:sz="0" w:space="0" w:color="auto"/>
          </w:divBdr>
          <w:divsChild>
            <w:div w:id="202332273">
              <w:marLeft w:val="0"/>
              <w:marRight w:val="0"/>
              <w:marTop w:val="240"/>
              <w:marBottom w:val="0"/>
              <w:divBdr>
                <w:top w:val="none" w:sz="0" w:space="0" w:color="auto"/>
                <w:left w:val="none" w:sz="0" w:space="0" w:color="auto"/>
                <w:bottom w:val="none" w:sz="0" w:space="0" w:color="auto"/>
                <w:right w:val="none" w:sz="0" w:space="0" w:color="auto"/>
              </w:divBdr>
            </w:div>
            <w:div w:id="1352991694">
              <w:marLeft w:val="0"/>
              <w:marRight w:val="0"/>
              <w:marTop w:val="0"/>
              <w:marBottom w:val="0"/>
              <w:divBdr>
                <w:top w:val="none" w:sz="0" w:space="0" w:color="auto"/>
                <w:left w:val="none" w:sz="0" w:space="0" w:color="auto"/>
                <w:bottom w:val="none" w:sz="0" w:space="0" w:color="auto"/>
                <w:right w:val="none" w:sz="0" w:space="0" w:color="auto"/>
              </w:divBdr>
            </w:div>
            <w:div w:id="1755929093">
              <w:marLeft w:val="0"/>
              <w:marRight w:val="0"/>
              <w:marTop w:val="240"/>
              <w:marBottom w:val="0"/>
              <w:divBdr>
                <w:top w:val="none" w:sz="0" w:space="0" w:color="auto"/>
                <w:left w:val="none" w:sz="0" w:space="0" w:color="auto"/>
                <w:bottom w:val="none" w:sz="0" w:space="0" w:color="auto"/>
                <w:right w:val="none" w:sz="0" w:space="0" w:color="auto"/>
              </w:divBdr>
              <w:divsChild>
                <w:div w:id="1560364046">
                  <w:marLeft w:val="0"/>
                  <w:marRight w:val="0"/>
                  <w:marTop w:val="0"/>
                  <w:marBottom w:val="0"/>
                  <w:divBdr>
                    <w:top w:val="none" w:sz="0" w:space="0" w:color="auto"/>
                    <w:left w:val="none" w:sz="0" w:space="0" w:color="auto"/>
                    <w:bottom w:val="none" w:sz="0" w:space="0" w:color="auto"/>
                    <w:right w:val="none" w:sz="0" w:space="0" w:color="auto"/>
                  </w:divBdr>
                  <w:divsChild>
                    <w:div w:id="2013413493">
                      <w:blockQuote w:val="1"/>
                      <w:marLeft w:val="0"/>
                      <w:marRight w:val="0"/>
                      <w:marTop w:val="0"/>
                      <w:marBottom w:val="0"/>
                      <w:divBdr>
                        <w:top w:val="none" w:sz="0" w:space="0" w:color="auto"/>
                        <w:left w:val="none" w:sz="0" w:space="0" w:color="auto"/>
                        <w:bottom w:val="none" w:sz="0" w:space="0" w:color="auto"/>
                        <w:right w:val="none" w:sz="0" w:space="0" w:color="auto"/>
                      </w:divBdr>
                      <w:divsChild>
                        <w:div w:id="18911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991574">
          <w:marLeft w:val="0"/>
          <w:marRight w:val="0"/>
          <w:marTop w:val="240"/>
          <w:marBottom w:val="0"/>
          <w:divBdr>
            <w:top w:val="none" w:sz="0" w:space="0" w:color="auto"/>
            <w:left w:val="none" w:sz="0" w:space="0" w:color="auto"/>
            <w:bottom w:val="none" w:sz="0" w:space="0" w:color="auto"/>
            <w:right w:val="none" w:sz="0" w:space="0" w:color="auto"/>
          </w:divBdr>
          <w:divsChild>
            <w:div w:id="360983409">
              <w:marLeft w:val="0"/>
              <w:marRight w:val="0"/>
              <w:marTop w:val="0"/>
              <w:marBottom w:val="0"/>
              <w:divBdr>
                <w:top w:val="none" w:sz="0" w:space="0" w:color="auto"/>
                <w:left w:val="none" w:sz="0" w:space="0" w:color="auto"/>
                <w:bottom w:val="none" w:sz="0" w:space="0" w:color="auto"/>
                <w:right w:val="none" w:sz="0" w:space="0" w:color="auto"/>
              </w:divBdr>
            </w:div>
          </w:divsChild>
        </w:div>
        <w:div w:id="758520474">
          <w:marLeft w:val="0"/>
          <w:marRight w:val="0"/>
          <w:marTop w:val="240"/>
          <w:marBottom w:val="0"/>
          <w:divBdr>
            <w:top w:val="none" w:sz="0" w:space="0" w:color="auto"/>
            <w:left w:val="none" w:sz="0" w:space="0" w:color="auto"/>
            <w:bottom w:val="none" w:sz="0" w:space="0" w:color="auto"/>
            <w:right w:val="none" w:sz="0" w:space="0" w:color="auto"/>
          </w:divBdr>
          <w:divsChild>
            <w:div w:id="1394003">
              <w:marLeft w:val="0"/>
              <w:marRight w:val="0"/>
              <w:marTop w:val="240"/>
              <w:marBottom w:val="0"/>
              <w:divBdr>
                <w:top w:val="none" w:sz="0" w:space="0" w:color="auto"/>
                <w:left w:val="none" w:sz="0" w:space="0" w:color="auto"/>
                <w:bottom w:val="none" w:sz="0" w:space="0" w:color="auto"/>
                <w:right w:val="none" w:sz="0" w:space="0" w:color="auto"/>
              </w:divBdr>
            </w:div>
            <w:div w:id="164394362">
              <w:marLeft w:val="0"/>
              <w:marRight w:val="0"/>
              <w:marTop w:val="240"/>
              <w:marBottom w:val="0"/>
              <w:divBdr>
                <w:top w:val="none" w:sz="0" w:space="0" w:color="auto"/>
                <w:left w:val="none" w:sz="0" w:space="0" w:color="auto"/>
                <w:bottom w:val="none" w:sz="0" w:space="0" w:color="auto"/>
                <w:right w:val="none" w:sz="0" w:space="0" w:color="auto"/>
              </w:divBdr>
              <w:divsChild>
                <w:div w:id="2135906240">
                  <w:marLeft w:val="0"/>
                  <w:marRight w:val="0"/>
                  <w:marTop w:val="0"/>
                  <w:marBottom w:val="0"/>
                  <w:divBdr>
                    <w:top w:val="none" w:sz="0" w:space="0" w:color="auto"/>
                    <w:left w:val="none" w:sz="0" w:space="0" w:color="auto"/>
                    <w:bottom w:val="none" w:sz="0" w:space="0" w:color="auto"/>
                    <w:right w:val="none" w:sz="0" w:space="0" w:color="auto"/>
                  </w:divBdr>
                  <w:divsChild>
                    <w:div w:id="956179432">
                      <w:blockQuote w:val="1"/>
                      <w:marLeft w:val="0"/>
                      <w:marRight w:val="0"/>
                      <w:marTop w:val="0"/>
                      <w:marBottom w:val="0"/>
                      <w:divBdr>
                        <w:top w:val="none" w:sz="0" w:space="0" w:color="auto"/>
                        <w:left w:val="none" w:sz="0" w:space="0" w:color="auto"/>
                        <w:bottom w:val="none" w:sz="0" w:space="0" w:color="auto"/>
                        <w:right w:val="none" w:sz="0" w:space="0" w:color="auto"/>
                      </w:divBdr>
                      <w:divsChild>
                        <w:div w:id="3861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97664">
              <w:marLeft w:val="0"/>
              <w:marRight w:val="0"/>
              <w:marTop w:val="0"/>
              <w:marBottom w:val="0"/>
              <w:divBdr>
                <w:top w:val="none" w:sz="0" w:space="0" w:color="auto"/>
                <w:left w:val="none" w:sz="0" w:space="0" w:color="auto"/>
                <w:bottom w:val="none" w:sz="0" w:space="0" w:color="auto"/>
                <w:right w:val="none" w:sz="0" w:space="0" w:color="auto"/>
              </w:divBdr>
            </w:div>
          </w:divsChild>
        </w:div>
        <w:div w:id="1049526035">
          <w:marLeft w:val="0"/>
          <w:marRight w:val="0"/>
          <w:marTop w:val="240"/>
          <w:marBottom w:val="0"/>
          <w:divBdr>
            <w:top w:val="none" w:sz="0" w:space="0" w:color="auto"/>
            <w:left w:val="none" w:sz="0" w:space="0" w:color="auto"/>
            <w:bottom w:val="none" w:sz="0" w:space="0" w:color="auto"/>
            <w:right w:val="none" w:sz="0" w:space="0" w:color="auto"/>
          </w:divBdr>
          <w:divsChild>
            <w:div w:id="437215216">
              <w:marLeft w:val="0"/>
              <w:marRight w:val="0"/>
              <w:marTop w:val="240"/>
              <w:marBottom w:val="0"/>
              <w:divBdr>
                <w:top w:val="none" w:sz="0" w:space="0" w:color="auto"/>
                <w:left w:val="none" w:sz="0" w:space="0" w:color="auto"/>
                <w:bottom w:val="none" w:sz="0" w:space="0" w:color="auto"/>
                <w:right w:val="none" w:sz="0" w:space="0" w:color="auto"/>
              </w:divBdr>
              <w:divsChild>
                <w:div w:id="974022223">
                  <w:marLeft w:val="0"/>
                  <w:marRight w:val="0"/>
                  <w:marTop w:val="0"/>
                  <w:marBottom w:val="0"/>
                  <w:divBdr>
                    <w:top w:val="none" w:sz="0" w:space="0" w:color="auto"/>
                    <w:left w:val="none" w:sz="0" w:space="0" w:color="auto"/>
                    <w:bottom w:val="none" w:sz="0" w:space="0" w:color="auto"/>
                    <w:right w:val="none" w:sz="0" w:space="0" w:color="auto"/>
                  </w:divBdr>
                </w:div>
              </w:divsChild>
            </w:div>
            <w:div w:id="780956685">
              <w:marLeft w:val="0"/>
              <w:marRight w:val="0"/>
              <w:marTop w:val="240"/>
              <w:marBottom w:val="0"/>
              <w:divBdr>
                <w:top w:val="none" w:sz="0" w:space="0" w:color="auto"/>
                <w:left w:val="none" w:sz="0" w:space="0" w:color="auto"/>
                <w:bottom w:val="none" w:sz="0" w:space="0" w:color="auto"/>
                <w:right w:val="none" w:sz="0" w:space="0" w:color="auto"/>
              </w:divBdr>
            </w:div>
            <w:div w:id="851838086">
              <w:marLeft w:val="0"/>
              <w:marRight w:val="0"/>
              <w:marTop w:val="0"/>
              <w:marBottom w:val="0"/>
              <w:divBdr>
                <w:top w:val="none" w:sz="0" w:space="0" w:color="auto"/>
                <w:left w:val="none" w:sz="0" w:space="0" w:color="auto"/>
                <w:bottom w:val="none" w:sz="0" w:space="0" w:color="auto"/>
                <w:right w:val="none" w:sz="0" w:space="0" w:color="auto"/>
              </w:divBdr>
            </w:div>
            <w:div w:id="1089037220">
              <w:marLeft w:val="0"/>
              <w:marRight w:val="0"/>
              <w:marTop w:val="240"/>
              <w:marBottom w:val="0"/>
              <w:divBdr>
                <w:top w:val="none" w:sz="0" w:space="0" w:color="auto"/>
                <w:left w:val="none" w:sz="0" w:space="0" w:color="auto"/>
                <w:bottom w:val="none" w:sz="0" w:space="0" w:color="auto"/>
                <w:right w:val="none" w:sz="0" w:space="0" w:color="auto"/>
              </w:divBdr>
              <w:divsChild>
                <w:div w:id="451486877">
                  <w:marLeft w:val="0"/>
                  <w:marRight w:val="0"/>
                  <w:marTop w:val="0"/>
                  <w:marBottom w:val="0"/>
                  <w:divBdr>
                    <w:top w:val="none" w:sz="0" w:space="0" w:color="auto"/>
                    <w:left w:val="none" w:sz="0" w:space="0" w:color="auto"/>
                    <w:bottom w:val="none" w:sz="0" w:space="0" w:color="auto"/>
                    <w:right w:val="none" w:sz="0" w:space="0" w:color="auto"/>
                  </w:divBdr>
                </w:div>
              </w:divsChild>
            </w:div>
            <w:div w:id="1725835341">
              <w:marLeft w:val="0"/>
              <w:marRight w:val="0"/>
              <w:marTop w:val="240"/>
              <w:marBottom w:val="0"/>
              <w:divBdr>
                <w:top w:val="none" w:sz="0" w:space="0" w:color="auto"/>
                <w:left w:val="none" w:sz="0" w:space="0" w:color="auto"/>
                <w:bottom w:val="none" w:sz="0" w:space="0" w:color="auto"/>
                <w:right w:val="none" w:sz="0" w:space="0" w:color="auto"/>
              </w:divBdr>
              <w:divsChild>
                <w:div w:id="4596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3569">
          <w:marLeft w:val="0"/>
          <w:marRight w:val="0"/>
          <w:marTop w:val="240"/>
          <w:marBottom w:val="0"/>
          <w:divBdr>
            <w:top w:val="none" w:sz="0" w:space="0" w:color="auto"/>
            <w:left w:val="none" w:sz="0" w:space="0" w:color="auto"/>
            <w:bottom w:val="none" w:sz="0" w:space="0" w:color="auto"/>
            <w:right w:val="none" w:sz="0" w:space="0" w:color="auto"/>
          </w:divBdr>
          <w:divsChild>
            <w:div w:id="1876889186">
              <w:marLeft w:val="0"/>
              <w:marRight w:val="0"/>
              <w:marTop w:val="0"/>
              <w:marBottom w:val="0"/>
              <w:divBdr>
                <w:top w:val="none" w:sz="0" w:space="0" w:color="auto"/>
                <w:left w:val="none" w:sz="0" w:space="0" w:color="auto"/>
                <w:bottom w:val="none" w:sz="0" w:space="0" w:color="auto"/>
                <w:right w:val="none" w:sz="0" w:space="0" w:color="auto"/>
              </w:divBdr>
            </w:div>
          </w:divsChild>
        </w:div>
        <w:div w:id="1812408723">
          <w:marLeft w:val="0"/>
          <w:marRight w:val="0"/>
          <w:marTop w:val="240"/>
          <w:marBottom w:val="0"/>
          <w:divBdr>
            <w:top w:val="none" w:sz="0" w:space="0" w:color="auto"/>
            <w:left w:val="none" w:sz="0" w:space="0" w:color="auto"/>
            <w:bottom w:val="none" w:sz="0" w:space="0" w:color="auto"/>
            <w:right w:val="none" w:sz="0" w:space="0" w:color="auto"/>
          </w:divBdr>
          <w:divsChild>
            <w:div w:id="479659104">
              <w:marLeft w:val="0"/>
              <w:marRight w:val="0"/>
              <w:marTop w:val="0"/>
              <w:marBottom w:val="0"/>
              <w:divBdr>
                <w:top w:val="none" w:sz="0" w:space="0" w:color="auto"/>
                <w:left w:val="none" w:sz="0" w:space="0" w:color="auto"/>
                <w:bottom w:val="none" w:sz="0" w:space="0" w:color="auto"/>
                <w:right w:val="none" w:sz="0" w:space="0" w:color="auto"/>
              </w:divBdr>
            </w:div>
          </w:divsChild>
        </w:div>
        <w:div w:id="2015185562">
          <w:marLeft w:val="0"/>
          <w:marRight w:val="0"/>
          <w:marTop w:val="240"/>
          <w:marBottom w:val="0"/>
          <w:divBdr>
            <w:top w:val="none" w:sz="0" w:space="0" w:color="auto"/>
            <w:left w:val="none" w:sz="0" w:space="0" w:color="auto"/>
            <w:bottom w:val="none" w:sz="0" w:space="0" w:color="auto"/>
            <w:right w:val="none" w:sz="0" w:space="0" w:color="auto"/>
          </w:divBdr>
          <w:divsChild>
            <w:div w:id="658463563">
              <w:marLeft w:val="0"/>
              <w:marRight w:val="0"/>
              <w:marTop w:val="0"/>
              <w:marBottom w:val="0"/>
              <w:divBdr>
                <w:top w:val="none" w:sz="0" w:space="0" w:color="auto"/>
                <w:left w:val="none" w:sz="0" w:space="0" w:color="auto"/>
                <w:bottom w:val="none" w:sz="0" w:space="0" w:color="auto"/>
                <w:right w:val="none" w:sz="0" w:space="0" w:color="auto"/>
              </w:divBdr>
            </w:div>
          </w:divsChild>
        </w:div>
        <w:div w:id="2112777338">
          <w:marLeft w:val="0"/>
          <w:marRight w:val="0"/>
          <w:marTop w:val="240"/>
          <w:marBottom w:val="0"/>
          <w:divBdr>
            <w:top w:val="none" w:sz="0" w:space="0" w:color="auto"/>
            <w:left w:val="none" w:sz="0" w:space="0" w:color="auto"/>
            <w:bottom w:val="none" w:sz="0" w:space="0" w:color="auto"/>
            <w:right w:val="none" w:sz="0" w:space="0" w:color="auto"/>
          </w:divBdr>
          <w:divsChild>
            <w:div w:id="18492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49444">
      <w:bodyDiv w:val="1"/>
      <w:marLeft w:val="0"/>
      <w:marRight w:val="0"/>
      <w:marTop w:val="0"/>
      <w:marBottom w:val="0"/>
      <w:divBdr>
        <w:top w:val="none" w:sz="0" w:space="0" w:color="auto"/>
        <w:left w:val="none" w:sz="0" w:space="0" w:color="auto"/>
        <w:bottom w:val="none" w:sz="0" w:space="0" w:color="auto"/>
        <w:right w:val="none" w:sz="0" w:space="0" w:color="auto"/>
      </w:divBdr>
      <w:divsChild>
        <w:div w:id="1274240412">
          <w:marLeft w:val="0"/>
          <w:marRight w:val="150"/>
          <w:marTop w:val="0"/>
          <w:marBottom w:val="0"/>
          <w:divBdr>
            <w:top w:val="none" w:sz="0" w:space="0" w:color="auto"/>
            <w:left w:val="none" w:sz="0" w:space="0" w:color="auto"/>
            <w:bottom w:val="none" w:sz="0" w:space="0" w:color="auto"/>
            <w:right w:val="none" w:sz="0" w:space="0" w:color="auto"/>
          </w:divBdr>
          <w:divsChild>
            <w:div w:id="359747054">
              <w:marLeft w:val="0"/>
              <w:marRight w:val="0"/>
              <w:marTop w:val="0"/>
              <w:marBottom w:val="0"/>
              <w:divBdr>
                <w:top w:val="none" w:sz="0" w:space="0" w:color="auto"/>
                <w:left w:val="none" w:sz="0" w:space="0" w:color="auto"/>
                <w:bottom w:val="none" w:sz="0" w:space="0" w:color="auto"/>
                <w:right w:val="none" w:sz="0" w:space="0" w:color="auto"/>
              </w:divBdr>
              <w:divsChild>
                <w:div w:id="2063287541">
                  <w:marLeft w:val="0"/>
                  <w:marRight w:val="0"/>
                  <w:marTop w:val="0"/>
                  <w:marBottom w:val="0"/>
                  <w:divBdr>
                    <w:top w:val="none" w:sz="0" w:space="0" w:color="auto"/>
                    <w:left w:val="none" w:sz="0" w:space="0" w:color="auto"/>
                    <w:bottom w:val="none" w:sz="0" w:space="0" w:color="auto"/>
                    <w:right w:val="none" w:sz="0" w:space="0" w:color="auto"/>
                  </w:divBdr>
                  <w:divsChild>
                    <w:div w:id="27996540">
                      <w:marLeft w:val="0"/>
                      <w:marRight w:val="0"/>
                      <w:marTop w:val="0"/>
                      <w:marBottom w:val="0"/>
                      <w:divBdr>
                        <w:top w:val="none" w:sz="0" w:space="0" w:color="auto"/>
                        <w:left w:val="none" w:sz="0" w:space="0" w:color="auto"/>
                        <w:bottom w:val="none" w:sz="0" w:space="0" w:color="auto"/>
                        <w:right w:val="none" w:sz="0" w:space="0" w:color="auto"/>
                      </w:divBdr>
                    </w:div>
                    <w:div w:id="432364927">
                      <w:marLeft w:val="0"/>
                      <w:marRight w:val="0"/>
                      <w:marTop w:val="0"/>
                      <w:marBottom w:val="0"/>
                      <w:divBdr>
                        <w:top w:val="none" w:sz="0" w:space="0" w:color="auto"/>
                        <w:left w:val="none" w:sz="0" w:space="0" w:color="auto"/>
                        <w:bottom w:val="none" w:sz="0" w:space="0" w:color="auto"/>
                        <w:right w:val="none" w:sz="0" w:space="0" w:color="auto"/>
                      </w:divBdr>
                    </w:div>
                    <w:div w:id="761529284">
                      <w:marLeft w:val="0"/>
                      <w:marRight w:val="0"/>
                      <w:marTop w:val="0"/>
                      <w:marBottom w:val="0"/>
                      <w:divBdr>
                        <w:top w:val="none" w:sz="0" w:space="0" w:color="auto"/>
                        <w:left w:val="none" w:sz="0" w:space="0" w:color="auto"/>
                        <w:bottom w:val="none" w:sz="0" w:space="0" w:color="auto"/>
                        <w:right w:val="none" w:sz="0" w:space="0" w:color="auto"/>
                      </w:divBdr>
                    </w:div>
                    <w:div w:id="1236359035">
                      <w:marLeft w:val="0"/>
                      <w:marRight w:val="0"/>
                      <w:marTop w:val="0"/>
                      <w:marBottom w:val="0"/>
                      <w:divBdr>
                        <w:top w:val="none" w:sz="0" w:space="0" w:color="auto"/>
                        <w:left w:val="none" w:sz="0" w:space="0" w:color="auto"/>
                        <w:bottom w:val="none" w:sz="0" w:space="0" w:color="auto"/>
                        <w:right w:val="none" w:sz="0" w:space="0" w:color="auto"/>
                      </w:divBdr>
                    </w:div>
                    <w:div w:id="1912428090">
                      <w:marLeft w:val="0"/>
                      <w:marRight w:val="0"/>
                      <w:marTop w:val="0"/>
                      <w:marBottom w:val="0"/>
                      <w:divBdr>
                        <w:top w:val="none" w:sz="0" w:space="0" w:color="auto"/>
                        <w:left w:val="none" w:sz="0" w:space="0" w:color="auto"/>
                        <w:bottom w:val="none" w:sz="0" w:space="0" w:color="auto"/>
                        <w:right w:val="none" w:sz="0" w:space="0" w:color="auto"/>
                      </w:divBdr>
                    </w:div>
                    <w:div w:id="1963926650">
                      <w:marLeft w:val="0"/>
                      <w:marRight w:val="0"/>
                      <w:marTop w:val="0"/>
                      <w:marBottom w:val="0"/>
                      <w:divBdr>
                        <w:top w:val="none" w:sz="0" w:space="0" w:color="auto"/>
                        <w:left w:val="none" w:sz="0" w:space="0" w:color="auto"/>
                        <w:bottom w:val="none" w:sz="0" w:space="0" w:color="auto"/>
                        <w:right w:val="none" w:sz="0" w:space="0" w:color="auto"/>
                      </w:divBdr>
                    </w:div>
                    <w:div w:id="20189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442392">
      <w:bodyDiv w:val="1"/>
      <w:marLeft w:val="0"/>
      <w:marRight w:val="0"/>
      <w:marTop w:val="0"/>
      <w:marBottom w:val="0"/>
      <w:divBdr>
        <w:top w:val="none" w:sz="0" w:space="0" w:color="auto"/>
        <w:left w:val="none" w:sz="0" w:space="0" w:color="auto"/>
        <w:bottom w:val="none" w:sz="0" w:space="0" w:color="auto"/>
        <w:right w:val="none" w:sz="0" w:space="0" w:color="auto"/>
      </w:divBdr>
      <w:divsChild>
        <w:div w:id="375282316">
          <w:marLeft w:val="0"/>
          <w:marRight w:val="0"/>
          <w:marTop w:val="0"/>
          <w:marBottom w:val="0"/>
          <w:divBdr>
            <w:top w:val="none" w:sz="0" w:space="0" w:color="auto"/>
            <w:left w:val="single" w:sz="6" w:space="0" w:color="BBBBBB"/>
            <w:bottom w:val="single" w:sz="6" w:space="0" w:color="BBBBBB"/>
            <w:right w:val="single" w:sz="6" w:space="0" w:color="BBBBBB"/>
          </w:divBdr>
          <w:divsChild>
            <w:div w:id="974264079">
              <w:marLeft w:val="0"/>
              <w:marRight w:val="0"/>
              <w:marTop w:val="0"/>
              <w:marBottom w:val="0"/>
              <w:divBdr>
                <w:top w:val="none" w:sz="0" w:space="0" w:color="auto"/>
                <w:left w:val="none" w:sz="0" w:space="0" w:color="auto"/>
                <w:bottom w:val="none" w:sz="0" w:space="0" w:color="auto"/>
                <w:right w:val="none" w:sz="0" w:space="0" w:color="auto"/>
              </w:divBdr>
              <w:divsChild>
                <w:div w:id="1680541838">
                  <w:marLeft w:val="0"/>
                  <w:marRight w:val="0"/>
                  <w:marTop w:val="75"/>
                  <w:marBottom w:val="0"/>
                  <w:divBdr>
                    <w:top w:val="none" w:sz="0" w:space="0" w:color="auto"/>
                    <w:left w:val="none" w:sz="0" w:space="0" w:color="auto"/>
                    <w:bottom w:val="none" w:sz="0" w:space="0" w:color="auto"/>
                    <w:right w:val="none" w:sz="0" w:space="0" w:color="auto"/>
                  </w:divBdr>
                  <w:divsChild>
                    <w:div w:id="1271738731">
                      <w:marLeft w:val="0"/>
                      <w:marRight w:val="0"/>
                      <w:marTop w:val="0"/>
                      <w:marBottom w:val="0"/>
                      <w:divBdr>
                        <w:top w:val="none" w:sz="0" w:space="0" w:color="auto"/>
                        <w:left w:val="none" w:sz="0" w:space="0" w:color="auto"/>
                        <w:bottom w:val="none" w:sz="0" w:space="0" w:color="auto"/>
                        <w:right w:val="none" w:sz="0" w:space="0" w:color="auto"/>
                      </w:divBdr>
                      <w:divsChild>
                        <w:div w:id="112288023">
                          <w:marLeft w:val="0"/>
                          <w:marRight w:val="0"/>
                          <w:marTop w:val="0"/>
                          <w:marBottom w:val="0"/>
                          <w:divBdr>
                            <w:top w:val="none" w:sz="0" w:space="0" w:color="auto"/>
                            <w:left w:val="none" w:sz="0" w:space="0" w:color="auto"/>
                            <w:bottom w:val="none" w:sz="0" w:space="0" w:color="auto"/>
                            <w:right w:val="none" w:sz="0" w:space="0" w:color="auto"/>
                          </w:divBdr>
                          <w:divsChild>
                            <w:div w:id="549075438">
                              <w:marLeft w:val="0"/>
                              <w:marRight w:val="0"/>
                              <w:marTop w:val="0"/>
                              <w:marBottom w:val="0"/>
                              <w:divBdr>
                                <w:top w:val="none" w:sz="0" w:space="0" w:color="auto"/>
                                <w:left w:val="none" w:sz="0" w:space="0" w:color="auto"/>
                                <w:bottom w:val="none" w:sz="0" w:space="0" w:color="auto"/>
                                <w:right w:val="none" w:sz="0" w:space="0" w:color="auto"/>
                              </w:divBdr>
                              <w:divsChild>
                                <w:div w:id="1238369851">
                                  <w:marLeft w:val="0"/>
                                  <w:marRight w:val="0"/>
                                  <w:marTop w:val="0"/>
                                  <w:marBottom w:val="0"/>
                                  <w:divBdr>
                                    <w:top w:val="none" w:sz="0" w:space="0" w:color="auto"/>
                                    <w:left w:val="none" w:sz="0" w:space="0" w:color="auto"/>
                                    <w:bottom w:val="none" w:sz="0" w:space="0" w:color="auto"/>
                                    <w:right w:val="none" w:sz="0" w:space="0" w:color="auto"/>
                                  </w:divBdr>
                                  <w:divsChild>
                                    <w:div w:id="1919973099">
                                      <w:marLeft w:val="0"/>
                                      <w:marRight w:val="0"/>
                                      <w:marTop w:val="0"/>
                                      <w:marBottom w:val="0"/>
                                      <w:divBdr>
                                        <w:top w:val="none" w:sz="0" w:space="0" w:color="auto"/>
                                        <w:left w:val="none" w:sz="0" w:space="0" w:color="auto"/>
                                        <w:bottom w:val="none" w:sz="0" w:space="0" w:color="auto"/>
                                        <w:right w:val="none" w:sz="0" w:space="0" w:color="auto"/>
                                      </w:divBdr>
                                      <w:divsChild>
                                        <w:div w:id="1735277522">
                                          <w:marLeft w:val="1200"/>
                                          <w:marRight w:val="1200"/>
                                          <w:marTop w:val="0"/>
                                          <w:marBottom w:val="0"/>
                                          <w:divBdr>
                                            <w:top w:val="none" w:sz="0" w:space="0" w:color="auto"/>
                                            <w:left w:val="none" w:sz="0" w:space="0" w:color="auto"/>
                                            <w:bottom w:val="none" w:sz="0" w:space="0" w:color="auto"/>
                                            <w:right w:val="none" w:sz="0" w:space="0" w:color="auto"/>
                                          </w:divBdr>
                                          <w:divsChild>
                                            <w:div w:id="577981027">
                                              <w:marLeft w:val="0"/>
                                              <w:marRight w:val="0"/>
                                              <w:marTop w:val="0"/>
                                              <w:marBottom w:val="0"/>
                                              <w:divBdr>
                                                <w:top w:val="none" w:sz="0" w:space="0" w:color="auto"/>
                                                <w:left w:val="none" w:sz="0" w:space="0" w:color="auto"/>
                                                <w:bottom w:val="none" w:sz="0" w:space="0" w:color="auto"/>
                                                <w:right w:val="none" w:sz="0" w:space="0" w:color="auto"/>
                                              </w:divBdr>
                                              <w:divsChild>
                                                <w:div w:id="134956725">
                                                  <w:marLeft w:val="0"/>
                                                  <w:marRight w:val="0"/>
                                                  <w:marTop w:val="0"/>
                                                  <w:marBottom w:val="0"/>
                                                  <w:divBdr>
                                                    <w:top w:val="none" w:sz="0" w:space="0" w:color="auto"/>
                                                    <w:left w:val="none" w:sz="0" w:space="0" w:color="auto"/>
                                                    <w:bottom w:val="none" w:sz="0" w:space="0" w:color="auto"/>
                                                    <w:right w:val="none" w:sz="0" w:space="0" w:color="auto"/>
                                                  </w:divBdr>
                                                  <w:divsChild>
                                                    <w:div w:id="467209881">
                                                      <w:marLeft w:val="0"/>
                                                      <w:marRight w:val="0"/>
                                                      <w:marTop w:val="0"/>
                                                      <w:marBottom w:val="0"/>
                                                      <w:divBdr>
                                                        <w:top w:val="none" w:sz="0" w:space="0" w:color="auto"/>
                                                        <w:left w:val="none" w:sz="0" w:space="0" w:color="auto"/>
                                                        <w:bottom w:val="none" w:sz="0" w:space="0" w:color="auto"/>
                                                        <w:right w:val="none" w:sz="0" w:space="0" w:color="auto"/>
                                                      </w:divBdr>
                                                      <w:divsChild>
                                                        <w:div w:id="766999208">
                                                          <w:marLeft w:val="0"/>
                                                          <w:marRight w:val="0"/>
                                                          <w:marTop w:val="0"/>
                                                          <w:marBottom w:val="0"/>
                                                          <w:divBdr>
                                                            <w:top w:val="none" w:sz="0" w:space="0" w:color="auto"/>
                                                            <w:left w:val="none" w:sz="0" w:space="0" w:color="auto"/>
                                                            <w:bottom w:val="none" w:sz="0" w:space="0" w:color="auto"/>
                                                            <w:right w:val="none" w:sz="0" w:space="0" w:color="auto"/>
                                                          </w:divBdr>
                                                          <w:divsChild>
                                                            <w:div w:id="694579536">
                                                              <w:marLeft w:val="0"/>
                                                              <w:marRight w:val="0"/>
                                                              <w:marTop w:val="0"/>
                                                              <w:marBottom w:val="0"/>
                                                              <w:divBdr>
                                                                <w:top w:val="none" w:sz="0" w:space="0" w:color="auto"/>
                                                                <w:left w:val="none" w:sz="0" w:space="0" w:color="auto"/>
                                                                <w:bottom w:val="none" w:sz="0" w:space="0" w:color="auto"/>
                                                                <w:right w:val="none" w:sz="0" w:space="0" w:color="auto"/>
                                                              </w:divBdr>
                                                              <w:divsChild>
                                                                <w:div w:id="2047483226">
                                                                  <w:marLeft w:val="0"/>
                                                                  <w:marRight w:val="0"/>
                                                                  <w:marTop w:val="0"/>
                                                                  <w:marBottom w:val="0"/>
                                                                  <w:divBdr>
                                                                    <w:top w:val="none" w:sz="0" w:space="0" w:color="auto"/>
                                                                    <w:left w:val="none" w:sz="0" w:space="0" w:color="auto"/>
                                                                    <w:bottom w:val="none" w:sz="0" w:space="0" w:color="auto"/>
                                                                    <w:right w:val="none" w:sz="0" w:space="0" w:color="auto"/>
                                                                  </w:divBdr>
                                                                  <w:divsChild>
                                                                    <w:div w:id="219636515">
                                                                      <w:marLeft w:val="0"/>
                                                                      <w:marRight w:val="0"/>
                                                                      <w:marTop w:val="0"/>
                                                                      <w:marBottom w:val="0"/>
                                                                      <w:divBdr>
                                                                        <w:top w:val="none" w:sz="0" w:space="0" w:color="auto"/>
                                                                        <w:left w:val="none" w:sz="0" w:space="0" w:color="auto"/>
                                                                        <w:bottom w:val="none" w:sz="0" w:space="0" w:color="auto"/>
                                                                        <w:right w:val="none" w:sz="0" w:space="0" w:color="auto"/>
                                                                      </w:divBdr>
                                                                      <w:divsChild>
                                                                        <w:div w:id="2110813603">
                                                                          <w:marLeft w:val="0"/>
                                                                          <w:marRight w:val="0"/>
                                                                          <w:marTop w:val="0"/>
                                                                          <w:marBottom w:val="0"/>
                                                                          <w:divBdr>
                                                                            <w:top w:val="none" w:sz="0" w:space="0" w:color="auto"/>
                                                                            <w:left w:val="none" w:sz="0" w:space="0" w:color="auto"/>
                                                                            <w:bottom w:val="none" w:sz="0" w:space="0" w:color="auto"/>
                                                                            <w:right w:val="none" w:sz="0" w:space="0" w:color="auto"/>
                                                                          </w:divBdr>
                                                                        </w:div>
                                                                      </w:divsChild>
                                                                    </w:div>
                                                                    <w:div w:id="1170948581">
                                                                      <w:marLeft w:val="0"/>
                                                                      <w:marRight w:val="0"/>
                                                                      <w:marTop w:val="0"/>
                                                                      <w:marBottom w:val="0"/>
                                                                      <w:divBdr>
                                                                        <w:top w:val="none" w:sz="0" w:space="0" w:color="auto"/>
                                                                        <w:left w:val="none" w:sz="0" w:space="0" w:color="auto"/>
                                                                        <w:bottom w:val="none" w:sz="0" w:space="0" w:color="auto"/>
                                                                        <w:right w:val="none" w:sz="0" w:space="0" w:color="auto"/>
                                                                      </w:divBdr>
                                                                      <w:divsChild>
                                                                        <w:div w:id="1407417318">
                                                                          <w:marLeft w:val="0"/>
                                                                          <w:marRight w:val="0"/>
                                                                          <w:marTop w:val="0"/>
                                                                          <w:marBottom w:val="0"/>
                                                                          <w:divBdr>
                                                                            <w:top w:val="none" w:sz="0" w:space="0" w:color="auto"/>
                                                                            <w:left w:val="none" w:sz="0" w:space="0" w:color="auto"/>
                                                                            <w:bottom w:val="none" w:sz="0" w:space="0" w:color="auto"/>
                                                                            <w:right w:val="none" w:sz="0" w:space="0" w:color="auto"/>
                                                                          </w:divBdr>
                                                                        </w:div>
                                                                      </w:divsChild>
                                                                    </w:div>
                                                                    <w:div w:id="1261796791">
                                                                      <w:marLeft w:val="0"/>
                                                                      <w:marRight w:val="0"/>
                                                                      <w:marTop w:val="0"/>
                                                                      <w:marBottom w:val="0"/>
                                                                      <w:divBdr>
                                                                        <w:top w:val="none" w:sz="0" w:space="0" w:color="auto"/>
                                                                        <w:left w:val="none" w:sz="0" w:space="0" w:color="auto"/>
                                                                        <w:bottom w:val="none" w:sz="0" w:space="0" w:color="auto"/>
                                                                        <w:right w:val="none" w:sz="0" w:space="0" w:color="auto"/>
                                                                      </w:divBdr>
                                                                      <w:divsChild>
                                                                        <w:div w:id="17224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827828">
      <w:bodyDiv w:val="1"/>
      <w:marLeft w:val="0"/>
      <w:marRight w:val="0"/>
      <w:marTop w:val="0"/>
      <w:marBottom w:val="0"/>
      <w:divBdr>
        <w:top w:val="none" w:sz="0" w:space="0" w:color="auto"/>
        <w:left w:val="none" w:sz="0" w:space="0" w:color="auto"/>
        <w:bottom w:val="none" w:sz="0" w:space="0" w:color="auto"/>
        <w:right w:val="none" w:sz="0" w:space="0" w:color="auto"/>
      </w:divBdr>
      <w:divsChild>
        <w:div w:id="2013293003">
          <w:marLeft w:val="0"/>
          <w:marRight w:val="0"/>
          <w:marTop w:val="0"/>
          <w:marBottom w:val="0"/>
          <w:divBdr>
            <w:top w:val="none" w:sz="0" w:space="0" w:color="auto"/>
            <w:left w:val="none" w:sz="0" w:space="0" w:color="auto"/>
            <w:bottom w:val="none" w:sz="0" w:space="0" w:color="auto"/>
            <w:right w:val="none" w:sz="0" w:space="0" w:color="auto"/>
          </w:divBdr>
          <w:divsChild>
            <w:div w:id="334380780">
              <w:marLeft w:val="0"/>
              <w:marRight w:val="0"/>
              <w:marTop w:val="0"/>
              <w:marBottom w:val="0"/>
              <w:divBdr>
                <w:top w:val="none" w:sz="0" w:space="0" w:color="auto"/>
                <w:left w:val="none" w:sz="0" w:space="0" w:color="auto"/>
                <w:bottom w:val="none" w:sz="0" w:space="0" w:color="auto"/>
                <w:right w:val="none" w:sz="0" w:space="0" w:color="auto"/>
              </w:divBdr>
              <w:divsChild>
                <w:div w:id="1979259159">
                  <w:marLeft w:val="0"/>
                  <w:marRight w:val="0"/>
                  <w:marTop w:val="0"/>
                  <w:marBottom w:val="0"/>
                  <w:divBdr>
                    <w:top w:val="none" w:sz="0" w:space="0" w:color="auto"/>
                    <w:left w:val="none" w:sz="0" w:space="0" w:color="auto"/>
                    <w:bottom w:val="none" w:sz="0" w:space="0" w:color="auto"/>
                    <w:right w:val="none" w:sz="0" w:space="0" w:color="auto"/>
                  </w:divBdr>
                  <w:divsChild>
                    <w:div w:id="1447120868">
                      <w:marLeft w:val="0"/>
                      <w:marRight w:val="0"/>
                      <w:marTop w:val="0"/>
                      <w:marBottom w:val="375"/>
                      <w:divBdr>
                        <w:top w:val="none" w:sz="0" w:space="0" w:color="auto"/>
                        <w:left w:val="none" w:sz="0" w:space="0" w:color="auto"/>
                        <w:bottom w:val="none" w:sz="0" w:space="0" w:color="auto"/>
                        <w:right w:val="none" w:sz="0" w:space="0" w:color="auto"/>
                      </w:divBdr>
                      <w:divsChild>
                        <w:div w:id="15297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216664">
      <w:bodyDiv w:val="1"/>
      <w:marLeft w:val="0"/>
      <w:marRight w:val="0"/>
      <w:marTop w:val="0"/>
      <w:marBottom w:val="0"/>
      <w:divBdr>
        <w:top w:val="none" w:sz="0" w:space="0" w:color="auto"/>
        <w:left w:val="none" w:sz="0" w:space="0" w:color="auto"/>
        <w:bottom w:val="none" w:sz="0" w:space="0" w:color="auto"/>
        <w:right w:val="none" w:sz="0" w:space="0" w:color="auto"/>
      </w:divBdr>
      <w:divsChild>
        <w:div w:id="1305890469">
          <w:marLeft w:val="0"/>
          <w:marRight w:val="0"/>
          <w:marTop w:val="0"/>
          <w:marBottom w:val="0"/>
          <w:divBdr>
            <w:top w:val="none" w:sz="0" w:space="0" w:color="auto"/>
            <w:left w:val="none" w:sz="0" w:space="0" w:color="auto"/>
            <w:bottom w:val="none" w:sz="0" w:space="0" w:color="auto"/>
            <w:right w:val="none" w:sz="0" w:space="0" w:color="auto"/>
          </w:divBdr>
          <w:divsChild>
            <w:div w:id="890732271">
              <w:marLeft w:val="0"/>
              <w:marRight w:val="0"/>
              <w:marTop w:val="0"/>
              <w:marBottom w:val="0"/>
              <w:divBdr>
                <w:top w:val="none" w:sz="0" w:space="0" w:color="auto"/>
                <w:left w:val="none" w:sz="0" w:space="0" w:color="auto"/>
                <w:bottom w:val="none" w:sz="0" w:space="0" w:color="auto"/>
                <w:right w:val="none" w:sz="0" w:space="0" w:color="auto"/>
              </w:divBdr>
              <w:divsChild>
                <w:div w:id="636035806">
                  <w:marLeft w:val="0"/>
                  <w:marRight w:val="0"/>
                  <w:marTop w:val="0"/>
                  <w:marBottom w:val="0"/>
                  <w:divBdr>
                    <w:top w:val="none" w:sz="0" w:space="0" w:color="auto"/>
                    <w:left w:val="none" w:sz="0" w:space="0" w:color="auto"/>
                    <w:bottom w:val="none" w:sz="0" w:space="0" w:color="auto"/>
                    <w:right w:val="none" w:sz="0" w:space="0" w:color="auto"/>
                  </w:divBdr>
                  <w:divsChild>
                    <w:div w:id="1226801055">
                      <w:marLeft w:val="0"/>
                      <w:marRight w:val="0"/>
                      <w:marTop w:val="0"/>
                      <w:marBottom w:val="0"/>
                      <w:divBdr>
                        <w:top w:val="none" w:sz="0" w:space="0" w:color="auto"/>
                        <w:left w:val="none" w:sz="0" w:space="0" w:color="auto"/>
                        <w:bottom w:val="none" w:sz="0" w:space="0" w:color="auto"/>
                        <w:right w:val="none" w:sz="0" w:space="0" w:color="auto"/>
                      </w:divBdr>
                      <w:divsChild>
                        <w:div w:id="1939561504">
                          <w:marLeft w:val="0"/>
                          <w:marRight w:val="0"/>
                          <w:marTop w:val="0"/>
                          <w:marBottom w:val="0"/>
                          <w:divBdr>
                            <w:top w:val="none" w:sz="0" w:space="0" w:color="auto"/>
                            <w:left w:val="none" w:sz="0" w:space="0" w:color="auto"/>
                            <w:bottom w:val="none" w:sz="0" w:space="0" w:color="auto"/>
                            <w:right w:val="none" w:sz="0" w:space="0" w:color="auto"/>
                          </w:divBdr>
                          <w:divsChild>
                            <w:div w:id="1842429352">
                              <w:marLeft w:val="0"/>
                              <w:marRight w:val="0"/>
                              <w:marTop w:val="0"/>
                              <w:marBottom w:val="0"/>
                              <w:divBdr>
                                <w:top w:val="none" w:sz="0" w:space="0" w:color="auto"/>
                                <w:left w:val="none" w:sz="0" w:space="0" w:color="auto"/>
                                <w:bottom w:val="none" w:sz="0" w:space="0" w:color="auto"/>
                                <w:right w:val="none" w:sz="0" w:space="0" w:color="auto"/>
                              </w:divBdr>
                              <w:divsChild>
                                <w:div w:id="130196300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750126">
      <w:bodyDiv w:val="1"/>
      <w:marLeft w:val="0"/>
      <w:marRight w:val="0"/>
      <w:marTop w:val="0"/>
      <w:marBottom w:val="0"/>
      <w:divBdr>
        <w:top w:val="none" w:sz="0" w:space="0" w:color="auto"/>
        <w:left w:val="none" w:sz="0" w:space="0" w:color="auto"/>
        <w:bottom w:val="none" w:sz="0" w:space="0" w:color="auto"/>
        <w:right w:val="none" w:sz="0" w:space="0" w:color="auto"/>
      </w:divBdr>
      <w:divsChild>
        <w:div w:id="819661582">
          <w:marLeft w:val="0"/>
          <w:marRight w:val="0"/>
          <w:marTop w:val="240"/>
          <w:marBottom w:val="0"/>
          <w:divBdr>
            <w:top w:val="none" w:sz="0" w:space="0" w:color="auto"/>
            <w:left w:val="none" w:sz="0" w:space="0" w:color="auto"/>
            <w:bottom w:val="none" w:sz="0" w:space="0" w:color="auto"/>
            <w:right w:val="none" w:sz="0" w:space="0" w:color="auto"/>
          </w:divBdr>
          <w:divsChild>
            <w:div w:id="482696827">
              <w:marLeft w:val="0"/>
              <w:marRight w:val="0"/>
              <w:marTop w:val="0"/>
              <w:marBottom w:val="0"/>
              <w:divBdr>
                <w:top w:val="none" w:sz="0" w:space="0" w:color="auto"/>
                <w:left w:val="none" w:sz="0" w:space="0" w:color="auto"/>
                <w:bottom w:val="none" w:sz="0" w:space="0" w:color="auto"/>
                <w:right w:val="none" w:sz="0" w:space="0" w:color="auto"/>
              </w:divBdr>
            </w:div>
          </w:divsChild>
        </w:div>
        <w:div w:id="1235240908">
          <w:marLeft w:val="0"/>
          <w:marRight w:val="0"/>
          <w:marTop w:val="240"/>
          <w:marBottom w:val="0"/>
          <w:divBdr>
            <w:top w:val="none" w:sz="0" w:space="0" w:color="auto"/>
            <w:left w:val="none" w:sz="0" w:space="0" w:color="auto"/>
            <w:bottom w:val="none" w:sz="0" w:space="0" w:color="auto"/>
            <w:right w:val="none" w:sz="0" w:space="0" w:color="auto"/>
          </w:divBdr>
          <w:divsChild>
            <w:div w:id="801656616">
              <w:marLeft w:val="0"/>
              <w:marRight w:val="0"/>
              <w:marTop w:val="0"/>
              <w:marBottom w:val="0"/>
              <w:divBdr>
                <w:top w:val="none" w:sz="0" w:space="0" w:color="auto"/>
                <w:left w:val="none" w:sz="0" w:space="0" w:color="auto"/>
                <w:bottom w:val="none" w:sz="0" w:space="0" w:color="auto"/>
                <w:right w:val="none" w:sz="0" w:space="0" w:color="auto"/>
              </w:divBdr>
            </w:div>
          </w:divsChild>
        </w:div>
        <w:div w:id="841356018">
          <w:marLeft w:val="0"/>
          <w:marRight w:val="0"/>
          <w:marTop w:val="240"/>
          <w:marBottom w:val="0"/>
          <w:divBdr>
            <w:top w:val="none" w:sz="0" w:space="0" w:color="auto"/>
            <w:left w:val="none" w:sz="0" w:space="0" w:color="auto"/>
            <w:bottom w:val="none" w:sz="0" w:space="0" w:color="auto"/>
            <w:right w:val="none" w:sz="0" w:space="0" w:color="auto"/>
          </w:divBdr>
          <w:divsChild>
            <w:div w:id="118651850">
              <w:marLeft w:val="0"/>
              <w:marRight w:val="0"/>
              <w:marTop w:val="0"/>
              <w:marBottom w:val="0"/>
              <w:divBdr>
                <w:top w:val="none" w:sz="0" w:space="0" w:color="auto"/>
                <w:left w:val="none" w:sz="0" w:space="0" w:color="auto"/>
                <w:bottom w:val="none" w:sz="0" w:space="0" w:color="auto"/>
                <w:right w:val="none" w:sz="0" w:space="0" w:color="auto"/>
              </w:divBdr>
            </w:div>
          </w:divsChild>
        </w:div>
        <w:div w:id="308442586">
          <w:marLeft w:val="0"/>
          <w:marRight w:val="0"/>
          <w:marTop w:val="240"/>
          <w:marBottom w:val="0"/>
          <w:divBdr>
            <w:top w:val="none" w:sz="0" w:space="0" w:color="auto"/>
            <w:left w:val="none" w:sz="0" w:space="0" w:color="auto"/>
            <w:bottom w:val="none" w:sz="0" w:space="0" w:color="auto"/>
            <w:right w:val="none" w:sz="0" w:space="0" w:color="auto"/>
          </w:divBdr>
          <w:divsChild>
            <w:div w:id="1232689879">
              <w:marLeft w:val="0"/>
              <w:marRight w:val="0"/>
              <w:marTop w:val="0"/>
              <w:marBottom w:val="0"/>
              <w:divBdr>
                <w:top w:val="none" w:sz="0" w:space="0" w:color="auto"/>
                <w:left w:val="none" w:sz="0" w:space="0" w:color="auto"/>
                <w:bottom w:val="none" w:sz="0" w:space="0" w:color="auto"/>
                <w:right w:val="none" w:sz="0" w:space="0" w:color="auto"/>
              </w:divBdr>
            </w:div>
          </w:divsChild>
        </w:div>
        <w:div w:id="1589119247">
          <w:marLeft w:val="0"/>
          <w:marRight w:val="0"/>
          <w:marTop w:val="240"/>
          <w:marBottom w:val="0"/>
          <w:divBdr>
            <w:top w:val="none" w:sz="0" w:space="0" w:color="auto"/>
            <w:left w:val="none" w:sz="0" w:space="0" w:color="auto"/>
            <w:bottom w:val="none" w:sz="0" w:space="0" w:color="auto"/>
            <w:right w:val="none" w:sz="0" w:space="0" w:color="auto"/>
          </w:divBdr>
          <w:divsChild>
            <w:div w:id="1532496125">
              <w:marLeft w:val="0"/>
              <w:marRight w:val="0"/>
              <w:marTop w:val="0"/>
              <w:marBottom w:val="0"/>
              <w:divBdr>
                <w:top w:val="none" w:sz="0" w:space="0" w:color="auto"/>
                <w:left w:val="none" w:sz="0" w:space="0" w:color="auto"/>
                <w:bottom w:val="none" w:sz="0" w:space="0" w:color="auto"/>
                <w:right w:val="none" w:sz="0" w:space="0" w:color="auto"/>
              </w:divBdr>
            </w:div>
          </w:divsChild>
        </w:div>
        <w:div w:id="94056255">
          <w:marLeft w:val="0"/>
          <w:marRight w:val="0"/>
          <w:marTop w:val="240"/>
          <w:marBottom w:val="0"/>
          <w:divBdr>
            <w:top w:val="none" w:sz="0" w:space="0" w:color="auto"/>
            <w:left w:val="none" w:sz="0" w:space="0" w:color="auto"/>
            <w:bottom w:val="none" w:sz="0" w:space="0" w:color="auto"/>
            <w:right w:val="none" w:sz="0" w:space="0" w:color="auto"/>
          </w:divBdr>
        </w:div>
        <w:div w:id="1712343597">
          <w:marLeft w:val="0"/>
          <w:marRight w:val="0"/>
          <w:marTop w:val="0"/>
          <w:marBottom w:val="0"/>
          <w:divBdr>
            <w:top w:val="none" w:sz="0" w:space="0" w:color="auto"/>
            <w:left w:val="none" w:sz="0" w:space="0" w:color="auto"/>
            <w:bottom w:val="none" w:sz="0" w:space="0" w:color="auto"/>
            <w:right w:val="none" w:sz="0" w:space="0" w:color="auto"/>
          </w:divBdr>
          <w:divsChild>
            <w:div w:id="3330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9022">
      <w:bodyDiv w:val="1"/>
      <w:marLeft w:val="0"/>
      <w:marRight w:val="0"/>
      <w:marTop w:val="0"/>
      <w:marBottom w:val="0"/>
      <w:divBdr>
        <w:top w:val="none" w:sz="0" w:space="0" w:color="auto"/>
        <w:left w:val="none" w:sz="0" w:space="0" w:color="auto"/>
        <w:bottom w:val="none" w:sz="0" w:space="0" w:color="auto"/>
        <w:right w:val="none" w:sz="0" w:space="0" w:color="auto"/>
      </w:divBdr>
      <w:divsChild>
        <w:div w:id="242103101">
          <w:marLeft w:val="0"/>
          <w:marRight w:val="0"/>
          <w:marTop w:val="240"/>
          <w:marBottom w:val="0"/>
          <w:divBdr>
            <w:top w:val="none" w:sz="0" w:space="0" w:color="auto"/>
            <w:left w:val="none" w:sz="0" w:space="0" w:color="auto"/>
            <w:bottom w:val="none" w:sz="0" w:space="0" w:color="auto"/>
            <w:right w:val="none" w:sz="0" w:space="0" w:color="auto"/>
          </w:divBdr>
          <w:divsChild>
            <w:div w:id="1177159574">
              <w:marLeft w:val="0"/>
              <w:marRight w:val="0"/>
              <w:marTop w:val="0"/>
              <w:marBottom w:val="0"/>
              <w:divBdr>
                <w:top w:val="none" w:sz="0" w:space="0" w:color="auto"/>
                <w:left w:val="none" w:sz="0" w:space="0" w:color="auto"/>
                <w:bottom w:val="none" w:sz="0" w:space="0" w:color="auto"/>
                <w:right w:val="none" w:sz="0" w:space="0" w:color="auto"/>
              </w:divBdr>
            </w:div>
          </w:divsChild>
        </w:div>
        <w:div w:id="694963741">
          <w:marLeft w:val="0"/>
          <w:marRight w:val="0"/>
          <w:marTop w:val="240"/>
          <w:marBottom w:val="0"/>
          <w:divBdr>
            <w:top w:val="none" w:sz="0" w:space="0" w:color="auto"/>
            <w:left w:val="none" w:sz="0" w:space="0" w:color="auto"/>
            <w:bottom w:val="none" w:sz="0" w:space="0" w:color="auto"/>
            <w:right w:val="none" w:sz="0" w:space="0" w:color="auto"/>
          </w:divBdr>
          <w:divsChild>
            <w:div w:id="201433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24971">
      <w:bodyDiv w:val="1"/>
      <w:marLeft w:val="0"/>
      <w:marRight w:val="0"/>
      <w:marTop w:val="0"/>
      <w:marBottom w:val="0"/>
      <w:divBdr>
        <w:top w:val="none" w:sz="0" w:space="0" w:color="auto"/>
        <w:left w:val="none" w:sz="0" w:space="0" w:color="auto"/>
        <w:bottom w:val="none" w:sz="0" w:space="0" w:color="auto"/>
        <w:right w:val="none" w:sz="0" w:space="0" w:color="auto"/>
      </w:divBdr>
      <w:divsChild>
        <w:div w:id="810094570">
          <w:marLeft w:val="0"/>
          <w:marRight w:val="0"/>
          <w:marTop w:val="240"/>
          <w:marBottom w:val="0"/>
          <w:divBdr>
            <w:top w:val="none" w:sz="0" w:space="0" w:color="auto"/>
            <w:left w:val="none" w:sz="0" w:space="0" w:color="auto"/>
            <w:bottom w:val="none" w:sz="0" w:space="0" w:color="auto"/>
            <w:right w:val="none" w:sz="0" w:space="0" w:color="auto"/>
          </w:divBdr>
          <w:divsChild>
            <w:div w:id="534394415">
              <w:marLeft w:val="0"/>
              <w:marRight w:val="0"/>
              <w:marTop w:val="0"/>
              <w:marBottom w:val="0"/>
              <w:divBdr>
                <w:top w:val="none" w:sz="0" w:space="0" w:color="auto"/>
                <w:left w:val="none" w:sz="0" w:space="0" w:color="auto"/>
                <w:bottom w:val="none" w:sz="0" w:space="0" w:color="auto"/>
                <w:right w:val="none" w:sz="0" w:space="0" w:color="auto"/>
              </w:divBdr>
            </w:div>
          </w:divsChild>
        </w:div>
        <w:div w:id="841579934">
          <w:marLeft w:val="0"/>
          <w:marRight w:val="0"/>
          <w:marTop w:val="240"/>
          <w:marBottom w:val="0"/>
          <w:divBdr>
            <w:top w:val="none" w:sz="0" w:space="0" w:color="auto"/>
            <w:left w:val="none" w:sz="0" w:space="0" w:color="auto"/>
            <w:bottom w:val="none" w:sz="0" w:space="0" w:color="auto"/>
            <w:right w:val="none" w:sz="0" w:space="0" w:color="auto"/>
          </w:divBdr>
          <w:divsChild>
            <w:div w:id="1397775758">
              <w:marLeft w:val="0"/>
              <w:marRight w:val="0"/>
              <w:marTop w:val="0"/>
              <w:marBottom w:val="0"/>
              <w:divBdr>
                <w:top w:val="none" w:sz="0" w:space="0" w:color="auto"/>
                <w:left w:val="none" w:sz="0" w:space="0" w:color="auto"/>
                <w:bottom w:val="none" w:sz="0" w:space="0" w:color="auto"/>
                <w:right w:val="none" w:sz="0" w:space="0" w:color="auto"/>
              </w:divBdr>
            </w:div>
          </w:divsChild>
        </w:div>
        <w:div w:id="1361128356">
          <w:marLeft w:val="0"/>
          <w:marRight w:val="0"/>
          <w:marTop w:val="240"/>
          <w:marBottom w:val="0"/>
          <w:divBdr>
            <w:top w:val="none" w:sz="0" w:space="0" w:color="auto"/>
            <w:left w:val="none" w:sz="0" w:space="0" w:color="auto"/>
            <w:bottom w:val="none" w:sz="0" w:space="0" w:color="auto"/>
            <w:right w:val="none" w:sz="0" w:space="0" w:color="auto"/>
          </w:divBdr>
          <w:divsChild>
            <w:div w:id="311953350">
              <w:marLeft w:val="0"/>
              <w:marRight w:val="0"/>
              <w:marTop w:val="240"/>
              <w:marBottom w:val="0"/>
              <w:divBdr>
                <w:top w:val="none" w:sz="0" w:space="0" w:color="auto"/>
                <w:left w:val="none" w:sz="0" w:space="0" w:color="auto"/>
                <w:bottom w:val="none" w:sz="0" w:space="0" w:color="auto"/>
                <w:right w:val="none" w:sz="0" w:space="0" w:color="auto"/>
              </w:divBdr>
              <w:divsChild>
                <w:div w:id="1524512662">
                  <w:marLeft w:val="0"/>
                  <w:marRight w:val="0"/>
                  <w:marTop w:val="0"/>
                  <w:marBottom w:val="0"/>
                  <w:divBdr>
                    <w:top w:val="none" w:sz="0" w:space="0" w:color="auto"/>
                    <w:left w:val="none" w:sz="0" w:space="0" w:color="auto"/>
                    <w:bottom w:val="none" w:sz="0" w:space="0" w:color="auto"/>
                    <w:right w:val="none" w:sz="0" w:space="0" w:color="auto"/>
                  </w:divBdr>
                  <w:divsChild>
                    <w:div w:id="1089228237">
                      <w:blockQuote w:val="1"/>
                      <w:marLeft w:val="0"/>
                      <w:marRight w:val="0"/>
                      <w:marTop w:val="0"/>
                      <w:marBottom w:val="0"/>
                      <w:divBdr>
                        <w:top w:val="none" w:sz="0" w:space="0" w:color="auto"/>
                        <w:left w:val="none" w:sz="0" w:space="0" w:color="auto"/>
                        <w:bottom w:val="none" w:sz="0" w:space="0" w:color="auto"/>
                        <w:right w:val="none" w:sz="0" w:space="0" w:color="auto"/>
                      </w:divBdr>
                      <w:divsChild>
                        <w:div w:id="12518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25222">
      <w:bodyDiv w:val="1"/>
      <w:marLeft w:val="0"/>
      <w:marRight w:val="0"/>
      <w:marTop w:val="0"/>
      <w:marBottom w:val="0"/>
      <w:divBdr>
        <w:top w:val="none" w:sz="0" w:space="0" w:color="auto"/>
        <w:left w:val="none" w:sz="0" w:space="0" w:color="auto"/>
        <w:bottom w:val="none" w:sz="0" w:space="0" w:color="auto"/>
        <w:right w:val="none" w:sz="0" w:space="0" w:color="auto"/>
      </w:divBdr>
      <w:divsChild>
        <w:div w:id="1560703813">
          <w:marLeft w:val="0"/>
          <w:marRight w:val="0"/>
          <w:marTop w:val="0"/>
          <w:marBottom w:val="0"/>
          <w:divBdr>
            <w:top w:val="none" w:sz="0" w:space="0" w:color="auto"/>
            <w:left w:val="none" w:sz="0" w:space="0" w:color="auto"/>
            <w:bottom w:val="none" w:sz="0" w:space="0" w:color="auto"/>
            <w:right w:val="none" w:sz="0" w:space="0" w:color="auto"/>
          </w:divBdr>
          <w:divsChild>
            <w:div w:id="1670255253">
              <w:marLeft w:val="0"/>
              <w:marRight w:val="0"/>
              <w:marTop w:val="0"/>
              <w:marBottom w:val="0"/>
              <w:divBdr>
                <w:top w:val="none" w:sz="0" w:space="0" w:color="auto"/>
                <w:left w:val="none" w:sz="0" w:space="0" w:color="auto"/>
                <w:bottom w:val="none" w:sz="0" w:space="0" w:color="auto"/>
                <w:right w:val="none" w:sz="0" w:space="0" w:color="auto"/>
              </w:divBdr>
              <w:divsChild>
                <w:div w:id="673188187">
                  <w:marLeft w:val="0"/>
                  <w:marRight w:val="0"/>
                  <w:marTop w:val="0"/>
                  <w:marBottom w:val="0"/>
                  <w:divBdr>
                    <w:top w:val="none" w:sz="0" w:space="0" w:color="auto"/>
                    <w:left w:val="none" w:sz="0" w:space="0" w:color="auto"/>
                    <w:bottom w:val="none" w:sz="0" w:space="0" w:color="auto"/>
                    <w:right w:val="none" w:sz="0" w:space="0" w:color="auto"/>
                  </w:divBdr>
                  <w:divsChild>
                    <w:div w:id="841506920">
                      <w:marLeft w:val="0"/>
                      <w:marRight w:val="0"/>
                      <w:marTop w:val="0"/>
                      <w:marBottom w:val="300"/>
                      <w:divBdr>
                        <w:top w:val="none" w:sz="0" w:space="0" w:color="auto"/>
                        <w:left w:val="none" w:sz="0" w:space="0" w:color="auto"/>
                        <w:bottom w:val="none" w:sz="0" w:space="0" w:color="auto"/>
                        <w:right w:val="none" w:sz="0" w:space="0" w:color="auto"/>
                      </w:divBdr>
                      <w:divsChild>
                        <w:div w:id="4326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352627">
      <w:bodyDiv w:val="1"/>
      <w:marLeft w:val="0"/>
      <w:marRight w:val="0"/>
      <w:marTop w:val="0"/>
      <w:marBottom w:val="0"/>
      <w:divBdr>
        <w:top w:val="none" w:sz="0" w:space="0" w:color="auto"/>
        <w:left w:val="none" w:sz="0" w:space="0" w:color="auto"/>
        <w:bottom w:val="none" w:sz="0" w:space="0" w:color="auto"/>
        <w:right w:val="none" w:sz="0" w:space="0" w:color="auto"/>
      </w:divBdr>
      <w:divsChild>
        <w:div w:id="920410547">
          <w:marLeft w:val="0"/>
          <w:marRight w:val="0"/>
          <w:marTop w:val="0"/>
          <w:marBottom w:val="0"/>
          <w:divBdr>
            <w:top w:val="none" w:sz="0" w:space="0" w:color="auto"/>
            <w:left w:val="single" w:sz="6" w:space="0" w:color="BBBBBB"/>
            <w:bottom w:val="single" w:sz="6" w:space="0" w:color="BBBBBB"/>
            <w:right w:val="single" w:sz="6" w:space="0" w:color="BBBBBB"/>
          </w:divBdr>
          <w:divsChild>
            <w:div w:id="1126851666">
              <w:marLeft w:val="0"/>
              <w:marRight w:val="0"/>
              <w:marTop w:val="0"/>
              <w:marBottom w:val="0"/>
              <w:divBdr>
                <w:top w:val="none" w:sz="0" w:space="0" w:color="auto"/>
                <w:left w:val="none" w:sz="0" w:space="0" w:color="auto"/>
                <w:bottom w:val="none" w:sz="0" w:space="0" w:color="auto"/>
                <w:right w:val="none" w:sz="0" w:space="0" w:color="auto"/>
              </w:divBdr>
              <w:divsChild>
                <w:div w:id="1494829540">
                  <w:marLeft w:val="0"/>
                  <w:marRight w:val="0"/>
                  <w:marTop w:val="75"/>
                  <w:marBottom w:val="0"/>
                  <w:divBdr>
                    <w:top w:val="none" w:sz="0" w:space="0" w:color="auto"/>
                    <w:left w:val="none" w:sz="0" w:space="0" w:color="auto"/>
                    <w:bottom w:val="none" w:sz="0" w:space="0" w:color="auto"/>
                    <w:right w:val="none" w:sz="0" w:space="0" w:color="auto"/>
                  </w:divBdr>
                  <w:divsChild>
                    <w:div w:id="305352585">
                      <w:marLeft w:val="0"/>
                      <w:marRight w:val="0"/>
                      <w:marTop w:val="0"/>
                      <w:marBottom w:val="0"/>
                      <w:divBdr>
                        <w:top w:val="none" w:sz="0" w:space="0" w:color="auto"/>
                        <w:left w:val="none" w:sz="0" w:space="0" w:color="auto"/>
                        <w:bottom w:val="none" w:sz="0" w:space="0" w:color="auto"/>
                        <w:right w:val="none" w:sz="0" w:space="0" w:color="auto"/>
                      </w:divBdr>
                      <w:divsChild>
                        <w:div w:id="492184118">
                          <w:marLeft w:val="0"/>
                          <w:marRight w:val="0"/>
                          <w:marTop w:val="0"/>
                          <w:marBottom w:val="0"/>
                          <w:divBdr>
                            <w:top w:val="none" w:sz="0" w:space="0" w:color="auto"/>
                            <w:left w:val="none" w:sz="0" w:space="0" w:color="auto"/>
                            <w:bottom w:val="none" w:sz="0" w:space="0" w:color="auto"/>
                            <w:right w:val="none" w:sz="0" w:space="0" w:color="auto"/>
                          </w:divBdr>
                          <w:divsChild>
                            <w:div w:id="1138037225">
                              <w:marLeft w:val="0"/>
                              <w:marRight w:val="0"/>
                              <w:marTop w:val="0"/>
                              <w:marBottom w:val="0"/>
                              <w:divBdr>
                                <w:top w:val="none" w:sz="0" w:space="0" w:color="auto"/>
                                <w:left w:val="none" w:sz="0" w:space="0" w:color="auto"/>
                                <w:bottom w:val="none" w:sz="0" w:space="0" w:color="auto"/>
                                <w:right w:val="none" w:sz="0" w:space="0" w:color="auto"/>
                              </w:divBdr>
                              <w:divsChild>
                                <w:div w:id="125590936">
                                  <w:marLeft w:val="0"/>
                                  <w:marRight w:val="0"/>
                                  <w:marTop w:val="0"/>
                                  <w:marBottom w:val="0"/>
                                  <w:divBdr>
                                    <w:top w:val="none" w:sz="0" w:space="0" w:color="auto"/>
                                    <w:left w:val="none" w:sz="0" w:space="0" w:color="auto"/>
                                    <w:bottom w:val="none" w:sz="0" w:space="0" w:color="auto"/>
                                    <w:right w:val="none" w:sz="0" w:space="0" w:color="auto"/>
                                  </w:divBdr>
                                  <w:divsChild>
                                    <w:div w:id="1095830542">
                                      <w:marLeft w:val="0"/>
                                      <w:marRight w:val="0"/>
                                      <w:marTop w:val="0"/>
                                      <w:marBottom w:val="0"/>
                                      <w:divBdr>
                                        <w:top w:val="none" w:sz="0" w:space="0" w:color="auto"/>
                                        <w:left w:val="none" w:sz="0" w:space="0" w:color="auto"/>
                                        <w:bottom w:val="none" w:sz="0" w:space="0" w:color="auto"/>
                                        <w:right w:val="none" w:sz="0" w:space="0" w:color="auto"/>
                                      </w:divBdr>
                                      <w:divsChild>
                                        <w:div w:id="831678439">
                                          <w:marLeft w:val="1200"/>
                                          <w:marRight w:val="1200"/>
                                          <w:marTop w:val="0"/>
                                          <w:marBottom w:val="0"/>
                                          <w:divBdr>
                                            <w:top w:val="none" w:sz="0" w:space="0" w:color="auto"/>
                                            <w:left w:val="none" w:sz="0" w:space="0" w:color="auto"/>
                                            <w:bottom w:val="none" w:sz="0" w:space="0" w:color="auto"/>
                                            <w:right w:val="none" w:sz="0" w:space="0" w:color="auto"/>
                                          </w:divBdr>
                                          <w:divsChild>
                                            <w:div w:id="160044588">
                                              <w:marLeft w:val="0"/>
                                              <w:marRight w:val="0"/>
                                              <w:marTop w:val="0"/>
                                              <w:marBottom w:val="0"/>
                                              <w:divBdr>
                                                <w:top w:val="none" w:sz="0" w:space="0" w:color="auto"/>
                                                <w:left w:val="none" w:sz="0" w:space="0" w:color="auto"/>
                                                <w:bottom w:val="none" w:sz="0" w:space="0" w:color="auto"/>
                                                <w:right w:val="none" w:sz="0" w:space="0" w:color="auto"/>
                                              </w:divBdr>
                                              <w:divsChild>
                                                <w:div w:id="107435454">
                                                  <w:marLeft w:val="0"/>
                                                  <w:marRight w:val="0"/>
                                                  <w:marTop w:val="0"/>
                                                  <w:marBottom w:val="0"/>
                                                  <w:divBdr>
                                                    <w:top w:val="none" w:sz="0" w:space="0" w:color="auto"/>
                                                    <w:left w:val="none" w:sz="0" w:space="0" w:color="auto"/>
                                                    <w:bottom w:val="none" w:sz="0" w:space="0" w:color="auto"/>
                                                    <w:right w:val="none" w:sz="0" w:space="0" w:color="auto"/>
                                                  </w:divBdr>
                                                  <w:divsChild>
                                                    <w:div w:id="250891173">
                                                      <w:marLeft w:val="0"/>
                                                      <w:marRight w:val="0"/>
                                                      <w:marTop w:val="0"/>
                                                      <w:marBottom w:val="0"/>
                                                      <w:divBdr>
                                                        <w:top w:val="none" w:sz="0" w:space="0" w:color="auto"/>
                                                        <w:left w:val="none" w:sz="0" w:space="0" w:color="auto"/>
                                                        <w:bottom w:val="none" w:sz="0" w:space="0" w:color="auto"/>
                                                        <w:right w:val="none" w:sz="0" w:space="0" w:color="auto"/>
                                                      </w:divBdr>
                                                      <w:divsChild>
                                                        <w:div w:id="1915817628">
                                                          <w:marLeft w:val="0"/>
                                                          <w:marRight w:val="0"/>
                                                          <w:marTop w:val="0"/>
                                                          <w:marBottom w:val="0"/>
                                                          <w:divBdr>
                                                            <w:top w:val="none" w:sz="0" w:space="0" w:color="auto"/>
                                                            <w:left w:val="none" w:sz="0" w:space="0" w:color="auto"/>
                                                            <w:bottom w:val="none" w:sz="0" w:space="0" w:color="auto"/>
                                                            <w:right w:val="none" w:sz="0" w:space="0" w:color="auto"/>
                                                          </w:divBdr>
                                                          <w:divsChild>
                                                            <w:div w:id="266079166">
                                                              <w:marLeft w:val="0"/>
                                                              <w:marRight w:val="0"/>
                                                              <w:marTop w:val="0"/>
                                                              <w:marBottom w:val="0"/>
                                                              <w:divBdr>
                                                                <w:top w:val="none" w:sz="0" w:space="0" w:color="auto"/>
                                                                <w:left w:val="none" w:sz="0" w:space="0" w:color="auto"/>
                                                                <w:bottom w:val="none" w:sz="0" w:space="0" w:color="auto"/>
                                                                <w:right w:val="none" w:sz="0" w:space="0" w:color="auto"/>
                                                              </w:divBdr>
                                                              <w:divsChild>
                                                                <w:div w:id="861016923">
                                                                  <w:marLeft w:val="0"/>
                                                                  <w:marRight w:val="0"/>
                                                                  <w:marTop w:val="0"/>
                                                                  <w:marBottom w:val="0"/>
                                                                  <w:divBdr>
                                                                    <w:top w:val="none" w:sz="0" w:space="0" w:color="auto"/>
                                                                    <w:left w:val="none" w:sz="0" w:space="0" w:color="auto"/>
                                                                    <w:bottom w:val="none" w:sz="0" w:space="0" w:color="auto"/>
                                                                    <w:right w:val="none" w:sz="0" w:space="0" w:color="auto"/>
                                                                  </w:divBdr>
                                                                  <w:divsChild>
                                                                    <w:div w:id="58989462">
                                                                      <w:marLeft w:val="0"/>
                                                                      <w:marRight w:val="0"/>
                                                                      <w:marTop w:val="0"/>
                                                                      <w:marBottom w:val="0"/>
                                                                      <w:divBdr>
                                                                        <w:top w:val="none" w:sz="0" w:space="0" w:color="auto"/>
                                                                        <w:left w:val="none" w:sz="0" w:space="0" w:color="auto"/>
                                                                        <w:bottom w:val="none" w:sz="0" w:space="0" w:color="auto"/>
                                                                        <w:right w:val="none" w:sz="0" w:space="0" w:color="auto"/>
                                                                      </w:divBdr>
                                                                      <w:divsChild>
                                                                        <w:div w:id="720131138">
                                                                          <w:marLeft w:val="0"/>
                                                                          <w:marRight w:val="0"/>
                                                                          <w:marTop w:val="0"/>
                                                                          <w:marBottom w:val="0"/>
                                                                          <w:divBdr>
                                                                            <w:top w:val="none" w:sz="0" w:space="0" w:color="auto"/>
                                                                            <w:left w:val="none" w:sz="0" w:space="0" w:color="auto"/>
                                                                            <w:bottom w:val="none" w:sz="0" w:space="0" w:color="auto"/>
                                                                            <w:right w:val="none" w:sz="0" w:space="0" w:color="auto"/>
                                                                          </w:divBdr>
                                                                        </w:div>
                                                                      </w:divsChild>
                                                                    </w:div>
                                                                    <w:div w:id="352613946">
                                                                      <w:marLeft w:val="0"/>
                                                                      <w:marRight w:val="0"/>
                                                                      <w:marTop w:val="0"/>
                                                                      <w:marBottom w:val="0"/>
                                                                      <w:divBdr>
                                                                        <w:top w:val="none" w:sz="0" w:space="0" w:color="auto"/>
                                                                        <w:left w:val="none" w:sz="0" w:space="0" w:color="auto"/>
                                                                        <w:bottom w:val="none" w:sz="0" w:space="0" w:color="auto"/>
                                                                        <w:right w:val="none" w:sz="0" w:space="0" w:color="auto"/>
                                                                      </w:divBdr>
                                                                      <w:divsChild>
                                                                        <w:div w:id="2103798672">
                                                                          <w:marLeft w:val="0"/>
                                                                          <w:marRight w:val="0"/>
                                                                          <w:marTop w:val="0"/>
                                                                          <w:marBottom w:val="0"/>
                                                                          <w:divBdr>
                                                                            <w:top w:val="none" w:sz="0" w:space="0" w:color="auto"/>
                                                                            <w:left w:val="none" w:sz="0" w:space="0" w:color="auto"/>
                                                                            <w:bottom w:val="none" w:sz="0" w:space="0" w:color="auto"/>
                                                                            <w:right w:val="none" w:sz="0" w:space="0" w:color="auto"/>
                                                                          </w:divBdr>
                                                                        </w:div>
                                                                      </w:divsChild>
                                                                    </w:div>
                                                                    <w:div w:id="1902984089">
                                                                      <w:marLeft w:val="0"/>
                                                                      <w:marRight w:val="0"/>
                                                                      <w:marTop w:val="0"/>
                                                                      <w:marBottom w:val="0"/>
                                                                      <w:divBdr>
                                                                        <w:top w:val="none" w:sz="0" w:space="0" w:color="auto"/>
                                                                        <w:left w:val="none" w:sz="0" w:space="0" w:color="auto"/>
                                                                        <w:bottom w:val="none" w:sz="0" w:space="0" w:color="auto"/>
                                                                        <w:right w:val="none" w:sz="0" w:space="0" w:color="auto"/>
                                                                      </w:divBdr>
                                                                      <w:divsChild>
                                                                        <w:div w:id="1391420449">
                                                                          <w:marLeft w:val="0"/>
                                                                          <w:marRight w:val="0"/>
                                                                          <w:marTop w:val="0"/>
                                                                          <w:marBottom w:val="0"/>
                                                                          <w:divBdr>
                                                                            <w:top w:val="none" w:sz="0" w:space="0" w:color="auto"/>
                                                                            <w:left w:val="none" w:sz="0" w:space="0" w:color="auto"/>
                                                                            <w:bottom w:val="none" w:sz="0" w:space="0" w:color="auto"/>
                                                                            <w:right w:val="none" w:sz="0" w:space="0" w:color="auto"/>
                                                                          </w:divBdr>
                                                                        </w:div>
                                                                      </w:divsChild>
                                                                    </w:div>
                                                                    <w:div w:id="2135781021">
                                                                      <w:marLeft w:val="0"/>
                                                                      <w:marRight w:val="0"/>
                                                                      <w:marTop w:val="0"/>
                                                                      <w:marBottom w:val="0"/>
                                                                      <w:divBdr>
                                                                        <w:top w:val="none" w:sz="0" w:space="0" w:color="auto"/>
                                                                        <w:left w:val="none" w:sz="0" w:space="0" w:color="auto"/>
                                                                        <w:bottom w:val="none" w:sz="0" w:space="0" w:color="auto"/>
                                                                        <w:right w:val="none" w:sz="0" w:space="0" w:color="auto"/>
                                                                      </w:divBdr>
                                                                      <w:divsChild>
                                                                        <w:div w:id="13505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0740634">
      <w:bodyDiv w:val="1"/>
      <w:marLeft w:val="0"/>
      <w:marRight w:val="0"/>
      <w:marTop w:val="0"/>
      <w:marBottom w:val="0"/>
      <w:divBdr>
        <w:top w:val="none" w:sz="0" w:space="0" w:color="auto"/>
        <w:left w:val="none" w:sz="0" w:space="0" w:color="auto"/>
        <w:bottom w:val="none" w:sz="0" w:space="0" w:color="auto"/>
        <w:right w:val="none" w:sz="0" w:space="0" w:color="auto"/>
      </w:divBdr>
      <w:divsChild>
        <w:div w:id="13306602">
          <w:marLeft w:val="0"/>
          <w:marRight w:val="0"/>
          <w:marTop w:val="0"/>
          <w:marBottom w:val="0"/>
          <w:divBdr>
            <w:top w:val="none" w:sz="0" w:space="0" w:color="auto"/>
            <w:left w:val="none" w:sz="0" w:space="0" w:color="auto"/>
            <w:bottom w:val="none" w:sz="0" w:space="0" w:color="auto"/>
            <w:right w:val="none" w:sz="0" w:space="0" w:color="auto"/>
          </w:divBdr>
          <w:divsChild>
            <w:div w:id="2046447491">
              <w:marLeft w:val="0"/>
              <w:marRight w:val="0"/>
              <w:marTop w:val="0"/>
              <w:marBottom w:val="0"/>
              <w:divBdr>
                <w:top w:val="none" w:sz="0" w:space="0" w:color="auto"/>
                <w:left w:val="none" w:sz="0" w:space="0" w:color="auto"/>
                <w:bottom w:val="none" w:sz="0" w:space="0" w:color="auto"/>
                <w:right w:val="none" w:sz="0" w:space="0" w:color="auto"/>
              </w:divBdr>
              <w:divsChild>
                <w:div w:id="1053508192">
                  <w:marLeft w:val="0"/>
                  <w:marRight w:val="0"/>
                  <w:marTop w:val="0"/>
                  <w:marBottom w:val="0"/>
                  <w:divBdr>
                    <w:top w:val="none" w:sz="0" w:space="0" w:color="auto"/>
                    <w:left w:val="none" w:sz="0" w:space="0" w:color="auto"/>
                    <w:bottom w:val="none" w:sz="0" w:space="0" w:color="auto"/>
                    <w:right w:val="none" w:sz="0" w:space="0" w:color="auto"/>
                  </w:divBdr>
                  <w:divsChild>
                    <w:div w:id="201988753">
                      <w:marLeft w:val="0"/>
                      <w:marRight w:val="0"/>
                      <w:marTop w:val="0"/>
                      <w:marBottom w:val="375"/>
                      <w:divBdr>
                        <w:top w:val="none" w:sz="0" w:space="0" w:color="auto"/>
                        <w:left w:val="none" w:sz="0" w:space="0" w:color="auto"/>
                        <w:bottom w:val="none" w:sz="0" w:space="0" w:color="auto"/>
                        <w:right w:val="none" w:sz="0" w:space="0" w:color="auto"/>
                      </w:divBdr>
                      <w:divsChild>
                        <w:div w:id="12575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098295">
      <w:bodyDiv w:val="1"/>
      <w:marLeft w:val="0"/>
      <w:marRight w:val="0"/>
      <w:marTop w:val="0"/>
      <w:marBottom w:val="0"/>
      <w:divBdr>
        <w:top w:val="none" w:sz="0" w:space="0" w:color="auto"/>
        <w:left w:val="none" w:sz="0" w:space="0" w:color="auto"/>
        <w:bottom w:val="none" w:sz="0" w:space="0" w:color="auto"/>
        <w:right w:val="none" w:sz="0" w:space="0" w:color="auto"/>
      </w:divBdr>
      <w:divsChild>
        <w:div w:id="172884126">
          <w:marLeft w:val="0"/>
          <w:marRight w:val="0"/>
          <w:marTop w:val="0"/>
          <w:marBottom w:val="0"/>
          <w:divBdr>
            <w:top w:val="none" w:sz="0" w:space="0" w:color="auto"/>
            <w:left w:val="none" w:sz="0" w:space="0" w:color="auto"/>
            <w:bottom w:val="none" w:sz="0" w:space="0" w:color="auto"/>
            <w:right w:val="none" w:sz="0" w:space="0" w:color="auto"/>
          </w:divBdr>
          <w:divsChild>
            <w:div w:id="563413149">
              <w:marLeft w:val="0"/>
              <w:marRight w:val="0"/>
              <w:marTop w:val="0"/>
              <w:marBottom w:val="0"/>
              <w:divBdr>
                <w:top w:val="none" w:sz="0" w:space="0" w:color="auto"/>
                <w:left w:val="none" w:sz="0" w:space="0" w:color="auto"/>
                <w:bottom w:val="none" w:sz="0" w:space="0" w:color="auto"/>
                <w:right w:val="none" w:sz="0" w:space="0" w:color="auto"/>
              </w:divBdr>
              <w:divsChild>
                <w:div w:id="1458647718">
                  <w:marLeft w:val="0"/>
                  <w:marRight w:val="0"/>
                  <w:marTop w:val="0"/>
                  <w:marBottom w:val="0"/>
                  <w:divBdr>
                    <w:top w:val="none" w:sz="0" w:space="0" w:color="auto"/>
                    <w:left w:val="none" w:sz="0" w:space="0" w:color="auto"/>
                    <w:bottom w:val="none" w:sz="0" w:space="0" w:color="auto"/>
                    <w:right w:val="none" w:sz="0" w:space="0" w:color="auto"/>
                  </w:divBdr>
                  <w:divsChild>
                    <w:div w:id="1561674689">
                      <w:marLeft w:val="0"/>
                      <w:marRight w:val="0"/>
                      <w:marTop w:val="0"/>
                      <w:marBottom w:val="0"/>
                      <w:divBdr>
                        <w:top w:val="none" w:sz="0" w:space="0" w:color="auto"/>
                        <w:left w:val="none" w:sz="0" w:space="0" w:color="auto"/>
                        <w:bottom w:val="none" w:sz="0" w:space="0" w:color="auto"/>
                        <w:right w:val="none" w:sz="0" w:space="0" w:color="auto"/>
                      </w:divBdr>
                      <w:divsChild>
                        <w:div w:id="443885036">
                          <w:marLeft w:val="0"/>
                          <w:marRight w:val="0"/>
                          <w:marTop w:val="0"/>
                          <w:marBottom w:val="0"/>
                          <w:divBdr>
                            <w:top w:val="none" w:sz="0" w:space="0" w:color="auto"/>
                            <w:left w:val="none" w:sz="0" w:space="0" w:color="auto"/>
                            <w:bottom w:val="none" w:sz="0" w:space="0" w:color="auto"/>
                            <w:right w:val="none" w:sz="0" w:space="0" w:color="auto"/>
                          </w:divBdr>
                          <w:divsChild>
                            <w:div w:id="1613704299">
                              <w:marLeft w:val="0"/>
                              <w:marRight w:val="0"/>
                              <w:marTop w:val="0"/>
                              <w:marBottom w:val="0"/>
                              <w:divBdr>
                                <w:top w:val="none" w:sz="0" w:space="0" w:color="auto"/>
                                <w:left w:val="none" w:sz="0" w:space="0" w:color="auto"/>
                                <w:bottom w:val="none" w:sz="0" w:space="0" w:color="auto"/>
                                <w:right w:val="none" w:sz="0" w:space="0" w:color="auto"/>
                              </w:divBdr>
                              <w:divsChild>
                                <w:div w:id="117873374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52261">
      <w:bodyDiv w:val="1"/>
      <w:marLeft w:val="0"/>
      <w:marRight w:val="0"/>
      <w:marTop w:val="0"/>
      <w:marBottom w:val="0"/>
      <w:divBdr>
        <w:top w:val="none" w:sz="0" w:space="0" w:color="auto"/>
        <w:left w:val="none" w:sz="0" w:space="0" w:color="auto"/>
        <w:bottom w:val="none" w:sz="0" w:space="0" w:color="auto"/>
        <w:right w:val="none" w:sz="0" w:space="0" w:color="auto"/>
      </w:divBdr>
      <w:divsChild>
        <w:div w:id="464005488">
          <w:marLeft w:val="0"/>
          <w:marRight w:val="0"/>
          <w:marTop w:val="240"/>
          <w:marBottom w:val="0"/>
          <w:divBdr>
            <w:top w:val="none" w:sz="0" w:space="0" w:color="auto"/>
            <w:left w:val="none" w:sz="0" w:space="0" w:color="auto"/>
            <w:bottom w:val="none" w:sz="0" w:space="0" w:color="auto"/>
            <w:right w:val="none" w:sz="0" w:space="0" w:color="auto"/>
          </w:divBdr>
          <w:divsChild>
            <w:div w:id="1247838067">
              <w:marLeft w:val="0"/>
              <w:marRight w:val="0"/>
              <w:marTop w:val="0"/>
              <w:marBottom w:val="0"/>
              <w:divBdr>
                <w:top w:val="none" w:sz="0" w:space="0" w:color="auto"/>
                <w:left w:val="none" w:sz="0" w:space="0" w:color="auto"/>
                <w:bottom w:val="none" w:sz="0" w:space="0" w:color="auto"/>
                <w:right w:val="none" w:sz="0" w:space="0" w:color="auto"/>
              </w:divBdr>
            </w:div>
          </w:divsChild>
        </w:div>
        <w:div w:id="1404061310">
          <w:marLeft w:val="0"/>
          <w:marRight w:val="0"/>
          <w:marTop w:val="240"/>
          <w:marBottom w:val="0"/>
          <w:divBdr>
            <w:top w:val="none" w:sz="0" w:space="0" w:color="auto"/>
            <w:left w:val="none" w:sz="0" w:space="0" w:color="auto"/>
            <w:bottom w:val="none" w:sz="0" w:space="0" w:color="auto"/>
            <w:right w:val="none" w:sz="0" w:space="0" w:color="auto"/>
          </w:divBdr>
          <w:divsChild>
            <w:div w:id="1087262144">
              <w:marLeft w:val="0"/>
              <w:marRight w:val="0"/>
              <w:marTop w:val="0"/>
              <w:marBottom w:val="0"/>
              <w:divBdr>
                <w:top w:val="none" w:sz="0" w:space="0" w:color="auto"/>
                <w:left w:val="none" w:sz="0" w:space="0" w:color="auto"/>
                <w:bottom w:val="none" w:sz="0" w:space="0" w:color="auto"/>
                <w:right w:val="none" w:sz="0" w:space="0" w:color="auto"/>
              </w:divBdr>
            </w:div>
          </w:divsChild>
        </w:div>
        <w:div w:id="1769227611">
          <w:marLeft w:val="0"/>
          <w:marRight w:val="0"/>
          <w:marTop w:val="240"/>
          <w:marBottom w:val="0"/>
          <w:divBdr>
            <w:top w:val="none" w:sz="0" w:space="0" w:color="auto"/>
            <w:left w:val="none" w:sz="0" w:space="0" w:color="auto"/>
            <w:bottom w:val="none" w:sz="0" w:space="0" w:color="auto"/>
            <w:right w:val="none" w:sz="0" w:space="0" w:color="auto"/>
          </w:divBdr>
          <w:divsChild>
            <w:div w:id="21320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0603">
      <w:bodyDiv w:val="1"/>
      <w:marLeft w:val="0"/>
      <w:marRight w:val="0"/>
      <w:marTop w:val="0"/>
      <w:marBottom w:val="0"/>
      <w:divBdr>
        <w:top w:val="none" w:sz="0" w:space="0" w:color="auto"/>
        <w:left w:val="none" w:sz="0" w:space="0" w:color="auto"/>
        <w:bottom w:val="none" w:sz="0" w:space="0" w:color="auto"/>
        <w:right w:val="none" w:sz="0" w:space="0" w:color="auto"/>
      </w:divBdr>
      <w:divsChild>
        <w:div w:id="1625773560">
          <w:marLeft w:val="0"/>
          <w:marRight w:val="150"/>
          <w:marTop w:val="0"/>
          <w:marBottom w:val="0"/>
          <w:divBdr>
            <w:top w:val="none" w:sz="0" w:space="0" w:color="auto"/>
            <w:left w:val="none" w:sz="0" w:space="0" w:color="auto"/>
            <w:bottom w:val="none" w:sz="0" w:space="0" w:color="auto"/>
            <w:right w:val="none" w:sz="0" w:space="0" w:color="auto"/>
          </w:divBdr>
          <w:divsChild>
            <w:div w:id="306514754">
              <w:marLeft w:val="0"/>
              <w:marRight w:val="0"/>
              <w:marTop w:val="0"/>
              <w:marBottom w:val="0"/>
              <w:divBdr>
                <w:top w:val="none" w:sz="0" w:space="0" w:color="auto"/>
                <w:left w:val="none" w:sz="0" w:space="0" w:color="auto"/>
                <w:bottom w:val="none" w:sz="0" w:space="0" w:color="auto"/>
                <w:right w:val="none" w:sz="0" w:space="0" w:color="auto"/>
              </w:divBdr>
              <w:divsChild>
                <w:div w:id="408575029">
                  <w:marLeft w:val="0"/>
                  <w:marRight w:val="0"/>
                  <w:marTop w:val="0"/>
                  <w:marBottom w:val="0"/>
                  <w:divBdr>
                    <w:top w:val="none" w:sz="0" w:space="0" w:color="auto"/>
                    <w:left w:val="none" w:sz="0" w:space="0" w:color="auto"/>
                    <w:bottom w:val="none" w:sz="0" w:space="0" w:color="auto"/>
                    <w:right w:val="none" w:sz="0" w:space="0" w:color="auto"/>
                  </w:divBdr>
                  <w:divsChild>
                    <w:div w:id="47074530">
                      <w:marLeft w:val="0"/>
                      <w:marRight w:val="0"/>
                      <w:marTop w:val="0"/>
                      <w:marBottom w:val="0"/>
                      <w:divBdr>
                        <w:top w:val="none" w:sz="0" w:space="0" w:color="auto"/>
                        <w:left w:val="none" w:sz="0" w:space="0" w:color="auto"/>
                        <w:bottom w:val="none" w:sz="0" w:space="0" w:color="auto"/>
                        <w:right w:val="none" w:sz="0" w:space="0" w:color="auto"/>
                      </w:divBdr>
                    </w:div>
                    <w:div w:id="1724332409">
                      <w:marLeft w:val="0"/>
                      <w:marRight w:val="0"/>
                      <w:marTop w:val="0"/>
                      <w:marBottom w:val="0"/>
                      <w:divBdr>
                        <w:top w:val="none" w:sz="0" w:space="0" w:color="auto"/>
                        <w:left w:val="none" w:sz="0" w:space="0" w:color="auto"/>
                        <w:bottom w:val="none" w:sz="0" w:space="0" w:color="auto"/>
                        <w:right w:val="none" w:sz="0" w:space="0" w:color="auto"/>
                      </w:divBdr>
                    </w:div>
                    <w:div w:id="19177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8097">
      <w:bodyDiv w:val="1"/>
      <w:marLeft w:val="0"/>
      <w:marRight w:val="0"/>
      <w:marTop w:val="0"/>
      <w:marBottom w:val="0"/>
      <w:divBdr>
        <w:top w:val="none" w:sz="0" w:space="0" w:color="auto"/>
        <w:left w:val="none" w:sz="0" w:space="0" w:color="auto"/>
        <w:bottom w:val="none" w:sz="0" w:space="0" w:color="auto"/>
        <w:right w:val="none" w:sz="0" w:space="0" w:color="auto"/>
      </w:divBdr>
      <w:divsChild>
        <w:div w:id="360982811">
          <w:marLeft w:val="0"/>
          <w:marRight w:val="0"/>
          <w:marTop w:val="240"/>
          <w:marBottom w:val="0"/>
          <w:divBdr>
            <w:top w:val="none" w:sz="0" w:space="0" w:color="auto"/>
            <w:left w:val="none" w:sz="0" w:space="0" w:color="auto"/>
            <w:bottom w:val="none" w:sz="0" w:space="0" w:color="auto"/>
            <w:right w:val="none" w:sz="0" w:space="0" w:color="auto"/>
          </w:divBdr>
          <w:divsChild>
            <w:div w:id="1341160896">
              <w:marLeft w:val="0"/>
              <w:marRight w:val="0"/>
              <w:marTop w:val="240"/>
              <w:marBottom w:val="0"/>
              <w:divBdr>
                <w:top w:val="none" w:sz="0" w:space="0" w:color="auto"/>
                <w:left w:val="none" w:sz="0" w:space="0" w:color="auto"/>
                <w:bottom w:val="none" w:sz="0" w:space="0" w:color="auto"/>
                <w:right w:val="none" w:sz="0" w:space="0" w:color="auto"/>
              </w:divBdr>
              <w:divsChild>
                <w:div w:id="1230649230">
                  <w:marLeft w:val="0"/>
                  <w:marRight w:val="0"/>
                  <w:marTop w:val="0"/>
                  <w:marBottom w:val="0"/>
                  <w:divBdr>
                    <w:top w:val="none" w:sz="0" w:space="0" w:color="auto"/>
                    <w:left w:val="none" w:sz="0" w:space="0" w:color="auto"/>
                    <w:bottom w:val="none" w:sz="0" w:space="0" w:color="auto"/>
                    <w:right w:val="none" w:sz="0" w:space="0" w:color="auto"/>
                  </w:divBdr>
                  <w:divsChild>
                    <w:div w:id="1040519478">
                      <w:blockQuote w:val="1"/>
                      <w:marLeft w:val="0"/>
                      <w:marRight w:val="0"/>
                      <w:marTop w:val="0"/>
                      <w:marBottom w:val="0"/>
                      <w:divBdr>
                        <w:top w:val="none" w:sz="0" w:space="0" w:color="auto"/>
                        <w:left w:val="none" w:sz="0" w:space="0" w:color="auto"/>
                        <w:bottom w:val="none" w:sz="0" w:space="0" w:color="auto"/>
                        <w:right w:val="none" w:sz="0" w:space="0" w:color="auto"/>
                      </w:divBdr>
                      <w:divsChild>
                        <w:div w:id="1528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14294">
              <w:marLeft w:val="0"/>
              <w:marRight w:val="0"/>
              <w:marTop w:val="240"/>
              <w:marBottom w:val="0"/>
              <w:divBdr>
                <w:top w:val="none" w:sz="0" w:space="0" w:color="auto"/>
                <w:left w:val="none" w:sz="0" w:space="0" w:color="auto"/>
                <w:bottom w:val="none" w:sz="0" w:space="0" w:color="auto"/>
                <w:right w:val="none" w:sz="0" w:space="0" w:color="auto"/>
              </w:divBdr>
            </w:div>
            <w:div w:id="1703020593">
              <w:marLeft w:val="0"/>
              <w:marRight w:val="0"/>
              <w:marTop w:val="0"/>
              <w:marBottom w:val="0"/>
              <w:divBdr>
                <w:top w:val="none" w:sz="0" w:space="0" w:color="auto"/>
                <w:left w:val="none" w:sz="0" w:space="0" w:color="auto"/>
                <w:bottom w:val="none" w:sz="0" w:space="0" w:color="auto"/>
                <w:right w:val="none" w:sz="0" w:space="0" w:color="auto"/>
              </w:divBdr>
            </w:div>
          </w:divsChild>
        </w:div>
        <w:div w:id="1314522718">
          <w:marLeft w:val="0"/>
          <w:marRight w:val="0"/>
          <w:marTop w:val="240"/>
          <w:marBottom w:val="0"/>
          <w:divBdr>
            <w:top w:val="none" w:sz="0" w:space="0" w:color="auto"/>
            <w:left w:val="none" w:sz="0" w:space="0" w:color="auto"/>
            <w:bottom w:val="none" w:sz="0" w:space="0" w:color="auto"/>
            <w:right w:val="none" w:sz="0" w:space="0" w:color="auto"/>
          </w:divBdr>
          <w:divsChild>
            <w:div w:id="375006363">
              <w:marLeft w:val="0"/>
              <w:marRight w:val="0"/>
              <w:marTop w:val="0"/>
              <w:marBottom w:val="0"/>
              <w:divBdr>
                <w:top w:val="none" w:sz="0" w:space="0" w:color="auto"/>
                <w:left w:val="none" w:sz="0" w:space="0" w:color="auto"/>
                <w:bottom w:val="none" w:sz="0" w:space="0" w:color="auto"/>
                <w:right w:val="none" w:sz="0" w:space="0" w:color="auto"/>
              </w:divBdr>
            </w:div>
          </w:divsChild>
        </w:div>
        <w:div w:id="1646078805">
          <w:marLeft w:val="0"/>
          <w:marRight w:val="0"/>
          <w:marTop w:val="240"/>
          <w:marBottom w:val="0"/>
          <w:divBdr>
            <w:top w:val="none" w:sz="0" w:space="0" w:color="auto"/>
            <w:left w:val="none" w:sz="0" w:space="0" w:color="auto"/>
            <w:bottom w:val="none" w:sz="0" w:space="0" w:color="auto"/>
            <w:right w:val="none" w:sz="0" w:space="0" w:color="auto"/>
          </w:divBdr>
          <w:divsChild>
            <w:div w:id="1021472194">
              <w:marLeft w:val="0"/>
              <w:marRight w:val="0"/>
              <w:marTop w:val="240"/>
              <w:marBottom w:val="0"/>
              <w:divBdr>
                <w:top w:val="none" w:sz="0" w:space="0" w:color="auto"/>
                <w:left w:val="none" w:sz="0" w:space="0" w:color="auto"/>
                <w:bottom w:val="none" w:sz="0" w:space="0" w:color="auto"/>
                <w:right w:val="none" w:sz="0" w:space="0" w:color="auto"/>
              </w:divBdr>
            </w:div>
            <w:div w:id="1030108354">
              <w:marLeft w:val="0"/>
              <w:marRight w:val="0"/>
              <w:marTop w:val="0"/>
              <w:marBottom w:val="0"/>
              <w:divBdr>
                <w:top w:val="none" w:sz="0" w:space="0" w:color="auto"/>
                <w:left w:val="none" w:sz="0" w:space="0" w:color="auto"/>
                <w:bottom w:val="none" w:sz="0" w:space="0" w:color="auto"/>
                <w:right w:val="none" w:sz="0" w:space="0" w:color="auto"/>
              </w:divBdr>
            </w:div>
            <w:div w:id="1433084565">
              <w:marLeft w:val="0"/>
              <w:marRight w:val="0"/>
              <w:marTop w:val="240"/>
              <w:marBottom w:val="0"/>
              <w:divBdr>
                <w:top w:val="none" w:sz="0" w:space="0" w:color="auto"/>
                <w:left w:val="none" w:sz="0" w:space="0" w:color="auto"/>
                <w:bottom w:val="none" w:sz="0" w:space="0" w:color="auto"/>
                <w:right w:val="none" w:sz="0" w:space="0" w:color="auto"/>
              </w:divBdr>
              <w:divsChild>
                <w:div w:id="1216434637">
                  <w:marLeft w:val="0"/>
                  <w:marRight w:val="0"/>
                  <w:marTop w:val="0"/>
                  <w:marBottom w:val="0"/>
                  <w:divBdr>
                    <w:top w:val="none" w:sz="0" w:space="0" w:color="auto"/>
                    <w:left w:val="none" w:sz="0" w:space="0" w:color="auto"/>
                    <w:bottom w:val="none" w:sz="0" w:space="0" w:color="auto"/>
                    <w:right w:val="none" w:sz="0" w:space="0" w:color="auto"/>
                  </w:divBdr>
                  <w:divsChild>
                    <w:div w:id="663435126">
                      <w:blockQuote w:val="1"/>
                      <w:marLeft w:val="0"/>
                      <w:marRight w:val="0"/>
                      <w:marTop w:val="0"/>
                      <w:marBottom w:val="0"/>
                      <w:divBdr>
                        <w:top w:val="none" w:sz="0" w:space="0" w:color="auto"/>
                        <w:left w:val="none" w:sz="0" w:space="0" w:color="auto"/>
                        <w:bottom w:val="none" w:sz="0" w:space="0" w:color="auto"/>
                        <w:right w:val="none" w:sz="0" w:space="0" w:color="auto"/>
                      </w:divBdr>
                      <w:divsChild>
                        <w:div w:id="3666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514997">
      <w:bodyDiv w:val="1"/>
      <w:marLeft w:val="0"/>
      <w:marRight w:val="0"/>
      <w:marTop w:val="0"/>
      <w:marBottom w:val="0"/>
      <w:divBdr>
        <w:top w:val="none" w:sz="0" w:space="0" w:color="auto"/>
        <w:left w:val="none" w:sz="0" w:space="0" w:color="auto"/>
        <w:bottom w:val="none" w:sz="0" w:space="0" w:color="auto"/>
        <w:right w:val="none" w:sz="0" w:space="0" w:color="auto"/>
      </w:divBdr>
      <w:divsChild>
        <w:div w:id="1880244570">
          <w:marLeft w:val="0"/>
          <w:marRight w:val="0"/>
          <w:marTop w:val="0"/>
          <w:marBottom w:val="0"/>
          <w:divBdr>
            <w:top w:val="none" w:sz="0" w:space="0" w:color="auto"/>
            <w:left w:val="none" w:sz="0" w:space="0" w:color="auto"/>
            <w:bottom w:val="none" w:sz="0" w:space="0" w:color="auto"/>
            <w:right w:val="none" w:sz="0" w:space="0" w:color="auto"/>
          </w:divBdr>
          <w:divsChild>
            <w:div w:id="493840958">
              <w:marLeft w:val="0"/>
              <w:marRight w:val="0"/>
              <w:marTop w:val="0"/>
              <w:marBottom w:val="0"/>
              <w:divBdr>
                <w:top w:val="none" w:sz="0" w:space="0" w:color="auto"/>
                <w:left w:val="none" w:sz="0" w:space="0" w:color="auto"/>
                <w:bottom w:val="none" w:sz="0" w:space="0" w:color="auto"/>
                <w:right w:val="none" w:sz="0" w:space="0" w:color="auto"/>
              </w:divBdr>
              <w:divsChild>
                <w:div w:id="148180647">
                  <w:marLeft w:val="0"/>
                  <w:marRight w:val="0"/>
                  <w:marTop w:val="0"/>
                  <w:marBottom w:val="0"/>
                  <w:divBdr>
                    <w:top w:val="none" w:sz="0" w:space="0" w:color="auto"/>
                    <w:left w:val="none" w:sz="0" w:space="0" w:color="auto"/>
                    <w:bottom w:val="none" w:sz="0" w:space="0" w:color="auto"/>
                    <w:right w:val="none" w:sz="0" w:space="0" w:color="auto"/>
                  </w:divBdr>
                  <w:divsChild>
                    <w:div w:id="735517821">
                      <w:marLeft w:val="0"/>
                      <w:marRight w:val="0"/>
                      <w:marTop w:val="0"/>
                      <w:marBottom w:val="300"/>
                      <w:divBdr>
                        <w:top w:val="none" w:sz="0" w:space="0" w:color="auto"/>
                        <w:left w:val="none" w:sz="0" w:space="0" w:color="auto"/>
                        <w:bottom w:val="none" w:sz="0" w:space="0" w:color="auto"/>
                        <w:right w:val="none" w:sz="0" w:space="0" w:color="auto"/>
                      </w:divBdr>
                      <w:divsChild>
                        <w:div w:id="212410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867439">
      <w:bodyDiv w:val="1"/>
      <w:marLeft w:val="0"/>
      <w:marRight w:val="0"/>
      <w:marTop w:val="0"/>
      <w:marBottom w:val="0"/>
      <w:divBdr>
        <w:top w:val="none" w:sz="0" w:space="0" w:color="auto"/>
        <w:left w:val="none" w:sz="0" w:space="0" w:color="auto"/>
        <w:bottom w:val="none" w:sz="0" w:space="0" w:color="auto"/>
        <w:right w:val="none" w:sz="0" w:space="0" w:color="auto"/>
      </w:divBdr>
    </w:div>
    <w:div w:id="1065839937">
      <w:bodyDiv w:val="1"/>
      <w:marLeft w:val="0"/>
      <w:marRight w:val="0"/>
      <w:marTop w:val="0"/>
      <w:marBottom w:val="0"/>
      <w:divBdr>
        <w:top w:val="none" w:sz="0" w:space="0" w:color="auto"/>
        <w:left w:val="none" w:sz="0" w:space="0" w:color="auto"/>
        <w:bottom w:val="none" w:sz="0" w:space="0" w:color="auto"/>
        <w:right w:val="none" w:sz="0" w:space="0" w:color="auto"/>
      </w:divBdr>
      <w:divsChild>
        <w:div w:id="1817189036">
          <w:marLeft w:val="0"/>
          <w:marRight w:val="0"/>
          <w:marTop w:val="0"/>
          <w:marBottom w:val="0"/>
          <w:divBdr>
            <w:top w:val="none" w:sz="0" w:space="0" w:color="auto"/>
            <w:left w:val="none" w:sz="0" w:space="0" w:color="auto"/>
            <w:bottom w:val="none" w:sz="0" w:space="0" w:color="auto"/>
            <w:right w:val="none" w:sz="0" w:space="0" w:color="auto"/>
          </w:divBdr>
          <w:divsChild>
            <w:div w:id="906916187">
              <w:marLeft w:val="0"/>
              <w:marRight w:val="0"/>
              <w:marTop w:val="0"/>
              <w:marBottom w:val="0"/>
              <w:divBdr>
                <w:top w:val="none" w:sz="0" w:space="0" w:color="auto"/>
                <w:left w:val="none" w:sz="0" w:space="0" w:color="auto"/>
                <w:bottom w:val="none" w:sz="0" w:space="0" w:color="auto"/>
                <w:right w:val="none" w:sz="0" w:space="0" w:color="auto"/>
              </w:divBdr>
              <w:divsChild>
                <w:div w:id="1344359727">
                  <w:marLeft w:val="0"/>
                  <w:marRight w:val="0"/>
                  <w:marTop w:val="0"/>
                  <w:marBottom w:val="0"/>
                  <w:divBdr>
                    <w:top w:val="none" w:sz="0" w:space="0" w:color="auto"/>
                    <w:left w:val="none" w:sz="0" w:space="0" w:color="auto"/>
                    <w:bottom w:val="none" w:sz="0" w:space="0" w:color="auto"/>
                    <w:right w:val="none" w:sz="0" w:space="0" w:color="auto"/>
                  </w:divBdr>
                  <w:divsChild>
                    <w:div w:id="1355690870">
                      <w:marLeft w:val="0"/>
                      <w:marRight w:val="0"/>
                      <w:marTop w:val="0"/>
                      <w:marBottom w:val="375"/>
                      <w:divBdr>
                        <w:top w:val="none" w:sz="0" w:space="0" w:color="auto"/>
                        <w:left w:val="none" w:sz="0" w:space="0" w:color="auto"/>
                        <w:bottom w:val="none" w:sz="0" w:space="0" w:color="auto"/>
                        <w:right w:val="none" w:sz="0" w:space="0" w:color="auto"/>
                      </w:divBdr>
                      <w:divsChild>
                        <w:div w:id="6645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417400">
      <w:bodyDiv w:val="1"/>
      <w:marLeft w:val="0"/>
      <w:marRight w:val="0"/>
      <w:marTop w:val="0"/>
      <w:marBottom w:val="0"/>
      <w:divBdr>
        <w:top w:val="none" w:sz="0" w:space="0" w:color="auto"/>
        <w:left w:val="none" w:sz="0" w:space="0" w:color="auto"/>
        <w:bottom w:val="none" w:sz="0" w:space="0" w:color="auto"/>
        <w:right w:val="none" w:sz="0" w:space="0" w:color="auto"/>
      </w:divBdr>
      <w:divsChild>
        <w:div w:id="1326202609">
          <w:marLeft w:val="0"/>
          <w:marRight w:val="0"/>
          <w:marTop w:val="0"/>
          <w:marBottom w:val="0"/>
          <w:divBdr>
            <w:top w:val="none" w:sz="0" w:space="0" w:color="auto"/>
            <w:left w:val="single" w:sz="6" w:space="0" w:color="BBBBBB"/>
            <w:bottom w:val="single" w:sz="6" w:space="0" w:color="BBBBBB"/>
            <w:right w:val="single" w:sz="6" w:space="0" w:color="BBBBBB"/>
          </w:divBdr>
          <w:divsChild>
            <w:div w:id="2120027999">
              <w:marLeft w:val="0"/>
              <w:marRight w:val="0"/>
              <w:marTop w:val="0"/>
              <w:marBottom w:val="0"/>
              <w:divBdr>
                <w:top w:val="none" w:sz="0" w:space="0" w:color="auto"/>
                <w:left w:val="none" w:sz="0" w:space="0" w:color="auto"/>
                <w:bottom w:val="none" w:sz="0" w:space="0" w:color="auto"/>
                <w:right w:val="none" w:sz="0" w:space="0" w:color="auto"/>
              </w:divBdr>
              <w:divsChild>
                <w:div w:id="1136870838">
                  <w:marLeft w:val="0"/>
                  <w:marRight w:val="0"/>
                  <w:marTop w:val="0"/>
                  <w:marBottom w:val="0"/>
                  <w:divBdr>
                    <w:top w:val="none" w:sz="0" w:space="0" w:color="auto"/>
                    <w:left w:val="none" w:sz="0" w:space="0" w:color="auto"/>
                    <w:bottom w:val="none" w:sz="0" w:space="0" w:color="auto"/>
                    <w:right w:val="none" w:sz="0" w:space="0" w:color="auto"/>
                  </w:divBdr>
                  <w:divsChild>
                    <w:div w:id="409274824">
                      <w:marLeft w:val="0"/>
                      <w:marRight w:val="0"/>
                      <w:marTop w:val="0"/>
                      <w:marBottom w:val="0"/>
                      <w:divBdr>
                        <w:top w:val="none" w:sz="0" w:space="0" w:color="auto"/>
                        <w:left w:val="none" w:sz="0" w:space="0" w:color="auto"/>
                        <w:bottom w:val="none" w:sz="0" w:space="0" w:color="auto"/>
                        <w:right w:val="none" w:sz="0" w:space="0" w:color="auto"/>
                      </w:divBdr>
                      <w:divsChild>
                        <w:div w:id="822698572">
                          <w:marLeft w:val="0"/>
                          <w:marRight w:val="0"/>
                          <w:marTop w:val="0"/>
                          <w:marBottom w:val="0"/>
                          <w:divBdr>
                            <w:top w:val="none" w:sz="0" w:space="0" w:color="auto"/>
                            <w:left w:val="none" w:sz="0" w:space="0" w:color="auto"/>
                            <w:bottom w:val="none" w:sz="0" w:space="0" w:color="auto"/>
                            <w:right w:val="none" w:sz="0" w:space="0" w:color="auto"/>
                          </w:divBdr>
                          <w:divsChild>
                            <w:div w:id="206339472">
                              <w:marLeft w:val="0"/>
                              <w:marRight w:val="0"/>
                              <w:marTop w:val="0"/>
                              <w:marBottom w:val="0"/>
                              <w:divBdr>
                                <w:top w:val="none" w:sz="0" w:space="0" w:color="auto"/>
                                <w:left w:val="none" w:sz="0" w:space="0" w:color="auto"/>
                                <w:bottom w:val="none" w:sz="0" w:space="0" w:color="auto"/>
                                <w:right w:val="none" w:sz="0" w:space="0" w:color="auto"/>
                              </w:divBdr>
                              <w:divsChild>
                                <w:div w:id="1304114877">
                                  <w:marLeft w:val="0"/>
                                  <w:marRight w:val="0"/>
                                  <w:marTop w:val="0"/>
                                  <w:marBottom w:val="0"/>
                                  <w:divBdr>
                                    <w:top w:val="none" w:sz="0" w:space="0" w:color="auto"/>
                                    <w:left w:val="none" w:sz="0" w:space="0" w:color="auto"/>
                                    <w:bottom w:val="none" w:sz="0" w:space="0" w:color="auto"/>
                                    <w:right w:val="none" w:sz="0" w:space="0" w:color="auto"/>
                                  </w:divBdr>
                                  <w:divsChild>
                                    <w:div w:id="274992181">
                                      <w:marLeft w:val="0"/>
                                      <w:marRight w:val="0"/>
                                      <w:marTop w:val="0"/>
                                      <w:marBottom w:val="0"/>
                                      <w:divBdr>
                                        <w:top w:val="none" w:sz="0" w:space="0" w:color="auto"/>
                                        <w:left w:val="none" w:sz="0" w:space="0" w:color="auto"/>
                                        <w:bottom w:val="none" w:sz="0" w:space="0" w:color="auto"/>
                                        <w:right w:val="none" w:sz="0" w:space="0" w:color="auto"/>
                                      </w:divBdr>
                                      <w:divsChild>
                                        <w:div w:id="954943230">
                                          <w:marLeft w:val="1200"/>
                                          <w:marRight w:val="1200"/>
                                          <w:marTop w:val="0"/>
                                          <w:marBottom w:val="0"/>
                                          <w:divBdr>
                                            <w:top w:val="none" w:sz="0" w:space="0" w:color="auto"/>
                                            <w:left w:val="none" w:sz="0" w:space="0" w:color="auto"/>
                                            <w:bottom w:val="none" w:sz="0" w:space="0" w:color="auto"/>
                                            <w:right w:val="none" w:sz="0" w:space="0" w:color="auto"/>
                                          </w:divBdr>
                                          <w:divsChild>
                                            <w:div w:id="1650787833">
                                              <w:marLeft w:val="0"/>
                                              <w:marRight w:val="0"/>
                                              <w:marTop w:val="0"/>
                                              <w:marBottom w:val="0"/>
                                              <w:divBdr>
                                                <w:top w:val="none" w:sz="0" w:space="0" w:color="auto"/>
                                                <w:left w:val="none" w:sz="0" w:space="0" w:color="auto"/>
                                                <w:bottom w:val="none" w:sz="0" w:space="0" w:color="auto"/>
                                                <w:right w:val="none" w:sz="0" w:space="0" w:color="auto"/>
                                              </w:divBdr>
                                              <w:divsChild>
                                                <w:div w:id="1941572054">
                                                  <w:marLeft w:val="0"/>
                                                  <w:marRight w:val="0"/>
                                                  <w:marTop w:val="0"/>
                                                  <w:marBottom w:val="0"/>
                                                  <w:divBdr>
                                                    <w:top w:val="none" w:sz="0" w:space="0" w:color="auto"/>
                                                    <w:left w:val="none" w:sz="0" w:space="0" w:color="auto"/>
                                                    <w:bottom w:val="none" w:sz="0" w:space="0" w:color="auto"/>
                                                    <w:right w:val="none" w:sz="0" w:space="0" w:color="auto"/>
                                                  </w:divBdr>
                                                  <w:divsChild>
                                                    <w:div w:id="231355248">
                                                      <w:marLeft w:val="0"/>
                                                      <w:marRight w:val="0"/>
                                                      <w:marTop w:val="0"/>
                                                      <w:marBottom w:val="0"/>
                                                      <w:divBdr>
                                                        <w:top w:val="none" w:sz="0" w:space="0" w:color="auto"/>
                                                        <w:left w:val="none" w:sz="0" w:space="0" w:color="auto"/>
                                                        <w:bottom w:val="none" w:sz="0" w:space="0" w:color="auto"/>
                                                        <w:right w:val="none" w:sz="0" w:space="0" w:color="auto"/>
                                                      </w:divBdr>
                                                      <w:divsChild>
                                                        <w:div w:id="491063767">
                                                          <w:marLeft w:val="0"/>
                                                          <w:marRight w:val="0"/>
                                                          <w:marTop w:val="0"/>
                                                          <w:marBottom w:val="0"/>
                                                          <w:divBdr>
                                                            <w:top w:val="none" w:sz="0" w:space="0" w:color="auto"/>
                                                            <w:left w:val="none" w:sz="0" w:space="0" w:color="auto"/>
                                                            <w:bottom w:val="none" w:sz="0" w:space="0" w:color="auto"/>
                                                            <w:right w:val="none" w:sz="0" w:space="0" w:color="auto"/>
                                                          </w:divBdr>
                                                          <w:divsChild>
                                                            <w:div w:id="1351760267">
                                                              <w:marLeft w:val="0"/>
                                                              <w:marRight w:val="0"/>
                                                              <w:marTop w:val="0"/>
                                                              <w:marBottom w:val="0"/>
                                                              <w:divBdr>
                                                                <w:top w:val="none" w:sz="0" w:space="0" w:color="auto"/>
                                                                <w:left w:val="none" w:sz="0" w:space="0" w:color="auto"/>
                                                                <w:bottom w:val="none" w:sz="0" w:space="0" w:color="auto"/>
                                                                <w:right w:val="none" w:sz="0" w:space="0" w:color="auto"/>
                                                              </w:divBdr>
                                                              <w:divsChild>
                                                                <w:div w:id="717974719">
                                                                  <w:marLeft w:val="0"/>
                                                                  <w:marRight w:val="0"/>
                                                                  <w:marTop w:val="0"/>
                                                                  <w:marBottom w:val="0"/>
                                                                  <w:divBdr>
                                                                    <w:top w:val="none" w:sz="0" w:space="0" w:color="auto"/>
                                                                    <w:left w:val="none" w:sz="0" w:space="0" w:color="auto"/>
                                                                    <w:bottom w:val="none" w:sz="0" w:space="0" w:color="auto"/>
                                                                    <w:right w:val="none" w:sz="0" w:space="0" w:color="auto"/>
                                                                  </w:divBdr>
                                                                  <w:divsChild>
                                                                    <w:div w:id="532232029">
                                                                      <w:marLeft w:val="0"/>
                                                                      <w:marRight w:val="0"/>
                                                                      <w:marTop w:val="0"/>
                                                                      <w:marBottom w:val="0"/>
                                                                      <w:divBdr>
                                                                        <w:top w:val="none" w:sz="0" w:space="0" w:color="auto"/>
                                                                        <w:left w:val="none" w:sz="0" w:space="0" w:color="auto"/>
                                                                        <w:bottom w:val="none" w:sz="0" w:space="0" w:color="auto"/>
                                                                        <w:right w:val="none" w:sz="0" w:space="0" w:color="auto"/>
                                                                      </w:divBdr>
                                                                      <w:divsChild>
                                                                        <w:div w:id="888808471">
                                                                          <w:marLeft w:val="0"/>
                                                                          <w:marRight w:val="0"/>
                                                                          <w:marTop w:val="0"/>
                                                                          <w:marBottom w:val="0"/>
                                                                          <w:divBdr>
                                                                            <w:top w:val="none" w:sz="0" w:space="0" w:color="auto"/>
                                                                            <w:left w:val="none" w:sz="0" w:space="0" w:color="auto"/>
                                                                            <w:bottom w:val="none" w:sz="0" w:space="0" w:color="auto"/>
                                                                            <w:right w:val="none" w:sz="0" w:space="0" w:color="auto"/>
                                                                          </w:divBdr>
                                                                        </w:div>
                                                                      </w:divsChild>
                                                                    </w:div>
                                                                    <w:div w:id="868034280">
                                                                      <w:marLeft w:val="0"/>
                                                                      <w:marRight w:val="0"/>
                                                                      <w:marTop w:val="0"/>
                                                                      <w:marBottom w:val="0"/>
                                                                      <w:divBdr>
                                                                        <w:top w:val="none" w:sz="0" w:space="0" w:color="auto"/>
                                                                        <w:left w:val="none" w:sz="0" w:space="0" w:color="auto"/>
                                                                        <w:bottom w:val="none" w:sz="0" w:space="0" w:color="auto"/>
                                                                        <w:right w:val="none" w:sz="0" w:space="0" w:color="auto"/>
                                                                      </w:divBdr>
                                                                      <w:divsChild>
                                                                        <w:div w:id="30536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94585">
                                                                  <w:marLeft w:val="0"/>
                                                                  <w:marRight w:val="0"/>
                                                                  <w:marTop w:val="0"/>
                                                                  <w:marBottom w:val="0"/>
                                                                  <w:divBdr>
                                                                    <w:top w:val="none" w:sz="0" w:space="0" w:color="auto"/>
                                                                    <w:left w:val="none" w:sz="0" w:space="0" w:color="auto"/>
                                                                    <w:bottom w:val="none" w:sz="0" w:space="0" w:color="auto"/>
                                                                    <w:right w:val="none" w:sz="0" w:space="0" w:color="auto"/>
                                                                  </w:divBdr>
                                                                  <w:divsChild>
                                                                    <w:div w:id="333386150">
                                                                      <w:marLeft w:val="0"/>
                                                                      <w:marRight w:val="0"/>
                                                                      <w:marTop w:val="0"/>
                                                                      <w:marBottom w:val="0"/>
                                                                      <w:divBdr>
                                                                        <w:top w:val="none" w:sz="0" w:space="0" w:color="auto"/>
                                                                        <w:left w:val="none" w:sz="0" w:space="0" w:color="auto"/>
                                                                        <w:bottom w:val="none" w:sz="0" w:space="0" w:color="auto"/>
                                                                        <w:right w:val="none" w:sz="0" w:space="0" w:color="auto"/>
                                                                      </w:divBdr>
                                                                    </w:div>
                                                                    <w:div w:id="731656438">
                                                                      <w:marLeft w:val="0"/>
                                                                      <w:marRight w:val="0"/>
                                                                      <w:marTop w:val="0"/>
                                                                      <w:marBottom w:val="0"/>
                                                                      <w:divBdr>
                                                                        <w:top w:val="none" w:sz="0" w:space="0" w:color="auto"/>
                                                                        <w:left w:val="none" w:sz="0" w:space="0" w:color="auto"/>
                                                                        <w:bottom w:val="none" w:sz="0" w:space="0" w:color="auto"/>
                                                                        <w:right w:val="none" w:sz="0" w:space="0" w:color="auto"/>
                                                                      </w:divBdr>
                                                                      <w:divsChild>
                                                                        <w:div w:id="1203519330">
                                                                          <w:marLeft w:val="0"/>
                                                                          <w:marRight w:val="0"/>
                                                                          <w:marTop w:val="0"/>
                                                                          <w:marBottom w:val="0"/>
                                                                          <w:divBdr>
                                                                            <w:top w:val="none" w:sz="0" w:space="0" w:color="auto"/>
                                                                            <w:left w:val="none" w:sz="0" w:space="0" w:color="auto"/>
                                                                            <w:bottom w:val="none" w:sz="0" w:space="0" w:color="auto"/>
                                                                            <w:right w:val="none" w:sz="0" w:space="0" w:color="auto"/>
                                                                          </w:divBdr>
                                                                        </w:div>
                                                                      </w:divsChild>
                                                                    </w:div>
                                                                    <w:div w:id="1343703551">
                                                                      <w:marLeft w:val="0"/>
                                                                      <w:marRight w:val="0"/>
                                                                      <w:marTop w:val="0"/>
                                                                      <w:marBottom w:val="0"/>
                                                                      <w:divBdr>
                                                                        <w:top w:val="none" w:sz="0" w:space="0" w:color="auto"/>
                                                                        <w:left w:val="none" w:sz="0" w:space="0" w:color="auto"/>
                                                                        <w:bottom w:val="none" w:sz="0" w:space="0" w:color="auto"/>
                                                                        <w:right w:val="none" w:sz="0" w:space="0" w:color="auto"/>
                                                                      </w:divBdr>
                                                                      <w:divsChild>
                                                                        <w:div w:id="1814250032">
                                                                          <w:marLeft w:val="0"/>
                                                                          <w:marRight w:val="0"/>
                                                                          <w:marTop w:val="0"/>
                                                                          <w:marBottom w:val="0"/>
                                                                          <w:divBdr>
                                                                            <w:top w:val="none" w:sz="0" w:space="0" w:color="auto"/>
                                                                            <w:left w:val="none" w:sz="0" w:space="0" w:color="auto"/>
                                                                            <w:bottom w:val="none" w:sz="0" w:space="0" w:color="auto"/>
                                                                            <w:right w:val="none" w:sz="0" w:space="0" w:color="auto"/>
                                                                          </w:divBdr>
                                                                        </w:div>
                                                                      </w:divsChild>
                                                                    </w:div>
                                                                    <w:div w:id="1609462188">
                                                                      <w:marLeft w:val="0"/>
                                                                      <w:marRight w:val="0"/>
                                                                      <w:marTop w:val="0"/>
                                                                      <w:marBottom w:val="0"/>
                                                                      <w:divBdr>
                                                                        <w:top w:val="none" w:sz="0" w:space="0" w:color="auto"/>
                                                                        <w:left w:val="none" w:sz="0" w:space="0" w:color="auto"/>
                                                                        <w:bottom w:val="none" w:sz="0" w:space="0" w:color="auto"/>
                                                                        <w:right w:val="none" w:sz="0" w:space="0" w:color="auto"/>
                                                                      </w:divBdr>
                                                                      <w:divsChild>
                                                                        <w:div w:id="1732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1923408">
      <w:bodyDiv w:val="1"/>
      <w:marLeft w:val="0"/>
      <w:marRight w:val="0"/>
      <w:marTop w:val="0"/>
      <w:marBottom w:val="0"/>
      <w:divBdr>
        <w:top w:val="none" w:sz="0" w:space="0" w:color="auto"/>
        <w:left w:val="none" w:sz="0" w:space="0" w:color="auto"/>
        <w:bottom w:val="none" w:sz="0" w:space="0" w:color="auto"/>
        <w:right w:val="none" w:sz="0" w:space="0" w:color="auto"/>
      </w:divBdr>
      <w:divsChild>
        <w:div w:id="1997805241">
          <w:marLeft w:val="0"/>
          <w:marRight w:val="0"/>
          <w:marTop w:val="0"/>
          <w:marBottom w:val="0"/>
          <w:divBdr>
            <w:top w:val="none" w:sz="0" w:space="0" w:color="auto"/>
            <w:left w:val="none" w:sz="0" w:space="0" w:color="auto"/>
            <w:bottom w:val="none" w:sz="0" w:space="0" w:color="auto"/>
            <w:right w:val="none" w:sz="0" w:space="0" w:color="auto"/>
          </w:divBdr>
          <w:divsChild>
            <w:div w:id="1676418316">
              <w:marLeft w:val="0"/>
              <w:marRight w:val="0"/>
              <w:marTop w:val="0"/>
              <w:marBottom w:val="0"/>
              <w:divBdr>
                <w:top w:val="none" w:sz="0" w:space="0" w:color="auto"/>
                <w:left w:val="none" w:sz="0" w:space="0" w:color="auto"/>
                <w:bottom w:val="none" w:sz="0" w:space="0" w:color="auto"/>
                <w:right w:val="none" w:sz="0" w:space="0" w:color="auto"/>
              </w:divBdr>
              <w:divsChild>
                <w:div w:id="497235360">
                  <w:marLeft w:val="0"/>
                  <w:marRight w:val="0"/>
                  <w:marTop w:val="0"/>
                  <w:marBottom w:val="0"/>
                  <w:divBdr>
                    <w:top w:val="none" w:sz="0" w:space="0" w:color="auto"/>
                    <w:left w:val="none" w:sz="0" w:space="0" w:color="auto"/>
                    <w:bottom w:val="none" w:sz="0" w:space="0" w:color="auto"/>
                    <w:right w:val="none" w:sz="0" w:space="0" w:color="auto"/>
                  </w:divBdr>
                  <w:divsChild>
                    <w:div w:id="529800845">
                      <w:marLeft w:val="0"/>
                      <w:marRight w:val="0"/>
                      <w:marTop w:val="0"/>
                      <w:marBottom w:val="375"/>
                      <w:divBdr>
                        <w:top w:val="none" w:sz="0" w:space="0" w:color="auto"/>
                        <w:left w:val="none" w:sz="0" w:space="0" w:color="auto"/>
                        <w:bottom w:val="none" w:sz="0" w:space="0" w:color="auto"/>
                        <w:right w:val="none" w:sz="0" w:space="0" w:color="auto"/>
                      </w:divBdr>
                      <w:divsChild>
                        <w:div w:id="14954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89">
      <w:bodyDiv w:val="1"/>
      <w:marLeft w:val="0"/>
      <w:marRight w:val="0"/>
      <w:marTop w:val="0"/>
      <w:marBottom w:val="0"/>
      <w:divBdr>
        <w:top w:val="none" w:sz="0" w:space="0" w:color="auto"/>
        <w:left w:val="none" w:sz="0" w:space="0" w:color="auto"/>
        <w:bottom w:val="none" w:sz="0" w:space="0" w:color="auto"/>
        <w:right w:val="none" w:sz="0" w:space="0" w:color="auto"/>
      </w:divBdr>
      <w:divsChild>
        <w:div w:id="716785020">
          <w:marLeft w:val="0"/>
          <w:marRight w:val="0"/>
          <w:marTop w:val="0"/>
          <w:marBottom w:val="0"/>
          <w:divBdr>
            <w:top w:val="none" w:sz="0" w:space="0" w:color="auto"/>
            <w:left w:val="single" w:sz="6" w:space="0" w:color="BBBBBB"/>
            <w:bottom w:val="single" w:sz="6" w:space="0" w:color="BBBBBB"/>
            <w:right w:val="single" w:sz="6" w:space="0" w:color="BBBBBB"/>
          </w:divBdr>
          <w:divsChild>
            <w:div w:id="789282">
              <w:marLeft w:val="0"/>
              <w:marRight w:val="0"/>
              <w:marTop w:val="0"/>
              <w:marBottom w:val="0"/>
              <w:divBdr>
                <w:top w:val="none" w:sz="0" w:space="0" w:color="auto"/>
                <w:left w:val="none" w:sz="0" w:space="0" w:color="auto"/>
                <w:bottom w:val="none" w:sz="0" w:space="0" w:color="auto"/>
                <w:right w:val="none" w:sz="0" w:space="0" w:color="auto"/>
              </w:divBdr>
              <w:divsChild>
                <w:div w:id="1092778006">
                  <w:marLeft w:val="0"/>
                  <w:marRight w:val="0"/>
                  <w:marTop w:val="0"/>
                  <w:marBottom w:val="0"/>
                  <w:divBdr>
                    <w:top w:val="none" w:sz="0" w:space="0" w:color="auto"/>
                    <w:left w:val="none" w:sz="0" w:space="0" w:color="auto"/>
                    <w:bottom w:val="none" w:sz="0" w:space="0" w:color="auto"/>
                    <w:right w:val="none" w:sz="0" w:space="0" w:color="auto"/>
                  </w:divBdr>
                  <w:divsChild>
                    <w:div w:id="812647389">
                      <w:marLeft w:val="0"/>
                      <w:marRight w:val="0"/>
                      <w:marTop w:val="0"/>
                      <w:marBottom w:val="0"/>
                      <w:divBdr>
                        <w:top w:val="none" w:sz="0" w:space="0" w:color="auto"/>
                        <w:left w:val="none" w:sz="0" w:space="0" w:color="auto"/>
                        <w:bottom w:val="none" w:sz="0" w:space="0" w:color="auto"/>
                        <w:right w:val="none" w:sz="0" w:space="0" w:color="auto"/>
                      </w:divBdr>
                      <w:divsChild>
                        <w:div w:id="643045873">
                          <w:marLeft w:val="0"/>
                          <w:marRight w:val="0"/>
                          <w:marTop w:val="0"/>
                          <w:marBottom w:val="0"/>
                          <w:divBdr>
                            <w:top w:val="none" w:sz="0" w:space="0" w:color="auto"/>
                            <w:left w:val="none" w:sz="0" w:space="0" w:color="auto"/>
                            <w:bottom w:val="none" w:sz="0" w:space="0" w:color="auto"/>
                            <w:right w:val="none" w:sz="0" w:space="0" w:color="auto"/>
                          </w:divBdr>
                          <w:divsChild>
                            <w:div w:id="1505125504">
                              <w:marLeft w:val="0"/>
                              <w:marRight w:val="0"/>
                              <w:marTop w:val="0"/>
                              <w:marBottom w:val="0"/>
                              <w:divBdr>
                                <w:top w:val="none" w:sz="0" w:space="0" w:color="auto"/>
                                <w:left w:val="none" w:sz="0" w:space="0" w:color="auto"/>
                                <w:bottom w:val="none" w:sz="0" w:space="0" w:color="auto"/>
                                <w:right w:val="none" w:sz="0" w:space="0" w:color="auto"/>
                              </w:divBdr>
                              <w:divsChild>
                                <w:div w:id="1508523088">
                                  <w:marLeft w:val="0"/>
                                  <w:marRight w:val="0"/>
                                  <w:marTop w:val="0"/>
                                  <w:marBottom w:val="0"/>
                                  <w:divBdr>
                                    <w:top w:val="none" w:sz="0" w:space="0" w:color="auto"/>
                                    <w:left w:val="none" w:sz="0" w:space="0" w:color="auto"/>
                                    <w:bottom w:val="none" w:sz="0" w:space="0" w:color="auto"/>
                                    <w:right w:val="none" w:sz="0" w:space="0" w:color="auto"/>
                                  </w:divBdr>
                                  <w:divsChild>
                                    <w:div w:id="1505239812">
                                      <w:marLeft w:val="0"/>
                                      <w:marRight w:val="0"/>
                                      <w:marTop w:val="0"/>
                                      <w:marBottom w:val="0"/>
                                      <w:divBdr>
                                        <w:top w:val="none" w:sz="0" w:space="0" w:color="auto"/>
                                        <w:left w:val="none" w:sz="0" w:space="0" w:color="auto"/>
                                        <w:bottom w:val="none" w:sz="0" w:space="0" w:color="auto"/>
                                        <w:right w:val="none" w:sz="0" w:space="0" w:color="auto"/>
                                      </w:divBdr>
                                      <w:divsChild>
                                        <w:div w:id="264509217">
                                          <w:marLeft w:val="1200"/>
                                          <w:marRight w:val="1200"/>
                                          <w:marTop w:val="0"/>
                                          <w:marBottom w:val="0"/>
                                          <w:divBdr>
                                            <w:top w:val="none" w:sz="0" w:space="0" w:color="auto"/>
                                            <w:left w:val="none" w:sz="0" w:space="0" w:color="auto"/>
                                            <w:bottom w:val="none" w:sz="0" w:space="0" w:color="auto"/>
                                            <w:right w:val="none" w:sz="0" w:space="0" w:color="auto"/>
                                          </w:divBdr>
                                          <w:divsChild>
                                            <w:div w:id="374890329">
                                              <w:marLeft w:val="0"/>
                                              <w:marRight w:val="0"/>
                                              <w:marTop w:val="0"/>
                                              <w:marBottom w:val="0"/>
                                              <w:divBdr>
                                                <w:top w:val="none" w:sz="0" w:space="0" w:color="auto"/>
                                                <w:left w:val="none" w:sz="0" w:space="0" w:color="auto"/>
                                                <w:bottom w:val="none" w:sz="0" w:space="0" w:color="auto"/>
                                                <w:right w:val="none" w:sz="0" w:space="0" w:color="auto"/>
                                              </w:divBdr>
                                              <w:divsChild>
                                                <w:div w:id="72777387">
                                                  <w:marLeft w:val="0"/>
                                                  <w:marRight w:val="0"/>
                                                  <w:marTop w:val="0"/>
                                                  <w:marBottom w:val="0"/>
                                                  <w:divBdr>
                                                    <w:top w:val="none" w:sz="0" w:space="0" w:color="auto"/>
                                                    <w:left w:val="none" w:sz="0" w:space="0" w:color="auto"/>
                                                    <w:bottom w:val="none" w:sz="0" w:space="0" w:color="auto"/>
                                                    <w:right w:val="none" w:sz="0" w:space="0" w:color="auto"/>
                                                  </w:divBdr>
                                                  <w:divsChild>
                                                    <w:div w:id="139076587">
                                                      <w:marLeft w:val="0"/>
                                                      <w:marRight w:val="0"/>
                                                      <w:marTop w:val="0"/>
                                                      <w:marBottom w:val="0"/>
                                                      <w:divBdr>
                                                        <w:top w:val="none" w:sz="0" w:space="0" w:color="auto"/>
                                                        <w:left w:val="none" w:sz="0" w:space="0" w:color="auto"/>
                                                        <w:bottom w:val="none" w:sz="0" w:space="0" w:color="auto"/>
                                                        <w:right w:val="none" w:sz="0" w:space="0" w:color="auto"/>
                                                      </w:divBdr>
                                                      <w:divsChild>
                                                        <w:div w:id="958876817">
                                                          <w:marLeft w:val="0"/>
                                                          <w:marRight w:val="0"/>
                                                          <w:marTop w:val="0"/>
                                                          <w:marBottom w:val="0"/>
                                                          <w:divBdr>
                                                            <w:top w:val="none" w:sz="0" w:space="0" w:color="auto"/>
                                                            <w:left w:val="none" w:sz="0" w:space="0" w:color="auto"/>
                                                            <w:bottom w:val="none" w:sz="0" w:space="0" w:color="auto"/>
                                                            <w:right w:val="none" w:sz="0" w:space="0" w:color="auto"/>
                                                          </w:divBdr>
                                                          <w:divsChild>
                                                            <w:div w:id="355889275">
                                                              <w:marLeft w:val="0"/>
                                                              <w:marRight w:val="0"/>
                                                              <w:marTop w:val="0"/>
                                                              <w:marBottom w:val="0"/>
                                                              <w:divBdr>
                                                                <w:top w:val="none" w:sz="0" w:space="0" w:color="auto"/>
                                                                <w:left w:val="none" w:sz="0" w:space="0" w:color="auto"/>
                                                                <w:bottom w:val="none" w:sz="0" w:space="0" w:color="auto"/>
                                                                <w:right w:val="none" w:sz="0" w:space="0" w:color="auto"/>
                                                              </w:divBdr>
                                                            </w:div>
                                                          </w:divsChild>
                                                        </w:div>
                                                        <w:div w:id="1185438243">
                                                          <w:marLeft w:val="0"/>
                                                          <w:marRight w:val="0"/>
                                                          <w:marTop w:val="0"/>
                                                          <w:marBottom w:val="0"/>
                                                          <w:divBdr>
                                                            <w:top w:val="none" w:sz="0" w:space="0" w:color="auto"/>
                                                            <w:left w:val="none" w:sz="0" w:space="0" w:color="auto"/>
                                                            <w:bottom w:val="none" w:sz="0" w:space="0" w:color="auto"/>
                                                            <w:right w:val="none" w:sz="0" w:space="0" w:color="auto"/>
                                                          </w:divBdr>
                                                          <w:divsChild>
                                                            <w:div w:id="1747266565">
                                                              <w:marLeft w:val="0"/>
                                                              <w:marRight w:val="0"/>
                                                              <w:marTop w:val="0"/>
                                                              <w:marBottom w:val="0"/>
                                                              <w:divBdr>
                                                                <w:top w:val="none" w:sz="0" w:space="0" w:color="auto"/>
                                                                <w:left w:val="none" w:sz="0" w:space="0" w:color="auto"/>
                                                                <w:bottom w:val="none" w:sz="0" w:space="0" w:color="auto"/>
                                                                <w:right w:val="none" w:sz="0" w:space="0" w:color="auto"/>
                                                              </w:divBdr>
                                                            </w:div>
                                                          </w:divsChild>
                                                        </w:div>
                                                        <w:div w:id="1385255929">
                                                          <w:marLeft w:val="0"/>
                                                          <w:marRight w:val="0"/>
                                                          <w:marTop w:val="0"/>
                                                          <w:marBottom w:val="0"/>
                                                          <w:divBdr>
                                                            <w:top w:val="none" w:sz="0" w:space="0" w:color="auto"/>
                                                            <w:left w:val="none" w:sz="0" w:space="0" w:color="auto"/>
                                                            <w:bottom w:val="none" w:sz="0" w:space="0" w:color="auto"/>
                                                            <w:right w:val="none" w:sz="0" w:space="0" w:color="auto"/>
                                                          </w:divBdr>
                                                          <w:divsChild>
                                                            <w:div w:id="164825347">
                                                              <w:marLeft w:val="0"/>
                                                              <w:marRight w:val="0"/>
                                                              <w:marTop w:val="0"/>
                                                              <w:marBottom w:val="0"/>
                                                              <w:divBdr>
                                                                <w:top w:val="none" w:sz="0" w:space="0" w:color="auto"/>
                                                                <w:left w:val="none" w:sz="0" w:space="0" w:color="auto"/>
                                                                <w:bottom w:val="none" w:sz="0" w:space="0" w:color="auto"/>
                                                                <w:right w:val="none" w:sz="0" w:space="0" w:color="auto"/>
                                                              </w:divBdr>
                                                            </w:div>
                                                          </w:divsChild>
                                                        </w:div>
                                                        <w:div w:id="1504784965">
                                                          <w:marLeft w:val="0"/>
                                                          <w:marRight w:val="0"/>
                                                          <w:marTop w:val="0"/>
                                                          <w:marBottom w:val="0"/>
                                                          <w:divBdr>
                                                            <w:top w:val="none" w:sz="0" w:space="0" w:color="auto"/>
                                                            <w:left w:val="none" w:sz="0" w:space="0" w:color="auto"/>
                                                            <w:bottom w:val="none" w:sz="0" w:space="0" w:color="auto"/>
                                                            <w:right w:val="none" w:sz="0" w:space="0" w:color="auto"/>
                                                          </w:divBdr>
                                                          <w:divsChild>
                                                            <w:div w:id="19246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8285697">
      <w:bodyDiv w:val="1"/>
      <w:marLeft w:val="0"/>
      <w:marRight w:val="0"/>
      <w:marTop w:val="0"/>
      <w:marBottom w:val="0"/>
      <w:divBdr>
        <w:top w:val="none" w:sz="0" w:space="0" w:color="auto"/>
        <w:left w:val="none" w:sz="0" w:space="0" w:color="auto"/>
        <w:bottom w:val="none" w:sz="0" w:space="0" w:color="auto"/>
        <w:right w:val="none" w:sz="0" w:space="0" w:color="auto"/>
      </w:divBdr>
      <w:divsChild>
        <w:div w:id="462576181">
          <w:marLeft w:val="0"/>
          <w:marRight w:val="0"/>
          <w:marTop w:val="0"/>
          <w:marBottom w:val="0"/>
          <w:divBdr>
            <w:top w:val="single" w:sz="6" w:space="0" w:color="D2D2D2"/>
            <w:left w:val="single" w:sz="6" w:space="0" w:color="D2D2D2"/>
            <w:bottom w:val="single" w:sz="6" w:space="0" w:color="D2D2D2"/>
            <w:right w:val="single" w:sz="6" w:space="0" w:color="D2D2D2"/>
          </w:divBdr>
          <w:divsChild>
            <w:div w:id="298415016">
              <w:marLeft w:val="0"/>
              <w:marRight w:val="0"/>
              <w:marTop w:val="0"/>
              <w:marBottom w:val="0"/>
              <w:divBdr>
                <w:top w:val="none" w:sz="0" w:space="0" w:color="auto"/>
                <w:left w:val="none" w:sz="0" w:space="0" w:color="auto"/>
                <w:bottom w:val="none" w:sz="0" w:space="0" w:color="auto"/>
                <w:right w:val="single" w:sz="48" w:space="0" w:color="F6F6F6"/>
              </w:divBdr>
              <w:divsChild>
                <w:div w:id="141881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5177">
      <w:bodyDiv w:val="1"/>
      <w:marLeft w:val="0"/>
      <w:marRight w:val="0"/>
      <w:marTop w:val="0"/>
      <w:marBottom w:val="0"/>
      <w:divBdr>
        <w:top w:val="none" w:sz="0" w:space="0" w:color="auto"/>
        <w:left w:val="none" w:sz="0" w:space="0" w:color="auto"/>
        <w:bottom w:val="none" w:sz="0" w:space="0" w:color="auto"/>
        <w:right w:val="none" w:sz="0" w:space="0" w:color="auto"/>
      </w:divBdr>
      <w:divsChild>
        <w:div w:id="1148979402">
          <w:marLeft w:val="0"/>
          <w:marRight w:val="0"/>
          <w:marTop w:val="0"/>
          <w:marBottom w:val="0"/>
          <w:divBdr>
            <w:top w:val="none" w:sz="0" w:space="0" w:color="auto"/>
            <w:left w:val="none" w:sz="0" w:space="0" w:color="auto"/>
            <w:bottom w:val="none" w:sz="0" w:space="0" w:color="auto"/>
            <w:right w:val="none" w:sz="0" w:space="0" w:color="auto"/>
          </w:divBdr>
        </w:div>
      </w:divsChild>
    </w:div>
    <w:div w:id="1080643762">
      <w:bodyDiv w:val="1"/>
      <w:marLeft w:val="0"/>
      <w:marRight w:val="0"/>
      <w:marTop w:val="0"/>
      <w:marBottom w:val="0"/>
      <w:divBdr>
        <w:top w:val="none" w:sz="0" w:space="0" w:color="auto"/>
        <w:left w:val="none" w:sz="0" w:space="0" w:color="auto"/>
        <w:bottom w:val="none" w:sz="0" w:space="0" w:color="auto"/>
        <w:right w:val="none" w:sz="0" w:space="0" w:color="auto"/>
      </w:divBdr>
      <w:divsChild>
        <w:div w:id="106589026">
          <w:marLeft w:val="0"/>
          <w:marRight w:val="0"/>
          <w:marTop w:val="240"/>
          <w:marBottom w:val="0"/>
          <w:divBdr>
            <w:top w:val="none" w:sz="0" w:space="0" w:color="auto"/>
            <w:left w:val="none" w:sz="0" w:space="0" w:color="auto"/>
            <w:bottom w:val="none" w:sz="0" w:space="0" w:color="auto"/>
            <w:right w:val="none" w:sz="0" w:space="0" w:color="auto"/>
          </w:divBdr>
          <w:divsChild>
            <w:div w:id="317661086">
              <w:marLeft w:val="0"/>
              <w:marRight w:val="0"/>
              <w:marTop w:val="0"/>
              <w:marBottom w:val="0"/>
              <w:divBdr>
                <w:top w:val="none" w:sz="0" w:space="0" w:color="auto"/>
                <w:left w:val="none" w:sz="0" w:space="0" w:color="auto"/>
                <w:bottom w:val="none" w:sz="0" w:space="0" w:color="auto"/>
                <w:right w:val="none" w:sz="0" w:space="0" w:color="auto"/>
              </w:divBdr>
            </w:div>
          </w:divsChild>
        </w:div>
        <w:div w:id="459614351">
          <w:marLeft w:val="0"/>
          <w:marRight w:val="0"/>
          <w:marTop w:val="240"/>
          <w:marBottom w:val="0"/>
          <w:divBdr>
            <w:top w:val="none" w:sz="0" w:space="0" w:color="auto"/>
            <w:left w:val="none" w:sz="0" w:space="0" w:color="auto"/>
            <w:bottom w:val="none" w:sz="0" w:space="0" w:color="auto"/>
            <w:right w:val="none" w:sz="0" w:space="0" w:color="auto"/>
          </w:divBdr>
          <w:divsChild>
            <w:div w:id="1396779378">
              <w:marLeft w:val="0"/>
              <w:marRight w:val="0"/>
              <w:marTop w:val="0"/>
              <w:marBottom w:val="0"/>
              <w:divBdr>
                <w:top w:val="none" w:sz="0" w:space="0" w:color="auto"/>
                <w:left w:val="none" w:sz="0" w:space="0" w:color="auto"/>
                <w:bottom w:val="none" w:sz="0" w:space="0" w:color="auto"/>
                <w:right w:val="none" w:sz="0" w:space="0" w:color="auto"/>
              </w:divBdr>
            </w:div>
          </w:divsChild>
        </w:div>
        <w:div w:id="1150368265">
          <w:marLeft w:val="0"/>
          <w:marRight w:val="0"/>
          <w:marTop w:val="240"/>
          <w:marBottom w:val="0"/>
          <w:divBdr>
            <w:top w:val="none" w:sz="0" w:space="0" w:color="auto"/>
            <w:left w:val="none" w:sz="0" w:space="0" w:color="auto"/>
            <w:bottom w:val="none" w:sz="0" w:space="0" w:color="auto"/>
            <w:right w:val="none" w:sz="0" w:space="0" w:color="auto"/>
          </w:divBdr>
          <w:divsChild>
            <w:div w:id="107047587">
              <w:marLeft w:val="0"/>
              <w:marRight w:val="0"/>
              <w:marTop w:val="240"/>
              <w:marBottom w:val="0"/>
              <w:divBdr>
                <w:top w:val="none" w:sz="0" w:space="0" w:color="auto"/>
                <w:left w:val="none" w:sz="0" w:space="0" w:color="auto"/>
                <w:bottom w:val="none" w:sz="0" w:space="0" w:color="auto"/>
                <w:right w:val="none" w:sz="0" w:space="0" w:color="auto"/>
              </w:divBdr>
              <w:divsChild>
                <w:div w:id="82724575">
                  <w:marLeft w:val="0"/>
                  <w:marRight w:val="0"/>
                  <w:marTop w:val="0"/>
                  <w:marBottom w:val="0"/>
                  <w:divBdr>
                    <w:top w:val="none" w:sz="0" w:space="0" w:color="auto"/>
                    <w:left w:val="none" w:sz="0" w:space="0" w:color="auto"/>
                    <w:bottom w:val="none" w:sz="0" w:space="0" w:color="auto"/>
                    <w:right w:val="none" w:sz="0" w:space="0" w:color="auto"/>
                  </w:divBdr>
                </w:div>
              </w:divsChild>
            </w:div>
            <w:div w:id="600181226">
              <w:marLeft w:val="0"/>
              <w:marRight w:val="0"/>
              <w:marTop w:val="0"/>
              <w:marBottom w:val="0"/>
              <w:divBdr>
                <w:top w:val="none" w:sz="0" w:space="0" w:color="auto"/>
                <w:left w:val="none" w:sz="0" w:space="0" w:color="auto"/>
                <w:bottom w:val="none" w:sz="0" w:space="0" w:color="auto"/>
                <w:right w:val="none" w:sz="0" w:space="0" w:color="auto"/>
              </w:divBdr>
            </w:div>
            <w:div w:id="1175850972">
              <w:marLeft w:val="0"/>
              <w:marRight w:val="0"/>
              <w:marTop w:val="240"/>
              <w:marBottom w:val="0"/>
              <w:divBdr>
                <w:top w:val="none" w:sz="0" w:space="0" w:color="auto"/>
                <w:left w:val="none" w:sz="0" w:space="0" w:color="auto"/>
                <w:bottom w:val="none" w:sz="0" w:space="0" w:color="auto"/>
                <w:right w:val="none" w:sz="0" w:space="0" w:color="auto"/>
              </w:divBdr>
              <w:divsChild>
                <w:div w:id="1460536212">
                  <w:marLeft w:val="0"/>
                  <w:marRight w:val="0"/>
                  <w:marTop w:val="0"/>
                  <w:marBottom w:val="0"/>
                  <w:divBdr>
                    <w:top w:val="none" w:sz="0" w:space="0" w:color="auto"/>
                    <w:left w:val="none" w:sz="0" w:space="0" w:color="auto"/>
                    <w:bottom w:val="none" w:sz="0" w:space="0" w:color="auto"/>
                    <w:right w:val="none" w:sz="0" w:space="0" w:color="auto"/>
                  </w:divBdr>
                </w:div>
              </w:divsChild>
            </w:div>
            <w:div w:id="2125691904">
              <w:marLeft w:val="0"/>
              <w:marRight w:val="0"/>
              <w:marTop w:val="240"/>
              <w:marBottom w:val="0"/>
              <w:divBdr>
                <w:top w:val="none" w:sz="0" w:space="0" w:color="auto"/>
                <w:left w:val="none" w:sz="0" w:space="0" w:color="auto"/>
                <w:bottom w:val="none" w:sz="0" w:space="0" w:color="auto"/>
                <w:right w:val="none" w:sz="0" w:space="0" w:color="auto"/>
              </w:divBdr>
              <w:divsChild>
                <w:div w:id="6229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1788">
          <w:marLeft w:val="0"/>
          <w:marRight w:val="0"/>
          <w:marTop w:val="240"/>
          <w:marBottom w:val="0"/>
          <w:divBdr>
            <w:top w:val="none" w:sz="0" w:space="0" w:color="auto"/>
            <w:left w:val="none" w:sz="0" w:space="0" w:color="auto"/>
            <w:bottom w:val="none" w:sz="0" w:space="0" w:color="auto"/>
            <w:right w:val="none" w:sz="0" w:space="0" w:color="auto"/>
          </w:divBdr>
          <w:divsChild>
            <w:div w:id="3113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8847">
      <w:bodyDiv w:val="1"/>
      <w:marLeft w:val="0"/>
      <w:marRight w:val="0"/>
      <w:marTop w:val="0"/>
      <w:marBottom w:val="0"/>
      <w:divBdr>
        <w:top w:val="none" w:sz="0" w:space="0" w:color="auto"/>
        <w:left w:val="none" w:sz="0" w:space="0" w:color="auto"/>
        <w:bottom w:val="none" w:sz="0" w:space="0" w:color="auto"/>
        <w:right w:val="none" w:sz="0" w:space="0" w:color="auto"/>
      </w:divBdr>
      <w:divsChild>
        <w:div w:id="36708883">
          <w:marLeft w:val="0"/>
          <w:marRight w:val="0"/>
          <w:marTop w:val="0"/>
          <w:marBottom w:val="0"/>
          <w:divBdr>
            <w:top w:val="none" w:sz="0" w:space="0" w:color="auto"/>
            <w:left w:val="single" w:sz="6" w:space="0" w:color="BBBBBB"/>
            <w:bottom w:val="single" w:sz="6" w:space="0" w:color="BBBBBB"/>
            <w:right w:val="single" w:sz="6" w:space="0" w:color="BBBBBB"/>
          </w:divBdr>
          <w:divsChild>
            <w:div w:id="439103932">
              <w:marLeft w:val="0"/>
              <w:marRight w:val="0"/>
              <w:marTop w:val="0"/>
              <w:marBottom w:val="0"/>
              <w:divBdr>
                <w:top w:val="none" w:sz="0" w:space="0" w:color="auto"/>
                <w:left w:val="none" w:sz="0" w:space="0" w:color="auto"/>
                <w:bottom w:val="none" w:sz="0" w:space="0" w:color="auto"/>
                <w:right w:val="none" w:sz="0" w:space="0" w:color="auto"/>
              </w:divBdr>
              <w:divsChild>
                <w:div w:id="490604068">
                  <w:marLeft w:val="0"/>
                  <w:marRight w:val="0"/>
                  <w:marTop w:val="75"/>
                  <w:marBottom w:val="0"/>
                  <w:divBdr>
                    <w:top w:val="none" w:sz="0" w:space="0" w:color="auto"/>
                    <w:left w:val="none" w:sz="0" w:space="0" w:color="auto"/>
                    <w:bottom w:val="none" w:sz="0" w:space="0" w:color="auto"/>
                    <w:right w:val="none" w:sz="0" w:space="0" w:color="auto"/>
                  </w:divBdr>
                  <w:divsChild>
                    <w:div w:id="170144282">
                      <w:marLeft w:val="0"/>
                      <w:marRight w:val="0"/>
                      <w:marTop w:val="0"/>
                      <w:marBottom w:val="0"/>
                      <w:divBdr>
                        <w:top w:val="none" w:sz="0" w:space="0" w:color="auto"/>
                        <w:left w:val="none" w:sz="0" w:space="0" w:color="auto"/>
                        <w:bottom w:val="none" w:sz="0" w:space="0" w:color="auto"/>
                        <w:right w:val="none" w:sz="0" w:space="0" w:color="auto"/>
                      </w:divBdr>
                      <w:divsChild>
                        <w:div w:id="1856990679">
                          <w:marLeft w:val="0"/>
                          <w:marRight w:val="0"/>
                          <w:marTop w:val="0"/>
                          <w:marBottom w:val="0"/>
                          <w:divBdr>
                            <w:top w:val="none" w:sz="0" w:space="0" w:color="auto"/>
                            <w:left w:val="none" w:sz="0" w:space="0" w:color="auto"/>
                            <w:bottom w:val="none" w:sz="0" w:space="0" w:color="auto"/>
                            <w:right w:val="none" w:sz="0" w:space="0" w:color="auto"/>
                          </w:divBdr>
                          <w:divsChild>
                            <w:div w:id="1434667780">
                              <w:marLeft w:val="0"/>
                              <w:marRight w:val="0"/>
                              <w:marTop w:val="0"/>
                              <w:marBottom w:val="0"/>
                              <w:divBdr>
                                <w:top w:val="none" w:sz="0" w:space="0" w:color="auto"/>
                                <w:left w:val="none" w:sz="0" w:space="0" w:color="auto"/>
                                <w:bottom w:val="none" w:sz="0" w:space="0" w:color="auto"/>
                                <w:right w:val="none" w:sz="0" w:space="0" w:color="auto"/>
                              </w:divBdr>
                              <w:divsChild>
                                <w:div w:id="1720280380">
                                  <w:marLeft w:val="0"/>
                                  <w:marRight w:val="0"/>
                                  <w:marTop w:val="0"/>
                                  <w:marBottom w:val="0"/>
                                  <w:divBdr>
                                    <w:top w:val="none" w:sz="0" w:space="0" w:color="auto"/>
                                    <w:left w:val="none" w:sz="0" w:space="0" w:color="auto"/>
                                    <w:bottom w:val="none" w:sz="0" w:space="0" w:color="auto"/>
                                    <w:right w:val="none" w:sz="0" w:space="0" w:color="auto"/>
                                  </w:divBdr>
                                  <w:divsChild>
                                    <w:div w:id="595287800">
                                      <w:marLeft w:val="0"/>
                                      <w:marRight w:val="0"/>
                                      <w:marTop w:val="0"/>
                                      <w:marBottom w:val="0"/>
                                      <w:divBdr>
                                        <w:top w:val="none" w:sz="0" w:space="0" w:color="auto"/>
                                        <w:left w:val="none" w:sz="0" w:space="0" w:color="auto"/>
                                        <w:bottom w:val="none" w:sz="0" w:space="0" w:color="auto"/>
                                        <w:right w:val="none" w:sz="0" w:space="0" w:color="auto"/>
                                      </w:divBdr>
                                      <w:divsChild>
                                        <w:div w:id="506362272">
                                          <w:marLeft w:val="1200"/>
                                          <w:marRight w:val="1200"/>
                                          <w:marTop w:val="0"/>
                                          <w:marBottom w:val="0"/>
                                          <w:divBdr>
                                            <w:top w:val="none" w:sz="0" w:space="0" w:color="auto"/>
                                            <w:left w:val="none" w:sz="0" w:space="0" w:color="auto"/>
                                            <w:bottom w:val="none" w:sz="0" w:space="0" w:color="auto"/>
                                            <w:right w:val="none" w:sz="0" w:space="0" w:color="auto"/>
                                          </w:divBdr>
                                          <w:divsChild>
                                            <w:div w:id="1310472887">
                                              <w:marLeft w:val="0"/>
                                              <w:marRight w:val="0"/>
                                              <w:marTop w:val="0"/>
                                              <w:marBottom w:val="0"/>
                                              <w:divBdr>
                                                <w:top w:val="none" w:sz="0" w:space="0" w:color="auto"/>
                                                <w:left w:val="none" w:sz="0" w:space="0" w:color="auto"/>
                                                <w:bottom w:val="none" w:sz="0" w:space="0" w:color="auto"/>
                                                <w:right w:val="none" w:sz="0" w:space="0" w:color="auto"/>
                                              </w:divBdr>
                                              <w:divsChild>
                                                <w:div w:id="589392979">
                                                  <w:marLeft w:val="0"/>
                                                  <w:marRight w:val="0"/>
                                                  <w:marTop w:val="0"/>
                                                  <w:marBottom w:val="0"/>
                                                  <w:divBdr>
                                                    <w:top w:val="none" w:sz="0" w:space="0" w:color="auto"/>
                                                    <w:left w:val="none" w:sz="0" w:space="0" w:color="auto"/>
                                                    <w:bottom w:val="none" w:sz="0" w:space="0" w:color="auto"/>
                                                    <w:right w:val="none" w:sz="0" w:space="0" w:color="auto"/>
                                                  </w:divBdr>
                                                  <w:divsChild>
                                                    <w:div w:id="19089797">
                                                      <w:marLeft w:val="0"/>
                                                      <w:marRight w:val="0"/>
                                                      <w:marTop w:val="0"/>
                                                      <w:marBottom w:val="0"/>
                                                      <w:divBdr>
                                                        <w:top w:val="none" w:sz="0" w:space="0" w:color="auto"/>
                                                        <w:left w:val="none" w:sz="0" w:space="0" w:color="auto"/>
                                                        <w:bottom w:val="none" w:sz="0" w:space="0" w:color="auto"/>
                                                        <w:right w:val="none" w:sz="0" w:space="0" w:color="auto"/>
                                                      </w:divBdr>
                                                      <w:divsChild>
                                                        <w:div w:id="1054743551">
                                                          <w:marLeft w:val="0"/>
                                                          <w:marRight w:val="0"/>
                                                          <w:marTop w:val="0"/>
                                                          <w:marBottom w:val="0"/>
                                                          <w:divBdr>
                                                            <w:top w:val="none" w:sz="0" w:space="0" w:color="auto"/>
                                                            <w:left w:val="none" w:sz="0" w:space="0" w:color="auto"/>
                                                            <w:bottom w:val="none" w:sz="0" w:space="0" w:color="auto"/>
                                                            <w:right w:val="none" w:sz="0" w:space="0" w:color="auto"/>
                                                          </w:divBdr>
                                                        </w:div>
                                                        <w:div w:id="1968584644">
                                                          <w:marLeft w:val="0"/>
                                                          <w:marRight w:val="0"/>
                                                          <w:marTop w:val="0"/>
                                                          <w:marBottom w:val="0"/>
                                                          <w:divBdr>
                                                            <w:top w:val="none" w:sz="0" w:space="0" w:color="auto"/>
                                                            <w:left w:val="none" w:sz="0" w:space="0" w:color="auto"/>
                                                            <w:bottom w:val="none" w:sz="0" w:space="0" w:color="auto"/>
                                                            <w:right w:val="none" w:sz="0" w:space="0" w:color="auto"/>
                                                          </w:divBdr>
                                                          <w:divsChild>
                                                            <w:div w:id="1910190877">
                                                              <w:marLeft w:val="0"/>
                                                              <w:marRight w:val="0"/>
                                                              <w:marTop w:val="0"/>
                                                              <w:marBottom w:val="0"/>
                                                              <w:divBdr>
                                                                <w:top w:val="none" w:sz="0" w:space="0" w:color="auto"/>
                                                                <w:left w:val="none" w:sz="0" w:space="0" w:color="auto"/>
                                                                <w:bottom w:val="none" w:sz="0" w:space="0" w:color="auto"/>
                                                                <w:right w:val="none" w:sz="0" w:space="0" w:color="auto"/>
                                                              </w:divBdr>
                                                              <w:divsChild>
                                                                <w:div w:id="99256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5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92578">
                                                      <w:marLeft w:val="0"/>
                                                      <w:marRight w:val="0"/>
                                                      <w:marTop w:val="0"/>
                                                      <w:marBottom w:val="0"/>
                                                      <w:divBdr>
                                                        <w:top w:val="none" w:sz="0" w:space="0" w:color="auto"/>
                                                        <w:left w:val="none" w:sz="0" w:space="0" w:color="auto"/>
                                                        <w:bottom w:val="none" w:sz="0" w:space="0" w:color="auto"/>
                                                        <w:right w:val="none" w:sz="0" w:space="0" w:color="auto"/>
                                                      </w:divBdr>
                                                      <w:divsChild>
                                                        <w:div w:id="762646973">
                                                          <w:marLeft w:val="0"/>
                                                          <w:marRight w:val="0"/>
                                                          <w:marTop w:val="0"/>
                                                          <w:marBottom w:val="0"/>
                                                          <w:divBdr>
                                                            <w:top w:val="none" w:sz="0" w:space="0" w:color="auto"/>
                                                            <w:left w:val="none" w:sz="0" w:space="0" w:color="auto"/>
                                                            <w:bottom w:val="none" w:sz="0" w:space="0" w:color="auto"/>
                                                            <w:right w:val="none" w:sz="0" w:space="0" w:color="auto"/>
                                                          </w:divBdr>
                                                        </w:div>
                                                      </w:divsChild>
                                                    </w:div>
                                                    <w:div w:id="733357430">
                                                      <w:marLeft w:val="0"/>
                                                      <w:marRight w:val="0"/>
                                                      <w:marTop w:val="0"/>
                                                      <w:marBottom w:val="0"/>
                                                      <w:divBdr>
                                                        <w:top w:val="none" w:sz="0" w:space="0" w:color="auto"/>
                                                        <w:left w:val="none" w:sz="0" w:space="0" w:color="auto"/>
                                                        <w:bottom w:val="none" w:sz="0" w:space="0" w:color="auto"/>
                                                        <w:right w:val="none" w:sz="0" w:space="0" w:color="auto"/>
                                                      </w:divBdr>
                                                      <w:divsChild>
                                                        <w:div w:id="2029913012">
                                                          <w:marLeft w:val="0"/>
                                                          <w:marRight w:val="0"/>
                                                          <w:marTop w:val="0"/>
                                                          <w:marBottom w:val="0"/>
                                                          <w:divBdr>
                                                            <w:top w:val="none" w:sz="0" w:space="0" w:color="auto"/>
                                                            <w:left w:val="none" w:sz="0" w:space="0" w:color="auto"/>
                                                            <w:bottom w:val="none" w:sz="0" w:space="0" w:color="auto"/>
                                                            <w:right w:val="none" w:sz="0" w:space="0" w:color="auto"/>
                                                          </w:divBdr>
                                                        </w:div>
                                                      </w:divsChild>
                                                    </w:div>
                                                    <w:div w:id="1472868504">
                                                      <w:marLeft w:val="0"/>
                                                      <w:marRight w:val="0"/>
                                                      <w:marTop w:val="0"/>
                                                      <w:marBottom w:val="0"/>
                                                      <w:divBdr>
                                                        <w:top w:val="none" w:sz="0" w:space="0" w:color="auto"/>
                                                        <w:left w:val="none" w:sz="0" w:space="0" w:color="auto"/>
                                                        <w:bottom w:val="none" w:sz="0" w:space="0" w:color="auto"/>
                                                        <w:right w:val="none" w:sz="0" w:space="0" w:color="auto"/>
                                                      </w:divBdr>
                                                      <w:divsChild>
                                                        <w:div w:id="886405911">
                                                          <w:marLeft w:val="0"/>
                                                          <w:marRight w:val="0"/>
                                                          <w:marTop w:val="0"/>
                                                          <w:marBottom w:val="0"/>
                                                          <w:divBdr>
                                                            <w:top w:val="none" w:sz="0" w:space="0" w:color="auto"/>
                                                            <w:left w:val="none" w:sz="0" w:space="0" w:color="auto"/>
                                                            <w:bottom w:val="none" w:sz="0" w:space="0" w:color="auto"/>
                                                            <w:right w:val="none" w:sz="0" w:space="0" w:color="auto"/>
                                                          </w:divBdr>
                                                        </w:div>
                                                      </w:divsChild>
                                                    </w:div>
                                                    <w:div w:id="1944610374">
                                                      <w:marLeft w:val="0"/>
                                                      <w:marRight w:val="0"/>
                                                      <w:marTop w:val="0"/>
                                                      <w:marBottom w:val="0"/>
                                                      <w:divBdr>
                                                        <w:top w:val="none" w:sz="0" w:space="0" w:color="auto"/>
                                                        <w:left w:val="none" w:sz="0" w:space="0" w:color="auto"/>
                                                        <w:bottom w:val="none" w:sz="0" w:space="0" w:color="auto"/>
                                                        <w:right w:val="none" w:sz="0" w:space="0" w:color="auto"/>
                                                      </w:divBdr>
                                                      <w:divsChild>
                                                        <w:div w:id="52626428">
                                                          <w:marLeft w:val="0"/>
                                                          <w:marRight w:val="0"/>
                                                          <w:marTop w:val="0"/>
                                                          <w:marBottom w:val="0"/>
                                                          <w:divBdr>
                                                            <w:top w:val="none" w:sz="0" w:space="0" w:color="auto"/>
                                                            <w:left w:val="none" w:sz="0" w:space="0" w:color="auto"/>
                                                            <w:bottom w:val="none" w:sz="0" w:space="0" w:color="auto"/>
                                                            <w:right w:val="none" w:sz="0" w:space="0" w:color="auto"/>
                                                          </w:divBdr>
                                                        </w:div>
                                                      </w:divsChild>
                                                    </w:div>
                                                    <w:div w:id="2042702978">
                                                      <w:marLeft w:val="0"/>
                                                      <w:marRight w:val="0"/>
                                                      <w:marTop w:val="0"/>
                                                      <w:marBottom w:val="0"/>
                                                      <w:divBdr>
                                                        <w:top w:val="none" w:sz="0" w:space="0" w:color="auto"/>
                                                        <w:left w:val="none" w:sz="0" w:space="0" w:color="auto"/>
                                                        <w:bottom w:val="none" w:sz="0" w:space="0" w:color="auto"/>
                                                        <w:right w:val="none" w:sz="0" w:space="0" w:color="auto"/>
                                                      </w:divBdr>
                                                      <w:divsChild>
                                                        <w:div w:id="119873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8387923">
      <w:bodyDiv w:val="1"/>
      <w:marLeft w:val="0"/>
      <w:marRight w:val="0"/>
      <w:marTop w:val="0"/>
      <w:marBottom w:val="0"/>
      <w:divBdr>
        <w:top w:val="none" w:sz="0" w:space="0" w:color="auto"/>
        <w:left w:val="none" w:sz="0" w:space="0" w:color="auto"/>
        <w:bottom w:val="none" w:sz="0" w:space="0" w:color="auto"/>
        <w:right w:val="none" w:sz="0" w:space="0" w:color="auto"/>
      </w:divBdr>
      <w:divsChild>
        <w:div w:id="143937063">
          <w:marLeft w:val="0"/>
          <w:marRight w:val="0"/>
          <w:marTop w:val="0"/>
          <w:marBottom w:val="0"/>
          <w:divBdr>
            <w:top w:val="none" w:sz="0" w:space="0" w:color="auto"/>
            <w:left w:val="none" w:sz="0" w:space="0" w:color="auto"/>
            <w:bottom w:val="none" w:sz="0" w:space="0" w:color="auto"/>
            <w:right w:val="none" w:sz="0" w:space="0" w:color="auto"/>
          </w:divBdr>
          <w:divsChild>
            <w:div w:id="381295972">
              <w:marLeft w:val="0"/>
              <w:marRight w:val="0"/>
              <w:marTop w:val="0"/>
              <w:marBottom w:val="0"/>
              <w:divBdr>
                <w:top w:val="none" w:sz="0" w:space="0" w:color="auto"/>
                <w:left w:val="none" w:sz="0" w:space="0" w:color="auto"/>
                <w:bottom w:val="none" w:sz="0" w:space="0" w:color="auto"/>
                <w:right w:val="none" w:sz="0" w:space="0" w:color="auto"/>
              </w:divBdr>
              <w:divsChild>
                <w:div w:id="369886082">
                  <w:marLeft w:val="0"/>
                  <w:marRight w:val="0"/>
                  <w:marTop w:val="0"/>
                  <w:marBottom w:val="0"/>
                  <w:divBdr>
                    <w:top w:val="none" w:sz="0" w:space="0" w:color="auto"/>
                    <w:left w:val="none" w:sz="0" w:space="0" w:color="auto"/>
                    <w:bottom w:val="none" w:sz="0" w:space="0" w:color="auto"/>
                    <w:right w:val="none" w:sz="0" w:space="0" w:color="auto"/>
                  </w:divBdr>
                  <w:divsChild>
                    <w:div w:id="1425296723">
                      <w:marLeft w:val="0"/>
                      <w:marRight w:val="0"/>
                      <w:marTop w:val="0"/>
                      <w:marBottom w:val="375"/>
                      <w:divBdr>
                        <w:top w:val="none" w:sz="0" w:space="0" w:color="auto"/>
                        <w:left w:val="none" w:sz="0" w:space="0" w:color="auto"/>
                        <w:bottom w:val="none" w:sz="0" w:space="0" w:color="auto"/>
                        <w:right w:val="none" w:sz="0" w:space="0" w:color="auto"/>
                      </w:divBdr>
                      <w:divsChild>
                        <w:div w:id="4633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740767">
      <w:bodyDiv w:val="1"/>
      <w:marLeft w:val="0"/>
      <w:marRight w:val="0"/>
      <w:marTop w:val="0"/>
      <w:marBottom w:val="0"/>
      <w:divBdr>
        <w:top w:val="none" w:sz="0" w:space="0" w:color="auto"/>
        <w:left w:val="none" w:sz="0" w:space="0" w:color="auto"/>
        <w:bottom w:val="none" w:sz="0" w:space="0" w:color="auto"/>
        <w:right w:val="none" w:sz="0" w:space="0" w:color="auto"/>
      </w:divBdr>
      <w:divsChild>
        <w:div w:id="2103989743">
          <w:marLeft w:val="0"/>
          <w:marRight w:val="0"/>
          <w:marTop w:val="0"/>
          <w:marBottom w:val="0"/>
          <w:divBdr>
            <w:top w:val="none" w:sz="0" w:space="0" w:color="auto"/>
            <w:left w:val="none" w:sz="0" w:space="0" w:color="auto"/>
            <w:bottom w:val="none" w:sz="0" w:space="0" w:color="auto"/>
            <w:right w:val="none" w:sz="0" w:space="0" w:color="auto"/>
          </w:divBdr>
          <w:divsChild>
            <w:div w:id="372006221">
              <w:marLeft w:val="0"/>
              <w:marRight w:val="0"/>
              <w:marTop w:val="0"/>
              <w:marBottom w:val="0"/>
              <w:divBdr>
                <w:top w:val="none" w:sz="0" w:space="0" w:color="auto"/>
                <w:left w:val="none" w:sz="0" w:space="0" w:color="auto"/>
                <w:bottom w:val="none" w:sz="0" w:space="0" w:color="auto"/>
                <w:right w:val="none" w:sz="0" w:space="0" w:color="auto"/>
              </w:divBdr>
              <w:divsChild>
                <w:div w:id="1089351844">
                  <w:marLeft w:val="0"/>
                  <w:marRight w:val="0"/>
                  <w:marTop w:val="0"/>
                  <w:marBottom w:val="0"/>
                  <w:divBdr>
                    <w:top w:val="none" w:sz="0" w:space="0" w:color="auto"/>
                    <w:left w:val="none" w:sz="0" w:space="0" w:color="auto"/>
                    <w:bottom w:val="none" w:sz="0" w:space="0" w:color="auto"/>
                    <w:right w:val="none" w:sz="0" w:space="0" w:color="auto"/>
                  </w:divBdr>
                  <w:divsChild>
                    <w:div w:id="456142089">
                      <w:marLeft w:val="0"/>
                      <w:marRight w:val="0"/>
                      <w:marTop w:val="0"/>
                      <w:marBottom w:val="375"/>
                      <w:divBdr>
                        <w:top w:val="none" w:sz="0" w:space="0" w:color="auto"/>
                        <w:left w:val="none" w:sz="0" w:space="0" w:color="auto"/>
                        <w:bottom w:val="none" w:sz="0" w:space="0" w:color="auto"/>
                        <w:right w:val="none" w:sz="0" w:space="0" w:color="auto"/>
                      </w:divBdr>
                      <w:divsChild>
                        <w:div w:id="20960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094465">
      <w:bodyDiv w:val="1"/>
      <w:marLeft w:val="0"/>
      <w:marRight w:val="0"/>
      <w:marTop w:val="0"/>
      <w:marBottom w:val="0"/>
      <w:divBdr>
        <w:top w:val="none" w:sz="0" w:space="0" w:color="auto"/>
        <w:left w:val="none" w:sz="0" w:space="0" w:color="auto"/>
        <w:bottom w:val="none" w:sz="0" w:space="0" w:color="auto"/>
        <w:right w:val="none" w:sz="0" w:space="0" w:color="auto"/>
      </w:divBdr>
      <w:divsChild>
        <w:div w:id="1997419408">
          <w:marLeft w:val="0"/>
          <w:marRight w:val="0"/>
          <w:marTop w:val="0"/>
          <w:marBottom w:val="0"/>
          <w:divBdr>
            <w:top w:val="none" w:sz="0" w:space="0" w:color="auto"/>
            <w:left w:val="single" w:sz="6" w:space="0" w:color="BBBBBB"/>
            <w:bottom w:val="single" w:sz="6" w:space="0" w:color="BBBBBB"/>
            <w:right w:val="single" w:sz="6" w:space="0" w:color="BBBBBB"/>
          </w:divBdr>
          <w:divsChild>
            <w:div w:id="1619413854">
              <w:marLeft w:val="0"/>
              <w:marRight w:val="0"/>
              <w:marTop w:val="0"/>
              <w:marBottom w:val="0"/>
              <w:divBdr>
                <w:top w:val="none" w:sz="0" w:space="0" w:color="auto"/>
                <w:left w:val="none" w:sz="0" w:space="0" w:color="auto"/>
                <w:bottom w:val="none" w:sz="0" w:space="0" w:color="auto"/>
                <w:right w:val="none" w:sz="0" w:space="0" w:color="auto"/>
              </w:divBdr>
              <w:divsChild>
                <w:div w:id="1573202356">
                  <w:marLeft w:val="0"/>
                  <w:marRight w:val="0"/>
                  <w:marTop w:val="75"/>
                  <w:marBottom w:val="0"/>
                  <w:divBdr>
                    <w:top w:val="none" w:sz="0" w:space="0" w:color="auto"/>
                    <w:left w:val="none" w:sz="0" w:space="0" w:color="auto"/>
                    <w:bottom w:val="none" w:sz="0" w:space="0" w:color="auto"/>
                    <w:right w:val="none" w:sz="0" w:space="0" w:color="auto"/>
                  </w:divBdr>
                  <w:divsChild>
                    <w:div w:id="1327054908">
                      <w:marLeft w:val="0"/>
                      <w:marRight w:val="0"/>
                      <w:marTop w:val="0"/>
                      <w:marBottom w:val="0"/>
                      <w:divBdr>
                        <w:top w:val="none" w:sz="0" w:space="0" w:color="auto"/>
                        <w:left w:val="none" w:sz="0" w:space="0" w:color="auto"/>
                        <w:bottom w:val="none" w:sz="0" w:space="0" w:color="auto"/>
                        <w:right w:val="none" w:sz="0" w:space="0" w:color="auto"/>
                      </w:divBdr>
                      <w:divsChild>
                        <w:div w:id="1604652098">
                          <w:marLeft w:val="0"/>
                          <w:marRight w:val="0"/>
                          <w:marTop w:val="0"/>
                          <w:marBottom w:val="0"/>
                          <w:divBdr>
                            <w:top w:val="none" w:sz="0" w:space="0" w:color="auto"/>
                            <w:left w:val="none" w:sz="0" w:space="0" w:color="auto"/>
                            <w:bottom w:val="none" w:sz="0" w:space="0" w:color="auto"/>
                            <w:right w:val="none" w:sz="0" w:space="0" w:color="auto"/>
                          </w:divBdr>
                          <w:divsChild>
                            <w:div w:id="677081088">
                              <w:marLeft w:val="0"/>
                              <w:marRight w:val="0"/>
                              <w:marTop w:val="0"/>
                              <w:marBottom w:val="0"/>
                              <w:divBdr>
                                <w:top w:val="none" w:sz="0" w:space="0" w:color="auto"/>
                                <w:left w:val="none" w:sz="0" w:space="0" w:color="auto"/>
                                <w:bottom w:val="none" w:sz="0" w:space="0" w:color="auto"/>
                                <w:right w:val="none" w:sz="0" w:space="0" w:color="auto"/>
                              </w:divBdr>
                              <w:divsChild>
                                <w:div w:id="629479250">
                                  <w:marLeft w:val="0"/>
                                  <w:marRight w:val="0"/>
                                  <w:marTop w:val="0"/>
                                  <w:marBottom w:val="0"/>
                                  <w:divBdr>
                                    <w:top w:val="none" w:sz="0" w:space="0" w:color="auto"/>
                                    <w:left w:val="none" w:sz="0" w:space="0" w:color="auto"/>
                                    <w:bottom w:val="none" w:sz="0" w:space="0" w:color="auto"/>
                                    <w:right w:val="none" w:sz="0" w:space="0" w:color="auto"/>
                                  </w:divBdr>
                                  <w:divsChild>
                                    <w:div w:id="1573931931">
                                      <w:marLeft w:val="0"/>
                                      <w:marRight w:val="0"/>
                                      <w:marTop w:val="0"/>
                                      <w:marBottom w:val="0"/>
                                      <w:divBdr>
                                        <w:top w:val="none" w:sz="0" w:space="0" w:color="auto"/>
                                        <w:left w:val="none" w:sz="0" w:space="0" w:color="auto"/>
                                        <w:bottom w:val="none" w:sz="0" w:space="0" w:color="auto"/>
                                        <w:right w:val="none" w:sz="0" w:space="0" w:color="auto"/>
                                      </w:divBdr>
                                      <w:divsChild>
                                        <w:div w:id="126513124">
                                          <w:marLeft w:val="1200"/>
                                          <w:marRight w:val="1200"/>
                                          <w:marTop w:val="0"/>
                                          <w:marBottom w:val="0"/>
                                          <w:divBdr>
                                            <w:top w:val="none" w:sz="0" w:space="0" w:color="auto"/>
                                            <w:left w:val="none" w:sz="0" w:space="0" w:color="auto"/>
                                            <w:bottom w:val="none" w:sz="0" w:space="0" w:color="auto"/>
                                            <w:right w:val="none" w:sz="0" w:space="0" w:color="auto"/>
                                          </w:divBdr>
                                          <w:divsChild>
                                            <w:div w:id="753479907">
                                              <w:marLeft w:val="0"/>
                                              <w:marRight w:val="0"/>
                                              <w:marTop w:val="0"/>
                                              <w:marBottom w:val="0"/>
                                              <w:divBdr>
                                                <w:top w:val="single" w:sz="6" w:space="0" w:color="E0A401"/>
                                                <w:left w:val="single" w:sz="6" w:space="0" w:color="E0A401"/>
                                                <w:bottom w:val="single" w:sz="2" w:space="0" w:color="E0A401"/>
                                                <w:right w:val="single" w:sz="6" w:space="0" w:color="E0A401"/>
                                              </w:divBdr>
                                              <w:divsChild>
                                                <w:div w:id="959801289">
                                                  <w:marLeft w:val="0"/>
                                                  <w:marRight w:val="0"/>
                                                  <w:marTop w:val="0"/>
                                                  <w:marBottom w:val="0"/>
                                                  <w:divBdr>
                                                    <w:top w:val="none" w:sz="0" w:space="0" w:color="auto"/>
                                                    <w:left w:val="none" w:sz="0" w:space="0" w:color="auto"/>
                                                    <w:bottom w:val="none" w:sz="0" w:space="0" w:color="auto"/>
                                                    <w:right w:val="none" w:sz="0" w:space="0" w:color="auto"/>
                                                  </w:divBdr>
                                                  <w:divsChild>
                                                    <w:div w:id="4969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153821">
                                          <w:marLeft w:val="1200"/>
                                          <w:marRight w:val="1200"/>
                                          <w:marTop w:val="0"/>
                                          <w:marBottom w:val="0"/>
                                          <w:divBdr>
                                            <w:top w:val="none" w:sz="0" w:space="0" w:color="auto"/>
                                            <w:left w:val="none" w:sz="0" w:space="0" w:color="auto"/>
                                            <w:bottom w:val="none" w:sz="0" w:space="0" w:color="auto"/>
                                            <w:right w:val="none" w:sz="0" w:space="0" w:color="auto"/>
                                          </w:divBdr>
                                          <w:divsChild>
                                            <w:div w:id="389155726">
                                              <w:marLeft w:val="0"/>
                                              <w:marRight w:val="0"/>
                                              <w:marTop w:val="0"/>
                                              <w:marBottom w:val="0"/>
                                              <w:divBdr>
                                                <w:top w:val="none" w:sz="0" w:space="0" w:color="auto"/>
                                                <w:left w:val="none" w:sz="0" w:space="0" w:color="auto"/>
                                                <w:bottom w:val="none" w:sz="0" w:space="0" w:color="auto"/>
                                                <w:right w:val="none" w:sz="0" w:space="0" w:color="auto"/>
                                              </w:divBdr>
                                              <w:divsChild>
                                                <w:div w:id="400519502">
                                                  <w:marLeft w:val="0"/>
                                                  <w:marRight w:val="0"/>
                                                  <w:marTop w:val="0"/>
                                                  <w:marBottom w:val="0"/>
                                                  <w:divBdr>
                                                    <w:top w:val="none" w:sz="0" w:space="0" w:color="auto"/>
                                                    <w:left w:val="none" w:sz="0" w:space="0" w:color="auto"/>
                                                    <w:bottom w:val="none" w:sz="0" w:space="0" w:color="auto"/>
                                                    <w:right w:val="none" w:sz="0" w:space="0" w:color="auto"/>
                                                  </w:divBdr>
                                                </w:div>
                                                <w:div w:id="1030449270">
                                                  <w:marLeft w:val="0"/>
                                                  <w:marRight w:val="0"/>
                                                  <w:marTop w:val="0"/>
                                                  <w:marBottom w:val="0"/>
                                                  <w:divBdr>
                                                    <w:top w:val="none" w:sz="0" w:space="0" w:color="auto"/>
                                                    <w:left w:val="none" w:sz="0" w:space="0" w:color="auto"/>
                                                    <w:bottom w:val="none" w:sz="0" w:space="0" w:color="auto"/>
                                                    <w:right w:val="none" w:sz="0" w:space="0" w:color="auto"/>
                                                  </w:divBdr>
                                                  <w:divsChild>
                                                    <w:div w:id="70009082">
                                                      <w:marLeft w:val="0"/>
                                                      <w:marRight w:val="0"/>
                                                      <w:marTop w:val="0"/>
                                                      <w:marBottom w:val="0"/>
                                                      <w:divBdr>
                                                        <w:top w:val="none" w:sz="0" w:space="0" w:color="auto"/>
                                                        <w:left w:val="none" w:sz="0" w:space="0" w:color="auto"/>
                                                        <w:bottom w:val="none" w:sz="0" w:space="0" w:color="auto"/>
                                                        <w:right w:val="none" w:sz="0" w:space="0" w:color="auto"/>
                                                      </w:divBdr>
                                                      <w:divsChild>
                                                        <w:div w:id="457645882">
                                                          <w:marLeft w:val="0"/>
                                                          <w:marRight w:val="0"/>
                                                          <w:marTop w:val="0"/>
                                                          <w:marBottom w:val="0"/>
                                                          <w:divBdr>
                                                            <w:top w:val="none" w:sz="0" w:space="0" w:color="auto"/>
                                                            <w:left w:val="none" w:sz="0" w:space="0" w:color="auto"/>
                                                            <w:bottom w:val="none" w:sz="0" w:space="0" w:color="auto"/>
                                                            <w:right w:val="none" w:sz="0" w:space="0" w:color="auto"/>
                                                          </w:divBdr>
                                                          <w:divsChild>
                                                            <w:div w:id="6314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64201">
                                                      <w:marLeft w:val="0"/>
                                                      <w:marRight w:val="0"/>
                                                      <w:marTop w:val="0"/>
                                                      <w:marBottom w:val="0"/>
                                                      <w:divBdr>
                                                        <w:top w:val="none" w:sz="0" w:space="0" w:color="auto"/>
                                                        <w:left w:val="none" w:sz="0" w:space="0" w:color="auto"/>
                                                        <w:bottom w:val="none" w:sz="0" w:space="0" w:color="auto"/>
                                                        <w:right w:val="none" w:sz="0" w:space="0" w:color="auto"/>
                                                      </w:divBdr>
                                                      <w:divsChild>
                                                        <w:div w:id="665329">
                                                          <w:marLeft w:val="0"/>
                                                          <w:marRight w:val="0"/>
                                                          <w:marTop w:val="0"/>
                                                          <w:marBottom w:val="0"/>
                                                          <w:divBdr>
                                                            <w:top w:val="none" w:sz="0" w:space="0" w:color="auto"/>
                                                            <w:left w:val="none" w:sz="0" w:space="0" w:color="auto"/>
                                                            <w:bottom w:val="none" w:sz="0" w:space="0" w:color="auto"/>
                                                            <w:right w:val="none" w:sz="0" w:space="0" w:color="auto"/>
                                                          </w:divBdr>
                                                          <w:divsChild>
                                                            <w:div w:id="1611085938">
                                                              <w:marLeft w:val="0"/>
                                                              <w:marRight w:val="0"/>
                                                              <w:marTop w:val="0"/>
                                                              <w:marBottom w:val="0"/>
                                                              <w:divBdr>
                                                                <w:top w:val="none" w:sz="0" w:space="0" w:color="auto"/>
                                                                <w:left w:val="none" w:sz="0" w:space="0" w:color="auto"/>
                                                                <w:bottom w:val="none" w:sz="0" w:space="0" w:color="auto"/>
                                                                <w:right w:val="none" w:sz="0" w:space="0" w:color="auto"/>
                                                              </w:divBdr>
                                                            </w:div>
                                                          </w:divsChild>
                                                        </w:div>
                                                        <w:div w:id="4133528">
                                                          <w:marLeft w:val="0"/>
                                                          <w:marRight w:val="0"/>
                                                          <w:marTop w:val="0"/>
                                                          <w:marBottom w:val="0"/>
                                                          <w:divBdr>
                                                            <w:top w:val="none" w:sz="0" w:space="0" w:color="auto"/>
                                                            <w:left w:val="none" w:sz="0" w:space="0" w:color="auto"/>
                                                            <w:bottom w:val="none" w:sz="0" w:space="0" w:color="auto"/>
                                                            <w:right w:val="none" w:sz="0" w:space="0" w:color="auto"/>
                                                          </w:divBdr>
                                                          <w:divsChild>
                                                            <w:div w:id="1595362159">
                                                              <w:marLeft w:val="0"/>
                                                              <w:marRight w:val="0"/>
                                                              <w:marTop w:val="0"/>
                                                              <w:marBottom w:val="0"/>
                                                              <w:divBdr>
                                                                <w:top w:val="none" w:sz="0" w:space="0" w:color="auto"/>
                                                                <w:left w:val="none" w:sz="0" w:space="0" w:color="auto"/>
                                                                <w:bottom w:val="none" w:sz="0" w:space="0" w:color="auto"/>
                                                                <w:right w:val="none" w:sz="0" w:space="0" w:color="auto"/>
                                                              </w:divBdr>
                                                            </w:div>
                                                          </w:divsChild>
                                                        </w:div>
                                                        <w:div w:id="9112808">
                                                          <w:marLeft w:val="0"/>
                                                          <w:marRight w:val="0"/>
                                                          <w:marTop w:val="0"/>
                                                          <w:marBottom w:val="0"/>
                                                          <w:divBdr>
                                                            <w:top w:val="none" w:sz="0" w:space="0" w:color="auto"/>
                                                            <w:left w:val="none" w:sz="0" w:space="0" w:color="auto"/>
                                                            <w:bottom w:val="none" w:sz="0" w:space="0" w:color="auto"/>
                                                            <w:right w:val="none" w:sz="0" w:space="0" w:color="auto"/>
                                                          </w:divBdr>
                                                          <w:divsChild>
                                                            <w:div w:id="1576353489">
                                                              <w:marLeft w:val="0"/>
                                                              <w:marRight w:val="0"/>
                                                              <w:marTop w:val="0"/>
                                                              <w:marBottom w:val="0"/>
                                                              <w:divBdr>
                                                                <w:top w:val="none" w:sz="0" w:space="0" w:color="auto"/>
                                                                <w:left w:val="none" w:sz="0" w:space="0" w:color="auto"/>
                                                                <w:bottom w:val="none" w:sz="0" w:space="0" w:color="auto"/>
                                                                <w:right w:val="none" w:sz="0" w:space="0" w:color="auto"/>
                                                              </w:divBdr>
                                                            </w:div>
                                                          </w:divsChild>
                                                        </w:div>
                                                        <w:div w:id="17241120">
                                                          <w:marLeft w:val="0"/>
                                                          <w:marRight w:val="0"/>
                                                          <w:marTop w:val="0"/>
                                                          <w:marBottom w:val="0"/>
                                                          <w:divBdr>
                                                            <w:top w:val="none" w:sz="0" w:space="0" w:color="auto"/>
                                                            <w:left w:val="none" w:sz="0" w:space="0" w:color="auto"/>
                                                            <w:bottom w:val="none" w:sz="0" w:space="0" w:color="auto"/>
                                                            <w:right w:val="none" w:sz="0" w:space="0" w:color="auto"/>
                                                          </w:divBdr>
                                                          <w:divsChild>
                                                            <w:div w:id="1327318288">
                                                              <w:marLeft w:val="0"/>
                                                              <w:marRight w:val="0"/>
                                                              <w:marTop w:val="0"/>
                                                              <w:marBottom w:val="0"/>
                                                              <w:divBdr>
                                                                <w:top w:val="none" w:sz="0" w:space="0" w:color="auto"/>
                                                                <w:left w:val="none" w:sz="0" w:space="0" w:color="auto"/>
                                                                <w:bottom w:val="none" w:sz="0" w:space="0" w:color="auto"/>
                                                                <w:right w:val="none" w:sz="0" w:space="0" w:color="auto"/>
                                                              </w:divBdr>
                                                            </w:div>
                                                          </w:divsChild>
                                                        </w:div>
                                                        <w:div w:id="17322072">
                                                          <w:marLeft w:val="0"/>
                                                          <w:marRight w:val="0"/>
                                                          <w:marTop w:val="0"/>
                                                          <w:marBottom w:val="0"/>
                                                          <w:divBdr>
                                                            <w:top w:val="none" w:sz="0" w:space="0" w:color="auto"/>
                                                            <w:left w:val="none" w:sz="0" w:space="0" w:color="auto"/>
                                                            <w:bottom w:val="none" w:sz="0" w:space="0" w:color="auto"/>
                                                            <w:right w:val="none" w:sz="0" w:space="0" w:color="auto"/>
                                                          </w:divBdr>
                                                          <w:divsChild>
                                                            <w:div w:id="949628527">
                                                              <w:marLeft w:val="0"/>
                                                              <w:marRight w:val="0"/>
                                                              <w:marTop w:val="0"/>
                                                              <w:marBottom w:val="0"/>
                                                              <w:divBdr>
                                                                <w:top w:val="none" w:sz="0" w:space="0" w:color="auto"/>
                                                                <w:left w:val="none" w:sz="0" w:space="0" w:color="auto"/>
                                                                <w:bottom w:val="none" w:sz="0" w:space="0" w:color="auto"/>
                                                                <w:right w:val="none" w:sz="0" w:space="0" w:color="auto"/>
                                                              </w:divBdr>
                                                            </w:div>
                                                          </w:divsChild>
                                                        </w:div>
                                                        <w:div w:id="25839384">
                                                          <w:marLeft w:val="0"/>
                                                          <w:marRight w:val="0"/>
                                                          <w:marTop w:val="0"/>
                                                          <w:marBottom w:val="0"/>
                                                          <w:divBdr>
                                                            <w:top w:val="none" w:sz="0" w:space="0" w:color="auto"/>
                                                            <w:left w:val="none" w:sz="0" w:space="0" w:color="auto"/>
                                                            <w:bottom w:val="none" w:sz="0" w:space="0" w:color="auto"/>
                                                            <w:right w:val="none" w:sz="0" w:space="0" w:color="auto"/>
                                                          </w:divBdr>
                                                          <w:divsChild>
                                                            <w:div w:id="163864933">
                                                              <w:marLeft w:val="0"/>
                                                              <w:marRight w:val="0"/>
                                                              <w:marTop w:val="0"/>
                                                              <w:marBottom w:val="0"/>
                                                              <w:divBdr>
                                                                <w:top w:val="none" w:sz="0" w:space="0" w:color="auto"/>
                                                                <w:left w:val="none" w:sz="0" w:space="0" w:color="auto"/>
                                                                <w:bottom w:val="none" w:sz="0" w:space="0" w:color="auto"/>
                                                                <w:right w:val="none" w:sz="0" w:space="0" w:color="auto"/>
                                                              </w:divBdr>
                                                            </w:div>
                                                          </w:divsChild>
                                                        </w:div>
                                                        <w:div w:id="31006471">
                                                          <w:marLeft w:val="0"/>
                                                          <w:marRight w:val="0"/>
                                                          <w:marTop w:val="0"/>
                                                          <w:marBottom w:val="0"/>
                                                          <w:divBdr>
                                                            <w:top w:val="none" w:sz="0" w:space="0" w:color="auto"/>
                                                            <w:left w:val="none" w:sz="0" w:space="0" w:color="auto"/>
                                                            <w:bottom w:val="none" w:sz="0" w:space="0" w:color="auto"/>
                                                            <w:right w:val="none" w:sz="0" w:space="0" w:color="auto"/>
                                                          </w:divBdr>
                                                          <w:divsChild>
                                                            <w:div w:id="191043048">
                                                              <w:marLeft w:val="0"/>
                                                              <w:marRight w:val="0"/>
                                                              <w:marTop w:val="0"/>
                                                              <w:marBottom w:val="0"/>
                                                              <w:divBdr>
                                                                <w:top w:val="none" w:sz="0" w:space="0" w:color="auto"/>
                                                                <w:left w:val="none" w:sz="0" w:space="0" w:color="auto"/>
                                                                <w:bottom w:val="none" w:sz="0" w:space="0" w:color="auto"/>
                                                                <w:right w:val="none" w:sz="0" w:space="0" w:color="auto"/>
                                                              </w:divBdr>
                                                            </w:div>
                                                          </w:divsChild>
                                                        </w:div>
                                                        <w:div w:id="34085467">
                                                          <w:marLeft w:val="0"/>
                                                          <w:marRight w:val="0"/>
                                                          <w:marTop w:val="0"/>
                                                          <w:marBottom w:val="0"/>
                                                          <w:divBdr>
                                                            <w:top w:val="none" w:sz="0" w:space="0" w:color="auto"/>
                                                            <w:left w:val="none" w:sz="0" w:space="0" w:color="auto"/>
                                                            <w:bottom w:val="none" w:sz="0" w:space="0" w:color="auto"/>
                                                            <w:right w:val="none" w:sz="0" w:space="0" w:color="auto"/>
                                                          </w:divBdr>
                                                          <w:divsChild>
                                                            <w:div w:id="1851215837">
                                                              <w:marLeft w:val="0"/>
                                                              <w:marRight w:val="0"/>
                                                              <w:marTop w:val="0"/>
                                                              <w:marBottom w:val="0"/>
                                                              <w:divBdr>
                                                                <w:top w:val="none" w:sz="0" w:space="0" w:color="auto"/>
                                                                <w:left w:val="none" w:sz="0" w:space="0" w:color="auto"/>
                                                                <w:bottom w:val="none" w:sz="0" w:space="0" w:color="auto"/>
                                                                <w:right w:val="none" w:sz="0" w:space="0" w:color="auto"/>
                                                              </w:divBdr>
                                                            </w:div>
                                                          </w:divsChild>
                                                        </w:div>
                                                        <w:div w:id="52774789">
                                                          <w:marLeft w:val="0"/>
                                                          <w:marRight w:val="0"/>
                                                          <w:marTop w:val="0"/>
                                                          <w:marBottom w:val="0"/>
                                                          <w:divBdr>
                                                            <w:top w:val="none" w:sz="0" w:space="0" w:color="auto"/>
                                                            <w:left w:val="none" w:sz="0" w:space="0" w:color="auto"/>
                                                            <w:bottom w:val="none" w:sz="0" w:space="0" w:color="auto"/>
                                                            <w:right w:val="none" w:sz="0" w:space="0" w:color="auto"/>
                                                          </w:divBdr>
                                                          <w:divsChild>
                                                            <w:div w:id="1586182985">
                                                              <w:marLeft w:val="0"/>
                                                              <w:marRight w:val="0"/>
                                                              <w:marTop w:val="0"/>
                                                              <w:marBottom w:val="0"/>
                                                              <w:divBdr>
                                                                <w:top w:val="none" w:sz="0" w:space="0" w:color="auto"/>
                                                                <w:left w:val="none" w:sz="0" w:space="0" w:color="auto"/>
                                                                <w:bottom w:val="none" w:sz="0" w:space="0" w:color="auto"/>
                                                                <w:right w:val="none" w:sz="0" w:space="0" w:color="auto"/>
                                                              </w:divBdr>
                                                            </w:div>
                                                          </w:divsChild>
                                                        </w:div>
                                                        <w:div w:id="73821384">
                                                          <w:marLeft w:val="0"/>
                                                          <w:marRight w:val="0"/>
                                                          <w:marTop w:val="0"/>
                                                          <w:marBottom w:val="0"/>
                                                          <w:divBdr>
                                                            <w:top w:val="none" w:sz="0" w:space="0" w:color="auto"/>
                                                            <w:left w:val="none" w:sz="0" w:space="0" w:color="auto"/>
                                                            <w:bottom w:val="none" w:sz="0" w:space="0" w:color="auto"/>
                                                            <w:right w:val="none" w:sz="0" w:space="0" w:color="auto"/>
                                                          </w:divBdr>
                                                          <w:divsChild>
                                                            <w:div w:id="2119791507">
                                                              <w:marLeft w:val="0"/>
                                                              <w:marRight w:val="0"/>
                                                              <w:marTop w:val="0"/>
                                                              <w:marBottom w:val="0"/>
                                                              <w:divBdr>
                                                                <w:top w:val="none" w:sz="0" w:space="0" w:color="auto"/>
                                                                <w:left w:val="none" w:sz="0" w:space="0" w:color="auto"/>
                                                                <w:bottom w:val="none" w:sz="0" w:space="0" w:color="auto"/>
                                                                <w:right w:val="none" w:sz="0" w:space="0" w:color="auto"/>
                                                              </w:divBdr>
                                                            </w:div>
                                                          </w:divsChild>
                                                        </w:div>
                                                        <w:div w:id="74282451">
                                                          <w:marLeft w:val="0"/>
                                                          <w:marRight w:val="0"/>
                                                          <w:marTop w:val="0"/>
                                                          <w:marBottom w:val="0"/>
                                                          <w:divBdr>
                                                            <w:top w:val="none" w:sz="0" w:space="0" w:color="auto"/>
                                                            <w:left w:val="none" w:sz="0" w:space="0" w:color="auto"/>
                                                            <w:bottom w:val="none" w:sz="0" w:space="0" w:color="auto"/>
                                                            <w:right w:val="none" w:sz="0" w:space="0" w:color="auto"/>
                                                          </w:divBdr>
                                                          <w:divsChild>
                                                            <w:div w:id="62458794">
                                                              <w:marLeft w:val="0"/>
                                                              <w:marRight w:val="0"/>
                                                              <w:marTop w:val="0"/>
                                                              <w:marBottom w:val="0"/>
                                                              <w:divBdr>
                                                                <w:top w:val="none" w:sz="0" w:space="0" w:color="auto"/>
                                                                <w:left w:val="none" w:sz="0" w:space="0" w:color="auto"/>
                                                                <w:bottom w:val="none" w:sz="0" w:space="0" w:color="auto"/>
                                                                <w:right w:val="none" w:sz="0" w:space="0" w:color="auto"/>
                                                              </w:divBdr>
                                                            </w:div>
                                                          </w:divsChild>
                                                        </w:div>
                                                        <w:div w:id="77871911">
                                                          <w:marLeft w:val="0"/>
                                                          <w:marRight w:val="0"/>
                                                          <w:marTop w:val="0"/>
                                                          <w:marBottom w:val="0"/>
                                                          <w:divBdr>
                                                            <w:top w:val="none" w:sz="0" w:space="0" w:color="auto"/>
                                                            <w:left w:val="none" w:sz="0" w:space="0" w:color="auto"/>
                                                            <w:bottom w:val="none" w:sz="0" w:space="0" w:color="auto"/>
                                                            <w:right w:val="none" w:sz="0" w:space="0" w:color="auto"/>
                                                          </w:divBdr>
                                                          <w:divsChild>
                                                            <w:div w:id="43142146">
                                                              <w:marLeft w:val="0"/>
                                                              <w:marRight w:val="0"/>
                                                              <w:marTop w:val="0"/>
                                                              <w:marBottom w:val="0"/>
                                                              <w:divBdr>
                                                                <w:top w:val="none" w:sz="0" w:space="0" w:color="auto"/>
                                                                <w:left w:val="none" w:sz="0" w:space="0" w:color="auto"/>
                                                                <w:bottom w:val="none" w:sz="0" w:space="0" w:color="auto"/>
                                                                <w:right w:val="none" w:sz="0" w:space="0" w:color="auto"/>
                                                              </w:divBdr>
                                                            </w:div>
                                                          </w:divsChild>
                                                        </w:div>
                                                        <w:div w:id="91434444">
                                                          <w:marLeft w:val="0"/>
                                                          <w:marRight w:val="0"/>
                                                          <w:marTop w:val="0"/>
                                                          <w:marBottom w:val="0"/>
                                                          <w:divBdr>
                                                            <w:top w:val="none" w:sz="0" w:space="0" w:color="auto"/>
                                                            <w:left w:val="none" w:sz="0" w:space="0" w:color="auto"/>
                                                            <w:bottom w:val="none" w:sz="0" w:space="0" w:color="auto"/>
                                                            <w:right w:val="none" w:sz="0" w:space="0" w:color="auto"/>
                                                          </w:divBdr>
                                                        </w:div>
                                                        <w:div w:id="107355462">
                                                          <w:marLeft w:val="0"/>
                                                          <w:marRight w:val="0"/>
                                                          <w:marTop w:val="0"/>
                                                          <w:marBottom w:val="0"/>
                                                          <w:divBdr>
                                                            <w:top w:val="none" w:sz="0" w:space="0" w:color="auto"/>
                                                            <w:left w:val="none" w:sz="0" w:space="0" w:color="auto"/>
                                                            <w:bottom w:val="none" w:sz="0" w:space="0" w:color="auto"/>
                                                            <w:right w:val="none" w:sz="0" w:space="0" w:color="auto"/>
                                                          </w:divBdr>
                                                          <w:divsChild>
                                                            <w:div w:id="1912345254">
                                                              <w:marLeft w:val="0"/>
                                                              <w:marRight w:val="0"/>
                                                              <w:marTop w:val="0"/>
                                                              <w:marBottom w:val="0"/>
                                                              <w:divBdr>
                                                                <w:top w:val="none" w:sz="0" w:space="0" w:color="auto"/>
                                                                <w:left w:val="none" w:sz="0" w:space="0" w:color="auto"/>
                                                                <w:bottom w:val="none" w:sz="0" w:space="0" w:color="auto"/>
                                                                <w:right w:val="none" w:sz="0" w:space="0" w:color="auto"/>
                                                              </w:divBdr>
                                                            </w:div>
                                                          </w:divsChild>
                                                        </w:div>
                                                        <w:div w:id="109251025">
                                                          <w:marLeft w:val="0"/>
                                                          <w:marRight w:val="0"/>
                                                          <w:marTop w:val="0"/>
                                                          <w:marBottom w:val="0"/>
                                                          <w:divBdr>
                                                            <w:top w:val="none" w:sz="0" w:space="0" w:color="auto"/>
                                                            <w:left w:val="none" w:sz="0" w:space="0" w:color="auto"/>
                                                            <w:bottom w:val="none" w:sz="0" w:space="0" w:color="auto"/>
                                                            <w:right w:val="none" w:sz="0" w:space="0" w:color="auto"/>
                                                          </w:divBdr>
                                                          <w:divsChild>
                                                            <w:div w:id="1775859117">
                                                              <w:marLeft w:val="0"/>
                                                              <w:marRight w:val="0"/>
                                                              <w:marTop w:val="0"/>
                                                              <w:marBottom w:val="0"/>
                                                              <w:divBdr>
                                                                <w:top w:val="none" w:sz="0" w:space="0" w:color="auto"/>
                                                                <w:left w:val="none" w:sz="0" w:space="0" w:color="auto"/>
                                                                <w:bottom w:val="none" w:sz="0" w:space="0" w:color="auto"/>
                                                                <w:right w:val="none" w:sz="0" w:space="0" w:color="auto"/>
                                                              </w:divBdr>
                                                            </w:div>
                                                          </w:divsChild>
                                                        </w:div>
                                                        <w:div w:id="126900387">
                                                          <w:marLeft w:val="0"/>
                                                          <w:marRight w:val="0"/>
                                                          <w:marTop w:val="0"/>
                                                          <w:marBottom w:val="0"/>
                                                          <w:divBdr>
                                                            <w:top w:val="none" w:sz="0" w:space="0" w:color="auto"/>
                                                            <w:left w:val="none" w:sz="0" w:space="0" w:color="auto"/>
                                                            <w:bottom w:val="none" w:sz="0" w:space="0" w:color="auto"/>
                                                            <w:right w:val="none" w:sz="0" w:space="0" w:color="auto"/>
                                                          </w:divBdr>
                                                          <w:divsChild>
                                                            <w:div w:id="1993021485">
                                                              <w:marLeft w:val="0"/>
                                                              <w:marRight w:val="0"/>
                                                              <w:marTop w:val="0"/>
                                                              <w:marBottom w:val="0"/>
                                                              <w:divBdr>
                                                                <w:top w:val="none" w:sz="0" w:space="0" w:color="auto"/>
                                                                <w:left w:val="none" w:sz="0" w:space="0" w:color="auto"/>
                                                                <w:bottom w:val="none" w:sz="0" w:space="0" w:color="auto"/>
                                                                <w:right w:val="none" w:sz="0" w:space="0" w:color="auto"/>
                                                              </w:divBdr>
                                                            </w:div>
                                                          </w:divsChild>
                                                        </w:div>
                                                        <w:div w:id="136722636">
                                                          <w:marLeft w:val="0"/>
                                                          <w:marRight w:val="0"/>
                                                          <w:marTop w:val="0"/>
                                                          <w:marBottom w:val="0"/>
                                                          <w:divBdr>
                                                            <w:top w:val="none" w:sz="0" w:space="0" w:color="auto"/>
                                                            <w:left w:val="none" w:sz="0" w:space="0" w:color="auto"/>
                                                            <w:bottom w:val="none" w:sz="0" w:space="0" w:color="auto"/>
                                                            <w:right w:val="none" w:sz="0" w:space="0" w:color="auto"/>
                                                          </w:divBdr>
                                                          <w:divsChild>
                                                            <w:div w:id="1982080333">
                                                              <w:marLeft w:val="0"/>
                                                              <w:marRight w:val="0"/>
                                                              <w:marTop w:val="0"/>
                                                              <w:marBottom w:val="0"/>
                                                              <w:divBdr>
                                                                <w:top w:val="none" w:sz="0" w:space="0" w:color="auto"/>
                                                                <w:left w:val="none" w:sz="0" w:space="0" w:color="auto"/>
                                                                <w:bottom w:val="none" w:sz="0" w:space="0" w:color="auto"/>
                                                                <w:right w:val="none" w:sz="0" w:space="0" w:color="auto"/>
                                                              </w:divBdr>
                                                            </w:div>
                                                          </w:divsChild>
                                                        </w:div>
                                                        <w:div w:id="143620503">
                                                          <w:marLeft w:val="0"/>
                                                          <w:marRight w:val="0"/>
                                                          <w:marTop w:val="0"/>
                                                          <w:marBottom w:val="0"/>
                                                          <w:divBdr>
                                                            <w:top w:val="none" w:sz="0" w:space="0" w:color="auto"/>
                                                            <w:left w:val="none" w:sz="0" w:space="0" w:color="auto"/>
                                                            <w:bottom w:val="none" w:sz="0" w:space="0" w:color="auto"/>
                                                            <w:right w:val="none" w:sz="0" w:space="0" w:color="auto"/>
                                                          </w:divBdr>
                                                          <w:divsChild>
                                                            <w:div w:id="1118137018">
                                                              <w:marLeft w:val="0"/>
                                                              <w:marRight w:val="0"/>
                                                              <w:marTop w:val="0"/>
                                                              <w:marBottom w:val="0"/>
                                                              <w:divBdr>
                                                                <w:top w:val="none" w:sz="0" w:space="0" w:color="auto"/>
                                                                <w:left w:val="none" w:sz="0" w:space="0" w:color="auto"/>
                                                                <w:bottom w:val="none" w:sz="0" w:space="0" w:color="auto"/>
                                                                <w:right w:val="none" w:sz="0" w:space="0" w:color="auto"/>
                                                              </w:divBdr>
                                                            </w:div>
                                                          </w:divsChild>
                                                        </w:div>
                                                        <w:div w:id="146484212">
                                                          <w:marLeft w:val="0"/>
                                                          <w:marRight w:val="0"/>
                                                          <w:marTop w:val="0"/>
                                                          <w:marBottom w:val="0"/>
                                                          <w:divBdr>
                                                            <w:top w:val="none" w:sz="0" w:space="0" w:color="auto"/>
                                                            <w:left w:val="none" w:sz="0" w:space="0" w:color="auto"/>
                                                            <w:bottom w:val="none" w:sz="0" w:space="0" w:color="auto"/>
                                                            <w:right w:val="none" w:sz="0" w:space="0" w:color="auto"/>
                                                          </w:divBdr>
                                                          <w:divsChild>
                                                            <w:div w:id="1520000444">
                                                              <w:marLeft w:val="0"/>
                                                              <w:marRight w:val="0"/>
                                                              <w:marTop w:val="0"/>
                                                              <w:marBottom w:val="0"/>
                                                              <w:divBdr>
                                                                <w:top w:val="none" w:sz="0" w:space="0" w:color="auto"/>
                                                                <w:left w:val="none" w:sz="0" w:space="0" w:color="auto"/>
                                                                <w:bottom w:val="none" w:sz="0" w:space="0" w:color="auto"/>
                                                                <w:right w:val="none" w:sz="0" w:space="0" w:color="auto"/>
                                                              </w:divBdr>
                                                            </w:div>
                                                          </w:divsChild>
                                                        </w:div>
                                                        <w:div w:id="149295781">
                                                          <w:marLeft w:val="0"/>
                                                          <w:marRight w:val="0"/>
                                                          <w:marTop w:val="0"/>
                                                          <w:marBottom w:val="0"/>
                                                          <w:divBdr>
                                                            <w:top w:val="none" w:sz="0" w:space="0" w:color="auto"/>
                                                            <w:left w:val="none" w:sz="0" w:space="0" w:color="auto"/>
                                                            <w:bottom w:val="none" w:sz="0" w:space="0" w:color="auto"/>
                                                            <w:right w:val="none" w:sz="0" w:space="0" w:color="auto"/>
                                                          </w:divBdr>
                                                          <w:divsChild>
                                                            <w:div w:id="1135441828">
                                                              <w:marLeft w:val="0"/>
                                                              <w:marRight w:val="0"/>
                                                              <w:marTop w:val="0"/>
                                                              <w:marBottom w:val="0"/>
                                                              <w:divBdr>
                                                                <w:top w:val="none" w:sz="0" w:space="0" w:color="auto"/>
                                                                <w:left w:val="none" w:sz="0" w:space="0" w:color="auto"/>
                                                                <w:bottom w:val="none" w:sz="0" w:space="0" w:color="auto"/>
                                                                <w:right w:val="none" w:sz="0" w:space="0" w:color="auto"/>
                                                              </w:divBdr>
                                                            </w:div>
                                                          </w:divsChild>
                                                        </w:div>
                                                        <w:div w:id="149908672">
                                                          <w:marLeft w:val="0"/>
                                                          <w:marRight w:val="0"/>
                                                          <w:marTop w:val="0"/>
                                                          <w:marBottom w:val="0"/>
                                                          <w:divBdr>
                                                            <w:top w:val="none" w:sz="0" w:space="0" w:color="auto"/>
                                                            <w:left w:val="none" w:sz="0" w:space="0" w:color="auto"/>
                                                            <w:bottom w:val="none" w:sz="0" w:space="0" w:color="auto"/>
                                                            <w:right w:val="none" w:sz="0" w:space="0" w:color="auto"/>
                                                          </w:divBdr>
                                                        </w:div>
                                                        <w:div w:id="150802116">
                                                          <w:marLeft w:val="0"/>
                                                          <w:marRight w:val="0"/>
                                                          <w:marTop w:val="0"/>
                                                          <w:marBottom w:val="0"/>
                                                          <w:divBdr>
                                                            <w:top w:val="none" w:sz="0" w:space="0" w:color="auto"/>
                                                            <w:left w:val="none" w:sz="0" w:space="0" w:color="auto"/>
                                                            <w:bottom w:val="none" w:sz="0" w:space="0" w:color="auto"/>
                                                            <w:right w:val="none" w:sz="0" w:space="0" w:color="auto"/>
                                                          </w:divBdr>
                                                          <w:divsChild>
                                                            <w:div w:id="156574159">
                                                              <w:marLeft w:val="0"/>
                                                              <w:marRight w:val="0"/>
                                                              <w:marTop w:val="0"/>
                                                              <w:marBottom w:val="0"/>
                                                              <w:divBdr>
                                                                <w:top w:val="none" w:sz="0" w:space="0" w:color="auto"/>
                                                                <w:left w:val="none" w:sz="0" w:space="0" w:color="auto"/>
                                                                <w:bottom w:val="none" w:sz="0" w:space="0" w:color="auto"/>
                                                                <w:right w:val="none" w:sz="0" w:space="0" w:color="auto"/>
                                                              </w:divBdr>
                                                            </w:div>
                                                          </w:divsChild>
                                                        </w:div>
                                                        <w:div w:id="152138765">
                                                          <w:marLeft w:val="0"/>
                                                          <w:marRight w:val="0"/>
                                                          <w:marTop w:val="0"/>
                                                          <w:marBottom w:val="0"/>
                                                          <w:divBdr>
                                                            <w:top w:val="none" w:sz="0" w:space="0" w:color="auto"/>
                                                            <w:left w:val="none" w:sz="0" w:space="0" w:color="auto"/>
                                                            <w:bottom w:val="none" w:sz="0" w:space="0" w:color="auto"/>
                                                            <w:right w:val="none" w:sz="0" w:space="0" w:color="auto"/>
                                                          </w:divBdr>
                                                          <w:divsChild>
                                                            <w:div w:id="1121418049">
                                                              <w:marLeft w:val="0"/>
                                                              <w:marRight w:val="0"/>
                                                              <w:marTop w:val="0"/>
                                                              <w:marBottom w:val="0"/>
                                                              <w:divBdr>
                                                                <w:top w:val="none" w:sz="0" w:space="0" w:color="auto"/>
                                                                <w:left w:val="none" w:sz="0" w:space="0" w:color="auto"/>
                                                                <w:bottom w:val="none" w:sz="0" w:space="0" w:color="auto"/>
                                                                <w:right w:val="none" w:sz="0" w:space="0" w:color="auto"/>
                                                              </w:divBdr>
                                                            </w:div>
                                                          </w:divsChild>
                                                        </w:div>
                                                        <w:div w:id="164253324">
                                                          <w:marLeft w:val="0"/>
                                                          <w:marRight w:val="0"/>
                                                          <w:marTop w:val="0"/>
                                                          <w:marBottom w:val="0"/>
                                                          <w:divBdr>
                                                            <w:top w:val="none" w:sz="0" w:space="0" w:color="auto"/>
                                                            <w:left w:val="none" w:sz="0" w:space="0" w:color="auto"/>
                                                            <w:bottom w:val="none" w:sz="0" w:space="0" w:color="auto"/>
                                                            <w:right w:val="none" w:sz="0" w:space="0" w:color="auto"/>
                                                          </w:divBdr>
                                                          <w:divsChild>
                                                            <w:div w:id="393431839">
                                                              <w:marLeft w:val="0"/>
                                                              <w:marRight w:val="0"/>
                                                              <w:marTop w:val="0"/>
                                                              <w:marBottom w:val="0"/>
                                                              <w:divBdr>
                                                                <w:top w:val="none" w:sz="0" w:space="0" w:color="auto"/>
                                                                <w:left w:val="none" w:sz="0" w:space="0" w:color="auto"/>
                                                                <w:bottom w:val="none" w:sz="0" w:space="0" w:color="auto"/>
                                                                <w:right w:val="none" w:sz="0" w:space="0" w:color="auto"/>
                                                              </w:divBdr>
                                                            </w:div>
                                                          </w:divsChild>
                                                        </w:div>
                                                        <w:div w:id="172762406">
                                                          <w:marLeft w:val="0"/>
                                                          <w:marRight w:val="0"/>
                                                          <w:marTop w:val="0"/>
                                                          <w:marBottom w:val="0"/>
                                                          <w:divBdr>
                                                            <w:top w:val="none" w:sz="0" w:space="0" w:color="auto"/>
                                                            <w:left w:val="none" w:sz="0" w:space="0" w:color="auto"/>
                                                            <w:bottom w:val="none" w:sz="0" w:space="0" w:color="auto"/>
                                                            <w:right w:val="none" w:sz="0" w:space="0" w:color="auto"/>
                                                          </w:divBdr>
                                                          <w:divsChild>
                                                            <w:div w:id="1852529300">
                                                              <w:marLeft w:val="0"/>
                                                              <w:marRight w:val="0"/>
                                                              <w:marTop w:val="0"/>
                                                              <w:marBottom w:val="0"/>
                                                              <w:divBdr>
                                                                <w:top w:val="none" w:sz="0" w:space="0" w:color="auto"/>
                                                                <w:left w:val="none" w:sz="0" w:space="0" w:color="auto"/>
                                                                <w:bottom w:val="none" w:sz="0" w:space="0" w:color="auto"/>
                                                                <w:right w:val="none" w:sz="0" w:space="0" w:color="auto"/>
                                                              </w:divBdr>
                                                            </w:div>
                                                          </w:divsChild>
                                                        </w:div>
                                                        <w:div w:id="180046566">
                                                          <w:marLeft w:val="0"/>
                                                          <w:marRight w:val="0"/>
                                                          <w:marTop w:val="0"/>
                                                          <w:marBottom w:val="0"/>
                                                          <w:divBdr>
                                                            <w:top w:val="none" w:sz="0" w:space="0" w:color="auto"/>
                                                            <w:left w:val="none" w:sz="0" w:space="0" w:color="auto"/>
                                                            <w:bottom w:val="none" w:sz="0" w:space="0" w:color="auto"/>
                                                            <w:right w:val="none" w:sz="0" w:space="0" w:color="auto"/>
                                                          </w:divBdr>
                                                          <w:divsChild>
                                                            <w:div w:id="1819153289">
                                                              <w:marLeft w:val="0"/>
                                                              <w:marRight w:val="0"/>
                                                              <w:marTop w:val="0"/>
                                                              <w:marBottom w:val="0"/>
                                                              <w:divBdr>
                                                                <w:top w:val="none" w:sz="0" w:space="0" w:color="auto"/>
                                                                <w:left w:val="none" w:sz="0" w:space="0" w:color="auto"/>
                                                                <w:bottom w:val="none" w:sz="0" w:space="0" w:color="auto"/>
                                                                <w:right w:val="none" w:sz="0" w:space="0" w:color="auto"/>
                                                              </w:divBdr>
                                                            </w:div>
                                                          </w:divsChild>
                                                        </w:div>
                                                        <w:div w:id="181819596">
                                                          <w:marLeft w:val="0"/>
                                                          <w:marRight w:val="0"/>
                                                          <w:marTop w:val="0"/>
                                                          <w:marBottom w:val="0"/>
                                                          <w:divBdr>
                                                            <w:top w:val="none" w:sz="0" w:space="0" w:color="auto"/>
                                                            <w:left w:val="none" w:sz="0" w:space="0" w:color="auto"/>
                                                            <w:bottom w:val="none" w:sz="0" w:space="0" w:color="auto"/>
                                                            <w:right w:val="none" w:sz="0" w:space="0" w:color="auto"/>
                                                          </w:divBdr>
                                                          <w:divsChild>
                                                            <w:div w:id="1400588987">
                                                              <w:marLeft w:val="0"/>
                                                              <w:marRight w:val="0"/>
                                                              <w:marTop w:val="0"/>
                                                              <w:marBottom w:val="0"/>
                                                              <w:divBdr>
                                                                <w:top w:val="none" w:sz="0" w:space="0" w:color="auto"/>
                                                                <w:left w:val="none" w:sz="0" w:space="0" w:color="auto"/>
                                                                <w:bottom w:val="none" w:sz="0" w:space="0" w:color="auto"/>
                                                                <w:right w:val="none" w:sz="0" w:space="0" w:color="auto"/>
                                                              </w:divBdr>
                                                            </w:div>
                                                          </w:divsChild>
                                                        </w:div>
                                                        <w:div w:id="183373489">
                                                          <w:marLeft w:val="0"/>
                                                          <w:marRight w:val="0"/>
                                                          <w:marTop w:val="0"/>
                                                          <w:marBottom w:val="0"/>
                                                          <w:divBdr>
                                                            <w:top w:val="none" w:sz="0" w:space="0" w:color="auto"/>
                                                            <w:left w:val="none" w:sz="0" w:space="0" w:color="auto"/>
                                                            <w:bottom w:val="none" w:sz="0" w:space="0" w:color="auto"/>
                                                            <w:right w:val="none" w:sz="0" w:space="0" w:color="auto"/>
                                                          </w:divBdr>
                                                          <w:divsChild>
                                                            <w:div w:id="1022129701">
                                                              <w:marLeft w:val="0"/>
                                                              <w:marRight w:val="0"/>
                                                              <w:marTop w:val="0"/>
                                                              <w:marBottom w:val="0"/>
                                                              <w:divBdr>
                                                                <w:top w:val="none" w:sz="0" w:space="0" w:color="auto"/>
                                                                <w:left w:val="none" w:sz="0" w:space="0" w:color="auto"/>
                                                                <w:bottom w:val="none" w:sz="0" w:space="0" w:color="auto"/>
                                                                <w:right w:val="none" w:sz="0" w:space="0" w:color="auto"/>
                                                              </w:divBdr>
                                                            </w:div>
                                                          </w:divsChild>
                                                        </w:div>
                                                        <w:div w:id="184759167">
                                                          <w:marLeft w:val="0"/>
                                                          <w:marRight w:val="0"/>
                                                          <w:marTop w:val="0"/>
                                                          <w:marBottom w:val="0"/>
                                                          <w:divBdr>
                                                            <w:top w:val="none" w:sz="0" w:space="0" w:color="auto"/>
                                                            <w:left w:val="none" w:sz="0" w:space="0" w:color="auto"/>
                                                            <w:bottom w:val="none" w:sz="0" w:space="0" w:color="auto"/>
                                                            <w:right w:val="none" w:sz="0" w:space="0" w:color="auto"/>
                                                          </w:divBdr>
                                                          <w:divsChild>
                                                            <w:div w:id="405230071">
                                                              <w:marLeft w:val="0"/>
                                                              <w:marRight w:val="0"/>
                                                              <w:marTop w:val="0"/>
                                                              <w:marBottom w:val="0"/>
                                                              <w:divBdr>
                                                                <w:top w:val="none" w:sz="0" w:space="0" w:color="auto"/>
                                                                <w:left w:val="none" w:sz="0" w:space="0" w:color="auto"/>
                                                                <w:bottom w:val="none" w:sz="0" w:space="0" w:color="auto"/>
                                                                <w:right w:val="none" w:sz="0" w:space="0" w:color="auto"/>
                                                              </w:divBdr>
                                                            </w:div>
                                                          </w:divsChild>
                                                        </w:div>
                                                        <w:div w:id="207104761">
                                                          <w:marLeft w:val="0"/>
                                                          <w:marRight w:val="0"/>
                                                          <w:marTop w:val="0"/>
                                                          <w:marBottom w:val="0"/>
                                                          <w:divBdr>
                                                            <w:top w:val="none" w:sz="0" w:space="0" w:color="auto"/>
                                                            <w:left w:val="none" w:sz="0" w:space="0" w:color="auto"/>
                                                            <w:bottom w:val="none" w:sz="0" w:space="0" w:color="auto"/>
                                                            <w:right w:val="none" w:sz="0" w:space="0" w:color="auto"/>
                                                          </w:divBdr>
                                                          <w:divsChild>
                                                            <w:div w:id="381486654">
                                                              <w:marLeft w:val="0"/>
                                                              <w:marRight w:val="0"/>
                                                              <w:marTop w:val="0"/>
                                                              <w:marBottom w:val="0"/>
                                                              <w:divBdr>
                                                                <w:top w:val="none" w:sz="0" w:space="0" w:color="auto"/>
                                                                <w:left w:val="none" w:sz="0" w:space="0" w:color="auto"/>
                                                                <w:bottom w:val="none" w:sz="0" w:space="0" w:color="auto"/>
                                                                <w:right w:val="none" w:sz="0" w:space="0" w:color="auto"/>
                                                              </w:divBdr>
                                                            </w:div>
                                                          </w:divsChild>
                                                        </w:div>
                                                        <w:div w:id="217472609">
                                                          <w:marLeft w:val="0"/>
                                                          <w:marRight w:val="0"/>
                                                          <w:marTop w:val="0"/>
                                                          <w:marBottom w:val="0"/>
                                                          <w:divBdr>
                                                            <w:top w:val="none" w:sz="0" w:space="0" w:color="auto"/>
                                                            <w:left w:val="none" w:sz="0" w:space="0" w:color="auto"/>
                                                            <w:bottom w:val="none" w:sz="0" w:space="0" w:color="auto"/>
                                                            <w:right w:val="none" w:sz="0" w:space="0" w:color="auto"/>
                                                          </w:divBdr>
                                                          <w:divsChild>
                                                            <w:div w:id="647395243">
                                                              <w:marLeft w:val="0"/>
                                                              <w:marRight w:val="0"/>
                                                              <w:marTop w:val="0"/>
                                                              <w:marBottom w:val="0"/>
                                                              <w:divBdr>
                                                                <w:top w:val="none" w:sz="0" w:space="0" w:color="auto"/>
                                                                <w:left w:val="none" w:sz="0" w:space="0" w:color="auto"/>
                                                                <w:bottom w:val="none" w:sz="0" w:space="0" w:color="auto"/>
                                                                <w:right w:val="none" w:sz="0" w:space="0" w:color="auto"/>
                                                              </w:divBdr>
                                                            </w:div>
                                                          </w:divsChild>
                                                        </w:div>
                                                        <w:div w:id="229534756">
                                                          <w:marLeft w:val="0"/>
                                                          <w:marRight w:val="0"/>
                                                          <w:marTop w:val="0"/>
                                                          <w:marBottom w:val="0"/>
                                                          <w:divBdr>
                                                            <w:top w:val="none" w:sz="0" w:space="0" w:color="auto"/>
                                                            <w:left w:val="none" w:sz="0" w:space="0" w:color="auto"/>
                                                            <w:bottom w:val="none" w:sz="0" w:space="0" w:color="auto"/>
                                                            <w:right w:val="none" w:sz="0" w:space="0" w:color="auto"/>
                                                          </w:divBdr>
                                                          <w:divsChild>
                                                            <w:div w:id="643122445">
                                                              <w:marLeft w:val="0"/>
                                                              <w:marRight w:val="0"/>
                                                              <w:marTop w:val="0"/>
                                                              <w:marBottom w:val="0"/>
                                                              <w:divBdr>
                                                                <w:top w:val="none" w:sz="0" w:space="0" w:color="auto"/>
                                                                <w:left w:val="none" w:sz="0" w:space="0" w:color="auto"/>
                                                                <w:bottom w:val="none" w:sz="0" w:space="0" w:color="auto"/>
                                                                <w:right w:val="none" w:sz="0" w:space="0" w:color="auto"/>
                                                              </w:divBdr>
                                                            </w:div>
                                                          </w:divsChild>
                                                        </w:div>
                                                        <w:div w:id="243539245">
                                                          <w:marLeft w:val="0"/>
                                                          <w:marRight w:val="0"/>
                                                          <w:marTop w:val="0"/>
                                                          <w:marBottom w:val="0"/>
                                                          <w:divBdr>
                                                            <w:top w:val="none" w:sz="0" w:space="0" w:color="auto"/>
                                                            <w:left w:val="none" w:sz="0" w:space="0" w:color="auto"/>
                                                            <w:bottom w:val="none" w:sz="0" w:space="0" w:color="auto"/>
                                                            <w:right w:val="none" w:sz="0" w:space="0" w:color="auto"/>
                                                          </w:divBdr>
                                                        </w:div>
                                                        <w:div w:id="246153951">
                                                          <w:marLeft w:val="0"/>
                                                          <w:marRight w:val="0"/>
                                                          <w:marTop w:val="0"/>
                                                          <w:marBottom w:val="0"/>
                                                          <w:divBdr>
                                                            <w:top w:val="none" w:sz="0" w:space="0" w:color="auto"/>
                                                            <w:left w:val="none" w:sz="0" w:space="0" w:color="auto"/>
                                                            <w:bottom w:val="none" w:sz="0" w:space="0" w:color="auto"/>
                                                            <w:right w:val="none" w:sz="0" w:space="0" w:color="auto"/>
                                                          </w:divBdr>
                                                          <w:divsChild>
                                                            <w:div w:id="213784998">
                                                              <w:marLeft w:val="0"/>
                                                              <w:marRight w:val="0"/>
                                                              <w:marTop w:val="0"/>
                                                              <w:marBottom w:val="0"/>
                                                              <w:divBdr>
                                                                <w:top w:val="none" w:sz="0" w:space="0" w:color="auto"/>
                                                                <w:left w:val="none" w:sz="0" w:space="0" w:color="auto"/>
                                                                <w:bottom w:val="none" w:sz="0" w:space="0" w:color="auto"/>
                                                                <w:right w:val="none" w:sz="0" w:space="0" w:color="auto"/>
                                                              </w:divBdr>
                                                            </w:div>
                                                          </w:divsChild>
                                                        </w:div>
                                                        <w:div w:id="249969329">
                                                          <w:marLeft w:val="0"/>
                                                          <w:marRight w:val="0"/>
                                                          <w:marTop w:val="0"/>
                                                          <w:marBottom w:val="0"/>
                                                          <w:divBdr>
                                                            <w:top w:val="none" w:sz="0" w:space="0" w:color="auto"/>
                                                            <w:left w:val="none" w:sz="0" w:space="0" w:color="auto"/>
                                                            <w:bottom w:val="none" w:sz="0" w:space="0" w:color="auto"/>
                                                            <w:right w:val="none" w:sz="0" w:space="0" w:color="auto"/>
                                                          </w:divBdr>
                                                          <w:divsChild>
                                                            <w:div w:id="866068039">
                                                              <w:marLeft w:val="0"/>
                                                              <w:marRight w:val="0"/>
                                                              <w:marTop w:val="0"/>
                                                              <w:marBottom w:val="0"/>
                                                              <w:divBdr>
                                                                <w:top w:val="none" w:sz="0" w:space="0" w:color="auto"/>
                                                                <w:left w:val="none" w:sz="0" w:space="0" w:color="auto"/>
                                                                <w:bottom w:val="none" w:sz="0" w:space="0" w:color="auto"/>
                                                                <w:right w:val="none" w:sz="0" w:space="0" w:color="auto"/>
                                                              </w:divBdr>
                                                            </w:div>
                                                          </w:divsChild>
                                                        </w:div>
                                                        <w:div w:id="261838410">
                                                          <w:marLeft w:val="0"/>
                                                          <w:marRight w:val="0"/>
                                                          <w:marTop w:val="0"/>
                                                          <w:marBottom w:val="0"/>
                                                          <w:divBdr>
                                                            <w:top w:val="none" w:sz="0" w:space="0" w:color="auto"/>
                                                            <w:left w:val="none" w:sz="0" w:space="0" w:color="auto"/>
                                                            <w:bottom w:val="none" w:sz="0" w:space="0" w:color="auto"/>
                                                            <w:right w:val="none" w:sz="0" w:space="0" w:color="auto"/>
                                                          </w:divBdr>
                                                          <w:divsChild>
                                                            <w:div w:id="503787937">
                                                              <w:marLeft w:val="0"/>
                                                              <w:marRight w:val="0"/>
                                                              <w:marTop w:val="0"/>
                                                              <w:marBottom w:val="0"/>
                                                              <w:divBdr>
                                                                <w:top w:val="none" w:sz="0" w:space="0" w:color="auto"/>
                                                                <w:left w:val="none" w:sz="0" w:space="0" w:color="auto"/>
                                                                <w:bottom w:val="none" w:sz="0" w:space="0" w:color="auto"/>
                                                                <w:right w:val="none" w:sz="0" w:space="0" w:color="auto"/>
                                                              </w:divBdr>
                                                            </w:div>
                                                          </w:divsChild>
                                                        </w:div>
                                                        <w:div w:id="269119543">
                                                          <w:marLeft w:val="0"/>
                                                          <w:marRight w:val="0"/>
                                                          <w:marTop w:val="0"/>
                                                          <w:marBottom w:val="0"/>
                                                          <w:divBdr>
                                                            <w:top w:val="none" w:sz="0" w:space="0" w:color="auto"/>
                                                            <w:left w:val="none" w:sz="0" w:space="0" w:color="auto"/>
                                                            <w:bottom w:val="none" w:sz="0" w:space="0" w:color="auto"/>
                                                            <w:right w:val="none" w:sz="0" w:space="0" w:color="auto"/>
                                                          </w:divBdr>
                                                          <w:divsChild>
                                                            <w:div w:id="456291140">
                                                              <w:marLeft w:val="0"/>
                                                              <w:marRight w:val="0"/>
                                                              <w:marTop w:val="0"/>
                                                              <w:marBottom w:val="0"/>
                                                              <w:divBdr>
                                                                <w:top w:val="none" w:sz="0" w:space="0" w:color="auto"/>
                                                                <w:left w:val="none" w:sz="0" w:space="0" w:color="auto"/>
                                                                <w:bottom w:val="none" w:sz="0" w:space="0" w:color="auto"/>
                                                                <w:right w:val="none" w:sz="0" w:space="0" w:color="auto"/>
                                                              </w:divBdr>
                                                            </w:div>
                                                          </w:divsChild>
                                                        </w:div>
                                                        <w:div w:id="272325569">
                                                          <w:marLeft w:val="0"/>
                                                          <w:marRight w:val="0"/>
                                                          <w:marTop w:val="0"/>
                                                          <w:marBottom w:val="0"/>
                                                          <w:divBdr>
                                                            <w:top w:val="none" w:sz="0" w:space="0" w:color="auto"/>
                                                            <w:left w:val="none" w:sz="0" w:space="0" w:color="auto"/>
                                                            <w:bottom w:val="none" w:sz="0" w:space="0" w:color="auto"/>
                                                            <w:right w:val="none" w:sz="0" w:space="0" w:color="auto"/>
                                                          </w:divBdr>
                                                        </w:div>
                                                        <w:div w:id="272520026">
                                                          <w:marLeft w:val="0"/>
                                                          <w:marRight w:val="0"/>
                                                          <w:marTop w:val="0"/>
                                                          <w:marBottom w:val="0"/>
                                                          <w:divBdr>
                                                            <w:top w:val="none" w:sz="0" w:space="0" w:color="auto"/>
                                                            <w:left w:val="none" w:sz="0" w:space="0" w:color="auto"/>
                                                            <w:bottom w:val="none" w:sz="0" w:space="0" w:color="auto"/>
                                                            <w:right w:val="none" w:sz="0" w:space="0" w:color="auto"/>
                                                          </w:divBdr>
                                                          <w:divsChild>
                                                            <w:div w:id="752707545">
                                                              <w:marLeft w:val="0"/>
                                                              <w:marRight w:val="0"/>
                                                              <w:marTop w:val="0"/>
                                                              <w:marBottom w:val="0"/>
                                                              <w:divBdr>
                                                                <w:top w:val="none" w:sz="0" w:space="0" w:color="auto"/>
                                                                <w:left w:val="none" w:sz="0" w:space="0" w:color="auto"/>
                                                                <w:bottom w:val="none" w:sz="0" w:space="0" w:color="auto"/>
                                                                <w:right w:val="none" w:sz="0" w:space="0" w:color="auto"/>
                                                              </w:divBdr>
                                                            </w:div>
                                                          </w:divsChild>
                                                        </w:div>
                                                        <w:div w:id="278143050">
                                                          <w:marLeft w:val="0"/>
                                                          <w:marRight w:val="0"/>
                                                          <w:marTop w:val="0"/>
                                                          <w:marBottom w:val="0"/>
                                                          <w:divBdr>
                                                            <w:top w:val="none" w:sz="0" w:space="0" w:color="auto"/>
                                                            <w:left w:val="none" w:sz="0" w:space="0" w:color="auto"/>
                                                            <w:bottom w:val="none" w:sz="0" w:space="0" w:color="auto"/>
                                                            <w:right w:val="none" w:sz="0" w:space="0" w:color="auto"/>
                                                          </w:divBdr>
                                                          <w:divsChild>
                                                            <w:div w:id="1373454421">
                                                              <w:marLeft w:val="0"/>
                                                              <w:marRight w:val="0"/>
                                                              <w:marTop w:val="0"/>
                                                              <w:marBottom w:val="0"/>
                                                              <w:divBdr>
                                                                <w:top w:val="none" w:sz="0" w:space="0" w:color="auto"/>
                                                                <w:left w:val="none" w:sz="0" w:space="0" w:color="auto"/>
                                                                <w:bottom w:val="none" w:sz="0" w:space="0" w:color="auto"/>
                                                                <w:right w:val="none" w:sz="0" w:space="0" w:color="auto"/>
                                                              </w:divBdr>
                                                            </w:div>
                                                          </w:divsChild>
                                                        </w:div>
                                                        <w:div w:id="288514983">
                                                          <w:marLeft w:val="0"/>
                                                          <w:marRight w:val="0"/>
                                                          <w:marTop w:val="0"/>
                                                          <w:marBottom w:val="0"/>
                                                          <w:divBdr>
                                                            <w:top w:val="none" w:sz="0" w:space="0" w:color="auto"/>
                                                            <w:left w:val="none" w:sz="0" w:space="0" w:color="auto"/>
                                                            <w:bottom w:val="none" w:sz="0" w:space="0" w:color="auto"/>
                                                            <w:right w:val="none" w:sz="0" w:space="0" w:color="auto"/>
                                                          </w:divBdr>
                                                          <w:divsChild>
                                                            <w:div w:id="731395036">
                                                              <w:marLeft w:val="0"/>
                                                              <w:marRight w:val="0"/>
                                                              <w:marTop w:val="0"/>
                                                              <w:marBottom w:val="0"/>
                                                              <w:divBdr>
                                                                <w:top w:val="none" w:sz="0" w:space="0" w:color="auto"/>
                                                                <w:left w:val="none" w:sz="0" w:space="0" w:color="auto"/>
                                                                <w:bottom w:val="none" w:sz="0" w:space="0" w:color="auto"/>
                                                                <w:right w:val="none" w:sz="0" w:space="0" w:color="auto"/>
                                                              </w:divBdr>
                                                            </w:div>
                                                          </w:divsChild>
                                                        </w:div>
                                                        <w:div w:id="291600797">
                                                          <w:marLeft w:val="0"/>
                                                          <w:marRight w:val="0"/>
                                                          <w:marTop w:val="0"/>
                                                          <w:marBottom w:val="0"/>
                                                          <w:divBdr>
                                                            <w:top w:val="none" w:sz="0" w:space="0" w:color="auto"/>
                                                            <w:left w:val="none" w:sz="0" w:space="0" w:color="auto"/>
                                                            <w:bottom w:val="none" w:sz="0" w:space="0" w:color="auto"/>
                                                            <w:right w:val="none" w:sz="0" w:space="0" w:color="auto"/>
                                                          </w:divBdr>
                                                          <w:divsChild>
                                                            <w:div w:id="1193541973">
                                                              <w:marLeft w:val="0"/>
                                                              <w:marRight w:val="0"/>
                                                              <w:marTop w:val="0"/>
                                                              <w:marBottom w:val="0"/>
                                                              <w:divBdr>
                                                                <w:top w:val="none" w:sz="0" w:space="0" w:color="auto"/>
                                                                <w:left w:val="none" w:sz="0" w:space="0" w:color="auto"/>
                                                                <w:bottom w:val="none" w:sz="0" w:space="0" w:color="auto"/>
                                                                <w:right w:val="none" w:sz="0" w:space="0" w:color="auto"/>
                                                              </w:divBdr>
                                                            </w:div>
                                                          </w:divsChild>
                                                        </w:div>
                                                        <w:div w:id="296884521">
                                                          <w:marLeft w:val="0"/>
                                                          <w:marRight w:val="0"/>
                                                          <w:marTop w:val="0"/>
                                                          <w:marBottom w:val="0"/>
                                                          <w:divBdr>
                                                            <w:top w:val="none" w:sz="0" w:space="0" w:color="auto"/>
                                                            <w:left w:val="none" w:sz="0" w:space="0" w:color="auto"/>
                                                            <w:bottom w:val="none" w:sz="0" w:space="0" w:color="auto"/>
                                                            <w:right w:val="none" w:sz="0" w:space="0" w:color="auto"/>
                                                          </w:divBdr>
                                                          <w:divsChild>
                                                            <w:div w:id="1342851841">
                                                              <w:marLeft w:val="0"/>
                                                              <w:marRight w:val="0"/>
                                                              <w:marTop w:val="0"/>
                                                              <w:marBottom w:val="0"/>
                                                              <w:divBdr>
                                                                <w:top w:val="none" w:sz="0" w:space="0" w:color="auto"/>
                                                                <w:left w:val="none" w:sz="0" w:space="0" w:color="auto"/>
                                                                <w:bottom w:val="none" w:sz="0" w:space="0" w:color="auto"/>
                                                                <w:right w:val="none" w:sz="0" w:space="0" w:color="auto"/>
                                                              </w:divBdr>
                                                            </w:div>
                                                          </w:divsChild>
                                                        </w:div>
                                                        <w:div w:id="323893531">
                                                          <w:marLeft w:val="0"/>
                                                          <w:marRight w:val="0"/>
                                                          <w:marTop w:val="0"/>
                                                          <w:marBottom w:val="0"/>
                                                          <w:divBdr>
                                                            <w:top w:val="none" w:sz="0" w:space="0" w:color="auto"/>
                                                            <w:left w:val="none" w:sz="0" w:space="0" w:color="auto"/>
                                                            <w:bottom w:val="none" w:sz="0" w:space="0" w:color="auto"/>
                                                            <w:right w:val="none" w:sz="0" w:space="0" w:color="auto"/>
                                                          </w:divBdr>
                                                          <w:divsChild>
                                                            <w:div w:id="91710194">
                                                              <w:marLeft w:val="0"/>
                                                              <w:marRight w:val="0"/>
                                                              <w:marTop w:val="0"/>
                                                              <w:marBottom w:val="0"/>
                                                              <w:divBdr>
                                                                <w:top w:val="none" w:sz="0" w:space="0" w:color="auto"/>
                                                                <w:left w:val="none" w:sz="0" w:space="0" w:color="auto"/>
                                                                <w:bottom w:val="none" w:sz="0" w:space="0" w:color="auto"/>
                                                                <w:right w:val="none" w:sz="0" w:space="0" w:color="auto"/>
                                                              </w:divBdr>
                                                            </w:div>
                                                          </w:divsChild>
                                                        </w:div>
                                                        <w:div w:id="354506763">
                                                          <w:marLeft w:val="0"/>
                                                          <w:marRight w:val="0"/>
                                                          <w:marTop w:val="0"/>
                                                          <w:marBottom w:val="0"/>
                                                          <w:divBdr>
                                                            <w:top w:val="none" w:sz="0" w:space="0" w:color="auto"/>
                                                            <w:left w:val="none" w:sz="0" w:space="0" w:color="auto"/>
                                                            <w:bottom w:val="none" w:sz="0" w:space="0" w:color="auto"/>
                                                            <w:right w:val="none" w:sz="0" w:space="0" w:color="auto"/>
                                                          </w:divBdr>
                                                          <w:divsChild>
                                                            <w:div w:id="1517693745">
                                                              <w:marLeft w:val="0"/>
                                                              <w:marRight w:val="0"/>
                                                              <w:marTop w:val="0"/>
                                                              <w:marBottom w:val="0"/>
                                                              <w:divBdr>
                                                                <w:top w:val="none" w:sz="0" w:space="0" w:color="auto"/>
                                                                <w:left w:val="none" w:sz="0" w:space="0" w:color="auto"/>
                                                                <w:bottom w:val="none" w:sz="0" w:space="0" w:color="auto"/>
                                                                <w:right w:val="none" w:sz="0" w:space="0" w:color="auto"/>
                                                              </w:divBdr>
                                                            </w:div>
                                                          </w:divsChild>
                                                        </w:div>
                                                        <w:div w:id="358893980">
                                                          <w:marLeft w:val="0"/>
                                                          <w:marRight w:val="0"/>
                                                          <w:marTop w:val="0"/>
                                                          <w:marBottom w:val="0"/>
                                                          <w:divBdr>
                                                            <w:top w:val="none" w:sz="0" w:space="0" w:color="auto"/>
                                                            <w:left w:val="none" w:sz="0" w:space="0" w:color="auto"/>
                                                            <w:bottom w:val="none" w:sz="0" w:space="0" w:color="auto"/>
                                                            <w:right w:val="none" w:sz="0" w:space="0" w:color="auto"/>
                                                          </w:divBdr>
                                                        </w:div>
                                                        <w:div w:id="364908480">
                                                          <w:marLeft w:val="0"/>
                                                          <w:marRight w:val="0"/>
                                                          <w:marTop w:val="0"/>
                                                          <w:marBottom w:val="0"/>
                                                          <w:divBdr>
                                                            <w:top w:val="none" w:sz="0" w:space="0" w:color="auto"/>
                                                            <w:left w:val="none" w:sz="0" w:space="0" w:color="auto"/>
                                                            <w:bottom w:val="none" w:sz="0" w:space="0" w:color="auto"/>
                                                            <w:right w:val="none" w:sz="0" w:space="0" w:color="auto"/>
                                                          </w:divBdr>
                                                          <w:divsChild>
                                                            <w:div w:id="26103671">
                                                              <w:marLeft w:val="0"/>
                                                              <w:marRight w:val="0"/>
                                                              <w:marTop w:val="0"/>
                                                              <w:marBottom w:val="0"/>
                                                              <w:divBdr>
                                                                <w:top w:val="none" w:sz="0" w:space="0" w:color="auto"/>
                                                                <w:left w:val="none" w:sz="0" w:space="0" w:color="auto"/>
                                                                <w:bottom w:val="none" w:sz="0" w:space="0" w:color="auto"/>
                                                                <w:right w:val="none" w:sz="0" w:space="0" w:color="auto"/>
                                                              </w:divBdr>
                                                            </w:div>
                                                          </w:divsChild>
                                                        </w:div>
                                                        <w:div w:id="366638301">
                                                          <w:marLeft w:val="0"/>
                                                          <w:marRight w:val="0"/>
                                                          <w:marTop w:val="0"/>
                                                          <w:marBottom w:val="0"/>
                                                          <w:divBdr>
                                                            <w:top w:val="none" w:sz="0" w:space="0" w:color="auto"/>
                                                            <w:left w:val="none" w:sz="0" w:space="0" w:color="auto"/>
                                                            <w:bottom w:val="none" w:sz="0" w:space="0" w:color="auto"/>
                                                            <w:right w:val="none" w:sz="0" w:space="0" w:color="auto"/>
                                                          </w:divBdr>
                                                          <w:divsChild>
                                                            <w:div w:id="681593995">
                                                              <w:marLeft w:val="0"/>
                                                              <w:marRight w:val="0"/>
                                                              <w:marTop w:val="0"/>
                                                              <w:marBottom w:val="0"/>
                                                              <w:divBdr>
                                                                <w:top w:val="none" w:sz="0" w:space="0" w:color="auto"/>
                                                                <w:left w:val="none" w:sz="0" w:space="0" w:color="auto"/>
                                                                <w:bottom w:val="none" w:sz="0" w:space="0" w:color="auto"/>
                                                                <w:right w:val="none" w:sz="0" w:space="0" w:color="auto"/>
                                                              </w:divBdr>
                                                            </w:div>
                                                          </w:divsChild>
                                                        </w:div>
                                                        <w:div w:id="394201738">
                                                          <w:marLeft w:val="0"/>
                                                          <w:marRight w:val="0"/>
                                                          <w:marTop w:val="0"/>
                                                          <w:marBottom w:val="0"/>
                                                          <w:divBdr>
                                                            <w:top w:val="none" w:sz="0" w:space="0" w:color="auto"/>
                                                            <w:left w:val="none" w:sz="0" w:space="0" w:color="auto"/>
                                                            <w:bottom w:val="none" w:sz="0" w:space="0" w:color="auto"/>
                                                            <w:right w:val="none" w:sz="0" w:space="0" w:color="auto"/>
                                                          </w:divBdr>
                                                          <w:divsChild>
                                                            <w:div w:id="1733498939">
                                                              <w:marLeft w:val="0"/>
                                                              <w:marRight w:val="0"/>
                                                              <w:marTop w:val="0"/>
                                                              <w:marBottom w:val="0"/>
                                                              <w:divBdr>
                                                                <w:top w:val="none" w:sz="0" w:space="0" w:color="auto"/>
                                                                <w:left w:val="none" w:sz="0" w:space="0" w:color="auto"/>
                                                                <w:bottom w:val="none" w:sz="0" w:space="0" w:color="auto"/>
                                                                <w:right w:val="none" w:sz="0" w:space="0" w:color="auto"/>
                                                              </w:divBdr>
                                                            </w:div>
                                                          </w:divsChild>
                                                        </w:div>
                                                        <w:div w:id="397049515">
                                                          <w:marLeft w:val="0"/>
                                                          <w:marRight w:val="0"/>
                                                          <w:marTop w:val="0"/>
                                                          <w:marBottom w:val="0"/>
                                                          <w:divBdr>
                                                            <w:top w:val="none" w:sz="0" w:space="0" w:color="auto"/>
                                                            <w:left w:val="none" w:sz="0" w:space="0" w:color="auto"/>
                                                            <w:bottom w:val="none" w:sz="0" w:space="0" w:color="auto"/>
                                                            <w:right w:val="none" w:sz="0" w:space="0" w:color="auto"/>
                                                          </w:divBdr>
                                                          <w:divsChild>
                                                            <w:div w:id="1358389682">
                                                              <w:marLeft w:val="0"/>
                                                              <w:marRight w:val="0"/>
                                                              <w:marTop w:val="0"/>
                                                              <w:marBottom w:val="0"/>
                                                              <w:divBdr>
                                                                <w:top w:val="none" w:sz="0" w:space="0" w:color="auto"/>
                                                                <w:left w:val="none" w:sz="0" w:space="0" w:color="auto"/>
                                                                <w:bottom w:val="none" w:sz="0" w:space="0" w:color="auto"/>
                                                                <w:right w:val="none" w:sz="0" w:space="0" w:color="auto"/>
                                                              </w:divBdr>
                                                            </w:div>
                                                          </w:divsChild>
                                                        </w:div>
                                                        <w:div w:id="403138646">
                                                          <w:marLeft w:val="0"/>
                                                          <w:marRight w:val="0"/>
                                                          <w:marTop w:val="0"/>
                                                          <w:marBottom w:val="0"/>
                                                          <w:divBdr>
                                                            <w:top w:val="none" w:sz="0" w:space="0" w:color="auto"/>
                                                            <w:left w:val="none" w:sz="0" w:space="0" w:color="auto"/>
                                                            <w:bottom w:val="none" w:sz="0" w:space="0" w:color="auto"/>
                                                            <w:right w:val="none" w:sz="0" w:space="0" w:color="auto"/>
                                                          </w:divBdr>
                                                        </w:div>
                                                        <w:div w:id="404837331">
                                                          <w:marLeft w:val="0"/>
                                                          <w:marRight w:val="0"/>
                                                          <w:marTop w:val="0"/>
                                                          <w:marBottom w:val="0"/>
                                                          <w:divBdr>
                                                            <w:top w:val="none" w:sz="0" w:space="0" w:color="auto"/>
                                                            <w:left w:val="none" w:sz="0" w:space="0" w:color="auto"/>
                                                            <w:bottom w:val="none" w:sz="0" w:space="0" w:color="auto"/>
                                                            <w:right w:val="none" w:sz="0" w:space="0" w:color="auto"/>
                                                          </w:divBdr>
                                                          <w:divsChild>
                                                            <w:div w:id="226771960">
                                                              <w:marLeft w:val="0"/>
                                                              <w:marRight w:val="0"/>
                                                              <w:marTop w:val="0"/>
                                                              <w:marBottom w:val="0"/>
                                                              <w:divBdr>
                                                                <w:top w:val="none" w:sz="0" w:space="0" w:color="auto"/>
                                                                <w:left w:val="none" w:sz="0" w:space="0" w:color="auto"/>
                                                                <w:bottom w:val="none" w:sz="0" w:space="0" w:color="auto"/>
                                                                <w:right w:val="none" w:sz="0" w:space="0" w:color="auto"/>
                                                              </w:divBdr>
                                                            </w:div>
                                                          </w:divsChild>
                                                        </w:div>
                                                        <w:div w:id="414664621">
                                                          <w:marLeft w:val="0"/>
                                                          <w:marRight w:val="0"/>
                                                          <w:marTop w:val="0"/>
                                                          <w:marBottom w:val="0"/>
                                                          <w:divBdr>
                                                            <w:top w:val="none" w:sz="0" w:space="0" w:color="auto"/>
                                                            <w:left w:val="none" w:sz="0" w:space="0" w:color="auto"/>
                                                            <w:bottom w:val="none" w:sz="0" w:space="0" w:color="auto"/>
                                                            <w:right w:val="none" w:sz="0" w:space="0" w:color="auto"/>
                                                          </w:divBdr>
                                                          <w:divsChild>
                                                            <w:div w:id="516623602">
                                                              <w:marLeft w:val="0"/>
                                                              <w:marRight w:val="0"/>
                                                              <w:marTop w:val="0"/>
                                                              <w:marBottom w:val="0"/>
                                                              <w:divBdr>
                                                                <w:top w:val="none" w:sz="0" w:space="0" w:color="auto"/>
                                                                <w:left w:val="none" w:sz="0" w:space="0" w:color="auto"/>
                                                                <w:bottom w:val="none" w:sz="0" w:space="0" w:color="auto"/>
                                                                <w:right w:val="none" w:sz="0" w:space="0" w:color="auto"/>
                                                              </w:divBdr>
                                                            </w:div>
                                                          </w:divsChild>
                                                        </w:div>
                                                        <w:div w:id="419328871">
                                                          <w:marLeft w:val="0"/>
                                                          <w:marRight w:val="0"/>
                                                          <w:marTop w:val="0"/>
                                                          <w:marBottom w:val="0"/>
                                                          <w:divBdr>
                                                            <w:top w:val="none" w:sz="0" w:space="0" w:color="auto"/>
                                                            <w:left w:val="none" w:sz="0" w:space="0" w:color="auto"/>
                                                            <w:bottom w:val="none" w:sz="0" w:space="0" w:color="auto"/>
                                                            <w:right w:val="none" w:sz="0" w:space="0" w:color="auto"/>
                                                          </w:divBdr>
                                                          <w:divsChild>
                                                            <w:div w:id="364332948">
                                                              <w:marLeft w:val="0"/>
                                                              <w:marRight w:val="0"/>
                                                              <w:marTop w:val="0"/>
                                                              <w:marBottom w:val="0"/>
                                                              <w:divBdr>
                                                                <w:top w:val="none" w:sz="0" w:space="0" w:color="auto"/>
                                                                <w:left w:val="none" w:sz="0" w:space="0" w:color="auto"/>
                                                                <w:bottom w:val="none" w:sz="0" w:space="0" w:color="auto"/>
                                                                <w:right w:val="none" w:sz="0" w:space="0" w:color="auto"/>
                                                              </w:divBdr>
                                                            </w:div>
                                                          </w:divsChild>
                                                        </w:div>
                                                        <w:div w:id="433286722">
                                                          <w:marLeft w:val="0"/>
                                                          <w:marRight w:val="0"/>
                                                          <w:marTop w:val="0"/>
                                                          <w:marBottom w:val="0"/>
                                                          <w:divBdr>
                                                            <w:top w:val="none" w:sz="0" w:space="0" w:color="auto"/>
                                                            <w:left w:val="none" w:sz="0" w:space="0" w:color="auto"/>
                                                            <w:bottom w:val="none" w:sz="0" w:space="0" w:color="auto"/>
                                                            <w:right w:val="none" w:sz="0" w:space="0" w:color="auto"/>
                                                          </w:divBdr>
                                                          <w:divsChild>
                                                            <w:div w:id="323972932">
                                                              <w:marLeft w:val="0"/>
                                                              <w:marRight w:val="0"/>
                                                              <w:marTop w:val="0"/>
                                                              <w:marBottom w:val="0"/>
                                                              <w:divBdr>
                                                                <w:top w:val="none" w:sz="0" w:space="0" w:color="auto"/>
                                                                <w:left w:val="none" w:sz="0" w:space="0" w:color="auto"/>
                                                                <w:bottom w:val="none" w:sz="0" w:space="0" w:color="auto"/>
                                                                <w:right w:val="none" w:sz="0" w:space="0" w:color="auto"/>
                                                              </w:divBdr>
                                                            </w:div>
                                                          </w:divsChild>
                                                        </w:div>
                                                        <w:div w:id="435250435">
                                                          <w:marLeft w:val="0"/>
                                                          <w:marRight w:val="0"/>
                                                          <w:marTop w:val="0"/>
                                                          <w:marBottom w:val="0"/>
                                                          <w:divBdr>
                                                            <w:top w:val="none" w:sz="0" w:space="0" w:color="auto"/>
                                                            <w:left w:val="none" w:sz="0" w:space="0" w:color="auto"/>
                                                            <w:bottom w:val="none" w:sz="0" w:space="0" w:color="auto"/>
                                                            <w:right w:val="none" w:sz="0" w:space="0" w:color="auto"/>
                                                          </w:divBdr>
                                                          <w:divsChild>
                                                            <w:div w:id="1634363593">
                                                              <w:marLeft w:val="0"/>
                                                              <w:marRight w:val="0"/>
                                                              <w:marTop w:val="0"/>
                                                              <w:marBottom w:val="0"/>
                                                              <w:divBdr>
                                                                <w:top w:val="none" w:sz="0" w:space="0" w:color="auto"/>
                                                                <w:left w:val="none" w:sz="0" w:space="0" w:color="auto"/>
                                                                <w:bottom w:val="none" w:sz="0" w:space="0" w:color="auto"/>
                                                                <w:right w:val="none" w:sz="0" w:space="0" w:color="auto"/>
                                                              </w:divBdr>
                                                            </w:div>
                                                          </w:divsChild>
                                                        </w:div>
                                                        <w:div w:id="440683927">
                                                          <w:marLeft w:val="0"/>
                                                          <w:marRight w:val="0"/>
                                                          <w:marTop w:val="0"/>
                                                          <w:marBottom w:val="0"/>
                                                          <w:divBdr>
                                                            <w:top w:val="none" w:sz="0" w:space="0" w:color="auto"/>
                                                            <w:left w:val="none" w:sz="0" w:space="0" w:color="auto"/>
                                                            <w:bottom w:val="none" w:sz="0" w:space="0" w:color="auto"/>
                                                            <w:right w:val="none" w:sz="0" w:space="0" w:color="auto"/>
                                                          </w:divBdr>
                                                          <w:divsChild>
                                                            <w:div w:id="938830506">
                                                              <w:marLeft w:val="0"/>
                                                              <w:marRight w:val="0"/>
                                                              <w:marTop w:val="0"/>
                                                              <w:marBottom w:val="0"/>
                                                              <w:divBdr>
                                                                <w:top w:val="none" w:sz="0" w:space="0" w:color="auto"/>
                                                                <w:left w:val="none" w:sz="0" w:space="0" w:color="auto"/>
                                                                <w:bottom w:val="none" w:sz="0" w:space="0" w:color="auto"/>
                                                                <w:right w:val="none" w:sz="0" w:space="0" w:color="auto"/>
                                                              </w:divBdr>
                                                            </w:div>
                                                          </w:divsChild>
                                                        </w:div>
                                                        <w:div w:id="443231860">
                                                          <w:marLeft w:val="0"/>
                                                          <w:marRight w:val="0"/>
                                                          <w:marTop w:val="0"/>
                                                          <w:marBottom w:val="0"/>
                                                          <w:divBdr>
                                                            <w:top w:val="none" w:sz="0" w:space="0" w:color="auto"/>
                                                            <w:left w:val="none" w:sz="0" w:space="0" w:color="auto"/>
                                                            <w:bottom w:val="none" w:sz="0" w:space="0" w:color="auto"/>
                                                            <w:right w:val="none" w:sz="0" w:space="0" w:color="auto"/>
                                                          </w:divBdr>
                                                        </w:div>
                                                        <w:div w:id="446389138">
                                                          <w:marLeft w:val="0"/>
                                                          <w:marRight w:val="0"/>
                                                          <w:marTop w:val="0"/>
                                                          <w:marBottom w:val="0"/>
                                                          <w:divBdr>
                                                            <w:top w:val="none" w:sz="0" w:space="0" w:color="auto"/>
                                                            <w:left w:val="none" w:sz="0" w:space="0" w:color="auto"/>
                                                            <w:bottom w:val="none" w:sz="0" w:space="0" w:color="auto"/>
                                                            <w:right w:val="none" w:sz="0" w:space="0" w:color="auto"/>
                                                          </w:divBdr>
                                                          <w:divsChild>
                                                            <w:div w:id="1190678347">
                                                              <w:marLeft w:val="0"/>
                                                              <w:marRight w:val="0"/>
                                                              <w:marTop w:val="0"/>
                                                              <w:marBottom w:val="0"/>
                                                              <w:divBdr>
                                                                <w:top w:val="none" w:sz="0" w:space="0" w:color="auto"/>
                                                                <w:left w:val="none" w:sz="0" w:space="0" w:color="auto"/>
                                                                <w:bottom w:val="none" w:sz="0" w:space="0" w:color="auto"/>
                                                                <w:right w:val="none" w:sz="0" w:space="0" w:color="auto"/>
                                                              </w:divBdr>
                                                            </w:div>
                                                          </w:divsChild>
                                                        </w:div>
                                                        <w:div w:id="455611496">
                                                          <w:marLeft w:val="0"/>
                                                          <w:marRight w:val="0"/>
                                                          <w:marTop w:val="0"/>
                                                          <w:marBottom w:val="0"/>
                                                          <w:divBdr>
                                                            <w:top w:val="none" w:sz="0" w:space="0" w:color="auto"/>
                                                            <w:left w:val="none" w:sz="0" w:space="0" w:color="auto"/>
                                                            <w:bottom w:val="none" w:sz="0" w:space="0" w:color="auto"/>
                                                            <w:right w:val="none" w:sz="0" w:space="0" w:color="auto"/>
                                                          </w:divBdr>
                                                          <w:divsChild>
                                                            <w:div w:id="1457984247">
                                                              <w:marLeft w:val="0"/>
                                                              <w:marRight w:val="0"/>
                                                              <w:marTop w:val="0"/>
                                                              <w:marBottom w:val="0"/>
                                                              <w:divBdr>
                                                                <w:top w:val="none" w:sz="0" w:space="0" w:color="auto"/>
                                                                <w:left w:val="none" w:sz="0" w:space="0" w:color="auto"/>
                                                                <w:bottom w:val="none" w:sz="0" w:space="0" w:color="auto"/>
                                                                <w:right w:val="none" w:sz="0" w:space="0" w:color="auto"/>
                                                              </w:divBdr>
                                                            </w:div>
                                                          </w:divsChild>
                                                        </w:div>
                                                        <w:div w:id="483591689">
                                                          <w:marLeft w:val="0"/>
                                                          <w:marRight w:val="0"/>
                                                          <w:marTop w:val="0"/>
                                                          <w:marBottom w:val="0"/>
                                                          <w:divBdr>
                                                            <w:top w:val="none" w:sz="0" w:space="0" w:color="auto"/>
                                                            <w:left w:val="none" w:sz="0" w:space="0" w:color="auto"/>
                                                            <w:bottom w:val="none" w:sz="0" w:space="0" w:color="auto"/>
                                                            <w:right w:val="none" w:sz="0" w:space="0" w:color="auto"/>
                                                          </w:divBdr>
                                                          <w:divsChild>
                                                            <w:div w:id="297497475">
                                                              <w:marLeft w:val="0"/>
                                                              <w:marRight w:val="0"/>
                                                              <w:marTop w:val="0"/>
                                                              <w:marBottom w:val="0"/>
                                                              <w:divBdr>
                                                                <w:top w:val="none" w:sz="0" w:space="0" w:color="auto"/>
                                                                <w:left w:val="none" w:sz="0" w:space="0" w:color="auto"/>
                                                                <w:bottom w:val="none" w:sz="0" w:space="0" w:color="auto"/>
                                                                <w:right w:val="none" w:sz="0" w:space="0" w:color="auto"/>
                                                              </w:divBdr>
                                                            </w:div>
                                                          </w:divsChild>
                                                        </w:div>
                                                        <w:div w:id="485442859">
                                                          <w:marLeft w:val="0"/>
                                                          <w:marRight w:val="0"/>
                                                          <w:marTop w:val="0"/>
                                                          <w:marBottom w:val="0"/>
                                                          <w:divBdr>
                                                            <w:top w:val="none" w:sz="0" w:space="0" w:color="auto"/>
                                                            <w:left w:val="none" w:sz="0" w:space="0" w:color="auto"/>
                                                            <w:bottom w:val="none" w:sz="0" w:space="0" w:color="auto"/>
                                                            <w:right w:val="none" w:sz="0" w:space="0" w:color="auto"/>
                                                          </w:divBdr>
                                                          <w:divsChild>
                                                            <w:div w:id="265424681">
                                                              <w:marLeft w:val="0"/>
                                                              <w:marRight w:val="0"/>
                                                              <w:marTop w:val="0"/>
                                                              <w:marBottom w:val="0"/>
                                                              <w:divBdr>
                                                                <w:top w:val="none" w:sz="0" w:space="0" w:color="auto"/>
                                                                <w:left w:val="none" w:sz="0" w:space="0" w:color="auto"/>
                                                                <w:bottom w:val="none" w:sz="0" w:space="0" w:color="auto"/>
                                                                <w:right w:val="none" w:sz="0" w:space="0" w:color="auto"/>
                                                              </w:divBdr>
                                                            </w:div>
                                                          </w:divsChild>
                                                        </w:div>
                                                        <w:div w:id="497044568">
                                                          <w:marLeft w:val="0"/>
                                                          <w:marRight w:val="0"/>
                                                          <w:marTop w:val="0"/>
                                                          <w:marBottom w:val="0"/>
                                                          <w:divBdr>
                                                            <w:top w:val="none" w:sz="0" w:space="0" w:color="auto"/>
                                                            <w:left w:val="none" w:sz="0" w:space="0" w:color="auto"/>
                                                            <w:bottom w:val="none" w:sz="0" w:space="0" w:color="auto"/>
                                                            <w:right w:val="none" w:sz="0" w:space="0" w:color="auto"/>
                                                          </w:divBdr>
                                                          <w:divsChild>
                                                            <w:div w:id="391084561">
                                                              <w:marLeft w:val="0"/>
                                                              <w:marRight w:val="0"/>
                                                              <w:marTop w:val="0"/>
                                                              <w:marBottom w:val="0"/>
                                                              <w:divBdr>
                                                                <w:top w:val="none" w:sz="0" w:space="0" w:color="auto"/>
                                                                <w:left w:val="none" w:sz="0" w:space="0" w:color="auto"/>
                                                                <w:bottom w:val="none" w:sz="0" w:space="0" w:color="auto"/>
                                                                <w:right w:val="none" w:sz="0" w:space="0" w:color="auto"/>
                                                              </w:divBdr>
                                                            </w:div>
                                                          </w:divsChild>
                                                        </w:div>
                                                        <w:div w:id="507137632">
                                                          <w:marLeft w:val="0"/>
                                                          <w:marRight w:val="0"/>
                                                          <w:marTop w:val="0"/>
                                                          <w:marBottom w:val="0"/>
                                                          <w:divBdr>
                                                            <w:top w:val="none" w:sz="0" w:space="0" w:color="auto"/>
                                                            <w:left w:val="none" w:sz="0" w:space="0" w:color="auto"/>
                                                            <w:bottom w:val="none" w:sz="0" w:space="0" w:color="auto"/>
                                                            <w:right w:val="none" w:sz="0" w:space="0" w:color="auto"/>
                                                          </w:divBdr>
                                                          <w:divsChild>
                                                            <w:div w:id="1904022413">
                                                              <w:marLeft w:val="0"/>
                                                              <w:marRight w:val="0"/>
                                                              <w:marTop w:val="0"/>
                                                              <w:marBottom w:val="0"/>
                                                              <w:divBdr>
                                                                <w:top w:val="none" w:sz="0" w:space="0" w:color="auto"/>
                                                                <w:left w:val="none" w:sz="0" w:space="0" w:color="auto"/>
                                                                <w:bottom w:val="none" w:sz="0" w:space="0" w:color="auto"/>
                                                                <w:right w:val="none" w:sz="0" w:space="0" w:color="auto"/>
                                                              </w:divBdr>
                                                            </w:div>
                                                          </w:divsChild>
                                                        </w:div>
                                                        <w:div w:id="513494983">
                                                          <w:marLeft w:val="0"/>
                                                          <w:marRight w:val="0"/>
                                                          <w:marTop w:val="0"/>
                                                          <w:marBottom w:val="0"/>
                                                          <w:divBdr>
                                                            <w:top w:val="none" w:sz="0" w:space="0" w:color="auto"/>
                                                            <w:left w:val="none" w:sz="0" w:space="0" w:color="auto"/>
                                                            <w:bottom w:val="none" w:sz="0" w:space="0" w:color="auto"/>
                                                            <w:right w:val="none" w:sz="0" w:space="0" w:color="auto"/>
                                                          </w:divBdr>
                                                          <w:divsChild>
                                                            <w:div w:id="130709209">
                                                              <w:marLeft w:val="0"/>
                                                              <w:marRight w:val="0"/>
                                                              <w:marTop w:val="0"/>
                                                              <w:marBottom w:val="0"/>
                                                              <w:divBdr>
                                                                <w:top w:val="none" w:sz="0" w:space="0" w:color="auto"/>
                                                                <w:left w:val="none" w:sz="0" w:space="0" w:color="auto"/>
                                                                <w:bottom w:val="none" w:sz="0" w:space="0" w:color="auto"/>
                                                                <w:right w:val="none" w:sz="0" w:space="0" w:color="auto"/>
                                                              </w:divBdr>
                                                            </w:div>
                                                          </w:divsChild>
                                                        </w:div>
                                                        <w:div w:id="516120257">
                                                          <w:marLeft w:val="0"/>
                                                          <w:marRight w:val="0"/>
                                                          <w:marTop w:val="0"/>
                                                          <w:marBottom w:val="0"/>
                                                          <w:divBdr>
                                                            <w:top w:val="none" w:sz="0" w:space="0" w:color="auto"/>
                                                            <w:left w:val="none" w:sz="0" w:space="0" w:color="auto"/>
                                                            <w:bottom w:val="none" w:sz="0" w:space="0" w:color="auto"/>
                                                            <w:right w:val="none" w:sz="0" w:space="0" w:color="auto"/>
                                                          </w:divBdr>
                                                          <w:divsChild>
                                                            <w:div w:id="58553830">
                                                              <w:marLeft w:val="0"/>
                                                              <w:marRight w:val="0"/>
                                                              <w:marTop w:val="0"/>
                                                              <w:marBottom w:val="0"/>
                                                              <w:divBdr>
                                                                <w:top w:val="none" w:sz="0" w:space="0" w:color="auto"/>
                                                                <w:left w:val="none" w:sz="0" w:space="0" w:color="auto"/>
                                                                <w:bottom w:val="none" w:sz="0" w:space="0" w:color="auto"/>
                                                                <w:right w:val="none" w:sz="0" w:space="0" w:color="auto"/>
                                                              </w:divBdr>
                                                            </w:div>
                                                          </w:divsChild>
                                                        </w:div>
                                                        <w:div w:id="517473796">
                                                          <w:marLeft w:val="0"/>
                                                          <w:marRight w:val="0"/>
                                                          <w:marTop w:val="0"/>
                                                          <w:marBottom w:val="0"/>
                                                          <w:divBdr>
                                                            <w:top w:val="none" w:sz="0" w:space="0" w:color="auto"/>
                                                            <w:left w:val="none" w:sz="0" w:space="0" w:color="auto"/>
                                                            <w:bottom w:val="none" w:sz="0" w:space="0" w:color="auto"/>
                                                            <w:right w:val="none" w:sz="0" w:space="0" w:color="auto"/>
                                                          </w:divBdr>
                                                          <w:divsChild>
                                                            <w:div w:id="776949099">
                                                              <w:marLeft w:val="0"/>
                                                              <w:marRight w:val="0"/>
                                                              <w:marTop w:val="0"/>
                                                              <w:marBottom w:val="0"/>
                                                              <w:divBdr>
                                                                <w:top w:val="none" w:sz="0" w:space="0" w:color="auto"/>
                                                                <w:left w:val="none" w:sz="0" w:space="0" w:color="auto"/>
                                                                <w:bottom w:val="none" w:sz="0" w:space="0" w:color="auto"/>
                                                                <w:right w:val="none" w:sz="0" w:space="0" w:color="auto"/>
                                                              </w:divBdr>
                                                            </w:div>
                                                          </w:divsChild>
                                                        </w:div>
                                                        <w:div w:id="521289659">
                                                          <w:marLeft w:val="0"/>
                                                          <w:marRight w:val="0"/>
                                                          <w:marTop w:val="0"/>
                                                          <w:marBottom w:val="0"/>
                                                          <w:divBdr>
                                                            <w:top w:val="none" w:sz="0" w:space="0" w:color="auto"/>
                                                            <w:left w:val="none" w:sz="0" w:space="0" w:color="auto"/>
                                                            <w:bottom w:val="none" w:sz="0" w:space="0" w:color="auto"/>
                                                            <w:right w:val="none" w:sz="0" w:space="0" w:color="auto"/>
                                                          </w:divBdr>
                                                          <w:divsChild>
                                                            <w:div w:id="900140701">
                                                              <w:marLeft w:val="0"/>
                                                              <w:marRight w:val="0"/>
                                                              <w:marTop w:val="0"/>
                                                              <w:marBottom w:val="0"/>
                                                              <w:divBdr>
                                                                <w:top w:val="none" w:sz="0" w:space="0" w:color="auto"/>
                                                                <w:left w:val="none" w:sz="0" w:space="0" w:color="auto"/>
                                                                <w:bottom w:val="none" w:sz="0" w:space="0" w:color="auto"/>
                                                                <w:right w:val="none" w:sz="0" w:space="0" w:color="auto"/>
                                                              </w:divBdr>
                                                            </w:div>
                                                          </w:divsChild>
                                                        </w:div>
                                                        <w:div w:id="535823575">
                                                          <w:marLeft w:val="0"/>
                                                          <w:marRight w:val="0"/>
                                                          <w:marTop w:val="0"/>
                                                          <w:marBottom w:val="0"/>
                                                          <w:divBdr>
                                                            <w:top w:val="none" w:sz="0" w:space="0" w:color="auto"/>
                                                            <w:left w:val="none" w:sz="0" w:space="0" w:color="auto"/>
                                                            <w:bottom w:val="none" w:sz="0" w:space="0" w:color="auto"/>
                                                            <w:right w:val="none" w:sz="0" w:space="0" w:color="auto"/>
                                                          </w:divBdr>
                                                        </w:div>
                                                        <w:div w:id="537351682">
                                                          <w:marLeft w:val="0"/>
                                                          <w:marRight w:val="0"/>
                                                          <w:marTop w:val="0"/>
                                                          <w:marBottom w:val="0"/>
                                                          <w:divBdr>
                                                            <w:top w:val="none" w:sz="0" w:space="0" w:color="auto"/>
                                                            <w:left w:val="none" w:sz="0" w:space="0" w:color="auto"/>
                                                            <w:bottom w:val="none" w:sz="0" w:space="0" w:color="auto"/>
                                                            <w:right w:val="none" w:sz="0" w:space="0" w:color="auto"/>
                                                          </w:divBdr>
                                                          <w:divsChild>
                                                            <w:div w:id="1333412532">
                                                              <w:marLeft w:val="0"/>
                                                              <w:marRight w:val="0"/>
                                                              <w:marTop w:val="0"/>
                                                              <w:marBottom w:val="0"/>
                                                              <w:divBdr>
                                                                <w:top w:val="none" w:sz="0" w:space="0" w:color="auto"/>
                                                                <w:left w:val="none" w:sz="0" w:space="0" w:color="auto"/>
                                                                <w:bottom w:val="none" w:sz="0" w:space="0" w:color="auto"/>
                                                                <w:right w:val="none" w:sz="0" w:space="0" w:color="auto"/>
                                                              </w:divBdr>
                                                            </w:div>
                                                          </w:divsChild>
                                                        </w:div>
                                                        <w:div w:id="545992044">
                                                          <w:marLeft w:val="0"/>
                                                          <w:marRight w:val="0"/>
                                                          <w:marTop w:val="0"/>
                                                          <w:marBottom w:val="0"/>
                                                          <w:divBdr>
                                                            <w:top w:val="none" w:sz="0" w:space="0" w:color="auto"/>
                                                            <w:left w:val="none" w:sz="0" w:space="0" w:color="auto"/>
                                                            <w:bottom w:val="none" w:sz="0" w:space="0" w:color="auto"/>
                                                            <w:right w:val="none" w:sz="0" w:space="0" w:color="auto"/>
                                                          </w:divBdr>
                                                        </w:div>
                                                        <w:div w:id="551815396">
                                                          <w:marLeft w:val="0"/>
                                                          <w:marRight w:val="0"/>
                                                          <w:marTop w:val="0"/>
                                                          <w:marBottom w:val="0"/>
                                                          <w:divBdr>
                                                            <w:top w:val="none" w:sz="0" w:space="0" w:color="auto"/>
                                                            <w:left w:val="none" w:sz="0" w:space="0" w:color="auto"/>
                                                            <w:bottom w:val="none" w:sz="0" w:space="0" w:color="auto"/>
                                                            <w:right w:val="none" w:sz="0" w:space="0" w:color="auto"/>
                                                          </w:divBdr>
                                                          <w:divsChild>
                                                            <w:div w:id="729159976">
                                                              <w:marLeft w:val="0"/>
                                                              <w:marRight w:val="0"/>
                                                              <w:marTop w:val="0"/>
                                                              <w:marBottom w:val="0"/>
                                                              <w:divBdr>
                                                                <w:top w:val="none" w:sz="0" w:space="0" w:color="auto"/>
                                                                <w:left w:val="none" w:sz="0" w:space="0" w:color="auto"/>
                                                                <w:bottom w:val="none" w:sz="0" w:space="0" w:color="auto"/>
                                                                <w:right w:val="none" w:sz="0" w:space="0" w:color="auto"/>
                                                              </w:divBdr>
                                                            </w:div>
                                                          </w:divsChild>
                                                        </w:div>
                                                        <w:div w:id="552666950">
                                                          <w:marLeft w:val="0"/>
                                                          <w:marRight w:val="0"/>
                                                          <w:marTop w:val="0"/>
                                                          <w:marBottom w:val="0"/>
                                                          <w:divBdr>
                                                            <w:top w:val="none" w:sz="0" w:space="0" w:color="auto"/>
                                                            <w:left w:val="none" w:sz="0" w:space="0" w:color="auto"/>
                                                            <w:bottom w:val="none" w:sz="0" w:space="0" w:color="auto"/>
                                                            <w:right w:val="none" w:sz="0" w:space="0" w:color="auto"/>
                                                          </w:divBdr>
                                                          <w:divsChild>
                                                            <w:div w:id="785928078">
                                                              <w:marLeft w:val="0"/>
                                                              <w:marRight w:val="0"/>
                                                              <w:marTop w:val="0"/>
                                                              <w:marBottom w:val="0"/>
                                                              <w:divBdr>
                                                                <w:top w:val="none" w:sz="0" w:space="0" w:color="auto"/>
                                                                <w:left w:val="none" w:sz="0" w:space="0" w:color="auto"/>
                                                                <w:bottom w:val="none" w:sz="0" w:space="0" w:color="auto"/>
                                                                <w:right w:val="none" w:sz="0" w:space="0" w:color="auto"/>
                                                              </w:divBdr>
                                                            </w:div>
                                                          </w:divsChild>
                                                        </w:div>
                                                        <w:div w:id="553583298">
                                                          <w:marLeft w:val="0"/>
                                                          <w:marRight w:val="0"/>
                                                          <w:marTop w:val="0"/>
                                                          <w:marBottom w:val="0"/>
                                                          <w:divBdr>
                                                            <w:top w:val="none" w:sz="0" w:space="0" w:color="auto"/>
                                                            <w:left w:val="none" w:sz="0" w:space="0" w:color="auto"/>
                                                            <w:bottom w:val="none" w:sz="0" w:space="0" w:color="auto"/>
                                                            <w:right w:val="none" w:sz="0" w:space="0" w:color="auto"/>
                                                          </w:divBdr>
                                                          <w:divsChild>
                                                            <w:div w:id="1072652836">
                                                              <w:marLeft w:val="0"/>
                                                              <w:marRight w:val="0"/>
                                                              <w:marTop w:val="0"/>
                                                              <w:marBottom w:val="0"/>
                                                              <w:divBdr>
                                                                <w:top w:val="none" w:sz="0" w:space="0" w:color="auto"/>
                                                                <w:left w:val="none" w:sz="0" w:space="0" w:color="auto"/>
                                                                <w:bottom w:val="none" w:sz="0" w:space="0" w:color="auto"/>
                                                                <w:right w:val="none" w:sz="0" w:space="0" w:color="auto"/>
                                                              </w:divBdr>
                                                            </w:div>
                                                          </w:divsChild>
                                                        </w:div>
                                                        <w:div w:id="568662175">
                                                          <w:marLeft w:val="0"/>
                                                          <w:marRight w:val="0"/>
                                                          <w:marTop w:val="0"/>
                                                          <w:marBottom w:val="0"/>
                                                          <w:divBdr>
                                                            <w:top w:val="none" w:sz="0" w:space="0" w:color="auto"/>
                                                            <w:left w:val="none" w:sz="0" w:space="0" w:color="auto"/>
                                                            <w:bottom w:val="none" w:sz="0" w:space="0" w:color="auto"/>
                                                            <w:right w:val="none" w:sz="0" w:space="0" w:color="auto"/>
                                                          </w:divBdr>
                                                          <w:divsChild>
                                                            <w:div w:id="581833590">
                                                              <w:marLeft w:val="0"/>
                                                              <w:marRight w:val="0"/>
                                                              <w:marTop w:val="0"/>
                                                              <w:marBottom w:val="0"/>
                                                              <w:divBdr>
                                                                <w:top w:val="none" w:sz="0" w:space="0" w:color="auto"/>
                                                                <w:left w:val="none" w:sz="0" w:space="0" w:color="auto"/>
                                                                <w:bottom w:val="none" w:sz="0" w:space="0" w:color="auto"/>
                                                                <w:right w:val="none" w:sz="0" w:space="0" w:color="auto"/>
                                                              </w:divBdr>
                                                            </w:div>
                                                          </w:divsChild>
                                                        </w:div>
                                                        <w:div w:id="571155941">
                                                          <w:marLeft w:val="0"/>
                                                          <w:marRight w:val="0"/>
                                                          <w:marTop w:val="0"/>
                                                          <w:marBottom w:val="0"/>
                                                          <w:divBdr>
                                                            <w:top w:val="none" w:sz="0" w:space="0" w:color="auto"/>
                                                            <w:left w:val="none" w:sz="0" w:space="0" w:color="auto"/>
                                                            <w:bottom w:val="none" w:sz="0" w:space="0" w:color="auto"/>
                                                            <w:right w:val="none" w:sz="0" w:space="0" w:color="auto"/>
                                                          </w:divBdr>
                                                          <w:divsChild>
                                                            <w:div w:id="1754542194">
                                                              <w:marLeft w:val="0"/>
                                                              <w:marRight w:val="0"/>
                                                              <w:marTop w:val="0"/>
                                                              <w:marBottom w:val="0"/>
                                                              <w:divBdr>
                                                                <w:top w:val="none" w:sz="0" w:space="0" w:color="auto"/>
                                                                <w:left w:val="none" w:sz="0" w:space="0" w:color="auto"/>
                                                                <w:bottom w:val="none" w:sz="0" w:space="0" w:color="auto"/>
                                                                <w:right w:val="none" w:sz="0" w:space="0" w:color="auto"/>
                                                              </w:divBdr>
                                                            </w:div>
                                                          </w:divsChild>
                                                        </w:div>
                                                        <w:div w:id="571745123">
                                                          <w:marLeft w:val="0"/>
                                                          <w:marRight w:val="0"/>
                                                          <w:marTop w:val="0"/>
                                                          <w:marBottom w:val="0"/>
                                                          <w:divBdr>
                                                            <w:top w:val="none" w:sz="0" w:space="0" w:color="auto"/>
                                                            <w:left w:val="none" w:sz="0" w:space="0" w:color="auto"/>
                                                            <w:bottom w:val="none" w:sz="0" w:space="0" w:color="auto"/>
                                                            <w:right w:val="none" w:sz="0" w:space="0" w:color="auto"/>
                                                          </w:divBdr>
                                                          <w:divsChild>
                                                            <w:div w:id="360320552">
                                                              <w:marLeft w:val="0"/>
                                                              <w:marRight w:val="0"/>
                                                              <w:marTop w:val="0"/>
                                                              <w:marBottom w:val="0"/>
                                                              <w:divBdr>
                                                                <w:top w:val="none" w:sz="0" w:space="0" w:color="auto"/>
                                                                <w:left w:val="none" w:sz="0" w:space="0" w:color="auto"/>
                                                                <w:bottom w:val="none" w:sz="0" w:space="0" w:color="auto"/>
                                                                <w:right w:val="none" w:sz="0" w:space="0" w:color="auto"/>
                                                              </w:divBdr>
                                                            </w:div>
                                                          </w:divsChild>
                                                        </w:div>
                                                        <w:div w:id="589317646">
                                                          <w:marLeft w:val="0"/>
                                                          <w:marRight w:val="0"/>
                                                          <w:marTop w:val="0"/>
                                                          <w:marBottom w:val="0"/>
                                                          <w:divBdr>
                                                            <w:top w:val="none" w:sz="0" w:space="0" w:color="auto"/>
                                                            <w:left w:val="none" w:sz="0" w:space="0" w:color="auto"/>
                                                            <w:bottom w:val="none" w:sz="0" w:space="0" w:color="auto"/>
                                                            <w:right w:val="none" w:sz="0" w:space="0" w:color="auto"/>
                                                          </w:divBdr>
                                                          <w:divsChild>
                                                            <w:div w:id="1987851919">
                                                              <w:marLeft w:val="0"/>
                                                              <w:marRight w:val="0"/>
                                                              <w:marTop w:val="0"/>
                                                              <w:marBottom w:val="0"/>
                                                              <w:divBdr>
                                                                <w:top w:val="none" w:sz="0" w:space="0" w:color="auto"/>
                                                                <w:left w:val="none" w:sz="0" w:space="0" w:color="auto"/>
                                                                <w:bottom w:val="none" w:sz="0" w:space="0" w:color="auto"/>
                                                                <w:right w:val="none" w:sz="0" w:space="0" w:color="auto"/>
                                                              </w:divBdr>
                                                            </w:div>
                                                          </w:divsChild>
                                                        </w:div>
                                                        <w:div w:id="605036513">
                                                          <w:marLeft w:val="0"/>
                                                          <w:marRight w:val="0"/>
                                                          <w:marTop w:val="0"/>
                                                          <w:marBottom w:val="0"/>
                                                          <w:divBdr>
                                                            <w:top w:val="none" w:sz="0" w:space="0" w:color="auto"/>
                                                            <w:left w:val="none" w:sz="0" w:space="0" w:color="auto"/>
                                                            <w:bottom w:val="none" w:sz="0" w:space="0" w:color="auto"/>
                                                            <w:right w:val="none" w:sz="0" w:space="0" w:color="auto"/>
                                                          </w:divBdr>
                                                          <w:divsChild>
                                                            <w:div w:id="155997377">
                                                              <w:marLeft w:val="0"/>
                                                              <w:marRight w:val="0"/>
                                                              <w:marTop w:val="0"/>
                                                              <w:marBottom w:val="0"/>
                                                              <w:divBdr>
                                                                <w:top w:val="none" w:sz="0" w:space="0" w:color="auto"/>
                                                                <w:left w:val="none" w:sz="0" w:space="0" w:color="auto"/>
                                                                <w:bottom w:val="none" w:sz="0" w:space="0" w:color="auto"/>
                                                                <w:right w:val="none" w:sz="0" w:space="0" w:color="auto"/>
                                                              </w:divBdr>
                                                            </w:div>
                                                          </w:divsChild>
                                                        </w:div>
                                                        <w:div w:id="606814782">
                                                          <w:marLeft w:val="0"/>
                                                          <w:marRight w:val="0"/>
                                                          <w:marTop w:val="0"/>
                                                          <w:marBottom w:val="0"/>
                                                          <w:divBdr>
                                                            <w:top w:val="none" w:sz="0" w:space="0" w:color="auto"/>
                                                            <w:left w:val="none" w:sz="0" w:space="0" w:color="auto"/>
                                                            <w:bottom w:val="none" w:sz="0" w:space="0" w:color="auto"/>
                                                            <w:right w:val="none" w:sz="0" w:space="0" w:color="auto"/>
                                                          </w:divBdr>
                                                          <w:divsChild>
                                                            <w:div w:id="688723253">
                                                              <w:marLeft w:val="0"/>
                                                              <w:marRight w:val="0"/>
                                                              <w:marTop w:val="0"/>
                                                              <w:marBottom w:val="0"/>
                                                              <w:divBdr>
                                                                <w:top w:val="none" w:sz="0" w:space="0" w:color="auto"/>
                                                                <w:left w:val="none" w:sz="0" w:space="0" w:color="auto"/>
                                                                <w:bottom w:val="none" w:sz="0" w:space="0" w:color="auto"/>
                                                                <w:right w:val="none" w:sz="0" w:space="0" w:color="auto"/>
                                                              </w:divBdr>
                                                            </w:div>
                                                          </w:divsChild>
                                                        </w:div>
                                                        <w:div w:id="620498450">
                                                          <w:marLeft w:val="0"/>
                                                          <w:marRight w:val="0"/>
                                                          <w:marTop w:val="0"/>
                                                          <w:marBottom w:val="0"/>
                                                          <w:divBdr>
                                                            <w:top w:val="none" w:sz="0" w:space="0" w:color="auto"/>
                                                            <w:left w:val="none" w:sz="0" w:space="0" w:color="auto"/>
                                                            <w:bottom w:val="none" w:sz="0" w:space="0" w:color="auto"/>
                                                            <w:right w:val="none" w:sz="0" w:space="0" w:color="auto"/>
                                                          </w:divBdr>
                                                          <w:divsChild>
                                                            <w:div w:id="117143344">
                                                              <w:marLeft w:val="0"/>
                                                              <w:marRight w:val="0"/>
                                                              <w:marTop w:val="0"/>
                                                              <w:marBottom w:val="0"/>
                                                              <w:divBdr>
                                                                <w:top w:val="none" w:sz="0" w:space="0" w:color="auto"/>
                                                                <w:left w:val="none" w:sz="0" w:space="0" w:color="auto"/>
                                                                <w:bottom w:val="none" w:sz="0" w:space="0" w:color="auto"/>
                                                                <w:right w:val="none" w:sz="0" w:space="0" w:color="auto"/>
                                                              </w:divBdr>
                                                            </w:div>
                                                          </w:divsChild>
                                                        </w:div>
                                                        <w:div w:id="644243085">
                                                          <w:marLeft w:val="0"/>
                                                          <w:marRight w:val="0"/>
                                                          <w:marTop w:val="0"/>
                                                          <w:marBottom w:val="0"/>
                                                          <w:divBdr>
                                                            <w:top w:val="none" w:sz="0" w:space="0" w:color="auto"/>
                                                            <w:left w:val="none" w:sz="0" w:space="0" w:color="auto"/>
                                                            <w:bottom w:val="none" w:sz="0" w:space="0" w:color="auto"/>
                                                            <w:right w:val="none" w:sz="0" w:space="0" w:color="auto"/>
                                                          </w:divBdr>
                                                        </w:div>
                                                        <w:div w:id="644508822">
                                                          <w:marLeft w:val="0"/>
                                                          <w:marRight w:val="0"/>
                                                          <w:marTop w:val="0"/>
                                                          <w:marBottom w:val="0"/>
                                                          <w:divBdr>
                                                            <w:top w:val="none" w:sz="0" w:space="0" w:color="auto"/>
                                                            <w:left w:val="none" w:sz="0" w:space="0" w:color="auto"/>
                                                            <w:bottom w:val="none" w:sz="0" w:space="0" w:color="auto"/>
                                                            <w:right w:val="none" w:sz="0" w:space="0" w:color="auto"/>
                                                          </w:divBdr>
                                                          <w:divsChild>
                                                            <w:div w:id="2118745898">
                                                              <w:marLeft w:val="0"/>
                                                              <w:marRight w:val="0"/>
                                                              <w:marTop w:val="0"/>
                                                              <w:marBottom w:val="0"/>
                                                              <w:divBdr>
                                                                <w:top w:val="none" w:sz="0" w:space="0" w:color="auto"/>
                                                                <w:left w:val="none" w:sz="0" w:space="0" w:color="auto"/>
                                                                <w:bottom w:val="none" w:sz="0" w:space="0" w:color="auto"/>
                                                                <w:right w:val="none" w:sz="0" w:space="0" w:color="auto"/>
                                                              </w:divBdr>
                                                            </w:div>
                                                          </w:divsChild>
                                                        </w:div>
                                                        <w:div w:id="647903495">
                                                          <w:marLeft w:val="0"/>
                                                          <w:marRight w:val="0"/>
                                                          <w:marTop w:val="0"/>
                                                          <w:marBottom w:val="0"/>
                                                          <w:divBdr>
                                                            <w:top w:val="none" w:sz="0" w:space="0" w:color="auto"/>
                                                            <w:left w:val="none" w:sz="0" w:space="0" w:color="auto"/>
                                                            <w:bottom w:val="none" w:sz="0" w:space="0" w:color="auto"/>
                                                            <w:right w:val="none" w:sz="0" w:space="0" w:color="auto"/>
                                                          </w:divBdr>
                                                          <w:divsChild>
                                                            <w:div w:id="1583752936">
                                                              <w:marLeft w:val="0"/>
                                                              <w:marRight w:val="0"/>
                                                              <w:marTop w:val="0"/>
                                                              <w:marBottom w:val="0"/>
                                                              <w:divBdr>
                                                                <w:top w:val="none" w:sz="0" w:space="0" w:color="auto"/>
                                                                <w:left w:val="none" w:sz="0" w:space="0" w:color="auto"/>
                                                                <w:bottom w:val="none" w:sz="0" w:space="0" w:color="auto"/>
                                                                <w:right w:val="none" w:sz="0" w:space="0" w:color="auto"/>
                                                              </w:divBdr>
                                                            </w:div>
                                                          </w:divsChild>
                                                        </w:div>
                                                        <w:div w:id="650912338">
                                                          <w:marLeft w:val="0"/>
                                                          <w:marRight w:val="0"/>
                                                          <w:marTop w:val="0"/>
                                                          <w:marBottom w:val="0"/>
                                                          <w:divBdr>
                                                            <w:top w:val="none" w:sz="0" w:space="0" w:color="auto"/>
                                                            <w:left w:val="none" w:sz="0" w:space="0" w:color="auto"/>
                                                            <w:bottom w:val="none" w:sz="0" w:space="0" w:color="auto"/>
                                                            <w:right w:val="none" w:sz="0" w:space="0" w:color="auto"/>
                                                          </w:divBdr>
                                                          <w:divsChild>
                                                            <w:div w:id="757406793">
                                                              <w:marLeft w:val="0"/>
                                                              <w:marRight w:val="0"/>
                                                              <w:marTop w:val="0"/>
                                                              <w:marBottom w:val="0"/>
                                                              <w:divBdr>
                                                                <w:top w:val="none" w:sz="0" w:space="0" w:color="auto"/>
                                                                <w:left w:val="none" w:sz="0" w:space="0" w:color="auto"/>
                                                                <w:bottom w:val="none" w:sz="0" w:space="0" w:color="auto"/>
                                                                <w:right w:val="none" w:sz="0" w:space="0" w:color="auto"/>
                                                              </w:divBdr>
                                                            </w:div>
                                                          </w:divsChild>
                                                        </w:div>
                                                        <w:div w:id="660044398">
                                                          <w:marLeft w:val="0"/>
                                                          <w:marRight w:val="0"/>
                                                          <w:marTop w:val="0"/>
                                                          <w:marBottom w:val="0"/>
                                                          <w:divBdr>
                                                            <w:top w:val="none" w:sz="0" w:space="0" w:color="auto"/>
                                                            <w:left w:val="none" w:sz="0" w:space="0" w:color="auto"/>
                                                            <w:bottom w:val="none" w:sz="0" w:space="0" w:color="auto"/>
                                                            <w:right w:val="none" w:sz="0" w:space="0" w:color="auto"/>
                                                          </w:divBdr>
                                                          <w:divsChild>
                                                            <w:div w:id="1537039884">
                                                              <w:marLeft w:val="0"/>
                                                              <w:marRight w:val="0"/>
                                                              <w:marTop w:val="0"/>
                                                              <w:marBottom w:val="0"/>
                                                              <w:divBdr>
                                                                <w:top w:val="none" w:sz="0" w:space="0" w:color="auto"/>
                                                                <w:left w:val="none" w:sz="0" w:space="0" w:color="auto"/>
                                                                <w:bottom w:val="none" w:sz="0" w:space="0" w:color="auto"/>
                                                                <w:right w:val="none" w:sz="0" w:space="0" w:color="auto"/>
                                                              </w:divBdr>
                                                            </w:div>
                                                          </w:divsChild>
                                                        </w:div>
                                                        <w:div w:id="666443275">
                                                          <w:marLeft w:val="0"/>
                                                          <w:marRight w:val="0"/>
                                                          <w:marTop w:val="0"/>
                                                          <w:marBottom w:val="0"/>
                                                          <w:divBdr>
                                                            <w:top w:val="none" w:sz="0" w:space="0" w:color="auto"/>
                                                            <w:left w:val="none" w:sz="0" w:space="0" w:color="auto"/>
                                                            <w:bottom w:val="none" w:sz="0" w:space="0" w:color="auto"/>
                                                            <w:right w:val="none" w:sz="0" w:space="0" w:color="auto"/>
                                                          </w:divBdr>
                                                          <w:divsChild>
                                                            <w:div w:id="794563339">
                                                              <w:marLeft w:val="0"/>
                                                              <w:marRight w:val="0"/>
                                                              <w:marTop w:val="0"/>
                                                              <w:marBottom w:val="0"/>
                                                              <w:divBdr>
                                                                <w:top w:val="none" w:sz="0" w:space="0" w:color="auto"/>
                                                                <w:left w:val="none" w:sz="0" w:space="0" w:color="auto"/>
                                                                <w:bottom w:val="none" w:sz="0" w:space="0" w:color="auto"/>
                                                                <w:right w:val="none" w:sz="0" w:space="0" w:color="auto"/>
                                                              </w:divBdr>
                                                            </w:div>
                                                          </w:divsChild>
                                                        </w:div>
                                                        <w:div w:id="666635468">
                                                          <w:marLeft w:val="0"/>
                                                          <w:marRight w:val="0"/>
                                                          <w:marTop w:val="0"/>
                                                          <w:marBottom w:val="0"/>
                                                          <w:divBdr>
                                                            <w:top w:val="none" w:sz="0" w:space="0" w:color="auto"/>
                                                            <w:left w:val="none" w:sz="0" w:space="0" w:color="auto"/>
                                                            <w:bottom w:val="none" w:sz="0" w:space="0" w:color="auto"/>
                                                            <w:right w:val="none" w:sz="0" w:space="0" w:color="auto"/>
                                                          </w:divBdr>
                                                          <w:divsChild>
                                                            <w:div w:id="1482113373">
                                                              <w:marLeft w:val="0"/>
                                                              <w:marRight w:val="0"/>
                                                              <w:marTop w:val="0"/>
                                                              <w:marBottom w:val="0"/>
                                                              <w:divBdr>
                                                                <w:top w:val="none" w:sz="0" w:space="0" w:color="auto"/>
                                                                <w:left w:val="none" w:sz="0" w:space="0" w:color="auto"/>
                                                                <w:bottom w:val="none" w:sz="0" w:space="0" w:color="auto"/>
                                                                <w:right w:val="none" w:sz="0" w:space="0" w:color="auto"/>
                                                              </w:divBdr>
                                                            </w:div>
                                                          </w:divsChild>
                                                        </w:div>
                                                        <w:div w:id="669142470">
                                                          <w:marLeft w:val="0"/>
                                                          <w:marRight w:val="0"/>
                                                          <w:marTop w:val="0"/>
                                                          <w:marBottom w:val="0"/>
                                                          <w:divBdr>
                                                            <w:top w:val="none" w:sz="0" w:space="0" w:color="auto"/>
                                                            <w:left w:val="none" w:sz="0" w:space="0" w:color="auto"/>
                                                            <w:bottom w:val="none" w:sz="0" w:space="0" w:color="auto"/>
                                                            <w:right w:val="none" w:sz="0" w:space="0" w:color="auto"/>
                                                          </w:divBdr>
                                                          <w:divsChild>
                                                            <w:div w:id="1571231453">
                                                              <w:marLeft w:val="0"/>
                                                              <w:marRight w:val="0"/>
                                                              <w:marTop w:val="0"/>
                                                              <w:marBottom w:val="0"/>
                                                              <w:divBdr>
                                                                <w:top w:val="none" w:sz="0" w:space="0" w:color="auto"/>
                                                                <w:left w:val="none" w:sz="0" w:space="0" w:color="auto"/>
                                                                <w:bottom w:val="none" w:sz="0" w:space="0" w:color="auto"/>
                                                                <w:right w:val="none" w:sz="0" w:space="0" w:color="auto"/>
                                                              </w:divBdr>
                                                            </w:div>
                                                          </w:divsChild>
                                                        </w:div>
                                                        <w:div w:id="672150711">
                                                          <w:marLeft w:val="0"/>
                                                          <w:marRight w:val="0"/>
                                                          <w:marTop w:val="0"/>
                                                          <w:marBottom w:val="0"/>
                                                          <w:divBdr>
                                                            <w:top w:val="none" w:sz="0" w:space="0" w:color="auto"/>
                                                            <w:left w:val="none" w:sz="0" w:space="0" w:color="auto"/>
                                                            <w:bottom w:val="none" w:sz="0" w:space="0" w:color="auto"/>
                                                            <w:right w:val="none" w:sz="0" w:space="0" w:color="auto"/>
                                                          </w:divBdr>
                                                          <w:divsChild>
                                                            <w:div w:id="1846171328">
                                                              <w:marLeft w:val="0"/>
                                                              <w:marRight w:val="0"/>
                                                              <w:marTop w:val="0"/>
                                                              <w:marBottom w:val="0"/>
                                                              <w:divBdr>
                                                                <w:top w:val="none" w:sz="0" w:space="0" w:color="auto"/>
                                                                <w:left w:val="none" w:sz="0" w:space="0" w:color="auto"/>
                                                                <w:bottom w:val="none" w:sz="0" w:space="0" w:color="auto"/>
                                                                <w:right w:val="none" w:sz="0" w:space="0" w:color="auto"/>
                                                              </w:divBdr>
                                                            </w:div>
                                                          </w:divsChild>
                                                        </w:div>
                                                        <w:div w:id="681861354">
                                                          <w:marLeft w:val="0"/>
                                                          <w:marRight w:val="0"/>
                                                          <w:marTop w:val="0"/>
                                                          <w:marBottom w:val="0"/>
                                                          <w:divBdr>
                                                            <w:top w:val="none" w:sz="0" w:space="0" w:color="auto"/>
                                                            <w:left w:val="none" w:sz="0" w:space="0" w:color="auto"/>
                                                            <w:bottom w:val="none" w:sz="0" w:space="0" w:color="auto"/>
                                                            <w:right w:val="none" w:sz="0" w:space="0" w:color="auto"/>
                                                          </w:divBdr>
                                                          <w:divsChild>
                                                            <w:div w:id="1122070834">
                                                              <w:marLeft w:val="0"/>
                                                              <w:marRight w:val="0"/>
                                                              <w:marTop w:val="0"/>
                                                              <w:marBottom w:val="0"/>
                                                              <w:divBdr>
                                                                <w:top w:val="none" w:sz="0" w:space="0" w:color="auto"/>
                                                                <w:left w:val="none" w:sz="0" w:space="0" w:color="auto"/>
                                                                <w:bottom w:val="none" w:sz="0" w:space="0" w:color="auto"/>
                                                                <w:right w:val="none" w:sz="0" w:space="0" w:color="auto"/>
                                                              </w:divBdr>
                                                            </w:div>
                                                          </w:divsChild>
                                                        </w:div>
                                                        <w:div w:id="686298433">
                                                          <w:marLeft w:val="0"/>
                                                          <w:marRight w:val="0"/>
                                                          <w:marTop w:val="0"/>
                                                          <w:marBottom w:val="0"/>
                                                          <w:divBdr>
                                                            <w:top w:val="none" w:sz="0" w:space="0" w:color="auto"/>
                                                            <w:left w:val="none" w:sz="0" w:space="0" w:color="auto"/>
                                                            <w:bottom w:val="none" w:sz="0" w:space="0" w:color="auto"/>
                                                            <w:right w:val="none" w:sz="0" w:space="0" w:color="auto"/>
                                                          </w:divBdr>
                                                          <w:divsChild>
                                                            <w:div w:id="845708725">
                                                              <w:marLeft w:val="0"/>
                                                              <w:marRight w:val="0"/>
                                                              <w:marTop w:val="0"/>
                                                              <w:marBottom w:val="0"/>
                                                              <w:divBdr>
                                                                <w:top w:val="none" w:sz="0" w:space="0" w:color="auto"/>
                                                                <w:left w:val="none" w:sz="0" w:space="0" w:color="auto"/>
                                                                <w:bottom w:val="none" w:sz="0" w:space="0" w:color="auto"/>
                                                                <w:right w:val="none" w:sz="0" w:space="0" w:color="auto"/>
                                                              </w:divBdr>
                                                            </w:div>
                                                          </w:divsChild>
                                                        </w:div>
                                                        <w:div w:id="693573321">
                                                          <w:marLeft w:val="0"/>
                                                          <w:marRight w:val="0"/>
                                                          <w:marTop w:val="0"/>
                                                          <w:marBottom w:val="0"/>
                                                          <w:divBdr>
                                                            <w:top w:val="none" w:sz="0" w:space="0" w:color="auto"/>
                                                            <w:left w:val="none" w:sz="0" w:space="0" w:color="auto"/>
                                                            <w:bottom w:val="none" w:sz="0" w:space="0" w:color="auto"/>
                                                            <w:right w:val="none" w:sz="0" w:space="0" w:color="auto"/>
                                                          </w:divBdr>
                                                          <w:divsChild>
                                                            <w:div w:id="1047876331">
                                                              <w:marLeft w:val="0"/>
                                                              <w:marRight w:val="0"/>
                                                              <w:marTop w:val="0"/>
                                                              <w:marBottom w:val="0"/>
                                                              <w:divBdr>
                                                                <w:top w:val="none" w:sz="0" w:space="0" w:color="auto"/>
                                                                <w:left w:val="none" w:sz="0" w:space="0" w:color="auto"/>
                                                                <w:bottom w:val="none" w:sz="0" w:space="0" w:color="auto"/>
                                                                <w:right w:val="none" w:sz="0" w:space="0" w:color="auto"/>
                                                              </w:divBdr>
                                                            </w:div>
                                                          </w:divsChild>
                                                        </w:div>
                                                        <w:div w:id="693654897">
                                                          <w:marLeft w:val="0"/>
                                                          <w:marRight w:val="0"/>
                                                          <w:marTop w:val="0"/>
                                                          <w:marBottom w:val="0"/>
                                                          <w:divBdr>
                                                            <w:top w:val="none" w:sz="0" w:space="0" w:color="auto"/>
                                                            <w:left w:val="none" w:sz="0" w:space="0" w:color="auto"/>
                                                            <w:bottom w:val="none" w:sz="0" w:space="0" w:color="auto"/>
                                                            <w:right w:val="none" w:sz="0" w:space="0" w:color="auto"/>
                                                          </w:divBdr>
                                                          <w:divsChild>
                                                            <w:div w:id="1141189573">
                                                              <w:marLeft w:val="0"/>
                                                              <w:marRight w:val="0"/>
                                                              <w:marTop w:val="0"/>
                                                              <w:marBottom w:val="0"/>
                                                              <w:divBdr>
                                                                <w:top w:val="none" w:sz="0" w:space="0" w:color="auto"/>
                                                                <w:left w:val="none" w:sz="0" w:space="0" w:color="auto"/>
                                                                <w:bottom w:val="none" w:sz="0" w:space="0" w:color="auto"/>
                                                                <w:right w:val="none" w:sz="0" w:space="0" w:color="auto"/>
                                                              </w:divBdr>
                                                            </w:div>
                                                          </w:divsChild>
                                                        </w:div>
                                                        <w:div w:id="701630754">
                                                          <w:marLeft w:val="0"/>
                                                          <w:marRight w:val="0"/>
                                                          <w:marTop w:val="0"/>
                                                          <w:marBottom w:val="0"/>
                                                          <w:divBdr>
                                                            <w:top w:val="none" w:sz="0" w:space="0" w:color="auto"/>
                                                            <w:left w:val="none" w:sz="0" w:space="0" w:color="auto"/>
                                                            <w:bottom w:val="none" w:sz="0" w:space="0" w:color="auto"/>
                                                            <w:right w:val="none" w:sz="0" w:space="0" w:color="auto"/>
                                                          </w:divBdr>
                                                          <w:divsChild>
                                                            <w:div w:id="678388020">
                                                              <w:marLeft w:val="0"/>
                                                              <w:marRight w:val="0"/>
                                                              <w:marTop w:val="0"/>
                                                              <w:marBottom w:val="0"/>
                                                              <w:divBdr>
                                                                <w:top w:val="none" w:sz="0" w:space="0" w:color="auto"/>
                                                                <w:left w:val="none" w:sz="0" w:space="0" w:color="auto"/>
                                                                <w:bottom w:val="none" w:sz="0" w:space="0" w:color="auto"/>
                                                                <w:right w:val="none" w:sz="0" w:space="0" w:color="auto"/>
                                                              </w:divBdr>
                                                            </w:div>
                                                          </w:divsChild>
                                                        </w:div>
                                                        <w:div w:id="701636945">
                                                          <w:marLeft w:val="0"/>
                                                          <w:marRight w:val="0"/>
                                                          <w:marTop w:val="0"/>
                                                          <w:marBottom w:val="0"/>
                                                          <w:divBdr>
                                                            <w:top w:val="none" w:sz="0" w:space="0" w:color="auto"/>
                                                            <w:left w:val="none" w:sz="0" w:space="0" w:color="auto"/>
                                                            <w:bottom w:val="none" w:sz="0" w:space="0" w:color="auto"/>
                                                            <w:right w:val="none" w:sz="0" w:space="0" w:color="auto"/>
                                                          </w:divBdr>
                                                          <w:divsChild>
                                                            <w:div w:id="1640763407">
                                                              <w:marLeft w:val="0"/>
                                                              <w:marRight w:val="0"/>
                                                              <w:marTop w:val="0"/>
                                                              <w:marBottom w:val="0"/>
                                                              <w:divBdr>
                                                                <w:top w:val="none" w:sz="0" w:space="0" w:color="auto"/>
                                                                <w:left w:val="none" w:sz="0" w:space="0" w:color="auto"/>
                                                                <w:bottom w:val="none" w:sz="0" w:space="0" w:color="auto"/>
                                                                <w:right w:val="none" w:sz="0" w:space="0" w:color="auto"/>
                                                              </w:divBdr>
                                                            </w:div>
                                                          </w:divsChild>
                                                        </w:div>
                                                        <w:div w:id="713622480">
                                                          <w:marLeft w:val="0"/>
                                                          <w:marRight w:val="0"/>
                                                          <w:marTop w:val="0"/>
                                                          <w:marBottom w:val="0"/>
                                                          <w:divBdr>
                                                            <w:top w:val="none" w:sz="0" w:space="0" w:color="auto"/>
                                                            <w:left w:val="none" w:sz="0" w:space="0" w:color="auto"/>
                                                            <w:bottom w:val="none" w:sz="0" w:space="0" w:color="auto"/>
                                                            <w:right w:val="none" w:sz="0" w:space="0" w:color="auto"/>
                                                          </w:divBdr>
                                                        </w:div>
                                                        <w:div w:id="723018969">
                                                          <w:marLeft w:val="0"/>
                                                          <w:marRight w:val="0"/>
                                                          <w:marTop w:val="0"/>
                                                          <w:marBottom w:val="0"/>
                                                          <w:divBdr>
                                                            <w:top w:val="none" w:sz="0" w:space="0" w:color="auto"/>
                                                            <w:left w:val="none" w:sz="0" w:space="0" w:color="auto"/>
                                                            <w:bottom w:val="none" w:sz="0" w:space="0" w:color="auto"/>
                                                            <w:right w:val="none" w:sz="0" w:space="0" w:color="auto"/>
                                                          </w:divBdr>
                                                        </w:div>
                                                        <w:div w:id="729113297">
                                                          <w:marLeft w:val="0"/>
                                                          <w:marRight w:val="0"/>
                                                          <w:marTop w:val="0"/>
                                                          <w:marBottom w:val="0"/>
                                                          <w:divBdr>
                                                            <w:top w:val="none" w:sz="0" w:space="0" w:color="auto"/>
                                                            <w:left w:val="none" w:sz="0" w:space="0" w:color="auto"/>
                                                            <w:bottom w:val="none" w:sz="0" w:space="0" w:color="auto"/>
                                                            <w:right w:val="none" w:sz="0" w:space="0" w:color="auto"/>
                                                          </w:divBdr>
                                                          <w:divsChild>
                                                            <w:div w:id="849949831">
                                                              <w:marLeft w:val="0"/>
                                                              <w:marRight w:val="0"/>
                                                              <w:marTop w:val="0"/>
                                                              <w:marBottom w:val="0"/>
                                                              <w:divBdr>
                                                                <w:top w:val="none" w:sz="0" w:space="0" w:color="auto"/>
                                                                <w:left w:val="none" w:sz="0" w:space="0" w:color="auto"/>
                                                                <w:bottom w:val="none" w:sz="0" w:space="0" w:color="auto"/>
                                                                <w:right w:val="none" w:sz="0" w:space="0" w:color="auto"/>
                                                              </w:divBdr>
                                                            </w:div>
                                                          </w:divsChild>
                                                        </w:div>
                                                        <w:div w:id="755712693">
                                                          <w:marLeft w:val="0"/>
                                                          <w:marRight w:val="0"/>
                                                          <w:marTop w:val="0"/>
                                                          <w:marBottom w:val="0"/>
                                                          <w:divBdr>
                                                            <w:top w:val="none" w:sz="0" w:space="0" w:color="auto"/>
                                                            <w:left w:val="none" w:sz="0" w:space="0" w:color="auto"/>
                                                            <w:bottom w:val="none" w:sz="0" w:space="0" w:color="auto"/>
                                                            <w:right w:val="none" w:sz="0" w:space="0" w:color="auto"/>
                                                          </w:divBdr>
                                                        </w:div>
                                                        <w:div w:id="770784450">
                                                          <w:marLeft w:val="0"/>
                                                          <w:marRight w:val="0"/>
                                                          <w:marTop w:val="0"/>
                                                          <w:marBottom w:val="0"/>
                                                          <w:divBdr>
                                                            <w:top w:val="none" w:sz="0" w:space="0" w:color="auto"/>
                                                            <w:left w:val="none" w:sz="0" w:space="0" w:color="auto"/>
                                                            <w:bottom w:val="none" w:sz="0" w:space="0" w:color="auto"/>
                                                            <w:right w:val="none" w:sz="0" w:space="0" w:color="auto"/>
                                                          </w:divBdr>
                                                          <w:divsChild>
                                                            <w:div w:id="401758152">
                                                              <w:marLeft w:val="0"/>
                                                              <w:marRight w:val="0"/>
                                                              <w:marTop w:val="0"/>
                                                              <w:marBottom w:val="0"/>
                                                              <w:divBdr>
                                                                <w:top w:val="none" w:sz="0" w:space="0" w:color="auto"/>
                                                                <w:left w:val="none" w:sz="0" w:space="0" w:color="auto"/>
                                                                <w:bottom w:val="none" w:sz="0" w:space="0" w:color="auto"/>
                                                                <w:right w:val="none" w:sz="0" w:space="0" w:color="auto"/>
                                                              </w:divBdr>
                                                            </w:div>
                                                          </w:divsChild>
                                                        </w:div>
                                                        <w:div w:id="779449320">
                                                          <w:marLeft w:val="0"/>
                                                          <w:marRight w:val="0"/>
                                                          <w:marTop w:val="0"/>
                                                          <w:marBottom w:val="0"/>
                                                          <w:divBdr>
                                                            <w:top w:val="none" w:sz="0" w:space="0" w:color="auto"/>
                                                            <w:left w:val="none" w:sz="0" w:space="0" w:color="auto"/>
                                                            <w:bottom w:val="none" w:sz="0" w:space="0" w:color="auto"/>
                                                            <w:right w:val="none" w:sz="0" w:space="0" w:color="auto"/>
                                                          </w:divBdr>
                                                          <w:divsChild>
                                                            <w:div w:id="1345667605">
                                                              <w:marLeft w:val="0"/>
                                                              <w:marRight w:val="0"/>
                                                              <w:marTop w:val="0"/>
                                                              <w:marBottom w:val="0"/>
                                                              <w:divBdr>
                                                                <w:top w:val="none" w:sz="0" w:space="0" w:color="auto"/>
                                                                <w:left w:val="none" w:sz="0" w:space="0" w:color="auto"/>
                                                                <w:bottom w:val="none" w:sz="0" w:space="0" w:color="auto"/>
                                                                <w:right w:val="none" w:sz="0" w:space="0" w:color="auto"/>
                                                              </w:divBdr>
                                                            </w:div>
                                                          </w:divsChild>
                                                        </w:div>
                                                        <w:div w:id="795870497">
                                                          <w:marLeft w:val="0"/>
                                                          <w:marRight w:val="0"/>
                                                          <w:marTop w:val="0"/>
                                                          <w:marBottom w:val="0"/>
                                                          <w:divBdr>
                                                            <w:top w:val="none" w:sz="0" w:space="0" w:color="auto"/>
                                                            <w:left w:val="none" w:sz="0" w:space="0" w:color="auto"/>
                                                            <w:bottom w:val="none" w:sz="0" w:space="0" w:color="auto"/>
                                                            <w:right w:val="none" w:sz="0" w:space="0" w:color="auto"/>
                                                          </w:divBdr>
                                                          <w:divsChild>
                                                            <w:div w:id="420183877">
                                                              <w:marLeft w:val="0"/>
                                                              <w:marRight w:val="0"/>
                                                              <w:marTop w:val="0"/>
                                                              <w:marBottom w:val="0"/>
                                                              <w:divBdr>
                                                                <w:top w:val="none" w:sz="0" w:space="0" w:color="auto"/>
                                                                <w:left w:val="none" w:sz="0" w:space="0" w:color="auto"/>
                                                                <w:bottom w:val="none" w:sz="0" w:space="0" w:color="auto"/>
                                                                <w:right w:val="none" w:sz="0" w:space="0" w:color="auto"/>
                                                              </w:divBdr>
                                                            </w:div>
                                                          </w:divsChild>
                                                        </w:div>
                                                        <w:div w:id="808787818">
                                                          <w:marLeft w:val="0"/>
                                                          <w:marRight w:val="0"/>
                                                          <w:marTop w:val="0"/>
                                                          <w:marBottom w:val="0"/>
                                                          <w:divBdr>
                                                            <w:top w:val="none" w:sz="0" w:space="0" w:color="auto"/>
                                                            <w:left w:val="none" w:sz="0" w:space="0" w:color="auto"/>
                                                            <w:bottom w:val="none" w:sz="0" w:space="0" w:color="auto"/>
                                                            <w:right w:val="none" w:sz="0" w:space="0" w:color="auto"/>
                                                          </w:divBdr>
                                                          <w:divsChild>
                                                            <w:div w:id="1384403047">
                                                              <w:marLeft w:val="0"/>
                                                              <w:marRight w:val="0"/>
                                                              <w:marTop w:val="0"/>
                                                              <w:marBottom w:val="0"/>
                                                              <w:divBdr>
                                                                <w:top w:val="none" w:sz="0" w:space="0" w:color="auto"/>
                                                                <w:left w:val="none" w:sz="0" w:space="0" w:color="auto"/>
                                                                <w:bottom w:val="none" w:sz="0" w:space="0" w:color="auto"/>
                                                                <w:right w:val="none" w:sz="0" w:space="0" w:color="auto"/>
                                                              </w:divBdr>
                                                            </w:div>
                                                          </w:divsChild>
                                                        </w:div>
                                                        <w:div w:id="811097849">
                                                          <w:marLeft w:val="0"/>
                                                          <w:marRight w:val="0"/>
                                                          <w:marTop w:val="0"/>
                                                          <w:marBottom w:val="0"/>
                                                          <w:divBdr>
                                                            <w:top w:val="none" w:sz="0" w:space="0" w:color="auto"/>
                                                            <w:left w:val="none" w:sz="0" w:space="0" w:color="auto"/>
                                                            <w:bottom w:val="none" w:sz="0" w:space="0" w:color="auto"/>
                                                            <w:right w:val="none" w:sz="0" w:space="0" w:color="auto"/>
                                                          </w:divBdr>
                                                        </w:div>
                                                        <w:div w:id="818305502">
                                                          <w:marLeft w:val="0"/>
                                                          <w:marRight w:val="0"/>
                                                          <w:marTop w:val="0"/>
                                                          <w:marBottom w:val="0"/>
                                                          <w:divBdr>
                                                            <w:top w:val="none" w:sz="0" w:space="0" w:color="auto"/>
                                                            <w:left w:val="none" w:sz="0" w:space="0" w:color="auto"/>
                                                            <w:bottom w:val="none" w:sz="0" w:space="0" w:color="auto"/>
                                                            <w:right w:val="none" w:sz="0" w:space="0" w:color="auto"/>
                                                          </w:divBdr>
                                                        </w:div>
                                                        <w:div w:id="821578104">
                                                          <w:marLeft w:val="0"/>
                                                          <w:marRight w:val="0"/>
                                                          <w:marTop w:val="0"/>
                                                          <w:marBottom w:val="0"/>
                                                          <w:divBdr>
                                                            <w:top w:val="none" w:sz="0" w:space="0" w:color="auto"/>
                                                            <w:left w:val="none" w:sz="0" w:space="0" w:color="auto"/>
                                                            <w:bottom w:val="none" w:sz="0" w:space="0" w:color="auto"/>
                                                            <w:right w:val="none" w:sz="0" w:space="0" w:color="auto"/>
                                                          </w:divBdr>
                                                          <w:divsChild>
                                                            <w:div w:id="20982418">
                                                              <w:marLeft w:val="0"/>
                                                              <w:marRight w:val="0"/>
                                                              <w:marTop w:val="0"/>
                                                              <w:marBottom w:val="0"/>
                                                              <w:divBdr>
                                                                <w:top w:val="none" w:sz="0" w:space="0" w:color="auto"/>
                                                                <w:left w:val="none" w:sz="0" w:space="0" w:color="auto"/>
                                                                <w:bottom w:val="none" w:sz="0" w:space="0" w:color="auto"/>
                                                                <w:right w:val="none" w:sz="0" w:space="0" w:color="auto"/>
                                                              </w:divBdr>
                                                            </w:div>
                                                          </w:divsChild>
                                                        </w:div>
                                                        <w:div w:id="848177313">
                                                          <w:marLeft w:val="0"/>
                                                          <w:marRight w:val="0"/>
                                                          <w:marTop w:val="0"/>
                                                          <w:marBottom w:val="0"/>
                                                          <w:divBdr>
                                                            <w:top w:val="none" w:sz="0" w:space="0" w:color="auto"/>
                                                            <w:left w:val="none" w:sz="0" w:space="0" w:color="auto"/>
                                                            <w:bottom w:val="none" w:sz="0" w:space="0" w:color="auto"/>
                                                            <w:right w:val="none" w:sz="0" w:space="0" w:color="auto"/>
                                                          </w:divBdr>
                                                          <w:divsChild>
                                                            <w:div w:id="821699614">
                                                              <w:marLeft w:val="0"/>
                                                              <w:marRight w:val="0"/>
                                                              <w:marTop w:val="0"/>
                                                              <w:marBottom w:val="0"/>
                                                              <w:divBdr>
                                                                <w:top w:val="none" w:sz="0" w:space="0" w:color="auto"/>
                                                                <w:left w:val="none" w:sz="0" w:space="0" w:color="auto"/>
                                                                <w:bottom w:val="none" w:sz="0" w:space="0" w:color="auto"/>
                                                                <w:right w:val="none" w:sz="0" w:space="0" w:color="auto"/>
                                                              </w:divBdr>
                                                            </w:div>
                                                          </w:divsChild>
                                                        </w:div>
                                                        <w:div w:id="848182478">
                                                          <w:marLeft w:val="0"/>
                                                          <w:marRight w:val="0"/>
                                                          <w:marTop w:val="0"/>
                                                          <w:marBottom w:val="0"/>
                                                          <w:divBdr>
                                                            <w:top w:val="none" w:sz="0" w:space="0" w:color="auto"/>
                                                            <w:left w:val="none" w:sz="0" w:space="0" w:color="auto"/>
                                                            <w:bottom w:val="none" w:sz="0" w:space="0" w:color="auto"/>
                                                            <w:right w:val="none" w:sz="0" w:space="0" w:color="auto"/>
                                                          </w:divBdr>
                                                          <w:divsChild>
                                                            <w:div w:id="1814058064">
                                                              <w:marLeft w:val="0"/>
                                                              <w:marRight w:val="0"/>
                                                              <w:marTop w:val="0"/>
                                                              <w:marBottom w:val="0"/>
                                                              <w:divBdr>
                                                                <w:top w:val="none" w:sz="0" w:space="0" w:color="auto"/>
                                                                <w:left w:val="none" w:sz="0" w:space="0" w:color="auto"/>
                                                                <w:bottom w:val="none" w:sz="0" w:space="0" w:color="auto"/>
                                                                <w:right w:val="none" w:sz="0" w:space="0" w:color="auto"/>
                                                              </w:divBdr>
                                                            </w:div>
                                                          </w:divsChild>
                                                        </w:div>
                                                        <w:div w:id="850264296">
                                                          <w:marLeft w:val="0"/>
                                                          <w:marRight w:val="0"/>
                                                          <w:marTop w:val="0"/>
                                                          <w:marBottom w:val="0"/>
                                                          <w:divBdr>
                                                            <w:top w:val="none" w:sz="0" w:space="0" w:color="auto"/>
                                                            <w:left w:val="none" w:sz="0" w:space="0" w:color="auto"/>
                                                            <w:bottom w:val="none" w:sz="0" w:space="0" w:color="auto"/>
                                                            <w:right w:val="none" w:sz="0" w:space="0" w:color="auto"/>
                                                          </w:divBdr>
                                                          <w:divsChild>
                                                            <w:div w:id="29964687">
                                                              <w:marLeft w:val="0"/>
                                                              <w:marRight w:val="0"/>
                                                              <w:marTop w:val="0"/>
                                                              <w:marBottom w:val="0"/>
                                                              <w:divBdr>
                                                                <w:top w:val="none" w:sz="0" w:space="0" w:color="auto"/>
                                                                <w:left w:val="none" w:sz="0" w:space="0" w:color="auto"/>
                                                                <w:bottom w:val="none" w:sz="0" w:space="0" w:color="auto"/>
                                                                <w:right w:val="none" w:sz="0" w:space="0" w:color="auto"/>
                                                              </w:divBdr>
                                                            </w:div>
                                                          </w:divsChild>
                                                        </w:div>
                                                        <w:div w:id="850728987">
                                                          <w:marLeft w:val="0"/>
                                                          <w:marRight w:val="0"/>
                                                          <w:marTop w:val="0"/>
                                                          <w:marBottom w:val="0"/>
                                                          <w:divBdr>
                                                            <w:top w:val="none" w:sz="0" w:space="0" w:color="auto"/>
                                                            <w:left w:val="none" w:sz="0" w:space="0" w:color="auto"/>
                                                            <w:bottom w:val="none" w:sz="0" w:space="0" w:color="auto"/>
                                                            <w:right w:val="none" w:sz="0" w:space="0" w:color="auto"/>
                                                          </w:divBdr>
                                                        </w:div>
                                                        <w:div w:id="856499626">
                                                          <w:marLeft w:val="0"/>
                                                          <w:marRight w:val="0"/>
                                                          <w:marTop w:val="0"/>
                                                          <w:marBottom w:val="0"/>
                                                          <w:divBdr>
                                                            <w:top w:val="none" w:sz="0" w:space="0" w:color="auto"/>
                                                            <w:left w:val="none" w:sz="0" w:space="0" w:color="auto"/>
                                                            <w:bottom w:val="none" w:sz="0" w:space="0" w:color="auto"/>
                                                            <w:right w:val="none" w:sz="0" w:space="0" w:color="auto"/>
                                                          </w:divBdr>
                                                          <w:divsChild>
                                                            <w:div w:id="472143903">
                                                              <w:marLeft w:val="0"/>
                                                              <w:marRight w:val="0"/>
                                                              <w:marTop w:val="0"/>
                                                              <w:marBottom w:val="0"/>
                                                              <w:divBdr>
                                                                <w:top w:val="none" w:sz="0" w:space="0" w:color="auto"/>
                                                                <w:left w:val="none" w:sz="0" w:space="0" w:color="auto"/>
                                                                <w:bottom w:val="none" w:sz="0" w:space="0" w:color="auto"/>
                                                                <w:right w:val="none" w:sz="0" w:space="0" w:color="auto"/>
                                                              </w:divBdr>
                                                            </w:div>
                                                          </w:divsChild>
                                                        </w:div>
                                                        <w:div w:id="857229880">
                                                          <w:marLeft w:val="0"/>
                                                          <w:marRight w:val="0"/>
                                                          <w:marTop w:val="0"/>
                                                          <w:marBottom w:val="0"/>
                                                          <w:divBdr>
                                                            <w:top w:val="none" w:sz="0" w:space="0" w:color="auto"/>
                                                            <w:left w:val="none" w:sz="0" w:space="0" w:color="auto"/>
                                                            <w:bottom w:val="none" w:sz="0" w:space="0" w:color="auto"/>
                                                            <w:right w:val="none" w:sz="0" w:space="0" w:color="auto"/>
                                                          </w:divBdr>
                                                        </w:div>
                                                        <w:div w:id="862476602">
                                                          <w:marLeft w:val="0"/>
                                                          <w:marRight w:val="0"/>
                                                          <w:marTop w:val="0"/>
                                                          <w:marBottom w:val="0"/>
                                                          <w:divBdr>
                                                            <w:top w:val="none" w:sz="0" w:space="0" w:color="auto"/>
                                                            <w:left w:val="none" w:sz="0" w:space="0" w:color="auto"/>
                                                            <w:bottom w:val="none" w:sz="0" w:space="0" w:color="auto"/>
                                                            <w:right w:val="none" w:sz="0" w:space="0" w:color="auto"/>
                                                          </w:divBdr>
                                                          <w:divsChild>
                                                            <w:div w:id="458039563">
                                                              <w:marLeft w:val="0"/>
                                                              <w:marRight w:val="0"/>
                                                              <w:marTop w:val="0"/>
                                                              <w:marBottom w:val="0"/>
                                                              <w:divBdr>
                                                                <w:top w:val="none" w:sz="0" w:space="0" w:color="auto"/>
                                                                <w:left w:val="none" w:sz="0" w:space="0" w:color="auto"/>
                                                                <w:bottom w:val="none" w:sz="0" w:space="0" w:color="auto"/>
                                                                <w:right w:val="none" w:sz="0" w:space="0" w:color="auto"/>
                                                              </w:divBdr>
                                                            </w:div>
                                                          </w:divsChild>
                                                        </w:div>
                                                        <w:div w:id="870530659">
                                                          <w:marLeft w:val="0"/>
                                                          <w:marRight w:val="0"/>
                                                          <w:marTop w:val="0"/>
                                                          <w:marBottom w:val="0"/>
                                                          <w:divBdr>
                                                            <w:top w:val="none" w:sz="0" w:space="0" w:color="auto"/>
                                                            <w:left w:val="none" w:sz="0" w:space="0" w:color="auto"/>
                                                            <w:bottom w:val="none" w:sz="0" w:space="0" w:color="auto"/>
                                                            <w:right w:val="none" w:sz="0" w:space="0" w:color="auto"/>
                                                          </w:divBdr>
                                                          <w:divsChild>
                                                            <w:div w:id="1629772964">
                                                              <w:marLeft w:val="0"/>
                                                              <w:marRight w:val="0"/>
                                                              <w:marTop w:val="0"/>
                                                              <w:marBottom w:val="0"/>
                                                              <w:divBdr>
                                                                <w:top w:val="none" w:sz="0" w:space="0" w:color="auto"/>
                                                                <w:left w:val="none" w:sz="0" w:space="0" w:color="auto"/>
                                                                <w:bottom w:val="none" w:sz="0" w:space="0" w:color="auto"/>
                                                                <w:right w:val="none" w:sz="0" w:space="0" w:color="auto"/>
                                                              </w:divBdr>
                                                            </w:div>
                                                          </w:divsChild>
                                                        </w:div>
                                                        <w:div w:id="894857979">
                                                          <w:marLeft w:val="0"/>
                                                          <w:marRight w:val="0"/>
                                                          <w:marTop w:val="0"/>
                                                          <w:marBottom w:val="0"/>
                                                          <w:divBdr>
                                                            <w:top w:val="none" w:sz="0" w:space="0" w:color="auto"/>
                                                            <w:left w:val="none" w:sz="0" w:space="0" w:color="auto"/>
                                                            <w:bottom w:val="none" w:sz="0" w:space="0" w:color="auto"/>
                                                            <w:right w:val="none" w:sz="0" w:space="0" w:color="auto"/>
                                                          </w:divBdr>
                                                          <w:divsChild>
                                                            <w:div w:id="189880024">
                                                              <w:marLeft w:val="0"/>
                                                              <w:marRight w:val="0"/>
                                                              <w:marTop w:val="0"/>
                                                              <w:marBottom w:val="0"/>
                                                              <w:divBdr>
                                                                <w:top w:val="none" w:sz="0" w:space="0" w:color="auto"/>
                                                                <w:left w:val="none" w:sz="0" w:space="0" w:color="auto"/>
                                                                <w:bottom w:val="none" w:sz="0" w:space="0" w:color="auto"/>
                                                                <w:right w:val="none" w:sz="0" w:space="0" w:color="auto"/>
                                                              </w:divBdr>
                                                            </w:div>
                                                          </w:divsChild>
                                                        </w:div>
                                                        <w:div w:id="905340684">
                                                          <w:marLeft w:val="0"/>
                                                          <w:marRight w:val="0"/>
                                                          <w:marTop w:val="0"/>
                                                          <w:marBottom w:val="0"/>
                                                          <w:divBdr>
                                                            <w:top w:val="none" w:sz="0" w:space="0" w:color="auto"/>
                                                            <w:left w:val="none" w:sz="0" w:space="0" w:color="auto"/>
                                                            <w:bottom w:val="none" w:sz="0" w:space="0" w:color="auto"/>
                                                            <w:right w:val="none" w:sz="0" w:space="0" w:color="auto"/>
                                                          </w:divBdr>
                                                          <w:divsChild>
                                                            <w:div w:id="1514955958">
                                                              <w:marLeft w:val="0"/>
                                                              <w:marRight w:val="0"/>
                                                              <w:marTop w:val="0"/>
                                                              <w:marBottom w:val="0"/>
                                                              <w:divBdr>
                                                                <w:top w:val="none" w:sz="0" w:space="0" w:color="auto"/>
                                                                <w:left w:val="none" w:sz="0" w:space="0" w:color="auto"/>
                                                                <w:bottom w:val="none" w:sz="0" w:space="0" w:color="auto"/>
                                                                <w:right w:val="none" w:sz="0" w:space="0" w:color="auto"/>
                                                              </w:divBdr>
                                                            </w:div>
                                                          </w:divsChild>
                                                        </w:div>
                                                        <w:div w:id="911081584">
                                                          <w:marLeft w:val="0"/>
                                                          <w:marRight w:val="0"/>
                                                          <w:marTop w:val="0"/>
                                                          <w:marBottom w:val="0"/>
                                                          <w:divBdr>
                                                            <w:top w:val="none" w:sz="0" w:space="0" w:color="auto"/>
                                                            <w:left w:val="none" w:sz="0" w:space="0" w:color="auto"/>
                                                            <w:bottom w:val="none" w:sz="0" w:space="0" w:color="auto"/>
                                                            <w:right w:val="none" w:sz="0" w:space="0" w:color="auto"/>
                                                          </w:divBdr>
                                                        </w:div>
                                                        <w:div w:id="919217871">
                                                          <w:marLeft w:val="0"/>
                                                          <w:marRight w:val="0"/>
                                                          <w:marTop w:val="0"/>
                                                          <w:marBottom w:val="0"/>
                                                          <w:divBdr>
                                                            <w:top w:val="none" w:sz="0" w:space="0" w:color="auto"/>
                                                            <w:left w:val="none" w:sz="0" w:space="0" w:color="auto"/>
                                                            <w:bottom w:val="none" w:sz="0" w:space="0" w:color="auto"/>
                                                            <w:right w:val="none" w:sz="0" w:space="0" w:color="auto"/>
                                                          </w:divBdr>
                                                          <w:divsChild>
                                                            <w:div w:id="1894921555">
                                                              <w:marLeft w:val="0"/>
                                                              <w:marRight w:val="0"/>
                                                              <w:marTop w:val="0"/>
                                                              <w:marBottom w:val="0"/>
                                                              <w:divBdr>
                                                                <w:top w:val="none" w:sz="0" w:space="0" w:color="auto"/>
                                                                <w:left w:val="none" w:sz="0" w:space="0" w:color="auto"/>
                                                                <w:bottom w:val="none" w:sz="0" w:space="0" w:color="auto"/>
                                                                <w:right w:val="none" w:sz="0" w:space="0" w:color="auto"/>
                                                              </w:divBdr>
                                                            </w:div>
                                                          </w:divsChild>
                                                        </w:div>
                                                        <w:div w:id="919870082">
                                                          <w:marLeft w:val="0"/>
                                                          <w:marRight w:val="0"/>
                                                          <w:marTop w:val="0"/>
                                                          <w:marBottom w:val="0"/>
                                                          <w:divBdr>
                                                            <w:top w:val="none" w:sz="0" w:space="0" w:color="auto"/>
                                                            <w:left w:val="none" w:sz="0" w:space="0" w:color="auto"/>
                                                            <w:bottom w:val="none" w:sz="0" w:space="0" w:color="auto"/>
                                                            <w:right w:val="none" w:sz="0" w:space="0" w:color="auto"/>
                                                          </w:divBdr>
                                                          <w:divsChild>
                                                            <w:div w:id="1773433655">
                                                              <w:marLeft w:val="0"/>
                                                              <w:marRight w:val="0"/>
                                                              <w:marTop w:val="0"/>
                                                              <w:marBottom w:val="0"/>
                                                              <w:divBdr>
                                                                <w:top w:val="none" w:sz="0" w:space="0" w:color="auto"/>
                                                                <w:left w:val="none" w:sz="0" w:space="0" w:color="auto"/>
                                                                <w:bottom w:val="none" w:sz="0" w:space="0" w:color="auto"/>
                                                                <w:right w:val="none" w:sz="0" w:space="0" w:color="auto"/>
                                                              </w:divBdr>
                                                            </w:div>
                                                          </w:divsChild>
                                                        </w:div>
                                                        <w:div w:id="936063475">
                                                          <w:marLeft w:val="0"/>
                                                          <w:marRight w:val="0"/>
                                                          <w:marTop w:val="0"/>
                                                          <w:marBottom w:val="0"/>
                                                          <w:divBdr>
                                                            <w:top w:val="none" w:sz="0" w:space="0" w:color="auto"/>
                                                            <w:left w:val="none" w:sz="0" w:space="0" w:color="auto"/>
                                                            <w:bottom w:val="none" w:sz="0" w:space="0" w:color="auto"/>
                                                            <w:right w:val="none" w:sz="0" w:space="0" w:color="auto"/>
                                                          </w:divBdr>
                                                          <w:divsChild>
                                                            <w:div w:id="1985309378">
                                                              <w:marLeft w:val="0"/>
                                                              <w:marRight w:val="0"/>
                                                              <w:marTop w:val="0"/>
                                                              <w:marBottom w:val="0"/>
                                                              <w:divBdr>
                                                                <w:top w:val="none" w:sz="0" w:space="0" w:color="auto"/>
                                                                <w:left w:val="none" w:sz="0" w:space="0" w:color="auto"/>
                                                                <w:bottom w:val="none" w:sz="0" w:space="0" w:color="auto"/>
                                                                <w:right w:val="none" w:sz="0" w:space="0" w:color="auto"/>
                                                              </w:divBdr>
                                                            </w:div>
                                                          </w:divsChild>
                                                        </w:div>
                                                        <w:div w:id="939412539">
                                                          <w:marLeft w:val="0"/>
                                                          <w:marRight w:val="0"/>
                                                          <w:marTop w:val="0"/>
                                                          <w:marBottom w:val="0"/>
                                                          <w:divBdr>
                                                            <w:top w:val="none" w:sz="0" w:space="0" w:color="auto"/>
                                                            <w:left w:val="none" w:sz="0" w:space="0" w:color="auto"/>
                                                            <w:bottom w:val="none" w:sz="0" w:space="0" w:color="auto"/>
                                                            <w:right w:val="none" w:sz="0" w:space="0" w:color="auto"/>
                                                          </w:divBdr>
                                                          <w:divsChild>
                                                            <w:div w:id="1580747519">
                                                              <w:marLeft w:val="0"/>
                                                              <w:marRight w:val="0"/>
                                                              <w:marTop w:val="0"/>
                                                              <w:marBottom w:val="0"/>
                                                              <w:divBdr>
                                                                <w:top w:val="none" w:sz="0" w:space="0" w:color="auto"/>
                                                                <w:left w:val="none" w:sz="0" w:space="0" w:color="auto"/>
                                                                <w:bottom w:val="none" w:sz="0" w:space="0" w:color="auto"/>
                                                                <w:right w:val="none" w:sz="0" w:space="0" w:color="auto"/>
                                                              </w:divBdr>
                                                            </w:div>
                                                          </w:divsChild>
                                                        </w:div>
                                                        <w:div w:id="954100356">
                                                          <w:marLeft w:val="0"/>
                                                          <w:marRight w:val="0"/>
                                                          <w:marTop w:val="0"/>
                                                          <w:marBottom w:val="0"/>
                                                          <w:divBdr>
                                                            <w:top w:val="none" w:sz="0" w:space="0" w:color="auto"/>
                                                            <w:left w:val="none" w:sz="0" w:space="0" w:color="auto"/>
                                                            <w:bottom w:val="none" w:sz="0" w:space="0" w:color="auto"/>
                                                            <w:right w:val="none" w:sz="0" w:space="0" w:color="auto"/>
                                                          </w:divBdr>
                                                          <w:divsChild>
                                                            <w:div w:id="1757435578">
                                                              <w:marLeft w:val="0"/>
                                                              <w:marRight w:val="0"/>
                                                              <w:marTop w:val="0"/>
                                                              <w:marBottom w:val="0"/>
                                                              <w:divBdr>
                                                                <w:top w:val="none" w:sz="0" w:space="0" w:color="auto"/>
                                                                <w:left w:val="none" w:sz="0" w:space="0" w:color="auto"/>
                                                                <w:bottom w:val="none" w:sz="0" w:space="0" w:color="auto"/>
                                                                <w:right w:val="none" w:sz="0" w:space="0" w:color="auto"/>
                                                              </w:divBdr>
                                                            </w:div>
                                                          </w:divsChild>
                                                        </w:div>
                                                        <w:div w:id="965743205">
                                                          <w:marLeft w:val="0"/>
                                                          <w:marRight w:val="0"/>
                                                          <w:marTop w:val="0"/>
                                                          <w:marBottom w:val="0"/>
                                                          <w:divBdr>
                                                            <w:top w:val="none" w:sz="0" w:space="0" w:color="auto"/>
                                                            <w:left w:val="none" w:sz="0" w:space="0" w:color="auto"/>
                                                            <w:bottom w:val="none" w:sz="0" w:space="0" w:color="auto"/>
                                                            <w:right w:val="none" w:sz="0" w:space="0" w:color="auto"/>
                                                          </w:divBdr>
                                                          <w:divsChild>
                                                            <w:div w:id="870803371">
                                                              <w:marLeft w:val="0"/>
                                                              <w:marRight w:val="0"/>
                                                              <w:marTop w:val="0"/>
                                                              <w:marBottom w:val="0"/>
                                                              <w:divBdr>
                                                                <w:top w:val="none" w:sz="0" w:space="0" w:color="auto"/>
                                                                <w:left w:val="none" w:sz="0" w:space="0" w:color="auto"/>
                                                                <w:bottom w:val="none" w:sz="0" w:space="0" w:color="auto"/>
                                                                <w:right w:val="none" w:sz="0" w:space="0" w:color="auto"/>
                                                              </w:divBdr>
                                                            </w:div>
                                                          </w:divsChild>
                                                        </w:div>
                                                        <w:div w:id="974144392">
                                                          <w:marLeft w:val="0"/>
                                                          <w:marRight w:val="0"/>
                                                          <w:marTop w:val="0"/>
                                                          <w:marBottom w:val="0"/>
                                                          <w:divBdr>
                                                            <w:top w:val="none" w:sz="0" w:space="0" w:color="auto"/>
                                                            <w:left w:val="none" w:sz="0" w:space="0" w:color="auto"/>
                                                            <w:bottom w:val="none" w:sz="0" w:space="0" w:color="auto"/>
                                                            <w:right w:val="none" w:sz="0" w:space="0" w:color="auto"/>
                                                          </w:divBdr>
                                                          <w:divsChild>
                                                            <w:div w:id="1073969882">
                                                              <w:marLeft w:val="0"/>
                                                              <w:marRight w:val="0"/>
                                                              <w:marTop w:val="0"/>
                                                              <w:marBottom w:val="0"/>
                                                              <w:divBdr>
                                                                <w:top w:val="none" w:sz="0" w:space="0" w:color="auto"/>
                                                                <w:left w:val="none" w:sz="0" w:space="0" w:color="auto"/>
                                                                <w:bottom w:val="none" w:sz="0" w:space="0" w:color="auto"/>
                                                                <w:right w:val="none" w:sz="0" w:space="0" w:color="auto"/>
                                                              </w:divBdr>
                                                            </w:div>
                                                          </w:divsChild>
                                                        </w:div>
                                                        <w:div w:id="978344331">
                                                          <w:marLeft w:val="0"/>
                                                          <w:marRight w:val="0"/>
                                                          <w:marTop w:val="0"/>
                                                          <w:marBottom w:val="0"/>
                                                          <w:divBdr>
                                                            <w:top w:val="none" w:sz="0" w:space="0" w:color="auto"/>
                                                            <w:left w:val="none" w:sz="0" w:space="0" w:color="auto"/>
                                                            <w:bottom w:val="none" w:sz="0" w:space="0" w:color="auto"/>
                                                            <w:right w:val="none" w:sz="0" w:space="0" w:color="auto"/>
                                                          </w:divBdr>
                                                          <w:divsChild>
                                                            <w:div w:id="1995991309">
                                                              <w:marLeft w:val="0"/>
                                                              <w:marRight w:val="0"/>
                                                              <w:marTop w:val="0"/>
                                                              <w:marBottom w:val="0"/>
                                                              <w:divBdr>
                                                                <w:top w:val="none" w:sz="0" w:space="0" w:color="auto"/>
                                                                <w:left w:val="none" w:sz="0" w:space="0" w:color="auto"/>
                                                                <w:bottom w:val="none" w:sz="0" w:space="0" w:color="auto"/>
                                                                <w:right w:val="none" w:sz="0" w:space="0" w:color="auto"/>
                                                              </w:divBdr>
                                                            </w:div>
                                                          </w:divsChild>
                                                        </w:div>
                                                        <w:div w:id="985863555">
                                                          <w:marLeft w:val="0"/>
                                                          <w:marRight w:val="0"/>
                                                          <w:marTop w:val="0"/>
                                                          <w:marBottom w:val="0"/>
                                                          <w:divBdr>
                                                            <w:top w:val="none" w:sz="0" w:space="0" w:color="auto"/>
                                                            <w:left w:val="none" w:sz="0" w:space="0" w:color="auto"/>
                                                            <w:bottom w:val="none" w:sz="0" w:space="0" w:color="auto"/>
                                                            <w:right w:val="none" w:sz="0" w:space="0" w:color="auto"/>
                                                          </w:divBdr>
                                                          <w:divsChild>
                                                            <w:div w:id="981275434">
                                                              <w:marLeft w:val="0"/>
                                                              <w:marRight w:val="0"/>
                                                              <w:marTop w:val="0"/>
                                                              <w:marBottom w:val="0"/>
                                                              <w:divBdr>
                                                                <w:top w:val="none" w:sz="0" w:space="0" w:color="auto"/>
                                                                <w:left w:val="none" w:sz="0" w:space="0" w:color="auto"/>
                                                                <w:bottom w:val="none" w:sz="0" w:space="0" w:color="auto"/>
                                                                <w:right w:val="none" w:sz="0" w:space="0" w:color="auto"/>
                                                              </w:divBdr>
                                                            </w:div>
                                                          </w:divsChild>
                                                        </w:div>
                                                        <w:div w:id="986325036">
                                                          <w:marLeft w:val="0"/>
                                                          <w:marRight w:val="0"/>
                                                          <w:marTop w:val="0"/>
                                                          <w:marBottom w:val="0"/>
                                                          <w:divBdr>
                                                            <w:top w:val="none" w:sz="0" w:space="0" w:color="auto"/>
                                                            <w:left w:val="none" w:sz="0" w:space="0" w:color="auto"/>
                                                            <w:bottom w:val="none" w:sz="0" w:space="0" w:color="auto"/>
                                                            <w:right w:val="none" w:sz="0" w:space="0" w:color="auto"/>
                                                          </w:divBdr>
                                                          <w:divsChild>
                                                            <w:div w:id="1727222347">
                                                              <w:marLeft w:val="0"/>
                                                              <w:marRight w:val="0"/>
                                                              <w:marTop w:val="0"/>
                                                              <w:marBottom w:val="0"/>
                                                              <w:divBdr>
                                                                <w:top w:val="none" w:sz="0" w:space="0" w:color="auto"/>
                                                                <w:left w:val="none" w:sz="0" w:space="0" w:color="auto"/>
                                                                <w:bottom w:val="none" w:sz="0" w:space="0" w:color="auto"/>
                                                                <w:right w:val="none" w:sz="0" w:space="0" w:color="auto"/>
                                                              </w:divBdr>
                                                            </w:div>
                                                          </w:divsChild>
                                                        </w:div>
                                                        <w:div w:id="1009333921">
                                                          <w:marLeft w:val="0"/>
                                                          <w:marRight w:val="0"/>
                                                          <w:marTop w:val="0"/>
                                                          <w:marBottom w:val="0"/>
                                                          <w:divBdr>
                                                            <w:top w:val="none" w:sz="0" w:space="0" w:color="auto"/>
                                                            <w:left w:val="none" w:sz="0" w:space="0" w:color="auto"/>
                                                            <w:bottom w:val="none" w:sz="0" w:space="0" w:color="auto"/>
                                                            <w:right w:val="none" w:sz="0" w:space="0" w:color="auto"/>
                                                          </w:divBdr>
                                                          <w:divsChild>
                                                            <w:div w:id="251398963">
                                                              <w:marLeft w:val="0"/>
                                                              <w:marRight w:val="0"/>
                                                              <w:marTop w:val="0"/>
                                                              <w:marBottom w:val="0"/>
                                                              <w:divBdr>
                                                                <w:top w:val="none" w:sz="0" w:space="0" w:color="auto"/>
                                                                <w:left w:val="none" w:sz="0" w:space="0" w:color="auto"/>
                                                                <w:bottom w:val="none" w:sz="0" w:space="0" w:color="auto"/>
                                                                <w:right w:val="none" w:sz="0" w:space="0" w:color="auto"/>
                                                              </w:divBdr>
                                                            </w:div>
                                                          </w:divsChild>
                                                        </w:div>
                                                        <w:div w:id="1018197412">
                                                          <w:marLeft w:val="0"/>
                                                          <w:marRight w:val="0"/>
                                                          <w:marTop w:val="0"/>
                                                          <w:marBottom w:val="0"/>
                                                          <w:divBdr>
                                                            <w:top w:val="none" w:sz="0" w:space="0" w:color="auto"/>
                                                            <w:left w:val="none" w:sz="0" w:space="0" w:color="auto"/>
                                                            <w:bottom w:val="none" w:sz="0" w:space="0" w:color="auto"/>
                                                            <w:right w:val="none" w:sz="0" w:space="0" w:color="auto"/>
                                                          </w:divBdr>
                                                          <w:divsChild>
                                                            <w:div w:id="1357543921">
                                                              <w:marLeft w:val="0"/>
                                                              <w:marRight w:val="0"/>
                                                              <w:marTop w:val="0"/>
                                                              <w:marBottom w:val="0"/>
                                                              <w:divBdr>
                                                                <w:top w:val="none" w:sz="0" w:space="0" w:color="auto"/>
                                                                <w:left w:val="none" w:sz="0" w:space="0" w:color="auto"/>
                                                                <w:bottom w:val="none" w:sz="0" w:space="0" w:color="auto"/>
                                                                <w:right w:val="none" w:sz="0" w:space="0" w:color="auto"/>
                                                              </w:divBdr>
                                                            </w:div>
                                                          </w:divsChild>
                                                        </w:div>
                                                        <w:div w:id="1019817366">
                                                          <w:marLeft w:val="0"/>
                                                          <w:marRight w:val="0"/>
                                                          <w:marTop w:val="0"/>
                                                          <w:marBottom w:val="0"/>
                                                          <w:divBdr>
                                                            <w:top w:val="none" w:sz="0" w:space="0" w:color="auto"/>
                                                            <w:left w:val="none" w:sz="0" w:space="0" w:color="auto"/>
                                                            <w:bottom w:val="none" w:sz="0" w:space="0" w:color="auto"/>
                                                            <w:right w:val="none" w:sz="0" w:space="0" w:color="auto"/>
                                                          </w:divBdr>
                                                          <w:divsChild>
                                                            <w:div w:id="1554466065">
                                                              <w:marLeft w:val="0"/>
                                                              <w:marRight w:val="0"/>
                                                              <w:marTop w:val="0"/>
                                                              <w:marBottom w:val="0"/>
                                                              <w:divBdr>
                                                                <w:top w:val="none" w:sz="0" w:space="0" w:color="auto"/>
                                                                <w:left w:val="none" w:sz="0" w:space="0" w:color="auto"/>
                                                                <w:bottom w:val="none" w:sz="0" w:space="0" w:color="auto"/>
                                                                <w:right w:val="none" w:sz="0" w:space="0" w:color="auto"/>
                                                              </w:divBdr>
                                                            </w:div>
                                                          </w:divsChild>
                                                        </w:div>
                                                        <w:div w:id="1021397573">
                                                          <w:marLeft w:val="0"/>
                                                          <w:marRight w:val="0"/>
                                                          <w:marTop w:val="0"/>
                                                          <w:marBottom w:val="0"/>
                                                          <w:divBdr>
                                                            <w:top w:val="none" w:sz="0" w:space="0" w:color="auto"/>
                                                            <w:left w:val="none" w:sz="0" w:space="0" w:color="auto"/>
                                                            <w:bottom w:val="none" w:sz="0" w:space="0" w:color="auto"/>
                                                            <w:right w:val="none" w:sz="0" w:space="0" w:color="auto"/>
                                                          </w:divBdr>
                                                        </w:div>
                                                        <w:div w:id="1026445422">
                                                          <w:marLeft w:val="0"/>
                                                          <w:marRight w:val="0"/>
                                                          <w:marTop w:val="0"/>
                                                          <w:marBottom w:val="0"/>
                                                          <w:divBdr>
                                                            <w:top w:val="none" w:sz="0" w:space="0" w:color="auto"/>
                                                            <w:left w:val="none" w:sz="0" w:space="0" w:color="auto"/>
                                                            <w:bottom w:val="none" w:sz="0" w:space="0" w:color="auto"/>
                                                            <w:right w:val="none" w:sz="0" w:space="0" w:color="auto"/>
                                                          </w:divBdr>
                                                        </w:div>
                                                        <w:div w:id="1029649935">
                                                          <w:marLeft w:val="0"/>
                                                          <w:marRight w:val="0"/>
                                                          <w:marTop w:val="0"/>
                                                          <w:marBottom w:val="0"/>
                                                          <w:divBdr>
                                                            <w:top w:val="none" w:sz="0" w:space="0" w:color="auto"/>
                                                            <w:left w:val="none" w:sz="0" w:space="0" w:color="auto"/>
                                                            <w:bottom w:val="none" w:sz="0" w:space="0" w:color="auto"/>
                                                            <w:right w:val="none" w:sz="0" w:space="0" w:color="auto"/>
                                                          </w:divBdr>
                                                          <w:divsChild>
                                                            <w:div w:id="1448543154">
                                                              <w:marLeft w:val="0"/>
                                                              <w:marRight w:val="0"/>
                                                              <w:marTop w:val="0"/>
                                                              <w:marBottom w:val="0"/>
                                                              <w:divBdr>
                                                                <w:top w:val="none" w:sz="0" w:space="0" w:color="auto"/>
                                                                <w:left w:val="none" w:sz="0" w:space="0" w:color="auto"/>
                                                                <w:bottom w:val="none" w:sz="0" w:space="0" w:color="auto"/>
                                                                <w:right w:val="none" w:sz="0" w:space="0" w:color="auto"/>
                                                              </w:divBdr>
                                                            </w:div>
                                                          </w:divsChild>
                                                        </w:div>
                                                        <w:div w:id="1040859947">
                                                          <w:marLeft w:val="0"/>
                                                          <w:marRight w:val="0"/>
                                                          <w:marTop w:val="0"/>
                                                          <w:marBottom w:val="0"/>
                                                          <w:divBdr>
                                                            <w:top w:val="none" w:sz="0" w:space="0" w:color="auto"/>
                                                            <w:left w:val="none" w:sz="0" w:space="0" w:color="auto"/>
                                                            <w:bottom w:val="none" w:sz="0" w:space="0" w:color="auto"/>
                                                            <w:right w:val="none" w:sz="0" w:space="0" w:color="auto"/>
                                                          </w:divBdr>
                                                        </w:div>
                                                        <w:div w:id="1050886767">
                                                          <w:marLeft w:val="0"/>
                                                          <w:marRight w:val="0"/>
                                                          <w:marTop w:val="0"/>
                                                          <w:marBottom w:val="0"/>
                                                          <w:divBdr>
                                                            <w:top w:val="none" w:sz="0" w:space="0" w:color="auto"/>
                                                            <w:left w:val="none" w:sz="0" w:space="0" w:color="auto"/>
                                                            <w:bottom w:val="none" w:sz="0" w:space="0" w:color="auto"/>
                                                            <w:right w:val="none" w:sz="0" w:space="0" w:color="auto"/>
                                                          </w:divBdr>
                                                          <w:divsChild>
                                                            <w:div w:id="1242638477">
                                                              <w:marLeft w:val="0"/>
                                                              <w:marRight w:val="0"/>
                                                              <w:marTop w:val="0"/>
                                                              <w:marBottom w:val="0"/>
                                                              <w:divBdr>
                                                                <w:top w:val="none" w:sz="0" w:space="0" w:color="auto"/>
                                                                <w:left w:val="none" w:sz="0" w:space="0" w:color="auto"/>
                                                                <w:bottom w:val="none" w:sz="0" w:space="0" w:color="auto"/>
                                                                <w:right w:val="none" w:sz="0" w:space="0" w:color="auto"/>
                                                              </w:divBdr>
                                                            </w:div>
                                                          </w:divsChild>
                                                        </w:div>
                                                        <w:div w:id="1071808481">
                                                          <w:marLeft w:val="0"/>
                                                          <w:marRight w:val="0"/>
                                                          <w:marTop w:val="0"/>
                                                          <w:marBottom w:val="0"/>
                                                          <w:divBdr>
                                                            <w:top w:val="none" w:sz="0" w:space="0" w:color="auto"/>
                                                            <w:left w:val="none" w:sz="0" w:space="0" w:color="auto"/>
                                                            <w:bottom w:val="none" w:sz="0" w:space="0" w:color="auto"/>
                                                            <w:right w:val="none" w:sz="0" w:space="0" w:color="auto"/>
                                                          </w:divBdr>
                                                          <w:divsChild>
                                                            <w:div w:id="1214151036">
                                                              <w:marLeft w:val="0"/>
                                                              <w:marRight w:val="0"/>
                                                              <w:marTop w:val="0"/>
                                                              <w:marBottom w:val="0"/>
                                                              <w:divBdr>
                                                                <w:top w:val="none" w:sz="0" w:space="0" w:color="auto"/>
                                                                <w:left w:val="none" w:sz="0" w:space="0" w:color="auto"/>
                                                                <w:bottom w:val="none" w:sz="0" w:space="0" w:color="auto"/>
                                                                <w:right w:val="none" w:sz="0" w:space="0" w:color="auto"/>
                                                              </w:divBdr>
                                                            </w:div>
                                                          </w:divsChild>
                                                        </w:div>
                                                        <w:div w:id="1088235067">
                                                          <w:marLeft w:val="0"/>
                                                          <w:marRight w:val="0"/>
                                                          <w:marTop w:val="0"/>
                                                          <w:marBottom w:val="0"/>
                                                          <w:divBdr>
                                                            <w:top w:val="none" w:sz="0" w:space="0" w:color="auto"/>
                                                            <w:left w:val="none" w:sz="0" w:space="0" w:color="auto"/>
                                                            <w:bottom w:val="none" w:sz="0" w:space="0" w:color="auto"/>
                                                            <w:right w:val="none" w:sz="0" w:space="0" w:color="auto"/>
                                                          </w:divBdr>
                                                          <w:divsChild>
                                                            <w:div w:id="1301226006">
                                                              <w:marLeft w:val="0"/>
                                                              <w:marRight w:val="0"/>
                                                              <w:marTop w:val="0"/>
                                                              <w:marBottom w:val="0"/>
                                                              <w:divBdr>
                                                                <w:top w:val="none" w:sz="0" w:space="0" w:color="auto"/>
                                                                <w:left w:val="none" w:sz="0" w:space="0" w:color="auto"/>
                                                                <w:bottom w:val="none" w:sz="0" w:space="0" w:color="auto"/>
                                                                <w:right w:val="none" w:sz="0" w:space="0" w:color="auto"/>
                                                              </w:divBdr>
                                                            </w:div>
                                                          </w:divsChild>
                                                        </w:div>
                                                        <w:div w:id="1092582659">
                                                          <w:marLeft w:val="0"/>
                                                          <w:marRight w:val="0"/>
                                                          <w:marTop w:val="0"/>
                                                          <w:marBottom w:val="0"/>
                                                          <w:divBdr>
                                                            <w:top w:val="none" w:sz="0" w:space="0" w:color="auto"/>
                                                            <w:left w:val="none" w:sz="0" w:space="0" w:color="auto"/>
                                                            <w:bottom w:val="none" w:sz="0" w:space="0" w:color="auto"/>
                                                            <w:right w:val="none" w:sz="0" w:space="0" w:color="auto"/>
                                                          </w:divBdr>
                                                        </w:div>
                                                        <w:div w:id="1096637838">
                                                          <w:marLeft w:val="0"/>
                                                          <w:marRight w:val="0"/>
                                                          <w:marTop w:val="0"/>
                                                          <w:marBottom w:val="0"/>
                                                          <w:divBdr>
                                                            <w:top w:val="none" w:sz="0" w:space="0" w:color="auto"/>
                                                            <w:left w:val="none" w:sz="0" w:space="0" w:color="auto"/>
                                                            <w:bottom w:val="none" w:sz="0" w:space="0" w:color="auto"/>
                                                            <w:right w:val="none" w:sz="0" w:space="0" w:color="auto"/>
                                                          </w:divBdr>
                                                          <w:divsChild>
                                                            <w:div w:id="782071548">
                                                              <w:marLeft w:val="0"/>
                                                              <w:marRight w:val="0"/>
                                                              <w:marTop w:val="0"/>
                                                              <w:marBottom w:val="0"/>
                                                              <w:divBdr>
                                                                <w:top w:val="none" w:sz="0" w:space="0" w:color="auto"/>
                                                                <w:left w:val="none" w:sz="0" w:space="0" w:color="auto"/>
                                                                <w:bottom w:val="none" w:sz="0" w:space="0" w:color="auto"/>
                                                                <w:right w:val="none" w:sz="0" w:space="0" w:color="auto"/>
                                                              </w:divBdr>
                                                            </w:div>
                                                          </w:divsChild>
                                                        </w:div>
                                                        <w:div w:id="1099911716">
                                                          <w:marLeft w:val="0"/>
                                                          <w:marRight w:val="0"/>
                                                          <w:marTop w:val="0"/>
                                                          <w:marBottom w:val="0"/>
                                                          <w:divBdr>
                                                            <w:top w:val="none" w:sz="0" w:space="0" w:color="auto"/>
                                                            <w:left w:val="none" w:sz="0" w:space="0" w:color="auto"/>
                                                            <w:bottom w:val="none" w:sz="0" w:space="0" w:color="auto"/>
                                                            <w:right w:val="none" w:sz="0" w:space="0" w:color="auto"/>
                                                          </w:divBdr>
                                                          <w:divsChild>
                                                            <w:div w:id="876237548">
                                                              <w:marLeft w:val="0"/>
                                                              <w:marRight w:val="0"/>
                                                              <w:marTop w:val="0"/>
                                                              <w:marBottom w:val="0"/>
                                                              <w:divBdr>
                                                                <w:top w:val="none" w:sz="0" w:space="0" w:color="auto"/>
                                                                <w:left w:val="none" w:sz="0" w:space="0" w:color="auto"/>
                                                                <w:bottom w:val="none" w:sz="0" w:space="0" w:color="auto"/>
                                                                <w:right w:val="none" w:sz="0" w:space="0" w:color="auto"/>
                                                              </w:divBdr>
                                                            </w:div>
                                                          </w:divsChild>
                                                        </w:div>
                                                        <w:div w:id="1101755609">
                                                          <w:marLeft w:val="0"/>
                                                          <w:marRight w:val="0"/>
                                                          <w:marTop w:val="0"/>
                                                          <w:marBottom w:val="0"/>
                                                          <w:divBdr>
                                                            <w:top w:val="none" w:sz="0" w:space="0" w:color="auto"/>
                                                            <w:left w:val="none" w:sz="0" w:space="0" w:color="auto"/>
                                                            <w:bottom w:val="none" w:sz="0" w:space="0" w:color="auto"/>
                                                            <w:right w:val="none" w:sz="0" w:space="0" w:color="auto"/>
                                                          </w:divBdr>
                                                          <w:divsChild>
                                                            <w:div w:id="1586300887">
                                                              <w:marLeft w:val="0"/>
                                                              <w:marRight w:val="0"/>
                                                              <w:marTop w:val="0"/>
                                                              <w:marBottom w:val="0"/>
                                                              <w:divBdr>
                                                                <w:top w:val="none" w:sz="0" w:space="0" w:color="auto"/>
                                                                <w:left w:val="none" w:sz="0" w:space="0" w:color="auto"/>
                                                                <w:bottom w:val="none" w:sz="0" w:space="0" w:color="auto"/>
                                                                <w:right w:val="none" w:sz="0" w:space="0" w:color="auto"/>
                                                              </w:divBdr>
                                                            </w:div>
                                                          </w:divsChild>
                                                        </w:div>
                                                        <w:div w:id="1105809674">
                                                          <w:marLeft w:val="0"/>
                                                          <w:marRight w:val="0"/>
                                                          <w:marTop w:val="0"/>
                                                          <w:marBottom w:val="0"/>
                                                          <w:divBdr>
                                                            <w:top w:val="none" w:sz="0" w:space="0" w:color="auto"/>
                                                            <w:left w:val="none" w:sz="0" w:space="0" w:color="auto"/>
                                                            <w:bottom w:val="none" w:sz="0" w:space="0" w:color="auto"/>
                                                            <w:right w:val="none" w:sz="0" w:space="0" w:color="auto"/>
                                                          </w:divBdr>
                                                        </w:div>
                                                        <w:div w:id="1120690283">
                                                          <w:marLeft w:val="0"/>
                                                          <w:marRight w:val="0"/>
                                                          <w:marTop w:val="0"/>
                                                          <w:marBottom w:val="0"/>
                                                          <w:divBdr>
                                                            <w:top w:val="none" w:sz="0" w:space="0" w:color="auto"/>
                                                            <w:left w:val="none" w:sz="0" w:space="0" w:color="auto"/>
                                                            <w:bottom w:val="none" w:sz="0" w:space="0" w:color="auto"/>
                                                            <w:right w:val="none" w:sz="0" w:space="0" w:color="auto"/>
                                                          </w:divBdr>
                                                          <w:divsChild>
                                                            <w:div w:id="1390575240">
                                                              <w:marLeft w:val="0"/>
                                                              <w:marRight w:val="0"/>
                                                              <w:marTop w:val="0"/>
                                                              <w:marBottom w:val="0"/>
                                                              <w:divBdr>
                                                                <w:top w:val="none" w:sz="0" w:space="0" w:color="auto"/>
                                                                <w:left w:val="none" w:sz="0" w:space="0" w:color="auto"/>
                                                                <w:bottom w:val="none" w:sz="0" w:space="0" w:color="auto"/>
                                                                <w:right w:val="none" w:sz="0" w:space="0" w:color="auto"/>
                                                              </w:divBdr>
                                                            </w:div>
                                                          </w:divsChild>
                                                        </w:div>
                                                        <w:div w:id="1123233770">
                                                          <w:marLeft w:val="0"/>
                                                          <w:marRight w:val="0"/>
                                                          <w:marTop w:val="0"/>
                                                          <w:marBottom w:val="0"/>
                                                          <w:divBdr>
                                                            <w:top w:val="none" w:sz="0" w:space="0" w:color="auto"/>
                                                            <w:left w:val="none" w:sz="0" w:space="0" w:color="auto"/>
                                                            <w:bottom w:val="none" w:sz="0" w:space="0" w:color="auto"/>
                                                            <w:right w:val="none" w:sz="0" w:space="0" w:color="auto"/>
                                                          </w:divBdr>
                                                          <w:divsChild>
                                                            <w:div w:id="989797029">
                                                              <w:marLeft w:val="0"/>
                                                              <w:marRight w:val="0"/>
                                                              <w:marTop w:val="0"/>
                                                              <w:marBottom w:val="0"/>
                                                              <w:divBdr>
                                                                <w:top w:val="none" w:sz="0" w:space="0" w:color="auto"/>
                                                                <w:left w:val="none" w:sz="0" w:space="0" w:color="auto"/>
                                                                <w:bottom w:val="none" w:sz="0" w:space="0" w:color="auto"/>
                                                                <w:right w:val="none" w:sz="0" w:space="0" w:color="auto"/>
                                                              </w:divBdr>
                                                            </w:div>
                                                          </w:divsChild>
                                                        </w:div>
                                                        <w:div w:id="1129670697">
                                                          <w:marLeft w:val="0"/>
                                                          <w:marRight w:val="0"/>
                                                          <w:marTop w:val="0"/>
                                                          <w:marBottom w:val="0"/>
                                                          <w:divBdr>
                                                            <w:top w:val="none" w:sz="0" w:space="0" w:color="auto"/>
                                                            <w:left w:val="none" w:sz="0" w:space="0" w:color="auto"/>
                                                            <w:bottom w:val="none" w:sz="0" w:space="0" w:color="auto"/>
                                                            <w:right w:val="none" w:sz="0" w:space="0" w:color="auto"/>
                                                          </w:divBdr>
                                                          <w:divsChild>
                                                            <w:div w:id="1515806485">
                                                              <w:marLeft w:val="0"/>
                                                              <w:marRight w:val="0"/>
                                                              <w:marTop w:val="0"/>
                                                              <w:marBottom w:val="0"/>
                                                              <w:divBdr>
                                                                <w:top w:val="none" w:sz="0" w:space="0" w:color="auto"/>
                                                                <w:left w:val="none" w:sz="0" w:space="0" w:color="auto"/>
                                                                <w:bottom w:val="none" w:sz="0" w:space="0" w:color="auto"/>
                                                                <w:right w:val="none" w:sz="0" w:space="0" w:color="auto"/>
                                                              </w:divBdr>
                                                            </w:div>
                                                          </w:divsChild>
                                                        </w:div>
                                                        <w:div w:id="1130243286">
                                                          <w:marLeft w:val="0"/>
                                                          <w:marRight w:val="0"/>
                                                          <w:marTop w:val="0"/>
                                                          <w:marBottom w:val="0"/>
                                                          <w:divBdr>
                                                            <w:top w:val="none" w:sz="0" w:space="0" w:color="auto"/>
                                                            <w:left w:val="none" w:sz="0" w:space="0" w:color="auto"/>
                                                            <w:bottom w:val="none" w:sz="0" w:space="0" w:color="auto"/>
                                                            <w:right w:val="none" w:sz="0" w:space="0" w:color="auto"/>
                                                          </w:divBdr>
                                                          <w:divsChild>
                                                            <w:div w:id="1515729131">
                                                              <w:marLeft w:val="0"/>
                                                              <w:marRight w:val="0"/>
                                                              <w:marTop w:val="0"/>
                                                              <w:marBottom w:val="0"/>
                                                              <w:divBdr>
                                                                <w:top w:val="none" w:sz="0" w:space="0" w:color="auto"/>
                                                                <w:left w:val="none" w:sz="0" w:space="0" w:color="auto"/>
                                                                <w:bottom w:val="none" w:sz="0" w:space="0" w:color="auto"/>
                                                                <w:right w:val="none" w:sz="0" w:space="0" w:color="auto"/>
                                                              </w:divBdr>
                                                            </w:div>
                                                          </w:divsChild>
                                                        </w:div>
                                                        <w:div w:id="1145273106">
                                                          <w:marLeft w:val="0"/>
                                                          <w:marRight w:val="0"/>
                                                          <w:marTop w:val="0"/>
                                                          <w:marBottom w:val="0"/>
                                                          <w:divBdr>
                                                            <w:top w:val="none" w:sz="0" w:space="0" w:color="auto"/>
                                                            <w:left w:val="none" w:sz="0" w:space="0" w:color="auto"/>
                                                            <w:bottom w:val="none" w:sz="0" w:space="0" w:color="auto"/>
                                                            <w:right w:val="none" w:sz="0" w:space="0" w:color="auto"/>
                                                          </w:divBdr>
                                                          <w:divsChild>
                                                            <w:div w:id="930890752">
                                                              <w:marLeft w:val="0"/>
                                                              <w:marRight w:val="0"/>
                                                              <w:marTop w:val="0"/>
                                                              <w:marBottom w:val="0"/>
                                                              <w:divBdr>
                                                                <w:top w:val="none" w:sz="0" w:space="0" w:color="auto"/>
                                                                <w:left w:val="none" w:sz="0" w:space="0" w:color="auto"/>
                                                                <w:bottom w:val="none" w:sz="0" w:space="0" w:color="auto"/>
                                                                <w:right w:val="none" w:sz="0" w:space="0" w:color="auto"/>
                                                              </w:divBdr>
                                                            </w:div>
                                                          </w:divsChild>
                                                        </w:div>
                                                        <w:div w:id="1150250864">
                                                          <w:marLeft w:val="0"/>
                                                          <w:marRight w:val="0"/>
                                                          <w:marTop w:val="0"/>
                                                          <w:marBottom w:val="0"/>
                                                          <w:divBdr>
                                                            <w:top w:val="none" w:sz="0" w:space="0" w:color="auto"/>
                                                            <w:left w:val="none" w:sz="0" w:space="0" w:color="auto"/>
                                                            <w:bottom w:val="none" w:sz="0" w:space="0" w:color="auto"/>
                                                            <w:right w:val="none" w:sz="0" w:space="0" w:color="auto"/>
                                                          </w:divBdr>
                                                          <w:divsChild>
                                                            <w:div w:id="1685403367">
                                                              <w:marLeft w:val="0"/>
                                                              <w:marRight w:val="0"/>
                                                              <w:marTop w:val="0"/>
                                                              <w:marBottom w:val="0"/>
                                                              <w:divBdr>
                                                                <w:top w:val="none" w:sz="0" w:space="0" w:color="auto"/>
                                                                <w:left w:val="none" w:sz="0" w:space="0" w:color="auto"/>
                                                                <w:bottom w:val="none" w:sz="0" w:space="0" w:color="auto"/>
                                                                <w:right w:val="none" w:sz="0" w:space="0" w:color="auto"/>
                                                              </w:divBdr>
                                                            </w:div>
                                                          </w:divsChild>
                                                        </w:div>
                                                        <w:div w:id="1151143257">
                                                          <w:marLeft w:val="0"/>
                                                          <w:marRight w:val="0"/>
                                                          <w:marTop w:val="0"/>
                                                          <w:marBottom w:val="0"/>
                                                          <w:divBdr>
                                                            <w:top w:val="none" w:sz="0" w:space="0" w:color="auto"/>
                                                            <w:left w:val="none" w:sz="0" w:space="0" w:color="auto"/>
                                                            <w:bottom w:val="none" w:sz="0" w:space="0" w:color="auto"/>
                                                            <w:right w:val="none" w:sz="0" w:space="0" w:color="auto"/>
                                                          </w:divBdr>
                                                          <w:divsChild>
                                                            <w:div w:id="508448068">
                                                              <w:marLeft w:val="0"/>
                                                              <w:marRight w:val="0"/>
                                                              <w:marTop w:val="0"/>
                                                              <w:marBottom w:val="0"/>
                                                              <w:divBdr>
                                                                <w:top w:val="none" w:sz="0" w:space="0" w:color="auto"/>
                                                                <w:left w:val="none" w:sz="0" w:space="0" w:color="auto"/>
                                                                <w:bottom w:val="none" w:sz="0" w:space="0" w:color="auto"/>
                                                                <w:right w:val="none" w:sz="0" w:space="0" w:color="auto"/>
                                                              </w:divBdr>
                                                            </w:div>
                                                          </w:divsChild>
                                                        </w:div>
                                                        <w:div w:id="1153376671">
                                                          <w:marLeft w:val="0"/>
                                                          <w:marRight w:val="0"/>
                                                          <w:marTop w:val="0"/>
                                                          <w:marBottom w:val="0"/>
                                                          <w:divBdr>
                                                            <w:top w:val="none" w:sz="0" w:space="0" w:color="auto"/>
                                                            <w:left w:val="none" w:sz="0" w:space="0" w:color="auto"/>
                                                            <w:bottom w:val="none" w:sz="0" w:space="0" w:color="auto"/>
                                                            <w:right w:val="none" w:sz="0" w:space="0" w:color="auto"/>
                                                          </w:divBdr>
                                                          <w:divsChild>
                                                            <w:div w:id="376583560">
                                                              <w:marLeft w:val="0"/>
                                                              <w:marRight w:val="0"/>
                                                              <w:marTop w:val="0"/>
                                                              <w:marBottom w:val="0"/>
                                                              <w:divBdr>
                                                                <w:top w:val="none" w:sz="0" w:space="0" w:color="auto"/>
                                                                <w:left w:val="none" w:sz="0" w:space="0" w:color="auto"/>
                                                                <w:bottom w:val="none" w:sz="0" w:space="0" w:color="auto"/>
                                                                <w:right w:val="none" w:sz="0" w:space="0" w:color="auto"/>
                                                              </w:divBdr>
                                                            </w:div>
                                                          </w:divsChild>
                                                        </w:div>
                                                        <w:div w:id="1156844529">
                                                          <w:marLeft w:val="0"/>
                                                          <w:marRight w:val="0"/>
                                                          <w:marTop w:val="0"/>
                                                          <w:marBottom w:val="0"/>
                                                          <w:divBdr>
                                                            <w:top w:val="none" w:sz="0" w:space="0" w:color="auto"/>
                                                            <w:left w:val="none" w:sz="0" w:space="0" w:color="auto"/>
                                                            <w:bottom w:val="none" w:sz="0" w:space="0" w:color="auto"/>
                                                            <w:right w:val="none" w:sz="0" w:space="0" w:color="auto"/>
                                                          </w:divBdr>
                                                          <w:divsChild>
                                                            <w:div w:id="979111101">
                                                              <w:marLeft w:val="0"/>
                                                              <w:marRight w:val="0"/>
                                                              <w:marTop w:val="0"/>
                                                              <w:marBottom w:val="0"/>
                                                              <w:divBdr>
                                                                <w:top w:val="none" w:sz="0" w:space="0" w:color="auto"/>
                                                                <w:left w:val="none" w:sz="0" w:space="0" w:color="auto"/>
                                                                <w:bottom w:val="none" w:sz="0" w:space="0" w:color="auto"/>
                                                                <w:right w:val="none" w:sz="0" w:space="0" w:color="auto"/>
                                                              </w:divBdr>
                                                            </w:div>
                                                          </w:divsChild>
                                                        </w:div>
                                                        <w:div w:id="1159273677">
                                                          <w:marLeft w:val="0"/>
                                                          <w:marRight w:val="0"/>
                                                          <w:marTop w:val="0"/>
                                                          <w:marBottom w:val="0"/>
                                                          <w:divBdr>
                                                            <w:top w:val="none" w:sz="0" w:space="0" w:color="auto"/>
                                                            <w:left w:val="none" w:sz="0" w:space="0" w:color="auto"/>
                                                            <w:bottom w:val="none" w:sz="0" w:space="0" w:color="auto"/>
                                                            <w:right w:val="none" w:sz="0" w:space="0" w:color="auto"/>
                                                          </w:divBdr>
                                                        </w:div>
                                                        <w:div w:id="1181159119">
                                                          <w:marLeft w:val="0"/>
                                                          <w:marRight w:val="0"/>
                                                          <w:marTop w:val="0"/>
                                                          <w:marBottom w:val="0"/>
                                                          <w:divBdr>
                                                            <w:top w:val="none" w:sz="0" w:space="0" w:color="auto"/>
                                                            <w:left w:val="none" w:sz="0" w:space="0" w:color="auto"/>
                                                            <w:bottom w:val="none" w:sz="0" w:space="0" w:color="auto"/>
                                                            <w:right w:val="none" w:sz="0" w:space="0" w:color="auto"/>
                                                          </w:divBdr>
                                                          <w:divsChild>
                                                            <w:div w:id="710225491">
                                                              <w:marLeft w:val="0"/>
                                                              <w:marRight w:val="0"/>
                                                              <w:marTop w:val="0"/>
                                                              <w:marBottom w:val="0"/>
                                                              <w:divBdr>
                                                                <w:top w:val="none" w:sz="0" w:space="0" w:color="auto"/>
                                                                <w:left w:val="none" w:sz="0" w:space="0" w:color="auto"/>
                                                                <w:bottom w:val="none" w:sz="0" w:space="0" w:color="auto"/>
                                                                <w:right w:val="none" w:sz="0" w:space="0" w:color="auto"/>
                                                              </w:divBdr>
                                                            </w:div>
                                                          </w:divsChild>
                                                        </w:div>
                                                        <w:div w:id="1188328477">
                                                          <w:marLeft w:val="0"/>
                                                          <w:marRight w:val="0"/>
                                                          <w:marTop w:val="0"/>
                                                          <w:marBottom w:val="0"/>
                                                          <w:divBdr>
                                                            <w:top w:val="none" w:sz="0" w:space="0" w:color="auto"/>
                                                            <w:left w:val="none" w:sz="0" w:space="0" w:color="auto"/>
                                                            <w:bottom w:val="none" w:sz="0" w:space="0" w:color="auto"/>
                                                            <w:right w:val="none" w:sz="0" w:space="0" w:color="auto"/>
                                                          </w:divBdr>
                                                          <w:divsChild>
                                                            <w:div w:id="1822497108">
                                                              <w:marLeft w:val="0"/>
                                                              <w:marRight w:val="0"/>
                                                              <w:marTop w:val="0"/>
                                                              <w:marBottom w:val="0"/>
                                                              <w:divBdr>
                                                                <w:top w:val="none" w:sz="0" w:space="0" w:color="auto"/>
                                                                <w:left w:val="none" w:sz="0" w:space="0" w:color="auto"/>
                                                                <w:bottom w:val="none" w:sz="0" w:space="0" w:color="auto"/>
                                                                <w:right w:val="none" w:sz="0" w:space="0" w:color="auto"/>
                                                              </w:divBdr>
                                                            </w:div>
                                                          </w:divsChild>
                                                        </w:div>
                                                        <w:div w:id="1194660487">
                                                          <w:marLeft w:val="0"/>
                                                          <w:marRight w:val="0"/>
                                                          <w:marTop w:val="0"/>
                                                          <w:marBottom w:val="0"/>
                                                          <w:divBdr>
                                                            <w:top w:val="none" w:sz="0" w:space="0" w:color="auto"/>
                                                            <w:left w:val="none" w:sz="0" w:space="0" w:color="auto"/>
                                                            <w:bottom w:val="none" w:sz="0" w:space="0" w:color="auto"/>
                                                            <w:right w:val="none" w:sz="0" w:space="0" w:color="auto"/>
                                                          </w:divBdr>
                                                          <w:divsChild>
                                                            <w:div w:id="435907476">
                                                              <w:marLeft w:val="0"/>
                                                              <w:marRight w:val="0"/>
                                                              <w:marTop w:val="0"/>
                                                              <w:marBottom w:val="0"/>
                                                              <w:divBdr>
                                                                <w:top w:val="none" w:sz="0" w:space="0" w:color="auto"/>
                                                                <w:left w:val="none" w:sz="0" w:space="0" w:color="auto"/>
                                                                <w:bottom w:val="none" w:sz="0" w:space="0" w:color="auto"/>
                                                                <w:right w:val="none" w:sz="0" w:space="0" w:color="auto"/>
                                                              </w:divBdr>
                                                            </w:div>
                                                          </w:divsChild>
                                                        </w:div>
                                                        <w:div w:id="1194685605">
                                                          <w:marLeft w:val="0"/>
                                                          <w:marRight w:val="0"/>
                                                          <w:marTop w:val="0"/>
                                                          <w:marBottom w:val="0"/>
                                                          <w:divBdr>
                                                            <w:top w:val="none" w:sz="0" w:space="0" w:color="auto"/>
                                                            <w:left w:val="none" w:sz="0" w:space="0" w:color="auto"/>
                                                            <w:bottom w:val="none" w:sz="0" w:space="0" w:color="auto"/>
                                                            <w:right w:val="none" w:sz="0" w:space="0" w:color="auto"/>
                                                          </w:divBdr>
                                                          <w:divsChild>
                                                            <w:div w:id="1303388070">
                                                              <w:marLeft w:val="0"/>
                                                              <w:marRight w:val="0"/>
                                                              <w:marTop w:val="0"/>
                                                              <w:marBottom w:val="0"/>
                                                              <w:divBdr>
                                                                <w:top w:val="none" w:sz="0" w:space="0" w:color="auto"/>
                                                                <w:left w:val="none" w:sz="0" w:space="0" w:color="auto"/>
                                                                <w:bottom w:val="none" w:sz="0" w:space="0" w:color="auto"/>
                                                                <w:right w:val="none" w:sz="0" w:space="0" w:color="auto"/>
                                                              </w:divBdr>
                                                            </w:div>
                                                          </w:divsChild>
                                                        </w:div>
                                                        <w:div w:id="1226331472">
                                                          <w:marLeft w:val="0"/>
                                                          <w:marRight w:val="0"/>
                                                          <w:marTop w:val="0"/>
                                                          <w:marBottom w:val="0"/>
                                                          <w:divBdr>
                                                            <w:top w:val="none" w:sz="0" w:space="0" w:color="auto"/>
                                                            <w:left w:val="none" w:sz="0" w:space="0" w:color="auto"/>
                                                            <w:bottom w:val="none" w:sz="0" w:space="0" w:color="auto"/>
                                                            <w:right w:val="none" w:sz="0" w:space="0" w:color="auto"/>
                                                          </w:divBdr>
                                                          <w:divsChild>
                                                            <w:div w:id="605885707">
                                                              <w:marLeft w:val="0"/>
                                                              <w:marRight w:val="0"/>
                                                              <w:marTop w:val="0"/>
                                                              <w:marBottom w:val="0"/>
                                                              <w:divBdr>
                                                                <w:top w:val="none" w:sz="0" w:space="0" w:color="auto"/>
                                                                <w:left w:val="none" w:sz="0" w:space="0" w:color="auto"/>
                                                                <w:bottom w:val="none" w:sz="0" w:space="0" w:color="auto"/>
                                                                <w:right w:val="none" w:sz="0" w:space="0" w:color="auto"/>
                                                              </w:divBdr>
                                                            </w:div>
                                                          </w:divsChild>
                                                        </w:div>
                                                        <w:div w:id="1232692663">
                                                          <w:marLeft w:val="0"/>
                                                          <w:marRight w:val="0"/>
                                                          <w:marTop w:val="0"/>
                                                          <w:marBottom w:val="0"/>
                                                          <w:divBdr>
                                                            <w:top w:val="none" w:sz="0" w:space="0" w:color="auto"/>
                                                            <w:left w:val="none" w:sz="0" w:space="0" w:color="auto"/>
                                                            <w:bottom w:val="none" w:sz="0" w:space="0" w:color="auto"/>
                                                            <w:right w:val="none" w:sz="0" w:space="0" w:color="auto"/>
                                                          </w:divBdr>
                                                          <w:divsChild>
                                                            <w:div w:id="1734813547">
                                                              <w:marLeft w:val="0"/>
                                                              <w:marRight w:val="0"/>
                                                              <w:marTop w:val="0"/>
                                                              <w:marBottom w:val="0"/>
                                                              <w:divBdr>
                                                                <w:top w:val="none" w:sz="0" w:space="0" w:color="auto"/>
                                                                <w:left w:val="none" w:sz="0" w:space="0" w:color="auto"/>
                                                                <w:bottom w:val="none" w:sz="0" w:space="0" w:color="auto"/>
                                                                <w:right w:val="none" w:sz="0" w:space="0" w:color="auto"/>
                                                              </w:divBdr>
                                                            </w:div>
                                                          </w:divsChild>
                                                        </w:div>
                                                        <w:div w:id="1234244239">
                                                          <w:marLeft w:val="0"/>
                                                          <w:marRight w:val="0"/>
                                                          <w:marTop w:val="0"/>
                                                          <w:marBottom w:val="0"/>
                                                          <w:divBdr>
                                                            <w:top w:val="none" w:sz="0" w:space="0" w:color="auto"/>
                                                            <w:left w:val="none" w:sz="0" w:space="0" w:color="auto"/>
                                                            <w:bottom w:val="none" w:sz="0" w:space="0" w:color="auto"/>
                                                            <w:right w:val="none" w:sz="0" w:space="0" w:color="auto"/>
                                                          </w:divBdr>
                                                          <w:divsChild>
                                                            <w:div w:id="1935625140">
                                                              <w:marLeft w:val="0"/>
                                                              <w:marRight w:val="0"/>
                                                              <w:marTop w:val="0"/>
                                                              <w:marBottom w:val="0"/>
                                                              <w:divBdr>
                                                                <w:top w:val="none" w:sz="0" w:space="0" w:color="auto"/>
                                                                <w:left w:val="none" w:sz="0" w:space="0" w:color="auto"/>
                                                                <w:bottom w:val="none" w:sz="0" w:space="0" w:color="auto"/>
                                                                <w:right w:val="none" w:sz="0" w:space="0" w:color="auto"/>
                                                              </w:divBdr>
                                                            </w:div>
                                                          </w:divsChild>
                                                        </w:div>
                                                        <w:div w:id="1252618536">
                                                          <w:marLeft w:val="0"/>
                                                          <w:marRight w:val="0"/>
                                                          <w:marTop w:val="0"/>
                                                          <w:marBottom w:val="0"/>
                                                          <w:divBdr>
                                                            <w:top w:val="none" w:sz="0" w:space="0" w:color="auto"/>
                                                            <w:left w:val="none" w:sz="0" w:space="0" w:color="auto"/>
                                                            <w:bottom w:val="none" w:sz="0" w:space="0" w:color="auto"/>
                                                            <w:right w:val="none" w:sz="0" w:space="0" w:color="auto"/>
                                                          </w:divBdr>
                                                        </w:div>
                                                        <w:div w:id="1273708395">
                                                          <w:marLeft w:val="0"/>
                                                          <w:marRight w:val="0"/>
                                                          <w:marTop w:val="0"/>
                                                          <w:marBottom w:val="0"/>
                                                          <w:divBdr>
                                                            <w:top w:val="none" w:sz="0" w:space="0" w:color="auto"/>
                                                            <w:left w:val="none" w:sz="0" w:space="0" w:color="auto"/>
                                                            <w:bottom w:val="none" w:sz="0" w:space="0" w:color="auto"/>
                                                            <w:right w:val="none" w:sz="0" w:space="0" w:color="auto"/>
                                                          </w:divBdr>
                                                          <w:divsChild>
                                                            <w:div w:id="748383468">
                                                              <w:marLeft w:val="0"/>
                                                              <w:marRight w:val="0"/>
                                                              <w:marTop w:val="0"/>
                                                              <w:marBottom w:val="0"/>
                                                              <w:divBdr>
                                                                <w:top w:val="none" w:sz="0" w:space="0" w:color="auto"/>
                                                                <w:left w:val="none" w:sz="0" w:space="0" w:color="auto"/>
                                                                <w:bottom w:val="none" w:sz="0" w:space="0" w:color="auto"/>
                                                                <w:right w:val="none" w:sz="0" w:space="0" w:color="auto"/>
                                                              </w:divBdr>
                                                            </w:div>
                                                          </w:divsChild>
                                                        </w:div>
                                                        <w:div w:id="1276447401">
                                                          <w:marLeft w:val="0"/>
                                                          <w:marRight w:val="0"/>
                                                          <w:marTop w:val="0"/>
                                                          <w:marBottom w:val="0"/>
                                                          <w:divBdr>
                                                            <w:top w:val="none" w:sz="0" w:space="0" w:color="auto"/>
                                                            <w:left w:val="none" w:sz="0" w:space="0" w:color="auto"/>
                                                            <w:bottom w:val="none" w:sz="0" w:space="0" w:color="auto"/>
                                                            <w:right w:val="none" w:sz="0" w:space="0" w:color="auto"/>
                                                          </w:divBdr>
                                                          <w:divsChild>
                                                            <w:div w:id="881401056">
                                                              <w:marLeft w:val="0"/>
                                                              <w:marRight w:val="0"/>
                                                              <w:marTop w:val="0"/>
                                                              <w:marBottom w:val="0"/>
                                                              <w:divBdr>
                                                                <w:top w:val="none" w:sz="0" w:space="0" w:color="auto"/>
                                                                <w:left w:val="none" w:sz="0" w:space="0" w:color="auto"/>
                                                                <w:bottom w:val="none" w:sz="0" w:space="0" w:color="auto"/>
                                                                <w:right w:val="none" w:sz="0" w:space="0" w:color="auto"/>
                                                              </w:divBdr>
                                                            </w:div>
                                                          </w:divsChild>
                                                        </w:div>
                                                        <w:div w:id="1276908680">
                                                          <w:marLeft w:val="0"/>
                                                          <w:marRight w:val="0"/>
                                                          <w:marTop w:val="0"/>
                                                          <w:marBottom w:val="0"/>
                                                          <w:divBdr>
                                                            <w:top w:val="none" w:sz="0" w:space="0" w:color="auto"/>
                                                            <w:left w:val="none" w:sz="0" w:space="0" w:color="auto"/>
                                                            <w:bottom w:val="none" w:sz="0" w:space="0" w:color="auto"/>
                                                            <w:right w:val="none" w:sz="0" w:space="0" w:color="auto"/>
                                                          </w:divBdr>
                                                          <w:divsChild>
                                                            <w:div w:id="1673795688">
                                                              <w:marLeft w:val="0"/>
                                                              <w:marRight w:val="0"/>
                                                              <w:marTop w:val="0"/>
                                                              <w:marBottom w:val="0"/>
                                                              <w:divBdr>
                                                                <w:top w:val="none" w:sz="0" w:space="0" w:color="auto"/>
                                                                <w:left w:val="none" w:sz="0" w:space="0" w:color="auto"/>
                                                                <w:bottom w:val="none" w:sz="0" w:space="0" w:color="auto"/>
                                                                <w:right w:val="none" w:sz="0" w:space="0" w:color="auto"/>
                                                              </w:divBdr>
                                                            </w:div>
                                                          </w:divsChild>
                                                        </w:div>
                                                        <w:div w:id="1282423682">
                                                          <w:marLeft w:val="0"/>
                                                          <w:marRight w:val="0"/>
                                                          <w:marTop w:val="0"/>
                                                          <w:marBottom w:val="0"/>
                                                          <w:divBdr>
                                                            <w:top w:val="none" w:sz="0" w:space="0" w:color="auto"/>
                                                            <w:left w:val="none" w:sz="0" w:space="0" w:color="auto"/>
                                                            <w:bottom w:val="none" w:sz="0" w:space="0" w:color="auto"/>
                                                            <w:right w:val="none" w:sz="0" w:space="0" w:color="auto"/>
                                                          </w:divBdr>
                                                          <w:divsChild>
                                                            <w:div w:id="1264536757">
                                                              <w:marLeft w:val="0"/>
                                                              <w:marRight w:val="0"/>
                                                              <w:marTop w:val="0"/>
                                                              <w:marBottom w:val="0"/>
                                                              <w:divBdr>
                                                                <w:top w:val="none" w:sz="0" w:space="0" w:color="auto"/>
                                                                <w:left w:val="none" w:sz="0" w:space="0" w:color="auto"/>
                                                                <w:bottom w:val="none" w:sz="0" w:space="0" w:color="auto"/>
                                                                <w:right w:val="none" w:sz="0" w:space="0" w:color="auto"/>
                                                              </w:divBdr>
                                                            </w:div>
                                                          </w:divsChild>
                                                        </w:div>
                                                        <w:div w:id="1283876860">
                                                          <w:marLeft w:val="0"/>
                                                          <w:marRight w:val="0"/>
                                                          <w:marTop w:val="0"/>
                                                          <w:marBottom w:val="0"/>
                                                          <w:divBdr>
                                                            <w:top w:val="none" w:sz="0" w:space="0" w:color="auto"/>
                                                            <w:left w:val="none" w:sz="0" w:space="0" w:color="auto"/>
                                                            <w:bottom w:val="none" w:sz="0" w:space="0" w:color="auto"/>
                                                            <w:right w:val="none" w:sz="0" w:space="0" w:color="auto"/>
                                                          </w:divBdr>
                                                          <w:divsChild>
                                                            <w:div w:id="318118709">
                                                              <w:marLeft w:val="0"/>
                                                              <w:marRight w:val="0"/>
                                                              <w:marTop w:val="0"/>
                                                              <w:marBottom w:val="0"/>
                                                              <w:divBdr>
                                                                <w:top w:val="none" w:sz="0" w:space="0" w:color="auto"/>
                                                                <w:left w:val="none" w:sz="0" w:space="0" w:color="auto"/>
                                                                <w:bottom w:val="none" w:sz="0" w:space="0" w:color="auto"/>
                                                                <w:right w:val="none" w:sz="0" w:space="0" w:color="auto"/>
                                                              </w:divBdr>
                                                            </w:div>
                                                          </w:divsChild>
                                                        </w:div>
                                                        <w:div w:id="1292588135">
                                                          <w:marLeft w:val="0"/>
                                                          <w:marRight w:val="0"/>
                                                          <w:marTop w:val="0"/>
                                                          <w:marBottom w:val="0"/>
                                                          <w:divBdr>
                                                            <w:top w:val="none" w:sz="0" w:space="0" w:color="auto"/>
                                                            <w:left w:val="none" w:sz="0" w:space="0" w:color="auto"/>
                                                            <w:bottom w:val="none" w:sz="0" w:space="0" w:color="auto"/>
                                                            <w:right w:val="none" w:sz="0" w:space="0" w:color="auto"/>
                                                          </w:divBdr>
                                                          <w:divsChild>
                                                            <w:div w:id="1314676114">
                                                              <w:marLeft w:val="0"/>
                                                              <w:marRight w:val="0"/>
                                                              <w:marTop w:val="0"/>
                                                              <w:marBottom w:val="0"/>
                                                              <w:divBdr>
                                                                <w:top w:val="none" w:sz="0" w:space="0" w:color="auto"/>
                                                                <w:left w:val="none" w:sz="0" w:space="0" w:color="auto"/>
                                                                <w:bottom w:val="none" w:sz="0" w:space="0" w:color="auto"/>
                                                                <w:right w:val="none" w:sz="0" w:space="0" w:color="auto"/>
                                                              </w:divBdr>
                                                            </w:div>
                                                          </w:divsChild>
                                                        </w:div>
                                                        <w:div w:id="1298804522">
                                                          <w:marLeft w:val="0"/>
                                                          <w:marRight w:val="0"/>
                                                          <w:marTop w:val="0"/>
                                                          <w:marBottom w:val="0"/>
                                                          <w:divBdr>
                                                            <w:top w:val="none" w:sz="0" w:space="0" w:color="auto"/>
                                                            <w:left w:val="none" w:sz="0" w:space="0" w:color="auto"/>
                                                            <w:bottom w:val="none" w:sz="0" w:space="0" w:color="auto"/>
                                                            <w:right w:val="none" w:sz="0" w:space="0" w:color="auto"/>
                                                          </w:divBdr>
                                                          <w:divsChild>
                                                            <w:div w:id="2138064222">
                                                              <w:marLeft w:val="0"/>
                                                              <w:marRight w:val="0"/>
                                                              <w:marTop w:val="0"/>
                                                              <w:marBottom w:val="0"/>
                                                              <w:divBdr>
                                                                <w:top w:val="none" w:sz="0" w:space="0" w:color="auto"/>
                                                                <w:left w:val="none" w:sz="0" w:space="0" w:color="auto"/>
                                                                <w:bottom w:val="none" w:sz="0" w:space="0" w:color="auto"/>
                                                                <w:right w:val="none" w:sz="0" w:space="0" w:color="auto"/>
                                                              </w:divBdr>
                                                            </w:div>
                                                          </w:divsChild>
                                                        </w:div>
                                                        <w:div w:id="1299186393">
                                                          <w:marLeft w:val="0"/>
                                                          <w:marRight w:val="0"/>
                                                          <w:marTop w:val="0"/>
                                                          <w:marBottom w:val="0"/>
                                                          <w:divBdr>
                                                            <w:top w:val="none" w:sz="0" w:space="0" w:color="auto"/>
                                                            <w:left w:val="none" w:sz="0" w:space="0" w:color="auto"/>
                                                            <w:bottom w:val="none" w:sz="0" w:space="0" w:color="auto"/>
                                                            <w:right w:val="none" w:sz="0" w:space="0" w:color="auto"/>
                                                          </w:divBdr>
                                                          <w:divsChild>
                                                            <w:div w:id="947468370">
                                                              <w:marLeft w:val="0"/>
                                                              <w:marRight w:val="0"/>
                                                              <w:marTop w:val="0"/>
                                                              <w:marBottom w:val="0"/>
                                                              <w:divBdr>
                                                                <w:top w:val="none" w:sz="0" w:space="0" w:color="auto"/>
                                                                <w:left w:val="none" w:sz="0" w:space="0" w:color="auto"/>
                                                                <w:bottom w:val="none" w:sz="0" w:space="0" w:color="auto"/>
                                                                <w:right w:val="none" w:sz="0" w:space="0" w:color="auto"/>
                                                              </w:divBdr>
                                                            </w:div>
                                                          </w:divsChild>
                                                        </w:div>
                                                        <w:div w:id="1310012558">
                                                          <w:marLeft w:val="0"/>
                                                          <w:marRight w:val="0"/>
                                                          <w:marTop w:val="0"/>
                                                          <w:marBottom w:val="0"/>
                                                          <w:divBdr>
                                                            <w:top w:val="none" w:sz="0" w:space="0" w:color="auto"/>
                                                            <w:left w:val="none" w:sz="0" w:space="0" w:color="auto"/>
                                                            <w:bottom w:val="none" w:sz="0" w:space="0" w:color="auto"/>
                                                            <w:right w:val="none" w:sz="0" w:space="0" w:color="auto"/>
                                                          </w:divBdr>
                                                          <w:divsChild>
                                                            <w:div w:id="1168012125">
                                                              <w:marLeft w:val="0"/>
                                                              <w:marRight w:val="0"/>
                                                              <w:marTop w:val="0"/>
                                                              <w:marBottom w:val="0"/>
                                                              <w:divBdr>
                                                                <w:top w:val="none" w:sz="0" w:space="0" w:color="auto"/>
                                                                <w:left w:val="none" w:sz="0" w:space="0" w:color="auto"/>
                                                                <w:bottom w:val="none" w:sz="0" w:space="0" w:color="auto"/>
                                                                <w:right w:val="none" w:sz="0" w:space="0" w:color="auto"/>
                                                              </w:divBdr>
                                                            </w:div>
                                                          </w:divsChild>
                                                        </w:div>
                                                        <w:div w:id="1311903117">
                                                          <w:marLeft w:val="0"/>
                                                          <w:marRight w:val="0"/>
                                                          <w:marTop w:val="0"/>
                                                          <w:marBottom w:val="0"/>
                                                          <w:divBdr>
                                                            <w:top w:val="none" w:sz="0" w:space="0" w:color="auto"/>
                                                            <w:left w:val="none" w:sz="0" w:space="0" w:color="auto"/>
                                                            <w:bottom w:val="none" w:sz="0" w:space="0" w:color="auto"/>
                                                            <w:right w:val="none" w:sz="0" w:space="0" w:color="auto"/>
                                                          </w:divBdr>
                                                          <w:divsChild>
                                                            <w:div w:id="78137745">
                                                              <w:marLeft w:val="0"/>
                                                              <w:marRight w:val="0"/>
                                                              <w:marTop w:val="0"/>
                                                              <w:marBottom w:val="0"/>
                                                              <w:divBdr>
                                                                <w:top w:val="none" w:sz="0" w:space="0" w:color="auto"/>
                                                                <w:left w:val="none" w:sz="0" w:space="0" w:color="auto"/>
                                                                <w:bottom w:val="none" w:sz="0" w:space="0" w:color="auto"/>
                                                                <w:right w:val="none" w:sz="0" w:space="0" w:color="auto"/>
                                                              </w:divBdr>
                                                            </w:div>
                                                          </w:divsChild>
                                                        </w:div>
                                                        <w:div w:id="1312828085">
                                                          <w:marLeft w:val="0"/>
                                                          <w:marRight w:val="0"/>
                                                          <w:marTop w:val="0"/>
                                                          <w:marBottom w:val="0"/>
                                                          <w:divBdr>
                                                            <w:top w:val="none" w:sz="0" w:space="0" w:color="auto"/>
                                                            <w:left w:val="none" w:sz="0" w:space="0" w:color="auto"/>
                                                            <w:bottom w:val="none" w:sz="0" w:space="0" w:color="auto"/>
                                                            <w:right w:val="none" w:sz="0" w:space="0" w:color="auto"/>
                                                          </w:divBdr>
                                                          <w:divsChild>
                                                            <w:div w:id="977035353">
                                                              <w:marLeft w:val="0"/>
                                                              <w:marRight w:val="0"/>
                                                              <w:marTop w:val="0"/>
                                                              <w:marBottom w:val="0"/>
                                                              <w:divBdr>
                                                                <w:top w:val="none" w:sz="0" w:space="0" w:color="auto"/>
                                                                <w:left w:val="none" w:sz="0" w:space="0" w:color="auto"/>
                                                                <w:bottom w:val="none" w:sz="0" w:space="0" w:color="auto"/>
                                                                <w:right w:val="none" w:sz="0" w:space="0" w:color="auto"/>
                                                              </w:divBdr>
                                                            </w:div>
                                                          </w:divsChild>
                                                        </w:div>
                                                        <w:div w:id="1324309811">
                                                          <w:marLeft w:val="0"/>
                                                          <w:marRight w:val="0"/>
                                                          <w:marTop w:val="0"/>
                                                          <w:marBottom w:val="0"/>
                                                          <w:divBdr>
                                                            <w:top w:val="none" w:sz="0" w:space="0" w:color="auto"/>
                                                            <w:left w:val="none" w:sz="0" w:space="0" w:color="auto"/>
                                                            <w:bottom w:val="none" w:sz="0" w:space="0" w:color="auto"/>
                                                            <w:right w:val="none" w:sz="0" w:space="0" w:color="auto"/>
                                                          </w:divBdr>
                                                          <w:divsChild>
                                                            <w:div w:id="666788773">
                                                              <w:marLeft w:val="0"/>
                                                              <w:marRight w:val="0"/>
                                                              <w:marTop w:val="0"/>
                                                              <w:marBottom w:val="0"/>
                                                              <w:divBdr>
                                                                <w:top w:val="none" w:sz="0" w:space="0" w:color="auto"/>
                                                                <w:left w:val="none" w:sz="0" w:space="0" w:color="auto"/>
                                                                <w:bottom w:val="none" w:sz="0" w:space="0" w:color="auto"/>
                                                                <w:right w:val="none" w:sz="0" w:space="0" w:color="auto"/>
                                                              </w:divBdr>
                                                            </w:div>
                                                          </w:divsChild>
                                                        </w:div>
                                                        <w:div w:id="1360354379">
                                                          <w:marLeft w:val="0"/>
                                                          <w:marRight w:val="0"/>
                                                          <w:marTop w:val="0"/>
                                                          <w:marBottom w:val="0"/>
                                                          <w:divBdr>
                                                            <w:top w:val="none" w:sz="0" w:space="0" w:color="auto"/>
                                                            <w:left w:val="none" w:sz="0" w:space="0" w:color="auto"/>
                                                            <w:bottom w:val="none" w:sz="0" w:space="0" w:color="auto"/>
                                                            <w:right w:val="none" w:sz="0" w:space="0" w:color="auto"/>
                                                          </w:divBdr>
                                                          <w:divsChild>
                                                            <w:div w:id="1293097534">
                                                              <w:marLeft w:val="0"/>
                                                              <w:marRight w:val="0"/>
                                                              <w:marTop w:val="0"/>
                                                              <w:marBottom w:val="0"/>
                                                              <w:divBdr>
                                                                <w:top w:val="none" w:sz="0" w:space="0" w:color="auto"/>
                                                                <w:left w:val="none" w:sz="0" w:space="0" w:color="auto"/>
                                                                <w:bottom w:val="none" w:sz="0" w:space="0" w:color="auto"/>
                                                                <w:right w:val="none" w:sz="0" w:space="0" w:color="auto"/>
                                                              </w:divBdr>
                                                            </w:div>
                                                          </w:divsChild>
                                                        </w:div>
                                                        <w:div w:id="1370253473">
                                                          <w:marLeft w:val="0"/>
                                                          <w:marRight w:val="0"/>
                                                          <w:marTop w:val="0"/>
                                                          <w:marBottom w:val="0"/>
                                                          <w:divBdr>
                                                            <w:top w:val="none" w:sz="0" w:space="0" w:color="auto"/>
                                                            <w:left w:val="none" w:sz="0" w:space="0" w:color="auto"/>
                                                            <w:bottom w:val="none" w:sz="0" w:space="0" w:color="auto"/>
                                                            <w:right w:val="none" w:sz="0" w:space="0" w:color="auto"/>
                                                          </w:divBdr>
                                                          <w:divsChild>
                                                            <w:div w:id="555506716">
                                                              <w:marLeft w:val="0"/>
                                                              <w:marRight w:val="0"/>
                                                              <w:marTop w:val="0"/>
                                                              <w:marBottom w:val="0"/>
                                                              <w:divBdr>
                                                                <w:top w:val="none" w:sz="0" w:space="0" w:color="auto"/>
                                                                <w:left w:val="none" w:sz="0" w:space="0" w:color="auto"/>
                                                                <w:bottom w:val="none" w:sz="0" w:space="0" w:color="auto"/>
                                                                <w:right w:val="none" w:sz="0" w:space="0" w:color="auto"/>
                                                              </w:divBdr>
                                                            </w:div>
                                                          </w:divsChild>
                                                        </w:div>
                                                        <w:div w:id="1379549732">
                                                          <w:marLeft w:val="0"/>
                                                          <w:marRight w:val="0"/>
                                                          <w:marTop w:val="0"/>
                                                          <w:marBottom w:val="0"/>
                                                          <w:divBdr>
                                                            <w:top w:val="none" w:sz="0" w:space="0" w:color="auto"/>
                                                            <w:left w:val="none" w:sz="0" w:space="0" w:color="auto"/>
                                                            <w:bottom w:val="none" w:sz="0" w:space="0" w:color="auto"/>
                                                            <w:right w:val="none" w:sz="0" w:space="0" w:color="auto"/>
                                                          </w:divBdr>
                                                          <w:divsChild>
                                                            <w:div w:id="1316102085">
                                                              <w:marLeft w:val="0"/>
                                                              <w:marRight w:val="0"/>
                                                              <w:marTop w:val="0"/>
                                                              <w:marBottom w:val="0"/>
                                                              <w:divBdr>
                                                                <w:top w:val="none" w:sz="0" w:space="0" w:color="auto"/>
                                                                <w:left w:val="none" w:sz="0" w:space="0" w:color="auto"/>
                                                                <w:bottom w:val="none" w:sz="0" w:space="0" w:color="auto"/>
                                                                <w:right w:val="none" w:sz="0" w:space="0" w:color="auto"/>
                                                              </w:divBdr>
                                                            </w:div>
                                                          </w:divsChild>
                                                        </w:div>
                                                        <w:div w:id="1390953214">
                                                          <w:marLeft w:val="0"/>
                                                          <w:marRight w:val="0"/>
                                                          <w:marTop w:val="0"/>
                                                          <w:marBottom w:val="0"/>
                                                          <w:divBdr>
                                                            <w:top w:val="none" w:sz="0" w:space="0" w:color="auto"/>
                                                            <w:left w:val="none" w:sz="0" w:space="0" w:color="auto"/>
                                                            <w:bottom w:val="none" w:sz="0" w:space="0" w:color="auto"/>
                                                            <w:right w:val="none" w:sz="0" w:space="0" w:color="auto"/>
                                                          </w:divBdr>
                                                          <w:divsChild>
                                                            <w:div w:id="2050376027">
                                                              <w:marLeft w:val="0"/>
                                                              <w:marRight w:val="0"/>
                                                              <w:marTop w:val="0"/>
                                                              <w:marBottom w:val="0"/>
                                                              <w:divBdr>
                                                                <w:top w:val="none" w:sz="0" w:space="0" w:color="auto"/>
                                                                <w:left w:val="none" w:sz="0" w:space="0" w:color="auto"/>
                                                                <w:bottom w:val="none" w:sz="0" w:space="0" w:color="auto"/>
                                                                <w:right w:val="none" w:sz="0" w:space="0" w:color="auto"/>
                                                              </w:divBdr>
                                                            </w:div>
                                                          </w:divsChild>
                                                        </w:div>
                                                        <w:div w:id="1398091180">
                                                          <w:marLeft w:val="0"/>
                                                          <w:marRight w:val="0"/>
                                                          <w:marTop w:val="0"/>
                                                          <w:marBottom w:val="0"/>
                                                          <w:divBdr>
                                                            <w:top w:val="none" w:sz="0" w:space="0" w:color="auto"/>
                                                            <w:left w:val="none" w:sz="0" w:space="0" w:color="auto"/>
                                                            <w:bottom w:val="none" w:sz="0" w:space="0" w:color="auto"/>
                                                            <w:right w:val="none" w:sz="0" w:space="0" w:color="auto"/>
                                                          </w:divBdr>
                                                          <w:divsChild>
                                                            <w:div w:id="1306399257">
                                                              <w:marLeft w:val="0"/>
                                                              <w:marRight w:val="0"/>
                                                              <w:marTop w:val="0"/>
                                                              <w:marBottom w:val="0"/>
                                                              <w:divBdr>
                                                                <w:top w:val="none" w:sz="0" w:space="0" w:color="auto"/>
                                                                <w:left w:val="none" w:sz="0" w:space="0" w:color="auto"/>
                                                                <w:bottom w:val="none" w:sz="0" w:space="0" w:color="auto"/>
                                                                <w:right w:val="none" w:sz="0" w:space="0" w:color="auto"/>
                                                              </w:divBdr>
                                                            </w:div>
                                                          </w:divsChild>
                                                        </w:div>
                                                        <w:div w:id="1417897322">
                                                          <w:marLeft w:val="0"/>
                                                          <w:marRight w:val="0"/>
                                                          <w:marTop w:val="0"/>
                                                          <w:marBottom w:val="0"/>
                                                          <w:divBdr>
                                                            <w:top w:val="none" w:sz="0" w:space="0" w:color="auto"/>
                                                            <w:left w:val="none" w:sz="0" w:space="0" w:color="auto"/>
                                                            <w:bottom w:val="none" w:sz="0" w:space="0" w:color="auto"/>
                                                            <w:right w:val="none" w:sz="0" w:space="0" w:color="auto"/>
                                                          </w:divBdr>
                                                          <w:divsChild>
                                                            <w:div w:id="831262296">
                                                              <w:marLeft w:val="0"/>
                                                              <w:marRight w:val="0"/>
                                                              <w:marTop w:val="0"/>
                                                              <w:marBottom w:val="0"/>
                                                              <w:divBdr>
                                                                <w:top w:val="none" w:sz="0" w:space="0" w:color="auto"/>
                                                                <w:left w:val="none" w:sz="0" w:space="0" w:color="auto"/>
                                                                <w:bottom w:val="none" w:sz="0" w:space="0" w:color="auto"/>
                                                                <w:right w:val="none" w:sz="0" w:space="0" w:color="auto"/>
                                                              </w:divBdr>
                                                            </w:div>
                                                          </w:divsChild>
                                                        </w:div>
                                                        <w:div w:id="1421367274">
                                                          <w:marLeft w:val="0"/>
                                                          <w:marRight w:val="0"/>
                                                          <w:marTop w:val="0"/>
                                                          <w:marBottom w:val="0"/>
                                                          <w:divBdr>
                                                            <w:top w:val="none" w:sz="0" w:space="0" w:color="auto"/>
                                                            <w:left w:val="none" w:sz="0" w:space="0" w:color="auto"/>
                                                            <w:bottom w:val="none" w:sz="0" w:space="0" w:color="auto"/>
                                                            <w:right w:val="none" w:sz="0" w:space="0" w:color="auto"/>
                                                          </w:divBdr>
                                                        </w:div>
                                                        <w:div w:id="1432551465">
                                                          <w:marLeft w:val="0"/>
                                                          <w:marRight w:val="0"/>
                                                          <w:marTop w:val="0"/>
                                                          <w:marBottom w:val="0"/>
                                                          <w:divBdr>
                                                            <w:top w:val="none" w:sz="0" w:space="0" w:color="auto"/>
                                                            <w:left w:val="none" w:sz="0" w:space="0" w:color="auto"/>
                                                            <w:bottom w:val="none" w:sz="0" w:space="0" w:color="auto"/>
                                                            <w:right w:val="none" w:sz="0" w:space="0" w:color="auto"/>
                                                          </w:divBdr>
                                                          <w:divsChild>
                                                            <w:div w:id="804198194">
                                                              <w:marLeft w:val="0"/>
                                                              <w:marRight w:val="0"/>
                                                              <w:marTop w:val="0"/>
                                                              <w:marBottom w:val="0"/>
                                                              <w:divBdr>
                                                                <w:top w:val="none" w:sz="0" w:space="0" w:color="auto"/>
                                                                <w:left w:val="none" w:sz="0" w:space="0" w:color="auto"/>
                                                                <w:bottom w:val="none" w:sz="0" w:space="0" w:color="auto"/>
                                                                <w:right w:val="none" w:sz="0" w:space="0" w:color="auto"/>
                                                              </w:divBdr>
                                                            </w:div>
                                                          </w:divsChild>
                                                        </w:div>
                                                        <w:div w:id="1439325216">
                                                          <w:marLeft w:val="0"/>
                                                          <w:marRight w:val="0"/>
                                                          <w:marTop w:val="0"/>
                                                          <w:marBottom w:val="0"/>
                                                          <w:divBdr>
                                                            <w:top w:val="none" w:sz="0" w:space="0" w:color="auto"/>
                                                            <w:left w:val="none" w:sz="0" w:space="0" w:color="auto"/>
                                                            <w:bottom w:val="none" w:sz="0" w:space="0" w:color="auto"/>
                                                            <w:right w:val="none" w:sz="0" w:space="0" w:color="auto"/>
                                                          </w:divBdr>
                                                          <w:divsChild>
                                                            <w:div w:id="1816139793">
                                                              <w:marLeft w:val="0"/>
                                                              <w:marRight w:val="0"/>
                                                              <w:marTop w:val="0"/>
                                                              <w:marBottom w:val="0"/>
                                                              <w:divBdr>
                                                                <w:top w:val="none" w:sz="0" w:space="0" w:color="auto"/>
                                                                <w:left w:val="none" w:sz="0" w:space="0" w:color="auto"/>
                                                                <w:bottom w:val="none" w:sz="0" w:space="0" w:color="auto"/>
                                                                <w:right w:val="none" w:sz="0" w:space="0" w:color="auto"/>
                                                              </w:divBdr>
                                                            </w:div>
                                                          </w:divsChild>
                                                        </w:div>
                                                        <w:div w:id="1440029637">
                                                          <w:marLeft w:val="0"/>
                                                          <w:marRight w:val="0"/>
                                                          <w:marTop w:val="0"/>
                                                          <w:marBottom w:val="0"/>
                                                          <w:divBdr>
                                                            <w:top w:val="none" w:sz="0" w:space="0" w:color="auto"/>
                                                            <w:left w:val="none" w:sz="0" w:space="0" w:color="auto"/>
                                                            <w:bottom w:val="none" w:sz="0" w:space="0" w:color="auto"/>
                                                            <w:right w:val="none" w:sz="0" w:space="0" w:color="auto"/>
                                                          </w:divBdr>
                                                          <w:divsChild>
                                                            <w:div w:id="1647122639">
                                                              <w:marLeft w:val="0"/>
                                                              <w:marRight w:val="0"/>
                                                              <w:marTop w:val="0"/>
                                                              <w:marBottom w:val="0"/>
                                                              <w:divBdr>
                                                                <w:top w:val="none" w:sz="0" w:space="0" w:color="auto"/>
                                                                <w:left w:val="none" w:sz="0" w:space="0" w:color="auto"/>
                                                                <w:bottom w:val="none" w:sz="0" w:space="0" w:color="auto"/>
                                                                <w:right w:val="none" w:sz="0" w:space="0" w:color="auto"/>
                                                              </w:divBdr>
                                                            </w:div>
                                                          </w:divsChild>
                                                        </w:div>
                                                        <w:div w:id="1456674522">
                                                          <w:marLeft w:val="0"/>
                                                          <w:marRight w:val="0"/>
                                                          <w:marTop w:val="0"/>
                                                          <w:marBottom w:val="0"/>
                                                          <w:divBdr>
                                                            <w:top w:val="none" w:sz="0" w:space="0" w:color="auto"/>
                                                            <w:left w:val="none" w:sz="0" w:space="0" w:color="auto"/>
                                                            <w:bottom w:val="none" w:sz="0" w:space="0" w:color="auto"/>
                                                            <w:right w:val="none" w:sz="0" w:space="0" w:color="auto"/>
                                                          </w:divBdr>
                                                          <w:divsChild>
                                                            <w:div w:id="1913853325">
                                                              <w:marLeft w:val="0"/>
                                                              <w:marRight w:val="0"/>
                                                              <w:marTop w:val="0"/>
                                                              <w:marBottom w:val="0"/>
                                                              <w:divBdr>
                                                                <w:top w:val="none" w:sz="0" w:space="0" w:color="auto"/>
                                                                <w:left w:val="none" w:sz="0" w:space="0" w:color="auto"/>
                                                                <w:bottom w:val="none" w:sz="0" w:space="0" w:color="auto"/>
                                                                <w:right w:val="none" w:sz="0" w:space="0" w:color="auto"/>
                                                              </w:divBdr>
                                                            </w:div>
                                                          </w:divsChild>
                                                        </w:div>
                                                        <w:div w:id="1474562793">
                                                          <w:marLeft w:val="0"/>
                                                          <w:marRight w:val="0"/>
                                                          <w:marTop w:val="0"/>
                                                          <w:marBottom w:val="0"/>
                                                          <w:divBdr>
                                                            <w:top w:val="none" w:sz="0" w:space="0" w:color="auto"/>
                                                            <w:left w:val="none" w:sz="0" w:space="0" w:color="auto"/>
                                                            <w:bottom w:val="none" w:sz="0" w:space="0" w:color="auto"/>
                                                            <w:right w:val="none" w:sz="0" w:space="0" w:color="auto"/>
                                                          </w:divBdr>
                                                        </w:div>
                                                        <w:div w:id="1481654314">
                                                          <w:marLeft w:val="0"/>
                                                          <w:marRight w:val="0"/>
                                                          <w:marTop w:val="0"/>
                                                          <w:marBottom w:val="0"/>
                                                          <w:divBdr>
                                                            <w:top w:val="none" w:sz="0" w:space="0" w:color="auto"/>
                                                            <w:left w:val="none" w:sz="0" w:space="0" w:color="auto"/>
                                                            <w:bottom w:val="none" w:sz="0" w:space="0" w:color="auto"/>
                                                            <w:right w:val="none" w:sz="0" w:space="0" w:color="auto"/>
                                                          </w:divBdr>
                                                          <w:divsChild>
                                                            <w:div w:id="2126078141">
                                                              <w:marLeft w:val="0"/>
                                                              <w:marRight w:val="0"/>
                                                              <w:marTop w:val="0"/>
                                                              <w:marBottom w:val="0"/>
                                                              <w:divBdr>
                                                                <w:top w:val="none" w:sz="0" w:space="0" w:color="auto"/>
                                                                <w:left w:val="none" w:sz="0" w:space="0" w:color="auto"/>
                                                                <w:bottom w:val="none" w:sz="0" w:space="0" w:color="auto"/>
                                                                <w:right w:val="none" w:sz="0" w:space="0" w:color="auto"/>
                                                              </w:divBdr>
                                                            </w:div>
                                                          </w:divsChild>
                                                        </w:div>
                                                        <w:div w:id="1492142114">
                                                          <w:marLeft w:val="0"/>
                                                          <w:marRight w:val="0"/>
                                                          <w:marTop w:val="0"/>
                                                          <w:marBottom w:val="0"/>
                                                          <w:divBdr>
                                                            <w:top w:val="none" w:sz="0" w:space="0" w:color="auto"/>
                                                            <w:left w:val="none" w:sz="0" w:space="0" w:color="auto"/>
                                                            <w:bottom w:val="none" w:sz="0" w:space="0" w:color="auto"/>
                                                            <w:right w:val="none" w:sz="0" w:space="0" w:color="auto"/>
                                                          </w:divBdr>
                                                          <w:divsChild>
                                                            <w:div w:id="2061902589">
                                                              <w:marLeft w:val="0"/>
                                                              <w:marRight w:val="0"/>
                                                              <w:marTop w:val="0"/>
                                                              <w:marBottom w:val="0"/>
                                                              <w:divBdr>
                                                                <w:top w:val="none" w:sz="0" w:space="0" w:color="auto"/>
                                                                <w:left w:val="none" w:sz="0" w:space="0" w:color="auto"/>
                                                                <w:bottom w:val="none" w:sz="0" w:space="0" w:color="auto"/>
                                                                <w:right w:val="none" w:sz="0" w:space="0" w:color="auto"/>
                                                              </w:divBdr>
                                                            </w:div>
                                                          </w:divsChild>
                                                        </w:div>
                                                        <w:div w:id="1493377028">
                                                          <w:marLeft w:val="0"/>
                                                          <w:marRight w:val="0"/>
                                                          <w:marTop w:val="0"/>
                                                          <w:marBottom w:val="0"/>
                                                          <w:divBdr>
                                                            <w:top w:val="none" w:sz="0" w:space="0" w:color="auto"/>
                                                            <w:left w:val="none" w:sz="0" w:space="0" w:color="auto"/>
                                                            <w:bottom w:val="none" w:sz="0" w:space="0" w:color="auto"/>
                                                            <w:right w:val="none" w:sz="0" w:space="0" w:color="auto"/>
                                                          </w:divBdr>
                                                          <w:divsChild>
                                                            <w:div w:id="1030301397">
                                                              <w:marLeft w:val="0"/>
                                                              <w:marRight w:val="0"/>
                                                              <w:marTop w:val="0"/>
                                                              <w:marBottom w:val="0"/>
                                                              <w:divBdr>
                                                                <w:top w:val="none" w:sz="0" w:space="0" w:color="auto"/>
                                                                <w:left w:val="none" w:sz="0" w:space="0" w:color="auto"/>
                                                                <w:bottom w:val="none" w:sz="0" w:space="0" w:color="auto"/>
                                                                <w:right w:val="none" w:sz="0" w:space="0" w:color="auto"/>
                                                              </w:divBdr>
                                                            </w:div>
                                                          </w:divsChild>
                                                        </w:div>
                                                        <w:div w:id="1505827562">
                                                          <w:marLeft w:val="0"/>
                                                          <w:marRight w:val="0"/>
                                                          <w:marTop w:val="0"/>
                                                          <w:marBottom w:val="0"/>
                                                          <w:divBdr>
                                                            <w:top w:val="none" w:sz="0" w:space="0" w:color="auto"/>
                                                            <w:left w:val="none" w:sz="0" w:space="0" w:color="auto"/>
                                                            <w:bottom w:val="none" w:sz="0" w:space="0" w:color="auto"/>
                                                            <w:right w:val="none" w:sz="0" w:space="0" w:color="auto"/>
                                                          </w:divBdr>
                                                          <w:divsChild>
                                                            <w:div w:id="1478646039">
                                                              <w:marLeft w:val="0"/>
                                                              <w:marRight w:val="0"/>
                                                              <w:marTop w:val="0"/>
                                                              <w:marBottom w:val="0"/>
                                                              <w:divBdr>
                                                                <w:top w:val="none" w:sz="0" w:space="0" w:color="auto"/>
                                                                <w:left w:val="none" w:sz="0" w:space="0" w:color="auto"/>
                                                                <w:bottom w:val="none" w:sz="0" w:space="0" w:color="auto"/>
                                                                <w:right w:val="none" w:sz="0" w:space="0" w:color="auto"/>
                                                              </w:divBdr>
                                                            </w:div>
                                                          </w:divsChild>
                                                        </w:div>
                                                        <w:div w:id="1506674739">
                                                          <w:marLeft w:val="0"/>
                                                          <w:marRight w:val="0"/>
                                                          <w:marTop w:val="0"/>
                                                          <w:marBottom w:val="0"/>
                                                          <w:divBdr>
                                                            <w:top w:val="none" w:sz="0" w:space="0" w:color="auto"/>
                                                            <w:left w:val="none" w:sz="0" w:space="0" w:color="auto"/>
                                                            <w:bottom w:val="none" w:sz="0" w:space="0" w:color="auto"/>
                                                            <w:right w:val="none" w:sz="0" w:space="0" w:color="auto"/>
                                                          </w:divBdr>
                                                          <w:divsChild>
                                                            <w:div w:id="1716199078">
                                                              <w:marLeft w:val="0"/>
                                                              <w:marRight w:val="0"/>
                                                              <w:marTop w:val="0"/>
                                                              <w:marBottom w:val="0"/>
                                                              <w:divBdr>
                                                                <w:top w:val="none" w:sz="0" w:space="0" w:color="auto"/>
                                                                <w:left w:val="none" w:sz="0" w:space="0" w:color="auto"/>
                                                                <w:bottom w:val="none" w:sz="0" w:space="0" w:color="auto"/>
                                                                <w:right w:val="none" w:sz="0" w:space="0" w:color="auto"/>
                                                              </w:divBdr>
                                                            </w:div>
                                                          </w:divsChild>
                                                        </w:div>
                                                        <w:div w:id="1509177508">
                                                          <w:marLeft w:val="0"/>
                                                          <w:marRight w:val="0"/>
                                                          <w:marTop w:val="0"/>
                                                          <w:marBottom w:val="0"/>
                                                          <w:divBdr>
                                                            <w:top w:val="none" w:sz="0" w:space="0" w:color="auto"/>
                                                            <w:left w:val="none" w:sz="0" w:space="0" w:color="auto"/>
                                                            <w:bottom w:val="none" w:sz="0" w:space="0" w:color="auto"/>
                                                            <w:right w:val="none" w:sz="0" w:space="0" w:color="auto"/>
                                                          </w:divBdr>
                                                        </w:div>
                                                        <w:div w:id="1518344361">
                                                          <w:marLeft w:val="0"/>
                                                          <w:marRight w:val="0"/>
                                                          <w:marTop w:val="0"/>
                                                          <w:marBottom w:val="0"/>
                                                          <w:divBdr>
                                                            <w:top w:val="none" w:sz="0" w:space="0" w:color="auto"/>
                                                            <w:left w:val="none" w:sz="0" w:space="0" w:color="auto"/>
                                                            <w:bottom w:val="none" w:sz="0" w:space="0" w:color="auto"/>
                                                            <w:right w:val="none" w:sz="0" w:space="0" w:color="auto"/>
                                                          </w:divBdr>
                                                          <w:divsChild>
                                                            <w:div w:id="681397596">
                                                              <w:marLeft w:val="0"/>
                                                              <w:marRight w:val="0"/>
                                                              <w:marTop w:val="0"/>
                                                              <w:marBottom w:val="0"/>
                                                              <w:divBdr>
                                                                <w:top w:val="none" w:sz="0" w:space="0" w:color="auto"/>
                                                                <w:left w:val="none" w:sz="0" w:space="0" w:color="auto"/>
                                                                <w:bottom w:val="none" w:sz="0" w:space="0" w:color="auto"/>
                                                                <w:right w:val="none" w:sz="0" w:space="0" w:color="auto"/>
                                                              </w:divBdr>
                                                            </w:div>
                                                          </w:divsChild>
                                                        </w:div>
                                                        <w:div w:id="1531606310">
                                                          <w:marLeft w:val="0"/>
                                                          <w:marRight w:val="0"/>
                                                          <w:marTop w:val="0"/>
                                                          <w:marBottom w:val="0"/>
                                                          <w:divBdr>
                                                            <w:top w:val="none" w:sz="0" w:space="0" w:color="auto"/>
                                                            <w:left w:val="none" w:sz="0" w:space="0" w:color="auto"/>
                                                            <w:bottom w:val="none" w:sz="0" w:space="0" w:color="auto"/>
                                                            <w:right w:val="none" w:sz="0" w:space="0" w:color="auto"/>
                                                          </w:divBdr>
                                                        </w:div>
                                                        <w:div w:id="1534885115">
                                                          <w:marLeft w:val="0"/>
                                                          <w:marRight w:val="0"/>
                                                          <w:marTop w:val="0"/>
                                                          <w:marBottom w:val="0"/>
                                                          <w:divBdr>
                                                            <w:top w:val="none" w:sz="0" w:space="0" w:color="auto"/>
                                                            <w:left w:val="none" w:sz="0" w:space="0" w:color="auto"/>
                                                            <w:bottom w:val="none" w:sz="0" w:space="0" w:color="auto"/>
                                                            <w:right w:val="none" w:sz="0" w:space="0" w:color="auto"/>
                                                          </w:divBdr>
                                                          <w:divsChild>
                                                            <w:div w:id="1581909555">
                                                              <w:marLeft w:val="0"/>
                                                              <w:marRight w:val="0"/>
                                                              <w:marTop w:val="0"/>
                                                              <w:marBottom w:val="0"/>
                                                              <w:divBdr>
                                                                <w:top w:val="none" w:sz="0" w:space="0" w:color="auto"/>
                                                                <w:left w:val="none" w:sz="0" w:space="0" w:color="auto"/>
                                                                <w:bottom w:val="none" w:sz="0" w:space="0" w:color="auto"/>
                                                                <w:right w:val="none" w:sz="0" w:space="0" w:color="auto"/>
                                                              </w:divBdr>
                                                            </w:div>
                                                          </w:divsChild>
                                                        </w:div>
                                                        <w:div w:id="1536651542">
                                                          <w:marLeft w:val="0"/>
                                                          <w:marRight w:val="0"/>
                                                          <w:marTop w:val="0"/>
                                                          <w:marBottom w:val="0"/>
                                                          <w:divBdr>
                                                            <w:top w:val="none" w:sz="0" w:space="0" w:color="auto"/>
                                                            <w:left w:val="none" w:sz="0" w:space="0" w:color="auto"/>
                                                            <w:bottom w:val="none" w:sz="0" w:space="0" w:color="auto"/>
                                                            <w:right w:val="none" w:sz="0" w:space="0" w:color="auto"/>
                                                          </w:divBdr>
                                                          <w:divsChild>
                                                            <w:div w:id="1391466820">
                                                              <w:marLeft w:val="0"/>
                                                              <w:marRight w:val="0"/>
                                                              <w:marTop w:val="0"/>
                                                              <w:marBottom w:val="0"/>
                                                              <w:divBdr>
                                                                <w:top w:val="none" w:sz="0" w:space="0" w:color="auto"/>
                                                                <w:left w:val="none" w:sz="0" w:space="0" w:color="auto"/>
                                                                <w:bottom w:val="none" w:sz="0" w:space="0" w:color="auto"/>
                                                                <w:right w:val="none" w:sz="0" w:space="0" w:color="auto"/>
                                                              </w:divBdr>
                                                            </w:div>
                                                          </w:divsChild>
                                                        </w:div>
                                                        <w:div w:id="1555964740">
                                                          <w:marLeft w:val="0"/>
                                                          <w:marRight w:val="0"/>
                                                          <w:marTop w:val="0"/>
                                                          <w:marBottom w:val="0"/>
                                                          <w:divBdr>
                                                            <w:top w:val="none" w:sz="0" w:space="0" w:color="auto"/>
                                                            <w:left w:val="none" w:sz="0" w:space="0" w:color="auto"/>
                                                            <w:bottom w:val="none" w:sz="0" w:space="0" w:color="auto"/>
                                                            <w:right w:val="none" w:sz="0" w:space="0" w:color="auto"/>
                                                          </w:divBdr>
                                                        </w:div>
                                                        <w:div w:id="1568492295">
                                                          <w:marLeft w:val="0"/>
                                                          <w:marRight w:val="0"/>
                                                          <w:marTop w:val="0"/>
                                                          <w:marBottom w:val="0"/>
                                                          <w:divBdr>
                                                            <w:top w:val="none" w:sz="0" w:space="0" w:color="auto"/>
                                                            <w:left w:val="none" w:sz="0" w:space="0" w:color="auto"/>
                                                            <w:bottom w:val="none" w:sz="0" w:space="0" w:color="auto"/>
                                                            <w:right w:val="none" w:sz="0" w:space="0" w:color="auto"/>
                                                          </w:divBdr>
                                                        </w:div>
                                                        <w:div w:id="1579439368">
                                                          <w:marLeft w:val="0"/>
                                                          <w:marRight w:val="0"/>
                                                          <w:marTop w:val="0"/>
                                                          <w:marBottom w:val="0"/>
                                                          <w:divBdr>
                                                            <w:top w:val="none" w:sz="0" w:space="0" w:color="auto"/>
                                                            <w:left w:val="none" w:sz="0" w:space="0" w:color="auto"/>
                                                            <w:bottom w:val="none" w:sz="0" w:space="0" w:color="auto"/>
                                                            <w:right w:val="none" w:sz="0" w:space="0" w:color="auto"/>
                                                          </w:divBdr>
                                                          <w:divsChild>
                                                            <w:div w:id="757946069">
                                                              <w:marLeft w:val="0"/>
                                                              <w:marRight w:val="0"/>
                                                              <w:marTop w:val="0"/>
                                                              <w:marBottom w:val="0"/>
                                                              <w:divBdr>
                                                                <w:top w:val="none" w:sz="0" w:space="0" w:color="auto"/>
                                                                <w:left w:val="none" w:sz="0" w:space="0" w:color="auto"/>
                                                                <w:bottom w:val="none" w:sz="0" w:space="0" w:color="auto"/>
                                                                <w:right w:val="none" w:sz="0" w:space="0" w:color="auto"/>
                                                              </w:divBdr>
                                                            </w:div>
                                                          </w:divsChild>
                                                        </w:div>
                                                        <w:div w:id="1586069450">
                                                          <w:marLeft w:val="0"/>
                                                          <w:marRight w:val="0"/>
                                                          <w:marTop w:val="0"/>
                                                          <w:marBottom w:val="0"/>
                                                          <w:divBdr>
                                                            <w:top w:val="none" w:sz="0" w:space="0" w:color="auto"/>
                                                            <w:left w:val="none" w:sz="0" w:space="0" w:color="auto"/>
                                                            <w:bottom w:val="none" w:sz="0" w:space="0" w:color="auto"/>
                                                            <w:right w:val="none" w:sz="0" w:space="0" w:color="auto"/>
                                                          </w:divBdr>
                                                          <w:divsChild>
                                                            <w:div w:id="1074594615">
                                                              <w:marLeft w:val="0"/>
                                                              <w:marRight w:val="0"/>
                                                              <w:marTop w:val="0"/>
                                                              <w:marBottom w:val="0"/>
                                                              <w:divBdr>
                                                                <w:top w:val="none" w:sz="0" w:space="0" w:color="auto"/>
                                                                <w:left w:val="none" w:sz="0" w:space="0" w:color="auto"/>
                                                                <w:bottom w:val="none" w:sz="0" w:space="0" w:color="auto"/>
                                                                <w:right w:val="none" w:sz="0" w:space="0" w:color="auto"/>
                                                              </w:divBdr>
                                                            </w:div>
                                                          </w:divsChild>
                                                        </w:div>
                                                        <w:div w:id="1593397538">
                                                          <w:marLeft w:val="0"/>
                                                          <w:marRight w:val="0"/>
                                                          <w:marTop w:val="0"/>
                                                          <w:marBottom w:val="0"/>
                                                          <w:divBdr>
                                                            <w:top w:val="none" w:sz="0" w:space="0" w:color="auto"/>
                                                            <w:left w:val="none" w:sz="0" w:space="0" w:color="auto"/>
                                                            <w:bottom w:val="none" w:sz="0" w:space="0" w:color="auto"/>
                                                            <w:right w:val="none" w:sz="0" w:space="0" w:color="auto"/>
                                                          </w:divBdr>
                                                          <w:divsChild>
                                                            <w:div w:id="303970237">
                                                              <w:marLeft w:val="0"/>
                                                              <w:marRight w:val="0"/>
                                                              <w:marTop w:val="0"/>
                                                              <w:marBottom w:val="0"/>
                                                              <w:divBdr>
                                                                <w:top w:val="none" w:sz="0" w:space="0" w:color="auto"/>
                                                                <w:left w:val="none" w:sz="0" w:space="0" w:color="auto"/>
                                                                <w:bottom w:val="none" w:sz="0" w:space="0" w:color="auto"/>
                                                                <w:right w:val="none" w:sz="0" w:space="0" w:color="auto"/>
                                                              </w:divBdr>
                                                            </w:div>
                                                          </w:divsChild>
                                                        </w:div>
                                                        <w:div w:id="1602567576">
                                                          <w:marLeft w:val="0"/>
                                                          <w:marRight w:val="0"/>
                                                          <w:marTop w:val="0"/>
                                                          <w:marBottom w:val="0"/>
                                                          <w:divBdr>
                                                            <w:top w:val="none" w:sz="0" w:space="0" w:color="auto"/>
                                                            <w:left w:val="none" w:sz="0" w:space="0" w:color="auto"/>
                                                            <w:bottom w:val="none" w:sz="0" w:space="0" w:color="auto"/>
                                                            <w:right w:val="none" w:sz="0" w:space="0" w:color="auto"/>
                                                          </w:divBdr>
                                                          <w:divsChild>
                                                            <w:div w:id="1822455492">
                                                              <w:marLeft w:val="0"/>
                                                              <w:marRight w:val="0"/>
                                                              <w:marTop w:val="0"/>
                                                              <w:marBottom w:val="0"/>
                                                              <w:divBdr>
                                                                <w:top w:val="none" w:sz="0" w:space="0" w:color="auto"/>
                                                                <w:left w:val="none" w:sz="0" w:space="0" w:color="auto"/>
                                                                <w:bottom w:val="none" w:sz="0" w:space="0" w:color="auto"/>
                                                                <w:right w:val="none" w:sz="0" w:space="0" w:color="auto"/>
                                                              </w:divBdr>
                                                            </w:div>
                                                          </w:divsChild>
                                                        </w:div>
                                                        <w:div w:id="1616324733">
                                                          <w:marLeft w:val="0"/>
                                                          <w:marRight w:val="0"/>
                                                          <w:marTop w:val="0"/>
                                                          <w:marBottom w:val="0"/>
                                                          <w:divBdr>
                                                            <w:top w:val="none" w:sz="0" w:space="0" w:color="auto"/>
                                                            <w:left w:val="none" w:sz="0" w:space="0" w:color="auto"/>
                                                            <w:bottom w:val="none" w:sz="0" w:space="0" w:color="auto"/>
                                                            <w:right w:val="none" w:sz="0" w:space="0" w:color="auto"/>
                                                          </w:divBdr>
                                                          <w:divsChild>
                                                            <w:div w:id="669992297">
                                                              <w:marLeft w:val="0"/>
                                                              <w:marRight w:val="0"/>
                                                              <w:marTop w:val="0"/>
                                                              <w:marBottom w:val="0"/>
                                                              <w:divBdr>
                                                                <w:top w:val="none" w:sz="0" w:space="0" w:color="auto"/>
                                                                <w:left w:val="none" w:sz="0" w:space="0" w:color="auto"/>
                                                                <w:bottom w:val="none" w:sz="0" w:space="0" w:color="auto"/>
                                                                <w:right w:val="none" w:sz="0" w:space="0" w:color="auto"/>
                                                              </w:divBdr>
                                                            </w:div>
                                                          </w:divsChild>
                                                        </w:div>
                                                        <w:div w:id="1623001945">
                                                          <w:marLeft w:val="0"/>
                                                          <w:marRight w:val="0"/>
                                                          <w:marTop w:val="0"/>
                                                          <w:marBottom w:val="0"/>
                                                          <w:divBdr>
                                                            <w:top w:val="none" w:sz="0" w:space="0" w:color="auto"/>
                                                            <w:left w:val="none" w:sz="0" w:space="0" w:color="auto"/>
                                                            <w:bottom w:val="none" w:sz="0" w:space="0" w:color="auto"/>
                                                            <w:right w:val="none" w:sz="0" w:space="0" w:color="auto"/>
                                                          </w:divBdr>
                                                        </w:div>
                                                        <w:div w:id="1636990103">
                                                          <w:marLeft w:val="0"/>
                                                          <w:marRight w:val="0"/>
                                                          <w:marTop w:val="0"/>
                                                          <w:marBottom w:val="0"/>
                                                          <w:divBdr>
                                                            <w:top w:val="none" w:sz="0" w:space="0" w:color="auto"/>
                                                            <w:left w:val="none" w:sz="0" w:space="0" w:color="auto"/>
                                                            <w:bottom w:val="none" w:sz="0" w:space="0" w:color="auto"/>
                                                            <w:right w:val="none" w:sz="0" w:space="0" w:color="auto"/>
                                                          </w:divBdr>
                                                          <w:divsChild>
                                                            <w:div w:id="244000113">
                                                              <w:marLeft w:val="0"/>
                                                              <w:marRight w:val="0"/>
                                                              <w:marTop w:val="0"/>
                                                              <w:marBottom w:val="0"/>
                                                              <w:divBdr>
                                                                <w:top w:val="none" w:sz="0" w:space="0" w:color="auto"/>
                                                                <w:left w:val="none" w:sz="0" w:space="0" w:color="auto"/>
                                                                <w:bottom w:val="none" w:sz="0" w:space="0" w:color="auto"/>
                                                                <w:right w:val="none" w:sz="0" w:space="0" w:color="auto"/>
                                                              </w:divBdr>
                                                            </w:div>
                                                          </w:divsChild>
                                                        </w:div>
                                                        <w:div w:id="1638753547">
                                                          <w:marLeft w:val="0"/>
                                                          <w:marRight w:val="0"/>
                                                          <w:marTop w:val="0"/>
                                                          <w:marBottom w:val="0"/>
                                                          <w:divBdr>
                                                            <w:top w:val="none" w:sz="0" w:space="0" w:color="auto"/>
                                                            <w:left w:val="none" w:sz="0" w:space="0" w:color="auto"/>
                                                            <w:bottom w:val="none" w:sz="0" w:space="0" w:color="auto"/>
                                                            <w:right w:val="none" w:sz="0" w:space="0" w:color="auto"/>
                                                          </w:divBdr>
                                                          <w:divsChild>
                                                            <w:div w:id="2059619536">
                                                              <w:marLeft w:val="0"/>
                                                              <w:marRight w:val="0"/>
                                                              <w:marTop w:val="0"/>
                                                              <w:marBottom w:val="0"/>
                                                              <w:divBdr>
                                                                <w:top w:val="none" w:sz="0" w:space="0" w:color="auto"/>
                                                                <w:left w:val="none" w:sz="0" w:space="0" w:color="auto"/>
                                                                <w:bottom w:val="none" w:sz="0" w:space="0" w:color="auto"/>
                                                                <w:right w:val="none" w:sz="0" w:space="0" w:color="auto"/>
                                                              </w:divBdr>
                                                            </w:div>
                                                          </w:divsChild>
                                                        </w:div>
                                                        <w:div w:id="1641767204">
                                                          <w:marLeft w:val="0"/>
                                                          <w:marRight w:val="0"/>
                                                          <w:marTop w:val="0"/>
                                                          <w:marBottom w:val="0"/>
                                                          <w:divBdr>
                                                            <w:top w:val="none" w:sz="0" w:space="0" w:color="auto"/>
                                                            <w:left w:val="none" w:sz="0" w:space="0" w:color="auto"/>
                                                            <w:bottom w:val="none" w:sz="0" w:space="0" w:color="auto"/>
                                                            <w:right w:val="none" w:sz="0" w:space="0" w:color="auto"/>
                                                          </w:divBdr>
                                                          <w:divsChild>
                                                            <w:div w:id="157500230">
                                                              <w:marLeft w:val="0"/>
                                                              <w:marRight w:val="0"/>
                                                              <w:marTop w:val="0"/>
                                                              <w:marBottom w:val="0"/>
                                                              <w:divBdr>
                                                                <w:top w:val="none" w:sz="0" w:space="0" w:color="auto"/>
                                                                <w:left w:val="none" w:sz="0" w:space="0" w:color="auto"/>
                                                                <w:bottom w:val="none" w:sz="0" w:space="0" w:color="auto"/>
                                                                <w:right w:val="none" w:sz="0" w:space="0" w:color="auto"/>
                                                              </w:divBdr>
                                                            </w:div>
                                                          </w:divsChild>
                                                        </w:div>
                                                        <w:div w:id="1659766424">
                                                          <w:marLeft w:val="0"/>
                                                          <w:marRight w:val="0"/>
                                                          <w:marTop w:val="0"/>
                                                          <w:marBottom w:val="0"/>
                                                          <w:divBdr>
                                                            <w:top w:val="none" w:sz="0" w:space="0" w:color="auto"/>
                                                            <w:left w:val="none" w:sz="0" w:space="0" w:color="auto"/>
                                                            <w:bottom w:val="none" w:sz="0" w:space="0" w:color="auto"/>
                                                            <w:right w:val="none" w:sz="0" w:space="0" w:color="auto"/>
                                                          </w:divBdr>
                                                          <w:divsChild>
                                                            <w:div w:id="431047377">
                                                              <w:marLeft w:val="0"/>
                                                              <w:marRight w:val="0"/>
                                                              <w:marTop w:val="0"/>
                                                              <w:marBottom w:val="0"/>
                                                              <w:divBdr>
                                                                <w:top w:val="none" w:sz="0" w:space="0" w:color="auto"/>
                                                                <w:left w:val="none" w:sz="0" w:space="0" w:color="auto"/>
                                                                <w:bottom w:val="none" w:sz="0" w:space="0" w:color="auto"/>
                                                                <w:right w:val="none" w:sz="0" w:space="0" w:color="auto"/>
                                                              </w:divBdr>
                                                            </w:div>
                                                          </w:divsChild>
                                                        </w:div>
                                                        <w:div w:id="1668826284">
                                                          <w:marLeft w:val="0"/>
                                                          <w:marRight w:val="0"/>
                                                          <w:marTop w:val="0"/>
                                                          <w:marBottom w:val="0"/>
                                                          <w:divBdr>
                                                            <w:top w:val="none" w:sz="0" w:space="0" w:color="auto"/>
                                                            <w:left w:val="none" w:sz="0" w:space="0" w:color="auto"/>
                                                            <w:bottom w:val="none" w:sz="0" w:space="0" w:color="auto"/>
                                                            <w:right w:val="none" w:sz="0" w:space="0" w:color="auto"/>
                                                          </w:divBdr>
                                                          <w:divsChild>
                                                            <w:div w:id="551844969">
                                                              <w:marLeft w:val="0"/>
                                                              <w:marRight w:val="0"/>
                                                              <w:marTop w:val="0"/>
                                                              <w:marBottom w:val="0"/>
                                                              <w:divBdr>
                                                                <w:top w:val="none" w:sz="0" w:space="0" w:color="auto"/>
                                                                <w:left w:val="none" w:sz="0" w:space="0" w:color="auto"/>
                                                                <w:bottom w:val="none" w:sz="0" w:space="0" w:color="auto"/>
                                                                <w:right w:val="none" w:sz="0" w:space="0" w:color="auto"/>
                                                              </w:divBdr>
                                                            </w:div>
                                                          </w:divsChild>
                                                        </w:div>
                                                        <w:div w:id="1687752965">
                                                          <w:marLeft w:val="0"/>
                                                          <w:marRight w:val="0"/>
                                                          <w:marTop w:val="0"/>
                                                          <w:marBottom w:val="0"/>
                                                          <w:divBdr>
                                                            <w:top w:val="none" w:sz="0" w:space="0" w:color="auto"/>
                                                            <w:left w:val="none" w:sz="0" w:space="0" w:color="auto"/>
                                                            <w:bottom w:val="none" w:sz="0" w:space="0" w:color="auto"/>
                                                            <w:right w:val="none" w:sz="0" w:space="0" w:color="auto"/>
                                                          </w:divBdr>
                                                          <w:divsChild>
                                                            <w:div w:id="1781603846">
                                                              <w:marLeft w:val="0"/>
                                                              <w:marRight w:val="0"/>
                                                              <w:marTop w:val="0"/>
                                                              <w:marBottom w:val="0"/>
                                                              <w:divBdr>
                                                                <w:top w:val="none" w:sz="0" w:space="0" w:color="auto"/>
                                                                <w:left w:val="none" w:sz="0" w:space="0" w:color="auto"/>
                                                                <w:bottom w:val="none" w:sz="0" w:space="0" w:color="auto"/>
                                                                <w:right w:val="none" w:sz="0" w:space="0" w:color="auto"/>
                                                              </w:divBdr>
                                                            </w:div>
                                                          </w:divsChild>
                                                        </w:div>
                                                        <w:div w:id="1698048063">
                                                          <w:marLeft w:val="0"/>
                                                          <w:marRight w:val="0"/>
                                                          <w:marTop w:val="0"/>
                                                          <w:marBottom w:val="0"/>
                                                          <w:divBdr>
                                                            <w:top w:val="none" w:sz="0" w:space="0" w:color="auto"/>
                                                            <w:left w:val="none" w:sz="0" w:space="0" w:color="auto"/>
                                                            <w:bottom w:val="none" w:sz="0" w:space="0" w:color="auto"/>
                                                            <w:right w:val="none" w:sz="0" w:space="0" w:color="auto"/>
                                                          </w:divBdr>
                                                          <w:divsChild>
                                                            <w:div w:id="119807788">
                                                              <w:marLeft w:val="0"/>
                                                              <w:marRight w:val="0"/>
                                                              <w:marTop w:val="0"/>
                                                              <w:marBottom w:val="0"/>
                                                              <w:divBdr>
                                                                <w:top w:val="none" w:sz="0" w:space="0" w:color="auto"/>
                                                                <w:left w:val="none" w:sz="0" w:space="0" w:color="auto"/>
                                                                <w:bottom w:val="none" w:sz="0" w:space="0" w:color="auto"/>
                                                                <w:right w:val="none" w:sz="0" w:space="0" w:color="auto"/>
                                                              </w:divBdr>
                                                            </w:div>
                                                          </w:divsChild>
                                                        </w:div>
                                                        <w:div w:id="1702775948">
                                                          <w:marLeft w:val="0"/>
                                                          <w:marRight w:val="0"/>
                                                          <w:marTop w:val="0"/>
                                                          <w:marBottom w:val="0"/>
                                                          <w:divBdr>
                                                            <w:top w:val="none" w:sz="0" w:space="0" w:color="auto"/>
                                                            <w:left w:val="none" w:sz="0" w:space="0" w:color="auto"/>
                                                            <w:bottom w:val="none" w:sz="0" w:space="0" w:color="auto"/>
                                                            <w:right w:val="none" w:sz="0" w:space="0" w:color="auto"/>
                                                          </w:divBdr>
                                                          <w:divsChild>
                                                            <w:div w:id="574707304">
                                                              <w:marLeft w:val="0"/>
                                                              <w:marRight w:val="0"/>
                                                              <w:marTop w:val="0"/>
                                                              <w:marBottom w:val="0"/>
                                                              <w:divBdr>
                                                                <w:top w:val="none" w:sz="0" w:space="0" w:color="auto"/>
                                                                <w:left w:val="none" w:sz="0" w:space="0" w:color="auto"/>
                                                                <w:bottom w:val="none" w:sz="0" w:space="0" w:color="auto"/>
                                                                <w:right w:val="none" w:sz="0" w:space="0" w:color="auto"/>
                                                              </w:divBdr>
                                                            </w:div>
                                                          </w:divsChild>
                                                        </w:div>
                                                        <w:div w:id="1702825216">
                                                          <w:marLeft w:val="0"/>
                                                          <w:marRight w:val="0"/>
                                                          <w:marTop w:val="0"/>
                                                          <w:marBottom w:val="0"/>
                                                          <w:divBdr>
                                                            <w:top w:val="none" w:sz="0" w:space="0" w:color="auto"/>
                                                            <w:left w:val="none" w:sz="0" w:space="0" w:color="auto"/>
                                                            <w:bottom w:val="none" w:sz="0" w:space="0" w:color="auto"/>
                                                            <w:right w:val="none" w:sz="0" w:space="0" w:color="auto"/>
                                                          </w:divBdr>
                                                        </w:div>
                                                        <w:div w:id="1715041417">
                                                          <w:marLeft w:val="0"/>
                                                          <w:marRight w:val="0"/>
                                                          <w:marTop w:val="0"/>
                                                          <w:marBottom w:val="0"/>
                                                          <w:divBdr>
                                                            <w:top w:val="none" w:sz="0" w:space="0" w:color="auto"/>
                                                            <w:left w:val="none" w:sz="0" w:space="0" w:color="auto"/>
                                                            <w:bottom w:val="none" w:sz="0" w:space="0" w:color="auto"/>
                                                            <w:right w:val="none" w:sz="0" w:space="0" w:color="auto"/>
                                                          </w:divBdr>
                                                          <w:divsChild>
                                                            <w:div w:id="14619932">
                                                              <w:marLeft w:val="0"/>
                                                              <w:marRight w:val="0"/>
                                                              <w:marTop w:val="0"/>
                                                              <w:marBottom w:val="0"/>
                                                              <w:divBdr>
                                                                <w:top w:val="none" w:sz="0" w:space="0" w:color="auto"/>
                                                                <w:left w:val="none" w:sz="0" w:space="0" w:color="auto"/>
                                                                <w:bottom w:val="none" w:sz="0" w:space="0" w:color="auto"/>
                                                                <w:right w:val="none" w:sz="0" w:space="0" w:color="auto"/>
                                                              </w:divBdr>
                                                            </w:div>
                                                          </w:divsChild>
                                                        </w:div>
                                                        <w:div w:id="1715814180">
                                                          <w:marLeft w:val="0"/>
                                                          <w:marRight w:val="0"/>
                                                          <w:marTop w:val="0"/>
                                                          <w:marBottom w:val="0"/>
                                                          <w:divBdr>
                                                            <w:top w:val="none" w:sz="0" w:space="0" w:color="auto"/>
                                                            <w:left w:val="none" w:sz="0" w:space="0" w:color="auto"/>
                                                            <w:bottom w:val="none" w:sz="0" w:space="0" w:color="auto"/>
                                                            <w:right w:val="none" w:sz="0" w:space="0" w:color="auto"/>
                                                          </w:divBdr>
                                                          <w:divsChild>
                                                            <w:div w:id="1195385404">
                                                              <w:marLeft w:val="0"/>
                                                              <w:marRight w:val="0"/>
                                                              <w:marTop w:val="0"/>
                                                              <w:marBottom w:val="0"/>
                                                              <w:divBdr>
                                                                <w:top w:val="none" w:sz="0" w:space="0" w:color="auto"/>
                                                                <w:left w:val="none" w:sz="0" w:space="0" w:color="auto"/>
                                                                <w:bottom w:val="none" w:sz="0" w:space="0" w:color="auto"/>
                                                                <w:right w:val="none" w:sz="0" w:space="0" w:color="auto"/>
                                                              </w:divBdr>
                                                            </w:div>
                                                          </w:divsChild>
                                                        </w:div>
                                                        <w:div w:id="1718583075">
                                                          <w:marLeft w:val="0"/>
                                                          <w:marRight w:val="0"/>
                                                          <w:marTop w:val="0"/>
                                                          <w:marBottom w:val="0"/>
                                                          <w:divBdr>
                                                            <w:top w:val="none" w:sz="0" w:space="0" w:color="auto"/>
                                                            <w:left w:val="none" w:sz="0" w:space="0" w:color="auto"/>
                                                            <w:bottom w:val="none" w:sz="0" w:space="0" w:color="auto"/>
                                                            <w:right w:val="none" w:sz="0" w:space="0" w:color="auto"/>
                                                          </w:divBdr>
                                                          <w:divsChild>
                                                            <w:div w:id="812601816">
                                                              <w:marLeft w:val="0"/>
                                                              <w:marRight w:val="0"/>
                                                              <w:marTop w:val="0"/>
                                                              <w:marBottom w:val="0"/>
                                                              <w:divBdr>
                                                                <w:top w:val="none" w:sz="0" w:space="0" w:color="auto"/>
                                                                <w:left w:val="none" w:sz="0" w:space="0" w:color="auto"/>
                                                                <w:bottom w:val="none" w:sz="0" w:space="0" w:color="auto"/>
                                                                <w:right w:val="none" w:sz="0" w:space="0" w:color="auto"/>
                                                              </w:divBdr>
                                                            </w:div>
                                                          </w:divsChild>
                                                        </w:div>
                                                        <w:div w:id="1720326207">
                                                          <w:marLeft w:val="0"/>
                                                          <w:marRight w:val="0"/>
                                                          <w:marTop w:val="0"/>
                                                          <w:marBottom w:val="0"/>
                                                          <w:divBdr>
                                                            <w:top w:val="none" w:sz="0" w:space="0" w:color="auto"/>
                                                            <w:left w:val="none" w:sz="0" w:space="0" w:color="auto"/>
                                                            <w:bottom w:val="none" w:sz="0" w:space="0" w:color="auto"/>
                                                            <w:right w:val="none" w:sz="0" w:space="0" w:color="auto"/>
                                                          </w:divBdr>
                                                        </w:div>
                                                        <w:div w:id="1725641589">
                                                          <w:marLeft w:val="0"/>
                                                          <w:marRight w:val="0"/>
                                                          <w:marTop w:val="0"/>
                                                          <w:marBottom w:val="0"/>
                                                          <w:divBdr>
                                                            <w:top w:val="none" w:sz="0" w:space="0" w:color="auto"/>
                                                            <w:left w:val="none" w:sz="0" w:space="0" w:color="auto"/>
                                                            <w:bottom w:val="none" w:sz="0" w:space="0" w:color="auto"/>
                                                            <w:right w:val="none" w:sz="0" w:space="0" w:color="auto"/>
                                                          </w:divBdr>
                                                          <w:divsChild>
                                                            <w:div w:id="262540725">
                                                              <w:marLeft w:val="0"/>
                                                              <w:marRight w:val="0"/>
                                                              <w:marTop w:val="0"/>
                                                              <w:marBottom w:val="0"/>
                                                              <w:divBdr>
                                                                <w:top w:val="none" w:sz="0" w:space="0" w:color="auto"/>
                                                                <w:left w:val="none" w:sz="0" w:space="0" w:color="auto"/>
                                                                <w:bottom w:val="none" w:sz="0" w:space="0" w:color="auto"/>
                                                                <w:right w:val="none" w:sz="0" w:space="0" w:color="auto"/>
                                                              </w:divBdr>
                                                            </w:div>
                                                          </w:divsChild>
                                                        </w:div>
                                                        <w:div w:id="1728141503">
                                                          <w:marLeft w:val="0"/>
                                                          <w:marRight w:val="0"/>
                                                          <w:marTop w:val="0"/>
                                                          <w:marBottom w:val="0"/>
                                                          <w:divBdr>
                                                            <w:top w:val="none" w:sz="0" w:space="0" w:color="auto"/>
                                                            <w:left w:val="none" w:sz="0" w:space="0" w:color="auto"/>
                                                            <w:bottom w:val="none" w:sz="0" w:space="0" w:color="auto"/>
                                                            <w:right w:val="none" w:sz="0" w:space="0" w:color="auto"/>
                                                          </w:divBdr>
                                                          <w:divsChild>
                                                            <w:div w:id="1859658874">
                                                              <w:marLeft w:val="0"/>
                                                              <w:marRight w:val="0"/>
                                                              <w:marTop w:val="0"/>
                                                              <w:marBottom w:val="0"/>
                                                              <w:divBdr>
                                                                <w:top w:val="none" w:sz="0" w:space="0" w:color="auto"/>
                                                                <w:left w:val="none" w:sz="0" w:space="0" w:color="auto"/>
                                                                <w:bottom w:val="none" w:sz="0" w:space="0" w:color="auto"/>
                                                                <w:right w:val="none" w:sz="0" w:space="0" w:color="auto"/>
                                                              </w:divBdr>
                                                            </w:div>
                                                          </w:divsChild>
                                                        </w:div>
                                                        <w:div w:id="1739211475">
                                                          <w:marLeft w:val="0"/>
                                                          <w:marRight w:val="0"/>
                                                          <w:marTop w:val="0"/>
                                                          <w:marBottom w:val="0"/>
                                                          <w:divBdr>
                                                            <w:top w:val="none" w:sz="0" w:space="0" w:color="auto"/>
                                                            <w:left w:val="none" w:sz="0" w:space="0" w:color="auto"/>
                                                            <w:bottom w:val="none" w:sz="0" w:space="0" w:color="auto"/>
                                                            <w:right w:val="none" w:sz="0" w:space="0" w:color="auto"/>
                                                          </w:divBdr>
                                                        </w:div>
                                                        <w:div w:id="1746031072">
                                                          <w:marLeft w:val="0"/>
                                                          <w:marRight w:val="0"/>
                                                          <w:marTop w:val="0"/>
                                                          <w:marBottom w:val="0"/>
                                                          <w:divBdr>
                                                            <w:top w:val="none" w:sz="0" w:space="0" w:color="auto"/>
                                                            <w:left w:val="none" w:sz="0" w:space="0" w:color="auto"/>
                                                            <w:bottom w:val="none" w:sz="0" w:space="0" w:color="auto"/>
                                                            <w:right w:val="none" w:sz="0" w:space="0" w:color="auto"/>
                                                          </w:divBdr>
                                                          <w:divsChild>
                                                            <w:div w:id="700864174">
                                                              <w:marLeft w:val="0"/>
                                                              <w:marRight w:val="0"/>
                                                              <w:marTop w:val="0"/>
                                                              <w:marBottom w:val="0"/>
                                                              <w:divBdr>
                                                                <w:top w:val="none" w:sz="0" w:space="0" w:color="auto"/>
                                                                <w:left w:val="none" w:sz="0" w:space="0" w:color="auto"/>
                                                                <w:bottom w:val="none" w:sz="0" w:space="0" w:color="auto"/>
                                                                <w:right w:val="none" w:sz="0" w:space="0" w:color="auto"/>
                                                              </w:divBdr>
                                                            </w:div>
                                                          </w:divsChild>
                                                        </w:div>
                                                        <w:div w:id="1756441846">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
                                                          </w:divsChild>
                                                        </w:div>
                                                        <w:div w:id="1769424919">
                                                          <w:marLeft w:val="0"/>
                                                          <w:marRight w:val="0"/>
                                                          <w:marTop w:val="0"/>
                                                          <w:marBottom w:val="0"/>
                                                          <w:divBdr>
                                                            <w:top w:val="none" w:sz="0" w:space="0" w:color="auto"/>
                                                            <w:left w:val="none" w:sz="0" w:space="0" w:color="auto"/>
                                                            <w:bottom w:val="none" w:sz="0" w:space="0" w:color="auto"/>
                                                            <w:right w:val="none" w:sz="0" w:space="0" w:color="auto"/>
                                                          </w:divBdr>
                                                        </w:div>
                                                        <w:div w:id="1774398562">
                                                          <w:marLeft w:val="0"/>
                                                          <w:marRight w:val="0"/>
                                                          <w:marTop w:val="0"/>
                                                          <w:marBottom w:val="0"/>
                                                          <w:divBdr>
                                                            <w:top w:val="none" w:sz="0" w:space="0" w:color="auto"/>
                                                            <w:left w:val="none" w:sz="0" w:space="0" w:color="auto"/>
                                                            <w:bottom w:val="none" w:sz="0" w:space="0" w:color="auto"/>
                                                            <w:right w:val="none" w:sz="0" w:space="0" w:color="auto"/>
                                                          </w:divBdr>
                                                          <w:divsChild>
                                                            <w:div w:id="2103797473">
                                                              <w:marLeft w:val="0"/>
                                                              <w:marRight w:val="0"/>
                                                              <w:marTop w:val="0"/>
                                                              <w:marBottom w:val="0"/>
                                                              <w:divBdr>
                                                                <w:top w:val="none" w:sz="0" w:space="0" w:color="auto"/>
                                                                <w:left w:val="none" w:sz="0" w:space="0" w:color="auto"/>
                                                                <w:bottom w:val="none" w:sz="0" w:space="0" w:color="auto"/>
                                                                <w:right w:val="none" w:sz="0" w:space="0" w:color="auto"/>
                                                              </w:divBdr>
                                                            </w:div>
                                                          </w:divsChild>
                                                        </w:div>
                                                        <w:div w:id="1792357321">
                                                          <w:marLeft w:val="0"/>
                                                          <w:marRight w:val="0"/>
                                                          <w:marTop w:val="0"/>
                                                          <w:marBottom w:val="0"/>
                                                          <w:divBdr>
                                                            <w:top w:val="none" w:sz="0" w:space="0" w:color="auto"/>
                                                            <w:left w:val="none" w:sz="0" w:space="0" w:color="auto"/>
                                                            <w:bottom w:val="none" w:sz="0" w:space="0" w:color="auto"/>
                                                            <w:right w:val="none" w:sz="0" w:space="0" w:color="auto"/>
                                                          </w:divBdr>
                                                          <w:divsChild>
                                                            <w:div w:id="1400714210">
                                                              <w:marLeft w:val="0"/>
                                                              <w:marRight w:val="0"/>
                                                              <w:marTop w:val="0"/>
                                                              <w:marBottom w:val="0"/>
                                                              <w:divBdr>
                                                                <w:top w:val="none" w:sz="0" w:space="0" w:color="auto"/>
                                                                <w:left w:val="none" w:sz="0" w:space="0" w:color="auto"/>
                                                                <w:bottom w:val="none" w:sz="0" w:space="0" w:color="auto"/>
                                                                <w:right w:val="none" w:sz="0" w:space="0" w:color="auto"/>
                                                              </w:divBdr>
                                                            </w:div>
                                                          </w:divsChild>
                                                        </w:div>
                                                        <w:div w:id="1795101246">
                                                          <w:marLeft w:val="0"/>
                                                          <w:marRight w:val="0"/>
                                                          <w:marTop w:val="0"/>
                                                          <w:marBottom w:val="0"/>
                                                          <w:divBdr>
                                                            <w:top w:val="none" w:sz="0" w:space="0" w:color="auto"/>
                                                            <w:left w:val="none" w:sz="0" w:space="0" w:color="auto"/>
                                                            <w:bottom w:val="none" w:sz="0" w:space="0" w:color="auto"/>
                                                            <w:right w:val="none" w:sz="0" w:space="0" w:color="auto"/>
                                                          </w:divBdr>
                                                          <w:divsChild>
                                                            <w:div w:id="149950167">
                                                              <w:marLeft w:val="0"/>
                                                              <w:marRight w:val="0"/>
                                                              <w:marTop w:val="0"/>
                                                              <w:marBottom w:val="0"/>
                                                              <w:divBdr>
                                                                <w:top w:val="none" w:sz="0" w:space="0" w:color="auto"/>
                                                                <w:left w:val="none" w:sz="0" w:space="0" w:color="auto"/>
                                                                <w:bottom w:val="none" w:sz="0" w:space="0" w:color="auto"/>
                                                                <w:right w:val="none" w:sz="0" w:space="0" w:color="auto"/>
                                                              </w:divBdr>
                                                            </w:div>
                                                          </w:divsChild>
                                                        </w:div>
                                                        <w:div w:id="1813788132">
                                                          <w:marLeft w:val="0"/>
                                                          <w:marRight w:val="0"/>
                                                          <w:marTop w:val="0"/>
                                                          <w:marBottom w:val="0"/>
                                                          <w:divBdr>
                                                            <w:top w:val="none" w:sz="0" w:space="0" w:color="auto"/>
                                                            <w:left w:val="none" w:sz="0" w:space="0" w:color="auto"/>
                                                            <w:bottom w:val="none" w:sz="0" w:space="0" w:color="auto"/>
                                                            <w:right w:val="none" w:sz="0" w:space="0" w:color="auto"/>
                                                          </w:divBdr>
                                                        </w:div>
                                                        <w:div w:id="1815024725">
                                                          <w:marLeft w:val="0"/>
                                                          <w:marRight w:val="0"/>
                                                          <w:marTop w:val="0"/>
                                                          <w:marBottom w:val="0"/>
                                                          <w:divBdr>
                                                            <w:top w:val="none" w:sz="0" w:space="0" w:color="auto"/>
                                                            <w:left w:val="none" w:sz="0" w:space="0" w:color="auto"/>
                                                            <w:bottom w:val="none" w:sz="0" w:space="0" w:color="auto"/>
                                                            <w:right w:val="none" w:sz="0" w:space="0" w:color="auto"/>
                                                          </w:divBdr>
                                                          <w:divsChild>
                                                            <w:div w:id="613632108">
                                                              <w:marLeft w:val="0"/>
                                                              <w:marRight w:val="0"/>
                                                              <w:marTop w:val="0"/>
                                                              <w:marBottom w:val="0"/>
                                                              <w:divBdr>
                                                                <w:top w:val="none" w:sz="0" w:space="0" w:color="auto"/>
                                                                <w:left w:val="none" w:sz="0" w:space="0" w:color="auto"/>
                                                                <w:bottom w:val="none" w:sz="0" w:space="0" w:color="auto"/>
                                                                <w:right w:val="none" w:sz="0" w:space="0" w:color="auto"/>
                                                              </w:divBdr>
                                                            </w:div>
                                                          </w:divsChild>
                                                        </w:div>
                                                        <w:div w:id="1816993425">
                                                          <w:marLeft w:val="0"/>
                                                          <w:marRight w:val="0"/>
                                                          <w:marTop w:val="0"/>
                                                          <w:marBottom w:val="0"/>
                                                          <w:divBdr>
                                                            <w:top w:val="none" w:sz="0" w:space="0" w:color="auto"/>
                                                            <w:left w:val="none" w:sz="0" w:space="0" w:color="auto"/>
                                                            <w:bottom w:val="none" w:sz="0" w:space="0" w:color="auto"/>
                                                            <w:right w:val="none" w:sz="0" w:space="0" w:color="auto"/>
                                                          </w:divBdr>
                                                          <w:divsChild>
                                                            <w:div w:id="1550996929">
                                                              <w:marLeft w:val="0"/>
                                                              <w:marRight w:val="0"/>
                                                              <w:marTop w:val="0"/>
                                                              <w:marBottom w:val="0"/>
                                                              <w:divBdr>
                                                                <w:top w:val="none" w:sz="0" w:space="0" w:color="auto"/>
                                                                <w:left w:val="none" w:sz="0" w:space="0" w:color="auto"/>
                                                                <w:bottom w:val="none" w:sz="0" w:space="0" w:color="auto"/>
                                                                <w:right w:val="none" w:sz="0" w:space="0" w:color="auto"/>
                                                              </w:divBdr>
                                                            </w:div>
                                                          </w:divsChild>
                                                        </w:div>
                                                        <w:div w:id="1819105180">
                                                          <w:marLeft w:val="0"/>
                                                          <w:marRight w:val="0"/>
                                                          <w:marTop w:val="0"/>
                                                          <w:marBottom w:val="0"/>
                                                          <w:divBdr>
                                                            <w:top w:val="none" w:sz="0" w:space="0" w:color="auto"/>
                                                            <w:left w:val="none" w:sz="0" w:space="0" w:color="auto"/>
                                                            <w:bottom w:val="none" w:sz="0" w:space="0" w:color="auto"/>
                                                            <w:right w:val="none" w:sz="0" w:space="0" w:color="auto"/>
                                                          </w:divBdr>
                                                          <w:divsChild>
                                                            <w:div w:id="1985768391">
                                                              <w:marLeft w:val="0"/>
                                                              <w:marRight w:val="0"/>
                                                              <w:marTop w:val="0"/>
                                                              <w:marBottom w:val="0"/>
                                                              <w:divBdr>
                                                                <w:top w:val="none" w:sz="0" w:space="0" w:color="auto"/>
                                                                <w:left w:val="none" w:sz="0" w:space="0" w:color="auto"/>
                                                                <w:bottom w:val="none" w:sz="0" w:space="0" w:color="auto"/>
                                                                <w:right w:val="none" w:sz="0" w:space="0" w:color="auto"/>
                                                              </w:divBdr>
                                                            </w:div>
                                                          </w:divsChild>
                                                        </w:div>
                                                        <w:div w:id="1824422827">
                                                          <w:marLeft w:val="0"/>
                                                          <w:marRight w:val="0"/>
                                                          <w:marTop w:val="0"/>
                                                          <w:marBottom w:val="0"/>
                                                          <w:divBdr>
                                                            <w:top w:val="none" w:sz="0" w:space="0" w:color="auto"/>
                                                            <w:left w:val="none" w:sz="0" w:space="0" w:color="auto"/>
                                                            <w:bottom w:val="none" w:sz="0" w:space="0" w:color="auto"/>
                                                            <w:right w:val="none" w:sz="0" w:space="0" w:color="auto"/>
                                                          </w:divBdr>
                                                          <w:divsChild>
                                                            <w:div w:id="2144080613">
                                                              <w:marLeft w:val="0"/>
                                                              <w:marRight w:val="0"/>
                                                              <w:marTop w:val="0"/>
                                                              <w:marBottom w:val="0"/>
                                                              <w:divBdr>
                                                                <w:top w:val="none" w:sz="0" w:space="0" w:color="auto"/>
                                                                <w:left w:val="none" w:sz="0" w:space="0" w:color="auto"/>
                                                                <w:bottom w:val="none" w:sz="0" w:space="0" w:color="auto"/>
                                                                <w:right w:val="none" w:sz="0" w:space="0" w:color="auto"/>
                                                              </w:divBdr>
                                                            </w:div>
                                                          </w:divsChild>
                                                        </w:div>
                                                        <w:div w:id="1837458941">
                                                          <w:marLeft w:val="0"/>
                                                          <w:marRight w:val="0"/>
                                                          <w:marTop w:val="0"/>
                                                          <w:marBottom w:val="0"/>
                                                          <w:divBdr>
                                                            <w:top w:val="none" w:sz="0" w:space="0" w:color="auto"/>
                                                            <w:left w:val="none" w:sz="0" w:space="0" w:color="auto"/>
                                                            <w:bottom w:val="none" w:sz="0" w:space="0" w:color="auto"/>
                                                            <w:right w:val="none" w:sz="0" w:space="0" w:color="auto"/>
                                                          </w:divBdr>
                                                          <w:divsChild>
                                                            <w:div w:id="1476558199">
                                                              <w:marLeft w:val="0"/>
                                                              <w:marRight w:val="0"/>
                                                              <w:marTop w:val="0"/>
                                                              <w:marBottom w:val="0"/>
                                                              <w:divBdr>
                                                                <w:top w:val="none" w:sz="0" w:space="0" w:color="auto"/>
                                                                <w:left w:val="none" w:sz="0" w:space="0" w:color="auto"/>
                                                                <w:bottom w:val="none" w:sz="0" w:space="0" w:color="auto"/>
                                                                <w:right w:val="none" w:sz="0" w:space="0" w:color="auto"/>
                                                              </w:divBdr>
                                                            </w:div>
                                                          </w:divsChild>
                                                        </w:div>
                                                        <w:div w:id="1838299596">
                                                          <w:marLeft w:val="0"/>
                                                          <w:marRight w:val="0"/>
                                                          <w:marTop w:val="0"/>
                                                          <w:marBottom w:val="0"/>
                                                          <w:divBdr>
                                                            <w:top w:val="none" w:sz="0" w:space="0" w:color="auto"/>
                                                            <w:left w:val="none" w:sz="0" w:space="0" w:color="auto"/>
                                                            <w:bottom w:val="none" w:sz="0" w:space="0" w:color="auto"/>
                                                            <w:right w:val="none" w:sz="0" w:space="0" w:color="auto"/>
                                                          </w:divBdr>
                                                          <w:divsChild>
                                                            <w:div w:id="1051425340">
                                                              <w:marLeft w:val="0"/>
                                                              <w:marRight w:val="0"/>
                                                              <w:marTop w:val="0"/>
                                                              <w:marBottom w:val="0"/>
                                                              <w:divBdr>
                                                                <w:top w:val="none" w:sz="0" w:space="0" w:color="auto"/>
                                                                <w:left w:val="none" w:sz="0" w:space="0" w:color="auto"/>
                                                                <w:bottom w:val="none" w:sz="0" w:space="0" w:color="auto"/>
                                                                <w:right w:val="none" w:sz="0" w:space="0" w:color="auto"/>
                                                              </w:divBdr>
                                                            </w:div>
                                                          </w:divsChild>
                                                        </w:div>
                                                        <w:div w:id="1847742355">
                                                          <w:marLeft w:val="0"/>
                                                          <w:marRight w:val="0"/>
                                                          <w:marTop w:val="0"/>
                                                          <w:marBottom w:val="0"/>
                                                          <w:divBdr>
                                                            <w:top w:val="none" w:sz="0" w:space="0" w:color="auto"/>
                                                            <w:left w:val="none" w:sz="0" w:space="0" w:color="auto"/>
                                                            <w:bottom w:val="none" w:sz="0" w:space="0" w:color="auto"/>
                                                            <w:right w:val="none" w:sz="0" w:space="0" w:color="auto"/>
                                                          </w:divBdr>
                                                          <w:divsChild>
                                                            <w:div w:id="545262816">
                                                              <w:marLeft w:val="0"/>
                                                              <w:marRight w:val="0"/>
                                                              <w:marTop w:val="0"/>
                                                              <w:marBottom w:val="0"/>
                                                              <w:divBdr>
                                                                <w:top w:val="none" w:sz="0" w:space="0" w:color="auto"/>
                                                                <w:left w:val="none" w:sz="0" w:space="0" w:color="auto"/>
                                                                <w:bottom w:val="none" w:sz="0" w:space="0" w:color="auto"/>
                                                                <w:right w:val="none" w:sz="0" w:space="0" w:color="auto"/>
                                                              </w:divBdr>
                                                            </w:div>
                                                          </w:divsChild>
                                                        </w:div>
                                                        <w:div w:id="1875576135">
                                                          <w:marLeft w:val="0"/>
                                                          <w:marRight w:val="0"/>
                                                          <w:marTop w:val="0"/>
                                                          <w:marBottom w:val="0"/>
                                                          <w:divBdr>
                                                            <w:top w:val="none" w:sz="0" w:space="0" w:color="auto"/>
                                                            <w:left w:val="none" w:sz="0" w:space="0" w:color="auto"/>
                                                            <w:bottom w:val="none" w:sz="0" w:space="0" w:color="auto"/>
                                                            <w:right w:val="none" w:sz="0" w:space="0" w:color="auto"/>
                                                          </w:divBdr>
                                                          <w:divsChild>
                                                            <w:div w:id="916786406">
                                                              <w:marLeft w:val="0"/>
                                                              <w:marRight w:val="0"/>
                                                              <w:marTop w:val="0"/>
                                                              <w:marBottom w:val="0"/>
                                                              <w:divBdr>
                                                                <w:top w:val="none" w:sz="0" w:space="0" w:color="auto"/>
                                                                <w:left w:val="none" w:sz="0" w:space="0" w:color="auto"/>
                                                                <w:bottom w:val="none" w:sz="0" w:space="0" w:color="auto"/>
                                                                <w:right w:val="none" w:sz="0" w:space="0" w:color="auto"/>
                                                              </w:divBdr>
                                                            </w:div>
                                                          </w:divsChild>
                                                        </w:div>
                                                        <w:div w:id="1880820652">
                                                          <w:marLeft w:val="0"/>
                                                          <w:marRight w:val="0"/>
                                                          <w:marTop w:val="0"/>
                                                          <w:marBottom w:val="0"/>
                                                          <w:divBdr>
                                                            <w:top w:val="none" w:sz="0" w:space="0" w:color="auto"/>
                                                            <w:left w:val="none" w:sz="0" w:space="0" w:color="auto"/>
                                                            <w:bottom w:val="none" w:sz="0" w:space="0" w:color="auto"/>
                                                            <w:right w:val="none" w:sz="0" w:space="0" w:color="auto"/>
                                                          </w:divBdr>
                                                          <w:divsChild>
                                                            <w:div w:id="1874885256">
                                                              <w:marLeft w:val="0"/>
                                                              <w:marRight w:val="0"/>
                                                              <w:marTop w:val="0"/>
                                                              <w:marBottom w:val="0"/>
                                                              <w:divBdr>
                                                                <w:top w:val="none" w:sz="0" w:space="0" w:color="auto"/>
                                                                <w:left w:val="none" w:sz="0" w:space="0" w:color="auto"/>
                                                                <w:bottom w:val="none" w:sz="0" w:space="0" w:color="auto"/>
                                                                <w:right w:val="none" w:sz="0" w:space="0" w:color="auto"/>
                                                              </w:divBdr>
                                                            </w:div>
                                                          </w:divsChild>
                                                        </w:div>
                                                        <w:div w:id="1883446220">
                                                          <w:marLeft w:val="0"/>
                                                          <w:marRight w:val="0"/>
                                                          <w:marTop w:val="0"/>
                                                          <w:marBottom w:val="0"/>
                                                          <w:divBdr>
                                                            <w:top w:val="none" w:sz="0" w:space="0" w:color="auto"/>
                                                            <w:left w:val="none" w:sz="0" w:space="0" w:color="auto"/>
                                                            <w:bottom w:val="none" w:sz="0" w:space="0" w:color="auto"/>
                                                            <w:right w:val="none" w:sz="0" w:space="0" w:color="auto"/>
                                                          </w:divBdr>
                                                          <w:divsChild>
                                                            <w:div w:id="179971334">
                                                              <w:marLeft w:val="0"/>
                                                              <w:marRight w:val="0"/>
                                                              <w:marTop w:val="0"/>
                                                              <w:marBottom w:val="0"/>
                                                              <w:divBdr>
                                                                <w:top w:val="none" w:sz="0" w:space="0" w:color="auto"/>
                                                                <w:left w:val="none" w:sz="0" w:space="0" w:color="auto"/>
                                                                <w:bottom w:val="none" w:sz="0" w:space="0" w:color="auto"/>
                                                                <w:right w:val="none" w:sz="0" w:space="0" w:color="auto"/>
                                                              </w:divBdr>
                                                            </w:div>
                                                          </w:divsChild>
                                                        </w:div>
                                                        <w:div w:id="1893617709">
                                                          <w:marLeft w:val="0"/>
                                                          <w:marRight w:val="0"/>
                                                          <w:marTop w:val="0"/>
                                                          <w:marBottom w:val="0"/>
                                                          <w:divBdr>
                                                            <w:top w:val="none" w:sz="0" w:space="0" w:color="auto"/>
                                                            <w:left w:val="none" w:sz="0" w:space="0" w:color="auto"/>
                                                            <w:bottom w:val="none" w:sz="0" w:space="0" w:color="auto"/>
                                                            <w:right w:val="none" w:sz="0" w:space="0" w:color="auto"/>
                                                          </w:divBdr>
                                                          <w:divsChild>
                                                            <w:div w:id="681779325">
                                                              <w:marLeft w:val="0"/>
                                                              <w:marRight w:val="0"/>
                                                              <w:marTop w:val="0"/>
                                                              <w:marBottom w:val="0"/>
                                                              <w:divBdr>
                                                                <w:top w:val="none" w:sz="0" w:space="0" w:color="auto"/>
                                                                <w:left w:val="none" w:sz="0" w:space="0" w:color="auto"/>
                                                                <w:bottom w:val="none" w:sz="0" w:space="0" w:color="auto"/>
                                                                <w:right w:val="none" w:sz="0" w:space="0" w:color="auto"/>
                                                              </w:divBdr>
                                                            </w:div>
                                                          </w:divsChild>
                                                        </w:div>
                                                        <w:div w:id="1908150614">
                                                          <w:marLeft w:val="0"/>
                                                          <w:marRight w:val="0"/>
                                                          <w:marTop w:val="0"/>
                                                          <w:marBottom w:val="0"/>
                                                          <w:divBdr>
                                                            <w:top w:val="none" w:sz="0" w:space="0" w:color="auto"/>
                                                            <w:left w:val="none" w:sz="0" w:space="0" w:color="auto"/>
                                                            <w:bottom w:val="none" w:sz="0" w:space="0" w:color="auto"/>
                                                            <w:right w:val="none" w:sz="0" w:space="0" w:color="auto"/>
                                                          </w:divBdr>
                                                          <w:divsChild>
                                                            <w:div w:id="177237233">
                                                              <w:marLeft w:val="0"/>
                                                              <w:marRight w:val="0"/>
                                                              <w:marTop w:val="0"/>
                                                              <w:marBottom w:val="0"/>
                                                              <w:divBdr>
                                                                <w:top w:val="none" w:sz="0" w:space="0" w:color="auto"/>
                                                                <w:left w:val="none" w:sz="0" w:space="0" w:color="auto"/>
                                                                <w:bottom w:val="none" w:sz="0" w:space="0" w:color="auto"/>
                                                                <w:right w:val="none" w:sz="0" w:space="0" w:color="auto"/>
                                                              </w:divBdr>
                                                            </w:div>
                                                          </w:divsChild>
                                                        </w:div>
                                                        <w:div w:id="1908565360">
                                                          <w:marLeft w:val="0"/>
                                                          <w:marRight w:val="0"/>
                                                          <w:marTop w:val="0"/>
                                                          <w:marBottom w:val="0"/>
                                                          <w:divBdr>
                                                            <w:top w:val="none" w:sz="0" w:space="0" w:color="auto"/>
                                                            <w:left w:val="none" w:sz="0" w:space="0" w:color="auto"/>
                                                            <w:bottom w:val="none" w:sz="0" w:space="0" w:color="auto"/>
                                                            <w:right w:val="none" w:sz="0" w:space="0" w:color="auto"/>
                                                          </w:divBdr>
                                                          <w:divsChild>
                                                            <w:div w:id="1284654608">
                                                              <w:marLeft w:val="0"/>
                                                              <w:marRight w:val="0"/>
                                                              <w:marTop w:val="0"/>
                                                              <w:marBottom w:val="0"/>
                                                              <w:divBdr>
                                                                <w:top w:val="none" w:sz="0" w:space="0" w:color="auto"/>
                                                                <w:left w:val="none" w:sz="0" w:space="0" w:color="auto"/>
                                                                <w:bottom w:val="none" w:sz="0" w:space="0" w:color="auto"/>
                                                                <w:right w:val="none" w:sz="0" w:space="0" w:color="auto"/>
                                                              </w:divBdr>
                                                            </w:div>
                                                          </w:divsChild>
                                                        </w:div>
                                                        <w:div w:id="1919363007">
                                                          <w:marLeft w:val="0"/>
                                                          <w:marRight w:val="0"/>
                                                          <w:marTop w:val="0"/>
                                                          <w:marBottom w:val="0"/>
                                                          <w:divBdr>
                                                            <w:top w:val="none" w:sz="0" w:space="0" w:color="auto"/>
                                                            <w:left w:val="none" w:sz="0" w:space="0" w:color="auto"/>
                                                            <w:bottom w:val="none" w:sz="0" w:space="0" w:color="auto"/>
                                                            <w:right w:val="none" w:sz="0" w:space="0" w:color="auto"/>
                                                          </w:divBdr>
                                                          <w:divsChild>
                                                            <w:div w:id="1860579931">
                                                              <w:marLeft w:val="0"/>
                                                              <w:marRight w:val="0"/>
                                                              <w:marTop w:val="0"/>
                                                              <w:marBottom w:val="0"/>
                                                              <w:divBdr>
                                                                <w:top w:val="none" w:sz="0" w:space="0" w:color="auto"/>
                                                                <w:left w:val="none" w:sz="0" w:space="0" w:color="auto"/>
                                                                <w:bottom w:val="none" w:sz="0" w:space="0" w:color="auto"/>
                                                                <w:right w:val="none" w:sz="0" w:space="0" w:color="auto"/>
                                                              </w:divBdr>
                                                            </w:div>
                                                          </w:divsChild>
                                                        </w:div>
                                                        <w:div w:id="1921865321">
                                                          <w:marLeft w:val="0"/>
                                                          <w:marRight w:val="0"/>
                                                          <w:marTop w:val="0"/>
                                                          <w:marBottom w:val="0"/>
                                                          <w:divBdr>
                                                            <w:top w:val="none" w:sz="0" w:space="0" w:color="auto"/>
                                                            <w:left w:val="none" w:sz="0" w:space="0" w:color="auto"/>
                                                            <w:bottom w:val="none" w:sz="0" w:space="0" w:color="auto"/>
                                                            <w:right w:val="none" w:sz="0" w:space="0" w:color="auto"/>
                                                          </w:divBdr>
                                                          <w:divsChild>
                                                            <w:div w:id="196548199">
                                                              <w:marLeft w:val="0"/>
                                                              <w:marRight w:val="0"/>
                                                              <w:marTop w:val="0"/>
                                                              <w:marBottom w:val="0"/>
                                                              <w:divBdr>
                                                                <w:top w:val="none" w:sz="0" w:space="0" w:color="auto"/>
                                                                <w:left w:val="none" w:sz="0" w:space="0" w:color="auto"/>
                                                                <w:bottom w:val="none" w:sz="0" w:space="0" w:color="auto"/>
                                                                <w:right w:val="none" w:sz="0" w:space="0" w:color="auto"/>
                                                              </w:divBdr>
                                                            </w:div>
                                                          </w:divsChild>
                                                        </w:div>
                                                        <w:div w:id="1930767026">
                                                          <w:marLeft w:val="0"/>
                                                          <w:marRight w:val="0"/>
                                                          <w:marTop w:val="0"/>
                                                          <w:marBottom w:val="0"/>
                                                          <w:divBdr>
                                                            <w:top w:val="none" w:sz="0" w:space="0" w:color="auto"/>
                                                            <w:left w:val="none" w:sz="0" w:space="0" w:color="auto"/>
                                                            <w:bottom w:val="none" w:sz="0" w:space="0" w:color="auto"/>
                                                            <w:right w:val="none" w:sz="0" w:space="0" w:color="auto"/>
                                                          </w:divBdr>
                                                          <w:divsChild>
                                                            <w:div w:id="818764993">
                                                              <w:marLeft w:val="0"/>
                                                              <w:marRight w:val="0"/>
                                                              <w:marTop w:val="0"/>
                                                              <w:marBottom w:val="0"/>
                                                              <w:divBdr>
                                                                <w:top w:val="none" w:sz="0" w:space="0" w:color="auto"/>
                                                                <w:left w:val="none" w:sz="0" w:space="0" w:color="auto"/>
                                                                <w:bottom w:val="none" w:sz="0" w:space="0" w:color="auto"/>
                                                                <w:right w:val="none" w:sz="0" w:space="0" w:color="auto"/>
                                                              </w:divBdr>
                                                            </w:div>
                                                          </w:divsChild>
                                                        </w:div>
                                                        <w:div w:id="1934364162">
                                                          <w:marLeft w:val="0"/>
                                                          <w:marRight w:val="0"/>
                                                          <w:marTop w:val="0"/>
                                                          <w:marBottom w:val="0"/>
                                                          <w:divBdr>
                                                            <w:top w:val="none" w:sz="0" w:space="0" w:color="auto"/>
                                                            <w:left w:val="none" w:sz="0" w:space="0" w:color="auto"/>
                                                            <w:bottom w:val="none" w:sz="0" w:space="0" w:color="auto"/>
                                                            <w:right w:val="none" w:sz="0" w:space="0" w:color="auto"/>
                                                          </w:divBdr>
                                                          <w:divsChild>
                                                            <w:div w:id="1929726620">
                                                              <w:marLeft w:val="0"/>
                                                              <w:marRight w:val="0"/>
                                                              <w:marTop w:val="0"/>
                                                              <w:marBottom w:val="0"/>
                                                              <w:divBdr>
                                                                <w:top w:val="none" w:sz="0" w:space="0" w:color="auto"/>
                                                                <w:left w:val="none" w:sz="0" w:space="0" w:color="auto"/>
                                                                <w:bottom w:val="none" w:sz="0" w:space="0" w:color="auto"/>
                                                                <w:right w:val="none" w:sz="0" w:space="0" w:color="auto"/>
                                                              </w:divBdr>
                                                            </w:div>
                                                          </w:divsChild>
                                                        </w:div>
                                                        <w:div w:id="1939095799">
                                                          <w:marLeft w:val="0"/>
                                                          <w:marRight w:val="0"/>
                                                          <w:marTop w:val="0"/>
                                                          <w:marBottom w:val="0"/>
                                                          <w:divBdr>
                                                            <w:top w:val="none" w:sz="0" w:space="0" w:color="auto"/>
                                                            <w:left w:val="none" w:sz="0" w:space="0" w:color="auto"/>
                                                            <w:bottom w:val="none" w:sz="0" w:space="0" w:color="auto"/>
                                                            <w:right w:val="none" w:sz="0" w:space="0" w:color="auto"/>
                                                          </w:divBdr>
                                                          <w:divsChild>
                                                            <w:div w:id="379478179">
                                                              <w:marLeft w:val="0"/>
                                                              <w:marRight w:val="0"/>
                                                              <w:marTop w:val="0"/>
                                                              <w:marBottom w:val="0"/>
                                                              <w:divBdr>
                                                                <w:top w:val="none" w:sz="0" w:space="0" w:color="auto"/>
                                                                <w:left w:val="none" w:sz="0" w:space="0" w:color="auto"/>
                                                                <w:bottom w:val="none" w:sz="0" w:space="0" w:color="auto"/>
                                                                <w:right w:val="none" w:sz="0" w:space="0" w:color="auto"/>
                                                              </w:divBdr>
                                                            </w:div>
                                                          </w:divsChild>
                                                        </w:div>
                                                        <w:div w:id="1941522979">
                                                          <w:marLeft w:val="0"/>
                                                          <w:marRight w:val="0"/>
                                                          <w:marTop w:val="0"/>
                                                          <w:marBottom w:val="0"/>
                                                          <w:divBdr>
                                                            <w:top w:val="none" w:sz="0" w:space="0" w:color="auto"/>
                                                            <w:left w:val="none" w:sz="0" w:space="0" w:color="auto"/>
                                                            <w:bottom w:val="none" w:sz="0" w:space="0" w:color="auto"/>
                                                            <w:right w:val="none" w:sz="0" w:space="0" w:color="auto"/>
                                                          </w:divBdr>
                                                          <w:divsChild>
                                                            <w:div w:id="1973558323">
                                                              <w:marLeft w:val="0"/>
                                                              <w:marRight w:val="0"/>
                                                              <w:marTop w:val="0"/>
                                                              <w:marBottom w:val="0"/>
                                                              <w:divBdr>
                                                                <w:top w:val="none" w:sz="0" w:space="0" w:color="auto"/>
                                                                <w:left w:val="none" w:sz="0" w:space="0" w:color="auto"/>
                                                                <w:bottom w:val="none" w:sz="0" w:space="0" w:color="auto"/>
                                                                <w:right w:val="none" w:sz="0" w:space="0" w:color="auto"/>
                                                              </w:divBdr>
                                                            </w:div>
                                                          </w:divsChild>
                                                        </w:div>
                                                        <w:div w:id="1941598601">
                                                          <w:marLeft w:val="0"/>
                                                          <w:marRight w:val="0"/>
                                                          <w:marTop w:val="0"/>
                                                          <w:marBottom w:val="0"/>
                                                          <w:divBdr>
                                                            <w:top w:val="none" w:sz="0" w:space="0" w:color="auto"/>
                                                            <w:left w:val="none" w:sz="0" w:space="0" w:color="auto"/>
                                                            <w:bottom w:val="none" w:sz="0" w:space="0" w:color="auto"/>
                                                            <w:right w:val="none" w:sz="0" w:space="0" w:color="auto"/>
                                                          </w:divBdr>
                                                          <w:divsChild>
                                                            <w:div w:id="753627043">
                                                              <w:marLeft w:val="0"/>
                                                              <w:marRight w:val="0"/>
                                                              <w:marTop w:val="0"/>
                                                              <w:marBottom w:val="0"/>
                                                              <w:divBdr>
                                                                <w:top w:val="none" w:sz="0" w:space="0" w:color="auto"/>
                                                                <w:left w:val="none" w:sz="0" w:space="0" w:color="auto"/>
                                                                <w:bottom w:val="none" w:sz="0" w:space="0" w:color="auto"/>
                                                                <w:right w:val="none" w:sz="0" w:space="0" w:color="auto"/>
                                                              </w:divBdr>
                                                            </w:div>
                                                          </w:divsChild>
                                                        </w:div>
                                                        <w:div w:id="1962958774">
                                                          <w:marLeft w:val="0"/>
                                                          <w:marRight w:val="0"/>
                                                          <w:marTop w:val="0"/>
                                                          <w:marBottom w:val="0"/>
                                                          <w:divBdr>
                                                            <w:top w:val="none" w:sz="0" w:space="0" w:color="auto"/>
                                                            <w:left w:val="none" w:sz="0" w:space="0" w:color="auto"/>
                                                            <w:bottom w:val="none" w:sz="0" w:space="0" w:color="auto"/>
                                                            <w:right w:val="none" w:sz="0" w:space="0" w:color="auto"/>
                                                          </w:divBdr>
                                                          <w:divsChild>
                                                            <w:div w:id="362874193">
                                                              <w:marLeft w:val="0"/>
                                                              <w:marRight w:val="0"/>
                                                              <w:marTop w:val="0"/>
                                                              <w:marBottom w:val="0"/>
                                                              <w:divBdr>
                                                                <w:top w:val="none" w:sz="0" w:space="0" w:color="auto"/>
                                                                <w:left w:val="none" w:sz="0" w:space="0" w:color="auto"/>
                                                                <w:bottom w:val="none" w:sz="0" w:space="0" w:color="auto"/>
                                                                <w:right w:val="none" w:sz="0" w:space="0" w:color="auto"/>
                                                              </w:divBdr>
                                                            </w:div>
                                                          </w:divsChild>
                                                        </w:div>
                                                        <w:div w:id="1972443706">
                                                          <w:marLeft w:val="0"/>
                                                          <w:marRight w:val="0"/>
                                                          <w:marTop w:val="0"/>
                                                          <w:marBottom w:val="0"/>
                                                          <w:divBdr>
                                                            <w:top w:val="none" w:sz="0" w:space="0" w:color="auto"/>
                                                            <w:left w:val="none" w:sz="0" w:space="0" w:color="auto"/>
                                                            <w:bottom w:val="none" w:sz="0" w:space="0" w:color="auto"/>
                                                            <w:right w:val="none" w:sz="0" w:space="0" w:color="auto"/>
                                                          </w:divBdr>
                                                          <w:divsChild>
                                                            <w:div w:id="1320959190">
                                                              <w:marLeft w:val="0"/>
                                                              <w:marRight w:val="0"/>
                                                              <w:marTop w:val="0"/>
                                                              <w:marBottom w:val="0"/>
                                                              <w:divBdr>
                                                                <w:top w:val="none" w:sz="0" w:space="0" w:color="auto"/>
                                                                <w:left w:val="none" w:sz="0" w:space="0" w:color="auto"/>
                                                                <w:bottom w:val="none" w:sz="0" w:space="0" w:color="auto"/>
                                                                <w:right w:val="none" w:sz="0" w:space="0" w:color="auto"/>
                                                              </w:divBdr>
                                                            </w:div>
                                                          </w:divsChild>
                                                        </w:div>
                                                        <w:div w:id="1981228878">
                                                          <w:marLeft w:val="0"/>
                                                          <w:marRight w:val="0"/>
                                                          <w:marTop w:val="0"/>
                                                          <w:marBottom w:val="0"/>
                                                          <w:divBdr>
                                                            <w:top w:val="none" w:sz="0" w:space="0" w:color="auto"/>
                                                            <w:left w:val="none" w:sz="0" w:space="0" w:color="auto"/>
                                                            <w:bottom w:val="none" w:sz="0" w:space="0" w:color="auto"/>
                                                            <w:right w:val="none" w:sz="0" w:space="0" w:color="auto"/>
                                                          </w:divBdr>
                                                        </w:div>
                                                        <w:div w:id="1993217399">
                                                          <w:marLeft w:val="0"/>
                                                          <w:marRight w:val="0"/>
                                                          <w:marTop w:val="0"/>
                                                          <w:marBottom w:val="0"/>
                                                          <w:divBdr>
                                                            <w:top w:val="none" w:sz="0" w:space="0" w:color="auto"/>
                                                            <w:left w:val="none" w:sz="0" w:space="0" w:color="auto"/>
                                                            <w:bottom w:val="none" w:sz="0" w:space="0" w:color="auto"/>
                                                            <w:right w:val="none" w:sz="0" w:space="0" w:color="auto"/>
                                                          </w:divBdr>
                                                          <w:divsChild>
                                                            <w:div w:id="1683432123">
                                                              <w:marLeft w:val="0"/>
                                                              <w:marRight w:val="0"/>
                                                              <w:marTop w:val="0"/>
                                                              <w:marBottom w:val="0"/>
                                                              <w:divBdr>
                                                                <w:top w:val="none" w:sz="0" w:space="0" w:color="auto"/>
                                                                <w:left w:val="none" w:sz="0" w:space="0" w:color="auto"/>
                                                                <w:bottom w:val="none" w:sz="0" w:space="0" w:color="auto"/>
                                                                <w:right w:val="none" w:sz="0" w:space="0" w:color="auto"/>
                                                              </w:divBdr>
                                                            </w:div>
                                                          </w:divsChild>
                                                        </w:div>
                                                        <w:div w:id="1995135903">
                                                          <w:marLeft w:val="0"/>
                                                          <w:marRight w:val="0"/>
                                                          <w:marTop w:val="0"/>
                                                          <w:marBottom w:val="0"/>
                                                          <w:divBdr>
                                                            <w:top w:val="none" w:sz="0" w:space="0" w:color="auto"/>
                                                            <w:left w:val="none" w:sz="0" w:space="0" w:color="auto"/>
                                                            <w:bottom w:val="none" w:sz="0" w:space="0" w:color="auto"/>
                                                            <w:right w:val="none" w:sz="0" w:space="0" w:color="auto"/>
                                                          </w:divBdr>
                                                          <w:divsChild>
                                                            <w:div w:id="1168595360">
                                                              <w:marLeft w:val="0"/>
                                                              <w:marRight w:val="0"/>
                                                              <w:marTop w:val="0"/>
                                                              <w:marBottom w:val="0"/>
                                                              <w:divBdr>
                                                                <w:top w:val="none" w:sz="0" w:space="0" w:color="auto"/>
                                                                <w:left w:val="none" w:sz="0" w:space="0" w:color="auto"/>
                                                                <w:bottom w:val="none" w:sz="0" w:space="0" w:color="auto"/>
                                                                <w:right w:val="none" w:sz="0" w:space="0" w:color="auto"/>
                                                              </w:divBdr>
                                                            </w:div>
                                                          </w:divsChild>
                                                        </w:div>
                                                        <w:div w:id="1996254987">
                                                          <w:marLeft w:val="0"/>
                                                          <w:marRight w:val="0"/>
                                                          <w:marTop w:val="0"/>
                                                          <w:marBottom w:val="0"/>
                                                          <w:divBdr>
                                                            <w:top w:val="none" w:sz="0" w:space="0" w:color="auto"/>
                                                            <w:left w:val="none" w:sz="0" w:space="0" w:color="auto"/>
                                                            <w:bottom w:val="none" w:sz="0" w:space="0" w:color="auto"/>
                                                            <w:right w:val="none" w:sz="0" w:space="0" w:color="auto"/>
                                                          </w:divBdr>
                                                          <w:divsChild>
                                                            <w:div w:id="197202518">
                                                              <w:marLeft w:val="0"/>
                                                              <w:marRight w:val="0"/>
                                                              <w:marTop w:val="0"/>
                                                              <w:marBottom w:val="0"/>
                                                              <w:divBdr>
                                                                <w:top w:val="none" w:sz="0" w:space="0" w:color="auto"/>
                                                                <w:left w:val="none" w:sz="0" w:space="0" w:color="auto"/>
                                                                <w:bottom w:val="none" w:sz="0" w:space="0" w:color="auto"/>
                                                                <w:right w:val="none" w:sz="0" w:space="0" w:color="auto"/>
                                                              </w:divBdr>
                                                            </w:div>
                                                          </w:divsChild>
                                                        </w:div>
                                                        <w:div w:id="1998530780">
                                                          <w:marLeft w:val="0"/>
                                                          <w:marRight w:val="0"/>
                                                          <w:marTop w:val="0"/>
                                                          <w:marBottom w:val="0"/>
                                                          <w:divBdr>
                                                            <w:top w:val="none" w:sz="0" w:space="0" w:color="auto"/>
                                                            <w:left w:val="none" w:sz="0" w:space="0" w:color="auto"/>
                                                            <w:bottom w:val="none" w:sz="0" w:space="0" w:color="auto"/>
                                                            <w:right w:val="none" w:sz="0" w:space="0" w:color="auto"/>
                                                          </w:divBdr>
                                                          <w:divsChild>
                                                            <w:div w:id="769466537">
                                                              <w:marLeft w:val="0"/>
                                                              <w:marRight w:val="0"/>
                                                              <w:marTop w:val="0"/>
                                                              <w:marBottom w:val="0"/>
                                                              <w:divBdr>
                                                                <w:top w:val="none" w:sz="0" w:space="0" w:color="auto"/>
                                                                <w:left w:val="none" w:sz="0" w:space="0" w:color="auto"/>
                                                                <w:bottom w:val="none" w:sz="0" w:space="0" w:color="auto"/>
                                                                <w:right w:val="none" w:sz="0" w:space="0" w:color="auto"/>
                                                              </w:divBdr>
                                                            </w:div>
                                                          </w:divsChild>
                                                        </w:div>
                                                        <w:div w:id="2000621650">
                                                          <w:marLeft w:val="0"/>
                                                          <w:marRight w:val="0"/>
                                                          <w:marTop w:val="0"/>
                                                          <w:marBottom w:val="0"/>
                                                          <w:divBdr>
                                                            <w:top w:val="none" w:sz="0" w:space="0" w:color="auto"/>
                                                            <w:left w:val="none" w:sz="0" w:space="0" w:color="auto"/>
                                                            <w:bottom w:val="none" w:sz="0" w:space="0" w:color="auto"/>
                                                            <w:right w:val="none" w:sz="0" w:space="0" w:color="auto"/>
                                                          </w:divBdr>
                                                          <w:divsChild>
                                                            <w:div w:id="21975969">
                                                              <w:marLeft w:val="0"/>
                                                              <w:marRight w:val="0"/>
                                                              <w:marTop w:val="0"/>
                                                              <w:marBottom w:val="0"/>
                                                              <w:divBdr>
                                                                <w:top w:val="none" w:sz="0" w:space="0" w:color="auto"/>
                                                                <w:left w:val="none" w:sz="0" w:space="0" w:color="auto"/>
                                                                <w:bottom w:val="none" w:sz="0" w:space="0" w:color="auto"/>
                                                                <w:right w:val="none" w:sz="0" w:space="0" w:color="auto"/>
                                                              </w:divBdr>
                                                            </w:div>
                                                          </w:divsChild>
                                                        </w:div>
                                                        <w:div w:id="2001108028">
                                                          <w:marLeft w:val="0"/>
                                                          <w:marRight w:val="0"/>
                                                          <w:marTop w:val="0"/>
                                                          <w:marBottom w:val="0"/>
                                                          <w:divBdr>
                                                            <w:top w:val="none" w:sz="0" w:space="0" w:color="auto"/>
                                                            <w:left w:val="none" w:sz="0" w:space="0" w:color="auto"/>
                                                            <w:bottom w:val="none" w:sz="0" w:space="0" w:color="auto"/>
                                                            <w:right w:val="none" w:sz="0" w:space="0" w:color="auto"/>
                                                          </w:divBdr>
                                                          <w:divsChild>
                                                            <w:div w:id="2003504102">
                                                              <w:marLeft w:val="0"/>
                                                              <w:marRight w:val="0"/>
                                                              <w:marTop w:val="0"/>
                                                              <w:marBottom w:val="0"/>
                                                              <w:divBdr>
                                                                <w:top w:val="none" w:sz="0" w:space="0" w:color="auto"/>
                                                                <w:left w:val="none" w:sz="0" w:space="0" w:color="auto"/>
                                                                <w:bottom w:val="none" w:sz="0" w:space="0" w:color="auto"/>
                                                                <w:right w:val="none" w:sz="0" w:space="0" w:color="auto"/>
                                                              </w:divBdr>
                                                            </w:div>
                                                          </w:divsChild>
                                                        </w:div>
                                                        <w:div w:id="2011180872">
                                                          <w:marLeft w:val="0"/>
                                                          <w:marRight w:val="0"/>
                                                          <w:marTop w:val="0"/>
                                                          <w:marBottom w:val="0"/>
                                                          <w:divBdr>
                                                            <w:top w:val="none" w:sz="0" w:space="0" w:color="auto"/>
                                                            <w:left w:val="none" w:sz="0" w:space="0" w:color="auto"/>
                                                            <w:bottom w:val="none" w:sz="0" w:space="0" w:color="auto"/>
                                                            <w:right w:val="none" w:sz="0" w:space="0" w:color="auto"/>
                                                          </w:divBdr>
                                                          <w:divsChild>
                                                            <w:div w:id="2096977545">
                                                              <w:marLeft w:val="0"/>
                                                              <w:marRight w:val="0"/>
                                                              <w:marTop w:val="0"/>
                                                              <w:marBottom w:val="0"/>
                                                              <w:divBdr>
                                                                <w:top w:val="none" w:sz="0" w:space="0" w:color="auto"/>
                                                                <w:left w:val="none" w:sz="0" w:space="0" w:color="auto"/>
                                                                <w:bottom w:val="none" w:sz="0" w:space="0" w:color="auto"/>
                                                                <w:right w:val="none" w:sz="0" w:space="0" w:color="auto"/>
                                                              </w:divBdr>
                                                            </w:div>
                                                          </w:divsChild>
                                                        </w:div>
                                                        <w:div w:id="2024936140">
                                                          <w:marLeft w:val="0"/>
                                                          <w:marRight w:val="0"/>
                                                          <w:marTop w:val="0"/>
                                                          <w:marBottom w:val="0"/>
                                                          <w:divBdr>
                                                            <w:top w:val="none" w:sz="0" w:space="0" w:color="auto"/>
                                                            <w:left w:val="none" w:sz="0" w:space="0" w:color="auto"/>
                                                            <w:bottom w:val="none" w:sz="0" w:space="0" w:color="auto"/>
                                                            <w:right w:val="none" w:sz="0" w:space="0" w:color="auto"/>
                                                          </w:divBdr>
                                                          <w:divsChild>
                                                            <w:div w:id="1567111192">
                                                              <w:marLeft w:val="0"/>
                                                              <w:marRight w:val="0"/>
                                                              <w:marTop w:val="0"/>
                                                              <w:marBottom w:val="0"/>
                                                              <w:divBdr>
                                                                <w:top w:val="none" w:sz="0" w:space="0" w:color="auto"/>
                                                                <w:left w:val="none" w:sz="0" w:space="0" w:color="auto"/>
                                                                <w:bottom w:val="none" w:sz="0" w:space="0" w:color="auto"/>
                                                                <w:right w:val="none" w:sz="0" w:space="0" w:color="auto"/>
                                                              </w:divBdr>
                                                            </w:div>
                                                          </w:divsChild>
                                                        </w:div>
                                                        <w:div w:id="2026207126">
                                                          <w:marLeft w:val="0"/>
                                                          <w:marRight w:val="0"/>
                                                          <w:marTop w:val="0"/>
                                                          <w:marBottom w:val="0"/>
                                                          <w:divBdr>
                                                            <w:top w:val="none" w:sz="0" w:space="0" w:color="auto"/>
                                                            <w:left w:val="none" w:sz="0" w:space="0" w:color="auto"/>
                                                            <w:bottom w:val="none" w:sz="0" w:space="0" w:color="auto"/>
                                                            <w:right w:val="none" w:sz="0" w:space="0" w:color="auto"/>
                                                          </w:divBdr>
                                                          <w:divsChild>
                                                            <w:div w:id="2052529000">
                                                              <w:marLeft w:val="0"/>
                                                              <w:marRight w:val="0"/>
                                                              <w:marTop w:val="0"/>
                                                              <w:marBottom w:val="0"/>
                                                              <w:divBdr>
                                                                <w:top w:val="none" w:sz="0" w:space="0" w:color="auto"/>
                                                                <w:left w:val="none" w:sz="0" w:space="0" w:color="auto"/>
                                                                <w:bottom w:val="none" w:sz="0" w:space="0" w:color="auto"/>
                                                                <w:right w:val="none" w:sz="0" w:space="0" w:color="auto"/>
                                                              </w:divBdr>
                                                            </w:div>
                                                          </w:divsChild>
                                                        </w:div>
                                                        <w:div w:id="2027558723">
                                                          <w:marLeft w:val="0"/>
                                                          <w:marRight w:val="0"/>
                                                          <w:marTop w:val="0"/>
                                                          <w:marBottom w:val="0"/>
                                                          <w:divBdr>
                                                            <w:top w:val="none" w:sz="0" w:space="0" w:color="auto"/>
                                                            <w:left w:val="none" w:sz="0" w:space="0" w:color="auto"/>
                                                            <w:bottom w:val="none" w:sz="0" w:space="0" w:color="auto"/>
                                                            <w:right w:val="none" w:sz="0" w:space="0" w:color="auto"/>
                                                          </w:divBdr>
                                                          <w:divsChild>
                                                            <w:div w:id="570316906">
                                                              <w:marLeft w:val="0"/>
                                                              <w:marRight w:val="0"/>
                                                              <w:marTop w:val="0"/>
                                                              <w:marBottom w:val="0"/>
                                                              <w:divBdr>
                                                                <w:top w:val="none" w:sz="0" w:space="0" w:color="auto"/>
                                                                <w:left w:val="none" w:sz="0" w:space="0" w:color="auto"/>
                                                                <w:bottom w:val="none" w:sz="0" w:space="0" w:color="auto"/>
                                                                <w:right w:val="none" w:sz="0" w:space="0" w:color="auto"/>
                                                              </w:divBdr>
                                                            </w:div>
                                                          </w:divsChild>
                                                        </w:div>
                                                        <w:div w:id="2036149612">
                                                          <w:marLeft w:val="0"/>
                                                          <w:marRight w:val="0"/>
                                                          <w:marTop w:val="0"/>
                                                          <w:marBottom w:val="0"/>
                                                          <w:divBdr>
                                                            <w:top w:val="none" w:sz="0" w:space="0" w:color="auto"/>
                                                            <w:left w:val="none" w:sz="0" w:space="0" w:color="auto"/>
                                                            <w:bottom w:val="none" w:sz="0" w:space="0" w:color="auto"/>
                                                            <w:right w:val="none" w:sz="0" w:space="0" w:color="auto"/>
                                                          </w:divBdr>
                                                          <w:divsChild>
                                                            <w:div w:id="263731958">
                                                              <w:marLeft w:val="0"/>
                                                              <w:marRight w:val="0"/>
                                                              <w:marTop w:val="0"/>
                                                              <w:marBottom w:val="0"/>
                                                              <w:divBdr>
                                                                <w:top w:val="none" w:sz="0" w:space="0" w:color="auto"/>
                                                                <w:left w:val="none" w:sz="0" w:space="0" w:color="auto"/>
                                                                <w:bottom w:val="none" w:sz="0" w:space="0" w:color="auto"/>
                                                                <w:right w:val="none" w:sz="0" w:space="0" w:color="auto"/>
                                                              </w:divBdr>
                                                            </w:div>
                                                          </w:divsChild>
                                                        </w:div>
                                                        <w:div w:id="2040663382">
                                                          <w:marLeft w:val="0"/>
                                                          <w:marRight w:val="0"/>
                                                          <w:marTop w:val="0"/>
                                                          <w:marBottom w:val="0"/>
                                                          <w:divBdr>
                                                            <w:top w:val="none" w:sz="0" w:space="0" w:color="auto"/>
                                                            <w:left w:val="none" w:sz="0" w:space="0" w:color="auto"/>
                                                            <w:bottom w:val="none" w:sz="0" w:space="0" w:color="auto"/>
                                                            <w:right w:val="none" w:sz="0" w:space="0" w:color="auto"/>
                                                          </w:divBdr>
                                                          <w:divsChild>
                                                            <w:div w:id="587425989">
                                                              <w:marLeft w:val="0"/>
                                                              <w:marRight w:val="0"/>
                                                              <w:marTop w:val="0"/>
                                                              <w:marBottom w:val="0"/>
                                                              <w:divBdr>
                                                                <w:top w:val="none" w:sz="0" w:space="0" w:color="auto"/>
                                                                <w:left w:val="none" w:sz="0" w:space="0" w:color="auto"/>
                                                                <w:bottom w:val="none" w:sz="0" w:space="0" w:color="auto"/>
                                                                <w:right w:val="none" w:sz="0" w:space="0" w:color="auto"/>
                                                              </w:divBdr>
                                                            </w:div>
                                                          </w:divsChild>
                                                        </w:div>
                                                        <w:div w:id="2041473533">
                                                          <w:marLeft w:val="0"/>
                                                          <w:marRight w:val="0"/>
                                                          <w:marTop w:val="0"/>
                                                          <w:marBottom w:val="0"/>
                                                          <w:divBdr>
                                                            <w:top w:val="none" w:sz="0" w:space="0" w:color="auto"/>
                                                            <w:left w:val="none" w:sz="0" w:space="0" w:color="auto"/>
                                                            <w:bottom w:val="none" w:sz="0" w:space="0" w:color="auto"/>
                                                            <w:right w:val="none" w:sz="0" w:space="0" w:color="auto"/>
                                                          </w:divBdr>
                                                          <w:divsChild>
                                                            <w:div w:id="1214076186">
                                                              <w:marLeft w:val="0"/>
                                                              <w:marRight w:val="0"/>
                                                              <w:marTop w:val="0"/>
                                                              <w:marBottom w:val="0"/>
                                                              <w:divBdr>
                                                                <w:top w:val="none" w:sz="0" w:space="0" w:color="auto"/>
                                                                <w:left w:val="none" w:sz="0" w:space="0" w:color="auto"/>
                                                                <w:bottom w:val="none" w:sz="0" w:space="0" w:color="auto"/>
                                                                <w:right w:val="none" w:sz="0" w:space="0" w:color="auto"/>
                                                              </w:divBdr>
                                                            </w:div>
                                                          </w:divsChild>
                                                        </w:div>
                                                        <w:div w:id="2049990643">
                                                          <w:marLeft w:val="0"/>
                                                          <w:marRight w:val="0"/>
                                                          <w:marTop w:val="0"/>
                                                          <w:marBottom w:val="0"/>
                                                          <w:divBdr>
                                                            <w:top w:val="none" w:sz="0" w:space="0" w:color="auto"/>
                                                            <w:left w:val="none" w:sz="0" w:space="0" w:color="auto"/>
                                                            <w:bottom w:val="none" w:sz="0" w:space="0" w:color="auto"/>
                                                            <w:right w:val="none" w:sz="0" w:space="0" w:color="auto"/>
                                                          </w:divBdr>
                                                          <w:divsChild>
                                                            <w:div w:id="1798986508">
                                                              <w:marLeft w:val="0"/>
                                                              <w:marRight w:val="0"/>
                                                              <w:marTop w:val="0"/>
                                                              <w:marBottom w:val="0"/>
                                                              <w:divBdr>
                                                                <w:top w:val="none" w:sz="0" w:space="0" w:color="auto"/>
                                                                <w:left w:val="none" w:sz="0" w:space="0" w:color="auto"/>
                                                                <w:bottom w:val="none" w:sz="0" w:space="0" w:color="auto"/>
                                                                <w:right w:val="none" w:sz="0" w:space="0" w:color="auto"/>
                                                              </w:divBdr>
                                                            </w:div>
                                                          </w:divsChild>
                                                        </w:div>
                                                        <w:div w:id="2076853041">
                                                          <w:marLeft w:val="0"/>
                                                          <w:marRight w:val="0"/>
                                                          <w:marTop w:val="0"/>
                                                          <w:marBottom w:val="0"/>
                                                          <w:divBdr>
                                                            <w:top w:val="none" w:sz="0" w:space="0" w:color="auto"/>
                                                            <w:left w:val="none" w:sz="0" w:space="0" w:color="auto"/>
                                                            <w:bottom w:val="none" w:sz="0" w:space="0" w:color="auto"/>
                                                            <w:right w:val="none" w:sz="0" w:space="0" w:color="auto"/>
                                                          </w:divBdr>
                                                          <w:divsChild>
                                                            <w:div w:id="850989214">
                                                              <w:marLeft w:val="0"/>
                                                              <w:marRight w:val="0"/>
                                                              <w:marTop w:val="0"/>
                                                              <w:marBottom w:val="0"/>
                                                              <w:divBdr>
                                                                <w:top w:val="none" w:sz="0" w:space="0" w:color="auto"/>
                                                                <w:left w:val="none" w:sz="0" w:space="0" w:color="auto"/>
                                                                <w:bottom w:val="none" w:sz="0" w:space="0" w:color="auto"/>
                                                                <w:right w:val="none" w:sz="0" w:space="0" w:color="auto"/>
                                                              </w:divBdr>
                                                            </w:div>
                                                          </w:divsChild>
                                                        </w:div>
                                                        <w:div w:id="2078239954">
                                                          <w:marLeft w:val="0"/>
                                                          <w:marRight w:val="0"/>
                                                          <w:marTop w:val="0"/>
                                                          <w:marBottom w:val="0"/>
                                                          <w:divBdr>
                                                            <w:top w:val="none" w:sz="0" w:space="0" w:color="auto"/>
                                                            <w:left w:val="none" w:sz="0" w:space="0" w:color="auto"/>
                                                            <w:bottom w:val="none" w:sz="0" w:space="0" w:color="auto"/>
                                                            <w:right w:val="none" w:sz="0" w:space="0" w:color="auto"/>
                                                          </w:divBdr>
                                                          <w:divsChild>
                                                            <w:div w:id="918560206">
                                                              <w:marLeft w:val="0"/>
                                                              <w:marRight w:val="0"/>
                                                              <w:marTop w:val="0"/>
                                                              <w:marBottom w:val="0"/>
                                                              <w:divBdr>
                                                                <w:top w:val="none" w:sz="0" w:space="0" w:color="auto"/>
                                                                <w:left w:val="none" w:sz="0" w:space="0" w:color="auto"/>
                                                                <w:bottom w:val="none" w:sz="0" w:space="0" w:color="auto"/>
                                                                <w:right w:val="none" w:sz="0" w:space="0" w:color="auto"/>
                                                              </w:divBdr>
                                                            </w:div>
                                                          </w:divsChild>
                                                        </w:div>
                                                        <w:div w:id="2085443617">
                                                          <w:marLeft w:val="0"/>
                                                          <w:marRight w:val="0"/>
                                                          <w:marTop w:val="0"/>
                                                          <w:marBottom w:val="0"/>
                                                          <w:divBdr>
                                                            <w:top w:val="none" w:sz="0" w:space="0" w:color="auto"/>
                                                            <w:left w:val="none" w:sz="0" w:space="0" w:color="auto"/>
                                                            <w:bottom w:val="none" w:sz="0" w:space="0" w:color="auto"/>
                                                            <w:right w:val="none" w:sz="0" w:space="0" w:color="auto"/>
                                                          </w:divBdr>
                                                          <w:divsChild>
                                                            <w:div w:id="809398800">
                                                              <w:marLeft w:val="0"/>
                                                              <w:marRight w:val="0"/>
                                                              <w:marTop w:val="0"/>
                                                              <w:marBottom w:val="0"/>
                                                              <w:divBdr>
                                                                <w:top w:val="none" w:sz="0" w:space="0" w:color="auto"/>
                                                                <w:left w:val="none" w:sz="0" w:space="0" w:color="auto"/>
                                                                <w:bottom w:val="none" w:sz="0" w:space="0" w:color="auto"/>
                                                                <w:right w:val="none" w:sz="0" w:space="0" w:color="auto"/>
                                                              </w:divBdr>
                                                            </w:div>
                                                          </w:divsChild>
                                                        </w:div>
                                                        <w:div w:id="2130930770">
                                                          <w:marLeft w:val="0"/>
                                                          <w:marRight w:val="0"/>
                                                          <w:marTop w:val="0"/>
                                                          <w:marBottom w:val="0"/>
                                                          <w:divBdr>
                                                            <w:top w:val="none" w:sz="0" w:space="0" w:color="auto"/>
                                                            <w:left w:val="none" w:sz="0" w:space="0" w:color="auto"/>
                                                            <w:bottom w:val="none" w:sz="0" w:space="0" w:color="auto"/>
                                                            <w:right w:val="none" w:sz="0" w:space="0" w:color="auto"/>
                                                          </w:divBdr>
                                                          <w:divsChild>
                                                            <w:div w:id="1460612876">
                                                              <w:marLeft w:val="0"/>
                                                              <w:marRight w:val="0"/>
                                                              <w:marTop w:val="0"/>
                                                              <w:marBottom w:val="0"/>
                                                              <w:divBdr>
                                                                <w:top w:val="none" w:sz="0" w:space="0" w:color="auto"/>
                                                                <w:left w:val="none" w:sz="0" w:space="0" w:color="auto"/>
                                                                <w:bottom w:val="none" w:sz="0" w:space="0" w:color="auto"/>
                                                                <w:right w:val="none" w:sz="0" w:space="0" w:color="auto"/>
                                                              </w:divBdr>
                                                            </w:div>
                                                          </w:divsChild>
                                                        </w:div>
                                                        <w:div w:id="2133209206">
                                                          <w:marLeft w:val="0"/>
                                                          <w:marRight w:val="0"/>
                                                          <w:marTop w:val="0"/>
                                                          <w:marBottom w:val="0"/>
                                                          <w:divBdr>
                                                            <w:top w:val="none" w:sz="0" w:space="0" w:color="auto"/>
                                                            <w:left w:val="none" w:sz="0" w:space="0" w:color="auto"/>
                                                            <w:bottom w:val="none" w:sz="0" w:space="0" w:color="auto"/>
                                                            <w:right w:val="none" w:sz="0" w:space="0" w:color="auto"/>
                                                          </w:divBdr>
                                                        </w:div>
                                                        <w:div w:id="2135368844">
                                                          <w:marLeft w:val="0"/>
                                                          <w:marRight w:val="0"/>
                                                          <w:marTop w:val="0"/>
                                                          <w:marBottom w:val="0"/>
                                                          <w:divBdr>
                                                            <w:top w:val="none" w:sz="0" w:space="0" w:color="auto"/>
                                                            <w:left w:val="none" w:sz="0" w:space="0" w:color="auto"/>
                                                            <w:bottom w:val="none" w:sz="0" w:space="0" w:color="auto"/>
                                                            <w:right w:val="none" w:sz="0" w:space="0" w:color="auto"/>
                                                          </w:divBdr>
                                                          <w:divsChild>
                                                            <w:div w:id="1189299368">
                                                              <w:marLeft w:val="0"/>
                                                              <w:marRight w:val="0"/>
                                                              <w:marTop w:val="0"/>
                                                              <w:marBottom w:val="0"/>
                                                              <w:divBdr>
                                                                <w:top w:val="none" w:sz="0" w:space="0" w:color="auto"/>
                                                                <w:left w:val="none" w:sz="0" w:space="0" w:color="auto"/>
                                                                <w:bottom w:val="none" w:sz="0" w:space="0" w:color="auto"/>
                                                                <w:right w:val="none" w:sz="0" w:space="0" w:color="auto"/>
                                                              </w:divBdr>
                                                            </w:div>
                                                          </w:divsChild>
                                                        </w:div>
                                                        <w:div w:id="2141026713">
                                                          <w:marLeft w:val="0"/>
                                                          <w:marRight w:val="0"/>
                                                          <w:marTop w:val="0"/>
                                                          <w:marBottom w:val="0"/>
                                                          <w:divBdr>
                                                            <w:top w:val="none" w:sz="0" w:space="0" w:color="auto"/>
                                                            <w:left w:val="none" w:sz="0" w:space="0" w:color="auto"/>
                                                            <w:bottom w:val="none" w:sz="0" w:space="0" w:color="auto"/>
                                                            <w:right w:val="none" w:sz="0" w:space="0" w:color="auto"/>
                                                          </w:divBdr>
                                                          <w:divsChild>
                                                            <w:div w:id="14576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8551">
                                                      <w:marLeft w:val="0"/>
                                                      <w:marRight w:val="0"/>
                                                      <w:marTop w:val="0"/>
                                                      <w:marBottom w:val="0"/>
                                                      <w:divBdr>
                                                        <w:top w:val="none" w:sz="0" w:space="0" w:color="auto"/>
                                                        <w:left w:val="none" w:sz="0" w:space="0" w:color="auto"/>
                                                        <w:bottom w:val="none" w:sz="0" w:space="0" w:color="auto"/>
                                                        <w:right w:val="none" w:sz="0" w:space="0" w:color="auto"/>
                                                      </w:divBdr>
                                                      <w:divsChild>
                                                        <w:div w:id="202131955">
                                                          <w:marLeft w:val="0"/>
                                                          <w:marRight w:val="0"/>
                                                          <w:marTop w:val="0"/>
                                                          <w:marBottom w:val="0"/>
                                                          <w:divBdr>
                                                            <w:top w:val="none" w:sz="0" w:space="0" w:color="auto"/>
                                                            <w:left w:val="none" w:sz="0" w:space="0" w:color="auto"/>
                                                            <w:bottom w:val="none" w:sz="0" w:space="0" w:color="auto"/>
                                                            <w:right w:val="none" w:sz="0" w:space="0" w:color="auto"/>
                                                          </w:divBdr>
                                                          <w:divsChild>
                                                            <w:div w:id="36965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32496">
                                                      <w:marLeft w:val="0"/>
                                                      <w:marRight w:val="0"/>
                                                      <w:marTop w:val="0"/>
                                                      <w:marBottom w:val="0"/>
                                                      <w:divBdr>
                                                        <w:top w:val="none" w:sz="0" w:space="0" w:color="auto"/>
                                                        <w:left w:val="none" w:sz="0" w:space="0" w:color="auto"/>
                                                        <w:bottom w:val="none" w:sz="0" w:space="0" w:color="auto"/>
                                                        <w:right w:val="none" w:sz="0" w:space="0" w:color="auto"/>
                                                      </w:divBdr>
                                                      <w:divsChild>
                                                        <w:div w:id="1522544765">
                                                          <w:marLeft w:val="0"/>
                                                          <w:marRight w:val="0"/>
                                                          <w:marTop w:val="0"/>
                                                          <w:marBottom w:val="0"/>
                                                          <w:divBdr>
                                                            <w:top w:val="none" w:sz="0" w:space="0" w:color="auto"/>
                                                            <w:left w:val="none" w:sz="0" w:space="0" w:color="auto"/>
                                                            <w:bottom w:val="none" w:sz="0" w:space="0" w:color="auto"/>
                                                            <w:right w:val="none" w:sz="0" w:space="0" w:color="auto"/>
                                                          </w:divBdr>
                                                        </w:div>
                                                      </w:divsChild>
                                                    </w:div>
                                                    <w:div w:id="1109550137">
                                                      <w:marLeft w:val="0"/>
                                                      <w:marRight w:val="0"/>
                                                      <w:marTop w:val="0"/>
                                                      <w:marBottom w:val="0"/>
                                                      <w:divBdr>
                                                        <w:top w:val="none" w:sz="0" w:space="0" w:color="auto"/>
                                                        <w:left w:val="none" w:sz="0" w:space="0" w:color="auto"/>
                                                        <w:bottom w:val="none" w:sz="0" w:space="0" w:color="auto"/>
                                                        <w:right w:val="none" w:sz="0" w:space="0" w:color="auto"/>
                                                      </w:divBdr>
                                                      <w:divsChild>
                                                        <w:div w:id="456261904">
                                                          <w:marLeft w:val="0"/>
                                                          <w:marRight w:val="0"/>
                                                          <w:marTop w:val="0"/>
                                                          <w:marBottom w:val="0"/>
                                                          <w:divBdr>
                                                            <w:top w:val="none" w:sz="0" w:space="0" w:color="auto"/>
                                                            <w:left w:val="none" w:sz="0" w:space="0" w:color="auto"/>
                                                            <w:bottom w:val="none" w:sz="0" w:space="0" w:color="auto"/>
                                                            <w:right w:val="none" w:sz="0" w:space="0" w:color="auto"/>
                                                          </w:divBdr>
                                                          <w:divsChild>
                                                            <w:div w:id="1589653615">
                                                              <w:marLeft w:val="0"/>
                                                              <w:marRight w:val="0"/>
                                                              <w:marTop w:val="0"/>
                                                              <w:marBottom w:val="0"/>
                                                              <w:divBdr>
                                                                <w:top w:val="none" w:sz="0" w:space="0" w:color="auto"/>
                                                                <w:left w:val="none" w:sz="0" w:space="0" w:color="auto"/>
                                                                <w:bottom w:val="none" w:sz="0" w:space="0" w:color="auto"/>
                                                                <w:right w:val="none" w:sz="0" w:space="0" w:color="auto"/>
                                                              </w:divBdr>
                                                            </w:div>
                                                          </w:divsChild>
                                                        </w:div>
                                                        <w:div w:id="909193899">
                                                          <w:marLeft w:val="0"/>
                                                          <w:marRight w:val="0"/>
                                                          <w:marTop w:val="0"/>
                                                          <w:marBottom w:val="0"/>
                                                          <w:divBdr>
                                                            <w:top w:val="none" w:sz="0" w:space="0" w:color="auto"/>
                                                            <w:left w:val="none" w:sz="0" w:space="0" w:color="auto"/>
                                                            <w:bottom w:val="none" w:sz="0" w:space="0" w:color="auto"/>
                                                            <w:right w:val="none" w:sz="0" w:space="0" w:color="auto"/>
                                                          </w:divBdr>
                                                          <w:divsChild>
                                                            <w:div w:id="18905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80458">
                                                      <w:marLeft w:val="0"/>
                                                      <w:marRight w:val="0"/>
                                                      <w:marTop w:val="0"/>
                                                      <w:marBottom w:val="0"/>
                                                      <w:divBdr>
                                                        <w:top w:val="none" w:sz="0" w:space="0" w:color="auto"/>
                                                        <w:left w:val="none" w:sz="0" w:space="0" w:color="auto"/>
                                                        <w:bottom w:val="none" w:sz="0" w:space="0" w:color="auto"/>
                                                        <w:right w:val="none" w:sz="0" w:space="0" w:color="auto"/>
                                                      </w:divBdr>
                                                      <w:divsChild>
                                                        <w:div w:id="1907570880">
                                                          <w:marLeft w:val="0"/>
                                                          <w:marRight w:val="0"/>
                                                          <w:marTop w:val="0"/>
                                                          <w:marBottom w:val="0"/>
                                                          <w:divBdr>
                                                            <w:top w:val="none" w:sz="0" w:space="0" w:color="auto"/>
                                                            <w:left w:val="none" w:sz="0" w:space="0" w:color="auto"/>
                                                            <w:bottom w:val="none" w:sz="0" w:space="0" w:color="auto"/>
                                                            <w:right w:val="none" w:sz="0" w:space="0" w:color="auto"/>
                                                          </w:divBdr>
                                                          <w:divsChild>
                                                            <w:div w:id="15573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31897">
                                                  <w:marLeft w:val="0"/>
                                                  <w:marRight w:val="0"/>
                                                  <w:marTop w:val="0"/>
                                                  <w:marBottom w:val="0"/>
                                                  <w:divBdr>
                                                    <w:top w:val="none" w:sz="0" w:space="0" w:color="auto"/>
                                                    <w:left w:val="none" w:sz="0" w:space="0" w:color="auto"/>
                                                    <w:bottom w:val="none" w:sz="0" w:space="0" w:color="auto"/>
                                                    <w:right w:val="none" w:sz="0" w:space="0" w:color="auto"/>
                                                  </w:divBdr>
                                                  <w:divsChild>
                                                    <w:div w:id="1321345212">
                                                      <w:marLeft w:val="0"/>
                                                      <w:marRight w:val="0"/>
                                                      <w:marTop w:val="0"/>
                                                      <w:marBottom w:val="0"/>
                                                      <w:divBdr>
                                                        <w:top w:val="none" w:sz="0" w:space="0" w:color="auto"/>
                                                        <w:left w:val="none" w:sz="0" w:space="0" w:color="auto"/>
                                                        <w:bottom w:val="none" w:sz="0" w:space="0" w:color="auto"/>
                                                        <w:right w:val="none" w:sz="0" w:space="0" w:color="auto"/>
                                                      </w:divBdr>
                                                    </w:div>
                                                    <w:div w:id="1494835772">
                                                      <w:marLeft w:val="0"/>
                                                      <w:marRight w:val="0"/>
                                                      <w:marTop w:val="0"/>
                                                      <w:marBottom w:val="0"/>
                                                      <w:divBdr>
                                                        <w:top w:val="none" w:sz="0" w:space="0" w:color="auto"/>
                                                        <w:left w:val="none" w:sz="0" w:space="0" w:color="auto"/>
                                                        <w:bottom w:val="none" w:sz="0" w:space="0" w:color="auto"/>
                                                        <w:right w:val="none" w:sz="0" w:space="0" w:color="auto"/>
                                                      </w:divBdr>
                                                      <w:divsChild>
                                                        <w:div w:id="312300955">
                                                          <w:marLeft w:val="0"/>
                                                          <w:marRight w:val="0"/>
                                                          <w:marTop w:val="0"/>
                                                          <w:marBottom w:val="0"/>
                                                          <w:divBdr>
                                                            <w:top w:val="none" w:sz="0" w:space="0" w:color="auto"/>
                                                            <w:left w:val="none" w:sz="0" w:space="0" w:color="auto"/>
                                                            <w:bottom w:val="none" w:sz="0" w:space="0" w:color="auto"/>
                                                            <w:right w:val="none" w:sz="0" w:space="0" w:color="auto"/>
                                                          </w:divBdr>
                                                        </w:div>
                                                        <w:div w:id="737823926">
                                                          <w:marLeft w:val="0"/>
                                                          <w:marRight w:val="0"/>
                                                          <w:marTop w:val="0"/>
                                                          <w:marBottom w:val="0"/>
                                                          <w:divBdr>
                                                            <w:top w:val="none" w:sz="0" w:space="0" w:color="auto"/>
                                                            <w:left w:val="none" w:sz="0" w:space="0" w:color="auto"/>
                                                            <w:bottom w:val="none" w:sz="0" w:space="0" w:color="auto"/>
                                                            <w:right w:val="none" w:sz="0" w:space="0" w:color="auto"/>
                                                          </w:divBdr>
                                                        </w:div>
                                                        <w:div w:id="959335980">
                                                          <w:marLeft w:val="0"/>
                                                          <w:marRight w:val="0"/>
                                                          <w:marTop w:val="0"/>
                                                          <w:marBottom w:val="0"/>
                                                          <w:divBdr>
                                                            <w:top w:val="none" w:sz="0" w:space="0" w:color="auto"/>
                                                            <w:left w:val="none" w:sz="0" w:space="0" w:color="auto"/>
                                                            <w:bottom w:val="none" w:sz="0" w:space="0" w:color="auto"/>
                                                            <w:right w:val="none" w:sz="0" w:space="0" w:color="auto"/>
                                                          </w:divBdr>
                                                        </w:div>
                                                        <w:div w:id="1524006405">
                                                          <w:marLeft w:val="0"/>
                                                          <w:marRight w:val="0"/>
                                                          <w:marTop w:val="0"/>
                                                          <w:marBottom w:val="0"/>
                                                          <w:divBdr>
                                                            <w:top w:val="none" w:sz="0" w:space="0" w:color="auto"/>
                                                            <w:left w:val="none" w:sz="0" w:space="0" w:color="auto"/>
                                                            <w:bottom w:val="none" w:sz="0" w:space="0" w:color="auto"/>
                                                            <w:right w:val="none" w:sz="0" w:space="0" w:color="auto"/>
                                                          </w:divBdr>
                                                        </w:div>
                                                        <w:div w:id="20554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25218">
                                  <w:marLeft w:val="0"/>
                                  <w:marRight w:val="0"/>
                                  <w:marTop w:val="0"/>
                                  <w:marBottom w:val="0"/>
                                  <w:divBdr>
                                    <w:top w:val="none" w:sz="0" w:space="0" w:color="auto"/>
                                    <w:left w:val="none" w:sz="0" w:space="0" w:color="auto"/>
                                    <w:bottom w:val="none" w:sz="0" w:space="0" w:color="auto"/>
                                    <w:right w:val="none" w:sz="0" w:space="0" w:color="auto"/>
                                  </w:divBdr>
                                  <w:divsChild>
                                    <w:div w:id="1315333618">
                                      <w:marLeft w:val="0"/>
                                      <w:marRight w:val="0"/>
                                      <w:marTop w:val="135"/>
                                      <w:marBottom w:val="0"/>
                                      <w:divBdr>
                                        <w:top w:val="none" w:sz="0" w:space="0" w:color="auto"/>
                                        <w:left w:val="none" w:sz="0" w:space="0" w:color="auto"/>
                                        <w:bottom w:val="none" w:sz="0" w:space="0" w:color="auto"/>
                                        <w:right w:val="none" w:sz="0" w:space="0" w:color="auto"/>
                                      </w:divBdr>
                                      <w:divsChild>
                                        <w:div w:id="986859313">
                                          <w:marLeft w:val="0"/>
                                          <w:marRight w:val="0"/>
                                          <w:marTop w:val="0"/>
                                          <w:marBottom w:val="0"/>
                                          <w:divBdr>
                                            <w:top w:val="none" w:sz="0" w:space="0" w:color="auto"/>
                                            <w:left w:val="none" w:sz="0" w:space="0" w:color="auto"/>
                                            <w:bottom w:val="none" w:sz="0" w:space="0" w:color="auto"/>
                                            <w:right w:val="none" w:sz="0" w:space="0" w:color="auto"/>
                                          </w:divBdr>
                                          <w:divsChild>
                                            <w:div w:id="1711497358">
                                              <w:marLeft w:val="0"/>
                                              <w:marRight w:val="0"/>
                                              <w:marTop w:val="0"/>
                                              <w:marBottom w:val="0"/>
                                              <w:divBdr>
                                                <w:top w:val="none" w:sz="0" w:space="0" w:color="auto"/>
                                                <w:left w:val="none" w:sz="0" w:space="0" w:color="auto"/>
                                                <w:bottom w:val="none" w:sz="0" w:space="0" w:color="auto"/>
                                                <w:right w:val="none" w:sz="0" w:space="0" w:color="auto"/>
                                              </w:divBdr>
                                              <w:divsChild>
                                                <w:div w:id="1338774182">
                                                  <w:marLeft w:val="0"/>
                                                  <w:marRight w:val="0"/>
                                                  <w:marTop w:val="0"/>
                                                  <w:marBottom w:val="0"/>
                                                  <w:divBdr>
                                                    <w:top w:val="none" w:sz="0" w:space="0" w:color="auto"/>
                                                    <w:left w:val="none" w:sz="0" w:space="0" w:color="auto"/>
                                                    <w:bottom w:val="none" w:sz="0" w:space="0" w:color="auto"/>
                                                    <w:right w:val="none" w:sz="0" w:space="0" w:color="auto"/>
                                                  </w:divBdr>
                                                  <w:divsChild>
                                                    <w:div w:id="148324173">
                                                      <w:marLeft w:val="0"/>
                                                      <w:marRight w:val="0"/>
                                                      <w:marTop w:val="0"/>
                                                      <w:marBottom w:val="0"/>
                                                      <w:divBdr>
                                                        <w:top w:val="none" w:sz="0" w:space="0" w:color="auto"/>
                                                        <w:left w:val="none" w:sz="0" w:space="0" w:color="auto"/>
                                                        <w:bottom w:val="none" w:sz="0" w:space="0" w:color="auto"/>
                                                        <w:right w:val="none" w:sz="0" w:space="0" w:color="auto"/>
                                                      </w:divBdr>
                                                      <w:divsChild>
                                                        <w:div w:id="1413233305">
                                                          <w:marLeft w:val="0"/>
                                                          <w:marRight w:val="0"/>
                                                          <w:marTop w:val="0"/>
                                                          <w:marBottom w:val="0"/>
                                                          <w:divBdr>
                                                            <w:top w:val="none" w:sz="0" w:space="0" w:color="auto"/>
                                                            <w:left w:val="none" w:sz="0" w:space="0" w:color="auto"/>
                                                            <w:bottom w:val="none" w:sz="0" w:space="0" w:color="auto"/>
                                                            <w:right w:val="none" w:sz="0" w:space="0" w:color="auto"/>
                                                          </w:divBdr>
                                                          <w:divsChild>
                                                            <w:div w:id="629095127">
                                                              <w:marLeft w:val="0"/>
                                                              <w:marRight w:val="0"/>
                                                              <w:marTop w:val="0"/>
                                                              <w:marBottom w:val="0"/>
                                                              <w:divBdr>
                                                                <w:top w:val="none" w:sz="0" w:space="0" w:color="auto"/>
                                                                <w:left w:val="none" w:sz="0" w:space="0" w:color="auto"/>
                                                                <w:bottom w:val="none" w:sz="0" w:space="0" w:color="auto"/>
                                                                <w:right w:val="none" w:sz="0" w:space="0" w:color="auto"/>
                                                              </w:divBdr>
                                                              <w:divsChild>
                                                                <w:div w:id="1057776938">
                                                                  <w:marLeft w:val="0"/>
                                                                  <w:marRight w:val="0"/>
                                                                  <w:marTop w:val="0"/>
                                                                  <w:marBottom w:val="0"/>
                                                                  <w:divBdr>
                                                                    <w:top w:val="none" w:sz="0" w:space="0" w:color="auto"/>
                                                                    <w:left w:val="none" w:sz="0" w:space="0" w:color="auto"/>
                                                                    <w:bottom w:val="none" w:sz="0" w:space="0" w:color="auto"/>
                                                                    <w:right w:val="none" w:sz="0" w:space="0" w:color="auto"/>
                                                                  </w:divBdr>
                                                                  <w:divsChild>
                                                                    <w:div w:id="2026588650">
                                                                      <w:marLeft w:val="0"/>
                                                                      <w:marRight w:val="0"/>
                                                                      <w:marTop w:val="0"/>
                                                                      <w:marBottom w:val="0"/>
                                                                      <w:divBdr>
                                                                        <w:top w:val="none" w:sz="0" w:space="0" w:color="auto"/>
                                                                        <w:left w:val="none" w:sz="0" w:space="0" w:color="auto"/>
                                                                        <w:bottom w:val="none" w:sz="0" w:space="0" w:color="auto"/>
                                                                        <w:right w:val="none" w:sz="0" w:space="0" w:color="auto"/>
                                                                      </w:divBdr>
                                                                      <w:divsChild>
                                                                        <w:div w:id="943926478">
                                                                          <w:marLeft w:val="0"/>
                                                                          <w:marRight w:val="0"/>
                                                                          <w:marTop w:val="0"/>
                                                                          <w:marBottom w:val="0"/>
                                                                          <w:divBdr>
                                                                            <w:top w:val="none" w:sz="0" w:space="0" w:color="auto"/>
                                                                            <w:left w:val="none" w:sz="0" w:space="0" w:color="auto"/>
                                                                            <w:bottom w:val="none" w:sz="0" w:space="0" w:color="auto"/>
                                                                            <w:right w:val="none" w:sz="0" w:space="0" w:color="auto"/>
                                                                          </w:divBdr>
                                                                          <w:divsChild>
                                                                            <w:div w:id="709888439">
                                                                              <w:marLeft w:val="0"/>
                                                                              <w:marRight w:val="0"/>
                                                                              <w:marTop w:val="0"/>
                                                                              <w:marBottom w:val="0"/>
                                                                              <w:divBdr>
                                                                                <w:top w:val="none" w:sz="0" w:space="0" w:color="auto"/>
                                                                                <w:left w:val="none" w:sz="0" w:space="0" w:color="auto"/>
                                                                                <w:bottom w:val="none" w:sz="0" w:space="0" w:color="auto"/>
                                                                                <w:right w:val="none" w:sz="0" w:space="0" w:color="auto"/>
                                                                              </w:divBdr>
                                                                              <w:divsChild>
                                                                                <w:div w:id="248198576">
                                                                                  <w:marLeft w:val="0"/>
                                                                                  <w:marRight w:val="0"/>
                                                                                  <w:marTop w:val="0"/>
                                                                                  <w:marBottom w:val="0"/>
                                                                                  <w:divBdr>
                                                                                    <w:top w:val="none" w:sz="0" w:space="0" w:color="auto"/>
                                                                                    <w:left w:val="none" w:sz="0" w:space="0" w:color="auto"/>
                                                                                    <w:bottom w:val="none" w:sz="0" w:space="0" w:color="auto"/>
                                                                                    <w:right w:val="none" w:sz="0" w:space="0" w:color="auto"/>
                                                                                  </w:divBdr>
                                                                                  <w:divsChild>
                                                                                    <w:div w:id="136375111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026562535">
                                                                              <w:marLeft w:val="0"/>
                                                                              <w:marRight w:val="0"/>
                                                                              <w:marTop w:val="0"/>
                                                                              <w:marBottom w:val="0"/>
                                                                              <w:divBdr>
                                                                                <w:top w:val="none" w:sz="0" w:space="0" w:color="auto"/>
                                                                                <w:left w:val="none" w:sz="0" w:space="0" w:color="auto"/>
                                                                                <w:bottom w:val="none" w:sz="0" w:space="0" w:color="auto"/>
                                                                                <w:right w:val="none" w:sz="0" w:space="0" w:color="auto"/>
                                                                              </w:divBdr>
                                                                            </w:div>
                                                                          </w:divsChild>
                                                                        </w:div>
                                                                        <w:div w:id="1920364695">
                                                                          <w:marLeft w:val="0"/>
                                                                          <w:marRight w:val="0"/>
                                                                          <w:marTop w:val="0"/>
                                                                          <w:marBottom w:val="0"/>
                                                                          <w:divBdr>
                                                                            <w:top w:val="none" w:sz="0" w:space="0" w:color="auto"/>
                                                                            <w:left w:val="none" w:sz="0" w:space="0" w:color="auto"/>
                                                                            <w:bottom w:val="none" w:sz="0" w:space="0" w:color="auto"/>
                                                                            <w:right w:val="none" w:sz="0" w:space="0" w:color="auto"/>
                                                                          </w:divBdr>
                                                                          <w:divsChild>
                                                                            <w:div w:id="463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33839">
                                                      <w:marLeft w:val="0"/>
                                                      <w:marRight w:val="0"/>
                                                      <w:marTop w:val="0"/>
                                                      <w:marBottom w:val="0"/>
                                                      <w:divBdr>
                                                        <w:top w:val="none" w:sz="0" w:space="0" w:color="auto"/>
                                                        <w:left w:val="none" w:sz="0" w:space="0" w:color="auto"/>
                                                        <w:bottom w:val="none" w:sz="0" w:space="0" w:color="auto"/>
                                                        <w:right w:val="none" w:sz="0" w:space="0" w:color="auto"/>
                                                      </w:divBdr>
                                                      <w:divsChild>
                                                        <w:div w:id="847209099">
                                                          <w:marLeft w:val="0"/>
                                                          <w:marRight w:val="0"/>
                                                          <w:marTop w:val="0"/>
                                                          <w:marBottom w:val="0"/>
                                                          <w:divBdr>
                                                            <w:top w:val="single" w:sz="6" w:space="5" w:color="CCCCCC"/>
                                                            <w:left w:val="none" w:sz="0" w:space="0" w:color="auto"/>
                                                            <w:bottom w:val="none" w:sz="0" w:space="0" w:color="auto"/>
                                                            <w:right w:val="none" w:sz="0" w:space="0" w:color="auto"/>
                                                          </w:divBdr>
                                                          <w:divsChild>
                                                            <w:div w:id="67384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7167">
                                                      <w:marLeft w:val="0"/>
                                                      <w:marRight w:val="0"/>
                                                      <w:marTop w:val="0"/>
                                                      <w:marBottom w:val="0"/>
                                                      <w:divBdr>
                                                        <w:top w:val="none" w:sz="0" w:space="0" w:color="auto"/>
                                                        <w:left w:val="none" w:sz="0" w:space="0" w:color="auto"/>
                                                        <w:bottom w:val="none" w:sz="0" w:space="0" w:color="auto"/>
                                                        <w:right w:val="none" w:sz="0" w:space="0" w:color="auto"/>
                                                      </w:divBdr>
                                                    </w:div>
                                                    <w:div w:id="470943897">
                                                      <w:marLeft w:val="0"/>
                                                      <w:marRight w:val="0"/>
                                                      <w:marTop w:val="0"/>
                                                      <w:marBottom w:val="0"/>
                                                      <w:divBdr>
                                                        <w:top w:val="none" w:sz="0" w:space="0" w:color="auto"/>
                                                        <w:left w:val="none" w:sz="0" w:space="0" w:color="auto"/>
                                                        <w:bottom w:val="none" w:sz="0" w:space="0" w:color="auto"/>
                                                        <w:right w:val="none" w:sz="0" w:space="0" w:color="auto"/>
                                                      </w:divBdr>
                                                      <w:divsChild>
                                                        <w:div w:id="1066956942">
                                                          <w:marLeft w:val="0"/>
                                                          <w:marRight w:val="0"/>
                                                          <w:marTop w:val="0"/>
                                                          <w:marBottom w:val="0"/>
                                                          <w:divBdr>
                                                            <w:top w:val="single" w:sz="6" w:space="2" w:color="C9C9C9"/>
                                                            <w:left w:val="single" w:sz="6" w:space="8" w:color="C9C9C9"/>
                                                            <w:bottom w:val="single" w:sz="6" w:space="2" w:color="C9C9C9"/>
                                                            <w:right w:val="single" w:sz="6" w:space="8" w:color="C9C9C9"/>
                                                          </w:divBdr>
                                                        </w:div>
                                                        <w:div w:id="1358047747">
                                                          <w:marLeft w:val="0"/>
                                                          <w:marRight w:val="0"/>
                                                          <w:marTop w:val="0"/>
                                                          <w:marBottom w:val="0"/>
                                                          <w:divBdr>
                                                            <w:top w:val="single" w:sz="6" w:space="2" w:color="D1D1D1"/>
                                                            <w:left w:val="single" w:sz="6" w:space="3" w:color="D1D1D1"/>
                                                            <w:bottom w:val="single" w:sz="6" w:space="1" w:color="D1D1D1"/>
                                                            <w:right w:val="single" w:sz="6" w:space="3" w:color="D1D1D1"/>
                                                          </w:divBdr>
                                                        </w:div>
                                                      </w:divsChild>
                                                    </w:div>
                                                    <w:div w:id="1382710775">
                                                      <w:marLeft w:val="0"/>
                                                      <w:marRight w:val="0"/>
                                                      <w:marTop w:val="0"/>
                                                      <w:marBottom w:val="0"/>
                                                      <w:divBdr>
                                                        <w:top w:val="none" w:sz="0" w:space="0" w:color="auto"/>
                                                        <w:left w:val="none" w:sz="0" w:space="0" w:color="auto"/>
                                                        <w:bottom w:val="none" w:sz="0" w:space="0" w:color="auto"/>
                                                        <w:right w:val="none" w:sz="0" w:space="0" w:color="auto"/>
                                                      </w:divBdr>
                                                      <w:divsChild>
                                                        <w:div w:id="350256883">
                                                          <w:marLeft w:val="0"/>
                                                          <w:marRight w:val="0"/>
                                                          <w:marTop w:val="0"/>
                                                          <w:marBottom w:val="0"/>
                                                          <w:divBdr>
                                                            <w:top w:val="none" w:sz="0" w:space="0" w:color="auto"/>
                                                            <w:left w:val="none" w:sz="0" w:space="0" w:color="auto"/>
                                                            <w:bottom w:val="none" w:sz="0" w:space="0" w:color="auto"/>
                                                            <w:right w:val="none" w:sz="0" w:space="0" w:color="auto"/>
                                                          </w:divBdr>
                                                        </w:div>
                                                      </w:divsChild>
                                                    </w:div>
                                                    <w:div w:id="1467352588">
                                                      <w:marLeft w:val="0"/>
                                                      <w:marRight w:val="0"/>
                                                      <w:marTop w:val="0"/>
                                                      <w:marBottom w:val="0"/>
                                                      <w:divBdr>
                                                        <w:top w:val="none" w:sz="0" w:space="0" w:color="auto"/>
                                                        <w:left w:val="none" w:sz="0" w:space="0" w:color="auto"/>
                                                        <w:bottom w:val="none" w:sz="0" w:space="0" w:color="auto"/>
                                                        <w:right w:val="none" w:sz="0" w:space="0" w:color="auto"/>
                                                      </w:divBdr>
                                                      <w:divsChild>
                                                        <w:div w:id="1821337449">
                                                          <w:marLeft w:val="0"/>
                                                          <w:marRight w:val="0"/>
                                                          <w:marTop w:val="0"/>
                                                          <w:marBottom w:val="0"/>
                                                          <w:divBdr>
                                                            <w:top w:val="none" w:sz="0" w:space="0" w:color="auto"/>
                                                            <w:left w:val="none" w:sz="0" w:space="0" w:color="auto"/>
                                                            <w:bottom w:val="none" w:sz="0" w:space="0" w:color="auto"/>
                                                            <w:right w:val="none" w:sz="0" w:space="0" w:color="auto"/>
                                                          </w:divBdr>
                                                          <w:divsChild>
                                                            <w:div w:id="5873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01940">
                                                      <w:marLeft w:val="0"/>
                                                      <w:marRight w:val="0"/>
                                                      <w:marTop w:val="0"/>
                                                      <w:marBottom w:val="0"/>
                                                      <w:divBdr>
                                                        <w:top w:val="none" w:sz="0" w:space="0" w:color="auto"/>
                                                        <w:left w:val="none" w:sz="0" w:space="0" w:color="auto"/>
                                                        <w:bottom w:val="none" w:sz="0" w:space="0" w:color="auto"/>
                                                        <w:right w:val="none" w:sz="0" w:space="0" w:color="auto"/>
                                                      </w:divBdr>
                                                    </w:div>
                                                    <w:div w:id="200384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959647">
                                  <w:marLeft w:val="0"/>
                                  <w:marRight w:val="0"/>
                                  <w:marTop w:val="0"/>
                                  <w:marBottom w:val="0"/>
                                  <w:divBdr>
                                    <w:top w:val="none" w:sz="0" w:space="0" w:color="auto"/>
                                    <w:left w:val="none" w:sz="0" w:space="0" w:color="auto"/>
                                    <w:bottom w:val="none" w:sz="0" w:space="0" w:color="auto"/>
                                    <w:right w:val="none" w:sz="0" w:space="0" w:color="auto"/>
                                  </w:divBdr>
                                  <w:divsChild>
                                    <w:div w:id="731270465">
                                      <w:marLeft w:val="0"/>
                                      <w:marRight w:val="0"/>
                                      <w:marTop w:val="0"/>
                                      <w:marBottom w:val="240"/>
                                      <w:divBdr>
                                        <w:top w:val="single" w:sz="6" w:space="0" w:color="FEDA73"/>
                                        <w:left w:val="single" w:sz="6" w:space="0" w:color="FEDA73"/>
                                        <w:bottom w:val="single" w:sz="6" w:space="0" w:color="FEDA73"/>
                                        <w:right w:val="single" w:sz="6" w:space="0" w:color="FEDA73"/>
                                      </w:divBdr>
                                      <w:divsChild>
                                        <w:div w:id="965548779">
                                          <w:marLeft w:val="0"/>
                                          <w:marRight w:val="0"/>
                                          <w:marTop w:val="0"/>
                                          <w:marBottom w:val="0"/>
                                          <w:divBdr>
                                            <w:top w:val="none" w:sz="0" w:space="0" w:color="auto"/>
                                            <w:left w:val="none" w:sz="0" w:space="0" w:color="auto"/>
                                            <w:bottom w:val="none" w:sz="0" w:space="0" w:color="auto"/>
                                            <w:right w:val="none" w:sz="0" w:space="0" w:color="auto"/>
                                          </w:divBdr>
                                          <w:divsChild>
                                            <w:div w:id="544803582">
                                              <w:marLeft w:val="0"/>
                                              <w:marRight w:val="0"/>
                                              <w:marTop w:val="0"/>
                                              <w:marBottom w:val="0"/>
                                              <w:divBdr>
                                                <w:top w:val="none" w:sz="0" w:space="0" w:color="auto"/>
                                                <w:left w:val="none" w:sz="0" w:space="0" w:color="auto"/>
                                                <w:bottom w:val="none" w:sz="0" w:space="0" w:color="auto"/>
                                                <w:right w:val="none" w:sz="0" w:space="0" w:color="auto"/>
                                              </w:divBdr>
                                              <w:divsChild>
                                                <w:div w:id="713579924">
                                                  <w:marLeft w:val="0"/>
                                                  <w:marRight w:val="0"/>
                                                  <w:marTop w:val="0"/>
                                                  <w:marBottom w:val="0"/>
                                                  <w:divBdr>
                                                    <w:top w:val="none" w:sz="0" w:space="0" w:color="auto"/>
                                                    <w:left w:val="none" w:sz="0" w:space="0" w:color="auto"/>
                                                    <w:bottom w:val="none" w:sz="0" w:space="0" w:color="auto"/>
                                                    <w:right w:val="none" w:sz="0" w:space="0" w:color="auto"/>
                                                  </w:divBdr>
                                                  <w:divsChild>
                                                    <w:div w:id="1915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443145">
      <w:bodyDiv w:val="1"/>
      <w:marLeft w:val="0"/>
      <w:marRight w:val="0"/>
      <w:marTop w:val="0"/>
      <w:marBottom w:val="0"/>
      <w:divBdr>
        <w:top w:val="none" w:sz="0" w:space="0" w:color="auto"/>
        <w:left w:val="none" w:sz="0" w:space="0" w:color="auto"/>
        <w:bottom w:val="none" w:sz="0" w:space="0" w:color="auto"/>
        <w:right w:val="none" w:sz="0" w:space="0" w:color="auto"/>
      </w:divBdr>
      <w:divsChild>
        <w:div w:id="373046481">
          <w:marLeft w:val="0"/>
          <w:marRight w:val="0"/>
          <w:marTop w:val="0"/>
          <w:marBottom w:val="0"/>
          <w:divBdr>
            <w:top w:val="none" w:sz="0" w:space="0" w:color="auto"/>
            <w:left w:val="single" w:sz="6" w:space="0" w:color="BBBBBB"/>
            <w:bottom w:val="single" w:sz="6" w:space="0" w:color="BBBBBB"/>
            <w:right w:val="single" w:sz="6" w:space="0" w:color="BBBBBB"/>
          </w:divBdr>
          <w:divsChild>
            <w:div w:id="285431364">
              <w:marLeft w:val="0"/>
              <w:marRight w:val="0"/>
              <w:marTop w:val="0"/>
              <w:marBottom w:val="0"/>
              <w:divBdr>
                <w:top w:val="none" w:sz="0" w:space="0" w:color="auto"/>
                <w:left w:val="none" w:sz="0" w:space="0" w:color="auto"/>
                <w:bottom w:val="none" w:sz="0" w:space="0" w:color="auto"/>
                <w:right w:val="none" w:sz="0" w:space="0" w:color="auto"/>
              </w:divBdr>
              <w:divsChild>
                <w:div w:id="2074766728">
                  <w:marLeft w:val="0"/>
                  <w:marRight w:val="0"/>
                  <w:marTop w:val="75"/>
                  <w:marBottom w:val="0"/>
                  <w:divBdr>
                    <w:top w:val="none" w:sz="0" w:space="0" w:color="auto"/>
                    <w:left w:val="none" w:sz="0" w:space="0" w:color="auto"/>
                    <w:bottom w:val="none" w:sz="0" w:space="0" w:color="auto"/>
                    <w:right w:val="none" w:sz="0" w:space="0" w:color="auto"/>
                  </w:divBdr>
                  <w:divsChild>
                    <w:div w:id="186993222">
                      <w:marLeft w:val="0"/>
                      <w:marRight w:val="0"/>
                      <w:marTop w:val="0"/>
                      <w:marBottom w:val="0"/>
                      <w:divBdr>
                        <w:top w:val="none" w:sz="0" w:space="0" w:color="auto"/>
                        <w:left w:val="none" w:sz="0" w:space="0" w:color="auto"/>
                        <w:bottom w:val="none" w:sz="0" w:space="0" w:color="auto"/>
                        <w:right w:val="none" w:sz="0" w:space="0" w:color="auto"/>
                      </w:divBdr>
                      <w:divsChild>
                        <w:div w:id="1004362168">
                          <w:marLeft w:val="0"/>
                          <w:marRight w:val="0"/>
                          <w:marTop w:val="0"/>
                          <w:marBottom w:val="0"/>
                          <w:divBdr>
                            <w:top w:val="none" w:sz="0" w:space="0" w:color="auto"/>
                            <w:left w:val="none" w:sz="0" w:space="0" w:color="auto"/>
                            <w:bottom w:val="none" w:sz="0" w:space="0" w:color="auto"/>
                            <w:right w:val="none" w:sz="0" w:space="0" w:color="auto"/>
                          </w:divBdr>
                          <w:divsChild>
                            <w:div w:id="976909045">
                              <w:marLeft w:val="0"/>
                              <w:marRight w:val="0"/>
                              <w:marTop w:val="0"/>
                              <w:marBottom w:val="0"/>
                              <w:divBdr>
                                <w:top w:val="none" w:sz="0" w:space="0" w:color="auto"/>
                                <w:left w:val="none" w:sz="0" w:space="0" w:color="auto"/>
                                <w:bottom w:val="none" w:sz="0" w:space="0" w:color="auto"/>
                                <w:right w:val="none" w:sz="0" w:space="0" w:color="auto"/>
                              </w:divBdr>
                              <w:divsChild>
                                <w:div w:id="1605646618">
                                  <w:marLeft w:val="0"/>
                                  <w:marRight w:val="0"/>
                                  <w:marTop w:val="0"/>
                                  <w:marBottom w:val="0"/>
                                  <w:divBdr>
                                    <w:top w:val="none" w:sz="0" w:space="0" w:color="auto"/>
                                    <w:left w:val="none" w:sz="0" w:space="0" w:color="auto"/>
                                    <w:bottom w:val="none" w:sz="0" w:space="0" w:color="auto"/>
                                    <w:right w:val="none" w:sz="0" w:space="0" w:color="auto"/>
                                  </w:divBdr>
                                  <w:divsChild>
                                    <w:div w:id="802619551">
                                      <w:marLeft w:val="0"/>
                                      <w:marRight w:val="0"/>
                                      <w:marTop w:val="0"/>
                                      <w:marBottom w:val="0"/>
                                      <w:divBdr>
                                        <w:top w:val="none" w:sz="0" w:space="0" w:color="auto"/>
                                        <w:left w:val="none" w:sz="0" w:space="0" w:color="auto"/>
                                        <w:bottom w:val="none" w:sz="0" w:space="0" w:color="auto"/>
                                        <w:right w:val="none" w:sz="0" w:space="0" w:color="auto"/>
                                      </w:divBdr>
                                      <w:divsChild>
                                        <w:div w:id="203294031">
                                          <w:marLeft w:val="1200"/>
                                          <w:marRight w:val="1200"/>
                                          <w:marTop w:val="0"/>
                                          <w:marBottom w:val="0"/>
                                          <w:divBdr>
                                            <w:top w:val="none" w:sz="0" w:space="0" w:color="auto"/>
                                            <w:left w:val="none" w:sz="0" w:space="0" w:color="auto"/>
                                            <w:bottom w:val="none" w:sz="0" w:space="0" w:color="auto"/>
                                            <w:right w:val="none" w:sz="0" w:space="0" w:color="auto"/>
                                          </w:divBdr>
                                          <w:divsChild>
                                            <w:div w:id="692847079">
                                              <w:marLeft w:val="0"/>
                                              <w:marRight w:val="0"/>
                                              <w:marTop w:val="0"/>
                                              <w:marBottom w:val="0"/>
                                              <w:divBdr>
                                                <w:top w:val="none" w:sz="0" w:space="0" w:color="auto"/>
                                                <w:left w:val="none" w:sz="0" w:space="0" w:color="auto"/>
                                                <w:bottom w:val="none" w:sz="0" w:space="0" w:color="auto"/>
                                                <w:right w:val="none" w:sz="0" w:space="0" w:color="auto"/>
                                              </w:divBdr>
                                              <w:divsChild>
                                                <w:div w:id="93283483">
                                                  <w:marLeft w:val="0"/>
                                                  <w:marRight w:val="0"/>
                                                  <w:marTop w:val="0"/>
                                                  <w:marBottom w:val="0"/>
                                                  <w:divBdr>
                                                    <w:top w:val="none" w:sz="0" w:space="0" w:color="auto"/>
                                                    <w:left w:val="none" w:sz="0" w:space="0" w:color="auto"/>
                                                    <w:bottom w:val="none" w:sz="0" w:space="0" w:color="auto"/>
                                                    <w:right w:val="none" w:sz="0" w:space="0" w:color="auto"/>
                                                  </w:divBdr>
                                                  <w:divsChild>
                                                    <w:div w:id="800419497">
                                                      <w:marLeft w:val="0"/>
                                                      <w:marRight w:val="0"/>
                                                      <w:marTop w:val="0"/>
                                                      <w:marBottom w:val="0"/>
                                                      <w:divBdr>
                                                        <w:top w:val="none" w:sz="0" w:space="0" w:color="auto"/>
                                                        <w:left w:val="none" w:sz="0" w:space="0" w:color="auto"/>
                                                        <w:bottom w:val="none" w:sz="0" w:space="0" w:color="auto"/>
                                                        <w:right w:val="none" w:sz="0" w:space="0" w:color="auto"/>
                                                      </w:divBdr>
                                                      <w:divsChild>
                                                        <w:div w:id="1680694293">
                                                          <w:marLeft w:val="0"/>
                                                          <w:marRight w:val="0"/>
                                                          <w:marTop w:val="0"/>
                                                          <w:marBottom w:val="0"/>
                                                          <w:divBdr>
                                                            <w:top w:val="none" w:sz="0" w:space="0" w:color="auto"/>
                                                            <w:left w:val="none" w:sz="0" w:space="0" w:color="auto"/>
                                                            <w:bottom w:val="none" w:sz="0" w:space="0" w:color="auto"/>
                                                            <w:right w:val="none" w:sz="0" w:space="0" w:color="auto"/>
                                                          </w:divBdr>
                                                        </w:div>
                                                      </w:divsChild>
                                                    </w:div>
                                                    <w:div w:id="836581175">
                                                      <w:marLeft w:val="0"/>
                                                      <w:marRight w:val="0"/>
                                                      <w:marTop w:val="0"/>
                                                      <w:marBottom w:val="0"/>
                                                      <w:divBdr>
                                                        <w:top w:val="none" w:sz="0" w:space="0" w:color="auto"/>
                                                        <w:left w:val="none" w:sz="0" w:space="0" w:color="auto"/>
                                                        <w:bottom w:val="none" w:sz="0" w:space="0" w:color="auto"/>
                                                        <w:right w:val="none" w:sz="0" w:space="0" w:color="auto"/>
                                                      </w:divBdr>
                                                      <w:divsChild>
                                                        <w:div w:id="1720518631">
                                                          <w:marLeft w:val="0"/>
                                                          <w:marRight w:val="0"/>
                                                          <w:marTop w:val="0"/>
                                                          <w:marBottom w:val="0"/>
                                                          <w:divBdr>
                                                            <w:top w:val="none" w:sz="0" w:space="0" w:color="auto"/>
                                                            <w:left w:val="none" w:sz="0" w:space="0" w:color="auto"/>
                                                            <w:bottom w:val="none" w:sz="0" w:space="0" w:color="auto"/>
                                                            <w:right w:val="none" w:sz="0" w:space="0" w:color="auto"/>
                                                          </w:divBdr>
                                                        </w:div>
                                                      </w:divsChild>
                                                    </w:div>
                                                    <w:div w:id="1652368092">
                                                      <w:marLeft w:val="0"/>
                                                      <w:marRight w:val="0"/>
                                                      <w:marTop w:val="0"/>
                                                      <w:marBottom w:val="0"/>
                                                      <w:divBdr>
                                                        <w:top w:val="none" w:sz="0" w:space="0" w:color="auto"/>
                                                        <w:left w:val="none" w:sz="0" w:space="0" w:color="auto"/>
                                                        <w:bottom w:val="none" w:sz="0" w:space="0" w:color="auto"/>
                                                        <w:right w:val="none" w:sz="0" w:space="0" w:color="auto"/>
                                                      </w:divBdr>
                                                      <w:divsChild>
                                                        <w:div w:id="16685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2650767">
      <w:bodyDiv w:val="1"/>
      <w:marLeft w:val="0"/>
      <w:marRight w:val="0"/>
      <w:marTop w:val="0"/>
      <w:marBottom w:val="0"/>
      <w:divBdr>
        <w:top w:val="none" w:sz="0" w:space="0" w:color="auto"/>
        <w:left w:val="none" w:sz="0" w:space="0" w:color="auto"/>
        <w:bottom w:val="none" w:sz="0" w:space="0" w:color="auto"/>
        <w:right w:val="none" w:sz="0" w:space="0" w:color="auto"/>
      </w:divBdr>
    </w:div>
    <w:div w:id="1103573270">
      <w:bodyDiv w:val="1"/>
      <w:marLeft w:val="0"/>
      <w:marRight w:val="0"/>
      <w:marTop w:val="0"/>
      <w:marBottom w:val="0"/>
      <w:divBdr>
        <w:top w:val="none" w:sz="0" w:space="0" w:color="auto"/>
        <w:left w:val="none" w:sz="0" w:space="0" w:color="auto"/>
        <w:bottom w:val="none" w:sz="0" w:space="0" w:color="auto"/>
        <w:right w:val="none" w:sz="0" w:space="0" w:color="auto"/>
      </w:divBdr>
      <w:divsChild>
        <w:div w:id="181936636">
          <w:marLeft w:val="0"/>
          <w:marRight w:val="0"/>
          <w:marTop w:val="240"/>
          <w:marBottom w:val="0"/>
          <w:divBdr>
            <w:top w:val="none" w:sz="0" w:space="0" w:color="auto"/>
            <w:left w:val="none" w:sz="0" w:space="0" w:color="auto"/>
            <w:bottom w:val="none" w:sz="0" w:space="0" w:color="auto"/>
            <w:right w:val="none" w:sz="0" w:space="0" w:color="auto"/>
          </w:divBdr>
          <w:divsChild>
            <w:div w:id="1129974887">
              <w:marLeft w:val="0"/>
              <w:marRight w:val="0"/>
              <w:marTop w:val="240"/>
              <w:marBottom w:val="0"/>
              <w:divBdr>
                <w:top w:val="none" w:sz="0" w:space="0" w:color="auto"/>
                <w:left w:val="none" w:sz="0" w:space="0" w:color="auto"/>
                <w:bottom w:val="none" w:sz="0" w:space="0" w:color="auto"/>
                <w:right w:val="none" w:sz="0" w:space="0" w:color="auto"/>
              </w:divBdr>
              <w:divsChild>
                <w:div w:id="784815278">
                  <w:marLeft w:val="0"/>
                  <w:marRight w:val="0"/>
                  <w:marTop w:val="0"/>
                  <w:marBottom w:val="0"/>
                  <w:divBdr>
                    <w:top w:val="none" w:sz="0" w:space="0" w:color="auto"/>
                    <w:left w:val="none" w:sz="0" w:space="0" w:color="auto"/>
                    <w:bottom w:val="none" w:sz="0" w:space="0" w:color="auto"/>
                    <w:right w:val="none" w:sz="0" w:space="0" w:color="auto"/>
                  </w:divBdr>
                  <w:divsChild>
                    <w:div w:id="1296791261">
                      <w:blockQuote w:val="1"/>
                      <w:marLeft w:val="0"/>
                      <w:marRight w:val="0"/>
                      <w:marTop w:val="0"/>
                      <w:marBottom w:val="0"/>
                      <w:divBdr>
                        <w:top w:val="none" w:sz="0" w:space="0" w:color="auto"/>
                        <w:left w:val="none" w:sz="0" w:space="0" w:color="auto"/>
                        <w:bottom w:val="none" w:sz="0" w:space="0" w:color="auto"/>
                        <w:right w:val="none" w:sz="0" w:space="0" w:color="auto"/>
                      </w:divBdr>
                      <w:divsChild>
                        <w:div w:id="21447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95313">
              <w:marLeft w:val="0"/>
              <w:marRight w:val="0"/>
              <w:marTop w:val="0"/>
              <w:marBottom w:val="0"/>
              <w:divBdr>
                <w:top w:val="none" w:sz="0" w:space="0" w:color="auto"/>
                <w:left w:val="none" w:sz="0" w:space="0" w:color="auto"/>
                <w:bottom w:val="none" w:sz="0" w:space="0" w:color="auto"/>
                <w:right w:val="none" w:sz="0" w:space="0" w:color="auto"/>
              </w:divBdr>
            </w:div>
            <w:div w:id="1670283140">
              <w:marLeft w:val="0"/>
              <w:marRight w:val="0"/>
              <w:marTop w:val="240"/>
              <w:marBottom w:val="0"/>
              <w:divBdr>
                <w:top w:val="none" w:sz="0" w:space="0" w:color="auto"/>
                <w:left w:val="none" w:sz="0" w:space="0" w:color="auto"/>
                <w:bottom w:val="none" w:sz="0" w:space="0" w:color="auto"/>
                <w:right w:val="none" w:sz="0" w:space="0" w:color="auto"/>
              </w:divBdr>
            </w:div>
          </w:divsChild>
        </w:div>
        <w:div w:id="676275610">
          <w:marLeft w:val="0"/>
          <w:marRight w:val="0"/>
          <w:marTop w:val="0"/>
          <w:marBottom w:val="0"/>
          <w:divBdr>
            <w:top w:val="none" w:sz="0" w:space="0" w:color="auto"/>
            <w:left w:val="none" w:sz="0" w:space="0" w:color="auto"/>
            <w:bottom w:val="none" w:sz="0" w:space="0" w:color="auto"/>
            <w:right w:val="none" w:sz="0" w:space="0" w:color="auto"/>
          </w:divBdr>
        </w:div>
        <w:div w:id="760298769">
          <w:marLeft w:val="0"/>
          <w:marRight w:val="0"/>
          <w:marTop w:val="240"/>
          <w:marBottom w:val="0"/>
          <w:divBdr>
            <w:top w:val="none" w:sz="0" w:space="0" w:color="auto"/>
            <w:left w:val="none" w:sz="0" w:space="0" w:color="auto"/>
            <w:bottom w:val="none" w:sz="0" w:space="0" w:color="auto"/>
            <w:right w:val="none" w:sz="0" w:space="0" w:color="auto"/>
          </w:divBdr>
          <w:divsChild>
            <w:div w:id="157113879">
              <w:marLeft w:val="0"/>
              <w:marRight w:val="0"/>
              <w:marTop w:val="0"/>
              <w:marBottom w:val="0"/>
              <w:divBdr>
                <w:top w:val="none" w:sz="0" w:space="0" w:color="auto"/>
                <w:left w:val="none" w:sz="0" w:space="0" w:color="auto"/>
                <w:bottom w:val="none" w:sz="0" w:space="0" w:color="auto"/>
                <w:right w:val="none" w:sz="0" w:space="0" w:color="auto"/>
              </w:divBdr>
            </w:div>
          </w:divsChild>
        </w:div>
        <w:div w:id="1067996951">
          <w:marLeft w:val="0"/>
          <w:marRight w:val="0"/>
          <w:marTop w:val="240"/>
          <w:marBottom w:val="0"/>
          <w:divBdr>
            <w:top w:val="none" w:sz="0" w:space="0" w:color="auto"/>
            <w:left w:val="none" w:sz="0" w:space="0" w:color="auto"/>
            <w:bottom w:val="none" w:sz="0" w:space="0" w:color="auto"/>
            <w:right w:val="none" w:sz="0" w:space="0" w:color="auto"/>
          </w:divBdr>
          <w:divsChild>
            <w:div w:id="696930058">
              <w:marLeft w:val="0"/>
              <w:marRight w:val="0"/>
              <w:marTop w:val="0"/>
              <w:marBottom w:val="0"/>
              <w:divBdr>
                <w:top w:val="none" w:sz="0" w:space="0" w:color="auto"/>
                <w:left w:val="none" w:sz="0" w:space="0" w:color="auto"/>
                <w:bottom w:val="none" w:sz="0" w:space="0" w:color="auto"/>
                <w:right w:val="none" w:sz="0" w:space="0" w:color="auto"/>
              </w:divBdr>
            </w:div>
          </w:divsChild>
        </w:div>
        <w:div w:id="1157458048">
          <w:marLeft w:val="0"/>
          <w:marRight w:val="0"/>
          <w:marTop w:val="240"/>
          <w:marBottom w:val="0"/>
          <w:divBdr>
            <w:top w:val="none" w:sz="0" w:space="0" w:color="auto"/>
            <w:left w:val="none" w:sz="0" w:space="0" w:color="auto"/>
            <w:bottom w:val="none" w:sz="0" w:space="0" w:color="auto"/>
            <w:right w:val="none" w:sz="0" w:space="0" w:color="auto"/>
          </w:divBdr>
          <w:divsChild>
            <w:div w:id="1036387980">
              <w:marLeft w:val="0"/>
              <w:marRight w:val="0"/>
              <w:marTop w:val="0"/>
              <w:marBottom w:val="0"/>
              <w:divBdr>
                <w:top w:val="none" w:sz="0" w:space="0" w:color="auto"/>
                <w:left w:val="none" w:sz="0" w:space="0" w:color="auto"/>
                <w:bottom w:val="none" w:sz="0" w:space="0" w:color="auto"/>
                <w:right w:val="none" w:sz="0" w:space="0" w:color="auto"/>
              </w:divBdr>
            </w:div>
          </w:divsChild>
        </w:div>
        <w:div w:id="1199587296">
          <w:marLeft w:val="0"/>
          <w:marRight w:val="0"/>
          <w:marTop w:val="240"/>
          <w:marBottom w:val="0"/>
          <w:divBdr>
            <w:top w:val="none" w:sz="0" w:space="0" w:color="auto"/>
            <w:left w:val="none" w:sz="0" w:space="0" w:color="auto"/>
            <w:bottom w:val="none" w:sz="0" w:space="0" w:color="auto"/>
            <w:right w:val="none" w:sz="0" w:space="0" w:color="auto"/>
          </w:divBdr>
          <w:divsChild>
            <w:div w:id="717513552">
              <w:marLeft w:val="0"/>
              <w:marRight w:val="0"/>
              <w:marTop w:val="0"/>
              <w:marBottom w:val="0"/>
              <w:divBdr>
                <w:top w:val="none" w:sz="0" w:space="0" w:color="auto"/>
                <w:left w:val="none" w:sz="0" w:space="0" w:color="auto"/>
                <w:bottom w:val="none" w:sz="0" w:space="0" w:color="auto"/>
                <w:right w:val="none" w:sz="0" w:space="0" w:color="auto"/>
              </w:divBdr>
            </w:div>
            <w:div w:id="1005669084">
              <w:marLeft w:val="0"/>
              <w:marRight w:val="0"/>
              <w:marTop w:val="240"/>
              <w:marBottom w:val="0"/>
              <w:divBdr>
                <w:top w:val="none" w:sz="0" w:space="0" w:color="auto"/>
                <w:left w:val="none" w:sz="0" w:space="0" w:color="auto"/>
                <w:bottom w:val="none" w:sz="0" w:space="0" w:color="auto"/>
                <w:right w:val="none" w:sz="0" w:space="0" w:color="auto"/>
              </w:divBdr>
              <w:divsChild>
                <w:div w:id="424766790">
                  <w:marLeft w:val="0"/>
                  <w:marRight w:val="0"/>
                  <w:marTop w:val="0"/>
                  <w:marBottom w:val="0"/>
                  <w:divBdr>
                    <w:top w:val="none" w:sz="0" w:space="0" w:color="auto"/>
                    <w:left w:val="none" w:sz="0" w:space="0" w:color="auto"/>
                    <w:bottom w:val="none" w:sz="0" w:space="0" w:color="auto"/>
                    <w:right w:val="none" w:sz="0" w:space="0" w:color="auto"/>
                  </w:divBdr>
                  <w:divsChild>
                    <w:div w:id="757018801">
                      <w:blockQuote w:val="1"/>
                      <w:marLeft w:val="0"/>
                      <w:marRight w:val="0"/>
                      <w:marTop w:val="0"/>
                      <w:marBottom w:val="0"/>
                      <w:divBdr>
                        <w:top w:val="none" w:sz="0" w:space="0" w:color="auto"/>
                        <w:left w:val="none" w:sz="0" w:space="0" w:color="auto"/>
                        <w:bottom w:val="none" w:sz="0" w:space="0" w:color="auto"/>
                        <w:right w:val="none" w:sz="0" w:space="0" w:color="auto"/>
                      </w:divBdr>
                      <w:divsChild>
                        <w:div w:id="2670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4462">
              <w:marLeft w:val="0"/>
              <w:marRight w:val="0"/>
              <w:marTop w:val="240"/>
              <w:marBottom w:val="0"/>
              <w:divBdr>
                <w:top w:val="none" w:sz="0" w:space="0" w:color="auto"/>
                <w:left w:val="none" w:sz="0" w:space="0" w:color="auto"/>
                <w:bottom w:val="none" w:sz="0" w:space="0" w:color="auto"/>
                <w:right w:val="none" w:sz="0" w:space="0" w:color="auto"/>
              </w:divBdr>
            </w:div>
          </w:divsChild>
        </w:div>
        <w:div w:id="1343052738">
          <w:marLeft w:val="0"/>
          <w:marRight w:val="0"/>
          <w:marTop w:val="240"/>
          <w:marBottom w:val="0"/>
          <w:divBdr>
            <w:top w:val="none" w:sz="0" w:space="0" w:color="auto"/>
            <w:left w:val="none" w:sz="0" w:space="0" w:color="auto"/>
            <w:bottom w:val="none" w:sz="0" w:space="0" w:color="auto"/>
            <w:right w:val="none" w:sz="0" w:space="0" w:color="auto"/>
          </w:divBdr>
          <w:divsChild>
            <w:div w:id="599682765">
              <w:marLeft w:val="0"/>
              <w:marRight w:val="0"/>
              <w:marTop w:val="0"/>
              <w:marBottom w:val="0"/>
              <w:divBdr>
                <w:top w:val="none" w:sz="0" w:space="0" w:color="auto"/>
                <w:left w:val="none" w:sz="0" w:space="0" w:color="auto"/>
                <w:bottom w:val="none" w:sz="0" w:space="0" w:color="auto"/>
                <w:right w:val="none" w:sz="0" w:space="0" w:color="auto"/>
              </w:divBdr>
            </w:div>
          </w:divsChild>
        </w:div>
        <w:div w:id="1491600609">
          <w:marLeft w:val="0"/>
          <w:marRight w:val="0"/>
          <w:marTop w:val="240"/>
          <w:marBottom w:val="0"/>
          <w:divBdr>
            <w:top w:val="none" w:sz="0" w:space="0" w:color="auto"/>
            <w:left w:val="none" w:sz="0" w:space="0" w:color="auto"/>
            <w:bottom w:val="none" w:sz="0" w:space="0" w:color="auto"/>
            <w:right w:val="none" w:sz="0" w:space="0" w:color="auto"/>
          </w:divBdr>
          <w:divsChild>
            <w:div w:id="365375584">
              <w:marLeft w:val="0"/>
              <w:marRight w:val="0"/>
              <w:marTop w:val="240"/>
              <w:marBottom w:val="0"/>
              <w:divBdr>
                <w:top w:val="none" w:sz="0" w:space="0" w:color="auto"/>
                <w:left w:val="none" w:sz="0" w:space="0" w:color="auto"/>
                <w:bottom w:val="none" w:sz="0" w:space="0" w:color="auto"/>
                <w:right w:val="none" w:sz="0" w:space="0" w:color="auto"/>
              </w:divBdr>
            </w:div>
            <w:div w:id="960569095">
              <w:marLeft w:val="0"/>
              <w:marRight w:val="0"/>
              <w:marTop w:val="0"/>
              <w:marBottom w:val="0"/>
              <w:divBdr>
                <w:top w:val="none" w:sz="0" w:space="0" w:color="auto"/>
                <w:left w:val="none" w:sz="0" w:space="0" w:color="auto"/>
                <w:bottom w:val="none" w:sz="0" w:space="0" w:color="auto"/>
                <w:right w:val="none" w:sz="0" w:space="0" w:color="auto"/>
              </w:divBdr>
            </w:div>
            <w:div w:id="1478765678">
              <w:marLeft w:val="0"/>
              <w:marRight w:val="0"/>
              <w:marTop w:val="240"/>
              <w:marBottom w:val="0"/>
              <w:divBdr>
                <w:top w:val="none" w:sz="0" w:space="0" w:color="auto"/>
                <w:left w:val="none" w:sz="0" w:space="0" w:color="auto"/>
                <w:bottom w:val="none" w:sz="0" w:space="0" w:color="auto"/>
                <w:right w:val="none" w:sz="0" w:space="0" w:color="auto"/>
              </w:divBdr>
              <w:divsChild>
                <w:div w:id="139272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3408">
          <w:marLeft w:val="0"/>
          <w:marRight w:val="0"/>
          <w:marTop w:val="240"/>
          <w:marBottom w:val="0"/>
          <w:divBdr>
            <w:top w:val="none" w:sz="0" w:space="0" w:color="auto"/>
            <w:left w:val="none" w:sz="0" w:space="0" w:color="auto"/>
            <w:bottom w:val="none" w:sz="0" w:space="0" w:color="auto"/>
            <w:right w:val="none" w:sz="0" w:space="0" w:color="auto"/>
          </w:divBdr>
          <w:divsChild>
            <w:div w:id="107508136">
              <w:marLeft w:val="0"/>
              <w:marRight w:val="0"/>
              <w:marTop w:val="0"/>
              <w:marBottom w:val="0"/>
              <w:divBdr>
                <w:top w:val="none" w:sz="0" w:space="0" w:color="auto"/>
                <w:left w:val="none" w:sz="0" w:space="0" w:color="auto"/>
                <w:bottom w:val="none" w:sz="0" w:space="0" w:color="auto"/>
                <w:right w:val="none" w:sz="0" w:space="0" w:color="auto"/>
              </w:divBdr>
            </w:div>
          </w:divsChild>
        </w:div>
        <w:div w:id="1578199867">
          <w:marLeft w:val="0"/>
          <w:marRight w:val="0"/>
          <w:marTop w:val="240"/>
          <w:marBottom w:val="0"/>
          <w:divBdr>
            <w:top w:val="none" w:sz="0" w:space="0" w:color="auto"/>
            <w:left w:val="none" w:sz="0" w:space="0" w:color="auto"/>
            <w:bottom w:val="none" w:sz="0" w:space="0" w:color="auto"/>
            <w:right w:val="none" w:sz="0" w:space="0" w:color="auto"/>
          </w:divBdr>
          <w:divsChild>
            <w:div w:id="1658222416">
              <w:marLeft w:val="0"/>
              <w:marRight w:val="0"/>
              <w:marTop w:val="0"/>
              <w:marBottom w:val="0"/>
              <w:divBdr>
                <w:top w:val="none" w:sz="0" w:space="0" w:color="auto"/>
                <w:left w:val="none" w:sz="0" w:space="0" w:color="auto"/>
                <w:bottom w:val="none" w:sz="0" w:space="0" w:color="auto"/>
                <w:right w:val="none" w:sz="0" w:space="0" w:color="auto"/>
              </w:divBdr>
            </w:div>
          </w:divsChild>
        </w:div>
        <w:div w:id="1700279337">
          <w:marLeft w:val="0"/>
          <w:marRight w:val="0"/>
          <w:marTop w:val="240"/>
          <w:marBottom w:val="0"/>
          <w:divBdr>
            <w:top w:val="none" w:sz="0" w:space="0" w:color="auto"/>
            <w:left w:val="none" w:sz="0" w:space="0" w:color="auto"/>
            <w:bottom w:val="none" w:sz="0" w:space="0" w:color="auto"/>
            <w:right w:val="none" w:sz="0" w:space="0" w:color="auto"/>
          </w:divBdr>
          <w:divsChild>
            <w:div w:id="1442068350">
              <w:marLeft w:val="0"/>
              <w:marRight w:val="0"/>
              <w:marTop w:val="0"/>
              <w:marBottom w:val="0"/>
              <w:divBdr>
                <w:top w:val="none" w:sz="0" w:space="0" w:color="auto"/>
                <w:left w:val="none" w:sz="0" w:space="0" w:color="auto"/>
                <w:bottom w:val="none" w:sz="0" w:space="0" w:color="auto"/>
                <w:right w:val="none" w:sz="0" w:space="0" w:color="auto"/>
              </w:divBdr>
            </w:div>
          </w:divsChild>
        </w:div>
        <w:div w:id="2096396314">
          <w:marLeft w:val="0"/>
          <w:marRight w:val="0"/>
          <w:marTop w:val="240"/>
          <w:marBottom w:val="0"/>
          <w:divBdr>
            <w:top w:val="none" w:sz="0" w:space="0" w:color="auto"/>
            <w:left w:val="none" w:sz="0" w:space="0" w:color="auto"/>
            <w:bottom w:val="none" w:sz="0" w:space="0" w:color="auto"/>
            <w:right w:val="none" w:sz="0" w:space="0" w:color="auto"/>
          </w:divBdr>
          <w:divsChild>
            <w:div w:id="16547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9215">
      <w:bodyDiv w:val="1"/>
      <w:marLeft w:val="0"/>
      <w:marRight w:val="0"/>
      <w:marTop w:val="0"/>
      <w:marBottom w:val="0"/>
      <w:divBdr>
        <w:top w:val="none" w:sz="0" w:space="0" w:color="auto"/>
        <w:left w:val="none" w:sz="0" w:space="0" w:color="auto"/>
        <w:bottom w:val="none" w:sz="0" w:space="0" w:color="auto"/>
        <w:right w:val="none" w:sz="0" w:space="0" w:color="auto"/>
      </w:divBdr>
    </w:div>
    <w:div w:id="1108162019">
      <w:bodyDiv w:val="1"/>
      <w:marLeft w:val="0"/>
      <w:marRight w:val="0"/>
      <w:marTop w:val="0"/>
      <w:marBottom w:val="0"/>
      <w:divBdr>
        <w:top w:val="none" w:sz="0" w:space="0" w:color="auto"/>
        <w:left w:val="none" w:sz="0" w:space="0" w:color="auto"/>
        <w:bottom w:val="none" w:sz="0" w:space="0" w:color="auto"/>
        <w:right w:val="none" w:sz="0" w:space="0" w:color="auto"/>
      </w:divBdr>
      <w:divsChild>
        <w:div w:id="1649481601">
          <w:marLeft w:val="0"/>
          <w:marRight w:val="0"/>
          <w:marTop w:val="0"/>
          <w:marBottom w:val="0"/>
          <w:divBdr>
            <w:top w:val="none" w:sz="0" w:space="0" w:color="auto"/>
            <w:left w:val="none" w:sz="0" w:space="0" w:color="auto"/>
            <w:bottom w:val="none" w:sz="0" w:space="0" w:color="auto"/>
            <w:right w:val="none" w:sz="0" w:space="0" w:color="auto"/>
          </w:divBdr>
          <w:divsChild>
            <w:div w:id="1011225871">
              <w:marLeft w:val="0"/>
              <w:marRight w:val="0"/>
              <w:marTop w:val="0"/>
              <w:marBottom w:val="0"/>
              <w:divBdr>
                <w:top w:val="none" w:sz="0" w:space="0" w:color="auto"/>
                <w:left w:val="none" w:sz="0" w:space="0" w:color="auto"/>
                <w:bottom w:val="none" w:sz="0" w:space="0" w:color="auto"/>
                <w:right w:val="none" w:sz="0" w:space="0" w:color="auto"/>
              </w:divBdr>
              <w:divsChild>
                <w:div w:id="1861313591">
                  <w:marLeft w:val="0"/>
                  <w:marRight w:val="0"/>
                  <w:marTop w:val="0"/>
                  <w:marBottom w:val="0"/>
                  <w:divBdr>
                    <w:top w:val="none" w:sz="0" w:space="0" w:color="auto"/>
                    <w:left w:val="none" w:sz="0" w:space="0" w:color="auto"/>
                    <w:bottom w:val="none" w:sz="0" w:space="0" w:color="auto"/>
                    <w:right w:val="none" w:sz="0" w:space="0" w:color="auto"/>
                  </w:divBdr>
                  <w:divsChild>
                    <w:div w:id="881133344">
                      <w:marLeft w:val="0"/>
                      <w:marRight w:val="0"/>
                      <w:marTop w:val="0"/>
                      <w:marBottom w:val="300"/>
                      <w:divBdr>
                        <w:top w:val="none" w:sz="0" w:space="0" w:color="auto"/>
                        <w:left w:val="none" w:sz="0" w:space="0" w:color="auto"/>
                        <w:bottom w:val="none" w:sz="0" w:space="0" w:color="auto"/>
                        <w:right w:val="none" w:sz="0" w:space="0" w:color="auto"/>
                      </w:divBdr>
                      <w:divsChild>
                        <w:div w:id="18491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356828">
      <w:bodyDiv w:val="1"/>
      <w:marLeft w:val="0"/>
      <w:marRight w:val="0"/>
      <w:marTop w:val="0"/>
      <w:marBottom w:val="0"/>
      <w:divBdr>
        <w:top w:val="none" w:sz="0" w:space="0" w:color="auto"/>
        <w:left w:val="none" w:sz="0" w:space="0" w:color="auto"/>
        <w:bottom w:val="none" w:sz="0" w:space="0" w:color="auto"/>
        <w:right w:val="none" w:sz="0" w:space="0" w:color="auto"/>
      </w:divBdr>
      <w:divsChild>
        <w:div w:id="28074820">
          <w:marLeft w:val="0"/>
          <w:marRight w:val="0"/>
          <w:marTop w:val="0"/>
          <w:marBottom w:val="0"/>
          <w:divBdr>
            <w:top w:val="none" w:sz="0" w:space="0" w:color="auto"/>
            <w:left w:val="none" w:sz="0" w:space="0" w:color="auto"/>
            <w:bottom w:val="none" w:sz="0" w:space="0" w:color="auto"/>
            <w:right w:val="none" w:sz="0" w:space="0" w:color="auto"/>
          </w:divBdr>
          <w:divsChild>
            <w:div w:id="916784515">
              <w:marLeft w:val="0"/>
              <w:marRight w:val="0"/>
              <w:marTop w:val="0"/>
              <w:marBottom w:val="0"/>
              <w:divBdr>
                <w:top w:val="none" w:sz="0" w:space="0" w:color="auto"/>
                <w:left w:val="none" w:sz="0" w:space="0" w:color="auto"/>
                <w:bottom w:val="none" w:sz="0" w:space="0" w:color="auto"/>
                <w:right w:val="none" w:sz="0" w:space="0" w:color="auto"/>
              </w:divBdr>
            </w:div>
          </w:divsChild>
        </w:div>
        <w:div w:id="518664692">
          <w:marLeft w:val="0"/>
          <w:marRight w:val="0"/>
          <w:marTop w:val="240"/>
          <w:marBottom w:val="0"/>
          <w:divBdr>
            <w:top w:val="none" w:sz="0" w:space="0" w:color="auto"/>
            <w:left w:val="none" w:sz="0" w:space="0" w:color="auto"/>
            <w:bottom w:val="none" w:sz="0" w:space="0" w:color="auto"/>
            <w:right w:val="none" w:sz="0" w:space="0" w:color="auto"/>
          </w:divBdr>
          <w:divsChild>
            <w:div w:id="981542492">
              <w:marLeft w:val="0"/>
              <w:marRight w:val="0"/>
              <w:marTop w:val="0"/>
              <w:marBottom w:val="0"/>
              <w:divBdr>
                <w:top w:val="none" w:sz="0" w:space="0" w:color="auto"/>
                <w:left w:val="none" w:sz="0" w:space="0" w:color="auto"/>
                <w:bottom w:val="none" w:sz="0" w:space="0" w:color="auto"/>
                <w:right w:val="none" w:sz="0" w:space="0" w:color="auto"/>
              </w:divBdr>
            </w:div>
          </w:divsChild>
        </w:div>
        <w:div w:id="303127104">
          <w:marLeft w:val="0"/>
          <w:marRight w:val="0"/>
          <w:marTop w:val="240"/>
          <w:marBottom w:val="0"/>
          <w:divBdr>
            <w:top w:val="none" w:sz="0" w:space="0" w:color="auto"/>
            <w:left w:val="none" w:sz="0" w:space="0" w:color="auto"/>
            <w:bottom w:val="none" w:sz="0" w:space="0" w:color="auto"/>
            <w:right w:val="none" w:sz="0" w:space="0" w:color="auto"/>
          </w:divBdr>
          <w:divsChild>
            <w:div w:id="29570019">
              <w:marLeft w:val="0"/>
              <w:marRight w:val="0"/>
              <w:marTop w:val="0"/>
              <w:marBottom w:val="0"/>
              <w:divBdr>
                <w:top w:val="none" w:sz="0" w:space="0" w:color="auto"/>
                <w:left w:val="none" w:sz="0" w:space="0" w:color="auto"/>
                <w:bottom w:val="none" w:sz="0" w:space="0" w:color="auto"/>
                <w:right w:val="none" w:sz="0" w:space="0" w:color="auto"/>
              </w:divBdr>
            </w:div>
          </w:divsChild>
        </w:div>
        <w:div w:id="1975988215">
          <w:marLeft w:val="0"/>
          <w:marRight w:val="0"/>
          <w:marTop w:val="240"/>
          <w:marBottom w:val="0"/>
          <w:divBdr>
            <w:top w:val="none" w:sz="0" w:space="0" w:color="auto"/>
            <w:left w:val="none" w:sz="0" w:space="0" w:color="auto"/>
            <w:bottom w:val="none" w:sz="0" w:space="0" w:color="auto"/>
            <w:right w:val="none" w:sz="0" w:space="0" w:color="auto"/>
          </w:divBdr>
          <w:divsChild>
            <w:div w:id="1645770343">
              <w:marLeft w:val="0"/>
              <w:marRight w:val="0"/>
              <w:marTop w:val="0"/>
              <w:marBottom w:val="0"/>
              <w:divBdr>
                <w:top w:val="none" w:sz="0" w:space="0" w:color="auto"/>
                <w:left w:val="none" w:sz="0" w:space="0" w:color="auto"/>
                <w:bottom w:val="none" w:sz="0" w:space="0" w:color="auto"/>
                <w:right w:val="none" w:sz="0" w:space="0" w:color="auto"/>
              </w:divBdr>
            </w:div>
          </w:divsChild>
        </w:div>
        <w:div w:id="1041130243">
          <w:marLeft w:val="0"/>
          <w:marRight w:val="0"/>
          <w:marTop w:val="240"/>
          <w:marBottom w:val="0"/>
          <w:divBdr>
            <w:top w:val="none" w:sz="0" w:space="0" w:color="auto"/>
            <w:left w:val="none" w:sz="0" w:space="0" w:color="auto"/>
            <w:bottom w:val="none" w:sz="0" w:space="0" w:color="auto"/>
            <w:right w:val="none" w:sz="0" w:space="0" w:color="auto"/>
          </w:divBdr>
        </w:div>
        <w:div w:id="899555714">
          <w:marLeft w:val="0"/>
          <w:marRight w:val="0"/>
          <w:marTop w:val="0"/>
          <w:marBottom w:val="0"/>
          <w:divBdr>
            <w:top w:val="none" w:sz="0" w:space="0" w:color="auto"/>
            <w:left w:val="none" w:sz="0" w:space="0" w:color="auto"/>
            <w:bottom w:val="none" w:sz="0" w:space="0" w:color="auto"/>
            <w:right w:val="none" w:sz="0" w:space="0" w:color="auto"/>
          </w:divBdr>
          <w:divsChild>
            <w:div w:id="212738215">
              <w:marLeft w:val="0"/>
              <w:marRight w:val="0"/>
              <w:marTop w:val="0"/>
              <w:marBottom w:val="0"/>
              <w:divBdr>
                <w:top w:val="none" w:sz="0" w:space="0" w:color="auto"/>
                <w:left w:val="none" w:sz="0" w:space="0" w:color="auto"/>
                <w:bottom w:val="none" w:sz="0" w:space="0" w:color="auto"/>
                <w:right w:val="none" w:sz="0" w:space="0" w:color="auto"/>
              </w:divBdr>
            </w:div>
          </w:divsChild>
        </w:div>
        <w:div w:id="737941236">
          <w:marLeft w:val="0"/>
          <w:marRight w:val="0"/>
          <w:marTop w:val="240"/>
          <w:marBottom w:val="0"/>
          <w:divBdr>
            <w:top w:val="none" w:sz="0" w:space="0" w:color="auto"/>
            <w:left w:val="none" w:sz="0" w:space="0" w:color="auto"/>
            <w:bottom w:val="none" w:sz="0" w:space="0" w:color="auto"/>
            <w:right w:val="none" w:sz="0" w:space="0" w:color="auto"/>
          </w:divBdr>
          <w:divsChild>
            <w:div w:id="107163353">
              <w:marLeft w:val="0"/>
              <w:marRight w:val="0"/>
              <w:marTop w:val="0"/>
              <w:marBottom w:val="0"/>
              <w:divBdr>
                <w:top w:val="none" w:sz="0" w:space="0" w:color="auto"/>
                <w:left w:val="none" w:sz="0" w:space="0" w:color="auto"/>
                <w:bottom w:val="none" w:sz="0" w:space="0" w:color="auto"/>
                <w:right w:val="none" w:sz="0" w:space="0" w:color="auto"/>
              </w:divBdr>
            </w:div>
            <w:div w:id="549877124">
              <w:marLeft w:val="0"/>
              <w:marRight w:val="0"/>
              <w:marTop w:val="240"/>
              <w:marBottom w:val="0"/>
              <w:divBdr>
                <w:top w:val="none" w:sz="0" w:space="0" w:color="auto"/>
                <w:left w:val="none" w:sz="0" w:space="0" w:color="auto"/>
                <w:bottom w:val="none" w:sz="0" w:space="0" w:color="auto"/>
                <w:right w:val="none" w:sz="0" w:space="0" w:color="auto"/>
              </w:divBdr>
              <w:divsChild>
                <w:div w:id="1077357658">
                  <w:marLeft w:val="0"/>
                  <w:marRight w:val="0"/>
                  <w:marTop w:val="0"/>
                  <w:marBottom w:val="0"/>
                  <w:divBdr>
                    <w:top w:val="none" w:sz="0" w:space="0" w:color="auto"/>
                    <w:left w:val="none" w:sz="0" w:space="0" w:color="auto"/>
                    <w:bottom w:val="none" w:sz="0" w:space="0" w:color="auto"/>
                    <w:right w:val="none" w:sz="0" w:space="0" w:color="auto"/>
                  </w:divBdr>
                </w:div>
              </w:divsChild>
            </w:div>
            <w:div w:id="1909225675">
              <w:marLeft w:val="0"/>
              <w:marRight w:val="0"/>
              <w:marTop w:val="240"/>
              <w:marBottom w:val="0"/>
              <w:divBdr>
                <w:top w:val="none" w:sz="0" w:space="0" w:color="auto"/>
                <w:left w:val="none" w:sz="0" w:space="0" w:color="auto"/>
                <w:bottom w:val="none" w:sz="0" w:space="0" w:color="auto"/>
                <w:right w:val="none" w:sz="0" w:space="0" w:color="auto"/>
              </w:divBdr>
              <w:divsChild>
                <w:div w:id="16870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4864">
          <w:marLeft w:val="0"/>
          <w:marRight w:val="0"/>
          <w:marTop w:val="240"/>
          <w:marBottom w:val="0"/>
          <w:divBdr>
            <w:top w:val="none" w:sz="0" w:space="0" w:color="auto"/>
            <w:left w:val="none" w:sz="0" w:space="0" w:color="auto"/>
            <w:bottom w:val="none" w:sz="0" w:space="0" w:color="auto"/>
            <w:right w:val="none" w:sz="0" w:space="0" w:color="auto"/>
          </w:divBdr>
        </w:div>
        <w:div w:id="2046561143">
          <w:marLeft w:val="0"/>
          <w:marRight w:val="0"/>
          <w:marTop w:val="0"/>
          <w:marBottom w:val="0"/>
          <w:divBdr>
            <w:top w:val="none" w:sz="0" w:space="0" w:color="auto"/>
            <w:left w:val="none" w:sz="0" w:space="0" w:color="auto"/>
            <w:bottom w:val="none" w:sz="0" w:space="0" w:color="auto"/>
            <w:right w:val="none" w:sz="0" w:space="0" w:color="auto"/>
          </w:divBdr>
          <w:divsChild>
            <w:div w:id="364252517">
              <w:marLeft w:val="0"/>
              <w:marRight w:val="0"/>
              <w:marTop w:val="0"/>
              <w:marBottom w:val="0"/>
              <w:divBdr>
                <w:top w:val="none" w:sz="0" w:space="0" w:color="auto"/>
                <w:left w:val="none" w:sz="0" w:space="0" w:color="auto"/>
                <w:bottom w:val="none" w:sz="0" w:space="0" w:color="auto"/>
                <w:right w:val="none" w:sz="0" w:space="0" w:color="auto"/>
              </w:divBdr>
            </w:div>
          </w:divsChild>
        </w:div>
        <w:div w:id="1898319855">
          <w:marLeft w:val="0"/>
          <w:marRight w:val="0"/>
          <w:marTop w:val="240"/>
          <w:marBottom w:val="0"/>
          <w:divBdr>
            <w:top w:val="none" w:sz="0" w:space="0" w:color="auto"/>
            <w:left w:val="none" w:sz="0" w:space="0" w:color="auto"/>
            <w:bottom w:val="none" w:sz="0" w:space="0" w:color="auto"/>
            <w:right w:val="none" w:sz="0" w:space="0" w:color="auto"/>
          </w:divBdr>
          <w:divsChild>
            <w:div w:id="16405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00147">
      <w:bodyDiv w:val="1"/>
      <w:marLeft w:val="0"/>
      <w:marRight w:val="0"/>
      <w:marTop w:val="0"/>
      <w:marBottom w:val="0"/>
      <w:divBdr>
        <w:top w:val="none" w:sz="0" w:space="0" w:color="auto"/>
        <w:left w:val="none" w:sz="0" w:space="0" w:color="auto"/>
        <w:bottom w:val="none" w:sz="0" w:space="0" w:color="auto"/>
        <w:right w:val="none" w:sz="0" w:space="0" w:color="auto"/>
      </w:divBdr>
      <w:divsChild>
        <w:div w:id="486409609">
          <w:marLeft w:val="0"/>
          <w:marRight w:val="0"/>
          <w:marTop w:val="240"/>
          <w:marBottom w:val="0"/>
          <w:divBdr>
            <w:top w:val="none" w:sz="0" w:space="0" w:color="auto"/>
            <w:left w:val="none" w:sz="0" w:space="0" w:color="auto"/>
            <w:bottom w:val="none" w:sz="0" w:space="0" w:color="auto"/>
            <w:right w:val="none" w:sz="0" w:space="0" w:color="auto"/>
          </w:divBdr>
          <w:divsChild>
            <w:div w:id="873035822">
              <w:marLeft w:val="0"/>
              <w:marRight w:val="0"/>
              <w:marTop w:val="0"/>
              <w:marBottom w:val="0"/>
              <w:divBdr>
                <w:top w:val="none" w:sz="0" w:space="0" w:color="auto"/>
                <w:left w:val="none" w:sz="0" w:space="0" w:color="auto"/>
                <w:bottom w:val="none" w:sz="0" w:space="0" w:color="auto"/>
                <w:right w:val="none" w:sz="0" w:space="0" w:color="auto"/>
              </w:divBdr>
            </w:div>
          </w:divsChild>
        </w:div>
        <w:div w:id="2117359614">
          <w:marLeft w:val="0"/>
          <w:marRight w:val="0"/>
          <w:marTop w:val="240"/>
          <w:marBottom w:val="0"/>
          <w:divBdr>
            <w:top w:val="none" w:sz="0" w:space="0" w:color="auto"/>
            <w:left w:val="none" w:sz="0" w:space="0" w:color="auto"/>
            <w:bottom w:val="none" w:sz="0" w:space="0" w:color="auto"/>
            <w:right w:val="none" w:sz="0" w:space="0" w:color="auto"/>
          </w:divBdr>
          <w:divsChild>
            <w:div w:id="15336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5007">
      <w:bodyDiv w:val="1"/>
      <w:marLeft w:val="0"/>
      <w:marRight w:val="0"/>
      <w:marTop w:val="0"/>
      <w:marBottom w:val="0"/>
      <w:divBdr>
        <w:top w:val="none" w:sz="0" w:space="0" w:color="auto"/>
        <w:left w:val="none" w:sz="0" w:space="0" w:color="auto"/>
        <w:bottom w:val="none" w:sz="0" w:space="0" w:color="auto"/>
        <w:right w:val="none" w:sz="0" w:space="0" w:color="auto"/>
      </w:divBdr>
      <w:divsChild>
        <w:div w:id="623729348">
          <w:marLeft w:val="0"/>
          <w:marRight w:val="0"/>
          <w:marTop w:val="0"/>
          <w:marBottom w:val="0"/>
          <w:divBdr>
            <w:top w:val="none" w:sz="0" w:space="0" w:color="auto"/>
            <w:left w:val="none" w:sz="0" w:space="0" w:color="auto"/>
            <w:bottom w:val="none" w:sz="0" w:space="0" w:color="auto"/>
            <w:right w:val="none" w:sz="0" w:space="0" w:color="auto"/>
          </w:divBdr>
          <w:divsChild>
            <w:div w:id="799808882">
              <w:marLeft w:val="0"/>
              <w:marRight w:val="0"/>
              <w:marTop w:val="0"/>
              <w:marBottom w:val="0"/>
              <w:divBdr>
                <w:top w:val="none" w:sz="0" w:space="0" w:color="auto"/>
                <w:left w:val="none" w:sz="0" w:space="0" w:color="auto"/>
                <w:bottom w:val="none" w:sz="0" w:space="0" w:color="auto"/>
                <w:right w:val="none" w:sz="0" w:space="0" w:color="auto"/>
              </w:divBdr>
              <w:divsChild>
                <w:div w:id="1318262500">
                  <w:marLeft w:val="0"/>
                  <w:marRight w:val="0"/>
                  <w:marTop w:val="0"/>
                  <w:marBottom w:val="0"/>
                  <w:divBdr>
                    <w:top w:val="none" w:sz="0" w:space="0" w:color="auto"/>
                    <w:left w:val="none" w:sz="0" w:space="0" w:color="auto"/>
                    <w:bottom w:val="none" w:sz="0" w:space="0" w:color="auto"/>
                    <w:right w:val="none" w:sz="0" w:space="0" w:color="auto"/>
                  </w:divBdr>
                  <w:divsChild>
                    <w:div w:id="1622372018">
                      <w:marLeft w:val="0"/>
                      <w:marRight w:val="0"/>
                      <w:marTop w:val="0"/>
                      <w:marBottom w:val="375"/>
                      <w:divBdr>
                        <w:top w:val="none" w:sz="0" w:space="0" w:color="auto"/>
                        <w:left w:val="none" w:sz="0" w:space="0" w:color="auto"/>
                        <w:bottom w:val="none" w:sz="0" w:space="0" w:color="auto"/>
                        <w:right w:val="none" w:sz="0" w:space="0" w:color="auto"/>
                      </w:divBdr>
                      <w:divsChild>
                        <w:div w:id="1752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592666">
      <w:bodyDiv w:val="1"/>
      <w:marLeft w:val="0"/>
      <w:marRight w:val="0"/>
      <w:marTop w:val="0"/>
      <w:marBottom w:val="0"/>
      <w:divBdr>
        <w:top w:val="none" w:sz="0" w:space="0" w:color="auto"/>
        <w:left w:val="none" w:sz="0" w:space="0" w:color="auto"/>
        <w:bottom w:val="none" w:sz="0" w:space="0" w:color="auto"/>
        <w:right w:val="none" w:sz="0" w:space="0" w:color="auto"/>
      </w:divBdr>
      <w:divsChild>
        <w:div w:id="456917287">
          <w:marLeft w:val="0"/>
          <w:marRight w:val="0"/>
          <w:marTop w:val="0"/>
          <w:marBottom w:val="0"/>
          <w:divBdr>
            <w:top w:val="none" w:sz="0" w:space="0" w:color="auto"/>
            <w:left w:val="single" w:sz="6" w:space="0" w:color="BBBBBB"/>
            <w:bottom w:val="single" w:sz="6" w:space="0" w:color="BBBBBB"/>
            <w:right w:val="single" w:sz="6" w:space="0" w:color="BBBBBB"/>
          </w:divBdr>
          <w:divsChild>
            <w:div w:id="1618902182">
              <w:marLeft w:val="0"/>
              <w:marRight w:val="0"/>
              <w:marTop w:val="0"/>
              <w:marBottom w:val="0"/>
              <w:divBdr>
                <w:top w:val="none" w:sz="0" w:space="0" w:color="auto"/>
                <w:left w:val="none" w:sz="0" w:space="0" w:color="auto"/>
                <w:bottom w:val="none" w:sz="0" w:space="0" w:color="auto"/>
                <w:right w:val="none" w:sz="0" w:space="0" w:color="auto"/>
              </w:divBdr>
              <w:divsChild>
                <w:div w:id="1952515899">
                  <w:marLeft w:val="0"/>
                  <w:marRight w:val="0"/>
                  <w:marTop w:val="75"/>
                  <w:marBottom w:val="0"/>
                  <w:divBdr>
                    <w:top w:val="none" w:sz="0" w:space="0" w:color="auto"/>
                    <w:left w:val="none" w:sz="0" w:space="0" w:color="auto"/>
                    <w:bottom w:val="none" w:sz="0" w:space="0" w:color="auto"/>
                    <w:right w:val="none" w:sz="0" w:space="0" w:color="auto"/>
                  </w:divBdr>
                  <w:divsChild>
                    <w:div w:id="1318999075">
                      <w:marLeft w:val="0"/>
                      <w:marRight w:val="0"/>
                      <w:marTop w:val="0"/>
                      <w:marBottom w:val="0"/>
                      <w:divBdr>
                        <w:top w:val="none" w:sz="0" w:space="0" w:color="auto"/>
                        <w:left w:val="none" w:sz="0" w:space="0" w:color="auto"/>
                        <w:bottom w:val="none" w:sz="0" w:space="0" w:color="auto"/>
                        <w:right w:val="none" w:sz="0" w:space="0" w:color="auto"/>
                      </w:divBdr>
                      <w:divsChild>
                        <w:div w:id="1690325894">
                          <w:marLeft w:val="0"/>
                          <w:marRight w:val="0"/>
                          <w:marTop w:val="0"/>
                          <w:marBottom w:val="0"/>
                          <w:divBdr>
                            <w:top w:val="none" w:sz="0" w:space="0" w:color="auto"/>
                            <w:left w:val="none" w:sz="0" w:space="0" w:color="auto"/>
                            <w:bottom w:val="none" w:sz="0" w:space="0" w:color="auto"/>
                            <w:right w:val="none" w:sz="0" w:space="0" w:color="auto"/>
                          </w:divBdr>
                          <w:divsChild>
                            <w:div w:id="1647976539">
                              <w:marLeft w:val="0"/>
                              <w:marRight w:val="0"/>
                              <w:marTop w:val="0"/>
                              <w:marBottom w:val="0"/>
                              <w:divBdr>
                                <w:top w:val="none" w:sz="0" w:space="0" w:color="auto"/>
                                <w:left w:val="none" w:sz="0" w:space="0" w:color="auto"/>
                                <w:bottom w:val="none" w:sz="0" w:space="0" w:color="auto"/>
                                <w:right w:val="none" w:sz="0" w:space="0" w:color="auto"/>
                              </w:divBdr>
                              <w:divsChild>
                                <w:div w:id="388193366">
                                  <w:marLeft w:val="0"/>
                                  <w:marRight w:val="0"/>
                                  <w:marTop w:val="0"/>
                                  <w:marBottom w:val="0"/>
                                  <w:divBdr>
                                    <w:top w:val="none" w:sz="0" w:space="0" w:color="auto"/>
                                    <w:left w:val="none" w:sz="0" w:space="0" w:color="auto"/>
                                    <w:bottom w:val="none" w:sz="0" w:space="0" w:color="auto"/>
                                    <w:right w:val="none" w:sz="0" w:space="0" w:color="auto"/>
                                  </w:divBdr>
                                  <w:divsChild>
                                    <w:div w:id="1851330495">
                                      <w:marLeft w:val="0"/>
                                      <w:marRight w:val="0"/>
                                      <w:marTop w:val="0"/>
                                      <w:marBottom w:val="0"/>
                                      <w:divBdr>
                                        <w:top w:val="none" w:sz="0" w:space="0" w:color="auto"/>
                                        <w:left w:val="none" w:sz="0" w:space="0" w:color="auto"/>
                                        <w:bottom w:val="none" w:sz="0" w:space="0" w:color="auto"/>
                                        <w:right w:val="none" w:sz="0" w:space="0" w:color="auto"/>
                                      </w:divBdr>
                                      <w:divsChild>
                                        <w:div w:id="1667587088">
                                          <w:marLeft w:val="1200"/>
                                          <w:marRight w:val="1200"/>
                                          <w:marTop w:val="0"/>
                                          <w:marBottom w:val="0"/>
                                          <w:divBdr>
                                            <w:top w:val="none" w:sz="0" w:space="0" w:color="auto"/>
                                            <w:left w:val="none" w:sz="0" w:space="0" w:color="auto"/>
                                            <w:bottom w:val="none" w:sz="0" w:space="0" w:color="auto"/>
                                            <w:right w:val="none" w:sz="0" w:space="0" w:color="auto"/>
                                          </w:divBdr>
                                          <w:divsChild>
                                            <w:div w:id="1883055156">
                                              <w:marLeft w:val="0"/>
                                              <w:marRight w:val="0"/>
                                              <w:marTop w:val="0"/>
                                              <w:marBottom w:val="0"/>
                                              <w:divBdr>
                                                <w:top w:val="none" w:sz="0" w:space="0" w:color="auto"/>
                                                <w:left w:val="none" w:sz="0" w:space="0" w:color="auto"/>
                                                <w:bottom w:val="none" w:sz="0" w:space="0" w:color="auto"/>
                                                <w:right w:val="none" w:sz="0" w:space="0" w:color="auto"/>
                                              </w:divBdr>
                                              <w:divsChild>
                                                <w:div w:id="1462528547">
                                                  <w:marLeft w:val="0"/>
                                                  <w:marRight w:val="0"/>
                                                  <w:marTop w:val="0"/>
                                                  <w:marBottom w:val="0"/>
                                                  <w:divBdr>
                                                    <w:top w:val="none" w:sz="0" w:space="0" w:color="auto"/>
                                                    <w:left w:val="none" w:sz="0" w:space="0" w:color="auto"/>
                                                    <w:bottom w:val="none" w:sz="0" w:space="0" w:color="auto"/>
                                                    <w:right w:val="none" w:sz="0" w:space="0" w:color="auto"/>
                                                  </w:divBdr>
                                                  <w:divsChild>
                                                    <w:div w:id="285432627">
                                                      <w:marLeft w:val="0"/>
                                                      <w:marRight w:val="0"/>
                                                      <w:marTop w:val="0"/>
                                                      <w:marBottom w:val="0"/>
                                                      <w:divBdr>
                                                        <w:top w:val="none" w:sz="0" w:space="0" w:color="auto"/>
                                                        <w:left w:val="none" w:sz="0" w:space="0" w:color="auto"/>
                                                        <w:bottom w:val="none" w:sz="0" w:space="0" w:color="auto"/>
                                                        <w:right w:val="none" w:sz="0" w:space="0" w:color="auto"/>
                                                      </w:divBdr>
                                                      <w:divsChild>
                                                        <w:div w:id="112670948">
                                                          <w:marLeft w:val="0"/>
                                                          <w:marRight w:val="0"/>
                                                          <w:marTop w:val="0"/>
                                                          <w:marBottom w:val="0"/>
                                                          <w:divBdr>
                                                            <w:top w:val="none" w:sz="0" w:space="0" w:color="auto"/>
                                                            <w:left w:val="none" w:sz="0" w:space="0" w:color="auto"/>
                                                            <w:bottom w:val="none" w:sz="0" w:space="0" w:color="auto"/>
                                                            <w:right w:val="none" w:sz="0" w:space="0" w:color="auto"/>
                                                          </w:divBdr>
                                                          <w:divsChild>
                                                            <w:div w:id="1613247458">
                                                              <w:marLeft w:val="0"/>
                                                              <w:marRight w:val="0"/>
                                                              <w:marTop w:val="0"/>
                                                              <w:marBottom w:val="0"/>
                                                              <w:divBdr>
                                                                <w:top w:val="none" w:sz="0" w:space="0" w:color="auto"/>
                                                                <w:left w:val="none" w:sz="0" w:space="0" w:color="auto"/>
                                                                <w:bottom w:val="none" w:sz="0" w:space="0" w:color="auto"/>
                                                                <w:right w:val="none" w:sz="0" w:space="0" w:color="auto"/>
                                                              </w:divBdr>
                                                              <w:divsChild>
                                                                <w:div w:id="1152217775">
                                                                  <w:marLeft w:val="0"/>
                                                                  <w:marRight w:val="0"/>
                                                                  <w:marTop w:val="0"/>
                                                                  <w:marBottom w:val="0"/>
                                                                  <w:divBdr>
                                                                    <w:top w:val="none" w:sz="0" w:space="0" w:color="auto"/>
                                                                    <w:left w:val="none" w:sz="0" w:space="0" w:color="auto"/>
                                                                    <w:bottom w:val="none" w:sz="0" w:space="0" w:color="auto"/>
                                                                    <w:right w:val="none" w:sz="0" w:space="0" w:color="auto"/>
                                                                  </w:divBdr>
                                                                  <w:divsChild>
                                                                    <w:div w:id="149834244">
                                                                      <w:marLeft w:val="0"/>
                                                                      <w:marRight w:val="0"/>
                                                                      <w:marTop w:val="0"/>
                                                                      <w:marBottom w:val="0"/>
                                                                      <w:divBdr>
                                                                        <w:top w:val="none" w:sz="0" w:space="0" w:color="auto"/>
                                                                        <w:left w:val="none" w:sz="0" w:space="0" w:color="auto"/>
                                                                        <w:bottom w:val="none" w:sz="0" w:space="0" w:color="auto"/>
                                                                        <w:right w:val="none" w:sz="0" w:space="0" w:color="auto"/>
                                                                      </w:divBdr>
                                                                      <w:divsChild>
                                                                        <w:div w:id="1270626592">
                                                                          <w:marLeft w:val="0"/>
                                                                          <w:marRight w:val="0"/>
                                                                          <w:marTop w:val="0"/>
                                                                          <w:marBottom w:val="0"/>
                                                                          <w:divBdr>
                                                                            <w:top w:val="none" w:sz="0" w:space="0" w:color="auto"/>
                                                                            <w:left w:val="none" w:sz="0" w:space="0" w:color="auto"/>
                                                                            <w:bottom w:val="none" w:sz="0" w:space="0" w:color="auto"/>
                                                                            <w:right w:val="none" w:sz="0" w:space="0" w:color="auto"/>
                                                                          </w:divBdr>
                                                                        </w:div>
                                                                      </w:divsChild>
                                                                    </w:div>
                                                                    <w:div w:id="458035987">
                                                                      <w:marLeft w:val="0"/>
                                                                      <w:marRight w:val="0"/>
                                                                      <w:marTop w:val="0"/>
                                                                      <w:marBottom w:val="0"/>
                                                                      <w:divBdr>
                                                                        <w:top w:val="none" w:sz="0" w:space="0" w:color="auto"/>
                                                                        <w:left w:val="none" w:sz="0" w:space="0" w:color="auto"/>
                                                                        <w:bottom w:val="none" w:sz="0" w:space="0" w:color="auto"/>
                                                                        <w:right w:val="none" w:sz="0" w:space="0" w:color="auto"/>
                                                                      </w:divBdr>
                                                                      <w:divsChild>
                                                                        <w:div w:id="703822253">
                                                                          <w:marLeft w:val="0"/>
                                                                          <w:marRight w:val="0"/>
                                                                          <w:marTop w:val="0"/>
                                                                          <w:marBottom w:val="0"/>
                                                                          <w:divBdr>
                                                                            <w:top w:val="none" w:sz="0" w:space="0" w:color="auto"/>
                                                                            <w:left w:val="none" w:sz="0" w:space="0" w:color="auto"/>
                                                                            <w:bottom w:val="none" w:sz="0" w:space="0" w:color="auto"/>
                                                                            <w:right w:val="none" w:sz="0" w:space="0" w:color="auto"/>
                                                                          </w:divBdr>
                                                                        </w:div>
                                                                      </w:divsChild>
                                                                    </w:div>
                                                                    <w:div w:id="1803645288">
                                                                      <w:marLeft w:val="0"/>
                                                                      <w:marRight w:val="0"/>
                                                                      <w:marTop w:val="0"/>
                                                                      <w:marBottom w:val="0"/>
                                                                      <w:divBdr>
                                                                        <w:top w:val="none" w:sz="0" w:space="0" w:color="auto"/>
                                                                        <w:left w:val="none" w:sz="0" w:space="0" w:color="auto"/>
                                                                        <w:bottom w:val="none" w:sz="0" w:space="0" w:color="auto"/>
                                                                        <w:right w:val="none" w:sz="0" w:space="0" w:color="auto"/>
                                                                      </w:divBdr>
                                                                      <w:divsChild>
                                                                        <w:div w:id="8362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205666">
      <w:bodyDiv w:val="1"/>
      <w:marLeft w:val="0"/>
      <w:marRight w:val="0"/>
      <w:marTop w:val="0"/>
      <w:marBottom w:val="0"/>
      <w:divBdr>
        <w:top w:val="none" w:sz="0" w:space="0" w:color="auto"/>
        <w:left w:val="none" w:sz="0" w:space="0" w:color="auto"/>
        <w:bottom w:val="none" w:sz="0" w:space="0" w:color="auto"/>
        <w:right w:val="none" w:sz="0" w:space="0" w:color="auto"/>
      </w:divBdr>
      <w:divsChild>
        <w:div w:id="1975014541">
          <w:marLeft w:val="0"/>
          <w:marRight w:val="0"/>
          <w:marTop w:val="0"/>
          <w:marBottom w:val="0"/>
          <w:divBdr>
            <w:top w:val="none" w:sz="0" w:space="0" w:color="auto"/>
            <w:left w:val="none" w:sz="0" w:space="0" w:color="auto"/>
            <w:bottom w:val="none" w:sz="0" w:space="0" w:color="auto"/>
            <w:right w:val="none" w:sz="0" w:space="0" w:color="auto"/>
          </w:divBdr>
          <w:divsChild>
            <w:div w:id="1496143501">
              <w:marLeft w:val="0"/>
              <w:marRight w:val="0"/>
              <w:marTop w:val="0"/>
              <w:marBottom w:val="0"/>
              <w:divBdr>
                <w:top w:val="none" w:sz="0" w:space="0" w:color="auto"/>
                <w:left w:val="none" w:sz="0" w:space="0" w:color="auto"/>
                <w:bottom w:val="none" w:sz="0" w:space="0" w:color="auto"/>
                <w:right w:val="none" w:sz="0" w:space="0" w:color="auto"/>
              </w:divBdr>
              <w:divsChild>
                <w:div w:id="364446042">
                  <w:marLeft w:val="0"/>
                  <w:marRight w:val="0"/>
                  <w:marTop w:val="0"/>
                  <w:marBottom w:val="0"/>
                  <w:divBdr>
                    <w:top w:val="none" w:sz="0" w:space="0" w:color="auto"/>
                    <w:left w:val="none" w:sz="0" w:space="0" w:color="auto"/>
                    <w:bottom w:val="none" w:sz="0" w:space="0" w:color="auto"/>
                    <w:right w:val="none" w:sz="0" w:space="0" w:color="auto"/>
                  </w:divBdr>
                  <w:divsChild>
                    <w:div w:id="1041787255">
                      <w:marLeft w:val="0"/>
                      <w:marRight w:val="0"/>
                      <w:marTop w:val="0"/>
                      <w:marBottom w:val="300"/>
                      <w:divBdr>
                        <w:top w:val="none" w:sz="0" w:space="0" w:color="auto"/>
                        <w:left w:val="none" w:sz="0" w:space="0" w:color="auto"/>
                        <w:bottom w:val="none" w:sz="0" w:space="0" w:color="auto"/>
                        <w:right w:val="none" w:sz="0" w:space="0" w:color="auto"/>
                      </w:divBdr>
                      <w:divsChild>
                        <w:div w:id="19978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137049">
      <w:bodyDiv w:val="1"/>
      <w:marLeft w:val="0"/>
      <w:marRight w:val="0"/>
      <w:marTop w:val="0"/>
      <w:marBottom w:val="0"/>
      <w:divBdr>
        <w:top w:val="none" w:sz="0" w:space="0" w:color="auto"/>
        <w:left w:val="none" w:sz="0" w:space="0" w:color="auto"/>
        <w:bottom w:val="none" w:sz="0" w:space="0" w:color="auto"/>
        <w:right w:val="none" w:sz="0" w:space="0" w:color="auto"/>
      </w:divBdr>
    </w:div>
    <w:div w:id="1121001261">
      <w:bodyDiv w:val="1"/>
      <w:marLeft w:val="0"/>
      <w:marRight w:val="0"/>
      <w:marTop w:val="0"/>
      <w:marBottom w:val="0"/>
      <w:divBdr>
        <w:top w:val="none" w:sz="0" w:space="0" w:color="auto"/>
        <w:left w:val="none" w:sz="0" w:space="0" w:color="auto"/>
        <w:bottom w:val="none" w:sz="0" w:space="0" w:color="auto"/>
        <w:right w:val="none" w:sz="0" w:space="0" w:color="auto"/>
      </w:divBdr>
      <w:divsChild>
        <w:div w:id="2120445885">
          <w:marLeft w:val="0"/>
          <w:marRight w:val="0"/>
          <w:marTop w:val="0"/>
          <w:marBottom w:val="0"/>
          <w:divBdr>
            <w:top w:val="none" w:sz="0" w:space="0" w:color="auto"/>
            <w:left w:val="none" w:sz="0" w:space="0" w:color="auto"/>
            <w:bottom w:val="none" w:sz="0" w:space="0" w:color="auto"/>
            <w:right w:val="none" w:sz="0" w:space="0" w:color="auto"/>
          </w:divBdr>
          <w:divsChild>
            <w:div w:id="780613372">
              <w:marLeft w:val="0"/>
              <w:marRight w:val="0"/>
              <w:marTop w:val="0"/>
              <w:marBottom w:val="0"/>
              <w:divBdr>
                <w:top w:val="none" w:sz="0" w:space="0" w:color="auto"/>
                <w:left w:val="none" w:sz="0" w:space="0" w:color="auto"/>
                <w:bottom w:val="none" w:sz="0" w:space="0" w:color="auto"/>
                <w:right w:val="none" w:sz="0" w:space="0" w:color="auto"/>
              </w:divBdr>
              <w:divsChild>
                <w:div w:id="544683570">
                  <w:marLeft w:val="0"/>
                  <w:marRight w:val="0"/>
                  <w:marTop w:val="0"/>
                  <w:marBottom w:val="0"/>
                  <w:divBdr>
                    <w:top w:val="none" w:sz="0" w:space="0" w:color="auto"/>
                    <w:left w:val="none" w:sz="0" w:space="0" w:color="auto"/>
                    <w:bottom w:val="none" w:sz="0" w:space="0" w:color="auto"/>
                    <w:right w:val="none" w:sz="0" w:space="0" w:color="auto"/>
                  </w:divBdr>
                  <w:divsChild>
                    <w:div w:id="316424147">
                      <w:marLeft w:val="0"/>
                      <w:marRight w:val="0"/>
                      <w:marTop w:val="0"/>
                      <w:marBottom w:val="300"/>
                      <w:divBdr>
                        <w:top w:val="none" w:sz="0" w:space="0" w:color="auto"/>
                        <w:left w:val="none" w:sz="0" w:space="0" w:color="auto"/>
                        <w:bottom w:val="none" w:sz="0" w:space="0" w:color="auto"/>
                        <w:right w:val="none" w:sz="0" w:space="0" w:color="auto"/>
                      </w:divBdr>
                      <w:divsChild>
                        <w:div w:id="12638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605910">
      <w:bodyDiv w:val="1"/>
      <w:marLeft w:val="0"/>
      <w:marRight w:val="0"/>
      <w:marTop w:val="0"/>
      <w:marBottom w:val="0"/>
      <w:divBdr>
        <w:top w:val="none" w:sz="0" w:space="0" w:color="auto"/>
        <w:left w:val="none" w:sz="0" w:space="0" w:color="auto"/>
        <w:bottom w:val="none" w:sz="0" w:space="0" w:color="auto"/>
        <w:right w:val="none" w:sz="0" w:space="0" w:color="auto"/>
      </w:divBdr>
      <w:divsChild>
        <w:div w:id="1324234637">
          <w:marLeft w:val="0"/>
          <w:marRight w:val="0"/>
          <w:marTop w:val="0"/>
          <w:marBottom w:val="0"/>
          <w:divBdr>
            <w:top w:val="none" w:sz="0" w:space="0" w:color="auto"/>
            <w:left w:val="single" w:sz="6" w:space="0" w:color="BBBBBB"/>
            <w:bottom w:val="single" w:sz="6" w:space="0" w:color="BBBBBB"/>
            <w:right w:val="single" w:sz="6" w:space="0" w:color="BBBBBB"/>
          </w:divBdr>
          <w:divsChild>
            <w:div w:id="358239753">
              <w:marLeft w:val="0"/>
              <w:marRight w:val="0"/>
              <w:marTop w:val="0"/>
              <w:marBottom w:val="0"/>
              <w:divBdr>
                <w:top w:val="none" w:sz="0" w:space="0" w:color="auto"/>
                <w:left w:val="none" w:sz="0" w:space="0" w:color="auto"/>
                <w:bottom w:val="none" w:sz="0" w:space="0" w:color="auto"/>
                <w:right w:val="none" w:sz="0" w:space="0" w:color="auto"/>
              </w:divBdr>
              <w:divsChild>
                <w:div w:id="1042287310">
                  <w:marLeft w:val="0"/>
                  <w:marRight w:val="0"/>
                  <w:marTop w:val="0"/>
                  <w:marBottom w:val="0"/>
                  <w:divBdr>
                    <w:top w:val="none" w:sz="0" w:space="0" w:color="auto"/>
                    <w:left w:val="none" w:sz="0" w:space="0" w:color="auto"/>
                    <w:bottom w:val="none" w:sz="0" w:space="0" w:color="auto"/>
                    <w:right w:val="none" w:sz="0" w:space="0" w:color="auto"/>
                  </w:divBdr>
                  <w:divsChild>
                    <w:div w:id="237058337">
                      <w:marLeft w:val="0"/>
                      <w:marRight w:val="0"/>
                      <w:marTop w:val="0"/>
                      <w:marBottom w:val="0"/>
                      <w:divBdr>
                        <w:top w:val="none" w:sz="0" w:space="0" w:color="auto"/>
                        <w:left w:val="none" w:sz="0" w:space="0" w:color="auto"/>
                        <w:bottom w:val="none" w:sz="0" w:space="0" w:color="auto"/>
                        <w:right w:val="none" w:sz="0" w:space="0" w:color="auto"/>
                      </w:divBdr>
                      <w:divsChild>
                        <w:div w:id="869802177">
                          <w:marLeft w:val="0"/>
                          <w:marRight w:val="0"/>
                          <w:marTop w:val="0"/>
                          <w:marBottom w:val="0"/>
                          <w:divBdr>
                            <w:top w:val="none" w:sz="0" w:space="0" w:color="auto"/>
                            <w:left w:val="none" w:sz="0" w:space="0" w:color="auto"/>
                            <w:bottom w:val="none" w:sz="0" w:space="0" w:color="auto"/>
                            <w:right w:val="none" w:sz="0" w:space="0" w:color="auto"/>
                          </w:divBdr>
                          <w:divsChild>
                            <w:div w:id="1500121557">
                              <w:marLeft w:val="0"/>
                              <w:marRight w:val="0"/>
                              <w:marTop w:val="0"/>
                              <w:marBottom w:val="0"/>
                              <w:divBdr>
                                <w:top w:val="none" w:sz="0" w:space="0" w:color="auto"/>
                                <w:left w:val="none" w:sz="0" w:space="0" w:color="auto"/>
                                <w:bottom w:val="none" w:sz="0" w:space="0" w:color="auto"/>
                                <w:right w:val="none" w:sz="0" w:space="0" w:color="auto"/>
                              </w:divBdr>
                              <w:divsChild>
                                <w:div w:id="170872920">
                                  <w:marLeft w:val="0"/>
                                  <w:marRight w:val="0"/>
                                  <w:marTop w:val="0"/>
                                  <w:marBottom w:val="0"/>
                                  <w:divBdr>
                                    <w:top w:val="none" w:sz="0" w:space="0" w:color="auto"/>
                                    <w:left w:val="none" w:sz="0" w:space="0" w:color="auto"/>
                                    <w:bottom w:val="none" w:sz="0" w:space="0" w:color="auto"/>
                                    <w:right w:val="none" w:sz="0" w:space="0" w:color="auto"/>
                                  </w:divBdr>
                                  <w:divsChild>
                                    <w:div w:id="8415660">
                                      <w:marLeft w:val="0"/>
                                      <w:marRight w:val="0"/>
                                      <w:marTop w:val="0"/>
                                      <w:marBottom w:val="0"/>
                                      <w:divBdr>
                                        <w:top w:val="none" w:sz="0" w:space="0" w:color="auto"/>
                                        <w:left w:val="none" w:sz="0" w:space="0" w:color="auto"/>
                                        <w:bottom w:val="none" w:sz="0" w:space="0" w:color="auto"/>
                                        <w:right w:val="none" w:sz="0" w:space="0" w:color="auto"/>
                                      </w:divBdr>
                                      <w:divsChild>
                                        <w:div w:id="1806310232">
                                          <w:marLeft w:val="1200"/>
                                          <w:marRight w:val="1200"/>
                                          <w:marTop w:val="0"/>
                                          <w:marBottom w:val="0"/>
                                          <w:divBdr>
                                            <w:top w:val="none" w:sz="0" w:space="0" w:color="auto"/>
                                            <w:left w:val="none" w:sz="0" w:space="0" w:color="auto"/>
                                            <w:bottom w:val="none" w:sz="0" w:space="0" w:color="auto"/>
                                            <w:right w:val="none" w:sz="0" w:space="0" w:color="auto"/>
                                          </w:divBdr>
                                          <w:divsChild>
                                            <w:div w:id="1138574207">
                                              <w:marLeft w:val="0"/>
                                              <w:marRight w:val="0"/>
                                              <w:marTop w:val="0"/>
                                              <w:marBottom w:val="0"/>
                                              <w:divBdr>
                                                <w:top w:val="none" w:sz="0" w:space="0" w:color="auto"/>
                                                <w:left w:val="none" w:sz="0" w:space="0" w:color="auto"/>
                                                <w:bottom w:val="none" w:sz="0" w:space="0" w:color="auto"/>
                                                <w:right w:val="none" w:sz="0" w:space="0" w:color="auto"/>
                                              </w:divBdr>
                                              <w:divsChild>
                                                <w:div w:id="810751830">
                                                  <w:marLeft w:val="0"/>
                                                  <w:marRight w:val="0"/>
                                                  <w:marTop w:val="0"/>
                                                  <w:marBottom w:val="0"/>
                                                  <w:divBdr>
                                                    <w:top w:val="none" w:sz="0" w:space="0" w:color="auto"/>
                                                    <w:left w:val="none" w:sz="0" w:space="0" w:color="auto"/>
                                                    <w:bottom w:val="none" w:sz="0" w:space="0" w:color="auto"/>
                                                    <w:right w:val="none" w:sz="0" w:space="0" w:color="auto"/>
                                                  </w:divBdr>
                                                  <w:divsChild>
                                                    <w:div w:id="441919011">
                                                      <w:marLeft w:val="0"/>
                                                      <w:marRight w:val="0"/>
                                                      <w:marTop w:val="0"/>
                                                      <w:marBottom w:val="0"/>
                                                      <w:divBdr>
                                                        <w:top w:val="none" w:sz="0" w:space="0" w:color="auto"/>
                                                        <w:left w:val="none" w:sz="0" w:space="0" w:color="auto"/>
                                                        <w:bottom w:val="none" w:sz="0" w:space="0" w:color="auto"/>
                                                        <w:right w:val="none" w:sz="0" w:space="0" w:color="auto"/>
                                                      </w:divBdr>
                                                      <w:divsChild>
                                                        <w:div w:id="1633560453">
                                                          <w:marLeft w:val="0"/>
                                                          <w:marRight w:val="0"/>
                                                          <w:marTop w:val="0"/>
                                                          <w:marBottom w:val="0"/>
                                                          <w:divBdr>
                                                            <w:top w:val="none" w:sz="0" w:space="0" w:color="auto"/>
                                                            <w:left w:val="none" w:sz="0" w:space="0" w:color="auto"/>
                                                            <w:bottom w:val="none" w:sz="0" w:space="0" w:color="auto"/>
                                                            <w:right w:val="none" w:sz="0" w:space="0" w:color="auto"/>
                                                          </w:divBdr>
                                                          <w:divsChild>
                                                            <w:div w:id="1798327677">
                                                              <w:marLeft w:val="0"/>
                                                              <w:marRight w:val="0"/>
                                                              <w:marTop w:val="0"/>
                                                              <w:marBottom w:val="0"/>
                                                              <w:divBdr>
                                                                <w:top w:val="none" w:sz="0" w:space="0" w:color="auto"/>
                                                                <w:left w:val="none" w:sz="0" w:space="0" w:color="auto"/>
                                                                <w:bottom w:val="none" w:sz="0" w:space="0" w:color="auto"/>
                                                                <w:right w:val="none" w:sz="0" w:space="0" w:color="auto"/>
                                                              </w:divBdr>
                                                              <w:divsChild>
                                                                <w:div w:id="1372805859">
                                                                  <w:marLeft w:val="0"/>
                                                                  <w:marRight w:val="0"/>
                                                                  <w:marTop w:val="0"/>
                                                                  <w:marBottom w:val="0"/>
                                                                  <w:divBdr>
                                                                    <w:top w:val="none" w:sz="0" w:space="0" w:color="auto"/>
                                                                    <w:left w:val="none" w:sz="0" w:space="0" w:color="auto"/>
                                                                    <w:bottom w:val="none" w:sz="0" w:space="0" w:color="auto"/>
                                                                    <w:right w:val="none" w:sz="0" w:space="0" w:color="auto"/>
                                                                  </w:divBdr>
                                                                  <w:divsChild>
                                                                    <w:div w:id="142701238">
                                                                      <w:marLeft w:val="0"/>
                                                                      <w:marRight w:val="0"/>
                                                                      <w:marTop w:val="0"/>
                                                                      <w:marBottom w:val="0"/>
                                                                      <w:divBdr>
                                                                        <w:top w:val="none" w:sz="0" w:space="0" w:color="auto"/>
                                                                        <w:left w:val="none" w:sz="0" w:space="0" w:color="auto"/>
                                                                        <w:bottom w:val="none" w:sz="0" w:space="0" w:color="auto"/>
                                                                        <w:right w:val="none" w:sz="0" w:space="0" w:color="auto"/>
                                                                      </w:divBdr>
                                                                      <w:divsChild>
                                                                        <w:div w:id="52239355">
                                                                          <w:marLeft w:val="0"/>
                                                                          <w:marRight w:val="0"/>
                                                                          <w:marTop w:val="0"/>
                                                                          <w:marBottom w:val="0"/>
                                                                          <w:divBdr>
                                                                            <w:top w:val="none" w:sz="0" w:space="0" w:color="auto"/>
                                                                            <w:left w:val="none" w:sz="0" w:space="0" w:color="auto"/>
                                                                            <w:bottom w:val="none" w:sz="0" w:space="0" w:color="auto"/>
                                                                            <w:right w:val="none" w:sz="0" w:space="0" w:color="auto"/>
                                                                          </w:divBdr>
                                                                        </w:div>
                                                                      </w:divsChild>
                                                                    </w:div>
                                                                    <w:div w:id="1131552106">
                                                                      <w:marLeft w:val="0"/>
                                                                      <w:marRight w:val="0"/>
                                                                      <w:marTop w:val="0"/>
                                                                      <w:marBottom w:val="0"/>
                                                                      <w:divBdr>
                                                                        <w:top w:val="none" w:sz="0" w:space="0" w:color="auto"/>
                                                                        <w:left w:val="none" w:sz="0" w:space="0" w:color="auto"/>
                                                                        <w:bottom w:val="none" w:sz="0" w:space="0" w:color="auto"/>
                                                                        <w:right w:val="none" w:sz="0" w:space="0" w:color="auto"/>
                                                                      </w:divBdr>
                                                                      <w:divsChild>
                                                                        <w:div w:id="7437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116919">
      <w:bodyDiv w:val="1"/>
      <w:marLeft w:val="0"/>
      <w:marRight w:val="0"/>
      <w:marTop w:val="0"/>
      <w:marBottom w:val="0"/>
      <w:divBdr>
        <w:top w:val="none" w:sz="0" w:space="0" w:color="auto"/>
        <w:left w:val="none" w:sz="0" w:space="0" w:color="auto"/>
        <w:bottom w:val="none" w:sz="0" w:space="0" w:color="auto"/>
        <w:right w:val="none" w:sz="0" w:space="0" w:color="auto"/>
      </w:divBdr>
      <w:divsChild>
        <w:div w:id="767695068">
          <w:marLeft w:val="0"/>
          <w:marRight w:val="0"/>
          <w:marTop w:val="0"/>
          <w:marBottom w:val="0"/>
          <w:divBdr>
            <w:top w:val="none" w:sz="0" w:space="0" w:color="auto"/>
            <w:left w:val="none" w:sz="0" w:space="0" w:color="auto"/>
            <w:bottom w:val="none" w:sz="0" w:space="0" w:color="auto"/>
            <w:right w:val="none" w:sz="0" w:space="0" w:color="auto"/>
          </w:divBdr>
          <w:divsChild>
            <w:div w:id="1047140041">
              <w:marLeft w:val="0"/>
              <w:marRight w:val="0"/>
              <w:marTop w:val="0"/>
              <w:marBottom w:val="0"/>
              <w:divBdr>
                <w:top w:val="none" w:sz="0" w:space="0" w:color="auto"/>
                <w:left w:val="none" w:sz="0" w:space="0" w:color="auto"/>
                <w:bottom w:val="none" w:sz="0" w:space="0" w:color="auto"/>
                <w:right w:val="none" w:sz="0" w:space="0" w:color="auto"/>
              </w:divBdr>
              <w:divsChild>
                <w:div w:id="1088112410">
                  <w:marLeft w:val="0"/>
                  <w:marRight w:val="0"/>
                  <w:marTop w:val="0"/>
                  <w:marBottom w:val="0"/>
                  <w:divBdr>
                    <w:top w:val="none" w:sz="0" w:space="0" w:color="auto"/>
                    <w:left w:val="none" w:sz="0" w:space="0" w:color="auto"/>
                    <w:bottom w:val="none" w:sz="0" w:space="0" w:color="auto"/>
                    <w:right w:val="none" w:sz="0" w:space="0" w:color="auto"/>
                  </w:divBdr>
                  <w:divsChild>
                    <w:div w:id="663356371">
                      <w:marLeft w:val="0"/>
                      <w:marRight w:val="0"/>
                      <w:marTop w:val="0"/>
                      <w:marBottom w:val="300"/>
                      <w:divBdr>
                        <w:top w:val="none" w:sz="0" w:space="0" w:color="auto"/>
                        <w:left w:val="none" w:sz="0" w:space="0" w:color="auto"/>
                        <w:bottom w:val="none" w:sz="0" w:space="0" w:color="auto"/>
                        <w:right w:val="none" w:sz="0" w:space="0" w:color="auto"/>
                      </w:divBdr>
                      <w:divsChild>
                        <w:div w:id="173434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692537">
      <w:bodyDiv w:val="1"/>
      <w:marLeft w:val="0"/>
      <w:marRight w:val="0"/>
      <w:marTop w:val="0"/>
      <w:marBottom w:val="0"/>
      <w:divBdr>
        <w:top w:val="none" w:sz="0" w:space="0" w:color="auto"/>
        <w:left w:val="none" w:sz="0" w:space="0" w:color="auto"/>
        <w:bottom w:val="none" w:sz="0" w:space="0" w:color="auto"/>
        <w:right w:val="none" w:sz="0" w:space="0" w:color="auto"/>
      </w:divBdr>
      <w:divsChild>
        <w:div w:id="945042170">
          <w:marLeft w:val="0"/>
          <w:marRight w:val="0"/>
          <w:marTop w:val="0"/>
          <w:marBottom w:val="0"/>
          <w:divBdr>
            <w:top w:val="none" w:sz="0" w:space="0" w:color="auto"/>
            <w:left w:val="none" w:sz="0" w:space="0" w:color="auto"/>
            <w:bottom w:val="none" w:sz="0" w:space="0" w:color="auto"/>
            <w:right w:val="none" w:sz="0" w:space="0" w:color="auto"/>
          </w:divBdr>
          <w:divsChild>
            <w:div w:id="1049306710">
              <w:marLeft w:val="0"/>
              <w:marRight w:val="0"/>
              <w:marTop w:val="0"/>
              <w:marBottom w:val="0"/>
              <w:divBdr>
                <w:top w:val="none" w:sz="0" w:space="0" w:color="auto"/>
                <w:left w:val="none" w:sz="0" w:space="0" w:color="auto"/>
                <w:bottom w:val="none" w:sz="0" w:space="0" w:color="auto"/>
                <w:right w:val="none" w:sz="0" w:space="0" w:color="auto"/>
              </w:divBdr>
              <w:divsChild>
                <w:div w:id="340623290">
                  <w:marLeft w:val="0"/>
                  <w:marRight w:val="0"/>
                  <w:marTop w:val="0"/>
                  <w:marBottom w:val="0"/>
                  <w:divBdr>
                    <w:top w:val="none" w:sz="0" w:space="0" w:color="auto"/>
                    <w:left w:val="none" w:sz="0" w:space="0" w:color="auto"/>
                    <w:bottom w:val="none" w:sz="0" w:space="0" w:color="auto"/>
                    <w:right w:val="none" w:sz="0" w:space="0" w:color="auto"/>
                  </w:divBdr>
                  <w:divsChild>
                    <w:div w:id="648559664">
                      <w:marLeft w:val="0"/>
                      <w:marRight w:val="0"/>
                      <w:marTop w:val="0"/>
                      <w:marBottom w:val="300"/>
                      <w:divBdr>
                        <w:top w:val="none" w:sz="0" w:space="0" w:color="auto"/>
                        <w:left w:val="none" w:sz="0" w:space="0" w:color="auto"/>
                        <w:bottom w:val="none" w:sz="0" w:space="0" w:color="auto"/>
                        <w:right w:val="none" w:sz="0" w:space="0" w:color="auto"/>
                      </w:divBdr>
                      <w:divsChild>
                        <w:div w:id="65556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655361">
      <w:bodyDiv w:val="1"/>
      <w:marLeft w:val="0"/>
      <w:marRight w:val="0"/>
      <w:marTop w:val="0"/>
      <w:marBottom w:val="0"/>
      <w:divBdr>
        <w:top w:val="none" w:sz="0" w:space="0" w:color="auto"/>
        <w:left w:val="none" w:sz="0" w:space="0" w:color="auto"/>
        <w:bottom w:val="none" w:sz="0" w:space="0" w:color="auto"/>
        <w:right w:val="none" w:sz="0" w:space="0" w:color="auto"/>
      </w:divBdr>
      <w:divsChild>
        <w:div w:id="331954048">
          <w:marLeft w:val="0"/>
          <w:marRight w:val="0"/>
          <w:marTop w:val="0"/>
          <w:marBottom w:val="0"/>
          <w:divBdr>
            <w:top w:val="none" w:sz="0" w:space="0" w:color="auto"/>
            <w:left w:val="none" w:sz="0" w:space="0" w:color="auto"/>
            <w:bottom w:val="none" w:sz="0" w:space="0" w:color="auto"/>
            <w:right w:val="none" w:sz="0" w:space="0" w:color="auto"/>
          </w:divBdr>
          <w:divsChild>
            <w:div w:id="1155216812">
              <w:marLeft w:val="0"/>
              <w:marRight w:val="0"/>
              <w:marTop w:val="0"/>
              <w:marBottom w:val="0"/>
              <w:divBdr>
                <w:top w:val="none" w:sz="0" w:space="0" w:color="auto"/>
                <w:left w:val="none" w:sz="0" w:space="0" w:color="auto"/>
                <w:bottom w:val="none" w:sz="0" w:space="0" w:color="auto"/>
                <w:right w:val="none" w:sz="0" w:space="0" w:color="auto"/>
              </w:divBdr>
              <w:divsChild>
                <w:div w:id="1869292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31359800">
      <w:bodyDiv w:val="1"/>
      <w:marLeft w:val="0"/>
      <w:marRight w:val="0"/>
      <w:marTop w:val="0"/>
      <w:marBottom w:val="0"/>
      <w:divBdr>
        <w:top w:val="none" w:sz="0" w:space="0" w:color="auto"/>
        <w:left w:val="none" w:sz="0" w:space="0" w:color="auto"/>
        <w:bottom w:val="none" w:sz="0" w:space="0" w:color="auto"/>
        <w:right w:val="none" w:sz="0" w:space="0" w:color="auto"/>
      </w:divBdr>
      <w:divsChild>
        <w:div w:id="985163895">
          <w:marLeft w:val="0"/>
          <w:marRight w:val="0"/>
          <w:marTop w:val="0"/>
          <w:marBottom w:val="0"/>
          <w:divBdr>
            <w:top w:val="none" w:sz="0" w:space="0" w:color="auto"/>
            <w:left w:val="none" w:sz="0" w:space="0" w:color="auto"/>
            <w:bottom w:val="none" w:sz="0" w:space="0" w:color="auto"/>
            <w:right w:val="none" w:sz="0" w:space="0" w:color="auto"/>
          </w:divBdr>
          <w:divsChild>
            <w:div w:id="816386521">
              <w:marLeft w:val="0"/>
              <w:marRight w:val="0"/>
              <w:marTop w:val="0"/>
              <w:marBottom w:val="0"/>
              <w:divBdr>
                <w:top w:val="none" w:sz="0" w:space="0" w:color="auto"/>
                <w:left w:val="none" w:sz="0" w:space="0" w:color="auto"/>
                <w:bottom w:val="none" w:sz="0" w:space="0" w:color="auto"/>
                <w:right w:val="none" w:sz="0" w:space="0" w:color="auto"/>
              </w:divBdr>
              <w:divsChild>
                <w:div w:id="238903547">
                  <w:marLeft w:val="0"/>
                  <w:marRight w:val="0"/>
                  <w:marTop w:val="0"/>
                  <w:marBottom w:val="0"/>
                  <w:divBdr>
                    <w:top w:val="none" w:sz="0" w:space="0" w:color="auto"/>
                    <w:left w:val="none" w:sz="0" w:space="0" w:color="auto"/>
                    <w:bottom w:val="none" w:sz="0" w:space="0" w:color="auto"/>
                    <w:right w:val="none" w:sz="0" w:space="0" w:color="auto"/>
                  </w:divBdr>
                  <w:divsChild>
                    <w:div w:id="1616209454">
                      <w:marLeft w:val="0"/>
                      <w:marRight w:val="0"/>
                      <w:marTop w:val="0"/>
                      <w:marBottom w:val="0"/>
                      <w:divBdr>
                        <w:top w:val="none" w:sz="0" w:space="0" w:color="auto"/>
                        <w:left w:val="none" w:sz="0" w:space="0" w:color="auto"/>
                        <w:bottom w:val="none" w:sz="0" w:space="0" w:color="auto"/>
                        <w:right w:val="none" w:sz="0" w:space="0" w:color="auto"/>
                      </w:divBdr>
                      <w:divsChild>
                        <w:div w:id="841120148">
                          <w:marLeft w:val="0"/>
                          <w:marRight w:val="0"/>
                          <w:marTop w:val="0"/>
                          <w:marBottom w:val="0"/>
                          <w:divBdr>
                            <w:top w:val="none" w:sz="0" w:space="0" w:color="auto"/>
                            <w:left w:val="none" w:sz="0" w:space="0" w:color="auto"/>
                            <w:bottom w:val="none" w:sz="0" w:space="0" w:color="auto"/>
                            <w:right w:val="none" w:sz="0" w:space="0" w:color="auto"/>
                          </w:divBdr>
                          <w:divsChild>
                            <w:div w:id="1774010567">
                              <w:marLeft w:val="0"/>
                              <w:marRight w:val="0"/>
                              <w:marTop w:val="0"/>
                              <w:marBottom w:val="0"/>
                              <w:divBdr>
                                <w:top w:val="none" w:sz="0" w:space="0" w:color="auto"/>
                                <w:left w:val="none" w:sz="0" w:space="0" w:color="auto"/>
                                <w:bottom w:val="none" w:sz="0" w:space="0" w:color="auto"/>
                                <w:right w:val="none" w:sz="0" w:space="0" w:color="auto"/>
                              </w:divBdr>
                              <w:divsChild>
                                <w:div w:id="1270116553">
                                  <w:marLeft w:val="0"/>
                                  <w:marRight w:val="0"/>
                                  <w:marTop w:val="0"/>
                                  <w:marBottom w:val="0"/>
                                  <w:divBdr>
                                    <w:top w:val="none" w:sz="0" w:space="0" w:color="auto"/>
                                    <w:left w:val="none" w:sz="0" w:space="0" w:color="auto"/>
                                    <w:bottom w:val="none" w:sz="0" w:space="0" w:color="auto"/>
                                    <w:right w:val="none" w:sz="0" w:space="0" w:color="auto"/>
                                  </w:divBdr>
                                  <w:divsChild>
                                    <w:div w:id="1337270389">
                                      <w:marLeft w:val="0"/>
                                      <w:marRight w:val="0"/>
                                      <w:marTop w:val="0"/>
                                      <w:marBottom w:val="0"/>
                                      <w:divBdr>
                                        <w:top w:val="none" w:sz="0" w:space="0" w:color="auto"/>
                                        <w:left w:val="none" w:sz="0" w:space="0" w:color="auto"/>
                                        <w:bottom w:val="none" w:sz="0" w:space="0" w:color="auto"/>
                                        <w:right w:val="none" w:sz="0" w:space="0" w:color="auto"/>
                                      </w:divBdr>
                                      <w:divsChild>
                                        <w:div w:id="10670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2140553">
      <w:bodyDiv w:val="1"/>
      <w:marLeft w:val="0"/>
      <w:marRight w:val="0"/>
      <w:marTop w:val="0"/>
      <w:marBottom w:val="0"/>
      <w:divBdr>
        <w:top w:val="none" w:sz="0" w:space="0" w:color="auto"/>
        <w:left w:val="none" w:sz="0" w:space="0" w:color="auto"/>
        <w:bottom w:val="none" w:sz="0" w:space="0" w:color="auto"/>
        <w:right w:val="none" w:sz="0" w:space="0" w:color="auto"/>
      </w:divBdr>
    </w:div>
    <w:div w:id="1134056590">
      <w:bodyDiv w:val="1"/>
      <w:marLeft w:val="0"/>
      <w:marRight w:val="0"/>
      <w:marTop w:val="0"/>
      <w:marBottom w:val="0"/>
      <w:divBdr>
        <w:top w:val="none" w:sz="0" w:space="0" w:color="auto"/>
        <w:left w:val="none" w:sz="0" w:space="0" w:color="auto"/>
        <w:bottom w:val="none" w:sz="0" w:space="0" w:color="auto"/>
        <w:right w:val="none" w:sz="0" w:space="0" w:color="auto"/>
      </w:divBdr>
      <w:divsChild>
        <w:div w:id="736825754">
          <w:marLeft w:val="0"/>
          <w:marRight w:val="0"/>
          <w:marTop w:val="0"/>
          <w:marBottom w:val="0"/>
          <w:divBdr>
            <w:top w:val="none" w:sz="0" w:space="0" w:color="auto"/>
            <w:left w:val="none" w:sz="0" w:space="0" w:color="auto"/>
            <w:bottom w:val="none" w:sz="0" w:space="0" w:color="auto"/>
            <w:right w:val="none" w:sz="0" w:space="0" w:color="auto"/>
          </w:divBdr>
          <w:divsChild>
            <w:div w:id="191260607">
              <w:marLeft w:val="0"/>
              <w:marRight w:val="0"/>
              <w:marTop w:val="0"/>
              <w:marBottom w:val="0"/>
              <w:divBdr>
                <w:top w:val="none" w:sz="0" w:space="0" w:color="auto"/>
                <w:left w:val="none" w:sz="0" w:space="0" w:color="auto"/>
                <w:bottom w:val="none" w:sz="0" w:space="0" w:color="auto"/>
                <w:right w:val="none" w:sz="0" w:space="0" w:color="auto"/>
              </w:divBdr>
              <w:divsChild>
                <w:div w:id="1514883798">
                  <w:marLeft w:val="0"/>
                  <w:marRight w:val="0"/>
                  <w:marTop w:val="0"/>
                  <w:marBottom w:val="0"/>
                  <w:divBdr>
                    <w:top w:val="none" w:sz="0" w:space="0" w:color="auto"/>
                    <w:left w:val="none" w:sz="0" w:space="0" w:color="auto"/>
                    <w:bottom w:val="none" w:sz="0" w:space="0" w:color="auto"/>
                    <w:right w:val="none" w:sz="0" w:space="0" w:color="auto"/>
                  </w:divBdr>
                  <w:divsChild>
                    <w:div w:id="1437867392">
                      <w:marLeft w:val="0"/>
                      <w:marRight w:val="0"/>
                      <w:marTop w:val="0"/>
                      <w:marBottom w:val="375"/>
                      <w:divBdr>
                        <w:top w:val="none" w:sz="0" w:space="0" w:color="auto"/>
                        <w:left w:val="none" w:sz="0" w:space="0" w:color="auto"/>
                        <w:bottom w:val="none" w:sz="0" w:space="0" w:color="auto"/>
                        <w:right w:val="none" w:sz="0" w:space="0" w:color="auto"/>
                      </w:divBdr>
                      <w:divsChild>
                        <w:div w:id="147957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338442">
      <w:bodyDiv w:val="1"/>
      <w:marLeft w:val="0"/>
      <w:marRight w:val="0"/>
      <w:marTop w:val="0"/>
      <w:marBottom w:val="0"/>
      <w:divBdr>
        <w:top w:val="none" w:sz="0" w:space="0" w:color="auto"/>
        <w:left w:val="none" w:sz="0" w:space="0" w:color="auto"/>
        <w:bottom w:val="none" w:sz="0" w:space="0" w:color="auto"/>
        <w:right w:val="none" w:sz="0" w:space="0" w:color="auto"/>
      </w:divBdr>
      <w:divsChild>
        <w:div w:id="293878496">
          <w:marLeft w:val="0"/>
          <w:marRight w:val="0"/>
          <w:marTop w:val="0"/>
          <w:marBottom w:val="0"/>
          <w:divBdr>
            <w:top w:val="none" w:sz="0" w:space="0" w:color="auto"/>
            <w:left w:val="none" w:sz="0" w:space="0" w:color="auto"/>
            <w:bottom w:val="none" w:sz="0" w:space="0" w:color="auto"/>
            <w:right w:val="none" w:sz="0" w:space="0" w:color="auto"/>
          </w:divBdr>
          <w:divsChild>
            <w:div w:id="2090031578">
              <w:marLeft w:val="0"/>
              <w:marRight w:val="0"/>
              <w:marTop w:val="0"/>
              <w:marBottom w:val="0"/>
              <w:divBdr>
                <w:top w:val="none" w:sz="0" w:space="0" w:color="auto"/>
                <w:left w:val="none" w:sz="0" w:space="0" w:color="auto"/>
                <w:bottom w:val="none" w:sz="0" w:space="0" w:color="auto"/>
                <w:right w:val="none" w:sz="0" w:space="0" w:color="auto"/>
              </w:divBdr>
              <w:divsChild>
                <w:div w:id="1478184742">
                  <w:marLeft w:val="0"/>
                  <w:marRight w:val="0"/>
                  <w:marTop w:val="0"/>
                  <w:marBottom w:val="0"/>
                  <w:divBdr>
                    <w:top w:val="none" w:sz="0" w:space="0" w:color="auto"/>
                    <w:left w:val="none" w:sz="0" w:space="0" w:color="auto"/>
                    <w:bottom w:val="none" w:sz="0" w:space="0" w:color="auto"/>
                    <w:right w:val="none" w:sz="0" w:space="0" w:color="auto"/>
                  </w:divBdr>
                  <w:divsChild>
                    <w:div w:id="165486610">
                      <w:marLeft w:val="0"/>
                      <w:marRight w:val="0"/>
                      <w:marTop w:val="0"/>
                      <w:marBottom w:val="300"/>
                      <w:divBdr>
                        <w:top w:val="none" w:sz="0" w:space="0" w:color="auto"/>
                        <w:left w:val="none" w:sz="0" w:space="0" w:color="auto"/>
                        <w:bottom w:val="none" w:sz="0" w:space="0" w:color="auto"/>
                        <w:right w:val="none" w:sz="0" w:space="0" w:color="auto"/>
                      </w:divBdr>
                      <w:divsChild>
                        <w:div w:id="14418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988693">
      <w:bodyDiv w:val="1"/>
      <w:marLeft w:val="0"/>
      <w:marRight w:val="0"/>
      <w:marTop w:val="0"/>
      <w:marBottom w:val="0"/>
      <w:divBdr>
        <w:top w:val="none" w:sz="0" w:space="0" w:color="auto"/>
        <w:left w:val="none" w:sz="0" w:space="0" w:color="auto"/>
        <w:bottom w:val="none" w:sz="0" w:space="0" w:color="auto"/>
        <w:right w:val="none" w:sz="0" w:space="0" w:color="auto"/>
      </w:divBdr>
      <w:divsChild>
        <w:div w:id="1214923085">
          <w:marLeft w:val="0"/>
          <w:marRight w:val="0"/>
          <w:marTop w:val="0"/>
          <w:marBottom w:val="0"/>
          <w:divBdr>
            <w:top w:val="none" w:sz="0" w:space="0" w:color="auto"/>
            <w:left w:val="none" w:sz="0" w:space="0" w:color="auto"/>
            <w:bottom w:val="none" w:sz="0" w:space="0" w:color="auto"/>
            <w:right w:val="none" w:sz="0" w:space="0" w:color="auto"/>
          </w:divBdr>
          <w:divsChild>
            <w:div w:id="771507730">
              <w:marLeft w:val="0"/>
              <w:marRight w:val="0"/>
              <w:marTop w:val="0"/>
              <w:marBottom w:val="0"/>
              <w:divBdr>
                <w:top w:val="none" w:sz="0" w:space="0" w:color="auto"/>
                <w:left w:val="none" w:sz="0" w:space="0" w:color="auto"/>
                <w:bottom w:val="none" w:sz="0" w:space="0" w:color="auto"/>
                <w:right w:val="none" w:sz="0" w:space="0" w:color="auto"/>
              </w:divBdr>
              <w:divsChild>
                <w:div w:id="1017344179">
                  <w:marLeft w:val="0"/>
                  <w:marRight w:val="0"/>
                  <w:marTop w:val="0"/>
                  <w:marBottom w:val="0"/>
                  <w:divBdr>
                    <w:top w:val="none" w:sz="0" w:space="0" w:color="auto"/>
                    <w:left w:val="none" w:sz="0" w:space="0" w:color="auto"/>
                    <w:bottom w:val="none" w:sz="0" w:space="0" w:color="auto"/>
                    <w:right w:val="none" w:sz="0" w:space="0" w:color="auto"/>
                  </w:divBdr>
                  <w:divsChild>
                    <w:div w:id="574244146">
                      <w:marLeft w:val="0"/>
                      <w:marRight w:val="0"/>
                      <w:marTop w:val="0"/>
                      <w:marBottom w:val="300"/>
                      <w:divBdr>
                        <w:top w:val="none" w:sz="0" w:space="0" w:color="auto"/>
                        <w:left w:val="none" w:sz="0" w:space="0" w:color="auto"/>
                        <w:bottom w:val="none" w:sz="0" w:space="0" w:color="auto"/>
                        <w:right w:val="none" w:sz="0" w:space="0" w:color="auto"/>
                      </w:divBdr>
                      <w:divsChild>
                        <w:div w:id="8261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843095">
      <w:bodyDiv w:val="1"/>
      <w:marLeft w:val="0"/>
      <w:marRight w:val="0"/>
      <w:marTop w:val="0"/>
      <w:marBottom w:val="0"/>
      <w:divBdr>
        <w:top w:val="none" w:sz="0" w:space="0" w:color="auto"/>
        <w:left w:val="none" w:sz="0" w:space="0" w:color="auto"/>
        <w:bottom w:val="none" w:sz="0" w:space="0" w:color="auto"/>
        <w:right w:val="none" w:sz="0" w:space="0" w:color="auto"/>
      </w:divBdr>
      <w:divsChild>
        <w:div w:id="825361567">
          <w:marLeft w:val="0"/>
          <w:marRight w:val="0"/>
          <w:marTop w:val="0"/>
          <w:marBottom w:val="0"/>
          <w:divBdr>
            <w:top w:val="none" w:sz="0" w:space="0" w:color="auto"/>
            <w:left w:val="none" w:sz="0" w:space="0" w:color="auto"/>
            <w:bottom w:val="none" w:sz="0" w:space="0" w:color="auto"/>
            <w:right w:val="none" w:sz="0" w:space="0" w:color="auto"/>
          </w:divBdr>
          <w:divsChild>
            <w:div w:id="424376670">
              <w:marLeft w:val="0"/>
              <w:marRight w:val="0"/>
              <w:marTop w:val="0"/>
              <w:marBottom w:val="0"/>
              <w:divBdr>
                <w:top w:val="none" w:sz="0" w:space="0" w:color="auto"/>
                <w:left w:val="none" w:sz="0" w:space="0" w:color="auto"/>
                <w:bottom w:val="none" w:sz="0" w:space="0" w:color="auto"/>
                <w:right w:val="none" w:sz="0" w:space="0" w:color="auto"/>
              </w:divBdr>
              <w:divsChild>
                <w:div w:id="42413080">
                  <w:marLeft w:val="0"/>
                  <w:marRight w:val="0"/>
                  <w:marTop w:val="0"/>
                  <w:marBottom w:val="0"/>
                  <w:divBdr>
                    <w:top w:val="none" w:sz="0" w:space="0" w:color="auto"/>
                    <w:left w:val="none" w:sz="0" w:space="0" w:color="auto"/>
                    <w:bottom w:val="none" w:sz="0" w:space="0" w:color="auto"/>
                    <w:right w:val="none" w:sz="0" w:space="0" w:color="auto"/>
                  </w:divBdr>
                  <w:divsChild>
                    <w:div w:id="2007509262">
                      <w:marLeft w:val="0"/>
                      <w:marRight w:val="0"/>
                      <w:marTop w:val="0"/>
                      <w:marBottom w:val="375"/>
                      <w:divBdr>
                        <w:top w:val="none" w:sz="0" w:space="0" w:color="auto"/>
                        <w:left w:val="none" w:sz="0" w:space="0" w:color="auto"/>
                        <w:bottom w:val="none" w:sz="0" w:space="0" w:color="auto"/>
                        <w:right w:val="none" w:sz="0" w:space="0" w:color="auto"/>
                      </w:divBdr>
                      <w:divsChild>
                        <w:div w:id="11472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845327">
      <w:bodyDiv w:val="1"/>
      <w:marLeft w:val="0"/>
      <w:marRight w:val="0"/>
      <w:marTop w:val="0"/>
      <w:marBottom w:val="0"/>
      <w:divBdr>
        <w:top w:val="none" w:sz="0" w:space="0" w:color="auto"/>
        <w:left w:val="none" w:sz="0" w:space="0" w:color="auto"/>
        <w:bottom w:val="none" w:sz="0" w:space="0" w:color="auto"/>
        <w:right w:val="none" w:sz="0" w:space="0" w:color="auto"/>
      </w:divBdr>
      <w:divsChild>
        <w:div w:id="858666913">
          <w:marLeft w:val="0"/>
          <w:marRight w:val="0"/>
          <w:marTop w:val="0"/>
          <w:marBottom w:val="0"/>
          <w:divBdr>
            <w:top w:val="none" w:sz="0" w:space="0" w:color="auto"/>
            <w:left w:val="none" w:sz="0" w:space="0" w:color="auto"/>
            <w:bottom w:val="none" w:sz="0" w:space="0" w:color="auto"/>
            <w:right w:val="none" w:sz="0" w:space="0" w:color="auto"/>
          </w:divBdr>
          <w:divsChild>
            <w:div w:id="2109501512">
              <w:marLeft w:val="0"/>
              <w:marRight w:val="0"/>
              <w:marTop w:val="0"/>
              <w:marBottom w:val="0"/>
              <w:divBdr>
                <w:top w:val="none" w:sz="0" w:space="0" w:color="auto"/>
                <w:left w:val="none" w:sz="0" w:space="0" w:color="auto"/>
                <w:bottom w:val="none" w:sz="0" w:space="0" w:color="auto"/>
                <w:right w:val="none" w:sz="0" w:space="0" w:color="auto"/>
              </w:divBdr>
              <w:divsChild>
                <w:div w:id="2062702651">
                  <w:marLeft w:val="0"/>
                  <w:marRight w:val="0"/>
                  <w:marTop w:val="0"/>
                  <w:marBottom w:val="0"/>
                  <w:divBdr>
                    <w:top w:val="none" w:sz="0" w:space="0" w:color="auto"/>
                    <w:left w:val="none" w:sz="0" w:space="0" w:color="auto"/>
                    <w:bottom w:val="none" w:sz="0" w:space="0" w:color="auto"/>
                    <w:right w:val="none" w:sz="0" w:space="0" w:color="auto"/>
                  </w:divBdr>
                  <w:divsChild>
                    <w:div w:id="2138640355">
                      <w:marLeft w:val="0"/>
                      <w:marRight w:val="0"/>
                      <w:marTop w:val="0"/>
                      <w:marBottom w:val="0"/>
                      <w:divBdr>
                        <w:top w:val="none" w:sz="0" w:space="0" w:color="auto"/>
                        <w:left w:val="none" w:sz="0" w:space="0" w:color="auto"/>
                        <w:bottom w:val="none" w:sz="0" w:space="0" w:color="auto"/>
                        <w:right w:val="none" w:sz="0" w:space="0" w:color="auto"/>
                      </w:divBdr>
                      <w:divsChild>
                        <w:div w:id="194462511">
                          <w:marLeft w:val="0"/>
                          <w:marRight w:val="0"/>
                          <w:marTop w:val="0"/>
                          <w:marBottom w:val="0"/>
                          <w:divBdr>
                            <w:top w:val="none" w:sz="0" w:space="0" w:color="auto"/>
                            <w:left w:val="none" w:sz="0" w:space="0" w:color="auto"/>
                            <w:bottom w:val="none" w:sz="0" w:space="0" w:color="auto"/>
                            <w:right w:val="none" w:sz="0" w:space="0" w:color="auto"/>
                          </w:divBdr>
                          <w:divsChild>
                            <w:div w:id="1970431794">
                              <w:marLeft w:val="0"/>
                              <w:marRight w:val="0"/>
                              <w:marTop w:val="0"/>
                              <w:marBottom w:val="0"/>
                              <w:divBdr>
                                <w:top w:val="none" w:sz="0" w:space="0" w:color="auto"/>
                                <w:left w:val="none" w:sz="0" w:space="0" w:color="auto"/>
                                <w:bottom w:val="none" w:sz="0" w:space="0" w:color="auto"/>
                                <w:right w:val="none" w:sz="0" w:space="0" w:color="auto"/>
                              </w:divBdr>
                              <w:divsChild>
                                <w:div w:id="1309168192">
                                  <w:marLeft w:val="0"/>
                                  <w:marRight w:val="0"/>
                                  <w:marTop w:val="0"/>
                                  <w:marBottom w:val="0"/>
                                  <w:divBdr>
                                    <w:top w:val="none" w:sz="0" w:space="0" w:color="auto"/>
                                    <w:left w:val="none" w:sz="0" w:space="0" w:color="auto"/>
                                    <w:bottom w:val="none" w:sz="0" w:space="0" w:color="auto"/>
                                    <w:right w:val="none" w:sz="0" w:space="0" w:color="auto"/>
                                  </w:divBdr>
                                  <w:divsChild>
                                    <w:div w:id="1492788539">
                                      <w:marLeft w:val="0"/>
                                      <w:marRight w:val="0"/>
                                      <w:marTop w:val="0"/>
                                      <w:marBottom w:val="0"/>
                                      <w:divBdr>
                                        <w:top w:val="none" w:sz="0" w:space="0" w:color="auto"/>
                                        <w:left w:val="none" w:sz="0" w:space="0" w:color="auto"/>
                                        <w:bottom w:val="none" w:sz="0" w:space="0" w:color="auto"/>
                                        <w:right w:val="none" w:sz="0" w:space="0" w:color="auto"/>
                                      </w:divBdr>
                                      <w:divsChild>
                                        <w:div w:id="13096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733519">
      <w:bodyDiv w:val="1"/>
      <w:marLeft w:val="0"/>
      <w:marRight w:val="0"/>
      <w:marTop w:val="0"/>
      <w:marBottom w:val="0"/>
      <w:divBdr>
        <w:top w:val="none" w:sz="0" w:space="0" w:color="auto"/>
        <w:left w:val="none" w:sz="0" w:space="0" w:color="auto"/>
        <w:bottom w:val="none" w:sz="0" w:space="0" w:color="auto"/>
        <w:right w:val="none" w:sz="0" w:space="0" w:color="auto"/>
      </w:divBdr>
      <w:divsChild>
        <w:div w:id="1763605768">
          <w:marLeft w:val="0"/>
          <w:marRight w:val="0"/>
          <w:marTop w:val="0"/>
          <w:marBottom w:val="0"/>
          <w:divBdr>
            <w:top w:val="none" w:sz="0" w:space="0" w:color="auto"/>
            <w:left w:val="none" w:sz="0" w:space="0" w:color="auto"/>
            <w:bottom w:val="none" w:sz="0" w:space="0" w:color="auto"/>
            <w:right w:val="none" w:sz="0" w:space="0" w:color="auto"/>
          </w:divBdr>
          <w:divsChild>
            <w:div w:id="592201108">
              <w:marLeft w:val="0"/>
              <w:marRight w:val="0"/>
              <w:marTop w:val="0"/>
              <w:marBottom w:val="0"/>
              <w:divBdr>
                <w:top w:val="none" w:sz="0" w:space="0" w:color="auto"/>
                <w:left w:val="none" w:sz="0" w:space="0" w:color="auto"/>
                <w:bottom w:val="none" w:sz="0" w:space="0" w:color="auto"/>
                <w:right w:val="none" w:sz="0" w:space="0" w:color="auto"/>
              </w:divBdr>
              <w:divsChild>
                <w:div w:id="511726086">
                  <w:marLeft w:val="0"/>
                  <w:marRight w:val="0"/>
                  <w:marTop w:val="240"/>
                  <w:marBottom w:val="0"/>
                  <w:divBdr>
                    <w:top w:val="none" w:sz="0" w:space="0" w:color="auto"/>
                    <w:left w:val="none" w:sz="0" w:space="0" w:color="auto"/>
                    <w:bottom w:val="none" w:sz="0" w:space="0" w:color="auto"/>
                    <w:right w:val="none" w:sz="0" w:space="0" w:color="auto"/>
                  </w:divBdr>
                </w:div>
                <w:div w:id="910120725">
                  <w:marLeft w:val="0"/>
                  <w:marRight w:val="0"/>
                  <w:marTop w:val="240"/>
                  <w:marBottom w:val="0"/>
                  <w:divBdr>
                    <w:top w:val="none" w:sz="0" w:space="0" w:color="auto"/>
                    <w:left w:val="none" w:sz="0" w:space="0" w:color="auto"/>
                    <w:bottom w:val="none" w:sz="0" w:space="0" w:color="auto"/>
                    <w:right w:val="none" w:sz="0" w:space="0" w:color="auto"/>
                  </w:divBdr>
                </w:div>
                <w:div w:id="921375545">
                  <w:marLeft w:val="0"/>
                  <w:marRight w:val="0"/>
                  <w:marTop w:val="240"/>
                  <w:marBottom w:val="0"/>
                  <w:divBdr>
                    <w:top w:val="none" w:sz="0" w:space="0" w:color="auto"/>
                    <w:left w:val="none" w:sz="0" w:space="0" w:color="auto"/>
                    <w:bottom w:val="none" w:sz="0" w:space="0" w:color="auto"/>
                    <w:right w:val="none" w:sz="0" w:space="0" w:color="auto"/>
                  </w:divBdr>
                </w:div>
                <w:div w:id="1179124695">
                  <w:marLeft w:val="0"/>
                  <w:marRight w:val="0"/>
                  <w:marTop w:val="240"/>
                  <w:marBottom w:val="0"/>
                  <w:divBdr>
                    <w:top w:val="none" w:sz="0" w:space="0" w:color="auto"/>
                    <w:left w:val="none" w:sz="0" w:space="0" w:color="auto"/>
                    <w:bottom w:val="none" w:sz="0" w:space="0" w:color="auto"/>
                    <w:right w:val="none" w:sz="0" w:space="0" w:color="auto"/>
                  </w:divBdr>
                </w:div>
                <w:div w:id="1246188921">
                  <w:marLeft w:val="0"/>
                  <w:marRight w:val="0"/>
                  <w:marTop w:val="240"/>
                  <w:marBottom w:val="0"/>
                  <w:divBdr>
                    <w:top w:val="none" w:sz="0" w:space="0" w:color="auto"/>
                    <w:left w:val="none" w:sz="0" w:space="0" w:color="auto"/>
                    <w:bottom w:val="none" w:sz="0" w:space="0" w:color="auto"/>
                    <w:right w:val="none" w:sz="0" w:space="0" w:color="auto"/>
                  </w:divBdr>
                </w:div>
                <w:div w:id="1521621014">
                  <w:marLeft w:val="0"/>
                  <w:marRight w:val="0"/>
                  <w:marTop w:val="240"/>
                  <w:marBottom w:val="0"/>
                  <w:divBdr>
                    <w:top w:val="none" w:sz="0" w:space="0" w:color="auto"/>
                    <w:left w:val="none" w:sz="0" w:space="0" w:color="auto"/>
                    <w:bottom w:val="none" w:sz="0" w:space="0" w:color="auto"/>
                    <w:right w:val="none" w:sz="0" w:space="0" w:color="auto"/>
                  </w:divBdr>
                </w:div>
                <w:div w:id="1802455667">
                  <w:marLeft w:val="0"/>
                  <w:marRight w:val="0"/>
                  <w:marTop w:val="240"/>
                  <w:marBottom w:val="0"/>
                  <w:divBdr>
                    <w:top w:val="none" w:sz="0" w:space="0" w:color="auto"/>
                    <w:left w:val="none" w:sz="0" w:space="0" w:color="auto"/>
                    <w:bottom w:val="none" w:sz="0" w:space="0" w:color="auto"/>
                    <w:right w:val="none" w:sz="0" w:space="0" w:color="auto"/>
                  </w:divBdr>
                </w:div>
                <w:div w:id="194610971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147553081">
      <w:bodyDiv w:val="1"/>
      <w:marLeft w:val="0"/>
      <w:marRight w:val="0"/>
      <w:marTop w:val="0"/>
      <w:marBottom w:val="0"/>
      <w:divBdr>
        <w:top w:val="none" w:sz="0" w:space="0" w:color="auto"/>
        <w:left w:val="none" w:sz="0" w:space="0" w:color="auto"/>
        <w:bottom w:val="none" w:sz="0" w:space="0" w:color="auto"/>
        <w:right w:val="none" w:sz="0" w:space="0" w:color="auto"/>
      </w:divBdr>
      <w:divsChild>
        <w:div w:id="128331124">
          <w:marLeft w:val="0"/>
          <w:marRight w:val="0"/>
          <w:marTop w:val="0"/>
          <w:marBottom w:val="0"/>
          <w:divBdr>
            <w:top w:val="none" w:sz="0" w:space="0" w:color="auto"/>
            <w:left w:val="none" w:sz="0" w:space="0" w:color="auto"/>
            <w:bottom w:val="none" w:sz="0" w:space="0" w:color="auto"/>
            <w:right w:val="none" w:sz="0" w:space="0" w:color="auto"/>
          </w:divBdr>
          <w:divsChild>
            <w:div w:id="1243679581">
              <w:marLeft w:val="0"/>
              <w:marRight w:val="0"/>
              <w:marTop w:val="0"/>
              <w:marBottom w:val="0"/>
              <w:divBdr>
                <w:top w:val="none" w:sz="0" w:space="0" w:color="auto"/>
                <w:left w:val="none" w:sz="0" w:space="0" w:color="auto"/>
                <w:bottom w:val="none" w:sz="0" w:space="0" w:color="auto"/>
                <w:right w:val="none" w:sz="0" w:space="0" w:color="auto"/>
              </w:divBdr>
              <w:divsChild>
                <w:div w:id="1180319694">
                  <w:marLeft w:val="0"/>
                  <w:marRight w:val="0"/>
                  <w:marTop w:val="0"/>
                  <w:marBottom w:val="0"/>
                  <w:divBdr>
                    <w:top w:val="none" w:sz="0" w:space="0" w:color="auto"/>
                    <w:left w:val="none" w:sz="0" w:space="0" w:color="auto"/>
                    <w:bottom w:val="none" w:sz="0" w:space="0" w:color="auto"/>
                    <w:right w:val="none" w:sz="0" w:space="0" w:color="auto"/>
                  </w:divBdr>
                  <w:divsChild>
                    <w:div w:id="36753321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147628455">
      <w:bodyDiv w:val="1"/>
      <w:marLeft w:val="0"/>
      <w:marRight w:val="0"/>
      <w:marTop w:val="0"/>
      <w:marBottom w:val="0"/>
      <w:divBdr>
        <w:top w:val="none" w:sz="0" w:space="0" w:color="auto"/>
        <w:left w:val="none" w:sz="0" w:space="0" w:color="auto"/>
        <w:bottom w:val="none" w:sz="0" w:space="0" w:color="auto"/>
        <w:right w:val="none" w:sz="0" w:space="0" w:color="auto"/>
      </w:divBdr>
      <w:divsChild>
        <w:div w:id="1367564690">
          <w:marLeft w:val="0"/>
          <w:marRight w:val="0"/>
          <w:marTop w:val="0"/>
          <w:marBottom w:val="0"/>
          <w:divBdr>
            <w:top w:val="none" w:sz="0" w:space="0" w:color="auto"/>
            <w:left w:val="none" w:sz="0" w:space="0" w:color="auto"/>
            <w:bottom w:val="none" w:sz="0" w:space="0" w:color="auto"/>
            <w:right w:val="none" w:sz="0" w:space="0" w:color="auto"/>
          </w:divBdr>
          <w:divsChild>
            <w:div w:id="1441342355">
              <w:marLeft w:val="0"/>
              <w:marRight w:val="0"/>
              <w:marTop w:val="0"/>
              <w:marBottom w:val="0"/>
              <w:divBdr>
                <w:top w:val="none" w:sz="0" w:space="0" w:color="auto"/>
                <w:left w:val="none" w:sz="0" w:space="0" w:color="auto"/>
                <w:bottom w:val="none" w:sz="0" w:space="0" w:color="auto"/>
                <w:right w:val="none" w:sz="0" w:space="0" w:color="auto"/>
              </w:divBdr>
              <w:divsChild>
                <w:div w:id="1611156531">
                  <w:marLeft w:val="0"/>
                  <w:marRight w:val="0"/>
                  <w:marTop w:val="0"/>
                  <w:marBottom w:val="0"/>
                  <w:divBdr>
                    <w:top w:val="none" w:sz="0" w:space="0" w:color="auto"/>
                    <w:left w:val="none" w:sz="0" w:space="0" w:color="auto"/>
                    <w:bottom w:val="none" w:sz="0" w:space="0" w:color="auto"/>
                    <w:right w:val="none" w:sz="0" w:space="0" w:color="auto"/>
                  </w:divBdr>
                  <w:divsChild>
                    <w:div w:id="1031229091">
                      <w:marLeft w:val="0"/>
                      <w:marRight w:val="0"/>
                      <w:marTop w:val="0"/>
                      <w:marBottom w:val="0"/>
                      <w:divBdr>
                        <w:top w:val="none" w:sz="0" w:space="0" w:color="auto"/>
                        <w:left w:val="none" w:sz="0" w:space="0" w:color="auto"/>
                        <w:bottom w:val="none" w:sz="0" w:space="0" w:color="auto"/>
                        <w:right w:val="none" w:sz="0" w:space="0" w:color="auto"/>
                      </w:divBdr>
                      <w:divsChild>
                        <w:div w:id="1022242604">
                          <w:marLeft w:val="0"/>
                          <w:marRight w:val="0"/>
                          <w:marTop w:val="0"/>
                          <w:marBottom w:val="0"/>
                          <w:divBdr>
                            <w:top w:val="none" w:sz="0" w:space="0" w:color="auto"/>
                            <w:left w:val="none" w:sz="0" w:space="0" w:color="auto"/>
                            <w:bottom w:val="none" w:sz="0" w:space="0" w:color="auto"/>
                            <w:right w:val="none" w:sz="0" w:space="0" w:color="auto"/>
                          </w:divBdr>
                          <w:divsChild>
                            <w:div w:id="445125521">
                              <w:marLeft w:val="0"/>
                              <w:marRight w:val="0"/>
                              <w:marTop w:val="0"/>
                              <w:marBottom w:val="0"/>
                              <w:divBdr>
                                <w:top w:val="none" w:sz="0" w:space="0" w:color="auto"/>
                                <w:left w:val="none" w:sz="0" w:space="0" w:color="auto"/>
                                <w:bottom w:val="none" w:sz="0" w:space="0" w:color="auto"/>
                                <w:right w:val="none" w:sz="0" w:space="0" w:color="auto"/>
                              </w:divBdr>
                              <w:divsChild>
                                <w:div w:id="2115713072">
                                  <w:marLeft w:val="0"/>
                                  <w:marRight w:val="0"/>
                                  <w:marTop w:val="0"/>
                                  <w:marBottom w:val="0"/>
                                  <w:divBdr>
                                    <w:top w:val="none" w:sz="0" w:space="0" w:color="auto"/>
                                    <w:left w:val="none" w:sz="0" w:space="0" w:color="auto"/>
                                    <w:bottom w:val="none" w:sz="0" w:space="0" w:color="auto"/>
                                    <w:right w:val="none" w:sz="0" w:space="0" w:color="auto"/>
                                  </w:divBdr>
                                  <w:divsChild>
                                    <w:div w:id="314796243">
                                      <w:marLeft w:val="0"/>
                                      <w:marRight w:val="0"/>
                                      <w:marTop w:val="0"/>
                                      <w:marBottom w:val="0"/>
                                      <w:divBdr>
                                        <w:top w:val="none" w:sz="0" w:space="0" w:color="auto"/>
                                        <w:left w:val="none" w:sz="0" w:space="0" w:color="auto"/>
                                        <w:bottom w:val="none" w:sz="0" w:space="0" w:color="auto"/>
                                        <w:right w:val="none" w:sz="0" w:space="0" w:color="auto"/>
                                      </w:divBdr>
                                      <w:divsChild>
                                        <w:div w:id="4131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866533">
      <w:bodyDiv w:val="1"/>
      <w:marLeft w:val="0"/>
      <w:marRight w:val="0"/>
      <w:marTop w:val="0"/>
      <w:marBottom w:val="0"/>
      <w:divBdr>
        <w:top w:val="none" w:sz="0" w:space="0" w:color="auto"/>
        <w:left w:val="none" w:sz="0" w:space="0" w:color="auto"/>
        <w:bottom w:val="none" w:sz="0" w:space="0" w:color="auto"/>
        <w:right w:val="none" w:sz="0" w:space="0" w:color="auto"/>
      </w:divBdr>
      <w:divsChild>
        <w:div w:id="772239320">
          <w:marLeft w:val="0"/>
          <w:marRight w:val="0"/>
          <w:marTop w:val="240"/>
          <w:marBottom w:val="0"/>
          <w:divBdr>
            <w:top w:val="none" w:sz="0" w:space="0" w:color="auto"/>
            <w:left w:val="none" w:sz="0" w:space="0" w:color="auto"/>
            <w:bottom w:val="none" w:sz="0" w:space="0" w:color="auto"/>
            <w:right w:val="none" w:sz="0" w:space="0" w:color="auto"/>
          </w:divBdr>
          <w:divsChild>
            <w:div w:id="2111077119">
              <w:marLeft w:val="0"/>
              <w:marRight w:val="0"/>
              <w:marTop w:val="0"/>
              <w:marBottom w:val="0"/>
              <w:divBdr>
                <w:top w:val="none" w:sz="0" w:space="0" w:color="auto"/>
                <w:left w:val="none" w:sz="0" w:space="0" w:color="auto"/>
                <w:bottom w:val="none" w:sz="0" w:space="0" w:color="auto"/>
                <w:right w:val="none" w:sz="0" w:space="0" w:color="auto"/>
              </w:divBdr>
            </w:div>
          </w:divsChild>
        </w:div>
        <w:div w:id="1424834740">
          <w:marLeft w:val="0"/>
          <w:marRight w:val="0"/>
          <w:marTop w:val="240"/>
          <w:marBottom w:val="0"/>
          <w:divBdr>
            <w:top w:val="none" w:sz="0" w:space="0" w:color="auto"/>
            <w:left w:val="none" w:sz="0" w:space="0" w:color="auto"/>
            <w:bottom w:val="none" w:sz="0" w:space="0" w:color="auto"/>
            <w:right w:val="none" w:sz="0" w:space="0" w:color="auto"/>
          </w:divBdr>
          <w:divsChild>
            <w:div w:id="165853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81137">
      <w:bodyDiv w:val="1"/>
      <w:marLeft w:val="0"/>
      <w:marRight w:val="0"/>
      <w:marTop w:val="0"/>
      <w:marBottom w:val="0"/>
      <w:divBdr>
        <w:top w:val="none" w:sz="0" w:space="0" w:color="auto"/>
        <w:left w:val="none" w:sz="0" w:space="0" w:color="auto"/>
        <w:bottom w:val="none" w:sz="0" w:space="0" w:color="auto"/>
        <w:right w:val="none" w:sz="0" w:space="0" w:color="auto"/>
      </w:divBdr>
      <w:divsChild>
        <w:div w:id="281571347">
          <w:marLeft w:val="0"/>
          <w:marRight w:val="0"/>
          <w:marTop w:val="0"/>
          <w:marBottom w:val="0"/>
          <w:divBdr>
            <w:top w:val="none" w:sz="0" w:space="0" w:color="auto"/>
            <w:left w:val="none" w:sz="0" w:space="0" w:color="auto"/>
            <w:bottom w:val="none" w:sz="0" w:space="0" w:color="auto"/>
            <w:right w:val="none" w:sz="0" w:space="0" w:color="auto"/>
          </w:divBdr>
          <w:divsChild>
            <w:div w:id="696541004">
              <w:marLeft w:val="0"/>
              <w:marRight w:val="0"/>
              <w:marTop w:val="0"/>
              <w:marBottom w:val="0"/>
              <w:divBdr>
                <w:top w:val="none" w:sz="0" w:space="0" w:color="auto"/>
                <w:left w:val="none" w:sz="0" w:space="0" w:color="auto"/>
                <w:bottom w:val="none" w:sz="0" w:space="0" w:color="auto"/>
                <w:right w:val="none" w:sz="0" w:space="0" w:color="auto"/>
              </w:divBdr>
              <w:divsChild>
                <w:div w:id="1097367135">
                  <w:marLeft w:val="0"/>
                  <w:marRight w:val="0"/>
                  <w:marTop w:val="0"/>
                  <w:marBottom w:val="0"/>
                  <w:divBdr>
                    <w:top w:val="none" w:sz="0" w:space="0" w:color="auto"/>
                    <w:left w:val="none" w:sz="0" w:space="0" w:color="auto"/>
                    <w:bottom w:val="none" w:sz="0" w:space="0" w:color="auto"/>
                    <w:right w:val="none" w:sz="0" w:space="0" w:color="auto"/>
                  </w:divBdr>
                  <w:divsChild>
                    <w:div w:id="1269196555">
                      <w:marLeft w:val="0"/>
                      <w:marRight w:val="0"/>
                      <w:marTop w:val="0"/>
                      <w:marBottom w:val="375"/>
                      <w:divBdr>
                        <w:top w:val="none" w:sz="0" w:space="0" w:color="auto"/>
                        <w:left w:val="none" w:sz="0" w:space="0" w:color="auto"/>
                        <w:bottom w:val="none" w:sz="0" w:space="0" w:color="auto"/>
                        <w:right w:val="none" w:sz="0" w:space="0" w:color="auto"/>
                      </w:divBdr>
                      <w:divsChild>
                        <w:div w:id="12662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606526">
      <w:bodyDiv w:val="1"/>
      <w:marLeft w:val="0"/>
      <w:marRight w:val="0"/>
      <w:marTop w:val="0"/>
      <w:marBottom w:val="0"/>
      <w:divBdr>
        <w:top w:val="none" w:sz="0" w:space="0" w:color="auto"/>
        <w:left w:val="none" w:sz="0" w:space="0" w:color="auto"/>
        <w:bottom w:val="none" w:sz="0" w:space="0" w:color="auto"/>
        <w:right w:val="none" w:sz="0" w:space="0" w:color="auto"/>
      </w:divBdr>
      <w:divsChild>
        <w:div w:id="768819900">
          <w:marLeft w:val="0"/>
          <w:marRight w:val="0"/>
          <w:marTop w:val="0"/>
          <w:marBottom w:val="0"/>
          <w:divBdr>
            <w:top w:val="none" w:sz="0" w:space="0" w:color="auto"/>
            <w:left w:val="none" w:sz="0" w:space="0" w:color="auto"/>
            <w:bottom w:val="none" w:sz="0" w:space="0" w:color="auto"/>
            <w:right w:val="none" w:sz="0" w:space="0" w:color="auto"/>
          </w:divBdr>
          <w:divsChild>
            <w:div w:id="932973059">
              <w:marLeft w:val="0"/>
              <w:marRight w:val="0"/>
              <w:marTop w:val="0"/>
              <w:marBottom w:val="0"/>
              <w:divBdr>
                <w:top w:val="none" w:sz="0" w:space="0" w:color="auto"/>
                <w:left w:val="none" w:sz="0" w:space="0" w:color="auto"/>
                <w:bottom w:val="none" w:sz="0" w:space="0" w:color="auto"/>
                <w:right w:val="none" w:sz="0" w:space="0" w:color="auto"/>
              </w:divBdr>
              <w:divsChild>
                <w:div w:id="1482191234">
                  <w:marLeft w:val="0"/>
                  <w:marRight w:val="0"/>
                  <w:marTop w:val="0"/>
                  <w:marBottom w:val="0"/>
                  <w:divBdr>
                    <w:top w:val="none" w:sz="0" w:space="0" w:color="auto"/>
                    <w:left w:val="none" w:sz="0" w:space="0" w:color="auto"/>
                    <w:bottom w:val="none" w:sz="0" w:space="0" w:color="auto"/>
                    <w:right w:val="none" w:sz="0" w:space="0" w:color="auto"/>
                  </w:divBdr>
                  <w:divsChild>
                    <w:div w:id="1848253684">
                      <w:marLeft w:val="0"/>
                      <w:marRight w:val="0"/>
                      <w:marTop w:val="0"/>
                      <w:marBottom w:val="300"/>
                      <w:divBdr>
                        <w:top w:val="none" w:sz="0" w:space="0" w:color="auto"/>
                        <w:left w:val="none" w:sz="0" w:space="0" w:color="auto"/>
                        <w:bottom w:val="none" w:sz="0" w:space="0" w:color="auto"/>
                        <w:right w:val="none" w:sz="0" w:space="0" w:color="auto"/>
                      </w:divBdr>
                      <w:divsChild>
                        <w:div w:id="3296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265913">
      <w:bodyDiv w:val="1"/>
      <w:marLeft w:val="0"/>
      <w:marRight w:val="0"/>
      <w:marTop w:val="0"/>
      <w:marBottom w:val="0"/>
      <w:divBdr>
        <w:top w:val="none" w:sz="0" w:space="0" w:color="auto"/>
        <w:left w:val="none" w:sz="0" w:space="0" w:color="auto"/>
        <w:bottom w:val="none" w:sz="0" w:space="0" w:color="auto"/>
        <w:right w:val="none" w:sz="0" w:space="0" w:color="auto"/>
      </w:divBdr>
      <w:divsChild>
        <w:div w:id="932666319">
          <w:marLeft w:val="0"/>
          <w:marRight w:val="0"/>
          <w:marTop w:val="0"/>
          <w:marBottom w:val="0"/>
          <w:divBdr>
            <w:top w:val="none" w:sz="0" w:space="0" w:color="auto"/>
            <w:left w:val="none" w:sz="0" w:space="0" w:color="auto"/>
            <w:bottom w:val="none" w:sz="0" w:space="0" w:color="auto"/>
            <w:right w:val="none" w:sz="0" w:space="0" w:color="auto"/>
          </w:divBdr>
          <w:divsChild>
            <w:div w:id="117453052">
              <w:marLeft w:val="0"/>
              <w:marRight w:val="0"/>
              <w:marTop w:val="0"/>
              <w:marBottom w:val="0"/>
              <w:divBdr>
                <w:top w:val="none" w:sz="0" w:space="0" w:color="auto"/>
                <w:left w:val="none" w:sz="0" w:space="0" w:color="auto"/>
                <w:bottom w:val="none" w:sz="0" w:space="0" w:color="auto"/>
                <w:right w:val="none" w:sz="0" w:space="0" w:color="auto"/>
              </w:divBdr>
              <w:divsChild>
                <w:div w:id="219635218">
                  <w:marLeft w:val="0"/>
                  <w:marRight w:val="0"/>
                  <w:marTop w:val="0"/>
                  <w:marBottom w:val="0"/>
                  <w:divBdr>
                    <w:top w:val="none" w:sz="0" w:space="0" w:color="auto"/>
                    <w:left w:val="none" w:sz="0" w:space="0" w:color="auto"/>
                    <w:bottom w:val="none" w:sz="0" w:space="0" w:color="auto"/>
                    <w:right w:val="none" w:sz="0" w:space="0" w:color="auto"/>
                  </w:divBdr>
                  <w:divsChild>
                    <w:div w:id="1594893552">
                      <w:marLeft w:val="0"/>
                      <w:marRight w:val="0"/>
                      <w:marTop w:val="0"/>
                      <w:marBottom w:val="300"/>
                      <w:divBdr>
                        <w:top w:val="none" w:sz="0" w:space="0" w:color="auto"/>
                        <w:left w:val="none" w:sz="0" w:space="0" w:color="auto"/>
                        <w:bottom w:val="none" w:sz="0" w:space="0" w:color="auto"/>
                        <w:right w:val="none" w:sz="0" w:space="0" w:color="auto"/>
                      </w:divBdr>
                      <w:divsChild>
                        <w:div w:id="6072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689295">
      <w:bodyDiv w:val="1"/>
      <w:marLeft w:val="0"/>
      <w:marRight w:val="0"/>
      <w:marTop w:val="0"/>
      <w:marBottom w:val="0"/>
      <w:divBdr>
        <w:top w:val="none" w:sz="0" w:space="0" w:color="auto"/>
        <w:left w:val="none" w:sz="0" w:space="0" w:color="auto"/>
        <w:bottom w:val="none" w:sz="0" w:space="0" w:color="auto"/>
        <w:right w:val="none" w:sz="0" w:space="0" w:color="auto"/>
      </w:divBdr>
      <w:divsChild>
        <w:div w:id="1338384778">
          <w:marLeft w:val="0"/>
          <w:marRight w:val="0"/>
          <w:marTop w:val="240"/>
          <w:marBottom w:val="0"/>
          <w:divBdr>
            <w:top w:val="none" w:sz="0" w:space="0" w:color="auto"/>
            <w:left w:val="none" w:sz="0" w:space="0" w:color="auto"/>
            <w:bottom w:val="none" w:sz="0" w:space="0" w:color="auto"/>
            <w:right w:val="none" w:sz="0" w:space="0" w:color="auto"/>
          </w:divBdr>
          <w:divsChild>
            <w:div w:id="83691699">
              <w:marLeft w:val="0"/>
              <w:marRight w:val="0"/>
              <w:marTop w:val="0"/>
              <w:marBottom w:val="0"/>
              <w:divBdr>
                <w:top w:val="none" w:sz="0" w:space="0" w:color="auto"/>
                <w:left w:val="none" w:sz="0" w:space="0" w:color="auto"/>
                <w:bottom w:val="none" w:sz="0" w:space="0" w:color="auto"/>
                <w:right w:val="none" w:sz="0" w:space="0" w:color="auto"/>
              </w:divBdr>
            </w:div>
          </w:divsChild>
        </w:div>
        <w:div w:id="1719166196">
          <w:marLeft w:val="0"/>
          <w:marRight w:val="0"/>
          <w:marTop w:val="240"/>
          <w:marBottom w:val="0"/>
          <w:divBdr>
            <w:top w:val="none" w:sz="0" w:space="0" w:color="auto"/>
            <w:left w:val="none" w:sz="0" w:space="0" w:color="auto"/>
            <w:bottom w:val="none" w:sz="0" w:space="0" w:color="auto"/>
            <w:right w:val="none" w:sz="0" w:space="0" w:color="auto"/>
          </w:divBdr>
          <w:divsChild>
            <w:div w:id="21899843">
              <w:marLeft w:val="0"/>
              <w:marRight w:val="0"/>
              <w:marTop w:val="0"/>
              <w:marBottom w:val="0"/>
              <w:divBdr>
                <w:top w:val="none" w:sz="0" w:space="0" w:color="auto"/>
                <w:left w:val="none" w:sz="0" w:space="0" w:color="auto"/>
                <w:bottom w:val="none" w:sz="0" w:space="0" w:color="auto"/>
                <w:right w:val="none" w:sz="0" w:space="0" w:color="auto"/>
              </w:divBdr>
            </w:div>
          </w:divsChild>
        </w:div>
        <w:div w:id="2002392042">
          <w:marLeft w:val="0"/>
          <w:marRight w:val="0"/>
          <w:marTop w:val="240"/>
          <w:marBottom w:val="0"/>
          <w:divBdr>
            <w:top w:val="none" w:sz="0" w:space="0" w:color="auto"/>
            <w:left w:val="none" w:sz="0" w:space="0" w:color="auto"/>
            <w:bottom w:val="none" w:sz="0" w:space="0" w:color="auto"/>
            <w:right w:val="none" w:sz="0" w:space="0" w:color="auto"/>
          </w:divBdr>
          <w:divsChild>
            <w:div w:id="139199121">
              <w:marLeft w:val="0"/>
              <w:marRight w:val="0"/>
              <w:marTop w:val="0"/>
              <w:marBottom w:val="0"/>
              <w:divBdr>
                <w:top w:val="none" w:sz="0" w:space="0" w:color="auto"/>
                <w:left w:val="none" w:sz="0" w:space="0" w:color="auto"/>
                <w:bottom w:val="none" w:sz="0" w:space="0" w:color="auto"/>
                <w:right w:val="none" w:sz="0" w:space="0" w:color="auto"/>
              </w:divBdr>
            </w:div>
          </w:divsChild>
        </w:div>
        <w:div w:id="2033844498">
          <w:marLeft w:val="0"/>
          <w:marRight w:val="0"/>
          <w:marTop w:val="240"/>
          <w:marBottom w:val="0"/>
          <w:divBdr>
            <w:top w:val="none" w:sz="0" w:space="0" w:color="auto"/>
            <w:left w:val="none" w:sz="0" w:space="0" w:color="auto"/>
            <w:bottom w:val="none" w:sz="0" w:space="0" w:color="auto"/>
            <w:right w:val="none" w:sz="0" w:space="0" w:color="auto"/>
          </w:divBdr>
          <w:divsChild>
            <w:div w:id="530731727">
              <w:marLeft w:val="0"/>
              <w:marRight w:val="0"/>
              <w:marTop w:val="0"/>
              <w:marBottom w:val="0"/>
              <w:divBdr>
                <w:top w:val="none" w:sz="0" w:space="0" w:color="auto"/>
                <w:left w:val="none" w:sz="0" w:space="0" w:color="auto"/>
                <w:bottom w:val="none" w:sz="0" w:space="0" w:color="auto"/>
                <w:right w:val="none" w:sz="0" w:space="0" w:color="auto"/>
              </w:divBdr>
            </w:div>
          </w:divsChild>
        </w:div>
        <w:div w:id="2142770655">
          <w:marLeft w:val="0"/>
          <w:marRight w:val="0"/>
          <w:marTop w:val="240"/>
          <w:marBottom w:val="0"/>
          <w:divBdr>
            <w:top w:val="none" w:sz="0" w:space="0" w:color="auto"/>
            <w:left w:val="none" w:sz="0" w:space="0" w:color="auto"/>
            <w:bottom w:val="none" w:sz="0" w:space="0" w:color="auto"/>
            <w:right w:val="none" w:sz="0" w:space="0" w:color="auto"/>
          </w:divBdr>
          <w:divsChild>
            <w:div w:id="33045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7191">
      <w:bodyDiv w:val="1"/>
      <w:marLeft w:val="0"/>
      <w:marRight w:val="0"/>
      <w:marTop w:val="0"/>
      <w:marBottom w:val="0"/>
      <w:divBdr>
        <w:top w:val="none" w:sz="0" w:space="0" w:color="auto"/>
        <w:left w:val="none" w:sz="0" w:space="0" w:color="auto"/>
        <w:bottom w:val="none" w:sz="0" w:space="0" w:color="auto"/>
        <w:right w:val="none" w:sz="0" w:space="0" w:color="auto"/>
      </w:divBdr>
      <w:divsChild>
        <w:div w:id="1177620943">
          <w:marLeft w:val="0"/>
          <w:marRight w:val="0"/>
          <w:marTop w:val="0"/>
          <w:marBottom w:val="0"/>
          <w:divBdr>
            <w:top w:val="none" w:sz="0" w:space="0" w:color="auto"/>
            <w:left w:val="single" w:sz="6" w:space="0" w:color="BBBBBB"/>
            <w:bottom w:val="single" w:sz="6" w:space="0" w:color="BBBBBB"/>
            <w:right w:val="single" w:sz="6" w:space="0" w:color="BBBBBB"/>
          </w:divBdr>
          <w:divsChild>
            <w:div w:id="1726877916">
              <w:marLeft w:val="0"/>
              <w:marRight w:val="0"/>
              <w:marTop w:val="0"/>
              <w:marBottom w:val="0"/>
              <w:divBdr>
                <w:top w:val="none" w:sz="0" w:space="0" w:color="auto"/>
                <w:left w:val="none" w:sz="0" w:space="0" w:color="auto"/>
                <w:bottom w:val="none" w:sz="0" w:space="0" w:color="auto"/>
                <w:right w:val="none" w:sz="0" w:space="0" w:color="auto"/>
              </w:divBdr>
              <w:divsChild>
                <w:div w:id="47531436">
                  <w:marLeft w:val="0"/>
                  <w:marRight w:val="0"/>
                  <w:marTop w:val="75"/>
                  <w:marBottom w:val="0"/>
                  <w:divBdr>
                    <w:top w:val="none" w:sz="0" w:space="0" w:color="auto"/>
                    <w:left w:val="none" w:sz="0" w:space="0" w:color="auto"/>
                    <w:bottom w:val="none" w:sz="0" w:space="0" w:color="auto"/>
                    <w:right w:val="none" w:sz="0" w:space="0" w:color="auto"/>
                  </w:divBdr>
                  <w:divsChild>
                    <w:div w:id="566846157">
                      <w:marLeft w:val="0"/>
                      <w:marRight w:val="0"/>
                      <w:marTop w:val="0"/>
                      <w:marBottom w:val="0"/>
                      <w:divBdr>
                        <w:top w:val="none" w:sz="0" w:space="0" w:color="auto"/>
                        <w:left w:val="none" w:sz="0" w:space="0" w:color="auto"/>
                        <w:bottom w:val="none" w:sz="0" w:space="0" w:color="auto"/>
                        <w:right w:val="none" w:sz="0" w:space="0" w:color="auto"/>
                      </w:divBdr>
                      <w:divsChild>
                        <w:div w:id="935014004">
                          <w:marLeft w:val="0"/>
                          <w:marRight w:val="0"/>
                          <w:marTop w:val="0"/>
                          <w:marBottom w:val="0"/>
                          <w:divBdr>
                            <w:top w:val="none" w:sz="0" w:space="0" w:color="auto"/>
                            <w:left w:val="none" w:sz="0" w:space="0" w:color="auto"/>
                            <w:bottom w:val="none" w:sz="0" w:space="0" w:color="auto"/>
                            <w:right w:val="none" w:sz="0" w:space="0" w:color="auto"/>
                          </w:divBdr>
                          <w:divsChild>
                            <w:div w:id="1387946893">
                              <w:marLeft w:val="0"/>
                              <w:marRight w:val="0"/>
                              <w:marTop w:val="0"/>
                              <w:marBottom w:val="0"/>
                              <w:divBdr>
                                <w:top w:val="none" w:sz="0" w:space="0" w:color="auto"/>
                                <w:left w:val="none" w:sz="0" w:space="0" w:color="auto"/>
                                <w:bottom w:val="none" w:sz="0" w:space="0" w:color="auto"/>
                                <w:right w:val="none" w:sz="0" w:space="0" w:color="auto"/>
                              </w:divBdr>
                              <w:divsChild>
                                <w:div w:id="51390068">
                                  <w:marLeft w:val="0"/>
                                  <w:marRight w:val="0"/>
                                  <w:marTop w:val="0"/>
                                  <w:marBottom w:val="0"/>
                                  <w:divBdr>
                                    <w:top w:val="none" w:sz="0" w:space="0" w:color="auto"/>
                                    <w:left w:val="none" w:sz="0" w:space="0" w:color="auto"/>
                                    <w:bottom w:val="none" w:sz="0" w:space="0" w:color="auto"/>
                                    <w:right w:val="none" w:sz="0" w:space="0" w:color="auto"/>
                                  </w:divBdr>
                                  <w:divsChild>
                                    <w:div w:id="1957639045">
                                      <w:marLeft w:val="0"/>
                                      <w:marRight w:val="0"/>
                                      <w:marTop w:val="0"/>
                                      <w:marBottom w:val="0"/>
                                      <w:divBdr>
                                        <w:top w:val="none" w:sz="0" w:space="0" w:color="auto"/>
                                        <w:left w:val="none" w:sz="0" w:space="0" w:color="auto"/>
                                        <w:bottom w:val="none" w:sz="0" w:space="0" w:color="auto"/>
                                        <w:right w:val="none" w:sz="0" w:space="0" w:color="auto"/>
                                      </w:divBdr>
                                      <w:divsChild>
                                        <w:div w:id="1299919131">
                                          <w:marLeft w:val="1200"/>
                                          <w:marRight w:val="1200"/>
                                          <w:marTop w:val="0"/>
                                          <w:marBottom w:val="0"/>
                                          <w:divBdr>
                                            <w:top w:val="none" w:sz="0" w:space="0" w:color="auto"/>
                                            <w:left w:val="none" w:sz="0" w:space="0" w:color="auto"/>
                                            <w:bottom w:val="none" w:sz="0" w:space="0" w:color="auto"/>
                                            <w:right w:val="none" w:sz="0" w:space="0" w:color="auto"/>
                                          </w:divBdr>
                                          <w:divsChild>
                                            <w:div w:id="823547995">
                                              <w:marLeft w:val="0"/>
                                              <w:marRight w:val="0"/>
                                              <w:marTop w:val="0"/>
                                              <w:marBottom w:val="0"/>
                                              <w:divBdr>
                                                <w:top w:val="none" w:sz="0" w:space="0" w:color="auto"/>
                                                <w:left w:val="none" w:sz="0" w:space="0" w:color="auto"/>
                                                <w:bottom w:val="none" w:sz="0" w:space="0" w:color="auto"/>
                                                <w:right w:val="none" w:sz="0" w:space="0" w:color="auto"/>
                                              </w:divBdr>
                                              <w:divsChild>
                                                <w:div w:id="178202635">
                                                  <w:marLeft w:val="0"/>
                                                  <w:marRight w:val="0"/>
                                                  <w:marTop w:val="0"/>
                                                  <w:marBottom w:val="0"/>
                                                  <w:divBdr>
                                                    <w:top w:val="none" w:sz="0" w:space="0" w:color="auto"/>
                                                    <w:left w:val="none" w:sz="0" w:space="0" w:color="auto"/>
                                                    <w:bottom w:val="none" w:sz="0" w:space="0" w:color="auto"/>
                                                    <w:right w:val="none" w:sz="0" w:space="0" w:color="auto"/>
                                                  </w:divBdr>
                                                  <w:divsChild>
                                                    <w:div w:id="126050304">
                                                      <w:marLeft w:val="0"/>
                                                      <w:marRight w:val="0"/>
                                                      <w:marTop w:val="0"/>
                                                      <w:marBottom w:val="0"/>
                                                      <w:divBdr>
                                                        <w:top w:val="none" w:sz="0" w:space="0" w:color="auto"/>
                                                        <w:left w:val="none" w:sz="0" w:space="0" w:color="auto"/>
                                                        <w:bottom w:val="none" w:sz="0" w:space="0" w:color="auto"/>
                                                        <w:right w:val="none" w:sz="0" w:space="0" w:color="auto"/>
                                                      </w:divBdr>
                                                      <w:divsChild>
                                                        <w:div w:id="281572577">
                                                          <w:marLeft w:val="0"/>
                                                          <w:marRight w:val="0"/>
                                                          <w:marTop w:val="0"/>
                                                          <w:marBottom w:val="0"/>
                                                          <w:divBdr>
                                                            <w:top w:val="none" w:sz="0" w:space="0" w:color="auto"/>
                                                            <w:left w:val="none" w:sz="0" w:space="0" w:color="auto"/>
                                                            <w:bottom w:val="none" w:sz="0" w:space="0" w:color="auto"/>
                                                            <w:right w:val="none" w:sz="0" w:space="0" w:color="auto"/>
                                                          </w:divBdr>
                                                          <w:divsChild>
                                                            <w:div w:id="803422913">
                                                              <w:marLeft w:val="0"/>
                                                              <w:marRight w:val="0"/>
                                                              <w:marTop w:val="0"/>
                                                              <w:marBottom w:val="0"/>
                                                              <w:divBdr>
                                                                <w:top w:val="none" w:sz="0" w:space="0" w:color="auto"/>
                                                                <w:left w:val="none" w:sz="0" w:space="0" w:color="auto"/>
                                                                <w:bottom w:val="none" w:sz="0" w:space="0" w:color="auto"/>
                                                                <w:right w:val="none" w:sz="0" w:space="0" w:color="auto"/>
                                                              </w:divBdr>
                                                              <w:divsChild>
                                                                <w:div w:id="1221207060">
                                                                  <w:marLeft w:val="0"/>
                                                                  <w:marRight w:val="0"/>
                                                                  <w:marTop w:val="0"/>
                                                                  <w:marBottom w:val="0"/>
                                                                  <w:divBdr>
                                                                    <w:top w:val="none" w:sz="0" w:space="0" w:color="auto"/>
                                                                    <w:left w:val="none" w:sz="0" w:space="0" w:color="auto"/>
                                                                    <w:bottom w:val="none" w:sz="0" w:space="0" w:color="auto"/>
                                                                    <w:right w:val="none" w:sz="0" w:space="0" w:color="auto"/>
                                                                  </w:divBdr>
                                                                  <w:divsChild>
                                                                    <w:div w:id="64038721">
                                                                      <w:marLeft w:val="0"/>
                                                                      <w:marRight w:val="0"/>
                                                                      <w:marTop w:val="0"/>
                                                                      <w:marBottom w:val="0"/>
                                                                      <w:divBdr>
                                                                        <w:top w:val="none" w:sz="0" w:space="0" w:color="auto"/>
                                                                        <w:left w:val="none" w:sz="0" w:space="0" w:color="auto"/>
                                                                        <w:bottom w:val="none" w:sz="0" w:space="0" w:color="auto"/>
                                                                        <w:right w:val="none" w:sz="0" w:space="0" w:color="auto"/>
                                                                      </w:divBdr>
                                                                      <w:divsChild>
                                                                        <w:div w:id="1877963187">
                                                                          <w:marLeft w:val="0"/>
                                                                          <w:marRight w:val="0"/>
                                                                          <w:marTop w:val="0"/>
                                                                          <w:marBottom w:val="0"/>
                                                                          <w:divBdr>
                                                                            <w:top w:val="none" w:sz="0" w:space="0" w:color="auto"/>
                                                                            <w:left w:val="none" w:sz="0" w:space="0" w:color="auto"/>
                                                                            <w:bottom w:val="none" w:sz="0" w:space="0" w:color="auto"/>
                                                                            <w:right w:val="none" w:sz="0" w:space="0" w:color="auto"/>
                                                                          </w:divBdr>
                                                                        </w:div>
                                                                      </w:divsChild>
                                                                    </w:div>
                                                                    <w:div w:id="463428528">
                                                                      <w:marLeft w:val="0"/>
                                                                      <w:marRight w:val="0"/>
                                                                      <w:marTop w:val="0"/>
                                                                      <w:marBottom w:val="0"/>
                                                                      <w:divBdr>
                                                                        <w:top w:val="none" w:sz="0" w:space="0" w:color="auto"/>
                                                                        <w:left w:val="none" w:sz="0" w:space="0" w:color="auto"/>
                                                                        <w:bottom w:val="none" w:sz="0" w:space="0" w:color="auto"/>
                                                                        <w:right w:val="none" w:sz="0" w:space="0" w:color="auto"/>
                                                                      </w:divBdr>
                                                                      <w:divsChild>
                                                                        <w:div w:id="49349703">
                                                                          <w:marLeft w:val="0"/>
                                                                          <w:marRight w:val="0"/>
                                                                          <w:marTop w:val="0"/>
                                                                          <w:marBottom w:val="0"/>
                                                                          <w:divBdr>
                                                                            <w:top w:val="none" w:sz="0" w:space="0" w:color="auto"/>
                                                                            <w:left w:val="none" w:sz="0" w:space="0" w:color="auto"/>
                                                                            <w:bottom w:val="none" w:sz="0" w:space="0" w:color="auto"/>
                                                                            <w:right w:val="none" w:sz="0" w:space="0" w:color="auto"/>
                                                                          </w:divBdr>
                                                                        </w:div>
                                                                      </w:divsChild>
                                                                    </w:div>
                                                                    <w:div w:id="1267536747">
                                                                      <w:marLeft w:val="0"/>
                                                                      <w:marRight w:val="0"/>
                                                                      <w:marTop w:val="0"/>
                                                                      <w:marBottom w:val="0"/>
                                                                      <w:divBdr>
                                                                        <w:top w:val="none" w:sz="0" w:space="0" w:color="auto"/>
                                                                        <w:left w:val="none" w:sz="0" w:space="0" w:color="auto"/>
                                                                        <w:bottom w:val="none" w:sz="0" w:space="0" w:color="auto"/>
                                                                        <w:right w:val="none" w:sz="0" w:space="0" w:color="auto"/>
                                                                      </w:divBdr>
                                                                      <w:divsChild>
                                                                        <w:div w:id="345055296">
                                                                          <w:marLeft w:val="0"/>
                                                                          <w:marRight w:val="0"/>
                                                                          <w:marTop w:val="0"/>
                                                                          <w:marBottom w:val="0"/>
                                                                          <w:divBdr>
                                                                            <w:top w:val="none" w:sz="0" w:space="0" w:color="auto"/>
                                                                            <w:left w:val="none" w:sz="0" w:space="0" w:color="auto"/>
                                                                            <w:bottom w:val="none" w:sz="0" w:space="0" w:color="auto"/>
                                                                            <w:right w:val="none" w:sz="0" w:space="0" w:color="auto"/>
                                                                          </w:divBdr>
                                                                        </w:div>
                                                                      </w:divsChild>
                                                                    </w:div>
                                                                    <w:div w:id="1524202900">
                                                                      <w:marLeft w:val="0"/>
                                                                      <w:marRight w:val="0"/>
                                                                      <w:marTop w:val="0"/>
                                                                      <w:marBottom w:val="0"/>
                                                                      <w:divBdr>
                                                                        <w:top w:val="none" w:sz="0" w:space="0" w:color="auto"/>
                                                                        <w:left w:val="none" w:sz="0" w:space="0" w:color="auto"/>
                                                                        <w:bottom w:val="none" w:sz="0" w:space="0" w:color="auto"/>
                                                                        <w:right w:val="none" w:sz="0" w:space="0" w:color="auto"/>
                                                                      </w:divBdr>
                                                                      <w:divsChild>
                                                                        <w:div w:id="20315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515728">
      <w:bodyDiv w:val="1"/>
      <w:marLeft w:val="0"/>
      <w:marRight w:val="0"/>
      <w:marTop w:val="0"/>
      <w:marBottom w:val="0"/>
      <w:divBdr>
        <w:top w:val="none" w:sz="0" w:space="0" w:color="auto"/>
        <w:left w:val="none" w:sz="0" w:space="0" w:color="auto"/>
        <w:bottom w:val="none" w:sz="0" w:space="0" w:color="auto"/>
        <w:right w:val="none" w:sz="0" w:space="0" w:color="auto"/>
      </w:divBdr>
      <w:divsChild>
        <w:div w:id="355539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7818161">
      <w:bodyDiv w:val="1"/>
      <w:marLeft w:val="0"/>
      <w:marRight w:val="0"/>
      <w:marTop w:val="0"/>
      <w:marBottom w:val="0"/>
      <w:divBdr>
        <w:top w:val="none" w:sz="0" w:space="0" w:color="auto"/>
        <w:left w:val="none" w:sz="0" w:space="0" w:color="auto"/>
        <w:bottom w:val="none" w:sz="0" w:space="0" w:color="auto"/>
        <w:right w:val="none" w:sz="0" w:space="0" w:color="auto"/>
      </w:divBdr>
      <w:divsChild>
        <w:div w:id="23871241">
          <w:marLeft w:val="0"/>
          <w:marRight w:val="0"/>
          <w:marTop w:val="0"/>
          <w:marBottom w:val="0"/>
          <w:divBdr>
            <w:top w:val="none" w:sz="0" w:space="0" w:color="auto"/>
            <w:left w:val="single" w:sz="6" w:space="0" w:color="BBBBBB"/>
            <w:bottom w:val="single" w:sz="6" w:space="0" w:color="BBBBBB"/>
            <w:right w:val="single" w:sz="6" w:space="0" w:color="BBBBBB"/>
          </w:divBdr>
          <w:divsChild>
            <w:div w:id="663900449">
              <w:marLeft w:val="0"/>
              <w:marRight w:val="0"/>
              <w:marTop w:val="0"/>
              <w:marBottom w:val="0"/>
              <w:divBdr>
                <w:top w:val="none" w:sz="0" w:space="0" w:color="auto"/>
                <w:left w:val="none" w:sz="0" w:space="0" w:color="auto"/>
                <w:bottom w:val="none" w:sz="0" w:space="0" w:color="auto"/>
                <w:right w:val="none" w:sz="0" w:space="0" w:color="auto"/>
              </w:divBdr>
              <w:divsChild>
                <w:div w:id="958534061">
                  <w:marLeft w:val="0"/>
                  <w:marRight w:val="0"/>
                  <w:marTop w:val="75"/>
                  <w:marBottom w:val="0"/>
                  <w:divBdr>
                    <w:top w:val="none" w:sz="0" w:space="0" w:color="auto"/>
                    <w:left w:val="none" w:sz="0" w:space="0" w:color="auto"/>
                    <w:bottom w:val="none" w:sz="0" w:space="0" w:color="auto"/>
                    <w:right w:val="none" w:sz="0" w:space="0" w:color="auto"/>
                  </w:divBdr>
                  <w:divsChild>
                    <w:div w:id="863859214">
                      <w:marLeft w:val="0"/>
                      <w:marRight w:val="0"/>
                      <w:marTop w:val="0"/>
                      <w:marBottom w:val="0"/>
                      <w:divBdr>
                        <w:top w:val="none" w:sz="0" w:space="0" w:color="auto"/>
                        <w:left w:val="none" w:sz="0" w:space="0" w:color="auto"/>
                        <w:bottom w:val="none" w:sz="0" w:space="0" w:color="auto"/>
                        <w:right w:val="none" w:sz="0" w:space="0" w:color="auto"/>
                      </w:divBdr>
                      <w:divsChild>
                        <w:div w:id="1584142686">
                          <w:marLeft w:val="0"/>
                          <w:marRight w:val="0"/>
                          <w:marTop w:val="0"/>
                          <w:marBottom w:val="0"/>
                          <w:divBdr>
                            <w:top w:val="none" w:sz="0" w:space="0" w:color="auto"/>
                            <w:left w:val="none" w:sz="0" w:space="0" w:color="auto"/>
                            <w:bottom w:val="none" w:sz="0" w:space="0" w:color="auto"/>
                            <w:right w:val="none" w:sz="0" w:space="0" w:color="auto"/>
                          </w:divBdr>
                          <w:divsChild>
                            <w:div w:id="2129204658">
                              <w:marLeft w:val="0"/>
                              <w:marRight w:val="0"/>
                              <w:marTop w:val="0"/>
                              <w:marBottom w:val="0"/>
                              <w:divBdr>
                                <w:top w:val="none" w:sz="0" w:space="0" w:color="auto"/>
                                <w:left w:val="none" w:sz="0" w:space="0" w:color="auto"/>
                                <w:bottom w:val="none" w:sz="0" w:space="0" w:color="auto"/>
                                <w:right w:val="none" w:sz="0" w:space="0" w:color="auto"/>
                              </w:divBdr>
                              <w:divsChild>
                                <w:div w:id="1199470053">
                                  <w:marLeft w:val="0"/>
                                  <w:marRight w:val="0"/>
                                  <w:marTop w:val="0"/>
                                  <w:marBottom w:val="0"/>
                                  <w:divBdr>
                                    <w:top w:val="none" w:sz="0" w:space="0" w:color="auto"/>
                                    <w:left w:val="none" w:sz="0" w:space="0" w:color="auto"/>
                                    <w:bottom w:val="none" w:sz="0" w:space="0" w:color="auto"/>
                                    <w:right w:val="none" w:sz="0" w:space="0" w:color="auto"/>
                                  </w:divBdr>
                                  <w:divsChild>
                                    <w:div w:id="1455632186">
                                      <w:marLeft w:val="0"/>
                                      <w:marRight w:val="0"/>
                                      <w:marTop w:val="0"/>
                                      <w:marBottom w:val="0"/>
                                      <w:divBdr>
                                        <w:top w:val="none" w:sz="0" w:space="0" w:color="auto"/>
                                        <w:left w:val="none" w:sz="0" w:space="0" w:color="auto"/>
                                        <w:bottom w:val="none" w:sz="0" w:space="0" w:color="auto"/>
                                        <w:right w:val="none" w:sz="0" w:space="0" w:color="auto"/>
                                      </w:divBdr>
                                      <w:divsChild>
                                        <w:div w:id="2048945722">
                                          <w:marLeft w:val="1200"/>
                                          <w:marRight w:val="1200"/>
                                          <w:marTop w:val="0"/>
                                          <w:marBottom w:val="0"/>
                                          <w:divBdr>
                                            <w:top w:val="none" w:sz="0" w:space="0" w:color="auto"/>
                                            <w:left w:val="none" w:sz="0" w:space="0" w:color="auto"/>
                                            <w:bottom w:val="none" w:sz="0" w:space="0" w:color="auto"/>
                                            <w:right w:val="none" w:sz="0" w:space="0" w:color="auto"/>
                                          </w:divBdr>
                                          <w:divsChild>
                                            <w:div w:id="711656918">
                                              <w:marLeft w:val="0"/>
                                              <w:marRight w:val="0"/>
                                              <w:marTop w:val="0"/>
                                              <w:marBottom w:val="0"/>
                                              <w:divBdr>
                                                <w:top w:val="none" w:sz="0" w:space="0" w:color="auto"/>
                                                <w:left w:val="none" w:sz="0" w:space="0" w:color="auto"/>
                                                <w:bottom w:val="none" w:sz="0" w:space="0" w:color="auto"/>
                                                <w:right w:val="none" w:sz="0" w:space="0" w:color="auto"/>
                                              </w:divBdr>
                                              <w:divsChild>
                                                <w:div w:id="145703368">
                                                  <w:marLeft w:val="0"/>
                                                  <w:marRight w:val="0"/>
                                                  <w:marTop w:val="0"/>
                                                  <w:marBottom w:val="0"/>
                                                  <w:divBdr>
                                                    <w:top w:val="none" w:sz="0" w:space="0" w:color="auto"/>
                                                    <w:left w:val="none" w:sz="0" w:space="0" w:color="auto"/>
                                                    <w:bottom w:val="none" w:sz="0" w:space="0" w:color="auto"/>
                                                    <w:right w:val="none" w:sz="0" w:space="0" w:color="auto"/>
                                                  </w:divBdr>
                                                  <w:divsChild>
                                                    <w:div w:id="130946420">
                                                      <w:marLeft w:val="0"/>
                                                      <w:marRight w:val="0"/>
                                                      <w:marTop w:val="0"/>
                                                      <w:marBottom w:val="0"/>
                                                      <w:divBdr>
                                                        <w:top w:val="none" w:sz="0" w:space="0" w:color="auto"/>
                                                        <w:left w:val="none" w:sz="0" w:space="0" w:color="auto"/>
                                                        <w:bottom w:val="none" w:sz="0" w:space="0" w:color="auto"/>
                                                        <w:right w:val="none" w:sz="0" w:space="0" w:color="auto"/>
                                                      </w:divBdr>
                                                      <w:divsChild>
                                                        <w:div w:id="716123219">
                                                          <w:marLeft w:val="0"/>
                                                          <w:marRight w:val="0"/>
                                                          <w:marTop w:val="0"/>
                                                          <w:marBottom w:val="0"/>
                                                          <w:divBdr>
                                                            <w:top w:val="none" w:sz="0" w:space="0" w:color="auto"/>
                                                            <w:left w:val="none" w:sz="0" w:space="0" w:color="auto"/>
                                                            <w:bottom w:val="none" w:sz="0" w:space="0" w:color="auto"/>
                                                            <w:right w:val="none" w:sz="0" w:space="0" w:color="auto"/>
                                                          </w:divBdr>
                                                          <w:divsChild>
                                                            <w:div w:id="1199196023">
                                                              <w:marLeft w:val="0"/>
                                                              <w:marRight w:val="0"/>
                                                              <w:marTop w:val="0"/>
                                                              <w:marBottom w:val="0"/>
                                                              <w:divBdr>
                                                                <w:top w:val="none" w:sz="0" w:space="0" w:color="auto"/>
                                                                <w:left w:val="none" w:sz="0" w:space="0" w:color="auto"/>
                                                                <w:bottom w:val="none" w:sz="0" w:space="0" w:color="auto"/>
                                                                <w:right w:val="none" w:sz="0" w:space="0" w:color="auto"/>
                                                              </w:divBdr>
                                                              <w:divsChild>
                                                                <w:div w:id="1584415490">
                                                                  <w:marLeft w:val="0"/>
                                                                  <w:marRight w:val="0"/>
                                                                  <w:marTop w:val="0"/>
                                                                  <w:marBottom w:val="0"/>
                                                                  <w:divBdr>
                                                                    <w:top w:val="none" w:sz="0" w:space="0" w:color="auto"/>
                                                                    <w:left w:val="none" w:sz="0" w:space="0" w:color="auto"/>
                                                                    <w:bottom w:val="none" w:sz="0" w:space="0" w:color="auto"/>
                                                                    <w:right w:val="none" w:sz="0" w:space="0" w:color="auto"/>
                                                                  </w:divBdr>
                                                                  <w:divsChild>
                                                                    <w:div w:id="205609896">
                                                                      <w:marLeft w:val="0"/>
                                                                      <w:marRight w:val="0"/>
                                                                      <w:marTop w:val="0"/>
                                                                      <w:marBottom w:val="0"/>
                                                                      <w:divBdr>
                                                                        <w:top w:val="none" w:sz="0" w:space="0" w:color="auto"/>
                                                                        <w:left w:val="none" w:sz="0" w:space="0" w:color="auto"/>
                                                                        <w:bottom w:val="none" w:sz="0" w:space="0" w:color="auto"/>
                                                                        <w:right w:val="none" w:sz="0" w:space="0" w:color="auto"/>
                                                                      </w:divBdr>
                                                                      <w:divsChild>
                                                                        <w:div w:id="1785730276">
                                                                          <w:marLeft w:val="0"/>
                                                                          <w:marRight w:val="0"/>
                                                                          <w:marTop w:val="0"/>
                                                                          <w:marBottom w:val="0"/>
                                                                          <w:divBdr>
                                                                            <w:top w:val="none" w:sz="0" w:space="0" w:color="auto"/>
                                                                            <w:left w:val="none" w:sz="0" w:space="0" w:color="auto"/>
                                                                            <w:bottom w:val="none" w:sz="0" w:space="0" w:color="auto"/>
                                                                            <w:right w:val="none" w:sz="0" w:space="0" w:color="auto"/>
                                                                          </w:divBdr>
                                                                        </w:div>
                                                                      </w:divsChild>
                                                                    </w:div>
                                                                    <w:div w:id="331759476">
                                                                      <w:marLeft w:val="0"/>
                                                                      <w:marRight w:val="0"/>
                                                                      <w:marTop w:val="0"/>
                                                                      <w:marBottom w:val="0"/>
                                                                      <w:divBdr>
                                                                        <w:top w:val="none" w:sz="0" w:space="0" w:color="auto"/>
                                                                        <w:left w:val="none" w:sz="0" w:space="0" w:color="auto"/>
                                                                        <w:bottom w:val="none" w:sz="0" w:space="0" w:color="auto"/>
                                                                        <w:right w:val="none" w:sz="0" w:space="0" w:color="auto"/>
                                                                      </w:divBdr>
                                                                      <w:divsChild>
                                                                        <w:div w:id="994836504">
                                                                          <w:marLeft w:val="0"/>
                                                                          <w:marRight w:val="0"/>
                                                                          <w:marTop w:val="0"/>
                                                                          <w:marBottom w:val="0"/>
                                                                          <w:divBdr>
                                                                            <w:top w:val="none" w:sz="0" w:space="0" w:color="auto"/>
                                                                            <w:left w:val="none" w:sz="0" w:space="0" w:color="auto"/>
                                                                            <w:bottom w:val="none" w:sz="0" w:space="0" w:color="auto"/>
                                                                            <w:right w:val="none" w:sz="0" w:space="0" w:color="auto"/>
                                                                          </w:divBdr>
                                                                        </w:div>
                                                                      </w:divsChild>
                                                                    </w:div>
                                                                    <w:div w:id="457260952">
                                                                      <w:marLeft w:val="0"/>
                                                                      <w:marRight w:val="0"/>
                                                                      <w:marTop w:val="0"/>
                                                                      <w:marBottom w:val="0"/>
                                                                      <w:divBdr>
                                                                        <w:top w:val="none" w:sz="0" w:space="0" w:color="auto"/>
                                                                        <w:left w:val="none" w:sz="0" w:space="0" w:color="auto"/>
                                                                        <w:bottom w:val="none" w:sz="0" w:space="0" w:color="auto"/>
                                                                        <w:right w:val="none" w:sz="0" w:space="0" w:color="auto"/>
                                                                      </w:divBdr>
                                                                      <w:divsChild>
                                                                        <w:div w:id="1010066675">
                                                                          <w:marLeft w:val="0"/>
                                                                          <w:marRight w:val="0"/>
                                                                          <w:marTop w:val="0"/>
                                                                          <w:marBottom w:val="0"/>
                                                                          <w:divBdr>
                                                                            <w:top w:val="none" w:sz="0" w:space="0" w:color="auto"/>
                                                                            <w:left w:val="none" w:sz="0" w:space="0" w:color="auto"/>
                                                                            <w:bottom w:val="none" w:sz="0" w:space="0" w:color="auto"/>
                                                                            <w:right w:val="none" w:sz="0" w:space="0" w:color="auto"/>
                                                                          </w:divBdr>
                                                                        </w:div>
                                                                        <w:div w:id="1823232166">
                                                                          <w:marLeft w:val="0"/>
                                                                          <w:marRight w:val="0"/>
                                                                          <w:marTop w:val="0"/>
                                                                          <w:marBottom w:val="0"/>
                                                                          <w:divBdr>
                                                                            <w:top w:val="none" w:sz="0" w:space="0" w:color="auto"/>
                                                                            <w:left w:val="none" w:sz="0" w:space="0" w:color="auto"/>
                                                                            <w:bottom w:val="none" w:sz="0" w:space="0" w:color="auto"/>
                                                                            <w:right w:val="none" w:sz="0" w:space="0" w:color="auto"/>
                                                                          </w:divBdr>
                                                                          <w:divsChild>
                                                                            <w:div w:id="19470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351">
                                                                      <w:marLeft w:val="0"/>
                                                                      <w:marRight w:val="0"/>
                                                                      <w:marTop w:val="0"/>
                                                                      <w:marBottom w:val="0"/>
                                                                      <w:divBdr>
                                                                        <w:top w:val="none" w:sz="0" w:space="0" w:color="auto"/>
                                                                        <w:left w:val="none" w:sz="0" w:space="0" w:color="auto"/>
                                                                        <w:bottom w:val="none" w:sz="0" w:space="0" w:color="auto"/>
                                                                        <w:right w:val="none" w:sz="0" w:space="0" w:color="auto"/>
                                                                      </w:divBdr>
                                                                      <w:divsChild>
                                                                        <w:div w:id="1511410825">
                                                                          <w:marLeft w:val="0"/>
                                                                          <w:marRight w:val="0"/>
                                                                          <w:marTop w:val="0"/>
                                                                          <w:marBottom w:val="0"/>
                                                                          <w:divBdr>
                                                                            <w:top w:val="none" w:sz="0" w:space="0" w:color="auto"/>
                                                                            <w:left w:val="none" w:sz="0" w:space="0" w:color="auto"/>
                                                                            <w:bottom w:val="none" w:sz="0" w:space="0" w:color="auto"/>
                                                                            <w:right w:val="none" w:sz="0" w:space="0" w:color="auto"/>
                                                                          </w:divBdr>
                                                                        </w:div>
                                                                      </w:divsChild>
                                                                    </w:div>
                                                                    <w:div w:id="1628389158">
                                                                      <w:marLeft w:val="0"/>
                                                                      <w:marRight w:val="0"/>
                                                                      <w:marTop w:val="0"/>
                                                                      <w:marBottom w:val="0"/>
                                                                      <w:divBdr>
                                                                        <w:top w:val="none" w:sz="0" w:space="0" w:color="auto"/>
                                                                        <w:left w:val="none" w:sz="0" w:space="0" w:color="auto"/>
                                                                        <w:bottom w:val="none" w:sz="0" w:space="0" w:color="auto"/>
                                                                        <w:right w:val="none" w:sz="0" w:space="0" w:color="auto"/>
                                                                      </w:divBdr>
                                                                      <w:divsChild>
                                                                        <w:div w:id="1803108726">
                                                                          <w:marLeft w:val="0"/>
                                                                          <w:marRight w:val="0"/>
                                                                          <w:marTop w:val="0"/>
                                                                          <w:marBottom w:val="0"/>
                                                                          <w:divBdr>
                                                                            <w:top w:val="none" w:sz="0" w:space="0" w:color="auto"/>
                                                                            <w:left w:val="none" w:sz="0" w:space="0" w:color="auto"/>
                                                                            <w:bottom w:val="none" w:sz="0" w:space="0" w:color="auto"/>
                                                                            <w:right w:val="none" w:sz="0" w:space="0" w:color="auto"/>
                                                                          </w:divBdr>
                                                                        </w:div>
                                                                      </w:divsChild>
                                                                    </w:div>
                                                                    <w:div w:id="1730299046">
                                                                      <w:marLeft w:val="0"/>
                                                                      <w:marRight w:val="0"/>
                                                                      <w:marTop w:val="0"/>
                                                                      <w:marBottom w:val="0"/>
                                                                      <w:divBdr>
                                                                        <w:top w:val="none" w:sz="0" w:space="0" w:color="auto"/>
                                                                        <w:left w:val="none" w:sz="0" w:space="0" w:color="auto"/>
                                                                        <w:bottom w:val="none" w:sz="0" w:space="0" w:color="auto"/>
                                                                        <w:right w:val="none" w:sz="0" w:space="0" w:color="auto"/>
                                                                      </w:divBdr>
                                                                      <w:divsChild>
                                                                        <w:div w:id="131355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142441">
      <w:bodyDiv w:val="1"/>
      <w:marLeft w:val="0"/>
      <w:marRight w:val="0"/>
      <w:marTop w:val="0"/>
      <w:marBottom w:val="0"/>
      <w:divBdr>
        <w:top w:val="none" w:sz="0" w:space="0" w:color="auto"/>
        <w:left w:val="none" w:sz="0" w:space="0" w:color="auto"/>
        <w:bottom w:val="none" w:sz="0" w:space="0" w:color="auto"/>
        <w:right w:val="none" w:sz="0" w:space="0" w:color="auto"/>
      </w:divBdr>
      <w:divsChild>
        <w:div w:id="1420711373">
          <w:marLeft w:val="0"/>
          <w:marRight w:val="0"/>
          <w:marTop w:val="0"/>
          <w:marBottom w:val="0"/>
          <w:divBdr>
            <w:top w:val="none" w:sz="0" w:space="0" w:color="auto"/>
            <w:left w:val="none" w:sz="0" w:space="0" w:color="auto"/>
            <w:bottom w:val="none" w:sz="0" w:space="0" w:color="auto"/>
            <w:right w:val="none" w:sz="0" w:space="0" w:color="auto"/>
          </w:divBdr>
          <w:divsChild>
            <w:div w:id="238373352">
              <w:marLeft w:val="0"/>
              <w:marRight w:val="0"/>
              <w:marTop w:val="0"/>
              <w:marBottom w:val="0"/>
              <w:divBdr>
                <w:top w:val="none" w:sz="0" w:space="0" w:color="auto"/>
                <w:left w:val="none" w:sz="0" w:space="0" w:color="auto"/>
                <w:bottom w:val="none" w:sz="0" w:space="0" w:color="auto"/>
                <w:right w:val="none" w:sz="0" w:space="0" w:color="auto"/>
              </w:divBdr>
              <w:divsChild>
                <w:div w:id="286619272">
                  <w:marLeft w:val="0"/>
                  <w:marRight w:val="0"/>
                  <w:marTop w:val="0"/>
                  <w:marBottom w:val="0"/>
                  <w:divBdr>
                    <w:top w:val="none" w:sz="0" w:space="0" w:color="auto"/>
                    <w:left w:val="none" w:sz="0" w:space="0" w:color="auto"/>
                    <w:bottom w:val="none" w:sz="0" w:space="0" w:color="auto"/>
                    <w:right w:val="none" w:sz="0" w:space="0" w:color="auto"/>
                  </w:divBdr>
                </w:div>
                <w:div w:id="765227617">
                  <w:marLeft w:val="0"/>
                  <w:marRight w:val="0"/>
                  <w:marTop w:val="0"/>
                  <w:marBottom w:val="0"/>
                  <w:divBdr>
                    <w:top w:val="none" w:sz="0" w:space="0" w:color="auto"/>
                    <w:left w:val="none" w:sz="0" w:space="0" w:color="auto"/>
                    <w:bottom w:val="none" w:sz="0" w:space="0" w:color="auto"/>
                    <w:right w:val="none" w:sz="0" w:space="0" w:color="auto"/>
                  </w:divBdr>
                </w:div>
                <w:div w:id="16803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73217">
      <w:bodyDiv w:val="1"/>
      <w:marLeft w:val="0"/>
      <w:marRight w:val="0"/>
      <w:marTop w:val="0"/>
      <w:marBottom w:val="0"/>
      <w:divBdr>
        <w:top w:val="none" w:sz="0" w:space="0" w:color="auto"/>
        <w:left w:val="none" w:sz="0" w:space="0" w:color="auto"/>
        <w:bottom w:val="none" w:sz="0" w:space="0" w:color="auto"/>
        <w:right w:val="none" w:sz="0" w:space="0" w:color="auto"/>
      </w:divBdr>
      <w:divsChild>
        <w:div w:id="60104063">
          <w:marLeft w:val="0"/>
          <w:marRight w:val="0"/>
          <w:marTop w:val="240"/>
          <w:marBottom w:val="0"/>
          <w:divBdr>
            <w:top w:val="none" w:sz="0" w:space="0" w:color="auto"/>
            <w:left w:val="none" w:sz="0" w:space="0" w:color="auto"/>
            <w:bottom w:val="none" w:sz="0" w:space="0" w:color="auto"/>
            <w:right w:val="none" w:sz="0" w:space="0" w:color="auto"/>
          </w:divBdr>
          <w:divsChild>
            <w:div w:id="198082379">
              <w:marLeft w:val="0"/>
              <w:marRight w:val="0"/>
              <w:marTop w:val="0"/>
              <w:marBottom w:val="0"/>
              <w:divBdr>
                <w:top w:val="none" w:sz="0" w:space="0" w:color="auto"/>
                <w:left w:val="none" w:sz="0" w:space="0" w:color="auto"/>
                <w:bottom w:val="none" w:sz="0" w:space="0" w:color="auto"/>
                <w:right w:val="none" w:sz="0" w:space="0" w:color="auto"/>
              </w:divBdr>
            </w:div>
          </w:divsChild>
        </w:div>
        <w:div w:id="174854125">
          <w:marLeft w:val="0"/>
          <w:marRight w:val="0"/>
          <w:marTop w:val="240"/>
          <w:marBottom w:val="0"/>
          <w:divBdr>
            <w:top w:val="none" w:sz="0" w:space="0" w:color="auto"/>
            <w:left w:val="none" w:sz="0" w:space="0" w:color="auto"/>
            <w:bottom w:val="none" w:sz="0" w:space="0" w:color="auto"/>
            <w:right w:val="none" w:sz="0" w:space="0" w:color="auto"/>
          </w:divBdr>
          <w:divsChild>
            <w:div w:id="154879138">
              <w:marLeft w:val="0"/>
              <w:marRight w:val="0"/>
              <w:marTop w:val="0"/>
              <w:marBottom w:val="0"/>
              <w:divBdr>
                <w:top w:val="none" w:sz="0" w:space="0" w:color="auto"/>
                <w:left w:val="none" w:sz="0" w:space="0" w:color="auto"/>
                <w:bottom w:val="none" w:sz="0" w:space="0" w:color="auto"/>
                <w:right w:val="none" w:sz="0" w:space="0" w:color="auto"/>
              </w:divBdr>
            </w:div>
          </w:divsChild>
        </w:div>
        <w:div w:id="261956987">
          <w:marLeft w:val="0"/>
          <w:marRight w:val="0"/>
          <w:marTop w:val="240"/>
          <w:marBottom w:val="0"/>
          <w:divBdr>
            <w:top w:val="none" w:sz="0" w:space="0" w:color="auto"/>
            <w:left w:val="none" w:sz="0" w:space="0" w:color="auto"/>
            <w:bottom w:val="none" w:sz="0" w:space="0" w:color="auto"/>
            <w:right w:val="none" w:sz="0" w:space="0" w:color="auto"/>
          </w:divBdr>
          <w:divsChild>
            <w:div w:id="392780166">
              <w:marLeft w:val="0"/>
              <w:marRight w:val="0"/>
              <w:marTop w:val="0"/>
              <w:marBottom w:val="0"/>
              <w:divBdr>
                <w:top w:val="none" w:sz="0" w:space="0" w:color="auto"/>
                <w:left w:val="none" w:sz="0" w:space="0" w:color="auto"/>
                <w:bottom w:val="none" w:sz="0" w:space="0" w:color="auto"/>
                <w:right w:val="none" w:sz="0" w:space="0" w:color="auto"/>
              </w:divBdr>
            </w:div>
          </w:divsChild>
        </w:div>
        <w:div w:id="268200608">
          <w:marLeft w:val="0"/>
          <w:marRight w:val="0"/>
          <w:marTop w:val="240"/>
          <w:marBottom w:val="0"/>
          <w:divBdr>
            <w:top w:val="none" w:sz="0" w:space="0" w:color="auto"/>
            <w:left w:val="none" w:sz="0" w:space="0" w:color="auto"/>
            <w:bottom w:val="none" w:sz="0" w:space="0" w:color="auto"/>
            <w:right w:val="none" w:sz="0" w:space="0" w:color="auto"/>
          </w:divBdr>
          <w:divsChild>
            <w:div w:id="1611281992">
              <w:marLeft w:val="0"/>
              <w:marRight w:val="0"/>
              <w:marTop w:val="0"/>
              <w:marBottom w:val="0"/>
              <w:divBdr>
                <w:top w:val="none" w:sz="0" w:space="0" w:color="auto"/>
                <w:left w:val="none" w:sz="0" w:space="0" w:color="auto"/>
                <w:bottom w:val="none" w:sz="0" w:space="0" w:color="auto"/>
                <w:right w:val="none" w:sz="0" w:space="0" w:color="auto"/>
              </w:divBdr>
            </w:div>
          </w:divsChild>
        </w:div>
        <w:div w:id="300580524">
          <w:marLeft w:val="0"/>
          <w:marRight w:val="0"/>
          <w:marTop w:val="240"/>
          <w:marBottom w:val="0"/>
          <w:divBdr>
            <w:top w:val="none" w:sz="0" w:space="0" w:color="auto"/>
            <w:left w:val="none" w:sz="0" w:space="0" w:color="auto"/>
            <w:bottom w:val="none" w:sz="0" w:space="0" w:color="auto"/>
            <w:right w:val="none" w:sz="0" w:space="0" w:color="auto"/>
          </w:divBdr>
          <w:divsChild>
            <w:div w:id="230968977">
              <w:marLeft w:val="240"/>
              <w:marRight w:val="0"/>
              <w:marTop w:val="240"/>
              <w:marBottom w:val="0"/>
              <w:divBdr>
                <w:top w:val="none" w:sz="0" w:space="0" w:color="auto"/>
                <w:left w:val="none" w:sz="0" w:space="0" w:color="auto"/>
                <w:bottom w:val="none" w:sz="0" w:space="0" w:color="auto"/>
                <w:right w:val="none" w:sz="0" w:space="0" w:color="auto"/>
              </w:divBdr>
              <w:divsChild>
                <w:div w:id="564754234">
                  <w:marLeft w:val="0"/>
                  <w:marRight w:val="0"/>
                  <w:marTop w:val="0"/>
                  <w:marBottom w:val="0"/>
                  <w:divBdr>
                    <w:top w:val="none" w:sz="0" w:space="0" w:color="auto"/>
                    <w:left w:val="none" w:sz="0" w:space="0" w:color="auto"/>
                    <w:bottom w:val="none" w:sz="0" w:space="0" w:color="auto"/>
                    <w:right w:val="none" w:sz="0" w:space="0" w:color="auto"/>
                  </w:divBdr>
                </w:div>
              </w:divsChild>
            </w:div>
            <w:div w:id="396906619">
              <w:marLeft w:val="0"/>
              <w:marRight w:val="0"/>
              <w:marTop w:val="0"/>
              <w:marBottom w:val="0"/>
              <w:divBdr>
                <w:top w:val="none" w:sz="0" w:space="0" w:color="auto"/>
                <w:left w:val="none" w:sz="0" w:space="0" w:color="auto"/>
                <w:bottom w:val="none" w:sz="0" w:space="0" w:color="auto"/>
                <w:right w:val="none" w:sz="0" w:space="0" w:color="auto"/>
              </w:divBdr>
            </w:div>
            <w:div w:id="1162355655">
              <w:marLeft w:val="240"/>
              <w:marRight w:val="0"/>
              <w:marTop w:val="240"/>
              <w:marBottom w:val="0"/>
              <w:divBdr>
                <w:top w:val="none" w:sz="0" w:space="0" w:color="auto"/>
                <w:left w:val="none" w:sz="0" w:space="0" w:color="auto"/>
                <w:bottom w:val="none" w:sz="0" w:space="0" w:color="auto"/>
                <w:right w:val="none" w:sz="0" w:space="0" w:color="auto"/>
              </w:divBdr>
              <w:divsChild>
                <w:div w:id="792555706">
                  <w:marLeft w:val="0"/>
                  <w:marRight w:val="0"/>
                  <w:marTop w:val="0"/>
                  <w:marBottom w:val="0"/>
                  <w:divBdr>
                    <w:top w:val="none" w:sz="0" w:space="0" w:color="auto"/>
                    <w:left w:val="none" w:sz="0" w:space="0" w:color="auto"/>
                    <w:bottom w:val="none" w:sz="0" w:space="0" w:color="auto"/>
                    <w:right w:val="none" w:sz="0" w:space="0" w:color="auto"/>
                  </w:divBdr>
                </w:div>
              </w:divsChild>
            </w:div>
            <w:div w:id="2094427942">
              <w:marLeft w:val="240"/>
              <w:marRight w:val="0"/>
              <w:marTop w:val="240"/>
              <w:marBottom w:val="0"/>
              <w:divBdr>
                <w:top w:val="none" w:sz="0" w:space="0" w:color="auto"/>
                <w:left w:val="none" w:sz="0" w:space="0" w:color="auto"/>
                <w:bottom w:val="none" w:sz="0" w:space="0" w:color="auto"/>
                <w:right w:val="none" w:sz="0" w:space="0" w:color="auto"/>
              </w:divBdr>
              <w:divsChild>
                <w:div w:id="5623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5019">
          <w:marLeft w:val="0"/>
          <w:marRight w:val="0"/>
          <w:marTop w:val="240"/>
          <w:marBottom w:val="0"/>
          <w:divBdr>
            <w:top w:val="none" w:sz="0" w:space="0" w:color="auto"/>
            <w:left w:val="none" w:sz="0" w:space="0" w:color="auto"/>
            <w:bottom w:val="none" w:sz="0" w:space="0" w:color="auto"/>
            <w:right w:val="none" w:sz="0" w:space="0" w:color="auto"/>
          </w:divBdr>
          <w:divsChild>
            <w:div w:id="1051656282">
              <w:marLeft w:val="0"/>
              <w:marRight w:val="0"/>
              <w:marTop w:val="0"/>
              <w:marBottom w:val="0"/>
              <w:divBdr>
                <w:top w:val="none" w:sz="0" w:space="0" w:color="auto"/>
                <w:left w:val="none" w:sz="0" w:space="0" w:color="auto"/>
                <w:bottom w:val="none" w:sz="0" w:space="0" w:color="auto"/>
                <w:right w:val="none" w:sz="0" w:space="0" w:color="auto"/>
              </w:divBdr>
            </w:div>
          </w:divsChild>
        </w:div>
        <w:div w:id="472330947">
          <w:marLeft w:val="0"/>
          <w:marRight w:val="0"/>
          <w:marTop w:val="240"/>
          <w:marBottom w:val="0"/>
          <w:divBdr>
            <w:top w:val="none" w:sz="0" w:space="0" w:color="auto"/>
            <w:left w:val="none" w:sz="0" w:space="0" w:color="auto"/>
            <w:bottom w:val="none" w:sz="0" w:space="0" w:color="auto"/>
            <w:right w:val="none" w:sz="0" w:space="0" w:color="auto"/>
          </w:divBdr>
          <w:divsChild>
            <w:div w:id="1211527470">
              <w:marLeft w:val="0"/>
              <w:marRight w:val="0"/>
              <w:marTop w:val="0"/>
              <w:marBottom w:val="0"/>
              <w:divBdr>
                <w:top w:val="none" w:sz="0" w:space="0" w:color="auto"/>
                <w:left w:val="none" w:sz="0" w:space="0" w:color="auto"/>
                <w:bottom w:val="none" w:sz="0" w:space="0" w:color="auto"/>
                <w:right w:val="none" w:sz="0" w:space="0" w:color="auto"/>
              </w:divBdr>
            </w:div>
          </w:divsChild>
        </w:div>
        <w:div w:id="767432888">
          <w:marLeft w:val="0"/>
          <w:marRight w:val="0"/>
          <w:marTop w:val="240"/>
          <w:marBottom w:val="0"/>
          <w:divBdr>
            <w:top w:val="none" w:sz="0" w:space="0" w:color="auto"/>
            <w:left w:val="none" w:sz="0" w:space="0" w:color="auto"/>
            <w:bottom w:val="none" w:sz="0" w:space="0" w:color="auto"/>
            <w:right w:val="none" w:sz="0" w:space="0" w:color="auto"/>
          </w:divBdr>
          <w:divsChild>
            <w:div w:id="1181507585">
              <w:marLeft w:val="0"/>
              <w:marRight w:val="0"/>
              <w:marTop w:val="0"/>
              <w:marBottom w:val="0"/>
              <w:divBdr>
                <w:top w:val="none" w:sz="0" w:space="0" w:color="auto"/>
                <w:left w:val="none" w:sz="0" w:space="0" w:color="auto"/>
                <w:bottom w:val="none" w:sz="0" w:space="0" w:color="auto"/>
                <w:right w:val="none" w:sz="0" w:space="0" w:color="auto"/>
              </w:divBdr>
            </w:div>
          </w:divsChild>
        </w:div>
        <w:div w:id="806975303">
          <w:marLeft w:val="0"/>
          <w:marRight w:val="0"/>
          <w:marTop w:val="240"/>
          <w:marBottom w:val="0"/>
          <w:divBdr>
            <w:top w:val="none" w:sz="0" w:space="0" w:color="auto"/>
            <w:left w:val="none" w:sz="0" w:space="0" w:color="auto"/>
            <w:bottom w:val="none" w:sz="0" w:space="0" w:color="auto"/>
            <w:right w:val="none" w:sz="0" w:space="0" w:color="auto"/>
          </w:divBdr>
          <w:divsChild>
            <w:div w:id="220556070">
              <w:marLeft w:val="0"/>
              <w:marRight w:val="0"/>
              <w:marTop w:val="0"/>
              <w:marBottom w:val="0"/>
              <w:divBdr>
                <w:top w:val="none" w:sz="0" w:space="0" w:color="auto"/>
                <w:left w:val="none" w:sz="0" w:space="0" w:color="auto"/>
                <w:bottom w:val="none" w:sz="0" w:space="0" w:color="auto"/>
                <w:right w:val="none" w:sz="0" w:space="0" w:color="auto"/>
              </w:divBdr>
            </w:div>
          </w:divsChild>
        </w:div>
        <w:div w:id="838692689">
          <w:marLeft w:val="0"/>
          <w:marRight w:val="0"/>
          <w:marTop w:val="240"/>
          <w:marBottom w:val="0"/>
          <w:divBdr>
            <w:top w:val="none" w:sz="0" w:space="0" w:color="auto"/>
            <w:left w:val="none" w:sz="0" w:space="0" w:color="auto"/>
            <w:bottom w:val="none" w:sz="0" w:space="0" w:color="auto"/>
            <w:right w:val="none" w:sz="0" w:space="0" w:color="auto"/>
          </w:divBdr>
          <w:divsChild>
            <w:div w:id="274949088">
              <w:marLeft w:val="0"/>
              <w:marRight w:val="0"/>
              <w:marTop w:val="0"/>
              <w:marBottom w:val="0"/>
              <w:divBdr>
                <w:top w:val="none" w:sz="0" w:space="0" w:color="auto"/>
                <w:left w:val="none" w:sz="0" w:space="0" w:color="auto"/>
                <w:bottom w:val="none" w:sz="0" w:space="0" w:color="auto"/>
                <w:right w:val="none" w:sz="0" w:space="0" w:color="auto"/>
              </w:divBdr>
            </w:div>
          </w:divsChild>
        </w:div>
        <w:div w:id="862978555">
          <w:marLeft w:val="0"/>
          <w:marRight w:val="0"/>
          <w:marTop w:val="240"/>
          <w:marBottom w:val="0"/>
          <w:divBdr>
            <w:top w:val="none" w:sz="0" w:space="0" w:color="auto"/>
            <w:left w:val="none" w:sz="0" w:space="0" w:color="auto"/>
            <w:bottom w:val="none" w:sz="0" w:space="0" w:color="auto"/>
            <w:right w:val="none" w:sz="0" w:space="0" w:color="auto"/>
          </w:divBdr>
          <w:divsChild>
            <w:div w:id="231043068">
              <w:marLeft w:val="0"/>
              <w:marRight w:val="0"/>
              <w:marTop w:val="0"/>
              <w:marBottom w:val="0"/>
              <w:divBdr>
                <w:top w:val="none" w:sz="0" w:space="0" w:color="auto"/>
                <w:left w:val="none" w:sz="0" w:space="0" w:color="auto"/>
                <w:bottom w:val="none" w:sz="0" w:space="0" w:color="auto"/>
                <w:right w:val="none" w:sz="0" w:space="0" w:color="auto"/>
              </w:divBdr>
            </w:div>
          </w:divsChild>
        </w:div>
        <w:div w:id="873687947">
          <w:marLeft w:val="0"/>
          <w:marRight w:val="0"/>
          <w:marTop w:val="240"/>
          <w:marBottom w:val="0"/>
          <w:divBdr>
            <w:top w:val="none" w:sz="0" w:space="0" w:color="auto"/>
            <w:left w:val="none" w:sz="0" w:space="0" w:color="auto"/>
            <w:bottom w:val="none" w:sz="0" w:space="0" w:color="auto"/>
            <w:right w:val="none" w:sz="0" w:space="0" w:color="auto"/>
          </w:divBdr>
          <w:divsChild>
            <w:div w:id="995719711">
              <w:marLeft w:val="0"/>
              <w:marRight w:val="0"/>
              <w:marTop w:val="0"/>
              <w:marBottom w:val="0"/>
              <w:divBdr>
                <w:top w:val="none" w:sz="0" w:space="0" w:color="auto"/>
                <w:left w:val="none" w:sz="0" w:space="0" w:color="auto"/>
                <w:bottom w:val="none" w:sz="0" w:space="0" w:color="auto"/>
                <w:right w:val="none" w:sz="0" w:space="0" w:color="auto"/>
              </w:divBdr>
            </w:div>
          </w:divsChild>
        </w:div>
        <w:div w:id="904874096">
          <w:marLeft w:val="0"/>
          <w:marRight w:val="0"/>
          <w:marTop w:val="240"/>
          <w:marBottom w:val="0"/>
          <w:divBdr>
            <w:top w:val="none" w:sz="0" w:space="0" w:color="auto"/>
            <w:left w:val="none" w:sz="0" w:space="0" w:color="auto"/>
            <w:bottom w:val="none" w:sz="0" w:space="0" w:color="auto"/>
            <w:right w:val="none" w:sz="0" w:space="0" w:color="auto"/>
          </w:divBdr>
          <w:divsChild>
            <w:div w:id="1690716874">
              <w:marLeft w:val="0"/>
              <w:marRight w:val="0"/>
              <w:marTop w:val="0"/>
              <w:marBottom w:val="0"/>
              <w:divBdr>
                <w:top w:val="none" w:sz="0" w:space="0" w:color="auto"/>
                <w:left w:val="none" w:sz="0" w:space="0" w:color="auto"/>
                <w:bottom w:val="none" w:sz="0" w:space="0" w:color="auto"/>
                <w:right w:val="none" w:sz="0" w:space="0" w:color="auto"/>
              </w:divBdr>
            </w:div>
          </w:divsChild>
        </w:div>
        <w:div w:id="1156384752">
          <w:marLeft w:val="0"/>
          <w:marRight w:val="0"/>
          <w:marTop w:val="0"/>
          <w:marBottom w:val="0"/>
          <w:divBdr>
            <w:top w:val="none" w:sz="0" w:space="0" w:color="auto"/>
            <w:left w:val="none" w:sz="0" w:space="0" w:color="auto"/>
            <w:bottom w:val="none" w:sz="0" w:space="0" w:color="auto"/>
            <w:right w:val="none" w:sz="0" w:space="0" w:color="auto"/>
          </w:divBdr>
          <w:divsChild>
            <w:div w:id="726224480">
              <w:marLeft w:val="0"/>
              <w:marRight w:val="0"/>
              <w:marTop w:val="0"/>
              <w:marBottom w:val="0"/>
              <w:divBdr>
                <w:top w:val="none" w:sz="0" w:space="0" w:color="auto"/>
                <w:left w:val="none" w:sz="0" w:space="0" w:color="auto"/>
                <w:bottom w:val="none" w:sz="0" w:space="0" w:color="auto"/>
                <w:right w:val="none" w:sz="0" w:space="0" w:color="auto"/>
              </w:divBdr>
            </w:div>
            <w:div w:id="1514102732">
              <w:marLeft w:val="0"/>
              <w:marRight w:val="0"/>
              <w:marTop w:val="240"/>
              <w:marBottom w:val="0"/>
              <w:divBdr>
                <w:top w:val="none" w:sz="0" w:space="0" w:color="auto"/>
                <w:left w:val="none" w:sz="0" w:space="0" w:color="auto"/>
                <w:bottom w:val="none" w:sz="0" w:space="0" w:color="auto"/>
                <w:right w:val="none" w:sz="0" w:space="0" w:color="auto"/>
              </w:divBdr>
              <w:divsChild>
                <w:div w:id="133448944">
                  <w:marLeft w:val="0"/>
                  <w:marRight w:val="0"/>
                  <w:marTop w:val="0"/>
                  <w:marBottom w:val="0"/>
                  <w:divBdr>
                    <w:top w:val="none" w:sz="0" w:space="0" w:color="auto"/>
                    <w:left w:val="none" w:sz="0" w:space="0" w:color="auto"/>
                    <w:bottom w:val="none" w:sz="0" w:space="0" w:color="auto"/>
                    <w:right w:val="none" w:sz="0" w:space="0" w:color="auto"/>
                  </w:divBdr>
                  <w:divsChild>
                    <w:div w:id="1064134570">
                      <w:blockQuote w:val="1"/>
                      <w:marLeft w:val="0"/>
                      <w:marRight w:val="0"/>
                      <w:marTop w:val="0"/>
                      <w:marBottom w:val="0"/>
                      <w:divBdr>
                        <w:top w:val="none" w:sz="0" w:space="0" w:color="auto"/>
                        <w:left w:val="none" w:sz="0" w:space="0" w:color="auto"/>
                        <w:bottom w:val="none" w:sz="0" w:space="0" w:color="auto"/>
                        <w:right w:val="none" w:sz="0" w:space="0" w:color="auto"/>
                      </w:divBdr>
                      <w:divsChild>
                        <w:div w:id="14665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48185">
          <w:marLeft w:val="0"/>
          <w:marRight w:val="0"/>
          <w:marTop w:val="240"/>
          <w:marBottom w:val="0"/>
          <w:divBdr>
            <w:top w:val="none" w:sz="0" w:space="0" w:color="auto"/>
            <w:left w:val="none" w:sz="0" w:space="0" w:color="auto"/>
            <w:bottom w:val="none" w:sz="0" w:space="0" w:color="auto"/>
            <w:right w:val="none" w:sz="0" w:space="0" w:color="auto"/>
          </w:divBdr>
          <w:divsChild>
            <w:div w:id="1750154569">
              <w:marLeft w:val="0"/>
              <w:marRight w:val="0"/>
              <w:marTop w:val="0"/>
              <w:marBottom w:val="0"/>
              <w:divBdr>
                <w:top w:val="none" w:sz="0" w:space="0" w:color="auto"/>
                <w:left w:val="none" w:sz="0" w:space="0" w:color="auto"/>
                <w:bottom w:val="none" w:sz="0" w:space="0" w:color="auto"/>
                <w:right w:val="none" w:sz="0" w:space="0" w:color="auto"/>
              </w:divBdr>
            </w:div>
          </w:divsChild>
        </w:div>
        <w:div w:id="1391030688">
          <w:marLeft w:val="0"/>
          <w:marRight w:val="0"/>
          <w:marTop w:val="240"/>
          <w:marBottom w:val="0"/>
          <w:divBdr>
            <w:top w:val="none" w:sz="0" w:space="0" w:color="auto"/>
            <w:left w:val="none" w:sz="0" w:space="0" w:color="auto"/>
            <w:bottom w:val="none" w:sz="0" w:space="0" w:color="auto"/>
            <w:right w:val="none" w:sz="0" w:space="0" w:color="auto"/>
          </w:divBdr>
          <w:divsChild>
            <w:div w:id="472407969">
              <w:marLeft w:val="0"/>
              <w:marRight w:val="0"/>
              <w:marTop w:val="0"/>
              <w:marBottom w:val="0"/>
              <w:divBdr>
                <w:top w:val="none" w:sz="0" w:space="0" w:color="auto"/>
                <w:left w:val="none" w:sz="0" w:space="0" w:color="auto"/>
                <w:bottom w:val="none" w:sz="0" w:space="0" w:color="auto"/>
                <w:right w:val="none" w:sz="0" w:space="0" w:color="auto"/>
              </w:divBdr>
            </w:div>
          </w:divsChild>
        </w:div>
        <w:div w:id="1491366384">
          <w:marLeft w:val="0"/>
          <w:marRight w:val="0"/>
          <w:marTop w:val="0"/>
          <w:marBottom w:val="0"/>
          <w:divBdr>
            <w:top w:val="none" w:sz="0" w:space="0" w:color="auto"/>
            <w:left w:val="none" w:sz="0" w:space="0" w:color="auto"/>
            <w:bottom w:val="none" w:sz="0" w:space="0" w:color="auto"/>
            <w:right w:val="none" w:sz="0" w:space="0" w:color="auto"/>
          </w:divBdr>
          <w:divsChild>
            <w:div w:id="1064832864">
              <w:marLeft w:val="0"/>
              <w:marRight w:val="0"/>
              <w:marTop w:val="0"/>
              <w:marBottom w:val="0"/>
              <w:divBdr>
                <w:top w:val="none" w:sz="0" w:space="0" w:color="auto"/>
                <w:left w:val="none" w:sz="0" w:space="0" w:color="auto"/>
                <w:bottom w:val="none" w:sz="0" w:space="0" w:color="auto"/>
                <w:right w:val="none" w:sz="0" w:space="0" w:color="auto"/>
              </w:divBdr>
            </w:div>
          </w:divsChild>
        </w:div>
        <w:div w:id="1503349108">
          <w:marLeft w:val="0"/>
          <w:marRight w:val="0"/>
          <w:marTop w:val="240"/>
          <w:marBottom w:val="0"/>
          <w:divBdr>
            <w:top w:val="none" w:sz="0" w:space="0" w:color="auto"/>
            <w:left w:val="none" w:sz="0" w:space="0" w:color="auto"/>
            <w:bottom w:val="none" w:sz="0" w:space="0" w:color="auto"/>
            <w:right w:val="none" w:sz="0" w:space="0" w:color="auto"/>
          </w:divBdr>
          <w:divsChild>
            <w:div w:id="747580501">
              <w:marLeft w:val="0"/>
              <w:marRight w:val="0"/>
              <w:marTop w:val="0"/>
              <w:marBottom w:val="0"/>
              <w:divBdr>
                <w:top w:val="none" w:sz="0" w:space="0" w:color="auto"/>
                <w:left w:val="none" w:sz="0" w:space="0" w:color="auto"/>
                <w:bottom w:val="none" w:sz="0" w:space="0" w:color="auto"/>
                <w:right w:val="none" w:sz="0" w:space="0" w:color="auto"/>
              </w:divBdr>
            </w:div>
          </w:divsChild>
        </w:div>
        <w:div w:id="1584873578">
          <w:marLeft w:val="0"/>
          <w:marRight w:val="0"/>
          <w:marTop w:val="240"/>
          <w:marBottom w:val="0"/>
          <w:divBdr>
            <w:top w:val="none" w:sz="0" w:space="0" w:color="auto"/>
            <w:left w:val="none" w:sz="0" w:space="0" w:color="auto"/>
            <w:bottom w:val="none" w:sz="0" w:space="0" w:color="auto"/>
            <w:right w:val="none" w:sz="0" w:space="0" w:color="auto"/>
          </w:divBdr>
          <w:divsChild>
            <w:div w:id="2060585727">
              <w:marLeft w:val="0"/>
              <w:marRight w:val="0"/>
              <w:marTop w:val="240"/>
              <w:marBottom w:val="0"/>
              <w:divBdr>
                <w:top w:val="none" w:sz="0" w:space="0" w:color="auto"/>
                <w:left w:val="none" w:sz="0" w:space="0" w:color="auto"/>
                <w:bottom w:val="none" w:sz="0" w:space="0" w:color="auto"/>
                <w:right w:val="none" w:sz="0" w:space="0" w:color="auto"/>
              </w:divBdr>
            </w:div>
          </w:divsChild>
        </w:div>
        <w:div w:id="1614819339">
          <w:marLeft w:val="0"/>
          <w:marRight w:val="0"/>
          <w:marTop w:val="240"/>
          <w:marBottom w:val="0"/>
          <w:divBdr>
            <w:top w:val="none" w:sz="0" w:space="0" w:color="auto"/>
            <w:left w:val="none" w:sz="0" w:space="0" w:color="auto"/>
            <w:bottom w:val="none" w:sz="0" w:space="0" w:color="auto"/>
            <w:right w:val="none" w:sz="0" w:space="0" w:color="auto"/>
          </w:divBdr>
          <w:divsChild>
            <w:div w:id="1730693147">
              <w:marLeft w:val="0"/>
              <w:marRight w:val="0"/>
              <w:marTop w:val="0"/>
              <w:marBottom w:val="0"/>
              <w:divBdr>
                <w:top w:val="none" w:sz="0" w:space="0" w:color="auto"/>
                <w:left w:val="none" w:sz="0" w:space="0" w:color="auto"/>
                <w:bottom w:val="none" w:sz="0" w:space="0" w:color="auto"/>
                <w:right w:val="none" w:sz="0" w:space="0" w:color="auto"/>
              </w:divBdr>
            </w:div>
          </w:divsChild>
        </w:div>
        <w:div w:id="1698651791">
          <w:marLeft w:val="0"/>
          <w:marRight w:val="0"/>
          <w:marTop w:val="240"/>
          <w:marBottom w:val="0"/>
          <w:divBdr>
            <w:top w:val="none" w:sz="0" w:space="0" w:color="auto"/>
            <w:left w:val="none" w:sz="0" w:space="0" w:color="auto"/>
            <w:bottom w:val="none" w:sz="0" w:space="0" w:color="auto"/>
            <w:right w:val="none" w:sz="0" w:space="0" w:color="auto"/>
          </w:divBdr>
          <w:divsChild>
            <w:div w:id="635263225">
              <w:marLeft w:val="0"/>
              <w:marRight w:val="0"/>
              <w:marTop w:val="0"/>
              <w:marBottom w:val="0"/>
              <w:divBdr>
                <w:top w:val="none" w:sz="0" w:space="0" w:color="auto"/>
                <w:left w:val="none" w:sz="0" w:space="0" w:color="auto"/>
                <w:bottom w:val="none" w:sz="0" w:space="0" w:color="auto"/>
                <w:right w:val="none" w:sz="0" w:space="0" w:color="auto"/>
              </w:divBdr>
            </w:div>
          </w:divsChild>
        </w:div>
        <w:div w:id="1854802654">
          <w:marLeft w:val="0"/>
          <w:marRight w:val="0"/>
          <w:marTop w:val="240"/>
          <w:marBottom w:val="0"/>
          <w:divBdr>
            <w:top w:val="none" w:sz="0" w:space="0" w:color="auto"/>
            <w:left w:val="none" w:sz="0" w:space="0" w:color="auto"/>
            <w:bottom w:val="none" w:sz="0" w:space="0" w:color="auto"/>
            <w:right w:val="none" w:sz="0" w:space="0" w:color="auto"/>
          </w:divBdr>
          <w:divsChild>
            <w:div w:id="325209833">
              <w:marLeft w:val="0"/>
              <w:marRight w:val="0"/>
              <w:marTop w:val="0"/>
              <w:marBottom w:val="0"/>
              <w:divBdr>
                <w:top w:val="none" w:sz="0" w:space="0" w:color="auto"/>
                <w:left w:val="none" w:sz="0" w:space="0" w:color="auto"/>
                <w:bottom w:val="none" w:sz="0" w:space="0" w:color="auto"/>
                <w:right w:val="none" w:sz="0" w:space="0" w:color="auto"/>
              </w:divBdr>
            </w:div>
          </w:divsChild>
        </w:div>
        <w:div w:id="1910924580">
          <w:marLeft w:val="0"/>
          <w:marRight w:val="0"/>
          <w:marTop w:val="240"/>
          <w:marBottom w:val="0"/>
          <w:divBdr>
            <w:top w:val="none" w:sz="0" w:space="0" w:color="auto"/>
            <w:left w:val="none" w:sz="0" w:space="0" w:color="auto"/>
            <w:bottom w:val="none" w:sz="0" w:space="0" w:color="auto"/>
            <w:right w:val="none" w:sz="0" w:space="0" w:color="auto"/>
          </w:divBdr>
          <w:divsChild>
            <w:div w:id="1161197546">
              <w:marLeft w:val="0"/>
              <w:marRight w:val="0"/>
              <w:marTop w:val="240"/>
              <w:marBottom w:val="0"/>
              <w:divBdr>
                <w:top w:val="none" w:sz="0" w:space="0" w:color="auto"/>
                <w:left w:val="none" w:sz="0" w:space="0" w:color="auto"/>
                <w:bottom w:val="none" w:sz="0" w:space="0" w:color="auto"/>
                <w:right w:val="none" w:sz="0" w:space="0" w:color="auto"/>
              </w:divBdr>
            </w:div>
          </w:divsChild>
        </w:div>
        <w:div w:id="1925609694">
          <w:marLeft w:val="0"/>
          <w:marRight w:val="0"/>
          <w:marTop w:val="240"/>
          <w:marBottom w:val="0"/>
          <w:divBdr>
            <w:top w:val="none" w:sz="0" w:space="0" w:color="auto"/>
            <w:left w:val="none" w:sz="0" w:space="0" w:color="auto"/>
            <w:bottom w:val="none" w:sz="0" w:space="0" w:color="auto"/>
            <w:right w:val="none" w:sz="0" w:space="0" w:color="auto"/>
          </w:divBdr>
          <w:divsChild>
            <w:div w:id="337738880">
              <w:marLeft w:val="0"/>
              <w:marRight w:val="0"/>
              <w:marTop w:val="0"/>
              <w:marBottom w:val="0"/>
              <w:divBdr>
                <w:top w:val="none" w:sz="0" w:space="0" w:color="auto"/>
                <w:left w:val="none" w:sz="0" w:space="0" w:color="auto"/>
                <w:bottom w:val="none" w:sz="0" w:space="0" w:color="auto"/>
                <w:right w:val="none" w:sz="0" w:space="0" w:color="auto"/>
              </w:divBdr>
            </w:div>
          </w:divsChild>
        </w:div>
        <w:div w:id="1933968882">
          <w:marLeft w:val="0"/>
          <w:marRight w:val="0"/>
          <w:marTop w:val="240"/>
          <w:marBottom w:val="0"/>
          <w:divBdr>
            <w:top w:val="none" w:sz="0" w:space="0" w:color="auto"/>
            <w:left w:val="none" w:sz="0" w:space="0" w:color="auto"/>
            <w:bottom w:val="none" w:sz="0" w:space="0" w:color="auto"/>
            <w:right w:val="none" w:sz="0" w:space="0" w:color="auto"/>
          </w:divBdr>
          <w:divsChild>
            <w:div w:id="31460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6555">
      <w:bodyDiv w:val="1"/>
      <w:marLeft w:val="0"/>
      <w:marRight w:val="0"/>
      <w:marTop w:val="0"/>
      <w:marBottom w:val="0"/>
      <w:divBdr>
        <w:top w:val="none" w:sz="0" w:space="0" w:color="auto"/>
        <w:left w:val="none" w:sz="0" w:space="0" w:color="auto"/>
        <w:bottom w:val="none" w:sz="0" w:space="0" w:color="auto"/>
        <w:right w:val="none" w:sz="0" w:space="0" w:color="auto"/>
      </w:divBdr>
      <w:divsChild>
        <w:div w:id="150483920">
          <w:marLeft w:val="0"/>
          <w:marRight w:val="0"/>
          <w:marTop w:val="0"/>
          <w:marBottom w:val="0"/>
          <w:divBdr>
            <w:top w:val="none" w:sz="0" w:space="0" w:color="auto"/>
            <w:left w:val="none" w:sz="0" w:space="0" w:color="auto"/>
            <w:bottom w:val="none" w:sz="0" w:space="0" w:color="auto"/>
            <w:right w:val="none" w:sz="0" w:space="0" w:color="auto"/>
          </w:divBdr>
          <w:divsChild>
            <w:div w:id="1781531385">
              <w:marLeft w:val="0"/>
              <w:marRight w:val="0"/>
              <w:marTop w:val="0"/>
              <w:marBottom w:val="0"/>
              <w:divBdr>
                <w:top w:val="none" w:sz="0" w:space="0" w:color="auto"/>
                <w:left w:val="none" w:sz="0" w:space="0" w:color="auto"/>
                <w:bottom w:val="none" w:sz="0" w:space="0" w:color="auto"/>
                <w:right w:val="none" w:sz="0" w:space="0" w:color="auto"/>
              </w:divBdr>
              <w:divsChild>
                <w:div w:id="476648359">
                  <w:marLeft w:val="0"/>
                  <w:marRight w:val="0"/>
                  <w:marTop w:val="0"/>
                  <w:marBottom w:val="0"/>
                  <w:divBdr>
                    <w:top w:val="none" w:sz="0" w:space="0" w:color="auto"/>
                    <w:left w:val="none" w:sz="0" w:space="0" w:color="auto"/>
                    <w:bottom w:val="none" w:sz="0" w:space="0" w:color="auto"/>
                    <w:right w:val="none" w:sz="0" w:space="0" w:color="auto"/>
                  </w:divBdr>
                  <w:divsChild>
                    <w:div w:id="1639611151">
                      <w:marLeft w:val="0"/>
                      <w:marRight w:val="0"/>
                      <w:marTop w:val="0"/>
                      <w:marBottom w:val="375"/>
                      <w:divBdr>
                        <w:top w:val="none" w:sz="0" w:space="0" w:color="auto"/>
                        <w:left w:val="none" w:sz="0" w:space="0" w:color="auto"/>
                        <w:bottom w:val="none" w:sz="0" w:space="0" w:color="auto"/>
                        <w:right w:val="none" w:sz="0" w:space="0" w:color="auto"/>
                      </w:divBdr>
                      <w:divsChild>
                        <w:div w:id="7262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319585">
      <w:bodyDiv w:val="1"/>
      <w:marLeft w:val="0"/>
      <w:marRight w:val="0"/>
      <w:marTop w:val="0"/>
      <w:marBottom w:val="0"/>
      <w:divBdr>
        <w:top w:val="none" w:sz="0" w:space="0" w:color="auto"/>
        <w:left w:val="none" w:sz="0" w:space="0" w:color="auto"/>
        <w:bottom w:val="none" w:sz="0" w:space="0" w:color="auto"/>
        <w:right w:val="none" w:sz="0" w:space="0" w:color="auto"/>
      </w:divBdr>
      <w:divsChild>
        <w:div w:id="1212307248">
          <w:marLeft w:val="0"/>
          <w:marRight w:val="0"/>
          <w:marTop w:val="24"/>
          <w:marBottom w:val="24"/>
          <w:divBdr>
            <w:top w:val="none" w:sz="0" w:space="0" w:color="auto"/>
            <w:left w:val="none" w:sz="0" w:space="0" w:color="auto"/>
            <w:bottom w:val="none" w:sz="0" w:space="0" w:color="auto"/>
            <w:right w:val="none" w:sz="0" w:space="0" w:color="auto"/>
          </w:divBdr>
          <w:divsChild>
            <w:div w:id="1322153524">
              <w:marLeft w:val="0"/>
              <w:marRight w:val="0"/>
              <w:marTop w:val="0"/>
              <w:marBottom w:val="0"/>
              <w:divBdr>
                <w:top w:val="none" w:sz="0" w:space="0" w:color="auto"/>
                <w:left w:val="none" w:sz="0" w:space="0" w:color="auto"/>
                <w:bottom w:val="none" w:sz="0" w:space="0" w:color="auto"/>
                <w:right w:val="none" w:sz="0" w:space="0" w:color="auto"/>
              </w:divBdr>
            </w:div>
          </w:divsChild>
        </w:div>
        <w:div w:id="1217936026">
          <w:marLeft w:val="0"/>
          <w:marRight w:val="0"/>
          <w:marTop w:val="24"/>
          <w:marBottom w:val="24"/>
          <w:divBdr>
            <w:top w:val="none" w:sz="0" w:space="0" w:color="auto"/>
            <w:left w:val="none" w:sz="0" w:space="0" w:color="auto"/>
            <w:bottom w:val="none" w:sz="0" w:space="0" w:color="auto"/>
            <w:right w:val="none" w:sz="0" w:space="0" w:color="auto"/>
          </w:divBdr>
          <w:divsChild>
            <w:div w:id="2039624789">
              <w:marLeft w:val="0"/>
              <w:marRight w:val="0"/>
              <w:marTop w:val="0"/>
              <w:marBottom w:val="0"/>
              <w:divBdr>
                <w:top w:val="none" w:sz="0" w:space="0" w:color="auto"/>
                <w:left w:val="none" w:sz="0" w:space="0" w:color="auto"/>
                <w:bottom w:val="none" w:sz="0" w:space="0" w:color="auto"/>
                <w:right w:val="none" w:sz="0" w:space="0" w:color="auto"/>
              </w:divBdr>
            </w:div>
          </w:divsChild>
        </w:div>
        <w:div w:id="639383267">
          <w:marLeft w:val="0"/>
          <w:marRight w:val="0"/>
          <w:marTop w:val="24"/>
          <w:marBottom w:val="24"/>
          <w:divBdr>
            <w:top w:val="none" w:sz="0" w:space="0" w:color="auto"/>
            <w:left w:val="none" w:sz="0" w:space="0" w:color="auto"/>
            <w:bottom w:val="none" w:sz="0" w:space="0" w:color="auto"/>
            <w:right w:val="none" w:sz="0" w:space="0" w:color="auto"/>
          </w:divBdr>
          <w:divsChild>
            <w:div w:id="936984004">
              <w:marLeft w:val="0"/>
              <w:marRight w:val="0"/>
              <w:marTop w:val="0"/>
              <w:marBottom w:val="0"/>
              <w:divBdr>
                <w:top w:val="none" w:sz="0" w:space="0" w:color="auto"/>
                <w:left w:val="none" w:sz="0" w:space="0" w:color="auto"/>
                <w:bottom w:val="none" w:sz="0" w:space="0" w:color="auto"/>
                <w:right w:val="none" w:sz="0" w:space="0" w:color="auto"/>
              </w:divBdr>
            </w:div>
          </w:divsChild>
        </w:div>
        <w:div w:id="1361274997">
          <w:marLeft w:val="0"/>
          <w:marRight w:val="0"/>
          <w:marTop w:val="24"/>
          <w:marBottom w:val="24"/>
          <w:divBdr>
            <w:top w:val="none" w:sz="0" w:space="0" w:color="auto"/>
            <w:left w:val="none" w:sz="0" w:space="0" w:color="auto"/>
            <w:bottom w:val="none" w:sz="0" w:space="0" w:color="auto"/>
            <w:right w:val="none" w:sz="0" w:space="0" w:color="auto"/>
          </w:divBdr>
          <w:divsChild>
            <w:div w:id="1138645828">
              <w:marLeft w:val="0"/>
              <w:marRight w:val="0"/>
              <w:marTop w:val="0"/>
              <w:marBottom w:val="0"/>
              <w:divBdr>
                <w:top w:val="none" w:sz="0" w:space="0" w:color="auto"/>
                <w:left w:val="none" w:sz="0" w:space="0" w:color="auto"/>
                <w:bottom w:val="none" w:sz="0" w:space="0" w:color="auto"/>
                <w:right w:val="none" w:sz="0" w:space="0" w:color="auto"/>
              </w:divBdr>
            </w:div>
          </w:divsChild>
        </w:div>
        <w:div w:id="844051141">
          <w:marLeft w:val="0"/>
          <w:marRight w:val="0"/>
          <w:marTop w:val="24"/>
          <w:marBottom w:val="24"/>
          <w:divBdr>
            <w:top w:val="none" w:sz="0" w:space="0" w:color="auto"/>
            <w:left w:val="none" w:sz="0" w:space="0" w:color="auto"/>
            <w:bottom w:val="none" w:sz="0" w:space="0" w:color="auto"/>
            <w:right w:val="none" w:sz="0" w:space="0" w:color="auto"/>
          </w:divBdr>
          <w:divsChild>
            <w:div w:id="2124572660">
              <w:marLeft w:val="0"/>
              <w:marRight w:val="0"/>
              <w:marTop w:val="0"/>
              <w:marBottom w:val="0"/>
              <w:divBdr>
                <w:top w:val="none" w:sz="0" w:space="0" w:color="auto"/>
                <w:left w:val="none" w:sz="0" w:space="0" w:color="auto"/>
                <w:bottom w:val="none" w:sz="0" w:space="0" w:color="auto"/>
                <w:right w:val="none" w:sz="0" w:space="0" w:color="auto"/>
              </w:divBdr>
            </w:div>
          </w:divsChild>
        </w:div>
        <w:div w:id="1622223906">
          <w:marLeft w:val="0"/>
          <w:marRight w:val="0"/>
          <w:marTop w:val="24"/>
          <w:marBottom w:val="24"/>
          <w:divBdr>
            <w:top w:val="none" w:sz="0" w:space="0" w:color="auto"/>
            <w:left w:val="none" w:sz="0" w:space="0" w:color="auto"/>
            <w:bottom w:val="none" w:sz="0" w:space="0" w:color="auto"/>
            <w:right w:val="none" w:sz="0" w:space="0" w:color="auto"/>
          </w:divBdr>
          <w:divsChild>
            <w:div w:id="1438672412">
              <w:marLeft w:val="0"/>
              <w:marRight w:val="0"/>
              <w:marTop w:val="0"/>
              <w:marBottom w:val="0"/>
              <w:divBdr>
                <w:top w:val="none" w:sz="0" w:space="0" w:color="auto"/>
                <w:left w:val="none" w:sz="0" w:space="0" w:color="auto"/>
                <w:bottom w:val="none" w:sz="0" w:space="0" w:color="auto"/>
                <w:right w:val="none" w:sz="0" w:space="0" w:color="auto"/>
              </w:divBdr>
            </w:div>
          </w:divsChild>
        </w:div>
        <w:div w:id="234514230">
          <w:marLeft w:val="0"/>
          <w:marRight w:val="0"/>
          <w:marTop w:val="24"/>
          <w:marBottom w:val="24"/>
          <w:divBdr>
            <w:top w:val="none" w:sz="0" w:space="0" w:color="auto"/>
            <w:left w:val="none" w:sz="0" w:space="0" w:color="auto"/>
            <w:bottom w:val="none" w:sz="0" w:space="0" w:color="auto"/>
            <w:right w:val="none" w:sz="0" w:space="0" w:color="auto"/>
          </w:divBdr>
          <w:divsChild>
            <w:div w:id="984891023">
              <w:marLeft w:val="0"/>
              <w:marRight w:val="0"/>
              <w:marTop w:val="0"/>
              <w:marBottom w:val="0"/>
              <w:divBdr>
                <w:top w:val="none" w:sz="0" w:space="0" w:color="auto"/>
                <w:left w:val="none" w:sz="0" w:space="0" w:color="auto"/>
                <w:bottom w:val="none" w:sz="0" w:space="0" w:color="auto"/>
                <w:right w:val="none" w:sz="0" w:space="0" w:color="auto"/>
              </w:divBdr>
            </w:div>
          </w:divsChild>
        </w:div>
        <w:div w:id="771629079">
          <w:marLeft w:val="0"/>
          <w:marRight w:val="0"/>
          <w:marTop w:val="24"/>
          <w:marBottom w:val="24"/>
          <w:divBdr>
            <w:top w:val="none" w:sz="0" w:space="0" w:color="auto"/>
            <w:left w:val="none" w:sz="0" w:space="0" w:color="auto"/>
            <w:bottom w:val="none" w:sz="0" w:space="0" w:color="auto"/>
            <w:right w:val="none" w:sz="0" w:space="0" w:color="auto"/>
          </w:divBdr>
          <w:divsChild>
            <w:div w:id="529028316">
              <w:marLeft w:val="0"/>
              <w:marRight w:val="0"/>
              <w:marTop w:val="0"/>
              <w:marBottom w:val="0"/>
              <w:divBdr>
                <w:top w:val="none" w:sz="0" w:space="0" w:color="auto"/>
                <w:left w:val="none" w:sz="0" w:space="0" w:color="auto"/>
                <w:bottom w:val="none" w:sz="0" w:space="0" w:color="auto"/>
                <w:right w:val="none" w:sz="0" w:space="0" w:color="auto"/>
              </w:divBdr>
            </w:div>
          </w:divsChild>
        </w:div>
        <w:div w:id="220791315">
          <w:marLeft w:val="0"/>
          <w:marRight w:val="0"/>
          <w:marTop w:val="24"/>
          <w:marBottom w:val="24"/>
          <w:divBdr>
            <w:top w:val="none" w:sz="0" w:space="0" w:color="auto"/>
            <w:left w:val="none" w:sz="0" w:space="0" w:color="auto"/>
            <w:bottom w:val="none" w:sz="0" w:space="0" w:color="auto"/>
            <w:right w:val="none" w:sz="0" w:space="0" w:color="auto"/>
          </w:divBdr>
          <w:divsChild>
            <w:div w:id="808936779">
              <w:marLeft w:val="0"/>
              <w:marRight w:val="0"/>
              <w:marTop w:val="0"/>
              <w:marBottom w:val="0"/>
              <w:divBdr>
                <w:top w:val="none" w:sz="0" w:space="0" w:color="auto"/>
                <w:left w:val="none" w:sz="0" w:space="0" w:color="auto"/>
                <w:bottom w:val="none" w:sz="0" w:space="0" w:color="auto"/>
                <w:right w:val="none" w:sz="0" w:space="0" w:color="auto"/>
              </w:divBdr>
            </w:div>
          </w:divsChild>
        </w:div>
        <w:div w:id="1870338146">
          <w:marLeft w:val="0"/>
          <w:marRight w:val="0"/>
          <w:marTop w:val="24"/>
          <w:marBottom w:val="24"/>
          <w:divBdr>
            <w:top w:val="none" w:sz="0" w:space="0" w:color="auto"/>
            <w:left w:val="none" w:sz="0" w:space="0" w:color="auto"/>
            <w:bottom w:val="none" w:sz="0" w:space="0" w:color="auto"/>
            <w:right w:val="none" w:sz="0" w:space="0" w:color="auto"/>
          </w:divBdr>
          <w:divsChild>
            <w:div w:id="573275735">
              <w:marLeft w:val="0"/>
              <w:marRight w:val="0"/>
              <w:marTop w:val="0"/>
              <w:marBottom w:val="0"/>
              <w:divBdr>
                <w:top w:val="none" w:sz="0" w:space="0" w:color="auto"/>
                <w:left w:val="none" w:sz="0" w:space="0" w:color="auto"/>
                <w:bottom w:val="none" w:sz="0" w:space="0" w:color="auto"/>
                <w:right w:val="none" w:sz="0" w:space="0" w:color="auto"/>
              </w:divBdr>
            </w:div>
          </w:divsChild>
        </w:div>
        <w:div w:id="2041466682">
          <w:marLeft w:val="0"/>
          <w:marRight w:val="0"/>
          <w:marTop w:val="24"/>
          <w:marBottom w:val="24"/>
          <w:divBdr>
            <w:top w:val="none" w:sz="0" w:space="0" w:color="auto"/>
            <w:left w:val="none" w:sz="0" w:space="0" w:color="auto"/>
            <w:bottom w:val="none" w:sz="0" w:space="0" w:color="auto"/>
            <w:right w:val="none" w:sz="0" w:space="0" w:color="auto"/>
          </w:divBdr>
          <w:divsChild>
            <w:div w:id="12728093">
              <w:marLeft w:val="0"/>
              <w:marRight w:val="0"/>
              <w:marTop w:val="0"/>
              <w:marBottom w:val="0"/>
              <w:divBdr>
                <w:top w:val="none" w:sz="0" w:space="0" w:color="auto"/>
                <w:left w:val="none" w:sz="0" w:space="0" w:color="auto"/>
                <w:bottom w:val="none" w:sz="0" w:space="0" w:color="auto"/>
                <w:right w:val="none" w:sz="0" w:space="0" w:color="auto"/>
              </w:divBdr>
            </w:div>
          </w:divsChild>
        </w:div>
        <w:div w:id="1367606557">
          <w:marLeft w:val="0"/>
          <w:marRight w:val="0"/>
          <w:marTop w:val="24"/>
          <w:marBottom w:val="24"/>
          <w:divBdr>
            <w:top w:val="none" w:sz="0" w:space="0" w:color="auto"/>
            <w:left w:val="none" w:sz="0" w:space="0" w:color="auto"/>
            <w:bottom w:val="none" w:sz="0" w:space="0" w:color="auto"/>
            <w:right w:val="none" w:sz="0" w:space="0" w:color="auto"/>
          </w:divBdr>
          <w:divsChild>
            <w:div w:id="373237384">
              <w:marLeft w:val="0"/>
              <w:marRight w:val="0"/>
              <w:marTop w:val="0"/>
              <w:marBottom w:val="0"/>
              <w:divBdr>
                <w:top w:val="none" w:sz="0" w:space="0" w:color="auto"/>
                <w:left w:val="none" w:sz="0" w:space="0" w:color="auto"/>
                <w:bottom w:val="none" w:sz="0" w:space="0" w:color="auto"/>
                <w:right w:val="none" w:sz="0" w:space="0" w:color="auto"/>
              </w:divBdr>
            </w:div>
          </w:divsChild>
        </w:div>
        <w:div w:id="1060785805">
          <w:marLeft w:val="0"/>
          <w:marRight w:val="0"/>
          <w:marTop w:val="24"/>
          <w:marBottom w:val="24"/>
          <w:divBdr>
            <w:top w:val="none" w:sz="0" w:space="0" w:color="auto"/>
            <w:left w:val="none" w:sz="0" w:space="0" w:color="auto"/>
            <w:bottom w:val="none" w:sz="0" w:space="0" w:color="auto"/>
            <w:right w:val="none" w:sz="0" w:space="0" w:color="auto"/>
          </w:divBdr>
          <w:divsChild>
            <w:div w:id="1054045197">
              <w:marLeft w:val="0"/>
              <w:marRight w:val="0"/>
              <w:marTop w:val="0"/>
              <w:marBottom w:val="0"/>
              <w:divBdr>
                <w:top w:val="none" w:sz="0" w:space="0" w:color="auto"/>
                <w:left w:val="none" w:sz="0" w:space="0" w:color="auto"/>
                <w:bottom w:val="none" w:sz="0" w:space="0" w:color="auto"/>
                <w:right w:val="none" w:sz="0" w:space="0" w:color="auto"/>
              </w:divBdr>
            </w:div>
          </w:divsChild>
        </w:div>
        <w:div w:id="316032184">
          <w:marLeft w:val="0"/>
          <w:marRight w:val="0"/>
          <w:marTop w:val="24"/>
          <w:marBottom w:val="24"/>
          <w:divBdr>
            <w:top w:val="none" w:sz="0" w:space="0" w:color="auto"/>
            <w:left w:val="none" w:sz="0" w:space="0" w:color="auto"/>
            <w:bottom w:val="none" w:sz="0" w:space="0" w:color="auto"/>
            <w:right w:val="none" w:sz="0" w:space="0" w:color="auto"/>
          </w:divBdr>
          <w:divsChild>
            <w:div w:id="223688295">
              <w:marLeft w:val="0"/>
              <w:marRight w:val="0"/>
              <w:marTop w:val="0"/>
              <w:marBottom w:val="0"/>
              <w:divBdr>
                <w:top w:val="none" w:sz="0" w:space="0" w:color="auto"/>
                <w:left w:val="none" w:sz="0" w:space="0" w:color="auto"/>
                <w:bottom w:val="none" w:sz="0" w:space="0" w:color="auto"/>
                <w:right w:val="none" w:sz="0" w:space="0" w:color="auto"/>
              </w:divBdr>
            </w:div>
          </w:divsChild>
        </w:div>
        <w:div w:id="1654523075">
          <w:marLeft w:val="0"/>
          <w:marRight w:val="0"/>
          <w:marTop w:val="24"/>
          <w:marBottom w:val="24"/>
          <w:divBdr>
            <w:top w:val="none" w:sz="0" w:space="0" w:color="auto"/>
            <w:left w:val="none" w:sz="0" w:space="0" w:color="auto"/>
            <w:bottom w:val="none" w:sz="0" w:space="0" w:color="auto"/>
            <w:right w:val="none" w:sz="0" w:space="0" w:color="auto"/>
          </w:divBdr>
          <w:divsChild>
            <w:div w:id="1914779801">
              <w:marLeft w:val="0"/>
              <w:marRight w:val="0"/>
              <w:marTop w:val="0"/>
              <w:marBottom w:val="0"/>
              <w:divBdr>
                <w:top w:val="none" w:sz="0" w:space="0" w:color="auto"/>
                <w:left w:val="none" w:sz="0" w:space="0" w:color="auto"/>
                <w:bottom w:val="none" w:sz="0" w:space="0" w:color="auto"/>
                <w:right w:val="none" w:sz="0" w:space="0" w:color="auto"/>
              </w:divBdr>
            </w:div>
          </w:divsChild>
        </w:div>
        <w:div w:id="1337268116">
          <w:marLeft w:val="0"/>
          <w:marRight w:val="0"/>
          <w:marTop w:val="24"/>
          <w:marBottom w:val="24"/>
          <w:divBdr>
            <w:top w:val="none" w:sz="0" w:space="0" w:color="auto"/>
            <w:left w:val="none" w:sz="0" w:space="0" w:color="auto"/>
            <w:bottom w:val="none" w:sz="0" w:space="0" w:color="auto"/>
            <w:right w:val="none" w:sz="0" w:space="0" w:color="auto"/>
          </w:divBdr>
          <w:divsChild>
            <w:div w:id="8930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72071">
      <w:bodyDiv w:val="1"/>
      <w:marLeft w:val="0"/>
      <w:marRight w:val="0"/>
      <w:marTop w:val="0"/>
      <w:marBottom w:val="0"/>
      <w:divBdr>
        <w:top w:val="none" w:sz="0" w:space="0" w:color="auto"/>
        <w:left w:val="none" w:sz="0" w:space="0" w:color="auto"/>
        <w:bottom w:val="none" w:sz="0" w:space="0" w:color="auto"/>
        <w:right w:val="none" w:sz="0" w:space="0" w:color="auto"/>
      </w:divBdr>
      <w:divsChild>
        <w:div w:id="1987317986">
          <w:marLeft w:val="0"/>
          <w:marRight w:val="0"/>
          <w:marTop w:val="240"/>
          <w:marBottom w:val="0"/>
          <w:divBdr>
            <w:top w:val="none" w:sz="0" w:space="0" w:color="auto"/>
            <w:left w:val="none" w:sz="0" w:space="0" w:color="auto"/>
            <w:bottom w:val="none" w:sz="0" w:space="0" w:color="auto"/>
            <w:right w:val="none" w:sz="0" w:space="0" w:color="auto"/>
          </w:divBdr>
          <w:divsChild>
            <w:div w:id="1195118933">
              <w:marLeft w:val="0"/>
              <w:marRight w:val="0"/>
              <w:marTop w:val="0"/>
              <w:marBottom w:val="0"/>
              <w:divBdr>
                <w:top w:val="none" w:sz="0" w:space="0" w:color="auto"/>
                <w:left w:val="none" w:sz="0" w:space="0" w:color="auto"/>
                <w:bottom w:val="none" w:sz="0" w:space="0" w:color="auto"/>
                <w:right w:val="none" w:sz="0" w:space="0" w:color="auto"/>
              </w:divBdr>
            </w:div>
          </w:divsChild>
        </w:div>
        <w:div w:id="1890409306">
          <w:marLeft w:val="0"/>
          <w:marRight w:val="0"/>
          <w:marTop w:val="240"/>
          <w:marBottom w:val="0"/>
          <w:divBdr>
            <w:top w:val="none" w:sz="0" w:space="0" w:color="auto"/>
            <w:left w:val="none" w:sz="0" w:space="0" w:color="auto"/>
            <w:bottom w:val="none" w:sz="0" w:space="0" w:color="auto"/>
            <w:right w:val="none" w:sz="0" w:space="0" w:color="auto"/>
          </w:divBdr>
          <w:divsChild>
            <w:div w:id="896401674">
              <w:marLeft w:val="0"/>
              <w:marRight w:val="0"/>
              <w:marTop w:val="0"/>
              <w:marBottom w:val="0"/>
              <w:divBdr>
                <w:top w:val="none" w:sz="0" w:space="0" w:color="auto"/>
                <w:left w:val="none" w:sz="0" w:space="0" w:color="auto"/>
                <w:bottom w:val="none" w:sz="0" w:space="0" w:color="auto"/>
                <w:right w:val="none" w:sz="0" w:space="0" w:color="auto"/>
              </w:divBdr>
            </w:div>
          </w:divsChild>
        </w:div>
        <w:div w:id="1785998660">
          <w:marLeft w:val="0"/>
          <w:marRight w:val="0"/>
          <w:marTop w:val="240"/>
          <w:marBottom w:val="0"/>
          <w:divBdr>
            <w:top w:val="none" w:sz="0" w:space="0" w:color="auto"/>
            <w:left w:val="none" w:sz="0" w:space="0" w:color="auto"/>
            <w:bottom w:val="none" w:sz="0" w:space="0" w:color="auto"/>
            <w:right w:val="none" w:sz="0" w:space="0" w:color="auto"/>
          </w:divBdr>
          <w:divsChild>
            <w:div w:id="1102651070">
              <w:marLeft w:val="0"/>
              <w:marRight w:val="0"/>
              <w:marTop w:val="0"/>
              <w:marBottom w:val="0"/>
              <w:divBdr>
                <w:top w:val="none" w:sz="0" w:space="0" w:color="auto"/>
                <w:left w:val="none" w:sz="0" w:space="0" w:color="auto"/>
                <w:bottom w:val="none" w:sz="0" w:space="0" w:color="auto"/>
                <w:right w:val="none" w:sz="0" w:space="0" w:color="auto"/>
              </w:divBdr>
            </w:div>
          </w:divsChild>
        </w:div>
        <w:div w:id="505704535">
          <w:marLeft w:val="0"/>
          <w:marRight w:val="0"/>
          <w:marTop w:val="240"/>
          <w:marBottom w:val="0"/>
          <w:divBdr>
            <w:top w:val="none" w:sz="0" w:space="0" w:color="auto"/>
            <w:left w:val="none" w:sz="0" w:space="0" w:color="auto"/>
            <w:bottom w:val="none" w:sz="0" w:space="0" w:color="auto"/>
            <w:right w:val="none" w:sz="0" w:space="0" w:color="auto"/>
          </w:divBdr>
          <w:divsChild>
            <w:div w:id="806555309">
              <w:marLeft w:val="0"/>
              <w:marRight w:val="0"/>
              <w:marTop w:val="0"/>
              <w:marBottom w:val="0"/>
              <w:divBdr>
                <w:top w:val="none" w:sz="0" w:space="0" w:color="auto"/>
                <w:left w:val="none" w:sz="0" w:space="0" w:color="auto"/>
                <w:bottom w:val="none" w:sz="0" w:space="0" w:color="auto"/>
                <w:right w:val="none" w:sz="0" w:space="0" w:color="auto"/>
              </w:divBdr>
            </w:div>
          </w:divsChild>
        </w:div>
        <w:div w:id="785198142">
          <w:marLeft w:val="0"/>
          <w:marRight w:val="0"/>
          <w:marTop w:val="240"/>
          <w:marBottom w:val="0"/>
          <w:divBdr>
            <w:top w:val="none" w:sz="0" w:space="0" w:color="auto"/>
            <w:left w:val="none" w:sz="0" w:space="0" w:color="auto"/>
            <w:bottom w:val="none" w:sz="0" w:space="0" w:color="auto"/>
            <w:right w:val="none" w:sz="0" w:space="0" w:color="auto"/>
          </w:divBdr>
          <w:divsChild>
            <w:div w:id="1511485192">
              <w:marLeft w:val="0"/>
              <w:marRight w:val="0"/>
              <w:marTop w:val="0"/>
              <w:marBottom w:val="0"/>
              <w:divBdr>
                <w:top w:val="none" w:sz="0" w:space="0" w:color="auto"/>
                <w:left w:val="none" w:sz="0" w:space="0" w:color="auto"/>
                <w:bottom w:val="none" w:sz="0" w:space="0" w:color="auto"/>
                <w:right w:val="none" w:sz="0" w:space="0" w:color="auto"/>
              </w:divBdr>
            </w:div>
          </w:divsChild>
        </w:div>
        <w:div w:id="4787356">
          <w:marLeft w:val="0"/>
          <w:marRight w:val="0"/>
          <w:marTop w:val="240"/>
          <w:marBottom w:val="0"/>
          <w:divBdr>
            <w:top w:val="none" w:sz="0" w:space="0" w:color="auto"/>
            <w:left w:val="none" w:sz="0" w:space="0" w:color="auto"/>
            <w:bottom w:val="none" w:sz="0" w:space="0" w:color="auto"/>
            <w:right w:val="none" w:sz="0" w:space="0" w:color="auto"/>
          </w:divBdr>
          <w:divsChild>
            <w:div w:id="1635983058">
              <w:marLeft w:val="0"/>
              <w:marRight w:val="0"/>
              <w:marTop w:val="0"/>
              <w:marBottom w:val="0"/>
              <w:divBdr>
                <w:top w:val="none" w:sz="0" w:space="0" w:color="auto"/>
                <w:left w:val="none" w:sz="0" w:space="0" w:color="auto"/>
                <w:bottom w:val="none" w:sz="0" w:space="0" w:color="auto"/>
                <w:right w:val="none" w:sz="0" w:space="0" w:color="auto"/>
              </w:divBdr>
            </w:div>
          </w:divsChild>
        </w:div>
        <w:div w:id="2125071712">
          <w:marLeft w:val="0"/>
          <w:marRight w:val="0"/>
          <w:marTop w:val="240"/>
          <w:marBottom w:val="0"/>
          <w:divBdr>
            <w:top w:val="none" w:sz="0" w:space="0" w:color="auto"/>
            <w:left w:val="none" w:sz="0" w:space="0" w:color="auto"/>
            <w:bottom w:val="none" w:sz="0" w:space="0" w:color="auto"/>
            <w:right w:val="none" w:sz="0" w:space="0" w:color="auto"/>
          </w:divBdr>
          <w:divsChild>
            <w:div w:id="906375925">
              <w:marLeft w:val="0"/>
              <w:marRight w:val="0"/>
              <w:marTop w:val="0"/>
              <w:marBottom w:val="0"/>
              <w:divBdr>
                <w:top w:val="none" w:sz="0" w:space="0" w:color="auto"/>
                <w:left w:val="none" w:sz="0" w:space="0" w:color="auto"/>
                <w:bottom w:val="none" w:sz="0" w:space="0" w:color="auto"/>
                <w:right w:val="none" w:sz="0" w:space="0" w:color="auto"/>
              </w:divBdr>
            </w:div>
          </w:divsChild>
        </w:div>
        <w:div w:id="1566843092">
          <w:marLeft w:val="0"/>
          <w:marRight w:val="0"/>
          <w:marTop w:val="240"/>
          <w:marBottom w:val="0"/>
          <w:divBdr>
            <w:top w:val="none" w:sz="0" w:space="0" w:color="auto"/>
            <w:left w:val="none" w:sz="0" w:space="0" w:color="auto"/>
            <w:bottom w:val="none" w:sz="0" w:space="0" w:color="auto"/>
            <w:right w:val="none" w:sz="0" w:space="0" w:color="auto"/>
          </w:divBdr>
          <w:divsChild>
            <w:div w:id="750078280">
              <w:marLeft w:val="0"/>
              <w:marRight w:val="0"/>
              <w:marTop w:val="0"/>
              <w:marBottom w:val="0"/>
              <w:divBdr>
                <w:top w:val="none" w:sz="0" w:space="0" w:color="auto"/>
                <w:left w:val="none" w:sz="0" w:space="0" w:color="auto"/>
                <w:bottom w:val="none" w:sz="0" w:space="0" w:color="auto"/>
                <w:right w:val="none" w:sz="0" w:space="0" w:color="auto"/>
              </w:divBdr>
            </w:div>
            <w:div w:id="547650664">
              <w:marLeft w:val="0"/>
              <w:marRight w:val="0"/>
              <w:marTop w:val="240"/>
              <w:marBottom w:val="0"/>
              <w:divBdr>
                <w:top w:val="none" w:sz="0" w:space="0" w:color="auto"/>
                <w:left w:val="none" w:sz="0" w:space="0" w:color="auto"/>
                <w:bottom w:val="none" w:sz="0" w:space="0" w:color="auto"/>
                <w:right w:val="none" w:sz="0" w:space="0" w:color="auto"/>
              </w:divBdr>
              <w:divsChild>
                <w:div w:id="2103912909">
                  <w:marLeft w:val="0"/>
                  <w:marRight w:val="0"/>
                  <w:marTop w:val="0"/>
                  <w:marBottom w:val="0"/>
                  <w:divBdr>
                    <w:top w:val="none" w:sz="0" w:space="0" w:color="auto"/>
                    <w:left w:val="none" w:sz="0" w:space="0" w:color="auto"/>
                    <w:bottom w:val="none" w:sz="0" w:space="0" w:color="auto"/>
                    <w:right w:val="none" w:sz="0" w:space="0" w:color="auto"/>
                  </w:divBdr>
                </w:div>
              </w:divsChild>
            </w:div>
            <w:div w:id="486626886">
              <w:marLeft w:val="0"/>
              <w:marRight w:val="0"/>
              <w:marTop w:val="240"/>
              <w:marBottom w:val="0"/>
              <w:divBdr>
                <w:top w:val="none" w:sz="0" w:space="0" w:color="auto"/>
                <w:left w:val="none" w:sz="0" w:space="0" w:color="auto"/>
                <w:bottom w:val="none" w:sz="0" w:space="0" w:color="auto"/>
                <w:right w:val="none" w:sz="0" w:space="0" w:color="auto"/>
              </w:divBdr>
              <w:divsChild>
                <w:div w:id="15280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0716">
          <w:marLeft w:val="0"/>
          <w:marRight w:val="0"/>
          <w:marTop w:val="240"/>
          <w:marBottom w:val="0"/>
          <w:divBdr>
            <w:top w:val="none" w:sz="0" w:space="0" w:color="auto"/>
            <w:left w:val="none" w:sz="0" w:space="0" w:color="auto"/>
            <w:bottom w:val="none" w:sz="0" w:space="0" w:color="auto"/>
            <w:right w:val="none" w:sz="0" w:space="0" w:color="auto"/>
          </w:divBdr>
          <w:divsChild>
            <w:div w:id="18605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59114">
      <w:bodyDiv w:val="1"/>
      <w:marLeft w:val="0"/>
      <w:marRight w:val="0"/>
      <w:marTop w:val="0"/>
      <w:marBottom w:val="0"/>
      <w:divBdr>
        <w:top w:val="none" w:sz="0" w:space="0" w:color="auto"/>
        <w:left w:val="none" w:sz="0" w:space="0" w:color="auto"/>
        <w:bottom w:val="none" w:sz="0" w:space="0" w:color="auto"/>
        <w:right w:val="none" w:sz="0" w:space="0" w:color="auto"/>
      </w:divBdr>
      <w:divsChild>
        <w:div w:id="270161874">
          <w:marLeft w:val="0"/>
          <w:marRight w:val="0"/>
          <w:marTop w:val="240"/>
          <w:marBottom w:val="0"/>
          <w:divBdr>
            <w:top w:val="none" w:sz="0" w:space="0" w:color="auto"/>
            <w:left w:val="none" w:sz="0" w:space="0" w:color="auto"/>
            <w:bottom w:val="none" w:sz="0" w:space="0" w:color="auto"/>
            <w:right w:val="none" w:sz="0" w:space="0" w:color="auto"/>
          </w:divBdr>
          <w:divsChild>
            <w:div w:id="1541090958">
              <w:marLeft w:val="0"/>
              <w:marRight w:val="0"/>
              <w:marTop w:val="0"/>
              <w:marBottom w:val="0"/>
              <w:divBdr>
                <w:top w:val="none" w:sz="0" w:space="0" w:color="auto"/>
                <w:left w:val="none" w:sz="0" w:space="0" w:color="auto"/>
                <w:bottom w:val="none" w:sz="0" w:space="0" w:color="auto"/>
                <w:right w:val="none" w:sz="0" w:space="0" w:color="auto"/>
              </w:divBdr>
            </w:div>
          </w:divsChild>
        </w:div>
        <w:div w:id="378090157">
          <w:marLeft w:val="0"/>
          <w:marRight w:val="0"/>
          <w:marTop w:val="0"/>
          <w:marBottom w:val="0"/>
          <w:divBdr>
            <w:top w:val="none" w:sz="0" w:space="0" w:color="auto"/>
            <w:left w:val="none" w:sz="0" w:space="0" w:color="auto"/>
            <w:bottom w:val="none" w:sz="0" w:space="0" w:color="auto"/>
            <w:right w:val="none" w:sz="0" w:space="0" w:color="auto"/>
          </w:divBdr>
        </w:div>
        <w:div w:id="730664056">
          <w:marLeft w:val="0"/>
          <w:marRight w:val="0"/>
          <w:marTop w:val="240"/>
          <w:marBottom w:val="0"/>
          <w:divBdr>
            <w:top w:val="none" w:sz="0" w:space="0" w:color="auto"/>
            <w:left w:val="none" w:sz="0" w:space="0" w:color="auto"/>
            <w:bottom w:val="none" w:sz="0" w:space="0" w:color="auto"/>
            <w:right w:val="none" w:sz="0" w:space="0" w:color="auto"/>
          </w:divBdr>
          <w:divsChild>
            <w:div w:id="859657643">
              <w:marLeft w:val="0"/>
              <w:marRight w:val="0"/>
              <w:marTop w:val="0"/>
              <w:marBottom w:val="0"/>
              <w:divBdr>
                <w:top w:val="none" w:sz="0" w:space="0" w:color="auto"/>
                <w:left w:val="none" w:sz="0" w:space="0" w:color="auto"/>
                <w:bottom w:val="none" w:sz="0" w:space="0" w:color="auto"/>
                <w:right w:val="none" w:sz="0" w:space="0" w:color="auto"/>
              </w:divBdr>
            </w:div>
          </w:divsChild>
        </w:div>
        <w:div w:id="1064835510">
          <w:marLeft w:val="0"/>
          <w:marRight w:val="0"/>
          <w:marTop w:val="240"/>
          <w:marBottom w:val="0"/>
          <w:divBdr>
            <w:top w:val="none" w:sz="0" w:space="0" w:color="auto"/>
            <w:left w:val="none" w:sz="0" w:space="0" w:color="auto"/>
            <w:bottom w:val="none" w:sz="0" w:space="0" w:color="auto"/>
            <w:right w:val="none" w:sz="0" w:space="0" w:color="auto"/>
          </w:divBdr>
          <w:divsChild>
            <w:div w:id="991760266">
              <w:marLeft w:val="0"/>
              <w:marRight w:val="0"/>
              <w:marTop w:val="0"/>
              <w:marBottom w:val="0"/>
              <w:divBdr>
                <w:top w:val="none" w:sz="0" w:space="0" w:color="auto"/>
                <w:left w:val="none" w:sz="0" w:space="0" w:color="auto"/>
                <w:bottom w:val="none" w:sz="0" w:space="0" w:color="auto"/>
                <w:right w:val="none" w:sz="0" w:space="0" w:color="auto"/>
              </w:divBdr>
            </w:div>
          </w:divsChild>
        </w:div>
        <w:div w:id="1577787459">
          <w:marLeft w:val="0"/>
          <w:marRight w:val="0"/>
          <w:marTop w:val="240"/>
          <w:marBottom w:val="0"/>
          <w:divBdr>
            <w:top w:val="none" w:sz="0" w:space="0" w:color="auto"/>
            <w:left w:val="none" w:sz="0" w:space="0" w:color="auto"/>
            <w:bottom w:val="none" w:sz="0" w:space="0" w:color="auto"/>
            <w:right w:val="none" w:sz="0" w:space="0" w:color="auto"/>
          </w:divBdr>
          <w:divsChild>
            <w:div w:id="18911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5440">
      <w:bodyDiv w:val="1"/>
      <w:marLeft w:val="0"/>
      <w:marRight w:val="0"/>
      <w:marTop w:val="0"/>
      <w:marBottom w:val="0"/>
      <w:divBdr>
        <w:top w:val="none" w:sz="0" w:space="0" w:color="auto"/>
        <w:left w:val="none" w:sz="0" w:space="0" w:color="auto"/>
        <w:bottom w:val="none" w:sz="0" w:space="0" w:color="auto"/>
        <w:right w:val="none" w:sz="0" w:space="0" w:color="auto"/>
      </w:divBdr>
      <w:divsChild>
        <w:div w:id="405880705">
          <w:marLeft w:val="0"/>
          <w:marRight w:val="0"/>
          <w:marTop w:val="0"/>
          <w:marBottom w:val="0"/>
          <w:divBdr>
            <w:top w:val="none" w:sz="0" w:space="0" w:color="auto"/>
            <w:left w:val="single" w:sz="6" w:space="0" w:color="BBBBBB"/>
            <w:bottom w:val="single" w:sz="6" w:space="0" w:color="BBBBBB"/>
            <w:right w:val="single" w:sz="6" w:space="0" w:color="BBBBBB"/>
          </w:divBdr>
          <w:divsChild>
            <w:div w:id="928077070">
              <w:marLeft w:val="0"/>
              <w:marRight w:val="0"/>
              <w:marTop w:val="0"/>
              <w:marBottom w:val="0"/>
              <w:divBdr>
                <w:top w:val="none" w:sz="0" w:space="0" w:color="auto"/>
                <w:left w:val="none" w:sz="0" w:space="0" w:color="auto"/>
                <w:bottom w:val="none" w:sz="0" w:space="0" w:color="auto"/>
                <w:right w:val="none" w:sz="0" w:space="0" w:color="auto"/>
              </w:divBdr>
              <w:divsChild>
                <w:div w:id="1302004441">
                  <w:marLeft w:val="0"/>
                  <w:marRight w:val="0"/>
                  <w:marTop w:val="75"/>
                  <w:marBottom w:val="0"/>
                  <w:divBdr>
                    <w:top w:val="none" w:sz="0" w:space="0" w:color="auto"/>
                    <w:left w:val="none" w:sz="0" w:space="0" w:color="auto"/>
                    <w:bottom w:val="none" w:sz="0" w:space="0" w:color="auto"/>
                    <w:right w:val="none" w:sz="0" w:space="0" w:color="auto"/>
                  </w:divBdr>
                  <w:divsChild>
                    <w:div w:id="502476772">
                      <w:marLeft w:val="0"/>
                      <w:marRight w:val="0"/>
                      <w:marTop w:val="0"/>
                      <w:marBottom w:val="0"/>
                      <w:divBdr>
                        <w:top w:val="none" w:sz="0" w:space="0" w:color="auto"/>
                        <w:left w:val="none" w:sz="0" w:space="0" w:color="auto"/>
                        <w:bottom w:val="none" w:sz="0" w:space="0" w:color="auto"/>
                        <w:right w:val="none" w:sz="0" w:space="0" w:color="auto"/>
                      </w:divBdr>
                      <w:divsChild>
                        <w:div w:id="1776827056">
                          <w:marLeft w:val="0"/>
                          <w:marRight w:val="0"/>
                          <w:marTop w:val="0"/>
                          <w:marBottom w:val="0"/>
                          <w:divBdr>
                            <w:top w:val="none" w:sz="0" w:space="0" w:color="auto"/>
                            <w:left w:val="none" w:sz="0" w:space="0" w:color="auto"/>
                            <w:bottom w:val="none" w:sz="0" w:space="0" w:color="auto"/>
                            <w:right w:val="none" w:sz="0" w:space="0" w:color="auto"/>
                          </w:divBdr>
                          <w:divsChild>
                            <w:div w:id="1677880107">
                              <w:marLeft w:val="0"/>
                              <w:marRight w:val="0"/>
                              <w:marTop w:val="0"/>
                              <w:marBottom w:val="0"/>
                              <w:divBdr>
                                <w:top w:val="none" w:sz="0" w:space="0" w:color="auto"/>
                                <w:left w:val="none" w:sz="0" w:space="0" w:color="auto"/>
                                <w:bottom w:val="none" w:sz="0" w:space="0" w:color="auto"/>
                                <w:right w:val="none" w:sz="0" w:space="0" w:color="auto"/>
                              </w:divBdr>
                              <w:divsChild>
                                <w:div w:id="1472595367">
                                  <w:marLeft w:val="0"/>
                                  <w:marRight w:val="0"/>
                                  <w:marTop w:val="0"/>
                                  <w:marBottom w:val="0"/>
                                  <w:divBdr>
                                    <w:top w:val="none" w:sz="0" w:space="0" w:color="auto"/>
                                    <w:left w:val="none" w:sz="0" w:space="0" w:color="auto"/>
                                    <w:bottom w:val="none" w:sz="0" w:space="0" w:color="auto"/>
                                    <w:right w:val="none" w:sz="0" w:space="0" w:color="auto"/>
                                  </w:divBdr>
                                  <w:divsChild>
                                    <w:div w:id="2077782677">
                                      <w:marLeft w:val="0"/>
                                      <w:marRight w:val="0"/>
                                      <w:marTop w:val="0"/>
                                      <w:marBottom w:val="0"/>
                                      <w:divBdr>
                                        <w:top w:val="none" w:sz="0" w:space="0" w:color="auto"/>
                                        <w:left w:val="none" w:sz="0" w:space="0" w:color="auto"/>
                                        <w:bottom w:val="none" w:sz="0" w:space="0" w:color="auto"/>
                                        <w:right w:val="none" w:sz="0" w:space="0" w:color="auto"/>
                                      </w:divBdr>
                                      <w:divsChild>
                                        <w:div w:id="2121030218">
                                          <w:marLeft w:val="1200"/>
                                          <w:marRight w:val="1200"/>
                                          <w:marTop w:val="0"/>
                                          <w:marBottom w:val="0"/>
                                          <w:divBdr>
                                            <w:top w:val="none" w:sz="0" w:space="0" w:color="auto"/>
                                            <w:left w:val="none" w:sz="0" w:space="0" w:color="auto"/>
                                            <w:bottom w:val="none" w:sz="0" w:space="0" w:color="auto"/>
                                            <w:right w:val="none" w:sz="0" w:space="0" w:color="auto"/>
                                          </w:divBdr>
                                          <w:divsChild>
                                            <w:div w:id="163206430">
                                              <w:marLeft w:val="0"/>
                                              <w:marRight w:val="0"/>
                                              <w:marTop w:val="0"/>
                                              <w:marBottom w:val="0"/>
                                              <w:divBdr>
                                                <w:top w:val="none" w:sz="0" w:space="0" w:color="auto"/>
                                                <w:left w:val="none" w:sz="0" w:space="0" w:color="auto"/>
                                                <w:bottom w:val="none" w:sz="0" w:space="0" w:color="auto"/>
                                                <w:right w:val="none" w:sz="0" w:space="0" w:color="auto"/>
                                              </w:divBdr>
                                              <w:divsChild>
                                                <w:div w:id="1914656240">
                                                  <w:marLeft w:val="0"/>
                                                  <w:marRight w:val="0"/>
                                                  <w:marTop w:val="0"/>
                                                  <w:marBottom w:val="0"/>
                                                  <w:divBdr>
                                                    <w:top w:val="none" w:sz="0" w:space="0" w:color="auto"/>
                                                    <w:left w:val="none" w:sz="0" w:space="0" w:color="auto"/>
                                                    <w:bottom w:val="none" w:sz="0" w:space="0" w:color="auto"/>
                                                    <w:right w:val="none" w:sz="0" w:space="0" w:color="auto"/>
                                                  </w:divBdr>
                                                  <w:divsChild>
                                                    <w:div w:id="1961109947">
                                                      <w:marLeft w:val="0"/>
                                                      <w:marRight w:val="0"/>
                                                      <w:marTop w:val="0"/>
                                                      <w:marBottom w:val="0"/>
                                                      <w:divBdr>
                                                        <w:top w:val="none" w:sz="0" w:space="0" w:color="auto"/>
                                                        <w:left w:val="none" w:sz="0" w:space="0" w:color="auto"/>
                                                        <w:bottom w:val="none" w:sz="0" w:space="0" w:color="auto"/>
                                                        <w:right w:val="none" w:sz="0" w:space="0" w:color="auto"/>
                                                      </w:divBdr>
                                                      <w:divsChild>
                                                        <w:div w:id="1769305753">
                                                          <w:marLeft w:val="0"/>
                                                          <w:marRight w:val="0"/>
                                                          <w:marTop w:val="0"/>
                                                          <w:marBottom w:val="0"/>
                                                          <w:divBdr>
                                                            <w:top w:val="none" w:sz="0" w:space="0" w:color="auto"/>
                                                            <w:left w:val="none" w:sz="0" w:space="0" w:color="auto"/>
                                                            <w:bottom w:val="none" w:sz="0" w:space="0" w:color="auto"/>
                                                            <w:right w:val="none" w:sz="0" w:space="0" w:color="auto"/>
                                                          </w:divBdr>
                                                          <w:divsChild>
                                                            <w:div w:id="360936555">
                                                              <w:marLeft w:val="0"/>
                                                              <w:marRight w:val="0"/>
                                                              <w:marTop w:val="0"/>
                                                              <w:marBottom w:val="0"/>
                                                              <w:divBdr>
                                                                <w:top w:val="none" w:sz="0" w:space="0" w:color="auto"/>
                                                                <w:left w:val="none" w:sz="0" w:space="0" w:color="auto"/>
                                                                <w:bottom w:val="none" w:sz="0" w:space="0" w:color="auto"/>
                                                                <w:right w:val="none" w:sz="0" w:space="0" w:color="auto"/>
                                                              </w:divBdr>
                                                              <w:divsChild>
                                                                <w:div w:id="2136945938">
                                                                  <w:marLeft w:val="0"/>
                                                                  <w:marRight w:val="0"/>
                                                                  <w:marTop w:val="0"/>
                                                                  <w:marBottom w:val="0"/>
                                                                  <w:divBdr>
                                                                    <w:top w:val="none" w:sz="0" w:space="0" w:color="auto"/>
                                                                    <w:left w:val="none" w:sz="0" w:space="0" w:color="auto"/>
                                                                    <w:bottom w:val="none" w:sz="0" w:space="0" w:color="auto"/>
                                                                    <w:right w:val="none" w:sz="0" w:space="0" w:color="auto"/>
                                                                  </w:divBdr>
                                                                  <w:divsChild>
                                                                    <w:div w:id="226845051">
                                                                      <w:marLeft w:val="0"/>
                                                                      <w:marRight w:val="0"/>
                                                                      <w:marTop w:val="0"/>
                                                                      <w:marBottom w:val="0"/>
                                                                      <w:divBdr>
                                                                        <w:top w:val="none" w:sz="0" w:space="0" w:color="auto"/>
                                                                        <w:left w:val="none" w:sz="0" w:space="0" w:color="auto"/>
                                                                        <w:bottom w:val="none" w:sz="0" w:space="0" w:color="auto"/>
                                                                        <w:right w:val="none" w:sz="0" w:space="0" w:color="auto"/>
                                                                      </w:divBdr>
                                                                      <w:divsChild>
                                                                        <w:div w:id="1172988024">
                                                                          <w:marLeft w:val="0"/>
                                                                          <w:marRight w:val="0"/>
                                                                          <w:marTop w:val="0"/>
                                                                          <w:marBottom w:val="0"/>
                                                                          <w:divBdr>
                                                                            <w:top w:val="none" w:sz="0" w:space="0" w:color="auto"/>
                                                                            <w:left w:val="none" w:sz="0" w:space="0" w:color="auto"/>
                                                                            <w:bottom w:val="none" w:sz="0" w:space="0" w:color="auto"/>
                                                                            <w:right w:val="none" w:sz="0" w:space="0" w:color="auto"/>
                                                                          </w:divBdr>
                                                                        </w:div>
                                                                      </w:divsChild>
                                                                    </w:div>
                                                                    <w:div w:id="2141223477">
                                                                      <w:marLeft w:val="0"/>
                                                                      <w:marRight w:val="0"/>
                                                                      <w:marTop w:val="0"/>
                                                                      <w:marBottom w:val="0"/>
                                                                      <w:divBdr>
                                                                        <w:top w:val="none" w:sz="0" w:space="0" w:color="auto"/>
                                                                        <w:left w:val="none" w:sz="0" w:space="0" w:color="auto"/>
                                                                        <w:bottom w:val="none" w:sz="0" w:space="0" w:color="auto"/>
                                                                        <w:right w:val="none" w:sz="0" w:space="0" w:color="auto"/>
                                                                      </w:divBdr>
                                                                      <w:divsChild>
                                                                        <w:div w:id="13697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294904">
      <w:bodyDiv w:val="1"/>
      <w:marLeft w:val="0"/>
      <w:marRight w:val="0"/>
      <w:marTop w:val="0"/>
      <w:marBottom w:val="0"/>
      <w:divBdr>
        <w:top w:val="none" w:sz="0" w:space="0" w:color="auto"/>
        <w:left w:val="none" w:sz="0" w:space="0" w:color="auto"/>
        <w:bottom w:val="none" w:sz="0" w:space="0" w:color="auto"/>
        <w:right w:val="none" w:sz="0" w:space="0" w:color="auto"/>
      </w:divBdr>
      <w:divsChild>
        <w:div w:id="526991977">
          <w:marLeft w:val="0"/>
          <w:marRight w:val="0"/>
          <w:marTop w:val="0"/>
          <w:marBottom w:val="0"/>
          <w:divBdr>
            <w:top w:val="none" w:sz="0" w:space="0" w:color="auto"/>
            <w:left w:val="none" w:sz="0" w:space="0" w:color="auto"/>
            <w:bottom w:val="none" w:sz="0" w:space="0" w:color="auto"/>
            <w:right w:val="none" w:sz="0" w:space="0" w:color="auto"/>
          </w:divBdr>
          <w:divsChild>
            <w:div w:id="1376806119">
              <w:marLeft w:val="0"/>
              <w:marRight w:val="0"/>
              <w:marTop w:val="0"/>
              <w:marBottom w:val="0"/>
              <w:divBdr>
                <w:top w:val="none" w:sz="0" w:space="0" w:color="auto"/>
                <w:left w:val="none" w:sz="0" w:space="0" w:color="auto"/>
                <w:bottom w:val="none" w:sz="0" w:space="0" w:color="auto"/>
                <w:right w:val="none" w:sz="0" w:space="0" w:color="auto"/>
              </w:divBdr>
              <w:divsChild>
                <w:div w:id="1928034381">
                  <w:marLeft w:val="0"/>
                  <w:marRight w:val="0"/>
                  <w:marTop w:val="0"/>
                  <w:marBottom w:val="0"/>
                  <w:divBdr>
                    <w:top w:val="none" w:sz="0" w:space="0" w:color="auto"/>
                    <w:left w:val="none" w:sz="0" w:space="0" w:color="auto"/>
                    <w:bottom w:val="none" w:sz="0" w:space="0" w:color="auto"/>
                    <w:right w:val="none" w:sz="0" w:space="0" w:color="auto"/>
                  </w:divBdr>
                  <w:divsChild>
                    <w:div w:id="1042677960">
                      <w:marLeft w:val="0"/>
                      <w:marRight w:val="0"/>
                      <w:marTop w:val="0"/>
                      <w:marBottom w:val="300"/>
                      <w:divBdr>
                        <w:top w:val="none" w:sz="0" w:space="0" w:color="auto"/>
                        <w:left w:val="none" w:sz="0" w:space="0" w:color="auto"/>
                        <w:bottom w:val="none" w:sz="0" w:space="0" w:color="auto"/>
                        <w:right w:val="none" w:sz="0" w:space="0" w:color="auto"/>
                      </w:divBdr>
                      <w:divsChild>
                        <w:div w:id="13593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922101">
      <w:bodyDiv w:val="1"/>
      <w:marLeft w:val="0"/>
      <w:marRight w:val="0"/>
      <w:marTop w:val="0"/>
      <w:marBottom w:val="0"/>
      <w:divBdr>
        <w:top w:val="none" w:sz="0" w:space="0" w:color="auto"/>
        <w:left w:val="none" w:sz="0" w:space="0" w:color="auto"/>
        <w:bottom w:val="none" w:sz="0" w:space="0" w:color="auto"/>
        <w:right w:val="none" w:sz="0" w:space="0" w:color="auto"/>
      </w:divBdr>
      <w:divsChild>
        <w:div w:id="1321497636">
          <w:marLeft w:val="0"/>
          <w:marRight w:val="0"/>
          <w:marTop w:val="240"/>
          <w:marBottom w:val="0"/>
          <w:divBdr>
            <w:top w:val="none" w:sz="0" w:space="0" w:color="auto"/>
            <w:left w:val="none" w:sz="0" w:space="0" w:color="auto"/>
            <w:bottom w:val="none" w:sz="0" w:space="0" w:color="auto"/>
            <w:right w:val="none" w:sz="0" w:space="0" w:color="auto"/>
          </w:divBdr>
          <w:divsChild>
            <w:div w:id="272788940">
              <w:marLeft w:val="0"/>
              <w:marRight w:val="0"/>
              <w:marTop w:val="0"/>
              <w:marBottom w:val="0"/>
              <w:divBdr>
                <w:top w:val="none" w:sz="0" w:space="0" w:color="auto"/>
                <w:left w:val="none" w:sz="0" w:space="0" w:color="auto"/>
                <w:bottom w:val="none" w:sz="0" w:space="0" w:color="auto"/>
                <w:right w:val="none" w:sz="0" w:space="0" w:color="auto"/>
              </w:divBdr>
            </w:div>
          </w:divsChild>
        </w:div>
        <w:div w:id="1337076594">
          <w:marLeft w:val="0"/>
          <w:marRight w:val="0"/>
          <w:marTop w:val="240"/>
          <w:marBottom w:val="0"/>
          <w:divBdr>
            <w:top w:val="none" w:sz="0" w:space="0" w:color="auto"/>
            <w:left w:val="none" w:sz="0" w:space="0" w:color="auto"/>
            <w:bottom w:val="none" w:sz="0" w:space="0" w:color="auto"/>
            <w:right w:val="none" w:sz="0" w:space="0" w:color="auto"/>
          </w:divBdr>
          <w:divsChild>
            <w:div w:id="690375547">
              <w:marLeft w:val="0"/>
              <w:marRight w:val="0"/>
              <w:marTop w:val="0"/>
              <w:marBottom w:val="0"/>
              <w:divBdr>
                <w:top w:val="none" w:sz="0" w:space="0" w:color="auto"/>
                <w:left w:val="none" w:sz="0" w:space="0" w:color="auto"/>
                <w:bottom w:val="none" w:sz="0" w:space="0" w:color="auto"/>
                <w:right w:val="none" w:sz="0" w:space="0" w:color="auto"/>
              </w:divBdr>
            </w:div>
          </w:divsChild>
        </w:div>
        <w:div w:id="1142312640">
          <w:marLeft w:val="0"/>
          <w:marRight w:val="0"/>
          <w:marTop w:val="240"/>
          <w:marBottom w:val="0"/>
          <w:divBdr>
            <w:top w:val="none" w:sz="0" w:space="0" w:color="auto"/>
            <w:left w:val="none" w:sz="0" w:space="0" w:color="auto"/>
            <w:bottom w:val="none" w:sz="0" w:space="0" w:color="auto"/>
            <w:right w:val="none" w:sz="0" w:space="0" w:color="auto"/>
          </w:divBdr>
          <w:divsChild>
            <w:div w:id="12184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7496">
      <w:bodyDiv w:val="1"/>
      <w:marLeft w:val="0"/>
      <w:marRight w:val="0"/>
      <w:marTop w:val="0"/>
      <w:marBottom w:val="0"/>
      <w:divBdr>
        <w:top w:val="none" w:sz="0" w:space="0" w:color="auto"/>
        <w:left w:val="none" w:sz="0" w:space="0" w:color="auto"/>
        <w:bottom w:val="none" w:sz="0" w:space="0" w:color="auto"/>
        <w:right w:val="none" w:sz="0" w:space="0" w:color="auto"/>
      </w:divBdr>
      <w:divsChild>
        <w:div w:id="393237765">
          <w:marLeft w:val="0"/>
          <w:marRight w:val="0"/>
          <w:marTop w:val="0"/>
          <w:marBottom w:val="0"/>
          <w:divBdr>
            <w:top w:val="none" w:sz="0" w:space="0" w:color="auto"/>
            <w:left w:val="single" w:sz="6" w:space="0" w:color="BBBBBB"/>
            <w:bottom w:val="single" w:sz="6" w:space="0" w:color="BBBBBB"/>
            <w:right w:val="single" w:sz="6" w:space="0" w:color="BBBBBB"/>
          </w:divBdr>
          <w:divsChild>
            <w:div w:id="166940915">
              <w:marLeft w:val="0"/>
              <w:marRight w:val="0"/>
              <w:marTop w:val="0"/>
              <w:marBottom w:val="0"/>
              <w:divBdr>
                <w:top w:val="none" w:sz="0" w:space="0" w:color="auto"/>
                <w:left w:val="none" w:sz="0" w:space="0" w:color="auto"/>
                <w:bottom w:val="none" w:sz="0" w:space="0" w:color="auto"/>
                <w:right w:val="none" w:sz="0" w:space="0" w:color="auto"/>
              </w:divBdr>
              <w:divsChild>
                <w:div w:id="723528577">
                  <w:marLeft w:val="0"/>
                  <w:marRight w:val="0"/>
                  <w:marTop w:val="75"/>
                  <w:marBottom w:val="0"/>
                  <w:divBdr>
                    <w:top w:val="none" w:sz="0" w:space="0" w:color="auto"/>
                    <w:left w:val="none" w:sz="0" w:space="0" w:color="auto"/>
                    <w:bottom w:val="none" w:sz="0" w:space="0" w:color="auto"/>
                    <w:right w:val="none" w:sz="0" w:space="0" w:color="auto"/>
                  </w:divBdr>
                  <w:divsChild>
                    <w:div w:id="192888400">
                      <w:marLeft w:val="0"/>
                      <w:marRight w:val="0"/>
                      <w:marTop w:val="0"/>
                      <w:marBottom w:val="0"/>
                      <w:divBdr>
                        <w:top w:val="none" w:sz="0" w:space="0" w:color="auto"/>
                        <w:left w:val="none" w:sz="0" w:space="0" w:color="auto"/>
                        <w:bottom w:val="none" w:sz="0" w:space="0" w:color="auto"/>
                        <w:right w:val="none" w:sz="0" w:space="0" w:color="auto"/>
                      </w:divBdr>
                      <w:divsChild>
                        <w:div w:id="2040469569">
                          <w:marLeft w:val="0"/>
                          <w:marRight w:val="0"/>
                          <w:marTop w:val="0"/>
                          <w:marBottom w:val="0"/>
                          <w:divBdr>
                            <w:top w:val="none" w:sz="0" w:space="0" w:color="auto"/>
                            <w:left w:val="none" w:sz="0" w:space="0" w:color="auto"/>
                            <w:bottom w:val="none" w:sz="0" w:space="0" w:color="auto"/>
                            <w:right w:val="none" w:sz="0" w:space="0" w:color="auto"/>
                          </w:divBdr>
                          <w:divsChild>
                            <w:div w:id="1932348584">
                              <w:marLeft w:val="0"/>
                              <w:marRight w:val="0"/>
                              <w:marTop w:val="0"/>
                              <w:marBottom w:val="0"/>
                              <w:divBdr>
                                <w:top w:val="none" w:sz="0" w:space="0" w:color="auto"/>
                                <w:left w:val="none" w:sz="0" w:space="0" w:color="auto"/>
                                <w:bottom w:val="none" w:sz="0" w:space="0" w:color="auto"/>
                                <w:right w:val="none" w:sz="0" w:space="0" w:color="auto"/>
                              </w:divBdr>
                              <w:divsChild>
                                <w:div w:id="1582252777">
                                  <w:marLeft w:val="0"/>
                                  <w:marRight w:val="0"/>
                                  <w:marTop w:val="0"/>
                                  <w:marBottom w:val="0"/>
                                  <w:divBdr>
                                    <w:top w:val="none" w:sz="0" w:space="0" w:color="auto"/>
                                    <w:left w:val="none" w:sz="0" w:space="0" w:color="auto"/>
                                    <w:bottom w:val="none" w:sz="0" w:space="0" w:color="auto"/>
                                    <w:right w:val="none" w:sz="0" w:space="0" w:color="auto"/>
                                  </w:divBdr>
                                  <w:divsChild>
                                    <w:div w:id="1785805720">
                                      <w:marLeft w:val="0"/>
                                      <w:marRight w:val="0"/>
                                      <w:marTop w:val="0"/>
                                      <w:marBottom w:val="0"/>
                                      <w:divBdr>
                                        <w:top w:val="none" w:sz="0" w:space="0" w:color="auto"/>
                                        <w:left w:val="none" w:sz="0" w:space="0" w:color="auto"/>
                                        <w:bottom w:val="none" w:sz="0" w:space="0" w:color="auto"/>
                                        <w:right w:val="none" w:sz="0" w:space="0" w:color="auto"/>
                                      </w:divBdr>
                                      <w:divsChild>
                                        <w:div w:id="931619940">
                                          <w:marLeft w:val="1200"/>
                                          <w:marRight w:val="1200"/>
                                          <w:marTop w:val="0"/>
                                          <w:marBottom w:val="0"/>
                                          <w:divBdr>
                                            <w:top w:val="none" w:sz="0" w:space="0" w:color="auto"/>
                                            <w:left w:val="none" w:sz="0" w:space="0" w:color="auto"/>
                                            <w:bottom w:val="none" w:sz="0" w:space="0" w:color="auto"/>
                                            <w:right w:val="none" w:sz="0" w:space="0" w:color="auto"/>
                                          </w:divBdr>
                                          <w:divsChild>
                                            <w:div w:id="1003968306">
                                              <w:marLeft w:val="0"/>
                                              <w:marRight w:val="0"/>
                                              <w:marTop w:val="0"/>
                                              <w:marBottom w:val="0"/>
                                              <w:divBdr>
                                                <w:top w:val="none" w:sz="0" w:space="0" w:color="auto"/>
                                                <w:left w:val="none" w:sz="0" w:space="0" w:color="auto"/>
                                                <w:bottom w:val="none" w:sz="0" w:space="0" w:color="auto"/>
                                                <w:right w:val="none" w:sz="0" w:space="0" w:color="auto"/>
                                              </w:divBdr>
                                              <w:divsChild>
                                                <w:div w:id="1701394551">
                                                  <w:marLeft w:val="0"/>
                                                  <w:marRight w:val="0"/>
                                                  <w:marTop w:val="0"/>
                                                  <w:marBottom w:val="0"/>
                                                  <w:divBdr>
                                                    <w:top w:val="none" w:sz="0" w:space="0" w:color="auto"/>
                                                    <w:left w:val="none" w:sz="0" w:space="0" w:color="auto"/>
                                                    <w:bottom w:val="none" w:sz="0" w:space="0" w:color="auto"/>
                                                    <w:right w:val="none" w:sz="0" w:space="0" w:color="auto"/>
                                                  </w:divBdr>
                                                  <w:divsChild>
                                                    <w:div w:id="1792243996">
                                                      <w:marLeft w:val="0"/>
                                                      <w:marRight w:val="0"/>
                                                      <w:marTop w:val="0"/>
                                                      <w:marBottom w:val="0"/>
                                                      <w:divBdr>
                                                        <w:top w:val="none" w:sz="0" w:space="0" w:color="auto"/>
                                                        <w:left w:val="none" w:sz="0" w:space="0" w:color="auto"/>
                                                        <w:bottom w:val="none" w:sz="0" w:space="0" w:color="auto"/>
                                                        <w:right w:val="none" w:sz="0" w:space="0" w:color="auto"/>
                                                      </w:divBdr>
                                                      <w:divsChild>
                                                        <w:div w:id="1423991741">
                                                          <w:marLeft w:val="0"/>
                                                          <w:marRight w:val="0"/>
                                                          <w:marTop w:val="0"/>
                                                          <w:marBottom w:val="0"/>
                                                          <w:divBdr>
                                                            <w:top w:val="none" w:sz="0" w:space="0" w:color="auto"/>
                                                            <w:left w:val="none" w:sz="0" w:space="0" w:color="auto"/>
                                                            <w:bottom w:val="none" w:sz="0" w:space="0" w:color="auto"/>
                                                            <w:right w:val="none" w:sz="0" w:space="0" w:color="auto"/>
                                                          </w:divBdr>
                                                          <w:divsChild>
                                                            <w:div w:id="549921309">
                                                              <w:marLeft w:val="0"/>
                                                              <w:marRight w:val="0"/>
                                                              <w:marTop w:val="0"/>
                                                              <w:marBottom w:val="0"/>
                                                              <w:divBdr>
                                                                <w:top w:val="none" w:sz="0" w:space="0" w:color="auto"/>
                                                                <w:left w:val="none" w:sz="0" w:space="0" w:color="auto"/>
                                                                <w:bottom w:val="none" w:sz="0" w:space="0" w:color="auto"/>
                                                                <w:right w:val="none" w:sz="0" w:space="0" w:color="auto"/>
                                                              </w:divBdr>
                                                              <w:divsChild>
                                                                <w:div w:id="1621229679">
                                                                  <w:marLeft w:val="0"/>
                                                                  <w:marRight w:val="0"/>
                                                                  <w:marTop w:val="0"/>
                                                                  <w:marBottom w:val="0"/>
                                                                  <w:divBdr>
                                                                    <w:top w:val="none" w:sz="0" w:space="0" w:color="auto"/>
                                                                    <w:left w:val="none" w:sz="0" w:space="0" w:color="auto"/>
                                                                    <w:bottom w:val="none" w:sz="0" w:space="0" w:color="auto"/>
                                                                    <w:right w:val="none" w:sz="0" w:space="0" w:color="auto"/>
                                                                  </w:divBdr>
                                                                  <w:divsChild>
                                                                    <w:div w:id="1086876502">
                                                                      <w:marLeft w:val="0"/>
                                                                      <w:marRight w:val="0"/>
                                                                      <w:marTop w:val="0"/>
                                                                      <w:marBottom w:val="0"/>
                                                                      <w:divBdr>
                                                                        <w:top w:val="none" w:sz="0" w:space="0" w:color="auto"/>
                                                                        <w:left w:val="none" w:sz="0" w:space="0" w:color="auto"/>
                                                                        <w:bottom w:val="none" w:sz="0" w:space="0" w:color="auto"/>
                                                                        <w:right w:val="none" w:sz="0" w:space="0" w:color="auto"/>
                                                                      </w:divBdr>
                                                                      <w:divsChild>
                                                                        <w:div w:id="1035273825">
                                                                          <w:marLeft w:val="0"/>
                                                                          <w:marRight w:val="0"/>
                                                                          <w:marTop w:val="0"/>
                                                                          <w:marBottom w:val="0"/>
                                                                          <w:divBdr>
                                                                            <w:top w:val="none" w:sz="0" w:space="0" w:color="auto"/>
                                                                            <w:left w:val="none" w:sz="0" w:space="0" w:color="auto"/>
                                                                            <w:bottom w:val="none" w:sz="0" w:space="0" w:color="auto"/>
                                                                            <w:right w:val="none" w:sz="0" w:space="0" w:color="auto"/>
                                                                          </w:divBdr>
                                                                        </w:div>
                                                                      </w:divsChild>
                                                                    </w:div>
                                                                    <w:div w:id="2093506376">
                                                                      <w:marLeft w:val="0"/>
                                                                      <w:marRight w:val="0"/>
                                                                      <w:marTop w:val="0"/>
                                                                      <w:marBottom w:val="0"/>
                                                                      <w:divBdr>
                                                                        <w:top w:val="none" w:sz="0" w:space="0" w:color="auto"/>
                                                                        <w:left w:val="none" w:sz="0" w:space="0" w:color="auto"/>
                                                                        <w:bottom w:val="none" w:sz="0" w:space="0" w:color="auto"/>
                                                                        <w:right w:val="none" w:sz="0" w:space="0" w:color="auto"/>
                                                                      </w:divBdr>
                                                                      <w:divsChild>
                                                                        <w:div w:id="16203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541375">
      <w:bodyDiv w:val="1"/>
      <w:marLeft w:val="0"/>
      <w:marRight w:val="0"/>
      <w:marTop w:val="0"/>
      <w:marBottom w:val="0"/>
      <w:divBdr>
        <w:top w:val="none" w:sz="0" w:space="0" w:color="auto"/>
        <w:left w:val="none" w:sz="0" w:space="0" w:color="auto"/>
        <w:bottom w:val="none" w:sz="0" w:space="0" w:color="auto"/>
        <w:right w:val="none" w:sz="0" w:space="0" w:color="auto"/>
      </w:divBdr>
      <w:divsChild>
        <w:div w:id="491717793">
          <w:marLeft w:val="0"/>
          <w:marRight w:val="0"/>
          <w:marTop w:val="240"/>
          <w:marBottom w:val="0"/>
          <w:divBdr>
            <w:top w:val="none" w:sz="0" w:space="0" w:color="auto"/>
            <w:left w:val="none" w:sz="0" w:space="0" w:color="auto"/>
            <w:bottom w:val="none" w:sz="0" w:space="0" w:color="auto"/>
            <w:right w:val="none" w:sz="0" w:space="0" w:color="auto"/>
          </w:divBdr>
          <w:divsChild>
            <w:div w:id="1967157737">
              <w:marLeft w:val="0"/>
              <w:marRight w:val="0"/>
              <w:marTop w:val="0"/>
              <w:marBottom w:val="0"/>
              <w:divBdr>
                <w:top w:val="none" w:sz="0" w:space="0" w:color="auto"/>
                <w:left w:val="none" w:sz="0" w:space="0" w:color="auto"/>
                <w:bottom w:val="none" w:sz="0" w:space="0" w:color="auto"/>
                <w:right w:val="none" w:sz="0" w:space="0" w:color="auto"/>
              </w:divBdr>
            </w:div>
          </w:divsChild>
        </w:div>
        <w:div w:id="937904352">
          <w:marLeft w:val="0"/>
          <w:marRight w:val="0"/>
          <w:marTop w:val="240"/>
          <w:marBottom w:val="0"/>
          <w:divBdr>
            <w:top w:val="none" w:sz="0" w:space="0" w:color="auto"/>
            <w:left w:val="none" w:sz="0" w:space="0" w:color="auto"/>
            <w:bottom w:val="none" w:sz="0" w:space="0" w:color="auto"/>
            <w:right w:val="none" w:sz="0" w:space="0" w:color="auto"/>
          </w:divBdr>
          <w:divsChild>
            <w:div w:id="1093817812">
              <w:marLeft w:val="0"/>
              <w:marRight w:val="0"/>
              <w:marTop w:val="0"/>
              <w:marBottom w:val="0"/>
              <w:divBdr>
                <w:top w:val="none" w:sz="0" w:space="0" w:color="auto"/>
                <w:left w:val="none" w:sz="0" w:space="0" w:color="auto"/>
                <w:bottom w:val="none" w:sz="0" w:space="0" w:color="auto"/>
                <w:right w:val="none" w:sz="0" w:space="0" w:color="auto"/>
              </w:divBdr>
            </w:div>
          </w:divsChild>
        </w:div>
        <w:div w:id="951592513">
          <w:marLeft w:val="0"/>
          <w:marRight w:val="0"/>
          <w:marTop w:val="240"/>
          <w:marBottom w:val="0"/>
          <w:divBdr>
            <w:top w:val="none" w:sz="0" w:space="0" w:color="auto"/>
            <w:left w:val="none" w:sz="0" w:space="0" w:color="auto"/>
            <w:bottom w:val="none" w:sz="0" w:space="0" w:color="auto"/>
            <w:right w:val="none" w:sz="0" w:space="0" w:color="auto"/>
          </w:divBdr>
          <w:divsChild>
            <w:div w:id="579680595">
              <w:marLeft w:val="0"/>
              <w:marRight w:val="0"/>
              <w:marTop w:val="0"/>
              <w:marBottom w:val="0"/>
              <w:divBdr>
                <w:top w:val="none" w:sz="0" w:space="0" w:color="auto"/>
                <w:left w:val="none" w:sz="0" w:space="0" w:color="auto"/>
                <w:bottom w:val="none" w:sz="0" w:space="0" w:color="auto"/>
                <w:right w:val="none" w:sz="0" w:space="0" w:color="auto"/>
              </w:divBdr>
            </w:div>
          </w:divsChild>
        </w:div>
        <w:div w:id="1158227528">
          <w:marLeft w:val="0"/>
          <w:marRight w:val="0"/>
          <w:marTop w:val="240"/>
          <w:marBottom w:val="0"/>
          <w:divBdr>
            <w:top w:val="none" w:sz="0" w:space="0" w:color="auto"/>
            <w:left w:val="none" w:sz="0" w:space="0" w:color="auto"/>
            <w:bottom w:val="none" w:sz="0" w:space="0" w:color="auto"/>
            <w:right w:val="none" w:sz="0" w:space="0" w:color="auto"/>
          </w:divBdr>
          <w:divsChild>
            <w:div w:id="243733657">
              <w:marLeft w:val="0"/>
              <w:marRight w:val="0"/>
              <w:marTop w:val="0"/>
              <w:marBottom w:val="0"/>
              <w:divBdr>
                <w:top w:val="none" w:sz="0" w:space="0" w:color="auto"/>
                <w:left w:val="none" w:sz="0" w:space="0" w:color="auto"/>
                <w:bottom w:val="none" w:sz="0" w:space="0" w:color="auto"/>
                <w:right w:val="none" w:sz="0" w:space="0" w:color="auto"/>
              </w:divBdr>
            </w:div>
          </w:divsChild>
        </w:div>
        <w:div w:id="1389887997">
          <w:marLeft w:val="0"/>
          <w:marRight w:val="0"/>
          <w:marTop w:val="240"/>
          <w:marBottom w:val="0"/>
          <w:divBdr>
            <w:top w:val="none" w:sz="0" w:space="0" w:color="auto"/>
            <w:left w:val="none" w:sz="0" w:space="0" w:color="auto"/>
            <w:bottom w:val="none" w:sz="0" w:space="0" w:color="auto"/>
            <w:right w:val="none" w:sz="0" w:space="0" w:color="auto"/>
          </w:divBdr>
          <w:divsChild>
            <w:div w:id="673797965">
              <w:marLeft w:val="0"/>
              <w:marRight w:val="0"/>
              <w:marTop w:val="0"/>
              <w:marBottom w:val="0"/>
              <w:divBdr>
                <w:top w:val="none" w:sz="0" w:space="0" w:color="auto"/>
                <w:left w:val="none" w:sz="0" w:space="0" w:color="auto"/>
                <w:bottom w:val="none" w:sz="0" w:space="0" w:color="auto"/>
                <w:right w:val="none" w:sz="0" w:space="0" w:color="auto"/>
              </w:divBdr>
            </w:div>
          </w:divsChild>
        </w:div>
        <w:div w:id="1629584434">
          <w:marLeft w:val="0"/>
          <w:marRight w:val="0"/>
          <w:marTop w:val="0"/>
          <w:marBottom w:val="0"/>
          <w:divBdr>
            <w:top w:val="none" w:sz="0" w:space="0" w:color="auto"/>
            <w:left w:val="none" w:sz="0" w:space="0" w:color="auto"/>
            <w:bottom w:val="none" w:sz="0" w:space="0" w:color="auto"/>
            <w:right w:val="none" w:sz="0" w:space="0" w:color="auto"/>
          </w:divBdr>
        </w:div>
        <w:div w:id="2117019547">
          <w:marLeft w:val="0"/>
          <w:marRight w:val="0"/>
          <w:marTop w:val="240"/>
          <w:marBottom w:val="0"/>
          <w:divBdr>
            <w:top w:val="none" w:sz="0" w:space="0" w:color="auto"/>
            <w:left w:val="none" w:sz="0" w:space="0" w:color="auto"/>
            <w:bottom w:val="none" w:sz="0" w:space="0" w:color="auto"/>
            <w:right w:val="none" w:sz="0" w:space="0" w:color="auto"/>
          </w:divBdr>
          <w:divsChild>
            <w:div w:id="17267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5363">
      <w:bodyDiv w:val="1"/>
      <w:marLeft w:val="30"/>
      <w:marRight w:val="30"/>
      <w:marTop w:val="30"/>
      <w:marBottom w:val="30"/>
      <w:divBdr>
        <w:top w:val="none" w:sz="0" w:space="0" w:color="auto"/>
        <w:left w:val="none" w:sz="0" w:space="0" w:color="auto"/>
        <w:bottom w:val="none" w:sz="0" w:space="0" w:color="auto"/>
        <w:right w:val="none" w:sz="0" w:space="0" w:color="auto"/>
      </w:divBdr>
      <w:divsChild>
        <w:div w:id="1950745836">
          <w:marLeft w:val="0"/>
          <w:marRight w:val="0"/>
          <w:marTop w:val="0"/>
          <w:marBottom w:val="0"/>
          <w:divBdr>
            <w:top w:val="none" w:sz="0" w:space="0" w:color="auto"/>
            <w:left w:val="none" w:sz="0" w:space="0" w:color="auto"/>
            <w:bottom w:val="none" w:sz="0" w:space="0" w:color="auto"/>
            <w:right w:val="none" w:sz="0" w:space="0" w:color="auto"/>
          </w:divBdr>
          <w:divsChild>
            <w:div w:id="507332296">
              <w:marLeft w:val="45"/>
              <w:marRight w:val="45"/>
              <w:marTop w:val="45"/>
              <w:marBottom w:val="45"/>
              <w:divBdr>
                <w:top w:val="none" w:sz="0" w:space="0" w:color="auto"/>
                <w:left w:val="none" w:sz="0" w:space="0" w:color="auto"/>
                <w:bottom w:val="none" w:sz="0" w:space="0" w:color="auto"/>
                <w:right w:val="none" w:sz="0" w:space="0" w:color="auto"/>
              </w:divBdr>
              <w:divsChild>
                <w:div w:id="1936397958">
                  <w:marLeft w:val="0"/>
                  <w:marRight w:val="0"/>
                  <w:marTop w:val="0"/>
                  <w:marBottom w:val="0"/>
                  <w:divBdr>
                    <w:top w:val="none" w:sz="0" w:space="0" w:color="auto"/>
                    <w:left w:val="none" w:sz="0" w:space="0" w:color="auto"/>
                    <w:bottom w:val="none" w:sz="0" w:space="0" w:color="auto"/>
                    <w:right w:val="none" w:sz="0" w:space="0" w:color="auto"/>
                  </w:divBdr>
                  <w:divsChild>
                    <w:div w:id="231742672">
                      <w:marLeft w:val="0"/>
                      <w:marRight w:val="0"/>
                      <w:marTop w:val="0"/>
                      <w:marBottom w:val="0"/>
                      <w:divBdr>
                        <w:top w:val="none" w:sz="0" w:space="0" w:color="auto"/>
                        <w:left w:val="none" w:sz="0" w:space="0" w:color="auto"/>
                        <w:bottom w:val="none" w:sz="0" w:space="0" w:color="auto"/>
                        <w:right w:val="none" w:sz="0" w:space="0" w:color="auto"/>
                      </w:divBdr>
                    </w:div>
                    <w:div w:id="649093137">
                      <w:marLeft w:val="180"/>
                      <w:marRight w:val="0"/>
                      <w:marTop w:val="0"/>
                      <w:marBottom w:val="0"/>
                      <w:divBdr>
                        <w:top w:val="none" w:sz="0" w:space="0" w:color="auto"/>
                        <w:left w:val="none" w:sz="0" w:space="0" w:color="auto"/>
                        <w:bottom w:val="none" w:sz="0" w:space="0" w:color="auto"/>
                        <w:right w:val="none" w:sz="0" w:space="0" w:color="auto"/>
                      </w:divBdr>
                    </w:div>
                    <w:div w:id="1217356721">
                      <w:marLeft w:val="0"/>
                      <w:marRight w:val="0"/>
                      <w:marTop w:val="0"/>
                      <w:marBottom w:val="0"/>
                      <w:divBdr>
                        <w:top w:val="none" w:sz="0" w:space="0" w:color="auto"/>
                        <w:left w:val="none" w:sz="0" w:space="0" w:color="auto"/>
                        <w:bottom w:val="none" w:sz="0" w:space="0" w:color="auto"/>
                        <w:right w:val="none" w:sz="0" w:space="0" w:color="auto"/>
                      </w:divBdr>
                    </w:div>
                    <w:div w:id="1263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7155">
      <w:bodyDiv w:val="1"/>
      <w:marLeft w:val="0"/>
      <w:marRight w:val="0"/>
      <w:marTop w:val="0"/>
      <w:marBottom w:val="0"/>
      <w:divBdr>
        <w:top w:val="none" w:sz="0" w:space="0" w:color="auto"/>
        <w:left w:val="none" w:sz="0" w:space="0" w:color="auto"/>
        <w:bottom w:val="none" w:sz="0" w:space="0" w:color="auto"/>
        <w:right w:val="none" w:sz="0" w:space="0" w:color="auto"/>
      </w:divBdr>
      <w:divsChild>
        <w:div w:id="1577089465">
          <w:marLeft w:val="0"/>
          <w:marRight w:val="0"/>
          <w:marTop w:val="0"/>
          <w:marBottom w:val="0"/>
          <w:divBdr>
            <w:top w:val="none" w:sz="0" w:space="0" w:color="auto"/>
            <w:left w:val="single" w:sz="6" w:space="0" w:color="BBBBBB"/>
            <w:bottom w:val="single" w:sz="6" w:space="0" w:color="BBBBBB"/>
            <w:right w:val="single" w:sz="6" w:space="0" w:color="BBBBBB"/>
          </w:divBdr>
          <w:divsChild>
            <w:div w:id="252208174">
              <w:marLeft w:val="0"/>
              <w:marRight w:val="0"/>
              <w:marTop w:val="0"/>
              <w:marBottom w:val="0"/>
              <w:divBdr>
                <w:top w:val="none" w:sz="0" w:space="0" w:color="auto"/>
                <w:left w:val="none" w:sz="0" w:space="0" w:color="auto"/>
                <w:bottom w:val="none" w:sz="0" w:space="0" w:color="auto"/>
                <w:right w:val="none" w:sz="0" w:space="0" w:color="auto"/>
              </w:divBdr>
              <w:divsChild>
                <w:div w:id="690105764">
                  <w:marLeft w:val="0"/>
                  <w:marRight w:val="0"/>
                  <w:marTop w:val="75"/>
                  <w:marBottom w:val="0"/>
                  <w:divBdr>
                    <w:top w:val="none" w:sz="0" w:space="0" w:color="auto"/>
                    <w:left w:val="none" w:sz="0" w:space="0" w:color="auto"/>
                    <w:bottom w:val="none" w:sz="0" w:space="0" w:color="auto"/>
                    <w:right w:val="none" w:sz="0" w:space="0" w:color="auto"/>
                  </w:divBdr>
                  <w:divsChild>
                    <w:div w:id="941451319">
                      <w:marLeft w:val="0"/>
                      <w:marRight w:val="0"/>
                      <w:marTop w:val="0"/>
                      <w:marBottom w:val="0"/>
                      <w:divBdr>
                        <w:top w:val="none" w:sz="0" w:space="0" w:color="auto"/>
                        <w:left w:val="none" w:sz="0" w:space="0" w:color="auto"/>
                        <w:bottom w:val="none" w:sz="0" w:space="0" w:color="auto"/>
                        <w:right w:val="none" w:sz="0" w:space="0" w:color="auto"/>
                      </w:divBdr>
                      <w:divsChild>
                        <w:div w:id="277301661">
                          <w:marLeft w:val="0"/>
                          <w:marRight w:val="0"/>
                          <w:marTop w:val="0"/>
                          <w:marBottom w:val="0"/>
                          <w:divBdr>
                            <w:top w:val="none" w:sz="0" w:space="0" w:color="auto"/>
                            <w:left w:val="none" w:sz="0" w:space="0" w:color="auto"/>
                            <w:bottom w:val="none" w:sz="0" w:space="0" w:color="auto"/>
                            <w:right w:val="none" w:sz="0" w:space="0" w:color="auto"/>
                          </w:divBdr>
                          <w:divsChild>
                            <w:div w:id="1035078974">
                              <w:marLeft w:val="0"/>
                              <w:marRight w:val="0"/>
                              <w:marTop w:val="0"/>
                              <w:marBottom w:val="0"/>
                              <w:divBdr>
                                <w:top w:val="none" w:sz="0" w:space="0" w:color="auto"/>
                                <w:left w:val="none" w:sz="0" w:space="0" w:color="auto"/>
                                <w:bottom w:val="none" w:sz="0" w:space="0" w:color="auto"/>
                                <w:right w:val="none" w:sz="0" w:space="0" w:color="auto"/>
                              </w:divBdr>
                              <w:divsChild>
                                <w:div w:id="1079445903">
                                  <w:marLeft w:val="0"/>
                                  <w:marRight w:val="0"/>
                                  <w:marTop w:val="0"/>
                                  <w:marBottom w:val="0"/>
                                  <w:divBdr>
                                    <w:top w:val="none" w:sz="0" w:space="0" w:color="auto"/>
                                    <w:left w:val="none" w:sz="0" w:space="0" w:color="auto"/>
                                    <w:bottom w:val="none" w:sz="0" w:space="0" w:color="auto"/>
                                    <w:right w:val="none" w:sz="0" w:space="0" w:color="auto"/>
                                  </w:divBdr>
                                  <w:divsChild>
                                    <w:div w:id="1989166246">
                                      <w:marLeft w:val="0"/>
                                      <w:marRight w:val="0"/>
                                      <w:marTop w:val="0"/>
                                      <w:marBottom w:val="0"/>
                                      <w:divBdr>
                                        <w:top w:val="none" w:sz="0" w:space="0" w:color="auto"/>
                                        <w:left w:val="none" w:sz="0" w:space="0" w:color="auto"/>
                                        <w:bottom w:val="none" w:sz="0" w:space="0" w:color="auto"/>
                                        <w:right w:val="none" w:sz="0" w:space="0" w:color="auto"/>
                                      </w:divBdr>
                                      <w:divsChild>
                                        <w:div w:id="1828403180">
                                          <w:marLeft w:val="1200"/>
                                          <w:marRight w:val="1200"/>
                                          <w:marTop w:val="0"/>
                                          <w:marBottom w:val="0"/>
                                          <w:divBdr>
                                            <w:top w:val="none" w:sz="0" w:space="0" w:color="auto"/>
                                            <w:left w:val="none" w:sz="0" w:space="0" w:color="auto"/>
                                            <w:bottom w:val="none" w:sz="0" w:space="0" w:color="auto"/>
                                            <w:right w:val="none" w:sz="0" w:space="0" w:color="auto"/>
                                          </w:divBdr>
                                          <w:divsChild>
                                            <w:div w:id="1396977406">
                                              <w:marLeft w:val="0"/>
                                              <w:marRight w:val="0"/>
                                              <w:marTop w:val="0"/>
                                              <w:marBottom w:val="0"/>
                                              <w:divBdr>
                                                <w:top w:val="none" w:sz="0" w:space="0" w:color="auto"/>
                                                <w:left w:val="none" w:sz="0" w:space="0" w:color="auto"/>
                                                <w:bottom w:val="none" w:sz="0" w:space="0" w:color="auto"/>
                                                <w:right w:val="none" w:sz="0" w:space="0" w:color="auto"/>
                                              </w:divBdr>
                                              <w:divsChild>
                                                <w:div w:id="1780639530">
                                                  <w:marLeft w:val="0"/>
                                                  <w:marRight w:val="0"/>
                                                  <w:marTop w:val="0"/>
                                                  <w:marBottom w:val="0"/>
                                                  <w:divBdr>
                                                    <w:top w:val="none" w:sz="0" w:space="0" w:color="auto"/>
                                                    <w:left w:val="none" w:sz="0" w:space="0" w:color="auto"/>
                                                    <w:bottom w:val="none" w:sz="0" w:space="0" w:color="auto"/>
                                                    <w:right w:val="none" w:sz="0" w:space="0" w:color="auto"/>
                                                  </w:divBdr>
                                                  <w:divsChild>
                                                    <w:div w:id="289870125">
                                                      <w:marLeft w:val="0"/>
                                                      <w:marRight w:val="0"/>
                                                      <w:marTop w:val="0"/>
                                                      <w:marBottom w:val="0"/>
                                                      <w:divBdr>
                                                        <w:top w:val="none" w:sz="0" w:space="0" w:color="auto"/>
                                                        <w:left w:val="none" w:sz="0" w:space="0" w:color="auto"/>
                                                        <w:bottom w:val="none" w:sz="0" w:space="0" w:color="auto"/>
                                                        <w:right w:val="none" w:sz="0" w:space="0" w:color="auto"/>
                                                      </w:divBdr>
                                                      <w:divsChild>
                                                        <w:div w:id="2141681726">
                                                          <w:marLeft w:val="0"/>
                                                          <w:marRight w:val="0"/>
                                                          <w:marTop w:val="0"/>
                                                          <w:marBottom w:val="0"/>
                                                          <w:divBdr>
                                                            <w:top w:val="none" w:sz="0" w:space="0" w:color="auto"/>
                                                            <w:left w:val="none" w:sz="0" w:space="0" w:color="auto"/>
                                                            <w:bottom w:val="none" w:sz="0" w:space="0" w:color="auto"/>
                                                            <w:right w:val="none" w:sz="0" w:space="0" w:color="auto"/>
                                                          </w:divBdr>
                                                          <w:divsChild>
                                                            <w:div w:id="931546584">
                                                              <w:marLeft w:val="0"/>
                                                              <w:marRight w:val="0"/>
                                                              <w:marTop w:val="0"/>
                                                              <w:marBottom w:val="0"/>
                                                              <w:divBdr>
                                                                <w:top w:val="none" w:sz="0" w:space="0" w:color="auto"/>
                                                                <w:left w:val="none" w:sz="0" w:space="0" w:color="auto"/>
                                                                <w:bottom w:val="none" w:sz="0" w:space="0" w:color="auto"/>
                                                                <w:right w:val="none" w:sz="0" w:space="0" w:color="auto"/>
                                                              </w:divBdr>
                                                              <w:divsChild>
                                                                <w:div w:id="2038432813">
                                                                  <w:marLeft w:val="0"/>
                                                                  <w:marRight w:val="0"/>
                                                                  <w:marTop w:val="0"/>
                                                                  <w:marBottom w:val="0"/>
                                                                  <w:divBdr>
                                                                    <w:top w:val="none" w:sz="0" w:space="0" w:color="auto"/>
                                                                    <w:left w:val="none" w:sz="0" w:space="0" w:color="auto"/>
                                                                    <w:bottom w:val="none" w:sz="0" w:space="0" w:color="auto"/>
                                                                    <w:right w:val="none" w:sz="0" w:space="0" w:color="auto"/>
                                                                  </w:divBdr>
                                                                  <w:divsChild>
                                                                    <w:div w:id="946960035">
                                                                      <w:marLeft w:val="0"/>
                                                                      <w:marRight w:val="0"/>
                                                                      <w:marTop w:val="0"/>
                                                                      <w:marBottom w:val="0"/>
                                                                      <w:divBdr>
                                                                        <w:top w:val="none" w:sz="0" w:space="0" w:color="auto"/>
                                                                        <w:left w:val="none" w:sz="0" w:space="0" w:color="auto"/>
                                                                        <w:bottom w:val="none" w:sz="0" w:space="0" w:color="auto"/>
                                                                        <w:right w:val="none" w:sz="0" w:space="0" w:color="auto"/>
                                                                      </w:divBdr>
                                                                      <w:divsChild>
                                                                        <w:div w:id="1601638763">
                                                                          <w:marLeft w:val="0"/>
                                                                          <w:marRight w:val="0"/>
                                                                          <w:marTop w:val="0"/>
                                                                          <w:marBottom w:val="0"/>
                                                                          <w:divBdr>
                                                                            <w:top w:val="none" w:sz="0" w:space="0" w:color="auto"/>
                                                                            <w:left w:val="none" w:sz="0" w:space="0" w:color="auto"/>
                                                                            <w:bottom w:val="none" w:sz="0" w:space="0" w:color="auto"/>
                                                                            <w:right w:val="none" w:sz="0" w:space="0" w:color="auto"/>
                                                                          </w:divBdr>
                                                                        </w:div>
                                                                      </w:divsChild>
                                                                    </w:div>
                                                                    <w:div w:id="1074089742">
                                                                      <w:marLeft w:val="0"/>
                                                                      <w:marRight w:val="0"/>
                                                                      <w:marTop w:val="0"/>
                                                                      <w:marBottom w:val="0"/>
                                                                      <w:divBdr>
                                                                        <w:top w:val="none" w:sz="0" w:space="0" w:color="auto"/>
                                                                        <w:left w:val="none" w:sz="0" w:space="0" w:color="auto"/>
                                                                        <w:bottom w:val="none" w:sz="0" w:space="0" w:color="auto"/>
                                                                        <w:right w:val="none" w:sz="0" w:space="0" w:color="auto"/>
                                                                      </w:divBdr>
                                                                      <w:divsChild>
                                                                        <w:div w:id="16836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365491">
      <w:bodyDiv w:val="1"/>
      <w:marLeft w:val="0"/>
      <w:marRight w:val="0"/>
      <w:marTop w:val="0"/>
      <w:marBottom w:val="0"/>
      <w:divBdr>
        <w:top w:val="none" w:sz="0" w:space="0" w:color="auto"/>
        <w:left w:val="none" w:sz="0" w:space="0" w:color="auto"/>
        <w:bottom w:val="none" w:sz="0" w:space="0" w:color="auto"/>
        <w:right w:val="none" w:sz="0" w:space="0" w:color="auto"/>
      </w:divBdr>
      <w:divsChild>
        <w:div w:id="625083307">
          <w:marLeft w:val="0"/>
          <w:marRight w:val="0"/>
          <w:marTop w:val="0"/>
          <w:marBottom w:val="0"/>
          <w:divBdr>
            <w:top w:val="none" w:sz="0" w:space="0" w:color="auto"/>
            <w:left w:val="none" w:sz="0" w:space="0" w:color="auto"/>
            <w:bottom w:val="none" w:sz="0" w:space="0" w:color="auto"/>
            <w:right w:val="none" w:sz="0" w:space="0" w:color="auto"/>
          </w:divBdr>
          <w:divsChild>
            <w:div w:id="354617445">
              <w:marLeft w:val="0"/>
              <w:marRight w:val="0"/>
              <w:marTop w:val="0"/>
              <w:marBottom w:val="0"/>
              <w:divBdr>
                <w:top w:val="none" w:sz="0" w:space="0" w:color="auto"/>
                <w:left w:val="none" w:sz="0" w:space="0" w:color="auto"/>
                <w:bottom w:val="none" w:sz="0" w:space="0" w:color="auto"/>
                <w:right w:val="none" w:sz="0" w:space="0" w:color="auto"/>
              </w:divBdr>
              <w:divsChild>
                <w:div w:id="67699980">
                  <w:marLeft w:val="0"/>
                  <w:marRight w:val="0"/>
                  <w:marTop w:val="0"/>
                  <w:marBottom w:val="0"/>
                  <w:divBdr>
                    <w:top w:val="none" w:sz="0" w:space="0" w:color="auto"/>
                    <w:left w:val="none" w:sz="0" w:space="0" w:color="auto"/>
                    <w:bottom w:val="none" w:sz="0" w:space="0" w:color="auto"/>
                    <w:right w:val="none" w:sz="0" w:space="0" w:color="auto"/>
                  </w:divBdr>
                  <w:divsChild>
                    <w:div w:id="1691029338">
                      <w:marLeft w:val="0"/>
                      <w:marRight w:val="0"/>
                      <w:marTop w:val="0"/>
                      <w:marBottom w:val="375"/>
                      <w:divBdr>
                        <w:top w:val="none" w:sz="0" w:space="0" w:color="auto"/>
                        <w:left w:val="none" w:sz="0" w:space="0" w:color="auto"/>
                        <w:bottom w:val="none" w:sz="0" w:space="0" w:color="auto"/>
                        <w:right w:val="none" w:sz="0" w:space="0" w:color="auto"/>
                      </w:divBdr>
                      <w:divsChild>
                        <w:div w:id="201406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701381">
      <w:bodyDiv w:val="1"/>
      <w:marLeft w:val="0"/>
      <w:marRight w:val="0"/>
      <w:marTop w:val="0"/>
      <w:marBottom w:val="0"/>
      <w:divBdr>
        <w:top w:val="none" w:sz="0" w:space="0" w:color="auto"/>
        <w:left w:val="none" w:sz="0" w:space="0" w:color="auto"/>
        <w:bottom w:val="none" w:sz="0" w:space="0" w:color="auto"/>
        <w:right w:val="none" w:sz="0" w:space="0" w:color="auto"/>
      </w:divBdr>
      <w:divsChild>
        <w:div w:id="372965585">
          <w:marLeft w:val="0"/>
          <w:marRight w:val="0"/>
          <w:marTop w:val="0"/>
          <w:marBottom w:val="0"/>
          <w:divBdr>
            <w:top w:val="none" w:sz="0" w:space="0" w:color="auto"/>
            <w:left w:val="none" w:sz="0" w:space="0" w:color="auto"/>
            <w:bottom w:val="none" w:sz="0" w:space="0" w:color="auto"/>
            <w:right w:val="none" w:sz="0" w:space="0" w:color="auto"/>
          </w:divBdr>
          <w:divsChild>
            <w:div w:id="1685857790">
              <w:marLeft w:val="0"/>
              <w:marRight w:val="0"/>
              <w:marTop w:val="0"/>
              <w:marBottom w:val="0"/>
              <w:divBdr>
                <w:top w:val="none" w:sz="0" w:space="0" w:color="auto"/>
                <w:left w:val="none" w:sz="0" w:space="0" w:color="auto"/>
                <w:bottom w:val="none" w:sz="0" w:space="0" w:color="auto"/>
                <w:right w:val="none" w:sz="0" w:space="0" w:color="auto"/>
              </w:divBdr>
              <w:divsChild>
                <w:div w:id="640503582">
                  <w:marLeft w:val="0"/>
                  <w:marRight w:val="0"/>
                  <w:marTop w:val="0"/>
                  <w:marBottom w:val="0"/>
                  <w:divBdr>
                    <w:top w:val="none" w:sz="0" w:space="0" w:color="auto"/>
                    <w:left w:val="none" w:sz="0" w:space="0" w:color="auto"/>
                    <w:bottom w:val="none" w:sz="0" w:space="0" w:color="auto"/>
                    <w:right w:val="none" w:sz="0" w:space="0" w:color="auto"/>
                  </w:divBdr>
                  <w:divsChild>
                    <w:div w:id="951322852">
                      <w:marLeft w:val="0"/>
                      <w:marRight w:val="0"/>
                      <w:marTop w:val="0"/>
                      <w:marBottom w:val="375"/>
                      <w:divBdr>
                        <w:top w:val="none" w:sz="0" w:space="0" w:color="auto"/>
                        <w:left w:val="none" w:sz="0" w:space="0" w:color="auto"/>
                        <w:bottom w:val="none" w:sz="0" w:space="0" w:color="auto"/>
                        <w:right w:val="none" w:sz="0" w:space="0" w:color="auto"/>
                      </w:divBdr>
                      <w:divsChild>
                        <w:div w:id="5912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744490">
      <w:bodyDiv w:val="1"/>
      <w:marLeft w:val="0"/>
      <w:marRight w:val="0"/>
      <w:marTop w:val="0"/>
      <w:marBottom w:val="0"/>
      <w:divBdr>
        <w:top w:val="none" w:sz="0" w:space="0" w:color="auto"/>
        <w:left w:val="none" w:sz="0" w:space="0" w:color="auto"/>
        <w:bottom w:val="none" w:sz="0" w:space="0" w:color="auto"/>
        <w:right w:val="none" w:sz="0" w:space="0" w:color="auto"/>
      </w:divBdr>
    </w:div>
    <w:div w:id="1222789639">
      <w:bodyDiv w:val="1"/>
      <w:marLeft w:val="0"/>
      <w:marRight w:val="0"/>
      <w:marTop w:val="0"/>
      <w:marBottom w:val="0"/>
      <w:divBdr>
        <w:top w:val="none" w:sz="0" w:space="0" w:color="auto"/>
        <w:left w:val="none" w:sz="0" w:space="0" w:color="auto"/>
        <w:bottom w:val="none" w:sz="0" w:space="0" w:color="auto"/>
        <w:right w:val="none" w:sz="0" w:space="0" w:color="auto"/>
      </w:divBdr>
      <w:divsChild>
        <w:div w:id="1429354448">
          <w:marLeft w:val="0"/>
          <w:marRight w:val="0"/>
          <w:marTop w:val="0"/>
          <w:marBottom w:val="0"/>
          <w:divBdr>
            <w:top w:val="none" w:sz="0" w:space="0" w:color="auto"/>
            <w:left w:val="none" w:sz="0" w:space="0" w:color="auto"/>
            <w:bottom w:val="none" w:sz="0" w:space="0" w:color="auto"/>
            <w:right w:val="none" w:sz="0" w:space="0" w:color="auto"/>
          </w:divBdr>
          <w:divsChild>
            <w:div w:id="834297107">
              <w:marLeft w:val="0"/>
              <w:marRight w:val="0"/>
              <w:marTop w:val="0"/>
              <w:marBottom w:val="0"/>
              <w:divBdr>
                <w:top w:val="none" w:sz="0" w:space="0" w:color="auto"/>
                <w:left w:val="none" w:sz="0" w:space="0" w:color="auto"/>
                <w:bottom w:val="none" w:sz="0" w:space="0" w:color="auto"/>
                <w:right w:val="none" w:sz="0" w:space="0" w:color="auto"/>
              </w:divBdr>
              <w:divsChild>
                <w:div w:id="442458293">
                  <w:marLeft w:val="0"/>
                  <w:marRight w:val="0"/>
                  <w:marTop w:val="0"/>
                  <w:marBottom w:val="0"/>
                  <w:divBdr>
                    <w:top w:val="none" w:sz="0" w:space="0" w:color="auto"/>
                    <w:left w:val="none" w:sz="0" w:space="0" w:color="auto"/>
                    <w:bottom w:val="none" w:sz="0" w:space="0" w:color="auto"/>
                    <w:right w:val="none" w:sz="0" w:space="0" w:color="auto"/>
                  </w:divBdr>
                  <w:divsChild>
                    <w:div w:id="1390156359">
                      <w:marLeft w:val="0"/>
                      <w:marRight w:val="0"/>
                      <w:marTop w:val="0"/>
                      <w:marBottom w:val="375"/>
                      <w:divBdr>
                        <w:top w:val="none" w:sz="0" w:space="0" w:color="auto"/>
                        <w:left w:val="none" w:sz="0" w:space="0" w:color="auto"/>
                        <w:bottom w:val="none" w:sz="0" w:space="0" w:color="auto"/>
                        <w:right w:val="none" w:sz="0" w:space="0" w:color="auto"/>
                      </w:divBdr>
                      <w:divsChild>
                        <w:div w:id="95767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21555">
      <w:bodyDiv w:val="1"/>
      <w:marLeft w:val="0"/>
      <w:marRight w:val="0"/>
      <w:marTop w:val="0"/>
      <w:marBottom w:val="0"/>
      <w:divBdr>
        <w:top w:val="none" w:sz="0" w:space="0" w:color="auto"/>
        <w:left w:val="none" w:sz="0" w:space="0" w:color="auto"/>
        <w:bottom w:val="none" w:sz="0" w:space="0" w:color="auto"/>
        <w:right w:val="none" w:sz="0" w:space="0" w:color="auto"/>
      </w:divBdr>
      <w:divsChild>
        <w:div w:id="1533150971">
          <w:marLeft w:val="0"/>
          <w:marRight w:val="0"/>
          <w:marTop w:val="0"/>
          <w:marBottom w:val="0"/>
          <w:divBdr>
            <w:top w:val="none" w:sz="0" w:space="0" w:color="auto"/>
            <w:left w:val="none" w:sz="0" w:space="0" w:color="auto"/>
            <w:bottom w:val="none" w:sz="0" w:space="0" w:color="auto"/>
            <w:right w:val="none" w:sz="0" w:space="0" w:color="auto"/>
          </w:divBdr>
          <w:divsChild>
            <w:div w:id="668218918">
              <w:marLeft w:val="0"/>
              <w:marRight w:val="0"/>
              <w:marTop w:val="0"/>
              <w:marBottom w:val="0"/>
              <w:divBdr>
                <w:top w:val="none" w:sz="0" w:space="0" w:color="auto"/>
                <w:left w:val="none" w:sz="0" w:space="0" w:color="auto"/>
                <w:bottom w:val="none" w:sz="0" w:space="0" w:color="auto"/>
                <w:right w:val="none" w:sz="0" w:space="0" w:color="auto"/>
              </w:divBdr>
              <w:divsChild>
                <w:div w:id="1262832072">
                  <w:marLeft w:val="0"/>
                  <w:marRight w:val="0"/>
                  <w:marTop w:val="0"/>
                  <w:marBottom w:val="0"/>
                  <w:divBdr>
                    <w:top w:val="none" w:sz="0" w:space="0" w:color="auto"/>
                    <w:left w:val="none" w:sz="0" w:space="0" w:color="auto"/>
                    <w:bottom w:val="none" w:sz="0" w:space="0" w:color="auto"/>
                    <w:right w:val="none" w:sz="0" w:space="0" w:color="auto"/>
                  </w:divBdr>
                  <w:divsChild>
                    <w:div w:id="1506095760">
                      <w:marLeft w:val="0"/>
                      <w:marRight w:val="0"/>
                      <w:marTop w:val="0"/>
                      <w:marBottom w:val="300"/>
                      <w:divBdr>
                        <w:top w:val="none" w:sz="0" w:space="0" w:color="auto"/>
                        <w:left w:val="none" w:sz="0" w:space="0" w:color="auto"/>
                        <w:bottom w:val="none" w:sz="0" w:space="0" w:color="auto"/>
                        <w:right w:val="none" w:sz="0" w:space="0" w:color="auto"/>
                      </w:divBdr>
                      <w:divsChild>
                        <w:div w:id="95094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236990">
      <w:bodyDiv w:val="1"/>
      <w:marLeft w:val="0"/>
      <w:marRight w:val="0"/>
      <w:marTop w:val="0"/>
      <w:marBottom w:val="0"/>
      <w:divBdr>
        <w:top w:val="none" w:sz="0" w:space="0" w:color="auto"/>
        <w:left w:val="none" w:sz="0" w:space="0" w:color="auto"/>
        <w:bottom w:val="none" w:sz="0" w:space="0" w:color="auto"/>
        <w:right w:val="none" w:sz="0" w:space="0" w:color="auto"/>
      </w:divBdr>
      <w:divsChild>
        <w:div w:id="1316685189">
          <w:marLeft w:val="0"/>
          <w:marRight w:val="0"/>
          <w:marTop w:val="0"/>
          <w:marBottom w:val="0"/>
          <w:divBdr>
            <w:top w:val="none" w:sz="0" w:space="0" w:color="auto"/>
            <w:left w:val="single" w:sz="6" w:space="0" w:color="BBBBBB"/>
            <w:bottom w:val="single" w:sz="6" w:space="0" w:color="BBBBBB"/>
            <w:right w:val="single" w:sz="6" w:space="0" w:color="BBBBBB"/>
          </w:divBdr>
          <w:divsChild>
            <w:div w:id="808353689">
              <w:marLeft w:val="0"/>
              <w:marRight w:val="0"/>
              <w:marTop w:val="0"/>
              <w:marBottom w:val="0"/>
              <w:divBdr>
                <w:top w:val="none" w:sz="0" w:space="0" w:color="auto"/>
                <w:left w:val="none" w:sz="0" w:space="0" w:color="auto"/>
                <w:bottom w:val="none" w:sz="0" w:space="0" w:color="auto"/>
                <w:right w:val="none" w:sz="0" w:space="0" w:color="auto"/>
              </w:divBdr>
              <w:divsChild>
                <w:div w:id="2104102444">
                  <w:marLeft w:val="0"/>
                  <w:marRight w:val="0"/>
                  <w:marTop w:val="75"/>
                  <w:marBottom w:val="0"/>
                  <w:divBdr>
                    <w:top w:val="none" w:sz="0" w:space="0" w:color="auto"/>
                    <w:left w:val="none" w:sz="0" w:space="0" w:color="auto"/>
                    <w:bottom w:val="none" w:sz="0" w:space="0" w:color="auto"/>
                    <w:right w:val="none" w:sz="0" w:space="0" w:color="auto"/>
                  </w:divBdr>
                  <w:divsChild>
                    <w:div w:id="451901121">
                      <w:marLeft w:val="0"/>
                      <w:marRight w:val="0"/>
                      <w:marTop w:val="0"/>
                      <w:marBottom w:val="0"/>
                      <w:divBdr>
                        <w:top w:val="none" w:sz="0" w:space="0" w:color="auto"/>
                        <w:left w:val="none" w:sz="0" w:space="0" w:color="auto"/>
                        <w:bottom w:val="none" w:sz="0" w:space="0" w:color="auto"/>
                        <w:right w:val="none" w:sz="0" w:space="0" w:color="auto"/>
                      </w:divBdr>
                      <w:divsChild>
                        <w:div w:id="2019580858">
                          <w:marLeft w:val="0"/>
                          <w:marRight w:val="0"/>
                          <w:marTop w:val="0"/>
                          <w:marBottom w:val="0"/>
                          <w:divBdr>
                            <w:top w:val="none" w:sz="0" w:space="0" w:color="auto"/>
                            <w:left w:val="none" w:sz="0" w:space="0" w:color="auto"/>
                            <w:bottom w:val="none" w:sz="0" w:space="0" w:color="auto"/>
                            <w:right w:val="none" w:sz="0" w:space="0" w:color="auto"/>
                          </w:divBdr>
                          <w:divsChild>
                            <w:div w:id="446318009">
                              <w:marLeft w:val="0"/>
                              <w:marRight w:val="0"/>
                              <w:marTop w:val="0"/>
                              <w:marBottom w:val="0"/>
                              <w:divBdr>
                                <w:top w:val="none" w:sz="0" w:space="0" w:color="auto"/>
                                <w:left w:val="none" w:sz="0" w:space="0" w:color="auto"/>
                                <w:bottom w:val="none" w:sz="0" w:space="0" w:color="auto"/>
                                <w:right w:val="none" w:sz="0" w:space="0" w:color="auto"/>
                              </w:divBdr>
                              <w:divsChild>
                                <w:div w:id="2135055844">
                                  <w:marLeft w:val="0"/>
                                  <w:marRight w:val="0"/>
                                  <w:marTop w:val="0"/>
                                  <w:marBottom w:val="0"/>
                                  <w:divBdr>
                                    <w:top w:val="none" w:sz="0" w:space="0" w:color="auto"/>
                                    <w:left w:val="none" w:sz="0" w:space="0" w:color="auto"/>
                                    <w:bottom w:val="none" w:sz="0" w:space="0" w:color="auto"/>
                                    <w:right w:val="none" w:sz="0" w:space="0" w:color="auto"/>
                                  </w:divBdr>
                                  <w:divsChild>
                                    <w:div w:id="1109083167">
                                      <w:marLeft w:val="0"/>
                                      <w:marRight w:val="0"/>
                                      <w:marTop w:val="0"/>
                                      <w:marBottom w:val="0"/>
                                      <w:divBdr>
                                        <w:top w:val="none" w:sz="0" w:space="0" w:color="auto"/>
                                        <w:left w:val="none" w:sz="0" w:space="0" w:color="auto"/>
                                        <w:bottom w:val="none" w:sz="0" w:space="0" w:color="auto"/>
                                        <w:right w:val="none" w:sz="0" w:space="0" w:color="auto"/>
                                      </w:divBdr>
                                      <w:divsChild>
                                        <w:div w:id="798718332">
                                          <w:marLeft w:val="1200"/>
                                          <w:marRight w:val="1200"/>
                                          <w:marTop w:val="0"/>
                                          <w:marBottom w:val="0"/>
                                          <w:divBdr>
                                            <w:top w:val="none" w:sz="0" w:space="0" w:color="auto"/>
                                            <w:left w:val="none" w:sz="0" w:space="0" w:color="auto"/>
                                            <w:bottom w:val="none" w:sz="0" w:space="0" w:color="auto"/>
                                            <w:right w:val="none" w:sz="0" w:space="0" w:color="auto"/>
                                          </w:divBdr>
                                          <w:divsChild>
                                            <w:div w:id="1816993011">
                                              <w:marLeft w:val="0"/>
                                              <w:marRight w:val="0"/>
                                              <w:marTop w:val="0"/>
                                              <w:marBottom w:val="0"/>
                                              <w:divBdr>
                                                <w:top w:val="none" w:sz="0" w:space="0" w:color="auto"/>
                                                <w:left w:val="none" w:sz="0" w:space="0" w:color="auto"/>
                                                <w:bottom w:val="none" w:sz="0" w:space="0" w:color="auto"/>
                                                <w:right w:val="none" w:sz="0" w:space="0" w:color="auto"/>
                                              </w:divBdr>
                                              <w:divsChild>
                                                <w:div w:id="1221290611">
                                                  <w:marLeft w:val="0"/>
                                                  <w:marRight w:val="0"/>
                                                  <w:marTop w:val="0"/>
                                                  <w:marBottom w:val="0"/>
                                                  <w:divBdr>
                                                    <w:top w:val="none" w:sz="0" w:space="0" w:color="auto"/>
                                                    <w:left w:val="none" w:sz="0" w:space="0" w:color="auto"/>
                                                    <w:bottom w:val="none" w:sz="0" w:space="0" w:color="auto"/>
                                                    <w:right w:val="none" w:sz="0" w:space="0" w:color="auto"/>
                                                  </w:divBdr>
                                                  <w:divsChild>
                                                    <w:div w:id="1239485906">
                                                      <w:marLeft w:val="0"/>
                                                      <w:marRight w:val="0"/>
                                                      <w:marTop w:val="0"/>
                                                      <w:marBottom w:val="0"/>
                                                      <w:divBdr>
                                                        <w:top w:val="none" w:sz="0" w:space="0" w:color="auto"/>
                                                        <w:left w:val="none" w:sz="0" w:space="0" w:color="auto"/>
                                                        <w:bottom w:val="none" w:sz="0" w:space="0" w:color="auto"/>
                                                        <w:right w:val="none" w:sz="0" w:space="0" w:color="auto"/>
                                                      </w:divBdr>
                                                      <w:divsChild>
                                                        <w:div w:id="563183356">
                                                          <w:marLeft w:val="0"/>
                                                          <w:marRight w:val="0"/>
                                                          <w:marTop w:val="0"/>
                                                          <w:marBottom w:val="0"/>
                                                          <w:divBdr>
                                                            <w:top w:val="none" w:sz="0" w:space="0" w:color="auto"/>
                                                            <w:left w:val="none" w:sz="0" w:space="0" w:color="auto"/>
                                                            <w:bottom w:val="none" w:sz="0" w:space="0" w:color="auto"/>
                                                            <w:right w:val="none" w:sz="0" w:space="0" w:color="auto"/>
                                                          </w:divBdr>
                                                          <w:divsChild>
                                                            <w:div w:id="214437967">
                                                              <w:marLeft w:val="0"/>
                                                              <w:marRight w:val="0"/>
                                                              <w:marTop w:val="0"/>
                                                              <w:marBottom w:val="0"/>
                                                              <w:divBdr>
                                                                <w:top w:val="none" w:sz="0" w:space="0" w:color="auto"/>
                                                                <w:left w:val="none" w:sz="0" w:space="0" w:color="auto"/>
                                                                <w:bottom w:val="none" w:sz="0" w:space="0" w:color="auto"/>
                                                                <w:right w:val="none" w:sz="0" w:space="0" w:color="auto"/>
                                                              </w:divBdr>
                                                              <w:divsChild>
                                                                <w:div w:id="660347853">
                                                                  <w:marLeft w:val="0"/>
                                                                  <w:marRight w:val="0"/>
                                                                  <w:marTop w:val="0"/>
                                                                  <w:marBottom w:val="0"/>
                                                                  <w:divBdr>
                                                                    <w:top w:val="none" w:sz="0" w:space="0" w:color="auto"/>
                                                                    <w:left w:val="none" w:sz="0" w:space="0" w:color="auto"/>
                                                                    <w:bottom w:val="none" w:sz="0" w:space="0" w:color="auto"/>
                                                                    <w:right w:val="none" w:sz="0" w:space="0" w:color="auto"/>
                                                                  </w:divBdr>
                                                                  <w:divsChild>
                                                                    <w:div w:id="239219947">
                                                                      <w:marLeft w:val="0"/>
                                                                      <w:marRight w:val="0"/>
                                                                      <w:marTop w:val="0"/>
                                                                      <w:marBottom w:val="0"/>
                                                                      <w:divBdr>
                                                                        <w:top w:val="none" w:sz="0" w:space="0" w:color="auto"/>
                                                                        <w:left w:val="none" w:sz="0" w:space="0" w:color="auto"/>
                                                                        <w:bottom w:val="none" w:sz="0" w:space="0" w:color="auto"/>
                                                                        <w:right w:val="none" w:sz="0" w:space="0" w:color="auto"/>
                                                                      </w:divBdr>
                                                                      <w:divsChild>
                                                                        <w:div w:id="1562670666">
                                                                          <w:marLeft w:val="0"/>
                                                                          <w:marRight w:val="0"/>
                                                                          <w:marTop w:val="0"/>
                                                                          <w:marBottom w:val="0"/>
                                                                          <w:divBdr>
                                                                            <w:top w:val="none" w:sz="0" w:space="0" w:color="auto"/>
                                                                            <w:left w:val="none" w:sz="0" w:space="0" w:color="auto"/>
                                                                            <w:bottom w:val="none" w:sz="0" w:space="0" w:color="auto"/>
                                                                            <w:right w:val="none" w:sz="0" w:space="0" w:color="auto"/>
                                                                          </w:divBdr>
                                                                        </w:div>
                                                                      </w:divsChild>
                                                                    </w:div>
                                                                    <w:div w:id="272713861">
                                                                      <w:marLeft w:val="0"/>
                                                                      <w:marRight w:val="0"/>
                                                                      <w:marTop w:val="0"/>
                                                                      <w:marBottom w:val="0"/>
                                                                      <w:divBdr>
                                                                        <w:top w:val="none" w:sz="0" w:space="0" w:color="auto"/>
                                                                        <w:left w:val="none" w:sz="0" w:space="0" w:color="auto"/>
                                                                        <w:bottom w:val="none" w:sz="0" w:space="0" w:color="auto"/>
                                                                        <w:right w:val="none" w:sz="0" w:space="0" w:color="auto"/>
                                                                      </w:divBdr>
                                                                      <w:divsChild>
                                                                        <w:div w:id="11542238">
                                                                          <w:marLeft w:val="0"/>
                                                                          <w:marRight w:val="0"/>
                                                                          <w:marTop w:val="0"/>
                                                                          <w:marBottom w:val="0"/>
                                                                          <w:divBdr>
                                                                            <w:top w:val="none" w:sz="0" w:space="0" w:color="auto"/>
                                                                            <w:left w:val="none" w:sz="0" w:space="0" w:color="auto"/>
                                                                            <w:bottom w:val="none" w:sz="0" w:space="0" w:color="auto"/>
                                                                            <w:right w:val="none" w:sz="0" w:space="0" w:color="auto"/>
                                                                          </w:divBdr>
                                                                          <w:divsChild>
                                                                            <w:div w:id="828716653">
                                                                              <w:marLeft w:val="0"/>
                                                                              <w:marRight w:val="0"/>
                                                                              <w:marTop w:val="0"/>
                                                                              <w:marBottom w:val="0"/>
                                                                              <w:divBdr>
                                                                                <w:top w:val="none" w:sz="0" w:space="0" w:color="auto"/>
                                                                                <w:left w:val="none" w:sz="0" w:space="0" w:color="auto"/>
                                                                                <w:bottom w:val="none" w:sz="0" w:space="0" w:color="auto"/>
                                                                                <w:right w:val="none" w:sz="0" w:space="0" w:color="auto"/>
                                                                              </w:divBdr>
                                                                            </w:div>
                                                                          </w:divsChild>
                                                                        </w:div>
                                                                        <w:div w:id="506361898">
                                                                          <w:marLeft w:val="0"/>
                                                                          <w:marRight w:val="0"/>
                                                                          <w:marTop w:val="0"/>
                                                                          <w:marBottom w:val="0"/>
                                                                          <w:divBdr>
                                                                            <w:top w:val="none" w:sz="0" w:space="0" w:color="auto"/>
                                                                            <w:left w:val="none" w:sz="0" w:space="0" w:color="auto"/>
                                                                            <w:bottom w:val="none" w:sz="0" w:space="0" w:color="auto"/>
                                                                            <w:right w:val="none" w:sz="0" w:space="0" w:color="auto"/>
                                                                          </w:divBdr>
                                                                          <w:divsChild>
                                                                            <w:div w:id="8915282">
                                                                              <w:marLeft w:val="0"/>
                                                                              <w:marRight w:val="0"/>
                                                                              <w:marTop w:val="0"/>
                                                                              <w:marBottom w:val="0"/>
                                                                              <w:divBdr>
                                                                                <w:top w:val="none" w:sz="0" w:space="0" w:color="auto"/>
                                                                                <w:left w:val="none" w:sz="0" w:space="0" w:color="auto"/>
                                                                                <w:bottom w:val="none" w:sz="0" w:space="0" w:color="auto"/>
                                                                                <w:right w:val="none" w:sz="0" w:space="0" w:color="auto"/>
                                                                              </w:divBdr>
                                                                            </w:div>
                                                                          </w:divsChild>
                                                                        </w:div>
                                                                        <w:div w:id="764107459">
                                                                          <w:marLeft w:val="0"/>
                                                                          <w:marRight w:val="0"/>
                                                                          <w:marTop w:val="0"/>
                                                                          <w:marBottom w:val="0"/>
                                                                          <w:divBdr>
                                                                            <w:top w:val="none" w:sz="0" w:space="0" w:color="auto"/>
                                                                            <w:left w:val="none" w:sz="0" w:space="0" w:color="auto"/>
                                                                            <w:bottom w:val="none" w:sz="0" w:space="0" w:color="auto"/>
                                                                            <w:right w:val="none" w:sz="0" w:space="0" w:color="auto"/>
                                                                          </w:divBdr>
                                                                          <w:divsChild>
                                                                            <w:div w:id="440493821">
                                                                              <w:marLeft w:val="0"/>
                                                                              <w:marRight w:val="0"/>
                                                                              <w:marTop w:val="0"/>
                                                                              <w:marBottom w:val="0"/>
                                                                              <w:divBdr>
                                                                                <w:top w:val="none" w:sz="0" w:space="0" w:color="auto"/>
                                                                                <w:left w:val="none" w:sz="0" w:space="0" w:color="auto"/>
                                                                                <w:bottom w:val="none" w:sz="0" w:space="0" w:color="auto"/>
                                                                                <w:right w:val="none" w:sz="0" w:space="0" w:color="auto"/>
                                                                              </w:divBdr>
                                                                            </w:div>
                                                                          </w:divsChild>
                                                                        </w:div>
                                                                        <w:div w:id="996886317">
                                                                          <w:marLeft w:val="0"/>
                                                                          <w:marRight w:val="0"/>
                                                                          <w:marTop w:val="0"/>
                                                                          <w:marBottom w:val="0"/>
                                                                          <w:divBdr>
                                                                            <w:top w:val="none" w:sz="0" w:space="0" w:color="auto"/>
                                                                            <w:left w:val="none" w:sz="0" w:space="0" w:color="auto"/>
                                                                            <w:bottom w:val="none" w:sz="0" w:space="0" w:color="auto"/>
                                                                            <w:right w:val="none" w:sz="0" w:space="0" w:color="auto"/>
                                                                          </w:divBdr>
                                                                        </w:div>
                                                                        <w:div w:id="1251737737">
                                                                          <w:marLeft w:val="0"/>
                                                                          <w:marRight w:val="0"/>
                                                                          <w:marTop w:val="0"/>
                                                                          <w:marBottom w:val="0"/>
                                                                          <w:divBdr>
                                                                            <w:top w:val="none" w:sz="0" w:space="0" w:color="auto"/>
                                                                            <w:left w:val="none" w:sz="0" w:space="0" w:color="auto"/>
                                                                            <w:bottom w:val="none" w:sz="0" w:space="0" w:color="auto"/>
                                                                            <w:right w:val="none" w:sz="0" w:space="0" w:color="auto"/>
                                                                          </w:divBdr>
                                                                          <w:divsChild>
                                                                            <w:div w:id="106051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388718">
      <w:bodyDiv w:val="1"/>
      <w:marLeft w:val="0"/>
      <w:marRight w:val="0"/>
      <w:marTop w:val="0"/>
      <w:marBottom w:val="0"/>
      <w:divBdr>
        <w:top w:val="none" w:sz="0" w:space="0" w:color="auto"/>
        <w:left w:val="none" w:sz="0" w:space="0" w:color="auto"/>
        <w:bottom w:val="none" w:sz="0" w:space="0" w:color="auto"/>
        <w:right w:val="none" w:sz="0" w:space="0" w:color="auto"/>
      </w:divBdr>
      <w:divsChild>
        <w:div w:id="743603898">
          <w:marLeft w:val="0"/>
          <w:marRight w:val="0"/>
          <w:marTop w:val="0"/>
          <w:marBottom w:val="0"/>
          <w:divBdr>
            <w:top w:val="none" w:sz="0" w:space="0" w:color="auto"/>
            <w:left w:val="none" w:sz="0" w:space="0" w:color="auto"/>
            <w:bottom w:val="none" w:sz="0" w:space="0" w:color="auto"/>
            <w:right w:val="none" w:sz="0" w:space="0" w:color="auto"/>
          </w:divBdr>
          <w:divsChild>
            <w:div w:id="1654064279">
              <w:marLeft w:val="0"/>
              <w:marRight w:val="0"/>
              <w:marTop w:val="0"/>
              <w:marBottom w:val="0"/>
              <w:divBdr>
                <w:top w:val="none" w:sz="0" w:space="0" w:color="auto"/>
                <w:left w:val="none" w:sz="0" w:space="0" w:color="auto"/>
                <w:bottom w:val="none" w:sz="0" w:space="0" w:color="auto"/>
                <w:right w:val="none" w:sz="0" w:space="0" w:color="auto"/>
              </w:divBdr>
              <w:divsChild>
                <w:div w:id="1032534222">
                  <w:marLeft w:val="0"/>
                  <w:marRight w:val="0"/>
                  <w:marTop w:val="0"/>
                  <w:marBottom w:val="0"/>
                  <w:divBdr>
                    <w:top w:val="none" w:sz="0" w:space="0" w:color="auto"/>
                    <w:left w:val="none" w:sz="0" w:space="0" w:color="auto"/>
                    <w:bottom w:val="none" w:sz="0" w:space="0" w:color="auto"/>
                    <w:right w:val="none" w:sz="0" w:space="0" w:color="auto"/>
                  </w:divBdr>
                  <w:divsChild>
                    <w:div w:id="16203675">
                      <w:marLeft w:val="0"/>
                      <w:marRight w:val="0"/>
                      <w:marTop w:val="0"/>
                      <w:marBottom w:val="300"/>
                      <w:divBdr>
                        <w:top w:val="none" w:sz="0" w:space="0" w:color="auto"/>
                        <w:left w:val="none" w:sz="0" w:space="0" w:color="auto"/>
                        <w:bottom w:val="none" w:sz="0" w:space="0" w:color="auto"/>
                        <w:right w:val="none" w:sz="0" w:space="0" w:color="auto"/>
                      </w:divBdr>
                      <w:divsChild>
                        <w:div w:id="5312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464148">
      <w:bodyDiv w:val="1"/>
      <w:marLeft w:val="0"/>
      <w:marRight w:val="0"/>
      <w:marTop w:val="0"/>
      <w:marBottom w:val="0"/>
      <w:divBdr>
        <w:top w:val="none" w:sz="0" w:space="0" w:color="auto"/>
        <w:left w:val="none" w:sz="0" w:space="0" w:color="auto"/>
        <w:bottom w:val="none" w:sz="0" w:space="0" w:color="auto"/>
        <w:right w:val="none" w:sz="0" w:space="0" w:color="auto"/>
      </w:divBdr>
      <w:divsChild>
        <w:div w:id="950864207">
          <w:marLeft w:val="0"/>
          <w:marRight w:val="0"/>
          <w:marTop w:val="240"/>
          <w:marBottom w:val="0"/>
          <w:divBdr>
            <w:top w:val="none" w:sz="0" w:space="0" w:color="auto"/>
            <w:left w:val="none" w:sz="0" w:space="0" w:color="auto"/>
            <w:bottom w:val="none" w:sz="0" w:space="0" w:color="auto"/>
            <w:right w:val="none" w:sz="0" w:space="0" w:color="auto"/>
          </w:divBdr>
          <w:divsChild>
            <w:div w:id="1775979060">
              <w:marLeft w:val="0"/>
              <w:marRight w:val="0"/>
              <w:marTop w:val="0"/>
              <w:marBottom w:val="0"/>
              <w:divBdr>
                <w:top w:val="none" w:sz="0" w:space="0" w:color="auto"/>
                <w:left w:val="none" w:sz="0" w:space="0" w:color="auto"/>
                <w:bottom w:val="none" w:sz="0" w:space="0" w:color="auto"/>
                <w:right w:val="none" w:sz="0" w:space="0" w:color="auto"/>
              </w:divBdr>
              <w:divsChild>
                <w:div w:id="1401175701">
                  <w:blockQuote w:val="1"/>
                  <w:marLeft w:val="0"/>
                  <w:marRight w:val="0"/>
                  <w:marTop w:val="0"/>
                  <w:marBottom w:val="0"/>
                  <w:divBdr>
                    <w:top w:val="none" w:sz="0" w:space="0" w:color="auto"/>
                    <w:left w:val="none" w:sz="0" w:space="0" w:color="auto"/>
                    <w:bottom w:val="none" w:sz="0" w:space="0" w:color="auto"/>
                    <w:right w:val="none" w:sz="0" w:space="0" w:color="auto"/>
                  </w:divBdr>
                  <w:divsChild>
                    <w:div w:id="148997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5428">
          <w:marLeft w:val="0"/>
          <w:marRight w:val="0"/>
          <w:marTop w:val="240"/>
          <w:marBottom w:val="0"/>
          <w:divBdr>
            <w:top w:val="none" w:sz="0" w:space="0" w:color="auto"/>
            <w:left w:val="none" w:sz="0" w:space="0" w:color="auto"/>
            <w:bottom w:val="none" w:sz="0" w:space="0" w:color="auto"/>
            <w:right w:val="none" w:sz="0" w:space="0" w:color="auto"/>
          </w:divBdr>
          <w:divsChild>
            <w:div w:id="638267187">
              <w:marLeft w:val="0"/>
              <w:marRight w:val="0"/>
              <w:marTop w:val="0"/>
              <w:marBottom w:val="0"/>
              <w:divBdr>
                <w:top w:val="none" w:sz="0" w:space="0" w:color="auto"/>
                <w:left w:val="none" w:sz="0" w:space="0" w:color="auto"/>
                <w:bottom w:val="none" w:sz="0" w:space="0" w:color="auto"/>
                <w:right w:val="none" w:sz="0" w:space="0" w:color="auto"/>
              </w:divBdr>
            </w:div>
          </w:divsChild>
        </w:div>
        <w:div w:id="1229684113">
          <w:marLeft w:val="0"/>
          <w:marRight w:val="0"/>
          <w:marTop w:val="0"/>
          <w:marBottom w:val="0"/>
          <w:divBdr>
            <w:top w:val="none" w:sz="0" w:space="0" w:color="auto"/>
            <w:left w:val="none" w:sz="0" w:space="0" w:color="auto"/>
            <w:bottom w:val="none" w:sz="0" w:space="0" w:color="auto"/>
            <w:right w:val="none" w:sz="0" w:space="0" w:color="auto"/>
          </w:divBdr>
        </w:div>
      </w:divsChild>
    </w:div>
    <w:div w:id="1234661547">
      <w:bodyDiv w:val="1"/>
      <w:marLeft w:val="0"/>
      <w:marRight w:val="0"/>
      <w:marTop w:val="0"/>
      <w:marBottom w:val="0"/>
      <w:divBdr>
        <w:top w:val="none" w:sz="0" w:space="0" w:color="auto"/>
        <w:left w:val="none" w:sz="0" w:space="0" w:color="auto"/>
        <w:bottom w:val="none" w:sz="0" w:space="0" w:color="auto"/>
        <w:right w:val="none" w:sz="0" w:space="0" w:color="auto"/>
      </w:divBdr>
      <w:divsChild>
        <w:div w:id="456459480">
          <w:marLeft w:val="0"/>
          <w:marRight w:val="0"/>
          <w:marTop w:val="240"/>
          <w:marBottom w:val="0"/>
          <w:divBdr>
            <w:top w:val="none" w:sz="0" w:space="0" w:color="auto"/>
            <w:left w:val="none" w:sz="0" w:space="0" w:color="auto"/>
            <w:bottom w:val="none" w:sz="0" w:space="0" w:color="auto"/>
            <w:right w:val="none" w:sz="0" w:space="0" w:color="auto"/>
          </w:divBdr>
          <w:divsChild>
            <w:div w:id="663044525">
              <w:marLeft w:val="0"/>
              <w:marRight w:val="0"/>
              <w:marTop w:val="0"/>
              <w:marBottom w:val="0"/>
              <w:divBdr>
                <w:top w:val="none" w:sz="0" w:space="0" w:color="auto"/>
                <w:left w:val="none" w:sz="0" w:space="0" w:color="auto"/>
                <w:bottom w:val="none" w:sz="0" w:space="0" w:color="auto"/>
                <w:right w:val="none" w:sz="0" w:space="0" w:color="auto"/>
              </w:divBdr>
            </w:div>
          </w:divsChild>
        </w:div>
        <w:div w:id="1050882605">
          <w:marLeft w:val="0"/>
          <w:marRight w:val="0"/>
          <w:marTop w:val="0"/>
          <w:marBottom w:val="0"/>
          <w:divBdr>
            <w:top w:val="none" w:sz="0" w:space="0" w:color="auto"/>
            <w:left w:val="none" w:sz="0" w:space="0" w:color="auto"/>
            <w:bottom w:val="none" w:sz="0" w:space="0" w:color="auto"/>
            <w:right w:val="none" w:sz="0" w:space="0" w:color="auto"/>
          </w:divBdr>
        </w:div>
        <w:div w:id="1094321660">
          <w:marLeft w:val="0"/>
          <w:marRight w:val="0"/>
          <w:marTop w:val="240"/>
          <w:marBottom w:val="0"/>
          <w:divBdr>
            <w:top w:val="none" w:sz="0" w:space="0" w:color="auto"/>
            <w:left w:val="none" w:sz="0" w:space="0" w:color="auto"/>
            <w:bottom w:val="none" w:sz="0" w:space="0" w:color="auto"/>
            <w:right w:val="none" w:sz="0" w:space="0" w:color="auto"/>
          </w:divBdr>
          <w:divsChild>
            <w:div w:id="421992785">
              <w:marLeft w:val="0"/>
              <w:marRight w:val="0"/>
              <w:marTop w:val="0"/>
              <w:marBottom w:val="0"/>
              <w:divBdr>
                <w:top w:val="none" w:sz="0" w:space="0" w:color="auto"/>
                <w:left w:val="none" w:sz="0" w:space="0" w:color="auto"/>
                <w:bottom w:val="none" w:sz="0" w:space="0" w:color="auto"/>
                <w:right w:val="none" w:sz="0" w:space="0" w:color="auto"/>
              </w:divBdr>
            </w:div>
          </w:divsChild>
        </w:div>
        <w:div w:id="1622179536">
          <w:marLeft w:val="0"/>
          <w:marRight w:val="0"/>
          <w:marTop w:val="240"/>
          <w:marBottom w:val="0"/>
          <w:divBdr>
            <w:top w:val="none" w:sz="0" w:space="0" w:color="auto"/>
            <w:left w:val="none" w:sz="0" w:space="0" w:color="auto"/>
            <w:bottom w:val="none" w:sz="0" w:space="0" w:color="auto"/>
            <w:right w:val="none" w:sz="0" w:space="0" w:color="auto"/>
          </w:divBdr>
          <w:divsChild>
            <w:div w:id="1929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86509">
      <w:bodyDiv w:val="1"/>
      <w:marLeft w:val="0"/>
      <w:marRight w:val="0"/>
      <w:marTop w:val="0"/>
      <w:marBottom w:val="0"/>
      <w:divBdr>
        <w:top w:val="none" w:sz="0" w:space="0" w:color="auto"/>
        <w:left w:val="none" w:sz="0" w:space="0" w:color="auto"/>
        <w:bottom w:val="none" w:sz="0" w:space="0" w:color="auto"/>
        <w:right w:val="none" w:sz="0" w:space="0" w:color="auto"/>
      </w:divBdr>
      <w:divsChild>
        <w:div w:id="306865089">
          <w:marLeft w:val="0"/>
          <w:marRight w:val="0"/>
          <w:marTop w:val="240"/>
          <w:marBottom w:val="0"/>
          <w:divBdr>
            <w:top w:val="none" w:sz="0" w:space="0" w:color="auto"/>
            <w:left w:val="none" w:sz="0" w:space="0" w:color="auto"/>
            <w:bottom w:val="none" w:sz="0" w:space="0" w:color="auto"/>
            <w:right w:val="none" w:sz="0" w:space="0" w:color="auto"/>
          </w:divBdr>
          <w:divsChild>
            <w:div w:id="27264668">
              <w:marLeft w:val="0"/>
              <w:marRight w:val="0"/>
              <w:marTop w:val="0"/>
              <w:marBottom w:val="0"/>
              <w:divBdr>
                <w:top w:val="none" w:sz="0" w:space="0" w:color="auto"/>
                <w:left w:val="none" w:sz="0" w:space="0" w:color="auto"/>
                <w:bottom w:val="none" w:sz="0" w:space="0" w:color="auto"/>
                <w:right w:val="none" w:sz="0" w:space="0" w:color="auto"/>
              </w:divBdr>
            </w:div>
            <w:div w:id="1367023397">
              <w:marLeft w:val="0"/>
              <w:marRight w:val="0"/>
              <w:marTop w:val="240"/>
              <w:marBottom w:val="0"/>
              <w:divBdr>
                <w:top w:val="none" w:sz="0" w:space="0" w:color="auto"/>
                <w:left w:val="none" w:sz="0" w:space="0" w:color="auto"/>
                <w:bottom w:val="none" w:sz="0" w:space="0" w:color="auto"/>
                <w:right w:val="none" w:sz="0" w:space="0" w:color="auto"/>
              </w:divBdr>
              <w:divsChild>
                <w:div w:id="538393446">
                  <w:marLeft w:val="0"/>
                  <w:marRight w:val="0"/>
                  <w:marTop w:val="0"/>
                  <w:marBottom w:val="0"/>
                  <w:divBdr>
                    <w:top w:val="none" w:sz="0" w:space="0" w:color="auto"/>
                    <w:left w:val="none" w:sz="0" w:space="0" w:color="auto"/>
                    <w:bottom w:val="none" w:sz="0" w:space="0" w:color="auto"/>
                    <w:right w:val="none" w:sz="0" w:space="0" w:color="auto"/>
                  </w:divBdr>
                </w:div>
              </w:divsChild>
            </w:div>
            <w:div w:id="484736396">
              <w:marLeft w:val="0"/>
              <w:marRight w:val="0"/>
              <w:marTop w:val="240"/>
              <w:marBottom w:val="0"/>
              <w:divBdr>
                <w:top w:val="none" w:sz="0" w:space="0" w:color="auto"/>
                <w:left w:val="none" w:sz="0" w:space="0" w:color="auto"/>
                <w:bottom w:val="none" w:sz="0" w:space="0" w:color="auto"/>
                <w:right w:val="none" w:sz="0" w:space="0" w:color="auto"/>
              </w:divBdr>
              <w:divsChild>
                <w:div w:id="1767313303">
                  <w:marLeft w:val="0"/>
                  <w:marRight w:val="0"/>
                  <w:marTop w:val="0"/>
                  <w:marBottom w:val="0"/>
                  <w:divBdr>
                    <w:top w:val="none" w:sz="0" w:space="0" w:color="auto"/>
                    <w:left w:val="none" w:sz="0" w:space="0" w:color="auto"/>
                    <w:bottom w:val="none" w:sz="0" w:space="0" w:color="auto"/>
                    <w:right w:val="none" w:sz="0" w:space="0" w:color="auto"/>
                  </w:divBdr>
                </w:div>
              </w:divsChild>
            </w:div>
            <w:div w:id="546914943">
              <w:marLeft w:val="0"/>
              <w:marRight w:val="0"/>
              <w:marTop w:val="240"/>
              <w:marBottom w:val="0"/>
              <w:divBdr>
                <w:top w:val="none" w:sz="0" w:space="0" w:color="auto"/>
                <w:left w:val="none" w:sz="0" w:space="0" w:color="auto"/>
                <w:bottom w:val="none" w:sz="0" w:space="0" w:color="auto"/>
                <w:right w:val="none" w:sz="0" w:space="0" w:color="auto"/>
              </w:divBdr>
            </w:div>
          </w:divsChild>
        </w:div>
        <w:div w:id="1192957585">
          <w:marLeft w:val="0"/>
          <w:marRight w:val="0"/>
          <w:marTop w:val="240"/>
          <w:marBottom w:val="0"/>
          <w:divBdr>
            <w:top w:val="none" w:sz="0" w:space="0" w:color="auto"/>
            <w:left w:val="none" w:sz="0" w:space="0" w:color="auto"/>
            <w:bottom w:val="none" w:sz="0" w:space="0" w:color="auto"/>
            <w:right w:val="none" w:sz="0" w:space="0" w:color="auto"/>
          </w:divBdr>
          <w:divsChild>
            <w:div w:id="4345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7895">
      <w:bodyDiv w:val="1"/>
      <w:marLeft w:val="0"/>
      <w:marRight w:val="0"/>
      <w:marTop w:val="0"/>
      <w:marBottom w:val="0"/>
      <w:divBdr>
        <w:top w:val="none" w:sz="0" w:space="0" w:color="auto"/>
        <w:left w:val="none" w:sz="0" w:space="0" w:color="auto"/>
        <w:bottom w:val="none" w:sz="0" w:space="0" w:color="auto"/>
        <w:right w:val="none" w:sz="0" w:space="0" w:color="auto"/>
      </w:divBdr>
      <w:divsChild>
        <w:div w:id="157305773">
          <w:marLeft w:val="0"/>
          <w:marRight w:val="0"/>
          <w:marTop w:val="0"/>
          <w:marBottom w:val="0"/>
          <w:divBdr>
            <w:top w:val="none" w:sz="0" w:space="0" w:color="auto"/>
            <w:left w:val="single" w:sz="6" w:space="0" w:color="BBBBBB"/>
            <w:bottom w:val="single" w:sz="6" w:space="0" w:color="BBBBBB"/>
            <w:right w:val="single" w:sz="6" w:space="0" w:color="BBBBBB"/>
          </w:divBdr>
          <w:divsChild>
            <w:div w:id="829292704">
              <w:marLeft w:val="0"/>
              <w:marRight w:val="0"/>
              <w:marTop w:val="0"/>
              <w:marBottom w:val="0"/>
              <w:divBdr>
                <w:top w:val="none" w:sz="0" w:space="0" w:color="auto"/>
                <w:left w:val="none" w:sz="0" w:space="0" w:color="auto"/>
                <w:bottom w:val="none" w:sz="0" w:space="0" w:color="auto"/>
                <w:right w:val="none" w:sz="0" w:space="0" w:color="auto"/>
              </w:divBdr>
              <w:divsChild>
                <w:div w:id="2086829967">
                  <w:marLeft w:val="0"/>
                  <w:marRight w:val="0"/>
                  <w:marTop w:val="75"/>
                  <w:marBottom w:val="0"/>
                  <w:divBdr>
                    <w:top w:val="none" w:sz="0" w:space="0" w:color="auto"/>
                    <w:left w:val="none" w:sz="0" w:space="0" w:color="auto"/>
                    <w:bottom w:val="none" w:sz="0" w:space="0" w:color="auto"/>
                    <w:right w:val="none" w:sz="0" w:space="0" w:color="auto"/>
                  </w:divBdr>
                  <w:divsChild>
                    <w:div w:id="314143895">
                      <w:marLeft w:val="0"/>
                      <w:marRight w:val="0"/>
                      <w:marTop w:val="0"/>
                      <w:marBottom w:val="0"/>
                      <w:divBdr>
                        <w:top w:val="none" w:sz="0" w:space="0" w:color="auto"/>
                        <w:left w:val="none" w:sz="0" w:space="0" w:color="auto"/>
                        <w:bottom w:val="none" w:sz="0" w:space="0" w:color="auto"/>
                        <w:right w:val="none" w:sz="0" w:space="0" w:color="auto"/>
                      </w:divBdr>
                      <w:divsChild>
                        <w:div w:id="420877664">
                          <w:marLeft w:val="0"/>
                          <w:marRight w:val="0"/>
                          <w:marTop w:val="0"/>
                          <w:marBottom w:val="0"/>
                          <w:divBdr>
                            <w:top w:val="none" w:sz="0" w:space="0" w:color="auto"/>
                            <w:left w:val="none" w:sz="0" w:space="0" w:color="auto"/>
                            <w:bottom w:val="none" w:sz="0" w:space="0" w:color="auto"/>
                            <w:right w:val="none" w:sz="0" w:space="0" w:color="auto"/>
                          </w:divBdr>
                          <w:divsChild>
                            <w:div w:id="1347294774">
                              <w:marLeft w:val="0"/>
                              <w:marRight w:val="0"/>
                              <w:marTop w:val="0"/>
                              <w:marBottom w:val="0"/>
                              <w:divBdr>
                                <w:top w:val="none" w:sz="0" w:space="0" w:color="auto"/>
                                <w:left w:val="none" w:sz="0" w:space="0" w:color="auto"/>
                                <w:bottom w:val="none" w:sz="0" w:space="0" w:color="auto"/>
                                <w:right w:val="none" w:sz="0" w:space="0" w:color="auto"/>
                              </w:divBdr>
                              <w:divsChild>
                                <w:div w:id="272631764">
                                  <w:marLeft w:val="0"/>
                                  <w:marRight w:val="0"/>
                                  <w:marTop w:val="0"/>
                                  <w:marBottom w:val="0"/>
                                  <w:divBdr>
                                    <w:top w:val="none" w:sz="0" w:space="0" w:color="auto"/>
                                    <w:left w:val="none" w:sz="0" w:space="0" w:color="auto"/>
                                    <w:bottom w:val="none" w:sz="0" w:space="0" w:color="auto"/>
                                    <w:right w:val="none" w:sz="0" w:space="0" w:color="auto"/>
                                  </w:divBdr>
                                  <w:divsChild>
                                    <w:div w:id="1057625050">
                                      <w:marLeft w:val="0"/>
                                      <w:marRight w:val="0"/>
                                      <w:marTop w:val="0"/>
                                      <w:marBottom w:val="0"/>
                                      <w:divBdr>
                                        <w:top w:val="none" w:sz="0" w:space="0" w:color="auto"/>
                                        <w:left w:val="none" w:sz="0" w:space="0" w:color="auto"/>
                                        <w:bottom w:val="none" w:sz="0" w:space="0" w:color="auto"/>
                                        <w:right w:val="none" w:sz="0" w:space="0" w:color="auto"/>
                                      </w:divBdr>
                                      <w:divsChild>
                                        <w:div w:id="905721791">
                                          <w:marLeft w:val="1200"/>
                                          <w:marRight w:val="1200"/>
                                          <w:marTop w:val="0"/>
                                          <w:marBottom w:val="0"/>
                                          <w:divBdr>
                                            <w:top w:val="none" w:sz="0" w:space="0" w:color="auto"/>
                                            <w:left w:val="none" w:sz="0" w:space="0" w:color="auto"/>
                                            <w:bottom w:val="none" w:sz="0" w:space="0" w:color="auto"/>
                                            <w:right w:val="none" w:sz="0" w:space="0" w:color="auto"/>
                                          </w:divBdr>
                                          <w:divsChild>
                                            <w:div w:id="583609872">
                                              <w:marLeft w:val="0"/>
                                              <w:marRight w:val="0"/>
                                              <w:marTop w:val="0"/>
                                              <w:marBottom w:val="0"/>
                                              <w:divBdr>
                                                <w:top w:val="none" w:sz="0" w:space="0" w:color="auto"/>
                                                <w:left w:val="none" w:sz="0" w:space="0" w:color="auto"/>
                                                <w:bottom w:val="none" w:sz="0" w:space="0" w:color="auto"/>
                                                <w:right w:val="none" w:sz="0" w:space="0" w:color="auto"/>
                                              </w:divBdr>
                                              <w:divsChild>
                                                <w:div w:id="1167554412">
                                                  <w:marLeft w:val="0"/>
                                                  <w:marRight w:val="0"/>
                                                  <w:marTop w:val="0"/>
                                                  <w:marBottom w:val="0"/>
                                                  <w:divBdr>
                                                    <w:top w:val="none" w:sz="0" w:space="0" w:color="auto"/>
                                                    <w:left w:val="none" w:sz="0" w:space="0" w:color="auto"/>
                                                    <w:bottom w:val="none" w:sz="0" w:space="0" w:color="auto"/>
                                                    <w:right w:val="none" w:sz="0" w:space="0" w:color="auto"/>
                                                  </w:divBdr>
                                                  <w:divsChild>
                                                    <w:div w:id="962347708">
                                                      <w:marLeft w:val="0"/>
                                                      <w:marRight w:val="0"/>
                                                      <w:marTop w:val="0"/>
                                                      <w:marBottom w:val="0"/>
                                                      <w:divBdr>
                                                        <w:top w:val="none" w:sz="0" w:space="0" w:color="auto"/>
                                                        <w:left w:val="none" w:sz="0" w:space="0" w:color="auto"/>
                                                        <w:bottom w:val="none" w:sz="0" w:space="0" w:color="auto"/>
                                                        <w:right w:val="none" w:sz="0" w:space="0" w:color="auto"/>
                                                      </w:divBdr>
                                                      <w:divsChild>
                                                        <w:div w:id="1977837783">
                                                          <w:marLeft w:val="0"/>
                                                          <w:marRight w:val="0"/>
                                                          <w:marTop w:val="0"/>
                                                          <w:marBottom w:val="0"/>
                                                          <w:divBdr>
                                                            <w:top w:val="none" w:sz="0" w:space="0" w:color="auto"/>
                                                            <w:left w:val="none" w:sz="0" w:space="0" w:color="auto"/>
                                                            <w:bottom w:val="none" w:sz="0" w:space="0" w:color="auto"/>
                                                            <w:right w:val="none" w:sz="0" w:space="0" w:color="auto"/>
                                                          </w:divBdr>
                                                          <w:divsChild>
                                                            <w:div w:id="743990796">
                                                              <w:marLeft w:val="0"/>
                                                              <w:marRight w:val="0"/>
                                                              <w:marTop w:val="0"/>
                                                              <w:marBottom w:val="0"/>
                                                              <w:divBdr>
                                                                <w:top w:val="none" w:sz="0" w:space="0" w:color="auto"/>
                                                                <w:left w:val="none" w:sz="0" w:space="0" w:color="auto"/>
                                                                <w:bottom w:val="none" w:sz="0" w:space="0" w:color="auto"/>
                                                                <w:right w:val="none" w:sz="0" w:space="0" w:color="auto"/>
                                                              </w:divBdr>
                                                              <w:divsChild>
                                                                <w:div w:id="1953127098">
                                                                  <w:marLeft w:val="0"/>
                                                                  <w:marRight w:val="0"/>
                                                                  <w:marTop w:val="0"/>
                                                                  <w:marBottom w:val="0"/>
                                                                  <w:divBdr>
                                                                    <w:top w:val="none" w:sz="0" w:space="0" w:color="auto"/>
                                                                    <w:left w:val="none" w:sz="0" w:space="0" w:color="auto"/>
                                                                    <w:bottom w:val="none" w:sz="0" w:space="0" w:color="auto"/>
                                                                    <w:right w:val="none" w:sz="0" w:space="0" w:color="auto"/>
                                                                  </w:divBdr>
                                                                  <w:divsChild>
                                                                    <w:div w:id="1107113841">
                                                                      <w:marLeft w:val="0"/>
                                                                      <w:marRight w:val="0"/>
                                                                      <w:marTop w:val="0"/>
                                                                      <w:marBottom w:val="0"/>
                                                                      <w:divBdr>
                                                                        <w:top w:val="none" w:sz="0" w:space="0" w:color="auto"/>
                                                                        <w:left w:val="none" w:sz="0" w:space="0" w:color="auto"/>
                                                                        <w:bottom w:val="none" w:sz="0" w:space="0" w:color="auto"/>
                                                                        <w:right w:val="none" w:sz="0" w:space="0" w:color="auto"/>
                                                                      </w:divBdr>
                                                                      <w:divsChild>
                                                                        <w:div w:id="219440920">
                                                                          <w:marLeft w:val="0"/>
                                                                          <w:marRight w:val="0"/>
                                                                          <w:marTop w:val="0"/>
                                                                          <w:marBottom w:val="0"/>
                                                                          <w:divBdr>
                                                                            <w:top w:val="none" w:sz="0" w:space="0" w:color="auto"/>
                                                                            <w:left w:val="none" w:sz="0" w:space="0" w:color="auto"/>
                                                                            <w:bottom w:val="none" w:sz="0" w:space="0" w:color="auto"/>
                                                                            <w:right w:val="none" w:sz="0" w:space="0" w:color="auto"/>
                                                                          </w:divBdr>
                                                                          <w:divsChild>
                                                                            <w:div w:id="889651791">
                                                                              <w:marLeft w:val="0"/>
                                                                              <w:marRight w:val="0"/>
                                                                              <w:marTop w:val="0"/>
                                                                              <w:marBottom w:val="0"/>
                                                                              <w:divBdr>
                                                                                <w:top w:val="none" w:sz="0" w:space="0" w:color="auto"/>
                                                                                <w:left w:val="none" w:sz="0" w:space="0" w:color="auto"/>
                                                                                <w:bottom w:val="none" w:sz="0" w:space="0" w:color="auto"/>
                                                                                <w:right w:val="none" w:sz="0" w:space="0" w:color="auto"/>
                                                                              </w:divBdr>
                                                                            </w:div>
                                                                          </w:divsChild>
                                                                        </w:div>
                                                                        <w:div w:id="286937728">
                                                                          <w:marLeft w:val="0"/>
                                                                          <w:marRight w:val="0"/>
                                                                          <w:marTop w:val="0"/>
                                                                          <w:marBottom w:val="0"/>
                                                                          <w:divBdr>
                                                                            <w:top w:val="none" w:sz="0" w:space="0" w:color="auto"/>
                                                                            <w:left w:val="none" w:sz="0" w:space="0" w:color="auto"/>
                                                                            <w:bottom w:val="none" w:sz="0" w:space="0" w:color="auto"/>
                                                                            <w:right w:val="none" w:sz="0" w:space="0" w:color="auto"/>
                                                                          </w:divBdr>
                                                                          <w:divsChild>
                                                                            <w:div w:id="2084524015">
                                                                              <w:marLeft w:val="0"/>
                                                                              <w:marRight w:val="0"/>
                                                                              <w:marTop w:val="0"/>
                                                                              <w:marBottom w:val="0"/>
                                                                              <w:divBdr>
                                                                                <w:top w:val="none" w:sz="0" w:space="0" w:color="auto"/>
                                                                                <w:left w:val="none" w:sz="0" w:space="0" w:color="auto"/>
                                                                                <w:bottom w:val="none" w:sz="0" w:space="0" w:color="auto"/>
                                                                                <w:right w:val="none" w:sz="0" w:space="0" w:color="auto"/>
                                                                              </w:divBdr>
                                                                            </w:div>
                                                                          </w:divsChild>
                                                                        </w:div>
                                                                        <w:div w:id="539055341">
                                                                          <w:marLeft w:val="0"/>
                                                                          <w:marRight w:val="0"/>
                                                                          <w:marTop w:val="0"/>
                                                                          <w:marBottom w:val="0"/>
                                                                          <w:divBdr>
                                                                            <w:top w:val="none" w:sz="0" w:space="0" w:color="auto"/>
                                                                            <w:left w:val="none" w:sz="0" w:space="0" w:color="auto"/>
                                                                            <w:bottom w:val="none" w:sz="0" w:space="0" w:color="auto"/>
                                                                            <w:right w:val="none" w:sz="0" w:space="0" w:color="auto"/>
                                                                          </w:divBdr>
                                                                          <w:divsChild>
                                                                            <w:div w:id="204173561">
                                                                              <w:marLeft w:val="0"/>
                                                                              <w:marRight w:val="0"/>
                                                                              <w:marTop w:val="0"/>
                                                                              <w:marBottom w:val="0"/>
                                                                              <w:divBdr>
                                                                                <w:top w:val="none" w:sz="0" w:space="0" w:color="auto"/>
                                                                                <w:left w:val="none" w:sz="0" w:space="0" w:color="auto"/>
                                                                                <w:bottom w:val="none" w:sz="0" w:space="0" w:color="auto"/>
                                                                                <w:right w:val="none" w:sz="0" w:space="0" w:color="auto"/>
                                                                              </w:divBdr>
                                                                            </w:div>
                                                                          </w:divsChild>
                                                                        </w:div>
                                                                        <w:div w:id="666639786">
                                                                          <w:marLeft w:val="0"/>
                                                                          <w:marRight w:val="0"/>
                                                                          <w:marTop w:val="0"/>
                                                                          <w:marBottom w:val="0"/>
                                                                          <w:divBdr>
                                                                            <w:top w:val="none" w:sz="0" w:space="0" w:color="auto"/>
                                                                            <w:left w:val="none" w:sz="0" w:space="0" w:color="auto"/>
                                                                            <w:bottom w:val="none" w:sz="0" w:space="0" w:color="auto"/>
                                                                            <w:right w:val="none" w:sz="0" w:space="0" w:color="auto"/>
                                                                          </w:divBdr>
                                                                        </w:div>
                                                                        <w:div w:id="1090006498">
                                                                          <w:marLeft w:val="0"/>
                                                                          <w:marRight w:val="0"/>
                                                                          <w:marTop w:val="0"/>
                                                                          <w:marBottom w:val="0"/>
                                                                          <w:divBdr>
                                                                            <w:top w:val="none" w:sz="0" w:space="0" w:color="auto"/>
                                                                            <w:left w:val="none" w:sz="0" w:space="0" w:color="auto"/>
                                                                            <w:bottom w:val="none" w:sz="0" w:space="0" w:color="auto"/>
                                                                            <w:right w:val="none" w:sz="0" w:space="0" w:color="auto"/>
                                                                          </w:divBdr>
                                                                          <w:divsChild>
                                                                            <w:div w:id="910886604">
                                                                              <w:marLeft w:val="0"/>
                                                                              <w:marRight w:val="0"/>
                                                                              <w:marTop w:val="0"/>
                                                                              <w:marBottom w:val="0"/>
                                                                              <w:divBdr>
                                                                                <w:top w:val="none" w:sz="0" w:space="0" w:color="auto"/>
                                                                                <w:left w:val="none" w:sz="0" w:space="0" w:color="auto"/>
                                                                                <w:bottom w:val="none" w:sz="0" w:space="0" w:color="auto"/>
                                                                                <w:right w:val="none" w:sz="0" w:space="0" w:color="auto"/>
                                                                              </w:divBdr>
                                                                            </w:div>
                                                                          </w:divsChild>
                                                                        </w:div>
                                                                        <w:div w:id="1356269208">
                                                                          <w:marLeft w:val="0"/>
                                                                          <w:marRight w:val="0"/>
                                                                          <w:marTop w:val="0"/>
                                                                          <w:marBottom w:val="0"/>
                                                                          <w:divBdr>
                                                                            <w:top w:val="none" w:sz="0" w:space="0" w:color="auto"/>
                                                                            <w:left w:val="none" w:sz="0" w:space="0" w:color="auto"/>
                                                                            <w:bottom w:val="none" w:sz="0" w:space="0" w:color="auto"/>
                                                                            <w:right w:val="none" w:sz="0" w:space="0" w:color="auto"/>
                                                                          </w:divBdr>
                                                                          <w:divsChild>
                                                                            <w:div w:id="299308749">
                                                                              <w:marLeft w:val="0"/>
                                                                              <w:marRight w:val="0"/>
                                                                              <w:marTop w:val="0"/>
                                                                              <w:marBottom w:val="0"/>
                                                                              <w:divBdr>
                                                                                <w:top w:val="none" w:sz="0" w:space="0" w:color="auto"/>
                                                                                <w:left w:val="none" w:sz="0" w:space="0" w:color="auto"/>
                                                                                <w:bottom w:val="none" w:sz="0" w:space="0" w:color="auto"/>
                                                                                <w:right w:val="none" w:sz="0" w:space="0" w:color="auto"/>
                                                                              </w:divBdr>
                                                                            </w:div>
                                                                          </w:divsChild>
                                                                        </w:div>
                                                                        <w:div w:id="1858734904">
                                                                          <w:marLeft w:val="0"/>
                                                                          <w:marRight w:val="0"/>
                                                                          <w:marTop w:val="0"/>
                                                                          <w:marBottom w:val="0"/>
                                                                          <w:divBdr>
                                                                            <w:top w:val="none" w:sz="0" w:space="0" w:color="auto"/>
                                                                            <w:left w:val="none" w:sz="0" w:space="0" w:color="auto"/>
                                                                            <w:bottom w:val="none" w:sz="0" w:space="0" w:color="auto"/>
                                                                            <w:right w:val="none" w:sz="0" w:space="0" w:color="auto"/>
                                                                          </w:divBdr>
                                                                          <w:divsChild>
                                                                            <w:div w:id="1820420596">
                                                                              <w:marLeft w:val="0"/>
                                                                              <w:marRight w:val="0"/>
                                                                              <w:marTop w:val="0"/>
                                                                              <w:marBottom w:val="0"/>
                                                                              <w:divBdr>
                                                                                <w:top w:val="none" w:sz="0" w:space="0" w:color="auto"/>
                                                                                <w:left w:val="none" w:sz="0" w:space="0" w:color="auto"/>
                                                                                <w:bottom w:val="none" w:sz="0" w:space="0" w:color="auto"/>
                                                                                <w:right w:val="none" w:sz="0" w:space="0" w:color="auto"/>
                                                                              </w:divBdr>
                                                                            </w:div>
                                                                          </w:divsChild>
                                                                        </w:div>
                                                                        <w:div w:id="2084333222">
                                                                          <w:marLeft w:val="0"/>
                                                                          <w:marRight w:val="0"/>
                                                                          <w:marTop w:val="0"/>
                                                                          <w:marBottom w:val="0"/>
                                                                          <w:divBdr>
                                                                            <w:top w:val="none" w:sz="0" w:space="0" w:color="auto"/>
                                                                            <w:left w:val="none" w:sz="0" w:space="0" w:color="auto"/>
                                                                            <w:bottom w:val="none" w:sz="0" w:space="0" w:color="auto"/>
                                                                            <w:right w:val="none" w:sz="0" w:space="0" w:color="auto"/>
                                                                          </w:divBdr>
                                                                          <w:divsChild>
                                                                            <w:div w:id="6416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825315">
      <w:bodyDiv w:val="1"/>
      <w:marLeft w:val="0"/>
      <w:marRight w:val="0"/>
      <w:marTop w:val="0"/>
      <w:marBottom w:val="0"/>
      <w:divBdr>
        <w:top w:val="none" w:sz="0" w:space="0" w:color="auto"/>
        <w:left w:val="none" w:sz="0" w:space="0" w:color="auto"/>
        <w:bottom w:val="none" w:sz="0" w:space="0" w:color="auto"/>
        <w:right w:val="none" w:sz="0" w:space="0" w:color="auto"/>
      </w:divBdr>
      <w:divsChild>
        <w:div w:id="790442843">
          <w:marLeft w:val="0"/>
          <w:marRight w:val="0"/>
          <w:marTop w:val="0"/>
          <w:marBottom w:val="0"/>
          <w:divBdr>
            <w:top w:val="none" w:sz="0" w:space="0" w:color="auto"/>
            <w:left w:val="single" w:sz="6" w:space="0" w:color="BBBBBB"/>
            <w:bottom w:val="single" w:sz="6" w:space="0" w:color="BBBBBB"/>
            <w:right w:val="single" w:sz="6" w:space="0" w:color="BBBBBB"/>
          </w:divBdr>
          <w:divsChild>
            <w:div w:id="1413309275">
              <w:marLeft w:val="0"/>
              <w:marRight w:val="0"/>
              <w:marTop w:val="0"/>
              <w:marBottom w:val="0"/>
              <w:divBdr>
                <w:top w:val="none" w:sz="0" w:space="0" w:color="auto"/>
                <w:left w:val="none" w:sz="0" w:space="0" w:color="auto"/>
                <w:bottom w:val="none" w:sz="0" w:space="0" w:color="auto"/>
                <w:right w:val="none" w:sz="0" w:space="0" w:color="auto"/>
              </w:divBdr>
              <w:divsChild>
                <w:div w:id="134640190">
                  <w:marLeft w:val="0"/>
                  <w:marRight w:val="0"/>
                  <w:marTop w:val="75"/>
                  <w:marBottom w:val="0"/>
                  <w:divBdr>
                    <w:top w:val="none" w:sz="0" w:space="0" w:color="auto"/>
                    <w:left w:val="none" w:sz="0" w:space="0" w:color="auto"/>
                    <w:bottom w:val="none" w:sz="0" w:space="0" w:color="auto"/>
                    <w:right w:val="none" w:sz="0" w:space="0" w:color="auto"/>
                  </w:divBdr>
                  <w:divsChild>
                    <w:div w:id="758906957">
                      <w:marLeft w:val="0"/>
                      <w:marRight w:val="0"/>
                      <w:marTop w:val="0"/>
                      <w:marBottom w:val="0"/>
                      <w:divBdr>
                        <w:top w:val="none" w:sz="0" w:space="0" w:color="auto"/>
                        <w:left w:val="none" w:sz="0" w:space="0" w:color="auto"/>
                        <w:bottom w:val="none" w:sz="0" w:space="0" w:color="auto"/>
                        <w:right w:val="none" w:sz="0" w:space="0" w:color="auto"/>
                      </w:divBdr>
                      <w:divsChild>
                        <w:div w:id="921179712">
                          <w:marLeft w:val="0"/>
                          <w:marRight w:val="0"/>
                          <w:marTop w:val="0"/>
                          <w:marBottom w:val="0"/>
                          <w:divBdr>
                            <w:top w:val="none" w:sz="0" w:space="0" w:color="auto"/>
                            <w:left w:val="none" w:sz="0" w:space="0" w:color="auto"/>
                            <w:bottom w:val="none" w:sz="0" w:space="0" w:color="auto"/>
                            <w:right w:val="none" w:sz="0" w:space="0" w:color="auto"/>
                          </w:divBdr>
                          <w:divsChild>
                            <w:div w:id="1766876142">
                              <w:marLeft w:val="0"/>
                              <w:marRight w:val="0"/>
                              <w:marTop w:val="0"/>
                              <w:marBottom w:val="0"/>
                              <w:divBdr>
                                <w:top w:val="none" w:sz="0" w:space="0" w:color="auto"/>
                                <w:left w:val="none" w:sz="0" w:space="0" w:color="auto"/>
                                <w:bottom w:val="none" w:sz="0" w:space="0" w:color="auto"/>
                                <w:right w:val="none" w:sz="0" w:space="0" w:color="auto"/>
                              </w:divBdr>
                              <w:divsChild>
                                <w:div w:id="675233489">
                                  <w:marLeft w:val="0"/>
                                  <w:marRight w:val="0"/>
                                  <w:marTop w:val="0"/>
                                  <w:marBottom w:val="0"/>
                                  <w:divBdr>
                                    <w:top w:val="none" w:sz="0" w:space="0" w:color="auto"/>
                                    <w:left w:val="none" w:sz="0" w:space="0" w:color="auto"/>
                                    <w:bottom w:val="none" w:sz="0" w:space="0" w:color="auto"/>
                                    <w:right w:val="none" w:sz="0" w:space="0" w:color="auto"/>
                                  </w:divBdr>
                                  <w:divsChild>
                                    <w:div w:id="432669414">
                                      <w:marLeft w:val="0"/>
                                      <w:marRight w:val="0"/>
                                      <w:marTop w:val="0"/>
                                      <w:marBottom w:val="0"/>
                                      <w:divBdr>
                                        <w:top w:val="none" w:sz="0" w:space="0" w:color="auto"/>
                                        <w:left w:val="none" w:sz="0" w:space="0" w:color="auto"/>
                                        <w:bottom w:val="none" w:sz="0" w:space="0" w:color="auto"/>
                                        <w:right w:val="none" w:sz="0" w:space="0" w:color="auto"/>
                                      </w:divBdr>
                                      <w:divsChild>
                                        <w:div w:id="1975989999">
                                          <w:marLeft w:val="1200"/>
                                          <w:marRight w:val="1200"/>
                                          <w:marTop w:val="0"/>
                                          <w:marBottom w:val="0"/>
                                          <w:divBdr>
                                            <w:top w:val="none" w:sz="0" w:space="0" w:color="auto"/>
                                            <w:left w:val="none" w:sz="0" w:space="0" w:color="auto"/>
                                            <w:bottom w:val="none" w:sz="0" w:space="0" w:color="auto"/>
                                            <w:right w:val="none" w:sz="0" w:space="0" w:color="auto"/>
                                          </w:divBdr>
                                          <w:divsChild>
                                            <w:div w:id="1267346882">
                                              <w:marLeft w:val="0"/>
                                              <w:marRight w:val="0"/>
                                              <w:marTop w:val="0"/>
                                              <w:marBottom w:val="0"/>
                                              <w:divBdr>
                                                <w:top w:val="none" w:sz="0" w:space="0" w:color="auto"/>
                                                <w:left w:val="none" w:sz="0" w:space="0" w:color="auto"/>
                                                <w:bottom w:val="none" w:sz="0" w:space="0" w:color="auto"/>
                                                <w:right w:val="none" w:sz="0" w:space="0" w:color="auto"/>
                                              </w:divBdr>
                                              <w:divsChild>
                                                <w:div w:id="1680814622">
                                                  <w:marLeft w:val="0"/>
                                                  <w:marRight w:val="0"/>
                                                  <w:marTop w:val="0"/>
                                                  <w:marBottom w:val="0"/>
                                                  <w:divBdr>
                                                    <w:top w:val="none" w:sz="0" w:space="0" w:color="auto"/>
                                                    <w:left w:val="none" w:sz="0" w:space="0" w:color="auto"/>
                                                    <w:bottom w:val="none" w:sz="0" w:space="0" w:color="auto"/>
                                                    <w:right w:val="none" w:sz="0" w:space="0" w:color="auto"/>
                                                  </w:divBdr>
                                                  <w:divsChild>
                                                    <w:div w:id="1867333085">
                                                      <w:marLeft w:val="0"/>
                                                      <w:marRight w:val="0"/>
                                                      <w:marTop w:val="0"/>
                                                      <w:marBottom w:val="0"/>
                                                      <w:divBdr>
                                                        <w:top w:val="none" w:sz="0" w:space="0" w:color="auto"/>
                                                        <w:left w:val="none" w:sz="0" w:space="0" w:color="auto"/>
                                                        <w:bottom w:val="none" w:sz="0" w:space="0" w:color="auto"/>
                                                        <w:right w:val="none" w:sz="0" w:space="0" w:color="auto"/>
                                                      </w:divBdr>
                                                      <w:divsChild>
                                                        <w:div w:id="327486067">
                                                          <w:marLeft w:val="0"/>
                                                          <w:marRight w:val="0"/>
                                                          <w:marTop w:val="0"/>
                                                          <w:marBottom w:val="0"/>
                                                          <w:divBdr>
                                                            <w:top w:val="none" w:sz="0" w:space="0" w:color="auto"/>
                                                            <w:left w:val="none" w:sz="0" w:space="0" w:color="auto"/>
                                                            <w:bottom w:val="none" w:sz="0" w:space="0" w:color="auto"/>
                                                            <w:right w:val="none" w:sz="0" w:space="0" w:color="auto"/>
                                                          </w:divBdr>
                                                          <w:divsChild>
                                                            <w:div w:id="170488487">
                                                              <w:marLeft w:val="0"/>
                                                              <w:marRight w:val="0"/>
                                                              <w:marTop w:val="0"/>
                                                              <w:marBottom w:val="0"/>
                                                              <w:divBdr>
                                                                <w:top w:val="none" w:sz="0" w:space="0" w:color="auto"/>
                                                                <w:left w:val="none" w:sz="0" w:space="0" w:color="auto"/>
                                                                <w:bottom w:val="none" w:sz="0" w:space="0" w:color="auto"/>
                                                                <w:right w:val="none" w:sz="0" w:space="0" w:color="auto"/>
                                                              </w:divBdr>
                                                              <w:divsChild>
                                                                <w:div w:id="969627417">
                                                                  <w:marLeft w:val="0"/>
                                                                  <w:marRight w:val="0"/>
                                                                  <w:marTop w:val="0"/>
                                                                  <w:marBottom w:val="0"/>
                                                                  <w:divBdr>
                                                                    <w:top w:val="none" w:sz="0" w:space="0" w:color="auto"/>
                                                                    <w:left w:val="none" w:sz="0" w:space="0" w:color="auto"/>
                                                                    <w:bottom w:val="none" w:sz="0" w:space="0" w:color="auto"/>
                                                                    <w:right w:val="none" w:sz="0" w:space="0" w:color="auto"/>
                                                                  </w:divBdr>
                                                                  <w:divsChild>
                                                                    <w:div w:id="845628812">
                                                                      <w:marLeft w:val="0"/>
                                                                      <w:marRight w:val="0"/>
                                                                      <w:marTop w:val="0"/>
                                                                      <w:marBottom w:val="0"/>
                                                                      <w:divBdr>
                                                                        <w:top w:val="none" w:sz="0" w:space="0" w:color="auto"/>
                                                                        <w:left w:val="none" w:sz="0" w:space="0" w:color="auto"/>
                                                                        <w:bottom w:val="none" w:sz="0" w:space="0" w:color="auto"/>
                                                                        <w:right w:val="none" w:sz="0" w:space="0" w:color="auto"/>
                                                                      </w:divBdr>
                                                                      <w:divsChild>
                                                                        <w:div w:id="327904879">
                                                                          <w:marLeft w:val="0"/>
                                                                          <w:marRight w:val="0"/>
                                                                          <w:marTop w:val="0"/>
                                                                          <w:marBottom w:val="0"/>
                                                                          <w:divBdr>
                                                                            <w:top w:val="none" w:sz="0" w:space="0" w:color="auto"/>
                                                                            <w:left w:val="none" w:sz="0" w:space="0" w:color="auto"/>
                                                                            <w:bottom w:val="none" w:sz="0" w:space="0" w:color="auto"/>
                                                                            <w:right w:val="none" w:sz="0" w:space="0" w:color="auto"/>
                                                                          </w:divBdr>
                                                                        </w:div>
                                                                      </w:divsChild>
                                                                    </w:div>
                                                                    <w:div w:id="912275287">
                                                                      <w:marLeft w:val="0"/>
                                                                      <w:marRight w:val="0"/>
                                                                      <w:marTop w:val="0"/>
                                                                      <w:marBottom w:val="0"/>
                                                                      <w:divBdr>
                                                                        <w:top w:val="none" w:sz="0" w:space="0" w:color="auto"/>
                                                                        <w:left w:val="none" w:sz="0" w:space="0" w:color="auto"/>
                                                                        <w:bottom w:val="none" w:sz="0" w:space="0" w:color="auto"/>
                                                                        <w:right w:val="none" w:sz="0" w:space="0" w:color="auto"/>
                                                                      </w:divBdr>
                                                                      <w:divsChild>
                                                                        <w:div w:id="66443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488681">
      <w:bodyDiv w:val="1"/>
      <w:marLeft w:val="0"/>
      <w:marRight w:val="0"/>
      <w:marTop w:val="0"/>
      <w:marBottom w:val="0"/>
      <w:divBdr>
        <w:top w:val="none" w:sz="0" w:space="0" w:color="auto"/>
        <w:left w:val="none" w:sz="0" w:space="0" w:color="auto"/>
        <w:bottom w:val="none" w:sz="0" w:space="0" w:color="auto"/>
        <w:right w:val="none" w:sz="0" w:space="0" w:color="auto"/>
      </w:divBdr>
      <w:divsChild>
        <w:div w:id="1612518176">
          <w:marLeft w:val="0"/>
          <w:marRight w:val="0"/>
          <w:marTop w:val="0"/>
          <w:marBottom w:val="0"/>
          <w:divBdr>
            <w:top w:val="none" w:sz="0" w:space="0" w:color="auto"/>
            <w:left w:val="none" w:sz="0" w:space="0" w:color="auto"/>
            <w:bottom w:val="none" w:sz="0" w:space="0" w:color="auto"/>
            <w:right w:val="none" w:sz="0" w:space="0" w:color="auto"/>
          </w:divBdr>
          <w:divsChild>
            <w:div w:id="1157578495">
              <w:marLeft w:val="0"/>
              <w:marRight w:val="0"/>
              <w:marTop w:val="0"/>
              <w:marBottom w:val="0"/>
              <w:divBdr>
                <w:top w:val="none" w:sz="0" w:space="0" w:color="auto"/>
                <w:left w:val="none" w:sz="0" w:space="0" w:color="auto"/>
                <w:bottom w:val="none" w:sz="0" w:space="0" w:color="auto"/>
                <w:right w:val="none" w:sz="0" w:space="0" w:color="auto"/>
              </w:divBdr>
              <w:divsChild>
                <w:div w:id="1076198851">
                  <w:marLeft w:val="0"/>
                  <w:marRight w:val="0"/>
                  <w:marTop w:val="0"/>
                  <w:marBottom w:val="0"/>
                  <w:divBdr>
                    <w:top w:val="none" w:sz="0" w:space="0" w:color="auto"/>
                    <w:left w:val="none" w:sz="0" w:space="0" w:color="auto"/>
                    <w:bottom w:val="none" w:sz="0" w:space="0" w:color="auto"/>
                    <w:right w:val="none" w:sz="0" w:space="0" w:color="auto"/>
                  </w:divBdr>
                  <w:divsChild>
                    <w:div w:id="1350135677">
                      <w:marLeft w:val="0"/>
                      <w:marRight w:val="0"/>
                      <w:marTop w:val="0"/>
                      <w:marBottom w:val="300"/>
                      <w:divBdr>
                        <w:top w:val="none" w:sz="0" w:space="0" w:color="auto"/>
                        <w:left w:val="none" w:sz="0" w:space="0" w:color="auto"/>
                        <w:bottom w:val="none" w:sz="0" w:space="0" w:color="auto"/>
                        <w:right w:val="none" w:sz="0" w:space="0" w:color="auto"/>
                      </w:divBdr>
                      <w:divsChild>
                        <w:div w:id="1538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458494">
      <w:bodyDiv w:val="1"/>
      <w:marLeft w:val="0"/>
      <w:marRight w:val="0"/>
      <w:marTop w:val="0"/>
      <w:marBottom w:val="0"/>
      <w:divBdr>
        <w:top w:val="none" w:sz="0" w:space="0" w:color="auto"/>
        <w:left w:val="none" w:sz="0" w:space="0" w:color="auto"/>
        <w:bottom w:val="none" w:sz="0" w:space="0" w:color="auto"/>
        <w:right w:val="none" w:sz="0" w:space="0" w:color="auto"/>
      </w:divBdr>
      <w:divsChild>
        <w:div w:id="1579366419">
          <w:marLeft w:val="0"/>
          <w:marRight w:val="0"/>
          <w:marTop w:val="0"/>
          <w:marBottom w:val="0"/>
          <w:divBdr>
            <w:top w:val="none" w:sz="0" w:space="0" w:color="auto"/>
            <w:left w:val="none" w:sz="0" w:space="0" w:color="auto"/>
            <w:bottom w:val="none" w:sz="0" w:space="0" w:color="auto"/>
            <w:right w:val="none" w:sz="0" w:space="0" w:color="auto"/>
          </w:divBdr>
          <w:divsChild>
            <w:div w:id="1647591484">
              <w:marLeft w:val="0"/>
              <w:marRight w:val="0"/>
              <w:marTop w:val="0"/>
              <w:marBottom w:val="0"/>
              <w:divBdr>
                <w:top w:val="none" w:sz="0" w:space="0" w:color="auto"/>
                <w:left w:val="none" w:sz="0" w:space="0" w:color="auto"/>
                <w:bottom w:val="none" w:sz="0" w:space="0" w:color="auto"/>
                <w:right w:val="none" w:sz="0" w:space="0" w:color="auto"/>
              </w:divBdr>
              <w:divsChild>
                <w:div w:id="1401633532">
                  <w:marLeft w:val="0"/>
                  <w:marRight w:val="0"/>
                  <w:marTop w:val="0"/>
                  <w:marBottom w:val="0"/>
                  <w:divBdr>
                    <w:top w:val="none" w:sz="0" w:space="0" w:color="auto"/>
                    <w:left w:val="none" w:sz="0" w:space="0" w:color="auto"/>
                    <w:bottom w:val="none" w:sz="0" w:space="0" w:color="auto"/>
                    <w:right w:val="none" w:sz="0" w:space="0" w:color="auto"/>
                  </w:divBdr>
                  <w:divsChild>
                    <w:div w:id="678970375">
                      <w:marLeft w:val="0"/>
                      <w:marRight w:val="0"/>
                      <w:marTop w:val="0"/>
                      <w:marBottom w:val="375"/>
                      <w:divBdr>
                        <w:top w:val="none" w:sz="0" w:space="0" w:color="auto"/>
                        <w:left w:val="none" w:sz="0" w:space="0" w:color="auto"/>
                        <w:bottom w:val="none" w:sz="0" w:space="0" w:color="auto"/>
                        <w:right w:val="none" w:sz="0" w:space="0" w:color="auto"/>
                      </w:divBdr>
                      <w:divsChild>
                        <w:div w:id="78107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155372">
      <w:bodyDiv w:val="1"/>
      <w:marLeft w:val="0"/>
      <w:marRight w:val="0"/>
      <w:marTop w:val="0"/>
      <w:marBottom w:val="0"/>
      <w:divBdr>
        <w:top w:val="none" w:sz="0" w:space="0" w:color="auto"/>
        <w:left w:val="none" w:sz="0" w:space="0" w:color="auto"/>
        <w:bottom w:val="none" w:sz="0" w:space="0" w:color="auto"/>
        <w:right w:val="none" w:sz="0" w:space="0" w:color="auto"/>
      </w:divBdr>
      <w:divsChild>
        <w:div w:id="1190527385">
          <w:marLeft w:val="0"/>
          <w:marRight w:val="0"/>
          <w:marTop w:val="0"/>
          <w:marBottom w:val="0"/>
          <w:divBdr>
            <w:top w:val="none" w:sz="0" w:space="0" w:color="auto"/>
            <w:left w:val="single" w:sz="6" w:space="0" w:color="BBBBBB"/>
            <w:bottom w:val="single" w:sz="6" w:space="0" w:color="BBBBBB"/>
            <w:right w:val="single" w:sz="6" w:space="0" w:color="BBBBBB"/>
          </w:divBdr>
          <w:divsChild>
            <w:div w:id="437220412">
              <w:marLeft w:val="0"/>
              <w:marRight w:val="0"/>
              <w:marTop w:val="0"/>
              <w:marBottom w:val="0"/>
              <w:divBdr>
                <w:top w:val="none" w:sz="0" w:space="0" w:color="auto"/>
                <w:left w:val="none" w:sz="0" w:space="0" w:color="auto"/>
                <w:bottom w:val="none" w:sz="0" w:space="0" w:color="auto"/>
                <w:right w:val="none" w:sz="0" w:space="0" w:color="auto"/>
              </w:divBdr>
              <w:divsChild>
                <w:div w:id="1882589782">
                  <w:marLeft w:val="0"/>
                  <w:marRight w:val="0"/>
                  <w:marTop w:val="75"/>
                  <w:marBottom w:val="0"/>
                  <w:divBdr>
                    <w:top w:val="none" w:sz="0" w:space="0" w:color="auto"/>
                    <w:left w:val="none" w:sz="0" w:space="0" w:color="auto"/>
                    <w:bottom w:val="none" w:sz="0" w:space="0" w:color="auto"/>
                    <w:right w:val="none" w:sz="0" w:space="0" w:color="auto"/>
                  </w:divBdr>
                  <w:divsChild>
                    <w:div w:id="2074810469">
                      <w:marLeft w:val="0"/>
                      <w:marRight w:val="0"/>
                      <w:marTop w:val="0"/>
                      <w:marBottom w:val="0"/>
                      <w:divBdr>
                        <w:top w:val="none" w:sz="0" w:space="0" w:color="auto"/>
                        <w:left w:val="none" w:sz="0" w:space="0" w:color="auto"/>
                        <w:bottom w:val="none" w:sz="0" w:space="0" w:color="auto"/>
                        <w:right w:val="none" w:sz="0" w:space="0" w:color="auto"/>
                      </w:divBdr>
                      <w:divsChild>
                        <w:div w:id="2035765764">
                          <w:marLeft w:val="0"/>
                          <w:marRight w:val="0"/>
                          <w:marTop w:val="0"/>
                          <w:marBottom w:val="0"/>
                          <w:divBdr>
                            <w:top w:val="none" w:sz="0" w:space="0" w:color="auto"/>
                            <w:left w:val="none" w:sz="0" w:space="0" w:color="auto"/>
                            <w:bottom w:val="none" w:sz="0" w:space="0" w:color="auto"/>
                            <w:right w:val="none" w:sz="0" w:space="0" w:color="auto"/>
                          </w:divBdr>
                          <w:divsChild>
                            <w:div w:id="626208150">
                              <w:marLeft w:val="0"/>
                              <w:marRight w:val="0"/>
                              <w:marTop w:val="0"/>
                              <w:marBottom w:val="0"/>
                              <w:divBdr>
                                <w:top w:val="none" w:sz="0" w:space="0" w:color="auto"/>
                                <w:left w:val="none" w:sz="0" w:space="0" w:color="auto"/>
                                <w:bottom w:val="none" w:sz="0" w:space="0" w:color="auto"/>
                                <w:right w:val="none" w:sz="0" w:space="0" w:color="auto"/>
                              </w:divBdr>
                              <w:divsChild>
                                <w:div w:id="1887375422">
                                  <w:marLeft w:val="0"/>
                                  <w:marRight w:val="0"/>
                                  <w:marTop w:val="0"/>
                                  <w:marBottom w:val="0"/>
                                  <w:divBdr>
                                    <w:top w:val="none" w:sz="0" w:space="0" w:color="auto"/>
                                    <w:left w:val="none" w:sz="0" w:space="0" w:color="auto"/>
                                    <w:bottom w:val="none" w:sz="0" w:space="0" w:color="auto"/>
                                    <w:right w:val="none" w:sz="0" w:space="0" w:color="auto"/>
                                  </w:divBdr>
                                  <w:divsChild>
                                    <w:div w:id="232854602">
                                      <w:marLeft w:val="0"/>
                                      <w:marRight w:val="0"/>
                                      <w:marTop w:val="0"/>
                                      <w:marBottom w:val="0"/>
                                      <w:divBdr>
                                        <w:top w:val="none" w:sz="0" w:space="0" w:color="auto"/>
                                        <w:left w:val="none" w:sz="0" w:space="0" w:color="auto"/>
                                        <w:bottom w:val="none" w:sz="0" w:space="0" w:color="auto"/>
                                        <w:right w:val="none" w:sz="0" w:space="0" w:color="auto"/>
                                      </w:divBdr>
                                      <w:divsChild>
                                        <w:div w:id="610556217">
                                          <w:marLeft w:val="1200"/>
                                          <w:marRight w:val="1200"/>
                                          <w:marTop w:val="0"/>
                                          <w:marBottom w:val="0"/>
                                          <w:divBdr>
                                            <w:top w:val="none" w:sz="0" w:space="0" w:color="auto"/>
                                            <w:left w:val="none" w:sz="0" w:space="0" w:color="auto"/>
                                            <w:bottom w:val="none" w:sz="0" w:space="0" w:color="auto"/>
                                            <w:right w:val="none" w:sz="0" w:space="0" w:color="auto"/>
                                          </w:divBdr>
                                          <w:divsChild>
                                            <w:div w:id="1150055146">
                                              <w:marLeft w:val="0"/>
                                              <w:marRight w:val="0"/>
                                              <w:marTop w:val="0"/>
                                              <w:marBottom w:val="0"/>
                                              <w:divBdr>
                                                <w:top w:val="none" w:sz="0" w:space="0" w:color="auto"/>
                                                <w:left w:val="none" w:sz="0" w:space="0" w:color="auto"/>
                                                <w:bottom w:val="none" w:sz="0" w:space="0" w:color="auto"/>
                                                <w:right w:val="none" w:sz="0" w:space="0" w:color="auto"/>
                                              </w:divBdr>
                                              <w:divsChild>
                                                <w:div w:id="1525166712">
                                                  <w:marLeft w:val="0"/>
                                                  <w:marRight w:val="0"/>
                                                  <w:marTop w:val="0"/>
                                                  <w:marBottom w:val="0"/>
                                                  <w:divBdr>
                                                    <w:top w:val="none" w:sz="0" w:space="0" w:color="auto"/>
                                                    <w:left w:val="none" w:sz="0" w:space="0" w:color="auto"/>
                                                    <w:bottom w:val="none" w:sz="0" w:space="0" w:color="auto"/>
                                                    <w:right w:val="none" w:sz="0" w:space="0" w:color="auto"/>
                                                  </w:divBdr>
                                                  <w:divsChild>
                                                    <w:div w:id="518324537">
                                                      <w:marLeft w:val="0"/>
                                                      <w:marRight w:val="0"/>
                                                      <w:marTop w:val="0"/>
                                                      <w:marBottom w:val="0"/>
                                                      <w:divBdr>
                                                        <w:top w:val="none" w:sz="0" w:space="0" w:color="auto"/>
                                                        <w:left w:val="none" w:sz="0" w:space="0" w:color="auto"/>
                                                        <w:bottom w:val="none" w:sz="0" w:space="0" w:color="auto"/>
                                                        <w:right w:val="none" w:sz="0" w:space="0" w:color="auto"/>
                                                      </w:divBdr>
                                                      <w:divsChild>
                                                        <w:div w:id="141432894">
                                                          <w:marLeft w:val="0"/>
                                                          <w:marRight w:val="0"/>
                                                          <w:marTop w:val="0"/>
                                                          <w:marBottom w:val="0"/>
                                                          <w:divBdr>
                                                            <w:top w:val="none" w:sz="0" w:space="0" w:color="auto"/>
                                                            <w:left w:val="none" w:sz="0" w:space="0" w:color="auto"/>
                                                            <w:bottom w:val="none" w:sz="0" w:space="0" w:color="auto"/>
                                                            <w:right w:val="none" w:sz="0" w:space="0" w:color="auto"/>
                                                          </w:divBdr>
                                                        </w:div>
                                                      </w:divsChild>
                                                    </w:div>
                                                    <w:div w:id="1034814660">
                                                      <w:marLeft w:val="0"/>
                                                      <w:marRight w:val="0"/>
                                                      <w:marTop w:val="0"/>
                                                      <w:marBottom w:val="0"/>
                                                      <w:divBdr>
                                                        <w:top w:val="none" w:sz="0" w:space="0" w:color="auto"/>
                                                        <w:left w:val="none" w:sz="0" w:space="0" w:color="auto"/>
                                                        <w:bottom w:val="none" w:sz="0" w:space="0" w:color="auto"/>
                                                        <w:right w:val="none" w:sz="0" w:space="0" w:color="auto"/>
                                                      </w:divBdr>
                                                      <w:divsChild>
                                                        <w:div w:id="1622762288">
                                                          <w:marLeft w:val="0"/>
                                                          <w:marRight w:val="0"/>
                                                          <w:marTop w:val="0"/>
                                                          <w:marBottom w:val="0"/>
                                                          <w:divBdr>
                                                            <w:top w:val="none" w:sz="0" w:space="0" w:color="auto"/>
                                                            <w:left w:val="none" w:sz="0" w:space="0" w:color="auto"/>
                                                            <w:bottom w:val="none" w:sz="0" w:space="0" w:color="auto"/>
                                                            <w:right w:val="none" w:sz="0" w:space="0" w:color="auto"/>
                                                          </w:divBdr>
                                                        </w:div>
                                                      </w:divsChild>
                                                    </w:div>
                                                    <w:div w:id="1824540740">
                                                      <w:marLeft w:val="0"/>
                                                      <w:marRight w:val="0"/>
                                                      <w:marTop w:val="0"/>
                                                      <w:marBottom w:val="0"/>
                                                      <w:divBdr>
                                                        <w:top w:val="none" w:sz="0" w:space="0" w:color="auto"/>
                                                        <w:left w:val="none" w:sz="0" w:space="0" w:color="auto"/>
                                                        <w:bottom w:val="none" w:sz="0" w:space="0" w:color="auto"/>
                                                        <w:right w:val="none" w:sz="0" w:space="0" w:color="auto"/>
                                                      </w:divBdr>
                                                      <w:divsChild>
                                                        <w:div w:id="109432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1622991">
      <w:bodyDiv w:val="1"/>
      <w:marLeft w:val="0"/>
      <w:marRight w:val="0"/>
      <w:marTop w:val="0"/>
      <w:marBottom w:val="0"/>
      <w:divBdr>
        <w:top w:val="none" w:sz="0" w:space="0" w:color="auto"/>
        <w:left w:val="none" w:sz="0" w:space="0" w:color="auto"/>
        <w:bottom w:val="none" w:sz="0" w:space="0" w:color="auto"/>
        <w:right w:val="none" w:sz="0" w:space="0" w:color="auto"/>
      </w:divBdr>
    </w:div>
    <w:div w:id="1253011389">
      <w:bodyDiv w:val="1"/>
      <w:marLeft w:val="0"/>
      <w:marRight w:val="0"/>
      <w:marTop w:val="0"/>
      <w:marBottom w:val="0"/>
      <w:divBdr>
        <w:top w:val="none" w:sz="0" w:space="0" w:color="auto"/>
        <w:left w:val="none" w:sz="0" w:space="0" w:color="auto"/>
        <w:bottom w:val="none" w:sz="0" w:space="0" w:color="auto"/>
        <w:right w:val="none" w:sz="0" w:space="0" w:color="auto"/>
      </w:divBdr>
      <w:divsChild>
        <w:div w:id="1877814060">
          <w:marLeft w:val="0"/>
          <w:marRight w:val="0"/>
          <w:marTop w:val="0"/>
          <w:marBottom w:val="0"/>
          <w:divBdr>
            <w:top w:val="none" w:sz="0" w:space="0" w:color="auto"/>
            <w:left w:val="none" w:sz="0" w:space="0" w:color="auto"/>
            <w:bottom w:val="none" w:sz="0" w:space="0" w:color="auto"/>
            <w:right w:val="none" w:sz="0" w:space="0" w:color="auto"/>
          </w:divBdr>
          <w:divsChild>
            <w:div w:id="174155996">
              <w:marLeft w:val="0"/>
              <w:marRight w:val="0"/>
              <w:marTop w:val="0"/>
              <w:marBottom w:val="0"/>
              <w:divBdr>
                <w:top w:val="none" w:sz="0" w:space="0" w:color="auto"/>
                <w:left w:val="none" w:sz="0" w:space="0" w:color="auto"/>
                <w:bottom w:val="none" w:sz="0" w:space="0" w:color="auto"/>
                <w:right w:val="none" w:sz="0" w:space="0" w:color="auto"/>
              </w:divBdr>
              <w:divsChild>
                <w:div w:id="179441362">
                  <w:marLeft w:val="0"/>
                  <w:marRight w:val="0"/>
                  <w:marTop w:val="0"/>
                  <w:marBottom w:val="0"/>
                  <w:divBdr>
                    <w:top w:val="none" w:sz="0" w:space="0" w:color="auto"/>
                    <w:left w:val="none" w:sz="0" w:space="0" w:color="auto"/>
                    <w:bottom w:val="none" w:sz="0" w:space="0" w:color="auto"/>
                    <w:right w:val="none" w:sz="0" w:space="0" w:color="auto"/>
                  </w:divBdr>
                  <w:divsChild>
                    <w:div w:id="1966230510">
                      <w:marLeft w:val="0"/>
                      <w:marRight w:val="0"/>
                      <w:marTop w:val="0"/>
                      <w:marBottom w:val="0"/>
                      <w:divBdr>
                        <w:top w:val="none" w:sz="0" w:space="0" w:color="auto"/>
                        <w:left w:val="none" w:sz="0" w:space="0" w:color="auto"/>
                        <w:bottom w:val="none" w:sz="0" w:space="0" w:color="auto"/>
                        <w:right w:val="none" w:sz="0" w:space="0" w:color="auto"/>
                      </w:divBdr>
                      <w:divsChild>
                        <w:div w:id="1853491997">
                          <w:marLeft w:val="0"/>
                          <w:marRight w:val="0"/>
                          <w:marTop w:val="0"/>
                          <w:marBottom w:val="0"/>
                          <w:divBdr>
                            <w:top w:val="none" w:sz="0" w:space="0" w:color="auto"/>
                            <w:left w:val="none" w:sz="0" w:space="0" w:color="auto"/>
                            <w:bottom w:val="none" w:sz="0" w:space="0" w:color="auto"/>
                            <w:right w:val="none" w:sz="0" w:space="0" w:color="auto"/>
                          </w:divBdr>
                          <w:divsChild>
                            <w:div w:id="1245456676">
                              <w:marLeft w:val="0"/>
                              <w:marRight w:val="0"/>
                              <w:marTop w:val="0"/>
                              <w:marBottom w:val="0"/>
                              <w:divBdr>
                                <w:top w:val="none" w:sz="0" w:space="0" w:color="auto"/>
                                <w:left w:val="none" w:sz="0" w:space="0" w:color="auto"/>
                                <w:bottom w:val="none" w:sz="0" w:space="0" w:color="auto"/>
                                <w:right w:val="none" w:sz="0" w:space="0" w:color="auto"/>
                              </w:divBdr>
                              <w:divsChild>
                                <w:div w:id="185506928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779082">
      <w:bodyDiv w:val="1"/>
      <w:marLeft w:val="0"/>
      <w:marRight w:val="0"/>
      <w:marTop w:val="0"/>
      <w:marBottom w:val="0"/>
      <w:divBdr>
        <w:top w:val="none" w:sz="0" w:space="0" w:color="auto"/>
        <w:left w:val="none" w:sz="0" w:space="0" w:color="auto"/>
        <w:bottom w:val="none" w:sz="0" w:space="0" w:color="auto"/>
        <w:right w:val="none" w:sz="0" w:space="0" w:color="auto"/>
      </w:divBdr>
      <w:divsChild>
        <w:div w:id="117770777">
          <w:marLeft w:val="0"/>
          <w:marRight w:val="0"/>
          <w:marTop w:val="240"/>
          <w:marBottom w:val="0"/>
          <w:divBdr>
            <w:top w:val="none" w:sz="0" w:space="0" w:color="auto"/>
            <w:left w:val="none" w:sz="0" w:space="0" w:color="auto"/>
            <w:bottom w:val="none" w:sz="0" w:space="0" w:color="auto"/>
            <w:right w:val="none" w:sz="0" w:space="0" w:color="auto"/>
          </w:divBdr>
          <w:divsChild>
            <w:div w:id="1411194732">
              <w:marLeft w:val="0"/>
              <w:marRight w:val="0"/>
              <w:marTop w:val="0"/>
              <w:marBottom w:val="0"/>
              <w:divBdr>
                <w:top w:val="none" w:sz="0" w:space="0" w:color="auto"/>
                <w:left w:val="none" w:sz="0" w:space="0" w:color="auto"/>
                <w:bottom w:val="none" w:sz="0" w:space="0" w:color="auto"/>
                <w:right w:val="none" w:sz="0" w:space="0" w:color="auto"/>
              </w:divBdr>
            </w:div>
          </w:divsChild>
        </w:div>
        <w:div w:id="817384071">
          <w:marLeft w:val="0"/>
          <w:marRight w:val="0"/>
          <w:marTop w:val="240"/>
          <w:marBottom w:val="0"/>
          <w:divBdr>
            <w:top w:val="none" w:sz="0" w:space="0" w:color="auto"/>
            <w:left w:val="none" w:sz="0" w:space="0" w:color="auto"/>
            <w:bottom w:val="none" w:sz="0" w:space="0" w:color="auto"/>
            <w:right w:val="none" w:sz="0" w:space="0" w:color="auto"/>
          </w:divBdr>
          <w:divsChild>
            <w:div w:id="1988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4842">
      <w:bodyDiv w:val="1"/>
      <w:marLeft w:val="0"/>
      <w:marRight w:val="0"/>
      <w:marTop w:val="0"/>
      <w:marBottom w:val="0"/>
      <w:divBdr>
        <w:top w:val="none" w:sz="0" w:space="0" w:color="auto"/>
        <w:left w:val="none" w:sz="0" w:space="0" w:color="auto"/>
        <w:bottom w:val="none" w:sz="0" w:space="0" w:color="auto"/>
        <w:right w:val="none" w:sz="0" w:space="0" w:color="auto"/>
      </w:divBdr>
      <w:divsChild>
        <w:div w:id="745884459">
          <w:marLeft w:val="0"/>
          <w:marRight w:val="0"/>
          <w:marTop w:val="240"/>
          <w:marBottom w:val="0"/>
          <w:divBdr>
            <w:top w:val="none" w:sz="0" w:space="0" w:color="auto"/>
            <w:left w:val="none" w:sz="0" w:space="0" w:color="auto"/>
            <w:bottom w:val="none" w:sz="0" w:space="0" w:color="auto"/>
            <w:right w:val="none" w:sz="0" w:space="0" w:color="auto"/>
          </w:divBdr>
          <w:divsChild>
            <w:div w:id="1614626084">
              <w:marLeft w:val="0"/>
              <w:marRight w:val="0"/>
              <w:marTop w:val="0"/>
              <w:marBottom w:val="0"/>
              <w:divBdr>
                <w:top w:val="none" w:sz="0" w:space="0" w:color="auto"/>
                <w:left w:val="none" w:sz="0" w:space="0" w:color="auto"/>
                <w:bottom w:val="none" w:sz="0" w:space="0" w:color="auto"/>
                <w:right w:val="none" w:sz="0" w:space="0" w:color="auto"/>
              </w:divBdr>
            </w:div>
          </w:divsChild>
        </w:div>
        <w:div w:id="1324698765">
          <w:marLeft w:val="0"/>
          <w:marRight w:val="0"/>
          <w:marTop w:val="240"/>
          <w:marBottom w:val="0"/>
          <w:divBdr>
            <w:top w:val="none" w:sz="0" w:space="0" w:color="auto"/>
            <w:left w:val="none" w:sz="0" w:space="0" w:color="auto"/>
            <w:bottom w:val="none" w:sz="0" w:space="0" w:color="auto"/>
            <w:right w:val="none" w:sz="0" w:space="0" w:color="auto"/>
          </w:divBdr>
          <w:divsChild>
            <w:div w:id="14327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68722">
      <w:bodyDiv w:val="1"/>
      <w:marLeft w:val="0"/>
      <w:marRight w:val="0"/>
      <w:marTop w:val="0"/>
      <w:marBottom w:val="0"/>
      <w:divBdr>
        <w:top w:val="none" w:sz="0" w:space="0" w:color="auto"/>
        <w:left w:val="none" w:sz="0" w:space="0" w:color="auto"/>
        <w:bottom w:val="none" w:sz="0" w:space="0" w:color="auto"/>
        <w:right w:val="none" w:sz="0" w:space="0" w:color="auto"/>
      </w:divBdr>
      <w:divsChild>
        <w:div w:id="1111246561">
          <w:marLeft w:val="0"/>
          <w:marRight w:val="0"/>
          <w:marTop w:val="0"/>
          <w:marBottom w:val="0"/>
          <w:divBdr>
            <w:top w:val="none" w:sz="0" w:space="0" w:color="auto"/>
            <w:left w:val="none" w:sz="0" w:space="0" w:color="auto"/>
            <w:bottom w:val="none" w:sz="0" w:space="0" w:color="auto"/>
            <w:right w:val="none" w:sz="0" w:space="0" w:color="auto"/>
          </w:divBdr>
          <w:divsChild>
            <w:div w:id="1363164783">
              <w:marLeft w:val="0"/>
              <w:marRight w:val="0"/>
              <w:marTop w:val="0"/>
              <w:marBottom w:val="0"/>
              <w:divBdr>
                <w:top w:val="none" w:sz="0" w:space="0" w:color="auto"/>
                <w:left w:val="none" w:sz="0" w:space="0" w:color="auto"/>
                <w:bottom w:val="none" w:sz="0" w:space="0" w:color="auto"/>
                <w:right w:val="none" w:sz="0" w:space="0" w:color="auto"/>
              </w:divBdr>
              <w:divsChild>
                <w:div w:id="1866022501">
                  <w:marLeft w:val="0"/>
                  <w:marRight w:val="0"/>
                  <w:marTop w:val="0"/>
                  <w:marBottom w:val="0"/>
                  <w:divBdr>
                    <w:top w:val="none" w:sz="0" w:space="0" w:color="auto"/>
                    <w:left w:val="none" w:sz="0" w:space="0" w:color="auto"/>
                    <w:bottom w:val="none" w:sz="0" w:space="0" w:color="auto"/>
                    <w:right w:val="none" w:sz="0" w:space="0" w:color="auto"/>
                  </w:divBdr>
                  <w:divsChild>
                    <w:div w:id="882718560">
                      <w:marLeft w:val="0"/>
                      <w:marRight w:val="0"/>
                      <w:marTop w:val="0"/>
                      <w:marBottom w:val="300"/>
                      <w:divBdr>
                        <w:top w:val="none" w:sz="0" w:space="0" w:color="auto"/>
                        <w:left w:val="none" w:sz="0" w:space="0" w:color="auto"/>
                        <w:bottom w:val="none" w:sz="0" w:space="0" w:color="auto"/>
                        <w:right w:val="none" w:sz="0" w:space="0" w:color="auto"/>
                      </w:divBdr>
                      <w:divsChild>
                        <w:div w:id="8118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935836">
      <w:bodyDiv w:val="1"/>
      <w:marLeft w:val="0"/>
      <w:marRight w:val="0"/>
      <w:marTop w:val="0"/>
      <w:marBottom w:val="0"/>
      <w:divBdr>
        <w:top w:val="none" w:sz="0" w:space="0" w:color="auto"/>
        <w:left w:val="none" w:sz="0" w:space="0" w:color="auto"/>
        <w:bottom w:val="none" w:sz="0" w:space="0" w:color="auto"/>
        <w:right w:val="none" w:sz="0" w:space="0" w:color="auto"/>
      </w:divBdr>
      <w:divsChild>
        <w:div w:id="1134715486">
          <w:marLeft w:val="0"/>
          <w:marRight w:val="0"/>
          <w:marTop w:val="0"/>
          <w:marBottom w:val="0"/>
          <w:divBdr>
            <w:top w:val="none" w:sz="0" w:space="0" w:color="auto"/>
            <w:left w:val="single" w:sz="6" w:space="0" w:color="BBBBBB"/>
            <w:bottom w:val="single" w:sz="6" w:space="0" w:color="BBBBBB"/>
            <w:right w:val="single" w:sz="6" w:space="0" w:color="BBBBBB"/>
          </w:divBdr>
          <w:divsChild>
            <w:div w:id="1131098364">
              <w:marLeft w:val="0"/>
              <w:marRight w:val="0"/>
              <w:marTop w:val="0"/>
              <w:marBottom w:val="0"/>
              <w:divBdr>
                <w:top w:val="none" w:sz="0" w:space="0" w:color="auto"/>
                <w:left w:val="none" w:sz="0" w:space="0" w:color="auto"/>
                <w:bottom w:val="none" w:sz="0" w:space="0" w:color="auto"/>
                <w:right w:val="none" w:sz="0" w:space="0" w:color="auto"/>
              </w:divBdr>
              <w:divsChild>
                <w:div w:id="931819683">
                  <w:marLeft w:val="0"/>
                  <w:marRight w:val="0"/>
                  <w:marTop w:val="75"/>
                  <w:marBottom w:val="0"/>
                  <w:divBdr>
                    <w:top w:val="none" w:sz="0" w:space="0" w:color="auto"/>
                    <w:left w:val="none" w:sz="0" w:space="0" w:color="auto"/>
                    <w:bottom w:val="none" w:sz="0" w:space="0" w:color="auto"/>
                    <w:right w:val="none" w:sz="0" w:space="0" w:color="auto"/>
                  </w:divBdr>
                  <w:divsChild>
                    <w:div w:id="2001496036">
                      <w:marLeft w:val="0"/>
                      <w:marRight w:val="0"/>
                      <w:marTop w:val="0"/>
                      <w:marBottom w:val="0"/>
                      <w:divBdr>
                        <w:top w:val="none" w:sz="0" w:space="0" w:color="auto"/>
                        <w:left w:val="none" w:sz="0" w:space="0" w:color="auto"/>
                        <w:bottom w:val="none" w:sz="0" w:space="0" w:color="auto"/>
                        <w:right w:val="none" w:sz="0" w:space="0" w:color="auto"/>
                      </w:divBdr>
                      <w:divsChild>
                        <w:div w:id="1140153981">
                          <w:marLeft w:val="0"/>
                          <w:marRight w:val="0"/>
                          <w:marTop w:val="0"/>
                          <w:marBottom w:val="0"/>
                          <w:divBdr>
                            <w:top w:val="none" w:sz="0" w:space="0" w:color="auto"/>
                            <w:left w:val="none" w:sz="0" w:space="0" w:color="auto"/>
                            <w:bottom w:val="none" w:sz="0" w:space="0" w:color="auto"/>
                            <w:right w:val="none" w:sz="0" w:space="0" w:color="auto"/>
                          </w:divBdr>
                          <w:divsChild>
                            <w:div w:id="458189486">
                              <w:marLeft w:val="0"/>
                              <w:marRight w:val="0"/>
                              <w:marTop w:val="0"/>
                              <w:marBottom w:val="0"/>
                              <w:divBdr>
                                <w:top w:val="none" w:sz="0" w:space="0" w:color="auto"/>
                                <w:left w:val="none" w:sz="0" w:space="0" w:color="auto"/>
                                <w:bottom w:val="none" w:sz="0" w:space="0" w:color="auto"/>
                                <w:right w:val="none" w:sz="0" w:space="0" w:color="auto"/>
                              </w:divBdr>
                              <w:divsChild>
                                <w:div w:id="45880816">
                                  <w:marLeft w:val="0"/>
                                  <w:marRight w:val="0"/>
                                  <w:marTop w:val="0"/>
                                  <w:marBottom w:val="0"/>
                                  <w:divBdr>
                                    <w:top w:val="none" w:sz="0" w:space="0" w:color="auto"/>
                                    <w:left w:val="none" w:sz="0" w:space="0" w:color="auto"/>
                                    <w:bottom w:val="none" w:sz="0" w:space="0" w:color="auto"/>
                                    <w:right w:val="none" w:sz="0" w:space="0" w:color="auto"/>
                                  </w:divBdr>
                                  <w:divsChild>
                                    <w:div w:id="1389956317">
                                      <w:marLeft w:val="0"/>
                                      <w:marRight w:val="0"/>
                                      <w:marTop w:val="0"/>
                                      <w:marBottom w:val="0"/>
                                      <w:divBdr>
                                        <w:top w:val="none" w:sz="0" w:space="0" w:color="auto"/>
                                        <w:left w:val="none" w:sz="0" w:space="0" w:color="auto"/>
                                        <w:bottom w:val="none" w:sz="0" w:space="0" w:color="auto"/>
                                        <w:right w:val="none" w:sz="0" w:space="0" w:color="auto"/>
                                      </w:divBdr>
                                      <w:divsChild>
                                        <w:div w:id="1684476488">
                                          <w:marLeft w:val="1200"/>
                                          <w:marRight w:val="1200"/>
                                          <w:marTop w:val="0"/>
                                          <w:marBottom w:val="0"/>
                                          <w:divBdr>
                                            <w:top w:val="none" w:sz="0" w:space="0" w:color="auto"/>
                                            <w:left w:val="none" w:sz="0" w:space="0" w:color="auto"/>
                                            <w:bottom w:val="none" w:sz="0" w:space="0" w:color="auto"/>
                                            <w:right w:val="none" w:sz="0" w:space="0" w:color="auto"/>
                                          </w:divBdr>
                                          <w:divsChild>
                                            <w:div w:id="1156722140">
                                              <w:marLeft w:val="0"/>
                                              <w:marRight w:val="0"/>
                                              <w:marTop w:val="0"/>
                                              <w:marBottom w:val="0"/>
                                              <w:divBdr>
                                                <w:top w:val="none" w:sz="0" w:space="0" w:color="auto"/>
                                                <w:left w:val="none" w:sz="0" w:space="0" w:color="auto"/>
                                                <w:bottom w:val="none" w:sz="0" w:space="0" w:color="auto"/>
                                                <w:right w:val="none" w:sz="0" w:space="0" w:color="auto"/>
                                              </w:divBdr>
                                              <w:divsChild>
                                                <w:div w:id="858202780">
                                                  <w:marLeft w:val="0"/>
                                                  <w:marRight w:val="0"/>
                                                  <w:marTop w:val="0"/>
                                                  <w:marBottom w:val="0"/>
                                                  <w:divBdr>
                                                    <w:top w:val="none" w:sz="0" w:space="0" w:color="auto"/>
                                                    <w:left w:val="none" w:sz="0" w:space="0" w:color="auto"/>
                                                    <w:bottom w:val="none" w:sz="0" w:space="0" w:color="auto"/>
                                                    <w:right w:val="none" w:sz="0" w:space="0" w:color="auto"/>
                                                  </w:divBdr>
                                                  <w:divsChild>
                                                    <w:div w:id="458497775">
                                                      <w:marLeft w:val="0"/>
                                                      <w:marRight w:val="0"/>
                                                      <w:marTop w:val="0"/>
                                                      <w:marBottom w:val="0"/>
                                                      <w:divBdr>
                                                        <w:top w:val="none" w:sz="0" w:space="0" w:color="auto"/>
                                                        <w:left w:val="none" w:sz="0" w:space="0" w:color="auto"/>
                                                        <w:bottom w:val="none" w:sz="0" w:space="0" w:color="auto"/>
                                                        <w:right w:val="none" w:sz="0" w:space="0" w:color="auto"/>
                                                      </w:divBdr>
                                                      <w:divsChild>
                                                        <w:div w:id="1346856821">
                                                          <w:marLeft w:val="0"/>
                                                          <w:marRight w:val="0"/>
                                                          <w:marTop w:val="0"/>
                                                          <w:marBottom w:val="0"/>
                                                          <w:divBdr>
                                                            <w:top w:val="none" w:sz="0" w:space="0" w:color="auto"/>
                                                            <w:left w:val="none" w:sz="0" w:space="0" w:color="auto"/>
                                                            <w:bottom w:val="none" w:sz="0" w:space="0" w:color="auto"/>
                                                            <w:right w:val="none" w:sz="0" w:space="0" w:color="auto"/>
                                                          </w:divBdr>
                                                        </w:div>
                                                      </w:divsChild>
                                                    </w:div>
                                                    <w:div w:id="612053514">
                                                      <w:marLeft w:val="0"/>
                                                      <w:marRight w:val="0"/>
                                                      <w:marTop w:val="0"/>
                                                      <w:marBottom w:val="0"/>
                                                      <w:divBdr>
                                                        <w:top w:val="none" w:sz="0" w:space="0" w:color="auto"/>
                                                        <w:left w:val="none" w:sz="0" w:space="0" w:color="auto"/>
                                                        <w:bottom w:val="none" w:sz="0" w:space="0" w:color="auto"/>
                                                        <w:right w:val="none" w:sz="0" w:space="0" w:color="auto"/>
                                                      </w:divBdr>
                                                      <w:divsChild>
                                                        <w:div w:id="1763646777">
                                                          <w:marLeft w:val="0"/>
                                                          <w:marRight w:val="0"/>
                                                          <w:marTop w:val="0"/>
                                                          <w:marBottom w:val="0"/>
                                                          <w:divBdr>
                                                            <w:top w:val="none" w:sz="0" w:space="0" w:color="auto"/>
                                                            <w:left w:val="none" w:sz="0" w:space="0" w:color="auto"/>
                                                            <w:bottom w:val="none" w:sz="0" w:space="0" w:color="auto"/>
                                                            <w:right w:val="none" w:sz="0" w:space="0" w:color="auto"/>
                                                          </w:divBdr>
                                                        </w:div>
                                                      </w:divsChild>
                                                    </w:div>
                                                    <w:div w:id="772937074">
                                                      <w:marLeft w:val="0"/>
                                                      <w:marRight w:val="0"/>
                                                      <w:marTop w:val="0"/>
                                                      <w:marBottom w:val="0"/>
                                                      <w:divBdr>
                                                        <w:top w:val="none" w:sz="0" w:space="0" w:color="auto"/>
                                                        <w:left w:val="none" w:sz="0" w:space="0" w:color="auto"/>
                                                        <w:bottom w:val="none" w:sz="0" w:space="0" w:color="auto"/>
                                                        <w:right w:val="none" w:sz="0" w:space="0" w:color="auto"/>
                                                      </w:divBdr>
                                                      <w:divsChild>
                                                        <w:div w:id="591859097">
                                                          <w:marLeft w:val="0"/>
                                                          <w:marRight w:val="0"/>
                                                          <w:marTop w:val="0"/>
                                                          <w:marBottom w:val="0"/>
                                                          <w:divBdr>
                                                            <w:top w:val="none" w:sz="0" w:space="0" w:color="auto"/>
                                                            <w:left w:val="none" w:sz="0" w:space="0" w:color="auto"/>
                                                            <w:bottom w:val="none" w:sz="0" w:space="0" w:color="auto"/>
                                                            <w:right w:val="none" w:sz="0" w:space="0" w:color="auto"/>
                                                          </w:divBdr>
                                                        </w:div>
                                                      </w:divsChild>
                                                    </w:div>
                                                    <w:div w:id="2088453137">
                                                      <w:marLeft w:val="0"/>
                                                      <w:marRight w:val="0"/>
                                                      <w:marTop w:val="0"/>
                                                      <w:marBottom w:val="0"/>
                                                      <w:divBdr>
                                                        <w:top w:val="none" w:sz="0" w:space="0" w:color="auto"/>
                                                        <w:left w:val="none" w:sz="0" w:space="0" w:color="auto"/>
                                                        <w:bottom w:val="none" w:sz="0" w:space="0" w:color="auto"/>
                                                        <w:right w:val="none" w:sz="0" w:space="0" w:color="auto"/>
                                                      </w:divBdr>
                                                      <w:divsChild>
                                                        <w:div w:id="14488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6328584">
      <w:bodyDiv w:val="1"/>
      <w:marLeft w:val="0"/>
      <w:marRight w:val="0"/>
      <w:marTop w:val="0"/>
      <w:marBottom w:val="0"/>
      <w:divBdr>
        <w:top w:val="none" w:sz="0" w:space="0" w:color="auto"/>
        <w:left w:val="none" w:sz="0" w:space="0" w:color="auto"/>
        <w:bottom w:val="none" w:sz="0" w:space="0" w:color="auto"/>
        <w:right w:val="none" w:sz="0" w:space="0" w:color="auto"/>
      </w:divBdr>
      <w:divsChild>
        <w:div w:id="1590894055">
          <w:marLeft w:val="0"/>
          <w:marRight w:val="0"/>
          <w:marTop w:val="0"/>
          <w:marBottom w:val="0"/>
          <w:divBdr>
            <w:top w:val="none" w:sz="0" w:space="0" w:color="auto"/>
            <w:left w:val="none" w:sz="0" w:space="0" w:color="auto"/>
            <w:bottom w:val="none" w:sz="0" w:space="0" w:color="auto"/>
            <w:right w:val="none" w:sz="0" w:space="0" w:color="auto"/>
          </w:divBdr>
          <w:divsChild>
            <w:div w:id="236675008">
              <w:marLeft w:val="0"/>
              <w:marRight w:val="0"/>
              <w:marTop w:val="0"/>
              <w:marBottom w:val="0"/>
              <w:divBdr>
                <w:top w:val="none" w:sz="0" w:space="0" w:color="auto"/>
                <w:left w:val="none" w:sz="0" w:space="0" w:color="auto"/>
                <w:bottom w:val="none" w:sz="0" w:space="0" w:color="auto"/>
                <w:right w:val="none" w:sz="0" w:space="0" w:color="auto"/>
              </w:divBdr>
              <w:divsChild>
                <w:div w:id="2012223243">
                  <w:marLeft w:val="0"/>
                  <w:marRight w:val="0"/>
                  <w:marTop w:val="0"/>
                  <w:marBottom w:val="0"/>
                  <w:divBdr>
                    <w:top w:val="none" w:sz="0" w:space="0" w:color="auto"/>
                    <w:left w:val="none" w:sz="0" w:space="0" w:color="auto"/>
                    <w:bottom w:val="none" w:sz="0" w:space="0" w:color="auto"/>
                    <w:right w:val="none" w:sz="0" w:space="0" w:color="auto"/>
                  </w:divBdr>
                  <w:divsChild>
                    <w:div w:id="696464084">
                      <w:marLeft w:val="0"/>
                      <w:marRight w:val="0"/>
                      <w:marTop w:val="0"/>
                      <w:marBottom w:val="300"/>
                      <w:divBdr>
                        <w:top w:val="none" w:sz="0" w:space="0" w:color="auto"/>
                        <w:left w:val="none" w:sz="0" w:space="0" w:color="auto"/>
                        <w:bottom w:val="none" w:sz="0" w:space="0" w:color="auto"/>
                        <w:right w:val="none" w:sz="0" w:space="0" w:color="auto"/>
                      </w:divBdr>
                      <w:divsChild>
                        <w:div w:id="19598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170990">
      <w:bodyDiv w:val="1"/>
      <w:marLeft w:val="0"/>
      <w:marRight w:val="0"/>
      <w:marTop w:val="0"/>
      <w:marBottom w:val="0"/>
      <w:divBdr>
        <w:top w:val="none" w:sz="0" w:space="0" w:color="auto"/>
        <w:left w:val="none" w:sz="0" w:space="0" w:color="auto"/>
        <w:bottom w:val="none" w:sz="0" w:space="0" w:color="auto"/>
        <w:right w:val="none" w:sz="0" w:space="0" w:color="auto"/>
      </w:divBdr>
      <w:divsChild>
        <w:div w:id="1099368550">
          <w:marLeft w:val="0"/>
          <w:marRight w:val="0"/>
          <w:marTop w:val="0"/>
          <w:marBottom w:val="0"/>
          <w:divBdr>
            <w:top w:val="none" w:sz="0" w:space="0" w:color="auto"/>
            <w:left w:val="single" w:sz="6" w:space="0" w:color="BBBBBB"/>
            <w:bottom w:val="single" w:sz="6" w:space="0" w:color="BBBBBB"/>
            <w:right w:val="single" w:sz="6" w:space="0" w:color="BBBBBB"/>
          </w:divBdr>
          <w:divsChild>
            <w:div w:id="1902670354">
              <w:marLeft w:val="0"/>
              <w:marRight w:val="0"/>
              <w:marTop w:val="0"/>
              <w:marBottom w:val="0"/>
              <w:divBdr>
                <w:top w:val="none" w:sz="0" w:space="0" w:color="auto"/>
                <w:left w:val="none" w:sz="0" w:space="0" w:color="auto"/>
                <w:bottom w:val="none" w:sz="0" w:space="0" w:color="auto"/>
                <w:right w:val="none" w:sz="0" w:space="0" w:color="auto"/>
              </w:divBdr>
              <w:divsChild>
                <w:div w:id="1514611811">
                  <w:marLeft w:val="0"/>
                  <w:marRight w:val="0"/>
                  <w:marTop w:val="75"/>
                  <w:marBottom w:val="0"/>
                  <w:divBdr>
                    <w:top w:val="none" w:sz="0" w:space="0" w:color="auto"/>
                    <w:left w:val="none" w:sz="0" w:space="0" w:color="auto"/>
                    <w:bottom w:val="none" w:sz="0" w:space="0" w:color="auto"/>
                    <w:right w:val="none" w:sz="0" w:space="0" w:color="auto"/>
                  </w:divBdr>
                  <w:divsChild>
                    <w:div w:id="2128624676">
                      <w:marLeft w:val="0"/>
                      <w:marRight w:val="0"/>
                      <w:marTop w:val="0"/>
                      <w:marBottom w:val="0"/>
                      <w:divBdr>
                        <w:top w:val="none" w:sz="0" w:space="0" w:color="auto"/>
                        <w:left w:val="none" w:sz="0" w:space="0" w:color="auto"/>
                        <w:bottom w:val="none" w:sz="0" w:space="0" w:color="auto"/>
                        <w:right w:val="none" w:sz="0" w:space="0" w:color="auto"/>
                      </w:divBdr>
                      <w:divsChild>
                        <w:div w:id="522864161">
                          <w:marLeft w:val="0"/>
                          <w:marRight w:val="0"/>
                          <w:marTop w:val="0"/>
                          <w:marBottom w:val="0"/>
                          <w:divBdr>
                            <w:top w:val="none" w:sz="0" w:space="0" w:color="auto"/>
                            <w:left w:val="none" w:sz="0" w:space="0" w:color="auto"/>
                            <w:bottom w:val="none" w:sz="0" w:space="0" w:color="auto"/>
                            <w:right w:val="none" w:sz="0" w:space="0" w:color="auto"/>
                          </w:divBdr>
                          <w:divsChild>
                            <w:div w:id="1835414956">
                              <w:marLeft w:val="0"/>
                              <w:marRight w:val="0"/>
                              <w:marTop w:val="0"/>
                              <w:marBottom w:val="0"/>
                              <w:divBdr>
                                <w:top w:val="none" w:sz="0" w:space="0" w:color="auto"/>
                                <w:left w:val="none" w:sz="0" w:space="0" w:color="auto"/>
                                <w:bottom w:val="none" w:sz="0" w:space="0" w:color="auto"/>
                                <w:right w:val="none" w:sz="0" w:space="0" w:color="auto"/>
                              </w:divBdr>
                              <w:divsChild>
                                <w:div w:id="1887176163">
                                  <w:marLeft w:val="0"/>
                                  <w:marRight w:val="0"/>
                                  <w:marTop w:val="0"/>
                                  <w:marBottom w:val="0"/>
                                  <w:divBdr>
                                    <w:top w:val="none" w:sz="0" w:space="0" w:color="auto"/>
                                    <w:left w:val="none" w:sz="0" w:space="0" w:color="auto"/>
                                    <w:bottom w:val="none" w:sz="0" w:space="0" w:color="auto"/>
                                    <w:right w:val="none" w:sz="0" w:space="0" w:color="auto"/>
                                  </w:divBdr>
                                  <w:divsChild>
                                    <w:div w:id="1707292131">
                                      <w:marLeft w:val="0"/>
                                      <w:marRight w:val="0"/>
                                      <w:marTop w:val="0"/>
                                      <w:marBottom w:val="0"/>
                                      <w:divBdr>
                                        <w:top w:val="none" w:sz="0" w:space="0" w:color="auto"/>
                                        <w:left w:val="none" w:sz="0" w:space="0" w:color="auto"/>
                                        <w:bottom w:val="none" w:sz="0" w:space="0" w:color="auto"/>
                                        <w:right w:val="none" w:sz="0" w:space="0" w:color="auto"/>
                                      </w:divBdr>
                                      <w:divsChild>
                                        <w:div w:id="74939023">
                                          <w:marLeft w:val="1200"/>
                                          <w:marRight w:val="1200"/>
                                          <w:marTop w:val="0"/>
                                          <w:marBottom w:val="0"/>
                                          <w:divBdr>
                                            <w:top w:val="none" w:sz="0" w:space="0" w:color="auto"/>
                                            <w:left w:val="none" w:sz="0" w:space="0" w:color="auto"/>
                                            <w:bottom w:val="none" w:sz="0" w:space="0" w:color="auto"/>
                                            <w:right w:val="none" w:sz="0" w:space="0" w:color="auto"/>
                                          </w:divBdr>
                                          <w:divsChild>
                                            <w:div w:id="756248083">
                                              <w:marLeft w:val="0"/>
                                              <w:marRight w:val="0"/>
                                              <w:marTop w:val="0"/>
                                              <w:marBottom w:val="0"/>
                                              <w:divBdr>
                                                <w:top w:val="none" w:sz="0" w:space="0" w:color="auto"/>
                                                <w:left w:val="none" w:sz="0" w:space="0" w:color="auto"/>
                                                <w:bottom w:val="none" w:sz="0" w:space="0" w:color="auto"/>
                                                <w:right w:val="none" w:sz="0" w:space="0" w:color="auto"/>
                                              </w:divBdr>
                                              <w:divsChild>
                                                <w:div w:id="208347847">
                                                  <w:marLeft w:val="0"/>
                                                  <w:marRight w:val="0"/>
                                                  <w:marTop w:val="0"/>
                                                  <w:marBottom w:val="0"/>
                                                  <w:divBdr>
                                                    <w:top w:val="none" w:sz="0" w:space="0" w:color="auto"/>
                                                    <w:left w:val="none" w:sz="0" w:space="0" w:color="auto"/>
                                                    <w:bottom w:val="none" w:sz="0" w:space="0" w:color="auto"/>
                                                    <w:right w:val="none" w:sz="0" w:space="0" w:color="auto"/>
                                                  </w:divBdr>
                                                  <w:divsChild>
                                                    <w:div w:id="921722545">
                                                      <w:marLeft w:val="0"/>
                                                      <w:marRight w:val="0"/>
                                                      <w:marTop w:val="0"/>
                                                      <w:marBottom w:val="0"/>
                                                      <w:divBdr>
                                                        <w:top w:val="none" w:sz="0" w:space="0" w:color="auto"/>
                                                        <w:left w:val="none" w:sz="0" w:space="0" w:color="auto"/>
                                                        <w:bottom w:val="none" w:sz="0" w:space="0" w:color="auto"/>
                                                        <w:right w:val="none" w:sz="0" w:space="0" w:color="auto"/>
                                                      </w:divBdr>
                                                      <w:divsChild>
                                                        <w:div w:id="1312517723">
                                                          <w:marLeft w:val="0"/>
                                                          <w:marRight w:val="0"/>
                                                          <w:marTop w:val="0"/>
                                                          <w:marBottom w:val="0"/>
                                                          <w:divBdr>
                                                            <w:top w:val="none" w:sz="0" w:space="0" w:color="auto"/>
                                                            <w:left w:val="none" w:sz="0" w:space="0" w:color="auto"/>
                                                            <w:bottom w:val="none" w:sz="0" w:space="0" w:color="auto"/>
                                                            <w:right w:val="none" w:sz="0" w:space="0" w:color="auto"/>
                                                          </w:divBdr>
                                                        </w:div>
                                                      </w:divsChild>
                                                    </w:div>
                                                    <w:div w:id="1148670752">
                                                      <w:marLeft w:val="0"/>
                                                      <w:marRight w:val="0"/>
                                                      <w:marTop w:val="0"/>
                                                      <w:marBottom w:val="0"/>
                                                      <w:divBdr>
                                                        <w:top w:val="none" w:sz="0" w:space="0" w:color="auto"/>
                                                        <w:left w:val="none" w:sz="0" w:space="0" w:color="auto"/>
                                                        <w:bottom w:val="none" w:sz="0" w:space="0" w:color="auto"/>
                                                        <w:right w:val="none" w:sz="0" w:space="0" w:color="auto"/>
                                                      </w:divBdr>
                                                      <w:divsChild>
                                                        <w:div w:id="2014448622">
                                                          <w:marLeft w:val="0"/>
                                                          <w:marRight w:val="0"/>
                                                          <w:marTop w:val="0"/>
                                                          <w:marBottom w:val="0"/>
                                                          <w:divBdr>
                                                            <w:top w:val="none" w:sz="0" w:space="0" w:color="auto"/>
                                                            <w:left w:val="none" w:sz="0" w:space="0" w:color="auto"/>
                                                            <w:bottom w:val="none" w:sz="0" w:space="0" w:color="auto"/>
                                                            <w:right w:val="none" w:sz="0" w:space="0" w:color="auto"/>
                                                          </w:divBdr>
                                                        </w:div>
                                                      </w:divsChild>
                                                    </w:div>
                                                    <w:div w:id="1207257613">
                                                      <w:marLeft w:val="0"/>
                                                      <w:marRight w:val="0"/>
                                                      <w:marTop w:val="0"/>
                                                      <w:marBottom w:val="0"/>
                                                      <w:divBdr>
                                                        <w:top w:val="none" w:sz="0" w:space="0" w:color="auto"/>
                                                        <w:left w:val="none" w:sz="0" w:space="0" w:color="auto"/>
                                                        <w:bottom w:val="none" w:sz="0" w:space="0" w:color="auto"/>
                                                        <w:right w:val="none" w:sz="0" w:space="0" w:color="auto"/>
                                                      </w:divBdr>
                                                      <w:divsChild>
                                                        <w:div w:id="1053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6695434">
      <w:bodyDiv w:val="1"/>
      <w:marLeft w:val="0"/>
      <w:marRight w:val="0"/>
      <w:marTop w:val="0"/>
      <w:marBottom w:val="0"/>
      <w:divBdr>
        <w:top w:val="none" w:sz="0" w:space="0" w:color="auto"/>
        <w:left w:val="none" w:sz="0" w:space="0" w:color="auto"/>
        <w:bottom w:val="none" w:sz="0" w:space="0" w:color="auto"/>
        <w:right w:val="none" w:sz="0" w:space="0" w:color="auto"/>
      </w:divBdr>
      <w:divsChild>
        <w:div w:id="1147237650">
          <w:marLeft w:val="0"/>
          <w:marRight w:val="0"/>
          <w:marTop w:val="0"/>
          <w:marBottom w:val="0"/>
          <w:divBdr>
            <w:top w:val="none" w:sz="0" w:space="0" w:color="auto"/>
            <w:left w:val="none" w:sz="0" w:space="0" w:color="auto"/>
            <w:bottom w:val="none" w:sz="0" w:space="0" w:color="auto"/>
            <w:right w:val="none" w:sz="0" w:space="0" w:color="auto"/>
          </w:divBdr>
          <w:divsChild>
            <w:div w:id="1638951822">
              <w:marLeft w:val="0"/>
              <w:marRight w:val="0"/>
              <w:marTop w:val="0"/>
              <w:marBottom w:val="0"/>
              <w:divBdr>
                <w:top w:val="none" w:sz="0" w:space="0" w:color="auto"/>
                <w:left w:val="none" w:sz="0" w:space="0" w:color="auto"/>
                <w:bottom w:val="none" w:sz="0" w:space="0" w:color="auto"/>
                <w:right w:val="none" w:sz="0" w:space="0" w:color="auto"/>
              </w:divBdr>
              <w:divsChild>
                <w:div w:id="1700473658">
                  <w:marLeft w:val="0"/>
                  <w:marRight w:val="0"/>
                  <w:marTop w:val="0"/>
                  <w:marBottom w:val="0"/>
                  <w:divBdr>
                    <w:top w:val="none" w:sz="0" w:space="0" w:color="auto"/>
                    <w:left w:val="none" w:sz="0" w:space="0" w:color="auto"/>
                    <w:bottom w:val="none" w:sz="0" w:space="0" w:color="auto"/>
                    <w:right w:val="none" w:sz="0" w:space="0" w:color="auto"/>
                  </w:divBdr>
                  <w:divsChild>
                    <w:div w:id="1421951787">
                      <w:marLeft w:val="0"/>
                      <w:marRight w:val="0"/>
                      <w:marTop w:val="0"/>
                      <w:marBottom w:val="375"/>
                      <w:divBdr>
                        <w:top w:val="none" w:sz="0" w:space="0" w:color="auto"/>
                        <w:left w:val="none" w:sz="0" w:space="0" w:color="auto"/>
                        <w:bottom w:val="none" w:sz="0" w:space="0" w:color="auto"/>
                        <w:right w:val="none" w:sz="0" w:space="0" w:color="auto"/>
                      </w:divBdr>
                      <w:divsChild>
                        <w:div w:id="21238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032924">
      <w:bodyDiv w:val="1"/>
      <w:marLeft w:val="0"/>
      <w:marRight w:val="0"/>
      <w:marTop w:val="0"/>
      <w:marBottom w:val="0"/>
      <w:divBdr>
        <w:top w:val="none" w:sz="0" w:space="0" w:color="auto"/>
        <w:left w:val="none" w:sz="0" w:space="0" w:color="auto"/>
        <w:bottom w:val="none" w:sz="0" w:space="0" w:color="auto"/>
        <w:right w:val="none" w:sz="0" w:space="0" w:color="auto"/>
      </w:divBdr>
      <w:divsChild>
        <w:div w:id="861358914">
          <w:marLeft w:val="0"/>
          <w:marRight w:val="0"/>
          <w:marTop w:val="0"/>
          <w:marBottom w:val="0"/>
          <w:divBdr>
            <w:top w:val="none" w:sz="0" w:space="0" w:color="auto"/>
            <w:left w:val="single" w:sz="6" w:space="0" w:color="BBBBBB"/>
            <w:bottom w:val="single" w:sz="6" w:space="0" w:color="BBBBBB"/>
            <w:right w:val="single" w:sz="6" w:space="0" w:color="BBBBBB"/>
          </w:divBdr>
          <w:divsChild>
            <w:div w:id="794979824">
              <w:marLeft w:val="0"/>
              <w:marRight w:val="0"/>
              <w:marTop w:val="0"/>
              <w:marBottom w:val="0"/>
              <w:divBdr>
                <w:top w:val="none" w:sz="0" w:space="0" w:color="auto"/>
                <w:left w:val="none" w:sz="0" w:space="0" w:color="auto"/>
                <w:bottom w:val="none" w:sz="0" w:space="0" w:color="auto"/>
                <w:right w:val="none" w:sz="0" w:space="0" w:color="auto"/>
              </w:divBdr>
              <w:divsChild>
                <w:div w:id="1396472061">
                  <w:marLeft w:val="0"/>
                  <w:marRight w:val="0"/>
                  <w:marTop w:val="0"/>
                  <w:marBottom w:val="0"/>
                  <w:divBdr>
                    <w:top w:val="none" w:sz="0" w:space="0" w:color="auto"/>
                    <w:left w:val="none" w:sz="0" w:space="0" w:color="auto"/>
                    <w:bottom w:val="none" w:sz="0" w:space="0" w:color="auto"/>
                    <w:right w:val="none" w:sz="0" w:space="0" w:color="auto"/>
                  </w:divBdr>
                  <w:divsChild>
                    <w:div w:id="1448501754">
                      <w:marLeft w:val="0"/>
                      <w:marRight w:val="0"/>
                      <w:marTop w:val="0"/>
                      <w:marBottom w:val="0"/>
                      <w:divBdr>
                        <w:top w:val="none" w:sz="0" w:space="0" w:color="auto"/>
                        <w:left w:val="none" w:sz="0" w:space="0" w:color="auto"/>
                        <w:bottom w:val="none" w:sz="0" w:space="0" w:color="auto"/>
                        <w:right w:val="none" w:sz="0" w:space="0" w:color="auto"/>
                      </w:divBdr>
                      <w:divsChild>
                        <w:div w:id="329599847">
                          <w:marLeft w:val="0"/>
                          <w:marRight w:val="0"/>
                          <w:marTop w:val="0"/>
                          <w:marBottom w:val="0"/>
                          <w:divBdr>
                            <w:top w:val="none" w:sz="0" w:space="0" w:color="auto"/>
                            <w:left w:val="none" w:sz="0" w:space="0" w:color="auto"/>
                            <w:bottom w:val="none" w:sz="0" w:space="0" w:color="auto"/>
                            <w:right w:val="none" w:sz="0" w:space="0" w:color="auto"/>
                          </w:divBdr>
                          <w:divsChild>
                            <w:div w:id="1090545545">
                              <w:marLeft w:val="0"/>
                              <w:marRight w:val="0"/>
                              <w:marTop w:val="0"/>
                              <w:marBottom w:val="0"/>
                              <w:divBdr>
                                <w:top w:val="none" w:sz="0" w:space="0" w:color="auto"/>
                                <w:left w:val="none" w:sz="0" w:space="0" w:color="auto"/>
                                <w:bottom w:val="none" w:sz="0" w:space="0" w:color="auto"/>
                                <w:right w:val="none" w:sz="0" w:space="0" w:color="auto"/>
                              </w:divBdr>
                              <w:divsChild>
                                <w:div w:id="970869103">
                                  <w:marLeft w:val="0"/>
                                  <w:marRight w:val="0"/>
                                  <w:marTop w:val="0"/>
                                  <w:marBottom w:val="0"/>
                                  <w:divBdr>
                                    <w:top w:val="none" w:sz="0" w:space="0" w:color="auto"/>
                                    <w:left w:val="none" w:sz="0" w:space="0" w:color="auto"/>
                                    <w:bottom w:val="none" w:sz="0" w:space="0" w:color="auto"/>
                                    <w:right w:val="none" w:sz="0" w:space="0" w:color="auto"/>
                                  </w:divBdr>
                                  <w:divsChild>
                                    <w:div w:id="1527214706">
                                      <w:marLeft w:val="0"/>
                                      <w:marRight w:val="0"/>
                                      <w:marTop w:val="0"/>
                                      <w:marBottom w:val="0"/>
                                      <w:divBdr>
                                        <w:top w:val="none" w:sz="0" w:space="0" w:color="auto"/>
                                        <w:left w:val="none" w:sz="0" w:space="0" w:color="auto"/>
                                        <w:bottom w:val="none" w:sz="0" w:space="0" w:color="auto"/>
                                        <w:right w:val="none" w:sz="0" w:space="0" w:color="auto"/>
                                      </w:divBdr>
                                      <w:divsChild>
                                        <w:div w:id="1039009171">
                                          <w:marLeft w:val="1200"/>
                                          <w:marRight w:val="1200"/>
                                          <w:marTop w:val="0"/>
                                          <w:marBottom w:val="0"/>
                                          <w:divBdr>
                                            <w:top w:val="none" w:sz="0" w:space="0" w:color="auto"/>
                                            <w:left w:val="none" w:sz="0" w:space="0" w:color="auto"/>
                                            <w:bottom w:val="none" w:sz="0" w:space="0" w:color="auto"/>
                                            <w:right w:val="none" w:sz="0" w:space="0" w:color="auto"/>
                                          </w:divBdr>
                                          <w:divsChild>
                                            <w:div w:id="1482891414">
                                              <w:marLeft w:val="0"/>
                                              <w:marRight w:val="0"/>
                                              <w:marTop w:val="0"/>
                                              <w:marBottom w:val="0"/>
                                              <w:divBdr>
                                                <w:top w:val="none" w:sz="0" w:space="0" w:color="auto"/>
                                                <w:left w:val="none" w:sz="0" w:space="0" w:color="auto"/>
                                                <w:bottom w:val="none" w:sz="0" w:space="0" w:color="auto"/>
                                                <w:right w:val="none" w:sz="0" w:space="0" w:color="auto"/>
                                              </w:divBdr>
                                              <w:divsChild>
                                                <w:div w:id="363409454">
                                                  <w:marLeft w:val="0"/>
                                                  <w:marRight w:val="0"/>
                                                  <w:marTop w:val="0"/>
                                                  <w:marBottom w:val="0"/>
                                                  <w:divBdr>
                                                    <w:top w:val="none" w:sz="0" w:space="0" w:color="auto"/>
                                                    <w:left w:val="none" w:sz="0" w:space="0" w:color="auto"/>
                                                    <w:bottom w:val="none" w:sz="0" w:space="0" w:color="auto"/>
                                                    <w:right w:val="none" w:sz="0" w:space="0" w:color="auto"/>
                                                  </w:divBdr>
                                                  <w:divsChild>
                                                    <w:div w:id="1686327088">
                                                      <w:marLeft w:val="0"/>
                                                      <w:marRight w:val="0"/>
                                                      <w:marTop w:val="0"/>
                                                      <w:marBottom w:val="0"/>
                                                      <w:divBdr>
                                                        <w:top w:val="none" w:sz="0" w:space="0" w:color="auto"/>
                                                        <w:left w:val="none" w:sz="0" w:space="0" w:color="auto"/>
                                                        <w:bottom w:val="none" w:sz="0" w:space="0" w:color="auto"/>
                                                        <w:right w:val="none" w:sz="0" w:space="0" w:color="auto"/>
                                                      </w:divBdr>
                                                      <w:divsChild>
                                                        <w:div w:id="2131237479">
                                                          <w:marLeft w:val="0"/>
                                                          <w:marRight w:val="0"/>
                                                          <w:marTop w:val="0"/>
                                                          <w:marBottom w:val="0"/>
                                                          <w:divBdr>
                                                            <w:top w:val="none" w:sz="0" w:space="0" w:color="auto"/>
                                                            <w:left w:val="none" w:sz="0" w:space="0" w:color="auto"/>
                                                            <w:bottom w:val="none" w:sz="0" w:space="0" w:color="auto"/>
                                                            <w:right w:val="none" w:sz="0" w:space="0" w:color="auto"/>
                                                          </w:divBdr>
                                                          <w:divsChild>
                                                            <w:div w:id="161626703">
                                                              <w:marLeft w:val="0"/>
                                                              <w:marRight w:val="0"/>
                                                              <w:marTop w:val="0"/>
                                                              <w:marBottom w:val="0"/>
                                                              <w:divBdr>
                                                                <w:top w:val="none" w:sz="0" w:space="0" w:color="auto"/>
                                                                <w:left w:val="none" w:sz="0" w:space="0" w:color="auto"/>
                                                                <w:bottom w:val="none" w:sz="0" w:space="0" w:color="auto"/>
                                                                <w:right w:val="none" w:sz="0" w:space="0" w:color="auto"/>
                                                              </w:divBdr>
                                                              <w:divsChild>
                                                                <w:div w:id="1031691230">
                                                                  <w:marLeft w:val="0"/>
                                                                  <w:marRight w:val="0"/>
                                                                  <w:marTop w:val="0"/>
                                                                  <w:marBottom w:val="0"/>
                                                                  <w:divBdr>
                                                                    <w:top w:val="none" w:sz="0" w:space="0" w:color="auto"/>
                                                                    <w:left w:val="none" w:sz="0" w:space="0" w:color="auto"/>
                                                                    <w:bottom w:val="none" w:sz="0" w:space="0" w:color="auto"/>
                                                                    <w:right w:val="none" w:sz="0" w:space="0" w:color="auto"/>
                                                                  </w:divBdr>
                                                                  <w:divsChild>
                                                                    <w:div w:id="11493658">
                                                                      <w:marLeft w:val="0"/>
                                                                      <w:marRight w:val="0"/>
                                                                      <w:marTop w:val="0"/>
                                                                      <w:marBottom w:val="0"/>
                                                                      <w:divBdr>
                                                                        <w:top w:val="none" w:sz="0" w:space="0" w:color="auto"/>
                                                                        <w:left w:val="none" w:sz="0" w:space="0" w:color="auto"/>
                                                                        <w:bottom w:val="none" w:sz="0" w:space="0" w:color="auto"/>
                                                                        <w:right w:val="none" w:sz="0" w:space="0" w:color="auto"/>
                                                                      </w:divBdr>
                                                                      <w:divsChild>
                                                                        <w:div w:id="497960111">
                                                                          <w:marLeft w:val="0"/>
                                                                          <w:marRight w:val="0"/>
                                                                          <w:marTop w:val="0"/>
                                                                          <w:marBottom w:val="0"/>
                                                                          <w:divBdr>
                                                                            <w:top w:val="none" w:sz="0" w:space="0" w:color="auto"/>
                                                                            <w:left w:val="none" w:sz="0" w:space="0" w:color="auto"/>
                                                                            <w:bottom w:val="none" w:sz="0" w:space="0" w:color="auto"/>
                                                                            <w:right w:val="none" w:sz="0" w:space="0" w:color="auto"/>
                                                                          </w:divBdr>
                                                                        </w:div>
                                                                      </w:divsChild>
                                                                    </w:div>
                                                                    <w:div w:id="1917981051">
                                                                      <w:marLeft w:val="0"/>
                                                                      <w:marRight w:val="0"/>
                                                                      <w:marTop w:val="0"/>
                                                                      <w:marBottom w:val="0"/>
                                                                      <w:divBdr>
                                                                        <w:top w:val="none" w:sz="0" w:space="0" w:color="auto"/>
                                                                        <w:left w:val="none" w:sz="0" w:space="0" w:color="auto"/>
                                                                        <w:bottom w:val="none" w:sz="0" w:space="0" w:color="auto"/>
                                                                        <w:right w:val="none" w:sz="0" w:space="0" w:color="auto"/>
                                                                      </w:divBdr>
                                                                      <w:divsChild>
                                                                        <w:div w:id="15814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813638">
      <w:bodyDiv w:val="1"/>
      <w:marLeft w:val="30"/>
      <w:marRight w:val="30"/>
      <w:marTop w:val="30"/>
      <w:marBottom w:val="30"/>
      <w:divBdr>
        <w:top w:val="none" w:sz="0" w:space="0" w:color="auto"/>
        <w:left w:val="none" w:sz="0" w:space="0" w:color="auto"/>
        <w:bottom w:val="none" w:sz="0" w:space="0" w:color="auto"/>
        <w:right w:val="none" w:sz="0" w:space="0" w:color="auto"/>
      </w:divBdr>
      <w:divsChild>
        <w:div w:id="26876214">
          <w:marLeft w:val="0"/>
          <w:marRight w:val="0"/>
          <w:marTop w:val="0"/>
          <w:marBottom w:val="0"/>
          <w:divBdr>
            <w:top w:val="none" w:sz="0" w:space="0" w:color="auto"/>
            <w:left w:val="none" w:sz="0" w:space="0" w:color="auto"/>
            <w:bottom w:val="none" w:sz="0" w:space="0" w:color="auto"/>
            <w:right w:val="none" w:sz="0" w:space="0" w:color="auto"/>
          </w:divBdr>
          <w:divsChild>
            <w:div w:id="414404560">
              <w:marLeft w:val="45"/>
              <w:marRight w:val="45"/>
              <w:marTop w:val="45"/>
              <w:marBottom w:val="45"/>
              <w:divBdr>
                <w:top w:val="none" w:sz="0" w:space="0" w:color="auto"/>
                <w:left w:val="none" w:sz="0" w:space="0" w:color="auto"/>
                <w:bottom w:val="none" w:sz="0" w:space="0" w:color="auto"/>
                <w:right w:val="none" w:sz="0" w:space="0" w:color="auto"/>
              </w:divBdr>
              <w:divsChild>
                <w:div w:id="148984968">
                  <w:marLeft w:val="0"/>
                  <w:marRight w:val="0"/>
                  <w:marTop w:val="0"/>
                  <w:marBottom w:val="0"/>
                  <w:divBdr>
                    <w:top w:val="none" w:sz="0" w:space="0" w:color="auto"/>
                    <w:left w:val="none" w:sz="0" w:space="0" w:color="auto"/>
                    <w:bottom w:val="none" w:sz="0" w:space="0" w:color="auto"/>
                    <w:right w:val="none" w:sz="0" w:space="0" w:color="auto"/>
                  </w:divBdr>
                  <w:divsChild>
                    <w:div w:id="465975468">
                      <w:blockQuote w:val="1"/>
                      <w:marLeft w:val="720"/>
                      <w:marRight w:val="720"/>
                      <w:marTop w:val="100"/>
                      <w:marBottom w:val="100"/>
                      <w:divBdr>
                        <w:top w:val="none" w:sz="0" w:space="0" w:color="auto"/>
                        <w:left w:val="none" w:sz="0" w:space="0" w:color="auto"/>
                        <w:bottom w:val="none" w:sz="0" w:space="0" w:color="auto"/>
                        <w:right w:val="none" w:sz="0" w:space="0" w:color="auto"/>
                      </w:divBdr>
                    </w:div>
                    <w:div w:id="613362454">
                      <w:marLeft w:val="0"/>
                      <w:marRight w:val="0"/>
                      <w:marTop w:val="0"/>
                      <w:marBottom w:val="0"/>
                      <w:divBdr>
                        <w:top w:val="none" w:sz="0" w:space="0" w:color="auto"/>
                        <w:left w:val="none" w:sz="0" w:space="0" w:color="auto"/>
                        <w:bottom w:val="none" w:sz="0" w:space="0" w:color="auto"/>
                        <w:right w:val="none" w:sz="0" w:space="0" w:color="auto"/>
                      </w:divBdr>
                    </w:div>
                    <w:div w:id="1253009548">
                      <w:marLeft w:val="0"/>
                      <w:marRight w:val="0"/>
                      <w:marTop w:val="0"/>
                      <w:marBottom w:val="0"/>
                      <w:divBdr>
                        <w:top w:val="none" w:sz="0" w:space="0" w:color="auto"/>
                        <w:left w:val="none" w:sz="0" w:space="0" w:color="auto"/>
                        <w:bottom w:val="none" w:sz="0" w:space="0" w:color="auto"/>
                        <w:right w:val="none" w:sz="0" w:space="0" w:color="auto"/>
                      </w:divBdr>
                    </w:div>
                    <w:div w:id="1995060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2905764">
      <w:bodyDiv w:val="1"/>
      <w:marLeft w:val="0"/>
      <w:marRight w:val="0"/>
      <w:marTop w:val="0"/>
      <w:marBottom w:val="0"/>
      <w:divBdr>
        <w:top w:val="none" w:sz="0" w:space="0" w:color="auto"/>
        <w:left w:val="none" w:sz="0" w:space="0" w:color="auto"/>
        <w:bottom w:val="none" w:sz="0" w:space="0" w:color="auto"/>
        <w:right w:val="none" w:sz="0" w:space="0" w:color="auto"/>
      </w:divBdr>
      <w:divsChild>
        <w:div w:id="199443669">
          <w:marLeft w:val="0"/>
          <w:marRight w:val="0"/>
          <w:marTop w:val="0"/>
          <w:marBottom w:val="0"/>
          <w:divBdr>
            <w:top w:val="none" w:sz="0" w:space="0" w:color="auto"/>
            <w:left w:val="none" w:sz="0" w:space="0" w:color="auto"/>
            <w:bottom w:val="none" w:sz="0" w:space="0" w:color="auto"/>
            <w:right w:val="none" w:sz="0" w:space="0" w:color="auto"/>
          </w:divBdr>
          <w:divsChild>
            <w:div w:id="1000428737">
              <w:marLeft w:val="0"/>
              <w:marRight w:val="0"/>
              <w:marTop w:val="0"/>
              <w:marBottom w:val="0"/>
              <w:divBdr>
                <w:top w:val="none" w:sz="0" w:space="0" w:color="auto"/>
                <w:left w:val="none" w:sz="0" w:space="0" w:color="auto"/>
                <w:bottom w:val="none" w:sz="0" w:space="0" w:color="auto"/>
                <w:right w:val="none" w:sz="0" w:space="0" w:color="auto"/>
              </w:divBdr>
              <w:divsChild>
                <w:div w:id="1582710950">
                  <w:marLeft w:val="0"/>
                  <w:marRight w:val="0"/>
                  <w:marTop w:val="0"/>
                  <w:marBottom w:val="0"/>
                  <w:divBdr>
                    <w:top w:val="none" w:sz="0" w:space="0" w:color="auto"/>
                    <w:left w:val="none" w:sz="0" w:space="0" w:color="auto"/>
                    <w:bottom w:val="none" w:sz="0" w:space="0" w:color="auto"/>
                    <w:right w:val="none" w:sz="0" w:space="0" w:color="auto"/>
                  </w:divBdr>
                  <w:divsChild>
                    <w:div w:id="163666289">
                      <w:marLeft w:val="0"/>
                      <w:marRight w:val="0"/>
                      <w:marTop w:val="0"/>
                      <w:marBottom w:val="375"/>
                      <w:divBdr>
                        <w:top w:val="none" w:sz="0" w:space="0" w:color="auto"/>
                        <w:left w:val="none" w:sz="0" w:space="0" w:color="auto"/>
                        <w:bottom w:val="none" w:sz="0" w:space="0" w:color="auto"/>
                        <w:right w:val="none" w:sz="0" w:space="0" w:color="auto"/>
                      </w:divBdr>
                      <w:divsChild>
                        <w:div w:id="65722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977745">
      <w:bodyDiv w:val="1"/>
      <w:marLeft w:val="0"/>
      <w:marRight w:val="0"/>
      <w:marTop w:val="0"/>
      <w:marBottom w:val="0"/>
      <w:divBdr>
        <w:top w:val="none" w:sz="0" w:space="0" w:color="auto"/>
        <w:left w:val="none" w:sz="0" w:space="0" w:color="auto"/>
        <w:bottom w:val="none" w:sz="0" w:space="0" w:color="auto"/>
        <w:right w:val="none" w:sz="0" w:space="0" w:color="auto"/>
      </w:divBdr>
      <w:divsChild>
        <w:div w:id="1673609206">
          <w:marLeft w:val="0"/>
          <w:marRight w:val="0"/>
          <w:marTop w:val="0"/>
          <w:marBottom w:val="0"/>
          <w:divBdr>
            <w:top w:val="none" w:sz="0" w:space="0" w:color="auto"/>
            <w:left w:val="single" w:sz="6" w:space="0" w:color="BBBBBB"/>
            <w:bottom w:val="single" w:sz="6" w:space="0" w:color="BBBBBB"/>
            <w:right w:val="single" w:sz="6" w:space="0" w:color="BBBBBB"/>
          </w:divBdr>
          <w:divsChild>
            <w:div w:id="1500659652">
              <w:marLeft w:val="0"/>
              <w:marRight w:val="0"/>
              <w:marTop w:val="0"/>
              <w:marBottom w:val="0"/>
              <w:divBdr>
                <w:top w:val="none" w:sz="0" w:space="0" w:color="auto"/>
                <w:left w:val="none" w:sz="0" w:space="0" w:color="auto"/>
                <w:bottom w:val="none" w:sz="0" w:space="0" w:color="auto"/>
                <w:right w:val="none" w:sz="0" w:space="0" w:color="auto"/>
              </w:divBdr>
              <w:divsChild>
                <w:div w:id="1454717104">
                  <w:marLeft w:val="0"/>
                  <w:marRight w:val="0"/>
                  <w:marTop w:val="75"/>
                  <w:marBottom w:val="0"/>
                  <w:divBdr>
                    <w:top w:val="none" w:sz="0" w:space="0" w:color="auto"/>
                    <w:left w:val="none" w:sz="0" w:space="0" w:color="auto"/>
                    <w:bottom w:val="none" w:sz="0" w:space="0" w:color="auto"/>
                    <w:right w:val="none" w:sz="0" w:space="0" w:color="auto"/>
                  </w:divBdr>
                  <w:divsChild>
                    <w:div w:id="2060084653">
                      <w:marLeft w:val="0"/>
                      <w:marRight w:val="0"/>
                      <w:marTop w:val="0"/>
                      <w:marBottom w:val="0"/>
                      <w:divBdr>
                        <w:top w:val="none" w:sz="0" w:space="0" w:color="auto"/>
                        <w:left w:val="none" w:sz="0" w:space="0" w:color="auto"/>
                        <w:bottom w:val="none" w:sz="0" w:space="0" w:color="auto"/>
                        <w:right w:val="none" w:sz="0" w:space="0" w:color="auto"/>
                      </w:divBdr>
                      <w:divsChild>
                        <w:div w:id="925918665">
                          <w:marLeft w:val="0"/>
                          <w:marRight w:val="0"/>
                          <w:marTop w:val="0"/>
                          <w:marBottom w:val="0"/>
                          <w:divBdr>
                            <w:top w:val="none" w:sz="0" w:space="0" w:color="auto"/>
                            <w:left w:val="none" w:sz="0" w:space="0" w:color="auto"/>
                            <w:bottom w:val="none" w:sz="0" w:space="0" w:color="auto"/>
                            <w:right w:val="none" w:sz="0" w:space="0" w:color="auto"/>
                          </w:divBdr>
                          <w:divsChild>
                            <w:div w:id="888541046">
                              <w:marLeft w:val="0"/>
                              <w:marRight w:val="0"/>
                              <w:marTop w:val="0"/>
                              <w:marBottom w:val="0"/>
                              <w:divBdr>
                                <w:top w:val="none" w:sz="0" w:space="0" w:color="auto"/>
                                <w:left w:val="none" w:sz="0" w:space="0" w:color="auto"/>
                                <w:bottom w:val="none" w:sz="0" w:space="0" w:color="auto"/>
                                <w:right w:val="none" w:sz="0" w:space="0" w:color="auto"/>
                              </w:divBdr>
                              <w:divsChild>
                                <w:div w:id="1719433222">
                                  <w:marLeft w:val="0"/>
                                  <w:marRight w:val="0"/>
                                  <w:marTop w:val="0"/>
                                  <w:marBottom w:val="0"/>
                                  <w:divBdr>
                                    <w:top w:val="none" w:sz="0" w:space="0" w:color="auto"/>
                                    <w:left w:val="none" w:sz="0" w:space="0" w:color="auto"/>
                                    <w:bottom w:val="none" w:sz="0" w:space="0" w:color="auto"/>
                                    <w:right w:val="none" w:sz="0" w:space="0" w:color="auto"/>
                                  </w:divBdr>
                                  <w:divsChild>
                                    <w:div w:id="845364724">
                                      <w:marLeft w:val="0"/>
                                      <w:marRight w:val="0"/>
                                      <w:marTop w:val="0"/>
                                      <w:marBottom w:val="0"/>
                                      <w:divBdr>
                                        <w:top w:val="none" w:sz="0" w:space="0" w:color="auto"/>
                                        <w:left w:val="none" w:sz="0" w:space="0" w:color="auto"/>
                                        <w:bottom w:val="none" w:sz="0" w:space="0" w:color="auto"/>
                                        <w:right w:val="none" w:sz="0" w:space="0" w:color="auto"/>
                                      </w:divBdr>
                                      <w:divsChild>
                                        <w:div w:id="573708845">
                                          <w:marLeft w:val="1200"/>
                                          <w:marRight w:val="1200"/>
                                          <w:marTop w:val="0"/>
                                          <w:marBottom w:val="0"/>
                                          <w:divBdr>
                                            <w:top w:val="none" w:sz="0" w:space="0" w:color="auto"/>
                                            <w:left w:val="none" w:sz="0" w:space="0" w:color="auto"/>
                                            <w:bottom w:val="none" w:sz="0" w:space="0" w:color="auto"/>
                                            <w:right w:val="none" w:sz="0" w:space="0" w:color="auto"/>
                                          </w:divBdr>
                                          <w:divsChild>
                                            <w:div w:id="1173061308">
                                              <w:marLeft w:val="0"/>
                                              <w:marRight w:val="0"/>
                                              <w:marTop w:val="0"/>
                                              <w:marBottom w:val="0"/>
                                              <w:divBdr>
                                                <w:top w:val="none" w:sz="0" w:space="0" w:color="auto"/>
                                                <w:left w:val="none" w:sz="0" w:space="0" w:color="auto"/>
                                                <w:bottom w:val="none" w:sz="0" w:space="0" w:color="auto"/>
                                                <w:right w:val="none" w:sz="0" w:space="0" w:color="auto"/>
                                              </w:divBdr>
                                              <w:divsChild>
                                                <w:div w:id="1766537942">
                                                  <w:marLeft w:val="0"/>
                                                  <w:marRight w:val="0"/>
                                                  <w:marTop w:val="0"/>
                                                  <w:marBottom w:val="0"/>
                                                  <w:divBdr>
                                                    <w:top w:val="none" w:sz="0" w:space="0" w:color="auto"/>
                                                    <w:left w:val="none" w:sz="0" w:space="0" w:color="auto"/>
                                                    <w:bottom w:val="none" w:sz="0" w:space="0" w:color="auto"/>
                                                    <w:right w:val="none" w:sz="0" w:space="0" w:color="auto"/>
                                                  </w:divBdr>
                                                  <w:divsChild>
                                                    <w:div w:id="250242461">
                                                      <w:marLeft w:val="0"/>
                                                      <w:marRight w:val="0"/>
                                                      <w:marTop w:val="0"/>
                                                      <w:marBottom w:val="0"/>
                                                      <w:divBdr>
                                                        <w:top w:val="none" w:sz="0" w:space="0" w:color="auto"/>
                                                        <w:left w:val="none" w:sz="0" w:space="0" w:color="auto"/>
                                                        <w:bottom w:val="none" w:sz="0" w:space="0" w:color="auto"/>
                                                        <w:right w:val="none" w:sz="0" w:space="0" w:color="auto"/>
                                                      </w:divBdr>
                                                      <w:divsChild>
                                                        <w:div w:id="1949265971">
                                                          <w:marLeft w:val="0"/>
                                                          <w:marRight w:val="0"/>
                                                          <w:marTop w:val="0"/>
                                                          <w:marBottom w:val="0"/>
                                                          <w:divBdr>
                                                            <w:top w:val="none" w:sz="0" w:space="0" w:color="auto"/>
                                                            <w:left w:val="none" w:sz="0" w:space="0" w:color="auto"/>
                                                            <w:bottom w:val="none" w:sz="0" w:space="0" w:color="auto"/>
                                                            <w:right w:val="none" w:sz="0" w:space="0" w:color="auto"/>
                                                          </w:divBdr>
                                                        </w:div>
                                                      </w:divsChild>
                                                    </w:div>
                                                    <w:div w:id="414742653">
                                                      <w:marLeft w:val="0"/>
                                                      <w:marRight w:val="0"/>
                                                      <w:marTop w:val="0"/>
                                                      <w:marBottom w:val="0"/>
                                                      <w:divBdr>
                                                        <w:top w:val="none" w:sz="0" w:space="0" w:color="auto"/>
                                                        <w:left w:val="none" w:sz="0" w:space="0" w:color="auto"/>
                                                        <w:bottom w:val="none" w:sz="0" w:space="0" w:color="auto"/>
                                                        <w:right w:val="none" w:sz="0" w:space="0" w:color="auto"/>
                                                      </w:divBdr>
                                                      <w:divsChild>
                                                        <w:div w:id="62727465">
                                                          <w:marLeft w:val="0"/>
                                                          <w:marRight w:val="0"/>
                                                          <w:marTop w:val="0"/>
                                                          <w:marBottom w:val="0"/>
                                                          <w:divBdr>
                                                            <w:top w:val="none" w:sz="0" w:space="0" w:color="auto"/>
                                                            <w:left w:val="none" w:sz="0" w:space="0" w:color="auto"/>
                                                            <w:bottom w:val="none" w:sz="0" w:space="0" w:color="auto"/>
                                                            <w:right w:val="none" w:sz="0" w:space="0" w:color="auto"/>
                                                          </w:divBdr>
                                                        </w:div>
                                                      </w:divsChild>
                                                    </w:div>
                                                    <w:div w:id="1606423056">
                                                      <w:marLeft w:val="0"/>
                                                      <w:marRight w:val="0"/>
                                                      <w:marTop w:val="0"/>
                                                      <w:marBottom w:val="0"/>
                                                      <w:divBdr>
                                                        <w:top w:val="none" w:sz="0" w:space="0" w:color="auto"/>
                                                        <w:left w:val="none" w:sz="0" w:space="0" w:color="auto"/>
                                                        <w:bottom w:val="none" w:sz="0" w:space="0" w:color="auto"/>
                                                        <w:right w:val="none" w:sz="0" w:space="0" w:color="auto"/>
                                                      </w:divBdr>
                                                      <w:divsChild>
                                                        <w:div w:id="18666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4823637">
      <w:bodyDiv w:val="1"/>
      <w:marLeft w:val="0"/>
      <w:marRight w:val="0"/>
      <w:marTop w:val="0"/>
      <w:marBottom w:val="0"/>
      <w:divBdr>
        <w:top w:val="none" w:sz="0" w:space="0" w:color="auto"/>
        <w:left w:val="none" w:sz="0" w:space="0" w:color="auto"/>
        <w:bottom w:val="none" w:sz="0" w:space="0" w:color="auto"/>
        <w:right w:val="none" w:sz="0" w:space="0" w:color="auto"/>
      </w:divBdr>
      <w:divsChild>
        <w:div w:id="698089827">
          <w:marLeft w:val="0"/>
          <w:marRight w:val="0"/>
          <w:marTop w:val="240"/>
          <w:marBottom w:val="0"/>
          <w:divBdr>
            <w:top w:val="none" w:sz="0" w:space="0" w:color="auto"/>
            <w:left w:val="none" w:sz="0" w:space="0" w:color="auto"/>
            <w:bottom w:val="none" w:sz="0" w:space="0" w:color="auto"/>
            <w:right w:val="none" w:sz="0" w:space="0" w:color="auto"/>
          </w:divBdr>
          <w:divsChild>
            <w:div w:id="469904301">
              <w:marLeft w:val="0"/>
              <w:marRight w:val="0"/>
              <w:marTop w:val="0"/>
              <w:marBottom w:val="0"/>
              <w:divBdr>
                <w:top w:val="none" w:sz="0" w:space="0" w:color="auto"/>
                <w:left w:val="none" w:sz="0" w:space="0" w:color="auto"/>
                <w:bottom w:val="none" w:sz="0" w:space="0" w:color="auto"/>
                <w:right w:val="none" w:sz="0" w:space="0" w:color="auto"/>
              </w:divBdr>
            </w:div>
          </w:divsChild>
        </w:div>
        <w:div w:id="524295822">
          <w:marLeft w:val="0"/>
          <w:marRight w:val="0"/>
          <w:marTop w:val="240"/>
          <w:marBottom w:val="0"/>
          <w:divBdr>
            <w:top w:val="none" w:sz="0" w:space="0" w:color="auto"/>
            <w:left w:val="none" w:sz="0" w:space="0" w:color="auto"/>
            <w:bottom w:val="none" w:sz="0" w:space="0" w:color="auto"/>
            <w:right w:val="none" w:sz="0" w:space="0" w:color="auto"/>
          </w:divBdr>
          <w:divsChild>
            <w:div w:id="1262252871">
              <w:marLeft w:val="0"/>
              <w:marRight w:val="0"/>
              <w:marTop w:val="0"/>
              <w:marBottom w:val="0"/>
              <w:divBdr>
                <w:top w:val="none" w:sz="0" w:space="0" w:color="auto"/>
                <w:left w:val="none" w:sz="0" w:space="0" w:color="auto"/>
                <w:bottom w:val="none" w:sz="0" w:space="0" w:color="auto"/>
                <w:right w:val="none" w:sz="0" w:space="0" w:color="auto"/>
              </w:divBdr>
            </w:div>
          </w:divsChild>
        </w:div>
        <w:div w:id="112291714">
          <w:marLeft w:val="0"/>
          <w:marRight w:val="0"/>
          <w:marTop w:val="240"/>
          <w:marBottom w:val="0"/>
          <w:divBdr>
            <w:top w:val="none" w:sz="0" w:space="0" w:color="auto"/>
            <w:left w:val="none" w:sz="0" w:space="0" w:color="auto"/>
            <w:bottom w:val="none" w:sz="0" w:space="0" w:color="auto"/>
            <w:right w:val="none" w:sz="0" w:space="0" w:color="auto"/>
          </w:divBdr>
          <w:divsChild>
            <w:div w:id="1143695871">
              <w:marLeft w:val="0"/>
              <w:marRight w:val="0"/>
              <w:marTop w:val="0"/>
              <w:marBottom w:val="0"/>
              <w:divBdr>
                <w:top w:val="none" w:sz="0" w:space="0" w:color="auto"/>
                <w:left w:val="none" w:sz="0" w:space="0" w:color="auto"/>
                <w:bottom w:val="none" w:sz="0" w:space="0" w:color="auto"/>
                <w:right w:val="none" w:sz="0" w:space="0" w:color="auto"/>
              </w:divBdr>
            </w:div>
          </w:divsChild>
        </w:div>
        <w:div w:id="725379311">
          <w:marLeft w:val="0"/>
          <w:marRight w:val="0"/>
          <w:marTop w:val="240"/>
          <w:marBottom w:val="0"/>
          <w:divBdr>
            <w:top w:val="none" w:sz="0" w:space="0" w:color="auto"/>
            <w:left w:val="none" w:sz="0" w:space="0" w:color="auto"/>
            <w:bottom w:val="none" w:sz="0" w:space="0" w:color="auto"/>
            <w:right w:val="none" w:sz="0" w:space="0" w:color="auto"/>
          </w:divBdr>
          <w:divsChild>
            <w:div w:id="29570410">
              <w:marLeft w:val="0"/>
              <w:marRight w:val="0"/>
              <w:marTop w:val="0"/>
              <w:marBottom w:val="0"/>
              <w:divBdr>
                <w:top w:val="none" w:sz="0" w:space="0" w:color="auto"/>
                <w:left w:val="none" w:sz="0" w:space="0" w:color="auto"/>
                <w:bottom w:val="none" w:sz="0" w:space="0" w:color="auto"/>
                <w:right w:val="none" w:sz="0" w:space="0" w:color="auto"/>
              </w:divBdr>
            </w:div>
          </w:divsChild>
        </w:div>
        <w:div w:id="379592819">
          <w:marLeft w:val="0"/>
          <w:marRight w:val="0"/>
          <w:marTop w:val="240"/>
          <w:marBottom w:val="0"/>
          <w:divBdr>
            <w:top w:val="none" w:sz="0" w:space="0" w:color="auto"/>
            <w:left w:val="none" w:sz="0" w:space="0" w:color="auto"/>
            <w:bottom w:val="none" w:sz="0" w:space="0" w:color="auto"/>
            <w:right w:val="none" w:sz="0" w:space="0" w:color="auto"/>
          </w:divBdr>
          <w:divsChild>
            <w:div w:id="946280757">
              <w:marLeft w:val="0"/>
              <w:marRight w:val="0"/>
              <w:marTop w:val="0"/>
              <w:marBottom w:val="0"/>
              <w:divBdr>
                <w:top w:val="none" w:sz="0" w:space="0" w:color="auto"/>
                <w:left w:val="none" w:sz="0" w:space="0" w:color="auto"/>
                <w:bottom w:val="none" w:sz="0" w:space="0" w:color="auto"/>
                <w:right w:val="none" w:sz="0" w:space="0" w:color="auto"/>
              </w:divBdr>
            </w:div>
          </w:divsChild>
        </w:div>
        <w:div w:id="1471558143">
          <w:marLeft w:val="0"/>
          <w:marRight w:val="0"/>
          <w:marTop w:val="240"/>
          <w:marBottom w:val="0"/>
          <w:divBdr>
            <w:top w:val="none" w:sz="0" w:space="0" w:color="auto"/>
            <w:left w:val="none" w:sz="0" w:space="0" w:color="auto"/>
            <w:bottom w:val="none" w:sz="0" w:space="0" w:color="auto"/>
            <w:right w:val="none" w:sz="0" w:space="0" w:color="auto"/>
          </w:divBdr>
          <w:divsChild>
            <w:div w:id="1759868104">
              <w:marLeft w:val="0"/>
              <w:marRight w:val="0"/>
              <w:marTop w:val="0"/>
              <w:marBottom w:val="0"/>
              <w:divBdr>
                <w:top w:val="none" w:sz="0" w:space="0" w:color="auto"/>
                <w:left w:val="none" w:sz="0" w:space="0" w:color="auto"/>
                <w:bottom w:val="none" w:sz="0" w:space="0" w:color="auto"/>
                <w:right w:val="none" w:sz="0" w:space="0" w:color="auto"/>
              </w:divBdr>
            </w:div>
          </w:divsChild>
        </w:div>
        <w:div w:id="124616291">
          <w:marLeft w:val="0"/>
          <w:marRight w:val="0"/>
          <w:marTop w:val="240"/>
          <w:marBottom w:val="0"/>
          <w:divBdr>
            <w:top w:val="none" w:sz="0" w:space="0" w:color="auto"/>
            <w:left w:val="none" w:sz="0" w:space="0" w:color="auto"/>
            <w:bottom w:val="none" w:sz="0" w:space="0" w:color="auto"/>
            <w:right w:val="none" w:sz="0" w:space="0" w:color="auto"/>
          </w:divBdr>
          <w:divsChild>
            <w:div w:id="7476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1562">
      <w:bodyDiv w:val="1"/>
      <w:marLeft w:val="30"/>
      <w:marRight w:val="30"/>
      <w:marTop w:val="30"/>
      <w:marBottom w:val="30"/>
      <w:divBdr>
        <w:top w:val="none" w:sz="0" w:space="0" w:color="auto"/>
        <w:left w:val="none" w:sz="0" w:space="0" w:color="auto"/>
        <w:bottom w:val="none" w:sz="0" w:space="0" w:color="auto"/>
        <w:right w:val="none" w:sz="0" w:space="0" w:color="auto"/>
      </w:divBdr>
      <w:divsChild>
        <w:div w:id="401413417">
          <w:marLeft w:val="0"/>
          <w:marRight w:val="0"/>
          <w:marTop w:val="0"/>
          <w:marBottom w:val="0"/>
          <w:divBdr>
            <w:top w:val="none" w:sz="0" w:space="0" w:color="auto"/>
            <w:left w:val="none" w:sz="0" w:space="0" w:color="auto"/>
            <w:bottom w:val="none" w:sz="0" w:space="0" w:color="auto"/>
            <w:right w:val="none" w:sz="0" w:space="0" w:color="auto"/>
          </w:divBdr>
          <w:divsChild>
            <w:div w:id="390618800">
              <w:marLeft w:val="45"/>
              <w:marRight w:val="45"/>
              <w:marTop w:val="45"/>
              <w:marBottom w:val="45"/>
              <w:divBdr>
                <w:top w:val="none" w:sz="0" w:space="0" w:color="auto"/>
                <w:left w:val="none" w:sz="0" w:space="0" w:color="auto"/>
                <w:bottom w:val="none" w:sz="0" w:space="0" w:color="auto"/>
                <w:right w:val="none" w:sz="0" w:space="0" w:color="auto"/>
              </w:divBdr>
              <w:divsChild>
                <w:div w:id="1274554391">
                  <w:marLeft w:val="0"/>
                  <w:marRight w:val="0"/>
                  <w:marTop w:val="0"/>
                  <w:marBottom w:val="0"/>
                  <w:divBdr>
                    <w:top w:val="none" w:sz="0" w:space="0" w:color="auto"/>
                    <w:left w:val="none" w:sz="0" w:space="0" w:color="auto"/>
                    <w:bottom w:val="none" w:sz="0" w:space="0" w:color="auto"/>
                    <w:right w:val="none" w:sz="0" w:space="0" w:color="auto"/>
                  </w:divBdr>
                  <w:divsChild>
                    <w:div w:id="183062812">
                      <w:marLeft w:val="0"/>
                      <w:marRight w:val="0"/>
                      <w:marTop w:val="0"/>
                      <w:marBottom w:val="0"/>
                      <w:divBdr>
                        <w:top w:val="none" w:sz="0" w:space="0" w:color="auto"/>
                        <w:left w:val="none" w:sz="0" w:space="0" w:color="auto"/>
                        <w:bottom w:val="none" w:sz="0" w:space="0" w:color="auto"/>
                        <w:right w:val="none" w:sz="0" w:space="0" w:color="auto"/>
                      </w:divBdr>
                    </w:div>
                    <w:div w:id="537357561">
                      <w:marLeft w:val="0"/>
                      <w:marRight w:val="0"/>
                      <w:marTop w:val="0"/>
                      <w:marBottom w:val="0"/>
                      <w:divBdr>
                        <w:top w:val="none" w:sz="0" w:space="0" w:color="auto"/>
                        <w:left w:val="none" w:sz="0" w:space="0" w:color="auto"/>
                        <w:bottom w:val="none" w:sz="0" w:space="0" w:color="auto"/>
                        <w:right w:val="none" w:sz="0" w:space="0" w:color="auto"/>
                      </w:divBdr>
                    </w:div>
                    <w:div w:id="86378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830548">
                      <w:marLeft w:val="0"/>
                      <w:marRight w:val="0"/>
                      <w:marTop w:val="0"/>
                      <w:marBottom w:val="0"/>
                      <w:divBdr>
                        <w:top w:val="none" w:sz="0" w:space="0" w:color="auto"/>
                        <w:left w:val="none" w:sz="0" w:space="0" w:color="auto"/>
                        <w:bottom w:val="none" w:sz="0" w:space="0" w:color="auto"/>
                        <w:right w:val="none" w:sz="0" w:space="0" w:color="auto"/>
                      </w:divBdr>
                    </w:div>
                    <w:div w:id="2099911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7903847">
      <w:bodyDiv w:val="1"/>
      <w:marLeft w:val="0"/>
      <w:marRight w:val="0"/>
      <w:marTop w:val="0"/>
      <w:marBottom w:val="0"/>
      <w:divBdr>
        <w:top w:val="none" w:sz="0" w:space="0" w:color="auto"/>
        <w:left w:val="none" w:sz="0" w:space="0" w:color="auto"/>
        <w:bottom w:val="none" w:sz="0" w:space="0" w:color="auto"/>
        <w:right w:val="none" w:sz="0" w:space="0" w:color="auto"/>
      </w:divBdr>
      <w:divsChild>
        <w:div w:id="1010525613">
          <w:marLeft w:val="0"/>
          <w:marRight w:val="0"/>
          <w:marTop w:val="0"/>
          <w:marBottom w:val="0"/>
          <w:divBdr>
            <w:top w:val="none" w:sz="0" w:space="0" w:color="auto"/>
            <w:left w:val="single" w:sz="6" w:space="0" w:color="BBBBBB"/>
            <w:bottom w:val="single" w:sz="6" w:space="0" w:color="BBBBBB"/>
            <w:right w:val="single" w:sz="6" w:space="0" w:color="BBBBBB"/>
          </w:divBdr>
          <w:divsChild>
            <w:div w:id="1533415096">
              <w:marLeft w:val="0"/>
              <w:marRight w:val="0"/>
              <w:marTop w:val="0"/>
              <w:marBottom w:val="0"/>
              <w:divBdr>
                <w:top w:val="none" w:sz="0" w:space="0" w:color="auto"/>
                <w:left w:val="none" w:sz="0" w:space="0" w:color="auto"/>
                <w:bottom w:val="none" w:sz="0" w:space="0" w:color="auto"/>
                <w:right w:val="none" w:sz="0" w:space="0" w:color="auto"/>
              </w:divBdr>
              <w:divsChild>
                <w:div w:id="383141462">
                  <w:marLeft w:val="0"/>
                  <w:marRight w:val="0"/>
                  <w:marTop w:val="75"/>
                  <w:marBottom w:val="0"/>
                  <w:divBdr>
                    <w:top w:val="none" w:sz="0" w:space="0" w:color="auto"/>
                    <w:left w:val="none" w:sz="0" w:space="0" w:color="auto"/>
                    <w:bottom w:val="none" w:sz="0" w:space="0" w:color="auto"/>
                    <w:right w:val="none" w:sz="0" w:space="0" w:color="auto"/>
                  </w:divBdr>
                  <w:divsChild>
                    <w:div w:id="1457062736">
                      <w:marLeft w:val="0"/>
                      <w:marRight w:val="0"/>
                      <w:marTop w:val="0"/>
                      <w:marBottom w:val="0"/>
                      <w:divBdr>
                        <w:top w:val="none" w:sz="0" w:space="0" w:color="auto"/>
                        <w:left w:val="none" w:sz="0" w:space="0" w:color="auto"/>
                        <w:bottom w:val="none" w:sz="0" w:space="0" w:color="auto"/>
                        <w:right w:val="none" w:sz="0" w:space="0" w:color="auto"/>
                      </w:divBdr>
                      <w:divsChild>
                        <w:div w:id="1276017678">
                          <w:marLeft w:val="0"/>
                          <w:marRight w:val="0"/>
                          <w:marTop w:val="0"/>
                          <w:marBottom w:val="0"/>
                          <w:divBdr>
                            <w:top w:val="none" w:sz="0" w:space="0" w:color="auto"/>
                            <w:left w:val="none" w:sz="0" w:space="0" w:color="auto"/>
                            <w:bottom w:val="none" w:sz="0" w:space="0" w:color="auto"/>
                            <w:right w:val="none" w:sz="0" w:space="0" w:color="auto"/>
                          </w:divBdr>
                          <w:divsChild>
                            <w:div w:id="229198341">
                              <w:marLeft w:val="0"/>
                              <w:marRight w:val="0"/>
                              <w:marTop w:val="0"/>
                              <w:marBottom w:val="0"/>
                              <w:divBdr>
                                <w:top w:val="none" w:sz="0" w:space="0" w:color="auto"/>
                                <w:left w:val="none" w:sz="0" w:space="0" w:color="auto"/>
                                <w:bottom w:val="none" w:sz="0" w:space="0" w:color="auto"/>
                                <w:right w:val="none" w:sz="0" w:space="0" w:color="auto"/>
                              </w:divBdr>
                              <w:divsChild>
                                <w:div w:id="144972629">
                                  <w:marLeft w:val="0"/>
                                  <w:marRight w:val="0"/>
                                  <w:marTop w:val="0"/>
                                  <w:marBottom w:val="0"/>
                                  <w:divBdr>
                                    <w:top w:val="none" w:sz="0" w:space="0" w:color="auto"/>
                                    <w:left w:val="none" w:sz="0" w:space="0" w:color="auto"/>
                                    <w:bottom w:val="none" w:sz="0" w:space="0" w:color="auto"/>
                                    <w:right w:val="none" w:sz="0" w:space="0" w:color="auto"/>
                                  </w:divBdr>
                                  <w:divsChild>
                                    <w:div w:id="1127814125">
                                      <w:marLeft w:val="0"/>
                                      <w:marRight w:val="0"/>
                                      <w:marTop w:val="0"/>
                                      <w:marBottom w:val="0"/>
                                      <w:divBdr>
                                        <w:top w:val="none" w:sz="0" w:space="0" w:color="auto"/>
                                        <w:left w:val="none" w:sz="0" w:space="0" w:color="auto"/>
                                        <w:bottom w:val="none" w:sz="0" w:space="0" w:color="auto"/>
                                        <w:right w:val="none" w:sz="0" w:space="0" w:color="auto"/>
                                      </w:divBdr>
                                      <w:divsChild>
                                        <w:div w:id="975257933">
                                          <w:marLeft w:val="1200"/>
                                          <w:marRight w:val="1200"/>
                                          <w:marTop w:val="0"/>
                                          <w:marBottom w:val="0"/>
                                          <w:divBdr>
                                            <w:top w:val="none" w:sz="0" w:space="0" w:color="auto"/>
                                            <w:left w:val="none" w:sz="0" w:space="0" w:color="auto"/>
                                            <w:bottom w:val="none" w:sz="0" w:space="0" w:color="auto"/>
                                            <w:right w:val="none" w:sz="0" w:space="0" w:color="auto"/>
                                          </w:divBdr>
                                          <w:divsChild>
                                            <w:div w:id="761298134">
                                              <w:marLeft w:val="0"/>
                                              <w:marRight w:val="0"/>
                                              <w:marTop w:val="0"/>
                                              <w:marBottom w:val="0"/>
                                              <w:divBdr>
                                                <w:top w:val="none" w:sz="0" w:space="0" w:color="auto"/>
                                                <w:left w:val="none" w:sz="0" w:space="0" w:color="auto"/>
                                                <w:bottom w:val="none" w:sz="0" w:space="0" w:color="auto"/>
                                                <w:right w:val="none" w:sz="0" w:space="0" w:color="auto"/>
                                              </w:divBdr>
                                              <w:divsChild>
                                                <w:div w:id="1479151181">
                                                  <w:marLeft w:val="0"/>
                                                  <w:marRight w:val="0"/>
                                                  <w:marTop w:val="0"/>
                                                  <w:marBottom w:val="0"/>
                                                  <w:divBdr>
                                                    <w:top w:val="none" w:sz="0" w:space="0" w:color="auto"/>
                                                    <w:left w:val="none" w:sz="0" w:space="0" w:color="auto"/>
                                                    <w:bottom w:val="none" w:sz="0" w:space="0" w:color="auto"/>
                                                    <w:right w:val="none" w:sz="0" w:space="0" w:color="auto"/>
                                                  </w:divBdr>
                                                  <w:divsChild>
                                                    <w:div w:id="895287835">
                                                      <w:marLeft w:val="0"/>
                                                      <w:marRight w:val="0"/>
                                                      <w:marTop w:val="0"/>
                                                      <w:marBottom w:val="0"/>
                                                      <w:divBdr>
                                                        <w:top w:val="none" w:sz="0" w:space="0" w:color="auto"/>
                                                        <w:left w:val="none" w:sz="0" w:space="0" w:color="auto"/>
                                                        <w:bottom w:val="none" w:sz="0" w:space="0" w:color="auto"/>
                                                        <w:right w:val="none" w:sz="0" w:space="0" w:color="auto"/>
                                                      </w:divBdr>
                                                      <w:divsChild>
                                                        <w:div w:id="1405301838">
                                                          <w:marLeft w:val="0"/>
                                                          <w:marRight w:val="0"/>
                                                          <w:marTop w:val="0"/>
                                                          <w:marBottom w:val="0"/>
                                                          <w:divBdr>
                                                            <w:top w:val="none" w:sz="0" w:space="0" w:color="auto"/>
                                                            <w:left w:val="none" w:sz="0" w:space="0" w:color="auto"/>
                                                            <w:bottom w:val="none" w:sz="0" w:space="0" w:color="auto"/>
                                                            <w:right w:val="none" w:sz="0" w:space="0" w:color="auto"/>
                                                          </w:divBdr>
                                                          <w:divsChild>
                                                            <w:div w:id="938490159">
                                                              <w:marLeft w:val="0"/>
                                                              <w:marRight w:val="0"/>
                                                              <w:marTop w:val="0"/>
                                                              <w:marBottom w:val="0"/>
                                                              <w:divBdr>
                                                                <w:top w:val="none" w:sz="0" w:space="0" w:color="auto"/>
                                                                <w:left w:val="none" w:sz="0" w:space="0" w:color="auto"/>
                                                                <w:bottom w:val="none" w:sz="0" w:space="0" w:color="auto"/>
                                                                <w:right w:val="none" w:sz="0" w:space="0" w:color="auto"/>
                                                              </w:divBdr>
                                                              <w:divsChild>
                                                                <w:div w:id="913661129">
                                                                  <w:marLeft w:val="0"/>
                                                                  <w:marRight w:val="0"/>
                                                                  <w:marTop w:val="0"/>
                                                                  <w:marBottom w:val="0"/>
                                                                  <w:divBdr>
                                                                    <w:top w:val="none" w:sz="0" w:space="0" w:color="auto"/>
                                                                    <w:left w:val="none" w:sz="0" w:space="0" w:color="auto"/>
                                                                    <w:bottom w:val="none" w:sz="0" w:space="0" w:color="auto"/>
                                                                    <w:right w:val="none" w:sz="0" w:space="0" w:color="auto"/>
                                                                  </w:divBdr>
                                                                  <w:divsChild>
                                                                    <w:div w:id="471866384">
                                                                      <w:marLeft w:val="0"/>
                                                                      <w:marRight w:val="0"/>
                                                                      <w:marTop w:val="0"/>
                                                                      <w:marBottom w:val="0"/>
                                                                      <w:divBdr>
                                                                        <w:top w:val="none" w:sz="0" w:space="0" w:color="auto"/>
                                                                        <w:left w:val="none" w:sz="0" w:space="0" w:color="auto"/>
                                                                        <w:bottom w:val="none" w:sz="0" w:space="0" w:color="auto"/>
                                                                        <w:right w:val="none" w:sz="0" w:space="0" w:color="auto"/>
                                                                      </w:divBdr>
                                                                      <w:divsChild>
                                                                        <w:div w:id="1048652520">
                                                                          <w:marLeft w:val="0"/>
                                                                          <w:marRight w:val="0"/>
                                                                          <w:marTop w:val="0"/>
                                                                          <w:marBottom w:val="0"/>
                                                                          <w:divBdr>
                                                                            <w:top w:val="none" w:sz="0" w:space="0" w:color="auto"/>
                                                                            <w:left w:val="none" w:sz="0" w:space="0" w:color="auto"/>
                                                                            <w:bottom w:val="none" w:sz="0" w:space="0" w:color="auto"/>
                                                                            <w:right w:val="none" w:sz="0" w:space="0" w:color="auto"/>
                                                                          </w:divBdr>
                                                                        </w:div>
                                                                      </w:divsChild>
                                                                    </w:div>
                                                                    <w:div w:id="501895338">
                                                                      <w:marLeft w:val="0"/>
                                                                      <w:marRight w:val="0"/>
                                                                      <w:marTop w:val="0"/>
                                                                      <w:marBottom w:val="0"/>
                                                                      <w:divBdr>
                                                                        <w:top w:val="none" w:sz="0" w:space="0" w:color="auto"/>
                                                                        <w:left w:val="none" w:sz="0" w:space="0" w:color="auto"/>
                                                                        <w:bottom w:val="none" w:sz="0" w:space="0" w:color="auto"/>
                                                                        <w:right w:val="none" w:sz="0" w:space="0" w:color="auto"/>
                                                                      </w:divBdr>
                                                                      <w:divsChild>
                                                                        <w:div w:id="63513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068177">
      <w:bodyDiv w:val="1"/>
      <w:marLeft w:val="0"/>
      <w:marRight w:val="0"/>
      <w:marTop w:val="0"/>
      <w:marBottom w:val="0"/>
      <w:divBdr>
        <w:top w:val="none" w:sz="0" w:space="0" w:color="auto"/>
        <w:left w:val="none" w:sz="0" w:space="0" w:color="auto"/>
        <w:bottom w:val="none" w:sz="0" w:space="0" w:color="auto"/>
        <w:right w:val="none" w:sz="0" w:space="0" w:color="auto"/>
      </w:divBdr>
      <w:divsChild>
        <w:div w:id="654265956">
          <w:marLeft w:val="0"/>
          <w:marRight w:val="0"/>
          <w:marTop w:val="240"/>
          <w:marBottom w:val="0"/>
          <w:divBdr>
            <w:top w:val="none" w:sz="0" w:space="0" w:color="auto"/>
            <w:left w:val="none" w:sz="0" w:space="0" w:color="auto"/>
            <w:bottom w:val="none" w:sz="0" w:space="0" w:color="auto"/>
            <w:right w:val="none" w:sz="0" w:space="0" w:color="auto"/>
          </w:divBdr>
          <w:divsChild>
            <w:div w:id="517935783">
              <w:marLeft w:val="0"/>
              <w:marRight w:val="0"/>
              <w:marTop w:val="0"/>
              <w:marBottom w:val="0"/>
              <w:divBdr>
                <w:top w:val="none" w:sz="0" w:space="0" w:color="auto"/>
                <w:left w:val="none" w:sz="0" w:space="0" w:color="auto"/>
                <w:bottom w:val="none" w:sz="0" w:space="0" w:color="auto"/>
                <w:right w:val="none" w:sz="0" w:space="0" w:color="auto"/>
              </w:divBdr>
            </w:div>
          </w:divsChild>
        </w:div>
        <w:div w:id="1017779170">
          <w:marLeft w:val="0"/>
          <w:marRight w:val="0"/>
          <w:marTop w:val="240"/>
          <w:marBottom w:val="0"/>
          <w:divBdr>
            <w:top w:val="none" w:sz="0" w:space="0" w:color="auto"/>
            <w:left w:val="none" w:sz="0" w:space="0" w:color="auto"/>
            <w:bottom w:val="none" w:sz="0" w:space="0" w:color="auto"/>
            <w:right w:val="none" w:sz="0" w:space="0" w:color="auto"/>
          </w:divBdr>
          <w:divsChild>
            <w:div w:id="20699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4461">
      <w:bodyDiv w:val="1"/>
      <w:marLeft w:val="0"/>
      <w:marRight w:val="0"/>
      <w:marTop w:val="0"/>
      <w:marBottom w:val="0"/>
      <w:divBdr>
        <w:top w:val="none" w:sz="0" w:space="0" w:color="auto"/>
        <w:left w:val="none" w:sz="0" w:space="0" w:color="auto"/>
        <w:bottom w:val="none" w:sz="0" w:space="0" w:color="auto"/>
        <w:right w:val="none" w:sz="0" w:space="0" w:color="auto"/>
      </w:divBdr>
      <w:divsChild>
        <w:div w:id="218250460">
          <w:marLeft w:val="0"/>
          <w:marRight w:val="0"/>
          <w:marTop w:val="0"/>
          <w:marBottom w:val="0"/>
          <w:divBdr>
            <w:top w:val="none" w:sz="0" w:space="0" w:color="auto"/>
            <w:left w:val="none" w:sz="0" w:space="0" w:color="auto"/>
            <w:bottom w:val="none" w:sz="0" w:space="0" w:color="auto"/>
            <w:right w:val="none" w:sz="0" w:space="0" w:color="auto"/>
          </w:divBdr>
          <w:divsChild>
            <w:div w:id="1594900551">
              <w:marLeft w:val="0"/>
              <w:marRight w:val="0"/>
              <w:marTop w:val="0"/>
              <w:marBottom w:val="0"/>
              <w:divBdr>
                <w:top w:val="none" w:sz="0" w:space="0" w:color="auto"/>
                <w:left w:val="none" w:sz="0" w:space="0" w:color="auto"/>
                <w:bottom w:val="none" w:sz="0" w:space="0" w:color="auto"/>
                <w:right w:val="none" w:sz="0" w:space="0" w:color="auto"/>
              </w:divBdr>
              <w:divsChild>
                <w:div w:id="553544884">
                  <w:marLeft w:val="0"/>
                  <w:marRight w:val="0"/>
                  <w:marTop w:val="0"/>
                  <w:marBottom w:val="0"/>
                  <w:divBdr>
                    <w:top w:val="none" w:sz="0" w:space="0" w:color="auto"/>
                    <w:left w:val="none" w:sz="0" w:space="0" w:color="auto"/>
                    <w:bottom w:val="none" w:sz="0" w:space="0" w:color="auto"/>
                    <w:right w:val="none" w:sz="0" w:space="0" w:color="auto"/>
                  </w:divBdr>
                  <w:divsChild>
                    <w:div w:id="1626428102">
                      <w:marLeft w:val="0"/>
                      <w:marRight w:val="0"/>
                      <w:marTop w:val="0"/>
                      <w:marBottom w:val="0"/>
                      <w:divBdr>
                        <w:top w:val="none" w:sz="0" w:space="0" w:color="auto"/>
                        <w:left w:val="none" w:sz="0" w:space="0" w:color="auto"/>
                        <w:bottom w:val="none" w:sz="0" w:space="0" w:color="auto"/>
                        <w:right w:val="none" w:sz="0" w:space="0" w:color="auto"/>
                      </w:divBdr>
                      <w:divsChild>
                        <w:div w:id="1106998323">
                          <w:marLeft w:val="0"/>
                          <w:marRight w:val="0"/>
                          <w:marTop w:val="0"/>
                          <w:marBottom w:val="0"/>
                          <w:divBdr>
                            <w:top w:val="none" w:sz="0" w:space="0" w:color="auto"/>
                            <w:left w:val="none" w:sz="0" w:space="0" w:color="auto"/>
                            <w:bottom w:val="none" w:sz="0" w:space="0" w:color="auto"/>
                            <w:right w:val="none" w:sz="0" w:space="0" w:color="auto"/>
                          </w:divBdr>
                          <w:divsChild>
                            <w:div w:id="341860420">
                              <w:marLeft w:val="0"/>
                              <w:marRight w:val="0"/>
                              <w:marTop w:val="0"/>
                              <w:marBottom w:val="0"/>
                              <w:divBdr>
                                <w:top w:val="none" w:sz="0" w:space="0" w:color="auto"/>
                                <w:left w:val="none" w:sz="0" w:space="0" w:color="auto"/>
                                <w:bottom w:val="none" w:sz="0" w:space="0" w:color="auto"/>
                                <w:right w:val="none" w:sz="0" w:space="0" w:color="auto"/>
                              </w:divBdr>
                              <w:divsChild>
                                <w:div w:id="68760795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523120">
      <w:bodyDiv w:val="1"/>
      <w:marLeft w:val="0"/>
      <w:marRight w:val="0"/>
      <w:marTop w:val="0"/>
      <w:marBottom w:val="0"/>
      <w:divBdr>
        <w:top w:val="none" w:sz="0" w:space="0" w:color="auto"/>
        <w:left w:val="none" w:sz="0" w:space="0" w:color="auto"/>
        <w:bottom w:val="none" w:sz="0" w:space="0" w:color="auto"/>
        <w:right w:val="none" w:sz="0" w:space="0" w:color="auto"/>
      </w:divBdr>
      <w:divsChild>
        <w:div w:id="1888180215">
          <w:marLeft w:val="0"/>
          <w:marRight w:val="0"/>
          <w:marTop w:val="0"/>
          <w:marBottom w:val="0"/>
          <w:divBdr>
            <w:top w:val="none" w:sz="0" w:space="0" w:color="auto"/>
            <w:left w:val="none" w:sz="0" w:space="0" w:color="auto"/>
            <w:bottom w:val="none" w:sz="0" w:space="0" w:color="auto"/>
            <w:right w:val="none" w:sz="0" w:space="0" w:color="auto"/>
          </w:divBdr>
          <w:divsChild>
            <w:div w:id="1020812638">
              <w:marLeft w:val="0"/>
              <w:marRight w:val="0"/>
              <w:marTop w:val="0"/>
              <w:marBottom w:val="0"/>
              <w:divBdr>
                <w:top w:val="none" w:sz="0" w:space="0" w:color="auto"/>
                <w:left w:val="none" w:sz="0" w:space="0" w:color="auto"/>
                <w:bottom w:val="none" w:sz="0" w:space="0" w:color="auto"/>
                <w:right w:val="none" w:sz="0" w:space="0" w:color="auto"/>
              </w:divBdr>
              <w:divsChild>
                <w:div w:id="2040465890">
                  <w:marLeft w:val="0"/>
                  <w:marRight w:val="0"/>
                  <w:marTop w:val="0"/>
                  <w:marBottom w:val="0"/>
                  <w:divBdr>
                    <w:top w:val="none" w:sz="0" w:space="0" w:color="auto"/>
                    <w:left w:val="none" w:sz="0" w:space="0" w:color="auto"/>
                    <w:bottom w:val="none" w:sz="0" w:space="0" w:color="auto"/>
                    <w:right w:val="none" w:sz="0" w:space="0" w:color="auto"/>
                  </w:divBdr>
                  <w:divsChild>
                    <w:div w:id="130635715">
                      <w:marLeft w:val="0"/>
                      <w:marRight w:val="0"/>
                      <w:marTop w:val="0"/>
                      <w:marBottom w:val="375"/>
                      <w:divBdr>
                        <w:top w:val="none" w:sz="0" w:space="0" w:color="auto"/>
                        <w:left w:val="none" w:sz="0" w:space="0" w:color="auto"/>
                        <w:bottom w:val="none" w:sz="0" w:space="0" w:color="auto"/>
                        <w:right w:val="none" w:sz="0" w:space="0" w:color="auto"/>
                      </w:divBdr>
                      <w:divsChild>
                        <w:div w:id="1123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954166">
      <w:bodyDiv w:val="1"/>
      <w:marLeft w:val="0"/>
      <w:marRight w:val="0"/>
      <w:marTop w:val="0"/>
      <w:marBottom w:val="0"/>
      <w:divBdr>
        <w:top w:val="none" w:sz="0" w:space="0" w:color="auto"/>
        <w:left w:val="none" w:sz="0" w:space="0" w:color="auto"/>
        <w:bottom w:val="none" w:sz="0" w:space="0" w:color="auto"/>
        <w:right w:val="none" w:sz="0" w:space="0" w:color="auto"/>
      </w:divBdr>
      <w:divsChild>
        <w:div w:id="1734740264">
          <w:marLeft w:val="0"/>
          <w:marRight w:val="0"/>
          <w:marTop w:val="0"/>
          <w:marBottom w:val="0"/>
          <w:divBdr>
            <w:top w:val="none" w:sz="0" w:space="0" w:color="auto"/>
            <w:left w:val="none" w:sz="0" w:space="0" w:color="auto"/>
            <w:bottom w:val="none" w:sz="0" w:space="0" w:color="auto"/>
            <w:right w:val="none" w:sz="0" w:space="0" w:color="auto"/>
          </w:divBdr>
          <w:divsChild>
            <w:div w:id="1067068195">
              <w:marLeft w:val="0"/>
              <w:marRight w:val="0"/>
              <w:marTop w:val="0"/>
              <w:marBottom w:val="0"/>
              <w:divBdr>
                <w:top w:val="none" w:sz="0" w:space="0" w:color="auto"/>
                <w:left w:val="none" w:sz="0" w:space="0" w:color="auto"/>
                <w:bottom w:val="none" w:sz="0" w:space="0" w:color="auto"/>
                <w:right w:val="none" w:sz="0" w:space="0" w:color="auto"/>
              </w:divBdr>
              <w:divsChild>
                <w:div w:id="2005472376">
                  <w:marLeft w:val="0"/>
                  <w:marRight w:val="0"/>
                  <w:marTop w:val="0"/>
                  <w:marBottom w:val="0"/>
                  <w:divBdr>
                    <w:top w:val="none" w:sz="0" w:space="0" w:color="auto"/>
                    <w:left w:val="none" w:sz="0" w:space="0" w:color="auto"/>
                    <w:bottom w:val="none" w:sz="0" w:space="0" w:color="auto"/>
                    <w:right w:val="none" w:sz="0" w:space="0" w:color="auto"/>
                  </w:divBdr>
                  <w:divsChild>
                    <w:div w:id="485826682">
                      <w:marLeft w:val="0"/>
                      <w:marRight w:val="0"/>
                      <w:marTop w:val="0"/>
                      <w:marBottom w:val="300"/>
                      <w:divBdr>
                        <w:top w:val="none" w:sz="0" w:space="0" w:color="auto"/>
                        <w:left w:val="none" w:sz="0" w:space="0" w:color="auto"/>
                        <w:bottom w:val="none" w:sz="0" w:space="0" w:color="auto"/>
                        <w:right w:val="none" w:sz="0" w:space="0" w:color="auto"/>
                      </w:divBdr>
                      <w:divsChild>
                        <w:div w:id="4431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5637">
      <w:bodyDiv w:val="1"/>
      <w:marLeft w:val="0"/>
      <w:marRight w:val="0"/>
      <w:marTop w:val="0"/>
      <w:marBottom w:val="0"/>
      <w:divBdr>
        <w:top w:val="none" w:sz="0" w:space="0" w:color="auto"/>
        <w:left w:val="none" w:sz="0" w:space="0" w:color="auto"/>
        <w:bottom w:val="none" w:sz="0" w:space="0" w:color="auto"/>
        <w:right w:val="none" w:sz="0" w:space="0" w:color="auto"/>
      </w:divBdr>
      <w:divsChild>
        <w:div w:id="759638608">
          <w:marLeft w:val="0"/>
          <w:marRight w:val="0"/>
          <w:marTop w:val="240"/>
          <w:marBottom w:val="0"/>
          <w:divBdr>
            <w:top w:val="none" w:sz="0" w:space="0" w:color="auto"/>
            <w:left w:val="none" w:sz="0" w:space="0" w:color="auto"/>
            <w:bottom w:val="none" w:sz="0" w:space="0" w:color="auto"/>
            <w:right w:val="none" w:sz="0" w:space="0" w:color="auto"/>
          </w:divBdr>
          <w:divsChild>
            <w:div w:id="83842644">
              <w:marLeft w:val="0"/>
              <w:marRight w:val="0"/>
              <w:marTop w:val="0"/>
              <w:marBottom w:val="0"/>
              <w:divBdr>
                <w:top w:val="none" w:sz="0" w:space="0" w:color="auto"/>
                <w:left w:val="none" w:sz="0" w:space="0" w:color="auto"/>
                <w:bottom w:val="none" w:sz="0" w:space="0" w:color="auto"/>
                <w:right w:val="none" w:sz="0" w:space="0" w:color="auto"/>
              </w:divBdr>
            </w:div>
            <w:div w:id="1467090372">
              <w:marLeft w:val="0"/>
              <w:marRight w:val="0"/>
              <w:marTop w:val="240"/>
              <w:marBottom w:val="0"/>
              <w:divBdr>
                <w:top w:val="none" w:sz="0" w:space="0" w:color="auto"/>
                <w:left w:val="none" w:sz="0" w:space="0" w:color="auto"/>
                <w:bottom w:val="none" w:sz="0" w:space="0" w:color="auto"/>
                <w:right w:val="none" w:sz="0" w:space="0" w:color="auto"/>
              </w:divBdr>
            </w:div>
            <w:div w:id="1564411750">
              <w:marLeft w:val="0"/>
              <w:marRight w:val="0"/>
              <w:marTop w:val="240"/>
              <w:marBottom w:val="0"/>
              <w:divBdr>
                <w:top w:val="none" w:sz="0" w:space="0" w:color="auto"/>
                <w:left w:val="none" w:sz="0" w:space="0" w:color="auto"/>
                <w:bottom w:val="none" w:sz="0" w:space="0" w:color="auto"/>
                <w:right w:val="none" w:sz="0" w:space="0" w:color="auto"/>
              </w:divBdr>
              <w:divsChild>
                <w:div w:id="822546559">
                  <w:marLeft w:val="0"/>
                  <w:marRight w:val="0"/>
                  <w:marTop w:val="0"/>
                  <w:marBottom w:val="0"/>
                  <w:divBdr>
                    <w:top w:val="none" w:sz="0" w:space="0" w:color="auto"/>
                    <w:left w:val="none" w:sz="0" w:space="0" w:color="auto"/>
                    <w:bottom w:val="none" w:sz="0" w:space="0" w:color="auto"/>
                    <w:right w:val="none" w:sz="0" w:space="0" w:color="auto"/>
                  </w:divBdr>
                  <w:divsChild>
                    <w:div w:id="256015443">
                      <w:blockQuote w:val="1"/>
                      <w:marLeft w:val="0"/>
                      <w:marRight w:val="0"/>
                      <w:marTop w:val="0"/>
                      <w:marBottom w:val="0"/>
                      <w:divBdr>
                        <w:top w:val="none" w:sz="0" w:space="0" w:color="auto"/>
                        <w:left w:val="none" w:sz="0" w:space="0" w:color="auto"/>
                        <w:bottom w:val="none" w:sz="0" w:space="0" w:color="auto"/>
                        <w:right w:val="none" w:sz="0" w:space="0" w:color="auto"/>
                      </w:divBdr>
                      <w:divsChild>
                        <w:div w:id="1114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2606">
          <w:marLeft w:val="0"/>
          <w:marRight w:val="0"/>
          <w:marTop w:val="240"/>
          <w:marBottom w:val="0"/>
          <w:divBdr>
            <w:top w:val="none" w:sz="0" w:space="0" w:color="auto"/>
            <w:left w:val="none" w:sz="0" w:space="0" w:color="auto"/>
            <w:bottom w:val="none" w:sz="0" w:space="0" w:color="auto"/>
            <w:right w:val="none" w:sz="0" w:space="0" w:color="auto"/>
          </w:divBdr>
          <w:divsChild>
            <w:div w:id="249655528">
              <w:marLeft w:val="0"/>
              <w:marRight w:val="0"/>
              <w:marTop w:val="240"/>
              <w:marBottom w:val="0"/>
              <w:divBdr>
                <w:top w:val="none" w:sz="0" w:space="0" w:color="auto"/>
                <w:left w:val="none" w:sz="0" w:space="0" w:color="auto"/>
                <w:bottom w:val="none" w:sz="0" w:space="0" w:color="auto"/>
                <w:right w:val="none" w:sz="0" w:space="0" w:color="auto"/>
              </w:divBdr>
              <w:divsChild>
                <w:div w:id="1876886205">
                  <w:marLeft w:val="0"/>
                  <w:marRight w:val="0"/>
                  <w:marTop w:val="0"/>
                  <w:marBottom w:val="0"/>
                  <w:divBdr>
                    <w:top w:val="none" w:sz="0" w:space="0" w:color="auto"/>
                    <w:left w:val="none" w:sz="0" w:space="0" w:color="auto"/>
                    <w:bottom w:val="none" w:sz="0" w:space="0" w:color="auto"/>
                    <w:right w:val="none" w:sz="0" w:space="0" w:color="auto"/>
                  </w:divBdr>
                  <w:divsChild>
                    <w:div w:id="1651129985">
                      <w:blockQuote w:val="1"/>
                      <w:marLeft w:val="0"/>
                      <w:marRight w:val="0"/>
                      <w:marTop w:val="0"/>
                      <w:marBottom w:val="0"/>
                      <w:divBdr>
                        <w:top w:val="none" w:sz="0" w:space="0" w:color="auto"/>
                        <w:left w:val="none" w:sz="0" w:space="0" w:color="auto"/>
                        <w:bottom w:val="none" w:sz="0" w:space="0" w:color="auto"/>
                        <w:right w:val="none" w:sz="0" w:space="0" w:color="auto"/>
                      </w:divBdr>
                      <w:divsChild>
                        <w:div w:id="91941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72729">
              <w:marLeft w:val="0"/>
              <w:marRight w:val="0"/>
              <w:marTop w:val="240"/>
              <w:marBottom w:val="0"/>
              <w:divBdr>
                <w:top w:val="none" w:sz="0" w:space="0" w:color="auto"/>
                <w:left w:val="none" w:sz="0" w:space="0" w:color="auto"/>
                <w:bottom w:val="none" w:sz="0" w:space="0" w:color="auto"/>
                <w:right w:val="none" w:sz="0" w:space="0" w:color="auto"/>
              </w:divBdr>
            </w:div>
            <w:div w:id="514541639">
              <w:marLeft w:val="0"/>
              <w:marRight w:val="0"/>
              <w:marTop w:val="240"/>
              <w:marBottom w:val="0"/>
              <w:divBdr>
                <w:top w:val="none" w:sz="0" w:space="0" w:color="auto"/>
                <w:left w:val="none" w:sz="0" w:space="0" w:color="auto"/>
                <w:bottom w:val="none" w:sz="0" w:space="0" w:color="auto"/>
                <w:right w:val="none" w:sz="0" w:space="0" w:color="auto"/>
              </w:divBdr>
            </w:div>
            <w:div w:id="540478048">
              <w:marLeft w:val="0"/>
              <w:marRight w:val="0"/>
              <w:marTop w:val="240"/>
              <w:marBottom w:val="0"/>
              <w:divBdr>
                <w:top w:val="none" w:sz="0" w:space="0" w:color="auto"/>
                <w:left w:val="none" w:sz="0" w:space="0" w:color="auto"/>
                <w:bottom w:val="none" w:sz="0" w:space="0" w:color="auto"/>
                <w:right w:val="none" w:sz="0" w:space="0" w:color="auto"/>
              </w:divBdr>
              <w:divsChild>
                <w:div w:id="804665759">
                  <w:marLeft w:val="0"/>
                  <w:marRight w:val="0"/>
                  <w:marTop w:val="0"/>
                  <w:marBottom w:val="0"/>
                  <w:divBdr>
                    <w:top w:val="none" w:sz="0" w:space="0" w:color="auto"/>
                    <w:left w:val="none" w:sz="0" w:space="0" w:color="auto"/>
                    <w:bottom w:val="none" w:sz="0" w:space="0" w:color="auto"/>
                    <w:right w:val="none" w:sz="0" w:space="0" w:color="auto"/>
                  </w:divBdr>
                  <w:divsChild>
                    <w:div w:id="1014840632">
                      <w:blockQuote w:val="1"/>
                      <w:marLeft w:val="0"/>
                      <w:marRight w:val="0"/>
                      <w:marTop w:val="0"/>
                      <w:marBottom w:val="0"/>
                      <w:divBdr>
                        <w:top w:val="none" w:sz="0" w:space="0" w:color="auto"/>
                        <w:left w:val="none" w:sz="0" w:space="0" w:color="auto"/>
                        <w:bottom w:val="none" w:sz="0" w:space="0" w:color="auto"/>
                        <w:right w:val="none" w:sz="0" w:space="0" w:color="auto"/>
                      </w:divBdr>
                      <w:divsChild>
                        <w:div w:id="17066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89133">
              <w:marLeft w:val="0"/>
              <w:marRight w:val="0"/>
              <w:marTop w:val="0"/>
              <w:marBottom w:val="0"/>
              <w:divBdr>
                <w:top w:val="none" w:sz="0" w:space="0" w:color="auto"/>
                <w:left w:val="none" w:sz="0" w:space="0" w:color="auto"/>
                <w:bottom w:val="none" w:sz="0" w:space="0" w:color="auto"/>
                <w:right w:val="none" w:sz="0" w:space="0" w:color="auto"/>
              </w:divBdr>
            </w:div>
          </w:divsChild>
        </w:div>
        <w:div w:id="1353072535">
          <w:marLeft w:val="0"/>
          <w:marRight w:val="0"/>
          <w:marTop w:val="0"/>
          <w:marBottom w:val="0"/>
          <w:divBdr>
            <w:top w:val="none" w:sz="0" w:space="0" w:color="auto"/>
            <w:left w:val="none" w:sz="0" w:space="0" w:color="auto"/>
            <w:bottom w:val="none" w:sz="0" w:space="0" w:color="auto"/>
            <w:right w:val="none" w:sz="0" w:space="0" w:color="auto"/>
          </w:divBdr>
        </w:div>
        <w:div w:id="1502547827">
          <w:marLeft w:val="0"/>
          <w:marRight w:val="0"/>
          <w:marTop w:val="240"/>
          <w:marBottom w:val="0"/>
          <w:divBdr>
            <w:top w:val="none" w:sz="0" w:space="0" w:color="auto"/>
            <w:left w:val="none" w:sz="0" w:space="0" w:color="auto"/>
            <w:bottom w:val="none" w:sz="0" w:space="0" w:color="auto"/>
            <w:right w:val="none" w:sz="0" w:space="0" w:color="auto"/>
          </w:divBdr>
          <w:divsChild>
            <w:div w:id="13155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3206">
      <w:bodyDiv w:val="1"/>
      <w:marLeft w:val="0"/>
      <w:marRight w:val="0"/>
      <w:marTop w:val="0"/>
      <w:marBottom w:val="0"/>
      <w:divBdr>
        <w:top w:val="none" w:sz="0" w:space="0" w:color="auto"/>
        <w:left w:val="none" w:sz="0" w:space="0" w:color="auto"/>
        <w:bottom w:val="none" w:sz="0" w:space="0" w:color="auto"/>
        <w:right w:val="none" w:sz="0" w:space="0" w:color="auto"/>
      </w:divBdr>
      <w:divsChild>
        <w:div w:id="1614244387">
          <w:marLeft w:val="0"/>
          <w:marRight w:val="0"/>
          <w:marTop w:val="240"/>
          <w:marBottom w:val="0"/>
          <w:divBdr>
            <w:top w:val="none" w:sz="0" w:space="0" w:color="auto"/>
            <w:left w:val="none" w:sz="0" w:space="0" w:color="auto"/>
            <w:bottom w:val="none" w:sz="0" w:space="0" w:color="auto"/>
            <w:right w:val="none" w:sz="0" w:space="0" w:color="auto"/>
          </w:divBdr>
          <w:divsChild>
            <w:div w:id="1790584230">
              <w:marLeft w:val="0"/>
              <w:marRight w:val="0"/>
              <w:marTop w:val="0"/>
              <w:marBottom w:val="0"/>
              <w:divBdr>
                <w:top w:val="none" w:sz="0" w:space="0" w:color="auto"/>
                <w:left w:val="none" w:sz="0" w:space="0" w:color="auto"/>
                <w:bottom w:val="none" w:sz="0" w:space="0" w:color="auto"/>
                <w:right w:val="none" w:sz="0" w:space="0" w:color="auto"/>
              </w:divBdr>
            </w:div>
          </w:divsChild>
        </w:div>
        <w:div w:id="1240943760">
          <w:marLeft w:val="0"/>
          <w:marRight w:val="0"/>
          <w:marTop w:val="240"/>
          <w:marBottom w:val="0"/>
          <w:divBdr>
            <w:top w:val="none" w:sz="0" w:space="0" w:color="auto"/>
            <w:left w:val="none" w:sz="0" w:space="0" w:color="auto"/>
            <w:bottom w:val="none" w:sz="0" w:space="0" w:color="auto"/>
            <w:right w:val="none" w:sz="0" w:space="0" w:color="auto"/>
          </w:divBdr>
          <w:divsChild>
            <w:div w:id="1972006718">
              <w:marLeft w:val="0"/>
              <w:marRight w:val="0"/>
              <w:marTop w:val="0"/>
              <w:marBottom w:val="0"/>
              <w:divBdr>
                <w:top w:val="none" w:sz="0" w:space="0" w:color="auto"/>
                <w:left w:val="none" w:sz="0" w:space="0" w:color="auto"/>
                <w:bottom w:val="none" w:sz="0" w:space="0" w:color="auto"/>
                <w:right w:val="none" w:sz="0" w:space="0" w:color="auto"/>
              </w:divBdr>
            </w:div>
          </w:divsChild>
        </w:div>
        <w:div w:id="442578242">
          <w:marLeft w:val="0"/>
          <w:marRight w:val="0"/>
          <w:marTop w:val="240"/>
          <w:marBottom w:val="0"/>
          <w:divBdr>
            <w:top w:val="none" w:sz="0" w:space="0" w:color="auto"/>
            <w:left w:val="none" w:sz="0" w:space="0" w:color="auto"/>
            <w:bottom w:val="none" w:sz="0" w:space="0" w:color="auto"/>
            <w:right w:val="none" w:sz="0" w:space="0" w:color="auto"/>
          </w:divBdr>
          <w:divsChild>
            <w:div w:id="11982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sChild>
        <w:div w:id="1745837865">
          <w:marLeft w:val="0"/>
          <w:marRight w:val="0"/>
          <w:marTop w:val="0"/>
          <w:marBottom w:val="0"/>
          <w:divBdr>
            <w:top w:val="none" w:sz="0" w:space="0" w:color="auto"/>
            <w:left w:val="none" w:sz="0" w:space="0" w:color="auto"/>
            <w:bottom w:val="none" w:sz="0" w:space="0" w:color="auto"/>
            <w:right w:val="none" w:sz="0" w:space="0" w:color="auto"/>
          </w:divBdr>
          <w:divsChild>
            <w:div w:id="1931699867">
              <w:marLeft w:val="0"/>
              <w:marRight w:val="0"/>
              <w:marTop w:val="0"/>
              <w:marBottom w:val="0"/>
              <w:divBdr>
                <w:top w:val="none" w:sz="0" w:space="0" w:color="auto"/>
                <w:left w:val="none" w:sz="0" w:space="0" w:color="auto"/>
                <w:bottom w:val="none" w:sz="0" w:space="0" w:color="auto"/>
                <w:right w:val="none" w:sz="0" w:space="0" w:color="auto"/>
              </w:divBdr>
              <w:divsChild>
                <w:div w:id="1584486366">
                  <w:marLeft w:val="0"/>
                  <w:marRight w:val="0"/>
                  <w:marTop w:val="0"/>
                  <w:marBottom w:val="0"/>
                  <w:divBdr>
                    <w:top w:val="none" w:sz="0" w:space="0" w:color="auto"/>
                    <w:left w:val="none" w:sz="0" w:space="0" w:color="auto"/>
                    <w:bottom w:val="none" w:sz="0" w:space="0" w:color="auto"/>
                    <w:right w:val="none" w:sz="0" w:space="0" w:color="auto"/>
                  </w:divBdr>
                  <w:divsChild>
                    <w:div w:id="597643082">
                      <w:marLeft w:val="0"/>
                      <w:marRight w:val="0"/>
                      <w:marTop w:val="0"/>
                      <w:marBottom w:val="375"/>
                      <w:divBdr>
                        <w:top w:val="none" w:sz="0" w:space="0" w:color="auto"/>
                        <w:left w:val="none" w:sz="0" w:space="0" w:color="auto"/>
                        <w:bottom w:val="none" w:sz="0" w:space="0" w:color="auto"/>
                        <w:right w:val="none" w:sz="0" w:space="0" w:color="auto"/>
                      </w:divBdr>
                      <w:divsChild>
                        <w:div w:id="18679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594308">
      <w:bodyDiv w:val="1"/>
      <w:marLeft w:val="0"/>
      <w:marRight w:val="0"/>
      <w:marTop w:val="0"/>
      <w:marBottom w:val="0"/>
      <w:divBdr>
        <w:top w:val="none" w:sz="0" w:space="0" w:color="auto"/>
        <w:left w:val="none" w:sz="0" w:space="0" w:color="auto"/>
        <w:bottom w:val="none" w:sz="0" w:space="0" w:color="auto"/>
        <w:right w:val="none" w:sz="0" w:space="0" w:color="auto"/>
      </w:divBdr>
      <w:divsChild>
        <w:div w:id="519588831">
          <w:marLeft w:val="0"/>
          <w:marRight w:val="0"/>
          <w:marTop w:val="0"/>
          <w:marBottom w:val="0"/>
          <w:divBdr>
            <w:top w:val="none" w:sz="0" w:space="0" w:color="auto"/>
            <w:left w:val="none" w:sz="0" w:space="0" w:color="auto"/>
            <w:bottom w:val="none" w:sz="0" w:space="0" w:color="auto"/>
            <w:right w:val="none" w:sz="0" w:space="0" w:color="auto"/>
          </w:divBdr>
        </w:div>
        <w:div w:id="695544302">
          <w:marLeft w:val="0"/>
          <w:marRight w:val="0"/>
          <w:marTop w:val="240"/>
          <w:marBottom w:val="0"/>
          <w:divBdr>
            <w:top w:val="none" w:sz="0" w:space="0" w:color="auto"/>
            <w:left w:val="none" w:sz="0" w:space="0" w:color="auto"/>
            <w:bottom w:val="none" w:sz="0" w:space="0" w:color="auto"/>
            <w:right w:val="none" w:sz="0" w:space="0" w:color="auto"/>
          </w:divBdr>
          <w:divsChild>
            <w:div w:id="30724943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96329047">
      <w:bodyDiv w:val="1"/>
      <w:marLeft w:val="0"/>
      <w:marRight w:val="0"/>
      <w:marTop w:val="0"/>
      <w:marBottom w:val="0"/>
      <w:divBdr>
        <w:top w:val="none" w:sz="0" w:space="0" w:color="auto"/>
        <w:left w:val="none" w:sz="0" w:space="0" w:color="auto"/>
        <w:bottom w:val="none" w:sz="0" w:space="0" w:color="auto"/>
        <w:right w:val="none" w:sz="0" w:space="0" w:color="auto"/>
      </w:divBdr>
    </w:div>
    <w:div w:id="1297641618">
      <w:bodyDiv w:val="1"/>
      <w:marLeft w:val="0"/>
      <w:marRight w:val="0"/>
      <w:marTop w:val="0"/>
      <w:marBottom w:val="0"/>
      <w:divBdr>
        <w:top w:val="none" w:sz="0" w:space="0" w:color="auto"/>
        <w:left w:val="none" w:sz="0" w:space="0" w:color="auto"/>
        <w:bottom w:val="none" w:sz="0" w:space="0" w:color="auto"/>
        <w:right w:val="none" w:sz="0" w:space="0" w:color="auto"/>
      </w:divBdr>
      <w:divsChild>
        <w:div w:id="978387600">
          <w:marLeft w:val="0"/>
          <w:marRight w:val="0"/>
          <w:marTop w:val="0"/>
          <w:marBottom w:val="0"/>
          <w:divBdr>
            <w:top w:val="none" w:sz="0" w:space="0" w:color="auto"/>
            <w:left w:val="none" w:sz="0" w:space="0" w:color="auto"/>
            <w:bottom w:val="none" w:sz="0" w:space="0" w:color="auto"/>
            <w:right w:val="none" w:sz="0" w:space="0" w:color="auto"/>
          </w:divBdr>
          <w:divsChild>
            <w:div w:id="574360331">
              <w:marLeft w:val="0"/>
              <w:marRight w:val="0"/>
              <w:marTop w:val="0"/>
              <w:marBottom w:val="0"/>
              <w:divBdr>
                <w:top w:val="none" w:sz="0" w:space="0" w:color="auto"/>
                <w:left w:val="none" w:sz="0" w:space="0" w:color="auto"/>
                <w:bottom w:val="none" w:sz="0" w:space="0" w:color="auto"/>
                <w:right w:val="none" w:sz="0" w:space="0" w:color="auto"/>
              </w:divBdr>
              <w:divsChild>
                <w:div w:id="835459752">
                  <w:marLeft w:val="0"/>
                  <w:marRight w:val="0"/>
                  <w:marTop w:val="0"/>
                  <w:marBottom w:val="0"/>
                  <w:divBdr>
                    <w:top w:val="none" w:sz="0" w:space="0" w:color="auto"/>
                    <w:left w:val="none" w:sz="0" w:space="0" w:color="auto"/>
                    <w:bottom w:val="none" w:sz="0" w:space="0" w:color="auto"/>
                    <w:right w:val="none" w:sz="0" w:space="0" w:color="auto"/>
                  </w:divBdr>
                  <w:divsChild>
                    <w:div w:id="631592694">
                      <w:marLeft w:val="0"/>
                      <w:marRight w:val="0"/>
                      <w:marTop w:val="0"/>
                      <w:marBottom w:val="300"/>
                      <w:divBdr>
                        <w:top w:val="none" w:sz="0" w:space="0" w:color="auto"/>
                        <w:left w:val="none" w:sz="0" w:space="0" w:color="auto"/>
                        <w:bottom w:val="none" w:sz="0" w:space="0" w:color="auto"/>
                        <w:right w:val="none" w:sz="0" w:space="0" w:color="auto"/>
                      </w:divBdr>
                      <w:divsChild>
                        <w:div w:id="16774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685093">
      <w:bodyDiv w:val="1"/>
      <w:marLeft w:val="0"/>
      <w:marRight w:val="0"/>
      <w:marTop w:val="0"/>
      <w:marBottom w:val="0"/>
      <w:divBdr>
        <w:top w:val="none" w:sz="0" w:space="0" w:color="auto"/>
        <w:left w:val="none" w:sz="0" w:space="0" w:color="auto"/>
        <w:bottom w:val="none" w:sz="0" w:space="0" w:color="auto"/>
        <w:right w:val="none" w:sz="0" w:space="0" w:color="auto"/>
      </w:divBdr>
      <w:divsChild>
        <w:div w:id="679739480">
          <w:marLeft w:val="0"/>
          <w:marRight w:val="0"/>
          <w:marTop w:val="240"/>
          <w:marBottom w:val="0"/>
          <w:divBdr>
            <w:top w:val="none" w:sz="0" w:space="0" w:color="auto"/>
            <w:left w:val="none" w:sz="0" w:space="0" w:color="auto"/>
            <w:bottom w:val="none" w:sz="0" w:space="0" w:color="auto"/>
            <w:right w:val="none" w:sz="0" w:space="0" w:color="auto"/>
          </w:divBdr>
          <w:divsChild>
            <w:div w:id="237595783">
              <w:marLeft w:val="0"/>
              <w:marRight w:val="0"/>
              <w:marTop w:val="240"/>
              <w:marBottom w:val="0"/>
              <w:divBdr>
                <w:top w:val="none" w:sz="0" w:space="0" w:color="auto"/>
                <w:left w:val="none" w:sz="0" w:space="0" w:color="auto"/>
                <w:bottom w:val="none" w:sz="0" w:space="0" w:color="auto"/>
                <w:right w:val="none" w:sz="0" w:space="0" w:color="auto"/>
              </w:divBdr>
            </w:div>
          </w:divsChild>
        </w:div>
        <w:div w:id="1078989048">
          <w:marLeft w:val="0"/>
          <w:marRight w:val="0"/>
          <w:marTop w:val="0"/>
          <w:marBottom w:val="0"/>
          <w:divBdr>
            <w:top w:val="none" w:sz="0" w:space="0" w:color="auto"/>
            <w:left w:val="none" w:sz="0" w:space="0" w:color="auto"/>
            <w:bottom w:val="none" w:sz="0" w:space="0" w:color="auto"/>
            <w:right w:val="none" w:sz="0" w:space="0" w:color="auto"/>
          </w:divBdr>
        </w:div>
        <w:div w:id="2117407364">
          <w:marLeft w:val="0"/>
          <w:marRight w:val="0"/>
          <w:marTop w:val="240"/>
          <w:marBottom w:val="0"/>
          <w:divBdr>
            <w:top w:val="none" w:sz="0" w:space="0" w:color="auto"/>
            <w:left w:val="none" w:sz="0" w:space="0" w:color="auto"/>
            <w:bottom w:val="none" w:sz="0" w:space="0" w:color="auto"/>
            <w:right w:val="none" w:sz="0" w:space="0" w:color="auto"/>
          </w:divBdr>
          <w:divsChild>
            <w:div w:id="194426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2957">
      <w:bodyDiv w:val="1"/>
      <w:marLeft w:val="0"/>
      <w:marRight w:val="0"/>
      <w:marTop w:val="0"/>
      <w:marBottom w:val="0"/>
      <w:divBdr>
        <w:top w:val="none" w:sz="0" w:space="0" w:color="auto"/>
        <w:left w:val="none" w:sz="0" w:space="0" w:color="auto"/>
        <w:bottom w:val="none" w:sz="0" w:space="0" w:color="auto"/>
        <w:right w:val="none" w:sz="0" w:space="0" w:color="auto"/>
      </w:divBdr>
      <w:divsChild>
        <w:div w:id="346447504">
          <w:marLeft w:val="0"/>
          <w:marRight w:val="0"/>
          <w:marTop w:val="0"/>
          <w:marBottom w:val="0"/>
          <w:divBdr>
            <w:top w:val="none" w:sz="0" w:space="0" w:color="auto"/>
            <w:left w:val="none" w:sz="0" w:space="0" w:color="auto"/>
            <w:bottom w:val="none" w:sz="0" w:space="0" w:color="auto"/>
            <w:right w:val="none" w:sz="0" w:space="0" w:color="auto"/>
          </w:divBdr>
          <w:divsChild>
            <w:div w:id="1925650014">
              <w:marLeft w:val="0"/>
              <w:marRight w:val="0"/>
              <w:marTop w:val="0"/>
              <w:marBottom w:val="0"/>
              <w:divBdr>
                <w:top w:val="none" w:sz="0" w:space="0" w:color="auto"/>
                <w:left w:val="none" w:sz="0" w:space="0" w:color="auto"/>
                <w:bottom w:val="none" w:sz="0" w:space="0" w:color="auto"/>
                <w:right w:val="none" w:sz="0" w:space="0" w:color="auto"/>
              </w:divBdr>
              <w:divsChild>
                <w:div w:id="918946339">
                  <w:marLeft w:val="0"/>
                  <w:marRight w:val="0"/>
                  <w:marTop w:val="0"/>
                  <w:marBottom w:val="0"/>
                  <w:divBdr>
                    <w:top w:val="none" w:sz="0" w:space="0" w:color="auto"/>
                    <w:left w:val="none" w:sz="0" w:space="0" w:color="auto"/>
                    <w:bottom w:val="none" w:sz="0" w:space="0" w:color="auto"/>
                    <w:right w:val="none" w:sz="0" w:space="0" w:color="auto"/>
                  </w:divBdr>
                  <w:divsChild>
                    <w:div w:id="2122139444">
                      <w:marLeft w:val="0"/>
                      <w:marRight w:val="0"/>
                      <w:marTop w:val="0"/>
                      <w:marBottom w:val="300"/>
                      <w:divBdr>
                        <w:top w:val="none" w:sz="0" w:space="0" w:color="auto"/>
                        <w:left w:val="none" w:sz="0" w:space="0" w:color="auto"/>
                        <w:bottom w:val="none" w:sz="0" w:space="0" w:color="auto"/>
                        <w:right w:val="none" w:sz="0" w:space="0" w:color="auto"/>
                      </w:divBdr>
                      <w:divsChild>
                        <w:div w:id="5269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631429">
      <w:bodyDiv w:val="1"/>
      <w:marLeft w:val="0"/>
      <w:marRight w:val="0"/>
      <w:marTop w:val="0"/>
      <w:marBottom w:val="0"/>
      <w:divBdr>
        <w:top w:val="none" w:sz="0" w:space="0" w:color="auto"/>
        <w:left w:val="none" w:sz="0" w:space="0" w:color="auto"/>
        <w:bottom w:val="none" w:sz="0" w:space="0" w:color="auto"/>
        <w:right w:val="none" w:sz="0" w:space="0" w:color="auto"/>
      </w:divBdr>
      <w:divsChild>
        <w:div w:id="1307054173">
          <w:marLeft w:val="0"/>
          <w:marRight w:val="0"/>
          <w:marTop w:val="0"/>
          <w:marBottom w:val="0"/>
          <w:divBdr>
            <w:top w:val="none" w:sz="0" w:space="0" w:color="auto"/>
            <w:left w:val="none" w:sz="0" w:space="0" w:color="auto"/>
            <w:bottom w:val="none" w:sz="0" w:space="0" w:color="auto"/>
            <w:right w:val="none" w:sz="0" w:space="0" w:color="auto"/>
          </w:divBdr>
          <w:divsChild>
            <w:div w:id="1106003304">
              <w:marLeft w:val="0"/>
              <w:marRight w:val="0"/>
              <w:marTop w:val="0"/>
              <w:marBottom w:val="0"/>
              <w:divBdr>
                <w:top w:val="none" w:sz="0" w:space="0" w:color="auto"/>
                <w:left w:val="none" w:sz="0" w:space="0" w:color="auto"/>
                <w:bottom w:val="none" w:sz="0" w:space="0" w:color="auto"/>
                <w:right w:val="none" w:sz="0" w:space="0" w:color="auto"/>
              </w:divBdr>
              <w:divsChild>
                <w:div w:id="677078992">
                  <w:marLeft w:val="0"/>
                  <w:marRight w:val="0"/>
                  <w:marTop w:val="0"/>
                  <w:marBottom w:val="0"/>
                  <w:divBdr>
                    <w:top w:val="none" w:sz="0" w:space="0" w:color="auto"/>
                    <w:left w:val="none" w:sz="0" w:space="0" w:color="auto"/>
                    <w:bottom w:val="none" w:sz="0" w:space="0" w:color="auto"/>
                    <w:right w:val="none" w:sz="0" w:space="0" w:color="auto"/>
                  </w:divBdr>
                  <w:divsChild>
                    <w:div w:id="390540205">
                      <w:marLeft w:val="0"/>
                      <w:marRight w:val="0"/>
                      <w:marTop w:val="0"/>
                      <w:marBottom w:val="375"/>
                      <w:divBdr>
                        <w:top w:val="none" w:sz="0" w:space="0" w:color="auto"/>
                        <w:left w:val="none" w:sz="0" w:space="0" w:color="auto"/>
                        <w:bottom w:val="none" w:sz="0" w:space="0" w:color="auto"/>
                        <w:right w:val="none" w:sz="0" w:space="0" w:color="auto"/>
                      </w:divBdr>
                      <w:divsChild>
                        <w:div w:id="414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638894">
      <w:bodyDiv w:val="1"/>
      <w:marLeft w:val="0"/>
      <w:marRight w:val="0"/>
      <w:marTop w:val="0"/>
      <w:marBottom w:val="0"/>
      <w:divBdr>
        <w:top w:val="none" w:sz="0" w:space="0" w:color="auto"/>
        <w:left w:val="none" w:sz="0" w:space="0" w:color="auto"/>
        <w:bottom w:val="none" w:sz="0" w:space="0" w:color="auto"/>
        <w:right w:val="none" w:sz="0" w:space="0" w:color="auto"/>
      </w:divBdr>
      <w:divsChild>
        <w:div w:id="238372681">
          <w:marLeft w:val="0"/>
          <w:marRight w:val="0"/>
          <w:marTop w:val="0"/>
          <w:marBottom w:val="0"/>
          <w:divBdr>
            <w:top w:val="none" w:sz="0" w:space="0" w:color="auto"/>
            <w:left w:val="none" w:sz="0" w:space="0" w:color="auto"/>
            <w:bottom w:val="none" w:sz="0" w:space="0" w:color="auto"/>
            <w:right w:val="none" w:sz="0" w:space="0" w:color="auto"/>
          </w:divBdr>
          <w:divsChild>
            <w:div w:id="57361823">
              <w:marLeft w:val="0"/>
              <w:marRight w:val="0"/>
              <w:marTop w:val="0"/>
              <w:marBottom w:val="0"/>
              <w:divBdr>
                <w:top w:val="none" w:sz="0" w:space="0" w:color="auto"/>
                <w:left w:val="none" w:sz="0" w:space="0" w:color="auto"/>
                <w:bottom w:val="none" w:sz="0" w:space="0" w:color="auto"/>
                <w:right w:val="none" w:sz="0" w:space="0" w:color="auto"/>
              </w:divBdr>
              <w:divsChild>
                <w:div w:id="1038703916">
                  <w:marLeft w:val="0"/>
                  <w:marRight w:val="0"/>
                  <w:marTop w:val="0"/>
                  <w:marBottom w:val="0"/>
                  <w:divBdr>
                    <w:top w:val="none" w:sz="0" w:space="0" w:color="auto"/>
                    <w:left w:val="none" w:sz="0" w:space="0" w:color="auto"/>
                    <w:bottom w:val="none" w:sz="0" w:space="0" w:color="auto"/>
                    <w:right w:val="none" w:sz="0" w:space="0" w:color="auto"/>
                  </w:divBdr>
                  <w:divsChild>
                    <w:div w:id="32703807">
                      <w:marLeft w:val="0"/>
                      <w:marRight w:val="0"/>
                      <w:marTop w:val="0"/>
                      <w:marBottom w:val="300"/>
                      <w:divBdr>
                        <w:top w:val="none" w:sz="0" w:space="0" w:color="auto"/>
                        <w:left w:val="none" w:sz="0" w:space="0" w:color="auto"/>
                        <w:bottom w:val="none" w:sz="0" w:space="0" w:color="auto"/>
                        <w:right w:val="none" w:sz="0" w:space="0" w:color="auto"/>
                      </w:divBdr>
                      <w:divsChild>
                        <w:div w:id="11950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173317">
      <w:bodyDiv w:val="1"/>
      <w:marLeft w:val="0"/>
      <w:marRight w:val="0"/>
      <w:marTop w:val="0"/>
      <w:marBottom w:val="0"/>
      <w:divBdr>
        <w:top w:val="none" w:sz="0" w:space="0" w:color="auto"/>
        <w:left w:val="none" w:sz="0" w:space="0" w:color="auto"/>
        <w:bottom w:val="none" w:sz="0" w:space="0" w:color="auto"/>
        <w:right w:val="none" w:sz="0" w:space="0" w:color="auto"/>
      </w:divBdr>
    </w:div>
    <w:div w:id="1312709779">
      <w:bodyDiv w:val="1"/>
      <w:marLeft w:val="0"/>
      <w:marRight w:val="0"/>
      <w:marTop w:val="0"/>
      <w:marBottom w:val="0"/>
      <w:divBdr>
        <w:top w:val="none" w:sz="0" w:space="0" w:color="auto"/>
        <w:left w:val="none" w:sz="0" w:space="0" w:color="auto"/>
        <w:bottom w:val="none" w:sz="0" w:space="0" w:color="auto"/>
        <w:right w:val="none" w:sz="0" w:space="0" w:color="auto"/>
      </w:divBdr>
      <w:divsChild>
        <w:div w:id="2116440505">
          <w:marLeft w:val="0"/>
          <w:marRight w:val="0"/>
          <w:marTop w:val="0"/>
          <w:marBottom w:val="0"/>
          <w:divBdr>
            <w:top w:val="none" w:sz="0" w:space="0" w:color="auto"/>
            <w:left w:val="single" w:sz="6" w:space="0" w:color="BBBBBB"/>
            <w:bottom w:val="single" w:sz="6" w:space="0" w:color="BBBBBB"/>
            <w:right w:val="single" w:sz="6" w:space="0" w:color="BBBBBB"/>
          </w:divBdr>
          <w:divsChild>
            <w:div w:id="50422167">
              <w:marLeft w:val="0"/>
              <w:marRight w:val="0"/>
              <w:marTop w:val="0"/>
              <w:marBottom w:val="0"/>
              <w:divBdr>
                <w:top w:val="none" w:sz="0" w:space="0" w:color="auto"/>
                <w:left w:val="none" w:sz="0" w:space="0" w:color="auto"/>
                <w:bottom w:val="none" w:sz="0" w:space="0" w:color="auto"/>
                <w:right w:val="none" w:sz="0" w:space="0" w:color="auto"/>
              </w:divBdr>
              <w:divsChild>
                <w:div w:id="2026903173">
                  <w:marLeft w:val="0"/>
                  <w:marRight w:val="0"/>
                  <w:marTop w:val="75"/>
                  <w:marBottom w:val="0"/>
                  <w:divBdr>
                    <w:top w:val="none" w:sz="0" w:space="0" w:color="auto"/>
                    <w:left w:val="none" w:sz="0" w:space="0" w:color="auto"/>
                    <w:bottom w:val="none" w:sz="0" w:space="0" w:color="auto"/>
                    <w:right w:val="none" w:sz="0" w:space="0" w:color="auto"/>
                  </w:divBdr>
                  <w:divsChild>
                    <w:div w:id="1651711485">
                      <w:marLeft w:val="0"/>
                      <w:marRight w:val="0"/>
                      <w:marTop w:val="0"/>
                      <w:marBottom w:val="0"/>
                      <w:divBdr>
                        <w:top w:val="none" w:sz="0" w:space="0" w:color="auto"/>
                        <w:left w:val="none" w:sz="0" w:space="0" w:color="auto"/>
                        <w:bottom w:val="none" w:sz="0" w:space="0" w:color="auto"/>
                        <w:right w:val="none" w:sz="0" w:space="0" w:color="auto"/>
                      </w:divBdr>
                      <w:divsChild>
                        <w:div w:id="1936933231">
                          <w:marLeft w:val="0"/>
                          <w:marRight w:val="0"/>
                          <w:marTop w:val="0"/>
                          <w:marBottom w:val="0"/>
                          <w:divBdr>
                            <w:top w:val="none" w:sz="0" w:space="0" w:color="auto"/>
                            <w:left w:val="none" w:sz="0" w:space="0" w:color="auto"/>
                            <w:bottom w:val="none" w:sz="0" w:space="0" w:color="auto"/>
                            <w:right w:val="none" w:sz="0" w:space="0" w:color="auto"/>
                          </w:divBdr>
                          <w:divsChild>
                            <w:div w:id="121965825">
                              <w:marLeft w:val="0"/>
                              <w:marRight w:val="0"/>
                              <w:marTop w:val="0"/>
                              <w:marBottom w:val="0"/>
                              <w:divBdr>
                                <w:top w:val="none" w:sz="0" w:space="0" w:color="auto"/>
                                <w:left w:val="none" w:sz="0" w:space="0" w:color="auto"/>
                                <w:bottom w:val="none" w:sz="0" w:space="0" w:color="auto"/>
                                <w:right w:val="none" w:sz="0" w:space="0" w:color="auto"/>
                              </w:divBdr>
                              <w:divsChild>
                                <w:div w:id="782575836">
                                  <w:marLeft w:val="0"/>
                                  <w:marRight w:val="0"/>
                                  <w:marTop w:val="0"/>
                                  <w:marBottom w:val="0"/>
                                  <w:divBdr>
                                    <w:top w:val="none" w:sz="0" w:space="0" w:color="auto"/>
                                    <w:left w:val="none" w:sz="0" w:space="0" w:color="auto"/>
                                    <w:bottom w:val="none" w:sz="0" w:space="0" w:color="auto"/>
                                    <w:right w:val="none" w:sz="0" w:space="0" w:color="auto"/>
                                  </w:divBdr>
                                  <w:divsChild>
                                    <w:div w:id="1579748094">
                                      <w:marLeft w:val="0"/>
                                      <w:marRight w:val="0"/>
                                      <w:marTop w:val="0"/>
                                      <w:marBottom w:val="0"/>
                                      <w:divBdr>
                                        <w:top w:val="none" w:sz="0" w:space="0" w:color="auto"/>
                                        <w:left w:val="none" w:sz="0" w:space="0" w:color="auto"/>
                                        <w:bottom w:val="none" w:sz="0" w:space="0" w:color="auto"/>
                                        <w:right w:val="none" w:sz="0" w:space="0" w:color="auto"/>
                                      </w:divBdr>
                                      <w:divsChild>
                                        <w:div w:id="211310504">
                                          <w:marLeft w:val="1200"/>
                                          <w:marRight w:val="1200"/>
                                          <w:marTop w:val="0"/>
                                          <w:marBottom w:val="0"/>
                                          <w:divBdr>
                                            <w:top w:val="none" w:sz="0" w:space="0" w:color="auto"/>
                                            <w:left w:val="none" w:sz="0" w:space="0" w:color="auto"/>
                                            <w:bottom w:val="none" w:sz="0" w:space="0" w:color="auto"/>
                                            <w:right w:val="none" w:sz="0" w:space="0" w:color="auto"/>
                                          </w:divBdr>
                                          <w:divsChild>
                                            <w:div w:id="2112431460">
                                              <w:marLeft w:val="0"/>
                                              <w:marRight w:val="0"/>
                                              <w:marTop w:val="0"/>
                                              <w:marBottom w:val="0"/>
                                              <w:divBdr>
                                                <w:top w:val="none" w:sz="0" w:space="0" w:color="auto"/>
                                                <w:left w:val="none" w:sz="0" w:space="0" w:color="auto"/>
                                                <w:bottom w:val="none" w:sz="0" w:space="0" w:color="auto"/>
                                                <w:right w:val="none" w:sz="0" w:space="0" w:color="auto"/>
                                              </w:divBdr>
                                              <w:divsChild>
                                                <w:div w:id="1250694255">
                                                  <w:marLeft w:val="0"/>
                                                  <w:marRight w:val="0"/>
                                                  <w:marTop w:val="0"/>
                                                  <w:marBottom w:val="0"/>
                                                  <w:divBdr>
                                                    <w:top w:val="none" w:sz="0" w:space="0" w:color="auto"/>
                                                    <w:left w:val="none" w:sz="0" w:space="0" w:color="auto"/>
                                                    <w:bottom w:val="none" w:sz="0" w:space="0" w:color="auto"/>
                                                    <w:right w:val="none" w:sz="0" w:space="0" w:color="auto"/>
                                                  </w:divBdr>
                                                  <w:divsChild>
                                                    <w:div w:id="1981953246">
                                                      <w:marLeft w:val="0"/>
                                                      <w:marRight w:val="0"/>
                                                      <w:marTop w:val="0"/>
                                                      <w:marBottom w:val="0"/>
                                                      <w:divBdr>
                                                        <w:top w:val="none" w:sz="0" w:space="0" w:color="auto"/>
                                                        <w:left w:val="none" w:sz="0" w:space="0" w:color="auto"/>
                                                        <w:bottom w:val="none" w:sz="0" w:space="0" w:color="auto"/>
                                                        <w:right w:val="none" w:sz="0" w:space="0" w:color="auto"/>
                                                      </w:divBdr>
                                                      <w:divsChild>
                                                        <w:div w:id="1450663819">
                                                          <w:marLeft w:val="0"/>
                                                          <w:marRight w:val="0"/>
                                                          <w:marTop w:val="0"/>
                                                          <w:marBottom w:val="0"/>
                                                          <w:divBdr>
                                                            <w:top w:val="none" w:sz="0" w:space="0" w:color="auto"/>
                                                            <w:left w:val="none" w:sz="0" w:space="0" w:color="auto"/>
                                                            <w:bottom w:val="none" w:sz="0" w:space="0" w:color="auto"/>
                                                            <w:right w:val="none" w:sz="0" w:space="0" w:color="auto"/>
                                                          </w:divBdr>
                                                          <w:divsChild>
                                                            <w:div w:id="1746150191">
                                                              <w:marLeft w:val="0"/>
                                                              <w:marRight w:val="0"/>
                                                              <w:marTop w:val="0"/>
                                                              <w:marBottom w:val="0"/>
                                                              <w:divBdr>
                                                                <w:top w:val="none" w:sz="0" w:space="0" w:color="auto"/>
                                                                <w:left w:val="none" w:sz="0" w:space="0" w:color="auto"/>
                                                                <w:bottom w:val="none" w:sz="0" w:space="0" w:color="auto"/>
                                                                <w:right w:val="none" w:sz="0" w:space="0" w:color="auto"/>
                                                              </w:divBdr>
                                                              <w:divsChild>
                                                                <w:div w:id="301890601">
                                                                  <w:marLeft w:val="0"/>
                                                                  <w:marRight w:val="0"/>
                                                                  <w:marTop w:val="0"/>
                                                                  <w:marBottom w:val="0"/>
                                                                  <w:divBdr>
                                                                    <w:top w:val="none" w:sz="0" w:space="0" w:color="auto"/>
                                                                    <w:left w:val="none" w:sz="0" w:space="0" w:color="auto"/>
                                                                    <w:bottom w:val="none" w:sz="0" w:space="0" w:color="auto"/>
                                                                    <w:right w:val="none" w:sz="0" w:space="0" w:color="auto"/>
                                                                  </w:divBdr>
                                                                  <w:divsChild>
                                                                    <w:div w:id="392388355">
                                                                      <w:marLeft w:val="0"/>
                                                                      <w:marRight w:val="0"/>
                                                                      <w:marTop w:val="0"/>
                                                                      <w:marBottom w:val="0"/>
                                                                      <w:divBdr>
                                                                        <w:top w:val="none" w:sz="0" w:space="0" w:color="auto"/>
                                                                        <w:left w:val="none" w:sz="0" w:space="0" w:color="auto"/>
                                                                        <w:bottom w:val="none" w:sz="0" w:space="0" w:color="auto"/>
                                                                        <w:right w:val="none" w:sz="0" w:space="0" w:color="auto"/>
                                                                      </w:divBdr>
                                                                      <w:divsChild>
                                                                        <w:div w:id="1335380234">
                                                                          <w:marLeft w:val="0"/>
                                                                          <w:marRight w:val="0"/>
                                                                          <w:marTop w:val="0"/>
                                                                          <w:marBottom w:val="0"/>
                                                                          <w:divBdr>
                                                                            <w:top w:val="none" w:sz="0" w:space="0" w:color="auto"/>
                                                                            <w:left w:val="none" w:sz="0" w:space="0" w:color="auto"/>
                                                                            <w:bottom w:val="none" w:sz="0" w:space="0" w:color="auto"/>
                                                                            <w:right w:val="none" w:sz="0" w:space="0" w:color="auto"/>
                                                                          </w:divBdr>
                                                                        </w:div>
                                                                      </w:divsChild>
                                                                    </w:div>
                                                                    <w:div w:id="1524247604">
                                                                      <w:marLeft w:val="0"/>
                                                                      <w:marRight w:val="0"/>
                                                                      <w:marTop w:val="0"/>
                                                                      <w:marBottom w:val="0"/>
                                                                      <w:divBdr>
                                                                        <w:top w:val="none" w:sz="0" w:space="0" w:color="auto"/>
                                                                        <w:left w:val="none" w:sz="0" w:space="0" w:color="auto"/>
                                                                        <w:bottom w:val="none" w:sz="0" w:space="0" w:color="auto"/>
                                                                        <w:right w:val="none" w:sz="0" w:space="0" w:color="auto"/>
                                                                      </w:divBdr>
                                                                      <w:divsChild>
                                                                        <w:div w:id="397830090">
                                                                          <w:marLeft w:val="0"/>
                                                                          <w:marRight w:val="0"/>
                                                                          <w:marTop w:val="0"/>
                                                                          <w:marBottom w:val="0"/>
                                                                          <w:divBdr>
                                                                            <w:top w:val="none" w:sz="0" w:space="0" w:color="auto"/>
                                                                            <w:left w:val="none" w:sz="0" w:space="0" w:color="auto"/>
                                                                            <w:bottom w:val="none" w:sz="0" w:space="0" w:color="auto"/>
                                                                            <w:right w:val="none" w:sz="0" w:space="0" w:color="auto"/>
                                                                          </w:divBdr>
                                                                        </w:div>
                                                                      </w:divsChild>
                                                                    </w:div>
                                                                    <w:div w:id="2010987872">
                                                                      <w:marLeft w:val="0"/>
                                                                      <w:marRight w:val="0"/>
                                                                      <w:marTop w:val="0"/>
                                                                      <w:marBottom w:val="0"/>
                                                                      <w:divBdr>
                                                                        <w:top w:val="none" w:sz="0" w:space="0" w:color="auto"/>
                                                                        <w:left w:val="none" w:sz="0" w:space="0" w:color="auto"/>
                                                                        <w:bottom w:val="none" w:sz="0" w:space="0" w:color="auto"/>
                                                                        <w:right w:val="none" w:sz="0" w:space="0" w:color="auto"/>
                                                                      </w:divBdr>
                                                                      <w:divsChild>
                                                                        <w:div w:id="6964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80213">
                                                                  <w:marLeft w:val="0"/>
                                                                  <w:marRight w:val="0"/>
                                                                  <w:marTop w:val="0"/>
                                                                  <w:marBottom w:val="0"/>
                                                                  <w:divBdr>
                                                                    <w:top w:val="none" w:sz="0" w:space="0" w:color="auto"/>
                                                                    <w:left w:val="none" w:sz="0" w:space="0" w:color="auto"/>
                                                                    <w:bottom w:val="none" w:sz="0" w:space="0" w:color="auto"/>
                                                                    <w:right w:val="none" w:sz="0" w:space="0" w:color="auto"/>
                                                                  </w:divBdr>
                                                                  <w:divsChild>
                                                                    <w:div w:id="602495350">
                                                                      <w:marLeft w:val="0"/>
                                                                      <w:marRight w:val="0"/>
                                                                      <w:marTop w:val="0"/>
                                                                      <w:marBottom w:val="0"/>
                                                                      <w:divBdr>
                                                                        <w:top w:val="none" w:sz="0" w:space="0" w:color="auto"/>
                                                                        <w:left w:val="none" w:sz="0" w:space="0" w:color="auto"/>
                                                                        <w:bottom w:val="none" w:sz="0" w:space="0" w:color="auto"/>
                                                                        <w:right w:val="none" w:sz="0" w:space="0" w:color="auto"/>
                                                                      </w:divBdr>
                                                                      <w:divsChild>
                                                                        <w:div w:id="12752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751677">
      <w:bodyDiv w:val="1"/>
      <w:marLeft w:val="0"/>
      <w:marRight w:val="0"/>
      <w:marTop w:val="0"/>
      <w:marBottom w:val="0"/>
      <w:divBdr>
        <w:top w:val="none" w:sz="0" w:space="0" w:color="auto"/>
        <w:left w:val="none" w:sz="0" w:space="0" w:color="auto"/>
        <w:bottom w:val="none" w:sz="0" w:space="0" w:color="auto"/>
        <w:right w:val="none" w:sz="0" w:space="0" w:color="auto"/>
      </w:divBdr>
      <w:divsChild>
        <w:div w:id="133376267">
          <w:marLeft w:val="0"/>
          <w:marRight w:val="0"/>
          <w:marTop w:val="240"/>
          <w:marBottom w:val="0"/>
          <w:divBdr>
            <w:top w:val="none" w:sz="0" w:space="0" w:color="auto"/>
            <w:left w:val="none" w:sz="0" w:space="0" w:color="auto"/>
            <w:bottom w:val="none" w:sz="0" w:space="0" w:color="auto"/>
            <w:right w:val="none" w:sz="0" w:space="0" w:color="auto"/>
          </w:divBdr>
          <w:divsChild>
            <w:div w:id="1186870366">
              <w:marLeft w:val="0"/>
              <w:marRight w:val="0"/>
              <w:marTop w:val="0"/>
              <w:marBottom w:val="0"/>
              <w:divBdr>
                <w:top w:val="none" w:sz="0" w:space="0" w:color="auto"/>
                <w:left w:val="none" w:sz="0" w:space="0" w:color="auto"/>
                <w:bottom w:val="none" w:sz="0" w:space="0" w:color="auto"/>
                <w:right w:val="none" w:sz="0" w:space="0" w:color="auto"/>
              </w:divBdr>
            </w:div>
          </w:divsChild>
        </w:div>
        <w:div w:id="672419944">
          <w:marLeft w:val="0"/>
          <w:marRight w:val="0"/>
          <w:marTop w:val="240"/>
          <w:marBottom w:val="0"/>
          <w:divBdr>
            <w:top w:val="none" w:sz="0" w:space="0" w:color="auto"/>
            <w:left w:val="none" w:sz="0" w:space="0" w:color="auto"/>
            <w:bottom w:val="none" w:sz="0" w:space="0" w:color="auto"/>
            <w:right w:val="none" w:sz="0" w:space="0" w:color="auto"/>
          </w:divBdr>
          <w:divsChild>
            <w:div w:id="5269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12969">
      <w:bodyDiv w:val="1"/>
      <w:marLeft w:val="0"/>
      <w:marRight w:val="0"/>
      <w:marTop w:val="0"/>
      <w:marBottom w:val="0"/>
      <w:divBdr>
        <w:top w:val="none" w:sz="0" w:space="0" w:color="auto"/>
        <w:left w:val="none" w:sz="0" w:space="0" w:color="auto"/>
        <w:bottom w:val="none" w:sz="0" w:space="0" w:color="auto"/>
        <w:right w:val="none" w:sz="0" w:space="0" w:color="auto"/>
      </w:divBdr>
    </w:div>
    <w:div w:id="1319573130">
      <w:bodyDiv w:val="1"/>
      <w:marLeft w:val="0"/>
      <w:marRight w:val="0"/>
      <w:marTop w:val="0"/>
      <w:marBottom w:val="0"/>
      <w:divBdr>
        <w:top w:val="none" w:sz="0" w:space="0" w:color="auto"/>
        <w:left w:val="none" w:sz="0" w:space="0" w:color="auto"/>
        <w:bottom w:val="none" w:sz="0" w:space="0" w:color="auto"/>
        <w:right w:val="none" w:sz="0" w:space="0" w:color="auto"/>
      </w:divBdr>
      <w:divsChild>
        <w:div w:id="277294479">
          <w:marLeft w:val="0"/>
          <w:marRight w:val="0"/>
          <w:marTop w:val="0"/>
          <w:marBottom w:val="0"/>
          <w:divBdr>
            <w:top w:val="none" w:sz="0" w:space="0" w:color="auto"/>
            <w:left w:val="none" w:sz="0" w:space="0" w:color="auto"/>
            <w:bottom w:val="none" w:sz="0" w:space="0" w:color="auto"/>
            <w:right w:val="none" w:sz="0" w:space="0" w:color="auto"/>
          </w:divBdr>
        </w:div>
        <w:div w:id="1648512748">
          <w:marLeft w:val="0"/>
          <w:marRight w:val="0"/>
          <w:marTop w:val="240"/>
          <w:marBottom w:val="0"/>
          <w:divBdr>
            <w:top w:val="none" w:sz="0" w:space="0" w:color="auto"/>
            <w:left w:val="none" w:sz="0" w:space="0" w:color="auto"/>
            <w:bottom w:val="none" w:sz="0" w:space="0" w:color="auto"/>
            <w:right w:val="none" w:sz="0" w:space="0" w:color="auto"/>
          </w:divBdr>
          <w:divsChild>
            <w:div w:id="1834030314">
              <w:marLeft w:val="0"/>
              <w:marRight w:val="0"/>
              <w:marTop w:val="0"/>
              <w:marBottom w:val="0"/>
              <w:divBdr>
                <w:top w:val="none" w:sz="0" w:space="0" w:color="auto"/>
                <w:left w:val="none" w:sz="0" w:space="0" w:color="auto"/>
                <w:bottom w:val="none" w:sz="0" w:space="0" w:color="auto"/>
                <w:right w:val="none" w:sz="0" w:space="0" w:color="auto"/>
              </w:divBdr>
            </w:div>
          </w:divsChild>
        </w:div>
        <w:div w:id="1105617538">
          <w:marLeft w:val="0"/>
          <w:marRight w:val="0"/>
          <w:marTop w:val="240"/>
          <w:marBottom w:val="0"/>
          <w:divBdr>
            <w:top w:val="none" w:sz="0" w:space="0" w:color="auto"/>
            <w:left w:val="none" w:sz="0" w:space="0" w:color="auto"/>
            <w:bottom w:val="none" w:sz="0" w:space="0" w:color="auto"/>
            <w:right w:val="none" w:sz="0" w:space="0" w:color="auto"/>
          </w:divBdr>
          <w:divsChild>
            <w:div w:id="1083376103">
              <w:marLeft w:val="0"/>
              <w:marRight w:val="0"/>
              <w:marTop w:val="0"/>
              <w:marBottom w:val="0"/>
              <w:divBdr>
                <w:top w:val="none" w:sz="0" w:space="0" w:color="auto"/>
                <w:left w:val="none" w:sz="0" w:space="0" w:color="auto"/>
                <w:bottom w:val="none" w:sz="0" w:space="0" w:color="auto"/>
                <w:right w:val="none" w:sz="0" w:space="0" w:color="auto"/>
              </w:divBdr>
            </w:div>
            <w:div w:id="225576850">
              <w:marLeft w:val="0"/>
              <w:marRight w:val="0"/>
              <w:marTop w:val="240"/>
              <w:marBottom w:val="0"/>
              <w:divBdr>
                <w:top w:val="none" w:sz="0" w:space="0" w:color="auto"/>
                <w:left w:val="none" w:sz="0" w:space="0" w:color="auto"/>
                <w:bottom w:val="none" w:sz="0" w:space="0" w:color="auto"/>
                <w:right w:val="none" w:sz="0" w:space="0" w:color="auto"/>
              </w:divBdr>
              <w:divsChild>
                <w:div w:id="202985374">
                  <w:marLeft w:val="0"/>
                  <w:marRight w:val="0"/>
                  <w:marTop w:val="0"/>
                  <w:marBottom w:val="0"/>
                  <w:divBdr>
                    <w:top w:val="none" w:sz="0" w:space="0" w:color="auto"/>
                    <w:left w:val="none" w:sz="0" w:space="0" w:color="auto"/>
                    <w:bottom w:val="none" w:sz="0" w:space="0" w:color="auto"/>
                    <w:right w:val="none" w:sz="0" w:space="0" w:color="auto"/>
                  </w:divBdr>
                  <w:divsChild>
                    <w:div w:id="1978949886">
                      <w:blockQuote w:val="1"/>
                      <w:marLeft w:val="0"/>
                      <w:marRight w:val="0"/>
                      <w:marTop w:val="0"/>
                      <w:marBottom w:val="0"/>
                      <w:divBdr>
                        <w:top w:val="none" w:sz="0" w:space="0" w:color="auto"/>
                        <w:left w:val="none" w:sz="0" w:space="0" w:color="auto"/>
                        <w:bottom w:val="none" w:sz="0" w:space="0" w:color="auto"/>
                        <w:right w:val="none" w:sz="0" w:space="0" w:color="auto"/>
                      </w:divBdr>
                      <w:divsChild>
                        <w:div w:id="1233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4768">
              <w:marLeft w:val="0"/>
              <w:marRight w:val="0"/>
              <w:marTop w:val="240"/>
              <w:marBottom w:val="0"/>
              <w:divBdr>
                <w:top w:val="none" w:sz="0" w:space="0" w:color="auto"/>
                <w:left w:val="none" w:sz="0" w:space="0" w:color="auto"/>
                <w:bottom w:val="none" w:sz="0" w:space="0" w:color="auto"/>
                <w:right w:val="none" w:sz="0" w:space="0" w:color="auto"/>
              </w:divBdr>
            </w:div>
          </w:divsChild>
        </w:div>
        <w:div w:id="397635480">
          <w:marLeft w:val="0"/>
          <w:marRight w:val="0"/>
          <w:marTop w:val="240"/>
          <w:marBottom w:val="0"/>
          <w:divBdr>
            <w:top w:val="none" w:sz="0" w:space="0" w:color="auto"/>
            <w:left w:val="none" w:sz="0" w:space="0" w:color="auto"/>
            <w:bottom w:val="none" w:sz="0" w:space="0" w:color="auto"/>
            <w:right w:val="none" w:sz="0" w:space="0" w:color="auto"/>
          </w:divBdr>
          <w:divsChild>
            <w:div w:id="1186403221">
              <w:marLeft w:val="0"/>
              <w:marRight w:val="0"/>
              <w:marTop w:val="0"/>
              <w:marBottom w:val="0"/>
              <w:divBdr>
                <w:top w:val="none" w:sz="0" w:space="0" w:color="auto"/>
                <w:left w:val="none" w:sz="0" w:space="0" w:color="auto"/>
                <w:bottom w:val="none" w:sz="0" w:space="0" w:color="auto"/>
                <w:right w:val="none" w:sz="0" w:space="0" w:color="auto"/>
              </w:divBdr>
            </w:div>
            <w:div w:id="1230767762">
              <w:marLeft w:val="0"/>
              <w:marRight w:val="0"/>
              <w:marTop w:val="240"/>
              <w:marBottom w:val="0"/>
              <w:divBdr>
                <w:top w:val="none" w:sz="0" w:space="0" w:color="auto"/>
                <w:left w:val="none" w:sz="0" w:space="0" w:color="auto"/>
                <w:bottom w:val="none" w:sz="0" w:space="0" w:color="auto"/>
                <w:right w:val="none" w:sz="0" w:space="0" w:color="auto"/>
              </w:divBdr>
              <w:divsChild>
                <w:div w:id="961304757">
                  <w:marLeft w:val="0"/>
                  <w:marRight w:val="0"/>
                  <w:marTop w:val="0"/>
                  <w:marBottom w:val="0"/>
                  <w:divBdr>
                    <w:top w:val="none" w:sz="0" w:space="0" w:color="auto"/>
                    <w:left w:val="none" w:sz="0" w:space="0" w:color="auto"/>
                    <w:bottom w:val="none" w:sz="0" w:space="0" w:color="auto"/>
                    <w:right w:val="none" w:sz="0" w:space="0" w:color="auto"/>
                  </w:divBdr>
                  <w:divsChild>
                    <w:div w:id="265191137">
                      <w:blockQuote w:val="1"/>
                      <w:marLeft w:val="0"/>
                      <w:marRight w:val="0"/>
                      <w:marTop w:val="0"/>
                      <w:marBottom w:val="0"/>
                      <w:divBdr>
                        <w:top w:val="none" w:sz="0" w:space="0" w:color="auto"/>
                        <w:left w:val="none" w:sz="0" w:space="0" w:color="auto"/>
                        <w:bottom w:val="none" w:sz="0" w:space="0" w:color="auto"/>
                        <w:right w:val="none" w:sz="0" w:space="0" w:color="auto"/>
                      </w:divBdr>
                      <w:divsChild>
                        <w:div w:id="1377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40732">
              <w:marLeft w:val="0"/>
              <w:marRight w:val="0"/>
              <w:marTop w:val="240"/>
              <w:marBottom w:val="0"/>
              <w:divBdr>
                <w:top w:val="none" w:sz="0" w:space="0" w:color="auto"/>
                <w:left w:val="none" w:sz="0" w:space="0" w:color="auto"/>
                <w:bottom w:val="none" w:sz="0" w:space="0" w:color="auto"/>
                <w:right w:val="none" w:sz="0" w:space="0" w:color="auto"/>
              </w:divBdr>
            </w:div>
          </w:divsChild>
        </w:div>
        <w:div w:id="683484547">
          <w:marLeft w:val="0"/>
          <w:marRight w:val="0"/>
          <w:marTop w:val="240"/>
          <w:marBottom w:val="0"/>
          <w:divBdr>
            <w:top w:val="none" w:sz="0" w:space="0" w:color="auto"/>
            <w:left w:val="none" w:sz="0" w:space="0" w:color="auto"/>
            <w:bottom w:val="none" w:sz="0" w:space="0" w:color="auto"/>
            <w:right w:val="none" w:sz="0" w:space="0" w:color="auto"/>
          </w:divBdr>
          <w:divsChild>
            <w:div w:id="1422071424">
              <w:marLeft w:val="0"/>
              <w:marRight w:val="0"/>
              <w:marTop w:val="0"/>
              <w:marBottom w:val="0"/>
              <w:divBdr>
                <w:top w:val="none" w:sz="0" w:space="0" w:color="auto"/>
                <w:left w:val="none" w:sz="0" w:space="0" w:color="auto"/>
                <w:bottom w:val="none" w:sz="0" w:space="0" w:color="auto"/>
                <w:right w:val="none" w:sz="0" w:space="0" w:color="auto"/>
              </w:divBdr>
            </w:div>
          </w:divsChild>
        </w:div>
        <w:div w:id="1005405281">
          <w:marLeft w:val="0"/>
          <w:marRight w:val="0"/>
          <w:marTop w:val="240"/>
          <w:marBottom w:val="0"/>
          <w:divBdr>
            <w:top w:val="none" w:sz="0" w:space="0" w:color="auto"/>
            <w:left w:val="none" w:sz="0" w:space="0" w:color="auto"/>
            <w:bottom w:val="none" w:sz="0" w:space="0" w:color="auto"/>
            <w:right w:val="none" w:sz="0" w:space="0" w:color="auto"/>
          </w:divBdr>
          <w:divsChild>
            <w:div w:id="9190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01217">
      <w:bodyDiv w:val="1"/>
      <w:marLeft w:val="0"/>
      <w:marRight w:val="0"/>
      <w:marTop w:val="0"/>
      <w:marBottom w:val="0"/>
      <w:divBdr>
        <w:top w:val="none" w:sz="0" w:space="0" w:color="auto"/>
        <w:left w:val="none" w:sz="0" w:space="0" w:color="auto"/>
        <w:bottom w:val="none" w:sz="0" w:space="0" w:color="auto"/>
        <w:right w:val="none" w:sz="0" w:space="0" w:color="auto"/>
      </w:divBdr>
      <w:divsChild>
        <w:div w:id="1282149789">
          <w:marLeft w:val="0"/>
          <w:marRight w:val="0"/>
          <w:marTop w:val="0"/>
          <w:marBottom w:val="0"/>
          <w:divBdr>
            <w:top w:val="none" w:sz="0" w:space="0" w:color="auto"/>
            <w:left w:val="none" w:sz="0" w:space="0" w:color="auto"/>
            <w:bottom w:val="none" w:sz="0" w:space="0" w:color="auto"/>
            <w:right w:val="none" w:sz="0" w:space="0" w:color="auto"/>
          </w:divBdr>
          <w:divsChild>
            <w:div w:id="1786458494">
              <w:marLeft w:val="0"/>
              <w:marRight w:val="0"/>
              <w:marTop w:val="0"/>
              <w:marBottom w:val="0"/>
              <w:divBdr>
                <w:top w:val="none" w:sz="0" w:space="0" w:color="auto"/>
                <w:left w:val="none" w:sz="0" w:space="0" w:color="auto"/>
                <w:bottom w:val="none" w:sz="0" w:space="0" w:color="auto"/>
                <w:right w:val="none" w:sz="0" w:space="0" w:color="auto"/>
              </w:divBdr>
              <w:divsChild>
                <w:div w:id="604772169">
                  <w:marLeft w:val="0"/>
                  <w:marRight w:val="0"/>
                  <w:marTop w:val="0"/>
                  <w:marBottom w:val="0"/>
                  <w:divBdr>
                    <w:top w:val="none" w:sz="0" w:space="0" w:color="auto"/>
                    <w:left w:val="none" w:sz="0" w:space="0" w:color="auto"/>
                    <w:bottom w:val="none" w:sz="0" w:space="0" w:color="auto"/>
                    <w:right w:val="none" w:sz="0" w:space="0" w:color="auto"/>
                  </w:divBdr>
                  <w:divsChild>
                    <w:div w:id="338970717">
                      <w:marLeft w:val="0"/>
                      <w:marRight w:val="0"/>
                      <w:marTop w:val="0"/>
                      <w:marBottom w:val="300"/>
                      <w:divBdr>
                        <w:top w:val="none" w:sz="0" w:space="0" w:color="auto"/>
                        <w:left w:val="none" w:sz="0" w:space="0" w:color="auto"/>
                        <w:bottom w:val="none" w:sz="0" w:space="0" w:color="auto"/>
                        <w:right w:val="none" w:sz="0" w:space="0" w:color="auto"/>
                      </w:divBdr>
                      <w:divsChild>
                        <w:div w:id="160415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194297">
      <w:bodyDiv w:val="1"/>
      <w:marLeft w:val="0"/>
      <w:marRight w:val="0"/>
      <w:marTop w:val="0"/>
      <w:marBottom w:val="0"/>
      <w:divBdr>
        <w:top w:val="none" w:sz="0" w:space="0" w:color="auto"/>
        <w:left w:val="none" w:sz="0" w:space="0" w:color="auto"/>
        <w:bottom w:val="none" w:sz="0" w:space="0" w:color="auto"/>
        <w:right w:val="none" w:sz="0" w:space="0" w:color="auto"/>
      </w:divBdr>
      <w:divsChild>
        <w:div w:id="326909982">
          <w:marLeft w:val="0"/>
          <w:marRight w:val="0"/>
          <w:marTop w:val="0"/>
          <w:marBottom w:val="0"/>
          <w:divBdr>
            <w:top w:val="none" w:sz="0" w:space="0" w:color="auto"/>
            <w:left w:val="single" w:sz="6" w:space="0" w:color="BBBBBB"/>
            <w:bottom w:val="single" w:sz="6" w:space="0" w:color="BBBBBB"/>
            <w:right w:val="single" w:sz="6" w:space="0" w:color="BBBBBB"/>
          </w:divBdr>
          <w:divsChild>
            <w:div w:id="1573152836">
              <w:marLeft w:val="0"/>
              <w:marRight w:val="0"/>
              <w:marTop w:val="0"/>
              <w:marBottom w:val="0"/>
              <w:divBdr>
                <w:top w:val="none" w:sz="0" w:space="0" w:color="auto"/>
                <w:left w:val="none" w:sz="0" w:space="0" w:color="auto"/>
                <w:bottom w:val="none" w:sz="0" w:space="0" w:color="auto"/>
                <w:right w:val="none" w:sz="0" w:space="0" w:color="auto"/>
              </w:divBdr>
              <w:divsChild>
                <w:div w:id="1347950839">
                  <w:marLeft w:val="0"/>
                  <w:marRight w:val="0"/>
                  <w:marTop w:val="75"/>
                  <w:marBottom w:val="0"/>
                  <w:divBdr>
                    <w:top w:val="none" w:sz="0" w:space="0" w:color="auto"/>
                    <w:left w:val="none" w:sz="0" w:space="0" w:color="auto"/>
                    <w:bottom w:val="none" w:sz="0" w:space="0" w:color="auto"/>
                    <w:right w:val="none" w:sz="0" w:space="0" w:color="auto"/>
                  </w:divBdr>
                  <w:divsChild>
                    <w:div w:id="765081619">
                      <w:marLeft w:val="0"/>
                      <w:marRight w:val="0"/>
                      <w:marTop w:val="0"/>
                      <w:marBottom w:val="0"/>
                      <w:divBdr>
                        <w:top w:val="none" w:sz="0" w:space="0" w:color="auto"/>
                        <w:left w:val="none" w:sz="0" w:space="0" w:color="auto"/>
                        <w:bottom w:val="none" w:sz="0" w:space="0" w:color="auto"/>
                        <w:right w:val="none" w:sz="0" w:space="0" w:color="auto"/>
                      </w:divBdr>
                      <w:divsChild>
                        <w:div w:id="1446003724">
                          <w:marLeft w:val="0"/>
                          <w:marRight w:val="0"/>
                          <w:marTop w:val="0"/>
                          <w:marBottom w:val="0"/>
                          <w:divBdr>
                            <w:top w:val="none" w:sz="0" w:space="0" w:color="auto"/>
                            <w:left w:val="none" w:sz="0" w:space="0" w:color="auto"/>
                            <w:bottom w:val="none" w:sz="0" w:space="0" w:color="auto"/>
                            <w:right w:val="none" w:sz="0" w:space="0" w:color="auto"/>
                          </w:divBdr>
                          <w:divsChild>
                            <w:div w:id="1477912444">
                              <w:marLeft w:val="0"/>
                              <w:marRight w:val="0"/>
                              <w:marTop w:val="0"/>
                              <w:marBottom w:val="0"/>
                              <w:divBdr>
                                <w:top w:val="none" w:sz="0" w:space="0" w:color="auto"/>
                                <w:left w:val="none" w:sz="0" w:space="0" w:color="auto"/>
                                <w:bottom w:val="none" w:sz="0" w:space="0" w:color="auto"/>
                                <w:right w:val="none" w:sz="0" w:space="0" w:color="auto"/>
                              </w:divBdr>
                              <w:divsChild>
                                <w:div w:id="361980176">
                                  <w:marLeft w:val="0"/>
                                  <w:marRight w:val="0"/>
                                  <w:marTop w:val="0"/>
                                  <w:marBottom w:val="0"/>
                                  <w:divBdr>
                                    <w:top w:val="none" w:sz="0" w:space="0" w:color="auto"/>
                                    <w:left w:val="none" w:sz="0" w:space="0" w:color="auto"/>
                                    <w:bottom w:val="none" w:sz="0" w:space="0" w:color="auto"/>
                                    <w:right w:val="none" w:sz="0" w:space="0" w:color="auto"/>
                                  </w:divBdr>
                                  <w:divsChild>
                                    <w:div w:id="1632049768">
                                      <w:marLeft w:val="0"/>
                                      <w:marRight w:val="0"/>
                                      <w:marTop w:val="0"/>
                                      <w:marBottom w:val="0"/>
                                      <w:divBdr>
                                        <w:top w:val="none" w:sz="0" w:space="0" w:color="auto"/>
                                        <w:left w:val="none" w:sz="0" w:space="0" w:color="auto"/>
                                        <w:bottom w:val="none" w:sz="0" w:space="0" w:color="auto"/>
                                        <w:right w:val="none" w:sz="0" w:space="0" w:color="auto"/>
                                      </w:divBdr>
                                      <w:divsChild>
                                        <w:div w:id="765269680">
                                          <w:marLeft w:val="1200"/>
                                          <w:marRight w:val="1200"/>
                                          <w:marTop w:val="0"/>
                                          <w:marBottom w:val="0"/>
                                          <w:divBdr>
                                            <w:top w:val="none" w:sz="0" w:space="0" w:color="auto"/>
                                            <w:left w:val="none" w:sz="0" w:space="0" w:color="auto"/>
                                            <w:bottom w:val="none" w:sz="0" w:space="0" w:color="auto"/>
                                            <w:right w:val="none" w:sz="0" w:space="0" w:color="auto"/>
                                          </w:divBdr>
                                          <w:divsChild>
                                            <w:div w:id="745421202">
                                              <w:marLeft w:val="0"/>
                                              <w:marRight w:val="0"/>
                                              <w:marTop w:val="0"/>
                                              <w:marBottom w:val="0"/>
                                              <w:divBdr>
                                                <w:top w:val="none" w:sz="0" w:space="0" w:color="auto"/>
                                                <w:left w:val="none" w:sz="0" w:space="0" w:color="auto"/>
                                                <w:bottom w:val="none" w:sz="0" w:space="0" w:color="auto"/>
                                                <w:right w:val="none" w:sz="0" w:space="0" w:color="auto"/>
                                              </w:divBdr>
                                              <w:divsChild>
                                                <w:div w:id="1811054308">
                                                  <w:marLeft w:val="0"/>
                                                  <w:marRight w:val="0"/>
                                                  <w:marTop w:val="0"/>
                                                  <w:marBottom w:val="0"/>
                                                  <w:divBdr>
                                                    <w:top w:val="none" w:sz="0" w:space="0" w:color="auto"/>
                                                    <w:left w:val="none" w:sz="0" w:space="0" w:color="auto"/>
                                                    <w:bottom w:val="none" w:sz="0" w:space="0" w:color="auto"/>
                                                    <w:right w:val="none" w:sz="0" w:space="0" w:color="auto"/>
                                                  </w:divBdr>
                                                  <w:divsChild>
                                                    <w:div w:id="1171791910">
                                                      <w:marLeft w:val="0"/>
                                                      <w:marRight w:val="0"/>
                                                      <w:marTop w:val="0"/>
                                                      <w:marBottom w:val="0"/>
                                                      <w:divBdr>
                                                        <w:top w:val="none" w:sz="0" w:space="0" w:color="auto"/>
                                                        <w:left w:val="none" w:sz="0" w:space="0" w:color="auto"/>
                                                        <w:bottom w:val="none" w:sz="0" w:space="0" w:color="auto"/>
                                                        <w:right w:val="none" w:sz="0" w:space="0" w:color="auto"/>
                                                      </w:divBdr>
                                                      <w:divsChild>
                                                        <w:div w:id="841897525">
                                                          <w:marLeft w:val="0"/>
                                                          <w:marRight w:val="0"/>
                                                          <w:marTop w:val="0"/>
                                                          <w:marBottom w:val="0"/>
                                                          <w:divBdr>
                                                            <w:top w:val="none" w:sz="0" w:space="0" w:color="auto"/>
                                                            <w:left w:val="none" w:sz="0" w:space="0" w:color="auto"/>
                                                            <w:bottom w:val="none" w:sz="0" w:space="0" w:color="auto"/>
                                                            <w:right w:val="none" w:sz="0" w:space="0" w:color="auto"/>
                                                          </w:divBdr>
                                                          <w:divsChild>
                                                            <w:div w:id="1138374524">
                                                              <w:marLeft w:val="0"/>
                                                              <w:marRight w:val="0"/>
                                                              <w:marTop w:val="0"/>
                                                              <w:marBottom w:val="0"/>
                                                              <w:divBdr>
                                                                <w:top w:val="none" w:sz="0" w:space="0" w:color="auto"/>
                                                                <w:left w:val="none" w:sz="0" w:space="0" w:color="auto"/>
                                                                <w:bottom w:val="none" w:sz="0" w:space="0" w:color="auto"/>
                                                                <w:right w:val="none" w:sz="0" w:space="0" w:color="auto"/>
                                                              </w:divBdr>
                                                              <w:divsChild>
                                                                <w:div w:id="2130852436">
                                                                  <w:marLeft w:val="0"/>
                                                                  <w:marRight w:val="0"/>
                                                                  <w:marTop w:val="0"/>
                                                                  <w:marBottom w:val="0"/>
                                                                  <w:divBdr>
                                                                    <w:top w:val="none" w:sz="0" w:space="0" w:color="auto"/>
                                                                    <w:left w:val="none" w:sz="0" w:space="0" w:color="auto"/>
                                                                    <w:bottom w:val="none" w:sz="0" w:space="0" w:color="auto"/>
                                                                    <w:right w:val="none" w:sz="0" w:space="0" w:color="auto"/>
                                                                  </w:divBdr>
                                                                  <w:divsChild>
                                                                    <w:div w:id="1407071566">
                                                                      <w:marLeft w:val="0"/>
                                                                      <w:marRight w:val="0"/>
                                                                      <w:marTop w:val="0"/>
                                                                      <w:marBottom w:val="0"/>
                                                                      <w:divBdr>
                                                                        <w:top w:val="none" w:sz="0" w:space="0" w:color="auto"/>
                                                                        <w:left w:val="none" w:sz="0" w:space="0" w:color="auto"/>
                                                                        <w:bottom w:val="none" w:sz="0" w:space="0" w:color="auto"/>
                                                                        <w:right w:val="none" w:sz="0" w:space="0" w:color="auto"/>
                                                                      </w:divBdr>
                                                                      <w:divsChild>
                                                                        <w:div w:id="1010640611">
                                                                          <w:marLeft w:val="0"/>
                                                                          <w:marRight w:val="0"/>
                                                                          <w:marTop w:val="0"/>
                                                                          <w:marBottom w:val="0"/>
                                                                          <w:divBdr>
                                                                            <w:top w:val="none" w:sz="0" w:space="0" w:color="auto"/>
                                                                            <w:left w:val="none" w:sz="0" w:space="0" w:color="auto"/>
                                                                            <w:bottom w:val="none" w:sz="0" w:space="0" w:color="auto"/>
                                                                            <w:right w:val="none" w:sz="0" w:space="0" w:color="auto"/>
                                                                          </w:divBdr>
                                                                        </w:div>
                                                                      </w:divsChild>
                                                                    </w:div>
                                                                    <w:div w:id="1945722037">
                                                                      <w:marLeft w:val="0"/>
                                                                      <w:marRight w:val="0"/>
                                                                      <w:marTop w:val="0"/>
                                                                      <w:marBottom w:val="0"/>
                                                                      <w:divBdr>
                                                                        <w:top w:val="none" w:sz="0" w:space="0" w:color="auto"/>
                                                                        <w:left w:val="none" w:sz="0" w:space="0" w:color="auto"/>
                                                                        <w:bottom w:val="none" w:sz="0" w:space="0" w:color="auto"/>
                                                                        <w:right w:val="none" w:sz="0" w:space="0" w:color="auto"/>
                                                                      </w:divBdr>
                                                                      <w:divsChild>
                                                                        <w:div w:id="152038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499728">
      <w:bodyDiv w:val="1"/>
      <w:marLeft w:val="0"/>
      <w:marRight w:val="0"/>
      <w:marTop w:val="0"/>
      <w:marBottom w:val="0"/>
      <w:divBdr>
        <w:top w:val="none" w:sz="0" w:space="0" w:color="auto"/>
        <w:left w:val="none" w:sz="0" w:space="0" w:color="auto"/>
        <w:bottom w:val="none" w:sz="0" w:space="0" w:color="auto"/>
        <w:right w:val="none" w:sz="0" w:space="0" w:color="auto"/>
      </w:divBdr>
      <w:divsChild>
        <w:div w:id="1844857553">
          <w:marLeft w:val="0"/>
          <w:marRight w:val="0"/>
          <w:marTop w:val="0"/>
          <w:marBottom w:val="0"/>
          <w:divBdr>
            <w:top w:val="none" w:sz="0" w:space="0" w:color="auto"/>
            <w:left w:val="single" w:sz="6" w:space="0" w:color="BBBBBB"/>
            <w:bottom w:val="single" w:sz="6" w:space="0" w:color="BBBBBB"/>
            <w:right w:val="single" w:sz="6" w:space="0" w:color="BBBBBB"/>
          </w:divBdr>
          <w:divsChild>
            <w:div w:id="978455385">
              <w:marLeft w:val="0"/>
              <w:marRight w:val="0"/>
              <w:marTop w:val="0"/>
              <w:marBottom w:val="0"/>
              <w:divBdr>
                <w:top w:val="none" w:sz="0" w:space="0" w:color="auto"/>
                <w:left w:val="none" w:sz="0" w:space="0" w:color="auto"/>
                <w:bottom w:val="none" w:sz="0" w:space="0" w:color="auto"/>
                <w:right w:val="none" w:sz="0" w:space="0" w:color="auto"/>
              </w:divBdr>
              <w:divsChild>
                <w:div w:id="1541631572">
                  <w:marLeft w:val="0"/>
                  <w:marRight w:val="0"/>
                  <w:marTop w:val="75"/>
                  <w:marBottom w:val="0"/>
                  <w:divBdr>
                    <w:top w:val="none" w:sz="0" w:space="0" w:color="auto"/>
                    <w:left w:val="none" w:sz="0" w:space="0" w:color="auto"/>
                    <w:bottom w:val="none" w:sz="0" w:space="0" w:color="auto"/>
                    <w:right w:val="none" w:sz="0" w:space="0" w:color="auto"/>
                  </w:divBdr>
                  <w:divsChild>
                    <w:div w:id="1458834575">
                      <w:marLeft w:val="0"/>
                      <w:marRight w:val="0"/>
                      <w:marTop w:val="0"/>
                      <w:marBottom w:val="0"/>
                      <w:divBdr>
                        <w:top w:val="none" w:sz="0" w:space="0" w:color="auto"/>
                        <w:left w:val="none" w:sz="0" w:space="0" w:color="auto"/>
                        <w:bottom w:val="none" w:sz="0" w:space="0" w:color="auto"/>
                        <w:right w:val="none" w:sz="0" w:space="0" w:color="auto"/>
                      </w:divBdr>
                      <w:divsChild>
                        <w:div w:id="1600797916">
                          <w:marLeft w:val="0"/>
                          <w:marRight w:val="0"/>
                          <w:marTop w:val="0"/>
                          <w:marBottom w:val="0"/>
                          <w:divBdr>
                            <w:top w:val="none" w:sz="0" w:space="0" w:color="auto"/>
                            <w:left w:val="none" w:sz="0" w:space="0" w:color="auto"/>
                            <w:bottom w:val="none" w:sz="0" w:space="0" w:color="auto"/>
                            <w:right w:val="none" w:sz="0" w:space="0" w:color="auto"/>
                          </w:divBdr>
                          <w:divsChild>
                            <w:div w:id="683828584">
                              <w:marLeft w:val="0"/>
                              <w:marRight w:val="0"/>
                              <w:marTop w:val="0"/>
                              <w:marBottom w:val="0"/>
                              <w:divBdr>
                                <w:top w:val="none" w:sz="0" w:space="0" w:color="auto"/>
                                <w:left w:val="none" w:sz="0" w:space="0" w:color="auto"/>
                                <w:bottom w:val="none" w:sz="0" w:space="0" w:color="auto"/>
                                <w:right w:val="none" w:sz="0" w:space="0" w:color="auto"/>
                              </w:divBdr>
                              <w:divsChild>
                                <w:div w:id="1471943606">
                                  <w:marLeft w:val="0"/>
                                  <w:marRight w:val="0"/>
                                  <w:marTop w:val="0"/>
                                  <w:marBottom w:val="0"/>
                                  <w:divBdr>
                                    <w:top w:val="none" w:sz="0" w:space="0" w:color="auto"/>
                                    <w:left w:val="none" w:sz="0" w:space="0" w:color="auto"/>
                                    <w:bottom w:val="none" w:sz="0" w:space="0" w:color="auto"/>
                                    <w:right w:val="none" w:sz="0" w:space="0" w:color="auto"/>
                                  </w:divBdr>
                                  <w:divsChild>
                                    <w:div w:id="1998921505">
                                      <w:marLeft w:val="0"/>
                                      <w:marRight w:val="0"/>
                                      <w:marTop w:val="0"/>
                                      <w:marBottom w:val="0"/>
                                      <w:divBdr>
                                        <w:top w:val="none" w:sz="0" w:space="0" w:color="auto"/>
                                        <w:left w:val="none" w:sz="0" w:space="0" w:color="auto"/>
                                        <w:bottom w:val="none" w:sz="0" w:space="0" w:color="auto"/>
                                        <w:right w:val="none" w:sz="0" w:space="0" w:color="auto"/>
                                      </w:divBdr>
                                      <w:divsChild>
                                        <w:div w:id="1455249757">
                                          <w:marLeft w:val="1200"/>
                                          <w:marRight w:val="1200"/>
                                          <w:marTop w:val="0"/>
                                          <w:marBottom w:val="0"/>
                                          <w:divBdr>
                                            <w:top w:val="none" w:sz="0" w:space="0" w:color="auto"/>
                                            <w:left w:val="none" w:sz="0" w:space="0" w:color="auto"/>
                                            <w:bottom w:val="none" w:sz="0" w:space="0" w:color="auto"/>
                                            <w:right w:val="none" w:sz="0" w:space="0" w:color="auto"/>
                                          </w:divBdr>
                                          <w:divsChild>
                                            <w:div w:id="1177185620">
                                              <w:marLeft w:val="0"/>
                                              <w:marRight w:val="0"/>
                                              <w:marTop w:val="0"/>
                                              <w:marBottom w:val="0"/>
                                              <w:divBdr>
                                                <w:top w:val="none" w:sz="0" w:space="0" w:color="auto"/>
                                                <w:left w:val="none" w:sz="0" w:space="0" w:color="auto"/>
                                                <w:bottom w:val="none" w:sz="0" w:space="0" w:color="auto"/>
                                                <w:right w:val="none" w:sz="0" w:space="0" w:color="auto"/>
                                              </w:divBdr>
                                              <w:divsChild>
                                                <w:div w:id="804665086">
                                                  <w:marLeft w:val="0"/>
                                                  <w:marRight w:val="0"/>
                                                  <w:marTop w:val="0"/>
                                                  <w:marBottom w:val="0"/>
                                                  <w:divBdr>
                                                    <w:top w:val="none" w:sz="0" w:space="0" w:color="auto"/>
                                                    <w:left w:val="none" w:sz="0" w:space="0" w:color="auto"/>
                                                    <w:bottom w:val="none" w:sz="0" w:space="0" w:color="auto"/>
                                                    <w:right w:val="none" w:sz="0" w:space="0" w:color="auto"/>
                                                  </w:divBdr>
                                                  <w:divsChild>
                                                    <w:div w:id="1981500546">
                                                      <w:marLeft w:val="0"/>
                                                      <w:marRight w:val="0"/>
                                                      <w:marTop w:val="0"/>
                                                      <w:marBottom w:val="0"/>
                                                      <w:divBdr>
                                                        <w:top w:val="none" w:sz="0" w:space="0" w:color="auto"/>
                                                        <w:left w:val="none" w:sz="0" w:space="0" w:color="auto"/>
                                                        <w:bottom w:val="none" w:sz="0" w:space="0" w:color="auto"/>
                                                        <w:right w:val="none" w:sz="0" w:space="0" w:color="auto"/>
                                                      </w:divBdr>
                                                      <w:divsChild>
                                                        <w:div w:id="827130514">
                                                          <w:marLeft w:val="0"/>
                                                          <w:marRight w:val="0"/>
                                                          <w:marTop w:val="0"/>
                                                          <w:marBottom w:val="0"/>
                                                          <w:divBdr>
                                                            <w:top w:val="none" w:sz="0" w:space="0" w:color="auto"/>
                                                            <w:left w:val="none" w:sz="0" w:space="0" w:color="auto"/>
                                                            <w:bottom w:val="none" w:sz="0" w:space="0" w:color="auto"/>
                                                            <w:right w:val="none" w:sz="0" w:space="0" w:color="auto"/>
                                                          </w:divBdr>
                                                        </w:div>
                                                        <w:div w:id="2130396241">
                                                          <w:marLeft w:val="0"/>
                                                          <w:marRight w:val="0"/>
                                                          <w:marTop w:val="0"/>
                                                          <w:marBottom w:val="0"/>
                                                          <w:divBdr>
                                                            <w:top w:val="none" w:sz="0" w:space="0" w:color="auto"/>
                                                            <w:left w:val="none" w:sz="0" w:space="0" w:color="auto"/>
                                                            <w:bottom w:val="none" w:sz="0" w:space="0" w:color="auto"/>
                                                            <w:right w:val="none" w:sz="0" w:space="0" w:color="auto"/>
                                                          </w:divBdr>
                                                          <w:divsChild>
                                                            <w:div w:id="5164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4164234">
      <w:bodyDiv w:val="1"/>
      <w:marLeft w:val="0"/>
      <w:marRight w:val="0"/>
      <w:marTop w:val="0"/>
      <w:marBottom w:val="0"/>
      <w:divBdr>
        <w:top w:val="none" w:sz="0" w:space="0" w:color="auto"/>
        <w:left w:val="none" w:sz="0" w:space="0" w:color="auto"/>
        <w:bottom w:val="none" w:sz="0" w:space="0" w:color="auto"/>
        <w:right w:val="none" w:sz="0" w:space="0" w:color="auto"/>
      </w:divBdr>
      <w:divsChild>
        <w:div w:id="1590187793">
          <w:marLeft w:val="0"/>
          <w:marRight w:val="0"/>
          <w:marTop w:val="0"/>
          <w:marBottom w:val="0"/>
          <w:divBdr>
            <w:top w:val="none" w:sz="0" w:space="0" w:color="auto"/>
            <w:left w:val="none" w:sz="0" w:space="0" w:color="auto"/>
            <w:bottom w:val="none" w:sz="0" w:space="0" w:color="auto"/>
            <w:right w:val="none" w:sz="0" w:space="0" w:color="auto"/>
          </w:divBdr>
          <w:divsChild>
            <w:div w:id="1799640092">
              <w:marLeft w:val="0"/>
              <w:marRight w:val="0"/>
              <w:marTop w:val="0"/>
              <w:marBottom w:val="0"/>
              <w:divBdr>
                <w:top w:val="none" w:sz="0" w:space="0" w:color="auto"/>
                <w:left w:val="none" w:sz="0" w:space="0" w:color="auto"/>
                <w:bottom w:val="none" w:sz="0" w:space="0" w:color="auto"/>
                <w:right w:val="none" w:sz="0" w:space="0" w:color="auto"/>
              </w:divBdr>
              <w:divsChild>
                <w:div w:id="1584994765">
                  <w:marLeft w:val="0"/>
                  <w:marRight w:val="0"/>
                  <w:marTop w:val="0"/>
                  <w:marBottom w:val="0"/>
                  <w:divBdr>
                    <w:top w:val="none" w:sz="0" w:space="0" w:color="auto"/>
                    <w:left w:val="none" w:sz="0" w:space="0" w:color="auto"/>
                    <w:bottom w:val="none" w:sz="0" w:space="0" w:color="auto"/>
                    <w:right w:val="none" w:sz="0" w:space="0" w:color="auto"/>
                  </w:divBdr>
                  <w:divsChild>
                    <w:div w:id="463425164">
                      <w:marLeft w:val="0"/>
                      <w:marRight w:val="0"/>
                      <w:marTop w:val="0"/>
                      <w:marBottom w:val="300"/>
                      <w:divBdr>
                        <w:top w:val="none" w:sz="0" w:space="0" w:color="auto"/>
                        <w:left w:val="none" w:sz="0" w:space="0" w:color="auto"/>
                        <w:bottom w:val="none" w:sz="0" w:space="0" w:color="auto"/>
                        <w:right w:val="none" w:sz="0" w:space="0" w:color="auto"/>
                      </w:divBdr>
                      <w:divsChild>
                        <w:div w:id="2615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015602">
      <w:bodyDiv w:val="1"/>
      <w:marLeft w:val="0"/>
      <w:marRight w:val="0"/>
      <w:marTop w:val="0"/>
      <w:marBottom w:val="0"/>
      <w:divBdr>
        <w:top w:val="none" w:sz="0" w:space="0" w:color="auto"/>
        <w:left w:val="none" w:sz="0" w:space="0" w:color="auto"/>
        <w:bottom w:val="none" w:sz="0" w:space="0" w:color="auto"/>
        <w:right w:val="none" w:sz="0" w:space="0" w:color="auto"/>
      </w:divBdr>
    </w:div>
    <w:div w:id="1345474908">
      <w:bodyDiv w:val="1"/>
      <w:marLeft w:val="0"/>
      <w:marRight w:val="0"/>
      <w:marTop w:val="0"/>
      <w:marBottom w:val="0"/>
      <w:divBdr>
        <w:top w:val="none" w:sz="0" w:space="0" w:color="auto"/>
        <w:left w:val="none" w:sz="0" w:space="0" w:color="auto"/>
        <w:bottom w:val="none" w:sz="0" w:space="0" w:color="auto"/>
        <w:right w:val="none" w:sz="0" w:space="0" w:color="auto"/>
      </w:divBdr>
    </w:div>
    <w:div w:id="1350373431">
      <w:bodyDiv w:val="1"/>
      <w:marLeft w:val="0"/>
      <w:marRight w:val="0"/>
      <w:marTop w:val="0"/>
      <w:marBottom w:val="0"/>
      <w:divBdr>
        <w:top w:val="none" w:sz="0" w:space="0" w:color="auto"/>
        <w:left w:val="none" w:sz="0" w:space="0" w:color="auto"/>
        <w:bottom w:val="none" w:sz="0" w:space="0" w:color="auto"/>
        <w:right w:val="none" w:sz="0" w:space="0" w:color="auto"/>
      </w:divBdr>
      <w:divsChild>
        <w:div w:id="1775981346">
          <w:marLeft w:val="0"/>
          <w:marRight w:val="0"/>
          <w:marTop w:val="0"/>
          <w:marBottom w:val="0"/>
          <w:divBdr>
            <w:top w:val="none" w:sz="0" w:space="0" w:color="auto"/>
            <w:left w:val="none" w:sz="0" w:space="0" w:color="auto"/>
            <w:bottom w:val="none" w:sz="0" w:space="0" w:color="auto"/>
            <w:right w:val="none" w:sz="0" w:space="0" w:color="auto"/>
          </w:divBdr>
          <w:divsChild>
            <w:div w:id="938683745">
              <w:marLeft w:val="0"/>
              <w:marRight w:val="0"/>
              <w:marTop w:val="0"/>
              <w:marBottom w:val="0"/>
              <w:divBdr>
                <w:top w:val="none" w:sz="0" w:space="0" w:color="auto"/>
                <w:left w:val="none" w:sz="0" w:space="0" w:color="auto"/>
                <w:bottom w:val="none" w:sz="0" w:space="0" w:color="auto"/>
                <w:right w:val="none" w:sz="0" w:space="0" w:color="auto"/>
              </w:divBdr>
              <w:divsChild>
                <w:div w:id="109128949">
                  <w:marLeft w:val="0"/>
                  <w:marRight w:val="0"/>
                  <w:marTop w:val="0"/>
                  <w:marBottom w:val="0"/>
                  <w:divBdr>
                    <w:top w:val="none" w:sz="0" w:space="0" w:color="auto"/>
                    <w:left w:val="none" w:sz="0" w:space="0" w:color="auto"/>
                    <w:bottom w:val="none" w:sz="0" w:space="0" w:color="auto"/>
                    <w:right w:val="none" w:sz="0" w:space="0" w:color="auto"/>
                  </w:divBdr>
                  <w:divsChild>
                    <w:div w:id="2077048900">
                      <w:marLeft w:val="0"/>
                      <w:marRight w:val="0"/>
                      <w:marTop w:val="0"/>
                      <w:marBottom w:val="300"/>
                      <w:divBdr>
                        <w:top w:val="none" w:sz="0" w:space="0" w:color="auto"/>
                        <w:left w:val="none" w:sz="0" w:space="0" w:color="auto"/>
                        <w:bottom w:val="none" w:sz="0" w:space="0" w:color="auto"/>
                        <w:right w:val="none" w:sz="0" w:space="0" w:color="auto"/>
                      </w:divBdr>
                      <w:divsChild>
                        <w:div w:id="192807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87229">
      <w:bodyDiv w:val="1"/>
      <w:marLeft w:val="0"/>
      <w:marRight w:val="0"/>
      <w:marTop w:val="0"/>
      <w:marBottom w:val="0"/>
      <w:divBdr>
        <w:top w:val="none" w:sz="0" w:space="0" w:color="auto"/>
        <w:left w:val="none" w:sz="0" w:space="0" w:color="auto"/>
        <w:bottom w:val="none" w:sz="0" w:space="0" w:color="auto"/>
        <w:right w:val="none" w:sz="0" w:space="0" w:color="auto"/>
      </w:divBdr>
      <w:divsChild>
        <w:div w:id="1694113646">
          <w:marLeft w:val="0"/>
          <w:marRight w:val="0"/>
          <w:marTop w:val="0"/>
          <w:marBottom w:val="0"/>
          <w:divBdr>
            <w:top w:val="none" w:sz="0" w:space="0" w:color="auto"/>
            <w:left w:val="none" w:sz="0" w:space="0" w:color="auto"/>
            <w:bottom w:val="none" w:sz="0" w:space="0" w:color="auto"/>
            <w:right w:val="none" w:sz="0" w:space="0" w:color="auto"/>
          </w:divBdr>
          <w:divsChild>
            <w:div w:id="310138478">
              <w:marLeft w:val="0"/>
              <w:marRight w:val="0"/>
              <w:marTop w:val="0"/>
              <w:marBottom w:val="0"/>
              <w:divBdr>
                <w:top w:val="none" w:sz="0" w:space="0" w:color="auto"/>
                <w:left w:val="none" w:sz="0" w:space="0" w:color="auto"/>
                <w:bottom w:val="none" w:sz="0" w:space="0" w:color="auto"/>
                <w:right w:val="none" w:sz="0" w:space="0" w:color="auto"/>
              </w:divBdr>
              <w:divsChild>
                <w:div w:id="1667316807">
                  <w:marLeft w:val="0"/>
                  <w:marRight w:val="0"/>
                  <w:marTop w:val="0"/>
                  <w:marBottom w:val="0"/>
                  <w:divBdr>
                    <w:top w:val="none" w:sz="0" w:space="0" w:color="auto"/>
                    <w:left w:val="none" w:sz="0" w:space="0" w:color="auto"/>
                    <w:bottom w:val="none" w:sz="0" w:space="0" w:color="auto"/>
                    <w:right w:val="none" w:sz="0" w:space="0" w:color="auto"/>
                  </w:divBdr>
                  <w:divsChild>
                    <w:div w:id="604727186">
                      <w:marLeft w:val="0"/>
                      <w:marRight w:val="0"/>
                      <w:marTop w:val="0"/>
                      <w:marBottom w:val="375"/>
                      <w:divBdr>
                        <w:top w:val="none" w:sz="0" w:space="0" w:color="auto"/>
                        <w:left w:val="none" w:sz="0" w:space="0" w:color="auto"/>
                        <w:bottom w:val="none" w:sz="0" w:space="0" w:color="auto"/>
                        <w:right w:val="none" w:sz="0" w:space="0" w:color="auto"/>
                      </w:divBdr>
                      <w:divsChild>
                        <w:div w:id="174059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618166">
      <w:bodyDiv w:val="1"/>
      <w:marLeft w:val="0"/>
      <w:marRight w:val="0"/>
      <w:marTop w:val="0"/>
      <w:marBottom w:val="0"/>
      <w:divBdr>
        <w:top w:val="none" w:sz="0" w:space="0" w:color="auto"/>
        <w:left w:val="none" w:sz="0" w:space="0" w:color="auto"/>
        <w:bottom w:val="none" w:sz="0" w:space="0" w:color="auto"/>
        <w:right w:val="none" w:sz="0" w:space="0" w:color="auto"/>
      </w:divBdr>
      <w:divsChild>
        <w:div w:id="2037921818">
          <w:marLeft w:val="0"/>
          <w:marRight w:val="0"/>
          <w:marTop w:val="0"/>
          <w:marBottom w:val="0"/>
          <w:divBdr>
            <w:top w:val="none" w:sz="0" w:space="0" w:color="auto"/>
            <w:left w:val="none" w:sz="0" w:space="0" w:color="auto"/>
            <w:bottom w:val="none" w:sz="0" w:space="0" w:color="auto"/>
            <w:right w:val="none" w:sz="0" w:space="0" w:color="auto"/>
          </w:divBdr>
          <w:divsChild>
            <w:div w:id="664432814">
              <w:marLeft w:val="0"/>
              <w:marRight w:val="0"/>
              <w:marTop w:val="0"/>
              <w:marBottom w:val="0"/>
              <w:divBdr>
                <w:top w:val="none" w:sz="0" w:space="0" w:color="auto"/>
                <w:left w:val="none" w:sz="0" w:space="0" w:color="auto"/>
                <w:bottom w:val="none" w:sz="0" w:space="0" w:color="auto"/>
                <w:right w:val="none" w:sz="0" w:space="0" w:color="auto"/>
              </w:divBdr>
              <w:divsChild>
                <w:div w:id="1223443388">
                  <w:marLeft w:val="0"/>
                  <w:marRight w:val="0"/>
                  <w:marTop w:val="0"/>
                  <w:marBottom w:val="0"/>
                  <w:divBdr>
                    <w:top w:val="none" w:sz="0" w:space="0" w:color="auto"/>
                    <w:left w:val="none" w:sz="0" w:space="0" w:color="auto"/>
                    <w:bottom w:val="none" w:sz="0" w:space="0" w:color="auto"/>
                    <w:right w:val="none" w:sz="0" w:space="0" w:color="auto"/>
                  </w:divBdr>
                  <w:divsChild>
                    <w:div w:id="1943492069">
                      <w:marLeft w:val="0"/>
                      <w:marRight w:val="0"/>
                      <w:marTop w:val="0"/>
                      <w:marBottom w:val="300"/>
                      <w:divBdr>
                        <w:top w:val="none" w:sz="0" w:space="0" w:color="auto"/>
                        <w:left w:val="none" w:sz="0" w:space="0" w:color="auto"/>
                        <w:bottom w:val="none" w:sz="0" w:space="0" w:color="auto"/>
                        <w:right w:val="none" w:sz="0" w:space="0" w:color="auto"/>
                      </w:divBdr>
                      <w:divsChild>
                        <w:div w:id="9476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736197">
      <w:bodyDiv w:val="1"/>
      <w:marLeft w:val="0"/>
      <w:marRight w:val="0"/>
      <w:marTop w:val="0"/>
      <w:marBottom w:val="0"/>
      <w:divBdr>
        <w:top w:val="none" w:sz="0" w:space="0" w:color="auto"/>
        <w:left w:val="none" w:sz="0" w:space="0" w:color="auto"/>
        <w:bottom w:val="none" w:sz="0" w:space="0" w:color="auto"/>
        <w:right w:val="none" w:sz="0" w:space="0" w:color="auto"/>
      </w:divBdr>
      <w:divsChild>
        <w:div w:id="498036889">
          <w:marLeft w:val="0"/>
          <w:marRight w:val="0"/>
          <w:marTop w:val="0"/>
          <w:marBottom w:val="0"/>
          <w:divBdr>
            <w:top w:val="none" w:sz="0" w:space="0" w:color="auto"/>
            <w:left w:val="none" w:sz="0" w:space="0" w:color="auto"/>
            <w:bottom w:val="none" w:sz="0" w:space="0" w:color="auto"/>
            <w:right w:val="none" w:sz="0" w:space="0" w:color="auto"/>
          </w:divBdr>
          <w:divsChild>
            <w:div w:id="1203442153">
              <w:marLeft w:val="0"/>
              <w:marRight w:val="0"/>
              <w:marTop w:val="0"/>
              <w:marBottom w:val="0"/>
              <w:divBdr>
                <w:top w:val="none" w:sz="0" w:space="0" w:color="auto"/>
                <w:left w:val="none" w:sz="0" w:space="0" w:color="auto"/>
                <w:bottom w:val="none" w:sz="0" w:space="0" w:color="auto"/>
                <w:right w:val="none" w:sz="0" w:space="0" w:color="auto"/>
              </w:divBdr>
              <w:divsChild>
                <w:div w:id="956375885">
                  <w:marLeft w:val="0"/>
                  <w:marRight w:val="0"/>
                  <w:marTop w:val="0"/>
                  <w:marBottom w:val="0"/>
                  <w:divBdr>
                    <w:top w:val="none" w:sz="0" w:space="0" w:color="auto"/>
                    <w:left w:val="none" w:sz="0" w:space="0" w:color="auto"/>
                    <w:bottom w:val="none" w:sz="0" w:space="0" w:color="auto"/>
                    <w:right w:val="none" w:sz="0" w:space="0" w:color="auto"/>
                  </w:divBdr>
                  <w:divsChild>
                    <w:div w:id="1165173056">
                      <w:marLeft w:val="0"/>
                      <w:marRight w:val="0"/>
                      <w:marTop w:val="0"/>
                      <w:marBottom w:val="300"/>
                      <w:divBdr>
                        <w:top w:val="none" w:sz="0" w:space="0" w:color="auto"/>
                        <w:left w:val="none" w:sz="0" w:space="0" w:color="auto"/>
                        <w:bottom w:val="none" w:sz="0" w:space="0" w:color="auto"/>
                        <w:right w:val="none" w:sz="0" w:space="0" w:color="auto"/>
                      </w:divBdr>
                      <w:divsChild>
                        <w:div w:id="131584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17551">
      <w:bodyDiv w:val="1"/>
      <w:marLeft w:val="0"/>
      <w:marRight w:val="0"/>
      <w:marTop w:val="0"/>
      <w:marBottom w:val="0"/>
      <w:divBdr>
        <w:top w:val="none" w:sz="0" w:space="0" w:color="auto"/>
        <w:left w:val="none" w:sz="0" w:space="0" w:color="auto"/>
        <w:bottom w:val="none" w:sz="0" w:space="0" w:color="auto"/>
        <w:right w:val="none" w:sz="0" w:space="0" w:color="auto"/>
      </w:divBdr>
      <w:divsChild>
        <w:div w:id="1549606466">
          <w:marLeft w:val="0"/>
          <w:marRight w:val="0"/>
          <w:marTop w:val="0"/>
          <w:marBottom w:val="0"/>
          <w:divBdr>
            <w:top w:val="none" w:sz="0" w:space="0" w:color="auto"/>
            <w:left w:val="none" w:sz="0" w:space="0" w:color="auto"/>
            <w:bottom w:val="none" w:sz="0" w:space="0" w:color="auto"/>
            <w:right w:val="none" w:sz="0" w:space="0" w:color="auto"/>
          </w:divBdr>
          <w:divsChild>
            <w:div w:id="493884566">
              <w:marLeft w:val="0"/>
              <w:marRight w:val="0"/>
              <w:marTop w:val="0"/>
              <w:marBottom w:val="0"/>
              <w:divBdr>
                <w:top w:val="none" w:sz="0" w:space="0" w:color="auto"/>
                <w:left w:val="none" w:sz="0" w:space="0" w:color="auto"/>
                <w:bottom w:val="none" w:sz="0" w:space="0" w:color="auto"/>
                <w:right w:val="none" w:sz="0" w:space="0" w:color="auto"/>
              </w:divBdr>
              <w:divsChild>
                <w:div w:id="2064056714">
                  <w:marLeft w:val="0"/>
                  <w:marRight w:val="0"/>
                  <w:marTop w:val="0"/>
                  <w:marBottom w:val="0"/>
                  <w:divBdr>
                    <w:top w:val="none" w:sz="0" w:space="0" w:color="auto"/>
                    <w:left w:val="none" w:sz="0" w:space="0" w:color="auto"/>
                    <w:bottom w:val="none" w:sz="0" w:space="0" w:color="auto"/>
                    <w:right w:val="none" w:sz="0" w:space="0" w:color="auto"/>
                  </w:divBdr>
                  <w:divsChild>
                    <w:div w:id="1425684854">
                      <w:marLeft w:val="0"/>
                      <w:marRight w:val="0"/>
                      <w:marTop w:val="0"/>
                      <w:marBottom w:val="300"/>
                      <w:divBdr>
                        <w:top w:val="none" w:sz="0" w:space="0" w:color="auto"/>
                        <w:left w:val="none" w:sz="0" w:space="0" w:color="auto"/>
                        <w:bottom w:val="none" w:sz="0" w:space="0" w:color="auto"/>
                        <w:right w:val="none" w:sz="0" w:space="0" w:color="auto"/>
                      </w:divBdr>
                      <w:divsChild>
                        <w:div w:id="18785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171350">
      <w:bodyDiv w:val="1"/>
      <w:marLeft w:val="0"/>
      <w:marRight w:val="0"/>
      <w:marTop w:val="0"/>
      <w:marBottom w:val="0"/>
      <w:divBdr>
        <w:top w:val="none" w:sz="0" w:space="0" w:color="auto"/>
        <w:left w:val="none" w:sz="0" w:space="0" w:color="auto"/>
        <w:bottom w:val="none" w:sz="0" w:space="0" w:color="auto"/>
        <w:right w:val="none" w:sz="0" w:space="0" w:color="auto"/>
      </w:divBdr>
      <w:divsChild>
        <w:div w:id="1645311100">
          <w:marLeft w:val="0"/>
          <w:marRight w:val="0"/>
          <w:marTop w:val="0"/>
          <w:marBottom w:val="0"/>
          <w:divBdr>
            <w:top w:val="none" w:sz="0" w:space="0" w:color="auto"/>
            <w:left w:val="none" w:sz="0" w:space="0" w:color="auto"/>
            <w:bottom w:val="none" w:sz="0" w:space="0" w:color="auto"/>
            <w:right w:val="none" w:sz="0" w:space="0" w:color="auto"/>
          </w:divBdr>
          <w:divsChild>
            <w:div w:id="1665743935">
              <w:marLeft w:val="0"/>
              <w:marRight w:val="0"/>
              <w:marTop w:val="0"/>
              <w:marBottom w:val="0"/>
              <w:divBdr>
                <w:top w:val="none" w:sz="0" w:space="0" w:color="auto"/>
                <w:left w:val="none" w:sz="0" w:space="0" w:color="auto"/>
                <w:bottom w:val="none" w:sz="0" w:space="0" w:color="auto"/>
                <w:right w:val="none" w:sz="0" w:space="0" w:color="auto"/>
              </w:divBdr>
              <w:divsChild>
                <w:div w:id="282469451">
                  <w:marLeft w:val="0"/>
                  <w:marRight w:val="0"/>
                  <w:marTop w:val="0"/>
                  <w:marBottom w:val="0"/>
                  <w:divBdr>
                    <w:top w:val="none" w:sz="0" w:space="0" w:color="auto"/>
                    <w:left w:val="none" w:sz="0" w:space="0" w:color="auto"/>
                    <w:bottom w:val="none" w:sz="0" w:space="0" w:color="auto"/>
                    <w:right w:val="none" w:sz="0" w:space="0" w:color="auto"/>
                  </w:divBdr>
                  <w:divsChild>
                    <w:div w:id="62527680">
                      <w:marLeft w:val="0"/>
                      <w:marRight w:val="0"/>
                      <w:marTop w:val="0"/>
                      <w:marBottom w:val="300"/>
                      <w:divBdr>
                        <w:top w:val="none" w:sz="0" w:space="0" w:color="auto"/>
                        <w:left w:val="none" w:sz="0" w:space="0" w:color="auto"/>
                        <w:bottom w:val="none" w:sz="0" w:space="0" w:color="auto"/>
                        <w:right w:val="none" w:sz="0" w:space="0" w:color="auto"/>
                      </w:divBdr>
                      <w:divsChild>
                        <w:div w:id="10120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551477">
      <w:bodyDiv w:val="1"/>
      <w:marLeft w:val="0"/>
      <w:marRight w:val="0"/>
      <w:marTop w:val="0"/>
      <w:marBottom w:val="0"/>
      <w:divBdr>
        <w:top w:val="none" w:sz="0" w:space="0" w:color="auto"/>
        <w:left w:val="none" w:sz="0" w:space="0" w:color="auto"/>
        <w:bottom w:val="none" w:sz="0" w:space="0" w:color="auto"/>
        <w:right w:val="none" w:sz="0" w:space="0" w:color="auto"/>
      </w:divBdr>
      <w:divsChild>
        <w:div w:id="105008439">
          <w:marLeft w:val="0"/>
          <w:marRight w:val="0"/>
          <w:marTop w:val="0"/>
          <w:marBottom w:val="0"/>
          <w:divBdr>
            <w:top w:val="none" w:sz="0" w:space="0" w:color="auto"/>
            <w:left w:val="none" w:sz="0" w:space="0" w:color="auto"/>
            <w:bottom w:val="none" w:sz="0" w:space="0" w:color="auto"/>
            <w:right w:val="none" w:sz="0" w:space="0" w:color="auto"/>
          </w:divBdr>
          <w:divsChild>
            <w:div w:id="1803964802">
              <w:marLeft w:val="0"/>
              <w:marRight w:val="0"/>
              <w:marTop w:val="0"/>
              <w:marBottom w:val="0"/>
              <w:divBdr>
                <w:top w:val="none" w:sz="0" w:space="0" w:color="auto"/>
                <w:left w:val="none" w:sz="0" w:space="0" w:color="auto"/>
                <w:bottom w:val="none" w:sz="0" w:space="0" w:color="auto"/>
                <w:right w:val="none" w:sz="0" w:space="0" w:color="auto"/>
              </w:divBdr>
              <w:divsChild>
                <w:div w:id="1496604691">
                  <w:marLeft w:val="0"/>
                  <w:marRight w:val="0"/>
                  <w:marTop w:val="0"/>
                  <w:marBottom w:val="0"/>
                  <w:divBdr>
                    <w:top w:val="none" w:sz="0" w:space="0" w:color="auto"/>
                    <w:left w:val="none" w:sz="0" w:space="0" w:color="auto"/>
                    <w:bottom w:val="none" w:sz="0" w:space="0" w:color="auto"/>
                    <w:right w:val="none" w:sz="0" w:space="0" w:color="auto"/>
                  </w:divBdr>
                  <w:divsChild>
                    <w:div w:id="365912397">
                      <w:marLeft w:val="0"/>
                      <w:marRight w:val="0"/>
                      <w:marTop w:val="0"/>
                      <w:marBottom w:val="375"/>
                      <w:divBdr>
                        <w:top w:val="none" w:sz="0" w:space="0" w:color="auto"/>
                        <w:left w:val="none" w:sz="0" w:space="0" w:color="auto"/>
                        <w:bottom w:val="none" w:sz="0" w:space="0" w:color="auto"/>
                        <w:right w:val="none" w:sz="0" w:space="0" w:color="auto"/>
                      </w:divBdr>
                      <w:divsChild>
                        <w:div w:id="5165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094762">
      <w:bodyDiv w:val="1"/>
      <w:marLeft w:val="0"/>
      <w:marRight w:val="0"/>
      <w:marTop w:val="0"/>
      <w:marBottom w:val="0"/>
      <w:divBdr>
        <w:top w:val="none" w:sz="0" w:space="0" w:color="auto"/>
        <w:left w:val="none" w:sz="0" w:space="0" w:color="auto"/>
        <w:bottom w:val="none" w:sz="0" w:space="0" w:color="auto"/>
        <w:right w:val="none" w:sz="0" w:space="0" w:color="auto"/>
      </w:divBdr>
      <w:divsChild>
        <w:div w:id="967468745">
          <w:marLeft w:val="0"/>
          <w:marRight w:val="0"/>
          <w:marTop w:val="0"/>
          <w:marBottom w:val="0"/>
          <w:divBdr>
            <w:top w:val="none" w:sz="0" w:space="0" w:color="auto"/>
            <w:left w:val="none" w:sz="0" w:space="0" w:color="auto"/>
            <w:bottom w:val="none" w:sz="0" w:space="0" w:color="auto"/>
            <w:right w:val="none" w:sz="0" w:space="0" w:color="auto"/>
          </w:divBdr>
        </w:div>
        <w:div w:id="16852264">
          <w:marLeft w:val="0"/>
          <w:marRight w:val="0"/>
          <w:marTop w:val="240"/>
          <w:marBottom w:val="0"/>
          <w:divBdr>
            <w:top w:val="none" w:sz="0" w:space="0" w:color="auto"/>
            <w:left w:val="none" w:sz="0" w:space="0" w:color="auto"/>
            <w:bottom w:val="none" w:sz="0" w:space="0" w:color="auto"/>
            <w:right w:val="none" w:sz="0" w:space="0" w:color="auto"/>
          </w:divBdr>
          <w:divsChild>
            <w:div w:id="1445347679">
              <w:marLeft w:val="0"/>
              <w:marRight w:val="0"/>
              <w:marTop w:val="0"/>
              <w:marBottom w:val="0"/>
              <w:divBdr>
                <w:top w:val="none" w:sz="0" w:space="0" w:color="auto"/>
                <w:left w:val="none" w:sz="0" w:space="0" w:color="auto"/>
                <w:bottom w:val="none" w:sz="0" w:space="0" w:color="auto"/>
                <w:right w:val="none" w:sz="0" w:space="0" w:color="auto"/>
              </w:divBdr>
            </w:div>
            <w:div w:id="1942758931">
              <w:marLeft w:val="0"/>
              <w:marRight w:val="0"/>
              <w:marTop w:val="240"/>
              <w:marBottom w:val="0"/>
              <w:divBdr>
                <w:top w:val="none" w:sz="0" w:space="0" w:color="auto"/>
                <w:left w:val="none" w:sz="0" w:space="0" w:color="auto"/>
                <w:bottom w:val="none" w:sz="0" w:space="0" w:color="auto"/>
                <w:right w:val="none" w:sz="0" w:space="0" w:color="auto"/>
              </w:divBdr>
              <w:divsChild>
                <w:div w:id="1745109503">
                  <w:marLeft w:val="0"/>
                  <w:marRight w:val="0"/>
                  <w:marTop w:val="0"/>
                  <w:marBottom w:val="0"/>
                  <w:divBdr>
                    <w:top w:val="none" w:sz="0" w:space="0" w:color="auto"/>
                    <w:left w:val="none" w:sz="0" w:space="0" w:color="auto"/>
                    <w:bottom w:val="none" w:sz="0" w:space="0" w:color="auto"/>
                    <w:right w:val="none" w:sz="0" w:space="0" w:color="auto"/>
                  </w:divBdr>
                </w:div>
              </w:divsChild>
            </w:div>
            <w:div w:id="659389457">
              <w:marLeft w:val="0"/>
              <w:marRight w:val="0"/>
              <w:marTop w:val="240"/>
              <w:marBottom w:val="0"/>
              <w:divBdr>
                <w:top w:val="none" w:sz="0" w:space="0" w:color="auto"/>
                <w:left w:val="none" w:sz="0" w:space="0" w:color="auto"/>
                <w:bottom w:val="none" w:sz="0" w:space="0" w:color="auto"/>
                <w:right w:val="none" w:sz="0" w:space="0" w:color="auto"/>
              </w:divBdr>
              <w:divsChild>
                <w:div w:id="1277181107">
                  <w:marLeft w:val="0"/>
                  <w:marRight w:val="0"/>
                  <w:marTop w:val="0"/>
                  <w:marBottom w:val="0"/>
                  <w:divBdr>
                    <w:top w:val="none" w:sz="0" w:space="0" w:color="auto"/>
                    <w:left w:val="none" w:sz="0" w:space="0" w:color="auto"/>
                    <w:bottom w:val="none" w:sz="0" w:space="0" w:color="auto"/>
                    <w:right w:val="none" w:sz="0" w:space="0" w:color="auto"/>
                  </w:divBdr>
                </w:div>
              </w:divsChild>
            </w:div>
            <w:div w:id="1014381395">
              <w:marLeft w:val="0"/>
              <w:marRight w:val="0"/>
              <w:marTop w:val="240"/>
              <w:marBottom w:val="0"/>
              <w:divBdr>
                <w:top w:val="none" w:sz="0" w:space="0" w:color="auto"/>
                <w:left w:val="none" w:sz="0" w:space="0" w:color="auto"/>
                <w:bottom w:val="none" w:sz="0" w:space="0" w:color="auto"/>
                <w:right w:val="none" w:sz="0" w:space="0" w:color="auto"/>
              </w:divBdr>
            </w:div>
          </w:divsChild>
        </w:div>
        <w:div w:id="816189429">
          <w:marLeft w:val="0"/>
          <w:marRight w:val="0"/>
          <w:marTop w:val="240"/>
          <w:marBottom w:val="0"/>
          <w:divBdr>
            <w:top w:val="none" w:sz="0" w:space="0" w:color="auto"/>
            <w:left w:val="none" w:sz="0" w:space="0" w:color="auto"/>
            <w:bottom w:val="none" w:sz="0" w:space="0" w:color="auto"/>
            <w:right w:val="none" w:sz="0" w:space="0" w:color="auto"/>
          </w:divBdr>
          <w:divsChild>
            <w:div w:id="162548953">
              <w:marLeft w:val="0"/>
              <w:marRight w:val="0"/>
              <w:marTop w:val="0"/>
              <w:marBottom w:val="0"/>
              <w:divBdr>
                <w:top w:val="none" w:sz="0" w:space="0" w:color="auto"/>
                <w:left w:val="none" w:sz="0" w:space="0" w:color="auto"/>
                <w:bottom w:val="none" w:sz="0" w:space="0" w:color="auto"/>
                <w:right w:val="none" w:sz="0" w:space="0" w:color="auto"/>
              </w:divBdr>
            </w:div>
          </w:divsChild>
        </w:div>
        <w:div w:id="263000968">
          <w:marLeft w:val="0"/>
          <w:marRight w:val="0"/>
          <w:marTop w:val="240"/>
          <w:marBottom w:val="0"/>
          <w:divBdr>
            <w:top w:val="none" w:sz="0" w:space="0" w:color="auto"/>
            <w:left w:val="none" w:sz="0" w:space="0" w:color="auto"/>
            <w:bottom w:val="none" w:sz="0" w:space="0" w:color="auto"/>
            <w:right w:val="none" w:sz="0" w:space="0" w:color="auto"/>
          </w:divBdr>
          <w:divsChild>
            <w:div w:id="12331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60199">
      <w:bodyDiv w:val="1"/>
      <w:marLeft w:val="0"/>
      <w:marRight w:val="0"/>
      <w:marTop w:val="0"/>
      <w:marBottom w:val="0"/>
      <w:divBdr>
        <w:top w:val="none" w:sz="0" w:space="0" w:color="auto"/>
        <w:left w:val="none" w:sz="0" w:space="0" w:color="auto"/>
        <w:bottom w:val="none" w:sz="0" w:space="0" w:color="auto"/>
        <w:right w:val="none" w:sz="0" w:space="0" w:color="auto"/>
      </w:divBdr>
    </w:div>
    <w:div w:id="1364402573">
      <w:bodyDiv w:val="1"/>
      <w:marLeft w:val="0"/>
      <w:marRight w:val="0"/>
      <w:marTop w:val="0"/>
      <w:marBottom w:val="0"/>
      <w:divBdr>
        <w:top w:val="none" w:sz="0" w:space="0" w:color="auto"/>
        <w:left w:val="none" w:sz="0" w:space="0" w:color="auto"/>
        <w:bottom w:val="none" w:sz="0" w:space="0" w:color="auto"/>
        <w:right w:val="none" w:sz="0" w:space="0" w:color="auto"/>
      </w:divBdr>
      <w:divsChild>
        <w:div w:id="582879738">
          <w:marLeft w:val="0"/>
          <w:marRight w:val="0"/>
          <w:marTop w:val="0"/>
          <w:marBottom w:val="0"/>
          <w:divBdr>
            <w:top w:val="none" w:sz="0" w:space="0" w:color="auto"/>
            <w:left w:val="none" w:sz="0" w:space="0" w:color="auto"/>
            <w:bottom w:val="none" w:sz="0" w:space="0" w:color="auto"/>
            <w:right w:val="none" w:sz="0" w:space="0" w:color="auto"/>
          </w:divBdr>
          <w:divsChild>
            <w:div w:id="1263148285">
              <w:marLeft w:val="0"/>
              <w:marRight w:val="0"/>
              <w:marTop w:val="0"/>
              <w:marBottom w:val="0"/>
              <w:divBdr>
                <w:top w:val="none" w:sz="0" w:space="0" w:color="auto"/>
                <w:left w:val="none" w:sz="0" w:space="0" w:color="auto"/>
                <w:bottom w:val="none" w:sz="0" w:space="0" w:color="auto"/>
                <w:right w:val="none" w:sz="0" w:space="0" w:color="auto"/>
              </w:divBdr>
              <w:divsChild>
                <w:div w:id="1878159283">
                  <w:marLeft w:val="0"/>
                  <w:marRight w:val="0"/>
                  <w:marTop w:val="0"/>
                  <w:marBottom w:val="0"/>
                  <w:divBdr>
                    <w:top w:val="none" w:sz="0" w:space="0" w:color="auto"/>
                    <w:left w:val="none" w:sz="0" w:space="0" w:color="auto"/>
                    <w:bottom w:val="none" w:sz="0" w:space="0" w:color="auto"/>
                    <w:right w:val="none" w:sz="0" w:space="0" w:color="auto"/>
                  </w:divBdr>
                  <w:divsChild>
                    <w:div w:id="716321285">
                      <w:marLeft w:val="0"/>
                      <w:marRight w:val="0"/>
                      <w:marTop w:val="0"/>
                      <w:marBottom w:val="0"/>
                      <w:divBdr>
                        <w:top w:val="none" w:sz="0" w:space="0" w:color="auto"/>
                        <w:left w:val="none" w:sz="0" w:space="0" w:color="auto"/>
                        <w:bottom w:val="none" w:sz="0" w:space="0" w:color="auto"/>
                        <w:right w:val="none" w:sz="0" w:space="0" w:color="auto"/>
                      </w:divBdr>
                      <w:divsChild>
                        <w:div w:id="1002002466">
                          <w:marLeft w:val="0"/>
                          <w:marRight w:val="0"/>
                          <w:marTop w:val="0"/>
                          <w:marBottom w:val="0"/>
                          <w:divBdr>
                            <w:top w:val="none" w:sz="0" w:space="0" w:color="auto"/>
                            <w:left w:val="none" w:sz="0" w:space="0" w:color="auto"/>
                            <w:bottom w:val="none" w:sz="0" w:space="0" w:color="auto"/>
                            <w:right w:val="none" w:sz="0" w:space="0" w:color="auto"/>
                          </w:divBdr>
                          <w:divsChild>
                            <w:div w:id="32001361">
                              <w:marLeft w:val="0"/>
                              <w:marRight w:val="0"/>
                              <w:marTop w:val="0"/>
                              <w:marBottom w:val="0"/>
                              <w:divBdr>
                                <w:top w:val="none" w:sz="0" w:space="0" w:color="auto"/>
                                <w:left w:val="none" w:sz="0" w:space="0" w:color="auto"/>
                                <w:bottom w:val="none" w:sz="0" w:space="0" w:color="auto"/>
                                <w:right w:val="none" w:sz="0" w:space="0" w:color="auto"/>
                              </w:divBdr>
                              <w:divsChild>
                                <w:div w:id="162519376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251548">
      <w:bodyDiv w:val="1"/>
      <w:marLeft w:val="0"/>
      <w:marRight w:val="0"/>
      <w:marTop w:val="0"/>
      <w:marBottom w:val="0"/>
      <w:divBdr>
        <w:top w:val="none" w:sz="0" w:space="0" w:color="auto"/>
        <w:left w:val="none" w:sz="0" w:space="0" w:color="auto"/>
        <w:bottom w:val="none" w:sz="0" w:space="0" w:color="auto"/>
        <w:right w:val="none" w:sz="0" w:space="0" w:color="auto"/>
      </w:divBdr>
      <w:divsChild>
        <w:div w:id="2090730912">
          <w:marLeft w:val="0"/>
          <w:marRight w:val="0"/>
          <w:marTop w:val="0"/>
          <w:marBottom w:val="0"/>
          <w:divBdr>
            <w:top w:val="none" w:sz="0" w:space="0" w:color="auto"/>
            <w:left w:val="none" w:sz="0" w:space="0" w:color="auto"/>
            <w:bottom w:val="none" w:sz="0" w:space="0" w:color="auto"/>
            <w:right w:val="none" w:sz="0" w:space="0" w:color="auto"/>
          </w:divBdr>
          <w:divsChild>
            <w:div w:id="1858037807">
              <w:marLeft w:val="0"/>
              <w:marRight w:val="0"/>
              <w:marTop w:val="0"/>
              <w:marBottom w:val="0"/>
              <w:divBdr>
                <w:top w:val="none" w:sz="0" w:space="0" w:color="auto"/>
                <w:left w:val="none" w:sz="0" w:space="0" w:color="auto"/>
                <w:bottom w:val="none" w:sz="0" w:space="0" w:color="auto"/>
                <w:right w:val="none" w:sz="0" w:space="0" w:color="auto"/>
              </w:divBdr>
              <w:divsChild>
                <w:div w:id="526989599">
                  <w:marLeft w:val="0"/>
                  <w:marRight w:val="0"/>
                  <w:marTop w:val="0"/>
                  <w:marBottom w:val="0"/>
                  <w:divBdr>
                    <w:top w:val="none" w:sz="0" w:space="0" w:color="auto"/>
                    <w:left w:val="none" w:sz="0" w:space="0" w:color="auto"/>
                    <w:bottom w:val="none" w:sz="0" w:space="0" w:color="auto"/>
                    <w:right w:val="none" w:sz="0" w:space="0" w:color="auto"/>
                  </w:divBdr>
                  <w:divsChild>
                    <w:div w:id="1457597874">
                      <w:marLeft w:val="0"/>
                      <w:marRight w:val="0"/>
                      <w:marTop w:val="0"/>
                      <w:marBottom w:val="375"/>
                      <w:divBdr>
                        <w:top w:val="none" w:sz="0" w:space="0" w:color="auto"/>
                        <w:left w:val="none" w:sz="0" w:space="0" w:color="auto"/>
                        <w:bottom w:val="none" w:sz="0" w:space="0" w:color="auto"/>
                        <w:right w:val="none" w:sz="0" w:space="0" w:color="auto"/>
                      </w:divBdr>
                      <w:divsChild>
                        <w:div w:id="98573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756102">
      <w:bodyDiv w:val="1"/>
      <w:marLeft w:val="0"/>
      <w:marRight w:val="0"/>
      <w:marTop w:val="0"/>
      <w:marBottom w:val="0"/>
      <w:divBdr>
        <w:top w:val="none" w:sz="0" w:space="0" w:color="auto"/>
        <w:left w:val="none" w:sz="0" w:space="0" w:color="auto"/>
        <w:bottom w:val="none" w:sz="0" w:space="0" w:color="auto"/>
        <w:right w:val="none" w:sz="0" w:space="0" w:color="auto"/>
      </w:divBdr>
      <w:divsChild>
        <w:div w:id="1109279751">
          <w:marLeft w:val="0"/>
          <w:marRight w:val="0"/>
          <w:marTop w:val="0"/>
          <w:marBottom w:val="0"/>
          <w:divBdr>
            <w:top w:val="none" w:sz="0" w:space="0" w:color="auto"/>
            <w:left w:val="none" w:sz="0" w:space="0" w:color="auto"/>
            <w:bottom w:val="none" w:sz="0" w:space="0" w:color="auto"/>
            <w:right w:val="none" w:sz="0" w:space="0" w:color="auto"/>
          </w:divBdr>
          <w:divsChild>
            <w:div w:id="62222172">
              <w:marLeft w:val="0"/>
              <w:marRight w:val="0"/>
              <w:marTop w:val="0"/>
              <w:marBottom w:val="0"/>
              <w:divBdr>
                <w:top w:val="none" w:sz="0" w:space="0" w:color="auto"/>
                <w:left w:val="none" w:sz="0" w:space="0" w:color="auto"/>
                <w:bottom w:val="none" w:sz="0" w:space="0" w:color="auto"/>
                <w:right w:val="none" w:sz="0" w:space="0" w:color="auto"/>
              </w:divBdr>
              <w:divsChild>
                <w:div w:id="583995163">
                  <w:marLeft w:val="0"/>
                  <w:marRight w:val="0"/>
                  <w:marTop w:val="0"/>
                  <w:marBottom w:val="0"/>
                  <w:divBdr>
                    <w:top w:val="none" w:sz="0" w:space="0" w:color="auto"/>
                    <w:left w:val="none" w:sz="0" w:space="0" w:color="auto"/>
                    <w:bottom w:val="none" w:sz="0" w:space="0" w:color="auto"/>
                    <w:right w:val="none" w:sz="0" w:space="0" w:color="auto"/>
                  </w:divBdr>
                  <w:divsChild>
                    <w:div w:id="1354646527">
                      <w:marLeft w:val="0"/>
                      <w:marRight w:val="0"/>
                      <w:marTop w:val="0"/>
                      <w:marBottom w:val="300"/>
                      <w:divBdr>
                        <w:top w:val="none" w:sz="0" w:space="0" w:color="auto"/>
                        <w:left w:val="none" w:sz="0" w:space="0" w:color="auto"/>
                        <w:bottom w:val="none" w:sz="0" w:space="0" w:color="auto"/>
                        <w:right w:val="none" w:sz="0" w:space="0" w:color="auto"/>
                      </w:divBdr>
                      <w:divsChild>
                        <w:div w:id="15854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136789">
      <w:bodyDiv w:val="1"/>
      <w:marLeft w:val="0"/>
      <w:marRight w:val="0"/>
      <w:marTop w:val="0"/>
      <w:marBottom w:val="0"/>
      <w:divBdr>
        <w:top w:val="none" w:sz="0" w:space="0" w:color="auto"/>
        <w:left w:val="none" w:sz="0" w:space="0" w:color="auto"/>
        <w:bottom w:val="none" w:sz="0" w:space="0" w:color="auto"/>
        <w:right w:val="none" w:sz="0" w:space="0" w:color="auto"/>
      </w:divBdr>
      <w:divsChild>
        <w:div w:id="107744856">
          <w:marLeft w:val="0"/>
          <w:marRight w:val="0"/>
          <w:marTop w:val="0"/>
          <w:marBottom w:val="0"/>
          <w:divBdr>
            <w:top w:val="none" w:sz="0" w:space="0" w:color="auto"/>
            <w:left w:val="none" w:sz="0" w:space="0" w:color="auto"/>
            <w:bottom w:val="none" w:sz="0" w:space="0" w:color="auto"/>
            <w:right w:val="none" w:sz="0" w:space="0" w:color="auto"/>
          </w:divBdr>
          <w:divsChild>
            <w:div w:id="669412026">
              <w:marLeft w:val="0"/>
              <w:marRight w:val="0"/>
              <w:marTop w:val="0"/>
              <w:marBottom w:val="0"/>
              <w:divBdr>
                <w:top w:val="none" w:sz="0" w:space="0" w:color="auto"/>
                <w:left w:val="none" w:sz="0" w:space="0" w:color="auto"/>
                <w:bottom w:val="none" w:sz="0" w:space="0" w:color="auto"/>
                <w:right w:val="none" w:sz="0" w:space="0" w:color="auto"/>
              </w:divBdr>
              <w:divsChild>
                <w:div w:id="1680543619">
                  <w:marLeft w:val="0"/>
                  <w:marRight w:val="0"/>
                  <w:marTop w:val="0"/>
                  <w:marBottom w:val="0"/>
                  <w:divBdr>
                    <w:top w:val="none" w:sz="0" w:space="0" w:color="auto"/>
                    <w:left w:val="none" w:sz="0" w:space="0" w:color="auto"/>
                    <w:bottom w:val="none" w:sz="0" w:space="0" w:color="auto"/>
                    <w:right w:val="none" w:sz="0" w:space="0" w:color="auto"/>
                  </w:divBdr>
                  <w:divsChild>
                    <w:div w:id="102968025">
                      <w:marLeft w:val="0"/>
                      <w:marRight w:val="0"/>
                      <w:marTop w:val="0"/>
                      <w:marBottom w:val="300"/>
                      <w:divBdr>
                        <w:top w:val="none" w:sz="0" w:space="0" w:color="auto"/>
                        <w:left w:val="none" w:sz="0" w:space="0" w:color="auto"/>
                        <w:bottom w:val="none" w:sz="0" w:space="0" w:color="auto"/>
                        <w:right w:val="none" w:sz="0" w:space="0" w:color="auto"/>
                      </w:divBdr>
                      <w:divsChild>
                        <w:div w:id="21212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988881">
      <w:bodyDiv w:val="1"/>
      <w:marLeft w:val="0"/>
      <w:marRight w:val="0"/>
      <w:marTop w:val="0"/>
      <w:marBottom w:val="0"/>
      <w:divBdr>
        <w:top w:val="none" w:sz="0" w:space="0" w:color="auto"/>
        <w:left w:val="none" w:sz="0" w:space="0" w:color="auto"/>
        <w:bottom w:val="none" w:sz="0" w:space="0" w:color="auto"/>
        <w:right w:val="none" w:sz="0" w:space="0" w:color="auto"/>
      </w:divBdr>
      <w:divsChild>
        <w:div w:id="564145277">
          <w:marLeft w:val="0"/>
          <w:marRight w:val="0"/>
          <w:marTop w:val="0"/>
          <w:marBottom w:val="0"/>
          <w:divBdr>
            <w:top w:val="none" w:sz="0" w:space="0" w:color="auto"/>
            <w:left w:val="single" w:sz="6" w:space="0" w:color="BBBBBB"/>
            <w:bottom w:val="single" w:sz="6" w:space="0" w:color="BBBBBB"/>
            <w:right w:val="single" w:sz="6" w:space="0" w:color="BBBBBB"/>
          </w:divBdr>
          <w:divsChild>
            <w:div w:id="1143962326">
              <w:marLeft w:val="0"/>
              <w:marRight w:val="0"/>
              <w:marTop w:val="0"/>
              <w:marBottom w:val="0"/>
              <w:divBdr>
                <w:top w:val="none" w:sz="0" w:space="0" w:color="auto"/>
                <w:left w:val="none" w:sz="0" w:space="0" w:color="auto"/>
                <w:bottom w:val="none" w:sz="0" w:space="0" w:color="auto"/>
                <w:right w:val="none" w:sz="0" w:space="0" w:color="auto"/>
              </w:divBdr>
              <w:divsChild>
                <w:div w:id="1171143212">
                  <w:marLeft w:val="0"/>
                  <w:marRight w:val="0"/>
                  <w:marTop w:val="0"/>
                  <w:marBottom w:val="0"/>
                  <w:divBdr>
                    <w:top w:val="none" w:sz="0" w:space="0" w:color="auto"/>
                    <w:left w:val="none" w:sz="0" w:space="0" w:color="auto"/>
                    <w:bottom w:val="none" w:sz="0" w:space="0" w:color="auto"/>
                    <w:right w:val="none" w:sz="0" w:space="0" w:color="auto"/>
                  </w:divBdr>
                  <w:divsChild>
                    <w:div w:id="2005551341">
                      <w:marLeft w:val="0"/>
                      <w:marRight w:val="0"/>
                      <w:marTop w:val="0"/>
                      <w:marBottom w:val="0"/>
                      <w:divBdr>
                        <w:top w:val="none" w:sz="0" w:space="0" w:color="auto"/>
                        <w:left w:val="none" w:sz="0" w:space="0" w:color="auto"/>
                        <w:bottom w:val="none" w:sz="0" w:space="0" w:color="auto"/>
                        <w:right w:val="none" w:sz="0" w:space="0" w:color="auto"/>
                      </w:divBdr>
                      <w:divsChild>
                        <w:div w:id="712001114">
                          <w:marLeft w:val="0"/>
                          <w:marRight w:val="0"/>
                          <w:marTop w:val="0"/>
                          <w:marBottom w:val="0"/>
                          <w:divBdr>
                            <w:top w:val="none" w:sz="0" w:space="0" w:color="auto"/>
                            <w:left w:val="none" w:sz="0" w:space="0" w:color="auto"/>
                            <w:bottom w:val="none" w:sz="0" w:space="0" w:color="auto"/>
                            <w:right w:val="none" w:sz="0" w:space="0" w:color="auto"/>
                          </w:divBdr>
                          <w:divsChild>
                            <w:div w:id="14309400">
                              <w:marLeft w:val="0"/>
                              <w:marRight w:val="0"/>
                              <w:marTop w:val="0"/>
                              <w:marBottom w:val="0"/>
                              <w:divBdr>
                                <w:top w:val="none" w:sz="0" w:space="0" w:color="auto"/>
                                <w:left w:val="none" w:sz="0" w:space="0" w:color="auto"/>
                                <w:bottom w:val="none" w:sz="0" w:space="0" w:color="auto"/>
                                <w:right w:val="none" w:sz="0" w:space="0" w:color="auto"/>
                              </w:divBdr>
                              <w:divsChild>
                                <w:div w:id="1428844605">
                                  <w:marLeft w:val="0"/>
                                  <w:marRight w:val="0"/>
                                  <w:marTop w:val="0"/>
                                  <w:marBottom w:val="0"/>
                                  <w:divBdr>
                                    <w:top w:val="none" w:sz="0" w:space="0" w:color="auto"/>
                                    <w:left w:val="none" w:sz="0" w:space="0" w:color="auto"/>
                                    <w:bottom w:val="none" w:sz="0" w:space="0" w:color="auto"/>
                                    <w:right w:val="none" w:sz="0" w:space="0" w:color="auto"/>
                                  </w:divBdr>
                                  <w:divsChild>
                                    <w:div w:id="2079473063">
                                      <w:marLeft w:val="0"/>
                                      <w:marRight w:val="0"/>
                                      <w:marTop w:val="0"/>
                                      <w:marBottom w:val="0"/>
                                      <w:divBdr>
                                        <w:top w:val="none" w:sz="0" w:space="0" w:color="auto"/>
                                        <w:left w:val="none" w:sz="0" w:space="0" w:color="auto"/>
                                        <w:bottom w:val="none" w:sz="0" w:space="0" w:color="auto"/>
                                        <w:right w:val="none" w:sz="0" w:space="0" w:color="auto"/>
                                      </w:divBdr>
                                      <w:divsChild>
                                        <w:div w:id="932398215">
                                          <w:marLeft w:val="1200"/>
                                          <w:marRight w:val="1200"/>
                                          <w:marTop w:val="0"/>
                                          <w:marBottom w:val="0"/>
                                          <w:divBdr>
                                            <w:top w:val="none" w:sz="0" w:space="0" w:color="auto"/>
                                            <w:left w:val="none" w:sz="0" w:space="0" w:color="auto"/>
                                            <w:bottom w:val="none" w:sz="0" w:space="0" w:color="auto"/>
                                            <w:right w:val="none" w:sz="0" w:space="0" w:color="auto"/>
                                          </w:divBdr>
                                          <w:divsChild>
                                            <w:div w:id="1603029979">
                                              <w:marLeft w:val="0"/>
                                              <w:marRight w:val="0"/>
                                              <w:marTop w:val="0"/>
                                              <w:marBottom w:val="0"/>
                                              <w:divBdr>
                                                <w:top w:val="none" w:sz="0" w:space="0" w:color="auto"/>
                                                <w:left w:val="none" w:sz="0" w:space="0" w:color="auto"/>
                                                <w:bottom w:val="none" w:sz="0" w:space="0" w:color="auto"/>
                                                <w:right w:val="none" w:sz="0" w:space="0" w:color="auto"/>
                                              </w:divBdr>
                                              <w:divsChild>
                                                <w:div w:id="206451461">
                                                  <w:marLeft w:val="0"/>
                                                  <w:marRight w:val="0"/>
                                                  <w:marTop w:val="0"/>
                                                  <w:marBottom w:val="0"/>
                                                  <w:divBdr>
                                                    <w:top w:val="none" w:sz="0" w:space="0" w:color="auto"/>
                                                    <w:left w:val="none" w:sz="0" w:space="0" w:color="auto"/>
                                                    <w:bottom w:val="none" w:sz="0" w:space="0" w:color="auto"/>
                                                    <w:right w:val="none" w:sz="0" w:space="0" w:color="auto"/>
                                                  </w:divBdr>
                                                  <w:divsChild>
                                                    <w:div w:id="1438255855">
                                                      <w:marLeft w:val="0"/>
                                                      <w:marRight w:val="0"/>
                                                      <w:marTop w:val="0"/>
                                                      <w:marBottom w:val="0"/>
                                                      <w:divBdr>
                                                        <w:top w:val="none" w:sz="0" w:space="0" w:color="auto"/>
                                                        <w:left w:val="none" w:sz="0" w:space="0" w:color="auto"/>
                                                        <w:bottom w:val="none" w:sz="0" w:space="0" w:color="auto"/>
                                                        <w:right w:val="none" w:sz="0" w:space="0" w:color="auto"/>
                                                      </w:divBdr>
                                                      <w:divsChild>
                                                        <w:div w:id="193735763">
                                                          <w:marLeft w:val="0"/>
                                                          <w:marRight w:val="0"/>
                                                          <w:marTop w:val="0"/>
                                                          <w:marBottom w:val="0"/>
                                                          <w:divBdr>
                                                            <w:top w:val="none" w:sz="0" w:space="0" w:color="auto"/>
                                                            <w:left w:val="none" w:sz="0" w:space="0" w:color="auto"/>
                                                            <w:bottom w:val="none" w:sz="0" w:space="0" w:color="auto"/>
                                                            <w:right w:val="none" w:sz="0" w:space="0" w:color="auto"/>
                                                          </w:divBdr>
                                                        </w:div>
                                                        <w:div w:id="1164707396">
                                                          <w:marLeft w:val="0"/>
                                                          <w:marRight w:val="0"/>
                                                          <w:marTop w:val="0"/>
                                                          <w:marBottom w:val="0"/>
                                                          <w:divBdr>
                                                            <w:top w:val="none" w:sz="0" w:space="0" w:color="auto"/>
                                                            <w:left w:val="none" w:sz="0" w:space="0" w:color="auto"/>
                                                            <w:bottom w:val="none" w:sz="0" w:space="0" w:color="auto"/>
                                                            <w:right w:val="none" w:sz="0" w:space="0" w:color="auto"/>
                                                          </w:divBdr>
                                                          <w:divsChild>
                                                            <w:div w:id="1527518531">
                                                              <w:marLeft w:val="0"/>
                                                              <w:marRight w:val="0"/>
                                                              <w:marTop w:val="0"/>
                                                              <w:marBottom w:val="0"/>
                                                              <w:divBdr>
                                                                <w:top w:val="none" w:sz="0" w:space="0" w:color="auto"/>
                                                                <w:left w:val="none" w:sz="0" w:space="0" w:color="auto"/>
                                                                <w:bottom w:val="none" w:sz="0" w:space="0" w:color="auto"/>
                                                                <w:right w:val="none" w:sz="0" w:space="0" w:color="auto"/>
                                                              </w:divBdr>
                                                            </w:div>
                                                          </w:divsChild>
                                                        </w:div>
                                                        <w:div w:id="1486699286">
                                                          <w:marLeft w:val="0"/>
                                                          <w:marRight w:val="0"/>
                                                          <w:marTop w:val="0"/>
                                                          <w:marBottom w:val="0"/>
                                                          <w:divBdr>
                                                            <w:top w:val="none" w:sz="0" w:space="0" w:color="auto"/>
                                                            <w:left w:val="none" w:sz="0" w:space="0" w:color="auto"/>
                                                            <w:bottom w:val="none" w:sz="0" w:space="0" w:color="auto"/>
                                                            <w:right w:val="none" w:sz="0" w:space="0" w:color="auto"/>
                                                          </w:divBdr>
                                                          <w:divsChild>
                                                            <w:div w:id="2080443335">
                                                              <w:marLeft w:val="0"/>
                                                              <w:marRight w:val="0"/>
                                                              <w:marTop w:val="0"/>
                                                              <w:marBottom w:val="0"/>
                                                              <w:divBdr>
                                                                <w:top w:val="none" w:sz="0" w:space="0" w:color="auto"/>
                                                                <w:left w:val="none" w:sz="0" w:space="0" w:color="auto"/>
                                                                <w:bottom w:val="none" w:sz="0" w:space="0" w:color="auto"/>
                                                                <w:right w:val="none" w:sz="0" w:space="0" w:color="auto"/>
                                                              </w:divBdr>
                                                            </w:div>
                                                          </w:divsChild>
                                                        </w:div>
                                                        <w:div w:id="1511719797">
                                                          <w:marLeft w:val="0"/>
                                                          <w:marRight w:val="0"/>
                                                          <w:marTop w:val="0"/>
                                                          <w:marBottom w:val="0"/>
                                                          <w:divBdr>
                                                            <w:top w:val="none" w:sz="0" w:space="0" w:color="auto"/>
                                                            <w:left w:val="none" w:sz="0" w:space="0" w:color="auto"/>
                                                            <w:bottom w:val="none" w:sz="0" w:space="0" w:color="auto"/>
                                                            <w:right w:val="none" w:sz="0" w:space="0" w:color="auto"/>
                                                          </w:divBdr>
                                                          <w:divsChild>
                                                            <w:div w:id="1544556851">
                                                              <w:marLeft w:val="0"/>
                                                              <w:marRight w:val="0"/>
                                                              <w:marTop w:val="0"/>
                                                              <w:marBottom w:val="0"/>
                                                              <w:divBdr>
                                                                <w:top w:val="none" w:sz="0" w:space="0" w:color="auto"/>
                                                                <w:left w:val="none" w:sz="0" w:space="0" w:color="auto"/>
                                                                <w:bottom w:val="none" w:sz="0" w:space="0" w:color="auto"/>
                                                                <w:right w:val="none" w:sz="0" w:space="0" w:color="auto"/>
                                                              </w:divBdr>
                                                            </w:div>
                                                          </w:divsChild>
                                                        </w:div>
                                                        <w:div w:id="1771506054">
                                                          <w:marLeft w:val="0"/>
                                                          <w:marRight w:val="0"/>
                                                          <w:marTop w:val="0"/>
                                                          <w:marBottom w:val="0"/>
                                                          <w:divBdr>
                                                            <w:top w:val="none" w:sz="0" w:space="0" w:color="auto"/>
                                                            <w:left w:val="none" w:sz="0" w:space="0" w:color="auto"/>
                                                            <w:bottom w:val="none" w:sz="0" w:space="0" w:color="auto"/>
                                                            <w:right w:val="none" w:sz="0" w:space="0" w:color="auto"/>
                                                          </w:divBdr>
                                                          <w:divsChild>
                                                            <w:div w:id="9361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267058">
      <w:bodyDiv w:val="1"/>
      <w:marLeft w:val="0"/>
      <w:marRight w:val="0"/>
      <w:marTop w:val="0"/>
      <w:marBottom w:val="0"/>
      <w:divBdr>
        <w:top w:val="none" w:sz="0" w:space="0" w:color="auto"/>
        <w:left w:val="none" w:sz="0" w:space="0" w:color="auto"/>
        <w:bottom w:val="none" w:sz="0" w:space="0" w:color="auto"/>
        <w:right w:val="none" w:sz="0" w:space="0" w:color="auto"/>
      </w:divBdr>
      <w:divsChild>
        <w:div w:id="1433208971">
          <w:marLeft w:val="0"/>
          <w:marRight w:val="0"/>
          <w:marTop w:val="0"/>
          <w:marBottom w:val="0"/>
          <w:divBdr>
            <w:top w:val="none" w:sz="0" w:space="0" w:color="auto"/>
            <w:left w:val="none" w:sz="0" w:space="0" w:color="auto"/>
            <w:bottom w:val="none" w:sz="0" w:space="0" w:color="auto"/>
            <w:right w:val="none" w:sz="0" w:space="0" w:color="auto"/>
          </w:divBdr>
          <w:divsChild>
            <w:div w:id="391194782">
              <w:marLeft w:val="0"/>
              <w:marRight w:val="0"/>
              <w:marTop w:val="0"/>
              <w:marBottom w:val="0"/>
              <w:divBdr>
                <w:top w:val="none" w:sz="0" w:space="0" w:color="auto"/>
                <w:left w:val="none" w:sz="0" w:space="0" w:color="auto"/>
                <w:bottom w:val="none" w:sz="0" w:space="0" w:color="auto"/>
                <w:right w:val="none" w:sz="0" w:space="0" w:color="auto"/>
              </w:divBdr>
              <w:divsChild>
                <w:div w:id="793013997">
                  <w:marLeft w:val="0"/>
                  <w:marRight w:val="0"/>
                  <w:marTop w:val="0"/>
                  <w:marBottom w:val="0"/>
                  <w:divBdr>
                    <w:top w:val="none" w:sz="0" w:space="0" w:color="auto"/>
                    <w:left w:val="none" w:sz="0" w:space="0" w:color="auto"/>
                    <w:bottom w:val="none" w:sz="0" w:space="0" w:color="auto"/>
                    <w:right w:val="none" w:sz="0" w:space="0" w:color="auto"/>
                  </w:divBdr>
                  <w:divsChild>
                    <w:div w:id="1560094954">
                      <w:marLeft w:val="0"/>
                      <w:marRight w:val="0"/>
                      <w:marTop w:val="0"/>
                      <w:marBottom w:val="375"/>
                      <w:divBdr>
                        <w:top w:val="none" w:sz="0" w:space="0" w:color="auto"/>
                        <w:left w:val="none" w:sz="0" w:space="0" w:color="auto"/>
                        <w:bottom w:val="none" w:sz="0" w:space="0" w:color="auto"/>
                        <w:right w:val="none" w:sz="0" w:space="0" w:color="auto"/>
                      </w:divBdr>
                      <w:divsChild>
                        <w:div w:id="1430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036790">
      <w:bodyDiv w:val="1"/>
      <w:marLeft w:val="0"/>
      <w:marRight w:val="0"/>
      <w:marTop w:val="0"/>
      <w:marBottom w:val="0"/>
      <w:divBdr>
        <w:top w:val="none" w:sz="0" w:space="0" w:color="auto"/>
        <w:left w:val="none" w:sz="0" w:space="0" w:color="auto"/>
        <w:bottom w:val="none" w:sz="0" w:space="0" w:color="auto"/>
        <w:right w:val="none" w:sz="0" w:space="0" w:color="auto"/>
      </w:divBdr>
      <w:divsChild>
        <w:div w:id="400370910">
          <w:marLeft w:val="0"/>
          <w:marRight w:val="0"/>
          <w:marTop w:val="0"/>
          <w:marBottom w:val="0"/>
          <w:divBdr>
            <w:top w:val="none" w:sz="0" w:space="0" w:color="auto"/>
            <w:left w:val="single" w:sz="6" w:space="0" w:color="BBBBBB"/>
            <w:bottom w:val="single" w:sz="6" w:space="0" w:color="BBBBBB"/>
            <w:right w:val="single" w:sz="6" w:space="0" w:color="BBBBBB"/>
          </w:divBdr>
          <w:divsChild>
            <w:div w:id="1489249503">
              <w:marLeft w:val="0"/>
              <w:marRight w:val="0"/>
              <w:marTop w:val="0"/>
              <w:marBottom w:val="0"/>
              <w:divBdr>
                <w:top w:val="none" w:sz="0" w:space="0" w:color="auto"/>
                <w:left w:val="none" w:sz="0" w:space="0" w:color="auto"/>
                <w:bottom w:val="none" w:sz="0" w:space="0" w:color="auto"/>
                <w:right w:val="none" w:sz="0" w:space="0" w:color="auto"/>
              </w:divBdr>
              <w:divsChild>
                <w:div w:id="395318242">
                  <w:marLeft w:val="0"/>
                  <w:marRight w:val="0"/>
                  <w:marTop w:val="0"/>
                  <w:marBottom w:val="0"/>
                  <w:divBdr>
                    <w:top w:val="none" w:sz="0" w:space="0" w:color="auto"/>
                    <w:left w:val="none" w:sz="0" w:space="0" w:color="auto"/>
                    <w:bottom w:val="none" w:sz="0" w:space="0" w:color="auto"/>
                    <w:right w:val="none" w:sz="0" w:space="0" w:color="auto"/>
                  </w:divBdr>
                  <w:divsChild>
                    <w:div w:id="120002595">
                      <w:marLeft w:val="0"/>
                      <w:marRight w:val="0"/>
                      <w:marTop w:val="0"/>
                      <w:marBottom w:val="0"/>
                      <w:divBdr>
                        <w:top w:val="none" w:sz="0" w:space="0" w:color="auto"/>
                        <w:left w:val="none" w:sz="0" w:space="0" w:color="auto"/>
                        <w:bottom w:val="none" w:sz="0" w:space="0" w:color="auto"/>
                        <w:right w:val="none" w:sz="0" w:space="0" w:color="auto"/>
                      </w:divBdr>
                      <w:divsChild>
                        <w:div w:id="695157164">
                          <w:marLeft w:val="0"/>
                          <w:marRight w:val="0"/>
                          <w:marTop w:val="0"/>
                          <w:marBottom w:val="0"/>
                          <w:divBdr>
                            <w:top w:val="none" w:sz="0" w:space="0" w:color="auto"/>
                            <w:left w:val="none" w:sz="0" w:space="0" w:color="auto"/>
                            <w:bottom w:val="none" w:sz="0" w:space="0" w:color="auto"/>
                            <w:right w:val="none" w:sz="0" w:space="0" w:color="auto"/>
                          </w:divBdr>
                          <w:divsChild>
                            <w:div w:id="236594236">
                              <w:marLeft w:val="0"/>
                              <w:marRight w:val="0"/>
                              <w:marTop w:val="0"/>
                              <w:marBottom w:val="0"/>
                              <w:divBdr>
                                <w:top w:val="none" w:sz="0" w:space="0" w:color="auto"/>
                                <w:left w:val="none" w:sz="0" w:space="0" w:color="auto"/>
                                <w:bottom w:val="none" w:sz="0" w:space="0" w:color="auto"/>
                                <w:right w:val="none" w:sz="0" w:space="0" w:color="auto"/>
                              </w:divBdr>
                              <w:divsChild>
                                <w:div w:id="1899632312">
                                  <w:marLeft w:val="0"/>
                                  <w:marRight w:val="0"/>
                                  <w:marTop w:val="0"/>
                                  <w:marBottom w:val="0"/>
                                  <w:divBdr>
                                    <w:top w:val="none" w:sz="0" w:space="0" w:color="auto"/>
                                    <w:left w:val="none" w:sz="0" w:space="0" w:color="auto"/>
                                    <w:bottom w:val="none" w:sz="0" w:space="0" w:color="auto"/>
                                    <w:right w:val="none" w:sz="0" w:space="0" w:color="auto"/>
                                  </w:divBdr>
                                  <w:divsChild>
                                    <w:div w:id="1439837420">
                                      <w:marLeft w:val="0"/>
                                      <w:marRight w:val="0"/>
                                      <w:marTop w:val="0"/>
                                      <w:marBottom w:val="0"/>
                                      <w:divBdr>
                                        <w:top w:val="none" w:sz="0" w:space="0" w:color="auto"/>
                                        <w:left w:val="none" w:sz="0" w:space="0" w:color="auto"/>
                                        <w:bottom w:val="none" w:sz="0" w:space="0" w:color="auto"/>
                                        <w:right w:val="none" w:sz="0" w:space="0" w:color="auto"/>
                                      </w:divBdr>
                                      <w:divsChild>
                                        <w:div w:id="1792942992">
                                          <w:marLeft w:val="1200"/>
                                          <w:marRight w:val="1200"/>
                                          <w:marTop w:val="0"/>
                                          <w:marBottom w:val="0"/>
                                          <w:divBdr>
                                            <w:top w:val="none" w:sz="0" w:space="0" w:color="auto"/>
                                            <w:left w:val="none" w:sz="0" w:space="0" w:color="auto"/>
                                            <w:bottom w:val="none" w:sz="0" w:space="0" w:color="auto"/>
                                            <w:right w:val="none" w:sz="0" w:space="0" w:color="auto"/>
                                          </w:divBdr>
                                          <w:divsChild>
                                            <w:div w:id="1751072728">
                                              <w:marLeft w:val="0"/>
                                              <w:marRight w:val="0"/>
                                              <w:marTop w:val="0"/>
                                              <w:marBottom w:val="0"/>
                                              <w:divBdr>
                                                <w:top w:val="none" w:sz="0" w:space="0" w:color="auto"/>
                                                <w:left w:val="none" w:sz="0" w:space="0" w:color="auto"/>
                                                <w:bottom w:val="none" w:sz="0" w:space="0" w:color="auto"/>
                                                <w:right w:val="none" w:sz="0" w:space="0" w:color="auto"/>
                                              </w:divBdr>
                                              <w:divsChild>
                                                <w:div w:id="1157383866">
                                                  <w:marLeft w:val="0"/>
                                                  <w:marRight w:val="0"/>
                                                  <w:marTop w:val="0"/>
                                                  <w:marBottom w:val="0"/>
                                                  <w:divBdr>
                                                    <w:top w:val="none" w:sz="0" w:space="0" w:color="auto"/>
                                                    <w:left w:val="none" w:sz="0" w:space="0" w:color="auto"/>
                                                    <w:bottom w:val="none" w:sz="0" w:space="0" w:color="auto"/>
                                                    <w:right w:val="none" w:sz="0" w:space="0" w:color="auto"/>
                                                  </w:divBdr>
                                                  <w:divsChild>
                                                    <w:div w:id="2022925154">
                                                      <w:marLeft w:val="0"/>
                                                      <w:marRight w:val="0"/>
                                                      <w:marTop w:val="0"/>
                                                      <w:marBottom w:val="0"/>
                                                      <w:divBdr>
                                                        <w:top w:val="none" w:sz="0" w:space="0" w:color="auto"/>
                                                        <w:left w:val="none" w:sz="0" w:space="0" w:color="auto"/>
                                                        <w:bottom w:val="none" w:sz="0" w:space="0" w:color="auto"/>
                                                        <w:right w:val="none" w:sz="0" w:space="0" w:color="auto"/>
                                                      </w:divBdr>
                                                      <w:divsChild>
                                                        <w:div w:id="623200107">
                                                          <w:marLeft w:val="0"/>
                                                          <w:marRight w:val="0"/>
                                                          <w:marTop w:val="0"/>
                                                          <w:marBottom w:val="0"/>
                                                          <w:divBdr>
                                                            <w:top w:val="none" w:sz="0" w:space="0" w:color="auto"/>
                                                            <w:left w:val="none" w:sz="0" w:space="0" w:color="auto"/>
                                                            <w:bottom w:val="none" w:sz="0" w:space="0" w:color="auto"/>
                                                            <w:right w:val="none" w:sz="0" w:space="0" w:color="auto"/>
                                                          </w:divBdr>
                                                          <w:divsChild>
                                                            <w:div w:id="1076318348">
                                                              <w:marLeft w:val="0"/>
                                                              <w:marRight w:val="0"/>
                                                              <w:marTop w:val="0"/>
                                                              <w:marBottom w:val="0"/>
                                                              <w:divBdr>
                                                                <w:top w:val="none" w:sz="0" w:space="0" w:color="auto"/>
                                                                <w:left w:val="none" w:sz="0" w:space="0" w:color="auto"/>
                                                                <w:bottom w:val="none" w:sz="0" w:space="0" w:color="auto"/>
                                                                <w:right w:val="none" w:sz="0" w:space="0" w:color="auto"/>
                                                              </w:divBdr>
                                                              <w:divsChild>
                                                                <w:div w:id="880826673">
                                                                  <w:marLeft w:val="0"/>
                                                                  <w:marRight w:val="0"/>
                                                                  <w:marTop w:val="0"/>
                                                                  <w:marBottom w:val="0"/>
                                                                  <w:divBdr>
                                                                    <w:top w:val="none" w:sz="0" w:space="0" w:color="auto"/>
                                                                    <w:left w:val="none" w:sz="0" w:space="0" w:color="auto"/>
                                                                    <w:bottom w:val="none" w:sz="0" w:space="0" w:color="auto"/>
                                                                    <w:right w:val="none" w:sz="0" w:space="0" w:color="auto"/>
                                                                  </w:divBdr>
                                                                  <w:divsChild>
                                                                    <w:div w:id="1090542109">
                                                                      <w:marLeft w:val="0"/>
                                                                      <w:marRight w:val="0"/>
                                                                      <w:marTop w:val="0"/>
                                                                      <w:marBottom w:val="0"/>
                                                                      <w:divBdr>
                                                                        <w:top w:val="none" w:sz="0" w:space="0" w:color="auto"/>
                                                                        <w:left w:val="none" w:sz="0" w:space="0" w:color="auto"/>
                                                                        <w:bottom w:val="none" w:sz="0" w:space="0" w:color="auto"/>
                                                                        <w:right w:val="none" w:sz="0" w:space="0" w:color="auto"/>
                                                                      </w:divBdr>
                                                                      <w:divsChild>
                                                                        <w:div w:id="732772424">
                                                                          <w:marLeft w:val="0"/>
                                                                          <w:marRight w:val="0"/>
                                                                          <w:marTop w:val="0"/>
                                                                          <w:marBottom w:val="0"/>
                                                                          <w:divBdr>
                                                                            <w:top w:val="none" w:sz="0" w:space="0" w:color="auto"/>
                                                                            <w:left w:val="none" w:sz="0" w:space="0" w:color="auto"/>
                                                                            <w:bottom w:val="none" w:sz="0" w:space="0" w:color="auto"/>
                                                                            <w:right w:val="none" w:sz="0" w:space="0" w:color="auto"/>
                                                                          </w:divBdr>
                                                                        </w:div>
                                                                      </w:divsChild>
                                                                    </w:div>
                                                                    <w:div w:id="2041199054">
                                                                      <w:marLeft w:val="0"/>
                                                                      <w:marRight w:val="0"/>
                                                                      <w:marTop w:val="0"/>
                                                                      <w:marBottom w:val="0"/>
                                                                      <w:divBdr>
                                                                        <w:top w:val="none" w:sz="0" w:space="0" w:color="auto"/>
                                                                        <w:left w:val="none" w:sz="0" w:space="0" w:color="auto"/>
                                                                        <w:bottom w:val="none" w:sz="0" w:space="0" w:color="auto"/>
                                                                        <w:right w:val="none" w:sz="0" w:space="0" w:color="auto"/>
                                                                      </w:divBdr>
                                                                      <w:divsChild>
                                                                        <w:div w:id="3510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752939">
      <w:bodyDiv w:val="1"/>
      <w:marLeft w:val="0"/>
      <w:marRight w:val="0"/>
      <w:marTop w:val="0"/>
      <w:marBottom w:val="0"/>
      <w:divBdr>
        <w:top w:val="none" w:sz="0" w:space="0" w:color="auto"/>
        <w:left w:val="none" w:sz="0" w:space="0" w:color="auto"/>
        <w:bottom w:val="none" w:sz="0" w:space="0" w:color="auto"/>
        <w:right w:val="none" w:sz="0" w:space="0" w:color="auto"/>
      </w:divBdr>
      <w:divsChild>
        <w:div w:id="1316378776">
          <w:marLeft w:val="0"/>
          <w:marRight w:val="0"/>
          <w:marTop w:val="0"/>
          <w:marBottom w:val="0"/>
          <w:divBdr>
            <w:top w:val="none" w:sz="0" w:space="0" w:color="auto"/>
            <w:left w:val="none" w:sz="0" w:space="0" w:color="auto"/>
            <w:bottom w:val="none" w:sz="0" w:space="0" w:color="auto"/>
            <w:right w:val="none" w:sz="0" w:space="0" w:color="auto"/>
          </w:divBdr>
          <w:divsChild>
            <w:div w:id="452941792">
              <w:marLeft w:val="0"/>
              <w:marRight w:val="0"/>
              <w:marTop w:val="0"/>
              <w:marBottom w:val="0"/>
              <w:divBdr>
                <w:top w:val="none" w:sz="0" w:space="0" w:color="auto"/>
                <w:left w:val="none" w:sz="0" w:space="0" w:color="auto"/>
                <w:bottom w:val="none" w:sz="0" w:space="0" w:color="auto"/>
                <w:right w:val="none" w:sz="0" w:space="0" w:color="auto"/>
              </w:divBdr>
              <w:divsChild>
                <w:div w:id="758909313">
                  <w:marLeft w:val="0"/>
                  <w:marRight w:val="0"/>
                  <w:marTop w:val="0"/>
                  <w:marBottom w:val="0"/>
                  <w:divBdr>
                    <w:top w:val="none" w:sz="0" w:space="0" w:color="auto"/>
                    <w:left w:val="none" w:sz="0" w:space="0" w:color="auto"/>
                    <w:bottom w:val="none" w:sz="0" w:space="0" w:color="auto"/>
                    <w:right w:val="none" w:sz="0" w:space="0" w:color="auto"/>
                  </w:divBdr>
                  <w:divsChild>
                    <w:div w:id="1984578172">
                      <w:marLeft w:val="0"/>
                      <w:marRight w:val="0"/>
                      <w:marTop w:val="0"/>
                      <w:marBottom w:val="375"/>
                      <w:divBdr>
                        <w:top w:val="none" w:sz="0" w:space="0" w:color="auto"/>
                        <w:left w:val="none" w:sz="0" w:space="0" w:color="auto"/>
                        <w:bottom w:val="none" w:sz="0" w:space="0" w:color="auto"/>
                        <w:right w:val="none" w:sz="0" w:space="0" w:color="auto"/>
                      </w:divBdr>
                      <w:divsChild>
                        <w:div w:id="177571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627187">
      <w:bodyDiv w:val="1"/>
      <w:marLeft w:val="0"/>
      <w:marRight w:val="0"/>
      <w:marTop w:val="0"/>
      <w:marBottom w:val="0"/>
      <w:divBdr>
        <w:top w:val="none" w:sz="0" w:space="0" w:color="auto"/>
        <w:left w:val="none" w:sz="0" w:space="0" w:color="auto"/>
        <w:bottom w:val="none" w:sz="0" w:space="0" w:color="auto"/>
        <w:right w:val="none" w:sz="0" w:space="0" w:color="auto"/>
      </w:divBdr>
      <w:divsChild>
        <w:div w:id="1897084247">
          <w:marLeft w:val="0"/>
          <w:marRight w:val="0"/>
          <w:marTop w:val="0"/>
          <w:marBottom w:val="0"/>
          <w:divBdr>
            <w:top w:val="none" w:sz="0" w:space="0" w:color="auto"/>
            <w:left w:val="single" w:sz="6" w:space="0" w:color="BBBBBB"/>
            <w:bottom w:val="single" w:sz="6" w:space="0" w:color="BBBBBB"/>
            <w:right w:val="single" w:sz="6" w:space="0" w:color="BBBBBB"/>
          </w:divBdr>
          <w:divsChild>
            <w:div w:id="363794076">
              <w:marLeft w:val="0"/>
              <w:marRight w:val="0"/>
              <w:marTop w:val="0"/>
              <w:marBottom w:val="0"/>
              <w:divBdr>
                <w:top w:val="none" w:sz="0" w:space="0" w:color="auto"/>
                <w:left w:val="none" w:sz="0" w:space="0" w:color="auto"/>
                <w:bottom w:val="none" w:sz="0" w:space="0" w:color="auto"/>
                <w:right w:val="none" w:sz="0" w:space="0" w:color="auto"/>
              </w:divBdr>
              <w:divsChild>
                <w:div w:id="601302930">
                  <w:marLeft w:val="0"/>
                  <w:marRight w:val="0"/>
                  <w:marTop w:val="75"/>
                  <w:marBottom w:val="0"/>
                  <w:divBdr>
                    <w:top w:val="none" w:sz="0" w:space="0" w:color="auto"/>
                    <w:left w:val="none" w:sz="0" w:space="0" w:color="auto"/>
                    <w:bottom w:val="none" w:sz="0" w:space="0" w:color="auto"/>
                    <w:right w:val="none" w:sz="0" w:space="0" w:color="auto"/>
                  </w:divBdr>
                  <w:divsChild>
                    <w:div w:id="1213542734">
                      <w:marLeft w:val="0"/>
                      <w:marRight w:val="0"/>
                      <w:marTop w:val="0"/>
                      <w:marBottom w:val="0"/>
                      <w:divBdr>
                        <w:top w:val="none" w:sz="0" w:space="0" w:color="auto"/>
                        <w:left w:val="none" w:sz="0" w:space="0" w:color="auto"/>
                        <w:bottom w:val="none" w:sz="0" w:space="0" w:color="auto"/>
                        <w:right w:val="none" w:sz="0" w:space="0" w:color="auto"/>
                      </w:divBdr>
                      <w:divsChild>
                        <w:div w:id="83308592">
                          <w:marLeft w:val="0"/>
                          <w:marRight w:val="0"/>
                          <w:marTop w:val="0"/>
                          <w:marBottom w:val="0"/>
                          <w:divBdr>
                            <w:top w:val="none" w:sz="0" w:space="0" w:color="auto"/>
                            <w:left w:val="none" w:sz="0" w:space="0" w:color="auto"/>
                            <w:bottom w:val="none" w:sz="0" w:space="0" w:color="auto"/>
                            <w:right w:val="none" w:sz="0" w:space="0" w:color="auto"/>
                          </w:divBdr>
                          <w:divsChild>
                            <w:div w:id="1682506816">
                              <w:marLeft w:val="0"/>
                              <w:marRight w:val="0"/>
                              <w:marTop w:val="0"/>
                              <w:marBottom w:val="0"/>
                              <w:divBdr>
                                <w:top w:val="none" w:sz="0" w:space="0" w:color="auto"/>
                                <w:left w:val="none" w:sz="0" w:space="0" w:color="auto"/>
                                <w:bottom w:val="none" w:sz="0" w:space="0" w:color="auto"/>
                                <w:right w:val="none" w:sz="0" w:space="0" w:color="auto"/>
                              </w:divBdr>
                              <w:divsChild>
                                <w:div w:id="1102652921">
                                  <w:marLeft w:val="0"/>
                                  <w:marRight w:val="0"/>
                                  <w:marTop w:val="0"/>
                                  <w:marBottom w:val="0"/>
                                  <w:divBdr>
                                    <w:top w:val="none" w:sz="0" w:space="0" w:color="auto"/>
                                    <w:left w:val="none" w:sz="0" w:space="0" w:color="auto"/>
                                    <w:bottom w:val="none" w:sz="0" w:space="0" w:color="auto"/>
                                    <w:right w:val="none" w:sz="0" w:space="0" w:color="auto"/>
                                  </w:divBdr>
                                  <w:divsChild>
                                    <w:div w:id="524908751">
                                      <w:marLeft w:val="0"/>
                                      <w:marRight w:val="0"/>
                                      <w:marTop w:val="0"/>
                                      <w:marBottom w:val="0"/>
                                      <w:divBdr>
                                        <w:top w:val="none" w:sz="0" w:space="0" w:color="auto"/>
                                        <w:left w:val="none" w:sz="0" w:space="0" w:color="auto"/>
                                        <w:bottom w:val="none" w:sz="0" w:space="0" w:color="auto"/>
                                        <w:right w:val="none" w:sz="0" w:space="0" w:color="auto"/>
                                      </w:divBdr>
                                      <w:divsChild>
                                        <w:div w:id="1887372192">
                                          <w:marLeft w:val="1200"/>
                                          <w:marRight w:val="1200"/>
                                          <w:marTop w:val="0"/>
                                          <w:marBottom w:val="0"/>
                                          <w:divBdr>
                                            <w:top w:val="none" w:sz="0" w:space="0" w:color="auto"/>
                                            <w:left w:val="none" w:sz="0" w:space="0" w:color="auto"/>
                                            <w:bottom w:val="none" w:sz="0" w:space="0" w:color="auto"/>
                                            <w:right w:val="none" w:sz="0" w:space="0" w:color="auto"/>
                                          </w:divBdr>
                                          <w:divsChild>
                                            <w:div w:id="345252629">
                                              <w:marLeft w:val="0"/>
                                              <w:marRight w:val="0"/>
                                              <w:marTop w:val="0"/>
                                              <w:marBottom w:val="0"/>
                                              <w:divBdr>
                                                <w:top w:val="none" w:sz="0" w:space="0" w:color="auto"/>
                                                <w:left w:val="none" w:sz="0" w:space="0" w:color="auto"/>
                                                <w:bottom w:val="none" w:sz="0" w:space="0" w:color="auto"/>
                                                <w:right w:val="none" w:sz="0" w:space="0" w:color="auto"/>
                                              </w:divBdr>
                                              <w:divsChild>
                                                <w:div w:id="1606424808">
                                                  <w:marLeft w:val="0"/>
                                                  <w:marRight w:val="0"/>
                                                  <w:marTop w:val="0"/>
                                                  <w:marBottom w:val="0"/>
                                                  <w:divBdr>
                                                    <w:top w:val="none" w:sz="0" w:space="0" w:color="auto"/>
                                                    <w:left w:val="none" w:sz="0" w:space="0" w:color="auto"/>
                                                    <w:bottom w:val="none" w:sz="0" w:space="0" w:color="auto"/>
                                                    <w:right w:val="none" w:sz="0" w:space="0" w:color="auto"/>
                                                  </w:divBdr>
                                                  <w:divsChild>
                                                    <w:div w:id="537397004">
                                                      <w:marLeft w:val="0"/>
                                                      <w:marRight w:val="0"/>
                                                      <w:marTop w:val="0"/>
                                                      <w:marBottom w:val="0"/>
                                                      <w:divBdr>
                                                        <w:top w:val="none" w:sz="0" w:space="0" w:color="auto"/>
                                                        <w:left w:val="none" w:sz="0" w:space="0" w:color="auto"/>
                                                        <w:bottom w:val="none" w:sz="0" w:space="0" w:color="auto"/>
                                                        <w:right w:val="none" w:sz="0" w:space="0" w:color="auto"/>
                                                      </w:divBdr>
                                                      <w:divsChild>
                                                        <w:div w:id="1846245362">
                                                          <w:marLeft w:val="0"/>
                                                          <w:marRight w:val="0"/>
                                                          <w:marTop w:val="0"/>
                                                          <w:marBottom w:val="0"/>
                                                          <w:divBdr>
                                                            <w:top w:val="none" w:sz="0" w:space="0" w:color="auto"/>
                                                            <w:left w:val="none" w:sz="0" w:space="0" w:color="auto"/>
                                                            <w:bottom w:val="none" w:sz="0" w:space="0" w:color="auto"/>
                                                            <w:right w:val="none" w:sz="0" w:space="0" w:color="auto"/>
                                                          </w:divBdr>
                                                          <w:divsChild>
                                                            <w:div w:id="501816672">
                                                              <w:marLeft w:val="0"/>
                                                              <w:marRight w:val="0"/>
                                                              <w:marTop w:val="0"/>
                                                              <w:marBottom w:val="0"/>
                                                              <w:divBdr>
                                                                <w:top w:val="none" w:sz="0" w:space="0" w:color="auto"/>
                                                                <w:left w:val="none" w:sz="0" w:space="0" w:color="auto"/>
                                                                <w:bottom w:val="none" w:sz="0" w:space="0" w:color="auto"/>
                                                                <w:right w:val="none" w:sz="0" w:space="0" w:color="auto"/>
                                                              </w:divBdr>
                                                              <w:divsChild>
                                                                <w:div w:id="947591297">
                                                                  <w:marLeft w:val="0"/>
                                                                  <w:marRight w:val="0"/>
                                                                  <w:marTop w:val="0"/>
                                                                  <w:marBottom w:val="0"/>
                                                                  <w:divBdr>
                                                                    <w:top w:val="none" w:sz="0" w:space="0" w:color="auto"/>
                                                                    <w:left w:val="none" w:sz="0" w:space="0" w:color="auto"/>
                                                                    <w:bottom w:val="none" w:sz="0" w:space="0" w:color="auto"/>
                                                                    <w:right w:val="none" w:sz="0" w:space="0" w:color="auto"/>
                                                                  </w:divBdr>
                                                                  <w:divsChild>
                                                                    <w:div w:id="171648154">
                                                                      <w:marLeft w:val="0"/>
                                                                      <w:marRight w:val="0"/>
                                                                      <w:marTop w:val="0"/>
                                                                      <w:marBottom w:val="0"/>
                                                                      <w:divBdr>
                                                                        <w:top w:val="none" w:sz="0" w:space="0" w:color="auto"/>
                                                                        <w:left w:val="none" w:sz="0" w:space="0" w:color="auto"/>
                                                                        <w:bottom w:val="none" w:sz="0" w:space="0" w:color="auto"/>
                                                                        <w:right w:val="none" w:sz="0" w:space="0" w:color="auto"/>
                                                                      </w:divBdr>
                                                                      <w:divsChild>
                                                                        <w:div w:id="234363202">
                                                                          <w:marLeft w:val="0"/>
                                                                          <w:marRight w:val="0"/>
                                                                          <w:marTop w:val="0"/>
                                                                          <w:marBottom w:val="0"/>
                                                                          <w:divBdr>
                                                                            <w:top w:val="none" w:sz="0" w:space="0" w:color="auto"/>
                                                                            <w:left w:val="none" w:sz="0" w:space="0" w:color="auto"/>
                                                                            <w:bottom w:val="none" w:sz="0" w:space="0" w:color="auto"/>
                                                                            <w:right w:val="none" w:sz="0" w:space="0" w:color="auto"/>
                                                                          </w:divBdr>
                                                                        </w:div>
                                                                      </w:divsChild>
                                                                    </w:div>
                                                                    <w:div w:id="1496607473">
                                                                      <w:marLeft w:val="0"/>
                                                                      <w:marRight w:val="0"/>
                                                                      <w:marTop w:val="0"/>
                                                                      <w:marBottom w:val="0"/>
                                                                      <w:divBdr>
                                                                        <w:top w:val="none" w:sz="0" w:space="0" w:color="auto"/>
                                                                        <w:left w:val="none" w:sz="0" w:space="0" w:color="auto"/>
                                                                        <w:bottom w:val="none" w:sz="0" w:space="0" w:color="auto"/>
                                                                        <w:right w:val="none" w:sz="0" w:space="0" w:color="auto"/>
                                                                      </w:divBdr>
                                                                      <w:divsChild>
                                                                        <w:div w:id="10010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3753596">
      <w:bodyDiv w:val="1"/>
      <w:marLeft w:val="0"/>
      <w:marRight w:val="0"/>
      <w:marTop w:val="0"/>
      <w:marBottom w:val="0"/>
      <w:divBdr>
        <w:top w:val="none" w:sz="0" w:space="0" w:color="auto"/>
        <w:left w:val="none" w:sz="0" w:space="0" w:color="auto"/>
        <w:bottom w:val="none" w:sz="0" w:space="0" w:color="auto"/>
        <w:right w:val="none" w:sz="0" w:space="0" w:color="auto"/>
      </w:divBdr>
      <w:divsChild>
        <w:div w:id="1832058953">
          <w:marLeft w:val="0"/>
          <w:marRight w:val="0"/>
          <w:marTop w:val="240"/>
          <w:marBottom w:val="0"/>
          <w:divBdr>
            <w:top w:val="none" w:sz="0" w:space="0" w:color="auto"/>
            <w:left w:val="none" w:sz="0" w:space="0" w:color="auto"/>
            <w:bottom w:val="none" w:sz="0" w:space="0" w:color="auto"/>
            <w:right w:val="none" w:sz="0" w:space="0" w:color="auto"/>
          </w:divBdr>
        </w:div>
        <w:div w:id="2132243895">
          <w:marLeft w:val="0"/>
          <w:marRight w:val="0"/>
          <w:marTop w:val="0"/>
          <w:marBottom w:val="0"/>
          <w:divBdr>
            <w:top w:val="none" w:sz="0" w:space="0" w:color="auto"/>
            <w:left w:val="none" w:sz="0" w:space="0" w:color="auto"/>
            <w:bottom w:val="none" w:sz="0" w:space="0" w:color="auto"/>
            <w:right w:val="none" w:sz="0" w:space="0" w:color="auto"/>
          </w:divBdr>
        </w:div>
        <w:div w:id="94835709">
          <w:marLeft w:val="0"/>
          <w:marRight w:val="0"/>
          <w:marTop w:val="240"/>
          <w:marBottom w:val="0"/>
          <w:divBdr>
            <w:top w:val="none" w:sz="0" w:space="0" w:color="auto"/>
            <w:left w:val="none" w:sz="0" w:space="0" w:color="auto"/>
            <w:bottom w:val="none" w:sz="0" w:space="0" w:color="auto"/>
            <w:right w:val="none" w:sz="0" w:space="0" w:color="auto"/>
          </w:divBdr>
          <w:divsChild>
            <w:div w:id="496844461">
              <w:marLeft w:val="0"/>
              <w:marRight w:val="0"/>
              <w:marTop w:val="0"/>
              <w:marBottom w:val="0"/>
              <w:divBdr>
                <w:top w:val="none" w:sz="0" w:space="0" w:color="auto"/>
                <w:left w:val="none" w:sz="0" w:space="0" w:color="auto"/>
                <w:bottom w:val="none" w:sz="0" w:space="0" w:color="auto"/>
                <w:right w:val="none" w:sz="0" w:space="0" w:color="auto"/>
              </w:divBdr>
            </w:div>
          </w:divsChild>
        </w:div>
        <w:div w:id="1853837867">
          <w:marLeft w:val="0"/>
          <w:marRight w:val="0"/>
          <w:marTop w:val="240"/>
          <w:marBottom w:val="0"/>
          <w:divBdr>
            <w:top w:val="none" w:sz="0" w:space="0" w:color="auto"/>
            <w:left w:val="none" w:sz="0" w:space="0" w:color="auto"/>
            <w:bottom w:val="none" w:sz="0" w:space="0" w:color="auto"/>
            <w:right w:val="none" w:sz="0" w:space="0" w:color="auto"/>
          </w:divBdr>
          <w:divsChild>
            <w:div w:id="1854419834">
              <w:marLeft w:val="0"/>
              <w:marRight w:val="0"/>
              <w:marTop w:val="0"/>
              <w:marBottom w:val="0"/>
              <w:divBdr>
                <w:top w:val="none" w:sz="0" w:space="0" w:color="auto"/>
                <w:left w:val="none" w:sz="0" w:space="0" w:color="auto"/>
                <w:bottom w:val="none" w:sz="0" w:space="0" w:color="auto"/>
                <w:right w:val="none" w:sz="0" w:space="0" w:color="auto"/>
              </w:divBdr>
            </w:div>
          </w:divsChild>
        </w:div>
        <w:div w:id="664279867">
          <w:marLeft w:val="0"/>
          <w:marRight w:val="0"/>
          <w:marTop w:val="240"/>
          <w:marBottom w:val="0"/>
          <w:divBdr>
            <w:top w:val="none" w:sz="0" w:space="0" w:color="auto"/>
            <w:left w:val="none" w:sz="0" w:space="0" w:color="auto"/>
            <w:bottom w:val="none" w:sz="0" w:space="0" w:color="auto"/>
            <w:right w:val="none" w:sz="0" w:space="0" w:color="auto"/>
          </w:divBdr>
          <w:divsChild>
            <w:div w:id="1549419162">
              <w:marLeft w:val="0"/>
              <w:marRight w:val="0"/>
              <w:marTop w:val="0"/>
              <w:marBottom w:val="0"/>
              <w:divBdr>
                <w:top w:val="none" w:sz="0" w:space="0" w:color="auto"/>
                <w:left w:val="none" w:sz="0" w:space="0" w:color="auto"/>
                <w:bottom w:val="none" w:sz="0" w:space="0" w:color="auto"/>
                <w:right w:val="none" w:sz="0" w:space="0" w:color="auto"/>
              </w:divBdr>
            </w:div>
            <w:div w:id="195002169">
              <w:marLeft w:val="0"/>
              <w:marRight w:val="0"/>
              <w:marTop w:val="240"/>
              <w:marBottom w:val="0"/>
              <w:divBdr>
                <w:top w:val="none" w:sz="0" w:space="0" w:color="auto"/>
                <w:left w:val="none" w:sz="0" w:space="0" w:color="auto"/>
                <w:bottom w:val="none" w:sz="0" w:space="0" w:color="auto"/>
                <w:right w:val="none" w:sz="0" w:space="0" w:color="auto"/>
              </w:divBdr>
              <w:divsChild>
                <w:div w:id="1030181677">
                  <w:marLeft w:val="0"/>
                  <w:marRight w:val="0"/>
                  <w:marTop w:val="0"/>
                  <w:marBottom w:val="0"/>
                  <w:divBdr>
                    <w:top w:val="none" w:sz="0" w:space="0" w:color="auto"/>
                    <w:left w:val="none" w:sz="0" w:space="0" w:color="auto"/>
                    <w:bottom w:val="none" w:sz="0" w:space="0" w:color="auto"/>
                    <w:right w:val="none" w:sz="0" w:space="0" w:color="auto"/>
                  </w:divBdr>
                  <w:divsChild>
                    <w:div w:id="1401631075">
                      <w:blockQuote w:val="1"/>
                      <w:marLeft w:val="0"/>
                      <w:marRight w:val="0"/>
                      <w:marTop w:val="0"/>
                      <w:marBottom w:val="0"/>
                      <w:divBdr>
                        <w:top w:val="none" w:sz="0" w:space="0" w:color="auto"/>
                        <w:left w:val="none" w:sz="0" w:space="0" w:color="auto"/>
                        <w:bottom w:val="none" w:sz="0" w:space="0" w:color="auto"/>
                        <w:right w:val="none" w:sz="0" w:space="0" w:color="auto"/>
                      </w:divBdr>
                      <w:divsChild>
                        <w:div w:id="4868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671882">
              <w:marLeft w:val="0"/>
              <w:marRight w:val="0"/>
              <w:marTop w:val="240"/>
              <w:marBottom w:val="0"/>
              <w:divBdr>
                <w:top w:val="none" w:sz="0" w:space="0" w:color="auto"/>
                <w:left w:val="none" w:sz="0" w:space="0" w:color="auto"/>
                <w:bottom w:val="none" w:sz="0" w:space="0" w:color="auto"/>
                <w:right w:val="none" w:sz="0" w:space="0" w:color="auto"/>
              </w:divBdr>
            </w:div>
          </w:divsChild>
        </w:div>
        <w:div w:id="318048180">
          <w:marLeft w:val="0"/>
          <w:marRight w:val="0"/>
          <w:marTop w:val="240"/>
          <w:marBottom w:val="0"/>
          <w:divBdr>
            <w:top w:val="none" w:sz="0" w:space="0" w:color="auto"/>
            <w:left w:val="none" w:sz="0" w:space="0" w:color="auto"/>
            <w:bottom w:val="none" w:sz="0" w:space="0" w:color="auto"/>
            <w:right w:val="none" w:sz="0" w:space="0" w:color="auto"/>
          </w:divBdr>
          <w:divsChild>
            <w:div w:id="764837600">
              <w:marLeft w:val="0"/>
              <w:marRight w:val="0"/>
              <w:marTop w:val="0"/>
              <w:marBottom w:val="0"/>
              <w:divBdr>
                <w:top w:val="none" w:sz="0" w:space="0" w:color="auto"/>
                <w:left w:val="none" w:sz="0" w:space="0" w:color="auto"/>
                <w:bottom w:val="none" w:sz="0" w:space="0" w:color="auto"/>
                <w:right w:val="none" w:sz="0" w:space="0" w:color="auto"/>
              </w:divBdr>
            </w:div>
          </w:divsChild>
        </w:div>
        <w:div w:id="1496069896">
          <w:marLeft w:val="0"/>
          <w:marRight w:val="0"/>
          <w:marTop w:val="240"/>
          <w:marBottom w:val="0"/>
          <w:divBdr>
            <w:top w:val="none" w:sz="0" w:space="0" w:color="auto"/>
            <w:left w:val="none" w:sz="0" w:space="0" w:color="auto"/>
            <w:bottom w:val="none" w:sz="0" w:space="0" w:color="auto"/>
            <w:right w:val="none" w:sz="0" w:space="0" w:color="auto"/>
          </w:divBdr>
          <w:divsChild>
            <w:div w:id="2070231049">
              <w:marLeft w:val="0"/>
              <w:marRight w:val="0"/>
              <w:marTop w:val="0"/>
              <w:marBottom w:val="0"/>
              <w:divBdr>
                <w:top w:val="none" w:sz="0" w:space="0" w:color="auto"/>
                <w:left w:val="none" w:sz="0" w:space="0" w:color="auto"/>
                <w:bottom w:val="none" w:sz="0" w:space="0" w:color="auto"/>
                <w:right w:val="none" w:sz="0" w:space="0" w:color="auto"/>
              </w:divBdr>
            </w:div>
          </w:divsChild>
        </w:div>
        <w:div w:id="1510750697">
          <w:marLeft w:val="0"/>
          <w:marRight w:val="0"/>
          <w:marTop w:val="240"/>
          <w:marBottom w:val="0"/>
          <w:divBdr>
            <w:top w:val="none" w:sz="0" w:space="0" w:color="auto"/>
            <w:left w:val="none" w:sz="0" w:space="0" w:color="auto"/>
            <w:bottom w:val="none" w:sz="0" w:space="0" w:color="auto"/>
            <w:right w:val="none" w:sz="0" w:space="0" w:color="auto"/>
          </w:divBdr>
          <w:divsChild>
            <w:div w:id="1368094093">
              <w:marLeft w:val="0"/>
              <w:marRight w:val="0"/>
              <w:marTop w:val="0"/>
              <w:marBottom w:val="0"/>
              <w:divBdr>
                <w:top w:val="none" w:sz="0" w:space="0" w:color="auto"/>
                <w:left w:val="none" w:sz="0" w:space="0" w:color="auto"/>
                <w:bottom w:val="none" w:sz="0" w:space="0" w:color="auto"/>
                <w:right w:val="none" w:sz="0" w:space="0" w:color="auto"/>
              </w:divBdr>
            </w:div>
          </w:divsChild>
        </w:div>
        <w:div w:id="1604067771">
          <w:marLeft w:val="0"/>
          <w:marRight w:val="0"/>
          <w:marTop w:val="240"/>
          <w:marBottom w:val="0"/>
          <w:divBdr>
            <w:top w:val="none" w:sz="0" w:space="0" w:color="auto"/>
            <w:left w:val="none" w:sz="0" w:space="0" w:color="auto"/>
            <w:bottom w:val="none" w:sz="0" w:space="0" w:color="auto"/>
            <w:right w:val="none" w:sz="0" w:space="0" w:color="auto"/>
          </w:divBdr>
          <w:divsChild>
            <w:div w:id="1125929568">
              <w:marLeft w:val="0"/>
              <w:marRight w:val="0"/>
              <w:marTop w:val="0"/>
              <w:marBottom w:val="0"/>
              <w:divBdr>
                <w:top w:val="none" w:sz="0" w:space="0" w:color="auto"/>
                <w:left w:val="none" w:sz="0" w:space="0" w:color="auto"/>
                <w:bottom w:val="none" w:sz="0" w:space="0" w:color="auto"/>
                <w:right w:val="none" w:sz="0" w:space="0" w:color="auto"/>
              </w:divBdr>
            </w:div>
          </w:divsChild>
        </w:div>
        <w:div w:id="1645767641">
          <w:marLeft w:val="0"/>
          <w:marRight w:val="0"/>
          <w:marTop w:val="240"/>
          <w:marBottom w:val="0"/>
          <w:divBdr>
            <w:top w:val="none" w:sz="0" w:space="0" w:color="auto"/>
            <w:left w:val="none" w:sz="0" w:space="0" w:color="auto"/>
            <w:bottom w:val="none" w:sz="0" w:space="0" w:color="auto"/>
            <w:right w:val="none" w:sz="0" w:space="0" w:color="auto"/>
          </w:divBdr>
          <w:divsChild>
            <w:div w:id="472916396">
              <w:marLeft w:val="0"/>
              <w:marRight w:val="0"/>
              <w:marTop w:val="0"/>
              <w:marBottom w:val="0"/>
              <w:divBdr>
                <w:top w:val="none" w:sz="0" w:space="0" w:color="auto"/>
                <w:left w:val="none" w:sz="0" w:space="0" w:color="auto"/>
                <w:bottom w:val="none" w:sz="0" w:space="0" w:color="auto"/>
                <w:right w:val="none" w:sz="0" w:space="0" w:color="auto"/>
              </w:divBdr>
            </w:div>
          </w:divsChild>
        </w:div>
        <w:div w:id="1552184867">
          <w:marLeft w:val="0"/>
          <w:marRight w:val="0"/>
          <w:marTop w:val="240"/>
          <w:marBottom w:val="0"/>
          <w:divBdr>
            <w:top w:val="none" w:sz="0" w:space="0" w:color="auto"/>
            <w:left w:val="none" w:sz="0" w:space="0" w:color="auto"/>
            <w:bottom w:val="none" w:sz="0" w:space="0" w:color="auto"/>
            <w:right w:val="none" w:sz="0" w:space="0" w:color="auto"/>
          </w:divBdr>
          <w:divsChild>
            <w:div w:id="21305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71513">
      <w:bodyDiv w:val="1"/>
      <w:marLeft w:val="0"/>
      <w:marRight w:val="0"/>
      <w:marTop w:val="120"/>
      <w:marBottom w:val="0"/>
      <w:divBdr>
        <w:top w:val="none" w:sz="0" w:space="0" w:color="auto"/>
        <w:left w:val="none" w:sz="0" w:space="0" w:color="auto"/>
        <w:bottom w:val="none" w:sz="0" w:space="0" w:color="auto"/>
        <w:right w:val="none" w:sz="0" w:space="0" w:color="auto"/>
      </w:divBdr>
      <w:divsChild>
        <w:div w:id="463234494">
          <w:marLeft w:val="0"/>
          <w:marRight w:val="0"/>
          <w:marTop w:val="0"/>
          <w:marBottom w:val="0"/>
          <w:divBdr>
            <w:top w:val="none" w:sz="0" w:space="0" w:color="auto"/>
            <w:left w:val="none" w:sz="0" w:space="0" w:color="auto"/>
            <w:bottom w:val="none" w:sz="0" w:space="0" w:color="auto"/>
            <w:right w:val="none" w:sz="0" w:space="0" w:color="auto"/>
          </w:divBdr>
          <w:divsChild>
            <w:div w:id="1700857737">
              <w:marLeft w:val="0"/>
              <w:marRight w:val="0"/>
              <w:marTop w:val="0"/>
              <w:marBottom w:val="0"/>
              <w:divBdr>
                <w:top w:val="none" w:sz="0" w:space="0" w:color="auto"/>
                <w:left w:val="none" w:sz="0" w:space="0" w:color="auto"/>
                <w:bottom w:val="none" w:sz="0" w:space="0" w:color="auto"/>
                <w:right w:val="none" w:sz="0" w:space="0" w:color="auto"/>
              </w:divBdr>
              <w:divsChild>
                <w:div w:id="1251693623">
                  <w:marLeft w:val="-4350"/>
                  <w:marRight w:val="0"/>
                  <w:marTop w:val="0"/>
                  <w:marBottom w:val="0"/>
                  <w:divBdr>
                    <w:top w:val="none" w:sz="0" w:space="0" w:color="auto"/>
                    <w:left w:val="none" w:sz="0" w:space="0" w:color="auto"/>
                    <w:bottom w:val="none" w:sz="0" w:space="0" w:color="auto"/>
                    <w:right w:val="none" w:sz="0" w:space="0" w:color="auto"/>
                  </w:divBdr>
                  <w:divsChild>
                    <w:div w:id="1538929246">
                      <w:marLeft w:val="2550"/>
                      <w:marRight w:val="0"/>
                      <w:marTop w:val="0"/>
                      <w:marBottom w:val="0"/>
                      <w:divBdr>
                        <w:top w:val="none" w:sz="0" w:space="0" w:color="auto"/>
                        <w:left w:val="none" w:sz="0" w:space="0" w:color="auto"/>
                        <w:bottom w:val="none" w:sz="0" w:space="0" w:color="auto"/>
                        <w:right w:val="none" w:sz="0" w:space="0" w:color="auto"/>
                      </w:divBdr>
                      <w:divsChild>
                        <w:div w:id="241792691">
                          <w:marLeft w:val="0"/>
                          <w:marRight w:val="0"/>
                          <w:marTop w:val="0"/>
                          <w:marBottom w:val="0"/>
                          <w:divBdr>
                            <w:top w:val="none" w:sz="0" w:space="0" w:color="auto"/>
                            <w:left w:val="none" w:sz="0" w:space="0" w:color="auto"/>
                            <w:bottom w:val="none" w:sz="0" w:space="0" w:color="auto"/>
                            <w:right w:val="none" w:sz="0" w:space="0" w:color="auto"/>
                          </w:divBdr>
                          <w:divsChild>
                            <w:div w:id="8540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726739">
      <w:bodyDiv w:val="1"/>
      <w:marLeft w:val="0"/>
      <w:marRight w:val="0"/>
      <w:marTop w:val="0"/>
      <w:marBottom w:val="0"/>
      <w:divBdr>
        <w:top w:val="none" w:sz="0" w:space="0" w:color="auto"/>
        <w:left w:val="none" w:sz="0" w:space="0" w:color="auto"/>
        <w:bottom w:val="none" w:sz="0" w:space="0" w:color="auto"/>
        <w:right w:val="none" w:sz="0" w:space="0" w:color="auto"/>
      </w:divBdr>
      <w:divsChild>
        <w:div w:id="274756198">
          <w:marLeft w:val="0"/>
          <w:marRight w:val="0"/>
          <w:marTop w:val="0"/>
          <w:marBottom w:val="0"/>
          <w:divBdr>
            <w:top w:val="none" w:sz="0" w:space="0" w:color="auto"/>
            <w:left w:val="none" w:sz="0" w:space="0" w:color="auto"/>
            <w:bottom w:val="none" w:sz="0" w:space="0" w:color="auto"/>
            <w:right w:val="none" w:sz="0" w:space="0" w:color="auto"/>
          </w:divBdr>
          <w:divsChild>
            <w:div w:id="1590918407">
              <w:marLeft w:val="0"/>
              <w:marRight w:val="0"/>
              <w:marTop w:val="0"/>
              <w:marBottom w:val="0"/>
              <w:divBdr>
                <w:top w:val="none" w:sz="0" w:space="0" w:color="auto"/>
                <w:left w:val="none" w:sz="0" w:space="0" w:color="auto"/>
                <w:bottom w:val="none" w:sz="0" w:space="0" w:color="auto"/>
                <w:right w:val="none" w:sz="0" w:space="0" w:color="auto"/>
              </w:divBdr>
              <w:divsChild>
                <w:div w:id="1712263171">
                  <w:marLeft w:val="0"/>
                  <w:marRight w:val="0"/>
                  <w:marTop w:val="0"/>
                  <w:marBottom w:val="0"/>
                  <w:divBdr>
                    <w:top w:val="none" w:sz="0" w:space="0" w:color="auto"/>
                    <w:left w:val="none" w:sz="0" w:space="0" w:color="auto"/>
                    <w:bottom w:val="none" w:sz="0" w:space="0" w:color="auto"/>
                    <w:right w:val="none" w:sz="0" w:space="0" w:color="auto"/>
                  </w:divBdr>
                  <w:divsChild>
                    <w:div w:id="289559801">
                      <w:marLeft w:val="0"/>
                      <w:marRight w:val="0"/>
                      <w:marTop w:val="0"/>
                      <w:marBottom w:val="375"/>
                      <w:divBdr>
                        <w:top w:val="none" w:sz="0" w:space="0" w:color="auto"/>
                        <w:left w:val="none" w:sz="0" w:space="0" w:color="auto"/>
                        <w:bottom w:val="none" w:sz="0" w:space="0" w:color="auto"/>
                        <w:right w:val="none" w:sz="0" w:space="0" w:color="auto"/>
                      </w:divBdr>
                      <w:divsChild>
                        <w:div w:id="73343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121653">
      <w:bodyDiv w:val="1"/>
      <w:marLeft w:val="0"/>
      <w:marRight w:val="0"/>
      <w:marTop w:val="0"/>
      <w:marBottom w:val="0"/>
      <w:divBdr>
        <w:top w:val="none" w:sz="0" w:space="0" w:color="auto"/>
        <w:left w:val="none" w:sz="0" w:space="0" w:color="auto"/>
        <w:bottom w:val="none" w:sz="0" w:space="0" w:color="auto"/>
        <w:right w:val="none" w:sz="0" w:space="0" w:color="auto"/>
      </w:divBdr>
      <w:divsChild>
        <w:div w:id="98332405">
          <w:marLeft w:val="0"/>
          <w:marRight w:val="0"/>
          <w:marTop w:val="0"/>
          <w:marBottom w:val="0"/>
          <w:divBdr>
            <w:top w:val="none" w:sz="0" w:space="0" w:color="auto"/>
            <w:left w:val="none" w:sz="0" w:space="0" w:color="auto"/>
            <w:bottom w:val="none" w:sz="0" w:space="0" w:color="auto"/>
            <w:right w:val="none" w:sz="0" w:space="0" w:color="auto"/>
          </w:divBdr>
          <w:divsChild>
            <w:div w:id="747923540">
              <w:marLeft w:val="0"/>
              <w:marRight w:val="0"/>
              <w:marTop w:val="0"/>
              <w:marBottom w:val="0"/>
              <w:divBdr>
                <w:top w:val="none" w:sz="0" w:space="0" w:color="auto"/>
                <w:left w:val="none" w:sz="0" w:space="0" w:color="auto"/>
                <w:bottom w:val="none" w:sz="0" w:space="0" w:color="auto"/>
                <w:right w:val="none" w:sz="0" w:space="0" w:color="auto"/>
              </w:divBdr>
              <w:divsChild>
                <w:div w:id="1317606676">
                  <w:marLeft w:val="0"/>
                  <w:marRight w:val="0"/>
                  <w:marTop w:val="0"/>
                  <w:marBottom w:val="0"/>
                  <w:divBdr>
                    <w:top w:val="none" w:sz="0" w:space="0" w:color="auto"/>
                    <w:left w:val="none" w:sz="0" w:space="0" w:color="auto"/>
                    <w:bottom w:val="none" w:sz="0" w:space="0" w:color="auto"/>
                    <w:right w:val="none" w:sz="0" w:space="0" w:color="auto"/>
                  </w:divBdr>
                  <w:divsChild>
                    <w:div w:id="1866627399">
                      <w:marLeft w:val="0"/>
                      <w:marRight w:val="0"/>
                      <w:marTop w:val="0"/>
                      <w:marBottom w:val="375"/>
                      <w:divBdr>
                        <w:top w:val="none" w:sz="0" w:space="0" w:color="auto"/>
                        <w:left w:val="none" w:sz="0" w:space="0" w:color="auto"/>
                        <w:bottom w:val="none" w:sz="0" w:space="0" w:color="auto"/>
                        <w:right w:val="none" w:sz="0" w:space="0" w:color="auto"/>
                      </w:divBdr>
                      <w:divsChild>
                        <w:div w:id="1481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239016">
      <w:bodyDiv w:val="1"/>
      <w:marLeft w:val="0"/>
      <w:marRight w:val="0"/>
      <w:marTop w:val="0"/>
      <w:marBottom w:val="0"/>
      <w:divBdr>
        <w:top w:val="none" w:sz="0" w:space="0" w:color="auto"/>
        <w:left w:val="none" w:sz="0" w:space="0" w:color="auto"/>
        <w:bottom w:val="none" w:sz="0" w:space="0" w:color="auto"/>
        <w:right w:val="none" w:sz="0" w:space="0" w:color="auto"/>
      </w:divBdr>
      <w:divsChild>
        <w:div w:id="1651785091">
          <w:marLeft w:val="0"/>
          <w:marRight w:val="0"/>
          <w:marTop w:val="0"/>
          <w:marBottom w:val="0"/>
          <w:divBdr>
            <w:top w:val="none" w:sz="0" w:space="0" w:color="auto"/>
            <w:left w:val="none" w:sz="0" w:space="0" w:color="auto"/>
            <w:bottom w:val="none" w:sz="0" w:space="0" w:color="auto"/>
            <w:right w:val="none" w:sz="0" w:space="0" w:color="auto"/>
          </w:divBdr>
          <w:divsChild>
            <w:div w:id="178932080">
              <w:marLeft w:val="0"/>
              <w:marRight w:val="0"/>
              <w:marTop w:val="0"/>
              <w:marBottom w:val="0"/>
              <w:divBdr>
                <w:top w:val="none" w:sz="0" w:space="0" w:color="auto"/>
                <w:left w:val="none" w:sz="0" w:space="0" w:color="auto"/>
                <w:bottom w:val="none" w:sz="0" w:space="0" w:color="auto"/>
                <w:right w:val="none" w:sz="0" w:space="0" w:color="auto"/>
              </w:divBdr>
              <w:divsChild>
                <w:div w:id="218131023">
                  <w:marLeft w:val="0"/>
                  <w:marRight w:val="0"/>
                  <w:marTop w:val="0"/>
                  <w:marBottom w:val="0"/>
                  <w:divBdr>
                    <w:top w:val="none" w:sz="0" w:space="0" w:color="auto"/>
                    <w:left w:val="none" w:sz="0" w:space="0" w:color="auto"/>
                    <w:bottom w:val="none" w:sz="0" w:space="0" w:color="auto"/>
                    <w:right w:val="none" w:sz="0" w:space="0" w:color="auto"/>
                  </w:divBdr>
                  <w:divsChild>
                    <w:div w:id="868950239">
                      <w:marLeft w:val="0"/>
                      <w:marRight w:val="0"/>
                      <w:marTop w:val="0"/>
                      <w:marBottom w:val="375"/>
                      <w:divBdr>
                        <w:top w:val="none" w:sz="0" w:space="0" w:color="auto"/>
                        <w:left w:val="none" w:sz="0" w:space="0" w:color="auto"/>
                        <w:bottom w:val="none" w:sz="0" w:space="0" w:color="auto"/>
                        <w:right w:val="none" w:sz="0" w:space="0" w:color="auto"/>
                      </w:divBdr>
                      <w:divsChild>
                        <w:div w:id="6708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319186">
      <w:bodyDiv w:val="1"/>
      <w:marLeft w:val="0"/>
      <w:marRight w:val="0"/>
      <w:marTop w:val="0"/>
      <w:marBottom w:val="0"/>
      <w:divBdr>
        <w:top w:val="none" w:sz="0" w:space="0" w:color="auto"/>
        <w:left w:val="none" w:sz="0" w:space="0" w:color="auto"/>
        <w:bottom w:val="none" w:sz="0" w:space="0" w:color="auto"/>
        <w:right w:val="none" w:sz="0" w:space="0" w:color="auto"/>
      </w:divBdr>
      <w:divsChild>
        <w:div w:id="190151824">
          <w:marLeft w:val="0"/>
          <w:marRight w:val="0"/>
          <w:marTop w:val="0"/>
          <w:marBottom w:val="0"/>
          <w:divBdr>
            <w:top w:val="none" w:sz="0" w:space="0" w:color="auto"/>
            <w:left w:val="single" w:sz="6" w:space="0" w:color="BBBBBB"/>
            <w:bottom w:val="single" w:sz="6" w:space="0" w:color="BBBBBB"/>
            <w:right w:val="single" w:sz="6" w:space="0" w:color="BBBBBB"/>
          </w:divBdr>
          <w:divsChild>
            <w:div w:id="825753870">
              <w:marLeft w:val="0"/>
              <w:marRight w:val="0"/>
              <w:marTop w:val="0"/>
              <w:marBottom w:val="0"/>
              <w:divBdr>
                <w:top w:val="none" w:sz="0" w:space="0" w:color="auto"/>
                <w:left w:val="none" w:sz="0" w:space="0" w:color="auto"/>
                <w:bottom w:val="none" w:sz="0" w:space="0" w:color="auto"/>
                <w:right w:val="none" w:sz="0" w:space="0" w:color="auto"/>
              </w:divBdr>
              <w:divsChild>
                <w:div w:id="1331829463">
                  <w:marLeft w:val="0"/>
                  <w:marRight w:val="0"/>
                  <w:marTop w:val="0"/>
                  <w:marBottom w:val="0"/>
                  <w:divBdr>
                    <w:top w:val="none" w:sz="0" w:space="0" w:color="auto"/>
                    <w:left w:val="none" w:sz="0" w:space="0" w:color="auto"/>
                    <w:bottom w:val="none" w:sz="0" w:space="0" w:color="auto"/>
                    <w:right w:val="none" w:sz="0" w:space="0" w:color="auto"/>
                  </w:divBdr>
                  <w:divsChild>
                    <w:div w:id="1148324330">
                      <w:marLeft w:val="0"/>
                      <w:marRight w:val="0"/>
                      <w:marTop w:val="0"/>
                      <w:marBottom w:val="0"/>
                      <w:divBdr>
                        <w:top w:val="none" w:sz="0" w:space="0" w:color="auto"/>
                        <w:left w:val="none" w:sz="0" w:space="0" w:color="auto"/>
                        <w:bottom w:val="none" w:sz="0" w:space="0" w:color="auto"/>
                        <w:right w:val="none" w:sz="0" w:space="0" w:color="auto"/>
                      </w:divBdr>
                      <w:divsChild>
                        <w:div w:id="1662155803">
                          <w:marLeft w:val="0"/>
                          <w:marRight w:val="0"/>
                          <w:marTop w:val="0"/>
                          <w:marBottom w:val="0"/>
                          <w:divBdr>
                            <w:top w:val="none" w:sz="0" w:space="0" w:color="auto"/>
                            <w:left w:val="none" w:sz="0" w:space="0" w:color="auto"/>
                            <w:bottom w:val="none" w:sz="0" w:space="0" w:color="auto"/>
                            <w:right w:val="none" w:sz="0" w:space="0" w:color="auto"/>
                          </w:divBdr>
                          <w:divsChild>
                            <w:div w:id="337008485">
                              <w:marLeft w:val="0"/>
                              <w:marRight w:val="0"/>
                              <w:marTop w:val="0"/>
                              <w:marBottom w:val="0"/>
                              <w:divBdr>
                                <w:top w:val="none" w:sz="0" w:space="0" w:color="auto"/>
                                <w:left w:val="none" w:sz="0" w:space="0" w:color="auto"/>
                                <w:bottom w:val="none" w:sz="0" w:space="0" w:color="auto"/>
                                <w:right w:val="none" w:sz="0" w:space="0" w:color="auto"/>
                              </w:divBdr>
                              <w:divsChild>
                                <w:div w:id="58750294">
                                  <w:marLeft w:val="0"/>
                                  <w:marRight w:val="0"/>
                                  <w:marTop w:val="0"/>
                                  <w:marBottom w:val="0"/>
                                  <w:divBdr>
                                    <w:top w:val="none" w:sz="0" w:space="0" w:color="auto"/>
                                    <w:left w:val="none" w:sz="0" w:space="0" w:color="auto"/>
                                    <w:bottom w:val="none" w:sz="0" w:space="0" w:color="auto"/>
                                    <w:right w:val="none" w:sz="0" w:space="0" w:color="auto"/>
                                  </w:divBdr>
                                  <w:divsChild>
                                    <w:div w:id="199782488">
                                      <w:marLeft w:val="0"/>
                                      <w:marRight w:val="0"/>
                                      <w:marTop w:val="0"/>
                                      <w:marBottom w:val="0"/>
                                      <w:divBdr>
                                        <w:top w:val="none" w:sz="0" w:space="0" w:color="auto"/>
                                        <w:left w:val="none" w:sz="0" w:space="0" w:color="auto"/>
                                        <w:bottom w:val="none" w:sz="0" w:space="0" w:color="auto"/>
                                        <w:right w:val="none" w:sz="0" w:space="0" w:color="auto"/>
                                      </w:divBdr>
                                      <w:divsChild>
                                        <w:div w:id="633756538">
                                          <w:marLeft w:val="1200"/>
                                          <w:marRight w:val="1200"/>
                                          <w:marTop w:val="0"/>
                                          <w:marBottom w:val="0"/>
                                          <w:divBdr>
                                            <w:top w:val="none" w:sz="0" w:space="0" w:color="auto"/>
                                            <w:left w:val="none" w:sz="0" w:space="0" w:color="auto"/>
                                            <w:bottom w:val="none" w:sz="0" w:space="0" w:color="auto"/>
                                            <w:right w:val="none" w:sz="0" w:space="0" w:color="auto"/>
                                          </w:divBdr>
                                          <w:divsChild>
                                            <w:div w:id="255985959">
                                              <w:marLeft w:val="0"/>
                                              <w:marRight w:val="0"/>
                                              <w:marTop w:val="0"/>
                                              <w:marBottom w:val="0"/>
                                              <w:divBdr>
                                                <w:top w:val="none" w:sz="0" w:space="0" w:color="auto"/>
                                                <w:left w:val="none" w:sz="0" w:space="0" w:color="auto"/>
                                                <w:bottom w:val="none" w:sz="0" w:space="0" w:color="auto"/>
                                                <w:right w:val="none" w:sz="0" w:space="0" w:color="auto"/>
                                              </w:divBdr>
                                              <w:divsChild>
                                                <w:div w:id="1649895221">
                                                  <w:marLeft w:val="0"/>
                                                  <w:marRight w:val="0"/>
                                                  <w:marTop w:val="0"/>
                                                  <w:marBottom w:val="0"/>
                                                  <w:divBdr>
                                                    <w:top w:val="none" w:sz="0" w:space="0" w:color="auto"/>
                                                    <w:left w:val="none" w:sz="0" w:space="0" w:color="auto"/>
                                                    <w:bottom w:val="none" w:sz="0" w:space="0" w:color="auto"/>
                                                    <w:right w:val="none" w:sz="0" w:space="0" w:color="auto"/>
                                                  </w:divBdr>
                                                  <w:divsChild>
                                                    <w:div w:id="2076661512">
                                                      <w:marLeft w:val="0"/>
                                                      <w:marRight w:val="0"/>
                                                      <w:marTop w:val="0"/>
                                                      <w:marBottom w:val="0"/>
                                                      <w:divBdr>
                                                        <w:top w:val="none" w:sz="0" w:space="0" w:color="auto"/>
                                                        <w:left w:val="none" w:sz="0" w:space="0" w:color="auto"/>
                                                        <w:bottom w:val="none" w:sz="0" w:space="0" w:color="auto"/>
                                                        <w:right w:val="none" w:sz="0" w:space="0" w:color="auto"/>
                                                      </w:divBdr>
                                                      <w:divsChild>
                                                        <w:div w:id="1035085289">
                                                          <w:marLeft w:val="0"/>
                                                          <w:marRight w:val="0"/>
                                                          <w:marTop w:val="0"/>
                                                          <w:marBottom w:val="0"/>
                                                          <w:divBdr>
                                                            <w:top w:val="none" w:sz="0" w:space="0" w:color="auto"/>
                                                            <w:left w:val="none" w:sz="0" w:space="0" w:color="auto"/>
                                                            <w:bottom w:val="none" w:sz="0" w:space="0" w:color="auto"/>
                                                            <w:right w:val="none" w:sz="0" w:space="0" w:color="auto"/>
                                                          </w:divBdr>
                                                          <w:divsChild>
                                                            <w:div w:id="228271692">
                                                              <w:marLeft w:val="0"/>
                                                              <w:marRight w:val="0"/>
                                                              <w:marTop w:val="0"/>
                                                              <w:marBottom w:val="0"/>
                                                              <w:divBdr>
                                                                <w:top w:val="none" w:sz="0" w:space="0" w:color="auto"/>
                                                                <w:left w:val="none" w:sz="0" w:space="0" w:color="auto"/>
                                                                <w:bottom w:val="none" w:sz="0" w:space="0" w:color="auto"/>
                                                                <w:right w:val="none" w:sz="0" w:space="0" w:color="auto"/>
                                                              </w:divBdr>
                                                            </w:div>
                                                          </w:divsChild>
                                                        </w:div>
                                                        <w:div w:id="1233933809">
                                                          <w:marLeft w:val="0"/>
                                                          <w:marRight w:val="0"/>
                                                          <w:marTop w:val="0"/>
                                                          <w:marBottom w:val="0"/>
                                                          <w:divBdr>
                                                            <w:top w:val="none" w:sz="0" w:space="0" w:color="auto"/>
                                                            <w:left w:val="none" w:sz="0" w:space="0" w:color="auto"/>
                                                            <w:bottom w:val="none" w:sz="0" w:space="0" w:color="auto"/>
                                                            <w:right w:val="none" w:sz="0" w:space="0" w:color="auto"/>
                                                          </w:divBdr>
                                                          <w:divsChild>
                                                            <w:div w:id="1916738367">
                                                              <w:marLeft w:val="0"/>
                                                              <w:marRight w:val="0"/>
                                                              <w:marTop w:val="0"/>
                                                              <w:marBottom w:val="0"/>
                                                              <w:divBdr>
                                                                <w:top w:val="none" w:sz="0" w:space="0" w:color="auto"/>
                                                                <w:left w:val="none" w:sz="0" w:space="0" w:color="auto"/>
                                                                <w:bottom w:val="none" w:sz="0" w:space="0" w:color="auto"/>
                                                                <w:right w:val="none" w:sz="0" w:space="0" w:color="auto"/>
                                                              </w:divBdr>
                                                            </w:div>
                                                          </w:divsChild>
                                                        </w:div>
                                                        <w:div w:id="1398897700">
                                                          <w:marLeft w:val="0"/>
                                                          <w:marRight w:val="0"/>
                                                          <w:marTop w:val="0"/>
                                                          <w:marBottom w:val="0"/>
                                                          <w:divBdr>
                                                            <w:top w:val="none" w:sz="0" w:space="0" w:color="auto"/>
                                                            <w:left w:val="none" w:sz="0" w:space="0" w:color="auto"/>
                                                            <w:bottom w:val="none" w:sz="0" w:space="0" w:color="auto"/>
                                                            <w:right w:val="none" w:sz="0" w:space="0" w:color="auto"/>
                                                          </w:divBdr>
                                                          <w:divsChild>
                                                            <w:div w:id="6471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9867605">
      <w:bodyDiv w:val="1"/>
      <w:marLeft w:val="0"/>
      <w:marRight w:val="0"/>
      <w:marTop w:val="0"/>
      <w:marBottom w:val="0"/>
      <w:divBdr>
        <w:top w:val="none" w:sz="0" w:space="0" w:color="auto"/>
        <w:left w:val="none" w:sz="0" w:space="0" w:color="auto"/>
        <w:bottom w:val="none" w:sz="0" w:space="0" w:color="auto"/>
        <w:right w:val="none" w:sz="0" w:space="0" w:color="auto"/>
      </w:divBdr>
      <w:divsChild>
        <w:div w:id="1061028322">
          <w:marLeft w:val="0"/>
          <w:marRight w:val="0"/>
          <w:marTop w:val="0"/>
          <w:marBottom w:val="0"/>
          <w:divBdr>
            <w:top w:val="none" w:sz="0" w:space="0" w:color="auto"/>
            <w:left w:val="none" w:sz="0" w:space="0" w:color="auto"/>
            <w:bottom w:val="none" w:sz="0" w:space="0" w:color="auto"/>
            <w:right w:val="none" w:sz="0" w:space="0" w:color="auto"/>
          </w:divBdr>
          <w:divsChild>
            <w:div w:id="4522856">
              <w:marLeft w:val="0"/>
              <w:marRight w:val="0"/>
              <w:marTop w:val="0"/>
              <w:marBottom w:val="0"/>
              <w:divBdr>
                <w:top w:val="none" w:sz="0" w:space="0" w:color="auto"/>
                <w:left w:val="none" w:sz="0" w:space="0" w:color="auto"/>
                <w:bottom w:val="none" w:sz="0" w:space="0" w:color="auto"/>
                <w:right w:val="none" w:sz="0" w:space="0" w:color="auto"/>
              </w:divBdr>
              <w:divsChild>
                <w:div w:id="1150632351">
                  <w:marLeft w:val="0"/>
                  <w:marRight w:val="0"/>
                  <w:marTop w:val="0"/>
                  <w:marBottom w:val="0"/>
                  <w:divBdr>
                    <w:top w:val="none" w:sz="0" w:space="0" w:color="auto"/>
                    <w:left w:val="none" w:sz="0" w:space="0" w:color="auto"/>
                    <w:bottom w:val="none" w:sz="0" w:space="0" w:color="auto"/>
                    <w:right w:val="none" w:sz="0" w:space="0" w:color="auto"/>
                  </w:divBdr>
                  <w:divsChild>
                    <w:div w:id="755638546">
                      <w:marLeft w:val="0"/>
                      <w:marRight w:val="0"/>
                      <w:marTop w:val="0"/>
                      <w:marBottom w:val="300"/>
                      <w:divBdr>
                        <w:top w:val="none" w:sz="0" w:space="0" w:color="auto"/>
                        <w:left w:val="none" w:sz="0" w:space="0" w:color="auto"/>
                        <w:bottom w:val="none" w:sz="0" w:space="0" w:color="auto"/>
                        <w:right w:val="none" w:sz="0" w:space="0" w:color="auto"/>
                      </w:divBdr>
                      <w:divsChild>
                        <w:div w:id="1632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92893">
      <w:bodyDiv w:val="1"/>
      <w:marLeft w:val="0"/>
      <w:marRight w:val="0"/>
      <w:marTop w:val="0"/>
      <w:marBottom w:val="0"/>
      <w:divBdr>
        <w:top w:val="none" w:sz="0" w:space="0" w:color="auto"/>
        <w:left w:val="none" w:sz="0" w:space="0" w:color="auto"/>
        <w:bottom w:val="none" w:sz="0" w:space="0" w:color="auto"/>
        <w:right w:val="none" w:sz="0" w:space="0" w:color="auto"/>
      </w:divBdr>
      <w:divsChild>
        <w:div w:id="1835610331">
          <w:marLeft w:val="0"/>
          <w:marRight w:val="0"/>
          <w:marTop w:val="0"/>
          <w:marBottom w:val="0"/>
          <w:divBdr>
            <w:top w:val="none" w:sz="0" w:space="0" w:color="auto"/>
            <w:left w:val="single" w:sz="6" w:space="0" w:color="BBBBBB"/>
            <w:bottom w:val="single" w:sz="6" w:space="0" w:color="BBBBBB"/>
            <w:right w:val="single" w:sz="6" w:space="0" w:color="BBBBBB"/>
          </w:divBdr>
          <w:divsChild>
            <w:div w:id="322244355">
              <w:marLeft w:val="0"/>
              <w:marRight w:val="0"/>
              <w:marTop w:val="0"/>
              <w:marBottom w:val="0"/>
              <w:divBdr>
                <w:top w:val="none" w:sz="0" w:space="0" w:color="auto"/>
                <w:left w:val="none" w:sz="0" w:space="0" w:color="auto"/>
                <w:bottom w:val="none" w:sz="0" w:space="0" w:color="auto"/>
                <w:right w:val="none" w:sz="0" w:space="0" w:color="auto"/>
              </w:divBdr>
              <w:divsChild>
                <w:div w:id="75169902">
                  <w:marLeft w:val="0"/>
                  <w:marRight w:val="0"/>
                  <w:marTop w:val="75"/>
                  <w:marBottom w:val="0"/>
                  <w:divBdr>
                    <w:top w:val="none" w:sz="0" w:space="0" w:color="auto"/>
                    <w:left w:val="none" w:sz="0" w:space="0" w:color="auto"/>
                    <w:bottom w:val="none" w:sz="0" w:space="0" w:color="auto"/>
                    <w:right w:val="none" w:sz="0" w:space="0" w:color="auto"/>
                  </w:divBdr>
                  <w:divsChild>
                    <w:div w:id="119809560">
                      <w:marLeft w:val="0"/>
                      <w:marRight w:val="0"/>
                      <w:marTop w:val="0"/>
                      <w:marBottom w:val="0"/>
                      <w:divBdr>
                        <w:top w:val="none" w:sz="0" w:space="0" w:color="auto"/>
                        <w:left w:val="none" w:sz="0" w:space="0" w:color="auto"/>
                        <w:bottom w:val="none" w:sz="0" w:space="0" w:color="auto"/>
                        <w:right w:val="none" w:sz="0" w:space="0" w:color="auto"/>
                      </w:divBdr>
                      <w:divsChild>
                        <w:div w:id="875315688">
                          <w:marLeft w:val="0"/>
                          <w:marRight w:val="0"/>
                          <w:marTop w:val="0"/>
                          <w:marBottom w:val="0"/>
                          <w:divBdr>
                            <w:top w:val="none" w:sz="0" w:space="0" w:color="auto"/>
                            <w:left w:val="none" w:sz="0" w:space="0" w:color="auto"/>
                            <w:bottom w:val="none" w:sz="0" w:space="0" w:color="auto"/>
                            <w:right w:val="none" w:sz="0" w:space="0" w:color="auto"/>
                          </w:divBdr>
                          <w:divsChild>
                            <w:div w:id="1820875497">
                              <w:marLeft w:val="0"/>
                              <w:marRight w:val="0"/>
                              <w:marTop w:val="0"/>
                              <w:marBottom w:val="0"/>
                              <w:divBdr>
                                <w:top w:val="none" w:sz="0" w:space="0" w:color="auto"/>
                                <w:left w:val="none" w:sz="0" w:space="0" w:color="auto"/>
                                <w:bottom w:val="none" w:sz="0" w:space="0" w:color="auto"/>
                                <w:right w:val="none" w:sz="0" w:space="0" w:color="auto"/>
                              </w:divBdr>
                              <w:divsChild>
                                <w:div w:id="1346058617">
                                  <w:marLeft w:val="0"/>
                                  <w:marRight w:val="0"/>
                                  <w:marTop w:val="0"/>
                                  <w:marBottom w:val="0"/>
                                  <w:divBdr>
                                    <w:top w:val="none" w:sz="0" w:space="0" w:color="auto"/>
                                    <w:left w:val="none" w:sz="0" w:space="0" w:color="auto"/>
                                    <w:bottom w:val="none" w:sz="0" w:space="0" w:color="auto"/>
                                    <w:right w:val="none" w:sz="0" w:space="0" w:color="auto"/>
                                  </w:divBdr>
                                  <w:divsChild>
                                    <w:div w:id="1267734735">
                                      <w:marLeft w:val="0"/>
                                      <w:marRight w:val="0"/>
                                      <w:marTop w:val="0"/>
                                      <w:marBottom w:val="0"/>
                                      <w:divBdr>
                                        <w:top w:val="none" w:sz="0" w:space="0" w:color="auto"/>
                                        <w:left w:val="none" w:sz="0" w:space="0" w:color="auto"/>
                                        <w:bottom w:val="none" w:sz="0" w:space="0" w:color="auto"/>
                                        <w:right w:val="none" w:sz="0" w:space="0" w:color="auto"/>
                                      </w:divBdr>
                                      <w:divsChild>
                                        <w:div w:id="1497307169">
                                          <w:marLeft w:val="1200"/>
                                          <w:marRight w:val="1200"/>
                                          <w:marTop w:val="0"/>
                                          <w:marBottom w:val="0"/>
                                          <w:divBdr>
                                            <w:top w:val="none" w:sz="0" w:space="0" w:color="auto"/>
                                            <w:left w:val="none" w:sz="0" w:space="0" w:color="auto"/>
                                            <w:bottom w:val="none" w:sz="0" w:space="0" w:color="auto"/>
                                            <w:right w:val="none" w:sz="0" w:space="0" w:color="auto"/>
                                          </w:divBdr>
                                          <w:divsChild>
                                            <w:div w:id="1598362564">
                                              <w:marLeft w:val="0"/>
                                              <w:marRight w:val="0"/>
                                              <w:marTop w:val="0"/>
                                              <w:marBottom w:val="0"/>
                                              <w:divBdr>
                                                <w:top w:val="none" w:sz="0" w:space="0" w:color="auto"/>
                                                <w:left w:val="none" w:sz="0" w:space="0" w:color="auto"/>
                                                <w:bottom w:val="none" w:sz="0" w:space="0" w:color="auto"/>
                                                <w:right w:val="none" w:sz="0" w:space="0" w:color="auto"/>
                                              </w:divBdr>
                                              <w:divsChild>
                                                <w:div w:id="1519274732">
                                                  <w:marLeft w:val="0"/>
                                                  <w:marRight w:val="0"/>
                                                  <w:marTop w:val="0"/>
                                                  <w:marBottom w:val="0"/>
                                                  <w:divBdr>
                                                    <w:top w:val="none" w:sz="0" w:space="0" w:color="auto"/>
                                                    <w:left w:val="none" w:sz="0" w:space="0" w:color="auto"/>
                                                    <w:bottom w:val="none" w:sz="0" w:space="0" w:color="auto"/>
                                                    <w:right w:val="none" w:sz="0" w:space="0" w:color="auto"/>
                                                  </w:divBdr>
                                                  <w:divsChild>
                                                    <w:div w:id="1591541882">
                                                      <w:marLeft w:val="0"/>
                                                      <w:marRight w:val="0"/>
                                                      <w:marTop w:val="0"/>
                                                      <w:marBottom w:val="0"/>
                                                      <w:divBdr>
                                                        <w:top w:val="none" w:sz="0" w:space="0" w:color="auto"/>
                                                        <w:left w:val="none" w:sz="0" w:space="0" w:color="auto"/>
                                                        <w:bottom w:val="none" w:sz="0" w:space="0" w:color="auto"/>
                                                        <w:right w:val="none" w:sz="0" w:space="0" w:color="auto"/>
                                                      </w:divBdr>
                                                      <w:divsChild>
                                                        <w:div w:id="279841135">
                                                          <w:marLeft w:val="0"/>
                                                          <w:marRight w:val="0"/>
                                                          <w:marTop w:val="0"/>
                                                          <w:marBottom w:val="0"/>
                                                          <w:divBdr>
                                                            <w:top w:val="none" w:sz="0" w:space="0" w:color="auto"/>
                                                            <w:left w:val="none" w:sz="0" w:space="0" w:color="auto"/>
                                                            <w:bottom w:val="none" w:sz="0" w:space="0" w:color="auto"/>
                                                            <w:right w:val="none" w:sz="0" w:space="0" w:color="auto"/>
                                                          </w:divBdr>
                                                          <w:divsChild>
                                                            <w:div w:id="909388526">
                                                              <w:marLeft w:val="0"/>
                                                              <w:marRight w:val="0"/>
                                                              <w:marTop w:val="0"/>
                                                              <w:marBottom w:val="0"/>
                                                              <w:divBdr>
                                                                <w:top w:val="none" w:sz="0" w:space="0" w:color="auto"/>
                                                                <w:left w:val="none" w:sz="0" w:space="0" w:color="auto"/>
                                                                <w:bottom w:val="none" w:sz="0" w:space="0" w:color="auto"/>
                                                                <w:right w:val="none" w:sz="0" w:space="0" w:color="auto"/>
                                                              </w:divBdr>
                                                              <w:divsChild>
                                                                <w:div w:id="1855614058">
                                                                  <w:marLeft w:val="0"/>
                                                                  <w:marRight w:val="0"/>
                                                                  <w:marTop w:val="0"/>
                                                                  <w:marBottom w:val="0"/>
                                                                  <w:divBdr>
                                                                    <w:top w:val="none" w:sz="0" w:space="0" w:color="auto"/>
                                                                    <w:left w:val="none" w:sz="0" w:space="0" w:color="auto"/>
                                                                    <w:bottom w:val="none" w:sz="0" w:space="0" w:color="auto"/>
                                                                    <w:right w:val="none" w:sz="0" w:space="0" w:color="auto"/>
                                                                  </w:divBdr>
                                                                  <w:divsChild>
                                                                    <w:div w:id="1834569833">
                                                                      <w:marLeft w:val="0"/>
                                                                      <w:marRight w:val="0"/>
                                                                      <w:marTop w:val="0"/>
                                                                      <w:marBottom w:val="0"/>
                                                                      <w:divBdr>
                                                                        <w:top w:val="none" w:sz="0" w:space="0" w:color="auto"/>
                                                                        <w:left w:val="none" w:sz="0" w:space="0" w:color="auto"/>
                                                                        <w:bottom w:val="none" w:sz="0" w:space="0" w:color="auto"/>
                                                                        <w:right w:val="none" w:sz="0" w:space="0" w:color="auto"/>
                                                                      </w:divBdr>
                                                                      <w:divsChild>
                                                                        <w:div w:id="912617749">
                                                                          <w:marLeft w:val="0"/>
                                                                          <w:marRight w:val="0"/>
                                                                          <w:marTop w:val="0"/>
                                                                          <w:marBottom w:val="0"/>
                                                                          <w:divBdr>
                                                                            <w:top w:val="none" w:sz="0" w:space="0" w:color="auto"/>
                                                                            <w:left w:val="none" w:sz="0" w:space="0" w:color="auto"/>
                                                                            <w:bottom w:val="none" w:sz="0" w:space="0" w:color="auto"/>
                                                                            <w:right w:val="none" w:sz="0" w:space="0" w:color="auto"/>
                                                                          </w:divBdr>
                                                                        </w:div>
                                                                      </w:divsChild>
                                                                    </w:div>
                                                                    <w:div w:id="2038463435">
                                                                      <w:marLeft w:val="0"/>
                                                                      <w:marRight w:val="0"/>
                                                                      <w:marTop w:val="0"/>
                                                                      <w:marBottom w:val="0"/>
                                                                      <w:divBdr>
                                                                        <w:top w:val="none" w:sz="0" w:space="0" w:color="auto"/>
                                                                        <w:left w:val="none" w:sz="0" w:space="0" w:color="auto"/>
                                                                        <w:bottom w:val="none" w:sz="0" w:space="0" w:color="auto"/>
                                                                        <w:right w:val="none" w:sz="0" w:space="0" w:color="auto"/>
                                                                      </w:divBdr>
                                                                      <w:divsChild>
                                                                        <w:div w:id="20362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115339">
      <w:bodyDiv w:val="1"/>
      <w:marLeft w:val="0"/>
      <w:marRight w:val="0"/>
      <w:marTop w:val="0"/>
      <w:marBottom w:val="0"/>
      <w:divBdr>
        <w:top w:val="none" w:sz="0" w:space="0" w:color="auto"/>
        <w:left w:val="none" w:sz="0" w:space="0" w:color="auto"/>
        <w:bottom w:val="none" w:sz="0" w:space="0" w:color="auto"/>
        <w:right w:val="none" w:sz="0" w:space="0" w:color="auto"/>
      </w:divBdr>
      <w:divsChild>
        <w:div w:id="726341379">
          <w:marLeft w:val="0"/>
          <w:marRight w:val="0"/>
          <w:marTop w:val="0"/>
          <w:marBottom w:val="0"/>
          <w:divBdr>
            <w:top w:val="none" w:sz="0" w:space="0" w:color="auto"/>
            <w:left w:val="single" w:sz="6" w:space="0" w:color="BBBBBB"/>
            <w:bottom w:val="single" w:sz="6" w:space="0" w:color="BBBBBB"/>
            <w:right w:val="single" w:sz="6" w:space="0" w:color="BBBBBB"/>
          </w:divBdr>
          <w:divsChild>
            <w:div w:id="1251505241">
              <w:marLeft w:val="0"/>
              <w:marRight w:val="0"/>
              <w:marTop w:val="0"/>
              <w:marBottom w:val="0"/>
              <w:divBdr>
                <w:top w:val="none" w:sz="0" w:space="0" w:color="auto"/>
                <w:left w:val="none" w:sz="0" w:space="0" w:color="auto"/>
                <w:bottom w:val="none" w:sz="0" w:space="0" w:color="auto"/>
                <w:right w:val="none" w:sz="0" w:space="0" w:color="auto"/>
              </w:divBdr>
              <w:divsChild>
                <w:div w:id="948006284">
                  <w:marLeft w:val="0"/>
                  <w:marRight w:val="0"/>
                  <w:marTop w:val="75"/>
                  <w:marBottom w:val="0"/>
                  <w:divBdr>
                    <w:top w:val="none" w:sz="0" w:space="0" w:color="auto"/>
                    <w:left w:val="none" w:sz="0" w:space="0" w:color="auto"/>
                    <w:bottom w:val="none" w:sz="0" w:space="0" w:color="auto"/>
                    <w:right w:val="none" w:sz="0" w:space="0" w:color="auto"/>
                  </w:divBdr>
                  <w:divsChild>
                    <w:div w:id="88816652">
                      <w:marLeft w:val="0"/>
                      <w:marRight w:val="0"/>
                      <w:marTop w:val="0"/>
                      <w:marBottom w:val="0"/>
                      <w:divBdr>
                        <w:top w:val="none" w:sz="0" w:space="0" w:color="auto"/>
                        <w:left w:val="none" w:sz="0" w:space="0" w:color="auto"/>
                        <w:bottom w:val="none" w:sz="0" w:space="0" w:color="auto"/>
                        <w:right w:val="none" w:sz="0" w:space="0" w:color="auto"/>
                      </w:divBdr>
                      <w:divsChild>
                        <w:div w:id="1559708079">
                          <w:marLeft w:val="0"/>
                          <w:marRight w:val="0"/>
                          <w:marTop w:val="0"/>
                          <w:marBottom w:val="0"/>
                          <w:divBdr>
                            <w:top w:val="none" w:sz="0" w:space="0" w:color="auto"/>
                            <w:left w:val="none" w:sz="0" w:space="0" w:color="auto"/>
                            <w:bottom w:val="none" w:sz="0" w:space="0" w:color="auto"/>
                            <w:right w:val="none" w:sz="0" w:space="0" w:color="auto"/>
                          </w:divBdr>
                          <w:divsChild>
                            <w:div w:id="153685779">
                              <w:marLeft w:val="0"/>
                              <w:marRight w:val="0"/>
                              <w:marTop w:val="0"/>
                              <w:marBottom w:val="0"/>
                              <w:divBdr>
                                <w:top w:val="none" w:sz="0" w:space="0" w:color="auto"/>
                                <w:left w:val="none" w:sz="0" w:space="0" w:color="auto"/>
                                <w:bottom w:val="none" w:sz="0" w:space="0" w:color="auto"/>
                                <w:right w:val="none" w:sz="0" w:space="0" w:color="auto"/>
                              </w:divBdr>
                              <w:divsChild>
                                <w:div w:id="502553009">
                                  <w:marLeft w:val="0"/>
                                  <w:marRight w:val="0"/>
                                  <w:marTop w:val="0"/>
                                  <w:marBottom w:val="0"/>
                                  <w:divBdr>
                                    <w:top w:val="none" w:sz="0" w:space="0" w:color="auto"/>
                                    <w:left w:val="none" w:sz="0" w:space="0" w:color="auto"/>
                                    <w:bottom w:val="none" w:sz="0" w:space="0" w:color="auto"/>
                                    <w:right w:val="none" w:sz="0" w:space="0" w:color="auto"/>
                                  </w:divBdr>
                                  <w:divsChild>
                                    <w:div w:id="39599533">
                                      <w:marLeft w:val="0"/>
                                      <w:marRight w:val="0"/>
                                      <w:marTop w:val="0"/>
                                      <w:marBottom w:val="0"/>
                                      <w:divBdr>
                                        <w:top w:val="none" w:sz="0" w:space="0" w:color="auto"/>
                                        <w:left w:val="none" w:sz="0" w:space="0" w:color="auto"/>
                                        <w:bottom w:val="none" w:sz="0" w:space="0" w:color="auto"/>
                                        <w:right w:val="none" w:sz="0" w:space="0" w:color="auto"/>
                                      </w:divBdr>
                                      <w:divsChild>
                                        <w:div w:id="1346665701">
                                          <w:marLeft w:val="1200"/>
                                          <w:marRight w:val="1200"/>
                                          <w:marTop w:val="0"/>
                                          <w:marBottom w:val="0"/>
                                          <w:divBdr>
                                            <w:top w:val="none" w:sz="0" w:space="0" w:color="auto"/>
                                            <w:left w:val="none" w:sz="0" w:space="0" w:color="auto"/>
                                            <w:bottom w:val="none" w:sz="0" w:space="0" w:color="auto"/>
                                            <w:right w:val="none" w:sz="0" w:space="0" w:color="auto"/>
                                          </w:divBdr>
                                          <w:divsChild>
                                            <w:div w:id="631205648">
                                              <w:marLeft w:val="0"/>
                                              <w:marRight w:val="0"/>
                                              <w:marTop w:val="0"/>
                                              <w:marBottom w:val="0"/>
                                              <w:divBdr>
                                                <w:top w:val="none" w:sz="0" w:space="0" w:color="auto"/>
                                                <w:left w:val="none" w:sz="0" w:space="0" w:color="auto"/>
                                                <w:bottom w:val="none" w:sz="0" w:space="0" w:color="auto"/>
                                                <w:right w:val="none" w:sz="0" w:space="0" w:color="auto"/>
                                              </w:divBdr>
                                              <w:divsChild>
                                                <w:div w:id="734082760">
                                                  <w:marLeft w:val="0"/>
                                                  <w:marRight w:val="0"/>
                                                  <w:marTop w:val="0"/>
                                                  <w:marBottom w:val="0"/>
                                                  <w:divBdr>
                                                    <w:top w:val="none" w:sz="0" w:space="0" w:color="auto"/>
                                                    <w:left w:val="none" w:sz="0" w:space="0" w:color="auto"/>
                                                    <w:bottom w:val="none" w:sz="0" w:space="0" w:color="auto"/>
                                                    <w:right w:val="none" w:sz="0" w:space="0" w:color="auto"/>
                                                  </w:divBdr>
                                                  <w:divsChild>
                                                    <w:div w:id="1879311905">
                                                      <w:marLeft w:val="0"/>
                                                      <w:marRight w:val="0"/>
                                                      <w:marTop w:val="0"/>
                                                      <w:marBottom w:val="0"/>
                                                      <w:divBdr>
                                                        <w:top w:val="none" w:sz="0" w:space="0" w:color="auto"/>
                                                        <w:left w:val="none" w:sz="0" w:space="0" w:color="auto"/>
                                                        <w:bottom w:val="none" w:sz="0" w:space="0" w:color="auto"/>
                                                        <w:right w:val="none" w:sz="0" w:space="0" w:color="auto"/>
                                                      </w:divBdr>
                                                      <w:divsChild>
                                                        <w:div w:id="1058479969">
                                                          <w:marLeft w:val="0"/>
                                                          <w:marRight w:val="0"/>
                                                          <w:marTop w:val="0"/>
                                                          <w:marBottom w:val="0"/>
                                                          <w:divBdr>
                                                            <w:top w:val="none" w:sz="0" w:space="0" w:color="auto"/>
                                                            <w:left w:val="none" w:sz="0" w:space="0" w:color="auto"/>
                                                            <w:bottom w:val="none" w:sz="0" w:space="0" w:color="auto"/>
                                                            <w:right w:val="none" w:sz="0" w:space="0" w:color="auto"/>
                                                          </w:divBdr>
                                                          <w:divsChild>
                                                            <w:div w:id="666177408">
                                                              <w:marLeft w:val="0"/>
                                                              <w:marRight w:val="0"/>
                                                              <w:marTop w:val="0"/>
                                                              <w:marBottom w:val="0"/>
                                                              <w:divBdr>
                                                                <w:top w:val="none" w:sz="0" w:space="0" w:color="auto"/>
                                                                <w:left w:val="none" w:sz="0" w:space="0" w:color="auto"/>
                                                                <w:bottom w:val="none" w:sz="0" w:space="0" w:color="auto"/>
                                                                <w:right w:val="none" w:sz="0" w:space="0" w:color="auto"/>
                                                              </w:divBdr>
                                                              <w:divsChild>
                                                                <w:div w:id="1305890172">
                                                                  <w:marLeft w:val="0"/>
                                                                  <w:marRight w:val="0"/>
                                                                  <w:marTop w:val="0"/>
                                                                  <w:marBottom w:val="0"/>
                                                                  <w:divBdr>
                                                                    <w:top w:val="none" w:sz="0" w:space="0" w:color="auto"/>
                                                                    <w:left w:val="none" w:sz="0" w:space="0" w:color="auto"/>
                                                                    <w:bottom w:val="none" w:sz="0" w:space="0" w:color="auto"/>
                                                                    <w:right w:val="none" w:sz="0" w:space="0" w:color="auto"/>
                                                                  </w:divBdr>
                                                                  <w:divsChild>
                                                                    <w:div w:id="619730535">
                                                                      <w:marLeft w:val="0"/>
                                                                      <w:marRight w:val="0"/>
                                                                      <w:marTop w:val="0"/>
                                                                      <w:marBottom w:val="0"/>
                                                                      <w:divBdr>
                                                                        <w:top w:val="none" w:sz="0" w:space="0" w:color="auto"/>
                                                                        <w:left w:val="none" w:sz="0" w:space="0" w:color="auto"/>
                                                                        <w:bottom w:val="none" w:sz="0" w:space="0" w:color="auto"/>
                                                                        <w:right w:val="none" w:sz="0" w:space="0" w:color="auto"/>
                                                                      </w:divBdr>
                                                                      <w:divsChild>
                                                                        <w:div w:id="1584758544">
                                                                          <w:marLeft w:val="0"/>
                                                                          <w:marRight w:val="0"/>
                                                                          <w:marTop w:val="0"/>
                                                                          <w:marBottom w:val="0"/>
                                                                          <w:divBdr>
                                                                            <w:top w:val="none" w:sz="0" w:space="0" w:color="auto"/>
                                                                            <w:left w:val="none" w:sz="0" w:space="0" w:color="auto"/>
                                                                            <w:bottom w:val="none" w:sz="0" w:space="0" w:color="auto"/>
                                                                            <w:right w:val="none" w:sz="0" w:space="0" w:color="auto"/>
                                                                          </w:divBdr>
                                                                        </w:div>
                                                                      </w:divsChild>
                                                                    </w:div>
                                                                    <w:div w:id="1340235955">
                                                                      <w:marLeft w:val="0"/>
                                                                      <w:marRight w:val="0"/>
                                                                      <w:marTop w:val="0"/>
                                                                      <w:marBottom w:val="0"/>
                                                                      <w:divBdr>
                                                                        <w:top w:val="none" w:sz="0" w:space="0" w:color="auto"/>
                                                                        <w:left w:val="none" w:sz="0" w:space="0" w:color="auto"/>
                                                                        <w:bottom w:val="none" w:sz="0" w:space="0" w:color="auto"/>
                                                                        <w:right w:val="none" w:sz="0" w:space="0" w:color="auto"/>
                                                                      </w:divBdr>
                                                                      <w:divsChild>
                                                                        <w:div w:id="1407193071">
                                                                          <w:marLeft w:val="0"/>
                                                                          <w:marRight w:val="0"/>
                                                                          <w:marTop w:val="0"/>
                                                                          <w:marBottom w:val="0"/>
                                                                          <w:divBdr>
                                                                            <w:top w:val="none" w:sz="0" w:space="0" w:color="auto"/>
                                                                            <w:left w:val="none" w:sz="0" w:space="0" w:color="auto"/>
                                                                            <w:bottom w:val="none" w:sz="0" w:space="0" w:color="auto"/>
                                                                            <w:right w:val="none" w:sz="0" w:space="0" w:color="auto"/>
                                                                          </w:divBdr>
                                                                        </w:div>
                                                                      </w:divsChild>
                                                                    </w:div>
                                                                    <w:div w:id="1407071578">
                                                                      <w:marLeft w:val="0"/>
                                                                      <w:marRight w:val="0"/>
                                                                      <w:marTop w:val="0"/>
                                                                      <w:marBottom w:val="0"/>
                                                                      <w:divBdr>
                                                                        <w:top w:val="none" w:sz="0" w:space="0" w:color="auto"/>
                                                                        <w:left w:val="none" w:sz="0" w:space="0" w:color="auto"/>
                                                                        <w:bottom w:val="none" w:sz="0" w:space="0" w:color="auto"/>
                                                                        <w:right w:val="none" w:sz="0" w:space="0" w:color="auto"/>
                                                                      </w:divBdr>
                                                                      <w:divsChild>
                                                                        <w:div w:id="408040650">
                                                                          <w:marLeft w:val="0"/>
                                                                          <w:marRight w:val="0"/>
                                                                          <w:marTop w:val="0"/>
                                                                          <w:marBottom w:val="0"/>
                                                                          <w:divBdr>
                                                                            <w:top w:val="none" w:sz="0" w:space="0" w:color="auto"/>
                                                                            <w:left w:val="none" w:sz="0" w:space="0" w:color="auto"/>
                                                                            <w:bottom w:val="none" w:sz="0" w:space="0" w:color="auto"/>
                                                                            <w:right w:val="none" w:sz="0" w:space="0" w:color="auto"/>
                                                                          </w:divBdr>
                                                                        </w:div>
                                                                      </w:divsChild>
                                                                    </w:div>
                                                                    <w:div w:id="2113817207">
                                                                      <w:marLeft w:val="0"/>
                                                                      <w:marRight w:val="0"/>
                                                                      <w:marTop w:val="0"/>
                                                                      <w:marBottom w:val="0"/>
                                                                      <w:divBdr>
                                                                        <w:top w:val="none" w:sz="0" w:space="0" w:color="auto"/>
                                                                        <w:left w:val="none" w:sz="0" w:space="0" w:color="auto"/>
                                                                        <w:bottom w:val="none" w:sz="0" w:space="0" w:color="auto"/>
                                                                        <w:right w:val="none" w:sz="0" w:space="0" w:color="auto"/>
                                                                      </w:divBdr>
                                                                      <w:divsChild>
                                                                        <w:div w:id="12356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386428">
      <w:bodyDiv w:val="1"/>
      <w:marLeft w:val="0"/>
      <w:marRight w:val="0"/>
      <w:marTop w:val="0"/>
      <w:marBottom w:val="0"/>
      <w:divBdr>
        <w:top w:val="none" w:sz="0" w:space="0" w:color="auto"/>
        <w:left w:val="none" w:sz="0" w:space="0" w:color="auto"/>
        <w:bottom w:val="none" w:sz="0" w:space="0" w:color="auto"/>
        <w:right w:val="none" w:sz="0" w:space="0" w:color="auto"/>
      </w:divBdr>
      <w:divsChild>
        <w:div w:id="1393887378">
          <w:marLeft w:val="0"/>
          <w:marRight w:val="0"/>
          <w:marTop w:val="0"/>
          <w:marBottom w:val="0"/>
          <w:divBdr>
            <w:top w:val="none" w:sz="0" w:space="0" w:color="auto"/>
            <w:left w:val="single" w:sz="6" w:space="0" w:color="BBBBBB"/>
            <w:bottom w:val="single" w:sz="6" w:space="0" w:color="BBBBBB"/>
            <w:right w:val="single" w:sz="6" w:space="0" w:color="BBBBBB"/>
          </w:divBdr>
          <w:divsChild>
            <w:div w:id="816916868">
              <w:marLeft w:val="0"/>
              <w:marRight w:val="0"/>
              <w:marTop w:val="0"/>
              <w:marBottom w:val="0"/>
              <w:divBdr>
                <w:top w:val="none" w:sz="0" w:space="0" w:color="auto"/>
                <w:left w:val="none" w:sz="0" w:space="0" w:color="auto"/>
                <w:bottom w:val="none" w:sz="0" w:space="0" w:color="auto"/>
                <w:right w:val="none" w:sz="0" w:space="0" w:color="auto"/>
              </w:divBdr>
              <w:divsChild>
                <w:div w:id="68232409">
                  <w:marLeft w:val="0"/>
                  <w:marRight w:val="0"/>
                  <w:marTop w:val="75"/>
                  <w:marBottom w:val="0"/>
                  <w:divBdr>
                    <w:top w:val="none" w:sz="0" w:space="0" w:color="auto"/>
                    <w:left w:val="none" w:sz="0" w:space="0" w:color="auto"/>
                    <w:bottom w:val="none" w:sz="0" w:space="0" w:color="auto"/>
                    <w:right w:val="none" w:sz="0" w:space="0" w:color="auto"/>
                  </w:divBdr>
                  <w:divsChild>
                    <w:div w:id="904684104">
                      <w:marLeft w:val="0"/>
                      <w:marRight w:val="0"/>
                      <w:marTop w:val="0"/>
                      <w:marBottom w:val="0"/>
                      <w:divBdr>
                        <w:top w:val="none" w:sz="0" w:space="0" w:color="auto"/>
                        <w:left w:val="none" w:sz="0" w:space="0" w:color="auto"/>
                        <w:bottom w:val="none" w:sz="0" w:space="0" w:color="auto"/>
                        <w:right w:val="none" w:sz="0" w:space="0" w:color="auto"/>
                      </w:divBdr>
                      <w:divsChild>
                        <w:div w:id="102574978">
                          <w:marLeft w:val="0"/>
                          <w:marRight w:val="0"/>
                          <w:marTop w:val="0"/>
                          <w:marBottom w:val="0"/>
                          <w:divBdr>
                            <w:top w:val="none" w:sz="0" w:space="0" w:color="auto"/>
                            <w:left w:val="none" w:sz="0" w:space="0" w:color="auto"/>
                            <w:bottom w:val="none" w:sz="0" w:space="0" w:color="auto"/>
                            <w:right w:val="none" w:sz="0" w:space="0" w:color="auto"/>
                          </w:divBdr>
                          <w:divsChild>
                            <w:div w:id="61291661">
                              <w:marLeft w:val="0"/>
                              <w:marRight w:val="0"/>
                              <w:marTop w:val="0"/>
                              <w:marBottom w:val="0"/>
                              <w:divBdr>
                                <w:top w:val="none" w:sz="0" w:space="0" w:color="auto"/>
                                <w:left w:val="none" w:sz="0" w:space="0" w:color="auto"/>
                                <w:bottom w:val="none" w:sz="0" w:space="0" w:color="auto"/>
                                <w:right w:val="none" w:sz="0" w:space="0" w:color="auto"/>
                              </w:divBdr>
                              <w:divsChild>
                                <w:div w:id="227619220">
                                  <w:marLeft w:val="0"/>
                                  <w:marRight w:val="0"/>
                                  <w:marTop w:val="0"/>
                                  <w:marBottom w:val="0"/>
                                  <w:divBdr>
                                    <w:top w:val="none" w:sz="0" w:space="0" w:color="auto"/>
                                    <w:left w:val="none" w:sz="0" w:space="0" w:color="auto"/>
                                    <w:bottom w:val="none" w:sz="0" w:space="0" w:color="auto"/>
                                    <w:right w:val="none" w:sz="0" w:space="0" w:color="auto"/>
                                  </w:divBdr>
                                  <w:divsChild>
                                    <w:div w:id="392629239">
                                      <w:marLeft w:val="0"/>
                                      <w:marRight w:val="0"/>
                                      <w:marTop w:val="0"/>
                                      <w:marBottom w:val="0"/>
                                      <w:divBdr>
                                        <w:top w:val="none" w:sz="0" w:space="0" w:color="auto"/>
                                        <w:left w:val="none" w:sz="0" w:space="0" w:color="auto"/>
                                        <w:bottom w:val="none" w:sz="0" w:space="0" w:color="auto"/>
                                        <w:right w:val="none" w:sz="0" w:space="0" w:color="auto"/>
                                      </w:divBdr>
                                      <w:divsChild>
                                        <w:div w:id="481122688">
                                          <w:marLeft w:val="1200"/>
                                          <w:marRight w:val="1200"/>
                                          <w:marTop w:val="0"/>
                                          <w:marBottom w:val="0"/>
                                          <w:divBdr>
                                            <w:top w:val="none" w:sz="0" w:space="0" w:color="auto"/>
                                            <w:left w:val="none" w:sz="0" w:space="0" w:color="auto"/>
                                            <w:bottom w:val="none" w:sz="0" w:space="0" w:color="auto"/>
                                            <w:right w:val="none" w:sz="0" w:space="0" w:color="auto"/>
                                          </w:divBdr>
                                          <w:divsChild>
                                            <w:div w:id="1379430335">
                                              <w:marLeft w:val="0"/>
                                              <w:marRight w:val="0"/>
                                              <w:marTop w:val="0"/>
                                              <w:marBottom w:val="0"/>
                                              <w:divBdr>
                                                <w:top w:val="none" w:sz="0" w:space="0" w:color="auto"/>
                                                <w:left w:val="none" w:sz="0" w:space="0" w:color="auto"/>
                                                <w:bottom w:val="none" w:sz="0" w:space="0" w:color="auto"/>
                                                <w:right w:val="none" w:sz="0" w:space="0" w:color="auto"/>
                                              </w:divBdr>
                                              <w:divsChild>
                                                <w:div w:id="1946303918">
                                                  <w:marLeft w:val="0"/>
                                                  <w:marRight w:val="0"/>
                                                  <w:marTop w:val="0"/>
                                                  <w:marBottom w:val="0"/>
                                                  <w:divBdr>
                                                    <w:top w:val="none" w:sz="0" w:space="0" w:color="auto"/>
                                                    <w:left w:val="none" w:sz="0" w:space="0" w:color="auto"/>
                                                    <w:bottom w:val="none" w:sz="0" w:space="0" w:color="auto"/>
                                                    <w:right w:val="none" w:sz="0" w:space="0" w:color="auto"/>
                                                  </w:divBdr>
                                                  <w:divsChild>
                                                    <w:div w:id="815728487">
                                                      <w:marLeft w:val="0"/>
                                                      <w:marRight w:val="0"/>
                                                      <w:marTop w:val="0"/>
                                                      <w:marBottom w:val="0"/>
                                                      <w:divBdr>
                                                        <w:top w:val="none" w:sz="0" w:space="0" w:color="auto"/>
                                                        <w:left w:val="none" w:sz="0" w:space="0" w:color="auto"/>
                                                        <w:bottom w:val="none" w:sz="0" w:space="0" w:color="auto"/>
                                                        <w:right w:val="none" w:sz="0" w:space="0" w:color="auto"/>
                                                      </w:divBdr>
                                                      <w:divsChild>
                                                        <w:div w:id="1493637316">
                                                          <w:marLeft w:val="0"/>
                                                          <w:marRight w:val="0"/>
                                                          <w:marTop w:val="0"/>
                                                          <w:marBottom w:val="0"/>
                                                          <w:divBdr>
                                                            <w:top w:val="none" w:sz="0" w:space="0" w:color="auto"/>
                                                            <w:left w:val="none" w:sz="0" w:space="0" w:color="auto"/>
                                                            <w:bottom w:val="none" w:sz="0" w:space="0" w:color="auto"/>
                                                            <w:right w:val="none" w:sz="0" w:space="0" w:color="auto"/>
                                                          </w:divBdr>
                                                        </w:div>
                                                      </w:divsChild>
                                                    </w:div>
                                                    <w:div w:id="862136255">
                                                      <w:marLeft w:val="0"/>
                                                      <w:marRight w:val="0"/>
                                                      <w:marTop w:val="0"/>
                                                      <w:marBottom w:val="0"/>
                                                      <w:divBdr>
                                                        <w:top w:val="none" w:sz="0" w:space="0" w:color="auto"/>
                                                        <w:left w:val="none" w:sz="0" w:space="0" w:color="auto"/>
                                                        <w:bottom w:val="none" w:sz="0" w:space="0" w:color="auto"/>
                                                        <w:right w:val="none" w:sz="0" w:space="0" w:color="auto"/>
                                                      </w:divBdr>
                                                      <w:divsChild>
                                                        <w:div w:id="117796419">
                                                          <w:marLeft w:val="0"/>
                                                          <w:marRight w:val="0"/>
                                                          <w:marTop w:val="0"/>
                                                          <w:marBottom w:val="0"/>
                                                          <w:divBdr>
                                                            <w:top w:val="none" w:sz="0" w:space="0" w:color="auto"/>
                                                            <w:left w:val="none" w:sz="0" w:space="0" w:color="auto"/>
                                                            <w:bottom w:val="none" w:sz="0" w:space="0" w:color="auto"/>
                                                            <w:right w:val="none" w:sz="0" w:space="0" w:color="auto"/>
                                                          </w:divBdr>
                                                        </w:div>
                                                      </w:divsChild>
                                                    </w:div>
                                                    <w:div w:id="1753239514">
                                                      <w:marLeft w:val="0"/>
                                                      <w:marRight w:val="0"/>
                                                      <w:marTop w:val="0"/>
                                                      <w:marBottom w:val="0"/>
                                                      <w:divBdr>
                                                        <w:top w:val="none" w:sz="0" w:space="0" w:color="auto"/>
                                                        <w:left w:val="none" w:sz="0" w:space="0" w:color="auto"/>
                                                        <w:bottom w:val="none" w:sz="0" w:space="0" w:color="auto"/>
                                                        <w:right w:val="none" w:sz="0" w:space="0" w:color="auto"/>
                                                      </w:divBdr>
                                                      <w:divsChild>
                                                        <w:div w:id="89955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5494203">
      <w:bodyDiv w:val="1"/>
      <w:marLeft w:val="0"/>
      <w:marRight w:val="0"/>
      <w:marTop w:val="0"/>
      <w:marBottom w:val="0"/>
      <w:divBdr>
        <w:top w:val="none" w:sz="0" w:space="0" w:color="auto"/>
        <w:left w:val="none" w:sz="0" w:space="0" w:color="auto"/>
        <w:bottom w:val="none" w:sz="0" w:space="0" w:color="auto"/>
        <w:right w:val="none" w:sz="0" w:space="0" w:color="auto"/>
      </w:divBdr>
      <w:divsChild>
        <w:div w:id="415978180">
          <w:marLeft w:val="0"/>
          <w:marRight w:val="0"/>
          <w:marTop w:val="0"/>
          <w:marBottom w:val="0"/>
          <w:divBdr>
            <w:top w:val="none" w:sz="0" w:space="0" w:color="auto"/>
            <w:left w:val="single" w:sz="6" w:space="0" w:color="BBBBBB"/>
            <w:bottom w:val="single" w:sz="6" w:space="0" w:color="BBBBBB"/>
            <w:right w:val="single" w:sz="6" w:space="0" w:color="BBBBBB"/>
          </w:divBdr>
          <w:divsChild>
            <w:div w:id="2113476830">
              <w:marLeft w:val="0"/>
              <w:marRight w:val="0"/>
              <w:marTop w:val="0"/>
              <w:marBottom w:val="0"/>
              <w:divBdr>
                <w:top w:val="none" w:sz="0" w:space="0" w:color="auto"/>
                <w:left w:val="none" w:sz="0" w:space="0" w:color="auto"/>
                <w:bottom w:val="none" w:sz="0" w:space="0" w:color="auto"/>
                <w:right w:val="none" w:sz="0" w:space="0" w:color="auto"/>
              </w:divBdr>
              <w:divsChild>
                <w:div w:id="1803691918">
                  <w:marLeft w:val="0"/>
                  <w:marRight w:val="0"/>
                  <w:marTop w:val="75"/>
                  <w:marBottom w:val="0"/>
                  <w:divBdr>
                    <w:top w:val="none" w:sz="0" w:space="0" w:color="auto"/>
                    <w:left w:val="none" w:sz="0" w:space="0" w:color="auto"/>
                    <w:bottom w:val="none" w:sz="0" w:space="0" w:color="auto"/>
                    <w:right w:val="none" w:sz="0" w:space="0" w:color="auto"/>
                  </w:divBdr>
                  <w:divsChild>
                    <w:div w:id="967395846">
                      <w:marLeft w:val="0"/>
                      <w:marRight w:val="0"/>
                      <w:marTop w:val="0"/>
                      <w:marBottom w:val="0"/>
                      <w:divBdr>
                        <w:top w:val="none" w:sz="0" w:space="0" w:color="auto"/>
                        <w:left w:val="none" w:sz="0" w:space="0" w:color="auto"/>
                        <w:bottom w:val="none" w:sz="0" w:space="0" w:color="auto"/>
                        <w:right w:val="none" w:sz="0" w:space="0" w:color="auto"/>
                      </w:divBdr>
                      <w:divsChild>
                        <w:div w:id="1670449871">
                          <w:marLeft w:val="0"/>
                          <w:marRight w:val="0"/>
                          <w:marTop w:val="0"/>
                          <w:marBottom w:val="0"/>
                          <w:divBdr>
                            <w:top w:val="none" w:sz="0" w:space="0" w:color="auto"/>
                            <w:left w:val="none" w:sz="0" w:space="0" w:color="auto"/>
                            <w:bottom w:val="none" w:sz="0" w:space="0" w:color="auto"/>
                            <w:right w:val="none" w:sz="0" w:space="0" w:color="auto"/>
                          </w:divBdr>
                          <w:divsChild>
                            <w:div w:id="176311464">
                              <w:marLeft w:val="0"/>
                              <w:marRight w:val="0"/>
                              <w:marTop w:val="0"/>
                              <w:marBottom w:val="0"/>
                              <w:divBdr>
                                <w:top w:val="none" w:sz="0" w:space="0" w:color="auto"/>
                                <w:left w:val="none" w:sz="0" w:space="0" w:color="auto"/>
                                <w:bottom w:val="none" w:sz="0" w:space="0" w:color="auto"/>
                                <w:right w:val="none" w:sz="0" w:space="0" w:color="auto"/>
                              </w:divBdr>
                              <w:divsChild>
                                <w:div w:id="1743793532">
                                  <w:marLeft w:val="0"/>
                                  <w:marRight w:val="0"/>
                                  <w:marTop w:val="0"/>
                                  <w:marBottom w:val="0"/>
                                  <w:divBdr>
                                    <w:top w:val="none" w:sz="0" w:space="0" w:color="auto"/>
                                    <w:left w:val="none" w:sz="0" w:space="0" w:color="auto"/>
                                    <w:bottom w:val="none" w:sz="0" w:space="0" w:color="auto"/>
                                    <w:right w:val="none" w:sz="0" w:space="0" w:color="auto"/>
                                  </w:divBdr>
                                  <w:divsChild>
                                    <w:div w:id="887765012">
                                      <w:marLeft w:val="0"/>
                                      <w:marRight w:val="0"/>
                                      <w:marTop w:val="0"/>
                                      <w:marBottom w:val="0"/>
                                      <w:divBdr>
                                        <w:top w:val="none" w:sz="0" w:space="0" w:color="auto"/>
                                        <w:left w:val="none" w:sz="0" w:space="0" w:color="auto"/>
                                        <w:bottom w:val="none" w:sz="0" w:space="0" w:color="auto"/>
                                        <w:right w:val="none" w:sz="0" w:space="0" w:color="auto"/>
                                      </w:divBdr>
                                      <w:divsChild>
                                        <w:div w:id="1722747072">
                                          <w:marLeft w:val="1200"/>
                                          <w:marRight w:val="1200"/>
                                          <w:marTop w:val="0"/>
                                          <w:marBottom w:val="0"/>
                                          <w:divBdr>
                                            <w:top w:val="none" w:sz="0" w:space="0" w:color="auto"/>
                                            <w:left w:val="none" w:sz="0" w:space="0" w:color="auto"/>
                                            <w:bottom w:val="none" w:sz="0" w:space="0" w:color="auto"/>
                                            <w:right w:val="none" w:sz="0" w:space="0" w:color="auto"/>
                                          </w:divBdr>
                                          <w:divsChild>
                                            <w:div w:id="49116007">
                                              <w:marLeft w:val="0"/>
                                              <w:marRight w:val="0"/>
                                              <w:marTop w:val="0"/>
                                              <w:marBottom w:val="0"/>
                                              <w:divBdr>
                                                <w:top w:val="none" w:sz="0" w:space="0" w:color="auto"/>
                                                <w:left w:val="none" w:sz="0" w:space="0" w:color="auto"/>
                                                <w:bottom w:val="none" w:sz="0" w:space="0" w:color="auto"/>
                                                <w:right w:val="none" w:sz="0" w:space="0" w:color="auto"/>
                                              </w:divBdr>
                                              <w:divsChild>
                                                <w:div w:id="513306508">
                                                  <w:marLeft w:val="0"/>
                                                  <w:marRight w:val="0"/>
                                                  <w:marTop w:val="0"/>
                                                  <w:marBottom w:val="0"/>
                                                  <w:divBdr>
                                                    <w:top w:val="none" w:sz="0" w:space="0" w:color="auto"/>
                                                    <w:left w:val="none" w:sz="0" w:space="0" w:color="auto"/>
                                                    <w:bottom w:val="none" w:sz="0" w:space="0" w:color="auto"/>
                                                    <w:right w:val="none" w:sz="0" w:space="0" w:color="auto"/>
                                                  </w:divBdr>
                                                  <w:divsChild>
                                                    <w:div w:id="1023941034">
                                                      <w:marLeft w:val="0"/>
                                                      <w:marRight w:val="0"/>
                                                      <w:marTop w:val="0"/>
                                                      <w:marBottom w:val="0"/>
                                                      <w:divBdr>
                                                        <w:top w:val="none" w:sz="0" w:space="0" w:color="auto"/>
                                                        <w:left w:val="none" w:sz="0" w:space="0" w:color="auto"/>
                                                        <w:bottom w:val="none" w:sz="0" w:space="0" w:color="auto"/>
                                                        <w:right w:val="none" w:sz="0" w:space="0" w:color="auto"/>
                                                      </w:divBdr>
                                                      <w:divsChild>
                                                        <w:div w:id="1540630919">
                                                          <w:marLeft w:val="0"/>
                                                          <w:marRight w:val="0"/>
                                                          <w:marTop w:val="0"/>
                                                          <w:marBottom w:val="0"/>
                                                          <w:divBdr>
                                                            <w:top w:val="none" w:sz="0" w:space="0" w:color="auto"/>
                                                            <w:left w:val="none" w:sz="0" w:space="0" w:color="auto"/>
                                                            <w:bottom w:val="none" w:sz="0" w:space="0" w:color="auto"/>
                                                            <w:right w:val="none" w:sz="0" w:space="0" w:color="auto"/>
                                                          </w:divBdr>
                                                          <w:divsChild>
                                                            <w:div w:id="1796410274">
                                                              <w:marLeft w:val="0"/>
                                                              <w:marRight w:val="0"/>
                                                              <w:marTop w:val="0"/>
                                                              <w:marBottom w:val="0"/>
                                                              <w:divBdr>
                                                                <w:top w:val="none" w:sz="0" w:space="0" w:color="auto"/>
                                                                <w:left w:val="none" w:sz="0" w:space="0" w:color="auto"/>
                                                                <w:bottom w:val="none" w:sz="0" w:space="0" w:color="auto"/>
                                                                <w:right w:val="none" w:sz="0" w:space="0" w:color="auto"/>
                                                              </w:divBdr>
                                                              <w:divsChild>
                                                                <w:div w:id="1846283114">
                                                                  <w:marLeft w:val="0"/>
                                                                  <w:marRight w:val="0"/>
                                                                  <w:marTop w:val="0"/>
                                                                  <w:marBottom w:val="0"/>
                                                                  <w:divBdr>
                                                                    <w:top w:val="none" w:sz="0" w:space="0" w:color="auto"/>
                                                                    <w:left w:val="none" w:sz="0" w:space="0" w:color="auto"/>
                                                                    <w:bottom w:val="none" w:sz="0" w:space="0" w:color="auto"/>
                                                                    <w:right w:val="none" w:sz="0" w:space="0" w:color="auto"/>
                                                                  </w:divBdr>
                                                                  <w:divsChild>
                                                                    <w:div w:id="436294617">
                                                                      <w:marLeft w:val="0"/>
                                                                      <w:marRight w:val="0"/>
                                                                      <w:marTop w:val="0"/>
                                                                      <w:marBottom w:val="0"/>
                                                                      <w:divBdr>
                                                                        <w:top w:val="none" w:sz="0" w:space="0" w:color="auto"/>
                                                                        <w:left w:val="none" w:sz="0" w:space="0" w:color="auto"/>
                                                                        <w:bottom w:val="none" w:sz="0" w:space="0" w:color="auto"/>
                                                                        <w:right w:val="none" w:sz="0" w:space="0" w:color="auto"/>
                                                                      </w:divBdr>
                                                                      <w:divsChild>
                                                                        <w:div w:id="1736009602">
                                                                          <w:marLeft w:val="0"/>
                                                                          <w:marRight w:val="0"/>
                                                                          <w:marTop w:val="0"/>
                                                                          <w:marBottom w:val="0"/>
                                                                          <w:divBdr>
                                                                            <w:top w:val="none" w:sz="0" w:space="0" w:color="auto"/>
                                                                            <w:left w:val="none" w:sz="0" w:space="0" w:color="auto"/>
                                                                            <w:bottom w:val="none" w:sz="0" w:space="0" w:color="auto"/>
                                                                            <w:right w:val="none" w:sz="0" w:space="0" w:color="auto"/>
                                                                          </w:divBdr>
                                                                        </w:div>
                                                                      </w:divsChild>
                                                                    </w:div>
                                                                    <w:div w:id="1132988272">
                                                                      <w:marLeft w:val="0"/>
                                                                      <w:marRight w:val="0"/>
                                                                      <w:marTop w:val="0"/>
                                                                      <w:marBottom w:val="0"/>
                                                                      <w:divBdr>
                                                                        <w:top w:val="none" w:sz="0" w:space="0" w:color="auto"/>
                                                                        <w:left w:val="none" w:sz="0" w:space="0" w:color="auto"/>
                                                                        <w:bottom w:val="none" w:sz="0" w:space="0" w:color="auto"/>
                                                                        <w:right w:val="none" w:sz="0" w:space="0" w:color="auto"/>
                                                                      </w:divBdr>
                                                                      <w:divsChild>
                                                                        <w:div w:id="10947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880010">
      <w:bodyDiv w:val="1"/>
      <w:marLeft w:val="0"/>
      <w:marRight w:val="0"/>
      <w:marTop w:val="0"/>
      <w:marBottom w:val="0"/>
      <w:divBdr>
        <w:top w:val="none" w:sz="0" w:space="0" w:color="auto"/>
        <w:left w:val="none" w:sz="0" w:space="0" w:color="auto"/>
        <w:bottom w:val="none" w:sz="0" w:space="0" w:color="auto"/>
        <w:right w:val="none" w:sz="0" w:space="0" w:color="auto"/>
      </w:divBdr>
      <w:divsChild>
        <w:div w:id="415631954">
          <w:marLeft w:val="0"/>
          <w:marRight w:val="0"/>
          <w:marTop w:val="240"/>
          <w:marBottom w:val="0"/>
          <w:divBdr>
            <w:top w:val="none" w:sz="0" w:space="0" w:color="auto"/>
            <w:left w:val="none" w:sz="0" w:space="0" w:color="auto"/>
            <w:bottom w:val="none" w:sz="0" w:space="0" w:color="auto"/>
            <w:right w:val="none" w:sz="0" w:space="0" w:color="auto"/>
          </w:divBdr>
          <w:divsChild>
            <w:div w:id="786702035">
              <w:marLeft w:val="0"/>
              <w:marRight w:val="0"/>
              <w:marTop w:val="0"/>
              <w:marBottom w:val="0"/>
              <w:divBdr>
                <w:top w:val="none" w:sz="0" w:space="0" w:color="auto"/>
                <w:left w:val="none" w:sz="0" w:space="0" w:color="auto"/>
                <w:bottom w:val="none" w:sz="0" w:space="0" w:color="auto"/>
                <w:right w:val="none" w:sz="0" w:space="0" w:color="auto"/>
              </w:divBdr>
            </w:div>
          </w:divsChild>
        </w:div>
        <w:div w:id="739866103">
          <w:marLeft w:val="0"/>
          <w:marRight w:val="0"/>
          <w:marTop w:val="240"/>
          <w:marBottom w:val="0"/>
          <w:divBdr>
            <w:top w:val="none" w:sz="0" w:space="0" w:color="auto"/>
            <w:left w:val="none" w:sz="0" w:space="0" w:color="auto"/>
            <w:bottom w:val="none" w:sz="0" w:space="0" w:color="auto"/>
            <w:right w:val="none" w:sz="0" w:space="0" w:color="auto"/>
          </w:divBdr>
          <w:divsChild>
            <w:div w:id="1388845105">
              <w:marLeft w:val="0"/>
              <w:marRight w:val="0"/>
              <w:marTop w:val="0"/>
              <w:marBottom w:val="0"/>
              <w:divBdr>
                <w:top w:val="none" w:sz="0" w:space="0" w:color="auto"/>
                <w:left w:val="none" w:sz="0" w:space="0" w:color="auto"/>
                <w:bottom w:val="none" w:sz="0" w:space="0" w:color="auto"/>
                <w:right w:val="none" w:sz="0" w:space="0" w:color="auto"/>
              </w:divBdr>
            </w:div>
          </w:divsChild>
        </w:div>
        <w:div w:id="809983375">
          <w:marLeft w:val="0"/>
          <w:marRight w:val="0"/>
          <w:marTop w:val="240"/>
          <w:marBottom w:val="0"/>
          <w:divBdr>
            <w:top w:val="none" w:sz="0" w:space="0" w:color="auto"/>
            <w:left w:val="none" w:sz="0" w:space="0" w:color="auto"/>
            <w:bottom w:val="none" w:sz="0" w:space="0" w:color="auto"/>
            <w:right w:val="none" w:sz="0" w:space="0" w:color="auto"/>
          </w:divBdr>
          <w:divsChild>
            <w:div w:id="2077974019">
              <w:marLeft w:val="0"/>
              <w:marRight w:val="0"/>
              <w:marTop w:val="0"/>
              <w:marBottom w:val="0"/>
              <w:divBdr>
                <w:top w:val="none" w:sz="0" w:space="0" w:color="auto"/>
                <w:left w:val="none" w:sz="0" w:space="0" w:color="auto"/>
                <w:bottom w:val="none" w:sz="0" w:space="0" w:color="auto"/>
                <w:right w:val="none" w:sz="0" w:space="0" w:color="auto"/>
              </w:divBdr>
            </w:div>
          </w:divsChild>
        </w:div>
        <w:div w:id="1622885100">
          <w:marLeft w:val="0"/>
          <w:marRight w:val="0"/>
          <w:marTop w:val="240"/>
          <w:marBottom w:val="0"/>
          <w:divBdr>
            <w:top w:val="none" w:sz="0" w:space="0" w:color="auto"/>
            <w:left w:val="none" w:sz="0" w:space="0" w:color="auto"/>
            <w:bottom w:val="none" w:sz="0" w:space="0" w:color="auto"/>
            <w:right w:val="none" w:sz="0" w:space="0" w:color="auto"/>
          </w:divBdr>
          <w:divsChild>
            <w:div w:id="2122651742">
              <w:marLeft w:val="0"/>
              <w:marRight w:val="0"/>
              <w:marTop w:val="0"/>
              <w:marBottom w:val="0"/>
              <w:divBdr>
                <w:top w:val="none" w:sz="0" w:space="0" w:color="auto"/>
                <w:left w:val="none" w:sz="0" w:space="0" w:color="auto"/>
                <w:bottom w:val="none" w:sz="0" w:space="0" w:color="auto"/>
                <w:right w:val="none" w:sz="0" w:space="0" w:color="auto"/>
              </w:divBdr>
            </w:div>
          </w:divsChild>
        </w:div>
        <w:div w:id="1638756292">
          <w:marLeft w:val="0"/>
          <w:marRight w:val="0"/>
          <w:marTop w:val="240"/>
          <w:marBottom w:val="0"/>
          <w:divBdr>
            <w:top w:val="none" w:sz="0" w:space="0" w:color="auto"/>
            <w:left w:val="none" w:sz="0" w:space="0" w:color="auto"/>
            <w:bottom w:val="none" w:sz="0" w:space="0" w:color="auto"/>
            <w:right w:val="none" w:sz="0" w:space="0" w:color="auto"/>
          </w:divBdr>
          <w:divsChild>
            <w:div w:id="1791391354">
              <w:marLeft w:val="0"/>
              <w:marRight w:val="0"/>
              <w:marTop w:val="0"/>
              <w:marBottom w:val="0"/>
              <w:divBdr>
                <w:top w:val="none" w:sz="0" w:space="0" w:color="auto"/>
                <w:left w:val="none" w:sz="0" w:space="0" w:color="auto"/>
                <w:bottom w:val="none" w:sz="0" w:space="0" w:color="auto"/>
                <w:right w:val="none" w:sz="0" w:space="0" w:color="auto"/>
              </w:divBdr>
            </w:div>
          </w:divsChild>
        </w:div>
        <w:div w:id="1959683466">
          <w:marLeft w:val="0"/>
          <w:marRight w:val="0"/>
          <w:marTop w:val="240"/>
          <w:marBottom w:val="0"/>
          <w:divBdr>
            <w:top w:val="none" w:sz="0" w:space="0" w:color="auto"/>
            <w:left w:val="none" w:sz="0" w:space="0" w:color="auto"/>
            <w:bottom w:val="none" w:sz="0" w:space="0" w:color="auto"/>
            <w:right w:val="none" w:sz="0" w:space="0" w:color="auto"/>
          </w:divBdr>
          <w:divsChild>
            <w:div w:id="1670982298">
              <w:marLeft w:val="0"/>
              <w:marRight w:val="0"/>
              <w:marTop w:val="0"/>
              <w:marBottom w:val="0"/>
              <w:divBdr>
                <w:top w:val="none" w:sz="0" w:space="0" w:color="auto"/>
                <w:left w:val="none" w:sz="0" w:space="0" w:color="auto"/>
                <w:bottom w:val="none" w:sz="0" w:space="0" w:color="auto"/>
                <w:right w:val="none" w:sz="0" w:space="0" w:color="auto"/>
              </w:divBdr>
            </w:div>
          </w:divsChild>
        </w:div>
        <w:div w:id="1961179735">
          <w:marLeft w:val="0"/>
          <w:marRight w:val="0"/>
          <w:marTop w:val="240"/>
          <w:marBottom w:val="0"/>
          <w:divBdr>
            <w:top w:val="none" w:sz="0" w:space="0" w:color="auto"/>
            <w:left w:val="none" w:sz="0" w:space="0" w:color="auto"/>
            <w:bottom w:val="none" w:sz="0" w:space="0" w:color="auto"/>
            <w:right w:val="none" w:sz="0" w:space="0" w:color="auto"/>
          </w:divBdr>
          <w:divsChild>
            <w:div w:id="9116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4300">
      <w:bodyDiv w:val="1"/>
      <w:marLeft w:val="0"/>
      <w:marRight w:val="0"/>
      <w:marTop w:val="0"/>
      <w:marBottom w:val="0"/>
      <w:divBdr>
        <w:top w:val="none" w:sz="0" w:space="0" w:color="auto"/>
        <w:left w:val="none" w:sz="0" w:space="0" w:color="auto"/>
        <w:bottom w:val="none" w:sz="0" w:space="0" w:color="auto"/>
        <w:right w:val="none" w:sz="0" w:space="0" w:color="auto"/>
      </w:divBdr>
      <w:divsChild>
        <w:div w:id="165168405">
          <w:marLeft w:val="0"/>
          <w:marRight w:val="0"/>
          <w:marTop w:val="0"/>
          <w:marBottom w:val="0"/>
          <w:divBdr>
            <w:top w:val="none" w:sz="0" w:space="0" w:color="auto"/>
            <w:left w:val="single" w:sz="6" w:space="0" w:color="BBBBBB"/>
            <w:bottom w:val="single" w:sz="6" w:space="0" w:color="BBBBBB"/>
            <w:right w:val="single" w:sz="6" w:space="0" w:color="BBBBBB"/>
          </w:divBdr>
          <w:divsChild>
            <w:div w:id="1031999296">
              <w:marLeft w:val="0"/>
              <w:marRight w:val="0"/>
              <w:marTop w:val="0"/>
              <w:marBottom w:val="0"/>
              <w:divBdr>
                <w:top w:val="none" w:sz="0" w:space="0" w:color="auto"/>
                <w:left w:val="none" w:sz="0" w:space="0" w:color="auto"/>
                <w:bottom w:val="none" w:sz="0" w:space="0" w:color="auto"/>
                <w:right w:val="none" w:sz="0" w:space="0" w:color="auto"/>
              </w:divBdr>
              <w:divsChild>
                <w:div w:id="1811901029">
                  <w:marLeft w:val="0"/>
                  <w:marRight w:val="0"/>
                  <w:marTop w:val="75"/>
                  <w:marBottom w:val="0"/>
                  <w:divBdr>
                    <w:top w:val="none" w:sz="0" w:space="0" w:color="auto"/>
                    <w:left w:val="none" w:sz="0" w:space="0" w:color="auto"/>
                    <w:bottom w:val="none" w:sz="0" w:space="0" w:color="auto"/>
                    <w:right w:val="none" w:sz="0" w:space="0" w:color="auto"/>
                  </w:divBdr>
                  <w:divsChild>
                    <w:div w:id="266619425">
                      <w:marLeft w:val="0"/>
                      <w:marRight w:val="0"/>
                      <w:marTop w:val="0"/>
                      <w:marBottom w:val="0"/>
                      <w:divBdr>
                        <w:top w:val="none" w:sz="0" w:space="0" w:color="auto"/>
                        <w:left w:val="none" w:sz="0" w:space="0" w:color="auto"/>
                        <w:bottom w:val="none" w:sz="0" w:space="0" w:color="auto"/>
                        <w:right w:val="none" w:sz="0" w:space="0" w:color="auto"/>
                      </w:divBdr>
                      <w:divsChild>
                        <w:div w:id="1416975159">
                          <w:marLeft w:val="0"/>
                          <w:marRight w:val="0"/>
                          <w:marTop w:val="0"/>
                          <w:marBottom w:val="0"/>
                          <w:divBdr>
                            <w:top w:val="none" w:sz="0" w:space="0" w:color="auto"/>
                            <w:left w:val="none" w:sz="0" w:space="0" w:color="auto"/>
                            <w:bottom w:val="none" w:sz="0" w:space="0" w:color="auto"/>
                            <w:right w:val="none" w:sz="0" w:space="0" w:color="auto"/>
                          </w:divBdr>
                          <w:divsChild>
                            <w:div w:id="2054650597">
                              <w:marLeft w:val="0"/>
                              <w:marRight w:val="0"/>
                              <w:marTop w:val="0"/>
                              <w:marBottom w:val="0"/>
                              <w:divBdr>
                                <w:top w:val="none" w:sz="0" w:space="0" w:color="auto"/>
                                <w:left w:val="none" w:sz="0" w:space="0" w:color="auto"/>
                                <w:bottom w:val="none" w:sz="0" w:space="0" w:color="auto"/>
                                <w:right w:val="none" w:sz="0" w:space="0" w:color="auto"/>
                              </w:divBdr>
                              <w:divsChild>
                                <w:div w:id="2055426177">
                                  <w:marLeft w:val="0"/>
                                  <w:marRight w:val="0"/>
                                  <w:marTop w:val="0"/>
                                  <w:marBottom w:val="0"/>
                                  <w:divBdr>
                                    <w:top w:val="none" w:sz="0" w:space="0" w:color="auto"/>
                                    <w:left w:val="none" w:sz="0" w:space="0" w:color="auto"/>
                                    <w:bottom w:val="none" w:sz="0" w:space="0" w:color="auto"/>
                                    <w:right w:val="none" w:sz="0" w:space="0" w:color="auto"/>
                                  </w:divBdr>
                                  <w:divsChild>
                                    <w:div w:id="160587679">
                                      <w:marLeft w:val="0"/>
                                      <w:marRight w:val="0"/>
                                      <w:marTop w:val="0"/>
                                      <w:marBottom w:val="0"/>
                                      <w:divBdr>
                                        <w:top w:val="none" w:sz="0" w:space="0" w:color="auto"/>
                                        <w:left w:val="none" w:sz="0" w:space="0" w:color="auto"/>
                                        <w:bottom w:val="none" w:sz="0" w:space="0" w:color="auto"/>
                                        <w:right w:val="none" w:sz="0" w:space="0" w:color="auto"/>
                                      </w:divBdr>
                                      <w:divsChild>
                                        <w:div w:id="948315362">
                                          <w:marLeft w:val="1200"/>
                                          <w:marRight w:val="1200"/>
                                          <w:marTop w:val="0"/>
                                          <w:marBottom w:val="0"/>
                                          <w:divBdr>
                                            <w:top w:val="none" w:sz="0" w:space="0" w:color="auto"/>
                                            <w:left w:val="none" w:sz="0" w:space="0" w:color="auto"/>
                                            <w:bottom w:val="none" w:sz="0" w:space="0" w:color="auto"/>
                                            <w:right w:val="none" w:sz="0" w:space="0" w:color="auto"/>
                                          </w:divBdr>
                                          <w:divsChild>
                                            <w:div w:id="1795364663">
                                              <w:marLeft w:val="0"/>
                                              <w:marRight w:val="0"/>
                                              <w:marTop w:val="0"/>
                                              <w:marBottom w:val="0"/>
                                              <w:divBdr>
                                                <w:top w:val="none" w:sz="0" w:space="0" w:color="auto"/>
                                                <w:left w:val="none" w:sz="0" w:space="0" w:color="auto"/>
                                                <w:bottom w:val="none" w:sz="0" w:space="0" w:color="auto"/>
                                                <w:right w:val="none" w:sz="0" w:space="0" w:color="auto"/>
                                              </w:divBdr>
                                              <w:divsChild>
                                                <w:div w:id="925958504">
                                                  <w:marLeft w:val="0"/>
                                                  <w:marRight w:val="0"/>
                                                  <w:marTop w:val="0"/>
                                                  <w:marBottom w:val="0"/>
                                                  <w:divBdr>
                                                    <w:top w:val="none" w:sz="0" w:space="0" w:color="auto"/>
                                                    <w:left w:val="none" w:sz="0" w:space="0" w:color="auto"/>
                                                    <w:bottom w:val="none" w:sz="0" w:space="0" w:color="auto"/>
                                                    <w:right w:val="none" w:sz="0" w:space="0" w:color="auto"/>
                                                  </w:divBdr>
                                                  <w:divsChild>
                                                    <w:div w:id="265622027">
                                                      <w:marLeft w:val="0"/>
                                                      <w:marRight w:val="0"/>
                                                      <w:marTop w:val="0"/>
                                                      <w:marBottom w:val="0"/>
                                                      <w:divBdr>
                                                        <w:top w:val="none" w:sz="0" w:space="0" w:color="auto"/>
                                                        <w:left w:val="none" w:sz="0" w:space="0" w:color="auto"/>
                                                        <w:bottom w:val="none" w:sz="0" w:space="0" w:color="auto"/>
                                                        <w:right w:val="none" w:sz="0" w:space="0" w:color="auto"/>
                                                      </w:divBdr>
                                                      <w:divsChild>
                                                        <w:div w:id="1176261695">
                                                          <w:marLeft w:val="0"/>
                                                          <w:marRight w:val="0"/>
                                                          <w:marTop w:val="0"/>
                                                          <w:marBottom w:val="0"/>
                                                          <w:divBdr>
                                                            <w:top w:val="none" w:sz="0" w:space="0" w:color="auto"/>
                                                            <w:left w:val="none" w:sz="0" w:space="0" w:color="auto"/>
                                                            <w:bottom w:val="none" w:sz="0" w:space="0" w:color="auto"/>
                                                            <w:right w:val="none" w:sz="0" w:space="0" w:color="auto"/>
                                                          </w:divBdr>
                                                        </w:div>
                                                      </w:divsChild>
                                                    </w:div>
                                                    <w:div w:id="1314336524">
                                                      <w:marLeft w:val="0"/>
                                                      <w:marRight w:val="0"/>
                                                      <w:marTop w:val="0"/>
                                                      <w:marBottom w:val="0"/>
                                                      <w:divBdr>
                                                        <w:top w:val="none" w:sz="0" w:space="0" w:color="auto"/>
                                                        <w:left w:val="none" w:sz="0" w:space="0" w:color="auto"/>
                                                        <w:bottom w:val="none" w:sz="0" w:space="0" w:color="auto"/>
                                                        <w:right w:val="none" w:sz="0" w:space="0" w:color="auto"/>
                                                      </w:divBdr>
                                                      <w:divsChild>
                                                        <w:div w:id="341126529">
                                                          <w:marLeft w:val="0"/>
                                                          <w:marRight w:val="0"/>
                                                          <w:marTop w:val="0"/>
                                                          <w:marBottom w:val="0"/>
                                                          <w:divBdr>
                                                            <w:top w:val="none" w:sz="0" w:space="0" w:color="auto"/>
                                                            <w:left w:val="none" w:sz="0" w:space="0" w:color="auto"/>
                                                            <w:bottom w:val="none" w:sz="0" w:space="0" w:color="auto"/>
                                                            <w:right w:val="none" w:sz="0" w:space="0" w:color="auto"/>
                                                          </w:divBdr>
                                                        </w:div>
                                                      </w:divsChild>
                                                    </w:div>
                                                    <w:div w:id="1701390637">
                                                      <w:marLeft w:val="0"/>
                                                      <w:marRight w:val="0"/>
                                                      <w:marTop w:val="0"/>
                                                      <w:marBottom w:val="0"/>
                                                      <w:divBdr>
                                                        <w:top w:val="none" w:sz="0" w:space="0" w:color="auto"/>
                                                        <w:left w:val="none" w:sz="0" w:space="0" w:color="auto"/>
                                                        <w:bottom w:val="none" w:sz="0" w:space="0" w:color="auto"/>
                                                        <w:right w:val="none" w:sz="0" w:space="0" w:color="auto"/>
                                                      </w:divBdr>
                                                      <w:divsChild>
                                                        <w:div w:id="18755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7461095">
      <w:bodyDiv w:val="1"/>
      <w:marLeft w:val="0"/>
      <w:marRight w:val="0"/>
      <w:marTop w:val="0"/>
      <w:marBottom w:val="0"/>
      <w:divBdr>
        <w:top w:val="none" w:sz="0" w:space="0" w:color="auto"/>
        <w:left w:val="none" w:sz="0" w:space="0" w:color="auto"/>
        <w:bottom w:val="none" w:sz="0" w:space="0" w:color="auto"/>
        <w:right w:val="none" w:sz="0" w:space="0" w:color="auto"/>
      </w:divBdr>
      <w:divsChild>
        <w:div w:id="1614483576">
          <w:marLeft w:val="0"/>
          <w:marRight w:val="0"/>
          <w:marTop w:val="0"/>
          <w:marBottom w:val="0"/>
          <w:divBdr>
            <w:top w:val="none" w:sz="0" w:space="0" w:color="auto"/>
            <w:left w:val="none" w:sz="0" w:space="0" w:color="auto"/>
            <w:bottom w:val="none" w:sz="0" w:space="0" w:color="auto"/>
            <w:right w:val="none" w:sz="0" w:space="0" w:color="auto"/>
          </w:divBdr>
          <w:divsChild>
            <w:div w:id="265190278">
              <w:marLeft w:val="0"/>
              <w:marRight w:val="0"/>
              <w:marTop w:val="0"/>
              <w:marBottom w:val="0"/>
              <w:divBdr>
                <w:top w:val="none" w:sz="0" w:space="0" w:color="auto"/>
                <w:left w:val="none" w:sz="0" w:space="0" w:color="auto"/>
                <w:bottom w:val="none" w:sz="0" w:space="0" w:color="auto"/>
                <w:right w:val="none" w:sz="0" w:space="0" w:color="auto"/>
              </w:divBdr>
              <w:divsChild>
                <w:div w:id="208222809">
                  <w:marLeft w:val="0"/>
                  <w:marRight w:val="0"/>
                  <w:marTop w:val="0"/>
                  <w:marBottom w:val="0"/>
                  <w:divBdr>
                    <w:top w:val="none" w:sz="0" w:space="0" w:color="auto"/>
                    <w:left w:val="none" w:sz="0" w:space="0" w:color="auto"/>
                    <w:bottom w:val="none" w:sz="0" w:space="0" w:color="auto"/>
                    <w:right w:val="none" w:sz="0" w:space="0" w:color="auto"/>
                  </w:divBdr>
                  <w:divsChild>
                    <w:div w:id="416633078">
                      <w:marLeft w:val="0"/>
                      <w:marRight w:val="0"/>
                      <w:marTop w:val="0"/>
                      <w:marBottom w:val="300"/>
                      <w:divBdr>
                        <w:top w:val="none" w:sz="0" w:space="0" w:color="auto"/>
                        <w:left w:val="none" w:sz="0" w:space="0" w:color="auto"/>
                        <w:bottom w:val="none" w:sz="0" w:space="0" w:color="auto"/>
                        <w:right w:val="none" w:sz="0" w:space="0" w:color="auto"/>
                      </w:divBdr>
                      <w:divsChild>
                        <w:div w:id="6575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650584">
      <w:bodyDiv w:val="1"/>
      <w:marLeft w:val="0"/>
      <w:marRight w:val="0"/>
      <w:marTop w:val="0"/>
      <w:marBottom w:val="0"/>
      <w:divBdr>
        <w:top w:val="none" w:sz="0" w:space="0" w:color="auto"/>
        <w:left w:val="none" w:sz="0" w:space="0" w:color="auto"/>
        <w:bottom w:val="none" w:sz="0" w:space="0" w:color="auto"/>
        <w:right w:val="none" w:sz="0" w:space="0" w:color="auto"/>
      </w:divBdr>
      <w:divsChild>
        <w:div w:id="1348409508">
          <w:marLeft w:val="0"/>
          <w:marRight w:val="0"/>
          <w:marTop w:val="0"/>
          <w:marBottom w:val="0"/>
          <w:divBdr>
            <w:top w:val="none" w:sz="0" w:space="0" w:color="auto"/>
            <w:left w:val="single" w:sz="6" w:space="0" w:color="BBBBBB"/>
            <w:bottom w:val="single" w:sz="6" w:space="0" w:color="BBBBBB"/>
            <w:right w:val="single" w:sz="6" w:space="0" w:color="BBBBBB"/>
          </w:divBdr>
          <w:divsChild>
            <w:div w:id="1598707360">
              <w:marLeft w:val="0"/>
              <w:marRight w:val="0"/>
              <w:marTop w:val="0"/>
              <w:marBottom w:val="0"/>
              <w:divBdr>
                <w:top w:val="none" w:sz="0" w:space="0" w:color="auto"/>
                <w:left w:val="none" w:sz="0" w:space="0" w:color="auto"/>
                <w:bottom w:val="none" w:sz="0" w:space="0" w:color="auto"/>
                <w:right w:val="none" w:sz="0" w:space="0" w:color="auto"/>
              </w:divBdr>
              <w:divsChild>
                <w:div w:id="979458887">
                  <w:marLeft w:val="0"/>
                  <w:marRight w:val="0"/>
                  <w:marTop w:val="75"/>
                  <w:marBottom w:val="0"/>
                  <w:divBdr>
                    <w:top w:val="none" w:sz="0" w:space="0" w:color="auto"/>
                    <w:left w:val="none" w:sz="0" w:space="0" w:color="auto"/>
                    <w:bottom w:val="none" w:sz="0" w:space="0" w:color="auto"/>
                    <w:right w:val="none" w:sz="0" w:space="0" w:color="auto"/>
                  </w:divBdr>
                  <w:divsChild>
                    <w:div w:id="607660590">
                      <w:marLeft w:val="0"/>
                      <w:marRight w:val="0"/>
                      <w:marTop w:val="0"/>
                      <w:marBottom w:val="0"/>
                      <w:divBdr>
                        <w:top w:val="none" w:sz="0" w:space="0" w:color="auto"/>
                        <w:left w:val="none" w:sz="0" w:space="0" w:color="auto"/>
                        <w:bottom w:val="none" w:sz="0" w:space="0" w:color="auto"/>
                        <w:right w:val="none" w:sz="0" w:space="0" w:color="auto"/>
                      </w:divBdr>
                      <w:divsChild>
                        <w:div w:id="47540085">
                          <w:marLeft w:val="0"/>
                          <w:marRight w:val="0"/>
                          <w:marTop w:val="0"/>
                          <w:marBottom w:val="0"/>
                          <w:divBdr>
                            <w:top w:val="none" w:sz="0" w:space="0" w:color="auto"/>
                            <w:left w:val="none" w:sz="0" w:space="0" w:color="auto"/>
                            <w:bottom w:val="none" w:sz="0" w:space="0" w:color="auto"/>
                            <w:right w:val="none" w:sz="0" w:space="0" w:color="auto"/>
                          </w:divBdr>
                          <w:divsChild>
                            <w:div w:id="709575555">
                              <w:marLeft w:val="0"/>
                              <w:marRight w:val="0"/>
                              <w:marTop w:val="0"/>
                              <w:marBottom w:val="0"/>
                              <w:divBdr>
                                <w:top w:val="none" w:sz="0" w:space="0" w:color="auto"/>
                                <w:left w:val="none" w:sz="0" w:space="0" w:color="auto"/>
                                <w:bottom w:val="none" w:sz="0" w:space="0" w:color="auto"/>
                                <w:right w:val="none" w:sz="0" w:space="0" w:color="auto"/>
                              </w:divBdr>
                              <w:divsChild>
                                <w:div w:id="1995911786">
                                  <w:marLeft w:val="0"/>
                                  <w:marRight w:val="0"/>
                                  <w:marTop w:val="0"/>
                                  <w:marBottom w:val="0"/>
                                  <w:divBdr>
                                    <w:top w:val="none" w:sz="0" w:space="0" w:color="auto"/>
                                    <w:left w:val="none" w:sz="0" w:space="0" w:color="auto"/>
                                    <w:bottom w:val="none" w:sz="0" w:space="0" w:color="auto"/>
                                    <w:right w:val="none" w:sz="0" w:space="0" w:color="auto"/>
                                  </w:divBdr>
                                  <w:divsChild>
                                    <w:div w:id="1633050140">
                                      <w:marLeft w:val="0"/>
                                      <w:marRight w:val="0"/>
                                      <w:marTop w:val="0"/>
                                      <w:marBottom w:val="0"/>
                                      <w:divBdr>
                                        <w:top w:val="none" w:sz="0" w:space="0" w:color="auto"/>
                                        <w:left w:val="none" w:sz="0" w:space="0" w:color="auto"/>
                                        <w:bottom w:val="none" w:sz="0" w:space="0" w:color="auto"/>
                                        <w:right w:val="none" w:sz="0" w:space="0" w:color="auto"/>
                                      </w:divBdr>
                                      <w:divsChild>
                                        <w:div w:id="1017192563">
                                          <w:marLeft w:val="1200"/>
                                          <w:marRight w:val="1200"/>
                                          <w:marTop w:val="0"/>
                                          <w:marBottom w:val="0"/>
                                          <w:divBdr>
                                            <w:top w:val="none" w:sz="0" w:space="0" w:color="auto"/>
                                            <w:left w:val="none" w:sz="0" w:space="0" w:color="auto"/>
                                            <w:bottom w:val="none" w:sz="0" w:space="0" w:color="auto"/>
                                            <w:right w:val="none" w:sz="0" w:space="0" w:color="auto"/>
                                          </w:divBdr>
                                          <w:divsChild>
                                            <w:div w:id="1516771498">
                                              <w:marLeft w:val="0"/>
                                              <w:marRight w:val="0"/>
                                              <w:marTop w:val="0"/>
                                              <w:marBottom w:val="0"/>
                                              <w:divBdr>
                                                <w:top w:val="none" w:sz="0" w:space="0" w:color="auto"/>
                                                <w:left w:val="none" w:sz="0" w:space="0" w:color="auto"/>
                                                <w:bottom w:val="none" w:sz="0" w:space="0" w:color="auto"/>
                                                <w:right w:val="none" w:sz="0" w:space="0" w:color="auto"/>
                                              </w:divBdr>
                                              <w:divsChild>
                                                <w:div w:id="1597012873">
                                                  <w:marLeft w:val="0"/>
                                                  <w:marRight w:val="0"/>
                                                  <w:marTop w:val="0"/>
                                                  <w:marBottom w:val="0"/>
                                                  <w:divBdr>
                                                    <w:top w:val="none" w:sz="0" w:space="0" w:color="auto"/>
                                                    <w:left w:val="none" w:sz="0" w:space="0" w:color="auto"/>
                                                    <w:bottom w:val="none" w:sz="0" w:space="0" w:color="auto"/>
                                                    <w:right w:val="none" w:sz="0" w:space="0" w:color="auto"/>
                                                  </w:divBdr>
                                                  <w:divsChild>
                                                    <w:div w:id="1682272280">
                                                      <w:marLeft w:val="0"/>
                                                      <w:marRight w:val="0"/>
                                                      <w:marTop w:val="0"/>
                                                      <w:marBottom w:val="0"/>
                                                      <w:divBdr>
                                                        <w:top w:val="none" w:sz="0" w:space="0" w:color="auto"/>
                                                        <w:left w:val="none" w:sz="0" w:space="0" w:color="auto"/>
                                                        <w:bottom w:val="none" w:sz="0" w:space="0" w:color="auto"/>
                                                        <w:right w:val="none" w:sz="0" w:space="0" w:color="auto"/>
                                                      </w:divBdr>
                                                      <w:divsChild>
                                                        <w:div w:id="2100759662">
                                                          <w:marLeft w:val="0"/>
                                                          <w:marRight w:val="0"/>
                                                          <w:marTop w:val="0"/>
                                                          <w:marBottom w:val="0"/>
                                                          <w:divBdr>
                                                            <w:top w:val="none" w:sz="0" w:space="0" w:color="auto"/>
                                                            <w:left w:val="none" w:sz="0" w:space="0" w:color="auto"/>
                                                            <w:bottom w:val="none" w:sz="0" w:space="0" w:color="auto"/>
                                                            <w:right w:val="none" w:sz="0" w:space="0" w:color="auto"/>
                                                          </w:divBdr>
                                                          <w:divsChild>
                                                            <w:div w:id="1096897839">
                                                              <w:marLeft w:val="0"/>
                                                              <w:marRight w:val="0"/>
                                                              <w:marTop w:val="0"/>
                                                              <w:marBottom w:val="0"/>
                                                              <w:divBdr>
                                                                <w:top w:val="none" w:sz="0" w:space="0" w:color="auto"/>
                                                                <w:left w:val="none" w:sz="0" w:space="0" w:color="auto"/>
                                                                <w:bottom w:val="none" w:sz="0" w:space="0" w:color="auto"/>
                                                                <w:right w:val="none" w:sz="0" w:space="0" w:color="auto"/>
                                                              </w:divBdr>
                                                              <w:divsChild>
                                                                <w:div w:id="786504904">
                                                                  <w:marLeft w:val="0"/>
                                                                  <w:marRight w:val="0"/>
                                                                  <w:marTop w:val="0"/>
                                                                  <w:marBottom w:val="0"/>
                                                                  <w:divBdr>
                                                                    <w:top w:val="none" w:sz="0" w:space="0" w:color="auto"/>
                                                                    <w:left w:val="none" w:sz="0" w:space="0" w:color="auto"/>
                                                                    <w:bottom w:val="none" w:sz="0" w:space="0" w:color="auto"/>
                                                                    <w:right w:val="none" w:sz="0" w:space="0" w:color="auto"/>
                                                                  </w:divBdr>
                                                                  <w:divsChild>
                                                                    <w:div w:id="289670389">
                                                                      <w:marLeft w:val="0"/>
                                                                      <w:marRight w:val="0"/>
                                                                      <w:marTop w:val="0"/>
                                                                      <w:marBottom w:val="0"/>
                                                                      <w:divBdr>
                                                                        <w:top w:val="none" w:sz="0" w:space="0" w:color="auto"/>
                                                                        <w:left w:val="none" w:sz="0" w:space="0" w:color="auto"/>
                                                                        <w:bottom w:val="none" w:sz="0" w:space="0" w:color="auto"/>
                                                                        <w:right w:val="none" w:sz="0" w:space="0" w:color="auto"/>
                                                                      </w:divBdr>
                                                                      <w:divsChild>
                                                                        <w:div w:id="1892304281">
                                                                          <w:marLeft w:val="0"/>
                                                                          <w:marRight w:val="0"/>
                                                                          <w:marTop w:val="0"/>
                                                                          <w:marBottom w:val="0"/>
                                                                          <w:divBdr>
                                                                            <w:top w:val="none" w:sz="0" w:space="0" w:color="auto"/>
                                                                            <w:left w:val="none" w:sz="0" w:space="0" w:color="auto"/>
                                                                            <w:bottom w:val="none" w:sz="0" w:space="0" w:color="auto"/>
                                                                            <w:right w:val="none" w:sz="0" w:space="0" w:color="auto"/>
                                                                          </w:divBdr>
                                                                        </w:div>
                                                                      </w:divsChild>
                                                                    </w:div>
                                                                    <w:div w:id="887376117">
                                                                      <w:marLeft w:val="0"/>
                                                                      <w:marRight w:val="0"/>
                                                                      <w:marTop w:val="0"/>
                                                                      <w:marBottom w:val="0"/>
                                                                      <w:divBdr>
                                                                        <w:top w:val="none" w:sz="0" w:space="0" w:color="auto"/>
                                                                        <w:left w:val="none" w:sz="0" w:space="0" w:color="auto"/>
                                                                        <w:bottom w:val="none" w:sz="0" w:space="0" w:color="auto"/>
                                                                        <w:right w:val="none" w:sz="0" w:space="0" w:color="auto"/>
                                                                      </w:divBdr>
                                                                      <w:divsChild>
                                                                        <w:div w:id="143301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734585">
      <w:bodyDiv w:val="1"/>
      <w:marLeft w:val="0"/>
      <w:marRight w:val="0"/>
      <w:marTop w:val="0"/>
      <w:marBottom w:val="0"/>
      <w:divBdr>
        <w:top w:val="none" w:sz="0" w:space="0" w:color="auto"/>
        <w:left w:val="none" w:sz="0" w:space="0" w:color="auto"/>
        <w:bottom w:val="none" w:sz="0" w:space="0" w:color="auto"/>
        <w:right w:val="none" w:sz="0" w:space="0" w:color="auto"/>
      </w:divBdr>
      <w:divsChild>
        <w:div w:id="937754953">
          <w:marLeft w:val="0"/>
          <w:marRight w:val="0"/>
          <w:marTop w:val="0"/>
          <w:marBottom w:val="0"/>
          <w:divBdr>
            <w:top w:val="none" w:sz="0" w:space="0" w:color="auto"/>
            <w:left w:val="single" w:sz="6" w:space="0" w:color="BBBBBB"/>
            <w:bottom w:val="single" w:sz="6" w:space="0" w:color="BBBBBB"/>
            <w:right w:val="single" w:sz="6" w:space="0" w:color="BBBBBB"/>
          </w:divBdr>
          <w:divsChild>
            <w:div w:id="1248886611">
              <w:marLeft w:val="0"/>
              <w:marRight w:val="0"/>
              <w:marTop w:val="0"/>
              <w:marBottom w:val="0"/>
              <w:divBdr>
                <w:top w:val="none" w:sz="0" w:space="0" w:color="auto"/>
                <w:left w:val="none" w:sz="0" w:space="0" w:color="auto"/>
                <w:bottom w:val="none" w:sz="0" w:space="0" w:color="auto"/>
                <w:right w:val="none" w:sz="0" w:space="0" w:color="auto"/>
              </w:divBdr>
              <w:divsChild>
                <w:div w:id="2100248559">
                  <w:marLeft w:val="0"/>
                  <w:marRight w:val="0"/>
                  <w:marTop w:val="75"/>
                  <w:marBottom w:val="0"/>
                  <w:divBdr>
                    <w:top w:val="none" w:sz="0" w:space="0" w:color="auto"/>
                    <w:left w:val="none" w:sz="0" w:space="0" w:color="auto"/>
                    <w:bottom w:val="none" w:sz="0" w:space="0" w:color="auto"/>
                    <w:right w:val="none" w:sz="0" w:space="0" w:color="auto"/>
                  </w:divBdr>
                  <w:divsChild>
                    <w:div w:id="483622404">
                      <w:marLeft w:val="0"/>
                      <w:marRight w:val="0"/>
                      <w:marTop w:val="0"/>
                      <w:marBottom w:val="0"/>
                      <w:divBdr>
                        <w:top w:val="none" w:sz="0" w:space="0" w:color="auto"/>
                        <w:left w:val="none" w:sz="0" w:space="0" w:color="auto"/>
                        <w:bottom w:val="none" w:sz="0" w:space="0" w:color="auto"/>
                        <w:right w:val="none" w:sz="0" w:space="0" w:color="auto"/>
                      </w:divBdr>
                      <w:divsChild>
                        <w:div w:id="1919559780">
                          <w:marLeft w:val="0"/>
                          <w:marRight w:val="0"/>
                          <w:marTop w:val="0"/>
                          <w:marBottom w:val="0"/>
                          <w:divBdr>
                            <w:top w:val="none" w:sz="0" w:space="0" w:color="auto"/>
                            <w:left w:val="none" w:sz="0" w:space="0" w:color="auto"/>
                            <w:bottom w:val="none" w:sz="0" w:space="0" w:color="auto"/>
                            <w:right w:val="none" w:sz="0" w:space="0" w:color="auto"/>
                          </w:divBdr>
                          <w:divsChild>
                            <w:div w:id="761413566">
                              <w:marLeft w:val="0"/>
                              <w:marRight w:val="0"/>
                              <w:marTop w:val="0"/>
                              <w:marBottom w:val="0"/>
                              <w:divBdr>
                                <w:top w:val="none" w:sz="0" w:space="0" w:color="auto"/>
                                <w:left w:val="none" w:sz="0" w:space="0" w:color="auto"/>
                                <w:bottom w:val="none" w:sz="0" w:space="0" w:color="auto"/>
                                <w:right w:val="none" w:sz="0" w:space="0" w:color="auto"/>
                              </w:divBdr>
                              <w:divsChild>
                                <w:div w:id="1614554352">
                                  <w:marLeft w:val="0"/>
                                  <w:marRight w:val="0"/>
                                  <w:marTop w:val="0"/>
                                  <w:marBottom w:val="0"/>
                                  <w:divBdr>
                                    <w:top w:val="none" w:sz="0" w:space="0" w:color="auto"/>
                                    <w:left w:val="none" w:sz="0" w:space="0" w:color="auto"/>
                                    <w:bottom w:val="none" w:sz="0" w:space="0" w:color="auto"/>
                                    <w:right w:val="none" w:sz="0" w:space="0" w:color="auto"/>
                                  </w:divBdr>
                                  <w:divsChild>
                                    <w:div w:id="670330563">
                                      <w:marLeft w:val="0"/>
                                      <w:marRight w:val="0"/>
                                      <w:marTop w:val="0"/>
                                      <w:marBottom w:val="0"/>
                                      <w:divBdr>
                                        <w:top w:val="none" w:sz="0" w:space="0" w:color="auto"/>
                                        <w:left w:val="none" w:sz="0" w:space="0" w:color="auto"/>
                                        <w:bottom w:val="none" w:sz="0" w:space="0" w:color="auto"/>
                                        <w:right w:val="none" w:sz="0" w:space="0" w:color="auto"/>
                                      </w:divBdr>
                                      <w:divsChild>
                                        <w:div w:id="1436368985">
                                          <w:marLeft w:val="1200"/>
                                          <w:marRight w:val="1200"/>
                                          <w:marTop w:val="0"/>
                                          <w:marBottom w:val="0"/>
                                          <w:divBdr>
                                            <w:top w:val="none" w:sz="0" w:space="0" w:color="auto"/>
                                            <w:left w:val="none" w:sz="0" w:space="0" w:color="auto"/>
                                            <w:bottom w:val="none" w:sz="0" w:space="0" w:color="auto"/>
                                            <w:right w:val="none" w:sz="0" w:space="0" w:color="auto"/>
                                          </w:divBdr>
                                          <w:divsChild>
                                            <w:div w:id="654379841">
                                              <w:marLeft w:val="0"/>
                                              <w:marRight w:val="0"/>
                                              <w:marTop w:val="0"/>
                                              <w:marBottom w:val="0"/>
                                              <w:divBdr>
                                                <w:top w:val="none" w:sz="0" w:space="0" w:color="auto"/>
                                                <w:left w:val="none" w:sz="0" w:space="0" w:color="auto"/>
                                                <w:bottom w:val="none" w:sz="0" w:space="0" w:color="auto"/>
                                                <w:right w:val="none" w:sz="0" w:space="0" w:color="auto"/>
                                              </w:divBdr>
                                              <w:divsChild>
                                                <w:div w:id="1947619468">
                                                  <w:marLeft w:val="0"/>
                                                  <w:marRight w:val="0"/>
                                                  <w:marTop w:val="0"/>
                                                  <w:marBottom w:val="0"/>
                                                  <w:divBdr>
                                                    <w:top w:val="none" w:sz="0" w:space="0" w:color="auto"/>
                                                    <w:left w:val="none" w:sz="0" w:space="0" w:color="auto"/>
                                                    <w:bottom w:val="none" w:sz="0" w:space="0" w:color="auto"/>
                                                    <w:right w:val="none" w:sz="0" w:space="0" w:color="auto"/>
                                                  </w:divBdr>
                                                  <w:divsChild>
                                                    <w:div w:id="158275899">
                                                      <w:marLeft w:val="0"/>
                                                      <w:marRight w:val="0"/>
                                                      <w:marTop w:val="0"/>
                                                      <w:marBottom w:val="0"/>
                                                      <w:divBdr>
                                                        <w:top w:val="none" w:sz="0" w:space="0" w:color="auto"/>
                                                        <w:left w:val="none" w:sz="0" w:space="0" w:color="auto"/>
                                                        <w:bottom w:val="none" w:sz="0" w:space="0" w:color="auto"/>
                                                        <w:right w:val="none" w:sz="0" w:space="0" w:color="auto"/>
                                                      </w:divBdr>
                                                      <w:divsChild>
                                                        <w:div w:id="1353604770">
                                                          <w:marLeft w:val="0"/>
                                                          <w:marRight w:val="0"/>
                                                          <w:marTop w:val="0"/>
                                                          <w:marBottom w:val="0"/>
                                                          <w:divBdr>
                                                            <w:top w:val="none" w:sz="0" w:space="0" w:color="auto"/>
                                                            <w:left w:val="none" w:sz="0" w:space="0" w:color="auto"/>
                                                            <w:bottom w:val="none" w:sz="0" w:space="0" w:color="auto"/>
                                                            <w:right w:val="none" w:sz="0" w:space="0" w:color="auto"/>
                                                          </w:divBdr>
                                                          <w:divsChild>
                                                            <w:div w:id="150756487">
                                                              <w:marLeft w:val="0"/>
                                                              <w:marRight w:val="0"/>
                                                              <w:marTop w:val="0"/>
                                                              <w:marBottom w:val="0"/>
                                                              <w:divBdr>
                                                                <w:top w:val="none" w:sz="0" w:space="0" w:color="auto"/>
                                                                <w:left w:val="none" w:sz="0" w:space="0" w:color="auto"/>
                                                                <w:bottom w:val="none" w:sz="0" w:space="0" w:color="auto"/>
                                                                <w:right w:val="none" w:sz="0" w:space="0" w:color="auto"/>
                                                              </w:divBdr>
                                                              <w:divsChild>
                                                                <w:div w:id="1206405249">
                                                                  <w:marLeft w:val="0"/>
                                                                  <w:marRight w:val="0"/>
                                                                  <w:marTop w:val="0"/>
                                                                  <w:marBottom w:val="0"/>
                                                                  <w:divBdr>
                                                                    <w:top w:val="none" w:sz="0" w:space="0" w:color="auto"/>
                                                                    <w:left w:val="none" w:sz="0" w:space="0" w:color="auto"/>
                                                                    <w:bottom w:val="none" w:sz="0" w:space="0" w:color="auto"/>
                                                                    <w:right w:val="none" w:sz="0" w:space="0" w:color="auto"/>
                                                                  </w:divBdr>
                                                                  <w:divsChild>
                                                                    <w:div w:id="1240750415">
                                                                      <w:marLeft w:val="0"/>
                                                                      <w:marRight w:val="0"/>
                                                                      <w:marTop w:val="0"/>
                                                                      <w:marBottom w:val="0"/>
                                                                      <w:divBdr>
                                                                        <w:top w:val="none" w:sz="0" w:space="0" w:color="auto"/>
                                                                        <w:left w:val="none" w:sz="0" w:space="0" w:color="auto"/>
                                                                        <w:bottom w:val="none" w:sz="0" w:space="0" w:color="auto"/>
                                                                        <w:right w:val="none" w:sz="0" w:space="0" w:color="auto"/>
                                                                      </w:divBdr>
                                                                      <w:divsChild>
                                                                        <w:div w:id="1501578350">
                                                                          <w:marLeft w:val="0"/>
                                                                          <w:marRight w:val="0"/>
                                                                          <w:marTop w:val="0"/>
                                                                          <w:marBottom w:val="0"/>
                                                                          <w:divBdr>
                                                                            <w:top w:val="none" w:sz="0" w:space="0" w:color="auto"/>
                                                                            <w:left w:val="none" w:sz="0" w:space="0" w:color="auto"/>
                                                                            <w:bottom w:val="none" w:sz="0" w:space="0" w:color="auto"/>
                                                                            <w:right w:val="none" w:sz="0" w:space="0" w:color="auto"/>
                                                                          </w:divBdr>
                                                                        </w:div>
                                                                      </w:divsChild>
                                                                    </w:div>
                                                                    <w:div w:id="1936210430">
                                                                      <w:marLeft w:val="0"/>
                                                                      <w:marRight w:val="0"/>
                                                                      <w:marTop w:val="0"/>
                                                                      <w:marBottom w:val="0"/>
                                                                      <w:divBdr>
                                                                        <w:top w:val="none" w:sz="0" w:space="0" w:color="auto"/>
                                                                        <w:left w:val="none" w:sz="0" w:space="0" w:color="auto"/>
                                                                        <w:bottom w:val="none" w:sz="0" w:space="0" w:color="auto"/>
                                                                        <w:right w:val="none" w:sz="0" w:space="0" w:color="auto"/>
                                                                      </w:divBdr>
                                                                      <w:divsChild>
                                                                        <w:div w:id="138629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809215">
      <w:bodyDiv w:val="1"/>
      <w:marLeft w:val="0"/>
      <w:marRight w:val="0"/>
      <w:marTop w:val="0"/>
      <w:marBottom w:val="0"/>
      <w:divBdr>
        <w:top w:val="none" w:sz="0" w:space="0" w:color="auto"/>
        <w:left w:val="none" w:sz="0" w:space="0" w:color="auto"/>
        <w:bottom w:val="none" w:sz="0" w:space="0" w:color="auto"/>
        <w:right w:val="none" w:sz="0" w:space="0" w:color="auto"/>
      </w:divBdr>
      <w:divsChild>
        <w:div w:id="1339307264">
          <w:marLeft w:val="0"/>
          <w:marRight w:val="0"/>
          <w:marTop w:val="0"/>
          <w:marBottom w:val="0"/>
          <w:divBdr>
            <w:top w:val="none" w:sz="0" w:space="0" w:color="auto"/>
            <w:left w:val="single" w:sz="6" w:space="0" w:color="BBBBBB"/>
            <w:bottom w:val="single" w:sz="6" w:space="0" w:color="BBBBBB"/>
            <w:right w:val="single" w:sz="6" w:space="0" w:color="BBBBBB"/>
          </w:divBdr>
          <w:divsChild>
            <w:div w:id="40835256">
              <w:marLeft w:val="0"/>
              <w:marRight w:val="0"/>
              <w:marTop w:val="0"/>
              <w:marBottom w:val="0"/>
              <w:divBdr>
                <w:top w:val="none" w:sz="0" w:space="0" w:color="auto"/>
                <w:left w:val="none" w:sz="0" w:space="0" w:color="auto"/>
                <w:bottom w:val="none" w:sz="0" w:space="0" w:color="auto"/>
                <w:right w:val="none" w:sz="0" w:space="0" w:color="auto"/>
              </w:divBdr>
              <w:divsChild>
                <w:div w:id="1458182356">
                  <w:marLeft w:val="0"/>
                  <w:marRight w:val="0"/>
                  <w:marTop w:val="75"/>
                  <w:marBottom w:val="0"/>
                  <w:divBdr>
                    <w:top w:val="none" w:sz="0" w:space="0" w:color="auto"/>
                    <w:left w:val="none" w:sz="0" w:space="0" w:color="auto"/>
                    <w:bottom w:val="none" w:sz="0" w:space="0" w:color="auto"/>
                    <w:right w:val="none" w:sz="0" w:space="0" w:color="auto"/>
                  </w:divBdr>
                  <w:divsChild>
                    <w:div w:id="164563057">
                      <w:marLeft w:val="0"/>
                      <w:marRight w:val="0"/>
                      <w:marTop w:val="0"/>
                      <w:marBottom w:val="0"/>
                      <w:divBdr>
                        <w:top w:val="none" w:sz="0" w:space="0" w:color="auto"/>
                        <w:left w:val="none" w:sz="0" w:space="0" w:color="auto"/>
                        <w:bottom w:val="none" w:sz="0" w:space="0" w:color="auto"/>
                        <w:right w:val="none" w:sz="0" w:space="0" w:color="auto"/>
                      </w:divBdr>
                      <w:divsChild>
                        <w:div w:id="534854400">
                          <w:marLeft w:val="0"/>
                          <w:marRight w:val="0"/>
                          <w:marTop w:val="0"/>
                          <w:marBottom w:val="0"/>
                          <w:divBdr>
                            <w:top w:val="none" w:sz="0" w:space="0" w:color="auto"/>
                            <w:left w:val="none" w:sz="0" w:space="0" w:color="auto"/>
                            <w:bottom w:val="none" w:sz="0" w:space="0" w:color="auto"/>
                            <w:right w:val="none" w:sz="0" w:space="0" w:color="auto"/>
                          </w:divBdr>
                          <w:divsChild>
                            <w:div w:id="1434977891">
                              <w:marLeft w:val="0"/>
                              <w:marRight w:val="0"/>
                              <w:marTop w:val="0"/>
                              <w:marBottom w:val="0"/>
                              <w:divBdr>
                                <w:top w:val="none" w:sz="0" w:space="0" w:color="auto"/>
                                <w:left w:val="none" w:sz="0" w:space="0" w:color="auto"/>
                                <w:bottom w:val="none" w:sz="0" w:space="0" w:color="auto"/>
                                <w:right w:val="none" w:sz="0" w:space="0" w:color="auto"/>
                              </w:divBdr>
                              <w:divsChild>
                                <w:div w:id="2070152922">
                                  <w:marLeft w:val="0"/>
                                  <w:marRight w:val="0"/>
                                  <w:marTop w:val="0"/>
                                  <w:marBottom w:val="0"/>
                                  <w:divBdr>
                                    <w:top w:val="none" w:sz="0" w:space="0" w:color="auto"/>
                                    <w:left w:val="none" w:sz="0" w:space="0" w:color="auto"/>
                                    <w:bottom w:val="none" w:sz="0" w:space="0" w:color="auto"/>
                                    <w:right w:val="none" w:sz="0" w:space="0" w:color="auto"/>
                                  </w:divBdr>
                                  <w:divsChild>
                                    <w:div w:id="1369185305">
                                      <w:marLeft w:val="0"/>
                                      <w:marRight w:val="0"/>
                                      <w:marTop w:val="0"/>
                                      <w:marBottom w:val="0"/>
                                      <w:divBdr>
                                        <w:top w:val="none" w:sz="0" w:space="0" w:color="auto"/>
                                        <w:left w:val="none" w:sz="0" w:space="0" w:color="auto"/>
                                        <w:bottom w:val="none" w:sz="0" w:space="0" w:color="auto"/>
                                        <w:right w:val="none" w:sz="0" w:space="0" w:color="auto"/>
                                      </w:divBdr>
                                      <w:divsChild>
                                        <w:div w:id="700475805">
                                          <w:marLeft w:val="1200"/>
                                          <w:marRight w:val="1200"/>
                                          <w:marTop w:val="0"/>
                                          <w:marBottom w:val="0"/>
                                          <w:divBdr>
                                            <w:top w:val="none" w:sz="0" w:space="0" w:color="auto"/>
                                            <w:left w:val="none" w:sz="0" w:space="0" w:color="auto"/>
                                            <w:bottom w:val="none" w:sz="0" w:space="0" w:color="auto"/>
                                            <w:right w:val="none" w:sz="0" w:space="0" w:color="auto"/>
                                          </w:divBdr>
                                          <w:divsChild>
                                            <w:div w:id="1146509880">
                                              <w:marLeft w:val="0"/>
                                              <w:marRight w:val="0"/>
                                              <w:marTop w:val="0"/>
                                              <w:marBottom w:val="0"/>
                                              <w:divBdr>
                                                <w:top w:val="none" w:sz="0" w:space="0" w:color="auto"/>
                                                <w:left w:val="none" w:sz="0" w:space="0" w:color="auto"/>
                                                <w:bottom w:val="none" w:sz="0" w:space="0" w:color="auto"/>
                                                <w:right w:val="none" w:sz="0" w:space="0" w:color="auto"/>
                                              </w:divBdr>
                                              <w:divsChild>
                                                <w:div w:id="135414777">
                                                  <w:marLeft w:val="0"/>
                                                  <w:marRight w:val="0"/>
                                                  <w:marTop w:val="0"/>
                                                  <w:marBottom w:val="0"/>
                                                  <w:divBdr>
                                                    <w:top w:val="none" w:sz="0" w:space="0" w:color="auto"/>
                                                    <w:left w:val="none" w:sz="0" w:space="0" w:color="auto"/>
                                                    <w:bottom w:val="none" w:sz="0" w:space="0" w:color="auto"/>
                                                    <w:right w:val="none" w:sz="0" w:space="0" w:color="auto"/>
                                                  </w:divBdr>
                                                  <w:divsChild>
                                                    <w:div w:id="405155983">
                                                      <w:marLeft w:val="0"/>
                                                      <w:marRight w:val="0"/>
                                                      <w:marTop w:val="0"/>
                                                      <w:marBottom w:val="0"/>
                                                      <w:divBdr>
                                                        <w:top w:val="none" w:sz="0" w:space="0" w:color="auto"/>
                                                        <w:left w:val="none" w:sz="0" w:space="0" w:color="auto"/>
                                                        <w:bottom w:val="none" w:sz="0" w:space="0" w:color="auto"/>
                                                        <w:right w:val="none" w:sz="0" w:space="0" w:color="auto"/>
                                                      </w:divBdr>
                                                      <w:divsChild>
                                                        <w:div w:id="654838268">
                                                          <w:marLeft w:val="0"/>
                                                          <w:marRight w:val="0"/>
                                                          <w:marTop w:val="0"/>
                                                          <w:marBottom w:val="0"/>
                                                          <w:divBdr>
                                                            <w:top w:val="none" w:sz="0" w:space="0" w:color="auto"/>
                                                            <w:left w:val="none" w:sz="0" w:space="0" w:color="auto"/>
                                                            <w:bottom w:val="none" w:sz="0" w:space="0" w:color="auto"/>
                                                            <w:right w:val="none" w:sz="0" w:space="0" w:color="auto"/>
                                                          </w:divBdr>
                                                        </w:div>
                                                      </w:divsChild>
                                                    </w:div>
                                                    <w:div w:id="435560574">
                                                      <w:marLeft w:val="0"/>
                                                      <w:marRight w:val="0"/>
                                                      <w:marTop w:val="0"/>
                                                      <w:marBottom w:val="0"/>
                                                      <w:divBdr>
                                                        <w:top w:val="none" w:sz="0" w:space="0" w:color="auto"/>
                                                        <w:left w:val="none" w:sz="0" w:space="0" w:color="auto"/>
                                                        <w:bottom w:val="none" w:sz="0" w:space="0" w:color="auto"/>
                                                        <w:right w:val="none" w:sz="0" w:space="0" w:color="auto"/>
                                                      </w:divBdr>
                                                      <w:divsChild>
                                                        <w:div w:id="68499133">
                                                          <w:marLeft w:val="0"/>
                                                          <w:marRight w:val="0"/>
                                                          <w:marTop w:val="0"/>
                                                          <w:marBottom w:val="0"/>
                                                          <w:divBdr>
                                                            <w:top w:val="none" w:sz="0" w:space="0" w:color="auto"/>
                                                            <w:left w:val="none" w:sz="0" w:space="0" w:color="auto"/>
                                                            <w:bottom w:val="none" w:sz="0" w:space="0" w:color="auto"/>
                                                            <w:right w:val="none" w:sz="0" w:space="0" w:color="auto"/>
                                                          </w:divBdr>
                                                        </w:div>
                                                      </w:divsChild>
                                                    </w:div>
                                                    <w:div w:id="1075317452">
                                                      <w:marLeft w:val="0"/>
                                                      <w:marRight w:val="0"/>
                                                      <w:marTop w:val="0"/>
                                                      <w:marBottom w:val="0"/>
                                                      <w:divBdr>
                                                        <w:top w:val="none" w:sz="0" w:space="0" w:color="auto"/>
                                                        <w:left w:val="none" w:sz="0" w:space="0" w:color="auto"/>
                                                        <w:bottom w:val="none" w:sz="0" w:space="0" w:color="auto"/>
                                                        <w:right w:val="none" w:sz="0" w:space="0" w:color="auto"/>
                                                      </w:divBdr>
                                                      <w:divsChild>
                                                        <w:div w:id="209340056">
                                                          <w:marLeft w:val="0"/>
                                                          <w:marRight w:val="0"/>
                                                          <w:marTop w:val="0"/>
                                                          <w:marBottom w:val="0"/>
                                                          <w:divBdr>
                                                            <w:top w:val="none" w:sz="0" w:space="0" w:color="auto"/>
                                                            <w:left w:val="none" w:sz="0" w:space="0" w:color="auto"/>
                                                            <w:bottom w:val="none" w:sz="0" w:space="0" w:color="auto"/>
                                                            <w:right w:val="none" w:sz="0" w:space="0" w:color="auto"/>
                                                          </w:divBdr>
                                                        </w:div>
                                                      </w:divsChild>
                                                    </w:div>
                                                    <w:div w:id="1117944560">
                                                      <w:marLeft w:val="0"/>
                                                      <w:marRight w:val="0"/>
                                                      <w:marTop w:val="0"/>
                                                      <w:marBottom w:val="0"/>
                                                      <w:divBdr>
                                                        <w:top w:val="none" w:sz="0" w:space="0" w:color="auto"/>
                                                        <w:left w:val="none" w:sz="0" w:space="0" w:color="auto"/>
                                                        <w:bottom w:val="none" w:sz="0" w:space="0" w:color="auto"/>
                                                        <w:right w:val="none" w:sz="0" w:space="0" w:color="auto"/>
                                                      </w:divBdr>
                                                    </w:div>
                                                    <w:div w:id="1424497463">
                                                      <w:marLeft w:val="0"/>
                                                      <w:marRight w:val="0"/>
                                                      <w:marTop w:val="0"/>
                                                      <w:marBottom w:val="0"/>
                                                      <w:divBdr>
                                                        <w:top w:val="none" w:sz="0" w:space="0" w:color="auto"/>
                                                        <w:left w:val="none" w:sz="0" w:space="0" w:color="auto"/>
                                                        <w:bottom w:val="none" w:sz="0" w:space="0" w:color="auto"/>
                                                        <w:right w:val="none" w:sz="0" w:space="0" w:color="auto"/>
                                                      </w:divBdr>
                                                      <w:divsChild>
                                                        <w:div w:id="444158857">
                                                          <w:marLeft w:val="0"/>
                                                          <w:marRight w:val="0"/>
                                                          <w:marTop w:val="0"/>
                                                          <w:marBottom w:val="0"/>
                                                          <w:divBdr>
                                                            <w:top w:val="none" w:sz="0" w:space="0" w:color="auto"/>
                                                            <w:left w:val="none" w:sz="0" w:space="0" w:color="auto"/>
                                                            <w:bottom w:val="none" w:sz="0" w:space="0" w:color="auto"/>
                                                            <w:right w:val="none" w:sz="0" w:space="0" w:color="auto"/>
                                                          </w:divBdr>
                                                        </w:div>
                                                      </w:divsChild>
                                                    </w:div>
                                                    <w:div w:id="1932396134">
                                                      <w:marLeft w:val="0"/>
                                                      <w:marRight w:val="0"/>
                                                      <w:marTop w:val="0"/>
                                                      <w:marBottom w:val="0"/>
                                                      <w:divBdr>
                                                        <w:top w:val="none" w:sz="0" w:space="0" w:color="auto"/>
                                                        <w:left w:val="none" w:sz="0" w:space="0" w:color="auto"/>
                                                        <w:bottom w:val="none" w:sz="0" w:space="0" w:color="auto"/>
                                                        <w:right w:val="none" w:sz="0" w:space="0" w:color="auto"/>
                                                      </w:divBdr>
                                                      <w:divsChild>
                                                        <w:div w:id="167106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5587503">
      <w:bodyDiv w:val="1"/>
      <w:marLeft w:val="0"/>
      <w:marRight w:val="0"/>
      <w:marTop w:val="0"/>
      <w:marBottom w:val="0"/>
      <w:divBdr>
        <w:top w:val="none" w:sz="0" w:space="0" w:color="auto"/>
        <w:left w:val="none" w:sz="0" w:space="0" w:color="auto"/>
        <w:bottom w:val="none" w:sz="0" w:space="0" w:color="auto"/>
        <w:right w:val="none" w:sz="0" w:space="0" w:color="auto"/>
      </w:divBdr>
      <w:divsChild>
        <w:div w:id="1700427706">
          <w:marLeft w:val="0"/>
          <w:marRight w:val="0"/>
          <w:marTop w:val="0"/>
          <w:marBottom w:val="0"/>
          <w:divBdr>
            <w:top w:val="none" w:sz="0" w:space="0" w:color="auto"/>
            <w:left w:val="none" w:sz="0" w:space="0" w:color="auto"/>
            <w:bottom w:val="none" w:sz="0" w:space="0" w:color="auto"/>
            <w:right w:val="none" w:sz="0" w:space="0" w:color="auto"/>
          </w:divBdr>
          <w:divsChild>
            <w:div w:id="2126849509">
              <w:marLeft w:val="0"/>
              <w:marRight w:val="0"/>
              <w:marTop w:val="0"/>
              <w:marBottom w:val="0"/>
              <w:divBdr>
                <w:top w:val="none" w:sz="0" w:space="0" w:color="auto"/>
                <w:left w:val="none" w:sz="0" w:space="0" w:color="auto"/>
                <w:bottom w:val="none" w:sz="0" w:space="0" w:color="auto"/>
                <w:right w:val="none" w:sz="0" w:space="0" w:color="auto"/>
              </w:divBdr>
              <w:divsChild>
                <w:div w:id="1673872832">
                  <w:marLeft w:val="0"/>
                  <w:marRight w:val="0"/>
                  <w:marTop w:val="0"/>
                  <w:marBottom w:val="0"/>
                  <w:divBdr>
                    <w:top w:val="none" w:sz="0" w:space="0" w:color="auto"/>
                    <w:left w:val="none" w:sz="0" w:space="0" w:color="auto"/>
                    <w:bottom w:val="none" w:sz="0" w:space="0" w:color="auto"/>
                    <w:right w:val="none" w:sz="0" w:space="0" w:color="auto"/>
                  </w:divBdr>
                  <w:divsChild>
                    <w:div w:id="1902859930">
                      <w:marLeft w:val="0"/>
                      <w:marRight w:val="0"/>
                      <w:marTop w:val="0"/>
                      <w:marBottom w:val="375"/>
                      <w:divBdr>
                        <w:top w:val="none" w:sz="0" w:space="0" w:color="auto"/>
                        <w:left w:val="none" w:sz="0" w:space="0" w:color="auto"/>
                        <w:bottom w:val="none" w:sz="0" w:space="0" w:color="auto"/>
                        <w:right w:val="none" w:sz="0" w:space="0" w:color="auto"/>
                      </w:divBdr>
                      <w:divsChild>
                        <w:div w:id="17643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634048">
      <w:bodyDiv w:val="1"/>
      <w:marLeft w:val="0"/>
      <w:marRight w:val="0"/>
      <w:marTop w:val="0"/>
      <w:marBottom w:val="0"/>
      <w:divBdr>
        <w:top w:val="none" w:sz="0" w:space="0" w:color="auto"/>
        <w:left w:val="none" w:sz="0" w:space="0" w:color="auto"/>
        <w:bottom w:val="none" w:sz="0" w:space="0" w:color="auto"/>
        <w:right w:val="none" w:sz="0" w:space="0" w:color="auto"/>
      </w:divBdr>
      <w:divsChild>
        <w:div w:id="781073901">
          <w:marLeft w:val="0"/>
          <w:marRight w:val="0"/>
          <w:marTop w:val="0"/>
          <w:marBottom w:val="0"/>
          <w:divBdr>
            <w:top w:val="none" w:sz="0" w:space="0" w:color="auto"/>
            <w:left w:val="single" w:sz="6" w:space="0" w:color="BBBBBB"/>
            <w:bottom w:val="single" w:sz="6" w:space="0" w:color="BBBBBB"/>
            <w:right w:val="single" w:sz="6" w:space="0" w:color="BBBBBB"/>
          </w:divBdr>
          <w:divsChild>
            <w:div w:id="525603929">
              <w:marLeft w:val="0"/>
              <w:marRight w:val="0"/>
              <w:marTop w:val="0"/>
              <w:marBottom w:val="0"/>
              <w:divBdr>
                <w:top w:val="none" w:sz="0" w:space="0" w:color="auto"/>
                <w:left w:val="none" w:sz="0" w:space="0" w:color="auto"/>
                <w:bottom w:val="none" w:sz="0" w:space="0" w:color="auto"/>
                <w:right w:val="none" w:sz="0" w:space="0" w:color="auto"/>
              </w:divBdr>
              <w:divsChild>
                <w:div w:id="1671064094">
                  <w:marLeft w:val="0"/>
                  <w:marRight w:val="0"/>
                  <w:marTop w:val="75"/>
                  <w:marBottom w:val="0"/>
                  <w:divBdr>
                    <w:top w:val="none" w:sz="0" w:space="0" w:color="auto"/>
                    <w:left w:val="none" w:sz="0" w:space="0" w:color="auto"/>
                    <w:bottom w:val="none" w:sz="0" w:space="0" w:color="auto"/>
                    <w:right w:val="none" w:sz="0" w:space="0" w:color="auto"/>
                  </w:divBdr>
                  <w:divsChild>
                    <w:div w:id="604312887">
                      <w:marLeft w:val="0"/>
                      <w:marRight w:val="0"/>
                      <w:marTop w:val="0"/>
                      <w:marBottom w:val="0"/>
                      <w:divBdr>
                        <w:top w:val="none" w:sz="0" w:space="0" w:color="auto"/>
                        <w:left w:val="none" w:sz="0" w:space="0" w:color="auto"/>
                        <w:bottom w:val="none" w:sz="0" w:space="0" w:color="auto"/>
                        <w:right w:val="none" w:sz="0" w:space="0" w:color="auto"/>
                      </w:divBdr>
                      <w:divsChild>
                        <w:div w:id="737898895">
                          <w:marLeft w:val="0"/>
                          <w:marRight w:val="0"/>
                          <w:marTop w:val="0"/>
                          <w:marBottom w:val="0"/>
                          <w:divBdr>
                            <w:top w:val="none" w:sz="0" w:space="0" w:color="auto"/>
                            <w:left w:val="none" w:sz="0" w:space="0" w:color="auto"/>
                            <w:bottom w:val="none" w:sz="0" w:space="0" w:color="auto"/>
                            <w:right w:val="none" w:sz="0" w:space="0" w:color="auto"/>
                          </w:divBdr>
                          <w:divsChild>
                            <w:div w:id="1759794083">
                              <w:marLeft w:val="0"/>
                              <w:marRight w:val="0"/>
                              <w:marTop w:val="0"/>
                              <w:marBottom w:val="0"/>
                              <w:divBdr>
                                <w:top w:val="none" w:sz="0" w:space="0" w:color="auto"/>
                                <w:left w:val="none" w:sz="0" w:space="0" w:color="auto"/>
                                <w:bottom w:val="none" w:sz="0" w:space="0" w:color="auto"/>
                                <w:right w:val="none" w:sz="0" w:space="0" w:color="auto"/>
                              </w:divBdr>
                              <w:divsChild>
                                <w:div w:id="1084105540">
                                  <w:marLeft w:val="0"/>
                                  <w:marRight w:val="0"/>
                                  <w:marTop w:val="0"/>
                                  <w:marBottom w:val="0"/>
                                  <w:divBdr>
                                    <w:top w:val="none" w:sz="0" w:space="0" w:color="auto"/>
                                    <w:left w:val="none" w:sz="0" w:space="0" w:color="auto"/>
                                    <w:bottom w:val="none" w:sz="0" w:space="0" w:color="auto"/>
                                    <w:right w:val="none" w:sz="0" w:space="0" w:color="auto"/>
                                  </w:divBdr>
                                  <w:divsChild>
                                    <w:div w:id="422918483">
                                      <w:marLeft w:val="0"/>
                                      <w:marRight w:val="0"/>
                                      <w:marTop w:val="0"/>
                                      <w:marBottom w:val="0"/>
                                      <w:divBdr>
                                        <w:top w:val="none" w:sz="0" w:space="0" w:color="auto"/>
                                        <w:left w:val="none" w:sz="0" w:space="0" w:color="auto"/>
                                        <w:bottom w:val="none" w:sz="0" w:space="0" w:color="auto"/>
                                        <w:right w:val="none" w:sz="0" w:space="0" w:color="auto"/>
                                      </w:divBdr>
                                      <w:divsChild>
                                        <w:div w:id="35349889">
                                          <w:marLeft w:val="1200"/>
                                          <w:marRight w:val="1200"/>
                                          <w:marTop w:val="0"/>
                                          <w:marBottom w:val="0"/>
                                          <w:divBdr>
                                            <w:top w:val="none" w:sz="0" w:space="0" w:color="auto"/>
                                            <w:left w:val="none" w:sz="0" w:space="0" w:color="auto"/>
                                            <w:bottom w:val="none" w:sz="0" w:space="0" w:color="auto"/>
                                            <w:right w:val="none" w:sz="0" w:space="0" w:color="auto"/>
                                          </w:divBdr>
                                          <w:divsChild>
                                            <w:div w:id="1863934666">
                                              <w:marLeft w:val="0"/>
                                              <w:marRight w:val="0"/>
                                              <w:marTop w:val="0"/>
                                              <w:marBottom w:val="0"/>
                                              <w:divBdr>
                                                <w:top w:val="none" w:sz="0" w:space="0" w:color="auto"/>
                                                <w:left w:val="none" w:sz="0" w:space="0" w:color="auto"/>
                                                <w:bottom w:val="none" w:sz="0" w:space="0" w:color="auto"/>
                                                <w:right w:val="none" w:sz="0" w:space="0" w:color="auto"/>
                                              </w:divBdr>
                                              <w:divsChild>
                                                <w:div w:id="1478187044">
                                                  <w:marLeft w:val="0"/>
                                                  <w:marRight w:val="0"/>
                                                  <w:marTop w:val="0"/>
                                                  <w:marBottom w:val="0"/>
                                                  <w:divBdr>
                                                    <w:top w:val="none" w:sz="0" w:space="0" w:color="auto"/>
                                                    <w:left w:val="none" w:sz="0" w:space="0" w:color="auto"/>
                                                    <w:bottom w:val="none" w:sz="0" w:space="0" w:color="auto"/>
                                                    <w:right w:val="none" w:sz="0" w:space="0" w:color="auto"/>
                                                  </w:divBdr>
                                                  <w:divsChild>
                                                    <w:div w:id="806359017">
                                                      <w:marLeft w:val="0"/>
                                                      <w:marRight w:val="0"/>
                                                      <w:marTop w:val="0"/>
                                                      <w:marBottom w:val="0"/>
                                                      <w:divBdr>
                                                        <w:top w:val="none" w:sz="0" w:space="0" w:color="auto"/>
                                                        <w:left w:val="none" w:sz="0" w:space="0" w:color="auto"/>
                                                        <w:bottom w:val="none" w:sz="0" w:space="0" w:color="auto"/>
                                                        <w:right w:val="none" w:sz="0" w:space="0" w:color="auto"/>
                                                      </w:divBdr>
                                                      <w:divsChild>
                                                        <w:div w:id="1079327766">
                                                          <w:marLeft w:val="0"/>
                                                          <w:marRight w:val="0"/>
                                                          <w:marTop w:val="0"/>
                                                          <w:marBottom w:val="0"/>
                                                          <w:divBdr>
                                                            <w:top w:val="none" w:sz="0" w:space="0" w:color="auto"/>
                                                            <w:left w:val="none" w:sz="0" w:space="0" w:color="auto"/>
                                                            <w:bottom w:val="none" w:sz="0" w:space="0" w:color="auto"/>
                                                            <w:right w:val="none" w:sz="0" w:space="0" w:color="auto"/>
                                                          </w:divBdr>
                                                          <w:divsChild>
                                                            <w:div w:id="1630356173">
                                                              <w:marLeft w:val="0"/>
                                                              <w:marRight w:val="0"/>
                                                              <w:marTop w:val="0"/>
                                                              <w:marBottom w:val="0"/>
                                                              <w:divBdr>
                                                                <w:top w:val="none" w:sz="0" w:space="0" w:color="auto"/>
                                                                <w:left w:val="none" w:sz="0" w:space="0" w:color="auto"/>
                                                                <w:bottom w:val="none" w:sz="0" w:space="0" w:color="auto"/>
                                                                <w:right w:val="none" w:sz="0" w:space="0" w:color="auto"/>
                                                              </w:divBdr>
                                                              <w:divsChild>
                                                                <w:div w:id="151797737">
                                                                  <w:marLeft w:val="0"/>
                                                                  <w:marRight w:val="0"/>
                                                                  <w:marTop w:val="0"/>
                                                                  <w:marBottom w:val="0"/>
                                                                  <w:divBdr>
                                                                    <w:top w:val="none" w:sz="0" w:space="0" w:color="auto"/>
                                                                    <w:left w:val="none" w:sz="0" w:space="0" w:color="auto"/>
                                                                    <w:bottom w:val="none" w:sz="0" w:space="0" w:color="auto"/>
                                                                    <w:right w:val="none" w:sz="0" w:space="0" w:color="auto"/>
                                                                  </w:divBdr>
                                                                  <w:divsChild>
                                                                    <w:div w:id="568804477">
                                                                      <w:marLeft w:val="0"/>
                                                                      <w:marRight w:val="0"/>
                                                                      <w:marTop w:val="0"/>
                                                                      <w:marBottom w:val="0"/>
                                                                      <w:divBdr>
                                                                        <w:top w:val="none" w:sz="0" w:space="0" w:color="auto"/>
                                                                        <w:left w:val="none" w:sz="0" w:space="0" w:color="auto"/>
                                                                        <w:bottom w:val="none" w:sz="0" w:space="0" w:color="auto"/>
                                                                        <w:right w:val="none" w:sz="0" w:space="0" w:color="auto"/>
                                                                      </w:divBdr>
                                                                      <w:divsChild>
                                                                        <w:div w:id="1982810945">
                                                                          <w:marLeft w:val="0"/>
                                                                          <w:marRight w:val="0"/>
                                                                          <w:marTop w:val="0"/>
                                                                          <w:marBottom w:val="0"/>
                                                                          <w:divBdr>
                                                                            <w:top w:val="none" w:sz="0" w:space="0" w:color="auto"/>
                                                                            <w:left w:val="none" w:sz="0" w:space="0" w:color="auto"/>
                                                                            <w:bottom w:val="none" w:sz="0" w:space="0" w:color="auto"/>
                                                                            <w:right w:val="none" w:sz="0" w:space="0" w:color="auto"/>
                                                                          </w:divBdr>
                                                                        </w:div>
                                                                      </w:divsChild>
                                                                    </w:div>
                                                                    <w:div w:id="1424834168">
                                                                      <w:marLeft w:val="0"/>
                                                                      <w:marRight w:val="0"/>
                                                                      <w:marTop w:val="0"/>
                                                                      <w:marBottom w:val="0"/>
                                                                      <w:divBdr>
                                                                        <w:top w:val="none" w:sz="0" w:space="0" w:color="auto"/>
                                                                        <w:left w:val="none" w:sz="0" w:space="0" w:color="auto"/>
                                                                        <w:bottom w:val="none" w:sz="0" w:space="0" w:color="auto"/>
                                                                        <w:right w:val="none" w:sz="0" w:space="0" w:color="auto"/>
                                                                      </w:divBdr>
                                                                      <w:divsChild>
                                                                        <w:div w:id="699670552">
                                                                          <w:marLeft w:val="0"/>
                                                                          <w:marRight w:val="0"/>
                                                                          <w:marTop w:val="0"/>
                                                                          <w:marBottom w:val="0"/>
                                                                          <w:divBdr>
                                                                            <w:top w:val="none" w:sz="0" w:space="0" w:color="auto"/>
                                                                            <w:left w:val="none" w:sz="0" w:space="0" w:color="auto"/>
                                                                            <w:bottom w:val="none" w:sz="0" w:space="0" w:color="auto"/>
                                                                            <w:right w:val="none" w:sz="0" w:space="0" w:color="auto"/>
                                                                          </w:divBdr>
                                                                        </w:div>
                                                                      </w:divsChild>
                                                                    </w:div>
                                                                    <w:div w:id="2049987240">
                                                                      <w:marLeft w:val="0"/>
                                                                      <w:marRight w:val="0"/>
                                                                      <w:marTop w:val="0"/>
                                                                      <w:marBottom w:val="0"/>
                                                                      <w:divBdr>
                                                                        <w:top w:val="none" w:sz="0" w:space="0" w:color="auto"/>
                                                                        <w:left w:val="none" w:sz="0" w:space="0" w:color="auto"/>
                                                                        <w:bottom w:val="none" w:sz="0" w:space="0" w:color="auto"/>
                                                                        <w:right w:val="none" w:sz="0" w:space="0" w:color="auto"/>
                                                                      </w:divBdr>
                                                                      <w:divsChild>
                                                                        <w:div w:id="2565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285420">
      <w:bodyDiv w:val="1"/>
      <w:marLeft w:val="0"/>
      <w:marRight w:val="0"/>
      <w:marTop w:val="0"/>
      <w:marBottom w:val="0"/>
      <w:divBdr>
        <w:top w:val="none" w:sz="0" w:space="0" w:color="auto"/>
        <w:left w:val="none" w:sz="0" w:space="0" w:color="auto"/>
        <w:bottom w:val="none" w:sz="0" w:space="0" w:color="auto"/>
        <w:right w:val="none" w:sz="0" w:space="0" w:color="auto"/>
      </w:divBdr>
      <w:divsChild>
        <w:div w:id="312148075">
          <w:marLeft w:val="0"/>
          <w:marRight w:val="0"/>
          <w:marTop w:val="240"/>
          <w:marBottom w:val="0"/>
          <w:divBdr>
            <w:top w:val="none" w:sz="0" w:space="0" w:color="auto"/>
            <w:left w:val="none" w:sz="0" w:space="0" w:color="auto"/>
            <w:bottom w:val="none" w:sz="0" w:space="0" w:color="auto"/>
            <w:right w:val="none" w:sz="0" w:space="0" w:color="auto"/>
          </w:divBdr>
          <w:divsChild>
            <w:div w:id="832183732">
              <w:marLeft w:val="0"/>
              <w:marRight w:val="0"/>
              <w:marTop w:val="0"/>
              <w:marBottom w:val="0"/>
              <w:divBdr>
                <w:top w:val="none" w:sz="0" w:space="0" w:color="auto"/>
                <w:left w:val="none" w:sz="0" w:space="0" w:color="auto"/>
                <w:bottom w:val="none" w:sz="0" w:space="0" w:color="auto"/>
                <w:right w:val="none" w:sz="0" w:space="0" w:color="auto"/>
              </w:divBdr>
            </w:div>
          </w:divsChild>
        </w:div>
        <w:div w:id="915087523">
          <w:marLeft w:val="0"/>
          <w:marRight w:val="0"/>
          <w:marTop w:val="240"/>
          <w:marBottom w:val="0"/>
          <w:divBdr>
            <w:top w:val="none" w:sz="0" w:space="0" w:color="auto"/>
            <w:left w:val="none" w:sz="0" w:space="0" w:color="auto"/>
            <w:bottom w:val="none" w:sz="0" w:space="0" w:color="auto"/>
            <w:right w:val="none" w:sz="0" w:space="0" w:color="auto"/>
          </w:divBdr>
          <w:divsChild>
            <w:div w:id="1319575072">
              <w:marLeft w:val="0"/>
              <w:marRight w:val="0"/>
              <w:marTop w:val="0"/>
              <w:marBottom w:val="0"/>
              <w:divBdr>
                <w:top w:val="none" w:sz="0" w:space="0" w:color="auto"/>
                <w:left w:val="none" w:sz="0" w:space="0" w:color="auto"/>
                <w:bottom w:val="none" w:sz="0" w:space="0" w:color="auto"/>
                <w:right w:val="none" w:sz="0" w:space="0" w:color="auto"/>
              </w:divBdr>
            </w:div>
          </w:divsChild>
        </w:div>
        <w:div w:id="1815487587">
          <w:marLeft w:val="0"/>
          <w:marRight w:val="0"/>
          <w:marTop w:val="240"/>
          <w:marBottom w:val="0"/>
          <w:divBdr>
            <w:top w:val="none" w:sz="0" w:space="0" w:color="auto"/>
            <w:left w:val="none" w:sz="0" w:space="0" w:color="auto"/>
            <w:bottom w:val="none" w:sz="0" w:space="0" w:color="auto"/>
            <w:right w:val="none" w:sz="0" w:space="0" w:color="auto"/>
          </w:divBdr>
          <w:divsChild>
            <w:div w:id="304431448">
              <w:marLeft w:val="0"/>
              <w:marRight w:val="0"/>
              <w:marTop w:val="0"/>
              <w:marBottom w:val="0"/>
              <w:divBdr>
                <w:top w:val="none" w:sz="0" w:space="0" w:color="auto"/>
                <w:left w:val="none" w:sz="0" w:space="0" w:color="auto"/>
                <w:bottom w:val="none" w:sz="0" w:space="0" w:color="auto"/>
                <w:right w:val="none" w:sz="0" w:space="0" w:color="auto"/>
              </w:divBdr>
            </w:div>
          </w:divsChild>
        </w:div>
        <w:div w:id="1817722049">
          <w:marLeft w:val="0"/>
          <w:marRight w:val="0"/>
          <w:marTop w:val="240"/>
          <w:marBottom w:val="0"/>
          <w:divBdr>
            <w:top w:val="none" w:sz="0" w:space="0" w:color="auto"/>
            <w:left w:val="none" w:sz="0" w:space="0" w:color="auto"/>
            <w:bottom w:val="none" w:sz="0" w:space="0" w:color="auto"/>
            <w:right w:val="none" w:sz="0" w:space="0" w:color="auto"/>
          </w:divBdr>
          <w:divsChild>
            <w:div w:id="191990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25190">
      <w:bodyDiv w:val="1"/>
      <w:marLeft w:val="0"/>
      <w:marRight w:val="0"/>
      <w:marTop w:val="0"/>
      <w:marBottom w:val="0"/>
      <w:divBdr>
        <w:top w:val="none" w:sz="0" w:space="0" w:color="auto"/>
        <w:left w:val="none" w:sz="0" w:space="0" w:color="auto"/>
        <w:bottom w:val="none" w:sz="0" w:space="0" w:color="auto"/>
        <w:right w:val="none" w:sz="0" w:space="0" w:color="auto"/>
      </w:divBdr>
      <w:divsChild>
        <w:div w:id="1797723143">
          <w:marLeft w:val="0"/>
          <w:marRight w:val="0"/>
          <w:marTop w:val="0"/>
          <w:marBottom w:val="0"/>
          <w:divBdr>
            <w:top w:val="none" w:sz="0" w:space="0" w:color="auto"/>
            <w:left w:val="single" w:sz="6" w:space="0" w:color="BBBBBB"/>
            <w:bottom w:val="single" w:sz="6" w:space="0" w:color="BBBBBB"/>
            <w:right w:val="single" w:sz="6" w:space="0" w:color="BBBBBB"/>
          </w:divBdr>
          <w:divsChild>
            <w:div w:id="1478106520">
              <w:marLeft w:val="0"/>
              <w:marRight w:val="0"/>
              <w:marTop w:val="0"/>
              <w:marBottom w:val="0"/>
              <w:divBdr>
                <w:top w:val="none" w:sz="0" w:space="0" w:color="auto"/>
                <w:left w:val="none" w:sz="0" w:space="0" w:color="auto"/>
                <w:bottom w:val="none" w:sz="0" w:space="0" w:color="auto"/>
                <w:right w:val="none" w:sz="0" w:space="0" w:color="auto"/>
              </w:divBdr>
              <w:divsChild>
                <w:div w:id="644311306">
                  <w:marLeft w:val="0"/>
                  <w:marRight w:val="0"/>
                  <w:marTop w:val="75"/>
                  <w:marBottom w:val="0"/>
                  <w:divBdr>
                    <w:top w:val="none" w:sz="0" w:space="0" w:color="auto"/>
                    <w:left w:val="none" w:sz="0" w:space="0" w:color="auto"/>
                    <w:bottom w:val="none" w:sz="0" w:space="0" w:color="auto"/>
                    <w:right w:val="none" w:sz="0" w:space="0" w:color="auto"/>
                  </w:divBdr>
                  <w:divsChild>
                    <w:div w:id="1548562596">
                      <w:marLeft w:val="0"/>
                      <w:marRight w:val="0"/>
                      <w:marTop w:val="0"/>
                      <w:marBottom w:val="0"/>
                      <w:divBdr>
                        <w:top w:val="none" w:sz="0" w:space="0" w:color="auto"/>
                        <w:left w:val="none" w:sz="0" w:space="0" w:color="auto"/>
                        <w:bottom w:val="none" w:sz="0" w:space="0" w:color="auto"/>
                        <w:right w:val="none" w:sz="0" w:space="0" w:color="auto"/>
                      </w:divBdr>
                      <w:divsChild>
                        <w:div w:id="1209874922">
                          <w:marLeft w:val="0"/>
                          <w:marRight w:val="0"/>
                          <w:marTop w:val="0"/>
                          <w:marBottom w:val="0"/>
                          <w:divBdr>
                            <w:top w:val="none" w:sz="0" w:space="0" w:color="auto"/>
                            <w:left w:val="none" w:sz="0" w:space="0" w:color="auto"/>
                            <w:bottom w:val="none" w:sz="0" w:space="0" w:color="auto"/>
                            <w:right w:val="none" w:sz="0" w:space="0" w:color="auto"/>
                          </w:divBdr>
                          <w:divsChild>
                            <w:div w:id="1759133052">
                              <w:marLeft w:val="0"/>
                              <w:marRight w:val="0"/>
                              <w:marTop w:val="0"/>
                              <w:marBottom w:val="0"/>
                              <w:divBdr>
                                <w:top w:val="none" w:sz="0" w:space="0" w:color="auto"/>
                                <w:left w:val="none" w:sz="0" w:space="0" w:color="auto"/>
                                <w:bottom w:val="none" w:sz="0" w:space="0" w:color="auto"/>
                                <w:right w:val="none" w:sz="0" w:space="0" w:color="auto"/>
                              </w:divBdr>
                              <w:divsChild>
                                <w:div w:id="40832951">
                                  <w:marLeft w:val="0"/>
                                  <w:marRight w:val="0"/>
                                  <w:marTop w:val="0"/>
                                  <w:marBottom w:val="0"/>
                                  <w:divBdr>
                                    <w:top w:val="none" w:sz="0" w:space="0" w:color="auto"/>
                                    <w:left w:val="none" w:sz="0" w:space="0" w:color="auto"/>
                                    <w:bottom w:val="none" w:sz="0" w:space="0" w:color="auto"/>
                                    <w:right w:val="none" w:sz="0" w:space="0" w:color="auto"/>
                                  </w:divBdr>
                                  <w:divsChild>
                                    <w:div w:id="665591009">
                                      <w:marLeft w:val="0"/>
                                      <w:marRight w:val="0"/>
                                      <w:marTop w:val="0"/>
                                      <w:marBottom w:val="0"/>
                                      <w:divBdr>
                                        <w:top w:val="none" w:sz="0" w:space="0" w:color="auto"/>
                                        <w:left w:val="none" w:sz="0" w:space="0" w:color="auto"/>
                                        <w:bottom w:val="none" w:sz="0" w:space="0" w:color="auto"/>
                                        <w:right w:val="none" w:sz="0" w:space="0" w:color="auto"/>
                                      </w:divBdr>
                                      <w:divsChild>
                                        <w:div w:id="90665222">
                                          <w:marLeft w:val="1200"/>
                                          <w:marRight w:val="1200"/>
                                          <w:marTop w:val="0"/>
                                          <w:marBottom w:val="0"/>
                                          <w:divBdr>
                                            <w:top w:val="none" w:sz="0" w:space="0" w:color="auto"/>
                                            <w:left w:val="none" w:sz="0" w:space="0" w:color="auto"/>
                                            <w:bottom w:val="none" w:sz="0" w:space="0" w:color="auto"/>
                                            <w:right w:val="none" w:sz="0" w:space="0" w:color="auto"/>
                                          </w:divBdr>
                                          <w:divsChild>
                                            <w:div w:id="756823864">
                                              <w:marLeft w:val="0"/>
                                              <w:marRight w:val="0"/>
                                              <w:marTop w:val="0"/>
                                              <w:marBottom w:val="0"/>
                                              <w:divBdr>
                                                <w:top w:val="none" w:sz="0" w:space="0" w:color="auto"/>
                                                <w:left w:val="none" w:sz="0" w:space="0" w:color="auto"/>
                                                <w:bottom w:val="none" w:sz="0" w:space="0" w:color="auto"/>
                                                <w:right w:val="none" w:sz="0" w:space="0" w:color="auto"/>
                                              </w:divBdr>
                                              <w:divsChild>
                                                <w:div w:id="821000955">
                                                  <w:marLeft w:val="0"/>
                                                  <w:marRight w:val="0"/>
                                                  <w:marTop w:val="0"/>
                                                  <w:marBottom w:val="0"/>
                                                  <w:divBdr>
                                                    <w:top w:val="none" w:sz="0" w:space="0" w:color="auto"/>
                                                    <w:left w:val="none" w:sz="0" w:space="0" w:color="auto"/>
                                                    <w:bottom w:val="none" w:sz="0" w:space="0" w:color="auto"/>
                                                    <w:right w:val="none" w:sz="0" w:space="0" w:color="auto"/>
                                                  </w:divBdr>
                                                  <w:divsChild>
                                                    <w:div w:id="263148561">
                                                      <w:marLeft w:val="0"/>
                                                      <w:marRight w:val="0"/>
                                                      <w:marTop w:val="0"/>
                                                      <w:marBottom w:val="0"/>
                                                      <w:divBdr>
                                                        <w:top w:val="none" w:sz="0" w:space="0" w:color="auto"/>
                                                        <w:left w:val="none" w:sz="0" w:space="0" w:color="auto"/>
                                                        <w:bottom w:val="none" w:sz="0" w:space="0" w:color="auto"/>
                                                        <w:right w:val="none" w:sz="0" w:space="0" w:color="auto"/>
                                                      </w:divBdr>
                                                      <w:divsChild>
                                                        <w:div w:id="748962361">
                                                          <w:marLeft w:val="0"/>
                                                          <w:marRight w:val="0"/>
                                                          <w:marTop w:val="0"/>
                                                          <w:marBottom w:val="0"/>
                                                          <w:divBdr>
                                                            <w:top w:val="none" w:sz="0" w:space="0" w:color="auto"/>
                                                            <w:left w:val="none" w:sz="0" w:space="0" w:color="auto"/>
                                                            <w:bottom w:val="none" w:sz="0" w:space="0" w:color="auto"/>
                                                            <w:right w:val="none" w:sz="0" w:space="0" w:color="auto"/>
                                                          </w:divBdr>
                                                          <w:divsChild>
                                                            <w:div w:id="736588405">
                                                              <w:marLeft w:val="0"/>
                                                              <w:marRight w:val="0"/>
                                                              <w:marTop w:val="0"/>
                                                              <w:marBottom w:val="0"/>
                                                              <w:divBdr>
                                                                <w:top w:val="none" w:sz="0" w:space="0" w:color="auto"/>
                                                                <w:left w:val="none" w:sz="0" w:space="0" w:color="auto"/>
                                                                <w:bottom w:val="none" w:sz="0" w:space="0" w:color="auto"/>
                                                                <w:right w:val="none" w:sz="0" w:space="0" w:color="auto"/>
                                                              </w:divBdr>
                                                              <w:divsChild>
                                                                <w:div w:id="289560066">
                                                                  <w:marLeft w:val="0"/>
                                                                  <w:marRight w:val="0"/>
                                                                  <w:marTop w:val="0"/>
                                                                  <w:marBottom w:val="0"/>
                                                                  <w:divBdr>
                                                                    <w:top w:val="none" w:sz="0" w:space="0" w:color="auto"/>
                                                                    <w:left w:val="none" w:sz="0" w:space="0" w:color="auto"/>
                                                                    <w:bottom w:val="none" w:sz="0" w:space="0" w:color="auto"/>
                                                                    <w:right w:val="none" w:sz="0" w:space="0" w:color="auto"/>
                                                                  </w:divBdr>
                                                                  <w:divsChild>
                                                                    <w:div w:id="180975908">
                                                                      <w:marLeft w:val="0"/>
                                                                      <w:marRight w:val="0"/>
                                                                      <w:marTop w:val="0"/>
                                                                      <w:marBottom w:val="0"/>
                                                                      <w:divBdr>
                                                                        <w:top w:val="none" w:sz="0" w:space="0" w:color="auto"/>
                                                                        <w:left w:val="none" w:sz="0" w:space="0" w:color="auto"/>
                                                                        <w:bottom w:val="none" w:sz="0" w:space="0" w:color="auto"/>
                                                                        <w:right w:val="none" w:sz="0" w:space="0" w:color="auto"/>
                                                                      </w:divBdr>
                                                                      <w:divsChild>
                                                                        <w:div w:id="2128812491">
                                                                          <w:marLeft w:val="0"/>
                                                                          <w:marRight w:val="0"/>
                                                                          <w:marTop w:val="0"/>
                                                                          <w:marBottom w:val="0"/>
                                                                          <w:divBdr>
                                                                            <w:top w:val="none" w:sz="0" w:space="0" w:color="auto"/>
                                                                            <w:left w:val="none" w:sz="0" w:space="0" w:color="auto"/>
                                                                            <w:bottom w:val="none" w:sz="0" w:space="0" w:color="auto"/>
                                                                            <w:right w:val="none" w:sz="0" w:space="0" w:color="auto"/>
                                                                          </w:divBdr>
                                                                        </w:div>
                                                                      </w:divsChild>
                                                                    </w:div>
                                                                    <w:div w:id="1345471873">
                                                                      <w:marLeft w:val="0"/>
                                                                      <w:marRight w:val="0"/>
                                                                      <w:marTop w:val="0"/>
                                                                      <w:marBottom w:val="0"/>
                                                                      <w:divBdr>
                                                                        <w:top w:val="none" w:sz="0" w:space="0" w:color="auto"/>
                                                                        <w:left w:val="none" w:sz="0" w:space="0" w:color="auto"/>
                                                                        <w:bottom w:val="none" w:sz="0" w:space="0" w:color="auto"/>
                                                                        <w:right w:val="none" w:sz="0" w:space="0" w:color="auto"/>
                                                                      </w:divBdr>
                                                                      <w:divsChild>
                                                                        <w:div w:id="343095989">
                                                                          <w:marLeft w:val="0"/>
                                                                          <w:marRight w:val="0"/>
                                                                          <w:marTop w:val="0"/>
                                                                          <w:marBottom w:val="0"/>
                                                                          <w:divBdr>
                                                                            <w:top w:val="none" w:sz="0" w:space="0" w:color="auto"/>
                                                                            <w:left w:val="none" w:sz="0" w:space="0" w:color="auto"/>
                                                                            <w:bottom w:val="none" w:sz="0" w:space="0" w:color="auto"/>
                                                                            <w:right w:val="none" w:sz="0" w:space="0" w:color="auto"/>
                                                                          </w:divBdr>
                                                                        </w:div>
                                                                      </w:divsChild>
                                                                    </w:div>
                                                                    <w:div w:id="1830175139">
                                                                      <w:marLeft w:val="0"/>
                                                                      <w:marRight w:val="0"/>
                                                                      <w:marTop w:val="0"/>
                                                                      <w:marBottom w:val="0"/>
                                                                      <w:divBdr>
                                                                        <w:top w:val="none" w:sz="0" w:space="0" w:color="auto"/>
                                                                        <w:left w:val="none" w:sz="0" w:space="0" w:color="auto"/>
                                                                        <w:bottom w:val="none" w:sz="0" w:space="0" w:color="auto"/>
                                                                        <w:right w:val="none" w:sz="0" w:space="0" w:color="auto"/>
                                                                      </w:divBdr>
                                                                      <w:divsChild>
                                                                        <w:div w:id="2134714016">
                                                                          <w:marLeft w:val="0"/>
                                                                          <w:marRight w:val="0"/>
                                                                          <w:marTop w:val="0"/>
                                                                          <w:marBottom w:val="0"/>
                                                                          <w:divBdr>
                                                                            <w:top w:val="none" w:sz="0" w:space="0" w:color="auto"/>
                                                                            <w:left w:val="none" w:sz="0" w:space="0" w:color="auto"/>
                                                                            <w:bottom w:val="none" w:sz="0" w:space="0" w:color="auto"/>
                                                                            <w:right w:val="none" w:sz="0" w:space="0" w:color="auto"/>
                                                                          </w:divBdr>
                                                                        </w:div>
                                                                      </w:divsChild>
                                                                    </w:div>
                                                                    <w:div w:id="1853689960">
                                                                      <w:marLeft w:val="0"/>
                                                                      <w:marRight w:val="0"/>
                                                                      <w:marTop w:val="0"/>
                                                                      <w:marBottom w:val="0"/>
                                                                      <w:divBdr>
                                                                        <w:top w:val="none" w:sz="0" w:space="0" w:color="auto"/>
                                                                        <w:left w:val="none" w:sz="0" w:space="0" w:color="auto"/>
                                                                        <w:bottom w:val="none" w:sz="0" w:space="0" w:color="auto"/>
                                                                        <w:right w:val="none" w:sz="0" w:space="0" w:color="auto"/>
                                                                      </w:divBdr>
                                                                      <w:divsChild>
                                                                        <w:div w:id="272981512">
                                                                          <w:marLeft w:val="0"/>
                                                                          <w:marRight w:val="0"/>
                                                                          <w:marTop w:val="0"/>
                                                                          <w:marBottom w:val="0"/>
                                                                          <w:divBdr>
                                                                            <w:top w:val="none" w:sz="0" w:space="0" w:color="auto"/>
                                                                            <w:left w:val="none" w:sz="0" w:space="0" w:color="auto"/>
                                                                            <w:bottom w:val="none" w:sz="0" w:space="0" w:color="auto"/>
                                                                            <w:right w:val="none" w:sz="0" w:space="0" w:color="auto"/>
                                                                          </w:divBdr>
                                                                        </w:div>
                                                                      </w:divsChild>
                                                                    </w:div>
                                                                    <w:div w:id="2132094168">
                                                                      <w:marLeft w:val="0"/>
                                                                      <w:marRight w:val="0"/>
                                                                      <w:marTop w:val="0"/>
                                                                      <w:marBottom w:val="0"/>
                                                                      <w:divBdr>
                                                                        <w:top w:val="none" w:sz="0" w:space="0" w:color="auto"/>
                                                                        <w:left w:val="none" w:sz="0" w:space="0" w:color="auto"/>
                                                                        <w:bottom w:val="none" w:sz="0" w:space="0" w:color="auto"/>
                                                                        <w:right w:val="none" w:sz="0" w:space="0" w:color="auto"/>
                                                                      </w:divBdr>
                                                                      <w:divsChild>
                                                                        <w:div w:id="1487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490436">
      <w:bodyDiv w:val="1"/>
      <w:marLeft w:val="0"/>
      <w:marRight w:val="0"/>
      <w:marTop w:val="0"/>
      <w:marBottom w:val="0"/>
      <w:divBdr>
        <w:top w:val="none" w:sz="0" w:space="0" w:color="auto"/>
        <w:left w:val="none" w:sz="0" w:space="0" w:color="auto"/>
        <w:bottom w:val="none" w:sz="0" w:space="0" w:color="auto"/>
        <w:right w:val="none" w:sz="0" w:space="0" w:color="auto"/>
      </w:divBdr>
    </w:div>
    <w:div w:id="1442650409">
      <w:bodyDiv w:val="1"/>
      <w:marLeft w:val="0"/>
      <w:marRight w:val="0"/>
      <w:marTop w:val="0"/>
      <w:marBottom w:val="0"/>
      <w:divBdr>
        <w:top w:val="none" w:sz="0" w:space="0" w:color="auto"/>
        <w:left w:val="none" w:sz="0" w:space="0" w:color="auto"/>
        <w:bottom w:val="none" w:sz="0" w:space="0" w:color="auto"/>
        <w:right w:val="none" w:sz="0" w:space="0" w:color="auto"/>
      </w:divBdr>
      <w:divsChild>
        <w:div w:id="1779522038">
          <w:marLeft w:val="0"/>
          <w:marRight w:val="0"/>
          <w:marTop w:val="0"/>
          <w:marBottom w:val="0"/>
          <w:divBdr>
            <w:top w:val="none" w:sz="0" w:space="0" w:color="auto"/>
            <w:left w:val="none" w:sz="0" w:space="0" w:color="auto"/>
            <w:bottom w:val="none" w:sz="0" w:space="0" w:color="auto"/>
            <w:right w:val="none" w:sz="0" w:space="0" w:color="auto"/>
          </w:divBdr>
          <w:divsChild>
            <w:div w:id="1919048446">
              <w:marLeft w:val="0"/>
              <w:marRight w:val="0"/>
              <w:marTop w:val="0"/>
              <w:marBottom w:val="0"/>
              <w:divBdr>
                <w:top w:val="none" w:sz="0" w:space="0" w:color="auto"/>
                <w:left w:val="none" w:sz="0" w:space="0" w:color="auto"/>
                <w:bottom w:val="none" w:sz="0" w:space="0" w:color="auto"/>
                <w:right w:val="none" w:sz="0" w:space="0" w:color="auto"/>
              </w:divBdr>
              <w:divsChild>
                <w:div w:id="1521703992">
                  <w:marLeft w:val="0"/>
                  <w:marRight w:val="0"/>
                  <w:marTop w:val="0"/>
                  <w:marBottom w:val="0"/>
                  <w:divBdr>
                    <w:top w:val="none" w:sz="0" w:space="0" w:color="auto"/>
                    <w:left w:val="none" w:sz="0" w:space="0" w:color="auto"/>
                    <w:bottom w:val="none" w:sz="0" w:space="0" w:color="auto"/>
                    <w:right w:val="none" w:sz="0" w:space="0" w:color="auto"/>
                  </w:divBdr>
                  <w:divsChild>
                    <w:div w:id="1904948347">
                      <w:marLeft w:val="0"/>
                      <w:marRight w:val="0"/>
                      <w:marTop w:val="0"/>
                      <w:marBottom w:val="375"/>
                      <w:divBdr>
                        <w:top w:val="none" w:sz="0" w:space="0" w:color="auto"/>
                        <w:left w:val="none" w:sz="0" w:space="0" w:color="auto"/>
                        <w:bottom w:val="none" w:sz="0" w:space="0" w:color="auto"/>
                        <w:right w:val="none" w:sz="0" w:space="0" w:color="auto"/>
                      </w:divBdr>
                      <w:divsChild>
                        <w:div w:id="15997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497050">
      <w:bodyDiv w:val="1"/>
      <w:marLeft w:val="0"/>
      <w:marRight w:val="0"/>
      <w:marTop w:val="0"/>
      <w:marBottom w:val="0"/>
      <w:divBdr>
        <w:top w:val="none" w:sz="0" w:space="0" w:color="auto"/>
        <w:left w:val="none" w:sz="0" w:space="0" w:color="auto"/>
        <w:bottom w:val="none" w:sz="0" w:space="0" w:color="auto"/>
        <w:right w:val="none" w:sz="0" w:space="0" w:color="auto"/>
      </w:divBdr>
      <w:divsChild>
        <w:div w:id="340206630">
          <w:marLeft w:val="0"/>
          <w:marRight w:val="0"/>
          <w:marTop w:val="0"/>
          <w:marBottom w:val="0"/>
          <w:divBdr>
            <w:top w:val="none" w:sz="0" w:space="0" w:color="auto"/>
            <w:left w:val="none" w:sz="0" w:space="0" w:color="auto"/>
            <w:bottom w:val="none" w:sz="0" w:space="0" w:color="auto"/>
            <w:right w:val="none" w:sz="0" w:space="0" w:color="auto"/>
          </w:divBdr>
          <w:divsChild>
            <w:div w:id="1699235635">
              <w:marLeft w:val="0"/>
              <w:marRight w:val="0"/>
              <w:marTop w:val="0"/>
              <w:marBottom w:val="0"/>
              <w:divBdr>
                <w:top w:val="none" w:sz="0" w:space="0" w:color="auto"/>
                <w:left w:val="none" w:sz="0" w:space="0" w:color="auto"/>
                <w:bottom w:val="none" w:sz="0" w:space="0" w:color="auto"/>
                <w:right w:val="none" w:sz="0" w:space="0" w:color="auto"/>
              </w:divBdr>
              <w:divsChild>
                <w:div w:id="881481116">
                  <w:marLeft w:val="0"/>
                  <w:marRight w:val="0"/>
                  <w:marTop w:val="0"/>
                  <w:marBottom w:val="0"/>
                  <w:divBdr>
                    <w:top w:val="none" w:sz="0" w:space="0" w:color="auto"/>
                    <w:left w:val="none" w:sz="0" w:space="0" w:color="auto"/>
                    <w:bottom w:val="none" w:sz="0" w:space="0" w:color="auto"/>
                    <w:right w:val="none" w:sz="0" w:space="0" w:color="auto"/>
                  </w:divBdr>
                  <w:divsChild>
                    <w:div w:id="2070685246">
                      <w:marLeft w:val="0"/>
                      <w:marRight w:val="0"/>
                      <w:marTop w:val="0"/>
                      <w:marBottom w:val="300"/>
                      <w:divBdr>
                        <w:top w:val="none" w:sz="0" w:space="0" w:color="auto"/>
                        <w:left w:val="none" w:sz="0" w:space="0" w:color="auto"/>
                        <w:bottom w:val="none" w:sz="0" w:space="0" w:color="auto"/>
                        <w:right w:val="none" w:sz="0" w:space="0" w:color="auto"/>
                      </w:divBdr>
                      <w:divsChild>
                        <w:div w:id="19892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2349">
      <w:bodyDiv w:val="1"/>
      <w:marLeft w:val="0"/>
      <w:marRight w:val="0"/>
      <w:marTop w:val="0"/>
      <w:marBottom w:val="0"/>
      <w:divBdr>
        <w:top w:val="none" w:sz="0" w:space="0" w:color="auto"/>
        <w:left w:val="none" w:sz="0" w:space="0" w:color="auto"/>
        <w:bottom w:val="none" w:sz="0" w:space="0" w:color="auto"/>
        <w:right w:val="none" w:sz="0" w:space="0" w:color="auto"/>
      </w:divBdr>
      <w:divsChild>
        <w:div w:id="1243031501">
          <w:marLeft w:val="0"/>
          <w:marRight w:val="0"/>
          <w:marTop w:val="0"/>
          <w:marBottom w:val="0"/>
          <w:divBdr>
            <w:top w:val="none" w:sz="0" w:space="0" w:color="auto"/>
            <w:left w:val="none" w:sz="0" w:space="0" w:color="auto"/>
            <w:bottom w:val="none" w:sz="0" w:space="0" w:color="auto"/>
            <w:right w:val="none" w:sz="0" w:space="0" w:color="auto"/>
          </w:divBdr>
        </w:div>
        <w:div w:id="264195798">
          <w:marLeft w:val="0"/>
          <w:marRight w:val="0"/>
          <w:marTop w:val="240"/>
          <w:marBottom w:val="0"/>
          <w:divBdr>
            <w:top w:val="none" w:sz="0" w:space="0" w:color="auto"/>
            <w:left w:val="none" w:sz="0" w:space="0" w:color="auto"/>
            <w:bottom w:val="none" w:sz="0" w:space="0" w:color="auto"/>
            <w:right w:val="none" w:sz="0" w:space="0" w:color="auto"/>
          </w:divBdr>
          <w:divsChild>
            <w:div w:id="1713923706">
              <w:marLeft w:val="0"/>
              <w:marRight w:val="0"/>
              <w:marTop w:val="0"/>
              <w:marBottom w:val="0"/>
              <w:divBdr>
                <w:top w:val="none" w:sz="0" w:space="0" w:color="auto"/>
                <w:left w:val="none" w:sz="0" w:space="0" w:color="auto"/>
                <w:bottom w:val="none" w:sz="0" w:space="0" w:color="auto"/>
                <w:right w:val="none" w:sz="0" w:space="0" w:color="auto"/>
              </w:divBdr>
            </w:div>
          </w:divsChild>
        </w:div>
        <w:div w:id="1428770289">
          <w:marLeft w:val="0"/>
          <w:marRight w:val="0"/>
          <w:marTop w:val="240"/>
          <w:marBottom w:val="0"/>
          <w:divBdr>
            <w:top w:val="none" w:sz="0" w:space="0" w:color="auto"/>
            <w:left w:val="none" w:sz="0" w:space="0" w:color="auto"/>
            <w:bottom w:val="none" w:sz="0" w:space="0" w:color="auto"/>
            <w:right w:val="none" w:sz="0" w:space="0" w:color="auto"/>
          </w:divBdr>
          <w:divsChild>
            <w:div w:id="2046711045">
              <w:marLeft w:val="0"/>
              <w:marRight w:val="0"/>
              <w:marTop w:val="0"/>
              <w:marBottom w:val="0"/>
              <w:divBdr>
                <w:top w:val="none" w:sz="0" w:space="0" w:color="auto"/>
                <w:left w:val="none" w:sz="0" w:space="0" w:color="auto"/>
                <w:bottom w:val="none" w:sz="0" w:space="0" w:color="auto"/>
                <w:right w:val="none" w:sz="0" w:space="0" w:color="auto"/>
              </w:divBdr>
            </w:div>
          </w:divsChild>
        </w:div>
        <w:div w:id="1179082423">
          <w:marLeft w:val="0"/>
          <w:marRight w:val="0"/>
          <w:marTop w:val="240"/>
          <w:marBottom w:val="0"/>
          <w:divBdr>
            <w:top w:val="none" w:sz="0" w:space="0" w:color="auto"/>
            <w:left w:val="none" w:sz="0" w:space="0" w:color="auto"/>
            <w:bottom w:val="none" w:sz="0" w:space="0" w:color="auto"/>
            <w:right w:val="none" w:sz="0" w:space="0" w:color="auto"/>
          </w:divBdr>
          <w:divsChild>
            <w:div w:id="1005127982">
              <w:marLeft w:val="0"/>
              <w:marRight w:val="0"/>
              <w:marTop w:val="0"/>
              <w:marBottom w:val="0"/>
              <w:divBdr>
                <w:top w:val="none" w:sz="0" w:space="0" w:color="auto"/>
                <w:left w:val="none" w:sz="0" w:space="0" w:color="auto"/>
                <w:bottom w:val="none" w:sz="0" w:space="0" w:color="auto"/>
                <w:right w:val="none" w:sz="0" w:space="0" w:color="auto"/>
              </w:divBdr>
            </w:div>
          </w:divsChild>
        </w:div>
        <w:div w:id="1344012551">
          <w:marLeft w:val="0"/>
          <w:marRight w:val="0"/>
          <w:marTop w:val="240"/>
          <w:marBottom w:val="0"/>
          <w:divBdr>
            <w:top w:val="none" w:sz="0" w:space="0" w:color="auto"/>
            <w:left w:val="none" w:sz="0" w:space="0" w:color="auto"/>
            <w:bottom w:val="none" w:sz="0" w:space="0" w:color="auto"/>
            <w:right w:val="none" w:sz="0" w:space="0" w:color="auto"/>
          </w:divBdr>
          <w:divsChild>
            <w:div w:id="1203327040">
              <w:marLeft w:val="0"/>
              <w:marRight w:val="0"/>
              <w:marTop w:val="0"/>
              <w:marBottom w:val="0"/>
              <w:divBdr>
                <w:top w:val="none" w:sz="0" w:space="0" w:color="auto"/>
                <w:left w:val="none" w:sz="0" w:space="0" w:color="auto"/>
                <w:bottom w:val="none" w:sz="0" w:space="0" w:color="auto"/>
                <w:right w:val="none" w:sz="0" w:space="0" w:color="auto"/>
              </w:divBdr>
            </w:div>
          </w:divsChild>
        </w:div>
        <w:div w:id="2017726514">
          <w:marLeft w:val="0"/>
          <w:marRight w:val="0"/>
          <w:marTop w:val="240"/>
          <w:marBottom w:val="0"/>
          <w:divBdr>
            <w:top w:val="none" w:sz="0" w:space="0" w:color="auto"/>
            <w:left w:val="none" w:sz="0" w:space="0" w:color="auto"/>
            <w:bottom w:val="none" w:sz="0" w:space="0" w:color="auto"/>
            <w:right w:val="none" w:sz="0" w:space="0" w:color="auto"/>
          </w:divBdr>
          <w:divsChild>
            <w:div w:id="1650859243">
              <w:marLeft w:val="0"/>
              <w:marRight w:val="0"/>
              <w:marTop w:val="0"/>
              <w:marBottom w:val="0"/>
              <w:divBdr>
                <w:top w:val="none" w:sz="0" w:space="0" w:color="auto"/>
                <w:left w:val="none" w:sz="0" w:space="0" w:color="auto"/>
                <w:bottom w:val="none" w:sz="0" w:space="0" w:color="auto"/>
                <w:right w:val="none" w:sz="0" w:space="0" w:color="auto"/>
              </w:divBdr>
            </w:div>
          </w:divsChild>
        </w:div>
        <w:div w:id="1843005802">
          <w:marLeft w:val="0"/>
          <w:marRight w:val="0"/>
          <w:marTop w:val="240"/>
          <w:marBottom w:val="0"/>
          <w:divBdr>
            <w:top w:val="none" w:sz="0" w:space="0" w:color="auto"/>
            <w:left w:val="none" w:sz="0" w:space="0" w:color="auto"/>
            <w:bottom w:val="none" w:sz="0" w:space="0" w:color="auto"/>
            <w:right w:val="none" w:sz="0" w:space="0" w:color="auto"/>
          </w:divBdr>
          <w:divsChild>
            <w:div w:id="1544444887">
              <w:marLeft w:val="0"/>
              <w:marRight w:val="0"/>
              <w:marTop w:val="0"/>
              <w:marBottom w:val="0"/>
              <w:divBdr>
                <w:top w:val="none" w:sz="0" w:space="0" w:color="auto"/>
                <w:left w:val="none" w:sz="0" w:space="0" w:color="auto"/>
                <w:bottom w:val="none" w:sz="0" w:space="0" w:color="auto"/>
                <w:right w:val="none" w:sz="0" w:space="0" w:color="auto"/>
              </w:divBdr>
            </w:div>
          </w:divsChild>
        </w:div>
        <w:div w:id="1994679136">
          <w:marLeft w:val="0"/>
          <w:marRight w:val="0"/>
          <w:marTop w:val="240"/>
          <w:marBottom w:val="0"/>
          <w:divBdr>
            <w:top w:val="none" w:sz="0" w:space="0" w:color="auto"/>
            <w:left w:val="none" w:sz="0" w:space="0" w:color="auto"/>
            <w:bottom w:val="none" w:sz="0" w:space="0" w:color="auto"/>
            <w:right w:val="none" w:sz="0" w:space="0" w:color="auto"/>
          </w:divBdr>
          <w:divsChild>
            <w:div w:id="689181457">
              <w:marLeft w:val="0"/>
              <w:marRight w:val="0"/>
              <w:marTop w:val="0"/>
              <w:marBottom w:val="0"/>
              <w:divBdr>
                <w:top w:val="none" w:sz="0" w:space="0" w:color="auto"/>
                <w:left w:val="none" w:sz="0" w:space="0" w:color="auto"/>
                <w:bottom w:val="none" w:sz="0" w:space="0" w:color="auto"/>
                <w:right w:val="none" w:sz="0" w:space="0" w:color="auto"/>
              </w:divBdr>
            </w:div>
          </w:divsChild>
        </w:div>
        <w:div w:id="13120648">
          <w:marLeft w:val="0"/>
          <w:marRight w:val="0"/>
          <w:marTop w:val="240"/>
          <w:marBottom w:val="0"/>
          <w:divBdr>
            <w:top w:val="none" w:sz="0" w:space="0" w:color="auto"/>
            <w:left w:val="none" w:sz="0" w:space="0" w:color="auto"/>
            <w:bottom w:val="none" w:sz="0" w:space="0" w:color="auto"/>
            <w:right w:val="none" w:sz="0" w:space="0" w:color="auto"/>
          </w:divBdr>
          <w:divsChild>
            <w:div w:id="2016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7924">
      <w:bodyDiv w:val="1"/>
      <w:marLeft w:val="0"/>
      <w:marRight w:val="0"/>
      <w:marTop w:val="0"/>
      <w:marBottom w:val="0"/>
      <w:divBdr>
        <w:top w:val="none" w:sz="0" w:space="0" w:color="auto"/>
        <w:left w:val="none" w:sz="0" w:space="0" w:color="auto"/>
        <w:bottom w:val="none" w:sz="0" w:space="0" w:color="auto"/>
        <w:right w:val="none" w:sz="0" w:space="0" w:color="auto"/>
      </w:divBdr>
      <w:divsChild>
        <w:div w:id="1889682826">
          <w:marLeft w:val="0"/>
          <w:marRight w:val="0"/>
          <w:marTop w:val="0"/>
          <w:marBottom w:val="0"/>
          <w:divBdr>
            <w:top w:val="none" w:sz="0" w:space="0" w:color="auto"/>
            <w:left w:val="single" w:sz="6" w:space="0" w:color="BBBBBB"/>
            <w:bottom w:val="single" w:sz="6" w:space="0" w:color="BBBBBB"/>
            <w:right w:val="single" w:sz="6" w:space="0" w:color="BBBBBB"/>
          </w:divBdr>
          <w:divsChild>
            <w:div w:id="1374426340">
              <w:marLeft w:val="0"/>
              <w:marRight w:val="0"/>
              <w:marTop w:val="0"/>
              <w:marBottom w:val="0"/>
              <w:divBdr>
                <w:top w:val="none" w:sz="0" w:space="0" w:color="auto"/>
                <w:left w:val="none" w:sz="0" w:space="0" w:color="auto"/>
                <w:bottom w:val="none" w:sz="0" w:space="0" w:color="auto"/>
                <w:right w:val="none" w:sz="0" w:space="0" w:color="auto"/>
              </w:divBdr>
              <w:divsChild>
                <w:div w:id="1818761013">
                  <w:marLeft w:val="0"/>
                  <w:marRight w:val="0"/>
                  <w:marTop w:val="75"/>
                  <w:marBottom w:val="0"/>
                  <w:divBdr>
                    <w:top w:val="none" w:sz="0" w:space="0" w:color="auto"/>
                    <w:left w:val="none" w:sz="0" w:space="0" w:color="auto"/>
                    <w:bottom w:val="none" w:sz="0" w:space="0" w:color="auto"/>
                    <w:right w:val="none" w:sz="0" w:space="0" w:color="auto"/>
                  </w:divBdr>
                  <w:divsChild>
                    <w:div w:id="755244377">
                      <w:marLeft w:val="0"/>
                      <w:marRight w:val="0"/>
                      <w:marTop w:val="0"/>
                      <w:marBottom w:val="0"/>
                      <w:divBdr>
                        <w:top w:val="none" w:sz="0" w:space="0" w:color="auto"/>
                        <w:left w:val="none" w:sz="0" w:space="0" w:color="auto"/>
                        <w:bottom w:val="none" w:sz="0" w:space="0" w:color="auto"/>
                        <w:right w:val="none" w:sz="0" w:space="0" w:color="auto"/>
                      </w:divBdr>
                      <w:divsChild>
                        <w:div w:id="672537369">
                          <w:marLeft w:val="0"/>
                          <w:marRight w:val="0"/>
                          <w:marTop w:val="0"/>
                          <w:marBottom w:val="0"/>
                          <w:divBdr>
                            <w:top w:val="none" w:sz="0" w:space="0" w:color="auto"/>
                            <w:left w:val="none" w:sz="0" w:space="0" w:color="auto"/>
                            <w:bottom w:val="none" w:sz="0" w:space="0" w:color="auto"/>
                            <w:right w:val="none" w:sz="0" w:space="0" w:color="auto"/>
                          </w:divBdr>
                          <w:divsChild>
                            <w:div w:id="128018994">
                              <w:marLeft w:val="0"/>
                              <w:marRight w:val="0"/>
                              <w:marTop w:val="0"/>
                              <w:marBottom w:val="0"/>
                              <w:divBdr>
                                <w:top w:val="none" w:sz="0" w:space="0" w:color="auto"/>
                                <w:left w:val="none" w:sz="0" w:space="0" w:color="auto"/>
                                <w:bottom w:val="none" w:sz="0" w:space="0" w:color="auto"/>
                                <w:right w:val="none" w:sz="0" w:space="0" w:color="auto"/>
                              </w:divBdr>
                              <w:divsChild>
                                <w:div w:id="527378118">
                                  <w:marLeft w:val="0"/>
                                  <w:marRight w:val="0"/>
                                  <w:marTop w:val="0"/>
                                  <w:marBottom w:val="0"/>
                                  <w:divBdr>
                                    <w:top w:val="none" w:sz="0" w:space="0" w:color="auto"/>
                                    <w:left w:val="none" w:sz="0" w:space="0" w:color="auto"/>
                                    <w:bottom w:val="none" w:sz="0" w:space="0" w:color="auto"/>
                                    <w:right w:val="none" w:sz="0" w:space="0" w:color="auto"/>
                                  </w:divBdr>
                                  <w:divsChild>
                                    <w:div w:id="732657963">
                                      <w:marLeft w:val="0"/>
                                      <w:marRight w:val="0"/>
                                      <w:marTop w:val="0"/>
                                      <w:marBottom w:val="0"/>
                                      <w:divBdr>
                                        <w:top w:val="none" w:sz="0" w:space="0" w:color="auto"/>
                                        <w:left w:val="none" w:sz="0" w:space="0" w:color="auto"/>
                                        <w:bottom w:val="none" w:sz="0" w:space="0" w:color="auto"/>
                                        <w:right w:val="none" w:sz="0" w:space="0" w:color="auto"/>
                                      </w:divBdr>
                                      <w:divsChild>
                                        <w:div w:id="531114598">
                                          <w:marLeft w:val="1200"/>
                                          <w:marRight w:val="1200"/>
                                          <w:marTop w:val="0"/>
                                          <w:marBottom w:val="0"/>
                                          <w:divBdr>
                                            <w:top w:val="none" w:sz="0" w:space="0" w:color="auto"/>
                                            <w:left w:val="none" w:sz="0" w:space="0" w:color="auto"/>
                                            <w:bottom w:val="none" w:sz="0" w:space="0" w:color="auto"/>
                                            <w:right w:val="none" w:sz="0" w:space="0" w:color="auto"/>
                                          </w:divBdr>
                                          <w:divsChild>
                                            <w:div w:id="209002746">
                                              <w:marLeft w:val="0"/>
                                              <w:marRight w:val="0"/>
                                              <w:marTop w:val="0"/>
                                              <w:marBottom w:val="0"/>
                                              <w:divBdr>
                                                <w:top w:val="none" w:sz="0" w:space="0" w:color="auto"/>
                                                <w:left w:val="none" w:sz="0" w:space="0" w:color="auto"/>
                                                <w:bottom w:val="none" w:sz="0" w:space="0" w:color="auto"/>
                                                <w:right w:val="none" w:sz="0" w:space="0" w:color="auto"/>
                                              </w:divBdr>
                                              <w:divsChild>
                                                <w:div w:id="904297157">
                                                  <w:marLeft w:val="0"/>
                                                  <w:marRight w:val="0"/>
                                                  <w:marTop w:val="0"/>
                                                  <w:marBottom w:val="0"/>
                                                  <w:divBdr>
                                                    <w:top w:val="none" w:sz="0" w:space="0" w:color="auto"/>
                                                    <w:left w:val="none" w:sz="0" w:space="0" w:color="auto"/>
                                                    <w:bottom w:val="none" w:sz="0" w:space="0" w:color="auto"/>
                                                    <w:right w:val="none" w:sz="0" w:space="0" w:color="auto"/>
                                                  </w:divBdr>
                                                  <w:divsChild>
                                                    <w:div w:id="1213425406">
                                                      <w:marLeft w:val="0"/>
                                                      <w:marRight w:val="0"/>
                                                      <w:marTop w:val="0"/>
                                                      <w:marBottom w:val="0"/>
                                                      <w:divBdr>
                                                        <w:top w:val="none" w:sz="0" w:space="0" w:color="auto"/>
                                                        <w:left w:val="none" w:sz="0" w:space="0" w:color="auto"/>
                                                        <w:bottom w:val="none" w:sz="0" w:space="0" w:color="auto"/>
                                                        <w:right w:val="none" w:sz="0" w:space="0" w:color="auto"/>
                                                      </w:divBdr>
                                                      <w:divsChild>
                                                        <w:div w:id="590627590">
                                                          <w:marLeft w:val="0"/>
                                                          <w:marRight w:val="0"/>
                                                          <w:marTop w:val="0"/>
                                                          <w:marBottom w:val="0"/>
                                                          <w:divBdr>
                                                            <w:top w:val="none" w:sz="0" w:space="0" w:color="auto"/>
                                                            <w:left w:val="none" w:sz="0" w:space="0" w:color="auto"/>
                                                            <w:bottom w:val="none" w:sz="0" w:space="0" w:color="auto"/>
                                                            <w:right w:val="none" w:sz="0" w:space="0" w:color="auto"/>
                                                          </w:divBdr>
                                                          <w:divsChild>
                                                            <w:div w:id="457604479">
                                                              <w:marLeft w:val="0"/>
                                                              <w:marRight w:val="0"/>
                                                              <w:marTop w:val="0"/>
                                                              <w:marBottom w:val="0"/>
                                                              <w:divBdr>
                                                                <w:top w:val="none" w:sz="0" w:space="0" w:color="auto"/>
                                                                <w:left w:val="none" w:sz="0" w:space="0" w:color="auto"/>
                                                                <w:bottom w:val="none" w:sz="0" w:space="0" w:color="auto"/>
                                                                <w:right w:val="none" w:sz="0" w:space="0" w:color="auto"/>
                                                              </w:divBdr>
                                                              <w:divsChild>
                                                                <w:div w:id="1941595350">
                                                                  <w:marLeft w:val="0"/>
                                                                  <w:marRight w:val="0"/>
                                                                  <w:marTop w:val="0"/>
                                                                  <w:marBottom w:val="0"/>
                                                                  <w:divBdr>
                                                                    <w:top w:val="none" w:sz="0" w:space="0" w:color="auto"/>
                                                                    <w:left w:val="none" w:sz="0" w:space="0" w:color="auto"/>
                                                                    <w:bottom w:val="none" w:sz="0" w:space="0" w:color="auto"/>
                                                                    <w:right w:val="none" w:sz="0" w:space="0" w:color="auto"/>
                                                                  </w:divBdr>
                                                                  <w:divsChild>
                                                                    <w:div w:id="438139243">
                                                                      <w:marLeft w:val="0"/>
                                                                      <w:marRight w:val="0"/>
                                                                      <w:marTop w:val="0"/>
                                                                      <w:marBottom w:val="0"/>
                                                                      <w:divBdr>
                                                                        <w:top w:val="none" w:sz="0" w:space="0" w:color="auto"/>
                                                                        <w:left w:val="none" w:sz="0" w:space="0" w:color="auto"/>
                                                                        <w:bottom w:val="none" w:sz="0" w:space="0" w:color="auto"/>
                                                                        <w:right w:val="none" w:sz="0" w:space="0" w:color="auto"/>
                                                                      </w:divBdr>
                                                                      <w:divsChild>
                                                                        <w:div w:id="1611935107">
                                                                          <w:marLeft w:val="0"/>
                                                                          <w:marRight w:val="0"/>
                                                                          <w:marTop w:val="0"/>
                                                                          <w:marBottom w:val="0"/>
                                                                          <w:divBdr>
                                                                            <w:top w:val="none" w:sz="0" w:space="0" w:color="auto"/>
                                                                            <w:left w:val="none" w:sz="0" w:space="0" w:color="auto"/>
                                                                            <w:bottom w:val="none" w:sz="0" w:space="0" w:color="auto"/>
                                                                            <w:right w:val="none" w:sz="0" w:space="0" w:color="auto"/>
                                                                          </w:divBdr>
                                                                        </w:div>
                                                                      </w:divsChild>
                                                                    </w:div>
                                                                    <w:div w:id="576864877">
                                                                      <w:marLeft w:val="0"/>
                                                                      <w:marRight w:val="0"/>
                                                                      <w:marTop w:val="0"/>
                                                                      <w:marBottom w:val="0"/>
                                                                      <w:divBdr>
                                                                        <w:top w:val="none" w:sz="0" w:space="0" w:color="auto"/>
                                                                        <w:left w:val="none" w:sz="0" w:space="0" w:color="auto"/>
                                                                        <w:bottom w:val="none" w:sz="0" w:space="0" w:color="auto"/>
                                                                        <w:right w:val="none" w:sz="0" w:space="0" w:color="auto"/>
                                                                      </w:divBdr>
                                                                      <w:divsChild>
                                                                        <w:div w:id="470245587">
                                                                          <w:marLeft w:val="0"/>
                                                                          <w:marRight w:val="0"/>
                                                                          <w:marTop w:val="0"/>
                                                                          <w:marBottom w:val="0"/>
                                                                          <w:divBdr>
                                                                            <w:top w:val="none" w:sz="0" w:space="0" w:color="auto"/>
                                                                            <w:left w:val="none" w:sz="0" w:space="0" w:color="auto"/>
                                                                            <w:bottom w:val="none" w:sz="0" w:space="0" w:color="auto"/>
                                                                            <w:right w:val="none" w:sz="0" w:space="0" w:color="auto"/>
                                                                          </w:divBdr>
                                                                        </w:div>
                                                                      </w:divsChild>
                                                                    </w:div>
                                                                    <w:div w:id="1098939827">
                                                                      <w:marLeft w:val="0"/>
                                                                      <w:marRight w:val="0"/>
                                                                      <w:marTop w:val="0"/>
                                                                      <w:marBottom w:val="0"/>
                                                                      <w:divBdr>
                                                                        <w:top w:val="none" w:sz="0" w:space="0" w:color="auto"/>
                                                                        <w:left w:val="none" w:sz="0" w:space="0" w:color="auto"/>
                                                                        <w:bottom w:val="none" w:sz="0" w:space="0" w:color="auto"/>
                                                                        <w:right w:val="none" w:sz="0" w:space="0" w:color="auto"/>
                                                                      </w:divBdr>
                                                                      <w:divsChild>
                                                                        <w:div w:id="604770694">
                                                                          <w:marLeft w:val="0"/>
                                                                          <w:marRight w:val="0"/>
                                                                          <w:marTop w:val="0"/>
                                                                          <w:marBottom w:val="0"/>
                                                                          <w:divBdr>
                                                                            <w:top w:val="none" w:sz="0" w:space="0" w:color="auto"/>
                                                                            <w:left w:val="none" w:sz="0" w:space="0" w:color="auto"/>
                                                                            <w:bottom w:val="none" w:sz="0" w:space="0" w:color="auto"/>
                                                                            <w:right w:val="none" w:sz="0" w:space="0" w:color="auto"/>
                                                                          </w:divBdr>
                                                                        </w:div>
                                                                      </w:divsChild>
                                                                    </w:div>
                                                                    <w:div w:id="1479805170">
                                                                      <w:marLeft w:val="0"/>
                                                                      <w:marRight w:val="0"/>
                                                                      <w:marTop w:val="0"/>
                                                                      <w:marBottom w:val="0"/>
                                                                      <w:divBdr>
                                                                        <w:top w:val="none" w:sz="0" w:space="0" w:color="auto"/>
                                                                        <w:left w:val="none" w:sz="0" w:space="0" w:color="auto"/>
                                                                        <w:bottom w:val="none" w:sz="0" w:space="0" w:color="auto"/>
                                                                        <w:right w:val="none" w:sz="0" w:space="0" w:color="auto"/>
                                                                      </w:divBdr>
                                                                      <w:divsChild>
                                                                        <w:div w:id="97884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506817">
      <w:bodyDiv w:val="1"/>
      <w:marLeft w:val="0"/>
      <w:marRight w:val="0"/>
      <w:marTop w:val="0"/>
      <w:marBottom w:val="0"/>
      <w:divBdr>
        <w:top w:val="none" w:sz="0" w:space="0" w:color="auto"/>
        <w:left w:val="none" w:sz="0" w:space="0" w:color="auto"/>
        <w:bottom w:val="none" w:sz="0" w:space="0" w:color="auto"/>
        <w:right w:val="none" w:sz="0" w:space="0" w:color="auto"/>
      </w:divBdr>
      <w:divsChild>
        <w:div w:id="868883517">
          <w:marLeft w:val="0"/>
          <w:marRight w:val="0"/>
          <w:marTop w:val="0"/>
          <w:marBottom w:val="0"/>
          <w:divBdr>
            <w:top w:val="none" w:sz="0" w:space="0" w:color="auto"/>
            <w:left w:val="single" w:sz="6" w:space="0" w:color="BBBBBB"/>
            <w:bottom w:val="single" w:sz="6" w:space="0" w:color="BBBBBB"/>
            <w:right w:val="single" w:sz="6" w:space="0" w:color="BBBBBB"/>
          </w:divBdr>
          <w:divsChild>
            <w:div w:id="2129733022">
              <w:marLeft w:val="0"/>
              <w:marRight w:val="0"/>
              <w:marTop w:val="0"/>
              <w:marBottom w:val="0"/>
              <w:divBdr>
                <w:top w:val="none" w:sz="0" w:space="0" w:color="auto"/>
                <w:left w:val="none" w:sz="0" w:space="0" w:color="auto"/>
                <w:bottom w:val="none" w:sz="0" w:space="0" w:color="auto"/>
                <w:right w:val="none" w:sz="0" w:space="0" w:color="auto"/>
              </w:divBdr>
              <w:divsChild>
                <w:div w:id="1466242923">
                  <w:marLeft w:val="0"/>
                  <w:marRight w:val="0"/>
                  <w:marTop w:val="75"/>
                  <w:marBottom w:val="0"/>
                  <w:divBdr>
                    <w:top w:val="none" w:sz="0" w:space="0" w:color="auto"/>
                    <w:left w:val="none" w:sz="0" w:space="0" w:color="auto"/>
                    <w:bottom w:val="none" w:sz="0" w:space="0" w:color="auto"/>
                    <w:right w:val="none" w:sz="0" w:space="0" w:color="auto"/>
                  </w:divBdr>
                  <w:divsChild>
                    <w:div w:id="2035838229">
                      <w:marLeft w:val="0"/>
                      <w:marRight w:val="0"/>
                      <w:marTop w:val="0"/>
                      <w:marBottom w:val="0"/>
                      <w:divBdr>
                        <w:top w:val="none" w:sz="0" w:space="0" w:color="auto"/>
                        <w:left w:val="none" w:sz="0" w:space="0" w:color="auto"/>
                        <w:bottom w:val="none" w:sz="0" w:space="0" w:color="auto"/>
                        <w:right w:val="none" w:sz="0" w:space="0" w:color="auto"/>
                      </w:divBdr>
                      <w:divsChild>
                        <w:div w:id="1856535784">
                          <w:marLeft w:val="0"/>
                          <w:marRight w:val="0"/>
                          <w:marTop w:val="0"/>
                          <w:marBottom w:val="0"/>
                          <w:divBdr>
                            <w:top w:val="none" w:sz="0" w:space="0" w:color="auto"/>
                            <w:left w:val="none" w:sz="0" w:space="0" w:color="auto"/>
                            <w:bottom w:val="none" w:sz="0" w:space="0" w:color="auto"/>
                            <w:right w:val="none" w:sz="0" w:space="0" w:color="auto"/>
                          </w:divBdr>
                          <w:divsChild>
                            <w:div w:id="208616462">
                              <w:marLeft w:val="0"/>
                              <w:marRight w:val="0"/>
                              <w:marTop w:val="0"/>
                              <w:marBottom w:val="0"/>
                              <w:divBdr>
                                <w:top w:val="none" w:sz="0" w:space="0" w:color="auto"/>
                                <w:left w:val="none" w:sz="0" w:space="0" w:color="auto"/>
                                <w:bottom w:val="none" w:sz="0" w:space="0" w:color="auto"/>
                                <w:right w:val="none" w:sz="0" w:space="0" w:color="auto"/>
                              </w:divBdr>
                              <w:divsChild>
                                <w:div w:id="975329910">
                                  <w:marLeft w:val="0"/>
                                  <w:marRight w:val="0"/>
                                  <w:marTop w:val="0"/>
                                  <w:marBottom w:val="0"/>
                                  <w:divBdr>
                                    <w:top w:val="none" w:sz="0" w:space="0" w:color="auto"/>
                                    <w:left w:val="none" w:sz="0" w:space="0" w:color="auto"/>
                                    <w:bottom w:val="none" w:sz="0" w:space="0" w:color="auto"/>
                                    <w:right w:val="none" w:sz="0" w:space="0" w:color="auto"/>
                                  </w:divBdr>
                                  <w:divsChild>
                                    <w:div w:id="1063214505">
                                      <w:marLeft w:val="0"/>
                                      <w:marRight w:val="0"/>
                                      <w:marTop w:val="0"/>
                                      <w:marBottom w:val="0"/>
                                      <w:divBdr>
                                        <w:top w:val="none" w:sz="0" w:space="0" w:color="auto"/>
                                        <w:left w:val="none" w:sz="0" w:space="0" w:color="auto"/>
                                        <w:bottom w:val="none" w:sz="0" w:space="0" w:color="auto"/>
                                        <w:right w:val="none" w:sz="0" w:space="0" w:color="auto"/>
                                      </w:divBdr>
                                      <w:divsChild>
                                        <w:div w:id="1009912234">
                                          <w:marLeft w:val="1200"/>
                                          <w:marRight w:val="1200"/>
                                          <w:marTop w:val="0"/>
                                          <w:marBottom w:val="0"/>
                                          <w:divBdr>
                                            <w:top w:val="none" w:sz="0" w:space="0" w:color="auto"/>
                                            <w:left w:val="none" w:sz="0" w:space="0" w:color="auto"/>
                                            <w:bottom w:val="none" w:sz="0" w:space="0" w:color="auto"/>
                                            <w:right w:val="none" w:sz="0" w:space="0" w:color="auto"/>
                                          </w:divBdr>
                                          <w:divsChild>
                                            <w:div w:id="1545675096">
                                              <w:marLeft w:val="0"/>
                                              <w:marRight w:val="0"/>
                                              <w:marTop w:val="0"/>
                                              <w:marBottom w:val="0"/>
                                              <w:divBdr>
                                                <w:top w:val="none" w:sz="0" w:space="0" w:color="auto"/>
                                                <w:left w:val="none" w:sz="0" w:space="0" w:color="auto"/>
                                                <w:bottom w:val="none" w:sz="0" w:space="0" w:color="auto"/>
                                                <w:right w:val="none" w:sz="0" w:space="0" w:color="auto"/>
                                              </w:divBdr>
                                              <w:divsChild>
                                                <w:div w:id="1963146513">
                                                  <w:marLeft w:val="0"/>
                                                  <w:marRight w:val="0"/>
                                                  <w:marTop w:val="0"/>
                                                  <w:marBottom w:val="0"/>
                                                  <w:divBdr>
                                                    <w:top w:val="none" w:sz="0" w:space="0" w:color="auto"/>
                                                    <w:left w:val="none" w:sz="0" w:space="0" w:color="auto"/>
                                                    <w:bottom w:val="none" w:sz="0" w:space="0" w:color="auto"/>
                                                    <w:right w:val="none" w:sz="0" w:space="0" w:color="auto"/>
                                                  </w:divBdr>
                                                  <w:divsChild>
                                                    <w:div w:id="657810832">
                                                      <w:marLeft w:val="0"/>
                                                      <w:marRight w:val="0"/>
                                                      <w:marTop w:val="0"/>
                                                      <w:marBottom w:val="0"/>
                                                      <w:divBdr>
                                                        <w:top w:val="none" w:sz="0" w:space="0" w:color="auto"/>
                                                        <w:left w:val="none" w:sz="0" w:space="0" w:color="auto"/>
                                                        <w:bottom w:val="none" w:sz="0" w:space="0" w:color="auto"/>
                                                        <w:right w:val="none" w:sz="0" w:space="0" w:color="auto"/>
                                                      </w:divBdr>
                                                      <w:divsChild>
                                                        <w:div w:id="1577326037">
                                                          <w:marLeft w:val="0"/>
                                                          <w:marRight w:val="0"/>
                                                          <w:marTop w:val="0"/>
                                                          <w:marBottom w:val="0"/>
                                                          <w:divBdr>
                                                            <w:top w:val="none" w:sz="0" w:space="0" w:color="auto"/>
                                                            <w:left w:val="none" w:sz="0" w:space="0" w:color="auto"/>
                                                            <w:bottom w:val="none" w:sz="0" w:space="0" w:color="auto"/>
                                                            <w:right w:val="none" w:sz="0" w:space="0" w:color="auto"/>
                                                          </w:divBdr>
                                                          <w:divsChild>
                                                            <w:div w:id="246430640">
                                                              <w:marLeft w:val="0"/>
                                                              <w:marRight w:val="0"/>
                                                              <w:marTop w:val="0"/>
                                                              <w:marBottom w:val="0"/>
                                                              <w:divBdr>
                                                                <w:top w:val="none" w:sz="0" w:space="0" w:color="auto"/>
                                                                <w:left w:val="none" w:sz="0" w:space="0" w:color="auto"/>
                                                                <w:bottom w:val="none" w:sz="0" w:space="0" w:color="auto"/>
                                                                <w:right w:val="none" w:sz="0" w:space="0" w:color="auto"/>
                                                              </w:divBdr>
                                                              <w:divsChild>
                                                                <w:div w:id="1274484958">
                                                                  <w:marLeft w:val="0"/>
                                                                  <w:marRight w:val="0"/>
                                                                  <w:marTop w:val="0"/>
                                                                  <w:marBottom w:val="0"/>
                                                                  <w:divBdr>
                                                                    <w:top w:val="none" w:sz="0" w:space="0" w:color="auto"/>
                                                                    <w:left w:val="none" w:sz="0" w:space="0" w:color="auto"/>
                                                                    <w:bottom w:val="none" w:sz="0" w:space="0" w:color="auto"/>
                                                                    <w:right w:val="none" w:sz="0" w:space="0" w:color="auto"/>
                                                                  </w:divBdr>
                                                                  <w:divsChild>
                                                                    <w:div w:id="1996717133">
                                                                      <w:marLeft w:val="0"/>
                                                                      <w:marRight w:val="0"/>
                                                                      <w:marTop w:val="0"/>
                                                                      <w:marBottom w:val="0"/>
                                                                      <w:divBdr>
                                                                        <w:top w:val="none" w:sz="0" w:space="0" w:color="auto"/>
                                                                        <w:left w:val="none" w:sz="0" w:space="0" w:color="auto"/>
                                                                        <w:bottom w:val="none" w:sz="0" w:space="0" w:color="auto"/>
                                                                        <w:right w:val="none" w:sz="0" w:space="0" w:color="auto"/>
                                                                      </w:divBdr>
                                                                      <w:divsChild>
                                                                        <w:div w:id="53893237">
                                                                          <w:marLeft w:val="0"/>
                                                                          <w:marRight w:val="0"/>
                                                                          <w:marTop w:val="0"/>
                                                                          <w:marBottom w:val="0"/>
                                                                          <w:divBdr>
                                                                            <w:top w:val="none" w:sz="0" w:space="0" w:color="auto"/>
                                                                            <w:left w:val="none" w:sz="0" w:space="0" w:color="auto"/>
                                                                            <w:bottom w:val="none" w:sz="0" w:space="0" w:color="auto"/>
                                                                            <w:right w:val="none" w:sz="0" w:space="0" w:color="auto"/>
                                                                          </w:divBdr>
                                                                        </w:div>
                                                                        <w:div w:id="554006930">
                                                                          <w:marLeft w:val="0"/>
                                                                          <w:marRight w:val="0"/>
                                                                          <w:marTop w:val="0"/>
                                                                          <w:marBottom w:val="0"/>
                                                                          <w:divBdr>
                                                                            <w:top w:val="none" w:sz="0" w:space="0" w:color="auto"/>
                                                                            <w:left w:val="none" w:sz="0" w:space="0" w:color="auto"/>
                                                                            <w:bottom w:val="none" w:sz="0" w:space="0" w:color="auto"/>
                                                                            <w:right w:val="none" w:sz="0" w:space="0" w:color="auto"/>
                                                                          </w:divBdr>
                                                                        </w:div>
                                                                        <w:div w:id="938105299">
                                                                          <w:marLeft w:val="0"/>
                                                                          <w:marRight w:val="0"/>
                                                                          <w:marTop w:val="0"/>
                                                                          <w:marBottom w:val="0"/>
                                                                          <w:divBdr>
                                                                            <w:top w:val="none" w:sz="0" w:space="0" w:color="auto"/>
                                                                            <w:left w:val="none" w:sz="0" w:space="0" w:color="auto"/>
                                                                            <w:bottom w:val="none" w:sz="0" w:space="0" w:color="auto"/>
                                                                            <w:right w:val="none" w:sz="0" w:space="0" w:color="auto"/>
                                                                          </w:divBdr>
                                                                          <w:divsChild>
                                                                            <w:div w:id="122966303">
                                                                              <w:marLeft w:val="0"/>
                                                                              <w:marRight w:val="0"/>
                                                                              <w:marTop w:val="0"/>
                                                                              <w:marBottom w:val="0"/>
                                                                              <w:divBdr>
                                                                                <w:top w:val="none" w:sz="0" w:space="0" w:color="auto"/>
                                                                                <w:left w:val="none" w:sz="0" w:space="0" w:color="auto"/>
                                                                                <w:bottom w:val="none" w:sz="0" w:space="0" w:color="auto"/>
                                                                                <w:right w:val="none" w:sz="0" w:space="0" w:color="auto"/>
                                                                              </w:divBdr>
                                                                              <w:divsChild>
                                                                                <w:div w:id="619144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1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470848">
      <w:bodyDiv w:val="1"/>
      <w:marLeft w:val="0"/>
      <w:marRight w:val="0"/>
      <w:marTop w:val="0"/>
      <w:marBottom w:val="0"/>
      <w:divBdr>
        <w:top w:val="none" w:sz="0" w:space="0" w:color="auto"/>
        <w:left w:val="none" w:sz="0" w:space="0" w:color="auto"/>
        <w:bottom w:val="none" w:sz="0" w:space="0" w:color="auto"/>
        <w:right w:val="none" w:sz="0" w:space="0" w:color="auto"/>
      </w:divBdr>
      <w:divsChild>
        <w:div w:id="1443964039">
          <w:marLeft w:val="0"/>
          <w:marRight w:val="0"/>
          <w:marTop w:val="0"/>
          <w:marBottom w:val="0"/>
          <w:divBdr>
            <w:top w:val="none" w:sz="0" w:space="0" w:color="auto"/>
            <w:left w:val="single" w:sz="6" w:space="0" w:color="BBBBBB"/>
            <w:bottom w:val="single" w:sz="6" w:space="0" w:color="BBBBBB"/>
            <w:right w:val="single" w:sz="6" w:space="0" w:color="BBBBBB"/>
          </w:divBdr>
          <w:divsChild>
            <w:div w:id="1064110910">
              <w:marLeft w:val="0"/>
              <w:marRight w:val="0"/>
              <w:marTop w:val="0"/>
              <w:marBottom w:val="0"/>
              <w:divBdr>
                <w:top w:val="none" w:sz="0" w:space="0" w:color="auto"/>
                <w:left w:val="none" w:sz="0" w:space="0" w:color="auto"/>
                <w:bottom w:val="none" w:sz="0" w:space="0" w:color="auto"/>
                <w:right w:val="none" w:sz="0" w:space="0" w:color="auto"/>
              </w:divBdr>
              <w:divsChild>
                <w:div w:id="1148401219">
                  <w:marLeft w:val="0"/>
                  <w:marRight w:val="0"/>
                  <w:marTop w:val="0"/>
                  <w:marBottom w:val="0"/>
                  <w:divBdr>
                    <w:top w:val="none" w:sz="0" w:space="0" w:color="auto"/>
                    <w:left w:val="none" w:sz="0" w:space="0" w:color="auto"/>
                    <w:bottom w:val="none" w:sz="0" w:space="0" w:color="auto"/>
                    <w:right w:val="none" w:sz="0" w:space="0" w:color="auto"/>
                  </w:divBdr>
                  <w:divsChild>
                    <w:div w:id="913586028">
                      <w:marLeft w:val="0"/>
                      <w:marRight w:val="0"/>
                      <w:marTop w:val="0"/>
                      <w:marBottom w:val="0"/>
                      <w:divBdr>
                        <w:top w:val="none" w:sz="0" w:space="0" w:color="auto"/>
                        <w:left w:val="none" w:sz="0" w:space="0" w:color="auto"/>
                        <w:bottom w:val="none" w:sz="0" w:space="0" w:color="auto"/>
                        <w:right w:val="none" w:sz="0" w:space="0" w:color="auto"/>
                      </w:divBdr>
                      <w:divsChild>
                        <w:div w:id="219638259">
                          <w:marLeft w:val="0"/>
                          <w:marRight w:val="0"/>
                          <w:marTop w:val="0"/>
                          <w:marBottom w:val="0"/>
                          <w:divBdr>
                            <w:top w:val="none" w:sz="0" w:space="0" w:color="auto"/>
                            <w:left w:val="none" w:sz="0" w:space="0" w:color="auto"/>
                            <w:bottom w:val="none" w:sz="0" w:space="0" w:color="auto"/>
                            <w:right w:val="none" w:sz="0" w:space="0" w:color="auto"/>
                          </w:divBdr>
                          <w:divsChild>
                            <w:div w:id="1070425863">
                              <w:marLeft w:val="0"/>
                              <w:marRight w:val="0"/>
                              <w:marTop w:val="0"/>
                              <w:marBottom w:val="0"/>
                              <w:divBdr>
                                <w:top w:val="none" w:sz="0" w:space="0" w:color="auto"/>
                                <w:left w:val="none" w:sz="0" w:space="0" w:color="auto"/>
                                <w:bottom w:val="none" w:sz="0" w:space="0" w:color="auto"/>
                                <w:right w:val="none" w:sz="0" w:space="0" w:color="auto"/>
                              </w:divBdr>
                              <w:divsChild>
                                <w:div w:id="320426562">
                                  <w:marLeft w:val="0"/>
                                  <w:marRight w:val="0"/>
                                  <w:marTop w:val="0"/>
                                  <w:marBottom w:val="0"/>
                                  <w:divBdr>
                                    <w:top w:val="none" w:sz="0" w:space="0" w:color="auto"/>
                                    <w:left w:val="none" w:sz="0" w:space="0" w:color="auto"/>
                                    <w:bottom w:val="none" w:sz="0" w:space="0" w:color="auto"/>
                                    <w:right w:val="none" w:sz="0" w:space="0" w:color="auto"/>
                                  </w:divBdr>
                                  <w:divsChild>
                                    <w:div w:id="1508205999">
                                      <w:marLeft w:val="0"/>
                                      <w:marRight w:val="0"/>
                                      <w:marTop w:val="0"/>
                                      <w:marBottom w:val="0"/>
                                      <w:divBdr>
                                        <w:top w:val="none" w:sz="0" w:space="0" w:color="auto"/>
                                        <w:left w:val="none" w:sz="0" w:space="0" w:color="auto"/>
                                        <w:bottom w:val="none" w:sz="0" w:space="0" w:color="auto"/>
                                        <w:right w:val="none" w:sz="0" w:space="0" w:color="auto"/>
                                      </w:divBdr>
                                      <w:divsChild>
                                        <w:div w:id="110898802">
                                          <w:marLeft w:val="1200"/>
                                          <w:marRight w:val="1200"/>
                                          <w:marTop w:val="0"/>
                                          <w:marBottom w:val="0"/>
                                          <w:divBdr>
                                            <w:top w:val="none" w:sz="0" w:space="0" w:color="auto"/>
                                            <w:left w:val="none" w:sz="0" w:space="0" w:color="auto"/>
                                            <w:bottom w:val="none" w:sz="0" w:space="0" w:color="auto"/>
                                            <w:right w:val="none" w:sz="0" w:space="0" w:color="auto"/>
                                          </w:divBdr>
                                          <w:divsChild>
                                            <w:div w:id="1827041575">
                                              <w:marLeft w:val="0"/>
                                              <w:marRight w:val="0"/>
                                              <w:marTop w:val="0"/>
                                              <w:marBottom w:val="0"/>
                                              <w:divBdr>
                                                <w:top w:val="none" w:sz="0" w:space="0" w:color="auto"/>
                                                <w:left w:val="none" w:sz="0" w:space="0" w:color="auto"/>
                                                <w:bottom w:val="none" w:sz="0" w:space="0" w:color="auto"/>
                                                <w:right w:val="none" w:sz="0" w:space="0" w:color="auto"/>
                                              </w:divBdr>
                                              <w:divsChild>
                                                <w:div w:id="590554891">
                                                  <w:marLeft w:val="0"/>
                                                  <w:marRight w:val="0"/>
                                                  <w:marTop w:val="0"/>
                                                  <w:marBottom w:val="0"/>
                                                  <w:divBdr>
                                                    <w:top w:val="none" w:sz="0" w:space="0" w:color="auto"/>
                                                    <w:left w:val="none" w:sz="0" w:space="0" w:color="auto"/>
                                                    <w:bottom w:val="none" w:sz="0" w:space="0" w:color="auto"/>
                                                    <w:right w:val="none" w:sz="0" w:space="0" w:color="auto"/>
                                                  </w:divBdr>
                                                  <w:divsChild>
                                                    <w:div w:id="201867289">
                                                      <w:marLeft w:val="0"/>
                                                      <w:marRight w:val="0"/>
                                                      <w:marTop w:val="0"/>
                                                      <w:marBottom w:val="0"/>
                                                      <w:divBdr>
                                                        <w:top w:val="none" w:sz="0" w:space="0" w:color="auto"/>
                                                        <w:left w:val="none" w:sz="0" w:space="0" w:color="auto"/>
                                                        <w:bottom w:val="none" w:sz="0" w:space="0" w:color="auto"/>
                                                        <w:right w:val="none" w:sz="0" w:space="0" w:color="auto"/>
                                                      </w:divBdr>
                                                      <w:divsChild>
                                                        <w:div w:id="1139884033">
                                                          <w:marLeft w:val="0"/>
                                                          <w:marRight w:val="0"/>
                                                          <w:marTop w:val="0"/>
                                                          <w:marBottom w:val="0"/>
                                                          <w:divBdr>
                                                            <w:top w:val="none" w:sz="0" w:space="0" w:color="auto"/>
                                                            <w:left w:val="none" w:sz="0" w:space="0" w:color="auto"/>
                                                            <w:bottom w:val="none" w:sz="0" w:space="0" w:color="auto"/>
                                                            <w:right w:val="none" w:sz="0" w:space="0" w:color="auto"/>
                                                          </w:divBdr>
                                                          <w:divsChild>
                                                            <w:div w:id="365642341">
                                                              <w:marLeft w:val="0"/>
                                                              <w:marRight w:val="0"/>
                                                              <w:marTop w:val="0"/>
                                                              <w:marBottom w:val="0"/>
                                                              <w:divBdr>
                                                                <w:top w:val="none" w:sz="0" w:space="0" w:color="auto"/>
                                                                <w:left w:val="none" w:sz="0" w:space="0" w:color="auto"/>
                                                                <w:bottom w:val="none" w:sz="0" w:space="0" w:color="auto"/>
                                                                <w:right w:val="none" w:sz="0" w:space="0" w:color="auto"/>
                                                              </w:divBdr>
                                                              <w:divsChild>
                                                                <w:div w:id="1318413233">
                                                                  <w:marLeft w:val="0"/>
                                                                  <w:marRight w:val="0"/>
                                                                  <w:marTop w:val="0"/>
                                                                  <w:marBottom w:val="0"/>
                                                                  <w:divBdr>
                                                                    <w:top w:val="none" w:sz="0" w:space="0" w:color="auto"/>
                                                                    <w:left w:val="none" w:sz="0" w:space="0" w:color="auto"/>
                                                                    <w:bottom w:val="none" w:sz="0" w:space="0" w:color="auto"/>
                                                                    <w:right w:val="none" w:sz="0" w:space="0" w:color="auto"/>
                                                                  </w:divBdr>
                                                                  <w:divsChild>
                                                                    <w:div w:id="297075374">
                                                                      <w:marLeft w:val="0"/>
                                                                      <w:marRight w:val="0"/>
                                                                      <w:marTop w:val="0"/>
                                                                      <w:marBottom w:val="0"/>
                                                                      <w:divBdr>
                                                                        <w:top w:val="none" w:sz="0" w:space="0" w:color="auto"/>
                                                                        <w:left w:val="none" w:sz="0" w:space="0" w:color="auto"/>
                                                                        <w:bottom w:val="none" w:sz="0" w:space="0" w:color="auto"/>
                                                                        <w:right w:val="none" w:sz="0" w:space="0" w:color="auto"/>
                                                                      </w:divBdr>
                                                                      <w:divsChild>
                                                                        <w:div w:id="417292599">
                                                                          <w:marLeft w:val="0"/>
                                                                          <w:marRight w:val="0"/>
                                                                          <w:marTop w:val="0"/>
                                                                          <w:marBottom w:val="0"/>
                                                                          <w:divBdr>
                                                                            <w:top w:val="none" w:sz="0" w:space="0" w:color="auto"/>
                                                                            <w:left w:val="none" w:sz="0" w:space="0" w:color="auto"/>
                                                                            <w:bottom w:val="none" w:sz="0" w:space="0" w:color="auto"/>
                                                                            <w:right w:val="none" w:sz="0" w:space="0" w:color="auto"/>
                                                                          </w:divBdr>
                                                                        </w:div>
                                                                      </w:divsChild>
                                                                    </w:div>
                                                                    <w:div w:id="2144345951">
                                                                      <w:marLeft w:val="0"/>
                                                                      <w:marRight w:val="0"/>
                                                                      <w:marTop w:val="0"/>
                                                                      <w:marBottom w:val="0"/>
                                                                      <w:divBdr>
                                                                        <w:top w:val="none" w:sz="0" w:space="0" w:color="auto"/>
                                                                        <w:left w:val="none" w:sz="0" w:space="0" w:color="auto"/>
                                                                        <w:bottom w:val="none" w:sz="0" w:space="0" w:color="auto"/>
                                                                        <w:right w:val="none" w:sz="0" w:space="0" w:color="auto"/>
                                                                      </w:divBdr>
                                                                      <w:divsChild>
                                                                        <w:div w:id="18627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399663">
      <w:bodyDiv w:val="1"/>
      <w:marLeft w:val="0"/>
      <w:marRight w:val="0"/>
      <w:marTop w:val="0"/>
      <w:marBottom w:val="0"/>
      <w:divBdr>
        <w:top w:val="none" w:sz="0" w:space="0" w:color="auto"/>
        <w:left w:val="none" w:sz="0" w:space="0" w:color="auto"/>
        <w:bottom w:val="none" w:sz="0" w:space="0" w:color="auto"/>
        <w:right w:val="none" w:sz="0" w:space="0" w:color="auto"/>
      </w:divBdr>
      <w:divsChild>
        <w:div w:id="647396770">
          <w:marLeft w:val="0"/>
          <w:marRight w:val="0"/>
          <w:marTop w:val="0"/>
          <w:marBottom w:val="0"/>
          <w:divBdr>
            <w:top w:val="none" w:sz="0" w:space="0" w:color="auto"/>
            <w:left w:val="single" w:sz="6" w:space="0" w:color="BBBBBB"/>
            <w:bottom w:val="single" w:sz="6" w:space="0" w:color="BBBBBB"/>
            <w:right w:val="single" w:sz="6" w:space="0" w:color="BBBBBB"/>
          </w:divBdr>
          <w:divsChild>
            <w:div w:id="75245145">
              <w:marLeft w:val="0"/>
              <w:marRight w:val="0"/>
              <w:marTop w:val="0"/>
              <w:marBottom w:val="0"/>
              <w:divBdr>
                <w:top w:val="none" w:sz="0" w:space="0" w:color="auto"/>
                <w:left w:val="none" w:sz="0" w:space="0" w:color="auto"/>
                <w:bottom w:val="none" w:sz="0" w:space="0" w:color="auto"/>
                <w:right w:val="none" w:sz="0" w:space="0" w:color="auto"/>
              </w:divBdr>
              <w:divsChild>
                <w:div w:id="1137838131">
                  <w:marLeft w:val="0"/>
                  <w:marRight w:val="0"/>
                  <w:marTop w:val="75"/>
                  <w:marBottom w:val="0"/>
                  <w:divBdr>
                    <w:top w:val="none" w:sz="0" w:space="0" w:color="auto"/>
                    <w:left w:val="none" w:sz="0" w:space="0" w:color="auto"/>
                    <w:bottom w:val="none" w:sz="0" w:space="0" w:color="auto"/>
                    <w:right w:val="none" w:sz="0" w:space="0" w:color="auto"/>
                  </w:divBdr>
                  <w:divsChild>
                    <w:div w:id="1175798777">
                      <w:marLeft w:val="0"/>
                      <w:marRight w:val="0"/>
                      <w:marTop w:val="0"/>
                      <w:marBottom w:val="0"/>
                      <w:divBdr>
                        <w:top w:val="none" w:sz="0" w:space="0" w:color="auto"/>
                        <w:left w:val="none" w:sz="0" w:space="0" w:color="auto"/>
                        <w:bottom w:val="none" w:sz="0" w:space="0" w:color="auto"/>
                        <w:right w:val="none" w:sz="0" w:space="0" w:color="auto"/>
                      </w:divBdr>
                      <w:divsChild>
                        <w:div w:id="821695851">
                          <w:marLeft w:val="0"/>
                          <w:marRight w:val="0"/>
                          <w:marTop w:val="0"/>
                          <w:marBottom w:val="0"/>
                          <w:divBdr>
                            <w:top w:val="none" w:sz="0" w:space="0" w:color="auto"/>
                            <w:left w:val="none" w:sz="0" w:space="0" w:color="auto"/>
                            <w:bottom w:val="none" w:sz="0" w:space="0" w:color="auto"/>
                            <w:right w:val="none" w:sz="0" w:space="0" w:color="auto"/>
                          </w:divBdr>
                          <w:divsChild>
                            <w:div w:id="815344347">
                              <w:marLeft w:val="0"/>
                              <w:marRight w:val="0"/>
                              <w:marTop w:val="0"/>
                              <w:marBottom w:val="0"/>
                              <w:divBdr>
                                <w:top w:val="none" w:sz="0" w:space="0" w:color="auto"/>
                                <w:left w:val="none" w:sz="0" w:space="0" w:color="auto"/>
                                <w:bottom w:val="none" w:sz="0" w:space="0" w:color="auto"/>
                                <w:right w:val="none" w:sz="0" w:space="0" w:color="auto"/>
                              </w:divBdr>
                              <w:divsChild>
                                <w:div w:id="350688652">
                                  <w:marLeft w:val="0"/>
                                  <w:marRight w:val="0"/>
                                  <w:marTop w:val="0"/>
                                  <w:marBottom w:val="0"/>
                                  <w:divBdr>
                                    <w:top w:val="none" w:sz="0" w:space="0" w:color="auto"/>
                                    <w:left w:val="none" w:sz="0" w:space="0" w:color="auto"/>
                                    <w:bottom w:val="none" w:sz="0" w:space="0" w:color="auto"/>
                                    <w:right w:val="none" w:sz="0" w:space="0" w:color="auto"/>
                                  </w:divBdr>
                                  <w:divsChild>
                                    <w:div w:id="990133086">
                                      <w:marLeft w:val="0"/>
                                      <w:marRight w:val="0"/>
                                      <w:marTop w:val="0"/>
                                      <w:marBottom w:val="0"/>
                                      <w:divBdr>
                                        <w:top w:val="none" w:sz="0" w:space="0" w:color="auto"/>
                                        <w:left w:val="none" w:sz="0" w:space="0" w:color="auto"/>
                                        <w:bottom w:val="none" w:sz="0" w:space="0" w:color="auto"/>
                                        <w:right w:val="none" w:sz="0" w:space="0" w:color="auto"/>
                                      </w:divBdr>
                                      <w:divsChild>
                                        <w:div w:id="1496603906">
                                          <w:marLeft w:val="1200"/>
                                          <w:marRight w:val="1200"/>
                                          <w:marTop w:val="0"/>
                                          <w:marBottom w:val="0"/>
                                          <w:divBdr>
                                            <w:top w:val="none" w:sz="0" w:space="0" w:color="auto"/>
                                            <w:left w:val="none" w:sz="0" w:space="0" w:color="auto"/>
                                            <w:bottom w:val="none" w:sz="0" w:space="0" w:color="auto"/>
                                            <w:right w:val="none" w:sz="0" w:space="0" w:color="auto"/>
                                          </w:divBdr>
                                          <w:divsChild>
                                            <w:div w:id="1524783499">
                                              <w:marLeft w:val="0"/>
                                              <w:marRight w:val="0"/>
                                              <w:marTop w:val="0"/>
                                              <w:marBottom w:val="0"/>
                                              <w:divBdr>
                                                <w:top w:val="none" w:sz="0" w:space="0" w:color="auto"/>
                                                <w:left w:val="none" w:sz="0" w:space="0" w:color="auto"/>
                                                <w:bottom w:val="none" w:sz="0" w:space="0" w:color="auto"/>
                                                <w:right w:val="none" w:sz="0" w:space="0" w:color="auto"/>
                                              </w:divBdr>
                                              <w:divsChild>
                                                <w:div w:id="884484611">
                                                  <w:marLeft w:val="0"/>
                                                  <w:marRight w:val="0"/>
                                                  <w:marTop w:val="0"/>
                                                  <w:marBottom w:val="0"/>
                                                  <w:divBdr>
                                                    <w:top w:val="none" w:sz="0" w:space="0" w:color="auto"/>
                                                    <w:left w:val="none" w:sz="0" w:space="0" w:color="auto"/>
                                                    <w:bottom w:val="none" w:sz="0" w:space="0" w:color="auto"/>
                                                    <w:right w:val="none" w:sz="0" w:space="0" w:color="auto"/>
                                                  </w:divBdr>
                                                  <w:divsChild>
                                                    <w:div w:id="1895193000">
                                                      <w:marLeft w:val="0"/>
                                                      <w:marRight w:val="0"/>
                                                      <w:marTop w:val="0"/>
                                                      <w:marBottom w:val="0"/>
                                                      <w:divBdr>
                                                        <w:top w:val="none" w:sz="0" w:space="0" w:color="auto"/>
                                                        <w:left w:val="none" w:sz="0" w:space="0" w:color="auto"/>
                                                        <w:bottom w:val="none" w:sz="0" w:space="0" w:color="auto"/>
                                                        <w:right w:val="none" w:sz="0" w:space="0" w:color="auto"/>
                                                      </w:divBdr>
                                                      <w:divsChild>
                                                        <w:div w:id="615061956">
                                                          <w:marLeft w:val="0"/>
                                                          <w:marRight w:val="0"/>
                                                          <w:marTop w:val="0"/>
                                                          <w:marBottom w:val="0"/>
                                                          <w:divBdr>
                                                            <w:top w:val="none" w:sz="0" w:space="0" w:color="auto"/>
                                                            <w:left w:val="none" w:sz="0" w:space="0" w:color="auto"/>
                                                            <w:bottom w:val="none" w:sz="0" w:space="0" w:color="auto"/>
                                                            <w:right w:val="none" w:sz="0" w:space="0" w:color="auto"/>
                                                          </w:divBdr>
                                                          <w:divsChild>
                                                            <w:div w:id="38286891">
                                                              <w:marLeft w:val="0"/>
                                                              <w:marRight w:val="0"/>
                                                              <w:marTop w:val="0"/>
                                                              <w:marBottom w:val="0"/>
                                                              <w:divBdr>
                                                                <w:top w:val="none" w:sz="0" w:space="0" w:color="auto"/>
                                                                <w:left w:val="none" w:sz="0" w:space="0" w:color="auto"/>
                                                                <w:bottom w:val="none" w:sz="0" w:space="0" w:color="auto"/>
                                                                <w:right w:val="none" w:sz="0" w:space="0" w:color="auto"/>
                                                              </w:divBdr>
                                                              <w:divsChild>
                                                                <w:div w:id="1810900948">
                                                                  <w:marLeft w:val="0"/>
                                                                  <w:marRight w:val="0"/>
                                                                  <w:marTop w:val="0"/>
                                                                  <w:marBottom w:val="0"/>
                                                                  <w:divBdr>
                                                                    <w:top w:val="none" w:sz="0" w:space="0" w:color="auto"/>
                                                                    <w:left w:val="none" w:sz="0" w:space="0" w:color="auto"/>
                                                                    <w:bottom w:val="none" w:sz="0" w:space="0" w:color="auto"/>
                                                                    <w:right w:val="none" w:sz="0" w:space="0" w:color="auto"/>
                                                                  </w:divBdr>
                                                                  <w:divsChild>
                                                                    <w:div w:id="207768367">
                                                                      <w:marLeft w:val="0"/>
                                                                      <w:marRight w:val="0"/>
                                                                      <w:marTop w:val="0"/>
                                                                      <w:marBottom w:val="0"/>
                                                                      <w:divBdr>
                                                                        <w:top w:val="none" w:sz="0" w:space="0" w:color="auto"/>
                                                                        <w:left w:val="none" w:sz="0" w:space="0" w:color="auto"/>
                                                                        <w:bottom w:val="none" w:sz="0" w:space="0" w:color="auto"/>
                                                                        <w:right w:val="none" w:sz="0" w:space="0" w:color="auto"/>
                                                                      </w:divBdr>
                                                                      <w:divsChild>
                                                                        <w:div w:id="265773366">
                                                                          <w:marLeft w:val="0"/>
                                                                          <w:marRight w:val="0"/>
                                                                          <w:marTop w:val="0"/>
                                                                          <w:marBottom w:val="0"/>
                                                                          <w:divBdr>
                                                                            <w:top w:val="none" w:sz="0" w:space="0" w:color="auto"/>
                                                                            <w:left w:val="none" w:sz="0" w:space="0" w:color="auto"/>
                                                                            <w:bottom w:val="none" w:sz="0" w:space="0" w:color="auto"/>
                                                                            <w:right w:val="none" w:sz="0" w:space="0" w:color="auto"/>
                                                                          </w:divBdr>
                                                                        </w:div>
                                                                      </w:divsChild>
                                                                    </w:div>
                                                                    <w:div w:id="1747724274">
                                                                      <w:marLeft w:val="0"/>
                                                                      <w:marRight w:val="0"/>
                                                                      <w:marTop w:val="0"/>
                                                                      <w:marBottom w:val="0"/>
                                                                      <w:divBdr>
                                                                        <w:top w:val="none" w:sz="0" w:space="0" w:color="auto"/>
                                                                        <w:left w:val="none" w:sz="0" w:space="0" w:color="auto"/>
                                                                        <w:bottom w:val="none" w:sz="0" w:space="0" w:color="auto"/>
                                                                        <w:right w:val="none" w:sz="0" w:space="0" w:color="auto"/>
                                                                      </w:divBdr>
                                                                      <w:divsChild>
                                                                        <w:div w:id="8530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286855">
      <w:bodyDiv w:val="1"/>
      <w:marLeft w:val="0"/>
      <w:marRight w:val="0"/>
      <w:marTop w:val="0"/>
      <w:marBottom w:val="0"/>
      <w:divBdr>
        <w:top w:val="none" w:sz="0" w:space="0" w:color="auto"/>
        <w:left w:val="none" w:sz="0" w:space="0" w:color="auto"/>
        <w:bottom w:val="none" w:sz="0" w:space="0" w:color="auto"/>
        <w:right w:val="none" w:sz="0" w:space="0" w:color="auto"/>
      </w:divBdr>
    </w:div>
    <w:div w:id="1457408256">
      <w:bodyDiv w:val="1"/>
      <w:marLeft w:val="0"/>
      <w:marRight w:val="0"/>
      <w:marTop w:val="0"/>
      <w:marBottom w:val="0"/>
      <w:divBdr>
        <w:top w:val="none" w:sz="0" w:space="0" w:color="auto"/>
        <w:left w:val="none" w:sz="0" w:space="0" w:color="auto"/>
        <w:bottom w:val="none" w:sz="0" w:space="0" w:color="auto"/>
        <w:right w:val="none" w:sz="0" w:space="0" w:color="auto"/>
      </w:divBdr>
      <w:divsChild>
        <w:div w:id="1389300956">
          <w:marLeft w:val="0"/>
          <w:marRight w:val="0"/>
          <w:marTop w:val="0"/>
          <w:marBottom w:val="0"/>
          <w:divBdr>
            <w:top w:val="none" w:sz="0" w:space="0" w:color="auto"/>
            <w:left w:val="none" w:sz="0" w:space="0" w:color="auto"/>
            <w:bottom w:val="none" w:sz="0" w:space="0" w:color="auto"/>
            <w:right w:val="none" w:sz="0" w:space="0" w:color="auto"/>
          </w:divBdr>
          <w:divsChild>
            <w:div w:id="1417747747">
              <w:marLeft w:val="0"/>
              <w:marRight w:val="0"/>
              <w:marTop w:val="0"/>
              <w:marBottom w:val="0"/>
              <w:divBdr>
                <w:top w:val="none" w:sz="0" w:space="0" w:color="auto"/>
                <w:left w:val="none" w:sz="0" w:space="0" w:color="auto"/>
                <w:bottom w:val="none" w:sz="0" w:space="0" w:color="auto"/>
                <w:right w:val="none" w:sz="0" w:space="0" w:color="auto"/>
              </w:divBdr>
              <w:divsChild>
                <w:div w:id="208222468">
                  <w:marLeft w:val="0"/>
                  <w:marRight w:val="0"/>
                  <w:marTop w:val="0"/>
                  <w:marBottom w:val="0"/>
                  <w:divBdr>
                    <w:top w:val="none" w:sz="0" w:space="0" w:color="auto"/>
                    <w:left w:val="none" w:sz="0" w:space="0" w:color="auto"/>
                    <w:bottom w:val="none" w:sz="0" w:space="0" w:color="auto"/>
                    <w:right w:val="none" w:sz="0" w:space="0" w:color="auto"/>
                  </w:divBdr>
                  <w:divsChild>
                    <w:div w:id="1371881323">
                      <w:marLeft w:val="0"/>
                      <w:marRight w:val="0"/>
                      <w:marTop w:val="0"/>
                      <w:marBottom w:val="0"/>
                      <w:divBdr>
                        <w:top w:val="none" w:sz="0" w:space="0" w:color="auto"/>
                        <w:left w:val="none" w:sz="0" w:space="0" w:color="auto"/>
                        <w:bottom w:val="none" w:sz="0" w:space="0" w:color="auto"/>
                        <w:right w:val="none" w:sz="0" w:space="0" w:color="auto"/>
                      </w:divBdr>
                      <w:divsChild>
                        <w:div w:id="835655710">
                          <w:marLeft w:val="0"/>
                          <w:marRight w:val="0"/>
                          <w:marTop w:val="0"/>
                          <w:marBottom w:val="0"/>
                          <w:divBdr>
                            <w:top w:val="none" w:sz="0" w:space="0" w:color="auto"/>
                            <w:left w:val="none" w:sz="0" w:space="0" w:color="auto"/>
                            <w:bottom w:val="none" w:sz="0" w:space="0" w:color="auto"/>
                            <w:right w:val="none" w:sz="0" w:space="0" w:color="auto"/>
                          </w:divBdr>
                          <w:divsChild>
                            <w:div w:id="1158838962">
                              <w:marLeft w:val="0"/>
                              <w:marRight w:val="0"/>
                              <w:marTop w:val="0"/>
                              <w:marBottom w:val="0"/>
                              <w:divBdr>
                                <w:top w:val="none" w:sz="0" w:space="0" w:color="auto"/>
                                <w:left w:val="none" w:sz="0" w:space="0" w:color="auto"/>
                                <w:bottom w:val="none" w:sz="0" w:space="0" w:color="auto"/>
                                <w:right w:val="none" w:sz="0" w:space="0" w:color="auto"/>
                              </w:divBdr>
                              <w:divsChild>
                                <w:div w:id="205364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639628">
      <w:bodyDiv w:val="1"/>
      <w:marLeft w:val="0"/>
      <w:marRight w:val="0"/>
      <w:marTop w:val="0"/>
      <w:marBottom w:val="0"/>
      <w:divBdr>
        <w:top w:val="none" w:sz="0" w:space="0" w:color="auto"/>
        <w:left w:val="none" w:sz="0" w:space="0" w:color="auto"/>
        <w:bottom w:val="none" w:sz="0" w:space="0" w:color="auto"/>
        <w:right w:val="none" w:sz="0" w:space="0" w:color="auto"/>
      </w:divBdr>
      <w:divsChild>
        <w:div w:id="828401430">
          <w:marLeft w:val="0"/>
          <w:marRight w:val="0"/>
          <w:marTop w:val="0"/>
          <w:marBottom w:val="0"/>
          <w:divBdr>
            <w:top w:val="none" w:sz="0" w:space="0" w:color="auto"/>
            <w:left w:val="single" w:sz="6" w:space="0" w:color="BBBBBB"/>
            <w:bottom w:val="single" w:sz="6" w:space="0" w:color="BBBBBB"/>
            <w:right w:val="single" w:sz="6" w:space="0" w:color="BBBBBB"/>
          </w:divBdr>
          <w:divsChild>
            <w:div w:id="1807433166">
              <w:marLeft w:val="0"/>
              <w:marRight w:val="0"/>
              <w:marTop w:val="0"/>
              <w:marBottom w:val="0"/>
              <w:divBdr>
                <w:top w:val="none" w:sz="0" w:space="0" w:color="auto"/>
                <w:left w:val="none" w:sz="0" w:space="0" w:color="auto"/>
                <w:bottom w:val="none" w:sz="0" w:space="0" w:color="auto"/>
                <w:right w:val="none" w:sz="0" w:space="0" w:color="auto"/>
              </w:divBdr>
              <w:divsChild>
                <w:div w:id="718476616">
                  <w:marLeft w:val="0"/>
                  <w:marRight w:val="0"/>
                  <w:marTop w:val="0"/>
                  <w:marBottom w:val="0"/>
                  <w:divBdr>
                    <w:top w:val="none" w:sz="0" w:space="0" w:color="auto"/>
                    <w:left w:val="none" w:sz="0" w:space="0" w:color="auto"/>
                    <w:bottom w:val="none" w:sz="0" w:space="0" w:color="auto"/>
                    <w:right w:val="none" w:sz="0" w:space="0" w:color="auto"/>
                  </w:divBdr>
                  <w:divsChild>
                    <w:div w:id="547884588">
                      <w:marLeft w:val="0"/>
                      <w:marRight w:val="0"/>
                      <w:marTop w:val="0"/>
                      <w:marBottom w:val="0"/>
                      <w:divBdr>
                        <w:top w:val="none" w:sz="0" w:space="0" w:color="auto"/>
                        <w:left w:val="none" w:sz="0" w:space="0" w:color="auto"/>
                        <w:bottom w:val="none" w:sz="0" w:space="0" w:color="auto"/>
                        <w:right w:val="none" w:sz="0" w:space="0" w:color="auto"/>
                      </w:divBdr>
                      <w:divsChild>
                        <w:div w:id="155347052">
                          <w:marLeft w:val="0"/>
                          <w:marRight w:val="0"/>
                          <w:marTop w:val="0"/>
                          <w:marBottom w:val="0"/>
                          <w:divBdr>
                            <w:top w:val="none" w:sz="0" w:space="0" w:color="auto"/>
                            <w:left w:val="none" w:sz="0" w:space="0" w:color="auto"/>
                            <w:bottom w:val="none" w:sz="0" w:space="0" w:color="auto"/>
                            <w:right w:val="none" w:sz="0" w:space="0" w:color="auto"/>
                          </w:divBdr>
                          <w:divsChild>
                            <w:div w:id="1427650197">
                              <w:marLeft w:val="0"/>
                              <w:marRight w:val="0"/>
                              <w:marTop w:val="0"/>
                              <w:marBottom w:val="0"/>
                              <w:divBdr>
                                <w:top w:val="none" w:sz="0" w:space="0" w:color="auto"/>
                                <w:left w:val="none" w:sz="0" w:space="0" w:color="auto"/>
                                <w:bottom w:val="none" w:sz="0" w:space="0" w:color="auto"/>
                                <w:right w:val="none" w:sz="0" w:space="0" w:color="auto"/>
                              </w:divBdr>
                              <w:divsChild>
                                <w:div w:id="902564960">
                                  <w:marLeft w:val="0"/>
                                  <w:marRight w:val="0"/>
                                  <w:marTop w:val="0"/>
                                  <w:marBottom w:val="0"/>
                                  <w:divBdr>
                                    <w:top w:val="none" w:sz="0" w:space="0" w:color="auto"/>
                                    <w:left w:val="none" w:sz="0" w:space="0" w:color="auto"/>
                                    <w:bottom w:val="none" w:sz="0" w:space="0" w:color="auto"/>
                                    <w:right w:val="none" w:sz="0" w:space="0" w:color="auto"/>
                                  </w:divBdr>
                                  <w:divsChild>
                                    <w:div w:id="259993374">
                                      <w:marLeft w:val="0"/>
                                      <w:marRight w:val="0"/>
                                      <w:marTop w:val="0"/>
                                      <w:marBottom w:val="0"/>
                                      <w:divBdr>
                                        <w:top w:val="none" w:sz="0" w:space="0" w:color="auto"/>
                                        <w:left w:val="none" w:sz="0" w:space="0" w:color="auto"/>
                                        <w:bottom w:val="none" w:sz="0" w:space="0" w:color="auto"/>
                                        <w:right w:val="none" w:sz="0" w:space="0" w:color="auto"/>
                                      </w:divBdr>
                                      <w:divsChild>
                                        <w:div w:id="1880895885">
                                          <w:marLeft w:val="1200"/>
                                          <w:marRight w:val="1200"/>
                                          <w:marTop w:val="0"/>
                                          <w:marBottom w:val="0"/>
                                          <w:divBdr>
                                            <w:top w:val="none" w:sz="0" w:space="0" w:color="auto"/>
                                            <w:left w:val="none" w:sz="0" w:space="0" w:color="auto"/>
                                            <w:bottom w:val="none" w:sz="0" w:space="0" w:color="auto"/>
                                            <w:right w:val="none" w:sz="0" w:space="0" w:color="auto"/>
                                          </w:divBdr>
                                          <w:divsChild>
                                            <w:div w:id="325402551">
                                              <w:marLeft w:val="0"/>
                                              <w:marRight w:val="0"/>
                                              <w:marTop w:val="0"/>
                                              <w:marBottom w:val="0"/>
                                              <w:divBdr>
                                                <w:top w:val="none" w:sz="0" w:space="0" w:color="auto"/>
                                                <w:left w:val="none" w:sz="0" w:space="0" w:color="auto"/>
                                                <w:bottom w:val="none" w:sz="0" w:space="0" w:color="auto"/>
                                                <w:right w:val="none" w:sz="0" w:space="0" w:color="auto"/>
                                              </w:divBdr>
                                              <w:divsChild>
                                                <w:div w:id="1202017670">
                                                  <w:marLeft w:val="0"/>
                                                  <w:marRight w:val="0"/>
                                                  <w:marTop w:val="0"/>
                                                  <w:marBottom w:val="0"/>
                                                  <w:divBdr>
                                                    <w:top w:val="none" w:sz="0" w:space="0" w:color="auto"/>
                                                    <w:left w:val="none" w:sz="0" w:space="0" w:color="auto"/>
                                                    <w:bottom w:val="none" w:sz="0" w:space="0" w:color="auto"/>
                                                    <w:right w:val="none" w:sz="0" w:space="0" w:color="auto"/>
                                                  </w:divBdr>
                                                  <w:divsChild>
                                                    <w:div w:id="1344043752">
                                                      <w:marLeft w:val="0"/>
                                                      <w:marRight w:val="0"/>
                                                      <w:marTop w:val="0"/>
                                                      <w:marBottom w:val="0"/>
                                                      <w:divBdr>
                                                        <w:top w:val="none" w:sz="0" w:space="0" w:color="auto"/>
                                                        <w:left w:val="none" w:sz="0" w:space="0" w:color="auto"/>
                                                        <w:bottom w:val="none" w:sz="0" w:space="0" w:color="auto"/>
                                                        <w:right w:val="none" w:sz="0" w:space="0" w:color="auto"/>
                                                      </w:divBdr>
                                                      <w:divsChild>
                                                        <w:div w:id="346831795">
                                                          <w:marLeft w:val="0"/>
                                                          <w:marRight w:val="0"/>
                                                          <w:marTop w:val="0"/>
                                                          <w:marBottom w:val="0"/>
                                                          <w:divBdr>
                                                            <w:top w:val="none" w:sz="0" w:space="0" w:color="auto"/>
                                                            <w:left w:val="none" w:sz="0" w:space="0" w:color="auto"/>
                                                            <w:bottom w:val="none" w:sz="0" w:space="0" w:color="auto"/>
                                                            <w:right w:val="none" w:sz="0" w:space="0" w:color="auto"/>
                                                          </w:divBdr>
                                                          <w:divsChild>
                                                            <w:div w:id="169103596">
                                                              <w:marLeft w:val="0"/>
                                                              <w:marRight w:val="0"/>
                                                              <w:marTop w:val="0"/>
                                                              <w:marBottom w:val="0"/>
                                                              <w:divBdr>
                                                                <w:top w:val="none" w:sz="0" w:space="0" w:color="auto"/>
                                                                <w:left w:val="none" w:sz="0" w:space="0" w:color="auto"/>
                                                                <w:bottom w:val="none" w:sz="0" w:space="0" w:color="auto"/>
                                                                <w:right w:val="none" w:sz="0" w:space="0" w:color="auto"/>
                                                              </w:divBdr>
                                                            </w:div>
                                                          </w:divsChild>
                                                        </w:div>
                                                        <w:div w:id="1180392868">
                                                          <w:marLeft w:val="0"/>
                                                          <w:marRight w:val="0"/>
                                                          <w:marTop w:val="0"/>
                                                          <w:marBottom w:val="0"/>
                                                          <w:divBdr>
                                                            <w:top w:val="none" w:sz="0" w:space="0" w:color="auto"/>
                                                            <w:left w:val="none" w:sz="0" w:space="0" w:color="auto"/>
                                                            <w:bottom w:val="none" w:sz="0" w:space="0" w:color="auto"/>
                                                            <w:right w:val="none" w:sz="0" w:space="0" w:color="auto"/>
                                                          </w:divBdr>
                                                          <w:divsChild>
                                                            <w:div w:id="1368918789">
                                                              <w:marLeft w:val="0"/>
                                                              <w:marRight w:val="0"/>
                                                              <w:marTop w:val="0"/>
                                                              <w:marBottom w:val="0"/>
                                                              <w:divBdr>
                                                                <w:top w:val="none" w:sz="0" w:space="0" w:color="auto"/>
                                                                <w:left w:val="none" w:sz="0" w:space="0" w:color="auto"/>
                                                                <w:bottom w:val="none" w:sz="0" w:space="0" w:color="auto"/>
                                                                <w:right w:val="none" w:sz="0" w:space="0" w:color="auto"/>
                                                              </w:divBdr>
                                                            </w:div>
                                                          </w:divsChild>
                                                        </w:div>
                                                        <w:div w:id="1835141363">
                                                          <w:marLeft w:val="0"/>
                                                          <w:marRight w:val="0"/>
                                                          <w:marTop w:val="0"/>
                                                          <w:marBottom w:val="0"/>
                                                          <w:divBdr>
                                                            <w:top w:val="none" w:sz="0" w:space="0" w:color="auto"/>
                                                            <w:left w:val="none" w:sz="0" w:space="0" w:color="auto"/>
                                                            <w:bottom w:val="none" w:sz="0" w:space="0" w:color="auto"/>
                                                            <w:right w:val="none" w:sz="0" w:space="0" w:color="auto"/>
                                                          </w:divBdr>
                                                          <w:divsChild>
                                                            <w:div w:id="29356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0496239">
      <w:bodyDiv w:val="1"/>
      <w:marLeft w:val="0"/>
      <w:marRight w:val="0"/>
      <w:marTop w:val="0"/>
      <w:marBottom w:val="0"/>
      <w:divBdr>
        <w:top w:val="none" w:sz="0" w:space="0" w:color="auto"/>
        <w:left w:val="none" w:sz="0" w:space="0" w:color="auto"/>
        <w:bottom w:val="none" w:sz="0" w:space="0" w:color="auto"/>
        <w:right w:val="none" w:sz="0" w:space="0" w:color="auto"/>
      </w:divBdr>
      <w:divsChild>
        <w:div w:id="229384140">
          <w:marLeft w:val="0"/>
          <w:marRight w:val="0"/>
          <w:marTop w:val="240"/>
          <w:marBottom w:val="0"/>
          <w:divBdr>
            <w:top w:val="none" w:sz="0" w:space="0" w:color="auto"/>
            <w:left w:val="none" w:sz="0" w:space="0" w:color="auto"/>
            <w:bottom w:val="none" w:sz="0" w:space="0" w:color="auto"/>
            <w:right w:val="none" w:sz="0" w:space="0" w:color="auto"/>
          </w:divBdr>
          <w:divsChild>
            <w:div w:id="889264220">
              <w:marLeft w:val="0"/>
              <w:marRight w:val="0"/>
              <w:marTop w:val="0"/>
              <w:marBottom w:val="0"/>
              <w:divBdr>
                <w:top w:val="none" w:sz="0" w:space="0" w:color="auto"/>
                <w:left w:val="none" w:sz="0" w:space="0" w:color="auto"/>
                <w:bottom w:val="none" w:sz="0" w:space="0" w:color="auto"/>
                <w:right w:val="none" w:sz="0" w:space="0" w:color="auto"/>
              </w:divBdr>
            </w:div>
          </w:divsChild>
        </w:div>
        <w:div w:id="372386447">
          <w:marLeft w:val="0"/>
          <w:marRight w:val="0"/>
          <w:marTop w:val="240"/>
          <w:marBottom w:val="0"/>
          <w:divBdr>
            <w:top w:val="none" w:sz="0" w:space="0" w:color="auto"/>
            <w:left w:val="none" w:sz="0" w:space="0" w:color="auto"/>
            <w:bottom w:val="none" w:sz="0" w:space="0" w:color="auto"/>
            <w:right w:val="none" w:sz="0" w:space="0" w:color="auto"/>
          </w:divBdr>
          <w:divsChild>
            <w:div w:id="1429543371">
              <w:marLeft w:val="0"/>
              <w:marRight w:val="0"/>
              <w:marTop w:val="0"/>
              <w:marBottom w:val="0"/>
              <w:divBdr>
                <w:top w:val="none" w:sz="0" w:space="0" w:color="auto"/>
                <w:left w:val="none" w:sz="0" w:space="0" w:color="auto"/>
                <w:bottom w:val="none" w:sz="0" w:space="0" w:color="auto"/>
                <w:right w:val="none" w:sz="0" w:space="0" w:color="auto"/>
              </w:divBdr>
            </w:div>
          </w:divsChild>
        </w:div>
        <w:div w:id="1278677823">
          <w:marLeft w:val="0"/>
          <w:marRight w:val="0"/>
          <w:marTop w:val="240"/>
          <w:marBottom w:val="0"/>
          <w:divBdr>
            <w:top w:val="none" w:sz="0" w:space="0" w:color="auto"/>
            <w:left w:val="none" w:sz="0" w:space="0" w:color="auto"/>
            <w:bottom w:val="none" w:sz="0" w:space="0" w:color="auto"/>
            <w:right w:val="none" w:sz="0" w:space="0" w:color="auto"/>
          </w:divBdr>
          <w:divsChild>
            <w:div w:id="900989741">
              <w:marLeft w:val="0"/>
              <w:marRight w:val="0"/>
              <w:marTop w:val="0"/>
              <w:marBottom w:val="0"/>
              <w:divBdr>
                <w:top w:val="none" w:sz="0" w:space="0" w:color="auto"/>
                <w:left w:val="none" w:sz="0" w:space="0" w:color="auto"/>
                <w:bottom w:val="none" w:sz="0" w:space="0" w:color="auto"/>
                <w:right w:val="none" w:sz="0" w:space="0" w:color="auto"/>
              </w:divBdr>
            </w:div>
          </w:divsChild>
        </w:div>
        <w:div w:id="1392076665">
          <w:marLeft w:val="0"/>
          <w:marRight w:val="0"/>
          <w:marTop w:val="0"/>
          <w:marBottom w:val="0"/>
          <w:divBdr>
            <w:top w:val="none" w:sz="0" w:space="0" w:color="auto"/>
            <w:left w:val="none" w:sz="0" w:space="0" w:color="auto"/>
            <w:bottom w:val="none" w:sz="0" w:space="0" w:color="auto"/>
            <w:right w:val="none" w:sz="0" w:space="0" w:color="auto"/>
          </w:divBdr>
        </w:div>
      </w:divsChild>
    </w:div>
    <w:div w:id="1462649125">
      <w:bodyDiv w:val="1"/>
      <w:marLeft w:val="0"/>
      <w:marRight w:val="0"/>
      <w:marTop w:val="0"/>
      <w:marBottom w:val="0"/>
      <w:divBdr>
        <w:top w:val="none" w:sz="0" w:space="0" w:color="auto"/>
        <w:left w:val="none" w:sz="0" w:space="0" w:color="auto"/>
        <w:bottom w:val="none" w:sz="0" w:space="0" w:color="auto"/>
        <w:right w:val="none" w:sz="0" w:space="0" w:color="auto"/>
      </w:divBdr>
      <w:divsChild>
        <w:div w:id="829294588">
          <w:marLeft w:val="0"/>
          <w:marRight w:val="0"/>
          <w:marTop w:val="0"/>
          <w:marBottom w:val="0"/>
          <w:divBdr>
            <w:top w:val="none" w:sz="0" w:space="0" w:color="auto"/>
            <w:left w:val="none" w:sz="0" w:space="0" w:color="auto"/>
            <w:bottom w:val="none" w:sz="0" w:space="0" w:color="auto"/>
            <w:right w:val="none" w:sz="0" w:space="0" w:color="auto"/>
          </w:divBdr>
          <w:divsChild>
            <w:div w:id="358622775">
              <w:marLeft w:val="0"/>
              <w:marRight w:val="0"/>
              <w:marTop w:val="0"/>
              <w:marBottom w:val="0"/>
              <w:divBdr>
                <w:top w:val="none" w:sz="0" w:space="0" w:color="auto"/>
                <w:left w:val="none" w:sz="0" w:space="0" w:color="auto"/>
                <w:bottom w:val="none" w:sz="0" w:space="0" w:color="auto"/>
                <w:right w:val="none" w:sz="0" w:space="0" w:color="auto"/>
              </w:divBdr>
              <w:divsChild>
                <w:div w:id="42482132">
                  <w:marLeft w:val="0"/>
                  <w:marRight w:val="0"/>
                  <w:marTop w:val="0"/>
                  <w:marBottom w:val="0"/>
                  <w:divBdr>
                    <w:top w:val="none" w:sz="0" w:space="0" w:color="auto"/>
                    <w:left w:val="none" w:sz="0" w:space="0" w:color="auto"/>
                    <w:bottom w:val="none" w:sz="0" w:space="0" w:color="auto"/>
                    <w:right w:val="none" w:sz="0" w:space="0" w:color="auto"/>
                  </w:divBdr>
                  <w:divsChild>
                    <w:div w:id="1410804829">
                      <w:marLeft w:val="0"/>
                      <w:marRight w:val="0"/>
                      <w:marTop w:val="0"/>
                      <w:marBottom w:val="375"/>
                      <w:divBdr>
                        <w:top w:val="none" w:sz="0" w:space="0" w:color="auto"/>
                        <w:left w:val="none" w:sz="0" w:space="0" w:color="auto"/>
                        <w:bottom w:val="none" w:sz="0" w:space="0" w:color="auto"/>
                        <w:right w:val="none" w:sz="0" w:space="0" w:color="auto"/>
                      </w:divBdr>
                      <w:divsChild>
                        <w:div w:id="18726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119688">
      <w:bodyDiv w:val="1"/>
      <w:marLeft w:val="0"/>
      <w:marRight w:val="0"/>
      <w:marTop w:val="0"/>
      <w:marBottom w:val="0"/>
      <w:divBdr>
        <w:top w:val="none" w:sz="0" w:space="0" w:color="auto"/>
        <w:left w:val="none" w:sz="0" w:space="0" w:color="auto"/>
        <w:bottom w:val="none" w:sz="0" w:space="0" w:color="auto"/>
        <w:right w:val="none" w:sz="0" w:space="0" w:color="auto"/>
      </w:divBdr>
    </w:div>
    <w:div w:id="1470325603">
      <w:bodyDiv w:val="1"/>
      <w:marLeft w:val="0"/>
      <w:marRight w:val="0"/>
      <w:marTop w:val="0"/>
      <w:marBottom w:val="0"/>
      <w:divBdr>
        <w:top w:val="none" w:sz="0" w:space="0" w:color="auto"/>
        <w:left w:val="none" w:sz="0" w:space="0" w:color="auto"/>
        <w:bottom w:val="none" w:sz="0" w:space="0" w:color="auto"/>
        <w:right w:val="none" w:sz="0" w:space="0" w:color="auto"/>
      </w:divBdr>
      <w:divsChild>
        <w:div w:id="359357115">
          <w:marLeft w:val="0"/>
          <w:marRight w:val="0"/>
          <w:marTop w:val="240"/>
          <w:marBottom w:val="0"/>
          <w:divBdr>
            <w:top w:val="none" w:sz="0" w:space="0" w:color="auto"/>
            <w:left w:val="none" w:sz="0" w:space="0" w:color="auto"/>
            <w:bottom w:val="none" w:sz="0" w:space="0" w:color="auto"/>
            <w:right w:val="none" w:sz="0" w:space="0" w:color="auto"/>
          </w:divBdr>
          <w:divsChild>
            <w:div w:id="669218111">
              <w:marLeft w:val="0"/>
              <w:marRight w:val="0"/>
              <w:marTop w:val="0"/>
              <w:marBottom w:val="0"/>
              <w:divBdr>
                <w:top w:val="none" w:sz="0" w:space="0" w:color="auto"/>
                <w:left w:val="none" w:sz="0" w:space="0" w:color="auto"/>
                <w:bottom w:val="none" w:sz="0" w:space="0" w:color="auto"/>
                <w:right w:val="none" w:sz="0" w:space="0" w:color="auto"/>
              </w:divBdr>
            </w:div>
          </w:divsChild>
        </w:div>
        <w:div w:id="614336228">
          <w:marLeft w:val="0"/>
          <w:marRight w:val="0"/>
          <w:marTop w:val="240"/>
          <w:marBottom w:val="0"/>
          <w:divBdr>
            <w:top w:val="none" w:sz="0" w:space="0" w:color="auto"/>
            <w:left w:val="none" w:sz="0" w:space="0" w:color="auto"/>
            <w:bottom w:val="none" w:sz="0" w:space="0" w:color="auto"/>
            <w:right w:val="none" w:sz="0" w:space="0" w:color="auto"/>
          </w:divBdr>
          <w:divsChild>
            <w:div w:id="526791040">
              <w:marLeft w:val="0"/>
              <w:marRight w:val="0"/>
              <w:marTop w:val="0"/>
              <w:marBottom w:val="0"/>
              <w:divBdr>
                <w:top w:val="none" w:sz="0" w:space="0" w:color="auto"/>
                <w:left w:val="none" w:sz="0" w:space="0" w:color="auto"/>
                <w:bottom w:val="none" w:sz="0" w:space="0" w:color="auto"/>
                <w:right w:val="none" w:sz="0" w:space="0" w:color="auto"/>
              </w:divBdr>
            </w:div>
          </w:divsChild>
        </w:div>
        <w:div w:id="845630477">
          <w:marLeft w:val="0"/>
          <w:marRight w:val="0"/>
          <w:marTop w:val="240"/>
          <w:marBottom w:val="0"/>
          <w:divBdr>
            <w:top w:val="none" w:sz="0" w:space="0" w:color="auto"/>
            <w:left w:val="none" w:sz="0" w:space="0" w:color="auto"/>
            <w:bottom w:val="none" w:sz="0" w:space="0" w:color="auto"/>
            <w:right w:val="none" w:sz="0" w:space="0" w:color="auto"/>
          </w:divBdr>
          <w:divsChild>
            <w:div w:id="1869905633">
              <w:marLeft w:val="0"/>
              <w:marRight w:val="0"/>
              <w:marTop w:val="0"/>
              <w:marBottom w:val="0"/>
              <w:divBdr>
                <w:top w:val="none" w:sz="0" w:space="0" w:color="auto"/>
                <w:left w:val="none" w:sz="0" w:space="0" w:color="auto"/>
                <w:bottom w:val="none" w:sz="0" w:space="0" w:color="auto"/>
                <w:right w:val="none" w:sz="0" w:space="0" w:color="auto"/>
              </w:divBdr>
            </w:div>
          </w:divsChild>
        </w:div>
        <w:div w:id="1239436823">
          <w:marLeft w:val="0"/>
          <w:marRight w:val="0"/>
          <w:marTop w:val="240"/>
          <w:marBottom w:val="0"/>
          <w:divBdr>
            <w:top w:val="none" w:sz="0" w:space="0" w:color="auto"/>
            <w:left w:val="none" w:sz="0" w:space="0" w:color="auto"/>
            <w:bottom w:val="none" w:sz="0" w:space="0" w:color="auto"/>
            <w:right w:val="none" w:sz="0" w:space="0" w:color="auto"/>
          </w:divBdr>
          <w:divsChild>
            <w:div w:id="19564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5683">
      <w:bodyDiv w:val="1"/>
      <w:marLeft w:val="0"/>
      <w:marRight w:val="0"/>
      <w:marTop w:val="0"/>
      <w:marBottom w:val="0"/>
      <w:divBdr>
        <w:top w:val="none" w:sz="0" w:space="0" w:color="auto"/>
        <w:left w:val="none" w:sz="0" w:space="0" w:color="auto"/>
        <w:bottom w:val="none" w:sz="0" w:space="0" w:color="auto"/>
        <w:right w:val="none" w:sz="0" w:space="0" w:color="auto"/>
      </w:divBdr>
      <w:divsChild>
        <w:div w:id="1805728698">
          <w:marLeft w:val="0"/>
          <w:marRight w:val="0"/>
          <w:marTop w:val="240"/>
          <w:marBottom w:val="0"/>
          <w:divBdr>
            <w:top w:val="none" w:sz="0" w:space="0" w:color="auto"/>
            <w:left w:val="none" w:sz="0" w:space="0" w:color="auto"/>
            <w:bottom w:val="none" w:sz="0" w:space="0" w:color="auto"/>
            <w:right w:val="none" w:sz="0" w:space="0" w:color="auto"/>
          </w:divBdr>
          <w:divsChild>
            <w:div w:id="7802980">
              <w:marLeft w:val="0"/>
              <w:marRight w:val="0"/>
              <w:marTop w:val="0"/>
              <w:marBottom w:val="0"/>
              <w:divBdr>
                <w:top w:val="none" w:sz="0" w:space="0" w:color="auto"/>
                <w:left w:val="none" w:sz="0" w:space="0" w:color="auto"/>
                <w:bottom w:val="none" w:sz="0" w:space="0" w:color="auto"/>
                <w:right w:val="none" w:sz="0" w:space="0" w:color="auto"/>
              </w:divBdr>
            </w:div>
          </w:divsChild>
        </w:div>
        <w:div w:id="2014792522">
          <w:marLeft w:val="0"/>
          <w:marRight w:val="0"/>
          <w:marTop w:val="0"/>
          <w:marBottom w:val="0"/>
          <w:divBdr>
            <w:top w:val="none" w:sz="0" w:space="0" w:color="auto"/>
            <w:left w:val="none" w:sz="0" w:space="0" w:color="auto"/>
            <w:bottom w:val="none" w:sz="0" w:space="0" w:color="auto"/>
            <w:right w:val="none" w:sz="0" w:space="0" w:color="auto"/>
          </w:divBdr>
        </w:div>
      </w:divsChild>
    </w:div>
    <w:div w:id="1473212574">
      <w:bodyDiv w:val="1"/>
      <w:marLeft w:val="0"/>
      <w:marRight w:val="0"/>
      <w:marTop w:val="0"/>
      <w:marBottom w:val="0"/>
      <w:divBdr>
        <w:top w:val="none" w:sz="0" w:space="0" w:color="auto"/>
        <w:left w:val="none" w:sz="0" w:space="0" w:color="auto"/>
        <w:bottom w:val="none" w:sz="0" w:space="0" w:color="auto"/>
        <w:right w:val="none" w:sz="0" w:space="0" w:color="auto"/>
      </w:divBdr>
      <w:divsChild>
        <w:div w:id="304359339">
          <w:marLeft w:val="0"/>
          <w:marRight w:val="0"/>
          <w:marTop w:val="0"/>
          <w:marBottom w:val="0"/>
          <w:divBdr>
            <w:top w:val="none" w:sz="0" w:space="0" w:color="auto"/>
            <w:left w:val="single" w:sz="6" w:space="0" w:color="BBBBBB"/>
            <w:bottom w:val="single" w:sz="6" w:space="0" w:color="BBBBBB"/>
            <w:right w:val="single" w:sz="6" w:space="0" w:color="BBBBBB"/>
          </w:divBdr>
          <w:divsChild>
            <w:div w:id="16121936">
              <w:marLeft w:val="0"/>
              <w:marRight w:val="0"/>
              <w:marTop w:val="0"/>
              <w:marBottom w:val="0"/>
              <w:divBdr>
                <w:top w:val="none" w:sz="0" w:space="0" w:color="auto"/>
                <w:left w:val="none" w:sz="0" w:space="0" w:color="auto"/>
                <w:bottom w:val="none" w:sz="0" w:space="0" w:color="auto"/>
                <w:right w:val="none" w:sz="0" w:space="0" w:color="auto"/>
              </w:divBdr>
              <w:divsChild>
                <w:div w:id="1740442915">
                  <w:marLeft w:val="0"/>
                  <w:marRight w:val="0"/>
                  <w:marTop w:val="75"/>
                  <w:marBottom w:val="0"/>
                  <w:divBdr>
                    <w:top w:val="none" w:sz="0" w:space="0" w:color="auto"/>
                    <w:left w:val="none" w:sz="0" w:space="0" w:color="auto"/>
                    <w:bottom w:val="none" w:sz="0" w:space="0" w:color="auto"/>
                    <w:right w:val="none" w:sz="0" w:space="0" w:color="auto"/>
                  </w:divBdr>
                  <w:divsChild>
                    <w:div w:id="306202101">
                      <w:marLeft w:val="0"/>
                      <w:marRight w:val="0"/>
                      <w:marTop w:val="0"/>
                      <w:marBottom w:val="0"/>
                      <w:divBdr>
                        <w:top w:val="none" w:sz="0" w:space="0" w:color="auto"/>
                        <w:left w:val="none" w:sz="0" w:space="0" w:color="auto"/>
                        <w:bottom w:val="none" w:sz="0" w:space="0" w:color="auto"/>
                        <w:right w:val="none" w:sz="0" w:space="0" w:color="auto"/>
                      </w:divBdr>
                      <w:divsChild>
                        <w:div w:id="213391862">
                          <w:marLeft w:val="0"/>
                          <w:marRight w:val="0"/>
                          <w:marTop w:val="0"/>
                          <w:marBottom w:val="0"/>
                          <w:divBdr>
                            <w:top w:val="none" w:sz="0" w:space="0" w:color="auto"/>
                            <w:left w:val="none" w:sz="0" w:space="0" w:color="auto"/>
                            <w:bottom w:val="none" w:sz="0" w:space="0" w:color="auto"/>
                            <w:right w:val="none" w:sz="0" w:space="0" w:color="auto"/>
                          </w:divBdr>
                          <w:divsChild>
                            <w:div w:id="735394183">
                              <w:marLeft w:val="0"/>
                              <w:marRight w:val="0"/>
                              <w:marTop w:val="0"/>
                              <w:marBottom w:val="0"/>
                              <w:divBdr>
                                <w:top w:val="none" w:sz="0" w:space="0" w:color="auto"/>
                                <w:left w:val="none" w:sz="0" w:space="0" w:color="auto"/>
                                <w:bottom w:val="none" w:sz="0" w:space="0" w:color="auto"/>
                                <w:right w:val="none" w:sz="0" w:space="0" w:color="auto"/>
                              </w:divBdr>
                              <w:divsChild>
                                <w:div w:id="271598347">
                                  <w:marLeft w:val="0"/>
                                  <w:marRight w:val="0"/>
                                  <w:marTop w:val="0"/>
                                  <w:marBottom w:val="0"/>
                                  <w:divBdr>
                                    <w:top w:val="none" w:sz="0" w:space="0" w:color="auto"/>
                                    <w:left w:val="none" w:sz="0" w:space="0" w:color="auto"/>
                                    <w:bottom w:val="none" w:sz="0" w:space="0" w:color="auto"/>
                                    <w:right w:val="none" w:sz="0" w:space="0" w:color="auto"/>
                                  </w:divBdr>
                                  <w:divsChild>
                                    <w:div w:id="1610503518">
                                      <w:marLeft w:val="0"/>
                                      <w:marRight w:val="0"/>
                                      <w:marTop w:val="0"/>
                                      <w:marBottom w:val="0"/>
                                      <w:divBdr>
                                        <w:top w:val="none" w:sz="0" w:space="0" w:color="auto"/>
                                        <w:left w:val="none" w:sz="0" w:space="0" w:color="auto"/>
                                        <w:bottom w:val="none" w:sz="0" w:space="0" w:color="auto"/>
                                        <w:right w:val="none" w:sz="0" w:space="0" w:color="auto"/>
                                      </w:divBdr>
                                      <w:divsChild>
                                        <w:div w:id="491874387">
                                          <w:marLeft w:val="1200"/>
                                          <w:marRight w:val="1200"/>
                                          <w:marTop w:val="0"/>
                                          <w:marBottom w:val="0"/>
                                          <w:divBdr>
                                            <w:top w:val="none" w:sz="0" w:space="0" w:color="auto"/>
                                            <w:left w:val="none" w:sz="0" w:space="0" w:color="auto"/>
                                            <w:bottom w:val="none" w:sz="0" w:space="0" w:color="auto"/>
                                            <w:right w:val="none" w:sz="0" w:space="0" w:color="auto"/>
                                          </w:divBdr>
                                          <w:divsChild>
                                            <w:div w:id="433667424">
                                              <w:marLeft w:val="0"/>
                                              <w:marRight w:val="0"/>
                                              <w:marTop w:val="0"/>
                                              <w:marBottom w:val="0"/>
                                              <w:divBdr>
                                                <w:top w:val="none" w:sz="0" w:space="0" w:color="auto"/>
                                                <w:left w:val="none" w:sz="0" w:space="0" w:color="auto"/>
                                                <w:bottom w:val="none" w:sz="0" w:space="0" w:color="auto"/>
                                                <w:right w:val="none" w:sz="0" w:space="0" w:color="auto"/>
                                              </w:divBdr>
                                              <w:divsChild>
                                                <w:div w:id="2057124392">
                                                  <w:marLeft w:val="0"/>
                                                  <w:marRight w:val="0"/>
                                                  <w:marTop w:val="0"/>
                                                  <w:marBottom w:val="0"/>
                                                  <w:divBdr>
                                                    <w:top w:val="none" w:sz="0" w:space="0" w:color="auto"/>
                                                    <w:left w:val="none" w:sz="0" w:space="0" w:color="auto"/>
                                                    <w:bottom w:val="none" w:sz="0" w:space="0" w:color="auto"/>
                                                    <w:right w:val="none" w:sz="0" w:space="0" w:color="auto"/>
                                                  </w:divBdr>
                                                  <w:divsChild>
                                                    <w:div w:id="1134559872">
                                                      <w:marLeft w:val="0"/>
                                                      <w:marRight w:val="0"/>
                                                      <w:marTop w:val="0"/>
                                                      <w:marBottom w:val="0"/>
                                                      <w:divBdr>
                                                        <w:top w:val="none" w:sz="0" w:space="0" w:color="auto"/>
                                                        <w:left w:val="none" w:sz="0" w:space="0" w:color="auto"/>
                                                        <w:bottom w:val="none" w:sz="0" w:space="0" w:color="auto"/>
                                                        <w:right w:val="none" w:sz="0" w:space="0" w:color="auto"/>
                                                      </w:divBdr>
                                                      <w:divsChild>
                                                        <w:div w:id="1096092951">
                                                          <w:marLeft w:val="0"/>
                                                          <w:marRight w:val="0"/>
                                                          <w:marTop w:val="0"/>
                                                          <w:marBottom w:val="0"/>
                                                          <w:divBdr>
                                                            <w:top w:val="none" w:sz="0" w:space="0" w:color="auto"/>
                                                            <w:left w:val="none" w:sz="0" w:space="0" w:color="auto"/>
                                                            <w:bottom w:val="none" w:sz="0" w:space="0" w:color="auto"/>
                                                            <w:right w:val="none" w:sz="0" w:space="0" w:color="auto"/>
                                                          </w:divBdr>
                                                          <w:divsChild>
                                                            <w:div w:id="387070268">
                                                              <w:marLeft w:val="0"/>
                                                              <w:marRight w:val="0"/>
                                                              <w:marTop w:val="0"/>
                                                              <w:marBottom w:val="0"/>
                                                              <w:divBdr>
                                                                <w:top w:val="none" w:sz="0" w:space="0" w:color="auto"/>
                                                                <w:left w:val="none" w:sz="0" w:space="0" w:color="auto"/>
                                                                <w:bottom w:val="none" w:sz="0" w:space="0" w:color="auto"/>
                                                                <w:right w:val="none" w:sz="0" w:space="0" w:color="auto"/>
                                                              </w:divBdr>
                                                              <w:divsChild>
                                                                <w:div w:id="1309868453">
                                                                  <w:marLeft w:val="0"/>
                                                                  <w:marRight w:val="0"/>
                                                                  <w:marTop w:val="0"/>
                                                                  <w:marBottom w:val="0"/>
                                                                  <w:divBdr>
                                                                    <w:top w:val="none" w:sz="0" w:space="0" w:color="auto"/>
                                                                    <w:left w:val="none" w:sz="0" w:space="0" w:color="auto"/>
                                                                    <w:bottom w:val="none" w:sz="0" w:space="0" w:color="auto"/>
                                                                    <w:right w:val="none" w:sz="0" w:space="0" w:color="auto"/>
                                                                  </w:divBdr>
                                                                  <w:divsChild>
                                                                    <w:div w:id="119106802">
                                                                      <w:marLeft w:val="0"/>
                                                                      <w:marRight w:val="0"/>
                                                                      <w:marTop w:val="0"/>
                                                                      <w:marBottom w:val="0"/>
                                                                      <w:divBdr>
                                                                        <w:top w:val="none" w:sz="0" w:space="0" w:color="auto"/>
                                                                        <w:left w:val="none" w:sz="0" w:space="0" w:color="auto"/>
                                                                        <w:bottom w:val="none" w:sz="0" w:space="0" w:color="auto"/>
                                                                        <w:right w:val="none" w:sz="0" w:space="0" w:color="auto"/>
                                                                      </w:divBdr>
                                                                      <w:divsChild>
                                                                        <w:div w:id="1964648885">
                                                                          <w:marLeft w:val="0"/>
                                                                          <w:marRight w:val="0"/>
                                                                          <w:marTop w:val="0"/>
                                                                          <w:marBottom w:val="0"/>
                                                                          <w:divBdr>
                                                                            <w:top w:val="none" w:sz="0" w:space="0" w:color="auto"/>
                                                                            <w:left w:val="none" w:sz="0" w:space="0" w:color="auto"/>
                                                                            <w:bottom w:val="none" w:sz="0" w:space="0" w:color="auto"/>
                                                                            <w:right w:val="none" w:sz="0" w:space="0" w:color="auto"/>
                                                                          </w:divBdr>
                                                                        </w:div>
                                                                      </w:divsChild>
                                                                    </w:div>
                                                                    <w:div w:id="204413011">
                                                                      <w:marLeft w:val="0"/>
                                                                      <w:marRight w:val="0"/>
                                                                      <w:marTop w:val="0"/>
                                                                      <w:marBottom w:val="0"/>
                                                                      <w:divBdr>
                                                                        <w:top w:val="none" w:sz="0" w:space="0" w:color="auto"/>
                                                                        <w:left w:val="none" w:sz="0" w:space="0" w:color="auto"/>
                                                                        <w:bottom w:val="none" w:sz="0" w:space="0" w:color="auto"/>
                                                                        <w:right w:val="none" w:sz="0" w:space="0" w:color="auto"/>
                                                                      </w:divBdr>
                                                                      <w:divsChild>
                                                                        <w:div w:id="808598179">
                                                                          <w:marLeft w:val="0"/>
                                                                          <w:marRight w:val="0"/>
                                                                          <w:marTop w:val="0"/>
                                                                          <w:marBottom w:val="0"/>
                                                                          <w:divBdr>
                                                                            <w:top w:val="none" w:sz="0" w:space="0" w:color="auto"/>
                                                                            <w:left w:val="none" w:sz="0" w:space="0" w:color="auto"/>
                                                                            <w:bottom w:val="none" w:sz="0" w:space="0" w:color="auto"/>
                                                                            <w:right w:val="none" w:sz="0" w:space="0" w:color="auto"/>
                                                                          </w:divBdr>
                                                                        </w:div>
                                                                      </w:divsChild>
                                                                    </w:div>
                                                                    <w:div w:id="777992945">
                                                                      <w:marLeft w:val="0"/>
                                                                      <w:marRight w:val="0"/>
                                                                      <w:marTop w:val="0"/>
                                                                      <w:marBottom w:val="0"/>
                                                                      <w:divBdr>
                                                                        <w:top w:val="none" w:sz="0" w:space="0" w:color="auto"/>
                                                                        <w:left w:val="none" w:sz="0" w:space="0" w:color="auto"/>
                                                                        <w:bottom w:val="none" w:sz="0" w:space="0" w:color="auto"/>
                                                                        <w:right w:val="none" w:sz="0" w:space="0" w:color="auto"/>
                                                                      </w:divBdr>
                                                                      <w:divsChild>
                                                                        <w:div w:id="1097942152">
                                                                          <w:marLeft w:val="0"/>
                                                                          <w:marRight w:val="0"/>
                                                                          <w:marTop w:val="0"/>
                                                                          <w:marBottom w:val="0"/>
                                                                          <w:divBdr>
                                                                            <w:top w:val="none" w:sz="0" w:space="0" w:color="auto"/>
                                                                            <w:left w:val="none" w:sz="0" w:space="0" w:color="auto"/>
                                                                            <w:bottom w:val="none" w:sz="0" w:space="0" w:color="auto"/>
                                                                            <w:right w:val="none" w:sz="0" w:space="0" w:color="auto"/>
                                                                          </w:divBdr>
                                                                        </w:div>
                                                                      </w:divsChild>
                                                                    </w:div>
                                                                    <w:div w:id="995498818">
                                                                      <w:marLeft w:val="0"/>
                                                                      <w:marRight w:val="0"/>
                                                                      <w:marTop w:val="0"/>
                                                                      <w:marBottom w:val="0"/>
                                                                      <w:divBdr>
                                                                        <w:top w:val="none" w:sz="0" w:space="0" w:color="auto"/>
                                                                        <w:left w:val="none" w:sz="0" w:space="0" w:color="auto"/>
                                                                        <w:bottom w:val="none" w:sz="0" w:space="0" w:color="auto"/>
                                                                        <w:right w:val="none" w:sz="0" w:space="0" w:color="auto"/>
                                                                      </w:divBdr>
                                                                      <w:divsChild>
                                                                        <w:div w:id="380519727">
                                                                          <w:marLeft w:val="0"/>
                                                                          <w:marRight w:val="0"/>
                                                                          <w:marTop w:val="0"/>
                                                                          <w:marBottom w:val="0"/>
                                                                          <w:divBdr>
                                                                            <w:top w:val="none" w:sz="0" w:space="0" w:color="auto"/>
                                                                            <w:left w:val="none" w:sz="0" w:space="0" w:color="auto"/>
                                                                            <w:bottom w:val="none" w:sz="0" w:space="0" w:color="auto"/>
                                                                            <w:right w:val="none" w:sz="0" w:space="0" w:color="auto"/>
                                                                          </w:divBdr>
                                                                        </w:div>
                                                                      </w:divsChild>
                                                                    </w:div>
                                                                    <w:div w:id="1120148657">
                                                                      <w:marLeft w:val="0"/>
                                                                      <w:marRight w:val="0"/>
                                                                      <w:marTop w:val="0"/>
                                                                      <w:marBottom w:val="0"/>
                                                                      <w:divBdr>
                                                                        <w:top w:val="none" w:sz="0" w:space="0" w:color="auto"/>
                                                                        <w:left w:val="none" w:sz="0" w:space="0" w:color="auto"/>
                                                                        <w:bottom w:val="none" w:sz="0" w:space="0" w:color="auto"/>
                                                                        <w:right w:val="none" w:sz="0" w:space="0" w:color="auto"/>
                                                                      </w:divBdr>
                                                                      <w:divsChild>
                                                                        <w:div w:id="931619502">
                                                                          <w:marLeft w:val="0"/>
                                                                          <w:marRight w:val="0"/>
                                                                          <w:marTop w:val="0"/>
                                                                          <w:marBottom w:val="0"/>
                                                                          <w:divBdr>
                                                                            <w:top w:val="none" w:sz="0" w:space="0" w:color="auto"/>
                                                                            <w:left w:val="none" w:sz="0" w:space="0" w:color="auto"/>
                                                                            <w:bottom w:val="none" w:sz="0" w:space="0" w:color="auto"/>
                                                                            <w:right w:val="none" w:sz="0" w:space="0" w:color="auto"/>
                                                                          </w:divBdr>
                                                                        </w:div>
                                                                      </w:divsChild>
                                                                    </w:div>
                                                                    <w:div w:id="1144854301">
                                                                      <w:marLeft w:val="0"/>
                                                                      <w:marRight w:val="0"/>
                                                                      <w:marTop w:val="0"/>
                                                                      <w:marBottom w:val="0"/>
                                                                      <w:divBdr>
                                                                        <w:top w:val="none" w:sz="0" w:space="0" w:color="auto"/>
                                                                        <w:left w:val="none" w:sz="0" w:space="0" w:color="auto"/>
                                                                        <w:bottom w:val="none" w:sz="0" w:space="0" w:color="auto"/>
                                                                        <w:right w:val="none" w:sz="0" w:space="0" w:color="auto"/>
                                                                      </w:divBdr>
                                                                      <w:divsChild>
                                                                        <w:div w:id="1260060707">
                                                                          <w:marLeft w:val="0"/>
                                                                          <w:marRight w:val="0"/>
                                                                          <w:marTop w:val="0"/>
                                                                          <w:marBottom w:val="0"/>
                                                                          <w:divBdr>
                                                                            <w:top w:val="none" w:sz="0" w:space="0" w:color="auto"/>
                                                                            <w:left w:val="none" w:sz="0" w:space="0" w:color="auto"/>
                                                                            <w:bottom w:val="none" w:sz="0" w:space="0" w:color="auto"/>
                                                                            <w:right w:val="none" w:sz="0" w:space="0" w:color="auto"/>
                                                                          </w:divBdr>
                                                                        </w:div>
                                                                      </w:divsChild>
                                                                    </w:div>
                                                                    <w:div w:id="1830242968">
                                                                      <w:marLeft w:val="0"/>
                                                                      <w:marRight w:val="0"/>
                                                                      <w:marTop w:val="0"/>
                                                                      <w:marBottom w:val="0"/>
                                                                      <w:divBdr>
                                                                        <w:top w:val="none" w:sz="0" w:space="0" w:color="auto"/>
                                                                        <w:left w:val="none" w:sz="0" w:space="0" w:color="auto"/>
                                                                        <w:bottom w:val="none" w:sz="0" w:space="0" w:color="auto"/>
                                                                        <w:right w:val="none" w:sz="0" w:space="0" w:color="auto"/>
                                                                      </w:divBdr>
                                                                      <w:divsChild>
                                                                        <w:div w:id="569314481">
                                                                          <w:marLeft w:val="0"/>
                                                                          <w:marRight w:val="0"/>
                                                                          <w:marTop w:val="0"/>
                                                                          <w:marBottom w:val="0"/>
                                                                          <w:divBdr>
                                                                            <w:top w:val="none" w:sz="0" w:space="0" w:color="auto"/>
                                                                            <w:left w:val="none" w:sz="0" w:space="0" w:color="auto"/>
                                                                            <w:bottom w:val="none" w:sz="0" w:space="0" w:color="auto"/>
                                                                            <w:right w:val="none" w:sz="0" w:space="0" w:color="auto"/>
                                                                          </w:divBdr>
                                                                        </w:div>
                                                                      </w:divsChild>
                                                                    </w:div>
                                                                    <w:div w:id="2058311526">
                                                                      <w:marLeft w:val="0"/>
                                                                      <w:marRight w:val="0"/>
                                                                      <w:marTop w:val="0"/>
                                                                      <w:marBottom w:val="0"/>
                                                                      <w:divBdr>
                                                                        <w:top w:val="none" w:sz="0" w:space="0" w:color="auto"/>
                                                                        <w:left w:val="none" w:sz="0" w:space="0" w:color="auto"/>
                                                                        <w:bottom w:val="none" w:sz="0" w:space="0" w:color="auto"/>
                                                                        <w:right w:val="none" w:sz="0" w:space="0" w:color="auto"/>
                                                                      </w:divBdr>
                                                                      <w:divsChild>
                                                                        <w:div w:id="85538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3476444">
      <w:bodyDiv w:val="1"/>
      <w:marLeft w:val="0"/>
      <w:marRight w:val="0"/>
      <w:marTop w:val="0"/>
      <w:marBottom w:val="0"/>
      <w:divBdr>
        <w:top w:val="none" w:sz="0" w:space="0" w:color="auto"/>
        <w:left w:val="none" w:sz="0" w:space="0" w:color="auto"/>
        <w:bottom w:val="none" w:sz="0" w:space="0" w:color="auto"/>
        <w:right w:val="none" w:sz="0" w:space="0" w:color="auto"/>
      </w:divBdr>
      <w:divsChild>
        <w:div w:id="26878413">
          <w:marLeft w:val="0"/>
          <w:marRight w:val="0"/>
          <w:marTop w:val="0"/>
          <w:marBottom w:val="0"/>
          <w:divBdr>
            <w:top w:val="none" w:sz="0" w:space="0" w:color="auto"/>
            <w:left w:val="none" w:sz="0" w:space="0" w:color="auto"/>
            <w:bottom w:val="none" w:sz="0" w:space="0" w:color="auto"/>
            <w:right w:val="none" w:sz="0" w:space="0" w:color="auto"/>
          </w:divBdr>
          <w:divsChild>
            <w:div w:id="41565211">
              <w:marLeft w:val="0"/>
              <w:marRight w:val="0"/>
              <w:marTop w:val="0"/>
              <w:marBottom w:val="0"/>
              <w:divBdr>
                <w:top w:val="none" w:sz="0" w:space="0" w:color="auto"/>
                <w:left w:val="none" w:sz="0" w:space="0" w:color="auto"/>
                <w:bottom w:val="none" w:sz="0" w:space="0" w:color="auto"/>
                <w:right w:val="none" w:sz="0" w:space="0" w:color="auto"/>
              </w:divBdr>
              <w:divsChild>
                <w:div w:id="1216354572">
                  <w:marLeft w:val="0"/>
                  <w:marRight w:val="0"/>
                  <w:marTop w:val="0"/>
                  <w:marBottom w:val="0"/>
                  <w:divBdr>
                    <w:top w:val="none" w:sz="0" w:space="0" w:color="auto"/>
                    <w:left w:val="none" w:sz="0" w:space="0" w:color="auto"/>
                    <w:bottom w:val="none" w:sz="0" w:space="0" w:color="auto"/>
                    <w:right w:val="none" w:sz="0" w:space="0" w:color="auto"/>
                  </w:divBdr>
                  <w:divsChild>
                    <w:div w:id="1136949332">
                      <w:marLeft w:val="0"/>
                      <w:marRight w:val="0"/>
                      <w:marTop w:val="0"/>
                      <w:marBottom w:val="300"/>
                      <w:divBdr>
                        <w:top w:val="none" w:sz="0" w:space="0" w:color="auto"/>
                        <w:left w:val="none" w:sz="0" w:space="0" w:color="auto"/>
                        <w:bottom w:val="none" w:sz="0" w:space="0" w:color="auto"/>
                        <w:right w:val="none" w:sz="0" w:space="0" w:color="auto"/>
                      </w:divBdr>
                      <w:divsChild>
                        <w:div w:id="12708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487474">
      <w:bodyDiv w:val="1"/>
      <w:marLeft w:val="0"/>
      <w:marRight w:val="0"/>
      <w:marTop w:val="0"/>
      <w:marBottom w:val="0"/>
      <w:divBdr>
        <w:top w:val="none" w:sz="0" w:space="0" w:color="auto"/>
        <w:left w:val="none" w:sz="0" w:space="0" w:color="auto"/>
        <w:bottom w:val="none" w:sz="0" w:space="0" w:color="auto"/>
        <w:right w:val="none" w:sz="0" w:space="0" w:color="auto"/>
      </w:divBdr>
      <w:divsChild>
        <w:div w:id="843326122">
          <w:marLeft w:val="0"/>
          <w:marRight w:val="0"/>
          <w:marTop w:val="0"/>
          <w:marBottom w:val="0"/>
          <w:divBdr>
            <w:top w:val="none" w:sz="0" w:space="0" w:color="auto"/>
            <w:left w:val="none" w:sz="0" w:space="0" w:color="auto"/>
            <w:bottom w:val="none" w:sz="0" w:space="0" w:color="auto"/>
            <w:right w:val="none" w:sz="0" w:space="0" w:color="auto"/>
          </w:divBdr>
          <w:divsChild>
            <w:div w:id="117381950">
              <w:marLeft w:val="0"/>
              <w:marRight w:val="0"/>
              <w:marTop w:val="0"/>
              <w:marBottom w:val="0"/>
              <w:divBdr>
                <w:top w:val="none" w:sz="0" w:space="0" w:color="auto"/>
                <w:left w:val="none" w:sz="0" w:space="0" w:color="auto"/>
                <w:bottom w:val="none" w:sz="0" w:space="0" w:color="auto"/>
                <w:right w:val="none" w:sz="0" w:space="0" w:color="auto"/>
              </w:divBdr>
              <w:divsChild>
                <w:div w:id="1767774887">
                  <w:marLeft w:val="0"/>
                  <w:marRight w:val="0"/>
                  <w:marTop w:val="0"/>
                  <w:marBottom w:val="0"/>
                  <w:divBdr>
                    <w:top w:val="none" w:sz="0" w:space="0" w:color="auto"/>
                    <w:left w:val="none" w:sz="0" w:space="0" w:color="auto"/>
                    <w:bottom w:val="none" w:sz="0" w:space="0" w:color="auto"/>
                    <w:right w:val="none" w:sz="0" w:space="0" w:color="auto"/>
                  </w:divBdr>
                  <w:divsChild>
                    <w:div w:id="2065060005">
                      <w:marLeft w:val="0"/>
                      <w:marRight w:val="0"/>
                      <w:marTop w:val="0"/>
                      <w:marBottom w:val="0"/>
                      <w:divBdr>
                        <w:top w:val="none" w:sz="0" w:space="0" w:color="auto"/>
                        <w:left w:val="none" w:sz="0" w:space="0" w:color="auto"/>
                        <w:bottom w:val="none" w:sz="0" w:space="0" w:color="auto"/>
                        <w:right w:val="none" w:sz="0" w:space="0" w:color="auto"/>
                      </w:divBdr>
                      <w:divsChild>
                        <w:div w:id="73823300">
                          <w:marLeft w:val="0"/>
                          <w:marRight w:val="0"/>
                          <w:marTop w:val="0"/>
                          <w:marBottom w:val="0"/>
                          <w:divBdr>
                            <w:top w:val="none" w:sz="0" w:space="0" w:color="auto"/>
                            <w:left w:val="none" w:sz="0" w:space="0" w:color="auto"/>
                            <w:bottom w:val="none" w:sz="0" w:space="0" w:color="auto"/>
                            <w:right w:val="none" w:sz="0" w:space="0" w:color="auto"/>
                          </w:divBdr>
                          <w:divsChild>
                            <w:div w:id="1316185499">
                              <w:marLeft w:val="0"/>
                              <w:marRight w:val="0"/>
                              <w:marTop w:val="0"/>
                              <w:marBottom w:val="0"/>
                              <w:divBdr>
                                <w:top w:val="none" w:sz="0" w:space="0" w:color="auto"/>
                                <w:left w:val="none" w:sz="0" w:space="0" w:color="auto"/>
                                <w:bottom w:val="none" w:sz="0" w:space="0" w:color="auto"/>
                                <w:right w:val="none" w:sz="0" w:space="0" w:color="auto"/>
                              </w:divBdr>
                              <w:divsChild>
                                <w:div w:id="840438127">
                                  <w:marLeft w:val="0"/>
                                  <w:marRight w:val="0"/>
                                  <w:marTop w:val="0"/>
                                  <w:marBottom w:val="0"/>
                                  <w:divBdr>
                                    <w:top w:val="none" w:sz="0" w:space="0" w:color="auto"/>
                                    <w:left w:val="none" w:sz="0" w:space="0" w:color="auto"/>
                                    <w:bottom w:val="none" w:sz="0" w:space="0" w:color="auto"/>
                                    <w:right w:val="none" w:sz="0" w:space="0" w:color="auto"/>
                                  </w:divBdr>
                                  <w:divsChild>
                                    <w:div w:id="1428505879">
                                      <w:marLeft w:val="0"/>
                                      <w:marRight w:val="0"/>
                                      <w:marTop w:val="0"/>
                                      <w:marBottom w:val="0"/>
                                      <w:divBdr>
                                        <w:top w:val="none" w:sz="0" w:space="0" w:color="auto"/>
                                        <w:left w:val="none" w:sz="0" w:space="0" w:color="auto"/>
                                        <w:bottom w:val="none" w:sz="0" w:space="0" w:color="auto"/>
                                        <w:right w:val="none" w:sz="0" w:space="0" w:color="auto"/>
                                      </w:divBdr>
                                      <w:divsChild>
                                        <w:div w:id="22950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6948353">
      <w:bodyDiv w:val="1"/>
      <w:marLeft w:val="0"/>
      <w:marRight w:val="0"/>
      <w:marTop w:val="0"/>
      <w:marBottom w:val="0"/>
      <w:divBdr>
        <w:top w:val="none" w:sz="0" w:space="0" w:color="auto"/>
        <w:left w:val="none" w:sz="0" w:space="0" w:color="auto"/>
        <w:bottom w:val="none" w:sz="0" w:space="0" w:color="auto"/>
        <w:right w:val="none" w:sz="0" w:space="0" w:color="auto"/>
      </w:divBdr>
    </w:div>
    <w:div w:id="1479760321">
      <w:bodyDiv w:val="1"/>
      <w:marLeft w:val="0"/>
      <w:marRight w:val="0"/>
      <w:marTop w:val="0"/>
      <w:marBottom w:val="0"/>
      <w:divBdr>
        <w:top w:val="none" w:sz="0" w:space="0" w:color="auto"/>
        <w:left w:val="none" w:sz="0" w:space="0" w:color="auto"/>
        <w:bottom w:val="none" w:sz="0" w:space="0" w:color="auto"/>
        <w:right w:val="none" w:sz="0" w:space="0" w:color="auto"/>
      </w:divBdr>
      <w:divsChild>
        <w:div w:id="877475739">
          <w:marLeft w:val="0"/>
          <w:marRight w:val="0"/>
          <w:marTop w:val="0"/>
          <w:marBottom w:val="0"/>
          <w:divBdr>
            <w:top w:val="none" w:sz="0" w:space="0" w:color="auto"/>
            <w:left w:val="single" w:sz="6" w:space="0" w:color="BBBBBB"/>
            <w:bottom w:val="single" w:sz="6" w:space="0" w:color="BBBBBB"/>
            <w:right w:val="single" w:sz="6" w:space="0" w:color="BBBBBB"/>
          </w:divBdr>
          <w:divsChild>
            <w:div w:id="800195889">
              <w:marLeft w:val="0"/>
              <w:marRight w:val="0"/>
              <w:marTop w:val="0"/>
              <w:marBottom w:val="0"/>
              <w:divBdr>
                <w:top w:val="none" w:sz="0" w:space="0" w:color="auto"/>
                <w:left w:val="none" w:sz="0" w:space="0" w:color="auto"/>
                <w:bottom w:val="none" w:sz="0" w:space="0" w:color="auto"/>
                <w:right w:val="none" w:sz="0" w:space="0" w:color="auto"/>
              </w:divBdr>
              <w:divsChild>
                <w:div w:id="361826502">
                  <w:marLeft w:val="0"/>
                  <w:marRight w:val="0"/>
                  <w:marTop w:val="75"/>
                  <w:marBottom w:val="0"/>
                  <w:divBdr>
                    <w:top w:val="none" w:sz="0" w:space="0" w:color="auto"/>
                    <w:left w:val="none" w:sz="0" w:space="0" w:color="auto"/>
                    <w:bottom w:val="none" w:sz="0" w:space="0" w:color="auto"/>
                    <w:right w:val="none" w:sz="0" w:space="0" w:color="auto"/>
                  </w:divBdr>
                  <w:divsChild>
                    <w:div w:id="461846963">
                      <w:marLeft w:val="0"/>
                      <w:marRight w:val="0"/>
                      <w:marTop w:val="0"/>
                      <w:marBottom w:val="0"/>
                      <w:divBdr>
                        <w:top w:val="none" w:sz="0" w:space="0" w:color="auto"/>
                        <w:left w:val="none" w:sz="0" w:space="0" w:color="auto"/>
                        <w:bottom w:val="none" w:sz="0" w:space="0" w:color="auto"/>
                        <w:right w:val="none" w:sz="0" w:space="0" w:color="auto"/>
                      </w:divBdr>
                      <w:divsChild>
                        <w:div w:id="169026333">
                          <w:marLeft w:val="0"/>
                          <w:marRight w:val="0"/>
                          <w:marTop w:val="0"/>
                          <w:marBottom w:val="0"/>
                          <w:divBdr>
                            <w:top w:val="none" w:sz="0" w:space="0" w:color="auto"/>
                            <w:left w:val="none" w:sz="0" w:space="0" w:color="auto"/>
                            <w:bottom w:val="none" w:sz="0" w:space="0" w:color="auto"/>
                            <w:right w:val="none" w:sz="0" w:space="0" w:color="auto"/>
                          </w:divBdr>
                          <w:divsChild>
                            <w:div w:id="1411537413">
                              <w:marLeft w:val="0"/>
                              <w:marRight w:val="0"/>
                              <w:marTop w:val="0"/>
                              <w:marBottom w:val="0"/>
                              <w:divBdr>
                                <w:top w:val="none" w:sz="0" w:space="0" w:color="auto"/>
                                <w:left w:val="none" w:sz="0" w:space="0" w:color="auto"/>
                                <w:bottom w:val="none" w:sz="0" w:space="0" w:color="auto"/>
                                <w:right w:val="none" w:sz="0" w:space="0" w:color="auto"/>
                              </w:divBdr>
                              <w:divsChild>
                                <w:div w:id="1141264382">
                                  <w:marLeft w:val="0"/>
                                  <w:marRight w:val="0"/>
                                  <w:marTop w:val="0"/>
                                  <w:marBottom w:val="0"/>
                                  <w:divBdr>
                                    <w:top w:val="none" w:sz="0" w:space="0" w:color="auto"/>
                                    <w:left w:val="none" w:sz="0" w:space="0" w:color="auto"/>
                                    <w:bottom w:val="none" w:sz="0" w:space="0" w:color="auto"/>
                                    <w:right w:val="none" w:sz="0" w:space="0" w:color="auto"/>
                                  </w:divBdr>
                                  <w:divsChild>
                                    <w:div w:id="319962358">
                                      <w:marLeft w:val="0"/>
                                      <w:marRight w:val="0"/>
                                      <w:marTop w:val="0"/>
                                      <w:marBottom w:val="0"/>
                                      <w:divBdr>
                                        <w:top w:val="none" w:sz="0" w:space="0" w:color="auto"/>
                                        <w:left w:val="none" w:sz="0" w:space="0" w:color="auto"/>
                                        <w:bottom w:val="none" w:sz="0" w:space="0" w:color="auto"/>
                                        <w:right w:val="none" w:sz="0" w:space="0" w:color="auto"/>
                                      </w:divBdr>
                                      <w:divsChild>
                                        <w:div w:id="637951713">
                                          <w:marLeft w:val="1200"/>
                                          <w:marRight w:val="1200"/>
                                          <w:marTop w:val="0"/>
                                          <w:marBottom w:val="0"/>
                                          <w:divBdr>
                                            <w:top w:val="none" w:sz="0" w:space="0" w:color="auto"/>
                                            <w:left w:val="none" w:sz="0" w:space="0" w:color="auto"/>
                                            <w:bottom w:val="none" w:sz="0" w:space="0" w:color="auto"/>
                                            <w:right w:val="none" w:sz="0" w:space="0" w:color="auto"/>
                                          </w:divBdr>
                                          <w:divsChild>
                                            <w:div w:id="1816138964">
                                              <w:marLeft w:val="0"/>
                                              <w:marRight w:val="0"/>
                                              <w:marTop w:val="0"/>
                                              <w:marBottom w:val="0"/>
                                              <w:divBdr>
                                                <w:top w:val="none" w:sz="0" w:space="0" w:color="auto"/>
                                                <w:left w:val="none" w:sz="0" w:space="0" w:color="auto"/>
                                                <w:bottom w:val="none" w:sz="0" w:space="0" w:color="auto"/>
                                                <w:right w:val="none" w:sz="0" w:space="0" w:color="auto"/>
                                              </w:divBdr>
                                              <w:divsChild>
                                                <w:div w:id="1705053771">
                                                  <w:marLeft w:val="0"/>
                                                  <w:marRight w:val="0"/>
                                                  <w:marTop w:val="0"/>
                                                  <w:marBottom w:val="0"/>
                                                  <w:divBdr>
                                                    <w:top w:val="none" w:sz="0" w:space="0" w:color="auto"/>
                                                    <w:left w:val="none" w:sz="0" w:space="0" w:color="auto"/>
                                                    <w:bottom w:val="none" w:sz="0" w:space="0" w:color="auto"/>
                                                    <w:right w:val="none" w:sz="0" w:space="0" w:color="auto"/>
                                                  </w:divBdr>
                                                  <w:divsChild>
                                                    <w:div w:id="1240208792">
                                                      <w:marLeft w:val="0"/>
                                                      <w:marRight w:val="0"/>
                                                      <w:marTop w:val="0"/>
                                                      <w:marBottom w:val="0"/>
                                                      <w:divBdr>
                                                        <w:top w:val="none" w:sz="0" w:space="0" w:color="auto"/>
                                                        <w:left w:val="none" w:sz="0" w:space="0" w:color="auto"/>
                                                        <w:bottom w:val="none" w:sz="0" w:space="0" w:color="auto"/>
                                                        <w:right w:val="none" w:sz="0" w:space="0" w:color="auto"/>
                                                      </w:divBdr>
                                                      <w:divsChild>
                                                        <w:div w:id="816337637">
                                                          <w:marLeft w:val="0"/>
                                                          <w:marRight w:val="0"/>
                                                          <w:marTop w:val="0"/>
                                                          <w:marBottom w:val="0"/>
                                                          <w:divBdr>
                                                            <w:top w:val="none" w:sz="0" w:space="0" w:color="auto"/>
                                                            <w:left w:val="none" w:sz="0" w:space="0" w:color="auto"/>
                                                            <w:bottom w:val="none" w:sz="0" w:space="0" w:color="auto"/>
                                                            <w:right w:val="none" w:sz="0" w:space="0" w:color="auto"/>
                                                          </w:divBdr>
                                                          <w:divsChild>
                                                            <w:div w:id="644700821">
                                                              <w:marLeft w:val="0"/>
                                                              <w:marRight w:val="0"/>
                                                              <w:marTop w:val="0"/>
                                                              <w:marBottom w:val="0"/>
                                                              <w:divBdr>
                                                                <w:top w:val="none" w:sz="0" w:space="0" w:color="auto"/>
                                                                <w:left w:val="none" w:sz="0" w:space="0" w:color="auto"/>
                                                                <w:bottom w:val="none" w:sz="0" w:space="0" w:color="auto"/>
                                                                <w:right w:val="none" w:sz="0" w:space="0" w:color="auto"/>
                                                              </w:divBdr>
                                                              <w:divsChild>
                                                                <w:div w:id="841696819">
                                                                  <w:marLeft w:val="0"/>
                                                                  <w:marRight w:val="0"/>
                                                                  <w:marTop w:val="0"/>
                                                                  <w:marBottom w:val="0"/>
                                                                  <w:divBdr>
                                                                    <w:top w:val="none" w:sz="0" w:space="0" w:color="auto"/>
                                                                    <w:left w:val="none" w:sz="0" w:space="0" w:color="auto"/>
                                                                    <w:bottom w:val="none" w:sz="0" w:space="0" w:color="auto"/>
                                                                    <w:right w:val="none" w:sz="0" w:space="0" w:color="auto"/>
                                                                  </w:divBdr>
                                                                  <w:divsChild>
                                                                    <w:div w:id="381632634">
                                                                      <w:marLeft w:val="0"/>
                                                                      <w:marRight w:val="0"/>
                                                                      <w:marTop w:val="0"/>
                                                                      <w:marBottom w:val="0"/>
                                                                      <w:divBdr>
                                                                        <w:top w:val="none" w:sz="0" w:space="0" w:color="auto"/>
                                                                        <w:left w:val="none" w:sz="0" w:space="0" w:color="auto"/>
                                                                        <w:bottom w:val="none" w:sz="0" w:space="0" w:color="auto"/>
                                                                        <w:right w:val="none" w:sz="0" w:space="0" w:color="auto"/>
                                                                      </w:divBdr>
                                                                      <w:divsChild>
                                                                        <w:div w:id="1710446982">
                                                                          <w:marLeft w:val="0"/>
                                                                          <w:marRight w:val="0"/>
                                                                          <w:marTop w:val="0"/>
                                                                          <w:marBottom w:val="0"/>
                                                                          <w:divBdr>
                                                                            <w:top w:val="none" w:sz="0" w:space="0" w:color="auto"/>
                                                                            <w:left w:val="none" w:sz="0" w:space="0" w:color="auto"/>
                                                                            <w:bottom w:val="none" w:sz="0" w:space="0" w:color="auto"/>
                                                                            <w:right w:val="none" w:sz="0" w:space="0" w:color="auto"/>
                                                                          </w:divBdr>
                                                                        </w:div>
                                                                      </w:divsChild>
                                                                    </w:div>
                                                                    <w:div w:id="666178492">
                                                                      <w:marLeft w:val="0"/>
                                                                      <w:marRight w:val="0"/>
                                                                      <w:marTop w:val="0"/>
                                                                      <w:marBottom w:val="0"/>
                                                                      <w:divBdr>
                                                                        <w:top w:val="none" w:sz="0" w:space="0" w:color="auto"/>
                                                                        <w:left w:val="none" w:sz="0" w:space="0" w:color="auto"/>
                                                                        <w:bottom w:val="none" w:sz="0" w:space="0" w:color="auto"/>
                                                                        <w:right w:val="none" w:sz="0" w:space="0" w:color="auto"/>
                                                                      </w:divBdr>
                                                                      <w:divsChild>
                                                                        <w:div w:id="2112970179">
                                                                          <w:marLeft w:val="0"/>
                                                                          <w:marRight w:val="0"/>
                                                                          <w:marTop w:val="0"/>
                                                                          <w:marBottom w:val="0"/>
                                                                          <w:divBdr>
                                                                            <w:top w:val="none" w:sz="0" w:space="0" w:color="auto"/>
                                                                            <w:left w:val="none" w:sz="0" w:space="0" w:color="auto"/>
                                                                            <w:bottom w:val="none" w:sz="0" w:space="0" w:color="auto"/>
                                                                            <w:right w:val="none" w:sz="0" w:space="0" w:color="auto"/>
                                                                          </w:divBdr>
                                                                        </w:div>
                                                                      </w:divsChild>
                                                                    </w:div>
                                                                    <w:div w:id="1008558381">
                                                                      <w:marLeft w:val="0"/>
                                                                      <w:marRight w:val="0"/>
                                                                      <w:marTop w:val="0"/>
                                                                      <w:marBottom w:val="0"/>
                                                                      <w:divBdr>
                                                                        <w:top w:val="none" w:sz="0" w:space="0" w:color="auto"/>
                                                                        <w:left w:val="none" w:sz="0" w:space="0" w:color="auto"/>
                                                                        <w:bottom w:val="none" w:sz="0" w:space="0" w:color="auto"/>
                                                                        <w:right w:val="none" w:sz="0" w:space="0" w:color="auto"/>
                                                                      </w:divBdr>
                                                                      <w:divsChild>
                                                                        <w:div w:id="407307713">
                                                                          <w:marLeft w:val="0"/>
                                                                          <w:marRight w:val="0"/>
                                                                          <w:marTop w:val="0"/>
                                                                          <w:marBottom w:val="0"/>
                                                                          <w:divBdr>
                                                                            <w:top w:val="none" w:sz="0" w:space="0" w:color="auto"/>
                                                                            <w:left w:val="none" w:sz="0" w:space="0" w:color="auto"/>
                                                                            <w:bottom w:val="none" w:sz="0" w:space="0" w:color="auto"/>
                                                                            <w:right w:val="none" w:sz="0" w:space="0" w:color="auto"/>
                                                                          </w:divBdr>
                                                                        </w:div>
                                                                      </w:divsChild>
                                                                    </w:div>
                                                                    <w:div w:id="1463112597">
                                                                      <w:marLeft w:val="0"/>
                                                                      <w:marRight w:val="0"/>
                                                                      <w:marTop w:val="0"/>
                                                                      <w:marBottom w:val="0"/>
                                                                      <w:divBdr>
                                                                        <w:top w:val="none" w:sz="0" w:space="0" w:color="auto"/>
                                                                        <w:left w:val="none" w:sz="0" w:space="0" w:color="auto"/>
                                                                        <w:bottom w:val="none" w:sz="0" w:space="0" w:color="auto"/>
                                                                        <w:right w:val="none" w:sz="0" w:space="0" w:color="auto"/>
                                                                      </w:divBdr>
                                                                      <w:divsChild>
                                                                        <w:div w:id="465708447">
                                                                          <w:marLeft w:val="0"/>
                                                                          <w:marRight w:val="0"/>
                                                                          <w:marTop w:val="0"/>
                                                                          <w:marBottom w:val="0"/>
                                                                          <w:divBdr>
                                                                            <w:top w:val="none" w:sz="0" w:space="0" w:color="auto"/>
                                                                            <w:left w:val="none" w:sz="0" w:space="0" w:color="auto"/>
                                                                            <w:bottom w:val="none" w:sz="0" w:space="0" w:color="auto"/>
                                                                            <w:right w:val="none" w:sz="0" w:space="0" w:color="auto"/>
                                                                          </w:divBdr>
                                                                        </w:div>
                                                                      </w:divsChild>
                                                                    </w:div>
                                                                    <w:div w:id="1525364402">
                                                                      <w:marLeft w:val="0"/>
                                                                      <w:marRight w:val="0"/>
                                                                      <w:marTop w:val="0"/>
                                                                      <w:marBottom w:val="0"/>
                                                                      <w:divBdr>
                                                                        <w:top w:val="none" w:sz="0" w:space="0" w:color="auto"/>
                                                                        <w:left w:val="none" w:sz="0" w:space="0" w:color="auto"/>
                                                                        <w:bottom w:val="none" w:sz="0" w:space="0" w:color="auto"/>
                                                                        <w:right w:val="none" w:sz="0" w:space="0" w:color="auto"/>
                                                                      </w:divBdr>
                                                                      <w:divsChild>
                                                                        <w:div w:id="20383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919338">
      <w:bodyDiv w:val="1"/>
      <w:marLeft w:val="0"/>
      <w:marRight w:val="0"/>
      <w:marTop w:val="0"/>
      <w:marBottom w:val="0"/>
      <w:divBdr>
        <w:top w:val="none" w:sz="0" w:space="0" w:color="auto"/>
        <w:left w:val="none" w:sz="0" w:space="0" w:color="auto"/>
        <w:bottom w:val="none" w:sz="0" w:space="0" w:color="auto"/>
        <w:right w:val="none" w:sz="0" w:space="0" w:color="auto"/>
      </w:divBdr>
      <w:divsChild>
        <w:div w:id="202643924">
          <w:marLeft w:val="0"/>
          <w:marRight w:val="0"/>
          <w:marTop w:val="0"/>
          <w:marBottom w:val="0"/>
          <w:divBdr>
            <w:top w:val="none" w:sz="0" w:space="0" w:color="auto"/>
            <w:left w:val="single" w:sz="6" w:space="0" w:color="BBBBBB"/>
            <w:bottom w:val="single" w:sz="6" w:space="0" w:color="BBBBBB"/>
            <w:right w:val="single" w:sz="6" w:space="0" w:color="BBBBBB"/>
          </w:divBdr>
          <w:divsChild>
            <w:div w:id="1427313135">
              <w:marLeft w:val="0"/>
              <w:marRight w:val="0"/>
              <w:marTop w:val="0"/>
              <w:marBottom w:val="0"/>
              <w:divBdr>
                <w:top w:val="none" w:sz="0" w:space="0" w:color="auto"/>
                <w:left w:val="none" w:sz="0" w:space="0" w:color="auto"/>
                <w:bottom w:val="none" w:sz="0" w:space="0" w:color="auto"/>
                <w:right w:val="none" w:sz="0" w:space="0" w:color="auto"/>
              </w:divBdr>
              <w:divsChild>
                <w:div w:id="1665081609">
                  <w:marLeft w:val="0"/>
                  <w:marRight w:val="0"/>
                  <w:marTop w:val="75"/>
                  <w:marBottom w:val="0"/>
                  <w:divBdr>
                    <w:top w:val="none" w:sz="0" w:space="0" w:color="auto"/>
                    <w:left w:val="none" w:sz="0" w:space="0" w:color="auto"/>
                    <w:bottom w:val="none" w:sz="0" w:space="0" w:color="auto"/>
                    <w:right w:val="none" w:sz="0" w:space="0" w:color="auto"/>
                  </w:divBdr>
                  <w:divsChild>
                    <w:div w:id="149295635">
                      <w:marLeft w:val="0"/>
                      <w:marRight w:val="0"/>
                      <w:marTop w:val="0"/>
                      <w:marBottom w:val="0"/>
                      <w:divBdr>
                        <w:top w:val="none" w:sz="0" w:space="0" w:color="auto"/>
                        <w:left w:val="none" w:sz="0" w:space="0" w:color="auto"/>
                        <w:bottom w:val="none" w:sz="0" w:space="0" w:color="auto"/>
                        <w:right w:val="none" w:sz="0" w:space="0" w:color="auto"/>
                      </w:divBdr>
                      <w:divsChild>
                        <w:div w:id="585119144">
                          <w:marLeft w:val="0"/>
                          <w:marRight w:val="0"/>
                          <w:marTop w:val="0"/>
                          <w:marBottom w:val="0"/>
                          <w:divBdr>
                            <w:top w:val="none" w:sz="0" w:space="0" w:color="auto"/>
                            <w:left w:val="none" w:sz="0" w:space="0" w:color="auto"/>
                            <w:bottom w:val="none" w:sz="0" w:space="0" w:color="auto"/>
                            <w:right w:val="none" w:sz="0" w:space="0" w:color="auto"/>
                          </w:divBdr>
                          <w:divsChild>
                            <w:div w:id="1130781536">
                              <w:marLeft w:val="0"/>
                              <w:marRight w:val="0"/>
                              <w:marTop w:val="0"/>
                              <w:marBottom w:val="0"/>
                              <w:divBdr>
                                <w:top w:val="none" w:sz="0" w:space="0" w:color="auto"/>
                                <w:left w:val="none" w:sz="0" w:space="0" w:color="auto"/>
                                <w:bottom w:val="none" w:sz="0" w:space="0" w:color="auto"/>
                                <w:right w:val="none" w:sz="0" w:space="0" w:color="auto"/>
                              </w:divBdr>
                              <w:divsChild>
                                <w:div w:id="1016201231">
                                  <w:marLeft w:val="0"/>
                                  <w:marRight w:val="0"/>
                                  <w:marTop w:val="0"/>
                                  <w:marBottom w:val="0"/>
                                  <w:divBdr>
                                    <w:top w:val="none" w:sz="0" w:space="0" w:color="auto"/>
                                    <w:left w:val="none" w:sz="0" w:space="0" w:color="auto"/>
                                    <w:bottom w:val="none" w:sz="0" w:space="0" w:color="auto"/>
                                    <w:right w:val="none" w:sz="0" w:space="0" w:color="auto"/>
                                  </w:divBdr>
                                  <w:divsChild>
                                    <w:div w:id="981076554">
                                      <w:marLeft w:val="0"/>
                                      <w:marRight w:val="0"/>
                                      <w:marTop w:val="0"/>
                                      <w:marBottom w:val="0"/>
                                      <w:divBdr>
                                        <w:top w:val="none" w:sz="0" w:space="0" w:color="auto"/>
                                        <w:left w:val="none" w:sz="0" w:space="0" w:color="auto"/>
                                        <w:bottom w:val="none" w:sz="0" w:space="0" w:color="auto"/>
                                        <w:right w:val="none" w:sz="0" w:space="0" w:color="auto"/>
                                      </w:divBdr>
                                      <w:divsChild>
                                        <w:div w:id="1015769821">
                                          <w:marLeft w:val="1200"/>
                                          <w:marRight w:val="1200"/>
                                          <w:marTop w:val="0"/>
                                          <w:marBottom w:val="0"/>
                                          <w:divBdr>
                                            <w:top w:val="none" w:sz="0" w:space="0" w:color="auto"/>
                                            <w:left w:val="none" w:sz="0" w:space="0" w:color="auto"/>
                                            <w:bottom w:val="none" w:sz="0" w:space="0" w:color="auto"/>
                                            <w:right w:val="none" w:sz="0" w:space="0" w:color="auto"/>
                                          </w:divBdr>
                                          <w:divsChild>
                                            <w:div w:id="933977773">
                                              <w:marLeft w:val="0"/>
                                              <w:marRight w:val="0"/>
                                              <w:marTop w:val="0"/>
                                              <w:marBottom w:val="0"/>
                                              <w:divBdr>
                                                <w:top w:val="none" w:sz="0" w:space="0" w:color="auto"/>
                                                <w:left w:val="none" w:sz="0" w:space="0" w:color="auto"/>
                                                <w:bottom w:val="none" w:sz="0" w:space="0" w:color="auto"/>
                                                <w:right w:val="none" w:sz="0" w:space="0" w:color="auto"/>
                                              </w:divBdr>
                                              <w:divsChild>
                                                <w:div w:id="2041516962">
                                                  <w:marLeft w:val="0"/>
                                                  <w:marRight w:val="0"/>
                                                  <w:marTop w:val="0"/>
                                                  <w:marBottom w:val="0"/>
                                                  <w:divBdr>
                                                    <w:top w:val="none" w:sz="0" w:space="0" w:color="auto"/>
                                                    <w:left w:val="none" w:sz="0" w:space="0" w:color="auto"/>
                                                    <w:bottom w:val="none" w:sz="0" w:space="0" w:color="auto"/>
                                                    <w:right w:val="none" w:sz="0" w:space="0" w:color="auto"/>
                                                  </w:divBdr>
                                                  <w:divsChild>
                                                    <w:div w:id="429205201">
                                                      <w:marLeft w:val="0"/>
                                                      <w:marRight w:val="0"/>
                                                      <w:marTop w:val="0"/>
                                                      <w:marBottom w:val="0"/>
                                                      <w:divBdr>
                                                        <w:top w:val="none" w:sz="0" w:space="0" w:color="auto"/>
                                                        <w:left w:val="none" w:sz="0" w:space="0" w:color="auto"/>
                                                        <w:bottom w:val="none" w:sz="0" w:space="0" w:color="auto"/>
                                                        <w:right w:val="none" w:sz="0" w:space="0" w:color="auto"/>
                                                      </w:divBdr>
                                                      <w:divsChild>
                                                        <w:div w:id="1222594720">
                                                          <w:marLeft w:val="0"/>
                                                          <w:marRight w:val="0"/>
                                                          <w:marTop w:val="0"/>
                                                          <w:marBottom w:val="0"/>
                                                          <w:divBdr>
                                                            <w:top w:val="none" w:sz="0" w:space="0" w:color="auto"/>
                                                            <w:left w:val="none" w:sz="0" w:space="0" w:color="auto"/>
                                                            <w:bottom w:val="none" w:sz="0" w:space="0" w:color="auto"/>
                                                            <w:right w:val="none" w:sz="0" w:space="0" w:color="auto"/>
                                                          </w:divBdr>
                                                        </w:div>
                                                      </w:divsChild>
                                                    </w:div>
                                                    <w:div w:id="1878200988">
                                                      <w:marLeft w:val="0"/>
                                                      <w:marRight w:val="0"/>
                                                      <w:marTop w:val="0"/>
                                                      <w:marBottom w:val="0"/>
                                                      <w:divBdr>
                                                        <w:top w:val="none" w:sz="0" w:space="0" w:color="auto"/>
                                                        <w:left w:val="none" w:sz="0" w:space="0" w:color="auto"/>
                                                        <w:bottom w:val="none" w:sz="0" w:space="0" w:color="auto"/>
                                                        <w:right w:val="none" w:sz="0" w:space="0" w:color="auto"/>
                                                      </w:divBdr>
                                                      <w:divsChild>
                                                        <w:div w:id="5445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6892207">
      <w:bodyDiv w:val="1"/>
      <w:marLeft w:val="0"/>
      <w:marRight w:val="0"/>
      <w:marTop w:val="0"/>
      <w:marBottom w:val="0"/>
      <w:divBdr>
        <w:top w:val="none" w:sz="0" w:space="0" w:color="auto"/>
        <w:left w:val="none" w:sz="0" w:space="0" w:color="auto"/>
        <w:bottom w:val="none" w:sz="0" w:space="0" w:color="auto"/>
        <w:right w:val="none" w:sz="0" w:space="0" w:color="auto"/>
      </w:divBdr>
      <w:divsChild>
        <w:div w:id="99302533">
          <w:marLeft w:val="0"/>
          <w:marRight w:val="0"/>
          <w:marTop w:val="0"/>
          <w:marBottom w:val="0"/>
          <w:divBdr>
            <w:top w:val="none" w:sz="0" w:space="0" w:color="auto"/>
            <w:left w:val="none" w:sz="0" w:space="0" w:color="auto"/>
            <w:bottom w:val="none" w:sz="0" w:space="0" w:color="auto"/>
            <w:right w:val="none" w:sz="0" w:space="0" w:color="auto"/>
          </w:divBdr>
          <w:divsChild>
            <w:div w:id="103696032">
              <w:marLeft w:val="0"/>
              <w:marRight w:val="0"/>
              <w:marTop w:val="0"/>
              <w:marBottom w:val="0"/>
              <w:divBdr>
                <w:top w:val="none" w:sz="0" w:space="0" w:color="auto"/>
                <w:left w:val="none" w:sz="0" w:space="0" w:color="auto"/>
                <w:bottom w:val="none" w:sz="0" w:space="0" w:color="auto"/>
                <w:right w:val="none" w:sz="0" w:space="0" w:color="auto"/>
              </w:divBdr>
              <w:divsChild>
                <w:div w:id="38364130">
                  <w:marLeft w:val="0"/>
                  <w:marRight w:val="0"/>
                  <w:marTop w:val="0"/>
                  <w:marBottom w:val="0"/>
                  <w:divBdr>
                    <w:top w:val="none" w:sz="0" w:space="0" w:color="auto"/>
                    <w:left w:val="none" w:sz="0" w:space="0" w:color="auto"/>
                    <w:bottom w:val="none" w:sz="0" w:space="0" w:color="auto"/>
                    <w:right w:val="none" w:sz="0" w:space="0" w:color="auto"/>
                  </w:divBdr>
                  <w:divsChild>
                    <w:div w:id="1018845797">
                      <w:marLeft w:val="0"/>
                      <w:marRight w:val="0"/>
                      <w:marTop w:val="0"/>
                      <w:marBottom w:val="300"/>
                      <w:divBdr>
                        <w:top w:val="none" w:sz="0" w:space="0" w:color="auto"/>
                        <w:left w:val="none" w:sz="0" w:space="0" w:color="auto"/>
                        <w:bottom w:val="none" w:sz="0" w:space="0" w:color="auto"/>
                        <w:right w:val="none" w:sz="0" w:space="0" w:color="auto"/>
                      </w:divBdr>
                      <w:divsChild>
                        <w:div w:id="9097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016656">
      <w:bodyDiv w:val="1"/>
      <w:marLeft w:val="0"/>
      <w:marRight w:val="0"/>
      <w:marTop w:val="0"/>
      <w:marBottom w:val="0"/>
      <w:divBdr>
        <w:top w:val="none" w:sz="0" w:space="0" w:color="auto"/>
        <w:left w:val="none" w:sz="0" w:space="0" w:color="auto"/>
        <w:bottom w:val="none" w:sz="0" w:space="0" w:color="auto"/>
        <w:right w:val="none" w:sz="0" w:space="0" w:color="auto"/>
      </w:divBdr>
      <w:divsChild>
        <w:div w:id="1348563134">
          <w:marLeft w:val="0"/>
          <w:marRight w:val="0"/>
          <w:marTop w:val="0"/>
          <w:marBottom w:val="0"/>
          <w:divBdr>
            <w:top w:val="none" w:sz="0" w:space="0" w:color="auto"/>
            <w:left w:val="none" w:sz="0" w:space="0" w:color="auto"/>
            <w:bottom w:val="none" w:sz="0" w:space="0" w:color="auto"/>
            <w:right w:val="none" w:sz="0" w:space="0" w:color="auto"/>
          </w:divBdr>
          <w:divsChild>
            <w:div w:id="1998145263">
              <w:marLeft w:val="0"/>
              <w:marRight w:val="0"/>
              <w:marTop w:val="0"/>
              <w:marBottom w:val="0"/>
              <w:divBdr>
                <w:top w:val="none" w:sz="0" w:space="0" w:color="auto"/>
                <w:left w:val="none" w:sz="0" w:space="0" w:color="auto"/>
                <w:bottom w:val="none" w:sz="0" w:space="0" w:color="auto"/>
                <w:right w:val="none" w:sz="0" w:space="0" w:color="auto"/>
              </w:divBdr>
              <w:divsChild>
                <w:div w:id="801118453">
                  <w:marLeft w:val="0"/>
                  <w:marRight w:val="0"/>
                  <w:marTop w:val="0"/>
                  <w:marBottom w:val="0"/>
                  <w:divBdr>
                    <w:top w:val="none" w:sz="0" w:space="0" w:color="auto"/>
                    <w:left w:val="none" w:sz="0" w:space="0" w:color="auto"/>
                    <w:bottom w:val="none" w:sz="0" w:space="0" w:color="auto"/>
                    <w:right w:val="none" w:sz="0" w:space="0" w:color="auto"/>
                  </w:divBdr>
                  <w:divsChild>
                    <w:div w:id="1968732183">
                      <w:marLeft w:val="0"/>
                      <w:marRight w:val="0"/>
                      <w:marTop w:val="0"/>
                      <w:marBottom w:val="300"/>
                      <w:divBdr>
                        <w:top w:val="none" w:sz="0" w:space="0" w:color="auto"/>
                        <w:left w:val="none" w:sz="0" w:space="0" w:color="auto"/>
                        <w:bottom w:val="none" w:sz="0" w:space="0" w:color="auto"/>
                        <w:right w:val="none" w:sz="0" w:space="0" w:color="auto"/>
                      </w:divBdr>
                      <w:divsChild>
                        <w:div w:id="5004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251221">
      <w:bodyDiv w:val="1"/>
      <w:marLeft w:val="0"/>
      <w:marRight w:val="0"/>
      <w:marTop w:val="0"/>
      <w:marBottom w:val="0"/>
      <w:divBdr>
        <w:top w:val="none" w:sz="0" w:space="0" w:color="auto"/>
        <w:left w:val="none" w:sz="0" w:space="0" w:color="auto"/>
        <w:bottom w:val="none" w:sz="0" w:space="0" w:color="auto"/>
        <w:right w:val="none" w:sz="0" w:space="0" w:color="auto"/>
      </w:divBdr>
      <w:divsChild>
        <w:div w:id="411317207">
          <w:marLeft w:val="0"/>
          <w:marRight w:val="0"/>
          <w:marTop w:val="0"/>
          <w:marBottom w:val="0"/>
          <w:divBdr>
            <w:top w:val="none" w:sz="0" w:space="0" w:color="auto"/>
            <w:left w:val="none" w:sz="0" w:space="0" w:color="auto"/>
            <w:bottom w:val="none" w:sz="0" w:space="0" w:color="auto"/>
            <w:right w:val="none" w:sz="0" w:space="0" w:color="auto"/>
          </w:divBdr>
          <w:divsChild>
            <w:div w:id="821894507">
              <w:marLeft w:val="0"/>
              <w:marRight w:val="0"/>
              <w:marTop w:val="0"/>
              <w:marBottom w:val="0"/>
              <w:divBdr>
                <w:top w:val="none" w:sz="0" w:space="0" w:color="auto"/>
                <w:left w:val="none" w:sz="0" w:space="0" w:color="auto"/>
                <w:bottom w:val="none" w:sz="0" w:space="0" w:color="auto"/>
                <w:right w:val="none" w:sz="0" w:space="0" w:color="auto"/>
              </w:divBdr>
              <w:divsChild>
                <w:div w:id="1936092796">
                  <w:marLeft w:val="0"/>
                  <w:marRight w:val="0"/>
                  <w:marTop w:val="0"/>
                  <w:marBottom w:val="0"/>
                  <w:divBdr>
                    <w:top w:val="none" w:sz="0" w:space="0" w:color="auto"/>
                    <w:left w:val="none" w:sz="0" w:space="0" w:color="auto"/>
                    <w:bottom w:val="none" w:sz="0" w:space="0" w:color="auto"/>
                    <w:right w:val="none" w:sz="0" w:space="0" w:color="auto"/>
                  </w:divBdr>
                  <w:divsChild>
                    <w:div w:id="509295990">
                      <w:marLeft w:val="0"/>
                      <w:marRight w:val="0"/>
                      <w:marTop w:val="0"/>
                      <w:marBottom w:val="0"/>
                      <w:divBdr>
                        <w:top w:val="none" w:sz="0" w:space="0" w:color="auto"/>
                        <w:left w:val="none" w:sz="0" w:space="0" w:color="auto"/>
                        <w:bottom w:val="none" w:sz="0" w:space="0" w:color="auto"/>
                        <w:right w:val="none" w:sz="0" w:space="0" w:color="auto"/>
                      </w:divBdr>
                      <w:divsChild>
                        <w:div w:id="210463008">
                          <w:marLeft w:val="0"/>
                          <w:marRight w:val="0"/>
                          <w:marTop w:val="0"/>
                          <w:marBottom w:val="0"/>
                          <w:divBdr>
                            <w:top w:val="none" w:sz="0" w:space="0" w:color="auto"/>
                            <w:left w:val="none" w:sz="0" w:space="0" w:color="auto"/>
                            <w:bottom w:val="none" w:sz="0" w:space="0" w:color="auto"/>
                            <w:right w:val="none" w:sz="0" w:space="0" w:color="auto"/>
                          </w:divBdr>
                          <w:divsChild>
                            <w:div w:id="972903070">
                              <w:marLeft w:val="0"/>
                              <w:marRight w:val="0"/>
                              <w:marTop w:val="0"/>
                              <w:marBottom w:val="0"/>
                              <w:divBdr>
                                <w:top w:val="none" w:sz="0" w:space="0" w:color="auto"/>
                                <w:left w:val="none" w:sz="0" w:space="0" w:color="auto"/>
                                <w:bottom w:val="none" w:sz="0" w:space="0" w:color="auto"/>
                                <w:right w:val="none" w:sz="0" w:space="0" w:color="auto"/>
                              </w:divBdr>
                              <w:divsChild>
                                <w:div w:id="1697392724">
                                  <w:marLeft w:val="0"/>
                                  <w:marRight w:val="0"/>
                                  <w:marTop w:val="0"/>
                                  <w:marBottom w:val="0"/>
                                  <w:divBdr>
                                    <w:top w:val="none" w:sz="0" w:space="0" w:color="auto"/>
                                    <w:left w:val="none" w:sz="0" w:space="0" w:color="auto"/>
                                    <w:bottom w:val="none" w:sz="0" w:space="0" w:color="auto"/>
                                    <w:right w:val="none" w:sz="0" w:space="0" w:color="auto"/>
                                  </w:divBdr>
                                  <w:divsChild>
                                    <w:div w:id="934093519">
                                      <w:marLeft w:val="0"/>
                                      <w:marRight w:val="0"/>
                                      <w:marTop w:val="0"/>
                                      <w:marBottom w:val="0"/>
                                      <w:divBdr>
                                        <w:top w:val="none" w:sz="0" w:space="0" w:color="auto"/>
                                        <w:left w:val="none" w:sz="0" w:space="0" w:color="auto"/>
                                        <w:bottom w:val="none" w:sz="0" w:space="0" w:color="auto"/>
                                        <w:right w:val="none" w:sz="0" w:space="0" w:color="auto"/>
                                      </w:divBdr>
                                      <w:divsChild>
                                        <w:div w:id="19012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460793">
      <w:bodyDiv w:val="1"/>
      <w:marLeft w:val="0"/>
      <w:marRight w:val="0"/>
      <w:marTop w:val="0"/>
      <w:marBottom w:val="0"/>
      <w:divBdr>
        <w:top w:val="none" w:sz="0" w:space="0" w:color="auto"/>
        <w:left w:val="none" w:sz="0" w:space="0" w:color="auto"/>
        <w:bottom w:val="none" w:sz="0" w:space="0" w:color="auto"/>
        <w:right w:val="none" w:sz="0" w:space="0" w:color="auto"/>
      </w:divBdr>
      <w:divsChild>
        <w:div w:id="286544577">
          <w:marLeft w:val="0"/>
          <w:marRight w:val="0"/>
          <w:marTop w:val="0"/>
          <w:marBottom w:val="0"/>
          <w:divBdr>
            <w:top w:val="none" w:sz="0" w:space="0" w:color="auto"/>
            <w:left w:val="none" w:sz="0" w:space="0" w:color="auto"/>
            <w:bottom w:val="none" w:sz="0" w:space="0" w:color="auto"/>
            <w:right w:val="none" w:sz="0" w:space="0" w:color="auto"/>
          </w:divBdr>
          <w:divsChild>
            <w:div w:id="636760565">
              <w:marLeft w:val="0"/>
              <w:marRight w:val="0"/>
              <w:marTop w:val="0"/>
              <w:marBottom w:val="0"/>
              <w:divBdr>
                <w:top w:val="none" w:sz="0" w:space="0" w:color="auto"/>
                <w:left w:val="none" w:sz="0" w:space="0" w:color="auto"/>
                <w:bottom w:val="none" w:sz="0" w:space="0" w:color="auto"/>
                <w:right w:val="none" w:sz="0" w:space="0" w:color="auto"/>
              </w:divBdr>
              <w:divsChild>
                <w:div w:id="1599484282">
                  <w:marLeft w:val="0"/>
                  <w:marRight w:val="0"/>
                  <w:marTop w:val="0"/>
                  <w:marBottom w:val="0"/>
                  <w:divBdr>
                    <w:top w:val="none" w:sz="0" w:space="0" w:color="auto"/>
                    <w:left w:val="none" w:sz="0" w:space="0" w:color="auto"/>
                    <w:bottom w:val="none" w:sz="0" w:space="0" w:color="auto"/>
                    <w:right w:val="none" w:sz="0" w:space="0" w:color="auto"/>
                  </w:divBdr>
                  <w:divsChild>
                    <w:div w:id="1615138075">
                      <w:marLeft w:val="0"/>
                      <w:marRight w:val="0"/>
                      <w:marTop w:val="0"/>
                      <w:marBottom w:val="375"/>
                      <w:divBdr>
                        <w:top w:val="none" w:sz="0" w:space="0" w:color="auto"/>
                        <w:left w:val="none" w:sz="0" w:space="0" w:color="auto"/>
                        <w:bottom w:val="none" w:sz="0" w:space="0" w:color="auto"/>
                        <w:right w:val="none" w:sz="0" w:space="0" w:color="auto"/>
                      </w:divBdr>
                      <w:divsChild>
                        <w:div w:id="13668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000886">
      <w:bodyDiv w:val="1"/>
      <w:marLeft w:val="0"/>
      <w:marRight w:val="0"/>
      <w:marTop w:val="0"/>
      <w:marBottom w:val="0"/>
      <w:divBdr>
        <w:top w:val="none" w:sz="0" w:space="0" w:color="auto"/>
        <w:left w:val="none" w:sz="0" w:space="0" w:color="auto"/>
        <w:bottom w:val="none" w:sz="0" w:space="0" w:color="auto"/>
        <w:right w:val="none" w:sz="0" w:space="0" w:color="auto"/>
      </w:divBdr>
      <w:divsChild>
        <w:div w:id="320740676">
          <w:marLeft w:val="0"/>
          <w:marRight w:val="0"/>
          <w:marTop w:val="0"/>
          <w:marBottom w:val="0"/>
          <w:divBdr>
            <w:top w:val="none" w:sz="0" w:space="0" w:color="auto"/>
            <w:left w:val="none" w:sz="0" w:space="0" w:color="auto"/>
            <w:bottom w:val="none" w:sz="0" w:space="0" w:color="auto"/>
            <w:right w:val="none" w:sz="0" w:space="0" w:color="auto"/>
          </w:divBdr>
          <w:divsChild>
            <w:div w:id="227612477">
              <w:marLeft w:val="0"/>
              <w:marRight w:val="0"/>
              <w:marTop w:val="0"/>
              <w:marBottom w:val="0"/>
              <w:divBdr>
                <w:top w:val="none" w:sz="0" w:space="0" w:color="auto"/>
                <w:left w:val="none" w:sz="0" w:space="0" w:color="auto"/>
                <w:bottom w:val="none" w:sz="0" w:space="0" w:color="auto"/>
                <w:right w:val="none" w:sz="0" w:space="0" w:color="auto"/>
              </w:divBdr>
              <w:divsChild>
                <w:div w:id="245461641">
                  <w:marLeft w:val="0"/>
                  <w:marRight w:val="0"/>
                  <w:marTop w:val="0"/>
                  <w:marBottom w:val="0"/>
                  <w:divBdr>
                    <w:top w:val="none" w:sz="0" w:space="0" w:color="auto"/>
                    <w:left w:val="none" w:sz="0" w:space="0" w:color="auto"/>
                    <w:bottom w:val="none" w:sz="0" w:space="0" w:color="auto"/>
                    <w:right w:val="none" w:sz="0" w:space="0" w:color="auto"/>
                  </w:divBdr>
                  <w:divsChild>
                    <w:div w:id="1821263794">
                      <w:marLeft w:val="0"/>
                      <w:marRight w:val="0"/>
                      <w:marTop w:val="0"/>
                      <w:marBottom w:val="375"/>
                      <w:divBdr>
                        <w:top w:val="none" w:sz="0" w:space="0" w:color="auto"/>
                        <w:left w:val="none" w:sz="0" w:space="0" w:color="auto"/>
                        <w:bottom w:val="none" w:sz="0" w:space="0" w:color="auto"/>
                        <w:right w:val="none" w:sz="0" w:space="0" w:color="auto"/>
                      </w:divBdr>
                      <w:divsChild>
                        <w:div w:id="11890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923199">
      <w:bodyDiv w:val="1"/>
      <w:marLeft w:val="0"/>
      <w:marRight w:val="0"/>
      <w:marTop w:val="0"/>
      <w:marBottom w:val="0"/>
      <w:divBdr>
        <w:top w:val="none" w:sz="0" w:space="0" w:color="auto"/>
        <w:left w:val="none" w:sz="0" w:space="0" w:color="auto"/>
        <w:bottom w:val="none" w:sz="0" w:space="0" w:color="auto"/>
        <w:right w:val="none" w:sz="0" w:space="0" w:color="auto"/>
      </w:divBdr>
      <w:divsChild>
        <w:div w:id="1585257516">
          <w:marLeft w:val="0"/>
          <w:marRight w:val="150"/>
          <w:marTop w:val="0"/>
          <w:marBottom w:val="0"/>
          <w:divBdr>
            <w:top w:val="none" w:sz="0" w:space="0" w:color="auto"/>
            <w:left w:val="none" w:sz="0" w:space="0" w:color="auto"/>
            <w:bottom w:val="none" w:sz="0" w:space="0" w:color="auto"/>
            <w:right w:val="none" w:sz="0" w:space="0" w:color="auto"/>
          </w:divBdr>
          <w:divsChild>
            <w:div w:id="43453406">
              <w:marLeft w:val="0"/>
              <w:marRight w:val="0"/>
              <w:marTop w:val="0"/>
              <w:marBottom w:val="0"/>
              <w:divBdr>
                <w:top w:val="none" w:sz="0" w:space="0" w:color="auto"/>
                <w:left w:val="none" w:sz="0" w:space="0" w:color="auto"/>
                <w:bottom w:val="none" w:sz="0" w:space="0" w:color="auto"/>
                <w:right w:val="none" w:sz="0" w:space="0" w:color="auto"/>
              </w:divBdr>
              <w:divsChild>
                <w:div w:id="315644914">
                  <w:marLeft w:val="0"/>
                  <w:marRight w:val="0"/>
                  <w:marTop w:val="0"/>
                  <w:marBottom w:val="0"/>
                  <w:divBdr>
                    <w:top w:val="none" w:sz="0" w:space="0" w:color="auto"/>
                    <w:left w:val="none" w:sz="0" w:space="0" w:color="auto"/>
                    <w:bottom w:val="none" w:sz="0" w:space="0" w:color="auto"/>
                    <w:right w:val="none" w:sz="0" w:space="0" w:color="auto"/>
                  </w:divBdr>
                  <w:divsChild>
                    <w:div w:id="552933889">
                      <w:marLeft w:val="0"/>
                      <w:marRight w:val="0"/>
                      <w:marTop w:val="0"/>
                      <w:marBottom w:val="0"/>
                      <w:divBdr>
                        <w:top w:val="none" w:sz="0" w:space="0" w:color="auto"/>
                        <w:left w:val="none" w:sz="0" w:space="0" w:color="auto"/>
                        <w:bottom w:val="none" w:sz="0" w:space="0" w:color="auto"/>
                        <w:right w:val="none" w:sz="0" w:space="0" w:color="auto"/>
                      </w:divBdr>
                    </w:div>
                    <w:div w:id="654184854">
                      <w:marLeft w:val="0"/>
                      <w:marRight w:val="0"/>
                      <w:marTop w:val="0"/>
                      <w:marBottom w:val="0"/>
                      <w:divBdr>
                        <w:top w:val="none" w:sz="0" w:space="0" w:color="auto"/>
                        <w:left w:val="none" w:sz="0" w:space="0" w:color="auto"/>
                        <w:bottom w:val="none" w:sz="0" w:space="0" w:color="auto"/>
                        <w:right w:val="none" w:sz="0" w:space="0" w:color="auto"/>
                      </w:divBdr>
                    </w:div>
                    <w:div w:id="848760910">
                      <w:marLeft w:val="0"/>
                      <w:marRight w:val="0"/>
                      <w:marTop w:val="0"/>
                      <w:marBottom w:val="0"/>
                      <w:divBdr>
                        <w:top w:val="none" w:sz="0" w:space="0" w:color="auto"/>
                        <w:left w:val="none" w:sz="0" w:space="0" w:color="auto"/>
                        <w:bottom w:val="none" w:sz="0" w:space="0" w:color="auto"/>
                        <w:right w:val="none" w:sz="0" w:space="0" w:color="auto"/>
                      </w:divBdr>
                    </w:div>
                    <w:div w:id="880746584">
                      <w:marLeft w:val="0"/>
                      <w:marRight w:val="0"/>
                      <w:marTop w:val="0"/>
                      <w:marBottom w:val="0"/>
                      <w:divBdr>
                        <w:top w:val="none" w:sz="0" w:space="0" w:color="auto"/>
                        <w:left w:val="none" w:sz="0" w:space="0" w:color="auto"/>
                        <w:bottom w:val="none" w:sz="0" w:space="0" w:color="auto"/>
                        <w:right w:val="none" w:sz="0" w:space="0" w:color="auto"/>
                      </w:divBdr>
                    </w:div>
                    <w:div w:id="1155879944">
                      <w:marLeft w:val="0"/>
                      <w:marRight w:val="0"/>
                      <w:marTop w:val="0"/>
                      <w:marBottom w:val="0"/>
                      <w:divBdr>
                        <w:top w:val="none" w:sz="0" w:space="0" w:color="auto"/>
                        <w:left w:val="none" w:sz="0" w:space="0" w:color="auto"/>
                        <w:bottom w:val="none" w:sz="0" w:space="0" w:color="auto"/>
                        <w:right w:val="none" w:sz="0" w:space="0" w:color="auto"/>
                      </w:divBdr>
                    </w:div>
                    <w:div w:id="1284000938">
                      <w:marLeft w:val="0"/>
                      <w:marRight w:val="0"/>
                      <w:marTop w:val="0"/>
                      <w:marBottom w:val="0"/>
                      <w:divBdr>
                        <w:top w:val="none" w:sz="0" w:space="0" w:color="auto"/>
                        <w:left w:val="none" w:sz="0" w:space="0" w:color="auto"/>
                        <w:bottom w:val="none" w:sz="0" w:space="0" w:color="auto"/>
                        <w:right w:val="none" w:sz="0" w:space="0" w:color="auto"/>
                      </w:divBdr>
                    </w:div>
                    <w:div w:id="13680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81016">
      <w:bodyDiv w:val="1"/>
      <w:marLeft w:val="0"/>
      <w:marRight w:val="0"/>
      <w:marTop w:val="0"/>
      <w:marBottom w:val="0"/>
      <w:divBdr>
        <w:top w:val="none" w:sz="0" w:space="0" w:color="auto"/>
        <w:left w:val="none" w:sz="0" w:space="0" w:color="auto"/>
        <w:bottom w:val="none" w:sz="0" w:space="0" w:color="auto"/>
        <w:right w:val="none" w:sz="0" w:space="0" w:color="auto"/>
      </w:divBdr>
      <w:divsChild>
        <w:div w:id="281814424">
          <w:marLeft w:val="0"/>
          <w:marRight w:val="0"/>
          <w:marTop w:val="0"/>
          <w:marBottom w:val="0"/>
          <w:divBdr>
            <w:top w:val="none" w:sz="0" w:space="0" w:color="auto"/>
            <w:left w:val="single" w:sz="6" w:space="0" w:color="BBBBBB"/>
            <w:bottom w:val="single" w:sz="6" w:space="0" w:color="BBBBBB"/>
            <w:right w:val="single" w:sz="6" w:space="0" w:color="BBBBBB"/>
          </w:divBdr>
          <w:divsChild>
            <w:div w:id="317999983">
              <w:marLeft w:val="0"/>
              <w:marRight w:val="0"/>
              <w:marTop w:val="0"/>
              <w:marBottom w:val="0"/>
              <w:divBdr>
                <w:top w:val="none" w:sz="0" w:space="0" w:color="auto"/>
                <w:left w:val="none" w:sz="0" w:space="0" w:color="auto"/>
                <w:bottom w:val="none" w:sz="0" w:space="0" w:color="auto"/>
                <w:right w:val="none" w:sz="0" w:space="0" w:color="auto"/>
              </w:divBdr>
              <w:divsChild>
                <w:div w:id="1369599227">
                  <w:marLeft w:val="0"/>
                  <w:marRight w:val="0"/>
                  <w:marTop w:val="0"/>
                  <w:marBottom w:val="0"/>
                  <w:divBdr>
                    <w:top w:val="none" w:sz="0" w:space="0" w:color="auto"/>
                    <w:left w:val="none" w:sz="0" w:space="0" w:color="auto"/>
                    <w:bottom w:val="none" w:sz="0" w:space="0" w:color="auto"/>
                    <w:right w:val="none" w:sz="0" w:space="0" w:color="auto"/>
                  </w:divBdr>
                  <w:divsChild>
                    <w:div w:id="1082028889">
                      <w:marLeft w:val="0"/>
                      <w:marRight w:val="0"/>
                      <w:marTop w:val="0"/>
                      <w:marBottom w:val="0"/>
                      <w:divBdr>
                        <w:top w:val="none" w:sz="0" w:space="0" w:color="auto"/>
                        <w:left w:val="none" w:sz="0" w:space="0" w:color="auto"/>
                        <w:bottom w:val="none" w:sz="0" w:space="0" w:color="auto"/>
                        <w:right w:val="none" w:sz="0" w:space="0" w:color="auto"/>
                      </w:divBdr>
                      <w:divsChild>
                        <w:div w:id="721907141">
                          <w:marLeft w:val="0"/>
                          <w:marRight w:val="0"/>
                          <w:marTop w:val="0"/>
                          <w:marBottom w:val="0"/>
                          <w:divBdr>
                            <w:top w:val="none" w:sz="0" w:space="0" w:color="auto"/>
                            <w:left w:val="none" w:sz="0" w:space="0" w:color="auto"/>
                            <w:bottom w:val="none" w:sz="0" w:space="0" w:color="auto"/>
                            <w:right w:val="none" w:sz="0" w:space="0" w:color="auto"/>
                          </w:divBdr>
                          <w:divsChild>
                            <w:div w:id="706374181">
                              <w:marLeft w:val="0"/>
                              <w:marRight w:val="0"/>
                              <w:marTop w:val="0"/>
                              <w:marBottom w:val="0"/>
                              <w:divBdr>
                                <w:top w:val="none" w:sz="0" w:space="0" w:color="auto"/>
                                <w:left w:val="none" w:sz="0" w:space="0" w:color="auto"/>
                                <w:bottom w:val="none" w:sz="0" w:space="0" w:color="auto"/>
                                <w:right w:val="none" w:sz="0" w:space="0" w:color="auto"/>
                              </w:divBdr>
                              <w:divsChild>
                                <w:div w:id="1962220237">
                                  <w:marLeft w:val="0"/>
                                  <w:marRight w:val="0"/>
                                  <w:marTop w:val="0"/>
                                  <w:marBottom w:val="0"/>
                                  <w:divBdr>
                                    <w:top w:val="none" w:sz="0" w:space="0" w:color="auto"/>
                                    <w:left w:val="none" w:sz="0" w:space="0" w:color="auto"/>
                                    <w:bottom w:val="none" w:sz="0" w:space="0" w:color="auto"/>
                                    <w:right w:val="none" w:sz="0" w:space="0" w:color="auto"/>
                                  </w:divBdr>
                                  <w:divsChild>
                                    <w:div w:id="1387989926">
                                      <w:marLeft w:val="0"/>
                                      <w:marRight w:val="0"/>
                                      <w:marTop w:val="0"/>
                                      <w:marBottom w:val="0"/>
                                      <w:divBdr>
                                        <w:top w:val="none" w:sz="0" w:space="0" w:color="auto"/>
                                        <w:left w:val="none" w:sz="0" w:space="0" w:color="auto"/>
                                        <w:bottom w:val="none" w:sz="0" w:space="0" w:color="auto"/>
                                        <w:right w:val="none" w:sz="0" w:space="0" w:color="auto"/>
                                      </w:divBdr>
                                      <w:divsChild>
                                        <w:div w:id="1829586988">
                                          <w:marLeft w:val="1200"/>
                                          <w:marRight w:val="1200"/>
                                          <w:marTop w:val="0"/>
                                          <w:marBottom w:val="0"/>
                                          <w:divBdr>
                                            <w:top w:val="none" w:sz="0" w:space="0" w:color="auto"/>
                                            <w:left w:val="none" w:sz="0" w:space="0" w:color="auto"/>
                                            <w:bottom w:val="none" w:sz="0" w:space="0" w:color="auto"/>
                                            <w:right w:val="none" w:sz="0" w:space="0" w:color="auto"/>
                                          </w:divBdr>
                                          <w:divsChild>
                                            <w:div w:id="421729111">
                                              <w:marLeft w:val="0"/>
                                              <w:marRight w:val="0"/>
                                              <w:marTop w:val="0"/>
                                              <w:marBottom w:val="0"/>
                                              <w:divBdr>
                                                <w:top w:val="none" w:sz="0" w:space="0" w:color="auto"/>
                                                <w:left w:val="none" w:sz="0" w:space="0" w:color="auto"/>
                                                <w:bottom w:val="none" w:sz="0" w:space="0" w:color="auto"/>
                                                <w:right w:val="none" w:sz="0" w:space="0" w:color="auto"/>
                                              </w:divBdr>
                                              <w:divsChild>
                                                <w:div w:id="2048605232">
                                                  <w:marLeft w:val="0"/>
                                                  <w:marRight w:val="0"/>
                                                  <w:marTop w:val="0"/>
                                                  <w:marBottom w:val="0"/>
                                                  <w:divBdr>
                                                    <w:top w:val="none" w:sz="0" w:space="0" w:color="auto"/>
                                                    <w:left w:val="none" w:sz="0" w:space="0" w:color="auto"/>
                                                    <w:bottom w:val="none" w:sz="0" w:space="0" w:color="auto"/>
                                                    <w:right w:val="none" w:sz="0" w:space="0" w:color="auto"/>
                                                  </w:divBdr>
                                                  <w:divsChild>
                                                    <w:div w:id="3561478">
                                                      <w:marLeft w:val="0"/>
                                                      <w:marRight w:val="0"/>
                                                      <w:marTop w:val="0"/>
                                                      <w:marBottom w:val="0"/>
                                                      <w:divBdr>
                                                        <w:top w:val="none" w:sz="0" w:space="0" w:color="auto"/>
                                                        <w:left w:val="none" w:sz="0" w:space="0" w:color="auto"/>
                                                        <w:bottom w:val="none" w:sz="0" w:space="0" w:color="auto"/>
                                                        <w:right w:val="none" w:sz="0" w:space="0" w:color="auto"/>
                                                      </w:divBdr>
                                                      <w:divsChild>
                                                        <w:div w:id="404841946">
                                                          <w:marLeft w:val="0"/>
                                                          <w:marRight w:val="0"/>
                                                          <w:marTop w:val="0"/>
                                                          <w:marBottom w:val="0"/>
                                                          <w:divBdr>
                                                            <w:top w:val="none" w:sz="0" w:space="0" w:color="auto"/>
                                                            <w:left w:val="none" w:sz="0" w:space="0" w:color="auto"/>
                                                            <w:bottom w:val="none" w:sz="0" w:space="0" w:color="auto"/>
                                                            <w:right w:val="none" w:sz="0" w:space="0" w:color="auto"/>
                                                          </w:divBdr>
                                                          <w:divsChild>
                                                            <w:div w:id="2079742689">
                                                              <w:marLeft w:val="0"/>
                                                              <w:marRight w:val="0"/>
                                                              <w:marTop w:val="0"/>
                                                              <w:marBottom w:val="0"/>
                                                              <w:divBdr>
                                                                <w:top w:val="none" w:sz="0" w:space="0" w:color="auto"/>
                                                                <w:left w:val="none" w:sz="0" w:space="0" w:color="auto"/>
                                                                <w:bottom w:val="none" w:sz="0" w:space="0" w:color="auto"/>
                                                                <w:right w:val="none" w:sz="0" w:space="0" w:color="auto"/>
                                                              </w:divBdr>
                                                              <w:divsChild>
                                                                <w:div w:id="1175269666">
                                                                  <w:marLeft w:val="0"/>
                                                                  <w:marRight w:val="0"/>
                                                                  <w:marTop w:val="0"/>
                                                                  <w:marBottom w:val="0"/>
                                                                  <w:divBdr>
                                                                    <w:top w:val="none" w:sz="0" w:space="0" w:color="auto"/>
                                                                    <w:left w:val="none" w:sz="0" w:space="0" w:color="auto"/>
                                                                    <w:bottom w:val="none" w:sz="0" w:space="0" w:color="auto"/>
                                                                    <w:right w:val="none" w:sz="0" w:space="0" w:color="auto"/>
                                                                  </w:divBdr>
                                                                  <w:divsChild>
                                                                    <w:div w:id="121311162">
                                                                      <w:marLeft w:val="0"/>
                                                                      <w:marRight w:val="0"/>
                                                                      <w:marTop w:val="0"/>
                                                                      <w:marBottom w:val="0"/>
                                                                      <w:divBdr>
                                                                        <w:top w:val="none" w:sz="0" w:space="0" w:color="auto"/>
                                                                        <w:left w:val="none" w:sz="0" w:space="0" w:color="auto"/>
                                                                        <w:bottom w:val="none" w:sz="0" w:space="0" w:color="auto"/>
                                                                        <w:right w:val="none" w:sz="0" w:space="0" w:color="auto"/>
                                                                      </w:divBdr>
                                                                      <w:divsChild>
                                                                        <w:div w:id="1298101830">
                                                                          <w:marLeft w:val="0"/>
                                                                          <w:marRight w:val="0"/>
                                                                          <w:marTop w:val="0"/>
                                                                          <w:marBottom w:val="0"/>
                                                                          <w:divBdr>
                                                                            <w:top w:val="none" w:sz="0" w:space="0" w:color="auto"/>
                                                                            <w:left w:val="none" w:sz="0" w:space="0" w:color="auto"/>
                                                                            <w:bottom w:val="none" w:sz="0" w:space="0" w:color="auto"/>
                                                                            <w:right w:val="none" w:sz="0" w:space="0" w:color="auto"/>
                                                                          </w:divBdr>
                                                                        </w:div>
                                                                      </w:divsChild>
                                                                    </w:div>
                                                                    <w:div w:id="251158626">
                                                                      <w:marLeft w:val="0"/>
                                                                      <w:marRight w:val="0"/>
                                                                      <w:marTop w:val="0"/>
                                                                      <w:marBottom w:val="0"/>
                                                                      <w:divBdr>
                                                                        <w:top w:val="none" w:sz="0" w:space="0" w:color="auto"/>
                                                                        <w:left w:val="none" w:sz="0" w:space="0" w:color="auto"/>
                                                                        <w:bottom w:val="none" w:sz="0" w:space="0" w:color="auto"/>
                                                                        <w:right w:val="none" w:sz="0" w:space="0" w:color="auto"/>
                                                                      </w:divBdr>
                                                                      <w:divsChild>
                                                                        <w:div w:id="1301107908">
                                                                          <w:marLeft w:val="0"/>
                                                                          <w:marRight w:val="0"/>
                                                                          <w:marTop w:val="0"/>
                                                                          <w:marBottom w:val="0"/>
                                                                          <w:divBdr>
                                                                            <w:top w:val="none" w:sz="0" w:space="0" w:color="auto"/>
                                                                            <w:left w:val="none" w:sz="0" w:space="0" w:color="auto"/>
                                                                            <w:bottom w:val="none" w:sz="0" w:space="0" w:color="auto"/>
                                                                            <w:right w:val="none" w:sz="0" w:space="0" w:color="auto"/>
                                                                          </w:divBdr>
                                                                        </w:div>
                                                                      </w:divsChild>
                                                                    </w:div>
                                                                    <w:div w:id="657462208">
                                                                      <w:marLeft w:val="0"/>
                                                                      <w:marRight w:val="0"/>
                                                                      <w:marTop w:val="0"/>
                                                                      <w:marBottom w:val="0"/>
                                                                      <w:divBdr>
                                                                        <w:top w:val="none" w:sz="0" w:space="0" w:color="auto"/>
                                                                        <w:left w:val="none" w:sz="0" w:space="0" w:color="auto"/>
                                                                        <w:bottom w:val="none" w:sz="0" w:space="0" w:color="auto"/>
                                                                        <w:right w:val="none" w:sz="0" w:space="0" w:color="auto"/>
                                                                      </w:divBdr>
                                                                      <w:divsChild>
                                                                        <w:div w:id="1177767115">
                                                                          <w:marLeft w:val="0"/>
                                                                          <w:marRight w:val="0"/>
                                                                          <w:marTop w:val="0"/>
                                                                          <w:marBottom w:val="0"/>
                                                                          <w:divBdr>
                                                                            <w:top w:val="none" w:sz="0" w:space="0" w:color="auto"/>
                                                                            <w:left w:val="none" w:sz="0" w:space="0" w:color="auto"/>
                                                                            <w:bottom w:val="none" w:sz="0" w:space="0" w:color="auto"/>
                                                                            <w:right w:val="none" w:sz="0" w:space="0" w:color="auto"/>
                                                                          </w:divBdr>
                                                                        </w:div>
                                                                      </w:divsChild>
                                                                    </w:div>
                                                                    <w:div w:id="888690613">
                                                                      <w:marLeft w:val="0"/>
                                                                      <w:marRight w:val="0"/>
                                                                      <w:marTop w:val="0"/>
                                                                      <w:marBottom w:val="0"/>
                                                                      <w:divBdr>
                                                                        <w:top w:val="none" w:sz="0" w:space="0" w:color="auto"/>
                                                                        <w:left w:val="none" w:sz="0" w:space="0" w:color="auto"/>
                                                                        <w:bottom w:val="none" w:sz="0" w:space="0" w:color="auto"/>
                                                                        <w:right w:val="none" w:sz="0" w:space="0" w:color="auto"/>
                                                                      </w:divBdr>
                                                                      <w:divsChild>
                                                                        <w:div w:id="1009988656">
                                                                          <w:marLeft w:val="0"/>
                                                                          <w:marRight w:val="0"/>
                                                                          <w:marTop w:val="0"/>
                                                                          <w:marBottom w:val="0"/>
                                                                          <w:divBdr>
                                                                            <w:top w:val="none" w:sz="0" w:space="0" w:color="auto"/>
                                                                            <w:left w:val="none" w:sz="0" w:space="0" w:color="auto"/>
                                                                            <w:bottom w:val="none" w:sz="0" w:space="0" w:color="auto"/>
                                                                            <w:right w:val="none" w:sz="0" w:space="0" w:color="auto"/>
                                                                          </w:divBdr>
                                                                        </w:div>
                                                                      </w:divsChild>
                                                                    </w:div>
                                                                    <w:div w:id="1217470872">
                                                                      <w:marLeft w:val="0"/>
                                                                      <w:marRight w:val="0"/>
                                                                      <w:marTop w:val="0"/>
                                                                      <w:marBottom w:val="0"/>
                                                                      <w:divBdr>
                                                                        <w:top w:val="none" w:sz="0" w:space="0" w:color="auto"/>
                                                                        <w:left w:val="none" w:sz="0" w:space="0" w:color="auto"/>
                                                                        <w:bottom w:val="none" w:sz="0" w:space="0" w:color="auto"/>
                                                                        <w:right w:val="none" w:sz="0" w:space="0" w:color="auto"/>
                                                                      </w:divBdr>
                                                                      <w:divsChild>
                                                                        <w:div w:id="1340044451">
                                                                          <w:marLeft w:val="0"/>
                                                                          <w:marRight w:val="0"/>
                                                                          <w:marTop w:val="0"/>
                                                                          <w:marBottom w:val="0"/>
                                                                          <w:divBdr>
                                                                            <w:top w:val="none" w:sz="0" w:space="0" w:color="auto"/>
                                                                            <w:left w:val="none" w:sz="0" w:space="0" w:color="auto"/>
                                                                            <w:bottom w:val="none" w:sz="0" w:space="0" w:color="auto"/>
                                                                            <w:right w:val="none" w:sz="0" w:space="0" w:color="auto"/>
                                                                          </w:divBdr>
                                                                        </w:div>
                                                                      </w:divsChild>
                                                                    </w:div>
                                                                    <w:div w:id="1838303729">
                                                                      <w:marLeft w:val="0"/>
                                                                      <w:marRight w:val="0"/>
                                                                      <w:marTop w:val="0"/>
                                                                      <w:marBottom w:val="0"/>
                                                                      <w:divBdr>
                                                                        <w:top w:val="none" w:sz="0" w:space="0" w:color="auto"/>
                                                                        <w:left w:val="none" w:sz="0" w:space="0" w:color="auto"/>
                                                                        <w:bottom w:val="none" w:sz="0" w:space="0" w:color="auto"/>
                                                                        <w:right w:val="none" w:sz="0" w:space="0" w:color="auto"/>
                                                                      </w:divBdr>
                                                                      <w:divsChild>
                                                                        <w:div w:id="187473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589376">
      <w:bodyDiv w:val="1"/>
      <w:marLeft w:val="0"/>
      <w:marRight w:val="0"/>
      <w:marTop w:val="0"/>
      <w:marBottom w:val="0"/>
      <w:divBdr>
        <w:top w:val="none" w:sz="0" w:space="0" w:color="auto"/>
        <w:left w:val="none" w:sz="0" w:space="0" w:color="auto"/>
        <w:bottom w:val="none" w:sz="0" w:space="0" w:color="auto"/>
        <w:right w:val="none" w:sz="0" w:space="0" w:color="auto"/>
      </w:divBdr>
      <w:divsChild>
        <w:div w:id="1407269137">
          <w:marLeft w:val="0"/>
          <w:marRight w:val="0"/>
          <w:marTop w:val="0"/>
          <w:marBottom w:val="0"/>
          <w:divBdr>
            <w:top w:val="none" w:sz="0" w:space="0" w:color="auto"/>
            <w:left w:val="none" w:sz="0" w:space="0" w:color="auto"/>
            <w:bottom w:val="none" w:sz="0" w:space="0" w:color="auto"/>
            <w:right w:val="none" w:sz="0" w:space="0" w:color="auto"/>
          </w:divBdr>
          <w:divsChild>
            <w:div w:id="83233555">
              <w:marLeft w:val="0"/>
              <w:marRight w:val="0"/>
              <w:marTop w:val="0"/>
              <w:marBottom w:val="0"/>
              <w:divBdr>
                <w:top w:val="none" w:sz="0" w:space="0" w:color="auto"/>
                <w:left w:val="none" w:sz="0" w:space="0" w:color="auto"/>
                <w:bottom w:val="none" w:sz="0" w:space="0" w:color="auto"/>
                <w:right w:val="none" w:sz="0" w:space="0" w:color="auto"/>
              </w:divBdr>
              <w:divsChild>
                <w:div w:id="223835931">
                  <w:marLeft w:val="0"/>
                  <w:marRight w:val="0"/>
                  <w:marTop w:val="0"/>
                  <w:marBottom w:val="0"/>
                  <w:divBdr>
                    <w:top w:val="none" w:sz="0" w:space="0" w:color="auto"/>
                    <w:left w:val="none" w:sz="0" w:space="0" w:color="auto"/>
                    <w:bottom w:val="none" w:sz="0" w:space="0" w:color="auto"/>
                    <w:right w:val="none" w:sz="0" w:space="0" w:color="auto"/>
                  </w:divBdr>
                  <w:divsChild>
                    <w:div w:id="1887642920">
                      <w:marLeft w:val="0"/>
                      <w:marRight w:val="0"/>
                      <w:marTop w:val="0"/>
                      <w:marBottom w:val="300"/>
                      <w:divBdr>
                        <w:top w:val="none" w:sz="0" w:space="0" w:color="auto"/>
                        <w:left w:val="none" w:sz="0" w:space="0" w:color="auto"/>
                        <w:bottom w:val="none" w:sz="0" w:space="0" w:color="auto"/>
                        <w:right w:val="none" w:sz="0" w:space="0" w:color="auto"/>
                      </w:divBdr>
                      <w:divsChild>
                        <w:div w:id="14144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204537">
      <w:bodyDiv w:val="1"/>
      <w:marLeft w:val="0"/>
      <w:marRight w:val="0"/>
      <w:marTop w:val="0"/>
      <w:marBottom w:val="0"/>
      <w:divBdr>
        <w:top w:val="none" w:sz="0" w:space="0" w:color="auto"/>
        <w:left w:val="none" w:sz="0" w:space="0" w:color="auto"/>
        <w:bottom w:val="none" w:sz="0" w:space="0" w:color="auto"/>
        <w:right w:val="none" w:sz="0" w:space="0" w:color="auto"/>
      </w:divBdr>
      <w:divsChild>
        <w:div w:id="428962473">
          <w:marLeft w:val="0"/>
          <w:marRight w:val="0"/>
          <w:marTop w:val="0"/>
          <w:marBottom w:val="0"/>
          <w:divBdr>
            <w:top w:val="none" w:sz="0" w:space="0" w:color="auto"/>
            <w:left w:val="none" w:sz="0" w:space="0" w:color="auto"/>
            <w:bottom w:val="none" w:sz="0" w:space="0" w:color="auto"/>
            <w:right w:val="none" w:sz="0" w:space="0" w:color="auto"/>
          </w:divBdr>
          <w:divsChild>
            <w:div w:id="1550725958">
              <w:marLeft w:val="0"/>
              <w:marRight w:val="0"/>
              <w:marTop w:val="0"/>
              <w:marBottom w:val="0"/>
              <w:divBdr>
                <w:top w:val="none" w:sz="0" w:space="0" w:color="auto"/>
                <w:left w:val="none" w:sz="0" w:space="0" w:color="auto"/>
                <w:bottom w:val="none" w:sz="0" w:space="0" w:color="auto"/>
                <w:right w:val="none" w:sz="0" w:space="0" w:color="auto"/>
              </w:divBdr>
              <w:divsChild>
                <w:div w:id="32466300">
                  <w:marLeft w:val="0"/>
                  <w:marRight w:val="0"/>
                  <w:marTop w:val="0"/>
                  <w:marBottom w:val="0"/>
                  <w:divBdr>
                    <w:top w:val="none" w:sz="0" w:space="0" w:color="auto"/>
                    <w:left w:val="none" w:sz="0" w:space="0" w:color="auto"/>
                    <w:bottom w:val="none" w:sz="0" w:space="0" w:color="auto"/>
                    <w:right w:val="none" w:sz="0" w:space="0" w:color="auto"/>
                  </w:divBdr>
                  <w:divsChild>
                    <w:div w:id="2031881360">
                      <w:marLeft w:val="0"/>
                      <w:marRight w:val="0"/>
                      <w:marTop w:val="0"/>
                      <w:marBottom w:val="375"/>
                      <w:divBdr>
                        <w:top w:val="none" w:sz="0" w:space="0" w:color="auto"/>
                        <w:left w:val="none" w:sz="0" w:space="0" w:color="auto"/>
                        <w:bottom w:val="none" w:sz="0" w:space="0" w:color="auto"/>
                        <w:right w:val="none" w:sz="0" w:space="0" w:color="auto"/>
                      </w:divBdr>
                      <w:divsChild>
                        <w:div w:id="18429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876197">
      <w:bodyDiv w:val="1"/>
      <w:marLeft w:val="0"/>
      <w:marRight w:val="0"/>
      <w:marTop w:val="0"/>
      <w:marBottom w:val="0"/>
      <w:divBdr>
        <w:top w:val="none" w:sz="0" w:space="0" w:color="auto"/>
        <w:left w:val="none" w:sz="0" w:space="0" w:color="auto"/>
        <w:bottom w:val="none" w:sz="0" w:space="0" w:color="auto"/>
        <w:right w:val="none" w:sz="0" w:space="0" w:color="auto"/>
      </w:divBdr>
      <w:divsChild>
        <w:div w:id="1299457219">
          <w:marLeft w:val="0"/>
          <w:marRight w:val="0"/>
          <w:marTop w:val="240"/>
          <w:marBottom w:val="0"/>
          <w:divBdr>
            <w:top w:val="none" w:sz="0" w:space="0" w:color="auto"/>
            <w:left w:val="none" w:sz="0" w:space="0" w:color="auto"/>
            <w:bottom w:val="none" w:sz="0" w:space="0" w:color="auto"/>
            <w:right w:val="none" w:sz="0" w:space="0" w:color="auto"/>
          </w:divBdr>
          <w:divsChild>
            <w:div w:id="241334863">
              <w:marLeft w:val="0"/>
              <w:marRight w:val="0"/>
              <w:marTop w:val="0"/>
              <w:marBottom w:val="0"/>
              <w:divBdr>
                <w:top w:val="none" w:sz="0" w:space="0" w:color="auto"/>
                <w:left w:val="none" w:sz="0" w:space="0" w:color="auto"/>
                <w:bottom w:val="none" w:sz="0" w:space="0" w:color="auto"/>
                <w:right w:val="none" w:sz="0" w:space="0" w:color="auto"/>
              </w:divBdr>
            </w:div>
          </w:divsChild>
        </w:div>
        <w:div w:id="1375883259">
          <w:marLeft w:val="0"/>
          <w:marRight w:val="0"/>
          <w:marTop w:val="240"/>
          <w:marBottom w:val="0"/>
          <w:divBdr>
            <w:top w:val="none" w:sz="0" w:space="0" w:color="auto"/>
            <w:left w:val="none" w:sz="0" w:space="0" w:color="auto"/>
            <w:bottom w:val="none" w:sz="0" w:space="0" w:color="auto"/>
            <w:right w:val="none" w:sz="0" w:space="0" w:color="auto"/>
          </w:divBdr>
          <w:divsChild>
            <w:div w:id="1833448984">
              <w:marLeft w:val="0"/>
              <w:marRight w:val="0"/>
              <w:marTop w:val="0"/>
              <w:marBottom w:val="0"/>
              <w:divBdr>
                <w:top w:val="none" w:sz="0" w:space="0" w:color="auto"/>
                <w:left w:val="none" w:sz="0" w:space="0" w:color="auto"/>
                <w:bottom w:val="none" w:sz="0" w:space="0" w:color="auto"/>
                <w:right w:val="none" w:sz="0" w:space="0" w:color="auto"/>
              </w:divBdr>
            </w:div>
          </w:divsChild>
        </w:div>
        <w:div w:id="1693997543">
          <w:marLeft w:val="0"/>
          <w:marRight w:val="0"/>
          <w:marTop w:val="240"/>
          <w:marBottom w:val="0"/>
          <w:divBdr>
            <w:top w:val="none" w:sz="0" w:space="0" w:color="auto"/>
            <w:left w:val="none" w:sz="0" w:space="0" w:color="auto"/>
            <w:bottom w:val="none" w:sz="0" w:space="0" w:color="auto"/>
            <w:right w:val="none" w:sz="0" w:space="0" w:color="auto"/>
          </w:divBdr>
          <w:divsChild>
            <w:div w:id="21003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8006">
      <w:bodyDiv w:val="1"/>
      <w:marLeft w:val="0"/>
      <w:marRight w:val="0"/>
      <w:marTop w:val="0"/>
      <w:marBottom w:val="0"/>
      <w:divBdr>
        <w:top w:val="none" w:sz="0" w:space="0" w:color="auto"/>
        <w:left w:val="none" w:sz="0" w:space="0" w:color="auto"/>
        <w:bottom w:val="none" w:sz="0" w:space="0" w:color="auto"/>
        <w:right w:val="none" w:sz="0" w:space="0" w:color="auto"/>
      </w:divBdr>
      <w:divsChild>
        <w:div w:id="487065069">
          <w:marLeft w:val="0"/>
          <w:marRight w:val="0"/>
          <w:marTop w:val="0"/>
          <w:marBottom w:val="0"/>
          <w:divBdr>
            <w:top w:val="none" w:sz="0" w:space="0" w:color="auto"/>
            <w:left w:val="single" w:sz="6" w:space="0" w:color="BBBBBB"/>
            <w:bottom w:val="single" w:sz="6" w:space="0" w:color="BBBBBB"/>
            <w:right w:val="single" w:sz="6" w:space="0" w:color="BBBBBB"/>
          </w:divBdr>
          <w:divsChild>
            <w:div w:id="1827277749">
              <w:marLeft w:val="0"/>
              <w:marRight w:val="0"/>
              <w:marTop w:val="0"/>
              <w:marBottom w:val="0"/>
              <w:divBdr>
                <w:top w:val="none" w:sz="0" w:space="0" w:color="auto"/>
                <w:left w:val="none" w:sz="0" w:space="0" w:color="auto"/>
                <w:bottom w:val="none" w:sz="0" w:space="0" w:color="auto"/>
                <w:right w:val="none" w:sz="0" w:space="0" w:color="auto"/>
              </w:divBdr>
              <w:divsChild>
                <w:div w:id="1593929305">
                  <w:marLeft w:val="0"/>
                  <w:marRight w:val="0"/>
                  <w:marTop w:val="75"/>
                  <w:marBottom w:val="0"/>
                  <w:divBdr>
                    <w:top w:val="none" w:sz="0" w:space="0" w:color="auto"/>
                    <w:left w:val="none" w:sz="0" w:space="0" w:color="auto"/>
                    <w:bottom w:val="none" w:sz="0" w:space="0" w:color="auto"/>
                    <w:right w:val="none" w:sz="0" w:space="0" w:color="auto"/>
                  </w:divBdr>
                  <w:divsChild>
                    <w:div w:id="659044005">
                      <w:marLeft w:val="0"/>
                      <w:marRight w:val="0"/>
                      <w:marTop w:val="0"/>
                      <w:marBottom w:val="0"/>
                      <w:divBdr>
                        <w:top w:val="none" w:sz="0" w:space="0" w:color="auto"/>
                        <w:left w:val="none" w:sz="0" w:space="0" w:color="auto"/>
                        <w:bottom w:val="none" w:sz="0" w:space="0" w:color="auto"/>
                        <w:right w:val="none" w:sz="0" w:space="0" w:color="auto"/>
                      </w:divBdr>
                      <w:divsChild>
                        <w:div w:id="365568647">
                          <w:marLeft w:val="0"/>
                          <w:marRight w:val="0"/>
                          <w:marTop w:val="0"/>
                          <w:marBottom w:val="0"/>
                          <w:divBdr>
                            <w:top w:val="none" w:sz="0" w:space="0" w:color="auto"/>
                            <w:left w:val="none" w:sz="0" w:space="0" w:color="auto"/>
                            <w:bottom w:val="none" w:sz="0" w:space="0" w:color="auto"/>
                            <w:right w:val="none" w:sz="0" w:space="0" w:color="auto"/>
                          </w:divBdr>
                          <w:divsChild>
                            <w:div w:id="320741702">
                              <w:marLeft w:val="0"/>
                              <w:marRight w:val="0"/>
                              <w:marTop w:val="0"/>
                              <w:marBottom w:val="0"/>
                              <w:divBdr>
                                <w:top w:val="none" w:sz="0" w:space="0" w:color="auto"/>
                                <w:left w:val="none" w:sz="0" w:space="0" w:color="auto"/>
                                <w:bottom w:val="none" w:sz="0" w:space="0" w:color="auto"/>
                                <w:right w:val="none" w:sz="0" w:space="0" w:color="auto"/>
                              </w:divBdr>
                              <w:divsChild>
                                <w:div w:id="1576277731">
                                  <w:marLeft w:val="0"/>
                                  <w:marRight w:val="0"/>
                                  <w:marTop w:val="0"/>
                                  <w:marBottom w:val="0"/>
                                  <w:divBdr>
                                    <w:top w:val="none" w:sz="0" w:space="0" w:color="auto"/>
                                    <w:left w:val="none" w:sz="0" w:space="0" w:color="auto"/>
                                    <w:bottom w:val="none" w:sz="0" w:space="0" w:color="auto"/>
                                    <w:right w:val="none" w:sz="0" w:space="0" w:color="auto"/>
                                  </w:divBdr>
                                  <w:divsChild>
                                    <w:div w:id="1677924856">
                                      <w:marLeft w:val="0"/>
                                      <w:marRight w:val="0"/>
                                      <w:marTop w:val="0"/>
                                      <w:marBottom w:val="0"/>
                                      <w:divBdr>
                                        <w:top w:val="none" w:sz="0" w:space="0" w:color="auto"/>
                                        <w:left w:val="none" w:sz="0" w:space="0" w:color="auto"/>
                                        <w:bottom w:val="none" w:sz="0" w:space="0" w:color="auto"/>
                                        <w:right w:val="none" w:sz="0" w:space="0" w:color="auto"/>
                                      </w:divBdr>
                                      <w:divsChild>
                                        <w:div w:id="2145729806">
                                          <w:marLeft w:val="1200"/>
                                          <w:marRight w:val="1200"/>
                                          <w:marTop w:val="0"/>
                                          <w:marBottom w:val="0"/>
                                          <w:divBdr>
                                            <w:top w:val="none" w:sz="0" w:space="0" w:color="auto"/>
                                            <w:left w:val="none" w:sz="0" w:space="0" w:color="auto"/>
                                            <w:bottom w:val="none" w:sz="0" w:space="0" w:color="auto"/>
                                            <w:right w:val="none" w:sz="0" w:space="0" w:color="auto"/>
                                          </w:divBdr>
                                          <w:divsChild>
                                            <w:div w:id="460733634">
                                              <w:marLeft w:val="0"/>
                                              <w:marRight w:val="0"/>
                                              <w:marTop w:val="0"/>
                                              <w:marBottom w:val="0"/>
                                              <w:divBdr>
                                                <w:top w:val="none" w:sz="0" w:space="0" w:color="auto"/>
                                                <w:left w:val="none" w:sz="0" w:space="0" w:color="auto"/>
                                                <w:bottom w:val="none" w:sz="0" w:space="0" w:color="auto"/>
                                                <w:right w:val="none" w:sz="0" w:space="0" w:color="auto"/>
                                              </w:divBdr>
                                              <w:divsChild>
                                                <w:div w:id="543755008">
                                                  <w:marLeft w:val="0"/>
                                                  <w:marRight w:val="0"/>
                                                  <w:marTop w:val="0"/>
                                                  <w:marBottom w:val="0"/>
                                                  <w:divBdr>
                                                    <w:top w:val="none" w:sz="0" w:space="0" w:color="auto"/>
                                                    <w:left w:val="none" w:sz="0" w:space="0" w:color="auto"/>
                                                    <w:bottom w:val="none" w:sz="0" w:space="0" w:color="auto"/>
                                                    <w:right w:val="none" w:sz="0" w:space="0" w:color="auto"/>
                                                  </w:divBdr>
                                                  <w:divsChild>
                                                    <w:div w:id="389884851">
                                                      <w:marLeft w:val="0"/>
                                                      <w:marRight w:val="0"/>
                                                      <w:marTop w:val="0"/>
                                                      <w:marBottom w:val="0"/>
                                                      <w:divBdr>
                                                        <w:top w:val="none" w:sz="0" w:space="0" w:color="auto"/>
                                                        <w:left w:val="none" w:sz="0" w:space="0" w:color="auto"/>
                                                        <w:bottom w:val="none" w:sz="0" w:space="0" w:color="auto"/>
                                                        <w:right w:val="none" w:sz="0" w:space="0" w:color="auto"/>
                                                      </w:divBdr>
                                                      <w:divsChild>
                                                        <w:div w:id="1630822724">
                                                          <w:marLeft w:val="0"/>
                                                          <w:marRight w:val="0"/>
                                                          <w:marTop w:val="0"/>
                                                          <w:marBottom w:val="0"/>
                                                          <w:divBdr>
                                                            <w:top w:val="none" w:sz="0" w:space="0" w:color="auto"/>
                                                            <w:left w:val="none" w:sz="0" w:space="0" w:color="auto"/>
                                                            <w:bottom w:val="none" w:sz="0" w:space="0" w:color="auto"/>
                                                            <w:right w:val="none" w:sz="0" w:space="0" w:color="auto"/>
                                                          </w:divBdr>
                                                        </w:div>
                                                      </w:divsChild>
                                                    </w:div>
                                                    <w:div w:id="1353187593">
                                                      <w:marLeft w:val="0"/>
                                                      <w:marRight w:val="0"/>
                                                      <w:marTop w:val="0"/>
                                                      <w:marBottom w:val="0"/>
                                                      <w:divBdr>
                                                        <w:top w:val="none" w:sz="0" w:space="0" w:color="auto"/>
                                                        <w:left w:val="none" w:sz="0" w:space="0" w:color="auto"/>
                                                        <w:bottom w:val="none" w:sz="0" w:space="0" w:color="auto"/>
                                                        <w:right w:val="none" w:sz="0" w:space="0" w:color="auto"/>
                                                      </w:divBdr>
                                                      <w:divsChild>
                                                        <w:div w:id="354844630">
                                                          <w:marLeft w:val="0"/>
                                                          <w:marRight w:val="0"/>
                                                          <w:marTop w:val="0"/>
                                                          <w:marBottom w:val="0"/>
                                                          <w:divBdr>
                                                            <w:top w:val="none" w:sz="0" w:space="0" w:color="auto"/>
                                                            <w:left w:val="none" w:sz="0" w:space="0" w:color="auto"/>
                                                            <w:bottom w:val="none" w:sz="0" w:space="0" w:color="auto"/>
                                                            <w:right w:val="none" w:sz="0" w:space="0" w:color="auto"/>
                                                          </w:divBdr>
                                                        </w:div>
                                                      </w:divsChild>
                                                    </w:div>
                                                    <w:div w:id="1357463477">
                                                      <w:marLeft w:val="0"/>
                                                      <w:marRight w:val="0"/>
                                                      <w:marTop w:val="0"/>
                                                      <w:marBottom w:val="0"/>
                                                      <w:divBdr>
                                                        <w:top w:val="none" w:sz="0" w:space="0" w:color="auto"/>
                                                        <w:left w:val="none" w:sz="0" w:space="0" w:color="auto"/>
                                                        <w:bottom w:val="none" w:sz="0" w:space="0" w:color="auto"/>
                                                        <w:right w:val="none" w:sz="0" w:space="0" w:color="auto"/>
                                                      </w:divBdr>
                                                      <w:divsChild>
                                                        <w:div w:id="789976788">
                                                          <w:marLeft w:val="0"/>
                                                          <w:marRight w:val="0"/>
                                                          <w:marTop w:val="0"/>
                                                          <w:marBottom w:val="0"/>
                                                          <w:divBdr>
                                                            <w:top w:val="none" w:sz="0" w:space="0" w:color="auto"/>
                                                            <w:left w:val="none" w:sz="0" w:space="0" w:color="auto"/>
                                                            <w:bottom w:val="none" w:sz="0" w:space="0" w:color="auto"/>
                                                            <w:right w:val="none" w:sz="0" w:space="0" w:color="auto"/>
                                                          </w:divBdr>
                                                        </w:div>
                                                      </w:divsChild>
                                                    </w:div>
                                                    <w:div w:id="1503204301">
                                                      <w:marLeft w:val="0"/>
                                                      <w:marRight w:val="0"/>
                                                      <w:marTop w:val="0"/>
                                                      <w:marBottom w:val="0"/>
                                                      <w:divBdr>
                                                        <w:top w:val="none" w:sz="0" w:space="0" w:color="auto"/>
                                                        <w:left w:val="none" w:sz="0" w:space="0" w:color="auto"/>
                                                        <w:bottom w:val="none" w:sz="0" w:space="0" w:color="auto"/>
                                                        <w:right w:val="none" w:sz="0" w:space="0" w:color="auto"/>
                                                      </w:divBdr>
                                                      <w:divsChild>
                                                        <w:div w:id="849755800">
                                                          <w:marLeft w:val="0"/>
                                                          <w:marRight w:val="0"/>
                                                          <w:marTop w:val="0"/>
                                                          <w:marBottom w:val="0"/>
                                                          <w:divBdr>
                                                            <w:top w:val="none" w:sz="0" w:space="0" w:color="auto"/>
                                                            <w:left w:val="none" w:sz="0" w:space="0" w:color="auto"/>
                                                            <w:bottom w:val="none" w:sz="0" w:space="0" w:color="auto"/>
                                                            <w:right w:val="none" w:sz="0" w:space="0" w:color="auto"/>
                                                          </w:divBdr>
                                                        </w:div>
                                                      </w:divsChild>
                                                    </w:div>
                                                    <w:div w:id="1874460746">
                                                      <w:marLeft w:val="0"/>
                                                      <w:marRight w:val="0"/>
                                                      <w:marTop w:val="0"/>
                                                      <w:marBottom w:val="0"/>
                                                      <w:divBdr>
                                                        <w:top w:val="none" w:sz="0" w:space="0" w:color="auto"/>
                                                        <w:left w:val="none" w:sz="0" w:space="0" w:color="auto"/>
                                                        <w:bottom w:val="none" w:sz="0" w:space="0" w:color="auto"/>
                                                        <w:right w:val="none" w:sz="0" w:space="0" w:color="auto"/>
                                                      </w:divBdr>
                                                      <w:divsChild>
                                                        <w:div w:id="660887928">
                                                          <w:marLeft w:val="0"/>
                                                          <w:marRight w:val="0"/>
                                                          <w:marTop w:val="0"/>
                                                          <w:marBottom w:val="0"/>
                                                          <w:divBdr>
                                                            <w:top w:val="none" w:sz="0" w:space="0" w:color="auto"/>
                                                            <w:left w:val="none" w:sz="0" w:space="0" w:color="auto"/>
                                                            <w:bottom w:val="none" w:sz="0" w:space="0" w:color="auto"/>
                                                            <w:right w:val="none" w:sz="0" w:space="0" w:color="auto"/>
                                                          </w:divBdr>
                                                        </w:div>
                                                      </w:divsChild>
                                                    </w:div>
                                                    <w:div w:id="2074112681">
                                                      <w:marLeft w:val="0"/>
                                                      <w:marRight w:val="0"/>
                                                      <w:marTop w:val="0"/>
                                                      <w:marBottom w:val="0"/>
                                                      <w:divBdr>
                                                        <w:top w:val="none" w:sz="0" w:space="0" w:color="auto"/>
                                                        <w:left w:val="none" w:sz="0" w:space="0" w:color="auto"/>
                                                        <w:bottom w:val="none" w:sz="0" w:space="0" w:color="auto"/>
                                                        <w:right w:val="none" w:sz="0" w:space="0" w:color="auto"/>
                                                      </w:divBdr>
                                                      <w:divsChild>
                                                        <w:div w:id="13733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6454458">
      <w:bodyDiv w:val="1"/>
      <w:marLeft w:val="0"/>
      <w:marRight w:val="0"/>
      <w:marTop w:val="0"/>
      <w:marBottom w:val="0"/>
      <w:divBdr>
        <w:top w:val="none" w:sz="0" w:space="0" w:color="auto"/>
        <w:left w:val="none" w:sz="0" w:space="0" w:color="auto"/>
        <w:bottom w:val="none" w:sz="0" w:space="0" w:color="auto"/>
        <w:right w:val="none" w:sz="0" w:space="0" w:color="auto"/>
      </w:divBdr>
      <w:divsChild>
        <w:div w:id="823476387">
          <w:marLeft w:val="0"/>
          <w:marRight w:val="0"/>
          <w:marTop w:val="0"/>
          <w:marBottom w:val="0"/>
          <w:divBdr>
            <w:top w:val="none" w:sz="0" w:space="0" w:color="auto"/>
            <w:left w:val="single" w:sz="6" w:space="0" w:color="BBBBBB"/>
            <w:bottom w:val="single" w:sz="6" w:space="0" w:color="BBBBBB"/>
            <w:right w:val="single" w:sz="6" w:space="0" w:color="BBBBBB"/>
          </w:divBdr>
          <w:divsChild>
            <w:div w:id="1979527987">
              <w:marLeft w:val="0"/>
              <w:marRight w:val="0"/>
              <w:marTop w:val="0"/>
              <w:marBottom w:val="0"/>
              <w:divBdr>
                <w:top w:val="none" w:sz="0" w:space="0" w:color="auto"/>
                <w:left w:val="none" w:sz="0" w:space="0" w:color="auto"/>
                <w:bottom w:val="none" w:sz="0" w:space="0" w:color="auto"/>
                <w:right w:val="none" w:sz="0" w:space="0" w:color="auto"/>
              </w:divBdr>
              <w:divsChild>
                <w:div w:id="1617056623">
                  <w:marLeft w:val="0"/>
                  <w:marRight w:val="0"/>
                  <w:marTop w:val="75"/>
                  <w:marBottom w:val="0"/>
                  <w:divBdr>
                    <w:top w:val="none" w:sz="0" w:space="0" w:color="auto"/>
                    <w:left w:val="none" w:sz="0" w:space="0" w:color="auto"/>
                    <w:bottom w:val="none" w:sz="0" w:space="0" w:color="auto"/>
                    <w:right w:val="none" w:sz="0" w:space="0" w:color="auto"/>
                  </w:divBdr>
                  <w:divsChild>
                    <w:div w:id="1072463156">
                      <w:marLeft w:val="0"/>
                      <w:marRight w:val="0"/>
                      <w:marTop w:val="0"/>
                      <w:marBottom w:val="0"/>
                      <w:divBdr>
                        <w:top w:val="none" w:sz="0" w:space="0" w:color="auto"/>
                        <w:left w:val="none" w:sz="0" w:space="0" w:color="auto"/>
                        <w:bottom w:val="none" w:sz="0" w:space="0" w:color="auto"/>
                        <w:right w:val="none" w:sz="0" w:space="0" w:color="auto"/>
                      </w:divBdr>
                      <w:divsChild>
                        <w:div w:id="1198349357">
                          <w:marLeft w:val="0"/>
                          <w:marRight w:val="0"/>
                          <w:marTop w:val="0"/>
                          <w:marBottom w:val="0"/>
                          <w:divBdr>
                            <w:top w:val="none" w:sz="0" w:space="0" w:color="auto"/>
                            <w:left w:val="none" w:sz="0" w:space="0" w:color="auto"/>
                            <w:bottom w:val="none" w:sz="0" w:space="0" w:color="auto"/>
                            <w:right w:val="none" w:sz="0" w:space="0" w:color="auto"/>
                          </w:divBdr>
                          <w:divsChild>
                            <w:div w:id="606153756">
                              <w:marLeft w:val="0"/>
                              <w:marRight w:val="0"/>
                              <w:marTop w:val="0"/>
                              <w:marBottom w:val="0"/>
                              <w:divBdr>
                                <w:top w:val="none" w:sz="0" w:space="0" w:color="auto"/>
                                <w:left w:val="none" w:sz="0" w:space="0" w:color="auto"/>
                                <w:bottom w:val="none" w:sz="0" w:space="0" w:color="auto"/>
                                <w:right w:val="none" w:sz="0" w:space="0" w:color="auto"/>
                              </w:divBdr>
                              <w:divsChild>
                                <w:div w:id="312291943">
                                  <w:marLeft w:val="0"/>
                                  <w:marRight w:val="0"/>
                                  <w:marTop w:val="0"/>
                                  <w:marBottom w:val="0"/>
                                  <w:divBdr>
                                    <w:top w:val="none" w:sz="0" w:space="0" w:color="auto"/>
                                    <w:left w:val="none" w:sz="0" w:space="0" w:color="auto"/>
                                    <w:bottom w:val="none" w:sz="0" w:space="0" w:color="auto"/>
                                    <w:right w:val="none" w:sz="0" w:space="0" w:color="auto"/>
                                  </w:divBdr>
                                  <w:divsChild>
                                    <w:div w:id="984817780">
                                      <w:marLeft w:val="0"/>
                                      <w:marRight w:val="0"/>
                                      <w:marTop w:val="0"/>
                                      <w:marBottom w:val="0"/>
                                      <w:divBdr>
                                        <w:top w:val="none" w:sz="0" w:space="0" w:color="auto"/>
                                        <w:left w:val="none" w:sz="0" w:space="0" w:color="auto"/>
                                        <w:bottom w:val="none" w:sz="0" w:space="0" w:color="auto"/>
                                        <w:right w:val="none" w:sz="0" w:space="0" w:color="auto"/>
                                      </w:divBdr>
                                      <w:divsChild>
                                        <w:div w:id="2122991963">
                                          <w:marLeft w:val="1200"/>
                                          <w:marRight w:val="1200"/>
                                          <w:marTop w:val="0"/>
                                          <w:marBottom w:val="0"/>
                                          <w:divBdr>
                                            <w:top w:val="none" w:sz="0" w:space="0" w:color="auto"/>
                                            <w:left w:val="none" w:sz="0" w:space="0" w:color="auto"/>
                                            <w:bottom w:val="none" w:sz="0" w:space="0" w:color="auto"/>
                                            <w:right w:val="none" w:sz="0" w:space="0" w:color="auto"/>
                                          </w:divBdr>
                                          <w:divsChild>
                                            <w:div w:id="1918049098">
                                              <w:marLeft w:val="0"/>
                                              <w:marRight w:val="0"/>
                                              <w:marTop w:val="0"/>
                                              <w:marBottom w:val="0"/>
                                              <w:divBdr>
                                                <w:top w:val="none" w:sz="0" w:space="0" w:color="auto"/>
                                                <w:left w:val="none" w:sz="0" w:space="0" w:color="auto"/>
                                                <w:bottom w:val="none" w:sz="0" w:space="0" w:color="auto"/>
                                                <w:right w:val="none" w:sz="0" w:space="0" w:color="auto"/>
                                              </w:divBdr>
                                              <w:divsChild>
                                                <w:div w:id="1374500157">
                                                  <w:marLeft w:val="0"/>
                                                  <w:marRight w:val="0"/>
                                                  <w:marTop w:val="0"/>
                                                  <w:marBottom w:val="0"/>
                                                  <w:divBdr>
                                                    <w:top w:val="none" w:sz="0" w:space="0" w:color="auto"/>
                                                    <w:left w:val="none" w:sz="0" w:space="0" w:color="auto"/>
                                                    <w:bottom w:val="none" w:sz="0" w:space="0" w:color="auto"/>
                                                    <w:right w:val="none" w:sz="0" w:space="0" w:color="auto"/>
                                                  </w:divBdr>
                                                  <w:divsChild>
                                                    <w:div w:id="2115206375">
                                                      <w:marLeft w:val="0"/>
                                                      <w:marRight w:val="0"/>
                                                      <w:marTop w:val="0"/>
                                                      <w:marBottom w:val="0"/>
                                                      <w:divBdr>
                                                        <w:top w:val="none" w:sz="0" w:space="0" w:color="auto"/>
                                                        <w:left w:val="none" w:sz="0" w:space="0" w:color="auto"/>
                                                        <w:bottom w:val="none" w:sz="0" w:space="0" w:color="auto"/>
                                                        <w:right w:val="none" w:sz="0" w:space="0" w:color="auto"/>
                                                      </w:divBdr>
                                                      <w:divsChild>
                                                        <w:div w:id="1951472031">
                                                          <w:marLeft w:val="0"/>
                                                          <w:marRight w:val="0"/>
                                                          <w:marTop w:val="0"/>
                                                          <w:marBottom w:val="0"/>
                                                          <w:divBdr>
                                                            <w:top w:val="none" w:sz="0" w:space="0" w:color="auto"/>
                                                            <w:left w:val="none" w:sz="0" w:space="0" w:color="auto"/>
                                                            <w:bottom w:val="none" w:sz="0" w:space="0" w:color="auto"/>
                                                            <w:right w:val="none" w:sz="0" w:space="0" w:color="auto"/>
                                                          </w:divBdr>
                                                          <w:divsChild>
                                                            <w:div w:id="1250653469">
                                                              <w:marLeft w:val="0"/>
                                                              <w:marRight w:val="0"/>
                                                              <w:marTop w:val="0"/>
                                                              <w:marBottom w:val="0"/>
                                                              <w:divBdr>
                                                                <w:top w:val="none" w:sz="0" w:space="0" w:color="auto"/>
                                                                <w:left w:val="none" w:sz="0" w:space="0" w:color="auto"/>
                                                                <w:bottom w:val="none" w:sz="0" w:space="0" w:color="auto"/>
                                                                <w:right w:val="none" w:sz="0" w:space="0" w:color="auto"/>
                                                              </w:divBdr>
                                                              <w:divsChild>
                                                                <w:div w:id="306974910">
                                                                  <w:marLeft w:val="0"/>
                                                                  <w:marRight w:val="0"/>
                                                                  <w:marTop w:val="0"/>
                                                                  <w:marBottom w:val="0"/>
                                                                  <w:divBdr>
                                                                    <w:top w:val="none" w:sz="0" w:space="0" w:color="auto"/>
                                                                    <w:left w:val="none" w:sz="0" w:space="0" w:color="auto"/>
                                                                    <w:bottom w:val="none" w:sz="0" w:space="0" w:color="auto"/>
                                                                    <w:right w:val="none" w:sz="0" w:space="0" w:color="auto"/>
                                                                  </w:divBdr>
                                                                  <w:divsChild>
                                                                    <w:div w:id="203298484">
                                                                      <w:marLeft w:val="0"/>
                                                                      <w:marRight w:val="0"/>
                                                                      <w:marTop w:val="0"/>
                                                                      <w:marBottom w:val="0"/>
                                                                      <w:divBdr>
                                                                        <w:top w:val="none" w:sz="0" w:space="0" w:color="auto"/>
                                                                        <w:left w:val="none" w:sz="0" w:space="0" w:color="auto"/>
                                                                        <w:bottom w:val="none" w:sz="0" w:space="0" w:color="auto"/>
                                                                        <w:right w:val="none" w:sz="0" w:space="0" w:color="auto"/>
                                                                      </w:divBdr>
                                                                      <w:divsChild>
                                                                        <w:div w:id="357584912">
                                                                          <w:marLeft w:val="0"/>
                                                                          <w:marRight w:val="0"/>
                                                                          <w:marTop w:val="0"/>
                                                                          <w:marBottom w:val="0"/>
                                                                          <w:divBdr>
                                                                            <w:top w:val="none" w:sz="0" w:space="0" w:color="auto"/>
                                                                            <w:left w:val="none" w:sz="0" w:space="0" w:color="auto"/>
                                                                            <w:bottom w:val="none" w:sz="0" w:space="0" w:color="auto"/>
                                                                            <w:right w:val="none" w:sz="0" w:space="0" w:color="auto"/>
                                                                          </w:divBdr>
                                                                        </w:div>
                                                                      </w:divsChild>
                                                                    </w:div>
                                                                    <w:div w:id="212623030">
                                                                      <w:marLeft w:val="0"/>
                                                                      <w:marRight w:val="0"/>
                                                                      <w:marTop w:val="0"/>
                                                                      <w:marBottom w:val="0"/>
                                                                      <w:divBdr>
                                                                        <w:top w:val="none" w:sz="0" w:space="0" w:color="auto"/>
                                                                        <w:left w:val="none" w:sz="0" w:space="0" w:color="auto"/>
                                                                        <w:bottom w:val="none" w:sz="0" w:space="0" w:color="auto"/>
                                                                        <w:right w:val="none" w:sz="0" w:space="0" w:color="auto"/>
                                                                      </w:divBdr>
                                                                      <w:divsChild>
                                                                        <w:div w:id="871922457">
                                                                          <w:marLeft w:val="0"/>
                                                                          <w:marRight w:val="0"/>
                                                                          <w:marTop w:val="0"/>
                                                                          <w:marBottom w:val="0"/>
                                                                          <w:divBdr>
                                                                            <w:top w:val="none" w:sz="0" w:space="0" w:color="auto"/>
                                                                            <w:left w:val="none" w:sz="0" w:space="0" w:color="auto"/>
                                                                            <w:bottom w:val="none" w:sz="0" w:space="0" w:color="auto"/>
                                                                            <w:right w:val="none" w:sz="0" w:space="0" w:color="auto"/>
                                                                          </w:divBdr>
                                                                        </w:div>
                                                                      </w:divsChild>
                                                                    </w:div>
                                                                    <w:div w:id="1118570010">
                                                                      <w:marLeft w:val="0"/>
                                                                      <w:marRight w:val="0"/>
                                                                      <w:marTop w:val="0"/>
                                                                      <w:marBottom w:val="0"/>
                                                                      <w:divBdr>
                                                                        <w:top w:val="none" w:sz="0" w:space="0" w:color="auto"/>
                                                                        <w:left w:val="none" w:sz="0" w:space="0" w:color="auto"/>
                                                                        <w:bottom w:val="none" w:sz="0" w:space="0" w:color="auto"/>
                                                                        <w:right w:val="none" w:sz="0" w:space="0" w:color="auto"/>
                                                                      </w:divBdr>
                                                                      <w:divsChild>
                                                                        <w:div w:id="3727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7233316">
      <w:bodyDiv w:val="1"/>
      <w:marLeft w:val="0"/>
      <w:marRight w:val="0"/>
      <w:marTop w:val="0"/>
      <w:marBottom w:val="0"/>
      <w:divBdr>
        <w:top w:val="none" w:sz="0" w:space="0" w:color="auto"/>
        <w:left w:val="none" w:sz="0" w:space="0" w:color="auto"/>
        <w:bottom w:val="none" w:sz="0" w:space="0" w:color="auto"/>
        <w:right w:val="none" w:sz="0" w:space="0" w:color="auto"/>
      </w:divBdr>
      <w:divsChild>
        <w:div w:id="278875344">
          <w:marLeft w:val="0"/>
          <w:marRight w:val="0"/>
          <w:marTop w:val="240"/>
          <w:marBottom w:val="0"/>
          <w:divBdr>
            <w:top w:val="none" w:sz="0" w:space="0" w:color="auto"/>
            <w:left w:val="none" w:sz="0" w:space="0" w:color="auto"/>
            <w:bottom w:val="none" w:sz="0" w:space="0" w:color="auto"/>
            <w:right w:val="none" w:sz="0" w:space="0" w:color="auto"/>
          </w:divBdr>
        </w:div>
        <w:div w:id="333652681">
          <w:marLeft w:val="0"/>
          <w:marRight w:val="0"/>
          <w:marTop w:val="240"/>
          <w:marBottom w:val="0"/>
          <w:divBdr>
            <w:top w:val="none" w:sz="0" w:space="0" w:color="auto"/>
            <w:left w:val="none" w:sz="0" w:space="0" w:color="auto"/>
            <w:bottom w:val="none" w:sz="0" w:space="0" w:color="auto"/>
            <w:right w:val="none" w:sz="0" w:space="0" w:color="auto"/>
          </w:divBdr>
          <w:divsChild>
            <w:div w:id="1314137731">
              <w:marLeft w:val="0"/>
              <w:marRight w:val="0"/>
              <w:marTop w:val="0"/>
              <w:marBottom w:val="0"/>
              <w:divBdr>
                <w:top w:val="none" w:sz="0" w:space="0" w:color="auto"/>
                <w:left w:val="none" w:sz="0" w:space="0" w:color="auto"/>
                <w:bottom w:val="none" w:sz="0" w:space="0" w:color="auto"/>
                <w:right w:val="none" w:sz="0" w:space="0" w:color="auto"/>
              </w:divBdr>
            </w:div>
          </w:divsChild>
        </w:div>
        <w:div w:id="973026839">
          <w:marLeft w:val="0"/>
          <w:marRight w:val="0"/>
          <w:marTop w:val="240"/>
          <w:marBottom w:val="0"/>
          <w:divBdr>
            <w:top w:val="none" w:sz="0" w:space="0" w:color="auto"/>
            <w:left w:val="none" w:sz="0" w:space="0" w:color="auto"/>
            <w:bottom w:val="none" w:sz="0" w:space="0" w:color="auto"/>
            <w:right w:val="none" w:sz="0" w:space="0" w:color="auto"/>
          </w:divBdr>
          <w:divsChild>
            <w:div w:id="2055226941">
              <w:marLeft w:val="0"/>
              <w:marRight w:val="0"/>
              <w:marTop w:val="0"/>
              <w:marBottom w:val="0"/>
              <w:divBdr>
                <w:top w:val="none" w:sz="0" w:space="0" w:color="auto"/>
                <w:left w:val="none" w:sz="0" w:space="0" w:color="auto"/>
                <w:bottom w:val="none" w:sz="0" w:space="0" w:color="auto"/>
                <w:right w:val="none" w:sz="0" w:space="0" w:color="auto"/>
              </w:divBdr>
            </w:div>
          </w:divsChild>
        </w:div>
        <w:div w:id="1185896967">
          <w:marLeft w:val="0"/>
          <w:marRight w:val="0"/>
          <w:marTop w:val="240"/>
          <w:marBottom w:val="0"/>
          <w:divBdr>
            <w:top w:val="none" w:sz="0" w:space="0" w:color="auto"/>
            <w:left w:val="none" w:sz="0" w:space="0" w:color="auto"/>
            <w:bottom w:val="none" w:sz="0" w:space="0" w:color="auto"/>
            <w:right w:val="none" w:sz="0" w:space="0" w:color="auto"/>
          </w:divBdr>
          <w:divsChild>
            <w:div w:id="9196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20405">
      <w:bodyDiv w:val="1"/>
      <w:marLeft w:val="0"/>
      <w:marRight w:val="0"/>
      <w:marTop w:val="0"/>
      <w:marBottom w:val="0"/>
      <w:divBdr>
        <w:top w:val="none" w:sz="0" w:space="0" w:color="auto"/>
        <w:left w:val="none" w:sz="0" w:space="0" w:color="auto"/>
        <w:bottom w:val="none" w:sz="0" w:space="0" w:color="auto"/>
        <w:right w:val="none" w:sz="0" w:space="0" w:color="auto"/>
      </w:divBdr>
      <w:divsChild>
        <w:div w:id="690372531">
          <w:marLeft w:val="0"/>
          <w:marRight w:val="0"/>
          <w:marTop w:val="240"/>
          <w:marBottom w:val="0"/>
          <w:divBdr>
            <w:top w:val="none" w:sz="0" w:space="0" w:color="auto"/>
            <w:left w:val="none" w:sz="0" w:space="0" w:color="auto"/>
            <w:bottom w:val="none" w:sz="0" w:space="0" w:color="auto"/>
            <w:right w:val="none" w:sz="0" w:space="0" w:color="auto"/>
          </w:divBdr>
          <w:divsChild>
            <w:div w:id="1079061765">
              <w:marLeft w:val="0"/>
              <w:marRight w:val="0"/>
              <w:marTop w:val="0"/>
              <w:marBottom w:val="0"/>
              <w:divBdr>
                <w:top w:val="none" w:sz="0" w:space="0" w:color="auto"/>
                <w:left w:val="none" w:sz="0" w:space="0" w:color="auto"/>
                <w:bottom w:val="none" w:sz="0" w:space="0" w:color="auto"/>
                <w:right w:val="none" w:sz="0" w:space="0" w:color="auto"/>
              </w:divBdr>
              <w:divsChild>
                <w:div w:id="476343218">
                  <w:blockQuote w:val="1"/>
                  <w:marLeft w:val="0"/>
                  <w:marRight w:val="0"/>
                  <w:marTop w:val="0"/>
                  <w:marBottom w:val="0"/>
                  <w:divBdr>
                    <w:top w:val="none" w:sz="0" w:space="0" w:color="auto"/>
                    <w:left w:val="none" w:sz="0" w:space="0" w:color="auto"/>
                    <w:bottom w:val="none" w:sz="0" w:space="0" w:color="auto"/>
                    <w:right w:val="none" w:sz="0" w:space="0" w:color="auto"/>
                  </w:divBdr>
                  <w:divsChild>
                    <w:div w:id="117383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81167">
      <w:bodyDiv w:val="1"/>
      <w:marLeft w:val="0"/>
      <w:marRight w:val="0"/>
      <w:marTop w:val="0"/>
      <w:marBottom w:val="0"/>
      <w:divBdr>
        <w:top w:val="none" w:sz="0" w:space="0" w:color="auto"/>
        <w:left w:val="none" w:sz="0" w:space="0" w:color="auto"/>
        <w:bottom w:val="none" w:sz="0" w:space="0" w:color="auto"/>
        <w:right w:val="none" w:sz="0" w:space="0" w:color="auto"/>
      </w:divBdr>
      <w:divsChild>
        <w:div w:id="687102811">
          <w:marLeft w:val="0"/>
          <w:marRight w:val="0"/>
          <w:marTop w:val="0"/>
          <w:marBottom w:val="0"/>
          <w:divBdr>
            <w:top w:val="none" w:sz="0" w:space="0" w:color="auto"/>
            <w:left w:val="single" w:sz="6" w:space="0" w:color="BBBBBB"/>
            <w:bottom w:val="single" w:sz="6" w:space="0" w:color="BBBBBB"/>
            <w:right w:val="single" w:sz="6" w:space="0" w:color="BBBBBB"/>
          </w:divBdr>
          <w:divsChild>
            <w:div w:id="421220802">
              <w:marLeft w:val="0"/>
              <w:marRight w:val="0"/>
              <w:marTop w:val="0"/>
              <w:marBottom w:val="0"/>
              <w:divBdr>
                <w:top w:val="none" w:sz="0" w:space="0" w:color="auto"/>
                <w:left w:val="none" w:sz="0" w:space="0" w:color="auto"/>
                <w:bottom w:val="none" w:sz="0" w:space="0" w:color="auto"/>
                <w:right w:val="none" w:sz="0" w:space="0" w:color="auto"/>
              </w:divBdr>
              <w:divsChild>
                <w:div w:id="669917143">
                  <w:marLeft w:val="0"/>
                  <w:marRight w:val="0"/>
                  <w:marTop w:val="75"/>
                  <w:marBottom w:val="0"/>
                  <w:divBdr>
                    <w:top w:val="none" w:sz="0" w:space="0" w:color="auto"/>
                    <w:left w:val="none" w:sz="0" w:space="0" w:color="auto"/>
                    <w:bottom w:val="none" w:sz="0" w:space="0" w:color="auto"/>
                    <w:right w:val="none" w:sz="0" w:space="0" w:color="auto"/>
                  </w:divBdr>
                  <w:divsChild>
                    <w:div w:id="1927575061">
                      <w:marLeft w:val="0"/>
                      <w:marRight w:val="0"/>
                      <w:marTop w:val="0"/>
                      <w:marBottom w:val="0"/>
                      <w:divBdr>
                        <w:top w:val="none" w:sz="0" w:space="0" w:color="auto"/>
                        <w:left w:val="none" w:sz="0" w:space="0" w:color="auto"/>
                        <w:bottom w:val="none" w:sz="0" w:space="0" w:color="auto"/>
                        <w:right w:val="none" w:sz="0" w:space="0" w:color="auto"/>
                      </w:divBdr>
                      <w:divsChild>
                        <w:div w:id="1838498497">
                          <w:marLeft w:val="0"/>
                          <w:marRight w:val="0"/>
                          <w:marTop w:val="0"/>
                          <w:marBottom w:val="0"/>
                          <w:divBdr>
                            <w:top w:val="none" w:sz="0" w:space="0" w:color="auto"/>
                            <w:left w:val="none" w:sz="0" w:space="0" w:color="auto"/>
                            <w:bottom w:val="none" w:sz="0" w:space="0" w:color="auto"/>
                            <w:right w:val="none" w:sz="0" w:space="0" w:color="auto"/>
                          </w:divBdr>
                          <w:divsChild>
                            <w:div w:id="478155937">
                              <w:marLeft w:val="0"/>
                              <w:marRight w:val="0"/>
                              <w:marTop w:val="0"/>
                              <w:marBottom w:val="0"/>
                              <w:divBdr>
                                <w:top w:val="none" w:sz="0" w:space="0" w:color="auto"/>
                                <w:left w:val="none" w:sz="0" w:space="0" w:color="auto"/>
                                <w:bottom w:val="none" w:sz="0" w:space="0" w:color="auto"/>
                                <w:right w:val="none" w:sz="0" w:space="0" w:color="auto"/>
                              </w:divBdr>
                              <w:divsChild>
                                <w:div w:id="1630083785">
                                  <w:marLeft w:val="0"/>
                                  <w:marRight w:val="0"/>
                                  <w:marTop w:val="0"/>
                                  <w:marBottom w:val="0"/>
                                  <w:divBdr>
                                    <w:top w:val="none" w:sz="0" w:space="0" w:color="auto"/>
                                    <w:left w:val="none" w:sz="0" w:space="0" w:color="auto"/>
                                    <w:bottom w:val="none" w:sz="0" w:space="0" w:color="auto"/>
                                    <w:right w:val="none" w:sz="0" w:space="0" w:color="auto"/>
                                  </w:divBdr>
                                  <w:divsChild>
                                    <w:div w:id="155537763">
                                      <w:marLeft w:val="0"/>
                                      <w:marRight w:val="0"/>
                                      <w:marTop w:val="0"/>
                                      <w:marBottom w:val="0"/>
                                      <w:divBdr>
                                        <w:top w:val="none" w:sz="0" w:space="0" w:color="auto"/>
                                        <w:left w:val="none" w:sz="0" w:space="0" w:color="auto"/>
                                        <w:bottom w:val="none" w:sz="0" w:space="0" w:color="auto"/>
                                        <w:right w:val="none" w:sz="0" w:space="0" w:color="auto"/>
                                      </w:divBdr>
                                      <w:divsChild>
                                        <w:div w:id="2135244611">
                                          <w:marLeft w:val="1200"/>
                                          <w:marRight w:val="1200"/>
                                          <w:marTop w:val="0"/>
                                          <w:marBottom w:val="0"/>
                                          <w:divBdr>
                                            <w:top w:val="none" w:sz="0" w:space="0" w:color="auto"/>
                                            <w:left w:val="none" w:sz="0" w:space="0" w:color="auto"/>
                                            <w:bottom w:val="none" w:sz="0" w:space="0" w:color="auto"/>
                                            <w:right w:val="none" w:sz="0" w:space="0" w:color="auto"/>
                                          </w:divBdr>
                                          <w:divsChild>
                                            <w:div w:id="1757089883">
                                              <w:marLeft w:val="0"/>
                                              <w:marRight w:val="0"/>
                                              <w:marTop w:val="0"/>
                                              <w:marBottom w:val="0"/>
                                              <w:divBdr>
                                                <w:top w:val="none" w:sz="0" w:space="0" w:color="auto"/>
                                                <w:left w:val="none" w:sz="0" w:space="0" w:color="auto"/>
                                                <w:bottom w:val="none" w:sz="0" w:space="0" w:color="auto"/>
                                                <w:right w:val="none" w:sz="0" w:space="0" w:color="auto"/>
                                              </w:divBdr>
                                              <w:divsChild>
                                                <w:div w:id="1409233429">
                                                  <w:marLeft w:val="0"/>
                                                  <w:marRight w:val="0"/>
                                                  <w:marTop w:val="0"/>
                                                  <w:marBottom w:val="0"/>
                                                  <w:divBdr>
                                                    <w:top w:val="none" w:sz="0" w:space="0" w:color="auto"/>
                                                    <w:left w:val="none" w:sz="0" w:space="0" w:color="auto"/>
                                                    <w:bottom w:val="none" w:sz="0" w:space="0" w:color="auto"/>
                                                    <w:right w:val="none" w:sz="0" w:space="0" w:color="auto"/>
                                                  </w:divBdr>
                                                  <w:divsChild>
                                                    <w:div w:id="1720665392">
                                                      <w:marLeft w:val="0"/>
                                                      <w:marRight w:val="0"/>
                                                      <w:marTop w:val="0"/>
                                                      <w:marBottom w:val="0"/>
                                                      <w:divBdr>
                                                        <w:top w:val="none" w:sz="0" w:space="0" w:color="auto"/>
                                                        <w:left w:val="none" w:sz="0" w:space="0" w:color="auto"/>
                                                        <w:bottom w:val="none" w:sz="0" w:space="0" w:color="auto"/>
                                                        <w:right w:val="none" w:sz="0" w:space="0" w:color="auto"/>
                                                      </w:divBdr>
                                                      <w:divsChild>
                                                        <w:div w:id="541020338">
                                                          <w:marLeft w:val="0"/>
                                                          <w:marRight w:val="0"/>
                                                          <w:marTop w:val="0"/>
                                                          <w:marBottom w:val="0"/>
                                                          <w:divBdr>
                                                            <w:top w:val="none" w:sz="0" w:space="0" w:color="auto"/>
                                                            <w:left w:val="none" w:sz="0" w:space="0" w:color="auto"/>
                                                            <w:bottom w:val="none" w:sz="0" w:space="0" w:color="auto"/>
                                                            <w:right w:val="none" w:sz="0" w:space="0" w:color="auto"/>
                                                          </w:divBdr>
                                                          <w:divsChild>
                                                            <w:div w:id="2000964971">
                                                              <w:marLeft w:val="0"/>
                                                              <w:marRight w:val="0"/>
                                                              <w:marTop w:val="0"/>
                                                              <w:marBottom w:val="0"/>
                                                              <w:divBdr>
                                                                <w:top w:val="none" w:sz="0" w:space="0" w:color="auto"/>
                                                                <w:left w:val="none" w:sz="0" w:space="0" w:color="auto"/>
                                                                <w:bottom w:val="none" w:sz="0" w:space="0" w:color="auto"/>
                                                                <w:right w:val="none" w:sz="0" w:space="0" w:color="auto"/>
                                                              </w:divBdr>
                                                              <w:divsChild>
                                                                <w:div w:id="1157772214">
                                                                  <w:marLeft w:val="0"/>
                                                                  <w:marRight w:val="0"/>
                                                                  <w:marTop w:val="0"/>
                                                                  <w:marBottom w:val="0"/>
                                                                  <w:divBdr>
                                                                    <w:top w:val="none" w:sz="0" w:space="0" w:color="auto"/>
                                                                    <w:left w:val="none" w:sz="0" w:space="0" w:color="auto"/>
                                                                    <w:bottom w:val="none" w:sz="0" w:space="0" w:color="auto"/>
                                                                    <w:right w:val="none" w:sz="0" w:space="0" w:color="auto"/>
                                                                  </w:divBdr>
                                                                  <w:divsChild>
                                                                    <w:div w:id="1190411146">
                                                                      <w:marLeft w:val="0"/>
                                                                      <w:marRight w:val="0"/>
                                                                      <w:marTop w:val="0"/>
                                                                      <w:marBottom w:val="0"/>
                                                                      <w:divBdr>
                                                                        <w:top w:val="none" w:sz="0" w:space="0" w:color="auto"/>
                                                                        <w:left w:val="none" w:sz="0" w:space="0" w:color="auto"/>
                                                                        <w:bottom w:val="none" w:sz="0" w:space="0" w:color="auto"/>
                                                                        <w:right w:val="none" w:sz="0" w:space="0" w:color="auto"/>
                                                                      </w:divBdr>
                                                                      <w:divsChild>
                                                                        <w:div w:id="1754400013">
                                                                          <w:marLeft w:val="0"/>
                                                                          <w:marRight w:val="0"/>
                                                                          <w:marTop w:val="0"/>
                                                                          <w:marBottom w:val="0"/>
                                                                          <w:divBdr>
                                                                            <w:top w:val="none" w:sz="0" w:space="0" w:color="auto"/>
                                                                            <w:left w:val="none" w:sz="0" w:space="0" w:color="auto"/>
                                                                            <w:bottom w:val="none" w:sz="0" w:space="0" w:color="auto"/>
                                                                            <w:right w:val="none" w:sz="0" w:space="0" w:color="auto"/>
                                                                          </w:divBdr>
                                                                        </w:div>
                                                                      </w:divsChild>
                                                                    </w:div>
                                                                    <w:div w:id="1524899718">
                                                                      <w:marLeft w:val="0"/>
                                                                      <w:marRight w:val="0"/>
                                                                      <w:marTop w:val="0"/>
                                                                      <w:marBottom w:val="0"/>
                                                                      <w:divBdr>
                                                                        <w:top w:val="none" w:sz="0" w:space="0" w:color="auto"/>
                                                                        <w:left w:val="none" w:sz="0" w:space="0" w:color="auto"/>
                                                                        <w:bottom w:val="none" w:sz="0" w:space="0" w:color="auto"/>
                                                                        <w:right w:val="none" w:sz="0" w:space="0" w:color="auto"/>
                                                                      </w:divBdr>
                                                                      <w:divsChild>
                                                                        <w:div w:id="2048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630882">
      <w:bodyDiv w:val="1"/>
      <w:marLeft w:val="0"/>
      <w:marRight w:val="0"/>
      <w:marTop w:val="0"/>
      <w:marBottom w:val="0"/>
      <w:divBdr>
        <w:top w:val="none" w:sz="0" w:space="0" w:color="auto"/>
        <w:left w:val="none" w:sz="0" w:space="0" w:color="auto"/>
        <w:bottom w:val="none" w:sz="0" w:space="0" w:color="auto"/>
        <w:right w:val="none" w:sz="0" w:space="0" w:color="auto"/>
      </w:divBdr>
      <w:divsChild>
        <w:div w:id="373044062">
          <w:marLeft w:val="0"/>
          <w:marRight w:val="0"/>
          <w:marTop w:val="0"/>
          <w:marBottom w:val="0"/>
          <w:divBdr>
            <w:top w:val="none" w:sz="0" w:space="0" w:color="auto"/>
            <w:left w:val="none" w:sz="0" w:space="0" w:color="auto"/>
            <w:bottom w:val="none" w:sz="0" w:space="0" w:color="auto"/>
            <w:right w:val="none" w:sz="0" w:space="0" w:color="auto"/>
          </w:divBdr>
        </w:div>
        <w:div w:id="591813420">
          <w:marLeft w:val="0"/>
          <w:marRight w:val="0"/>
          <w:marTop w:val="240"/>
          <w:marBottom w:val="0"/>
          <w:divBdr>
            <w:top w:val="none" w:sz="0" w:space="0" w:color="auto"/>
            <w:left w:val="none" w:sz="0" w:space="0" w:color="auto"/>
            <w:bottom w:val="none" w:sz="0" w:space="0" w:color="auto"/>
            <w:right w:val="none" w:sz="0" w:space="0" w:color="auto"/>
          </w:divBdr>
          <w:divsChild>
            <w:div w:id="1973055360">
              <w:marLeft w:val="0"/>
              <w:marRight w:val="0"/>
              <w:marTop w:val="0"/>
              <w:marBottom w:val="0"/>
              <w:divBdr>
                <w:top w:val="none" w:sz="0" w:space="0" w:color="auto"/>
                <w:left w:val="none" w:sz="0" w:space="0" w:color="auto"/>
                <w:bottom w:val="none" w:sz="0" w:space="0" w:color="auto"/>
                <w:right w:val="none" w:sz="0" w:space="0" w:color="auto"/>
              </w:divBdr>
            </w:div>
          </w:divsChild>
        </w:div>
        <w:div w:id="608901519">
          <w:marLeft w:val="0"/>
          <w:marRight w:val="0"/>
          <w:marTop w:val="240"/>
          <w:marBottom w:val="0"/>
          <w:divBdr>
            <w:top w:val="none" w:sz="0" w:space="0" w:color="auto"/>
            <w:left w:val="none" w:sz="0" w:space="0" w:color="auto"/>
            <w:bottom w:val="none" w:sz="0" w:space="0" w:color="auto"/>
            <w:right w:val="none" w:sz="0" w:space="0" w:color="auto"/>
          </w:divBdr>
          <w:divsChild>
            <w:div w:id="103156899">
              <w:marLeft w:val="0"/>
              <w:marRight w:val="0"/>
              <w:marTop w:val="0"/>
              <w:marBottom w:val="0"/>
              <w:divBdr>
                <w:top w:val="none" w:sz="0" w:space="0" w:color="auto"/>
                <w:left w:val="none" w:sz="0" w:space="0" w:color="auto"/>
                <w:bottom w:val="none" w:sz="0" w:space="0" w:color="auto"/>
                <w:right w:val="none" w:sz="0" w:space="0" w:color="auto"/>
              </w:divBdr>
            </w:div>
            <w:div w:id="142089662">
              <w:marLeft w:val="0"/>
              <w:marRight w:val="0"/>
              <w:marTop w:val="240"/>
              <w:marBottom w:val="0"/>
              <w:divBdr>
                <w:top w:val="none" w:sz="0" w:space="0" w:color="auto"/>
                <w:left w:val="none" w:sz="0" w:space="0" w:color="auto"/>
                <w:bottom w:val="none" w:sz="0" w:space="0" w:color="auto"/>
                <w:right w:val="none" w:sz="0" w:space="0" w:color="auto"/>
              </w:divBdr>
            </w:div>
            <w:div w:id="1195926268">
              <w:marLeft w:val="0"/>
              <w:marRight w:val="0"/>
              <w:marTop w:val="240"/>
              <w:marBottom w:val="0"/>
              <w:divBdr>
                <w:top w:val="none" w:sz="0" w:space="0" w:color="auto"/>
                <w:left w:val="none" w:sz="0" w:space="0" w:color="auto"/>
                <w:bottom w:val="none" w:sz="0" w:space="0" w:color="auto"/>
                <w:right w:val="none" w:sz="0" w:space="0" w:color="auto"/>
              </w:divBdr>
              <w:divsChild>
                <w:div w:id="804857767">
                  <w:marLeft w:val="0"/>
                  <w:marRight w:val="0"/>
                  <w:marTop w:val="0"/>
                  <w:marBottom w:val="0"/>
                  <w:divBdr>
                    <w:top w:val="none" w:sz="0" w:space="0" w:color="auto"/>
                    <w:left w:val="none" w:sz="0" w:space="0" w:color="auto"/>
                    <w:bottom w:val="none" w:sz="0" w:space="0" w:color="auto"/>
                    <w:right w:val="none" w:sz="0" w:space="0" w:color="auto"/>
                  </w:divBdr>
                  <w:divsChild>
                    <w:div w:id="1069420636">
                      <w:blockQuote w:val="1"/>
                      <w:marLeft w:val="0"/>
                      <w:marRight w:val="0"/>
                      <w:marTop w:val="0"/>
                      <w:marBottom w:val="0"/>
                      <w:divBdr>
                        <w:top w:val="none" w:sz="0" w:space="0" w:color="auto"/>
                        <w:left w:val="none" w:sz="0" w:space="0" w:color="auto"/>
                        <w:bottom w:val="none" w:sz="0" w:space="0" w:color="auto"/>
                        <w:right w:val="none" w:sz="0" w:space="0" w:color="auto"/>
                      </w:divBdr>
                      <w:divsChild>
                        <w:div w:id="16257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16320">
              <w:marLeft w:val="0"/>
              <w:marRight w:val="0"/>
              <w:marTop w:val="240"/>
              <w:marBottom w:val="0"/>
              <w:divBdr>
                <w:top w:val="none" w:sz="0" w:space="0" w:color="auto"/>
                <w:left w:val="none" w:sz="0" w:space="0" w:color="auto"/>
                <w:bottom w:val="none" w:sz="0" w:space="0" w:color="auto"/>
                <w:right w:val="none" w:sz="0" w:space="0" w:color="auto"/>
              </w:divBdr>
              <w:divsChild>
                <w:div w:id="226769686">
                  <w:marLeft w:val="0"/>
                  <w:marRight w:val="0"/>
                  <w:marTop w:val="0"/>
                  <w:marBottom w:val="0"/>
                  <w:divBdr>
                    <w:top w:val="none" w:sz="0" w:space="0" w:color="auto"/>
                    <w:left w:val="none" w:sz="0" w:space="0" w:color="auto"/>
                    <w:bottom w:val="none" w:sz="0" w:space="0" w:color="auto"/>
                    <w:right w:val="none" w:sz="0" w:space="0" w:color="auto"/>
                  </w:divBdr>
                  <w:divsChild>
                    <w:div w:id="1400908917">
                      <w:blockQuote w:val="1"/>
                      <w:marLeft w:val="0"/>
                      <w:marRight w:val="0"/>
                      <w:marTop w:val="0"/>
                      <w:marBottom w:val="0"/>
                      <w:divBdr>
                        <w:top w:val="none" w:sz="0" w:space="0" w:color="auto"/>
                        <w:left w:val="none" w:sz="0" w:space="0" w:color="auto"/>
                        <w:bottom w:val="none" w:sz="0" w:space="0" w:color="auto"/>
                        <w:right w:val="none" w:sz="0" w:space="0" w:color="auto"/>
                      </w:divBdr>
                      <w:divsChild>
                        <w:div w:id="3235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76238">
              <w:marLeft w:val="0"/>
              <w:marRight w:val="0"/>
              <w:marTop w:val="240"/>
              <w:marBottom w:val="0"/>
              <w:divBdr>
                <w:top w:val="none" w:sz="0" w:space="0" w:color="auto"/>
                <w:left w:val="none" w:sz="0" w:space="0" w:color="auto"/>
                <w:bottom w:val="none" w:sz="0" w:space="0" w:color="auto"/>
                <w:right w:val="none" w:sz="0" w:space="0" w:color="auto"/>
              </w:divBdr>
            </w:div>
          </w:divsChild>
        </w:div>
        <w:div w:id="1189441943">
          <w:marLeft w:val="0"/>
          <w:marRight w:val="0"/>
          <w:marTop w:val="240"/>
          <w:marBottom w:val="0"/>
          <w:divBdr>
            <w:top w:val="none" w:sz="0" w:space="0" w:color="auto"/>
            <w:left w:val="none" w:sz="0" w:space="0" w:color="auto"/>
            <w:bottom w:val="none" w:sz="0" w:space="0" w:color="auto"/>
            <w:right w:val="none" w:sz="0" w:space="0" w:color="auto"/>
          </w:divBdr>
          <w:divsChild>
            <w:div w:id="58023672">
              <w:marLeft w:val="0"/>
              <w:marRight w:val="0"/>
              <w:marTop w:val="0"/>
              <w:marBottom w:val="0"/>
              <w:divBdr>
                <w:top w:val="none" w:sz="0" w:space="0" w:color="auto"/>
                <w:left w:val="none" w:sz="0" w:space="0" w:color="auto"/>
                <w:bottom w:val="none" w:sz="0" w:space="0" w:color="auto"/>
                <w:right w:val="none" w:sz="0" w:space="0" w:color="auto"/>
              </w:divBdr>
            </w:div>
            <w:div w:id="113212950">
              <w:marLeft w:val="0"/>
              <w:marRight w:val="0"/>
              <w:marTop w:val="240"/>
              <w:marBottom w:val="0"/>
              <w:divBdr>
                <w:top w:val="none" w:sz="0" w:space="0" w:color="auto"/>
                <w:left w:val="none" w:sz="0" w:space="0" w:color="auto"/>
                <w:bottom w:val="none" w:sz="0" w:space="0" w:color="auto"/>
                <w:right w:val="none" w:sz="0" w:space="0" w:color="auto"/>
              </w:divBdr>
            </w:div>
            <w:div w:id="1430270322">
              <w:marLeft w:val="0"/>
              <w:marRight w:val="0"/>
              <w:marTop w:val="240"/>
              <w:marBottom w:val="0"/>
              <w:divBdr>
                <w:top w:val="none" w:sz="0" w:space="0" w:color="auto"/>
                <w:left w:val="none" w:sz="0" w:space="0" w:color="auto"/>
                <w:bottom w:val="none" w:sz="0" w:space="0" w:color="auto"/>
                <w:right w:val="none" w:sz="0" w:space="0" w:color="auto"/>
              </w:divBdr>
              <w:divsChild>
                <w:div w:id="714353032">
                  <w:marLeft w:val="0"/>
                  <w:marRight w:val="0"/>
                  <w:marTop w:val="0"/>
                  <w:marBottom w:val="0"/>
                  <w:divBdr>
                    <w:top w:val="none" w:sz="0" w:space="0" w:color="auto"/>
                    <w:left w:val="none" w:sz="0" w:space="0" w:color="auto"/>
                    <w:bottom w:val="none" w:sz="0" w:space="0" w:color="auto"/>
                    <w:right w:val="none" w:sz="0" w:space="0" w:color="auto"/>
                  </w:divBdr>
                  <w:divsChild>
                    <w:div w:id="13385450">
                      <w:blockQuote w:val="1"/>
                      <w:marLeft w:val="0"/>
                      <w:marRight w:val="0"/>
                      <w:marTop w:val="0"/>
                      <w:marBottom w:val="0"/>
                      <w:divBdr>
                        <w:top w:val="none" w:sz="0" w:space="0" w:color="auto"/>
                        <w:left w:val="none" w:sz="0" w:space="0" w:color="auto"/>
                        <w:bottom w:val="none" w:sz="0" w:space="0" w:color="auto"/>
                        <w:right w:val="none" w:sz="0" w:space="0" w:color="auto"/>
                      </w:divBdr>
                      <w:divsChild>
                        <w:div w:id="17896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2962">
          <w:marLeft w:val="0"/>
          <w:marRight w:val="0"/>
          <w:marTop w:val="240"/>
          <w:marBottom w:val="0"/>
          <w:divBdr>
            <w:top w:val="none" w:sz="0" w:space="0" w:color="auto"/>
            <w:left w:val="none" w:sz="0" w:space="0" w:color="auto"/>
            <w:bottom w:val="none" w:sz="0" w:space="0" w:color="auto"/>
            <w:right w:val="none" w:sz="0" w:space="0" w:color="auto"/>
          </w:divBdr>
          <w:divsChild>
            <w:div w:id="87702227">
              <w:marLeft w:val="0"/>
              <w:marRight w:val="0"/>
              <w:marTop w:val="240"/>
              <w:marBottom w:val="0"/>
              <w:divBdr>
                <w:top w:val="none" w:sz="0" w:space="0" w:color="auto"/>
                <w:left w:val="none" w:sz="0" w:space="0" w:color="auto"/>
                <w:bottom w:val="none" w:sz="0" w:space="0" w:color="auto"/>
                <w:right w:val="none" w:sz="0" w:space="0" w:color="auto"/>
              </w:divBdr>
            </w:div>
            <w:div w:id="659583816">
              <w:marLeft w:val="0"/>
              <w:marRight w:val="0"/>
              <w:marTop w:val="0"/>
              <w:marBottom w:val="0"/>
              <w:divBdr>
                <w:top w:val="none" w:sz="0" w:space="0" w:color="auto"/>
                <w:left w:val="none" w:sz="0" w:space="0" w:color="auto"/>
                <w:bottom w:val="none" w:sz="0" w:space="0" w:color="auto"/>
                <w:right w:val="none" w:sz="0" w:space="0" w:color="auto"/>
              </w:divBdr>
            </w:div>
            <w:div w:id="1879973086">
              <w:marLeft w:val="0"/>
              <w:marRight w:val="0"/>
              <w:marTop w:val="240"/>
              <w:marBottom w:val="0"/>
              <w:divBdr>
                <w:top w:val="none" w:sz="0" w:space="0" w:color="auto"/>
                <w:left w:val="none" w:sz="0" w:space="0" w:color="auto"/>
                <w:bottom w:val="none" w:sz="0" w:space="0" w:color="auto"/>
                <w:right w:val="none" w:sz="0" w:space="0" w:color="auto"/>
              </w:divBdr>
              <w:divsChild>
                <w:div w:id="101418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13240">
          <w:marLeft w:val="0"/>
          <w:marRight w:val="0"/>
          <w:marTop w:val="240"/>
          <w:marBottom w:val="0"/>
          <w:divBdr>
            <w:top w:val="none" w:sz="0" w:space="0" w:color="auto"/>
            <w:left w:val="none" w:sz="0" w:space="0" w:color="auto"/>
            <w:bottom w:val="none" w:sz="0" w:space="0" w:color="auto"/>
            <w:right w:val="none" w:sz="0" w:space="0" w:color="auto"/>
          </w:divBdr>
          <w:divsChild>
            <w:div w:id="16579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0277">
      <w:bodyDiv w:val="1"/>
      <w:marLeft w:val="0"/>
      <w:marRight w:val="0"/>
      <w:marTop w:val="0"/>
      <w:marBottom w:val="0"/>
      <w:divBdr>
        <w:top w:val="none" w:sz="0" w:space="0" w:color="auto"/>
        <w:left w:val="none" w:sz="0" w:space="0" w:color="auto"/>
        <w:bottom w:val="none" w:sz="0" w:space="0" w:color="auto"/>
        <w:right w:val="none" w:sz="0" w:space="0" w:color="auto"/>
      </w:divBdr>
      <w:divsChild>
        <w:div w:id="487284008">
          <w:marLeft w:val="0"/>
          <w:marRight w:val="0"/>
          <w:marTop w:val="0"/>
          <w:marBottom w:val="0"/>
          <w:divBdr>
            <w:top w:val="none" w:sz="0" w:space="0" w:color="auto"/>
            <w:left w:val="none" w:sz="0" w:space="0" w:color="auto"/>
            <w:bottom w:val="none" w:sz="0" w:space="0" w:color="auto"/>
            <w:right w:val="none" w:sz="0" w:space="0" w:color="auto"/>
          </w:divBdr>
          <w:divsChild>
            <w:div w:id="611010749">
              <w:marLeft w:val="0"/>
              <w:marRight w:val="0"/>
              <w:marTop w:val="0"/>
              <w:marBottom w:val="0"/>
              <w:divBdr>
                <w:top w:val="none" w:sz="0" w:space="0" w:color="auto"/>
                <w:left w:val="none" w:sz="0" w:space="0" w:color="auto"/>
                <w:bottom w:val="none" w:sz="0" w:space="0" w:color="auto"/>
                <w:right w:val="none" w:sz="0" w:space="0" w:color="auto"/>
              </w:divBdr>
              <w:divsChild>
                <w:div w:id="1687755118">
                  <w:marLeft w:val="0"/>
                  <w:marRight w:val="0"/>
                  <w:marTop w:val="0"/>
                  <w:marBottom w:val="0"/>
                  <w:divBdr>
                    <w:top w:val="none" w:sz="0" w:space="0" w:color="auto"/>
                    <w:left w:val="none" w:sz="0" w:space="0" w:color="auto"/>
                    <w:bottom w:val="none" w:sz="0" w:space="0" w:color="auto"/>
                    <w:right w:val="none" w:sz="0" w:space="0" w:color="auto"/>
                  </w:divBdr>
                  <w:divsChild>
                    <w:div w:id="1821192932">
                      <w:marLeft w:val="0"/>
                      <w:marRight w:val="0"/>
                      <w:marTop w:val="0"/>
                      <w:marBottom w:val="300"/>
                      <w:divBdr>
                        <w:top w:val="none" w:sz="0" w:space="0" w:color="auto"/>
                        <w:left w:val="none" w:sz="0" w:space="0" w:color="auto"/>
                        <w:bottom w:val="none" w:sz="0" w:space="0" w:color="auto"/>
                        <w:right w:val="none" w:sz="0" w:space="0" w:color="auto"/>
                      </w:divBdr>
                      <w:divsChild>
                        <w:div w:id="3747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70891">
      <w:bodyDiv w:val="1"/>
      <w:marLeft w:val="0"/>
      <w:marRight w:val="0"/>
      <w:marTop w:val="0"/>
      <w:marBottom w:val="0"/>
      <w:divBdr>
        <w:top w:val="none" w:sz="0" w:space="0" w:color="auto"/>
        <w:left w:val="none" w:sz="0" w:space="0" w:color="auto"/>
        <w:bottom w:val="none" w:sz="0" w:space="0" w:color="auto"/>
        <w:right w:val="none" w:sz="0" w:space="0" w:color="auto"/>
      </w:divBdr>
      <w:divsChild>
        <w:div w:id="1196625743">
          <w:marLeft w:val="0"/>
          <w:marRight w:val="0"/>
          <w:marTop w:val="0"/>
          <w:marBottom w:val="0"/>
          <w:divBdr>
            <w:top w:val="none" w:sz="0" w:space="0" w:color="auto"/>
            <w:left w:val="none" w:sz="0" w:space="0" w:color="auto"/>
            <w:bottom w:val="none" w:sz="0" w:space="0" w:color="auto"/>
            <w:right w:val="none" w:sz="0" w:space="0" w:color="auto"/>
          </w:divBdr>
          <w:divsChild>
            <w:div w:id="1132138188">
              <w:marLeft w:val="0"/>
              <w:marRight w:val="0"/>
              <w:marTop w:val="0"/>
              <w:marBottom w:val="0"/>
              <w:divBdr>
                <w:top w:val="none" w:sz="0" w:space="0" w:color="auto"/>
                <w:left w:val="none" w:sz="0" w:space="0" w:color="auto"/>
                <w:bottom w:val="none" w:sz="0" w:space="0" w:color="auto"/>
                <w:right w:val="none" w:sz="0" w:space="0" w:color="auto"/>
              </w:divBdr>
              <w:divsChild>
                <w:div w:id="408121547">
                  <w:marLeft w:val="0"/>
                  <w:marRight w:val="0"/>
                  <w:marTop w:val="0"/>
                  <w:marBottom w:val="0"/>
                  <w:divBdr>
                    <w:top w:val="none" w:sz="0" w:space="0" w:color="auto"/>
                    <w:left w:val="none" w:sz="0" w:space="0" w:color="auto"/>
                    <w:bottom w:val="none" w:sz="0" w:space="0" w:color="auto"/>
                    <w:right w:val="none" w:sz="0" w:space="0" w:color="auto"/>
                  </w:divBdr>
                  <w:divsChild>
                    <w:div w:id="204802046">
                      <w:marLeft w:val="0"/>
                      <w:marRight w:val="0"/>
                      <w:marTop w:val="0"/>
                      <w:marBottom w:val="375"/>
                      <w:divBdr>
                        <w:top w:val="none" w:sz="0" w:space="0" w:color="auto"/>
                        <w:left w:val="none" w:sz="0" w:space="0" w:color="auto"/>
                        <w:bottom w:val="none" w:sz="0" w:space="0" w:color="auto"/>
                        <w:right w:val="none" w:sz="0" w:space="0" w:color="auto"/>
                      </w:divBdr>
                      <w:divsChild>
                        <w:div w:id="3250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350586">
      <w:bodyDiv w:val="1"/>
      <w:marLeft w:val="0"/>
      <w:marRight w:val="0"/>
      <w:marTop w:val="0"/>
      <w:marBottom w:val="0"/>
      <w:divBdr>
        <w:top w:val="none" w:sz="0" w:space="0" w:color="auto"/>
        <w:left w:val="none" w:sz="0" w:space="0" w:color="auto"/>
        <w:bottom w:val="none" w:sz="0" w:space="0" w:color="auto"/>
        <w:right w:val="none" w:sz="0" w:space="0" w:color="auto"/>
      </w:divBdr>
      <w:divsChild>
        <w:div w:id="42677371">
          <w:marLeft w:val="0"/>
          <w:marRight w:val="0"/>
          <w:marTop w:val="0"/>
          <w:marBottom w:val="0"/>
          <w:divBdr>
            <w:top w:val="none" w:sz="0" w:space="0" w:color="auto"/>
            <w:left w:val="none" w:sz="0" w:space="0" w:color="auto"/>
            <w:bottom w:val="none" w:sz="0" w:space="0" w:color="auto"/>
            <w:right w:val="none" w:sz="0" w:space="0" w:color="auto"/>
          </w:divBdr>
          <w:divsChild>
            <w:div w:id="2083290247">
              <w:marLeft w:val="0"/>
              <w:marRight w:val="0"/>
              <w:marTop w:val="0"/>
              <w:marBottom w:val="0"/>
              <w:divBdr>
                <w:top w:val="none" w:sz="0" w:space="0" w:color="auto"/>
                <w:left w:val="none" w:sz="0" w:space="0" w:color="auto"/>
                <w:bottom w:val="none" w:sz="0" w:space="0" w:color="auto"/>
                <w:right w:val="none" w:sz="0" w:space="0" w:color="auto"/>
              </w:divBdr>
              <w:divsChild>
                <w:div w:id="1285120107">
                  <w:marLeft w:val="0"/>
                  <w:marRight w:val="0"/>
                  <w:marTop w:val="0"/>
                  <w:marBottom w:val="0"/>
                  <w:divBdr>
                    <w:top w:val="none" w:sz="0" w:space="0" w:color="auto"/>
                    <w:left w:val="none" w:sz="0" w:space="0" w:color="auto"/>
                    <w:bottom w:val="none" w:sz="0" w:space="0" w:color="auto"/>
                    <w:right w:val="none" w:sz="0" w:space="0" w:color="auto"/>
                  </w:divBdr>
                  <w:divsChild>
                    <w:div w:id="1697003082">
                      <w:marLeft w:val="0"/>
                      <w:marRight w:val="0"/>
                      <w:marTop w:val="0"/>
                      <w:marBottom w:val="375"/>
                      <w:divBdr>
                        <w:top w:val="none" w:sz="0" w:space="0" w:color="auto"/>
                        <w:left w:val="none" w:sz="0" w:space="0" w:color="auto"/>
                        <w:bottom w:val="none" w:sz="0" w:space="0" w:color="auto"/>
                        <w:right w:val="none" w:sz="0" w:space="0" w:color="auto"/>
                      </w:divBdr>
                      <w:divsChild>
                        <w:div w:id="5540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6419">
      <w:bodyDiv w:val="1"/>
      <w:marLeft w:val="0"/>
      <w:marRight w:val="0"/>
      <w:marTop w:val="0"/>
      <w:marBottom w:val="0"/>
      <w:divBdr>
        <w:top w:val="none" w:sz="0" w:space="0" w:color="auto"/>
        <w:left w:val="none" w:sz="0" w:space="0" w:color="auto"/>
        <w:bottom w:val="none" w:sz="0" w:space="0" w:color="auto"/>
        <w:right w:val="none" w:sz="0" w:space="0" w:color="auto"/>
      </w:divBdr>
      <w:divsChild>
        <w:div w:id="1277718621">
          <w:marLeft w:val="0"/>
          <w:marRight w:val="0"/>
          <w:marTop w:val="0"/>
          <w:marBottom w:val="0"/>
          <w:divBdr>
            <w:top w:val="none" w:sz="0" w:space="0" w:color="auto"/>
            <w:left w:val="none" w:sz="0" w:space="0" w:color="auto"/>
            <w:bottom w:val="none" w:sz="0" w:space="0" w:color="auto"/>
            <w:right w:val="none" w:sz="0" w:space="0" w:color="auto"/>
          </w:divBdr>
          <w:divsChild>
            <w:div w:id="889151660">
              <w:marLeft w:val="0"/>
              <w:marRight w:val="0"/>
              <w:marTop w:val="0"/>
              <w:marBottom w:val="0"/>
              <w:divBdr>
                <w:top w:val="none" w:sz="0" w:space="0" w:color="auto"/>
                <w:left w:val="none" w:sz="0" w:space="0" w:color="auto"/>
                <w:bottom w:val="none" w:sz="0" w:space="0" w:color="auto"/>
                <w:right w:val="none" w:sz="0" w:space="0" w:color="auto"/>
              </w:divBdr>
              <w:divsChild>
                <w:div w:id="677657836">
                  <w:marLeft w:val="0"/>
                  <w:marRight w:val="0"/>
                  <w:marTop w:val="0"/>
                  <w:marBottom w:val="0"/>
                  <w:divBdr>
                    <w:top w:val="none" w:sz="0" w:space="0" w:color="auto"/>
                    <w:left w:val="none" w:sz="0" w:space="0" w:color="auto"/>
                    <w:bottom w:val="none" w:sz="0" w:space="0" w:color="auto"/>
                    <w:right w:val="none" w:sz="0" w:space="0" w:color="auto"/>
                  </w:divBdr>
                  <w:divsChild>
                    <w:div w:id="136149155">
                      <w:marLeft w:val="0"/>
                      <w:marRight w:val="0"/>
                      <w:marTop w:val="0"/>
                      <w:marBottom w:val="375"/>
                      <w:divBdr>
                        <w:top w:val="none" w:sz="0" w:space="0" w:color="auto"/>
                        <w:left w:val="none" w:sz="0" w:space="0" w:color="auto"/>
                        <w:bottom w:val="none" w:sz="0" w:space="0" w:color="auto"/>
                        <w:right w:val="none" w:sz="0" w:space="0" w:color="auto"/>
                      </w:divBdr>
                      <w:divsChild>
                        <w:div w:id="776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106675">
      <w:bodyDiv w:val="1"/>
      <w:marLeft w:val="0"/>
      <w:marRight w:val="0"/>
      <w:marTop w:val="0"/>
      <w:marBottom w:val="0"/>
      <w:divBdr>
        <w:top w:val="none" w:sz="0" w:space="0" w:color="auto"/>
        <w:left w:val="none" w:sz="0" w:space="0" w:color="auto"/>
        <w:bottom w:val="none" w:sz="0" w:space="0" w:color="auto"/>
        <w:right w:val="none" w:sz="0" w:space="0" w:color="auto"/>
      </w:divBdr>
      <w:divsChild>
        <w:div w:id="68504617">
          <w:marLeft w:val="0"/>
          <w:marRight w:val="0"/>
          <w:marTop w:val="0"/>
          <w:marBottom w:val="0"/>
          <w:divBdr>
            <w:top w:val="none" w:sz="0" w:space="0" w:color="auto"/>
            <w:left w:val="none" w:sz="0" w:space="0" w:color="auto"/>
            <w:bottom w:val="none" w:sz="0" w:space="0" w:color="auto"/>
            <w:right w:val="none" w:sz="0" w:space="0" w:color="auto"/>
          </w:divBdr>
          <w:divsChild>
            <w:div w:id="343018560">
              <w:marLeft w:val="0"/>
              <w:marRight w:val="0"/>
              <w:marTop w:val="0"/>
              <w:marBottom w:val="0"/>
              <w:divBdr>
                <w:top w:val="none" w:sz="0" w:space="0" w:color="auto"/>
                <w:left w:val="none" w:sz="0" w:space="0" w:color="auto"/>
                <w:bottom w:val="none" w:sz="0" w:space="0" w:color="auto"/>
                <w:right w:val="none" w:sz="0" w:space="0" w:color="auto"/>
              </w:divBdr>
              <w:divsChild>
                <w:div w:id="1053039104">
                  <w:marLeft w:val="0"/>
                  <w:marRight w:val="0"/>
                  <w:marTop w:val="0"/>
                  <w:marBottom w:val="0"/>
                  <w:divBdr>
                    <w:top w:val="none" w:sz="0" w:space="0" w:color="auto"/>
                    <w:left w:val="none" w:sz="0" w:space="0" w:color="auto"/>
                    <w:bottom w:val="none" w:sz="0" w:space="0" w:color="auto"/>
                    <w:right w:val="none" w:sz="0" w:space="0" w:color="auto"/>
                  </w:divBdr>
                  <w:divsChild>
                    <w:div w:id="1777361468">
                      <w:marLeft w:val="0"/>
                      <w:marRight w:val="0"/>
                      <w:marTop w:val="0"/>
                      <w:marBottom w:val="0"/>
                      <w:divBdr>
                        <w:top w:val="none" w:sz="0" w:space="0" w:color="auto"/>
                        <w:left w:val="none" w:sz="0" w:space="0" w:color="auto"/>
                        <w:bottom w:val="none" w:sz="0" w:space="0" w:color="auto"/>
                        <w:right w:val="none" w:sz="0" w:space="0" w:color="auto"/>
                      </w:divBdr>
                      <w:divsChild>
                        <w:div w:id="1290939825">
                          <w:marLeft w:val="0"/>
                          <w:marRight w:val="0"/>
                          <w:marTop w:val="0"/>
                          <w:marBottom w:val="0"/>
                          <w:divBdr>
                            <w:top w:val="none" w:sz="0" w:space="0" w:color="auto"/>
                            <w:left w:val="none" w:sz="0" w:space="0" w:color="auto"/>
                            <w:bottom w:val="none" w:sz="0" w:space="0" w:color="auto"/>
                            <w:right w:val="none" w:sz="0" w:space="0" w:color="auto"/>
                          </w:divBdr>
                          <w:divsChild>
                            <w:div w:id="921567371">
                              <w:marLeft w:val="0"/>
                              <w:marRight w:val="0"/>
                              <w:marTop w:val="0"/>
                              <w:marBottom w:val="0"/>
                              <w:divBdr>
                                <w:top w:val="none" w:sz="0" w:space="0" w:color="auto"/>
                                <w:left w:val="none" w:sz="0" w:space="0" w:color="auto"/>
                                <w:bottom w:val="none" w:sz="0" w:space="0" w:color="auto"/>
                                <w:right w:val="none" w:sz="0" w:space="0" w:color="auto"/>
                              </w:divBdr>
                              <w:divsChild>
                                <w:div w:id="174197804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334088">
      <w:bodyDiv w:val="1"/>
      <w:marLeft w:val="0"/>
      <w:marRight w:val="0"/>
      <w:marTop w:val="0"/>
      <w:marBottom w:val="0"/>
      <w:divBdr>
        <w:top w:val="none" w:sz="0" w:space="0" w:color="auto"/>
        <w:left w:val="none" w:sz="0" w:space="0" w:color="auto"/>
        <w:bottom w:val="none" w:sz="0" w:space="0" w:color="auto"/>
        <w:right w:val="none" w:sz="0" w:space="0" w:color="auto"/>
      </w:divBdr>
    </w:div>
    <w:div w:id="1558277321">
      <w:bodyDiv w:val="1"/>
      <w:marLeft w:val="0"/>
      <w:marRight w:val="0"/>
      <w:marTop w:val="0"/>
      <w:marBottom w:val="0"/>
      <w:divBdr>
        <w:top w:val="none" w:sz="0" w:space="0" w:color="auto"/>
        <w:left w:val="none" w:sz="0" w:space="0" w:color="auto"/>
        <w:bottom w:val="none" w:sz="0" w:space="0" w:color="auto"/>
        <w:right w:val="none" w:sz="0" w:space="0" w:color="auto"/>
      </w:divBdr>
      <w:divsChild>
        <w:div w:id="1076247725">
          <w:marLeft w:val="0"/>
          <w:marRight w:val="0"/>
          <w:marTop w:val="0"/>
          <w:marBottom w:val="0"/>
          <w:divBdr>
            <w:top w:val="none" w:sz="0" w:space="0" w:color="auto"/>
            <w:left w:val="single" w:sz="6" w:space="0" w:color="BBBBBB"/>
            <w:bottom w:val="single" w:sz="6" w:space="0" w:color="BBBBBB"/>
            <w:right w:val="single" w:sz="6" w:space="0" w:color="BBBBBB"/>
          </w:divBdr>
          <w:divsChild>
            <w:div w:id="1461991026">
              <w:marLeft w:val="0"/>
              <w:marRight w:val="0"/>
              <w:marTop w:val="0"/>
              <w:marBottom w:val="0"/>
              <w:divBdr>
                <w:top w:val="none" w:sz="0" w:space="0" w:color="auto"/>
                <w:left w:val="none" w:sz="0" w:space="0" w:color="auto"/>
                <w:bottom w:val="none" w:sz="0" w:space="0" w:color="auto"/>
                <w:right w:val="none" w:sz="0" w:space="0" w:color="auto"/>
              </w:divBdr>
              <w:divsChild>
                <w:div w:id="1074860309">
                  <w:marLeft w:val="0"/>
                  <w:marRight w:val="0"/>
                  <w:marTop w:val="75"/>
                  <w:marBottom w:val="0"/>
                  <w:divBdr>
                    <w:top w:val="none" w:sz="0" w:space="0" w:color="auto"/>
                    <w:left w:val="none" w:sz="0" w:space="0" w:color="auto"/>
                    <w:bottom w:val="none" w:sz="0" w:space="0" w:color="auto"/>
                    <w:right w:val="none" w:sz="0" w:space="0" w:color="auto"/>
                  </w:divBdr>
                  <w:divsChild>
                    <w:div w:id="786630238">
                      <w:marLeft w:val="0"/>
                      <w:marRight w:val="0"/>
                      <w:marTop w:val="0"/>
                      <w:marBottom w:val="0"/>
                      <w:divBdr>
                        <w:top w:val="none" w:sz="0" w:space="0" w:color="auto"/>
                        <w:left w:val="none" w:sz="0" w:space="0" w:color="auto"/>
                        <w:bottom w:val="none" w:sz="0" w:space="0" w:color="auto"/>
                        <w:right w:val="none" w:sz="0" w:space="0" w:color="auto"/>
                      </w:divBdr>
                      <w:divsChild>
                        <w:div w:id="364334380">
                          <w:marLeft w:val="0"/>
                          <w:marRight w:val="0"/>
                          <w:marTop w:val="0"/>
                          <w:marBottom w:val="0"/>
                          <w:divBdr>
                            <w:top w:val="none" w:sz="0" w:space="0" w:color="auto"/>
                            <w:left w:val="none" w:sz="0" w:space="0" w:color="auto"/>
                            <w:bottom w:val="none" w:sz="0" w:space="0" w:color="auto"/>
                            <w:right w:val="none" w:sz="0" w:space="0" w:color="auto"/>
                          </w:divBdr>
                          <w:divsChild>
                            <w:div w:id="498081735">
                              <w:marLeft w:val="0"/>
                              <w:marRight w:val="0"/>
                              <w:marTop w:val="0"/>
                              <w:marBottom w:val="0"/>
                              <w:divBdr>
                                <w:top w:val="none" w:sz="0" w:space="0" w:color="auto"/>
                                <w:left w:val="none" w:sz="0" w:space="0" w:color="auto"/>
                                <w:bottom w:val="none" w:sz="0" w:space="0" w:color="auto"/>
                                <w:right w:val="none" w:sz="0" w:space="0" w:color="auto"/>
                              </w:divBdr>
                              <w:divsChild>
                                <w:div w:id="990058295">
                                  <w:marLeft w:val="0"/>
                                  <w:marRight w:val="0"/>
                                  <w:marTop w:val="0"/>
                                  <w:marBottom w:val="0"/>
                                  <w:divBdr>
                                    <w:top w:val="none" w:sz="0" w:space="0" w:color="auto"/>
                                    <w:left w:val="none" w:sz="0" w:space="0" w:color="auto"/>
                                    <w:bottom w:val="none" w:sz="0" w:space="0" w:color="auto"/>
                                    <w:right w:val="none" w:sz="0" w:space="0" w:color="auto"/>
                                  </w:divBdr>
                                  <w:divsChild>
                                    <w:div w:id="392893613">
                                      <w:marLeft w:val="0"/>
                                      <w:marRight w:val="0"/>
                                      <w:marTop w:val="0"/>
                                      <w:marBottom w:val="0"/>
                                      <w:divBdr>
                                        <w:top w:val="none" w:sz="0" w:space="0" w:color="auto"/>
                                        <w:left w:val="none" w:sz="0" w:space="0" w:color="auto"/>
                                        <w:bottom w:val="none" w:sz="0" w:space="0" w:color="auto"/>
                                        <w:right w:val="none" w:sz="0" w:space="0" w:color="auto"/>
                                      </w:divBdr>
                                      <w:divsChild>
                                        <w:div w:id="262302141">
                                          <w:marLeft w:val="1200"/>
                                          <w:marRight w:val="1200"/>
                                          <w:marTop w:val="0"/>
                                          <w:marBottom w:val="0"/>
                                          <w:divBdr>
                                            <w:top w:val="none" w:sz="0" w:space="0" w:color="auto"/>
                                            <w:left w:val="none" w:sz="0" w:space="0" w:color="auto"/>
                                            <w:bottom w:val="none" w:sz="0" w:space="0" w:color="auto"/>
                                            <w:right w:val="none" w:sz="0" w:space="0" w:color="auto"/>
                                          </w:divBdr>
                                          <w:divsChild>
                                            <w:div w:id="729424145">
                                              <w:marLeft w:val="0"/>
                                              <w:marRight w:val="0"/>
                                              <w:marTop w:val="0"/>
                                              <w:marBottom w:val="0"/>
                                              <w:divBdr>
                                                <w:top w:val="none" w:sz="0" w:space="0" w:color="auto"/>
                                                <w:left w:val="none" w:sz="0" w:space="0" w:color="auto"/>
                                                <w:bottom w:val="none" w:sz="0" w:space="0" w:color="auto"/>
                                                <w:right w:val="none" w:sz="0" w:space="0" w:color="auto"/>
                                              </w:divBdr>
                                              <w:divsChild>
                                                <w:div w:id="1666322935">
                                                  <w:marLeft w:val="0"/>
                                                  <w:marRight w:val="0"/>
                                                  <w:marTop w:val="0"/>
                                                  <w:marBottom w:val="0"/>
                                                  <w:divBdr>
                                                    <w:top w:val="none" w:sz="0" w:space="0" w:color="auto"/>
                                                    <w:left w:val="none" w:sz="0" w:space="0" w:color="auto"/>
                                                    <w:bottom w:val="none" w:sz="0" w:space="0" w:color="auto"/>
                                                    <w:right w:val="none" w:sz="0" w:space="0" w:color="auto"/>
                                                  </w:divBdr>
                                                  <w:divsChild>
                                                    <w:div w:id="926499457">
                                                      <w:marLeft w:val="0"/>
                                                      <w:marRight w:val="0"/>
                                                      <w:marTop w:val="0"/>
                                                      <w:marBottom w:val="0"/>
                                                      <w:divBdr>
                                                        <w:top w:val="none" w:sz="0" w:space="0" w:color="auto"/>
                                                        <w:left w:val="none" w:sz="0" w:space="0" w:color="auto"/>
                                                        <w:bottom w:val="none" w:sz="0" w:space="0" w:color="auto"/>
                                                        <w:right w:val="none" w:sz="0" w:space="0" w:color="auto"/>
                                                      </w:divBdr>
                                                      <w:divsChild>
                                                        <w:div w:id="1813131325">
                                                          <w:marLeft w:val="0"/>
                                                          <w:marRight w:val="0"/>
                                                          <w:marTop w:val="0"/>
                                                          <w:marBottom w:val="0"/>
                                                          <w:divBdr>
                                                            <w:top w:val="none" w:sz="0" w:space="0" w:color="auto"/>
                                                            <w:left w:val="none" w:sz="0" w:space="0" w:color="auto"/>
                                                            <w:bottom w:val="none" w:sz="0" w:space="0" w:color="auto"/>
                                                            <w:right w:val="none" w:sz="0" w:space="0" w:color="auto"/>
                                                          </w:divBdr>
                                                          <w:divsChild>
                                                            <w:div w:id="762187496">
                                                              <w:marLeft w:val="0"/>
                                                              <w:marRight w:val="0"/>
                                                              <w:marTop w:val="0"/>
                                                              <w:marBottom w:val="0"/>
                                                              <w:divBdr>
                                                                <w:top w:val="none" w:sz="0" w:space="0" w:color="auto"/>
                                                                <w:left w:val="none" w:sz="0" w:space="0" w:color="auto"/>
                                                                <w:bottom w:val="none" w:sz="0" w:space="0" w:color="auto"/>
                                                                <w:right w:val="none" w:sz="0" w:space="0" w:color="auto"/>
                                                              </w:divBdr>
                                                              <w:divsChild>
                                                                <w:div w:id="951715104">
                                                                  <w:marLeft w:val="0"/>
                                                                  <w:marRight w:val="0"/>
                                                                  <w:marTop w:val="0"/>
                                                                  <w:marBottom w:val="0"/>
                                                                  <w:divBdr>
                                                                    <w:top w:val="none" w:sz="0" w:space="0" w:color="auto"/>
                                                                    <w:left w:val="none" w:sz="0" w:space="0" w:color="auto"/>
                                                                    <w:bottom w:val="none" w:sz="0" w:space="0" w:color="auto"/>
                                                                    <w:right w:val="none" w:sz="0" w:space="0" w:color="auto"/>
                                                                  </w:divBdr>
                                                                  <w:divsChild>
                                                                    <w:div w:id="274948021">
                                                                      <w:marLeft w:val="0"/>
                                                                      <w:marRight w:val="0"/>
                                                                      <w:marTop w:val="0"/>
                                                                      <w:marBottom w:val="0"/>
                                                                      <w:divBdr>
                                                                        <w:top w:val="none" w:sz="0" w:space="0" w:color="auto"/>
                                                                        <w:left w:val="none" w:sz="0" w:space="0" w:color="auto"/>
                                                                        <w:bottom w:val="none" w:sz="0" w:space="0" w:color="auto"/>
                                                                        <w:right w:val="none" w:sz="0" w:space="0" w:color="auto"/>
                                                                      </w:divBdr>
                                                                      <w:divsChild>
                                                                        <w:div w:id="146213749">
                                                                          <w:marLeft w:val="0"/>
                                                                          <w:marRight w:val="0"/>
                                                                          <w:marTop w:val="0"/>
                                                                          <w:marBottom w:val="0"/>
                                                                          <w:divBdr>
                                                                            <w:top w:val="none" w:sz="0" w:space="0" w:color="auto"/>
                                                                            <w:left w:val="none" w:sz="0" w:space="0" w:color="auto"/>
                                                                            <w:bottom w:val="none" w:sz="0" w:space="0" w:color="auto"/>
                                                                            <w:right w:val="none" w:sz="0" w:space="0" w:color="auto"/>
                                                                          </w:divBdr>
                                                                          <w:divsChild>
                                                                            <w:div w:id="17661394">
                                                                              <w:marLeft w:val="0"/>
                                                                              <w:marRight w:val="0"/>
                                                                              <w:marTop w:val="0"/>
                                                                              <w:marBottom w:val="0"/>
                                                                              <w:divBdr>
                                                                                <w:top w:val="none" w:sz="0" w:space="0" w:color="auto"/>
                                                                                <w:left w:val="none" w:sz="0" w:space="0" w:color="auto"/>
                                                                                <w:bottom w:val="none" w:sz="0" w:space="0" w:color="auto"/>
                                                                                <w:right w:val="none" w:sz="0" w:space="0" w:color="auto"/>
                                                                              </w:divBdr>
                                                                            </w:div>
                                                                          </w:divsChild>
                                                                        </w:div>
                                                                        <w:div w:id="675809349">
                                                                          <w:marLeft w:val="0"/>
                                                                          <w:marRight w:val="0"/>
                                                                          <w:marTop w:val="0"/>
                                                                          <w:marBottom w:val="0"/>
                                                                          <w:divBdr>
                                                                            <w:top w:val="none" w:sz="0" w:space="0" w:color="auto"/>
                                                                            <w:left w:val="none" w:sz="0" w:space="0" w:color="auto"/>
                                                                            <w:bottom w:val="none" w:sz="0" w:space="0" w:color="auto"/>
                                                                            <w:right w:val="none" w:sz="0" w:space="0" w:color="auto"/>
                                                                          </w:divBdr>
                                                                          <w:divsChild>
                                                                            <w:div w:id="764496078">
                                                                              <w:marLeft w:val="0"/>
                                                                              <w:marRight w:val="0"/>
                                                                              <w:marTop w:val="0"/>
                                                                              <w:marBottom w:val="0"/>
                                                                              <w:divBdr>
                                                                                <w:top w:val="none" w:sz="0" w:space="0" w:color="auto"/>
                                                                                <w:left w:val="none" w:sz="0" w:space="0" w:color="auto"/>
                                                                                <w:bottom w:val="none" w:sz="0" w:space="0" w:color="auto"/>
                                                                                <w:right w:val="none" w:sz="0" w:space="0" w:color="auto"/>
                                                                              </w:divBdr>
                                                                            </w:div>
                                                                          </w:divsChild>
                                                                        </w:div>
                                                                        <w:div w:id="810485150">
                                                                          <w:marLeft w:val="0"/>
                                                                          <w:marRight w:val="0"/>
                                                                          <w:marTop w:val="0"/>
                                                                          <w:marBottom w:val="0"/>
                                                                          <w:divBdr>
                                                                            <w:top w:val="none" w:sz="0" w:space="0" w:color="auto"/>
                                                                            <w:left w:val="none" w:sz="0" w:space="0" w:color="auto"/>
                                                                            <w:bottom w:val="none" w:sz="0" w:space="0" w:color="auto"/>
                                                                            <w:right w:val="none" w:sz="0" w:space="0" w:color="auto"/>
                                                                          </w:divBdr>
                                                                          <w:divsChild>
                                                                            <w:div w:id="1363937535">
                                                                              <w:marLeft w:val="0"/>
                                                                              <w:marRight w:val="0"/>
                                                                              <w:marTop w:val="0"/>
                                                                              <w:marBottom w:val="0"/>
                                                                              <w:divBdr>
                                                                                <w:top w:val="none" w:sz="0" w:space="0" w:color="auto"/>
                                                                                <w:left w:val="none" w:sz="0" w:space="0" w:color="auto"/>
                                                                                <w:bottom w:val="none" w:sz="0" w:space="0" w:color="auto"/>
                                                                                <w:right w:val="none" w:sz="0" w:space="0" w:color="auto"/>
                                                                              </w:divBdr>
                                                                            </w:div>
                                                                          </w:divsChild>
                                                                        </w:div>
                                                                        <w:div w:id="953901500">
                                                                          <w:marLeft w:val="0"/>
                                                                          <w:marRight w:val="0"/>
                                                                          <w:marTop w:val="0"/>
                                                                          <w:marBottom w:val="0"/>
                                                                          <w:divBdr>
                                                                            <w:top w:val="none" w:sz="0" w:space="0" w:color="auto"/>
                                                                            <w:left w:val="none" w:sz="0" w:space="0" w:color="auto"/>
                                                                            <w:bottom w:val="none" w:sz="0" w:space="0" w:color="auto"/>
                                                                            <w:right w:val="none" w:sz="0" w:space="0" w:color="auto"/>
                                                                          </w:divBdr>
                                                                          <w:divsChild>
                                                                            <w:div w:id="63719484">
                                                                              <w:marLeft w:val="0"/>
                                                                              <w:marRight w:val="0"/>
                                                                              <w:marTop w:val="0"/>
                                                                              <w:marBottom w:val="0"/>
                                                                              <w:divBdr>
                                                                                <w:top w:val="none" w:sz="0" w:space="0" w:color="auto"/>
                                                                                <w:left w:val="none" w:sz="0" w:space="0" w:color="auto"/>
                                                                                <w:bottom w:val="none" w:sz="0" w:space="0" w:color="auto"/>
                                                                                <w:right w:val="none" w:sz="0" w:space="0" w:color="auto"/>
                                                                              </w:divBdr>
                                                                            </w:div>
                                                                          </w:divsChild>
                                                                        </w:div>
                                                                        <w:div w:id="1099329237">
                                                                          <w:marLeft w:val="0"/>
                                                                          <w:marRight w:val="0"/>
                                                                          <w:marTop w:val="0"/>
                                                                          <w:marBottom w:val="0"/>
                                                                          <w:divBdr>
                                                                            <w:top w:val="none" w:sz="0" w:space="0" w:color="auto"/>
                                                                            <w:left w:val="none" w:sz="0" w:space="0" w:color="auto"/>
                                                                            <w:bottom w:val="none" w:sz="0" w:space="0" w:color="auto"/>
                                                                            <w:right w:val="none" w:sz="0" w:space="0" w:color="auto"/>
                                                                          </w:divBdr>
                                                                        </w:div>
                                                                        <w:div w:id="1374382696">
                                                                          <w:marLeft w:val="0"/>
                                                                          <w:marRight w:val="0"/>
                                                                          <w:marTop w:val="0"/>
                                                                          <w:marBottom w:val="0"/>
                                                                          <w:divBdr>
                                                                            <w:top w:val="none" w:sz="0" w:space="0" w:color="auto"/>
                                                                            <w:left w:val="none" w:sz="0" w:space="0" w:color="auto"/>
                                                                            <w:bottom w:val="none" w:sz="0" w:space="0" w:color="auto"/>
                                                                            <w:right w:val="none" w:sz="0" w:space="0" w:color="auto"/>
                                                                          </w:divBdr>
                                                                          <w:divsChild>
                                                                            <w:div w:id="991255877">
                                                                              <w:marLeft w:val="0"/>
                                                                              <w:marRight w:val="0"/>
                                                                              <w:marTop w:val="0"/>
                                                                              <w:marBottom w:val="0"/>
                                                                              <w:divBdr>
                                                                                <w:top w:val="none" w:sz="0" w:space="0" w:color="auto"/>
                                                                                <w:left w:val="none" w:sz="0" w:space="0" w:color="auto"/>
                                                                                <w:bottom w:val="none" w:sz="0" w:space="0" w:color="auto"/>
                                                                                <w:right w:val="none" w:sz="0" w:space="0" w:color="auto"/>
                                                                              </w:divBdr>
                                                                            </w:div>
                                                                          </w:divsChild>
                                                                        </w:div>
                                                                        <w:div w:id="2021009315">
                                                                          <w:marLeft w:val="0"/>
                                                                          <w:marRight w:val="0"/>
                                                                          <w:marTop w:val="0"/>
                                                                          <w:marBottom w:val="0"/>
                                                                          <w:divBdr>
                                                                            <w:top w:val="none" w:sz="0" w:space="0" w:color="auto"/>
                                                                            <w:left w:val="none" w:sz="0" w:space="0" w:color="auto"/>
                                                                            <w:bottom w:val="none" w:sz="0" w:space="0" w:color="auto"/>
                                                                            <w:right w:val="none" w:sz="0" w:space="0" w:color="auto"/>
                                                                          </w:divBdr>
                                                                          <w:divsChild>
                                                                            <w:div w:id="545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1704">
                                                                      <w:marLeft w:val="0"/>
                                                                      <w:marRight w:val="0"/>
                                                                      <w:marTop w:val="0"/>
                                                                      <w:marBottom w:val="0"/>
                                                                      <w:divBdr>
                                                                        <w:top w:val="none" w:sz="0" w:space="0" w:color="auto"/>
                                                                        <w:left w:val="none" w:sz="0" w:space="0" w:color="auto"/>
                                                                        <w:bottom w:val="none" w:sz="0" w:space="0" w:color="auto"/>
                                                                        <w:right w:val="none" w:sz="0" w:space="0" w:color="auto"/>
                                                                      </w:divBdr>
                                                                      <w:divsChild>
                                                                        <w:div w:id="1294292042">
                                                                          <w:marLeft w:val="0"/>
                                                                          <w:marRight w:val="0"/>
                                                                          <w:marTop w:val="0"/>
                                                                          <w:marBottom w:val="0"/>
                                                                          <w:divBdr>
                                                                            <w:top w:val="none" w:sz="0" w:space="0" w:color="auto"/>
                                                                            <w:left w:val="none" w:sz="0" w:space="0" w:color="auto"/>
                                                                            <w:bottom w:val="none" w:sz="0" w:space="0" w:color="auto"/>
                                                                            <w:right w:val="none" w:sz="0" w:space="0" w:color="auto"/>
                                                                          </w:divBdr>
                                                                        </w:div>
                                                                      </w:divsChild>
                                                                    </w:div>
                                                                    <w:div w:id="1057437221">
                                                                      <w:marLeft w:val="0"/>
                                                                      <w:marRight w:val="0"/>
                                                                      <w:marTop w:val="0"/>
                                                                      <w:marBottom w:val="0"/>
                                                                      <w:divBdr>
                                                                        <w:top w:val="none" w:sz="0" w:space="0" w:color="auto"/>
                                                                        <w:left w:val="none" w:sz="0" w:space="0" w:color="auto"/>
                                                                        <w:bottom w:val="none" w:sz="0" w:space="0" w:color="auto"/>
                                                                        <w:right w:val="none" w:sz="0" w:space="0" w:color="auto"/>
                                                                      </w:divBdr>
                                                                      <w:divsChild>
                                                                        <w:div w:id="1067994833">
                                                                          <w:marLeft w:val="0"/>
                                                                          <w:marRight w:val="0"/>
                                                                          <w:marTop w:val="0"/>
                                                                          <w:marBottom w:val="0"/>
                                                                          <w:divBdr>
                                                                            <w:top w:val="none" w:sz="0" w:space="0" w:color="auto"/>
                                                                            <w:left w:val="none" w:sz="0" w:space="0" w:color="auto"/>
                                                                            <w:bottom w:val="none" w:sz="0" w:space="0" w:color="auto"/>
                                                                            <w:right w:val="none" w:sz="0" w:space="0" w:color="auto"/>
                                                                          </w:divBdr>
                                                                        </w:div>
                                                                      </w:divsChild>
                                                                    </w:div>
                                                                    <w:div w:id="1157041168">
                                                                      <w:marLeft w:val="0"/>
                                                                      <w:marRight w:val="0"/>
                                                                      <w:marTop w:val="0"/>
                                                                      <w:marBottom w:val="0"/>
                                                                      <w:divBdr>
                                                                        <w:top w:val="none" w:sz="0" w:space="0" w:color="auto"/>
                                                                        <w:left w:val="none" w:sz="0" w:space="0" w:color="auto"/>
                                                                        <w:bottom w:val="none" w:sz="0" w:space="0" w:color="auto"/>
                                                                        <w:right w:val="none" w:sz="0" w:space="0" w:color="auto"/>
                                                                      </w:divBdr>
                                                                      <w:divsChild>
                                                                        <w:div w:id="1094472972">
                                                                          <w:marLeft w:val="0"/>
                                                                          <w:marRight w:val="0"/>
                                                                          <w:marTop w:val="0"/>
                                                                          <w:marBottom w:val="0"/>
                                                                          <w:divBdr>
                                                                            <w:top w:val="none" w:sz="0" w:space="0" w:color="auto"/>
                                                                            <w:left w:val="none" w:sz="0" w:space="0" w:color="auto"/>
                                                                            <w:bottom w:val="none" w:sz="0" w:space="0" w:color="auto"/>
                                                                            <w:right w:val="none" w:sz="0" w:space="0" w:color="auto"/>
                                                                          </w:divBdr>
                                                                        </w:div>
                                                                      </w:divsChild>
                                                                    </w:div>
                                                                    <w:div w:id="1797747968">
                                                                      <w:marLeft w:val="0"/>
                                                                      <w:marRight w:val="0"/>
                                                                      <w:marTop w:val="0"/>
                                                                      <w:marBottom w:val="0"/>
                                                                      <w:divBdr>
                                                                        <w:top w:val="none" w:sz="0" w:space="0" w:color="auto"/>
                                                                        <w:left w:val="none" w:sz="0" w:space="0" w:color="auto"/>
                                                                        <w:bottom w:val="none" w:sz="0" w:space="0" w:color="auto"/>
                                                                        <w:right w:val="none" w:sz="0" w:space="0" w:color="auto"/>
                                                                      </w:divBdr>
                                                                      <w:divsChild>
                                                                        <w:div w:id="710954623">
                                                                          <w:marLeft w:val="0"/>
                                                                          <w:marRight w:val="0"/>
                                                                          <w:marTop w:val="0"/>
                                                                          <w:marBottom w:val="0"/>
                                                                          <w:divBdr>
                                                                            <w:top w:val="none" w:sz="0" w:space="0" w:color="auto"/>
                                                                            <w:left w:val="none" w:sz="0" w:space="0" w:color="auto"/>
                                                                            <w:bottom w:val="none" w:sz="0" w:space="0" w:color="auto"/>
                                                                            <w:right w:val="none" w:sz="0" w:space="0" w:color="auto"/>
                                                                          </w:divBdr>
                                                                        </w:div>
                                                                      </w:divsChild>
                                                                    </w:div>
                                                                    <w:div w:id="1852835228">
                                                                      <w:marLeft w:val="0"/>
                                                                      <w:marRight w:val="0"/>
                                                                      <w:marTop w:val="0"/>
                                                                      <w:marBottom w:val="0"/>
                                                                      <w:divBdr>
                                                                        <w:top w:val="none" w:sz="0" w:space="0" w:color="auto"/>
                                                                        <w:left w:val="none" w:sz="0" w:space="0" w:color="auto"/>
                                                                        <w:bottom w:val="none" w:sz="0" w:space="0" w:color="auto"/>
                                                                        <w:right w:val="none" w:sz="0" w:space="0" w:color="auto"/>
                                                                      </w:divBdr>
                                                                      <w:divsChild>
                                                                        <w:div w:id="1794517822">
                                                                          <w:marLeft w:val="0"/>
                                                                          <w:marRight w:val="0"/>
                                                                          <w:marTop w:val="0"/>
                                                                          <w:marBottom w:val="0"/>
                                                                          <w:divBdr>
                                                                            <w:top w:val="none" w:sz="0" w:space="0" w:color="auto"/>
                                                                            <w:left w:val="none" w:sz="0" w:space="0" w:color="auto"/>
                                                                            <w:bottom w:val="none" w:sz="0" w:space="0" w:color="auto"/>
                                                                            <w:right w:val="none" w:sz="0" w:space="0" w:color="auto"/>
                                                                          </w:divBdr>
                                                                        </w:div>
                                                                      </w:divsChild>
                                                                    </w:div>
                                                                    <w:div w:id="1853761573">
                                                                      <w:marLeft w:val="0"/>
                                                                      <w:marRight w:val="0"/>
                                                                      <w:marTop w:val="0"/>
                                                                      <w:marBottom w:val="0"/>
                                                                      <w:divBdr>
                                                                        <w:top w:val="none" w:sz="0" w:space="0" w:color="auto"/>
                                                                        <w:left w:val="none" w:sz="0" w:space="0" w:color="auto"/>
                                                                        <w:bottom w:val="none" w:sz="0" w:space="0" w:color="auto"/>
                                                                        <w:right w:val="none" w:sz="0" w:space="0" w:color="auto"/>
                                                                      </w:divBdr>
                                                                      <w:divsChild>
                                                                        <w:div w:id="1155338934">
                                                                          <w:marLeft w:val="0"/>
                                                                          <w:marRight w:val="0"/>
                                                                          <w:marTop w:val="0"/>
                                                                          <w:marBottom w:val="0"/>
                                                                          <w:divBdr>
                                                                            <w:top w:val="none" w:sz="0" w:space="0" w:color="auto"/>
                                                                            <w:left w:val="none" w:sz="0" w:space="0" w:color="auto"/>
                                                                            <w:bottom w:val="none" w:sz="0" w:space="0" w:color="auto"/>
                                                                            <w:right w:val="none" w:sz="0" w:space="0" w:color="auto"/>
                                                                          </w:divBdr>
                                                                        </w:div>
                                                                      </w:divsChild>
                                                                    </w:div>
                                                                    <w:div w:id="2093576025">
                                                                      <w:marLeft w:val="0"/>
                                                                      <w:marRight w:val="0"/>
                                                                      <w:marTop w:val="0"/>
                                                                      <w:marBottom w:val="0"/>
                                                                      <w:divBdr>
                                                                        <w:top w:val="none" w:sz="0" w:space="0" w:color="auto"/>
                                                                        <w:left w:val="none" w:sz="0" w:space="0" w:color="auto"/>
                                                                        <w:bottom w:val="none" w:sz="0" w:space="0" w:color="auto"/>
                                                                        <w:right w:val="none" w:sz="0" w:space="0" w:color="auto"/>
                                                                      </w:divBdr>
                                                                      <w:divsChild>
                                                                        <w:div w:id="66309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390">
                                                                  <w:marLeft w:val="0"/>
                                                                  <w:marRight w:val="0"/>
                                                                  <w:marTop w:val="0"/>
                                                                  <w:marBottom w:val="0"/>
                                                                  <w:divBdr>
                                                                    <w:top w:val="none" w:sz="0" w:space="0" w:color="auto"/>
                                                                    <w:left w:val="none" w:sz="0" w:space="0" w:color="auto"/>
                                                                    <w:bottom w:val="none" w:sz="0" w:space="0" w:color="auto"/>
                                                                    <w:right w:val="none" w:sz="0" w:space="0" w:color="auto"/>
                                                                  </w:divBdr>
                                                                  <w:divsChild>
                                                                    <w:div w:id="243688936">
                                                                      <w:marLeft w:val="0"/>
                                                                      <w:marRight w:val="0"/>
                                                                      <w:marTop w:val="0"/>
                                                                      <w:marBottom w:val="0"/>
                                                                      <w:divBdr>
                                                                        <w:top w:val="none" w:sz="0" w:space="0" w:color="auto"/>
                                                                        <w:left w:val="none" w:sz="0" w:space="0" w:color="auto"/>
                                                                        <w:bottom w:val="none" w:sz="0" w:space="0" w:color="auto"/>
                                                                        <w:right w:val="none" w:sz="0" w:space="0" w:color="auto"/>
                                                                      </w:divBdr>
                                                                      <w:divsChild>
                                                                        <w:div w:id="496531842">
                                                                          <w:marLeft w:val="0"/>
                                                                          <w:marRight w:val="0"/>
                                                                          <w:marTop w:val="0"/>
                                                                          <w:marBottom w:val="0"/>
                                                                          <w:divBdr>
                                                                            <w:top w:val="none" w:sz="0" w:space="0" w:color="auto"/>
                                                                            <w:left w:val="none" w:sz="0" w:space="0" w:color="auto"/>
                                                                            <w:bottom w:val="none" w:sz="0" w:space="0" w:color="auto"/>
                                                                            <w:right w:val="none" w:sz="0" w:space="0" w:color="auto"/>
                                                                          </w:divBdr>
                                                                        </w:div>
                                                                      </w:divsChild>
                                                                    </w:div>
                                                                    <w:div w:id="689449642">
                                                                      <w:marLeft w:val="0"/>
                                                                      <w:marRight w:val="0"/>
                                                                      <w:marTop w:val="0"/>
                                                                      <w:marBottom w:val="0"/>
                                                                      <w:divBdr>
                                                                        <w:top w:val="none" w:sz="0" w:space="0" w:color="auto"/>
                                                                        <w:left w:val="none" w:sz="0" w:space="0" w:color="auto"/>
                                                                        <w:bottom w:val="none" w:sz="0" w:space="0" w:color="auto"/>
                                                                        <w:right w:val="none" w:sz="0" w:space="0" w:color="auto"/>
                                                                      </w:divBdr>
                                                                      <w:divsChild>
                                                                        <w:div w:id="942149834">
                                                                          <w:marLeft w:val="0"/>
                                                                          <w:marRight w:val="0"/>
                                                                          <w:marTop w:val="0"/>
                                                                          <w:marBottom w:val="0"/>
                                                                          <w:divBdr>
                                                                            <w:top w:val="none" w:sz="0" w:space="0" w:color="auto"/>
                                                                            <w:left w:val="none" w:sz="0" w:space="0" w:color="auto"/>
                                                                            <w:bottom w:val="none" w:sz="0" w:space="0" w:color="auto"/>
                                                                            <w:right w:val="none" w:sz="0" w:space="0" w:color="auto"/>
                                                                          </w:divBdr>
                                                                        </w:div>
                                                                      </w:divsChild>
                                                                    </w:div>
                                                                    <w:div w:id="1076974639">
                                                                      <w:marLeft w:val="0"/>
                                                                      <w:marRight w:val="0"/>
                                                                      <w:marTop w:val="0"/>
                                                                      <w:marBottom w:val="0"/>
                                                                      <w:divBdr>
                                                                        <w:top w:val="none" w:sz="0" w:space="0" w:color="auto"/>
                                                                        <w:left w:val="none" w:sz="0" w:space="0" w:color="auto"/>
                                                                        <w:bottom w:val="none" w:sz="0" w:space="0" w:color="auto"/>
                                                                        <w:right w:val="none" w:sz="0" w:space="0" w:color="auto"/>
                                                                      </w:divBdr>
                                                                      <w:divsChild>
                                                                        <w:div w:id="6687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056710">
      <w:bodyDiv w:val="1"/>
      <w:marLeft w:val="0"/>
      <w:marRight w:val="0"/>
      <w:marTop w:val="0"/>
      <w:marBottom w:val="0"/>
      <w:divBdr>
        <w:top w:val="none" w:sz="0" w:space="0" w:color="auto"/>
        <w:left w:val="none" w:sz="0" w:space="0" w:color="auto"/>
        <w:bottom w:val="none" w:sz="0" w:space="0" w:color="auto"/>
        <w:right w:val="none" w:sz="0" w:space="0" w:color="auto"/>
      </w:divBdr>
      <w:divsChild>
        <w:div w:id="491917629">
          <w:marLeft w:val="0"/>
          <w:marRight w:val="0"/>
          <w:marTop w:val="240"/>
          <w:marBottom w:val="0"/>
          <w:divBdr>
            <w:top w:val="none" w:sz="0" w:space="0" w:color="auto"/>
            <w:left w:val="none" w:sz="0" w:space="0" w:color="auto"/>
            <w:bottom w:val="none" w:sz="0" w:space="0" w:color="auto"/>
            <w:right w:val="none" w:sz="0" w:space="0" w:color="auto"/>
          </w:divBdr>
          <w:divsChild>
            <w:div w:id="227806086">
              <w:marLeft w:val="0"/>
              <w:marRight w:val="0"/>
              <w:marTop w:val="0"/>
              <w:marBottom w:val="0"/>
              <w:divBdr>
                <w:top w:val="none" w:sz="0" w:space="0" w:color="auto"/>
                <w:left w:val="none" w:sz="0" w:space="0" w:color="auto"/>
                <w:bottom w:val="none" w:sz="0" w:space="0" w:color="auto"/>
                <w:right w:val="none" w:sz="0" w:space="0" w:color="auto"/>
              </w:divBdr>
            </w:div>
          </w:divsChild>
        </w:div>
        <w:div w:id="428741189">
          <w:marLeft w:val="0"/>
          <w:marRight w:val="0"/>
          <w:marTop w:val="240"/>
          <w:marBottom w:val="0"/>
          <w:divBdr>
            <w:top w:val="none" w:sz="0" w:space="0" w:color="auto"/>
            <w:left w:val="none" w:sz="0" w:space="0" w:color="auto"/>
            <w:bottom w:val="none" w:sz="0" w:space="0" w:color="auto"/>
            <w:right w:val="none" w:sz="0" w:space="0" w:color="auto"/>
          </w:divBdr>
          <w:divsChild>
            <w:div w:id="15139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24307">
      <w:bodyDiv w:val="1"/>
      <w:marLeft w:val="0"/>
      <w:marRight w:val="0"/>
      <w:marTop w:val="0"/>
      <w:marBottom w:val="0"/>
      <w:divBdr>
        <w:top w:val="none" w:sz="0" w:space="0" w:color="auto"/>
        <w:left w:val="none" w:sz="0" w:space="0" w:color="auto"/>
        <w:bottom w:val="none" w:sz="0" w:space="0" w:color="auto"/>
        <w:right w:val="none" w:sz="0" w:space="0" w:color="auto"/>
      </w:divBdr>
      <w:divsChild>
        <w:div w:id="363678126">
          <w:marLeft w:val="0"/>
          <w:marRight w:val="0"/>
          <w:marTop w:val="240"/>
          <w:marBottom w:val="0"/>
          <w:divBdr>
            <w:top w:val="none" w:sz="0" w:space="0" w:color="auto"/>
            <w:left w:val="none" w:sz="0" w:space="0" w:color="auto"/>
            <w:bottom w:val="none" w:sz="0" w:space="0" w:color="auto"/>
            <w:right w:val="none" w:sz="0" w:space="0" w:color="auto"/>
          </w:divBdr>
          <w:divsChild>
            <w:div w:id="579561838">
              <w:marLeft w:val="0"/>
              <w:marRight w:val="0"/>
              <w:marTop w:val="0"/>
              <w:marBottom w:val="0"/>
              <w:divBdr>
                <w:top w:val="none" w:sz="0" w:space="0" w:color="auto"/>
                <w:left w:val="none" w:sz="0" w:space="0" w:color="auto"/>
                <w:bottom w:val="none" w:sz="0" w:space="0" w:color="auto"/>
                <w:right w:val="none" w:sz="0" w:space="0" w:color="auto"/>
              </w:divBdr>
            </w:div>
            <w:div w:id="1749957529">
              <w:marLeft w:val="0"/>
              <w:marRight w:val="0"/>
              <w:marTop w:val="240"/>
              <w:marBottom w:val="0"/>
              <w:divBdr>
                <w:top w:val="none" w:sz="0" w:space="0" w:color="auto"/>
                <w:left w:val="none" w:sz="0" w:space="0" w:color="auto"/>
                <w:bottom w:val="none" w:sz="0" w:space="0" w:color="auto"/>
                <w:right w:val="none" w:sz="0" w:space="0" w:color="auto"/>
              </w:divBdr>
              <w:divsChild>
                <w:div w:id="1687636336">
                  <w:marLeft w:val="0"/>
                  <w:marRight w:val="0"/>
                  <w:marTop w:val="0"/>
                  <w:marBottom w:val="0"/>
                  <w:divBdr>
                    <w:top w:val="none" w:sz="0" w:space="0" w:color="auto"/>
                    <w:left w:val="none" w:sz="0" w:space="0" w:color="auto"/>
                    <w:bottom w:val="none" w:sz="0" w:space="0" w:color="auto"/>
                    <w:right w:val="none" w:sz="0" w:space="0" w:color="auto"/>
                  </w:divBdr>
                  <w:divsChild>
                    <w:div w:id="423454730">
                      <w:blockQuote w:val="1"/>
                      <w:marLeft w:val="0"/>
                      <w:marRight w:val="0"/>
                      <w:marTop w:val="0"/>
                      <w:marBottom w:val="0"/>
                      <w:divBdr>
                        <w:top w:val="none" w:sz="0" w:space="0" w:color="auto"/>
                        <w:left w:val="none" w:sz="0" w:space="0" w:color="auto"/>
                        <w:bottom w:val="none" w:sz="0" w:space="0" w:color="auto"/>
                        <w:right w:val="none" w:sz="0" w:space="0" w:color="auto"/>
                      </w:divBdr>
                      <w:divsChild>
                        <w:div w:id="14124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6054">
              <w:marLeft w:val="0"/>
              <w:marRight w:val="0"/>
              <w:marTop w:val="240"/>
              <w:marBottom w:val="0"/>
              <w:divBdr>
                <w:top w:val="none" w:sz="0" w:space="0" w:color="auto"/>
                <w:left w:val="none" w:sz="0" w:space="0" w:color="auto"/>
                <w:bottom w:val="none" w:sz="0" w:space="0" w:color="auto"/>
                <w:right w:val="none" w:sz="0" w:space="0" w:color="auto"/>
              </w:divBdr>
            </w:div>
          </w:divsChild>
        </w:div>
        <w:div w:id="640963772">
          <w:marLeft w:val="0"/>
          <w:marRight w:val="0"/>
          <w:marTop w:val="240"/>
          <w:marBottom w:val="0"/>
          <w:divBdr>
            <w:top w:val="none" w:sz="0" w:space="0" w:color="auto"/>
            <w:left w:val="none" w:sz="0" w:space="0" w:color="auto"/>
            <w:bottom w:val="none" w:sz="0" w:space="0" w:color="auto"/>
            <w:right w:val="none" w:sz="0" w:space="0" w:color="auto"/>
          </w:divBdr>
          <w:divsChild>
            <w:div w:id="1061095352">
              <w:marLeft w:val="0"/>
              <w:marRight w:val="0"/>
              <w:marTop w:val="0"/>
              <w:marBottom w:val="0"/>
              <w:divBdr>
                <w:top w:val="none" w:sz="0" w:space="0" w:color="auto"/>
                <w:left w:val="none" w:sz="0" w:space="0" w:color="auto"/>
                <w:bottom w:val="none" w:sz="0" w:space="0" w:color="auto"/>
                <w:right w:val="none" w:sz="0" w:space="0" w:color="auto"/>
              </w:divBdr>
            </w:div>
            <w:div w:id="2073774312">
              <w:marLeft w:val="0"/>
              <w:marRight w:val="0"/>
              <w:marTop w:val="240"/>
              <w:marBottom w:val="0"/>
              <w:divBdr>
                <w:top w:val="none" w:sz="0" w:space="0" w:color="auto"/>
                <w:left w:val="none" w:sz="0" w:space="0" w:color="auto"/>
                <w:bottom w:val="none" w:sz="0" w:space="0" w:color="auto"/>
                <w:right w:val="none" w:sz="0" w:space="0" w:color="auto"/>
              </w:divBdr>
              <w:divsChild>
                <w:div w:id="665591777">
                  <w:marLeft w:val="0"/>
                  <w:marRight w:val="0"/>
                  <w:marTop w:val="0"/>
                  <w:marBottom w:val="0"/>
                  <w:divBdr>
                    <w:top w:val="none" w:sz="0" w:space="0" w:color="auto"/>
                    <w:left w:val="none" w:sz="0" w:space="0" w:color="auto"/>
                    <w:bottom w:val="none" w:sz="0" w:space="0" w:color="auto"/>
                    <w:right w:val="none" w:sz="0" w:space="0" w:color="auto"/>
                  </w:divBdr>
                  <w:divsChild>
                    <w:div w:id="515269960">
                      <w:blockQuote w:val="1"/>
                      <w:marLeft w:val="0"/>
                      <w:marRight w:val="0"/>
                      <w:marTop w:val="0"/>
                      <w:marBottom w:val="0"/>
                      <w:divBdr>
                        <w:top w:val="none" w:sz="0" w:space="0" w:color="auto"/>
                        <w:left w:val="none" w:sz="0" w:space="0" w:color="auto"/>
                        <w:bottom w:val="none" w:sz="0" w:space="0" w:color="auto"/>
                        <w:right w:val="none" w:sz="0" w:space="0" w:color="auto"/>
                      </w:divBdr>
                      <w:divsChild>
                        <w:div w:id="5647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7027">
              <w:marLeft w:val="0"/>
              <w:marRight w:val="0"/>
              <w:marTop w:val="240"/>
              <w:marBottom w:val="0"/>
              <w:divBdr>
                <w:top w:val="none" w:sz="0" w:space="0" w:color="auto"/>
                <w:left w:val="none" w:sz="0" w:space="0" w:color="auto"/>
                <w:bottom w:val="none" w:sz="0" w:space="0" w:color="auto"/>
                <w:right w:val="none" w:sz="0" w:space="0" w:color="auto"/>
              </w:divBdr>
            </w:div>
          </w:divsChild>
        </w:div>
        <w:div w:id="798110955">
          <w:marLeft w:val="0"/>
          <w:marRight w:val="0"/>
          <w:marTop w:val="240"/>
          <w:marBottom w:val="0"/>
          <w:divBdr>
            <w:top w:val="none" w:sz="0" w:space="0" w:color="auto"/>
            <w:left w:val="none" w:sz="0" w:space="0" w:color="auto"/>
            <w:bottom w:val="none" w:sz="0" w:space="0" w:color="auto"/>
            <w:right w:val="none" w:sz="0" w:space="0" w:color="auto"/>
          </w:divBdr>
          <w:divsChild>
            <w:div w:id="1387604052">
              <w:marLeft w:val="0"/>
              <w:marRight w:val="0"/>
              <w:marTop w:val="0"/>
              <w:marBottom w:val="0"/>
              <w:divBdr>
                <w:top w:val="none" w:sz="0" w:space="0" w:color="auto"/>
                <w:left w:val="none" w:sz="0" w:space="0" w:color="auto"/>
                <w:bottom w:val="none" w:sz="0" w:space="0" w:color="auto"/>
                <w:right w:val="none" w:sz="0" w:space="0" w:color="auto"/>
              </w:divBdr>
            </w:div>
          </w:divsChild>
        </w:div>
        <w:div w:id="150608851">
          <w:marLeft w:val="0"/>
          <w:marRight w:val="0"/>
          <w:marTop w:val="240"/>
          <w:marBottom w:val="0"/>
          <w:divBdr>
            <w:top w:val="none" w:sz="0" w:space="0" w:color="auto"/>
            <w:left w:val="none" w:sz="0" w:space="0" w:color="auto"/>
            <w:bottom w:val="none" w:sz="0" w:space="0" w:color="auto"/>
            <w:right w:val="none" w:sz="0" w:space="0" w:color="auto"/>
          </w:divBdr>
          <w:divsChild>
            <w:div w:id="902062284">
              <w:marLeft w:val="0"/>
              <w:marRight w:val="0"/>
              <w:marTop w:val="0"/>
              <w:marBottom w:val="0"/>
              <w:divBdr>
                <w:top w:val="none" w:sz="0" w:space="0" w:color="auto"/>
                <w:left w:val="none" w:sz="0" w:space="0" w:color="auto"/>
                <w:bottom w:val="none" w:sz="0" w:space="0" w:color="auto"/>
                <w:right w:val="none" w:sz="0" w:space="0" w:color="auto"/>
              </w:divBdr>
            </w:div>
          </w:divsChild>
        </w:div>
        <w:div w:id="276958405">
          <w:marLeft w:val="0"/>
          <w:marRight w:val="0"/>
          <w:marTop w:val="240"/>
          <w:marBottom w:val="0"/>
          <w:divBdr>
            <w:top w:val="none" w:sz="0" w:space="0" w:color="auto"/>
            <w:left w:val="none" w:sz="0" w:space="0" w:color="auto"/>
            <w:bottom w:val="none" w:sz="0" w:space="0" w:color="auto"/>
            <w:right w:val="none" w:sz="0" w:space="0" w:color="auto"/>
          </w:divBdr>
          <w:divsChild>
            <w:div w:id="189203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9045">
      <w:bodyDiv w:val="1"/>
      <w:marLeft w:val="0"/>
      <w:marRight w:val="0"/>
      <w:marTop w:val="0"/>
      <w:marBottom w:val="0"/>
      <w:divBdr>
        <w:top w:val="none" w:sz="0" w:space="0" w:color="auto"/>
        <w:left w:val="none" w:sz="0" w:space="0" w:color="auto"/>
        <w:bottom w:val="none" w:sz="0" w:space="0" w:color="auto"/>
        <w:right w:val="none" w:sz="0" w:space="0" w:color="auto"/>
      </w:divBdr>
      <w:divsChild>
        <w:div w:id="2131439708">
          <w:marLeft w:val="0"/>
          <w:marRight w:val="0"/>
          <w:marTop w:val="240"/>
          <w:marBottom w:val="0"/>
          <w:divBdr>
            <w:top w:val="none" w:sz="0" w:space="0" w:color="auto"/>
            <w:left w:val="none" w:sz="0" w:space="0" w:color="auto"/>
            <w:bottom w:val="none" w:sz="0" w:space="0" w:color="auto"/>
            <w:right w:val="none" w:sz="0" w:space="0" w:color="auto"/>
          </w:divBdr>
          <w:divsChild>
            <w:div w:id="1239945764">
              <w:marLeft w:val="0"/>
              <w:marRight w:val="0"/>
              <w:marTop w:val="0"/>
              <w:marBottom w:val="0"/>
              <w:divBdr>
                <w:top w:val="none" w:sz="0" w:space="0" w:color="auto"/>
                <w:left w:val="none" w:sz="0" w:space="0" w:color="auto"/>
                <w:bottom w:val="none" w:sz="0" w:space="0" w:color="auto"/>
                <w:right w:val="none" w:sz="0" w:space="0" w:color="auto"/>
              </w:divBdr>
            </w:div>
          </w:divsChild>
        </w:div>
        <w:div w:id="700056048">
          <w:marLeft w:val="0"/>
          <w:marRight w:val="0"/>
          <w:marTop w:val="240"/>
          <w:marBottom w:val="0"/>
          <w:divBdr>
            <w:top w:val="none" w:sz="0" w:space="0" w:color="auto"/>
            <w:left w:val="none" w:sz="0" w:space="0" w:color="auto"/>
            <w:bottom w:val="none" w:sz="0" w:space="0" w:color="auto"/>
            <w:right w:val="none" w:sz="0" w:space="0" w:color="auto"/>
          </w:divBdr>
          <w:divsChild>
            <w:div w:id="1612935213">
              <w:marLeft w:val="0"/>
              <w:marRight w:val="0"/>
              <w:marTop w:val="0"/>
              <w:marBottom w:val="0"/>
              <w:divBdr>
                <w:top w:val="none" w:sz="0" w:space="0" w:color="auto"/>
                <w:left w:val="none" w:sz="0" w:space="0" w:color="auto"/>
                <w:bottom w:val="none" w:sz="0" w:space="0" w:color="auto"/>
                <w:right w:val="none" w:sz="0" w:space="0" w:color="auto"/>
              </w:divBdr>
            </w:div>
          </w:divsChild>
        </w:div>
        <w:div w:id="1143039503">
          <w:marLeft w:val="0"/>
          <w:marRight w:val="0"/>
          <w:marTop w:val="240"/>
          <w:marBottom w:val="0"/>
          <w:divBdr>
            <w:top w:val="none" w:sz="0" w:space="0" w:color="auto"/>
            <w:left w:val="none" w:sz="0" w:space="0" w:color="auto"/>
            <w:bottom w:val="none" w:sz="0" w:space="0" w:color="auto"/>
            <w:right w:val="none" w:sz="0" w:space="0" w:color="auto"/>
          </w:divBdr>
          <w:divsChild>
            <w:div w:id="1854611470">
              <w:marLeft w:val="0"/>
              <w:marRight w:val="0"/>
              <w:marTop w:val="0"/>
              <w:marBottom w:val="0"/>
              <w:divBdr>
                <w:top w:val="none" w:sz="0" w:space="0" w:color="auto"/>
                <w:left w:val="none" w:sz="0" w:space="0" w:color="auto"/>
                <w:bottom w:val="none" w:sz="0" w:space="0" w:color="auto"/>
                <w:right w:val="none" w:sz="0" w:space="0" w:color="auto"/>
              </w:divBdr>
            </w:div>
          </w:divsChild>
        </w:div>
        <w:div w:id="2092774599">
          <w:marLeft w:val="0"/>
          <w:marRight w:val="0"/>
          <w:marTop w:val="240"/>
          <w:marBottom w:val="0"/>
          <w:divBdr>
            <w:top w:val="none" w:sz="0" w:space="0" w:color="auto"/>
            <w:left w:val="none" w:sz="0" w:space="0" w:color="auto"/>
            <w:bottom w:val="none" w:sz="0" w:space="0" w:color="auto"/>
            <w:right w:val="none" w:sz="0" w:space="0" w:color="auto"/>
          </w:divBdr>
          <w:divsChild>
            <w:div w:id="16413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831">
      <w:bodyDiv w:val="1"/>
      <w:marLeft w:val="0"/>
      <w:marRight w:val="0"/>
      <w:marTop w:val="0"/>
      <w:marBottom w:val="0"/>
      <w:divBdr>
        <w:top w:val="none" w:sz="0" w:space="0" w:color="auto"/>
        <w:left w:val="none" w:sz="0" w:space="0" w:color="auto"/>
        <w:bottom w:val="none" w:sz="0" w:space="0" w:color="auto"/>
        <w:right w:val="none" w:sz="0" w:space="0" w:color="auto"/>
      </w:divBdr>
      <w:divsChild>
        <w:div w:id="2065250445">
          <w:marLeft w:val="0"/>
          <w:marRight w:val="0"/>
          <w:marTop w:val="240"/>
          <w:marBottom w:val="0"/>
          <w:divBdr>
            <w:top w:val="none" w:sz="0" w:space="0" w:color="auto"/>
            <w:left w:val="none" w:sz="0" w:space="0" w:color="auto"/>
            <w:bottom w:val="none" w:sz="0" w:space="0" w:color="auto"/>
            <w:right w:val="none" w:sz="0" w:space="0" w:color="auto"/>
          </w:divBdr>
          <w:divsChild>
            <w:div w:id="501167735">
              <w:marLeft w:val="0"/>
              <w:marRight w:val="0"/>
              <w:marTop w:val="0"/>
              <w:marBottom w:val="0"/>
              <w:divBdr>
                <w:top w:val="none" w:sz="0" w:space="0" w:color="auto"/>
                <w:left w:val="none" w:sz="0" w:space="0" w:color="auto"/>
                <w:bottom w:val="none" w:sz="0" w:space="0" w:color="auto"/>
                <w:right w:val="none" w:sz="0" w:space="0" w:color="auto"/>
              </w:divBdr>
            </w:div>
          </w:divsChild>
        </w:div>
        <w:div w:id="1242060671">
          <w:marLeft w:val="0"/>
          <w:marRight w:val="0"/>
          <w:marTop w:val="240"/>
          <w:marBottom w:val="0"/>
          <w:divBdr>
            <w:top w:val="none" w:sz="0" w:space="0" w:color="auto"/>
            <w:left w:val="none" w:sz="0" w:space="0" w:color="auto"/>
            <w:bottom w:val="none" w:sz="0" w:space="0" w:color="auto"/>
            <w:right w:val="none" w:sz="0" w:space="0" w:color="auto"/>
          </w:divBdr>
          <w:divsChild>
            <w:div w:id="238756234">
              <w:marLeft w:val="0"/>
              <w:marRight w:val="0"/>
              <w:marTop w:val="0"/>
              <w:marBottom w:val="0"/>
              <w:divBdr>
                <w:top w:val="none" w:sz="0" w:space="0" w:color="auto"/>
                <w:left w:val="none" w:sz="0" w:space="0" w:color="auto"/>
                <w:bottom w:val="none" w:sz="0" w:space="0" w:color="auto"/>
                <w:right w:val="none" w:sz="0" w:space="0" w:color="auto"/>
              </w:divBdr>
            </w:div>
          </w:divsChild>
        </w:div>
        <w:div w:id="1091313107">
          <w:marLeft w:val="0"/>
          <w:marRight w:val="0"/>
          <w:marTop w:val="240"/>
          <w:marBottom w:val="0"/>
          <w:divBdr>
            <w:top w:val="none" w:sz="0" w:space="0" w:color="auto"/>
            <w:left w:val="none" w:sz="0" w:space="0" w:color="auto"/>
            <w:bottom w:val="none" w:sz="0" w:space="0" w:color="auto"/>
            <w:right w:val="none" w:sz="0" w:space="0" w:color="auto"/>
          </w:divBdr>
          <w:divsChild>
            <w:div w:id="1029528117">
              <w:marLeft w:val="0"/>
              <w:marRight w:val="0"/>
              <w:marTop w:val="0"/>
              <w:marBottom w:val="0"/>
              <w:divBdr>
                <w:top w:val="none" w:sz="0" w:space="0" w:color="auto"/>
                <w:left w:val="none" w:sz="0" w:space="0" w:color="auto"/>
                <w:bottom w:val="none" w:sz="0" w:space="0" w:color="auto"/>
                <w:right w:val="none" w:sz="0" w:space="0" w:color="auto"/>
              </w:divBdr>
            </w:div>
          </w:divsChild>
        </w:div>
        <w:div w:id="205259895">
          <w:marLeft w:val="0"/>
          <w:marRight w:val="0"/>
          <w:marTop w:val="240"/>
          <w:marBottom w:val="0"/>
          <w:divBdr>
            <w:top w:val="none" w:sz="0" w:space="0" w:color="auto"/>
            <w:left w:val="none" w:sz="0" w:space="0" w:color="auto"/>
            <w:bottom w:val="none" w:sz="0" w:space="0" w:color="auto"/>
            <w:right w:val="none" w:sz="0" w:space="0" w:color="auto"/>
          </w:divBdr>
          <w:divsChild>
            <w:div w:id="84288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65009">
      <w:bodyDiv w:val="1"/>
      <w:marLeft w:val="0"/>
      <w:marRight w:val="0"/>
      <w:marTop w:val="0"/>
      <w:marBottom w:val="0"/>
      <w:divBdr>
        <w:top w:val="none" w:sz="0" w:space="0" w:color="auto"/>
        <w:left w:val="none" w:sz="0" w:space="0" w:color="auto"/>
        <w:bottom w:val="none" w:sz="0" w:space="0" w:color="auto"/>
        <w:right w:val="none" w:sz="0" w:space="0" w:color="auto"/>
      </w:divBdr>
    </w:div>
    <w:div w:id="1573005178">
      <w:bodyDiv w:val="1"/>
      <w:marLeft w:val="0"/>
      <w:marRight w:val="0"/>
      <w:marTop w:val="0"/>
      <w:marBottom w:val="0"/>
      <w:divBdr>
        <w:top w:val="none" w:sz="0" w:space="0" w:color="auto"/>
        <w:left w:val="none" w:sz="0" w:space="0" w:color="auto"/>
        <w:bottom w:val="none" w:sz="0" w:space="0" w:color="auto"/>
        <w:right w:val="none" w:sz="0" w:space="0" w:color="auto"/>
      </w:divBdr>
      <w:divsChild>
        <w:div w:id="368143397">
          <w:marLeft w:val="0"/>
          <w:marRight w:val="0"/>
          <w:marTop w:val="0"/>
          <w:marBottom w:val="0"/>
          <w:divBdr>
            <w:top w:val="none" w:sz="0" w:space="0" w:color="auto"/>
            <w:left w:val="single" w:sz="6" w:space="0" w:color="BBBBBB"/>
            <w:bottom w:val="single" w:sz="6" w:space="0" w:color="BBBBBB"/>
            <w:right w:val="single" w:sz="6" w:space="0" w:color="BBBBBB"/>
          </w:divBdr>
          <w:divsChild>
            <w:div w:id="356737892">
              <w:marLeft w:val="0"/>
              <w:marRight w:val="0"/>
              <w:marTop w:val="0"/>
              <w:marBottom w:val="0"/>
              <w:divBdr>
                <w:top w:val="none" w:sz="0" w:space="0" w:color="auto"/>
                <w:left w:val="none" w:sz="0" w:space="0" w:color="auto"/>
                <w:bottom w:val="none" w:sz="0" w:space="0" w:color="auto"/>
                <w:right w:val="none" w:sz="0" w:space="0" w:color="auto"/>
              </w:divBdr>
              <w:divsChild>
                <w:div w:id="420445503">
                  <w:marLeft w:val="0"/>
                  <w:marRight w:val="0"/>
                  <w:marTop w:val="0"/>
                  <w:marBottom w:val="0"/>
                  <w:divBdr>
                    <w:top w:val="none" w:sz="0" w:space="0" w:color="auto"/>
                    <w:left w:val="none" w:sz="0" w:space="0" w:color="auto"/>
                    <w:bottom w:val="none" w:sz="0" w:space="0" w:color="auto"/>
                    <w:right w:val="none" w:sz="0" w:space="0" w:color="auto"/>
                  </w:divBdr>
                  <w:divsChild>
                    <w:div w:id="839277859">
                      <w:marLeft w:val="0"/>
                      <w:marRight w:val="0"/>
                      <w:marTop w:val="0"/>
                      <w:marBottom w:val="0"/>
                      <w:divBdr>
                        <w:top w:val="none" w:sz="0" w:space="0" w:color="auto"/>
                        <w:left w:val="none" w:sz="0" w:space="0" w:color="auto"/>
                        <w:bottom w:val="none" w:sz="0" w:space="0" w:color="auto"/>
                        <w:right w:val="none" w:sz="0" w:space="0" w:color="auto"/>
                      </w:divBdr>
                      <w:divsChild>
                        <w:div w:id="394857444">
                          <w:marLeft w:val="0"/>
                          <w:marRight w:val="0"/>
                          <w:marTop w:val="0"/>
                          <w:marBottom w:val="0"/>
                          <w:divBdr>
                            <w:top w:val="none" w:sz="0" w:space="0" w:color="auto"/>
                            <w:left w:val="none" w:sz="0" w:space="0" w:color="auto"/>
                            <w:bottom w:val="none" w:sz="0" w:space="0" w:color="auto"/>
                            <w:right w:val="none" w:sz="0" w:space="0" w:color="auto"/>
                          </w:divBdr>
                          <w:divsChild>
                            <w:div w:id="1782189688">
                              <w:marLeft w:val="0"/>
                              <w:marRight w:val="0"/>
                              <w:marTop w:val="0"/>
                              <w:marBottom w:val="0"/>
                              <w:divBdr>
                                <w:top w:val="none" w:sz="0" w:space="0" w:color="auto"/>
                                <w:left w:val="none" w:sz="0" w:space="0" w:color="auto"/>
                                <w:bottom w:val="none" w:sz="0" w:space="0" w:color="auto"/>
                                <w:right w:val="none" w:sz="0" w:space="0" w:color="auto"/>
                              </w:divBdr>
                              <w:divsChild>
                                <w:div w:id="350768383">
                                  <w:marLeft w:val="0"/>
                                  <w:marRight w:val="0"/>
                                  <w:marTop w:val="0"/>
                                  <w:marBottom w:val="0"/>
                                  <w:divBdr>
                                    <w:top w:val="none" w:sz="0" w:space="0" w:color="auto"/>
                                    <w:left w:val="none" w:sz="0" w:space="0" w:color="auto"/>
                                    <w:bottom w:val="none" w:sz="0" w:space="0" w:color="auto"/>
                                    <w:right w:val="none" w:sz="0" w:space="0" w:color="auto"/>
                                  </w:divBdr>
                                  <w:divsChild>
                                    <w:div w:id="1861160901">
                                      <w:marLeft w:val="0"/>
                                      <w:marRight w:val="0"/>
                                      <w:marTop w:val="0"/>
                                      <w:marBottom w:val="0"/>
                                      <w:divBdr>
                                        <w:top w:val="none" w:sz="0" w:space="0" w:color="auto"/>
                                        <w:left w:val="none" w:sz="0" w:space="0" w:color="auto"/>
                                        <w:bottom w:val="none" w:sz="0" w:space="0" w:color="auto"/>
                                        <w:right w:val="none" w:sz="0" w:space="0" w:color="auto"/>
                                      </w:divBdr>
                                      <w:divsChild>
                                        <w:div w:id="1393890705">
                                          <w:marLeft w:val="1200"/>
                                          <w:marRight w:val="1200"/>
                                          <w:marTop w:val="0"/>
                                          <w:marBottom w:val="0"/>
                                          <w:divBdr>
                                            <w:top w:val="none" w:sz="0" w:space="0" w:color="auto"/>
                                            <w:left w:val="none" w:sz="0" w:space="0" w:color="auto"/>
                                            <w:bottom w:val="none" w:sz="0" w:space="0" w:color="auto"/>
                                            <w:right w:val="none" w:sz="0" w:space="0" w:color="auto"/>
                                          </w:divBdr>
                                          <w:divsChild>
                                            <w:div w:id="624888301">
                                              <w:marLeft w:val="0"/>
                                              <w:marRight w:val="0"/>
                                              <w:marTop w:val="0"/>
                                              <w:marBottom w:val="0"/>
                                              <w:divBdr>
                                                <w:top w:val="none" w:sz="0" w:space="0" w:color="auto"/>
                                                <w:left w:val="none" w:sz="0" w:space="0" w:color="auto"/>
                                                <w:bottom w:val="none" w:sz="0" w:space="0" w:color="auto"/>
                                                <w:right w:val="none" w:sz="0" w:space="0" w:color="auto"/>
                                              </w:divBdr>
                                              <w:divsChild>
                                                <w:div w:id="1650859481">
                                                  <w:marLeft w:val="0"/>
                                                  <w:marRight w:val="0"/>
                                                  <w:marTop w:val="0"/>
                                                  <w:marBottom w:val="0"/>
                                                  <w:divBdr>
                                                    <w:top w:val="none" w:sz="0" w:space="0" w:color="auto"/>
                                                    <w:left w:val="none" w:sz="0" w:space="0" w:color="auto"/>
                                                    <w:bottom w:val="none" w:sz="0" w:space="0" w:color="auto"/>
                                                    <w:right w:val="none" w:sz="0" w:space="0" w:color="auto"/>
                                                  </w:divBdr>
                                                  <w:divsChild>
                                                    <w:div w:id="1194075998">
                                                      <w:marLeft w:val="0"/>
                                                      <w:marRight w:val="0"/>
                                                      <w:marTop w:val="0"/>
                                                      <w:marBottom w:val="0"/>
                                                      <w:divBdr>
                                                        <w:top w:val="none" w:sz="0" w:space="0" w:color="auto"/>
                                                        <w:left w:val="none" w:sz="0" w:space="0" w:color="auto"/>
                                                        <w:bottom w:val="none" w:sz="0" w:space="0" w:color="auto"/>
                                                        <w:right w:val="none" w:sz="0" w:space="0" w:color="auto"/>
                                                      </w:divBdr>
                                                      <w:divsChild>
                                                        <w:div w:id="142939509">
                                                          <w:marLeft w:val="0"/>
                                                          <w:marRight w:val="0"/>
                                                          <w:marTop w:val="0"/>
                                                          <w:marBottom w:val="0"/>
                                                          <w:divBdr>
                                                            <w:top w:val="none" w:sz="0" w:space="0" w:color="auto"/>
                                                            <w:left w:val="none" w:sz="0" w:space="0" w:color="auto"/>
                                                            <w:bottom w:val="none" w:sz="0" w:space="0" w:color="auto"/>
                                                            <w:right w:val="none" w:sz="0" w:space="0" w:color="auto"/>
                                                          </w:divBdr>
                                                          <w:divsChild>
                                                            <w:div w:id="1345591274">
                                                              <w:marLeft w:val="0"/>
                                                              <w:marRight w:val="0"/>
                                                              <w:marTop w:val="0"/>
                                                              <w:marBottom w:val="0"/>
                                                              <w:divBdr>
                                                                <w:top w:val="none" w:sz="0" w:space="0" w:color="auto"/>
                                                                <w:left w:val="none" w:sz="0" w:space="0" w:color="auto"/>
                                                                <w:bottom w:val="none" w:sz="0" w:space="0" w:color="auto"/>
                                                                <w:right w:val="none" w:sz="0" w:space="0" w:color="auto"/>
                                                              </w:divBdr>
                                                            </w:div>
                                                          </w:divsChild>
                                                        </w:div>
                                                        <w:div w:id="983510652">
                                                          <w:marLeft w:val="0"/>
                                                          <w:marRight w:val="0"/>
                                                          <w:marTop w:val="0"/>
                                                          <w:marBottom w:val="0"/>
                                                          <w:divBdr>
                                                            <w:top w:val="none" w:sz="0" w:space="0" w:color="auto"/>
                                                            <w:left w:val="none" w:sz="0" w:space="0" w:color="auto"/>
                                                            <w:bottom w:val="none" w:sz="0" w:space="0" w:color="auto"/>
                                                            <w:right w:val="none" w:sz="0" w:space="0" w:color="auto"/>
                                                          </w:divBdr>
                                                          <w:divsChild>
                                                            <w:div w:id="1508982770">
                                                              <w:marLeft w:val="0"/>
                                                              <w:marRight w:val="0"/>
                                                              <w:marTop w:val="0"/>
                                                              <w:marBottom w:val="0"/>
                                                              <w:divBdr>
                                                                <w:top w:val="none" w:sz="0" w:space="0" w:color="auto"/>
                                                                <w:left w:val="none" w:sz="0" w:space="0" w:color="auto"/>
                                                                <w:bottom w:val="none" w:sz="0" w:space="0" w:color="auto"/>
                                                                <w:right w:val="none" w:sz="0" w:space="0" w:color="auto"/>
                                                              </w:divBdr>
                                                            </w:div>
                                                          </w:divsChild>
                                                        </w:div>
                                                        <w:div w:id="1148060661">
                                                          <w:marLeft w:val="0"/>
                                                          <w:marRight w:val="0"/>
                                                          <w:marTop w:val="0"/>
                                                          <w:marBottom w:val="0"/>
                                                          <w:divBdr>
                                                            <w:top w:val="none" w:sz="0" w:space="0" w:color="auto"/>
                                                            <w:left w:val="none" w:sz="0" w:space="0" w:color="auto"/>
                                                            <w:bottom w:val="none" w:sz="0" w:space="0" w:color="auto"/>
                                                            <w:right w:val="none" w:sz="0" w:space="0" w:color="auto"/>
                                                          </w:divBdr>
                                                          <w:divsChild>
                                                            <w:div w:id="11288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4004045">
      <w:bodyDiv w:val="1"/>
      <w:marLeft w:val="0"/>
      <w:marRight w:val="0"/>
      <w:marTop w:val="0"/>
      <w:marBottom w:val="0"/>
      <w:divBdr>
        <w:top w:val="none" w:sz="0" w:space="0" w:color="auto"/>
        <w:left w:val="none" w:sz="0" w:space="0" w:color="auto"/>
        <w:bottom w:val="none" w:sz="0" w:space="0" w:color="auto"/>
        <w:right w:val="none" w:sz="0" w:space="0" w:color="auto"/>
      </w:divBdr>
      <w:divsChild>
        <w:div w:id="274989627">
          <w:marLeft w:val="0"/>
          <w:marRight w:val="0"/>
          <w:marTop w:val="240"/>
          <w:marBottom w:val="0"/>
          <w:divBdr>
            <w:top w:val="none" w:sz="0" w:space="0" w:color="auto"/>
            <w:left w:val="none" w:sz="0" w:space="0" w:color="auto"/>
            <w:bottom w:val="none" w:sz="0" w:space="0" w:color="auto"/>
            <w:right w:val="none" w:sz="0" w:space="0" w:color="auto"/>
          </w:divBdr>
          <w:divsChild>
            <w:div w:id="1790275972">
              <w:marLeft w:val="0"/>
              <w:marRight w:val="0"/>
              <w:marTop w:val="0"/>
              <w:marBottom w:val="0"/>
              <w:divBdr>
                <w:top w:val="none" w:sz="0" w:space="0" w:color="auto"/>
                <w:left w:val="none" w:sz="0" w:space="0" w:color="auto"/>
                <w:bottom w:val="none" w:sz="0" w:space="0" w:color="auto"/>
                <w:right w:val="none" w:sz="0" w:space="0" w:color="auto"/>
              </w:divBdr>
            </w:div>
          </w:divsChild>
        </w:div>
        <w:div w:id="451438018">
          <w:marLeft w:val="0"/>
          <w:marRight w:val="0"/>
          <w:marTop w:val="240"/>
          <w:marBottom w:val="0"/>
          <w:divBdr>
            <w:top w:val="none" w:sz="0" w:space="0" w:color="auto"/>
            <w:left w:val="none" w:sz="0" w:space="0" w:color="auto"/>
            <w:bottom w:val="none" w:sz="0" w:space="0" w:color="auto"/>
            <w:right w:val="none" w:sz="0" w:space="0" w:color="auto"/>
          </w:divBdr>
          <w:divsChild>
            <w:div w:id="378169372">
              <w:marLeft w:val="0"/>
              <w:marRight w:val="0"/>
              <w:marTop w:val="0"/>
              <w:marBottom w:val="0"/>
              <w:divBdr>
                <w:top w:val="none" w:sz="0" w:space="0" w:color="auto"/>
                <w:left w:val="none" w:sz="0" w:space="0" w:color="auto"/>
                <w:bottom w:val="none" w:sz="0" w:space="0" w:color="auto"/>
                <w:right w:val="none" w:sz="0" w:space="0" w:color="auto"/>
              </w:divBdr>
            </w:div>
          </w:divsChild>
        </w:div>
        <w:div w:id="1077364049">
          <w:marLeft w:val="0"/>
          <w:marRight w:val="0"/>
          <w:marTop w:val="240"/>
          <w:marBottom w:val="0"/>
          <w:divBdr>
            <w:top w:val="none" w:sz="0" w:space="0" w:color="auto"/>
            <w:left w:val="none" w:sz="0" w:space="0" w:color="auto"/>
            <w:bottom w:val="none" w:sz="0" w:space="0" w:color="auto"/>
            <w:right w:val="none" w:sz="0" w:space="0" w:color="auto"/>
          </w:divBdr>
          <w:divsChild>
            <w:div w:id="16635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95604">
      <w:bodyDiv w:val="1"/>
      <w:marLeft w:val="0"/>
      <w:marRight w:val="0"/>
      <w:marTop w:val="0"/>
      <w:marBottom w:val="0"/>
      <w:divBdr>
        <w:top w:val="none" w:sz="0" w:space="0" w:color="auto"/>
        <w:left w:val="none" w:sz="0" w:space="0" w:color="auto"/>
        <w:bottom w:val="none" w:sz="0" w:space="0" w:color="auto"/>
        <w:right w:val="none" w:sz="0" w:space="0" w:color="auto"/>
      </w:divBdr>
      <w:divsChild>
        <w:div w:id="369040892">
          <w:marLeft w:val="0"/>
          <w:marRight w:val="0"/>
          <w:marTop w:val="0"/>
          <w:marBottom w:val="0"/>
          <w:divBdr>
            <w:top w:val="none" w:sz="0" w:space="0" w:color="auto"/>
            <w:left w:val="none" w:sz="0" w:space="0" w:color="auto"/>
            <w:bottom w:val="none" w:sz="0" w:space="0" w:color="auto"/>
            <w:right w:val="none" w:sz="0" w:space="0" w:color="auto"/>
          </w:divBdr>
          <w:divsChild>
            <w:div w:id="1867212177">
              <w:marLeft w:val="0"/>
              <w:marRight w:val="0"/>
              <w:marTop w:val="0"/>
              <w:marBottom w:val="0"/>
              <w:divBdr>
                <w:top w:val="none" w:sz="0" w:space="0" w:color="auto"/>
                <w:left w:val="none" w:sz="0" w:space="0" w:color="auto"/>
                <w:bottom w:val="none" w:sz="0" w:space="0" w:color="auto"/>
                <w:right w:val="none" w:sz="0" w:space="0" w:color="auto"/>
              </w:divBdr>
              <w:divsChild>
                <w:div w:id="550457416">
                  <w:marLeft w:val="0"/>
                  <w:marRight w:val="0"/>
                  <w:marTop w:val="0"/>
                  <w:marBottom w:val="0"/>
                  <w:divBdr>
                    <w:top w:val="none" w:sz="0" w:space="0" w:color="auto"/>
                    <w:left w:val="none" w:sz="0" w:space="0" w:color="auto"/>
                    <w:bottom w:val="none" w:sz="0" w:space="0" w:color="auto"/>
                    <w:right w:val="none" w:sz="0" w:space="0" w:color="auto"/>
                  </w:divBdr>
                  <w:divsChild>
                    <w:div w:id="2124494352">
                      <w:marLeft w:val="0"/>
                      <w:marRight w:val="0"/>
                      <w:marTop w:val="0"/>
                      <w:marBottom w:val="375"/>
                      <w:divBdr>
                        <w:top w:val="none" w:sz="0" w:space="0" w:color="auto"/>
                        <w:left w:val="none" w:sz="0" w:space="0" w:color="auto"/>
                        <w:bottom w:val="none" w:sz="0" w:space="0" w:color="auto"/>
                        <w:right w:val="none" w:sz="0" w:space="0" w:color="auto"/>
                      </w:divBdr>
                      <w:divsChild>
                        <w:div w:id="18259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127402">
      <w:bodyDiv w:val="1"/>
      <w:marLeft w:val="0"/>
      <w:marRight w:val="0"/>
      <w:marTop w:val="0"/>
      <w:marBottom w:val="0"/>
      <w:divBdr>
        <w:top w:val="none" w:sz="0" w:space="0" w:color="auto"/>
        <w:left w:val="none" w:sz="0" w:space="0" w:color="auto"/>
        <w:bottom w:val="none" w:sz="0" w:space="0" w:color="auto"/>
        <w:right w:val="none" w:sz="0" w:space="0" w:color="auto"/>
      </w:divBdr>
      <w:divsChild>
        <w:div w:id="1564367173">
          <w:marLeft w:val="0"/>
          <w:marRight w:val="0"/>
          <w:marTop w:val="240"/>
          <w:marBottom w:val="0"/>
          <w:divBdr>
            <w:top w:val="none" w:sz="0" w:space="0" w:color="auto"/>
            <w:left w:val="none" w:sz="0" w:space="0" w:color="auto"/>
            <w:bottom w:val="none" w:sz="0" w:space="0" w:color="auto"/>
            <w:right w:val="none" w:sz="0" w:space="0" w:color="auto"/>
          </w:divBdr>
          <w:divsChild>
            <w:div w:id="1921593720">
              <w:marLeft w:val="0"/>
              <w:marRight w:val="0"/>
              <w:marTop w:val="0"/>
              <w:marBottom w:val="0"/>
              <w:divBdr>
                <w:top w:val="none" w:sz="0" w:space="0" w:color="auto"/>
                <w:left w:val="none" w:sz="0" w:space="0" w:color="auto"/>
                <w:bottom w:val="none" w:sz="0" w:space="0" w:color="auto"/>
                <w:right w:val="none" w:sz="0" w:space="0" w:color="auto"/>
              </w:divBdr>
            </w:div>
          </w:divsChild>
        </w:div>
        <w:div w:id="1968275214">
          <w:marLeft w:val="0"/>
          <w:marRight w:val="0"/>
          <w:marTop w:val="240"/>
          <w:marBottom w:val="0"/>
          <w:divBdr>
            <w:top w:val="none" w:sz="0" w:space="0" w:color="auto"/>
            <w:left w:val="none" w:sz="0" w:space="0" w:color="auto"/>
            <w:bottom w:val="none" w:sz="0" w:space="0" w:color="auto"/>
            <w:right w:val="none" w:sz="0" w:space="0" w:color="auto"/>
          </w:divBdr>
          <w:divsChild>
            <w:div w:id="149468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4104">
      <w:bodyDiv w:val="1"/>
      <w:marLeft w:val="0"/>
      <w:marRight w:val="0"/>
      <w:marTop w:val="0"/>
      <w:marBottom w:val="0"/>
      <w:divBdr>
        <w:top w:val="none" w:sz="0" w:space="0" w:color="auto"/>
        <w:left w:val="none" w:sz="0" w:space="0" w:color="auto"/>
        <w:bottom w:val="none" w:sz="0" w:space="0" w:color="auto"/>
        <w:right w:val="none" w:sz="0" w:space="0" w:color="auto"/>
      </w:divBdr>
      <w:divsChild>
        <w:div w:id="1995798075">
          <w:marLeft w:val="0"/>
          <w:marRight w:val="0"/>
          <w:marTop w:val="0"/>
          <w:marBottom w:val="0"/>
          <w:divBdr>
            <w:top w:val="none" w:sz="0" w:space="0" w:color="auto"/>
            <w:left w:val="none" w:sz="0" w:space="0" w:color="auto"/>
            <w:bottom w:val="none" w:sz="0" w:space="0" w:color="auto"/>
            <w:right w:val="none" w:sz="0" w:space="0" w:color="auto"/>
          </w:divBdr>
          <w:divsChild>
            <w:div w:id="852886404">
              <w:marLeft w:val="0"/>
              <w:marRight w:val="0"/>
              <w:marTop w:val="0"/>
              <w:marBottom w:val="0"/>
              <w:divBdr>
                <w:top w:val="none" w:sz="0" w:space="0" w:color="auto"/>
                <w:left w:val="none" w:sz="0" w:space="0" w:color="auto"/>
                <w:bottom w:val="none" w:sz="0" w:space="0" w:color="auto"/>
                <w:right w:val="none" w:sz="0" w:space="0" w:color="auto"/>
              </w:divBdr>
              <w:divsChild>
                <w:div w:id="968361539">
                  <w:marLeft w:val="0"/>
                  <w:marRight w:val="0"/>
                  <w:marTop w:val="0"/>
                  <w:marBottom w:val="0"/>
                  <w:divBdr>
                    <w:top w:val="none" w:sz="0" w:space="0" w:color="auto"/>
                    <w:left w:val="none" w:sz="0" w:space="0" w:color="auto"/>
                    <w:bottom w:val="none" w:sz="0" w:space="0" w:color="auto"/>
                    <w:right w:val="none" w:sz="0" w:space="0" w:color="auto"/>
                  </w:divBdr>
                  <w:divsChild>
                    <w:div w:id="1131703368">
                      <w:marLeft w:val="0"/>
                      <w:marRight w:val="0"/>
                      <w:marTop w:val="0"/>
                      <w:marBottom w:val="375"/>
                      <w:divBdr>
                        <w:top w:val="none" w:sz="0" w:space="0" w:color="auto"/>
                        <w:left w:val="none" w:sz="0" w:space="0" w:color="auto"/>
                        <w:bottom w:val="none" w:sz="0" w:space="0" w:color="auto"/>
                        <w:right w:val="none" w:sz="0" w:space="0" w:color="auto"/>
                      </w:divBdr>
                      <w:divsChild>
                        <w:div w:id="8616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603387">
      <w:bodyDiv w:val="1"/>
      <w:marLeft w:val="0"/>
      <w:marRight w:val="0"/>
      <w:marTop w:val="0"/>
      <w:marBottom w:val="0"/>
      <w:divBdr>
        <w:top w:val="none" w:sz="0" w:space="0" w:color="auto"/>
        <w:left w:val="none" w:sz="0" w:space="0" w:color="auto"/>
        <w:bottom w:val="none" w:sz="0" w:space="0" w:color="auto"/>
        <w:right w:val="none" w:sz="0" w:space="0" w:color="auto"/>
      </w:divBdr>
      <w:divsChild>
        <w:div w:id="870531706">
          <w:marLeft w:val="0"/>
          <w:marRight w:val="0"/>
          <w:marTop w:val="0"/>
          <w:marBottom w:val="0"/>
          <w:divBdr>
            <w:top w:val="none" w:sz="0" w:space="0" w:color="auto"/>
            <w:left w:val="single" w:sz="6" w:space="0" w:color="BBBBBB"/>
            <w:bottom w:val="single" w:sz="6" w:space="0" w:color="BBBBBB"/>
            <w:right w:val="single" w:sz="6" w:space="0" w:color="BBBBBB"/>
          </w:divBdr>
          <w:divsChild>
            <w:div w:id="272399030">
              <w:marLeft w:val="0"/>
              <w:marRight w:val="0"/>
              <w:marTop w:val="0"/>
              <w:marBottom w:val="0"/>
              <w:divBdr>
                <w:top w:val="none" w:sz="0" w:space="0" w:color="auto"/>
                <w:left w:val="none" w:sz="0" w:space="0" w:color="auto"/>
                <w:bottom w:val="none" w:sz="0" w:space="0" w:color="auto"/>
                <w:right w:val="none" w:sz="0" w:space="0" w:color="auto"/>
              </w:divBdr>
              <w:divsChild>
                <w:div w:id="1819225628">
                  <w:marLeft w:val="0"/>
                  <w:marRight w:val="0"/>
                  <w:marTop w:val="75"/>
                  <w:marBottom w:val="0"/>
                  <w:divBdr>
                    <w:top w:val="none" w:sz="0" w:space="0" w:color="auto"/>
                    <w:left w:val="none" w:sz="0" w:space="0" w:color="auto"/>
                    <w:bottom w:val="none" w:sz="0" w:space="0" w:color="auto"/>
                    <w:right w:val="none" w:sz="0" w:space="0" w:color="auto"/>
                  </w:divBdr>
                  <w:divsChild>
                    <w:div w:id="270212161">
                      <w:marLeft w:val="0"/>
                      <w:marRight w:val="0"/>
                      <w:marTop w:val="0"/>
                      <w:marBottom w:val="0"/>
                      <w:divBdr>
                        <w:top w:val="none" w:sz="0" w:space="0" w:color="auto"/>
                        <w:left w:val="none" w:sz="0" w:space="0" w:color="auto"/>
                        <w:bottom w:val="none" w:sz="0" w:space="0" w:color="auto"/>
                        <w:right w:val="none" w:sz="0" w:space="0" w:color="auto"/>
                      </w:divBdr>
                      <w:divsChild>
                        <w:div w:id="674769456">
                          <w:marLeft w:val="0"/>
                          <w:marRight w:val="0"/>
                          <w:marTop w:val="0"/>
                          <w:marBottom w:val="0"/>
                          <w:divBdr>
                            <w:top w:val="none" w:sz="0" w:space="0" w:color="auto"/>
                            <w:left w:val="none" w:sz="0" w:space="0" w:color="auto"/>
                            <w:bottom w:val="none" w:sz="0" w:space="0" w:color="auto"/>
                            <w:right w:val="none" w:sz="0" w:space="0" w:color="auto"/>
                          </w:divBdr>
                          <w:divsChild>
                            <w:div w:id="1825390644">
                              <w:marLeft w:val="0"/>
                              <w:marRight w:val="0"/>
                              <w:marTop w:val="0"/>
                              <w:marBottom w:val="0"/>
                              <w:divBdr>
                                <w:top w:val="none" w:sz="0" w:space="0" w:color="auto"/>
                                <w:left w:val="none" w:sz="0" w:space="0" w:color="auto"/>
                                <w:bottom w:val="none" w:sz="0" w:space="0" w:color="auto"/>
                                <w:right w:val="none" w:sz="0" w:space="0" w:color="auto"/>
                              </w:divBdr>
                              <w:divsChild>
                                <w:div w:id="843977105">
                                  <w:marLeft w:val="0"/>
                                  <w:marRight w:val="0"/>
                                  <w:marTop w:val="0"/>
                                  <w:marBottom w:val="0"/>
                                  <w:divBdr>
                                    <w:top w:val="none" w:sz="0" w:space="0" w:color="auto"/>
                                    <w:left w:val="none" w:sz="0" w:space="0" w:color="auto"/>
                                    <w:bottom w:val="none" w:sz="0" w:space="0" w:color="auto"/>
                                    <w:right w:val="none" w:sz="0" w:space="0" w:color="auto"/>
                                  </w:divBdr>
                                  <w:divsChild>
                                    <w:div w:id="745685278">
                                      <w:marLeft w:val="0"/>
                                      <w:marRight w:val="0"/>
                                      <w:marTop w:val="0"/>
                                      <w:marBottom w:val="0"/>
                                      <w:divBdr>
                                        <w:top w:val="none" w:sz="0" w:space="0" w:color="auto"/>
                                        <w:left w:val="none" w:sz="0" w:space="0" w:color="auto"/>
                                        <w:bottom w:val="none" w:sz="0" w:space="0" w:color="auto"/>
                                        <w:right w:val="none" w:sz="0" w:space="0" w:color="auto"/>
                                      </w:divBdr>
                                      <w:divsChild>
                                        <w:div w:id="1609582698">
                                          <w:marLeft w:val="1200"/>
                                          <w:marRight w:val="1200"/>
                                          <w:marTop w:val="0"/>
                                          <w:marBottom w:val="0"/>
                                          <w:divBdr>
                                            <w:top w:val="none" w:sz="0" w:space="0" w:color="auto"/>
                                            <w:left w:val="none" w:sz="0" w:space="0" w:color="auto"/>
                                            <w:bottom w:val="none" w:sz="0" w:space="0" w:color="auto"/>
                                            <w:right w:val="none" w:sz="0" w:space="0" w:color="auto"/>
                                          </w:divBdr>
                                          <w:divsChild>
                                            <w:div w:id="424309474">
                                              <w:marLeft w:val="0"/>
                                              <w:marRight w:val="0"/>
                                              <w:marTop w:val="0"/>
                                              <w:marBottom w:val="0"/>
                                              <w:divBdr>
                                                <w:top w:val="none" w:sz="0" w:space="0" w:color="auto"/>
                                                <w:left w:val="none" w:sz="0" w:space="0" w:color="auto"/>
                                                <w:bottom w:val="none" w:sz="0" w:space="0" w:color="auto"/>
                                                <w:right w:val="none" w:sz="0" w:space="0" w:color="auto"/>
                                              </w:divBdr>
                                              <w:divsChild>
                                                <w:div w:id="1648968753">
                                                  <w:marLeft w:val="0"/>
                                                  <w:marRight w:val="0"/>
                                                  <w:marTop w:val="240"/>
                                                  <w:marBottom w:val="0"/>
                                                  <w:divBdr>
                                                    <w:top w:val="none" w:sz="0" w:space="0" w:color="auto"/>
                                                    <w:left w:val="none" w:sz="0" w:space="0" w:color="auto"/>
                                                    <w:bottom w:val="none" w:sz="0" w:space="0" w:color="auto"/>
                                                    <w:right w:val="none" w:sz="0" w:space="0" w:color="auto"/>
                                                  </w:divBdr>
                                                  <w:divsChild>
                                                    <w:div w:id="1587614063">
                                                      <w:marLeft w:val="0"/>
                                                      <w:marRight w:val="0"/>
                                                      <w:marTop w:val="0"/>
                                                      <w:marBottom w:val="0"/>
                                                      <w:divBdr>
                                                        <w:top w:val="none" w:sz="0" w:space="0" w:color="auto"/>
                                                        <w:left w:val="none" w:sz="0" w:space="0" w:color="auto"/>
                                                        <w:bottom w:val="none" w:sz="0" w:space="0" w:color="auto"/>
                                                        <w:right w:val="none" w:sz="0" w:space="0" w:color="auto"/>
                                                      </w:divBdr>
                                                      <w:divsChild>
                                                        <w:div w:id="942107731">
                                                          <w:marLeft w:val="1275"/>
                                                          <w:marRight w:val="0"/>
                                                          <w:marTop w:val="0"/>
                                                          <w:marBottom w:val="0"/>
                                                          <w:divBdr>
                                                            <w:top w:val="none" w:sz="0" w:space="0" w:color="auto"/>
                                                            <w:left w:val="none" w:sz="0" w:space="0" w:color="auto"/>
                                                            <w:bottom w:val="none" w:sz="0" w:space="0" w:color="auto"/>
                                                            <w:right w:val="none" w:sz="0" w:space="0" w:color="auto"/>
                                                          </w:divBdr>
                                                          <w:divsChild>
                                                            <w:div w:id="327751149">
                                                              <w:marLeft w:val="0"/>
                                                              <w:marRight w:val="0"/>
                                                              <w:marTop w:val="0"/>
                                                              <w:marBottom w:val="0"/>
                                                              <w:divBdr>
                                                                <w:top w:val="none" w:sz="0" w:space="0" w:color="auto"/>
                                                                <w:left w:val="none" w:sz="0" w:space="0" w:color="auto"/>
                                                                <w:bottom w:val="none" w:sz="0" w:space="0" w:color="auto"/>
                                                                <w:right w:val="none" w:sz="0" w:space="0" w:color="auto"/>
                                                              </w:divBdr>
                                                              <w:divsChild>
                                                                <w:div w:id="8750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4141759">
      <w:bodyDiv w:val="1"/>
      <w:marLeft w:val="0"/>
      <w:marRight w:val="0"/>
      <w:marTop w:val="0"/>
      <w:marBottom w:val="0"/>
      <w:divBdr>
        <w:top w:val="none" w:sz="0" w:space="0" w:color="auto"/>
        <w:left w:val="none" w:sz="0" w:space="0" w:color="auto"/>
        <w:bottom w:val="none" w:sz="0" w:space="0" w:color="auto"/>
        <w:right w:val="none" w:sz="0" w:space="0" w:color="auto"/>
      </w:divBdr>
      <w:divsChild>
        <w:div w:id="350498968">
          <w:marLeft w:val="0"/>
          <w:marRight w:val="0"/>
          <w:marTop w:val="0"/>
          <w:marBottom w:val="0"/>
          <w:divBdr>
            <w:top w:val="none" w:sz="0" w:space="0" w:color="auto"/>
            <w:left w:val="none" w:sz="0" w:space="0" w:color="auto"/>
            <w:bottom w:val="none" w:sz="0" w:space="0" w:color="auto"/>
            <w:right w:val="none" w:sz="0" w:space="0" w:color="auto"/>
          </w:divBdr>
          <w:divsChild>
            <w:div w:id="586427152">
              <w:marLeft w:val="0"/>
              <w:marRight w:val="0"/>
              <w:marTop w:val="0"/>
              <w:marBottom w:val="0"/>
              <w:divBdr>
                <w:top w:val="none" w:sz="0" w:space="0" w:color="auto"/>
                <w:left w:val="none" w:sz="0" w:space="0" w:color="auto"/>
                <w:bottom w:val="none" w:sz="0" w:space="0" w:color="auto"/>
                <w:right w:val="none" w:sz="0" w:space="0" w:color="auto"/>
              </w:divBdr>
              <w:divsChild>
                <w:div w:id="470902472">
                  <w:marLeft w:val="0"/>
                  <w:marRight w:val="0"/>
                  <w:marTop w:val="0"/>
                  <w:marBottom w:val="0"/>
                  <w:divBdr>
                    <w:top w:val="none" w:sz="0" w:space="0" w:color="auto"/>
                    <w:left w:val="none" w:sz="0" w:space="0" w:color="auto"/>
                    <w:bottom w:val="none" w:sz="0" w:space="0" w:color="auto"/>
                    <w:right w:val="none" w:sz="0" w:space="0" w:color="auto"/>
                  </w:divBdr>
                  <w:divsChild>
                    <w:div w:id="1053306534">
                      <w:marLeft w:val="0"/>
                      <w:marRight w:val="0"/>
                      <w:marTop w:val="0"/>
                      <w:marBottom w:val="300"/>
                      <w:divBdr>
                        <w:top w:val="none" w:sz="0" w:space="0" w:color="auto"/>
                        <w:left w:val="none" w:sz="0" w:space="0" w:color="auto"/>
                        <w:bottom w:val="none" w:sz="0" w:space="0" w:color="auto"/>
                        <w:right w:val="none" w:sz="0" w:space="0" w:color="auto"/>
                      </w:divBdr>
                      <w:divsChild>
                        <w:div w:id="13645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798604">
      <w:bodyDiv w:val="1"/>
      <w:marLeft w:val="0"/>
      <w:marRight w:val="0"/>
      <w:marTop w:val="0"/>
      <w:marBottom w:val="0"/>
      <w:divBdr>
        <w:top w:val="none" w:sz="0" w:space="0" w:color="auto"/>
        <w:left w:val="none" w:sz="0" w:space="0" w:color="auto"/>
        <w:bottom w:val="none" w:sz="0" w:space="0" w:color="auto"/>
        <w:right w:val="none" w:sz="0" w:space="0" w:color="auto"/>
      </w:divBdr>
      <w:divsChild>
        <w:div w:id="636105243">
          <w:marLeft w:val="0"/>
          <w:marRight w:val="0"/>
          <w:marTop w:val="240"/>
          <w:marBottom w:val="0"/>
          <w:divBdr>
            <w:top w:val="none" w:sz="0" w:space="0" w:color="auto"/>
            <w:left w:val="none" w:sz="0" w:space="0" w:color="auto"/>
            <w:bottom w:val="none" w:sz="0" w:space="0" w:color="auto"/>
            <w:right w:val="none" w:sz="0" w:space="0" w:color="auto"/>
          </w:divBdr>
          <w:divsChild>
            <w:div w:id="1545755435">
              <w:marLeft w:val="0"/>
              <w:marRight w:val="0"/>
              <w:marTop w:val="0"/>
              <w:marBottom w:val="0"/>
              <w:divBdr>
                <w:top w:val="none" w:sz="0" w:space="0" w:color="auto"/>
                <w:left w:val="none" w:sz="0" w:space="0" w:color="auto"/>
                <w:bottom w:val="none" w:sz="0" w:space="0" w:color="auto"/>
                <w:right w:val="none" w:sz="0" w:space="0" w:color="auto"/>
              </w:divBdr>
            </w:div>
          </w:divsChild>
        </w:div>
        <w:div w:id="641429650">
          <w:marLeft w:val="0"/>
          <w:marRight w:val="0"/>
          <w:marTop w:val="240"/>
          <w:marBottom w:val="0"/>
          <w:divBdr>
            <w:top w:val="none" w:sz="0" w:space="0" w:color="auto"/>
            <w:left w:val="none" w:sz="0" w:space="0" w:color="auto"/>
            <w:bottom w:val="none" w:sz="0" w:space="0" w:color="auto"/>
            <w:right w:val="none" w:sz="0" w:space="0" w:color="auto"/>
          </w:divBdr>
          <w:divsChild>
            <w:div w:id="276447691">
              <w:marLeft w:val="0"/>
              <w:marRight w:val="0"/>
              <w:marTop w:val="0"/>
              <w:marBottom w:val="0"/>
              <w:divBdr>
                <w:top w:val="none" w:sz="0" w:space="0" w:color="auto"/>
                <w:left w:val="none" w:sz="0" w:space="0" w:color="auto"/>
                <w:bottom w:val="none" w:sz="0" w:space="0" w:color="auto"/>
                <w:right w:val="none" w:sz="0" w:space="0" w:color="auto"/>
              </w:divBdr>
            </w:div>
          </w:divsChild>
        </w:div>
        <w:div w:id="749889052">
          <w:marLeft w:val="0"/>
          <w:marRight w:val="0"/>
          <w:marTop w:val="240"/>
          <w:marBottom w:val="0"/>
          <w:divBdr>
            <w:top w:val="none" w:sz="0" w:space="0" w:color="auto"/>
            <w:left w:val="none" w:sz="0" w:space="0" w:color="auto"/>
            <w:bottom w:val="none" w:sz="0" w:space="0" w:color="auto"/>
            <w:right w:val="none" w:sz="0" w:space="0" w:color="auto"/>
          </w:divBdr>
          <w:divsChild>
            <w:div w:id="203367968">
              <w:marLeft w:val="0"/>
              <w:marRight w:val="0"/>
              <w:marTop w:val="240"/>
              <w:marBottom w:val="0"/>
              <w:divBdr>
                <w:top w:val="none" w:sz="0" w:space="0" w:color="auto"/>
                <w:left w:val="none" w:sz="0" w:space="0" w:color="auto"/>
                <w:bottom w:val="none" w:sz="0" w:space="0" w:color="auto"/>
                <w:right w:val="none" w:sz="0" w:space="0" w:color="auto"/>
              </w:divBdr>
            </w:div>
            <w:div w:id="782455237">
              <w:marLeft w:val="0"/>
              <w:marRight w:val="0"/>
              <w:marTop w:val="240"/>
              <w:marBottom w:val="0"/>
              <w:divBdr>
                <w:top w:val="none" w:sz="0" w:space="0" w:color="auto"/>
                <w:left w:val="none" w:sz="0" w:space="0" w:color="auto"/>
                <w:bottom w:val="none" w:sz="0" w:space="0" w:color="auto"/>
                <w:right w:val="none" w:sz="0" w:space="0" w:color="auto"/>
              </w:divBdr>
            </w:div>
            <w:div w:id="999888346">
              <w:marLeft w:val="0"/>
              <w:marRight w:val="0"/>
              <w:marTop w:val="0"/>
              <w:marBottom w:val="0"/>
              <w:divBdr>
                <w:top w:val="none" w:sz="0" w:space="0" w:color="auto"/>
                <w:left w:val="none" w:sz="0" w:space="0" w:color="auto"/>
                <w:bottom w:val="none" w:sz="0" w:space="0" w:color="auto"/>
                <w:right w:val="none" w:sz="0" w:space="0" w:color="auto"/>
              </w:divBdr>
            </w:div>
            <w:div w:id="1916088057">
              <w:marLeft w:val="0"/>
              <w:marRight w:val="0"/>
              <w:marTop w:val="240"/>
              <w:marBottom w:val="0"/>
              <w:divBdr>
                <w:top w:val="none" w:sz="0" w:space="0" w:color="auto"/>
                <w:left w:val="none" w:sz="0" w:space="0" w:color="auto"/>
                <w:bottom w:val="none" w:sz="0" w:space="0" w:color="auto"/>
                <w:right w:val="none" w:sz="0" w:space="0" w:color="auto"/>
              </w:divBdr>
              <w:divsChild>
                <w:div w:id="293565501">
                  <w:marLeft w:val="0"/>
                  <w:marRight w:val="0"/>
                  <w:marTop w:val="0"/>
                  <w:marBottom w:val="0"/>
                  <w:divBdr>
                    <w:top w:val="none" w:sz="0" w:space="0" w:color="auto"/>
                    <w:left w:val="none" w:sz="0" w:space="0" w:color="auto"/>
                    <w:bottom w:val="none" w:sz="0" w:space="0" w:color="auto"/>
                    <w:right w:val="none" w:sz="0" w:space="0" w:color="auto"/>
                  </w:divBdr>
                  <w:divsChild>
                    <w:div w:id="460851728">
                      <w:blockQuote w:val="1"/>
                      <w:marLeft w:val="0"/>
                      <w:marRight w:val="0"/>
                      <w:marTop w:val="0"/>
                      <w:marBottom w:val="0"/>
                      <w:divBdr>
                        <w:top w:val="none" w:sz="0" w:space="0" w:color="auto"/>
                        <w:left w:val="none" w:sz="0" w:space="0" w:color="auto"/>
                        <w:bottom w:val="none" w:sz="0" w:space="0" w:color="auto"/>
                        <w:right w:val="none" w:sz="0" w:space="0" w:color="auto"/>
                      </w:divBdr>
                      <w:divsChild>
                        <w:div w:id="17656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68056">
              <w:marLeft w:val="0"/>
              <w:marRight w:val="0"/>
              <w:marTop w:val="240"/>
              <w:marBottom w:val="0"/>
              <w:divBdr>
                <w:top w:val="none" w:sz="0" w:space="0" w:color="auto"/>
                <w:left w:val="none" w:sz="0" w:space="0" w:color="auto"/>
                <w:bottom w:val="none" w:sz="0" w:space="0" w:color="auto"/>
                <w:right w:val="none" w:sz="0" w:space="0" w:color="auto"/>
              </w:divBdr>
              <w:divsChild>
                <w:div w:id="347872985">
                  <w:marLeft w:val="0"/>
                  <w:marRight w:val="0"/>
                  <w:marTop w:val="0"/>
                  <w:marBottom w:val="0"/>
                  <w:divBdr>
                    <w:top w:val="none" w:sz="0" w:space="0" w:color="auto"/>
                    <w:left w:val="none" w:sz="0" w:space="0" w:color="auto"/>
                    <w:bottom w:val="none" w:sz="0" w:space="0" w:color="auto"/>
                    <w:right w:val="none" w:sz="0" w:space="0" w:color="auto"/>
                  </w:divBdr>
                  <w:divsChild>
                    <w:div w:id="413014348">
                      <w:blockQuote w:val="1"/>
                      <w:marLeft w:val="0"/>
                      <w:marRight w:val="0"/>
                      <w:marTop w:val="0"/>
                      <w:marBottom w:val="0"/>
                      <w:divBdr>
                        <w:top w:val="none" w:sz="0" w:space="0" w:color="auto"/>
                        <w:left w:val="none" w:sz="0" w:space="0" w:color="auto"/>
                        <w:bottom w:val="none" w:sz="0" w:space="0" w:color="auto"/>
                        <w:right w:val="none" w:sz="0" w:space="0" w:color="auto"/>
                      </w:divBdr>
                      <w:divsChild>
                        <w:div w:id="129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570755">
      <w:bodyDiv w:val="1"/>
      <w:marLeft w:val="0"/>
      <w:marRight w:val="0"/>
      <w:marTop w:val="0"/>
      <w:marBottom w:val="0"/>
      <w:divBdr>
        <w:top w:val="none" w:sz="0" w:space="0" w:color="auto"/>
        <w:left w:val="none" w:sz="0" w:space="0" w:color="auto"/>
        <w:bottom w:val="none" w:sz="0" w:space="0" w:color="auto"/>
        <w:right w:val="none" w:sz="0" w:space="0" w:color="auto"/>
      </w:divBdr>
      <w:divsChild>
        <w:div w:id="1393968672">
          <w:marLeft w:val="0"/>
          <w:marRight w:val="0"/>
          <w:marTop w:val="0"/>
          <w:marBottom w:val="0"/>
          <w:divBdr>
            <w:top w:val="none" w:sz="0" w:space="0" w:color="auto"/>
            <w:left w:val="none" w:sz="0" w:space="0" w:color="auto"/>
            <w:bottom w:val="none" w:sz="0" w:space="0" w:color="auto"/>
            <w:right w:val="none" w:sz="0" w:space="0" w:color="auto"/>
          </w:divBdr>
          <w:divsChild>
            <w:div w:id="1645351075">
              <w:marLeft w:val="0"/>
              <w:marRight w:val="0"/>
              <w:marTop w:val="0"/>
              <w:marBottom w:val="0"/>
              <w:divBdr>
                <w:top w:val="none" w:sz="0" w:space="0" w:color="auto"/>
                <w:left w:val="none" w:sz="0" w:space="0" w:color="auto"/>
                <w:bottom w:val="none" w:sz="0" w:space="0" w:color="auto"/>
                <w:right w:val="none" w:sz="0" w:space="0" w:color="auto"/>
              </w:divBdr>
              <w:divsChild>
                <w:div w:id="53089791">
                  <w:marLeft w:val="0"/>
                  <w:marRight w:val="0"/>
                  <w:marTop w:val="0"/>
                  <w:marBottom w:val="0"/>
                  <w:divBdr>
                    <w:top w:val="none" w:sz="0" w:space="0" w:color="auto"/>
                    <w:left w:val="none" w:sz="0" w:space="0" w:color="auto"/>
                    <w:bottom w:val="none" w:sz="0" w:space="0" w:color="auto"/>
                    <w:right w:val="none" w:sz="0" w:space="0" w:color="auto"/>
                  </w:divBdr>
                  <w:divsChild>
                    <w:div w:id="295988258">
                      <w:marLeft w:val="0"/>
                      <w:marRight w:val="0"/>
                      <w:marTop w:val="0"/>
                      <w:marBottom w:val="300"/>
                      <w:divBdr>
                        <w:top w:val="none" w:sz="0" w:space="0" w:color="auto"/>
                        <w:left w:val="none" w:sz="0" w:space="0" w:color="auto"/>
                        <w:bottom w:val="none" w:sz="0" w:space="0" w:color="auto"/>
                        <w:right w:val="none" w:sz="0" w:space="0" w:color="auto"/>
                      </w:divBdr>
                      <w:divsChild>
                        <w:div w:id="14089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115425">
      <w:bodyDiv w:val="1"/>
      <w:marLeft w:val="0"/>
      <w:marRight w:val="0"/>
      <w:marTop w:val="0"/>
      <w:marBottom w:val="0"/>
      <w:divBdr>
        <w:top w:val="none" w:sz="0" w:space="0" w:color="auto"/>
        <w:left w:val="none" w:sz="0" w:space="0" w:color="auto"/>
        <w:bottom w:val="none" w:sz="0" w:space="0" w:color="auto"/>
        <w:right w:val="none" w:sz="0" w:space="0" w:color="auto"/>
      </w:divBdr>
      <w:divsChild>
        <w:div w:id="100686767">
          <w:marLeft w:val="0"/>
          <w:marRight w:val="0"/>
          <w:marTop w:val="240"/>
          <w:marBottom w:val="0"/>
          <w:divBdr>
            <w:top w:val="none" w:sz="0" w:space="0" w:color="auto"/>
            <w:left w:val="none" w:sz="0" w:space="0" w:color="auto"/>
            <w:bottom w:val="none" w:sz="0" w:space="0" w:color="auto"/>
            <w:right w:val="none" w:sz="0" w:space="0" w:color="auto"/>
          </w:divBdr>
          <w:divsChild>
            <w:div w:id="1986623366">
              <w:marLeft w:val="0"/>
              <w:marRight w:val="0"/>
              <w:marTop w:val="0"/>
              <w:marBottom w:val="0"/>
              <w:divBdr>
                <w:top w:val="none" w:sz="0" w:space="0" w:color="auto"/>
                <w:left w:val="none" w:sz="0" w:space="0" w:color="auto"/>
                <w:bottom w:val="none" w:sz="0" w:space="0" w:color="auto"/>
                <w:right w:val="none" w:sz="0" w:space="0" w:color="auto"/>
              </w:divBdr>
            </w:div>
          </w:divsChild>
        </w:div>
        <w:div w:id="1360470459">
          <w:marLeft w:val="0"/>
          <w:marRight w:val="0"/>
          <w:marTop w:val="240"/>
          <w:marBottom w:val="0"/>
          <w:divBdr>
            <w:top w:val="none" w:sz="0" w:space="0" w:color="auto"/>
            <w:left w:val="none" w:sz="0" w:space="0" w:color="auto"/>
            <w:bottom w:val="none" w:sz="0" w:space="0" w:color="auto"/>
            <w:right w:val="none" w:sz="0" w:space="0" w:color="auto"/>
          </w:divBdr>
          <w:divsChild>
            <w:div w:id="2058502921">
              <w:marLeft w:val="0"/>
              <w:marRight w:val="0"/>
              <w:marTop w:val="0"/>
              <w:marBottom w:val="0"/>
              <w:divBdr>
                <w:top w:val="none" w:sz="0" w:space="0" w:color="auto"/>
                <w:left w:val="none" w:sz="0" w:space="0" w:color="auto"/>
                <w:bottom w:val="none" w:sz="0" w:space="0" w:color="auto"/>
                <w:right w:val="none" w:sz="0" w:space="0" w:color="auto"/>
              </w:divBdr>
            </w:div>
          </w:divsChild>
        </w:div>
        <w:div w:id="875241483">
          <w:marLeft w:val="0"/>
          <w:marRight w:val="0"/>
          <w:marTop w:val="240"/>
          <w:marBottom w:val="0"/>
          <w:divBdr>
            <w:top w:val="none" w:sz="0" w:space="0" w:color="auto"/>
            <w:left w:val="none" w:sz="0" w:space="0" w:color="auto"/>
            <w:bottom w:val="none" w:sz="0" w:space="0" w:color="auto"/>
            <w:right w:val="none" w:sz="0" w:space="0" w:color="auto"/>
          </w:divBdr>
          <w:divsChild>
            <w:div w:id="5166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6330">
      <w:bodyDiv w:val="1"/>
      <w:marLeft w:val="0"/>
      <w:marRight w:val="0"/>
      <w:marTop w:val="0"/>
      <w:marBottom w:val="0"/>
      <w:divBdr>
        <w:top w:val="none" w:sz="0" w:space="0" w:color="auto"/>
        <w:left w:val="none" w:sz="0" w:space="0" w:color="auto"/>
        <w:bottom w:val="none" w:sz="0" w:space="0" w:color="auto"/>
        <w:right w:val="none" w:sz="0" w:space="0" w:color="auto"/>
      </w:divBdr>
      <w:divsChild>
        <w:div w:id="359673798">
          <w:marLeft w:val="0"/>
          <w:marRight w:val="0"/>
          <w:marTop w:val="0"/>
          <w:marBottom w:val="0"/>
          <w:divBdr>
            <w:top w:val="none" w:sz="0" w:space="0" w:color="auto"/>
            <w:left w:val="none" w:sz="0" w:space="0" w:color="auto"/>
            <w:bottom w:val="none" w:sz="0" w:space="0" w:color="auto"/>
            <w:right w:val="none" w:sz="0" w:space="0" w:color="auto"/>
          </w:divBdr>
          <w:divsChild>
            <w:div w:id="558588311">
              <w:marLeft w:val="0"/>
              <w:marRight w:val="0"/>
              <w:marTop w:val="0"/>
              <w:marBottom w:val="0"/>
              <w:divBdr>
                <w:top w:val="none" w:sz="0" w:space="0" w:color="auto"/>
                <w:left w:val="none" w:sz="0" w:space="0" w:color="auto"/>
                <w:bottom w:val="none" w:sz="0" w:space="0" w:color="auto"/>
                <w:right w:val="none" w:sz="0" w:space="0" w:color="auto"/>
              </w:divBdr>
              <w:divsChild>
                <w:div w:id="497229066">
                  <w:marLeft w:val="0"/>
                  <w:marRight w:val="0"/>
                  <w:marTop w:val="0"/>
                  <w:marBottom w:val="0"/>
                  <w:divBdr>
                    <w:top w:val="none" w:sz="0" w:space="0" w:color="auto"/>
                    <w:left w:val="none" w:sz="0" w:space="0" w:color="auto"/>
                    <w:bottom w:val="none" w:sz="0" w:space="0" w:color="auto"/>
                    <w:right w:val="none" w:sz="0" w:space="0" w:color="auto"/>
                  </w:divBdr>
                  <w:divsChild>
                    <w:div w:id="525362487">
                      <w:marLeft w:val="0"/>
                      <w:marRight w:val="0"/>
                      <w:marTop w:val="0"/>
                      <w:marBottom w:val="375"/>
                      <w:divBdr>
                        <w:top w:val="none" w:sz="0" w:space="0" w:color="auto"/>
                        <w:left w:val="none" w:sz="0" w:space="0" w:color="auto"/>
                        <w:bottom w:val="none" w:sz="0" w:space="0" w:color="auto"/>
                        <w:right w:val="none" w:sz="0" w:space="0" w:color="auto"/>
                      </w:divBdr>
                      <w:divsChild>
                        <w:div w:id="1057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79137">
      <w:bodyDiv w:val="1"/>
      <w:marLeft w:val="0"/>
      <w:marRight w:val="0"/>
      <w:marTop w:val="0"/>
      <w:marBottom w:val="0"/>
      <w:divBdr>
        <w:top w:val="none" w:sz="0" w:space="0" w:color="auto"/>
        <w:left w:val="none" w:sz="0" w:space="0" w:color="auto"/>
        <w:bottom w:val="none" w:sz="0" w:space="0" w:color="auto"/>
        <w:right w:val="none" w:sz="0" w:space="0" w:color="auto"/>
      </w:divBdr>
      <w:divsChild>
        <w:div w:id="13845678">
          <w:marLeft w:val="0"/>
          <w:marRight w:val="0"/>
          <w:marTop w:val="240"/>
          <w:marBottom w:val="0"/>
          <w:divBdr>
            <w:top w:val="none" w:sz="0" w:space="0" w:color="auto"/>
            <w:left w:val="none" w:sz="0" w:space="0" w:color="auto"/>
            <w:bottom w:val="none" w:sz="0" w:space="0" w:color="auto"/>
            <w:right w:val="none" w:sz="0" w:space="0" w:color="auto"/>
          </w:divBdr>
          <w:divsChild>
            <w:div w:id="1571961209">
              <w:marLeft w:val="0"/>
              <w:marRight w:val="0"/>
              <w:marTop w:val="0"/>
              <w:marBottom w:val="0"/>
              <w:divBdr>
                <w:top w:val="none" w:sz="0" w:space="0" w:color="auto"/>
                <w:left w:val="none" w:sz="0" w:space="0" w:color="auto"/>
                <w:bottom w:val="none" w:sz="0" w:space="0" w:color="auto"/>
                <w:right w:val="none" w:sz="0" w:space="0" w:color="auto"/>
              </w:divBdr>
            </w:div>
          </w:divsChild>
        </w:div>
        <w:div w:id="374280082">
          <w:marLeft w:val="0"/>
          <w:marRight w:val="0"/>
          <w:marTop w:val="240"/>
          <w:marBottom w:val="0"/>
          <w:divBdr>
            <w:top w:val="none" w:sz="0" w:space="0" w:color="auto"/>
            <w:left w:val="none" w:sz="0" w:space="0" w:color="auto"/>
            <w:bottom w:val="none" w:sz="0" w:space="0" w:color="auto"/>
            <w:right w:val="none" w:sz="0" w:space="0" w:color="auto"/>
          </w:divBdr>
          <w:divsChild>
            <w:div w:id="1420834220">
              <w:marLeft w:val="0"/>
              <w:marRight w:val="0"/>
              <w:marTop w:val="0"/>
              <w:marBottom w:val="0"/>
              <w:divBdr>
                <w:top w:val="none" w:sz="0" w:space="0" w:color="auto"/>
                <w:left w:val="none" w:sz="0" w:space="0" w:color="auto"/>
                <w:bottom w:val="none" w:sz="0" w:space="0" w:color="auto"/>
                <w:right w:val="none" w:sz="0" w:space="0" w:color="auto"/>
              </w:divBdr>
            </w:div>
          </w:divsChild>
        </w:div>
        <w:div w:id="783306003">
          <w:marLeft w:val="0"/>
          <w:marRight w:val="0"/>
          <w:marTop w:val="0"/>
          <w:marBottom w:val="0"/>
          <w:divBdr>
            <w:top w:val="none" w:sz="0" w:space="0" w:color="auto"/>
            <w:left w:val="none" w:sz="0" w:space="0" w:color="auto"/>
            <w:bottom w:val="none" w:sz="0" w:space="0" w:color="auto"/>
            <w:right w:val="none" w:sz="0" w:space="0" w:color="auto"/>
          </w:divBdr>
        </w:div>
        <w:div w:id="1196189375">
          <w:marLeft w:val="0"/>
          <w:marRight w:val="0"/>
          <w:marTop w:val="240"/>
          <w:marBottom w:val="0"/>
          <w:divBdr>
            <w:top w:val="none" w:sz="0" w:space="0" w:color="auto"/>
            <w:left w:val="none" w:sz="0" w:space="0" w:color="auto"/>
            <w:bottom w:val="none" w:sz="0" w:space="0" w:color="auto"/>
            <w:right w:val="none" w:sz="0" w:space="0" w:color="auto"/>
          </w:divBdr>
          <w:divsChild>
            <w:div w:id="1547060220">
              <w:marLeft w:val="0"/>
              <w:marRight w:val="0"/>
              <w:marTop w:val="0"/>
              <w:marBottom w:val="0"/>
              <w:divBdr>
                <w:top w:val="none" w:sz="0" w:space="0" w:color="auto"/>
                <w:left w:val="none" w:sz="0" w:space="0" w:color="auto"/>
                <w:bottom w:val="none" w:sz="0" w:space="0" w:color="auto"/>
                <w:right w:val="none" w:sz="0" w:space="0" w:color="auto"/>
              </w:divBdr>
            </w:div>
          </w:divsChild>
        </w:div>
        <w:div w:id="1414084037">
          <w:marLeft w:val="0"/>
          <w:marRight w:val="0"/>
          <w:marTop w:val="240"/>
          <w:marBottom w:val="0"/>
          <w:divBdr>
            <w:top w:val="none" w:sz="0" w:space="0" w:color="auto"/>
            <w:left w:val="none" w:sz="0" w:space="0" w:color="auto"/>
            <w:bottom w:val="none" w:sz="0" w:space="0" w:color="auto"/>
            <w:right w:val="none" w:sz="0" w:space="0" w:color="auto"/>
          </w:divBdr>
          <w:divsChild>
            <w:div w:id="19293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5727">
      <w:bodyDiv w:val="1"/>
      <w:marLeft w:val="0"/>
      <w:marRight w:val="0"/>
      <w:marTop w:val="0"/>
      <w:marBottom w:val="0"/>
      <w:divBdr>
        <w:top w:val="none" w:sz="0" w:space="0" w:color="auto"/>
        <w:left w:val="none" w:sz="0" w:space="0" w:color="auto"/>
        <w:bottom w:val="none" w:sz="0" w:space="0" w:color="auto"/>
        <w:right w:val="none" w:sz="0" w:space="0" w:color="auto"/>
      </w:divBdr>
      <w:divsChild>
        <w:div w:id="1084914573">
          <w:marLeft w:val="0"/>
          <w:marRight w:val="0"/>
          <w:marTop w:val="240"/>
          <w:marBottom w:val="0"/>
          <w:divBdr>
            <w:top w:val="none" w:sz="0" w:space="0" w:color="auto"/>
            <w:left w:val="none" w:sz="0" w:space="0" w:color="auto"/>
            <w:bottom w:val="none" w:sz="0" w:space="0" w:color="auto"/>
            <w:right w:val="none" w:sz="0" w:space="0" w:color="auto"/>
          </w:divBdr>
          <w:divsChild>
            <w:div w:id="1314791805">
              <w:marLeft w:val="0"/>
              <w:marRight w:val="0"/>
              <w:marTop w:val="0"/>
              <w:marBottom w:val="0"/>
              <w:divBdr>
                <w:top w:val="none" w:sz="0" w:space="0" w:color="auto"/>
                <w:left w:val="none" w:sz="0" w:space="0" w:color="auto"/>
                <w:bottom w:val="none" w:sz="0" w:space="0" w:color="auto"/>
                <w:right w:val="none" w:sz="0" w:space="0" w:color="auto"/>
              </w:divBdr>
            </w:div>
          </w:divsChild>
        </w:div>
        <w:div w:id="544174624">
          <w:marLeft w:val="0"/>
          <w:marRight w:val="0"/>
          <w:marTop w:val="240"/>
          <w:marBottom w:val="0"/>
          <w:divBdr>
            <w:top w:val="none" w:sz="0" w:space="0" w:color="auto"/>
            <w:left w:val="none" w:sz="0" w:space="0" w:color="auto"/>
            <w:bottom w:val="none" w:sz="0" w:space="0" w:color="auto"/>
            <w:right w:val="none" w:sz="0" w:space="0" w:color="auto"/>
          </w:divBdr>
          <w:divsChild>
            <w:div w:id="21113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6086">
      <w:bodyDiv w:val="1"/>
      <w:marLeft w:val="0"/>
      <w:marRight w:val="0"/>
      <w:marTop w:val="0"/>
      <w:marBottom w:val="0"/>
      <w:divBdr>
        <w:top w:val="none" w:sz="0" w:space="0" w:color="auto"/>
        <w:left w:val="none" w:sz="0" w:space="0" w:color="auto"/>
        <w:bottom w:val="none" w:sz="0" w:space="0" w:color="auto"/>
        <w:right w:val="none" w:sz="0" w:space="0" w:color="auto"/>
      </w:divBdr>
      <w:divsChild>
        <w:div w:id="1037193084">
          <w:marLeft w:val="0"/>
          <w:marRight w:val="0"/>
          <w:marTop w:val="0"/>
          <w:marBottom w:val="0"/>
          <w:divBdr>
            <w:top w:val="none" w:sz="0" w:space="0" w:color="auto"/>
            <w:left w:val="single" w:sz="6" w:space="0" w:color="BBBBBB"/>
            <w:bottom w:val="single" w:sz="6" w:space="0" w:color="BBBBBB"/>
            <w:right w:val="single" w:sz="6" w:space="0" w:color="BBBBBB"/>
          </w:divBdr>
          <w:divsChild>
            <w:div w:id="1029992958">
              <w:marLeft w:val="0"/>
              <w:marRight w:val="0"/>
              <w:marTop w:val="0"/>
              <w:marBottom w:val="0"/>
              <w:divBdr>
                <w:top w:val="none" w:sz="0" w:space="0" w:color="auto"/>
                <w:left w:val="none" w:sz="0" w:space="0" w:color="auto"/>
                <w:bottom w:val="none" w:sz="0" w:space="0" w:color="auto"/>
                <w:right w:val="none" w:sz="0" w:space="0" w:color="auto"/>
              </w:divBdr>
              <w:divsChild>
                <w:div w:id="1705251429">
                  <w:marLeft w:val="0"/>
                  <w:marRight w:val="0"/>
                  <w:marTop w:val="0"/>
                  <w:marBottom w:val="0"/>
                  <w:divBdr>
                    <w:top w:val="none" w:sz="0" w:space="0" w:color="auto"/>
                    <w:left w:val="none" w:sz="0" w:space="0" w:color="auto"/>
                    <w:bottom w:val="none" w:sz="0" w:space="0" w:color="auto"/>
                    <w:right w:val="none" w:sz="0" w:space="0" w:color="auto"/>
                  </w:divBdr>
                  <w:divsChild>
                    <w:div w:id="1668315357">
                      <w:marLeft w:val="0"/>
                      <w:marRight w:val="0"/>
                      <w:marTop w:val="0"/>
                      <w:marBottom w:val="0"/>
                      <w:divBdr>
                        <w:top w:val="none" w:sz="0" w:space="0" w:color="auto"/>
                        <w:left w:val="none" w:sz="0" w:space="0" w:color="auto"/>
                        <w:bottom w:val="none" w:sz="0" w:space="0" w:color="auto"/>
                        <w:right w:val="none" w:sz="0" w:space="0" w:color="auto"/>
                      </w:divBdr>
                      <w:divsChild>
                        <w:div w:id="838078618">
                          <w:marLeft w:val="0"/>
                          <w:marRight w:val="0"/>
                          <w:marTop w:val="0"/>
                          <w:marBottom w:val="0"/>
                          <w:divBdr>
                            <w:top w:val="none" w:sz="0" w:space="0" w:color="auto"/>
                            <w:left w:val="none" w:sz="0" w:space="0" w:color="auto"/>
                            <w:bottom w:val="none" w:sz="0" w:space="0" w:color="auto"/>
                            <w:right w:val="none" w:sz="0" w:space="0" w:color="auto"/>
                          </w:divBdr>
                          <w:divsChild>
                            <w:div w:id="1293946225">
                              <w:marLeft w:val="0"/>
                              <w:marRight w:val="0"/>
                              <w:marTop w:val="0"/>
                              <w:marBottom w:val="0"/>
                              <w:divBdr>
                                <w:top w:val="none" w:sz="0" w:space="0" w:color="auto"/>
                                <w:left w:val="none" w:sz="0" w:space="0" w:color="auto"/>
                                <w:bottom w:val="none" w:sz="0" w:space="0" w:color="auto"/>
                                <w:right w:val="none" w:sz="0" w:space="0" w:color="auto"/>
                              </w:divBdr>
                              <w:divsChild>
                                <w:div w:id="405761404">
                                  <w:marLeft w:val="0"/>
                                  <w:marRight w:val="0"/>
                                  <w:marTop w:val="0"/>
                                  <w:marBottom w:val="0"/>
                                  <w:divBdr>
                                    <w:top w:val="none" w:sz="0" w:space="0" w:color="auto"/>
                                    <w:left w:val="none" w:sz="0" w:space="0" w:color="auto"/>
                                    <w:bottom w:val="none" w:sz="0" w:space="0" w:color="auto"/>
                                    <w:right w:val="none" w:sz="0" w:space="0" w:color="auto"/>
                                  </w:divBdr>
                                  <w:divsChild>
                                    <w:div w:id="735009505">
                                      <w:marLeft w:val="0"/>
                                      <w:marRight w:val="0"/>
                                      <w:marTop w:val="0"/>
                                      <w:marBottom w:val="0"/>
                                      <w:divBdr>
                                        <w:top w:val="none" w:sz="0" w:space="0" w:color="auto"/>
                                        <w:left w:val="none" w:sz="0" w:space="0" w:color="auto"/>
                                        <w:bottom w:val="none" w:sz="0" w:space="0" w:color="auto"/>
                                        <w:right w:val="none" w:sz="0" w:space="0" w:color="auto"/>
                                      </w:divBdr>
                                      <w:divsChild>
                                        <w:div w:id="458886553">
                                          <w:marLeft w:val="1200"/>
                                          <w:marRight w:val="1200"/>
                                          <w:marTop w:val="0"/>
                                          <w:marBottom w:val="0"/>
                                          <w:divBdr>
                                            <w:top w:val="none" w:sz="0" w:space="0" w:color="auto"/>
                                            <w:left w:val="none" w:sz="0" w:space="0" w:color="auto"/>
                                            <w:bottom w:val="none" w:sz="0" w:space="0" w:color="auto"/>
                                            <w:right w:val="none" w:sz="0" w:space="0" w:color="auto"/>
                                          </w:divBdr>
                                          <w:divsChild>
                                            <w:div w:id="240259200">
                                              <w:marLeft w:val="0"/>
                                              <w:marRight w:val="0"/>
                                              <w:marTop w:val="0"/>
                                              <w:marBottom w:val="0"/>
                                              <w:divBdr>
                                                <w:top w:val="none" w:sz="0" w:space="0" w:color="auto"/>
                                                <w:left w:val="none" w:sz="0" w:space="0" w:color="auto"/>
                                                <w:bottom w:val="none" w:sz="0" w:space="0" w:color="auto"/>
                                                <w:right w:val="none" w:sz="0" w:space="0" w:color="auto"/>
                                              </w:divBdr>
                                              <w:divsChild>
                                                <w:div w:id="1589578876">
                                                  <w:marLeft w:val="0"/>
                                                  <w:marRight w:val="0"/>
                                                  <w:marTop w:val="0"/>
                                                  <w:marBottom w:val="0"/>
                                                  <w:divBdr>
                                                    <w:top w:val="none" w:sz="0" w:space="0" w:color="auto"/>
                                                    <w:left w:val="none" w:sz="0" w:space="0" w:color="auto"/>
                                                    <w:bottom w:val="none" w:sz="0" w:space="0" w:color="auto"/>
                                                    <w:right w:val="none" w:sz="0" w:space="0" w:color="auto"/>
                                                  </w:divBdr>
                                                  <w:divsChild>
                                                    <w:div w:id="1939290168">
                                                      <w:marLeft w:val="0"/>
                                                      <w:marRight w:val="0"/>
                                                      <w:marTop w:val="0"/>
                                                      <w:marBottom w:val="0"/>
                                                      <w:divBdr>
                                                        <w:top w:val="none" w:sz="0" w:space="0" w:color="auto"/>
                                                        <w:left w:val="none" w:sz="0" w:space="0" w:color="auto"/>
                                                        <w:bottom w:val="none" w:sz="0" w:space="0" w:color="auto"/>
                                                        <w:right w:val="none" w:sz="0" w:space="0" w:color="auto"/>
                                                      </w:divBdr>
                                                      <w:divsChild>
                                                        <w:div w:id="423569681">
                                                          <w:marLeft w:val="0"/>
                                                          <w:marRight w:val="0"/>
                                                          <w:marTop w:val="0"/>
                                                          <w:marBottom w:val="0"/>
                                                          <w:divBdr>
                                                            <w:top w:val="none" w:sz="0" w:space="0" w:color="auto"/>
                                                            <w:left w:val="none" w:sz="0" w:space="0" w:color="auto"/>
                                                            <w:bottom w:val="none" w:sz="0" w:space="0" w:color="auto"/>
                                                            <w:right w:val="none" w:sz="0" w:space="0" w:color="auto"/>
                                                          </w:divBdr>
                                                          <w:divsChild>
                                                            <w:div w:id="2064450237">
                                                              <w:marLeft w:val="0"/>
                                                              <w:marRight w:val="0"/>
                                                              <w:marTop w:val="0"/>
                                                              <w:marBottom w:val="0"/>
                                                              <w:divBdr>
                                                                <w:top w:val="none" w:sz="0" w:space="0" w:color="auto"/>
                                                                <w:left w:val="none" w:sz="0" w:space="0" w:color="auto"/>
                                                                <w:bottom w:val="none" w:sz="0" w:space="0" w:color="auto"/>
                                                                <w:right w:val="none" w:sz="0" w:space="0" w:color="auto"/>
                                                              </w:divBdr>
                                                              <w:divsChild>
                                                                <w:div w:id="332414039">
                                                                  <w:marLeft w:val="0"/>
                                                                  <w:marRight w:val="0"/>
                                                                  <w:marTop w:val="0"/>
                                                                  <w:marBottom w:val="0"/>
                                                                  <w:divBdr>
                                                                    <w:top w:val="none" w:sz="0" w:space="0" w:color="auto"/>
                                                                    <w:left w:val="none" w:sz="0" w:space="0" w:color="auto"/>
                                                                    <w:bottom w:val="none" w:sz="0" w:space="0" w:color="auto"/>
                                                                    <w:right w:val="none" w:sz="0" w:space="0" w:color="auto"/>
                                                                  </w:divBdr>
                                                                  <w:divsChild>
                                                                    <w:div w:id="545260908">
                                                                      <w:marLeft w:val="0"/>
                                                                      <w:marRight w:val="0"/>
                                                                      <w:marTop w:val="0"/>
                                                                      <w:marBottom w:val="0"/>
                                                                      <w:divBdr>
                                                                        <w:top w:val="none" w:sz="0" w:space="0" w:color="auto"/>
                                                                        <w:left w:val="none" w:sz="0" w:space="0" w:color="auto"/>
                                                                        <w:bottom w:val="none" w:sz="0" w:space="0" w:color="auto"/>
                                                                        <w:right w:val="none" w:sz="0" w:space="0" w:color="auto"/>
                                                                      </w:divBdr>
                                                                      <w:divsChild>
                                                                        <w:div w:id="462961048">
                                                                          <w:marLeft w:val="0"/>
                                                                          <w:marRight w:val="0"/>
                                                                          <w:marTop w:val="0"/>
                                                                          <w:marBottom w:val="0"/>
                                                                          <w:divBdr>
                                                                            <w:top w:val="none" w:sz="0" w:space="0" w:color="auto"/>
                                                                            <w:left w:val="none" w:sz="0" w:space="0" w:color="auto"/>
                                                                            <w:bottom w:val="none" w:sz="0" w:space="0" w:color="auto"/>
                                                                            <w:right w:val="none" w:sz="0" w:space="0" w:color="auto"/>
                                                                          </w:divBdr>
                                                                        </w:div>
                                                                      </w:divsChild>
                                                                    </w:div>
                                                                    <w:div w:id="739835984">
                                                                      <w:marLeft w:val="0"/>
                                                                      <w:marRight w:val="0"/>
                                                                      <w:marTop w:val="0"/>
                                                                      <w:marBottom w:val="0"/>
                                                                      <w:divBdr>
                                                                        <w:top w:val="none" w:sz="0" w:space="0" w:color="auto"/>
                                                                        <w:left w:val="none" w:sz="0" w:space="0" w:color="auto"/>
                                                                        <w:bottom w:val="none" w:sz="0" w:space="0" w:color="auto"/>
                                                                        <w:right w:val="none" w:sz="0" w:space="0" w:color="auto"/>
                                                                      </w:divBdr>
                                                                      <w:divsChild>
                                                                        <w:div w:id="188763496">
                                                                          <w:marLeft w:val="0"/>
                                                                          <w:marRight w:val="0"/>
                                                                          <w:marTop w:val="0"/>
                                                                          <w:marBottom w:val="0"/>
                                                                          <w:divBdr>
                                                                            <w:top w:val="none" w:sz="0" w:space="0" w:color="auto"/>
                                                                            <w:left w:val="none" w:sz="0" w:space="0" w:color="auto"/>
                                                                            <w:bottom w:val="none" w:sz="0" w:space="0" w:color="auto"/>
                                                                            <w:right w:val="none" w:sz="0" w:space="0" w:color="auto"/>
                                                                          </w:divBdr>
                                                                        </w:div>
                                                                      </w:divsChild>
                                                                    </w:div>
                                                                    <w:div w:id="1795906190">
                                                                      <w:marLeft w:val="0"/>
                                                                      <w:marRight w:val="0"/>
                                                                      <w:marTop w:val="0"/>
                                                                      <w:marBottom w:val="0"/>
                                                                      <w:divBdr>
                                                                        <w:top w:val="none" w:sz="0" w:space="0" w:color="auto"/>
                                                                        <w:left w:val="none" w:sz="0" w:space="0" w:color="auto"/>
                                                                        <w:bottom w:val="none" w:sz="0" w:space="0" w:color="auto"/>
                                                                        <w:right w:val="none" w:sz="0" w:space="0" w:color="auto"/>
                                                                      </w:divBdr>
                                                                      <w:divsChild>
                                                                        <w:div w:id="194198804">
                                                                          <w:marLeft w:val="0"/>
                                                                          <w:marRight w:val="0"/>
                                                                          <w:marTop w:val="0"/>
                                                                          <w:marBottom w:val="0"/>
                                                                          <w:divBdr>
                                                                            <w:top w:val="none" w:sz="0" w:space="0" w:color="auto"/>
                                                                            <w:left w:val="none" w:sz="0" w:space="0" w:color="auto"/>
                                                                            <w:bottom w:val="none" w:sz="0" w:space="0" w:color="auto"/>
                                                                            <w:right w:val="none" w:sz="0" w:space="0" w:color="auto"/>
                                                                          </w:divBdr>
                                                                          <w:divsChild>
                                                                            <w:div w:id="600839296">
                                                                              <w:marLeft w:val="0"/>
                                                                              <w:marRight w:val="0"/>
                                                                              <w:marTop w:val="0"/>
                                                                              <w:marBottom w:val="0"/>
                                                                              <w:divBdr>
                                                                                <w:top w:val="none" w:sz="0" w:space="0" w:color="auto"/>
                                                                                <w:left w:val="none" w:sz="0" w:space="0" w:color="auto"/>
                                                                                <w:bottom w:val="none" w:sz="0" w:space="0" w:color="auto"/>
                                                                                <w:right w:val="none" w:sz="0" w:space="0" w:color="auto"/>
                                                                              </w:divBdr>
                                                                              <w:divsChild>
                                                                                <w:div w:id="1960530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0809">
                                                                          <w:marLeft w:val="0"/>
                                                                          <w:marRight w:val="0"/>
                                                                          <w:marTop w:val="0"/>
                                                                          <w:marBottom w:val="0"/>
                                                                          <w:divBdr>
                                                                            <w:top w:val="none" w:sz="0" w:space="0" w:color="auto"/>
                                                                            <w:left w:val="none" w:sz="0" w:space="0" w:color="auto"/>
                                                                            <w:bottom w:val="none" w:sz="0" w:space="0" w:color="auto"/>
                                                                            <w:right w:val="none" w:sz="0" w:space="0" w:color="auto"/>
                                                                          </w:divBdr>
                                                                        </w:div>
                                                                        <w:div w:id="14341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723404">
      <w:bodyDiv w:val="1"/>
      <w:marLeft w:val="0"/>
      <w:marRight w:val="0"/>
      <w:marTop w:val="0"/>
      <w:marBottom w:val="0"/>
      <w:divBdr>
        <w:top w:val="none" w:sz="0" w:space="0" w:color="auto"/>
        <w:left w:val="none" w:sz="0" w:space="0" w:color="auto"/>
        <w:bottom w:val="none" w:sz="0" w:space="0" w:color="auto"/>
        <w:right w:val="none" w:sz="0" w:space="0" w:color="auto"/>
      </w:divBdr>
      <w:divsChild>
        <w:div w:id="1847817894">
          <w:marLeft w:val="0"/>
          <w:marRight w:val="0"/>
          <w:marTop w:val="0"/>
          <w:marBottom w:val="0"/>
          <w:divBdr>
            <w:top w:val="none" w:sz="0" w:space="0" w:color="auto"/>
            <w:left w:val="none" w:sz="0" w:space="0" w:color="auto"/>
            <w:bottom w:val="none" w:sz="0" w:space="0" w:color="auto"/>
            <w:right w:val="none" w:sz="0" w:space="0" w:color="auto"/>
          </w:divBdr>
          <w:divsChild>
            <w:div w:id="102190258">
              <w:marLeft w:val="0"/>
              <w:marRight w:val="0"/>
              <w:marTop w:val="0"/>
              <w:marBottom w:val="0"/>
              <w:divBdr>
                <w:top w:val="none" w:sz="0" w:space="0" w:color="auto"/>
                <w:left w:val="none" w:sz="0" w:space="0" w:color="auto"/>
                <w:bottom w:val="none" w:sz="0" w:space="0" w:color="auto"/>
                <w:right w:val="none" w:sz="0" w:space="0" w:color="auto"/>
              </w:divBdr>
              <w:divsChild>
                <w:div w:id="1731537399">
                  <w:marLeft w:val="0"/>
                  <w:marRight w:val="0"/>
                  <w:marTop w:val="0"/>
                  <w:marBottom w:val="0"/>
                  <w:divBdr>
                    <w:top w:val="none" w:sz="0" w:space="0" w:color="auto"/>
                    <w:left w:val="none" w:sz="0" w:space="0" w:color="auto"/>
                    <w:bottom w:val="none" w:sz="0" w:space="0" w:color="auto"/>
                    <w:right w:val="none" w:sz="0" w:space="0" w:color="auto"/>
                  </w:divBdr>
                  <w:divsChild>
                    <w:div w:id="1242980875">
                      <w:marLeft w:val="0"/>
                      <w:marRight w:val="0"/>
                      <w:marTop w:val="0"/>
                      <w:marBottom w:val="300"/>
                      <w:divBdr>
                        <w:top w:val="none" w:sz="0" w:space="0" w:color="auto"/>
                        <w:left w:val="none" w:sz="0" w:space="0" w:color="auto"/>
                        <w:bottom w:val="none" w:sz="0" w:space="0" w:color="auto"/>
                        <w:right w:val="none" w:sz="0" w:space="0" w:color="auto"/>
                      </w:divBdr>
                      <w:divsChild>
                        <w:div w:id="15373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329314">
      <w:bodyDiv w:val="1"/>
      <w:marLeft w:val="0"/>
      <w:marRight w:val="0"/>
      <w:marTop w:val="0"/>
      <w:marBottom w:val="0"/>
      <w:divBdr>
        <w:top w:val="none" w:sz="0" w:space="0" w:color="auto"/>
        <w:left w:val="none" w:sz="0" w:space="0" w:color="auto"/>
        <w:bottom w:val="none" w:sz="0" w:space="0" w:color="auto"/>
        <w:right w:val="none" w:sz="0" w:space="0" w:color="auto"/>
      </w:divBdr>
      <w:divsChild>
        <w:div w:id="1498232870">
          <w:marLeft w:val="0"/>
          <w:marRight w:val="0"/>
          <w:marTop w:val="0"/>
          <w:marBottom w:val="0"/>
          <w:divBdr>
            <w:top w:val="none" w:sz="0" w:space="0" w:color="auto"/>
            <w:left w:val="none" w:sz="0" w:space="0" w:color="auto"/>
            <w:bottom w:val="none" w:sz="0" w:space="0" w:color="auto"/>
            <w:right w:val="none" w:sz="0" w:space="0" w:color="auto"/>
          </w:divBdr>
          <w:divsChild>
            <w:div w:id="215052632">
              <w:marLeft w:val="0"/>
              <w:marRight w:val="0"/>
              <w:marTop w:val="0"/>
              <w:marBottom w:val="0"/>
              <w:divBdr>
                <w:top w:val="none" w:sz="0" w:space="0" w:color="auto"/>
                <w:left w:val="none" w:sz="0" w:space="0" w:color="auto"/>
                <w:bottom w:val="none" w:sz="0" w:space="0" w:color="auto"/>
                <w:right w:val="none" w:sz="0" w:space="0" w:color="auto"/>
              </w:divBdr>
            </w:div>
          </w:divsChild>
        </w:div>
        <w:div w:id="685795024">
          <w:marLeft w:val="0"/>
          <w:marRight w:val="0"/>
          <w:marTop w:val="0"/>
          <w:marBottom w:val="0"/>
          <w:divBdr>
            <w:top w:val="none" w:sz="0" w:space="0" w:color="auto"/>
            <w:left w:val="none" w:sz="0" w:space="0" w:color="auto"/>
            <w:bottom w:val="none" w:sz="0" w:space="0" w:color="auto"/>
            <w:right w:val="none" w:sz="0" w:space="0" w:color="auto"/>
          </w:divBdr>
          <w:divsChild>
            <w:div w:id="500509250">
              <w:marLeft w:val="0"/>
              <w:marRight w:val="0"/>
              <w:marTop w:val="0"/>
              <w:marBottom w:val="0"/>
              <w:divBdr>
                <w:top w:val="none" w:sz="0" w:space="0" w:color="auto"/>
                <w:left w:val="none" w:sz="0" w:space="0" w:color="auto"/>
                <w:bottom w:val="none" w:sz="0" w:space="0" w:color="auto"/>
                <w:right w:val="none" w:sz="0" w:space="0" w:color="auto"/>
              </w:divBdr>
            </w:div>
          </w:divsChild>
        </w:div>
        <w:div w:id="418252467">
          <w:marLeft w:val="0"/>
          <w:marRight w:val="0"/>
          <w:marTop w:val="0"/>
          <w:marBottom w:val="0"/>
          <w:divBdr>
            <w:top w:val="none" w:sz="0" w:space="0" w:color="auto"/>
            <w:left w:val="none" w:sz="0" w:space="0" w:color="auto"/>
            <w:bottom w:val="none" w:sz="0" w:space="0" w:color="auto"/>
            <w:right w:val="none" w:sz="0" w:space="0" w:color="auto"/>
          </w:divBdr>
          <w:divsChild>
            <w:div w:id="1773434089">
              <w:marLeft w:val="0"/>
              <w:marRight w:val="0"/>
              <w:marTop w:val="0"/>
              <w:marBottom w:val="0"/>
              <w:divBdr>
                <w:top w:val="none" w:sz="0" w:space="0" w:color="auto"/>
                <w:left w:val="none" w:sz="0" w:space="0" w:color="auto"/>
                <w:bottom w:val="none" w:sz="0" w:space="0" w:color="auto"/>
                <w:right w:val="none" w:sz="0" w:space="0" w:color="auto"/>
              </w:divBdr>
            </w:div>
            <w:div w:id="1579287723">
              <w:marLeft w:val="0"/>
              <w:marRight w:val="0"/>
              <w:marTop w:val="0"/>
              <w:marBottom w:val="0"/>
              <w:divBdr>
                <w:top w:val="none" w:sz="0" w:space="0" w:color="auto"/>
                <w:left w:val="none" w:sz="0" w:space="0" w:color="auto"/>
                <w:bottom w:val="none" w:sz="0" w:space="0" w:color="auto"/>
                <w:right w:val="none" w:sz="0" w:space="0" w:color="auto"/>
              </w:divBdr>
              <w:divsChild>
                <w:div w:id="96569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35578">
          <w:marLeft w:val="0"/>
          <w:marRight w:val="0"/>
          <w:marTop w:val="0"/>
          <w:marBottom w:val="0"/>
          <w:divBdr>
            <w:top w:val="none" w:sz="0" w:space="0" w:color="auto"/>
            <w:left w:val="none" w:sz="0" w:space="0" w:color="auto"/>
            <w:bottom w:val="none" w:sz="0" w:space="0" w:color="auto"/>
            <w:right w:val="none" w:sz="0" w:space="0" w:color="auto"/>
          </w:divBdr>
          <w:divsChild>
            <w:div w:id="79719587">
              <w:marLeft w:val="0"/>
              <w:marRight w:val="0"/>
              <w:marTop w:val="0"/>
              <w:marBottom w:val="0"/>
              <w:divBdr>
                <w:top w:val="none" w:sz="0" w:space="0" w:color="auto"/>
                <w:left w:val="none" w:sz="0" w:space="0" w:color="auto"/>
                <w:bottom w:val="none" w:sz="0" w:space="0" w:color="auto"/>
                <w:right w:val="none" w:sz="0" w:space="0" w:color="auto"/>
              </w:divBdr>
            </w:div>
          </w:divsChild>
        </w:div>
        <w:div w:id="194926777">
          <w:marLeft w:val="0"/>
          <w:marRight w:val="0"/>
          <w:marTop w:val="0"/>
          <w:marBottom w:val="0"/>
          <w:divBdr>
            <w:top w:val="none" w:sz="0" w:space="0" w:color="auto"/>
            <w:left w:val="none" w:sz="0" w:space="0" w:color="auto"/>
            <w:bottom w:val="none" w:sz="0" w:space="0" w:color="auto"/>
            <w:right w:val="none" w:sz="0" w:space="0" w:color="auto"/>
          </w:divBdr>
          <w:divsChild>
            <w:div w:id="2109353463">
              <w:marLeft w:val="0"/>
              <w:marRight w:val="0"/>
              <w:marTop w:val="0"/>
              <w:marBottom w:val="0"/>
              <w:divBdr>
                <w:top w:val="none" w:sz="0" w:space="0" w:color="auto"/>
                <w:left w:val="none" w:sz="0" w:space="0" w:color="auto"/>
                <w:bottom w:val="none" w:sz="0" w:space="0" w:color="auto"/>
                <w:right w:val="none" w:sz="0" w:space="0" w:color="auto"/>
              </w:divBdr>
            </w:div>
            <w:div w:id="1091781447">
              <w:marLeft w:val="0"/>
              <w:marRight w:val="0"/>
              <w:marTop w:val="0"/>
              <w:marBottom w:val="0"/>
              <w:divBdr>
                <w:top w:val="none" w:sz="0" w:space="0" w:color="auto"/>
                <w:left w:val="none" w:sz="0" w:space="0" w:color="auto"/>
                <w:bottom w:val="none" w:sz="0" w:space="0" w:color="auto"/>
                <w:right w:val="none" w:sz="0" w:space="0" w:color="auto"/>
              </w:divBdr>
              <w:divsChild>
                <w:div w:id="166083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49304">
          <w:marLeft w:val="0"/>
          <w:marRight w:val="0"/>
          <w:marTop w:val="0"/>
          <w:marBottom w:val="0"/>
          <w:divBdr>
            <w:top w:val="none" w:sz="0" w:space="0" w:color="auto"/>
            <w:left w:val="none" w:sz="0" w:space="0" w:color="auto"/>
            <w:bottom w:val="none" w:sz="0" w:space="0" w:color="auto"/>
            <w:right w:val="none" w:sz="0" w:space="0" w:color="auto"/>
          </w:divBdr>
          <w:divsChild>
            <w:div w:id="1273828328">
              <w:marLeft w:val="0"/>
              <w:marRight w:val="0"/>
              <w:marTop w:val="0"/>
              <w:marBottom w:val="0"/>
              <w:divBdr>
                <w:top w:val="none" w:sz="0" w:space="0" w:color="auto"/>
                <w:left w:val="none" w:sz="0" w:space="0" w:color="auto"/>
                <w:bottom w:val="none" w:sz="0" w:space="0" w:color="auto"/>
                <w:right w:val="none" w:sz="0" w:space="0" w:color="auto"/>
              </w:divBdr>
            </w:div>
          </w:divsChild>
        </w:div>
        <w:div w:id="314722151">
          <w:marLeft w:val="0"/>
          <w:marRight w:val="0"/>
          <w:marTop w:val="0"/>
          <w:marBottom w:val="0"/>
          <w:divBdr>
            <w:top w:val="none" w:sz="0" w:space="0" w:color="auto"/>
            <w:left w:val="none" w:sz="0" w:space="0" w:color="auto"/>
            <w:bottom w:val="none" w:sz="0" w:space="0" w:color="auto"/>
            <w:right w:val="none" w:sz="0" w:space="0" w:color="auto"/>
          </w:divBdr>
          <w:divsChild>
            <w:div w:id="367412799">
              <w:marLeft w:val="0"/>
              <w:marRight w:val="0"/>
              <w:marTop w:val="0"/>
              <w:marBottom w:val="0"/>
              <w:divBdr>
                <w:top w:val="none" w:sz="0" w:space="0" w:color="auto"/>
                <w:left w:val="none" w:sz="0" w:space="0" w:color="auto"/>
                <w:bottom w:val="none" w:sz="0" w:space="0" w:color="auto"/>
                <w:right w:val="none" w:sz="0" w:space="0" w:color="auto"/>
              </w:divBdr>
            </w:div>
            <w:div w:id="560756336">
              <w:marLeft w:val="0"/>
              <w:marRight w:val="0"/>
              <w:marTop w:val="0"/>
              <w:marBottom w:val="0"/>
              <w:divBdr>
                <w:top w:val="none" w:sz="0" w:space="0" w:color="auto"/>
                <w:left w:val="none" w:sz="0" w:space="0" w:color="auto"/>
                <w:bottom w:val="none" w:sz="0" w:space="0" w:color="auto"/>
                <w:right w:val="none" w:sz="0" w:space="0" w:color="auto"/>
              </w:divBdr>
              <w:divsChild>
                <w:div w:id="2071074782">
                  <w:marLeft w:val="0"/>
                  <w:marRight w:val="0"/>
                  <w:marTop w:val="0"/>
                  <w:marBottom w:val="0"/>
                  <w:divBdr>
                    <w:top w:val="none" w:sz="0" w:space="0" w:color="auto"/>
                    <w:left w:val="none" w:sz="0" w:space="0" w:color="auto"/>
                    <w:bottom w:val="none" w:sz="0" w:space="0" w:color="auto"/>
                    <w:right w:val="none" w:sz="0" w:space="0" w:color="auto"/>
                  </w:divBdr>
                </w:div>
              </w:divsChild>
            </w:div>
            <w:div w:id="1380595932">
              <w:marLeft w:val="0"/>
              <w:marRight w:val="0"/>
              <w:marTop w:val="0"/>
              <w:marBottom w:val="0"/>
              <w:divBdr>
                <w:top w:val="none" w:sz="0" w:space="0" w:color="auto"/>
                <w:left w:val="none" w:sz="0" w:space="0" w:color="auto"/>
                <w:bottom w:val="none" w:sz="0" w:space="0" w:color="auto"/>
                <w:right w:val="none" w:sz="0" w:space="0" w:color="auto"/>
              </w:divBdr>
              <w:divsChild>
                <w:div w:id="1364864222">
                  <w:marLeft w:val="0"/>
                  <w:marRight w:val="0"/>
                  <w:marTop w:val="0"/>
                  <w:marBottom w:val="0"/>
                  <w:divBdr>
                    <w:top w:val="none" w:sz="0" w:space="0" w:color="auto"/>
                    <w:left w:val="none" w:sz="0" w:space="0" w:color="auto"/>
                    <w:bottom w:val="none" w:sz="0" w:space="0" w:color="auto"/>
                    <w:right w:val="none" w:sz="0" w:space="0" w:color="auto"/>
                  </w:divBdr>
                </w:div>
              </w:divsChild>
            </w:div>
            <w:div w:id="428697965">
              <w:marLeft w:val="0"/>
              <w:marRight w:val="0"/>
              <w:marTop w:val="0"/>
              <w:marBottom w:val="0"/>
              <w:divBdr>
                <w:top w:val="none" w:sz="0" w:space="0" w:color="auto"/>
                <w:left w:val="none" w:sz="0" w:space="0" w:color="auto"/>
                <w:bottom w:val="none" w:sz="0" w:space="0" w:color="auto"/>
                <w:right w:val="none" w:sz="0" w:space="0" w:color="auto"/>
              </w:divBdr>
              <w:divsChild>
                <w:div w:id="1581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15377">
      <w:bodyDiv w:val="1"/>
      <w:marLeft w:val="30"/>
      <w:marRight w:val="30"/>
      <w:marTop w:val="30"/>
      <w:marBottom w:val="30"/>
      <w:divBdr>
        <w:top w:val="none" w:sz="0" w:space="0" w:color="auto"/>
        <w:left w:val="none" w:sz="0" w:space="0" w:color="auto"/>
        <w:bottom w:val="none" w:sz="0" w:space="0" w:color="auto"/>
        <w:right w:val="none" w:sz="0" w:space="0" w:color="auto"/>
      </w:divBdr>
      <w:divsChild>
        <w:div w:id="919675131">
          <w:marLeft w:val="0"/>
          <w:marRight w:val="0"/>
          <w:marTop w:val="0"/>
          <w:marBottom w:val="0"/>
          <w:divBdr>
            <w:top w:val="none" w:sz="0" w:space="0" w:color="auto"/>
            <w:left w:val="none" w:sz="0" w:space="0" w:color="auto"/>
            <w:bottom w:val="none" w:sz="0" w:space="0" w:color="auto"/>
            <w:right w:val="none" w:sz="0" w:space="0" w:color="auto"/>
          </w:divBdr>
          <w:divsChild>
            <w:div w:id="440028760">
              <w:marLeft w:val="45"/>
              <w:marRight w:val="45"/>
              <w:marTop w:val="45"/>
              <w:marBottom w:val="45"/>
              <w:divBdr>
                <w:top w:val="none" w:sz="0" w:space="0" w:color="auto"/>
                <w:left w:val="none" w:sz="0" w:space="0" w:color="auto"/>
                <w:bottom w:val="none" w:sz="0" w:space="0" w:color="auto"/>
                <w:right w:val="none" w:sz="0" w:space="0" w:color="auto"/>
              </w:divBdr>
              <w:divsChild>
                <w:div w:id="862284675">
                  <w:marLeft w:val="0"/>
                  <w:marRight w:val="0"/>
                  <w:marTop w:val="0"/>
                  <w:marBottom w:val="0"/>
                  <w:divBdr>
                    <w:top w:val="none" w:sz="0" w:space="0" w:color="auto"/>
                    <w:left w:val="none" w:sz="0" w:space="0" w:color="auto"/>
                    <w:bottom w:val="none" w:sz="0" w:space="0" w:color="auto"/>
                    <w:right w:val="none" w:sz="0" w:space="0" w:color="auto"/>
                  </w:divBdr>
                  <w:divsChild>
                    <w:div w:id="805314874">
                      <w:marLeft w:val="180"/>
                      <w:marRight w:val="0"/>
                      <w:marTop w:val="0"/>
                      <w:marBottom w:val="0"/>
                      <w:divBdr>
                        <w:top w:val="none" w:sz="0" w:space="0" w:color="auto"/>
                        <w:left w:val="none" w:sz="0" w:space="0" w:color="auto"/>
                        <w:bottom w:val="none" w:sz="0" w:space="0" w:color="auto"/>
                        <w:right w:val="none" w:sz="0" w:space="0" w:color="auto"/>
                      </w:divBdr>
                    </w:div>
                    <w:div w:id="1290891276">
                      <w:marLeft w:val="180"/>
                      <w:marRight w:val="0"/>
                      <w:marTop w:val="0"/>
                      <w:marBottom w:val="0"/>
                      <w:divBdr>
                        <w:top w:val="none" w:sz="0" w:space="0" w:color="auto"/>
                        <w:left w:val="none" w:sz="0" w:space="0" w:color="auto"/>
                        <w:bottom w:val="none" w:sz="0" w:space="0" w:color="auto"/>
                        <w:right w:val="none" w:sz="0" w:space="0" w:color="auto"/>
                      </w:divBdr>
                    </w:div>
                    <w:div w:id="14116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45494">
      <w:bodyDiv w:val="1"/>
      <w:marLeft w:val="0"/>
      <w:marRight w:val="0"/>
      <w:marTop w:val="0"/>
      <w:marBottom w:val="0"/>
      <w:divBdr>
        <w:top w:val="none" w:sz="0" w:space="0" w:color="auto"/>
        <w:left w:val="none" w:sz="0" w:space="0" w:color="auto"/>
        <w:bottom w:val="none" w:sz="0" w:space="0" w:color="auto"/>
        <w:right w:val="none" w:sz="0" w:space="0" w:color="auto"/>
      </w:divBdr>
      <w:divsChild>
        <w:div w:id="987124761">
          <w:marLeft w:val="0"/>
          <w:marRight w:val="0"/>
          <w:marTop w:val="0"/>
          <w:marBottom w:val="0"/>
          <w:divBdr>
            <w:top w:val="none" w:sz="0" w:space="0" w:color="auto"/>
            <w:left w:val="none" w:sz="0" w:space="0" w:color="auto"/>
            <w:bottom w:val="none" w:sz="0" w:space="0" w:color="auto"/>
            <w:right w:val="none" w:sz="0" w:space="0" w:color="auto"/>
          </w:divBdr>
          <w:divsChild>
            <w:div w:id="2031367423">
              <w:marLeft w:val="0"/>
              <w:marRight w:val="0"/>
              <w:marTop w:val="0"/>
              <w:marBottom w:val="0"/>
              <w:divBdr>
                <w:top w:val="none" w:sz="0" w:space="0" w:color="auto"/>
                <w:left w:val="none" w:sz="0" w:space="0" w:color="auto"/>
                <w:bottom w:val="none" w:sz="0" w:space="0" w:color="auto"/>
                <w:right w:val="none" w:sz="0" w:space="0" w:color="auto"/>
              </w:divBdr>
              <w:divsChild>
                <w:div w:id="1239438308">
                  <w:marLeft w:val="0"/>
                  <w:marRight w:val="0"/>
                  <w:marTop w:val="0"/>
                  <w:marBottom w:val="0"/>
                  <w:divBdr>
                    <w:top w:val="none" w:sz="0" w:space="0" w:color="auto"/>
                    <w:left w:val="none" w:sz="0" w:space="0" w:color="auto"/>
                    <w:bottom w:val="none" w:sz="0" w:space="0" w:color="auto"/>
                    <w:right w:val="none" w:sz="0" w:space="0" w:color="auto"/>
                  </w:divBdr>
                  <w:divsChild>
                    <w:div w:id="1899970903">
                      <w:marLeft w:val="0"/>
                      <w:marRight w:val="0"/>
                      <w:marTop w:val="0"/>
                      <w:marBottom w:val="300"/>
                      <w:divBdr>
                        <w:top w:val="none" w:sz="0" w:space="0" w:color="auto"/>
                        <w:left w:val="none" w:sz="0" w:space="0" w:color="auto"/>
                        <w:bottom w:val="none" w:sz="0" w:space="0" w:color="auto"/>
                        <w:right w:val="none" w:sz="0" w:space="0" w:color="auto"/>
                      </w:divBdr>
                      <w:divsChild>
                        <w:div w:id="8297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998869">
      <w:bodyDiv w:val="1"/>
      <w:marLeft w:val="0"/>
      <w:marRight w:val="0"/>
      <w:marTop w:val="0"/>
      <w:marBottom w:val="0"/>
      <w:divBdr>
        <w:top w:val="none" w:sz="0" w:space="0" w:color="auto"/>
        <w:left w:val="none" w:sz="0" w:space="0" w:color="auto"/>
        <w:bottom w:val="none" w:sz="0" w:space="0" w:color="auto"/>
        <w:right w:val="none" w:sz="0" w:space="0" w:color="auto"/>
      </w:divBdr>
      <w:divsChild>
        <w:div w:id="2044595910">
          <w:marLeft w:val="0"/>
          <w:marRight w:val="0"/>
          <w:marTop w:val="0"/>
          <w:marBottom w:val="0"/>
          <w:divBdr>
            <w:top w:val="none" w:sz="0" w:space="0" w:color="auto"/>
            <w:left w:val="single" w:sz="6" w:space="0" w:color="BBBBBB"/>
            <w:bottom w:val="single" w:sz="6" w:space="0" w:color="BBBBBB"/>
            <w:right w:val="single" w:sz="6" w:space="0" w:color="BBBBBB"/>
          </w:divBdr>
          <w:divsChild>
            <w:div w:id="1984458046">
              <w:marLeft w:val="0"/>
              <w:marRight w:val="0"/>
              <w:marTop w:val="0"/>
              <w:marBottom w:val="0"/>
              <w:divBdr>
                <w:top w:val="none" w:sz="0" w:space="0" w:color="auto"/>
                <w:left w:val="none" w:sz="0" w:space="0" w:color="auto"/>
                <w:bottom w:val="none" w:sz="0" w:space="0" w:color="auto"/>
                <w:right w:val="none" w:sz="0" w:space="0" w:color="auto"/>
              </w:divBdr>
              <w:divsChild>
                <w:div w:id="703487169">
                  <w:marLeft w:val="0"/>
                  <w:marRight w:val="0"/>
                  <w:marTop w:val="75"/>
                  <w:marBottom w:val="0"/>
                  <w:divBdr>
                    <w:top w:val="none" w:sz="0" w:space="0" w:color="auto"/>
                    <w:left w:val="none" w:sz="0" w:space="0" w:color="auto"/>
                    <w:bottom w:val="none" w:sz="0" w:space="0" w:color="auto"/>
                    <w:right w:val="none" w:sz="0" w:space="0" w:color="auto"/>
                  </w:divBdr>
                  <w:divsChild>
                    <w:div w:id="659769503">
                      <w:marLeft w:val="0"/>
                      <w:marRight w:val="0"/>
                      <w:marTop w:val="0"/>
                      <w:marBottom w:val="0"/>
                      <w:divBdr>
                        <w:top w:val="none" w:sz="0" w:space="0" w:color="auto"/>
                        <w:left w:val="none" w:sz="0" w:space="0" w:color="auto"/>
                        <w:bottom w:val="none" w:sz="0" w:space="0" w:color="auto"/>
                        <w:right w:val="none" w:sz="0" w:space="0" w:color="auto"/>
                      </w:divBdr>
                      <w:divsChild>
                        <w:div w:id="2131513134">
                          <w:marLeft w:val="0"/>
                          <w:marRight w:val="0"/>
                          <w:marTop w:val="0"/>
                          <w:marBottom w:val="0"/>
                          <w:divBdr>
                            <w:top w:val="none" w:sz="0" w:space="0" w:color="auto"/>
                            <w:left w:val="none" w:sz="0" w:space="0" w:color="auto"/>
                            <w:bottom w:val="none" w:sz="0" w:space="0" w:color="auto"/>
                            <w:right w:val="none" w:sz="0" w:space="0" w:color="auto"/>
                          </w:divBdr>
                          <w:divsChild>
                            <w:div w:id="1571505587">
                              <w:marLeft w:val="0"/>
                              <w:marRight w:val="0"/>
                              <w:marTop w:val="0"/>
                              <w:marBottom w:val="0"/>
                              <w:divBdr>
                                <w:top w:val="none" w:sz="0" w:space="0" w:color="auto"/>
                                <w:left w:val="none" w:sz="0" w:space="0" w:color="auto"/>
                                <w:bottom w:val="none" w:sz="0" w:space="0" w:color="auto"/>
                                <w:right w:val="none" w:sz="0" w:space="0" w:color="auto"/>
                              </w:divBdr>
                              <w:divsChild>
                                <w:div w:id="12995165">
                                  <w:marLeft w:val="0"/>
                                  <w:marRight w:val="0"/>
                                  <w:marTop w:val="0"/>
                                  <w:marBottom w:val="0"/>
                                  <w:divBdr>
                                    <w:top w:val="none" w:sz="0" w:space="0" w:color="auto"/>
                                    <w:left w:val="none" w:sz="0" w:space="0" w:color="auto"/>
                                    <w:bottom w:val="none" w:sz="0" w:space="0" w:color="auto"/>
                                    <w:right w:val="none" w:sz="0" w:space="0" w:color="auto"/>
                                  </w:divBdr>
                                  <w:divsChild>
                                    <w:div w:id="1635985721">
                                      <w:marLeft w:val="0"/>
                                      <w:marRight w:val="0"/>
                                      <w:marTop w:val="0"/>
                                      <w:marBottom w:val="0"/>
                                      <w:divBdr>
                                        <w:top w:val="none" w:sz="0" w:space="0" w:color="auto"/>
                                        <w:left w:val="none" w:sz="0" w:space="0" w:color="auto"/>
                                        <w:bottom w:val="none" w:sz="0" w:space="0" w:color="auto"/>
                                        <w:right w:val="none" w:sz="0" w:space="0" w:color="auto"/>
                                      </w:divBdr>
                                      <w:divsChild>
                                        <w:div w:id="2097747428">
                                          <w:marLeft w:val="1200"/>
                                          <w:marRight w:val="1200"/>
                                          <w:marTop w:val="0"/>
                                          <w:marBottom w:val="0"/>
                                          <w:divBdr>
                                            <w:top w:val="none" w:sz="0" w:space="0" w:color="auto"/>
                                            <w:left w:val="none" w:sz="0" w:space="0" w:color="auto"/>
                                            <w:bottom w:val="none" w:sz="0" w:space="0" w:color="auto"/>
                                            <w:right w:val="none" w:sz="0" w:space="0" w:color="auto"/>
                                          </w:divBdr>
                                          <w:divsChild>
                                            <w:div w:id="1329863562">
                                              <w:marLeft w:val="0"/>
                                              <w:marRight w:val="0"/>
                                              <w:marTop w:val="0"/>
                                              <w:marBottom w:val="0"/>
                                              <w:divBdr>
                                                <w:top w:val="none" w:sz="0" w:space="0" w:color="auto"/>
                                                <w:left w:val="none" w:sz="0" w:space="0" w:color="auto"/>
                                                <w:bottom w:val="none" w:sz="0" w:space="0" w:color="auto"/>
                                                <w:right w:val="none" w:sz="0" w:space="0" w:color="auto"/>
                                              </w:divBdr>
                                              <w:divsChild>
                                                <w:div w:id="1120759728">
                                                  <w:marLeft w:val="0"/>
                                                  <w:marRight w:val="0"/>
                                                  <w:marTop w:val="0"/>
                                                  <w:marBottom w:val="0"/>
                                                  <w:divBdr>
                                                    <w:top w:val="none" w:sz="0" w:space="0" w:color="auto"/>
                                                    <w:left w:val="none" w:sz="0" w:space="0" w:color="auto"/>
                                                    <w:bottom w:val="none" w:sz="0" w:space="0" w:color="auto"/>
                                                    <w:right w:val="none" w:sz="0" w:space="0" w:color="auto"/>
                                                  </w:divBdr>
                                                  <w:divsChild>
                                                    <w:div w:id="836001790">
                                                      <w:marLeft w:val="0"/>
                                                      <w:marRight w:val="0"/>
                                                      <w:marTop w:val="0"/>
                                                      <w:marBottom w:val="0"/>
                                                      <w:divBdr>
                                                        <w:top w:val="none" w:sz="0" w:space="0" w:color="auto"/>
                                                        <w:left w:val="none" w:sz="0" w:space="0" w:color="auto"/>
                                                        <w:bottom w:val="none" w:sz="0" w:space="0" w:color="auto"/>
                                                        <w:right w:val="none" w:sz="0" w:space="0" w:color="auto"/>
                                                      </w:divBdr>
                                                      <w:divsChild>
                                                        <w:div w:id="199899228">
                                                          <w:marLeft w:val="0"/>
                                                          <w:marRight w:val="0"/>
                                                          <w:marTop w:val="0"/>
                                                          <w:marBottom w:val="0"/>
                                                          <w:divBdr>
                                                            <w:top w:val="none" w:sz="0" w:space="0" w:color="auto"/>
                                                            <w:left w:val="none" w:sz="0" w:space="0" w:color="auto"/>
                                                            <w:bottom w:val="none" w:sz="0" w:space="0" w:color="auto"/>
                                                            <w:right w:val="none" w:sz="0" w:space="0" w:color="auto"/>
                                                          </w:divBdr>
                                                          <w:divsChild>
                                                            <w:div w:id="325717056">
                                                              <w:marLeft w:val="0"/>
                                                              <w:marRight w:val="0"/>
                                                              <w:marTop w:val="0"/>
                                                              <w:marBottom w:val="0"/>
                                                              <w:divBdr>
                                                                <w:top w:val="none" w:sz="0" w:space="0" w:color="auto"/>
                                                                <w:left w:val="none" w:sz="0" w:space="0" w:color="auto"/>
                                                                <w:bottom w:val="none" w:sz="0" w:space="0" w:color="auto"/>
                                                                <w:right w:val="none" w:sz="0" w:space="0" w:color="auto"/>
                                                              </w:divBdr>
                                                              <w:divsChild>
                                                                <w:div w:id="674890179">
                                                                  <w:marLeft w:val="0"/>
                                                                  <w:marRight w:val="0"/>
                                                                  <w:marTop w:val="0"/>
                                                                  <w:marBottom w:val="0"/>
                                                                  <w:divBdr>
                                                                    <w:top w:val="none" w:sz="0" w:space="0" w:color="auto"/>
                                                                    <w:left w:val="none" w:sz="0" w:space="0" w:color="auto"/>
                                                                    <w:bottom w:val="none" w:sz="0" w:space="0" w:color="auto"/>
                                                                    <w:right w:val="none" w:sz="0" w:space="0" w:color="auto"/>
                                                                  </w:divBdr>
                                                                  <w:divsChild>
                                                                    <w:div w:id="481502908">
                                                                      <w:marLeft w:val="0"/>
                                                                      <w:marRight w:val="0"/>
                                                                      <w:marTop w:val="0"/>
                                                                      <w:marBottom w:val="0"/>
                                                                      <w:divBdr>
                                                                        <w:top w:val="none" w:sz="0" w:space="0" w:color="auto"/>
                                                                        <w:left w:val="none" w:sz="0" w:space="0" w:color="auto"/>
                                                                        <w:bottom w:val="none" w:sz="0" w:space="0" w:color="auto"/>
                                                                        <w:right w:val="none" w:sz="0" w:space="0" w:color="auto"/>
                                                                      </w:divBdr>
                                                                      <w:divsChild>
                                                                        <w:div w:id="88742110">
                                                                          <w:marLeft w:val="0"/>
                                                                          <w:marRight w:val="0"/>
                                                                          <w:marTop w:val="0"/>
                                                                          <w:marBottom w:val="0"/>
                                                                          <w:divBdr>
                                                                            <w:top w:val="none" w:sz="0" w:space="0" w:color="auto"/>
                                                                            <w:left w:val="none" w:sz="0" w:space="0" w:color="auto"/>
                                                                            <w:bottom w:val="none" w:sz="0" w:space="0" w:color="auto"/>
                                                                            <w:right w:val="none" w:sz="0" w:space="0" w:color="auto"/>
                                                                          </w:divBdr>
                                                                          <w:divsChild>
                                                                            <w:div w:id="957680617">
                                                                              <w:marLeft w:val="0"/>
                                                                              <w:marRight w:val="0"/>
                                                                              <w:marTop w:val="0"/>
                                                                              <w:marBottom w:val="0"/>
                                                                              <w:divBdr>
                                                                                <w:top w:val="none" w:sz="0" w:space="0" w:color="auto"/>
                                                                                <w:left w:val="none" w:sz="0" w:space="0" w:color="auto"/>
                                                                                <w:bottom w:val="none" w:sz="0" w:space="0" w:color="auto"/>
                                                                                <w:right w:val="none" w:sz="0" w:space="0" w:color="auto"/>
                                                                              </w:divBdr>
                                                                            </w:div>
                                                                          </w:divsChild>
                                                                        </w:div>
                                                                        <w:div w:id="205409804">
                                                                          <w:marLeft w:val="0"/>
                                                                          <w:marRight w:val="0"/>
                                                                          <w:marTop w:val="0"/>
                                                                          <w:marBottom w:val="0"/>
                                                                          <w:divBdr>
                                                                            <w:top w:val="none" w:sz="0" w:space="0" w:color="auto"/>
                                                                            <w:left w:val="none" w:sz="0" w:space="0" w:color="auto"/>
                                                                            <w:bottom w:val="none" w:sz="0" w:space="0" w:color="auto"/>
                                                                            <w:right w:val="none" w:sz="0" w:space="0" w:color="auto"/>
                                                                          </w:divBdr>
                                                                          <w:divsChild>
                                                                            <w:div w:id="834800294">
                                                                              <w:marLeft w:val="0"/>
                                                                              <w:marRight w:val="0"/>
                                                                              <w:marTop w:val="0"/>
                                                                              <w:marBottom w:val="0"/>
                                                                              <w:divBdr>
                                                                                <w:top w:val="none" w:sz="0" w:space="0" w:color="auto"/>
                                                                                <w:left w:val="none" w:sz="0" w:space="0" w:color="auto"/>
                                                                                <w:bottom w:val="none" w:sz="0" w:space="0" w:color="auto"/>
                                                                                <w:right w:val="none" w:sz="0" w:space="0" w:color="auto"/>
                                                                              </w:divBdr>
                                                                            </w:div>
                                                                          </w:divsChild>
                                                                        </w:div>
                                                                        <w:div w:id="318577063">
                                                                          <w:marLeft w:val="0"/>
                                                                          <w:marRight w:val="0"/>
                                                                          <w:marTop w:val="0"/>
                                                                          <w:marBottom w:val="0"/>
                                                                          <w:divBdr>
                                                                            <w:top w:val="none" w:sz="0" w:space="0" w:color="auto"/>
                                                                            <w:left w:val="none" w:sz="0" w:space="0" w:color="auto"/>
                                                                            <w:bottom w:val="none" w:sz="0" w:space="0" w:color="auto"/>
                                                                            <w:right w:val="none" w:sz="0" w:space="0" w:color="auto"/>
                                                                          </w:divBdr>
                                                                          <w:divsChild>
                                                                            <w:div w:id="1476289520">
                                                                              <w:marLeft w:val="0"/>
                                                                              <w:marRight w:val="0"/>
                                                                              <w:marTop w:val="0"/>
                                                                              <w:marBottom w:val="0"/>
                                                                              <w:divBdr>
                                                                                <w:top w:val="none" w:sz="0" w:space="0" w:color="auto"/>
                                                                                <w:left w:val="none" w:sz="0" w:space="0" w:color="auto"/>
                                                                                <w:bottom w:val="none" w:sz="0" w:space="0" w:color="auto"/>
                                                                                <w:right w:val="none" w:sz="0" w:space="0" w:color="auto"/>
                                                                              </w:divBdr>
                                                                            </w:div>
                                                                          </w:divsChild>
                                                                        </w:div>
                                                                        <w:div w:id="645401705">
                                                                          <w:marLeft w:val="0"/>
                                                                          <w:marRight w:val="0"/>
                                                                          <w:marTop w:val="0"/>
                                                                          <w:marBottom w:val="0"/>
                                                                          <w:divBdr>
                                                                            <w:top w:val="none" w:sz="0" w:space="0" w:color="auto"/>
                                                                            <w:left w:val="none" w:sz="0" w:space="0" w:color="auto"/>
                                                                            <w:bottom w:val="none" w:sz="0" w:space="0" w:color="auto"/>
                                                                            <w:right w:val="none" w:sz="0" w:space="0" w:color="auto"/>
                                                                          </w:divBdr>
                                                                          <w:divsChild>
                                                                            <w:div w:id="1806968135">
                                                                              <w:marLeft w:val="0"/>
                                                                              <w:marRight w:val="0"/>
                                                                              <w:marTop w:val="0"/>
                                                                              <w:marBottom w:val="0"/>
                                                                              <w:divBdr>
                                                                                <w:top w:val="none" w:sz="0" w:space="0" w:color="auto"/>
                                                                                <w:left w:val="none" w:sz="0" w:space="0" w:color="auto"/>
                                                                                <w:bottom w:val="none" w:sz="0" w:space="0" w:color="auto"/>
                                                                                <w:right w:val="none" w:sz="0" w:space="0" w:color="auto"/>
                                                                              </w:divBdr>
                                                                            </w:div>
                                                                          </w:divsChild>
                                                                        </w:div>
                                                                        <w:div w:id="719398857">
                                                                          <w:marLeft w:val="0"/>
                                                                          <w:marRight w:val="0"/>
                                                                          <w:marTop w:val="0"/>
                                                                          <w:marBottom w:val="0"/>
                                                                          <w:divBdr>
                                                                            <w:top w:val="none" w:sz="0" w:space="0" w:color="auto"/>
                                                                            <w:left w:val="none" w:sz="0" w:space="0" w:color="auto"/>
                                                                            <w:bottom w:val="none" w:sz="0" w:space="0" w:color="auto"/>
                                                                            <w:right w:val="none" w:sz="0" w:space="0" w:color="auto"/>
                                                                          </w:divBdr>
                                                                          <w:divsChild>
                                                                            <w:div w:id="1047294975">
                                                                              <w:marLeft w:val="0"/>
                                                                              <w:marRight w:val="0"/>
                                                                              <w:marTop w:val="0"/>
                                                                              <w:marBottom w:val="0"/>
                                                                              <w:divBdr>
                                                                                <w:top w:val="none" w:sz="0" w:space="0" w:color="auto"/>
                                                                                <w:left w:val="none" w:sz="0" w:space="0" w:color="auto"/>
                                                                                <w:bottom w:val="none" w:sz="0" w:space="0" w:color="auto"/>
                                                                                <w:right w:val="none" w:sz="0" w:space="0" w:color="auto"/>
                                                                              </w:divBdr>
                                                                            </w:div>
                                                                          </w:divsChild>
                                                                        </w:div>
                                                                        <w:div w:id="755709096">
                                                                          <w:marLeft w:val="0"/>
                                                                          <w:marRight w:val="0"/>
                                                                          <w:marTop w:val="0"/>
                                                                          <w:marBottom w:val="0"/>
                                                                          <w:divBdr>
                                                                            <w:top w:val="none" w:sz="0" w:space="0" w:color="auto"/>
                                                                            <w:left w:val="none" w:sz="0" w:space="0" w:color="auto"/>
                                                                            <w:bottom w:val="none" w:sz="0" w:space="0" w:color="auto"/>
                                                                            <w:right w:val="none" w:sz="0" w:space="0" w:color="auto"/>
                                                                          </w:divBdr>
                                                                          <w:divsChild>
                                                                            <w:div w:id="1408961144">
                                                                              <w:marLeft w:val="0"/>
                                                                              <w:marRight w:val="0"/>
                                                                              <w:marTop w:val="0"/>
                                                                              <w:marBottom w:val="0"/>
                                                                              <w:divBdr>
                                                                                <w:top w:val="none" w:sz="0" w:space="0" w:color="auto"/>
                                                                                <w:left w:val="none" w:sz="0" w:space="0" w:color="auto"/>
                                                                                <w:bottom w:val="none" w:sz="0" w:space="0" w:color="auto"/>
                                                                                <w:right w:val="none" w:sz="0" w:space="0" w:color="auto"/>
                                                                              </w:divBdr>
                                                                            </w:div>
                                                                          </w:divsChild>
                                                                        </w:div>
                                                                        <w:div w:id="782111127">
                                                                          <w:marLeft w:val="0"/>
                                                                          <w:marRight w:val="0"/>
                                                                          <w:marTop w:val="0"/>
                                                                          <w:marBottom w:val="0"/>
                                                                          <w:divBdr>
                                                                            <w:top w:val="none" w:sz="0" w:space="0" w:color="auto"/>
                                                                            <w:left w:val="none" w:sz="0" w:space="0" w:color="auto"/>
                                                                            <w:bottom w:val="none" w:sz="0" w:space="0" w:color="auto"/>
                                                                            <w:right w:val="none" w:sz="0" w:space="0" w:color="auto"/>
                                                                          </w:divBdr>
                                                                          <w:divsChild>
                                                                            <w:div w:id="496188211">
                                                                              <w:marLeft w:val="0"/>
                                                                              <w:marRight w:val="0"/>
                                                                              <w:marTop w:val="0"/>
                                                                              <w:marBottom w:val="0"/>
                                                                              <w:divBdr>
                                                                                <w:top w:val="none" w:sz="0" w:space="0" w:color="auto"/>
                                                                                <w:left w:val="none" w:sz="0" w:space="0" w:color="auto"/>
                                                                                <w:bottom w:val="none" w:sz="0" w:space="0" w:color="auto"/>
                                                                                <w:right w:val="none" w:sz="0" w:space="0" w:color="auto"/>
                                                                              </w:divBdr>
                                                                            </w:div>
                                                                          </w:divsChild>
                                                                        </w:div>
                                                                        <w:div w:id="1166440685">
                                                                          <w:marLeft w:val="0"/>
                                                                          <w:marRight w:val="0"/>
                                                                          <w:marTop w:val="0"/>
                                                                          <w:marBottom w:val="0"/>
                                                                          <w:divBdr>
                                                                            <w:top w:val="none" w:sz="0" w:space="0" w:color="auto"/>
                                                                            <w:left w:val="none" w:sz="0" w:space="0" w:color="auto"/>
                                                                            <w:bottom w:val="none" w:sz="0" w:space="0" w:color="auto"/>
                                                                            <w:right w:val="none" w:sz="0" w:space="0" w:color="auto"/>
                                                                          </w:divBdr>
                                                                          <w:divsChild>
                                                                            <w:div w:id="413550035">
                                                                              <w:marLeft w:val="0"/>
                                                                              <w:marRight w:val="0"/>
                                                                              <w:marTop w:val="0"/>
                                                                              <w:marBottom w:val="0"/>
                                                                              <w:divBdr>
                                                                                <w:top w:val="none" w:sz="0" w:space="0" w:color="auto"/>
                                                                                <w:left w:val="none" w:sz="0" w:space="0" w:color="auto"/>
                                                                                <w:bottom w:val="none" w:sz="0" w:space="0" w:color="auto"/>
                                                                                <w:right w:val="none" w:sz="0" w:space="0" w:color="auto"/>
                                                                              </w:divBdr>
                                                                            </w:div>
                                                                          </w:divsChild>
                                                                        </w:div>
                                                                        <w:div w:id="1223101102">
                                                                          <w:marLeft w:val="0"/>
                                                                          <w:marRight w:val="0"/>
                                                                          <w:marTop w:val="0"/>
                                                                          <w:marBottom w:val="0"/>
                                                                          <w:divBdr>
                                                                            <w:top w:val="none" w:sz="0" w:space="0" w:color="auto"/>
                                                                            <w:left w:val="none" w:sz="0" w:space="0" w:color="auto"/>
                                                                            <w:bottom w:val="none" w:sz="0" w:space="0" w:color="auto"/>
                                                                            <w:right w:val="none" w:sz="0" w:space="0" w:color="auto"/>
                                                                          </w:divBdr>
                                                                          <w:divsChild>
                                                                            <w:div w:id="928007535">
                                                                              <w:marLeft w:val="0"/>
                                                                              <w:marRight w:val="0"/>
                                                                              <w:marTop w:val="0"/>
                                                                              <w:marBottom w:val="0"/>
                                                                              <w:divBdr>
                                                                                <w:top w:val="none" w:sz="0" w:space="0" w:color="auto"/>
                                                                                <w:left w:val="none" w:sz="0" w:space="0" w:color="auto"/>
                                                                                <w:bottom w:val="none" w:sz="0" w:space="0" w:color="auto"/>
                                                                                <w:right w:val="none" w:sz="0" w:space="0" w:color="auto"/>
                                                                              </w:divBdr>
                                                                            </w:div>
                                                                          </w:divsChild>
                                                                        </w:div>
                                                                        <w:div w:id="1285110997">
                                                                          <w:marLeft w:val="0"/>
                                                                          <w:marRight w:val="0"/>
                                                                          <w:marTop w:val="0"/>
                                                                          <w:marBottom w:val="0"/>
                                                                          <w:divBdr>
                                                                            <w:top w:val="none" w:sz="0" w:space="0" w:color="auto"/>
                                                                            <w:left w:val="none" w:sz="0" w:space="0" w:color="auto"/>
                                                                            <w:bottom w:val="none" w:sz="0" w:space="0" w:color="auto"/>
                                                                            <w:right w:val="none" w:sz="0" w:space="0" w:color="auto"/>
                                                                          </w:divBdr>
                                                                          <w:divsChild>
                                                                            <w:div w:id="948587427">
                                                                              <w:marLeft w:val="0"/>
                                                                              <w:marRight w:val="0"/>
                                                                              <w:marTop w:val="0"/>
                                                                              <w:marBottom w:val="0"/>
                                                                              <w:divBdr>
                                                                                <w:top w:val="none" w:sz="0" w:space="0" w:color="auto"/>
                                                                                <w:left w:val="none" w:sz="0" w:space="0" w:color="auto"/>
                                                                                <w:bottom w:val="none" w:sz="0" w:space="0" w:color="auto"/>
                                                                                <w:right w:val="none" w:sz="0" w:space="0" w:color="auto"/>
                                                                              </w:divBdr>
                                                                            </w:div>
                                                                          </w:divsChild>
                                                                        </w:div>
                                                                        <w:div w:id="1662737316">
                                                                          <w:marLeft w:val="0"/>
                                                                          <w:marRight w:val="0"/>
                                                                          <w:marTop w:val="0"/>
                                                                          <w:marBottom w:val="0"/>
                                                                          <w:divBdr>
                                                                            <w:top w:val="none" w:sz="0" w:space="0" w:color="auto"/>
                                                                            <w:left w:val="none" w:sz="0" w:space="0" w:color="auto"/>
                                                                            <w:bottom w:val="none" w:sz="0" w:space="0" w:color="auto"/>
                                                                            <w:right w:val="none" w:sz="0" w:space="0" w:color="auto"/>
                                                                          </w:divBdr>
                                                                          <w:divsChild>
                                                                            <w:div w:id="1754665547">
                                                                              <w:marLeft w:val="0"/>
                                                                              <w:marRight w:val="0"/>
                                                                              <w:marTop w:val="0"/>
                                                                              <w:marBottom w:val="0"/>
                                                                              <w:divBdr>
                                                                                <w:top w:val="none" w:sz="0" w:space="0" w:color="auto"/>
                                                                                <w:left w:val="none" w:sz="0" w:space="0" w:color="auto"/>
                                                                                <w:bottom w:val="none" w:sz="0" w:space="0" w:color="auto"/>
                                                                                <w:right w:val="none" w:sz="0" w:space="0" w:color="auto"/>
                                                                              </w:divBdr>
                                                                            </w:div>
                                                                          </w:divsChild>
                                                                        </w:div>
                                                                        <w:div w:id="1956331550">
                                                                          <w:marLeft w:val="0"/>
                                                                          <w:marRight w:val="0"/>
                                                                          <w:marTop w:val="0"/>
                                                                          <w:marBottom w:val="0"/>
                                                                          <w:divBdr>
                                                                            <w:top w:val="none" w:sz="0" w:space="0" w:color="auto"/>
                                                                            <w:left w:val="none" w:sz="0" w:space="0" w:color="auto"/>
                                                                            <w:bottom w:val="none" w:sz="0" w:space="0" w:color="auto"/>
                                                                            <w:right w:val="none" w:sz="0" w:space="0" w:color="auto"/>
                                                                          </w:divBdr>
                                                                          <w:divsChild>
                                                                            <w:div w:id="13341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4474">
                                                                      <w:marLeft w:val="0"/>
                                                                      <w:marRight w:val="0"/>
                                                                      <w:marTop w:val="0"/>
                                                                      <w:marBottom w:val="0"/>
                                                                      <w:divBdr>
                                                                        <w:top w:val="none" w:sz="0" w:space="0" w:color="auto"/>
                                                                        <w:left w:val="none" w:sz="0" w:space="0" w:color="auto"/>
                                                                        <w:bottom w:val="none" w:sz="0" w:space="0" w:color="auto"/>
                                                                        <w:right w:val="none" w:sz="0" w:space="0" w:color="auto"/>
                                                                      </w:divBdr>
                                                                      <w:divsChild>
                                                                        <w:div w:id="151411361">
                                                                          <w:marLeft w:val="0"/>
                                                                          <w:marRight w:val="0"/>
                                                                          <w:marTop w:val="0"/>
                                                                          <w:marBottom w:val="0"/>
                                                                          <w:divBdr>
                                                                            <w:top w:val="none" w:sz="0" w:space="0" w:color="auto"/>
                                                                            <w:left w:val="none" w:sz="0" w:space="0" w:color="auto"/>
                                                                            <w:bottom w:val="none" w:sz="0" w:space="0" w:color="auto"/>
                                                                            <w:right w:val="none" w:sz="0" w:space="0" w:color="auto"/>
                                                                          </w:divBdr>
                                                                          <w:divsChild>
                                                                            <w:div w:id="519592239">
                                                                              <w:marLeft w:val="0"/>
                                                                              <w:marRight w:val="0"/>
                                                                              <w:marTop w:val="0"/>
                                                                              <w:marBottom w:val="0"/>
                                                                              <w:divBdr>
                                                                                <w:top w:val="none" w:sz="0" w:space="0" w:color="auto"/>
                                                                                <w:left w:val="none" w:sz="0" w:space="0" w:color="auto"/>
                                                                                <w:bottom w:val="none" w:sz="0" w:space="0" w:color="auto"/>
                                                                                <w:right w:val="none" w:sz="0" w:space="0" w:color="auto"/>
                                                                              </w:divBdr>
                                                                            </w:div>
                                                                          </w:divsChild>
                                                                        </w:div>
                                                                        <w:div w:id="548691927">
                                                                          <w:marLeft w:val="0"/>
                                                                          <w:marRight w:val="0"/>
                                                                          <w:marTop w:val="0"/>
                                                                          <w:marBottom w:val="0"/>
                                                                          <w:divBdr>
                                                                            <w:top w:val="none" w:sz="0" w:space="0" w:color="auto"/>
                                                                            <w:left w:val="none" w:sz="0" w:space="0" w:color="auto"/>
                                                                            <w:bottom w:val="none" w:sz="0" w:space="0" w:color="auto"/>
                                                                            <w:right w:val="none" w:sz="0" w:space="0" w:color="auto"/>
                                                                          </w:divBdr>
                                                                          <w:divsChild>
                                                                            <w:div w:id="598954678">
                                                                              <w:marLeft w:val="0"/>
                                                                              <w:marRight w:val="0"/>
                                                                              <w:marTop w:val="0"/>
                                                                              <w:marBottom w:val="0"/>
                                                                              <w:divBdr>
                                                                                <w:top w:val="none" w:sz="0" w:space="0" w:color="auto"/>
                                                                                <w:left w:val="none" w:sz="0" w:space="0" w:color="auto"/>
                                                                                <w:bottom w:val="none" w:sz="0" w:space="0" w:color="auto"/>
                                                                                <w:right w:val="none" w:sz="0" w:space="0" w:color="auto"/>
                                                                              </w:divBdr>
                                                                            </w:div>
                                                                          </w:divsChild>
                                                                        </w:div>
                                                                        <w:div w:id="664020198">
                                                                          <w:marLeft w:val="0"/>
                                                                          <w:marRight w:val="0"/>
                                                                          <w:marTop w:val="0"/>
                                                                          <w:marBottom w:val="0"/>
                                                                          <w:divBdr>
                                                                            <w:top w:val="none" w:sz="0" w:space="0" w:color="auto"/>
                                                                            <w:left w:val="none" w:sz="0" w:space="0" w:color="auto"/>
                                                                            <w:bottom w:val="none" w:sz="0" w:space="0" w:color="auto"/>
                                                                            <w:right w:val="none" w:sz="0" w:space="0" w:color="auto"/>
                                                                          </w:divBdr>
                                                                          <w:divsChild>
                                                                            <w:div w:id="1892301742">
                                                                              <w:marLeft w:val="0"/>
                                                                              <w:marRight w:val="0"/>
                                                                              <w:marTop w:val="0"/>
                                                                              <w:marBottom w:val="0"/>
                                                                              <w:divBdr>
                                                                                <w:top w:val="none" w:sz="0" w:space="0" w:color="auto"/>
                                                                                <w:left w:val="none" w:sz="0" w:space="0" w:color="auto"/>
                                                                                <w:bottom w:val="none" w:sz="0" w:space="0" w:color="auto"/>
                                                                                <w:right w:val="none" w:sz="0" w:space="0" w:color="auto"/>
                                                                              </w:divBdr>
                                                                            </w:div>
                                                                          </w:divsChild>
                                                                        </w:div>
                                                                        <w:div w:id="667365150">
                                                                          <w:marLeft w:val="0"/>
                                                                          <w:marRight w:val="0"/>
                                                                          <w:marTop w:val="0"/>
                                                                          <w:marBottom w:val="0"/>
                                                                          <w:divBdr>
                                                                            <w:top w:val="none" w:sz="0" w:space="0" w:color="auto"/>
                                                                            <w:left w:val="none" w:sz="0" w:space="0" w:color="auto"/>
                                                                            <w:bottom w:val="none" w:sz="0" w:space="0" w:color="auto"/>
                                                                            <w:right w:val="none" w:sz="0" w:space="0" w:color="auto"/>
                                                                          </w:divBdr>
                                                                          <w:divsChild>
                                                                            <w:div w:id="2106919190">
                                                                              <w:marLeft w:val="0"/>
                                                                              <w:marRight w:val="0"/>
                                                                              <w:marTop w:val="0"/>
                                                                              <w:marBottom w:val="0"/>
                                                                              <w:divBdr>
                                                                                <w:top w:val="none" w:sz="0" w:space="0" w:color="auto"/>
                                                                                <w:left w:val="none" w:sz="0" w:space="0" w:color="auto"/>
                                                                                <w:bottom w:val="none" w:sz="0" w:space="0" w:color="auto"/>
                                                                                <w:right w:val="none" w:sz="0" w:space="0" w:color="auto"/>
                                                                              </w:divBdr>
                                                                            </w:div>
                                                                          </w:divsChild>
                                                                        </w:div>
                                                                        <w:div w:id="718437338">
                                                                          <w:marLeft w:val="0"/>
                                                                          <w:marRight w:val="0"/>
                                                                          <w:marTop w:val="0"/>
                                                                          <w:marBottom w:val="0"/>
                                                                          <w:divBdr>
                                                                            <w:top w:val="none" w:sz="0" w:space="0" w:color="auto"/>
                                                                            <w:left w:val="none" w:sz="0" w:space="0" w:color="auto"/>
                                                                            <w:bottom w:val="none" w:sz="0" w:space="0" w:color="auto"/>
                                                                            <w:right w:val="none" w:sz="0" w:space="0" w:color="auto"/>
                                                                          </w:divBdr>
                                                                          <w:divsChild>
                                                                            <w:div w:id="991910436">
                                                                              <w:marLeft w:val="0"/>
                                                                              <w:marRight w:val="0"/>
                                                                              <w:marTop w:val="0"/>
                                                                              <w:marBottom w:val="0"/>
                                                                              <w:divBdr>
                                                                                <w:top w:val="none" w:sz="0" w:space="0" w:color="auto"/>
                                                                                <w:left w:val="none" w:sz="0" w:space="0" w:color="auto"/>
                                                                                <w:bottom w:val="none" w:sz="0" w:space="0" w:color="auto"/>
                                                                                <w:right w:val="none" w:sz="0" w:space="0" w:color="auto"/>
                                                                              </w:divBdr>
                                                                            </w:div>
                                                                          </w:divsChild>
                                                                        </w:div>
                                                                        <w:div w:id="754788037">
                                                                          <w:marLeft w:val="0"/>
                                                                          <w:marRight w:val="0"/>
                                                                          <w:marTop w:val="0"/>
                                                                          <w:marBottom w:val="0"/>
                                                                          <w:divBdr>
                                                                            <w:top w:val="none" w:sz="0" w:space="0" w:color="auto"/>
                                                                            <w:left w:val="none" w:sz="0" w:space="0" w:color="auto"/>
                                                                            <w:bottom w:val="none" w:sz="0" w:space="0" w:color="auto"/>
                                                                            <w:right w:val="none" w:sz="0" w:space="0" w:color="auto"/>
                                                                          </w:divBdr>
                                                                          <w:divsChild>
                                                                            <w:div w:id="1350060682">
                                                                              <w:marLeft w:val="0"/>
                                                                              <w:marRight w:val="0"/>
                                                                              <w:marTop w:val="0"/>
                                                                              <w:marBottom w:val="0"/>
                                                                              <w:divBdr>
                                                                                <w:top w:val="none" w:sz="0" w:space="0" w:color="auto"/>
                                                                                <w:left w:val="none" w:sz="0" w:space="0" w:color="auto"/>
                                                                                <w:bottom w:val="none" w:sz="0" w:space="0" w:color="auto"/>
                                                                                <w:right w:val="none" w:sz="0" w:space="0" w:color="auto"/>
                                                                              </w:divBdr>
                                                                            </w:div>
                                                                          </w:divsChild>
                                                                        </w:div>
                                                                        <w:div w:id="931401478">
                                                                          <w:marLeft w:val="0"/>
                                                                          <w:marRight w:val="0"/>
                                                                          <w:marTop w:val="0"/>
                                                                          <w:marBottom w:val="0"/>
                                                                          <w:divBdr>
                                                                            <w:top w:val="none" w:sz="0" w:space="0" w:color="auto"/>
                                                                            <w:left w:val="none" w:sz="0" w:space="0" w:color="auto"/>
                                                                            <w:bottom w:val="none" w:sz="0" w:space="0" w:color="auto"/>
                                                                            <w:right w:val="none" w:sz="0" w:space="0" w:color="auto"/>
                                                                          </w:divBdr>
                                                                          <w:divsChild>
                                                                            <w:div w:id="1615671698">
                                                                              <w:marLeft w:val="0"/>
                                                                              <w:marRight w:val="0"/>
                                                                              <w:marTop w:val="0"/>
                                                                              <w:marBottom w:val="0"/>
                                                                              <w:divBdr>
                                                                                <w:top w:val="none" w:sz="0" w:space="0" w:color="auto"/>
                                                                                <w:left w:val="none" w:sz="0" w:space="0" w:color="auto"/>
                                                                                <w:bottom w:val="none" w:sz="0" w:space="0" w:color="auto"/>
                                                                                <w:right w:val="none" w:sz="0" w:space="0" w:color="auto"/>
                                                                              </w:divBdr>
                                                                            </w:div>
                                                                          </w:divsChild>
                                                                        </w:div>
                                                                        <w:div w:id="1004357699">
                                                                          <w:marLeft w:val="0"/>
                                                                          <w:marRight w:val="0"/>
                                                                          <w:marTop w:val="0"/>
                                                                          <w:marBottom w:val="0"/>
                                                                          <w:divBdr>
                                                                            <w:top w:val="none" w:sz="0" w:space="0" w:color="auto"/>
                                                                            <w:left w:val="none" w:sz="0" w:space="0" w:color="auto"/>
                                                                            <w:bottom w:val="none" w:sz="0" w:space="0" w:color="auto"/>
                                                                            <w:right w:val="none" w:sz="0" w:space="0" w:color="auto"/>
                                                                          </w:divBdr>
                                                                          <w:divsChild>
                                                                            <w:div w:id="2017924589">
                                                                              <w:marLeft w:val="0"/>
                                                                              <w:marRight w:val="0"/>
                                                                              <w:marTop w:val="0"/>
                                                                              <w:marBottom w:val="0"/>
                                                                              <w:divBdr>
                                                                                <w:top w:val="none" w:sz="0" w:space="0" w:color="auto"/>
                                                                                <w:left w:val="none" w:sz="0" w:space="0" w:color="auto"/>
                                                                                <w:bottom w:val="none" w:sz="0" w:space="0" w:color="auto"/>
                                                                                <w:right w:val="none" w:sz="0" w:space="0" w:color="auto"/>
                                                                              </w:divBdr>
                                                                            </w:div>
                                                                          </w:divsChild>
                                                                        </w:div>
                                                                        <w:div w:id="1022777796">
                                                                          <w:marLeft w:val="0"/>
                                                                          <w:marRight w:val="0"/>
                                                                          <w:marTop w:val="0"/>
                                                                          <w:marBottom w:val="0"/>
                                                                          <w:divBdr>
                                                                            <w:top w:val="none" w:sz="0" w:space="0" w:color="auto"/>
                                                                            <w:left w:val="none" w:sz="0" w:space="0" w:color="auto"/>
                                                                            <w:bottom w:val="none" w:sz="0" w:space="0" w:color="auto"/>
                                                                            <w:right w:val="none" w:sz="0" w:space="0" w:color="auto"/>
                                                                          </w:divBdr>
                                                                          <w:divsChild>
                                                                            <w:div w:id="834614838">
                                                                              <w:marLeft w:val="0"/>
                                                                              <w:marRight w:val="0"/>
                                                                              <w:marTop w:val="0"/>
                                                                              <w:marBottom w:val="0"/>
                                                                              <w:divBdr>
                                                                                <w:top w:val="none" w:sz="0" w:space="0" w:color="auto"/>
                                                                                <w:left w:val="none" w:sz="0" w:space="0" w:color="auto"/>
                                                                                <w:bottom w:val="none" w:sz="0" w:space="0" w:color="auto"/>
                                                                                <w:right w:val="none" w:sz="0" w:space="0" w:color="auto"/>
                                                                              </w:divBdr>
                                                                            </w:div>
                                                                          </w:divsChild>
                                                                        </w:div>
                                                                        <w:div w:id="1075323752">
                                                                          <w:marLeft w:val="0"/>
                                                                          <w:marRight w:val="0"/>
                                                                          <w:marTop w:val="0"/>
                                                                          <w:marBottom w:val="0"/>
                                                                          <w:divBdr>
                                                                            <w:top w:val="none" w:sz="0" w:space="0" w:color="auto"/>
                                                                            <w:left w:val="none" w:sz="0" w:space="0" w:color="auto"/>
                                                                            <w:bottom w:val="none" w:sz="0" w:space="0" w:color="auto"/>
                                                                            <w:right w:val="none" w:sz="0" w:space="0" w:color="auto"/>
                                                                          </w:divBdr>
                                                                          <w:divsChild>
                                                                            <w:div w:id="146629977">
                                                                              <w:marLeft w:val="0"/>
                                                                              <w:marRight w:val="0"/>
                                                                              <w:marTop w:val="0"/>
                                                                              <w:marBottom w:val="0"/>
                                                                              <w:divBdr>
                                                                                <w:top w:val="none" w:sz="0" w:space="0" w:color="auto"/>
                                                                                <w:left w:val="none" w:sz="0" w:space="0" w:color="auto"/>
                                                                                <w:bottom w:val="none" w:sz="0" w:space="0" w:color="auto"/>
                                                                                <w:right w:val="none" w:sz="0" w:space="0" w:color="auto"/>
                                                                              </w:divBdr>
                                                                            </w:div>
                                                                          </w:divsChild>
                                                                        </w:div>
                                                                        <w:div w:id="1326057568">
                                                                          <w:marLeft w:val="0"/>
                                                                          <w:marRight w:val="0"/>
                                                                          <w:marTop w:val="0"/>
                                                                          <w:marBottom w:val="0"/>
                                                                          <w:divBdr>
                                                                            <w:top w:val="none" w:sz="0" w:space="0" w:color="auto"/>
                                                                            <w:left w:val="none" w:sz="0" w:space="0" w:color="auto"/>
                                                                            <w:bottom w:val="none" w:sz="0" w:space="0" w:color="auto"/>
                                                                            <w:right w:val="none" w:sz="0" w:space="0" w:color="auto"/>
                                                                          </w:divBdr>
                                                                          <w:divsChild>
                                                                            <w:div w:id="1197546820">
                                                                              <w:marLeft w:val="0"/>
                                                                              <w:marRight w:val="0"/>
                                                                              <w:marTop w:val="0"/>
                                                                              <w:marBottom w:val="0"/>
                                                                              <w:divBdr>
                                                                                <w:top w:val="none" w:sz="0" w:space="0" w:color="auto"/>
                                                                                <w:left w:val="none" w:sz="0" w:space="0" w:color="auto"/>
                                                                                <w:bottom w:val="none" w:sz="0" w:space="0" w:color="auto"/>
                                                                                <w:right w:val="none" w:sz="0" w:space="0" w:color="auto"/>
                                                                              </w:divBdr>
                                                                            </w:div>
                                                                          </w:divsChild>
                                                                        </w:div>
                                                                        <w:div w:id="1674214911">
                                                                          <w:marLeft w:val="0"/>
                                                                          <w:marRight w:val="0"/>
                                                                          <w:marTop w:val="0"/>
                                                                          <w:marBottom w:val="0"/>
                                                                          <w:divBdr>
                                                                            <w:top w:val="none" w:sz="0" w:space="0" w:color="auto"/>
                                                                            <w:left w:val="none" w:sz="0" w:space="0" w:color="auto"/>
                                                                            <w:bottom w:val="none" w:sz="0" w:space="0" w:color="auto"/>
                                                                            <w:right w:val="none" w:sz="0" w:space="0" w:color="auto"/>
                                                                          </w:divBdr>
                                                                          <w:divsChild>
                                                                            <w:div w:id="1612783547">
                                                                              <w:marLeft w:val="0"/>
                                                                              <w:marRight w:val="0"/>
                                                                              <w:marTop w:val="0"/>
                                                                              <w:marBottom w:val="0"/>
                                                                              <w:divBdr>
                                                                                <w:top w:val="none" w:sz="0" w:space="0" w:color="auto"/>
                                                                                <w:left w:val="none" w:sz="0" w:space="0" w:color="auto"/>
                                                                                <w:bottom w:val="none" w:sz="0" w:space="0" w:color="auto"/>
                                                                                <w:right w:val="none" w:sz="0" w:space="0" w:color="auto"/>
                                                                              </w:divBdr>
                                                                            </w:div>
                                                                          </w:divsChild>
                                                                        </w:div>
                                                                        <w:div w:id="1808359138">
                                                                          <w:marLeft w:val="0"/>
                                                                          <w:marRight w:val="0"/>
                                                                          <w:marTop w:val="0"/>
                                                                          <w:marBottom w:val="0"/>
                                                                          <w:divBdr>
                                                                            <w:top w:val="none" w:sz="0" w:space="0" w:color="auto"/>
                                                                            <w:left w:val="none" w:sz="0" w:space="0" w:color="auto"/>
                                                                            <w:bottom w:val="none" w:sz="0" w:space="0" w:color="auto"/>
                                                                            <w:right w:val="none" w:sz="0" w:space="0" w:color="auto"/>
                                                                          </w:divBdr>
                                                                          <w:divsChild>
                                                                            <w:div w:id="1581524474">
                                                                              <w:marLeft w:val="0"/>
                                                                              <w:marRight w:val="0"/>
                                                                              <w:marTop w:val="0"/>
                                                                              <w:marBottom w:val="0"/>
                                                                              <w:divBdr>
                                                                                <w:top w:val="none" w:sz="0" w:space="0" w:color="auto"/>
                                                                                <w:left w:val="none" w:sz="0" w:space="0" w:color="auto"/>
                                                                                <w:bottom w:val="none" w:sz="0" w:space="0" w:color="auto"/>
                                                                                <w:right w:val="none" w:sz="0" w:space="0" w:color="auto"/>
                                                                              </w:divBdr>
                                                                            </w:div>
                                                                          </w:divsChild>
                                                                        </w:div>
                                                                        <w:div w:id="1841308625">
                                                                          <w:marLeft w:val="0"/>
                                                                          <w:marRight w:val="0"/>
                                                                          <w:marTop w:val="0"/>
                                                                          <w:marBottom w:val="0"/>
                                                                          <w:divBdr>
                                                                            <w:top w:val="none" w:sz="0" w:space="0" w:color="auto"/>
                                                                            <w:left w:val="none" w:sz="0" w:space="0" w:color="auto"/>
                                                                            <w:bottom w:val="none" w:sz="0" w:space="0" w:color="auto"/>
                                                                            <w:right w:val="none" w:sz="0" w:space="0" w:color="auto"/>
                                                                          </w:divBdr>
                                                                          <w:divsChild>
                                                                            <w:div w:id="301735177">
                                                                              <w:marLeft w:val="0"/>
                                                                              <w:marRight w:val="0"/>
                                                                              <w:marTop w:val="0"/>
                                                                              <w:marBottom w:val="0"/>
                                                                              <w:divBdr>
                                                                                <w:top w:val="none" w:sz="0" w:space="0" w:color="auto"/>
                                                                                <w:left w:val="none" w:sz="0" w:space="0" w:color="auto"/>
                                                                                <w:bottom w:val="none" w:sz="0" w:space="0" w:color="auto"/>
                                                                                <w:right w:val="none" w:sz="0" w:space="0" w:color="auto"/>
                                                                              </w:divBdr>
                                                                            </w:div>
                                                                          </w:divsChild>
                                                                        </w:div>
                                                                        <w:div w:id="2045012316">
                                                                          <w:marLeft w:val="0"/>
                                                                          <w:marRight w:val="0"/>
                                                                          <w:marTop w:val="0"/>
                                                                          <w:marBottom w:val="0"/>
                                                                          <w:divBdr>
                                                                            <w:top w:val="none" w:sz="0" w:space="0" w:color="auto"/>
                                                                            <w:left w:val="none" w:sz="0" w:space="0" w:color="auto"/>
                                                                            <w:bottom w:val="none" w:sz="0" w:space="0" w:color="auto"/>
                                                                            <w:right w:val="none" w:sz="0" w:space="0" w:color="auto"/>
                                                                          </w:divBdr>
                                                                          <w:divsChild>
                                                                            <w:div w:id="16827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9577">
                                                                      <w:marLeft w:val="0"/>
                                                                      <w:marRight w:val="0"/>
                                                                      <w:marTop w:val="0"/>
                                                                      <w:marBottom w:val="0"/>
                                                                      <w:divBdr>
                                                                        <w:top w:val="none" w:sz="0" w:space="0" w:color="auto"/>
                                                                        <w:left w:val="none" w:sz="0" w:space="0" w:color="auto"/>
                                                                        <w:bottom w:val="none" w:sz="0" w:space="0" w:color="auto"/>
                                                                        <w:right w:val="none" w:sz="0" w:space="0" w:color="auto"/>
                                                                      </w:divBdr>
                                                                      <w:divsChild>
                                                                        <w:div w:id="2102332355">
                                                                          <w:marLeft w:val="0"/>
                                                                          <w:marRight w:val="0"/>
                                                                          <w:marTop w:val="0"/>
                                                                          <w:marBottom w:val="0"/>
                                                                          <w:divBdr>
                                                                            <w:top w:val="none" w:sz="0" w:space="0" w:color="auto"/>
                                                                            <w:left w:val="none" w:sz="0" w:space="0" w:color="auto"/>
                                                                            <w:bottom w:val="none" w:sz="0" w:space="0" w:color="auto"/>
                                                                            <w:right w:val="none" w:sz="0" w:space="0" w:color="auto"/>
                                                                          </w:divBdr>
                                                                        </w:div>
                                                                      </w:divsChild>
                                                                    </w:div>
                                                                    <w:div w:id="1167865140">
                                                                      <w:marLeft w:val="0"/>
                                                                      <w:marRight w:val="0"/>
                                                                      <w:marTop w:val="0"/>
                                                                      <w:marBottom w:val="0"/>
                                                                      <w:divBdr>
                                                                        <w:top w:val="none" w:sz="0" w:space="0" w:color="auto"/>
                                                                        <w:left w:val="none" w:sz="0" w:space="0" w:color="auto"/>
                                                                        <w:bottom w:val="none" w:sz="0" w:space="0" w:color="auto"/>
                                                                        <w:right w:val="none" w:sz="0" w:space="0" w:color="auto"/>
                                                                      </w:divBdr>
                                                                      <w:divsChild>
                                                                        <w:div w:id="1272863679">
                                                                          <w:marLeft w:val="0"/>
                                                                          <w:marRight w:val="0"/>
                                                                          <w:marTop w:val="0"/>
                                                                          <w:marBottom w:val="0"/>
                                                                          <w:divBdr>
                                                                            <w:top w:val="none" w:sz="0" w:space="0" w:color="auto"/>
                                                                            <w:left w:val="none" w:sz="0" w:space="0" w:color="auto"/>
                                                                            <w:bottom w:val="none" w:sz="0" w:space="0" w:color="auto"/>
                                                                            <w:right w:val="none" w:sz="0" w:space="0" w:color="auto"/>
                                                                          </w:divBdr>
                                                                        </w:div>
                                                                      </w:divsChild>
                                                                    </w:div>
                                                                    <w:div w:id="1771973267">
                                                                      <w:marLeft w:val="0"/>
                                                                      <w:marRight w:val="0"/>
                                                                      <w:marTop w:val="0"/>
                                                                      <w:marBottom w:val="0"/>
                                                                      <w:divBdr>
                                                                        <w:top w:val="none" w:sz="0" w:space="0" w:color="auto"/>
                                                                        <w:left w:val="none" w:sz="0" w:space="0" w:color="auto"/>
                                                                        <w:bottom w:val="none" w:sz="0" w:space="0" w:color="auto"/>
                                                                        <w:right w:val="none" w:sz="0" w:space="0" w:color="auto"/>
                                                                      </w:divBdr>
                                                                      <w:divsChild>
                                                                        <w:div w:id="342516088">
                                                                          <w:marLeft w:val="0"/>
                                                                          <w:marRight w:val="0"/>
                                                                          <w:marTop w:val="0"/>
                                                                          <w:marBottom w:val="0"/>
                                                                          <w:divBdr>
                                                                            <w:top w:val="none" w:sz="0" w:space="0" w:color="auto"/>
                                                                            <w:left w:val="none" w:sz="0" w:space="0" w:color="auto"/>
                                                                            <w:bottom w:val="none" w:sz="0" w:space="0" w:color="auto"/>
                                                                            <w:right w:val="none" w:sz="0" w:space="0" w:color="auto"/>
                                                                          </w:divBdr>
                                                                        </w:div>
                                                                      </w:divsChild>
                                                                    </w:div>
                                                                    <w:div w:id="1799101605">
                                                                      <w:marLeft w:val="0"/>
                                                                      <w:marRight w:val="0"/>
                                                                      <w:marTop w:val="0"/>
                                                                      <w:marBottom w:val="0"/>
                                                                      <w:divBdr>
                                                                        <w:top w:val="none" w:sz="0" w:space="0" w:color="auto"/>
                                                                        <w:left w:val="none" w:sz="0" w:space="0" w:color="auto"/>
                                                                        <w:bottom w:val="none" w:sz="0" w:space="0" w:color="auto"/>
                                                                        <w:right w:val="none" w:sz="0" w:space="0" w:color="auto"/>
                                                                      </w:divBdr>
                                                                      <w:divsChild>
                                                                        <w:div w:id="213931450">
                                                                          <w:marLeft w:val="0"/>
                                                                          <w:marRight w:val="0"/>
                                                                          <w:marTop w:val="0"/>
                                                                          <w:marBottom w:val="0"/>
                                                                          <w:divBdr>
                                                                            <w:top w:val="none" w:sz="0" w:space="0" w:color="auto"/>
                                                                            <w:left w:val="none" w:sz="0" w:space="0" w:color="auto"/>
                                                                            <w:bottom w:val="none" w:sz="0" w:space="0" w:color="auto"/>
                                                                            <w:right w:val="none" w:sz="0" w:space="0" w:color="auto"/>
                                                                          </w:divBdr>
                                                                        </w:div>
                                                                      </w:divsChild>
                                                                    </w:div>
                                                                    <w:div w:id="1988439143">
                                                                      <w:marLeft w:val="0"/>
                                                                      <w:marRight w:val="0"/>
                                                                      <w:marTop w:val="0"/>
                                                                      <w:marBottom w:val="0"/>
                                                                      <w:divBdr>
                                                                        <w:top w:val="none" w:sz="0" w:space="0" w:color="auto"/>
                                                                        <w:left w:val="none" w:sz="0" w:space="0" w:color="auto"/>
                                                                        <w:bottom w:val="none" w:sz="0" w:space="0" w:color="auto"/>
                                                                        <w:right w:val="none" w:sz="0" w:space="0" w:color="auto"/>
                                                                      </w:divBdr>
                                                                      <w:divsChild>
                                                                        <w:div w:id="1613971056">
                                                                          <w:marLeft w:val="0"/>
                                                                          <w:marRight w:val="0"/>
                                                                          <w:marTop w:val="0"/>
                                                                          <w:marBottom w:val="0"/>
                                                                          <w:divBdr>
                                                                            <w:top w:val="none" w:sz="0" w:space="0" w:color="auto"/>
                                                                            <w:left w:val="none" w:sz="0" w:space="0" w:color="auto"/>
                                                                            <w:bottom w:val="none" w:sz="0" w:space="0" w:color="auto"/>
                                                                            <w:right w:val="none" w:sz="0" w:space="0" w:color="auto"/>
                                                                          </w:divBdr>
                                                                        </w:div>
                                                                      </w:divsChild>
                                                                    </w:div>
                                                                    <w:div w:id="2129621755">
                                                                      <w:marLeft w:val="0"/>
                                                                      <w:marRight w:val="0"/>
                                                                      <w:marTop w:val="0"/>
                                                                      <w:marBottom w:val="0"/>
                                                                      <w:divBdr>
                                                                        <w:top w:val="none" w:sz="0" w:space="0" w:color="auto"/>
                                                                        <w:left w:val="none" w:sz="0" w:space="0" w:color="auto"/>
                                                                        <w:bottom w:val="none" w:sz="0" w:space="0" w:color="auto"/>
                                                                        <w:right w:val="none" w:sz="0" w:space="0" w:color="auto"/>
                                                                      </w:divBdr>
                                                                      <w:divsChild>
                                                                        <w:div w:id="12358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8846482">
      <w:bodyDiv w:val="1"/>
      <w:marLeft w:val="0"/>
      <w:marRight w:val="0"/>
      <w:marTop w:val="0"/>
      <w:marBottom w:val="0"/>
      <w:divBdr>
        <w:top w:val="none" w:sz="0" w:space="0" w:color="auto"/>
        <w:left w:val="none" w:sz="0" w:space="0" w:color="auto"/>
        <w:bottom w:val="none" w:sz="0" w:space="0" w:color="auto"/>
        <w:right w:val="none" w:sz="0" w:space="0" w:color="auto"/>
      </w:divBdr>
      <w:divsChild>
        <w:div w:id="2071729873">
          <w:marLeft w:val="0"/>
          <w:marRight w:val="0"/>
          <w:marTop w:val="0"/>
          <w:marBottom w:val="0"/>
          <w:divBdr>
            <w:top w:val="none" w:sz="0" w:space="0" w:color="auto"/>
            <w:left w:val="none" w:sz="0" w:space="0" w:color="auto"/>
            <w:bottom w:val="none" w:sz="0" w:space="0" w:color="auto"/>
            <w:right w:val="none" w:sz="0" w:space="0" w:color="auto"/>
          </w:divBdr>
          <w:divsChild>
            <w:div w:id="1719474578">
              <w:marLeft w:val="0"/>
              <w:marRight w:val="0"/>
              <w:marTop w:val="0"/>
              <w:marBottom w:val="0"/>
              <w:divBdr>
                <w:top w:val="none" w:sz="0" w:space="0" w:color="auto"/>
                <w:left w:val="none" w:sz="0" w:space="0" w:color="auto"/>
                <w:bottom w:val="none" w:sz="0" w:space="0" w:color="auto"/>
                <w:right w:val="none" w:sz="0" w:space="0" w:color="auto"/>
              </w:divBdr>
              <w:divsChild>
                <w:div w:id="523984298">
                  <w:marLeft w:val="0"/>
                  <w:marRight w:val="0"/>
                  <w:marTop w:val="0"/>
                  <w:marBottom w:val="0"/>
                  <w:divBdr>
                    <w:top w:val="none" w:sz="0" w:space="0" w:color="auto"/>
                    <w:left w:val="none" w:sz="0" w:space="0" w:color="auto"/>
                    <w:bottom w:val="none" w:sz="0" w:space="0" w:color="auto"/>
                    <w:right w:val="none" w:sz="0" w:space="0" w:color="auto"/>
                  </w:divBdr>
                  <w:divsChild>
                    <w:div w:id="1630938913">
                      <w:marLeft w:val="0"/>
                      <w:marRight w:val="0"/>
                      <w:marTop w:val="0"/>
                      <w:marBottom w:val="300"/>
                      <w:divBdr>
                        <w:top w:val="none" w:sz="0" w:space="0" w:color="auto"/>
                        <w:left w:val="none" w:sz="0" w:space="0" w:color="auto"/>
                        <w:bottom w:val="none" w:sz="0" w:space="0" w:color="auto"/>
                        <w:right w:val="none" w:sz="0" w:space="0" w:color="auto"/>
                      </w:divBdr>
                      <w:divsChild>
                        <w:div w:id="15848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012015">
      <w:bodyDiv w:val="1"/>
      <w:marLeft w:val="0"/>
      <w:marRight w:val="0"/>
      <w:marTop w:val="0"/>
      <w:marBottom w:val="0"/>
      <w:divBdr>
        <w:top w:val="none" w:sz="0" w:space="0" w:color="auto"/>
        <w:left w:val="none" w:sz="0" w:space="0" w:color="auto"/>
        <w:bottom w:val="none" w:sz="0" w:space="0" w:color="auto"/>
        <w:right w:val="none" w:sz="0" w:space="0" w:color="auto"/>
      </w:divBdr>
      <w:divsChild>
        <w:div w:id="1397826735">
          <w:marLeft w:val="0"/>
          <w:marRight w:val="0"/>
          <w:marTop w:val="0"/>
          <w:marBottom w:val="0"/>
          <w:divBdr>
            <w:top w:val="none" w:sz="0" w:space="0" w:color="auto"/>
            <w:left w:val="none" w:sz="0" w:space="0" w:color="auto"/>
            <w:bottom w:val="none" w:sz="0" w:space="0" w:color="auto"/>
            <w:right w:val="none" w:sz="0" w:space="0" w:color="auto"/>
          </w:divBdr>
          <w:divsChild>
            <w:div w:id="867908457">
              <w:marLeft w:val="0"/>
              <w:marRight w:val="0"/>
              <w:marTop w:val="0"/>
              <w:marBottom w:val="0"/>
              <w:divBdr>
                <w:top w:val="none" w:sz="0" w:space="0" w:color="auto"/>
                <w:left w:val="none" w:sz="0" w:space="0" w:color="auto"/>
                <w:bottom w:val="none" w:sz="0" w:space="0" w:color="auto"/>
                <w:right w:val="none" w:sz="0" w:space="0" w:color="auto"/>
              </w:divBdr>
              <w:divsChild>
                <w:div w:id="208567776">
                  <w:marLeft w:val="0"/>
                  <w:marRight w:val="0"/>
                  <w:marTop w:val="0"/>
                  <w:marBottom w:val="0"/>
                  <w:divBdr>
                    <w:top w:val="none" w:sz="0" w:space="0" w:color="auto"/>
                    <w:left w:val="none" w:sz="0" w:space="0" w:color="auto"/>
                    <w:bottom w:val="none" w:sz="0" w:space="0" w:color="auto"/>
                    <w:right w:val="none" w:sz="0" w:space="0" w:color="auto"/>
                  </w:divBdr>
                  <w:divsChild>
                    <w:div w:id="1760053166">
                      <w:marLeft w:val="0"/>
                      <w:marRight w:val="0"/>
                      <w:marTop w:val="0"/>
                      <w:marBottom w:val="375"/>
                      <w:divBdr>
                        <w:top w:val="none" w:sz="0" w:space="0" w:color="auto"/>
                        <w:left w:val="none" w:sz="0" w:space="0" w:color="auto"/>
                        <w:bottom w:val="none" w:sz="0" w:space="0" w:color="auto"/>
                        <w:right w:val="none" w:sz="0" w:space="0" w:color="auto"/>
                      </w:divBdr>
                      <w:divsChild>
                        <w:div w:id="458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586439">
      <w:bodyDiv w:val="1"/>
      <w:marLeft w:val="0"/>
      <w:marRight w:val="0"/>
      <w:marTop w:val="0"/>
      <w:marBottom w:val="0"/>
      <w:divBdr>
        <w:top w:val="none" w:sz="0" w:space="0" w:color="auto"/>
        <w:left w:val="none" w:sz="0" w:space="0" w:color="auto"/>
        <w:bottom w:val="none" w:sz="0" w:space="0" w:color="auto"/>
        <w:right w:val="none" w:sz="0" w:space="0" w:color="auto"/>
      </w:divBdr>
      <w:divsChild>
        <w:div w:id="693730315">
          <w:marLeft w:val="0"/>
          <w:marRight w:val="0"/>
          <w:marTop w:val="0"/>
          <w:marBottom w:val="0"/>
          <w:divBdr>
            <w:top w:val="none" w:sz="0" w:space="0" w:color="auto"/>
            <w:left w:val="none" w:sz="0" w:space="0" w:color="auto"/>
            <w:bottom w:val="none" w:sz="0" w:space="0" w:color="auto"/>
            <w:right w:val="none" w:sz="0" w:space="0" w:color="auto"/>
          </w:divBdr>
          <w:divsChild>
            <w:div w:id="1568762451">
              <w:marLeft w:val="0"/>
              <w:marRight w:val="0"/>
              <w:marTop w:val="0"/>
              <w:marBottom w:val="0"/>
              <w:divBdr>
                <w:top w:val="none" w:sz="0" w:space="0" w:color="auto"/>
                <w:left w:val="none" w:sz="0" w:space="0" w:color="auto"/>
                <w:bottom w:val="none" w:sz="0" w:space="0" w:color="auto"/>
                <w:right w:val="none" w:sz="0" w:space="0" w:color="auto"/>
              </w:divBdr>
              <w:divsChild>
                <w:div w:id="781997211">
                  <w:marLeft w:val="0"/>
                  <w:marRight w:val="0"/>
                  <w:marTop w:val="0"/>
                  <w:marBottom w:val="0"/>
                  <w:divBdr>
                    <w:top w:val="none" w:sz="0" w:space="0" w:color="auto"/>
                    <w:left w:val="none" w:sz="0" w:space="0" w:color="auto"/>
                    <w:bottom w:val="none" w:sz="0" w:space="0" w:color="auto"/>
                    <w:right w:val="none" w:sz="0" w:space="0" w:color="auto"/>
                  </w:divBdr>
                  <w:divsChild>
                    <w:div w:id="595330576">
                      <w:marLeft w:val="0"/>
                      <w:marRight w:val="0"/>
                      <w:marTop w:val="0"/>
                      <w:marBottom w:val="375"/>
                      <w:divBdr>
                        <w:top w:val="none" w:sz="0" w:space="0" w:color="auto"/>
                        <w:left w:val="none" w:sz="0" w:space="0" w:color="auto"/>
                        <w:bottom w:val="none" w:sz="0" w:space="0" w:color="auto"/>
                        <w:right w:val="none" w:sz="0" w:space="0" w:color="auto"/>
                      </w:divBdr>
                      <w:divsChild>
                        <w:div w:id="12212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01134">
      <w:bodyDiv w:val="1"/>
      <w:marLeft w:val="0"/>
      <w:marRight w:val="0"/>
      <w:marTop w:val="0"/>
      <w:marBottom w:val="0"/>
      <w:divBdr>
        <w:top w:val="none" w:sz="0" w:space="0" w:color="auto"/>
        <w:left w:val="none" w:sz="0" w:space="0" w:color="auto"/>
        <w:bottom w:val="none" w:sz="0" w:space="0" w:color="auto"/>
        <w:right w:val="none" w:sz="0" w:space="0" w:color="auto"/>
      </w:divBdr>
      <w:divsChild>
        <w:div w:id="1603343898">
          <w:marLeft w:val="0"/>
          <w:marRight w:val="0"/>
          <w:marTop w:val="0"/>
          <w:marBottom w:val="0"/>
          <w:divBdr>
            <w:top w:val="none" w:sz="0" w:space="0" w:color="auto"/>
            <w:left w:val="none" w:sz="0" w:space="0" w:color="auto"/>
            <w:bottom w:val="none" w:sz="0" w:space="0" w:color="auto"/>
            <w:right w:val="none" w:sz="0" w:space="0" w:color="auto"/>
          </w:divBdr>
          <w:divsChild>
            <w:div w:id="691303231">
              <w:marLeft w:val="0"/>
              <w:marRight w:val="0"/>
              <w:marTop w:val="0"/>
              <w:marBottom w:val="0"/>
              <w:divBdr>
                <w:top w:val="none" w:sz="0" w:space="0" w:color="auto"/>
                <w:left w:val="none" w:sz="0" w:space="0" w:color="auto"/>
                <w:bottom w:val="none" w:sz="0" w:space="0" w:color="auto"/>
                <w:right w:val="none" w:sz="0" w:space="0" w:color="auto"/>
              </w:divBdr>
              <w:divsChild>
                <w:div w:id="153227796">
                  <w:marLeft w:val="0"/>
                  <w:marRight w:val="0"/>
                  <w:marTop w:val="0"/>
                  <w:marBottom w:val="0"/>
                  <w:divBdr>
                    <w:top w:val="none" w:sz="0" w:space="0" w:color="auto"/>
                    <w:left w:val="none" w:sz="0" w:space="0" w:color="auto"/>
                    <w:bottom w:val="none" w:sz="0" w:space="0" w:color="auto"/>
                    <w:right w:val="none" w:sz="0" w:space="0" w:color="auto"/>
                  </w:divBdr>
                  <w:divsChild>
                    <w:div w:id="102114847">
                      <w:marLeft w:val="0"/>
                      <w:marRight w:val="0"/>
                      <w:marTop w:val="0"/>
                      <w:marBottom w:val="375"/>
                      <w:divBdr>
                        <w:top w:val="none" w:sz="0" w:space="0" w:color="auto"/>
                        <w:left w:val="none" w:sz="0" w:space="0" w:color="auto"/>
                        <w:bottom w:val="none" w:sz="0" w:space="0" w:color="auto"/>
                        <w:right w:val="none" w:sz="0" w:space="0" w:color="auto"/>
                      </w:divBdr>
                      <w:divsChild>
                        <w:div w:id="127324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356970">
      <w:bodyDiv w:val="1"/>
      <w:marLeft w:val="30"/>
      <w:marRight w:val="30"/>
      <w:marTop w:val="30"/>
      <w:marBottom w:val="30"/>
      <w:divBdr>
        <w:top w:val="none" w:sz="0" w:space="0" w:color="auto"/>
        <w:left w:val="none" w:sz="0" w:space="0" w:color="auto"/>
        <w:bottom w:val="none" w:sz="0" w:space="0" w:color="auto"/>
        <w:right w:val="none" w:sz="0" w:space="0" w:color="auto"/>
      </w:divBdr>
      <w:divsChild>
        <w:div w:id="416485460">
          <w:marLeft w:val="0"/>
          <w:marRight w:val="0"/>
          <w:marTop w:val="0"/>
          <w:marBottom w:val="0"/>
          <w:divBdr>
            <w:top w:val="none" w:sz="0" w:space="0" w:color="auto"/>
            <w:left w:val="none" w:sz="0" w:space="0" w:color="auto"/>
            <w:bottom w:val="none" w:sz="0" w:space="0" w:color="auto"/>
            <w:right w:val="none" w:sz="0" w:space="0" w:color="auto"/>
          </w:divBdr>
          <w:divsChild>
            <w:div w:id="56977783">
              <w:marLeft w:val="45"/>
              <w:marRight w:val="45"/>
              <w:marTop w:val="45"/>
              <w:marBottom w:val="45"/>
              <w:divBdr>
                <w:top w:val="none" w:sz="0" w:space="0" w:color="auto"/>
                <w:left w:val="none" w:sz="0" w:space="0" w:color="auto"/>
                <w:bottom w:val="none" w:sz="0" w:space="0" w:color="auto"/>
                <w:right w:val="none" w:sz="0" w:space="0" w:color="auto"/>
              </w:divBdr>
              <w:divsChild>
                <w:div w:id="1675187443">
                  <w:marLeft w:val="0"/>
                  <w:marRight w:val="0"/>
                  <w:marTop w:val="0"/>
                  <w:marBottom w:val="0"/>
                  <w:divBdr>
                    <w:top w:val="none" w:sz="0" w:space="0" w:color="auto"/>
                    <w:left w:val="none" w:sz="0" w:space="0" w:color="auto"/>
                    <w:bottom w:val="none" w:sz="0" w:space="0" w:color="auto"/>
                    <w:right w:val="none" w:sz="0" w:space="0" w:color="auto"/>
                  </w:divBdr>
                  <w:divsChild>
                    <w:div w:id="367755082">
                      <w:marLeft w:val="0"/>
                      <w:marRight w:val="0"/>
                      <w:marTop w:val="0"/>
                      <w:marBottom w:val="0"/>
                      <w:divBdr>
                        <w:top w:val="none" w:sz="0" w:space="0" w:color="auto"/>
                        <w:left w:val="none" w:sz="0" w:space="0" w:color="auto"/>
                        <w:bottom w:val="none" w:sz="0" w:space="0" w:color="auto"/>
                        <w:right w:val="none" w:sz="0" w:space="0" w:color="auto"/>
                      </w:divBdr>
                    </w:div>
                    <w:div w:id="539368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3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84332">
      <w:bodyDiv w:val="1"/>
      <w:marLeft w:val="0"/>
      <w:marRight w:val="0"/>
      <w:marTop w:val="0"/>
      <w:marBottom w:val="0"/>
      <w:divBdr>
        <w:top w:val="none" w:sz="0" w:space="0" w:color="auto"/>
        <w:left w:val="none" w:sz="0" w:space="0" w:color="auto"/>
        <w:bottom w:val="none" w:sz="0" w:space="0" w:color="auto"/>
        <w:right w:val="none" w:sz="0" w:space="0" w:color="auto"/>
      </w:divBdr>
      <w:divsChild>
        <w:div w:id="809327348">
          <w:marLeft w:val="0"/>
          <w:marRight w:val="0"/>
          <w:marTop w:val="0"/>
          <w:marBottom w:val="0"/>
          <w:divBdr>
            <w:top w:val="none" w:sz="0" w:space="0" w:color="auto"/>
            <w:left w:val="none" w:sz="0" w:space="0" w:color="auto"/>
            <w:bottom w:val="none" w:sz="0" w:space="0" w:color="auto"/>
            <w:right w:val="none" w:sz="0" w:space="0" w:color="auto"/>
          </w:divBdr>
          <w:divsChild>
            <w:div w:id="1699353496">
              <w:marLeft w:val="0"/>
              <w:marRight w:val="0"/>
              <w:marTop w:val="0"/>
              <w:marBottom w:val="0"/>
              <w:divBdr>
                <w:top w:val="none" w:sz="0" w:space="0" w:color="auto"/>
                <w:left w:val="none" w:sz="0" w:space="0" w:color="auto"/>
                <w:bottom w:val="none" w:sz="0" w:space="0" w:color="auto"/>
                <w:right w:val="none" w:sz="0" w:space="0" w:color="auto"/>
              </w:divBdr>
              <w:divsChild>
                <w:div w:id="879901696">
                  <w:marLeft w:val="0"/>
                  <w:marRight w:val="0"/>
                  <w:marTop w:val="0"/>
                  <w:marBottom w:val="0"/>
                  <w:divBdr>
                    <w:top w:val="none" w:sz="0" w:space="0" w:color="auto"/>
                    <w:left w:val="none" w:sz="0" w:space="0" w:color="auto"/>
                    <w:bottom w:val="none" w:sz="0" w:space="0" w:color="auto"/>
                    <w:right w:val="none" w:sz="0" w:space="0" w:color="auto"/>
                  </w:divBdr>
                  <w:divsChild>
                    <w:div w:id="2115516818">
                      <w:marLeft w:val="0"/>
                      <w:marRight w:val="0"/>
                      <w:marTop w:val="0"/>
                      <w:marBottom w:val="375"/>
                      <w:divBdr>
                        <w:top w:val="none" w:sz="0" w:space="0" w:color="auto"/>
                        <w:left w:val="none" w:sz="0" w:space="0" w:color="auto"/>
                        <w:bottom w:val="none" w:sz="0" w:space="0" w:color="auto"/>
                        <w:right w:val="none" w:sz="0" w:space="0" w:color="auto"/>
                      </w:divBdr>
                      <w:divsChild>
                        <w:div w:id="10546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028231">
      <w:bodyDiv w:val="1"/>
      <w:marLeft w:val="0"/>
      <w:marRight w:val="0"/>
      <w:marTop w:val="0"/>
      <w:marBottom w:val="0"/>
      <w:divBdr>
        <w:top w:val="none" w:sz="0" w:space="0" w:color="auto"/>
        <w:left w:val="none" w:sz="0" w:space="0" w:color="auto"/>
        <w:bottom w:val="none" w:sz="0" w:space="0" w:color="auto"/>
        <w:right w:val="none" w:sz="0" w:space="0" w:color="auto"/>
      </w:divBdr>
      <w:divsChild>
        <w:div w:id="1007712614">
          <w:marLeft w:val="0"/>
          <w:marRight w:val="0"/>
          <w:marTop w:val="0"/>
          <w:marBottom w:val="0"/>
          <w:divBdr>
            <w:top w:val="none" w:sz="0" w:space="0" w:color="auto"/>
            <w:left w:val="none" w:sz="0" w:space="0" w:color="auto"/>
            <w:bottom w:val="none" w:sz="0" w:space="0" w:color="auto"/>
            <w:right w:val="none" w:sz="0" w:space="0" w:color="auto"/>
          </w:divBdr>
          <w:divsChild>
            <w:div w:id="1363092100">
              <w:marLeft w:val="0"/>
              <w:marRight w:val="0"/>
              <w:marTop w:val="0"/>
              <w:marBottom w:val="0"/>
              <w:divBdr>
                <w:top w:val="none" w:sz="0" w:space="0" w:color="auto"/>
                <w:left w:val="none" w:sz="0" w:space="0" w:color="auto"/>
                <w:bottom w:val="none" w:sz="0" w:space="0" w:color="auto"/>
                <w:right w:val="none" w:sz="0" w:space="0" w:color="auto"/>
              </w:divBdr>
              <w:divsChild>
                <w:div w:id="603683350">
                  <w:marLeft w:val="0"/>
                  <w:marRight w:val="0"/>
                  <w:marTop w:val="0"/>
                  <w:marBottom w:val="0"/>
                  <w:divBdr>
                    <w:top w:val="none" w:sz="0" w:space="0" w:color="auto"/>
                    <w:left w:val="none" w:sz="0" w:space="0" w:color="auto"/>
                    <w:bottom w:val="none" w:sz="0" w:space="0" w:color="auto"/>
                    <w:right w:val="none" w:sz="0" w:space="0" w:color="auto"/>
                  </w:divBdr>
                  <w:divsChild>
                    <w:div w:id="1231423329">
                      <w:marLeft w:val="0"/>
                      <w:marRight w:val="0"/>
                      <w:marTop w:val="0"/>
                      <w:marBottom w:val="375"/>
                      <w:divBdr>
                        <w:top w:val="none" w:sz="0" w:space="0" w:color="auto"/>
                        <w:left w:val="none" w:sz="0" w:space="0" w:color="auto"/>
                        <w:bottom w:val="none" w:sz="0" w:space="0" w:color="auto"/>
                        <w:right w:val="none" w:sz="0" w:space="0" w:color="auto"/>
                      </w:divBdr>
                      <w:divsChild>
                        <w:div w:id="114878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608500">
      <w:bodyDiv w:val="1"/>
      <w:marLeft w:val="30"/>
      <w:marRight w:val="30"/>
      <w:marTop w:val="30"/>
      <w:marBottom w:val="30"/>
      <w:divBdr>
        <w:top w:val="none" w:sz="0" w:space="0" w:color="auto"/>
        <w:left w:val="none" w:sz="0" w:space="0" w:color="auto"/>
        <w:bottom w:val="none" w:sz="0" w:space="0" w:color="auto"/>
        <w:right w:val="none" w:sz="0" w:space="0" w:color="auto"/>
      </w:divBdr>
      <w:divsChild>
        <w:div w:id="555043434">
          <w:marLeft w:val="0"/>
          <w:marRight w:val="0"/>
          <w:marTop w:val="0"/>
          <w:marBottom w:val="0"/>
          <w:divBdr>
            <w:top w:val="none" w:sz="0" w:space="0" w:color="auto"/>
            <w:left w:val="none" w:sz="0" w:space="0" w:color="auto"/>
            <w:bottom w:val="none" w:sz="0" w:space="0" w:color="auto"/>
            <w:right w:val="none" w:sz="0" w:space="0" w:color="auto"/>
          </w:divBdr>
          <w:divsChild>
            <w:div w:id="170459544">
              <w:marLeft w:val="45"/>
              <w:marRight w:val="45"/>
              <w:marTop w:val="45"/>
              <w:marBottom w:val="45"/>
              <w:divBdr>
                <w:top w:val="none" w:sz="0" w:space="0" w:color="auto"/>
                <w:left w:val="none" w:sz="0" w:space="0" w:color="auto"/>
                <w:bottom w:val="none" w:sz="0" w:space="0" w:color="auto"/>
                <w:right w:val="none" w:sz="0" w:space="0" w:color="auto"/>
              </w:divBdr>
              <w:divsChild>
                <w:div w:id="662506901">
                  <w:marLeft w:val="0"/>
                  <w:marRight w:val="0"/>
                  <w:marTop w:val="0"/>
                  <w:marBottom w:val="0"/>
                  <w:divBdr>
                    <w:top w:val="none" w:sz="0" w:space="0" w:color="auto"/>
                    <w:left w:val="none" w:sz="0" w:space="0" w:color="auto"/>
                    <w:bottom w:val="none" w:sz="0" w:space="0" w:color="auto"/>
                    <w:right w:val="none" w:sz="0" w:space="0" w:color="auto"/>
                  </w:divBdr>
                  <w:divsChild>
                    <w:div w:id="19282918">
                      <w:marLeft w:val="0"/>
                      <w:marRight w:val="0"/>
                      <w:marTop w:val="0"/>
                      <w:marBottom w:val="0"/>
                      <w:divBdr>
                        <w:top w:val="none" w:sz="0" w:space="0" w:color="auto"/>
                        <w:left w:val="none" w:sz="0" w:space="0" w:color="auto"/>
                        <w:bottom w:val="none" w:sz="0" w:space="0" w:color="auto"/>
                        <w:right w:val="none" w:sz="0" w:space="0" w:color="auto"/>
                      </w:divBdr>
                    </w:div>
                    <w:div w:id="46803892">
                      <w:blockQuote w:val="1"/>
                      <w:marLeft w:val="720"/>
                      <w:marRight w:val="720"/>
                      <w:marTop w:val="100"/>
                      <w:marBottom w:val="100"/>
                      <w:divBdr>
                        <w:top w:val="none" w:sz="0" w:space="0" w:color="auto"/>
                        <w:left w:val="none" w:sz="0" w:space="0" w:color="auto"/>
                        <w:bottom w:val="none" w:sz="0" w:space="0" w:color="auto"/>
                        <w:right w:val="none" w:sz="0" w:space="0" w:color="auto"/>
                      </w:divBdr>
                    </w:div>
                    <w:div w:id="56245900">
                      <w:marLeft w:val="0"/>
                      <w:marRight w:val="0"/>
                      <w:marTop w:val="0"/>
                      <w:marBottom w:val="0"/>
                      <w:divBdr>
                        <w:top w:val="none" w:sz="0" w:space="0" w:color="auto"/>
                        <w:left w:val="none" w:sz="0" w:space="0" w:color="auto"/>
                        <w:bottom w:val="none" w:sz="0" w:space="0" w:color="auto"/>
                        <w:right w:val="none" w:sz="0" w:space="0" w:color="auto"/>
                      </w:divBdr>
                    </w:div>
                    <w:div w:id="92553100">
                      <w:marLeft w:val="0"/>
                      <w:marRight w:val="0"/>
                      <w:marTop w:val="0"/>
                      <w:marBottom w:val="0"/>
                      <w:divBdr>
                        <w:top w:val="none" w:sz="0" w:space="0" w:color="auto"/>
                        <w:left w:val="none" w:sz="0" w:space="0" w:color="auto"/>
                        <w:bottom w:val="none" w:sz="0" w:space="0" w:color="auto"/>
                        <w:right w:val="none" w:sz="0" w:space="0" w:color="auto"/>
                      </w:divBdr>
                    </w:div>
                    <w:div w:id="130904233">
                      <w:marLeft w:val="0"/>
                      <w:marRight w:val="0"/>
                      <w:marTop w:val="0"/>
                      <w:marBottom w:val="0"/>
                      <w:divBdr>
                        <w:top w:val="none" w:sz="0" w:space="0" w:color="auto"/>
                        <w:left w:val="none" w:sz="0" w:space="0" w:color="auto"/>
                        <w:bottom w:val="none" w:sz="0" w:space="0" w:color="auto"/>
                        <w:right w:val="none" w:sz="0" w:space="0" w:color="auto"/>
                      </w:divBdr>
                    </w:div>
                    <w:div w:id="14116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07559">
                      <w:marLeft w:val="0"/>
                      <w:marRight w:val="0"/>
                      <w:marTop w:val="0"/>
                      <w:marBottom w:val="0"/>
                      <w:divBdr>
                        <w:top w:val="none" w:sz="0" w:space="0" w:color="auto"/>
                        <w:left w:val="none" w:sz="0" w:space="0" w:color="auto"/>
                        <w:bottom w:val="none" w:sz="0" w:space="0" w:color="auto"/>
                        <w:right w:val="none" w:sz="0" w:space="0" w:color="auto"/>
                      </w:divBdr>
                    </w:div>
                    <w:div w:id="179858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201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301157111">
                      <w:marLeft w:val="0"/>
                      <w:marRight w:val="0"/>
                      <w:marTop w:val="0"/>
                      <w:marBottom w:val="0"/>
                      <w:divBdr>
                        <w:top w:val="none" w:sz="0" w:space="0" w:color="auto"/>
                        <w:left w:val="none" w:sz="0" w:space="0" w:color="auto"/>
                        <w:bottom w:val="none" w:sz="0" w:space="0" w:color="auto"/>
                        <w:right w:val="none" w:sz="0" w:space="0" w:color="auto"/>
                      </w:divBdr>
                    </w:div>
                    <w:div w:id="348216260">
                      <w:blockQuote w:val="1"/>
                      <w:marLeft w:val="720"/>
                      <w:marRight w:val="720"/>
                      <w:marTop w:val="100"/>
                      <w:marBottom w:val="100"/>
                      <w:divBdr>
                        <w:top w:val="none" w:sz="0" w:space="0" w:color="auto"/>
                        <w:left w:val="none" w:sz="0" w:space="0" w:color="auto"/>
                        <w:bottom w:val="none" w:sz="0" w:space="0" w:color="auto"/>
                        <w:right w:val="none" w:sz="0" w:space="0" w:color="auto"/>
                      </w:divBdr>
                    </w:div>
                    <w:div w:id="452217071">
                      <w:blockQuote w:val="1"/>
                      <w:marLeft w:val="720"/>
                      <w:marRight w:val="720"/>
                      <w:marTop w:val="100"/>
                      <w:marBottom w:val="100"/>
                      <w:divBdr>
                        <w:top w:val="none" w:sz="0" w:space="0" w:color="auto"/>
                        <w:left w:val="none" w:sz="0" w:space="0" w:color="auto"/>
                        <w:bottom w:val="none" w:sz="0" w:space="0" w:color="auto"/>
                        <w:right w:val="none" w:sz="0" w:space="0" w:color="auto"/>
                      </w:divBdr>
                    </w:div>
                    <w:div w:id="533663485">
                      <w:marLeft w:val="0"/>
                      <w:marRight w:val="0"/>
                      <w:marTop w:val="0"/>
                      <w:marBottom w:val="0"/>
                      <w:divBdr>
                        <w:top w:val="none" w:sz="0" w:space="0" w:color="auto"/>
                        <w:left w:val="none" w:sz="0" w:space="0" w:color="auto"/>
                        <w:bottom w:val="none" w:sz="0" w:space="0" w:color="auto"/>
                        <w:right w:val="none" w:sz="0" w:space="0" w:color="auto"/>
                      </w:divBdr>
                    </w:div>
                    <w:div w:id="597064439">
                      <w:marLeft w:val="0"/>
                      <w:marRight w:val="0"/>
                      <w:marTop w:val="0"/>
                      <w:marBottom w:val="0"/>
                      <w:divBdr>
                        <w:top w:val="none" w:sz="0" w:space="0" w:color="auto"/>
                        <w:left w:val="none" w:sz="0" w:space="0" w:color="auto"/>
                        <w:bottom w:val="none" w:sz="0" w:space="0" w:color="auto"/>
                        <w:right w:val="none" w:sz="0" w:space="0" w:color="auto"/>
                      </w:divBdr>
                    </w:div>
                    <w:div w:id="7656607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4666637">
                      <w:marLeft w:val="0"/>
                      <w:marRight w:val="0"/>
                      <w:marTop w:val="0"/>
                      <w:marBottom w:val="0"/>
                      <w:divBdr>
                        <w:top w:val="none" w:sz="0" w:space="0" w:color="auto"/>
                        <w:left w:val="none" w:sz="0" w:space="0" w:color="auto"/>
                        <w:bottom w:val="none" w:sz="0" w:space="0" w:color="auto"/>
                        <w:right w:val="none" w:sz="0" w:space="0" w:color="auto"/>
                      </w:divBdr>
                    </w:div>
                    <w:div w:id="945772825">
                      <w:marLeft w:val="0"/>
                      <w:marRight w:val="0"/>
                      <w:marTop w:val="0"/>
                      <w:marBottom w:val="0"/>
                      <w:divBdr>
                        <w:top w:val="none" w:sz="0" w:space="0" w:color="auto"/>
                        <w:left w:val="none" w:sz="0" w:space="0" w:color="auto"/>
                        <w:bottom w:val="none" w:sz="0" w:space="0" w:color="auto"/>
                        <w:right w:val="none" w:sz="0" w:space="0" w:color="auto"/>
                      </w:divBdr>
                    </w:div>
                    <w:div w:id="107046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761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591111">
                      <w:marLeft w:val="0"/>
                      <w:marRight w:val="0"/>
                      <w:marTop w:val="0"/>
                      <w:marBottom w:val="0"/>
                      <w:divBdr>
                        <w:top w:val="none" w:sz="0" w:space="0" w:color="auto"/>
                        <w:left w:val="none" w:sz="0" w:space="0" w:color="auto"/>
                        <w:bottom w:val="none" w:sz="0" w:space="0" w:color="auto"/>
                        <w:right w:val="none" w:sz="0" w:space="0" w:color="auto"/>
                      </w:divBdr>
                    </w:div>
                    <w:div w:id="1530991530">
                      <w:marLeft w:val="0"/>
                      <w:marRight w:val="0"/>
                      <w:marTop w:val="0"/>
                      <w:marBottom w:val="0"/>
                      <w:divBdr>
                        <w:top w:val="none" w:sz="0" w:space="0" w:color="auto"/>
                        <w:left w:val="none" w:sz="0" w:space="0" w:color="auto"/>
                        <w:bottom w:val="none" w:sz="0" w:space="0" w:color="auto"/>
                        <w:right w:val="none" w:sz="0" w:space="0" w:color="auto"/>
                      </w:divBdr>
                    </w:div>
                    <w:div w:id="16417679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054880">
                      <w:marLeft w:val="0"/>
                      <w:marRight w:val="0"/>
                      <w:marTop w:val="0"/>
                      <w:marBottom w:val="0"/>
                      <w:divBdr>
                        <w:top w:val="none" w:sz="0" w:space="0" w:color="auto"/>
                        <w:left w:val="none" w:sz="0" w:space="0" w:color="auto"/>
                        <w:bottom w:val="none" w:sz="0" w:space="0" w:color="auto"/>
                        <w:right w:val="none" w:sz="0" w:space="0" w:color="auto"/>
                      </w:divBdr>
                    </w:div>
                    <w:div w:id="2130396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27615714">
      <w:bodyDiv w:val="1"/>
      <w:marLeft w:val="0"/>
      <w:marRight w:val="0"/>
      <w:marTop w:val="0"/>
      <w:marBottom w:val="0"/>
      <w:divBdr>
        <w:top w:val="none" w:sz="0" w:space="0" w:color="auto"/>
        <w:left w:val="none" w:sz="0" w:space="0" w:color="auto"/>
        <w:bottom w:val="none" w:sz="0" w:space="0" w:color="auto"/>
        <w:right w:val="none" w:sz="0" w:space="0" w:color="auto"/>
      </w:divBdr>
      <w:divsChild>
        <w:div w:id="1498306222">
          <w:marLeft w:val="0"/>
          <w:marRight w:val="0"/>
          <w:marTop w:val="0"/>
          <w:marBottom w:val="0"/>
          <w:divBdr>
            <w:top w:val="none" w:sz="0" w:space="0" w:color="auto"/>
            <w:left w:val="none" w:sz="0" w:space="0" w:color="auto"/>
            <w:bottom w:val="none" w:sz="0" w:space="0" w:color="auto"/>
            <w:right w:val="none" w:sz="0" w:space="0" w:color="auto"/>
          </w:divBdr>
          <w:divsChild>
            <w:div w:id="1207840810">
              <w:marLeft w:val="0"/>
              <w:marRight w:val="0"/>
              <w:marTop w:val="0"/>
              <w:marBottom w:val="0"/>
              <w:divBdr>
                <w:top w:val="none" w:sz="0" w:space="0" w:color="auto"/>
                <w:left w:val="none" w:sz="0" w:space="0" w:color="auto"/>
                <w:bottom w:val="none" w:sz="0" w:space="0" w:color="auto"/>
                <w:right w:val="none" w:sz="0" w:space="0" w:color="auto"/>
              </w:divBdr>
              <w:divsChild>
                <w:div w:id="1512840696">
                  <w:marLeft w:val="0"/>
                  <w:marRight w:val="0"/>
                  <w:marTop w:val="0"/>
                  <w:marBottom w:val="0"/>
                  <w:divBdr>
                    <w:top w:val="none" w:sz="0" w:space="0" w:color="auto"/>
                    <w:left w:val="none" w:sz="0" w:space="0" w:color="auto"/>
                    <w:bottom w:val="none" w:sz="0" w:space="0" w:color="auto"/>
                    <w:right w:val="none" w:sz="0" w:space="0" w:color="auto"/>
                  </w:divBdr>
                  <w:divsChild>
                    <w:div w:id="419643492">
                      <w:marLeft w:val="0"/>
                      <w:marRight w:val="0"/>
                      <w:marTop w:val="0"/>
                      <w:marBottom w:val="375"/>
                      <w:divBdr>
                        <w:top w:val="none" w:sz="0" w:space="0" w:color="auto"/>
                        <w:left w:val="none" w:sz="0" w:space="0" w:color="auto"/>
                        <w:bottom w:val="none" w:sz="0" w:space="0" w:color="auto"/>
                        <w:right w:val="none" w:sz="0" w:space="0" w:color="auto"/>
                      </w:divBdr>
                      <w:divsChild>
                        <w:div w:id="12582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864719">
      <w:bodyDiv w:val="1"/>
      <w:marLeft w:val="0"/>
      <w:marRight w:val="0"/>
      <w:marTop w:val="0"/>
      <w:marBottom w:val="0"/>
      <w:divBdr>
        <w:top w:val="none" w:sz="0" w:space="0" w:color="auto"/>
        <w:left w:val="none" w:sz="0" w:space="0" w:color="auto"/>
        <w:bottom w:val="none" w:sz="0" w:space="0" w:color="auto"/>
        <w:right w:val="none" w:sz="0" w:space="0" w:color="auto"/>
      </w:divBdr>
    </w:div>
    <w:div w:id="1634216364">
      <w:bodyDiv w:val="1"/>
      <w:marLeft w:val="0"/>
      <w:marRight w:val="0"/>
      <w:marTop w:val="0"/>
      <w:marBottom w:val="0"/>
      <w:divBdr>
        <w:top w:val="none" w:sz="0" w:space="0" w:color="auto"/>
        <w:left w:val="none" w:sz="0" w:space="0" w:color="auto"/>
        <w:bottom w:val="none" w:sz="0" w:space="0" w:color="auto"/>
        <w:right w:val="none" w:sz="0" w:space="0" w:color="auto"/>
      </w:divBdr>
      <w:divsChild>
        <w:div w:id="348219138">
          <w:marLeft w:val="0"/>
          <w:marRight w:val="0"/>
          <w:marTop w:val="0"/>
          <w:marBottom w:val="0"/>
          <w:divBdr>
            <w:top w:val="none" w:sz="0" w:space="0" w:color="auto"/>
            <w:left w:val="none" w:sz="0" w:space="0" w:color="auto"/>
            <w:bottom w:val="none" w:sz="0" w:space="0" w:color="auto"/>
            <w:right w:val="none" w:sz="0" w:space="0" w:color="auto"/>
          </w:divBdr>
          <w:divsChild>
            <w:div w:id="871573250">
              <w:marLeft w:val="0"/>
              <w:marRight w:val="0"/>
              <w:marTop w:val="0"/>
              <w:marBottom w:val="0"/>
              <w:divBdr>
                <w:top w:val="none" w:sz="0" w:space="0" w:color="auto"/>
                <w:left w:val="none" w:sz="0" w:space="0" w:color="auto"/>
                <w:bottom w:val="none" w:sz="0" w:space="0" w:color="auto"/>
                <w:right w:val="none" w:sz="0" w:space="0" w:color="auto"/>
              </w:divBdr>
              <w:divsChild>
                <w:div w:id="1175682955">
                  <w:marLeft w:val="0"/>
                  <w:marRight w:val="0"/>
                  <w:marTop w:val="0"/>
                  <w:marBottom w:val="0"/>
                  <w:divBdr>
                    <w:top w:val="none" w:sz="0" w:space="0" w:color="auto"/>
                    <w:left w:val="none" w:sz="0" w:space="0" w:color="auto"/>
                    <w:bottom w:val="none" w:sz="0" w:space="0" w:color="auto"/>
                    <w:right w:val="none" w:sz="0" w:space="0" w:color="auto"/>
                  </w:divBdr>
                  <w:divsChild>
                    <w:div w:id="856967895">
                      <w:marLeft w:val="0"/>
                      <w:marRight w:val="0"/>
                      <w:marTop w:val="0"/>
                      <w:marBottom w:val="300"/>
                      <w:divBdr>
                        <w:top w:val="none" w:sz="0" w:space="0" w:color="auto"/>
                        <w:left w:val="none" w:sz="0" w:space="0" w:color="auto"/>
                        <w:bottom w:val="none" w:sz="0" w:space="0" w:color="auto"/>
                        <w:right w:val="none" w:sz="0" w:space="0" w:color="auto"/>
                      </w:divBdr>
                      <w:divsChild>
                        <w:div w:id="173777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715987">
      <w:bodyDiv w:val="1"/>
      <w:marLeft w:val="0"/>
      <w:marRight w:val="0"/>
      <w:marTop w:val="0"/>
      <w:marBottom w:val="0"/>
      <w:divBdr>
        <w:top w:val="none" w:sz="0" w:space="0" w:color="auto"/>
        <w:left w:val="none" w:sz="0" w:space="0" w:color="auto"/>
        <w:bottom w:val="none" w:sz="0" w:space="0" w:color="auto"/>
        <w:right w:val="none" w:sz="0" w:space="0" w:color="auto"/>
      </w:divBdr>
    </w:div>
    <w:div w:id="1648239011">
      <w:bodyDiv w:val="1"/>
      <w:marLeft w:val="0"/>
      <w:marRight w:val="0"/>
      <w:marTop w:val="0"/>
      <w:marBottom w:val="0"/>
      <w:divBdr>
        <w:top w:val="none" w:sz="0" w:space="0" w:color="auto"/>
        <w:left w:val="none" w:sz="0" w:space="0" w:color="auto"/>
        <w:bottom w:val="none" w:sz="0" w:space="0" w:color="auto"/>
        <w:right w:val="none" w:sz="0" w:space="0" w:color="auto"/>
      </w:divBdr>
      <w:divsChild>
        <w:div w:id="1485969801">
          <w:marLeft w:val="0"/>
          <w:marRight w:val="0"/>
          <w:marTop w:val="240"/>
          <w:marBottom w:val="0"/>
          <w:divBdr>
            <w:top w:val="none" w:sz="0" w:space="0" w:color="auto"/>
            <w:left w:val="none" w:sz="0" w:space="0" w:color="auto"/>
            <w:bottom w:val="none" w:sz="0" w:space="0" w:color="auto"/>
            <w:right w:val="none" w:sz="0" w:space="0" w:color="auto"/>
          </w:divBdr>
          <w:divsChild>
            <w:div w:id="1832477388">
              <w:marLeft w:val="0"/>
              <w:marRight w:val="0"/>
              <w:marTop w:val="0"/>
              <w:marBottom w:val="0"/>
              <w:divBdr>
                <w:top w:val="none" w:sz="0" w:space="0" w:color="auto"/>
                <w:left w:val="none" w:sz="0" w:space="0" w:color="auto"/>
                <w:bottom w:val="none" w:sz="0" w:space="0" w:color="auto"/>
                <w:right w:val="none" w:sz="0" w:space="0" w:color="auto"/>
              </w:divBdr>
            </w:div>
          </w:divsChild>
        </w:div>
        <w:div w:id="2012485839">
          <w:marLeft w:val="0"/>
          <w:marRight w:val="0"/>
          <w:marTop w:val="240"/>
          <w:marBottom w:val="0"/>
          <w:divBdr>
            <w:top w:val="none" w:sz="0" w:space="0" w:color="auto"/>
            <w:left w:val="none" w:sz="0" w:space="0" w:color="auto"/>
            <w:bottom w:val="none" w:sz="0" w:space="0" w:color="auto"/>
            <w:right w:val="none" w:sz="0" w:space="0" w:color="auto"/>
          </w:divBdr>
          <w:divsChild>
            <w:div w:id="1044014987">
              <w:marLeft w:val="0"/>
              <w:marRight w:val="0"/>
              <w:marTop w:val="0"/>
              <w:marBottom w:val="0"/>
              <w:divBdr>
                <w:top w:val="none" w:sz="0" w:space="0" w:color="auto"/>
                <w:left w:val="none" w:sz="0" w:space="0" w:color="auto"/>
                <w:bottom w:val="none" w:sz="0" w:space="0" w:color="auto"/>
                <w:right w:val="none" w:sz="0" w:space="0" w:color="auto"/>
              </w:divBdr>
            </w:div>
          </w:divsChild>
        </w:div>
        <w:div w:id="878005783">
          <w:marLeft w:val="0"/>
          <w:marRight w:val="0"/>
          <w:marTop w:val="240"/>
          <w:marBottom w:val="0"/>
          <w:divBdr>
            <w:top w:val="none" w:sz="0" w:space="0" w:color="auto"/>
            <w:left w:val="none" w:sz="0" w:space="0" w:color="auto"/>
            <w:bottom w:val="none" w:sz="0" w:space="0" w:color="auto"/>
            <w:right w:val="none" w:sz="0" w:space="0" w:color="auto"/>
          </w:divBdr>
          <w:divsChild>
            <w:div w:id="12008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2462">
      <w:bodyDiv w:val="1"/>
      <w:marLeft w:val="0"/>
      <w:marRight w:val="0"/>
      <w:marTop w:val="0"/>
      <w:marBottom w:val="0"/>
      <w:divBdr>
        <w:top w:val="none" w:sz="0" w:space="0" w:color="auto"/>
        <w:left w:val="none" w:sz="0" w:space="0" w:color="auto"/>
        <w:bottom w:val="none" w:sz="0" w:space="0" w:color="auto"/>
        <w:right w:val="none" w:sz="0" w:space="0" w:color="auto"/>
      </w:divBdr>
      <w:divsChild>
        <w:div w:id="990250764">
          <w:marLeft w:val="0"/>
          <w:marRight w:val="0"/>
          <w:marTop w:val="0"/>
          <w:marBottom w:val="0"/>
          <w:divBdr>
            <w:top w:val="none" w:sz="0" w:space="0" w:color="auto"/>
            <w:left w:val="single" w:sz="6" w:space="0" w:color="BBBBBB"/>
            <w:bottom w:val="single" w:sz="6" w:space="0" w:color="BBBBBB"/>
            <w:right w:val="single" w:sz="6" w:space="0" w:color="BBBBBB"/>
          </w:divBdr>
          <w:divsChild>
            <w:div w:id="1755082404">
              <w:marLeft w:val="0"/>
              <w:marRight w:val="0"/>
              <w:marTop w:val="0"/>
              <w:marBottom w:val="0"/>
              <w:divBdr>
                <w:top w:val="none" w:sz="0" w:space="0" w:color="auto"/>
                <w:left w:val="none" w:sz="0" w:space="0" w:color="auto"/>
                <w:bottom w:val="none" w:sz="0" w:space="0" w:color="auto"/>
                <w:right w:val="none" w:sz="0" w:space="0" w:color="auto"/>
              </w:divBdr>
              <w:divsChild>
                <w:div w:id="912198950">
                  <w:marLeft w:val="0"/>
                  <w:marRight w:val="0"/>
                  <w:marTop w:val="75"/>
                  <w:marBottom w:val="0"/>
                  <w:divBdr>
                    <w:top w:val="none" w:sz="0" w:space="0" w:color="auto"/>
                    <w:left w:val="none" w:sz="0" w:space="0" w:color="auto"/>
                    <w:bottom w:val="none" w:sz="0" w:space="0" w:color="auto"/>
                    <w:right w:val="none" w:sz="0" w:space="0" w:color="auto"/>
                  </w:divBdr>
                  <w:divsChild>
                    <w:div w:id="139731698">
                      <w:marLeft w:val="0"/>
                      <w:marRight w:val="0"/>
                      <w:marTop w:val="0"/>
                      <w:marBottom w:val="0"/>
                      <w:divBdr>
                        <w:top w:val="none" w:sz="0" w:space="0" w:color="auto"/>
                        <w:left w:val="none" w:sz="0" w:space="0" w:color="auto"/>
                        <w:bottom w:val="none" w:sz="0" w:space="0" w:color="auto"/>
                        <w:right w:val="none" w:sz="0" w:space="0" w:color="auto"/>
                      </w:divBdr>
                      <w:divsChild>
                        <w:div w:id="1253508503">
                          <w:marLeft w:val="0"/>
                          <w:marRight w:val="0"/>
                          <w:marTop w:val="0"/>
                          <w:marBottom w:val="0"/>
                          <w:divBdr>
                            <w:top w:val="none" w:sz="0" w:space="0" w:color="auto"/>
                            <w:left w:val="none" w:sz="0" w:space="0" w:color="auto"/>
                            <w:bottom w:val="none" w:sz="0" w:space="0" w:color="auto"/>
                            <w:right w:val="none" w:sz="0" w:space="0" w:color="auto"/>
                          </w:divBdr>
                          <w:divsChild>
                            <w:div w:id="1190338918">
                              <w:marLeft w:val="0"/>
                              <w:marRight w:val="0"/>
                              <w:marTop w:val="0"/>
                              <w:marBottom w:val="0"/>
                              <w:divBdr>
                                <w:top w:val="none" w:sz="0" w:space="0" w:color="auto"/>
                                <w:left w:val="none" w:sz="0" w:space="0" w:color="auto"/>
                                <w:bottom w:val="none" w:sz="0" w:space="0" w:color="auto"/>
                                <w:right w:val="none" w:sz="0" w:space="0" w:color="auto"/>
                              </w:divBdr>
                              <w:divsChild>
                                <w:div w:id="93131429">
                                  <w:marLeft w:val="0"/>
                                  <w:marRight w:val="0"/>
                                  <w:marTop w:val="0"/>
                                  <w:marBottom w:val="0"/>
                                  <w:divBdr>
                                    <w:top w:val="none" w:sz="0" w:space="0" w:color="auto"/>
                                    <w:left w:val="none" w:sz="0" w:space="0" w:color="auto"/>
                                    <w:bottom w:val="none" w:sz="0" w:space="0" w:color="auto"/>
                                    <w:right w:val="none" w:sz="0" w:space="0" w:color="auto"/>
                                  </w:divBdr>
                                  <w:divsChild>
                                    <w:div w:id="1218472961">
                                      <w:marLeft w:val="0"/>
                                      <w:marRight w:val="0"/>
                                      <w:marTop w:val="0"/>
                                      <w:marBottom w:val="0"/>
                                      <w:divBdr>
                                        <w:top w:val="none" w:sz="0" w:space="0" w:color="auto"/>
                                        <w:left w:val="none" w:sz="0" w:space="0" w:color="auto"/>
                                        <w:bottom w:val="none" w:sz="0" w:space="0" w:color="auto"/>
                                        <w:right w:val="none" w:sz="0" w:space="0" w:color="auto"/>
                                      </w:divBdr>
                                      <w:divsChild>
                                        <w:div w:id="1848056882">
                                          <w:marLeft w:val="1200"/>
                                          <w:marRight w:val="1200"/>
                                          <w:marTop w:val="0"/>
                                          <w:marBottom w:val="0"/>
                                          <w:divBdr>
                                            <w:top w:val="none" w:sz="0" w:space="0" w:color="auto"/>
                                            <w:left w:val="none" w:sz="0" w:space="0" w:color="auto"/>
                                            <w:bottom w:val="none" w:sz="0" w:space="0" w:color="auto"/>
                                            <w:right w:val="none" w:sz="0" w:space="0" w:color="auto"/>
                                          </w:divBdr>
                                          <w:divsChild>
                                            <w:div w:id="1013726862">
                                              <w:marLeft w:val="0"/>
                                              <w:marRight w:val="0"/>
                                              <w:marTop w:val="0"/>
                                              <w:marBottom w:val="0"/>
                                              <w:divBdr>
                                                <w:top w:val="none" w:sz="0" w:space="0" w:color="auto"/>
                                                <w:left w:val="none" w:sz="0" w:space="0" w:color="auto"/>
                                                <w:bottom w:val="none" w:sz="0" w:space="0" w:color="auto"/>
                                                <w:right w:val="none" w:sz="0" w:space="0" w:color="auto"/>
                                              </w:divBdr>
                                              <w:divsChild>
                                                <w:div w:id="1786188829">
                                                  <w:marLeft w:val="0"/>
                                                  <w:marRight w:val="0"/>
                                                  <w:marTop w:val="0"/>
                                                  <w:marBottom w:val="0"/>
                                                  <w:divBdr>
                                                    <w:top w:val="none" w:sz="0" w:space="0" w:color="auto"/>
                                                    <w:left w:val="none" w:sz="0" w:space="0" w:color="auto"/>
                                                    <w:bottom w:val="none" w:sz="0" w:space="0" w:color="auto"/>
                                                    <w:right w:val="none" w:sz="0" w:space="0" w:color="auto"/>
                                                  </w:divBdr>
                                                  <w:divsChild>
                                                    <w:div w:id="775366358">
                                                      <w:marLeft w:val="0"/>
                                                      <w:marRight w:val="0"/>
                                                      <w:marTop w:val="0"/>
                                                      <w:marBottom w:val="0"/>
                                                      <w:divBdr>
                                                        <w:top w:val="none" w:sz="0" w:space="0" w:color="auto"/>
                                                        <w:left w:val="none" w:sz="0" w:space="0" w:color="auto"/>
                                                        <w:bottom w:val="none" w:sz="0" w:space="0" w:color="auto"/>
                                                        <w:right w:val="none" w:sz="0" w:space="0" w:color="auto"/>
                                                      </w:divBdr>
                                                      <w:divsChild>
                                                        <w:div w:id="404912127">
                                                          <w:marLeft w:val="0"/>
                                                          <w:marRight w:val="0"/>
                                                          <w:marTop w:val="0"/>
                                                          <w:marBottom w:val="0"/>
                                                          <w:divBdr>
                                                            <w:top w:val="none" w:sz="0" w:space="0" w:color="auto"/>
                                                            <w:left w:val="none" w:sz="0" w:space="0" w:color="auto"/>
                                                            <w:bottom w:val="none" w:sz="0" w:space="0" w:color="auto"/>
                                                            <w:right w:val="none" w:sz="0" w:space="0" w:color="auto"/>
                                                          </w:divBdr>
                                                          <w:divsChild>
                                                            <w:div w:id="324936310">
                                                              <w:marLeft w:val="0"/>
                                                              <w:marRight w:val="0"/>
                                                              <w:marTop w:val="0"/>
                                                              <w:marBottom w:val="0"/>
                                                              <w:divBdr>
                                                                <w:top w:val="none" w:sz="0" w:space="0" w:color="auto"/>
                                                                <w:left w:val="none" w:sz="0" w:space="0" w:color="auto"/>
                                                                <w:bottom w:val="none" w:sz="0" w:space="0" w:color="auto"/>
                                                                <w:right w:val="none" w:sz="0" w:space="0" w:color="auto"/>
                                                              </w:divBdr>
                                                              <w:divsChild>
                                                                <w:div w:id="1683163304">
                                                                  <w:marLeft w:val="0"/>
                                                                  <w:marRight w:val="0"/>
                                                                  <w:marTop w:val="0"/>
                                                                  <w:marBottom w:val="0"/>
                                                                  <w:divBdr>
                                                                    <w:top w:val="none" w:sz="0" w:space="0" w:color="auto"/>
                                                                    <w:left w:val="none" w:sz="0" w:space="0" w:color="auto"/>
                                                                    <w:bottom w:val="none" w:sz="0" w:space="0" w:color="auto"/>
                                                                    <w:right w:val="none" w:sz="0" w:space="0" w:color="auto"/>
                                                                  </w:divBdr>
                                                                  <w:divsChild>
                                                                    <w:div w:id="577060631">
                                                                      <w:marLeft w:val="0"/>
                                                                      <w:marRight w:val="0"/>
                                                                      <w:marTop w:val="0"/>
                                                                      <w:marBottom w:val="0"/>
                                                                      <w:divBdr>
                                                                        <w:top w:val="none" w:sz="0" w:space="0" w:color="auto"/>
                                                                        <w:left w:val="none" w:sz="0" w:space="0" w:color="auto"/>
                                                                        <w:bottom w:val="none" w:sz="0" w:space="0" w:color="auto"/>
                                                                        <w:right w:val="none" w:sz="0" w:space="0" w:color="auto"/>
                                                                      </w:divBdr>
                                                                      <w:divsChild>
                                                                        <w:div w:id="956765059">
                                                                          <w:marLeft w:val="0"/>
                                                                          <w:marRight w:val="0"/>
                                                                          <w:marTop w:val="0"/>
                                                                          <w:marBottom w:val="0"/>
                                                                          <w:divBdr>
                                                                            <w:top w:val="none" w:sz="0" w:space="0" w:color="auto"/>
                                                                            <w:left w:val="none" w:sz="0" w:space="0" w:color="auto"/>
                                                                            <w:bottom w:val="none" w:sz="0" w:space="0" w:color="auto"/>
                                                                            <w:right w:val="none" w:sz="0" w:space="0" w:color="auto"/>
                                                                          </w:divBdr>
                                                                        </w:div>
                                                                      </w:divsChild>
                                                                    </w:div>
                                                                    <w:div w:id="1527209028">
                                                                      <w:marLeft w:val="0"/>
                                                                      <w:marRight w:val="0"/>
                                                                      <w:marTop w:val="0"/>
                                                                      <w:marBottom w:val="0"/>
                                                                      <w:divBdr>
                                                                        <w:top w:val="none" w:sz="0" w:space="0" w:color="auto"/>
                                                                        <w:left w:val="none" w:sz="0" w:space="0" w:color="auto"/>
                                                                        <w:bottom w:val="none" w:sz="0" w:space="0" w:color="auto"/>
                                                                        <w:right w:val="none" w:sz="0" w:space="0" w:color="auto"/>
                                                                      </w:divBdr>
                                                                      <w:divsChild>
                                                                        <w:div w:id="11134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9937081">
      <w:bodyDiv w:val="1"/>
      <w:marLeft w:val="0"/>
      <w:marRight w:val="0"/>
      <w:marTop w:val="0"/>
      <w:marBottom w:val="0"/>
      <w:divBdr>
        <w:top w:val="none" w:sz="0" w:space="0" w:color="auto"/>
        <w:left w:val="none" w:sz="0" w:space="0" w:color="auto"/>
        <w:bottom w:val="none" w:sz="0" w:space="0" w:color="auto"/>
        <w:right w:val="none" w:sz="0" w:space="0" w:color="auto"/>
      </w:divBdr>
      <w:divsChild>
        <w:div w:id="797921118">
          <w:marLeft w:val="0"/>
          <w:marRight w:val="0"/>
          <w:marTop w:val="0"/>
          <w:marBottom w:val="0"/>
          <w:divBdr>
            <w:top w:val="none" w:sz="0" w:space="0" w:color="auto"/>
            <w:left w:val="none" w:sz="0" w:space="0" w:color="auto"/>
            <w:bottom w:val="none" w:sz="0" w:space="0" w:color="auto"/>
            <w:right w:val="none" w:sz="0" w:space="0" w:color="auto"/>
          </w:divBdr>
          <w:divsChild>
            <w:div w:id="2013408844">
              <w:marLeft w:val="0"/>
              <w:marRight w:val="0"/>
              <w:marTop w:val="0"/>
              <w:marBottom w:val="0"/>
              <w:divBdr>
                <w:top w:val="none" w:sz="0" w:space="0" w:color="auto"/>
                <w:left w:val="none" w:sz="0" w:space="0" w:color="auto"/>
                <w:bottom w:val="none" w:sz="0" w:space="0" w:color="auto"/>
                <w:right w:val="none" w:sz="0" w:space="0" w:color="auto"/>
              </w:divBdr>
              <w:divsChild>
                <w:div w:id="95709701">
                  <w:marLeft w:val="0"/>
                  <w:marRight w:val="0"/>
                  <w:marTop w:val="0"/>
                  <w:marBottom w:val="0"/>
                  <w:divBdr>
                    <w:top w:val="none" w:sz="0" w:space="0" w:color="auto"/>
                    <w:left w:val="none" w:sz="0" w:space="0" w:color="auto"/>
                    <w:bottom w:val="none" w:sz="0" w:space="0" w:color="auto"/>
                    <w:right w:val="none" w:sz="0" w:space="0" w:color="auto"/>
                  </w:divBdr>
                  <w:divsChild>
                    <w:div w:id="417407602">
                      <w:marLeft w:val="0"/>
                      <w:marRight w:val="0"/>
                      <w:marTop w:val="0"/>
                      <w:marBottom w:val="375"/>
                      <w:divBdr>
                        <w:top w:val="none" w:sz="0" w:space="0" w:color="auto"/>
                        <w:left w:val="none" w:sz="0" w:space="0" w:color="auto"/>
                        <w:bottom w:val="none" w:sz="0" w:space="0" w:color="auto"/>
                        <w:right w:val="none" w:sz="0" w:space="0" w:color="auto"/>
                      </w:divBdr>
                      <w:divsChild>
                        <w:div w:id="32027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29640">
      <w:bodyDiv w:val="1"/>
      <w:marLeft w:val="0"/>
      <w:marRight w:val="0"/>
      <w:marTop w:val="0"/>
      <w:marBottom w:val="0"/>
      <w:divBdr>
        <w:top w:val="none" w:sz="0" w:space="0" w:color="auto"/>
        <w:left w:val="none" w:sz="0" w:space="0" w:color="auto"/>
        <w:bottom w:val="none" w:sz="0" w:space="0" w:color="auto"/>
        <w:right w:val="none" w:sz="0" w:space="0" w:color="auto"/>
      </w:divBdr>
      <w:divsChild>
        <w:div w:id="796217639">
          <w:marLeft w:val="0"/>
          <w:marRight w:val="0"/>
          <w:marTop w:val="240"/>
          <w:marBottom w:val="0"/>
          <w:divBdr>
            <w:top w:val="none" w:sz="0" w:space="0" w:color="auto"/>
            <w:left w:val="none" w:sz="0" w:space="0" w:color="auto"/>
            <w:bottom w:val="none" w:sz="0" w:space="0" w:color="auto"/>
            <w:right w:val="none" w:sz="0" w:space="0" w:color="auto"/>
          </w:divBdr>
          <w:divsChild>
            <w:div w:id="1812284866">
              <w:marLeft w:val="0"/>
              <w:marRight w:val="0"/>
              <w:marTop w:val="0"/>
              <w:marBottom w:val="0"/>
              <w:divBdr>
                <w:top w:val="none" w:sz="0" w:space="0" w:color="auto"/>
                <w:left w:val="none" w:sz="0" w:space="0" w:color="auto"/>
                <w:bottom w:val="none" w:sz="0" w:space="0" w:color="auto"/>
                <w:right w:val="none" w:sz="0" w:space="0" w:color="auto"/>
              </w:divBdr>
            </w:div>
          </w:divsChild>
        </w:div>
        <w:div w:id="1141771450">
          <w:marLeft w:val="0"/>
          <w:marRight w:val="0"/>
          <w:marTop w:val="240"/>
          <w:marBottom w:val="0"/>
          <w:divBdr>
            <w:top w:val="none" w:sz="0" w:space="0" w:color="auto"/>
            <w:left w:val="none" w:sz="0" w:space="0" w:color="auto"/>
            <w:bottom w:val="none" w:sz="0" w:space="0" w:color="auto"/>
            <w:right w:val="none" w:sz="0" w:space="0" w:color="auto"/>
          </w:divBdr>
          <w:divsChild>
            <w:div w:id="1270242152">
              <w:marLeft w:val="0"/>
              <w:marRight w:val="0"/>
              <w:marTop w:val="0"/>
              <w:marBottom w:val="0"/>
              <w:divBdr>
                <w:top w:val="none" w:sz="0" w:space="0" w:color="auto"/>
                <w:left w:val="none" w:sz="0" w:space="0" w:color="auto"/>
                <w:bottom w:val="none" w:sz="0" w:space="0" w:color="auto"/>
                <w:right w:val="none" w:sz="0" w:space="0" w:color="auto"/>
              </w:divBdr>
            </w:div>
          </w:divsChild>
        </w:div>
        <w:div w:id="1580824607">
          <w:marLeft w:val="0"/>
          <w:marRight w:val="0"/>
          <w:marTop w:val="240"/>
          <w:marBottom w:val="0"/>
          <w:divBdr>
            <w:top w:val="none" w:sz="0" w:space="0" w:color="auto"/>
            <w:left w:val="none" w:sz="0" w:space="0" w:color="auto"/>
            <w:bottom w:val="none" w:sz="0" w:space="0" w:color="auto"/>
            <w:right w:val="none" w:sz="0" w:space="0" w:color="auto"/>
          </w:divBdr>
          <w:divsChild>
            <w:div w:id="1623146219">
              <w:marLeft w:val="0"/>
              <w:marRight w:val="0"/>
              <w:marTop w:val="0"/>
              <w:marBottom w:val="0"/>
              <w:divBdr>
                <w:top w:val="none" w:sz="0" w:space="0" w:color="auto"/>
                <w:left w:val="none" w:sz="0" w:space="0" w:color="auto"/>
                <w:bottom w:val="none" w:sz="0" w:space="0" w:color="auto"/>
                <w:right w:val="none" w:sz="0" w:space="0" w:color="auto"/>
              </w:divBdr>
            </w:div>
          </w:divsChild>
        </w:div>
        <w:div w:id="1651859304">
          <w:marLeft w:val="0"/>
          <w:marRight w:val="0"/>
          <w:marTop w:val="240"/>
          <w:marBottom w:val="0"/>
          <w:divBdr>
            <w:top w:val="none" w:sz="0" w:space="0" w:color="auto"/>
            <w:left w:val="none" w:sz="0" w:space="0" w:color="auto"/>
            <w:bottom w:val="none" w:sz="0" w:space="0" w:color="auto"/>
            <w:right w:val="none" w:sz="0" w:space="0" w:color="auto"/>
          </w:divBdr>
          <w:divsChild>
            <w:div w:id="1479418795">
              <w:marLeft w:val="0"/>
              <w:marRight w:val="0"/>
              <w:marTop w:val="0"/>
              <w:marBottom w:val="0"/>
              <w:divBdr>
                <w:top w:val="none" w:sz="0" w:space="0" w:color="auto"/>
                <w:left w:val="none" w:sz="0" w:space="0" w:color="auto"/>
                <w:bottom w:val="none" w:sz="0" w:space="0" w:color="auto"/>
                <w:right w:val="none" w:sz="0" w:space="0" w:color="auto"/>
              </w:divBdr>
            </w:div>
          </w:divsChild>
        </w:div>
        <w:div w:id="1965039023">
          <w:marLeft w:val="0"/>
          <w:marRight w:val="0"/>
          <w:marTop w:val="240"/>
          <w:marBottom w:val="0"/>
          <w:divBdr>
            <w:top w:val="none" w:sz="0" w:space="0" w:color="auto"/>
            <w:left w:val="none" w:sz="0" w:space="0" w:color="auto"/>
            <w:bottom w:val="none" w:sz="0" w:space="0" w:color="auto"/>
            <w:right w:val="none" w:sz="0" w:space="0" w:color="auto"/>
          </w:divBdr>
          <w:divsChild>
            <w:div w:id="9622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67549">
      <w:bodyDiv w:val="1"/>
      <w:marLeft w:val="0"/>
      <w:marRight w:val="0"/>
      <w:marTop w:val="0"/>
      <w:marBottom w:val="0"/>
      <w:divBdr>
        <w:top w:val="none" w:sz="0" w:space="0" w:color="auto"/>
        <w:left w:val="none" w:sz="0" w:space="0" w:color="auto"/>
        <w:bottom w:val="none" w:sz="0" w:space="0" w:color="auto"/>
        <w:right w:val="none" w:sz="0" w:space="0" w:color="auto"/>
      </w:divBdr>
      <w:divsChild>
        <w:div w:id="588006664">
          <w:marLeft w:val="0"/>
          <w:marRight w:val="0"/>
          <w:marTop w:val="0"/>
          <w:marBottom w:val="0"/>
          <w:divBdr>
            <w:top w:val="none" w:sz="0" w:space="0" w:color="auto"/>
            <w:left w:val="none" w:sz="0" w:space="0" w:color="auto"/>
            <w:bottom w:val="none" w:sz="0" w:space="0" w:color="auto"/>
            <w:right w:val="none" w:sz="0" w:space="0" w:color="auto"/>
          </w:divBdr>
          <w:divsChild>
            <w:div w:id="1216090347">
              <w:marLeft w:val="0"/>
              <w:marRight w:val="0"/>
              <w:marTop w:val="0"/>
              <w:marBottom w:val="0"/>
              <w:divBdr>
                <w:top w:val="none" w:sz="0" w:space="0" w:color="auto"/>
                <w:left w:val="none" w:sz="0" w:space="0" w:color="auto"/>
                <w:bottom w:val="none" w:sz="0" w:space="0" w:color="auto"/>
                <w:right w:val="none" w:sz="0" w:space="0" w:color="auto"/>
              </w:divBdr>
              <w:divsChild>
                <w:div w:id="351802124">
                  <w:marLeft w:val="0"/>
                  <w:marRight w:val="0"/>
                  <w:marTop w:val="0"/>
                  <w:marBottom w:val="0"/>
                  <w:divBdr>
                    <w:top w:val="none" w:sz="0" w:space="0" w:color="auto"/>
                    <w:left w:val="none" w:sz="0" w:space="0" w:color="auto"/>
                    <w:bottom w:val="none" w:sz="0" w:space="0" w:color="auto"/>
                    <w:right w:val="none" w:sz="0" w:space="0" w:color="auto"/>
                  </w:divBdr>
                  <w:divsChild>
                    <w:div w:id="913975436">
                      <w:marLeft w:val="0"/>
                      <w:marRight w:val="0"/>
                      <w:marTop w:val="0"/>
                      <w:marBottom w:val="300"/>
                      <w:divBdr>
                        <w:top w:val="none" w:sz="0" w:space="0" w:color="auto"/>
                        <w:left w:val="none" w:sz="0" w:space="0" w:color="auto"/>
                        <w:bottom w:val="none" w:sz="0" w:space="0" w:color="auto"/>
                        <w:right w:val="none" w:sz="0" w:space="0" w:color="auto"/>
                      </w:divBdr>
                      <w:divsChild>
                        <w:div w:id="15355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06407">
      <w:bodyDiv w:val="1"/>
      <w:marLeft w:val="0"/>
      <w:marRight w:val="0"/>
      <w:marTop w:val="0"/>
      <w:marBottom w:val="0"/>
      <w:divBdr>
        <w:top w:val="none" w:sz="0" w:space="0" w:color="auto"/>
        <w:left w:val="none" w:sz="0" w:space="0" w:color="auto"/>
        <w:bottom w:val="none" w:sz="0" w:space="0" w:color="auto"/>
        <w:right w:val="none" w:sz="0" w:space="0" w:color="auto"/>
      </w:divBdr>
      <w:divsChild>
        <w:div w:id="1931039615">
          <w:marLeft w:val="0"/>
          <w:marRight w:val="0"/>
          <w:marTop w:val="0"/>
          <w:marBottom w:val="0"/>
          <w:divBdr>
            <w:top w:val="none" w:sz="0" w:space="0" w:color="auto"/>
            <w:left w:val="none" w:sz="0" w:space="0" w:color="auto"/>
            <w:bottom w:val="none" w:sz="0" w:space="0" w:color="auto"/>
            <w:right w:val="none" w:sz="0" w:space="0" w:color="auto"/>
          </w:divBdr>
          <w:divsChild>
            <w:div w:id="2105494590">
              <w:marLeft w:val="0"/>
              <w:marRight w:val="0"/>
              <w:marTop w:val="0"/>
              <w:marBottom w:val="0"/>
              <w:divBdr>
                <w:top w:val="none" w:sz="0" w:space="0" w:color="auto"/>
                <w:left w:val="none" w:sz="0" w:space="0" w:color="auto"/>
                <w:bottom w:val="none" w:sz="0" w:space="0" w:color="auto"/>
                <w:right w:val="none" w:sz="0" w:space="0" w:color="auto"/>
              </w:divBdr>
              <w:divsChild>
                <w:div w:id="1652293779">
                  <w:marLeft w:val="0"/>
                  <w:marRight w:val="0"/>
                  <w:marTop w:val="0"/>
                  <w:marBottom w:val="0"/>
                  <w:divBdr>
                    <w:top w:val="none" w:sz="0" w:space="0" w:color="auto"/>
                    <w:left w:val="none" w:sz="0" w:space="0" w:color="auto"/>
                    <w:bottom w:val="none" w:sz="0" w:space="0" w:color="auto"/>
                    <w:right w:val="none" w:sz="0" w:space="0" w:color="auto"/>
                  </w:divBdr>
                  <w:divsChild>
                    <w:div w:id="1115903338">
                      <w:marLeft w:val="0"/>
                      <w:marRight w:val="0"/>
                      <w:marTop w:val="0"/>
                      <w:marBottom w:val="300"/>
                      <w:divBdr>
                        <w:top w:val="none" w:sz="0" w:space="0" w:color="auto"/>
                        <w:left w:val="none" w:sz="0" w:space="0" w:color="auto"/>
                        <w:bottom w:val="none" w:sz="0" w:space="0" w:color="auto"/>
                        <w:right w:val="none" w:sz="0" w:space="0" w:color="auto"/>
                      </w:divBdr>
                      <w:divsChild>
                        <w:div w:id="18368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988075">
      <w:bodyDiv w:val="1"/>
      <w:marLeft w:val="0"/>
      <w:marRight w:val="0"/>
      <w:marTop w:val="0"/>
      <w:marBottom w:val="0"/>
      <w:divBdr>
        <w:top w:val="none" w:sz="0" w:space="0" w:color="auto"/>
        <w:left w:val="none" w:sz="0" w:space="0" w:color="auto"/>
        <w:bottom w:val="none" w:sz="0" w:space="0" w:color="auto"/>
        <w:right w:val="none" w:sz="0" w:space="0" w:color="auto"/>
      </w:divBdr>
      <w:divsChild>
        <w:div w:id="1459839846">
          <w:marLeft w:val="0"/>
          <w:marRight w:val="0"/>
          <w:marTop w:val="0"/>
          <w:marBottom w:val="0"/>
          <w:divBdr>
            <w:top w:val="none" w:sz="0" w:space="0" w:color="auto"/>
            <w:left w:val="none" w:sz="0" w:space="0" w:color="auto"/>
            <w:bottom w:val="none" w:sz="0" w:space="0" w:color="auto"/>
            <w:right w:val="none" w:sz="0" w:space="0" w:color="auto"/>
          </w:divBdr>
          <w:divsChild>
            <w:div w:id="858664241">
              <w:marLeft w:val="0"/>
              <w:marRight w:val="0"/>
              <w:marTop w:val="0"/>
              <w:marBottom w:val="0"/>
              <w:divBdr>
                <w:top w:val="none" w:sz="0" w:space="0" w:color="auto"/>
                <w:left w:val="none" w:sz="0" w:space="0" w:color="auto"/>
                <w:bottom w:val="none" w:sz="0" w:space="0" w:color="auto"/>
                <w:right w:val="none" w:sz="0" w:space="0" w:color="auto"/>
              </w:divBdr>
              <w:divsChild>
                <w:div w:id="185338278">
                  <w:marLeft w:val="0"/>
                  <w:marRight w:val="0"/>
                  <w:marTop w:val="0"/>
                  <w:marBottom w:val="0"/>
                  <w:divBdr>
                    <w:top w:val="none" w:sz="0" w:space="0" w:color="auto"/>
                    <w:left w:val="none" w:sz="0" w:space="0" w:color="auto"/>
                    <w:bottom w:val="none" w:sz="0" w:space="0" w:color="auto"/>
                    <w:right w:val="none" w:sz="0" w:space="0" w:color="auto"/>
                  </w:divBdr>
                  <w:divsChild>
                    <w:div w:id="1184633297">
                      <w:marLeft w:val="0"/>
                      <w:marRight w:val="0"/>
                      <w:marTop w:val="0"/>
                      <w:marBottom w:val="375"/>
                      <w:divBdr>
                        <w:top w:val="none" w:sz="0" w:space="0" w:color="auto"/>
                        <w:left w:val="none" w:sz="0" w:space="0" w:color="auto"/>
                        <w:bottom w:val="none" w:sz="0" w:space="0" w:color="auto"/>
                        <w:right w:val="none" w:sz="0" w:space="0" w:color="auto"/>
                      </w:divBdr>
                      <w:divsChild>
                        <w:div w:id="7095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39604">
      <w:bodyDiv w:val="1"/>
      <w:marLeft w:val="0"/>
      <w:marRight w:val="0"/>
      <w:marTop w:val="0"/>
      <w:marBottom w:val="0"/>
      <w:divBdr>
        <w:top w:val="none" w:sz="0" w:space="0" w:color="auto"/>
        <w:left w:val="none" w:sz="0" w:space="0" w:color="auto"/>
        <w:bottom w:val="none" w:sz="0" w:space="0" w:color="auto"/>
        <w:right w:val="none" w:sz="0" w:space="0" w:color="auto"/>
      </w:divBdr>
    </w:div>
    <w:div w:id="1660189420">
      <w:bodyDiv w:val="1"/>
      <w:marLeft w:val="0"/>
      <w:marRight w:val="0"/>
      <w:marTop w:val="0"/>
      <w:marBottom w:val="0"/>
      <w:divBdr>
        <w:top w:val="none" w:sz="0" w:space="0" w:color="auto"/>
        <w:left w:val="none" w:sz="0" w:space="0" w:color="auto"/>
        <w:bottom w:val="none" w:sz="0" w:space="0" w:color="auto"/>
        <w:right w:val="none" w:sz="0" w:space="0" w:color="auto"/>
      </w:divBdr>
      <w:divsChild>
        <w:div w:id="1593589537">
          <w:marLeft w:val="0"/>
          <w:marRight w:val="0"/>
          <w:marTop w:val="0"/>
          <w:marBottom w:val="0"/>
          <w:divBdr>
            <w:top w:val="none" w:sz="0" w:space="0" w:color="auto"/>
            <w:left w:val="none" w:sz="0" w:space="0" w:color="auto"/>
            <w:bottom w:val="none" w:sz="0" w:space="0" w:color="auto"/>
            <w:right w:val="none" w:sz="0" w:space="0" w:color="auto"/>
          </w:divBdr>
          <w:divsChild>
            <w:div w:id="1144732735">
              <w:marLeft w:val="0"/>
              <w:marRight w:val="0"/>
              <w:marTop w:val="0"/>
              <w:marBottom w:val="0"/>
              <w:divBdr>
                <w:top w:val="none" w:sz="0" w:space="0" w:color="auto"/>
                <w:left w:val="none" w:sz="0" w:space="0" w:color="auto"/>
                <w:bottom w:val="none" w:sz="0" w:space="0" w:color="auto"/>
                <w:right w:val="none" w:sz="0" w:space="0" w:color="auto"/>
              </w:divBdr>
              <w:divsChild>
                <w:div w:id="12272766">
                  <w:marLeft w:val="0"/>
                  <w:marRight w:val="0"/>
                  <w:marTop w:val="0"/>
                  <w:marBottom w:val="0"/>
                  <w:divBdr>
                    <w:top w:val="none" w:sz="0" w:space="0" w:color="auto"/>
                    <w:left w:val="none" w:sz="0" w:space="0" w:color="auto"/>
                    <w:bottom w:val="none" w:sz="0" w:space="0" w:color="auto"/>
                    <w:right w:val="none" w:sz="0" w:space="0" w:color="auto"/>
                  </w:divBdr>
                  <w:divsChild>
                    <w:div w:id="1723401333">
                      <w:marLeft w:val="0"/>
                      <w:marRight w:val="0"/>
                      <w:marTop w:val="0"/>
                      <w:marBottom w:val="375"/>
                      <w:divBdr>
                        <w:top w:val="none" w:sz="0" w:space="0" w:color="auto"/>
                        <w:left w:val="none" w:sz="0" w:space="0" w:color="auto"/>
                        <w:bottom w:val="none" w:sz="0" w:space="0" w:color="auto"/>
                        <w:right w:val="none" w:sz="0" w:space="0" w:color="auto"/>
                      </w:divBdr>
                      <w:divsChild>
                        <w:div w:id="930044917">
                          <w:marLeft w:val="0"/>
                          <w:marRight w:val="0"/>
                          <w:marTop w:val="0"/>
                          <w:marBottom w:val="0"/>
                          <w:divBdr>
                            <w:top w:val="none" w:sz="0" w:space="0" w:color="auto"/>
                            <w:left w:val="none" w:sz="0" w:space="0" w:color="auto"/>
                            <w:bottom w:val="none" w:sz="0" w:space="0" w:color="auto"/>
                            <w:right w:val="none" w:sz="0" w:space="0" w:color="auto"/>
                          </w:divBdr>
                          <w:divsChild>
                            <w:div w:id="18624290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315682">
      <w:bodyDiv w:val="1"/>
      <w:marLeft w:val="0"/>
      <w:marRight w:val="0"/>
      <w:marTop w:val="0"/>
      <w:marBottom w:val="0"/>
      <w:divBdr>
        <w:top w:val="none" w:sz="0" w:space="0" w:color="auto"/>
        <w:left w:val="none" w:sz="0" w:space="0" w:color="auto"/>
        <w:bottom w:val="none" w:sz="0" w:space="0" w:color="auto"/>
        <w:right w:val="none" w:sz="0" w:space="0" w:color="auto"/>
      </w:divBdr>
      <w:divsChild>
        <w:div w:id="1555266925">
          <w:marLeft w:val="0"/>
          <w:marRight w:val="0"/>
          <w:marTop w:val="0"/>
          <w:marBottom w:val="0"/>
          <w:divBdr>
            <w:top w:val="none" w:sz="0" w:space="0" w:color="auto"/>
            <w:left w:val="none" w:sz="0" w:space="0" w:color="auto"/>
            <w:bottom w:val="none" w:sz="0" w:space="0" w:color="auto"/>
            <w:right w:val="none" w:sz="0" w:space="0" w:color="auto"/>
          </w:divBdr>
          <w:divsChild>
            <w:div w:id="261378376">
              <w:marLeft w:val="0"/>
              <w:marRight w:val="0"/>
              <w:marTop w:val="0"/>
              <w:marBottom w:val="0"/>
              <w:divBdr>
                <w:top w:val="none" w:sz="0" w:space="0" w:color="auto"/>
                <w:left w:val="none" w:sz="0" w:space="0" w:color="auto"/>
                <w:bottom w:val="none" w:sz="0" w:space="0" w:color="auto"/>
                <w:right w:val="none" w:sz="0" w:space="0" w:color="auto"/>
              </w:divBdr>
              <w:divsChild>
                <w:div w:id="1007095279">
                  <w:marLeft w:val="0"/>
                  <w:marRight w:val="0"/>
                  <w:marTop w:val="0"/>
                  <w:marBottom w:val="0"/>
                  <w:divBdr>
                    <w:top w:val="none" w:sz="0" w:space="0" w:color="auto"/>
                    <w:left w:val="none" w:sz="0" w:space="0" w:color="auto"/>
                    <w:bottom w:val="none" w:sz="0" w:space="0" w:color="auto"/>
                    <w:right w:val="none" w:sz="0" w:space="0" w:color="auto"/>
                  </w:divBdr>
                  <w:divsChild>
                    <w:div w:id="1643196878">
                      <w:marLeft w:val="0"/>
                      <w:marRight w:val="0"/>
                      <w:marTop w:val="0"/>
                      <w:marBottom w:val="300"/>
                      <w:divBdr>
                        <w:top w:val="none" w:sz="0" w:space="0" w:color="auto"/>
                        <w:left w:val="none" w:sz="0" w:space="0" w:color="auto"/>
                        <w:bottom w:val="none" w:sz="0" w:space="0" w:color="auto"/>
                        <w:right w:val="none" w:sz="0" w:space="0" w:color="auto"/>
                      </w:divBdr>
                      <w:divsChild>
                        <w:div w:id="12788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585880">
      <w:bodyDiv w:val="1"/>
      <w:marLeft w:val="0"/>
      <w:marRight w:val="0"/>
      <w:marTop w:val="0"/>
      <w:marBottom w:val="0"/>
      <w:divBdr>
        <w:top w:val="none" w:sz="0" w:space="0" w:color="auto"/>
        <w:left w:val="none" w:sz="0" w:space="0" w:color="auto"/>
        <w:bottom w:val="none" w:sz="0" w:space="0" w:color="auto"/>
        <w:right w:val="none" w:sz="0" w:space="0" w:color="auto"/>
      </w:divBdr>
      <w:divsChild>
        <w:div w:id="221137619">
          <w:marLeft w:val="0"/>
          <w:marRight w:val="0"/>
          <w:marTop w:val="240"/>
          <w:marBottom w:val="0"/>
          <w:divBdr>
            <w:top w:val="none" w:sz="0" w:space="0" w:color="auto"/>
            <w:left w:val="none" w:sz="0" w:space="0" w:color="auto"/>
            <w:bottom w:val="none" w:sz="0" w:space="0" w:color="auto"/>
            <w:right w:val="none" w:sz="0" w:space="0" w:color="auto"/>
          </w:divBdr>
          <w:divsChild>
            <w:div w:id="1522014420">
              <w:marLeft w:val="0"/>
              <w:marRight w:val="0"/>
              <w:marTop w:val="0"/>
              <w:marBottom w:val="0"/>
              <w:divBdr>
                <w:top w:val="none" w:sz="0" w:space="0" w:color="auto"/>
                <w:left w:val="none" w:sz="0" w:space="0" w:color="auto"/>
                <w:bottom w:val="none" w:sz="0" w:space="0" w:color="auto"/>
                <w:right w:val="none" w:sz="0" w:space="0" w:color="auto"/>
              </w:divBdr>
            </w:div>
          </w:divsChild>
        </w:div>
        <w:div w:id="1444760874">
          <w:marLeft w:val="0"/>
          <w:marRight w:val="0"/>
          <w:marTop w:val="240"/>
          <w:marBottom w:val="0"/>
          <w:divBdr>
            <w:top w:val="none" w:sz="0" w:space="0" w:color="auto"/>
            <w:left w:val="none" w:sz="0" w:space="0" w:color="auto"/>
            <w:bottom w:val="none" w:sz="0" w:space="0" w:color="auto"/>
            <w:right w:val="none" w:sz="0" w:space="0" w:color="auto"/>
          </w:divBdr>
          <w:divsChild>
            <w:div w:id="8020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4407">
      <w:bodyDiv w:val="1"/>
      <w:marLeft w:val="0"/>
      <w:marRight w:val="0"/>
      <w:marTop w:val="0"/>
      <w:marBottom w:val="0"/>
      <w:divBdr>
        <w:top w:val="none" w:sz="0" w:space="0" w:color="auto"/>
        <w:left w:val="none" w:sz="0" w:space="0" w:color="auto"/>
        <w:bottom w:val="none" w:sz="0" w:space="0" w:color="auto"/>
        <w:right w:val="none" w:sz="0" w:space="0" w:color="auto"/>
      </w:divBdr>
      <w:divsChild>
        <w:div w:id="814369853">
          <w:marLeft w:val="0"/>
          <w:marRight w:val="0"/>
          <w:marTop w:val="0"/>
          <w:marBottom w:val="0"/>
          <w:divBdr>
            <w:top w:val="none" w:sz="0" w:space="0" w:color="auto"/>
            <w:left w:val="none" w:sz="0" w:space="0" w:color="auto"/>
            <w:bottom w:val="none" w:sz="0" w:space="0" w:color="auto"/>
            <w:right w:val="none" w:sz="0" w:space="0" w:color="auto"/>
          </w:divBdr>
        </w:div>
        <w:div w:id="1504248479">
          <w:marLeft w:val="0"/>
          <w:marRight w:val="0"/>
          <w:marTop w:val="240"/>
          <w:marBottom w:val="0"/>
          <w:divBdr>
            <w:top w:val="none" w:sz="0" w:space="0" w:color="auto"/>
            <w:left w:val="none" w:sz="0" w:space="0" w:color="auto"/>
            <w:bottom w:val="none" w:sz="0" w:space="0" w:color="auto"/>
            <w:right w:val="none" w:sz="0" w:space="0" w:color="auto"/>
          </w:divBdr>
          <w:divsChild>
            <w:div w:id="1675648913">
              <w:marLeft w:val="0"/>
              <w:marRight w:val="0"/>
              <w:marTop w:val="0"/>
              <w:marBottom w:val="0"/>
              <w:divBdr>
                <w:top w:val="none" w:sz="0" w:space="0" w:color="auto"/>
                <w:left w:val="none" w:sz="0" w:space="0" w:color="auto"/>
                <w:bottom w:val="none" w:sz="0" w:space="0" w:color="auto"/>
                <w:right w:val="none" w:sz="0" w:space="0" w:color="auto"/>
              </w:divBdr>
            </w:div>
          </w:divsChild>
        </w:div>
        <w:div w:id="1439134866">
          <w:marLeft w:val="0"/>
          <w:marRight w:val="0"/>
          <w:marTop w:val="240"/>
          <w:marBottom w:val="0"/>
          <w:divBdr>
            <w:top w:val="none" w:sz="0" w:space="0" w:color="auto"/>
            <w:left w:val="none" w:sz="0" w:space="0" w:color="auto"/>
            <w:bottom w:val="none" w:sz="0" w:space="0" w:color="auto"/>
            <w:right w:val="none" w:sz="0" w:space="0" w:color="auto"/>
          </w:divBdr>
          <w:divsChild>
            <w:div w:id="287469561">
              <w:marLeft w:val="0"/>
              <w:marRight w:val="0"/>
              <w:marTop w:val="0"/>
              <w:marBottom w:val="0"/>
              <w:divBdr>
                <w:top w:val="none" w:sz="0" w:space="0" w:color="auto"/>
                <w:left w:val="none" w:sz="0" w:space="0" w:color="auto"/>
                <w:bottom w:val="none" w:sz="0" w:space="0" w:color="auto"/>
                <w:right w:val="none" w:sz="0" w:space="0" w:color="auto"/>
              </w:divBdr>
            </w:div>
            <w:div w:id="687752636">
              <w:marLeft w:val="0"/>
              <w:marRight w:val="0"/>
              <w:marTop w:val="240"/>
              <w:marBottom w:val="0"/>
              <w:divBdr>
                <w:top w:val="none" w:sz="0" w:space="0" w:color="auto"/>
                <w:left w:val="none" w:sz="0" w:space="0" w:color="auto"/>
                <w:bottom w:val="none" w:sz="0" w:space="0" w:color="auto"/>
                <w:right w:val="none" w:sz="0" w:space="0" w:color="auto"/>
              </w:divBdr>
              <w:divsChild>
                <w:div w:id="1544756123">
                  <w:marLeft w:val="0"/>
                  <w:marRight w:val="0"/>
                  <w:marTop w:val="0"/>
                  <w:marBottom w:val="0"/>
                  <w:divBdr>
                    <w:top w:val="none" w:sz="0" w:space="0" w:color="auto"/>
                    <w:left w:val="none" w:sz="0" w:space="0" w:color="auto"/>
                    <w:bottom w:val="none" w:sz="0" w:space="0" w:color="auto"/>
                    <w:right w:val="none" w:sz="0" w:space="0" w:color="auto"/>
                  </w:divBdr>
                </w:div>
              </w:divsChild>
            </w:div>
            <w:div w:id="1565292681">
              <w:marLeft w:val="0"/>
              <w:marRight w:val="0"/>
              <w:marTop w:val="240"/>
              <w:marBottom w:val="0"/>
              <w:divBdr>
                <w:top w:val="none" w:sz="0" w:space="0" w:color="auto"/>
                <w:left w:val="none" w:sz="0" w:space="0" w:color="auto"/>
                <w:bottom w:val="none" w:sz="0" w:space="0" w:color="auto"/>
                <w:right w:val="none" w:sz="0" w:space="0" w:color="auto"/>
              </w:divBdr>
            </w:div>
          </w:divsChild>
        </w:div>
        <w:div w:id="800654034">
          <w:marLeft w:val="0"/>
          <w:marRight w:val="0"/>
          <w:marTop w:val="240"/>
          <w:marBottom w:val="0"/>
          <w:divBdr>
            <w:top w:val="none" w:sz="0" w:space="0" w:color="auto"/>
            <w:left w:val="none" w:sz="0" w:space="0" w:color="auto"/>
            <w:bottom w:val="none" w:sz="0" w:space="0" w:color="auto"/>
            <w:right w:val="none" w:sz="0" w:space="0" w:color="auto"/>
          </w:divBdr>
          <w:divsChild>
            <w:div w:id="972292517">
              <w:marLeft w:val="0"/>
              <w:marRight w:val="0"/>
              <w:marTop w:val="0"/>
              <w:marBottom w:val="0"/>
              <w:divBdr>
                <w:top w:val="none" w:sz="0" w:space="0" w:color="auto"/>
                <w:left w:val="none" w:sz="0" w:space="0" w:color="auto"/>
                <w:bottom w:val="none" w:sz="0" w:space="0" w:color="auto"/>
                <w:right w:val="none" w:sz="0" w:space="0" w:color="auto"/>
              </w:divBdr>
            </w:div>
          </w:divsChild>
        </w:div>
        <w:div w:id="1627617391">
          <w:marLeft w:val="0"/>
          <w:marRight w:val="0"/>
          <w:marTop w:val="240"/>
          <w:marBottom w:val="0"/>
          <w:divBdr>
            <w:top w:val="none" w:sz="0" w:space="0" w:color="auto"/>
            <w:left w:val="none" w:sz="0" w:space="0" w:color="auto"/>
            <w:bottom w:val="none" w:sz="0" w:space="0" w:color="auto"/>
            <w:right w:val="none" w:sz="0" w:space="0" w:color="auto"/>
          </w:divBdr>
          <w:divsChild>
            <w:div w:id="847788363">
              <w:marLeft w:val="0"/>
              <w:marRight w:val="0"/>
              <w:marTop w:val="0"/>
              <w:marBottom w:val="0"/>
              <w:divBdr>
                <w:top w:val="none" w:sz="0" w:space="0" w:color="auto"/>
                <w:left w:val="none" w:sz="0" w:space="0" w:color="auto"/>
                <w:bottom w:val="none" w:sz="0" w:space="0" w:color="auto"/>
                <w:right w:val="none" w:sz="0" w:space="0" w:color="auto"/>
              </w:divBdr>
            </w:div>
            <w:div w:id="1944608789">
              <w:marLeft w:val="0"/>
              <w:marRight w:val="0"/>
              <w:marTop w:val="240"/>
              <w:marBottom w:val="0"/>
              <w:divBdr>
                <w:top w:val="none" w:sz="0" w:space="0" w:color="auto"/>
                <w:left w:val="none" w:sz="0" w:space="0" w:color="auto"/>
                <w:bottom w:val="none" w:sz="0" w:space="0" w:color="auto"/>
                <w:right w:val="none" w:sz="0" w:space="0" w:color="auto"/>
              </w:divBdr>
              <w:divsChild>
                <w:div w:id="542064954">
                  <w:marLeft w:val="0"/>
                  <w:marRight w:val="0"/>
                  <w:marTop w:val="0"/>
                  <w:marBottom w:val="0"/>
                  <w:divBdr>
                    <w:top w:val="none" w:sz="0" w:space="0" w:color="auto"/>
                    <w:left w:val="none" w:sz="0" w:space="0" w:color="auto"/>
                    <w:bottom w:val="none" w:sz="0" w:space="0" w:color="auto"/>
                    <w:right w:val="none" w:sz="0" w:space="0" w:color="auto"/>
                  </w:divBdr>
                  <w:divsChild>
                    <w:div w:id="1989170940">
                      <w:blockQuote w:val="1"/>
                      <w:marLeft w:val="0"/>
                      <w:marRight w:val="0"/>
                      <w:marTop w:val="0"/>
                      <w:marBottom w:val="0"/>
                      <w:divBdr>
                        <w:top w:val="none" w:sz="0" w:space="0" w:color="auto"/>
                        <w:left w:val="none" w:sz="0" w:space="0" w:color="auto"/>
                        <w:bottom w:val="none" w:sz="0" w:space="0" w:color="auto"/>
                        <w:right w:val="none" w:sz="0" w:space="0" w:color="auto"/>
                      </w:divBdr>
                      <w:divsChild>
                        <w:div w:id="202226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13241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74379975">
      <w:bodyDiv w:val="1"/>
      <w:marLeft w:val="0"/>
      <w:marRight w:val="0"/>
      <w:marTop w:val="0"/>
      <w:marBottom w:val="0"/>
      <w:divBdr>
        <w:top w:val="none" w:sz="0" w:space="0" w:color="auto"/>
        <w:left w:val="none" w:sz="0" w:space="0" w:color="auto"/>
        <w:bottom w:val="none" w:sz="0" w:space="0" w:color="auto"/>
        <w:right w:val="none" w:sz="0" w:space="0" w:color="auto"/>
      </w:divBdr>
      <w:divsChild>
        <w:div w:id="375937640">
          <w:marLeft w:val="0"/>
          <w:marRight w:val="0"/>
          <w:marTop w:val="0"/>
          <w:marBottom w:val="0"/>
          <w:divBdr>
            <w:top w:val="none" w:sz="0" w:space="0" w:color="auto"/>
            <w:left w:val="none" w:sz="0" w:space="0" w:color="auto"/>
            <w:bottom w:val="none" w:sz="0" w:space="0" w:color="auto"/>
            <w:right w:val="none" w:sz="0" w:space="0" w:color="auto"/>
          </w:divBdr>
          <w:divsChild>
            <w:div w:id="152718822">
              <w:marLeft w:val="0"/>
              <w:marRight w:val="0"/>
              <w:marTop w:val="0"/>
              <w:marBottom w:val="0"/>
              <w:divBdr>
                <w:top w:val="none" w:sz="0" w:space="0" w:color="auto"/>
                <w:left w:val="none" w:sz="0" w:space="0" w:color="auto"/>
                <w:bottom w:val="none" w:sz="0" w:space="0" w:color="auto"/>
                <w:right w:val="none" w:sz="0" w:space="0" w:color="auto"/>
              </w:divBdr>
              <w:divsChild>
                <w:div w:id="1219632107">
                  <w:marLeft w:val="0"/>
                  <w:marRight w:val="0"/>
                  <w:marTop w:val="0"/>
                  <w:marBottom w:val="0"/>
                  <w:divBdr>
                    <w:top w:val="none" w:sz="0" w:space="0" w:color="auto"/>
                    <w:left w:val="none" w:sz="0" w:space="0" w:color="auto"/>
                    <w:bottom w:val="none" w:sz="0" w:space="0" w:color="auto"/>
                    <w:right w:val="none" w:sz="0" w:space="0" w:color="auto"/>
                  </w:divBdr>
                  <w:divsChild>
                    <w:div w:id="1356082047">
                      <w:marLeft w:val="0"/>
                      <w:marRight w:val="0"/>
                      <w:marTop w:val="0"/>
                      <w:marBottom w:val="0"/>
                      <w:divBdr>
                        <w:top w:val="none" w:sz="0" w:space="0" w:color="auto"/>
                        <w:left w:val="none" w:sz="0" w:space="0" w:color="auto"/>
                        <w:bottom w:val="none" w:sz="0" w:space="0" w:color="auto"/>
                        <w:right w:val="none" w:sz="0" w:space="0" w:color="auto"/>
                      </w:divBdr>
                      <w:divsChild>
                        <w:div w:id="1904561526">
                          <w:marLeft w:val="0"/>
                          <w:marRight w:val="0"/>
                          <w:marTop w:val="0"/>
                          <w:marBottom w:val="0"/>
                          <w:divBdr>
                            <w:top w:val="none" w:sz="0" w:space="0" w:color="auto"/>
                            <w:left w:val="none" w:sz="0" w:space="0" w:color="auto"/>
                            <w:bottom w:val="none" w:sz="0" w:space="0" w:color="auto"/>
                            <w:right w:val="none" w:sz="0" w:space="0" w:color="auto"/>
                          </w:divBdr>
                          <w:divsChild>
                            <w:div w:id="675880908">
                              <w:marLeft w:val="0"/>
                              <w:marRight w:val="0"/>
                              <w:marTop w:val="0"/>
                              <w:marBottom w:val="0"/>
                              <w:divBdr>
                                <w:top w:val="none" w:sz="0" w:space="0" w:color="auto"/>
                                <w:left w:val="none" w:sz="0" w:space="0" w:color="auto"/>
                                <w:bottom w:val="none" w:sz="0" w:space="0" w:color="auto"/>
                                <w:right w:val="none" w:sz="0" w:space="0" w:color="auto"/>
                              </w:divBdr>
                              <w:divsChild>
                                <w:div w:id="46701617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540535">
      <w:bodyDiv w:val="1"/>
      <w:marLeft w:val="0"/>
      <w:marRight w:val="0"/>
      <w:marTop w:val="0"/>
      <w:marBottom w:val="0"/>
      <w:divBdr>
        <w:top w:val="none" w:sz="0" w:space="0" w:color="auto"/>
        <w:left w:val="none" w:sz="0" w:space="0" w:color="auto"/>
        <w:bottom w:val="none" w:sz="0" w:space="0" w:color="auto"/>
        <w:right w:val="none" w:sz="0" w:space="0" w:color="auto"/>
      </w:divBdr>
      <w:divsChild>
        <w:div w:id="751392953">
          <w:marLeft w:val="0"/>
          <w:marRight w:val="0"/>
          <w:marTop w:val="0"/>
          <w:marBottom w:val="0"/>
          <w:divBdr>
            <w:top w:val="none" w:sz="0" w:space="0" w:color="auto"/>
            <w:left w:val="single" w:sz="6" w:space="0" w:color="BBBBBB"/>
            <w:bottom w:val="single" w:sz="6" w:space="0" w:color="BBBBBB"/>
            <w:right w:val="single" w:sz="6" w:space="0" w:color="BBBBBB"/>
          </w:divBdr>
          <w:divsChild>
            <w:div w:id="731999764">
              <w:marLeft w:val="0"/>
              <w:marRight w:val="0"/>
              <w:marTop w:val="0"/>
              <w:marBottom w:val="0"/>
              <w:divBdr>
                <w:top w:val="none" w:sz="0" w:space="0" w:color="auto"/>
                <w:left w:val="none" w:sz="0" w:space="0" w:color="auto"/>
                <w:bottom w:val="none" w:sz="0" w:space="0" w:color="auto"/>
                <w:right w:val="none" w:sz="0" w:space="0" w:color="auto"/>
              </w:divBdr>
              <w:divsChild>
                <w:div w:id="1444230055">
                  <w:marLeft w:val="0"/>
                  <w:marRight w:val="0"/>
                  <w:marTop w:val="75"/>
                  <w:marBottom w:val="0"/>
                  <w:divBdr>
                    <w:top w:val="none" w:sz="0" w:space="0" w:color="auto"/>
                    <w:left w:val="none" w:sz="0" w:space="0" w:color="auto"/>
                    <w:bottom w:val="none" w:sz="0" w:space="0" w:color="auto"/>
                    <w:right w:val="none" w:sz="0" w:space="0" w:color="auto"/>
                  </w:divBdr>
                  <w:divsChild>
                    <w:div w:id="413744772">
                      <w:marLeft w:val="0"/>
                      <w:marRight w:val="0"/>
                      <w:marTop w:val="0"/>
                      <w:marBottom w:val="0"/>
                      <w:divBdr>
                        <w:top w:val="none" w:sz="0" w:space="0" w:color="auto"/>
                        <w:left w:val="none" w:sz="0" w:space="0" w:color="auto"/>
                        <w:bottom w:val="none" w:sz="0" w:space="0" w:color="auto"/>
                        <w:right w:val="none" w:sz="0" w:space="0" w:color="auto"/>
                      </w:divBdr>
                      <w:divsChild>
                        <w:div w:id="1510675324">
                          <w:marLeft w:val="0"/>
                          <w:marRight w:val="0"/>
                          <w:marTop w:val="0"/>
                          <w:marBottom w:val="0"/>
                          <w:divBdr>
                            <w:top w:val="none" w:sz="0" w:space="0" w:color="auto"/>
                            <w:left w:val="none" w:sz="0" w:space="0" w:color="auto"/>
                            <w:bottom w:val="none" w:sz="0" w:space="0" w:color="auto"/>
                            <w:right w:val="none" w:sz="0" w:space="0" w:color="auto"/>
                          </w:divBdr>
                          <w:divsChild>
                            <w:div w:id="1300067222">
                              <w:marLeft w:val="0"/>
                              <w:marRight w:val="0"/>
                              <w:marTop w:val="0"/>
                              <w:marBottom w:val="0"/>
                              <w:divBdr>
                                <w:top w:val="none" w:sz="0" w:space="0" w:color="auto"/>
                                <w:left w:val="none" w:sz="0" w:space="0" w:color="auto"/>
                                <w:bottom w:val="none" w:sz="0" w:space="0" w:color="auto"/>
                                <w:right w:val="none" w:sz="0" w:space="0" w:color="auto"/>
                              </w:divBdr>
                              <w:divsChild>
                                <w:div w:id="1903516951">
                                  <w:marLeft w:val="0"/>
                                  <w:marRight w:val="0"/>
                                  <w:marTop w:val="0"/>
                                  <w:marBottom w:val="0"/>
                                  <w:divBdr>
                                    <w:top w:val="none" w:sz="0" w:space="0" w:color="auto"/>
                                    <w:left w:val="none" w:sz="0" w:space="0" w:color="auto"/>
                                    <w:bottom w:val="none" w:sz="0" w:space="0" w:color="auto"/>
                                    <w:right w:val="none" w:sz="0" w:space="0" w:color="auto"/>
                                  </w:divBdr>
                                  <w:divsChild>
                                    <w:div w:id="1019770287">
                                      <w:marLeft w:val="0"/>
                                      <w:marRight w:val="0"/>
                                      <w:marTop w:val="0"/>
                                      <w:marBottom w:val="0"/>
                                      <w:divBdr>
                                        <w:top w:val="none" w:sz="0" w:space="0" w:color="auto"/>
                                        <w:left w:val="none" w:sz="0" w:space="0" w:color="auto"/>
                                        <w:bottom w:val="none" w:sz="0" w:space="0" w:color="auto"/>
                                        <w:right w:val="none" w:sz="0" w:space="0" w:color="auto"/>
                                      </w:divBdr>
                                      <w:divsChild>
                                        <w:div w:id="1916435166">
                                          <w:marLeft w:val="1200"/>
                                          <w:marRight w:val="1200"/>
                                          <w:marTop w:val="0"/>
                                          <w:marBottom w:val="0"/>
                                          <w:divBdr>
                                            <w:top w:val="none" w:sz="0" w:space="0" w:color="auto"/>
                                            <w:left w:val="none" w:sz="0" w:space="0" w:color="auto"/>
                                            <w:bottom w:val="none" w:sz="0" w:space="0" w:color="auto"/>
                                            <w:right w:val="none" w:sz="0" w:space="0" w:color="auto"/>
                                          </w:divBdr>
                                          <w:divsChild>
                                            <w:div w:id="1317299917">
                                              <w:marLeft w:val="0"/>
                                              <w:marRight w:val="0"/>
                                              <w:marTop w:val="0"/>
                                              <w:marBottom w:val="0"/>
                                              <w:divBdr>
                                                <w:top w:val="none" w:sz="0" w:space="0" w:color="auto"/>
                                                <w:left w:val="none" w:sz="0" w:space="0" w:color="auto"/>
                                                <w:bottom w:val="none" w:sz="0" w:space="0" w:color="auto"/>
                                                <w:right w:val="none" w:sz="0" w:space="0" w:color="auto"/>
                                              </w:divBdr>
                                              <w:divsChild>
                                                <w:div w:id="1115441496">
                                                  <w:marLeft w:val="0"/>
                                                  <w:marRight w:val="0"/>
                                                  <w:marTop w:val="0"/>
                                                  <w:marBottom w:val="0"/>
                                                  <w:divBdr>
                                                    <w:top w:val="none" w:sz="0" w:space="0" w:color="auto"/>
                                                    <w:left w:val="none" w:sz="0" w:space="0" w:color="auto"/>
                                                    <w:bottom w:val="none" w:sz="0" w:space="0" w:color="auto"/>
                                                    <w:right w:val="none" w:sz="0" w:space="0" w:color="auto"/>
                                                  </w:divBdr>
                                                  <w:divsChild>
                                                    <w:div w:id="310257478">
                                                      <w:marLeft w:val="0"/>
                                                      <w:marRight w:val="0"/>
                                                      <w:marTop w:val="0"/>
                                                      <w:marBottom w:val="0"/>
                                                      <w:divBdr>
                                                        <w:top w:val="none" w:sz="0" w:space="0" w:color="auto"/>
                                                        <w:left w:val="none" w:sz="0" w:space="0" w:color="auto"/>
                                                        <w:bottom w:val="none" w:sz="0" w:space="0" w:color="auto"/>
                                                        <w:right w:val="none" w:sz="0" w:space="0" w:color="auto"/>
                                                      </w:divBdr>
                                                      <w:divsChild>
                                                        <w:div w:id="1636794301">
                                                          <w:marLeft w:val="0"/>
                                                          <w:marRight w:val="0"/>
                                                          <w:marTop w:val="0"/>
                                                          <w:marBottom w:val="0"/>
                                                          <w:divBdr>
                                                            <w:top w:val="none" w:sz="0" w:space="0" w:color="auto"/>
                                                            <w:left w:val="none" w:sz="0" w:space="0" w:color="auto"/>
                                                            <w:bottom w:val="none" w:sz="0" w:space="0" w:color="auto"/>
                                                            <w:right w:val="none" w:sz="0" w:space="0" w:color="auto"/>
                                                          </w:divBdr>
                                                          <w:divsChild>
                                                            <w:div w:id="1626739576">
                                                              <w:marLeft w:val="0"/>
                                                              <w:marRight w:val="0"/>
                                                              <w:marTop w:val="0"/>
                                                              <w:marBottom w:val="0"/>
                                                              <w:divBdr>
                                                                <w:top w:val="none" w:sz="0" w:space="0" w:color="auto"/>
                                                                <w:left w:val="none" w:sz="0" w:space="0" w:color="auto"/>
                                                                <w:bottom w:val="none" w:sz="0" w:space="0" w:color="auto"/>
                                                                <w:right w:val="none" w:sz="0" w:space="0" w:color="auto"/>
                                                              </w:divBdr>
                                                              <w:divsChild>
                                                                <w:div w:id="1758287480">
                                                                  <w:marLeft w:val="0"/>
                                                                  <w:marRight w:val="0"/>
                                                                  <w:marTop w:val="0"/>
                                                                  <w:marBottom w:val="0"/>
                                                                  <w:divBdr>
                                                                    <w:top w:val="none" w:sz="0" w:space="0" w:color="auto"/>
                                                                    <w:left w:val="none" w:sz="0" w:space="0" w:color="auto"/>
                                                                    <w:bottom w:val="none" w:sz="0" w:space="0" w:color="auto"/>
                                                                    <w:right w:val="none" w:sz="0" w:space="0" w:color="auto"/>
                                                                  </w:divBdr>
                                                                  <w:divsChild>
                                                                    <w:div w:id="331949846">
                                                                      <w:marLeft w:val="0"/>
                                                                      <w:marRight w:val="0"/>
                                                                      <w:marTop w:val="0"/>
                                                                      <w:marBottom w:val="0"/>
                                                                      <w:divBdr>
                                                                        <w:top w:val="none" w:sz="0" w:space="0" w:color="auto"/>
                                                                        <w:left w:val="none" w:sz="0" w:space="0" w:color="auto"/>
                                                                        <w:bottom w:val="none" w:sz="0" w:space="0" w:color="auto"/>
                                                                        <w:right w:val="none" w:sz="0" w:space="0" w:color="auto"/>
                                                                      </w:divBdr>
                                                                      <w:divsChild>
                                                                        <w:div w:id="1745255163">
                                                                          <w:marLeft w:val="0"/>
                                                                          <w:marRight w:val="0"/>
                                                                          <w:marTop w:val="0"/>
                                                                          <w:marBottom w:val="0"/>
                                                                          <w:divBdr>
                                                                            <w:top w:val="none" w:sz="0" w:space="0" w:color="auto"/>
                                                                            <w:left w:val="none" w:sz="0" w:space="0" w:color="auto"/>
                                                                            <w:bottom w:val="none" w:sz="0" w:space="0" w:color="auto"/>
                                                                            <w:right w:val="none" w:sz="0" w:space="0" w:color="auto"/>
                                                                          </w:divBdr>
                                                                        </w:div>
                                                                      </w:divsChild>
                                                                    </w:div>
                                                                    <w:div w:id="930355321">
                                                                      <w:marLeft w:val="0"/>
                                                                      <w:marRight w:val="0"/>
                                                                      <w:marTop w:val="0"/>
                                                                      <w:marBottom w:val="0"/>
                                                                      <w:divBdr>
                                                                        <w:top w:val="none" w:sz="0" w:space="0" w:color="auto"/>
                                                                        <w:left w:val="none" w:sz="0" w:space="0" w:color="auto"/>
                                                                        <w:bottom w:val="none" w:sz="0" w:space="0" w:color="auto"/>
                                                                        <w:right w:val="none" w:sz="0" w:space="0" w:color="auto"/>
                                                                      </w:divBdr>
                                                                      <w:divsChild>
                                                                        <w:div w:id="842546268">
                                                                          <w:marLeft w:val="0"/>
                                                                          <w:marRight w:val="0"/>
                                                                          <w:marTop w:val="0"/>
                                                                          <w:marBottom w:val="0"/>
                                                                          <w:divBdr>
                                                                            <w:top w:val="none" w:sz="0" w:space="0" w:color="auto"/>
                                                                            <w:left w:val="none" w:sz="0" w:space="0" w:color="auto"/>
                                                                            <w:bottom w:val="none" w:sz="0" w:space="0" w:color="auto"/>
                                                                            <w:right w:val="none" w:sz="0" w:space="0" w:color="auto"/>
                                                                          </w:divBdr>
                                                                        </w:div>
                                                                      </w:divsChild>
                                                                    </w:div>
                                                                    <w:div w:id="1634363981">
                                                                      <w:marLeft w:val="0"/>
                                                                      <w:marRight w:val="0"/>
                                                                      <w:marTop w:val="0"/>
                                                                      <w:marBottom w:val="0"/>
                                                                      <w:divBdr>
                                                                        <w:top w:val="none" w:sz="0" w:space="0" w:color="auto"/>
                                                                        <w:left w:val="none" w:sz="0" w:space="0" w:color="auto"/>
                                                                        <w:bottom w:val="none" w:sz="0" w:space="0" w:color="auto"/>
                                                                        <w:right w:val="none" w:sz="0" w:space="0" w:color="auto"/>
                                                                      </w:divBdr>
                                                                      <w:divsChild>
                                                                        <w:div w:id="4048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2782289">
      <w:bodyDiv w:val="1"/>
      <w:marLeft w:val="0"/>
      <w:marRight w:val="0"/>
      <w:marTop w:val="0"/>
      <w:marBottom w:val="0"/>
      <w:divBdr>
        <w:top w:val="none" w:sz="0" w:space="0" w:color="auto"/>
        <w:left w:val="none" w:sz="0" w:space="0" w:color="auto"/>
        <w:bottom w:val="none" w:sz="0" w:space="0" w:color="auto"/>
        <w:right w:val="none" w:sz="0" w:space="0" w:color="auto"/>
      </w:divBdr>
      <w:divsChild>
        <w:div w:id="1680427993">
          <w:marLeft w:val="0"/>
          <w:marRight w:val="0"/>
          <w:marTop w:val="0"/>
          <w:marBottom w:val="0"/>
          <w:divBdr>
            <w:top w:val="none" w:sz="0" w:space="0" w:color="auto"/>
            <w:left w:val="single" w:sz="6" w:space="0" w:color="BBBBBB"/>
            <w:bottom w:val="single" w:sz="6" w:space="0" w:color="BBBBBB"/>
            <w:right w:val="single" w:sz="6" w:space="0" w:color="BBBBBB"/>
          </w:divBdr>
          <w:divsChild>
            <w:div w:id="2051373067">
              <w:marLeft w:val="0"/>
              <w:marRight w:val="0"/>
              <w:marTop w:val="0"/>
              <w:marBottom w:val="0"/>
              <w:divBdr>
                <w:top w:val="none" w:sz="0" w:space="0" w:color="auto"/>
                <w:left w:val="none" w:sz="0" w:space="0" w:color="auto"/>
                <w:bottom w:val="none" w:sz="0" w:space="0" w:color="auto"/>
                <w:right w:val="none" w:sz="0" w:space="0" w:color="auto"/>
              </w:divBdr>
              <w:divsChild>
                <w:div w:id="17126652">
                  <w:marLeft w:val="0"/>
                  <w:marRight w:val="0"/>
                  <w:marTop w:val="75"/>
                  <w:marBottom w:val="0"/>
                  <w:divBdr>
                    <w:top w:val="none" w:sz="0" w:space="0" w:color="auto"/>
                    <w:left w:val="none" w:sz="0" w:space="0" w:color="auto"/>
                    <w:bottom w:val="none" w:sz="0" w:space="0" w:color="auto"/>
                    <w:right w:val="none" w:sz="0" w:space="0" w:color="auto"/>
                  </w:divBdr>
                  <w:divsChild>
                    <w:div w:id="290674097">
                      <w:marLeft w:val="0"/>
                      <w:marRight w:val="0"/>
                      <w:marTop w:val="0"/>
                      <w:marBottom w:val="0"/>
                      <w:divBdr>
                        <w:top w:val="none" w:sz="0" w:space="0" w:color="auto"/>
                        <w:left w:val="none" w:sz="0" w:space="0" w:color="auto"/>
                        <w:bottom w:val="none" w:sz="0" w:space="0" w:color="auto"/>
                        <w:right w:val="none" w:sz="0" w:space="0" w:color="auto"/>
                      </w:divBdr>
                      <w:divsChild>
                        <w:div w:id="684284871">
                          <w:marLeft w:val="0"/>
                          <w:marRight w:val="0"/>
                          <w:marTop w:val="0"/>
                          <w:marBottom w:val="0"/>
                          <w:divBdr>
                            <w:top w:val="none" w:sz="0" w:space="0" w:color="auto"/>
                            <w:left w:val="none" w:sz="0" w:space="0" w:color="auto"/>
                            <w:bottom w:val="none" w:sz="0" w:space="0" w:color="auto"/>
                            <w:right w:val="none" w:sz="0" w:space="0" w:color="auto"/>
                          </w:divBdr>
                          <w:divsChild>
                            <w:div w:id="1920360129">
                              <w:marLeft w:val="0"/>
                              <w:marRight w:val="0"/>
                              <w:marTop w:val="0"/>
                              <w:marBottom w:val="0"/>
                              <w:divBdr>
                                <w:top w:val="none" w:sz="0" w:space="0" w:color="auto"/>
                                <w:left w:val="none" w:sz="0" w:space="0" w:color="auto"/>
                                <w:bottom w:val="none" w:sz="0" w:space="0" w:color="auto"/>
                                <w:right w:val="none" w:sz="0" w:space="0" w:color="auto"/>
                              </w:divBdr>
                              <w:divsChild>
                                <w:div w:id="40055060">
                                  <w:marLeft w:val="0"/>
                                  <w:marRight w:val="0"/>
                                  <w:marTop w:val="0"/>
                                  <w:marBottom w:val="0"/>
                                  <w:divBdr>
                                    <w:top w:val="none" w:sz="0" w:space="0" w:color="auto"/>
                                    <w:left w:val="none" w:sz="0" w:space="0" w:color="auto"/>
                                    <w:bottom w:val="none" w:sz="0" w:space="0" w:color="auto"/>
                                    <w:right w:val="none" w:sz="0" w:space="0" w:color="auto"/>
                                  </w:divBdr>
                                  <w:divsChild>
                                    <w:div w:id="231164730">
                                      <w:marLeft w:val="0"/>
                                      <w:marRight w:val="0"/>
                                      <w:marTop w:val="0"/>
                                      <w:marBottom w:val="0"/>
                                      <w:divBdr>
                                        <w:top w:val="none" w:sz="0" w:space="0" w:color="auto"/>
                                        <w:left w:val="none" w:sz="0" w:space="0" w:color="auto"/>
                                        <w:bottom w:val="none" w:sz="0" w:space="0" w:color="auto"/>
                                        <w:right w:val="none" w:sz="0" w:space="0" w:color="auto"/>
                                      </w:divBdr>
                                      <w:divsChild>
                                        <w:div w:id="191505794">
                                          <w:marLeft w:val="1200"/>
                                          <w:marRight w:val="1200"/>
                                          <w:marTop w:val="0"/>
                                          <w:marBottom w:val="0"/>
                                          <w:divBdr>
                                            <w:top w:val="none" w:sz="0" w:space="0" w:color="auto"/>
                                            <w:left w:val="none" w:sz="0" w:space="0" w:color="auto"/>
                                            <w:bottom w:val="none" w:sz="0" w:space="0" w:color="auto"/>
                                            <w:right w:val="none" w:sz="0" w:space="0" w:color="auto"/>
                                          </w:divBdr>
                                          <w:divsChild>
                                            <w:div w:id="429860386">
                                              <w:marLeft w:val="0"/>
                                              <w:marRight w:val="0"/>
                                              <w:marTop w:val="0"/>
                                              <w:marBottom w:val="0"/>
                                              <w:divBdr>
                                                <w:top w:val="none" w:sz="0" w:space="0" w:color="auto"/>
                                                <w:left w:val="none" w:sz="0" w:space="0" w:color="auto"/>
                                                <w:bottom w:val="none" w:sz="0" w:space="0" w:color="auto"/>
                                                <w:right w:val="none" w:sz="0" w:space="0" w:color="auto"/>
                                              </w:divBdr>
                                              <w:divsChild>
                                                <w:div w:id="851802441">
                                                  <w:marLeft w:val="0"/>
                                                  <w:marRight w:val="0"/>
                                                  <w:marTop w:val="0"/>
                                                  <w:marBottom w:val="0"/>
                                                  <w:divBdr>
                                                    <w:top w:val="none" w:sz="0" w:space="0" w:color="auto"/>
                                                    <w:left w:val="none" w:sz="0" w:space="0" w:color="auto"/>
                                                    <w:bottom w:val="none" w:sz="0" w:space="0" w:color="auto"/>
                                                    <w:right w:val="none" w:sz="0" w:space="0" w:color="auto"/>
                                                  </w:divBdr>
                                                  <w:divsChild>
                                                    <w:div w:id="143083947">
                                                      <w:marLeft w:val="0"/>
                                                      <w:marRight w:val="0"/>
                                                      <w:marTop w:val="0"/>
                                                      <w:marBottom w:val="0"/>
                                                      <w:divBdr>
                                                        <w:top w:val="none" w:sz="0" w:space="0" w:color="auto"/>
                                                        <w:left w:val="none" w:sz="0" w:space="0" w:color="auto"/>
                                                        <w:bottom w:val="none" w:sz="0" w:space="0" w:color="auto"/>
                                                        <w:right w:val="none" w:sz="0" w:space="0" w:color="auto"/>
                                                      </w:divBdr>
                                                      <w:divsChild>
                                                        <w:div w:id="2082214023">
                                                          <w:marLeft w:val="0"/>
                                                          <w:marRight w:val="0"/>
                                                          <w:marTop w:val="0"/>
                                                          <w:marBottom w:val="0"/>
                                                          <w:divBdr>
                                                            <w:top w:val="none" w:sz="0" w:space="0" w:color="auto"/>
                                                            <w:left w:val="none" w:sz="0" w:space="0" w:color="auto"/>
                                                            <w:bottom w:val="none" w:sz="0" w:space="0" w:color="auto"/>
                                                            <w:right w:val="none" w:sz="0" w:space="0" w:color="auto"/>
                                                          </w:divBdr>
                                                          <w:divsChild>
                                                            <w:div w:id="1044014440">
                                                              <w:marLeft w:val="0"/>
                                                              <w:marRight w:val="0"/>
                                                              <w:marTop w:val="0"/>
                                                              <w:marBottom w:val="0"/>
                                                              <w:divBdr>
                                                                <w:top w:val="none" w:sz="0" w:space="0" w:color="auto"/>
                                                                <w:left w:val="none" w:sz="0" w:space="0" w:color="auto"/>
                                                                <w:bottom w:val="none" w:sz="0" w:space="0" w:color="auto"/>
                                                                <w:right w:val="none" w:sz="0" w:space="0" w:color="auto"/>
                                                              </w:divBdr>
                                                              <w:divsChild>
                                                                <w:div w:id="1461145434">
                                                                  <w:marLeft w:val="0"/>
                                                                  <w:marRight w:val="0"/>
                                                                  <w:marTop w:val="0"/>
                                                                  <w:marBottom w:val="0"/>
                                                                  <w:divBdr>
                                                                    <w:top w:val="none" w:sz="0" w:space="0" w:color="auto"/>
                                                                    <w:left w:val="none" w:sz="0" w:space="0" w:color="auto"/>
                                                                    <w:bottom w:val="none" w:sz="0" w:space="0" w:color="auto"/>
                                                                    <w:right w:val="none" w:sz="0" w:space="0" w:color="auto"/>
                                                                  </w:divBdr>
                                                                  <w:divsChild>
                                                                    <w:div w:id="1613785124">
                                                                      <w:marLeft w:val="0"/>
                                                                      <w:marRight w:val="0"/>
                                                                      <w:marTop w:val="0"/>
                                                                      <w:marBottom w:val="0"/>
                                                                      <w:divBdr>
                                                                        <w:top w:val="none" w:sz="0" w:space="0" w:color="auto"/>
                                                                        <w:left w:val="none" w:sz="0" w:space="0" w:color="auto"/>
                                                                        <w:bottom w:val="none" w:sz="0" w:space="0" w:color="auto"/>
                                                                        <w:right w:val="none" w:sz="0" w:space="0" w:color="auto"/>
                                                                      </w:divBdr>
                                                                      <w:divsChild>
                                                                        <w:div w:id="385493694">
                                                                          <w:marLeft w:val="0"/>
                                                                          <w:marRight w:val="0"/>
                                                                          <w:marTop w:val="0"/>
                                                                          <w:marBottom w:val="0"/>
                                                                          <w:divBdr>
                                                                            <w:top w:val="none" w:sz="0" w:space="0" w:color="auto"/>
                                                                            <w:left w:val="none" w:sz="0" w:space="0" w:color="auto"/>
                                                                            <w:bottom w:val="none" w:sz="0" w:space="0" w:color="auto"/>
                                                                            <w:right w:val="none" w:sz="0" w:space="0" w:color="auto"/>
                                                                          </w:divBdr>
                                                                        </w:div>
                                                                        <w:div w:id="675965598">
                                                                          <w:marLeft w:val="0"/>
                                                                          <w:marRight w:val="0"/>
                                                                          <w:marTop w:val="0"/>
                                                                          <w:marBottom w:val="0"/>
                                                                          <w:divBdr>
                                                                            <w:top w:val="none" w:sz="0" w:space="0" w:color="auto"/>
                                                                            <w:left w:val="none" w:sz="0" w:space="0" w:color="auto"/>
                                                                            <w:bottom w:val="none" w:sz="0" w:space="0" w:color="auto"/>
                                                                            <w:right w:val="none" w:sz="0" w:space="0" w:color="auto"/>
                                                                          </w:divBdr>
                                                                        </w:div>
                                                                        <w:div w:id="790318830">
                                                                          <w:marLeft w:val="0"/>
                                                                          <w:marRight w:val="0"/>
                                                                          <w:marTop w:val="0"/>
                                                                          <w:marBottom w:val="0"/>
                                                                          <w:divBdr>
                                                                            <w:top w:val="none" w:sz="0" w:space="0" w:color="auto"/>
                                                                            <w:left w:val="none" w:sz="0" w:space="0" w:color="auto"/>
                                                                            <w:bottom w:val="none" w:sz="0" w:space="0" w:color="auto"/>
                                                                            <w:right w:val="none" w:sz="0" w:space="0" w:color="auto"/>
                                                                          </w:divBdr>
                                                                          <w:divsChild>
                                                                            <w:div w:id="15696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628034">
      <w:bodyDiv w:val="1"/>
      <w:marLeft w:val="0"/>
      <w:marRight w:val="0"/>
      <w:marTop w:val="0"/>
      <w:marBottom w:val="0"/>
      <w:divBdr>
        <w:top w:val="none" w:sz="0" w:space="0" w:color="auto"/>
        <w:left w:val="none" w:sz="0" w:space="0" w:color="auto"/>
        <w:bottom w:val="none" w:sz="0" w:space="0" w:color="auto"/>
        <w:right w:val="none" w:sz="0" w:space="0" w:color="auto"/>
      </w:divBdr>
      <w:divsChild>
        <w:div w:id="776028514">
          <w:marLeft w:val="0"/>
          <w:marRight w:val="0"/>
          <w:marTop w:val="0"/>
          <w:marBottom w:val="0"/>
          <w:divBdr>
            <w:top w:val="none" w:sz="0" w:space="0" w:color="auto"/>
            <w:left w:val="none" w:sz="0" w:space="0" w:color="auto"/>
            <w:bottom w:val="none" w:sz="0" w:space="0" w:color="auto"/>
            <w:right w:val="none" w:sz="0" w:space="0" w:color="auto"/>
          </w:divBdr>
          <w:divsChild>
            <w:div w:id="1345937626">
              <w:marLeft w:val="0"/>
              <w:marRight w:val="0"/>
              <w:marTop w:val="0"/>
              <w:marBottom w:val="0"/>
              <w:divBdr>
                <w:top w:val="none" w:sz="0" w:space="0" w:color="auto"/>
                <w:left w:val="none" w:sz="0" w:space="0" w:color="auto"/>
                <w:bottom w:val="none" w:sz="0" w:space="0" w:color="auto"/>
                <w:right w:val="none" w:sz="0" w:space="0" w:color="auto"/>
              </w:divBdr>
              <w:divsChild>
                <w:div w:id="908347469">
                  <w:marLeft w:val="0"/>
                  <w:marRight w:val="0"/>
                  <w:marTop w:val="0"/>
                  <w:marBottom w:val="0"/>
                  <w:divBdr>
                    <w:top w:val="none" w:sz="0" w:space="0" w:color="auto"/>
                    <w:left w:val="none" w:sz="0" w:space="0" w:color="auto"/>
                    <w:bottom w:val="none" w:sz="0" w:space="0" w:color="auto"/>
                    <w:right w:val="none" w:sz="0" w:space="0" w:color="auto"/>
                  </w:divBdr>
                  <w:divsChild>
                    <w:div w:id="419764200">
                      <w:marLeft w:val="0"/>
                      <w:marRight w:val="0"/>
                      <w:marTop w:val="0"/>
                      <w:marBottom w:val="375"/>
                      <w:divBdr>
                        <w:top w:val="none" w:sz="0" w:space="0" w:color="auto"/>
                        <w:left w:val="none" w:sz="0" w:space="0" w:color="auto"/>
                        <w:bottom w:val="none" w:sz="0" w:space="0" w:color="auto"/>
                        <w:right w:val="none" w:sz="0" w:space="0" w:color="auto"/>
                      </w:divBdr>
                      <w:divsChild>
                        <w:div w:id="3508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397303">
      <w:bodyDiv w:val="1"/>
      <w:marLeft w:val="0"/>
      <w:marRight w:val="0"/>
      <w:marTop w:val="0"/>
      <w:marBottom w:val="0"/>
      <w:divBdr>
        <w:top w:val="none" w:sz="0" w:space="0" w:color="auto"/>
        <w:left w:val="none" w:sz="0" w:space="0" w:color="auto"/>
        <w:bottom w:val="none" w:sz="0" w:space="0" w:color="auto"/>
        <w:right w:val="none" w:sz="0" w:space="0" w:color="auto"/>
      </w:divBdr>
      <w:divsChild>
        <w:div w:id="878586679">
          <w:marLeft w:val="0"/>
          <w:marRight w:val="0"/>
          <w:marTop w:val="0"/>
          <w:marBottom w:val="0"/>
          <w:divBdr>
            <w:top w:val="none" w:sz="0" w:space="0" w:color="auto"/>
            <w:left w:val="none" w:sz="0" w:space="0" w:color="auto"/>
            <w:bottom w:val="none" w:sz="0" w:space="0" w:color="auto"/>
            <w:right w:val="none" w:sz="0" w:space="0" w:color="auto"/>
          </w:divBdr>
          <w:divsChild>
            <w:div w:id="943267940">
              <w:marLeft w:val="0"/>
              <w:marRight w:val="0"/>
              <w:marTop w:val="0"/>
              <w:marBottom w:val="0"/>
              <w:divBdr>
                <w:top w:val="none" w:sz="0" w:space="0" w:color="auto"/>
                <w:left w:val="none" w:sz="0" w:space="0" w:color="auto"/>
                <w:bottom w:val="none" w:sz="0" w:space="0" w:color="auto"/>
                <w:right w:val="none" w:sz="0" w:space="0" w:color="auto"/>
              </w:divBdr>
              <w:divsChild>
                <w:div w:id="1776778707">
                  <w:marLeft w:val="0"/>
                  <w:marRight w:val="0"/>
                  <w:marTop w:val="0"/>
                  <w:marBottom w:val="0"/>
                  <w:divBdr>
                    <w:top w:val="none" w:sz="0" w:space="0" w:color="auto"/>
                    <w:left w:val="none" w:sz="0" w:space="0" w:color="auto"/>
                    <w:bottom w:val="none" w:sz="0" w:space="0" w:color="auto"/>
                    <w:right w:val="none" w:sz="0" w:space="0" w:color="auto"/>
                  </w:divBdr>
                  <w:divsChild>
                    <w:div w:id="418916524">
                      <w:marLeft w:val="0"/>
                      <w:marRight w:val="0"/>
                      <w:marTop w:val="0"/>
                      <w:marBottom w:val="300"/>
                      <w:divBdr>
                        <w:top w:val="none" w:sz="0" w:space="0" w:color="auto"/>
                        <w:left w:val="none" w:sz="0" w:space="0" w:color="auto"/>
                        <w:bottom w:val="none" w:sz="0" w:space="0" w:color="auto"/>
                        <w:right w:val="none" w:sz="0" w:space="0" w:color="auto"/>
                      </w:divBdr>
                      <w:divsChild>
                        <w:div w:id="13789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442566">
      <w:bodyDiv w:val="1"/>
      <w:marLeft w:val="0"/>
      <w:marRight w:val="0"/>
      <w:marTop w:val="0"/>
      <w:marBottom w:val="0"/>
      <w:divBdr>
        <w:top w:val="none" w:sz="0" w:space="0" w:color="auto"/>
        <w:left w:val="none" w:sz="0" w:space="0" w:color="auto"/>
        <w:bottom w:val="none" w:sz="0" w:space="0" w:color="auto"/>
        <w:right w:val="none" w:sz="0" w:space="0" w:color="auto"/>
      </w:divBdr>
      <w:divsChild>
        <w:div w:id="1417365772">
          <w:marLeft w:val="0"/>
          <w:marRight w:val="0"/>
          <w:marTop w:val="0"/>
          <w:marBottom w:val="0"/>
          <w:divBdr>
            <w:top w:val="none" w:sz="0" w:space="0" w:color="auto"/>
            <w:left w:val="single" w:sz="6" w:space="0" w:color="BBBBBB"/>
            <w:bottom w:val="single" w:sz="6" w:space="0" w:color="BBBBBB"/>
            <w:right w:val="single" w:sz="6" w:space="0" w:color="BBBBBB"/>
          </w:divBdr>
          <w:divsChild>
            <w:div w:id="920719503">
              <w:marLeft w:val="0"/>
              <w:marRight w:val="0"/>
              <w:marTop w:val="0"/>
              <w:marBottom w:val="0"/>
              <w:divBdr>
                <w:top w:val="none" w:sz="0" w:space="0" w:color="auto"/>
                <w:left w:val="none" w:sz="0" w:space="0" w:color="auto"/>
                <w:bottom w:val="none" w:sz="0" w:space="0" w:color="auto"/>
                <w:right w:val="none" w:sz="0" w:space="0" w:color="auto"/>
              </w:divBdr>
              <w:divsChild>
                <w:div w:id="526257031">
                  <w:marLeft w:val="0"/>
                  <w:marRight w:val="0"/>
                  <w:marTop w:val="75"/>
                  <w:marBottom w:val="0"/>
                  <w:divBdr>
                    <w:top w:val="none" w:sz="0" w:space="0" w:color="auto"/>
                    <w:left w:val="none" w:sz="0" w:space="0" w:color="auto"/>
                    <w:bottom w:val="none" w:sz="0" w:space="0" w:color="auto"/>
                    <w:right w:val="none" w:sz="0" w:space="0" w:color="auto"/>
                  </w:divBdr>
                  <w:divsChild>
                    <w:div w:id="683702051">
                      <w:marLeft w:val="0"/>
                      <w:marRight w:val="0"/>
                      <w:marTop w:val="0"/>
                      <w:marBottom w:val="0"/>
                      <w:divBdr>
                        <w:top w:val="none" w:sz="0" w:space="0" w:color="auto"/>
                        <w:left w:val="none" w:sz="0" w:space="0" w:color="auto"/>
                        <w:bottom w:val="none" w:sz="0" w:space="0" w:color="auto"/>
                        <w:right w:val="none" w:sz="0" w:space="0" w:color="auto"/>
                      </w:divBdr>
                      <w:divsChild>
                        <w:div w:id="1756903399">
                          <w:marLeft w:val="0"/>
                          <w:marRight w:val="0"/>
                          <w:marTop w:val="0"/>
                          <w:marBottom w:val="0"/>
                          <w:divBdr>
                            <w:top w:val="none" w:sz="0" w:space="0" w:color="auto"/>
                            <w:left w:val="none" w:sz="0" w:space="0" w:color="auto"/>
                            <w:bottom w:val="none" w:sz="0" w:space="0" w:color="auto"/>
                            <w:right w:val="none" w:sz="0" w:space="0" w:color="auto"/>
                          </w:divBdr>
                          <w:divsChild>
                            <w:div w:id="1548029919">
                              <w:marLeft w:val="0"/>
                              <w:marRight w:val="0"/>
                              <w:marTop w:val="0"/>
                              <w:marBottom w:val="0"/>
                              <w:divBdr>
                                <w:top w:val="none" w:sz="0" w:space="0" w:color="auto"/>
                                <w:left w:val="none" w:sz="0" w:space="0" w:color="auto"/>
                                <w:bottom w:val="none" w:sz="0" w:space="0" w:color="auto"/>
                                <w:right w:val="none" w:sz="0" w:space="0" w:color="auto"/>
                              </w:divBdr>
                              <w:divsChild>
                                <w:div w:id="79760424">
                                  <w:marLeft w:val="0"/>
                                  <w:marRight w:val="0"/>
                                  <w:marTop w:val="0"/>
                                  <w:marBottom w:val="0"/>
                                  <w:divBdr>
                                    <w:top w:val="none" w:sz="0" w:space="0" w:color="auto"/>
                                    <w:left w:val="none" w:sz="0" w:space="0" w:color="auto"/>
                                    <w:bottom w:val="none" w:sz="0" w:space="0" w:color="auto"/>
                                    <w:right w:val="none" w:sz="0" w:space="0" w:color="auto"/>
                                  </w:divBdr>
                                  <w:divsChild>
                                    <w:div w:id="394279486">
                                      <w:marLeft w:val="0"/>
                                      <w:marRight w:val="0"/>
                                      <w:marTop w:val="0"/>
                                      <w:marBottom w:val="0"/>
                                      <w:divBdr>
                                        <w:top w:val="none" w:sz="0" w:space="0" w:color="auto"/>
                                        <w:left w:val="none" w:sz="0" w:space="0" w:color="auto"/>
                                        <w:bottom w:val="none" w:sz="0" w:space="0" w:color="auto"/>
                                        <w:right w:val="none" w:sz="0" w:space="0" w:color="auto"/>
                                      </w:divBdr>
                                      <w:divsChild>
                                        <w:div w:id="479927682">
                                          <w:marLeft w:val="1200"/>
                                          <w:marRight w:val="1200"/>
                                          <w:marTop w:val="0"/>
                                          <w:marBottom w:val="0"/>
                                          <w:divBdr>
                                            <w:top w:val="none" w:sz="0" w:space="0" w:color="auto"/>
                                            <w:left w:val="none" w:sz="0" w:space="0" w:color="auto"/>
                                            <w:bottom w:val="none" w:sz="0" w:space="0" w:color="auto"/>
                                            <w:right w:val="none" w:sz="0" w:space="0" w:color="auto"/>
                                          </w:divBdr>
                                          <w:divsChild>
                                            <w:div w:id="1803688756">
                                              <w:marLeft w:val="0"/>
                                              <w:marRight w:val="0"/>
                                              <w:marTop w:val="0"/>
                                              <w:marBottom w:val="0"/>
                                              <w:divBdr>
                                                <w:top w:val="none" w:sz="0" w:space="0" w:color="auto"/>
                                                <w:left w:val="none" w:sz="0" w:space="0" w:color="auto"/>
                                                <w:bottom w:val="none" w:sz="0" w:space="0" w:color="auto"/>
                                                <w:right w:val="none" w:sz="0" w:space="0" w:color="auto"/>
                                              </w:divBdr>
                                              <w:divsChild>
                                                <w:div w:id="1660158785">
                                                  <w:marLeft w:val="0"/>
                                                  <w:marRight w:val="0"/>
                                                  <w:marTop w:val="0"/>
                                                  <w:marBottom w:val="0"/>
                                                  <w:divBdr>
                                                    <w:top w:val="none" w:sz="0" w:space="0" w:color="auto"/>
                                                    <w:left w:val="none" w:sz="0" w:space="0" w:color="auto"/>
                                                    <w:bottom w:val="none" w:sz="0" w:space="0" w:color="auto"/>
                                                    <w:right w:val="none" w:sz="0" w:space="0" w:color="auto"/>
                                                  </w:divBdr>
                                                  <w:divsChild>
                                                    <w:div w:id="53626875">
                                                      <w:marLeft w:val="0"/>
                                                      <w:marRight w:val="0"/>
                                                      <w:marTop w:val="0"/>
                                                      <w:marBottom w:val="0"/>
                                                      <w:divBdr>
                                                        <w:top w:val="none" w:sz="0" w:space="0" w:color="auto"/>
                                                        <w:left w:val="none" w:sz="0" w:space="0" w:color="auto"/>
                                                        <w:bottom w:val="none" w:sz="0" w:space="0" w:color="auto"/>
                                                        <w:right w:val="none" w:sz="0" w:space="0" w:color="auto"/>
                                                      </w:divBdr>
                                                      <w:divsChild>
                                                        <w:div w:id="1664893673">
                                                          <w:marLeft w:val="0"/>
                                                          <w:marRight w:val="0"/>
                                                          <w:marTop w:val="0"/>
                                                          <w:marBottom w:val="0"/>
                                                          <w:divBdr>
                                                            <w:top w:val="none" w:sz="0" w:space="0" w:color="auto"/>
                                                            <w:left w:val="none" w:sz="0" w:space="0" w:color="auto"/>
                                                            <w:bottom w:val="none" w:sz="0" w:space="0" w:color="auto"/>
                                                            <w:right w:val="none" w:sz="0" w:space="0" w:color="auto"/>
                                                          </w:divBdr>
                                                        </w:div>
                                                      </w:divsChild>
                                                    </w:div>
                                                    <w:div w:id="180901168">
                                                      <w:marLeft w:val="0"/>
                                                      <w:marRight w:val="0"/>
                                                      <w:marTop w:val="0"/>
                                                      <w:marBottom w:val="0"/>
                                                      <w:divBdr>
                                                        <w:top w:val="none" w:sz="0" w:space="0" w:color="auto"/>
                                                        <w:left w:val="none" w:sz="0" w:space="0" w:color="auto"/>
                                                        <w:bottom w:val="none" w:sz="0" w:space="0" w:color="auto"/>
                                                        <w:right w:val="none" w:sz="0" w:space="0" w:color="auto"/>
                                                      </w:divBdr>
                                                      <w:divsChild>
                                                        <w:div w:id="1829982447">
                                                          <w:marLeft w:val="0"/>
                                                          <w:marRight w:val="0"/>
                                                          <w:marTop w:val="0"/>
                                                          <w:marBottom w:val="0"/>
                                                          <w:divBdr>
                                                            <w:top w:val="none" w:sz="0" w:space="0" w:color="auto"/>
                                                            <w:left w:val="none" w:sz="0" w:space="0" w:color="auto"/>
                                                            <w:bottom w:val="none" w:sz="0" w:space="0" w:color="auto"/>
                                                            <w:right w:val="none" w:sz="0" w:space="0" w:color="auto"/>
                                                          </w:divBdr>
                                                        </w:div>
                                                      </w:divsChild>
                                                    </w:div>
                                                    <w:div w:id="409737073">
                                                      <w:marLeft w:val="0"/>
                                                      <w:marRight w:val="0"/>
                                                      <w:marTop w:val="0"/>
                                                      <w:marBottom w:val="0"/>
                                                      <w:divBdr>
                                                        <w:top w:val="none" w:sz="0" w:space="0" w:color="auto"/>
                                                        <w:left w:val="none" w:sz="0" w:space="0" w:color="auto"/>
                                                        <w:bottom w:val="none" w:sz="0" w:space="0" w:color="auto"/>
                                                        <w:right w:val="none" w:sz="0" w:space="0" w:color="auto"/>
                                                      </w:divBdr>
                                                      <w:divsChild>
                                                        <w:div w:id="2075467789">
                                                          <w:marLeft w:val="0"/>
                                                          <w:marRight w:val="0"/>
                                                          <w:marTop w:val="0"/>
                                                          <w:marBottom w:val="0"/>
                                                          <w:divBdr>
                                                            <w:top w:val="none" w:sz="0" w:space="0" w:color="auto"/>
                                                            <w:left w:val="none" w:sz="0" w:space="0" w:color="auto"/>
                                                            <w:bottom w:val="none" w:sz="0" w:space="0" w:color="auto"/>
                                                            <w:right w:val="none" w:sz="0" w:space="0" w:color="auto"/>
                                                          </w:divBdr>
                                                        </w:div>
                                                      </w:divsChild>
                                                    </w:div>
                                                    <w:div w:id="552929350">
                                                      <w:marLeft w:val="0"/>
                                                      <w:marRight w:val="0"/>
                                                      <w:marTop w:val="0"/>
                                                      <w:marBottom w:val="0"/>
                                                      <w:divBdr>
                                                        <w:top w:val="none" w:sz="0" w:space="0" w:color="auto"/>
                                                        <w:left w:val="none" w:sz="0" w:space="0" w:color="auto"/>
                                                        <w:bottom w:val="none" w:sz="0" w:space="0" w:color="auto"/>
                                                        <w:right w:val="none" w:sz="0" w:space="0" w:color="auto"/>
                                                      </w:divBdr>
                                                      <w:divsChild>
                                                        <w:div w:id="539509949">
                                                          <w:marLeft w:val="0"/>
                                                          <w:marRight w:val="0"/>
                                                          <w:marTop w:val="0"/>
                                                          <w:marBottom w:val="0"/>
                                                          <w:divBdr>
                                                            <w:top w:val="none" w:sz="0" w:space="0" w:color="auto"/>
                                                            <w:left w:val="none" w:sz="0" w:space="0" w:color="auto"/>
                                                            <w:bottom w:val="none" w:sz="0" w:space="0" w:color="auto"/>
                                                            <w:right w:val="none" w:sz="0" w:space="0" w:color="auto"/>
                                                          </w:divBdr>
                                                        </w:div>
                                                      </w:divsChild>
                                                    </w:div>
                                                    <w:div w:id="1360811601">
                                                      <w:marLeft w:val="0"/>
                                                      <w:marRight w:val="0"/>
                                                      <w:marTop w:val="0"/>
                                                      <w:marBottom w:val="0"/>
                                                      <w:divBdr>
                                                        <w:top w:val="none" w:sz="0" w:space="0" w:color="auto"/>
                                                        <w:left w:val="none" w:sz="0" w:space="0" w:color="auto"/>
                                                        <w:bottom w:val="none" w:sz="0" w:space="0" w:color="auto"/>
                                                        <w:right w:val="none" w:sz="0" w:space="0" w:color="auto"/>
                                                      </w:divBdr>
                                                      <w:divsChild>
                                                        <w:div w:id="981420403">
                                                          <w:marLeft w:val="0"/>
                                                          <w:marRight w:val="0"/>
                                                          <w:marTop w:val="0"/>
                                                          <w:marBottom w:val="0"/>
                                                          <w:divBdr>
                                                            <w:top w:val="none" w:sz="0" w:space="0" w:color="auto"/>
                                                            <w:left w:val="none" w:sz="0" w:space="0" w:color="auto"/>
                                                            <w:bottom w:val="none" w:sz="0" w:space="0" w:color="auto"/>
                                                            <w:right w:val="none" w:sz="0" w:space="0" w:color="auto"/>
                                                          </w:divBdr>
                                                        </w:div>
                                                      </w:divsChild>
                                                    </w:div>
                                                    <w:div w:id="1440950573">
                                                      <w:marLeft w:val="0"/>
                                                      <w:marRight w:val="0"/>
                                                      <w:marTop w:val="0"/>
                                                      <w:marBottom w:val="0"/>
                                                      <w:divBdr>
                                                        <w:top w:val="none" w:sz="0" w:space="0" w:color="auto"/>
                                                        <w:left w:val="none" w:sz="0" w:space="0" w:color="auto"/>
                                                        <w:bottom w:val="none" w:sz="0" w:space="0" w:color="auto"/>
                                                        <w:right w:val="none" w:sz="0" w:space="0" w:color="auto"/>
                                                      </w:divBdr>
                                                      <w:divsChild>
                                                        <w:div w:id="1497459351">
                                                          <w:marLeft w:val="0"/>
                                                          <w:marRight w:val="0"/>
                                                          <w:marTop w:val="0"/>
                                                          <w:marBottom w:val="0"/>
                                                          <w:divBdr>
                                                            <w:top w:val="none" w:sz="0" w:space="0" w:color="auto"/>
                                                            <w:left w:val="none" w:sz="0" w:space="0" w:color="auto"/>
                                                            <w:bottom w:val="none" w:sz="0" w:space="0" w:color="auto"/>
                                                            <w:right w:val="none" w:sz="0" w:space="0" w:color="auto"/>
                                                          </w:divBdr>
                                                        </w:div>
                                                      </w:divsChild>
                                                    </w:div>
                                                    <w:div w:id="1745569744">
                                                      <w:marLeft w:val="0"/>
                                                      <w:marRight w:val="0"/>
                                                      <w:marTop w:val="0"/>
                                                      <w:marBottom w:val="0"/>
                                                      <w:divBdr>
                                                        <w:top w:val="none" w:sz="0" w:space="0" w:color="auto"/>
                                                        <w:left w:val="none" w:sz="0" w:space="0" w:color="auto"/>
                                                        <w:bottom w:val="none" w:sz="0" w:space="0" w:color="auto"/>
                                                        <w:right w:val="none" w:sz="0" w:space="0" w:color="auto"/>
                                                      </w:divBdr>
                                                      <w:divsChild>
                                                        <w:div w:id="955143230">
                                                          <w:marLeft w:val="0"/>
                                                          <w:marRight w:val="0"/>
                                                          <w:marTop w:val="0"/>
                                                          <w:marBottom w:val="0"/>
                                                          <w:divBdr>
                                                            <w:top w:val="none" w:sz="0" w:space="0" w:color="auto"/>
                                                            <w:left w:val="none" w:sz="0" w:space="0" w:color="auto"/>
                                                            <w:bottom w:val="none" w:sz="0" w:space="0" w:color="auto"/>
                                                            <w:right w:val="none" w:sz="0" w:space="0" w:color="auto"/>
                                                          </w:divBdr>
                                                        </w:div>
                                                      </w:divsChild>
                                                    </w:div>
                                                    <w:div w:id="2001425200">
                                                      <w:marLeft w:val="0"/>
                                                      <w:marRight w:val="0"/>
                                                      <w:marTop w:val="0"/>
                                                      <w:marBottom w:val="0"/>
                                                      <w:divBdr>
                                                        <w:top w:val="none" w:sz="0" w:space="0" w:color="auto"/>
                                                        <w:left w:val="none" w:sz="0" w:space="0" w:color="auto"/>
                                                        <w:bottom w:val="none" w:sz="0" w:space="0" w:color="auto"/>
                                                        <w:right w:val="none" w:sz="0" w:space="0" w:color="auto"/>
                                                      </w:divBdr>
                                                      <w:divsChild>
                                                        <w:div w:id="4093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1224411">
      <w:bodyDiv w:val="1"/>
      <w:marLeft w:val="0"/>
      <w:marRight w:val="0"/>
      <w:marTop w:val="0"/>
      <w:marBottom w:val="0"/>
      <w:divBdr>
        <w:top w:val="none" w:sz="0" w:space="0" w:color="auto"/>
        <w:left w:val="none" w:sz="0" w:space="0" w:color="auto"/>
        <w:bottom w:val="none" w:sz="0" w:space="0" w:color="auto"/>
        <w:right w:val="none" w:sz="0" w:space="0" w:color="auto"/>
      </w:divBdr>
      <w:divsChild>
        <w:div w:id="284780127">
          <w:marLeft w:val="0"/>
          <w:marRight w:val="0"/>
          <w:marTop w:val="0"/>
          <w:marBottom w:val="0"/>
          <w:divBdr>
            <w:top w:val="none" w:sz="0" w:space="0" w:color="auto"/>
            <w:left w:val="none" w:sz="0" w:space="0" w:color="auto"/>
            <w:bottom w:val="none" w:sz="0" w:space="0" w:color="auto"/>
            <w:right w:val="none" w:sz="0" w:space="0" w:color="auto"/>
          </w:divBdr>
          <w:divsChild>
            <w:div w:id="323777464">
              <w:marLeft w:val="0"/>
              <w:marRight w:val="0"/>
              <w:marTop w:val="0"/>
              <w:marBottom w:val="0"/>
              <w:divBdr>
                <w:top w:val="none" w:sz="0" w:space="0" w:color="auto"/>
                <w:left w:val="none" w:sz="0" w:space="0" w:color="auto"/>
                <w:bottom w:val="none" w:sz="0" w:space="0" w:color="auto"/>
                <w:right w:val="none" w:sz="0" w:space="0" w:color="auto"/>
              </w:divBdr>
              <w:divsChild>
                <w:div w:id="1692996256">
                  <w:marLeft w:val="0"/>
                  <w:marRight w:val="0"/>
                  <w:marTop w:val="0"/>
                  <w:marBottom w:val="0"/>
                  <w:divBdr>
                    <w:top w:val="none" w:sz="0" w:space="0" w:color="auto"/>
                    <w:left w:val="none" w:sz="0" w:space="0" w:color="auto"/>
                    <w:bottom w:val="none" w:sz="0" w:space="0" w:color="auto"/>
                    <w:right w:val="none" w:sz="0" w:space="0" w:color="auto"/>
                  </w:divBdr>
                  <w:divsChild>
                    <w:div w:id="1228490726">
                      <w:marLeft w:val="0"/>
                      <w:marRight w:val="0"/>
                      <w:marTop w:val="0"/>
                      <w:marBottom w:val="300"/>
                      <w:divBdr>
                        <w:top w:val="none" w:sz="0" w:space="0" w:color="auto"/>
                        <w:left w:val="none" w:sz="0" w:space="0" w:color="auto"/>
                        <w:bottom w:val="none" w:sz="0" w:space="0" w:color="auto"/>
                        <w:right w:val="none" w:sz="0" w:space="0" w:color="auto"/>
                      </w:divBdr>
                      <w:divsChild>
                        <w:div w:id="105535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638408">
      <w:bodyDiv w:val="1"/>
      <w:marLeft w:val="0"/>
      <w:marRight w:val="0"/>
      <w:marTop w:val="0"/>
      <w:marBottom w:val="0"/>
      <w:divBdr>
        <w:top w:val="none" w:sz="0" w:space="0" w:color="auto"/>
        <w:left w:val="none" w:sz="0" w:space="0" w:color="auto"/>
        <w:bottom w:val="none" w:sz="0" w:space="0" w:color="auto"/>
        <w:right w:val="none" w:sz="0" w:space="0" w:color="auto"/>
      </w:divBdr>
      <w:divsChild>
        <w:div w:id="1401899746">
          <w:marLeft w:val="0"/>
          <w:marRight w:val="0"/>
          <w:marTop w:val="0"/>
          <w:marBottom w:val="0"/>
          <w:divBdr>
            <w:top w:val="none" w:sz="0" w:space="0" w:color="auto"/>
            <w:left w:val="none" w:sz="0" w:space="0" w:color="auto"/>
            <w:bottom w:val="none" w:sz="0" w:space="0" w:color="auto"/>
            <w:right w:val="none" w:sz="0" w:space="0" w:color="auto"/>
          </w:divBdr>
          <w:divsChild>
            <w:div w:id="716125753">
              <w:marLeft w:val="0"/>
              <w:marRight w:val="0"/>
              <w:marTop w:val="0"/>
              <w:marBottom w:val="0"/>
              <w:divBdr>
                <w:top w:val="none" w:sz="0" w:space="0" w:color="auto"/>
                <w:left w:val="none" w:sz="0" w:space="0" w:color="auto"/>
                <w:bottom w:val="none" w:sz="0" w:space="0" w:color="auto"/>
                <w:right w:val="none" w:sz="0" w:space="0" w:color="auto"/>
              </w:divBdr>
              <w:divsChild>
                <w:div w:id="1330253336">
                  <w:marLeft w:val="0"/>
                  <w:marRight w:val="0"/>
                  <w:marTop w:val="0"/>
                  <w:marBottom w:val="0"/>
                  <w:divBdr>
                    <w:top w:val="none" w:sz="0" w:space="0" w:color="auto"/>
                    <w:left w:val="none" w:sz="0" w:space="0" w:color="auto"/>
                    <w:bottom w:val="none" w:sz="0" w:space="0" w:color="auto"/>
                    <w:right w:val="none" w:sz="0" w:space="0" w:color="auto"/>
                  </w:divBdr>
                  <w:divsChild>
                    <w:div w:id="1880121503">
                      <w:marLeft w:val="0"/>
                      <w:marRight w:val="0"/>
                      <w:marTop w:val="0"/>
                      <w:marBottom w:val="375"/>
                      <w:divBdr>
                        <w:top w:val="none" w:sz="0" w:space="0" w:color="auto"/>
                        <w:left w:val="none" w:sz="0" w:space="0" w:color="auto"/>
                        <w:bottom w:val="none" w:sz="0" w:space="0" w:color="auto"/>
                        <w:right w:val="none" w:sz="0" w:space="0" w:color="auto"/>
                      </w:divBdr>
                      <w:divsChild>
                        <w:div w:id="4697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489880">
      <w:bodyDiv w:val="1"/>
      <w:marLeft w:val="0"/>
      <w:marRight w:val="0"/>
      <w:marTop w:val="0"/>
      <w:marBottom w:val="0"/>
      <w:divBdr>
        <w:top w:val="none" w:sz="0" w:space="0" w:color="auto"/>
        <w:left w:val="none" w:sz="0" w:space="0" w:color="auto"/>
        <w:bottom w:val="none" w:sz="0" w:space="0" w:color="auto"/>
        <w:right w:val="none" w:sz="0" w:space="0" w:color="auto"/>
      </w:divBdr>
      <w:divsChild>
        <w:div w:id="89393188">
          <w:marLeft w:val="0"/>
          <w:marRight w:val="0"/>
          <w:marTop w:val="0"/>
          <w:marBottom w:val="0"/>
          <w:divBdr>
            <w:top w:val="none" w:sz="0" w:space="0" w:color="auto"/>
            <w:left w:val="none" w:sz="0" w:space="0" w:color="auto"/>
            <w:bottom w:val="none" w:sz="0" w:space="0" w:color="auto"/>
            <w:right w:val="none" w:sz="0" w:space="0" w:color="auto"/>
          </w:divBdr>
          <w:divsChild>
            <w:div w:id="59599432">
              <w:marLeft w:val="0"/>
              <w:marRight w:val="0"/>
              <w:marTop w:val="0"/>
              <w:marBottom w:val="0"/>
              <w:divBdr>
                <w:top w:val="none" w:sz="0" w:space="0" w:color="auto"/>
                <w:left w:val="none" w:sz="0" w:space="0" w:color="auto"/>
                <w:bottom w:val="none" w:sz="0" w:space="0" w:color="auto"/>
                <w:right w:val="none" w:sz="0" w:space="0" w:color="auto"/>
              </w:divBdr>
            </w:div>
          </w:divsChild>
        </w:div>
        <w:div w:id="613025549">
          <w:marLeft w:val="0"/>
          <w:marRight w:val="0"/>
          <w:marTop w:val="240"/>
          <w:marBottom w:val="0"/>
          <w:divBdr>
            <w:top w:val="none" w:sz="0" w:space="0" w:color="auto"/>
            <w:left w:val="none" w:sz="0" w:space="0" w:color="auto"/>
            <w:bottom w:val="none" w:sz="0" w:space="0" w:color="auto"/>
            <w:right w:val="none" w:sz="0" w:space="0" w:color="auto"/>
          </w:divBdr>
          <w:divsChild>
            <w:div w:id="1535189662">
              <w:marLeft w:val="0"/>
              <w:marRight w:val="0"/>
              <w:marTop w:val="240"/>
              <w:marBottom w:val="0"/>
              <w:divBdr>
                <w:top w:val="none" w:sz="0" w:space="0" w:color="auto"/>
                <w:left w:val="none" w:sz="0" w:space="0" w:color="auto"/>
                <w:bottom w:val="none" w:sz="0" w:space="0" w:color="auto"/>
                <w:right w:val="none" w:sz="0" w:space="0" w:color="auto"/>
              </w:divBdr>
            </w:div>
          </w:divsChild>
        </w:div>
        <w:div w:id="1287202545">
          <w:marLeft w:val="0"/>
          <w:marRight w:val="0"/>
          <w:marTop w:val="240"/>
          <w:marBottom w:val="0"/>
          <w:divBdr>
            <w:top w:val="none" w:sz="0" w:space="0" w:color="auto"/>
            <w:left w:val="none" w:sz="0" w:space="0" w:color="auto"/>
            <w:bottom w:val="none" w:sz="0" w:space="0" w:color="auto"/>
            <w:right w:val="none" w:sz="0" w:space="0" w:color="auto"/>
          </w:divBdr>
          <w:divsChild>
            <w:div w:id="696081036">
              <w:marLeft w:val="0"/>
              <w:marRight w:val="0"/>
              <w:marTop w:val="0"/>
              <w:marBottom w:val="0"/>
              <w:divBdr>
                <w:top w:val="none" w:sz="0" w:space="0" w:color="auto"/>
                <w:left w:val="none" w:sz="0" w:space="0" w:color="auto"/>
                <w:bottom w:val="none" w:sz="0" w:space="0" w:color="auto"/>
                <w:right w:val="none" w:sz="0" w:space="0" w:color="auto"/>
              </w:divBdr>
            </w:div>
          </w:divsChild>
        </w:div>
        <w:div w:id="1446146424">
          <w:marLeft w:val="0"/>
          <w:marRight w:val="0"/>
          <w:marTop w:val="0"/>
          <w:marBottom w:val="0"/>
          <w:divBdr>
            <w:top w:val="none" w:sz="0" w:space="0" w:color="auto"/>
            <w:left w:val="none" w:sz="0" w:space="0" w:color="auto"/>
            <w:bottom w:val="none" w:sz="0" w:space="0" w:color="auto"/>
            <w:right w:val="none" w:sz="0" w:space="0" w:color="auto"/>
          </w:divBdr>
          <w:divsChild>
            <w:div w:id="1111050614">
              <w:marLeft w:val="0"/>
              <w:marRight w:val="0"/>
              <w:marTop w:val="0"/>
              <w:marBottom w:val="0"/>
              <w:divBdr>
                <w:top w:val="none" w:sz="0" w:space="0" w:color="auto"/>
                <w:left w:val="none" w:sz="0" w:space="0" w:color="auto"/>
                <w:bottom w:val="none" w:sz="0" w:space="0" w:color="auto"/>
                <w:right w:val="none" w:sz="0" w:space="0" w:color="auto"/>
              </w:divBdr>
            </w:div>
          </w:divsChild>
        </w:div>
        <w:div w:id="1832135531">
          <w:marLeft w:val="0"/>
          <w:marRight w:val="0"/>
          <w:marTop w:val="240"/>
          <w:marBottom w:val="0"/>
          <w:divBdr>
            <w:top w:val="none" w:sz="0" w:space="0" w:color="auto"/>
            <w:left w:val="none" w:sz="0" w:space="0" w:color="auto"/>
            <w:bottom w:val="none" w:sz="0" w:space="0" w:color="auto"/>
            <w:right w:val="none" w:sz="0" w:space="0" w:color="auto"/>
          </w:divBdr>
          <w:divsChild>
            <w:div w:id="421876518">
              <w:marLeft w:val="0"/>
              <w:marRight w:val="0"/>
              <w:marTop w:val="240"/>
              <w:marBottom w:val="0"/>
              <w:divBdr>
                <w:top w:val="none" w:sz="0" w:space="0" w:color="auto"/>
                <w:left w:val="none" w:sz="0" w:space="0" w:color="auto"/>
                <w:bottom w:val="none" w:sz="0" w:space="0" w:color="auto"/>
                <w:right w:val="none" w:sz="0" w:space="0" w:color="auto"/>
              </w:divBdr>
            </w:div>
          </w:divsChild>
        </w:div>
        <w:div w:id="1992982496">
          <w:marLeft w:val="0"/>
          <w:marRight w:val="0"/>
          <w:marTop w:val="240"/>
          <w:marBottom w:val="0"/>
          <w:divBdr>
            <w:top w:val="none" w:sz="0" w:space="0" w:color="auto"/>
            <w:left w:val="none" w:sz="0" w:space="0" w:color="auto"/>
            <w:bottom w:val="none" w:sz="0" w:space="0" w:color="auto"/>
            <w:right w:val="none" w:sz="0" w:space="0" w:color="auto"/>
          </w:divBdr>
          <w:divsChild>
            <w:div w:id="1642155784">
              <w:marLeft w:val="0"/>
              <w:marRight w:val="0"/>
              <w:marTop w:val="0"/>
              <w:marBottom w:val="0"/>
              <w:divBdr>
                <w:top w:val="none" w:sz="0" w:space="0" w:color="auto"/>
                <w:left w:val="none" w:sz="0" w:space="0" w:color="auto"/>
                <w:bottom w:val="none" w:sz="0" w:space="0" w:color="auto"/>
                <w:right w:val="none" w:sz="0" w:space="0" w:color="auto"/>
              </w:divBdr>
            </w:div>
          </w:divsChild>
        </w:div>
        <w:div w:id="2017263832">
          <w:marLeft w:val="0"/>
          <w:marRight w:val="0"/>
          <w:marTop w:val="240"/>
          <w:marBottom w:val="0"/>
          <w:divBdr>
            <w:top w:val="none" w:sz="0" w:space="0" w:color="auto"/>
            <w:left w:val="none" w:sz="0" w:space="0" w:color="auto"/>
            <w:bottom w:val="none" w:sz="0" w:space="0" w:color="auto"/>
            <w:right w:val="none" w:sz="0" w:space="0" w:color="auto"/>
          </w:divBdr>
          <w:divsChild>
            <w:div w:id="1508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65837">
      <w:bodyDiv w:val="1"/>
      <w:marLeft w:val="0"/>
      <w:marRight w:val="0"/>
      <w:marTop w:val="0"/>
      <w:marBottom w:val="0"/>
      <w:divBdr>
        <w:top w:val="none" w:sz="0" w:space="0" w:color="auto"/>
        <w:left w:val="none" w:sz="0" w:space="0" w:color="auto"/>
        <w:bottom w:val="none" w:sz="0" w:space="0" w:color="auto"/>
        <w:right w:val="none" w:sz="0" w:space="0" w:color="auto"/>
      </w:divBdr>
      <w:divsChild>
        <w:div w:id="263810832">
          <w:marLeft w:val="0"/>
          <w:marRight w:val="0"/>
          <w:marTop w:val="240"/>
          <w:marBottom w:val="0"/>
          <w:divBdr>
            <w:top w:val="none" w:sz="0" w:space="0" w:color="auto"/>
            <w:left w:val="none" w:sz="0" w:space="0" w:color="auto"/>
            <w:bottom w:val="none" w:sz="0" w:space="0" w:color="auto"/>
            <w:right w:val="none" w:sz="0" w:space="0" w:color="auto"/>
          </w:divBdr>
          <w:divsChild>
            <w:div w:id="1803770620">
              <w:marLeft w:val="0"/>
              <w:marRight w:val="0"/>
              <w:marTop w:val="0"/>
              <w:marBottom w:val="0"/>
              <w:divBdr>
                <w:top w:val="none" w:sz="0" w:space="0" w:color="auto"/>
                <w:left w:val="none" w:sz="0" w:space="0" w:color="auto"/>
                <w:bottom w:val="none" w:sz="0" w:space="0" w:color="auto"/>
                <w:right w:val="none" w:sz="0" w:space="0" w:color="auto"/>
              </w:divBdr>
            </w:div>
          </w:divsChild>
        </w:div>
        <w:div w:id="622544491">
          <w:marLeft w:val="0"/>
          <w:marRight w:val="0"/>
          <w:marTop w:val="0"/>
          <w:marBottom w:val="0"/>
          <w:divBdr>
            <w:top w:val="none" w:sz="0" w:space="0" w:color="auto"/>
            <w:left w:val="none" w:sz="0" w:space="0" w:color="auto"/>
            <w:bottom w:val="none" w:sz="0" w:space="0" w:color="auto"/>
            <w:right w:val="none" w:sz="0" w:space="0" w:color="auto"/>
          </w:divBdr>
        </w:div>
        <w:div w:id="624888895">
          <w:marLeft w:val="0"/>
          <w:marRight w:val="0"/>
          <w:marTop w:val="0"/>
          <w:marBottom w:val="0"/>
          <w:divBdr>
            <w:top w:val="none" w:sz="0" w:space="0" w:color="auto"/>
            <w:left w:val="none" w:sz="0" w:space="0" w:color="auto"/>
            <w:bottom w:val="none" w:sz="0" w:space="0" w:color="auto"/>
            <w:right w:val="none" w:sz="0" w:space="0" w:color="auto"/>
          </w:divBdr>
        </w:div>
        <w:div w:id="1349599194">
          <w:marLeft w:val="0"/>
          <w:marRight w:val="0"/>
          <w:marTop w:val="240"/>
          <w:marBottom w:val="0"/>
          <w:divBdr>
            <w:top w:val="none" w:sz="0" w:space="0" w:color="auto"/>
            <w:left w:val="none" w:sz="0" w:space="0" w:color="auto"/>
            <w:bottom w:val="none" w:sz="0" w:space="0" w:color="auto"/>
            <w:right w:val="none" w:sz="0" w:space="0" w:color="auto"/>
          </w:divBdr>
          <w:divsChild>
            <w:div w:id="5278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3691">
      <w:bodyDiv w:val="1"/>
      <w:marLeft w:val="0"/>
      <w:marRight w:val="0"/>
      <w:marTop w:val="0"/>
      <w:marBottom w:val="0"/>
      <w:divBdr>
        <w:top w:val="none" w:sz="0" w:space="0" w:color="auto"/>
        <w:left w:val="none" w:sz="0" w:space="0" w:color="auto"/>
        <w:bottom w:val="none" w:sz="0" w:space="0" w:color="auto"/>
        <w:right w:val="none" w:sz="0" w:space="0" w:color="auto"/>
      </w:divBdr>
    </w:div>
    <w:div w:id="1696997584">
      <w:bodyDiv w:val="1"/>
      <w:marLeft w:val="0"/>
      <w:marRight w:val="0"/>
      <w:marTop w:val="0"/>
      <w:marBottom w:val="0"/>
      <w:divBdr>
        <w:top w:val="none" w:sz="0" w:space="0" w:color="auto"/>
        <w:left w:val="none" w:sz="0" w:space="0" w:color="auto"/>
        <w:bottom w:val="none" w:sz="0" w:space="0" w:color="auto"/>
        <w:right w:val="none" w:sz="0" w:space="0" w:color="auto"/>
      </w:divBdr>
      <w:divsChild>
        <w:div w:id="1064259208">
          <w:marLeft w:val="0"/>
          <w:marRight w:val="0"/>
          <w:marTop w:val="0"/>
          <w:marBottom w:val="0"/>
          <w:divBdr>
            <w:top w:val="none" w:sz="0" w:space="0" w:color="auto"/>
            <w:left w:val="none" w:sz="0" w:space="0" w:color="auto"/>
            <w:bottom w:val="none" w:sz="0" w:space="0" w:color="auto"/>
            <w:right w:val="none" w:sz="0" w:space="0" w:color="auto"/>
          </w:divBdr>
          <w:divsChild>
            <w:div w:id="748844055">
              <w:marLeft w:val="0"/>
              <w:marRight w:val="0"/>
              <w:marTop w:val="0"/>
              <w:marBottom w:val="0"/>
              <w:divBdr>
                <w:top w:val="none" w:sz="0" w:space="0" w:color="auto"/>
                <w:left w:val="none" w:sz="0" w:space="0" w:color="auto"/>
                <w:bottom w:val="none" w:sz="0" w:space="0" w:color="auto"/>
                <w:right w:val="none" w:sz="0" w:space="0" w:color="auto"/>
              </w:divBdr>
              <w:divsChild>
                <w:div w:id="808594886">
                  <w:marLeft w:val="0"/>
                  <w:marRight w:val="0"/>
                  <w:marTop w:val="0"/>
                  <w:marBottom w:val="0"/>
                  <w:divBdr>
                    <w:top w:val="none" w:sz="0" w:space="0" w:color="auto"/>
                    <w:left w:val="none" w:sz="0" w:space="0" w:color="auto"/>
                    <w:bottom w:val="none" w:sz="0" w:space="0" w:color="auto"/>
                    <w:right w:val="none" w:sz="0" w:space="0" w:color="auto"/>
                  </w:divBdr>
                  <w:divsChild>
                    <w:div w:id="1970091697">
                      <w:marLeft w:val="0"/>
                      <w:marRight w:val="0"/>
                      <w:marTop w:val="0"/>
                      <w:marBottom w:val="375"/>
                      <w:divBdr>
                        <w:top w:val="none" w:sz="0" w:space="0" w:color="auto"/>
                        <w:left w:val="none" w:sz="0" w:space="0" w:color="auto"/>
                        <w:bottom w:val="none" w:sz="0" w:space="0" w:color="auto"/>
                        <w:right w:val="none" w:sz="0" w:space="0" w:color="auto"/>
                      </w:divBdr>
                      <w:divsChild>
                        <w:div w:id="2622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189849">
      <w:bodyDiv w:val="1"/>
      <w:marLeft w:val="0"/>
      <w:marRight w:val="0"/>
      <w:marTop w:val="0"/>
      <w:marBottom w:val="0"/>
      <w:divBdr>
        <w:top w:val="none" w:sz="0" w:space="0" w:color="auto"/>
        <w:left w:val="none" w:sz="0" w:space="0" w:color="auto"/>
        <w:bottom w:val="none" w:sz="0" w:space="0" w:color="auto"/>
        <w:right w:val="none" w:sz="0" w:space="0" w:color="auto"/>
      </w:divBdr>
    </w:div>
    <w:div w:id="1697580462">
      <w:bodyDiv w:val="1"/>
      <w:marLeft w:val="0"/>
      <w:marRight w:val="0"/>
      <w:marTop w:val="0"/>
      <w:marBottom w:val="0"/>
      <w:divBdr>
        <w:top w:val="none" w:sz="0" w:space="0" w:color="auto"/>
        <w:left w:val="none" w:sz="0" w:space="0" w:color="auto"/>
        <w:bottom w:val="none" w:sz="0" w:space="0" w:color="auto"/>
        <w:right w:val="none" w:sz="0" w:space="0" w:color="auto"/>
      </w:divBdr>
    </w:div>
    <w:div w:id="1698391635">
      <w:bodyDiv w:val="1"/>
      <w:marLeft w:val="0"/>
      <w:marRight w:val="0"/>
      <w:marTop w:val="0"/>
      <w:marBottom w:val="0"/>
      <w:divBdr>
        <w:top w:val="none" w:sz="0" w:space="0" w:color="auto"/>
        <w:left w:val="none" w:sz="0" w:space="0" w:color="auto"/>
        <w:bottom w:val="none" w:sz="0" w:space="0" w:color="auto"/>
        <w:right w:val="none" w:sz="0" w:space="0" w:color="auto"/>
      </w:divBdr>
      <w:divsChild>
        <w:div w:id="694304011">
          <w:marLeft w:val="0"/>
          <w:marRight w:val="0"/>
          <w:marTop w:val="0"/>
          <w:marBottom w:val="0"/>
          <w:divBdr>
            <w:top w:val="none" w:sz="0" w:space="0" w:color="auto"/>
            <w:left w:val="none" w:sz="0" w:space="0" w:color="auto"/>
            <w:bottom w:val="none" w:sz="0" w:space="0" w:color="auto"/>
            <w:right w:val="none" w:sz="0" w:space="0" w:color="auto"/>
          </w:divBdr>
          <w:divsChild>
            <w:div w:id="755175019">
              <w:marLeft w:val="0"/>
              <w:marRight w:val="0"/>
              <w:marTop w:val="0"/>
              <w:marBottom w:val="0"/>
              <w:divBdr>
                <w:top w:val="none" w:sz="0" w:space="0" w:color="auto"/>
                <w:left w:val="none" w:sz="0" w:space="0" w:color="auto"/>
                <w:bottom w:val="none" w:sz="0" w:space="0" w:color="auto"/>
                <w:right w:val="none" w:sz="0" w:space="0" w:color="auto"/>
              </w:divBdr>
              <w:divsChild>
                <w:div w:id="2090348068">
                  <w:marLeft w:val="0"/>
                  <w:marRight w:val="0"/>
                  <w:marTop w:val="0"/>
                  <w:marBottom w:val="0"/>
                  <w:divBdr>
                    <w:top w:val="none" w:sz="0" w:space="0" w:color="auto"/>
                    <w:left w:val="none" w:sz="0" w:space="0" w:color="auto"/>
                    <w:bottom w:val="none" w:sz="0" w:space="0" w:color="auto"/>
                    <w:right w:val="none" w:sz="0" w:space="0" w:color="auto"/>
                  </w:divBdr>
                  <w:divsChild>
                    <w:div w:id="618802536">
                      <w:marLeft w:val="0"/>
                      <w:marRight w:val="0"/>
                      <w:marTop w:val="0"/>
                      <w:marBottom w:val="375"/>
                      <w:divBdr>
                        <w:top w:val="none" w:sz="0" w:space="0" w:color="auto"/>
                        <w:left w:val="none" w:sz="0" w:space="0" w:color="auto"/>
                        <w:bottom w:val="none" w:sz="0" w:space="0" w:color="auto"/>
                        <w:right w:val="none" w:sz="0" w:space="0" w:color="auto"/>
                      </w:divBdr>
                      <w:divsChild>
                        <w:div w:id="45371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91830">
      <w:bodyDiv w:val="1"/>
      <w:marLeft w:val="0"/>
      <w:marRight w:val="0"/>
      <w:marTop w:val="0"/>
      <w:marBottom w:val="0"/>
      <w:divBdr>
        <w:top w:val="none" w:sz="0" w:space="0" w:color="auto"/>
        <w:left w:val="none" w:sz="0" w:space="0" w:color="auto"/>
        <w:bottom w:val="none" w:sz="0" w:space="0" w:color="auto"/>
        <w:right w:val="none" w:sz="0" w:space="0" w:color="auto"/>
      </w:divBdr>
      <w:divsChild>
        <w:div w:id="845435102">
          <w:marLeft w:val="0"/>
          <w:marRight w:val="0"/>
          <w:marTop w:val="0"/>
          <w:marBottom w:val="0"/>
          <w:divBdr>
            <w:top w:val="none" w:sz="0" w:space="0" w:color="auto"/>
            <w:left w:val="single" w:sz="6" w:space="0" w:color="BBBBBB"/>
            <w:bottom w:val="single" w:sz="6" w:space="0" w:color="BBBBBB"/>
            <w:right w:val="single" w:sz="6" w:space="0" w:color="BBBBBB"/>
          </w:divBdr>
          <w:divsChild>
            <w:div w:id="1374963685">
              <w:marLeft w:val="0"/>
              <w:marRight w:val="0"/>
              <w:marTop w:val="0"/>
              <w:marBottom w:val="0"/>
              <w:divBdr>
                <w:top w:val="none" w:sz="0" w:space="0" w:color="auto"/>
                <w:left w:val="none" w:sz="0" w:space="0" w:color="auto"/>
                <w:bottom w:val="none" w:sz="0" w:space="0" w:color="auto"/>
                <w:right w:val="none" w:sz="0" w:space="0" w:color="auto"/>
              </w:divBdr>
              <w:divsChild>
                <w:div w:id="1500542756">
                  <w:marLeft w:val="0"/>
                  <w:marRight w:val="0"/>
                  <w:marTop w:val="75"/>
                  <w:marBottom w:val="0"/>
                  <w:divBdr>
                    <w:top w:val="none" w:sz="0" w:space="0" w:color="auto"/>
                    <w:left w:val="none" w:sz="0" w:space="0" w:color="auto"/>
                    <w:bottom w:val="none" w:sz="0" w:space="0" w:color="auto"/>
                    <w:right w:val="none" w:sz="0" w:space="0" w:color="auto"/>
                  </w:divBdr>
                  <w:divsChild>
                    <w:div w:id="289210620">
                      <w:marLeft w:val="0"/>
                      <w:marRight w:val="0"/>
                      <w:marTop w:val="0"/>
                      <w:marBottom w:val="0"/>
                      <w:divBdr>
                        <w:top w:val="none" w:sz="0" w:space="0" w:color="auto"/>
                        <w:left w:val="none" w:sz="0" w:space="0" w:color="auto"/>
                        <w:bottom w:val="none" w:sz="0" w:space="0" w:color="auto"/>
                        <w:right w:val="none" w:sz="0" w:space="0" w:color="auto"/>
                      </w:divBdr>
                      <w:divsChild>
                        <w:div w:id="837813629">
                          <w:marLeft w:val="0"/>
                          <w:marRight w:val="0"/>
                          <w:marTop w:val="0"/>
                          <w:marBottom w:val="0"/>
                          <w:divBdr>
                            <w:top w:val="none" w:sz="0" w:space="0" w:color="auto"/>
                            <w:left w:val="none" w:sz="0" w:space="0" w:color="auto"/>
                            <w:bottom w:val="none" w:sz="0" w:space="0" w:color="auto"/>
                            <w:right w:val="none" w:sz="0" w:space="0" w:color="auto"/>
                          </w:divBdr>
                          <w:divsChild>
                            <w:div w:id="857349287">
                              <w:marLeft w:val="0"/>
                              <w:marRight w:val="0"/>
                              <w:marTop w:val="0"/>
                              <w:marBottom w:val="0"/>
                              <w:divBdr>
                                <w:top w:val="none" w:sz="0" w:space="0" w:color="auto"/>
                                <w:left w:val="none" w:sz="0" w:space="0" w:color="auto"/>
                                <w:bottom w:val="none" w:sz="0" w:space="0" w:color="auto"/>
                                <w:right w:val="none" w:sz="0" w:space="0" w:color="auto"/>
                              </w:divBdr>
                              <w:divsChild>
                                <w:div w:id="510417010">
                                  <w:marLeft w:val="0"/>
                                  <w:marRight w:val="0"/>
                                  <w:marTop w:val="0"/>
                                  <w:marBottom w:val="0"/>
                                  <w:divBdr>
                                    <w:top w:val="none" w:sz="0" w:space="0" w:color="auto"/>
                                    <w:left w:val="none" w:sz="0" w:space="0" w:color="auto"/>
                                    <w:bottom w:val="none" w:sz="0" w:space="0" w:color="auto"/>
                                    <w:right w:val="none" w:sz="0" w:space="0" w:color="auto"/>
                                  </w:divBdr>
                                  <w:divsChild>
                                    <w:div w:id="1138300103">
                                      <w:marLeft w:val="0"/>
                                      <w:marRight w:val="0"/>
                                      <w:marTop w:val="0"/>
                                      <w:marBottom w:val="0"/>
                                      <w:divBdr>
                                        <w:top w:val="none" w:sz="0" w:space="0" w:color="auto"/>
                                        <w:left w:val="none" w:sz="0" w:space="0" w:color="auto"/>
                                        <w:bottom w:val="none" w:sz="0" w:space="0" w:color="auto"/>
                                        <w:right w:val="none" w:sz="0" w:space="0" w:color="auto"/>
                                      </w:divBdr>
                                      <w:divsChild>
                                        <w:div w:id="1935239537">
                                          <w:marLeft w:val="1200"/>
                                          <w:marRight w:val="1200"/>
                                          <w:marTop w:val="0"/>
                                          <w:marBottom w:val="0"/>
                                          <w:divBdr>
                                            <w:top w:val="none" w:sz="0" w:space="0" w:color="auto"/>
                                            <w:left w:val="none" w:sz="0" w:space="0" w:color="auto"/>
                                            <w:bottom w:val="none" w:sz="0" w:space="0" w:color="auto"/>
                                            <w:right w:val="none" w:sz="0" w:space="0" w:color="auto"/>
                                          </w:divBdr>
                                          <w:divsChild>
                                            <w:div w:id="805319633">
                                              <w:marLeft w:val="0"/>
                                              <w:marRight w:val="0"/>
                                              <w:marTop w:val="0"/>
                                              <w:marBottom w:val="0"/>
                                              <w:divBdr>
                                                <w:top w:val="none" w:sz="0" w:space="0" w:color="auto"/>
                                                <w:left w:val="none" w:sz="0" w:space="0" w:color="auto"/>
                                                <w:bottom w:val="none" w:sz="0" w:space="0" w:color="auto"/>
                                                <w:right w:val="none" w:sz="0" w:space="0" w:color="auto"/>
                                              </w:divBdr>
                                              <w:divsChild>
                                                <w:div w:id="1605066346">
                                                  <w:marLeft w:val="0"/>
                                                  <w:marRight w:val="0"/>
                                                  <w:marTop w:val="0"/>
                                                  <w:marBottom w:val="0"/>
                                                  <w:divBdr>
                                                    <w:top w:val="none" w:sz="0" w:space="0" w:color="auto"/>
                                                    <w:left w:val="none" w:sz="0" w:space="0" w:color="auto"/>
                                                    <w:bottom w:val="none" w:sz="0" w:space="0" w:color="auto"/>
                                                    <w:right w:val="none" w:sz="0" w:space="0" w:color="auto"/>
                                                  </w:divBdr>
                                                  <w:divsChild>
                                                    <w:div w:id="258684187">
                                                      <w:marLeft w:val="0"/>
                                                      <w:marRight w:val="0"/>
                                                      <w:marTop w:val="0"/>
                                                      <w:marBottom w:val="0"/>
                                                      <w:divBdr>
                                                        <w:top w:val="none" w:sz="0" w:space="0" w:color="auto"/>
                                                        <w:left w:val="none" w:sz="0" w:space="0" w:color="auto"/>
                                                        <w:bottom w:val="none" w:sz="0" w:space="0" w:color="auto"/>
                                                        <w:right w:val="none" w:sz="0" w:space="0" w:color="auto"/>
                                                      </w:divBdr>
                                                      <w:divsChild>
                                                        <w:div w:id="103888964">
                                                          <w:marLeft w:val="0"/>
                                                          <w:marRight w:val="0"/>
                                                          <w:marTop w:val="0"/>
                                                          <w:marBottom w:val="0"/>
                                                          <w:divBdr>
                                                            <w:top w:val="none" w:sz="0" w:space="0" w:color="auto"/>
                                                            <w:left w:val="none" w:sz="0" w:space="0" w:color="auto"/>
                                                            <w:bottom w:val="none" w:sz="0" w:space="0" w:color="auto"/>
                                                            <w:right w:val="none" w:sz="0" w:space="0" w:color="auto"/>
                                                          </w:divBdr>
                                                          <w:divsChild>
                                                            <w:div w:id="2011175651">
                                                              <w:marLeft w:val="0"/>
                                                              <w:marRight w:val="0"/>
                                                              <w:marTop w:val="0"/>
                                                              <w:marBottom w:val="0"/>
                                                              <w:divBdr>
                                                                <w:top w:val="none" w:sz="0" w:space="0" w:color="auto"/>
                                                                <w:left w:val="none" w:sz="0" w:space="0" w:color="auto"/>
                                                                <w:bottom w:val="none" w:sz="0" w:space="0" w:color="auto"/>
                                                                <w:right w:val="none" w:sz="0" w:space="0" w:color="auto"/>
                                                              </w:divBdr>
                                                              <w:divsChild>
                                                                <w:div w:id="1637951911">
                                                                  <w:marLeft w:val="0"/>
                                                                  <w:marRight w:val="0"/>
                                                                  <w:marTop w:val="0"/>
                                                                  <w:marBottom w:val="0"/>
                                                                  <w:divBdr>
                                                                    <w:top w:val="none" w:sz="0" w:space="0" w:color="auto"/>
                                                                    <w:left w:val="none" w:sz="0" w:space="0" w:color="auto"/>
                                                                    <w:bottom w:val="none" w:sz="0" w:space="0" w:color="auto"/>
                                                                    <w:right w:val="none" w:sz="0" w:space="0" w:color="auto"/>
                                                                  </w:divBdr>
                                                                  <w:divsChild>
                                                                    <w:div w:id="812990714">
                                                                      <w:marLeft w:val="0"/>
                                                                      <w:marRight w:val="0"/>
                                                                      <w:marTop w:val="0"/>
                                                                      <w:marBottom w:val="0"/>
                                                                      <w:divBdr>
                                                                        <w:top w:val="none" w:sz="0" w:space="0" w:color="auto"/>
                                                                        <w:left w:val="none" w:sz="0" w:space="0" w:color="auto"/>
                                                                        <w:bottom w:val="none" w:sz="0" w:space="0" w:color="auto"/>
                                                                        <w:right w:val="none" w:sz="0" w:space="0" w:color="auto"/>
                                                                      </w:divBdr>
                                                                      <w:divsChild>
                                                                        <w:div w:id="189805086">
                                                                          <w:marLeft w:val="0"/>
                                                                          <w:marRight w:val="0"/>
                                                                          <w:marTop w:val="0"/>
                                                                          <w:marBottom w:val="0"/>
                                                                          <w:divBdr>
                                                                            <w:top w:val="none" w:sz="0" w:space="0" w:color="auto"/>
                                                                            <w:left w:val="none" w:sz="0" w:space="0" w:color="auto"/>
                                                                            <w:bottom w:val="none" w:sz="0" w:space="0" w:color="auto"/>
                                                                            <w:right w:val="none" w:sz="0" w:space="0" w:color="auto"/>
                                                                          </w:divBdr>
                                                                        </w:div>
                                                                      </w:divsChild>
                                                                    </w:div>
                                                                    <w:div w:id="1519004832">
                                                                      <w:marLeft w:val="0"/>
                                                                      <w:marRight w:val="0"/>
                                                                      <w:marTop w:val="0"/>
                                                                      <w:marBottom w:val="0"/>
                                                                      <w:divBdr>
                                                                        <w:top w:val="none" w:sz="0" w:space="0" w:color="auto"/>
                                                                        <w:left w:val="none" w:sz="0" w:space="0" w:color="auto"/>
                                                                        <w:bottom w:val="none" w:sz="0" w:space="0" w:color="auto"/>
                                                                        <w:right w:val="none" w:sz="0" w:space="0" w:color="auto"/>
                                                                      </w:divBdr>
                                                                      <w:divsChild>
                                                                        <w:div w:id="172382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934180">
      <w:bodyDiv w:val="1"/>
      <w:marLeft w:val="30"/>
      <w:marRight w:val="30"/>
      <w:marTop w:val="30"/>
      <w:marBottom w:val="30"/>
      <w:divBdr>
        <w:top w:val="none" w:sz="0" w:space="0" w:color="auto"/>
        <w:left w:val="none" w:sz="0" w:space="0" w:color="auto"/>
        <w:bottom w:val="none" w:sz="0" w:space="0" w:color="auto"/>
        <w:right w:val="none" w:sz="0" w:space="0" w:color="auto"/>
      </w:divBdr>
      <w:divsChild>
        <w:div w:id="2090613627">
          <w:marLeft w:val="0"/>
          <w:marRight w:val="0"/>
          <w:marTop w:val="0"/>
          <w:marBottom w:val="0"/>
          <w:divBdr>
            <w:top w:val="none" w:sz="0" w:space="0" w:color="auto"/>
            <w:left w:val="none" w:sz="0" w:space="0" w:color="auto"/>
            <w:bottom w:val="none" w:sz="0" w:space="0" w:color="auto"/>
            <w:right w:val="none" w:sz="0" w:space="0" w:color="auto"/>
          </w:divBdr>
          <w:divsChild>
            <w:div w:id="286858889">
              <w:marLeft w:val="45"/>
              <w:marRight w:val="45"/>
              <w:marTop w:val="45"/>
              <w:marBottom w:val="45"/>
              <w:divBdr>
                <w:top w:val="none" w:sz="0" w:space="0" w:color="auto"/>
                <w:left w:val="none" w:sz="0" w:space="0" w:color="auto"/>
                <w:bottom w:val="none" w:sz="0" w:space="0" w:color="auto"/>
                <w:right w:val="none" w:sz="0" w:space="0" w:color="auto"/>
              </w:divBdr>
              <w:divsChild>
                <w:div w:id="199795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127725">
      <w:bodyDiv w:val="1"/>
      <w:marLeft w:val="0"/>
      <w:marRight w:val="0"/>
      <w:marTop w:val="0"/>
      <w:marBottom w:val="0"/>
      <w:divBdr>
        <w:top w:val="none" w:sz="0" w:space="0" w:color="auto"/>
        <w:left w:val="none" w:sz="0" w:space="0" w:color="auto"/>
        <w:bottom w:val="none" w:sz="0" w:space="0" w:color="auto"/>
        <w:right w:val="none" w:sz="0" w:space="0" w:color="auto"/>
      </w:divBdr>
      <w:divsChild>
        <w:div w:id="448742007">
          <w:marLeft w:val="0"/>
          <w:marRight w:val="0"/>
          <w:marTop w:val="0"/>
          <w:marBottom w:val="0"/>
          <w:divBdr>
            <w:top w:val="none" w:sz="0" w:space="0" w:color="auto"/>
            <w:left w:val="single" w:sz="6" w:space="0" w:color="BBBBBB"/>
            <w:bottom w:val="single" w:sz="6" w:space="0" w:color="BBBBBB"/>
            <w:right w:val="single" w:sz="6" w:space="0" w:color="BBBBBB"/>
          </w:divBdr>
          <w:divsChild>
            <w:div w:id="649555916">
              <w:marLeft w:val="0"/>
              <w:marRight w:val="0"/>
              <w:marTop w:val="0"/>
              <w:marBottom w:val="0"/>
              <w:divBdr>
                <w:top w:val="none" w:sz="0" w:space="0" w:color="auto"/>
                <w:left w:val="none" w:sz="0" w:space="0" w:color="auto"/>
                <w:bottom w:val="none" w:sz="0" w:space="0" w:color="auto"/>
                <w:right w:val="none" w:sz="0" w:space="0" w:color="auto"/>
              </w:divBdr>
              <w:divsChild>
                <w:div w:id="421804300">
                  <w:marLeft w:val="0"/>
                  <w:marRight w:val="0"/>
                  <w:marTop w:val="75"/>
                  <w:marBottom w:val="0"/>
                  <w:divBdr>
                    <w:top w:val="none" w:sz="0" w:space="0" w:color="auto"/>
                    <w:left w:val="none" w:sz="0" w:space="0" w:color="auto"/>
                    <w:bottom w:val="none" w:sz="0" w:space="0" w:color="auto"/>
                    <w:right w:val="none" w:sz="0" w:space="0" w:color="auto"/>
                  </w:divBdr>
                  <w:divsChild>
                    <w:div w:id="8066767">
                      <w:marLeft w:val="0"/>
                      <w:marRight w:val="0"/>
                      <w:marTop w:val="0"/>
                      <w:marBottom w:val="0"/>
                      <w:divBdr>
                        <w:top w:val="none" w:sz="0" w:space="0" w:color="auto"/>
                        <w:left w:val="none" w:sz="0" w:space="0" w:color="auto"/>
                        <w:bottom w:val="none" w:sz="0" w:space="0" w:color="auto"/>
                        <w:right w:val="none" w:sz="0" w:space="0" w:color="auto"/>
                      </w:divBdr>
                      <w:divsChild>
                        <w:div w:id="360477200">
                          <w:marLeft w:val="0"/>
                          <w:marRight w:val="0"/>
                          <w:marTop w:val="0"/>
                          <w:marBottom w:val="0"/>
                          <w:divBdr>
                            <w:top w:val="none" w:sz="0" w:space="0" w:color="auto"/>
                            <w:left w:val="none" w:sz="0" w:space="0" w:color="auto"/>
                            <w:bottom w:val="none" w:sz="0" w:space="0" w:color="auto"/>
                            <w:right w:val="none" w:sz="0" w:space="0" w:color="auto"/>
                          </w:divBdr>
                          <w:divsChild>
                            <w:div w:id="1324896976">
                              <w:marLeft w:val="0"/>
                              <w:marRight w:val="0"/>
                              <w:marTop w:val="0"/>
                              <w:marBottom w:val="0"/>
                              <w:divBdr>
                                <w:top w:val="none" w:sz="0" w:space="0" w:color="auto"/>
                                <w:left w:val="none" w:sz="0" w:space="0" w:color="auto"/>
                                <w:bottom w:val="none" w:sz="0" w:space="0" w:color="auto"/>
                                <w:right w:val="none" w:sz="0" w:space="0" w:color="auto"/>
                              </w:divBdr>
                              <w:divsChild>
                                <w:div w:id="340938306">
                                  <w:marLeft w:val="0"/>
                                  <w:marRight w:val="0"/>
                                  <w:marTop w:val="0"/>
                                  <w:marBottom w:val="0"/>
                                  <w:divBdr>
                                    <w:top w:val="none" w:sz="0" w:space="0" w:color="auto"/>
                                    <w:left w:val="none" w:sz="0" w:space="0" w:color="auto"/>
                                    <w:bottom w:val="none" w:sz="0" w:space="0" w:color="auto"/>
                                    <w:right w:val="none" w:sz="0" w:space="0" w:color="auto"/>
                                  </w:divBdr>
                                  <w:divsChild>
                                    <w:div w:id="57100153">
                                      <w:marLeft w:val="0"/>
                                      <w:marRight w:val="0"/>
                                      <w:marTop w:val="0"/>
                                      <w:marBottom w:val="0"/>
                                      <w:divBdr>
                                        <w:top w:val="none" w:sz="0" w:space="0" w:color="auto"/>
                                        <w:left w:val="none" w:sz="0" w:space="0" w:color="auto"/>
                                        <w:bottom w:val="none" w:sz="0" w:space="0" w:color="auto"/>
                                        <w:right w:val="none" w:sz="0" w:space="0" w:color="auto"/>
                                      </w:divBdr>
                                      <w:divsChild>
                                        <w:div w:id="742484012">
                                          <w:marLeft w:val="1200"/>
                                          <w:marRight w:val="1200"/>
                                          <w:marTop w:val="0"/>
                                          <w:marBottom w:val="0"/>
                                          <w:divBdr>
                                            <w:top w:val="none" w:sz="0" w:space="0" w:color="auto"/>
                                            <w:left w:val="none" w:sz="0" w:space="0" w:color="auto"/>
                                            <w:bottom w:val="none" w:sz="0" w:space="0" w:color="auto"/>
                                            <w:right w:val="none" w:sz="0" w:space="0" w:color="auto"/>
                                          </w:divBdr>
                                          <w:divsChild>
                                            <w:div w:id="2034573435">
                                              <w:marLeft w:val="0"/>
                                              <w:marRight w:val="0"/>
                                              <w:marTop w:val="0"/>
                                              <w:marBottom w:val="0"/>
                                              <w:divBdr>
                                                <w:top w:val="none" w:sz="0" w:space="0" w:color="auto"/>
                                                <w:left w:val="none" w:sz="0" w:space="0" w:color="auto"/>
                                                <w:bottom w:val="none" w:sz="0" w:space="0" w:color="auto"/>
                                                <w:right w:val="none" w:sz="0" w:space="0" w:color="auto"/>
                                              </w:divBdr>
                                              <w:divsChild>
                                                <w:div w:id="1641577007">
                                                  <w:marLeft w:val="0"/>
                                                  <w:marRight w:val="0"/>
                                                  <w:marTop w:val="0"/>
                                                  <w:marBottom w:val="0"/>
                                                  <w:divBdr>
                                                    <w:top w:val="none" w:sz="0" w:space="0" w:color="auto"/>
                                                    <w:left w:val="none" w:sz="0" w:space="0" w:color="auto"/>
                                                    <w:bottom w:val="none" w:sz="0" w:space="0" w:color="auto"/>
                                                    <w:right w:val="none" w:sz="0" w:space="0" w:color="auto"/>
                                                  </w:divBdr>
                                                  <w:divsChild>
                                                    <w:div w:id="2002389549">
                                                      <w:marLeft w:val="0"/>
                                                      <w:marRight w:val="0"/>
                                                      <w:marTop w:val="0"/>
                                                      <w:marBottom w:val="0"/>
                                                      <w:divBdr>
                                                        <w:top w:val="none" w:sz="0" w:space="0" w:color="auto"/>
                                                        <w:left w:val="none" w:sz="0" w:space="0" w:color="auto"/>
                                                        <w:bottom w:val="none" w:sz="0" w:space="0" w:color="auto"/>
                                                        <w:right w:val="none" w:sz="0" w:space="0" w:color="auto"/>
                                                      </w:divBdr>
                                                      <w:divsChild>
                                                        <w:div w:id="504830817">
                                                          <w:marLeft w:val="0"/>
                                                          <w:marRight w:val="0"/>
                                                          <w:marTop w:val="0"/>
                                                          <w:marBottom w:val="0"/>
                                                          <w:divBdr>
                                                            <w:top w:val="none" w:sz="0" w:space="0" w:color="auto"/>
                                                            <w:left w:val="none" w:sz="0" w:space="0" w:color="auto"/>
                                                            <w:bottom w:val="none" w:sz="0" w:space="0" w:color="auto"/>
                                                            <w:right w:val="none" w:sz="0" w:space="0" w:color="auto"/>
                                                          </w:divBdr>
                                                          <w:divsChild>
                                                            <w:div w:id="762846344">
                                                              <w:marLeft w:val="0"/>
                                                              <w:marRight w:val="0"/>
                                                              <w:marTop w:val="0"/>
                                                              <w:marBottom w:val="0"/>
                                                              <w:divBdr>
                                                                <w:top w:val="none" w:sz="0" w:space="0" w:color="auto"/>
                                                                <w:left w:val="none" w:sz="0" w:space="0" w:color="auto"/>
                                                                <w:bottom w:val="none" w:sz="0" w:space="0" w:color="auto"/>
                                                                <w:right w:val="none" w:sz="0" w:space="0" w:color="auto"/>
                                                              </w:divBdr>
                                                              <w:divsChild>
                                                                <w:div w:id="1031225079">
                                                                  <w:marLeft w:val="0"/>
                                                                  <w:marRight w:val="0"/>
                                                                  <w:marTop w:val="0"/>
                                                                  <w:marBottom w:val="0"/>
                                                                  <w:divBdr>
                                                                    <w:top w:val="none" w:sz="0" w:space="0" w:color="auto"/>
                                                                    <w:left w:val="none" w:sz="0" w:space="0" w:color="auto"/>
                                                                    <w:bottom w:val="none" w:sz="0" w:space="0" w:color="auto"/>
                                                                    <w:right w:val="none" w:sz="0" w:space="0" w:color="auto"/>
                                                                  </w:divBdr>
                                                                  <w:divsChild>
                                                                    <w:div w:id="1169447258">
                                                                      <w:marLeft w:val="0"/>
                                                                      <w:marRight w:val="0"/>
                                                                      <w:marTop w:val="0"/>
                                                                      <w:marBottom w:val="0"/>
                                                                      <w:divBdr>
                                                                        <w:top w:val="none" w:sz="0" w:space="0" w:color="auto"/>
                                                                        <w:left w:val="none" w:sz="0" w:space="0" w:color="auto"/>
                                                                        <w:bottom w:val="none" w:sz="0" w:space="0" w:color="auto"/>
                                                                        <w:right w:val="none" w:sz="0" w:space="0" w:color="auto"/>
                                                                      </w:divBdr>
                                                                      <w:divsChild>
                                                                        <w:div w:id="1128279285">
                                                                          <w:marLeft w:val="0"/>
                                                                          <w:marRight w:val="0"/>
                                                                          <w:marTop w:val="0"/>
                                                                          <w:marBottom w:val="0"/>
                                                                          <w:divBdr>
                                                                            <w:top w:val="none" w:sz="0" w:space="0" w:color="auto"/>
                                                                            <w:left w:val="none" w:sz="0" w:space="0" w:color="auto"/>
                                                                            <w:bottom w:val="none" w:sz="0" w:space="0" w:color="auto"/>
                                                                            <w:right w:val="none" w:sz="0" w:space="0" w:color="auto"/>
                                                                          </w:divBdr>
                                                                        </w:div>
                                                                      </w:divsChild>
                                                                    </w:div>
                                                                    <w:div w:id="1811242255">
                                                                      <w:marLeft w:val="0"/>
                                                                      <w:marRight w:val="0"/>
                                                                      <w:marTop w:val="0"/>
                                                                      <w:marBottom w:val="0"/>
                                                                      <w:divBdr>
                                                                        <w:top w:val="none" w:sz="0" w:space="0" w:color="auto"/>
                                                                        <w:left w:val="none" w:sz="0" w:space="0" w:color="auto"/>
                                                                        <w:bottom w:val="none" w:sz="0" w:space="0" w:color="auto"/>
                                                                        <w:right w:val="none" w:sz="0" w:space="0" w:color="auto"/>
                                                                      </w:divBdr>
                                                                      <w:divsChild>
                                                                        <w:div w:id="20369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393705">
      <w:bodyDiv w:val="1"/>
      <w:marLeft w:val="0"/>
      <w:marRight w:val="0"/>
      <w:marTop w:val="0"/>
      <w:marBottom w:val="0"/>
      <w:divBdr>
        <w:top w:val="none" w:sz="0" w:space="0" w:color="auto"/>
        <w:left w:val="none" w:sz="0" w:space="0" w:color="auto"/>
        <w:bottom w:val="none" w:sz="0" w:space="0" w:color="auto"/>
        <w:right w:val="none" w:sz="0" w:space="0" w:color="auto"/>
      </w:divBdr>
      <w:divsChild>
        <w:div w:id="525295689">
          <w:marLeft w:val="0"/>
          <w:marRight w:val="0"/>
          <w:marTop w:val="0"/>
          <w:marBottom w:val="0"/>
          <w:divBdr>
            <w:top w:val="none" w:sz="0" w:space="0" w:color="auto"/>
            <w:left w:val="single" w:sz="6" w:space="0" w:color="BBBBBB"/>
            <w:bottom w:val="single" w:sz="6" w:space="0" w:color="BBBBBB"/>
            <w:right w:val="single" w:sz="6" w:space="0" w:color="BBBBBB"/>
          </w:divBdr>
          <w:divsChild>
            <w:div w:id="1022821744">
              <w:marLeft w:val="0"/>
              <w:marRight w:val="0"/>
              <w:marTop w:val="0"/>
              <w:marBottom w:val="0"/>
              <w:divBdr>
                <w:top w:val="none" w:sz="0" w:space="0" w:color="auto"/>
                <w:left w:val="none" w:sz="0" w:space="0" w:color="auto"/>
                <w:bottom w:val="none" w:sz="0" w:space="0" w:color="auto"/>
                <w:right w:val="none" w:sz="0" w:space="0" w:color="auto"/>
              </w:divBdr>
              <w:divsChild>
                <w:div w:id="714045537">
                  <w:marLeft w:val="0"/>
                  <w:marRight w:val="0"/>
                  <w:marTop w:val="75"/>
                  <w:marBottom w:val="0"/>
                  <w:divBdr>
                    <w:top w:val="none" w:sz="0" w:space="0" w:color="auto"/>
                    <w:left w:val="none" w:sz="0" w:space="0" w:color="auto"/>
                    <w:bottom w:val="none" w:sz="0" w:space="0" w:color="auto"/>
                    <w:right w:val="none" w:sz="0" w:space="0" w:color="auto"/>
                  </w:divBdr>
                  <w:divsChild>
                    <w:div w:id="1142500263">
                      <w:marLeft w:val="0"/>
                      <w:marRight w:val="0"/>
                      <w:marTop w:val="0"/>
                      <w:marBottom w:val="0"/>
                      <w:divBdr>
                        <w:top w:val="none" w:sz="0" w:space="0" w:color="auto"/>
                        <w:left w:val="none" w:sz="0" w:space="0" w:color="auto"/>
                        <w:bottom w:val="none" w:sz="0" w:space="0" w:color="auto"/>
                        <w:right w:val="none" w:sz="0" w:space="0" w:color="auto"/>
                      </w:divBdr>
                      <w:divsChild>
                        <w:div w:id="1949237607">
                          <w:marLeft w:val="0"/>
                          <w:marRight w:val="0"/>
                          <w:marTop w:val="0"/>
                          <w:marBottom w:val="0"/>
                          <w:divBdr>
                            <w:top w:val="none" w:sz="0" w:space="0" w:color="auto"/>
                            <w:left w:val="none" w:sz="0" w:space="0" w:color="auto"/>
                            <w:bottom w:val="none" w:sz="0" w:space="0" w:color="auto"/>
                            <w:right w:val="none" w:sz="0" w:space="0" w:color="auto"/>
                          </w:divBdr>
                          <w:divsChild>
                            <w:div w:id="1304699052">
                              <w:marLeft w:val="0"/>
                              <w:marRight w:val="0"/>
                              <w:marTop w:val="0"/>
                              <w:marBottom w:val="0"/>
                              <w:divBdr>
                                <w:top w:val="none" w:sz="0" w:space="0" w:color="auto"/>
                                <w:left w:val="none" w:sz="0" w:space="0" w:color="auto"/>
                                <w:bottom w:val="none" w:sz="0" w:space="0" w:color="auto"/>
                                <w:right w:val="none" w:sz="0" w:space="0" w:color="auto"/>
                              </w:divBdr>
                              <w:divsChild>
                                <w:div w:id="1088622145">
                                  <w:marLeft w:val="0"/>
                                  <w:marRight w:val="0"/>
                                  <w:marTop w:val="0"/>
                                  <w:marBottom w:val="0"/>
                                  <w:divBdr>
                                    <w:top w:val="none" w:sz="0" w:space="0" w:color="auto"/>
                                    <w:left w:val="none" w:sz="0" w:space="0" w:color="auto"/>
                                    <w:bottom w:val="none" w:sz="0" w:space="0" w:color="auto"/>
                                    <w:right w:val="none" w:sz="0" w:space="0" w:color="auto"/>
                                  </w:divBdr>
                                  <w:divsChild>
                                    <w:div w:id="558249569">
                                      <w:marLeft w:val="0"/>
                                      <w:marRight w:val="0"/>
                                      <w:marTop w:val="0"/>
                                      <w:marBottom w:val="0"/>
                                      <w:divBdr>
                                        <w:top w:val="none" w:sz="0" w:space="0" w:color="auto"/>
                                        <w:left w:val="none" w:sz="0" w:space="0" w:color="auto"/>
                                        <w:bottom w:val="none" w:sz="0" w:space="0" w:color="auto"/>
                                        <w:right w:val="none" w:sz="0" w:space="0" w:color="auto"/>
                                      </w:divBdr>
                                      <w:divsChild>
                                        <w:div w:id="1567184269">
                                          <w:marLeft w:val="1200"/>
                                          <w:marRight w:val="1200"/>
                                          <w:marTop w:val="0"/>
                                          <w:marBottom w:val="0"/>
                                          <w:divBdr>
                                            <w:top w:val="none" w:sz="0" w:space="0" w:color="auto"/>
                                            <w:left w:val="none" w:sz="0" w:space="0" w:color="auto"/>
                                            <w:bottom w:val="none" w:sz="0" w:space="0" w:color="auto"/>
                                            <w:right w:val="none" w:sz="0" w:space="0" w:color="auto"/>
                                          </w:divBdr>
                                          <w:divsChild>
                                            <w:div w:id="1672610145">
                                              <w:marLeft w:val="0"/>
                                              <w:marRight w:val="0"/>
                                              <w:marTop w:val="0"/>
                                              <w:marBottom w:val="0"/>
                                              <w:divBdr>
                                                <w:top w:val="none" w:sz="0" w:space="0" w:color="auto"/>
                                                <w:left w:val="none" w:sz="0" w:space="0" w:color="auto"/>
                                                <w:bottom w:val="none" w:sz="0" w:space="0" w:color="auto"/>
                                                <w:right w:val="none" w:sz="0" w:space="0" w:color="auto"/>
                                              </w:divBdr>
                                              <w:divsChild>
                                                <w:div w:id="566187126">
                                                  <w:marLeft w:val="0"/>
                                                  <w:marRight w:val="0"/>
                                                  <w:marTop w:val="0"/>
                                                  <w:marBottom w:val="0"/>
                                                  <w:divBdr>
                                                    <w:top w:val="none" w:sz="0" w:space="0" w:color="auto"/>
                                                    <w:left w:val="none" w:sz="0" w:space="0" w:color="auto"/>
                                                    <w:bottom w:val="none" w:sz="0" w:space="0" w:color="auto"/>
                                                    <w:right w:val="none" w:sz="0" w:space="0" w:color="auto"/>
                                                  </w:divBdr>
                                                  <w:divsChild>
                                                    <w:div w:id="140271377">
                                                      <w:marLeft w:val="0"/>
                                                      <w:marRight w:val="0"/>
                                                      <w:marTop w:val="0"/>
                                                      <w:marBottom w:val="0"/>
                                                      <w:divBdr>
                                                        <w:top w:val="none" w:sz="0" w:space="0" w:color="auto"/>
                                                        <w:left w:val="none" w:sz="0" w:space="0" w:color="auto"/>
                                                        <w:bottom w:val="none" w:sz="0" w:space="0" w:color="auto"/>
                                                        <w:right w:val="none" w:sz="0" w:space="0" w:color="auto"/>
                                                      </w:divBdr>
                                                      <w:divsChild>
                                                        <w:div w:id="1225215709">
                                                          <w:marLeft w:val="0"/>
                                                          <w:marRight w:val="0"/>
                                                          <w:marTop w:val="0"/>
                                                          <w:marBottom w:val="0"/>
                                                          <w:divBdr>
                                                            <w:top w:val="none" w:sz="0" w:space="0" w:color="auto"/>
                                                            <w:left w:val="none" w:sz="0" w:space="0" w:color="auto"/>
                                                            <w:bottom w:val="none" w:sz="0" w:space="0" w:color="auto"/>
                                                            <w:right w:val="none" w:sz="0" w:space="0" w:color="auto"/>
                                                          </w:divBdr>
                                                          <w:divsChild>
                                                            <w:div w:id="1989280593">
                                                              <w:marLeft w:val="0"/>
                                                              <w:marRight w:val="0"/>
                                                              <w:marTop w:val="0"/>
                                                              <w:marBottom w:val="0"/>
                                                              <w:divBdr>
                                                                <w:top w:val="none" w:sz="0" w:space="0" w:color="auto"/>
                                                                <w:left w:val="none" w:sz="0" w:space="0" w:color="auto"/>
                                                                <w:bottom w:val="none" w:sz="0" w:space="0" w:color="auto"/>
                                                                <w:right w:val="none" w:sz="0" w:space="0" w:color="auto"/>
                                                              </w:divBdr>
                                                              <w:divsChild>
                                                                <w:div w:id="1902523959">
                                                                  <w:marLeft w:val="0"/>
                                                                  <w:marRight w:val="0"/>
                                                                  <w:marTop w:val="0"/>
                                                                  <w:marBottom w:val="0"/>
                                                                  <w:divBdr>
                                                                    <w:top w:val="none" w:sz="0" w:space="0" w:color="auto"/>
                                                                    <w:left w:val="none" w:sz="0" w:space="0" w:color="auto"/>
                                                                    <w:bottom w:val="none" w:sz="0" w:space="0" w:color="auto"/>
                                                                    <w:right w:val="none" w:sz="0" w:space="0" w:color="auto"/>
                                                                  </w:divBdr>
                                                                  <w:divsChild>
                                                                    <w:div w:id="490679488">
                                                                      <w:marLeft w:val="0"/>
                                                                      <w:marRight w:val="0"/>
                                                                      <w:marTop w:val="0"/>
                                                                      <w:marBottom w:val="0"/>
                                                                      <w:divBdr>
                                                                        <w:top w:val="none" w:sz="0" w:space="0" w:color="auto"/>
                                                                        <w:left w:val="none" w:sz="0" w:space="0" w:color="auto"/>
                                                                        <w:bottom w:val="none" w:sz="0" w:space="0" w:color="auto"/>
                                                                        <w:right w:val="none" w:sz="0" w:space="0" w:color="auto"/>
                                                                      </w:divBdr>
                                                                      <w:divsChild>
                                                                        <w:div w:id="414867056">
                                                                          <w:marLeft w:val="0"/>
                                                                          <w:marRight w:val="0"/>
                                                                          <w:marTop w:val="0"/>
                                                                          <w:marBottom w:val="0"/>
                                                                          <w:divBdr>
                                                                            <w:top w:val="none" w:sz="0" w:space="0" w:color="auto"/>
                                                                            <w:left w:val="none" w:sz="0" w:space="0" w:color="auto"/>
                                                                            <w:bottom w:val="none" w:sz="0" w:space="0" w:color="auto"/>
                                                                            <w:right w:val="none" w:sz="0" w:space="0" w:color="auto"/>
                                                                          </w:divBdr>
                                                                        </w:div>
                                                                      </w:divsChild>
                                                                    </w:div>
                                                                    <w:div w:id="501823865">
                                                                      <w:marLeft w:val="0"/>
                                                                      <w:marRight w:val="0"/>
                                                                      <w:marTop w:val="0"/>
                                                                      <w:marBottom w:val="0"/>
                                                                      <w:divBdr>
                                                                        <w:top w:val="none" w:sz="0" w:space="0" w:color="auto"/>
                                                                        <w:left w:val="none" w:sz="0" w:space="0" w:color="auto"/>
                                                                        <w:bottom w:val="none" w:sz="0" w:space="0" w:color="auto"/>
                                                                        <w:right w:val="none" w:sz="0" w:space="0" w:color="auto"/>
                                                                      </w:divBdr>
                                                                      <w:divsChild>
                                                                        <w:div w:id="473260643">
                                                                          <w:marLeft w:val="0"/>
                                                                          <w:marRight w:val="0"/>
                                                                          <w:marTop w:val="0"/>
                                                                          <w:marBottom w:val="0"/>
                                                                          <w:divBdr>
                                                                            <w:top w:val="none" w:sz="0" w:space="0" w:color="auto"/>
                                                                            <w:left w:val="none" w:sz="0" w:space="0" w:color="auto"/>
                                                                            <w:bottom w:val="none" w:sz="0" w:space="0" w:color="auto"/>
                                                                            <w:right w:val="none" w:sz="0" w:space="0" w:color="auto"/>
                                                                          </w:divBdr>
                                                                        </w:div>
                                                                      </w:divsChild>
                                                                    </w:div>
                                                                    <w:div w:id="905530450">
                                                                      <w:marLeft w:val="0"/>
                                                                      <w:marRight w:val="0"/>
                                                                      <w:marTop w:val="0"/>
                                                                      <w:marBottom w:val="0"/>
                                                                      <w:divBdr>
                                                                        <w:top w:val="none" w:sz="0" w:space="0" w:color="auto"/>
                                                                        <w:left w:val="none" w:sz="0" w:space="0" w:color="auto"/>
                                                                        <w:bottom w:val="none" w:sz="0" w:space="0" w:color="auto"/>
                                                                        <w:right w:val="none" w:sz="0" w:space="0" w:color="auto"/>
                                                                      </w:divBdr>
                                                                      <w:divsChild>
                                                                        <w:div w:id="102725181">
                                                                          <w:marLeft w:val="0"/>
                                                                          <w:marRight w:val="0"/>
                                                                          <w:marTop w:val="0"/>
                                                                          <w:marBottom w:val="0"/>
                                                                          <w:divBdr>
                                                                            <w:top w:val="none" w:sz="0" w:space="0" w:color="auto"/>
                                                                            <w:left w:val="none" w:sz="0" w:space="0" w:color="auto"/>
                                                                            <w:bottom w:val="none" w:sz="0" w:space="0" w:color="auto"/>
                                                                            <w:right w:val="none" w:sz="0" w:space="0" w:color="auto"/>
                                                                          </w:divBdr>
                                                                        </w:div>
                                                                      </w:divsChild>
                                                                    </w:div>
                                                                    <w:div w:id="1011224668">
                                                                      <w:marLeft w:val="0"/>
                                                                      <w:marRight w:val="0"/>
                                                                      <w:marTop w:val="0"/>
                                                                      <w:marBottom w:val="0"/>
                                                                      <w:divBdr>
                                                                        <w:top w:val="none" w:sz="0" w:space="0" w:color="auto"/>
                                                                        <w:left w:val="none" w:sz="0" w:space="0" w:color="auto"/>
                                                                        <w:bottom w:val="none" w:sz="0" w:space="0" w:color="auto"/>
                                                                        <w:right w:val="none" w:sz="0" w:space="0" w:color="auto"/>
                                                                      </w:divBdr>
                                                                      <w:divsChild>
                                                                        <w:div w:id="2024623481">
                                                                          <w:marLeft w:val="0"/>
                                                                          <w:marRight w:val="0"/>
                                                                          <w:marTop w:val="0"/>
                                                                          <w:marBottom w:val="0"/>
                                                                          <w:divBdr>
                                                                            <w:top w:val="none" w:sz="0" w:space="0" w:color="auto"/>
                                                                            <w:left w:val="none" w:sz="0" w:space="0" w:color="auto"/>
                                                                            <w:bottom w:val="none" w:sz="0" w:space="0" w:color="auto"/>
                                                                            <w:right w:val="none" w:sz="0" w:space="0" w:color="auto"/>
                                                                          </w:divBdr>
                                                                        </w:div>
                                                                      </w:divsChild>
                                                                    </w:div>
                                                                    <w:div w:id="1130440540">
                                                                      <w:marLeft w:val="0"/>
                                                                      <w:marRight w:val="0"/>
                                                                      <w:marTop w:val="0"/>
                                                                      <w:marBottom w:val="0"/>
                                                                      <w:divBdr>
                                                                        <w:top w:val="none" w:sz="0" w:space="0" w:color="auto"/>
                                                                        <w:left w:val="none" w:sz="0" w:space="0" w:color="auto"/>
                                                                        <w:bottom w:val="none" w:sz="0" w:space="0" w:color="auto"/>
                                                                        <w:right w:val="none" w:sz="0" w:space="0" w:color="auto"/>
                                                                      </w:divBdr>
                                                                      <w:divsChild>
                                                                        <w:div w:id="650066019">
                                                                          <w:marLeft w:val="0"/>
                                                                          <w:marRight w:val="0"/>
                                                                          <w:marTop w:val="0"/>
                                                                          <w:marBottom w:val="0"/>
                                                                          <w:divBdr>
                                                                            <w:top w:val="none" w:sz="0" w:space="0" w:color="auto"/>
                                                                            <w:left w:val="none" w:sz="0" w:space="0" w:color="auto"/>
                                                                            <w:bottom w:val="none" w:sz="0" w:space="0" w:color="auto"/>
                                                                            <w:right w:val="none" w:sz="0" w:space="0" w:color="auto"/>
                                                                          </w:divBdr>
                                                                        </w:div>
                                                                      </w:divsChild>
                                                                    </w:div>
                                                                    <w:div w:id="1638417106">
                                                                      <w:marLeft w:val="0"/>
                                                                      <w:marRight w:val="0"/>
                                                                      <w:marTop w:val="0"/>
                                                                      <w:marBottom w:val="0"/>
                                                                      <w:divBdr>
                                                                        <w:top w:val="none" w:sz="0" w:space="0" w:color="auto"/>
                                                                        <w:left w:val="none" w:sz="0" w:space="0" w:color="auto"/>
                                                                        <w:bottom w:val="none" w:sz="0" w:space="0" w:color="auto"/>
                                                                        <w:right w:val="none" w:sz="0" w:space="0" w:color="auto"/>
                                                                      </w:divBdr>
                                                                      <w:divsChild>
                                                                        <w:div w:id="11842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3633926">
      <w:bodyDiv w:val="1"/>
      <w:marLeft w:val="0"/>
      <w:marRight w:val="0"/>
      <w:marTop w:val="0"/>
      <w:marBottom w:val="0"/>
      <w:divBdr>
        <w:top w:val="none" w:sz="0" w:space="0" w:color="auto"/>
        <w:left w:val="none" w:sz="0" w:space="0" w:color="auto"/>
        <w:bottom w:val="none" w:sz="0" w:space="0" w:color="auto"/>
        <w:right w:val="none" w:sz="0" w:space="0" w:color="auto"/>
      </w:divBdr>
      <w:divsChild>
        <w:div w:id="655455910">
          <w:marLeft w:val="0"/>
          <w:marRight w:val="0"/>
          <w:marTop w:val="0"/>
          <w:marBottom w:val="0"/>
          <w:divBdr>
            <w:top w:val="none" w:sz="0" w:space="0" w:color="auto"/>
            <w:left w:val="none" w:sz="0" w:space="0" w:color="auto"/>
            <w:bottom w:val="none" w:sz="0" w:space="0" w:color="auto"/>
            <w:right w:val="none" w:sz="0" w:space="0" w:color="auto"/>
          </w:divBdr>
          <w:divsChild>
            <w:div w:id="954293536">
              <w:marLeft w:val="0"/>
              <w:marRight w:val="0"/>
              <w:marTop w:val="0"/>
              <w:marBottom w:val="0"/>
              <w:divBdr>
                <w:top w:val="none" w:sz="0" w:space="0" w:color="auto"/>
                <w:left w:val="none" w:sz="0" w:space="0" w:color="auto"/>
                <w:bottom w:val="none" w:sz="0" w:space="0" w:color="auto"/>
                <w:right w:val="none" w:sz="0" w:space="0" w:color="auto"/>
              </w:divBdr>
              <w:divsChild>
                <w:div w:id="626662166">
                  <w:marLeft w:val="0"/>
                  <w:marRight w:val="0"/>
                  <w:marTop w:val="0"/>
                  <w:marBottom w:val="0"/>
                  <w:divBdr>
                    <w:top w:val="none" w:sz="0" w:space="0" w:color="auto"/>
                    <w:left w:val="none" w:sz="0" w:space="0" w:color="auto"/>
                    <w:bottom w:val="none" w:sz="0" w:space="0" w:color="auto"/>
                    <w:right w:val="none" w:sz="0" w:space="0" w:color="auto"/>
                  </w:divBdr>
                  <w:divsChild>
                    <w:div w:id="1941523536">
                      <w:marLeft w:val="0"/>
                      <w:marRight w:val="0"/>
                      <w:marTop w:val="0"/>
                      <w:marBottom w:val="300"/>
                      <w:divBdr>
                        <w:top w:val="none" w:sz="0" w:space="0" w:color="auto"/>
                        <w:left w:val="none" w:sz="0" w:space="0" w:color="auto"/>
                        <w:bottom w:val="none" w:sz="0" w:space="0" w:color="auto"/>
                        <w:right w:val="none" w:sz="0" w:space="0" w:color="auto"/>
                      </w:divBdr>
                      <w:divsChild>
                        <w:div w:id="3851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7147">
      <w:bodyDiv w:val="1"/>
      <w:marLeft w:val="0"/>
      <w:marRight w:val="0"/>
      <w:marTop w:val="0"/>
      <w:marBottom w:val="0"/>
      <w:divBdr>
        <w:top w:val="none" w:sz="0" w:space="0" w:color="auto"/>
        <w:left w:val="none" w:sz="0" w:space="0" w:color="auto"/>
        <w:bottom w:val="none" w:sz="0" w:space="0" w:color="auto"/>
        <w:right w:val="none" w:sz="0" w:space="0" w:color="auto"/>
      </w:divBdr>
      <w:divsChild>
        <w:div w:id="1833139288">
          <w:marLeft w:val="0"/>
          <w:marRight w:val="0"/>
          <w:marTop w:val="0"/>
          <w:marBottom w:val="0"/>
          <w:divBdr>
            <w:top w:val="none" w:sz="0" w:space="0" w:color="auto"/>
            <w:left w:val="none" w:sz="0" w:space="0" w:color="auto"/>
            <w:bottom w:val="none" w:sz="0" w:space="0" w:color="auto"/>
            <w:right w:val="none" w:sz="0" w:space="0" w:color="auto"/>
          </w:divBdr>
          <w:divsChild>
            <w:div w:id="435903684">
              <w:marLeft w:val="0"/>
              <w:marRight w:val="0"/>
              <w:marTop w:val="0"/>
              <w:marBottom w:val="0"/>
              <w:divBdr>
                <w:top w:val="none" w:sz="0" w:space="0" w:color="auto"/>
                <w:left w:val="none" w:sz="0" w:space="0" w:color="auto"/>
                <w:bottom w:val="none" w:sz="0" w:space="0" w:color="auto"/>
                <w:right w:val="none" w:sz="0" w:space="0" w:color="auto"/>
              </w:divBdr>
              <w:divsChild>
                <w:div w:id="949509030">
                  <w:marLeft w:val="0"/>
                  <w:marRight w:val="0"/>
                  <w:marTop w:val="0"/>
                  <w:marBottom w:val="0"/>
                  <w:divBdr>
                    <w:top w:val="none" w:sz="0" w:space="0" w:color="auto"/>
                    <w:left w:val="none" w:sz="0" w:space="0" w:color="auto"/>
                    <w:bottom w:val="none" w:sz="0" w:space="0" w:color="auto"/>
                    <w:right w:val="none" w:sz="0" w:space="0" w:color="auto"/>
                  </w:divBdr>
                  <w:divsChild>
                    <w:div w:id="2069304510">
                      <w:marLeft w:val="0"/>
                      <w:marRight w:val="0"/>
                      <w:marTop w:val="0"/>
                      <w:marBottom w:val="375"/>
                      <w:divBdr>
                        <w:top w:val="none" w:sz="0" w:space="0" w:color="auto"/>
                        <w:left w:val="none" w:sz="0" w:space="0" w:color="auto"/>
                        <w:bottom w:val="none" w:sz="0" w:space="0" w:color="auto"/>
                        <w:right w:val="none" w:sz="0" w:space="0" w:color="auto"/>
                      </w:divBdr>
                      <w:divsChild>
                        <w:div w:id="95853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48572">
      <w:bodyDiv w:val="1"/>
      <w:marLeft w:val="0"/>
      <w:marRight w:val="0"/>
      <w:marTop w:val="0"/>
      <w:marBottom w:val="0"/>
      <w:divBdr>
        <w:top w:val="none" w:sz="0" w:space="0" w:color="auto"/>
        <w:left w:val="none" w:sz="0" w:space="0" w:color="auto"/>
        <w:bottom w:val="none" w:sz="0" w:space="0" w:color="auto"/>
        <w:right w:val="none" w:sz="0" w:space="0" w:color="auto"/>
      </w:divBdr>
      <w:divsChild>
        <w:div w:id="357581941">
          <w:marLeft w:val="0"/>
          <w:marRight w:val="0"/>
          <w:marTop w:val="0"/>
          <w:marBottom w:val="0"/>
          <w:divBdr>
            <w:top w:val="none" w:sz="0" w:space="0" w:color="auto"/>
            <w:left w:val="single" w:sz="6" w:space="0" w:color="BBBBBB"/>
            <w:bottom w:val="single" w:sz="6" w:space="0" w:color="BBBBBB"/>
            <w:right w:val="single" w:sz="6" w:space="0" w:color="BBBBBB"/>
          </w:divBdr>
          <w:divsChild>
            <w:div w:id="1691300561">
              <w:marLeft w:val="0"/>
              <w:marRight w:val="0"/>
              <w:marTop w:val="0"/>
              <w:marBottom w:val="0"/>
              <w:divBdr>
                <w:top w:val="none" w:sz="0" w:space="0" w:color="auto"/>
                <w:left w:val="none" w:sz="0" w:space="0" w:color="auto"/>
                <w:bottom w:val="none" w:sz="0" w:space="0" w:color="auto"/>
                <w:right w:val="none" w:sz="0" w:space="0" w:color="auto"/>
              </w:divBdr>
              <w:divsChild>
                <w:div w:id="263807506">
                  <w:marLeft w:val="0"/>
                  <w:marRight w:val="0"/>
                  <w:marTop w:val="0"/>
                  <w:marBottom w:val="0"/>
                  <w:divBdr>
                    <w:top w:val="none" w:sz="0" w:space="0" w:color="auto"/>
                    <w:left w:val="none" w:sz="0" w:space="0" w:color="auto"/>
                    <w:bottom w:val="none" w:sz="0" w:space="0" w:color="auto"/>
                    <w:right w:val="none" w:sz="0" w:space="0" w:color="auto"/>
                  </w:divBdr>
                  <w:divsChild>
                    <w:div w:id="934628144">
                      <w:marLeft w:val="0"/>
                      <w:marRight w:val="0"/>
                      <w:marTop w:val="0"/>
                      <w:marBottom w:val="0"/>
                      <w:divBdr>
                        <w:top w:val="none" w:sz="0" w:space="0" w:color="auto"/>
                        <w:left w:val="none" w:sz="0" w:space="0" w:color="auto"/>
                        <w:bottom w:val="none" w:sz="0" w:space="0" w:color="auto"/>
                        <w:right w:val="none" w:sz="0" w:space="0" w:color="auto"/>
                      </w:divBdr>
                      <w:divsChild>
                        <w:div w:id="427234927">
                          <w:marLeft w:val="0"/>
                          <w:marRight w:val="0"/>
                          <w:marTop w:val="0"/>
                          <w:marBottom w:val="0"/>
                          <w:divBdr>
                            <w:top w:val="none" w:sz="0" w:space="0" w:color="auto"/>
                            <w:left w:val="none" w:sz="0" w:space="0" w:color="auto"/>
                            <w:bottom w:val="none" w:sz="0" w:space="0" w:color="auto"/>
                            <w:right w:val="none" w:sz="0" w:space="0" w:color="auto"/>
                          </w:divBdr>
                          <w:divsChild>
                            <w:div w:id="2114663415">
                              <w:marLeft w:val="0"/>
                              <w:marRight w:val="0"/>
                              <w:marTop w:val="0"/>
                              <w:marBottom w:val="0"/>
                              <w:divBdr>
                                <w:top w:val="none" w:sz="0" w:space="0" w:color="auto"/>
                                <w:left w:val="none" w:sz="0" w:space="0" w:color="auto"/>
                                <w:bottom w:val="none" w:sz="0" w:space="0" w:color="auto"/>
                                <w:right w:val="none" w:sz="0" w:space="0" w:color="auto"/>
                              </w:divBdr>
                              <w:divsChild>
                                <w:div w:id="1081559342">
                                  <w:marLeft w:val="0"/>
                                  <w:marRight w:val="0"/>
                                  <w:marTop w:val="0"/>
                                  <w:marBottom w:val="0"/>
                                  <w:divBdr>
                                    <w:top w:val="none" w:sz="0" w:space="0" w:color="auto"/>
                                    <w:left w:val="none" w:sz="0" w:space="0" w:color="auto"/>
                                    <w:bottom w:val="none" w:sz="0" w:space="0" w:color="auto"/>
                                    <w:right w:val="none" w:sz="0" w:space="0" w:color="auto"/>
                                  </w:divBdr>
                                  <w:divsChild>
                                    <w:div w:id="1347639497">
                                      <w:marLeft w:val="0"/>
                                      <w:marRight w:val="0"/>
                                      <w:marTop w:val="0"/>
                                      <w:marBottom w:val="0"/>
                                      <w:divBdr>
                                        <w:top w:val="none" w:sz="0" w:space="0" w:color="auto"/>
                                        <w:left w:val="none" w:sz="0" w:space="0" w:color="auto"/>
                                        <w:bottom w:val="none" w:sz="0" w:space="0" w:color="auto"/>
                                        <w:right w:val="none" w:sz="0" w:space="0" w:color="auto"/>
                                      </w:divBdr>
                                      <w:divsChild>
                                        <w:div w:id="1148789144">
                                          <w:marLeft w:val="1200"/>
                                          <w:marRight w:val="1200"/>
                                          <w:marTop w:val="0"/>
                                          <w:marBottom w:val="0"/>
                                          <w:divBdr>
                                            <w:top w:val="none" w:sz="0" w:space="0" w:color="auto"/>
                                            <w:left w:val="none" w:sz="0" w:space="0" w:color="auto"/>
                                            <w:bottom w:val="none" w:sz="0" w:space="0" w:color="auto"/>
                                            <w:right w:val="none" w:sz="0" w:space="0" w:color="auto"/>
                                          </w:divBdr>
                                          <w:divsChild>
                                            <w:div w:id="786897897">
                                              <w:marLeft w:val="0"/>
                                              <w:marRight w:val="0"/>
                                              <w:marTop w:val="0"/>
                                              <w:marBottom w:val="0"/>
                                              <w:divBdr>
                                                <w:top w:val="none" w:sz="0" w:space="0" w:color="auto"/>
                                                <w:left w:val="none" w:sz="0" w:space="0" w:color="auto"/>
                                                <w:bottom w:val="none" w:sz="0" w:space="0" w:color="auto"/>
                                                <w:right w:val="none" w:sz="0" w:space="0" w:color="auto"/>
                                              </w:divBdr>
                                              <w:divsChild>
                                                <w:div w:id="85656904">
                                                  <w:marLeft w:val="0"/>
                                                  <w:marRight w:val="0"/>
                                                  <w:marTop w:val="0"/>
                                                  <w:marBottom w:val="0"/>
                                                  <w:divBdr>
                                                    <w:top w:val="none" w:sz="0" w:space="0" w:color="auto"/>
                                                    <w:left w:val="none" w:sz="0" w:space="0" w:color="auto"/>
                                                    <w:bottom w:val="none" w:sz="0" w:space="0" w:color="auto"/>
                                                    <w:right w:val="none" w:sz="0" w:space="0" w:color="auto"/>
                                                  </w:divBdr>
                                                  <w:divsChild>
                                                    <w:div w:id="1783527970">
                                                      <w:marLeft w:val="0"/>
                                                      <w:marRight w:val="0"/>
                                                      <w:marTop w:val="0"/>
                                                      <w:marBottom w:val="0"/>
                                                      <w:divBdr>
                                                        <w:top w:val="none" w:sz="0" w:space="0" w:color="auto"/>
                                                        <w:left w:val="none" w:sz="0" w:space="0" w:color="auto"/>
                                                        <w:bottom w:val="none" w:sz="0" w:space="0" w:color="auto"/>
                                                        <w:right w:val="none" w:sz="0" w:space="0" w:color="auto"/>
                                                      </w:divBdr>
                                                      <w:divsChild>
                                                        <w:div w:id="1005285243">
                                                          <w:marLeft w:val="0"/>
                                                          <w:marRight w:val="0"/>
                                                          <w:marTop w:val="0"/>
                                                          <w:marBottom w:val="0"/>
                                                          <w:divBdr>
                                                            <w:top w:val="none" w:sz="0" w:space="0" w:color="auto"/>
                                                            <w:left w:val="none" w:sz="0" w:space="0" w:color="auto"/>
                                                            <w:bottom w:val="none" w:sz="0" w:space="0" w:color="auto"/>
                                                            <w:right w:val="none" w:sz="0" w:space="0" w:color="auto"/>
                                                          </w:divBdr>
                                                          <w:divsChild>
                                                            <w:div w:id="307831925">
                                                              <w:marLeft w:val="0"/>
                                                              <w:marRight w:val="0"/>
                                                              <w:marTop w:val="0"/>
                                                              <w:marBottom w:val="0"/>
                                                              <w:divBdr>
                                                                <w:top w:val="none" w:sz="0" w:space="0" w:color="auto"/>
                                                                <w:left w:val="none" w:sz="0" w:space="0" w:color="auto"/>
                                                                <w:bottom w:val="none" w:sz="0" w:space="0" w:color="auto"/>
                                                                <w:right w:val="none" w:sz="0" w:space="0" w:color="auto"/>
                                                              </w:divBdr>
                                                              <w:divsChild>
                                                                <w:div w:id="1997149112">
                                                                  <w:marLeft w:val="0"/>
                                                                  <w:marRight w:val="0"/>
                                                                  <w:marTop w:val="0"/>
                                                                  <w:marBottom w:val="0"/>
                                                                  <w:divBdr>
                                                                    <w:top w:val="none" w:sz="0" w:space="0" w:color="auto"/>
                                                                    <w:left w:val="none" w:sz="0" w:space="0" w:color="auto"/>
                                                                    <w:bottom w:val="none" w:sz="0" w:space="0" w:color="auto"/>
                                                                    <w:right w:val="none" w:sz="0" w:space="0" w:color="auto"/>
                                                                  </w:divBdr>
                                                                  <w:divsChild>
                                                                    <w:div w:id="227422609">
                                                                      <w:marLeft w:val="0"/>
                                                                      <w:marRight w:val="0"/>
                                                                      <w:marTop w:val="0"/>
                                                                      <w:marBottom w:val="0"/>
                                                                      <w:divBdr>
                                                                        <w:top w:val="none" w:sz="0" w:space="0" w:color="auto"/>
                                                                        <w:left w:val="none" w:sz="0" w:space="0" w:color="auto"/>
                                                                        <w:bottom w:val="none" w:sz="0" w:space="0" w:color="auto"/>
                                                                        <w:right w:val="none" w:sz="0" w:space="0" w:color="auto"/>
                                                                      </w:divBdr>
                                                                      <w:divsChild>
                                                                        <w:div w:id="1721398517">
                                                                          <w:marLeft w:val="0"/>
                                                                          <w:marRight w:val="0"/>
                                                                          <w:marTop w:val="0"/>
                                                                          <w:marBottom w:val="0"/>
                                                                          <w:divBdr>
                                                                            <w:top w:val="none" w:sz="0" w:space="0" w:color="auto"/>
                                                                            <w:left w:val="none" w:sz="0" w:space="0" w:color="auto"/>
                                                                            <w:bottom w:val="none" w:sz="0" w:space="0" w:color="auto"/>
                                                                            <w:right w:val="none" w:sz="0" w:space="0" w:color="auto"/>
                                                                          </w:divBdr>
                                                                        </w:div>
                                                                      </w:divsChild>
                                                                    </w:div>
                                                                    <w:div w:id="2032875680">
                                                                      <w:marLeft w:val="0"/>
                                                                      <w:marRight w:val="0"/>
                                                                      <w:marTop w:val="0"/>
                                                                      <w:marBottom w:val="0"/>
                                                                      <w:divBdr>
                                                                        <w:top w:val="none" w:sz="0" w:space="0" w:color="auto"/>
                                                                        <w:left w:val="none" w:sz="0" w:space="0" w:color="auto"/>
                                                                        <w:bottom w:val="none" w:sz="0" w:space="0" w:color="auto"/>
                                                                        <w:right w:val="none" w:sz="0" w:space="0" w:color="auto"/>
                                                                      </w:divBdr>
                                                                      <w:divsChild>
                                                                        <w:div w:id="4466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2730811">
      <w:bodyDiv w:val="1"/>
      <w:marLeft w:val="30"/>
      <w:marRight w:val="30"/>
      <w:marTop w:val="30"/>
      <w:marBottom w:val="30"/>
      <w:divBdr>
        <w:top w:val="none" w:sz="0" w:space="0" w:color="auto"/>
        <w:left w:val="none" w:sz="0" w:space="0" w:color="auto"/>
        <w:bottom w:val="none" w:sz="0" w:space="0" w:color="auto"/>
        <w:right w:val="none" w:sz="0" w:space="0" w:color="auto"/>
      </w:divBdr>
      <w:divsChild>
        <w:div w:id="943725616">
          <w:marLeft w:val="0"/>
          <w:marRight w:val="0"/>
          <w:marTop w:val="0"/>
          <w:marBottom w:val="0"/>
          <w:divBdr>
            <w:top w:val="none" w:sz="0" w:space="0" w:color="auto"/>
            <w:left w:val="none" w:sz="0" w:space="0" w:color="auto"/>
            <w:bottom w:val="none" w:sz="0" w:space="0" w:color="auto"/>
            <w:right w:val="none" w:sz="0" w:space="0" w:color="auto"/>
          </w:divBdr>
          <w:divsChild>
            <w:div w:id="1275944064">
              <w:marLeft w:val="45"/>
              <w:marRight w:val="45"/>
              <w:marTop w:val="45"/>
              <w:marBottom w:val="45"/>
              <w:divBdr>
                <w:top w:val="none" w:sz="0" w:space="0" w:color="auto"/>
                <w:left w:val="none" w:sz="0" w:space="0" w:color="auto"/>
                <w:bottom w:val="none" w:sz="0" w:space="0" w:color="auto"/>
                <w:right w:val="none" w:sz="0" w:space="0" w:color="auto"/>
              </w:divBdr>
              <w:divsChild>
                <w:div w:id="1418673465">
                  <w:marLeft w:val="0"/>
                  <w:marRight w:val="0"/>
                  <w:marTop w:val="0"/>
                  <w:marBottom w:val="0"/>
                  <w:divBdr>
                    <w:top w:val="none" w:sz="0" w:space="0" w:color="auto"/>
                    <w:left w:val="none" w:sz="0" w:space="0" w:color="auto"/>
                    <w:bottom w:val="none" w:sz="0" w:space="0" w:color="auto"/>
                    <w:right w:val="none" w:sz="0" w:space="0" w:color="auto"/>
                  </w:divBdr>
                  <w:divsChild>
                    <w:div w:id="272791592">
                      <w:marLeft w:val="0"/>
                      <w:marRight w:val="0"/>
                      <w:marTop w:val="0"/>
                      <w:marBottom w:val="0"/>
                      <w:divBdr>
                        <w:top w:val="none" w:sz="0" w:space="0" w:color="auto"/>
                        <w:left w:val="none" w:sz="0" w:space="0" w:color="auto"/>
                        <w:bottom w:val="none" w:sz="0" w:space="0" w:color="auto"/>
                        <w:right w:val="none" w:sz="0" w:space="0" w:color="auto"/>
                      </w:divBdr>
                    </w:div>
                    <w:div w:id="676687186">
                      <w:marLeft w:val="0"/>
                      <w:marRight w:val="0"/>
                      <w:marTop w:val="0"/>
                      <w:marBottom w:val="0"/>
                      <w:divBdr>
                        <w:top w:val="none" w:sz="0" w:space="0" w:color="auto"/>
                        <w:left w:val="none" w:sz="0" w:space="0" w:color="auto"/>
                        <w:bottom w:val="none" w:sz="0" w:space="0" w:color="auto"/>
                        <w:right w:val="none" w:sz="0" w:space="0" w:color="auto"/>
                      </w:divBdr>
                    </w:div>
                    <w:div w:id="1036078775">
                      <w:marLeft w:val="0"/>
                      <w:marRight w:val="0"/>
                      <w:marTop w:val="0"/>
                      <w:marBottom w:val="0"/>
                      <w:divBdr>
                        <w:top w:val="none" w:sz="0" w:space="0" w:color="auto"/>
                        <w:left w:val="none" w:sz="0" w:space="0" w:color="auto"/>
                        <w:bottom w:val="none" w:sz="0" w:space="0" w:color="auto"/>
                        <w:right w:val="none" w:sz="0" w:space="0" w:color="auto"/>
                      </w:divBdr>
                    </w:div>
                    <w:div w:id="1037464766">
                      <w:marLeft w:val="180"/>
                      <w:marRight w:val="0"/>
                      <w:marTop w:val="0"/>
                      <w:marBottom w:val="0"/>
                      <w:divBdr>
                        <w:top w:val="none" w:sz="0" w:space="0" w:color="auto"/>
                        <w:left w:val="none" w:sz="0" w:space="0" w:color="auto"/>
                        <w:bottom w:val="none" w:sz="0" w:space="0" w:color="auto"/>
                        <w:right w:val="none" w:sz="0" w:space="0" w:color="auto"/>
                      </w:divBdr>
                    </w:div>
                    <w:div w:id="131622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4658">
      <w:bodyDiv w:val="1"/>
      <w:marLeft w:val="0"/>
      <w:marRight w:val="0"/>
      <w:marTop w:val="0"/>
      <w:marBottom w:val="0"/>
      <w:divBdr>
        <w:top w:val="none" w:sz="0" w:space="0" w:color="auto"/>
        <w:left w:val="none" w:sz="0" w:space="0" w:color="auto"/>
        <w:bottom w:val="none" w:sz="0" w:space="0" w:color="auto"/>
        <w:right w:val="none" w:sz="0" w:space="0" w:color="auto"/>
      </w:divBdr>
      <w:divsChild>
        <w:div w:id="818616287">
          <w:marLeft w:val="0"/>
          <w:marRight w:val="0"/>
          <w:marTop w:val="0"/>
          <w:marBottom w:val="0"/>
          <w:divBdr>
            <w:top w:val="none" w:sz="0" w:space="0" w:color="auto"/>
            <w:left w:val="single" w:sz="6" w:space="0" w:color="BBBBBB"/>
            <w:bottom w:val="single" w:sz="6" w:space="0" w:color="BBBBBB"/>
            <w:right w:val="single" w:sz="6" w:space="0" w:color="BBBBBB"/>
          </w:divBdr>
          <w:divsChild>
            <w:div w:id="140730843">
              <w:marLeft w:val="0"/>
              <w:marRight w:val="0"/>
              <w:marTop w:val="0"/>
              <w:marBottom w:val="0"/>
              <w:divBdr>
                <w:top w:val="none" w:sz="0" w:space="0" w:color="auto"/>
                <w:left w:val="none" w:sz="0" w:space="0" w:color="auto"/>
                <w:bottom w:val="none" w:sz="0" w:space="0" w:color="auto"/>
                <w:right w:val="none" w:sz="0" w:space="0" w:color="auto"/>
              </w:divBdr>
              <w:divsChild>
                <w:div w:id="543179787">
                  <w:marLeft w:val="0"/>
                  <w:marRight w:val="0"/>
                  <w:marTop w:val="75"/>
                  <w:marBottom w:val="0"/>
                  <w:divBdr>
                    <w:top w:val="none" w:sz="0" w:space="0" w:color="auto"/>
                    <w:left w:val="none" w:sz="0" w:space="0" w:color="auto"/>
                    <w:bottom w:val="none" w:sz="0" w:space="0" w:color="auto"/>
                    <w:right w:val="none" w:sz="0" w:space="0" w:color="auto"/>
                  </w:divBdr>
                  <w:divsChild>
                    <w:div w:id="1740322747">
                      <w:marLeft w:val="0"/>
                      <w:marRight w:val="0"/>
                      <w:marTop w:val="0"/>
                      <w:marBottom w:val="0"/>
                      <w:divBdr>
                        <w:top w:val="none" w:sz="0" w:space="0" w:color="auto"/>
                        <w:left w:val="none" w:sz="0" w:space="0" w:color="auto"/>
                        <w:bottom w:val="none" w:sz="0" w:space="0" w:color="auto"/>
                        <w:right w:val="none" w:sz="0" w:space="0" w:color="auto"/>
                      </w:divBdr>
                      <w:divsChild>
                        <w:div w:id="1474056514">
                          <w:marLeft w:val="0"/>
                          <w:marRight w:val="0"/>
                          <w:marTop w:val="0"/>
                          <w:marBottom w:val="0"/>
                          <w:divBdr>
                            <w:top w:val="none" w:sz="0" w:space="0" w:color="auto"/>
                            <w:left w:val="none" w:sz="0" w:space="0" w:color="auto"/>
                            <w:bottom w:val="none" w:sz="0" w:space="0" w:color="auto"/>
                            <w:right w:val="none" w:sz="0" w:space="0" w:color="auto"/>
                          </w:divBdr>
                          <w:divsChild>
                            <w:div w:id="538664305">
                              <w:marLeft w:val="0"/>
                              <w:marRight w:val="0"/>
                              <w:marTop w:val="0"/>
                              <w:marBottom w:val="0"/>
                              <w:divBdr>
                                <w:top w:val="none" w:sz="0" w:space="0" w:color="auto"/>
                                <w:left w:val="none" w:sz="0" w:space="0" w:color="auto"/>
                                <w:bottom w:val="none" w:sz="0" w:space="0" w:color="auto"/>
                                <w:right w:val="none" w:sz="0" w:space="0" w:color="auto"/>
                              </w:divBdr>
                              <w:divsChild>
                                <w:div w:id="1204291101">
                                  <w:marLeft w:val="0"/>
                                  <w:marRight w:val="0"/>
                                  <w:marTop w:val="0"/>
                                  <w:marBottom w:val="0"/>
                                  <w:divBdr>
                                    <w:top w:val="none" w:sz="0" w:space="0" w:color="auto"/>
                                    <w:left w:val="none" w:sz="0" w:space="0" w:color="auto"/>
                                    <w:bottom w:val="none" w:sz="0" w:space="0" w:color="auto"/>
                                    <w:right w:val="none" w:sz="0" w:space="0" w:color="auto"/>
                                  </w:divBdr>
                                  <w:divsChild>
                                    <w:div w:id="159349804">
                                      <w:marLeft w:val="0"/>
                                      <w:marRight w:val="0"/>
                                      <w:marTop w:val="0"/>
                                      <w:marBottom w:val="0"/>
                                      <w:divBdr>
                                        <w:top w:val="none" w:sz="0" w:space="0" w:color="auto"/>
                                        <w:left w:val="none" w:sz="0" w:space="0" w:color="auto"/>
                                        <w:bottom w:val="none" w:sz="0" w:space="0" w:color="auto"/>
                                        <w:right w:val="none" w:sz="0" w:space="0" w:color="auto"/>
                                      </w:divBdr>
                                      <w:divsChild>
                                        <w:div w:id="431823594">
                                          <w:marLeft w:val="1200"/>
                                          <w:marRight w:val="1200"/>
                                          <w:marTop w:val="0"/>
                                          <w:marBottom w:val="0"/>
                                          <w:divBdr>
                                            <w:top w:val="none" w:sz="0" w:space="0" w:color="auto"/>
                                            <w:left w:val="none" w:sz="0" w:space="0" w:color="auto"/>
                                            <w:bottom w:val="none" w:sz="0" w:space="0" w:color="auto"/>
                                            <w:right w:val="none" w:sz="0" w:space="0" w:color="auto"/>
                                          </w:divBdr>
                                          <w:divsChild>
                                            <w:div w:id="960722216">
                                              <w:marLeft w:val="0"/>
                                              <w:marRight w:val="0"/>
                                              <w:marTop w:val="0"/>
                                              <w:marBottom w:val="0"/>
                                              <w:divBdr>
                                                <w:top w:val="none" w:sz="0" w:space="0" w:color="auto"/>
                                                <w:left w:val="none" w:sz="0" w:space="0" w:color="auto"/>
                                                <w:bottom w:val="none" w:sz="0" w:space="0" w:color="auto"/>
                                                <w:right w:val="none" w:sz="0" w:space="0" w:color="auto"/>
                                              </w:divBdr>
                                              <w:divsChild>
                                                <w:div w:id="87964791">
                                                  <w:marLeft w:val="0"/>
                                                  <w:marRight w:val="0"/>
                                                  <w:marTop w:val="0"/>
                                                  <w:marBottom w:val="0"/>
                                                  <w:divBdr>
                                                    <w:top w:val="none" w:sz="0" w:space="0" w:color="auto"/>
                                                    <w:left w:val="none" w:sz="0" w:space="0" w:color="auto"/>
                                                    <w:bottom w:val="none" w:sz="0" w:space="0" w:color="auto"/>
                                                    <w:right w:val="none" w:sz="0" w:space="0" w:color="auto"/>
                                                  </w:divBdr>
                                                  <w:divsChild>
                                                    <w:div w:id="741832432">
                                                      <w:marLeft w:val="0"/>
                                                      <w:marRight w:val="0"/>
                                                      <w:marTop w:val="0"/>
                                                      <w:marBottom w:val="0"/>
                                                      <w:divBdr>
                                                        <w:top w:val="none" w:sz="0" w:space="0" w:color="auto"/>
                                                        <w:left w:val="none" w:sz="0" w:space="0" w:color="auto"/>
                                                        <w:bottom w:val="none" w:sz="0" w:space="0" w:color="auto"/>
                                                        <w:right w:val="none" w:sz="0" w:space="0" w:color="auto"/>
                                                      </w:divBdr>
                                                      <w:divsChild>
                                                        <w:div w:id="1441416114">
                                                          <w:marLeft w:val="0"/>
                                                          <w:marRight w:val="0"/>
                                                          <w:marTop w:val="0"/>
                                                          <w:marBottom w:val="0"/>
                                                          <w:divBdr>
                                                            <w:top w:val="none" w:sz="0" w:space="0" w:color="auto"/>
                                                            <w:left w:val="none" w:sz="0" w:space="0" w:color="auto"/>
                                                            <w:bottom w:val="none" w:sz="0" w:space="0" w:color="auto"/>
                                                            <w:right w:val="none" w:sz="0" w:space="0" w:color="auto"/>
                                                          </w:divBdr>
                                                          <w:divsChild>
                                                            <w:div w:id="655115167">
                                                              <w:marLeft w:val="0"/>
                                                              <w:marRight w:val="0"/>
                                                              <w:marTop w:val="0"/>
                                                              <w:marBottom w:val="0"/>
                                                              <w:divBdr>
                                                                <w:top w:val="none" w:sz="0" w:space="0" w:color="auto"/>
                                                                <w:left w:val="none" w:sz="0" w:space="0" w:color="auto"/>
                                                                <w:bottom w:val="none" w:sz="0" w:space="0" w:color="auto"/>
                                                                <w:right w:val="none" w:sz="0" w:space="0" w:color="auto"/>
                                                              </w:divBdr>
                                                              <w:divsChild>
                                                                <w:div w:id="465247659">
                                                                  <w:marLeft w:val="0"/>
                                                                  <w:marRight w:val="0"/>
                                                                  <w:marTop w:val="0"/>
                                                                  <w:marBottom w:val="0"/>
                                                                  <w:divBdr>
                                                                    <w:top w:val="none" w:sz="0" w:space="0" w:color="auto"/>
                                                                    <w:left w:val="none" w:sz="0" w:space="0" w:color="auto"/>
                                                                    <w:bottom w:val="none" w:sz="0" w:space="0" w:color="auto"/>
                                                                    <w:right w:val="none" w:sz="0" w:space="0" w:color="auto"/>
                                                                  </w:divBdr>
                                                                  <w:divsChild>
                                                                    <w:div w:id="605113790">
                                                                      <w:marLeft w:val="0"/>
                                                                      <w:marRight w:val="0"/>
                                                                      <w:marTop w:val="0"/>
                                                                      <w:marBottom w:val="0"/>
                                                                      <w:divBdr>
                                                                        <w:top w:val="none" w:sz="0" w:space="0" w:color="auto"/>
                                                                        <w:left w:val="none" w:sz="0" w:space="0" w:color="auto"/>
                                                                        <w:bottom w:val="none" w:sz="0" w:space="0" w:color="auto"/>
                                                                        <w:right w:val="none" w:sz="0" w:space="0" w:color="auto"/>
                                                                      </w:divBdr>
                                                                      <w:divsChild>
                                                                        <w:div w:id="465123713">
                                                                          <w:marLeft w:val="0"/>
                                                                          <w:marRight w:val="0"/>
                                                                          <w:marTop w:val="0"/>
                                                                          <w:marBottom w:val="0"/>
                                                                          <w:divBdr>
                                                                            <w:top w:val="none" w:sz="0" w:space="0" w:color="auto"/>
                                                                            <w:left w:val="none" w:sz="0" w:space="0" w:color="auto"/>
                                                                            <w:bottom w:val="none" w:sz="0" w:space="0" w:color="auto"/>
                                                                            <w:right w:val="none" w:sz="0" w:space="0" w:color="auto"/>
                                                                          </w:divBdr>
                                                                        </w:div>
                                                                      </w:divsChild>
                                                                    </w:div>
                                                                    <w:div w:id="935089028">
                                                                      <w:marLeft w:val="0"/>
                                                                      <w:marRight w:val="0"/>
                                                                      <w:marTop w:val="0"/>
                                                                      <w:marBottom w:val="0"/>
                                                                      <w:divBdr>
                                                                        <w:top w:val="none" w:sz="0" w:space="0" w:color="auto"/>
                                                                        <w:left w:val="none" w:sz="0" w:space="0" w:color="auto"/>
                                                                        <w:bottom w:val="none" w:sz="0" w:space="0" w:color="auto"/>
                                                                        <w:right w:val="none" w:sz="0" w:space="0" w:color="auto"/>
                                                                      </w:divBdr>
                                                                      <w:divsChild>
                                                                        <w:div w:id="325791795">
                                                                          <w:marLeft w:val="0"/>
                                                                          <w:marRight w:val="0"/>
                                                                          <w:marTop w:val="0"/>
                                                                          <w:marBottom w:val="0"/>
                                                                          <w:divBdr>
                                                                            <w:top w:val="none" w:sz="0" w:space="0" w:color="auto"/>
                                                                            <w:left w:val="none" w:sz="0" w:space="0" w:color="auto"/>
                                                                            <w:bottom w:val="none" w:sz="0" w:space="0" w:color="auto"/>
                                                                            <w:right w:val="none" w:sz="0" w:space="0" w:color="auto"/>
                                                                          </w:divBdr>
                                                                        </w:div>
                                                                      </w:divsChild>
                                                                    </w:div>
                                                                    <w:div w:id="1466436539">
                                                                      <w:marLeft w:val="0"/>
                                                                      <w:marRight w:val="0"/>
                                                                      <w:marTop w:val="0"/>
                                                                      <w:marBottom w:val="0"/>
                                                                      <w:divBdr>
                                                                        <w:top w:val="none" w:sz="0" w:space="0" w:color="auto"/>
                                                                        <w:left w:val="none" w:sz="0" w:space="0" w:color="auto"/>
                                                                        <w:bottom w:val="none" w:sz="0" w:space="0" w:color="auto"/>
                                                                        <w:right w:val="none" w:sz="0" w:space="0" w:color="auto"/>
                                                                      </w:divBdr>
                                                                      <w:divsChild>
                                                                        <w:div w:id="104009061">
                                                                          <w:marLeft w:val="0"/>
                                                                          <w:marRight w:val="0"/>
                                                                          <w:marTop w:val="0"/>
                                                                          <w:marBottom w:val="0"/>
                                                                          <w:divBdr>
                                                                            <w:top w:val="none" w:sz="0" w:space="0" w:color="auto"/>
                                                                            <w:left w:val="none" w:sz="0" w:space="0" w:color="auto"/>
                                                                            <w:bottom w:val="none" w:sz="0" w:space="0" w:color="auto"/>
                                                                            <w:right w:val="none" w:sz="0" w:space="0" w:color="auto"/>
                                                                          </w:divBdr>
                                                                        </w:div>
                                                                      </w:divsChild>
                                                                    </w:div>
                                                                    <w:div w:id="2033604855">
                                                                      <w:marLeft w:val="0"/>
                                                                      <w:marRight w:val="0"/>
                                                                      <w:marTop w:val="0"/>
                                                                      <w:marBottom w:val="0"/>
                                                                      <w:divBdr>
                                                                        <w:top w:val="none" w:sz="0" w:space="0" w:color="auto"/>
                                                                        <w:left w:val="none" w:sz="0" w:space="0" w:color="auto"/>
                                                                        <w:bottom w:val="none" w:sz="0" w:space="0" w:color="auto"/>
                                                                        <w:right w:val="none" w:sz="0" w:space="0" w:color="auto"/>
                                                                      </w:divBdr>
                                                                      <w:divsChild>
                                                                        <w:div w:id="15602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631882">
      <w:bodyDiv w:val="1"/>
      <w:marLeft w:val="0"/>
      <w:marRight w:val="0"/>
      <w:marTop w:val="0"/>
      <w:marBottom w:val="0"/>
      <w:divBdr>
        <w:top w:val="none" w:sz="0" w:space="0" w:color="auto"/>
        <w:left w:val="none" w:sz="0" w:space="0" w:color="auto"/>
        <w:bottom w:val="none" w:sz="0" w:space="0" w:color="auto"/>
        <w:right w:val="none" w:sz="0" w:space="0" w:color="auto"/>
      </w:divBdr>
      <w:divsChild>
        <w:div w:id="1941794066">
          <w:marLeft w:val="0"/>
          <w:marRight w:val="0"/>
          <w:marTop w:val="0"/>
          <w:marBottom w:val="0"/>
          <w:divBdr>
            <w:top w:val="none" w:sz="0" w:space="0" w:color="auto"/>
            <w:left w:val="none" w:sz="0" w:space="0" w:color="auto"/>
            <w:bottom w:val="none" w:sz="0" w:space="0" w:color="auto"/>
            <w:right w:val="none" w:sz="0" w:space="0" w:color="auto"/>
          </w:divBdr>
          <w:divsChild>
            <w:div w:id="1387488763">
              <w:marLeft w:val="0"/>
              <w:marRight w:val="0"/>
              <w:marTop w:val="0"/>
              <w:marBottom w:val="0"/>
              <w:divBdr>
                <w:top w:val="none" w:sz="0" w:space="0" w:color="auto"/>
                <w:left w:val="none" w:sz="0" w:space="0" w:color="auto"/>
                <w:bottom w:val="none" w:sz="0" w:space="0" w:color="auto"/>
                <w:right w:val="none" w:sz="0" w:space="0" w:color="auto"/>
              </w:divBdr>
              <w:divsChild>
                <w:div w:id="1529879583">
                  <w:marLeft w:val="0"/>
                  <w:marRight w:val="0"/>
                  <w:marTop w:val="0"/>
                  <w:marBottom w:val="0"/>
                  <w:divBdr>
                    <w:top w:val="none" w:sz="0" w:space="0" w:color="auto"/>
                    <w:left w:val="none" w:sz="0" w:space="0" w:color="auto"/>
                    <w:bottom w:val="none" w:sz="0" w:space="0" w:color="auto"/>
                    <w:right w:val="none" w:sz="0" w:space="0" w:color="auto"/>
                  </w:divBdr>
                  <w:divsChild>
                    <w:div w:id="1273437068">
                      <w:marLeft w:val="0"/>
                      <w:marRight w:val="0"/>
                      <w:marTop w:val="0"/>
                      <w:marBottom w:val="375"/>
                      <w:divBdr>
                        <w:top w:val="none" w:sz="0" w:space="0" w:color="auto"/>
                        <w:left w:val="none" w:sz="0" w:space="0" w:color="auto"/>
                        <w:bottom w:val="none" w:sz="0" w:space="0" w:color="auto"/>
                        <w:right w:val="none" w:sz="0" w:space="0" w:color="auto"/>
                      </w:divBdr>
                      <w:divsChild>
                        <w:div w:id="192298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363082">
      <w:bodyDiv w:val="1"/>
      <w:marLeft w:val="0"/>
      <w:marRight w:val="0"/>
      <w:marTop w:val="0"/>
      <w:marBottom w:val="0"/>
      <w:divBdr>
        <w:top w:val="none" w:sz="0" w:space="0" w:color="auto"/>
        <w:left w:val="none" w:sz="0" w:space="0" w:color="auto"/>
        <w:bottom w:val="none" w:sz="0" w:space="0" w:color="auto"/>
        <w:right w:val="none" w:sz="0" w:space="0" w:color="auto"/>
      </w:divBdr>
      <w:divsChild>
        <w:div w:id="545869906">
          <w:marLeft w:val="0"/>
          <w:marRight w:val="0"/>
          <w:marTop w:val="0"/>
          <w:marBottom w:val="0"/>
          <w:divBdr>
            <w:top w:val="none" w:sz="0" w:space="0" w:color="auto"/>
            <w:left w:val="none" w:sz="0" w:space="0" w:color="auto"/>
            <w:bottom w:val="none" w:sz="0" w:space="0" w:color="auto"/>
            <w:right w:val="none" w:sz="0" w:space="0" w:color="auto"/>
          </w:divBdr>
          <w:divsChild>
            <w:div w:id="1644383992">
              <w:marLeft w:val="0"/>
              <w:marRight w:val="0"/>
              <w:marTop w:val="0"/>
              <w:marBottom w:val="0"/>
              <w:divBdr>
                <w:top w:val="none" w:sz="0" w:space="0" w:color="auto"/>
                <w:left w:val="none" w:sz="0" w:space="0" w:color="auto"/>
                <w:bottom w:val="none" w:sz="0" w:space="0" w:color="auto"/>
                <w:right w:val="none" w:sz="0" w:space="0" w:color="auto"/>
              </w:divBdr>
              <w:divsChild>
                <w:div w:id="718942157">
                  <w:marLeft w:val="0"/>
                  <w:marRight w:val="0"/>
                  <w:marTop w:val="0"/>
                  <w:marBottom w:val="0"/>
                  <w:divBdr>
                    <w:top w:val="none" w:sz="0" w:space="0" w:color="auto"/>
                    <w:left w:val="none" w:sz="0" w:space="0" w:color="auto"/>
                    <w:bottom w:val="none" w:sz="0" w:space="0" w:color="auto"/>
                    <w:right w:val="none" w:sz="0" w:space="0" w:color="auto"/>
                  </w:divBdr>
                  <w:divsChild>
                    <w:div w:id="475343799">
                      <w:marLeft w:val="0"/>
                      <w:marRight w:val="0"/>
                      <w:marTop w:val="0"/>
                      <w:marBottom w:val="300"/>
                      <w:divBdr>
                        <w:top w:val="none" w:sz="0" w:space="0" w:color="auto"/>
                        <w:left w:val="none" w:sz="0" w:space="0" w:color="auto"/>
                        <w:bottom w:val="none" w:sz="0" w:space="0" w:color="auto"/>
                        <w:right w:val="none" w:sz="0" w:space="0" w:color="auto"/>
                      </w:divBdr>
                      <w:divsChild>
                        <w:div w:id="15268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957289">
      <w:bodyDiv w:val="1"/>
      <w:marLeft w:val="0"/>
      <w:marRight w:val="0"/>
      <w:marTop w:val="0"/>
      <w:marBottom w:val="0"/>
      <w:divBdr>
        <w:top w:val="none" w:sz="0" w:space="0" w:color="auto"/>
        <w:left w:val="none" w:sz="0" w:space="0" w:color="auto"/>
        <w:bottom w:val="none" w:sz="0" w:space="0" w:color="auto"/>
        <w:right w:val="none" w:sz="0" w:space="0" w:color="auto"/>
      </w:divBdr>
      <w:divsChild>
        <w:div w:id="2122917323">
          <w:marLeft w:val="0"/>
          <w:marRight w:val="0"/>
          <w:marTop w:val="0"/>
          <w:marBottom w:val="0"/>
          <w:divBdr>
            <w:top w:val="none" w:sz="0" w:space="0" w:color="auto"/>
            <w:left w:val="single" w:sz="6" w:space="0" w:color="BBBBBB"/>
            <w:bottom w:val="single" w:sz="6" w:space="0" w:color="BBBBBB"/>
            <w:right w:val="single" w:sz="6" w:space="0" w:color="BBBBBB"/>
          </w:divBdr>
          <w:divsChild>
            <w:div w:id="1312179104">
              <w:marLeft w:val="0"/>
              <w:marRight w:val="0"/>
              <w:marTop w:val="0"/>
              <w:marBottom w:val="0"/>
              <w:divBdr>
                <w:top w:val="none" w:sz="0" w:space="0" w:color="auto"/>
                <w:left w:val="none" w:sz="0" w:space="0" w:color="auto"/>
                <w:bottom w:val="none" w:sz="0" w:space="0" w:color="auto"/>
                <w:right w:val="none" w:sz="0" w:space="0" w:color="auto"/>
              </w:divBdr>
              <w:divsChild>
                <w:div w:id="2042395448">
                  <w:marLeft w:val="0"/>
                  <w:marRight w:val="0"/>
                  <w:marTop w:val="0"/>
                  <w:marBottom w:val="0"/>
                  <w:divBdr>
                    <w:top w:val="none" w:sz="0" w:space="0" w:color="auto"/>
                    <w:left w:val="none" w:sz="0" w:space="0" w:color="auto"/>
                    <w:bottom w:val="none" w:sz="0" w:space="0" w:color="auto"/>
                    <w:right w:val="none" w:sz="0" w:space="0" w:color="auto"/>
                  </w:divBdr>
                  <w:divsChild>
                    <w:div w:id="1094321666">
                      <w:marLeft w:val="0"/>
                      <w:marRight w:val="0"/>
                      <w:marTop w:val="0"/>
                      <w:marBottom w:val="0"/>
                      <w:divBdr>
                        <w:top w:val="none" w:sz="0" w:space="0" w:color="auto"/>
                        <w:left w:val="none" w:sz="0" w:space="0" w:color="auto"/>
                        <w:bottom w:val="none" w:sz="0" w:space="0" w:color="auto"/>
                        <w:right w:val="none" w:sz="0" w:space="0" w:color="auto"/>
                      </w:divBdr>
                      <w:divsChild>
                        <w:div w:id="968243863">
                          <w:marLeft w:val="0"/>
                          <w:marRight w:val="0"/>
                          <w:marTop w:val="0"/>
                          <w:marBottom w:val="0"/>
                          <w:divBdr>
                            <w:top w:val="none" w:sz="0" w:space="0" w:color="auto"/>
                            <w:left w:val="none" w:sz="0" w:space="0" w:color="auto"/>
                            <w:bottom w:val="none" w:sz="0" w:space="0" w:color="auto"/>
                            <w:right w:val="none" w:sz="0" w:space="0" w:color="auto"/>
                          </w:divBdr>
                          <w:divsChild>
                            <w:div w:id="528639525">
                              <w:marLeft w:val="0"/>
                              <w:marRight w:val="0"/>
                              <w:marTop w:val="0"/>
                              <w:marBottom w:val="0"/>
                              <w:divBdr>
                                <w:top w:val="none" w:sz="0" w:space="0" w:color="auto"/>
                                <w:left w:val="none" w:sz="0" w:space="0" w:color="auto"/>
                                <w:bottom w:val="none" w:sz="0" w:space="0" w:color="auto"/>
                                <w:right w:val="none" w:sz="0" w:space="0" w:color="auto"/>
                              </w:divBdr>
                              <w:divsChild>
                                <w:div w:id="537740761">
                                  <w:marLeft w:val="0"/>
                                  <w:marRight w:val="0"/>
                                  <w:marTop w:val="0"/>
                                  <w:marBottom w:val="0"/>
                                  <w:divBdr>
                                    <w:top w:val="none" w:sz="0" w:space="0" w:color="auto"/>
                                    <w:left w:val="none" w:sz="0" w:space="0" w:color="auto"/>
                                    <w:bottom w:val="none" w:sz="0" w:space="0" w:color="auto"/>
                                    <w:right w:val="none" w:sz="0" w:space="0" w:color="auto"/>
                                  </w:divBdr>
                                  <w:divsChild>
                                    <w:div w:id="509683315">
                                      <w:marLeft w:val="0"/>
                                      <w:marRight w:val="0"/>
                                      <w:marTop w:val="0"/>
                                      <w:marBottom w:val="0"/>
                                      <w:divBdr>
                                        <w:top w:val="none" w:sz="0" w:space="0" w:color="auto"/>
                                        <w:left w:val="none" w:sz="0" w:space="0" w:color="auto"/>
                                        <w:bottom w:val="none" w:sz="0" w:space="0" w:color="auto"/>
                                        <w:right w:val="none" w:sz="0" w:space="0" w:color="auto"/>
                                      </w:divBdr>
                                      <w:divsChild>
                                        <w:div w:id="1141659064">
                                          <w:marLeft w:val="1200"/>
                                          <w:marRight w:val="1200"/>
                                          <w:marTop w:val="0"/>
                                          <w:marBottom w:val="0"/>
                                          <w:divBdr>
                                            <w:top w:val="none" w:sz="0" w:space="0" w:color="auto"/>
                                            <w:left w:val="none" w:sz="0" w:space="0" w:color="auto"/>
                                            <w:bottom w:val="none" w:sz="0" w:space="0" w:color="auto"/>
                                            <w:right w:val="none" w:sz="0" w:space="0" w:color="auto"/>
                                          </w:divBdr>
                                          <w:divsChild>
                                            <w:div w:id="1640768923">
                                              <w:marLeft w:val="0"/>
                                              <w:marRight w:val="0"/>
                                              <w:marTop w:val="0"/>
                                              <w:marBottom w:val="0"/>
                                              <w:divBdr>
                                                <w:top w:val="none" w:sz="0" w:space="0" w:color="auto"/>
                                                <w:left w:val="none" w:sz="0" w:space="0" w:color="auto"/>
                                                <w:bottom w:val="none" w:sz="0" w:space="0" w:color="auto"/>
                                                <w:right w:val="none" w:sz="0" w:space="0" w:color="auto"/>
                                              </w:divBdr>
                                              <w:divsChild>
                                                <w:div w:id="1661498402">
                                                  <w:marLeft w:val="0"/>
                                                  <w:marRight w:val="0"/>
                                                  <w:marTop w:val="0"/>
                                                  <w:marBottom w:val="0"/>
                                                  <w:divBdr>
                                                    <w:top w:val="none" w:sz="0" w:space="0" w:color="auto"/>
                                                    <w:left w:val="none" w:sz="0" w:space="0" w:color="auto"/>
                                                    <w:bottom w:val="none" w:sz="0" w:space="0" w:color="auto"/>
                                                    <w:right w:val="none" w:sz="0" w:space="0" w:color="auto"/>
                                                  </w:divBdr>
                                                  <w:divsChild>
                                                    <w:div w:id="1269434765">
                                                      <w:marLeft w:val="0"/>
                                                      <w:marRight w:val="0"/>
                                                      <w:marTop w:val="0"/>
                                                      <w:marBottom w:val="0"/>
                                                      <w:divBdr>
                                                        <w:top w:val="none" w:sz="0" w:space="0" w:color="auto"/>
                                                        <w:left w:val="none" w:sz="0" w:space="0" w:color="auto"/>
                                                        <w:bottom w:val="none" w:sz="0" w:space="0" w:color="auto"/>
                                                        <w:right w:val="none" w:sz="0" w:space="0" w:color="auto"/>
                                                      </w:divBdr>
                                                      <w:divsChild>
                                                        <w:div w:id="163673161">
                                                          <w:marLeft w:val="0"/>
                                                          <w:marRight w:val="0"/>
                                                          <w:marTop w:val="0"/>
                                                          <w:marBottom w:val="0"/>
                                                          <w:divBdr>
                                                            <w:top w:val="none" w:sz="0" w:space="0" w:color="auto"/>
                                                            <w:left w:val="none" w:sz="0" w:space="0" w:color="auto"/>
                                                            <w:bottom w:val="none" w:sz="0" w:space="0" w:color="auto"/>
                                                            <w:right w:val="none" w:sz="0" w:space="0" w:color="auto"/>
                                                          </w:divBdr>
                                                          <w:divsChild>
                                                            <w:div w:id="156845665">
                                                              <w:marLeft w:val="0"/>
                                                              <w:marRight w:val="0"/>
                                                              <w:marTop w:val="0"/>
                                                              <w:marBottom w:val="0"/>
                                                              <w:divBdr>
                                                                <w:top w:val="none" w:sz="0" w:space="0" w:color="auto"/>
                                                                <w:left w:val="none" w:sz="0" w:space="0" w:color="auto"/>
                                                                <w:bottom w:val="none" w:sz="0" w:space="0" w:color="auto"/>
                                                                <w:right w:val="none" w:sz="0" w:space="0" w:color="auto"/>
                                                              </w:divBdr>
                                                              <w:divsChild>
                                                                <w:div w:id="765074204">
                                                                  <w:marLeft w:val="0"/>
                                                                  <w:marRight w:val="0"/>
                                                                  <w:marTop w:val="0"/>
                                                                  <w:marBottom w:val="0"/>
                                                                  <w:divBdr>
                                                                    <w:top w:val="none" w:sz="0" w:space="0" w:color="auto"/>
                                                                    <w:left w:val="none" w:sz="0" w:space="0" w:color="auto"/>
                                                                    <w:bottom w:val="none" w:sz="0" w:space="0" w:color="auto"/>
                                                                    <w:right w:val="none" w:sz="0" w:space="0" w:color="auto"/>
                                                                  </w:divBdr>
                                                                  <w:divsChild>
                                                                    <w:div w:id="58404438">
                                                                      <w:marLeft w:val="0"/>
                                                                      <w:marRight w:val="0"/>
                                                                      <w:marTop w:val="0"/>
                                                                      <w:marBottom w:val="0"/>
                                                                      <w:divBdr>
                                                                        <w:top w:val="none" w:sz="0" w:space="0" w:color="auto"/>
                                                                        <w:left w:val="none" w:sz="0" w:space="0" w:color="auto"/>
                                                                        <w:bottom w:val="none" w:sz="0" w:space="0" w:color="auto"/>
                                                                        <w:right w:val="none" w:sz="0" w:space="0" w:color="auto"/>
                                                                      </w:divBdr>
                                                                      <w:divsChild>
                                                                        <w:div w:id="265120839">
                                                                          <w:marLeft w:val="0"/>
                                                                          <w:marRight w:val="0"/>
                                                                          <w:marTop w:val="0"/>
                                                                          <w:marBottom w:val="0"/>
                                                                          <w:divBdr>
                                                                            <w:top w:val="none" w:sz="0" w:space="0" w:color="auto"/>
                                                                            <w:left w:val="none" w:sz="0" w:space="0" w:color="auto"/>
                                                                            <w:bottom w:val="none" w:sz="0" w:space="0" w:color="auto"/>
                                                                            <w:right w:val="none" w:sz="0" w:space="0" w:color="auto"/>
                                                                          </w:divBdr>
                                                                        </w:div>
                                                                      </w:divsChild>
                                                                    </w:div>
                                                                    <w:div w:id="1963926551">
                                                                      <w:marLeft w:val="0"/>
                                                                      <w:marRight w:val="0"/>
                                                                      <w:marTop w:val="0"/>
                                                                      <w:marBottom w:val="0"/>
                                                                      <w:divBdr>
                                                                        <w:top w:val="none" w:sz="0" w:space="0" w:color="auto"/>
                                                                        <w:left w:val="none" w:sz="0" w:space="0" w:color="auto"/>
                                                                        <w:bottom w:val="none" w:sz="0" w:space="0" w:color="auto"/>
                                                                        <w:right w:val="none" w:sz="0" w:space="0" w:color="auto"/>
                                                                      </w:divBdr>
                                                                      <w:divsChild>
                                                                        <w:div w:id="153318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044720">
      <w:bodyDiv w:val="1"/>
      <w:marLeft w:val="0"/>
      <w:marRight w:val="0"/>
      <w:marTop w:val="0"/>
      <w:marBottom w:val="0"/>
      <w:divBdr>
        <w:top w:val="none" w:sz="0" w:space="0" w:color="auto"/>
        <w:left w:val="none" w:sz="0" w:space="0" w:color="auto"/>
        <w:bottom w:val="none" w:sz="0" w:space="0" w:color="auto"/>
        <w:right w:val="none" w:sz="0" w:space="0" w:color="auto"/>
      </w:divBdr>
      <w:divsChild>
        <w:div w:id="1211459007">
          <w:marLeft w:val="0"/>
          <w:marRight w:val="0"/>
          <w:marTop w:val="0"/>
          <w:marBottom w:val="0"/>
          <w:divBdr>
            <w:top w:val="none" w:sz="0" w:space="0" w:color="auto"/>
            <w:left w:val="single" w:sz="6" w:space="0" w:color="BBBBBB"/>
            <w:bottom w:val="single" w:sz="6" w:space="0" w:color="BBBBBB"/>
            <w:right w:val="single" w:sz="6" w:space="0" w:color="BBBBBB"/>
          </w:divBdr>
          <w:divsChild>
            <w:div w:id="2074086326">
              <w:marLeft w:val="0"/>
              <w:marRight w:val="0"/>
              <w:marTop w:val="0"/>
              <w:marBottom w:val="0"/>
              <w:divBdr>
                <w:top w:val="none" w:sz="0" w:space="0" w:color="auto"/>
                <w:left w:val="none" w:sz="0" w:space="0" w:color="auto"/>
                <w:bottom w:val="none" w:sz="0" w:space="0" w:color="auto"/>
                <w:right w:val="none" w:sz="0" w:space="0" w:color="auto"/>
              </w:divBdr>
              <w:divsChild>
                <w:div w:id="1374184969">
                  <w:marLeft w:val="0"/>
                  <w:marRight w:val="0"/>
                  <w:marTop w:val="75"/>
                  <w:marBottom w:val="0"/>
                  <w:divBdr>
                    <w:top w:val="none" w:sz="0" w:space="0" w:color="auto"/>
                    <w:left w:val="none" w:sz="0" w:space="0" w:color="auto"/>
                    <w:bottom w:val="none" w:sz="0" w:space="0" w:color="auto"/>
                    <w:right w:val="none" w:sz="0" w:space="0" w:color="auto"/>
                  </w:divBdr>
                  <w:divsChild>
                    <w:div w:id="790638060">
                      <w:marLeft w:val="0"/>
                      <w:marRight w:val="0"/>
                      <w:marTop w:val="0"/>
                      <w:marBottom w:val="0"/>
                      <w:divBdr>
                        <w:top w:val="none" w:sz="0" w:space="0" w:color="auto"/>
                        <w:left w:val="none" w:sz="0" w:space="0" w:color="auto"/>
                        <w:bottom w:val="none" w:sz="0" w:space="0" w:color="auto"/>
                        <w:right w:val="none" w:sz="0" w:space="0" w:color="auto"/>
                      </w:divBdr>
                      <w:divsChild>
                        <w:div w:id="1536234178">
                          <w:marLeft w:val="0"/>
                          <w:marRight w:val="0"/>
                          <w:marTop w:val="0"/>
                          <w:marBottom w:val="0"/>
                          <w:divBdr>
                            <w:top w:val="none" w:sz="0" w:space="0" w:color="auto"/>
                            <w:left w:val="none" w:sz="0" w:space="0" w:color="auto"/>
                            <w:bottom w:val="none" w:sz="0" w:space="0" w:color="auto"/>
                            <w:right w:val="none" w:sz="0" w:space="0" w:color="auto"/>
                          </w:divBdr>
                          <w:divsChild>
                            <w:div w:id="711154300">
                              <w:marLeft w:val="0"/>
                              <w:marRight w:val="0"/>
                              <w:marTop w:val="0"/>
                              <w:marBottom w:val="0"/>
                              <w:divBdr>
                                <w:top w:val="none" w:sz="0" w:space="0" w:color="auto"/>
                                <w:left w:val="none" w:sz="0" w:space="0" w:color="auto"/>
                                <w:bottom w:val="none" w:sz="0" w:space="0" w:color="auto"/>
                                <w:right w:val="none" w:sz="0" w:space="0" w:color="auto"/>
                              </w:divBdr>
                              <w:divsChild>
                                <w:div w:id="606155741">
                                  <w:marLeft w:val="0"/>
                                  <w:marRight w:val="0"/>
                                  <w:marTop w:val="0"/>
                                  <w:marBottom w:val="0"/>
                                  <w:divBdr>
                                    <w:top w:val="none" w:sz="0" w:space="0" w:color="auto"/>
                                    <w:left w:val="none" w:sz="0" w:space="0" w:color="auto"/>
                                    <w:bottom w:val="none" w:sz="0" w:space="0" w:color="auto"/>
                                    <w:right w:val="none" w:sz="0" w:space="0" w:color="auto"/>
                                  </w:divBdr>
                                  <w:divsChild>
                                    <w:div w:id="866870316">
                                      <w:marLeft w:val="0"/>
                                      <w:marRight w:val="0"/>
                                      <w:marTop w:val="0"/>
                                      <w:marBottom w:val="0"/>
                                      <w:divBdr>
                                        <w:top w:val="none" w:sz="0" w:space="0" w:color="auto"/>
                                        <w:left w:val="none" w:sz="0" w:space="0" w:color="auto"/>
                                        <w:bottom w:val="none" w:sz="0" w:space="0" w:color="auto"/>
                                        <w:right w:val="none" w:sz="0" w:space="0" w:color="auto"/>
                                      </w:divBdr>
                                      <w:divsChild>
                                        <w:div w:id="1531524808">
                                          <w:marLeft w:val="1200"/>
                                          <w:marRight w:val="1200"/>
                                          <w:marTop w:val="0"/>
                                          <w:marBottom w:val="0"/>
                                          <w:divBdr>
                                            <w:top w:val="none" w:sz="0" w:space="0" w:color="auto"/>
                                            <w:left w:val="none" w:sz="0" w:space="0" w:color="auto"/>
                                            <w:bottom w:val="none" w:sz="0" w:space="0" w:color="auto"/>
                                            <w:right w:val="none" w:sz="0" w:space="0" w:color="auto"/>
                                          </w:divBdr>
                                          <w:divsChild>
                                            <w:div w:id="258490071">
                                              <w:marLeft w:val="0"/>
                                              <w:marRight w:val="0"/>
                                              <w:marTop w:val="0"/>
                                              <w:marBottom w:val="0"/>
                                              <w:divBdr>
                                                <w:top w:val="none" w:sz="0" w:space="0" w:color="auto"/>
                                                <w:left w:val="none" w:sz="0" w:space="0" w:color="auto"/>
                                                <w:bottom w:val="none" w:sz="0" w:space="0" w:color="auto"/>
                                                <w:right w:val="none" w:sz="0" w:space="0" w:color="auto"/>
                                              </w:divBdr>
                                              <w:divsChild>
                                                <w:div w:id="1054962079">
                                                  <w:marLeft w:val="0"/>
                                                  <w:marRight w:val="0"/>
                                                  <w:marTop w:val="0"/>
                                                  <w:marBottom w:val="0"/>
                                                  <w:divBdr>
                                                    <w:top w:val="none" w:sz="0" w:space="0" w:color="auto"/>
                                                    <w:left w:val="none" w:sz="0" w:space="0" w:color="auto"/>
                                                    <w:bottom w:val="none" w:sz="0" w:space="0" w:color="auto"/>
                                                    <w:right w:val="none" w:sz="0" w:space="0" w:color="auto"/>
                                                  </w:divBdr>
                                                  <w:divsChild>
                                                    <w:div w:id="30031757">
                                                      <w:marLeft w:val="0"/>
                                                      <w:marRight w:val="0"/>
                                                      <w:marTop w:val="0"/>
                                                      <w:marBottom w:val="0"/>
                                                      <w:divBdr>
                                                        <w:top w:val="none" w:sz="0" w:space="0" w:color="auto"/>
                                                        <w:left w:val="none" w:sz="0" w:space="0" w:color="auto"/>
                                                        <w:bottom w:val="none" w:sz="0" w:space="0" w:color="auto"/>
                                                        <w:right w:val="none" w:sz="0" w:space="0" w:color="auto"/>
                                                      </w:divBdr>
                                                      <w:divsChild>
                                                        <w:div w:id="950281342">
                                                          <w:marLeft w:val="0"/>
                                                          <w:marRight w:val="0"/>
                                                          <w:marTop w:val="0"/>
                                                          <w:marBottom w:val="0"/>
                                                          <w:divBdr>
                                                            <w:top w:val="none" w:sz="0" w:space="0" w:color="auto"/>
                                                            <w:left w:val="none" w:sz="0" w:space="0" w:color="auto"/>
                                                            <w:bottom w:val="none" w:sz="0" w:space="0" w:color="auto"/>
                                                            <w:right w:val="none" w:sz="0" w:space="0" w:color="auto"/>
                                                          </w:divBdr>
                                                        </w:div>
                                                      </w:divsChild>
                                                    </w:div>
                                                    <w:div w:id="348920158">
                                                      <w:marLeft w:val="0"/>
                                                      <w:marRight w:val="0"/>
                                                      <w:marTop w:val="0"/>
                                                      <w:marBottom w:val="0"/>
                                                      <w:divBdr>
                                                        <w:top w:val="none" w:sz="0" w:space="0" w:color="auto"/>
                                                        <w:left w:val="none" w:sz="0" w:space="0" w:color="auto"/>
                                                        <w:bottom w:val="none" w:sz="0" w:space="0" w:color="auto"/>
                                                        <w:right w:val="none" w:sz="0" w:space="0" w:color="auto"/>
                                                      </w:divBdr>
                                                      <w:divsChild>
                                                        <w:div w:id="1358769576">
                                                          <w:marLeft w:val="0"/>
                                                          <w:marRight w:val="0"/>
                                                          <w:marTop w:val="0"/>
                                                          <w:marBottom w:val="0"/>
                                                          <w:divBdr>
                                                            <w:top w:val="none" w:sz="0" w:space="0" w:color="auto"/>
                                                            <w:left w:val="none" w:sz="0" w:space="0" w:color="auto"/>
                                                            <w:bottom w:val="none" w:sz="0" w:space="0" w:color="auto"/>
                                                            <w:right w:val="none" w:sz="0" w:space="0" w:color="auto"/>
                                                          </w:divBdr>
                                                        </w:div>
                                                      </w:divsChild>
                                                    </w:div>
                                                    <w:div w:id="497886663">
                                                      <w:marLeft w:val="0"/>
                                                      <w:marRight w:val="0"/>
                                                      <w:marTop w:val="0"/>
                                                      <w:marBottom w:val="0"/>
                                                      <w:divBdr>
                                                        <w:top w:val="none" w:sz="0" w:space="0" w:color="auto"/>
                                                        <w:left w:val="none" w:sz="0" w:space="0" w:color="auto"/>
                                                        <w:bottom w:val="none" w:sz="0" w:space="0" w:color="auto"/>
                                                        <w:right w:val="none" w:sz="0" w:space="0" w:color="auto"/>
                                                      </w:divBdr>
                                                      <w:divsChild>
                                                        <w:div w:id="673605710">
                                                          <w:marLeft w:val="0"/>
                                                          <w:marRight w:val="0"/>
                                                          <w:marTop w:val="0"/>
                                                          <w:marBottom w:val="0"/>
                                                          <w:divBdr>
                                                            <w:top w:val="none" w:sz="0" w:space="0" w:color="auto"/>
                                                            <w:left w:val="none" w:sz="0" w:space="0" w:color="auto"/>
                                                            <w:bottom w:val="none" w:sz="0" w:space="0" w:color="auto"/>
                                                            <w:right w:val="none" w:sz="0" w:space="0" w:color="auto"/>
                                                          </w:divBdr>
                                                        </w:div>
                                                      </w:divsChild>
                                                    </w:div>
                                                    <w:div w:id="546988390">
                                                      <w:marLeft w:val="0"/>
                                                      <w:marRight w:val="0"/>
                                                      <w:marTop w:val="0"/>
                                                      <w:marBottom w:val="0"/>
                                                      <w:divBdr>
                                                        <w:top w:val="none" w:sz="0" w:space="0" w:color="auto"/>
                                                        <w:left w:val="none" w:sz="0" w:space="0" w:color="auto"/>
                                                        <w:bottom w:val="none" w:sz="0" w:space="0" w:color="auto"/>
                                                        <w:right w:val="none" w:sz="0" w:space="0" w:color="auto"/>
                                                      </w:divBdr>
                                                      <w:divsChild>
                                                        <w:div w:id="1945188840">
                                                          <w:marLeft w:val="0"/>
                                                          <w:marRight w:val="0"/>
                                                          <w:marTop w:val="0"/>
                                                          <w:marBottom w:val="0"/>
                                                          <w:divBdr>
                                                            <w:top w:val="none" w:sz="0" w:space="0" w:color="auto"/>
                                                            <w:left w:val="none" w:sz="0" w:space="0" w:color="auto"/>
                                                            <w:bottom w:val="none" w:sz="0" w:space="0" w:color="auto"/>
                                                            <w:right w:val="none" w:sz="0" w:space="0" w:color="auto"/>
                                                          </w:divBdr>
                                                        </w:div>
                                                      </w:divsChild>
                                                    </w:div>
                                                    <w:div w:id="1493567768">
                                                      <w:marLeft w:val="0"/>
                                                      <w:marRight w:val="0"/>
                                                      <w:marTop w:val="0"/>
                                                      <w:marBottom w:val="0"/>
                                                      <w:divBdr>
                                                        <w:top w:val="none" w:sz="0" w:space="0" w:color="auto"/>
                                                        <w:left w:val="none" w:sz="0" w:space="0" w:color="auto"/>
                                                        <w:bottom w:val="none" w:sz="0" w:space="0" w:color="auto"/>
                                                        <w:right w:val="none" w:sz="0" w:space="0" w:color="auto"/>
                                                      </w:divBdr>
                                                      <w:divsChild>
                                                        <w:div w:id="2019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9669394">
      <w:bodyDiv w:val="1"/>
      <w:marLeft w:val="0"/>
      <w:marRight w:val="0"/>
      <w:marTop w:val="0"/>
      <w:marBottom w:val="0"/>
      <w:divBdr>
        <w:top w:val="none" w:sz="0" w:space="0" w:color="auto"/>
        <w:left w:val="none" w:sz="0" w:space="0" w:color="auto"/>
        <w:bottom w:val="none" w:sz="0" w:space="0" w:color="auto"/>
        <w:right w:val="none" w:sz="0" w:space="0" w:color="auto"/>
      </w:divBdr>
      <w:divsChild>
        <w:div w:id="1083063343">
          <w:marLeft w:val="0"/>
          <w:marRight w:val="0"/>
          <w:marTop w:val="240"/>
          <w:marBottom w:val="0"/>
          <w:divBdr>
            <w:top w:val="none" w:sz="0" w:space="0" w:color="auto"/>
            <w:left w:val="none" w:sz="0" w:space="0" w:color="auto"/>
            <w:bottom w:val="none" w:sz="0" w:space="0" w:color="auto"/>
            <w:right w:val="none" w:sz="0" w:space="0" w:color="auto"/>
          </w:divBdr>
          <w:divsChild>
            <w:div w:id="1997493349">
              <w:marLeft w:val="0"/>
              <w:marRight w:val="0"/>
              <w:marTop w:val="0"/>
              <w:marBottom w:val="0"/>
              <w:divBdr>
                <w:top w:val="none" w:sz="0" w:space="0" w:color="auto"/>
                <w:left w:val="none" w:sz="0" w:space="0" w:color="auto"/>
                <w:bottom w:val="none" w:sz="0" w:space="0" w:color="auto"/>
                <w:right w:val="none" w:sz="0" w:space="0" w:color="auto"/>
              </w:divBdr>
            </w:div>
          </w:divsChild>
        </w:div>
        <w:div w:id="930628982">
          <w:marLeft w:val="0"/>
          <w:marRight w:val="0"/>
          <w:marTop w:val="240"/>
          <w:marBottom w:val="0"/>
          <w:divBdr>
            <w:top w:val="none" w:sz="0" w:space="0" w:color="auto"/>
            <w:left w:val="none" w:sz="0" w:space="0" w:color="auto"/>
            <w:bottom w:val="none" w:sz="0" w:space="0" w:color="auto"/>
            <w:right w:val="none" w:sz="0" w:space="0" w:color="auto"/>
          </w:divBdr>
          <w:divsChild>
            <w:div w:id="186065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77256">
      <w:bodyDiv w:val="1"/>
      <w:marLeft w:val="0"/>
      <w:marRight w:val="0"/>
      <w:marTop w:val="0"/>
      <w:marBottom w:val="0"/>
      <w:divBdr>
        <w:top w:val="none" w:sz="0" w:space="0" w:color="auto"/>
        <w:left w:val="none" w:sz="0" w:space="0" w:color="auto"/>
        <w:bottom w:val="none" w:sz="0" w:space="0" w:color="auto"/>
        <w:right w:val="none" w:sz="0" w:space="0" w:color="auto"/>
      </w:divBdr>
      <w:divsChild>
        <w:div w:id="480460537">
          <w:marLeft w:val="0"/>
          <w:marRight w:val="0"/>
          <w:marTop w:val="0"/>
          <w:marBottom w:val="0"/>
          <w:divBdr>
            <w:top w:val="none" w:sz="0" w:space="0" w:color="auto"/>
            <w:left w:val="single" w:sz="6" w:space="0" w:color="BBBBBB"/>
            <w:bottom w:val="single" w:sz="6" w:space="0" w:color="BBBBBB"/>
            <w:right w:val="single" w:sz="6" w:space="0" w:color="BBBBBB"/>
          </w:divBdr>
          <w:divsChild>
            <w:div w:id="2018382066">
              <w:marLeft w:val="0"/>
              <w:marRight w:val="0"/>
              <w:marTop w:val="0"/>
              <w:marBottom w:val="0"/>
              <w:divBdr>
                <w:top w:val="none" w:sz="0" w:space="0" w:color="auto"/>
                <w:left w:val="none" w:sz="0" w:space="0" w:color="auto"/>
                <w:bottom w:val="none" w:sz="0" w:space="0" w:color="auto"/>
                <w:right w:val="none" w:sz="0" w:space="0" w:color="auto"/>
              </w:divBdr>
              <w:divsChild>
                <w:div w:id="781533865">
                  <w:marLeft w:val="0"/>
                  <w:marRight w:val="0"/>
                  <w:marTop w:val="0"/>
                  <w:marBottom w:val="0"/>
                  <w:divBdr>
                    <w:top w:val="none" w:sz="0" w:space="0" w:color="auto"/>
                    <w:left w:val="none" w:sz="0" w:space="0" w:color="auto"/>
                    <w:bottom w:val="none" w:sz="0" w:space="0" w:color="auto"/>
                    <w:right w:val="none" w:sz="0" w:space="0" w:color="auto"/>
                  </w:divBdr>
                  <w:divsChild>
                    <w:div w:id="925306702">
                      <w:marLeft w:val="0"/>
                      <w:marRight w:val="0"/>
                      <w:marTop w:val="0"/>
                      <w:marBottom w:val="0"/>
                      <w:divBdr>
                        <w:top w:val="none" w:sz="0" w:space="0" w:color="auto"/>
                        <w:left w:val="none" w:sz="0" w:space="0" w:color="auto"/>
                        <w:bottom w:val="none" w:sz="0" w:space="0" w:color="auto"/>
                        <w:right w:val="none" w:sz="0" w:space="0" w:color="auto"/>
                      </w:divBdr>
                      <w:divsChild>
                        <w:div w:id="1083912894">
                          <w:marLeft w:val="0"/>
                          <w:marRight w:val="0"/>
                          <w:marTop w:val="0"/>
                          <w:marBottom w:val="0"/>
                          <w:divBdr>
                            <w:top w:val="none" w:sz="0" w:space="0" w:color="auto"/>
                            <w:left w:val="none" w:sz="0" w:space="0" w:color="auto"/>
                            <w:bottom w:val="none" w:sz="0" w:space="0" w:color="auto"/>
                            <w:right w:val="none" w:sz="0" w:space="0" w:color="auto"/>
                          </w:divBdr>
                          <w:divsChild>
                            <w:div w:id="1809205982">
                              <w:marLeft w:val="0"/>
                              <w:marRight w:val="0"/>
                              <w:marTop w:val="0"/>
                              <w:marBottom w:val="0"/>
                              <w:divBdr>
                                <w:top w:val="none" w:sz="0" w:space="0" w:color="auto"/>
                                <w:left w:val="none" w:sz="0" w:space="0" w:color="auto"/>
                                <w:bottom w:val="none" w:sz="0" w:space="0" w:color="auto"/>
                                <w:right w:val="none" w:sz="0" w:space="0" w:color="auto"/>
                              </w:divBdr>
                              <w:divsChild>
                                <w:div w:id="477068933">
                                  <w:marLeft w:val="0"/>
                                  <w:marRight w:val="0"/>
                                  <w:marTop w:val="0"/>
                                  <w:marBottom w:val="0"/>
                                  <w:divBdr>
                                    <w:top w:val="none" w:sz="0" w:space="0" w:color="auto"/>
                                    <w:left w:val="none" w:sz="0" w:space="0" w:color="auto"/>
                                    <w:bottom w:val="none" w:sz="0" w:space="0" w:color="auto"/>
                                    <w:right w:val="none" w:sz="0" w:space="0" w:color="auto"/>
                                  </w:divBdr>
                                  <w:divsChild>
                                    <w:div w:id="232932688">
                                      <w:marLeft w:val="0"/>
                                      <w:marRight w:val="0"/>
                                      <w:marTop w:val="0"/>
                                      <w:marBottom w:val="0"/>
                                      <w:divBdr>
                                        <w:top w:val="none" w:sz="0" w:space="0" w:color="auto"/>
                                        <w:left w:val="none" w:sz="0" w:space="0" w:color="auto"/>
                                        <w:bottom w:val="none" w:sz="0" w:space="0" w:color="auto"/>
                                        <w:right w:val="none" w:sz="0" w:space="0" w:color="auto"/>
                                      </w:divBdr>
                                      <w:divsChild>
                                        <w:div w:id="1807703974">
                                          <w:marLeft w:val="1200"/>
                                          <w:marRight w:val="1200"/>
                                          <w:marTop w:val="0"/>
                                          <w:marBottom w:val="0"/>
                                          <w:divBdr>
                                            <w:top w:val="none" w:sz="0" w:space="0" w:color="auto"/>
                                            <w:left w:val="none" w:sz="0" w:space="0" w:color="auto"/>
                                            <w:bottom w:val="none" w:sz="0" w:space="0" w:color="auto"/>
                                            <w:right w:val="none" w:sz="0" w:space="0" w:color="auto"/>
                                          </w:divBdr>
                                          <w:divsChild>
                                            <w:div w:id="732780132">
                                              <w:marLeft w:val="0"/>
                                              <w:marRight w:val="0"/>
                                              <w:marTop w:val="0"/>
                                              <w:marBottom w:val="0"/>
                                              <w:divBdr>
                                                <w:top w:val="none" w:sz="0" w:space="0" w:color="auto"/>
                                                <w:left w:val="none" w:sz="0" w:space="0" w:color="auto"/>
                                                <w:bottom w:val="none" w:sz="0" w:space="0" w:color="auto"/>
                                                <w:right w:val="none" w:sz="0" w:space="0" w:color="auto"/>
                                              </w:divBdr>
                                              <w:divsChild>
                                                <w:div w:id="134956021">
                                                  <w:marLeft w:val="0"/>
                                                  <w:marRight w:val="0"/>
                                                  <w:marTop w:val="0"/>
                                                  <w:marBottom w:val="0"/>
                                                  <w:divBdr>
                                                    <w:top w:val="none" w:sz="0" w:space="0" w:color="auto"/>
                                                    <w:left w:val="none" w:sz="0" w:space="0" w:color="auto"/>
                                                    <w:bottom w:val="none" w:sz="0" w:space="0" w:color="auto"/>
                                                    <w:right w:val="none" w:sz="0" w:space="0" w:color="auto"/>
                                                  </w:divBdr>
                                                  <w:divsChild>
                                                    <w:div w:id="1769425979">
                                                      <w:marLeft w:val="0"/>
                                                      <w:marRight w:val="0"/>
                                                      <w:marTop w:val="0"/>
                                                      <w:marBottom w:val="0"/>
                                                      <w:divBdr>
                                                        <w:top w:val="none" w:sz="0" w:space="0" w:color="auto"/>
                                                        <w:left w:val="none" w:sz="0" w:space="0" w:color="auto"/>
                                                        <w:bottom w:val="none" w:sz="0" w:space="0" w:color="auto"/>
                                                        <w:right w:val="none" w:sz="0" w:space="0" w:color="auto"/>
                                                      </w:divBdr>
                                                      <w:divsChild>
                                                        <w:div w:id="1629043619">
                                                          <w:marLeft w:val="0"/>
                                                          <w:marRight w:val="0"/>
                                                          <w:marTop w:val="0"/>
                                                          <w:marBottom w:val="0"/>
                                                          <w:divBdr>
                                                            <w:top w:val="none" w:sz="0" w:space="0" w:color="auto"/>
                                                            <w:left w:val="none" w:sz="0" w:space="0" w:color="auto"/>
                                                            <w:bottom w:val="none" w:sz="0" w:space="0" w:color="auto"/>
                                                            <w:right w:val="none" w:sz="0" w:space="0" w:color="auto"/>
                                                          </w:divBdr>
                                                          <w:divsChild>
                                                            <w:div w:id="1878469717">
                                                              <w:marLeft w:val="0"/>
                                                              <w:marRight w:val="0"/>
                                                              <w:marTop w:val="0"/>
                                                              <w:marBottom w:val="0"/>
                                                              <w:divBdr>
                                                                <w:top w:val="none" w:sz="0" w:space="0" w:color="auto"/>
                                                                <w:left w:val="none" w:sz="0" w:space="0" w:color="auto"/>
                                                                <w:bottom w:val="none" w:sz="0" w:space="0" w:color="auto"/>
                                                                <w:right w:val="none" w:sz="0" w:space="0" w:color="auto"/>
                                                              </w:divBdr>
                                                              <w:divsChild>
                                                                <w:div w:id="1732268097">
                                                                  <w:marLeft w:val="0"/>
                                                                  <w:marRight w:val="0"/>
                                                                  <w:marTop w:val="0"/>
                                                                  <w:marBottom w:val="0"/>
                                                                  <w:divBdr>
                                                                    <w:top w:val="none" w:sz="0" w:space="0" w:color="auto"/>
                                                                    <w:left w:val="none" w:sz="0" w:space="0" w:color="auto"/>
                                                                    <w:bottom w:val="none" w:sz="0" w:space="0" w:color="auto"/>
                                                                    <w:right w:val="none" w:sz="0" w:space="0" w:color="auto"/>
                                                                  </w:divBdr>
                                                                  <w:divsChild>
                                                                    <w:div w:id="271714244">
                                                                      <w:marLeft w:val="0"/>
                                                                      <w:marRight w:val="0"/>
                                                                      <w:marTop w:val="0"/>
                                                                      <w:marBottom w:val="0"/>
                                                                      <w:divBdr>
                                                                        <w:top w:val="none" w:sz="0" w:space="0" w:color="auto"/>
                                                                        <w:left w:val="none" w:sz="0" w:space="0" w:color="auto"/>
                                                                        <w:bottom w:val="none" w:sz="0" w:space="0" w:color="auto"/>
                                                                        <w:right w:val="none" w:sz="0" w:space="0" w:color="auto"/>
                                                                      </w:divBdr>
                                                                      <w:divsChild>
                                                                        <w:div w:id="749887473">
                                                                          <w:marLeft w:val="0"/>
                                                                          <w:marRight w:val="0"/>
                                                                          <w:marTop w:val="0"/>
                                                                          <w:marBottom w:val="0"/>
                                                                          <w:divBdr>
                                                                            <w:top w:val="none" w:sz="0" w:space="0" w:color="auto"/>
                                                                            <w:left w:val="none" w:sz="0" w:space="0" w:color="auto"/>
                                                                            <w:bottom w:val="none" w:sz="0" w:space="0" w:color="auto"/>
                                                                            <w:right w:val="none" w:sz="0" w:space="0" w:color="auto"/>
                                                                          </w:divBdr>
                                                                          <w:divsChild>
                                                                            <w:div w:id="1098595727">
                                                                              <w:marLeft w:val="0"/>
                                                                              <w:marRight w:val="0"/>
                                                                              <w:marTop w:val="0"/>
                                                                              <w:marBottom w:val="0"/>
                                                                              <w:divBdr>
                                                                                <w:top w:val="none" w:sz="0" w:space="0" w:color="auto"/>
                                                                                <w:left w:val="none" w:sz="0" w:space="0" w:color="auto"/>
                                                                                <w:bottom w:val="none" w:sz="0" w:space="0" w:color="auto"/>
                                                                                <w:right w:val="none" w:sz="0" w:space="0" w:color="auto"/>
                                                                              </w:divBdr>
                                                                            </w:div>
                                                                          </w:divsChild>
                                                                        </w:div>
                                                                        <w:div w:id="1840652679">
                                                                          <w:marLeft w:val="0"/>
                                                                          <w:marRight w:val="0"/>
                                                                          <w:marTop w:val="0"/>
                                                                          <w:marBottom w:val="0"/>
                                                                          <w:divBdr>
                                                                            <w:top w:val="none" w:sz="0" w:space="0" w:color="auto"/>
                                                                            <w:left w:val="none" w:sz="0" w:space="0" w:color="auto"/>
                                                                            <w:bottom w:val="none" w:sz="0" w:space="0" w:color="auto"/>
                                                                            <w:right w:val="none" w:sz="0" w:space="0" w:color="auto"/>
                                                                          </w:divBdr>
                                                                          <w:divsChild>
                                                                            <w:div w:id="1157302762">
                                                                              <w:marLeft w:val="0"/>
                                                                              <w:marRight w:val="0"/>
                                                                              <w:marTop w:val="0"/>
                                                                              <w:marBottom w:val="0"/>
                                                                              <w:divBdr>
                                                                                <w:top w:val="none" w:sz="0" w:space="0" w:color="auto"/>
                                                                                <w:left w:val="none" w:sz="0" w:space="0" w:color="auto"/>
                                                                                <w:bottom w:val="none" w:sz="0" w:space="0" w:color="auto"/>
                                                                                <w:right w:val="none" w:sz="0" w:space="0" w:color="auto"/>
                                                                              </w:divBdr>
                                                                            </w:div>
                                                                          </w:divsChild>
                                                                        </w:div>
                                                                        <w:div w:id="1893736968">
                                                                          <w:marLeft w:val="0"/>
                                                                          <w:marRight w:val="0"/>
                                                                          <w:marTop w:val="0"/>
                                                                          <w:marBottom w:val="0"/>
                                                                          <w:divBdr>
                                                                            <w:top w:val="none" w:sz="0" w:space="0" w:color="auto"/>
                                                                            <w:left w:val="none" w:sz="0" w:space="0" w:color="auto"/>
                                                                            <w:bottom w:val="none" w:sz="0" w:space="0" w:color="auto"/>
                                                                            <w:right w:val="none" w:sz="0" w:space="0" w:color="auto"/>
                                                                          </w:divBdr>
                                                                          <w:divsChild>
                                                                            <w:div w:id="1085154663">
                                                                              <w:marLeft w:val="0"/>
                                                                              <w:marRight w:val="0"/>
                                                                              <w:marTop w:val="0"/>
                                                                              <w:marBottom w:val="0"/>
                                                                              <w:divBdr>
                                                                                <w:top w:val="none" w:sz="0" w:space="0" w:color="auto"/>
                                                                                <w:left w:val="none" w:sz="0" w:space="0" w:color="auto"/>
                                                                                <w:bottom w:val="none" w:sz="0" w:space="0" w:color="auto"/>
                                                                                <w:right w:val="none" w:sz="0" w:space="0" w:color="auto"/>
                                                                              </w:divBdr>
                                                                            </w:div>
                                                                          </w:divsChild>
                                                                        </w:div>
                                                                        <w:div w:id="1899320241">
                                                                          <w:marLeft w:val="0"/>
                                                                          <w:marRight w:val="0"/>
                                                                          <w:marTop w:val="0"/>
                                                                          <w:marBottom w:val="0"/>
                                                                          <w:divBdr>
                                                                            <w:top w:val="none" w:sz="0" w:space="0" w:color="auto"/>
                                                                            <w:left w:val="none" w:sz="0" w:space="0" w:color="auto"/>
                                                                            <w:bottom w:val="none" w:sz="0" w:space="0" w:color="auto"/>
                                                                            <w:right w:val="none" w:sz="0" w:space="0" w:color="auto"/>
                                                                          </w:divBdr>
                                                                          <w:divsChild>
                                                                            <w:div w:id="115240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957178">
      <w:bodyDiv w:val="1"/>
      <w:marLeft w:val="0"/>
      <w:marRight w:val="0"/>
      <w:marTop w:val="0"/>
      <w:marBottom w:val="0"/>
      <w:divBdr>
        <w:top w:val="none" w:sz="0" w:space="0" w:color="auto"/>
        <w:left w:val="none" w:sz="0" w:space="0" w:color="auto"/>
        <w:bottom w:val="none" w:sz="0" w:space="0" w:color="auto"/>
        <w:right w:val="none" w:sz="0" w:space="0" w:color="auto"/>
      </w:divBdr>
      <w:divsChild>
        <w:div w:id="1314484361">
          <w:marLeft w:val="0"/>
          <w:marRight w:val="0"/>
          <w:marTop w:val="0"/>
          <w:marBottom w:val="0"/>
          <w:divBdr>
            <w:top w:val="none" w:sz="0" w:space="0" w:color="auto"/>
            <w:left w:val="none" w:sz="0" w:space="0" w:color="auto"/>
            <w:bottom w:val="none" w:sz="0" w:space="0" w:color="auto"/>
            <w:right w:val="none" w:sz="0" w:space="0" w:color="auto"/>
          </w:divBdr>
          <w:divsChild>
            <w:div w:id="1373077151">
              <w:marLeft w:val="0"/>
              <w:marRight w:val="0"/>
              <w:marTop w:val="0"/>
              <w:marBottom w:val="0"/>
              <w:divBdr>
                <w:top w:val="none" w:sz="0" w:space="0" w:color="auto"/>
                <w:left w:val="none" w:sz="0" w:space="0" w:color="auto"/>
                <w:bottom w:val="none" w:sz="0" w:space="0" w:color="auto"/>
                <w:right w:val="none" w:sz="0" w:space="0" w:color="auto"/>
              </w:divBdr>
              <w:divsChild>
                <w:div w:id="1577130782">
                  <w:marLeft w:val="0"/>
                  <w:marRight w:val="0"/>
                  <w:marTop w:val="0"/>
                  <w:marBottom w:val="0"/>
                  <w:divBdr>
                    <w:top w:val="none" w:sz="0" w:space="0" w:color="auto"/>
                    <w:left w:val="none" w:sz="0" w:space="0" w:color="auto"/>
                    <w:bottom w:val="none" w:sz="0" w:space="0" w:color="auto"/>
                    <w:right w:val="none" w:sz="0" w:space="0" w:color="auto"/>
                  </w:divBdr>
                  <w:divsChild>
                    <w:div w:id="1657298142">
                      <w:marLeft w:val="0"/>
                      <w:marRight w:val="0"/>
                      <w:marTop w:val="0"/>
                      <w:marBottom w:val="375"/>
                      <w:divBdr>
                        <w:top w:val="none" w:sz="0" w:space="0" w:color="auto"/>
                        <w:left w:val="none" w:sz="0" w:space="0" w:color="auto"/>
                        <w:bottom w:val="none" w:sz="0" w:space="0" w:color="auto"/>
                        <w:right w:val="none" w:sz="0" w:space="0" w:color="auto"/>
                      </w:divBdr>
                      <w:divsChild>
                        <w:div w:id="18467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921441">
      <w:bodyDiv w:val="1"/>
      <w:marLeft w:val="0"/>
      <w:marRight w:val="0"/>
      <w:marTop w:val="0"/>
      <w:marBottom w:val="0"/>
      <w:divBdr>
        <w:top w:val="none" w:sz="0" w:space="0" w:color="auto"/>
        <w:left w:val="none" w:sz="0" w:space="0" w:color="auto"/>
        <w:bottom w:val="none" w:sz="0" w:space="0" w:color="auto"/>
        <w:right w:val="none" w:sz="0" w:space="0" w:color="auto"/>
      </w:divBdr>
    </w:div>
    <w:div w:id="1748921967">
      <w:bodyDiv w:val="1"/>
      <w:marLeft w:val="0"/>
      <w:marRight w:val="0"/>
      <w:marTop w:val="0"/>
      <w:marBottom w:val="0"/>
      <w:divBdr>
        <w:top w:val="none" w:sz="0" w:space="0" w:color="auto"/>
        <w:left w:val="none" w:sz="0" w:space="0" w:color="auto"/>
        <w:bottom w:val="none" w:sz="0" w:space="0" w:color="auto"/>
        <w:right w:val="none" w:sz="0" w:space="0" w:color="auto"/>
      </w:divBdr>
      <w:divsChild>
        <w:div w:id="1978991028">
          <w:marLeft w:val="0"/>
          <w:marRight w:val="0"/>
          <w:marTop w:val="0"/>
          <w:marBottom w:val="0"/>
          <w:divBdr>
            <w:top w:val="none" w:sz="0" w:space="0" w:color="auto"/>
            <w:left w:val="none" w:sz="0" w:space="0" w:color="auto"/>
            <w:bottom w:val="none" w:sz="0" w:space="0" w:color="auto"/>
            <w:right w:val="none" w:sz="0" w:space="0" w:color="auto"/>
          </w:divBdr>
          <w:divsChild>
            <w:div w:id="1687056895">
              <w:marLeft w:val="0"/>
              <w:marRight w:val="0"/>
              <w:marTop w:val="0"/>
              <w:marBottom w:val="0"/>
              <w:divBdr>
                <w:top w:val="none" w:sz="0" w:space="0" w:color="auto"/>
                <w:left w:val="none" w:sz="0" w:space="0" w:color="auto"/>
                <w:bottom w:val="none" w:sz="0" w:space="0" w:color="auto"/>
                <w:right w:val="none" w:sz="0" w:space="0" w:color="auto"/>
              </w:divBdr>
              <w:divsChild>
                <w:div w:id="681666440">
                  <w:marLeft w:val="0"/>
                  <w:marRight w:val="0"/>
                  <w:marTop w:val="0"/>
                  <w:marBottom w:val="0"/>
                  <w:divBdr>
                    <w:top w:val="none" w:sz="0" w:space="0" w:color="auto"/>
                    <w:left w:val="none" w:sz="0" w:space="0" w:color="auto"/>
                    <w:bottom w:val="none" w:sz="0" w:space="0" w:color="auto"/>
                    <w:right w:val="none" w:sz="0" w:space="0" w:color="auto"/>
                  </w:divBdr>
                  <w:divsChild>
                    <w:div w:id="353965362">
                      <w:marLeft w:val="0"/>
                      <w:marRight w:val="0"/>
                      <w:marTop w:val="0"/>
                      <w:marBottom w:val="300"/>
                      <w:divBdr>
                        <w:top w:val="none" w:sz="0" w:space="0" w:color="auto"/>
                        <w:left w:val="none" w:sz="0" w:space="0" w:color="auto"/>
                        <w:bottom w:val="none" w:sz="0" w:space="0" w:color="auto"/>
                        <w:right w:val="none" w:sz="0" w:space="0" w:color="auto"/>
                      </w:divBdr>
                      <w:divsChild>
                        <w:div w:id="14547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734068">
      <w:bodyDiv w:val="1"/>
      <w:marLeft w:val="0"/>
      <w:marRight w:val="0"/>
      <w:marTop w:val="0"/>
      <w:marBottom w:val="0"/>
      <w:divBdr>
        <w:top w:val="none" w:sz="0" w:space="0" w:color="auto"/>
        <w:left w:val="none" w:sz="0" w:space="0" w:color="auto"/>
        <w:bottom w:val="none" w:sz="0" w:space="0" w:color="auto"/>
        <w:right w:val="none" w:sz="0" w:space="0" w:color="auto"/>
      </w:divBdr>
      <w:divsChild>
        <w:div w:id="15160025">
          <w:marLeft w:val="0"/>
          <w:marRight w:val="0"/>
          <w:marTop w:val="0"/>
          <w:marBottom w:val="0"/>
          <w:divBdr>
            <w:top w:val="none" w:sz="0" w:space="0" w:color="auto"/>
            <w:left w:val="none" w:sz="0" w:space="0" w:color="auto"/>
            <w:bottom w:val="none" w:sz="0" w:space="0" w:color="auto"/>
            <w:right w:val="none" w:sz="0" w:space="0" w:color="auto"/>
          </w:divBdr>
          <w:divsChild>
            <w:div w:id="456337387">
              <w:marLeft w:val="0"/>
              <w:marRight w:val="0"/>
              <w:marTop w:val="0"/>
              <w:marBottom w:val="0"/>
              <w:divBdr>
                <w:top w:val="none" w:sz="0" w:space="0" w:color="auto"/>
                <w:left w:val="none" w:sz="0" w:space="0" w:color="auto"/>
                <w:bottom w:val="none" w:sz="0" w:space="0" w:color="auto"/>
                <w:right w:val="none" w:sz="0" w:space="0" w:color="auto"/>
              </w:divBdr>
              <w:divsChild>
                <w:div w:id="477764430">
                  <w:marLeft w:val="0"/>
                  <w:marRight w:val="0"/>
                  <w:marTop w:val="0"/>
                  <w:marBottom w:val="0"/>
                  <w:divBdr>
                    <w:top w:val="none" w:sz="0" w:space="0" w:color="auto"/>
                    <w:left w:val="none" w:sz="0" w:space="0" w:color="auto"/>
                    <w:bottom w:val="none" w:sz="0" w:space="0" w:color="auto"/>
                    <w:right w:val="none" w:sz="0" w:space="0" w:color="auto"/>
                  </w:divBdr>
                  <w:divsChild>
                    <w:div w:id="111244310">
                      <w:marLeft w:val="0"/>
                      <w:marRight w:val="0"/>
                      <w:marTop w:val="0"/>
                      <w:marBottom w:val="0"/>
                      <w:divBdr>
                        <w:top w:val="none" w:sz="0" w:space="0" w:color="auto"/>
                        <w:left w:val="none" w:sz="0" w:space="0" w:color="auto"/>
                        <w:bottom w:val="none" w:sz="0" w:space="0" w:color="auto"/>
                        <w:right w:val="none" w:sz="0" w:space="0" w:color="auto"/>
                      </w:divBdr>
                      <w:divsChild>
                        <w:div w:id="1166213347">
                          <w:marLeft w:val="0"/>
                          <w:marRight w:val="0"/>
                          <w:marTop w:val="0"/>
                          <w:marBottom w:val="0"/>
                          <w:divBdr>
                            <w:top w:val="none" w:sz="0" w:space="0" w:color="auto"/>
                            <w:left w:val="none" w:sz="0" w:space="0" w:color="auto"/>
                            <w:bottom w:val="none" w:sz="0" w:space="0" w:color="auto"/>
                            <w:right w:val="none" w:sz="0" w:space="0" w:color="auto"/>
                          </w:divBdr>
                          <w:divsChild>
                            <w:div w:id="1993294454">
                              <w:marLeft w:val="0"/>
                              <w:marRight w:val="0"/>
                              <w:marTop w:val="0"/>
                              <w:marBottom w:val="0"/>
                              <w:divBdr>
                                <w:top w:val="none" w:sz="0" w:space="0" w:color="auto"/>
                                <w:left w:val="none" w:sz="0" w:space="0" w:color="auto"/>
                                <w:bottom w:val="none" w:sz="0" w:space="0" w:color="auto"/>
                                <w:right w:val="none" w:sz="0" w:space="0" w:color="auto"/>
                              </w:divBdr>
                              <w:divsChild>
                                <w:div w:id="156016977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654810">
      <w:bodyDiv w:val="1"/>
      <w:marLeft w:val="0"/>
      <w:marRight w:val="0"/>
      <w:marTop w:val="0"/>
      <w:marBottom w:val="0"/>
      <w:divBdr>
        <w:top w:val="none" w:sz="0" w:space="0" w:color="auto"/>
        <w:left w:val="none" w:sz="0" w:space="0" w:color="auto"/>
        <w:bottom w:val="none" w:sz="0" w:space="0" w:color="auto"/>
        <w:right w:val="none" w:sz="0" w:space="0" w:color="auto"/>
      </w:divBdr>
      <w:divsChild>
        <w:div w:id="1961955875">
          <w:marLeft w:val="0"/>
          <w:marRight w:val="0"/>
          <w:marTop w:val="0"/>
          <w:marBottom w:val="0"/>
          <w:divBdr>
            <w:top w:val="none" w:sz="0" w:space="0" w:color="auto"/>
            <w:left w:val="single" w:sz="6" w:space="0" w:color="BBBBBB"/>
            <w:bottom w:val="single" w:sz="6" w:space="0" w:color="BBBBBB"/>
            <w:right w:val="single" w:sz="6" w:space="0" w:color="BBBBBB"/>
          </w:divBdr>
          <w:divsChild>
            <w:div w:id="681200455">
              <w:marLeft w:val="0"/>
              <w:marRight w:val="0"/>
              <w:marTop w:val="0"/>
              <w:marBottom w:val="0"/>
              <w:divBdr>
                <w:top w:val="none" w:sz="0" w:space="0" w:color="auto"/>
                <w:left w:val="none" w:sz="0" w:space="0" w:color="auto"/>
                <w:bottom w:val="none" w:sz="0" w:space="0" w:color="auto"/>
                <w:right w:val="none" w:sz="0" w:space="0" w:color="auto"/>
              </w:divBdr>
              <w:divsChild>
                <w:div w:id="376665381">
                  <w:marLeft w:val="0"/>
                  <w:marRight w:val="0"/>
                  <w:marTop w:val="0"/>
                  <w:marBottom w:val="0"/>
                  <w:divBdr>
                    <w:top w:val="none" w:sz="0" w:space="0" w:color="auto"/>
                    <w:left w:val="none" w:sz="0" w:space="0" w:color="auto"/>
                    <w:bottom w:val="none" w:sz="0" w:space="0" w:color="auto"/>
                    <w:right w:val="none" w:sz="0" w:space="0" w:color="auto"/>
                  </w:divBdr>
                  <w:divsChild>
                    <w:div w:id="395007590">
                      <w:marLeft w:val="0"/>
                      <w:marRight w:val="0"/>
                      <w:marTop w:val="0"/>
                      <w:marBottom w:val="0"/>
                      <w:divBdr>
                        <w:top w:val="none" w:sz="0" w:space="0" w:color="auto"/>
                        <w:left w:val="none" w:sz="0" w:space="0" w:color="auto"/>
                        <w:bottom w:val="none" w:sz="0" w:space="0" w:color="auto"/>
                        <w:right w:val="none" w:sz="0" w:space="0" w:color="auto"/>
                      </w:divBdr>
                      <w:divsChild>
                        <w:div w:id="1910965529">
                          <w:marLeft w:val="0"/>
                          <w:marRight w:val="0"/>
                          <w:marTop w:val="0"/>
                          <w:marBottom w:val="0"/>
                          <w:divBdr>
                            <w:top w:val="none" w:sz="0" w:space="0" w:color="auto"/>
                            <w:left w:val="none" w:sz="0" w:space="0" w:color="auto"/>
                            <w:bottom w:val="none" w:sz="0" w:space="0" w:color="auto"/>
                            <w:right w:val="none" w:sz="0" w:space="0" w:color="auto"/>
                          </w:divBdr>
                          <w:divsChild>
                            <w:div w:id="1059522193">
                              <w:marLeft w:val="0"/>
                              <w:marRight w:val="0"/>
                              <w:marTop w:val="0"/>
                              <w:marBottom w:val="0"/>
                              <w:divBdr>
                                <w:top w:val="none" w:sz="0" w:space="0" w:color="auto"/>
                                <w:left w:val="none" w:sz="0" w:space="0" w:color="auto"/>
                                <w:bottom w:val="none" w:sz="0" w:space="0" w:color="auto"/>
                                <w:right w:val="none" w:sz="0" w:space="0" w:color="auto"/>
                              </w:divBdr>
                              <w:divsChild>
                                <w:div w:id="1619146918">
                                  <w:marLeft w:val="0"/>
                                  <w:marRight w:val="0"/>
                                  <w:marTop w:val="0"/>
                                  <w:marBottom w:val="0"/>
                                  <w:divBdr>
                                    <w:top w:val="none" w:sz="0" w:space="0" w:color="auto"/>
                                    <w:left w:val="none" w:sz="0" w:space="0" w:color="auto"/>
                                    <w:bottom w:val="none" w:sz="0" w:space="0" w:color="auto"/>
                                    <w:right w:val="none" w:sz="0" w:space="0" w:color="auto"/>
                                  </w:divBdr>
                                  <w:divsChild>
                                    <w:div w:id="655498228">
                                      <w:marLeft w:val="0"/>
                                      <w:marRight w:val="0"/>
                                      <w:marTop w:val="0"/>
                                      <w:marBottom w:val="0"/>
                                      <w:divBdr>
                                        <w:top w:val="none" w:sz="0" w:space="0" w:color="auto"/>
                                        <w:left w:val="none" w:sz="0" w:space="0" w:color="auto"/>
                                        <w:bottom w:val="none" w:sz="0" w:space="0" w:color="auto"/>
                                        <w:right w:val="none" w:sz="0" w:space="0" w:color="auto"/>
                                      </w:divBdr>
                                      <w:divsChild>
                                        <w:div w:id="1951273683">
                                          <w:marLeft w:val="1200"/>
                                          <w:marRight w:val="1200"/>
                                          <w:marTop w:val="0"/>
                                          <w:marBottom w:val="0"/>
                                          <w:divBdr>
                                            <w:top w:val="none" w:sz="0" w:space="0" w:color="auto"/>
                                            <w:left w:val="none" w:sz="0" w:space="0" w:color="auto"/>
                                            <w:bottom w:val="none" w:sz="0" w:space="0" w:color="auto"/>
                                            <w:right w:val="none" w:sz="0" w:space="0" w:color="auto"/>
                                          </w:divBdr>
                                          <w:divsChild>
                                            <w:div w:id="134642616">
                                              <w:marLeft w:val="0"/>
                                              <w:marRight w:val="0"/>
                                              <w:marTop w:val="0"/>
                                              <w:marBottom w:val="0"/>
                                              <w:divBdr>
                                                <w:top w:val="none" w:sz="0" w:space="0" w:color="auto"/>
                                                <w:left w:val="none" w:sz="0" w:space="0" w:color="auto"/>
                                                <w:bottom w:val="none" w:sz="0" w:space="0" w:color="auto"/>
                                                <w:right w:val="none" w:sz="0" w:space="0" w:color="auto"/>
                                              </w:divBdr>
                                              <w:divsChild>
                                                <w:div w:id="854541981">
                                                  <w:marLeft w:val="0"/>
                                                  <w:marRight w:val="0"/>
                                                  <w:marTop w:val="0"/>
                                                  <w:marBottom w:val="0"/>
                                                  <w:divBdr>
                                                    <w:top w:val="none" w:sz="0" w:space="0" w:color="auto"/>
                                                    <w:left w:val="none" w:sz="0" w:space="0" w:color="auto"/>
                                                    <w:bottom w:val="none" w:sz="0" w:space="0" w:color="auto"/>
                                                    <w:right w:val="none" w:sz="0" w:space="0" w:color="auto"/>
                                                  </w:divBdr>
                                                  <w:divsChild>
                                                    <w:div w:id="1674184569">
                                                      <w:marLeft w:val="0"/>
                                                      <w:marRight w:val="0"/>
                                                      <w:marTop w:val="0"/>
                                                      <w:marBottom w:val="0"/>
                                                      <w:divBdr>
                                                        <w:top w:val="none" w:sz="0" w:space="0" w:color="auto"/>
                                                        <w:left w:val="none" w:sz="0" w:space="0" w:color="auto"/>
                                                        <w:bottom w:val="none" w:sz="0" w:space="0" w:color="auto"/>
                                                        <w:right w:val="none" w:sz="0" w:space="0" w:color="auto"/>
                                                      </w:divBdr>
                                                      <w:divsChild>
                                                        <w:div w:id="713427177">
                                                          <w:marLeft w:val="0"/>
                                                          <w:marRight w:val="0"/>
                                                          <w:marTop w:val="0"/>
                                                          <w:marBottom w:val="0"/>
                                                          <w:divBdr>
                                                            <w:top w:val="none" w:sz="0" w:space="0" w:color="auto"/>
                                                            <w:left w:val="none" w:sz="0" w:space="0" w:color="auto"/>
                                                            <w:bottom w:val="none" w:sz="0" w:space="0" w:color="auto"/>
                                                            <w:right w:val="none" w:sz="0" w:space="0" w:color="auto"/>
                                                          </w:divBdr>
                                                          <w:divsChild>
                                                            <w:div w:id="1580359528">
                                                              <w:marLeft w:val="0"/>
                                                              <w:marRight w:val="0"/>
                                                              <w:marTop w:val="0"/>
                                                              <w:marBottom w:val="0"/>
                                                              <w:divBdr>
                                                                <w:top w:val="none" w:sz="0" w:space="0" w:color="auto"/>
                                                                <w:left w:val="none" w:sz="0" w:space="0" w:color="auto"/>
                                                                <w:bottom w:val="none" w:sz="0" w:space="0" w:color="auto"/>
                                                                <w:right w:val="none" w:sz="0" w:space="0" w:color="auto"/>
                                                              </w:divBdr>
                                                              <w:divsChild>
                                                                <w:div w:id="1335450156">
                                                                  <w:marLeft w:val="0"/>
                                                                  <w:marRight w:val="0"/>
                                                                  <w:marTop w:val="0"/>
                                                                  <w:marBottom w:val="0"/>
                                                                  <w:divBdr>
                                                                    <w:top w:val="none" w:sz="0" w:space="0" w:color="auto"/>
                                                                    <w:left w:val="none" w:sz="0" w:space="0" w:color="auto"/>
                                                                    <w:bottom w:val="none" w:sz="0" w:space="0" w:color="auto"/>
                                                                    <w:right w:val="none" w:sz="0" w:space="0" w:color="auto"/>
                                                                  </w:divBdr>
                                                                  <w:divsChild>
                                                                    <w:div w:id="208034574">
                                                                      <w:marLeft w:val="0"/>
                                                                      <w:marRight w:val="0"/>
                                                                      <w:marTop w:val="0"/>
                                                                      <w:marBottom w:val="0"/>
                                                                      <w:divBdr>
                                                                        <w:top w:val="none" w:sz="0" w:space="0" w:color="auto"/>
                                                                        <w:left w:val="none" w:sz="0" w:space="0" w:color="auto"/>
                                                                        <w:bottom w:val="none" w:sz="0" w:space="0" w:color="auto"/>
                                                                        <w:right w:val="none" w:sz="0" w:space="0" w:color="auto"/>
                                                                      </w:divBdr>
                                                                      <w:divsChild>
                                                                        <w:div w:id="962419915">
                                                                          <w:marLeft w:val="0"/>
                                                                          <w:marRight w:val="0"/>
                                                                          <w:marTop w:val="0"/>
                                                                          <w:marBottom w:val="0"/>
                                                                          <w:divBdr>
                                                                            <w:top w:val="none" w:sz="0" w:space="0" w:color="auto"/>
                                                                            <w:left w:val="none" w:sz="0" w:space="0" w:color="auto"/>
                                                                            <w:bottom w:val="none" w:sz="0" w:space="0" w:color="auto"/>
                                                                            <w:right w:val="none" w:sz="0" w:space="0" w:color="auto"/>
                                                                          </w:divBdr>
                                                                        </w:div>
                                                                      </w:divsChild>
                                                                    </w:div>
                                                                    <w:div w:id="1691561038">
                                                                      <w:marLeft w:val="0"/>
                                                                      <w:marRight w:val="0"/>
                                                                      <w:marTop w:val="0"/>
                                                                      <w:marBottom w:val="0"/>
                                                                      <w:divBdr>
                                                                        <w:top w:val="none" w:sz="0" w:space="0" w:color="auto"/>
                                                                        <w:left w:val="none" w:sz="0" w:space="0" w:color="auto"/>
                                                                        <w:bottom w:val="none" w:sz="0" w:space="0" w:color="auto"/>
                                                                        <w:right w:val="none" w:sz="0" w:space="0" w:color="auto"/>
                                                                      </w:divBdr>
                                                                      <w:divsChild>
                                                                        <w:div w:id="145979500">
                                                                          <w:marLeft w:val="0"/>
                                                                          <w:marRight w:val="0"/>
                                                                          <w:marTop w:val="0"/>
                                                                          <w:marBottom w:val="0"/>
                                                                          <w:divBdr>
                                                                            <w:top w:val="none" w:sz="0" w:space="0" w:color="auto"/>
                                                                            <w:left w:val="none" w:sz="0" w:space="0" w:color="auto"/>
                                                                            <w:bottom w:val="none" w:sz="0" w:space="0" w:color="auto"/>
                                                                            <w:right w:val="none" w:sz="0" w:space="0" w:color="auto"/>
                                                                          </w:divBdr>
                                                                          <w:divsChild>
                                                                            <w:div w:id="876047074">
                                                                              <w:marLeft w:val="0"/>
                                                                              <w:marRight w:val="0"/>
                                                                              <w:marTop w:val="0"/>
                                                                              <w:marBottom w:val="0"/>
                                                                              <w:divBdr>
                                                                                <w:top w:val="none" w:sz="0" w:space="0" w:color="auto"/>
                                                                                <w:left w:val="none" w:sz="0" w:space="0" w:color="auto"/>
                                                                                <w:bottom w:val="none" w:sz="0" w:space="0" w:color="auto"/>
                                                                                <w:right w:val="none" w:sz="0" w:space="0" w:color="auto"/>
                                                                              </w:divBdr>
                                                                            </w:div>
                                                                          </w:divsChild>
                                                                        </w:div>
                                                                        <w:div w:id="686104745">
                                                                          <w:marLeft w:val="0"/>
                                                                          <w:marRight w:val="0"/>
                                                                          <w:marTop w:val="0"/>
                                                                          <w:marBottom w:val="0"/>
                                                                          <w:divBdr>
                                                                            <w:top w:val="none" w:sz="0" w:space="0" w:color="auto"/>
                                                                            <w:left w:val="none" w:sz="0" w:space="0" w:color="auto"/>
                                                                            <w:bottom w:val="none" w:sz="0" w:space="0" w:color="auto"/>
                                                                            <w:right w:val="none" w:sz="0" w:space="0" w:color="auto"/>
                                                                          </w:divBdr>
                                                                          <w:divsChild>
                                                                            <w:div w:id="1011689816">
                                                                              <w:marLeft w:val="0"/>
                                                                              <w:marRight w:val="0"/>
                                                                              <w:marTop w:val="0"/>
                                                                              <w:marBottom w:val="0"/>
                                                                              <w:divBdr>
                                                                                <w:top w:val="none" w:sz="0" w:space="0" w:color="auto"/>
                                                                                <w:left w:val="none" w:sz="0" w:space="0" w:color="auto"/>
                                                                                <w:bottom w:val="none" w:sz="0" w:space="0" w:color="auto"/>
                                                                                <w:right w:val="none" w:sz="0" w:space="0" w:color="auto"/>
                                                                              </w:divBdr>
                                                                            </w:div>
                                                                          </w:divsChild>
                                                                        </w:div>
                                                                        <w:div w:id="950741230">
                                                                          <w:marLeft w:val="0"/>
                                                                          <w:marRight w:val="0"/>
                                                                          <w:marTop w:val="0"/>
                                                                          <w:marBottom w:val="0"/>
                                                                          <w:divBdr>
                                                                            <w:top w:val="none" w:sz="0" w:space="0" w:color="auto"/>
                                                                            <w:left w:val="none" w:sz="0" w:space="0" w:color="auto"/>
                                                                            <w:bottom w:val="none" w:sz="0" w:space="0" w:color="auto"/>
                                                                            <w:right w:val="none" w:sz="0" w:space="0" w:color="auto"/>
                                                                          </w:divBdr>
                                                                        </w:div>
                                                                        <w:div w:id="2073505807">
                                                                          <w:marLeft w:val="0"/>
                                                                          <w:marRight w:val="0"/>
                                                                          <w:marTop w:val="0"/>
                                                                          <w:marBottom w:val="0"/>
                                                                          <w:divBdr>
                                                                            <w:top w:val="none" w:sz="0" w:space="0" w:color="auto"/>
                                                                            <w:left w:val="none" w:sz="0" w:space="0" w:color="auto"/>
                                                                            <w:bottom w:val="none" w:sz="0" w:space="0" w:color="auto"/>
                                                                            <w:right w:val="none" w:sz="0" w:space="0" w:color="auto"/>
                                                                          </w:divBdr>
                                                                          <w:divsChild>
                                                                            <w:div w:id="211944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022306">
      <w:bodyDiv w:val="1"/>
      <w:marLeft w:val="0"/>
      <w:marRight w:val="0"/>
      <w:marTop w:val="0"/>
      <w:marBottom w:val="0"/>
      <w:divBdr>
        <w:top w:val="none" w:sz="0" w:space="0" w:color="auto"/>
        <w:left w:val="none" w:sz="0" w:space="0" w:color="auto"/>
        <w:bottom w:val="none" w:sz="0" w:space="0" w:color="auto"/>
        <w:right w:val="none" w:sz="0" w:space="0" w:color="auto"/>
      </w:divBdr>
      <w:divsChild>
        <w:div w:id="1750223983">
          <w:marLeft w:val="0"/>
          <w:marRight w:val="0"/>
          <w:marTop w:val="0"/>
          <w:marBottom w:val="0"/>
          <w:divBdr>
            <w:top w:val="none" w:sz="0" w:space="0" w:color="auto"/>
            <w:left w:val="single" w:sz="6" w:space="0" w:color="BBBBBB"/>
            <w:bottom w:val="single" w:sz="6" w:space="0" w:color="BBBBBB"/>
            <w:right w:val="single" w:sz="6" w:space="0" w:color="BBBBBB"/>
          </w:divBdr>
          <w:divsChild>
            <w:div w:id="1870339620">
              <w:marLeft w:val="0"/>
              <w:marRight w:val="0"/>
              <w:marTop w:val="0"/>
              <w:marBottom w:val="0"/>
              <w:divBdr>
                <w:top w:val="none" w:sz="0" w:space="0" w:color="auto"/>
                <w:left w:val="none" w:sz="0" w:space="0" w:color="auto"/>
                <w:bottom w:val="none" w:sz="0" w:space="0" w:color="auto"/>
                <w:right w:val="none" w:sz="0" w:space="0" w:color="auto"/>
              </w:divBdr>
              <w:divsChild>
                <w:div w:id="816071577">
                  <w:marLeft w:val="0"/>
                  <w:marRight w:val="0"/>
                  <w:marTop w:val="0"/>
                  <w:marBottom w:val="0"/>
                  <w:divBdr>
                    <w:top w:val="none" w:sz="0" w:space="0" w:color="auto"/>
                    <w:left w:val="none" w:sz="0" w:space="0" w:color="auto"/>
                    <w:bottom w:val="none" w:sz="0" w:space="0" w:color="auto"/>
                    <w:right w:val="none" w:sz="0" w:space="0" w:color="auto"/>
                  </w:divBdr>
                  <w:divsChild>
                    <w:div w:id="1266232905">
                      <w:marLeft w:val="0"/>
                      <w:marRight w:val="0"/>
                      <w:marTop w:val="0"/>
                      <w:marBottom w:val="0"/>
                      <w:divBdr>
                        <w:top w:val="none" w:sz="0" w:space="0" w:color="auto"/>
                        <w:left w:val="none" w:sz="0" w:space="0" w:color="auto"/>
                        <w:bottom w:val="none" w:sz="0" w:space="0" w:color="auto"/>
                        <w:right w:val="none" w:sz="0" w:space="0" w:color="auto"/>
                      </w:divBdr>
                      <w:divsChild>
                        <w:div w:id="91707110">
                          <w:marLeft w:val="0"/>
                          <w:marRight w:val="0"/>
                          <w:marTop w:val="0"/>
                          <w:marBottom w:val="0"/>
                          <w:divBdr>
                            <w:top w:val="none" w:sz="0" w:space="0" w:color="auto"/>
                            <w:left w:val="none" w:sz="0" w:space="0" w:color="auto"/>
                            <w:bottom w:val="none" w:sz="0" w:space="0" w:color="auto"/>
                            <w:right w:val="none" w:sz="0" w:space="0" w:color="auto"/>
                          </w:divBdr>
                          <w:divsChild>
                            <w:div w:id="69233021">
                              <w:marLeft w:val="0"/>
                              <w:marRight w:val="0"/>
                              <w:marTop w:val="0"/>
                              <w:marBottom w:val="0"/>
                              <w:divBdr>
                                <w:top w:val="none" w:sz="0" w:space="0" w:color="auto"/>
                                <w:left w:val="none" w:sz="0" w:space="0" w:color="auto"/>
                                <w:bottom w:val="none" w:sz="0" w:space="0" w:color="auto"/>
                                <w:right w:val="none" w:sz="0" w:space="0" w:color="auto"/>
                              </w:divBdr>
                              <w:divsChild>
                                <w:div w:id="306401182">
                                  <w:marLeft w:val="0"/>
                                  <w:marRight w:val="0"/>
                                  <w:marTop w:val="0"/>
                                  <w:marBottom w:val="0"/>
                                  <w:divBdr>
                                    <w:top w:val="none" w:sz="0" w:space="0" w:color="auto"/>
                                    <w:left w:val="none" w:sz="0" w:space="0" w:color="auto"/>
                                    <w:bottom w:val="none" w:sz="0" w:space="0" w:color="auto"/>
                                    <w:right w:val="none" w:sz="0" w:space="0" w:color="auto"/>
                                  </w:divBdr>
                                  <w:divsChild>
                                    <w:div w:id="607390871">
                                      <w:marLeft w:val="0"/>
                                      <w:marRight w:val="0"/>
                                      <w:marTop w:val="0"/>
                                      <w:marBottom w:val="0"/>
                                      <w:divBdr>
                                        <w:top w:val="none" w:sz="0" w:space="0" w:color="auto"/>
                                        <w:left w:val="none" w:sz="0" w:space="0" w:color="auto"/>
                                        <w:bottom w:val="none" w:sz="0" w:space="0" w:color="auto"/>
                                        <w:right w:val="none" w:sz="0" w:space="0" w:color="auto"/>
                                      </w:divBdr>
                                      <w:divsChild>
                                        <w:div w:id="1083527545">
                                          <w:marLeft w:val="1200"/>
                                          <w:marRight w:val="1200"/>
                                          <w:marTop w:val="0"/>
                                          <w:marBottom w:val="0"/>
                                          <w:divBdr>
                                            <w:top w:val="none" w:sz="0" w:space="0" w:color="auto"/>
                                            <w:left w:val="none" w:sz="0" w:space="0" w:color="auto"/>
                                            <w:bottom w:val="none" w:sz="0" w:space="0" w:color="auto"/>
                                            <w:right w:val="none" w:sz="0" w:space="0" w:color="auto"/>
                                          </w:divBdr>
                                          <w:divsChild>
                                            <w:div w:id="1293756370">
                                              <w:marLeft w:val="0"/>
                                              <w:marRight w:val="0"/>
                                              <w:marTop w:val="0"/>
                                              <w:marBottom w:val="0"/>
                                              <w:divBdr>
                                                <w:top w:val="none" w:sz="0" w:space="0" w:color="auto"/>
                                                <w:left w:val="none" w:sz="0" w:space="0" w:color="auto"/>
                                                <w:bottom w:val="none" w:sz="0" w:space="0" w:color="auto"/>
                                                <w:right w:val="none" w:sz="0" w:space="0" w:color="auto"/>
                                              </w:divBdr>
                                              <w:divsChild>
                                                <w:div w:id="2019038348">
                                                  <w:marLeft w:val="0"/>
                                                  <w:marRight w:val="0"/>
                                                  <w:marTop w:val="0"/>
                                                  <w:marBottom w:val="0"/>
                                                  <w:divBdr>
                                                    <w:top w:val="none" w:sz="0" w:space="0" w:color="auto"/>
                                                    <w:left w:val="none" w:sz="0" w:space="0" w:color="auto"/>
                                                    <w:bottom w:val="none" w:sz="0" w:space="0" w:color="auto"/>
                                                    <w:right w:val="none" w:sz="0" w:space="0" w:color="auto"/>
                                                  </w:divBdr>
                                                  <w:divsChild>
                                                    <w:div w:id="461852300">
                                                      <w:marLeft w:val="0"/>
                                                      <w:marRight w:val="0"/>
                                                      <w:marTop w:val="0"/>
                                                      <w:marBottom w:val="0"/>
                                                      <w:divBdr>
                                                        <w:top w:val="none" w:sz="0" w:space="0" w:color="auto"/>
                                                        <w:left w:val="none" w:sz="0" w:space="0" w:color="auto"/>
                                                        <w:bottom w:val="none" w:sz="0" w:space="0" w:color="auto"/>
                                                        <w:right w:val="none" w:sz="0" w:space="0" w:color="auto"/>
                                                      </w:divBdr>
                                                      <w:divsChild>
                                                        <w:div w:id="1396007757">
                                                          <w:marLeft w:val="0"/>
                                                          <w:marRight w:val="0"/>
                                                          <w:marTop w:val="0"/>
                                                          <w:marBottom w:val="0"/>
                                                          <w:divBdr>
                                                            <w:top w:val="none" w:sz="0" w:space="0" w:color="auto"/>
                                                            <w:left w:val="none" w:sz="0" w:space="0" w:color="auto"/>
                                                            <w:bottom w:val="none" w:sz="0" w:space="0" w:color="auto"/>
                                                            <w:right w:val="none" w:sz="0" w:space="0" w:color="auto"/>
                                                          </w:divBdr>
                                                          <w:divsChild>
                                                            <w:div w:id="431781451">
                                                              <w:marLeft w:val="0"/>
                                                              <w:marRight w:val="0"/>
                                                              <w:marTop w:val="0"/>
                                                              <w:marBottom w:val="0"/>
                                                              <w:divBdr>
                                                                <w:top w:val="none" w:sz="0" w:space="0" w:color="auto"/>
                                                                <w:left w:val="none" w:sz="0" w:space="0" w:color="auto"/>
                                                                <w:bottom w:val="none" w:sz="0" w:space="0" w:color="auto"/>
                                                                <w:right w:val="none" w:sz="0" w:space="0" w:color="auto"/>
                                                              </w:divBdr>
                                                              <w:divsChild>
                                                                <w:div w:id="1385131176">
                                                                  <w:marLeft w:val="0"/>
                                                                  <w:marRight w:val="0"/>
                                                                  <w:marTop w:val="0"/>
                                                                  <w:marBottom w:val="0"/>
                                                                  <w:divBdr>
                                                                    <w:top w:val="none" w:sz="0" w:space="0" w:color="auto"/>
                                                                    <w:left w:val="none" w:sz="0" w:space="0" w:color="auto"/>
                                                                    <w:bottom w:val="none" w:sz="0" w:space="0" w:color="auto"/>
                                                                    <w:right w:val="none" w:sz="0" w:space="0" w:color="auto"/>
                                                                  </w:divBdr>
                                                                  <w:divsChild>
                                                                    <w:div w:id="688021645">
                                                                      <w:marLeft w:val="0"/>
                                                                      <w:marRight w:val="0"/>
                                                                      <w:marTop w:val="0"/>
                                                                      <w:marBottom w:val="0"/>
                                                                      <w:divBdr>
                                                                        <w:top w:val="none" w:sz="0" w:space="0" w:color="auto"/>
                                                                        <w:left w:val="none" w:sz="0" w:space="0" w:color="auto"/>
                                                                        <w:bottom w:val="none" w:sz="0" w:space="0" w:color="auto"/>
                                                                        <w:right w:val="none" w:sz="0" w:space="0" w:color="auto"/>
                                                                      </w:divBdr>
                                                                      <w:divsChild>
                                                                        <w:div w:id="732122525">
                                                                          <w:marLeft w:val="0"/>
                                                                          <w:marRight w:val="0"/>
                                                                          <w:marTop w:val="0"/>
                                                                          <w:marBottom w:val="0"/>
                                                                          <w:divBdr>
                                                                            <w:top w:val="none" w:sz="0" w:space="0" w:color="auto"/>
                                                                            <w:left w:val="none" w:sz="0" w:space="0" w:color="auto"/>
                                                                            <w:bottom w:val="none" w:sz="0" w:space="0" w:color="auto"/>
                                                                            <w:right w:val="none" w:sz="0" w:space="0" w:color="auto"/>
                                                                          </w:divBdr>
                                                                        </w:div>
                                                                      </w:divsChild>
                                                                    </w:div>
                                                                    <w:div w:id="1107848517">
                                                                      <w:marLeft w:val="0"/>
                                                                      <w:marRight w:val="0"/>
                                                                      <w:marTop w:val="0"/>
                                                                      <w:marBottom w:val="0"/>
                                                                      <w:divBdr>
                                                                        <w:top w:val="none" w:sz="0" w:space="0" w:color="auto"/>
                                                                        <w:left w:val="none" w:sz="0" w:space="0" w:color="auto"/>
                                                                        <w:bottom w:val="none" w:sz="0" w:space="0" w:color="auto"/>
                                                                        <w:right w:val="none" w:sz="0" w:space="0" w:color="auto"/>
                                                                      </w:divBdr>
                                                                      <w:divsChild>
                                                                        <w:div w:id="491026786">
                                                                          <w:marLeft w:val="0"/>
                                                                          <w:marRight w:val="0"/>
                                                                          <w:marTop w:val="0"/>
                                                                          <w:marBottom w:val="0"/>
                                                                          <w:divBdr>
                                                                            <w:top w:val="none" w:sz="0" w:space="0" w:color="auto"/>
                                                                            <w:left w:val="none" w:sz="0" w:space="0" w:color="auto"/>
                                                                            <w:bottom w:val="none" w:sz="0" w:space="0" w:color="auto"/>
                                                                            <w:right w:val="none" w:sz="0" w:space="0" w:color="auto"/>
                                                                          </w:divBdr>
                                                                        </w:div>
                                                                      </w:divsChild>
                                                                    </w:div>
                                                                    <w:div w:id="1702054525">
                                                                      <w:marLeft w:val="0"/>
                                                                      <w:marRight w:val="0"/>
                                                                      <w:marTop w:val="0"/>
                                                                      <w:marBottom w:val="0"/>
                                                                      <w:divBdr>
                                                                        <w:top w:val="none" w:sz="0" w:space="0" w:color="auto"/>
                                                                        <w:left w:val="none" w:sz="0" w:space="0" w:color="auto"/>
                                                                        <w:bottom w:val="none" w:sz="0" w:space="0" w:color="auto"/>
                                                                        <w:right w:val="none" w:sz="0" w:space="0" w:color="auto"/>
                                                                      </w:divBdr>
                                                                      <w:divsChild>
                                                                        <w:div w:id="235284695">
                                                                          <w:marLeft w:val="0"/>
                                                                          <w:marRight w:val="0"/>
                                                                          <w:marTop w:val="0"/>
                                                                          <w:marBottom w:val="0"/>
                                                                          <w:divBdr>
                                                                            <w:top w:val="none" w:sz="0" w:space="0" w:color="auto"/>
                                                                            <w:left w:val="none" w:sz="0" w:space="0" w:color="auto"/>
                                                                            <w:bottom w:val="none" w:sz="0" w:space="0" w:color="auto"/>
                                                                            <w:right w:val="none" w:sz="0" w:space="0" w:color="auto"/>
                                                                          </w:divBdr>
                                                                        </w:div>
                                                                      </w:divsChild>
                                                                    </w:div>
                                                                    <w:div w:id="2012946535">
                                                                      <w:marLeft w:val="0"/>
                                                                      <w:marRight w:val="0"/>
                                                                      <w:marTop w:val="0"/>
                                                                      <w:marBottom w:val="0"/>
                                                                      <w:divBdr>
                                                                        <w:top w:val="none" w:sz="0" w:space="0" w:color="auto"/>
                                                                        <w:left w:val="none" w:sz="0" w:space="0" w:color="auto"/>
                                                                        <w:bottom w:val="none" w:sz="0" w:space="0" w:color="auto"/>
                                                                        <w:right w:val="none" w:sz="0" w:space="0" w:color="auto"/>
                                                                      </w:divBdr>
                                                                      <w:divsChild>
                                                                        <w:div w:id="220794514">
                                                                          <w:marLeft w:val="0"/>
                                                                          <w:marRight w:val="0"/>
                                                                          <w:marTop w:val="0"/>
                                                                          <w:marBottom w:val="0"/>
                                                                          <w:divBdr>
                                                                            <w:top w:val="none" w:sz="0" w:space="0" w:color="auto"/>
                                                                            <w:left w:val="none" w:sz="0" w:space="0" w:color="auto"/>
                                                                            <w:bottom w:val="none" w:sz="0" w:space="0" w:color="auto"/>
                                                                            <w:right w:val="none" w:sz="0" w:space="0" w:color="auto"/>
                                                                          </w:divBdr>
                                                                        </w:div>
                                                                      </w:divsChild>
                                                                    </w:div>
                                                                    <w:div w:id="2013337674">
                                                                      <w:marLeft w:val="0"/>
                                                                      <w:marRight w:val="0"/>
                                                                      <w:marTop w:val="0"/>
                                                                      <w:marBottom w:val="0"/>
                                                                      <w:divBdr>
                                                                        <w:top w:val="none" w:sz="0" w:space="0" w:color="auto"/>
                                                                        <w:left w:val="none" w:sz="0" w:space="0" w:color="auto"/>
                                                                        <w:bottom w:val="none" w:sz="0" w:space="0" w:color="auto"/>
                                                                        <w:right w:val="none" w:sz="0" w:space="0" w:color="auto"/>
                                                                      </w:divBdr>
                                                                      <w:divsChild>
                                                                        <w:div w:id="102190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069499">
      <w:bodyDiv w:val="1"/>
      <w:marLeft w:val="0"/>
      <w:marRight w:val="0"/>
      <w:marTop w:val="0"/>
      <w:marBottom w:val="0"/>
      <w:divBdr>
        <w:top w:val="none" w:sz="0" w:space="0" w:color="auto"/>
        <w:left w:val="none" w:sz="0" w:space="0" w:color="auto"/>
        <w:bottom w:val="none" w:sz="0" w:space="0" w:color="auto"/>
        <w:right w:val="none" w:sz="0" w:space="0" w:color="auto"/>
      </w:divBdr>
    </w:div>
    <w:div w:id="1762095236">
      <w:bodyDiv w:val="1"/>
      <w:marLeft w:val="0"/>
      <w:marRight w:val="0"/>
      <w:marTop w:val="0"/>
      <w:marBottom w:val="0"/>
      <w:divBdr>
        <w:top w:val="none" w:sz="0" w:space="0" w:color="auto"/>
        <w:left w:val="none" w:sz="0" w:space="0" w:color="auto"/>
        <w:bottom w:val="none" w:sz="0" w:space="0" w:color="auto"/>
        <w:right w:val="none" w:sz="0" w:space="0" w:color="auto"/>
      </w:divBdr>
      <w:divsChild>
        <w:div w:id="114568518">
          <w:marLeft w:val="0"/>
          <w:marRight w:val="0"/>
          <w:marTop w:val="0"/>
          <w:marBottom w:val="0"/>
          <w:divBdr>
            <w:top w:val="none" w:sz="0" w:space="0" w:color="auto"/>
            <w:left w:val="none" w:sz="0" w:space="0" w:color="auto"/>
            <w:bottom w:val="none" w:sz="0" w:space="0" w:color="auto"/>
            <w:right w:val="none" w:sz="0" w:space="0" w:color="auto"/>
          </w:divBdr>
          <w:divsChild>
            <w:div w:id="1842545044">
              <w:marLeft w:val="0"/>
              <w:marRight w:val="0"/>
              <w:marTop w:val="0"/>
              <w:marBottom w:val="0"/>
              <w:divBdr>
                <w:top w:val="none" w:sz="0" w:space="0" w:color="auto"/>
                <w:left w:val="none" w:sz="0" w:space="0" w:color="auto"/>
                <w:bottom w:val="none" w:sz="0" w:space="0" w:color="auto"/>
                <w:right w:val="none" w:sz="0" w:space="0" w:color="auto"/>
              </w:divBdr>
              <w:divsChild>
                <w:div w:id="791167023">
                  <w:marLeft w:val="0"/>
                  <w:marRight w:val="0"/>
                  <w:marTop w:val="0"/>
                  <w:marBottom w:val="0"/>
                  <w:divBdr>
                    <w:top w:val="none" w:sz="0" w:space="0" w:color="auto"/>
                    <w:left w:val="none" w:sz="0" w:space="0" w:color="auto"/>
                    <w:bottom w:val="none" w:sz="0" w:space="0" w:color="auto"/>
                    <w:right w:val="none" w:sz="0" w:space="0" w:color="auto"/>
                  </w:divBdr>
                  <w:divsChild>
                    <w:div w:id="802577365">
                      <w:marLeft w:val="0"/>
                      <w:marRight w:val="0"/>
                      <w:marTop w:val="0"/>
                      <w:marBottom w:val="300"/>
                      <w:divBdr>
                        <w:top w:val="none" w:sz="0" w:space="0" w:color="auto"/>
                        <w:left w:val="none" w:sz="0" w:space="0" w:color="auto"/>
                        <w:bottom w:val="none" w:sz="0" w:space="0" w:color="auto"/>
                        <w:right w:val="none" w:sz="0" w:space="0" w:color="auto"/>
                      </w:divBdr>
                      <w:divsChild>
                        <w:div w:id="12917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722137">
      <w:bodyDiv w:val="1"/>
      <w:marLeft w:val="0"/>
      <w:marRight w:val="0"/>
      <w:marTop w:val="0"/>
      <w:marBottom w:val="0"/>
      <w:divBdr>
        <w:top w:val="none" w:sz="0" w:space="0" w:color="auto"/>
        <w:left w:val="none" w:sz="0" w:space="0" w:color="auto"/>
        <w:bottom w:val="none" w:sz="0" w:space="0" w:color="auto"/>
        <w:right w:val="none" w:sz="0" w:space="0" w:color="auto"/>
      </w:divBdr>
      <w:divsChild>
        <w:div w:id="529952655">
          <w:marLeft w:val="0"/>
          <w:marRight w:val="0"/>
          <w:marTop w:val="0"/>
          <w:marBottom w:val="0"/>
          <w:divBdr>
            <w:top w:val="none" w:sz="0" w:space="0" w:color="auto"/>
            <w:left w:val="single" w:sz="6" w:space="0" w:color="BBBBBB"/>
            <w:bottom w:val="single" w:sz="6" w:space="0" w:color="BBBBBB"/>
            <w:right w:val="single" w:sz="6" w:space="0" w:color="BBBBBB"/>
          </w:divBdr>
          <w:divsChild>
            <w:div w:id="94330944">
              <w:marLeft w:val="0"/>
              <w:marRight w:val="0"/>
              <w:marTop w:val="0"/>
              <w:marBottom w:val="0"/>
              <w:divBdr>
                <w:top w:val="none" w:sz="0" w:space="0" w:color="auto"/>
                <w:left w:val="none" w:sz="0" w:space="0" w:color="auto"/>
                <w:bottom w:val="none" w:sz="0" w:space="0" w:color="auto"/>
                <w:right w:val="none" w:sz="0" w:space="0" w:color="auto"/>
              </w:divBdr>
              <w:divsChild>
                <w:div w:id="1691448942">
                  <w:marLeft w:val="0"/>
                  <w:marRight w:val="0"/>
                  <w:marTop w:val="75"/>
                  <w:marBottom w:val="0"/>
                  <w:divBdr>
                    <w:top w:val="none" w:sz="0" w:space="0" w:color="auto"/>
                    <w:left w:val="none" w:sz="0" w:space="0" w:color="auto"/>
                    <w:bottom w:val="none" w:sz="0" w:space="0" w:color="auto"/>
                    <w:right w:val="none" w:sz="0" w:space="0" w:color="auto"/>
                  </w:divBdr>
                  <w:divsChild>
                    <w:div w:id="679813031">
                      <w:marLeft w:val="0"/>
                      <w:marRight w:val="0"/>
                      <w:marTop w:val="0"/>
                      <w:marBottom w:val="0"/>
                      <w:divBdr>
                        <w:top w:val="none" w:sz="0" w:space="0" w:color="auto"/>
                        <w:left w:val="none" w:sz="0" w:space="0" w:color="auto"/>
                        <w:bottom w:val="none" w:sz="0" w:space="0" w:color="auto"/>
                        <w:right w:val="none" w:sz="0" w:space="0" w:color="auto"/>
                      </w:divBdr>
                      <w:divsChild>
                        <w:div w:id="1557935479">
                          <w:marLeft w:val="0"/>
                          <w:marRight w:val="0"/>
                          <w:marTop w:val="0"/>
                          <w:marBottom w:val="0"/>
                          <w:divBdr>
                            <w:top w:val="none" w:sz="0" w:space="0" w:color="auto"/>
                            <w:left w:val="none" w:sz="0" w:space="0" w:color="auto"/>
                            <w:bottom w:val="none" w:sz="0" w:space="0" w:color="auto"/>
                            <w:right w:val="none" w:sz="0" w:space="0" w:color="auto"/>
                          </w:divBdr>
                          <w:divsChild>
                            <w:div w:id="1153523868">
                              <w:marLeft w:val="0"/>
                              <w:marRight w:val="0"/>
                              <w:marTop w:val="0"/>
                              <w:marBottom w:val="0"/>
                              <w:divBdr>
                                <w:top w:val="none" w:sz="0" w:space="0" w:color="auto"/>
                                <w:left w:val="none" w:sz="0" w:space="0" w:color="auto"/>
                                <w:bottom w:val="none" w:sz="0" w:space="0" w:color="auto"/>
                                <w:right w:val="none" w:sz="0" w:space="0" w:color="auto"/>
                              </w:divBdr>
                              <w:divsChild>
                                <w:div w:id="36005797">
                                  <w:marLeft w:val="0"/>
                                  <w:marRight w:val="0"/>
                                  <w:marTop w:val="0"/>
                                  <w:marBottom w:val="0"/>
                                  <w:divBdr>
                                    <w:top w:val="none" w:sz="0" w:space="0" w:color="auto"/>
                                    <w:left w:val="none" w:sz="0" w:space="0" w:color="auto"/>
                                    <w:bottom w:val="none" w:sz="0" w:space="0" w:color="auto"/>
                                    <w:right w:val="none" w:sz="0" w:space="0" w:color="auto"/>
                                  </w:divBdr>
                                  <w:divsChild>
                                    <w:div w:id="1917787175">
                                      <w:marLeft w:val="0"/>
                                      <w:marRight w:val="0"/>
                                      <w:marTop w:val="0"/>
                                      <w:marBottom w:val="0"/>
                                      <w:divBdr>
                                        <w:top w:val="none" w:sz="0" w:space="0" w:color="auto"/>
                                        <w:left w:val="none" w:sz="0" w:space="0" w:color="auto"/>
                                        <w:bottom w:val="none" w:sz="0" w:space="0" w:color="auto"/>
                                        <w:right w:val="none" w:sz="0" w:space="0" w:color="auto"/>
                                      </w:divBdr>
                                      <w:divsChild>
                                        <w:div w:id="535194464">
                                          <w:marLeft w:val="1200"/>
                                          <w:marRight w:val="1200"/>
                                          <w:marTop w:val="0"/>
                                          <w:marBottom w:val="0"/>
                                          <w:divBdr>
                                            <w:top w:val="none" w:sz="0" w:space="0" w:color="auto"/>
                                            <w:left w:val="none" w:sz="0" w:space="0" w:color="auto"/>
                                            <w:bottom w:val="none" w:sz="0" w:space="0" w:color="auto"/>
                                            <w:right w:val="none" w:sz="0" w:space="0" w:color="auto"/>
                                          </w:divBdr>
                                          <w:divsChild>
                                            <w:div w:id="769203429">
                                              <w:marLeft w:val="0"/>
                                              <w:marRight w:val="0"/>
                                              <w:marTop w:val="0"/>
                                              <w:marBottom w:val="0"/>
                                              <w:divBdr>
                                                <w:top w:val="none" w:sz="0" w:space="0" w:color="auto"/>
                                                <w:left w:val="none" w:sz="0" w:space="0" w:color="auto"/>
                                                <w:bottom w:val="none" w:sz="0" w:space="0" w:color="auto"/>
                                                <w:right w:val="none" w:sz="0" w:space="0" w:color="auto"/>
                                              </w:divBdr>
                                              <w:divsChild>
                                                <w:div w:id="894241163">
                                                  <w:marLeft w:val="0"/>
                                                  <w:marRight w:val="0"/>
                                                  <w:marTop w:val="0"/>
                                                  <w:marBottom w:val="0"/>
                                                  <w:divBdr>
                                                    <w:top w:val="none" w:sz="0" w:space="0" w:color="auto"/>
                                                    <w:left w:val="none" w:sz="0" w:space="0" w:color="auto"/>
                                                    <w:bottom w:val="none" w:sz="0" w:space="0" w:color="auto"/>
                                                    <w:right w:val="none" w:sz="0" w:space="0" w:color="auto"/>
                                                  </w:divBdr>
                                                  <w:divsChild>
                                                    <w:div w:id="1502965646">
                                                      <w:marLeft w:val="0"/>
                                                      <w:marRight w:val="0"/>
                                                      <w:marTop w:val="0"/>
                                                      <w:marBottom w:val="0"/>
                                                      <w:divBdr>
                                                        <w:top w:val="none" w:sz="0" w:space="0" w:color="auto"/>
                                                        <w:left w:val="none" w:sz="0" w:space="0" w:color="auto"/>
                                                        <w:bottom w:val="none" w:sz="0" w:space="0" w:color="auto"/>
                                                        <w:right w:val="none" w:sz="0" w:space="0" w:color="auto"/>
                                                      </w:divBdr>
                                                      <w:divsChild>
                                                        <w:div w:id="1603217823">
                                                          <w:marLeft w:val="0"/>
                                                          <w:marRight w:val="0"/>
                                                          <w:marTop w:val="0"/>
                                                          <w:marBottom w:val="0"/>
                                                          <w:divBdr>
                                                            <w:top w:val="none" w:sz="0" w:space="0" w:color="auto"/>
                                                            <w:left w:val="none" w:sz="0" w:space="0" w:color="auto"/>
                                                            <w:bottom w:val="none" w:sz="0" w:space="0" w:color="auto"/>
                                                            <w:right w:val="none" w:sz="0" w:space="0" w:color="auto"/>
                                                          </w:divBdr>
                                                          <w:divsChild>
                                                            <w:div w:id="383262044">
                                                              <w:marLeft w:val="0"/>
                                                              <w:marRight w:val="0"/>
                                                              <w:marTop w:val="0"/>
                                                              <w:marBottom w:val="0"/>
                                                              <w:divBdr>
                                                                <w:top w:val="none" w:sz="0" w:space="0" w:color="auto"/>
                                                                <w:left w:val="none" w:sz="0" w:space="0" w:color="auto"/>
                                                                <w:bottom w:val="none" w:sz="0" w:space="0" w:color="auto"/>
                                                                <w:right w:val="none" w:sz="0" w:space="0" w:color="auto"/>
                                                              </w:divBdr>
                                                              <w:divsChild>
                                                                <w:div w:id="1844936180">
                                                                  <w:marLeft w:val="0"/>
                                                                  <w:marRight w:val="0"/>
                                                                  <w:marTop w:val="0"/>
                                                                  <w:marBottom w:val="0"/>
                                                                  <w:divBdr>
                                                                    <w:top w:val="none" w:sz="0" w:space="0" w:color="auto"/>
                                                                    <w:left w:val="none" w:sz="0" w:space="0" w:color="auto"/>
                                                                    <w:bottom w:val="none" w:sz="0" w:space="0" w:color="auto"/>
                                                                    <w:right w:val="none" w:sz="0" w:space="0" w:color="auto"/>
                                                                  </w:divBdr>
                                                                  <w:divsChild>
                                                                    <w:div w:id="151681634">
                                                                      <w:marLeft w:val="0"/>
                                                                      <w:marRight w:val="0"/>
                                                                      <w:marTop w:val="0"/>
                                                                      <w:marBottom w:val="0"/>
                                                                      <w:divBdr>
                                                                        <w:top w:val="none" w:sz="0" w:space="0" w:color="auto"/>
                                                                        <w:left w:val="none" w:sz="0" w:space="0" w:color="auto"/>
                                                                        <w:bottom w:val="none" w:sz="0" w:space="0" w:color="auto"/>
                                                                        <w:right w:val="none" w:sz="0" w:space="0" w:color="auto"/>
                                                                      </w:divBdr>
                                                                      <w:divsChild>
                                                                        <w:div w:id="378822910">
                                                                          <w:marLeft w:val="0"/>
                                                                          <w:marRight w:val="0"/>
                                                                          <w:marTop w:val="0"/>
                                                                          <w:marBottom w:val="0"/>
                                                                          <w:divBdr>
                                                                            <w:top w:val="none" w:sz="0" w:space="0" w:color="auto"/>
                                                                            <w:left w:val="none" w:sz="0" w:space="0" w:color="auto"/>
                                                                            <w:bottom w:val="none" w:sz="0" w:space="0" w:color="auto"/>
                                                                            <w:right w:val="none" w:sz="0" w:space="0" w:color="auto"/>
                                                                          </w:divBdr>
                                                                        </w:div>
                                                                      </w:divsChild>
                                                                    </w:div>
                                                                    <w:div w:id="640615875">
                                                                      <w:marLeft w:val="0"/>
                                                                      <w:marRight w:val="0"/>
                                                                      <w:marTop w:val="0"/>
                                                                      <w:marBottom w:val="0"/>
                                                                      <w:divBdr>
                                                                        <w:top w:val="none" w:sz="0" w:space="0" w:color="auto"/>
                                                                        <w:left w:val="none" w:sz="0" w:space="0" w:color="auto"/>
                                                                        <w:bottom w:val="none" w:sz="0" w:space="0" w:color="auto"/>
                                                                        <w:right w:val="none" w:sz="0" w:space="0" w:color="auto"/>
                                                                      </w:divBdr>
                                                                      <w:divsChild>
                                                                        <w:div w:id="557207669">
                                                                          <w:marLeft w:val="0"/>
                                                                          <w:marRight w:val="0"/>
                                                                          <w:marTop w:val="0"/>
                                                                          <w:marBottom w:val="0"/>
                                                                          <w:divBdr>
                                                                            <w:top w:val="none" w:sz="0" w:space="0" w:color="auto"/>
                                                                            <w:left w:val="none" w:sz="0" w:space="0" w:color="auto"/>
                                                                            <w:bottom w:val="none" w:sz="0" w:space="0" w:color="auto"/>
                                                                            <w:right w:val="none" w:sz="0" w:space="0" w:color="auto"/>
                                                                          </w:divBdr>
                                                                        </w:div>
                                                                      </w:divsChild>
                                                                    </w:div>
                                                                    <w:div w:id="1788622428">
                                                                      <w:marLeft w:val="0"/>
                                                                      <w:marRight w:val="0"/>
                                                                      <w:marTop w:val="0"/>
                                                                      <w:marBottom w:val="0"/>
                                                                      <w:divBdr>
                                                                        <w:top w:val="none" w:sz="0" w:space="0" w:color="auto"/>
                                                                        <w:left w:val="none" w:sz="0" w:space="0" w:color="auto"/>
                                                                        <w:bottom w:val="none" w:sz="0" w:space="0" w:color="auto"/>
                                                                        <w:right w:val="none" w:sz="0" w:space="0" w:color="auto"/>
                                                                      </w:divBdr>
                                                                      <w:divsChild>
                                                                        <w:div w:id="4749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5222116">
      <w:bodyDiv w:val="1"/>
      <w:marLeft w:val="0"/>
      <w:marRight w:val="0"/>
      <w:marTop w:val="0"/>
      <w:marBottom w:val="0"/>
      <w:divBdr>
        <w:top w:val="none" w:sz="0" w:space="0" w:color="auto"/>
        <w:left w:val="none" w:sz="0" w:space="0" w:color="auto"/>
        <w:bottom w:val="none" w:sz="0" w:space="0" w:color="auto"/>
        <w:right w:val="none" w:sz="0" w:space="0" w:color="auto"/>
      </w:divBdr>
    </w:div>
    <w:div w:id="1765687793">
      <w:bodyDiv w:val="1"/>
      <w:marLeft w:val="0"/>
      <w:marRight w:val="0"/>
      <w:marTop w:val="0"/>
      <w:marBottom w:val="0"/>
      <w:divBdr>
        <w:top w:val="none" w:sz="0" w:space="0" w:color="auto"/>
        <w:left w:val="none" w:sz="0" w:space="0" w:color="auto"/>
        <w:bottom w:val="none" w:sz="0" w:space="0" w:color="auto"/>
        <w:right w:val="none" w:sz="0" w:space="0" w:color="auto"/>
      </w:divBdr>
      <w:divsChild>
        <w:div w:id="207642663">
          <w:marLeft w:val="0"/>
          <w:marRight w:val="0"/>
          <w:marTop w:val="0"/>
          <w:marBottom w:val="0"/>
          <w:divBdr>
            <w:top w:val="none" w:sz="0" w:space="0" w:color="auto"/>
            <w:left w:val="none" w:sz="0" w:space="0" w:color="auto"/>
            <w:bottom w:val="none" w:sz="0" w:space="0" w:color="auto"/>
            <w:right w:val="none" w:sz="0" w:space="0" w:color="auto"/>
          </w:divBdr>
        </w:div>
        <w:div w:id="1744987353">
          <w:marLeft w:val="240"/>
          <w:marRight w:val="0"/>
          <w:marTop w:val="240"/>
          <w:marBottom w:val="0"/>
          <w:divBdr>
            <w:top w:val="none" w:sz="0" w:space="0" w:color="auto"/>
            <w:left w:val="none" w:sz="0" w:space="0" w:color="auto"/>
            <w:bottom w:val="none" w:sz="0" w:space="0" w:color="auto"/>
            <w:right w:val="none" w:sz="0" w:space="0" w:color="auto"/>
          </w:divBdr>
          <w:divsChild>
            <w:div w:id="1767537482">
              <w:marLeft w:val="0"/>
              <w:marRight w:val="0"/>
              <w:marTop w:val="0"/>
              <w:marBottom w:val="0"/>
              <w:divBdr>
                <w:top w:val="none" w:sz="0" w:space="0" w:color="auto"/>
                <w:left w:val="none" w:sz="0" w:space="0" w:color="auto"/>
                <w:bottom w:val="none" w:sz="0" w:space="0" w:color="auto"/>
                <w:right w:val="none" w:sz="0" w:space="0" w:color="auto"/>
              </w:divBdr>
            </w:div>
          </w:divsChild>
        </w:div>
        <w:div w:id="2008173712">
          <w:marLeft w:val="240"/>
          <w:marRight w:val="0"/>
          <w:marTop w:val="240"/>
          <w:marBottom w:val="0"/>
          <w:divBdr>
            <w:top w:val="none" w:sz="0" w:space="0" w:color="auto"/>
            <w:left w:val="none" w:sz="0" w:space="0" w:color="auto"/>
            <w:bottom w:val="none" w:sz="0" w:space="0" w:color="auto"/>
            <w:right w:val="none" w:sz="0" w:space="0" w:color="auto"/>
          </w:divBdr>
          <w:divsChild>
            <w:div w:id="1991251689">
              <w:marLeft w:val="0"/>
              <w:marRight w:val="0"/>
              <w:marTop w:val="0"/>
              <w:marBottom w:val="0"/>
              <w:divBdr>
                <w:top w:val="none" w:sz="0" w:space="0" w:color="auto"/>
                <w:left w:val="none" w:sz="0" w:space="0" w:color="auto"/>
                <w:bottom w:val="none" w:sz="0" w:space="0" w:color="auto"/>
                <w:right w:val="none" w:sz="0" w:space="0" w:color="auto"/>
              </w:divBdr>
            </w:div>
          </w:divsChild>
        </w:div>
        <w:div w:id="84963503">
          <w:marLeft w:val="240"/>
          <w:marRight w:val="0"/>
          <w:marTop w:val="240"/>
          <w:marBottom w:val="0"/>
          <w:divBdr>
            <w:top w:val="none" w:sz="0" w:space="0" w:color="auto"/>
            <w:left w:val="none" w:sz="0" w:space="0" w:color="auto"/>
            <w:bottom w:val="none" w:sz="0" w:space="0" w:color="auto"/>
            <w:right w:val="none" w:sz="0" w:space="0" w:color="auto"/>
          </w:divBdr>
          <w:divsChild>
            <w:div w:id="1456101686">
              <w:marLeft w:val="0"/>
              <w:marRight w:val="0"/>
              <w:marTop w:val="0"/>
              <w:marBottom w:val="0"/>
              <w:divBdr>
                <w:top w:val="none" w:sz="0" w:space="0" w:color="auto"/>
                <w:left w:val="none" w:sz="0" w:space="0" w:color="auto"/>
                <w:bottom w:val="none" w:sz="0" w:space="0" w:color="auto"/>
                <w:right w:val="none" w:sz="0" w:space="0" w:color="auto"/>
              </w:divBdr>
            </w:div>
          </w:divsChild>
        </w:div>
        <w:div w:id="1099331811">
          <w:marLeft w:val="0"/>
          <w:marRight w:val="0"/>
          <w:marTop w:val="240"/>
          <w:marBottom w:val="0"/>
          <w:divBdr>
            <w:top w:val="none" w:sz="0" w:space="0" w:color="auto"/>
            <w:left w:val="none" w:sz="0" w:space="0" w:color="auto"/>
            <w:bottom w:val="none" w:sz="0" w:space="0" w:color="auto"/>
            <w:right w:val="none" w:sz="0" w:space="0" w:color="auto"/>
          </w:divBdr>
          <w:divsChild>
            <w:div w:id="537745899">
              <w:marLeft w:val="0"/>
              <w:marRight w:val="0"/>
              <w:marTop w:val="0"/>
              <w:marBottom w:val="0"/>
              <w:divBdr>
                <w:top w:val="none" w:sz="0" w:space="0" w:color="auto"/>
                <w:left w:val="none" w:sz="0" w:space="0" w:color="auto"/>
                <w:bottom w:val="none" w:sz="0" w:space="0" w:color="auto"/>
                <w:right w:val="none" w:sz="0" w:space="0" w:color="auto"/>
              </w:divBdr>
            </w:div>
            <w:div w:id="1608193371">
              <w:marLeft w:val="0"/>
              <w:marRight w:val="0"/>
              <w:marTop w:val="240"/>
              <w:marBottom w:val="0"/>
              <w:divBdr>
                <w:top w:val="none" w:sz="0" w:space="0" w:color="auto"/>
                <w:left w:val="none" w:sz="0" w:space="0" w:color="auto"/>
                <w:bottom w:val="none" w:sz="0" w:space="0" w:color="auto"/>
                <w:right w:val="none" w:sz="0" w:space="0" w:color="auto"/>
              </w:divBdr>
              <w:divsChild>
                <w:div w:id="300430165">
                  <w:marLeft w:val="0"/>
                  <w:marRight w:val="0"/>
                  <w:marTop w:val="0"/>
                  <w:marBottom w:val="0"/>
                  <w:divBdr>
                    <w:top w:val="none" w:sz="0" w:space="0" w:color="auto"/>
                    <w:left w:val="none" w:sz="0" w:space="0" w:color="auto"/>
                    <w:bottom w:val="none" w:sz="0" w:space="0" w:color="auto"/>
                    <w:right w:val="none" w:sz="0" w:space="0" w:color="auto"/>
                  </w:divBdr>
                  <w:divsChild>
                    <w:div w:id="1671516640">
                      <w:blockQuote w:val="1"/>
                      <w:marLeft w:val="0"/>
                      <w:marRight w:val="0"/>
                      <w:marTop w:val="0"/>
                      <w:marBottom w:val="0"/>
                      <w:divBdr>
                        <w:top w:val="none" w:sz="0" w:space="0" w:color="auto"/>
                        <w:left w:val="none" w:sz="0" w:space="0" w:color="auto"/>
                        <w:bottom w:val="none" w:sz="0" w:space="0" w:color="auto"/>
                        <w:right w:val="none" w:sz="0" w:space="0" w:color="auto"/>
                      </w:divBdr>
                      <w:divsChild>
                        <w:div w:id="9277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807774">
          <w:marLeft w:val="0"/>
          <w:marRight w:val="0"/>
          <w:marTop w:val="240"/>
          <w:marBottom w:val="0"/>
          <w:divBdr>
            <w:top w:val="none" w:sz="0" w:space="0" w:color="auto"/>
            <w:left w:val="none" w:sz="0" w:space="0" w:color="auto"/>
            <w:bottom w:val="none" w:sz="0" w:space="0" w:color="auto"/>
            <w:right w:val="none" w:sz="0" w:space="0" w:color="auto"/>
          </w:divBdr>
          <w:divsChild>
            <w:div w:id="1214317575">
              <w:marLeft w:val="0"/>
              <w:marRight w:val="0"/>
              <w:marTop w:val="0"/>
              <w:marBottom w:val="0"/>
              <w:divBdr>
                <w:top w:val="none" w:sz="0" w:space="0" w:color="auto"/>
                <w:left w:val="none" w:sz="0" w:space="0" w:color="auto"/>
                <w:bottom w:val="none" w:sz="0" w:space="0" w:color="auto"/>
                <w:right w:val="none" w:sz="0" w:space="0" w:color="auto"/>
              </w:divBdr>
            </w:div>
          </w:divsChild>
        </w:div>
        <w:div w:id="871963879">
          <w:marLeft w:val="0"/>
          <w:marRight w:val="0"/>
          <w:marTop w:val="240"/>
          <w:marBottom w:val="0"/>
          <w:divBdr>
            <w:top w:val="none" w:sz="0" w:space="0" w:color="auto"/>
            <w:left w:val="none" w:sz="0" w:space="0" w:color="auto"/>
            <w:bottom w:val="none" w:sz="0" w:space="0" w:color="auto"/>
            <w:right w:val="none" w:sz="0" w:space="0" w:color="auto"/>
          </w:divBdr>
          <w:divsChild>
            <w:div w:id="148184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86008">
      <w:bodyDiv w:val="1"/>
      <w:marLeft w:val="0"/>
      <w:marRight w:val="0"/>
      <w:marTop w:val="0"/>
      <w:marBottom w:val="0"/>
      <w:divBdr>
        <w:top w:val="none" w:sz="0" w:space="0" w:color="auto"/>
        <w:left w:val="none" w:sz="0" w:space="0" w:color="auto"/>
        <w:bottom w:val="none" w:sz="0" w:space="0" w:color="auto"/>
        <w:right w:val="none" w:sz="0" w:space="0" w:color="auto"/>
      </w:divBdr>
      <w:divsChild>
        <w:div w:id="921063299">
          <w:marLeft w:val="0"/>
          <w:marRight w:val="0"/>
          <w:marTop w:val="0"/>
          <w:marBottom w:val="0"/>
          <w:divBdr>
            <w:top w:val="none" w:sz="0" w:space="0" w:color="auto"/>
            <w:left w:val="none" w:sz="0" w:space="0" w:color="auto"/>
            <w:bottom w:val="none" w:sz="0" w:space="0" w:color="auto"/>
            <w:right w:val="none" w:sz="0" w:space="0" w:color="auto"/>
          </w:divBdr>
          <w:divsChild>
            <w:div w:id="1554541096">
              <w:marLeft w:val="0"/>
              <w:marRight w:val="0"/>
              <w:marTop w:val="0"/>
              <w:marBottom w:val="0"/>
              <w:divBdr>
                <w:top w:val="none" w:sz="0" w:space="0" w:color="auto"/>
                <w:left w:val="none" w:sz="0" w:space="0" w:color="auto"/>
                <w:bottom w:val="none" w:sz="0" w:space="0" w:color="auto"/>
                <w:right w:val="none" w:sz="0" w:space="0" w:color="auto"/>
              </w:divBdr>
              <w:divsChild>
                <w:div w:id="34432940">
                  <w:marLeft w:val="0"/>
                  <w:marRight w:val="0"/>
                  <w:marTop w:val="0"/>
                  <w:marBottom w:val="0"/>
                  <w:divBdr>
                    <w:top w:val="none" w:sz="0" w:space="0" w:color="auto"/>
                    <w:left w:val="none" w:sz="0" w:space="0" w:color="auto"/>
                    <w:bottom w:val="none" w:sz="0" w:space="0" w:color="auto"/>
                    <w:right w:val="none" w:sz="0" w:space="0" w:color="auto"/>
                  </w:divBdr>
                  <w:divsChild>
                    <w:div w:id="923687822">
                      <w:marLeft w:val="0"/>
                      <w:marRight w:val="0"/>
                      <w:marTop w:val="0"/>
                      <w:marBottom w:val="300"/>
                      <w:divBdr>
                        <w:top w:val="none" w:sz="0" w:space="0" w:color="auto"/>
                        <w:left w:val="none" w:sz="0" w:space="0" w:color="auto"/>
                        <w:bottom w:val="none" w:sz="0" w:space="0" w:color="auto"/>
                        <w:right w:val="none" w:sz="0" w:space="0" w:color="auto"/>
                      </w:divBdr>
                      <w:divsChild>
                        <w:div w:id="94385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97087">
      <w:bodyDiv w:val="1"/>
      <w:marLeft w:val="30"/>
      <w:marRight w:val="30"/>
      <w:marTop w:val="30"/>
      <w:marBottom w:val="30"/>
      <w:divBdr>
        <w:top w:val="none" w:sz="0" w:space="0" w:color="auto"/>
        <w:left w:val="none" w:sz="0" w:space="0" w:color="auto"/>
        <w:bottom w:val="none" w:sz="0" w:space="0" w:color="auto"/>
        <w:right w:val="none" w:sz="0" w:space="0" w:color="auto"/>
      </w:divBdr>
      <w:divsChild>
        <w:div w:id="789058657">
          <w:marLeft w:val="0"/>
          <w:marRight w:val="0"/>
          <w:marTop w:val="0"/>
          <w:marBottom w:val="0"/>
          <w:divBdr>
            <w:top w:val="none" w:sz="0" w:space="0" w:color="auto"/>
            <w:left w:val="none" w:sz="0" w:space="0" w:color="auto"/>
            <w:bottom w:val="none" w:sz="0" w:space="0" w:color="auto"/>
            <w:right w:val="none" w:sz="0" w:space="0" w:color="auto"/>
          </w:divBdr>
          <w:divsChild>
            <w:div w:id="381756186">
              <w:marLeft w:val="45"/>
              <w:marRight w:val="45"/>
              <w:marTop w:val="45"/>
              <w:marBottom w:val="45"/>
              <w:divBdr>
                <w:top w:val="none" w:sz="0" w:space="0" w:color="auto"/>
                <w:left w:val="none" w:sz="0" w:space="0" w:color="auto"/>
                <w:bottom w:val="none" w:sz="0" w:space="0" w:color="auto"/>
                <w:right w:val="none" w:sz="0" w:space="0" w:color="auto"/>
              </w:divBdr>
              <w:divsChild>
                <w:div w:id="876234067">
                  <w:marLeft w:val="0"/>
                  <w:marRight w:val="0"/>
                  <w:marTop w:val="0"/>
                  <w:marBottom w:val="0"/>
                  <w:divBdr>
                    <w:top w:val="none" w:sz="0" w:space="0" w:color="auto"/>
                    <w:left w:val="none" w:sz="0" w:space="0" w:color="auto"/>
                    <w:bottom w:val="none" w:sz="0" w:space="0" w:color="auto"/>
                    <w:right w:val="none" w:sz="0" w:space="0" w:color="auto"/>
                  </w:divBdr>
                  <w:divsChild>
                    <w:div w:id="129903659">
                      <w:marLeft w:val="0"/>
                      <w:marRight w:val="0"/>
                      <w:marTop w:val="0"/>
                      <w:marBottom w:val="0"/>
                      <w:divBdr>
                        <w:top w:val="none" w:sz="0" w:space="0" w:color="auto"/>
                        <w:left w:val="none" w:sz="0" w:space="0" w:color="auto"/>
                        <w:bottom w:val="none" w:sz="0" w:space="0" w:color="auto"/>
                        <w:right w:val="none" w:sz="0" w:space="0" w:color="auto"/>
                      </w:divBdr>
                    </w:div>
                    <w:div w:id="328946408">
                      <w:marLeft w:val="180"/>
                      <w:marRight w:val="0"/>
                      <w:marTop w:val="0"/>
                      <w:marBottom w:val="0"/>
                      <w:divBdr>
                        <w:top w:val="none" w:sz="0" w:space="0" w:color="auto"/>
                        <w:left w:val="none" w:sz="0" w:space="0" w:color="auto"/>
                        <w:bottom w:val="none" w:sz="0" w:space="0" w:color="auto"/>
                        <w:right w:val="none" w:sz="0" w:space="0" w:color="auto"/>
                      </w:divBdr>
                    </w:div>
                    <w:div w:id="19800664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666843">
      <w:bodyDiv w:val="1"/>
      <w:marLeft w:val="0"/>
      <w:marRight w:val="0"/>
      <w:marTop w:val="0"/>
      <w:marBottom w:val="0"/>
      <w:divBdr>
        <w:top w:val="none" w:sz="0" w:space="0" w:color="auto"/>
        <w:left w:val="none" w:sz="0" w:space="0" w:color="auto"/>
        <w:bottom w:val="none" w:sz="0" w:space="0" w:color="auto"/>
        <w:right w:val="none" w:sz="0" w:space="0" w:color="auto"/>
      </w:divBdr>
      <w:divsChild>
        <w:div w:id="1580286159">
          <w:marLeft w:val="0"/>
          <w:marRight w:val="0"/>
          <w:marTop w:val="0"/>
          <w:marBottom w:val="0"/>
          <w:divBdr>
            <w:top w:val="none" w:sz="0" w:space="0" w:color="auto"/>
            <w:left w:val="none" w:sz="0" w:space="0" w:color="auto"/>
            <w:bottom w:val="none" w:sz="0" w:space="0" w:color="auto"/>
            <w:right w:val="none" w:sz="0" w:space="0" w:color="auto"/>
          </w:divBdr>
          <w:divsChild>
            <w:div w:id="1382634568">
              <w:marLeft w:val="0"/>
              <w:marRight w:val="0"/>
              <w:marTop w:val="0"/>
              <w:marBottom w:val="0"/>
              <w:divBdr>
                <w:top w:val="none" w:sz="0" w:space="0" w:color="auto"/>
                <w:left w:val="none" w:sz="0" w:space="0" w:color="auto"/>
                <w:bottom w:val="none" w:sz="0" w:space="0" w:color="auto"/>
                <w:right w:val="none" w:sz="0" w:space="0" w:color="auto"/>
              </w:divBdr>
              <w:divsChild>
                <w:div w:id="1568109331">
                  <w:marLeft w:val="0"/>
                  <w:marRight w:val="0"/>
                  <w:marTop w:val="0"/>
                  <w:marBottom w:val="0"/>
                  <w:divBdr>
                    <w:top w:val="none" w:sz="0" w:space="0" w:color="auto"/>
                    <w:left w:val="none" w:sz="0" w:space="0" w:color="auto"/>
                    <w:bottom w:val="none" w:sz="0" w:space="0" w:color="auto"/>
                    <w:right w:val="none" w:sz="0" w:space="0" w:color="auto"/>
                  </w:divBdr>
                  <w:divsChild>
                    <w:div w:id="827478604">
                      <w:marLeft w:val="0"/>
                      <w:marRight w:val="0"/>
                      <w:marTop w:val="0"/>
                      <w:marBottom w:val="300"/>
                      <w:divBdr>
                        <w:top w:val="none" w:sz="0" w:space="0" w:color="auto"/>
                        <w:left w:val="none" w:sz="0" w:space="0" w:color="auto"/>
                        <w:bottom w:val="none" w:sz="0" w:space="0" w:color="auto"/>
                        <w:right w:val="none" w:sz="0" w:space="0" w:color="auto"/>
                      </w:divBdr>
                      <w:divsChild>
                        <w:div w:id="16133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677494">
      <w:bodyDiv w:val="1"/>
      <w:marLeft w:val="0"/>
      <w:marRight w:val="0"/>
      <w:marTop w:val="0"/>
      <w:marBottom w:val="0"/>
      <w:divBdr>
        <w:top w:val="none" w:sz="0" w:space="0" w:color="auto"/>
        <w:left w:val="none" w:sz="0" w:space="0" w:color="auto"/>
        <w:bottom w:val="none" w:sz="0" w:space="0" w:color="auto"/>
        <w:right w:val="none" w:sz="0" w:space="0" w:color="auto"/>
      </w:divBdr>
      <w:divsChild>
        <w:div w:id="1907765481">
          <w:marLeft w:val="0"/>
          <w:marRight w:val="0"/>
          <w:marTop w:val="0"/>
          <w:marBottom w:val="0"/>
          <w:divBdr>
            <w:top w:val="none" w:sz="0" w:space="0" w:color="auto"/>
            <w:left w:val="single" w:sz="6" w:space="0" w:color="BBBBBB"/>
            <w:bottom w:val="single" w:sz="6" w:space="0" w:color="BBBBBB"/>
            <w:right w:val="single" w:sz="6" w:space="0" w:color="BBBBBB"/>
          </w:divBdr>
          <w:divsChild>
            <w:div w:id="849831419">
              <w:marLeft w:val="0"/>
              <w:marRight w:val="0"/>
              <w:marTop w:val="0"/>
              <w:marBottom w:val="0"/>
              <w:divBdr>
                <w:top w:val="none" w:sz="0" w:space="0" w:color="auto"/>
                <w:left w:val="none" w:sz="0" w:space="0" w:color="auto"/>
                <w:bottom w:val="none" w:sz="0" w:space="0" w:color="auto"/>
                <w:right w:val="none" w:sz="0" w:space="0" w:color="auto"/>
              </w:divBdr>
              <w:divsChild>
                <w:div w:id="773595239">
                  <w:marLeft w:val="0"/>
                  <w:marRight w:val="0"/>
                  <w:marTop w:val="0"/>
                  <w:marBottom w:val="0"/>
                  <w:divBdr>
                    <w:top w:val="none" w:sz="0" w:space="0" w:color="auto"/>
                    <w:left w:val="none" w:sz="0" w:space="0" w:color="auto"/>
                    <w:bottom w:val="none" w:sz="0" w:space="0" w:color="auto"/>
                    <w:right w:val="none" w:sz="0" w:space="0" w:color="auto"/>
                  </w:divBdr>
                  <w:divsChild>
                    <w:div w:id="384377776">
                      <w:marLeft w:val="0"/>
                      <w:marRight w:val="0"/>
                      <w:marTop w:val="0"/>
                      <w:marBottom w:val="0"/>
                      <w:divBdr>
                        <w:top w:val="none" w:sz="0" w:space="0" w:color="auto"/>
                        <w:left w:val="none" w:sz="0" w:space="0" w:color="auto"/>
                        <w:bottom w:val="none" w:sz="0" w:space="0" w:color="auto"/>
                        <w:right w:val="none" w:sz="0" w:space="0" w:color="auto"/>
                      </w:divBdr>
                      <w:divsChild>
                        <w:div w:id="362561347">
                          <w:marLeft w:val="0"/>
                          <w:marRight w:val="0"/>
                          <w:marTop w:val="0"/>
                          <w:marBottom w:val="0"/>
                          <w:divBdr>
                            <w:top w:val="none" w:sz="0" w:space="0" w:color="auto"/>
                            <w:left w:val="none" w:sz="0" w:space="0" w:color="auto"/>
                            <w:bottom w:val="none" w:sz="0" w:space="0" w:color="auto"/>
                            <w:right w:val="none" w:sz="0" w:space="0" w:color="auto"/>
                          </w:divBdr>
                          <w:divsChild>
                            <w:div w:id="697506655">
                              <w:marLeft w:val="0"/>
                              <w:marRight w:val="0"/>
                              <w:marTop w:val="0"/>
                              <w:marBottom w:val="0"/>
                              <w:divBdr>
                                <w:top w:val="none" w:sz="0" w:space="0" w:color="auto"/>
                                <w:left w:val="none" w:sz="0" w:space="0" w:color="auto"/>
                                <w:bottom w:val="none" w:sz="0" w:space="0" w:color="auto"/>
                                <w:right w:val="none" w:sz="0" w:space="0" w:color="auto"/>
                              </w:divBdr>
                              <w:divsChild>
                                <w:div w:id="910693969">
                                  <w:marLeft w:val="0"/>
                                  <w:marRight w:val="0"/>
                                  <w:marTop w:val="0"/>
                                  <w:marBottom w:val="0"/>
                                  <w:divBdr>
                                    <w:top w:val="none" w:sz="0" w:space="0" w:color="auto"/>
                                    <w:left w:val="none" w:sz="0" w:space="0" w:color="auto"/>
                                    <w:bottom w:val="none" w:sz="0" w:space="0" w:color="auto"/>
                                    <w:right w:val="none" w:sz="0" w:space="0" w:color="auto"/>
                                  </w:divBdr>
                                  <w:divsChild>
                                    <w:div w:id="1277563319">
                                      <w:marLeft w:val="0"/>
                                      <w:marRight w:val="0"/>
                                      <w:marTop w:val="0"/>
                                      <w:marBottom w:val="0"/>
                                      <w:divBdr>
                                        <w:top w:val="none" w:sz="0" w:space="0" w:color="auto"/>
                                        <w:left w:val="none" w:sz="0" w:space="0" w:color="auto"/>
                                        <w:bottom w:val="none" w:sz="0" w:space="0" w:color="auto"/>
                                        <w:right w:val="none" w:sz="0" w:space="0" w:color="auto"/>
                                      </w:divBdr>
                                      <w:divsChild>
                                        <w:div w:id="1195073398">
                                          <w:marLeft w:val="1200"/>
                                          <w:marRight w:val="1200"/>
                                          <w:marTop w:val="0"/>
                                          <w:marBottom w:val="0"/>
                                          <w:divBdr>
                                            <w:top w:val="none" w:sz="0" w:space="0" w:color="auto"/>
                                            <w:left w:val="none" w:sz="0" w:space="0" w:color="auto"/>
                                            <w:bottom w:val="none" w:sz="0" w:space="0" w:color="auto"/>
                                            <w:right w:val="none" w:sz="0" w:space="0" w:color="auto"/>
                                          </w:divBdr>
                                          <w:divsChild>
                                            <w:div w:id="72820837">
                                              <w:marLeft w:val="0"/>
                                              <w:marRight w:val="0"/>
                                              <w:marTop w:val="0"/>
                                              <w:marBottom w:val="0"/>
                                              <w:divBdr>
                                                <w:top w:val="none" w:sz="0" w:space="0" w:color="auto"/>
                                                <w:left w:val="none" w:sz="0" w:space="0" w:color="auto"/>
                                                <w:bottom w:val="none" w:sz="0" w:space="0" w:color="auto"/>
                                                <w:right w:val="none" w:sz="0" w:space="0" w:color="auto"/>
                                              </w:divBdr>
                                              <w:divsChild>
                                                <w:div w:id="1084647398">
                                                  <w:marLeft w:val="0"/>
                                                  <w:marRight w:val="0"/>
                                                  <w:marTop w:val="0"/>
                                                  <w:marBottom w:val="0"/>
                                                  <w:divBdr>
                                                    <w:top w:val="none" w:sz="0" w:space="0" w:color="auto"/>
                                                    <w:left w:val="none" w:sz="0" w:space="0" w:color="auto"/>
                                                    <w:bottom w:val="none" w:sz="0" w:space="0" w:color="auto"/>
                                                    <w:right w:val="none" w:sz="0" w:space="0" w:color="auto"/>
                                                  </w:divBdr>
                                                  <w:divsChild>
                                                    <w:div w:id="2064718191">
                                                      <w:marLeft w:val="0"/>
                                                      <w:marRight w:val="0"/>
                                                      <w:marTop w:val="0"/>
                                                      <w:marBottom w:val="0"/>
                                                      <w:divBdr>
                                                        <w:top w:val="none" w:sz="0" w:space="0" w:color="auto"/>
                                                        <w:left w:val="none" w:sz="0" w:space="0" w:color="auto"/>
                                                        <w:bottom w:val="none" w:sz="0" w:space="0" w:color="auto"/>
                                                        <w:right w:val="none" w:sz="0" w:space="0" w:color="auto"/>
                                                      </w:divBdr>
                                                      <w:divsChild>
                                                        <w:div w:id="849442841">
                                                          <w:marLeft w:val="0"/>
                                                          <w:marRight w:val="0"/>
                                                          <w:marTop w:val="0"/>
                                                          <w:marBottom w:val="0"/>
                                                          <w:divBdr>
                                                            <w:top w:val="none" w:sz="0" w:space="0" w:color="auto"/>
                                                            <w:left w:val="none" w:sz="0" w:space="0" w:color="auto"/>
                                                            <w:bottom w:val="none" w:sz="0" w:space="0" w:color="auto"/>
                                                            <w:right w:val="none" w:sz="0" w:space="0" w:color="auto"/>
                                                          </w:divBdr>
                                                          <w:divsChild>
                                                            <w:div w:id="1126662074">
                                                              <w:marLeft w:val="0"/>
                                                              <w:marRight w:val="0"/>
                                                              <w:marTop w:val="0"/>
                                                              <w:marBottom w:val="0"/>
                                                              <w:divBdr>
                                                                <w:top w:val="none" w:sz="0" w:space="0" w:color="auto"/>
                                                                <w:left w:val="none" w:sz="0" w:space="0" w:color="auto"/>
                                                                <w:bottom w:val="none" w:sz="0" w:space="0" w:color="auto"/>
                                                                <w:right w:val="none" w:sz="0" w:space="0" w:color="auto"/>
                                                              </w:divBdr>
                                                            </w:div>
                                                          </w:divsChild>
                                                        </w:div>
                                                        <w:div w:id="1057124236">
                                                          <w:marLeft w:val="0"/>
                                                          <w:marRight w:val="0"/>
                                                          <w:marTop w:val="0"/>
                                                          <w:marBottom w:val="0"/>
                                                          <w:divBdr>
                                                            <w:top w:val="none" w:sz="0" w:space="0" w:color="auto"/>
                                                            <w:left w:val="none" w:sz="0" w:space="0" w:color="auto"/>
                                                            <w:bottom w:val="none" w:sz="0" w:space="0" w:color="auto"/>
                                                            <w:right w:val="none" w:sz="0" w:space="0" w:color="auto"/>
                                                          </w:divBdr>
                                                          <w:divsChild>
                                                            <w:div w:id="8913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3069010">
      <w:bodyDiv w:val="1"/>
      <w:marLeft w:val="0"/>
      <w:marRight w:val="0"/>
      <w:marTop w:val="0"/>
      <w:marBottom w:val="0"/>
      <w:divBdr>
        <w:top w:val="none" w:sz="0" w:space="0" w:color="auto"/>
        <w:left w:val="none" w:sz="0" w:space="0" w:color="auto"/>
        <w:bottom w:val="none" w:sz="0" w:space="0" w:color="auto"/>
        <w:right w:val="none" w:sz="0" w:space="0" w:color="auto"/>
      </w:divBdr>
      <w:divsChild>
        <w:div w:id="801462528">
          <w:marLeft w:val="0"/>
          <w:marRight w:val="0"/>
          <w:marTop w:val="0"/>
          <w:marBottom w:val="0"/>
          <w:divBdr>
            <w:top w:val="none" w:sz="0" w:space="0" w:color="auto"/>
            <w:left w:val="none" w:sz="0" w:space="0" w:color="auto"/>
            <w:bottom w:val="none" w:sz="0" w:space="0" w:color="auto"/>
            <w:right w:val="none" w:sz="0" w:space="0" w:color="auto"/>
          </w:divBdr>
          <w:divsChild>
            <w:div w:id="1961106929">
              <w:marLeft w:val="0"/>
              <w:marRight w:val="0"/>
              <w:marTop w:val="0"/>
              <w:marBottom w:val="0"/>
              <w:divBdr>
                <w:top w:val="none" w:sz="0" w:space="0" w:color="auto"/>
                <w:left w:val="none" w:sz="0" w:space="0" w:color="auto"/>
                <w:bottom w:val="none" w:sz="0" w:space="0" w:color="auto"/>
                <w:right w:val="none" w:sz="0" w:space="0" w:color="auto"/>
              </w:divBdr>
              <w:divsChild>
                <w:div w:id="1635407904">
                  <w:marLeft w:val="0"/>
                  <w:marRight w:val="0"/>
                  <w:marTop w:val="0"/>
                  <w:marBottom w:val="0"/>
                  <w:divBdr>
                    <w:top w:val="none" w:sz="0" w:space="0" w:color="auto"/>
                    <w:left w:val="none" w:sz="0" w:space="0" w:color="auto"/>
                    <w:bottom w:val="none" w:sz="0" w:space="0" w:color="auto"/>
                    <w:right w:val="none" w:sz="0" w:space="0" w:color="auto"/>
                  </w:divBdr>
                  <w:divsChild>
                    <w:div w:id="53042425">
                      <w:marLeft w:val="0"/>
                      <w:marRight w:val="0"/>
                      <w:marTop w:val="0"/>
                      <w:marBottom w:val="0"/>
                      <w:divBdr>
                        <w:top w:val="none" w:sz="0" w:space="0" w:color="auto"/>
                        <w:left w:val="none" w:sz="0" w:space="0" w:color="auto"/>
                        <w:bottom w:val="none" w:sz="0" w:space="0" w:color="auto"/>
                        <w:right w:val="none" w:sz="0" w:space="0" w:color="auto"/>
                      </w:divBdr>
                      <w:divsChild>
                        <w:div w:id="82994643">
                          <w:marLeft w:val="0"/>
                          <w:marRight w:val="0"/>
                          <w:marTop w:val="0"/>
                          <w:marBottom w:val="0"/>
                          <w:divBdr>
                            <w:top w:val="none" w:sz="0" w:space="0" w:color="auto"/>
                            <w:left w:val="none" w:sz="0" w:space="0" w:color="auto"/>
                            <w:bottom w:val="none" w:sz="0" w:space="0" w:color="auto"/>
                            <w:right w:val="none" w:sz="0" w:space="0" w:color="auto"/>
                          </w:divBdr>
                          <w:divsChild>
                            <w:div w:id="1329943041">
                              <w:marLeft w:val="0"/>
                              <w:marRight w:val="0"/>
                              <w:marTop w:val="0"/>
                              <w:marBottom w:val="0"/>
                              <w:divBdr>
                                <w:top w:val="none" w:sz="0" w:space="0" w:color="auto"/>
                                <w:left w:val="none" w:sz="0" w:space="0" w:color="auto"/>
                                <w:bottom w:val="none" w:sz="0" w:space="0" w:color="auto"/>
                                <w:right w:val="none" w:sz="0" w:space="0" w:color="auto"/>
                              </w:divBdr>
                              <w:divsChild>
                                <w:div w:id="104413465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761344">
      <w:bodyDiv w:val="1"/>
      <w:marLeft w:val="0"/>
      <w:marRight w:val="0"/>
      <w:marTop w:val="0"/>
      <w:marBottom w:val="0"/>
      <w:divBdr>
        <w:top w:val="none" w:sz="0" w:space="0" w:color="auto"/>
        <w:left w:val="none" w:sz="0" w:space="0" w:color="auto"/>
        <w:bottom w:val="none" w:sz="0" w:space="0" w:color="auto"/>
        <w:right w:val="none" w:sz="0" w:space="0" w:color="auto"/>
      </w:divBdr>
    </w:div>
    <w:div w:id="1789810286">
      <w:bodyDiv w:val="1"/>
      <w:marLeft w:val="0"/>
      <w:marRight w:val="0"/>
      <w:marTop w:val="0"/>
      <w:marBottom w:val="0"/>
      <w:divBdr>
        <w:top w:val="none" w:sz="0" w:space="0" w:color="auto"/>
        <w:left w:val="none" w:sz="0" w:space="0" w:color="auto"/>
        <w:bottom w:val="none" w:sz="0" w:space="0" w:color="auto"/>
        <w:right w:val="none" w:sz="0" w:space="0" w:color="auto"/>
      </w:divBdr>
      <w:divsChild>
        <w:div w:id="1519270005">
          <w:marLeft w:val="0"/>
          <w:marRight w:val="0"/>
          <w:marTop w:val="0"/>
          <w:marBottom w:val="0"/>
          <w:divBdr>
            <w:top w:val="none" w:sz="0" w:space="0" w:color="auto"/>
            <w:left w:val="none" w:sz="0" w:space="0" w:color="auto"/>
            <w:bottom w:val="none" w:sz="0" w:space="0" w:color="auto"/>
            <w:right w:val="none" w:sz="0" w:space="0" w:color="auto"/>
          </w:divBdr>
          <w:divsChild>
            <w:div w:id="44573898">
              <w:marLeft w:val="0"/>
              <w:marRight w:val="0"/>
              <w:marTop w:val="0"/>
              <w:marBottom w:val="0"/>
              <w:divBdr>
                <w:top w:val="none" w:sz="0" w:space="0" w:color="auto"/>
                <w:left w:val="none" w:sz="0" w:space="0" w:color="auto"/>
                <w:bottom w:val="none" w:sz="0" w:space="0" w:color="auto"/>
                <w:right w:val="none" w:sz="0" w:space="0" w:color="auto"/>
              </w:divBdr>
              <w:divsChild>
                <w:div w:id="1486161840">
                  <w:marLeft w:val="0"/>
                  <w:marRight w:val="0"/>
                  <w:marTop w:val="0"/>
                  <w:marBottom w:val="0"/>
                  <w:divBdr>
                    <w:top w:val="none" w:sz="0" w:space="0" w:color="auto"/>
                    <w:left w:val="none" w:sz="0" w:space="0" w:color="auto"/>
                    <w:bottom w:val="none" w:sz="0" w:space="0" w:color="auto"/>
                    <w:right w:val="none" w:sz="0" w:space="0" w:color="auto"/>
                  </w:divBdr>
                  <w:divsChild>
                    <w:div w:id="1461607406">
                      <w:marLeft w:val="0"/>
                      <w:marRight w:val="0"/>
                      <w:marTop w:val="0"/>
                      <w:marBottom w:val="300"/>
                      <w:divBdr>
                        <w:top w:val="none" w:sz="0" w:space="0" w:color="auto"/>
                        <w:left w:val="none" w:sz="0" w:space="0" w:color="auto"/>
                        <w:bottom w:val="none" w:sz="0" w:space="0" w:color="auto"/>
                        <w:right w:val="none" w:sz="0" w:space="0" w:color="auto"/>
                      </w:divBdr>
                      <w:divsChild>
                        <w:div w:id="18904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082950">
      <w:bodyDiv w:val="1"/>
      <w:marLeft w:val="0"/>
      <w:marRight w:val="0"/>
      <w:marTop w:val="0"/>
      <w:marBottom w:val="0"/>
      <w:divBdr>
        <w:top w:val="none" w:sz="0" w:space="0" w:color="auto"/>
        <w:left w:val="none" w:sz="0" w:space="0" w:color="auto"/>
        <w:bottom w:val="none" w:sz="0" w:space="0" w:color="auto"/>
        <w:right w:val="none" w:sz="0" w:space="0" w:color="auto"/>
      </w:divBdr>
      <w:divsChild>
        <w:div w:id="2111506372">
          <w:marLeft w:val="0"/>
          <w:marRight w:val="0"/>
          <w:marTop w:val="0"/>
          <w:marBottom w:val="0"/>
          <w:divBdr>
            <w:top w:val="none" w:sz="0" w:space="0" w:color="auto"/>
            <w:left w:val="none" w:sz="0" w:space="0" w:color="auto"/>
            <w:bottom w:val="none" w:sz="0" w:space="0" w:color="auto"/>
            <w:right w:val="none" w:sz="0" w:space="0" w:color="auto"/>
          </w:divBdr>
          <w:divsChild>
            <w:div w:id="479467508">
              <w:marLeft w:val="0"/>
              <w:marRight w:val="0"/>
              <w:marTop w:val="0"/>
              <w:marBottom w:val="0"/>
              <w:divBdr>
                <w:top w:val="none" w:sz="0" w:space="0" w:color="auto"/>
                <w:left w:val="none" w:sz="0" w:space="0" w:color="auto"/>
                <w:bottom w:val="none" w:sz="0" w:space="0" w:color="auto"/>
                <w:right w:val="none" w:sz="0" w:space="0" w:color="auto"/>
              </w:divBdr>
              <w:divsChild>
                <w:div w:id="1570967500">
                  <w:marLeft w:val="0"/>
                  <w:marRight w:val="0"/>
                  <w:marTop w:val="0"/>
                  <w:marBottom w:val="0"/>
                  <w:divBdr>
                    <w:top w:val="none" w:sz="0" w:space="0" w:color="auto"/>
                    <w:left w:val="none" w:sz="0" w:space="0" w:color="auto"/>
                    <w:bottom w:val="none" w:sz="0" w:space="0" w:color="auto"/>
                    <w:right w:val="none" w:sz="0" w:space="0" w:color="auto"/>
                  </w:divBdr>
                  <w:divsChild>
                    <w:div w:id="1674995521">
                      <w:marLeft w:val="0"/>
                      <w:marRight w:val="0"/>
                      <w:marTop w:val="0"/>
                      <w:marBottom w:val="0"/>
                      <w:divBdr>
                        <w:top w:val="none" w:sz="0" w:space="0" w:color="auto"/>
                        <w:left w:val="none" w:sz="0" w:space="0" w:color="auto"/>
                        <w:bottom w:val="none" w:sz="0" w:space="0" w:color="auto"/>
                        <w:right w:val="none" w:sz="0" w:space="0" w:color="auto"/>
                      </w:divBdr>
                      <w:divsChild>
                        <w:div w:id="1797020544">
                          <w:marLeft w:val="0"/>
                          <w:marRight w:val="0"/>
                          <w:marTop w:val="0"/>
                          <w:marBottom w:val="0"/>
                          <w:divBdr>
                            <w:top w:val="none" w:sz="0" w:space="0" w:color="auto"/>
                            <w:left w:val="none" w:sz="0" w:space="0" w:color="auto"/>
                            <w:bottom w:val="none" w:sz="0" w:space="0" w:color="auto"/>
                            <w:right w:val="none" w:sz="0" w:space="0" w:color="auto"/>
                          </w:divBdr>
                          <w:divsChild>
                            <w:div w:id="77020214">
                              <w:marLeft w:val="0"/>
                              <w:marRight w:val="0"/>
                              <w:marTop w:val="0"/>
                              <w:marBottom w:val="0"/>
                              <w:divBdr>
                                <w:top w:val="none" w:sz="0" w:space="0" w:color="auto"/>
                                <w:left w:val="none" w:sz="0" w:space="0" w:color="auto"/>
                                <w:bottom w:val="none" w:sz="0" w:space="0" w:color="auto"/>
                                <w:right w:val="none" w:sz="0" w:space="0" w:color="auto"/>
                              </w:divBdr>
                              <w:divsChild>
                                <w:div w:id="190961238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471785">
      <w:bodyDiv w:val="1"/>
      <w:marLeft w:val="0"/>
      <w:marRight w:val="0"/>
      <w:marTop w:val="0"/>
      <w:marBottom w:val="0"/>
      <w:divBdr>
        <w:top w:val="none" w:sz="0" w:space="0" w:color="auto"/>
        <w:left w:val="none" w:sz="0" w:space="0" w:color="auto"/>
        <w:bottom w:val="none" w:sz="0" w:space="0" w:color="auto"/>
        <w:right w:val="none" w:sz="0" w:space="0" w:color="auto"/>
      </w:divBdr>
      <w:divsChild>
        <w:div w:id="958488182">
          <w:marLeft w:val="0"/>
          <w:marRight w:val="0"/>
          <w:marTop w:val="0"/>
          <w:marBottom w:val="0"/>
          <w:divBdr>
            <w:top w:val="none" w:sz="0" w:space="0" w:color="auto"/>
            <w:left w:val="single" w:sz="6" w:space="0" w:color="BBBBBB"/>
            <w:bottom w:val="single" w:sz="6" w:space="0" w:color="BBBBBB"/>
            <w:right w:val="single" w:sz="6" w:space="0" w:color="BBBBBB"/>
          </w:divBdr>
          <w:divsChild>
            <w:div w:id="2045520296">
              <w:marLeft w:val="0"/>
              <w:marRight w:val="0"/>
              <w:marTop w:val="0"/>
              <w:marBottom w:val="0"/>
              <w:divBdr>
                <w:top w:val="none" w:sz="0" w:space="0" w:color="auto"/>
                <w:left w:val="none" w:sz="0" w:space="0" w:color="auto"/>
                <w:bottom w:val="none" w:sz="0" w:space="0" w:color="auto"/>
                <w:right w:val="none" w:sz="0" w:space="0" w:color="auto"/>
              </w:divBdr>
              <w:divsChild>
                <w:div w:id="821000457">
                  <w:marLeft w:val="0"/>
                  <w:marRight w:val="0"/>
                  <w:marTop w:val="75"/>
                  <w:marBottom w:val="0"/>
                  <w:divBdr>
                    <w:top w:val="none" w:sz="0" w:space="0" w:color="auto"/>
                    <w:left w:val="none" w:sz="0" w:space="0" w:color="auto"/>
                    <w:bottom w:val="none" w:sz="0" w:space="0" w:color="auto"/>
                    <w:right w:val="none" w:sz="0" w:space="0" w:color="auto"/>
                  </w:divBdr>
                  <w:divsChild>
                    <w:div w:id="1763378111">
                      <w:marLeft w:val="0"/>
                      <w:marRight w:val="0"/>
                      <w:marTop w:val="0"/>
                      <w:marBottom w:val="0"/>
                      <w:divBdr>
                        <w:top w:val="none" w:sz="0" w:space="0" w:color="auto"/>
                        <w:left w:val="none" w:sz="0" w:space="0" w:color="auto"/>
                        <w:bottom w:val="none" w:sz="0" w:space="0" w:color="auto"/>
                        <w:right w:val="none" w:sz="0" w:space="0" w:color="auto"/>
                      </w:divBdr>
                      <w:divsChild>
                        <w:div w:id="1613634675">
                          <w:marLeft w:val="0"/>
                          <w:marRight w:val="0"/>
                          <w:marTop w:val="0"/>
                          <w:marBottom w:val="0"/>
                          <w:divBdr>
                            <w:top w:val="none" w:sz="0" w:space="0" w:color="auto"/>
                            <w:left w:val="none" w:sz="0" w:space="0" w:color="auto"/>
                            <w:bottom w:val="none" w:sz="0" w:space="0" w:color="auto"/>
                            <w:right w:val="none" w:sz="0" w:space="0" w:color="auto"/>
                          </w:divBdr>
                          <w:divsChild>
                            <w:div w:id="663583491">
                              <w:marLeft w:val="0"/>
                              <w:marRight w:val="0"/>
                              <w:marTop w:val="0"/>
                              <w:marBottom w:val="0"/>
                              <w:divBdr>
                                <w:top w:val="none" w:sz="0" w:space="0" w:color="auto"/>
                                <w:left w:val="none" w:sz="0" w:space="0" w:color="auto"/>
                                <w:bottom w:val="none" w:sz="0" w:space="0" w:color="auto"/>
                                <w:right w:val="none" w:sz="0" w:space="0" w:color="auto"/>
                              </w:divBdr>
                              <w:divsChild>
                                <w:div w:id="215169970">
                                  <w:marLeft w:val="0"/>
                                  <w:marRight w:val="0"/>
                                  <w:marTop w:val="0"/>
                                  <w:marBottom w:val="0"/>
                                  <w:divBdr>
                                    <w:top w:val="none" w:sz="0" w:space="0" w:color="auto"/>
                                    <w:left w:val="none" w:sz="0" w:space="0" w:color="auto"/>
                                    <w:bottom w:val="none" w:sz="0" w:space="0" w:color="auto"/>
                                    <w:right w:val="none" w:sz="0" w:space="0" w:color="auto"/>
                                  </w:divBdr>
                                  <w:divsChild>
                                    <w:div w:id="247078234">
                                      <w:marLeft w:val="0"/>
                                      <w:marRight w:val="0"/>
                                      <w:marTop w:val="0"/>
                                      <w:marBottom w:val="0"/>
                                      <w:divBdr>
                                        <w:top w:val="none" w:sz="0" w:space="0" w:color="auto"/>
                                        <w:left w:val="none" w:sz="0" w:space="0" w:color="auto"/>
                                        <w:bottom w:val="none" w:sz="0" w:space="0" w:color="auto"/>
                                        <w:right w:val="none" w:sz="0" w:space="0" w:color="auto"/>
                                      </w:divBdr>
                                      <w:divsChild>
                                        <w:div w:id="612172891">
                                          <w:marLeft w:val="1200"/>
                                          <w:marRight w:val="1200"/>
                                          <w:marTop w:val="0"/>
                                          <w:marBottom w:val="0"/>
                                          <w:divBdr>
                                            <w:top w:val="none" w:sz="0" w:space="0" w:color="auto"/>
                                            <w:left w:val="none" w:sz="0" w:space="0" w:color="auto"/>
                                            <w:bottom w:val="none" w:sz="0" w:space="0" w:color="auto"/>
                                            <w:right w:val="none" w:sz="0" w:space="0" w:color="auto"/>
                                          </w:divBdr>
                                          <w:divsChild>
                                            <w:div w:id="255751437">
                                              <w:marLeft w:val="0"/>
                                              <w:marRight w:val="0"/>
                                              <w:marTop w:val="0"/>
                                              <w:marBottom w:val="0"/>
                                              <w:divBdr>
                                                <w:top w:val="none" w:sz="0" w:space="0" w:color="auto"/>
                                                <w:left w:val="none" w:sz="0" w:space="0" w:color="auto"/>
                                                <w:bottom w:val="none" w:sz="0" w:space="0" w:color="auto"/>
                                                <w:right w:val="none" w:sz="0" w:space="0" w:color="auto"/>
                                              </w:divBdr>
                                              <w:divsChild>
                                                <w:div w:id="1370882192">
                                                  <w:marLeft w:val="0"/>
                                                  <w:marRight w:val="0"/>
                                                  <w:marTop w:val="0"/>
                                                  <w:marBottom w:val="0"/>
                                                  <w:divBdr>
                                                    <w:top w:val="none" w:sz="0" w:space="0" w:color="auto"/>
                                                    <w:left w:val="none" w:sz="0" w:space="0" w:color="auto"/>
                                                    <w:bottom w:val="none" w:sz="0" w:space="0" w:color="auto"/>
                                                    <w:right w:val="none" w:sz="0" w:space="0" w:color="auto"/>
                                                  </w:divBdr>
                                                  <w:divsChild>
                                                    <w:div w:id="109279553">
                                                      <w:marLeft w:val="0"/>
                                                      <w:marRight w:val="0"/>
                                                      <w:marTop w:val="0"/>
                                                      <w:marBottom w:val="0"/>
                                                      <w:divBdr>
                                                        <w:top w:val="none" w:sz="0" w:space="0" w:color="auto"/>
                                                        <w:left w:val="none" w:sz="0" w:space="0" w:color="auto"/>
                                                        <w:bottom w:val="none" w:sz="0" w:space="0" w:color="auto"/>
                                                        <w:right w:val="none" w:sz="0" w:space="0" w:color="auto"/>
                                                      </w:divBdr>
                                                      <w:divsChild>
                                                        <w:div w:id="1159619684">
                                                          <w:marLeft w:val="0"/>
                                                          <w:marRight w:val="0"/>
                                                          <w:marTop w:val="0"/>
                                                          <w:marBottom w:val="0"/>
                                                          <w:divBdr>
                                                            <w:top w:val="none" w:sz="0" w:space="0" w:color="auto"/>
                                                            <w:left w:val="none" w:sz="0" w:space="0" w:color="auto"/>
                                                            <w:bottom w:val="none" w:sz="0" w:space="0" w:color="auto"/>
                                                            <w:right w:val="none" w:sz="0" w:space="0" w:color="auto"/>
                                                          </w:divBdr>
                                                        </w:div>
                                                      </w:divsChild>
                                                    </w:div>
                                                    <w:div w:id="144276477">
                                                      <w:marLeft w:val="0"/>
                                                      <w:marRight w:val="0"/>
                                                      <w:marTop w:val="0"/>
                                                      <w:marBottom w:val="0"/>
                                                      <w:divBdr>
                                                        <w:top w:val="none" w:sz="0" w:space="0" w:color="auto"/>
                                                        <w:left w:val="none" w:sz="0" w:space="0" w:color="auto"/>
                                                        <w:bottom w:val="none" w:sz="0" w:space="0" w:color="auto"/>
                                                        <w:right w:val="none" w:sz="0" w:space="0" w:color="auto"/>
                                                      </w:divBdr>
                                                      <w:divsChild>
                                                        <w:div w:id="1047148445">
                                                          <w:marLeft w:val="0"/>
                                                          <w:marRight w:val="0"/>
                                                          <w:marTop w:val="0"/>
                                                          <w:marBottom w:val="0"/>
                                                          <w:divBdr>
                                                            <w:top w:val="none" w:sz="0" w:space="0" w:color="auto"/>
                                                            <w:left w:val="none" w:sz="0" w:space="0" w:color="auto"/>
                                                            <w:bottom w:val="none" w:sz="0" w:space="0" w:color="auto"/>
                                                            <w:right w:val="none" w:sz="0" w:space="0" w:color="auto"/>
                                                          </w:divBdr>
                                                        </w:div>
                                                      </w:divsChild>
                                                    </w:div>
                                                    <w:div w:id="826940960">
                                                      <w:marLeft w:val="0"/>
                                                      <w:marRight w:val="0"/>
                                                      <w:marTop w:val="0"/>
                                                      <w:marBottom w:val="0"/>
                                                      <w:divBdr>
                                                        <w:top w:val="none" w:sz="0" w:space="0" w:color="auto"/>
                                                        <w:left w:val="none" w:sz="0" w:space="0" w:color="auto"/>
                                                        <w:bottom w:val="none" w:sz="0" w:space="0" w:color="auto"/>
                                                        <w:right w:val="none" w:sz="0" w:space="0" w:color="auto"/>
                                                      </w:divBdr>
                                                      <w:divsChild>
                                                        <w:div w:id="16677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0472375">
      <w:bodyDiv w:val="1"/>
      <w:marLeft w:val="0"/>
      <w:marRight w:val="0"/>
      <w:marTop w:val="0"/>
      <w:marBottom w:val="0"/>
      <w:divBdr>
        <w:top w:val="none" w:sz="0" w:space="0" w:color="auto"/>
        <w:left w:val="none" w:sz="0" w:space="0" w:color="auto"/>
        <w:bottom w:val="none" w:sz="0" w:space="0" w:color="auto"/>
        <w:right w:val="none" w:sz="0" w:space="0" w:color="auto"/>
      </w:divBdr>
      <w:divsChild>
        <w:div w:id="113097293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57576138">
              <w:marLeft w:val="0"/>
              <w:marRight w:val="0"/>
              <w:marTop w:val="0"/>
              <w:marBottom w:val="0"/>
              <w:divBdr>
                <w:top w:val="none" w:sz="0" w:space="0" w:color="auto"/>
                <w:left w:val="none" w:sz="0" w:space="0" w:color="auto"/>
                <w:bottom w:val="none" w:sz="0" w:space="0" w:color="auto"/>
                <w:right w:val="none" w:sz="0" w:space="0" w:color="auto"/>
              </w:divBdr>
              <w:divsChild>
                <w:div w:id="880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44728">
      <w:bodyDiv w:val="1"/>
      <w:marLeft w:val="0"/>
      <w:marRight w:val="0"/>
      <w:marTop w:val="0"/>
      <w:marBottom w:val="0"/>
      <w:divBdr>
        <w:top w:val="none" w:sz="0" w:space="0" w:color="auto"/>
        <w:left w:val="none" w:sz="0" w:space="0" w:color="auto"/>
        <w:bottom w:val="none" w:sz="0" w:space="0" w:color="auto"/>
        <w:right w:val="none" w:sz="0" w:space="0" w:color="auto"/>
      </w:divBdr>
      <w:divsChild>
        <w:div w:id="1550608064">
          <w:marLeft w:val="0"/>
          <w:marRight w:val="0"/>
          <w:marTop w:val="0"/>
          <w:marBottom w:val="0"/>
          <w:divBdr>
            <w:top w:val="none" w:sz="0" w:space="0" w:color="auto"/>
            <w:left w:val="none" w:sz="0" w:space="0" w:color="auto"/>
            <w:bottom w:val="none" w:sz="0" w:space="0" w:color="auto"/>
            <w:right w:val="none" w:sz="0" w:space="0" w:color="auto"/>
          </w:divBdr>
          <w:divsChild>
            <w:div w:id="341705994">
              <w:marLeft w:val="0"/>
              <w:marRight w:val="0"/>
              <w:marTop w:val="0"/>
              <w:marBottom w:val="0"/>
              <w:divBdr>
                <w:top w:val="none" w:sz="0" w:space="0" w:color="auto"/>
                <w:left w:val="none" w:sz="0" w:space="0" w:color="auto"/>
                <w:bottom w:val="none" w:sz="0" w:space="0" w:color="auto"/>
                <w:right w:val="none" w:sz="0" w:space="0" w:color="auto"/>
              </w:divBdr>
              <w:divsChild>
                <w:div w:id="1901474493">
                  <w:marLeft w:val="0"/>
                  <w:marRight w:val="0"/>
                  <w:marTop w:val="0"/>
                  <w:marBottom w:val="0"/>
                  <w:divBdr>
                    <w:top w:val="none" w:sz="0" w:space="0" w:color="auto"/>
                    <w:left w:val="none" w:sz="0" w:space="0" w:color="auto"/>
                    <w:bottom w:val="none" w:sz="0" w:space="0" w:color="auto"/>
                    <w:right w:val="none" w:sz="0" w:space="0" w:color="auto"/>
                  </w:divBdr>
                  <w:divsChild>
                    <w:div w:id="997198178">
                      <w:marLeft w:val="0"/>
                      <w:marRight w:val="0"/>
                      <w:marTop w:val="0"/>
                      <w:marBottom w:val="0"/>
                      <w:divBdr>
                        <w:top w:val="none" w:sz="0" w:space="0" w:color="auto"/>
                        <w:left w:val="none" w:sz="0" w:space="0" w:color="auto"/>
                        <w:bottom w:val="none" w:sz="0" w:space="0" w:color="auto"/>
                        <w:right w:val="none" w:sz="0" w:space="0" w:color="auto"/>
                      </w:divBdr>
                      <w:divsChild>
                        <w:div w:id="1731146767">
                          <w:marLeft w:val="0"/>
                          <w:marRight w:val="0"/>
                          <w:marTop w:val="0"/>
                          <w:marBottom w:val="0"/>
                          <w:divBdr>
                            <w:top w:val="none" w:sz="0" w:space="0" w:color="auto"/>
                            <w:left w:val="none" w:sz="0" w:space="0" w:color="auto"/>
                            <w:bottom w:val="none" w:sz="0" w:space="0" w:color="auto"/>
                            <w:right w:val="none" w:sz="0" w:space="0" w:color="auto"/>
                          </w:divBdr>
                          <w:divsChild>
                            <w:div w:id="867061595">
                              <w:marLeft w:val="0"/>
                              <w:marRight w:val="0"/>
                              <w:marTop w:val="0"/>
                              <w:marBottom w:val="0"/>
                              <w:divBdr>
                                <w:top w:val="none" w:sz="0" w:space="0" w:color="auto"/>
                                <w:left w:val="none" w:sz="0" w:space="0" w:color="auto"/>
                                <w:bottom w:val="none" w:sz="0" w:space="0" w:color="auto"/>
                                <w:right w:val="none" w:sz="0" w:space="0" w:color="auto"/>
                              </w:divBdr>
                              <w:divsChild>
                                <w:div w:id="8627586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438546">
      <w:bodyDiv w:val="1"/>
      <w:marLeft w:val="0"/>
      <w:marRight w:val="0"/>
      <w:marTop w:val="0"/>
      <w:marBottom w:val="0"/>
      <w:divBdr>
        <w:top w:val="none" w:sz="0" w:space="0" w:color="auto"/>
        <w:left w:val="none" w:sz="0" w:space="0" w:color="auto"/>
        <w:bottom w:val="none" w:sz="0" w:space="0" w:color="auto"/>
        <w:right w:val="none" w:sz="0" w:space="0" w:color="auto"/>
      </w:divBdr>
      <w:divsChild>
        <w:div w:id="1628900652">
          <w:marLeft w:val="0"/>
          <w:marRight w:val="0"/>
          <w:marTop w:val="0"/>
          <w:marBottom w:val="0"/>
          <w:divBdr>
            <w:top w:val="none" w:sz="0" w:space="0" w:color="auto"/>
            <w:left w:val="none" w:sz="0" w:space="0" w:color="auto"/>
            <w:bottom w:val="none" w:sz="0" w:space="0" w:color="auto"/>
            <w:right w:val="none" w:sz="0" w:space="0" w:color="auto"/>
          </w:divBdr>
          <w:divsChild>
            <w:div w:id="709770557">
              <w:marLeft w:val="0"/>
              <w:marRight w:val="0"/>
              <w:marTop w:val="0"/>
              <w:marBottom w:val="0"/>
              <w:divBdr>
                <w:top w:val="none" w:sz="0" w:space="0" w:color="auto"/>
                <w:left w:val="none" w:sz="0" w:space="0" w:color="auto"/>
                <w:bottom w:val="none" w:sz="0" w:space="0" w:color="auto"/>
                <w:right w:val="none" w:sz="0" w:space="0" w:color="auto"/>
              </w:divBdr>
              <w:divsChild>
                <w:div w:id="1133791955">
                  <w:marLeft w:val="0"/>
                  <w:marRight w:val="0"/>
                  <w:marTop w:val="0"/>
                  <w:marBottom w:val="0"/>
                  <w:divBdr>
                    <w:top w:val="none" w:sz="0" w:space="0" w:color="auto"/>
                    <w:left w:val="none" w:sz="0" w:space="0" w:color="auto"/>
                    <w:bottom w:val="none" w:sz="0" w:space="0" w:color="auto"/>
                    <w:right w:val="none" w:sz="0" w:space="0" w:color="auto"/>
                  </w:divBdr>
                  <w:divsChild>
                    <w:div w:id="645352725">
                      <w:marLeft w:val="0"/>
                      <w:marRight w:val="0"/>
                      <w:marTop w:val="0"/>
                      <w:marBottom w:val="0"/>
                      <w:divBdr>
                        <w:top w:val="none" w:sz="0" w:space="0" w:color="auto"/>
                        <w:left w:val="none" w:sz="0" w:space="0" w:color="auto"/>
                        <w:bottom w:val="none" w:sz="0" w:space="0" w:color="auto"/>
                        <w:right w:val="none" w:sz="0" w:space="0" w:color="auto"/>
                      </w:divBdr>
                      <w:divsChild>
                        <w:div w:id="602152479">
                          <w:marLeft w:val="0"/>
                          <w:marRight w:val="0"/>
                          <w:marTop w:val="0"/>
                          <w:marBottom w:val="0"/>
                          <w:divBdr>
                            <w:top w:val="none" w:sz="0" w:space="0" w:color="auto"/>
                            <w:left w:val="none" w:sz="0" w:space="0" w:color="auto"/>
                            <w:bottom w:val="none" w:sz="0" w:space="0" w:color="auto"/>
                            <w:right w:val="none" w:sz="0" w:space="0" w:color="auto"/>
                          </w:divBdr>
                          <w:divsChild>
                            <w:div w:id="470751858">
                              <w:marLeft w:val="0"/>
                              <w:marRight w:val="0"/>
                              <w:marTop w:val="0"/>
                              <w:marBottom w:val="0"/>
                              <w:divBdr>
                                <w:top w:val="none" w:sz="0" w:space="0" w:color="auto"/>
                                <w:left w:val="none" w:sz="0" w:space="0" w:color="auto"/>
                                <w:bottom w:val="none" w:sz="0" w:space="0" w:color="auto"/>
                                <w:right w:val="none" w:sz="0" w:space="0" w:color="auto"/>
                              </w:divBdr>
                              <w:divsChild>
                                <w:div w:id="193747282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907561">
      <w:bodyDiv w:val="1"/>
      <w:marLeft w:val="0"/>
      <w:marRight w:val="0"/>
      <w:marTop w:val="0"/>
      <w:marBottom w:val="0"/>
      <w:divBdr>
        <w:top w:val="none" w:sz="0" w:space="0" w:color="auto"/>
        <w:left w:val="none" w:sz="0" w:space="0" w:color="auto"/>
        <w:bottom w:val="none" w:sz="0" w:space="0" w:color="auto"/>
        <w:right w:val="none" w:sz="0" w:space="0" w:color="auto"/>
      </w:divBdr>
      <w:divsChild>
        <w:div w:id="666516023">
          <w:marLeft w:val="0"/>
          <w:marRight w:val="0"/>
          <w:marTop w:val="0"/>
          <w:marBottom w:val="0"/>
          <w:divBdr>
            <w:top w:val="none" w:sz="0" w:space="0" w:color="auto"/>
            <w:left w:val="none" w:sz="0" w:space="0" w:color="auto"/>
            <w:bottom w:val="none" w:sz="0" w:space="0" w:color="auto"/>
            <w:right w:val="none" w:sz="0" w:space="0" w:color="auto"/>
          </w:divBdr>
          <w:divsChild>
            <w:div w:id="482897422">
              <w:marLeft w:val="0"/>
              <w:marRight w:val="0"/>
              <w:marTop w:val="0"/>
              <w:marBottom w:val="0"/>
              <w:divBdr>
                <w:top w:val="none" w:sz="0" w:space="0" w:color="auto"/>
                <w:left w:val="none" w:sz="0" w:space="0" w:color="auto"/>
                <w:bottom w:val="none" w:sz="0" w:space="0" w:color="auto"/>
                <w:right w:val="none" w:sz="0" w:space="0" w:color="auto"/>
              </w:divBdr>
              <w:divsChild>
                <w:div w:id="880823372">
                  <w:marLeft w:val="0"/>
                  <w:marRight w:val="0"/>
                  <w:marTop w:val="0"/>
                  <w:marBottom w:val="0"/>
                  <w:divBdr>
                    <w:top w:val="none" w:sz="0" w:space="0" w:color="auto"/>
                    <w:left w:val="none" w:sz="0" w:space="0" w:color="auto"/>
                    <w:bottom w:val="none" w:sz="0" w:space="0" w:color="auto"/>
                    <w:right w:val="none" w:sz="0" w:space="0" w:color="auto"/>
                  </w:divBdr>
                  <w:divsChild>
                    <w:div w:id="1648046061">
                      <w:marLeft w:val="0"/>
                      <w:marRight w:val="0"/>
                      <w:marTop w:val="0"/>
                      <w:marBottom w:val="300"/>
                      <w:divBdr>
                        <w:top w:val="none" w:sz="0" w:space="0" w:color="auto"/>
                        <w:left w:val="none" w:sz="0" w:space="0" w:color="auto"/>
                        <w:bottom w:val="none" w:sz="0" w:space="0" w:color="auto"/>
                        <w:right w:val="none" w:sz="0" w:space="0" w:color="auto"/>
                      </w:divBdr>
                      <w:divsChild>
                        <w:div w:id="152247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3645">
      <w:bodyDiv w:val="1"/>
      <w:marLeft w:val="0"/>
      <w:marRight w:val="0"/>
      <w:marTop w:val="0"/>
      <w:marBottom w:val="0"/>
      <w:divBdr>
        <w:top w:val="none" w:sz="0" w:space="0" w:color="auto"/>
        <w:left w:val="none" w:sz="0" w:space="0" w:color="auto"/>
        <w:bottom w:val="none" w:sz="0" w:space="0" w:color="auto"/>
        <w:right w:val="none" w:sz="0" w:space="0" w:color="auto"/>
      </w:divBdr>
      <w:divsChild>
        <w:div w:id="482238131">
          <w:marLeft w:val="0"/>
          <w:marRight w:val="0"/>
          <w:marTop w:val="0"/>
          <w:marBottom w:val="0"/>
          <w:divBdr>
            <w:top w:val="none" w:sz="0" w:space="0" w:color="auto"/>
            <w:left w:val="none" w:sz="0" w:space="0" w:color="auto"/>
            <w:bottom w:val="none" w:sz="0" w:space="0" w:color="auto"/>
            <w:right w:val="none" w:sz="0" w:space="0" w:color="auto"/>
          </w:divBdr>
          <w:divsChild>
            <w:div w:id="1267351974">
              <w:marLeft w:val="0"/>
              <w:marRight w:val="0"/>
              <w:marTop w:val="0"/>
              <w:marBottom w:val="0"/>
              <w:divBdr>
                <w:top w:val="none" w:sz="0" w:space="0" w:color="auto"/>
                <w:left w:val="none" w:sz="0" w:space="0" w:color="auto"/>
                <w:bottom w:val="none" w:sz="0" w:space="0" w:color="auto"/>
                <w:right w:val="none" w:sz="0" w:space="0" w:color="auto"/>
              </w:divBdr>
            </w:div>
          </w:divsChild>
        </w:div>
        <w:div w:id="896401519">
          <w:marLeft w:val="0"/>
          <w:marRight w:val="0"/>
          <w:marTop w:val="240"/>
          <w:marBottom w:val="0"/>
          <w:divBdr>
            <w:top w:val="none" w:sz="0" w:space="0" w:color="auto"/>
            <w:left w:val="none" w:sz="0" w:space="0" w:color="auto"/>
            <w:bottom w:val="none" w:sz="0" w:space="0" w:color="auto"/>
            <w:right w:val="none" w:sz="0" w:space="0" w:color="auto"/>
          </w:divBdr>
          <w:divsChild>
            <w:div w:id="380136006">
              <w:marLeft w:val="0"/>
              <w:marRight w:val="0"/>
              <w:marTop w:val="0"/>
              <w:marBottom w:val="0"/>
              <w:divBdr>
                <w:top w:val="none" w:sz="0" w:space="0" w:color="auto"/>
                <w:left w:val="none" w:sz="0" w:space="0" w:color="auto"/>
                <w:bottom w:val="none" w:sz="0" w:space="0" w:color="auto"/>
                <w:right w:val="none" w:sz="0" w:space="0" w:color="auto"/>
              </w:divBdr>
            </w:div>
          </w:divsChild>
        </w:div>
        <w:div w:id="1763379160">
          <w:marLeft w:val="0"/>
          <w:marRight w:val="0"/>
          <w:marTop w:val="240"/>
          <w:marBottom w:val="0"/>
          <w:divBdr>
            <w:top w:val="none" w:sz="0" w:space="0" w:color="auto"/>
            <w:left w:val="none" w:sz="0" w:space="0" w:color="auto"/>
            <w:bottom w:val="none" w:sz="0" w:space="0" w:color="auto"/>
            <w:right w:val="none" w:sz="0" w:space="0" w:color="auto"/>
          </w:divBdr>
          <w:divsChild>
            <w:div w:id="886530858">
              <w:marLeft w:val="0"/>
              <w:marRight w:val="0"/>
              <w:marTop w:val="0"/>
              <w:marBottom w:val="0"/>
              <w:divBdr>
                <w:top w:val="none" w:sz="0" w:space="0" w:color="auto"/>
                <w:left w:val="none" w:sz="0" w:space="0" w:color="auto"/>
                <w:bottom w:val="none" w:sz="0" w:space="0" w:color="auto"/>
                <w:right w:val="none" w:sz="0" w:space="0" w:color="auto"/>
              </w:divBdr>
            </w:div>
          </w:divsChild>
        </w:div>
        <w:div w:id="147476895">
          <w:marLeft w:val="0"/>
          <w:marRight w:val="0"/>
          <w:marTop w:val="240"/>
          <w:marBottom w:val="0"/>
          <w:divBdr>
            <w:top w:val="none" w:sz="0" w:space="0" w:color="auto"/>
            <w:left w:val="none" w:sz="0" w:space="0" w:color="auto"/>
            <w:bottom w:val="none" w:sz="0" w:space="0" w:color="auto"/>
            <w:right w:val="none" w:sz="0" w:space="0" w:color="auto"/>
          </w:divBdr>
          <w:divsChild>
            <w:div w:id="2123914453">
              <w:marLeft w:val="0"/>
              <w:marRight w:val="0"/>
              <w:marTop w:val="0"/>
              <w:marBottom w:val="0"/>
              <w:divBdr>
                <w:top w:val="none" w:sz="0" w:space="0" w:color="auto"/>
                <w:left w:val="none" w:sz="0" w:space="0" w:color="auto"/>
                <w:bottom w:val="none" w:sz="0" w:space="0" w:color="auto"/>
                <w:right w:val="none" w:sz="0" w:space="0" w:color="auto"/>
              </w:divBdr>
            </w:div>
          </w:divsChild>
        </w:div>
        <w:div w:id="1798990592">
          <w:marLeft w:val="0"/>
          <w:marRight w:val="0"/>
          <w:marTop w:val="240"/>
          <w:marBottom w:val="0"/>
          <w:divBdr>
            <w:top w:val="none" w:sz="0" w:space="0" w:color="auto"/>
            <w:left w:val="none" w:sz="0" w:space="0" w:color="auto"/>
            <w:bottom w:val="none" w:sz="0" w:space="0" w:color="auto"/>
            <w:right w:val="none" w:sz="0" w:space="0" w:color="auto"/>
          </w:divBdr>
          <w:divsChild>
            <w:div w:id="1606185341">
              <w:marLeft w:val="0"/>
              <w:marRight w:val="0"/>
              <w:marTop w:val="0"/>
              <w:marBottom w:val="0"/>
              <w:divBdr>
                <w:top w:val="none" w:sz="0" w:space="0" w:color="auto"/>
                <w:left w:val="none" w:sz="0" w:space="0" w:color="auto"/>
                <w:bottom w:val="none" w:sz="0" w:space="0" w:color="auto"/>
                <w:right w:val="none" w:sz="0" w:space="0" w:color="auto"/>
              </w:divBdr>
            </w:div>
          </w:divsChild>
        </w:div>
        <w:div w:id="1803958998">
          <w:marLeft w:val="0"/>
          <w:marRight w:val="0"/>
          <w:marTop w:val="240"/>
          <w:marBottom w:val="0"/>
          <w:divBdr>
            <w:top w:val="none" w:sz="0" w:space="0" w:color="auto"/>
            <w:left w:val="none" w:sz="0" w:space="0" w:color="auto"/>
            <w:bottom w:val="none" w:sz="0" w:space="0" w:color="auto"/>
            <w:right w:val="none" w:sz="0" w:space="0" w:color="auto"/>
          </w:divBdr>
          <w:divsChild>
            <w:div w:id="196545286">
              <w:marLeft w:val="0"/>
              <w:marRight w:val="0"/>
              <w:marTop w:val="240"/>
              <w:marBottom w:val="0"/>
              <w:divBdr>
                <w:top w:val="none" w:sz="0" w:space="0" w:color="auto"/>
                <w:left w:val="none" w:sz="0" w:space="0" w:color="auto"/>
                <w:bottom w:val="none" w:sz="0" w:space="0" w:color="auto"/>
                <w:right w:val="none" w:sz="0" w:space="0" w:color="auto"/>
              </w:divBdr>
            </w:div>
          </w:divsChild>
        </w:div>
        <w:div w:id="1907186784">
          <w:marLeft w:val="0"/>
          <w:marRight w:val="0"/>
          <w:marTop w:val="0"/>
          <w:marBottom w:val="0"/>
          <w:divBdr>
            <w:top w:val="none" w:sz="0" w:space="0" w:color="auto"/>
            <w:left w:val="none" w:sz="0" w:space="0" w:color="auto"/>
            <w:bottom w:val="none" w:sz="0" w:space="0" w:color="auto"/>
            <w:right w:val="none" w:sz="0" w:space="0" w:color="auto"/>
          </w:divBdr>
          <w:divsChild>
            <w:div w:id="1217355632">
              <w:marLeft w:val="0"/>
              <w:marRight w:val="0"/>
              <w:marTop w:val="0"/>
              <w:marBottom w:val="0"/>
              <w:divBdr>
                <w:top w:val="none" w:sz="0" w:space="0" w:color="auto"/>
                <w:left w:val="none" w:sz="0" w:space="0" w:color="auto"/>
                <w:bottom w:val="none" w:sz="0" w:space="0" w:color="auto"/>
                <w:right w:val="none" w:sz="0" w:space="0" w:color="auto"/>
              </w:divBdr>
            </w:div>
          </w:divsChild>
        </w:div>
        <w:div w:id="121001344">
          <w:marLeft w:val="0"/>
          <w:marRight w:val="0"/>
          <w:marTop w:val="240"/>
          <w:marBottom w:val="0"/>
          <w:divBdr>
            <w:top w:val="none" w:sz="0" w:space="0" w:color="auto"/>
            <w:left w:val="none" w:sz="0" w:space="0" w:color="auto"/>
            <w:bottom w:val="none" w:sz="0" w:space="0" w:color="auto"/>
            <w:right w:val="none" w:sz="0" w:space="0" w:color="auto"/>
          </w:divBdr>
          <w:divsChild>
            <w:div w:id="1848013872">
              <w:marLeft w:val="0"/>
              <w:marRight w:val="0"/>
              <w:marTop w:val="0"/>
              <w:marBottom w:val="0"/>
              <w:divBdr>
                <w:top w:val="none" w:sz="0" w:space="0" w:color="auto"/>
                <w:left w:val="none" w:sz="0" w:space="0" w:color="auto"/>
                <w:bottom w:val="none" w:sz="0" w:space="0" w:color="auto"/>
                <w:right w:val="none" w:sz="0" w:space="0" w:color="auto"/>
              </w:divBdr>
            </w:div>
          </w:divsChild>
        </w:div>
        <w:div w:id="390152173">
          <w:marLeft w:val="0"/>
          <w:marRight w:val="0"/>
          <w:marTop w:val="240"/>
          <w:marBottom w:val="0"/>
          <w:divBdr>
            <w:top w:val="none" w:sz="0" w:space="0" w:color="auto"/>
            <w:left w:val="none" w:sz="0" w:space="0" w:color="auto"/>
            <w:bottom w:val="none" w:sz="0" w:space="0" w:color="auto"/>
            <w:right w:val="none" w:sz="0" w:space="0" w:color="auto"/>
          </w:divBdr>
          <w:divsChild>
            <w:div w:id="666397153">
              <w:marLeft w:val="0"/>
              <w:marRight w:val="0"/>
              <w:marTop w:val="0"/>
              <w:marBottom w:val="0"/>
              <w:divBdr>
                <w:top w:val="none" w:sz="0" w:space="0" w:color="auto"/>
                <w:left w:val="none" w:sz="0" w:space="0" w:color="auto"/>
                <w:bottom w:val="none" w:sz="0" w:space="0" w:color="auto"/>
                <w:right w:val="none" w:sz="0" w:space="0" w:color="auto"/>
              </w:divBdr>
            </w:div>
          </w:divsChild>
        </w:div>
        <w:div w:id="889729887">
          <w:marLeft w:val="0"/>
          <w:marRight w:val="0"/>
          <w:marTop w:val="240"/>
          <w:marBottom w:val="0"/>
          <w:divBdr>
            <w:top w:val="none" w:sz="0" w:space="0" w:color="auto"/>
            <w:left w:val="none" w:sz="0" w:space="0" w:color="auto"/>
            <w:bottom w:val="none" w:sz="0" w:space="0" w:color="auto"/>
            <w:right w:val="none" w:sz="0" w:space="0" w:color="auto"/>
          </w:divBdr>
          <w:divsChild>
            <w:div w:id="18900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2050">
      <w:bodyDiv w:val="1"/>
      <w:marLeft w:val="0"/>
      <w:marRight w:val="0"/>
      <w:marTop w:val="0"/>
      <w:marBottom w:val="0"/>
      <w:divBdr>
        <w:top w:val="none" w:sz="0" w:space="0" w:color="auto"/>
        <w:left w:val="none" w:sz="0" w:space="0" w:color="auto"/>
        <w:bottom w:val="none" w:sz="0" w:space="0" w:color="auto"/>
        <w:right w:val="none" w:sz="0" w:space="0" w:color="auto"/>
      </w:divBdr>
    </w:div>
    <w:div w:id="1802963407">
      <w:bodyDiv w:val="1"/>
      <w:marLeft w:val="0"/>
      <w:marRight w:val="0"/>
      <w:marTop w:val="0"/>
      <w:marBottom w:val="0"/>
      <w:divBdr>
        <w:top w:val="none" w:sz="0" w:space="0" w:color="auto"/>
        <w:left w:val="none" w:sz="0" w:space="0" w:color="auto"/>
        <w:bottom w:val="none" w:sz="0" w:space="0" w:color="auto"/>
        <w:right w:val="none" w:sz="0" w:space="0" w:color="auto"/>
      </w:divBdr>
      <w:divsChild>
        <w:div w:id="1698849321">
          <w:marLeft w:val="0"/>
          <w:marRight w:val="0"/>
          <w:marTop w:val="0"/>
          <w:marBottom w:val="0"/>
          <w:divBdr>
            <w:top w:val="none" w:sz="0" w:space="0" w:color="auto"/>
            <w:left w:val="none" w:sz="0" w:space="0" w:color="auto"/>
            <w:bottom w:val="none" w:sz="0" w:space="0" w:color="auto"/>
            <w:right w:val="none" w:sz="0" w:space="0" w:color="auto"/>
          </w:divBdr>
          <w:divsChild>
            <w:div w:id="1929536298">
              <w:marLeft w:val="0"/>
              <w:marRight w:val="0"/>
              <w:marTop w:val="0"/>
              <w:marBottom w:val="0"/>
              <w:divBdr>
                <w:top w:val="none" w:sz="0" w:space="0" w:color="auto"/>
                <w:left w:val="none" w:sz="0" w:space="0" w:color="auto"/>
                <w:bottom w:val="none" w:sz="0" w:space="0" w:color="auto"/>
                <w:right w:val="none" w:sz="0" w:space="0" w:color="auto"/>
              </w:divBdr>
              <w:divsChild>
                <w:div w:id="1952856658">
                  <w:marLeft w:val="0"/>
                  <w:marRight w:val="0"/>
                  <w:marTop w:val="0"/>
                  <w:marBottom w:val="0"/>
                  <w:divBdr>
                    <w:top w:val="none" w:sz="0" w:space="0" w:color="auto"/>
                    <w:left w:val="none" w:sz="0" w:space="0" w:color="auto"/>
                    <w:bottom w:val="none" w:sz="0" w:space="0" w:color="auto"/>
                    <w:right w:val="none" w:sz="0" w:space="0" w:color="auto"/>
                  </w:divBdr>
                  <w:divsChild>
                    <w:div w:id="217058518">
                      <w:marLeft w:val="0"/>
                      <w:marRight w:val="0"/>
                      <w:marTop w:val="0"/>
                      <w:marBottom w:val="375"/>
                      <w:divBdr>
                        <w:top w:val="none" w:sz="0" w:space="0" w:color="auto"/>
                        <w:left w:val="none" w:sz="0" w:space="0" w:color="auto"/>
                        <w:bottom w:val="none" w:sz="0" w:space="0" w:color="auto"/>
                        <w:right w:val="none" w:sz="0" w:space="0" w:color="auto"/>
                      </w:divBdr>
                      <w:divsChild>
                        <w:div w:id="1869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94717">
      <w:bodyDiv w:val="1"/>
      <w:marLeft w:val="0"/>
      <w:marRight w:val="0"/>
      <w:marTop w:val="0"/>
      <w:marBottom w:val="0"/>
      <w:divBdr>
        <w:top w:val="none" w:sz="0" w:space="0" w:color="auto"/>
        <w:left w:val="none" w:sz="0" w:space="0" w:color="auto"/>
        <w:bottom w:val="none" w:sz="0" w:space="0" w:color="auto"/>
        <w:right w:val="none" w:sz="0" w:space="0" w:color="auto"/>
      </w:divBdr>
      <w:divsChild>
        <w:div w:id="347289687">
          <w:marLeft w:val="0"/>
          <w:marRight w:val="0"/>
          <w:marTop w:val="0"/>
          <w:marBottom w:val="0"/>
          <w:divBdr>
            <w:top w:val="none" w:sz="0" w:space="0" w:color="auto"/>
            <w:left w:val="none" w:sz="0" w:space="0" w:color="auto"/>
            <w:bottom w:val="none" w:sz="0" w:space="0" w:color="auto"/>
            <w:right w:val="none" w:sz="0" w:space="0" w:color="auto"/>
          </w:divBdr>
          <w:divsChild>
            <w:div w:id="467673581">
              <w:marLeft w:val="0"/>
              <w:marRight w:val="0"/>
              <w:marTop w:val="0"/>
              <w:marBottom w:val="0"/>
              <w:divBdr>
                <w:top w:val="none" w:sz="0" w:space="0" w:color="auto"/>
                <w:left w:val="none" w:sz="0" w:space="0" w:color="auto"/>
                <w:bottom w:val="none" w:sz="0" w:space="0" w:color="auto"/>
                <w:right w:val="none" w:sz="0" w:space="0" w:color="auto"/>
              </w:divBdr>
              <w:divsChild>
                <w:div w:id="2060588264">
                  <w:marLeft w:val="0"/>
                  <w:marRight w:val="0"/>
                  <w:marTop w:val="0"/>
                  <w:marBottom w:val="0"/>
                  <w:divBdr>
                    <w:top w:val="none" w:sz="0" w:space="0" w:color="auto"/>
                    <w:left w:val="none" w:sz="0" w:space="0" w:color="auto"/>
                    <w:bottom w:val="none" w:sz="0" w:space="0" w:color="auto"/>
                    <w:right w:val="none" w:sz="0" w:space="0" w:color="auto"/>
                  </w:divBdr>
                  <w:divsChild>
                    <w:div w:id="1738818668">
                      <w:marLeft w:val="0"/>
                      <w:marRight w:val="0"/>
                      <w:marTop w:val="0"/>
                      <w:marBottom w:val="300"/>
                      <w:divBdr>
                        <w:top w:val="none" w:sz="0" w:space="0" w:color="auto"/>
                        <w:left w:val="none" w:sz="0" w:space="0" w:color="auto"/>
                        <w:bottom w:val="none" w:sz="0" w:space="0" w:color="auto"/>
                        <w:right w:val="none" w:sz="0" w:space="0" w:color="auto"/>
                      </w:divBdr>
                      <w:divsChild>
                        <w:div w:id="156402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158307">
      <w:bodyDiv w:val="1"/>
      <w:marLeft w:val="0"/>
      <w:marRight w:val="0"/>
      <w:marTop w:val="0"/>
      <w:marBottom w:val="0"/>
      <w:divBdr>
        <w:top w:val="none" w:sz="0" w:space="0" w:color="auto"/>
        <w:left w:val="none" w:sz="0" w:space="0" w:color="auto"/>
        <w:bottom w:val="none" w:sz="0" w:space="0" w:color="auto"/>
        <w:right w:val="none" w:sz="0" w:space="0" w:color="auto"/>
      </w:divBdr>
      <w:divsChild>
        <w:div w:id="616907256">
          <w:marLeft w:val="0"/>
          <w:marRight w:val="0"/>
          <w:marTop w:val="0"/>
          <w:marBottom w:val="0"/>
          <w:divBdr>
            <w:top w:val="none" w:sz="0" w:space="0" w:color="auto"/>
            <w:left w:val="single" w:sz="6" w:space="0" w:color="BBBBBB"/>
            <w:bottom w:val="single" w:sz="6" w:space="0" w:color="BBBBBB"/>
            <w:right w:val="single" w:sz="6" w:space="0" w:color="BBBBBB"/>
          </w:divBdr>
          <w:divsChild>
            <w:div w:id="1043361117">
              <w:marLeft w:val="0"/>
              <w:marRight w:val="0"/>
              <w:marTop w:val="0"/>
              <w:marBottom w:val="0"/>
              <w:divBdr>
                <w:top w:val="none" w:sz="0" w:space="0" w:color="auto"/>
                <w:left w:val="none" w:sz="0" w:space="0" w:color="auto"/>
                <w:bottom w:val="none" w:sz="0" w:space="0" w:color="auto"/>
                <w:right w:val="none" w:sz="0" w:space="0" w:color="auto"/>
              </w:divBdr>
              <w:divsChild>
                <w:div w:id="1285893175">
                  <w:marLeft w:val="0"/>
                  <w:marRight w:val="0"/>
                  <w:marTop w:val="75"/>
                  <w:marBottom w:val="0"/>
                  <w:divBdr>
                    <w:top w:val="none" w:sz="0" w:space="0" w:color="auto"/>
                    <w:left w:val="none" w:sz="0" w:space="0" w:color="auto"/>
                    <w:bottom w:val="none" w:sz="0" w:space="0" w:color="auto"/>
                    <w:right w:val="none" w:sz="0" w:space="0" w:color="auto"/>
                  </w:divBdr>
                  <w:divsChild>
                    <w:div w:id="1812676714">
                      <w:marLeft w:val="0"/>
                      <w:marRight w:val="0"/>
                      <w:marTop w:val="0"/>
                      <w:marBottom w:val="0"/>
                      <w:divBdr>
                        <w:top w:val="none" w:sz="0" w:space="0" w:color="auto"/>
                        <w:left w:val="none" w:sz="0" w:space="0" w:color="auto"/>
                        <w:bottom w:val="none" w:sz="0" w:space="0" w:color="auto"/>
                        <w:right w:val="none" w:sz="0" w:space="0" w:color="auto"/>
                      </w:divBdr>
                      <w:divsChild>
                        <w:div w:id="1607079517">
                          <w:marLeft w:val="0"/>
                          <w:marRight w:val="0"/>
                          <w:marTop w:val="0"/>
                          <w:marBottom w:val="0"/>
                          <w:divBdr>
                            <w:top w:val="none" w:sz="0" w:space="0" w:color="auto"/>
                            <w:left w:val="none" w:sz="0" w:space="0" w:color="auto"/>
                            <w:bottom w:val="none" w:sz="0" w:space="0" w:color="auto"/>
                            <w:right w:val="none" w:sz="0" w:space="0" w:color="auto"/>
                          </w:divBdr>
                          <w:divsChild>
                            <w:div w:id="194392757">
                              <w:marLeft w:val="0"/>
                              <w:marRight w:val="0"/>
                              <w:marTop w:val="0"/>
                              <w:marBottom w:val="0"/>
                              <w:divBdr>
                                <w:top w:val="none" w:sz="0" w:space="0" w:color="auto"/>
                                <w:left w:val="none" w:sz="0" w:space="0" w:color="auto"/>
                                <w:bottom w:val="none" w:sz="0" w:space="0" w:color="auto"/>
                                <w:right w:val="none" w:sz="0" w:space="0" w:color="auto"/>
                              </w:divBdr>
                              <w:divsChild>
                                <w:div w:id="1432357896">
                                  <w:marLeft w:val="0"/>
                                  <w:marRight w:val="0"/>
                                  <w:marTop w:val="0"/>
                                  <w:marBottom w:val="0"/>
                                  <w:divBdr>
                                    <w:top w:val="none" w:sz="0" w:space="0" w:color="auto"/>
                                    <w:left w:val="none" w:sz="0" w:space="0" w:color="auto"/>
                                    <w:bottom w:val="none" w:sz="0" w:space="0" w:color="auto"/>
                                    <w:right w:val="none" w:sz="0" w:space="0" w:color="auto"/>
                                  </w:divBdr>
                                  <w:divsChild>
                                    <w:div w:id="151603748">
                                      <w:marLeft w:val="0"/>
                                      <w:marRight w:val="0"/>
                                      <w:marTop w:val="0"/>
                                      <w:marBottom w:val="0"/>
                                      <w:divBdr>
                                        <w:top w:val="none" w:sz="0" w:space="0" w:color="auto"/>
                                        <w:left w:val="none" w:sz="0" w:space="0" w:color="auto"/>
                                        <w:bottom w:val="none" w:sz="0" w:space="0" w:color="auto"/>
                                        <w:right w:val="none" w:sz="0" w:space="0" w:color="auto"/>
                                      </w:divBdr>
                                      <w:divsChild>
                                        <w:div w:id="878668124">
                                          <w:marLeft w:val="1200"/>
                                          <w:marRight w:val="1200"/>
                                          <w:marTop w:val="0"/>
                                          <w:marBottom w:val="0"/>
                                          <w:divBdr>
                                            <w:top w:val="none" w:sz="0" w:space="0" w:color="auto"/>
                                            <w:left w:val="none" w:sz="0" w:space="0" w:color="auto"/>
                                            <w:bottom w:val="none" w:sz="0" w:space="0" w:color="auto"/>
                                            <w:right w:val="none" w:sz="0" w:space="0" w:color="auto"/>
                                          </w:divBdr>
                                          <w:divsChild>
                                            <w:div w:id="1361974211">
                                              <w:marLeft w:val="0"/>
                                              <w:marRight w:val="0"/>
                                              <w:marTop w:val="0"/>
                                              <w:marBottom w:val="0"/>
                                              <w:divBdr>
                                                <w:top w:val="none" w:sz="0" w:space="0" w:color="auto"/>
                                                <w:left w:val="none" w:sz="0" w:space="0" w:color="auto"/>
                                                <w:bottom w:val="none" w:sz="0" w:space="0" w:color="auto"/>
                                                <w:right w:val="none" w:sz="0" w:space="0" w:color="auto"/>
                                              </w:divBdr>
                                              <w:divsChild>
                                                <w:div w:id="702823487">
                                                  <w:marLeft w:val="0"/>
                                                  <w:marRight w:val="0"/>
                                                  <w:marTop w:val="240"/>
                                                  <w:marBottom w:val="0"/>
                                                  <w:divBdr>
                                                    <w:top w:val="none" w:sz="0" w:space="0" w:color="auto"/>
                                                    <w:left w:val="none" w:sz="0" w:space="0" w:color="auto"/>
                                                    <w:bottom w:val="none" w:sz="0" w:space="0" w:color="auto"/>
                                                    <w:right w:val="none" w:sz="0" w:space="0" w:color="auto"/>
                                                  </w:divBdr>
                                                  <w:divsChild>
                                                    <w:div w:id="2028092545">
                                                      <w:marLeft w:val="0"/>
                                                      <w:marRight w:val="0"/>
                                                      <w:marTop w:val="0"/>
                                                      <w:marBottom w:val="0"/>
                                                      <w:divBdr>
                                                        <w:top w:val="none" w:sz="0" w:space="0" w:color="auto"/>
                                                        <w:left w:val="none" w:sz="0" w:space="0" w:color="auto"/>
                                                        <w:bottom w:val="none" w:sz="0" w:space="0" w:color="auto"/>
                                                        <w:right w:val="none" w:sz="0" w:space="0" w:color="auto"/>
                                                      </w:divBdr>
                                                      <w:divsChild>
                                                        <w:div w:id="1934779829">
                                                          <w:marLeft w:val="1275"/>
                                                          <w:marRight w:val="0"/>
                                                          <w:marTop w:val="0"/>
                                                          <w:marBottom w:val="0"/>
                                                          <w:divBdr>
                                                            <w:top w:val="none" w:sz="0" w:space="0" w:color="auto"/>
                                                            <w:left w:val="none" w:sz="0" w:space="0" w:color="auto"/>
                                                            <w:bottom w:val="none" w:sz="0" w:space="0" w:color="auto"/>
                                                            <w:right w:val="none" w:sz="0" w:space="0" w:color="auto"/>
                                                          </w:divBdr>
                                                          <w:divsChild>
                                                            <w:div w:id="1182401716">
                                                              <w:marLeft w:val="0"/>
                                                              <w:marRight w:val="0"/>
                                                              <w:marTop w:val="0"/>
                                                              <w:marBottom w:val="0"/>
                                                              <w:divBdr>
                                                                <w:top w:val="none" w:sz="0" w:space="0" w:color="auto"/>
                                                                <w:left w:val="none" w:sz="0" w:space="0" w:color="auto"/>
                                                                <w:bottom w:val="none" w:sz="0" w:space="0" w:color="auto"/>
                                                                <w:right w:val="none" w:sz="0" w:space="0" w:color="auto"/>
                                                              </w:divBdr>
                                                              <w:divsChild>
                                                                <w:div w:id="1373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0852803">
      <w:bodyDiv w:val="1"/>
      <w:marLeft w:val="0"/>
      <w:marRight w:val="0"/>
      <w:marTop w:val="0"/>
      <w:marBottom w:val="0"/>
      <w:divBdr>
        <w:top w:val="none" w:sz="0" w:space="0" w:color="auto"/>
        <w:left w:val="none" w:sz="0" w:space="0" w:color="auto"/>
        <w:bottom w:val="none" w:sz="0" w:space="0" w:color="auto"/>
        <w:right w:val="none" w:sz="0" w:space="0" w:color="auto"/>
      </w:divBdr>
      <w:divsChild>
        <w:div w:id="1257441590">
          <w:marLeft w:val="0"/>
          <w:marRight w:val="0"/>
          <w:marTop w:val="0"/>
          <w:marBottom w:val="0"/>
          <w:divBdr>
            <w:top w:val="none" w:sz="0" w:space="0" w:color="auto"/>
            <w:left w:val="none" w:sz="0" w:space="0" w:color="auto"/>
            <w:bottom w:val="none" w:sz="0" w:space="0" w:color="auto"/>
            <w:right w:val="none" w:sz="0" w:space="0" w:color="auto"/>
          </w:divBdr>
          <w:divsChild>
            <w:div w:id="1114665510">
              <w:marLeft w:val="0"/>
              <w:marRight w:val="0"/>
              <w:marTop w:val="0"/>
              <w:marBottom w:val="0"/>
              <w:divBdr>
                <w:top w:val="none" w:sz="0" w:space="0" w:color="auto"/>
                <w:left w:val="none" w:sz="0" w:space="0" w:color="auto"/>
                <w:bottom w:val="none" w:sz="0" w:space="0" w:color="auto"/>
                <w:right w:val="none" w:sz="0" w:space="0" w:color="auto"/>
              </w:divBdr>
              <w:divsChild>
                <w:div w:id="238298350">
                  <w:marLeft w:val="0"/>
                  <w:marRight w:val="0"/>
                  <w:marTop w:val="0"/>
                  <w:marBottom w:val="0"/>
                  <w:divBdr>
                    <w:top w:val="none" w:sz="0" w:space="0" w:color="auto"/>
                    <w:left w:val="none" w:sz="0" w:space="0" w:color="auto"/>
                    <w:bottom w:val="none" w:sz="0" w:space="0" w:color="auto"/>
                    <w:right w:val="none" w:sz="0" w:space="0" w:color="auto"/>
                  </w:divBdr>
                  <w:divsChild>
                    <w:div w:id="690840940">
                      <w:marLeft w:val="0"/>
                      <w:marRight w:val="0"/>
                      <w:marTop w:val="0"/>
                      <w:marBottom w:val="300"/>
                      <w:divBdr>
                        <w:top w:val="none" w:sz="0" w:space="0" w:color="auto"/>
                        <w:left w:val="none" w:sz="0" w:space="0" w:color="auto"/>
                        <w:bottom w:val="none" w:sz="0" w:space="0" w:color="auto"/>
                        <w:right w:val="none" w:sz="0" w:space="0" w:color="auto"/>
                      </w:divBdr>
                      <w:divsChild>
                        <w:div w:id="1647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798349">
      <w:bodyDiv w:val="1"/>
      <w:marLeft w:val="0"/>
      <w:marRight w:val="0"/>
      <w:marTop w:val="0"/>
      <w:marBottom w:val="0"/>
      <w:divBdr>
        <w:top w:val="none" w:sz="0" w:space="0" w:color="auto"/>
        <w:left w:val="none" w:sz="0" w:space="0" w:color="auto"/>
        <w:bottom w:val="none" w:sz="0" w:space="0" w:color="auto"/>
        <w:right w:val="none" w:sz="0" w:space="0" w:color="auto"/>
      </w:divBdr>
    </w:div>
    <w:div w:id="1823810805">
      <w:bodyDiv w:val="1"/>
      <w:marLeft w:val="0"/>
      <w:marRight w:val="0"/>
      <w:marTop w:val="0"/>
      <w:marBottom w:val="0"/>
      <w:divBdr>
        <w:top w:val="none" w:sz="0" w:space="0" w:color="auto"/>
        <w:left w:val="none" w:sz="0" w:space="0" w:color="auto"/>
        <w:bottom w:val="none" w:sz="0" w:space="0" w:color="auto"/>
        <w:right w:val="none" w:sz="0" w:space="0" w:color="auto"/>
      </w:divBdr>
      <w:divsChild>
        <w:div w:id="335494922">
          <w:marLeft w:val="0"/>
          <w:marRight w:val="0"/>
          <w:marTop w:val="0"/>
          <w:marBottom w:val="0"/>
          <w:divBdr>
            <w:top w:val="none" w:sz="0" w:space="0" w:color="auto"/>
            <w:left w:val="single" w:sz="6" w:space="0" w:color="BBBBBB"/>
            <w:bottom w:val="single" w:sz="6" w:space="0" w:color="BBBBBB"/>
            <w:right w:val="single" w:sz="6" w:space="0" w:color="BBBBBB"/>
          </w:divBdr>
          <w:divsChild>
            <w:div w:id="1372848322">
              <w:marLeft w:val="0"/>
              <w:marRight w:val="0"/>
              <w:marTop w:val="0"/>
              <w:marBottom w:val="0"/>
              <w:divBdr>
                <w:top w:val="none" w:sz="0" w:space="0" w:color="auto"/>
                <w:left w:val="none" w:sz="0" w:space="0" w:color="auto"/>
                <w:bottom w:val="none" w:sz="0" w:space="0" w:color="auto"/>
                <w:right w:val="none" w:sz="0" w:space="0" w:color="auto"/>
              </w:divBdr>
              <w:divsChild>
                <w:div w:id="260457505">
                  <w:marLeft w:val="0"/>
                  <w:marRight w:val="0"/>
                  <w:marTop w:val="0"/>
                  <w:marBottom w:val="0"/>
                  <w:divBdr>
                    <w:top w:val="none" w:sz="0" w:space="0" w:color="auto"/>
                    <w:left w:val="none" w:sz="0" w:space="0" w:color="auto"/>
                    <w:bottom w:val="none" w:sz="0" w:space="0" w:color="auto"/>
                    <w:right w:val="none" w:sz="0" w:space="0" w:color="auto"/>
                  </w:divBdr>
                  <w:divsChild>
                    <w:div w:id="1568146766">
                      <w:marLeft w:val="0"/>
                      <w:marRight w:val="0"/>
                      <w:marTop w:val="0"/>
                      <w:marBottom w:val="0"/>
                      <w:divBdr>
                        <w:top w:val="none" w:sz="0" w:space="0" w:color="auto"/>
                        <w:left w:val="none" w:sz="0" w:space="0" w:color="auto"/>
                        <w:bottom w:val="none" w:sz="0" w:space="0" w:color="auto"/>
                        <w:right w:val="none" w:sz="0" w:space="0" w:color="auto"/>
                      </w:divBdr>
                      <w:divsChild>
                        <w:div w:id="573663502">
                          <w:marLeft w:val="0"/>
                          <w:marRight w:val="0"/>
                          <w:marTop w:val="0"/>
                          <w:marBottom w:val="0"/>
                          <w:divBdr>
                            <w:top w:val="none" w:sz="0" w:space="0" w:color="auto"/>
                            <w:left w:val="none" w:sz="0" w:space="0" w:color="auto"/>
                            <w:bottom w:val="none" w:sz="0" w:space="0" w:color="auto"/>
                            <w:right w:val="none" w:sz="0" w:space="0" w:color="auto"/>
                          </w:divBdr>
                          <w:divsChild>
                            <w:div w:id="7030760">
                              <w:marLeft w:val="0"/>
                              <w:marRight w:val="0"/>
                              <w:marTop w:val="0"/>
                              <w:marBottom w:val="0"/>
                              <w:divBdr>
                                <w:top w:val="none" w:sz="0" w:space="0" w:color="auto"/>
                                <w:left w:val="none" w:sz="0" w:space="0" w:color="auto"/>
                                <w:bottom w:val="none" w:sz="0" w:space="0" w:color="auto"/>
                                <w:right w:val="none" w:sz="0" w:space="0" w:color="auto"/>
                              </w:divBdr>
                              <w:divsChild>
                                <w:div w:id="1353991049">
                                  <w:marLeft w:val="0"/>
                                  <w:marRight w:val="0"/>
                                  <w:marTop w:val="0"/>
                                  <w:marBottom w:val="0"/>
                                  <w:divBdr>
                                    <w:top w:val="none" w:sz="0" w:space="0" w:color="auto"/>
                                    <w:left w:val="none" w:sz="0" w:space="0" w:color="auto"/>
                                    <w:bottom w:val="none" w:sz="0" w:space="0" w:color="auto"/>
                                    <w:right w:val="none" w:sz="0" w:space="0" w:color="auto"/>
                                  </w:divBdr>
                                  <w:divsChild>
                                    <w:div w:id="1251737802">
                                      <w:marLeft w:val="0"/>
                                      <w:marRight w:val="0"/>
                                      <w:marTop w:val="0"/>
                                      <w:marBottom w:val="0"/>
                                      <w:divBdr>
                                        <w:top w:val="none" w:sz="0" w:space="0" w:color="auto"/>
                                        <w:left w:val="none" w:sz="0" w:space="0" w:color="auto"/>
                                        <w:bottom w:val="none" w:sz="0" w:space="0" w:color="auto"/>
                                        <w:right w:val="none" w:sz="0" w:space="0" w:color="auto"/>
                                      </w:divBdr>
                                      <w:divsChild>
                                        <w:div w:id="219562577">
                                          <w:marLeft w:val="1200"/>
                                          <w:marRight w:val="1200"/>
                                          <w:marTop w:val="0"/>
                                          <w:marBottom w:val="0"/>
                                          <w:divBdr>
                                            <w:top w:val="none" w:sz="0" w:space="0" w:color="auto"/>
                                            <w:left w:val="none" w:sz="0" w:space="0" w:color="auto"/>
                                            <w:bottom w:val="none" w:sz="0" w:space="0" w:color="auto"/>
                                            <w:right w:val="none" w:sz="0" w:space="0" w:color="auto"/>
                                          </w:divBdr>
                                          <w:divsChild>
                                            <w:div w:id="1510175399">
                                              <w:marLeft w:val="0"/>
                                              <w:marRight w:val="0"/>
                                              <w:marTop w:val="0"/>
                                              <w:marBottom w:val="0"/>
                                              <w:divBdr>
                                                <w:top w:val="none" w:sz="0" w:space="0" w:color="auto"/>
                                                <w:left w:val="none" w:sz="0" w:space="0" w:color="auto"/>
                                                <w:bottom w:val="none" w:sz="0" w:space="0" w:color="auto"/>
                                                <w:right w:val="none" w:sz="0" w:space="0" w:color="auto"/>
                                              </w:divBdr>
                                              <w:divsChild>
                                                <w:div w:id="16129489">
                                                  <w:marLeft w:val="0"/>
                                                  <w:marRight w:val="0"/>
                                                  <w:marTop w:val="0"/>
                                                  <w:marBottom w:val="0"/>
                                                  <w:divBdr>
                                                    <w:top w:val="none" w:sz="0" w:space="0" w:color="auto"/>
                                                    <w:left w:val="none" w:sz="0" w:space="0" w:color="auto"/>
                                                    <w:bottom w:val="none" w:sz="0" w:space="0" w:color="auto"/>
                                                    <w:right w:val="none" w:sz="0" w:space="0" w:color="auto"/>
                                                  </w:divBdr>
                                                  <w:divsChild>
                                                    <w:div w:id="856119305">
                                                      <w:marLeft w:val="0"/>
                                                      <w:marRight w:val="0"/>
                                                      <w:marTop w:val="0"/>
                                                      <w:marBottom w:val="0"/>
                                                      <w:divBdr>
                                                        <w:top w:val="none" w:sz="0" w:space="0" w:color="auto"/>
                                                        <w:left w:val="none" w:sz="0" w:space="0" w:color="auto"/>
                                                        <w:bottom w:val="none" w:sz="0" w:space="0" w:color="auto"/>
                                                        <w:right w:val="none" w:sz="0" w:space="0" w:color="auto"/>
                                                      </w:divBdr>
                                                      <w:divsChild>
                                                        <w:div w:id="285039687">
                                                          <w:marLeft w:val="0"/>
                                                          <w:marRight w:val="0"/>
                                                          <w:marTop w:val="0"/>
                                                          <w:marBottom w:val="0"/>
                                                          <w:divBdr>
                                                            <w:top w:val="none" w:sz="0" w:space="0" w:color="auto"/>
                                                            <w:left w:val="none" w:sz="0" w:space="0" w:color="auto"/>
                                                            <w:bottom w:val="none" w:sz="0" w:space="0" w:color="auto"/>
                                                            <w:right w:val="none" w:sz="0" w:space="0" w:color="auto"/>
                                                          </w:divBdr>
                                                          <w:divsChild>
                                                            <w:div w:id="451362387">
                                                              <w:marLeft w:val="0"/>
                                                              <w:marRight w:val="0"/>
                                                              <w:marTop w:val="0"/>
                                                              <w:marBottom w:val="0"/>
                                                              <w:divBdr>
                                                                <w:top w:val="none" w:sz="0" w:space="0" w:color="auto"/>
                                                                <w:left w:val="none" w:sz="0" w:space="0" w:color="auto"/>
                                                                <w:bottom w:val="none" w:sz="0" w:space="0" w:color="auto"/>
                                                                <w:right w:val="none" w:sz="0" w:space="0" w:color="auto"/>
                                                              </w:divBdr>
                                                              <w:divsChild>
                                                                <w:div w:id="1051466704">
                                                                  <w:marLeft w:val="0"/>
                                                                  <w:marRight w:val="0"/>
                                                                  <w:marTop w:val="0"/>
                                                                  <w:marBottom w:val="0"/>
                                                                  <w:divBdr>
                                                                    <w:top w:val="none" w:sz="0" w:space="0" w:color="auto"/>
                                                                    <w:left w:val="none" w:sz="0" w:space="0" w:color="auto"/>
                                                                    <w:bottom w:val="none" w:sz="0" w:space="0" w:color="auto"/>
                                                                    <w:right w:val="none" w:sz="0" w:space="0" w:color="auto"/>
                                                                  </w:divBdr>
                                                                  <w:divsChild>
                                                                    <w:div w:id="21981203">
                                                                      <w:marLeft w:val="0"/>
                                                                      <w:marRight w:val="0"/>
                                                                      <w:marTop w:val="0"/>
                                                                      <w:marBottom w:val="0"/>
                                                                      <w:divBdr>
                                                                        <w:top w:val="none" w:sz="0" w:space="0" w:color="auto"/>
                                                                        <w:left w:val="none" w:sz="0" w:space="0" w:color="auto"/>
                                                                        <w:bottom w:val="none" w:sz="0" w:space="0" w:color="auto"/>
                                                                        <w:right w:val="none" w:sz="0" w:space="0" w:color="auto"/>
                                                                      </w:divBdr>
                                                                      <w:divsChild>
                                                                        <w:div w:id="1121846279">
                                                                          <w:marLeft w:val="0"/>
                                                                          <w:marRight w:val="0"/>
                                                                          <w:marTop w:val="0"/>
                                                                          <w:marBottom w:val="0"/>
                                                                          <w:divBdr>
                                                                            <w:top w:val="none" w:sz="0" w:space="0" w:color="auto"/>
                                                                            <w:left w:val="none" w:sz="0" w:space="0" w:color="auto"/>
                                                                            <w:bottom w:val="none" w:sz="0" w:space="0" w:color="auto"/>
                                                                            <w:right w:val="none" w:sz="0" w:space="0" w:color="auto"/>
                                                                          </w:divBdr>
                                                                        </w:div>
                                                                      </w:divsChild>
                                                                    </w:div>
                                                                    <w:div w:id="31618665">
                                                                      <w:marLeft w:val="0"/>
                                                                      <w:marRight w:val="0"/>
                                                                      <w:marTop w:val="0"/>
                                                                      <w:marBottom w:val="0"/>
                                                                      <w:divBdr>
                                                                        <w:top w:val="none" w:sz="0" w:space="0" w:color="auto"/>
                                                                        <w:left w:val="none" w:sz="0" w:space="0" w:color="auto"/>
                                                                        <w:bottom w:val="none" w:sz="0" w:space="0" w:color="auto"/>
                                                                        <w:right w:val="none" w:sz="0" w:space="0" w:color="auto"/>
                                                                      </w:divBdr>
                                                                      <w:divsChild>
                                                                        <w:div w:id="15533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5662498">
      <w:bodyDiv w:val="1"/>
      <w:marLeft w:val="0"/>
      <w:marRight w:val="0"/>
      <w:marTop w:val="0"/>
      <w:marBottom w:val="0"/>
      <w:divBdr>
        <w:top w:val="none" w:sz="0" w:space="0" w:color="auto"/>
        <w:left w:val="none" w:sz="0" w:space="0" w:color="auto"/>
        <w:bottom w:val="none" w:sz="0" w:space="0" w:color="auto"/>
        <w:right w:val="none" w:sz="0" w:space="0" w:color="auto"/>
      </w:divBdr>
      <w:divsChild>
        <w:div w:id="76488470">
          <w:marLeft w:val="0"/>
          <w:marRight w:val="0"/>
          <w:marTop w:val="0"/>
          <w:marBottom w:val="0"/>
          <w:divBdr>
            <w:top w:val="none" w:sz="0" w:space="0" w:color="auto"/>
            <w:left w:val="none" w:sz="0" w:space="0" w:color="auto"/>
            <w:bottom w:val="none" w:sz="0" w:space="0" w:color="auto"/>
            <w:right w:val="none" w:sz="0" w:space="0" w:color="auto"/>
          </w:divBdr>
        </w:div>
        <w:div w:id="733284137">
          <w:marLeft w:val="0"/>
          <w:marRight w:val="0"/>
          <w:marTop w:val="240"/>
          <w:marBottom w:val="0"/>
          <w:divBdr>
            <w:top w:val="none" w:sz="0" w:space="0" w:color="auto"/>
            <w:left w:val="none" w:sz="0" w:space="0" w:color="auto"/>
            <w:bottom w:val="none" w:sz="0" w:space="0" w:color="auto"/>
            <w:right w:val="none" w:sz="0" w:space="0" w:color="auto"/>
          </w:divBdr>
          <w:divsChild>
            <w:div w:id="698165140">
              <w:marLeft w:val="0"/>
              <w:marRight w:val="0"/>
              <w:marTop w:val="0"/>
              <w:marBottom w:val="0"/>
              <w:divBdr>
                <w:top w:val="none" w:sz="0" w:space="0" w:color="auto"/>
                <w:left w:val="none" w:sz="0" w:space="0" w:color="auto"/>
                <w:bottom w:val="none" w:sz="0" w:space="0" w:color="auto"/>
                <w:right w:val="none" w:sz="0" w:space="0" w:color="auto"/>
              </w:divBdr>
            </w:div>
            <w:div w:id="1894928646">
              <w:marLeft w:val="0"/>
              <w:marRight w:val="0"/>
              <w:marTop w:val="240"/>
              <w:marBottom w:val="0"/>
              <w:divBdr>
                <w:top w:val="none" w:sz="0" w:space="0" w:color="auto"/>
                <w:left w:val="none" w:sz="0" w:space="0" w:color="auto"/>
                <w:bottom w:val="none" w:sz="0" w:space="0" w:color="auto"/>
                <w:right w:val="none" w:sz="0" w:space="0" w:color="auto"/>
              </w:divBdr>
              <w:divsChild>
                <w:div w:id="1869365999">
                  <w:marLeft w:val="0"/>
                  <w:marRight w:val="0"/>
                  <w:marTop w:val="0"/>
                  <w:marBottom w:val="0"/>
                  <w:divBdr>
                    <w:top w:val="none" w:sz="0" w:space="0" w:color="auto"/>
                    <w:left w:val="none" w:sz="0" w:space="0" w:color="auto"/>
                    <w:bottom w:val="none" w:sz="0" w:space="0" w:color="auto"/>
                    <w:right w:val="none" w:sz="0" w:space="0" w:color="auto"/>
                  </w:divBdr>
                </w:div>
              </w:divsChild>
            </w:div>
            <w:div w:id="1084573812">
              <w:marLeft w:val="0"/>
              <w:marRight w:val="0"/>
              <w:marTop w:val="240"/>
              <w:marBottom w:val="0"/>
              <w:divBdr>
                <w:top w:val="none" w:sz="0" w:space="0" w:color="auto"/>
                <w:left w:val="none" w:sz="0" w:space="0" w:color="auto"/>
                <w:bottom w:val="none" w:sz="0" w:space="0" w:color="auto"/>
                <w:right w:val="none" w:sz="0" w:space="0" w:color="auto"/>
              </w:divBdr>
              <w:divsChild>
                <w:div w:id="21196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36122">
          <w:marLeft w:val="0"/>
          <w:marRight w:val="0"/>
          <w:marTop w:val="240"/>
          <w:marBottom w:val="0"/>
          <w:divBdr>
            <w:top w:val="none" w:sz="0" w:space="0" w:color="auto"/>
            <w:left w:val="none" w:sz="0" w:space="0" w:color="auto"/>
            <w:bottom w:val="none" w:sz="0" w:space="0" w:color="auto"/>
            <w:right w:val="none" w:sz="0" w:space="0" w:color="auto"/>
          </w:divBdr>
          <w:divsChild>
            <w:div w:id="1168597128">
              <w:marLeft w:val="0"/>
              <w:marRight w:val="0"/>
              <w:marTop w:val="0"/>
              <w:marBottom w:val="0"/>
              <w:divBdr>
                <w:top w:val="none" w:sz="0" w:space="0" w:color="auto"/>
                <w:left w:val="none" w:sz="0" w:space="0" w:color="auto"/>
                <w:bottom w:val="none" w:sz="0" w:space="0" w:color="auto"/>
                <w:right w:val="none" w:sz="0" w:space="0" w:color="auto"/>
              </w:divBdr>
            </w:div>
          </w:divsChild>
        </w:div>
        <w:div w:id="1175874246">
          <w:marLeft w:val="0"/>
          <w:marRight w:val="0"/>
          <w:marTop w:val="240"/>
          <w:marBottom w:val="0"/>
          <w:divBdr>
            <w:top w:val="none" w:sz="0" w:space="0" w:color="auto"/>
            <w:left w:val="none" w:sz="0" w:space="0" w:color="auto"/>
            <w:bottom w:val="none" w:sz="0" w:space="0" w:color="auto"/>
            <w:right w:val="none" w:sz="0" w:space="0" w:color="auto"/>
          </w:divBdr>
          <w:divsChild>
            <w:div w:id="421339537">
              <w:marLeft w:val="0"/>
              <w:marRight w:val="0"/>
              <w:marTop w:val="0"/>
              <w:marBottom w:val="0"/>
              <w:divBdr>
                <w:top w:val="none" w:sz="0" w:space="0" w:color="auto"/>
                <w:left w:val="none" w:sz="0" w:space="0" w:color="auto"/>
                <w:bottom w:val="none" w:sz="0" w:space="0" w:color="auto"/>
                <w:right w:val="none" w:sz="0" w:space="0" w:color="auto"/>
              </w:divBdr>
            </w:div>
          </w:divsChild>
        </w:div>
        <w:div w:id="1534802367">
          <w:marLeft w:val="0"/>
          <w:marRight w:val="0"/>
          <w:marTop w:val="240"/>
          <w:marBottom w:val="0"/>
          <w:divBdr>
            <w:top w:val="none" w:sz="0" w:space="0" w:color="auto"/>
            <w:left w:val="none" w:sz="0" w:space="0" w:color="auto"/>
            <w:bottom w:val="none" w:sz="0" w:space="0" w:color="auto"/>
            <w:right w:val="none" w:sz="0" w:space="0" w:color="auto"/>
          </w:divBdr>
          <w:divsChild>
            <w:div w:id="13569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82650">
      <w:bodyDiv w:val="1"/>
      <w:marLeft w:val="0"/>
      <w:marRight w:val="0"/>
      <w:marTop w:val="0"/>
      <w:marBottom w:val="0"/>
      <w:divBdr>
        <w:top w:val="none" w:sz="0" w:space="0" w:color="auto"/>
        <w:left w:val="none" w:sz="0" w:space="0" w:color="auto"/>
        <w:bottom w:val="none" w:sz="0" w:space="0" w:color="auto"/>
        <w:right w:val="none" w:sz="0" w:space="0" w:color="auto"/>
      </w:divBdr>
      <w:divsChild>
        <w:div w:id="116064976">
          <w:marLeft w:val="0"/>
          <w:marRight w:val="0"/>
          <w:marTop w:val="0"/>
          <w:marBottom w:val="0"/>
          <w:divBdr>
            <w:top w:val="none" w:sz="0" w:space="0" w:color="auto"/>
            <w:left w:val="single" w:sz="6" w:space="0" w:color="BBBBBB"/>
            <w:bottom w:val="single" w:sz="6" w:space="0" w:color="BBBBBB"/>
            <w:right w:val="single" w:sz="6" w:space="0" w:color="BBBBBB"/>
          </w:divBdr>
          <w:divsChild>
            <w:div w:id="584731540">
              <w:marLeft w:val="0"/>
              <w:marRight w:val="0"/>
              <w:marTop w:val="0"/>
              <w:marBottom w:val="0"/>
              <w:divBdr>
                <w:top w:val="none" w:sz="0" w:space="0" w:color="auto"/>
                <w:left w:val="none" w:sz="0" w:space="0" w:color="auto"/>
                <w:bottom w:val="none" w:sz="0" w:space="0" w:color="auto"/>
                <w:right w:val="none" w:sz="0" w:space="0" w:color="auto"/>
              </w:divBdr>
              <w:divsChild>
                <w:div w:id="1519198501">
                  <w:marLeft w:val="0"/>
                  <w:marRight w:val="0"/>
                  <w:marTop w:val="75"/>
                  <w:marBottom w:val="0"/>
                  <w:divBdr>
                    <w:top w:val="none" w:sz="0" w:space="0" w:color="auto"/>
                    <w:left w:val="none" w:sz="0" w:space="0" w:color="auto"/>
                    <w:bottom w:val="none" w:sz="0" w:space="0" w:color="auto"/>
                    <w:right w:val="none" w:sz="0" w:space="0" w:color="auto"/>
                  </w:divBdr>
                  <w:divsChild>
                    <w:div w:id="991519436">
                      <w:marLeft w:val="0"/>
                      <w:marRight w:val="0"/>
                      <w:marTop w:val="0"/>
                      <w:marBottom w:val="0"/>
                      <w:divBdr>
                        <w:top w:val="none" w:sz="0" w:space="0" w:color="auto"/>
                        <w:left w:val="none" w:sz="0" w:space="0" w:color="auto"/>
                        <w:bottom w:val="none" w:sz="0" w:space="0" w:color="auto"/>
                        <w:right w:val="none" w:sz="0" w:space="0" w:color="auto"/>
                      </w:divBdr>
                      <w:divsChild>
                        <w:div w:id="1816411365">
                          <w:marLeft w:val="0"/>
                          <w:marRight w:val="0"/>
                          <w:marTop w:val="0"/>
                          <w:marBottom w:val="0"/>
                          <w:divBdr>
                            <w:top w:val="none" w:sz="0" w:space="0" w:color="auto"/>
                            <w:left w:val="none" w:sz="0" w:space="0" w:color="auto"/>
                            <w:bottom w:val="none" w:sz="0" w:space="0" w:color="auto"/>
                            <w:right w:val="none" w:sz="0" w:space="0" w:color="auto"/>
                          </w:divBdr>
                          <w:divsChild>
                            <w:div w:id="1249003514">
                              <w:marLeft w:val="0"/>
                              <w:marRight w:val="0"/>
                              <w:marTop w:val="0"/>
                              <w:marBottom w:val="0"/>
                              <w:divBdr>
                                <w:top w:val="none" w:sz="0" w:space="0" w:color="auto"/>
                                <w:left w:val="none" w:sz="0" w:space="0" w:color="auto"/>
                                <w:bottom w:val="none" w:sz="0" w:space="0" w:color="auto"/>
                                <w:right w:val="none" w:sz="0" w:space="0" w:color="auto"/>
                              </w:divBdr>
                              <w:divsChild>
                                <w:div w:id="1160776013">
                                  <w:marLeft w:val="0"/>
                                  <w:marRight w:val="0"/>
                                  <w:marTop w:val="0"/>
                                  <w:marBottom w:val="0"/>
                                  <w:divBdr>
                                    <w:top w:val="none" w:sz="0" w:space="0" w:color="auto"/>
                                    <w:left w:val="none" w:sz="0" w:space="0" w:color="auto"/>
                                    <w:bottom w:val="none" w:sz="0" w:space="0" w:color="auto"/>
                                    <w:right w:val="none" w:sz="0" w:space="0" w:color="auto"/>
                                  </w:divBdr>
                                  <w:divsChild>
                                    <w:div w:id="626745139">
                                      <w:marLeft w:val="0"/>
                                      <w:marRight w:val="0"/>
                                      <w:marTop w:val="0"/>
                                      <w:marBottom w:val="0"/>
                                      <w:divBdr>
                                        <w:top w:val="none" w:sz="0" w:space="0" w:color="auto"/>
                                        <w:left w:val="none" w:sz="0" w:space="0" w:color="auto"/>
                                        <w:bottom w:val="none" w:sz="0" w:space="0" w:color="auto"/>
                                        <w:right w:val="none" w:sz="0" w:space="0" w:color="auto"/>
                                      </w:divBdr>
                                      <w:divsChild>
                                        <w:div w:id="949162750">
                                          <w:marLeft w:val="1200"/>
                                          <w:marRight w:val="1200"/>
                                          <w:marTop w:val="0"/>
                                          <w:marBottom w:val="0"/>
                                          <w:divBdr>
                                            <w:top w:val="none" w:sz="0" w:space="0" w:color="auto"/>
                                            <w:left w:val="none" w:sz="0" w:space="0" w:color="auto"/>
                                            <w:bottom w:val="none" w:sz="0" w:space="0" w:color="auto"/>
                                            <w:right w:val="none" w:sz="0" w:space="0" w:color="auto"/>
                                          </w:divBdr>
                                          <w:divsChild>
                                            <w:div w:id="1115634323">
                                              <w:marLeft w:val="0"/>
                                              <w:marRight w:val="0"/>
                                              <w:marTop w:val="0"/>
                                              <w:marBottom w:val="0"/>
                                              <w:divBdr>
                                                <w:top w:val="none" w:sz="0" w:space="0" w:color="auto"/>
                                                <w:left w:val="none" w:sz="0" w:space="0" w:color="auto"/>
                                                <w:bottom w:val="none" w:sz="0" w:space="0" w:color="auto"/>
                                                <w:right w:val="none" w:sz="0" w:space="0" w:color="auto"/>
                                              </w:divBdr>
                                              <w:divsChild>
                                                <w:div w:id="1389645551">
                                                  <w:marLeft w:val="0"/>
                                                  <w:marRight w:val="0"/>
                                                  <w:marTop w:val="0"/>
                                                  <w:marBottom w:val="0"/>
                                                  <w:divBdr>
                                                    <w:top w:val="none" w:sz="0" w:space="0" w:color="auto"/>
                                                    <w:left w:val="none" w:sz="0" w:space="0" w:color="auto"/>
                                                    <w:bottom w:val="none" w:sz="0" w:space="0" w:color="auto"/>
                                                    <w:right w:val="none" w:sz="0" w:space="0" w:color="auto"/>
                                                  </w:divBdr>
                                                  <w:divsChild>
                                                    <w:div w:id="1894660732">
                                                      <w:marLeft w:val="0"/>
                                                      <w:marRight w:val="0"/>
                                                      <w:marTop w:val="0"/>
                                                      <w:marBottom w:val="0"/>
                                                      <w:divBdr>
                                                        <w:top w:val="none" w:sz="0" w:space="0" w:color="auto"/>
                                                        <w:left w:val="none" w:sz="0" w:space="0" w:color="auto"/>
                                                        <w:bottom w:val="none" w:sz="0" w:space="0" w:color="auto"/>
                                                        <w:right w:val="none" w:sz="0" w:space="0" w:color="auto"/>
                                                      </w:divBdr>
                                                      <w:divsChild>
                                                        <w:div w:id="1514802954">
                                                          <w:marLeft w:val="0"/>
                                                          <w:marRight w:val="0"/>
                                                          <w:marTop w:val="0"/>
                                                          <w:marBottom w:val="0"/>
                                                          <w:divBdr>
                                                            <w:top w:val="none" w:sz="0" w:space="0" w:color="auto"/>
                                                            <w:left w:val="none" w:sz="0" w:space="0" w:color="auto"/>
                                                            <w:bottom w:val="none" w:sz="0" w:space="0" w:color="auto"/>
                                                            <w:right w:val="none" w:sz="0" w:space="0" w:color="auto"/>
                                                          </w:divBdr>
                                                          <w:divsChild>
                                                            <w:div w:id="1023168119">
                                                              <w:marLeft w:val="0"/>
                                                              <w:marRight w:val="0"/>
                                                              <w:marTop w:val="0"/>
                                                              <w:marBottom w:val="0"/>
                                                              <w:divBdr>
                                                                <w:top w:val="none" w:sz="0" w:space="0" w:color="auto"/>
                                                                <w:left w:val="none" w:sz="0" w:space="0" w:color="auto"/>
                                                                <w:bottom w:val="none" w:sz="0" w:space="0" w:color="auto"/>
                                                                <w:right w:val="none" w:sz="0" w:space="0" w:color="auto"/>
                                                              </w:divBdr>
                                                              <w:divsChild>
                                                                <w:div w:id="26493044">
                                                                  <w:marLeft w:val="0"/>
                                                                  <w:marRight w:val="0"/>
                                                                  <w:marTop w:val="0"/>
                                                                  <w:marBottom w:val="0"/>
                                                                  <w:divBdr>
                                                                    <w:top w:val="none" w:sz="0" w:space="0" w:color="auto"/>
                                                                    <w:left w:val="none" w:sz="0" w:space="0" w:color="auto"/>
                                                                    <w:bottom w:val="none" w:sz="0" w:space="0" w:color="auto"/>
                                                                    <w:right w:val="none" w:sz="0" w:space="0" w:color="auto"/>
                                                                  </w:divBdr>
                                                                  <w:divsChild>
                                                                    <w:div w:id="1754089350">
                                                                      <w:marLeft w:val="0"/>
                                                                      <w:marRight w:val="0"/>
                                                                      <w:marTop w:val="0"/>
                                                                      <w:marBottom w:val="0"/>
                                                                      <w:divBdr>
                                                                        <w:top w:val="none" w:sz="0" w:space="0" w:color="auto"/>
                                                                        <w:left w:val="none" w:sz="0" w:space="0" w:color="auto"/>
                                                                        <w:bottom w:val="none" w:sz="0" w:space="0" w:color="auto"/>
                                                                        <w:right w:val="none" w:sz="0" w:space="0" w:color="auto"/>
                                                                      </w:divBdr>
                                                                      <w:divsChild>
                                                                        <w:div w:id="209003872">
                                                                          <w:marLeft w:val="0"/>
                                                                          <w:marRight w:val="0"/>
                                                                          <w:marTop w:val="0"/>
                                                                          <w:marBottom w:val="0"/>
                                                                          <w:divBdr>
                                                                            <w:top w:val="none" w:sz="0" w:space="0" w:color="auto"/>
                                                                            <w:left w:val="none" w:sz="0" w:space="0" w:color="auto"/>
                                                                            <w:bottom w:val="none" w:sz="0" w:space="0" w:color="auto"/>
                                                                            <w:right w:val="none" w:sz="0" w:space="0" w:color="auto"/>
                                                                          </w:divBdr>
                                                                          <w:divsChild>
                                                                            <w:div w:id="1243222444">
                                                                              <w:marLeft w:val="0"/>
                                                                              <w:marRight w:val="0"/>
                                                                              <w:marTop w:val="0"/>
                                                                              <w:marBottom w:val="0"/>
                                                                              <w:divBdr>
                                                                                <w:top w:val="none" w:sz="0" w:space="0" w:color="auto"/>
                                                                                <w:left w:val="none" w:sz="0" w:space="0" w:color="auto"/>
                                                                                <w:bottom w:val="none" w:sz="0" w:space="0" w:color="auto"/>
                                                                                <w:right w:val="none" w:sz="0" w:space="0" w:color="auto"/>
                                                                              </w:divBdr>
                                                                            </w:div>
                                                                          </w:divsChild>
                                                                        </w:div>
                                                                        <w:div w:id="211962078">
                                                                          <w:marLeft w:val="0"/>
                                                                          <w:marRight w:val="0"/>
                                                                          <w:marTop w:val="0"/>
                                                                          <w:marBottom w:val="0"/>
                                                                          <w:divBdr>
                                                                            <w:top w:val="none" w:sz="0" w:space="0" w:color="auto"/>
                                                                            <w:left w:val="none" w:sz="0" w:space="0" w:color="auto"/>
                                                                            <w:bottom w:val="none" w:sz="0" w:space="0" w:color="auto"/>
                                                                            <w:right w:val="none" w:sz="0" w:space="0" w:color="auto"/>
                                                                          </w:divBdr>
                                                                          <w:divsChild>
                                                                            <w:div w:id="2142845399">
                                                                              <w:marLeft w:val="0"/>
                                                                              <w:marRight w:val="0"/>
                                                                              <w:marTop w:val="0"/>
                                                                              <w:marBottom w:val="0"/>
                                                                              <w:divBdr>
                                                                                <w:top w:val="none" w:sz="0" w:space="0" w:color="auto"/>
                                                                                <w:left w:val="none" w:sz="0" w:space="0" w:color="auto"/>
                                                                                <w:bottom w:val="none" w:sz="0" w:space="0" w:color="auto"/>
                                                                                <w:right w:val="none" w:sz="0" w:space="0" w:color="auto"/>
                                                                              </w:divBdr>
                                                                            </w:div>
                                                                          </w:divsChild>
                                                                        </w:div>
                                                                        <w:div w:id="341588127">
                                                                          <w:marLeft w:val="0"/>
                                                                          <w:marRight w:val="0"/>
                                                                          <w:marTop w:val="0"/>
                                                                          <w:marBottom w:val="0"/>
                                                                          <w:divBdr>
                                                                            <w:top w:val="none" w:sz="0" w:space="0" w:color="auto"/>
                                                                            <w:left w:val="none" w:sz="0" w:space="0" w:color="auto"/>
                                                                            <w:bottom w:val="none" w:sz="0" w:space="0" w:color="auto"/>
                                                                            <w:right w:val="none" w:sz="0" w:space="0" w:color="auto"/>
                                                                          </w:divBdr>
                                                                          <w:divsChild>
                                                                            <w:div w:id="334965023">
                                                                              <w:marLeft w:val="0"/>
                                                                              <w:marRight w:val="0"/>
                                                                              <w:marTop w:val="0"/>
                                                                              <w:marBottom w:val="0"/>
                                                                              <w:divBdr>
                                                                                <w:top w:val="none" w:sz="0" w:space="0" w:color="auto"/>
                                                                                <w:left w:val="none" w:sz="0" w:space="0" w:color="auto"/>
                                                                                <w:bottom w:val="none" w:sz="0" w:space="0" w:color="auto"/>
                                                                                <w:right w:val="none" w:sz="0" w:space="0" w:color="auto"/>
                                                                              </w:divBdr>
                                                                            </w:div>
                                                                          </w:divsChild>
                                                                        </w:div>
                                                                        <w:div w:id="458686943">
                                                                          <w:marLeft w:val="0"/>
                                                                          <w:marRight w:val="0"/>
                                                                          <w:marTop w:val="0"/>
                                                                          <w:marBottom w:val="0"/>
                                                                          <w:divBdr>
                                                                            <w:top w:val="none" w:sz="0" w:space="0" w:color="auto"/>
                                                                            <w:left w:val="none" w:sz="0" w:space="0" w:color="auto"/>
                                                                            <w:bottom w:val="none" w:sz="0" w:space="0" w:color="auto"/>
                                                                            <w:right w:val="none" w:sz="0" w:space="0" w:color="auto"/>
                                                                          </w:divBdr>
                                                                          <w:divsChild>
                                                                            <w:div w:id="1468937564">
                                                                              <w:marLeft w:val="0"/>
                                                                              <w:marRight w:val="0"/>
                                                                              <w:marTop w:val="0"/>
                                                                              <w:marBottom w:val="0"/>
                                                                              <w:divBdr>
                                                                                <w:top w:val="none" w:sz="0" w:space="0" w:color="auto"/>
                                                                                <w:left w:val="none" w:sz="0" w:space="0" w:color="auto"/>
                                                                                <w:bottom w:val="none" w:sz="0" w:space="0" w:color="auto"/>
                                                                                <w:right w:val="none" w:sz="0" w:space="0" w:color="auto"/>
                                                                              </w:divBdr>
                                                                            </w:div>
                                                                          </w:divsChild>
                                                                        </w:div>
                                                                        <w:div w:id="1084762114">
                                                                          <w:marLeft w:val="0"/>
                                                                          <w:marRight w:val="0"/>
                                                                          <w:marTop w:val="0"/>
                                                                          <w:marBottom w:val="0"/>
                                                                          <w:divBdr>
                                                                            <w:top w:val="none" w:sz="0" w:space="0" w:color="auto"/>
                                                                            <w:left w:val="none" w:sz="0" w:space="0" w:color="auto"/>
                                                                            <w:bottom w:val="none" w:sz="0" w:space="0" w:color="auto"/>
                                                                            <w:right w:val="none" w:sz="0" w:space="0" w:color="auto"/>
                                                                          </w:divBdr>
                                                                          <w:divsChild>
                                                                            <w:div w:id="372970883">
                                                                              <w:marLeft w:val="0"/>
                                                                              <w:marRight w:val="0"/>
                                                                              <w:marTop w:val="0"/>
                                                                              <w:marBottom w:val="0"/>
                                                                              <w:divBdr>
                                                                                <w:top w:val="none" w:sz="0" w:space="0" w:color="auto"/>
                                                                                <w:left w:val="none" w:sz="0" w:space="0" w:color="auto"/>
                                                                                <w:bottom w:val="none" w:sz="0" w:space="0" w:color="auto"/>
                                                                                <w:right w:val="none" w:sz="0" w:space="0" w:color="auto"/>
                                                                              </w:divBdr>
                                                                            </w:div>
                                                                          </w:divsChild>
                                                                        </w:div>
                                                                        <w:div w:id="1126243522">
                                                                          <w:marLeft w:val="0"/>
                                                                          <w:marRight w:val="0"/>
                                                                          <w:marTop w:val="0"/>
                                                                          <w:marBottom w:val="0"/>
                                                                          <w:divBdr>
                                                                            <w:top w:val="none" w:sz="0" w:space="0" w:color="auto"/>
                                                                            <w:left w:val="none" w:sz="0" w:space="0" w:color="auto"/>
                                                                            <w:bottom w:val="none" w:sz="0" w:space="0" w:color="auto"/>
                                                                            <w:right w:val="none" w:sz="0" w:space="0" w:color="auto"/>
                                                                          </w:divBdr>
                                                                        </w:div>
                                                                        <w:div w:id="1131362084">
                                                                          <w:marLeft w:val="0"/>
                                                                          <w:marRight w:val="0"/>
                                                                          <w:marTop w:val="0"/>
                                                                          <w:marBottom w:val="0"/>
                                                                          <w:divBdr>
                                                                            <w:top w:val="none" w:sz="0" w:space="0" w:color="auto"/>
                                                                            <w:left w:val="none" w:sz="0" w:space="0" w:color="auto"/>
                                                                            <w:bottom w:val="none" w:sz="0" w:space="0" w:color="auto"/>
                                                                            <w:right w:val="none" w:sz="0" w:space="0" w:color="auto"/>
                                                                          </w:divBdr>
                                                                          <w:divsChild>
                                                                            <w:div w:id="1434937406">
                                                                              <w:marLeft w:val="0"/>
                                                                              <w:marRight w:val="0"/>
                                                                              <w:marTop w:val="0"/>
                                                                              <w:marBottom w:val="0"/>
                                                                              <w:divBdr>
                                                                                <w:top w:val="none" w:sz="0" w:space="0" w:color="auto"/>
                                                                                <w:left w:val="none" w:sz="0" w:space="0" w:color="auto"/>
                                                                                <w:bottom w:val="none" w:sz="0" w:space="0" w:color="auto"/>
                                                                                <w:right w:val="none" w:sz="0" w:space="0" w:color="auto"/>
                                                                              </w:divBdr>
                                                                            </w:div>
                                                                          </w:divsChild>
                                                                        </w:div>
                                                                        <w:div w:id="1159660327">
                                                                          <w:marLeft w:val="0"/>
                                                                          <w:marRight w:val="0"/>
                                                                          <w:marTop w:val="0"/>
                                                                          <w:marBottom w:val="0"/>
                                                                          <w:divBdr>
                                                                            <w:top w:val="none" w:sz="0" w:space="0" w:color="auto"/>
                                                                            <w:left w:val="none" w:sz="0" w:space="0" w:color="auto"/>
                                                                            <w:bottom w:val="none" w:sz="0" w:space="0" w:color="auto"/>
                                                                            <w:right w:val="none" w:sz="0" w:space="0" w:color="auto"/>
                                                                          </w:divBdr>
                                                                        </w:div>
                                                                        <w:div w:id="1560241498">
                                                                          <w:marLeft w:val="0"/>
                                                                          <w:marRight w:val="0"/>
                                                                          <w:marTop w:val="0"/>
                                                                          <w:marBottom w:val="0"/>
                                                                          <w:divBdr>
                                                                            <w:top w:val="none" w:sz="0" w:space="0" w:color="auto"/>
                                                                            <w:left w:val="none" w:sz="0" w:space="0" w:color="auto"/>
                                                                            <w:bottom w:val="none" w:sz="0" w:space="0" w:color="auto"/>
                                                                            <w:right w:val="none" w:sz="0" w:space="0" w:color="auto"/>
                                                                          </w:divBdr>
                                                                          <w:divsChild>
                                                                            <w:div w:id="1633095290">
                                                                              <w:marLeft w:val="0"/>
                                                                              <w:marRight w:val="0"/>
                                                                              <w:marTop w:val="0"/>
                                                                              <w:marBottom w:val="0"/>
                                                                              <w:divBdr>
                                                                                <w:top w:val="none" w:sz="0" w:space="0" w:color="auto"/>
                                                                                <w:left w:val="none" w:sz="0" w:space="0" w:color="auto"/>
                                                                                <w:bottom w:val="none" w:sz="0" w:space="0" w:color="auto"/>
                                                                                <w:right w:val="none" w:sz="0" w:space="0" w:color="auto"/>
                                                                              </w:divBdr>
                                                                            </w:div>
                                                                          </w:divsChild>
                                                                        </w:div>
                                                                        <w:div w:id="2002848022">
                                                                          <w:marLeft w:val="0"/>
                                                                          <w:marRight w:val="0"/>
                                                                          <w:marTop w:val="0"/>
                                                                          <w:marBottom w:val="0"/>
                                                                          <w:divBdr>
                                                                            <w:top w:val="none" w:sz="0" w:space="0" w:color="auto"/>
                                                                            <w:left w:val="none" w:sz="0" w:space="0" w:color="auto"/>
                                                                            <w:bottom w:val="none" w:sz="0" w:space="0" w:color="auto"/>
                                                                            <w:right w:val="none" w:sz="0" w:space="0" w:color="auto"/>
                                                                          </w:divBdr>
                                                                          <w:divsChild>
                                                                            <w:div w:id="19073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437278">
      <w:bodyDiv w:val="1"/>
      <w:marLeft w:val="0"/>
      <w:marRight w:val="0"/>
      <w:marTop w:val="0"/>
      <w:marBottom w:val="0"/>
      <w:divBdr>
        <w:top w:val="none" w:sz="0" w:space="0" w:color="auto"/>
        <w:left w:val="none" w:sz="0" w:space="0" w:color="auto"/>
        <w:bottom w:val="none" w:sz="0" w:space="0" w:color="auto"/>
        <w:right w:val="none" w:sz="0" w:space="0" w:color="auto"/>
      </w:divBdr>
      <w:divsChild>
        <w:div w:id="2104648847">
          <w:marLeft w:val="0"/>
          <w:marRight w:val="0"/>
          <w:marTop w:val="0"/>
          <w:marBottom w:val="0"/>
          <w:divBdr>
            <w:top w:val="none" w:sz="0" w:space="0" w:color="auto"/>
            <w:left w:val="none" w:sz="0" w:space="0" w:color="auto"/>
            <w:bottom w:val="none" w:sz="0" w:space="0" w:color="auto"/>
            <w:right w:val="none" w:sz="0" w:space="0" w:color="auto"/>
          </w:divBdr>
          <w:divsChild>
            <w:div w:id="1223950769">
              <w:marLeft w:val="0"/>
              <w:marRight w:val="0"/>
              <w:marTop w:val="0"/>
              <w:marBottom w:val="0"/>
              <w:divBdr>
                <w:top w:val="none" w:sz="0" w:space="0" w:color="auto"/>
                <w:left w:val="none" w:sz="0" w:space="0" w:color="auto"/>
                <w:bottom w:val="none" w:sz="0" w:space="0" w:color="auto"/>
                <w:right w:val="none" w:sz="0" w:space="0" w:color="auto"/>
              </w:divBdr>
              <w:divsChild>
                <w:div w:id="1220826530">
                  <w:marLeft w:val="0"/>
                  <w:marRight w:val="0"/>
                  <w:marTop w:val="0"/>
                  <w:marBottom w:val="0"/>
                  <w:divBdr>
                    <w:top w:val="none" w:sz="0" w:space="0" w:color="auto"/>
                    <w:left w:val="none" w:sz="0" w:space="0" w:color="auto"/>
                    <w:bottom w:val="none" w:sz="0" w:space="0" w:color="auto"/>
                    <w:right w:val="none" w:sz="0" w:space="0" w:color="auto"/>
                  </w:divBdr>
                  <w:divsChild>
                    <w:div w:id="1372729252">
                      <w:marLeft w:val="0"/>
                      <w:marRight w:val="0"/>
                      <w:marTop w:val="0"/>
                      <w:marBottom w:val="0"/>
                      <w:divBdr>
                        <w:top w:val="none" w:sz="0" w:space="0" w:color="auto"/>
                        <w:left w:val="none" w:sz="0" w:space="0" w:color="auto"/>
                        <w:bottom w:val="none" w:sz="0" w:space="0" w:color="auto"/>
                        <w:right w:val="none" w:sz="0" w:space="0" w:color="auto"/>
                      </w:divBdr>
                      <w:divsChild>
                        <w:div w:id="481701463">
                          <w:marLeft w:val="-225"/>
                          <w:marRight w:val="-225"/>
                          <w:marTop w:val="0"/>
                          <w:marBottom w:val="0"/>
                          <w:divBdr>
                            <w:top w:val="none" w:sz="0" w:space="0" w:color="auto"/>
                            <w:left w:val="none" w:sz="0" w:space="0" w:color="auto"/>
                            <w:bottom w:val="none" w:sz="0" w:space="0" w:color="auto"/>
                            <w:right w:val="none" w:sz="0" w:space="0" w:color="auto"/>
                          </w:divBdr>
                          <w:divsChild>
                            <w:div w:id="614872529">
                              <w:marLeft w:val="0"/>
                              <w:marRight w:val="0"/>
                              <w:marTop w:val="0"/>
                              <w:marBottom w:val="0"/>
                              <w:divBdr>
                                <w:top w:val="none" w:sz="0" w:space="0" w:color="auto"/>
                                <w:left w:val="none" w:sz="0" w:space="0" w:color="auto"/>
                                <w:bottom w:val="none" w:sz="0" w:space="0" w:color="auto"/>
                                <w:right w:val="none" w:sz="0" w:space="0" w:color="auto"/>
                              </w:divBdr>
                              <w:divsChild>
                                <w:div w:id="290479028">
                                  <w:marLeft w:val="0"/>
                                  <w:marRight w:val="0"/>
                                  <w:marTop w:val="0"/>
                                  <w:marBottom w:val="0"/>
                                  <w:divBdr>
                                    <w:top w:val="none" w:sz="0" w:space="0" w:color="auto"/>
                                    <w:left w:val="none" w:sz="0" w:space="0" w:color="auto"/>
                                    <w:bottom w:val="none" w:sz="0" w:space="0" w:color="auto"/>
                                    <w:right w:val="none" w:sz="0" w:space="0" w:color="auto"/>
                                  </w:divBdr>
                                  <w:divsChild>
                                    <w:div w:id="6961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008840">
      <w:bodyDiv w:val="1"/>
      <w:marLeft w:val="0"/>
      <w:marRight w:val="0"/>
      <w:marTop w:val="0"/>
      <w:marBottom w:val="0"/>
      <w:divBdr>
        <w:top w:val="none" w:sz="0" w:space="0" w:color="auto"/>
        <w:left w:val="none" w:sz="0" w:space="0" w:color="auto"/>
        <w:bottom w:val="none" w:sz="0" w:space="0" w:color="auto"/>
        <w:right w:val="none" w:sz="0" w:space="0" w:color="auto"/>
      </w:divBdr>
      <w:divsChild>
        <w:div w:id="1607809752">
          <w:marLeft w:val="0"/>
          <w:marRight w:val="0"/>
          <w:marTop w:val="240"/>
          <w:marBottom w:val="0"/>
          <w:divBdr>
            <w:top w:val="none" w:sz="0" w:space="0" w:color="auto"/>
            <w:left w:val="none" w:sz="0" w:space="0" w:color="auto"/>
            <w:bottom w:val="none" w:sz="0" w:space="0" w:color="auto"/>
            <w:right w:val="none" w:sz="0" w:space="0" w:color="auto"/>
          </w:divBdr>
          <w:divsChild>
            <w:div w:id="746729725">
              <w:marLeft w:val="0"/>
              <w:marRight w:val="0"/>
              <w:marTop w:val="0"/>
              <w:marBottom w:val="0"/>
              <w:divBdr>
                <w:top w:val="none" w:sz="0" w:space="0" w:color="auto"/>
                <w:left w:val="none" w:sz="0" w:space="0" w:color="auto"/>
                <w:bottom w:val="none" w:sz="0" w:space="0" w:color="auto"/>
                <w:right w:val="none" w:sz="0" w:space="0" w:color="auto"/>
              </w:divBdr>
              <w:divsChild>
                <w:div w:id="943269595">
                  <w:blockQuote w:val="1"/>
                  <w:marLeft w:val="0"/>
                  <w:marRight w:val="0"/>
                  <w:marTop w:val="0"/>
                  <w:marBottom w:val="0"/>
                  <w:divBdr>
                    <w:top w:val="none" w:sz="0" w:space="0" w:color="auto"/>
                    <w:left w:val="none" w:sz="0" w:space="0" w:color="auto"/>
                    <w:bottom w:val="none" w:sz="0" w:space="0" w:color="auto"/>
                    <w:right w:val="none" w:sz="0" w:space="0" w:color="auto"/>
                  </w:divBdr>
                  <w:divsChild>
                    <w:div w:id="18563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00790">
          <w:marLeft w:val="0"/>
          <w:marRight w:val="0"/>
          <w:marTop w:val="240"/>
          <w:marBottom w:val="0"/>
          <w:divBdr>
            <w:top w:val="none" w:sz="0" w:space="0" w:color="auto"/>
            <w:left w:val="none" w:sz="0" w:space="0" w:color="auto"/>
            <w:bottom w:val="none" w:sz="0" w:space="0" w:color="auto"/>
            <w:right w:val="none" w:sz="0" w:space="0" w:color="auto"/>
          </w:divBdr>
        </w:div>
      </w:divsChild>
    </w:div>
    <w:div w:id="1832795381">
      <w:bodyDiv w:val="1"/>
      <w:marLeft w:val="0"/>
      <w:marRight w:val="0"/>
      <w:marTop w:val="0"/>
      <w:marBottom w:val="0"/>
      <w:divBdr>
        <w:top w:val="none" w:sz="0" w:space="0" w:color="auto"/>
        <w:left w:val="none" w:sz="0" w:space="0" w:color="auto"/>
        <w:bottom w:val="none" w:sz="0" w:space="0" w:color="auto"/>
        <w:right w:val="none" w:sz="0" w:space="0" w:color="auto"/>
      </w:divBdr>
      <w:divsChild>
        <w:div w:id="1267736674">
          <w:marLeft w:val="0"/>
          <w:marRight w:val="0"/>
          <w:marTop w:val="0"/>
          <w:marBottom w:val="0"/>
          <w:divBdr>
            <w:top w:val="none" w:sz="0" w:space="0" w:color="auto"/>
            <w:left w:val="single" w:sz="6" w:space="0" w:color="BBBBBB"/>
            <w:bottom w:val="single" w:sz="6" w:space="0" w:color="BBBBBB"/>
            <w:right w:val="single" w:sz="6" w:space="0" w:color="BBBBBB"/>
          </w:divBdr>
          <w:divsChild>
            <w:div w:id="642928184">
              <w:marLeft w:val="0"/>
              <w:marRight w:val="0"/>
              <w:marTop w:val="0"/>
              <w:marBottom w:val="0"/>
              <w:divBdr>
                <w:top w:val="none" w:sz="0" w:space="0" w:color="auto"/>
                <w:left w:val="none" w:sz="0" w:space="0" w:color="auto"/>
                <w:bottom w:val="none" w:sz="0" w:space="0" w:color="auto"/>
                <w:right w:val="none" w:sz="0" w:space="0" w:color="auto"/>
              </w:divBdr>
              <w:divsChild>
                <w:div w:id="307705484">
                  <w:marLeft w:val="0"/>
                  <w:marRight w:val="0"/>
                  <w:marTop w:val="75"/>
                  <w:marBottom w:val="0"/>
                  <w:divBdr>
                    <w:top w:val="none" w:sz="0" w:space="0" w:color="auto"/>
                    <w:left w:val="none" w:sz="0" w:space="0" w:color="auto"/>
                    <w:bottom w:val="none" w:sz="0" w:space="0" w:color="auto"/>
                    <w:right w:val="none" w:sz="0" w:space="0" w:color="auto"/>
                  </w:divBdr>
                  <w:divsChild>
                    <w:div w:id="1780641810">
                      <w:marLeft w:val="0"/>
                      <w:marRight w:val="0"/>
                      <w:marTop w:val="0"/>
                      <w:marBottom w:val="0"/>
                      <w:divBdr>
                        <w:top w:val="none" w:sz="0" w:space="0" w:color="auto"/>
                        <w:left w:val="none" w:sz="0" w:space="0" w:color="auto"/>
                        <w:bottom w:val="none" w:sz="0" w:space="0" w:color="auto"/>
                        <w:right w:val="none" w:sz="0" w:space="0" w:color="auto"/>
                      </w:divBdr>
                      <w:divsChild>
                        <w:div w:id="1657957720">
                          <w:marLeft w:val="0"/>
                          <w:marRight w:val="0"/>
                          <w:marTop w:val="0"/>
                          <w:marBottom w:val="0"/>
                          <w:divBdr>
                            <w:top w:val="none" w:sz="0" w:space="0" w:color="auto"/>
                            <w:left w:val="none" w:sz="0" w:space="0" w:color="auto"/>
                            <w:bottom w:val="none" w:sz="0" w:space="0" w:color="auto"/>
                            <w:right w:val="none" w:sz="0" w:space="0" w:color="auto"/>
                          </w:divBdr>
                          <w:divsChild>
                            <w:div w:id="193732015">
                              <w:marLeft w:val="0"/>
                              <w:marRight w:val="0"/>
                              <w:marTop w:val="0"/>
                              <w:marBottom w:val="0"/>
                              <w:divBdr>
                                <w:top w:val="none" w:sz="0" w:space="0" w:color="auto"/>
                                <w:left w:val="none" w:sz="0" w:space="0" w:color="auto"/>
                                <w:bottom w:val="none" w:sz="0" w:space="0" w:color="auto"/>
                                <w:right w:val="none" w:sz="0" w:space="0" w:color="auto"/>
                              </w:divBdr>
                              <w:divsChild>
                                <w:div w:id="2147241359">
                                  <w:marLeft w:val="0"/>
                                  <w:marRight w:val="0"/>
                                  <w:marTop w:val="0"/>
                                  <w:marBottom w:val="0"/>
                                  <w:divBdr>
                                    <w:top w:val="none" w:sz="0" w:space="0" w:color="auto"/>
                                    <w:left w:val="none" w:sz="0" w:space="0" w:color="auto"/>
                                    <w:bottom w:val="none" w:sz="0" w:space="0" w:color="auto"/>
                                    <w:right w:val="none" w:sz="0" w:space="0" w:color="auto"/>
                                  </w:divBdr>
                                  <w:divsChild>
                                    <w:div w:id="1021514823">
                                      <w:marLeft w:val="0"/>
                                      <w:marRight w:val="0"/>
                                      <w:marTop w:val="0"/>
                                      <w:marBottom w:val="0"/>
                                      <w:divBdr>
                                        <w:top w:val="none" w:sz="0" w:space="0" w:color="auto"/>
                                        <w:left w:val="none" w:sz="0" w:space="0" w:color="auto"/>
                                        <w:bottom w:val="none" w:sz="0" w:space="0" w:color="auto"/>
                                        <w:right w:val="none" w:sz="0" w:space="0" w:color="auto"/>
                                      </w:divBdr>
                                      <w:divsChild>
                                        <w:div w:id="1428888936">
                                          <w:marLeft w:val="1200"/>
                                          <w:marRight w:val="1200"/>
                                          <w:marTop w:val="0"/>
                                          <w:marBottom w:val="0"/>
                                          <w:divBdr>
                                            <w:top w:val="none" w:sz="0" w:space="0" w:color="auto"/>
                                            <w:left w:val="none" w:sz="0" w:space="0" w:color="auto"/>
                                            <w:bottom w:val="none" w:sz="0" w:space="0" w:color="auto"/>
                                            <w:right w:val="none" w:sz="0" w:space="0" w:color="auto"/>
                                          </w:divBdr>
                                          <w:divsChild>
                                            <w:div w:id="45179863">
                                              <w:marLeft w:val="0"/>
                                              <w:marRight w:val="0"/>
                                              <w:marTop w:val="0"/>
                                              <w:marBottom w:val="0"/>
                                              <w:divBdr>
                                                <w:top w:val="none" w:sz="0" w:space="0" w:color="auto"/>
                                                <w:left w:val="none" w:sz="0" w:space="0" w:color="auto"/>
                                                <w:bottom w:val="none" w:sz="0" w:space="0" w:color="auto"/>
                                                <w:right w:val="none" w:sz="0" w:space="0" w:color="auto"/>
                                              </w:divBdr>
                                              <w:divsChild>
                                                <w:div w:id="711655941">
                                                  <w:marLeft w:val="0"/>
                                                  <w:marRight w:val="0"/>
                                                  <w:marTop w:val="0"/>
                                                  <w:marBottom w:val="0"/>
                                                  <w:divBdr>
                                                    <w:top w:val="none" w:sz="0" w:space="0" w:color="auto"/>
                                                    <w:left w:val="none" w:sz="0" w:space="0" w:color="auto"/>
                                                    <w:bottom w:val="none" w:sz="0" w:space="0" w:color="auto"/>
                                                    <w:right w:val="none" w:sz="0" w:space="0" w:color="auto"/>
                                                  </w:divBdr>
                                                  <w:divsChild>
                                                    <w:div w:id="175850692">
                                                      <w:marLeft w:val="0"/>
                                                      <w:marRight w:val="0"/>
                                                      <w:marTop w:val="0"/>
                                                      <w:marBottom w:val="0"/>
                                                      <w:divBdr>
                                                        <w:top w:val="none" w:sz="0" w:space="0" w:color="auto"/>
                                                        <w:left w:val="none" w:sz="0" w:space="0" w:color="auto"/>
                                                        <w:bottom w:val="none" w:sz="0" w:space="0" w:color="auto"/>
                                                        <w:right w:val="none" w:sz="0" w:space="0" w:color="auto"/>
                                                      </w:divBdr>
                                                      <w:divsChild>
                                                        <w:div w:id="1303581484">
                                                          <w:marLeft w:val="0"/>
                                                          <w:marRight w:val="0"/>
                                                          <w:marTop w:val="0"/>
                                                          <w:marBottom w:val="0"/>
                                                          <w:divBdr>
                                                            <w:top w:val="none" w:sz="0" w:space="0" w:color="auto"/>
                                                            <w:left w:val="none" w:sz="0" w:space="0" w:color="auto"/>
                                                            <w:bottom w:val="none" w:sz="0" w:space="0" w:color="auto"/>
                                                            <w:right w:val="none" w:sz="0" w:space="0" w:color="auto"/>
                                                          </w:divBdr>
                                                        </w:div>
                                                      </w:divsChild>
                                                    </w:div>
                                                    <w:div w:id="176770401">
                                                      <w:marLeft w:val="0"/>
                                                      <w:marRight w:val="0"/>
                                                      <w:marTop w:val="0"/>
                                                      <w:marBottom w:val="0"/>
                                                      <w:divBdr>
                                                        <w:top w:val="none" w:sz="0" w:space="0" w:color="auto"/>
                                                        <w:left w:val="none" w:sz="0" w:space="0" w:color="auto"/>
                                                        <w:bottom w:val="none" w:sz="0" w:space="0" w:color="auto"/>
                                                        <w:right w:val="none" w:sz="0" w:space="0" w:color="auto"/>
                                                      </w:divBdr>
                                                      <w:divsChild>
                                                        <w:div w:id="1863007210">
                                                          <w:marLeft w:val="0"/>
                                                          <w:marRight w:val="0"/>
                                                          <w:marTop w:val="0"/>
                                                          <w:marBottom w:val="0"/>
                                                          <w:divBdr>
                                                            <w:top w:val="none" w:sz="0" w:space="0" w:color="auto"/>
                                                            <w:left w:val="none" w:sz="0" w:space="0" w:color="auto"/>
                                                            <w:bottom w:val="none" w:sz="0" w:space="0" w:color="auto"/>
                                                            <w:right w:val="none" w:sz="0" w:space="0" w:color="auto"/>
                                                          </w:divBdr>
                                                        </w:div>
                                                      </w:divsChild>
                                                    </w:div>
                                                    <w:div w:id="304629796">
                                                      <w:marLeft w:val="0"/>
                                                      <w:marRight w:val="0"/>
                                                      <w:marTop w:val="0"/>
                                                      <w:marBottom w:val="0"/>
                                                      <w:divBdr>
                                                        <w:top w:val="none" w:sz="0" w:space="0" w:color="auto"/>
                                                        <w:left w:val="none" w:sz="0" w:space="0" w:color="auto"/>
                                                        <w:bottom w:val="none" w:sz="0" w:space="0" w:color="auto"/>
                                                        <w:right w:val="none" w:sz="0" w:space="0" w:color="auto"/>
                                                      </w:divBdr>
                                                      <w:divsChild>
                                                        <w:div w:id="1591039082">
                                                          <w:marLeft w:val="0"/>
                                                          <w:marRight w:val="0"/>
                                                          <w:marTop w:val="0"/>
                                                          <w:marBottom w:val="0"/>
                                                          <w:divBdr>
                                                            <w:top w:val="none" w:sz="0" w:space="0" w:color="auto"/>
                                                            <w:left w:val="none" w:sz="0" w:space="0" w:color="auto"/>
                                                            <w:bottom w:val="none" w:sz="0" w:space="0" w:color="auto"/>
                                                            <w:right w:val="none" w:sz="0" w:space="0" w:color="auto"/>
                                                          </w:divBdr>
                                                        </w:div>
                                                      </w:divsChild>
                                                    </w:div>
                                                    <w:div w:id="403844445">
                                                      <w:marLeft w:val="0"/>
                                                      <w:marRight w:val="0"/>
                                                      <w:marTop w:val="0"/>
                                                      <w:marBottom w:val="0"/>
                                                      <w:divBdr>
                                                        <w:top w:val="none" w:sz="0" w:space="0" w:color="auto"/>
                                                        <w:left w:val="none" w:sz="0" w:space="0" w:color="auto"/>
                                                        <w:bottom w:val="none" w:sz="0" w:space="0" w:color="auto"/>
                                                        <w:right w:val="none" w:sz="0" w:space="0" w:color="auto"/>
                                                      </w:divBdr>
                                                      <w:divsChild>
                                                        <w:div w:id="489175855">
                                                          <w:marLeft w:val="0"/>
                                                          <w:marRight w:val="0"/>
                                                          <w:marTop w:val="0"/>
                                                          <w:marBottom w:val="0"/>
                                                          <w:divBdr>
                                                            <w:top w:val="none" w:sz="0" w:space="0" w:color="auto"/>
                                                            <w:left w:val="none" w:sz="0" w:space="0" w:color="auto"/>
                                                            <w:bottom w:val="none" w:sz="0" w:space="0" w:color="auto"/>
                                                            <w:right w:val="none" w:sz="0" w:space="0" w:color="auto"/>
                                                          </w:divBdr>
                                                        </w:div>
                                                      </w:divsChild>
                                                    </w:div>
                                                    <w:div w:id="1128353917">
                                                      <w:marLeft w:val="0"/>
                                                      <w:marRight w:val="0"/>
                                                      <w:marTop w:val="0"/>
                                                      <w:marBottom w:val="0"/>
                                                      <w:divBdr>
                                                        <w:top w:val="none" w:sz="0" w:space="0" w:color="auto"/>
                                                        <w:left w:val="none" w:sz="0" w:space="0" w:color="auto"/>
                                                        <w:bottom w:val="none" w:sz="0" w:space="0" w:color="auto"/>
                                                        <w:right w:val="none" w:sz="0" w:space="0" w:color="auto"/>
                                                      </w:divBdr>
                                                      <w:divsChild>
                                                        <w:div w:id="290597285">
                                                          <w:marLeft w:val="0"/>
                                                          <w:marRight w:val="0"/>
                                                          <w:marTop w:val="0"/>
                                                          <w:marBottom w:val="0"/>
                                                          <w:divBdr>
                                                            <w:top w:val="none" w:sz="0" w:space="0" w:color="auto"/>
                                                            <w:left w:val="none" w:sz="0" w:space="0" w:color="auto"/>
                                                            <w:bottom w:val="none" w:sz="0" w:space="0" w:color="auto"/>
                                                            <w:right w:val="none" w:sz="0" w:space="0" w:color="auto"/>
                                                          </w:divBdr>
                                                        </w:div>
                                                      </w:divsChild>
                                                    </w:div>
                                                    <w:div w:id="1181892185">
                                                      <w:marLeft w:val="0"/>
                                                      <w:marRight w:val="0"/>
                                                      <w:marTop w:val="0"/>
                                                      <w:marBottom w:val="0"/>
                                                      <w:divBdr>
                                                        <w:top w:val="none" w:sz="0" w:space="0" w:color="auto"/>
                                                        <w:left w:val="none" w:sz="0" w:space="0" w:color="auto"/>
                                                        <w:bottom w:val="none" w:sz="0" w:space="0" w:color="auto"/>
                                                        <w:right w:val="none" w:sz="0" w:space="0" w:color="auto"/>
                                                      </w:divBdr>
                                                      <w:divsChild>
                                                        <w:div w:id="4871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683116">
      <w:bodyDiv w:val="1"/>
      <w:marLeft w:val="0"/>
      <w:marRight w:val="0"/>
      <w:marTop w:val="0"/>
      <w:marBottom w:val="0"/>
      <w:divBdr>
        <w:top w:val="none" w:sz="0" w:space="0" w:color="auto"/>
        <w:left w:val="none" w:sz="0" w:space="0" w:color="auto"/>
        <w:bottom w:val="none" w:sz="0" w:space="0" w:color="auto"/>
        <w:right w:val="none" w:sz="0" w:space="0" w:color="auto"/>
      </w:divBdr>
      <w:divsChild>
        <w:div w:id="1523319814">
          <w:marLeft w:val="0"/>
          <w:marRight w:val="0"/>
          <w:marTop w:val="240"/>
          <w:marBottom w:val="0"/>
          <w:divBdr>
            <w:top w:val="none" w:sz="0" w:space="0" w:color="auto"/>
            <w:left w:val="none" w:sz="0" w:space="0" w:color="auto"/>
            <w:bottom w:val="none" w:sz="0" w:space="0" w:color="auto"/>
            <w:right w:val="none" w:sz="0" w:space="0" w:color="auto"/>
          </w:divBdr>
          <w:divsChild>
            <w:div w:id="982270689">
              <w:marLeft w:val="0"/>
              <w:marRight w:val="0"/>
              <w:marTop w:val="0"/>
              <w:marBottom w:val="0"/>
              <w:divBdr>
                <w:top w:val="none" w:sz="0" w:space="0" w:color="auto"/>
                <w:left w:val="none" w:sz="0" w:space="0" w:color="auto"/>
                <w:bottom w:val="none" w:sz="0" w:space="0" w:color="auto"/>
                <w:right w:val="none" w:sz="0" w:space="0" w:color="auto"/>
              </w:divBdr>
            </w:div>
          </w:divsChild>
        </w:div>
        <w:div w:id="1365180974">
          <w:marLeft w:val="0"/>
          <w:marRight w:val="0"/>
          <w:marTop w:val="240"/>
          <w:marBottom w:val="0"/>
          <w:divBdr>
            <w:top w:val="none" w:sz="0" w:space="0" w:color="auto"/>
            <w:left w:val="none" w:sz="0" w:space="0" w:color="auto"/>
            <w:bottom w:val="none" w:sz="0" w:space="0" w:color="auto"/>
            <w:right w:val="none" w:sz="0" w:space="0" w:color="auto"/>
          </w:divBdr>
          <w:divsChild>
            <w:div w:id="1587153716">
              <w:marLeft w:val="0"/>
              <w:marRight w:val="0"/>
              <w:marTop w:val="0"/>
              <w:marBottom w:val="0"/>
              <w:divBdr>
                <w:top w:val="none" w:sz="0" w:space="0" w:color="auto"/>
                <w:left w:val="none" w:sz="0" w:space="0" w:color="auto"/>
                <w:bottom w:val="none" w:sz="0" w:space="0" w:color="auto"/>
                <w:right w:val="none" w:sz="0" w:space="0" w:color="auto"/>
              </w:divBdr>
            </w:div>
          </w:divsChild>
        </w:div>
        <w:div w:id="858587574">
          <w:marLeft w:val="0"/>
          <w:marRight w:val="0"/>
          <w:marTop w:val="240"/>
          <w:marBottom w:val="0"/>
          <w:divBdr>
            <w:top w:val="none" w:sz="0" w:space="0" w:color="auto"/>
            <w:left w:val="none" w:sz="0" w:space="0" w:color="auto"/>
            <w:bottom w:val="none" w:sz="0" w:space="0" w:color="auto"/>
            <w:right w:val="none" w:sz="0" w:space="0" w:color="auto"/>
          </w:divBdr>
          <w:divsChild>
            <w:div w:id="616529096">
              <w:marLeft w:val="0"/>
              <w:marRight w:val="0"/>
              <w:marTop w:val="0"/>
              <w:marBottom w:val="0"/>
              <w:divBdr>
                <w:top w:val="none" w:sz="0" w:space="0" w:color="auto"/>
                <w:left w:val="none" w:sz="0" w:space="0" w:color="auto"/>
                <w:bottom w:val="none" w:sz="0" w:space="0" w:color="auto"/>
                <w:right w:val="none" w:sz="0" w:space="0" w:color="auto"/>
              </w:divBdr>
            </w:div>
          </w:divsChild>
        </w:div>
        <w:div w:id="1710032265">
          <w:marLeft w:val="0"/>
          <w:marRight w:val="0"/>
          <w:marTop w:val="240"/>
          <w:marBottom w:val="0"/>
          <w:divBdr>
            <w:top w:val="none" w:sz="0" w:space="0" w:color="auto"/>
            <w:left w:val="none" w:sz="0" w:space="0" w:color="auto"/>
            <w:bottom w:val="none" w:sz="0" w:space="0" w:color="auto"/>
            <w:right w:val="none" w:sz="0" w:space="0" w:color="auto"/>
          </w:divBdr>
          <w:divsChild>
            <w:div w:id="56275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91822">
      <w:bodyDiv w:val="1"/>
      <w:marLeft w:val="0"/>
      <w:marRight w:val="0"/>
      <w:marTop w:val="0"/>
      <w:marBottom w:val="0"/>
      <w:divBdr>
        <w:top w:val="none" w:sz="0" w:space="0" w:color="auto"/>
        <w:left w:val="none" w:sz="0" w:space="0" w:color="auto"/>
        <w:bottom w:val="none" w:sz="0" w:space="0" w:color="auto"/>
        <w:right w:val="none" w:sz="0" w:space="0" w:color="auto"/>
      </w:divBdr>
      <w:divsChild>
        <w:div w:id="1435705139">
          <w:marLeft w:val="0"/>
          <w:marRight w:val="0"/>
          <w:marTop w:val="0"/>
          <w:marBottom w:val="0"/>
          <w:divBdr>
            <w:top w:val="none" w:sz="0" w:space="0" w:color="auto"/>
            <w:left w:val="single" w:sz="6" w:space="0" w:color="BBBBBB"/>
            <w:bottom w:val="single" w:sz="6" w:space="0" w:color="BBBBBB"/>
            <w:right w:val="single" w:sz="6" w:space="0" w:color="BBBBBB"/>
          </w:divBdr>
          <w:divsChild>
            <w:div w:id="2073120409">
              <w:marLeft w:val="0"/>
              <w:marRight w:val="0"/>
              <w:marTop w:val="0"/>
              <w:marBottom w:val="0"/>
              <w:divBdr>
                <w:top w:val="none" w:sz="0" w:space="0" w:color="auto"/>
                <w:left w:val="none" w:sz="0" w:space="0" w:color="auto"/>
                <w:bottom w:val="none" w:sz="0" w:space="0" w:color="auto"/>
                <w:right w:val="none" w:sz="0" w:space="0" w:color="auto"/>
              </w:divBdr>
              <w:divsChild>
                <w:div w:id="680164070">
                  <w:marLeft w:val="0"/>
                  <w:marRight w:val="0"/>
                  <w:marTop w:val="0"/>
                  <w:marBottom w:val="0"/>
                  <w:divBdr>
                    <w:top w:val="none" w:sz="0" w:space="0" w:color="auto"/>
                    <w:left w:val="none" w:sz="0" w:space="0" w:color="auto"/>
                    <w:bottom w:val="none" w:sz="0" w:space="0" w:color="auto"/>
                    <w:right w:val="none" w:sz="0" w:space="0" w:color="auto"/>
                  </w:divBdr>
                  <w:divsChild>
                    <w:div w:id="1427264792">
                      <w:marLeft w:val="0"/>
                      <w:marRight w:val="0"/>
                      <w:marTop w:val="0"/>
                      <w:marBottom w:val="0"/>
                      <w:divBdr>
                        <w:top w:val="none" w:sz="0" w:space="0" w:color="auto"/>
                        <w:left w:val="none" w:sz="0" w:space="0" w:color="auto"/>
                        <w:bottom w:val="none" w:sz="0" w:space="0" w:color="auto"/>
                        <w:right w:val="none" w:sz="0" w:space="0" w:color="auto"/>
                      </w:divBdr>
                      <w:divsChild>
                        <w:div w:id="906841012">
                          <w:marLeft w:val="0"/>
                          <w:marRight w:val="0"/>
                          <w:marTop w:val="0"/>
                          <w:marBottom w:val="0"/>
                          <w:divBdr>
                            <w:top w:val="none" w:sz="0" w:space="0" w:color="auto"/>
                            <w:left w:val="none" w:sz="0" w:space="0" w:color="auto"/>
                            <w:bottom w:val="none" w:sz="0" w:space="0" w:color="auto"/>
                            <w:right w:val="none" w:sz="0" w:space="0" w:color="auto"/>
                          </w:divBdr>
                          <w:divsChild>
                            <w:div w:id="1244870678">
                              <w:marLeft w:val="0"/>
                              <w:marRight w:val="0"/>
                              <w:marTop w:val="0"/>
                              <w:marBottom w:val="0"/>
                              <w:divBdr>
                                <w:top w:val="none" w:sz="0" w:space="0" w:color="auto"/>
                                <w:left w:val="none" w:sz="0" w:space="0" w:color="auto"/>
                                <w:bottom w:val="none" w:sz="0" w:space="0" w:color="auto"/>
                                <w:right w:val="none" w:sz="0" w:space="0" w:color="auto"/>
                              </w:divBdr>
                              <w:divsChild>
                                <w:div w:id="476412935">
                                  <w:marLeft w:val="0"/>
                                  <w:marRight w:val="0"/>
                                  <w:marTop w:val="0"/>
                                  <w:marBottom w:val="0"/>
                                  <w:divBdr>
                                    <w:top w:val="none" w:sz="0" w:space="0" w:color="auto"/>
                                    <w:left w:val="none" w:sz="0" w:space="0" w:color="auto"/>
                                    <w:bottom w:val="none" w:sz="0" w:space="0" w:color="auto"/>
                                    <w:right w:val="none" w:sz="0" w:space="0" w:color="auto"/>
                                  </w:divBdr>
                                  <w:divsChild>
                                    <w:div w:id="1119573182">
                                      <w:marLeft w:val="0"/>
                                      <w:marRight w:val="0"/>
                                      <w:marTop w:val="0"/>
                                      <w:marBottom w:val="0"/>
                                      <w:divBdr>
                                        <w:top w:val="none" w:sz="0" w:space="0" w:color="auto"/>
                                        <w:left w:val="none" w:sz="0" w:space="0" w:color="auto"/>
                                        <w:bottom w:val="none" w:sz="0" w:space="0" w:color="auto"/>
                                        <w:right w:val="none" w:sz="0" w:space="0" w:color="auto"/>
                                      </w:divBdr>
                                      <w:divsChild>
                                        <w:div w:id="1641421147">
                                          <w:marLeft w:val="1200"/>
                                          <w:marRight w:val="1200"/>
                                          <w:marTop w:val="0"/>
                                          <w:marBottom w:val="0"/>
                                          <w:divBdr>
                                            <w:top w:val="none" w:sz="0" w:space="0" w:color="auto"/>
                                            <w:left w:val="none" w:sz="0" w:space="0" w:color="auto"/>
                                            <w:bottom w:val="none" w:sz="0" w:space="0" w:color="auto"/>
                                            <w:right w:val="none" w:sz="0" w:space="0" w:color="auto"/>
                                          </w:divBdr>
                                          <w:divsChild>
                                            <w:div w:id="2010014809">
                                              <w:marLeft w:val="0"/>
                                              <w:marRight w:val="0"/>
                                              <w:marTop w:val="0"/>
                                              <w:marBottom w:val="0"/>
                                              <w:divBdr>
                                                <w:top w:val="none" w:sz="0" w:space="0" w:color="auto"/>
                                                <w:left w:val="none" w:sz="0" w:space="0" w:color="auto"/>
                                                <w:bottom w:val="none" w:sz="0" w:space="0" w:color="auto"/>
                                                <w:right w:val="none" w:sz="0" w:space="0" w:color="auto"/>
                                              </w:divBdr>
                                              <w:divsChild>
                                                <w:div w:id="2094432034">
                                                  <w:marLeft w:val="0"/>
                                                  <w:marRight w:val="0"/>
                                                  <w:marTop w:val="0"/>
                                                  <w:marBottom w:val="0"/>
                                                  <w:divBdr>
                                                    <w:top w:val="none" w:sz="0" w:space="0" w:color="auto"/>
                                                    <w:left w:val="none" w:sz="0" w:space="0" w:color="auto"/>
                                                    <w:bottom w:val="none" w:sz="0" w:space="0" w:color="auto"/>
                                                    <w:right w:val="none" w:sz="0" w:space="0" w:color="auto"/>
                                                  </w:divBdr>
                                                  <w:divsChild>
                                                    <w:div w:id="63382790">
                                                      <w:marLeft w:val="0"/>
                                                      <w:marRight w:val="0"/>
                                                      <w:marTop w:val="0"/>
                                                      <w:marBottom w:val="0"/>
                                                      <w:divBdr>
                                                        <w:top w:val="none" w:sz="0" w:space="0" w:color="auto"/>
                                                        <w:left w:val="none" w:sz="0" w:space="0" w:color="auto"/>
                                                        <w:bottom w:val="none" w:sz="0" w:space="0" w:color="auto"/>
                                                        <w:right w:val="none" w:sz="0" w:space="0" w:color="auto"/>
                                                      </w:divBdr>
                                                      <w:divsChild>
                                                        <w:div w:id="2024282424">
                                                          <w:marLeft w:val="0"/>
                                                          <w:marRight w:val="0"/>
                                                          <w:marTop w:val="0"/>
                                                          <w:marBottom w:val="0"/>
                                                          <w:divBdr>
                                                            <w:top w:val="none" w:sz="0" w:space="0" w:color="auto"/>
                                                            <w:left w:val="none" w:sz="0" w:space="0" w:color="auto"/>
                                                            <w:bottom w:val="none" w:sz="0" w:space="0" w:color="auto"/>
                                                            <w:right w:val="none" w:sz="0" w:space="0" w:color="auto"/>
                                                          </w:divBdr>
                                                          <w:divsChild>
                                                            <w:div w:id="1347093597">
                                                              <w:marLeft w:val="0"/>
                                                              <w:marRight w:val="0"/>
                                                              <w:marTop w:val="0"/>
                                                              <w:marBottom w:val="0"/>
                                                              <w:divBdr>
                                                                <w:top w:val="none" w:sz="0" w:space="0" w:color="auto"/>
                                                                <w:left w:val="none" w:sz="0" w:space="0" w:color="auto"/>
                                                                <w:bottom w:val="none" w:sz="0" w:space="0" w:color="auto"/>
                                                                <w:right w:val="none" w:sz="0" w:space="0" w:color="auto"/>
                                                              </w:divBdr>
                                                              <w:divsChild>
                                                                <w:div w:id="546721086">
                                                                  <w:marLeft w:val="0"/>
                                                                  <w:marRight w:val="0"/>
                                                                  <w:marTop w:val="0"/>
                                                                  <w:marBottom w:val="0"/>
                                                                  <w:divBdr>
                                                                    <w:top w:val="none" w:sz="0" w:space="0" w:color="auto"/>
                                                                    <w:left w:val="none" w:sz="0" w:space="0" w:color="auto"/>
                                                                    <w:bottom w:val="none" w:sz="0" w:space="0" w:color="auto"/>
                                                                    <w:right w:val="none" w:sz="0" w:space="0" w:color="auto"/>
                                                                  </w:divBdr>
                                                                  <w:divsChild>
                                                                    <w:div w:id="816457424">
                                                                      <w:marLeft w:val="0"/>
                                                                      <w:marRight w:val="0"/>
                                                                      <w:marTop w:val="0"/>
                                                                      <w:marBottom w:val="0"/>
                                                                      <w:divBdr>
                                                                        <w:top w:val="none" w:sz="0" w:space="0" w:color="auto"/>
                                                                        <w:left w:val="none" w:sz="0" w:space="0" w:color="auto"/>
                                                                        <w:bottom w:val="none" w:sz="0" w:space="0" w:color="auto"/>
                                                                        <w:right w:val="none" w:sz="0" w:space="0" w:color="auto"/>
                                                                      </w:divBdr>
                                                                      <w:divsChild>
                                                                        <w:div w:id="308023603">
                                                                          <w:marLeft w:val="0"/>
                                                                          <w:marRight w:val="0"/>
                                                                          <w:marTop w:val="0"/>
                                                                          <w:marBottom w:val="0"/>
                                                                          <w:divBdr>
                                                                            <w:top w:val="none" w:sz="0" w:space="0" w:color="auto"/>
                                                                            <w:left w:val="none" w:sz="0" w:space="0" w:color="auto"/>
                                                                            <w:bottom w:val="none" w:sz="0" w:space="0" w:color="auto"/>
                                                                            <w:right w:val="none" w:sz="0" w:space="0" w:color="auto"/>
                                                                          </w:divBdr>
                                                                          <w:divsChild>
                                                                            <w:div w:id="195001276">
                                                                              <w:marLeft w:val="0"/>
                                                                              <w:marRight w:val="0"/>
                                                                              <w:marTop w:val="0"/>
                                                                              <w:marBottom w:val="0"/>
                                                                              <w:divBdr>
                                                                                <w:top w:val="none" w:sz="0" w:space="0" w:color="auto"/>
                                                                                <w:left w:val="none" w:sz="0" w:space="0" w:color="auto"/>
                                                                                <w:bottom w:val="none" w:sz="0" w:space="0" w:color="auto"/>
                                                                                <w:right w:val="none" w:sz="0" w:space="0" w:color="auto"/>
                                                                              </w:divBdr>
                                                                              <w:divsChild>
                                                                                <w:div w:id="1467551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93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4747">
                                                                          <w:marLeft w:val="0"/>
                                                                          <w:marRight w:val="0"/>
                                                                          <w:marTop w:val="0"/>
                                                                          <w:marBottom w:val="0"/>
                                                                          <w:divBdr>
                                                                            <w:top w:val="none" w:sz="0" w:space="0" w:color="auto"/>
                                                                            <w:left w:val="none" w:sz="0" w:space="0" w:color="auto"/>
                                                                            <w:bottom w:val="none" w:sz="0" w:space="0" w:color="auto"/>
                                                                            <w:right w:val="none" w:sz="0" w:space="0" w:color="auto"/>
                                                                          </w:divBdr>
                                                                        </w:div>
                                                                        <w:div w:id="1540432653">
                                                                          <w:marLeft w:val="0"/>
                                                                          <w:marRight w:val="0"/>
                                                                          <w:marTop w:val="0"/>
                                                                          <w:marBottom w:val="0"/>
                                                                          <w:divBdr>
                                                                            <w:top w:val="none" w:sz="0" w:space="0" w:color="auto"/>
                                                                            <w:left w:val="none" w:sz="0" w:space="0" w:color="auto"/>
                                                                            <w:bottom w:val="none" w:sz="0" w:space="0" w:color="auto"/>
                                                                            <w:right w:val="none" w:sz="0" w:space="0" w:color="auto"/>
                                                                          </w:divBdr>
                                                                        </w:div>
                                                                      </w:divsChild>
                                                                    </w:div>
                                                                    <w:div w:id="1053501220">
                                                                      <w:marLeft w:val="0"/>
                                                                      <w:marRight w:val="0"/>
                                                                      <w:marTop w:val="0"/>
                                                                      <w:marBottom w:val="0"/>
                                                                      <w:divBdr>
                                                                        <w:top w:val="none" w:sz="0" w:space="0" w:color="auto"/>
                                                                        <w:left w:val="none" w:sz="0" w:space="0" w:color="auto"/>
                                                                        <w:bottom w:val="none" w:sz="0" w:space="0" w:color="auto"/>
                                                                        <w:right w:val="none" w:sz="0" w:space="0" w:color="auto"/>
                                                                      </w:divBdr>
                                                                      <w:divsChild>
                                                                        <w:div w:id="108938757">
                                                                          <w:marLeft w:val="0"/>
                                                                          <w:marRight w:val="0"/>
                                                                          <w:marTop w:val="0"/>
                                                                          <w:marBottom w:val="0"/>
                                                                          <w:divBdr>
                                                                            <w:top w:val="none" w:sz="0" w:space="0" w:color="auto"/>
                                                                            <w:left w:val="none" w:sz="0" w:space="0" w:color="auto"/>
                                                                            <w:bottom w:val="none" w:sz="0" w:space="0" w:color="auto"/>
                                                                            <w:right w:val="none" w:sz="0" w:space="0" w:color="auto"/>
                                                                          </w:divBdr>
                                                                        </w:div>
                                                                      </w:divsChild>
                                                                    </w:div>
                                                                    <w:div w:id="1225458092">
                                                                      <w:marLeft w:val="0"/>
                                                                      <w:marRight w:val="0"/>
                                                                      <w:marTop w:val="0"/>
                                                                      <w:marBottom w:val="0"/>
                                                                      <w:divBdr>
                                                                        <w:top w:val="none" w:sz="0" w:space="0" w:color="auto"/>
                                                                        <w:left w:val="none" w:sz="0" w:space="0" w:color="auto"/>
                                                                        <w:bottom w:val="none" w:sz="0" w:space="0" w:color="auto"/>
                                                                        <w:right w:val="none" w:sz="0" w:space="0" w:color="auto"/>
                                                                      </w:divBdr>
                                                                      <w:divsChild>
                                                                        <w:div w:id="3339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561168">
      <w:bodyDiv w:val="1"/>
      <w:marLeft w:val="0"/>
      <w:marRight w:val="0"/>
      <w:marTop w:val="0"/>
      <w:marBottom w:val="0"/>
      <w:divBdr>
        <w:top w:val="none" w:sz="0" w:space="0" w:color="auto"/>
        <w:left w:val="none" w:sz="0" w:space="0" w:color="auto"/>
        <w:bottom w:val="none" w:sz="0" w:space="0" w:color="auto"/>
        <w:right w:val="none" w:sz="0" w:space="0" w:color="auto"/>
      </w:divBdr>
      <w:divsChild>
        <w:div w:id="753009647">
          <w:marLeft w:val="0"/>
          <w:marRight w:val="0"/>
          <w:marTop w:val="0"/>
          <w:marBottom w:val="0"/>
          <w:divBdr>
            <w:top w:val="none" w:sz="0" w:space="0" w:color="auto"/>
            <w:left w:val="none" w:sz="0" w:space="0" w:color="auto"/>
            <w:bottom w:val="none" w:sz="0" w:space="0" w:color="auto"/>
            <w:right w:val="none" w:sz="0" w:space="0" w:color="auto"/>
          </w:divBdr>
          <w:divsChild>
            <w:div w:id="1273636688">
              <w:marLeft w:val="0"/>
              <w:marRight w:val="0"/>
              <w:marTop w:val="0"/>
              <w:marBottom w:val="0"/>
              <w:divBdr>
                <w:top w:val="none" w:sz="0" w:space="0" w:color="auto"/>
                <w:left w:val="none" w:sz="0" w:space="0" w:color="auto"/>
                <w:bottom w:val="none" w:sz="0" w:space="0" w:color="auto"/>
                <w:right w:val="none" w:sz="0" w:space="0" w:color="auto"/>
              </w:divBdr>
              <w:divsChild>
                <w:div w:id="1700545669">
                  <w:marLeft w:val="0"/>
                  <w:marRight w:val="0"/>
                  <w:marTop w:val="0"/>
                  <w:marBottom w:val="0"/>
                  <w:divBdr>
                    <w:top w:val="none" w:sz="0" w:space="0" w:color="auto"/>
                    <w:left w:val="none" w:sz="0" w:space="0" w:color="auto"/>
                    <w:bottom w:val="none" w:sz="0" w:space="0" w:color="auto"/>
                    <w:right w:val="none" w:sz="0" w:space="0" w:color="auto"/>
                  </w:divBdr>
                  <w:divsChild>
                    <w:div w:id="807284418">
                      <w:marLeft w:val="0"/>
                      <w:marRight w:val="0"/>
                      <w:marTop w:val="0"/>
                      <w:marBottom w:val="375"/>
                      <w:divBdr>
                        <w:top w:val="none" w:sz="0" w:space="0" w:color="auto"/>
                        <w:left w:val="none" w:sz="0" w:space="0" w:color="auto"/>
                        <w:bottom w:val="none" w:sz="0" w:space="0" w:color="auto"/>
                        <w:right w:val="none" w:sz="0" w:space="0" w:color="auto"/>
                      </w:divBdr>
                      <w:divsChild>
                        <w:div w:id="10150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915746">
      <w:bodyDiv w:val="1"/>
      <w:marLeft w:val="0"/>
      <w:marRight w:val="0"/>
      <w:marTop w:val="0"/>
      <w:marBottom w:val="0"/>
      <w:divBdr>
        <w:top w:val="none" w:sz="0" w:space="0" w:color="auto"/>
        <w:left w:val="none" w:sz="0" w:space="0" w:color="auto"/>
        <w:bottom w:val="none" w:sz="0" w:space="0" w:color="auto"/>
        <w:right w:val="none" w:sz="0" w:space="0" w:color="auto"/>
      </w:divBdr>
      <w:divsChild>
        <w:div w:id="2125539360">
          <w:marLeft w:val="0"/>
          <w:marRight w:val="0"/>
          <w:marTop w:val="0"/>
          <w:marBottom w:val="0"/>
          <w:divBdr>
            <w:top w:val="none" w:sz="0" w:space="0" w:color="auto"/>
            <w:left w:val="none" w:sz="0" w:space="0" w:color="auto"/>
            <w:bottom w:val="none" w:sz="0" w:space="0" w:color="auto"/>
            <w:right w:val="none" w:sz="0" w:space="0" w:color="auto"/>
          </w:divBdr>
          <w:divsChild>
            <w:div w:id="903756377">
              <w:marLeft w:val="0"/>
              <w:marRight w:val="0"/>
              <w:marTop w:val="0"/>
              <w:marBottom w:val="0"/>
              <w:divBdr>
                <w:top w:val="none" w:sz="0" w:space="0" w:color="auto"/>
                <w:left w:val="none" w:sz="0" w:space="0" w:color="auto"/>
                <w:bottom w:val="none" w:sz="0" w:space="0" w:color="auto"/>
                <w:right w:val="none" w:sz="0" w:space="0" w:color="auto"/>
              </w:divBdr>
              <w:divsChild>
                <w:div w:id="395052307">
                  <w:marLeft w:val="0"/>
                  <w:marRight w:val="0"/>
                  <w:marTop w:val="0"/>
                  <w:marBottom w:val="0"/>
                  <w:divBdr>
                    <w:top w:val="none" w:sz="0" w:space="0" w:color="auto"/>
                    <w:left w:val="none" w:sz="0" w:space="0" w:color="auto"/>
                    <w:bottom w:val="none" w:sz="0" w:space="0" w:color="auto"/>
                    <w:right w:val="none" w:sz="0" w:space="0" w:color="auto"/>
                  </w:divBdr>
                  <w:divsChild>
                    <w:div w:id="1439564320">
                      <w:marLeft w:val="0"/>
                      <w:marRight w:val="0"/>
                      <w:marTop w:val="0"/>
                      <w:marBottom w:val="375"/>
                      <w:divBdr>
                        <w:top w:val="none" w:sz="0" w:space="0" w:color="auto"/>
                        <w:left w:val="none" w:sz="0" w:space="0" w:color="auto"/>
                        <w:bottom w:val="none" w:sz="0" w:space="0" w:color="auto"/>
                        <w:right w:val="none" w:sz="0" w:space="0" w:color="auto"/>
                      </w:divBdr>
                      <w:divsChild>
                        <w:div w:id="1979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68168">
      <w:bodyDiv w:val="1"/>
      <w:marLeft w:val="0"/>
      <w:marRight w:val="0"/>
      <w:marTop w:val="0"/>
      <w:marBottom w:val="0"/>
      <w:divBdr>
        <w:top w:val="none" w:sz="0" w:space="0" w:color="auto"/>
        <w:left w:val="none" w:sz="0" w:space="0" w:color="auto"/>
        <w:bottom w:val="none" w:sz="0" w:space="0" w:color="auto"/>
        <w:right w:val="none" w:sz="0" w:space="0" w:color="auto"/>
      </w:divBdr>
    </w:div>
    <w:div w:id="1856386171">
      <w:bodyDiv w:val="1"/>
      <w:marLeft w:val="0"/>
      <w:marRight w:val="0"/>
      <w:marTop w:val="0"/>
      <w:marBottom w:val="0"/>
      <w:divBdr>
        <w:top w:val="none" w:sz="0" w:space="0" w:color="auto"/>
        <w:left w:val="none" w:sz="0" w:space="0" w:color="auto"/>
        <w:bottom w:val="none" w:sz="0" w:space="0" w:color="auto"/>
        <w:right w:val="none" w:sz="0" w:space="0" w:color="auto"/>
      </w:divBdr>
      <w:divsChild>
        <w:div w:id="2093625287">
          <w:marLeft w:val="0"/>
          <w:marRight w:val="0"/>
          <w:marTop w:val="0"/>
          <w:marBottom w:val="0"/>
          <w:divBdr>
            <w:top w:val="none" w:sz="0" w:space="0" w:color="auto"/>
            <w:left w:val="none" w:sz="0" w:space="0" w:color="auto"/>
            <w:bottom w:val="none" w:sz="0" w:space="0" w:color="auto"/>
            <w:right w:val="none" w:sz="0" w:space="0" w:color="auto"/>
          </w:divBdr>
          <w:divsChild>
            <w:div w:id="1123234396">
              <w:marLeft w:val="0"/>
              <w:marRight w:val="0"/>
              <w:marTop w:val="0"/>
              <w:marBottom w:val="0"/>
              <w:divBdr>
                <w:top w:val="none" w:sz="0" w:space="0" w:color="auto"/>
                <w:left w:val="none" w:sz="0" w:space="0" w:color="auto"/>
                <w:bottom w:val="none" w:sz="0" w:space="0" w:color="auto"/>
                <w:right w:val="none" w:sz="0" w:space="0" w:color="auto"/>
              </w:divBdr>
              <w:divsChild>
                <w:div w:id="1599025294">
                  <w:marLeft w:val="0"/>
                  <w:marRight w:val="0"/>
                  <w:marTop w:val="0"/>
                  <w:marBottom w:val="0"/>
                  <w:divBdr>
                    <w:top w:val="none" w:sz="0" w:space="0" w:color="auto"/>
                    <w:left w:val="none" w:sz="0" w:space="0" w:color="auto"/>
                    <w:bottom w:val="none" w:sz="0" w:space="0" w:color="auto"/>
                    <w:right w:val="none" w:sz="0" w:space="0" w:color="auto"/>
                  </w:divBdr>
                  <w:divsChild>
                    <w:div w:id="627973988">
                      <w:marLeft w:val="0"/>
                      <w:marRight w:val="0"/>
                      <w:marTop w:val="0"/>
                      <w:marBottom w:val="300"/>
                      <w:divBdr>
                        <w:top w:val="none" w:sz="0" w:space="0" w:color="auto"/>
                        <w:left w:val="none" w:sz="0" w:space="0" w:color="auto"/>
                        <w:bottom w:val="none" w:sz="0" w:space="0" w:color="auto"/>
                        <w:right w:val="none" w:sz="0" w:space="0" w:color="auto"/>
                      </w:divBdr>
                      <w:divsChild>
                        <w:div w:id="1386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235120">
      <w:bodyDiv w:val="1"/>
      <w:marLeft w:val="0"/>
      <w:marRight w:val="0"/>
      <w:marTop w:val="0"/>
      <w:marBottom w:val="0"/>
      <w:divBdr>
        <w:top w:val="none" w:sz="0" w:space="0" w:color="auto"/>
        <w:left w:val="none" w:sz="0" w:space="0" w:color="auto"/>
        <w:bottom w:val="none" w:sz="0" w:space="0" w:color="auto"/>
        <w:right w:val="none" w:sz="0" w:space="0" w:color="auto"/>
      </w:divBdr>
      <w:divsChild>
        <w:div w:id="933123291">
          <w:marLeft w:val="0"/>
          <w:marRight w:val="0"/>
          <w:marTop w:val="0"/>
          <w:marBottom w:val="0"/>
          <w:divBdr>
            <w:top w:val="none" w:sz="0" w:space="0" w:color="auto"/>
            <w:left w:val="single" w:sz="6" w:space="0" w:color="BBBBBB"/>
            <w:bottom w:val="single" w:sz="6" w:space="0" w:color="BBBBBB"/>
            <w:right w:val="single" w:sz="6" w:space="0" w:color="BBBBBB"/>
          </w:divBdr>
          <w:divsChild>
            <w:div w:id="204294090">
              <w:marLeft w:val="0"/>
              <w:marRight w:val="0"/>
              <w:marTop w:val="0"/>
              <w:marBottom w:val="0"/>
              <w:divBdr>
                <w:top w:val="none" w:sz="0" w:space="0" w:color="auto"/>
                <w:left w:val="none" w:sz="0" w:space="0" w:color="auto"/>
                <w:bottom w:val="none" w:sz="0" w:space="0" w:color="auto"/>
                <w:right w:val="none" w:sz="0" w:space="0" w:color="auto"/>
              </w:divBdr>
              <w:divsChild>
                <w:div w:id="1888030808">
                  <w:marLeft w:val="0"/>
                  <w:marRight w:val="0"/>
                  <w:marTop w:val="75"/>
                  <w:marBottom w:val="0"/>
                  <w:divBdr>
                    <w:top w:val="none" w:sz="0" w:space="0" w:color="auto"/>
                    <w:left w:val="none" w:sz="0" w:space="0" w:color="auto"/>
                    <w:bottom w:val="none" w:sz="0" w:space="0" w:color="auto"/>
                    <w:right w:val="none" w:sz="0" w:space="0" w:color="auto"/>
                  </w:divBdr>
                  <w:divsChild>
                    <w:div w:id="1070228837">
                      <w:marLeft w:val="0"/>
                      <w:marRight w:val="0"/>
                      <w:marTop w:val="0"/>
                      <w:marBottom w:val="0"/>
                      <w:divBdr>
                        <w:top w:val="none" w:sz="0" w:space="0" w:color="auto"/>
                        <w:left w:val="none" w:sz="0" w:space="0" w:color="auto"/>
                        <w:bottom w:val="none" w:sz="0" w:space="0" w:color="auto"/>
                        <w:right w:val="none" w:sz="0" w:space="0" w:color="auto"/>
                      </w:divBdr>
                      <w:divsChild>
                        <w:div w:id="439494827">
                          <w:marLeft w:val="0"/>
                          <w:marRight w:val="0"/>
                          <w:marTop w:val="0"/>
                          <w:marBottom w:val="0"/>
                          <w:divBdr>
                            <w:top w:val="none" w:sz="0" w:space="0" w:color="auto"/>
                            <w:left w:val="none" w:sz="0" w:space="0" w:color="auto"/>
                            <w:bottom w:val="none" w:sz="0" w:space="0" w:color="auto"/>
                            <w:right w:val="none" w:sz="0" w:space="0" w:color="auto"/>
                          </w:divBdr>
                          <w:divsChild>
                            <w:div w:id="1850020999">
                              <w:marLeft w:val="0"/>
                              <w:marRight w:val="0"/>
                              <w:marTop w:val="0"/>
                              <w:marBottom w:val="0"/>
                              <w:divBdr>
                                <w:top w:val="none" w:sz="0" w:space="0" w:color="auto"/>
                                <w:left w:val="none" w:sz="0" w:space="0" w:color="auto"/>
                                <w:bottom w:val="none" w:sz="0" w:space="0" w:color="auto"/>
                                <w:right w:val="none" w:sz="0" w:space="0" w:color="auto"/>
                              </w:divBdr>
                              <w:divsChild>
                                <w:div w:id="520434771">
                                  <w:marLeft w:val="0"/>
                                  <w:marRight w:val="0"/>
                                  <w:marTop w:val="0"/>
                                  <w:marBottom w:val="0"/>
                                  <w:divBdr>
                                    <w:top w:val="none" w:sz="0" w:space="0" w:color="auto"/>
                                    <w:left w:val="none" w:sz="0" w:space="0" w:color="auto"/>
                                    <w:bottom w:val="none" w:sz="0" w:space="0" w:color="auto"/>
                                    <w:right w:val="none" w:sz="0" w:space="0" w:color="auto"/>
                                  </w:divBdr>
                                  <w:divsChild>
                                    <w:div w:id="1390496003">
                                      <w:marLeft w:val="0"/>
                                      <w:marRight w:val="0"/>
                                      <w:marTop w:val="0"/>
                                      <w:marBottom w:val="0"/>
                                      <w:divBdr>
                                        <w:top w:val="none" w:sz="0" w:space="0" w:color="auto"/>
                                        <w:left w:val="none" w:sz="0" w:space="0" w:color="auto"/>
                                        <w:bottom w:val="none" w:sz="0" w:space="0" w:color="auto"/>
                                        <w:right w:val="none" w:sz="0" w:space="0" w:color="auto"/>
                                      </w:divBdr>
                                      <w:divsChild>
                                        <w:div w:id="368727405">
                                          <w:marLeft w:val="1200"/>
                                          <w:marRight w:val="1200"/>
                                          <w:marTop w:val="0"/>
                                          <w:marBottom w:val="0"/>
                                          <w:divBdr>
                                            <w:top w:val="none" w:sz="0" w:space="0" w:color="auto"/>
                                            <w:left w:val="none" w:sz="0" w:space="0" w:color="auto"/>
                                            <w:bottom w:val="none" w:sz="0" w:space="0" w:color="auto"/>
                                            <w:right w:val="none" w:sz="0" w:space="0" w:color="auto"/>
                                          </w:divBdr>
                                          <w:divsChild>
                                            <w:div w:id="1012613492">
                                              <w:marLeft w:val="0"/>
                                              <w:marRight w:val="0"/>
                                              <w:marTop w:val="0"/>
                                              <w:marBottom w:val="0"/>
                                              <w:divBdr>
                                                <w:top w:val="none" w:sz="0" w:space="0" w:color="auto"/>
                                                <w:left w:val="none" w:sz="0" w:space="0" w:color="auto"/>
                                                <w:bottom w:val="none" w:sz="0" w:space="0" w:color="auto"/>
                                                <w:right w:val="none" w:sz="0" w:space="0" w:color="auto"/>
                                              </w:divBdr>
                                              <w:divsChild>
                                                <w:div w:id="419763987">
                                                  <w:marLeft w:val="0"/>
                                                  <w:marRight w:val="0"/>
                                                  <w:marTop w:val="0"/>
                                                  <w:marBottom w:val="0"/>
                                                  <w:divBdr>
                                                    <w:top w:val="none" w:sz="0" w:space="0" w:color="auto"/>
                                                    <w:left w:val="none" w:sz="0" w:space="0" w:color="auto"/>
                                                    <w:bottom w:val="none" w:sz="0" w:space="0" w:color="auto"/>
                                                    <w:right w:val="none" w:sz="0" w:space="0" w:color="auto"/>
                                                  </w:divBdr>
                                                </w:div>
                                                <w:div w:id="1047340396">
                                                  <w:marLeft w:val="0"/>
                                                  <w:marRight w:val="0"/>
                                                  <w:marTop w:val="0"/>
                                                  <w:marBottom w:val="0"/>
                                                  <w:divBdr>
                                                    <w:top w:val="none" w:sz="0" w:space="0" w:color="auto"/>
                                                    <w:left w:val="none" w:sz="0" w:space="0" w:color="auto"/>
                                                    <w:bottom w:val="none" w:sz="0" w:space="0" w:color="auto"/>
                                                    <w:right w:val="none" w:sz="0" w:space="0" w:color="auto"/>
                                                  </w:divBdr>
                                                  <w:divsChild>
                                                    <w:div w:id="426124779">
                                                      <w:marLeft w:val="0"/>
                                                      <w:marRight w:val="0"/>
                                                      <w:marTop w:val="0"/>
                                                      <w:marBottom w:val="0"/>
                                                      <w:divBdr>
                                                        <w:top w:val="none" w:sz="0" w:space="0" w:color="auto"/>
                                                        <w:left w:val="none" w:sz="0" w:space="0" w:color="auto"/>
                                                        <w:bottom w:val="none" w:sz="0" w:space="0" w:color="auto"/>
                                                        <w:right w:val="none" w:sz="0" w:space="0" w:color="auto"/>
                                                      </w:divBdr>
                                                    </w:div>
                                                    <w:div w:id="1323238364">
                                                      <w:marLeft w:val="0"/>
                                                      <w:marRight w:val="0"/>
                                                      <w:marTop w:val="0"/>
                                                      <w:marBottom w:val="0"/>
                                                      <w:divBdr>
                                                        <w:top w:val="none" w:sz="0" w:space="0" w:color="auto"/>
                                                        <w:left w:val="none" w:sz="0" w:space="0" w:color="auto"/>
                                                        <w:bottom w:val="none" w:sz="0" w:space="0" w:color="auto"/>
                                                        <w:right w:val="none" w:sz="0" w:space="0" w:color="auto"/>
                                                      </w:divBdr>
                                                      <w:divsChild>
                                                        <w:div w:id="747077386">
                                                          <w:marLeft w:val="0"/>
                                                          <w:marRight w:val="0"/>
                                                          <w:marTop w:val="0"/>
                                                          <w:marBottom w:val="0"/>
                                                          <w:divBdr>
                                                            <w:top w:val="none" w:sz="0" w:space="0" w:color="auto"/>
                                                            <w:left w:val="none" w:sz="0" w:space="0" w:color="auto"/>
                                                            <w:bottom w:val="none" w:sz="0" w:space="0" w:color="auto"/>
                                                            <w:right w:val="none" w:sz="0" w:space="0" w:color="auto"/>
                                                          </w:divBdr>
                                                        </w:div>
                                                        <w:div w:id="1049912583">
                                                          <w:marLeft w:val="0"/>
                                                          <w:marRight w:val="0"/>
                                                          <w:marTop w:val="0"/>
                                                          <w:marBottom w:val="0"/>
                                                          <w:divBdr>
                                                            <w:top w:val="none" w:sz="0" w:space="0" w:color="auto"/>
                                                            <w:left w:val="none" w:sz="0" w:space="0" w:color="auto"/>
                                                            <w:bottom w:val="none" w:sz="0" w:space="0" w:color="auto"/>
                                                            <w:right w:val="none" w:sz="0" w:space="0" w:color="auto"/>
                                                          </w:divBdr>
                                                        </w:div>
                                                        <w:div w:id="1272589467">
                                                          <w:marLeft w:val="0"/>
                                                          <w:marRight w:val="0"/>
                                                          <w:marTop w:val="0"/>
                                                          <w:marBottom w:val="0"/>
                                                          <w:divBdr>
                                                            <w:top w:val="none" w:sz="0" w:space="0" w:color="auto"/>
                                                            <w:left w:val="none" w:sz="0" w:space="0" w:color="auto"/>
                                                            <w:bottom w:val="none" w:sz="0" w:space="0" w:color="auto"/>
                                                            <w:right w:val="none" w:sz="0" w:space="0" w:color="auto"/>
                                                          </w:divBdr>
                                                        </w:div>
                                                        <w:div w:id="1328098806">
                                                          <w:marLeft w:val="0"/>
                                                          <w:marRight w:val="0"/>
                                                          <w:marTop w:val="0"/>
                                                          <w:marBottom w:val="0"/>
                                                          <w:divBdr>
                                                            <w:top w:val="none" w:sz="0" w:space="0" w:color="auto"/>
                                                            <w:left w:val="none" w:sz="0" w:space="0" w:color="auto"/>
                                                            <w:bottom w:val="none" w:sz="0" w:space="0" w:color="auto"/>
                                                            <w:right w:val="none" w:sz="0" w:space="0" w:color="auto"/>
                                                          </w:divBdr>
                                                        </w:div>
                                                        <w:div w:id="15339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2692">
                                                  <w:marLeft w:val="0"/>
                                                  <w:marRight w:val="0"/>
                                                  <w:marTop w:val="0"/>
                                                  <w:marBottom w:val="0"/>
                                                  <w:divBdr>
                                                    <w:top w:val="none" w:sz="0" w:space="0" w:color="auto"/>
                                                    <w:left w:val="none" w:sz="0" w:space="0" w:color="auto"/>
                                                    <w:bottom w:val="none" w:sz="0" w:space="0" w:color="auto"/>
                                                    <w:right w:val="none" w:sz="0" w:space="0" w:color="auto"/>
                                                  </w:divBdr>
                                                  <w:divsChild>
                                                    <w:div w:id="539319733">
                                                      <w:marLeft w:val="0"/>
                                                      <w:marRight w:val="0"/>
                                                      <w:marTop w:val="0"/>
                                                      <w:marBottom w:val="0"/>
                                                      <w:divBdr>
                                                        <w:top w:val="none" w:sz="0" w:space="0" w:color="auto"/>
                                                        <w:left w:val="none" w:sz="0" w:space="0" w:color="auto"/>
                                                        <w:bottom w:val="none" w:sz="0" w:space="0" w:color="auto"/>
                                                        <w:right w:val="none" w:sz="0" w:space="0" w:color="auto"/>
                                                      </w:divBdr>
                                                      <w:divsChild>
                                                        <w:div w:id="347800961">
                                                          <w:marLeft w:val="0"/>
                                                          <w:marRight w:val="0"/>
                                                          <w:marTop w:val="0"/>
                                                          <w:marBottom w:val="0"/>
                                                          <w:divBdr>
                                                            <w:top w:val="none" w:sz="0" w:space="0" w:color="auto"/>
                                                            <w:left w:val="none" w:sz="0" w:space="0" w:color="auto"/>
                                                            <w:bottom w:val="none" w:sz="0" w:space="0" w:color="auto"/>
                                                            <w:right w:val="none" w:sz="0" w:space="0" w:color="auto"/>
                                                          </w:divBdr>
                                                          <w:divsChild>
                                                            <w:div w:id="57671684">
                                                              <w:marLeft w:val="0"/>
                                                              <w:marRight w:val="0"/>
                                                              <w:marTop w:val="0"/>
                                                              <w:marBottom w:val="0"/>
                                                              <w:divBdr>
                                                                <w:top w:val="none" w:sz="0" w:space="0" w:color="auto"/>
                                                                <w:left w:val="none" w:sz="0" w:space="0" w:color="auto"/>
                                                                <w:bottom w:val="none" w:sz="0" w:space="0" w:color="auto"/>
                                                                <w:right w:val="none" w:sz="0" w:space="0" w:color="auto"/>
                                                              </w:divBdr>
                                                            </w:div>
                                                          </w:divsChild>
                                                        </w:div>
                                                        <w:div w:id="2131507351">
                                                          <w:marLeft w:val="0"/>
                                                          <w:marRight w:val="0"/>
                                                          <w:marTop w:val="0"/>
                                                          <w:marBottom w:val="0"/>
                                                          <w:divBdr>
                                                            <w:top w:val="none" w:sz="0" w:space="0" w:color="auto"/>
                                                            <w:left w:val="none" w:sz="0" w:space="0" w:color="auto"/>
                                                            <w:bottom w:val="none" w:sz="0" w:space="0" w:color="auto"/>
                                                            <w:right w:val="none" w:sz="0" w:space="0" w:color="auto"/>
                                                          </w:divBdr>
                                                          <w:divsChild>
                                                            <w:div w:id="8766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7588">
                                                      <w:marLeft w:val="0"/>
                                                      <w:marRight w:val="0"/>
                                                      <w:marTop w:val="0"/>
                                                      <w:marBottom w:val="0"/>
                                                      <w:divBdr>
                                                        <w:top w:val="none" w:sz="0" w:space="0" w:color="auto"/>
                                                        <w:left w:val="none" w:sz="0" w:space="0" w:color="auto"/>
                                                        <w:bottom w:val="none" w:sz="0" w:space="0" w:color="auto"/>
                                                        <w:right w:val="none" w:sz="0" w:space="0" w:color="auto"/>
                                                      </w:divBdr>
                                                      <w:divsChild>
                                                        <w:div w:id="526020917">
                                                          <w:marLeft w:val="0"/>
                                                          <w:marRight w:val="0"/>
                                                          <w:marTop w:val="0"/>
                                                          <w:marBottom w:val="0"/>
                                                          <w:divBdr>
                                                            <w:top w:val="none" w:sz="0" w:space="0" w:color="auto"/>
                                                            <w:left w:val="none" w:sz="0" w:space="0" w:color="auto"/>
                                                            <w:bottom w:val="none" w:sz="0" w:space="0" w:color="auto"/>
                                                            <w:right w:val="none" w:sz="0" w:space="0" w:color="auto"/>
                                                          </w:divBdr>
                                                          <w:divsChild>
                                                            <w:div w:id="17588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67522">
                                                      <w:marLeft w:val="0"/>
                                                      <w:marRight w:val="0"/>
                                                      <w:marTop w:val="0"/>
                                                      <w:marBottom w:val="0"/>
                                                      <w:divBdr>
                                                        <w:top w:val="none" w:sz="0" w:space="0" w:color="auto"/>
                                                        <w:left w:val="none" w:sz="0" w:space="0" w:color="auto"/>
                                                        <w:bottom w:val="none" w:sz="0" w:space="0" w:color="auto"/>
                                                        <w:right w:val="none" w:sz="0" w:space="0" w:color="auto"/>
                                                      </w:divBdr>
                                                      <w:divsChild>
                                                        <w:div w:id="789666464">
                                                          <w:marLeft w:val="0"/>
                                                          <w:marRight w:val="0"/>
                                                          <w:marTop w:val="0"/>
                                                          <w:marBottom w:val="0"/>
                                                          <w:divBdr>
                                                            <w:top w:val="none" w:sz="0" w:space="0" w:color="auto"/>
                                                            <w:left w:val="none" w:sz="0" w:space="0" w:color="auto"/>
                                                            <w:bottom w:val="none" w:sz="0" w:space="0" w:color="auto"/>
                                                            <w:right w:val="none" w:sz="0" w:space="0" w:color="auto"/>
                                                          </w:divBdr>
                                                        </w:div>
                                                      </w:divsChild>
                                                    </w:div>
                                                    <w:div w:id="1580629763">
                                                      <w:marLeft w:val="0"/>
                                                      <w:marRight w:val="0"/>
                                                      <w:marTop w:val="0"/>
                                                      <w:marBottom w:val="0"/>
                                                      <w:divBdr>
                                                        <w:top w:val="none" w:sz="0" w:space="0" w:color="auto"/>
                                                        <w:left w:val="none" w:sz="0" w:space="0" w:color="auto"/>
                                                        <w:bottom w:val="none" w:sz="0" w:space="0" w:color="auto"/>
                                                        <w:right w:val="none" w:sz="0" w:space="0" w:color="auto"/>
                                                      </w:divBdr>
                                                      <w:divsChild>
                                                        <w:div w:id="4135879">
                                                          <w:marLeft w:val="0"/>
                                                          <w:marRight w:val="0"/>
                                                          <w:marTop w:val="0"/>
                                                          <w:marBottom w:val="0"/>
                                                          <w:divBdr>
                                                            <w:top w:val="none" w:sz="0" w:space="0" w:color="auto"/>
                                                            <w:left w:val="none" w:sz="0" w:space="0" w:color="auto"/>
                                                            <w:bottom w:val="none" w:sz="0" w:space="0" w:color="auto"/>
                                                            <w:right w:val="none" w:sz="0" w:space="0" w:color="auto"/>
                                                          </w:divBdr>
                                                        </w:div>
                                                        <w:div w:id="4211576">
                                                          <w:marLeft w:val="0"/>
                                                          <w:marRight w:val="0"/>
                                                          <w:marTop w:val="0"/>
                                                          <w:marBottom w:val="0"/>
                                                          <w:divBdr>
                                                            <w:top w:val="none" w:sz="0" w:space="0" w:color="auto"/>
                                                            <w:left w:val="none" w:sz="0" w:space="0" w:color="auto"/>
                                                            <w:bottom w:val="none" w:sz="0" w:space="0" w:color="auto"/>
                                                            <w:right w:val="none" w:sz="0" w:space="0" w:color="auto"/>
                                                          </w:divBdr>
                                                          <w:divsChild>
                                                            <w:div w:id="28260729">
                                                              <w:marLeft w:val="0"/>
                                                              <w:marRight w:val="0"/>
                                                              <w:marTop w:val="0"/>
                                                              <w:marBottom w:val="0"/>
                                                              <w:divBdr>
                                                                <w:top w:val="none" w:sz="0" w:space="0" w:color="auto"/>
                                                                <w:left w:val="none" w:sz="0" w:space="0" w:color="auto"/>
                                                                <w:bottom w:val="none" w:sz="0" w:space="0" w:color="auto"/>
                                                                <w:right w:val="none" w:sz="0" w:space="0" w:color="auto"/>
                                                              </w:divBdr>
                                                            </w:div>
                                                          </w:divsChild>
                                                        </w:div>
                                                        <w:div w:id="10688473">
                                                          <w:marLeft w:val="0"/>
                                                          <w:marRight w:val="0"/>
                                                          <w:marTop w:val="0"/>
                                                          <w:marBottom w:val="0"/>
                                                          <w:divBdr>
                                                            <w:top w:val="none" w:sz="0" w:space="0" w:color="auto"/>
                                                            <w:left w:val="none" w:sz="0" w:space="0" w:color="auto"/>
                                                            <w:bottom w:val="none" w:sz="0" w:space="0" w:color="auto"/>
                                                            <w:right w:val="none" w:sz="0" w:space="0" w:color="auto"/>
                                                          </w:divBdr>
                                                          <w:divsChild>
                                                            <w:div w:id="1856846729">
                                                              <w:marLeft w:val="0"/>
                                                              <w:marRight w:val="0"/>
                                                              <w:marTop w:val="0"/>
                                                              <w:marBottom w:val="0"/>
                                                              <w:divBdr>
                                                                <w:top w:val="none" w:sz="0" w:space="0" w:color="auto"/>
                                                                <w:left w:val="none" w:sz="0" w:space="0" w:color="auto"/>
                                                                <w:bottom w:val="none" w:sz="0" w:space="0" w:color="auto"/>
                                                                <w:right w:val="none" w:sz="0" w:space="0" w:color="auto"/>
                                                              </w:divBdr>
                                                            </w:div>
                                                          </w:divsChild>
                                                        </w:div>
                                                        <w:div w:id="11299238">
                                                          <w:marLeft w:val="0"/>
                                                          <w:marRight w:val="0"/>
                                                          <w:marTop w:val="0"/>
                                                          <w:marBottom w:val="0"/>
                                                          <w:divBdr>
                                                            <w:top w:val="none" w:sz="0" w:space="0" w:color="auto"/>
                                                            <w:left w:val="none" w:sz="0" w:space="0" w:color="auto"/>
                                                            <w:bottom w:val="none" w:sz="0" w:space="0" w:color="auto"/>
                                                            <w:right w:val="none" w:sz="0" w:space="0" w:color="auto"/>
                                                          </w:divBdr>
                                                          <w:divsChild>
                                                            <w:div w:id="1966080233">
                                                              <w:marLeft w:val="0"/>
                                                              <w:marRight w:val="0"/>
                                                              <w:marTop w:val="0"/>
                                                              <w:marBottom w:val="0"/>
                                                              <w:divBdr>
                                                                <w:top w:val="none" w:sz="0" w:space="0" w:color="auto"/>
                                                                <w:left w:val="none" w:sz="0" w:space="0" w:color="auto"/>
                                                                <w:bottom w:val="none" w:sz="0" w:space="0" w:color="auto"/>
                                                                <w:right w:val="none" w:sz="0" w:space="0" w:color="auto"/>
                                                              </w:divBdr>
                                                            </w:div>
                                                          </w:divsChild>
                                                        </w:div>
                                                        <w:div w:id="15009322">
                                                          <w:marLeft w:val="0"/>
                                                          <w:marRight w:val="0"/>
                                                          <w:marTop w:val="0"/>
                                                          <w:marBottom w:val="0"/>
                                                          <w:divBdr>
                                                            <w:top w:val="none" w:sz="0" w:space="0" w:color="auto"/>
                                                            <w:left w:val="none" w:sz="0" w:space="0" w:color="auto"/>
                                                            <w:bottom w:val="none" w:sz="0" w:space="0" w:color="auto"/>
                                                            <w:right w:val="none" w:sz="0" w:space="0" w:color="auto"/>
                                                          </w:divBdr>
                                                          <w:divsChild>
                                                            <w:div w:id="1224412281">
                                                              <w:marLeft w:val="0"/>
                                                              <w:marRight w:val="0"/>
                                                              <w:marTop w:val="0"/>
                                                              <w:marBottom w:val="0"/>
                                                              <w:divBdr>
                                                                <w:top w:val="none" w:sz="0" w:space="0" w:color="auto"/>
                                                                <w:left w:val="none" w:sz="0" w:space="0" w:color="auto"/>
                                                                <w:bottom w:val="none" w:sz="0" w:space="0" w:color="auto"/>
                                                                <w:right w:val="none" w:sz="0" w:space="0" w:color="auto"/>
                                                              </w:divBdr>
                                                            </w:div>
                                                          </w:divsChild>
                                                        </w:div>
                                                        <w:div w:id="25179701">
                                                          <w:marLeft w:val="0"/>
                                                          <w:marRight w:val="0"/>
                                                          <w:marTop w:val="0"/>
                                                          <w:marBottom w:val="0"/>
                                                          <w:divBdr>
                                                            <w:top w:val="none" w:sz="0" w:space="0" w:color="auto"/>
                                                            <w:left w:val="none" w:sz="0" w:space="0" w:color="auto"/>
                                                            <w:bottom w:val="none" w:sz="0" w:space="0" w:color="auto"/>
                                                            <w:right w:val="none" w:sz="0" w:space="0" w:color="auto"/>
                                                          </w:divBdr>
                                                          <w:divsChild>
                                                            <w:div w:id="1937471573">
                                                              <w:marLeft w:val="0"/>
                                                              <w:marRight w:val="0"/>
                                                              <w:marTop w:val="0"/>
                                                              <w:marBottom w:val="0"/>
                                                              <w:divBdr>
                                                                <w:top w:val="none" w:sz="0" w:space="0" w:color="auto"/>
                                                                <w:left w:val="none" w:sz="0" w:space="0" w:color="auto"/>
                                                                <w:bottom w:val="none" w:sz="0" w:space="0" w:color="auto"/>
                                                                <w:right w:val="none" w:sz="0" w:space="0" w:color="auto"/>
                                                              </w:divBdr>
                                                            </w:div>
                                                          </w:divsChild>
                                                        </w:div>
                                                        <w:div w:id="32392764">
                                                          <w:marLeft w:val="0"/>
                                                          <w:marRight w:val="0"/>
                                                          <w:marTop w:val="0"/>
                                                          <w:marBottom w:val="0"/>
                                                          <w:divBdr>
                                                            <w:top w:val="none" w:sz="0" w:space="0" w:color="auto"/>
                                                            <w:left w:val="none" w:sz="0" w:space="0" w:color="auto"/>
                                                            <w:bottom w:val="none" w:sz="0" w:space="0" w:color="auto"/>
                                                            <w:right w:val="none" w:sz="0" w:space="0" w:color="auto"/>
                                                          </w:divBdr>
                                                          <w:divsChild>
                                                            <w:div w:id="1091125453">
                                                              <w:marLeft w:val="0"/>
                                                              <w:marRight w:val="0"/>
                                                              <w:marTop w:val="0"/>
                                                              <w:marBottom w:val="0"/>
                                                              <w:divBdr>
                                                                <w:top w:val="none" w:sz="0" w:space="0" w:color="auto"/>
                                                                <w:left w:val="none" w:sz="0" w:space="0" w:color="auto"/>
                                                                <w:bottom w:val="none" w:sz="0" w:space="0" w:color="auto"/>
                                                                <w:right w:val="none" w:sz="0" w:space="0" w:color="auto"/>
                                                              </w:divBdr>
                                                            </w:div>
                                                          </w:divsChild>
                                                        </w:div>
                                                        <w:div w:id="45497841">
                                                          <w:marLeft w:val="0"/>
                                                          <w:marRight w:val="0"/>
                                                          <w:marTop w:val="0"/>
                                                          <w:marBottom w:val="0"/>
                                                          <w:divBdr>
                                                            <w:top w:val="none" w:sz="0" w:space="0" w:color="auto"/>
                                                            <w:left w:val="none" w:sz="0" w:space="0" w:color="auto"/>
                                                            <w:bottom w:val="none" w:sz="0" w:space="0" w:color="auto"/>
                                                            <w:right w:val="none" w:sz="0" w:space="0" w:color="auto"/>
                                                          </w:divBdr>
                                                          <w:divsChild>
                                                            <w:div w:id="1411192740">
                                                              <w:marLeft w:val="0"/>
                                                              <w:marRight w:val="0"/>
                                                              <w:marTop w:val="0"/>
                                                              <w:marBottom w:val="0"/>
                                                              <w:divBdr>
                                                                <w:top w:val="none" w:sz="0" w:space="0" w:color="auto"/>
                                                                <w:left w:val="none" w:sz="0" w:space="0" w:color="auto"/>
                                                                <w:bottom w:val="none" w:sz="0" w:space="0" w:color="auto"/>
                                                                <w:right w:val="none" w:sz="0" w:space="0" w:color="auto"/>
                                                              </w:divBdr>
                                                            </w:div>
                                                          </w:divsChild>
                                                        </w:div>
                                                        <w:div w:id="61874204">
                                                          <w:marLeft w:val="0"/>
                                                          <w:marRight w:val="0"/>
                                                          <w:marTop w:val="0"/>
                                                          <w:marBottom w:val="0"/>
                                                          <w:divBdr>
                                                            <w:top w:val="none" w:sz="0" w:space="0" w:color="auto"/>
                                                            <w:left w:val="none" w:sz="0" w:space="0" w:color="auto"/>
                                                            <w:bottom w:val="none" w:sz="0" w:space="0" w:color="auto"/>
                                                            <w:right w:val="none" w:sz="0" w:space="0" w:color="auto"/>
                                                          </w:divBdr>
                                                          <w:divsChild>
                                                            <w:div w:id="957031787">
                                                              <w:marLeft w:val="0"/>
                                                              <w:marRight w:val="0"/>
                                                              <w:marTop w:val="0"/>
                                                              <w:marBottom w:val="0"/>
                                                              <w:divBdr>
                                                                <w:top w:val="none" w:sz="0" w:space="0" w:color="auto"/>
                                                                <w:left w:val="none" w:sz="0" w:space="0" w:color="auto"/>
                                                                <w:bottom w:val="none" w:sz="0" w:space="0" w:color="auto"/>
                                                                <w:right w:val="none" w:sz="0" w:space="0" w:color="auto"/>
                                                              </w:divBdr>
                                                            </w:div>
                                                          </w:divsChild>
                                                        </w:div>
                                                        <w:div w:id="65611619">
                                                          <w:marLeft w:val="0"/>
                                                          <w:marRight w:val="0"/>
                                                          <w:marTop w:val="0"/>
                                                          <w:marBottom w:val="0"/>
                                                          <w:divBdr>
                                                            <w:top w:val="none" w:sz="0" w:space="0" w:color="auto"/>
                                                            <w:left w:val="none" w:sz="0" w:space="0" w:color="auto"/>
                                                            <w:bottom w:val="none" w:sz="0" w:space="0" w:color="auto"/>
                                                            <w:right w:val="none" w:sz="0" w:space="0" w:color="auto"/>
                                                          </w:divBdr>
                                                          <w:divsChild>
                                                            <w:div w:id="1724911961">
                                                              <w:marLeft w:val="0"/>
                                                              <w:marRight w:val="0"/>
                                                              <w:marTop w:val="0"/>
                                                              <w:marBottom w:val="0"/>
                                                              <w:divBdr>
                                                                <w:top w:val="none" w:sz="0" w:space="0" w:color="auto"/>
                                                                <w:left w:val="none" w:sz="0" w:space="0" w:color="auto"/>
                                                                <w:bottom w:val="none" w:sz="0" w:space="0" w:color="auto"/>
                                                                <w:right w:val="none" w:sz="0" w:space="0" w:color="auto"/>
                                                              </w:divBdr>
                                                            </w:div>
                                                          </w:divsChild>
                                                        </w:div>
                                                        <w:div w:id="71895082">
                                                          <w:marLeft w:val="0"/>
                                                          <w:marRight w:val="0"/>
                                                          <w:marTop w:val="0"/>
                                                          <w:marBottom w:val="0"/>
                                                          <w:divBdr>
                                                            <w:top w:val="none" w:sz="0" w:space="0" w:color="auto"/>
                                                            <w:left w:val="none" w:sz="0" w:space="0" w:color="auto"/>
                                                            <w:bottom w:val="none" w:sz="0" w:space="0" w:color="auto"/>
                                                            <w:right w:val="none" w:sz="0" w:space="0" w:color="auto"/>
                                                          </w:divBdr>
                                                          <w:divsChild>
                                                            <w:div w:id="928387704">
                                                              <w:marLeft w:val="0"/>
                                                              <w:marRight w:val="0"/>
                                                              <w:marTop w:val="0"/>
                                                              <w:marBottom w:val="0"/>
                                                              <w:divBdr>
                                                                <w:top w:val="none" w:sz="0" w:space="0" w:color="auto"/>
                                                                <w:left w:val="none" w:sz="0" w:space="0" w:color="auto"/>
                                                                <w:bottom w:val="none" w:sz="0" w:space="0" w:color="auto"/>
                                                                <w:right w:val="none" w:sz="0" w:space="0" w:color="auto"/>
                                                              </w:divBdr>
                                                            </w:div>
                                                          </w:divsChild>
                                                        </w:div>
                                                        <w:div w:id="85928971">
                                                          <w:marLeft w:val="0"/>
                                                          <w:marRight w:val="0"/>
                                                          <w:marTop w:val="0"/>
                                                          <w:marBottom w:val="0"/>
                                                          <w:divBdr>
                                                            <w:top w:val="none" w:sz="0" w:space="0" w:color="auto"/>
                                                            <w:left w:val="none" w:sz="0" w:space="0" w:color="auto"/>
                                                            <w:bottom w:val="none" w:sz="0" w:space="0" w:color="auto"/>
                                                            <w:right w:val="none" w:sz="0" w:space="0" w:color="auto"/>
                                                          </w:divBdr>
                                                          <w:divsChild>
                                                            <w:div w:id="533541428">
                                                              <w:marLeft w:val="0"/>
                                                              <w:marRight w:val="0"/>
                                                              <w:marTop w:val="0"/>
                                                              <w:marBottom w:val="0"/>
                                                              <w:divBdr>
                                                                <w:top w:val="none" w:sz="0" w:space="0" w:color="auto"/>
                                                                <w:left w:val="none" w:sz="0" w:space="0" w:color="auto"/>
                                                                <w:bottom w:val="none" w:sz="0" w:space="0" w:color="auto"/>
                                                                <w:right w:val="none" w:sz="0" w:space="0" w:color="auto"/>
                                                              </w:divBdr>
                                                            </w:div>
                                                          </w:divsChild>
                                                        </w:div>
                                                        <w:div w:id="88963637">
                                                          <w:marLeft w:val="0"/>
                                                          <w:marRight w:val="0"/>
                                                          <w:marTop w:val="0"/>
                                                          <w:marBottom w:val="0"/>
                                                          <w:divBdr>
                                                            <w:top w:val="none" w:sz="0" w:space="0" w:color="auto"/>
                                                            <w:left w:val="none" w:sz="0" w:space="0" w:color="auto"/>
                                                            <w:bottom w:val="none" w:sz="0" w:space="0" w:color="auto"/>
                                                            <w:right w:val="none" w:sz="0" w:space="0" w:color="auto"/>
                                                          </w:divBdr>
                                                          <w:divsChild>
                                                            <w:div w:id="1210455532">
                                                              <w:marLeft w:val="0"/>
                                                              <w:marRight w:val="0"/>
                                                              <w:marTop w:val="0"/>
                                                              <w:marBottom w:val="0"/>
                                                              <w:divBdr>
                                                                <w:top w:val="none" w:sz="0" w:space="0" w:color="auto"/>
                                                                <w:left w:val="none" w:sz="0" w:space="0" w:color="auto"/>
                                                                <w:bottom w:val="none" w:sz="0" w:space="0" w:color="auto"/>
                                                                <w:right w:val="none" w:sz="0" w:space="0" w:color="auto"/>
                                                              </w:divBdr>
                                                            </w:div>
                                                          </w:divsChild>
                                                        </w:div>
                                                        <w:div w:id="93869876">
                                                          <w:marLeft w:val="0"/>
                                                          <w:marRight w:val="0"/>
                                                          <w:marTop w:val="0"/>
                                                          <w:marBottom w:val="0"/>
                                                          <w:divBdr>
                                                            <w:top w:val="none" w:sz="0" w:space="0" w:color="auto"/>
                                                            <w:left w:val="none" w:sz="0" w:space="0" w:color="auto"/>
                                                            <w:bottom w:val="none" w:sz="0" w:space="0" w:color="auto"/>
                                                            <w:right w:val="none" w:sz="0" w:space="0" w:color="auto"/>
                                                          </w:divBdr>
                                                          <w:divsChild>
                                                            <w:div w:id="745342132">
                                                              <w:marLeft w:val="0"/>
                                                              <w:marRight w:val="0"/>
                                                              <w:marTop w:val="0"/>
                                                              <w:marBottom w:val="0"/>
                                                              <w:divBdr>
                                                                <w:top w:val="none" w:sz="0" w:space="0" w:color="auto"/>
                                                                <w:left w:val="none" w:sz="0" w:space="0" w:color="auto"/>
                                                                <w:bottom w:val="none" w:sz="0" w:space="0" w:color="auto"/>
                                                                <w:right w:val="none" w:sz="0" w:space="0" w:color="auto"/>
                                                              </w:divBdr>
                                                            </w:div>
                                                          </w:divsChild>
                                                        </w:div>
                                                        <w:div w:id="102769023">
                                                          <w:marLeft w:val="0"/>
                                                          <w:marRight w:val="0"/>
                                                          <w:marTop w:val="0"/>
                                                          <w:marBottom w:val="0"/>
                                                          <w:divBdr>
                                                            <w:top w:val="none" w:sz="0" w:space="0" w:color="auto"/>
                                                            <w:left w:val="none" w:sz="0" w:space="0" w:color="auto"/>
                                                            <w:bottom w:val="none" w:sz="0" w:space="0" w:color="auto"/>
                                                            <w:right w:val="none" w:sz="0" w:space="0" w:color="auto"/>
                                                          </w:divBdr>
                                                          <w:divsChild>
                                                            <w:div w:id="880552222">
                                                              <w:marLeft w:val="0"/>
                                                              <w:marRight w:val="0"/>
                                                              <w:marTop w:val="0"/>
                                                              <w:marBottom w:val="0"/>
                                                              <w:divBdr>
                                                                <w:top w:val="none" w:sz="0" w:space="0" w:color="auto"/>
                                                                <w:left w:val="none" w:sz="0" w:space="0" w:color="auto"/>
                                                                <w:bottom w:val="none" w:sz="0" w:space="0" w:color="auto"/>
                                                                <w:right w:val="none" w:sz="0" w:space="0" w:color="auto"/>
                                                              </w:divBdr>
                                                            </w:div>
                                                          </w:divsChild>
                                                        </w:div>
                                                        <w:div w:id="103306778">
                                                          <w:marLeft w:val="0"/>
                                                          <w:marRight w:val="0"/>
                                                          <w:marTop w:val="0"/>
                                                          <w:marBottom w:val="0"/>
                                                          <w:divBdr>
                                                            <w:top w:val="none" w:sz="0" w:space="0" w:color="auto"/>
                                                            <w:left w:val="none" w:sz="0" w:space="0" w:color="auto"/>
                                                            <w:bottom w:val="none" w:sz="0" w:space="0" w:color="auto"/>
                                                            <w:right w:val="none" w:sz="0" w:space="0" w:color="auto"/>
                                                          </w:divBdr>
                                                          <w:divsChild>
                                                            <w:div w:id="654377020">
                                                              <w:marLeft w:val="0"/>
                                                              <w:marRight w:val="0"/>
                                                              <w:marTop w:val="0"/>
                                                              <w:marBottom w:val="0"/>
                                                              <w:divBdr>
                                                                <w:top w:val="none" w:sz="0" w:space="0" w:color="auto"/>
                                                                <w:left w:val="none" w:sz="0" w:space="0" w:color="auto"/>
                                                                <w:bottom w:val="none" w:sz="0" w:space="0" w:color="auto"/>
                                                                <w:right w:val="none" w:sz="0" w:space="0" w:color="auto"/>
                                                              </w:divBdr>
                                                            </w:div>
                                                          </w:divsChild>
                                                        </w:div>
                                                        <w:div w:id="106849628">
                                                          <w:marLeft w:val="0"/>
                                                          <w:marRight w:val="0"/>
                                                          <w:marTop w:val="0"/>
                                                          <w:marBottom w:val="0"/>
                                                          <w:divBdr>
                                                            <w:top w:val="none" w:sz="0" w:space="0" w:color="auto"/>
                                                            <w:left w:val="none" w:sz="0" w:space="0" w:color="auto"/>
                                                            <w:bottom w:val="none" w:sz="0" w:space="0" w:color="auto"/>
                                                            <w:right w:val="none" w:sz="0" w:space="0" w:color="auto"/>
                                                          </w:divBdr>
                                                          <w:divsChild>
                                                            <w:div w:id="27537378">
                                                              <w:marLeft w:val="0"/>
                                                              <w:marRight w:val="0"/>
                                                              <w:marTop w:val="0"/>
                                                              <w:marBottom w:val="0"/>
                                                              <w:divBdr>
                                                                <w:top w:val="none" w:sz="0" w:space="0" w:color="auto"/>
                                                                <w:left w:val="none" w:sz="0" w:space="0" w:color="auto"/>
                                                                <w:bottom w:val="none" w:sz="0" w:space="0" w:color="auto"/>
                                                                <w:right w:val="none" w:sz="0" w:space="0" w:color="auto"/>
                                                              </w:divBdr>
                                                            </w:div>
                                                          </w:divsChild>
                                                        </w:div>
                                                        <w:div w:id="121316375">
                                                          <w:marLeft w:val="0"/>
                                                          <w:marRight w:val="0"/>
                                                          <w:marTop w:val="0"/>
                                                          <w:marBottom w:val="0"/>
                                                          <w:divBdr>
                                                            <w:top w:val="none" w:sz="0" w:space="0" w:color="auto"/>
                                                            <w:left w:val="none" w:sz="0" w:space="0" w:color="auto"/>
                                                            <w:bottom w:val="none" w:sz="0" w:space="0" w:color="auto"/>
                                                            <w:right w:val="none" w:sz="0" w:space="0" w:color="auto"/>
                                                          </w:divBdr>
                                                          <w:divsChild>
                                                            <w:div w:id="605842780">
                                                              <w:marLeft w:val="0"/>
                                                              <w:marRight w:val="0"/>
                                                              <w:marTop w:val="0"/>
                                                              <w:marBottom w:val="0"/>
                                                              <w:divBdr>
                                                                <w:top w:val="none" w:sz="0" w:space="0" w:color="auto"/>
                                                                <w:left w:val="none" w:sz="0" w:space="0" w:color="auto"/>
                                                                <w:bottom w:val="none" w:sz="0" w:space="0" w:color="auto"/>
                                                                <w:right w:val="none" w:sz="0" w:space="0" w:color="auto"/>
                                                              </w:divBdr>
                                                            </w:div>
                                                          </w:divsChild>
                                                        </w:div>
                                                        <w:div w:id="123474421">
                                                          <w:marLeft w:val="0"/>
                                                          <w:marRight w:val="0"/>
                                                          <w:marTop w:val="0"/>
                                                          <w:marBottom w:val="0"/>
                                                          <w:divBdr>
                                                            <w:top w:val="none" w:sz="0" w:space="0" w:color="auto"/>
                                                            <w:left w:val="none" w:sz="0" w:space="0" w:color="auto"/>
                                                            <w:bottom w:val="none" w:sz="0" w:space="0" w:color="auto"/>
                                                            <w:right w:val="none" w:sz="0" w:space="0" w:color="auto"/>
                                                          </w:divBdr>
                                                        </w:div>
                                                        <w:div w:id="129173390">
                                                          <w:marLeft w:val="0"/>
                                                          <w:marRight w:val="0"/>
                                                          <w:marTop w:val="0"/>
                                                          <w:marBottom w:val="0"/>
                                                          <w:divBdr>
                                                            <w:top w:val="none" w:sz="0" w:space="0" w:color="auto"/>
                                                            <w:left w:val="none" w:sz="0" w:space="0" w:color="auto"/>
                                                            <w:bottom w:val="none" w:sz="0" w:space="0" w:color="auto"/>
                                                            <w:right w:val="none" w:sz="0" w:space="0" w:color="auto"/>
                                                          </w:divBdr>
                                                          <w:divsChild>
                                                            <w:div w:id="2057465363">
                                                              <w:marLeft w:val="0"/>
                                                              <w:marRight w:val="0"/>
                                                              <w:marTop w:val="0"/>
                                                              <w:marBottom w:val="0"/>
                                                              <w:divBdr>
                                                                <w:top w:val="none" w:sz="0" w:space="0" w:color="auto"/>
                                                                <w:left w:val="none" w:sz="0" w:space="0" w:color="auto"/>
                                                                <w:bottom w:val="none" w:sz="0" w:space="0" w:color="auto"/>
                                                                <w:right w:val="none" w:sz="0" w:space="0" w:color="auto"/>
                                                              </w:divBdr>
                                                            </w:div>
                                                          </w:divsChild>
                                                        </w:div>
                                                        <w:div w:id="138302033">
                                                          <w:marLeft w:val="0"/>
                                                          <w:marRight w:val="0"/>
                                                          <w:marTop w:val="0"/>
                                                          <w:marBottom w:val="0"/>
                                                          <w:divBdr>
                                                            <w:top w:val="none" w:sz="0" w:space="0" w:color="auto"/>
                                                            <w:left w:val="none" w:sz="0" w:space="0" w:color="auto"/>
                                                            <w:bottom w:val="none" w:sz="0" w:space="0" w:color="auto"/>
                                                            <w:right w:val="none" w:sz="0" w:space="0" w:color="auto"/>
                                                          </w:divBdr>
                                                        </w:div>
                                                        <w:div w:id="147521565">
                                                          <w:marLeft w:val="0"/>
                                                          <w:marRight w:val="0"/>
                                                          <w:marTop w:val="0"/>
                                                          <w:marBottom w:val="0"/>
                                                          <w:divBdr>
                                                            <w:top w:val="none" w:sz="0" w:space="0" w:color="auto"/>
                                                            <w:left w:val="none" w:sz="0" w:space="0" w:color="auto"/>
                                                            <w:bottom w:val="none" w:sz="0" w:space="0" w:color="auto"/>
                                                            <w:right w:val="none" w:sz="0" w:space="0" w:color="auto"/>
                                                          </w:divBdr>
                                                          <w:divsChild>
                                                            <w:div w:id="453408513">
                                                              <w:marLeft w:val="0"/>
                                                              <w:marRight w:val="0"/>
                                                              <w:marTop w:val="0"/>
                                                              <w:marBottom w:val="0"/>
                                                              <w:divBdr>
                                                                <w:top w:val="none" w:sz="0" w:space="0" w:color="auto"/>
                                                                <w:left w:val="none" w:sz="0" w:space="0" w:color="auto"/>
                                                                <w:bottom w:val="none" w:sz="0" w:space="0" w:color="auto"/>
                                                                <w:right w:val="none" w:sz="0" w:space="0" w:color="auto"/>
                                                              </w:divBdr>
                                                            </w:div>
                                                          </w:divsChild>
                                                        </w:div>
                                                        <w:div w:id="170798462">
                                                          <w:marLeft w:val="0"/>
                                                          <w:marRight w:val="0"/>
                                                          <w:marTop w:val="0"/>
                                                          <w:marBottom w:val="0"/>
                                                          <w:divBdr>
                                                            <w:top w:val="none" w:sz="0" w:space="0" w:color="auto"/>
                                                            <w:left w:val="none" w:sz="0" w:space="0" w:color="auto"/>
                                                            <w:bottom w:val="none" w:sz="0" w:space="0" w:color="auto"/>
                                                            <w:right w:val="none" w:sz="0" w:space="0" w:color="auto"/>
                                                          </w:divBdr>
                                                          <w:divsChild>
                                                            <w:div w:id="1336880758">
                                                              <w:marLeft w:val="0"/>
                                                              <w:marRight w:val="0"/>
                                                              <w:marTop w:val="0"/>
                                                              <w:marBottom w:val="0"/>
                                                              <w:divBdr>
                                                                <w:top w:val="none" w:sz="0" w:space="0" w:color="auto"/>
                                                                <w:left w:val="none" w:sz="0" w:space="0" w:color="auto"/>
                                                                <w:bottom w:val="none" w:sz="0" w:space="0" w:color="auto"/>
                                                                <w:right w:val="none" w:sz="0" w:space="0" w:color="auto"/>
                                                              </w:divBdr>
                                                            </w:div>
                                                          </w:divsChild>
                                                        </w:div>
                                                        <w:div w:id="174612851">
                                                          <w:marLeft w:val="0"/>
                                                          <w:marRight w:val="0"/>
                                                          <w:marTop w:val="0"/>
                                                          <w:marBottom w:val="0"/>
                                                          <w:divBdr>
                                                            <w:top w:val="none" w:sz="0" w:space="0" w:color="auto"/>
                                                            <w:left w:val="none" w:sz="0" w:space="0" w:color="auto"/>
                                                            <w:bottom w:val="none" w:sz="0" w:space="0" w:color="auto"/>
                                                            <w:right w:val="none" w:sz="0" w:space="0" w:color="auto"/>
                                                          </w:divBdr>
                                                        </w:div>
                                                        <w:div w:id="176383923">
                                                          <w:marLeft w:val="0"/>
                                                          <w:marRight w:val="0"/>
                                                          <w:marTop w:val="0"/>
                                                          <w:marBottom w:val="0"/>
                                                          <w:divBdr>
                                                            <w:top w:val="none" w:sz="0" w:space="0" w:color="auto"/>
                                                            <w:left w:val="none" w:sz="0" w:space="0" w:color="auto"/>
                                                            <w:bottom w:val="none" w:sz="0" w:space="0" w:color="auto"/>
                                                            <w:right w:val="none" w:sz="0" w:space="0" w:color="auto"/>
                                                          </w:divBdr>
                                                          <w:divsChild>
                                                            <w:div w:id="1162967549">
                                                              <w:marLeft w:val="0"/>
                                                              <w:marRight w:val="0"/>
                                                              <w:marTop w:val="0"/>
                                                              <w:marBottom w:val="0"/>
                                                              <w:divBdr>
                                                                <w:top w:val="none" w:sz="0" w:space="0" w:color="auto"/>
                                                                <w:left w:val="none" w:sz="0" w:space="0" w:color="auto"/>
                                                                <w:bottom w:val="none" w:sz="0" w:space="0" w:color="auto"/>
                                                                <w:right w:val="none" w:sz="0" w:space="0" w:color="auto"/>
                                                              </w:divBdr>
                                                            </w:div>
                                                          </w:divsChild>
                                                        </w:div>
                                                        <w:div w:id="194928725">
                                                          <w:marLeft w:val="0"/>
                                                          <w:marRight w:val="0"/>
                                                          <w:marTop w:val="0"/>
                                                          <w:marBottom w:val="0"/>
                                                          <w:divBdr>
                                                            <w:top w:val="none" w:sz="0" w:space="0" w:color="auto"/>
                                                            <w:left w:val="none" w:sz="0" w:space="0" w:color="auto"/>
                                                            <w:bottom w:val="none" w:sz="0" w:space="0" w:color="auto"/>
                                                            <w:right w:val="none" w:sz="0" w:space="0" w:color="auto"/>
                                                          </w:divBdr>
                                                          <w:divsChild>
                                                            <w:div w:id="697659590">
                                                              <w:marLeft w:val="0"/>
                                                              <w:marRight w:val="0"/>
                                                              <w:marTop w:val="0"/>
                                                              <w:marBottom w:val="0"/>
                                                              <w:divBdr>
                                                                <w:top w:val="none" w:sz="0" w:space="0" w:color="auto"/>
                                                                <w:left w:val="none" w:sz="0" w:space="0" w:color="auto"/>
                                                                <w:bottom w:val="none" w:sz="0" w:space="0" w:color="auto"/>
                                                                <w:right w:val="none" w:sz="0" w:space="0" w:color="auto"/>
                                                              </w:divBdr>
                                                            </w:div>
                                                          </w:divsChild>
                                                        </w:div>
                                                        <w:div w:id="211622300">
                                                          <w:marLeft w:val="0"/>
                                                          <w:marRight w:val="0"/>
                                                          <w:marTop w:val="0"/>
                                                          <w:marBottom w:val="0"/>
                                                          <w:divBdr>
                                                            <w:top w:val="none" w:sz="0" w:space="0" w:color="auto"/>
                                                            <w:left w:val="none" w:sz="0" w:space="0" w:color="auto"/>
                                                            <w:bottom w:val="none" w:sz="0" w:space="0" w:color="auto"/>
                                                            <w:right w:val="none" w:sz="0" w:space="0" w:color="auto"/>
                                                          </w:divBdr>
                                                          <w:divsChild>
                                                            <w:div w:id="1489008865">
                                                              <w:marLeft w:val="0"/>
                                                              <w:marRight w:val="0"/>
                                                              <w:marTop w:val="0"/>
                                                              <w:marBottom w:val="0"/>
                                                              <w:divBdr>
                                                                <w:top w:val="none" w:sz="0" w:space="0" w:color="auto"/>
                                                                <w:left w:val="none" w:sz="0" w:space="0" w:color="auto"/>
                                                                <w:bottom w:val="none" w:sz="0" w:space="0" w:color="auto"/>
                                                                <w:right w:val="none" w:sz="0" w:space="0" w:color="auto"/>
                                                              </w:divBdr>
                                                            </w:div>
                                                          </w:divsChild>
                                                        </w:div>
                                                        <w:div w:id="212622444">
                                                          <w:marLeft w:val="0"/>
                                                          <w:marRight w:val="0"/>
                                                          <w:marTop w:val="0"/>
                                                          <w:marBottom w:val="0"/>
                                                          <w:divBdr>
                                                            <w:top w:val="none" w:sz="0" w:space="0" w:color="auto"/>
                                                            <w:left w:val="none" w:sz="0" w:space="0" w:color="auto"/>
                                                            <w:bottom w:val="none" w:sz="0" w:space="0" w:color="auto"/>
                                                            <w:right w:val="none" w:sz="0" w:space="0" w:color="auto"/>
                                                          </w:divBdr>
                                                          <w:divsChild>
                                                            <w:div w:id="678896739">
                                                              <w:marLeft w:val="0"/>
                                                              <w:marRight w:val="0"/>
                                                              <w:marTop w:val="0"/>
                                                              <w:marBottom w:val="0"/>
                                                              <w:divBdr>
                                                                <w:top w:val="none" w:sz="0" w:space="0" w:color="auto"/>
                                                                <w:left w:val="none" w:sz="0" w:space="0" w:color="auto"/>
                                                                <w:bottom w:val="none" w:sz="0" w:space="0" w:color="auto"/>
                                                                <w:right w:val="none" w:sz="0" w:space="0" w:color="auto"/>
                                                              </w:divBdr>
                                                            </w:div>
                                                          </w:divsChild>
                                                        </w:div>
                                                        <w:div w:id="220990595">
                                                          <w:marLeft w:val="0"/>
                                                          <w:marRight w:val="0"/>
                                                          <w:marTop w:val="0"/>
                                                          <w:marBottom w:val="0"/>
                                                          <w:divBdr>
                                                            <w:top w:val="none" w:sz="0" w:space="0" w:color="auto"/>
                                                            <w:left w:val="none" w:sz="0" w:space="0" w:color="auto"/>
                                                            <w:bottom w:val="none" w:sz="0" w:space="0" w:color="auto"/>
                                                            <w:right w:val="none" w:sz="0" w:space="0" w:color="auto"/>
                                                          </w:divBdr>
                                                        </w:div>
                                                        <w:div w:id="241960225">
                                                          <w:marLeft w:val="0"/>
                                                          <w:marRight w:val="0"/>
                                                          <w:marTop w:val="0"/>
                                                          <w:marBottom w:val="0"/>
                                                          <w:divBdr>
                                                            <w:top w:val="none" w:sz="0" w:space="0" w:color="auto"/>
                                                            <w:left w:val="none" w:sz="0" w:space="0" w:color="auto"/>
                                                            <w:bottom w:val="none" w:sz="0" w:space="0" w:color="auto"/>
                                                            <w:right w:val="none" w:sz="0" w:space="0" w:color="auto"/>
                                                          </w:divBdr>
                                                          <w:divsChild>
                                                            <w:div w:id="1973056033">
                                                              <w:marLeft w:val="0"/>
                                                              <w:marRight w:val="0"/>
                                                              <w:marTop w:val="0"/>
                                                              <w:marBottom w:val="0"/>
                                                              <w:divBdr>
                                                                <w:top w:val="none" w:sz="0" w:space="0" w:color="auto"/>
                                                                <w:left w:val="none" w:sz="0" w:space="0" w:color="auto"/>
                                                                <w:bottom w:val="none" w:sz="0" w:space="0" w:color="auto"/>
                                                                <w:right w:val="none" w:sz="0" w:space="0" w:color="auto"/>
                                                              </w:divBdr>
                                                            </w:div>
                                                          </w:divsChild>
                                                        </w:div>
                                                        <w:div w:id="245387639">
                                                          <w:marLeft w:val="0"/>
                                                          <w:marRight w:val="0"/>
                                                          <w:marTop w:val="0"/>
                                                          <w:marBottom w:val="0"/>
                                                          <w:divBdr>
                                                            <w:top w:val="none" w:sz="0" w:space="0" w:color="auto"/>
                                                            <w:left w:val="none" w:sz="0" w:space="0" w:color="auto"/>
                                                            <w:bottom w:val="none" w:sz="0" w:space="0" w:color="auto"/>
                                                            <w:right w:val="none" w:sz="0" w:space="0" w:color="auto"/>
                                                          </w:divBdr>
                                                          <w:divsChild>
                                                            <w:div w:id="428358901">
                                                              <w:marLeft w:val="0"/>
                                                              <w:marRight w:val="0"/>
                                                              <w:marTop w:val="0"/>
                                                              <w:marBottom w:val="0"/>
                                                              <w:divBdr>
                                                                <w:top w:val="none" w:sz="0" w:space="0" w:color="auto"/>
                                                                <w:left w:val="none" w:sz="0" w:space="0" w:color="auto"/>
                                                                <w:bottom w:val="none" w:sz="0" w:space="0" w:color="auto"/>
                                                                <w:right w:val="none" w:sz="0" w:space="0" w:color="auto"/>
                                                              </w:divBdr>
                                                            </w:div>
                                                          </w:divsChild>
                                                        </w:div>
                                                        <w:div w:id="252861857">
                                                          <w:marLeft w:val="0"/>
                                                          <w:marRight w:val="0"/>
                                                          <w:marTop w:val="0"/>
                                                          <w:marBottom w:val="0"/>
                                                          <w:divBdr>
                                                            <w:top w:val="none" w:sz="0" w:space="0" w:color="auto"/>
                                                            <w:left w:val="none" w:sz="0" w:space="0" w:color="auto"/>
                                                            <w:bottom w:val="none" w:sz="0" w:space="0" w:color="auto"/>
                                                            <w:right w:val="none" w:sz="0" w:space="0" w:color="auto"/>
                                                          </w:divBdr>
                                                          <w:divsChild>
                                                            <w:div w:id="84806213">
                                                              <w:marLeft w:val="0"/>
                                                              <w:marRight w:val="0"/>
                                                              <w:marTop w:val="0"/>
                                                              <w:marBottom w:val="0"/>
                                                              <w:divBdr>
                                                                <w:top w:val="none" w:sz="0" w:space="0" w:color="auto"/>
                                                                <w:left w:val="none" w:sz="0" w:space="0" w:color="auto"/>
                                                                <w:bottom w:val="none" w:sz="0" w:space="0" w:color="auto"/>
                                                                <w:right w:val="none" w:sz="0" w:space="0" w:color="auto"/>
                                                              </w:divBdr>
                                                            </w:div>
                                                          </w:divsChild>
                                                        </w:div>
                                                        <w:div w:id="258418724">
                                                          <w:marLeft w:val="0"/>
                                                          <w:marRight w:val="0"/>
                                                          <w:marTop w:val="0"/>
                                                          <w:marBottom w:val="0"/>
                                                          <w:divBdr>
                                                            <w:top w:val="none" w:sz="0" w:space="0" w:color="auto"/>
                                                            <w:left w:val="none" w:sz="0" w:space="0" w:color="auto"/>
                                                            <w:bottom w:val="none" w:sz="0" w:space="0" w:color="auto"/>
                                                            <w:right w:val="none" w:sz="0" w:space="0" w:color="auto"/>
                                                          </w:divBdr>
                                                          <w:divsChild>
                                                            <w:div w:id="2006741998">
                                                              <w:marLeft w:val="0"/>
                                                              <w:marRight w:val="0"/>
                                                              <w:marTop w:val="0"/>
                                                              <w:marBottom w:val="0"/>
                                                              <w:divBdr>
                                                                <w:top w:val="none" w:sz="0" w:space="0" w:color="auto"/>
                                                                <w:left w:val="none" w:sz="0" w:space="0" w:color="auto"/>
                                                                <w:bottom w:val="none" w:sz="0" w:space="0" w:color="auto"/>
                                                                <w:right w:val="none" w:sz="0" w:space="0" w:color="auto"/>
                                                              </w:divBdr>
                                                            </w:div>
                                                          </w:divsChild>
                                                        </w:div>
                                                        <w:div w:id="264269324">
                                                          <w:marLeft w:val="0"/>
                                                          <w:marRight w:val="0"/>
                                                          <w:marTop w:val="0"/>
                                                          <w:marBottom w:val="0"/>
                                                          <w:divBdr>
                                                            <w:top w:val="none" w:sz="0" w:space="0" w:color="auto"/>
                                                            <w:left w:val="none" w:sz="0" w:space="0" w:color="auto"/>
                                                            <w:bottom w:val="none" w:sz="0" w:space="0" w:color="auto"/>
                                                            <w:right w:val="none" w:sz="0" w:space="0" w:color="auto"/>
                                                          </w:divBdr>
                                                        </w:div>
                                                        <w:div w:id="266352567">
                                                          <w:marLeft w:val="0"/>
                                                          <w:marRight w:val="0"/>
                                                          <w:marTop w:val="0"/>
                                                          <w:marBottom w:val="0"/>
                                                          <w:divBdr>
                                                            <w:top w:val="none" w:sz="0" w:space="0" w:color="auto"/>
                                                            <w:left w:val="none" w:sz="0" w:space="0" w:color="auto"/>
                                                            <w:bottom w:val="none" w:sz="0" w:space="0" w:color="auto"/>
                                                            <w:right w:val="none" w:sz="0" w:space="0" w:color="auto"/>
                                                          </w:divBdr>
                                                          <w:divsChild>
                                                            <w:div w:id="240797361">
                                                              <w:marLeft w:val="0"/>
                                                              <w:marRight w:val="0"/>
                                                              <w:marTop w:val="0"/>
                                                              <w:marBottom w:val="0"/>
                                                              <w:divBdr>
                                                                <w:top w:val="none" w:sz="0" w:space="0" w:color="auto"/>
                                                                <w:left w:val="none" w:sz="0" w:space="0" w:color="auto"/>
                                                                <w:bottom w:val="none" w:sz="0" w:space="0" w:color="auto"/>
                                                                <w:right w:val="none" w:sz="0" w:space="0" w:color="auto"/>
                                                              </w:divBdr>
                                                            </w:div>
                                                          </w:divsChild>
                                                        </w:div>
                                                        <w:div w:id="271597705">
                                                          <w:marLeft w:val="0"/>
                                                          <w:marRight w:val="0"/>
                                                          <w:marTop w:val="0"/>
                                                          <w:marBottom w:val="0"/>
                                                          <w:divBdr>
                                                            <w:top w:val="none" w:sz="0" w:space="0" w:color="auto"/>
                                                            <w:left w:val="none" w:sz="0" w:space="0" w:color="auto"/>
                                                            <w:bottom w:val="none" w:sz="0" w:space="0" w:color="auto"/>
                                                            <w:right w:val="none" w:sz="0" w:space="0" w:color="auto"/>
                                                          </w:divBdr>
                                                          <w:divsChild>
                                                            <w:div w:id="280041020">
                                                              <w:marLeft w:val="0"/>
                                                              <w:marRight w:val="0"/>
                                                              <w:marTop w:val="0"/>
                                                              <w:marBottom w:val="0"/>
                                                              <w:divBdr>
                                                                <w:top w:val="none" w:sz="0" w:space="0" w:color="auto"/>
                                                                <w:left w:val="none" w:sz="0" w:space="0" w:color="auto"/>
                                                                <w:bottom w:val="none" w:sz="0" w:space="0" w:color="auto"/>
                                                                <w:right w:val="none" w:sz="0" w:space="0" w:color="auto"/>
                                                              </w:divBdr>
                                                            </w:div>
                                                          </w:divsChild>
                                                        </w:div>
                                                        <w:div w:id="275647635">
                                                          <w:marLeft w:val="0"/>
                                                          <w:marRight w:val="0"/>
                                                          <w:marTop w:val="0"/>
                                                          <w:marBottom w:val="0"/>
                                                          <w:divBdr>
                                                            <w:top w:val="none" w:sz="0" w:space="0" w:color="auto"/>
                                                            <w:left w:val="none" w:sz="0" w:space="0" w:color="auto"/>
                                                            <w:bottom w:val="none" w:sz="0" w:space="0" w:color="auto"/>
                                                            <w:right w:val="none" w:sz="0" w:space="0" w:color="auto"/>
                                                          </w:divBdr>
                                                        </w:div>
                                                        <w:div w:id="330253380">
                                                          <w:marLeft w:val="0"/>
                                                          <w:marRight w:val="0"/>
                                                          <w:marTop w:val="0"/>
                                                          <w:marBottom w:val="0"/>
                                                          <w:divBdr>
                                                            <w:top w:val="none" w:sz="0" w:space="0" w:color="auto"/>
                                                            <w:left w:val="none" w:sz="0" w:space="0" w:color="auto"/>
                                                            <w:bottom w:val="none" w:sz="0" w:space="0" w:color="auto"/>
                                                            <w:right w:val="none" w:sz="0" w:space="0" w:color="auto"/>
                                                          </w:divBdr>
                                                          <w:divsChild>
                                                            <w:div w:id="1131245319">
                                                              <w:marLeft w:val="0"/>
                                                              <w:marRight w:val="0"/>
                                                              <w:marTop w:val="0"/>
                                                              <w:marBottom w:val="0"/>
                                                              <w:divBdr>
                                                                <w:top w:val="none" w:sz="0" w:space="0" w:color="auto"/>
                                                                <w:left w:val="none" w:sz="0" w:space="0" w:color="auto"/>
                                                                <w:bottom w:val="none" w:sz="0" w:space="0" w:color="auto"/>
                                                                <w:right w:val="none" w:sz="0" w:space="0" w:color="auto"/>
                                                              </w:divBdr>
                                                            </w:div>
                                                          </w:divsChild>
                                                        </w:div>
                                                        <w:div w:id="336075282">
                                                          <w:marLeft w:val="0"/>
                                                          <w:marRight w:val="0"/>
                                                          <w:marTop w:val="0"/>
                                                          <w:marBottom w:val="0"/>
                                                          <w:divBdr>
                                                            <w:top w:val="none" w:sz="0" w:space="0" w:color="auto"/>
                                                            <w:left w:val="none" w:sz="0" w:space="0" w:color="auto"/>
                                                            <w:bottom w:val="none" w:sz="0" w:space="0" w:color="auto"/>
                                                            <w:right w:val="none" w:sz="0" w:space="0" w:color="auto"/>
                                                          </w:divBdr>
                                                          <w:divsChild>
                                                            <w:div w:id="860779952">
                                                              <w:marLeft w:val="0"/>
                                                              <w:marRight w:val="0"/>
                                                              <w:marTop w:val="0"/>
                                                              <w:marBottom w:val="0"/>
                                                              <w:divBdr>
                                                                <w:top w:val="none" w:sz="0" w:space="0" w:color="auto"/>
                                                                <w:left w:val="none" w:sz="0" w:space="0" w:color="auto"/>
                                                                <w:bottom w:val="none" w:sz="0" w:space="0" w:color="auto"/>
                                                                <w:right w:val="none" w:sz="0" w:space="0" w:color="auto"/>
                                                              </w:divBdr>
                                                            </w:div>
                                                          </w:divsChild>
                                                        </w:div>
                                                        <w:div w:id="344136246">
                                                          <w:marLeft w:val="0"/>
                                                          <w:marRight w:val="0"/>
                                                          <w:marTop w:val="0"/>
                                                          <w:marBottom w:val="0"/>
                                                          <w:divBdr>
                                                            <w:top w:val="none" w:sz="0" w:space="0" w:color="auto"/>
                                                            <w:left w:val="none" w:sz="0" w:space="0" w:color="auto"/>
                                                            <w:bottom w:val="none" w:sz="0" w:space="0" w:color="auto"/>
                                                            <w:right w:val="none" w:sz="0" w:space="0" w:color="auto"/>
                                                          </w:divBdr>
                                                          <w:divsChild>
                                                            <w:div w:id="269436576">
                                                              <w:marLeft w:val="0"/>
                                                              <w:marRight w:val="0"/>
                                                              <w:marTop w:val="0"/>
                                                              <w:marBottom w:val="0"/>
                                                              <w:divBdr>
                                                                <w:top w:val="none" w:sz="0" w:space="0" w:color="auto"/>
                                                                <w:left w:val="none" w:sz="0" w:space="0" w:color="auto"/>
                                                                <w:bottom w:val="none" w:sz="0" w:space="0" w:color="auto"/>
                                                                <w:right w:val="none" w:sz="0" w:space="0" w:color="auto"/>
                                                              </w:divBdr>
                                                            </w:div>
                                                          </w:divsChild>
                                                        </w:div>
                                                        <w:div w:id="344216419">
                                                          <w:marLeft w:val="0"/>
                                                          <w:marRight w:val="0"/>
                                                          <w:marTop w:val="0"/>
                                                          <w:marBottom w:val="0"/>
                                                          <w:divBdr>
                                                            <w:top w:val="none" w:sz="0" w:space="0" w:color="auto"/>
                                                            <w:left w:val="none" w:sz="0" w:space="0" w:color="auto"/>
                                                            <w:bottom w:val="none" w:sz="0" w:space="0" w:color="auto"/>
                                                            <w:right w:val="none" w:sz="0" w:space="0" w:color="auto"/>
                                                          </w:divBdr>
                                                        </w:div>
                                                        <w:div w:id="345328706">
                                                          <w:marLeft w:val="0"/>
                                                          <w:marRight w:val="0"/>
                                                          <w:marTop w:val="0"/>
                                                          <w:marBottom w:val="0"/>
                                                          <w:divBdr>
                                                            <w:top w:val="none" w:sz="0" w:space="0" w:color="auto"/>
                                                            <w:left w:val="none" w:sz="0" w:space="0" w:color="auto"/>
                                                            <w:bottom w:val="none" w:sz="0" w:space="0" w:color="auto"/>
                                                            <w:right w:val="none" w:sz="0" w:space="0" w:color="auto"/>
                                                          </w:divBdr>
                                                          <w:divsChild>
                                                            <w:div w:id="1656252757">
                                                              <w:marLeft w:val="0"/>
                                                              <w:marRight w:val="0"/>
                                                              <w:marTop w:val="0"/>
                                                              <w:marBottom w:val="0"/>
                                                              <w:divBdr>
                                                                <w:top w:val="none" w:sz="0" w:space="0" w:color="auto"/>
                                                                <w:left w:val="none" w:sz="0" w:space="0" w:color="auto"/>
                                                                <w:bottom w:val="none" w:sz="0" w:space="0" w:color="auto"/>
                                                                <w:right w:val="none" w:sz="0" w:space="0" w:color="auto"/>
                                                              </w:divBdr>
                                                            </w:div>
                                                          </w:divsChild>
                                                        </w:div>
                                                        <w:div w:id="359480075">
                                                          <w:marLeft w:val="0"/>
                                                          <w:marRight w:val="0"/>
                                                          <w:marTop w:val="0"/>
                                                          <w:marBottom w:val="0"/>
                                                          <w:divBdr>
                                                            <w:top w:val="none" w:sz="0" w:space="0" w:color="auto"/>
                                                            <w:left w:val="none" w:sz="0" w:space="0" w:color="auto"/>
                                                            <w:bottom w:val="none" w:sz="0" w:space="0" w:color="auto"/>
                                                            <w:right w:val="none" w:sz="0" w:space="0" w:color="auto"/>
                                                          </w:divBdr>
                                                          <w:divsChild>
                                                            <w:div w:id="84228351">
                                                              <w:marLeft w:val="0"/>
                                                              <w:marRight w:val="0"/>
                                                              <w:marTop w:val="0"/>
                                                              <w:marBottom w:val="0"/>
                                                              <w:divBdr>
                                                                <w:top w:val="none" w:sz="0" w:space="0" w:color="auto"/>
                                                                <w:left w:val="none" w:sz="0" w:space="0" w:color="auto"/>
                                                                <w:bottom w:val="none" w:sz="0" w:space="0" w:color="auto"/>
                                                                <w:right w:val="none" w:sz="0" w:space="0" w:color="auto"/>
                                                              </w:divBdr>
                                                            </w:div>
                                                          </w:divsChild>
                                                        </w:div>
                                                        <w:div w:id="360327751">
                                                          <w:marLeft w:val="0"/>
                                                          <w:marRight w:val="0"/>
                                                          <w:marTop w:val="0"/>
                                                          <w:marBottom w:val="0"/>
                                                          <w:divBdr>
                                                            <w:top w:val="none" w:sz="0" w:space="0" w:color="auto"/>
                                                            <w:left w:val="none" w:sz="0" w:space="0" w:color="auto"/>
                                                            <w:bottom w:val="none" w:sz="0" w:space="0" w:color="auto"/>
                                                            <w:right w:val="none" w:sz="0" w:space="0" w:color="auto"/>
                                                          </w:divBdr>
                                                          <w:divsChild>
                                                            <w:div w:id="723872232">
                                                              <w:marLeft w:val="0"/>
                                                              <w:marRight w:val="0"/>
                                                              <w:marTop w:val="0"/>
                                                              <w:marBottom w:val="0"/>
                                                              <w:divBdr>
                                                                <w:top w:val="none" w:sz="0" w:space="0" w:color="auto"/>
                                                                <w:left w:val="none" w:sz="0" w:space="0" w:color="auto"/>
                                                                <w:bottom w:val="none" w:sz="0" w:space="0" w:color="auto"/>
                                                                <w:right w:val="none" w:sz="0" w:space="0" w:color="auto"/>
                                                              </w:divBdr>
                                                            </w:div>
                                                          </w:divsChild>
                                                        </w:div>
                                                        <w:div w:id="363211305">
                                                          <w:marLeft w:val="0"/>
                                                          <w:marRight w:val="0"/>
                                                          <w:marTop w:val="0"/>
                                                          <w:marBottom w:val="0"/>
                                                          <w:divBdr>
                                                            <w:top w:val="none" w:sz="0" w:space="0" w:color="auto"/>
                                                            <w:left w:val="none" w:sz="0" w:space="0" w:color="auto"/>
                                                            <w:bottom w:val="none" w:sz="0" w:space="0" w:color="auto"/>
                                                            <w:right w:val="none" w:sz="0" w:space="0" w:color="auto"/>
                                                          </w:divBdr>
                                                          <w:divsChild>
                                                            <w:div w:id="1345281391">
                                                              <w:marLeft w:val="0"/>
                                                              <w:marRight w:val="0"/>
                                                              <w:marTop w:val="0"/>
                                                              <w:marBottom w:val="0"/>
                                                              <w:divBdr>
                                                                <w:top w:val="none" w:sz="0" w:space="0" w:color="auto"/>
                                                                <w:left w:val="none" w:sz="0" w:space="0" w:color="auto"/>
                                                                <w:bottom w:val="none" w:sz="0" w:space="0" w:color="auto"/>
                                                                <w:right w:val="none" w:sz="0" w:space="0" w:color="auto"/>
                                                              </w:divBdr>
                                                            </w:div>
                                                          </w:divsChild>
                                                        </w:div>
                                                        <w:div w:id="373118198">
                                                          <w:marLeft w:val="0"/>
                                                          <w:marRight w:val="0"/>
                                                          <w:marTop w:val="0"/>
                                                          <w:marBottom w:val="0"/>
                                                          <w:divBdr>
                                                            <w:top w:val="none" w:sz="0" w:space="0" w:color="auto"/>
                                                            <w:left w:val="none" w:sz="0" w:space="0" w:color="auto"/>
                                                            <w:bottom w:val="none" w:sz="0" w:space="0" w:color="auto"/>
                                                            <w:right w:val="none" w:sz="0" w:space="0" w:color="auto"/>
                                                          </w:divBdr>
                                                          <w:divsChild>
                                                            <w:div w:id="1512838049">
                                                              <w:marLeft w:val="0"/>
                                                              <w:marRight w:val="0"/>
                                                              <w:marTop w:val="0"/>
                                                              <w:marBottom w:val="0"/>
                                                              <w:divBdr>
                                                                <w:top w:val="none" w:sz="0" w:space="0" w:color="auto"/>
                                                                <w:left w:val="none" w:sz="0" w:space="0" w:color="auto"/>
                                                                <w:bottom w:val="none" w:sz="0" w:space="0" w:color="auto"/>
                                                                <w:right w:val="none" w:sz="0" w:space="0" w:color="auto"/>
                                                              </w:divBdr>
                                                            </w:div>
                                                          </w:divsChild>
                                                        </w:div>
                                                        <w:div w:id="380325546">
                                                          <w:marLeft w:val="0"/>
                                                          <w:marRight w:val="0"/>
                                                          <w:marTop w:val="0"/>
                                                          <w:marBottom w:val="0"/>
                                                          <w:divBdr>
                                                            <w:top w:val="none" w:sz="0" w:space="0" w:color="auto"/>
                                                            <w:left w:val="none" w:sz="0" w:space="0" w:color="auto"/>
                                                            <w:bottom w:val="none" w:sz="0" w:space="0" w:color="auto"/>
                                                            <w:right w:val="none" w:sz="0" w:space="0" w:color="auto"/>
                                                          </w:divBdr>
                                                          <w:divsChild>
                                                            <w:div w:id="802767267">
                                                              <w:marLeft w:val="0"/>
                                                              <w:marRight w:val="0"/>
                                                              <w:marTop w:val="0"/>
                                                              <w:marBottom w:val="0"/>
                                                              <w:divBdr>
                                                                <w:top w:val="none" w:sz="0" w:space="0" w:color="auto"/>
                                                                <w:left w:val="none" w:sz="0" w:space="0" w:color="auto"/>
                                                                <w:bottom w:val="none" w:sz="0" w:space="0" w:color="auto"/>
                                                                <w:right w:val="none" w:sz="0" w:space="0" w:color="auto"/>
                                                              </w:divBdr>
                                                            </w:div>
                                                          </w:divsChild>
                                                        </w:div>
                                                        <w:div w:id="407192440">
                                                          <w:marLeft w:val="0"/>
                                                          <w:marRight w:val="0"/>
                                                          <w:marTop w:val="0"/>
                                                          <w:marBottom w:val="0"/>
                                                          <w:divBdr>
                                                            <w:top w:val="none" w:sz="0" w:space="0" w:color="auto"/>
                                                            <w:left w:val="none" w:sz="0" w:space="0" w:color="auto"/>
                                                            <w:bottom w:val="none" w:sz="0" w:space="0" w:color="auto"/>
                                                            <w:right w:val="none" w:sz="0" w:space="0" w:color="auto"/>
                                                          </w:divBdr>
                                                          <w:divsChild>
                                                            <w:div w:id="255021849">
                                                              <w:marLeft w:val="0"/>
                                                              <w:marRight w:val="0"/>
                                                              <w:marTop w:val="0"/>
                                                              <w:marBottom w:val="0"/>
                                                              <w:divBdr>
                                                                <w:top w:val="none" w:sz="0" w:space="0" w:color="auto"/>
                                                                <w:left w:val="none" w:sz="0" w:space="0" w:color="auto"/>
                                                                <w:bottom w:val="none" w:sz="0" w:space="0" w:color="auto"/>
                                                                <w:right w:val="none" w:sz="0" w:space="0" w:color="auto"/>
                                                              </w:divBdr>
                                                            </w:div>
                                                          </w:divsChild>
                                                        </w:div>
                                                        <w:div w:id="407270028">
                                                          <w:marLeft w:val="0"/>
                                                          <w:marRight w:val="0"/>
                                                          <w:marTop w:val="0"/>
                                                          <w:marBottom w:val="0"/>
                                                          <w:divBdr>
                                                            <w:top w:val="none" w:sz="0" w:space="0" w:color="auto"/>
                                                            <w:left w:val="none" w:sz="0" w:space="0" w:color="auto"/>
                                                            <w:bottom w:val="none" w:sz="0" w:space="0" w:color="auto"/>
                                                            <w:right w:val="none" w:sz="0" w:space="0" w:color="auto"/>
                                                          </w:divBdr>
                                                          <w:divsChild>
                                                            <w:div w:id="1571118647">
                                                              <w:marLeft w:val="0"/>
                                                              <w:marRight w:val="0"/>
                                                              <w:marTop w:val="0"/>
                                                              <w:marBottom w:val="0"/>
                                                              <w:divBdr>
                                                                <w:top w:val="none" w:sz="0" w:space="0" w:color="auto"/>
                                                                <w:left w:val="none" w:sz="0" w:space="0" w:color="auto"/>
                                                                <w:bottom w:val="none" w:sz="0" w:space="0" w:color="auto"/>
                                                                <w:right w:val="none" w:sz="0" w:space="0" w:color="auto"/>
                                                              </w:divBdr>
                                                            </w:div>
                                                          </w:divsChild>
                                                        </w:div>
                                                        <w:div w:id="413206524">
                                                          <w:marLeft w:val="0"/>
                                                          <w:marRight w:val="0"/>
                                                          <w:marTop w:val="0"/>
                                                          <w:marBottom w:val="0"/>
                                                          <w:divBdr>
                                                            <w:top w:val="none" w:sz="0" w:space="0" w:color="auto"/>
                                                            <w:left w:val="none" w:sz="0" w:space="0" w:color="auto"/>
                                                            <w:bottom w:val="none" w:sz="0" w:space="0" w:color="auto"/>
                                                            <w:right w:val="none" w:sz="0" w:space="0" w:color="auto"/>
                                                          </w:divBdr>
                                                          <w:divsChild>
                                                            <w:div w:id="1288851876">
                                                              <w:marLeft w:val="0"/>
                                                              <w:marRight w:val="0"/>
                                                              <w:marTop w:val="0"/>
                                                              <w:marBottom w:val="0"/>
                                                              <w:divBdr>
                                                                <w:top w:val="none" w:sz="0" w:space="0" w:color="auto"/>
                                                                <w:left w:val="none" w:sz="0" w:space="0" w:color="auto"/>
                                                                <w:bottom w:val="none" w:sz="0" w:space="0" w:color="auto"/>
                                                                <w:right w:val="none" w:sz="0" w:space="0" w:color="auto"/>
                                                              </w:divBdr>
                                                            </w:div>
                                                          </w:divsChild>
                                                        </w:div>
                                                        <w:div w:id="423770005">
                                                          <w:marLeft w:val="0"/>
                                                          <w:marRight w:val="0"/>
                                                          <w:marTop w:val="0"/>
                                                          <w:marBottom w:val="0"/>
                                                          <w:divBdr>
                                                            <w:top w:val="none" w:sz="0" w:space="0" w:color="auto"/>
                                                            <w:left w:val="none" w:sz="0" w:space="0" w:color="auto"/>
                                                            <w:bottom w:val="none" w:sz="0" w:space="0" w:color="auto"/>
                                                            <w:right w:val="none" w:sz="0" w:space="0" w:color="auto"/>
                                                          </w:divBdr>
                                                          <w:divsChild>
                                                            <w:div w:id="1832524889">
                                                              <w:marLeft w:val="0"/>
                                                              <w:marRight w:val="0"/>
                                                              <w:marTop w:val="0"/>
                                                              <w:marBottom w:val="0"/>
                                                              <w:divBdr>
                                                                <w:top w:val="none" w:sz="0" w:space="0" w:color="auto"/>
                                                                <w:left w:val="none" w:sz="0" w:space="0" w:color="auto"/>
                                                                <w:bottom w:val="none" w:sz="0" w:space="0" w:color="auto"/>
                                                                <w:right w:val="none" w:sz="0" w:space="0" w:color="auto"/>
                                                              </w:divBdr>
                                                            </w:div>
                                                          </w:divsChild>
                                                        </w:div>
                                                        <w:div w:id="440803856">
                                                          <w:marLeft w:val="0"/>
                                                          <w:marRight w:val="0"/>
                                                          <w:marTop w:val="0"/>
                                                          <w:marBottom w:val="0"/>
                                                          <w:divBdr>
                                                            <w:top w:val="none" w:sz="0" w:space="0" w:color="auto"/>
                                                            <w:left w:val="none" w:sz="0" w:space="0" w:color="auto"/>
                                                            <w:bottom w:val="none" w:sz="0" w:space="0" w:color="auto"/>
                                                            <w:right w:val="none" w:sz="0" w:space="0" w:color="auto"/>
                                                          </w:divBdr>
                                                          <w:divsChild>
                                                            <w:div w:id="687221070">
                                                              <w:marLeft w:val="0"/>
                                                              <w:marRight w:val="0"/>
                                                              <w:marTop w:val="0"/>
                                                              <w:marBottom w:val="0"/>
                                                              <w:divBdr>
                                                                <w:top w:val="none" w:sz="0" w:space="0" w:color="auto"/>
                                                                <w:left w:val="none" w:sz="0" w:space="0" w:color="auto"/>
                                                                <w:bottom w:val="none" w:sz="0" w:space="0" w:color="auto"/>
                                                                <w:right w:val="none" w:sz="0" w:space="0" w:color="auto"/>
                                                              </w:divBdr>
                                                            </w:div>
                                                          </w:divsChild>
                                                        </w:div>
                                                        <w:div w:id="445543439">
                                                          <w:marLeft w:val="0"/>
                                                          <w:marRight w:val="0"/>
                                                          <w:marTop w:val="0"/>
                                                          <w:marBottom w:val="0"/>
                                                          <w:divBdr>
                                                            <w:top w:val="none" w:sz="0" w:space="0" w:color="auto"/>
                                                            <w:left w:val="none" w:sz="0" w:space="0" w:color="auto"/>
                                                            <w:bottom w:val="none" w:sz="0" w:space="0" w:color="auto"/>
                                                            <w:right w:val="none" w:sz="0" w:space="0" w:color="auto"/>
                                                          </w:divBdr>
                                                          <w:divsChild>
                                                            <w:div w:id="1214273743">
                                                              <w:marLeft w:val="0"/>
                                                              <w:marRight w:val="0"/>
                                                              <w:marTop w:val="0"/>
                                                              <w:marBottom w:val="0"/>
                                                              <w:divBdr>
                                                                <w:top w:val="none" w:sz="0" w:space="0" w:color="auto"/>
                                                                <w:left w:val="none" w:sz="0" w:space="0" w:color="auto"/>
                                                                <w:bottom w:val="none" w:sz="0" w:space="0" w:color="auto"/>
                                                                <w:right w:val="none" w:sz="0" w:space="0" w:color="auto"/>
                                                              </w:divBdr>
                                                            </w:div>
                                                          </w:divsChild>
                                                        </w:div>
                                                        <w:div w:id="460349675">
                                                          <w:marLeft w:val="0"/>
                                                          <w:marRight w:val="0"/>
                                                          <w:marTop w:val="0"/>
                                                          <w:marBottom w:val="0"/>
                                                          <w:divBdr>
                                                            <w:top w:val="none" w:sz="0" w:space="0" w:color="auto"/>
                                                            <w:left w:val="none" w:sz="0" w:space="0" w:color="auto"/>
                                                            <w:bottom w:val="none" w:sz="0" w:space="0" w:color="auto"/>
                                                            <w:right w:val="none" w:sz="0" w:space="0" w:color="auto"/>
                                                          </w:divBdr>
                                                          <w:divsChild>
                                                            <w:div w:id="2000038489">
                                                              <w:marLeft w:val="0"/>
                                                              <w:marRight w:val="0"/>
                                                              <w:marTop w:val="0"/>
                                                              <w:marBottom w:val="0"/>
                                                              <w:divBdr>
                                                                <w:top w:val="none" w:sz="0" w:space="0" w:color="auto"/>
                                                                <w:left w:val="none" w:sz="0" w:space="0" w:color="auto"/>
                                                                <w:bottom w:val="none" w:sz="0" w:space="0" w:color="auto"/>
                                                                <w:right w:val="none" w:sz="0" w:space="0" w:color="auto"/>
                                                              </w:divBdr>
                                                            </w:div>
                                                          </w:divsChild>
                                                        </w:div>
                                                        <w:div w:id="472602292">
                                                          <w:marLeft w:val="0"/>
                                                          <w:marRight w:val="0"/>
                                                          <w:marTop w:val="0"/>
                                                          <w:marBottom w:val="0"/>
                                                          <w:divBdr>
                                                            <w:top w:val="none" w:sz="0" w:space="0" w:color="auto"/>
                                                            <w:left w:val="none" w:sz="0" w:space="0" w:color="auto"/>
                                                            <w:bottom w:val="none" w:sz="0" w:space="0" w:color="auto"/>
                                                            <w:right w:val="none" w:sz="0" w:space="0" w:color="auto"/>
                                                          </w:divBdr>
                                                          <w:divsChild>
                                                            <w:div w:id="1229029245">
                                                              <w:marLeft w:val="0"/>
                                                              <w:marRight w:val="0"/>
                                                              <w:marTop w:val="0"/>
                                                              <w:marBottom w:val="0"/>
                                                              <w:divBdr>
                                                                <w:top w:val="none" w:sz="0" w:space="0" w:color="auto"/>
                                                                <w:left w:val="none" w:sz="0" w:space="0" w:color="auto"/>
                                                                <w:bottom w:val="none" w:sz="0" w:space="0" w:color="auto"/>
                                                                <w:right w:val="none" w:sz="0" w:space="0" w:color="auto"/>
                                                              </w:divBdr>
                                                            </w:div>
                                                          </w:divsChild>
                                                        </w:div>
                                                        <w:div w:id="473835830">
                                                          <w:marLeft w:val="0"/>
                                                          <w:marRight w:val="0"/>
                                                          <w:marTop w:val="0"/>
                                                          <w:marBottom w:val="0"/>
                                                          <w:divBdr>
                                                            <w:top w:val="none" w:sz="0" w:space="0" w:color="auto"/>
                                                            <w:left w:val="none" w:sz="0" w:space="0" w:color="auto"/>
                                                            <w:bottom w:val="none" w:sz="0" w:space="0" w:color="auto"/>
                                                            <w:right w:val="none" w:sz="0" w:space="0" w:color="auto"/>
                                                          </w:divBdr>
                                                          <w:divsChild>
                                                            <w:div w:id="508325806">
                                                              <w:marLeft w:val="0"/>
                                                              <w:marRight w:val="0"/>
                                                              <w:marTop w:val="0"/>
                                                              <w:marBottom w:val="0"/>
                                                              <w:divBdr>
                                                                <w:top w:val="none" w:sz="0" w:space="0" w:color="auto"/>
                                                                <w:left w:val="none" w:sz="0" w:space="0" w:color="auto"/>
                                                                <w:bottom w:val="none" w:sz="0" w:space="0" w:color="auto"/>
                                                                <w:right w:val="none" w:sz="0" w:space="0" w:color="auto"/>
                                                              </w:divBdr>
                                                            </w:div>
                                                          </w:divsChild>
                                                        </w:div>
                                                        <w:div w:id="474881733">
                                                          <w:marLeft w:val="0"/>
                                                          <w:marRight w:val="0"/>
                                                          <w:marTop w:val="0"/>
                                                          <w:marBottom w:val="0"/>
                                                          <w:divBdr>
                                                            <w:top w:val="none" w:sz="0" w:space="0" w:color="auto"/>
                                                            <w:left w:val="none" w:sz="0" w:space="0" w:color="auto"/>
                                                            <w:bottom w:val="none" w:sz="0" w:space="0" w:color="auto"/>
                                                            <w:right w:val="none" w:sz="0" w:space="0" w:color="auto"/>
                                                          </w:divBdr>
                                                          <w:divsChild>
                                                            <w:div w:id="1943954813">
                                                              <w:marLeft w:val="0"/>
                                                              <w:marRight w:val="0"/>
                                                              <w:marTop w:val="0"/>
                                                              <w:marBottom w:val="0"/>
                                                              <w:divBdr>
                                                                <w:top w:val="none" w:sz="0" w:space="0" w:color="auto"/>
                                                                <w:left w:val="none" w:sz="0" w:space="0" w:color="auto"/>
                                                                <w:bottom w:val="none" w:sz="0" w:space="0" w:color="auto"/>
                                                                <w:right w:val="none" w:sz="0" w:space="0" w:color="auto"/>
                                                              </w:divBdr>
                                                            </w:div>
                                                          </w:divsChild>
                                                        </w:div>
                                                        <w:div w:id="475951264">
                                                          <w:marLeft w:val="0"/>
                                                          <w:marRight w:val="0"/>
                                                          <w:marTop w:val="0"/>
                                                          <w:marBottom w:val="0"/>
                                                          <w:divBdr>
                                                            <w:top w:val="none" w:sz="0" w:space="0" w:color="auto"/>
                                                            <w:left w:val="none" w:sz="0" w:space="0" w:color="auto"/>
                                                            <w:bottom w:val="none" w:sz="0" w:space="0" w:color="auto"/>
                                                            <w:right w:val="none" w:sz="0" w:space="0" w:color="auto"/>
                                                          </w:divBdr>
                                                          <w:divsChild>
                                                            <w:div w:id="1202933996">
                                                              <w:marLeft w:val="0"/>
                                                              <w:marRight w:val="0"/>
                                                              <w:marTop w:val="0"/>
                                                              <w:marBottom w:val="0"/>
                                                              <w:divBdr>
                                                                <w:top w:val="none" w:sz="0" w:space="0" w:color="auto"/>
                                                                <w:left w:val="none" w:sz="0" w:space="0" w:color="auto"/>
                                                                <w:bottom w:val="none" w:sz="0" w:space="0" w:color="auto"/>
                                                                <w:right w:val="none" w:sz="0" w:space="0" w:color="auto"/>
                                                              </w:divBdr>
                                                            </w:div>
                                                          </w:divsChild>
                                                        </w:div>
                                                        <w:div w:id="478418910">
                                                          <w:marLeft w:val="0"/>
                                                          <w:marRight w:val="0"/>
                                                          <w:marTop w:val="0"/>
                                                          <w:marBottom w:val="0"/>
                                                          <w:divBdr>
                                                            <w:top w:val="none" w:sz="0" w:space="0" w:color="auto"/>
                                                            <w:left w:val="none" w:sz="0" w:space="0" w:color="auto"/>
                                                            <w:bottom w:val="none" w:sz="0" w:space="0" w:color="auto"/>
                                                            <w:right w:val="none" w:sz="0" w:space="0" w:color="auto"/>
                                                          </w:divBdr>
                                                        </w:div>
                                                        <w:div w:id="487751157">
                                                          <w:marLeft w:val="0"/>
                                                          <w:marRight w:val="0"/>
                                                          <w:marTop w:val="0"/>
                                                          <w:marBottom w:val="0"/>
                                                          <w:divBdr>
                                                            <w:top w:val="none" w:sz="0" w:space="0" w:color="auto"/>
                                                            <w:left w:val="none" w:sz="0" w:space="0" w:color="auto"/>
                                                            <w:bottom w:val="none" w:sz="0" w:space="0" w:color="auto"/>
                                                            <w:right w:val="none" w:sz="0" w:space="0" w:color="auto"/>
                                                          </w:divBdr>
                                                          <w:divsChild>
                                                            <w:div w:id="1273509532">
                                                              <w:marLeft w:val="0"/>
                                                              <w:marRight w:val="0"/>
                                                              <w:marTop w:val="0"/>
                                                              <w:marBottom w:val="0"/>
                                                              <w:divBdr>
                                                                <w:top w:val="none" w:sz="0" w:space="0" w:color="auto"/>
                                                                <w:left w:val="none" w:sz="0" w:space="0" w:color="auto"/>
                                                                <w:bottom w:val="none" w:sz="0" w:space="0" w:color="auto"/>
                                                                <w:right w:val="none" w:sz="0" w:space="0" w:color="auto"/>
                                                              </w:divBdr>
                                                            </w:div>
                                                          </w:divsChild>
                                                        </w:div>
                                                        <w:div w:id="493961213">
                                                          <w:marLeft w:val="0"/>
                                                          <w:marRight w:val="0"/>
                                                          <w:marTop w:val="0"/>
                                                          <w:marBottom w:val="0"/>
                                                          <w:divBdr>
                                                            <w:top w:val="none" w:sz="0" w:space="0" w:color="auto"/>
                                                            <w:left w:val="none" w:sz="0" w:space="0" w:color="auto"/>
                                                            <w:bottom w:val="none" w:sz="0" w:space="0" w:color="auto"/>
                                                            <w:right w:val="none" w:sz="0" w:space="0" w:color="auto"/>
                                                          </w:divBdr>
                                                          <w:divsChild>
                                                            <w:div w:id="747926350">
                                                              <w:marLeft w:val="0"/>
                                                              <w:marRight w:val="0"/>
                                                              <w:marTop w:val="0"/>
                                                              <w:marBottom w:val="0"/>
                                                              <w:divBdr>
                                                                <w:top w:val="none" w:sz="0" w:space="0" w:color="auto"/>
                                                                <w:left w:val="none" w:sz="0" w:space="0" w:color="auto"/>
                                                                <w:bottom w:val="none" w:sz="0" w:space="0" w:color="auto"/>
                                                                <w:right w:val="none" w:sz="0" w:space="0" w:color="auto"/>
                                                              </w:divBdr>
                                                            </w:div>
                                                          </w:divsChild>
                                                        </w:div>
                                                        <w:div w:id="495459704">
                                                          <w:marLeft w:val="0"/>
                                                          <w:marRight w:val="0"/>
                                                          <w:marTop w:val="0"/>
                                                          <w:marBottom w:val="0"/>
                                                          <w:divBdr>
                                                            <w:top w:val="none" w:sz="0" w:space="0" w:color="auto"/>
                                                            <w:left w:val="none" w:sz="0" w:space="0" w:color="auto"/>
                                                            <w:bottom w:val="none" w:sz="0" w:space="0" w:color="auto"/>
                                                            <w:right w:val="none" w:sz="0" w:space="0" w:color="auto"/>
                                                          </w:divBdr>
                                                          <w:divsChild>
                                                            <w:div w:id="976491702">
                                                              <w:marLeft w:val="0"/>
                                                              <w:marRight w:val="0"/>
                                                              <w:marTop w:val="0"/>
                                                              <w:marBottom w:val="0"/>
                                                              <w:divBdr>
                                                                <w:top w:val="none" w:sz="0" w:space="0" w:color="auto"/>
                                                                <w:left w:val="none" w:sz="0" w:space="0" w:color="auto"/>
                                                                <w:bottom w:val="none" w:sz="0" w:space="0" w:color="auto"/>
                                                                <w:right w:val="none" w:sz="0" w:space="0" w:color="auto"/>
                                                              </w:divBdr>
                                                            </w:div>
                                                          </w:divsChild>
                                                        </w:div>
                                                        <w:div w:id="504053153">
                                                          <w:marLeft w:val="0"/>
                                                          <w:marRight w:val="0"/>
                                                          <w:marTop w:val="0"/>
                                                          <w:marBottom w:val="0"/>
                                                          <w:divBdr>
                                                            <w:top w:val="none" w:sz="0" w:space="0" w:color="auto"/>
                                                            <w:left w:val="none" w:sz="0" w:space="0" w:color="auto"/>
                                                            <w:bottom w:val="none" w:sz="0" w:space="0" w:color="auto"/>
                                                            <w:right w:val="none" w:sz="0" w:space="0" w:color="auto"/>
                                                          </w:divBdr>
                                                          <w:divsChild>
                                                            <w:div w:id="1922716402">
                                                              <w:marLeft w:val="0"/>
                                                              <w:marRight w:val="0"/>
                                                              <w:marTop w:val="0"/>
                                                              <w:marBottom w:val="0"/>
                                                              <w:divBdr>
                                                                <w:top w:val="none" w:sz="0" w:space="0" w:color="auto"/>
                                                                <w:left w:val="none" w:sz="0" w:space="0" w:color="auto"/>
                                                                <w:bottom w:val="none" w:sz="0" w:space="0" w:color="auto"/>
                                                                <w:right w:val="none" w:sz="0" w:space="0" w:color="auto"/>
                                                              </w:divBdr>
                                                            </w:div>
                                                          </w:divsChild>
                                                        </w:div>
                                                        <w:div w:id="513108718">
                                                          <w:marLeft w:val="0"/>
                                                          <w:marRight w:val="0"/>
                                                          <w:marTop w:val="0"/>
                                                          <w:marBottom w:val="0"/>
                                                          <w:divBdr>
                                                            <w:top w:val="none" w:sz="0" w:space="0" w:color="auto"/>
                                                            <w:left w:val="none" w:sz="0" w:space="0" w:color="auto"/>
                                                            <w:bottom w:val="none" w:sz="0" w:space="0" w:color="auto"/>
                                                            <w:right w:val="none" w:sz="0" w:space="0" w:color="auto"/>
                                                          </w:divBdr>
                                                          <w:divsChild>
                                                            <w:div w:id="215973834">
                                                              <w:marLeft w:val="0"/>
                                                              <w:marRight w:val="0"/>
                                                              <w:marTop w:val="0"/>
                                                              <w:marBottom w:val="0"/>
                                                              <w:divBdr>
                                                                <w:top w:val="none" w:sz="0" w:space="0" w:color="auto"/>
                                                                <w:left w:val="none" w:sz="0" w:space="0" w:color="auto"/>
                                                                <w:bottom w:val="none" w:sz="0" w:space="0" w:color="auto"/>
                                                                <w:right w:val="none" w:sz="0" w:space="0" w:color="auto"/>
                                                              </w:divBdr>
                                                            </w:div>
                                                          </w:divsChild>
                                                        </w:div>
                                                        <w:div w:id="530842533">
                                                          <w:marLeft w:val="0"/>
                                                          <w:marRight w:val="0"/>
                                                          <w:marTop w:val="0"/>
                                                          <w:marBottom w:val="0"/>
                                                          <w:divBdr>
                                                            <w:top w:val="none" w:sz="0" w:space="0" w:color="auto"/>
                                                            <w:left w:val="none" w:sz="0" w:space="0" w:color="auto"/>
                                                            <w:bottom w:val="none" w:sz="0" w:space="0" w:color="auto"/>
                                                            <w:right w:val="none" w:sz="0" w:space="0" w:color="auto"/>
                                                          </w:divBdr>
                                                          <w:divsChild>
                                                            <w:div w:id="660817539">
                                                              <w:marLeft w:val="0"/>
                                                              <w:marRight w:val="0"/>
                                                              <w:marTop w:val="0"/>
                                                              <w:marBottom w:val="0"/>
                                                              <w:divBdr>
                                                                <w:top w:val="none" w:sz="0" w:space="0" w:color="auto"/>
                                                                <w:left w:val="none" w:sz="0" w:space="0" w:color="auto"/>
                                                                <w:bottom w:val="none" w:sz="0" w:space="0" w:color="auto"/>
                                                                <w:right w:val="none" w:sz="0" w:space="0" w:color="auto"/>
                                                              </w:divBdr>
                                                            </w:div>
                                                          </w:divsChild>
                                                        </w:div>
                                                        <w:div w:id="531959537">
                                                          <w:marLeft w:val="0"/>
                                                          <w:marRight w:val="0"/>
                                                          <w:marTop w:val="0"/>
                                                          <w:marBottom w:val="0"/>
                                                          <w:divBdr>
                                                            <w:top w:val="none" w:sz="0" w:space="0" w:color="auto"/>
                                                            <w:left w:val="none" w:sz="0" w:space="0" w:color="auto"/>
                                                            <w:bottom w:val="none" w:sz="0" w:space="0" w:color="auto"/>
                                                            <w:right w:val="none" w:sz="0" w:space="0" w:color="auto"/>
                                                          </w:divBdr>
                                                          <w:divsChild>
                                                            <w:div w:id="1850293506">
                                                              <w:marLeft w:val="0"/>
                                                              <w:marRight w:val="0"/>
                                                              <w:marTop w:val="0"/>
                                                              <w:marBottom w:val="0"/>
                                                              <w:divBdr>
                                                                <w:top w:val="none" w:sz="0" w:space="0" w:color="auto"/>
                                                                <w:left w:val="none" w:sz="0" w:space="0" w:color="auto"/>
                                                                <w:bottom w:val="none" w:sz="0" w:space="0" w:color="auto"/>
                                                                <w:right w:val="none" w:sz="0" w:space="0" w:color="auto"/>
                                                              </w:divBdr>
                                                            </w:div>
                                                          </w:divsChild>
                                                        </w:div>
                                                        <w:div w:id="537745229">
                                                          <w:marLeft w:val="0"/>
                                                          <w:marRight w:val="0"/>
                                                          <w:marTop w:val="0"/>
                                                          <w:marBottom w:val="0"/>
                                                          <w:divBdr>
                                                            <w:top w:val="none" w:sz="0" w:space="0" w:color="auto"/>
                                                            <w:left w:val="none" w:sz="0" w:space="0" w:color="auto"/>
                                                            <w:bottom w:val="none" w:sz="0" w:space="0" w:color="auto"/>
                                                            <w:right w:val="none" w:sz="0" w:space="0" w:color="auto"/>
                                                          </w:divBdr>
                                                          <w:divsChild>
                                                            <w:div w:id="1143082679">
                                                              <w:marLeft w:val="0"/>
                                                              <w:marRight w:val="0"/>
                                                              <w:marTop w:val="0"/>
                                                              <w:marBottom w:val="0"/>
                                                              <w:divBdr>
                                                                <w:top w:val="none" w:sz="0" w:space="0" w:color="auto"/>
                                                                <w:left w:val="none" w:sz="0" w:space="0" w:color="auto"/>
                                                                <w:bottom w:val="none" w:sz="0" w:space="0" w:color="auto"/>
                                                                <w:right w:val="none" w:sz="0" w:space="0" w:color="auto"/>
                                                              </w:divBdr>
                                                            </w:div>
                                                          </w:divsChild>
                                                        </w:div>
                                                        <w:div w:id="539903694">
                                                          <w:marLeft w:val="0"/>
                                                          <w:marRight w:val="0"/>
                                                          <w:marTop w:val="0"/>
                                                          <w:marBottom w:val="0"/>
                                                          <w:divBdr>
                                                            <w:top w:val="none" w:sz="0" w:space="0" w:color="auto"/>
                                                            <w:left w:val="none" w:sz="0" w:space="0" w:color="auto"/>
                                                            <w:bottom w:val="none" w:sz="0" w:space="0" w:color="auto"/>
                                                            <w:right w:val="none" w:sz="0" w:space="0" w:color="auto"/>
                                                          </w:divBdr>
                                                          <w:divsChild>
                                                            <w:div w:id="576093450">
                                                              <w:marLeft w:val="0"/>
                                                              <w:marRight w:val="0"/>
                                                              <w:marTop w:val="0"/>
                                                              <w:marBottom w:val="0"/>
                                                              <w:divBdr>
                                                                <w:top w:val="none" w:sz="0" w:space="0" w:color="auto"/>
                                                                <w:left w:val="none" w:sz="0" w:space="0" w:color="auto"/>
                                                                <w:bottom w:val="none" w:sz="0" w:space="0" w:color="auto"/>
                                                                <w:right w:val="none" w:sz="0" w:space="0" w:color="auto"/>
                                                              </w:divBdr>
                                                            </w:div>
                                                          </w:divsChild>
                                                        </w:div>
                                                        <w:div w:id="547424524">
                                                          <w:marLeft w:val="0"/>
                                                          <w:marRight w:val="0"/>
                                                          <w:marTop w:val="0"/>
                                                          <w:marBottom w:val="0"/>
                                                          <w:divBdr>
                                                            <w:top w:val="none" w:sz="0" w:space="0" w:color="auto"/>
                                                            <w:left w:val="none" w:sz="0" w:space="0" w:color="auto"/>
                                                            <w:bottom w:val="none" w:sz="0" w:space="0" w:color="auto"/>
                                                            <w:right w:val="none" w:sz="0" w:space="0" w:color="auto"/>
                                                          </w:divBdr>
                                                          <w:divsChild>
                                                            <w:div w:id="411589973">
                                                              <w:marLeft w:val="0"/>
                                                              <w:marRight w:val="0"/>
                                                              <w:marTop w:val="0"/>
                                                              <w:marBottom w:val="0"/>
                                                              <w:divBdr>
                                                                <w:top w:val="none" w:sz="0" w:space="0" w:color="auto"/>
                                                                <w:left w:val="none" w:sz="0" w:space="0" w:color="auto"/>
                                                                <w:bottom w:val="none" w:sz="0" w:space="0" w:color="auto"/>
                                                                <w:right w:val="none" w:sz="0" w:space="0" w:color="auto"/>
                                                              </w:divBdr>
                                                            </w:div>
                                                          </w:divsChild>
                                                        </w:div>
                                                        <w:div w:id="566114098">
                                                          <w:marLeft w:val="0"/>
                                                          <w:marRight w:val="0"/>
                                                          <w:marTop w:val="0"/>
                                                          <w:marBottom w:val="0"/>
                                                          <w:divBdr>
                                                            <w:top w:val="none" w:sz="0" w:space="0" w:color="auto"/>
                                                            <w:left w:val="none" w:sz="0" w:space="0" w:color="auto"/>
                                                            <w:bottom w:val="none" w:sz="0" w:space="0" w:color="auto"/>
                                                            <w:right w:val="none" w:sz="0" w:space="0" w:color="auto"/>
                                                          </w:divBdr>
                                                          <w:divsChild>
                                                            <w:div w:id="445387131">
                                                              <w:marLeft w:val="0"/>
                                                              <w:marRight w:val="0"/>
                                                              <w:marTop w:val="0"/>
                                                              <w:marBottom w:val="0"/>
                                                              <w:divBdr>
                                                                <w:top w:val="none" w:sz="0" w:space="0" w:color="auto"/>
                                                                <w:left w:val="none" w:sz="0" w:space="0" w:color="auto"/>
                                                                <w:bottom w:val="none" w:sz="0" w:space="0" w:color="auto"/>
                                                                <w:right w:val="none" w:sz="0" w:space="0" w:color="auto"/>
                                                              </w:divBdr>
                                                            </w:div>
                                                          </w:divsChild>
                                                        </w:div>
                                                        <w:div w:id="571082926">
                                                          <w:marLeft w:val="0"/>
                                                          <w:marRight w:val="0"/>
                                                          <w:marTop w:val="0"/>
                                                          <w:marBottom w:val="0"/>
                                                          <w:divBdr>
                                                            <w:top w:val="none" w:sz="0" w:space="0" w:color="auto"/>
                                                            <w:left w:val="none" w:sz="0" w:space="0" w:color="auto"/>
                                                            <w:bottom w:val="none" w:sz="0" w:space="0" w:color="auto"/>
                                                            <w:right w:val="none" w:sz="0" w:space="0" w:color="auto"/>
                                                          </w:divBdr>
                                                          <w:divsChild>
                                                            <w:div w:id="617182200">
                                                              <w:marLeft w:val="0"/>
                                                              <w:marRight w:val="0"/>
                                                              <w:marTop w:val="0"/>
                                                              <w:marBottom w:val="0"/>
                                                              <w:divBdr>
                                                                <w:top w:val="none" w:sz="0" w:space="0" w:color="auto"/>
                                                                <w:left w:val="none" w:sz="0" w:space="0" w:color="auto"/>
                                                                <w:bottom w:val="none" w:sz="0" w:space="0" w:color="auto"/>
                                                                <w:right w:val="none" w:sz="0" w:space="0" w:color="auto"/>
                                                              </w:divBdr>
                                                            </w:div>
                                                          </w:divsChild>
                                                        </w:div>
                                                        <w:div w:id="578638338">
                                                          <w:marLeft w:val="0"/>
                                                          <w:marRight w:val="0"/>
                                                          <w:marTop w:val="0"/>
                                                          <w:marBottom w:val="0"/>
                                                          <w:divBdr>
                                                            <w:top w:val="none" w:sz="0" w:space="0" w:color="auto"/>
                                                            <w:left w:val="none" w:sz="0" w:space="0" w:color="auto"/>
                                                            <w:bottom w:val="none" w:sz="0" w:space="0" w:color="auto"/>
                                                            <w:right w:val="none" w:sz="0" w:space="0" w:color="auto"/>
                                                          </w:divBdr>
                                                          <w:divsChild>
                                                            <w:div w:id="1970433283">
                                                              <w:marLeft w:val="0"/>
                                                              <w:marRight w:val="0"/>
                                                              <w:marTop w:val="0"/>
                                                              <w:marBottom w:val="0"/>
                                                              <w:divBdr>
                                                                <w:top w:val="none" w:sz="0" w:space="0" w:color="auto"/>
                                                                <w:left w:val="none" w:sz="0" w:space="0" w:color="auto"/>
                                                                <w:bottom w:val="none" w:sz="0" w:space="0" w:color="auto"/>
                                                                <w:right w:val="none" w:sz="0" w:space="0" w:color="auto"/>
                                                              </w:divBdr>
                                                            </w:div>
                                                          </w:divsChild>
                                                        </w:div>
                                                        <w:div w:id="583034500">
                                                          <w:marLeft w:val="0"/>
                                                          <w:marRight w:val="0"/>
                                                          <w:marTop w:val="0"/>
                                                          <w:marBottom w:val="0"/>
                                                          <w:divBdr>
                                                            <w:top w:val="none" w:sz="0" w:space="0" w:color="auto"/>
                                                            <w:left w:val="none" w:sz="0" w:space="0" w:color="auto"/>
                                                            <w:bottom w:val="none" w:sz="0" w:space="0" w:color="auto"/>
                                                            <w:right w:val="none" w:sz="0" w:space="0" w:color="auto"/>
                                                          </w:divBdr>
                                                          <w:divsChild>
                                                            <w:div w:id="1380738203">
                                                              <w:marLeft w:val="0"/>
                                                              <w:marRight w:val="0"/>
                                                              <w:marTop w:val="0"/>
                                                              <w:marBottom w:val="0"/>
                                                              <w:divBdr>
                                                                <w:top w:val="none" w:sz="0" w:space="0" w:color="auto"/>
                                                                <w:left w:val="none" w:sz="0" w:space="0" w:color="auto"/>
                                                                <w:bottom w:val="none" w:sz="0" w:space="0" w:color="auto"/>
                                                                <w:right w:val="none" w:sz="0" w:space="0" w:color="auto"/>
                                                              </w:divBdr>
                                                            </w:div>
                                                          </w:divsChild>
                                                        </w:div>
                                                        <w:div w:id="605698286">
                                                          <w:marLeft w:val="0"/>
                                                          <w:marRight w:val="0"/>
                                                          <w:marTop w:val="0"/>
                                                          <w:marBottom w:val="0"/>
                                                          <w:divBdr>
                                                            <w:top w:val="none" w:sz="0" w:space="0" w:color="auto"/>
                                                            <w:left w:val="none" w:sz="0" w:space="0" w:color="auto"/>
                                                            <w:bottom w:val="none" w:sz="0" w:space="0" w:color="auto"/>
                                                            <w:right w:val="none" w:sz="0" w:space="0" w:color="auto"/>
                                                          </w:divBdr>
                                                          <w:divsChild>
                                                            <w:div w:id="1950619730">
                                                              <w:marLeft w:val="0"/>
                                                              <w:marRight w:val="0"/>
                                                              <w:marTop w:val="0"/>
                                                              <w:marBottom w:val="0"/>
                                                              <w:divBdr>
                                                                <w:top w:val="none" w:sz="0" w:space="0" w:color="auto"/>
                                                                <w:left w:val="none" w:sz="0" w:space="0" w:color="auto"/>
                                                                <w:bottom w:val="none" w:sz="0" w:space="0" w:color="auto"/>
                                                                <w:right w:val="none" w:sz="0" w:space="0" w:color="auto"/>
                                                              </w:divBdr>
                                                            </w:div>
                                                          </w:divsChild>
                                                        </w:div>
                                                        <w:div w:id="608897983">
                                                          <w:marLeft w:val="0"/>
                                                          <w:marRight w:val="0"/>
                                                          <w:marTop w:val="0"/>
                                                          <w:marBottom w:val="0"/>
                                                          <w:divBdr>
                                                            <w:top w:val="none" w:sz="0" w:space="0" w:color="auto"/>
                                                            <w:left w:val="none" w:sz="0" w:space="0" w:color="auto"/>
                                                            <w:bottom w:val="none" w:sz="0" w:space="0" w:color="auto"/>
                                                            <w:right w:val="none" w:sz="0" w:space="0" w:color="auto"/>
                                                          </w:divBdr>
                                                          <w:divsChild>
                                                            <w:div w:id="703213445">
                                                              <w:marLeft w:val="0"/>
                                                              <w:marRight w:val="0"/>
                                                              <w:marTop w:val="0"/>
                                                              <w:marBottom w:val="0"/>
                                                              <w:divBdr>
                                                                <w:top w:val="none" w:sz="0" w:space="0" w:color="auto"/>
                                                                <w:left w:val="none" w:sz="0" w:space="0" w:color="auto"/>
                                                                <w:bottom w:val="none" w:sz="0" w:space="0" w:color="auto"/>
                                                                <w:right w:val="none" w:sz="0" w:space="0" w:color="auto"/>
                                                              </w:divBdr>
                                                            </w:div>
                                                          </w:divsChild>
                                                        </w:div>
                                                        <w:div w:id="619187580">
                                                          <w:marLeft w:val="0"/>
                                                          <w:marRight w:val="0"/>
                                                          <w:marTop w:val="0"/>
                                                          <w:marBottom w:val="0"/>
                                                          <w:divBdr>
                                                            <w:top w:val="none" w:sz="0" w:space="0" w:color="auto"/>
                                                            <w:left w:val="none" w:sz="0" w:space="0" w:color="auto"/>
                                                            <w:bottom w:val="none" w:sz="0" w:space="0" w:color="auto"/>
                                                            <w:right w:val="none" w:sz="0" w:space="0" w:color="auto"/>
                                                          </w:divBdr>
                                                          <w:divsChild>
                                                            <w:div w:id="1900243005">
                                                              <w:marLeft w:val="0"/>
                                                              <w:marRight w:val="0"/>
                                                              <w:marTop w:val="0"/>
                                                              <w:marBottom w:val="0"/>
                                                              <w:divBdr>
                                                                <w:top w:val="none" w:sz="0" w:space="0" w:color="auto"/>
                                                                <w:left w:val="none" w:sz="0" w:space="0" w:color="auto"/>
                                                                <w:bottom w:val="none" w:sz="0" w:space="0" w:color="auto"/>
                                                                <w:right w:val="none" w:sz="0" w:space="0" w:color="auto"/>
                                                              </w:divBdr>
                                                            </w:div>
                                                          </w:divsChild>
                                                        </w:div>
                                                        <w:div w:id="622924651">
                                                          <w:marLeft w:val="0"/>
                                                          <w:marRight w:val="0"/>
                                                          <w:marTop w:val="0"/>
                                                          <w:marBottom w:val="0"/>
                                                          <w:divBdr>
                                                            <w:top w:val="none" w:sz="0" w:space="0" w:color="auto"/>
                                                            <w:left w:val="none" w:sz="0" w:space="0" w:color="auto"/>
                                                            <w:bottom w:val="none" w:sz="0" w:space="0" w:color="auto"/>
                                                            <w:right w:val="none" w:sz="0" w:space="0" w:color="auto"/>
                                                          </w:divBdr>
                                                          <w:divsChild>
                                                            <w:div w:id="290332094">
                                                              <w:marLeft w:val="0"/>
                                                              <w:marRight w:val="0"/>
                                                              <w:marTop w:val="0"/>
                                                              <w:marBottom w:val="0"/>
                                                              <w:divBdr>
                                                                <w:top w:val="none" w:sz="0" w:space="0" w:color="auto"/>
                                                                <w:left w:val="none" w:sz="0" w:space="0" w:color="auto"/>
                                                                <w:bottom w:val="none" w:sz="0" w:space="0" w:color="auto"/>
                                                                <w:right w:val="none" w:sz="0" w:space="0" w:color="auto"/>
                                                              </w:divBdr>
                                                            </w:div>
                                                          </w:divsChild>
                                                        </w:div>
                                                        <w:div w:id="633682185">
                                                          <w:marLeft w:val="0"/>
                                                          <w:marRight w:val="0"/>
                                                          <w:marTop w:val="0"/>
                                                          <w:marBottom w:val="0"/>
                                                          <w:divBdr>
                                                            <w:top w:val="none" w:sz="0" w:space="0" w:color="auto"/>
                                                            <w:left w:val="none" w:sz="0" w:space="0" w:color="auto"/>
                                                            <w:bottom w:val="none" w:sz="0" w:space="0" w:color="auto"/>
                                                            <w:right w:val="none" w:sz="0" w:space="0" w:color="auto"/>
                                                          </w:divBdr>
                                                        </w:div>
                                                        <w:div w:id="645478363">
                                                          <w:marLeft w:val="0"/>
                                                          <w:marRight w:val="0"/>
                                                          <w:marTop w:val="0"/>
                                                          <w:marBottom w:val="0"/>
                                                          <w:divBdr>
                                                            <w:top w:val="none" w:sz="0" w:space="0" w:color="auto"/>
                                                            <w:left w:val="none" w:sz="0" w:space="0" w:color="auto"/>
                                                            <w:bottom w:val="none" w:sz="0" w:space="0" w:color="auto"/>
                                                            <w:right w:val="none" w:sz="0" w:space="0" w:color="auto"/>
                                                          </w:divBdr>
                                                        </w:div>
                                                        <w:div w:id="655497495">
                                                          <w:marLeft w:val="0"/>
                                                          <w:marRight w:val="0"/>
                                                          <w:marTop w:val="0"/>
                                                          <w:marBottom w:val="0"/>
                                                          <w:divBdr>
                                                            <w:top w:val="none" w:sz="0" w:space="0" w:color="auto"/>
                                                            <w:left w:val="none" w:sz="0" w:space="0" w:color="auto"/>
                                                            <w:bottom w:val="none" w:sz="0" w:space="0" w:color="auto"/>
                                                            <w:right w:val="none" w:sz="0" w:space="0" w:color="auto"/>
                                                          </w:divBdr>
                                                          <w:divsChild>
                                                            <w:div w:id="1004091383">
                                                              <w:marLeft w:val="0"/>
                                                              <w:marRight w:val="0"/>
                                                              <w:marTop w:val="0"/>
                                                              <w:marBottom w:val="0"/>
                                                              <w:divBdr>
                                                                <w:top w:val="none" w:sz="0" w:space="0" w:color="auto"/>
                                                                <w:left w:val="none" w:sz="0" w:space="0" w:color="auto"/>
                                                                <w:bottom w:val="none" w:sz="0" w:space="0" w:color="auto"/>
                                                                <w:right w:val="none" w:sz="0" w:space="0" w:color="auto"/>
                                                              </w:divBdr>
                                                            </w:div>
                                                          </w:divsChild>
                                                        </w:div>
                                                        <w:div w:id="667439799">
                                                          <w:marLeft w:val="0"/>
                                                          <w:marRight w:val="0"/>
                                                          <w:marTop w:val="0"/>
                                                          <w:marBottom w:val="0"/>
                                                          <w:divBdr>
                                                            <w:top w:val="none" w:sz="0" w:space="0" w:color="auto"/>
                                                            <w:left w:val="none" w:sz="0" w:space="0" w:color="auto"/>
                                                            <w:bottom w:val="none" w:sz="0" w:space="0" w:color="auto"/>
                                                            <w:right w:val="none" w:sz="0" w:space="0" w:color="auto"/>
                                                          </w:divBdr>
                                                          <w:divsChild>
                                                            <w:div w:id="1580212417">
                                                              <w:marLeft w:val="0"/>
                                                              <w:marRight w:val="0"/>
                                                              <w:marTop w:val="0"/>
                                                              <w:marBottom w:val="0"/>
                                                              <w:divBdr>
                                                                <w:top w:val="none" w:sz="0" w:space="0" w:color="auto"/>
                                                                <w:left w:val="none" w:sz="0" w:space="0" w:color="auto"/>
                                                                <w:bottom w:val="none" w:sz="0" w:space="0" w:color="auto"/>
                                                                <w:right w:val="none" w:sz="0" w:space="0" w:color="auto"/>
                                                              </w:divBdr>
                                                            </w:div>
                                                          </w:divsChild>
                                                        </w:div>
                                                        <w:div w:id="674108660">
                                                          <w:marLeft w:val="0"/>
                                                          <w:marRight w:val="0"/>
                                                          <w:marTop w:val="0"/>
                                                          <w:marBottom w:val="0"/>
                                                          <w:divBdr>
                                                            <w:top w:val="none" w:sz="0" w:space="0" w:color="auto"/>
                                                            <w:left w:val="none" w:sz="0" w:space="0" w:color="auto"/>
                                                            <w:bottom w:val="none" w:sz="0" w:space="0" w:color="auto"/>
                                                            <w:right w:val="none" w:sz="0" w:space="0" w:color="auto"/>
                                                          </w:divBdr>
                                                          <w:divsChild>
                                                            <w:div w:id="304504099">
                                                              <w:marLeft w:val="0"/>
                                                              <w:marRight w:val="0"/>
                                                              <w:marTop w:val="0"/>
                                                              <w:marBottom w:val="0"/>
                                                              <w:divBdr>
                                                                <w:top w:val="none" w:sz="0" w:space="0" w:color="auto"/>
                                                                <w:left w:val="none" w:sz="0" w:space="0" w:color="auto"/>
                                                                <w:bottom w:val="none" w:sz="0" w:space="0" w:color="auto"/>
                                                                <w:right w:val="none" w:sz="0" w:space="0" w:color="auto"/>
                                                              </w:divBdr>
                                                            </w:div>
                                                          </w:divsChild>
                                                        </w:div>
                                                        <w:div w:id="684090699">
                                                          <w:marLeft w:val="0"/>
                                                          <w:marRight w:val="0"/>
                                                          <w:marTop w:val="0"/>
                                                          <w:marBottom w:val="0"/>
                                                          <w:divBdr>
                                                            <w:top w:val="none" w:sz="0" w:space="0" w:color="auto"/>
                                                            <w:left w:val="none" w:sz="0" w:space="0" w:color="auto"/>
                                                            <w:bottom w:val="none" w:sz="0" w:space="0" w:color="auto"/>
                                                            <w:right w:val="none" w:sz="0" w:space="0" w:color="auto"/>
                                                          </w:divBdr>
                                                          <w:divsChild>
                                                            <w:div w:id="1833373498">
                                                              <w:marLeft w:val="0"/>
                                                              <w:marRight w:val="0"/>
                                                              <w:marTop w:val="0"/>
                                                              <w:marBottom w:val="0"/>
                                                              <w:divBdr>
                                                                <w:top w:val="none" w:sz="0" w:space="0" w:color="auto"/>
                                                                <w:left w:val="none" w:sz="0" w:space="0" w:color="auto"/>
                                                                <w:bottom w:val="none" w:sz="0" w:space="0" w:color="auto"/>
                                                                <w:right w:val="none" w:sz="0" w:space="0" w:color="auto"/>
                                                              </w:divBdr>
                                                            </w:div>
                                                          </w:divsChild>
                                                        </w:div>
                                                        <w:div w:id="690376004">
                                                          <w:marLeft w:val="0"/>
                                                          <w:marRight w:val="0"/>
                                                          <w:marTop w:val="0"/>
                                                          <w:marBottom w:val="0"/>
                                                          <w:divBdr>
                                                            <w:top w:val="none" w:sz="0" w:space="0" w:color="auto"/>
                                                            <w:left w:val="none" w:sz="0" w:space="0" w:color="auto"/>
                                                            <w:bottom w:val="none" w:sz="0" w:space="0" w:color="auto"/>
                                                            <w:right w:val="none" w:sz="0" w:space="0" w:color="auto"/>
                                                          </w:divBdr>
                                                          <w:divsChild>
                                                            <w:div w:id="1051348181">
                                                              <w:marLeft w:val="0"/>
                                                              <w:marRight w:val="0"/>
                                                              <w:marTop w:val="0"/>
                                                              <w:marBottom w:val="0"/>
                                                              <w:divBdr>
                                                                <w:top w:val="none" w:sz="0" w:space="0" w:color="auto"/>
                                                                <w:left w:val="none" w:sz="0" w:space="0" w:color="auto"/>
                                                                <w:bottom w:val="none" w:sz="0" w:space="0" w:color="auto"/>
                                                                <w:right w:val="none" w:sz="0" w:space="0" w:color="auto"/>
                                                              </w:divBdr>
                                                            </w:div>
                                                          </w:divsChild>
                                                        </w:div>
                                                        <w:div w:id="692149419">
                                                          <w:marLeft w:val="0"/>
                                                          <w:marRight w:val="0"/>
                                                          <w:marTop w:val="0"/>
                                                          <w:marBottom w:val="0"/>
                                                          <w:divBdr>
                                                            <w:top w:val="none" w:sz="0" w:space="0" w:color="auto"/>
                                                            <w:left w:val="none" w:sz="0" w:space="0" w:color="auto"/>
                                                            <w:bottom w:val="none" w:sz="0" w:space="0" w:color="auto"/>
                                                            <w:right w:val="none" w:sz="0" w:space="0" w:color="auto"/>
                                                          </w:divBdr>
                                                          <w:divsChild>
                                                            <w:div w:id="1788888236">
                                                              <w:marLeft w:val="0"/>
                                                              <w:marRight w:val="0"/>
                                                              <w:marTop w:val="0"/>
                                                              <w:marBottom w:val="0"/>
                                                              <w:divBdr>
                                                                <w:top w:val="none" w:sz="0" w:space="0" w:color="auto"/>
                                                                <w:left w:val="none" w:sz="0" w:space="0" w:color="auto"/>
                                                                <w:bottom w:val="none" w:sz="0" w:space="0" w:color="auto"/>
                                                                <w:right w:val="none" w:sz="0" w:space="0" w:color="auto"/>
                                                              </w:divBdr>
                                                            </w:div>
                                                          </w:divsChild>
                                                        </w:div>
                                                        <w:div w:id="693194936">
                                                          <w:marLeft w:val="0"/>
                                                          <w:marRight w:val="0"/>
                                                          <w:marTop w:val="0"/>
                                                          <w:marBottom w:val="0"/>
                                                          <w:divBdr>
                                                            <w:top w:val="none" w:sz="0" w:space="0" w:color="auto"/>
                                                            <w:left w:val="none" w:sz="0" w:space="0" w:color="auto"/>
                                                            <w:bottom w:val="none" w:sz="0" w:space="0" w:color="auto"/>
                                                            <w:right w:val="none" w:sz="0" w:space="0" w:color="auto"/>
                                                          </w:divBdr>
                                                          <w:divsChild>
                                                            <w:div w:id="178665323">
                                                              <w:marLeft w:val="0"/>
                                                              <w:marRight w:val="0"/>
                                                              <w:marTop w:val="0"/>
                                                              <w:marBottom w:val="0"/>
                                                              <w:divBdr>
                                                                <w:top w:val="none" w:sz="0" w:space="0" w:color="auto"/>
                                                                <w:left w:val="none" w:sz="0" w:space="0" w:color="auto"/>
                                                                <w:bottom w:val="none" w:sz="0" w:space="0" w:color="auto"/>
                                                                <w:right w:val="none" w:sz="0" w:space="0" w:color="auto"/>
                                                              </w:divBdr>
                                                            </w:div>
                                                          </w:divsChild>
                                                        </w:div>
                                                        <w:div w:id="705133101">
                                                          <w:marLeft w:val="0"/>
                                                          <w:marRight w:val="0"/>
                                                          <w:marTop w:val="0"/>
                                                          <w:marBottom w:val="0"/>
                                                          <w:divBdr>
                                                            <w:top w:val="none" w:sz="0" w:space="0" w:color="auto"/>
                                                            <w:left w:val="none" w:sz="0" w:space="0" w:color="auto"/>
                                                            <w:bottom w:val="none" w:sz="0" w:space="0" w:color="auto"/>
                                                            <w:right w:val="none" w:sz="0" w:space="0" w:color="auto"/>
                                                          </w:divBdr>
                                                          <w:divsChild>
                                                            <w:div w:id="477723698">
                                                              <w:marLeft w:val="0"/>
                                                              <w:marRight w:val="0"/>
                                                              <w:marTop w:val="0"/>
                                                              <w:marBottom w:val="0"/>
                                                              <w:divBdr>
                                                                <w:top w:val="none" w:sz="0" w:space="0" w:color="auto"/>
                                                                <w:left w:val="none" w:sz="0" w:space="0" w:color="auto"/>
                                                                <w:bottom w:val="none" w:sz="0" w:space="0" w:color="auto"/>
                                                                <w:right w:val="none" w:sz="0" w:space="0" w:color="auto"/>
                                                              </w:divBdr>
                                                            </w:div>
                                                          </w:divsChild>
                                                        </w:div>
                                                        <w:div w:id="710030363">
                                                          <w:marLeft w:val="0"/>
                                                          <w:marRight w:val="0"/>
                                                          <w:marTop w:val="0"/>
                                                          <w:marBottom w:val="0"/>
                                                          <w:divBdr>
                                                            <w:top w:val="none" w:sz="0" w:space="0" w:color="auto"/>
                                                            <w:left w:val="none" w:sz="0" w:space="0" w:color="auto"/>
                                                            <w:bottom w:val="none" w:sz="0" w:space="0" w:color="auto"/>
                                                            <w:right w:val="none" w:sz="0" w:space="0" w:color="auto"/>
                                                          </w:divBdr>
                                                          <w:divsChild>
                                                            <w:div w:id="592517026">
                                                              <w:marLeft w:val="0"/>
                                                              <w:marRight w:val="0"/>
                                                              <w:marTop w:val="0"/>
                                                              <w:marBottom w:val="0"/>
                                                              <w:divBdr>
                                                                <w:top w:val="none" w:sz="0" w:space="0" w:color="auto"/>
                                                                <w:left w:val="none" w:sz="0" w:space="0" w:color="auto"/>
                                                                <w:bottom w:val="none" w:sz="0" w:space="0" w:color="auto"/>
                                                                <w:right w:val="none" w:sz="0" w:space="0" w:color="auto"/>
                                                              </w:divBdr>
                                                            </w:div>
                                                          </w:divsChild>
                                                        </w:div>
                                                        <w:div w:id="728653905">
                                                          <w:marLeft w:val="0"/>
                                                          <w:marRight w:val="0"/>
                                                          <w:marTop w:val="0"/>
                                                          <w:marBottom w:val="0"/>
                                                          <w:divBdr>
                                                            <w:top w:val="none" w:sz="0" w:space="0" w:color="auto"/>
                                                            <w:left w:val="none" w:sz="0" w:space="0" w:color="auto"/>
                                                            <w:bottom w:val="none" w:sz="0" w:space="0" w:color="auto"/>
                                                            <w:right w:val="none" w:sz="0" w:space="0" w:color="auto"/>
                                                          </w:divBdr>
                                                          <w:divsChild>
                                                            <w:div w:id="169375727">
                                                              <w:marLeft w:val="0"/>
                                                              <w:marRight w:val="0"/>
                                                              <w:marTop w:val="0"/>
                                                              <w:marBottom w:val="0"/>
                                                              <w:divBdr>
                                                                <w:top w:val="none" w:sz="0" w:space="0" w:color="auto"/>
                                                                <w:left w:val="none" w:sz="0" w:space="0" w:color="auto"/>
                                                                <w:bottom w:val="none" w:sz="0" w:space="0" w:color="auto"/>
                                                                <w:right w:val="none" w:sz="0" w:space="0" w:color="auto"/>
                                                              </w:divBdr>
                                                            </w:div>
                                                          </w:divsChild>
                                                        </w:div>
                                                        <w:div w:id="728769199">
                                                          <w:marLeft w:val="0"/>
                                                          <w:marRight w:val="0"/>
                                                          <w:marTop w:val="0"/>
                                                          <w:marBottom w:val="0"/>
                                                          <w:divBdr>
                                                            <w:top w:val="none" w:sz="0" w:space="0" w:color="auto"/>
                                                            <w:left w:val="none" w:sz="0" w:space="0" w:color="auto"/>
                                                            <w:bottom w:val="none" w:sz="0" w:space="0" w:color="auto"/>
                                                            <w:right w:val="none" w:sz="0" w:space="0" w:color="auto"/>
                                                          </w:divBdr>
                                                          <w:divsChild>
                                                            <w:div w:id="432363557">
                                                              <w:marLeft w:val="0"/>
                                                              <w:marRight w:val="0"/>
                                                              <w:marTop w:val="0"/>
                                                              <w:marBottom w:val="0"/>
                                                              <w:divBdr>
                                                                <w:top w:val="none" w:sz="0" w:space="0" w:color="auto"/>
                                                                <w:left w:val="none" w:sz="0" w:space="0" w:color="auto"/>
                                                                <w:bottom w:val="none" w:sz="0" w:space="0" w:color="auto"/>
                                                                <w:right w:val="none" w:sz="0" w:space="0" w:color="auto"/>
                                                              </w:divBdr>
                                                            </w:div>
                                                          </w:divsChild>
                                                        </w:div>
                                                        <w:div w:id="728962587">
                                                          <w:marLeft w:val="0"/>
                                                          <w:marRight w:val="0"/>
                                                          <w:marTop w:val="0"/>
                                                          <w:marBottom w:val="0"/>
                                                          <w:divBdr>
                                                            <w:top w:val="none" w:sz="0" w:space="0" w:color="auto"/>
                                                            <w:left w:val="none" w:sz="0" w:space="0" w:color="auto"/>
                                                            <w:bottom w:val="none" w:sz="0" w:space="0" w:color="auto"/>
                                                            <w:right w:val="none" w:sz="0" w:space="0" w:color="auto"/>
                                                          </w:divBdr>
                                                          <w:divsChild>
                                                            <w:div w:id="1414233001">
                                                              <w:marLeft w:val="0"/>
                                                              <w:marRight w:val="0"/>
                                                              <w:marTop w:val="0"/>
                                                              <w:marBottom w:val="0"/>
                                                              <w:divBdr>
                                                                <w:top w:val="none" w:sz="0" w:space="0" w:color="auto"/>
                                                                <w:left w:val="none" w:sz="0" w:space="0" w:color="auto"/>
                                                                <w:bottom w:val="none" w:sz="0" w:space="0" w:color="auto"/>
                                                                <w:right w:val="none" w:sz="0" w:space="0" w:color="auto"/>
                                                              </w:divBdr>
                                                            </w:div>
                                                          </w:divsChild>
                                                        </w:div>
                                                        <w:div w:id="741026815">
                                                          <w:marLeft w:val="0"/>
                                                          <w:marRight w:val="0"/>
                                                          <w:marTop w:val="0"/>
                                                          <w:marBottom w:val="0"/>
                                                          <w:divBdr>
                                                            <w:top w:val="none" w:sz="0" w:space="0" w:color="auto"/>
                                                            <w:left w:val="none" w:sz="0" w:space="0" w:color="auto"/>
                                                            <w:bottom w:val="none" w:sz="0" w:space="0" w:color="auto"/>
                                                            <w:right w:val="none" w:sz="0" w:space="0" w:color="auto"/>
                                                          </w:divBdr>
                                                          <w:divsChild>
                                                            <w:div w:id="1583374961">
                                                              <w:marLeft w:val="0"/>
                                                              <w:marRight w:val="0"/>
                                                              <w:marTop w:val="0"/>
                                                              <w:marBottom w:val="0"/>
                                                              <w:divBdr>
                                                                <w:top w:val="none" w:sz="0" w:space="0" w:color="auto"/>
                                                                <w:left w:val="none" w:sz="0" w:space="0" w:color="auto"/>
                                                                <w:bottom w:val="none" w:sz="0" w:space="0" w:color="auto"/>
                                                                <w:right w:val="none" w:sz="0" w:space="0" w:color="auto"/>
                                                              </w:divBdr>
                                                            </w:div>
                                                          </w:divsChild>
                                                        </w:div>
                                                        <w:div w:id="746807989">
                                                          <w:marLeft w:val="0"/>
                                                          <w:marRight w:val="0"/>
                                                          <w:marTop w:val="0"/>
                                                          <w:marBottom w:val="0"/>
                                                          <w:divBdr>
                                                            <w:top w:val="none" w:sz="0" w:space="0" w:color="auto"/>
                                                            <w:left w:val="none" w:sz="0" w:space="0" w:color="auto"/>
                                                            <w:bottom w:val="none" w:sz="0" w:space="0" w:color="auto"/>
                                                            <w:right w:val="none" w:sz="0" w:space="0" w:color="auto"/>
                                                          </w:divBdr>
                                                          <w:divsChild>
                                                            <w:div w:id="1317759141">
                                                              <w:marLeft w:val="0"/>
                                                              <w:marRight w:val="0"/>
                                                              <w:marTop w:val="0"/>
                                                              <w:marBottom w:val="0"/>
                                                              <w:divBdr>
                                                                <w:top w:val="none" w:sz="0" w:space="0" w:color="auto"/>
                                                                <w:left w:val="none" w:sz="0" w:space="0" w:color="auto"/>
                                                                <w:bottom w:val="none" w:sz="0" w:space="0" w:color="auto"/>
                                                                <w:right w:val="none" w:sz="0" w:space="0" w:color="auto"/>
                                                              </w:divBdr>
                                                            </w:div>
                                                          </w:divsChild>
                                                        </w:div>
                                                        <w:div w:id="754401155">
                                                          <w:marLeft w:val="0"/>
                                                          <w:marRight w:val="0"/>
                                                          <w:marTop w:val="0"/>
                                                          <w:marBottom w:val="0"/>
                                                          <w:divBdr>
                                                            <w:top w:val="none" w:sz="0" w:space="0" w:color="auto"/>
                                                            <w:left w:val="none" w:sz="0" w:space="0" w:color="auto"/>
                                                            <w:bottom w:val="none" w:sz="0" w:space="0" w:color="auto"/>
                                                            <w:right w:val="none" w:sz="0" w:space="0" w:color="auto"/>
                                                          </w:divBdr>
                                                          <w:divsChild>
                                                            <w:div w:id="777142398">
                                                              <w:marLeft w:val="0"/>
                                                              <w:marRight w:val="0"/>
                                                              <w:marTop w:val="0"/>
                                                              <w:marBottom w:val="0"/>
                                                              <w:divBdr>
                                                                <w:top w:val="none" w:sz="0" w:space="0" w:color="auto"/>
                                                                <w:left w:val="none" w:sz="0" w:space="0" w:color="auto"/>
                                                                <w:bottom w:val="none" w:sz="0" w:space="0" w:color="auto"/>
                                                                <w:right w:val="none" w:sz="0" w:space="0" w:color="auto"/>
                                                              </w:divBdr>
                                                            </w:div>
                                                          </w:divsChild>
                                                        </w:div>
                                                        <w:div w:id="774131783">
                                                          <w:marLeft w:val="0"/>
                                                          <w:marRight w:val="0"/>
                                                          <w:marTop w:val="0"/>
                                                          <w:marBottom w:val="0"/>
                                                          <w:divBdr>
                                                            <w:top w:val="none" w:sz="0" w:space="0" w:color="auto"/>
                                                            <w:left w:val="none" w:sz="0" w:space="0" w:color="auto"/>
                                                            <w:bottom w:val="none" w:sz="0" w:space="0" w:color="auto"/>
                                                            <w:right w:val="none" w:sz="0" w:space="0" w:color="auto"/>
                                                          </w:divBdr>
                                                          <w:divsChild>
                                                            <w:div w:id="1350983751">
                                                              <w:marLeft w:val="0"/>
                                                              <w:marRight w:val="0"/>
                                                              <w:marTop w:val="0"/>
                                                              <w:marBottom w:val="0"/>
                                                              <w:divBdr>
                                                                <w:top w:val="none" w:sz="0" w:space="0" w:color="auto"/>
                                                                <w:left w:val="none" w:sz="0" w:space="0" w:color="auto"/>
                                                                <w:bottom w:val="none" w:sz="0" w:space="0" w:color="auto"/>
                                                                <w:right w:val="none" w:sz="0" w:space="0" w:color="auto"/>
                                                              </w:divBdr>
                                                            </w:div>
                                                          </w:divsChild>
                                                        </w:div>
                                                        <w:div w:id="778184292">
                                                          <w:marLeft w:val="0"/>
                                                          <w:marRight w:val="0"/>
                                                          <w:marTop w:val="0"/>
                                                          <w:marBottom w:val="0"/>
                                                          <w:divBdr>
                                                            <w:top w:val="none" w:sz="0" w:space="0" w:color="auto"/>
                                                            <w:left w:val="none" w:sz="0" w:space="0" w:color="auto"/>
                                                            <w:bottom w:val="none" w:sz="0" w:space="0" w:color="auto"/>
                                                            <w:right w:val="none" w:sz="0" w:space="0" w:color="auto"/>
                                                          </w:divBdr>
                                                          <w:divsChild>
                                                            <w:div w:id="348870386">
                                                              <w:marLeft w:val="0"/>
                                                              <w:marRight w:val="0"/>
                                                              <w:marTop w:val="0"/>
                                                              <w:marBottom w:val="0"/>
                                                              <w:divBdr>
                                                                <w:top w:val="none" w:sz="0" w:space="0" w:color="auto"/>
                                                                <w:left w:val="none" w:sz="0" w:space="0" w:color="auto"/>
                                                                <w:bottom w:val="none" w:sz="0" w:space="0" w:color="auto"/>
                                                                <w:right w:val="none" w:sz="0" w:space="0" w:color="auto"/>
                                                              </w:divBdr>
                                                            </w:div>
                                                          </w:divsChild>
                                                        </w:div>
                                                        <w:div w:id="790320903">
                                                          <w:marLeft w:val="0"/>
                                                          <w:marRight w:val="0"/>
                                                          <w:marTop w:val="0"/>
                                                          <w:marBottom w:val="0"/>
                                                          <w:divBdr>
                                                            <w:top w:val="none" w:sz="0" w:space="0" w:color="auto"/>
                                                            <w:left w:val="none" w:sz="0" w:space="0" w:color="auto"/>
                                                            <w:bottom w:val="none" w:sz="0" w:space="0" w:color="auto"/>
                                                            <w:right w:val="none" w:sz="0" w:space="0" w:color="auto"/>
                                                          </w:divBdr>
                                                          <w:divsChild>
                                                            <w:div w:id="1416825811">
                                                              <w:marLeft w:val="0"/>
                                                              <w:marRight w:val="0"/>
                                                              <w:marTop w:val="0"/>
                                                              <w:marBottom w:val="0"/>
                                                              <w:divBdr>
                                                                <w:top w:val="none" w:sz="0" w:space="0" w:color="auto"/>
                                                                <w:left w:val="none" w:sz="0" w:space="0" w:color="auto"/>
                                                                <w:bottom w:val="none" w:sz="0" w:space="0" w:color="auto"/>
                                                                <w:right w:val="none" w:sz="0" w:space="0" w:color="auto"/>
                                                              </w:divBdr>
                                                            </w:div>
                                                          </w:divsChild>
                                                        </w:div>
                                                        <w:div w:id="793138340">
                                                          <w:marLeft w:val="0"/>
                                                          <w:marRight w:val="0"/>
                                                          <w:marTop w:val="0"/>
                                                          <w:marBottom w:val="0"/>
                                                          <w:divBdr>
                                                            <w:top w:val="none" w:sz="0" w:space="0" w:color="auto"/>
                                                            <w:left w:val="none" w:sz="0" w:space="0" w:color="auto"/>
                                                            <w:bottom w:val="none" w:sz="0" w:space="0" w:color="auto"/>
                                                            <w:right w:val="none" w:sz="0" w:space="0" w:color="auto"/>
                                                          </w:divBdr>
                                                          <w:divsChild>
                                                            <w:div w:id="961300119">
                                                              <w:marLeft w:val="0"/>
                                                              <w:marRight w:val="0"/>
                                                              <w:marTop w:val="0"/>
                                                              <w:marBottom w:val="0"/>
                                                              <w:divBdr>
                                                                <w:top w:val="none" w:sz="0" w:space="0" w:color="auto"/>
                                                                <w:left w:val="none" w:sz="0" w:space="0" w:color="auto"/>
                                                                <w:bottom w:val="none" w:sz="0" w:space="0" w:color="auto"/>
                                                                <w:right w:val="none" w:sz="0" w:space="0" w:color="auto"/>
                                                              </w:divBdr>
                                                            </w:div>
                                                          </w:divsChild>
                                                        </w:div>
                                                        <w:div w:id="799345677">
                                                          <w:marLeft w:val="0"/>
                                                          <w:marRight w:val="0"/>
                                                          <w:marTop w:val="0"/>
                                                          <w:marBottom w:val="0"/>
                                                          <w:divBdr>
                                                            <w:top w:val="none" w:sz="0" w:space="0" w:color="auto"/>
                                                            <w:left w:val="none" w:sz="0" w:space="0" w:color="auto"/>
                                                            <w:bottom w:val="none" w:sz="0" w:space="0" w:color="auto"/>
                                                            <w:right w:val="none" w:sz="0" w:space="0" w:color="auto"/>
                                                          </w:divBdr>
                                                          <w:divsChild>
                                                            <w:div w:id="114369006">
                                                              <w:marLeft w:val="0"/>
                                                              <w:marRight w:val="0"/>
                                                              <w:marTop w:val="0"/>
                                                              <w:marBottom w:val="0"/>
                                                              <w:divBdr>
                                                                <w:top w:val="none" w:sz="0" w:space="0" w:color="auto"/>
                                                                <w:left w:val="none" w:sz="0" w:space="0" w:color="auto"/>
                                                                <w:bottom w:val="none" w:sz="0" w:space="0" w:color="auto"/>
                                                                <w:right w:val="none" w:sz="0" w:space="0" w:color="auto"/>
                                                              </w:divBdr>
                                                            </w:div>
                                                          </w:divsChild>
                                                        </w:div>
                                                        <w:div w:id="802502217">
                                                          <w:marLeft w:val="0"/>
                                                          <w:marRight w:val="0"/>
                                                          <w:marTop w:val="0"/>
                                                          <w:marBottom w:val="0"/>
                                                          <w:divBdr>
                                                            <w:top w:val="none" w:sz="0" w:space="0" w:color="auto"/>
                                                            <w:left w:val="none" w:sz="0" w:space="0" w:color="auto"/>
                                                            <w:bottom w:val="none" w:sz="0" w:space="0" w:color="auto"/>
                                                            <w:right w:val="none" w:sz="0" w:space="0" w:color="auto"/>
                                                          </w:divBdr>
                                                          <w:divsChild>
                                                            <w:div w:id="1762069392">
                                                              <w:marLeft w:val="0"/>
                                                              <w:marRight w:val="0"/>
                                                              <w:marTop w:val="0"/>
                                                              <w:marBottom w:val="0"/>
                                                              <w:divBdr>
                                                                <w:top w:val="none" w:sz="0" w:space="0" w:color="auto"/>
                                                                <w:left w:val="none" w:sz="0" w:space="0" w:color="auto"/>
                                                                <w:bottom w:val="none" w:sz="0" w:space="0" w:color="auto"/>
                                                                <w:right w:val="none" w:sz="0" w:space="0" w:color="auto"/>
                                                              </w:divBdr>
                                                            </w:div>
                                                          </w:divsChild>
                                                        </w:div>
                                                        <w:div w:id="803893438">
                                                          <w:marLeft w:val="0"/>
                                                          <w:marRight w:val="0"/>
                                                          <w:marTop w:val="0"/>
                                                          <w:marBottom w:val="0"/>
                                                          <w:divBdr>
                                                            <w:top w:val="none" w:sz="0" w:space="0" w:color="auto"/>
                                                            <w:left w:val="none" w:sz="0" w:space="0" w:color="auto"/>
                                                            <w:bottom w:val="none" w:sz="0" w:space="0" w:color="auto"/>
                                                            <w:right w:val="none" w:sz="0" w:space="0" w:color="auto"/>
                                                          </w:divBdr>
                                                          <w:divsChild>
                                                            <w:div w:id="148792298">
                                                              <w:marLeft w:val="0"/>
                                                              <w:marRight w:val="0"/>
                                                              <w:marTop w:val="0"/>
                                                              <w:marBottom w:val="0"/>
                                                              <w:divBdr>
                                                                <w:top w:val="none" w:sz="0" w:space="0" w:color="auto"/>
                                                                <w:left w:val="none" w:sz="0" w:space="0" w:color="auto"/>
                                                                <w:bottom w:val="none" w:sz="0" w:space="0" w:color="auto"/>
                                                                <w:right w:val="none" w:sz="0" w:space="0" w:color="auto"/>
                                                              </w:divBdr>
                                                            </w:div>
                                                          </w:divsChild>
                                                        </w:div>
                                                        <w:div w:id="810557593">
                                                          <w:marLeft w:val="0"/>
                                                          <w:marRight w:val="0"/>
                                                          <w:marTop w:val="0"/>
                                                          <w:marBottom w:val="0"/>
                                                          <w:divBdr>
                                                            <w:top w:val="none" w:sz="0" w:space="0" w:color="auto"/>
                                                            <w:left w:val="none" w:sz="0" w:space="0" w:color="auto"/>
                                                            <w:bottom w:val="none" w:sz="0" w:space="0" w:color="auto"/>
                                                            <w:right w:val="none" w:sz="0" w:space="0" w:color="auto"/>
                                                          </w:divBdr>
                                                          <w:divsChild>
                                                            <w:div w:id="754782220">
                                                              <w:marLeft w:val="0"/>
                                                              <w:marRight w:val="0"/>
                                                              <w:marTop w:val="0"/>
                                                              <w:marBottom w:val="0"/>
                                                              <w:divBdr>
                                                                <w:top w:val="none" w:sz="0" w:space="0" w:color="auto"/>
                                                                <w:left w:val="none" w:sz="0" w:space="0" w:color="auto"/>
                                                                <w:bottom w:val="none" w:sz="0" w:space="0" w:color="auto"/>
                                                                <w:right w:val="none" w:sz="0" w:space="0" w:color="auto"/>
                                                              </w:divBdr>
                                                            </w:div>
                                                          </w:divsChild>
                                                        </w:div>
                                                        <w:div w:id="812719442">
                                                          <w:marLeft w:val="0"/>
                                                          <w:marRight w:val="0"/>
                                                          <w:marTop w:val="0"/>
                                                          <w:marBottom w:val="0"/>
                                                          <w:divBdr>
                                                            <w:top w:val="none" w:sz="0" w:space="0" w:color="auto"/>
                                                            <w:left w:val="none" w:sz="0" w:space="0" w:color="auto"/>
                                                            <w:bottom w:val="none" w:sz="0" w:space="0" w:color="auto"/>
                                                            <w:right w:val="none" w:sz="0" w:space="0" w:color="auto"/>
                                                          </w:divBdr>
                                                          <w:divsChild>
                                                            <w:div w:id="1172647910">
                                                              <w:marLeft w:val="0"/>
                                                              <w:marRight w:val="0"/>
                                                              <w:marTop w:val="0"/>
                                                              <w:marBottom w:val="0"/>
                                                              <w:divBdr>
                                                                <w:top w:val="none" w:sz="0" w:space="0" w:color="auto"/>
                                                                <w:left w:val="none" w:sz="0" w:space="0" w:color="auto"/>
                                                                <w:bottom w:val="none" w:sz="0" w:space="0" w:color="auto"/>
                                                                <w:right w:val="none" w:sz="0" w:space="0" w:color="auto"/>
                                                              </w:divBdr>
                                                            </w:div>
                                                          </w:divsChild>
                                                        </w:div>
                                                        <w:div w:id="815680082">
                                                          <w:marLeft w:val="0"/>
                                                          <w:marRight w:val="0"/>
                                                          <w:marTop w:val="0"/>
                                                          <w:marBottom w:val="0"/>
                                                          <w:divBdr>
                                                            <w:top w:val="none" w:sz="0" w:space="0" w:color="auto"/>
                                                            <w:left w:val="none" w:sz="0" w:space="0" w:color="auto"/>
                                                            <w:bottom w:val="none" w:sz="0" w:space="0" w:color="auto"/>
                                                            <w:right w:val="none" w:sz="0" w:space="0" w:color="auto"/>
                                                          </w:divBdr>
                                                          <w:divsChild>
                                                            <w:div w:id="62720118">
                                                              <w:marLeft w:val="0"/>
                                                              <w:marRight w:val="0"/>
                                                              <w:marTop w:val="0"/>
                                                              <w:marBottom w:val="0"/>
                                                              <w:divBdr>
                                                                <w:top w:val="none" w:sz="0" w:space="0" w:color="auto"/>
                                                                <w:left w:val="none" w:sz="0" w:space="0" w:color="auto"/>
                                                                <w:bottom w:val="none" w:sz="0" w:space="0" w:color="auto"/>
                                                                <w:right w:val="none" w:sz="0" w:space="0" w:color="auto"/>
                                                              </w:divBdr>
                                                            </w:div>
                                                          </w:divsChild>
                                                        </w:div>
                                                        <w:div w:id="819151952">
                                                          <w:marLeft w:val="0"/>
                                                          <w:marRight w:val="0"/>
                                                          <w:marTop w:val="0"/>
                                                          <w:marBottom w:val="0"/>
                                                          <w:divBdr>
                                                            <w:top w:val="none" w:sz="0" w:space="0" w:color="auto"/>
                                                            <w:left w:val="none" w:sz="0" w:space="0" w:color="auto"/>
                                                            <w:bottom w:val="none" w:sz="0" w:space="0" w:color="auto"/>
                                                            <w:right w:val="none" w:sz="0" w:space="0" w:color="auto"/>
                                                          </w:divBdr>
                                                          <w:divsChild>
                                                            <w:div w:id="881671070">
                                                              <w:marLeft w:val="0"/>
                                                              <w:marRight w:val="0"/>
                                                              <w:marTop w:val="0"/>
                                                              <w:marBottom w:val="0"/>
                                                              <w:divBdr>
                                                                <w:top w:val="none" w:sz="0" w:space="0" w:color="auto"/>
                                                                <w:left w:val="none" w:sz="0" w:space="0" w:color="auto"/>
                                                                <w:bottom w:val="none" w:sz="0" w:space="0" w:color="auto"/>
                                                                <w:right w:val="none" w:sz="0" w:space="0" w:color="auto"/>
                                                              </w:divBdr>
                                                            </w:div>
                                                          </w:divsChild>
                                                        </w:div>
                                                        <w:div w:id="826096605">
                                                          <w:marLeft w:val="0"/>
                                                          <w:marRight w:val="0"/>
                                                          <w:marTop w:val="0"/>
                                                          <w:marBottom w:val="0"/>
                                                          <w:divBdr>
                                                            <w:top w:val="none" w:sz="0" w:space="0" w:color="auto"/>
                                                            <w:left w:val="none" w:sz="0" w:space="0" w:color="auto"/>
                                                            <w:bottom w:val="none" w:sz="0" w:space="0" w:color="auto"/>
                                                            <w:right w:val="none" w:sz="0" w:space="0" w:color="auto"/>
                                                          </w:divBdr>
                                                          <w:divsChild>
                                                            <w:div w:id="1355158587">
                                                              <w:marLeft w:val="0"/>
                                                              <w:marRight w:val="0"/>
                                                              <w:marTop w:val="0"/>
                                                              <w:marBottom w:val="0"/>
                                                              <w:divBdr>
                                                                <w:top w:val="none" w:sz="0" w:space="0" w:color="auto"/>
                                                                <w:left w:val="none" w:sz="0" w:space="0" w:color="auto"/>
                                                                <w:bottom w:val="none" w:sz="0" w:space="0" w:color="auto"/>
                                                                <w:right w:val="none" w:sz="0" w:space="0" w:color="auto"/>
                                                              </w:divBdr>
                                                            </w:div>
                                                          </w:divsChild>
                                                        </w:div>
                                                        <w:div w:id="834879859">
                                                          <w:marLeft w:val="0"/>
                                                          <w:marRight w:val="0"/>
                                                          <w:marTop w:val="0"/>
                                                          <w:marBottom w:val="0"/>
                                                          <w:divBdr>
                                                            <w:top w:val="none" w:sz="0" w:space="0" w:color="auto"/>
                                                            <w:left w:val="none" w:sz="0" w:space="0" w:color="auto"/>
                                                            <w:bottom w:val="none" w:sz="0" w:space="0" w:color="auto"/>
                                                            <w:right w:val="none" w:sz="0" w:space="0" w:color="auto"/>
                                                          </w:divBdr>
                                                          <w:divsChild>
                                                            <w:div w:id="1096438447">
                                                              <w:marLeft w:val="0"/>
                                                              <w:marRight w:val="0"/>
                                                              <w:marTop w:val="0"/>
                                                              <w:marBottom w:val="0"/>
                                                              <w:divBdr>
                                                                <w:top w:val="none" w:sz="0" w:space="0" w:color="auto"/>
                                                                <w:left w:val="none" w:sz="0" w:space="0" w:color="auto"/>
                                                                <w:bottom w:val="none" w:sz="0" w:space="0" w:color="auto"/>
                                                                <w:right w:val="none" w:sz="0" w:space="0" w:color="auto"/>
                                                              </w:divBdr>
                                                            </w:div>
                                                          </w:divsChild>
                                                        </w:div>
                                                        <w:div w:id="844318724">
                                                          <w:marLeft w:val="0"/>
                                                          <w:marRight w:val="0"/>
                                                          <w:marTop w:val="0"/>
                                                          <w:marBottom w:val="0"/>
                                                          <w:divBdr>
                                                            <w:top w:val="none" w:sz="0" w:space="0" w:color="auto"/>
                                                            <w:left w:val="none" w:sz="0" w:space="0" w:color="auto"/>
                                                            <w:bottom w:val="none" w:sz="0" w:space="0" w:color="auto"/>
                                                            <w:right w:val="none" w:sz="0" w:space="0" w:color="auto"/>
                                                          </w:divBdr>
                                                        </w:div>
                                                        <w:div w:id="846095212">
                                                          <w:marLeft w:val="0"/>
                                                          <w:marRight w:val="0"/>
                                                          <w:marTop w:val="0"/>
                                                          <w:marBottom w:val="0"/>
                                                          <w:divBdr>
                                                            <w:top w:val="none" w:sz="0" w:space="0" w:color="auto"/>
                                                            <w:left w:val="none" w:sz="0" w:space="0" w:color="auto"/>
                                                            <w:bottom w:val="none" w:sz="0" w:space="0" w:color="auto"/>
                                                            <w:right w:val="none" w:sz="0" w:space="0" w:color="auto"/>
                                                          </w:divBdr>
                                                          <w:divsChild>
                                                            <w:div w:id="954874398">
                                                              <w:marLeft w:val="0"/>
                                                              <w:marRight w:val="0"/>
                                                              <w:marTop w:val="0"/>
                                                              <w:marBottom w:val="0"/>
                                                              <w:divBdr>
                                                                <w:top w:val="none" w:sz="0" w:space="0" w:color="auto"/>
                                                                <w:left w:val="none" w:sz="0" w:space="0" w:color="auto"/>
                                                                <w:bottom w:val="none" w:sz="0" w:space="0" w:color="auto"/>
                                                                <w:right w:val="none" w:sz="0" w:space="0" w:color="auto"/>
                                                              </w:divBdr>
                                                            </w:div>
                                                          </w:divsChild>
                                                        </w:div>
                                                        <w:div w:id="847796025">
                                                          <w:marLeft w:val="0"/>
                                                          <w:marRight w:val="0"/>
                                                          <w:marTop w:val="0"/>
                                                          <w:marBottom w:val="0"/>
                                                          <w:divBdr>
                                                            <w:top w:val="none" w:sz="0" w:space="0" w:color="auto"/>
                                                            <w:left w:val="none" w:sz="0" w:space="0" w:color="auto"/>
                                                            <w:bottom w:val="none" w:sz="0" w:space="0" w:color="auto"/>
                                                            <w:right w:val="none" w:sz="0" w:space="0" w:color="auto"/>
                                                          </w:divBdr>
                                                        </w:div>
                                                        <w:div w:id="854416187">
                                                          <w:marLeft w:val="0"/>
                                                          <w:marRight w:val="0"/>
                                                          <w:marTop w:val="0"/>
                                                          <w:marBottom w:val="0"/>
                                                          <w:divBdr>
                                                            <w:top w:val="none" w:sz="0" w:space="0" w:color="auto"/>
                                                            <w:left w:val="none" w:sz="0" w:space="0" w:color="auto"/>
                                                            <w:bottom w:val="none" w:sz="0" w:space="0" w:color="auto"/>
                                                            <w:right w:val="none" w:sz="0" w:space="0" w:color="auto"/>
                                                          </w:divBdr>
                                                          <w:divsChild>
                                                            <w:div w:id="744688208">
                                                              <w:marLeft w:val="0"/>
                                                              <w:marRight w:val="0"/>
                                                              <w:marTop w:val="0"/>
                                                              <w:marBottom w:val="0"/>
                                                              <w:divBdr>
                                                                <w:top w:val="none" w:sz="0" w:space="0" w:color="auto"/>
                                                                <w:left w:val="none" w:sz="0" w:space="0" w:color="auto"/>
                                                                <w:bottom w:val="none" w:sz="0" w:space="0" w:color="auto"/>
                                                                <w:right w:val="none" w:sz="0" w:space="0" w:color="auto"/>
                                                              </w:divBdr>
                                                            </w:div>
                                                          </w:divsChild>
                                                        </w:div>
                                                        <w:div w:id="858735799">
                                                          <w:marLeft w:val="0"/>
                                                          <w:marRight w:val="0"/>
                                                          <w:marTop w:val="0"/>
                                                          <w:marBottom w:val="0"/>
                                                          <w:divBdr>
                                                            <w:top w:val="none" w:sz="0" w:space="0" w:color="auto"/>
                                                            <w:left w:val="none" w:sz="0" w:space="0" w:color="auto"/>
                                                            <w:bottom w:val="none" w:sz="0" w:space="0" w:color="auto"/>
                                                            <w:right w:val="none" w:sz="0" w:space="0" w:color="auto"/>
                                                          </w:divBdr>
                                                          <w:divsChild>
                                                            <w:div w:id="1029141470">
                                                              <w:marLeft w:val="0"/>
                                                              <w:marRight w:val="0"/>
                                                              <w:marTop w:val="0"/>
                                                              <w:marBottom w:val="0"/>
                                                              <w:divBdr>
                                                                <w:top w:val="none" w:sz="0" w:space="0" w:color="auto"/>
                                                                <w:left w:val="none" w:sz="0" w:space="0" w:color="auto"/>
                                                                <w:bottom w:val="none" w:sz="0" w:space="0" w:color="auto"/>
                                                                <w:right w:val="none" w:sz="0" w:space="0" w:color="auto"/>
                                                              </w:divBdr>
                                                            </w:div>
                                                          </w:divsChild>
                                                        </w:div>
                                                        <w:div w:id="877359336">
                                                          <w:marLeft w:val="0"/>
                                                          <w:marRight w:val="0"/>
                                                          <w:marTop w:val="0"/>
                                                          <w:marBottom w:val="0"/>
                                                          <w:divBdr>
                                                            <w:top w:val="none" w:sz="0" w:space="0" w:color="auto"/>
                                                            <w:left w:val="none" w:sz="0" w:space="0" w:color="auto"/>
                                                            <w:bottom w:val="none" w:sz="0" w:space="0" w:color="auto"/>
                                                            <w:right w:val="none" w:sz="0" w:space="0" w:color="auto"/>
                                                          </w:divBdr>
                                                        </w:div>
                                                        <w:div w:id="883102945">
                                                          <w:marLeft w:val="0"/>
                                                          <w:marRight w:val="0"/>
                                                          <w:marTop w:val="0"/>
                                                          <w:marBottom w:val="0"/>
                                                          <w:divBdr>
                                                            <w:top w:val="none" w:sz="0" w:space="0" w:color="auto"/>
                                                            <w:left w:val="none" w:sz="0" w:space="0" w:color="auto"/>
                                                            <w:bottom w:val="none" w:sz="0" w:space="0" w:color="auto"/>
                                                            <w:right w:val="none" w:sz="0" w:space="0" w:color="auto"/>
                                                          </w:divBdr>
                                                          <w:divsChild>
                                                            <w:div w:id="1531449313">
                                                              <w:marLeft w:val="0"/>
                                                              <w:marRight w:val="0"/>
                                                              <w:marTop w:val="0"/>
                                                              <w:marBottom w:val="0"/>
                                                              <w:divBdr>
                                                                <w:top w:val="none" w:sz="0" w:space="0" w:color="auto"/>
                                                                <w:left w:val="none" w:sz="0" w:space="0" w:color="auto"/>
                                                                <w:bottom w:val="none" w:sz="0" w:space="0" w:color="auto"/>
                                                                <w:right w:val="none" w:sz="0" w:space="0" w:color="auto"/>
                                                              </w:divBdr>
                                                            </w:div>
                                                          </w:divsChild>
                                                        </w:div>
                                                        <w:div w:id="916791196">
                                                          <w:marLeft w:val="0"/>
                                                          <w:marRight w:val="0"/>
                                                          <w:marTop w:val="0"/>
                                                          <w:marBottom w:val="0"/>
                                                          <w:divBdr>
                                                            <w:top w:val="none" w:sz="0" w:space="0" w:color="auto"/>
                                                            <w:left w:val="none" w:sz="0" w:space="0" w:color="auto"/>
                                                            <w:bottom w:val="none" w:sz="0" w:space="0" w:color="auto"/>
                                                            <w:right w:val="none" w:sz="0" w:space="0" w:color="auto"/>
                                                          </w:divBdr>
                                                        </w:div>
                                                        <w:div w:id="922373486">
                                                          <w:marLeft w:val="0"/>
                                                          <w:marRight w:val="0"/>
                                                          <w:marTop w:val="0"/>
                                                          <w:marBottom w:val="0"/>
                                                          <w:divBdr>
                                                            <w:top w:val="none" w:sz="0" w:space="0" w:color="auto"/>
                                                            <w:left w:val="none" w:sz="0" w:space="0" w:color="auto"/>
                                                            <w:bottom w:val="none" w:sz="0" w:space="0" w:color="auto"/>
                                                            <w:right w:val="none" w:sz="0" w:space="0" w:color="auto"/>
                                                          </w:divBdr>
                                                          <w:divsChild>
                                                            <w:div w:id="915865858">
                                                              <w:marLeft w:val="0"/>
                                                              <w:marRight w:val="0"/>
                                                              <w:marTop w:val="0"/>
                                                              <w:marBottom w:val="0"/>
                                                              <w:divBdr>
                                                                <w:top w:val="none" w:sz="0" w:space="0" w:color="auto"/>
                                                                <w:left w:val="none" w:sz="0" w:space="0" w:color="auto"/>
                                                                <w:bottom w:val="none" w:sz="0" w:space="0" w:color="auto"/>
                                                                <w:right w:val="none" w:sz="0" w:space="0" w:color="auto"/>
                                                              </w:divBdr>
                                                            </w:div>
                                                          </w:divsChild>
                                                        </w:div>
                                                        <w:div w:id="934703647">
                                                          <w:marLeft w:val="0"/>
                                                          <w:marRight w:val="0"/>
                                                          <w:marTop w:val="0"/>
                                                          <w:marBottom w:val="0"/>
                                                          <w:divBdr>
                                                            <w:top w:val="none" w:sz="0" w:space="0" w:color="auto"/>
                                                            <w:left w:val="none" w:sz="0" w:space="0" w:color="auto"/>
                                                            <w:bottom w:val="none" w:sz="0" w:space="0" w:color="auto"/>
                                                            <w:right w:val="none" w:sz="0" w:space="0" w:color="auto"/>
                                                          </w:divBdr>
                                                          <w:divsChild>
                                                            <w:div w:id="1730031697">
                                                              <w:marLeft w:val="0"/>
                                                              <w:marRight w:val="0"/>
                                                              <w:marTop w:val="0"/>
                                                              <w:marBottom w:val="0"/>
                                                              <w:divBdr>
                                                                <w:top w:val="none" w:sz="0" w:space="0" w:color="auto"/>
                                                                <w:left w:val="none" w:sz="0" w:space="0" w:color="auto"/>
                                                                <w:bottom w:val="none" w:sz="0" w:space="0" w:color="auto"/>
                                                                <w:right w:val="none" w:sz="0" w:space="0" w:color="auto"/>
                                                              </w:divBdr>
                                                            </w:div>
                                                          </w:divsChild>
                                                        </w:div>
                                                        <w:div w:id="938637932">
                                                          <w:marLeft w:val="0"/>
                                                          <w:marRight w:val="0"/>
                                                          <w:marTop w:val="0"/>
                                                          <w:marBottom w:val="0"/>
                                                          <w:divBdr>
                                                            <w:top w:val="none" w:sz="0" w:space="0" w:color="auto"/>
                                                            <w:left w:val="none" w:sz="0" w:space="0" w:color="auto"/>
                                                            <w:bottom w:val="none" w:sz="0" w:space="0" w:color="auto"/>
                                                            <w:right w:val="none" w:sz="0" w:space="0" w:color="auto"/>
                                                          </w:divBdr>
                                                          <w:divsChild>
                                                            <w:div w:id="2083677116">
                                                              <w:marLeft w:val="0"/>
                                                              <w:marRight w:val="0"/>
                                                              <w:marTop w:val="0"/>
                                                              <w:marBottom w:val="0"/>
                                                              <w:divBdr>
                                                                <w:top w:val="none" w:sz="0" w:space="0" w:color="auto"/>
                                                                <w:left w:val="none" w:sz="0" w:space="0" w:color="auto"/>
                                                                <w:bottom w:val="none" w:sz="0" w:space="0" w:color="auto"/>
                                                                <w:right w:val="none" w:sz="0" w:space="0" w:color="auto"/>
                                                              </w:divBdr>
                                                            </w:div>
                                                          </w:divsChild>
                                                        </w:div>
                                                        <w:div w:id="940256935">
                                                          <w:marLeft w:val="0"/>
                                                          <w:marRight w:val="0"/>
                                                          <w:marTop w:val="0"/>
                                                          <w:marBottom w:val="0"/>
                                                          <w:divBdr>
                                                            <w:top w:val="none" w:sz="0" w:space="0" w:color="auto"/>
                                                            <w:left w:val="none" w:sz="0" w:space="0" w:color="auto"/>
                                                            <w:bottom w:val="none" w:sz="0" w:space="0" w:color="auto"/>
                                                            <w:right w:val="none" w:sz="0" w:space="0" w:color="auto"/>
                                                          </w:divBdr>
                                                          <w:divsChild>
                                                            <w:div w:id="664015051">
                                                              <w:marLeft w:val="0"/>
                                                              <w:marRight w:val="0"/>
                                                              <w:marTop w:val="0"/>
                                                              <w:marBottom w:val="0"/>
                                                              <w:divBdr>
                                                                <w:top w:val="none" w:sz="0" w:space="0" w:color="auto"/>
                                                                <w:left w:val="none" w:sz="0" w:space="0" w:color="auto"/>
                                                                <w:bottom w:val="none" w:sz="0" w:space="0" w:color="auto"/>
                                                                <w:right w:val="none" w:sz="0" w:space="0" w:color="auto"/>
                                                              </w:divBdr>
                                                            </w:div>
                                                          </w:divsChild>
                                                        </w:div>
                                                        <w:div w:id="961032698">
                                                          <w:marLeft w:val="0"/>
                                                          <w:marRight w:val="0"/>
                                                          <w:marTop w:val="0"/>
                                                          <w:marBottom w:val="0"/>
                                                          <w:divBdr>
                                                            <w:top w:val="none" w:sz="0" w:space="0" w:color="auto"/>
                                                            <w:left w:val="none" w:sz="0" w:space="0" w:color="auto"/>
                                                            <w:bottom w:val="none" w:sz="0" w:space="0" w:color="auto"/>
                                                            <w:right w:val="none" w:sz="0" w:space="0" w:color="auto"/>
                                                          </w:divBdr>
                                                          <w:divsChild>
                                                            <w:div w:id="1716810645">
                                                              <w:marLeft w:val="0"/>
                                                              <w:marRight w:val="0"/>
                                                              <w:marTop w:val="0"/>
                                                              <w:marBottom w:val="0"/>
                                                              <w:divBdr>
                                                                <w:top w:val="none" w:sz="0" w:space="0" w:color="auto"/>
                                                                <w:left w:val="none" w:sz="0" w:space="0" w:color="auto"/>
                                                                <w:bottom w:val="none" w:sz="0" w:space="0" w:color="auto"/>
                                                                <w:right w:val="none" w:sz="0" w:space="0" w:color="auto"/>
                                                              </w:divBdr>
                                                            </w:div>
                                                          </w:divsChild>
                                                        </w:div>
                                                        <w:div w:id="979378723">
                                                          <w:marLeft w:val="0"/>
                                                          <w:marRight w:val="0"/>
                                                          <w:marTop w:val="0"/>
                                                          <w:marBottom w:val="0"/>
                                                          <w:divBdr>
                                                            <w:top w:val="none" w:sz="0" w:space="0" w:color="auto"/>
                                                            <w:left w:val="none" w:sz="0" w:space="0" w:color="auto"/>
                                                            <w:bottom w:val="none" w:sz="0" w:space="0" w:color="auto"/>
                                                            <w:right w:val="none" w:sz="0" w:space="0" w:color="auto"/>
                                                          </w:divBdr>
                                                          <w:divsChild>
                                                            <w:div w:id="780227298">
                                                              <w:marLeft w:val="0"/>
                                                              <w:marRight w:val="0"/>
                                                              <w:marTop w:val="0"/>
                                                              <w:marBottom w:val="0"/>
                                                              <w:divBdr>
                                                                <w:top w:val="none" w:sz="0" w:space="0" w:color="auto"/>
                                                                <w:left w:val="none" w:sz="0" w:space="0" w:color="auto"/>
                                                                <w:bottom w:val="none" w:sz="0" w:space="0" w:color="auto"/>
                                                                <w:right w:val="none" w:sz="0" w:space="0" w:color="auto"/>
                                                              </w:divBdr>
                                                            </w:div>
                                                          </w:divsChild>
                                                        </w:div>
                                                        <w:div w:id="988436794">
                                                          <w:marLeft w:val="0"/>
                                                          <w:marRight w:val="0"/>
                                                          <w:marTop w:val="0"/>
                                                          <w:marBottom w:val="0"/>
                                                          <w:divBdr>
                                                            <w:top w:val="none" w:sz="0" w:space="0" w:color="auto"/>
                                                            <w:left w:val="none" w:sz="0" w:space="0" w:color="auto"/>
                                                            <w:bottom w:val="none" w:sz="0" w:space="0" w:color="auto"/>
                                                            <w:right w:val="none" w:sz="0" w:space="0" w:color="auto"/>
                                                          </w:divBdr>
                                                        </w:div>
                                                        <w:div w:id="1000503625">
                                                          <w:marLeft w:val="0"/>
                                                          <w:marRight w:val="0"/>
                                                          <w:marTop w:val="0"/>
                                                          <w:marBottom w:val="0"/>
                                                          <w:divBdr>
                                                            <w:top w:val="none" w:sz="0" w:space="0" w:color="auto"/>
                                                            <w:left w:val="none" w:sz="0" w:space="0" w:color="auto"/>
                                                            <w:bottom w:val="none" w:sz="0" w:space="0" w:color="auto"/>
                                                            <w:right w:val="none" w:sz="0" w:space="0" w:color="auto"/>
                                                          </w:divBdr>
                                                          <w:divsChild>
                                                            <w:div w:id="2146772813">
                                                              <w:marLeft w:val="0"/>
                                                              <w:marRight w:val="0"/>
                                                              <w:marTop w:val="0"/>
                                                              <w:marBottom w:val="0"/>
                                                              <w:divBdr>
                                                                <w:top w:val="none" w:sz="0" w:space="0" w:color="auto"/>
                                                                <w:left w:val="none" w:sz="0" w:space="0" w:color="auto"/>
                                                                <w:bottom w:val="none" w:sz="0" w:space="0" w:color="auto"/>
                                                                <w:right w:val="none" w:sz="0" w:space="0" w:color="auto"/>
                                                              </w:divBdr>
                                                            </w:div>
                                                          </w:divsChild>
                                                        </w:div>
                                                        <w:div w:id="1001858325">
                                                          <w:marLeft w:val="0"/>
                                                          <w:marRight w:val="0"/>
                                                          <w:marTop w:val="0"/>
                                                          <w:marBottom w:val="0"/>
                                                          <w:divBdr>
                                                            <w:top w:val="none" w:sz="0" w:space="0" w:color="auto"/>
                                                            <w:left w:val="none" w:sz="0" w:space="0" w:color="auto"/>
                                                            <w:bottom w:val="none" w:sz="0" w:space="0" w:color="auto"/>
                                                            <w:right w:val="none" w:sz="0" w:space="0" w:color="auto"/>
                                                          </w:divBdr>
                                                          <w:divsChild>
                                                            <w:div w:id="1738438662">
                                                              <w:marLeft w:val="0"/>
                                                              <w:marRight w:val="0"/>
                                                              <w:marTop w:val="0"/>
                                                              <w:marBottom w:val="0"/>
                                                              <w:divBdr>
                                                                <w:top w:val="none" w:sz="0" w:space="0" w:color="auto"/>
                                                                <w:left w:val="none" w:sz="0" w:space="0" w:color="auto"/>
                                                                <w:bottom w:val="none" w:sz="0" w:space="0" w:color="auto"/>
                                                                <w:right w:val="none" w:sz="0" w:space="0" w:color="auto"/>
                                                              </w:divBdr>
                                                            </w:div>
                                                          </w:divsChild>
                                                        </w:div>
                                                        <w:div w:id="1002393234">
                                                          <w:marLeft w:val="0"/>
                                                          <w:marRight w:val="0"/>
                                                          <w:marTop w:val="0"/>
                                                          <w:marBottom w:val="0"/>
                                                          <w:divBdr>
                                                            <w:top w:val="none" w:sz="0" w:space="0" w:color="auto"/>
                                                            <w:left w:val="none" w:sz="0" w:space="0" w:color="auto"/>
                                                            <w:bottom w:val="none" w:sz="0" w:space="0" w:color="auto"/>
                                                            <w:right w:val="none" w:sz="0" w:space="0" w:color="auto"/>
                                                          </w:divBdr>
                                                          <w:divsChild>
                                                            <w:div w:id="2039889799">
                                                              <w:marLeft w:val="0"/>
                                                              <w:marRight w:val="0"/>
                                                              <w:marTop w:val="0"/>
                                                              <w:marBottom w:val="0"/>
                                                              <w:divBdr>
                                                                <w:top w:val="none" w:sz="0" w:space="0" w:color="auto"/>
                                                                <w:left w:val="none" w:sz="0" w:space="0" w:color="auto"/>
                                                                <w:bottom w:val="none" w:sz="0" w:space="0" w:color="auto"/>
                                                                <w:right w:val="none" w:sz="0" w:space="0" w:color="auto"/>
                                                              </w:divBdr>
                                                            </w:div>
                                                          </w:divsChild>
                                                        </w:div>
                                                        <w:div w:id="1006056535">
                                                          <w:marLeft w:val="0"/>
                                                          <w:marRight w:val="0"/>
                                                          <w:marTop w:val="0"/>
                                                          <w:marBottom w:val="0"/>
                                                          <w:divBdr>
                                                            <w:top w:val="none" w:sz="0" w:space="0" w:color="auto"/>
                                                            <w:left w:val="none" w:sz="0" w:space="0" w:color="auto"/>
                                                            <w:bottom w:val="none" w:sz="0" w:space="0" w:color="auto"/>
                                                            <w:right w:val="none" w:sz="0" w:space="0" w:color="auto"/>
                                                          </w:divBdr>
                                                        </w:div>
                                                        <w:div w:id="1017271400">
                                                          <w:marLeft w:val="0"/>
                                                          <w:marRight w:val="0"/>
                                                          <w:marTop w:val="0"/>
                                                          <w:marBottom w:val="0"/>
                                                          <w:divBdr>
                                                            <w:top w:val="none" w:sz="0" w:space="0" w:color="auto"/>
                                                            <w:left w:val="none" w:sz="0" w:space="0" w:color="auto"/>
                                                            <w:bottom w:val="none" w:sz="0" w:space="0" w:color="auto"/>
                                                            <w:right w:val="none" w:sz="0" w:space="0" w:color="auto"/>
                                                          </w:divBdr>
                                                          <w:divsChild>
                                                            <w:div w:id="275907976">
                                                              <w:marLeft w:val="0"/>
                                                              <w:marRight w:val="0"/>
                                                              <w:marTop w:val="0"/>
                                                              <w:marBottom w:val="0"/>
                                                              <w:divBdr>
                                                                <w:top w:val="none" w:sz="0" w:space="0" w:color="auto"/>
                                                                <w:left w:val="none" w:sz="0" w:space="0" w:color="auto"/>
                                                                <w:bottom w:val="none" w:sz="0" w:space="0" w:color="auto"/>
                                                                <w:right w:val="none" w:sz="0" w:space="0" w:color="auto"/>
                                                              </w:divBdr>
                                                            </w:div>
                                                          </w:divsChild>
                                                        </w:div>
                                                        <w:div w:id="1037316533">
                                                          <w:marLeft w:val="0"/>
                                                          <w:marRight w:val="0"/>
                                                          <w:marTop w:val="0"/>
                                                          <w:marBottom w:val="0"/>
                                                          <w:divBdr>
                                                            <w:top w:val="none" w:sz="0" w:space="0" w:color="auto"/>
                                                            <w:left w:val="none" w:sz="0" w:space="0" w:color="auto"/>
                                                            <w:bottom w:val="none" w:sz="0" w:space="0" w:color="auto"/>
                                                            <w:right w:val="none" w:sz="0" w:space="0" w:color="auto"/>
                                                          </w:divBdr>
                                                          <w:divsChild>
                                                            <w:div w:id="1345664792">
                                                              <w:marLeft w:val="0"/>
                                                              <w:marRight w:val="0"/>
                                                              <w:marTop w:val="0"/>
                                                              <w:marBottom w:val="0"/>
                                                              <w:divBdr>
                                                                <w:top w:val="none" w:sz="0" w:space="0" w:color="auto"/>
                                                                <w:left w:val="none" w:sz="0" w:space="0" w:color="auto"/>
                                                                <w:bottom w:val="none" w:sz="0" w:space="0" w:color="auto"/>
                                                                <w:right w:val="none" w:sz="0" w:space="0" w:color="auto"/>
                                                              </w:divBdr>
                                                            </w:div>
                                                          </w:divsChild>
                                                        </w:div>
                                                        <w:div w:id="1039890323">
                                                          <w:marLeft w:val="0"/>
                                                          <w:marRight w:val="0"/>
                                                          <w:marTop w:val="0"/>
                                                          <w:marBottom w:val="0"/>
                                                          <w:divBdr>
                                                            <w:top w:val="none" w:sz="0" w:space="0" w:color="auto"/>
                                                            <w:left w:val="none" w:sz="0" w:space="0" w:color="auto"/>
                                                            <w:bottom w:val="none" w:sz="0" w:space="0" w:color="auto"/>
                                                            <w:right w:val="none" w:sz="0" w:space="0" w:color="auto"/>
                                                          </w:divBdr>
                                                          <w:divsChild>
                                                            <w:div w:id="1620718394">
                                                              <w:marLeft w:val="0"/>
                                                              <w:marRight w:val="0"/>
                                                              <w:marTop w:val="0"/>
                                                              <w:marBottom w:val="0"/>
                                                              <w:divBdr>
                                                                <w:top w:val="none" w:sz="0" w:space="0" w:color="auto"/>
                                                                <w:left w:val="none" w:sz="0" w:space="0" w:color="auto"/>
                                                                <w:bottom w:val="none" w:sz="0" w:space="0" w:color="auto"/>
                                                                <w:right w:val="none" w:sz="0" w:space="0" w:color="auto"/>
                                                              </w:divBdr>
                                                            </w:div>
                                                          </w:divsChild>
                                                        </w:div>
                                                        <w:div w:id="1046492358">
                                                          <w:marLeft w:val="0"/>
                                                          <w:marRight w:val="0"/>
                                                          <w:marTop w:val="0"/>
                                                          <w:marBottom w:val="0"/>
                                                          <w:divBdr>
                                                            <w:top w:val="none" w:sz="0" w:space="0" w:color="auto"/>
                                                            <w:left w:val="none" w:sz="0" w:space="0" w:color="auto"/>
                                                            <w:bottom w:val="none" w:sz="0" w:space="0" w:color="auto"/>
                                                            <w:right w:val="none" w:sz="0" w:space="0" w:color="auto"/>
                                                          </w:divBdr>
                                                          <w:divsChild>
                                                            <w:div w:id="519660039">
                                                              <w:marLeft w:val="0"/>
                                                              <w:marRight w:val="0"/>
                                                              <w:marTop w:val="0"/>
                                                              <w:marBottom w:val="0"/>
                                                              <w:divBdr>
                                                                <w:top w:val="none" w:sz="0" w:space="0" w:color="auto"/>
                                                                <w:left w:val="none" w:sz="0" w:space="0" w:color="auto"/>
                                                                <w:bottom w:val="none" w:sz="0" w:space="0" w:color="auto"/>
                                                                <w:right w:val="none" w:sz="0" w:space="0" w:color="auto"/>
                                                              </w:divBdr>
                                                            </w:div>
                                                          </w:divsChild>
                                                        </w:div>
                                                        <w:div w:id="1051466555">
                                                          <w:marLeft w:val="0"/>
                                                          <w:marRight w:val="0"/>
                                                          <w:marTop w:val="0"/>
                                                          <w:marBottom w:val="0"/>
                                                          <w:divBdr>
                                                            <w:top w:val="none" w:sz="0" w:space="0" w:color="auto"/>
                                                            <w:left w:val="none" w:sz="0" w:space="0" w:color="auto"/>
                                                            <w:bottom w:val="none" w:sz="0" w:space="0" w:color="auto"/>
                                                            <w:right w:val="none" w:sz="0" w:space="0" w:color="auto"/>
                                                          </w:divBdr>
                                                          <w:divsChild>
                                                            <w:div w:id="1496996992">
                                                              <w:marLeft w:val="0"/>
                                                              <w:marRight w:val="0"/>
                                                              <w:marTop w:val="0"/>
                                                              <w:marBottom w:val="0"/>
                                                              <w:divBdr>
                                                                <w:top w:val="none" w:sz="0" w:space="0" w:color="auto"/>
                                                                <w:left w:val="none" w:sz="0" w:space="0" w:color="auto"/>
                                                                <w:bottom w:val="none" w:sz="0" w:space="0" w:color="auto"/>
                                                                <w:right w:val="none" w:sz="0" w:space="0" w:color="auto"/>
                                                              </w:divBdr>
                                                            </w:div>
                                                          </w:divsChild>
                                                        </w:div>
                                                        <w:div w:id="1060207858">
                                                          <w:marLeft w:val="0"/>
                                                          <w:marRight w:val="0"/>
                                                          <w:marTop w:val="0"/>
                                                          <w:marBottom w:val="0"/>
                                                          <w:divBdr>
                                                            <w:top w:val="none" w:sz="0" w:space="0" w:color="auto"/>
                                                            <w:left w:val="none" w:sz="0" w:space="0" w:color="auto"/>
                                                            <w:bottom w:val="none" w:sz="0" w:space="0" w:color="auto"/>
                                                            <w:right w:val="none" w:sz="0" w:space="0" w:color="auto"/>
                                                          </w:divBdr>
                                                          <w:divsChild>
                                                            <w:div w:id="350838042">
                                                              <w:marLeft w:val="0"/>
                                                              <w:marRight w:val="0"/>
                                                              <w:marTop w:val="0"/>
                                                              <w:marBottom w:val="0"/>
                                                              <w:divBdr>
                                                                <w:top w:val="none" w:sz="0" w:space="0" w:color="auto"/>
                                                                <w:left w:val="none" w:sz="0" w:space="0" w:color="auto"/>
                                                                <w:bottom w:val="none" w:sz="0" w:space="0" w:color="auto"/>
                                                                <w:right w:val="none" w:sz="0" w:space="0" w:color="auto"/>
                                                              </w:divBdr>
                                                            </w:div>
                                                          </w:divsChild>
                                                        </w:div>
                                                        <w:div w:id="1071855009">
                                                          <w:marLeft w:val="0"/>
                                                          <w:marRight w:val="0"/>
                                                          <w:marTop w:val="0"/>
                                                          <w:marBottom w:val="0"/>
                                                          <w:divBdr>
                                                            <w:top w:val="none" w:sz="0" w:space="0" w:color="auto"/>
                                                            <w:left w:val="none" w:sz="0" w:space="0" w:color="auto"/>
                                                            <w:bottom w:val="none" w:sz="0" w:space="0" w:color="auto"/>
                                                            <w:right w:val="none" w:sz="0" w:space="0" w:color="auto"/>
                                                          </w:divBdr>
                                                          <w:divsChild>
                                                            <w:div w:id="625357175">
                                                              <w:marLeft w:val="0"/>
                                                              <w:marRight w:val="0"/>
                                                              <w:marTop w:val="0"/>
                                                              <w:marBottom w:val="0"/>
                                                              <w:divBdr>
                                                                <w:top w:val="none" w:sz="0" w:space="0" w:color="auto"/>
                                                                <w:left w:val="none" w:sz="0" w:space="0" w:color="auto"/>
                                                                <w:bottom w:val="none" w:sz="0" w:space="0" w:color="auto"/>
                                                                <w:right w:val="none" w:sz="0" w:space="0" w:color="auto"/>
                                                              </w:divBdr>
                                                            </w:div>
                                                          </w:divsChild>
                                                        </w:div>
                                                        <w:div w:id="1079672427">
                                                          <w:marLeft w:val="0"/>
                                                          <w:marRight w:val="0"/>
                                                          <w:marTop w:val="0"/>
                                                          <w:marBottom w:val="0"/>
                                                          <w:divBdr>
                                                            <w:top w:val="none" w:sz="0" w:space="0" w:color="auto"/>
                                                            <w:left w:val="none" w:sz="0" w:space="0" w:color="auto"/>
                                                            <w:bottom w:val="none" w:sz="0" w:space="0" w:color="auto"/>
                                                            <w:right w:val="none" w:sz="0" w:space="0" w:color="auto"/>
                                                          </w:divBdr>
                                                        </w:div>
                                                        <w:div w:id="1082490580">
                                                          <w:marLeft w:val="0"/>
                                                          <w:marRight w:val="0"/>
                                                          <w:marTop w:val="0"/>
                                                          <w:marBottom w:val="0"/>
                                                          <w:divBdr>
                                                            <w:top w:val="none" w:sz="0" w:space="0" w:color="auto"/>
                                                            <w:left w:val="none" w:sz="0" w:space="0" w:color="auto"/>
                                                            <w:bottom w:val="none" w:sz="0" w:space="0" w:color="auto"/>
                                                            <w:right w:val="none" w:sz="0" w:space="0" w:color="auto"/>
                                                          </w:divBdr>
                                                          <w:divsChild>
                                                            <w:div w:id="1428235325">
                                                              <w:marLeft w:val="0"/>
                                                              <w:marRight w:val="0"/>
                                                              <w:marTop w:val="0"/>
                                                              <w:marBottom w:val="0"/>
                                                              <w:divBdr>
                                                                <w:top w:val="none" w:sz="0" w:space="0" w:color="auto"/>
                                                                <w:left w:val="none" w:sz="0" w:space="0" w:color="auto"/>
                                                                <w:bottom w:val="none" w:sz="0" w:space="0" w:color="auto"/>
                                                                <w:right w:val="none" w:sz="0" w:space="0" w:color="auto"/>
                                                              </w:divBdr>
                                                            </w:div>
                                                          </w:divsChild>
                                                        </w:div>
                                                        <w:div w:id="1100298506">
                                                          <w:marLeft w:val="0"/>
                                                          <w:marRight w:val="0"/>
                                                          <w:marTop w:val="0"/>
                                                          <w:marBottom w:val="0"/>
                                                          <w:divBdr>
                                                            <w:top w:val="none" w:sz="0" w:space="0" w:color="auto"/>
                                                            <w:left w:val="none" w:sz="0" w:space="0" w:color="auto"/>
                                                            <w:bottom w:val="none" w:sz="0" w:space="0" w:color="auto"/>
                                                            <w:right w:val="none" w:sz="0" w:space="0" w:color="auto"/>
                                                          </w:divBdr>
                                                        </w:div>
                                                        <w:div w:id="1106461428">
                                                          <w:marLeft w:val="0"/>
                                                          <w:marRight w:val="0"/>
                                                          <w:marTop w:val="0"/>
                                                          <w:marBottom w:val="0"/>
                                                          <w:divBdr>
                                                            <w:top w:val="none" w:sz="0" w:space="0" w:color="auto"/>
                                                            <w:left w:val="none" w:sz="0" w:space="0" w:color="auto"/>
                                                            <w:bottom w:val="none" w:sz="0" w:space="0" w:color="auto"/>
                                                            <w:right w:val="none" w:sz="0" w:space="0" w:color="auto"/>
                                                          </w:divBdr>
                                                          <w:divsChild>
                                                            <w:div w:id="216358420">
                                                              <w:marLeft w:val="0"/>
                                                              <w:marRight w:val="0"/>
                                                              <w:marTop w:val="0"/>
                                                              <w:marBottom w:val="0"/>
                                                              <w:divBdr>
                                                                <w:top w:val="none" w:sz="0" w:space="0" w:color="auto"/>
                                                                <w:left w:val="none" w:sz="0" w:space="0" w:color="auto"/>
                                                                <w:bottom w:val="none" w:sz="0" w:space="0" w:color="auto"/>
                                                                <w:right w:val="none" w:sz="0" w:space="0" w:color="auto"/>
                                                              </w:divBdr>
                                                            </w:div>
                                                          </w:divsChild>
                                                        </w:div>
                                                        <w:div w:id="1114785786">
                                                          <w:marLeft w:val="0"/>
                                                          <w:marRight w:val="0"/>
                                                          <w:marTop w:val="0"/>
                                                          <w:marBottom w:val="0"/>
                                                          <w:divBdr>
                                                            <w:top w:val="none" w:sz="0" w:space="0" w:color="auto"/>
                                                            <w:left w:val="none" w:sz="0" w:space="0" w:color="auto"/>
                                                            <w:bottom w:val="none" w:sz="0" w:space="0" w:color="auto"/>
                                                            <w:right w:val="none" w:sz="0" w:space="0" w:color="auto"/>
                                                          </w:divBdr>
                                                          <w:divsChild>
                                                            <w:div w:id="1492793863">
                                                              <w:marLeft w:val="0"/>
                                                              <w:marRight w:val="0"/>
                                                              <w:marTop w:val="0"/>
                                                              <w:marBottom w:val="0"/>
                                                              <w:divBdr>
                                                                <w:top w:val="none" w:sz="0" w:space="0" w:color="auto"/>
                                                                <w:left w:val="none" w:sz="0" w:space="0" w:color="auto"/>
                                                                <w:bottom w:val="none" w:sz="0" w:space="0" w:color="auto"/>
                                                                <w:right w:val="none" w:sz="0" w:space="0" w:color="auto"/>
                                                              </w:divBdr>
                                                            </w:div>
                                                          </w:divsChild>
                                                        </w:div>
                                                        <w:div w:id="1126268451">
                                                          <w:marLeft w:val="0"/>
                                                          <w:marRight w:val="0"/>
                                                          <w:marTop w:val="0"/>
                                                          <w:marBottom w:val="0"/>
                                                          <w:divBdr>
                                                            <w:top w:val="none" w:sz="0" w:space="0" w:color="auto"/>
                                                            <w:left w:val="none" w:sz="0" w:space="0" w:color="auto"/>
                                                            <w:bottom w:val="none" w:sz="0" w:space="0" w:color="auto"/>
                                                            <w:right w:val="none" w:sz="0" w:space="0" w:color="auto"/>
                                                          </w:divBdr>
                                                          <w:divsChild>
                                                            <w:div w:id="1361518032">
                                                              <w:marLeft w:val="0"/>
                                                              <w:marRight w:val="0"/>
                                                              <w:marTop w:val="0"/>
                                                              <w:marBottom w:val="0"/>
                                                              <w:divBdr>
                                                                <w:top w:val="none" w:sz="0" w:space="0" w:color="auto"/>
                                                                <w:left w:val="none" w:sz="0" w:space="0" w:color="auto"/>
                                                                <w:bottom w:val="none" w:sz="0" w:space="0" w:color="auto"/>
                                                                <w:right w:val="none" w:sz="0" w:space="0" w:color="auto"/>
                                                              </w:divBdr>
                                                            </w:div>
                                                          </w:divsChild>
                                                        </w:div>
                                                        <w:div w:id="1131435994">
                                                          <w:marLeft w:val="0"/>
                                                          <w:marRight w:val="0"/>
                                                          <w:marTop w:val="0"/>
                                                          <w:marBottom w:val="0"/>
                                                          <w:divBdr>
                                                            <w:top w:val="none" w:sz="0" w:space="0" w:color="auto"/>
                                                            <w:left w:val="none" w:sz="0" w:space="0" w:color="auto"/>
                                                            <w:bottom w:val="none" w:sz="0" w:space="0" w:color="auto"/>
                                                            <w:right w:val="none" w:sz="0" w:space="0" w:color="auto"/>
                                                          </w:divBdr>
                                                        </w:div>
                                                        <w:div w:id="1136991378">
                                                          <w:marLeft w:val="0"/>
                                                          <w:marRight w:val="0"/>
                                                          <w:marTop w:val="0"/>
                                                          <w:marBottom w:val="0"/>
                                                          <w:divBdr>
                                                            <w:top w:val="none" w:sz="0" w:space="0" w:color="auto"/>
                                                            <w:left w:val="none" w:sz="0" w:space="0" w:color="auto"/>
                                                            <w:bottom w:val="none" w:sz="0" w:space="0" w:color="auto"/>
                                                            <w:right w:val="none" w:sz="0" w:space="0" w:color="auto"/>
                                                          </w:divBdr>
                                                          <w:divsChild>
                                                            <w:div w:id="1837459158">
                                                              <w:marLeft w:val="0"/>
                                                              <w:marRight w:val="0"/>
                                                              <w:marTop w:val="0"/>
                                                              <w:marBottom w:val="0"/>
                                                              <w:divBdr>
                                                                <w:top w:val="none" w:sz="0" w:space="0" w:color="auto"/>
                                                                <w:left w:val="none" w:sz="0" w:space="0" w:color="auto"/>
                                                                <w:bottom w:val="none" w:sz="0" w:space="0" w:color="auto"/>
                                                                <w:right w:val="none" w:sz="0" w:space="0" w:color="auto"/>
                                                              </w:divBdr>
                                                            </w:div>
                                                          </w:divsChild>
                                                        </w:div>
                                                        <w:div w:id="1140153027">
                                                          <w:marLeft w:val="0"/>
                                                          <w:marRight w:val="0"/>
                                                          <w:marTop w:val="0"/>
                                                          <w:marBottom w:val="0"/>
                                                          <w:divBdr>
                                                            <w:top w:val="none" w:sz="0" w:space="0" w:color="auto"/>
                                                            <w:left w:val="none" w:sz="0" w:space="0" w:color="auto"/>
                                                            <w:bottom w:val="none" w:sz="0" w:space="0" w:color="auto"/>
                                                            <w:right w:val="none" w:sz="0" w:space="0" w:color="auto"/>
                                                          </w:divBdr>
                                                          <w:divsChild>
                                                            <w:div w:id="2015110298">
                                                              <w:marLeft w:val="0"/>
                                                              <w:marRight w:val="0"/>
                                                              <w:marTop w:val="0"/>
                                                              <w:marBottom w:val="0"/>
                                                              <w:divBdr>
                                                                <w:top w:val="none" w:sz="0" w:space="0" w:color="auto"/>
                                                                <w:left w:val="none" w:sz="0" w:space="0" w:color="auto"/>
                                                                <w:bottom w:val="none" w:sz="0" w:space="0" w:color="auto"/>
                                                                <w:right w:val="none" w:sz="0" w:space="0" w:color="auto"/>
                                                              </w:divBdr>
                                                            </w:div>
                                                          </w:divsChild>
                                                        </w:div>
                                                        <w:div w:id="1150052381">
                                                          <w:marLeft w:val="0"/>
                                                          <w:marRight w:val="0"/>
                                                          <w:marTop w:val="0"/>
                                                          <w:marBottom w:val="0"/>
                                                          <w:divBdr>
                                                            <w:top w:val="none" w:sz="0" w:space="0" w:color="auto"/>
                                                            <w:left w:val="none" w:sz="0" w:space="0" w:color="auto"/>
                                                            <w:bottom w:val="none" w:sz="0" w:space="0" w:color="auto"/>
                                                            <w:right w:val="none" w:sz="0" w:space="0" w:color="auto"/>
                                                          </w:divBdr>
                                                        </w:div>
                                                        <w:div w:id="1158309273">
                                                          <w:marLeft w:val="0"/>
                                                          <w:marRight w:val="0"/>
                                                          <w:marTop w:val="0"/>
                                                          <w:marBottom w:val="0"/>
                                                          <w:divBdr>
                                                            <w:top w:val="none" w:sz="0" w:space="0" w:color="auto"/>
                                                            <w:left w:val="none" w:sz="0" w:space="0" w:color="auto"/>
                                                            <w:bottom w:val="none" w:sz="0" w:space="0" w:color="auto"/>
                                                            <w:right w:val="none" w:sz="0" w:space="0" w:color="auto"/>
                                                          </w:divBdr>
                                                          <w:divsChild>
                                                            <w:div w:id="944070421">
                                                              <w:marLeft w:val="0"/>
                                                              <w:marRight w:val="0"/>
                                                              <w:marTop w:val="0"/>
                                                              <w:marBottom w:val="0"/>
                                                              <w:divBdr>
                                                                <w:top w:val="none" w:sz="0" w:space="0" w:color="auto"/>
                                                                <w:left w:val="none" w:sz="0" w:space="0" w:color="auto"/>
                                                                <w:bottom w:val="none" w:sz="0" w:space="0" w:color="auto"/>
                                                                <w:right w:val="none" w:sz="0" w:space="0" w:color="auto"/>
                                                              </w:divBdr>
                                                            </w:div>
                                                          </w:divsChild>
                                                        </w:div>
                                                        <w:div w:id="1166284070">
                                                          <w:marLeft w:val="0"/>
                                                          <w:marRight w:val="0"/>
                                                          <w:marTop w:val="0"/>
                                                          <w:marBottom w:val="0"/>
                                                          <w:divBdr>
                                                            <w:top w:val="none" w:sz="0" w:space="0" w:color="auto"/>
                                                            <w:left w:val="none" w:sz="0" w:space="0" w:color="auto"/>
                                                            <w:bottom w:val="none" w:sz="0" w:space="0" w:color="auto"/>
                                                            <w:right w:val="none" w:sz="0" w:space="0" w:color="auto"/>
                                                          </w:divBdr>
                                                          <w:divsChild>
                                                            <w:div w:id="1848859810">
                                                              <w:marLeft w:val="0"/>
                                                              <w:marRight w:val="0"/>
                                                              <w:marTop w:val="0"/>
                                                              <w:marBottom w:val="0"/>
                                                              <w:divBdr>
                                                                <w:top w:val="none" w:sz="0" w:space="0" w:color="auto"/>
                                                                <w:left w:val="none" w:sz="0" w:space="0" w:color="auto"/>
                                                                <w:bottom w:val="none" w:sz="0" w:space="0" w:color="auto"/>
                                                                <w:right w:val="none" w:sz="0" w:space="0" w:color="auto"/>
                                                              </w:divBdr>
                                                            </w:div>
                                                          </w:divsChild>
                                                        </w:div>
                                                        <w:div w:id="1173644818">
                                                          <w:marLeft w:val="0"/>
                                                          <w:marRight w:val="0"/>
                                                          <w:marTop w:val="0"/>
                                                          <w:marBottom w:val="0"/>
                                                          <w:divBdr>
                                                            <w:top w:val="none" w:sz="0" w:space="0" w:color="auto"/>
                                                            <w:left w:val="none" w:sz="0" w:space="0" w:color="auto"/>
                                                            <w:bottom w:val="none" w:sz="0" w:space="0" w:color="auto"/>
                                                            <w:right w:val="none" w:sz="0" w:space="0" w:color="auto"/>
                                                          </w:divBdr>
                                                          <w:divsChild>
                                                            <w:div w:id="652804992">
                                                              <w:marLeft w:val="0"/>
                                                              <w:marRight w:val="0"/>
                                                              <w:marTop w:val="0"/>
                                                              <w:marBottom w:val="0"/>
                                                              <w:divBdr>
                                                                <w:top w:val="none" w:sz="0" w:space="0" w:color="auto"/>
                                                                <w:left w:val="none" w:sz="0" w:space="0" w:color="auto"/>
                                                                <w:bottom w:val="none" w:sz="0" w:space="0" w:color="auto"/>
                                                                <w:right w:val="none" w:sz="0" w:space="0" w:color="auto"/>
                                                              </w:divBdr>
                                                            </w:div>
                                                          </w:divsChild>
                                                        </w:div>
                                                        <w:div w:id="1177498395">
                                                          <w:marLeft w:val="0"/>
                                                          <w:marRight w:val="0"/>
                                                          <w:marTop w:val="0"/>
                                                          <w:marBottom w:val="0"/>
                                                          <w:divBdr>
                                                            <w:top w:val="none" w:sz="0" w:space="0" w:color="auto"/>
                                                            <w:left w:val="none" w:sz="0" w:space="0" w:color="auto"/>
                                                            <w:bottom w:val="none" w:sz="0" w:space="0" w:color="auto"/>
                                                            <w:right w:val="none" w:sz="0" w:space="0" w:color="auto"/>
                                                          </w:divBdr>
                                                          <w:divsChild>
                                                            <w:div w:id="1891647551">
                                                              <w:marLeft w:val="0"/>
                                                              <w:marRight w:val="0"/>
                                                              <w:marTop w:val="0"/>
                                                              <w:marBottom w:val="0"/>
                                                              <w:divBdr>
                                                                <w:top w:val="none" w:sz="0" w:space="0" w:color="auto"/>
                                                                <w:left w:val="none" w:sz="0" w:space="0" w:color="auto"/>
                                                                <w:bottom w:val="none" w:sz="0" w:space="0" w:color="auto"/>
                                                                <w:right w:val="none" w:sz="0" w:space="0" w:color="auto"/>
                                                              </w:divBdr>
                                                            </w:div>
                                                          </w:divsChild>
                                                        </w:div>
                                                        <w:div w:id="1191576750">
                                                          <w:marLeft w:val="0"/>
                                                          <w:marRight w:val="0"/>
                                                          <w:marTop w:val="0"/>
                                                          <w:marBottom w:val="0"/>
                                                          <w:divBdr>
                                                            <w:top w:val="none" w:sz="0" w:space="0" w:color="auto"/>
                                                            <w:left w:val="none" w:sz="0" w:space="0" w:color="auto"/>
                                                            <w:bottom w:val="none" w:sz="0" w:space="0" w:color="auto"/>
                                                            <w:right w:val="none" w:sz="0" w:space="0" w:color="auto"/>
                                                          </w:divBdr>
                                                          <w:divsChild>
                                                            <w:div w:id="2093118978">
                                                              <w:marLeft w:val="0"/>
                                                              <w:marRight w:val="0"/>
                                                              <w:marTop w:val="0"/>
                                                              <w:marBottom w:val="0"/>
                                                              <w:divBdr>
                                                                <w:top w:val="none" w:sz="0" w:space="0" w:color="auto"/>
                                                                <w:left w:val="none" w:sz="0" w:space="0" w:color="auto"/>
                                                                <w:bottom w:val="none" w:sz="0" w:space="0" w:color="auto"/>
                                                                <w:right w:val="none" w:sz="0" w:space="0" w:color="auto"/>
                                                              </w:divBdr>
                                                            </w:div>
                                                          </w:divsChild>
                                                        </w:div>
                                                        <w:div w:id="1208831611">
                                                          <w:marLeft w:val="0"/>
                                                          <w:marRight w:val="0"/>
                                                          <w:marTop w:val="0"/>
                                                          <w:marBottom w:val="0"/>
                                                          <w:divBdr>
                                                            <w:top w:val="none" w:sz="0" w:space="0" w:color="auto"/>
                                                            <w:left w:val="none" w:sz="0" w:space="0" w:color="auto"/>
                                                            <w:bottom w:val="none" w:sz="0" w:space="0" w:color="auto"/>
                                                            <w:right w:val="none" w:sz="0" w:space="0" w:color="auto"/>
                                                          </w:divBdr>
                                                          <w:divsChild>
                                                            <w:div w:id="380831066">
                                                              <w:marLeft w:val="0"/>
                                                              <w:marRight w:val="0"/>
                                                              <w:marTop w:val="0"/>
                                                              <w:marBottom w:val="0"/>
                                                              <w:divBdr>
                                                                <w:top w:val="none" w:sz="0" w:space="0" w:color="auto"/>
                                                                <w:left w:val="none" w:sz="0" w:space="0" w:color="auto"/>
                                                                <w:bottom w:val="none" w:sz="0" w:space="0" w:color="auto"/>
                                                                <w:right w:val="none" w:sz="0" w:space="0" w:color="auto"/>
                                                              </w:divBdr>
                                                            </w:div>
                                                          </w:divsChild>
                                                        </w:div>
                                                        <w:div w:id="1210533653">
                                                          <w:marLeft w:val="0"/>
                                                          <w:marRight w:val="0"/>
                                                          <w:marTop w:val="0"/>
                                                          <w:marBottom w:val="0"/>
                                                          <w:divBdr>
                                                            <w:top w:val="none" w:sz="0" w:space="0" w:color="auto"/>
                                                            <w:left w:val="none" w:sz="0" w:space="0" w:color="auto"/>
                                                            <w:bottom w:val="none" w:sz="0" w:space="0" w:color="auto"/>
                                                            <w:right w:val="none" w:sz="0" w:space="0" w:color="auto"/>
                                                          </w:divBdr>
                                                          <w:divsChild>
                                                            <w:div w:id="2055805692">
                                                              <w:marLeft w:val="0"/>
                                                              <w:marRight w:val="0"/>
                                                              <w:marTop w:val="0"/>
                                                              <w:marBottom w:val="0"/>
                                                              <w:divBdr>
                                                                <w:top w:val="none" w:sz="0" w:space="0" w:color="auto"/>
                                                                <w:left w:val="none" w:sz="0" w:space="0" w:color="auto"/>
                                                                <w:bottom w:val="none" w:sz="0" w:space="0" w:color="auto"/>
                                                                <w:right w:val="none" w:sz="0" w:space="0" w:color="auto"/>
                                                              </w:divBdr>
                                                            </w:div>
                                                          </w:divsChild>
                                                        </w:div>
                                                        <w:div w:id="1237131912">
                                                          <w:marLeft w:val="0"/>
                                                          <w:marRight w:val="0"/>
                                                          <w:marTop w:val="0"/>
                                                          <w:marBottom w:val="0"/>
                                                          <w:divBdr>
                                                            <w:top w:val="none" w:sz="0" w:space="0" w:color="auto"/>
                                                            <w:left w:val="none" w:sz="0" w:space="0" w:color="auto"/>
                                                            <w:bottom w:val="none" w:sz="0" w:space="0" w:color="auto"/>
                                                            <w:right w:val="none" w:sz="0" w:space="0" w:color="auto"/>
                                                          </w:divBdr>
                                                          <w:divsChild>
                                                            <w:div w:id="512108175">
                                                              <w:marLeft w:val="0"/>
                                                              <w:marRight w:val="0"/>
                                                              <w:marTop w:val="0"/>
                                                              <w:marBottom w:val="0"/>
                                                              <w:divBdr>
                                                                <w:top w:val="none" w:sz="0" w:space="0" w:color="auto"/>
                                                                <w:left w:val="none" w:sz="0" w:space="0" w:color="auto"/>
                                                                <w:bottom w:val="none" w:sz="0" w:space="0" w:color="auto"/>
                                                                <w:right w:val="none" w:sz="0" w:space="0" w:color="auto"/>
                                                              </w:divBdr>
                                                            </w:div>
                                                          </w:divsChild>
                                                        </w:div>
                                                        <w:div w:id="1237285509">
                                                          <w:marLeft w:val="0"/>
                                                          <w:marRight w:val="0"/>
                                                          <w:marTop w:val="0"/>
                                                          <w:marBottom w:val="0"/>
                                                          <w:divBdr>
                                                            <w:top w:val="none" w:sz="0" w:space="0" w:color="auto"/>
                                                            <w:left w:val="none" w:sz="0" w:space="0" w:color="auto"/>
                                                            <w:bottom w:val="none" w:sz="0" w:space="0" w:color="auto"/>
                                                            <w:right w:val="none" w:sz="0" w:space="0" w:color="auto"/>
                                                          </w:divBdr>
                                                          <w:divsChild>
                                                            <w:div w:id="984241290">
                                                              <w:marLeft w:val="0"/>
                                                              <w:marRight w:val="0"/>
                                                              <w:marTop w:val="0"/>
                                                              <w:marBottom w:val="0"/>
                                                              <w:divBdr>
                                                                <w:top w:val="none" w:sz="0" w:space="0" w:color="auto"/>
                                                                <w:left w:val="none" w:sz="0" w:space="0" w:color="auto"/>
                                                                <w:bottom w:val="none" w:sz="0" w:space="0" w:color="auto"/>
                                                                <w:right w:val="none" w:sz="0" w:space="0" w:color="auto"/>
                                                              </w:divBdr>
                                                            </w:div>
                                                          </w:divsChild>
                                                        </w:div>
                                                        <w:div w:id="1237472577">
                                                          <w:marLeft w:val="0"/>
                                                          <w:marRight w:val="0"/>
                                                          <w:marTop w:val="0"/>
                                                          <w:marBottom w:val="0"/>
                                                          <w:divBdr>
                                                            <w:top w:val="none" w:sz="0" w:space="0" w:color="auto"/>
                                                            <w:left w:val="none" w:sz="0" w:space="0" w:color="auto"/>
                                                            <w:bottom w:val="none" w:sz="0" w:space="0" w:color="auto"/>
                                                            <w:right w:val="none" w:sz="0" w:space="0" w:color="auto"/>
                                                          </w:divBdr>
                                                          <w:divsChild>
                                                            <w:div w:id="311910692">
                                                              <w:marLeft w:val="0"/>
                                                              <w:marRight w:val="0"/>
                                                              <w:marTop w:val="0"/>
                                                              <w:marBottom w:val="0"/>
                                                              <w:divBdr>
                                                                <w:top w:val="none" w:sz="0" w:space="0" w:color="auto"/>
                                                                <w:left w:val="none" w:sz="0" w:space="0" w:color="auto"/>
                                                                <w:bottom w:val="none" w:sz="0" w:space="0" w:color="auto"/>
                                                                <w:right w:val="none" w:sz="0" w:space="0" w:color="auto"/>
                                                              </w:divBdr>
                                                            </w:div>
                                                          </w:divsChild>
                                                        </w:div>
                                                        <w:div w:id="1238250920">
                                                          <w:marLeft w:val="0"/>
                                                          <w:marRight w:val="0"/>
                                                          <w:marTop w:val="0"/>
                                                          <w:marBottom w:val="0"/>
                                                          <w:divBdr>
                                                            <w:top w:val="none" w:sz="0" w:space="0" w:color="auto"/>
                                                            <w:left w:val="none" w:sz="0" w:space="0" w:color="auto"/>
                                                            <w:bottom w:val="none" w:sz="0" w:space="0" w:color="auto"/>
                                                            <w:right w:val="none" w:sz="0" w:space="0" w:color="auto"/>
                                                          </w:divBdr>
                                                          <w:divsChild>
                                                            <w:div w:id="1626500532">
                                                              <w:marLeft w:val="0"/>
                                                              <w:marRight w:val="0"/>
                                                              <w:marTop w:val="0"/>
                                                              <w:marBottom w:val="0"/>
                                                              <w:divBdr>
                                                                <w:top w:val="none" w:sz="0" w:space="0" w:color="auto"/>
                                                                <w:left w:val="none" w:sz="0" w:space="0" w:color="auto"/>
                                                                <w:bottom w:val="none" w:sz="0" w:space="0" w:color="auto"/>
                                                                <w:right w:val="none" w:sz="0" w:space="0" w:color="auto"/>
                                                              </w:divBdr>
                                                            </w:div>
                                                          </w:divsChild>
                                                        </w:div>
                                                        <w:div w:id="1238898375">
                                                          <w:marLeft w:val="0"/>
                                                          <w:marRight w:val="0"/>
                                                          <w:marTop w:val="0"/>
                                                          <w:marBottom w:val="0"/>
                                                          <w:divBdr>
                                                            <w:top w:val="none" w:sz="0" w:space="0" w:color="auto"/>
                                                            <w:left w:val="none" w:sz="0" w:space="0" w:color="auto"/>
                                                            <w:bottom w:val="none" w:sz="0" w:space="0" w:color="auto"/>
                                                            <w:right w:val="none" w:sz="0" w:space="0" w:color="auto"/>
                                                          </w:divBdr>
                                                          <w:divsChild>
                                                            <w:div w:id="1092359041">
                                                              <w:marLeft w:val="0"/>
                                                              <w:marRight w:val="0"/>
                                                              <w:marTop w:val="0"/>
                                                              <w:marBottom w:val="0"/>
                                                              <w:divBdr>
                                                                <w:top w:val="none" w:sz="0" w:space="0" w:color="auto"/>
                                                                <w:left w:val="none" w:sz="0" w:space="0" w:color="auto"/>
                                                                <w:bottom w:val="none" w:sz="0" w:space="0" w:color="auto"/>
                                                                <w:right w:val="none" w:sz="0" w:space="0" w:color="auto"/>
                                                              </w:divBdr>
                                                            </w:div>
                                                          </w:divsChild>
                                                        </w:div>
                                                        <w:div w:id="1256591599">
                                                          <w:marLeft w:val="0"/>
                                                          <w:marRight w:val="0"/>
                                                          <w:marTop w:val="0"/>
                                                          <w:marBottom w:val="0"/>
                                                          <w:divBdr>
                                                            <w:top w:val="none" w:sz="0" w:space="0" w:color="auto"/>
                                                            <w:left w:val="none" w:sz="0" w:space="0" w:color="auto"/>
                                                            <w:bottom w:val="none" w:sz="0" w:space="0" w:color="auto"/>
                                                            <w:right w:val="none" w:sz="0" w:space="0" w:color="auto"/>
                                                          </w:divBdr>
                                                          <w:divsChild>
                                                            <w:div w:id="1875003292">
                                                              <w:marLeft w:val="0"/>
                                                              <w:marRight w:val="0"/>
                                                              <w:marTop w:val="0"/>
                                                              <w:marBottom w:val="0"/>
                                                              <w:divBdr>
                                                                <w:top w:val="none" w:sz="0" w:space="0" w:color="auto"/>
                                                                <w:left w:val="none" w:sz="0" w:space="0" w:color="auto"/>
                                                                <w:bottom w:val="none" w:sz="0" w:space="0" w:color="auto"/>
                                                                <w:right w:val="none" w:sz="0" w:space="0" w:color="auto"/>
                                                              </w:divBdr>
                                                            </w:div>
                                                          </w:divsChild>
                                                        </w:div>
                                                        <w:div w:id="1265573663">
                                                          <w:marLeft w:val="0"/>
                                                          <w:marRight w:val="0"/>
                                                          <w:marTop w:val="0"/>
                                                          <w:marBottom w:val="0"/>
                                                          <w:divBdr>
                                                            <w:top w:val="none" w:sz="0" w:space="0" w:color="auto"/>
                                                            <w:left w:val="none" w:sz="0" w:space="0" w:color="auto"/>
                                                            <w:bottom w:val="none" w:sz="0" w:space="0" w:color="auto"/>
                                                            <w:right w:val="none" w:sz="0" w:space="0" w:color="auto"/>
                                                          </w:divBdr>
                                                        </w:div>
                                                        <w:div w:id="1271162098">
                                                          <w:marLeft w:val="0"/>
                                                          <w:marRight w:val="0"/>
                                                          <w:marTop w:val="0"/>
                                                          <w:marBottom w:val="0"/>
                                                          <w:divBdr>
                                                            <w:top w:val="none" w:sz="0" w:space="0" w:color="auto"/>
                                                            <w:left w:val="none" w:sz="0" w:space="0" w:color="auto"/>
                                                            <w:bottom w:val="none" w:sz="0" w:space="0" w:color="auto"/>
                                                            <w:right w:val="none" w:sz="0" w:space="0" w:color="auto"/>
                                                          </w:divBdr>
                                                        </w:div>
                                                        <w:div w:id="1280339088">
                                                          <w:marLeft w:val="0"/>
                                                          <w:marRight w:val="0"/>
                                                          <w:marTop w:val="0"/>
                                                          <w:marBottom w:val="0"/>
                                                          <w:divBdr>
                                                            <w:top w:val="none" w:sz="0" w:space="0" w:color="auto"/>
                                                            <w:left w:val="none" w:sz="0" w:space="0" w:color="auto"/>
                                                            <w:bottom w:val="none" w:sz="0" w:space="0" w:color="auto"/>
                                                            <w:right w:val="none" w:sz="0" w:space="0" w:color="auto"/>
                                                          </w:divBdr>
                                                          <w:divsChild>
                                                            <w:div w:id="730663698">
                                                              <w:marLeft w:val="0"/>
                                                              <w:marRight w:val="0"/>
                                                              <w:marTop w:val="0"/>
                                                              <w:marBottom w:val="0"/>
                                                              <w:divBdr>
                                                                <w:top w:val="none" w:sz="0" w:space="0" w:color="auto"/>
                                                                <w:left w:val="none" w:sz="0" w:space="0" w:color="auto"/>
                                                                <w:bottom w:val="none" w:sz="0" w:space="0" w:color="auto"/>
                                                                <w:right w:val="none" w:sz="0" w:space="0" w:color="auto"/>
                                                              </w:divBdr>
                                                            </w:div>
                                                          </w:divsChild>
                                                        </w:div>
                                                        <w:div w:id="1286303379">
                                                          <w:marLeft w:val="0"/>
                                                          <w:marRight w:val="0"/>
                                                          <w:marTop w:val="0"/>
                                                          <w:marBottom w:val="0"/>
                                                          <w:divBdr>
                                                            <w:top w:val="none" w:sz="0" w:space="0" w:color="auto"/>
                                                            <w:left w:val="none" w:sz="0" w:space="0" w:color="auto"/>
                                                            <w:bottom w:val="none" w:sz="0" w:space="0" w:color="auto"/>
                                                            <w:right w:val="none" w:sz="0" w:space="0" w:color="auto"/>
                                                          </w:divBdr>
                                                          <w:divsChild>
                                                            <w:div w:id="1722631088">
                                                              <w:marLeft w:val="0"/>
                                                              <w:marRight w:val="0"/>
                                                              <w:marTop w:val="0"/>
                                                              <w:marBottom w:val="0"/>
                                                              <w:divBdr>
                                                                <w:top w:val="none" w:sz="0" w:space="0" w:color="auto"/>
                                                                <w:left w:val="none" w:sz="0" w:space="0" w:color="auto"/>
                                                                <w:bottom w:val="none" w:sz="0" w:space="0" w:color="auto"/>
                                                                <w:right w:val="none" w:sz="0" w:space="0" w:color="auto"/>
                                                              </w:divBdr>
                                                            </w:div>
                                                          </w:divsChild>
                                                        </w:div>
                                                        <w:div w:id="1293635495">
                                                          <w:marLeft w:val="0"/>
                                                          <w:marRight w:val="0"/>
                                                          <w:marTop w:val="0"/>
                                                          <w:marBottom w:val="0"/>
                                                          <w:divBdr>
                                                            <w:top w:val="none" w:sz="0" w:space="0" w:color="auto"/>
                                                            <w:left w:val="none" w:sz="0" w:space="0" w:color="auto"/>
                                                            <w:bottom w:val="none" w:sz="0" w:space="0" w:color="auto"/>
                                                            <w:right w:val="none" w:sz="0" w:space="0" w:color="auto"/>
                                                          </w:divBdr>
                                                          <w:divsChild>
                                                            <w:div w:id="1576237633">
                                                              <w:marLeft w:val="0"/>
                                                              <w:marRight w:val="0"/>
                                                              <w:marTop w:val="0"/>
                                                              <w:marBottom w:val="0"/>
                                                              <w:divBdr>
                                                                <w:top w:val="none" w:sz="0" w:space="0" w:color="auto"/>
                                                                <w:left w:val="none" w:sz="0" w:space="0" w:color="auto"/>
                                                                <w:bottom w:val="none" w:sz="0" w:space="0" w:color="auto"/>
                                                                <w:right w:val="none" w:sz="0" w:space="0" w:color="auto"/>
                                                              </w:divBdr>
                                                            </w:div>
                                                          </w:divsChild>
                                                        </w:div>
                                                        <w:div w:id="1302151792">
                                                          <w:marLeft w:val="0"/>
                                                          <w:marRight w:val="0"/>
                                                          <w:marTop w:val="0"/>
                                                          <w:marBottom w:val="0"/>
                                                          <w:divBdr>
                                                            <w:top w:val="none" w:sz="0" w:space="0" w:color="auto"/>
                                                            <w:left w:val="none" w:sz="0" w:space="0" w:color="auto"/>
                                                            <w:bottom w:val="none" w:sz="0" w:space="0" w:color="auto"/>
                                                            <w:right w:val="none" w:sz="0" w:space="0" w:color="auto"/>
                                                          </w:divBdr>
                                                          <w:divsChild>
                                                            <w:div w:id="1034505086">
                                                              <w:marLeft w:val="0"/>
                                                              <w:marRight w:val="0"/>
                                                              <w:marTop w:val="0"/>
                                                              <w:marBottom w:val="0"/>
                                                              <w:divBdr>
                                                                <w:top w:val="none" w:sz="0" w:space="0" w:color="auto"/>
                                                                <w:left w:val="none" w:sz="0" w:space="0" w:color="auto"/>
                                                                <w:bottom w:val="none" w:sz="0" w:space="0" w:color="auto"/>
                                                                <w:right w:val="none" w:sz="0" w:space="0" w:color="auto"/>
                                                              </w:divBdr>
                                                            </w:div>
                                                          </w:divsChild>
                                                        </w:div>
                                                        <w:div w:id="1313368469">
                                                          <w:marLeft w:val="0"/>
                                                          <w:marRight w:val="0"/>
                                                          <w:marTop w:val="0"/>
                                                          <w:marBottom w:val="0"/>
                                                          <w:divBdr>
                                                            <w:top w:val="none" w:sz="0" w:space="0" w:color="auto"/>
                                                            <w:left w:val="none" w:sz="0" w:space="0" w:color="auto"/>
                                                            <w:bottom w:val="none" w:sz="0" w:space="0" w:color="auto"/>
                                                            <w:right w:val="none" w:sz="0" w:space="0" w:color="auto"/>
                                                          </w:divBdr>
                                                          <w:divsChild>
                                                            <w:div w:id="528377752">
                                                              <w:marLeft w:val="0"/>
                                                              <w:marRight w:val="0"/>
                                                              <w:marTop w:val="0"/>
                                                              <w:marBottom w:val="0"/>
                                                              <w:divBdr>
                                                                <w:top w:val="none" w:sz="0" w:space="0" w:color="auto"/>
                                                                <w:left w:val="none" w:sz="0" w:space="0" w:color="auto"/>
                                                                <w:bottom w:val="none" w:sz="0" w:space="0" w:color="auto"/>
                                                                <w:right w:val="none" w:sz="0" w:space="0" w:color="auto"/>
                                                              </w:divBdr>
                                                            </w:div>
                                                          </w:divsChild>
                                                        </w:div>
                                                        <w:div w:id="1327325714">
                                                          <w:marLeft w:val="0"/>
                                                          <w:marRight w:val="0"/>
                                                          <w:marTop w:val="0"/>
                                                          <w:marBottom w:val="0"/>
                                                          <w:divBdr>
                                                            <w:top w:val="none" w:sz="0" w:space="0" w:color="auto"/>
                                                            <w:left w:val="none" w:sz="0" w:space="0" w:color="auto"/>
                                                            <w:bottom w:val="none" w:sz="0" w:space="0" w:color="auto"/>
                                                            <w:right w:val="none" w:sz="0" w:space="0" w:color="auto"/>
                                                          </w:divBdr>
                                                        </w:div>
                                                        <w:div w:id="1327593846">
                                                          <w:marLeft w:val="0"/>
                                                          <w:marRight w:val="0"/>
                                                          <w:marTop w:val="0"/>
                                                          <w:marBottom w:val="0"/>
                                                          <w:divBdr>
                                                            <w:top w:val="none" w:sz="0" w:space="0" w:color="auto"/>
                                                            <w:left w:val="none" w:sz="0" w:space="0" w:color="auto"/>
                                                            <w:bottom w:val="none" w:sz="0" w:space="0" w:color="auto"/>
                                                            <w:right w:val="none" w:sz="0" w:space="0" w:color="auto"/>
                                                          </w:divBdr>
                                                        </w:div>
                                                        <w:div w:id="1345984290">
                                                          <w:marLeft w:val="0"/>
                                                          <w:marRight w:val="0"/>
                                                          <w:marTop w:val="0"/>
                                                          <w:marBottom w:val="0"/>
                                                          <w:divBdr>
                                                            <w:top w:val="none" w:sz="0" w:space="0" w:color="auto"/>
                                                            <w:left w:val="none" w:sz="0" w:space="0" w:color="auto"/>
                                                            <w:bottom w:val="none" w:sz="0" w:space="0" w:color="auto"/>
                                                            <w:right w:val="none" w:sz="0" w:space="0" w:color="auto"/>
                                                          </w:divBdr>
                                                        </w:div>
                                                        <w:div w:id="1369065735">
                                                          <w:marLeft w:val="0"/>
                                                          <w:marRight w:val="0"/>
                                                          <w:marTop w:val="0"/>
                                                          <w:marBottom w:val="0"/>
                                                          <w:divBdr>
                                                            <w:top w:val="none" w:sz="0" w:space="0" w:color="auto"/>
                                                            <w:left w:val="none" w:sz="0" w:space="0" w:color="auto"/>
                                                            <w:bottom w:val="none" w:sz="0" w:space="0" w:color="auto"/>
                                                            <w:right w:val="none" w:sz="0" w:space="0" w:color="auto"/>
                                                          </w:divBdr>
                                                          <w:divsChild>
                                                            <w:div w:id="2026513923">
                                                              <w:marLeft w:val="0"/>
                                                              <w:marRight w:val="0"/>
                                                              <w:marTop w:val="0"/>
                                                              <w:marBottom w:val="0"/>
                                                              <w:divBdr>
                                                                <w:top w:val="none" w:sz="0" w:space="0" w:color="auto"/>
                                                                <w:left w:val="none" w:sz="0" w:space="0" w:color="auto"/>
                                                                <w:bottom w:val="none" w:sz="0" w:space="0" w:color="auto"/>
                                                                <w:right w:val="none" w:sz="0" w:space="0" w:color="auto"/>
                                                              </w:divBdr>
                                                            </w:div>
                                                          </w:divsChild>
                                                        </w:div>
                                                        <w:div w:id="1372657508">
                                                          <w:marLeft w:val="0"/>
                                                          <w:marRight w:val="0"/>
                                                          <w:marTop w:val="0"/>
                                                          <w:marBottom w:val="0"/>
                                                          <w:divBdr>
                                                            <w:top w:val="none" w:sz="0" w:space="0" w:color="auto"/>
                                                            <w:left w:val="none" w:sz="0" w:space="0" w:color="auto"/>
                                                            <w:bottom w:val="none" w:sz="0" w:space="0" w:color="auto"/>
                                                            <w:right w:val="none" w:sz="0" w:space="0" w:color="auto"/>
                                                          </w:divBdr>
                                                          <w:divsChild>
                                                            <w:div w:id="2061787608">
                                                              <w:marLeft w:val="0"/>
                                                              <w:marRight w:val="0"/>
                                                              <w:marTop w:val="0"/>
                                                              <w:marBottom w:val="0"/>
                                                              <w:divBdr>
                                                                <w:top w:val="none" w:sz="0" w:space="0" w:color="auto"/>
                                                                <w:left w:val="none" w:sz="0" w:space="0" w:color="auto"/>
                                                                <w:bottom w:val="none" w:sz="0" w:space="0" w:color="auto"/>
                                                                <w:right w:val="none" w:sz="0" w:space="0" w:color="auto"/>
                                                              </w:divBdr>
                                                            </w:div>
                                                          </w:divsChild>
                                                        </w:div>
                                                        <w:div w:id="1372999515">
                                                          <w:marLeft w:val="0"/>
                                                          <w:marRight w:val="0"/>
                                                          <w:marTop w:val="0"/>
                                                          <w:marBottom w:val="0"/>
                                                          <w:divBdr>
                                                            <w:top w:val="none" w:sz="0" w:space="0" w:color="auto"/>
                                                            <w:left w:val="none" w:sz="0" w:space="0" w:color="auto"/>
                                                            <w:bottom w:val="none" w:sz="0" w:space="0" w:color="auto"/>
                                                            <w:right w:val="none" w:sz="0" w:space="0" w:color="auto"/>
                                                          </w:divBdr>
                                                          <w:divsChild>
                                                            <w:div w:id="1478493310">
                                                              <w:marLeft w:val="0"/>
                                                              <w:marRight w:val="0"/>
                                                              <w:marTop w:val="0"/>
                                                              <w:marBottom w:val="0"/>
                                                              <w:divBdr>
                                                                <w:top w:val="none" w:sz="0" w:space="0" w:color="auto"/>
                                                                <w:left w:val="none" w:sz="0" w:space="0" w:color="auto"/>
                                                                <w:bottom w:val="none" w:sz="0" w:space="0" w:color="auto"/>
                                                                <w:right w:val="none" w:sz="0" w:space="0" w:color="auto"/>
                                                              </w:divBdr>
                                                            </w:div>
                                                          </w:divsChild>
                                                        </w:div>
                                                        <w:div w:id="1375428603">
                                                          <w:marLeft w:val="0"/>
                                                          <w:marRight w:val="0"/>
                                                          <w:marTop w:val="0"/>
                                                          <w:marBottom w:val="0"/>
                                                          <w:divBdr>
                                                            <w:top w:val="none" w:sz="0" w:space="0" w:color="auto"/>
                                                            <w:left w:val="none" w:sz="0" w:space="0" w:color="auto"/>
                                                            <w:bottom w:val="none" w:sz="0" w:space="0" w:color="auto"/>
                                                            <w:right w:val="none" w:sz="0" w:space="0" w:color="auto"/>
                                                          </w:divBdr>
                                                          <w:divsChild>
                                                            <w:div w:id="959341303">
                                                              <w:marLeft w:val="0"/>
                                                              <w:marRight w:val="0"/>
                                                              <w:marTop w:val="0"/>
                                                              <w:marBottom w:val="0"/>
                                                              <w:divBdr>
                                                                <w:top w:val="none" w:sz="0" w:space="0" w:color="auto"/>
                                                                <w:left w:val="none" w:sz="0" w:space="0" w:color="auto"/>
                                                                <w:bottom w:val="none" w:sz="0" w:space="0" w:color="auto"/>
                                                                <w:right w:val="none" w:sz="0" w:space="0" w:color="auto"/>
                                                              </w:divBdr>
                                                            </w:div>
                                                          </w:divsChild>
                                                        </w:div>
                                                        <w:div w:id="1376391448">
                                                          <w:marLeft w:val="0"/>
                                                          <w:marRight w:val="0"/>
                                                          <w:marTop w:val="0"/>
                                                          <w:marBottom w:val="0"/>
                                                          <w:divBdr>
                                                            <w:top w:val="none" w:sz="0" w:space="0" w:color="auto"/>
                                                            <w:left w:val="none" w:sz="0" w:space="0" w:color="auto"/>
                                                            <w:bottom w:val="none" w:sz="0" w:space="0" w:color="auto"/>
                                                            <w:right w:val="none" w:sz="0" w:space="0" w:color="auto"/>
                                                          </w:divBdr>
                                                          <w:divsChild>
                                                            <w:div w:id="1020084861">
                                                              <w:marLeft w:val="0"/>
                                                              <w:marRight w:val="0"/>
                                                              <w:marTop w:val="0"/>
                                                              <w:marBottom w:val="0"/>
                                                              <w:divBdr>
                                                                <w:top w:val="none" w:sz="0" w:space="0" w:color="auto"/>
                                                                <w:left w:val="none" w:sz="0" w:space="0" w:color="auto"/>
                                                                <w:bottom w:val="none" w:sz="0" w:space="0" w:color="auto"/>
                                                                <w:right w:val="none" w:sz="0" w:space="0" w:color="auto"/>
                                                              </w:divBdr>
                                                            </w:div>
                                                          </w:divsChild>
                                                        </w:div>
                                                        <w:div w:id="1380128969">
                                                          <w:marLeft w:val="0"/>
                                                          <w:marRight w:val="0"/>
                                                          <w:marTop w:val="0"/>
                                                          <w:marBottom w:val="0"/>
                                                          <w:divBdr>
                                                            <w:top w:val="none" w:sz="0" w:space="0" w:color="auto"/>
                                                            <w:left w:val="none" w:sz="0" w:space="0" w:color="auto"/>
                                                            <w:bottom w:val="none" w:sz="0" w:space="0" w:color="auto"/>
                                                            <w:right w:val="none" w:sz="0" w:space="0" w:color="auto"/>
                                                          </w:divBdr>
                                                          <w:divsChild>
                                                            <w:div w:id="311371667">
                                                              <w:marLeft w:val="0"/>
                                                              <w:marRight w:val="0"/>
                                                              <w:marTop w:val="0"/>
                                                              <w:marBottom w:val="0"/>
                                                              <w:divBdr>
                                                                <w:top w:val="none" w:sz="0" w:space="0" w:color="auto"/>
                                                                <w:left w:val="none" w:sz="0" w:space="0" w:color="auto"/>
                                                                <w:bottom w:val="none" w:sz="0" w:space="0" w:color="auto"/>
                                                                <w:right w:val="none" w:sz="0" w:space="0" w:color="auto"/>
                                                              </w:divBdr>
                                                            </w:div>
                                                          </w:divsChild>
                                                        </w:div>
                                                        <w:div w:id="1385635521">
                                                          <w:marLeft w:val="0"/>
                                                          <w:marRight w:val="0"/>
                                                          <w:marTop w:val="0"/>
                                                          <w:marBottom w:val="0"/>
                                                          <w:divBdr>
                                                            <w:top w:val="none" w:sz="0" w:space="0" w:color="auto"/>
                                                            <w:left w:val="none" w:sz="0" w:space="0" w:color="auto"/>
                                                            <w:bottom w:val="none" w:sz="0" w:space="0" w:color="auto"/>
                                                            <w:right w:val="none" w:sz="0" w:space="0" w:color="auto"/>
                                                          </w:divBdr>
                                                          <w:divsChild>
                                                            <w:div w:id="512456144">
                                                              <w:marLeft w:val="0"/>
                                                              <w:marRight w:val="0"/>
                                                              <w:marTop w:val="0"/>
                                                              <w:marBottom w:val="0"/>
                                                              <w:divBdr>
                                                                <w:top w:val="none" w:sz="0" w:space="0" w:color="auto"/>
                                                                <w:left w:val="none" w:sz="0" w:space="0" w:color="auto"/>
                                                                <w:bottom w:val="none" w:sz="0" w:space="0" w:color="auto"/>
                                                                <w:right w:val="none" w:sz="0" w:space="0" w:color="auto"/>
                                                              </w:divBdr>
                                                            </w:div>
                                                          </w:divsChild>
                                                        </w:div>
                                                        <w:div w:id="1394083950">
                                                          <w:marLeft w:val="0"/>
                                                          <w:marRight w:val="0"/>
                                                          <w:marTop w:val="0"/>
                                                          <w:marBottom w:val="0"/>
                                                          <w:divBdr>
                                                            <w:top w:val="none" w:sz="0" w:space="0" w:color="auto"/>
                                                            <w:left w:val="none" w:sz="0" w:space="0" w:color="auto"/>
                                                            <w:bottom w:val="none" w:sz="0" w:space="0" w:color="auto"/>
                                                            <w:right w:val="none" w:sz="0" w:space="0" w:color="auto"/>
                                                          </w:divBdr>
                                                        </w:div>
                                                        <w:div w:id="1397781167">
                                                          <w:marLeft w:val="0"/>
                                                          <w:marRight w:val="0"/>
                                                          <w:marTop w:val="0"/>
                                                          <w:marBottom w:val="0"/>
                                                          <w:divBdr>
                                                            <w:top w:val="none" w:sz="0" w:space="0" w:color="auto"/>
                                                            <w:left w:val="none" w:sz="0" w:space="0" w:color="auto"/>
                                                            <w:bottom w:val="none" w:sz="0" w:space="0" w:color="auto"/>
                                                            <w:right w:val="none" w:sz="0" w:space="0" w:color="auto"/>
                                                          </w:divBdr>
                                                          <w:divsChild>
                                                            <w:div w:id="309407352">
                                                              <w:marLeft w:val="0"/>
                                                              <w:marRight w:val="0"/>
                                                              <w:marTop w:val="0"/>
                                                              <w:marBottom w:val="0"/>
                                                              <w:divBdr>
                                                                <w:top w:val="none" w:sz="0" w:space="0" w:color="auto"/>
                                                                <w:left w:val="none" w:sz="0" w:space="0" w:color="auto"/>
                                                                <w:bottom w:val="none" w:sz="0" w:space="0" w:color="auto"/>
                                                                <w:right w:val="none" w:sz="0" w:space="0" w:color="auto"/>
                                                              </w:divBdr>
                                                            </w:div>
                                                          </w:divsChild>
                                                        </w:div>
                                                        <w:div w:id="1402097787">
                                                          <w:marLeft w:val="0"/>
                                                          <w:marRight w:val="0"/>
                                                          <w:marTop w:val="0"/>
                                                          <w:marBottom w:val="0"/>
                                                          <w:divBdr>
                                                            <w:top w:val="none" w:sz="0" w:space="0" w:color="auto"/>
                                                            <w:left w:val="none" w:sz="0" w:space="0" w:color="auto"/>
                                                            <w:bottom w:val="none" w:sz="0" w:space="0" w:color="auto"/>
                                                            <w:right w:val="none" w:sz="0" w:space="0" w:color="auto"/>
                                                          </w:divBdr>
                                                          <w:divsChild>
                                                            <w:div w:id="1818841803">
                                                              <w:marLeft w:val="0"/>
                                                              <w:marRight w:val="0"/>
                                                              <w:marTop w:val="0"/>
                                                              <w:marBottom w:val="0"/>
                                                              <w:divBdr>
                                                                <w:top w:val="none" w:sz="0" w:space="0" w:color="auto"/>
                                                                <w:left w:val="none" w:sz="0" w:space="0" w:color="auto"/>
                                                                <w:bottom w:val="none" w:sz="0" w:space="0" w:color="auto"/>
                                                                <w:right w:val="none" w:sz="0" w:space="0" w:color="auto"/>
                                                              </w:divBdr>
                                                            </w:div>
                                                          </w:divsChild>
                                                        </w:div>
                                                        <w:div w:id="1412922618">
                                                          <w:marLeft w:val="0"/>
                                                          <w:marRight w:val="0"/>
                                                          <w:marTop w:val="0"/>
                                                          <w:marBottom w:val="0"/>
                                                          <w:divBdr>
                                                            <w:top w:val="none" w:sz="0" w:space="0" w:color="auto"/>
                                                            <w:left w:val="none" w:sz="0" w:space="0" w:color="auto"/>
                                                            <w:bottom w:val="none" w:sz="0" w:space="0" w:color="auto"/>
                                                            <w:right w:val="none" w:sz="0" w:space="0" w:color="auto"/>
                                                          </w:divBdr>
                                                        </w:div>
                                                        <w:div w:id="1428961374">
                                                          <w:marLeft w:val="0"/>
                                                          <w:marRight w:val="0"/>
                                                          <w:marTop w:val="0"/>
                                                          <w:marBottom w:val="0"/>
                                                          <w:divBdr>
                                                            <w:top w:val="none" w:sz="0" w:space="0" w:color="auto"/>
                                                            <w:left w:val="none" w:sz="0" w:space="0" w:color="auto"/>
                                                            <w:bottom w:val="none" w:sz="0" w:space="0" w:color="auto"/>
                                                            <w:right w:val="none" w:sz="0" w:space="0" w:color="auto"/>
                                                          </w:divBdr>
                                                          <w:divsChild>
                                                            <w:div w:id="633755019">
                                                              <w:marLeft w:val="0"/>
                                                              <w:marRight w:val="0"/>
                                                              <w:marTop w:val="0"/>
                                                              <w:marBottom w:val="0"/>
                                                              <w:divBdr>
                                                                <w:top w:val="none" w:sz="0" w:space="0" w:color="auto"/>
                                                                <w:left w:val="none" w:sz="0" w:space="0" w:color="auto"/>
                                                                <w:bottom w:val="none" w:sz="0" w:space="0" w:color="auto"/>
                                                                <w:right w:val="none" w:sz="0" w:space="0" w:color="auto"/>
                                                              </w:divBdr>
                                                            </w:div>
                                                          </w:divsChild>
                                                        </w:div>
                                                        <w:div w:id="1449809745">
                                                          <w:marLeft w:val="0"/>
                                                          <w:marRight w:val="0"/>
                                                          <w:marTop w:val="0"/>
                                                          <w:marBottom w:val="0"/>
                                                          <w:divBdr>
                                                            <w:top w:val="none" w:sz="0" w:space="0" w:color="auto"/>
                                                            <w:left w:val="none" w:sz="0" w:space="0" w:color="auto"/>
                                                            <w:bottom w:val="none" w:sz="0" w:space="0" w:color="auto"/>
                                                            <w:right w:val="none" w:sz="0" w:space="0" w:color="auto"/>
                                                          </w:divBdr>
                                                          <w:divsChild>
                                                            <w:div w:id="1863277880">
                                                              <w:marLeft w:val="0"/>
                                                              <w:marRight w:val="0"/>
                                                              <w:marTop w:val="0"/>
                                                              <w:marBottom w:val="0"/>
                                                              <w:divBdr>
                                                                <w:top w:val="none" w:sz="0" w:space="0" w:color="auto"/>
                                                                <w:left w:val="none" w:sz="0" w:space="0" w:color="auto"/>
                                                                <w:bottom w:val="none" w:sz="0" w:space="0" w:color="auto"/>
                                                                <w:right w:val="none" w:sz="0" w:space="0" w:color="auto"/>
                                                              </w:divBdr>
                                                            </w:div>
                                                          </w:divsChild>
                                                        </w:div>
                                                        <w:div w:id="1466923079">
                                                          <w:marLeft w:val="0"/>
                                                          <w:marRight w:val="0"/>
                                                          <w:marTop w:val="0"/>
                                                          <w:marBottom w:val="0"/>
                                                          <w:divBdr>
                                                            <w:top w:val="none" w:sz="0" w:space="0" w:color="auto"/>
                                                            <w:left w:val="none" w:sz="0" w:space="0" w:color="auto"/>
                                                            <w:bottom w:val="none" w:sz="0" w:space="0" w:color="auto"/>
                                                            <w:right w:val="none" w:sz="0" w:space="0" w:color="auto"/>
                                                          </w:divBdr>
                                                          <w:divsChild>
                                                            <w:div w:id="653408619">
                                                              <w:marLeft w:val="0"/>
                                                              <w:marRight w:val="0"/>
                                                              <w:marTop w:val="0"/>
                                                              <w:marBottom w:val="0"/>
                                                              <w:divBdr>
                                                                <w:top w:val="none" w:sz="0" w:space="0" w:color="auto"/>
                                                                <w:left w:val="none" w:sz="0" w:space="0" w:color="auto"/>
                                                                <w:bottom w:val="none" w:sz="0" w:space="0" w:color="auto"/>
                                                                <w:right w:val="none" w:sz="0" w:space="0" w:color="auto"/>
                                                              </w:divBdr>
                                                            </w:div>
                                                          </w:divsChild>
                                                        </w:div>
                                                        <w:div w:id="1480079006">
                                                          <w:marLeft w:val="0"/>
                                                          <w:marRight w:val="0"/>
                                                          <w:marTop w:val="0"/>
                                                          <w:marBottom w:val="0"/>
                                                          <w:divBdr>
                                                            <w:top w:val="none" w:sz="0" w:space="0" w:color="auto"/>
                                                            <w:left w:val="none" w:sz="0" w:space="0" w:color="auto"/>
                                                            <w:bottom w:val="none" w:sz="0" w:space="0" w:color="auto"/>
                                                            <w:right w:val="none" w:sz="0" w:space="0" w:color="auto"/>
                                                          </w:divBdr>
                                                          <w:divsChild>
                                                            <w:div w:id="1781796360">
                                                              <w:marLeft w:val="0"/>
                                                              <w:marRight w:val="0"/>
                                                              <w:marTop w:val="0"/>
                                                              <w:marBottom w:val="0"/>
                                                              <w:divBdr>
                                                                <w:top w:val="none" w:sz="0" w:space="0" w:color="auto"/>
                                                                <w:left w:val="none" w:sz="0" w:space="0" w:color="auto"/>
                                                                <w:bottom w:val="none" w:sz="0" w:space="0" w:color="auto"/>
                                                                <w:right w:val="none" w:sz="0" w:space="0" w:color="auto"/>
                                                              </w:divBdr>
                                                            </w:div>
                                                          </w:divsChild>
                                                        </w:div>
                                                        <w:div w:id="1481998140">
                                                          <w:marLeft w:val="0"/>
                                                          <w:marRight w:val="0"/>
                                                          <w:marTop w:val="0"/>
                                                          <w:marBottom w:val="0"/>
                                                          <w:divBdr>
                                                            <w:top w:val="none" w:sz="0" w:space="0" w:color="auto"/>
                                                            <w:left w:val="none" w:sz="0" w:space="0" w:color="auto"/>
                                                            <w:bottom w:val="none" w:sz="0" w:space="0" w:color="auto"/>
                                                            <w:right w:val="none" w:sz="0" w:space="0" w:color="auto"/>
                                                          </w:divBdr>
                                                          <w:divsChild>
                                                            <w:div w:id="1432780344">
                                                              <w:marLeft w:val="0"/>
                                                              <w:marRight w:val="0"/>
                                                              <w:marTop w:val="0"/>
                                                              <w:marBottom w:val="0"/>
                                                              <w:divBdr>
                                                                <w:top w:val="none" w:sz="0" w:space="0" w:color="auto"/>
                                                                <w:left w:val="none" w:sz="0" w:space="0" w:color="auto"/>
                                                                <w:bottom w:val="none" w:sz="0" w:space="0" w:color="auto"/>
                                                                <w:right w:val="none" w:sz="0" w:space="0" w:color="auto"/>
                                                              </w:divBdr>
                                                            </w:div>
                                                          </w:divsChild>
                                                        </w:div>
                                                        <w:div w:id="1504275663">
                                                          <w:marLeft w:val="0"/>
                                                          <w:marRight w:val="0"/>
                                                          <w:marTop w:val="0"/>
                                                          <w:marBottom w:val="0"/>
                                                          <w:divBdr>
                                                            <w:top w:val="none" w:sz="0" w:space="0" w:color="auto"/>
                                                            <w:left w:val="none" w:sz="0" w:space="0" w:color="auto"/>
                                                            <w:bottom w:val="none" w:sz="0" w:space="0" w:color="auto"/>
                                                            <w:right w:val="none" w:sz="0" w:space="0" w:color="auto"/>
                                                          </w:divBdr>
                                                          <w:divsChild>
                                                            <w:div w:id="297035315">
                                                              <w:marLeft w:val="0"/>
                                                              <w:marRight w:val="0"/>
                                                              <w:marTop w:val="0"/>
                                                              <w:marBottom w:val="0"/>
                                                              <w:divBdr>
                                                                <w:top w:val="none" w:sz="0" w:space="0" w:color="auto"/>
                                                                <w:left w:val="none" w:sz="0" w:space="0" w:color="auto"/>
                                                                <w:bottom w:val="none" w:sz="0" w:space="0" w:color="auto"/>
                                                                <w:right w:val="none" w:sz="0" w:space="0" w:color="auto"/>
                                                              </w:divBdr>
                                                            </w:div>
                                                          </w:divsChild>
                                                        </w:div>
                                                        <w:div w:id="1507095964">
                                                          <w:marLeft w:val="0"/>
                                                          <w:marRight w:val="0"/>
                                                          <w:marTop w:val="0"/>
                                                          <w:marBottom w:val="0"/>
                                                          <w:divBdr>
                                                            <w:top w:val="none" w:sz="0" w:space="0" w:color="auto"/>
                                                            <w:left w:val="none" w:sz="0" w:space="0" w:color="auto"/>
                                                            <w:bottom w:val="none" w:sz="0" w:space="0" w:color="auto"/>
                                                            <w:right w:val="none" w:sz="0" w:space="0" w:color="auto"/>
                                                          </w:divBdr>
                                                          <w:divsChild>
                                                            <w:div w:id="785932040">
                                                              <w:marLeft w:val="0"/>
                                                              <w:marRight w:val="0"/>
                                                              <w:marTop w:val="0"/>
                                                              <w:marBottom w:val="0"/>
                                                              <w:divBdr>
                                                                <w:top w:val="none" w:sz="0" w:space="0" w:color="auto"/>
                                                                <w:left w:val="none" w:sz="0" w:space="0" w:color="auto"/>
                                                                <w:bottom w:val="none" w:sz="0" w:space="0" w:color="auto"/>
                                                                <w:right w:val="none" w:sz="0" w:space="0" w:color="auto"/>
                                                              </w:divBdr>
                                                            </w:div>
                                                          </w:divsChild>
                                                        </w:div>
                                                        <w:div w:id="1518496820">
                                                          <w:marLeft w:val="0"/>
                                                          <w:marRight w:val="0"/>
                                                          <w:marTop w:val="0"/>
                                                          <w:marBottom w:val="0"/>
                                                          <w:divBdr>
                                                            <w:top w:val="none" w:sz="0" w:space="0" w:color="auto"/>
                                                            <w:left w:val="none" w:sz="0" w:space="0" w:color="auto"/>
                                                            <w:bottom w:val="none" w:sz="0" w:space="0" w:color="auto"/>
                                                            <w:right w:val="none" w:sz="0" w:space="0" w:color="auto"/>
                                                          </w:divBdr>
                                                          <w:divsChild>
                                                            <w:div w:id="288973136">
                                                              <w:marLeft w:val="0"/>
                                                              <w:marRight w:val="0"/>
                                                              <w:marTop w:val="0"/>
                                                              <w:marBottom w:val="0"/>
                                                              <w:divBdr>
                                                                <w:top w:val="none" w:sz="0" w:space="0" w:color="auto"/>
                                                                <w:left w:val="none" w:sz="0" w:space="0" w:color="auto"/>
                                                                <w:bottom w:val="none" w:sz="0" w:space="0" w:color="auto"/>
                                                                <w:right w:val="none" w:sz="0" w:space="0" w:color="auto"/>
                                                              </w:divBdr>
                                                            </w:div>
                                                          </w:divsChild>
                                                        </w:div>
                                                        <w:div w:id="1530028226">
                                                          <w:marLeft w:val="0"/>
                                                          <w:marRight w:val="0"/>
                                                          <w:marTop w:val="0"/>
                                                          <w:marBottom w:val="0"/>
                                                          <w:divBdr>
                                                            <w:top w:val="none" w:sz="0" w:space="0" w:color="auto"/>
                                                            <w:left w:val="none" w:sz="0" w:space="0" w:color="auto"/>
                                                            <w:bottom w:val="none" w:sz="0" w:space="0" w:color="auto"/>
                                                            <w:right w:val="none" w:sz="0" w:space="0" w:color="auto"/>
                                                          </w:divBdr>
                                                          <w:divsChild>
                                                            <w:div w:id="632442527">
                                                              <w:marLeft w:val="0"/>
                                                              <w:marRight w:val="0"/>
                                                              <w:marTop w:val="0"/>
                                                              <w:marBottom w:val="0"/>
                                                              <w:divBdr>
                                                                <w:top w:val="none" w:sz="0" w:space="0" w:color="auto"/>
                                                                <w:left w:val="none" w:sz="0" w:space="0" w:color="auto"/>
                                                                <w:bottom w:val="none" w:sz="0" w:space="0" w:color="auto"/>
                                                                <w:right w:val="none" w:sz="0" w:space="0" w:color="auto"/>
                                                              </w:divBdr>
                                                            </w:div>
                                                          </w:divsChild>
                                                        </w:div>
                                                        <w:div w:id="1546602711">
                                                          <w:marLeft w:val="0"/>
                                                          <w:marRight w:val="0"/>
                                                          <w:marTop w:val="0"/>
                                                          <w:marBottom w:val="0"/>
                                                          <w:divBdr>
                                                            <w:top w:val="none" w:sz="0" w:space="0" w:color="auto"/>
                                                            <w:left w:val="none" w:sz="0" w:space="0" w:color="auto"/>
                                                            <w:bottom w:val="none" w:sz="0" w:space="0" w:color="auto"/>
                                                            <w:right w:val="none" w:sz="0" w:space="0" w:color="auto"/>
                                                          </w:divBdr>
                                                        </w:div>
                                                        <w:div w:id="1551502088">
                                                          <w:marLeft w:val="0"/>
                                                          <w:marRight w:val="0"/>
                                                          <w:marTop w:val="0"/>
                                                          <w:marBottom w:val="0"/>
                                                          <w:divBdr>
                                                            <w:top w:val="none" w:sz="0" w:space="0" w:color="auto"/>
                                                            <w:left w:val="none" w:sz="0" w:space="0" w:color="auto"/>
                                                            <w:bottom w:val="none" w:sz="0" w:space="0" w:color="auto"/>
                                                            <w:right w:val="none" w:sz="0" w:space="0" w:color="auto"/>
                                                          </w:divBdr>
                                                          <w:divsChild>
                                                            <w:div w:id="558905801">
                                                              <w:marLeft w:val="0"/>
                                                              <w:marRight w:val="0"/>
                                                              <w:marTop w:val="0"/>
                                                              <w:marBottom w:val="0"/>
                                                              <w:divBdr>
                                                                <w:top w:val="none" w:sz="0" w:space="0" w:color="auto"/>
                                                                <w:left w:val="none" w:sz="0" w:space="0" w:color="auto"/>
                                                                <w:bottom w:val="none" w:sz="0" w:space="0" w:color="auto"/>
                                                                <w:right w:val="none" w:sz="0" w:space="0" w:color="auto"/>
                                                              </w:divBdr>
                                                            </w:div>
                                                          </w:divsChild>
                                                        </w:div>
                                                        <w:div w:id="1565528333">
                                                          <w:marLeft w:val="0"/>
                                                          <w:marRight w:val="0"/>
                                                          <w:marTop w:val="0"/>
                                                          <w:marBottom w:val="0"/>
                                                          <w:divBdr>
                                                            <w:top w:val="none" w:sz="0" w:space="0" w:color="auto"/>
                                                            <w:left w:val="none" w:sz="0" w:space="0" w:color="auto"/>
                                                            <w:bottom w:val="none" w:sz="0" w:space="0" w:color="auto"/>
                                                            <w:right w:val="none" w:sz="0" w:space="0" w:color="auto"/>
                                                          </w:divBdr>
                                                        </w:div>
                                                        <w:div w:id="1583297940">
                                                          <w:marLeft w:val="0"/>
                                                          <w:marRight w:val="0"/>
                                                          <w:marTop w:val="0"/>
                                                          <w:marBottom w:val="0"/>
                                                          <w:divBdr>
                                                            <w:top w:val="none" w:sz="0" w:space="0" w:color="auto"/>
                                                            <w:left w:val="none" w:sz="0" w:space="0" w:color="auto"/>
                                                            <w:bottom w:val="none" w:sz="0" w:space="0" w:color="auto"/>
                                                            <w:right w:val="none" w:sz="0" w:space="0" w:color="auto"/>
                                                          </w:divBdr>
                                                          <w:divsChild>
                                                            <w:div w:id="1384671512">
                                                              <w:marLeft w:val="0"/>
                                                              <w:marRight w:val="0"/>
                                                              <w:marTop w:val="0"/>
                                                              <w:marBottom w:val="0"/>
                                                              <w:divBdr>
                                                                <w:top w:val="none" w:sz="0" w:space="0" w:color="auto"/>
                                                                <w:left w:val="none" w:sz="0" w:space="0" w:color="auto"/>
                                                                <w:bottom w:val="none" w:sz="0" w:space="0" w:color="auto"/>
                                                                <w:right w:val="none" w:sz="0" w:space="0" w:color="auto"/>
                                                              </w:divBdr>
                                                            </w:div>
                                                          </w:divsChild>
                                                        </w:div>
                                                        <w:div w:id="1585797028">
                                                          <w:marLeft w:val="0"/>
                                                          <w:marRight w:val="0"/>
                                                          <w:marTop w:val="0"/>
                                                          <w:marBottom w:val="0"/>
                                                          <w:divBdr>
                                                            <w:top w:val="none" w:sz="0" w:space="0" w:color="auto"/>
                                                            <w:left w:val="none" w:sz="0" w:space="0" w:color="auto"/>
                                                            <w:bottom w:val="none" w:sz="0" w:space="0" w:color="auto"/>
                                                            <w:right w:val="none" w:sz="0" w:space="0" w:color="auto"/>
                                                          </w:divBdr>
                                                          <w:divsChild>
                                                            <w:div w:id="1547795691">
                                                              <w:marLeft w:val="0"/>
                                                              <w:marRight w:val="0"/>
                                                              <w:marTop w:val="0"/>
                                                              <w:marBottom w:val="0"/>
                                                              <w:divBdr>
                                                                <w:top w:val="none" w:sz="0" w:space="0" w:color="auto"/>
                                                                <w:left w:val="none" w:sz="0" w:space="0" w:color="auto"/>
                                                                <w:bottom w:val="none" w:sz="0" w:space="0" w:color="auto"/>
                                                                <w:right w:val="none" w:sz="0" w:space="0" w:color="auto"/>
                                                              </w:divBdr>
                                                            </w:div>
                                                          </w:divsChild>
                                                        </w:div>
                                                        <w:div w:id="1592663675">
                                                          <w:marLeft w:val="0"/>
                                                          <w:marRight w:val="0"/>
                                                          <w:marTop w:val="0"/>
                                                          <w:marBottom w:val="0"/>
                                                          <w:divBdr>
                                                            <w:top w:val="none" w:sz="0" w:space="0" w:color="auto"/>
                                                            <w:left w:val="none" w:sz="0" w:space="0" w:color="auto"/>
                                                            <w:bottom w:val="none" w:sz="0" w:space="0" w:color="auto"/>
                                                            <w:right w:val="none" w:sz="0" w:space="0" w:color="auto"/>
                                                          </w:divBdr>
                                                          <w:divsChild>
                                                            <w:div w:id="2047945139">
                                                              <w:marLeft w:val="0"/>
                                                              <w:marRight w:val="0"/>
                                                              <w:marTop w:val="0"/>
                                                              <w:marBottom w:val="0"/>
                                                              <w:divBdr>
                                                                <w:top w:val="none" w:sz="0" w:space="0" w:color="auto"/>
                                                                <w:left w:val="none" w:sz="0" w:space="0" w:color="auto"/>
                                                                <w:bottom w:val="none" w:sz="0" w:space="0" w:color="auto"/>
                                                                <w:right w:val="none" w:sz="0" w:space="0" w:color="auto"/>
                                                              </w:divBdr>
                                                            </w:div>
                                                          </w:divsChild>
                                                        </w:div>
                                                        <w:div w:id="1595505262">
                                                          <w:marLeft w:val="0"/>
                                                          <w:marRight w:val="0"/>
                                                          <w:marTop w:val="0"/>
                                                          <w:marBottom w:val="0"/>
                                                          <w:divBdr>
                                                            <w:top w:val="none" w:sz="0" w:space="0" w:color="auto"/>
                                                            <w:left w:val="none" w:sz="0" w:space="0" w:color="auto"/>
                                                            <w:bottom w:val="none" w:sz="0" w:space="0" w:color="auto"/>
                                                            <w:right w:val="none" w:sz="0" w:space="0" w:color="auto"/>
                                                          </w:divBdr>
                                                          <w:divsChild>
                                                            <w:div w:id="913900226">
                                                              <w:marLeft w:val="0"/>
                                                              <w:marRight w:val="0"/>
                                                              <w:marTop w:val="0"/>
                                                              <w:marBottom w:val="0"/>
                                                              <w:divBdr>
                                                                <w:top w:val="none" w:sz="0" w:space="0" w:color="auto"/>
                                                                <w:left w:val="none" w:sz="0" w:space="0" w:color="auto"/>
                                                                <w:bottom w:val="none" w:sz="0" w:space="0" w:color="auto"/>
                                                                <w:right w:val="none" w:sz="0" w:space="0" w:color="auto"/>
                                                              </w:divBdr>
                                                            </w:div>
                                                          </w:divsChild>
                                                        </w:div>
                                                        <w:div w:id="1611087260">
                                                          <w:marLeft w:val="0"/>
                                                          <w:marRight w:val="0"/>
                                                          <w:marTop w:val="0"/>
                                                          <w:marBottom w:val="0"/>
                                                          <w:divBdr>
                                                            <w:top w:val="none" w:sz="0" w:space="0" w:color="auto"/>
                                                            <w:left w:val="none" w:sz="0" w:space="0" w:color="auto"/>
                                                            <w:bottom w:val="none" w:sz="0" w:space="0" w:color="auto"/>
                                                            <w:right w:val="none" w:sz="0" w:space="0" w:color="auto"/>
                                                          </w:divBdr>
                                                        </w:div>
                                                        <w:div w:id="1612055176">
                                                          <w:marLeft w:val="0"/>
                                                          <w:marRight w:val="0"/>
                                                          <w:marTop w:val="0"/>
                                                          <w:marBottom w:val="0"/>
                                                          <w:divBdr>
                                                            <w:top w:val="none" w:sz="0" w:space="0" w:color="auto"/>
                                                            <w:left w:val="none" w:sz="0" w:space="0" w:color="auto"/>
                                                            <w:bottom w:val="none" w:sz="0" w:space="0" w:color="auto"/>
                                                            <w:right w:val="none" w:sz="0" w:space="0" w:color="auto"/>
                                                          </w:divBdr>
                                                          <w:divsChild>
                                                            <w:div w:id="1537618847">
                                                              <w:marLeft w:val="0"/>
                                                              <w:marRight w:val="0"/>
                                                              <w:marTop w:val="0"/>
                                                              <w:marBottom w:val="0"/>
                                                              <w:divBdr>
                                                                <w:top w:val="none" w:sz="0" w:space="0" w:color="auto"/>
                                                                <w:left w:val="none" w:sz="0" w:space="0" w:color="auto"/>
                                                                <w:bottom w:val="none" w:sz="0" w:space="0" w:color="auto"/>
                                                                <w:right w:val="none" w:sz="0" w:space="0" w:color="auto"/>
                                                              </w:divBdr>
                                                            </w:div>
                                                          </w:divsChild>
                                                        </w:div>
                                                        <w:div w:id="1614902943">
                                                          <w:marLeft w:val="0"/>
                                                          <w:marRight w:val="0"/>
                                                          <w:marTop w:val="0"/>
                                                          <w:marBottom w:val="0"/>
                                                          <w:divBdr>
                                                            <w:top w:val="none" w:sz="0" w:space="0" w:color="auto"/>
                                                            <w:left w:val="none" w:sz="0" w:space="0" w:color="auto"/>
                                                            <w:bottom w:val="none" w:sz="0" w:space="0" w:color="auto"/>
                                                            <w:right w:val="none" w:sz="0" w:space="0" w:color="auto"/>
                                                          </w:divBdr>
                                                          <w:divsChild>
                                                            <w:div w:id="1810197697">
                                                              <w:marLeft w:val="0"/>
                                                              <w:marRight w:val="0"/>
                                                              <w:marTop w:val="0"/>
                                                              <w:marBottom w:val="0"/>
                                                              <w:divBdr>
                                                                <w:top w:val="none" w:sz="0" w:space="0" w:color="auto"/>
                                                                <w:left w:val="none" w:sz="0" w:space="0" w:color="auto"/>
                                                                <w:bottom w:val="none" w:sz="0" w:space="0" w:color="auto"/>
                                                                <w:right w:val="none" w:sz="0" w:space="0" w:color="auto"/>
                                                              </w:divBdr>
                                                            </w:div>
                                                          </w:divsChild>
                                                        </w:div>
                                                        <w:div w:id="1620070219">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
                                                          </w:divsChild>
                                                        </w:div>
                                                        <w:div w:id="1649242354">
                                                          <w:marLeft w:val="0"/>
                                                          <w:marRight w:val="0"/>
                                                          <w:marTop w:val="0"/>
                                                          <w:marBottom w:val="0"/>
                                                          <w:divBdr>
                                                            <w:top w:val="none" w:sz="0" w:space="0" w:color="auto"/>
                                                            <w:left w:val="none" w:sz="0" w:space="0" w:color="auto"/>
                                                            <w:bottom w:val="none" w:sz="0" w:space="0" w:color="auto"/>
                                                            <w:right w:val="none" w:sz="0" w:space="0" w:color="auto"/>
                                                          </w:divBdr>
                                                          <w:divsChild>
                                                            <w:div w:id="471868925">
                                                              <w:marLeft w:val="0"/>
                                                              <w:marRight w:val="0"/>
                                                              <w:marTop w:val="0"/>
                                                              <w:marBottom w:val="0"/>
                                                              <w:divBdr>
                                                                <w:top w:val="none" w:sz="0" w:space="0" w:color="auto"/>
                                                                <w:left w:val="none" w:sz="0" w:space="0" w:color="auto"/>
                                                                <w:bottom w:val="none" w:sz="0" w:space="0" w:color="auto"/>
                                                                <w:right w:val="none" w:sz="0" w:space="0" w:color="auto"/>
                                                              </w:divBdr>
                                                            </w:div>
                                                          </w:divsChild>
                                                        </w:div>
                                                        <w:div w:id="1655063830">
                                                          <w:marLeft w:val="0"/>
                                                          <w:marRight w:val="0"/>
                                                          <w:marTop w:val="0"/>
                                                          <w:marBottom w:val="0"/>
                                                          <w:divBdr>
                                                            <w:top w:val="none" w:sz="0" w:space="0" w:color="auto"/>
                                                            <w:left w:val="none" w:sz="0" w:space="0" w:color="auto"/>
                                                            <w:bottom w:val="none" w:sz="0" w:space="0" w:color="auto"/>
                                                            <w:right w:val="none" w:sz="0" w:space="0" w:color="auto"/>
                                                          </w:divBdr>
                                                          <w:divsChild>
                                                            <w:div w:id="1914461423">
                                                              <w:marLeft w:val="0"/>
                                                              <w:marRight w:val="0"/>
                                                              <w:marTop w:val="0"/>
                                                              <w:marBottom w:val="0"/>
                                                              <w:divBdr>
                                                                <w:top w:val="none" w:sz="0" w:space="0" w:color="auto"/>
                                                                <w:left w:val="none" w:sz="0" w:space="0" w:color="auto"/>
                                                                <w:bottom w:val="none" w:sz="0" w:space="0" w:color="auto"/>
                                                                <w:right w:val="none" w:sz="0" w:space="0" w:color="auto"/>
                                                              </w:divBdr>
                                                            </w:div>
                                                          </w:divsChild>
                                                        </w:div>
                                                        <w:div w:id="1662931195">
                                                          <w:marLeft w:val="0"/>
                                                          <w:marRight w:val="0"/>
                                                          <w:marTop w:val="0"/>
                                                          <w:marBottom w:val="0"/>
                                                          <w:divBdr>
                                                            <w:top w:val="none" w:sz="0" w:space="0" w:color="auto"/>
                                                            <w:left w:val="none" w:sz="0" w:space="0" w:color="auto"/>
                                                            <w:bottom w:val="none" w:sz="0" w:space="0" w:color="auto"/>
                                                            <w:right w:val="none" w:sz="0" w:space="0" w:color="auto"/>
                                                          </w:divBdr>
                                                          <w:divsChild>
                                                            <w:div w:id="170028322">
                                                              <w:marLeft w:val="0"/>
                                                              <w:marRight w:val="0"/>
                                                              <w:marTop w:val="0"/>
                                                              <w:marBottom w:val="0"/>
                                                              <w:divBdr>
                                                                <w:top w:val="none" w:sz="0" w:space="0" w:color="auto"/>
                                                                <w:left w:val="none" w:sz="0" w:space="0" w:color="auto"/>
                                                                <w:bottom w:val="none" w:sz="0" w:space="0" w:color="auto"/>
                                                                <w:right w:val="none" w:sz="0" w:space="0" w:color="auto"/>
                                                              </w:divBdr>
                                                            </w:div>
                                                          </w:divsChild>
                                                        </w:div>
                                                        <w:div w:id="1670014023">
                                                          <w:marLeft w:val="0"/>
                                                          <w:marRight w:val="0"/>
                                                          <w:marTop w:val="0"/>
                                                          <w:marBottom w:val="0"/>
                                                          <w:divBdr>
                                                            <w:top w:val="none" w:sz="0" w:space="0" w:color="auto"/>
                                                            <w:left w:val="none" w:sz="0" w:space="0" w:color="auto"/>
                                                            <w:bottom w:val="none" w:sz="0" w:space="0" w:color="auto"/>
                                                            <w:right w:val="none" w:sz="0" w:space="0" w:color="auto"/>
                                                          </w:divBdr>
                                                          <w:divsChild>
                                                            <w:div w:id="1159735575">
                                                              <w:marLeft w:val="0"/>
                                                              <w:marRight w:val="0"/>
                                                              <w:marTop w:val="0"/>
                                                              <w:marBottom w:val="0"/>
                                                              <w:divBdr>
                                                                <w:top w:val="none" w:sz="0" w:space="0" w:color="auto"/>
                                                                <w:left w:val="none" w:sz="0" w:space="0" w:color="auto"/>
                                                                <w:bottom w:val="none" w:sz="0" w:space="0" w:color="auto"/>
                                                                <w:right w:val="none" w:sz="0" w:space="0" w:color="auto"/>
                                                              </w:divBdr>
                                                            </w:div>
                                                          </w:divsChild>
                                                        </w:div>
                                                        <w:div w:id="1675447927">
                                                          <w:marLeft w:val="0"/>
                                                          <w:marRight w:val="0"/>
                                                          <w:marTop w:val="0"/>
                                                          <w:marBottom w:val="0"/>
                                                          <w:divBdr>
                                                            <w:top w:val="none" w:sz="0" w:space="0" w:color="auto"/>
                                                            <w:left w:val="none" w:sz="0" w:space="0" w:color="auto"/>
                                                            <w:bottom w:val="none" w:sz="0" w:space="0" w:color="auto"/>
                                                            <w:right w:val="none" w:sz="0" w:space="0" w:color="auto"/>
                                                          </w:divBdr>
                                                        </w:div>
                                                        <w:div w:id="1686011572">
                                                          <w:marLeft w:val="0"/>
                                                          <w:marRight w:val="0"/>
                                                          <w:marTop w:val="0"/>
                                                          <w:marBottom w:val="0"/>
                                                          <w:divBdr>
                                                            <w:top w:val="none" w:sz="0" w:space="0" w:color="auto"/>
                                                            <w:left w:val="none" w:sz="0" w:space="0" w:color="auto"/>
                                                            <w:bottom w:val="none" w:sz="0" w:space="0" w:color="auto"/>
                                                            <w:right w:val="none" w:sz="0" w:space="0" w:color="auto"/>
                                                          </w:divBdr>
                                                          <w:divsChild>
                                                            <w:div w:id="297076599">
                                                              <w:marLeft w:val="0"/>
                                                              <w:marRight w:val="0"/>
                                                              <w:marTop w:val="0"/>
                                                              <w:marBottom w:val="0"/>
                                                              <w:divBdr>
                                                                <w:top w:val="none" w:sz="0" w:space="0" w:color="auto"/>
                                                                <w:left w:val="none" w:sz="0" w:space="0" w:color="auto"/>
                                                                <w:bottom w:val="none" w:sz="0" w:space="0" w:color="auto"/>
                                                                <w:right w:val="none" w:sz="0" w:space="0" w:color="auto"/>
                                                              </w:divBdr>
                                                            </w:div>
                                                          </w:divsChild>
                                                        </w:div>
                                                        <w:div w:id="1692992326">
                                                          <w:marLeft w:val="0"/>
                                                          <w:marRight w:val="0"/>
                                                          <w:marTop w:val="0"/>
                                                          <w:marBottom w:val="0"/>
                                                          <w:divBdr>
                                                            <w:top w:val="none" w:sz="0" w:space="0" w:color="auto"/>
                                                            <w:left w:val="none" w:sz="0" w:space="0" w:color="auto"/>
                                                            <w:bottom w:val="none" w:sz="0" w:space="0" w:color="auto"/>
                                                            <w:right w:val="none" w:sz="0" w:space="0" w:color="auto"/>
                                                          </w:divBdr>
                                                          <w:divsChild>
                                                            <w:div w:id="1826042262">
                                                              <w:marLeft w:val="0"/>
                                                              <w:marRight w:val="0"/>
                                                              <w:marTop w:val="0"/>
                                                              <w:marBottom w:val="0"/>
                                                              <w:divBdr>
                                                                <w:top w:val="none" w:sz="0" w:space="0" w:color="auto"/>
                                                                <w:left w:val="none" w:sz="0" w:space="0" w:color="auto"/>
                                                                <w:bottom w:val="none" w:sz="0" w:space="0" w:color="auto"/>
                                                                <w:right w:val="none" w:sz="0" w:space="0" w:color="auto"/>
                                                              </w:divBdr>
                                                            </w:div>
                                                          </w:divsChild>
                                                        </w:div>
                                                        <w:div w:id="1712539035">
                                                          <w:marLeft w:val="0"/>
                                                          <w:marRight w:val="0"/>
                                                          <w:marTop w:val="0"/>
                                                          <w:marBottom w:val="0"/>
                                                          <w:divBdr>
                                                            <w:top w:val="none" w:sz="0" w:space="0" w:color="auto"/>
                                                            <w:left w:val="none" w:sz="0" w:space="0" w:color="auto"/>
                                                            <w:bottom w:val="none" w:sz="0" w:space="0" w:color="auto"/>
                                                            <w:right w:val="none" w:sz="0" w:space="0" w:color="auto"/>
                                                          </w:divBdr>
                                                          <w:divsChild>
                                                            <w:div w:id="908419245">
                                                              <w:marLeft w:val="0"/>
                                                              <w:marRight w:val="0"/>
                                                              <w:marTop w:val="0"/>
                                                              <w:marBottom w:val="0"/>
                                                              <w:divBdr>
                                                                <w:top w:val="none" w:sz="0" w:space="0" w:color="auto"/>
                                                                <w:left w:val="none" w:sz="0" w:space="0" w:color="auto"/>
                                                                <w:bottom w:val="none" w:sz="0" w:space="0" w:color="auto"/>
                                                                <w:right w:val="none" w:sz="0" w:space="0" w:color="auto"/>
                                                              </w:divBdr>
                                                            </w:div>
                                                          </w:divsChild>
                                                        </w:div>
                                                        <w:div w:id="1717125524">
                                                          <w:marLeft w:val="0"/>
                                                          <w:marRight w:val="0"/>
                                                          <w:marTop w:val="0"/>
                                                          <w:marBottom w:val="0"/>
                                                          <w:divBdr>
                                                            <w:top w:val="none" w:sz="0" w:space="0" w:color="auto"/>
                                                            <w:left w:val="none" w:sz="0" w:space="0" w:color="auto"/>
                                                            <w:bottom w:val="none" w:sz="0" w:space="0" w:color="auto"/>
                                                            <w:right w:val="none" w:sz="0" w:space="0" w:color="auto"/>
                                                          </w:divBdr>
                                                          <w:divsChild>
                                                            <w:div w:id="753934938">
                                                              <w:marLeft w:val="0"/>
                                                              <w:marRight w:val="0"/>
                                                              <w:marTop w:val="0"/>
                                                              <w:marBottom w:val="0"/>
                                                              <w:divBdr>
                                                                <w:top w:val="none" w:sz="0" w:space="0" w:color="auto"/>
                                                                <w:left w:val="none" w:sz="0" w:space="0" w:color="auto"/>
                                                                <w:bottom w:val="none" w:sz="0" w:space="0" w:color="auto"/>
                                                                <w:right w:val="none" w:sz="0" w:space="0" w:color="auto"/>
                                                              </w:divBdr>
                                                            </w:div>
                                                          </w:divsChild>
                                                        </w:div>
                                                        <w:div w:id="1720279305">
                                                          <w:marLeft w:val="0"/>
                                                          <w:marRight w:val="0"/>
                                                          <w:marTop w:val="0"/>
                                                          <w:marBottom w:val="0"/>
                                                          <w:divBdr>
                                                            <w:top w:val="none" w:sz="0" w:space="0" w:color="auto"/>
                                                            <w:left w:val="none" w:sz="0" w:space="0" w:color="auto"/>
                                                            <w:bottom w:val="none" w:sz="0" w:space="0" w:color="auto"/>
                                                            <w:right w:val="none" w:sz="0" w:space="0" w:color="auto"/>
                                                          </w:divBdr>
                                                          <w:divsChild>
                                                            <w:div w:id="1506048164">
                                                              <w:marLeft w:val="0"/>
                                                              <w:marRight w:val="0"/>
                                                              <w:marTop w:val="0"/>
                                                              <w:marBottom w:val="0"/>
                                                              <w:divBdr>
                                                                <w:top w:val="none" w:sz="0" w:space="0" w:color="auto"/>
                                                                <w:left w:val="none" w:sz="0" w:space="0" w:color="auto"/>
                                                                <w:bottom w:val="none" w:sz="0" w:space="0" w:color="auto"/>
                                                                <w:right w:val="none" w:sz="0" w:space="0" w:color="auto"/>
                                                              </w:divBdr>
                                                            </w:div>
                                                          </w:divsChild>
                                                        </w:div>
                                                        <w:div w:id="1723170782">
                                                          <w:marLeft w:val="0"/>
                                                          <w:marRight w:val="0"/>
                                                          <w:marTop w:val="0"/>
                                                          <w:marBottom w:val="0"/>
                                                          <w:divBdr>
                                                            <w:top w:val="none" w:sz="0" w:space="0" w:color="auto"/>
                                                            <w:left w:val="none" w:sz="0" w:space="0" w:color="auto"/>
                                                            <w:bottom w:val="none" w:sz="0" w:space="0" w:color="auto"/>
                                                            <w:right w:val="none" w:sz="0" w:space="0" w:color="auto"/>
                                                          </w:divBdr>
                                                          <w:divsChild>
                                                            <w:div w:id="111747237">
                                                              <w:marLeft w:val="0"/>
                                                              <w:marRight w:val="0"/>
                                                              <w:marTop w:val="0"/>
                                                              <w:marBottom w:val="0"/>
                                                              <w:divBdr>
                                                                <w:top w:val="none" w:sz="0" w:space="0" w:color="auto"/>
                                                                <w:left w:val="none" w:sz="0" w:space="0" w:color="auto"/>
                                                                <w:bottom w:val="none" w:sz="0" w:space="0" w:color="auto"/>
                                                                <w:right w:val="none" w:sz="0" w:space="0" w:color="auto"/>
                                                              </w:divBdr>
                                                            </w:div>
                                                          </w:divsChild>
                                                        </w:div>
                                                        <w:div w:id="1734427810">
                                                          <w:marLeft w:val="0"/>
                                                          <w:marRight w:val="0"/>
                                                          <w:marTop w:val="0"/>
                                                          <w:marBottom w:val="0"/>
                                                          <w:divBdr>
                                                            <w:top w:val="none" w:sz="0" w:space="0" w:color="auto"/>
                                                            <w:left w:val="none" w:sz="0" w:space="0" w:color="auto"/>
                                                            <w:bottom w:val="none" w:sz="0" w:space="0" w:color="auto"/>
                                                            <w:right w:val="none" w:sz="0" w:space="0" w:color="auto"/>
                                                          </w:divBdr>
                                                          <w:divsChild>
                                                            <w:div w:id="150678260">
                                                              <w:marLeft w:val="0"/>
                                                              <w:marRight w:val="0"/>
                                                              <w:marTop w:val="0"/>
                                                              <w:marBottom w:val="0"/>
                                                              <w:divBdr>
                                                                <w:top w:val="none" w:sz="0" w:space="0" w:color="auto"/>
                                                                <w:left w:val="none" w:sz="0" w:space="0" w:color="auto"/>
                                                                <w:bottom w:val="none" w:sz="0" w:space="0" w:color="auto"/>
                                                                <w:right w:val="none" w:sz="0" w:space="0" w:color="auto"/>
                                                              </w:divBdr>
                                                            </w:div>
                                                          </w:divsChild>
                                                        </w:div>
                                                        <w:div w:id="1737585049">
                                                          <w:marLeft w:val="0"/>
                                                          <w:marRight w:val="0"/>
                                                          <w:marTop w:val="0"/>
                                                          <w:marBottom w:val="0"/>
                                                          <w:divBdr>
                                                            <w:top w:val="none" w:sz="0" w:space="0" w:color="auto"/>
                                                            <w:left w:val="none" w:sz="0" w:space="0" w:color="auto"/>
                                                            <w:bottom w:val="none" w:sz="0" w:space="0" w:color="auto"/>
                                                            <w:right w:val="none" w:sz="0" w:space="0" w:color="auto"/>
                                                          </w:divBdr>
                                                          <w:divsChild>
                                                            <w:div w:id="1724058551">
                                                              <w:marLeft w:val="0"/>
                                                              <w:marRight w:val="0"/>
                                                              <w:marTop w:val="0"/>
                                                              <w:marBottom w:val="0"/>
                                                              <w:divBdr>
                                                                <w:top w:val="none" w:sz="0" w:space="0" w:color="auto"/>
                                                                <w:left w:val="none" w:sz="0" w:space="0" w:color="auto"/>
                                                                <w:bottom w:val="none" w:sz="0" w:space="0" w:color="auto"/>
                                                                <w:right w:val="none" w:sz="0" w:space="0" w:color="auto"/>
                                                              </w:divBdr>
                                                            </w:div>
                                                          </w:divsChild>
                                                        </w:div>
                                                        <w:div w:id="1741713678">
                                                          <w:marLeft w:val="0"/>
                                                          <w:marRight w:val="0"/>
                                                          <w:marTop w:val="0"/>
                                                          <w:marBottom w:val="0"/>
                                                          <w:divBdr>
                                                            <w:top w:val="none" w:sz="0" w:space="0" w:color="auto"/>
                                                            <w:left w:val="none" w:sz="0" w:space="0" w:color="auto"/>
                                                            <w:bottom w:val="none" w:sz="0" w:space="0" w:color="auto"/>
                                                            <w:right w:val="none" w:sz="0" w:space="0" w:color="auto"/>
                                                          </w:divBdr>
                                                          <w:divsChild>
                                                            <w:div w:id="213127939">
                                                              <w:marLeft w:val="0"/>
                                                              <w:marRight w:val="0"/>
                                                              <w:marTop w:val="0"/>
                                                              <w:marBottom w:val="0"/>
                                                              <w:divBdr>
                                                                <w:top w:val="none" w:sz="0" w:space="0" w:color="auto"/>
                                                                <w:left w:val="none" w:sz="0" w:space="0" w:color="auto"/>
                                                                <w:bottom w:val="none" w:sz="0" w:space="0" w:color="auto"/>
                                                                <w:right w:val="none" w:sz="0" w:space="0" w:color="auto"/>
                                                              </w:divBdr>
                                                            </w:div>
                                                          </w:divsChild>
                                                        </w:div>
                                                        <w:div w:id="1748071952">
                                                          <w:marLeft w:val="0"/>
                                                          <w:marRight w:val="0"/>
                                                          <w:marTop w:val="0"/>
                                                          <w:marBottom w:val="0"/>
                                                          <w:divBdr>
                                                            <w:top w:val="none" w:sz="0" w:space="0" w:color="auto"/>
                                                            <w:left w:val="none" w:sz="0" w:space="0" w:color="auto"/>
                                                            <w:bottom w:val="none" w:sz="0" w:space="0" w:color="auto"/>
                                                            <w:right w:val="none" w:sz="0" w:space="0" w:color="auto"/>
                                                          </w:divBdr>
                                                          <w:divsChild>
                                                            <w:div w:id="157576255">
                                                              <w:marLeft w:val="0"/>
                                                              <w:marRight w:val="0"/>
                                                              <w:marTop w:val="0"/>
                                                              <w:marBottom w:val="0"/>
                                                              <w:divBdr>
                                                                <w:top w:val="none" w:sz="0" w:space="0" w:color="auto"/>
                                                                <w:left w:val="none" w:sz="0" w:space="0" w:color="auto"/>
                                                                <w:bottom w:val="none" w:sz="0" w:space="0" w:color="auto"/>
                                                                <w:right w:val="none" w:sz="0" w:space="0" w:color="auto"/>
                                                              </w:divBdr>
                                                            </w:div>
                                                          </w:divsChild>
                                                        </w:div>
                                                        <w:div w:id="1748188282">
                                                          <w:marLeft w:val="0"/>
                                                          <w:marRight w:val="0"/>
                                                          <w:marTop w:val="0"/>
                                                          <w:marBottom w:val="0"/>
                                                          <w:divBdr>
                                                            <w:top w:val="none" w:sz="0" w:space="0" w:color="auto"/>
                                                            <w:left w:val="none" w:sz="0" w:space="0" w:color="auto"/>
                                                            <w:bottom w:val="none" w:sz="0" w:space="0" w:color="auto"/>
                                                            <w:right w:val="none" w:sz="0" w:space="0" w:color="auto"/>
                                                          </w:divBdr>
                                                          <w:divsChild>
                                                            <w:div w:id="541940275">
                                                              <w:marLeft w:val="0"/>
                                                              <w:marRight w:val="0"/>
                                                              <w:marTop w:val="0"/>
                                                              <w:marBottom w:val="0"/>
                                                              <w:divBdr>
                                                                <w:top w:val="none" w:sz="0" w:space="0" w:color="auto"/>
                                                                <w:left w:val="none" w:sz="0" w:space="0" w:color="auto"/>
                                                                <w:bottom w:val="none" w:sz="0" w:space="0" w:color="auto"/>
                                                                <w:right w:val="none" w:sz="0" w:space="0" w:color="auto"/>
                                                              </w:divBdr>
                                                            </w:div>
                                                          </w:divsChild>
                                                        </w:div>
                                                        <w:div w:id="1753120722">
                                                          <w:marLeft w:val="0"/>
                                                          <w:marRight w:val="0"/>
                                                          <w:marTop w:val="0"/>
                                                          <w:marBottom w:val="0"/>
                                                          <w:divBdr>
                                                            <w:top w:val="none" w:sz="0" w:space="0" w:color="auto"/>
                                                            <w:left w:val="none" w:sz="0" w:space="0" w:color="auto"/>
                                                            <w:bottom w:val="none" w:sz="0" w:space="0" w:color="auto"/>
                                                            <w:right w:val="none" w:sz="0" w:space="0" w:color="auto"/>
                                                          </w:divBdr>
                                                          <w:divsChild>
                                                            <w:div w:id="1282497929">
                                                              <w:marLeft w:val="0"/>
                                                              <w:marRight w:val="0"/>
                                                              <w:marTop w:val="0"/>
                                                              <w:marBottom w:val="0"/>
                                                              <w:divBdr>
                                                                <w:top w:val="none" w:sz="0" w:space="0" w:color="auto"/>
                                                                <w:left w:val="none" w:sz="0" w:space="0" w:color="auto"/>
                                                                <w:bottom w:val="none" w:sz="0" w:space="0" w:color="auto"/>
                                                                <w:right w:val="none" w:sz="0" w:space="0" w:color="auto"/>
                                                              </w:divBdr>
                                                            </w:div>
                                                          </w:divsChild>
                                                        </w:div>
                                                        <w:div w:id="1758861100">
                                                          <w:marLeft w:val="0"/>
                                                          <w:marRight w:val="0"/>
                                                          <w:marTop w:val="0"/>
                                                          <w:marBottom w:val="0"/>
                                                          <w:divBdr>
                                                            <w:top w:val="none" w:sz="0" w:space="0" w:color="auto"/>
                                                            <w:left w:val="none" w:sz="0" w:space="0" w:color="auto"/>
                                                            <w:bottom w:val="none" w:sz="0" w:space="0" w:color="auto"/>
                                                            <w:right w:val="none" w:sz="0" w:space="0" w:color="auto"/>
                                                          </w:divBdr>
                                                          <w:divsChild>
                                                            <w:div w:id="334967000">
                                                              <w:marLeft w:val="0"/>
                                                              <w:marRight w:val="0"/>
                                                              <w:marTop w:val="0"/>
                                                              <w:marBottom w:val="0"/>
                                                              <w:divBdr>
                                                                <w:top w:val="none" w:sz="0" w:space="0" w:color="auto"/>
                                                                <w:left w:val="none" w:sz="0" w:space="0" w:color="auto"/>
                                                                <w:bottom w:val="none" w:sz="0" w:space="0" w:color="auto"/>
                                                                <w:right w:val="none" w:sz="0" w:space="0" w:color="auto"/>
                                                              </w:divBdr>
                                                            </w:div>
                                                          </w:divsChild>
                                                        </w:div>
                                                        <w:div w:id="1765765062">
                                                          <w:marLeft w:val="0"/>
                                                          <w:marRight w:val="0"/>
                                                          <w:marTop w:val="0"/>
                                                          <w:marBottom w:val="0"/>
                                                          <w:divBdr>
                                                            <w:top w:val="none" w:sz="0" w:space="0" w:color="auto"/>
                                                            <w:left w:val="none" w:sz="0" w:space="0" w:color="auto"/>
                                                            <w:bottom w:val="none" w:sz="0" w:space="0" w:color="auto"/>
                                                            <w:right w:val="none" w:sz="0" w:space="0" w:color="auto"/>
                                                          </w:divBdr>
                                                          <w:divsChild>
                                                            <w:div w:id="518473455">
                                                              <w:marLeft w:val="0"/>
                                                              <w:marRight w:val="0"/>
                                                              <w:marTop w:val="0"/>
                                                              <w:marBottom w:val="0"/>
                                                              <w:divBdr>
                                                                <w:top w:val="none" w:sz="0" w:space="0" w:color="auto"/>
                                                                <w:left w:val="none" w:sz="0" w:space="0" w:color="auto"/>
                                                                <w:bottom w:val="none" w:sz="0" w:space="0" w:color="auto"/>
                                                                <w:right w:val="none" w:sz="0" w:space="0" w:color="auto"/>
                                                              </w:divBdr>
                                                            </w:div>
                                                          </w:divsChild>
                                                        </w:div>
                                                        <w:div w:id="1780375352">
                                                          <w:marLeft w:val="0"/>
                                                          <w:marRight w:val="0"/>
                                                          <w:marTop w:val="0"/>
                                                          <w:marBottom w:val="0"/>
                                                          <w:divBdr>
                                                            <w:top w:val="none" w:sz="0" w:space="0" w:color="auto"/>
                                                            <w:left w:val="none" w:sz="0" w:space="0" w:color="auto"/>
                                                            <w:bottom w:val="none" w:sz="0" w:space="0" w:color="auto"/>
                                                            <w:right w:val="none" w:sz="0" w:space="0" w:color="auto"/>
                                                          </w:divBdr>
                                                        </w:div>
                                                        <w:div w:id="1787386154">
                                                          <w:marLeft w:val="0"/>
                                                          <w:marRight w:val="0"/>
                                                          <w:marTop w:val="0"/>
                                                          <w:marBottom w:val="0"/>
                                                          <w:divBdr>
                                                            <w:top w:val="none" w:sz="0" w:space="0" w:color="auto"/>
                                                            <w:left w:val="none" w:sz="0" w:space="0" w:color="auto"/>
                                                            <w:bottom w:val="none" w:sz="0" w:space="0" w:color="auto"/>
                                                            <w:right w:val="none" w:sz="0" w:space="0" w:color="auto"/>
                                                          </w:divBdr>
                                                          <w:divsChild>
                                                            <w:div w:id="1561669611">
                                                              <w:marLeft w:val="0"/>
                                                              <w:marRight w:val="0"/>
                                                              <w:marTop w:val="0"/>
                                                              <w:marBottom w:val="0"/>
                                                              <w:divBdr>
                                                                <w:top w:val="none" w:sz="0" w:space="0" w:color="auto"/>
                                                                <w:left w:val="none" w:sz="0" w:space="0" w:color="auto"/>
                                                                <w:bottom w:val="none" w:sz="0" w:space="0" w:color="auto"/>
                                                                <w:right w:val="none" w:sz="0" w:space="0" w:color="auto"/>
                                                              </w:divBdr>
                                                            </w:div>
                                                          </w:divsChild>
                                                        </w:div>
                                                        <w:div w:id="1787458476">
                                                          <w:marLeft w:val="0"/>
                                                          <w:marRight w:val="0"/>
                                                          <w:marTop w:val="0"/>
                                                          <w:marBottom w:val="0"/>
                                                          <w:divBdr>
                                                            <w:top w:val="none" w:sz="0" w:space="0" w:color="auto"/>
                                                            <w:left w:val="none" w:sz="0" w:space="0" w:color="auto"/>
                                                            <w:bottom w:val="none" w:sz="0" w:space="0" w:color="auto"/>
                                                            <w:right w:val="none" w:sz="0" w:space="0" w:color="auto"/>
                                                          </w:divBdr>
                                                          <w:divsChild>
                                                            <w:div w:id="1590383314">
                                                              <w:marLeft w:val="0"/>
                                                              <w:marRight w:val="0"/>
                                                              <w:marTop w:val="0"/>
                                                              <w:marBottom w:val="0"/>
                                                              <w:divBdr>
                                                                <w:top w:val="none" w:sz="0" w:space="0" w:color="auto"/>
                                                                <w:left w:val="none" w:sz="0" w:space="0" w:color="auto"/>
                                                                <w:bottom w:val="none" w:sz="0" w:space="0" w:color="auto"/>
                                                                <w:right w:val="none" w:sz="0" w:space="0" w:color="auto"/>
                                                              </w:divBdr>
                                                            </w:div>
                                                          </w:divsChild>
                                                        </w:div>
                                                        <w:div w:id="1796946305">
                                                          <w:marLeft w:val="0"/>
                                                          <w:marRight w:val="0"/>
                                                          <w:marTop w:val="0"/>
                                                          <w:marBottom w:val="0"/>
                                                          <w:divBdr>
                                                            <w:top w:val="none" w:sz="0" w:space="0" w:color="auto"/>
                                                            <w:left w:val="none" w:sz="0" w:space="0" w:color="auto"/>
                                                            <w:bottom w:val="none" w:sz="0" w:space="0" w:color="auto"/>
                                                            <w:right w:val="none" w:sz="0" w:space="0" w:color="auto"/>
                                                          </w:divBdr>
                                                          <w:divsChild>
                                                            <w:div w:id="115955347">
                                                              <w:marLeft w:val="0"/>
                                                              <w:marRight w:val="0"/>
                                                              <w:marTop w:val="0"/>
                                                              <w:marBottom w:val="0"/>
                                                              <w:divBdr>
                                                                <w:top w:val="none" w:sz="0" w:space="0" w:color="auto"/>
                                                                <w:left w:val="none" w:sz="0" w:space="0" w:color="auto"/>
                                                                <w:bottom w:val="none" w:sz="0" w:space="0" w:color="auto"/>
                                                                <w:right w:val="none" w:sz="0" w:space="0" w:color="auto"/>
                                                              </w:divBdr>
                                                            </w:div>
                                                          </w:divsChild>
                                                        </w:div>
                                                        <w:div w:id="1798448106">
                                                          <w:marLeft w:val="0"/>
                                                          <w:marRight w:val="0"/>
                                                          <w:marTop w:val="0"/>
                                                          <w:marBottom w:val="0"/>
                                                          <w:divBdr>
                                                            <w:top w:val="none" w:sz="0" w:space="0" w:color="auto"/>
                                                            <w:left w:val="none" w:sz="0" w:space="0" w:color="auto"/>
                                                            <w:bottom w:val="none" w:sz="0" w:space="0" w:color="auto"/>
                                                            <w:right w:val="none" w:sz="0" w:space="0" w:color="auto"/>
                                                          </w:divBdr>
                                                          <w:divsChild>
                                                            <w:div w:id="418869769">
                                                              <w:marLeft w:val="0"/>
                                                              <w:marRight w:val="0"/>
                                                              <w:marTop w:val="0"/>
                                                              <w:marBottom w:val="0"/>
                                                              <w:divBdr>
                                                                <w:top w:val="none" w:sz="0" w:space="0" w:color="auto"/>
                                                                <w:left w:val="none" w:sz="0" w:space="0" w:color="auto"/>
                                                                <w:bottom w:val="none" w:sz="0" w:space="0" w:color="auto"/>
                                                                <w:right w:val="none" w:sz="0" w:space="0" w:color="auto"/>
                                                              </w:divBdr>
                                                            </w:div>
                                                          </w:divsChild>
                                                        </w:div>
                                                        <w:div w:id="1799176051">
                                                          <w:marLeft w:val="0"/>
                                                          <w:marRight w:val="0"/>
                                                          <w:marTop w:val="0"/>
                                                          <w:marBottom w:val="0"/>
                                                          <w:divBdr>
                                                            <w:top w:val="none" w:sz="0" w:space="0" w:color="auto"/>
                                                            <w:left w:val="none" w:sz="0" w:space="0" w:color="auto"/>
                                                            <w:bottom w:val="none" w:sz="0" w:space="0" w:color="auto"/>
                                                            <w:right w:val="none" w:sz="0" w:space="0" w:color="auto"/>
                                                          </w:divBdr>
                                                        </w:div>
                                                        <w:div w:id="1800027914">
                                                          <w:marLeft w:val="0"/>
                                                          <w:marRight w:val="0"/>
                                                          <w:marTop w:val="0"/>
                                                          <w:marBottom w:val="0"/>
                                                          <w:divBdr>
                                                            <w:top w:val="none" w:sz="0" w:space="0" w:color="auto"/>
                                                            <w:left w:val="none" w:sz="0" w:space="0" w:color="auto"/>
                                                            <w:bottom w:val="none" w:sz="0" w:space="0" w:color="auto"/>
                                                            <w:right w:val="none" w:sz="0" w:space="0" w:color="auto"/>
                                                          </w:divBdr>
                                                          <w:divsChild>
                                                            <w:div w:id="692535847">
                                                              <w:marLeft w:val="0"/>
                                                              <w:marRight w:val="0"/>
                                                              <w:marTop w:val="0"/>
                                                              <w:marBottom w:val="0"/>
                                                              <w:divBdr>
                                                                <w:top w:val="none" w:sz="0" w:space="0" w:color="auto"/>
                                                                <w:left w:val="none" w:sz="0" w:space="0" w:color="auto"/>
                                                                <w:bottom w:val="none" w:sz="0" w:space="0" w:color="auto"/>
                                                                <w:right w:val="none" w:sz="0" w:space="0" w:color="auto"/>
                                                              </w:divBdr>
                                                            </w:div>
                                                          </w:divsChild>
                                                        </w:div>
                                                        <w:div w:id="1802577055">
                                                          <w:marLeft w:val="0"/>
                                                          <w:marRight w:val="0"/>
                                                          <w:marTop w:val="0"/>
                                                          <w:marBottom w:val="0"/>
                                                          <w:divBdr>
                                                            <w:top w:val="none" w:sz="0" w:space="0" w:color="auto"/>
                                                            <w:left w:val="none" w:sz="0" w:space="0" w:color="auto"/>
                                                            <w:bottom w:val="none" w:sz="0" w:space="0" w:color="auto"/>
                                                            <w:right w:val="none" w:sz="0" w:space="0" w:color="auto"/>
                                                          </w:divBdr>
                                                          <w:divsChild>
                                                            <w:div w:id="1535071294">
                                                              <w:marLeft w:val="0"/>
                                                              <w:marRight w:val="0"/>
                                                              <w:marTop w:val="0"/>
                                                              <w:marBottom w:val="0"/>
                                                              <w:divBdr>
                                                                <w:top w:val="none" w:sz="0" w:space="0" w:color="auto"/>
                                                                <w:left w:val="none" w:sz="0" w:space="0" w:color="auto"/>
                                                                <w:bottom w:val="none" w:sz="0" w:space="0" w:color="auto"/>
                                                                <w:right w:val="none" w:sz="0" w:space="0" w:color="auto"/>
                                                              </w:divBdr>
                                                            </w:div>
                                                          </w:divsChild>
                                                        </w:div>
                                                        <w:div w:id="1838232474">
                                                          <w:marLeft w:val="0"/>
                                                          <w:marRight w:val="0"/>
                                                          <w:marTop w:val="0"/>
                                                          <w:marBottom w:val="0"/>
                                                          <w:divBdr>
                                                            <w:top w:val="none" w:sz="0" w:space="0" w:color="auto"/>
                                                            <w:left w:val="none" w:sz="0" w:space="0" w:color="auto"/>
                                                            <w:bottom w:val="none" w:sz="0" w:space="0" w:color="auto"/>
                                                            <w:right w:val="none" w:sz="0" w:space="0" w:color="auto"/>
                                                          </w:divBdr>
                                                          <w:divsChild>
                                                            <w:div w:id="896553028">
                                                              <w:marLeft w:val="0"/>
                                                              <w:marRight w:val="0"/>
                                                              <w:marTop w:val="0"/>
                                                              <w:marBottom w:val="0"/>
                                                              <w:divBdr>
                                                                <w:top w:val="none" w:sz="0" w:space="0" w:color="auto"/>
                                                                <w:left w:val="none" w:sz="0" w:space="0" w:color="auto"/>
                                                                <w:bottom w:val="none" w:sz="0" w:space="0" w:color="auto"/>
                                                                <w:right w:val="none" w:sz="0" w:space="0" w:color="auto"/>
                                                              </w:divBdr>
                                                            </w:div>
                                                          </w:divsChild>
                                                        </w:div>
                                                        <w:div w:id="1856377995">
                                                          <w:marLeft w:val="0"/>
                                                          <w:marRight w:val="0"/>
                                                          <w:marTop w:val="0"/>
                                                          <w:marBottom w:val="0"/>
                                                          <w:divBdr>
                                                            <w:top w:val="none" w:sz="0" w:space="0" w:color="auto"/>
                                                            <w:left w:val="none" w:sz="0" w:space="0" w:color="auto"/>
                                                            <w:bottom w:val="none" w:sz="0" w:space="0" w:color="auto"/>
                                                            <w:right w:val="none" w:sz="0" w:space="0" w:color="auto"/>
                                                          </w:divBdr>
                                                          <w:divsChild>
                                                            <w:div w:id="727724292">
                                                              <w:marLeft w:val="0"/>
                                                              <w:marRight w:val="0"/>
                                                              <w:marTop w:val="0"/>
                                                              <w:marBottom w:val="0"/>
                                                              <w:divBdr>
                                                                <w:top w:val="none" w:sz="0" w:space="0" w:color="auto"/>
                                                                <w:left w:val="none" w:sz="0" w:space="0" w:color="auto"/>
                                                                <w:bottom w:val="none" w:sz="0" w:space="0" w:color="auto"/>
                                                                <w:right w:val="none" w:sz="0" w:space="0" w:color="auto"/>
                                                              </w:divBdr>
                                                            </w:div>
                                                          </w:divsChild>
                                                        </w:div>
                                                        <w:div w:id="1857190667">
                                                          <w:marLeft w:val="0"/>
                                                          <w:marRight w:val="0"/>
                                                          <w:marTop w:val="0"/>
                                                          <w:marBottom w:val="0"/>
                                                          <w:divBdr>
                                                            <w:top w:val="none" w:sz="0" w:space="0" w:color="auto"/>
                                                            <w:left w:val="none" w:sz="0" w:space="0" w:color="auto"/>
                                                            <w:bottom w:val="none" w:sz="0" w:space="0" w:color="auto"/>
                                                            <w:right w:val="none" w:sz="0" w:space="0" w:color="auto"/>
                                                          </w:divBdr>
                                                          <w:divsChild>
                                                            <w:div w:id="414867052">
                                                              <w:marLeft w:val="0"/>
                                                              <w:marRight w:val="0"/>
                                                              <w:marTop w:val="0"/>
                                                              <w:marBottom w:val="0"/>
                                                              <w:divBdr>
                                                                <w:top w:val="none" w:sz="0" w:space="0" w:color="auto"/>
                                                                <w:left w:val="none" w:sz="0" w:space="0" w:color="auto"/>
                                                                <w:bottom w:val="none" w:sz="0" w:space="0" w:color="auto"/>
                                                                <w:right w:val="none" w:sz="0" w:space="0" w:color="auto"/>
                                                              </w:divBdr>
                                                            </w:div>
                                                          </w:divsChild>
                                                        </w:div>
                                                        <w:div w:id="1858888896">
                                                          <w:marLeft w:val="0"/>
                                                          <w:marRight w:val="0"/>
                                                          <w:marTop w:val="0"/>
                                                          <w:marBottom w:val="0"/>
                                                          <w:divBdr>
                                                            <w:top w:val="none" w:sz="0" w:space="0" w:color="auto"/>
                                                            <w:left w:val="none" w:sz="0" w:space="0" w:color="auto"/>
                                                            <w:bottom w:val="none" w:sz="0" w:space="0" w:color="auto"/>
                                                            <w:right w:val="none" w:sz="0" w:space="0" w:color="auto"/>
                                                          </w:divBdr>
                                                          <w:divsChild>
                                                            <w:div w:id="1191263319">
                                                              <w:marLeft w:val="0"/>
                                                              <w:marRight w:val="0"/>
                                                              <w:marTop w:val="0"/>
                                                              <w:marBottom w:val="0"/>
                                                              <w:divBdr>
                                                                <w:top w:val="none" w:sz="0" w:space="0" w:color="auto"/>
                                                                <w:left w:val="none" w:sz="0" w:space="0" w:color="auto"/>
                                                                <w:bottom w:val="none" w:sz="0" w:space="0" w:color="auto"/>
                                                                <w:right w:val="none" w:sz="0" w:space="0" w:color="auto"/>
                                                              </w:divBdr>
                                                            </w:div>
                                                          </w:divsChild>
                                                        </w:div>
                                                        <w:div w:id="1863981305">
                                                          <w:marLeft w:val="0"/>
                                                          <w:marRight w:val="0"/>
                                                          <w:marTop w:val="0"/>
                                                          <w:marBottom w:val="0"/>
                                                          <w:divBdr>
                                                            <w:top w:val="none" w:sz="0" w:space="0" w:color="auto"/>
                                                            <w:left w:val="none" w:sz="0" w:space="0" w:color="auto"/>
                                                            <w:bottom w:val="none" w:sz="0" w:space="0" w:color="auto"/>
                                                            <w:right w:val="none" w:sz="0" w:space="0" w:color="auto"/>
                                                          </w:divBdr>
                                                        </w:div>
                                                        <w:div w:id="1867016123">
                                                          <w:marLeft w:val="0"/>
                                                          <w:marRight w:val="0"/>
                                                          <w:marTop w:val="0"/>
                                                          <w:marBottom w:val="0"/>
                                                          <w:divBdr>
                                                            <w:top w:val="none" w:sz="0" w:space="0" w:color="auto"/>
                                                            <w:left w:val="none" w:sz="0" w:space="0" w:color="auto"/>
                                                            <w:bottom w:val="none" w:sz="0" w:space="0" w:color="auto"/>
                                                            <w:right w:val="none" w:sz="0" w:space="0" w:color="auto"/>
                                                          </w:divBdr>
                                                          <w:divsChild>
                                                            <w:div w:id="1834567741">
                                                              <w:marLeft w:val="0"/>
                                                              <w:marRight w:val="0"/>
                                                              <w:marTop w:val="0"/>
                                                              <w:marBottom w:val="0"/>
                                                              <w:divBdr>
                                                                <w:top w:val="none" w:sz="0" w:space="0" w:color="auto"/>
                                                                <w:left w:val="none" w:sz="0" w:space="0" w:color="auto"/>
                                                                <w:bottom w:val="none" w:sz="0" w:space="0" w:color="auto"/>
                                                                <w:right w:val="none" w:sz="0" w:space="0" w:color="auto"/>
                                                              </w:divBdr>
                                                            </w:div>
                                                          </w:divsChild>
                                                        </w:div>
                                                        <w:div w:id="1882159462">
                                                          <w:marLeft w:val="0"/>
                                                          <w:marRight w:val="0"/>
                                                          <w:marTop w:val="0"/>
                                                          <w:marBottom w:val="0"/>
                                                          <w:divBdr>
                                                            <w:top w:val="none" w:sz="0" w:space="0" w:color="auto"/>
                                                            <w:left w:val="none" w:sz="0" w:space="0" w:color="auto"/>
                                                            <w:bottom w:val="none" w:sz="0" w:space="0" w:color="auto"/>
                                                            <w:right w:val="none" w:sz="0" w:space="0" w:color="auto"/>
                                                          </w:divBdr>
                                                          <w:divsChild>
                                                            <w:div w:id="521625603">
                                                              <w:marLeft w:val="0"/>
                                                              <w:marRight w:val="0"/>
                                                              <w:marTop w:val="0"/>
                                                              <w:marBottom w:val="0"/>
                                                              <w:divBdr>
                                                                <w:top w:val="none" w:sz="0" w:space="0" w:color="auto"/>
                                                                <w:left w:val="none" w:sz="0" w:space="0" w:color="auto"/>
                                                                <w:bottom w:val="none" w:sz="0" w:space="0" w:color="auto"/>
                                                                <w:right w:val="none" w:sz="0" w:space="0" w:color="auto"/>
                                                              </w:divBdr>
                                                            </w:div>
                                                          </w:divsChild>
                                                        </w:div>
                                                        <w:div w:id="1885604704">
                                                          <w:marLeft w:val="0"/>
                                                          <w:marRight w:val="0"/>
                                                          <w:marTop w:val="0"/>
                                                          <w:marBottom w:val="0"/>
                                                          <w:divBdr>
                                                            <w:top w:val="none" w:sz="0" w:space="0" w:color="auto"/>
                                                            <w:left w:val="none" w:sz="0" w:space="0" w:color="auto"/>
                                                            <w:bottom w:val="none" w:sz="0" w:space="0" w:color="auto"/>
                                                            <w:right w:val="none" w:sz="0" w:space="0" w:color="auto"/>
                                                          </w:divBdr>
                                                          <w:divsChild>
                                                            <w:div w:id="1870071324">
                                                              <w:marLeft w:val="0"/>
                                                              <w:marRight w:val="0"/>
                                                              <w:marTop w:val="0"/>
                                                              <w:marBottom w:val="0"/>
                                                              <w:divBdr>
                                                                <w:top w:val="none" w:sz="0" w:space="0" w:color="auto"/>
                                                                <w:left w:val="none" w:sz="0" w:space="0" w:color="auto"/>
                                                                <w:bottom w:val="none" w:sz="0" w:space="0" w:color="auto"/>
                                                                <w:right w:val="none" w:sz="0" w:space="0" w:color="auto"/>
                                                              </w:divBdr>
                                                            </w:div>
                                                          </w:divsChild>
                                                        </w:div>
                                                        <w:div w:id="1887060768">
                                                          <w:marLeft w:val="0"/>
                                                          <w:marRight w:val="0"/>
                                                          <w:marTop w:val="0"/>
                                                          <w:marBottom w:val="0"/>
                                                          <w:divBdr>
                                                            <w:top w:val="none" w:sz="0" w:space="0" w:color="auto"/>
                                                            <w:left w:val="none" w:sz="0" w:space="0" w:color="auto"/>
                                                            <w:bottom w:val="none" w:sz="0" w:space="0" w:color="auto"/>
                                                            <w:right w:val="none" w:sz="0" w:space="0" w:color="auto"/>
                                                          </w:divBdr>
                                                          <w:divsChild>
                                                            <w:div w:id="404113556">
                                                              <w:marLeft w:val="0"/>
                                                              <w:marRight w:val="0"/>
                                                              <w:marTop w:val="0"/>
                                                              <w:marBottom w:val="0"/>
                                                              <w:divBdr>
                                                                <w:top w:val="none" w:sz="0" w:space="0" w:color="auto"/>
                                                                <w:left w:val="none" w:sz="0" w:space="0" w:color="auto"/>
                                                                <w:bottom w:val="none" w:sz="0" w:space="0" w:color="auto"/>
                                                                <w:right w:val="none" w:sz="0" w:space="0" w:color="auto"/>
                                                              </w:divBdr>
                                                            </w:div>
                                                          </w:divsChild>
                                                        </w:div>
                                                        <w:div w:id="1903710454">
                                                          <w:marLeft w:val="0"/>
                                                          <w:marRight w:val="0"/>
                                                          <w:marTop w:val="0"/>
                                                          <w:marBottom w:val="0"/>
                                                          <w:divBdr>
                                                            <w:top w:val="none" w:sz="0" w:space="0" w:color="auto"/>
                                                            <w:left w:val="none" w:sz="0" w:space="0" w:color="auto"/>
                                                            <w:bottom w:val="none" w:sz="0" w:space="0" w:color="auto"/>
                                                            <w:right w:val="none" w:sz="0" w:space="0" w:color="auto"/>
                                                          </w:divBdr>
                                                          <w:divsChild>
                                                            <w:div w:id="578563528">
                                                              <w:marLeft w:val="0"/>
                                                              <w:marRight w:val="0"/>
                                                              <w:marTop w:val="0"/>
                                                              <w:marBottom w:val="0"/>
                                                              <w:divBdr>
                                                                <w:top w:val="none" w:sz="0" w:space="0" w:color="auto"/>
                                                                <w:left w:val="none" w:sz="0" w:space="0" w:color="auto"/>
                                                                <w:bottom w:val="none" w:sz="0" w:space="0" w:color="auto"/>
                                                                <w:right w:val="none" w:sz="0" w:space="0" w:color="auto"/>
                                                              </w:divBdr>
                                                            </w:div>
                                                          </w:divsChild>
                                                        </w:div>
                                                        <w:div w:id="1908882972">
                                                          <w:marLeft w:val="0"/>
                                                          <w:marRight w:val="0"/>
                                                          <w:marTop w:val="0"/>
                                                          <w:marBottom w:val="0"/>
                                                          <w:divBdr>
                                                            <w:top w:val="none" w:sz="0" w:space="0" w:color="auto"/>
                                                            <w:left w:val="none" w:sz="0" w:space="0" w:color="auto"/>
                                                            <w:bottom w:val="none" w:sz="0" w:space="0" w:color="auto"/>
                                                            <w:right w:val="none" w:sz="0" w:space="0" w:color="auto"/>
                                                          </w:divBdr>
                                                          <w:divsChild>
                                                            <w:div w:id="59640806">
                                                              <w:marLeft w:val="0"/>
                                                              <w:marRight w:val="0"/>
                                                              <w:marTop w:val="0"/>
                                                              <w:marBottom w:val="0"/>
                                                              <w:divBdr>
                                                                <w:top w:val="none" w:sz="0" w:space="0" w:color="auto"/>
                                                                <w:left w:val="none" w:sz="0" w:space="0" w:color="auto"/>
                                                                <w:bottom w:val="none" w:sz="0" w:space="0" w:color="auto"/>
                                                                <w:right w:val="none" w:sz="0" w:space="0" w:color="auto"/>
                                                              </w:divBdr>
                                                            </w:div>
                                                          </w:divsChild>
                                                        </w:div>
                                                        <w:div w:id="1921334189">
                                                          <w:marLeft w:val="0"/>
                                                          <w:marRight w:val="0"/>
                                                          <w:marTop w:val="0"/>
                                                          <w:marBottom w:val="0"/>
                                                          <w:divBdr>
                                                            <w:top w:val="none" w:sz="0" w:space="0" w:color="auto"/>
                                                            <w:left w:val="none" w:sz="0" w:space="0" w:color="auto"/>
                                                            <w:bottom w:val="none" w:sz="0" w:space="0" w:color="auto"/>
                                                            <w:right w:val="none" w:sz="0" w:space="0" w:color="auto"/>
                                                          </w:divBdr>
                                                        </w:div>
                                                        <w:div w:id="1921789434">
                                                          <w:marLeft w:val="0"/>
                                                          <w:marRight w:val="0"/>
                                                          <w:marTop w:val="0"/>
                                                          <w:marBottom w:val="0"/>
                                                          <w:divBdr>
                                                            <w:top w:val="none" w:sz="0" w:space="0" w:color="auto"/>
                                                            <w:left w:val="none" w:sz="0" w:space="0" w:color="auto"/>
                                                            <w:bottom w:val="none" w:sz="0" w:space="0" w:color="auto"/>
                                                            <w:right w:val="none" w:sz="0" w:space="0" w:color="auto"/>
                                                          </w:divBdr>
                                                          <w:divsChild>
                                                            <w:div w:id="1476532979">
                                                              <w:marLeft w:val="0"/>
                                                              <w:marRight w:val="0"/>
                                                              <w:marTop w:val="0"/>
                                                              <w:marBottom w:val="0"/>
                                                              <w:divBdr>
                                                                <w:top w:val="none" w:sz="0" w:space="0" w:color="auto"/>
                                                                <w:left w:val="none" w:sz="0" w:space="0" w:color="auto"/>
                                                                <w:bottom w:val="none" w:sz="0" w:space="0" w:color="auto"/>
                                                                <w:right w:val="none" w:sz="0" w:space="0" w:color="auto"/>
                                                              </w:divBdr>
                                                            </w:div>
                                                          </w:divsChild>
                                                        </w:div>
                                                        <w:div w:id="1922329425">
                                                          <w:marLeft w:val="0"/>
                                                          <w:marRight w:val="0"/>
                                                          <w:marTop w:val="0"/>
                                                          <w:marBottom w:val="0"/>
                                                          <w:divBdr>
                                                            <w:top w:val="none" w:sz="0" w:space="0" w:color="auto"/>
                                                            <w:left w:val="none" w:sz="0" w:space="0" w:color="auto"/>
                                                            <w:bottom w:val="none" w:sz="0" w:space="0" w:color="auto"/>
                                                            <w:right w:val="none" w:sz="0" w:space="0" w:color="auto"/>
                                                          </w:divBdr>
                                                        </w:div>
                                                        <w:div w:id="1944023437">
                                                          <w:marLeft w:val="0"/>
                                                          <w:marRight w:val="0"/>
                                                          <w:marTop w:val="0"/>
                                                          <w:marBottom w:val="0"/>
                                                          <w:divBdr>
                                                            <w:top w:val="none" w:sz="0" w:space="0" w:color="auto"/>
                                                            <w:left w:val="none" w:sz="0" w:space="0" w:color="auto"/>
                                                            <w:bottom w:val="none" w:sz="0" w:space="0" w:color="auto"/>
                                                            <w:right w:val="none" w:sz="0" w:space="0" w:color="auto"/>
                                                          </w:divBdr>
                                                          <w:divsChild>
                                                            <w:div w:id="1283614830">
                                                              <w:marLeft w:val="0"/>
                                                              <w:marRight w:val="0"/>
                                                              <w:marTop w:val="0"/>
                                                              <w:marBottom w:val="0"/>
                                                              <w:divBdr>
                                                                <w:top w:val="none" w:sz="0" w:space="0" w:color="auto"/>
                                                                <w:left w:val="none" w:sz="0" w:space="0" w:color="auto"/>
                                                                <w:bottom w:val="none" w:sz="0" w:space="0" w:color="auto"/>
                                                                <w:right w:val="none" w:sz="0" w:space="0" w:color="auto"/>
                                                              </w:divBdr>
                                                            </w:div>
                                                          </w:divsChild>
                                                        </w:div>
                                                        <w:div w:id="1944191997">
                                                          <w:marLeft w:val="0"/>
                                                          <w:marRight w:val="0"/>
                                                          <w:marTop w:val="0"/>
                                                          <w:marBottom w:val="0"/>
                                                          <w:divBdr>
                                                            <w:top w:val="none" w:sz="0" w:space="0" w:color="auto"/>
                                                            <w:left w:val="none" w:sz="0" w:space="0" w:color="auto"/>
                                                            <w:bottom w:val="none" w:sz="0" w:space="0" w:color="auto"/>
                                                            <w:right w:val="none" w:sz="0" w:space="0" w:color="auto"/>
                                                          </w:divBdr>
                                                          <w:divsChild>
                                                            <w:div w:id="1896307141">
                                                              <w:marLeft w:val="0"/>
                                                              <w:marRight w:val="0"/>
                                                              <w:marTop w:val="0"/>
                                                              <w:marBottom w:val="0"/>
                                                              <w:divBdr>
                                                                <w:top w:val="none" w:sz="0" w:space="0" w:color="auto"/>
                                                                <w:left w:val="none" w:sz="0" w:space="0" w:color="auto"/>
                                                                <w:bottom w:val="none" w:sz="0" w:space="0" w:color="auto"/>
                                                                <w:right w:val="none" w:sz="0" w:space="0" w:color="auto"/>
                                                              </w:divBdr>
                                                            </w:div>
                                                          </w:divsChild>
                                                        </w:div>
                                                        <w:div w:id="1947613891">
                                                          <w:marLeft w:val="0"/>
                                                          <w:marRight w:val="0"/>
                                                          <w:marTop w:val="0"/>
                                                          <w:marBottom w:val="0"/>
                                                          <w:divBdr>
                                                            <w:top w:val="none" w:sz="0" w:space="0" w:color="auto"/>
                                                            <w:left w:val="none" w:sz="0" w:space="0" w:color="auto"/>
                                                            <w:bottom w:val="none" w:sz="0" w:space="0" w:color="auto"/>
                                                            <w:right w:val="none" w:sz="0" w:space="0" w:color="auto"/>
                                                          </w:divBdr>
                                                          <w:divsChild>
                                                            <w:div w:id="2061902410">
                                                              <w:marLeft w:val="0"/>
                                                              <w:marRight w:val="0"/>
                                                              <w:marTop w:val="0"/>
                                                              <w:marBottom w:val="0"/>
                                                              <w:divBdr>
                                                                <w:top w:val="none" w:sz="0" w:space="0" w:color="auto"/>
                                                                <w:left w:val="none" w:sz="0" w:space="0" w:color="auto"/>
                                                                <w:bottom w:val="none" w:sz="0" w:space="0" w:color="auto"/>
                                                                <w:right w:val="none" w:sz="0" w:space="0" w:color="auto"/>
                                                              </w:divBdr>
                                                            </w:div>
                                                          </w:divsChild>
                                                        </w:div>
                                                        <w:div w:id="1948805636">
                                                          <w:marLeft w:val="0"/>
                                                          <w:marRight w:val="0"/>
                                                          <w:marTop w:val="0"/>
                                                          <w:marBottom w:val="0"/>
                                                          <w:divBdr>
                                                            <w:top w:val="none" w:sz="0" w:space="0" w:color="auto"/>
                                                            <w:left w:val="none" w:sz="0" w:space="0" w:color="auto"/>
                                                            <w:bottom w:val="none" w:sz="0" w:space="0" w:color="auto"/>
                                                            <w:right w:val="none" w:sz="0" w:space="0" w:color="auto"/>
                                                          </w:divBdr>
                                                        </w:div>
                                                        <w:div w:id="1954357076">
                                                          <w:marLeft w:val="0"/>
                                                          <w:marRight w:val="0"/>
                                                          <w:marTop w:val="0"/>
                                                          <w:marBottom w:val="0"/>
                                                          <w:divBdr>
                                                            <w:top w:val="none" w:sz="0" w:space="0" w:color="auto"/>
                                                            <w:left w:val="none" w:sz="0" w:space="0" w:color="auto"/>
                                                            <w:bottom w:val="none" w:sz="0" w:space="0" w:color="auto"/>
                                                            <w:right w:val="none" w:sz="0" w:space="0" w:color="auto"/>
                                                          </w:divBdr>
                                                          <w:divsChild>
                                                            <w:div w:id="1895043787">
                                                              <w:marLeft w:val="0"/>
                                                              <w:marRight w:val="0"/>
                                                              <w:marTop w:val="0"/>
                                                              <w:marBottom w:val="0"/>
                                                              <w:divBdr>
                                                                <w:top w:val="none" w:sz="0" w:space="0" w:color="auto"/>
                                                                <w:left w:val="none" w:sz="0" w:space="0" w:color="auto"/>
                                                                <w:bottom w:val="none" w:sz="0" w:space="0" w:color="auto"/>
                                                                <w:right w:val="none" w:sz="0" w:space="0" w:color="auto"/>
                                                              </w:divBdr>
                                                            </w:div>
                                                          </w:divsChild>
                                                        </w:div>
                                                        <w:div w:id="1968463361">
                                                          <w:marLeft w:val="0"/>
                                                          <w:marRight w:val="0"/>
                                                          <w:marTop w:val="0"/>
                                                          <w:marBottom w:val="0"/>
                                                          <w:divBdr>
                                                            <w:top w:val="none" w:sz="0" w:space="0" w:color="auto"/>
                                                            <w:left w:val="none" w:sz="0" w:space="0" w:color="auto"/>
                                                            <w:bottom w:val="none" w:sz="0" w:space="0" w:color="auto"/>
                                                            <w:right w:val="none" w:sz="0" w:space="0" w:color="auto"/>
                                                          </w:divBdr>
                                                          <w:divsChild>
                                                            <w:div w:id="31615954">
                                                              <w:marLeft w:val="0"/>
                                                              <w:marRight w:val="0"/>
                                                              <w:marTop w:val="0"/>
                                                              <w:marBottom w:val="0"/>
                                                              <w:divBdr>
                                                                <w:top w:val="none" w:sz="0" w:space="0" w:color="auto"/>
                                                                <w:left w:val="none" w:sz="0" w:space="0" w:color="auto"/>
                                                                <w:bottom w:val="none" w:sz="0" w:space="0" w:color="auto"/>
                                                                <w:right w:val="none" w:sz="0" w:space="0" w:color="auto"/>
                                                              </w:divBdr>
                                                            </w:div>
                                                          </w:divsChild>
                                                        </w:div>
                                                        <w:div w:id="1969046727">
                                                          <w:marLeft w:val="0"/>
                                                          <w:marRight w:val="0"/>
                                                          <w:marTop w:val="0"/>
                                                          <w:marBottom w:val="0"/>
                                                          <w:divBdr>
                                                            <w:top w:val="none" w:sz="0" w:space="0" w:color="auto"/>
                                                            <w:left w:val="none" w:sz="0" w:space="0" w:color="auto"/>
                                                            <w:bottom w:val="none" w:sz="0" w:space="0" w:color="auto"/>
                                                            <w:right w:val="none" w:sz="0" w:space="0" w:color="auto"/>
                                                          </w:divBdr>
                                                          <w:divsChild>
                                                            <w:div w:id="2131438661">
                                                              <w:marLeft w:val="0"/>
                                                              <w:marRight w:val="0"/>
                                                              <w:marTop w:val="0"/>
                                                              <w:marBottom w:val="0"/>
                                                              <w:divBdr>
                                                                <w:top w:val="none" w:sz="0" w:space="0" w:color="auto"/>
                                                                <w:left w:val="none" w:sz="0" w:space="0" w:color="auto"/>
                                                                <w:bottom w:val="none" w:sz="0" w:space="0" w:color="auto"/>
                                                                <w:right w:val="none" w:sz="0" w:space="0" w:color="auto"/>
                                                              </w:divBdr>
                                                            </w:div>
                                                          </w:divsChild>
                                                        </w:div>
                                                        <w:div w:id="1984650611">
                                                          <w:marLeft w:val="0"/>
                                                          <w:marRight w:val="0"/>
                                                          <w:marTop w:val="0"/>
                                                          <w:marBottom w:val="0"/>
                                                          <w:divBdr>
                                                            <w:top w:val="none" w:sz="0" w:space="0" w:color="auto"/>
                                                            <w:left w:val="none" w:sz="0" w:space="0" w:color="auto"/>
                                                            <w:bottom w:val="none" w:sz="0" w:space="0" w:color="auto"/>
                                                            <w:right w:val="none" w:sz="0" w:space="0" w:color="auto"/>
                                                          </w:divBdr>
                                                          <w:divsChild>
                                                            <w:div w:id="720398163">
                                                              <w:marLeft w:val="0"/>
                                                              <w:marRight w:val="0"/>
                                                              <w:marTop w:val="0"/>
                                                              <w:marBottom w:val="0"/>
                                                              <w:divBdr>
                                                                <w:top w:val="none" w:sz="0" w:space="0" w:color="auto"/>
                                                                <w:left w:val="none" w:sz="0" w:space="0" w:color="auto"/>
                                                                <w:bottom w:val="none" w:sz="0" w:space="0" w:color="auto"/>
                                                                <w:right w:val="none" w:sz="0" w:space="0" w:color="auto"/>
                                                              </w:divBdr>
                                                            </w:div>
                                                          </w:divsChild>
                                                        </w:div>
                                                        <w:div w:id="2001880898">
                                                          <w:marLeft w:val="0"/>
                                                          <w:marRight w:val="0"/>
                                                          <w:marTop w:val="0"/>
                                                          <w:marBottom w:val="0"/>
                                                          <w:divBdr>
                                                            <w:top w:val="none" w:sz="0" w:space="0" w:color="auto"/>
                                                            <w:left w:val="none" w:sz="0" w:space="0" w:color="auto"/>
                                                            <w:bottom w:val="none" w:sz="0" w:space="0" w:color="auto"/>
                                                            <w:right w:val="none" w:sz="0" w:space="0" w:color="auto"/>
                                                          </w:divBdr>
                                                          <w:divsChild>
                                                            <w:div w:id="933779362">
                                                              <w:marLeft w:val="0"/>
                                                              <w:marRight w:val="0"/>
                                                              <w:marTop w:val="0"/>
                                                              <w:marBottom w:val="0"/>
                                                              <w:divBdr>
                                                                <w:top w:val="none" w:sz="0" w:space="0" w:color="auto"/>
                                                                <w:left w:val="none" w:sz="0" w:space="0" w:color="auto"/>
                                                                <w:bottom w:val="none" w:sz="0" w:space="0" w:color="auto"/>
                                                                <w:right w:val="none" w:sz="0" w:space="0" w:color="auto"/>
                                                              </w:divBdr>
                                                            </w:div>
                                                          </w:divsChild>
                                                        </w:div>
                                                        <w:div w:id="2001959457">
                                                          <w:marLeft w:val="0"/>
                                                          <w:marRight w:val="0"/>
                                                          <w:marTop w:val="0"/>
                                                          <w:marBottom w:val="0"/>
                                                          <w:divBdr>
                                                            <w:top w:val="none" w:sz="0" w:space="0" w:color="auto"/>
                                                            <w:left w:val="none" w:sz="0" w:space="0" w:color="auto"/>
                                                            <w:bottom w:val="none" w:sz="0" w:space="0" w:color="auto"/>
                                                            <w:right w:val="none" w:sz="0" w:space="0" w:color="auto"/>
                                                          </w:divBdr>
                                                          <w:divsChild>
                                                            <w:div w:id="410542677">
                                                              <w:marLeft w:val="0"/>
                                                              <w:marRight w:val="0"/>
                                                              <w:marTop w:val="0"/>
                                                              <w:marBottom w:val="0"/>
                                                              <w:divBdr>
                                                                <w:top w:val="none" w:sz="0" w:space="0" w:color="auto"/>
                                                                <w:left w:val="none" w:sz="0" w:space="0" w:color="auto"/>
                                                                <w:bottom w:val="none" w:sz="0" w:space="0" w:color="auto"/>
                                                                <w:right w:val="none" w:sz="0" w:space="0" w:color="auto"/>
                                                              </w:divBdr>
                                                            </w:div>
                                                          </w:divsChild>
                                                        </w:div>
                                                        <w:div w:id="2012178804">
                                                          <w:marLeft w:val="0"/>
                                                          <w:marRight w:val="0"/>
                                                          <w:marTop w:val="0"/>
                                                          <w:marBottom w:val="0"/>
                                                          <w:divBdr>
                                                            <w:top w:val="none" w:sz="0" w:space="0" w:color="auto"/>
                                                            <w:left w:val="none" w:sz="0" w:space="0" w:color="auto"/>
                                                            <w:bottom w:val="none" w:sz="0" w:space="0" w:color="auto"/>
                                                            <w:right w:val="none" w:sz="0" w:space="0" w:color="auto"/>
                                                          </w:divBdr>
                                                          <w:divsChild>
                                                            <w:div w:id="1140076040">
                                                              <w:marLeft w:val="0"/>
                                                              <w:marRight w:val="0"/>
                                                              <w:marTop w:val="0"/>
                                                              <w:marBottom w:val="0"/>
                                                              <w:divBdr>
                                                                <w:top w:val="none" w:sz="0" w:space="0" w:color="auto"/>
                                                                <w:left w:val="none" w:sz="0" w:space="0" w:color="auto"/>
                                                                <w:bottom w:val="none" w:sz="0" w:space="0" w:color="auto"/>
                                                                <w:right w:val="none" w:sz="0" w:space="0" w:color="auto"/>
                                                              </w:divBdr>
                                                            </w:div>
                                                          </w:divsChild>
                                                        </w:div>
                                                        <w:div w:id="2016878430">
                                                          <w:marLeft w:val="0"/>
                                                          <w:marRight w:val="0"/>
                                                          <w:marTop w:val="0"/>
                                                          <w:marBottom w:val="0"/>
                                                          <w:divBdr>
                                                            <w:top w:val="none" w:sz="0" w:space="0" w:color="auto"/>
                                                            <w:left w:val="none" w:sz="0" w:space="0" w:color="auto"/>
                                                            <w:bottom w:val="none" w:sz="0" w:space="0" w:color="auto"/>
                                                            <w:right w:val="none" w:sz="0" w:space="0" w:color="auto"/>
                                                          </w:divBdr>
                                                          <w:divsChild>
                                                            <w:div w:id="870068267">
                                                              <w:marLeft w:val="0"/>
                                                              <w:marRight w:val="0"/>
                                                              <w:marTop w:val="0"/>
                                                              <w:marBottom w:val="0"/>
                                                              <w:divBdr>
                                                                <w:top w:val="none" w:sz="0" w:space="0" w:color="auto"/>
                                                                <w:left w:val="none" w:sz="0" w:space="0" w:color="auto"/>
                                                                <w:bottom w:val="none" w:sz="0" w:space="0" w:color="auto"/>
                                                                <w:right w:val="none" w:sz="0" w:space="0" w:color="auto"/>
                                                              </w:divBdr>
                                                            </w:div>
                                                          </w:divsChild>
                                                        </w:div>
                                                        <w:div w:id="2018147123">
                                                          <w:marLeft w:val="0"/>
                                                          <w:marRight w:val="0"/>
                                                          <w:marTop w:val="0"/>
                                                          <w:marBottom w:val="0"/>
                                                          <w:divBdr>
                                                            <w:top w:val="none" w:sz="0" w:space="0" w:color="auto"/>
                                                            <w:left w:val="none" w:sz="0" w:space="0" w:color="auto"/>
                                                            <w:bottom w:val="none" w:sz="0" w:space="0" w:color="auto"/>
                                                            <w:right w:val="none" w:sz="0" w:space="0" w:color="auto"/>
                                                          </w:divBdr>
                                                          <w:divsChild>
                                                            <w:div w:id="1395851874">
                                                              <w:marLeft w:val="0"/>
                                                              <w:marRight w:val="0"/>
                                                              <w:marTop w:val="0"/>
                                                              <w:marBottom w:val="0"/>
                                                              <w:divBdr>
                                                                <w:top w:val="none" w:sz="0" w:space="0" w:color="auto"/>
                                                                <w:left w:val="none" w:sz="0" w:space="0" w:color="auto"/>
                                                                <w:bottom w:val="none" w:sz="0" w:space="0" w:color="auto"/>
                                                                <w:right w:val="none" w:sz="0" w:space="0" w:color="auto"/>
                                                              </w:divBdr>
                                                            </w:div>
                                                          </w:divsChild>
                                                        </w:div>
                                                        <w:div w:id="2022582850">
                                                          <w:marLeft w:val="0"/>
                                                          <w:marRight w:val="0"/>
                                                          <w:marTop w:val="0"/>
                                                          <w:marBottom w:val="0"/>
                                                          <w:divBdr>
                                                            <w:top w:val="none" w:sz="0" w:space="0" w:color="auto"/>
                                                            <w:left w:val="none" w:sz="0" w:space="0" w:color="auto"/>
                                                            <w:bottom w:val="none" w:sz="0" w:space="0" w:color="auto"/>
                                                            <w:right w:val="none" w:sz="0" w:space="0" w:color="auto"/>
                                                          </w:divBdr>
                                                          <w:divsChild>
                                                            <w:div w:id="667708477">
                                                              <w:marLeft w:val="0"/>
                                                              <w:marRight w:val="0"/>
                                                              <w:marTop w:val="0"/>
                                                              <w:marBottom w:val="0"/>
                                                              <w:divBdr>
                                                                <w:top w:val="none" w:sz="0" w:space="0" w:color="auto"/>
                                                                <w:left w:val="none" w:sz="0" w:space="0" w:color="auto"/>
                                                                <w:bottom w:val="none" w:sz="0" w:space="0" w:color="auto"/>
                                                                <w:right w:val="none" w:sz="0" w:space="0" w:color="auto"/>
                                                              </w:divBdr>
                                                            </w:div>
                                                          </w:divsChild>
                                                        </w:div>
                                                        <w:div w:id="2031451204">
                                                          <w:marLeft w:val="0"/>
                                                          <w:marRight w:val="0"/>
                                                          <w:marTop w:val="0"/>
                                                          <w:marBottom w:val="0"/>
                                                          <w:divBdr>
                                                            <w:top w:val="none" w:sz="0" w:space="0" w:color="auto"/>
                                                            <w:left w:val="none" w:sz="0" w:space="0" w:color="auto"/>
                                                            <w:bottom w:val="none" w:sz="0" w:space="0" w:color="auto"/>
                                                            <w:right w:val="none" w:sz="0" w:space="0" w:color="auto"/>
                                                          </w:divBdr>
                                                          <w:divsChild>
                                                            <w:div w:id="1371684514">
                                                              <w:marLeft w:val="0"/>
                                                              <w:marRight w:val="0"/>
                                                              <w:marTop w:val="0"/>
                                                              <w:marBottom w:val="0"/>
                                                              <w:divBdr>
                                                                <w:top w:val="none" w:sz="0" w:space="0" w:color="auto"/>
                                                                <w:left w:val="none" w:sz="0" w:space="0" w:color="auto"/>
                                                                <w:bottom w:val="none" w:sz="0" w:space="0" w:color="auto"/>
                                                                <w:right w:val="none" w:sz="0" w:space="0" w:color="auto"/>
                                                              </w:divBdr>
                                                            </w:div>
                                                          </w:divsChild>
                                                        </w:div>
                                                        <w:div w:id="2032997743">
                                                          <w:marLeft w:val="0"/>
                                                          <w:marRight w:val="0"/>
                                                          <w:marTop w:val="0"/>
                                                          <w:marBottom w:val="0"/>
                                                          <w:divBdr>
                                                            <w:top w:val="none" w:sz="0" w:space="0" w:color="auto"/>
                                                            <w:left w:val="none" w:sz="0" w:space="0" w:color="auto"/>
                                                            <w:bottom w:val="none" w:sz="0" w:space="0" w:color="auto"/>
                                                            <w:right w:val="none" w:sz="0" w:space="0" w:color="auto"/>
                                                          </w:divBdr>
                                                          <w:divsChild>
                                                            <w:div w:id="1877966770">
                                                              <w:marLeft w:val="0"/>
                                                              <w:marRight w:val="0"/>
                                                              <w:marTop w:val="0"/>
                                                              <w:marBottom w:val="0"/>
                                                              <w:divBdr>
                                                                <w:top w:val="none" w:sz="0" w:space="0" w:color="auto"/>
                                                                <w:left w:val="none" w:sz="0" w:space="0" w:color="auto"/>
                                                                <w:bottom w:val="none" w:sz="0" w:space="0" w:color="auto"/>
                                                                <w:right w:val="none" w:sz="0" w:space="0" w:color="auto"/>
                                                              </w:divBdr>
                                                            </w:div>
                                                          </w:divsChild>
                                                        </w:div>
                                                        <w:div w:id="2045903996">
                                                          <w:marLeft w:val="0"/>
                                                          <w:marRight w:val="0"/>
                                                          <w:marTop w:val="0"/>
                                                          <w:marBottom w:val="0"/>
                                                          <w:divBdr>
                                                            <w:top w:val="none" w:sz="0" w:space="0" w:color="auto"/>
                                                            <w:left w:val="none" w:sz="0" w:space="0" w:color="auto"/>
                                                            <w:bottom w:val="none" w:sz="0" w:space="0" w:color="auto"/>
                                                            <w:right w:val="none" w:sz="0" w:space="0" w:color="auto"/>
                                                          </w:divBdr>
                                                          <w:divsChild>
                                                            <w:div w:id="1605922877">
                                                              <w:marLeft w:val="0"/>
                                                              <w:marRight w:val="0"/>
                                                              <w:marTop w:val="0"/>
                                                              <w:marBottom w:val="0"/>
                                                              <w:divBdr>
                                                                <w:top w:val="none" w:sz="0" w:space="0" w:color="auto"/>
                                                                <w:left w:val="none" w:sz="0" w:space="0" w:color="auto"/>
                                                                <w:bottom w:val="none" w:sz="0" w:space="0" w:color="auto"/>
                                                                <w:right w:val="none" w:sz="0" w:space="0" w:color="auto"/>
                                                              </w:divBdr>
                                                            </w:div>
                                                          </w:divsChild>
                                                        </w:div>
                                                        <w:div w:id="2055226956">
                                                          <w:marLeft w:val="0"/>
                                                          <w:marRight w:val="0"/>
                                                          <w:marTop w:val="0"/>
                                                          <w:marBottom w:val="0"/>
                                                          <w:divBdr>
                                                            <w:top w:val="none" w:sz="0" w:space="0" w:color="auto"/>
                                                            <w:left w:val="none" w:sz="0" w:space="0" w:color="auto"/>
                                                            <w:bottom w:val="none" w:sz="0" w:space="0" w:color="auto"/>
                                                            <w:right w:val="none" w:sz="0" w:space="0" w:color="auto"/>
                                                          </w:divBdr>
                                                          <w:divsChild>
                                                            <w:div w:id="1143818051">
                                                              <w:marLeft w:val="0"/>
                                                              <w:marRight w:val="0"/>
                                                              <w:marTop w:val="0"/>
                                                              <w:marBottom w:val="0"/>
                                                              <w:divBdr>
                                                                <w:top w:val="none" w:sz="0" w:space="0" w:color="auto"/>
                                                                <w:left w:val="none" w:sz="0" w:space="0" w:color="auto"/>
                                                                <w:bottom w:val="none" w:sz="0" w:space="0" w:color="auto"/>
                                                                <w:right w:val="none" w:sz="0" w:space="0" w:color="auto"/>
                                                              </w:divBdr>
                                                            </w:div>
                                                          </w:divsChild>
                                                        </w:div>
                                                        <w:div w:id="2055494268">
                                                          <w:marLeft w:val="0"/>
                                                          <w:marRight w:val="0"/>
                                                          <w:marTop w:val="0"/>
                                                          <w:marBottom w:val="0"/>
                                                          <w:divBdr>
                                                            <w:top w:val="none" w:sz="0" w:space="0" w:color="auto"/>
                                                            <w:left w:val="none" w:sz="0" w:space="0" w:color="auto"/>
                                                            <w:bottom w:val="none" w:sz="0" w:space="0" w:color="auto"/>
                                                            <w:right w:val="none" w:sz="0" w:space="0" w:color="auto"/>
                                                          </w:divBdr>
                                                          <w:divsChild>
                                                            <w:div w:id="176848241">
                                                              <w:marLeft w:val="0"/>
                                                              <w:marRight w:val="0"/>
                                                              <w:marTop w:val="0"/>
                                                              <w:marBottom w:val="0"/>
                                                              <w:divBdr>
                                                                <w:top w:val="none" w:sz="0" w:space="0" w:color="auto"/>
                                                                <w:left w:val="none" w:sz="0" w:space="0" w:color="auto"/>
                                                                <w:bottom w:val="none" w:sz="0" w:space="0" w:color="auto"/>
                                                                <w:right w:val="none" w:sz="0" w:space="0" w:color="auto"/>
                                                              </w:divBdr>
                                                            </w:div>
                                                          </w:divsChild>
                                                        </w:div>
                                                        <w:div w:id="2055696806">
                                                          <w:marLeft w:val="0"/>
                                                          <w:marRight w:val="0"/>
                                                          <w:marTop w:val="0"/>
                                                          <w:marBottom w:val="0"/>
                                                          <w:divBdr>
                                                            <w:top w:val="none" w:sz="0" w:space="0" w:color="auto"/>
                                                            <w:left w:val="none" w:sz="0" w:space="0" w:color="auto"/>
                                                            <w:bottom w:val="none" w:sz="0" w:space="0" w:color="auto"/>
                                                            <w:right w:val="none" w:sz="0" w:space="0" w:color="auto"/>
                                                          </w:divBdr>
                                                          <w:divsChild>
                                                            <w:div w:id="1958365225">
                                                              <w:marLeft w:val="0"/>
                                                              <w:marRight w:val="0"/>
                                                              <w:marTop w:val="0"/>
                                                              <w:marBottom w:val="0"/>
                                                              <w:divBdr>
                                                                <w:top w:val="none" w:sz="0" w:space="0" w:color="auto"/>
                                                                <w:left w:val="none" w:sz="0" w:space="0" w:color="auto"/>
                                                                <w:bottom w:val="none" w:sz="0" w:space="0" w:color="auto"/>
                                                                <w:right w:val="none" w:sz="0" w:space="0" w:color="auto"/>
                                                              </w:divBdr>
                                                            </w:div>
                                                          </w:divsChild>
                                                        </w:div>
                                                        <w:div w:id="2059666045">
                                                          <w:marLeft w:val="0"/>
                                                          <w:marRight w:val="0"/>
                                                          <w:marTop w:val="0"/>
                                                          <w:marBottom w:val="0"/>
                                                          <w:divBdr>
                                                            <w:top w:val="none" w:sz="0" w:space="0" w:color="auto"/>
                                                            <w:left w:val="none" w:sz="0" w:space="0" w:color="auto"/>
                                                            <w:bottom w:val="none" w:sz="0" w:space="0" w:color="auto"/>
                                                            <w:right w:val="none" w:sz="0" w:space="0" w:color="auto"/>
                                                          </w:divBdr>
                                                          <w:divsChild>
                                                            <w:div w:id="1853835592">
                                                              <w:marLeft w:val="0"/>
                                                              <w:marRight w:val="0"/>
                                                              <w:marTop w:val="0"/>
                                                              <w:marBottom w:val="0"/>
                                                              <w:divBdr>
                                                                <w:top w:val="none" w:sz="0" w:space="0" w:color="auto"/>
                                                                <w:left w:val="none" w:sz="0" w:space="0" w:color="auto"/>
                                                                <w:bottom w:val="none" w:sz="0" w:space="0" w:color="auto"/>
                                                                <w:right w:val="none" w:sz="0" w:space="0" w:color="auto"/>
                                                              </w:divBdr>
                                                            </w:div>
                                                          </w:divsChild>
                                                        </w:div>
                                                        <w:div w:id="2073263977">
                                                          <w:marLeft w:val="0"/>
                                                          <w:marRight w:val="0"/>
                                                          <w:marTop w:val="0"/>
                                                          <w:marBottom w:val="0"/>
                                                          <w:divBdr>
                                                            <w:top w:val="none" w:sz="0" w:space="0" w:color="auto"/>
                                                            <w:left w:val="none" w:sz="0" w:space="0" w:color="auto"/>
                                                            <w:bottom w:val="none" w:sz="0" w:space="0" w:color="auto"/>
                                                            <w:right w:val="none" w:sz="0" w:space="0" w:color="auto"/>
                                                          </w:divBdr>
                                                          <w:divsChild>
                                                            <w:div w:id="836001655">
                                                              <w:marLeft w:val="0"/>
                                                              <w:marRight w:val="0"/>
                                                              <w:marTop w:val="0"/>
                                                              <w:marBottom w:val="0"/>
                                                              <w:divBdr>
                                                                <w:top w:val="none" w:sz="0" w:space="0" w:color="auto"/>
                                                                <w:left w:val="none" w:sz="0" w:space="0" w:color="auto"/>
                                                                <w:bottom w:val="none" w:sz="0" w:space="0" w:color="auto"/>
                                                                <w:right w:val="none" w:sz="0" w:space="0" w:color="auto"/>
                                                              </w:divBdr>
                                                            </w:div>
                                                          </w:divsChild>
                                                        </w:div>
                                                        <w:div w:id="2080403382">
                                                          <w:marLeft w:val="0"/>
                                                          <w:marRight w:val="0"/>
                                                          <w:marTop w:val="0"/>
                                                          <w:marBottom w:val="0"/>
                                                          <w:divBdr>
                                                            <w:top w:val="none" w:sz="0" w:space="0" w:color="auto"/>
                                                            <w:left w:val="none" w:sz="0" w:space="0" w:color="auto"/>
                                                            <w:bottom w:val="none" w:sz="0" w:space="0" w:color="auto"/>
                                                            <w:right w:val="none" w:sz="0" w:space="0" w:color="auto"/>
                                                          </w:divBdr>
                                                          <w:divsChild>
                                                            <w:div w:id="1257010528">
                                                              <w:marLeft w:val="0"/>
                                                              <w:marRight w:val="0"/>
                                                              <w:marTop w:val="0"/>
                                                              <w:marBottom w:val="0"/>
                                                              <w:divBdr>
                                                                <w:top w:val="none" w:sz="0" w:space="0" w:color="auto"/>
                                                                <w:left w:val="none" w:sz="0" w:space="0" w:color="auto"/>
                                                                <w:bottom w:val="none" w:sz="0" w:space="0" w:color="auto"/>
                                                                <w:right w:val="none" w:sz="0" w:space="0" w:color="auto"/>
                                                              </w:divBdr>
                                                            </w:div>
                                                          </w:divsChild>
                                                        </w:div>
                                                        <w:div w:id="2080707655">
                                                          <w:marLeft w:val="0"/>
                                                          <w:marRight w:val="0"/>
                                                          <w:marTop w:val="0"/>
                                                          <w:marBottom w:val="0"/>
                                                          <w:divBdr>
                                                            <w:top w:val="none" w:sz="0" w:space="0" w:color="auto"/>
                                                            <w:left w:val="none" w:sz="0" w:space="0" w:color="auto"/>
                                                            <w:bottom w:val="none" w:sz="0" w:space="0" w:color="auto"/>
                                                            <w:right w:val="none" w:sz="0" w:space="0" w:color="auto"/>
                                                          </w:divBdr>
                                                          <w:divsChild>
                                                            <w:div w:id="631517641">
                                                              <w:marLeft w:val="0"/>
                                                              <w:marRight w:val="0"/>
                                                              <w:marTop w:val="0"/>
                                                              <w:marBottom w:val="0"/>
                                                              <w:divBdr>
                                                                <w:top w:val="none" w:sz="0" w:space="0" w:color="auto"/>
                                                                <w:left w:val="none" w:sz="0" w:space="0" w:color="auto"/>
                                                                <w:bottom w:val="none" w:sz="0" w:space="0" w:color="auto"/>
                                                                <w:right w:val="none" w:sz="0" w:space="0" w:color="auto"/>
                                                              </w:divBdr>
                                                            </w:div>
                                                          </w:divsChild>
                                                        </w:div>
                                                        <w:div w:id="2085566249">
                                                          <w:marLeft w:val="0"/>
                                                          <w:marRight w:val="0"/>
                                                          <w:marTop w:val="0"/>
                                                          <w:marBottom w:val="0"/>
                                                          <w:divBdr>
                                                            <w:top w:val="none" w:sz="0" w:space="0" w:color="auto"/>
                                                            <w:left w:val="none" w:sz="0" w:space="0" w:color="auto"/>
                                                            <w:bottom w:val="none" w:sz="0" w:space="0" w:color="auto"/>
                                                            <w:right w:val="none" w:sz="0" w:space="0" w:color="auto"/>
                                                          </w:divBdr>
                                                          <w:divsChild>
                                                            <w:div w:id="1351100412">
                                                              <w:marLeft w:val="0"/>
                                                              <w:marRight w:val="0"/>
                                                              <w:marTop w:val="0"/>
                                                              <w:marBottom w:val="0"/>
                                                              <w:divBdr>
                                                                <w:top w:val="none" w:sz="0" w:space="0" w:color="auto"/>
                                                                <w:left w:val="none" w:sz="0" w:space="0" w:color="auto"/>
                                                                <w:bottom w:val="none" w:sz="0" w:space="0" w:color="auto"/>
                                                                <w:right w:val="none" w:sz="0" w:space="0" w:color="auto"/>
                                                              </w:divBdr>
                                                            </w:div>
                                                          </w:divsChild>
                                                        </w:div>
                                                        <w:div w:id="2088794912">
                                                          <w:marLeft w:val="0"/>
                                                          <w:marRight w:val="0"/>
                                                          <w:marTop w:val="0"/>
                                                          <w:marBottom w:val="0"/>
                                                          <w:divBdr>
                                                            <w:top w:val="none" w:sz="0" w:space="0" w:color="auto"/>
                                                            <w:left w:val="none" w:sz="0" w:space="0" w:color="auto"/>
                                                            <w:bottom w:val="none" w:sz="0" w:space="0" w:color="auto"/>
                                                            <w:right w:val="none" w:sz="0" w:space="0" w:color="auto"/>
                                                          </w:divBdr>
                                                          <w:divsChild>
                                                            <w:div w:id="27027596">
                                                              <w:marLeft w:val="0"/>
                                                              <w:marRight w:val="0"/>
                                                              <w:marTop w:val="0"/>
                                                              <w:marBottom w:val="0"/>
                                                              <w:divBdr>
                                                                <w:top w:val="none" w:sz="0" w:space="0" w:color="auto"/>
                                                                <w:left w:val="none" w:sz="0" w:space="0" w:color="auto"/>
                                                                <w:bottom w:val="none" w:sz="0" w:space="0" w:color="auto"/>
                                                                <w:right w:val="none" w:sz="0" w:space="0" w:color="auto"/>
                                                              </w:divBdr>
                                                            </w:div>
                                                          </w:divsChild>
                                                        </w:div>
                                                        <w:div w:id="2095853937">
                                                          <w:marLeft w:val="0"/>
                                                          <w:marRight w:val="0"/>
                                                          <w:marTop w:val="0"/>
                                                          <w:marBottom w:val="0"/>
                                                          <w:divBdr>
                                                            <w:top w:val="none" w:sz="0" w:space="0" w:color="auto"/>
                                                            <w:left w:val="none" w:sz="0" w:space="0" w:color="auto"/>
                                                            <w:bottom w:val="none" w:sz="0" w:space="0" w:color="auto"/>
                                                            <w:right w:val="none" w:sz="0" w:space="0" w:color="auto"/>
                                                          </w:divBdr>
                                                          <w:divsChild>
                                                            <w:div w:id="1566911471">
                                                              <w:marLeft w:val="0"/>
                                                              <w:marRight w:val="0"/>
                                                              <w:marTop w:val="0"/>
                                                              <w:marBottom w:val="0"/>
                                                              <w:divBdr>
                                                                <w:top w:val="none" w:sz="0" w:space="0" w:color="auto"/>
                                                                <w:left w:val="none" w:sz="0" w:space="0" w:color="auto"/>
                                                                <w:bottom w:val="none" w:sz="0" w:space="0" w:color="auto"/>
                                                                <w:right w:val="none" w:sz="0" w:space="0" w:color="auto"/>
                                                              </w:divBdr>
                                                            </w:div>
                                                          </w:divsChild>
                                                        </w:div>
                                                        <w:div w:id="2104689424">
                                                          <w:marLeft w:val="0"/>
                                                          <w:marRight w:val="0"/>
                                                          <w:marTop w:val="0"/>
                                                          <w:marBottom w:val="0"/>
                                                          <w:divBdr>
                                                            <w:top w:val="none" w:sz="0" w:space="0" w:color="auto"/>
                                                            <w:left w:val="none" w:sz="0" w:space="0" w:color="auto"/>
                                                            <w:bottom w:val="none" w:sz="0" w:space="0" w:color="auto"/>
                                                            <w:right w:val="none" w:sz="0" w:space="0" w:color="auto"/>
                                                          </w:divBdr>
                                                          <w:divsChild>
                                                            <w:div w:id="236674154">
                                                              <w:marLeft w:val="0"/>
                                                              <w:marRight w:val="0"/>
                                                              <w:marTop w:val="0"/>
                                                              <w:marBottom w:val="0"/>
                                                              <w:divBdr>
                                                                <w:top w:val="none" w:sz="0" w:space="0" w:color="auto"/>
                                                                <w:left w:val="none" w:sz="0" w:space="0" w:color="auto"/>
                                                                <w:bottom w:val="none" w:sz="0" w:space="0" w:color="auto"/>
                                                                <w:right w:val="none" w:sz="0" w:space="0" w:color="auto"/>
                                                              </w:divBdr>
                                                            </w:div>
                                                          </w:divsChild>
                                                        </w:div>
                                                        <w:div w:id="2106412322">
                                                          <w:marLeft w:val="0"/>
                                                          <w:marRight w:val="0"/>
                                                          <w:marTop w:val="0"/>
                                                          <w:marBottom w:val="0"/>
                                                          <w:divBdr>
                                                            <w:top w:val="none" w:sz="0" w:space="0" w:color="auto"/>
                                                            <w:left w:val="none" w:sz="0" w:space="0" w:color="auto"/>
                                                            <w:bottom w:val="none" w:sz="0" w:space="0" w:color="auto"/>
                                                            <w:right w:val="none" w:sz="0" w:space="0" w:color="auto"/>
                                                          </w:divBdr>
                                                          <w:divsChild>
                                                            <w:div w:id="46878642">
                                                              <w:marLeft w:val="0"/>
                                                              <w:marRight w:val="0"/>
                                                              <w:marTop w:val="0"/>
                                                              <w:marBottom w:val="0"/>
                                                              <w:divBdr>
                                                                <w:top w:val="none" w:sz="0" w:space="0" w:color="auto"/>
                                                                <w:left w:val="none" w:sz="0" w:space="0" w:color="auto"/>
                                                                <w:bottom w:val="none" w:sz="0" w:space="0" w:color="auto"/>
                                                                <w:right w:val="none" w:sz="0" w:space="0" w:color="auto"/>
                                                              </w:divBdr>
                                                            </w:div>
                                                          </w:divsChild>
                                                        </w:div>
                                                        <w:div w:id="2123111527">
                                                          <w:marLeft w:val="0"/>
                                                          <w:marRight w:val="0"/>
                                                          <w:marTop w:val="0"/>
                                                          <w:marBottom w:val="0"/>
                                                          <w:divBdr>
                                                            <w:top w:val="none" w:sz="0" w:space="0" w:color="auto"/>
                                                            <w:left w:val="none" w:sz="0" w:space="0" w:color="auto"/>
                                                            <w:bottom w:val="none" w:sz="0" w:space="0" w:color="auto"/>
                                                            <w:right w:val="none" w:sz="0" w:space="0" w:color="auto"/>
                                                          </w:divBdr>
                                                          <w:divsChild>
                                                            <w:div w:id="1267687994">
                                                              <w:marLeft w:val="0"/>
                                                              <w:marRight w:val="0"/>
                                                              <w:marTop w:val="0"/>
                                                              <w:marBottom w:val="0"/>
                                                              <w:divBdr>
                                                                <w:top w:val="none" w:sz="0" w:space="0" w:color="auto"/>
                                                                <w:left w:val="none" w:sz="0" w:space="0" w:color="auto"/>
                                                                <w:bottom w:val="none" w:sz="0" w:space="0" w:color="auto"/>
                                                                <w:right w:val="none" w:sz="0" w:space="0" w:color="auto"/>
                                                              </w:divBdr>
                                                            </w:div>
                                                          </w:divsChild>
                                                        </w:div>
                                                        <w:div w:id="2123566871">
                                                          <w:marLeft w:val="0"/>
                                                          <w:marRight w:val="0"/>
                                                          <w:marTop w:val="0"/>
                                                          <w:marBottom w:val="0"/>
                                                          <w:divBdr>
                                                            <w:top w:val="none" w:sz="0" w:space="0" w:color="auto"/>
                                                            <w:left w:val="none" w:sz="0" w:space="0" w:color="auto"/>
                                                            <w:bottom w:val="none" w:sz="0" w:space="0" w:color="auto"/>
                                                            <w:right w:val="none" w:sz="0" w:space="0" w:color="auto"/>
                                                          </w:divBdr>
                                                        </w:div>
                                                        <w:div w:id="2131051102">
                                                          <w:marLeft w:val="0"/>
                                                          <w:marRight w:val="0"/>
                                                          <w:marTop w:val="0"/>
                                                          <w:marBottom w:val="0"/>
                                                          <w:divBdr>
                                                            <w:top w:val="none" w:sz="0" w:space="0" w:color="auto"/>
                                                            <w:left w:val="none" w:sz="0" w:space="0" w:color="auto"/>
                                                            <w:bottom w:val="none" w:sz="0" w:space="0" w:color="auto"/>
                                                            <w:right w:val="none" w:sz="0" w:space="0" w:color="auto"/>
                                                          </w:divBdr>
                                                          <w:divsChild>
                                                            <w:div w:id="593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4132">
                                                      <w:marLeft w:val="0"/>
                                                      <w:marRight w:val="0"/>
                                                      <w:marTop w:val="0"/>
                                                      <w:marBottom w:val="0"/>
                                                      <w:divBdr>
                                                        <w:top w:val="none" w:sz="0" w:space="0" w:color="auto"/>
                                                        <w:left w:val="none" w:sz="0" w:space="0" w:color="auto"/>
                                                        <w:bottom w:val="none" w:sz="0" w:space="0" w:color="auto"/>
                                                        <w:right w:val="none" w:sz="0" w:space="0" w:color="auto"/>
                                                      </w:divBdr>
                                                      <w:divsChild>
                                                        <w:div w:id="304697352">
                                                          <w:marLeft w:val="0"/>
                                                          <w:marRight w:val="0"/>
                                                          <w:marTop w:val="0"/>
                                                          <w:marBottom w:val="0"/>
                                                          <w:divBdr>
                                                            <w:top w:val="none" w:sz="0" w:space="0" w:color="auto"/>
                                                            <w:left w:val="none" w:sz="0" w:space="0" w:color="auto"/>
                                                            <w:bottom w:val="none" w:sz="0" w:space="0" w:color="auto"/>
                                                            <w:right w:val="none" w:sz="0" w:space="0" w:color="auto"/>
                                                          </w:divBdr>
                                                          <w:divsChild>
                                                            <w:div w:id="4495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0056">
                                                      <w:marLeft w:val="0"/>
                                                      <w:marRight w:val="0"/>
                                                      <w:marTop w:val="0"/>
                                                      <w:marBottom w:val="0"/>
                                                      <w:divBdr>
                                                        <w:top w:val="none" w:sz="0" w:space="0" w:color="auto"/>
                                                        <w:left w:val="none" w:sz="0" w:space="0" w:color="auto"/>
                                                        <w:bottom w:val="none" w:sz="0" w:space="0" w:color="auto"/>
                                                        <w:right w:val="none" w:sz="0" w:space="0" w:color="auto"/>
                                                      </w:divBdr>
                                                      <w:divsChild>
                                                        <w:div w:id="2130202038">
                                                          <w:marLeft w:val="0"/>
                                                          <w:marRight w:val="0"/>
                                                          <w:marTop w:val="0"/>
                                                          <w:marBottom w:val="0"/>
                                                          <w:divBdr>
                                                            <w:top w:val="none" w:sz="0" w:space="0" w:color="auto"/>
                                                            <w:left w:val="none" w:sz="0" w:space="0" w:color="auto"/>
                                                            <w:bottom w:val="none" w:sz="0" w:space="0" w:color="auto"/>
                                                            <w:right w:val="none" w:sz="0" w:space="0" w:color="auto"/>
                                                          </w:divBdr>
                                                          <w:divsChild>
                                                            <w:div w:id="96176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044083">
                                          <w:marLeft w:val="1200"/>
                                          <w:marRight w:val="1200"/>
                                          <w:marTop w:val="0"/>
                                          <w:marBottom w:val="0"/>
                                          <w:divBdr>
                                            <w:top w:val="none" w:sz="0" w:space="0" w:color="auto"/>
                                            <w:left w:val="none" w:sz="0" w:space="0" w:color="auto"/>
                                            <w:bottom w:val="none" w:sz="0" w:space="0" w:color="auto"/>
                                            <w:right w:val="none" w:sz="0" w:space="0" w:color="auto"/>
                                          </w:divBdr>
                                          <w:divsChild>
                                            <w:div w:id="1392146055">
                                              <w:marLeft w:val="0"/>
                                              <w:marRight w:val="0"/>
                                              <w:marTop w:val="0"/>
                                              <w:marBottom w:val="0"/>
                                              <w:divBdr>
                                                <w:top w:val="single" w:sz="6" w:space="0" w:color="E0A401"/>
                                                <w:left w:val="single" w:sz="6" w:space="0" w:color="E0A401"/>
                                                <w:bottom w:val="single" w:sz="2" w:space="0" w:color="E0A401"/>
                                                <w:right w:val="single" w:sz="6" w:space="0" w:color="E0A401"/>
                                              </w:divBdr>
                                              <w:divsChild>
                                                <w:div w:id="790590471">
                                                  <w:marLeft w:val="0"/>
                                                  <w:marRight w:val="0"/>
                                                  <w:marTop w:val="0"/>
                                                  <w:marBottom w:val="0"/>
                                                  <w:divBdr>
                                                    <w:top w:val="none" w:sz="0" w:space="0" w:color="auto"/>
                                                    <w:left w:val="none" w:sz="0" w:space="0" w:color="auto"/>
                                                    <w:bottom w:val="none" w:sz="0" w:space="0" w:color="auto"/>
                                                    <w:right w:val="none" w:sz="0" w:space="0" w:color="auto"/>
                                                  </w:divBdr>
                                                  <w:divsChild>
                                                    <w:div w:id="72537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388290">
                                  <w:marLeft w:val="0"/>
                                  <w:marRight w:val="0"/>
                                  <w:marTop w:val="0"/>
                                  <w:marBottom w:val="0"/>
                                  <w:divBdr>
                                    <w:top w:val="none" w:sz="0" w:space="0" w:color="auto"/>
                                    <w:left w:val="none" w:sz="0" w:space="0" w:color="auto"/>
                                    <w:bottom w:val="none" w:sz="0" w:space="0" w:color="auto"/>
                                    <w:right w:val="none" w:sz="0" w:space="0" w:color="auto"/>
                                  </w:divBdr>
                                  <w:divsChild>
                                    <w:div w:id="620305315">
                                      <w:marLeft w:val="0"/>
                                      <w:marRight w:val="0"/>
                                      <w:marTop w:val="0"/>
                                      <w:marBottom w:val="240"/>
                                      <w:divBdr>
                                        <w:top w:val="single" w:sz="6" w:space="0" w:color="FEDA73"/>
                                        <w:left w:val="single" w:sz="6" w:space="0" w:color="FEDA73"/>
                                        <w:bottom w:val="single" w:sz="6" w:space="0" w:color="FEDA73"/>
                                        <w:right w:val="single" w:sz="6" w:space="0" w:color="FEDA73"/>
                                      </w:divBdr>
                                      <w:divsChild>
                                        <w:div w:id="1057626602">
                                          <w:marLeft w:val="0"/>
                                          <w:marRight w:val="0"/>
                                          <w:marTop w:val="0"/>
                                          <w:marBottom w:val="0"/>
                                          <w:divBdr>
                                            <w:top w:val="none" w:sz="0" w:space="0" w:color="auto"/>
                                            <w:left w:val="none" w:sz="0" w:space="0" w:color="auto"/>
                                            <w:bottom w:val="none" w:sz="0" w:space="0" w:color="auto"/>
                                            <w:right w:val="none" w:sz="0" w:space="0" w:color="auto"/>
                                          </w:divBdr>
                                          <w:divsChild>
                                            <w:div w:id="741294306">
                                              <w:marLeft w:val="0"/>
                                              <w:marRight w:val="0"/>
                                              <w:marTop w:val="0"/>
                                              <w:marBottom w:val="0"/>
                                              <w:divBdr>
                                                <w:top w:val="none" w:sz="0" w:space="0" w:color="auto"/>
                                                <w:left w:val="none" w:sz="0" w:space="0" w:color="auto"/>
                                                <w:bottom w:val="none" w:sz="0" w:space="0" w:color="auto"/>
                                                <w:right w:val="none" w:sz="0" w:space="0" w:color="auto"/>
                                              </w:divBdr>
                                              <w:divsChild>
                                                <w:div w:id="875970195">
                                                  <w:marLeft w:val="0"/>
                                                  <w:marRight w:val="0"/>
                                                  <w:marTop w:val="0"/>
                                                  <w:marBottom w:val="0"/>
                                                  <w:divBdr>
                                                    <w:top w:val="none" w:sz="0" w:space="0" w:color="auto"/>
                                                    <w:left w:val="none" w:sz="0" w:space="0" w:color="auto"/>
                                                    <w:bottom w:val="none" w:sz="0" w:space="0" w:color="auto"/>
                                                    <w:right w:val="none" w:sz="0" w:space="0" w:color="auto"/>
                                                  </w:divBdr>
                                                  <w:divsChild>
                                                    <w:div w:id="18737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13305">
                                  <w:marLeft w:val="0"/>
                                  <w:marRight w:val="0"/>
                                  <w:marTop w:val="0"/>
                                  <w:marBottom w:val="0"/>
                                  <w:divBdr>
                                    <w:top w:val="none" w:sz="0" w:space="0" w:color="auto"/>
                                    <w:left w:val="none" w:sz="0" w:space="0" w:color="auto"/>
                                    <w:bottom w:val="none" w:sz="0" w:space="0" w:color="auto"/>
                                    <w:right w:val="none" w:sz="0" w:space="0" w:color="auto"/>
                                  </w:divBdr>
                                  <w:divsChild>
                                    <w:div w:id="2087265576">
                                      <w:marLeft w:val="0"/>
                                      <w:marRight w:val="0"/>
                                      <w:marTop w:val="135"/>
                                      <w:marBottom w:val="0"/>
                                      <w:divBdr>
                                        <w:top w:val="none" w:sz="0" w:space="0" w:color="auto"/>
                                        <w:left w:val="none" w:sz="0" w:space="0" w:color="auto"/>
                                        <w:bottom w:val="none" w:sz="0" w:space="0" w:color="auto"/>
                                        <w:right w:val="none" w:sz="0" w:space="0" w:color="auto"/>
                                      </w:divBdr>
                                      <w:divsChild>
                                        <w:div w:id="958536165">
                                          <w:marLeft w:val="0"/>
                                          <w:marRight w:val="0"/>
                                          <w:marTop w:val="0"/>
                                          <w:marBottom w:val="0"/>
                                          <w:divBdr>
                                            <w:top w:val="none" w:sz="0" w:space="0" w:color="auto"/>
                                            <w:left w:val="none" w:sz="0" w:space="0" w:color="auto"/>
                                            <w:bottom w:val="none" w:sz="0" w:space="0" w:color="auto"/>
                                            <w:right w:val="none" w:sz="0" w:space="0" w:color="auto"/>
                                          </w:divBdr>
                                          <w:divsChild>
                                            <w:div w:id="287469654">
                                              <w:marLeft w:val="0"/>
                                              <w:marRight w:val="0"/>
                                              <w:marTop w:val="0"/>
                                              <w:marBottom w:val="0"/>
                                              <w:divBdr>
                                                <w:top w:val="none" w:sz="0" w:space="0" w:color="auto"/>
                                                <w:left w:val="none" w:sz="0" w:space="0" w:color="auto"/>
                                                <w:bottom w:val="none" w:sz="0" w:space="0" w:color="auto"/>
                                                <w:right w:val="none" w:sz="0" w:space="0" w:color="auto"/>
                                              </w:divBdr>
                                              <w:divsChild>
                                                <w:div w:id="477187628">
                                                  <w:marLeft w:val="0"/>
                                                  <w:marRight w:val="0"/>
                                                  <w:marTop w:val="0"/>
                                                  <w:marBottom w:val="0"/>
                                                  <w:divBdr>
                                                    <w:top w:val="none" w:sz="0" w:space="0" w:color="auto"/>
                                                    <w:left w:val="none" w:sz="0" w:space="0" w:color="auto"/>
                                                    <w:bottom w:val="none" w:sz="0" w:space="0" w:color="auto"/>
                                                    <w:right w:val="none" w:sz="0" w:space="0" w:color="auto"/>
                                                  </w:divBdr>
                                                  <w:divsChild>
                                                    <w:div w:id="11076521">
                                                      <w:marLeft w:val="0"/>
                                                      <w:marRight w:val="0"/>
                                                      <w:marTop w:val="0"/>
                                                      <w:marBottom w:val="0"/>
                                                      <w:divBdr>
                                                        <w:top w:val="none" w:sz="0" w:space="0" w:color="auto"/>
                                                        <w:left w:val="none" w:sz="0" w:space="0" w:color="auto"/>
                                                        <w:bottom w:val="none" w:sz="0" w:space="0" w:color="auto"/>
                                                        <w:right w:val="none" w:sz="0" w:space="0" w:color="auto"/>
                                                      </w:divBdr>
                                                      <w:divsChild>
                                                        <w:div w:id="1597204317">
                                                          <w:marLeft w:val="0"/>
                                                          <w:marRight w:val="0"/>
                                                          <w:marTop w:val="0"/>
                                                          <w:marBottom w:val="0"/>
                                                          <w:divBdr>
                                                            <w:top w:val="none" w:sz="0" w:space="0" w:color="auto"/>
                                                            <w:left w:val="none" w:sz="0" w:space="0" w:color="auto"/>
                                                            <w:bottom w:val="none" w:sz="0" w:space="0" w:color="auto"/>
                                                            <w:right w:val="none" w:sz="0" w:space="0" w:color="auto"/>
                                                          </w:divBdr>
                                                          <w:divsChild>
                                                            <w:div w:id="619648641">
                                                              <w:marLeft w:val="0"/>
                                                              <w:marRight w:val="0"/>
                                                              <w:marTop w:val="0"/>
                                                              <w:marBottom w:val="0"/>
                                                              <w:divBdr>
                                                                <w:top w:val="none" w:sz="0" w:space="0" w:color="auto"/>
                                                                <w:left w:val="none" w:sz="0" w:space="0" w:color="auto"/>
                                                                <w:bottom w:val="none" w:sz="0" w:space="0" w:color="auto"/>
                                                                <w:right w:val="none" w:sz="0" w:space="0" w:color="auto"/>
                                                              </w:divBdr>
                                                              <w:divsChild>
                                                                <w:div w:id="1027607780">
                                                                  <w:marLeft w:val="0"/>
                                                                  <w:marRight w:val="0"/>
                                                                  <w:marTop w:val="0"/>
                                                                  <w:marBottom w:val="0"/>
                                                                  <w:divBdr>
                                                                    <w:top w:val="none" w:sz="0" w:space="0" w:color="auto"/>
                                                                    <w:left w:val="none" w:sz="0" w:space="0" w:color="auto"/>
                                                                    <w:bottom w:val="none" w:sz="0" w:space="0" w:color="auto"/>
                                                                    <w:right w:val="none" w:sz="0" w:space="0" w:color="auto"/>
                                                                  </w:divBdr>
                                                                  <w:divsChild>
                                                                    <w:div w:id="1950429906">
                                                                      <w:marLeft w:val="0"/>
                                                                      <w:marRight w:val="0"/>
                                                                      <w:marTop w:val="0"/>
                                                                      <w:marBottom w:val="0"/>
                                                                      <w:divBdr>
                                                                        <w:top w:val="none" w:sz="0" w:space="0" w:color="auto"/>
                                                                        <w:left w:val="none" w:sz="0" w:space="0" w:color="auto"/>
                                                                        <w:bottom w:val="none" w:sz="0" w:space="0" w:color="auto"/>
                                                                        <w:right w:val="none" w:sz="0" w:space="0" w:color="auto"/>
                                                                      </w:divBdr>
                                                                      <w:divsChild>
                                                                        <w:div w:id="675500301">
                                                                          <w:marLeft w:val="0"/>
                                                                          <w:marRight w:val="0"/>
                                                                          <w:marTop w:val="0"/>
                                                                          <w:marBottom w:val="0"/>
                                                                          <w:divBdr>
                                                                            <w:top w:val="none" w:sz="0" w:space="0" w:color="auto"/>
                                                                            <w:left w:val="none" w:sz="0" w:space="0" w:color="auto"/>
                                                                            <w:bottom w:val="none" w:sz="0" w:space="0" w:color="auto"/>
                                                                            <w:right w:val="none" w:sz="0" w:space="0" w:color="auto"/>
                                                                          </w:divBdr>
                                                                          <w:divsChild>
                                                                            <w:div w:id="1853105638">
                                                                              <w:marLeft w:val="0"/>
                                                                              <w:marRight w:val="0"/>
                                                                              <w:marTop w:val="0"/>
                                                                              <w:marBottom w:val="0"/>
                                                                              <w:divBdr>
                                                                                <w:top w:val="none" w:sz="0" w:space="0" w:color="auto"/>
                                                                                <w:left w:val="none" w:sz="0" w:space="0" w:color="auto"/>
                                                                                <w:bottom w:val="none" w:sz="0" w:space="0" w:color="auto"/>
                                                                                <w:right w:val="none" w:sz="0" w:space="0" w:color="auto"/>
                                                                              </w:divBdr>
                                                                              <w:divsChild>
                                                                                <w:div w:id="2111386293">
                                                                                  <w:marLeft w:val="0"/>
                                                                                  <w:marRight w:val="0"/>
                                                                                  <w:marTop w:val="0"/>
                                                                                  <w:marBottom w:val="0"/>
                                                                                  <w:divBdr>
                                                                                    <w:top w:val="none" w:sz="0" w:space="0" w:color="auto"/>
                                                                                    <w:left w:val="none" w:sz="0" w:space="0" w:color="auto"/>
                                                                                    <w:bottom w:val="none" w:sz="0" w:space="0" w:color="auto"/>
                                                                                    <w:right w:val="none" w:sz="0" w:space="0" w:color="auto"/>
                                                                                  </w:divBdr>
                                                                                  <w:divsChild>
                                                                                    <w:div w:id="1747267697">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965381422">
                                                                              <w:marLeft w:val="0"/>
                                                                              <w:marRight w:val="0"/>
                                                                              <w:marTop w:val="0"/>
                                                                              <w:marBottom w:val="0"/>
                                                                              <w:divBdr>
                                                                                <w:top w:val="none" w:sz="0" w:space="0" w:color="auto"/>
                                                                                <w:left w:val="none" w:sz="0" w:space="0" w:color="auto"/>
                                                                                <w:bottom w:val="none" w:sz="0" w:space="0" w:color="auto"/>
                                                                                <w:right w:val="none" w:sz="0" w:space="0" w:color="auto"/>
                                                                              </w:divBdr>
                                                                            </w:div>
                                                                          </w:divsChild>
                                                                        </w:div>
                                                                        <w:div w:id="1561283662">
                                                                          <w:marLeft w:val="0"/>
                                                                          <w:marRight w:val="0"/>
                                                                          <w:marTop w:val="0"/>
                                                                          <w:marBottom w:val="0"/>
                                                                          <w:divBdr>
                                                                            <w:top w:val="none" w:sz="0" w:space="0" w:color="auto"/>
                                                                            <w:left w:val="none" w:sz="0" w:space="0" w:color="auto"/>
                                                                            <w:bottom w:val="none" w:sz="0" w:space="0" w:color="auto"/>
                                                                            <w:right w:val="none" w:sz="0" w:space="0" w:color="auto"/>
                                                                          </w:divBdr>
                                                                          <w:divsChild>
                                                                            <w:div w:id="20395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046727">
                                                      <w:marLeft w:val="0"/>
                                                      <w:marRight w:val="0"/>
                                                      <w:marTop w:val="0"/>
                                                      <w:marBottom w:val="0"/>
                                                      <w:divBdr>
                                                        <w:top w:val="none" w:sz="0" w:space="0" w:color="auto"/>
                                                        <w:left w:val="none" w:sz="0" w:space="0" w:color="auto"/>
                                                        <w:bottom w:val="none" w:sz="0" w:space="0" w:color="auto"/>
                                                        <w:right w:val="none" w:sz="0" w:space="0" w:color="auto"/>
                                                      </w:divBdr>
                                                    </w:div>
                                                    <w:div w:id="921568953">
                                                      <w:marLeft w:val="0"/>
                                                      <w:marRight w:val="0"/>
                                                      <w:marTop w:val="0"/>
                                                      <w:marBottom w:val="0"/>
                                                      <w:divBdr>
                                                        <w:top w:val="none" w:sz="0" w:space="0" w:color="auto"/>
                                                        <w:left w:val="none" w:sz="0" w:space="0" w:color="auto"/>
                                                        <w:bottom w:val="none" w:sz="0" w:space="0" w:color="auto"/>
                                                        <w:right w:val="none" w:sz="0" w:space="0" w:color="auto"/>
                                                      </w:divBdr>
                                                      <w:divsChild>
                                                        <w:div w:id="912158215">
                                                          <w:marLeft w:val="0"/>
                                                          <w:marRight w:val="0"/>
                                                          <w:marTop w:val="0"/>
                                                          <w:marBottom w:val="0"/>
                                                          <w:divBdr>
                                                            <w:top w:val="single" w:sz="6" w:space="5" w:color="CCCCCC"/>
                                                            <w:left w:val="none" w:sz="0" w:space="0" w:color="auto"/>
                                                            <w:bottom w:val="none" w:sz="0" w:space="0" w:color="auto"/>
                                                            <w:right w:val="none" w:sz="0" w:space="0" w:color="auto"/>
                                                          </w:divBdr>
                                                          <w:divsChild>
                                                            <w:div w:id="13006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6722">
                                                      <w:marLeft w:val="0"/>
                                                      <w:marRight w:val="0"/>
                                                      <w:marTop w:val="0"/>
                                                      <w:marBottom w:val="0"/>
                                                      <w:divBdr>
                                                        <w:top w:val="none" w:sz="0" w:space="0" w:color="auto"/>
                                                        <w:left w:val="none" w:sz="0" w:space="0" w:color="auto"/>
                                                        <w:bottom w:val="none" w:sz="0" w:space="0" w:color="auto"/>
                                                        <w:right w:val="none" w:sz="0" w:space="0" w:color="auto"/>
                                                      </w:divBdr>
                                                      <w:divsChild>
                                                        <w:div w:id="250437496">
                                                          <w:marLeft w:val="0"/>
                                                          <w:marRight w:val="0"/>
                                                          <w:marTop w:val="0"/>
                                                          <w:marBottom w:val="0"/>
                                                          <w:divBdr>
                                                            <w:top w:val="single" w:sz="6" w:space="2" w:color="D1D1D1"/>
                                                            <w:left w:val="single" w:sz="6" w:space="3" w:color="D1D1D1"/>
                                                            <w:bottom w:val="single" w:sz="6" w:space="1" w:color="D1D1D1"/>
                                                            <w:right w:val="single" w:sz="6" w:space="3" w:color="D1D1D1"/>
                                                          </w:divBdr>
                                                        </w:div>
                                                        <w:div w:id="652954097">
                                                          <w:marLeft w:val="0"/>
                                                          <w:marRight w:val="0"/>
                                                          <w:marTop w:val="0"/>
                                                          <w:marBottom w:val="0"/>
                                                          <w:divBdr>
                                                            <w:top w:val="single" w:sz="6" w:space="2" w:color="C9C9C9"/>
                                                            <w:left w:val="single" w:sz="6" w:space="8" w:color="C9C9C9"/>
                                                            <w:bottom w:val="single" w:sz="6" w:space="2" w:color="C9C9C9"/>
                                                            <w:right w:val="single" w:sz="6" w:space="8" w:color="C9C9C9"/>
                                                          </w:divBdr>
                                                        </w:div>
                                                      </w:divsChild>
                                                    </w:div>
                                                    <w:div w:id="1119452451">
                                                      <w:marLeft w:val="0"/>
                                                      <w:marRight w:val="0"/>
                                                      <w:marTop w:val="0"/>
                                                      <w:marBottom w:val="0"/>
                                                      <w:divBdr>
                                                        <w:top w:val="none" w:sz="0" w:space="0" w:color="auto"/>
                                                        <w:left w:val="none" w:sz="0" w:space="0" w:color="auto"/>
                                                        <w:bottom w:val="none" w:sz="0" w:space="0" w:color="auto"/>
                                                        <w:right w:val="none" w:sz="0" w:space="0" w:color="auto"/>
                                                      </w:divBdr>
                                                      <w:divsChild>
                                                        <w:div w:id="1708138276">
                                                          <w:marLeft w:val="0"/>
                                                          <w:marRight w:val="0"/>
                                                          <w:marTop w:val="0"/>
                                                          <w:marBottom w:val="0"/>
                                                          <w:divBdr>
                                                            <w:top w:val="none" w:sz="0" w:space="0" w:color="auto"/>
                                                            <w:left w:val="none" w:sz="0" w:space="0" w:color="auto"/>
                                                            <w:bottom w:val="none" w:sz="0" w:space="0" w:color="auto"/>
                                                            <w:right w:val="none" w:sz="0" w:space="0" w:color="auto"/>
                                                          </w:divBdr>
                                                        </w:div>
                                                      </w:divsChild>
                                                    </w:div>
                                                    <w:div w:id="1380401662">
                                                      <w:marLeft w:val="0"/>
                                                      <w:marRight w:val="0"/>
                                                      <w:marTop w:val="0"/>
                                                      <w:marBottom w:val="0"/>
                                                      <w:divBdr>
                                                        <w:top w:val="none" w:sz="0" w:space="0" w:color="auto"/>
                                                        <w:left w:val="none" w:sz="0" w:space="0" w:color="auto"/>
                                                        <w:bottom w:val="none" w:sz="0" w:space="0" w:color="auto"/>
                                                        <w:right w:val="none" w:sz="0" w:space="0" w:color="auto"/>
                                                      </w:divBdr>
                                                    </w:div>
                                                    <w:div w:id="1661229914">
                                                      <w:marLeft w:val="0"/>
                                                      <w:marRight w:val="0"/>
                                                      <w:marTop w:val="0"/>
                                                      <w:marBottom w:val="0"/>
                                                      <w:divBdr>
                                                        <w:top w:val="none" w:sz="0" w:space="0" w:color="auto"/>
                                                        <w:left w:val="none" w:sz="0" w:space="0" w:color="auto"/>
                                                        <w:bottom w:val="none" w:sz="0" w:space="0" w:color="auto"/>
                                                        <w:right w:val="none" w:sz="0" w:space="0" w:color="auto"/>
                                                      </w:divBdr>
                                                      <w:divsChild>
                                                        <w:div w:id="950011203">
                                                          <w:marLeft w:val="0"/>
                                                          <w:marRight w:val="0"/>
                                                          <w:marTop w:val="0"/>
                                                          <w:marBottom w:val="0"/>
                                                          <w:divBdr>
                                                            <w:top w:val="none" w:sz="0" w:space="0" w:color="auto"/>
                                                            <w:left w:val="none" w:sz="0" w:space="0" w:color="auto"/>
                                                            <w:bottom w:val="none" w:sz="0" w:space="0" w:color="auto"/>
                                                            <w:right w:val="none" w:sz="0" w:space="0" w:color="auto"/>
                                                          </w:divBdr>
                                                          <w:divsChild>
                                                            <w:div w:id="12856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7649568">
      <w:bodyDiv w:val="1"/>
      <w:marLeft w:val="0"/>
      <w:marRight w:val="0"/>
      <w:marTop w:val="0"/>
      <w:marBottom w:val="0"/>
      <w:divBdr>
        <w:top w:val="none" w:sz="0" w:space="0" w:color="auto"/>
        <w:left w:val="none" w:sz="0" w:space="0" w:color="auto"/>
        <w:bottom w:val="none" w:sz="0" w:space="0" w:color="auto"/>
        <w:right w:val="none" w:sz="0" w:space="0" w:color="auto"/>
      </w:divBdr>
      <w:divsChild>
        <w:div w:id="2093577520">
          <w:marLeft w:val="0"/>
          <w:marRight w:val="0"/>
          <w:marTop w:val="0"/>
          <w:marBottom w:val="0"/>
          <w:divBdr>
            <w:top w:val="none" w:sz="0" w:space="0" w:color="auto"/>
            <w:left w:val="none" w:sz="0" w:space="0" w:color="auto"/>
            <w:bottom w:val="none" w:sz="0" w:space="0" w:color="auto"/>
            <w:right w:val="none" w:sz="0" w:space="0" w:color="auto"/>
          </w:divBdr>
          <w:divsChild>
            <w:div w:id="961228860">
              <w:marLeft w:val="0"/>
              <w:marRight w:val="0"/>
              <w:marTop w:val="0"/>
              <w:marBottom w:val="0"/>
              <w:divBdr>
                <w:top w:val="none" w:sz="0" w:space="0" w:color="auto"/>
                <w:left w:val="none" w:sz="0" w:space="0" w:color="auto"/>
                <w:bottom w:val="none" w:sz="0" w:space="0" w:color="auto"/>
                <w:right w:val="none" w:sz="0" w:space="0" w:color="auto"/>
              </w:divBdr>
              <w:divsChild>
                <w:div w:id="1943224723">
                  <w:marLeft w:val="0"/>
                  <w:marRight w:val="0"/>
                  <w:marTop w:val="0"/>
                  <w:marBottom w:val="0"/>
                  <w:divBdr>
                    <w:top w:val="none" w:sz="0" w:space="0" w:color="auto"/>
                    <w:left w:val="none" w:sz="0" w:space="0" w:color="auto"/>
                    <w:bottom w:val="none" w:sz="0" w:space="0" w:color="auto"/>
                    <w:right w:val="none" w:sz="0" w:space="0" w:color="auto"/>
                  </w:divBdr>
                  <w:divsChild>
                    <w:div w:id="93333029">
                      <w:marLeft w:val="0"/>
                      <w:marRight w:val="0"/>
                      <w:marTop w:val="0"/>
                      <w:marBottom w:val="0"/>
                      <w:divBdr>
                        <w:top w:val="none" w:sz="0" w:space="0" w:color="auto"/>
                        <w:left w:val="none" w:sz="0" w:space="0" w:color="auto"/>
                        <w:bottom w:val="none" w:sz="0" w:space="0" w:color="auto"/>
                        <w:right w:val="none" w:sz="0" w:space="0" w:color="auto"/>
                      </w:divBdr>
                      <w:divsChild>
                        <w:div w:id="399181127">
                          <w:marLeft w:val="0"/>
                          <w:marRight w:val="0"/>
                          <w:marTop w:val="0"/>
                          <w:marBottom w:val="0"/>
                          <w:divBdr>
                            <w:top w:val="none" w:sz="0" w:space="0" w:color="auto"/>
                            <w:left w:val="none" w:sz="0" w:space="0" w:color="auto"/>
                            <w:bottom w:val="none" w:sz="0" w:space="0" w:color="auto"/>
                            <w:right w:val="none" w:sz="0" w:space="0" w:color="auto"/>
                          </w:divBdr>
                          <w:divsChild>
                            <w:div w:id="884221792">
                              <w:marLeft w:val="0"/>
                              <w:marRight w:val="0"/>
                              <w:marTop w:val="0"/>
                              <w:marBottom w:val="0"/>
                              <w:divBdr>
                                <w:top w:val="none" w:sz="0" w:space="0" w:color="auto"/>
                                <w:left w:val="none" w:sz="0" w:space="0" w:color="auto"/>
                                <w:bottom w:val="none" w:sz="0" w:space="0" w:color="auto"/>
                                <w:right w:val="none" w:sz="0" w:space="0" w:color="auto"/>
                              </w:divBdr>
                              <w:divsChild>
                                <w:div w:id="48570827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808138">
      <w:bodyDiv w:val="1"/>
      <w:marLeft w:val="0"/>
      <w:marRight w:val="0"/>
      <w:marTop w:val="0"/>
      <w:marBottom w:val="0"/>
      <w:divBdr>
        <w:top w:val="none" w:sz="0" w:space="0" w:color="auto"/>
        <w:left w:val="none" w:sz="0" w:space="0" w:color="auto"/>
        <w:bottom w:val="none" w:sz="0" w:space="0" w:color="auto"/>
        <w:right w:val="none" w:sz="0" w:space="0" w:color="auto"/>
      </w:divBdr>
      <w:divsChild>
        <w:div w:id="1563252631">
          <w:marLeft w:val="0"/>
          <w:marRight w:val="0"/>
          <w:marTop w:val="0"/>
          <w:marBottom w:val="0"/>
          <w:divBdr>
            <w:top w:val="none" w:sz="0" w:space="0" w:color="auto"/>
            <w:left w:val="single" w:sz="6" w:space="0" w:color="BBBBBB"/>
            <w:bottom w:val="single" w:sz="6" w:space="0" w:color="BBBBBB"/>
            <w:right w:val="single" w:sz="6" w:space="0" w:color="BBBBBB"/>
          </w:divBdr>
          <w:divsChild>
            <w:div w:id="1565601437">
              <w:marLeft w:val="0"/>
              <w:marRight w:val="0"/>
              <w:marTop w:val="0"/>
              <w:marBottom w:val="0"/>
              <w:divBdr>
                <w:top w:val="none" w:sz="0" w:space="0" w:color="auto"/>
                <w:left w:val="none" w:sz="0" w:space="0" w:color="auto"/>
                <w:bottom w:val="none" w:sz="0" w:space="0" w:color="auto"/>
                <w:right w:val="none" w:sz="0" w:space="0" w:color="auto"/>
              </w:divBdr>
              <w:divsChild>
                <w:div w:id="1920627519">
                  <w:marLeft w:val="0"/>
                  <w:marRight w:val="0"/>
                  <w:marTop w:val="0"/>
                  <w:marBottom w:val="0"/>
                  <w:divBdr>
                    <w:top w:val="none" w:sz="0" w:space="0" w:color="auto"/>
                    <w:left w:val="none" w:sz="0" w:space="0" w:color="auto"/>
                    <w:bottom w:val="none" w:sz="0" w:space="0" w:color="auto"/>
                    <w:right w:val="none" w:sz="0" w:space="0" w:color="auto"/>
                  </w:divBdr>
                  <w:divsChild>
                    <w:div w:id="1748308065">
                      <w:marLeft w:val="0"/>
                      <w:marRight w:val="0"/>
                      <w:marTop w:val="0"/>
                      <w:marBottom w:val="0"/>
                      <w:divBdr>
                        <w:top w:val="none" w:sz="0" w:space="0" w:color="auto"/>
                        <w:left w:val="none" w:sz="0" w:space="0" w:color="auto"/>
                        <w:bottom w:val="none" w:sz="0" w:space="0" w:color="auto"/>
                        <w:right w:val="none" w:sz="0" w:space="0" w:color="auto"/>
                      </w:divBdr>
                      <w:divsChild>
                        <w:div w:id="727652793">
                          <w:marLeft w:val="0"/>
                          <w:marRight w:val="0"/>
                          <w:marTop w:val="0"/>
                          <w:marBottom w:val="0"/>
                          <w:divBdr>
                            <w:top w:val="none" w:sz="0" w:space="0" w:color="auto"/>
                            <w:left w:val="none" w:sz="0" w:space="0" w:color="auto"/>
                            <w:bottom w:val="none" w:sz="0" w:space="0" w:color="auto"/>
                            <w:right w:val="none" w:sz="0" w:space="0" w:color="auto"/>
                          </w:divBdr>
                          <w:divsChild>
                            <w:div w:id="152109614">
                              <w:marLeft w:val="0"/>
                              <w:marRight w:val="0"/>
                              <w:marTop w:val="0"/>
                              <w:marBottom w:val="0"/>
                              <w:divBdr>
                                <w:top w:val="none" w:sz="0" w:space="0" w:color="auto"/>
                                <w:left w:val="none" w:sz="0" w:space="0" w:color="auto"/>
                                <w:bottom w:val="none" w:sz="0" w:space="0" w:color="auto"/>
                                <w:right w:val="none" w:sz="0" w:space="0" w:color="auto"/>
                              </w:divBdr>
                              <w:divsChild>
                                <w:div w:id="1310675537">
                                  <w:marLeft w:val="0"/>
                                  <w:marRight w:val="0"/>
                                  <w:marTop w:val="0"/>
                                  <w:marBottom w:val="0"/>
                                  <w:divBdr>
                                    <w:top w:val="none" w:sz="0" w:space="0" w:color="auto"/>
                                    <w:left w:val="none" w:sz="0" w:space="0" w:color="auto"/>
                                    <w:bottom w:val="none" w:sz="0" w:space="0" w:color="auto"/>
                                    <w:right w:val="none" w:sz="0" w:space="0" w:color="auto"/>
                                  </w:divBdr>
                                  <w:divsChild>
                                    <w:div w:id="294222341">
                                      <w:marLeft w:val="0"/>
                                      <w:marRight w:val="0"/>
                                      <w:marTop w:val="0"/>
                                      <w:marBottom w:val="0"/>
                                      <w:divBdr>
                                        <w:top w:val="none" w:sz="0" w:space="0" w:color="auto"/>
                                        <w:left w:val="none" w:sz="0" w:space="0" w:color="auto"/>
                                        <w:bottom w:val="none" w:sz="0" w:space="0" w:color="auto"/>
                                        <w:right w:val="none" w:sz="0" w:space="0" w:color="auto"/>
                                      </w:divBdr>
                                      <w:divsChild>
                                        <w:div w:id="1697384542">
                                          <w:marLeft w:val="1200"/>
                                          <w:marRight w:val="1200"/>
                                          <w:marTop w:val="0"/>
                                          <w:marBottom w:val="0"/>
                                          <w:divBdr>
                                            <w:top w:val="none" w:sz="0" w:space="0" w:color="auto"/>
                                            <w:left w:val="none" w:sz="0" w:space="0" w:color="auto"/>
                                            <w:bottom w:val="none" w:sz="0" w:space="0" w:color="auto"/>
                                            <w:right w:val="none" w:sz="0" w:space="0" w:color="auto"/>
                                          </w:divBdr>
                                          <w:divsChild>
                                            <w:div w:id="1982879235">
                                              <w:marLeft w:val="0"/>
                                              <w:marRight w:val="0"/>
                                              <w:marTop w:val="0"/>
                                              <w:marBottom w:val="0"/>
                                              <w:divBdr>
                                                <w:top w:val="none" w:sz="0" w:space="0" w:color="auto"/>
                                                <w:left w:val="none" w:sz="0" w:space="0" w:color="auto"/>
                                                <w:bottom w:val="none" w:sz="0" w:space="0" w:color="auto"/>
                                                <w:right w:val="none" w:sz="0" w:space="0" w:color="auto"/>
                                              </w:divBdr>
                                              <w:divsChild>
                                                <w:div w:id="1604259741">
                                                  <w:marLeft w:val="0"/>
                                                  <w:marRight w:val="0"/>
                                                  <w:marTop w:val="0"/>
                                                  <w:marBottom w:val="0"/>
                                                  <w:divBdr>
                                                    <w:top w:val="none" w:sz="0" w:space="0" w:color="auto"/>
                                                    <w:left w:val="none" w:sz="0" w:space="0" w:color="auto"/>
                                                    <w:bottom w:val="none" w:sz="0" w:space="0" w:color="auto"/>
                                                    <w:right w:val="none" w:sz="0" w:space="0" w:color="auto"/>
                                                  </w:divBdr>
                                                  <w:divsChild>
                                                    <w:div w:id="366491694">
                                                      <w:marLeft w:val="0"/>
                                                      <w:marRight w:val="0"/>
                                                      <w:marTop w:val="0"/>
                                                      <w:marBottom w:val="0"/>
                                                      <w:divBdr>
                                                        <w:top w:val="none" w:sz="0" w:space="0" w:color="auto"/>
                                                        <w:left w:val="none" w:sz="0" w:space="0" w:color="auto"/>
                                                        <w:bottom w:val="none" w:sz="0" w:space="0" w:color="auto"/>
                                                        <w:right w:val="none" w:sz="0" w:space="0" w:color="auto"/>
                                                      </w:divBdr>
                                                      <w:divsChild>
                                                        <w:div w:id="641233013">
                                                          <w:marLeft w:val="0"/>
                                                          <w:marRight w:val="0"/>
                                                          <w:marTop w:val="0"/>
                                                          <w:marBottom w:val="0"/>
                                                          <w:divBdr>
                                                            <w:top w:val="none" w:sz="0" w:space="0" w:color="auto"/>
                                                            <w:left w:val="none" w:sz="0" w:space="0" w:color="auto"/>
                                                            <w:bottom w:val="none" w:sz="0" w:space="0" w:color="auto"/>
                                                            <w:right w:val="none" w:sz="0" w:space="0" w:color="auto"/>
                                                          </w:divBdr>
                                                          <w:divsChild>
                                                            <w:div w:id="1094546858">
                                                              <w:marLeft w:val="0"/>
                                                              <w:marRight w:val="0"/>
                                                              <w:marTop w:val="0"/>
                                                              <w:marBottom w:val="0"/>
                                                              <w:divBdr>
                                                                <w:top w:val="none" w:sz="0" w:space="0" w:color="auto"/>
                                                                <w:left w:val="none" w:sz="0" w:space="0" w:color="auto"/>
                                                                <w:bottom w:val="none" w:sz="0" w:space="0" w:color="auto"/>
                                                                <w:right w:val="none" w:sz="0" w:space="0" w:color="auto"/>
                                                              </w:divBdr>
                                                            </w:div>
                                                          </w:divsChild>
                                                        </w:div>
                                                        <w:div w:id="974070323">
                                                          <w:marLeft w:val="0"/>
                                                          <w:marRight w:val="0"/>
                                                          <w:marTop w:val="0"/>
                                                          <w:marBottom w:val="0"/>
                                                          <w:divBdr>
                                                            <w:top w:val="none" w:sz="0" w:space="0" w:color="auto"/>
                                                            <w:left w:val="none" w:sz="0" w:space="0" w:color="auto"/>
                                                            <w:bottom w:val="none" w:sz="0" w:space="0" w:color="auto"/>
                                                            <w:right w:val="none" w:sz="0" w:space="0" w:color="auto"/>
                                                          </w:divBdr>
                                                          <w:divsChild>
                                                            <w:div w:id="1114980208">
                                                              <w:marLeft w:val="0"/>
                                                              <w:marRight w:val="0"/>
                                                              <w:marTop w:val="0"/>
                                                              <w:marBottom w:val="0"/>
                                                              <w:divBdr>
                                                                <w:top w:val="none" w:sz="0" w:space="0" w:color="auto"/>
                                                                <w:left w:val="none" w:sz="0" w:space="0" w:color="auto"/>
                                                                <w:bottom w:val="none" w:sz="0" w:space="0" w:color="auto"/>
                                                                <w:right w:val="none" w:sz="0" w:space="0" w:color="auto"/>
                                                              </w:divBdr>
                                                            </w:div>
                                                          </w:divsChild>
                                                        </w:div>
                                                        <w:div w:id="1191069729">
                                                          <w:marLeft w:val="0"/>
                                                          <w:marRight w:val="0"/>
                                                          <w:marTop w:val="0"/>
                                                          <w:marBottom w:val="0"/>
                                                          <w:divBdr>
                                                            <w:top w:val="none" w:sz="0" w:space="0" w:color="auto"/>
                                                            <w:left w:val="none" w:sz="0" w:space="0" w:color="auto"/>
                                                            <w:bottom w:val="none" w:sz="0" w:space="0" w:color="auto"/>
                                                            <w:right w:val="none" w:sz="0" w:space="0" w:color="auto"/>
                                                          </w:divBdr>
                                                          <w:divsChild>
                                                            <w:div w:id="13240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2009825">
      <w:bodyDiv w:val="1"/>
      <w:marLeft w:val="0"/>
      <w:marRight w:val="0"/>
      <w:marTop w:val="0"/>
      <w:marBottom w:val="0"/>
      <w:divBdr>
        <w:top w:val="none" w:sz="0" w:space="0" w:color="auto"/>
        <w:left w:val="none" w:sz="0" w:space="0" w:color="auto"/>
        <w:bottom w:val="none" w:sz="0" w:space="0" w:color="auto"/>
        <w:right w:val="none" w:sz="0" w:space="0" w:color="auto"/>
      </w:divBdr>
      <w:divsChild>
        <w:div w:id="813109675">
          <w:marLeft w:val="0"/>
          <w:marRight w:val="0"/>
          <w:marTop w:val="240"/>
          <w:marBottom w:val="0"/>
          <w:divBdr>
            <w:top w:val="none" w:sz="0" w:space="0" w:color="auto"/>
            <w:left w:val="none" w:sz="0" w:space="0" w:color="auto"/>
            <w:bottom w:val="none" w:sz="0" w:space="0" w:color="auto"/>
            <w:right w:val="none" w:sz="0" w:space="0" w:color="auto"/>
          </w:divBdr>
          <w:divsChild>
            <w:div w:id="1449154948">
              <w:marLeft w:val="0"/>
              <w:marRight w:val="0"/>
              <w:marTop w:val="0"/>
              <w:marBottom w:val="0"/>
              <w:divBdr>
                <w:top w:val="none" w:sz="0" w:space="0" w:color="auto"/>
                <w:left w:val="none" w:sz="0" w:space="0" w:color="auto"/>
                <w:bottom w:val="none" w:sz="0" w:space="0" w:color="auto"/>
                <w:right w:val="none" w:sz="0" w:space="0" w:color="auto"/>
              </w:divBdr>
            </w:div>
          </w:divsChild>
        </w:div>
        <w:div w:id="1481384064">
          <w:marLeft w:val="0"/>
          <w:marRight w:val="0"/>
          <w:marTop w:val="240"/>
          <w:marBottom w:val="0"/>
          <w:divBdr>
            <w:top w:val="none" w:sz="0" w:space="0" w:color="auto"/>
            <w:left w:val="none" w:sz="0" w:space="0" w:color="auto"/>
            <w:bottom w:val="none" w:sz="0" w:space="0" w:color="auto"/>
            <w:right w:val="none" w:sz="0" w:space="0" w:color="auto"/>
          </w:divBdr>
          <w:divsChild>
            <w:div w:id="107428494">
              <w:marLeft w:val="0"/>
              <w:marRight w:val="0"/>
              <w:marTop w:val="240"/>
              <w:marBottom w:val="0"/>
              <w:divBdr>
                <w:top w:val="none" w:sz="0" w:space="0" w:color="auto"/>
                <w:left w:val="none" w:sz="0" w:space="0" w:color="auto"/>
                <w:bottom w:val="none" w:sz="0" w:space="0" w:color="auto"/>
                <w:right w:val="none" w:sz="0" w:space="0" w:color="auto"/>
              </w:divBdr>
              <w:divsChild>
                <w:div w:id="879784478">
                  <w:marLeft w:val="0"/>
                  <w:marRight w:val="0"/>
                  <w:marTop w:val="0"/>
                  <w:marBottom w:val="0"/>
                  <w:divBdr>
                    <w:top w:val="none" w:sz="0" w:space="0" w:color="auto"/>
                    <w:left w:val="none" w:sz="0" w:space="0" w:color="auto"/>
                    <w:bottom w:val="none" w:sz="0" w:space="0" w:color="auto"/>
                    <w:right w:val="none" w:sz="0" w:space="0" w:color="auto"/>
                  </w:divBdr>
                  <w:divsChild>
                    <w:div w:id="2124292">
                      <w:blockQuote w:val="1"/>
                      <w:marLeft w:val="0"/>
                      <w:marRight w:val="0"/>
                      <w:marTop w:val="0"/>
                      <w:marBottom w:val="0"/>
                      <w:divBdr>
                        <w:top w:val="none" w:sz="0" w:space="0" w:color="auto"/>
                        <w:left w:val="none" w:sz="0" w:space="0" w:color="auto"/>
                        <w:bottom w:val="none" w:sz="0" w:space="0" w:color="auto"/>
                        <w:right w:val="none" w:sz="0" w:space="0" w:color="auto"/>
                      </w:divBdr>
                      <w:divsChild>
                        <w:div w:id="9679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38832">
              <w:marLeft w:val="0"/>
              <w:marRight w:val="0"/>
              <w:marTop w:val="0"/>
              <w:marBottom w:val="0"/>
              <w:divBdr>
                <w:top w:val="none" w:sz="0" w:space="0" w:color="auto"/>
                <w:left w:val="none" w:sz="0" w:space="0" w:color="auto"/>
                <w:bottom w:val="none" w:sz="0" w:space="0" w:color="auto"/>
                <w:right w:val="none" w:sz="0" w:space="0" w:color="auto"/>
              </w:divBdr>
            </w:div>
            <w:div w:id="1695689216">
              <w:marLeft w:val="0"/>
              <w:marRight w:val="0"/>
              <w:marTop w:val="240"/>
              <w:marBottom w:val="0"/>
              <w:divBdr>
                <w:top w:val="none" w:sz="0" w:space="0" w:color="auto"/>
                <w:left w:val="none" w:sz="0" w:space="0" w:color="auto"/>
                <w:bottom w:val="none" w:sz="0" w:space="0" w:color="auto"/>
                <w:right w:val="none" w:sz="0" w:space="0" w:color="auto"/>
              </w:divBdr>
            </w:div>
          </w:divsChild>
        </w:div>
        <w:div w:id="1753239924">
          <w:marLeft w:val="0"/>
          <w:marRight w:val="0"/>
          <w:marTop w:val="240"/>
          <w:marBottom w:val="0"/>
          <w:divBdr>
            <w:top w:val="none" w:sz="0" w:space="0" w:color="auto"/>
            <w:left w:val="none" w:sz="0" w:space="0" w:color="auto"/>
            <w:bottom w:val="none" w:sz="0" w:space="0" w:color="auto"/>
            <w:right w:val="none" w:sz="0" w:space="0" w:color="auto"/>
          </w:divBdr>
          <w:divsChild>
            <w:div w:id="1707025296">
              <w:marLeft w:val="0"/>
              <w:marRight w:val="0"/>
              <w:marTop w:val="0"/>
              <w:marBottom w:val="0"/>
              <w:divBdr>
                <w:top w:val="none" w:sz="0" w:space="0" w:color="auto"/>
                <w:left w:val="none" w:sz="0" w:space="0" w:color="auto"/>
                <w:bottom w:val="none" w:sz="0" w:space="0" w:color="auto"/>
                <w:right w:val="none" w:sz="0" w:space="0" w:color="auto"/>
              </w:divBdr>
            </w:div>
          </w:divsChild>
        </w:div>
        <w:div w:id="2043435345">
          <w:marLeft w:val="0"/>
          <w:marRight w:val="0"/>
          <w:marTop w:val="240"/>
          <w:marBottom w:val="0"/>
          <w:divBdr>
            <w:top w:val="none" w:sz="0" w:space="0" w:color="auto"/>
            <w:left w:val="none" w:sz="0" w:space="0" w:color="auto"/>
            <w:bottom w:val="none" w:sz="0" w:space="0" w:color="auto"/>
            <w:right w:val="none" w:sz="0" w:space="0" w:color="auto"/>
          </w:divBdr>
          <w:divsChild>
            <w:div w:id="20990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2903">
      <w:bodyDiv w:val="1"/>
      <w:marLeft w:val="0"/>
      <w:marRight w:val="0"/>
      <w:marTop w:val="0"/>
      <w:marBottom w:val="0"/>
      <w:divBdr>
        <w:top w:val="none" w:sz="0" w:space="0" w:color="auto"/>
        <w:left w:val="none" w:sz="0" w:space="0" w:color="auto"/>
        <w:bottom w:val="none" w:sz="0" w:space="0" w:color="auto"/>
        <w:right w:val="none" w:sz="0" w:space="0" w:color="auto"/>
      </w:divBdr>
      <w:divsChild>
        <w:div w:id="782307556">
          <w:marLeft w:val="0"/>
          <w:marRight w:val="0"/>
          <w:marTop w:val="240"/>
          <w:marBottom w:val="0"/>
          <w:divBdr>
            <w:top w:val="none" w:sz="0" w:space="0" w:color="auto"/>
            <w:left w:val="none" w:sz="0" w:space="0" w:color="auto"/>
            <w:bottom w:val="none" w:sz="0" w:space="0" w:color="auto"/>
            <w:right w:val="none" w:sz="0" w:space="0" w:color="auto"/>
          </w:divBdr>
          <w:divsChild>
            <w:div w:id="1290285000">
              <w:marLeft w:val="0"/>
              <w:marRight w:val="0"/>
              <w:marTop w:val="0"/>
              <w:marBottom w:val="0"/>
              <w:divBdr>
                <w:top w:val="none" w:sz="0" w:space="0" w:color="auto"/>
                <w:left w:val="none" w:sz="0" w:space="0" w:color="auto"/>
                <w:bottom w:val="none" w:sz="0" w:space="0" w:color="auto"/>
                <w:right w:val="none" w:sz="0" w:space="0" w:color="auto"/>
              </w:divBdr>
            </w:div>
          </w:divsChild>
        </w:div>
        <w:div w:id="794327632">
          <w:marLeft w:val="0"/>
          <w:marRight w:val="0"/>
          <w:marTop w:val="240"/>
          <w:marBottom w:val="0"/>
          <w:divBdr>
            <w:top w:val="none" w:sz="0" w:space="0" w:color="auto"/>
            <w:left w:val="none" w:sz="0" w:space="0" w:color="auto"/>
            <w:bottom w:val="none" w:sz="0" w:space="0" w:color="auto"/>
            <w:right w:val="none" w:sz="0" w:space="0" w:color="auto"/>
          </w:divBdr>
          <w:divsChild>
            <w:div w:id="3727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77278">
      <w:bodyDiv w:val="1"/>
      <w:marLeft w:val="0"/>
      <w:marRight w:val="0"/>
      <w:marTop w:val="0"/>
      <w:marBottom w:val="0"/>
      <w:divBdr>
        <w:top w:val="none" w:sz="0" w:space="0" w:color="auto"/>
        <w:left w:val="none" w:sz="0" w:space="0" w:color="auto"/>
        <w:bottom w:val="none" w:sz="0" w:space="0" w:color="auto"/>
        <w:right w:val="none" w:sz="0" w:space="0" w:color="auto"/>
      </w:divBdr>
      <w:divsChild>
        <w:div w:id="1606957378">
          <w:marLeft w:val="0"/>
          <w:marRight w:val="0"/>
          <w:marTop w:val="240"/>
          <w:marBottom w:val="0"/>
          <w:divBdr>
            <w:top w:val="none" w:sz="0" w:space="0" w:color="auto"/>
            <w:left w:val="none" w:sz="0" w:space="0" w:color="auto"/>
            <w:bottom w:val="none" w:sz="0" w:space="0" w:color="auto"/>
            <w:right w:val="none" w:sz="0" w:space="0" w:color="auto"/>
          </w:divBdr>
          <w:divsChild>
            <w:div w:id="1936938249">
              <w:marLeft w:val="0"/>
              <w:marRight w:val="0"/>
              <w:marTop w:val="0"/>
              <w:marBottom w:val="0"/>
              <w:divBdr>
                <w:top w:val="none" w:sz="0" w:space="0" w:color="auto"/>
                <w:left w:val="none" w:sz="0" w:space="0" w:color="auto"/>
                <w:bottom w:val="none" w:sz="0" w:space="0" w:color="auto"/>
                <w:right w:val="none" w:sz="0" w:space="0" w:color="auto"/>
              </w:divBdr>
            </w:div>
          </w:divsChild>
        </w:div>
        <w:div w:id="1769039609">
          <w:marLeft w:val="0"/>
          <w:marRight w:val="0"/>
          <w:marTop w:val="240"/>
          <w:marBottom w:val="0"/>
          <w:divBdr>
            <w:top w:val="none" w:sz="0" w:space="0" w:color="auto"/>
            <w:left w:val="none" w:sz="0" w:space="0" w:color="auto"/>
            <w:bottom w:val="none" w:sz="0" w:space="0" w:color="auto"/>
            <w:right w:val="none" w:sz="0" w:space="0" w:color="auto"/>
          </w:divBdr>
          <w:divsChild>
            <w:div w:id="977076901">
              <w:marLeft w:val="0"/>
              <w:marRight w:val="0"/>
              <w:marTop w:val="0"/>
              <w:marBottom w:val="0"/>
              <w:divBdr>
                <w:top w:val="none" w:sz="0" w:space="0" w:color="auto"/>
                <w:left w:val="none" w:sz="0" w:space="0" w:color="auto"/>
                <w:bottom w:val="none" w:sz="0" w:space="0" w:color="auto"/>
                <w:right w:val="none" w:sz="0" w:space="0" w:color="auto"/>
              </w:divBdr>
            </w:div>
          </w:divsChild>
        </w:div>
        <w:div w:id="1769078977">
          <w:marLeft w:val="0"/>
          <w:marRight w:val="0"/>
          <w:marTop w:val="240"/>
          <w:marBottom w:val="0"/>
          <w:divBdr>
            <w:top w:val="none" w:sz="0" w:space="0" w:color="auto"/>
            <w:left w:val="none" w:sz="0" w:space="0" w:color="auto"/>
            <w:bottom w:val="none" w:sz="0" w:space="0" w:color="auto"/>
            <w:right w:val="none" w:sz="0" w:space="0" w:color="auto"/>
          </w:divBdr>
          <w:divsChild>
            <w:div w:id="610868122">
              <w:marLeft w:val="0"/>
              <w:marRight w:val="0"/>
              <w:marTop w:val="0"/>
              <w:marBottom w:val="0"/>
              <w:divBdr>
                <w:top w:val="none" w:sz="0" w:space="0" w:color="auto"/>
                <w:left w:val="none" w:sz="0" w:space="0" w:color="auto"/>
                <w:bottom w:val="none" w:sz="0" w:space="0" w:color="auto"/>
                <w:right w:val="none" w:sz="0" w:space="0" w:color="auto"/>
              </w:divBdr>
            </w:div>
          </w:divsChild>
        </w:div>
        <w:div w:id="1814104963">
          <w:marLeft w:val="0"/>
          <w:marRight w:val="0"/>
          <w:marTop w:val="240"/>
          <w:marBottom w:val="0"/>
          <w:divBdr>
            <w:top w:val="none" w:sz="0" w:space="0" w:color="auto"/>
            <w:left w:val="none" w:sz="0" w:space="0" w:color="auto"/>
            <w:bottom w:val="none" w:sz="0" w:space="0" w:color="auto"/>
            <w:right w:val="none" w:sz="0" w:space="0" w:color="auto"/>
          </w:divBdr>
          <w:divsChild>
            <w:div w:id="61992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0771">
      <w:bodyDiv w:val="1"/>
      <w:marLeft w:val="0"/>
      <w:marRight w:val="0"/>
      <w:marTop w:val="0"/>
      <w:marBottom w:val="0"/>
      <w:divBdr>
        <w:top w:val="none" w:sz="0" w:space="0" w:color="auto"/>
        <w:left w:val="none" w:sz="0" w:space="0" w:color="auto"/>
        <w:bottom w:val="none" w:sz="0" w:space="0" w:color="auto"/>
        <w:right w:val="none" w:sz="0" w:space="0" w:color="auto"/>
      </w:divBdr>
    </w:div>
    <w:div w:id="1867866595">
      <w:bodyDiv w:val="1"/>
      <w:marLeft w:val="0"/>
      <w:marRight w:val="0"/>
      <w:marTop w:val="0"/>
      <w:marBottom w:val="0"/>
      <w:divBdr>
        <w:top w:val="none" w:sz="0" w:space="0" w:color="auto"/>
        <w:left w:val="none" w:sz="0" w:space="0" w:color="auto"/>
        <w:bottom w:val="none" w:sz="0" w:space="0" w:color="auto"/>
        <w:right w:val="none" w:sz="0" w:space="0" w:color="auto"/>
      </w:divBdr>
      <w:divsChild>
        <w:div w:id="1468625430">
          <w:marLeft w:val="0"/>
          <w:marRight w:val="0"/>
          <w:marTop w:val="0"/>
          <w:marBottom w:val="0"/>
          <w:divBdr>
            <w:top w:val="none" w:sz="0" w:space="0" w:color="auto"/>
            <w:left w:val="single" w:sz="6" w:space="0" w:color="BBBBBB"/>
            <w:bottom w:val="single" w:sz="6" w:space="0" w:color="BBBBBB"/>
            <w:right w:val="single" w:sz="6" w:space="0" w:color="BBBBBB"/>
          </w:divBdr>
          <w:divsChild>
            <w:div w:id="961378615">
              <w:marLeft w:val="0"/>
              <w:marRight w:val="0"/>
              <w:marTop w:val="0"/>
              <w:marBottom w:val="0"/>
              <w:divBdr>
                <w:top w:val="none" w:sz="0" w:space="0" w:color="auto"/>
                <w:left w:val="none" w:sz="0" w:space="0" w:color="auto"/>
                <w:bottom w:val="none" w:sz="0" w:space="0" w:color="auto"/>
                <w:right w:val="none" w:sz="0" w:space="0" w:color="auto"/>
              </w:divBdr>
              <w:divsChild>
                <w:div w:id="1536770664">
                  <w:marLeft w:val="0"/>
                  <w:marRight w:val="0"/>
                  <w:marTop w:val="75"/>
                  <w:marBottom w:val="0"/>
                  <w:divBdr>
                    <w:top w:val="none" w:sz="0" w:space="0" w:color="auto"/>
                    <w:left w:val="none" w:sz="0" w:space="0" w:color="auto"/>
                    <w:bottom w:val="none" w:sz="0" w:space="0" w:color="auto"/>
                    <w:right w:val="none" w:sz="0" w:space="0" w:color="auto"/>
                  </w:divBdr>
                  <w:divsChild>
                    <w:div w:id="836728799">
                      <w:marLeft w:val="0"/>
                      <w:marRight w:val="0"/>
                      <w:marTop w:val="0"/>
                      <w:marBottom w:val="0"/>
                      <w:divBdr>
                        <w:top w:val="none" w:sz="0" w:space="0" w:color="auto"/>
                        <w:left w:val="none" w:sz="0" w:space="0" w:color="auto"/>
                        <w:bottom w:val="none" w:sz="0" w:space="0" w:color="auto"/>
                        <w:right w:val="none" w:sz="0" w:space="0" w:color="auto"/>
                      </w:divBdr>
                      <w:divsChild>
                        <w:div w:id="339817954">
                          <w:marLeft w:val="0"/>
                          <w:marRight w:val="0"/>
                          <w:marTop w:val="0"/>
                          <w:marBottom w:val="0"/>
                          <w:divBdr>
                            <w:top w:val="none" w:sz="0" w:space="0" w:color="auto"/>
                            <w:left w:val="none" w:sz="0" w:space="0" w:color="auto"/>
                            <w:bottom w:val="none" w:sz="0" w:space="0" w:color="auto"/>
                            <w:right w:val="none" w:sz="0" w:space="0" w:color="auto"/>
                          </w:divBdr>
                          <w:divsChild>
                            <w:div w:id="285237719">
                              <w:marLeft w:val="0"/>
                              <w:marRight w:val="0"/>
                              <w:marTop w:val="0"/>
                              <w:marBottom w:val="0"/>
                              <w:divBdr>
                                <w:top w:val="none" w:sz="0" w:space="0" w:color="auto"/>
                                <w:left w:val="none" w:sz="0" w:space="0" w:color="auto"/>
                                <w:bottom w:val="none" w:sz="0" w:space="0" w:color="auto"/>
                                <w:right w:val="none" w:sz="0" w:space="0" w:color="auto"/>
                              </w:divBdr>
                              <w:divsChild>
                                <w:div w:id="27612607">
                                  <w:marLeft w:val="0"/>
                                  <w:marRight w:val="0"/>
                                  <w:marTop w:val="0"/>
                                  <w:marBottom w:val="0"/>
                                  <w:divBdr>
                                    <w:top w:val="none" w:sz="0" w:space="0" w:color="auto"/>
                                    <w:left w:val="none" w:sz="0" w:space="0" w:color="auto"/>
                                    <w:bottom w:val="none" w:sz="0" w:space="0" w:color="auto"/>
                                    <w:right w:val="none" w:sz="0" w:space="0" w:color="auto"/>
                                  </w:divBdr>
                                  <w:divsChild>
                                    <w:div w:id="2026780479">
                                      <w:marLeft w:val="0"/>
                                      <w:marRight w:val="0"/>
                                      <w:marTop w:val="0"/>
                                      <w:marBottom w:val="0"/>
                                      <w:divBdr>
                                        <w:top w:val="none" w:sz="0" w:space="0" w:color="auto"/>
                                        <w:left w:val="none" w:sz="0" w:space="0" w:color="auto"/>
                                        <w:bottom w:val="none" w:sz="0" w:space="0" w:color="auto"/>
                                        <w:right w:val="none" w:sz="0" w:space="0" w:color="auto"/>
                                      </w:divBdr>
                                      <w:divsChild>
                                        <w:div w:id="1524782599">
                                          <w:marLeft w:val="1200"/>
                                          <w:marRight w:val="1200"/>
                                          <w:marTop w:val="0"/>
                                          <w:marBottom w:val="0"/>
                                          <w:divBdr>
                                            <w:top w:val="none" w:sz="0" w:space="0" w:color="auto"/>
                                            <w:left w:val="none" w:sz="0" w:space="0" w:color="auto"/>
                                            <w:bottom w:val="none" w:sz="0" w:space="0" w:color="auto"/>
                                            <w:right w:val="none" w:sz="0" w:space="0" w:color="auto"/>
                                          </w:divBdr>
                                          <w:divsChild>
                                            <w:div w:id="869759817">
                                              <w:marLeft w:val="0"/>
                                              <w:marRight w:val="0"/>
                                              <w:marTop w:val="0"/>
                                              <w:marBottom w:val="0"/>
                                              <w:divBdr>
                                                <w:top w:val="none" w:sz="0" w:space="0" w:color="auto"/>
                                                <w:left w:val="none" w:sz="0" w:space="0" w:color="auto"/>
                                                <w:bottom w:val="none" w:sz="0" w:space="0" w:color="auto"/>
                                                <w:right w:val="none" w:sz="0" w:space="0" w:color="auto"/>
                                              </w:divBdr>
                                              <w:divsChild>
                                                <w:div w:id="693069445">
                                                  <w:marLeft w:val="0"/>
                                                  <w:marRight w:val="0"/>
                                                  <w:marTop w:val="0"/>
                                                  <w:marBottom w:val="0"/>
                                                  <w:divBdr>
                                                    <w:top w:val="none" w:sz="0" w:space="0" w:color="auto"/>
                                                    <w:left w:val="none" w:sz="0" w:space="0" w:color="auto"/>
                                                    <w:bottom w:val="none" w:sz="0" w:space="0" w:color="auto"/>
                                                    <w:right w:val="none" w:sz="0" w:space="0" w:color="auto"/>
                                                  </w:divBdr>
                                                  <w:divsChild>
                                                    <w:div w:id="1166434552">
                                                      <w:marLeft w:val="0"/>
                                                      <w:marRight w:val="0"/>
                                                      <w:marTop w:val="0"/>
                                                      <w:marBottom w:val="0"/>
                                                      <w:divBdr>
                                                        <w:top w:val="none" w:sz="0" w:space="0" w:color="auto"/>
                                                        <w:left w:val="none" w:sz="0" w:space="0" w:color="auto"/>
                                                        <w:bottom w:val="none" w:sz="0" w:space="0" w:color="auto"/>
                                                        <w:right w:val="none" w:sz="0" w:space="0" w:color="auto"/>
                                                      </w:divBdr>
                                                      <w:divsChild>
                                                        <w:div w:id="1485318178">
                                                          <w:marLeft w:val="0"/>
                                                          <w:marRight w:val="0"/>
                                                          <w:marTop w:val="0"/>
                                                          <w:marBottom w:val="0"/>
                                                          <w:divBdr>
                                                            <w:top w:val="none" w:sz="0" w:space="0" w:color="auto"/>
                                                            <w:left w:val="none" w:sz="0" w:space="0" w:color="auto"/>
                                                            <w:bottom w:val="none" w:sz="0" w:space="0" w:color="auto"/>
                                                            <w:right w:val="none" w:sz="0" w:space="0" w:color="auto"/>
                                                          </w:divBdr>
                                                          <w:divsChild>
                                                            <w:div w:id="853805729">
                                                              <w:marLeft w:val="0"/>
                                                              <w:marRight w:val="0"/>
                                                              <w:marTop w:val="0"/>
                                                              <w:marBottom w:val="0"/>
                                                              <w:divBdr>
                                                                <w:top w:val="none" w:sz="0" w:space="0" w:color="auto"/>
                                                                <w:left w:val="none" w:sz="0" w:space="0" w:color="auto"/>
                                                                <w:bottom w:val="none" w:sz="0" w:space="0" w:color="auto"/>
                                                                <w:right w:val="none" w:sz="0" w:space="0" w:color="auto"/>
                                                              </w:divBdr>
                                                              <w:divsChild>
                                                                <w:div w:id="2019427797">
                                                                  <w:marLeft w:val="0"/>
                                                                  <w:marRight w:val="0"/>
                                                                  <w:marTop w:val="0"/>
                                                                  <w:marBottom w:val="0"/>
                                                                  <w:divBdr>
                                                                    <w:top w:val="none" w:sz="0" w:space="0" w:color="auto"/>
                                                                    <w:left w:val="none" w:sz="0" w:space="0" w:color="auto"/>
                                                                    <w:bottom w:val="none" w:sz="0" w:space="0" w:color="auto"/>
                                                                    <w:right w:val="none" w:sz="0" w:space="0" w:color="auto"/>
                                                                  </w:divBdr>
                                                                  <w:divsChild>
                                                                    <w:div w:id="378864276">
                                                                      <w:marLeft w:val="0"/>
                                                                      <w:marRight w:val="0"/>
                                                                      <w:marTop w:val="0"/>
                                                                      <w:marBottom w:val="0"/>
                                                                      <w:divBdr>
                                                                        <w:top w:val="none" w:sz="0" w:space="0" w:color="auto"/>
                                                                        <w:left w:val="none" w:sz="0" w:space="0" w:color="auto"/>
                                                                        <w:bottom w:val="none" w:sz="0" w:space="0" w:color="auto"/>
                                                                        <w:right w:val="none" w:sz="0" w:space="0" w:color="auto"/>
                                                                      </w:divBdr>
                                                                      <w:divsChild>
                                                                        <w:div w:id="1601790109">
                                                                          <w:marLeft w:val="0"/>
                                                                          <w:marRight w:val="0"/>
                                                                          <w:marTop w:val="0"/>
                                                                          <w:marBottom w:val="0"/>
                                                                          <w:divBdr>
                                                                            <w:top w:val="none" w:sz="0" w:space="0" w:color="auto"/>
                                                                            <w:left w:val="none" w:sz="0" w:space="0" w:color="auto"/>
                                                                            <w:bottom w:val="none" w:sz="0" w:space="0" w:color="auto"/>
                                                                            <w:right w:val="none" w:sz="0" w:space="0" w:color="auto"/>
                                                                          </w:divBdr>
                                                                        </w:div>
                                                                      </w:divsChild>
                                                                    </w:div>
                                                                    <w:div w:id="1510490252">
                                                                      <w:marLeft w:val="0"/>
                                                                      <w:marRight w:val="0"/>
                                                                      <w:marTop w:val="0"/>
                                                                      <w:marBottom w:val="0"/>
                                                                      <w:divBdr>
                                                                        <w:top w:val="none" w:sz="0" w:space="0" w:color="auto"/>
                                                                        <w:left w:val="none" w:sz="0" w:space="0" w:color="auto"/>
                                                                        <w:bottom w:val="none" w:sz="0" w:space="0" w:color="auto"/>
                                                                        <w:right w:val="none" w:sz="0" w:space="0" w:color="auto"/>
                                                                      </w:divBdr>
                                                                      <w:divsChild>
                                                                        <w:div w:id="152964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9950990">
      <w:bodyDiv w:val="1"/>
      <w:marLeft w:val="0"/>
      <w:marRight w:val="0"/>
      <w:marTop w:val="0"/>
      <w:marBottom w:val="0"/>
      <w:divBdr>
        <w:top w:val="none" w:sz="0" w:space="0" w:color="auto"/>
        <w:left w:val="none" w:sz="0" w:space="0" w:color="auto"/>
        <w:bottom w:val="none" w:sz="0" w:space="0" w:color="auto"/>
        <w:right w:val="none" w:sz="0" w:space="0" w:color="auto"/>
      </w:divBdr>
      <w:divsChild>
        <w:div w:id="1538544462">
          <w:marLeft w:val="0"/>
          <w:marRight w:val="0"/>
          <w:marTop w:val="0"/>
          <w:marBottom w:val="0"/>
          <w:divBdr>
            <w:top w:val="none" w:sz="0" w:space="0" w:color="auto"/>
            <w:left w:val="single" w:sz="6" w:space="0" w:color="BBBBBB"/>
            <w:bottom w:val="single" w:sz="6" w:space="0" w:color="BBBBBB"/>
            <w:right w:val="single" w:sz="6" w:space="0" w:color="BBBBBB"/>
          </w:divBdr>
          <w:divsChild>
            <w:div w:id="802506966">
              <w:marLeft w:val="0"/>
              <w:marRight w:val="0"/>
              <w:marTop w:val="0"/>
              <w:marBottom w:val="0"/>
              <w:divBdr>
                <w:top w:val="none" w:sz="0" w:space="0" w:color="auto"/>
                <w:left w:val="none" w:sz="0" w:space="0" w:color="auto"/>
                <w:bottom w:val="none" w:sz="0" w:space="0" w:color="auto"/>
                <w:right w:val="none" w:sz="0" w:space="0" w:color="auto"/>
              </w:divBdr>
              <w:divsChild>
                <w:div w:id="1233195050">
                  <w:marLeft w:val="0"/>
                  <w:marRight w:val="0"/>
                  <w:marTop w:val="75"/>
                  <w:marBottom w:val="0"/>
                  <w:divBdr>
                    <w:top w:val="none" w:sz="0" w:space="0" w:color="auto"/>
                    <w:left w:val="none" w:sz="0" w:space="0" w:color="auto"/>
                    <w:bottom w:val="none" w:sz="0" w:space="0" w:color="auto"/>
                    <w:right w:val="none" w:sz="0" w:space="0" w:color="auto"/>
                  </w:divBdr>
                  <w:divsChild>
                    <w:div w:id="514923447">
                      <w:marLeft w:val="0"/>
                      <w:marRight w:val="0"/>
                      <w:marTop w:val="0"/>
                      <w:marBottom w:val="0"/>
                      <w:divBdr>
                        <w:top w:val="none" w:sz="0" w:space="0" w:color="auto"/>
                        <w:left w:val="none" w:sz="0" w:space="0" w:color="auto"/>
                        <w:bottom w:val="none" w:sz="0" w:space="0" w:color="auto"/>
                        <w:right w:val="none" w:sz="0" w:space="0" w:color="auto"/>
                      </w:divBdr>
                      <w:divsChild>
                        <w:div w:id="1996375259">
                          <w:marLeft w:val="0"/>
                          <w:marRight w:val="0"/>
                          <w:marTop w:val="0"/>
                          <w:marBottom w:val="0"/>
                          <w:divBdr>
                            <w:top w:val="none" w:sz="0" w:space="0" w:color="auto"/>
                            <w:left w:val="none" w:sz="0" w:space="0" w:color="auto"/>
                            <w:bottom w:val="none" w:sz="0" w:space="0" w:color="auto"/>
                            <w:right w:val="none" w:sz="0" w:space="0" w:color="auto"/>
                          </w:divBdr>
                          <w:divsChild>
                            <w:div w:id="993871666">
                              <w:marLeft w:val="0"/>
                              <w:marRight w:val="0"/>
                              <w:marTop w:val="0"/>
                              <w:marBottom w:val="0"/>
                              <w:divBdr>
                                <w:top w:val="none" w:sz="0" w:space="0" w:color="auto"/>
                                <w:left w:val="none" w:sz="0" w:space="0" w:color="auto"/>
                                <w:bottom w:val="none" w:sz="0" w:space="0" w:color="auto"/>
                                <w:right w:val="none" w:sz="0" w:space="0" w:color="auto"/>
                              </w:divBdr>
                              <w:divsChild>
                                <w:div w:id="553928914">
                                  <w:marLeft w:val="0"/>
                                  <w:marRight w:val="0"/>
                                  <w:marTop w:val="0"/>
                                  <w:marBottom w:val="0"/>
                                  <w:divBdr>
                                    <w:top w:val="none" w:sz="0" w:space="0" w:color="auto"/>
                                    <w:left w:val="none" w:sz="0" w:space="0" w:color="auto"/>
                                    <w:bottom w:val="none" w:sz="0" w:space="0" w:color="auto"/>
                                    <w:right w:val="none" w:sz="0" w:space="0" w:color="auto"/>
                                  </w:divBdr>
                                  <w:divsChild>
                                    <w:div w:id="294876232">
                                      <w:marLeft w:val="0"/>
                                      <w:marRight w:val="0"/>
                                      <w:marTop w:val="0"/>
                                      <w:marBottom w:val="0"/>
                                      <w:divBdr>
                                        <w:top w:val="none" w:sz="0" w:space="0" w:color="auto"/>
                                        <w:left w:val="none" w:sz="0" w:space="0" w:color="auto"/>
                                        <w:bottom w:val="none" w:sz="0" w:space="0" w:color="auto"/>
                                        <w:right w:val="none" w:sz="0" w:space="0" w:color="auto"/>
                                      </w:divBdr>
                                      <w:divsChild>
                                        <w:div w:id="352800791">
                                          <w:marLeft w:val="1200"/>
                                          <w:marRight w:val="1200"/>
                                          <w:marTop w:val="0"/>
                                          <w:marBottom w:val="0"/>
                                          <w:divBdr>
                                            <w:top w:val="none" w:sz="0" w:space="0" w:color="auto"/>
                                            <w:left w:val="none" w:sz="0" w:space="0" w:color="auto"/>
                                            <w:bottom w:val="none" w:sz="0" w:space="0" w:color="auto"/>
                                            <w:right w:val="none" w:sz="0" w:space="0" w:color="auto"/>
                                          </w:divBdr>
                                          <w:divsChild>
                                            <w:div w:id="1002777950">
                                              <w:marLeft w:val="0"/>
                                              <w:marRight w:val="0"/>
                                              <w:marTop w:val="0"/>
                                              <w:marBottom w:val="0"/>
                                              <w:divBdr>
                                                <w:top w:val="none" w:sz="0" w:space="0" w:color="auto"/>
                                                <w:left w:val="none" w:sz="0" w:space="0" w:color="auto"/>
                                                <w:bottom w:val="none" w:sz="0" w:space="0" w:color="auto"/>
                                                <w:right w:val="none" w:sz="0" w:space="0" w:color="auto"/>
                                              </w:divBdr>
                                              <w:divsChild>
                                                <w:div w:id="947926672">
                                                  <w:marLeft w:val="0"/>
                                                  <w:marRight w:val="0"/>
                                                  <w:marTop w:val="0"/>
                                                  <w:marBottom w:val="0"/>
                                                  <w:divBdr>
                                                    <w:top w:val="none" w:sz="0" w:space="0" w:color="auto"/>
                                                    <w:left w:val="none" w:sz="0" w:space="0" w:color="auto"/>
                                                    <w:bottom w:val="none" w:sz="0" w:space="0" w:color="auto"/>
                                                    <w:right w:val="none" w:sz="0" w:space="0" w:color="auto"/>
                                                  </w:divBdr>
                                                  <w:divsChild>
                                                    <w:div w:id="164250530">
                                                      <w:marLeft w:val="0"/>
                                                      <w:marRight w:val="0"/>
                                                      <w:marTop w:val="0"/>
                                                      <w:marBottom w:val="0"/>
                                                      <w:divBdr>
                                                        <w:top w:val="none" w:sz="0" w:space="0" w:color="auto"/>
                                                        <w:left w:val="none" w:sz="0" w:space="0" w:color="auto"/>
                                                        <w:bottom w:val="none" w:sz="0" w:space="0" w:color="auto"/>
                                                        <w:right w:val="none" w:sz="0" w:space="0" w:color="auto"/>
                                                      </w:divBdr>
                                                      <w:divsChild>
                                                        <w:div w:id="207303140">
                                                          <w:marLeft w:val="0"/>
                                                          <w:marRight w:val="0"/>
                                                          <w:marTop w:val="0"/>
                                                          <w:marBottom w:val="0"/>
                                                          <w:divBdr>
                                                            <w:top w:val="none" w:sz="0" w:space="0" w:color="auto"/>
                                                            <w:left w:val="none" w:sz="0" w:space="0" w:color="auto"/>
                                                            <w:bottom w:val="none" w:sz="0" w:space="0" w:color="auto"/>
                                                            <w:right w:val="none" w:sz="0" w:space="0" w:color="auto"/>
                                                          </w:divBdr>
                                                        </w:div>
                                                      </w:divsChild>
                                                    </w:div>
                                                    <w:div w:id="745304770">
                                                      <w:marLeft w:val="0"/>
                                                      <w:marRight w:val="0"/>
                                                      <w:marTop w:val="0"/>
                                                      <w:marBottom w:val="0"/>
                                                      <w:divBdr>
                                                        <w:top w:val="none" w:sz="0" w:space="0" w:color="auto"/>
                                                        <w:left w:val="none" w:sz="0" w:space="0" w:color="auto"/>
                                                        <w:bottom w:val="none" w:sz="0" w:space="0" w:color="auto"/>
                                                        <w:right w:val="none" w:sz="0" w:space="0" w:color="auto"/>
                                                      </w:divBdr>
                                                      <w:divsChild>
                                                        <w:div w:id="1209024834">
                                                          <w:marLeft w:val="0"/>
                                                          <w:marRight w:val="0"/>
                                                          <w:marTop w:val="0"/>
                                                          <w:marBottom w:val="0"/>
                                                          <w:divBdr>
                                                            <w:top w:val="none" w:sz="0" w:space="0" w:color="auto"/>
                                                            <w:left w:val="none" w:sz="0" w:space="0" w:color="auto"/>
                                                            <w:bottom w:val="none" w:sz="0" w:space="0" w:color="auto"/>
                                                            <w:right w:val="none" w:sz="0" w:space="0" w:color="auto"/>
                                                          </w:divBdr>
                                                        </w:div>
                                                      </w:divsChild>
                                                    </w:div>
                                                    <w:div w:id="1314915769">
                                                      <w:marLeft w:val="0"/>
                                                      <w:marRight w:val="0"/>
                                                      <w:marTop w:val="0"/>
                                                      <w:marBottom w:val="0"/>
                                                      <w:divBdr>
                                                        <w:top w:val="none" w:sz="0" w:space="0" w:color="auto"/>
                                                        <w:left w:val="none" w:sz="0" w:space="0" w:color="auto"/>
                                                        <w:bottom w:val="none" w:sz="0" w:space="0" w:color="auto"/>
                                                        <w:right w:val="none" w:sz="0" w:space="0" w:color="auto"/>
                                                      </w:divBdr>
                                                      <w:divsChild>
                                                        <w:div w:id="6371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1142067">
      <w:bodyDiv w:val="1"/>
      <w:marLeft w:val="30"/>
      <w:marRight w:val="30"/>
      <w:marTop w:val="30"/>
      <w:marBottom w:val="30"/>
      <w:divBdr>
        <w:top w:val="none" w:sz="0" w:space="0" w:color="auto"/>
        <w:left w:val="none" w:sz="0" w:space="0" w:color="auto"/>
        <w:bottom w:val="none" w:sz="0" w:space="0" w:color="auto"/>
        <w:right w:val="none" w:sz="0" w:space="0" w:color="auto"/>
      </w:divBdr>
      <w:divsChild>
        <w:div w:id="638805926">
          <w:marLeft w:val="0"/>
          <w:marRight w:val="0"/>
          <w:marTop w:val="0"/>
          <w:marBottom w:val="0"/>
          <w:divBdr>
            <w:top w:val="none" w:sz="0" w:space="0" w:color="auto"/>
            <w:left w:val="none" w:sz="0" w:space="0" w:color="auto"/>
            <w:bottom w:val="none" w:sz="0" w:space="0" w:color="auto"/>
            <w:right w:val="none" w:sz="0" w:space="0" w:color="auto"/>
          </w:divBdr>
          <w:divsChild>
            <w:div w:id="1214806959">
              <w:marLeft w:val="45"/>
              <w:marRight w:val="45"/>
              <w:marTop w:val="45"/>
              <w:marBottom w:val="45"/>
              <w:divBdr>
                <w:top w:val="none" w:sz="0" w:space="0" w:color="auto"/>
                <w:left w:val="none" w:sz="0" w:space="0" w:color="auto"/>
                <w:bottom w:val="none" w:sz="0" w:space="0" w:color="auto"/>
                <w:right w:val="none" w:sz="0" w:space="0" w:color="auto"/>
              </w:divBdr>
              <w:divsChild>
                <w:div w:id="1894350151">
                  <w:marLeft w:val="0"/>
                  <w:marRight w:val="0"/>
                  <w:marTop w:val="0"/>
                  <w:marBottom w:val="0"/>
                  <w:divBdr>
                    <w:top w:val="none" w:sz="0" w:space="0" w:color="auto"/>
                    <w:left w:val="none" w:sz="0" w:space="0" w:color="auto"/>
                    <w:bottom w:val="none" w:sz="0" w:space="0" w:color="auto"/>
                    <w:right w:val="none" w:sz="0" w:space="0" w:color="auto"/>
                  </w:divBdr>
                  <w:divsChild>
                    <w:div w:id="445392364">
                      <w:marLeft w:val="0"/>
                      <w:marRight w:val="0"/>
                      <w:marTop w:val="0"/>
                      <w:marBottom w:val="0"/>
                      <w:divBdr>
                        <w:top w:val="none" w:sz="0" w:space="0" w:color="auto"/>
                        <w:left w:val="none" w:sz="0" w:space="0" w:color="auto"/>
                        <w:bottom w:val="none" w:sz="0" w:space="0" w:color="auto"/>
                        <w:right w:val="none" w:sz="0" w:space="0" w:color="auto"/>
                      </w:divBdr>
                    </w:div>
                    <w:div w:id="750663013">
                      <w:marLeft w:val="180"/>
                      <w:marRight w:val="0"/>
                      <w:marTop w:val="0"/>
                      <w:marBottom w:val="0"/>
                      <w:divBdr>
                        <w:top w:val="none" w:sz="0" w:space="0" w:color="auto"/>
                        <w:left w:val="none" w:sz="0" w:space="0" w:color="auto"/>
                        <w:bottom w:val="none" w:sz="0" w:space="0" w:color="auto"/>
                        <w:right w:val="none" w:sz="0" w:space="0" w:color="auto"/>
                      </w:divBdr>
                    </w:div>
                    <w:div w:id="907031827">
                      <w:marLeft w:val="180"/>
                      <w:marRight w:val="0"/>
                      <w:marTop w:val="0"/>
                      <w:marBottom w:val="0"/>
                      <w:divBdr>
                        <w:top w:val="none" w:sz="0" w:space="0" w:color="auto"/>
                        <w:left w:val="none" w:sz="0" w:space="0" w:color="auto"/>
                        <w:bottom w:val="none" w:sz="0" w:space="0" w:color="auto"/>
                        <w:right w:val="none" w:sz="0" w:space="0" w:color="auto"/>
                      </w:divBdr>
                    </w:div>
                    <w:div w:id="1374768676">
                      <w:marLeft w:val="0"/>
                      <w:marRight w:val="0"/>
                      <w:marTop w:val="0"/>
                      <w:marBottom w:val="0"/>
                      <w:divBdr>
                        <w:top w:val="none" w:sz="0" w:space="0" w:color="auto"/>
                        <w:left w:val="none" w:sz="0" w:space="0" w:color="auto"/>
                        <w:bottom w:val="none" w:sz="0" w:space="0" w:color="auto"/>
                        <w:right w:val="none" w:sz="0" w:space="0" w:color="auto"/>
                      </w:divBdr>
                    </w:div>
                    <w:div w:id="1456367888">
                      <w:marLeft w:val="0"/>
                      <w:marRight w:val="0"/>
                      <w:marTop w:val="0"/>
                      <w:marBottom w:val="0"/>
                      <w:divBdr>
                        <w:top w:val="none" w:sz="0" w:space="0" w:color="auto"/>
                        <w:left w:val="none" w:sz="0" w:space="0" w:color="auto"/>
                        <w:bottom w:val="none" w:sz="0" w:space="0" w:color="auto"/>
                        <w:right w:val="none" w:sz="0" w:space="0" w:color="auto"/>
                      </w:divBdr>
                    </w:div>
                    <w:div w:id="1542668531">
                      <w:marLeft w:val="0"/>
                      <w:marRight w:val="0"/>
                      <w:marTop w:val="0"/>
                      <w:marBottom w:val="0"/>
                      <w:divBdr>
                        <w:top w:val="none" w:sz="0" w:space="0" w:color="auto"/>
                        <w:left w:val="none" w:sz="0" w:space="0" w:color="auto"/>
                        <w:bottom w:val="none" w:sz="0" w:space="0" w:color="auto"/>
                        <w:right w:val="none" w:sz="0" w:space="0" w:color="auto"/>
                      </w:divBdr>
                    </w:div>
                    <w:div w:id="1692368465">
                      <w:marLeft w:val="0"/>
                      <w:marRight w:val="0"/>
                      <w:marTop w:val="0"/>
                      <w:marBottom w:val="0"/>
                      <w:divBdr>
                        <w:top w:val="none" w:sz="0" w:space="0" w:color="auto"/>
                        <w:left w:val="none" w:sz="0" w:space="0" w:color="auto"/>
                        <w:bottom w:val="none" w:sz="0" w:space="0" w:color="auto"/>
                        <w:right w:val="none" w:sz="0" w:space="0" w:color="auto"/>
                      </w:divBdr>
                    </w:div>
                    <w:div w:id="18695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262710">
      <w:bodyDiv w:val="1"/>
      <w:marLeft w:val="30"/>
      <w:marRight w:val="30"/>
      <w:marTop w:val="30"/>
      <w:marBottom w:val="30"/>
      <w:divBdr>
        <w:top w:val="none" w:sz="0" w:space="0" w:color="auto"/>
        <w:left w:val="none" w:sz="0" w:space="0" w:color="auto"/>
        <w:bottom w:val="none" w:sz="0" w:space="0" w:color="auto"/>
        <w:right w:val="none" w:sz="0" w:space="0" w:color="auto"/>
      </w:divBdr>
      <w:divsChild>
        <w:div w:id="2094862163">
          <w:marLeft w:val="0"/>
          <w:marRight w:val="0"/>
          <w:marTop w:val="0"/>
          <w:marBottom w:val="0"/>
          <w:divBdr>
            <w:top w:val="none" w:sz="0" w:space="0" w:color="auto"/>
            <w:left w:val="none" w:sz="0" w:space="0" w:color="auto"/>
            <w:bottom w:val="none" w:sz="0" w:space="0" w:color="auto"/>
            <w:right w:val="none" w:sz="0" w:space="0" w:color="auto"/>
          </w:divBdr>
          <w:divsChild>
            <w:div w:id="679508023">
              <w:marLeft w:val="45"/>
              <w:marRight w:val="45"/>
              <w:marTop w:val="45"/>
              <w:marBottom w:val="45"/>
              <w:divBdr>
                <w:top w:val="none" w:sz="0" w:space="0" w:color="auto"/>
                <w:left w:val="none" w:sz="0" w:space="0" w:color="auto"/>
                <w:bottom w:val="none" w:sz="0" w:space="0" w:color="auto"/>
                <w:right w:val="none" w:sz="0" w:space="0" w:color="auto"/>
              </w:divBdr>
              <w:divsChild>
                <w:div w:id="342709755">
                  <w:marLeft w:val="0"/>
                  <w:marRight w:val="0"/>
                  <w:marTop w:val="0"/>
                  <w:marBottom w:val="0"/>
                  <w:divBdr>
                    <w:top w:val="none" w:sz="0" w:space="0" w:color="auto"/>
                    <w:left w:val="none" w:sz="0" w:space="0" w:color="auto"/>
                    <w:bottom w:val="none" w:sz="0" w:space="0" w:color="auto"/>
                    <w:right w:val="none" w:sz="0" w:space="0" w:color="auto"/>
                  </w:divBdr>
                  <w:divsChild>
                    <w:div w:id="1124032863">
                      <w:marLeft w:val="360"/>
                      <w:marRight w:val="0"/>
                      <w:marTop w:val="0"/>
                      <w:marBottom w:val="0"/>
                      <w:divBdr>
                        <w:top w:val="none" w:sz="0" w:space="0" w:color="auto"/>
                        <w:left w:val="none" w:sz="0" w:space="0" w:color="auto"/>
                        <w:bottom w:val="none" w:sz="0" w:space="0" w:color="auto"/>
                        <w:right w:val="none" w:sz="0" w:space="0" w:color="auto"/>
                      </w:divBdr>
                      <w:divsChild>
                        <w:div w:id="46270139">
                          <w:marLeft w:val="360"/>
                          <w:marRight w:val="0"/>
                          <w:marTop w:val="0"/>
                          <w:marBottom w:val="0"/>
                          <w:divBdr>
                            <w:top w:val="none" w:sz="0" w:space="0" w:color="auto"/>
                            <w:left w:val="none" w:sz="0" w:space="0" w:color="auto"/>
                            <w:bottom w:val="none" w:sz="0" w:space="0" w:color="auto"/>
                            <w:right w:val="none" w:sz="0" w:space="0" w:color="auto"/>
                          </w:divBdr>
                        </w:div>
                        <w:div w:id="69498580">
                          <w:marLeft w:val="360"/>
                          <w:marRight w:val="0"/>
                          <w:marTop w:val="0"/>
                          <w:marBottom w:val="0"/>
                          <w:divBdr>
                            <w:top w:val="none" w:sz="0" w:space="0" w:color="auto"/>
                            <w:left w:val="none" w:sz="0" w:space="0" w:color="auto"/>
                            <w:bottom w:val="none" w:sz="0" w:space="0" w:color="auto"/>
                            <w:right w:val="none" w:sz="0" w:space="0" w:color="auto"/>
                          </w:divBdr>
                        </w:div>
                        <w:div w:id="822507483">
                          <w:marLeft w:val="360"/>
                          <w:marRight w:val="0"/>
                          <w:marTop w:val="0"/>
                          <w:marBottom w:val="0"/>
                          <w:divBdr>
                            <w:top w:val="none" w:sz="0" w:space="0" w:color="auto"/>
                            <w:left w:val="none" w:sz="0" w:space="0" w:color="auto"/>
                            <w:bottom w:val="none" w:sz="0" w:space="0" w:color="auto"/>
                            <w:right w:val="none" w:sz="0" w:space="0" w:color="auto"/>
                          </w:divBdr>
                        </w:div>
                        <w:div w:id="1361662464">
                          <w:marLeft w:val="360"/>
                          <w:marRight w:val="0"/>
                          <w:marTop w:val="0"/>
                          <w:marBottom w:val="0"/>
                          <w:divBdr>
                            <w:top w:val="none" w:sz="0" w:space="0" w:color="auto"/>
                            <w:left w:val="none" w:sz="0" w:space="0" w:color="auto"/>
                            <w:bottom w:val="none" w:sz="0" w:space="0" w:color="auto"/>
                            <w:right w:val="none" w:sz="0" w:space="0" w:color="auto"/>
                          </w:divBdr>
                        </w:div>
                        <w:div w:id="1876045003">
                          <w:marLeft w:val="360"/>
                          <w:marRight w:val="0"/>
                          <w:marTop w:val="0"/>
                          <w:marBottom w:val="0"/>
                          <w:divBdr>
                            <w:top w:val="none" w:sz="0" w:space="0" w:color="auto"/>
                            <w:left w:val="none" w:sz="0" w:space="0" w:color="auto"/>
                            <w:bottom w:val="none" w:sz="0" w:space="0" w:color="auto"/>
                            <w:right w:val="none" w:sz="0" w:space="0" w:color="auto"/>
                          </w:divBdr>
                        </w:div>
                      </w:divsChild>
                    </w:div>
                    <w:div w:id="1814446938">
                      <w:marLeft w:val="0"/>
                      <w:marRight w:val="0"/>
                      <w:marTop w:val="0"/>
                      <w:marBottom w:val="0"/>
                      <w:divBdr>
                        <w:top w:val="none" w:sz="0" w:space="0" w:color="auto"/>
                        <w:left w:val="none" w:sz="0" w:space="0" w:color="auto"/>
                        <w:bottom w:val="none" w:sz="0" w:space="0" w:color="auto"/>
                        <w:right w:val="none" w:sz="0" w:space="0" w:color="auto"/>
                      </w:divBdr>
                    </w:div>
                    <w:div w:id="1941644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72455237">
      <w:bodyDiv w:val="1"/>
      <w:marLeft w:val="0"/>
      <w:marRight w:val="0"/>
      <w:marTop w:val="0"/>
      <w:marBottom w:val="0"/>
      <w:divBdr>
        <w:top w:val="none" w:sz="0" w:space="0" w:color="auto"/>
        <w:left w:val="none" w:sz="0" w:space="0" w:color="auto"/>
        <w:bottom w:val="none" w:sz="0" w:space="0" w:color="auto"/>
        <w:right w:val="none" w:sz="0" w:space="0" w:color="auto"/>
      </w:divBdr>
      <w:divsChild>
        <w:div w:id="182287158">
          <w:marLeft w:val="0"/>
          <w:marRight w:val="0"/>
          <w:marTop w:val="0"/>
          <w:marBottom w:val="0"/>
          <w:divBdr>
            <w:top w:val="none" w:sz="0" w:space="0" w:color="auto"/>
            <w:left w:val="none" w:sz="0" w:space="0" w:color="auto"/>
            <w:bottom w:val="none" w:sz="0" w:space="0" w:color="auto"/>
            <w:right w:val="none" w:sz="0" w:space="0" w:color="auto"/>
          </w:divBdr>
          <w:divsChild>
            <w:div w:id="569465412">
              <w:marLeft w:val="0"/>
              <w:marRight w:val="0"/>
              <w:marTop w:val="0"/>
              <w:marBottom w:val="0"/>
              <w:divBdr>
                <w:top w:val="none" w:sz="0" w:space="0" w:color="auto"/>
                <w:left w:val="none" w:sz="0" w:space="0" w:color="auto"/>
                <w:bottom w:val="none" w:sz="0" w:space="0" w:color="auto"/>
                <w:right w:val="none" w:sz="0" w:space="0" w:color="auto"/>
              </w:divBdr>
              <w:divsChild>
                <w:div w:id="1545676910">
                  <w:marLeft w:val="0"/>
                  <w:marRight w:val="0"/>
                  <w:marTop w:val="0"/>
                  <w:marBottom w:val="0"/>
                  <w:divBdr>
                    <w:top w:val="none" w:sz="0" w:space="0" w:color="auto"/>
                    <w:left w:val="none" w:sz="0" w:space="0" w:color="auto"/>
                    <w:bottom w:val="none" w:sz="0" w:space="0" w:color="auto"/>
                    <w:right w:val="none" w:sz="0" w:space="0" w:color="auto"/>
                  </w:divBdr>
                  <w:divsChild>
                    <w:div w:id="83503309">
                      <w:marLeft w:val="0"/>
                      <w:marRight w:val="0"/>
                      <w:marTop w:val="0"/>
                      <w:marBottom w:val="0"/>
                      <w:divBdr>
                        <w:top w:val="none" w:sz="0" w:space="0" w:color="auto"/>
                        <w:left w:val="none" w:sz="0" w:space="0" w:color="auto"/>
                        <w:bottom w:val="none" w:sz="0" w:space="0" w:color="auto"/>
                        <w:right w:val="none" w:sz="0" w:space="0" w:color="auto"/>
                      </w:divBdr>
                      <w:divsChild>
                        <w:div w:id="1922793017">
                          <w:marLeft w:val="0"/>
                          <w:marRight w:val="0"/>
                          <w:marTop w:val="0"/>
                          <w:marBottom w:val="0"/>
                          <w:divBdr>
                            <w:top w:val="none" w:sz="0" w:space="0" w:color="auto"/>
                            <w:left w:val="none" w:sz="0" w:space="0" w:color="auto"/>
                            <w:bottom w:val="none" w:sz="0" w:space="0" w:color="auto"/>
                            <w:right w:val="none" w:sz="0" w:space="0" w:color="auto"/>
                          </w:divBdr>
                          <w:divsChild>
                            <w:div w:id="1299799967">
                              <w:marLeft w:val="0"/>
                              <w:marRight w:val="0"/>
                              <w:marTop w:val="0"/>
                              <w:marBottom w:val="0"/>
                              <w:divBdr>
                                <w:top w:val="none" w:sz="0" w:space="0" w:color="auto"/>
                                <w:left w:val="none" w:sz="0" w:space="0" w:color="auto"/>
                                <w:bottom w:val="none" w:sz="0" w:space="0" w:color="auto"/>
                                <w:right w:val="none" w:sz="0" w:space="0" w:color="auto"/>
                              </w:divBdr>
                              <w:divsChild>
                                <w:div w:id="4973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884709">
      <w:bodyDiv w:val="1"/>
      <w:marLeft w:val="0"/>
      <w:marRight w:val="0"/>
      <w:marTop w:val="0"/>
      <w:marBottom w:val="0"/>
      <w:divBdr>
        <w:top w:val="none" w:sz="0" w:space="0" w:color="auto"/>
        <w:left w:val="none" w:sz="0" w:space="0" w:color="auto"/>
        <w:bottom w:val="none" w:sz="0" w:space="0" w:color="auto"/>
        <w:right w:val="none" w:sz="0" w:space="0" w:color="auto"/>
      </w:divBdr>
      <w:divsChild>
        <w:div w:id="953290619">
          <w:marLeft w:val="0"/>
          <w:marRight w:val="0"/>
          <w:marTop w:val="0"/>
          <w:marBottom w:val="0"/>
          <w:divBdr>
            <w:top w:val="none" w:sz="0" w:space="0" w:color="auto"/>
            <w:left w:val="single" w:sz="6" w:space="0" w:color="BBBBBB"/>
            <w:bottom w:val="single" w:sz="6" w:space="0" w:color="BBBBBB"/>
            <w:right w:val="single" w:sz="6" w:space="0" w:color="BBBBBB"/>
          </w:divBdr>
          <w:divsChild>
            <w:div w:id="996111236">
              <w:marLeft w:val="0"/>
              <w:marRight w:val="0"/>
              <w:marTop w:val="0"/>
              <w:marBottom w:val="0"/>
              <w:divBdr>
                <w:top w:val="none" w:sz="0" w:space="0" w:color="auto"/>
                <w:left w:val="none" w:sz="0" w:space="0" w:color="auto"/>
                <w:bottom w:val="none" w:sz="0" w:space="0" w:color="auto"/>
                <w:right w:val="none" w:sz="0" w:space="0" w:color="auto"/>
              </w:divBdr>
              <w:divsChild>
                <w:div w:id="1588273726">
                  <w:marLeft w:val="0"/>
                  <w:marRight w:val="0"/>
                  <w:marTop w:val="75"/>
                  <w:marBottom w:val="0"/>
                  <w:divBdr>
                    <w:top w:val="none" w:sz="0" w:space="0" w:color="auto"/>
                    <w:left w:val="none" w:sz="0" w:space="0" w:color="auto"/>
                    <w:bottom w:val="none" w:sz="0" w:space="0" w:color="auto"/>
                    <w:right w:val="none" w:sz="0" w:space="0" w:color="auto"/>
                  </w:divBdr>
                  <w:divsChild>
                    <w:div w:id="1745713803">
                      <w:marLeft w:val="0"/>
                      <w:marRight w:val="0"/>
                      <w:marTop w:val="0"/>
                      <w:marBottom w:val="0"/>
                      <w:divBdr>
                        <w:top w:val="none" w:sz="0" w:space="0" w:color="auto"/>
                        <w:left w:val="none" w:sz="0" w:space="0" w:color="auto"/>
                        <w:bottom w:val="none" w:sz="0" w:space="0" w:color="auto"/>
                        <w:right w:val="none" w:sz="0" w:space="0" w:color="auto"/>
                      </w:divBdr>
                      <w:divsChild>
                        <w:div w:id="16587510">
                          <w:marLeft w:val="0"/>
                          <w:marRight w:val="0"/>
                          <w:marTop w:val="0"/>
                          <w:marBottom w:val="0"/>
                          <w:divBdr>
                            <w:top w:val="none" w:sz="0" w:space="0" w:color="auto"/>
                            <w:left w:val="none" w:sz="0" w:space="0" w:color="auto"/>
                            <w:bottom w:val="none" w:sz="0" w:space="0" w:color="auto"/>
                            <w:right w:val="none" w:sz="0" w:space="0" w:color="auto"/>
                          </w:divBdr>
                          <w:divsChild>
                            <w:div w:id="79495582">
                              <w:marLeft w:val="0"/>
                              <w:marRight w:val="0"/>
                              <w:marTop w:val="0"/>
                              <w:marBottom w:val="0"/>
                              <w:divBdr>
                                <w:top w:val="none" w:sz="0" w:space="0" w:color="auto"/>
                                <w:left w:val="none" w:sz="0" w:space="0" w:color="auto"/>
                                <w:bottom w:val="none" w:sz="0" w:space="0" w:color="auto"/>
                                <w:right w:val="none" w:sz="0" w:space="0" w:color="auto"/>
                              </w:divBdr>
                              <w:divsChild>
                                <w:div w:id="274018364">
                                  <w:marLeft w:val="0"/>
                                  <w:marRight w:val="0"/>
                                  <w:marTop w:val="0"/>
                                  <w:marBottom w:val="0"/>
                                  <w:divBdr>
                                    <w:top w:val="none" w:sz="0" w:space="0" w:color="auto"/>
                                    <w:left w:val="none" w:sz="0" w:space="0" w:color="auto"/>
                                    <w:bottom w:val="none" w:sz="0" w:space="0" w:color="auto"/>
                                    <w:right w:val="none" w:sz="0" w:space="0" w:color="auto"/>
                                  </w:divBdr>
                                  <w:divsChild>
                                    <w:div w:id="1873111778">
                                      <w:marLeft w:val="0"/>
                                      <w:marRight w:val="0"/>
                                      <w:marTop w:val="0"/>
                                      <w:marBottom w:val="0"/>
                                      <w:divBdr>
                                        <w:top w:val="none" w:sz="0" w:space="0" w:color="auto"/>
                                        <w:left w:val="none" w:sz="0" w:space="0" w:color="auto"/>
                                        <w:bottom w:val="none" w:sz="0" w:space="0" w:color="auto"/>
                                        <w:right w:val="none" w:sz="0" w:space="0" w:color="auto"/>
                                      </w:divBdr>
                                      <w:divsChild>
                                        <w:div w:id="680812804">
                                          <w:marLeft w:val="1200"/>
                                          <w:marRight w:val="1200"/>
                                          <w:marTop w:val="0"/>
                                          <w:marBottom w:val="0"/>
                                          <w:divBdr>
                                            <w:top w:val="none" w:sz="0" w:space="0" w:color="auto"/>
                                            <w:left w:val="none" w:sz="0" w:space="0" w:color="auto"/>
                                            <w:bottom w:val="none" w:sz="0" w:space="0" w:color="auto"/>
                                            <w:right w:val="none" w:sz="0" w:space="0" w:color="auto"/>
                                          </w:divBdr>
                                          <w:divsChild>
                                            <w:div w:id="1291401227">
                                              <w:marLeft w:val="0"/>
                                              <w:marRight w:val="0"/>
                                              <w:marTop w:val="0"/>
                                              <w:marBottom w:val="0"/>
                                              <w:divBdr>
                                                <w:top w:val="none" w:sz="0" w:space="0" w:color="auto"/>
                                                <w:left w:val="none" w:sz="0" w:space="0" w:color="auto"/>
                                                <w:bottom w:val="none" w:sz="0" w:space="0" w:color="auto"/>
                                                <w:right w:val="none" w:sz="0" w:space="0" w:color="auto"/>
                                              </w:divBdr>
                                              <w:divsChild>
                                                <w:div w:id="1248926787">
                                                  <w:marLeft w:val="0"/>
                                                  <w:marRight w:val="0"/>
                                                  <w:marTop w:val="0"/>
                                                  <w:marBottom w:val="0"/>
                                                  <w:divBdr>
                                                    <w:top w:val="none" w:sz="0" w:space="0" w:color="auto"/>
                                                    <w:left w:val="none" w:sz="0" w:space="0" w:color="auto"/>
                                                    <w:bottom w:val="none" w:sz="0" w:space="0" w:color="auto"/>
                                                    <w:right w:val="none" w:sz="0" w:space="0" w:color="auto"/>
                                                  </w:divBdr>
                                                  <w:divsChild>
                                                    <w:div w:id="637346080">
                                                      <w:marLeft w:val="0"/>
                                                      <w:marRight w:val="0"/>
                                                      <w:marTop w:val="0"/>
                                                      <w:marBottom w:val="0"/>
                                                      <w:divBdr>
                                                        <w:top w:val="none" w:sz="0" w:space="0" w:color="auto"/>
                                                        <w:left w:val="none" w:sz="0" w:space="0" w:color="auto"/>
                                                        <w:bottom w:val="none" w:sz="0" w:space="0" w:color="auto"/>
                                                        <w:right w:val="none" w:sz="0" w:space="0" w:color="auto"/>
                                                      </w:divBdr>
                                                      <w:divsChild>
                                                        <w:div w:id="1952400233">
                                                          <w:marLeft w:val="0"/>
                                                          <w:marRight w:val="0"/>
                                                          <w:marTop w:val="0"/>
                                                          <w:marBottom w:val="0"/>
                                                          <w:divBdr>
                                                            <w:top w:val="none" w:sz="0" w:space="0" w:color="auto"/>
                                                            <w:left w:val="none" w:sz="0" w:space="0" w:color="auto"/>
                                                            <w:bottom w:val="none" w:sz="0" w:space="0" w:color="auto"/>
                                                            <w:right w:val="none" w:sz="0" w:space="0" w:color="auto"/>
                                                          </w:divBdr>
                                                        </w:div>
                                                      </w:divsChild>
                                                    </w:div>
                                                    <w:div w:id="1310208086">
                                                      <w:marLeft w:val="0"/>
                                                      <w:marRight w:val="0"/>
                                                      <w:marTop w:val="0"/>
                                                      <w:marBottom w:val="0"/>
                                                      <w:divBdr>
                                                        <w:top w:val="none" w:sz="0" w:space="0" w:color="auto"/>
                                                        <w:left w:val="none" w:sz="0" w:space="0" w:color="auto"/>
                                                        <w:bottom w:val="none" w:sz="0" w:space="0" w:color="auto"/>
                                                        <w:right w:val="none" w:sz="0" w:space="0" w:color="auto"/>
                                                      </w:divBdr>
                                                      <w:divsChild>
                                                        <w:div w:id="1342126446">
                                                          <w:marLeft w:val="0"/>
                                                          <w:marRight w:val="0"/>
                                                          <w:marTop w:val="0"/>
                                                          <w:marBottom w:val="0"/>
                                                          <w:divBdr>
                                                            <w:top w:val="none" w:sz="0" w:space="0" w:color="auto"/>
                                                            <w:left w:val="none" w:sz="0" w:space="0" w:color="auto"/>
                                                            <w:bottom w:val="none" w:sz="0" w:space="0" w:color="auto"/>
                                                            <w:right w:val="none" w:sz="0" w:space="0" w:color="auto"/>
                                                          </w:divBdr>
                                                        </w:div>
                                                      </w:divsChild>
                                                    </w:div>
                                                    <w:div w:id="1423182521">
                                                      <w:marLeft w:val="0"/>
                                                      <w:marRight w:val="0"/>
                                                      <w:marTop w:val="0"/>
                                                      <w:marBottom w:val="0"/>
                                                      <w:divBdr>
                                                        <w:top w:val="none" w:sz="0" w:space="0" w:color="auto"/>
                                                        <w:left w:val="none" w:sz="0" w:space="0" w:color="auto"/>
                                                        <w:bottom w:val="none" w:sz="0" w:space="0" w:color="auto"/>
                                                        <w:right w:val="none" w:sz="0" w:space="0" w:color="auto"/>
                                                      </w:divBdr>
                                                      <w:divsChild>
                                                        <w:div w:id="1888377267">
                                                          <w:marLeft w:val="0"/>
                                                          <w:marRight w:val="0"/>
                                                          <w:marTop w:val="0"/>
                                                          <w:marBottom w:val="0"/>
                                                          <w:divBdr>
                                                            <w:top w:val="none" w:sz="0" w:space="0" w:color="auto"/>
                                                            <w:left w:val="none" w:sz="0" w:space="0" w:color="auto"/>
                                                            <w:bottom w:val="none" w:sz="0" w:space="0" w:color="auto"/>
                                                            <w:right w:val="none" w:sz="0" w:space="0" w:color="auto"/>
                                                          </w:divBdr>
                                                        </w:div>
                                                      </w:divsChild>
                                                    </w:div>
                                                    <w:div w:id="1437939859">
                                                      <w:marLeft w:val="0"/>
                                                      <w:marRight w:val="0"/>
                                                      <w:marTop w:val="0"/>
                                                      <w:marBottom w:val="0"/>
                                                      <w:divBdr>
                                                        <w:top w:val="none" w:sz="0" w:space="0" w:color="auto"/>
                                                        <w:left w:val="none" w:sz="0" w:space="0" w:color="auto"/>
                                                        <w:bottom w:val="none" w:sz="0" w:space="0" w:color="auto"/>
                                                        <w:right w:val="none" w:sz="0" w:space="0" w:color="auto"/>
                                                      </w:divBdr>
                                                      <w:divsChild>
                                                        <w:div w:id="1562475914">
                                                          <w:marLeft w:val="0"/>
                                                          <w:marRight w:val="0"/>
                                                          <w:marTop w:val="0"/>
                                                          <w:marBottom w:val="0"/>
                                                          <w:divBdr>
                                                            <w:top w:val="none" w:sz="0" w:space="0" w:color="auto"/>
                                                            <w:left w:val="none" w:sz="0" w:space="0" w:color="auto"/>
                                                            <w:bottom w:val="none" w:sz="0" w:space="0" w:color="auto"/>
                                                            <w:right w:val="none" w:sz="0" w:space="0" w:color="auto"/>
                                                          </w:divBdr>
                                                        </w:div>
                                                      </w:divsChild>
                                                    </w:div>
                                                    <w:div w:id="1478065927">
                                                      <w:marLeft w:val="0"/>
                                                      <w:marRight w:val="0"/>
                                                      <w:marTop w:val="0"/>
                                                      <w:marBottom w:val="0"/>
                                                      <w:divBdr>
                                                        <w:top w:val="none" w:sz="0" w:space="0" w:color="auto"/>
                                                        <w:left w:val="none" w:sz="0" w:space="0" w:color="auto"/>
                                                        <w:bottom w:val="none" w:sz="0" w:space="0" w:color="auto"/>
                                                        <w:right w:val="none" w:sz="0" w:space="0" w:color="auto"/>
                                                      </w:divBdr>
                                                      <w:divsChild>
                                                        <w:div w:id="1648391792">
                                                          <w:marLeft w:val="0"/>
                                                          <w:marRight w:val="0"/>
                                                          <w:marTop w:val="0"/>
                                                          <w:marBottom w:val="0"/>
                                                          <w:divBdr>
                                                            <w:top w:val="none" w:sz="0" w:space="0" w:color="auto"/>
                                                            <w:left w:val="none" w:sz="0" w:space="0" w:color="auto"/>
                                                            <w:bottom w:val="none" w:sz="0" w:space="0" w:color="auto"/>
                                                            <w:right w:val="none" w:sz="0" w:space="0" w:color="auto"/>
                                                          </w:divBdr>
                                                        </w:div>
                                                      </w:divsChild>
                                                    </w:div>
                                                    <w:div w:id="1545022339">
                                                      <w:marLeft w:val="0"/>
                                                      <w:marRight w:val="0"/>
                                                      <w:marTop w:val="0"/>
                                                      <w:marBottom w:val="0"/>
                                                      <w:divBdr>
                                                        <w:top w:val="none" w:sz="0" w:space="0" w:color="auto"/>
                                                        <w:left w:val="none" w:sz="0" w:space="0" w:color="auto"/>
                                                        <w:bottom w:val="none" w:sz="0" w:space="0" w:color="auto"/>
                                                        <w:right w:val="none" w:sz="0" w:space="0" w:color="auto"/>
                                                      </w:divBdr>
                                                      <w:divsChild>
                                                        <w:div w:id="18003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623457">
      <w:bodyDiv w:val="1"/>
      <w:marLeft w:val="0"/>
      <w:marRight w:val="0"/>
      <w:marTop w:val="0"/>
      <w:marBottom w:val="0"/>
      <w:divBdr>
        <w:top w:val="none" w:sz="0" w:space="0" w:color="auto"/>
        <w:left w:val="none" w:sz="0" w:space="0" w:color="auto"/>
        <w:bottom w:val="none" w:sz="0" w:space="0" w:color="auto"/>
        <w:right w:val="none" w:sz="0" w:space="0" w:color="auto"/>
      </w:divBdr>
      <w:divsChild>
        <w:div w:id="2095466032">
          <w:marLeft w:val="0"/>
          <w:marRight w:val="0"/>
          <w:marTop w:val="240"/>
          <w:marBottom w:val="0"/>
          <w:divBdr>
            <w:top w:val="none" w:sz="0" w:space="0" w:color="auto"/>
            <w:left w:val="none" w:sz="0" w:space="0" w:color="auto"/>
            <w:bottom w:val="none" w:sz="0" w:space="0" w:color="auto"/>
            <w:right w:val="none" w:sz="0" w:space="0" w:color="auto"/>
          </w:divBdr>
          <w:divsChild>
            <w:div w:id="234362911">
              <w:marLeft w:val="0"/>
              <w:marRight w:val="0"/>
              <w:marTop w:val="0"/>
              <w:marBottom w:val="0"/>
              <w:divBdr>
                <w:top w:val="none" w:sz="0" w:space="0" w:color="auto"/>
                <w:left w:val="none" w:sz="0" w:space="0" w:color="auto"/>
                <w:bottom w:val="none" w:sz="0" w:space="0" w:color="auto"/>
                <w:right w:val="none" w:sz="0" w:space="0" w:color="auto"/>
              </w:divBdr>
            </w:div>
            <w:div w:id="949164012">
              <w:marLeft w:val="0"/>
              <w:marRight w:val="0"/>
              <w:marTop w:val="240"/>
              <w:marBottom w:val="0"/>
              <w:divBdr>
                <w:top w:val="none" w:sz="0" w:space="0" w:color="auto"/>
                <w:left w:val="none" w:sz="0" w:space="0" w:color="auto"/>
                <w:bottom w:val="none" w:sz="0" w:space="0" w:color="auto"/>
                <w:right w:val="none" w:sz="0" w:space="0" w:color="auto"/>
              </w:divBdr>
              <w:divsChild>
                <w:div w:id="1918972693">
                  <w:marLeft w:val="0"/>
                  <w:marRight w:val="0"/>
                  <w:marTop w:val="0"/>
                  <w:marBottom w:val="0"/>
                  <w:divBdr>
                    <w:top w:val="none" w:sz="0" w:space="0" w:color="auto"/>
                    <w:left w:val="none" w:sz="0" w:space="0" w:color="auto"/>
                    <w:bottom w:val="none" w:sz="0" w:space="0" w:color="auto"/>
                    <w:right w:val="none" w:sz="0" w:space="0" w:color="auto"/>
                  </w:divBdr>
                  <w:divsChild>
                    <w:div w:id="2043285685">
                      <w:blockQuote w:val="1"/>
                      <w:marLeft w:val="0"/>
                      <w:marRight w:val="0"/>
                      <w:marTop w:val="0"/>
                      <w:marBottom w:val="0"/>
                      <w:divBdr>
                        <w:top w:val="none" w:sz="0" w:space="0" w:color="auto"/>
                        <w:left w:val="none" w:sz="0" w:space="0" w:color="auto"/>
                        <w:bottom w:val="none" w:sz="0" w:space="0" w:color="auto"/>
                        <w:right w:val="none" w:sz="0" w:space="0" w:color="auto"/>
                      </w:divBdr>
                      <w:divsChild>
                        <w:div w:id="174610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64112">
              <w:marLeft w:val="0"/>
              <w:marRight w:val="0"/>
              <w:marTop w:val="240"/>
              <w:marBottom w:val="0"/>
              <w:divBdr>
                <w:top w:val="none" w:sz="0" w:space="0" w:color="auto"/>
                <w:left w:val="none" w:sz="0" w:space="0" w:color="auto"/>
                <w:bottom w:val="none" w:sz="0" w:space="0" w:color="auto"/>
                <w:right w:val="none" w:sz="0" w:space="0" w:color="auto"/>
              </w:divBdr>
            </w:div>
          </w:divsChild>
        </w:div>
        <w:div w:id="29843905">
          <w:marLeft w:val="0"/>
          <w:marRight w:val="0"/>
          <w:marTop w:val="240"/>
          <w:marBottom w:val="0"/>
          <w:divBdr>
            <w:top w:val="none" w:sz="0" w:space="0" w:color="auto"/>
            <w:left w:val="none" w:sz="0" w:space="0" w:color="auto"/>
            <w:bottom w:val="none" w:sz="0" w:space="0" w:color="auto"/>
            <w:right w:val="none" w:sz="0" w:space="0" w:color="auto"/>
          </w:divBdr>
          <w:divsChild>
            <w:div w:id="710418034">
              <w:marLeft w:val="0"/>
              <w:marRight w:val="0"/>
              <w:marTop w:val="0"/>
              <w:marBottom w:val="0"/>
              <w:divBdr>
                <w:top w:val="none" w:sz="0" w:space="0" w:color="auto"/>
                <w:left w:val="none" w:sz="0" w:space="0" w:color="auto"/>
                <w:bottom w:val="none" w:sz="0" w:space="0" w:color="auto"/>
                <w:right w:val="none" w:sz="0" w:space="0" w:color="auto"/>
              </w:divBdr>
            </w:div>
            <w:div w:id="167642257">
              <w:marLeft w:val="0"/>
              <w:marRight w:val="0"/>
              <w:marTop w:val="240"/>
              <w:marBottom w:val="0"/>
              <w:divBdr>
                <w:top w:val="none" w:sz="0" w:space="0" w:color="auto"/>
                <w:left w:val="none" w:sz="0" w:space="0" w:color="auto"/>
                <w:bottom w:val="none" w:sz="0" w:space="0" w:color="auto"/>
                <w:right w:val="none" w:sz="0" w:space="0" w:color="auto"/>
              </w:divBdr>
              <w:divsChild>
                <w:div w:id="934939462">
                  <w:marLeft w:val="0"/>
                  <w:marRight w:val="0"/>
                  <w:marTop w:val="0"/>
                  <w:marBottom w:val="0"/>
                  <w:divBdr>
                    <w:top w:val="none" w:sz="0" w:space="0" w:color="auto"/>
                    <w:left w:val="none" w:sz="0" w:space="0" w:color="auto"/>
                    <w:bottom w:val="none" w:sz="0" w:space="0" w:color="auto"/>
                    <w:right w:val="none" w:sz="0" w:space="0" w:color="auto"/>
                  </w:divBdr>
                  <w:divsChild>
                    <w:div w:id="1791053160">
                      <w:blockQuote w:val="1"/>
                      <w:marLeft w:val="0"/>
                      <w:marRight w:val="0"/>
                      <w:marTop w:val="0"/>
                      <w:marBottom w:val="0"/>
                      <w:divBdr>
                        <w:top w:val="none" w:sz="0" w:space="0" w:color="auto"/>
                        <w:left w:val="none" w:sz="0" w:space="0" w:color="auto"/>
                        <w:bottom w:val="none" w:sz="0" w:space="0" w:color="auto"/>
                        <w:right w:val="none" w:sz="0" w:space="0" w:color="auto"/>
                      </w:divBdr>
                      <w:divsChild>
                        <w:div w:id="2916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38907">
              <w:marLeft w:val="0"/>
              <w:marRight w:val="0"/>
              <w:marTop w:val="240"/>
              <w:marBottom w:val="0"/>
              <w:divBdr>
                <w:top w:val="none" w:sz="0" w:space="0" w:color="auto"/>
                <w:left w:val="none" w:sz="0" w:space="0" w:color="auto"/>
                <w:bottom w:val="none" w:sz="0" w:space="0" w:color="auto"/>
                <w:right w:val="none" w:sz="0" w:space="0" w:color="auto"/>
              </w:divBdr>
            </w:div>
          </w:divsChild>
        </w:div>
        <w:div w:id="1978224267">
          <w:marLeft w:val="0"/>
          <w:marRight w:val="0"/>
          <w:marTop w:val="240"/>
          <w:marBottom w:val="0"/>
          <w:divBdr>
            <w:top w:val="none" w:sz="0" w:space="0" w:color="auto"/>
            <w:left w:val="none" w:sz="0" w:space="0" w:color="auto"/>
            <w:bottom w:val="none" w:sz="0" w:space="0" w:color="auto"/>
            <w:right w:val="none" w:sz="0" w:space="0" w:color="auto"/>
          </w:divBdr>
          <w:divsChild>
            <w:div w:id="1086070633">
              <w:marLeft w:val="0"/>
              <w:marRight w:val="0"/>
              <w:marTop w:val="0"/>
              <w:marBottom w:val="0"/>
              <w:divBdr>
                <w:top w:val="none" w:sz="0" w:space="0" w:color="auto"/>
                <w:left w:val="none" w:sz="0" w:space="0" w:color="auto"/>
                <w:bottom w:val="none" w:sz="0" w:space="0" w:color="auto"/>
                <w:right w:val="none" w:sz="0" w:space="0" w:color="auto"/>
              </w:divBdr>
            </w:div>
            <w:div w:id="745032335">
              <w:marLeft w:val="0"/>
              <w:marRight w:val="0"/>
              <w:marTop w:val="240"/>
              <w:marBottom w:val="0"/>
              <w:divBdr>
                <w:top w:val="none" w:sz="0" w:space="0" w:color="auto"/>
                <w:left w:val="none" w:sz="0" w:space="0" w:color="auto"/>
                <w:bottom w:val="none" w:sz="0" w:space="0" w:color="auto"/>
                <w:right w:val="none" w:sz="0" w:space="0" w:color="auto"/>
              </w:divBdr>
              <w:divsChild>
                <w:div w:id="1028525595">
                  <w:marLeft w:val="0"/>
                  <w:marRight w:val="0"/>
                  <w:marTop w:val="0"/>
                  <w:marBottom w:val="0"/>
                  <w:divBdr>
                    <w:top w:val="none" w:sz="0" w:space="0" w:color="auto"/>
                    <w:left w:val="none" w:sz="0" w:space="0" w:color="auto"/>
                    <w:bottom w:val="none" w:sz="0" w:space="0" w:color="auto"/>
                    <w:right w:val="none" w:sz="0" w:space="0" w:color="auto"/>
                  </w:divBdr>
                  <w:divsChild>
                    <w:div w:id="583879707">
                      <w:blockQuote w:val="1"/>
                      <w:marLeft w:val="0"/>
                      <w:marRight w:val="0"/>
                      <w:marTop w:val="0"/>
                      <w:marBottom w:val="0"/>
                      <w:divBdr>
                        <w:top w:val="none" w:sz="0" w:space="0" w:color="auto"/>
                        <w:left w:val="none" w:sz="0" w:space="0" w:color="auto"/>
                        <w:bottom w:val="none" w:sz="0" w:space="0" w:color="auto"/>
                        <w:right w:val="none" w:sz="0" w:space="0" w:color="auto"/>
                      </w:divBdr>
                      <w:divsChild>
                        <w:div w:id="656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257048">
              <w:marLeft w:val="0"/>
              <w:marRight w:val="0"/>
              <w:marTop w:val="240"/>
              <w:marBottom w:val="0"/>
              <w:divBdr>
                <w:top w:val="none" w:sz="0" w:space="0" w:color="auto"/>
                <w:left w:val="none" w:sz="0" w:space="0" w:color="auto"/>
                <w:bottom w:val="none" w:sz="0" w:space="0" w:color="auto"/>
                <w:right w:val="none" w:sz="0" w:space="0" w:color="auto"/>
              </w:divBdr>
            </w:div>
          </w:divsChild>
        </w:div>
        <w:div w:id="1099064480">
          <w:marLeft w:val="0"/>
          <w:marRight w:val="0"/>
          <w:marTop w:val="240"/>
          <w:marBottom w:val="0"/>
          <w:divBdr>
            <w:top w:val="none" w:sz="0" w:space="0" w:color="auto"/>
            <w:left w:val="none" w:sz="0" w:space="0" w:color="auto"/>
            <w:bottom w:val="none" w:sz="0" w:space="0" w:color="auto"/>
            <w:right w:val="none" w:sz="0" w:space="0" w:color="auto"/>
          </w:divBdr>
          <w:divsChild>
            <w:div w:id="14356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4281">
      <w:bodyDiv w:val="1"/>
      <w:marLeft w:val="0"/>
      <w:marRight w:val="0"/>
      <w:marTop w:val="0"/>
      <w:marBottom w:val="0"/>
      <w:divBdr>
        <w:top w:val="none" w:sz="0" w:space="0" w:color="auto"/>
        <w:left w:val="none" w:sz="0" w:space="0" w:color="auto"/>
        <w:bottom w:val="none" w:sz="0" w:space="0" w:color="auto"/>
        <w:right w:val="none" w:sz="0" w:space="0" w:color="auto"/>
      </w:divBdr>
      <w:divsChild>
        <w:div w:id="1221526254">
          <w:marLeft w:val="0"/>
          <w:marRight w:val="0"/>
          <w:marTop w:val="0"/>
          <w:marBottom w:val="0"/>
          <w:divBdr>
            <w:top w:val="none" w:sz="0" w:space="0" w:color="auto"/>
            <w:left w:val="none" w:sz="0" w:space="0" w:color="auto"/>
            <w:bottom w:val="none" w:sz="0" w:space="0" w:color="auto"/>
            <w:right w:val="none" w:sz="0" w:space="0" w:color="auto"/>
          </w:divBdr>
          <w:divsChild>
            <w:div w:id="1036660191">
              <w:marLeft w:val="0"/>
              <w:marRight w:val="0"/>
              <w:marTop w:val="0"/>
              <w:marBottom w:val="0"/>
              <w:divBdr>
                <w:top w:val="none" w:sz="0" w:space="0" w:color="auto"/>
                <w:left w:val="none" w:sz="0" w:space="0" w:color="auto"/>
                <w:bottom w:val="none" w:sz="0" w:space="0" w:color="auto"/>
                <w:right w:val="none" w:sz="0" w:space="0" w:color="auto"/>
              </w:divBdr>
              <w:divsChild>
                <w:div w:id="114138691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78815344">
      <w:bodyDiv w:val="1"/>
      <w:marLeft w:val="0"/>
      <w:marRight w:val="0"/>
      <w:marTop w:val="0"/>
      <w:marBottom w:val="0"/>
      <w:divBdr>
        <w:top w:val="none" w:sz="0" w:space="0" w:color="auto"/>
        <w:left w:val="none" w:sz="0" w:space="0" w:color="auto"/>
        <w:bottom w:val="none" w:sz="0" w:space="0" w:color="auto"/>
        <w:right w:val="none" w:sz="0" w:space="0" w:color="auto"/>
      </w:divBdr>
      <w:divsChild>
        <w:div w:id="2135370424">
          <w:marLeft w:val="0"/>
          <w:marRight w:val="0"/>
          <w:marTop w:val="0"/>
          <w:marBottom w:val="0"/>
          <w:divBdr>
            <w:top w:val="none" w:sz="0" w:space="0" w:color="auto"/>
            <w:left w:val="none" w:sz="0" w:space="0" w:color="auto"/>
            <w:bottom w:val="none" w:sz="0" w:space="0" w:color="auto"/>
            <w:right w:val="none" w:sz="0" w:space="0" w:color="auto"/>
          </w:divBdr>
          <w:divsChild>
            <w:div w:id="1271276860">
              <w:marLeft w:val="0"/>
              <w:marRight w:val="0"/>
              <w:marTop w:val="0"/>
              <w:marBottom w:val="0"/>
              <w:divBdr>
                <w:top w:val="none" w:sz="0" w:space="0" w:color="auto"/>
                <w:left w:val="none" w:sz="0" w:space="0" w:color="auto"/>
                <w:bottom w:val="none" w:sz="0" w:space="0" w:color="auto"/>
                <w:right w:val="none" w:sz="0" w:space="0" w:color="auto"/>
              </w:divBdr>
              <w:divsChild>
                <w:div w:id="1171793498">
                  <w:marLeft w:val="0"/>
                  <w:marRight w:val="0"/>
                  <w:marTop w:val="0"/>
                  <w:marBottom w:val="0"/>
                  <w:divBdr>
                    <w:top w:val="none" w:sz="0" w:space="0" w:color="auto"/>
                    <w:left w:val="none" w:sz="0" w:space="0" w:color="auto"/>
                    <w:bottom w:val="none" w:sz="0" w:space="0" w:color="auto"/>
                    <w:right w:val="none" w:sz="0" w:space="0" w:color="auto"/>
                  </w:divBdr>
                  <w:divsChild>
                    <w:div w:id="463888209">
                      <w:marLeft w:val="0"/>
                      <w:marRight w:val="0"/>
                      <w:marTop w:val="0"/>
                      <w:marBottom w:val="300"/>
                      <w:divBdr>
                        <w:top w:val="none" w:sz="0" w:space="0" w:color="auto"/>
                        <w:left w:val="none" w:sz="0" w:space="0" w:color="auto"/>
                        <w:bottom w:val="none" w:sz="0" w:space="0" w:color="auto"/>
                        <w:right w:val="none" w:sz="0" w:space="0" w:color="auto"/>
                      </w:divBdr>
                      <w:divsChild>
                        <w:div w:id="1684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313412">
      <w:bodyDiv w:val="1"/>
      <w:marLeft w:val="0"/>
      <w:marRight w:val="0"/>
      <w:marTop w:val="0"/>
      <w:marBottom w:val="0"/>
      <w:divBdr>
        <w:top w:val="none" w:sz="0" w:space="0" w:color="auto"/>
        <w:left w:val="none" w:sz="0" w:space="0" w:color="auto"/>
        <w:bottom w:val="none" w:sz="0" w:space="0" w:color="auto"/>
        <w:right w:val="none" w:sz="0" w:space="0" w:color="auto"/>
      </w:divBdr>
    </w:div>
    <w:div w:id="1882552442">
      <w:bodyDiv w:val="1"/>
      <w:marLeft w:val="0"/>
      <w:marRight w:val="0"/>
      <w:marTop w:val="0"/>
      <w:marBottom w:val="0"/>
      <w:divBdr>
        <w:top w:val="none" w:sz="0" w:space="0" w:color="auto"/>
        <w:left w:val="none" w:sz="0" w:space="0" w:color="auto"/>
        <w:bottom w:val="none" w:sz="0" w:space="0" w:color="auto"/>
        <w:right w:val="none" w:sz="0" w:space="0" w:color="auto"/>
      </w:divBdr>
      <w:divsChild>
        <w:div w:id="2029790113">
          <w:marLeft w:val="0"/>
          <w:marRight w:val="0"/>
          <w:marTop w:val="0"/>
          <w:marBottom w:val="0"/>
          <w:divBdr>
            <w:top w:val="none" w:sz="0" w:space="0" w:color="auto"/>
            <w:left w:val="single" w:sz="6" w:space="0" w:color="BBBBBB"/>
            <w:bottom w:val="single" w:sz="6" w:space="0" w:color="BBBBBB"/>
            <w:right w:val="single" w:sz="6" w:space="0" w:color="BBBBBB"/>
          </w:divBdr>
          <w:divsChild>
            <w:div w:id="752050773">
              <w:marLeft w:val="0"/>
              <w:marRight w:val="0"/>
              <w:marTop w:val="0"/>
              <w:marBottom w:val="0"/>
              <w:divBdr>
                <w:top w:val="none" w:sz="0" w:space="0" w:color="auto"/>
                <w:left w:val="none" w:sz="0" w:space="0" w:color="auto"/>
                <w:bottom w:val="none" w:sz="0" w:space="0" w:color="auto"/>
                <w:right w:val="none" w:sz="0" w:space="0" w:color="auto"/>
              </w:divBdr>
              <w:divsChild>
                <w:div w:id="1690175163">
                  <w:marLeft w:val="0"/>
                  <w:marRight w:val="0"/>
                  <w:marTop w:val="75"/>
                  <w:marBottom w:val="0"/>
                  <w:divBdr>
                    <w:top w:val="none" w:sz="0" w:space="0" w:color="auto"/>
                    <w:left w:val="none" w:sz="0" w:space="0" w:color="auto"/>
                    <w:bottom w:val="none" w:sz="0" w:space="0" w:color="auto"/>
                    <w:right w:val="none" w:sz="0" w:space="0" w:color="auto"/>
                  </w:divBdr>
                  <w:divsChild>
                    <w:div w:id="1965500064">
                      <w:marLeft w:val="0"/>
                      <w:marRight w:val="0"/>
                      <w:marTop w:val="0"/>
                      <w:marBottom w:val="0"/>
                      <w:divBdr>
                        <w:top w:val="none" w:sz="0" w:space="0" w:color="auto"/>
                        <w:left w:val="none" w:sz="0" w:space="0" w:color="auto"/>
                        <w:bottom w:val="none" w:sz="0" w:space="0" w:color="auto"/>
                        <w:right w:val="none" w:sz="0" w:space="0" w:color="auto"/>
                      </w:divBdr>
                      <w:divsChild>
                        <w:div w:id="1441756131">
                          <w:marLeft w:val="0"/>
                          <w:marRight w:val="0"/>
                          <w:marTop w:val="0"/>
                          <w:marBottom w:val="0"/>
                          <w:divBdr>
                            <w:top w:val="none" w:sz="0" w:space="0" w:color="auto"/>
                            <w:left w:val="none" w:sz="0" w:space="0" w:color="auto"/>
                            <w:bottom w:val="none" w:sz="0" w:space="0" w:color="auto"/>
                            <w:right w:val="none" w:sz="0" w:space="0" w:color="auto"/>
                          </w:divBdr>
                          <w:divsChild>
                            <w:div w:id="1405033446">
                              <w:marLeft w:val="0"/>
                              <w:marRight w:val="0"/>
                              <w:marTop w:val="0"/>
                              <w:marBottom w:val="0"/>
                              <w:divBdr>
                                <w:top w:val="none" w:sz="0" w:space="0" w:color="auto"/>
                                <w:left w:val="none" w:sz="0" w:space="0" w:color="auto"/>
                                <w:bottom w:val="none" w:sz="0" w:space="0" w:color="auto"/>
                                <w:right w:val="none" w:sz="0" w:space="0" w:color="auto"/>
                              </w:divBdr>
                              <w:divsChild>
                                <w:div w:id="1171600376">
                                  <w:marLeft w:val="0"/>
                                  <w:marRight w:val="0"/>
                                  <w:marTop w:val="0"/>
                                  <w:marBottom w:val="0"/>
                                  <w:divBdr>
                                    <w:top w:val="none" w:sz="0" w:space="0" w:color="auto"/>
                                    <w:left w:val="none" w:sz="0" w:space="0" w:color="auto"/>
                                    <w:bottom w:val="none" w:sz="0" w:space="0" w:color="auto"/>
                                    <w:right w:val="none" w:sz="0" w:space="0" w:color="auto"/>
                                  </w:divBdr>
                                  <w:divsChild>
                                    <w:div w:id="211962677">
                                      <w:marLeft w:val="0"/>
                                      <w:marRight w:val="0"/>
                                      <w:marTop w:val="0"/>
                                      <w:marBottom w:val="0"/>
                                      <w:divBdr>
                                        <w:top w:val="none" w:sz="0" w:space="0" w:color="auto"/>
                                        <w:left w:val="none" w:sz="0" w:space="0" w:color="auto"/>
                                        <w:bottom w:val="none" w:sz="0" w:space="0" w:color="auto"/>
                                        <w:right w:val="none" w:sz="0" w:space="0" w:color="auto"/>
                                      </w:divBdr>
                                      <w:divsChild>
                                        <w:div w:id="291249798">
                                          <w:marLeft w:val="1200"/>
                                          <w:marRight w:val="1200"/>
                                          <w:marTop w:val="0"/>
                                          <w:marBottom w:val="0"/>
                                          <w:divBdr>
                                            <w:top w:val="none" w:sz="0" w:space="0" w:color="auto"/>
                                            <w:left w:val="none" w:sz="0" w:space="0" w:color="auto"/>
                                            <w:bottom w:val="none" w:sz="0" w:space="0" w:color="auto"/>
                                            <w:right w:val="none" w:sz="0" w:space="0" w:color="auto"/>
                                          </w:divBdr>
                                          <w:divsChild>
                                            <w:div w:id="1043291093">
                                              <w:marLeft w:val="0"/>
                                              <w:marRight w:val="0"/>
                                              <w:marTop w:val="0"/>
                                              <w:marBottom w:val="0"/>
                                              <w:divBdr>
                                                <w:top w:val="none" w:sz="0" w:space="0" w:color="auto"/>
                                                <w:left w:val="none" w:sz="0" w:space="0" w:color="auto"/>
                                                <w:bottom w:val="none" w:sz="0" w:space="0" w:color="auto"/>
                                                <w:right w:val="none" w:sz="0" w:space="0" w:color="auto"/>
                                              </w:divBdr>
                                              <w:divsChild>
                                                <w:div w:id="1805465298">
                                                  <w:marLeft w:val="0"/>
                                                  <w:marRight w:val="0"/>
                                                  <w:marTop w:val="0"/>
                                                  <w:marBottom w:val="0"/>
                                                  <w:divBdr>
                                                    <w:top w:val="none" w:sz="0" w:space="0" w:color="auto"/>
                                                    <w:left w:val="none" w:sz="0" w:space="0" w:color="auto"/>
                                                    <w:bottom w:val="none" w:sz="0" w:space="0" w:color="auto"/>
                                                    <w:right w:val="none" w:sz="0" w:space="0" w:color="auto"/>
                                                  </w:divBdr>
                                                  <w:divsChild>
                                                    <w:div w:id="982075393">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sChild>
                                                            <w:div w:id="1179811457">
                                                              <w:marLeft w:val="0"/>
                                                              <w:marRight w:val="0"/>
                                                              <w:marTop w:val="0"/>
                                                              <w:marBottom w:val="0"/>
                                                              <w:divBdr>
                                                                <w:top w:val="none" w:sz="0" w:space="0" w:color="auto"/>
                                                                <w:left w:val="none" w:sz="0" w:space="0" w:color="auto"/>
                                                                <w:bottom w:val="none" w:sz="0" w:space="0" w:color="auto"/>
                                                                <w:right w:val="none" w:sz="0" w:space="0" w:color="auto"/>
                                                              </w:divBdr>
                                                              <w:divsChild>
                                                                <w:div w:id="651645065">
                                                                  <w:marLeft w:val="0"/>
                                                                  <w:marRight w:val="0"/>
                                                                  <w:marTop w:val="0"/>
                                                                  <w:marBottom w:val="0"/>
                                                                  <w:divBdr>
                                                                    <w:top w:val="none" w:sz="0" w:space="0" w:color="auto"/>
                                                                    <w:left w:val="none" w:sz="0" w:space="0" w:color="auto"/>
                                                                    <w:bottom w:val="none" w:sz="0" w:space="0" w:color="auto"/>
                                                                    <w:right w:val="none" w:sz="0" w:space="0" w:color="auto"/>
                                                                  </w:divBdr>
                                                                  <w:divsChild>
                                                                    <w:div w:id="546993241">
                                                                      <w:marLeft w:val="0"/>
                                                                      <w:marRight w:val="0"/>
                                                                      <w:marTop w:val="0"/>
                                                                      <w:marBottom w:val="0"/>
                                                                      <w:divBdr>
                                                                        <w:top w:val="none" w:sz="0" w:space="0" w:color="auto"/>
                                                                        <w:left w:val="none" w:sz="0" w:space="0" w:color="auto"/>
                                                                        <w:bottom w:val="none" w:sz="0" w:space="0" w:color="auto"/>
                                                                        <w:right w:val="none" w:sz="0" w:space="0" w:color="auto"/>
                                                                      </w:divBdr>
                                                                      <w:divsChild>
                                                                        <w:div w:id="1157185464">
                                                                          <w:marLeft w:val="0"/>
                                                                          <w:marRight w:val="0"/>
                                                                          <w:marTop w:val="0"/>
                                                                          <w:marBottom w:val="0"/>
                                                                          <w:divBdr>
                                                                            <w:top w:val="none" w:sz="0" w:space="0" w:color="auto"/>
                                                                            <w:left w:val="none" w:sz="0" w:space="0" w:color="auto"/>
                                                                            <w:bottom w:val="none" w:sz="0" w:space="0" w:color="auto"/>
                                                                            <w:right w:val="none" w:sz="0" w:space="0" w:color="auto"/>
                                                                          </w:divBdr>
                                                                        </w:div>
                                                                      </w:divsChild>
                                                                    </w:div>
                                                                    <w:div w:id="976296523">
                                                                      <w:marLeft w:val="0"/>
                                                                      <w:marRight w:val="0"/>
                                                                      <w:marTop w:val="0"/>
                                                                      <w:marBottom w:val="0"/>
                                                                      <w:divBdr>
                                                                        <w:top w:val="none" w:sz="0" w:space="0" w:color="auto"/>
                                                                        <w:left w:val="none" w:sz="0" w:space="0" w:color="auto"/>
                                                                        <w:bottom w:val="none" w:sz="0" w:space="0" w:color="auto"/>
                                                                        <w:right w:val="none" w:sz="0" w:space="0" w:color="auto"/>
                                                                      </w:divBdr>
                                                                      <w:divsChild>
                                                                        <w:div w:id="723256692">
                                                                          <w:marLeft w:val="0"/>
                                                                          <w:marRight w:val="0"/>
                                                                          <w:marTop w:val="0"/>
                                                                          <w:marBottom w:val="0"/>
                                                                          <w:divBdr>
                                                                            <w:top w:val="none" w:sz="0" w:space="0" w:color="auto"/>
                                                                            <w:left w:val="none" w:sz="0" w:space="0" w:color="auto"/>
                                                                            <w:bottom w:val="none" w:sz="0" w:space="0" w:color="auto"/>
                                                                            <w:right w:val="none" w:sz="0" w:space="0" w:color="auto"/>
                                                                          </w:divBdr>
                                                                        </w:div>
                                                                      </w:divsChild>
                                                                    </w:div>
                                                                    <w:div w:id="1317295788">
                                                                      <w:marLeft w:val="0"/>
                                                                      <w:marRight w:val="0"/>
                                                                      <w:marTop w:val="0"/>
                                                                      <w:marBottom w:val="0"/>
                                                                      <w:divBdr>
                                                                        <w:top w:val="none" w:sz="0" w:space="0" w:color="auto"/>
                                                                        <w:left w:val="none" w:sz="0" w:space="0" w:color="auto"/>
                                                                        <w:bottom w:val="none" w:sz="0" w:space="0" w:color="auto"/>
                                                                        <w:right w:val="none" w:sz="0" w:space="0" w:color="auto"/>
                                                                      </w:divBdr>
                                                                      <w:divsChild>
                                                                        <w:div w:id="356934785">
                                                                          <w:marLeft w:val="0"/>
                                                                          <w:marRight w:val="0"/>
                                                                          <w:marTop w:val="0"/>
                                                                          <w:marBottom w:val="0"/>
                                                                          <w:divBdr>
                                                                            <w:top w:val="none" w:sz="0" w:space="0" w:color="auto"/>
                                                                            <w:left w:val="none" w:sz="0" w:space="0" w:color="auto"/>
                                                                            <w:bottom w:val="none" w:sz="0" w:space="0" w:color="auto"/>
                                                                            <w:right w:val="none" w:sz="0" w:space="0" w:color="auto"/>
                                                                          </w:divBdr>
                                                                        </w:div>
                                                                      </w:divsChild>
                                                                    </w:div>
                                                                    <w:div w:id="1670210828">
                                                                      <w:marLeft w:val="0"/>
                                                                      <w:marRight w:val="0"/>
                                                                      <w:marTop w:val="0"/>
                                                                      <w:marBottom w:val="0"/>
                                                                      <w:divBdr>
                                                                        <w:top w:val="none" w:sz="0" w:space="0" w:color="auto"/>
                                                                        <w:left w:val="none" w:sz="0" w:space="0" w:color="auto"/>
                                                                        <w:bottom w:val="none" w:sz="0" w:space="0" w:color="auto"/>
                                                                        <w:right w:val="none" w:sz="0" w:space="0" w:color="auto"/>
                                                                      </w:divBdr>
                                                                      <w:divsChild>
                                                                        <w:div w:id="1514878075">
                                                                          <w:marLeft w:val="0"/>
                                                                          <w:marRight w:val="0"/>
                                                                          <w:marTop w:val="0"/>
                                                                          <w:marBottom w:val="0"/>
                                                                          <w:divBdr>
                                                                            <w:top w:val="none" w:sz="0" w:space="0" w:color="auto"/>
                                                                            <w:left w:val="none" w:sz="0" w:space="0" w:color="auto"/>
                                                                            <w:bottom w:val="none" w:sz="0" w:space="0" w:color="auto"/>
                                                                            <w:right w:val="none" w:sz="0" w:space="0" w:color="auto"/>
                                                                          </w:divBdr>
                                                                        </w:div>
                                                                      </w:divsChild>
                                                                    </w:div>
                                                                    <w:div w:id="1914243685">
                                                                      <w:marLeft w:val="0"/>
                                                                      <w:marRight w:val="0"/>
                                                                      <w:marTop w:val="0"/>
                                                                      <w:marBottom w:val="0"/>
                                                                      <w:divBdr>
                                                                        <w:top w:val="none" w:sz="0" w:space="0" w:color="auto"/>
                                                                        <w:left w:val="none" w:sz="0" w:space="0" w:color="auto"/>
                                                                        <w:bottom w:val="none" w:sz="0" w:space="0" w:color="auto"/>
                                                                        <w:right w:val="none" w:sz="0" w:space="0" w:color="auto"/>
                                                                      </w:divBdr>
                                                                      <w:divsChild>
                                                                        <w:div w:id="100139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763019">
      <w:bodyDiv w:val="1"/>
      <w:marLeft w:val="0"/>
      <w:marRight w:val="0"/>
      <w:marTop w:val="0"/>
      <w:marBottom w:val="0"/>
      <w:divBdr>
        <w:top w:val="none" w:sz="0" w:space="0" w:color="auto"/>
        <w:left w:val="none" w:sz="0" w:space="0" w:color="auto"/>
        <w:bottom w:val="none" w:sz="0" w:space="0" w:color="auto"/>
        <w:right w:val="none" w:sz="0" w:space="0" w:color="auto"/>
      </w:divBdr>
      <w:divsChild>
        <w:div w:id="378165621">
          <w:marLeft w:val="0"/>
          <w:marRight w:val="0"/>
          <w:marTop w:val="0"/>
          <w:marBottom w:val="0"/>
          <w:divBdr>
            <w:top w:val="none" w:sz="0" w:space="0" w:color="auto"/>
            <w:left w:val="single" w:sz="6" w:space="0" w:color="BBBBBB"/>
            <w:bottom w:val="single" w:sz="6" w:space="0" w:color="BBBBBB"/>
            <w:right w:val="single" w:sz="6" w:space="0" w:color="BBBBBB"/>
          </w:divBdr>
          <w:divsChild>
            <w:div w:id="760297153">
              <w:marLeft w:val="0"/>
              <w:marRight w:val="0"/>
              <w:marTop w:val="0"/>
              <w:marBottom w:val="0"/>
              <w:divBdr>
                <w:top w:val="none" w:sz="0" w:space="0" w:color="auto"/>
                <w:left w:val="none" w:sz="0" w:space="0" w:color="auto"/>
                <w:bottom w:val="none" w:sz="0" w:space="0" w:color="auto"/>
                <w:right w:val="none" w:sz="0" w:space="0" w:color="auto"/>
              </w:divBdr>
              <w:divsChild>
                <w:div w:id="1935506809">
                  <w:marLeft w:val="0"/>
                  <w:marRight w:val="0"/>
                  <w:marTop w:val="75"/>
                  <w:marBottom w:val="0"/>
                  <w:divBdr>
                    <w:top w:val="none" w:sz="0" w:space="0" w:color="auto"/>
                    <w:left w:val="none" w:sz="0" w:space="0" w:color="auto"/>
                    <w:bottom w:val="none" w:sz="0" w:space="0" w:color="auto"/>
                    <w:right w:val="none" w:sz="0" w:space="0" w:color="auto"/>
                  </w:divBdr>
                  <w:divsChild>
                    <w:div w:id="177739737">
                      <w:marLeft w:val="0"/>
                      <w:marRight w:val="0"/>
                      <w:marTop w:val="0"/>
                      <w:marBottom w:val="0"/>
                      <w:divBdr>
                        <w:top w:val="none" w:sz="0" w:space="0" w:color="auto"/>
                        <w:left w:val="none" w:sz="0" w:space="0" w:color="auto"/>
                        <w:bottom w:val="none" w:sz="0" w:space="0" w:color="auto"/>
                        <w:right w:val="none" w:sz="0" w:space="0" w:color="auto"/>
                      </w:divBdr>
                      <w:divsChild>
                        <w:div w:id="215749750">
                          <w:marLeft w:val="0"/>
                          <w:marRight w:val="0"/>
                          <w:marTop w:val="0"/>
                          <w:marBottom w:val="0"/>
                          <w:divBdr>
                            <w:top w:val="none" w:sz="0" w:space="0" w:color="auto"/>
                            <w:left w:val="none" w:sz="0" w:space="0" w:color="auto"/>
                            <w:bottom w:val="none" w:sz="0" w:space="0" w:color="auto"/>
                            <w:right w:val="none" w:sz="0" w:space="0" w:color="auto"/>
                          </w:divBdr>
                          <w:divsChild>
                            <w:div w:id="1320227558">
                              <w:marLeft w:val="0"/>
                              <w:marRight w:val="0"/>
                              <w:marTop w:val="0"/>
                              <w:marBottom w:val="0"/>
                              <w:divBdr>
                                <w:top w:val="none" w:sz="0" w:space="0" w:color="auto"/>
                                <w:left w:val="none" w:sz="0" w:space="0" w:color="auto"/>
                                <w:bottom w:val="none" w:sz="0" w:space="0" w:color="auto"/>
                                <w:right w:val="none" w:sz="0" w:space="0" w:color="auto"/>
                              </w:divBdr>
                              <w:divsChild>
                                <w:div w:id="1641112685">
                                  <w:marLeft w:val="0"/>
                                  <w:marRight w:val="0"/>
                                  <w:marTop w:val="0"/>
                                  <w:marBottom w:val="0"/>
                                  <w:divBdr>
                                    <w:top w:val="none" w:sz="0" w:space="0" w:color="auto"/>
                                    <w:left w:val="none" w:sz="0" w:space="0" w:color="auto"/>
                                    <w:bottom w:val="none" w:sz="0" w:space="0" w:color="auto"/>
                                    <w:right w:val="none" w:sz="0" w:space="0" w:color="auto"/>
                                  </w:divBdr>
                                  <w:divsChild>
                                    <w:div w:id="51200888">
                                      <w:marLeft w:val="0"/>
                                      <w:marRight w:val="0"/>
                                      <w:marTop w:val="0"/>
                                      <w:marBottom w:val="0"/>
                                      <w:divBdr>
                                        <w:top w:val="none" w:sz="0" w:space="0" w:color="auto"/>
                                        <w:left w:val="none" w:sz="0" w:space="0" w:color="auto"/>
                                        <w:bottom w:val="none" w:sz="0" w:space="0" w:color="auto"/>
                                        <w:right w:val="none" w:sz="0" w:space="0" w:color="auto"/>
                                      </w:divBdr>
                                      <w:divsChild>
                                        <w:div w:id="864292762">
                                          <w:marLeft w:val="1200"/>
                                          <w:marRight w:val="1200"/>
                                          <w:marTop w:val="0"/>
                                          <w:marBottom w:val="0"/>
                                          <w:divBdr>
                                            <w:top w:val="none" w:sz="0" w:space="0" w:color="auto"/>
                                            <w:left w:val="none" w:sz="0" w:space="0" w:color="auto"/>
                                            <w:bottom w:val="none" w:sz="0" w:space="0" w:color="auto"/>
                                            <w:right w:val="none" w:sz="0" w:space="0" w:color="auto"/>
                                          </w:divBdr>
                                          <w:divsChild>
                                            <w:div w:id="1761901448">
                                              <w:marLeft w:val="0"/>
                                              <w:marRight w:val="0"/>
                                              <w:marTop w:val="0"/>
                                              <w:marBottom w:val="0"/>
                                              <w:divBdr>
                                                <w:top w:val="none" w:sz="0" w:space="0" w:color="auto"/>
                                                <w:left w:val="none" w:sz="0" w:space="0" w:color="auto"/>
                                                <w:bottom w:val="none" w:sz="0" w:space="0" w:color="auto"/>
                                                <w:right w:val="none" w:sz="0" w:space="0" w:color="auto"/>
                                              </w:divBdr>
                                              <w:divsChild>
                                                <w:div w:id="576742993">
                                                  <w:marLeft w:val="0"/>
                                                  <w:marRight w:val="0"/>
                                                  <w:marTop w:val="0"/>
                                                  <w:marBottom w:val="0"/>
                                                  <w:divBdr>
                                                    <w:top w:val="none" w:sz="0" w:space="0" w:color="auto"/>
                                                    <w:left w:val="none" w:sz="0" w:space="0" w:color="auto"/>
                                                    <w:bottom w:val="none" w:sz="0" w:space="0" w:color="auto"/>
                                                    <w:right w:val="none" w:sz="0" w:space="0" w:color="auto"/>
                                                  </w:divBdr>
                                                  <w:divsChild>
                                                    <w:div w:id="193815109">
                                                      <w:marLeft w:val="0"/>
                                                      <w:marRight w:val="0"/>
                                                      <w:marTop w:val="0"/>
                                                      <w:marBottom w:val="0"/>
                                                      <w:divBdr>
                                                        <w:top w:val="none" w:sz="0" w:space="0" w:color="auto"/>
                                                        <w:left w:val="none" w:sz="0" w:space="0" w:color="auto"/>
                                                        <w:bottom w:val="none" w:sz="0" w:space="0" w:color="auto"/>
                                                        <w:right w:val="none" w:sz="0" w:space="0" w:color="auto"/>
                                                      </w:divBdr>
                                                      <w:divsChild>
                                                        <w:div w:id="2024820288">
                                                          <w:marLeft w:val="0"/>
                                                          <w:marRight w:val="0"/>
                                                          <w:marTop w:val="0"/>
                                                          <w:marBottom w:val="0"/>
                                                          <w:divBdr>
                                                            <w:top w:val="none" w:sz="0" w:space="0" w:color="auto"/>
                                                            <w:left w:val="none" w:sz="0" w:space="0" w:color="auto"/>
                                                            <w:bottom w:val="none" w:sz="0" w:space="0" w:color="auto"/>
                                                            <w:right w:val="none" w:sz="0" w:space="0" w:color="auto"/>
                                                          </w:divBdr>
                                                        </w:div>
                                                      </w:divsChild>
                                                    </w:div>
                                                    <w:div w:id="580717984">
                                                      <w:marLeft w:val="0"/>
                                                      <w:marRight w:val="0"/>
                                                      <w:marTop w:val="0"/>
                                                      <w:marBottom w:val="0"/>
                                                      <w:divBdr>
                                                        <w:top w:val="none" w:sz="0" w:space="0" w:color="auto"/>
                                                        <w:left w:val="none" w:sz="0" w:space="0" w:color="auto"/>
                                                        <w:bottom w:val="none" w:sz="0" w:space="0" w:color="auto"/>
                                                        <w:right w:val="none" w:sz="0" w:space="0" w:color="auto"/>
                                                      </w:divBdr>
                                                      <w:divsChild>
                                                        <w:div w:id="1468474952">
                                                          <w:marLeft w:val="0"/>
                                                          <w:marRight w:val="0"/>
                                                          <w:marTop w:val="0"/>
                                                          <w:marBottom w:val="0"/>
                                                          <w:divBdr>
                                                            <w:top w:val="none" w:sz="0" w:space="0" w:color="auto"/>
                                                            <w:left w:val="none" w:sz="0" w:space="0" w:color="auto"/>
                                                            <w:bottom w:val="none" w:sz="0" w:space="0" w:color="auto"/>
                                                            <w:right w:val="none" w:sz="0" w:space="0" w:color="auto"/>
                                                          </w:divBdr>
                                                        </w:div>
                                                      </w:divsChild>
                                                    </w:div>
                                                    <w:div w:id="703481073">
                                                      <w:marLeft w:val="0"/>
                                                      <w:marRight w:val="0"/>
                                                      <w:marTop w:val="0"/>
                                                      <w:marBottom w:val="0"/>
                                                      <w:divBdr>
                                                        <w:top w:val="none" w:sz="0" w:space="0" w:color="auto"/>
                                                        <w:left w:val="none" w:sz="0" w:space="0" w:color="auto"/>
                                                        <w:bottom w:val="none" w:sz="0" w:space="0" w:color="auto"/>
                                                        <w:right w:val="none" w:sz="0" w:space="0" w:color="auto"/>
                                                      </w:divBdr>
                                                      <w:divsChild>
                                                        <w:div w:id="1135760151">
                                                          <w:marLeft w:val="0"/>
                                                          <w:marRight w:val="0"/>
                                                          <w:marTop w:val="0"/>
                                                          <w:marBottom w:val="0"/>
                                                          <w:divBdr>
                                                            <w:top w:val="none" w:sz="0" w:space="0" w:color="auto"/>
                                                            <w:left w:val="none" w:sz="0" w:space="0" w:color="auto"/>
                                                            <w:bottom w:val="none" w:sz="0" w:space="0" w:color="auto"/>
                                                            <w:right w:val="none" w:sz="0" w:space="0" w:color="auto"/>
                                                          </w:divBdr>
                                                        </w:div>
                                                      </w:divsChild>
                                                    </w:div>
                                                    <w:div w:id="1063329330">
                                                      <w:marLeft w:val="0"/>
                                                      <w:marRight w:val="0"/>
                                                      <w:marTop w:val="0"/>
                                                      <w:marBottom w:val="0"/>
                                                      <w:divBdr>
                                                        <w:top w:val="none" w:sz="0" w:space="0" w:color="auto"/>
                                                        <w:left w:val="none" w:sz="0" w:space="0" w:color="auto"/>
                                                        <w:bottom w:val="none" w:sz="0" w:space="0" w:color="auto"/>
                                                        <w:right w:val="none" w:sz="0" w:space="0" w:color="auto"/>
                                                      </w:divBdr>
                                                      <w:divsChild>
                                                        <w:div w:id="1793867719">
                                                          <w:marLeft w:val="0"/>
                                                          <w:marRight w:val="0"/>
                                                          <w:marTop w:val="0"/>
                                                          <w:marBottom w:val="0"/>
                                                          <w:divBdr>
                                                            <w:top w:val="none" w:sz="0" w:space="0" w:color="auto"/>
                                                            <w:left w:val="none" w:sz="0" w:space="0" w:color="auto"/>
                                                            <w:bottom w:val="none" w:sz="0" w:space="0" w:color="auto"/>
                                                            <w:right w:val="none" w:sz="0" w:space="0" w:color="auto"/>
                                                          </w:divBdr>
                                                        </w:div>
                                                      </w:divsChild>
                                                    </w:div>
                                                    <w:div w:id="1065639478">
                                                      <w:marLeft w:val="0"/>
                                                      <w:marRight w:val="0"/>
                                                      <w:marTop w:val="0"/>
                                                      <w:marBottom w:val="0"/>
                                                      <w:divBdr>
                                                        <w:top w:val="none" w:sz="0" w:space="0" w:color="auto"/>
                                                        <w:left w:val="none" w:sz="0" w:space="0" w:color="auto"/>
                                                        <w:bottom w:val="none" w:sz="0" w:space="0" w:color="auto"/>
                                                        <w:right w:val="none" w:sz="0" w:space="0" w:color="auto"/>
                                                      </w:divBdr>
                                                      <w:divsChild>
                                                        <w:div w:id="17693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07976">
      <w:bodyDiv w:val="1"/>
      <w:marLeft w:val="0"/>
      <w:marRight w:val="0"/>
      <w:marTop w:val="0"/>
      <w:marBottom w:val="0"/>
      <w:divBdr>
        <w:top w:val="none" w:sz="0" w:space="0" w:color="auto"/>
        <w:left w:val="none" w:sz="0" w:space="0" w:color="auto"/>
        <w:bottom w:val="none" w:sz="0" w:space="0" w:color="auto"/>
        <w:right w:val="none" w:sz="0" w:space="0" w:color="auto"/>
      </w:divBdr>
      <w:divsChild>
        <w:div w:id="1599941825">
          <w:marLeft w:val="0"/>
          <w:marRight w:val="0"/>
          <w:marTop w:val="0"/>
          <w:marBottom w:val="0"/>
          <w:divBdr>
            <w:top w:val="none" w:sz="0" w:space="0" w:color="auto"/>
            <w:left w:val="single" w:sz="6" w:space="0" w:color="BBBBBB"/>
            <w:bottom w:val="single" w:sz="6" w:space="0" w:color="BBBBBB"/>
            <w:right w:val="single" w:sz="6" w:space="0" w:color="BBBBBB"/>
          </w:divBdr>
          <w:divsChild>
            <w:div w:id="1425490834">
              <w:marLeft w:val="0"/>
              <w:marRight w:val="0"/>
              <w:marTop w:val="0"/>
              <w:marBottom w:val="0"/>
              <w:divBdr>
                <w:top w:val="none" w:sz="0" w:space="0" w:color="auto"/>
                <w:left w:val="none" w:sz="0" w:space="0" w:color="auto"/>
                <w:bottom w:val="none" w:sz="0" w:space="0" w:color="auto"/>
                <w:right w:val="none" w:sz="0" w:space="0" w:color="auto"/>
              </w:divBdr>
              <w:divsChild>
                <w:div w:id="467238002">
                  <w:marLeft w:val="0"/>
                  <w:marRight w:val="0"/>
                  <w:marTop w:val="0"/>
                  <w:marBottom w:val="0"/>
                  <w:divBdr>
                    <w:top w:val="none" w:sz="0" w:space="0" w:color="auto"/>
                    <w:left w:val="none" w:sz="0" w:space="0" w:color="auto"/>
                    <w:bottom w:val="none" w:sz="0" w:space="0" w:color="auto"/>
                    <w:right w:val="none" w:sz="0" w:space="0" w:color="auto"/>
                  </w:divBdr>
                  <w:divsChild>
                    <w:div w:id="1848015324">
                      <w:marLeft w:val="0"/>
                      <w:marRight w:val="0"/>
                      <w:marTop w:val="0"/>
                      <w:marBottom w:val="0"/>
                      <w:divBdr>
                        <w:top w:val="none" w:sz="0" w:space="0" w:color="auto"/>
                        <w:left w:val="none" w:sz="0" w:space="0" w:color="auto"/>
                        <w:bottom w:val="none" w:sz="0" w:space="0" w:color="auto"/>
                        <w:right w:val="none" w:sz="0" w:space="0" w:color="auto"/>
                      </w:divBdr>
                      <w:divsChild>
                        <w:div w:id="606037652">
                          <w:marLeft w:val="0"/>
                          <w:marRight w:val="0"/>
                          <w:marTop w:val="0"/>
                          <w:marBottom w:val="0"/>
                          <w:divBdr>
                            <w:top w:val="none" w:sz="0" w:space="0" w:color="auto"/>
                            <w:left w:val="none" w:sz="0" w:space="0" w:color="auto"/>
                            <w:bottom w:val="none" w:sz="0" w:space="0" w:color="auto"/>
                            <w:right w:val="none" w:sz="0" w:space="0" w:color="auto"/>
                          </w:divBdr>
                          <w:divsChild>
                            <w:div w:id="1955674534">
                              <w:marLeft w:val="0"/>
                              <w:marRight w:val="0"/>
                              <w:marTop w:val="0"/>
                              <w:marBottom w:val="0"/>
                              <w:divBdr>
                                <w:top w:val="none" w:sz="0" w:space="0" w:color="auto"/>
                                <w:left w:val="none" w:sz="0" w:space="0" w:color="auto"/>
                                <w:bottom w:val="none" w:sz="0" w:space="0" w:color="auto"/>
                                <w:right w:val="none" w:sz="0" w:space="0" w:color="auto"/>
                              </w:divBdr>
                              <w:divsChild>
                                <w:div w:id="1641492723">
                                  <w:marLeft w:val="0"/>
                                  <w:marRight w:val="0"/>
                                  <w:marTop w:val="0"/>
                                  <w:marBottom w:val="0"/>
                                  <w:divBdr>
                                    <w:top w:val="none" w:sz="0" w:space="0" w:color="auto"/>
                                    <w:left w:val="none" w:sz="0" w:space="0" w:color="auto"/>
                                    <w:bottom w:val="none" w:sz="0" w:space="0" w:color="auto"/>
                                    <w:right w:val="none" w:sz="0" w:space="0" w:color="auto"/>
                                  </w:divBdr>
                                  <w:divsChild>
                                    <w:div w:id="111439172">
                                      <w:marLeft w:val="0"/>
                                      <w:marRight w:val="0"/>
                                      <w:marTop w:val="0"/>
                                      <w:marBottom w:val="0"/>
                                      <w:divBdr>
                                        <w:top w:val="none" w:sz="0" w:space="0" w:color="auto"/>
                                        <w:left w:val="none" w:sz="0" w:space="0" w:color="auto"/>
                                        <w:bottom w:val="none" w:sz="0" w:space="0" w:color="auto"/>
                                        <w:right w:val="none" w:sz="0" w:space="0" w:color="auto"/>
                                      </w:divBdr>
                                      <w:divsChild>
                                        <w:div w:id="492843258">
                                          <w:marLeft w:val="1200"/>
                                          <w:marRight w:val="1200"/>
                                          <w:marTop w:val="0"/>
                                          <w:marBottom w:val="0"/>
                                          <w:divBdr>
                                            <w:top w:val="none" w:sz="0" w:space="0" w:color="auto"/>
                                            <w:left w:val="none" w:sz="0" w:space="0" w:color="auto"/>
                                            <w:bottom w:val="none" w:sz="0" w:space="0" w:color="auto"/>
                                            <w:right w:val="none" w:sz="0" w:space="0" w:color="auto"/>
                                          </w:divBdr>
                                          <w:divsChild>
                                            <w:div w:id="518197743">
                                              <w:marLeft w:val="0"/>
                                              <w:marRight w:val="0"/>
                                              <w:marTop w:val="0"/>
                                              <w:marBottom w:val="0"/>
                                              <w:divBdr>
                                                <w:top w:val="none" w:sz="0" w:space="0" w:color="auto"/>
                                                <w:left w:val="none" w:sz="0" w:space="0" w:color="auto"/>
                                                <w:bottom w:val="none" w:sz="0" w:space="0" w:color="auto"/>
                                                <w:right w:val="none" w:sz="0" w:space="0" w:color="auto"/>
                                              </w:divBdr>
                                              <w:divsChild>
                                                <w:div w:id="379594212">
                                                  <w:marLeft w:val="0"/>
                                                  <w:marRight w:val="0"/>
                                                  <w:marTop w:val="0"/>
                                                  <w:marBottom w:val="0"/>
                                                  <w:divBdr>
                                                    <w:top w:val="none" w:sz="0" w:space="0" w:color="auto"/>
                                                    <w:left w:val="none" w:sz="0" w:space="0" w:color="auto"/>
                                                    <w:bottom w:val="none" w:sz="0" w:space="0" w:color="auto"/>
                                                    <w:right w:val="none" w:sz="0" w:space="0" w:color="auto"/>
                                                  </w:divBdr>
                                                  <w:divsChild>
                                                    <w:div w:id="620310235">
                                                      <w:marLeft w:val="0"/>
                                                      <w:marRight w:val="0"/>
                                                      <w:marTop w:val="0"/>
                                                      <w:marBottom w:val="0"/>
                                                      <w:divBdr>
                                                        <w:top w:val="none" w:sz="0" w:space="0" w:color="auto"/>
                                                        <w:left w:val="none" w:sz="0" w:space="0" w:color="auto"/>
                                                        <w:bottom w:val="none" w:sz="0" w:space="0" w:color="auto"/>
                                                        <w:right w:val="none" w:sz="0" w:space="0" w:color="auto"/>
                                                      </w:divBdr>
                                                      <w:divsChild>
                                                        <w:div w:id="1816990625">
                                                          <w:marLeft w:val="0"/>
                                                          <w:marRight w:val="0"/>
                                                          <w:marTop w:val="0"/>
                                                          <w:marBottom w:val="0"/>
                                                          <w:divBdr>
                                                            <w:top w:val="none" w:sz="0" w:space="0" w:color="auto"/>
                                                            <w:left w:val="none" w:sz="0" w:space="0" w:color="auto"/>
                                                            <w:bottom w:val="none" w:sz="0" w:space="0" w:color="auto"/>
                                                            <w:right w:val="none" w:sz="0" w:space="0" w:color="auto"/>
                                                          </w:divBdr>
                                                          <w:divsChild>
                                                            <w:div w:id="700204747">
                                                              <w:marLeft w:val="0"/>
                                                              <w:marRight w:val="0"/>
                                                              <w:marTop w:val="0"/>
                                                              <w:marBottom w:val="0"/>
                                                              <w:divBdr>
                                                                <w:top w:val="none" w:sz="0" w:space="0" w:color="auto"/>
                                                                <w:left w:val="none" w:sz="0" w:space="0" w:color="auto"/>
                                                                <w:bottom w:val="none" w:sz="0" w:space="0" w:color="auto"/>
                                                                <w:right w:val="none" w:sz="0" w:space="0" w:color="auto"/>
                                                              </w:divBdr>
                                                              <w:divsChild>
                                                                <w:div w:id="24646902">
                                                                  <w:marLeft w:val="0"/>
                                                                  <w:marRight w:val="0"/>
                                                                  <w:marTop w:val="0"/>
                                                                  <w:marBottom w:val="0"/>
                                                                  <w:divBdr>
                                                                    <w:top w:val="none" w:sz="0" w:space="0" w:color="auto"/>
                                                                    <w:left w:val="none" w:sz="0" w:space="0" w:color="auto"/>
                                                                    <w:bottom w:val="none" w:sz="0" w:space="0" w:color="auto"/>
                                                                    <w:right w:val="none" w:sz="0" w:space="0" w:color="auto"/>
                                                                  </w:divBdr>
                                                                  <w:divsChild>
                                                                    <w:div w:id="1447308487">
                                                                      <w:marLeft w:val="0"/>
                                                                      <w:marRight w:val="0"/>
                                                                      <w:marTop w:val="0"/>
                                                                      <w:marBottom w:val="0"/>
                                                                      <w:divBdr>
                                                                        <w:top w:val="none" w:sz="0" w:space="0" w:color="auto"/>
                                                                        <w:left w:val="none" w:sz="0" w:space="0" w:color="auto"/>
                                                                        <w:bottom w:val="none" w:sz="0" w:space="0" w:color="auto"/>
                                                                        <w:right w:val="none" w:sz="0" w:space="0" w:color="auto"/>
                                                                      </w:divBdr>
                                                                      <w:divsChild>
                                                                        <w:div w:id="149951925">
                                                                          <w:marLeft w:val="0"/>
                                                                          <w:marRight w:val="0"/>
                                                                          <w:marTop w:val="0"/>
                                                                          <w:marBottom w:val="0"/>
                                                                          <w:divBdr>
                                                                            <w:top w:val="none" w:sz="0" w:space="0" w:color="auto"/>
                                                                            <w:left w:val="none" w:sz="0" w:space="0" w:color="auto"/>
                                                                            <w:bottom w:val="none" w:sz="0" w:space="0" w:color="auto"/>
                                                                            <w:right w:val="none" w:sz="0" w:space="0" w:color="auto"/>
                                                                          </w:divBdr>
                                                                        </w:div>
                                                                      </w:divsChild>
                                                                    </w:div>
                                                                    <w:div w:id="1725249416">
                                                                      <w:marLeft w:val="0"/>
                                                                      <w:marRight w:val="0"/>
                                                                      <w:marTop w:val="0"/>
                                                                      <w:marBottom w:val="0"/>
                                                                      <w:divBdr>
                                                                        <w:top w:val="none" w:sz="0" w:space="0" w:color="auto"/>
                                                                        <w:left w:val="none" w:sz="0" w:space="0" w:color="auto"/>
                                                                        <w:bottom w:val="none" w:sz="0" w:space="0" w:color="auto"/>
                                                                        <w:right w:val="none" w:sz="0" w:space="0" w:color="auto"/>
                                                                      </w:divBdr>
                                                                      <w:divsChild>
                                                                        <w:div w:id="136413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544110">
      <w:bodyDiv w:val="1"/>
      <w:marLeft w:val="0"/>
      <w:marRight w:val="0"/>
      <w:marTop w:val="0"/>
      <w:marBottom w:val="0"/>
      <w:divBdr>
        <w:top w:val="none" w:sz="0" w:space="0" w:color="auto"/>
        <w:left w:val="none" w:sz="0" w:space="0" w:color="auto"/>
        <w:bottom w:val="none" w:sz="0" w:space="0" w:color="auto"/>
        <w:right w:val="none" w:sz="0" w:space="0" w:color="auto"/>
      </w:divBdr>
    </w:div>
    <w:div w:id="1896695444">
      <w:bodyDiv w:val="1"/>
      <w:marLeft w:val="0"/>
      <w:marRight w:val="0"/>
      <w:marTop w:val="0"/>
      <w:marBottom w:val="0"/>
      <w:divBdr>
        <w:top w:val="none" w:sz="0" w:space="0" w:color="auto"/>
        <w:left w:val="none" w:sz="0" w:space="0" w:color="auto"/>
        <w:bottom w:val="none" w:sz="0" w:space="0" w:color="auto"/>
        <w:right w:val="none" w:sz="0" w:space="0" w:color="auto"/>
      </w:divBdr>
      <w:divsChild>
        <w:div w:id="365450439">
          <w:marLeft w:val="0"/>
          <w:marRight w:val="0"/>
          <w:marTop w:val="240"/>
          <w:marBottom w:val="0"/>
          <w:divBdr>
            <w:top w:val="none" w:sz="0" w:space="0" w:color="auto"/>
            <w:left w:val="none" w:sz="0" w:space="0" w:color="auto"/>
            <w:bottom w:val="none" w:sz="0" w:space="0" w:color="auto"/>
            <w:right w:val="none" w:sz="0" w:space="0" w:color="auto"/>
          </w:divBdr>
          <w:divsChild>
            <w:div w:id="677318537">
              <w:marLeft w:val="0"/>
              <w:marRight w:val="0"/>
              <w:marTop w:val="0"/>
              <w:marBottom w:val="0"/>
              <w:divBdr>
                <w:top w:val="none" w:sz="0" w:space="0" w:color="auto"/>
                <w:left w:val="none" w:sz="0" w:space="0" w:color="auto"/>
                <w:bottom w:val="none" w:sz="0" w:space="0" w:color="auto"/>
                <w:right w:val="none" w:sz="0" w:space="0" w:color="auto"/>
              </w:divBdr>
            </w:div>
          </w:divsChild>
        </w:div>
        <w:div w:id="1988821156">
          <w:marLeft w:val="0"/>
          <w:marRight w:val="0"/>
          <w:marTop w:val="240"/>
          <w:marBottom w:val="0"/>
          <w:divBdr>
            <w:top w:val="none" w:sz="0" w:space="0" w:color="auto"/>
            <w:left w:val="none" w:sz="0" w:space="0" w:color="auto"/>
            <w:bottom w:val="none" w:sz="0" w:space="0" w:color="auto"/>
            <w:right w:val="none" w:sz="0" w:space="0" w:color="auto"/>
          </w:divBdr>
          <w:divsChild>
            <w:div w:id="107389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1765">
      <w:bodyDiv w:val="1"/>
      <w:marLeft w:val="0"/>
      <w:marRight w:val="0"/>
      <w:marTop w:val="0"/>
      <w:marBottom w:val="0"/>
      <w:divBdr>
        <w:top w:val="none" w:sz="0" w:space="0" w:color="auto"/>
        <w:left w:val="none" w:sz="0" w:space="0" w:color="auto"/>
        <w:bottom w:val="none" w:sz="0" w:space="0" w:color="auto"/>
        <w:right w:val="none" w:sz="0" w:space="0" w:color="auto"/>
      </w:divBdr>
      <w:divsChild>
        <w:div w:id="650184377">
          <w:marLeft w:val="0"/>
          <w:marRight w:val="0"/>
          <w:marTop w:val="0"/>
          <w:marBottom w:val="0"/>
          <w:divBdr>
            <w:top w:val="none" w:sz="0" w:space="0" w:color="auto"/>
            <w:left w:val="none" w:sz="0" w:space="0" w:color="auto"/>
            <w:bottom w:val="none" w:sz="0" w:space="0" w:color="auto"/>
            <w:right w:val="none" w:sz="0" w:space="0" w:color="auto"/>
          </w:divBdr>
          <w:divsChild>
            <w:div w:id="137262503">
              <w:marLeft w:val="0"/>
              <w:marRight w:val="0"/>
              <w:marTop w:val="0"/>
              <w:marBottom w:val="0"/>
              <w:divBdr>
                <w:top w:val="none" w:sz="0" w:space="0" w:color="auto"/>
                <w:left w:val="none" w:sz="0" w:space="0" w:color="auto"/>
                <w:bottom w:val="none" w:sz="0" w:space="0" w:color="auto"/>
                <w:right w:val="none" w:sz="0" w:space="0" w:color="auto"/>
              </w:divBdr>
              <w:divsChild>
                <w:div w:id="664864729">
                  <w:marLeft w:val="0"/>
                  <w:marRight w:val="0"/>
                  <w:marTop w:val="0"/>
                  <w:marBottom w:val="0"/>
                  <w:divBdr>
                    <w:top w:val="none" w:sz="0" w:space="0" w:color="auto"/>
                    <w:left w:val="none" w:sz="0" w:space="0" w:color="auto"/>
                    <w:bottom w:val="none" w:sz="0" w:space="0" w:color="auto"/>
                    <w:right w:val="none" w:sz="0" w:space="0" w:color="auto"/>
                  </w:divBdr>
                  <w:divsChild>
                    <w:div w:id="1343556740">
                      <w:marLeft w:val="0"/>
                      <w:marRight w:val="0"/>
                      <w:marTop w:val="0"/>
                      <w:marBottom w:val="375"/>
                      <w:divBdr>
                        <w:top w:val="none" w:sz="0" w:space="0" w:color="auto"/>
                        <w:left w:val="none" w:sz="0" w:space="0" w:color="auto"/>
                        <w:bottom w:val="none" w:sz="0" w:space="0" w:color="auto"/>
                        <w:right w:val="none" w:sz="0" w:space="0" w:color="auto"/>
                      </w:divBdr>
                      <w:divsChild>
                        <w:div w:id="9029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1462">
      <w:bodyDiv w:val="1"/>
      <w:marLeft w:val="0"/>
      <w:marRight w:val="0"/>
      <w:marTop w:val="0"/>
      <w:marBottom w:val="0"/>
      <w:divBdr>
        <w:top w:val="none" w:sz="0" w:space="0" w:color="auto"/>
        <w:left w:val="none" w:sz="0" w:space="0" w:color="auto"/>
        <w:bottom w:val="none" w:sz="0" w:space="0" w:color="auto"/>
        <w:right w:val="none" w:sz="0" w:space="0" w:color="auto"/>
      </w:divBdr>
      <w:divsChild>
        <w:div w:id="1719891198">
          <w:marLeft w:val="0"/>
          <w:marRight w:val="0"/>
          <w:marTop w:val="0"/>
          <w:marBottom w:val="0"/>
          <w:divBdr>
            <w:top w:val="none" w:sz="0" w:space="0" w:color="auto"/>
            <w:left w:val="none" w:sz="0" w:space="0" w:color="auto"/>
            <w:bottom w:val="none" w:sz="0" w:space="0" w:color="auto"/>
            <w:right w:val="none" w:sz="0" w:space="0" w:color="auto"/>
          </w:divBdr>
          <w:divsChild>
            <w:div w:id="1818718489">
              <w:marLeft w:val="0"/>
              <w:marRight w:val="0"/>
              <w:marTop w:val="0"/>
              <w:marBottom w:val="0"/>
              <w:divBdr>
                <w:top w:val="none" w:sz="0" w:space="0" w:color="auto"/>
                <w:left w:val="none" w:sz="0" w:space="0" w:color="auto"/>
                <w:bottom w:val="none" w:sz="0" w:space="0" w:color="auto"/>
                <w:right w:val="none" w:sz="0" w:space="0" w:color="auto"/>
              </w:divBdr>
              <w:divsChild>
                <w:div w:id="688797209">
                  <w:marLeft w:val="0"/>
                  <w:marRight w:val="0"/>
                  <w:marTop w:val="0"/>
                  <w:marBottom w:val="0"/>
                  <w:divBdr>
                    <w:top w:val="none" w:sz="0" w:space="0" w:color="auto"/>
                    <w:left w:val="none" w:sz="0" w:space="0" w:color="auto"/>
                    <w:bottom w:val="none" w:sz="0" w:space="0" w:color="auto"/>
                    <w:right w:val="none" w:sz="0" w:space="0" w:color="auto"/>
                  </w:divBdr>
                  <w:divsChild>
                    <w:div w:id="233592249">
                      <w:marLeft w:val="0"/>
                      <w:marRight w:val="0"/>
                      <w:marTop w:val="0"/>
                      <w:marBottom w:val="375"/>
                      <w:divBdr>
                        <w:top w:val="none" w:sz="0" w:space="0" w:color="auto"/>
                        <w:left w:val="none" w:sz="0" w:space="0" w:color="auto"/>
                        <w:bottom w:val="none" w:sz="0" w:space="0" w:color="auto"/>
                        <w:right w:val="none" w:sz="0" w:space="0" w:color="auto"/>
                      </w:divBdr>
                      <w:divsChild>
                        <w:div w:id="91247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449258">
      <w:bodyDiv w:val="1"/>
      <w:marLeft w:val="0"/>
      <w:marRight w:val="0"/>
      <w:marTop w:val="0"/>
      <w:marBottom w:val="0"/>
      <w:divBdr>
        <w:top w:val="none" w:sz="0" w:space="0" w:color="auto"/>
        <w:left w:val="none" w:sz="0" w:space="0" w:color="auto"/>
        <w:bottom w:val="none" w:sz="0" w:space="0" w:color="auto"/>
        <w:right w:val="none" w:sz="0" w:space="0" w:color="auto"/>
      </w:divBdr>
      <w:divsChild>
        <w:div w:id="34356837">
          <w:marLeft w:val="0"/>
          <w:marRight w:val="0"/>
          <w:marTop w:val="240"/>
          <w:marBottom w:val="0"/>
          <w:divBdr>
            <w:top w:val="none" w:sz="0" w:space="0" w:color="auto"/>
            <w:left w:val="none" w:sz="0" w:space="0" w:color="auto"/>
            <w:bottom w:val="none" w:sz="0" w:space="0" w:color="auto"/>
            <w:right w:val="none" w:sz="0" w:space="0" w:color="auto"/>
          </w:divBdr>
          <w:divsChild>
            <w:div w:id="936063189">
              <w:marLeft w:val="0"/>
              <w:marRight w:val="0"/>
              <w:marTop w:val="0"/>
              <w:marBottom w:val="0"/>
              <w:divBdr>
                <w:top w:val="none" w:sz="0" w:space="0" w:color="auto"/>
                <w:left w:val="none" w:sz="0" w:space="0" w:color="auto"/>
                <w:bottom w:val="none" w:sz="0" w:space="0" w:color="auto"/>
                <w:right w:val="none" w:sz="0" w:space="0" w:color="auto"/>
              </w:divBdr>
            </w:div>
          </w:divsChild>
        </w:div>
        <w:div w:id="265505246">
          <w:marLeft w:val="0"/>
          <w:marRight w:val="0"/>
          <w:marTop w:val="240"/>
          <w:marBottom w:val="0"/>
          <w:divBdr>
            <w:top w:val="none" w:sz="0" w:space="0" w:color="auto"/>
            <w:left w:val="none" w:sz="0" w:space="0" w:color="auto"/>
            <w:bottom w:val="none" w:sz="0" w:space="0" w:color="auto"/>
            <w:right w:val="none" w:sz="0" w:space="0" w:color="auto"/>
          </w:divBdr>
          <w:divsChild>
            <w:div w:id="942617287">
              <w:marLeft w:val="0"/>
              <w:marRight w:val="0"/>
              <w:marTop w:val="0"/>
              <w:marBottom w:val="0"/>
              <w:divBdr>
                <w:top w:val="none" w:sz="0" w:space="0" w:color="auto"/>
                <w:left w:val="none" w:sz="0" w:space="0" w:color="auto"/>
                <w:bottom w:val="none" w:sz="0" w:space="0" w:color="auto"/>
                <w:right w:val="none" w:sz="0" w:space="0" w:color="auto"/>
              </w:divBdr>
            </w:div>
          </w:divsChild>
        </w:div>
        <w:div w:id="454565618">
          <w:marLeft w:val="0"/>
          <w:marRight w:val="0"/>
          <w:marTop w:val="240"/>
          <w:marBottom w:val="0"/>
          <w:divBdr>
            <w:top w:val="none" w:sz="0" w:space="0" w:color="auto"/>
            <w:left w:val="none" w:sz="0" w:space="0" w:color="auto"/>
            <w:bottom w:val="none" w:sz="0" w:space="0" w:color="auto"/>
            <w:right w:val="none" w:sz="0" w:space="0" w:color="auto"/>
          </w:divBdr>
          <w:divsChild>
            <w:div w:id="846411113">
              <w:marLeft w:val="0"/>
              <w:marRight w:val="0"/>
              <w:marTop w:val="0"/>
              <w:marBottom w:val="0"/>
              <w:divBdr>
                <w:top w:val="none" w:sz="0" w:space="0" w:color="auto"/>
                <w:left w:val="none" w:sz="0" w:space="0" w:color="auto"/>
                <w:bottom w:val="none" w:sz="0" w:space="0" w:color="auto"/>
                <w:right w:val="none" w:sz="0" w:space="0" w:color="auto"/>
              </w:divBdr>
            </w:div>
          </w:divsChild>
        </w:div>
        <w:div w:id="525871370">
          <w:marLeft w:val="0"/>
          <w:marRight w:val="0"/>
          <w:marTop w:val="240"/>
          <w:marBottom w:val="0"/>
          <w:divBdr>
            <w:top w:val="none" w:sz="0" w:space="0" w:color="auto"/>
            <w:left w:val="none" w:sz="0" w:space="0" w:color="auto"/>
            <w:bottom w:val="none" w:sz="0" w:space="0" w:color="auto"/>
            <w:right w:val="none" w:sz="0" w:space="0" w:color="auto"/>
          </w:divBdr>
          <w:divsChild>
            <w:div w:id="1498612653">
              <w:marLeft w:val="0"/>
              <w:marRight w:val="0"/>
              <w:marTop w:val="0"/>
              <w:marBottom w:val="0"/>
              <w:divBdr>
                <w:top w:val="none" w:sz="0" w:space="0" w:color="auto"/>
                <w:left w:val="none" w:sz="0" w:space="0" w:color="auto"/>
                <w:bottom w:val="none" w:sz="0" w:space="0" w:color="auto"/>
                <w:right w:val="none" w:sz="0" w:space="0" w:color="auto"/>
              </w:divBdr>
            </w:div>
          </w:divsChild>
        </w:div>
        <w:div w:id="820194372">
          <w:marLeft w:val="0"/>
          <w:marRight w:val="0"/>
          <w:marTop w:val="240"/>
          <w:marBottom w:val="0"/>
          <w:divBdr>
            <w:top w:val="none" w:sz="0" w:space="0" w:color="auto"/>
            <w:left w:val="none" w:sz="0" w:space="0" w:color="auto"/>
            <w:bottom w:val="none" w:sz="0" w:space="0" w:color="auto"/>
            <w:right w:val="none" w:sz="0" w:space="0" w:color="auto"/>
          </w:divBdr>
          <w:divsChild>
            <w:div w:id="395667548">
              <w:marLeft w:val="0"/>
              <w:marRight w:val="0"/>
              <w:marTop w:val="0"/>
              <w:marBottom w:val="0"/>
              <w:divBdr>
                <w:top w:val="none" w:sz="0" w:space="0" w:color="auto"/>
                <w:left w:val="none" w:sz="0" w:space="0" w:color="auto"/>
                <w:bottom w:val="none" w:sz="0" w:space="0" w:color="auto"/>
                <w:right w:val="none" w:sz="0" w:space="0" w:color="auto"/>
              </w:divBdr>
            </w:div>
          </w:divsChild>
        </w:div>
        <w:div w:id="1828741509">
          <w:marLeft w:val="0"/>
          <w:marRight w:val="0"/>
          <w:marTop w:val="240"/>
          <w:marBottom w:val="0"/>
          <w:divBdr>
            <w:top w:val="none" w:sz="0" w:space="0" w:color="auto"/>
            <w:left w:val="none" w:sz="0" w:space="0" w:color="auto"/>
            <w:bottom w:val="none" w:sz="0" w:space="0" w:color="auto"/>
            <w:right w:val="none" w:sz="0" w:space="0" w:color="auto"/>
          </w:divBdr>
          <w:divsChild>
            <w:div w:id="16679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98469">
      <w:bodyDiv w:val="1"/>
      <w:marLeft w:val="0"/>
      <w:marRight w:val="0"/>
      <w:marTop w:val="0"/>
      <w:marBottom w:val="0"/>
      <w:divBdr>
        <w:top w:val="none" w:sz="0" w:space="0" w:color="auto"/>
        <w:left w:val="none" w:sz="0" w:space="0" w:color="auto"/>
        <w:bottom w:val="none" w:sz="0" w:space="0" w:color="auto"/>
        <w:right w:val="none" w:sz="0" w:space="0" w:color="auto"/>
      </w:divBdr>
      <w:divsChild>
        <w:div w:id="1398825231">
          <w:marLeft w:val="0"/>
          <w:marRight w:val="0"/>
          <w:marTop w:val="240"/>
          <w:marBottom w:val="0"/>
          <w:divBdr>
            <w:top w:val="none" w:sz="0" w:space="0" w:color="auto"/>
            <w:left w:val="none" w:sz="0" w:space="0" w:color="auto"/>
            <w:bottom w:val="none" w:sz="0" w:space="0" w:color="auto"/>
            <w:right w:val="none" w:sz="0" w:space="0" w:color="auto"/>
          </w:divBdr>
          <w:divsChild>
            <w:div w:id="1704330436">
              <w:marLeft w:val="0"/>
              <w:marRight w:val="0"/>
              <w:marTop w:val="0"/>
              <w:marBottom w:val="0"/>
              <w:divBdr>
                <w:top w:val="none" w:sz="0" w:space="0" w:color="auto"/>
                <w:left w:val="none" w:sz="0" w:space="0" w:color="auto"/>
                <w:bottom w:val="none" w:sz="0" w:space="0" w:color="auto"/>
                <w:right w:val="none" w:sz="0" w:space="0" w:color="auto"/>
              </w:divBdr>
              <w:divsChild>
                <w:div w:id="1350837156">
                  <w:blockQuote w:val="1"/>
                  <w:marLeft w:val="0"/>
                  <w:marRight w:val="0"/>
                  <w:marTop w:val="0"/>
                  <w:marBottom w:val="0"/>
                  <w:divBdr>
                    <w:top w:val="none" w:sz="0" w:space="0" w:color="auto"/>
                    <w:left w:val="none" w:sz="0" w:space="0" w:color="auto"/>
                    <w:bottom w:val="none" w:sz="0" w:space="0" w:color="auto"/>
                    <w:right w:val="none" w:sz="0" w:space="0" w:color="auto"/>
                  </w:divBdr>
                  <w:divsChild>
                    <w:div w:id="175350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7417">
          <w:marLeft w:val="0"/>
          <w:marRight w:val="0"/>
          <w:marTop w:val="240"/>
          <w:marBottom w:val="0"/>
          <w:divBdr>
            <w:top w:val="none" w:sz="0" w:space="0" w:color="auto"/>
            <w:left w:val="none" w:sz="0" w:space="0" w:color="auto"/>
            <w:bottom w:val="none" w:sz="0" w:space="0" w:color="auto"/>
            <w:right w:val="none" w:sz="0" w:space="0" w:color="auto"/>
          </w:divBdr>
        </w:div>
        <w:div w:id="720785374">
          <w:marLeft w:val="0"/>
          <w:marRight w:val="0"/>
          <w:marTop w:val="240"/>
          <w:marBottom w:val="0"/>
          <w:divBdr>
            <w:top w:val="none" w:sz="0" w:space="0" w:color="auto"/>
            <w:left w:val="none" w:sz="0" w:space="0" w:color="auto"/>
            <w:bottom w:val="none" w:sz="0" w:space="0" w:color="auto"/>
            <w:right w:val="none" w:sz="0" w:space="0" w:color="auto"/>
          </w:divBdr>
          <w:divsChild>
            <w:div w:id="1517504735">
              <w:marLeft w:val="0"/>
              <w:marRight w:val="0"/>
              <w:marTop w:val="0"/>
              <w:marBottom w:val="0"/>
              <w:divBdr>
                <w:top w:val="none" w:sz="0" w:space="0" w:color="auto"/>
                <w:left w:val="none" w:sz="0" w:space="0" w:color="auto"/>
                <w:bottom w:val="none" w:sz="0" w:space="0" w:color="auto"/>
                <w:right w:val="none" w:sz="0" w:space="0" w:color="auto"/>
              </w:divBdr>
              <w:divsChild>
                <w:div w:id="39790200">
                  <w:blockQuote w:val="1"/>
                  <w:marLeft w:val="0"/>
                  <w:marRight w:val="0"/>
                  <w:marTop w:val="0"/>
                  <w:marBottom w:val="0"/>
                  <w:divBdr>
                    <w:top w:val="none" w:sz="0" w:space="0" w:color="auto"/>
                    <w:left w:val="none" w:sz="0" w:space="0" w:color="auto"/>
                    <w:bottom w:val="none" w:sz="0" w:space="0" w:color="auto"/>
                    <w:right w:val="none" w:sz="0" w:space="0" w:color="auto"/>
                  </w:divBdr>
                  <w:divsChild>
                    <w:div w:id="7102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30471">
          <w:marLeft w:val="0"/>
          <w:marRight w:val="0"/>
          <w:marTop w:val="240"/>
          <w:marBottom w:val="0"/>
          <w:divBdr>
            <w:top w:val="none" w:sz="0" w:space="0" w:color="auto"/>
            <w:left w:val="none" w:sz="0" w:space="0" w:color="auto"/>
            <w:bottom w:val="none" w:sz="0" w:space="0" w:color="auto"/>
            <w:right w:val="none" w:sz="0" w:space="0" w:color="auto"/>
          </w:divBdr>
        </w:div>
      </w:divsChild>
    </w:div>
    <w:div w:id="1910769385">
      <w:bodyDiv w:val="1"/>
      <w:marLeft w:val="0"/>
      <w:marRight w:val="0"/>
      <w:marTop w:val="0"/>
      <w:marBottom w:val="0"/>
      <w:divBdr>
        <w:top w:val="none" w:sz="0" w:space="0" w:color="auto"/>
        <w:left w:val="none" w:sz="0" w:space="0" w:color="auto"/>
        <w:bottom w:val="none" w:sz="0" w:space="0" w:color="auto"/>
        <w:right w:val="none" w:sz="0" w:space="0" w:color="auto"/>
      </w:divBdr>
      <w:divsChild>
        <w:div w:id="1762021047">
          <w:marLeft w:val="0"/>
          <w:marRight w:val="0"/>
          <w:marTop w:val="0"/>
          <w:marBottom w:val="0"/>
          <w:divBdr>
            <w:top w:val="none" w:sz="0" w:space="0" w:color="auto"/>
            <w:left w:val="none" w:sz="0" w:space="0" w:color="auto"/>
            <w:bottom w:val="none" w:sz="0" w:space="0" w:color="auto"/>
            <w:right w:val="none" w:sz="0" w:space="0" w:color="auto"/>
          </w:divBdr>
          <w:divsChild>
            <w:div w:id="879905116">
              <w:marLeft w:val="0"/>
              <w:marRight w:val="0"/>
              <w:marTop w:val="0"/>
              <w:marBottom w:val="0"/>
              <w:divBdr>
                <w:top w:val="none" w:sz="0" w:space="0" w:color="auto"/>
                <w:left w:val="none" w:sz="0" w:space="0" w:color="auto"/>
                <w:bottom w:val="none" w:sz="0" w:space="0" w:color="auto"/>
                <w:right w:val="none" w:sz="0" w:space="0" w:color="auto"/>
              </w:divBdr>
              <w:divsChild>
                <w:div w:id="93668742">
                  <w:marLeft w:val="0"/>
                  <w:marRight w:val="0"/>
                  <w:marTop w:val="0"/>
                  <w:marBottom w:val="0"/>
                  <w:divBdr>
                    <w:top w:val="none" w:sz="0" w:space="0" w:color="auto"/>
                    <w:left w:val="none" w:sz="0" w:space="0" w:color="auto"/>
                    <w:bottom w:val="none" w:sz="0" w:space="0" w:color="auto"/>
                    <w:right w:val="none" w:sz="0" w:space="0" w:color="auto"/>
                  </w:divBdr>
                  <w:divsChild>
                    <w:div w:id="1818574115">
                      <w:marLeft w:val="0"/>
                      <w:marRight w:val="0"/>
                      <w:marTop w:val="0"/>
                      <w:marBottom w:val="375"/>
                      <w:divBdr>
                        <w:top w:val="none" w:sz="0" w:space="0" w:color="auto"/>
                        <w:left w:val="none" w:sz="0" w:space="0" w:color="auto"/>
                        <w:bottom w:val="none" w:sz="0" w:space="0" w:color="auto"/>
                        <w:right w:val="none" w:sz="0" w:space="0" w:color="auto"/>
                      </w:divBdr>
                      <w:divsChild>
                        <w:div w:id="14374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345739">
      <w:bodyDiv w:val="1"/>
      <w:marLeft w:val="30"/>
      <w:marRight w:val="30"/>
      <w:marTop w:val="30"/>
      <w:marBottom w:val="30"/>
      <w:divBdr>
        <w:top w:val="none" w:sz="0" w:space="0" w:color="auto"/>
        <w:left w:val="none" w:sz="0" w:space="0" w:color="auto"/>
        <w:bottom w:val="none" w:sz="0" w:space="0" w:color="auto"/>
        <w:right w:val="none" w:sz="0" w:space="0" w:color="auto"/>
      </w:divBdr>
      <w:divsChild>
        <w:div w:id="1828788362">
          <w:marLeft w:val="0"/>
          <w:marRight w:val="0"/>
          <w:marTop w:val="0"/>
          <w:marBottom w:val="0"/>
          <w:divBdr>
            <w:top w:val="none" w:sz="0" w:space="0" w:color="auto"/>
            <w:left w:val="none" w:sz="0" w:space="0" w:color="auto"/>
            <w:bottom w:val="none" w:sz="0" w:space="0" w:color="auto"/>
            <w:right w:val="none" w:sz="0" w:space="0" w:color="auto"/>
          </w:divBdr>
          <w:divsChild>
            <w:div w:id="580024234">
              <w:marLeft w:val="45"/>
              <w:marRight w:val="45"/>
              <w:marTop w:val="45"/>
              <w:marBottom w:val="45"/>
              <w:divBdr>
                <w:top w:val="none" w:sz="0" w:space="0" w:color="auto"/>
                <w:left w:val="none" w:sz="0" w:space="0" w:color="auto"/>
                <w:bottom w:val="none" w:sz="0" w:space="0" w:color="auto"/>
                <w:right w:val="none" w:sz="0" w:space="0" w:color="auto"/>
              </w:divBdr>
              <w:divsChild>
                <w:div w:id="143745432">
                  <w:marLeft w:val="0"/>
                  <w:marRight w:val="0"/>
                  <w:marTop w:val="0"/>
                  <w:marBottom w:val="0"/>
                  <w:divBdr>
                    <w:top w:val="none" w:sz="0" w:space="0" w:color="auto"/>
                    <w:left w:val="none" w:sz="0" w:space="0" w:color="auto"/>
                    <w:bottom w:val="none" w:sz="0" w:space="0" w:color="auto"/>
                    <w:right w:val="none" w:sz="0" w:space="0" w:color="auto"/>
                  </w:divBdr>
                  <w:divsChild>
                    <w:div w:id="441539659">
                      <w:marLeft w:val="0"/>
                      <w:marRight w:val="0"/>
                      <w:marTop w:val="0"/>
                      <w:marBottom w:val="0"/>
                      <w:divBdr>
                        <w:top w:val="none" w:sz="0" w:space="0" w:color="auto"/>
                        <w:left w:val="none" w:sz="0" w:space="0" w:color="auto"/>
                        <w:bottom w:val="none" w:sz="0" w:space="0" w:color="auto"/>
                        <w:right w:val="none" w:sz="0" w:space="0" w:color="auto"/>
                      </w:divBdr>
                    </w:div>
                    <w:div w:id="854535434">
                      <w:marLeft w:val="0"/>
                      <w:marRight w:val="0"/>
                      <w:marTop w:val="0"/>
                      <w:marBottom w:val="0"/>
                      <w:divBdr>
                        <w:top w:val="none" w:sz="0" w:space="0" w:color="auto"/>
                        <w:left w:val="none" w:sz="0" w:space="0" w:color="auto"/>
                        <w:bottom w:val="none" w:sz="0" w:space="0" w:color="auto"/>
                        <w:right w:val="none" w:sz="0" w:space="0" w:color="auto"/>
                      </w:divBdr>
                    </w:div>
                    <w:div w:id="1317686215">
                      <w:marLeft w:val="0"/>
                      <w:marRight w:val="0"/>
                      <w:marTop w:val="0"/>
                      <w:marBottom w:val="0"/>
                      <w:divBdr>
                        <w:top w:val="none" w:sz="0" w:space="0" w:color="auto"/>
                        <w:left w:val="none" w:sz="0" w:space="0" w:color="auto"/>
                        <w:bottom w:val="none" w:sz="0" w:space="0" w:color="auto"/>
                        <w:right w:val="none" w:sz="0" w:space="0" w:color="auto"/>
                      </w:divBdr>
                    </w:div>
                    <w:div w:id="174236245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40065">
      <w:bodyDiv w:val="1"/>
      <w:marLeft w:val="0"/>
      <w:marRight w:val="0"/>
      <w:marTop w:val="0"/>
      <w:marBottom w:val="0"/>
      <w:divBdr>
        <w:top w:val="none" w:sz="0" w:space="0" w:color="auto"/>
        <w:left w:val="none" w:sz="0" w:space="0" w:color="auto"/>
        <w:bottom w:val="none" w:sz="0" w:space="0" w:color="auto"/>
        <w:right w:val="none" w:sz="0" w:space="0" w:color="auto"/>
      </w:divBdr>
      <w:divsChild>
        <w:div w:id="1170832601">
          <w:marLeft w:val="0"/>
          <w:marRight w:val="0"/>
          <w:marTop w:val="240"/>
          <w:marBottom w:val="0"/>
          <w:divBdr>
            <w:top w:val="none" w:sz="0" w:space="0" w:color="auto"/>
            <w:left w:val="none" w:sz="0" w:space="0" w:color="auto"/>
            <w:bottom w:val="none" w:sz="0" w:space="0" w:color="auto"/>
            <w:right w:val="none" w:sz="0" w:space="0" w:color="auto"/>
          </w:divBdr>
          <w:divsChild>
            <w:div w:id="824736882">
              <w:marLeft w:val="0"/>
              <w:marRight w:val="0"/>
              <w:marTop w:val="0"/>
              <w:marBottom w:val="0"/>
              <w:divBdr>
                <w:top w:val="none" w:sz="0" w:space="0" w:color="auto"/>
                <w:left w:val="none" w:sz="0" w:space="0" w:color="auto"/>
                <w:bottom w:val="none" w:sz="0" w:space="0" w:color="auto"/>
                <w:right w:val="none" w:sz="0" w:space="0" w:color="auto"/>
              </w:divBdr>
            </w:div>
          </w:divsChild>
        </w:div>
        <w:div w:id="1381049086">
          <w:marLeft w:val="0"/>
          <w:marRight w:val="0"/>
          <w:marTop w:val="240"/>
          <w:marBottom w:val="0"/>
          <w:divBdr>
            <w:top w:val="none" w:sz="0" w:space="0" w:color="auto"/>
            <w:left w:val="none" w:sz="0" w:space="0" w:color="auto"/>
            <w:bottom w:val="none" w:sz="0" w:space="0" w:color="auto"/>
            <w:right w:val="none" w:sz="0" w:space="0" w:color="auto"/>
          </w:divBdr>
          <w:divsChild>
            <w:div w:id="912619961">
              <w:marLeft w:val="0"/>
              <w:marRight w:val="0"/>
              <w:marTop w:val="0"/>
              <w:marBottom w:val="0"/>
              <w:divBdr>
                <w:top w:val="none" w:sz="0" w:space="0" w:color="auto"/>
                <w:left w:val="none" w:sz="0" w:space="0" w:color="auto"/>
                <w:bottom w:val="none" w:sz="0" w:space="0" w:color="auto"/>
                <w:right w:val="none" w:sz="0" w:space="0" w:color="auto"/>
              </w:divBdr>
            </w:div>
          </w:divsChild>
        </w:div>
        <w:div w:id="1559365088">
          <w:marLeft w:val="0"/>
          <w:marRight w:val="0"/>
          <w:marTop w:val="240"/>
          <w:marBottom w:val="0"/>
          <w:divBdr>
            <w:top w:val="none" w:sz="0" w:space="0" w:color="auto"/>
            <w:left w:val="none" w:sz="0" w:space="0" w:color="auto"/>
            <w:bottom w:val="none" w:sz="0" w:space="0" w:color="auto"/>
            <w:right w:val="none" w:sz="0" w:space="0" w:color="auto"/>
          </w:divBdr>
          <w:divsChild>
            <w:div w:id="65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7763">
      <w:bodyDiv w:val="1"/>
      <w:marLeft w:val="0"/>
      <w:marRight w:val="0"/>
      <w:marTop w:val="0"/>
      <w:marBottom w:val="0"/>
      <w:divBdr>
        <w:top w:val="none" w:sz="0" w:space="0" w:color="auto"/>
        <w:left w:val="none" w:sz="0" w:space="0" w:color="auto"/>
        <w:bottom w:val="none" w:sz="0" w:space="0" w:color="auto"/>
        <w:right w:val="none" w:sz="0" w:space="0" w:color="auto"/>
      </w:divBdr>
      <w:divsChild>
        <w:div w:id="174852139">
          <w:marLeft w:val="0"/>
          <w:marRight w:val="0"/>
          <w:marTop w:val="0"/>
          <w:marBottom w:val="0"/>
          <w:divBdr>
            <w:top w:val="none" w:sz="0" w:space="0" w:color="auto"/>
            <w:left w:val="none" w:sz="0" w:space="0" w:color="auto"/>
            <w:bottom w:val="none" w:sz="0" w:space="0" w:color="auto"/>
            <w:right w:val="none" w:sz="0" w:space="0" w:color="auto"/>
          </w:divBdr>
          <w:divsChild>
            <w:div w:id="1102724891">
              <w:marLeft w:val="0"/>
              <w:marRight w:val="0"/>
              <w:marTop w:val="0"/>
              <w:marBottom w:val="0"/>
              <w:divBdr>
                <w:top w:val="none" w:sz="0" w:space="0" w:color="auto"/>
                <w:left w:val="none" w:sz="0" w:space="0" w:color="auto"/>
                <w:bottom w:val="none" w:sz="0" w:space="0" w:color="auto"/>
                <w:right w:val="none" w:sz="0" w:space="0" w:color="auto"/>
              </w:divBdr>
              <w:divsChild>
                <w:div w:id="141236634">
                  <w:marLeft w:val="0"/>
                  <w:marRight w:val="0"/>
                  <w:marTop w:val="0"/>
                  <w:marBottom w:val="0"/>
                  <w:divBdr>
                    <w:top w:val="none" w:sz="0" w:space="0" w:color="auto"/>
                    <w:left w:val="none" w:sz="0" w:space="0" w:color="auto"/>
                    <w:bottom w:val="none" w:sz="0" w:space="0" w:color="auto"/>
                    <w:right w:val="none" w:sz="0" w:space="0" w:color="auto"/>
                  </w:divBdr>
                  <w:divsChild>
                    <w:div w:id="2014212998">
                      <w:marLeft w:val="0"/>
                      <w:marRight w:val="0"/>
                      <w:marTop w:val="0"/>
                      <w:marBottom w:val="300"/>
                      <w:divBdr>
                        <w:top w:val="none" w:sz="0" w:space="0" w:color="auto"/>
                        <w:left w:val="none" w:sz="0" w:space="0" w:color="auto"/>
                        <w:bottom w:val="none" w:sz="0" w:space="0" w:color="auto"/>
                        <w:right w:val="none" w:sz="0" w:space="0" w:color="auto"/>
                      </w:divBdr>
                      <w:divsChild>
                        <w:div w:id="18591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056088">
      <w:bodyDiv w:val="1"/>
      <w:marLeft w:val="0"/>
      <w:marRight w:val="0"/>
      <w:marTop w:val="0"/>
      <w:marBottom w:val="0"/>
      <w:divBdr>
        <w:top w:val="none" w:sz="0" w:space="0" w:color="auto"/>
        <w:left w:val="none" w:sz="0" w:space="0" w:color="auto"/>
        <w:bottom w:val="none" w:sz="0" w:space="0" w:color="auto"/>
        <w:right w:val="none" w:sz="0" w:space="0" w:color="auto"/>
      </w:divBdr>
      <w:divsChild>
        <w:div w:id="1276670426">
          <w:marLeft w:val="0"/>
          <w:marRight w:val="0"/>
          <w:marTop w:val="0"/>
          <w:marBottom w:val="0"/>
          <w:divBdr>
            <w:top w:val="none" w:sz="0" w:space="0" w:color="auto"/>
            <w:left w:val="single" w:sz="6" w:space="0" w:color="BBBBBB"/>
            <w:bottom w:val="single" w:sz="6" w:space="0" w:color="BBBBBB"/>
            <w:right w:val="single" w:sz="6" w:space="0" w:color="BBBBBB"/>
          </w:divBdr>
          <w:divsChild>
            <w:div w:id="790825406">
              <w:marLeft w:val="0"/>
              <w:marRight w:val="0"/>
              <w:marTop w:val="0"/>
              <w:marBottom w:val="0"/>
              <w:divBdr>
                <w:top w:val="none" w:sz="0" w:space="0" w:color="auto"/>
                <w:left w:val="none" w:sz="0" w:space="0" w:color="auto"/>
                <w:bottom w:val="none" w:sz="0" w:space="0" w:color="auto"/>
                <w:right w:val="none" w:sz="0" w:space="0" w:color="auto"/>
              </w:divBdr>
              <w:divsChild>
                <w:div w:id="689188498">
                  <w:marLeft w:val="0"/>
                  <w:marRight w:val="0"/>
                  <w:marTop w:val="75"/>
                  <w:marBottom w:val="0"/>
                  <w:divBdr>
                    <w:top w:val="none" w:sz="0" w:space="0" w:color="auto"/>
                    <w:left w:val="none" w:sz="0" w:space="0" w:color="auto"/>
                    <w:bottom w:val="none" w:sz="0" w:space="0" w:color="auto"/>
                    <w:right w:val="none" w:sz="0" w:space="0" w:color="auto"/>
                  </w:divBdr>
                  <w:divsChild>
                    <w:div w:id="498736191">
                      <w:marLeft w:val="0"/>
                      <w:marRight w:val="0"/>
                      <w:marTop w:val="0"/>
                      <w:marBottom w:val="0"/>
                      <w:divBdr>
                        <w:top w:val="none" w:sz="0" w:space="0" w:color="auto"/>
                        <w:left w:val="none" w:sz="0" w:space="0" w:color="auto"/>
                        <w:bottom w:val="none" w:sz="0" w:space="0" w:color="auto"/>
                        <w:right w:val="none" w:sz="0" w:space="0" w:color="auto"/>
                      </w:divBdr>
                      <w:divsChild>
                        <w:div w:id="1516461720">
                          <w:marLeft w:val="0"/>
                          <w:marRight w:val="0"/>
                          <w:marTop w:val="0"/>
                          <w:marBottom w:val="0"/>
                          <w:divBdr>
                            <w:top w:val="none" w:sz="0" w:space="0" w:color="auto"/>
                            <w:left w:val="none" w:sz="0" w:space="0" w:color="auto"/>
                            <w:bottom w:val="none" w:sz="0" w:space="0" w:color="auto"/>
                            <w:right w:val="none" w:sz="0" w:space="0" w:color="auto"/>
                          </w:divBdr>
                          <w:divsChild>
                            <w:div w:id="2013799662">
                              <w:marLeft w:val="0"/>
                              <w:marRight w:val="0"/>
                              <w:marTop w:val="0"/>
                              <w:marBottom w:val="0"/>
                              <w:divBdr>
                                <w:top w:val="none" w:sz="0" w:space="0" w:color="auto"/>
                                <w:left w:val="none" w:sz="0" w:space="0" w:color="auto"/>
                                <w:bottom w:val="none" w:sz="0" w:space="0" w:color="auto"/>
                                <w:right w:val="none" w:sz="0" w:space="0" w:color="auto"/>
                              </w:divBdr>
                              <w:divsChild>
                                <w:div w:id="1680231115">
                                  <w:marLeft w:val="0"/>
                                  <w:marRight w:val="0"/>
                                  <w:marTop w:val="0"/>
                                  <w:marBottom w:val="0"/>
                                  <w:divBdr>
                                    <w:top w:val="none" w:sz="0" w:space="0" w:color="auto"/>
                                    <w:left w:val="none" w:sz="0" w:space="0" w:color="auto"/>
                                    <w:bottom w:val="none" w:sz="0" w:space="0" w:color="auto"/>
                                    <w:right w:val="none" w:sz="0" w:space="0" w:color="auto"/>
                                  </w:divBdr>
                                  <w:divsChild>
                                    <w:div w:id="177085548">
                                      <w:marLeft w:val="0"/>
                                      <w:marRight w:val="0"/>
                                      <w:marTop w:val="0"/>
                                      <w:marBottom w:val="0"/>
                                      <w:divBdr>
                                        <w:top w:val="none" w:sz="0" w:space="0" w:color="auto"/>
                                        <w:left w:val="none" w:sz="0" w:space="0" w:color="auto"/>
                                        <w:bottom w:val="none" w:sz="0" w:space="0" w:color="auto"/>
                                        <w:right w:val="none" w:sz="0" w:space="0" w:color="auto"/>
                                      </w:divBdr>
                                      <w:divsChild>
                                        <w:div w:id="936867915">
                                          <w:marLeft w:val="1200"/>
                                          <w:marRight w:val="1200"/>
                                          <w:marTop w:val="0"/>
                                          <w:marBottom w:val="0"/>
                                          <w:divBdr>
                                            <w:top w:val="none" w:sz="0" w:space="0" w:color="auto"/>
                                            <w:left w:val="none" w:sz="0" w:space="0" w:color="auto"/>
                                            <w:bottom w:val="none" w:sz="0" w:space="0" w:color="auto"/>
                                            <w:right w:val="none" w:sz="0" w:space="0" w:color="auto"/>
                                          </w:divBdr>
                                          <w:divsChild>
                                            <w:div w:id="1337423541">
                                              <w:marLeft w:val="0"/>
                                              <w:marRight w:val="0"/>
                                              <w:marTop w:val="0"/>
                                              <w:marBottom w:val="0"/>
                                              <w:divBdr>
                                                <w:top w:val="none" w:sz="0" w:space="0" w:color="auto"/>
                                                <w:left w:val="none" w:sz="0" w:space="0" w:color="auto"/>
                                                <w:bottom w:val="none" w:sz="0" w:space="0" w:color="auto"/>
                                                <w:right w:val="none" w:sz="0" w:space="0" w:color="auto"/>
                                              </w:divBdr>
                                              <w:divsChild>
                                                <w:div w:id="894698221">
                                                  <w:marLeft w:val="0"/>
                                                  <w:marRight w:val="0"/>
                                                  <w:marTop w:val="0"/>
                                                  <w:marBottom w:val="0"/>
                                                  <w:divBdr>
                                                    <w:top w:val="none" w:sz="0" w:space="0" w:color="auto"/>
                                                    <w:left w:val="none" w:sz="0" w:space="0" w:color="auto"/>
                                                    <w:bottom w:val="none" w:sz="0" w:space="0" w:color="auto"/>
                                                    <w:right w:val="none" w:sz="0" w:space="0" w:color="auto"/>
                                                  </w:divBdr>
                                                  <w:divsChild>
                                                    <w:div w:id="1737313547">
                                                      <w:marLeft w:val="0"/>
                                                      <w:marRight w:val="0"/>
                                                      <w:marTop w:val="0"/>
                                                      <w:marBottom w:val="0"/>
                                                      <w:divBdr>
                                                        <w:top w:val="none" w:sz="0" w:space="0" w:color="auto"/>
                                                        <w:left w:val="none" w:sz="0" w:space="0" w:color="auto"/>
                                                        <w:bottom w:val="none" w:sz="0" w:space="0" w:color="auto"/>
                                                        <w:right w:val="none" w:sz="0" w:space="0" w:color="auto"/>
                                                      </w:divBdr>
                                                      <w:divsChild>
                                                        <w:div w:id="621231674">
                                                          <w:marLeft w:val="0"/>
                                                          <w:marRight w:val="0"/>
                                                          <w:marTop w:val="0"/>
                                                          <w:marBottom w:val="0"/>
                                                          <w:divBdr>
                                                            <w:top w:val="none" w:sz="0" w:space="0" w:color="auto"/>
                                                            <w:left w:val="none" w:sz="0" w:space="0" w:color="auto"/>
                                                            <w:bottom w:val="none" w:sz="0" w:space="0" w:color="auto"/>
                                                            <w:right w:val="none" w:sz="0" w:space="0" w:color="auto"/>
                                                          </w:divBdr>
                                                          <w:divsChild>
                                                            <w:div w:id="1288046393">
                                                              <w:marLeft w:val="0"/>
                                                              <w:marRight w:val="0"/>
                                                              <w:marTop w:val="0"/>
                                                              <w:marBottom w:val="0"/>
                                                              <w:divBdr>
                                                                <w:top w:val="none" w:sz="0" w:space="0" w:color="auto"/>
                                                                <w:left w:val="none" w:sz="0" w:space="0" w:color="auto"/>
                                                                <w:bottom w:val="none" w:sz="0" w:space="0" w:color="auto"/>
                                                                <w:right w:val="none" w:sz="0" w:space="0" w:color="auto"/>
                                                              </w:divBdr>
                                                            </w:div>
                                                          </w:divsChild>
                                                        </w:div>
                                                        <w:div w:id="1040134650">
                                                          <w:marLeft w:val="0"/>
                                                          <w:marRight w:val="0"/>
                                                          <w:marTop w:val="0"/>
                                                          <w:marBottom w:val="0"/>
                                                          <w:divBdr>
                                                            <w:top w:val="none" w:sz="0" w:space="0" w:color="auto"/>
                                                            <w:left w:val="none" w:sz="0" w:space="0" w:color="auto"/>
                                                            <w:bottom w:val="none" w:sz="0" w:space="0" w:color="auto"/>
                                                            <w:right w:val="none" w:sz="0" w:space="0" w:color="auto"/>
                                                          </w:divBdr>
                                                          <w:divsChild>
                                                            <w:div w:id="406878865">
                                                              <w:marLeft w:val="0"/>
                                                              <w:marRight w:val="0"/>
                                                              <w:marTop w:val="0"/>
                                                              <w:marBottom w:val="0"/>
                                                              <w:divBdr>
                                                                <w:top w:val="none" w:sz="0" w:space="0" w:color="auto"/>
                                                                <w:left w:val="none" w:sz="0" w:space="0" w:color="auto"/>
                                                                <w:bottom w:val="none" w:sz="0" w:space="0" w:color="auto"/>
                                                                <w:right w:val="none" w:sz="0" w:space="0" w:color="auto"/>
                                                              </w:divBdr>
                                                            </w:div>
                                                          </w:divsChild>
                                                        </w:div>
                                                        <w:div w:id="1270699124">
                                                          <w:marLeft w:val="0"/>
                                                          <w:marRight w:val="0"/>
                                                          <w:marTop w:val="0"/>
                                                          <w:marBottom w:val="0"/>
                                                          <w:divBdr>
                                                            <w:top w:val="none" w:sz="0" w:space="0" w:color="auto"/>
                                                            <w:left w:val="none" w:sz="0" w:space="0" w:color="auto"/>
                                                            <w:bottom w:val="none" w:sz="0" w:space="0" w:color="auto"/>
                                                            <w:right w:val="none" w:sz="0" w:space="0" w:color="auto"/>
                                                          </w:divBdr>
                                                        </w:div>
                                                        <w:div w:id="20543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9749599">
      <w:bodyDiv w:val="1"/>
      <w:marLeft w:val="0"/>
      <w:marRight w:val="0"/>
      <w:marTop w:val="0"/>
      <w:marBottom w:val="0"/>
      <w:divBdr>
        <w:top w:val="none" w:sz="0" w:space="0" w:color="auto"/>
        <w:left w:val="none" w:sz="0" w:space="0" w:color="auto"/>
        <w:bottom w:val="none" w:sz="0" w:space="0" w:color="auto"/>
        <w:right w:val="none" w:sz="0" w:space="0" w:color="auto"/>
      </w:divBdr>
      <w:divsChild>
        <w:div w:id="2096436805">
          <w:marLeft w:val="0"/>
          <w:marRight w:val="0"/>
          <w:marTop w:val="0"/>
          <w:marBottom w:val="0"/>
          <w:divBdr>
            <w:top w:val="none" w:sz="0" w:space="0" w:color="auto"/>
            <w:left w:val="single" w:sz="6" w:space="0" w:color="BBBBBB"/>
            <w:bottom w:val="single" w:sz="6" w:space="0" w:color="BBBBBB"/>
            <w:right w:val="single" w:sz="6" w:space="0" w:color="BBBBBB"/>
          </w:divBdr>
          <w:divsChild>
            <w:div w:id="1301570073">
              <w:marLeft w:val="0"/>
              <w:marRight w:val="0"/>
              <w:marTop w:val="0"/>
              <w:marBottom w:val="0"/>
              <w:divBdr>
                <w:top w:val="none" w:sz="0" w:space="0" w:color="auto"/>
                <w:left w:val="none" w:sz="0" w:space="0" w:color="auto"/>
                <w:bottom w:val="none" w:sz="0" w:space="0" w:color="auto"/>
                <w:right w:val="none" w:sz="0" w:space="0" w:color="auto"/>
              </w:divBdr>
              <w:divsChild>
                <w:div w:id="1955286744">
                  <w:marLeft w:val="0"/>
                  <w:marRight w:val="0"/>
                  <w:marTop w:val="0"/>
                  <w:marBottom w:val="0"/>
                  <w:divBdr>
                    <w:top w:val="none" w:sz="0" w:space="0" w:color="auto"/>
                    <w:left w:val="none" w:sz="0" w:space="0" w:color="auto"/>
                    <w:bottom w:val="none" w:sz="0" w:space="0" w:color="auto"/>
                    <w:right w:val="none" w:sz="0" w:space="0" w:color="auto"/>
                  </w:divBdr>
                  <w:divsChild>
                    <w:div w:id="399598792">
                      <w:marLeft w:val="0"/>
                      <w:marRight w:val="0"/>
                      <w:marTop w:val="0"/>
                      <w:marBottom w:val="0"/>
                      <w:divBdr>
                        <w:top w:val="none" w:sz="0" w:space="0" w:color="auto"/>
                        <w:left w:val="none" w:sz="0" w:space="0" w:color="auto"/>
                        <w:bottom w:val="none" w:sz="0" w:space="0" w:color="auto"/>
                        <w:right w:val="none" w:sz="0" w:space="0" w:color="auto"/>
                      </w:divBdr>
                      <w:divsChild>
                        <w:div w:id="1164786122">
                          <w:marLeft w:val="0"/>
                          <w:marRight w:val="0"/>
                          <w:marTop w:val="0"/>
                          <w:marBottom w:val="0"/>
                          <w:divBdr>
                            <w:top w:val="none" w:sz="0" w:space="0" w:color="auto"/>
                            <w:left w:val="none" w:sz="0" w:space="0" w:color="auto"/>
                            <w:bottom w:val="none" w:sz="0" w:space="0" w:color="auto"/>
                            <w:right w:val="none" w:sz="0" w:space="0" w:color="auto"/>
                          </w:divBdr>
                          <w:divsChild>
                            <w:div w:id="1554580412">
                              <w:marLeft w:val="0"/>
                              <w:marRight w:val="0"/>
                              <w:marTop w:val="0"/>
                              <w:marBottom w:val="0"/>
                              <w:divBdr>
                                <w:top w:val="none" w:sz="0" w:space="0" w:color="auto"/>
                                <w:left w:val="none" w:sz="0" w:space="0" w:color="auto"/>
                                <w:bottom w:val="none" w:sz="0" w:space="0" w:color="auto"/>
                                <w:right w:val="none" w:sz="0" w:space="0" w:color="auto"/>
                              </w:divBdr>
                              <w:divsChild>
                                <w:div w:id="734200905">
                                  <w:marLeft w:val="0"/>
                                  <w:marRight w:val="0"/>
                                  <w:marTop w:val="0"/>
                                  <w:marBottom w:val="0"/>
                                  <w:divBdr>
                                    <w:top w:val="none" w:sz="0" w:space="0" w:color="auto"/>
                                    <w:left w:val="none" w:sz="0" w:space="0" w:color="auto"/>
                                    <w:bottom w:val="none" w:sz="0" w:space="0" w:color="auto"/>
                                    <w:right w:val="none" w:sz="0" w:space="0" w:color="auto"/>
                                  </w:divBdr>
                                  <w:divsChild>
                                    <w:div w:id="214122602">
                                      <w:marLeft w:val="0"/>
                                      <w:marRight w:val="0"/>
                                      <w:marTop w:val="0"/>
                                      <w:marBottom w:val="0"/>
                                      <w:divBdr>
                                        <w:top w:val="none" w:sz="0" w:space="0" w:color="auto"/>
                                        <w:left w:val="none" w:sz="0" w:space="0" w:color="auto"/>
                                        <w:bottom w:val="none" w:sz="0" w:space="0" w:color="auto"/>
                                        <w:right w:val="none" w:sz="0" w:space="0" w:color="auto"/>
                                      </w:divBdr>
                                      <w:divsChild>
                                        <w:div w:id="466974495">
                                          <w:marLeft w:val="1200"/>
                                          <w:marRight w:val="1200"/>
                                          <w:marTop w:val="0"/>
                                          <w:marBottom w:val="0"/>
                                          <w:divBdr>
                                            <w:top w:val="none" w:sz="0" w:space="0" w:color="auto"/>
                                            <w:left w:val="none" w:sz="0" w:space="0" w:color="auto"/>
                                            <w:bottom w:val="none" w:sz="0" w:space="0" w:color="auto"/>
                                            <w:right w:val="none" w:sz="0" w:space="0" w:color="auto"/>
                                          </w:divBdr>
                                          <w:divsChild>
                                            <w:div w:id="225117512">
                                              <w:marLeft w:val="0"/>
                                              <w:marRight w:val="0"/>
                                              <w:marTop w:val="0"/>
                                              <w:marBottom w:val="0"/>
                                              <w:divBdr>
                                                <w:top w:val="none" w:sz="0" w:space="0" w:color="auto"/>
                                                <w:left w:val="none" w:sz="0" w:space="0" w:color="auto"/>
                                                <w:bottom w:val="none" w:sz="0" w:space="0" w:color="auto"/>
                                                <w:right w:val="none" w:sz="0" w:space="0" w:color="auto"/>
                                              </w:divBdr>
                                              <w:divsChild>
                                                <w:div w:id="48310242">
                                                  <w:marLeft w:val="0"/>
                                                  <w:marRight w:val="0"/>
                                                  <w:marTop w:val="0"/>
                                                  <w:marBottom w:val="0"/>
                                                  <w:divBdr>
                                                    <w:top w:val="none" w:sz="0" w:space="0" w:color="auto"/>
                                                    <w:left w:val="none" w:sz="0" w:space="0" w:color="auto"/>
                                                    <w:bottom w:val="none" w:sz="0" w:space="0" w:color="auto"/>
                                                    <w:right w:val="none" w:sz="0" w:space="0" w:color="auto"/>
                                                  </w:divBdr>
                                                  <w:divsChild>
                                                    <w:div w:id="1886454104">
                                                      <w:marLeft w:val="0"/>
                                                      <w:marRight w:val="0"/>
                                                      <w:marTop w:val="0"/>
                                                      <w:marBottom w:val="0"/>
                                                      <w:divBdr>
                                                        <w:top w:val="none" w:sz="0" w:space="0" w:color="auto"/>
                                                        <w:left w:val="none" w:sz="0" w:space="0" w:color="auto"/>
                                                        <w:bottom w:val="none" w:sz="0" w:space="0" w:color="auto"/>
                                                        <w:right w:val="none" w:sz="0" w:space="0" w:color="auto"/>
                                                      </w:divBdr>
                                                      <w:divsChild>
                                                        <w:div w:id="608854126">
                                                          <w:marLeft w:val="0"/>
                                                          <w:marRight w:val="0"/>
                                                          <w:marTop w:val="0"/>
                                                          <w:marBottom w:val="0"/>
                                                          <w:divBdr>
                                                            <w:top w:val="none" w:sz="0" w:space="0" w:color="auto"/>
                                                            <w:left w:val="none" w:sz="0" w:space="0" w:color="auto"/>
                                                            <w:bottom w:val="none" w:sz="0" w:space="0" w:color="auto"/>
                                                            <w:right w:val="none" w:sz="0" w:space="0" w:color="auto"/>
                                                          </w:divBdr>
                                                          <w:divsChild>
                                                            <w:div w:id="1163396581">
                                                              <w:marLeft w:val="0"/>
                                                              <w:marRight w:val="0"/>
                                                              <w:marTop w:val="0"/>
                                                              <w:marBottom w:val="0"/>
                                                              <w:divBdr>
                                                                <w:top w:val="none" w:sz="0" w:space="0" w:color="auto"/>
                                                                <w:left w:val="none" w:sz="0" w:space="0" w:color="auto"/>
                                                                <w:bottom w:val="none" w:sz="0" w:space="0" w:color="auto"/>
                                                                <w:right w:val="none" w:sz="0" w:space="0" w:color="auto"/>
                                                              </w:divBdr>
                                                              <w:divsChild>
                                                                <w:div w:id="2111657431">
                                                                  <w:marLeft w:val="0"/>
                                                                  <w:marRight w:val="0"/>
                                                                  <w:marTop w:val="0"/>
                                                                  <w:marBottom w:val="0"/>
                                                                  <w:divBdr>
                                                                    <w:top w:val="none" w:sz="0" w:space="0" w:color="auto"/>
                                                                    <w:left w:val="none" w:sz="0" w:space="0" w:color="auto"/>
                                                                    <w:bottom w:val="none" w:sz="0" w:space="0" w:color="auto"/>
                                                                    <w:right w:val="none" w:sz="0" w:space="0" w:color="auto"/>
                                                                  </w:divBdr>
                                                                  <w:divsChild>
                                                                    <w:div w:id="273290453">
                                                                      <w:marLeft w:val="0"/>
                                                                      <w:marRight w:val="0"/>
                                                                      <w:marTop w:val="0"/>
                                                                      <w:marBottom w:val="0"/>
                                                                      <w:divBdr>
                                                                        <w:top w:val="none" w:sz="0" w:space="0" w:color="auto"/>
                                                                        <w:left w:val="none" w:sz="0" w:space="0" w:color="auto"/>
                                                                        <w:bottom w:val="none" w:sz="0" w:space="0" w:color="auto"/>
                                                                        <w:right w:val="none" w:sz="0" w:space="0" w:color="auto"/>
                                                                      </w:divBdr>
                                                                      <w:divsChild>
                                                                        <w:div w:id="842746021">
                                                                          <w:marLeft w:val="0"/>
                                                                          <w:marRight w:val="0"/>
                                                                          <w:marTop w:val="0"/>
                                                                          <w:marBottom w:val="0"/>
                                                                          <w:divBdr>
                                                                            <w:top w:val="none" w:sz="0" w:space="0" w:color="auto"/>
                                                                            <w:left w:val="none" w:sz="0" w:space="0" w:color="auto"/>
                                                                            <w:bottom w:val="none" w:sz="0" w:space="0" w:color="auto"/>
                                                                            <w:right w:val="none" w:sz="0" w:space="0" w:color="auto"/>
                                                                          </w:divBdr>
                                                                        </w:div>
                                                                      </w:divsChild>
                                                                    </w:div>
                                                                    <w:div w:id="1421830418">
                                                                      <w:marLeft w:val="0"/>
                                                                      <w:marRight w:val="0"/>
                                                                      <w:marTop w:val="0"/>
                                                                      <w:marBottom w:val="0"/>
                                                                      <w:divBdr>
                                                                        <w:top w:val="none" w:sz="0" w:space="0" w:color="auto"/>
                                                                        <w:left w:val="none" w:sz="0" w:space="0" w:color="auto"/>
                                                                        <w:bottom w:val="none" w:sz="0" w:space="0" w:color="auto"/>
                                                                        <w:right w:val="none" w:sz="0" w:space="0" w:color="auto"/>
                                                                      </w:divBdr>
                                                                      <w:divsChild>
                                                                        <w:div w:id="121920417">
                                                                          <w:marLeft w:val="0"/>
                                                                          <w:marRight w:val="0"/>
                                                                          <w:marTop w:val="0"/>
                                                                          <w:marBottom w:val="0"/>
                                                                          <w:divBdr>
                                                                            <w:top w:val="none" w:sz="0" w:space="0" w:color="auto"/>
                                                                            <w:left w:val="none" w:sz="0" w:space="0" w:color="auto"/>
                                                                            <w:bottom w:val="none" w:sz="0" w:space="0" w:color="auto"/>
                                                                            <w:right w:val="none" w:sz="0" w:space="0" w:color="auto"/>
                                                                          </w:divBdr>
                                                                        </w:div>
                                                                      </w:divsChild>
                                                                    </w:div>
                                                                    <w:div w:id="1564176525">
                                                                      <w:marLeft w:val="0"/>
                                                                      <w:marRight w:val="0"/>
                                                                      <w:marTop w:val="0"/>
                                                                      <w:marBottom w:val="0"/>
                                                                      <w:divBdr>
                                                                        <w:top w:val="none" w:sz="0" w:space="0" w:color="auto"/>
                                                                        <w:left w:val="none" w:sz="0" w:space="0" w:color="auto"/>
                                                                        <w:bottom w:val="none" w:sz="0" w:space="0" w:color="auto"/>
                                                                        <w:right w:val="none" w:sz="0" w:space="0" w:color="auto"/>
                                                                      </w:divBdr>
                                                                      <w:divsChild>
                                                                        <w:div w:id="98855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1980041">
      <w:bodyDiv w:val="1"/>
      <w:marLeft w:val="0"/>
      <w:marRight w:val="0"/>
      <w:marTop w:val="0"/>
      <w:marBottom w:val="0"/>
      <w:divBdr>
        <w:top w:val="none" w:sz="0" w:space="0" w:color="auto"/>
        <w:left w:val="none" w:sz="0" w:space="0" w:color="auto"/>
        <w:bottom w:val="none" w:sz="0" w:space="0" w:color="auto"/>
        <w:right w:val="none" w:sz="0" w:space="0" w:color="auto"/>
      </w:divBdr>
      <w:divsChild>
        <w:div w:id="51928791">
          <w:marLeft w:val="0"/>
          <w:marRight w:val="0"/>
          <w:marTop w:val="240"/>
          <w:marBottom w:val="0"/>
          <w:divBdr>
            <w:top w:val="none" w:sz="0" w:space="0" w:color="auto"/>
            <w:left w:val="none" w:sz="0" w:space="0" w:color="auto"/>
            <w:bottom w:val="none" w:sz="0" w:space="0" w:color="auto"/>
            <w:right w:val="none" w:sz="0" w:space="0" w:color="auto"/>
          </w:divBdr>
          <w:divsChild>
            <w:div w:id="1083991494">
              <w:marLeft w:val="0"/>
              <w:marRight w:val="0"/>
              <w:marTop w:val="0"/>
              <w:marBottom w:val="0"/>
              <w:divBdr>
                <w:top w:val="none" w:sz="0" w:space="0" w:color="auto"/>
                <w:left w:val="none" w:sz="0" w:space="0" w:color="auto"/>
                <w:bottom w:val="none" w:sz="0" w:space="0" w:color="auto"/>
                <w:right w:val="none" w:sz="0" w:space="0" w:color="auto"/>
              </w:divBdr>
              <w:divsChild>
                <w:div w:id="1777676780">
                  <w:blockQuote w:val="1"/>
                  <w:marLeft w:val="0"/>
                  <w:marRight w:val="0"/>
                  <w:marTop w:val="0"/>
                  <w:marBottom w:val="0"/>
                  <w:divBdr>
                    <w:top w:val="none" w:sz="0" w:space="0" w:color="auto"/>
                    <w:left w:val="none" w:sz="0" w:space="0" w:color="auto"/>
                    <w:bottom w:val="none" w:sz="0" w:space="0" w:color="auto"/>
                    <w:right w:val="none" w:sz="0" w:space="0" w:color="auto"/>
                  </w:divBdr>
                  <w:divsChild>
                    <w:div w:id="122016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407099">
          <w:marLeft w:val="0"/>
          <w:marRight w:val="0"/>
          <w:marTop w:val="240"/>
          <w:marBottom w:val="0"/>
          <w:divBdr>
            <w:top w:val="none" w:sz="0" w:space="0" w:color="auto"/>
            <w:left w:val="none" w:sz="0" w:space="0" w:color="auto"/>
            <w:bottom w:val="none" w:sz="0" w:space="0" w:color="auto"/>
            <w:right w:val="none" w:sz="0" w:space="0" w:color="auto"/>
          </w:divBdr>
        </w:div>
      </w:divsChild>
    </w:div>
    <w:div w:id="1923491686">
      <w:bodyDiv w:val="1"/>
      <w:marLeft w:val="0"/>
      <w:marRight w:val="0"/>
      <w:marTop w:val="0"/>
      <w:marBottom w:val="0"/>
      <w:divBdr>
        <w:top w:val="none" w:sz="0" w:space="0" w:color="auto"/>
        <w:left w:val="none" w:sz="0" w:space="0" w:color="auto"/>
        <w:bottom w:val="none" w:sz="0" w:space="0" w:color="auto"/>
        <w:right w:val="none" w:sz="0" w:space="0" w:color="auto"/>
      </w:divBdr>
    </w:div>
    <w:div w:id="1930381180">
      <w:bodyDiv w:val="1"/>
      <w:marLeft w:val="0"/>
      <w:marRight w:val="0"/>
      <w:marTop w:val="0"/>
      <w:marBottom w:val="0"/>
      <w:divBdr>
        <w:top w:val="none" w:sz="0" w:space="0" w:color="auto"/>
        <w:left w:val="none" w:sz="0" w:space="0" w:color="auto"/>
        <w:bottom w:val="none" w:sz="0" w:space="0" w:color="auto"/>
        <w:right w:val="none" w:sz="0" w:space="0" w:color="auto"/>
      </w:divBdr>
      <w:divsChild>
        <w:div w:id="132795814">
          <w:marLeft w:val="0"/>
          <w:marRight w:val="0"/>
          <w:marTop w:val="0"/>
          <w:marBottom w:val="0"/>
          <w:divBdr>
            <w:top w:val="none" w:sz="0" w:space="0" w:color="auto"/>
            <w:left w:val="single" w:sz="6" w:space="0" w:color="BBBBBB"/>
            <w:bottom w:val="single" w:sz="6" w:space="0" w:color="BBBBBB"/>
            <w:right w:val="single" w:sz="6" w:space="0" w:color="BBBBBB"/>
          </w:divBdr>
          <w:divsChild>
            <w:div w:id="1278679906">
              <w:marLeft w:val="0"/>
              <w:marRight w:val="0"/>
              <w:marTop w:val="0"/>
              <w:marBottom w:val="0"/>
              <w:divBdr>
                <w:top w:val="none" w:sz="0" w:space="0" w:color="auto"/>
                <w:left w:val="none" w:sz="0" w:space="0" w:color="auto"/>
                <w:bottom w:val="none" w:sz="0" w:space="0" w:color="auto"/>
                <w:right w:val="none" w:sz="0" w:space="0" w:color="auto"/>
              </w:divBdr>
              <w:divsChild>
                <w:div w:id="110245260">
                  <w:marLeft w:val="0"/>
                  <w:marRight w:val="0"/>
                  <w:marTop w:val="75"/>
                  <w:marBottom w:val="0"/>
                  <w:divBdr>
                    <w:top w:val="none" w:sz="0" w:space="0" w:color="auto"/>
                    <w:left w:val="none" w:sz="0" w:space="0" w:color="auto"/>
                    <w:bottom w:val="none" w:sz="0" w:space="0" w:color="auto"/>
                    <w:right w:val="none" w:sz="0" w:space="0" w:color="auto"/>
                  </w:divBdr>
                  <w:divsChild>
                    <w:div w:id="1762413573">
                      <w:marLeft w:val="0"/>
                      <w:marRight w:val="0"/>
                      <w:marTop w:val="0"/>
                      <w:marBottom w:val="0"/>
                      <w:divBdr>
                        <w:top w:val="none" w:sz="0" w:space="0" w:color="auto"/>
                        <w:left w:val="none" w:sz="0" w:space="0" w:color="auto"/>
                        <w:bottom w:val="none" w:sz="0" w:space="0" w:color="auto"/>
                        <w:right w:val="none" w:sz="0" w:space="0" w:color="auto"/>
                      </w:divBdr>
                      <w:divsChild>
                        <w:div w:id="1827043859">
                          <w:marLeft w:val="0"/>
                          <w:marRight w:val="0"/>
                          <w:marTop w:val="0"/>
                          <w:marBottom w:val="0"/>
                          <w:divBdr>
                            <w:top w:val="none" w:sz="0" w:space="0" w:color="auto"/>
                            <w:left w:val="none" w:sz="0" w:space="0" w:color="auto"/>
                            <w:bottom w:val="none" w:sz="0" w:space="0" w:color="auto"/>
                            <w:right w:val="none" w:sz="0" w:space="0" w:color="auto"/>
                          </w:divBdr>
                          <w:divsChild>
                            <w:div w:id="927807525">
                              <w:marLeft w:val="0"/>
                              <w:marRight w:val="0"/>
                              <w:marTop w:val="0"/>
                              <w:marBottom w:val="0"/>
                              <w:divBdr>
                                <w:top w:val="none" w:sz="0" w:space="0" w:color="auto"/>
                                <w:left w:val="none" w:sz="0" w:space="0" w:color="auto"/>
                                <w:bottom w:val="none" w:sz="0" w:space="0" w:color="auto"/>
                                <w:right w:val="none" w:sz="0" w:space="0" w:color="auto"/>
                              </w:divBdr>
                              <w:divsChild>
                                <w:div w:id="1003625615">
                                  <w:marLeft w:val="0"/>
                                  <w:marRight w:val="0"/>
                                  <w:marTop w:val="0"/>
                                  <w:marBottom w:val="0"/>
                                  <w:divBdr>
                                    <w:top w:val="none" w:sz="0" w:space="0" w:color="auto"/>
                                    <w:left w:val="none" w:sz="0" w:space="0" w:color="auto"/>
                                    <w:bottom w:val="none" w:sz="0" w:space="0" w:color="auto"/>
                                    <w:right w:val="none" w:sz="0" w:space="0" w:color="auto"/>
                                  </w:divBdr>
                                  <w:divsChild>
                                    <w:div w:id="50230228">
                                      <w:marLeft w:val="0"/>
                                      <w:marRight w:val="0"/>
                                      <w:marTop w:val="0"/>
                                      <w:marBottom w:val="0"/>
                                      <w:divBdr>
                                        <w:top w:val="none" w:sz="0" w:space="0" w:color="auto"/>
                                        <w:left w:val="none" w:sz="0" w:space="0" w:color="auto"/>
                                        <w:bottom w:val="none" w:sz="0" w:space="0" w:color="auto"/>
                                        <w:right w:val="none" w:sz="0" w:space="0" w:color="auto"/>
                                      </w:divBdr>
                                      <w:divsChild>
                                        <w:div w:id="857158309">
                                          <w:marLeft w:val="1200"/>
                                          <w:marRight w:val="1200"/>
                                          <w:marTop w:val="0"/>
                                          <w:marBottom w:val="0"/>
                                          <w:divBdr>
                                            <w:top w:val="none" w:sz="0" w:space="0" w:color="auto"/>
                                            <w:left w:val="none" w:sz="0" w:space="0" w:color="auto"/>
                                            <w:bottom w:val="none" w:sz="0" w:space="0" w:color="auto"/>
                                            <w:right w:val="none" w:sz="0" w:space="0" w:color="auto"/>
                                          </w:divBdr>
                                          <w:divsChild>
                                            <w:div w:id="1368795197">
                                              <w:marLeft w:val="0"/>
                                              <w:marRight w:val="0"/>
                                              <w:marTop w:val="0"/>
                                              <w:marBottom w:val="0"/>
                                              <w:divBdr>
                                                <w:top w:val="none" w:sz="0" w:space="0" w:color="auto"/>
                                                <w:left w:val="none" w:sz="0" w:space="0" w:color="auto"/>
                                                <w:bottom w:val="none" w:sz="0" w:space="0" w:color="auto"/>
                                                <w:right w:val="none" w:sz="0" w:space="0" w:color="auto"/>
                                              </w:divBdr>
                                              <w:divsChild>
                                                <w:div w:id="1804884126">
                                                  <w:marLeft w:val="0"/>
                                                  <w:marRight w:val="0"/>
                                                  <w:marTop w:val="0"/>
                                                  <w:marBottom w:val="0"/>
                                                  <w:divBdr>
                                                    <w:top w:val="none" w:sz="0" w:space="0" w:color="auto"/>
                                                    <w:left w:val="none" w:sz="0" w:space="0" w:color="auto"/>
                                                    <w:bottom w:val="none" w:sz="0" w:space="0" w:color="auto"/>
                                                    <w:right w:val="none" w:sz="0" w:space="0" w:color="auto"/>
                                                  </w:divBdr>
                                                  <w:divsChild>
                                                    <w:div w:id="27728976">
                                                      <w:marLeft w:val="0"/>
                                                      <w:marRight w:val="0"/>
                                                      <w:marTop w:val="0"/>
                                                      <w:marBottom w:val="0"/>
                                                      <w:divBdr>
                                                        <w:top w:val="none" w:sz="0" w:space="0" w:color="auto"/>
                                                        <w:left w:val="none" w:sz="0" w:space="0" w:color="auto"/>
                                                        <w:bottom w:val="none" w:sz="0" w:space="0" w:color="auto"/>
                                                        <w:right w:val="none" w:sz="0" w:space="0" w:color="auto"/>
                                                      </w:divBdr>
                                                      <w:divsChild>
                                                        <w:div w:id="1397820690">
                                                          <w:marLeft w:val="0"/>
                                                          <w:marRight w:val="0"/>
                                                          <w:marTop w:val="0"/>
                                                          <w:marBottom w:val="0"/>
                                                          <w:divBdr>
                                                            <w:top w:val="none" w:sz="0" w:space="0" w:color="auto"/>
                                                            <w:left w:val="none" w:sz="0" w:space="0" w:color="auto"/>
                                                            <w:bottom w:val="none" w:sz="0" w:space="0" w:color="auto"/>
                                                            <w:right w:val="none" w:sz="0" w:space="0" w:color="auto"/>
                                                          </w:divBdr>
                                                        </w:div>
                                                      </w:divsChild>
                                                    </w:div>
                                                    <w:div w:id="147407896">
                                                      <w:marLeft w:val="0"/>
                                                      <w:marRight w:val="0"/>
                                                      <w:marTop w:val="0"/>
                                                      <w:marBottom w:val="0"/>
                                                      <w:divBdr>
                                                        <w:top w:val="none" w:sz="0" w:space="0" w:color="auto"/>
                                                        <w:left w:val="none" w:sz="0" w:space="0" w:color="auto"/>
                                                        <w:bottom w:val="none" w:sz="0" w:space="0" w:color="auto"/>
                                                        <w:right w:val="none" w:sz="0" w:space="0" w:color="auto"/>
                                                      </w:divBdr>
                                                      <w:divsChild>
                                                        <w:div w:id="508523762">
                                                          <w:marLeft w:val="0"/>
                                                          <w:marRight w:val="0"/>
                                                          <w:marTop w:val="0"/>
                                                          <w:marBottom w:val="0"/>
                                                          <w:divBdr>
                                                            <w:top w:val="none" w:sz="0" w:space="0" w:color="auto"/>
                                                            <w:left w:val="none" w:sz="0" w:space="0" w:color="auto"/>
                                                            <w:bottom w:val="none" w:sz="0" w:space="0" w:color="auto"/>
                                                            <w:right w:val="none" w:sz="0" w:space="0" w:color="auto"/>
                                                          </w:divBdr>
                                                        </w:div>
                                                      </w:divsChild>
                                                    </w:div>
                                                    <w:div w:id="331372551">
                                                      <w:marLeft w:val="0"/>
                                                      <w:marRight w:val="0"/>
                                                      <w:marTop w:val="0"/>
                                                      <w:marBottom w:val="0"/>
                                                      <w:divBdr>
                                                        <w:top w:val="none" w:sz="0" w:space="0" w:color="auto"/>
                                                        <w:left w:val="none" w:sz="0" w:space="0" w:color="auto"/>
                                                        <w:bottom w:val="none" w:sz="0" w:space="0" w:color="auto"/>
                                                        <w:right w:val="none" w:sz="0" w:space="0" w:color="auto"/>
                                                      </w:divBdr>
                                                      <w:divsChild>
                                                        <w:div w:id="1425955003">
                                                          <w:marLeft w:val="0"/>
                                                          <w:marRight w:val="0"/>
                                                          <w:marTop w:val="0"/>
                                                          <w:marBottom w:val="0"/>
                                                          <w:divBdr>
                                                            <w:top w:val="none" w:sz="0" w:space="0" w:color="auto"/>
                                                            <w:left w:val="none" w:sz="0" w:space="0" w:color="auto"/>
                                                            <w:bottom w:val="none" w:sz="0" w:space="0" w:color="auto"/>
                                                            <w:right w:val="none" w:sz="0" w:space="0" w:color="auto"/>
                                                          </w:divBdr>
                                                        </w:div>
                                                      </w:divsChild>
                                                    </w:div>
                                                    <w:div w:id="577135259">
                                                      <w:marLeft w:val="0"/>
                                                      <w:marRight w:val="0"/>
                                                      <w:marTop w:val="0"/>
                                                      <w:marBottom w:val="0"/>
                                                      <w:divBdr>
                                                        <w:top w:val="none" w:sz="0" w:space="0" w:color="auto"/>
                                                        <w:left w:val="none" w:sz="0" w:space="0" w:color="auto"/>
                                                        <w:bottom w:val="none" w:sz="0" w:space="0" w:color="auto"/>
                                                        <w:right w:val="none" w:sz="0" w:space="0" w:color="auto"/>
                                                      </w:divBdr>
                                                      <w:divsChild>
                                                        <w:div w:id="189078134">
                                                          <w:marLeft w:val="0"/>
                                                          <w:marRight w:val="0"/>
                                                          <w:marTop w:val="0"/>
                                                          <w:marBottom w:val="0"/>
                                                          <w:divBdr>
                                                            <w:top w:val="none" w:sz="0" w:space="0" w:color="auto"/>
                                                            <w:left w:val="none" w:sz="0" w:space="0" w:color="auto"/>
                                                            <w:bottom w:val="none" w:sz="0" w:space="0" w:color="auto"/>
                                                            <w:right w:val="none" w:sz="0" w:space="0" w:color="auto"/>
                                                          </w:divBdr>
                                                        </w:div>
                                                      </w:divsChild>
                                                    </w:div>
                                                    <w:div w:id="662779767">
                                                      <w:marLeft w:val="0"/>
                                                      <w:marRight w:val="0"/>
                                                      <w:marTop w:val="0"/>
                                                      <w:marBottom w:val="0"/>
                                                      <w:divBdr>
                                                        <w:top w:val="none" w:sz="0" w:space="0" w:color="auto"/>
                                                        <w:left w:val="none" w:sz="0" w:space="0" w:color="auto"/>
                                                        <w:bottom w:val="none" w:sz="0" w:space="0" w:color="auto"/>
                                                        <w:right w:val="none" w:sz="0" w:space="0" w:color="auto"/>
                                                      </w:divBdr>
                                                      <w:divsChild>
                                                        <w:div w:id="1963536408">
                                                          <w:marLeft w:val="0"/>
                                                          <w:marRight w:val="0"/>
                                                          <w:marTop w:val="0"/>
                                                          <w:marBottom w:val="0"/>
                                                          <w:divBdr>
                                                            <w:top w:val="none" w:sz="0" w:space="0" w:color="auto"/>
                                                            <w:left w:val="none" w:sz="0" w:space="0" w:color="auto"/>
                                                            <w:bottom w:val="none" w:sz="0" w:space="0" w:color="auto"/>
                                                            <w:right w:val="none" w:sz="0" w:space="0" w:color="auto"/>
                                                          </w:divBdr>
                                                        </w:div>
                                                      </w:divsChild>
                                                    </w:div>
                                                    <w:div w:id="1211066337">
                                                      <w:marLeft w:val="0"/>
                                                      <w:marRight w:val="0"/>
                                                      <w:marTop w:val="0"/>
                                                      <w:marBottom w:val="0"/>
                                                      <w:divBdr>
                                                        <w:top w:val="none" w:sz="0" w:space="0" w:color="auto"/>
                                                        <w:left w:val="none" w:sz="0" w:space="0" w:color="auto"/>
                                                        <w:bottom w:val="none" w:sz="0" w:space="0" w:color="auto"/>
                                                        <w:right w:val="none" w:sz="0" w:space="0" w:color="auto"/>
                                                      </w:divBdr>
                                                      <w:divsChild>
                                                        <w:div w:id="1817069151">
                                                          <w:marLeft w:val="0"/>
                                                          <w:marRight w:val="0"/>
                                                          <w:marTop w:val="0"/>
                                                          <w:marBottom w:val="0"/>
                                                          <w:divBdr>
                                                            <w:top w:val="none" w:sz="0" w:space="0" w:color="auto"/>
                                                            <w:left w:val="none" w:sz="0" w:space="0" w:color="auto"/>
                                                            <w:bottom w:val="none" w:sz="0" w:space="0" w:color="auto"/>
                                                            <w:right w:val="none" w:sz="0" w:space="0" w:color="auto"/>
                                                          </w:divBdr>
                                                        </w:div>
                                                      </w:divsChild>
                                                    </w:div>
                                                    <w:div w:id="1288197975">
                                                      <w:marLeft w:val="0"/>
                                                      <w:marRight w:val="0"/>
                                                      <w:marTop w:val="0"/>
                                                      <w:marBottom w:val="0"/>
                                                      <w:divBdr>
                                                        <w:top w:val="none" w:sz="0" w:space="0" w:color="auto"/>
                                                        <w:left w:val="none" w:sz="0" w:space="0" w:color="auto"/>
                                                        <w:bottom w:val="none" w:sz="0" w:space="0" w:color="auto"/>
                                                        <w:right w:val="none" w:sz="0" w:space="0" w:color="auto"/>
                                                      </w:divBdr>
                                                      <w:divsChild>
                                                        <w:div w:id="9428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0656782">
      <w:bodyDiv w:val="1"/>
      <w:marLeft w:val="0"/>
      <w:marRight w:val="0"/>
      <w:marTop w:val="0"/>
      <w:marBottom w:val="0"/>
      <w:divBdr>
        <w:top w:val="none" w:sz="0" w:space="0" w:color="auto"/>
        <w:left w:val="none" w:sz="0" w:space="0" w:color="auto"/>
        <w:bottom w:val="none" w:sz="0" w:space="0" w:color="auto"/>
        <w:right w:val="none" w:sz="0" w:space="0" w:color="auto"/>
      </w:divBdr>
      <w:divsChild>
        <w:div w:id="1617834200">
          <w:marLeft w:val="0"/>
          <w:marRight w:val="0"/>
          <w:marTop w:val="0"/>
          <w:marBottom w:val="0"/>
          <w:divBdr>
            <w:top w:val="none" w:sz="0" w:space="0" w:color="auto"/>
            <w:left w:val="single" w:sz="6" w:space="0" w:color="BBBBBB"/>
            <w:bottom w:val="single" w:sz="6" w:space="0" w:color="BBBBBB"/>
            <w:right w:val="single" w:sz="6" w:space="0" w:color="BBBBBB"/>
          </w:divBdr>
          <w:divsChild>
            <w:div w:id="1359238749">
              <w:marLeft w:val="0"/>
              <w:marRight w:val="0"/>
              <w:marTop w:val="0"/>
              <w:marBottom w:val="0"/>
              <w:divBdr>
                <w:top w:val="none" w:sz="0" w:space="0" w:color="auto"/>
                <w:left w:val="none" w:sz="0" w:space="0" w:color="auto"/>
                <w:bottom w:val="none" w:sz="0" w:space="0" w:color="auto"/>
                <w:right w:val="none" w:sz="0" w:space="0" w:color="auto"/>
              </w:divBdr>
              <w:divsChild>
                <w:div w:id="697702484">
                  <w:marLeft w:val="0"/>
                  <w:marRight w:val="0"/>
                  <w:marTop w:val="0"/>
                  <w:marBottom w:val="0"/>
                  <w:divBdr>
                    <w:top w:val="none" w:sz="0" w:space="0" w:color="auto"/>
                    <w:left w:val="none" w:sz="0" w:space="0" w:color="auto"/>
                    <w:bottom w:val="none" w:sz="0" w:space="0" w:color="auto"/>
                    <w:right w:val="none" w:sz="0" w:space="0" w:color="auto"/>
                  </w:divBdr>
                  <w:divsChild>
                    <w:div w:id="2109616946">
                      <w:marLeft w:val="0"/>
                      <w:marRight w:val="0"/>
                      <w:marTop w:val="0"/>
                      <w:marBottom w:val="0"/>
                      <w:divBdr>
                        <w:top w:val="none" w:sz="0" w:space="0" w:color="auto"/>
                        <w:left w:val="none" w:sz="0" w:space="0" w:color="auto"/>
                        <w:bottom w:val="none" w:sz="0" w:space="0" w:color="auto"/>
                        <w:right w:val="none" w:sz="0" w:space="0" w:color="auto"/>
                      </w:divBdr>
                      <w:divsChild>
                        <w:div w:id="1593658673">
                          <w:marLeft w:val="0"/>
                          <w:marRight w:val="0"/>
                          <w:marTop w:val="0"/>
                          <w:marBottom w:val="0"/>
                          <w:divBdr>
                            <w:top w:val="none" w:sz="0" w:space="0" w:color="auto"/>
                            <w:left w:val="none" w:sz="0" w:space="0" w:color="auto"/>
                            <w:bottom w:val="none" w:sz="0" w:space="0" w:color="auto"/>
                            <w:right w:val="none" w:sz="0" w:space="0" w:color="auto"/>
                          </w:divBdr>
                          <w:divsChild>
                            <w:div w:id="785655329">
                              <w:marLeft w:val="0"/>
                              <w:marRight w:val="0"/>
                              <w:marTop w:val="0"/>
                              <w:marBottom w:val="0"/>
                              <w:divBdr>
                                <w:top w:val="none" w:sz="0" w:space="0" w:color="auto"/>
                                <w:left w:val="none" w:sz="0" w:space="0" w:color="auto"/>
                                <w:bottom w:val="none" w:sz="0" w:space="0" w:color="auto"/>
                                <w:right w:val="none" w:sz="0" w:space="0" w:color="auto"/>
                              </w:divBdr>
                              <w:divsChild>
                                <w:div w:id="602962106">
                                  <w:marLeft w:val="0"/>
                                  <w:marRight w:val="0"/>
                                  <w:marTop w:val="0"/>
                                  <w:marBottom w:val="0"/>
                                  <w:divBdr>
                                    <w:top w:val="none" w:sz="0" w:space="0" w:color="auto"/>
                                    <w:left w:val="none" w:sz="0" w:space="0" w:color="auto"/>
                                    <w:bottom w:val="none" w:sz="0" w:space="0" w:color="auto"/>
                                    <w:right w:val="none" w:sz="0" w:space="0" w:color="auto"/>
                                  </w:divBdr>
                                  <w:divsChild>
                                    <w:div w:id="623002997">
                                      <w:marLeft w:val="0"/>
                                      <w:marRight w:val="0"/>
                                      <w:marTop w:val="0"/>
                                      <w:marBottom w:val="0"/>
                                      <w:divBdr>
                                        <w:top w:val="none" w:sz="0" w:space="0" w:color="auto"/>
                                        <w:left w:val="none" w:sz="0" w:space="0" w:color="auto"/>
                                        <w:bottom w:val="none" w:sz="0" w:space="0" w:color="auto"/>
                                        <w:right w:val="none" w:sz="0" w:space="0" w:color="auto"/>
                                      </w:divBdr>
                                      <w:divsChild>
                                        <w:div w:id="1192186400">
                                          <w:marLeft w:val="1200"/>
                                          <w:marRight w:val="1200"/>
                                          <w:marTop w:val="0"/>
                                          <w:marBottom w:val="0"/>
                                          <w:divBdr>
                                            <w:top w:val="none" w:sz="0" w:space="0" w:color="auto"/>
                                            <w:left w:val="none" w:sz="0" w:space="0" w:color="auto"/>
                                            <w:bottom w:val="none" w:sz="0" w:space="0" w:color="auto"/>
                                            <w:right w:val="none" w:sz="0" w:space="0" w:color="auto"/>
                                          </w:divBdr>
                                          <w:divsChild>
                                            <w:div w:id="1314069511">
                                              <w:marLeft w:val="0"/>
                                              <w:marRight w:val="0"/>
                                              <w:marTop w:val="0"/>
                                              <w:marBottom w:val="0"/>
                                              <w:divBdr>
                                                <w:top w:val="none" w:sz="0" w:space="0" w:color="auto"/>
                                                <w:left w:val="none" w:sz="0" w:space="0" w:color="auto"/>
                                                <w:bottom w:val="none" w:sz="0" w:space="0" w:color="auto"/>
                                                <w:right w:val="none" w:sz="0" w:space="0" w:color="auto"/>
                                              </w:divBdr>
                                              <w:divsChild>
                                                <w:div w:id="1658878376">
                                                  <w:marLeft w:val="0"/>
                                                  <w:marRight w:val="0"/>
                                                  <w:marTop w:val="0"/>
                                                  <w:marBottom w:val="0"/>
                                                  <w:divBdr>
                                                    <w:top w:val="none" w:sz="0" w:space="0" w:color="auto"/>
                                                    <w:left w:val="none" w:sz="0" w:space="0" w:color="auto"/>
                                                    <w:bottom w:val="none" w:sz="0" w:space="0" w:color="auto"/>
                                                    <w:right w:val="none" w:sz="0" w:space="0" w:color="auto"/>
                                                  </w:divBdr>
                                                  <w:divsChild>
                                                    <w:div w:id="15817513">
                                                      <w:marLeft w:val="0"/>
                                                      <w:marRight w:val="0"/>
                                                      <w:marTop w:val="0"/>
                                                      <w:marBottom w:val="0"/>
                                                      <w:divBdr>
                                                        <w:top w:val="none" w:sz="0" w:space="0" w:color="auto"/>
                                                        <w:left w:val="none" w:sz="0" w:space="0" w:color="auto"/>
                                                        <w:bottom w:val="none" w:sz="0" w:space="0" w:color="auto"/>
                                                        <w:right w:val="none" w:sz="0" w:space="0" w:color="auto"/>
                                                      </w:divBdr>
                                                      <w:divsChild>
                                                        <w:div w:id="660695407">
                                                          <w:marLeft w:val="0"/>
                                                          <w:marRight w:val="0"/>
                                                          <w:marTop w:val="0"/>
                                                          <w:marBottom w:val="0"/>
                                                          <w:divBdr>
                                                            <w:top w:val="none" w:sz="0" w:space="0" w:color="auto"/>
                                                            <w:left w:val="none" w:sz="0" w:space="0" w:color="auto"/>
                                                            <w:bottom w:val="none" w:sz="0" w:space="0" w:color="auto"/>
                                                            <w:right w:val="none" w:sz="0" w:space="0" w:color="auto"/>
                                                          </w:divBdr>
                                                          <w:divsChild>
                                                            <w:div w:id="996767229">
                                                              <w:marLeft w:val="0"/>
                                                              <w:marRight w:val="0"/>
                                                              <w:marTop w:val="0"/>
                                                              <w:marBottom w:val="0"/>
                                                              <w:divBdr>
                                                                <w:top w:val="none" w:sz="0" w:space="0" w:color="auto"/>
                                                                <w:left w:val="none" w:sz="0" w:space="0" w:color="auto"/>
                                                                <w:bottom w:val="none" w:sz="0" w:space="0" w:color="auto"/>
                                                                <w:right w:val="none" w:sz="0" w:space="0" w:color="auto"/>
                                                              </w:divBdr>
                                                              <w:divsChild>
                                                                <w:div w:id="933123800">
                                                                  <w:marLeft w:val="0"/>
                                                                  <w:marRight w:val="0"/>
                                                                  <w:marTop w:val="0"/>
                                                                  <w:marBottom w:val="0"/>
                                                                  <w:divBdr>
                                                                    <w:top w:val="none" w:sz="0" w:space="0" w:color="auto"/>
                                                                    <w:left w:val="none" w:sz="0" w:space="0" w:color="auto"/>
                                                                    <w:bottom w:val="none" w:sz="0" w:space="0" w:color="auto"/>
                                                                    <w:right w:val="none" w:sz="0" w:space="0" w:color="auto"/>
                                                                  </w:divBdr>
                                                                  <w:divsChild>
                                                                    <w:div w:id="402994701">
                                                                      <w:marLeft w:val="0"/>
                                                                      <w:marRight w:val="0"/>
                                                                      <w:marTop w:val="0"/>
                                                                      <w:marBottom w:val="0"/>
                                                                      <w:divBdr>
                                                                        <w:top w:val="none" w:sz="0" w:space="0" w:color="auto"/>
                                                                        <w:left w:val="none" w:sz="0" w:space="0" w:color="auto"/>
                                                                        <w:bottom w:val="none" w:sz="0" w:space="0" w:color="auto"/>
                                                                        <w:right w:val="none" w:sz="0" w:space="0" w:color="auto"/>
                                                                      </w:divBdr>
                                                                    </w:div>
                                                                    <w:div w:id="447240311">
                                                                      <w:marLeft w:val="0"/>
                                                                      <w:marRight w:val="0"/>
                                                                      <w:marTop w:val="0"/>
                                                                      <w:marBottom w:val="0"/>
                                                                      <w:divBdr>
                                                                        <w:top w:val="none" w:sz="0" w:space="0" w:color="auto"/>
                                                                        <w:left w:val="none" w:sz="0" w:space="0" w:color="auto"/>
                                                                        <w:bottom w:val="none" w:sz="0" w:space="0" w:color="auto"/>
                                                                        <w:right w:val="none" w:sz="0" w:space="0" w:color="auto"/>
                                                                      </w:divBdr>
                                                                      <w:divsChild>
                                                                        <w:div w:id="670181006">
                                                                          <w:marLeft w:val="0"/>
                                                                          <w:marRight w:val="0"/>
                                                                          <w:marTop w:val="0"/>
                                                                          <w:marBottom w:val="0"/>
                                                                          <w:divBdr>
                                                                            <w:top w:val="none" w:sz="0" w:space="0" w:color="auto"/>
                                                                            <w:left w:val="none" w:sz="0" w:space="0" w:color="auto"/>
                                                                            <w:bottom w:val="none" w:sz="0" w:space="0" w:color="auto"/>
                                                                            <w:right w:val="none" w:sz="0" w:space="0" w:color="auto"/>
                                                                          </w:divBdr>
                                                                        </w:div>
                                                                      </w:divsChild>
                                                                    </w:div>
                                                                    <w:div w:id="868374438">
                                                                      <w:marLeft w:val="0"/>
                                                                      <w:marRight w:val="0"/>
                                                                      <w:marTop w:val="0"/>
                                                                      <w:marBottom w:val="0"/>
                                                                      <w:divBdr>
                                                                        <w:top w:val="none" w:sz="0" w:space="0" w:color="auto"/>
                                                                        <w:left w:val="none" w:sz="0" w:space="0" w:color="auto"/>
                                                                        <w:bottom w:val="none" w:sz="0" w:space="0" w:color="auto"/>
                                                                        <w:right w:val="none" w:sz="0" w:space="0" w:color="auto"/>
                                                                      </w:divBdr>
                                                                      <w:divsChild>
                                                                        <w:div w:id="1618566442">
                                                                          <w:marLeft w:val="0"/>
                                                                          <w:marRight w:val="0"/>
                                                                          <w:marTop w:val="0"/>
                                                                          <w:marBottom w:val="0"/>
                                                                          <w:divBdr>
                                                                            <w:top w:val="none" w:sz="0" w:space="0" w:color="auto"/>
                                                                            <w:left w:val="none" w:sz="0" w:space="0" w:color="auto"/>
                                                                            <w:bottom w:val="none" w:sz="0" w:space="0" w:color="auto"/>
                                                                            <w:right w:val="none" w:sz="0" w:space="0" w:color="auto"/>
                                                                          </w:divBdr>
                                                                        </w:div>
                                                                      </w:divsChild>
                                                                    </w:div>
                                                                    <w:div w:id="922572879">
                                                                      <w:marLeft w:val="0"/>
                                                                      <w:marRight w:val="0"/>
                                                                      <w:marTop w:val="0"/>
                                                                      <w:marBottom w:val="0"/>
                                                                      <w:divBdr>
                                                                        <w:top w:val="none" w:sz="0" w:space="0" w:color="auto"/>
                                                                        <w:left w:val="none" w:sz="0" w:space="0" w:color="auto"/>
                                                                        <w:bottom w:val="none" w:sz="0" w:space="0" w:color="auto"/>
                                                                        <w:right w:val="none" w:sz="0" w:space="0" w:color="auto"/>
                                                                      </w:divBdr>
                                                                      <w:divsChild>
                                                                        <w:div w:id="539515648">
                                                                          <w:marLeft w:val="0"/>
                                                                          <w:marRight w:val="0"/>
                                                                          <w:marTop w:val="0"/>
                                                                          <w:marBottom w:val="0"/>
                                                                          <w:divBdr>
                                                                            <w:top w:val="none" w:sz="0" w:space="0" w:color="auto"/>
                                                                            <w:left w:val="none" w:sz="0" w:space="0" w:color="auto"/>
                                                                            <w:bottom w:val="none" w:sz="0" w:space="0" w:color="auto"/>
                                                                            <w:right w:val="none" w:sz="0" w:space="0" w:color="auto"/>
                                                                          </w:divBdr>
                                                                        </w:div>
                                                                      </w:divsChild>
                                                                    </w:div>
                                                                    <w:div w:id="1608002791">
                                                                      <w:marLeft w:val="0"/>
                                                                      <w:marRight w:val="0"/>
                                                                      <w:marTop w:val="0"/>
                                                                      <w:marBottom w:val="0"/>
                                                                      <w:divBdr>
                                                                        <w:top w:val="none" w:sz="0" w:space="0" w:color="auto"/>
                                                                        <w:left w:val="none" w:sz="0" w:space="0" w:color="auto"/>
                                                                        <w:bottom w:val="none" w:sz="0" w:space="0" w:color="auto"/>
                                                                        <w:right w:val="none" w:sz="0" w:space="0" w:color="auto"/>
                                                                      </w:divBdr>
                                                                      <w:divsChild>
                                                                        <w:div w:id="374499878">
                                                                          <w:marLeft w:val="0"/>
                                                                          <w:marRight w:val="0"/>
                                                                          <w:marTop w:val="0"/>
                                                                          <w:marBottom w:val="0"/>
                                                                          <w:divBdr>
                                                                            <w:top w:val="none" w:sz="0" w:space="0" w:color="auto"/>
                                                                            <w:left w:val="none" w:sz="0" w:space="0" w:color="auto"/>
                                                                            <w:bottom w:val="none" w:sz="0" w:space="0" w:color="auto"/>
                                                                            <w:right w:val="none" w:sz="0" w:space="0" w:color="auto"/>
                                                                          </w:divBdr>
                                                                        </w:div>
                                                                      </w:divsChild>
                                                                    </w:div>
                                                                    <w:div w:id="1802917739">
                                                                      <w:marLeft w:val="0"/>
                                                                      <w:marRight w:val="0"/>
                                                                      <w:marTop w:val="0"/>
                                                                      <w:marBottom w:val="0"/>
                                                                      <w:divBdr>
                                                                        <w:top w:val="none" w:sz="0" w:space="0" w:color="auto"/>
                                                                        <w:left w:val="none" w:sz="0" w:space="0" w:color="auto"/>
                                                                        <w:bottom w:val="none" w:sz="0" w:space="0" w:color="auto"/>
                                                                        <w:right w:val="none" w:sz="0" w:space="0" w:color="auto"/>
                                                                      </w:divBdr>
                                                                      <w:divsChild>
                                                                        <w:div w:id="714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9548">
                                                                  <w:marLeft w:val="0"/>
                                                                  <w:marRight w:val="0"/>
                                                                  <w:marTop w:val="0"/>
                                                                  <w:marBottom w:val="0"/>
                                                                  <w:divBdr>
                                                                    <w:top w:val="none" w:sz="0" w:space="0" w:color="auto"/>
                                                                    <w:left w:val="none" w:sz="0" w:space="0" w:color="auto"/>
                                                                    <w:bottom w:val="none" w:sz="0" w:space="0" w:color="auto"/>
                                                                    <w:right w:val="none" w:sz="0" w:space="0" w:color="auto"/>
                                                                  </w:divBdr>
                                                                  <w:divsChild>
                                                                    <w:div w:id="636956017">
                                                                      <w:marLeft w:val="0"/>
                                                                      <w:marRight w:val="0"/>
                                                                      <w:marTop w:val="0"/>
                                                                      <w:marBottom w:val="0"/>
                                                                      <w:divBdr>
                                                                        <w:top w:val="none" w:sz="0" w:space="0" w:color="auto"/>
                                                                        <w:left w:val="none" w:sz="0" w:space="0" w:color="auto"/>
                                                                        <w:bottom w:val="none" w:sz="0" w:space="0" w:color="auto"/>
                                                                        <w:right w:val="none" w:sz="0" w:space="0" w:color="auto"/>
                                                                      </w:divBdr>
                                                                      <w:divsChild>
                                                                        <w:div w:id="1186865128">
                                                                          <w:marLeft w:val="0"/>
                                                                          <w:marRight w:val="0"/>
                                                                          <w:marTop w:val="0"/>
                                                                          <w:marBottom w:val="0"/>
                                                                          <w:divBdr>
                                                                            <w:top w:val="none" w:sz="0" w:space="0" w:color="auto"/>
                                                                            <w:left w:val="none" w:sz="0" w:space="0" w:color="auto"/>
                                                                            <w:bottom w:val="none" w:sz="0" w:space="0" w:color="auto"/>
                                                                            <w:right w:val="none" w:sz="0" w:space="0" w:color="auto"/>
                                                                          </w:divBdr>
                                                                        </w:div>
                                                                      </w:divsChild>
                                                                    </w:div>
                                                                    <w:div w:id="970742195">
                                                                      <w:marLeft w:val="0"/>
                                                                      <w:marRight w:val="0"/>
                                                                      <w:marTop w:val="0"/>
                                                                      <w:marBottom w:val="0"/>
                                                                      <w:divBdr>
                                                                        <w:top w:val="none" w:sz="0" w:space="0" w:color="auto"/>
                                                                        <w:left w:val="none" w:sz="0" w:space="0" w:color="auto"/>
                                                                        <w:bottom w:val="none" w:sz="0" w:space="0" w:color="auto"/>
                                                                        <w:right w:val="none" w:sz="0" w:space="0" w:color="auto"/>
                                                                      </w:divBdr>
                                                                      <w:divsChild>
                                                                        <w:div w:id="1013218911">
                                                                          <w:marLeft w:val="0"/>
                                                                          <w:marRight w:val="0"/>
                                                                          <w:marTop w:val="0"/>
                                                                          <w:marBottom w:val="0"/>
                                                                          <w:divBdr>
                                                                            <w:top w:val="none" w:sz="0" w:space="0" w:color="auto"/>
                                                                            <w:left w:val="none" w:sz="0" w:space="0" w:color="auto"/>
                                                                            <w:bottom w:val="none" w:sz="0" w:space="0" w:color="auto"/>
                                                                            <w:right w:val="none" w:sz="0" w:space="0" w:color="auto"/>
                                                                          </w:divBdr>
                                                                        </w:div>
                                                                      </w:divsChild>
                                                                    </w:div>
                                                                    <w:div w:id="1484421547">
                                                                      <w:marLeft w:val="0"/>
                                                                      <w:marRight w:val="0"/>
                                                                      <w:marTop w:val="0"/>
                                                                      <w:marBottom w:val="0"/>
                                                                      <w:divBdr>
                                                                        <w:top w:val="none" w:sz="0" w:space="0" w:color="auto"/>
                                                                        <w:left w:val="none" w:sz="0" w:space="0" w:color="auto"/>
                                                                        <w:bottom w:val="none" w:sz="0" w:space="0" w:color="auto"/>
                                                                        <w:right w:val="none" w:sz="0" w:space="0" w:color="auto"/>
                                                                      </w:divBdr>
                                                                      <w:divsChild>
                                                                        <w:div w:id="1176966968">
                                                                          <w:marLeft w:val="0"/>
                                                                          <w:marRight w:val="0"/>
                                                                          <w:marTop w:val="0"/>
                                                                          <w:marBottom w:val="0"/>
                                                                          <w:divBdr>
                                                                            <w:top w:val="none" w:sz="0" w:space="0" w:color="auto"/>
                                                                            <w:left w:val="none" w:sz="0" w:space="0" w:color="auto"/>
                                                                            <w:bottom w:val="none" w:sz="0" w:space="0" w:color="auto"/>
                                                                            <w:right w:val="none" w:sz="0" w:space="0" w:color="auto"/>
                                                                          </w:divBdr>
                                                                        </w:div>
                                                                      </w:divsChild>
                                                                    </w:div>
                                                                    <w:div w:id="1504473494">
                                                                      <w:marLeft w:val="0"/>
                                                                      <w:marRight w:val="0"/>
                                                                      <w:marTop w:val="0"/>
                                                                      <w:marBottom w:val="0"/>
                                                                      <w:divBdr>
                                                                        <w:top w:val="none" w:sz="0" w:space="0" w:color="auto"/>
                                                                        <w:left w:val="none" w:sz="0" w:space="0" w:color="auto"/>
                                                                        <w:bottom w:val="none" w:sz="0" w:space="0" w:color="auto"/>
                                                                        <w:right w:val="none" w:sz="0" w:space="0" w:color="auto"/>
                                                                      </w:divBdr>
                                                                    </w:div>
                                                                  </w:divsChild>
                                                                </w:div>
                                                                <w:div w:id="1385838218">
                                                                  <w:marLeft w:val="0"/>
                                                                  <w:marRight w:val="0"/>
                                                                  <w:marTop w:val="0"/>
                                                                  <w:marBottom w:val="0"/>
                                                                  <w:divBdr>
                                                                    <w:top w:val="none" w:sz="0" w:space="0" w:color="auto"/>
                                                                    <w:left w:val="none" w:sz="0" w:space="0" w:color="auto"/>
                                                                    <w:bottom w:val="none" w:sz="0" w:space="0" w:color="auto"/>
                                                                    <w:right w:val="none" w:sz="0" w:space="0" w:color="auto"/>
                                                                  </w:divBdr>
                                                                  <w:divsChild>
                                                                    <w:div w:id="390808810">
                                                                      <w:marLeft w:val="0"/>
                                                                      <w:marRight w:val="0"/>
                                                                      <w:marTop w:val="0"/>
                                                                      <w:marBottom w:val="0"/>
                                                                      <w:divBdr>
                                                                        <w:top w:val="none" w:sz="0" w:space="0" w:color="auto"/>
                                                                        <w:left w:val="none" w:sz="0" w:space="0" w:color="auto"/>
                                                                        <w:bottom w:val="none" w:sz="0" w:space="0" w:color="auto"/>
                                                                        <w:right w:val="none" w:sz="0" w:space="0" w:color="auto"/>
                                                                      </w:divBdr>
                                                                      <w:divsChild>
                                                                        <w:div w:id="326901606">
                                                                          <w:marLeft w:val="0"/>
                                                                          <w:marRight w:val="0"/>
                                                                          <w:marTop w:val="0"/>
                                                                          <w:marBottom w:val="0"/>
                                                                          <w:divBdr>
                                                                            <w:top w:val="none" w:sz="0" w:space="0" w:color="auto"/>
                                                                            <w:left w:val="none" w:sz="0" w:space="0" w:color="auto"/>
                                                                            <w:bottom w:val="none" w:sz="0" w:space="0" w:color="auto"/>
                                                                            <w:right w:val="none" w:sz="0" w:space="0" w:color="auto"/>
                                                                          </w:divBdr>
                                                                        </w:div>
                                                                      </w:divsChild>
                                                                    </w:div>
                                                                    <w:div w:id="1319191000">
                                                                      <w:marLeft w:val="0"/>
                                                                      <w:marRight w:val="0"/>
                                                                      <w:marTop w:val="0"/>
                                                                      <w:marBottom w:val="0"/>
                                                                      <w:divBdr>
                                                                        <w:top w:val="none" w:sz="0" w:space="0" w:color="auto"/>
                                                                        <w:left w:val="none" w:sz="0" w:space="0" w:color="auto"/>
                                                                        <w:bottom w:val="none" w:sz="0" w:space="0" w:color="auto"/>
                                                                        <w:right w:val="none" w:sz="0" w:space="0" w:color="auto"/>
                                                                      </w:divBdr>
                                                                    </w:div>
                                                                  </w:divsChild>
                                                                </w:div>
                                                                <w:div w:id="2130470618">
                                                                  <w:marLeft w:val="0"/>
                                                                  <w:marRight w:val="0"/>
                                                                  <w:marTop w:val="0"/>
                                                                  <w:marBottom w:val="0"/>
                                                                  <w:divBdr>
                                                                    <w:top w:val="none" w:sz="0" w:space="0" w:color="auto"/>
                                                                    <w:left w:val="none" w:sz="0" w:space="0" w:color="auto"/>
                                                                    <w:bottom w:val="none" w:sz="0" w:space="0" w:color="auto"/>
                                                                    <w:right w:val="none" w:sz="0" w:space="0" w:color="auto"/>
                                                                  </w:divBdr>
                                                                  <w:divsChild>
                                                                    <w:div w:id="1690175492">
                                                                      <w:marLeft w:val="0"/>
                                                                      <w:marRight w:val="0"/>
                                                                      <w:marTop w:val="0"/>
                                                                      <w:marBottom w:val="0"/>
                                                                      <w:divBdr>
                                                                        <w:top w:val="none" w:sz="0" w:space="0" w:color="auto"/>
                                                                        <w:left w:val="none" w:sz="0" w:space="0" w:color="auto"/>
                                                                        <w:bottom w:val="none" w:sz="0" w:space="0" w:color="auto"/>
                                                                        <w:right w:val="none" w:sz="0" w:space="0" w:color="auto"/>
                                                                      </w:divBdr>
                                                                      <w:divsChild>
                                                                        <w:div w:id="10576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961103">
      <w:bodyDiv w:val="1"/>
      <w:marLeft w:val="0"/>
      <w:marRight w:val="0"/>
      <w:marTop w:val="0"/>
      <w:marBottom w:val="0"/>
      <w:divBdr>
        <w:top w:val="none" w:sz="0" w:space="0" w:color="auto"/>
        <w:left w:val="none" w:sz="0" w:space="0" w:color="auto"/>
        <w:bottom w:val="none" w:sz="0" w:space="0" w:color="auto"/>
        <w:right w:val="none" w:sz="0" w:space="0" w:color="auto"/>
      </w:divBdr>
      <w:divsChild>
        <w:div w:id="441919831">
          <w:marLeft w:val="0"/>
          <w:marRight w:val="0"/>
          <w:marTop w:val="0"/>
          <w:marBottom w:val="0"/>
          <w:divBdr>
            <w:top w:val="none" w:sz="0" w:space="0" w:color="auto"/>
            <w:left w:val="none" w:sz="0" w:space="0" w:color="auto"/>
            <w:bottom w:val="none" w:sz="0" w:space="0" w:color="auto"/>
            <w:right w:val="none" w:sz="0" w:space="0" w:color="auto"/>
          </w:divBdr>
          <w:divsChild>
            <w:div w:id="1156648895">
              <w:marLeft w:val="0"/>
              <w:marRight w:val="0"/>
              <w:marTop w:val="0"/>
              <w:marBottom w:val="0"/>
              <w:divBdr>
                <w:top w:val="none" w:sz="0" w:space="0" w:color="auto"/>
                <w:left w:val="none" w:sz="0" w:space="0" w:color="auto"/>
                <w:bottom w:val="none" w:sz="0" w:space="0" w:color="auto"/>
                <w:right w:val="none" w:sz="0" w:space="0" w:color="auto"/>
              </w:divBdr>
              <w:divsChild>
                <w:div w:id="324862087">
                  <w:marLeft w:val="0"/>
                  <w:marRight w:val="0"/>
                  <w:marTop w:val="0"/>
                  <w:marBottom w:val="0"/>
                  <w:divBdr>
                    <w:top w:val="none" w:sz="0" w:space="0" w:color="auto"/>
                    <w:left w:val="none" w:sz="0" w:space="0" w:color="auto"/>
                    <w:bottom w:val="none" w:sz="0" w:space="0" w:color="auto"/>
                    <w:right w:val="none" w:sz="0" w:space="0" w:color="auto"/>
                  </w:divBdr>
                  <w:divsChild>
                    <w:div w:id="2118938459">
                      <w:marLeft w:val="0"/>
                      <w:marRight w:val="0"/>
                      <w:marTop w:val="0"/>
                      <w:marBottom w:val="0"/>
                      <w:divBdr>
                        <w:top w:val="none" w:sz="0" w:space="0" w:color="auto"/>
                        <w:left w:val="none" w:sz="0" w:space="0" w:color="auto"/>
                        <w:bottom w:val="none" w:sz="0" w:space="0" w:color="auto"/>
                        <w:right w:val="none" w:sz="0" w:space="0" w:color="auto"/>
                      </w:divBdr>
                      <w:divsChild>
                        <w:div w:id="144589548">
                          <w:marLeft w:val="0"/>
                          <w:marRight w:val="0"/>
                          <w:marTop w:val="0"/>
                          <w:marBottom w:val="0"/>
                          <w:divBdr>
                            <w:top w:val="none" w:sz="0" w:space="0" w:color="auto"/>
                            <w:left w:val="none" w:sz="0" w:space="0" w:color="auto"/>
                            <w:bottom w:val="none" w:sz="0" w:space="0" w:color="auto"/>
                            <w:right w:val="none" w:sz="0" w:space="0" w:color="auto"/>
                          </w:divBdr>
                          <w:divsChild>
                            <w:div w:id="741101947">
                              <w:marLeft w:val="0"/>
                              <w:marRight w:val="0"/>
                              <w:marTop w:val="0"/>
                              <w:marBottom w:val="0"/>
                              <w:divBdr>
                                <w:top w:val="none" w:sz="0" w:space="0" w:color="auto"/>
                                <w:left w:val="none" w:sz="0" w:space="0" w:color="auto"/>
                                <w:bottom w:val="none" w:sz="0" w:space="0" w:color="auto"/>
                                <w:right w:val="none" w:sz="0" w:space="0" w:color="auto"/>
                              </w:divBdr>
                              <w:divsChild>
                                <w:div w:id="81791826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589177">
      <w:bodyDiv w:val="1"/>
      <w:marLeft w:val="0"/>
      <w:marRight w:val="0"/>
      <w:marTop w:val="0"/>
      <w:marBottom w:val="0"/>
      <w:divBdr>
        <w:top w:val="none" w:sz="0" w:space="0" w:color="auto"/>
        <w:left w:val="none" w:sz="0" w:space="0" w:color="auto"/>
        <w:bottom w:val="none" w:sz="0" w:space="0" w:color="auto"/>
        <w:right w:val="none" w:sz="0" w:space="0" w:color="auto"/>
      </w:divBdr>
      <w:divsChild>
        <w:div w:id="368379707">
          <w:marLeft w:val="0"/>
          <w:marRight w:val="0"/>
          <w:marTop w:val="0"/>
          <w:marBottom w:val="0"/>
          <w:divBdr>
            <w:top w:val="none" w:sz="0" w:space="0" w:color="auto"/>
            <w:left w:val="none" w:sz="0" w:space="0" w:color="auto"/>
            <w:bottom w:val="none" w:sz="0" w:space="0" w:color="auto"/>
            <w:right w:val="none" w:sz="0" w:space="0" w:color="auto"/>
          </w:divBdr>
          <w:divsChild>
            <w:div w:id="1853495371">
              <w:marLeft w:val="0"/>
              <w:marRight w:val="0"/>
              <w:marTop w:val="0"/>
              <w:marBottom w:val="0"/>
              <w:divBdr>
                <w:top w:val="none" w:sz="0" w:space="0" w:color="auto"/>
                <w:left w:val="none" w:sz="0" w:space="0" w:color="auto"/>
                <w:bottom w:val="none" w:sz="0" w:space="0" w:color="auto"/>
                <w:right w:val="none" w:sz="0" w:space="0" w:color="auto"/>
              </w:divBdr>
              <w:divsChild>
                <w:div w:id="357705447">
                  <w:marLeft w:val="0"/>
                  <w:marRight w:val="0"/>
                  <w:marTop w:val="0"/>
                  <w:marBottom w:val="0"/>
                  <w:divBdr>
                    <w:top w:val="none" w:sz="0" w:space="0" w:color="auto"/>
                    <w:left w:val="none" w:sz="0" w:space="0" w:color="auto"/>
                    <w:bottom w:val="none" w:sz="0" w:space="0" w:color="auto"/>
                    <w:right w:val="none" w:sz="0" w:space="0" w:color="auto"/>
                  </w:divBdr>
                  <w:divsChild>
                    <w:div w:id="1045981358">
                      <w:marLeft w:val="0"/>
                      <w:marRight w:val="0"/>
                      <w:marTop w:val="0"/>
                      <w:marBottom w:val="300"/>
                      <w:divBdr>
                        <w:top w:val="none" w:sz="0" w:space="0" w:color="auto"/>
                        <w:left w:val="none" w:sz="0" w:space="0" w:color="auto"/>
                        <w:bottom w:val="none" w:sz="0" w:space="0" w:color="auto"/>
                        <w:right w:val="none" w:sz="0" w:space="0" w:color="auto"/>
                      </w:divBdr>
                      <w:divsChild>
                        <w:div w:id="14304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08808">
      <w:bodyDiv w:val="1"/>
      <w:marLeft w:val="0"/>
      <w:marRight w:val="0"/>
      <w:marTop w:val="0"/>
      <w:marBottom w:val="0"/>
      <w:divBdr>
        <w:top w:val="none" w:sz="0" w:space="0" w:color="auto"/>
        <w:left w:val="none" w:sz="0" w:space="0" w:color="auto"/>
        <w:bottom w:val="none" w:sz="0" w:space="0" w:color="auto"/>
        <w:right w:val="none" w:sz="0" w:space="0" w:color="auto"/>
      </w:divBdr>
      <w:divsChild>
        <w:div w:id="1787306760">
          <w:marLeft w:val="0"/>
          <w:marRight w:val="0"/>
          <w:marTop w:val="0"/>
          <w:marBottom w:val="0"/>
          <w:divBdr>
            <w:top w:val="none" w:sz="0" w:space="0" w:color="auto"/>
            <w:left w:val="none" w:sz="0" w:space="0" w:color="auto"/>
            <w:bottom w:val="none" w:sz="0" w:space="0" w:color="auto"/>
            <w:right w:val="none" w:sz="0" w:space="0" w:color="auto"/>
          </w:divBdr>
          <w:divsChild>
            <w:div w:id="919023949">
              <w:marLeft w:val="0"/>
              <w:marRight w:val="0"/>
              <w:marTop w:val="0"/>
              <w:marBottom w:val="0"/>
              <w:divBdr>
                <w:top w:val="none" w:sz="0" w:space="0" w:color="auto"/>
                <w:left w:val="none" w:sz="0" w:space="0" w:color="auto"/>
                <w:bottom w:val="none" w:sz="0" w:space="0" w:color="auto"/>
                <w:right w:val="none" w:sz="0" w:space="0" w:color="auto"/>
              </w:divBdr>
              <w:divsChild>
                <w:div w:id="1588490473">
                  <w:marLeft w:val="0"/>
                  <w:marRight w:val="0"/>
                  <w:marTop w:val="0"/>
                  <w:marBottom w:val="0"/>
                  <w:divBdr>
                    <w:top w:val="none" w:sz="0" w:space="0" w:color="auto"/>
                    <w:left w:val="none" w:sz="0" w:space="0" w:color="auto"/>
                    <w:bottom w:val="none" w:sz="0" w:space="0" w:color="auto"/>
                    <w:right w:val="none" w:sz="0" w:space="0" w:color="auto"/>
                  </w:divBdr>
                  <w:divsChild>
                    <w:div w:id="1731462590">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0"/>
                          <w:divBdr>
                            <w:top w:val="none" w:sz="0" w:space="0" w:color="auto"/>
                            <w:left w:val="none" w:sz="0" w:space="0" w:color="auto"/>
                            <w:bottom w:val="none" w:sz="0" w:space="0" w:color="auto"/>
                            <w:right w:val="none" w:sz="0" w:space="0" w:color="auto"/>
                          </w:divBdr>
                          <w:divsChild>
                            <w:div w:id="1433086932">
                              <w:marLeft w:val="0"/>
                              <w:marRight w:val="0"/>
                              <w:marTop w:val="0"/>
                              <w:marBottom w:val="0"/>
                              <w:divBdr>
                                <w:top w:val="none" w:sz="0" w:space="0" w:color="auto"/>
                                <w:left w:val="none" w:sz="0" w:space="0" w:color="auto"/>
                                <w:bottom w:val="none" w:sz="0" w:space="0" w:color="auto"/>
                                <w:right w:val="none" w:sz="0" w:space="0" w:color="auto"/>
                              </w:divBdr>
                              <w:divsChild>
                                <w:div w:id="141859668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183026">
      <w:bodyDiv w:val="1"/>
      <w:marLeft w:val="30"/>
      <w:marRight w:val="30"/>
      <w:marTop w:val="30"/>
      <w:marBottom w:val="30"/>
      <w:divBdr>
        <w:top w:val="none" w:sz="0" w:space="0" w:color="auto"/>
        <w:left w:val="none" w:sz="0" w:space="0" w:color="auto"/>
        <w:bottom w:val="none" w:sz="0" w:space="0" w:color="auto"/>
        <w:right w:val="none" w:sz="0" w:space="0" w:color="auto"/>
      </w:divBdr>
      <w:divsChild>
        <w:div w:id="1231114465">
          <w:marLeft w:val="0"/>
          <w:marRight w:val="0"/>
          <w:marTop w:val="0"/>
          <w:marBottom w:val="0"/>
          <w:divBdr>
            <w:top w:val="none" w:sz="0" w:space="0" w:color="auto"/>
            <w:left w:val="none" w:sz="0" w:space="0" w:color="auto"/>
            <w:bottom w:val="none" w:sz="0" w:space="0" w:color="auto"/>
            <w:right w:val="none" w:sz="0" w:space="0" w:color="auto"/>
          </w:divBdr>
          <w:divsChild>
            <w:div w:id="1144347806">
              <w:marLeft w:val="45"/>
              <w:marRight w:val="45"/>
              <w:marTop w:val="45"/>
              <w:marBottom w:val="45"/>
              <w:divBdr>
                <w:top w:val="none" w:sz="0" w:space="0" w:color="auto"/>
                <w:left w:val="none" w:sz="0" w:space="0" w:color="auto"/>
                <w:bottom w:val="none" w:sz="0" w:space="0" w:color="auto"/>
                <w:right w:val="none" w:sz="0" w:space="0" w:color="auto"/>
              </w:divBdr>
              <w:divsChild>
                <w:div w:id="277102078">
                  <w:marLeft w:val="0"/>
                  <w:marRight w:val="0"/>
                  <w:marTop w:val="0"/>
                  <w:marBottom w:val="0"/>
                  <w:divBdr>
                    <w:top w:val="none" w:sz="0" w:space="0" w:color="auto"/>
                    <w:left w:val="none" w:sz="0" w:space="0" w:color="auto"/>
                    <w:bottom w:val="none" w:sz="0" w:space="0" w:color="auto"/>
                    <w:right w:val="none" w:sz="0" w:space="0" w:color="auto"/>
                  </w:divBdr>
                  <w:divsChild>
                    <w:div w:id="604465263">
                      <w:marLeft w:val="0"/>
                      <w:marRight w:val="0"/>
                      <w:marTop w:val="0"/>
                      <w:marBottom w:val="0"/>
                      <w:divBdr>
                        <w:top w:val="none" w:sz="0" w:space="0" w:color="auto"/>
                        <w:left w:val="none" w:sz="0" w:space="0" w:color="auto"/>
                        <w:bottom w:val="none" w:sz="0" w:space="0" w:color="auto"/>
                        <w:right w:val="none" w:sz="0" w:space="0" w:color="auto"/>
                      </w:divBdr>
                    </w:div>
                    <w:div w:id="722678187">
                      <w:marLeft w:val="0"/>
                      <w:marRight w:val="0"/>
                      <w:marTop w:val="0"/>
                      <w:marBottom w:val="0"/>
                      <w:divBdr>
                        <w:top w:val="none" w:sz="0" w:space="0" w:color="auto"/>
                        <w:left w:val="none" w:sz="0" w:space="0" w:color="auto"/>
                        <w:bottom w:val="none" w:sz="0" w:space="0" w:color="auto"/>
                        <w:right w:val="none" w:sz="0" w:space="0" w:color="auto"/>
                      </w:divBdr>
                    </w:div>
                    <w:div w:id="203018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535041">
      <w:bodyDiv w:val="1"/>
      <w:marLeft w:val="0"/>
      <w:marRight w:val="0"/>
      <w:marTop w:val="0"/>
      <w:marBottom w:val="0"/>
      <w:divBdr>
        <w:top w:val="none" w:sz="0" w:space="0" w:color="auto"/>
        <w:left w:val="none" w:sz="0" w:space="0" w:color="auto"/>
        <w:bottom w:val="none" w:sz="0" w:space="0" w:color="auto"/>
        <w:right w:val="none" w:sz="0" w:space="0" w:color="auto"/>
      </w:divBdr>
      <w:divsChild>
        <w:div w:id="273755066">
          <w:marLeft w:val="0"/>
          <w:marRight w:val="0"/>
          <w:marTop w:val="240"/>
          <w:marBottom w:val="0"/>
          <w:divBdr>
            <w:top w:val="none" w:sz="0" w:space="0" w:color="auto"/>
            <w:left w:val="none" w:sz="0" w:space="0" w:color="auto"/>
            <w:bottom w:val="none" w:sz="0" w:space="0" w:color="auto"/>
            <w:right w:val="none" w:sz="0" w:space="0" w:color="auto"/>
          </w:divBdr>
          <w:divsChild>
            <w:div w:id="130175749">
              <w:marLeft w:val="0"/>
              <w:marRight w:val="0"/>
              <w:marTop w:val="0"/>
              <w:marBottom w:val="0"/>
              <w:divBdr>
                <w:top w:val="none" w:sz="0" w:space="0" w:color="auto"/>
                <w:left w:val="none" w:sz="0" w:space="0" w:color="auto"/>
                <w:bottom w:val="none" w:sz="0" w:space="0" w:color="auto"/>
                <w:right w:val="none" w:sz="0" w:space="0" w:color="auto"/>
              </w:divBdr>
            </w:div>
          </w:divsChild>
        </w:div>
        <w:div w:id="500195596">
          <w:marLeft w:val="0"/>
          <w:marRight w:val="0"/>
          <w:marTop w:val="0"/>
          <w:marBottom w:val="0"/>
          <w:divBdr>
            <w:top w:val="none" w:sz="0" w:space="0" w:color="auto"/>
            <w:left w:val="none" w:sz="0" w:space="0" w:color="auto"/>
            <w:bottom w:val="none" w:sz="0" w:space="0" w:color="auto"/>
            <w:right w:val="none" w:sz="0" w:space="0" w:color="auto"/>
          </w:divBdr>
        </w:div>
        <w:div w:id="914973075">
          <w:marLeft w:val="0"/>
          <w:marRight w:val="0"/>
          <w:marTop w:val="240"/>
          <w:marBottom w:val="0"/>
          <w:divBdr>
            <w:top w:val="none" w:sz="0" w:space="0" w:color="auto"/>
            <w:left w:val="none" w:sz="0" w:space="0" w:color="auto"/>
            <w:bottom w:val="none" w:sz="0" w:space="0" w:color="auto"/>
            <w:right w:val="none" w:sz="0" w:space="0" w:color="auto"/>
          </w:divBdr>
          <w:divsChild>
            <w:div w:id="1065952306">
              <w:marLeft w:val="0"/>
              <w:marRight w:val="0"/>
              <w:marTop w:val="0"/>
              <w:marBottom w:val="0"/>
              <w:divBdr>
                <w:top w:val="none" w:sz="0" w:space="0" w:color="auto"/>
                <w:left w:val="none" w:sz="0" w:space="0" w:color="auto"/>
                <w:bottom w:val="none" w:sz="0" w:space="0" w:color="auto"/>
                <w:right w:val="none" w:sz="0" w:space="0" w:color="auto"/>
              </w:divBdr>
            </w:div>
          </w:divsChild>
        </w:div>
        <w:div w:id="1384676718">
          <w:marLeft w:val="0"/>
          <w:marRight w:val="0"/>
          <w:marTop w:val="240"/>
          <w:marBottom w:val="0"/>
          <w:divBdr>
            <w:top w:val="none" w:sz="0" w:space="0" w:color="auto"/>
            <w:left w:val="none" w:sz="0" w:space="0" w:color="auto"/>
            <w:bottom w:val="none" w:sz="0" w:space="0" w:color="auto"/>
            <w:right w:val="none" w:sz="0" w:space="0" w:color="auto"/>
          </w:divBdr>
          <w:divsChild>
            <w:div w:id="1290552383">
              <w:marLeft w:val="0"/>
              <w:marRight w:val="0"/>
              <w:marTop w:val="0"/>
              <w:marBottom w:val="0"/>
              <w:divBdr>
                <w:top w:val="none" w:sz="0" w:space="0" w:color="auto"/>
                <w:left w:val="none" w:sz="0" w:space="0" w:color="auto"/>
                <w:bottom w:val="none" w:sz="0" w:space="0" w:color="auto"/>
                <w:right w:val="none" w:sz="0" w:space="0" w:color="auto"/>
              </w:divBdr>
            </w:div>
          </w:divsChild>
        </w:div>
        <w:div w:id="1392075818">
          <w:marLeft w:val="0"/>
          <w:marRight w:val="0"/>
          <w:marTop w:val="240"/>
          <w:marBottom w:val="0"/>
          <w:divBdr>
            <w:top w:val="none" w:sz="0" w:space="0" w:color="auto"/>
            <w:left w:val="none" w:sz="0" w:space="0" w:color="auto"/>
            <w:bottom w:val="none" w:sz="0" w:space="0" w:color="auto"/>
            <w:right w:val="none" w:sz="0" w:space="0" w:color="auto"/>
          </w:divBdr>
          <w:divsChild>
            <w:div w:id="407461189">
              <w:marLeft w:val="0"/>
              <w:marRight w:val="0"/>
              <w:marTop w:val="0"/>
              <w:marBottom w:val="0"/>
              <w:divBdr>
                <w:top w:val="none" w:sz="0" w:space="0" w:color="auto"/>
                <w:left w:val="none" w:sz="0" w:space="0" w:color="auto"/>
                <w:bottom w:val="none" w:sz="0" w:space="0" w:color="auto"/>
                <w:right w:val="none" w:sz="0" w:space="0" w:color="auto"/>
              </w:divBdr>
            </w:div>
          </w:divsChild>
        </w:div>
        <w:div w:id="1936355864">
          <w:marLeft w:val="0"/>
          <w:marRight w:val="0"/>
          <w:marTop w:val="240"/>
          <w:marBottom w:val="0"/>
          <w:divBdr>
            <w:top w:val="none" w:sz="0" w:space="0" w:color="auto"/>
            <w:left w:val="none" w:sz="0" w:space="0" w:color="auto"/>
            <w:bottom w:val="none" w:sz="0" w:space="0" w:color="auto"/>
            <w:right w:val="none" w:sz="0" w:space="0" w:color="auto"/>
          </w:divBdr>
          <w:divsChild>
            <w:div w:id="926498323">
              <w:marLeft w:val="0"/>
              <w:marRight w:val="0"/>
              <w:marTop w:val="0"/>
              <w:marBottom w:val="0"/>
              <w:divBdr>
                <w:top w:val="none" w:sz="0" w:space="0" w:color="auto"/>
                <w:left w:val="none" w:sz="0" w:space="0" w:color="auto"/>
                <w:bottom w:val="none" w:sz="0" w:space="0" w:color="auto"/>
                <w:right w:val="none" w:sz="0" w:space="0" w:color="auto"/>
              </w:divBdr>
            </w:div>
          </w:divsChild>
        </w:div>
        <w:div w:id="1995984876">
          <w:marLeft w:val="0"/>
          <w:marRight w:val="0"/>
          <w:marTop w:val="240"/>
          <w:marBottom w:val="0"/>
          <w:divBdr>
            <w:top w:val="none" w:sz="0" w:space="0" w:color="auto"/>
            <w:left w:val="none" w:sz="0" w:space="0" w:color="auto"/>
            <w:bottom w:val="none" w:sz="0" w:space="0" w:color="auto"/>
            <w:right w:val="none" w:sz="0" w:space="0" w:color="auto"/>
          </w:divBdr>
          <w:divsChild>
            <w:div w:id="339241621">
              <w:marLeft w:val="0"/>
              <w:marRight w:val="0"/>
              <w:marTop w:val="0"/>
              <w:marBottom w:val="0"/>
              <w:divBdr>
                <w:top w:val="none" w:sz="0" w:space="0" w:color="auto"/>
                <w:left w:val="none" w:sz="0" w:space="0" w:color="auto"/>
                <w:bottom w:val="none" w:sz="0" w:space="0" w:color="auto"/>
                <w:right w:val="none" w:sz="0" w:space="0" w:color="auto"/>
              </w:divBdr>
            </w:div>
          </w:divsChild>
        </w:div>
        <w:div w:id="2092004467">
          <w:marLeft w:val="0"/>
          <w:marRight w:val="0"/>
          <w:marTop w:val="240"/>
          <w:marBottom w:val="0"/>
          <w:divBdr>
            <w:top w:val="none" w:sz="0" w:space="0" w:color="auto"/>
            <w:left w:val="none" w:sz="0" w:space="0" w:color="auto"/>
            <w:bottom w:val="none" w:sz="0" w:space="0" w:color="auto"/>
            <w:right w:val="none" w:sz="0" w:space="0" w:color="auto"/>
          </w:divBdr>
          <w:divsChild>
            <w:div w:id="87631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3237">
      <w:bodyDiv w:val="1"/>
      <w:marLeft w:val="0"/>
      <w:marRight w:val="0"/>
      <w:marTop w:val="0"/>
      <w:marBottom w:val="0"/>
      <w:divBdr>
        <w:top w:val="none" w:sz="0" w:space="0" w:color="auto"/>
        <w:left w:val="none" w:sz="0" w:space="0" w:color="auto"/>
        <w:bottom w:val="none" w:sz="0" w:space="0" w:color="auto"/>
        <w:right w:val="none" w:sz="0" w:space="0" w:color="auto"/>
      </w:divBdr>
      <w:divsChild>
        <w:div w:id="581331775">
          <w:marLeft w:val="0"/>
          <w:marRight w:val="0"/>
          <w:marTop w:val="0"/>
          <w:marBottom w:val="0"/>
          <w:divBdr>
            <w:top w:val="none" w:sz="0" w:space="0" w:color="auto"/>
            <w:left w:val="single" w:sz="6" w:space="0" w:color="BBBBBB"/>
            <w:bottom w:val="single" w:sz="6" w:space="0" w:color="BBBBBB"/>
            <w:right w:val="single" w:sz="6" w:space="0" w:color="BBBBBB"/>
          </w:divBdr>
          <w:divsChild>
            <w:div w:id="1781029855">
              <w:marLeft w:val="0"/>
              <w:marRight w:val="0"/>
              <w:marTop w:val="0"/>
              <w:marBottom w:val="0"/>
              <w:divBdr>
                <w:top w:val="none" w:sz="0" w:space="0" w:color="auto"/>
                <w:left w:val="none" w:sz="0" w:space="0" w:color="auto"/>
                <w:bottom w:val="none" w:sz="0" w:space="0" w:color="auto"/>
                <w:right w:val="none" w:sz="0" w:space="0" w:color="auto"/>
              </w:divBdr>
              <w:divsChild>
                <w:div w:id="1685398209">
                  <w:marLeft w:val="0"/>
                  <w:marRight w:val="0"/>
                  <w:marTop w:val="75"/>
                  <w:marBottom w:val="0"/>
                  <w:divBdr>
                    <w:top w:val="none" w:sz="0" w:space="0" w:color="auto"/>
                    <w:left w:val="none" w:sz="0" w:space="0" w:color="auto"/>
                    <w:bottom w:val="none" w:sz="0" w:space="0" w:color="auto"/>
                    <w:right w:val="none" w:sz="0" w:space="0" w:color="auto"/>
                  </w:divBdr>
                  <w:divsChild>
                    <w:div w:id="1507793247">
                      <w:marLeft w:val="0"/>
                      <w:marRight w:val="0"/>
                      <w:marTop w:val="0"/>
                      <w:marBottom w:val="0"/>
                      <w:divBdr>
                        <w:top w:val="none" w:sz="0" w:space="0" w:color="auto"/>
                        <w:left w:val="none" w:sz="0" w:space="0" w:color="auto"/>
                        <w:bottom w:val="none" w:sz="0" w:space="0" w:color="auto"/>
                        <w:right w:val="none" w:sz="0" w:space="0" w:color="auto"/>
                      </w:divBdr>
                      <w:divsChild>
                        <w:div w:id="1127165417">
                          <w:marLeft w:val="0"/>
                          <w:marRight w:val="0"/>
                          <w:marTop w:val="0"/>
                          <w:marBottom w:val="0"/>
                          <w:divBdr>
                            <w:top w:val="none" w:sz="0" w:space="0" w:color="auto"/>
                            <w:left w:val="none" w:sz="0" w:space="0" w:color="auto"/>
                            <w:bottom w:val="none" w:sz="0" w:space="0" w:color="auto"/>
                            <w:right w:val="none" w:sz="0" w:space="0" w:color="auto"/>
                          </w:divBdr>
                          <w:divsChild>
                            <w:div w:id="167909643">
                              <w:marLeft w:val="0"/>
                              <w:marRight w:val="0"/>
                              <w:marTop w:val="0"/>
                              <w:marBottom w:val="0"/>
                              <w:divBdr>
                                <w:top w:val="none" w:sz="0" w:space="0" w:color="auto"/>
                                <w:left w:val="none" w:sz="0" w:space="0" w:color="auto"/>
                                <w:bottom w:val="none" w:sz="0" w:space="0" w:color="auto"/>
                                <w:right w:val="none" w:sz="0" w:space="0" w:color="auto"/>
                              </w:divBdr>
                              <w:divsChild>
                                <w:div w:id="1551186384">
                                  <w:marLeft w:val="0"/>
                                  <w:marRight w:val="0"/>
                                  <w:marTop w:val="0"/>
                                  <w:marBottom w:val="0"/>
                                  <w:divBdr>
                                    <w:top w:val="none" w:sz="0" w:space="0" w:color="auto"/>
                                    <w:left w:val="none" w:sz="0" w:space="0" w:color="auto"/>
                                    <w:bottom w:val="none" w:sz="0" w:space="0" w:color="auto"/>
                                    <w:right w:val="none" w:sz="0" w:space="0" w:color="auto"/>
                                  </w:divBdr>
                                  <w:divsChild>
                                    <w:div w:id="1123693631">
                                      <w:marLeft w:val="0"/>
                                      <w:marRight w:val="0"/>
                                      <w:marTop w:val="0"/>
                                      <w:marBottom w:val="0"/>
                                      <w:divBdr>
                                        <w:top w:val="none" w:sz="0" w:space="0" w:color="auto"/>
                                        <w:left w:val="none" w:sz="0" w:space="0" w:color="auto"/>
                                        <w:bottom w:val="none" w:sz="0" w:space="0" w:color="auto"/>
                                        <w:right w:val="none" w:sz="0" w:space="0" w:color="auto"/>
                                      </w:divBdr>
                                      <w:divsChild>
                                        <w:div w:id="991444621">
                                          <w:marLeft w:val="1200"/>
                                          <w:marRight w:val="1200"/>
                                          <w:marTop w:val="0"/>
                                          <w:marBottom w:val="0"/>
                                          <w:divBdr>
                                            <w:top w:val="none" w:sz="0" w:space="0" w:color="auto"/>
                                            <w:left w:val="none" w:sz="0" w:space="0" w:color="auto"/>
                                            <w:bottom w:val="none" w:sz="0" w:space="0" w:color="auto"/>
                                            <w:right w:val="none" w:sz="0" w:space="0" w:color="auto"/>
                                          </w:divBdr>
                                          <w:divsChild>
                                            <w:div w:id="1786725899">
                                              <w:marLeft w:val="0"/>
                                              <w:marRight w:val="0"/>
                                              <w:marTop w:val="0"/>
                                              <w:marBottom w:val="0"/>
                                              <w:divBdr>
                                                <w:top w:val="none" w:sz="0" w:space="0" w:color="auto"/>
                                                <w:left w:val="none" w:sz="0" w:space="0" w:color="auto"/>
                                                <w:bottom w:val="none" w:sz="0" w:space="0" w:color="auto"/>
                                                <w:right w:val="none" w:sz="0" w:space="0" w:color="auto"/>
                                              </w:divBdr>
                                              <w:divsChild>
                                                <w:div w:id="740250125">
                                                  <w:marLeft w:val="0"/>
                                                  <w:marRight w:val="0"/>
                                                  <w:marTop w:val="0"/>
                                                  <w:marBottom w:val="0"/>
                                                  <w:divBdr>
                                                    <w:top w:val="none" w:sz="0" w:space="0" w:color="auto"/>
                                                    <w:left w:val="none" w:sz="0" w:space="0" w:color="auto"/>
                                                    <w:bottom w:val="none" w:sz="0" w:space="0" w:color="auto"/>
                                                    <w:right w:val="none" w:sz="0" w:space="0" w:color="auto"/>
                                                  </w:divBdr>
                                                  <w:divsChild>
                                                    <w:div w:id="228227071">
                                                      <w:marLeft w:val="0"/>
                                                      <w:marRight w:val="0"/>
                                                      <w:marTop w:val="0"/>
                                                      <w:marBottom w:val="0"/>
                                                      <w:divBdr>
                                                        <w:top w:val="none" w:sz="0" w:space="0" w:color="auto"/>
                                                        <w:left w:val="none" w:sz="0" w:space="0" w:color="auto"/>
                                                        <w:bottom w:val="none" w:sz="0" w:space="0" w:color="auto"/>
                                                        <w:right w:val="none" w:sz="0" w:space="0" w:color="auto"/>
                                                      </w:divBdr>
                                                      <w:divsChild>
                                                        <w:div w:id="891355446">
                                                          <w:marLeft w:val="0"/>
                                                          <w:marRight w:val="0"/>
                                                          <w:marTop w:val="0"/>
                                                          <w:marBottom w:val="0"/>
                                                          <w:divBdr>
                                                            <w:top w:val="none" w:sz="0" w:space="0" w:color="auto"/>
                                                            <w:left w:val="none" w:sz="0" w:space="0" w:color="auto"/>
                                                            <w:bottom w:val="none" w:sz="0" w:space="0" w:color="auto"/>
                                                            <w:right w:val="none" w:sz="0" w:space="0" w:color="auto"/>
                                                          </w:divBdr>
                                                        </w:div>
                                                      </w:divsChild>
                                                    </w:div>
                                                    <w:div w:id="314143587">
                                                      <w:marLeft w:val="0"/>
                                                      <w:marRight w:val="0"/>
                                                      <w:marTop w:val="0"/>
                                                      <w:marBottom w:val="0"/>
                                                      <w:divBdr>
                                                        <w:top w:val="none" w:sz="0" w:space="0" w:color="auto"/>
                                                        <w:left w:val="none" w:sz="0" w:space="0" w:color="auto"/>
                                                        <w:bottom w:val="none" w:sz="0" w:space="0" w:color="auto"/>
                                                        <w:right w:val="none" w:sz="0" w:space="0" w:color="auto"/>
                                                      </w:divBdr>
                                                      <w:divsChild>
                                                        <w:div w:id="17913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3516962">
      <w:bodyDiv w:val="1"/>
      <w:marLeft w:val="0"/>
      <w:marRight w:val="0"/>
      <w:marTop w:val="0"/>
      <w:marBottom w:val="0"/>
      <w:divBdr>
        <w:top w:val="none" w:sz="0" w:space="0" w:color="auto"/>
        <w:left w:val="none" w:sz="0" w:space="0" w:color="auto"/>
        <w:bottom w:val="none" w:sz="0" w:space="0" w:color="auto"/>
        <w:right w:val="none" w:sz="0" w:space="0" w:color="auto"/>
      </w:divBdr>
      <w:divsChild>
        <w:div w:id="1291547182">
          <w:marLeft w:val="0"/>
          <w:marRight w:val="0"/>
          <w:marTop w:val="0"/>
          <w:marBottom w:val="0"/>
          <w:divBdr>
            <w:top w:val="none" w:sz="0" w:space="0" w:color="auto"/>
            <w:left w:val="none" w:sz="0" w:space="0" w:color="auto"/>
            <w:bottom w:val="none" w:sz="0" w:space="0" w:color="auto"/>
            <w:right w:val="none" w:sz="0" w:space="0" w:color="auto"/>
          </w:divBdr>
          <w:divsChild>
            <w:div w:id="903872931">
              <w:marLeft w:val="0"/>
              <w:marRight w:val="0"/>
              <w:marTop w:val="0"/>
              <w:marBottom w:val="0"/>
              <w:divBdr>
                <w:top w:val="none" w:sz="0" w:space="0" w:color="auto"/>
                <w:left w:val="none" w:sz="0" w:space="0" w:color="auto"/>
                <w:bottom w:val="none" w:sz="0" w:space="0" w:color="auto"/>
                <w:right w:val="none" w:sz="0" w:space="0" w:color="auto"/>
              </w:divBdr>
              <w:divsChild>
                <w:div w:id="77143887">
                  <w:marLeft w:val="0"/>
                  <w:marRight w:val="0"/>
                  <w:marTop w:val="0"/>
                  <w:marBottom w:val="0"/>
                  <w:divBdr>
                    <w:top w:val="none" w:sz="0" w:space="0" w:color="auto"/>
                    <w:left w:val="none" w:sz="0" w:space="0" w:color="auto"/>
                    <w:bottom w:val="none" w:sz="0" w:space="0" w:color="auto"/>
                    <w:right w:val="none" w:sz="0" w:space="0" w:color="auto"/>
                  </w:divBdr>
                  <w:divsChild>
                    <w:div w:id="1852136528">
                      <w:marLeft w:val="0"/>
                      <w:marRight w:val="0"/>
                      <w:marTop w:val="0"/>
                      <w:marBottom w:val="300"/>
                      <w:divBdr>
                        <w:top w:val="none" w:sz="0" w:space="0" w:color="auto"/>
                        <w:left w:val="none" w:sz="0" w:space="0" w:color="auto"/>
                        <w:bottom w:val="none" w:sz="0" w:space="0" w:color="auto"/>
                        <w:right w:val="none" w:sz="0" w:space="0" w:color="auto"/>
                      </w:divBdr>
                      <w:divsChild>
                        <w:div w:id="4026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241014">
      <w:bodyDiv w:val="1"/>
      <w:marLeft w:val="0"/>
      <w:marRight w:val="0"/>
      <w:marTop w:val="0"/>
      <w:marBottom w:val="0"/>
      <w:divBdr>
        <w:top w:val="none" w:sz="0" w:space="0" w:color="auto"/>
        <w:left w:val="none" w:sz="0" w:space="0" w:color="auto"/>
        <w:bottom w:val="none" w:sz="0" w:space="0" w:color="auto"/>
        <w:right w:val="none" w:sz="0" w:space="0" w:color="auto"/>
      </w:divBdr>
      <w:divsChild>
        <w:div w:id="1272395569">
          <w:marLeft w:val="0"/>
          <w:marRight w:val="150"/>
          <w:marTop w:val="0"/>
          <w:marBottom w:val="0"/>
          <w:divBdr>
            <w:top w:val="none" w:sz="0" w:space="0" w:color="auto"/>
            <w:left w:val="none" w:sz="0" w:space="0" w:color="auto"/>
            <w:bottom w:val="none" w:sz="0" w:space="0" w:color="auto"/>
            <w:right w:val="none" w:sz="0" w:space="0" w:color="auto"/>
          </w:divBdr>
          <w:divsChild>
            <w:div w:id="1578436944">
              <w:marLeft w:val="0"/>
              <w:marRight w:val="0"/>
              <w:marTop w:val="0"/>
              <w:marBottom w:val="0"/>
              <w:divBdr>
                <w:top w:val="none" w:sz="0" w:space="0" w:color="auto"/>
                <w:left w:val="none" w:sz="0" w:space="0" w:color="auto"/>
                <w:bottom w:val="none" w:sz="0" w:space="0" w:color="auto"/>
                <w:right w:val="none" w:sz="0" w:space="0" w:color="auto"/>
              </w:divBdr>
              <w:divsChild>
                <w:div w:id="553857870">
                  <w:marLeft w:val="0"/>
                  <w:marRight w:val="0"/>
                  <w:marTop w:val="0"/>
                  <w:marBottom w:val="0"/>
                  <w:divBdr>
                    <w:top w:val="none" w:sz="0" w:space="0" w:color="auto"/>
                    <w:left w:val="none" w:sz="0" w:space="0" w:color="auto"/>
                    <w:bottom w:val="none" w:sz="0" w:space="0" w:color="auto"/>
                    <w:right w:val="none" w:sz="0" w:space="0" w:color="auto"/>
                  </w:divBdr>
                  <w:divsChild>
                    <w:div w:id="338849959">
                      <w:marLeft w:val="0"/>
                      <w:marRight w:val="0"/>
                      <w:marTop w:val="0"/>
                      <w:marBottom w:val="0"/>
                      <w:divBdr>
                        <w:top w:val="none" w:sz="0" w:space="0" w:color="auto"/>
                        <w:left w:val="none" w:sz="0" w:space="0" w:color="auto"/>
                        <w:bottom w:val="none" w:sz="0" w:space="0" w:color="auto"/>
                        <w:right w:val="none" w:sz="0" w:space="0" w:color="auto"/>
                      </w:divBdr>
                    </w:div>
                    <w:div w:id="781266561">
                      <w:marLeft w:val="0"/>
                      <w:marRight w:val="0"/>
                      <w:marTop w:val="0"/>
                      <w:marBottom w:val="0"/>
                      <w:divBdr>
                        <w:top w:val="none" w:sz="0" w:space="0" w:color="auto"/>
                        <w:left w:val="none" w:sz="0" w:space="0" w:color="auto"/>
                        <w:bottom w:val="none" w:sz="0" w:space="0" w:color="auto"/>
                        <w:right w:val="none" w:sz="0" w:space="0" w:color="auto"/>
                      </w:divBdr>
                    </w:div>
                    <w:div w:id="1337079106">
                      <w:marLeft w:val="0"/>
                      <w:marRight w:val="0"/>
                      <w:marTop w:val="0"/>
                      <w:marBottom w:val="0"/>
                      <w:divBdr>
                        <w:top w:val="none" w:sz="0" w:space="0" w:color="auto"/>
                        <w:left w:val="none" w:sz="0" w:space="0" w:color="auto"/>
                        <w:bottom w:val="none" w:sz="0" w:space="0" w:color="auto"/>
                        <w:right w:val="none" w:sz="0" w:space="0" w:color="auto"/>
                      </w:divBdr>
                    </w:div>
                    <w:div w:id="14440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418666">
      <w:bodyDiv w:val="1"/>
      <w:marLeft w:val="0"/>
      <w:marRight w:val="0"/>
      <w:marTop w:val="0"/>
      <w:marBottom w:val="0"/>
      <w:divBdr>
        <w:top w:val="none" w:sz="0" w:space="0" w:color="auto"/>
        <w:left w:val="none" w:sz="0" w:space="0" w:color="auto"/>
        <w:bottom w:val="none" w:sz="0" w:space="0" w:color="auto"/>
        <w:right w:val="none" w:sz="0" w:space="0" w:color="auto"/>
      </w:divBdr>
      <w:divsChild>
        <w:div w:id="1575891688">
          <w:marLeft w:val="0"/>
          <w:marRight w:val="0"/>
          <w:marTop w:val="0"/>
          <w:marBottom w:val="0"/>
          <w:divBdr>
            <w:top w:val="none" w:sz="0" w:space="0" w:color="auto"/>
            <w:left w:val="none" w:sz="0" w:space="0" w:color="auto"/>
            <w:bottom w:val="none" w:sz="0" w:space="0" w:color="auto"/>
            <w:right w:val="none" w:sz="0" w:space="0" w:color="auto"/>
          </w:divBdr>
          <w:divsChild>
            <w:div w:id="1932857671">
              <w:marLeft w:val="0"/>
              <w:marRight w:val="0"/>
              <w:marTop w:val="0"/>
              <w:marBottom w:val="0"/>
              <w:divBdr>
                <w:top w:val="none" w:sz="0" w:space="0" w:color="auto"/>
                <w:left w:val="none" w:sz="0" w:space="0" w:color="auto"/>
                <w:bottom w:val="none" w:sz="0" w:space="0" w:color="auto"/>
                <w:right w:val="none" w:sz="0" w:space="0" w:color="auto"/>
              </w:divBdr>
              <w:divsChild>
                <w:div w:id="213930216">
                  <w:marLeft w:val="0"/>
                  <w:marRight w:val="0"/>
                  <w:marTop w:val="0"/>
                  <w:marBottom w:val="0"/>
                  <w:divBdr>
                    <w:top w:val="none" w:sz="0" w:space="0" w:color="auto"/>
                    <w:left w:val="none" w:sz="0" w:space="0" w:color="auto"/>
                    <w:bottom w:val="none" w:sz="0" w:space="0" w:color="auto"/>
                    <w:right w:val="none" w:sz="0" w:space="0" w:color="auto"/>
                  </w:divBdr>
                  <w:divsChild>
                    <w:div w:id="2138378585">
                      <w:marLeft w:val="0"/>
                      <w:marRight w:val="0"/>
                      <w:marTop w:val="0"/>
                      <w:marBottom w:val="300"/>
                      <w:divBdr>
                        <w:top w:val="none" w:sz="0" w:space="0" w:color="auto"/>
                        <w:left w:val="none" w:sz="0" w:space="0" w:color="auto"/>
                        <w:bottom w:val="none" w:sz="0" w:space="0" w:color="auto"/>
                        <w:right w:val="none" w:sz="0" w:space="0" w:color="auto"/>
                      </w:divBdr>
                      <w:divsChild>
                        <w:div w:id="2174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844950">
      <w:bodyDiv w:val="1"/>
      <w:marLeft w:val="0"/>
      <w:marRight w:val="0"/>
      <w:marTop w:val="0"/>
      <w:marBottom w:val="0"/>
      <w:divBdr>
        <w:top w:val="none" w:sz="0" w:space="0" w:color="auto"/>
        <w:left w:val="none" w:sz="0" w:space="0" w:color="auto"/>
        <w:bottom w:val="none" w:sz="0" w:space="0" w:color="auto"/>
        <w:right w:val="none" w:sz="0" w:space="0" w:color="auto"/>
      </w:divBdr>
      <w:divsChild>
        <w:div w:id="241834532">
          <w:marLeft w:val="0"/>
          <w:marRight w:val="0"/>
          <w:marTop w:val="0"/>
          <w:marBottom w:val="0"/>
          <w:divBdr>
            <w:top w:val="none" w:sz="0" w:space="0" w:color="auto"/>
            <w:left w:val="single" w:sz="6" w:space="0" w:color="BBBBBB"/>
            <w:bottom w:val="single" w:sz="6" w:space="0" w:color="BBBBBB"/>
            <w:right w:val="single" w:sz="6" w:space="0" w:color="BBBBBB"/>
          </w:divBdr>
          <w:divsChild>
            <w:div w:id="309289157">
              <w:marLeft w:val="0"/>
              <w:marRight w:val="0"/>
              <w:marTop w:val="0"/>
              <w:marBottom w:val="0"/>
              <w:divBdr>
                <w:top w:val="none" w:sz="0" w:space="0" w:color="auto"/>
                <w:left w:val="none" w:sz="0" w:space="0" w:color="auto"/>
                <w:bottom w:val="none" w:sz="0" w:space="0" w:color="auto"/>
                <w:right w:val="none" w:sz="0" w:space="0" w:color="auto"/>
              </w:divBdr>
              <w:divsChild>
                <w:div w:id="1040016315">
                  <w:marLeft w:val="0"/>
                  <w:marRight w:val="0"/>
                  <w:marTop w:val="75"/>
                  <w:marBottom w:val="0"/>
                  <w:divBdr>
                    <w:top w:val="none" w:sz="0" w:space="0" w:color="auto"/>
                    <w:left w:val="none" w:sz="0" w:space="0" w:color="auto"/>
                    <w:bottom w:val="none" w:sz="0" w:space="0" w:color="auto"/>
                    <w:right w:val="none" w:sz="0" w:space="0" w:color="auto"/>
                  </w:divBdr>
                  <w:divsChild>
                    <w:div w:id="176432182">
                      <w:marLeft w:val="0"/>
                      <w:marRight w:val="0"/>
                      <w:marTop w:val="0"/>
                      <w:marBottom w:val="0"/>
                      <w:divBdr>
                        <w:top w:val="none" w:sz="0" w:space="0" w:color="auto"/>
                        <w:left w:val="none" w:sz="0" w:space="0" w:color="auto"/>
                        <w:bottom w:val="none" w:sz="0" w:space="0" w:color="auto"/>
                        <w:right w:val="none" w:sz="0" w:space="0" w:color="auto"/>
                      </w:divBdr>
                      <w:divsChild>
                        <w:div w:id="661010876">
                          <w:marLeft w:val="0"/>
                          <w:marRight w:val="0"/>
                          <w:marTop w:val="0"/>
                          <w:marBottom w:val="0"/>
                          <w:divBdr>
                            <w:top w:val="none" w:sz="0" w:space="0" w:color="auto"/>
                            <w:left w:val="none" w:sz="0" w:space="0" w:color="auto"/>
                            <w:bottom w:val="none" w:sz="0" w:space="0" w:color="auto"/>
                            <w:right w:val="none" w:sz="0" w:space="0" w:color="auto"/>
                          </w:divBdr>
                          <w:divsChild>
                            <w:div w:id="1955673576">
                              <w:marLeft w:val="0"/>
                              <w:marRight w:val="0"/>
                              <w:marTop w:val="0"/>
                              <w:marBottom w:val="0"/>
                              <w:divBdr>
                                <w:top w:val="none" w:sz="0" w:space="0" w:color="auto"/>
                                <w:left w:val="none" w:sz="0" w:space="0" w:color="auto"/>
                                <w:bottom w:val="none" w:sz="0" w:space="0" w:color="auto"/>
                                <w:right w:val="none" w:sz="0" w:space="0" w:color="auto"/>
                              </w:divBdr>
                              <w:divsChild>
                                <w:div w:id="2136632941">
                                  <w:marLeft w:val="0"/>
                                  <w:marRight w:val="0"/>
                                  <w:marTop w:val="0"/>
                                  <w:marBottom w:val="0"/>
                                  <w:divBdr>
                                    <w:top w:val="none" w:sz="0" w:space="0" w:color="auto"/>
                                    <w:left w:val="none" w:sz="0" w:space="0" w:color="auto"/>
                                    <w:bottom w:val="none" w:sz="0" w:space="0" w:color="auto"/>
                                    <w:right w:val="none" w:sz="0" w:space="0" w:color="auto"/>
                                  </w:divBdr>
                                  <w:divsChild>
                                    <w:div w:id="1616987084">
                                      <w:marLeft w:val="0"/>
                                      <w:marRight w:val="0"/>
                                      <w:marTop w:val="0"/>
                                      <w:marBottom w:val="0"/>
                                      <w:divBdr>
                                        <w:top w:val="none" w:sz="0" w:space="0" w:color="auto"/>
                                        <w:left w:val="none" w:sz="0" w:space="0" w:color="auto"/>
                                        <w:bottom w:val="none" w:sz="0" w:space="0" w:color="auto"/>
                                        <w:right w:val="none" w:sz="0" w:space="0" w:color="auto"/>
                                      </w:divBdr>
                                      <w:divsChild>
                                        <w:div w:id="80414683">
                                          <w:marLeft w:val="1200"/>
                                          <w:marRight w:val="1200"/>
                                          <w:marTop w:val="0"/>
                                          <w:marBottom w:val="0"/>
                                          <w:divBdr>
                                            <w:top w:val="none" w:sz="0" w:space="0" w:color="auto"/>
                                            <w:left w:val="none" w:sz="0" w:space="0" w:color="auto"/>
                                            <w:bottom w:val="none" w:sz="0" w:space="0" w:color="auto"/>
                                            <w:right w:val="none" w:sz="0" w:space="0" w:color="auto"/>
                                          </w:divBdr>
                                          <w:divsChild>
                                            <w:div w:id="1101295213">
                                              <w:marLeft w:val="0"/>
                                              <w:marRight w:val="0"/>
                                              <w:marTop w:val="0"/>
                                              <w:marBottom w:val="0"/>
                                              <w:divBdr>
                                                <w:top w:val="none" w:sz="0" w:space="0" w:color="auto"/>
                                                <w:left w:val="none" w:sz="0" w:space="0" w:color="auto"/>
                                                <w:bottom w:val="none" w:sz="0" w:space="0" w:color="auto"/>
                                                <w:right w:val="none" w:sz="0" w:space="0" w:color="auto"/>
                                              </w:divBdr>
                                              <w:divsChild>
                                                <w:div w:id="1828744281">
                                                  <w:marLeft w:val="0"/>
                                                  <w:marRight w:val="0"/>
                                                  <w:marTop w:val="0"/>
                                                  <w:marBottom w:val="0"/>
                                                  <w:divBdr>
                                                    <w:top w:val="none" w:sz="0" w:space="0" w:color="auto"/>
                                                    <w:left w:val="none" w:sz="0" w:space="0" w:color="auto"/>
                                                    <w:bottom w:val="none" w:sz="0" w:space="0" w:color="auto"/>
                                                    <w:right w:val="none" w:sz="0" w:space="0" w:color="auto"/>
                                                  </w:divBdr>
                                                  <w:divsChild>
                                                    <w:div w:id="432239937">
                                                      <w:marLeft w:val="0"/>
                                                      <w:marRight w:val="0"/>
                                                      <w:marTop w:val="0"/>
                                                      <w:marBottom w:val="0"/>
                                                      <w:divBdr>
                                                        <w:top w:val="none" w:sz="0" w:space="0" w:color="auto"/>
                                                        <w:left w:val="none" w:sz="0" w:space="0" w:color="auto"/>
                                                        <w:bottom w:val="none" w:sz="0" w:space="0" w:color="auto"/>
                                                        <w:right w:val="none" w:sz="0" w:space="0" w:color="auto"/>
                                                      </w:divBdr>
                                                      <w:divsChild>
                                                        <w:div w:id="460156222">
                                                          <w:marLeft w:val="0"/>
                                                          <w:marRight w:val="0"/>
                                                          <w:marTop w:val="0"/>
                                                          <w:marBottom w:val="0"/>
                                                          <w:divBdr>
                                                            <w:top w:val="none" w:sz="0" w:space="0" w:color="auto"/>
                                                            <w:left w:val="none" w:sz="0" w:space="0" w:color="auto"/>
                                                            <w:bottom w:val="none" w:sz="0" w:space="0" w:color="auto"/>
                                                            <w:right w:val="none" w:sz="0" w:space="0" w:color="auto"/>
                                                          </w:divBdr>
                                                        </w:div>
                                                      </w:divsChild>
                                                    </w:div>
                                                    <w:div w:id="842863644">
                                                      <w:marLeft w:val="0"/>
                                                      <w:marRight w:val="0"/>
                                                      <w:marTop w:val="0"/>
                                                      <w:marBottom w:val="0"/>
                                                      <w:divBdr>
                                                        <w:top w:val="none" w:sz="0" w:space="0" w:color="auto"/>
                                                        <w:left w:val="none" w:sz="0" w:space="0" w:color="auto"/>
                                                        <w:bottom w:val="none" w:sz="0" w:space="0" w:color="auto"/>
                                                        <w:right w:val="none" w:sz="0" w:space="0" w:color="auto"/>
                                                      </w:divBdr>
                                                      <w:divsChild>
                                                        <w:div w:id="597450470">
                                                          <w:marLeft w:val="0"/>
                                                          <w:marRight w:val="0"/>
                                                          <w:marTop w:val="0"/>
                                                          <w:marBottom w:val="0"/>
                                                          <w:divBdr>
                                                            <w:top w:val="none" w:sz="0" w:space="0" w:color="auto"/>
                                                            <w:left w:val="none" w:sz="0" w:space="0" w:color="auto"/>
                                                            <w:bottom w:val="none" w:sz="0" w:space="0" w:color="auto"/>
                                                            <w:right w:val="none" w:sz="0" w:space="0" w:color="auto"/>
                                                          </w:divBdr>
                                                        </w:div>
                                                      </w:divsChild>
                                                    </w:div>
                                                    <w:div w:id="1777434120">
                                                      <w:marLeft w:val="0"/>
                                                      <w:marRight w:val="0"/>
                                                      <w:marTop w:val="0"/>
                                                      <w:marBottom w:val="0"/>
                                                      <w:divBdr>
                                                        <w:top w:val="none" w:sz="0" w:space="0" w:color="auto"/>
                                                        <w:left w:val="none" w:sz="0" w:space="0" w:color="auto"/>
                                                        <w:bottom w:val="none" w:sz="0" w:space="0" w:color="auto"/>
                                                        <w:right w:val="none" w:sz="0" w:space="0" w:color="auto"/>
                                                      </w:divBdr>
                                                      <w:divsChild>
                                                        <w:div w:id="19088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5965090">
      <w:bodyDiv w:val="1"/>
      <w:marLeft w:val="0"/>
      <w:marRight w:val="0"/>
      <w:marTop w:val="0"/>
      <w:marBottom w:val="0"/>
      <w:divBdr>
        <w:top w:val="none" w:sz="0" w:space="0" w:color="auto"/>
        <w:left w:val="none" w:sz="0" w:space="0" w:color="auto"/>
        <w:bottom w:val="none" w:sz="0" w:space="0" w:color="auto"/>
        <w:right w:val="none" w:sz="0" w:space="0" w:color="auto"/>
      </w:divBdr>
      <w:divsChild>
        <w:div w:id="76172059">
          <w:marLeft w:val="0"/>
          <w:marRight w:val="0"/>
          <w:marTop w:val="0"/>
          <w:marBottom w:val="0"/>
          <w:divBdr>
            <w:top w:val="none" w:sz="0" w:space="0" w:color="auto"/>
            <w:left w:val="none" w:sz="0" w:space="0" w:color="auto"/>
            <w:bottom w:val="none" w:sz="0" w:space="0" w:color="auto"/>
            <w:right w:val="none" w:sz="0" w:space="0" w:color="auto"/>
          </w:divBdr>
          <w:divsChild>
            <w:div w:id="341278706">
              <w:marLeft w:val="0"/>
              <w:marRight w:val="0"/>
              <w:marTop w:val="0"/>
              <w:marBottom w:val="0"/>
              <w:divBdr>
                <w:top w:val="none" w:sz="0" w:space="0" w:color="auto"/>
                <w:left w:val="none" w:sz="0" w:space="0" w:color="auto"/>
                <w:bottom w:val="none" w:sz="0" w:space="0" w:color="auto"/>
                <w:right w:val="none" w:sz="0" w:space="0" w:color="auto"/>
              </w:divBdr>
              <w:divsChild>
                <w:div w:id="1341659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89630138">
      <w:bodyDiv w:val="1"/>
      <w:marLeft w:val="0"/>
      <w:marRight w:val="0"/>
      <w:marTop w:val="0"/>
      <w:marBottom w:val="0"/>
      <w:divBdr>
        <w:top w:val="none" w:sz="0" w:space="0" w:color="auto"/>
        <w:left w:val="none" w:sz="0" w:space="0" w:color="auto"/>
        <w:bottom w:val="none" w:sz="0" w:space="0" w:color="auto"/>
        <w:right w:val="none" w:sz="0" w:space="0" w:color="auto"/>
      </w:divBdr>
      <w:divsChild>
        <w:div w:id="433214548">
          <w:marLeft w:val="0"/>
          <w:marRight w:val="0"/>
          <w:marTop w:val="240"/>
          <w:marBottom w:val="0"/>
          <w:divBdr>
            <w:top w:val="none" w:sz="0" w:space="0" w:color="auto"/>
            <w:left w:val="none" w:sz="0" w:space="0" w:color="auto"/>
            <w:bottom w:val="none" w:sz="0" w:space="0" w:color="auto"/>
            <w:right w:val="none" w:sz="0" w:space="0" w:color="auto"/>
          </w:divBdr>
          <w:divsChild>
            <w:div w:id="1416784467">
              <w:marLeft w:val="0"/>
              <w:marRight w:val="0"/>
              <w:marTop w:val="0"/>
              <w:marBottom w:val="0"/>
              <w:divBdr>
                <w:top w:val="none" w:sz="0" w:space="0" w:color="auto"/>
                <w:left w:val="none" w:sz="0" w:space="0" w:color="auto"/>
                <w:bottom w:val="none" w:sz="0" w:space="0" w:color="auto"/>
                <w:right w:val="none" w:sz="0" w:space="0" w:color="auto"/>
              </w:divBdr>
            </w:div>
          </w:divsChild>
        </w:div>
        <w:div w:id="469858484">
          <w:marLeft w:val="0"/>
          <w:marRight w:val="0"/>
          <w:marTop w:val="240"/>
          <w:marBottom w:val="0"/>
          <w:divBdr>
            <w:top w:val="none" w:sz="0" w:space="0" w:color="auto"/>
            <w:left w:val="none" w:sz="0" w:space="0" w:color="auto"/>
            <w:bottom w:val="none" w:sz="0" w:space="0" w:color="auto"/>
            <w:right w:val="none" w:sz="0" w:space="0" w:color="auto"/>
          </w:divBdr>
          <w:divsChild>
            <w:div w:id="846484740">
              <w:marLeft w:val="0"/>
              <w:marRight w:val="0"/>
              <w:marTop w:val="0"/>
              <w:marBottom w:val="0"/>
              <w:divBdr>
                <w:top w:val="none" w:sz="0" w:space="0" w:color="auto"/>
                <w:left w:val="none" w:sz="0" w:space="0" w:color="auto"/>
                <w:bottom w:val="none" w:sz="0" w:space="0" w:color="auto"/>
                <w:right w:val="none" w:sz="0" w:space="0" w:color="auto"/>
              </w:divBdr>
            </w:div>
          </w:divsChild>
        </w:div>
        <w:div w:id="1677003356">
          <w:marLeft w:val="0"/>
          <w:marRight w:val="0"/>
          <w:marTop w:val="240"/>
          <w:marBottom w:val="0"/>
          <w:divBdr>
            <w:top w:val="none" w:sz="0" w:space="0" w:color="auto"/>
            <w:left w:val="none" w:sz="0" w:space="0" w:color="auto"/>
            <w:bottom w:val="none" w:sz="0" w:space="0" w:color="auto"/>
            <w:right w:val="none" w:sz="0" w:space="0" w:color="auto"/>
          </w:divBdr>
          <w:divsChild>
            <w:div w:id="12595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17706">
      <w:bodyDiv w:val="1"/>
      <w:marLeft w:val="0"/>
      <w:marRight w:val="0"/>
      <w:marTop w:val="0"/>
      <w:marBottom w:val="0"/>
      <w:divBdr>
        <w:top w:val="none" w:sz="0" w:space="0" w:color="auto"/>
        <w:left w:val="none" w:sz="0" w:space="0" w:color="auto"/>
        <w:bottom w:val="none" w:sz="0" w:space="0" w:color="auto"/>
        <w:right w:val="none" w:sz="0" w:space="0" w:color="auto"/>
      </w:divBdr>
      <w:divsChild>
        <w:div w:id="917252469">
          <w:marLeft w:val="0"/>
          <w:marRight w:val="0"/>
          <w:marTop w:val="0"/>
          <w:marBottom w:val="0"/>
          <w:divBdr>
            <w:top w:val="none" w:sz="0" w:space="0" w:color="auto"/>
            <w:left w:val="single" w:sz="6" w:space="0" w:color="BBBBBB"/>
            <w:bottom w:val="single" w:sz="6" w:space="0" w:color="BBBBBB"/>
            <w:right w:val="single" w:sz="6" w:space="0" w:color="BBBBBB"/>
          </w:divBdr>
          <w:divsChild>
            <w:div w:id="69499360">
              <w:marLeft w:val="0"/>
              <w:marRight w:val="0"/>
              <w:marTop w:val="0"/>
              <w:marBottom w:val="0"/>
              <w:divBdr>
                <w:top w:val="none" w:sz="0" w:space="0" w:color="auto"/>
                <w:left w:val="none" w:sz="0" w:space="0" w:color="auto"/>
                <w:bottom w:val="none" w:sz="0" w:space="0" w:color="auto"/>
                <w:right w:val="none" w:sz="0" w:space="0" w:color="auto"/>
              </w:divBdr>
              <w:divsChild>
                <w:div w:id="1276403335">
                  <w:marLeft w:val="0"/>
                  <w:marRight w:val="0"/>
                  <w:marTop w:val="75"/>
                  <w:marBottom w:val="0"/>
                  <w:divBdr>
                    <w:top w:val="none" w:sz="0" w:space="0" w:color="auto"/>
                    <w:left w:val="none" w:sz="0" w:space="0" w:color="auto"/>
                    <w:bottom w:val="none" w:sz="0" w:space="0" w:color="auto"/>
                    <w:right w:val="none" w:sz="0" w:space="0" w:color="auto"/>
                  </w:divBdr>
                  <w:divsChild>
                    <w:div w:id="785121409">
                      <w:marLeft w:val="0"/>
                      <w:marRight w:val="0"/>
                      <w:marTop w:val="0"/>
                      <w:marBottom w:val="0"/>
                      <w:divBdr>
                        <w:top w:val="none" w:sz="0" w:space="0" w:color="auto"/>
                        <w:left w:val="none" w:sz="0" w:space="0" w:color="auto"/>
                        <w:bottom w:val="none" w:sz="0" w:space="0" w:color="auto"/>
                        <w:right w:val="none" w:sz="0" w:space="0" w:color="auto"/>
                      </w:divBdr>
                      <w:divsChild>
                        <w:div w:id="141318755">
                          <w:marLeft w:val="0"/>
                          <w:marRight w:val="0"/>
                          <w:marTop w:val="0"/>
                          <w:marBottom w:val="0"/>
                          <w:divBdr>
                            <w:top w:val="none" w:sz="0" w:space="0" w:color="auto"/>
                            <w:left w:val="none" w:sz="0" w:space="0" w:color="auto"/>
                            <w:bottom w:val="none" w:sz="0" w:space="0" w:color="auto"/>
                            <w:right w:val="none" w:sz="0" w:space="0" w:color="auto"/>
                          </w:divBdr>
                          <w:divsChild>
                            <w:div w:id="602999355">
                              <w:marLeft w:val="0"/>
                              <w:marRight w:val="0"/>
                              <w:marTop w:val="0"/>
                              <w:marBottom w:val="0"/>
                              <w:divBdr>
                                <w:top w:val="none" w:sz="0" w:space="0" w:color="auto"/>
                                <w:left w:val="none" w:sz="0" w:space="0" w:color="auto"/>
                                <w:bottom w:val="none" w:sz="0" w:space="0" w:color="auto"/>
                                <w:right w:val="none" w:sz="0" w:space="0" w:color="auto"/>
                              </w:divBdr>
                              <w:divsChild>
                                <w:div w:id="1319654413">
                                  <w:marLeft w:val="0"/>
                                  <w:marRight w:val="0"/>
                                  <w:marTop w:val="0"/>
                                  <w:marBottom w:val="0"/>
                                  <w:divBdr>
                                    <w:top w:val="none" w:sz="0" w:space="0" w:color="auto"/>
                                    <w:left w:val="none" w:sz="0" w:space="0" w:color="auto"/>
                                    <w:bottom w:val="none" w:sz="0" w:space="0" w:color="auto"/>
                                    <w:right w:val="none" w:sz="0" w:space="0" w:color="auto"/>
                                  </w:divBdr>
                                  <w:divsChild>
                                    <w:div w:id="492382520">
                                      <w:marLeft w:val="0"/>
                                      <w:marRight w:val="0"/>
                                      <w:marTop w:val="0"/>
                                      <w:marBottom w:val="0"/>
                                      <w:divBdr>
                                        <w:top w:val="none" w:sz="0" w:space="0" w:color="auto"/>
                                        <w:left w:val="none" w:sz="0" w:space="0" w:color="auto"/>
                                        <w:bottom w:val="none" w:sz="0" w:space="0" w:color="auto"/>
                                        <w:right w:val="none" w:sz="0" w:space="0" w:color="auto"/>
                                      </w:divBdr>
                                      <w:divsChild>
                                        <w:div w:id="522745281">
                                          <w:marLeft w:val="1200"/>
                                          <w:marRight w:val="1200"/>
                                          <w:marTop w:val="0"/>
                                          <w:marBottom w:val="0"/>
                                          <w:divBdr>
                                            <w:top w:val="none" w:sz="0" w:space="0" w:color="auto"/>
                                            <w:left w:val="none" w:sz="0" w:space="0" w:color="auto"/>
                                            <w:bottom w:val="none" w:sz="0" w:space="0" w:color="auto"/>
                                            <w:right w:val="none" w:sz="0" w:space="0" w:color="auto"/>
                                          </w:divBdr>
                                          <w:divsChild>
                                            <w:div w:id="956569559">
                                              <w:marLeft w:val="0"/>
                                              <w:marRight w:val="0"/>
                                              <w:marTop w:val="0"/>
                                              <w:marBottom w:val="0"/>
                                              <w:divBdr>
                                                <w:top w:val="none" w:sz="0" w:space="0" w:color="auto"/>
                                                <w:left w:val="none" w:sz="0" w:space="0" w:color="auto"/>
                                                <w:bottom w:val="none" w:sz="0" w:space="0" w:color="auto"/>
                                                <w:right w:val="none" w:sz="0" w:space="0" w:color="auto"/>
                                              </w:divBdr>
                                              <w:divsChild>
                                                <w:div w:id="250623431">
                                                  <w:marLeft w:val="0"/>
                                                  <w:marRight w:val="0"/>
                                                  <w:marTop w:val="0"/>
                                                  <w:marBottom w:val="0"/>
                                                  <w:divBdr>
                                                    <w:top w:val="none" w:sz="0" w:space="0" w:color="auto"/>
                                                    <w:left w:val="none" w:sz="0" w:space="0" w:color="auto"/>
                                                    <w:bottom w:val="none" w:sz="0" w:space="0" w:color="auto"/>
                                                    <w:right w:val="none" w:sz="0" w:space="0" w:color="auto"/>
                                                  </w:divBdr>
                                                  <w:divsChild>
                                                    <w:div w:id="1438133195">
                                                      <w:marLeft w:val="0"/>
                                                      <w:marRight w:val="0"/>
                                                      <w:marTop w:val="0"/>
                                                      <w:marBottom w:val="0"/>
                                                      <w:divBdr>
                                                        <w:top w:val="none" w:sz="0" w:space="0" w:color="auto"/>
                                                        <w:left w:val="none" w:sz="0" w:space="0" w:color="auto"/>
                                                        <w:bottom w:val="none" w:sz="0" w:space="0" w:color="auto"/>
                                                        <w:right w:val="none" w:sz="0" w:space="0" w:color="auto"/>
                                                      </w:divBdr>
                                                      <w:divsChild>
                                                        <w:div w:id="2122800380">
                                                          <w:marLeft w:val="0"/>
                                                          <w:marRight w:val="0"/>
                                                          <w:marTop w:val="0"/>
                                                          <w:marBottom w:val="0"/>
                                                          <w:divBdr>
                                                            <w:top w:val="none" w:sz="0" w:space="0" w:color="auto"/>
                                                            <w:left w:val="none" w:sz="0" w:space="0" w:color="auto"/>
                                                            <w:bottom w:val="none" w:sz="0" w:space="0" w:color="auto"/>
                                                            <w:right w:val="none" w:sz="0" w:space="0" w:color="auto"/>
                                                          </w:divBdr>
                                                          <w:divsChild>
                                                            <w:div w:id="508570957">
                                                              <w:marLeft w:val="0"/>
                                                              <w:marRight w:val="0"/>
                                                              <w:marTop w:val="0"/>
                                                              <w:marBottom w:val="0"/>
                                                              <w:divBdr>
                                                                <w:top w:val="none" w:sz="0" w:space="0" w:color="auto"/>
                                                                <w:left w:val="none" w:sz="0" w:space="0" w:color="auto"/>
                                                                <w:bottom w:val="none" w:sz="0" w:space="0" w:color="auto"/>
                                                                <w:right w:val="none" w:sz="0" w:space="0" w:color="auto"/>
                                                              </w:divBdr>
                                                              <w:divsChild>
                                                                <w:div w:id="1142380391">
                                                                  <w:marLeft w:val="0"/>
                                                                  <w:marRight w:val="0"/>
                                                                  <w:marTop w:val="0"/>
                                                                  <w:marBottom w:val="0"/>
                                                                  <w:divBdr>
                                                                    <w:top w:val="none" w:sz="0" w:space="0" w:color="auto"/>
                                                                    <w:left w:val="none" w:sz="0" w:space="0" w:color="auto"/>
                                                                    <w:bottom w:val="none" w:sz="0" w:space="0" w:color="auto"/>
                                                                    <w:right w:val="none" w:sz="0" w:space="0" w:color="auto"/>
                                                                  </w:divBdr>
                                                                  <w:divsChild>
                                                                    <w:div w:id="361975011">
                                                                      <w:marLeft w:val="0"/>
                                                                      <w:marRight w:val="0"/>
                                                                      <w:marTop w:val="0"/>
                                                                      <w:marBottom w:val="0"/>
                                                                      <w:divBdr>
                                                                        <w:top w:val="none" w:sz="0" w:space="0" w:color="auto"/>
                                                                        <w:left w:val="none" w:sz="0" w:space="0" w:color="auto"/>
                                                                        <w:bottom w:val="none" w:sz="0" w:space="0" w:color="auto"/>
                                                                        <w:right w:val="none" w:sz="0" w:space="0" w:color="auto"/>
                                                                      </w:divBdr>
                                                                      <w:divsChild>
                                                                        <w:div w:id="1429497430">
                                                                          <w:marLeft w:val="0"/>
                                                                          <w:marRight w:val="0"/>
                                                                          <w:marTop w:val="0"/>
                                                                          <w:marBottom w:val="0"/>
                                                                          <w:divBdr>
                                                                            <w:top w:val="none" w:sz="0" w:space="0" w:color="auto"/>
                                                                            <w:left w:val="none" w:sz="0" w:space="0" w:color="auto"/>
                                                                            <w:bottom w:val="none" w:sz="0" w:space="0" w:color="auto"/>
                                                                            <w:right w:val="none" w:sz="0" w:space="0" w:color="auto"/>
                                                                          </w:divBdr>
                                                                        </w:div>
                                                                      </w:divsChild>
                                                                    </w:div>
                                                                    <w:div w:id="1629237811">
                                                                      <w:marLeft w:val="0"/>
                                                                      <w:marRight w:val="0"/>
                                                                      <w:marTop w:val="0"/>
                                                                      <w:marBottom w:val="0"/>
                                                                      <w:divBdr>
                                                                        <w:top w:val="none" w:sz="0" w:space="0" w:color="auto"/>
                                                                        <w:left w:val="none" w:sz="0" w:space="0" w:color="auto"/>
                                                                        <w:bottom w:val="none" w:sz="0" w:space="0" w:color="auto"/>
                                                                        <w:right w:val="none" w:sz="0" w:space="0" w:color="auto"/>
                                                                      </w:divBdr>
                                                                      <w:divsChild>
                                                                        <w:div w:id="197764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8262392">
      <w:bodyDiv w:val="1"/>
      <w:marLeft w:val="0"/>
      <w:marRight w:val="0"/>
      <w:marTop w:val="0"/>
      <w:marBottom w:val="0"/>
      <w:divBdr>
        <w:top w:val="none" w:sz="0" w:space="0" w:color="auto"/>
        <w:left w:val="none" w:sz="0" w:space="0" w:color="auto"/>
        <w:bottom w:val="none" w:sz="0" w:space="0" w:color="auto"/>
        <w:right w:val="none" w:sz="0" w:space="0" w:color="auto"/>
      </w:divBdr>
      <w:divsChild>
        <w:div w:id="965890163">
          <w:marLeft w:val="0"/>
          <w:marRight w:val="0"/>
          <w:marTop w:val="0"/>
          <w:marBottom w:val="0"/>
          <w:divBdr>
            <w:top w:val="none" w:sz="0" w:space="0" w:color="auto"/>
            <w:left w:val="none" w:sz="0" w:space="0" w:color="auto"/>
            <w:bottom w:val="none" w:sz="0" w:space="0" w:color="auto"/>
            <w:right w:val="none" w:sz="0" w:space="0" w:color="auto"/>
          </w:divBdr>
          <w:divsChild>
            <w:div w:id="1715033225">
              <w:marLeft w:val="0"/>
              <w:marRight w:val="0"/>
              <w:marTop w:val="0"/>
              <w:marBottom w:val="0"/>
              <w:divBdr>
                <w:top w:val="none" w:sz="0" w:space="0" w:color="auto"/>
                <w:left w:val="none" w:sz="0" w:space="0" w:color="auto"/>
                <w:bottom w:val="none" w:sz="0" w:space="0" w:color="auto"/>
                <w:right w:val="none" w:sz="0" w:space="0" w:color="auto"/>
              </w:divBdr>
              <w:divsChild>
                <w:div w:id="309284572">
                  <w:marLeft w:val="0"/>
                  <w:marRight w:val="0"/>
                  <w:marTop w:val="0"/>
                  <w:marBottom w:val="0"/>
                  <w:divBdr>
                    <w:top w:val="none" w:sz="0" w:space="0" w:color="auto"/>
                    <w:left w:val="none" w:sz="0" w:space="0" w:color="auto"/>
                    <w:bottom w:val="none" w:sz="0" w:space="0" w:color="auto"/>
                    <w:right w:val="none" w:sz="0" w:space="0" w:color="auto"/>
                  </w:divBdr>
                  <w:divsChild>
                    <w:div w:id="1921526824">
                      <w:marLeft w:val="0"/>
                      <w:marRight w:val="0"/>
                      <w:marTop w:val="0"/>
                      <w:marBottom w:val="300"/>
                      <w:divBdr>
                        <w:top w:val="none" w:sz="0" w:space="0" w:color="auto"/>
                        <w:left w:val="none" w:sz="0" w:space="0" w:color="auto"/>
                        <w:bottom w:val="none" w:sz="0" w:space="0" w:color="auto"/>
                        <w:right w:val="none" w:sz="0" w:space="0" w:color="auto"/>
                      </w:divBdr>
                      <w:divsChild>
                        <w:div w:id="8426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111220">
      <w:bodyDiv w:val="1"/>
      <w:marLeft w:val="0"/>
      <w:marRight w:val="0"/>
      <w:marTop w:val="0"/>
      <w:marBottom w:val="0"/>
      <w:divBdr>
        <w:top w:val="none" w:sz="0" w:space="0" w:color="auto"/>
        <w:left w:val="none" w:sz="0" w:space="0" w:color="auto"/>
        <w:bottom w:val="none" w:sz="0" w:space="0" w:color="auto"/>
        <w:right w:val="none" w:sz="0" w:space="0" w:color="auto"/>
      </w:divBdr>
      <w:divsChild>
        <w:div w:id="534346136">
          <w:marLeft w:val="0"/>
          <w:marRight w:val="0"/>
          <w:marTop w:val="0"/>
          <w:marBottom w:val="0"/>
          <w:divBdr>
            <w:top w:val="none" w:sz="0" w:space="0" w:color="auto"/>
            <w:left w:val="none" w:sz="0" w:space="0" w:color="auto"/>
            <w:bottom w:val="none" w:sz="0" w:space="0" w:color="auto"/>
            <w:right w:val="none" w:sz="0" w:space="0" w:color="auto"/>
          </w:divBdr>
          <w:divsChild>
            <w:div w:id="1631589521">
              <w:marLeft w:val="0"/>
              <w:marRight w:val="0"/>
              <w:marTop w:val="0"/>
              <w:marBottom w:val="0"/>
              <w:divBdr>
                <w:top w:val="none" w:sz="0" w:space="0" w:color="auto"/>
                <w:left w:val="none" w:sz="0" w:space="0" w:color="auto"/>
                <w:bottom w:val="none" w:sz="0" w:space="0" w:color="auto"/>
                <w:right w:val="none" w:sz="0" w:space="0" w:color="auto"/>
              </w:divBdr>
              <w:divsChild>
                <w:div w:id="1018503076">
                  <w:marLeft w:val="0"/>
                  <w:marRight w:val="0"/>
                  <w:marTop w:val="0"/>
                  <w:marBottom w:val="0"/>
                  <w:divBdr>
                    <w:top w:val="none" w:sz="0" w:space="0" w:color="auto"/>
                    <w:left w:val="none" w:sz="0" w:space="0" w:color="auto"/>
                    <w:bottom w:val="none" w:sz="0" w:space="0" w:color="auto"/>
                    <w:right w:val="none" w:sz="0" w:space="0" w:color="auto"/>
                  </w:divBdr>
                  <w:divsChild>
                    <w:div w:id="1221937959">
                      <w:marLeft w:val="0"/>
                      <w:marRight w:val="0"/>
                      <w:marTop w:val="0"/>
                      <w:marBottom w:val="375"/>
                      <w:divBdr>
                        <w:top w:val="none" w:sz="0" w:space="0" w:color="auto"/>
                        <w:left w:val="none" w:sz="0" w:space="0" w:color="auto"/>
                        <w:bottom w:val="none" w:sz="0" w:space="0" w:color="auto"/>
                        <w:right w:val="none" w:sz="0" w:space="0" w:color="auto"/>
                      </w:divBdr>
                      <w:divsChild>
                        <w:div w:id="109871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336256">
      <w:bodyDiv w:val="1"/>
      <w:marLeft w:val="30"/>
      <w:marRight w:val="30"/>
      <w:marTop w:val="30"/>
      <w:marBottom w:val="30"/>
      <w:divBdr>
        <w:top w:val="none" w:sz="0" w:space="0" w:color="auto"/>
        <w:left w:val="none" w:sz="0" w:space="0" w:color="auto"/>
        <w:bottom w:val="none" w:sz="0" w:space="0" w:color="auto"/>
        <w:right w:val="none" w:sz="0" w:space="0" w:color="auto"/>
      </w:divBdr>
      <w:divsChild>
        <w:div w:id="476799856">
          <w:marLeft w:val="0"/>
          <w:marRight w:val="0"/>
          <w:marTop w:val="0"/>
          <w:marBottom w:val="0"/>
          <w:divBdr>
            <w:top w:val="none" w:sz="0" w:space="0" w:color="auto"/>
            <w:left w:val="none" w:sz="0" w:space="0" w:color="auto"/>
            <w:bottom w:val="none" w:sz="0" w:space="0" w:color="auto"/>
            <w:right w:val="none" w:sz="0" w:space="0" w:color="auto"/>
          </w:divBdr>
          <w:divsChild>
            <w:div w:id="1832796906">
              <w:marLeft w:val="45"/>
              <w:marRight w:val="45"/>
              <w:marTop w:val="45"/>
              <w:marBottom w:val="45"/>
              <w:divBdr>
                <w:top w:val="none" w:sz="0" w:space="0" w:color="auto"/>
                <w:left w:val="none" w:sz="0" w:space="0" w:color="auto"/>
                <w:bottom w:val="none" w:sz="0" w:space="0" w:color="auto"/>
                <w:right w:val="none" w:sz="0" w:space="0" w:color="auto"/>
              </w:divBdr>
              <w:divsChild>
                <w:div w:id="861168950">
                  <w:marLeft w:val="0"/>
                  <w:marRight w:val="0"/>
                  <w:marTop w:val="0"/>
                  <w:marBottom w:val="0"/>
                  <w:divBdr>
                    <w:top w:val="none" w:sz="0" w:space="0" w:color="auto"/>
                    <w:left w:val="none" w:sz="0" w:space="0" w:color="auto"/>
                    <w:bottom w:val="none" w:sz="0" w:space="0" w:color="auto"/>
                    <w:right w:val="none" w:sz="0" w:space="0" w:color="auto"/>
                  </w:divBdr>
                  <w:divsChild>
                    <w:div w:id="687755311">
                      <w:marLeft w:val="0"/>
                      <w:marRight w:val="0"/>
                      <w:marTop w:val="0"/>
                      <w:marBottom w:val="0"/>
                      <w:divBdr>
                        <w:top w:val="none" w:sz="0" w:space="0" w:color="auto"/>
                        <w:left w:val="none" w:sz="0" w:space="0" w:color="auto"/>
                        <w:bottom w:val="none" w:sz="0" w:space="0" w:color="auto"/>
                        <w:right w:val="none" w:sz="0" w:space="0" w:color="auto"/>
                      </w:divBdr>
                    </w:div>
                    <w:div w:id="116786226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11583">
      <w:bodyDiv w:val="1"/>
      <w:marLeft w:val="0"/>
      <w:marRight w:val="0"/>
      <w:marTop w:val="0"/>
      <w:marBottom w:val="0"/>
      <w:divBdr>
        <w:top w:val="none" w:sz="0" w:space="0" w:color="auto"/>
        <w:left w:val="none" w:sz="0" w:space="0" w:color="auto"/>
        <w:bottom w:val="none" w:sz="0" w:space="0" w:color="auto"/>
        <w:right w:val="none" w:sz="0" w:space="0" w:color="auto"/>
      </w:divBdr>
      <w:divsChild>
        <w:div w:id="1813906512">
          <w:marLeft w:val="0"/>
          <w:marRight w:val="150"/>
          <w:marTop w:val="0"/>
          <w:marBottom w:val="0"/>
          <w:divBdr>
            <w:top w:val="none" w:sz="0" w:space="0" w:color="auto"/>
            <w:left w:val="none" w:sz="0" w:space="0" w:color="auto"/>
            <w:bottom w:val="none" w:sz="0" w:space="0" w:color="auto"/>
            <w:right w:val="none" w:sz="0" w:space="0" w:color="auto"/>
          </w:divBdr>
          <w:divsChild>
            <w:div w:id="1636834862">
              <w:marLeft w:val="0"/>
              <w:marRight w:val="0"/>
              <w:marTop w:val="0"/>
              <w:marBottom w:val="0"/>
              <w:divBdr>
                <w:top w:val="none" w:sz="0" w:space="0" w:color="auto"/>
                <w:left w:val="none" w:sz="0" w:space="0" w:color="auto"/>
                <w:bottom w:val="none" w:sz="0" w:space="0" w:color="auto"/>
                <w:right w:val="none" w:sz="0" w:space="0" w:color="auto"/>
              </w:divBdr>
              <w:divsChild>
                <w:div w:id="763187228">
                  <w:marLeft w:val="0"/>
                  <w:marRight w:val="0"/>
                  <w:marTop w:val="0"/>
                  <w:marBottom w:val="0"/>
                  <w:divBdr>
                    <w:top w:val="none" w:sz="0" w:space="0" w:color="auto"/>
                    <w:left w:val="none" w:sz="0" w:space="0" w:color="auto"/>
                    <w:bottom w:val="none" w:sz="0" w:space="0" w:color="auto"/>
                    <w:right w:val="none" w:sz="0" w:space="0" w:color="auto"/>
                  </w:divBdr>
                  <w:divsChild>
                    <w:div w:id="762528818">
                      <w:marLeft w:val="0"/>
                      <w:marRight w:val="0"/>
                      <w:marTop w:val="0"/>
                      <w:marBottom w:val="0"/>
                      <w:divBdr>
                        <w:top w:val="none" w:sz="0" w:space="0" w:color="auto"/>
                        <w:left w:val="none" w:sz="0" w:space="0" w:color="auto"/>
                        <w:bottom w:val="none" w:sz="0" w:space="0" w:color="auto"/>
                        <w:right w:val="none" w:sz="0" w:space="0" w:color="auto"/>
                      </w:divBdr>
                    </w:div>
                    <w:div w:id="13674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274139">
      <w:bodyDiv w:val="1"/>
      <w:marLeft w:val="0"/>
      <w:marRight w:val="0"/>
      <w:marTop w:val="0"/>
      <w:marBottom w:val="0"/>
      <w:divBdr>
        <w:top w:val="none" w:sz="0" w:space="0" w:color="auto"/>
        <w:left w:val="none" w:sz="0" w:space="0" w:color="auto"/>
        <w:bottom w:val="none" w:sz="0" w:space="0" w:color="auto"/>
        <w:right w:val="none" w:sz="0" w:space="0" w:color="auto"/>
      </w:divBdr>
      <w:divsChild>
        <w:div w:id="1515993135">
          <w:marLeft w:val="0"/>
          <w:marRight w:val="0"/>
          <w:marTop w:val="0"/>
          <w:marBottom w:val="0"/>
          <w:divBdr>
            <w:top w:val="none" w:sz="0" w:space="0" w:color="auto"/>
            <w:left w:val="none" w:sz="0" w:space="0" w:color="auto"/>
            <w:bottom w:val="none" w:sz="0" w:space="0" w:color="auto"/>
            <w:right w:val="none" w:sz="0" w:space="0" w:color="auto"/>
          </w:divBdr>
          <w:divsChild>
            <w:div w:id="2031488323">
              <w:marLeft w:val="0"/>
              <w:marRight w:val="0"/>
              <w:marTop w:val="0"/>
              <w:marBottom w:val="0"/>
              <w:divBdr>
                <w:top w:val="none" w:sz="0" w:space="0" w:color="auto"/>
                <w:left w:val="none" w:sz="0" w:space="0" w:color="auto"/>
                <w:bottom w:val="none" w:sz="0" w:space="0" w:color="auto"/>
                <w:right w:val="none" w:sz="0" w:space="0" w:color="auto"/>
              </w:divBdr>
              <w:divsChild>
                <w:div w:id="2081557748">
                  <w:marLeft w:val="0"/>
                  <w:marRight w:val="0"/>
                  <w:marTop w:val="0"/>
                  <w:marBottom w:val="0"/>
                  <w:divBdr>
                    <w:top w:val="none" w:sz="0" w:space="0" w:color="auto"/>
                    <w:left w:val="none" w:sz="0" w:space="0" w:color="auto"/>
                    <w:bottom w:val="none" w:sz="0" w:space="0" w:color="auto"/>
                    <w:right w:val="none" w:sz="0" w:space="0" w:color="auto"/>
                  </w:divBdr>
                  <w:divsChild>
                    <w:div w:id="1833712871">
                      <w:marLeft w:val="0"/>
                      <w:marRight w:val="0"/>
                      <w:marTop w:val="0"/>
                      <w:marBottom w:val="375"/>
                      <w:divBdr>
                        <w:top w:val="none" w:sz="0" w:space="0" w:color="auto"/>
                        <w:left w:val="none" w:sz="0" w:space="0" w:color="auto"/>
                        <w:bottom w:val="none" w:sz="0" w:space="0" w:color="auto"/>
                        <w:right w:val="none" w:sz="0" w:space="0" w:color="auto"/>
                      </w:divBdr>
                      <w:divsChild>
                        <w:div w:id="200147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860404">
      <w:bodyDiv w:val="1"/>
      <w:marLeft w:val="0"/>
      <w:marRight w:val="0"/>
      <w:marTop w:val="0"/>
      <w:marBottom w:val="0"/>
      <w:divBdr>
        <w:top w:val="none" w:sz="0" w:space="0" w:color="auto"/>
        <w:left w:val="none" w:sz="0" w:space="0" w:color="auto"/>
        <w:bottom w:val="none" w:sz="0" w:space="0" w:color="auto"/>
        <w:right w:val="none" w:sz="0" w:space="0" w:color="auto"/>
      </w:divBdr>
      <w:divsChild>
        <w:div w:id="10994494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06321143">
      <w:bodyDiv w:val="1"/>
      <w:marLeft w:val="0"/>
      <w:marRight w:val="0"/>
      <w:marTop w:val="0"/>
      <w:marBottom w:val="0"/>
      <w:divBdr>
        <w:top w:val="none" w:sz="0" w:space="0" w:color="auto"/>
        <w:left w:val="none" w:sz="0" w:space="0" w:color="auto"/>
        <w:bottom w:val="none" w:sz="0" w:space="0" w:color="auto"/>
        <w:right w:val="none" w:sz="0" w:space="0" w:color="auto"/>
      </w:divBdr>
      <w:divsChild>
        <w:div w:id="455292581">
          <w:marLeft w:val="0"/>
          <w:marRight w:val="0"/>
          <w:marTop w:val="0"/>
          <w:marBottom w:val="0"/>
          <w:divBdr>
            <w:top w:val="none" w:sz="0" w:space="0" w:color="auto"/>
            <w:left w:val="none" w:sz="0" w:space="0" w:color="auto"/>
            <w:bottom w:val="none" w:sz="0" w:space="0" w:color="auto"/>
            <w:right w:val="none" w:sz="0" w:space="0" w:color="auto"/>
          </w:divBdr>
          <w:divsChild>
            <w:div w:id="987897402">
              <w:marLeft w:val="0"/>
              <w:marRight w:val="0"/>
              <w:marTop w:val="0"/>
              <w:marBottom w:val="0"/>
              <w:divBdr>
                <w:top w:val="none" w:sz="0" w:space="0" w:color="auto"/>
                <w:left w:val="none" w:sz="0" w:space="0" w:color="auto"/>
                <w:bottom w:val="none" w:sz="0" w:space="0" w:color="auto"/>
                <w:right w:val="none" w:sz="0" w:space="0" w:color="auto"/>
              </w:divBdr>
              <w:divsChild>
                <w:div w:id="1439450822">
                  <w:marLeft w:val="0"/>
                  <w:marRight w:val="0"/>
                  <w:marTop w:val="0"/>
                  <w:marBottom w:val="0"/>
                  <w:divBdr>
                    <w:top w:val="none" w:sz="0" w:space="0" w:color="auto"/>
                    <w:left w:val="none" w:sz="0" w:space="0" w:color="auto"/>
                    <w:bottom w:val="none" w:sz="0" w:space="0" w:color="auto"/>
                    <w:right w:val="none" w:sz="0" w:space="0" w:color="auto"/>
                  </w:divBdr>
                  <w:divsChild>
                    <w:div w:id="346490062">
                      <w:marLeft w:val="0"/>
                      <w:marRight w:val="0"/>
                      <w:marTop w:val="0"/>
                      <w:marBottom w:val="300"/>
                      <w:divBdr>
                        <w:top w:val="none" w:sz="0" w:space="0" w:color="auto"/>
                        <w:left w:val="none" w:sz="0" w:space="0" w:color="auto"/>
                        <w:bottom w:val="none" w:sz="0" w:space="0" w:color="auto"/>
                        <w:right w:val="none" w:sz="0" w:space="0" w:color="auto"/>
                      </w:divBdr>
                      <w:divsChild>
                        <w:div w:id="3433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245403">
      <w:bodyDiv w:val="1"/>
      <w:marLeft w:val="0"/>
      <w:marRight w:val="0"/>
      <w:marTop w:val="0"/>
      <w:marBottom w:val="0"/>
      <w:divBdr>
        <w:top w:val="none" w:sz="0" w:space="0" w:color="auto"/>
        <w:left w:val="none" w:sz="0" w:space="0" w:color="auto"/>
        <w:bottom w:val="none" w:sz="0" w:space="0" w:color="auto"/>
        <w:right w:val="none" w:sz="0" w:space="0" w:color="auto"/>
      </w:divBdr>
      <w:divsChild>
        <w:div w:id="1586109405">
          <w:marLeft w:val="0"/>
          <w:marRight w:val="0"/>
          <w:marTop w:val="0"/>
          <w:marBottom w:val="0"/>
          <w:divBdr>
            <w:top w:val="none" w:sz="0" w:space="0" w:color="auto"/>
            <w:left w:val="none" w:sz="0" w:space="0" w:color="auto"/>
            <w:bottom w:val="none" w:sz="0" w:space="0" w:color="auto"/>
            <w:right w:val="none" w:sz="0" w:space="0" w:color="auto"/>
          </w:divBdr>
          <w:divsChild>
            <w:div w:id="202714871">
              <w:marLeft w:val="0"/>
              <w:marRight w:val="0"/>
              <w:marTop w:val="0"/>
              <w:marBottom w:val="0"/>
              <w:divBdr>
                <w:top w:val="none" w:sz="0" w:space="0" w:color="auto"/>
                <w:left w:val="none" w:sz="0" w:space="0" w:color="auto"/>
                <w:bottom w:val="none" w:sz="0" w:space="0" w:color="auto"/>
                <w:right w:val="none" w:sz="0" w:space="0" w:color="auto"/>
              </w:divBdr>
              <w:divsChild>
                <w:div w:id="1342899394">
                  <w:marLeft w:val="0"/>
                  <w:marRight w:val="0"/>
                  <w:marTop w:val="0"/>
                  <w:marBottom w:val="0"/>
                  <w:divBdr>
                    <w:top w:val="none" w:sz="0" w:space="0" w:color="auto"/>
                    <w:left w:val="none" w:sz="0" w:space="0" w:color="auto"/>
                    <w:bottom w:val="none" w:sz="0" w:space="0" w:color="auto"/>
                    <w:right w:val="none" w:sz="0" w:space="0" w:color="auto"/>
                  </w:divBdr>
                  <w:divsChild>
                    <w:div w:id="339937576">
                      <w:marLeft w:val="0"/>
                      <w:marRight w:val="0"/>
                      <w:marTop w:val="0"/>
                      <w:marBottom w:val="375"/>
                      <w:divBdr>
                        <w:top w:val="none" w:sz="0" w:space="0" w:color="auto"/>
                        <w:left w:val="none" w:sz="0" w:space="0" w:color="auto"/>
                        <w:bottom w:val="none" w:sz="0" w:space="0" w:color="auto"/>
                        <w:right w:val="none" w:sz="0" w:space="0" w:color="auto"/>
                      </w:divBdr>
                      <w:divsChild>
                        <w:div w:id="19436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095924">
      <w:bodyDiv w:val="1"/>
      <w:marLeft w:val="0"/>
      <w:marRight w:val="0"/>
      <w:marTop w:val="0"/>
      <w:marBottom w:val="0"/>
      <w:divBdr>
        <w:top w:val="none" w:sz="0" w:space="0" w:color="auto"/>
        <w:left w:val="none" w:sz="0" w:space="0" w:color="auto"/>
        <w:bottom w:val="none" w:sz="0" w:space="0" w:color="auto"/>
        <w:right w:val="none" w:sz="0" w:space="0" w:color="auto"/>
      </w:divBdr>
      <w:divsChild>
        <w:div w:id="1267159155">
          <w:marLeft w:val="0"/>
          <w:marRight w:val="0"/>
          <w:marTop w:val="0"/>
          <w:marBottom w:val="0"/>
          <w:divBdr>
            <w:top w:val="none" w:sz="0" w:space="0" w:color="auto"/>
            <w:left w:val="single" w:sz="6" w:space="0" w:color="BBBBBB"/>
            <w:bottom w:val="single" w:sz="6" w:space="0" w:color="BBBBBB"/>
            <w:right w:val="single" w:sz="6" w:space="0" w:color="BBBBBB"/>
          </w:divBdr>
          <w:divsChild>
            <w:div w:id="168371475">
              <w:marLeft w:val="0"/>
              <w:marRight w:val="0"/>
              <w:marTop w:val="0"/>
              <w:marBottom w:val="0"/>
              <w:divBdr>
                <w:top w:val="none" w:sz="0" w:space="0" w:color="auto"/>
                <w:left w:val="none" w:sz="0" w:space="0" w:color="auto"/>
                <w:bottom w:val="none" w:sz="0" w:space="0" w:color="auto"/>
                <w:right w:val="none" w:sz="0" w:space="0" w:color="auto"/>
              </w:divBdr>
              <w:divsChild>
                <w:div w:id="619265909">
                  <w:marLeft w:val="0"/>
                  <w:marRight w:val="0"/>
                  <w:marTop w:val="75"/>
                  <w:marBottom w:val="0"/>
                  <w:divBdr>
                    <w:top w:val="none" w:sz="0" w:space="0" w:color="auto"/>
                    <w:left w:val="none" w:sz="0" w:space="0" w:color="auto"/>
                    <w:bottom w:val="none" w:sz="0" w:space="0" w:color="auto"/>
                    <w:right w:val="none" w:sz="0" w:space="0" w:color="auto"/>
                  </w:divBdr>
                  <w:divsChild>
                    <w:div w:id="2113931816">
                      <w:marLeft w:val="0"/>
                      <w:marRight w:val="0"/>
                      <w:marTop w:val="0"/>
                      <w:marBottom w:val="0"/>
                      <w:divBdr>
                        <w:top w:val="none" w:sz="0" w:space="0" w:color="auto"/>
                        <w:left w:val="none" w:sz="0" w:space="0" w:color="auto"/>
                        <w:bottom w:val="none" w:sz="0" w:space="0" w:color="auto"/>
                        <w:right w:val="none" w:sz="0" w:space="0" w:color="auto"/>
                      </w:divBdr>
                      <w:divsChild>
                        <w:div w:id="1639870482">
                          <w:marLeft w:val="0"/>
                          <w:marRight w:val="0"/>
                          <w:marTop w:val="0"/>
                          <w:marBottom w:val="0"/>
                          <w:divBdr>
                            <w:top w:val="none" w:sz="0" w:space="0" w:color="auto"/>
                            <w:left w:val="none" w:sz="0" w:space="0" w:color="auto"/>
                            <w:bottom w:val="none" w:sz="0" w:space="0" w:color="auto"/>
                            <w:right w:val="none" w:sz="0" w:space="0" w:color="auto"/>
                          </w:divBdr>
                          <w:divsChild>
                            <w:div w:id="706560851">
                              <w:marLeft w:val="0"/>
                              <w:marRight w:val="0"/>
                              <w:marTop w:val="0"/>
                              <w:marBottom w:val="0"/>
                              <w:divBdr>
                                <w:top w:val="none" w:sz="0" w:space="0" w:color="auto"/>
                                <w:left w:val="none" w:sz="0" w:space="0" w:color="auto"/>
                                <w:bottom w:val="none" w:sz="0" w:space="0" w:color="auto"/>
                                <w:right w:val="none" w:sz="0" w:space="0" w:color="auto"/>
                              </w:divBdr>
                              <w:divsChild>
                                <w:div w:id="1753774466">
                                  <w:marLeft w:val="0"/>
                                  <w:marRight w:val="0"/>
                                  <w:marTop w:val="0"/>
                                  <w:marBottom w:val="0"/>
                                  <w:divBdr>
                                    <w:top w:val="none" w:sz="0" w:space="0" w:color="auto"/>
                                    <w:left w:val="none" w:sz="0" w:space="0" w:color="auto"/>
                                    <w:bottom w:val="none" w:sz="0" w:space="0" w:color="auto"/>
                                    <w:right w:val="none" w:sz="0" w:space="0" w:color="auto"/>
                                  </w:divBdr>
                                  <w:divsChild>
                                    <w:div w:id="820660488">
                                      <w:marLeft w:val="0"/>
                                      <w:marRight w:val="0"/>
                                      <w:marTop w:val="0"/>
                                      <w:marBottom w:val="0"/>
                                      <w:divBdr>
                                        <w:top w:val="none" w:sz="0" w:space="0" w:color="auto"/>
                                        <w:left w:val="none" w:sz="0" w:space="0" w:color="auto"/>
                                        <w:bottom w:val="none" w:sz="0" w:space="0" w:color="auto"/>
                                        <w:right w:val="none" w:sz="0" w:space="0" w:color="auto"/>
                                      </w:divBdr>
                                      <w:divsChild>
                                        <w:div w:id="1722437542">
                                          <w:marLeft w:val="1200"/>
                                          <w:marRight w:val="1200"/>
                                          <w:marTop w:val="0"/>
                                          <w:marBottom w:val="0"/>
                                          <w:divBdr>
                                            <w:top w:val="none" w:sz="0" w:space="0" w:color="auto"/>
                                            <w:left w:val="none" w:sz="0" w:space="0" w:color="auto"/>
                                            <w:bottom w:val="none" w:sz="0" w:space="0" w:color="auto"/>
                                            <w:right w:val="none" w:sz="0" w:space="0" w:color="auto"/>
                                          </w:divBdr>
                                          <w:divsChild>
                                            <w:div w:id="1928539499">
                                              <w:marLeft w:val="0"/>
                                              <w:marRight w:val="0"/>
                                              <w:marTop w:val="0"/>
                                              <w:marBottom w:val="0"/>
                                              <w:divBdr>
                                                <w:top w:val="none" w:sz="0" w:space="0" w:color="auto"/>
                                                <w:left w:val="none" w:sz="0" w:space="0" w:color="auto"/>
                                                <w:bottom w:val="none" w:sz="0" w:space="0" w:color="auto"/>
                                                <w:right w:val="none" w:sz="0" w:space="0" w:color="auto"/>
                                              </w:divBdr>
                                              <w:divsChild>
                                                <w:div w:id="801310600">
                                                  <w:marLeft w:val="0"/>
                                                  <w:marRight w:val="0"/>
                                                  <w:marTop w:val="0"/>
                                                  <w:marBottom w:val="0"/>
                                                  <w:divBdr>
                                                    <w:top w:val="none" w:sz="0" w:space="0" w:color="auto"/>
                                                    <w:left w:val="none" w:sz="0" w:space="0" w:color="auto"/>
                                                    <w:bottom w:val="none" w:sz="0" w:space="0" w:color="auto"/>
                                                    <w:right w:val="none" w:sz="0" w:space="0" w:color="auto"/>
                                                  </w:divBdr>
                                                  <w:divsChild>
                                                    <w:div w:id="516890344">
                                                      <w:marLeft w:val="0"/>
                                                      <w:marRight w:val="0"/>
                                                      <w:marTop w:val="0"/>
                                                      <w:marBottom w:val="0"/>
                                                      <w:divBdr>
                                                        <w:top w:val="none" w:sz="0" w:space="0" w:color="auto"/>
                                                        <w:left w:val="none" w:sz="0" w:space="0" w:color="auto"/>
                                                        <w:bottom w:val="none" w:sz="0" w:space="0" w:color="auto"/>
                                                        <w:right w:val="none" w:sz="0" w:space="0" w:color="auto"/>
                                                      </w:divBdr>
                                                      <w:divsChild>
                                                        <w:div w:id="1039356354">
                                                          <w:marLeft w:val="0"/>
                                                          <w:marRight w:val="0"/>
                                                          <w:marTop w:val="0"/>
                                                          <w:marBottom w:val="0"/>
                                                          <w:divBdr>
                                                            <w:top w:val="none" w:sz="0" w:space="0" w:color="auto"/>
                                                            <w:left w:val="none" w:sz="0" w:space="0" w:color="auto"/>
                                                            <w:bottom w:val="none" w:sz="0" w:space="0" w:color="auto"/>
                                                            <w:right w:val="none" w:sz="0" w:space="0" w:color="auto"/>
                                                          </w:divBdr>
                                                          <w:divsChild>
                                                            <w:div w:id="899444315">
                                                              <w:marLeft w:val="0"/>
                                                              <w:marRight w:val="0"/>
                                                              <w:marTop w:val="0"/>
                                                              <w:marBottom w:val="0"/>
                                                              <w:divBdr>
                                                                <w:top w:val="none" w:sz="0" w:space="0" w:color="auto"/>
                                                                <w:left w:val="none" w:sz="0" w:space="0" w:color="auto"/>
                                                                <w:bottom w:val="none" w:sz="0" w:space="0" w:color="auto"/>
                                                                <w:right w:val="none" w:sz="0" w:space="0" w:color="auto"/>
                                                              </w:divBdr>
                                                              <w:divsChild>
                                                                <w:div w:id="426343674">
                                                                  <w:marLeft w:val="0"/>
                                                                  <w:marRight w:val="0"/>
                                                                  <w:marTop w:val="0"/>
                                                                  <w:marBottom w:val="0"/>
                                                                  <w:divBdr>
                                                                    <w:top w:val="none" w:sz="0" w:space="0" w:color="auto"/>
                                                                    <w:left w:val="none" w:sz="0" w:space="0" w:color="auto"/>
                                                                    <w:bottom w:val="none" w:sz="0" w:space="0" w:color="auto"/>
                                                                    <w:right w:val="none" w:sz="0" w:space="0" w:color="auto"/>
                                                                  </w:divBdr>
                                                                  <w:divsChild>
                                                                    <w:div w:id="757361147">
                                                                      <w:marLeft w:val="0"/>
                                                                      <w:marRight w:val="0"/>
                                                                      <w:marTop w:val="0"/>
                                                                      <w:marBottom w:val="0"/>
                                                                      <w:divBdr>
                                                                        <w:top w:val="none" w:sz="0" w:space="0" w:color="auto"/>
                                                                        <w:left w:val="none" w:sz="0" w:space="0" w:color="auto"/>
                                                                        <w:bottom w:val="none" w:sz="0" w:space="0" w:color="auto"/>
                                                                        <w:right w:val="none" w:sz="0" w:space="0" w:color="auto"/>
                                                                      </w:divBdr>
                                                                      <w:divsChild>
                                                                        <w:div w:id="788669423">
                                                                          <w:marLeft w:val="0"/>
                                                                          <w:marRight w:val="0"/>
                                                                          <w:marTop w:val="0"/>
                                                                          <w:marBottom w:val="0"/>
                                                                          <w:divBdr>
                                                                            <w:top w:val="none" w:sz="0" w:space="0" w:color="auto"/>
                                                                            <w:left w:val="none" w:sz="0" w:space="0" w:color="auto"/>
                                                                            <w:bottom w:val="none" w:sz="0" w:space="0" w:color="auto"/>
                                                                            <w:right w:val="none" w:sz="0" w:space="0" w:color="auto"/>
                                                                          </w:divBdr>
                                                                        </w:div>
                                                                      </w:divsChild>
                                                                    </w:div>
                                                                    <w:div w:id="1218665803">
                                                                      <w:marLeft w:val="0"/>
                                                                      <w:marRight w:val="0"/>
                                                                      <w:marTop w:val="0"/>
                                                                      <w:marBottom w:val="0"/>
                                                                      <w:divBdr>
                                                                        <w:top w:val="none" w:sz="0" w:space="0" w:color="auto"/>
                                                                        <w:left w:val="none" w:sz="0" w:space="0" w:color="auto"/>
                                                                        <w:bottom w:val="none" w:sz="0" w:space="0" w:color="auto"/>
                                                                        <w:right w:val="none" w:sz="0" w:space="0" w:color="auto"/>
                                                                      </w:divBdr>
                                                                      <w:divsChild>
                                                                        <w:div w:id="397750080">
                                                                          <w:marLeft w:val="0"/>
                                                                          <w:marRight w:val="0"/>
                                                                          <w:marTop w:val="0"/>
                                                                          <w:marBottom w:val="0"/>
                                                                          <w:divBdr>
                                                                            <w:top w:val="none" w:sz="0" w:space="0" w:color="auto"/>
                                                                            <w:left w:val="none" w:sz="0" w:space="0" w:color="auto"/>
                                                                            <w:bottom w:val="none" w:sz="0" w:space="0" w:color="auto"/>
                                                                            <w:right w:val="none" w:sz="0" w:space="0" w:color="auto"/>
                                                                          </w:divBdr>
                                                                          <w:divsChild>
                                                                            <w:div w:id="650790584">
                                                                              <w:marLeft w:val="0"/>
                                                                              <w:marRight w:val="0"/>
                                                                              <w:marTop w:val="0"/>
                                                                              <w:marBottom w:val="0"/>
                                                                              <w:divBdr>
                                                                                <w:top w:val="none" w:sz="0" w:space="0" w:color="auto"/>
                                                                                <w:left w:val="none" w:sz="0" w:space="0" w:color="auto"/>
                                                                                <w:bottom w:val="none" w:sz="0" w:space="0" w:color="auto"/>
                                                                                <w:right w:val="none" w:sz="0" w:space="0" w:color="auto"/>
                                                                              </w:divBdr>
                                                                            </w:div>
                                                                          </w:divsChild>
                                                                        </w:div>
                                                                        <w:div w:id="696733043">
                                                                          <w:marLeft w:val="0"/>
                                                                          <w:marRight w:val="0"/>
                                                                          <w:marTop w:val="0"/>
                                                                          <w:marBottom w:val="0"/>
                                                                          <w:divBdr>
                                                                            <w:top w:val="none" w:sz="0" w:space="0" w:color="auto"/>
                                                                            <w:left w:val="none" w:sz="0" w:space="0" w:color="auto"/>
                                                                            <w:bottom w:val="none" w:sz="0" w:space="0" w:color="auto"/>
                                                                            <w:right w:val="none" w:sz="0" w:space="0" w:color="auto"/>
                                                                          </w:divBdr>
                                                                          <w:divsChild>
                                                                            <w:div w:id="1313872922">
                                                                              <w:marLeft w:val="0"/>
                                                                              <w:marRight w:val="0"/>
                                                                              <w:marTop w:val="0"/>
                                                                              <w:marBottom w:val="0"/>
                                                                              <w:divBdr>
                                                                                <w:top w:val="none" w:sz="0" w:space="0" w:color="auto"/>
                                                                                <w:left w:val="none" w:sz="0" w:space="0" w:color="auto"/>
                                                                                <w:bottom w:val="none" w:sz="0" w:space="0" w:color="auto"/>
                                                                                <w:right w:val="none" w:sz="0" w:space="0" w:color="auto"/>
                                                                              </w:divBdr>
                                                                            </w:div>
                                                                          </w:divsChild>
                                                                        </w:div>
                                                                        <w:div w:id="1022511690">
                                                                          <w:marLeft w:val="0"/>
                                                                          <w:marRight w:val="0"/>
                                                                          <w:marTop w:val="0"/>
                                                                          <w:marBottom w:val="0"/>
                                                                          <w:divBdr>
                                                                            <w:top w:val="none" w:sz="0" w:space="0" w:color="auto"/>
                                                                            <w:left w:val="none" w:sz="0" w:space="0" w:color="auto"/>
                                                                            <w:bottom w:val="none" w:sz="0" w:space="0" w:color="auto"/>
                                                                            <w:right w:val="none" w:sz="0" w:space="0" w:color="auto"/>
                                                                          </w:divBdr>
                                                                        </w:div>
                                                                        <w:div w:id="1638610549">
                                                                          <w:marLeft w:val="0"/>
                                                                          <w:marRight w:val="0"/>
                                                                          <w:marTop w:val="0"/>
                                                                          <w:marBottom w:val="0"/>
                                                                          <w:divBdr>
                                                                            <w:top w:val="none" w:sz="0" w:space="0" w:color="auto"/>
                                                                            <w:left w:val="none" w:sz="0" w:space="0" w:color="auto"/>
                                                                            <w:bottom w:val="none" w:sz="0" w:space="0" w:color="auto"/>
                                                                            <w:right w:val="none" w:sz="0" w:space="0" w:color="auto"/>
                                                                          </w:divBdr>
                                                                        </w:div>
                                                                        <w:div w:id="1690713662">
                                                                          <w:marLeft w:val="0"/>
                                                                          <w:marRight w:val="0"/>
                                                                          <w:marTop w:val="0"/>
                                                                          <w:marBottom w:val="0"/>
                                                                          <w:divBdr>
                                                                            <w:top w:val="none" w:sz="0" w:space="0" w:color="auto"/>
                                                                            <w:left w:val="none" w:sz="0" w:space="0" w:color="auto"/>
                                                                            <w:bottom w:val="none" w:sz="0" w:space="0" w:color="auto"/>
                                                                            <w:right w:val="none" w:sz="0" w:space="0" w:color="auto"/>
                                                                          </w:divBdr>
                                                                          <w:divsChild>
                                                                            <w:div w:id="168901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2511">
                                                                      <w:marLeft w:val="0"/>
                                                                      <w:marRight w:val="0"/>
                                                                      <w:marTop w:val="0"/>
                                                                      <w:marBottom w:val="0"/>
                                                                      <w:divBdr>
                                                                        <w:top w:val="none" w:sz="0" w:space="0" w:color="auto"/>
                                                                        <w:left w:val="none" w:sz="0" w:space="0" w:color="auto"/>
                                                                        <w:bottom w:val="none" w:sz="0" w:space="0" w:color="auto"/>
                                                                        <w:right w:val="none" w:sz="0" w:space="0" w:color="auto"/>
                                                                      </w:divBdr>
                                                                      <w:divsChild>
                                                                        <w:div w:id="184670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110348">
      <w:bodyDiv w:val="1"/>
      <w:marLeft w:val="0"/>
      <w:marRight w:val="0"/>
      <w:marTop w:val="0"/>
      <w:marBottom w:val="0"/>
      <w:divBdr>
        <w:top w:val="none" w:sz="0" w:space="0" w:color="auto"/>
        <w:left w:val="none" w:sz="0" w:space="0" w:color="auto"/>
        <w:bottom w:val="none" w:sz="0" w:space="0" w:color="auto"/>
        <w:right w:val="none" w:sz="0" w:space="0" w:color="auto"/>
      </w:divBdr>
      <w:divsChild>
        <w:div w:id="1073358949">
          <w:marLeft w:val="0"/>
          <w:marRight w:val="0"/>
          <w:marTop w:val="0"/>
          <w:marBottom w:val="0"/>
          <w:divBdr>
            <w:top w:val="none" w:sz="0" w:space="0" w:color="auto"/>
            <w:left w:val="none" w:sz="0" w:space="0" w:color="auto"/>
            <w:bottom w:val="none" w:sz="0" w:space="0" w:color="auto"/>
            <w:right w:val="none" w:sz="0" w:space="0" w:color="auto"/>
          </w:divBdr>
        </w:div>
        <w:div w:id="1609578446">
          <w:marLeft w:val="0"/>
          <w:marRight w:val="0"/>
          <w:marTop w:val="240"/>
          <w:marBottom w:val="0"/>
          <w:divBdr>
            <w:top w:val="none" w:sz="0" w:space="0" w:color="auto"/>
            <w:left w:val="none" w:sz="0" w:space="0" w:color="auto"/>
            <w:bottom w:val="none" w:sz="0" w:space="0" w:color="auto"/>
            <w:right w:val="none" w:sz="0" w:space="0" w:color="auto"/>
          </w:divBdr>
          <w:divsChild>
            <w:div w:id="960380401">
              <w:marLeft w:val="0"/>
              <w:marRight w:val="0"/>
              <w:marTop w:val="0"/>
              <w:marBottom w:val="0"/>
              <w:divBdr>
                <w:top w:val="none" w:sz="0" w:space="0" w:color="auto"/>
                <w:left w:val="none" w:sz="0" w:space="0" w:color="auto"/>
                <w:bottom w:val="none" w:sz="0" w:space="0" w:color="auto"/>
                <w:right w:val="none" w:sz="0" w:space="0" w:color="auto"/>
              </w:divBdr>
            </w:div>
          </w:divsChild>
        </w:div>
        <w:div w:id="892042399">
          <w:marLeft w:val="0"/>
          <w:marRight w:val="0"/>
          <w:marTop w:val="240"/>
          <w:marBottom w:val="0"/>
          <w:divBdr>
            <w:top w:val="none" w:sz="0" w:space="0" w:color="auto"/>
            <w:left w:val="none" w:sz="0" w:space="0" w:color="auto"/>
            <w:bottom w:val="none" w:sz="0" w:space="0" w:color="auto"/>
            <w:right w:val="none" w:sz="0" w:space="0" w:color="auto"/>
          </w:divBdr>
          <w:divsChild>
            <w:div w:id="1852647348">
              <w:marLeft w:val="0"/>
              <w:marRight w:val="0"/>
              <w:marTop w:val="0"/>
              <w:marBottom w:val="0"/>
              <w:divBdr>
                <w:top w:val="none" w:sz="0" w:space="0" w:color="auto"/>
                <w:left w:val="none" w:sz="0" w:space="0" w:color="auto"/>
                <w:bottom w:val="none" w:sz="0" w:space="0" w:color="auto"/>
                <w:right w:val="none" w:sz="0" w:space="0" w:color="auto"/>
              </w:divBdr>
            </w:div>
          </w:divsChild>
        </w:div>
        <w:div w:id="916130563">
          <w:marLeft w:val="0"/>
          <w:marRight w:val="0"/>
          <w:marTop w:val="240"/>
          <w:marBottom w:val="0"/>
          <w:divBdr>
            <w:top w:val="none" w:sz="0" w:space="0" w:color="auto"/>
            <w:left w:val="none" w:sz="0" w:space="0" w:color="auto"/>
            <w:bottom w:val="none" w:sz="0" w:space="0" w:color="auto"/>
            <w:right w:val="none" w:sz="0" w:space="0" w:color="auto"/>
          </w:divBdr>
          <w:divsChild>
            <w:div w:id="4716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4145">
      <w:bodyDiv w:val="1"/>
      <w:marLeft w:val="0"/>
      <w:marRight w:val="0"/>
      <w:marTop w:val="0"/>
      <w:marBottom w:val="0"/>
      <w:divBdr>
        <w:top w:val="none" w:sz="0" w:space="0" w:color="auto"/>
        <w:left w:val="none" w:sz="0" w:space="0" w:color="auto"/>
        <w:bottom w:val="none" w:sz="0" w:space="0" w:color="auto"/>
        <w:right w:val="none" w:sz="0" w:space="0" w:color="auto"/>
      </w:divBdr>
      <w:divsChild>
        <w:div w:id="405078052">
          <w:marLeft w:val="0"/>
          <w:marRight w:val="0"/>
          <w:marTop w:val="0"/>
          <w:marBottom w:val="0"/>
          <w:divBdr>
            <w:top w:val="none" w:sz="0" w:space="0" w:color="auto"/>
            <w:left w:val="single" w:sz="6" w:space="0" w:color="BBBBBB"/>
            <w:bottom w:val="single" w:sz="6" w:space="0" w:color="BBBBBB"/>
            <w:right w:val="single" w:sz="6" w:space="0" w:color="BBBBBB"/>
          </w:divBdr>
          <w:divsChild>
            <w:div w:id="430660004">
              <w:marLeft w:val="0"/>
              <w:marRight w:val="0"/>
              <w:marTop w:val="0"/>
              <w:marBottom w:val="0"/>
              <w:divBdr>
                <w:top w:val="none" w:sz="0" w:space="0" w:color="auto"/>
                <w:left w:val="none" w:sz="0" w:space="0" w:color="auto"/>
                <w:bottom w:val="none" w:sz="0" w:space="0" w:color="auto"/>
                <w:right w:val="none" w:sz="0" w:space="0" w:color="auto"/>
              </w:divBdr>
              <w:divsChild>
                <w:div w:id="803624016">
                  <w:marLeft w:val="0"/>
                  <w:marRight w:val="0"/>
                  <w:marTop w:val="75"/>
                  <w:marBottom w:val="0"/>
                  <w:divBdr>
                    <w:top w:val="none" w:sz="0" w:space="0" w:color="auto"/>
                    <w:left w:val="none" w:sz="0" w:space="0" w:color="auto"/>
                    <w:bottom w:val="none" w:sz="0" w:space="0" w:color="auto"/>
                    <w:right w:val="none" w:sz="0" w:space="0" w:color="auto"/>
                  </w:divBdr>
                  <w:divsChild>
                    <w:div w:id="1059398279">
                      <w:marLeft w:val="0"/>
                      <w:marRight w:val="0"/>
                      <w:marTop w:val="0"/>
                      <w:marBottom w:val="0"/>
                      <w:divBdr>
                        <w:top w:val="none" w:sz="0" w:space="0" w:color="auto"/>
                        <w:left w:val="none" w:sz="0" w:space="0" w:color="auto"/>
                        <w:bottom w:val="none" w:sz="0" w:space="0" w:color="auto"/>
                        <w:right w:val="none" w:sz="0" w:space="0" w:color="auto"/>
                      </w:divBdr>
                      <w:divsChild>
                        <w:div w:id="947156121">
                          <w:marLeft w:val="0"/>
                          <w:marRight w:val="0"/>
                          <w:marTop w:val="0"/>
                          <w:marBottom w:val="0"/>
                          <w:divBdr>
                            <w:top w:val="none" w:sz="0" w:space="0" w:color="auto"/>
                            <w:left w:val="none" w:sz="0" w:space="0" w:color="auto"/>
                            <w:bottom w:val="none" w:sz="0" w:space="0" w:color="auto"/>
                            <w:right w:val="none" w:sz="0" w:space="0" w:color="auto"/>
                          </w:divBdr>
                          <w:divsChild>
                            <w:div w:id="469976167">
                              <w:marLeft w:val="0"/>
                              <w:marRight w:val="0"/>
                              <w:marTop w:val="0"/>
                              <w:marBottom w:val="0"/>
                              <w:divBdr>
                                <w:top w:val="none" w:sz="0" w:space="0" w:color="auto"/>
                                <w:left w:val="none" w:sz="0" w:space="0" w:color="auto"/>
                                <w:bottom w:val="none" w:sz="0" w:space="0" w:color="auto"/>
                                <w:right w:val="none" w:sz="0" w:space="0" w:color="auto"/>
                              </w:divBdr>
                              <w:divsChild>
                                <w:div w:id="238180806">
                                  <w:marLeft w:val="0"/>
                                  <w:marRight w:val="0"/>
                                  <w:marTop w:val="0"/>
                                  <w:marBottom w:val="0"/>
                                  <w:divBdr>
                                    <w:top w:val="none" w:sz="0" w:space="0" w:color="auto"/>
                                    <w:left w:val="none" w:sz="0" w:space="0" w:color="auto"/>
                                    <w:bottom w:val="none" w:sz="0" w:space="0" w:color="auto"/>
                                    <w:right w:val="none" w:sz="0" w:space="0" w:color="auto"/>
                                  </w:divBdr>
                                  <w:divsChild>
                                    <w:div w:id="1493063510">
                                      <w:marLeft w:val="0"/>
                                      <w:marRight w:val="0"/>
                                      <w:marTop w:val="0"/>
                                      <w:marBottom w:val="0"/>
                                      <w:divBdr>
                                        <w:top w:val="none" w:sz="0" w:space="0" w:color="auto"/>
                                        <w:left w:val="none" w:sz="0" w:space="0" w:color="auto"/>
                                        <w:bottom w:val="none" w:sz="0" w:space="0" w:color="auto"/>
                                        <w:right w:val="none" w:sz="0" w:space="0" w:color="auto"/>
                                      </w:divBdr>
                                      <w:divsChild>
                                        <w:div w:id="1522013318">
                                          <w:marLeft w:val="1200"/>
                                          <w:marRight w:val="1200"/>
                                          <w:marTop w:val="0"/>
                                          <w:marBottom w:val="0"/>
                                          <w:divBdr>
                                            <w:top w:val="none" w:sz="0" w:space="0" w:color="auto"/>
                                            <w:left w:val="none" w:sz="0" w:space="0" w:color="auto"/>
                                            <w:bottom w:val="none" w:sz="0" w:space="0" w:color="auto"/>
                                            <w:right w:val="none" w:sz="0" w:space="0" w:color="auto"/>
                                          </w:divBdr>
                                          <w:divsChild>
                                            <w:div w:id="1523932139">
                                              <w:marLeft w:val="0"/>
                                              <w:marRight w:val="0"/>
                                              <w:marTop w:val="0"/>
                                              <w:marBottom w:val="0"/>
                                              <w:divBdr>
                                                <w:top w:val="none" w:sz="0" w:space="0" w:color="auto"/>
                                                <w:left w:val="none" w:sz="0" w:space="0" w:color="auto"/>
                                                <w:bottom w:val="none" w:sz="0" w:space="0" w:color="auto"/>
                                                <w:right w:val="none" w:sz="0" w:space="0" w:color="auto"/>
                                              </w:divBdr>
                                              <w:divsChild>
                                                <w:div w:id="2041468332">
                                                  <w:marLeft w:val="0"/>
                                                  <w:marRight w:val="0"/>
                                                  <w:marTop w:val="0"/>
                                                  <w:marBottom w:val="0"/>
                                                  <w:divBdr>
                                                    <w:top w:val="none" w:sz="0" w:space="0" w:color="auto"/>
                                                    <w:left w:val="none" w:sz="0" w:space="0" w:color="auto"/>
                                                    <w:bottom w:val="none" w:sz="0" w:space="0" w:color="auto"/>
                                                    <w:right w:val="none" w:sz="0" w:space="0" w:color="auto"/>
                                                  </w:divBdr>
                                                  <w:divsChild>
                                                    <w:div w:id="1644385706">
                                                      <w:marLeft w:val="0"/>
                                                      <w:marRight w:val="0"/>
                                                      <w:marTop w:val="0"/>
                                                      <w:marBottom w:val="0"/>
                                                      <w:divBdr>
                                                        <w:top w:val="none" w:sz="0" w:space="0" w:color="auto"/>
                                                        <w:left w:val="none" w:sz="0" w:space="0" w:color="auto"/>
                                                        <w:bottom w:val="none" w:sz="0" w:space="0" w:color="auto"/>
                                                        <w:right w:val="none" w:sz="0" w:space="0" w:color="auto"/>
                                                      </w:divBdr>
                                                      <w:divsChild>
                                                        <w:div w:id="1817843736">
                                                          <w:marLeft w:val="0"/>
                                                          <w:marRight w:val="0"/>
                                                          <w:marTop w:val="0"/>
                                                          <w:marBottom w:val="0"/>
                                                          <w:divBdr>
                                                            <w:top w:val="none" w:sz="0" w:space="0" w:color="auto"/>
                                                            <w:left w:val="none" w:sz="0" w:space="0" w:color="auto"/>
                                                            <w:bottom w:val="none" w:sz="0" w:space="0" w:color="auto"/>
                                                            <w:right w:val="none" w:sz="0" w:space="0" w:color="auto"/>
                                                          </w:divBdr>
                                                          <w:divsChild>
                                                            <w:div w:id="2041932246">
                                                              <w:marLeft w:val="0"/>
                                                              <w:marRight w:val="0"/>
                                                              <w:marTop w:val="0"/>
                                                              <w:marBottom w:val="0"/>
                                                              <w:divBdr>
                                                                <w:top w:val="none" w:sz="0" w:space="0" w:color="auto"/>
                                                                <w:left w:val="none" w:sz="0" w:space="0" w:color="auto"/>
                                                                <w:bottom w:val="none" w:sz="0" w:space="0" w:color="auto"/>
                                                                <w:right w:val="none" w:sz="0" w:space="0" w:color="auto"/>
                                                              </w:divBdr>
                                                              <w:divsChild>
                                                                <w:div w:id="883326344">
                                                                  <w:marLeft w:val="0"/>
                                                                  <w:marRight w:val="0"/>
                                                                  <w:marTop w:val="0"/>
                                                                  <w:marBottom w:val="0"/>
                                                                  <w:divBdr>
                                                                    <w:top w:val="none" w:sz="0" w:space="0" w:color="auto"/>
                                                                    <w:left w:val="none" w:sz="0" w:space="0" w:color="auto"/>
                                                                    <w:bottom w:val="none" w:sz="0" w:space="0" w:color="auto"/>
                                                                    <w:right w:val="none" w:sz="0" w:space="0" w:color="auto"/>
                                                                  </w:divBdr>
                                                                  <w:divsChild>
                                                                    <w:div w:id="794639492">
                                                                      <w:marLeft w:val="0"/>
                                                                      <w:marRight w:val="0"/>
                                                                      <w:marTop w:val="0"/>
                                                                      <w:marBottom w:val="0"/>
                                                                      <w:divBdr>
                                                                        <w:top w:val="none" w:sz="0" w:space="0" w:color="auto"/>
                                                                        <w:left w:val="none" w:sz="0" w:space="0" w:color="auto"/>
                                                                        <w:bottom w:val="none" w:sz="0" w:space="0" w:color="auto"/>
                                                                        <w:right w:val="none" w:sz="0" w:space="0" w:color="auto"/>
                                                                      </w:divBdr>
                                                                      <w:divsChild>
                                                                        <w:div w:id="1492865478">
                                                                          <w:marLeft w:val="0"/>
                                                                          <w:marRight w:val="0"/>
                                                                          <w:marTop w:val="0"/>
                                                                          <w:marBottom w:val="0"/>
                                                                          <w:divBdr>
                                                                            <w:top w:val="none" w:sz="0" w:space="0" w:color="auto"/>
                                                                            <w:left w:val="none" w:sz="0" w:space="0" w:color="auto"/>
                                                                            <w:bottom w:val="none" w:sz="0" w:space="0" w:color="auto"/>
                                                                            <w:right w:val="none" w:sz="0" w:space="0" w:color="auto"/>
                                                                          </w:divBdr>
                                                                        </w:div>
                                                                      </w:divsChild>
                                                                    </w:div>
                                                                    <w:div w:id="1242567998">
                                                                      <w:marLeft w:val="0"/>
                                                                      <w:marRight w:val="0"/>
                                                                      <w:marTop w:val="0"/>
                                                                      <w:marBottom w:val="0"/>
                                                                      <w:divBdr>
                                                                        <w:top w:val="none" w:sz="0" w:space="0" w:color="auto"/>
                                                                        <w:left w:val="none" w:sz="0" w:space="0" w:color="auto"/>
                                                                        <w:bottom w:val="none" w:sz="0" w:space="0" w:color="auto"/>
                                                                        <w:right w:val="none" w:sz="0" w:space="0" w:color="auto"/>
                                                                      </w:divBdr>
                                                                      <w:divsChild>
                                                                        <w:div w:id="456334296">
                                                                          <w:marLeft w:val="0"/>
                                                                          <w:marRight w:val="0"/>
                                                                          <w:marTop w:val="0"/>
                                                                          <w:marBottom w:val="0"/>
                                                                          <w:divBdr>
                                                                            <w:top w:val="none" w:sz="0" w:space="0" w:color="auto"/>
                                                                            <w:left w:val="none" w:sz="0" w:space="0" w:color="auto"/>
                                                                            <w:bottom w:val="none" w:sz="0" w:space="0" w:color="auto"/>
                                                                            <w:right w:val="none" w:sz="0" w:space="0" w:color="auto"/>
                                                                          </w:divBdr>
                                                                        </w:div>
                                                                      </w:divsChild>
                                                                    </w:div>
                                                                    <w:div w:id="1406951183">
                                                                      <w:marLeft w:val="0"/>
                                                                      <w:marRight w:val="0"/>
                                                                      <w:marTop w:val="0"/>
                                                                      <w:marBottom w:val="0"/>
                                                                      <w:divBdr>
                                                                        <w:top w:val="none" w:sz="0" w:space="0" w:color="auto"/>
                                                                        <w:left w:val="none" w:sz="0" w:space="0" w:color="auto"/>
                                                                        <w:bottom w:val="none" w:sz="0" w:space="0" w:color="auto"/>
                                                                        <w:right w:val="none" w:sz="0" w:space="0" w:color="auto"/>
                                                                      </w:divBdr>
                                                                      <w:divsChild>
                                                                        <w:div w:id="1905796297">
                                                                          <w:marLeft w:val="0"/>
                                                                          <w:marRight w:val="0"/>
                                                                          <w:marTop w:val="0"/>
                                                                          <w:marBottom w:val="0"/>
                                                                          <w:divBdr>
                                                                            <w:top w:val="none" w:sz="0" w:space="0" w:color="auto"/>
                                                                            <w:left w:val="none" w:sz="0" w:space="0" w:color="auto"/>
                                                                            <w:bottom w:val="none" w:sz="0" w:space="0" w:color="auto"/>
                                                                            <w:right w:val="none" w:sz="0" w:space="0" w:color="auto"/>
                                                                          </w:divBdr>
                                                                        </w:div>
                                                                      </w:divsChild>
                                                                    </w:div>
                                                                    <w:div w:id="1525097536">
                                                                      <w:marLeft w:val="0"/>
                                                                      <w:marRight w:val="0"/>
                                                                      <w:marTop w:val="0"/>
                                                                      <w:marBottom w:val="0"/>
                                                                      <w:divBdr>
                                                                        <w:top w:val="none" w:sz="0" w:space="0" w:color="auto"/>
                                                                        <w:left w:val="none" w:sz="0" w:space="0" w:color="auto"/>
                                                                        <w:bottom w:val="none" w:sz="0" w:space="0" w:color="auto"/>
                                                                        <w:right w:val="none" w:sz="0" w:space="0" w:color="auto"/>
                                                                      </w:divBdr>
                                                                      <w:divsChild>
                                                                        <w:div w:id="1741904721">
                                                                          <w:marLeft w:val="0"/>
                                                                          <w:marRight w:val="0"/>
                                                                          <w:marTop w:val="0"/>
                                                                          <w:marBottom w:val="0"/>
                                                                          <w:divBdr>
                                                                            <w:top w:val="none" w:sz="0" w:space="0" w:color="auto"/>
                                                                            <w:left w:val="none" w:sz="0" w:space="0" w:color="auto"/>
                                                                            <w:bottom w:val="none" w:sz="0" w:space="0" w:color="auto"/>
                                                                            <w:right w:val="none" w:sz="0" w:space="0" w:color="auto"/>
                                                                          </w:divBdr>
                                                                        </w:div>
                                                                      </w:divsChild>
                                                                    </w:div>
                                                                    <w:div w:id="1945308444">
                                                                      <w:marLeft w:val="0"/>
                                                                      <w:marRight w:val="0"/>
                                                                      <w:marTop w:val="0"/>
                                                                      <w:marBottom w:val="0"/>
                                                                      <w:divBdr>
                                                                        <w:top w:val="none" w:sz="0" w:space="0" w:color="auto"/>
                                                                        <w:left w:val="none" w:sz="0" w:space="0" w:color="auto"/>
                                                                        <w:bottom w:val="none" w:sz="0" w:space="0" w:color="auto"/>
                                                                        <w:right w:val="none" w:sz="0" w:space="0" w:color="auto"/>
                                                                      </w:divBdr>
                                                                      <w:divsChild>
                                                                        <w:div w:id="697855530">
                                                                          <w:marLeft w:val="0"/>
                                                                          <w:marRight w:val="0"/>
                                                                          <w:marTop w:val="0"/>
                                                                          <w:marBottom w:val="0"/>
                                                                          <w:divBdr>
                                                                            <w:top w:val="none" w:sz="0" w:space="0" w:color="auto"/>
                                                                            <w:left w:val="none" w:sz="0" w:space="0" w:color="auto"/>
                                                                            <w:bottom w:val="none" w:sz="0" w:space="0" w:color="auto"/>
                                                                            <w:right w:val="none" w:sz="0" w:space="0" w:color="auto"/>
                                                                          </w:divBdr>
                                                                        </w:div>
                                                                      </w:divsChild>
                                                                    </w:div>
                                                                    <w:div w:id="2030138116">
                                                                      <w:marLeft w:val="0"/>
                                                                      <w:marRight w:val="0"/>
                                                                      <w:marTop w:val="0"/>
                                                                      <w:marBottom w:val="0"/>
                                                                      <w:divBdr>
                                                                        <w:top w:val="none" w:sz="0" w:space="0" w:color="auto"/>
                                                                        <w:left w:val="none" w:sz="0" w:space="0" w:color="auto"/>
                                                                        <w:bottom w:val="none" w:sz="0" w:space="0" w:color="auto"/>
                                                                        <w:right w:val="none" w:sz="0" w:space="0" w:color="auto"/>
                                                                      </w:divBdr>
                                                                      <w:divsChild>
                                                                        <w:div w:id="883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810216">
      <w:bodyDiv w:val="1"/>
      <w:marLeft w:val="0"/>
      <w:marRight w:val="0"/>
      <w:marTop w:val="0"/>
      <w:marBottom w:val="0"/>
      <w:divBdr>
        <w:top w:val="none" w:sz="0" w:space="0" w:color="auto"/>
        <w:left w:val="none" w:sz="0" w:space="0" w:color="auto"/>
        <w:bottom w:val="none" w:sz="0" w:space="0" w:color="auto"/>
        <w:right w:val="none" w:sz="0" w:space="0" w:color="auto"/>
      </w:divBdr>
    </w:div>
    <w:div w:id="2024546701">
      <w:bodyDiv w:val="1"/>
      <w:marLeft w:val="0"/>
      <w:marRight w:val="0"/>
      <w:marTop w:val="0"/>
      <w:marBottom w:val="0"/>
      <w:divBdr>
        <w:top w:val="none" w:sz="0" w:space="0" w:color="auto"/>
        <w:left w:val="none" w:sz="0" w:space="0" w:color="auto"/>
        <w:bottom w:val="none" w:sz="0" w:space="0" w:color="auto"/>
        <w:right w:val="none" w:sz="0" w:space="0" w:color="auto"/>
      </w:divBdr>
    </w:div>
    <w:div w:id="2024742474">
      <w:bodyDiv w:val="1"/>
      <w:marLeft w:val="0"/>
      <w:marRight w:val="0"/>
      <w:marTop w:val="0"/>
      <w:marBottom w:val="0"/>
      <w:divBdr>
        <w:top w:val="none" w:sz="0" w:space="0" w:color="auto"/>
        <w:left w:val="none" w:sz="0" w:space="0" w:color="auto"/>
        <w:bottom w:val="none" w:sz="0" w:space="0" w:color="auto"/>
        <w:right w:val="none" w:sz="0" w:space="0" w:color="auto"/>
      </w:divBdr>
      <w:divsChild>
        <w:div w:id="481435766">
          <w:marLeft w:val="0"/>
          <w:marRight w:val="0"/>
          <w:marTop w:val="240"/>
          <w:marBottom w:val="0"/>
          <w:divBdr>
            <w:top w:val="none" w:sz="0" w:space="0" w:color="auto"/>
            <w:left w:val="none" w:sz="0" w:space="0" w:color="auto"/>
            <w:bottom w:val="none" w:sz="0" w:space="0" w:color="auto"/>
            <w:right w:val="none" w:sz="0" w:space="0" w:color="auto"/>
          </w:divBdr>
          <w:divsChild>
            <w:div w:id="512308635">
              <w:marLeft w:val="0"/>
              <w:marRight w:val="0"/>
              <w:marTop w:val="0"/>
              <w:marBottom w:val="0"/>
              <w:divBdr>
                <w:top w:val="none" w:sz="0" w:space="0" w:color="auto"/>
                <w:left w:val="none" w:sz="0" w:space="0" w:color="auto"/>
                <w:bottom w:val="none" w:sz="0" w:space="0" w:color="auto"/>
                <w:right w:val="none" w:sz="0" w:space="0" w:color="auto"/>
              </w:divBdr>
            </w:div>
          </w:divsChild>
        </w:div>
        <w:div w:id="744958833">
          <w:marLeft w:val="0"/>
          <w:marRight w:val="0"/>
          <w:marTop w:val="0"/>
          <w:marBottom w:val="0"/>
          <w:divBdr>
            <w:top w:val="none" w:sz="0" w:space="0" w:color="auto"/>
            <w:left w:val="none" w:sz="0" w:space="0" w:color="auto"/>
            <w:bottom w:val="none" w:sz="0" w:space="0" w:color="auto"/>
            <w:right w:val="none" w:sz="0" w:space="0" w:color="auto"/>
          </w:divBdr>
        </w:div>
        <w:div w:id="1477916128">
          <w:marLeft w:val="0"/>
          <w:marRight w:val="0"/>
          <w:marTop w:val="240"/>
          <w:marBottom w:val="0"/>
          <w:divBdr>
            <w:top w:val="none" w:sz="0" w:space="0" w:color="auto"/>
            <w:left w:val="none" w:sz="0" w:space="0" w:color="auto"/>
            <w:bottom w:val="none" w:sz="0" w:space="0" w:color="auto"/>
            <w:right w:val="none" w:sz="0" w:space="0" w:color="auto"/>
          </w:divBdr>
        </w:div>
        <w:div w:id="1818762553">
          <w:marLeft w:val="0"/>
          <w:marRight w:val="0"/>
          <w:marTop w:val="240"/>
          <w:marBottom w:val="0"/>
          <w:divBdr>
            <w:top w:val="none" w:sz="0" w:space="0" w:color="auto"/>
            <w:left w:val="none" w:sz="0" w:space="0" w:color="auto"/>
            <w:bottom w:val="none" w:sz="0" w:space="0" w:color="auto"/>
            <w:right w:val="none" w:sz="0" w:space="0" w:color="auto"/>
          </w:divBdr>
        </w:div>
        <w:div w:id="1916159931">
          <w:marLeft w:val="0"/>
          <w:marRight w:val="0"/>
          <w:marTop w:val="0"/>
          <w:marBottom w:val="0"/>
          <w:divBdr>
            <w:top w:val="none" w:sz="0" w:space="0" w:color="auto"/>
            <w:left w:val="none" w:sz="0" w:space="0" w:color="auto"/>
            <w:bottom w:val="none" w:sz="0" w:space="0" w:color="auto"/>
            <w:right w:val="none" w:sz="0" w:space="0" w:color="auto"/>
          </w:divBdr>
        </w:div>
      </w:divsChild>
    </w:div>
    <w:div w:id="2025741416">
      <w:bodyDiv w:val="1"/>
      <w:marLeft w:val="0"/>
      <w:marRight w:val="0"/>
      <w:marTop w:val="0"/>
      <w:marBottom w:val="0"/>
      <w:divBdr>
        <w:top w:val="none" w:sz="0" w:space="0" w:color="auto"/>
        <w:left w:val="none" w:sz="0" w:space="0" w:color="auto"/>
        <w:bottom w:val="none" w:sz="0" w:space="0" w:color="auto"/>
        <w:right w:val="none" w:sz="0" w:space="0" w:color="auto"/>
      </w:divBdr>
      <w:divsChild>
        <w:div w:id="2010669586">
          <w:marLeft w:val="0"/>
          <w:marRight w:val="0"/>
          <w:marTop w:val="0"/>
          <w:marBottom w:val="0"/>
          <w:divBdr>
            <w:top w:val="none" w:sz="0" w:space="0" w:color="auto"/>
            <w:left w:val="single" w:sz="6" w:space="0" w:color="BBBBBB"/>
            <w:bottom w:val="single" w:sz="6" w:space="0" w:color="BBBBBB"/>
            <w:right w:val="single" w:sz="6" w:space="0" w:color="BBBBBB"/>
          </w:divBdr>
          <w:divsChild>
            <w:div w:id="51659694">
              <w:marLeft w:val="0"/>
              <w:marRight w:val="0"/>
              <w:marTop w:val="0"/>
              <w:marBottom w:val="0"/>
              <w:divBdr>
                <w:top w:val="none" w:sz="0" w:space="0" w:color="auto"/>
                <w:left w:val="none" w:sz="0" w:space="0" w:color="auto"/>
                <w:bottom w:val="none" w:sz="0" w:space="0" w:color="auto"/>
                <w:right w:val="none" w:sz="0" w:space="0" w:color="auto"/>
              </w:divBdr>
              <w:divsChild>
                <w:div w:id="2118518441">
                  <w:marLeft w:val="0"/>
                  <w:marRight w:val="0"/>
                  <w:marTop w:val="75"/>
                  <w:marBottom w:val="0"/>
                  <w:divBdr>
                    <w:top w:val="none" w:sz="0" w:space="0" w:color="auto"/>
                    <w:left w:val="none" w:sz="0" w:space="0" w:color="auto"/>
                    <w:bottom w:val="none" w:sz="0" w:space="0" w:color="auto"/>
                    <w:right w:val="none" w:sz="0" w:space="0" w:color="auto"/>
                  </w:divBdr>
                  <w:divsChild>
                    <w:div w:id="880677205">
                      <w:marLeft w:val="0"/>
                      <w:marRight w:val="0"/>
                      <w:marTop w:val="0"/>
                      <w:marBottom w:val="0"/>
                      <w:divBdr>
                        <w:top w:val="none" w:sz="0" w:space="0" w:color="auto"/>
                        <w:left w:val="none" w:sz="0" w:space="0" w:color="auto"/>
                        <w:bottom w:val="none" w:sz="0" w:space="0" w:color="auto"/>
                        <w:right w:val="none" w:sz="0" w:space="0" w:color="auto"/>
                      </w:divBdr>
                      <w:divsChild>
                        <w:div w:id="528417176">
                          <w:marLeft w:val="0"/>
                          <w:marRight w:val="0"/>
                          <w:marTop w:val="0"/>
                          <w:marBottom w:val="0"/>
                          <w:divBdr>
                            <w:top w:val="none" w:sz="0" w:space="0" w:color="auto"/>
                            <w:left w:val="none" w:sz="0" w:space="0" w:color="auto"/>
                            <w:bottom w:val="none" w:sz="0" w:space="0" w:color="auto"/>
                            <w:right w:val="none" w:sz="0" w:space="0" w:color="auto"/>
                          </w:divBdr>
                          <w:divsChild>
                            <w:div w:id="1213468690">
                              <w:marLeft w:val="0"/>
                              <w:marRight w:val="0"/>
                              <w:marTop w:val="0"/>
                              <w:marBottom w:val="0"/>
                              <w:divBdr>
                                <w:top w:val="none" w:sz="0" w:space="0" w:color="auto"/>
                                <w:left w:val="none" w:sz="0" w:space="0" w:color="auto"/>
                                <w:bottom w:val="none" w:sz="0" w:space="0" w:color="auto"/>
                                <w:right w:val="none" w:sz="0" w:space="0" w:color="auto"/>
                              </w:divBdr>
                              <w:divsChild>
                                <w:div w:id="870727009">
                                  <w:marLeft w:val="0"/>
                                  <w:marRight w:val="0"/>
                                  <w:marTop w:val="0"/>
                                  <w:marBottom w:val="0"/>
                                  <w:divBdr>
                                    <w:top w:val="none" w:sz="0" w:space="0" w:color="auto"/>
                                    <w:left w:val="none" w:sz="0" w:space="0" w:color="auto"/>
                                    <w:bottom w:val="none" w:sz="0" w:space="0" w:color="auto"/>
                                    <w:right w:val="none" w:sz="0" w:space="0" w:color="auto"/>
                                  </w:divBdr>
                                  <w:divsChild>
                                    <w:div w:id="1101493287">
                                      <w:marLeft w:val="0"/>
                                      <w:marRight w:val="0"/>
                                      <w:marTop w:val="0"/>
                                      <w:marBottom w:val="0"/>
                                      <w:divBdr>
                                        <w:top w:val="none" w:sz="0" w:space="0" w:color="auto"/>
                                        <w:left w:val="none" w:sz="0" w:space="0" w:color="auto"/>
                                        <w:bottom w:val="none" w:sz="0" w:space="0" w:color="auto"/>
                                        <w:right w:val="none" w:sz="0" w:space="0" w:color="auto"/>
                                      </w:divBdr>
                                      <w:divsChild>
                                        <w:div w:id="1082482643">
                                          <w:marLeft w:val="1200"/>
                                          <w:marRight w:val="1200"/>
                                          <w:marTop w:val="0"/>
                                          <w:marBottom w:val="0"/>
                                          <w:divBdr>
                                            <w:top w:val="none" w:sz="0" w:space="0" w:color="auto"/>
                                            <w:left w:val="none" w:sz="0" w:space="0" w:color="auto"/>
                                            <w:bottom w:val="none" w:sz="0" w:space="0" w:color="auto"/>
                                            <w:right w:val="none" w:sz="0" w:space="0" w:color="auto"/>
                                          </w:divBdr>
                                          <w:divsChild>
                                            <w:div w:id="338121308">
                                              <w:marLeft w:val="0"/>
                                              <w:marRight w:val="0"/>
                                              <w:marTop w:val="0"/>
                                              <w:marBottom w:val="0"/>
                                              <w:divBdr>
                                                <w:top w:val="none" w:sz="0" w:space="0" w:color="auto"/>
                                                <w:left w:val="none" w:sz="0" w:space="0" w:color="auto"/>
                                                <w:bottom w:val="none" w:sz="0" w:space="0" w:color="auto"/>
                                                <w:right w:val="none" w:sz="0" w:space="0" w:color="auto"/>
                                              </w:divBdr>
                                              <w:divsChild>
                                                <w:div w:id="377777240">
                                                  <w:marLeft w:val="0"/>
                                                  <w:marRight w:val="0"/>
                                                  <w:marTop w:val="0"/>
                                                  <w:marBottom w:val="0"/>
                                                  <w:divBdr>
                                                    <w:top w:val="none" w:sz="0" w:space="0" w:color="auto"/>
                                                    <w:left w:val="none" w:sz="0" w:space="0" w:color="auto"/>
                                                    <w:bottom w:val="none" w:sz="0" w:space="0" w:color="auto"/>
                                                    <w:right w:val="none" w:sz="0" w:space="0" w:color="auto"/>
                                                  </w:divBdr>
                                                  <w:divsChild>
                                                    <w:div w:id="1350333378">
                                                      <w:marLeft w:val="0"/>
                                                      <w:marRight w:val="0"/>
                                                      <w:marTop w:val="0"/>
                                                      <w:marBottom w:val="0"/>
                                                      <w:divBdr>
                                                        <w:top w:val="none" w:sz="0" w:space="0" w:color="auto"/>
                                                        <w:left w:val="none" w:sz="0" w:space="0" w:color="auto"/>
                                                        <w:bottom w:val="none" w:sz="0" w:space="0" w:color="auto"/>
                                                        <w:right w:val="none" w:sz="0" w:space="0" w:color="auto"/>
                                                      </w:divBdr>
                                                      <w:divsChild>
                                                        <w:div w:id="1429158234">
                                                          <w:marLeft w:val="0"/>
                                                          <w:marRight w:val="0"/>
                                                          <w:marTop w:val="0"/>
                                                          <w:marBottom w:val="0"/>
                                                          <w:divBdr>
                                                            <w:top w:val="none" w:sz="0" w:space="0" w:color="auto"/>
                                                            <w:left w:val="none" w:sz="0" w:space="0" w:color="auto"/>
                                                            <w:bottom w:val="none" w:sz="0" w:space="0" w:color="auto"/>
                                                            <w:right w:val="none" w:sz="0" w:space="0" w:color="auto"/>
                                                          </w:divBdr>
                                                          <w:divsChild>
                                                            <w:div w:id="616444904">
                                                              <w:marLeft w:val="0"/>
                                                              <w:marRight w:val="0"/>
                                                              <w:marTop w:val="0"/>
                                                              <w:marBottom w:val="0"/>
                                                              <w:divBdr>
                                                                <w:top w:val="none" w:sz="0" w:space="0" w:color="auto"/>
                                                                <w:left w:val="none" w:sz="0" w:space="0" w:color="auto"/>
                                                                <w:bottom w:val="none" w:sz="0" w:space="0" w:color="auto"/>
                                                                <w:right w:val="none" w:sz="0" w:space="0" w:color="auto"/>
                                                              </w:divBdr>
                                                              <w:divsChild>
                                                                <w:div w:id="564724490">
                                                                  <w:marLeft w:val="0"/>
                                                                  <w:marRight w:val="0"/>
                                                                  <w:marTop w:val="0"/>
                                                                  <w:marBottom w:val="0"/>
                                                                  <w:divBdr>
                                                                    <w:top w:val="none" w:sz="0" w:space="0" w:color="auto"/>
                                                                    <w:left w:val="none" w:sz="0" w:space="0" w:color="auto"/>
                                                                    <w:bottom w:val="none" w:sz="0" w:space="0" w:color="auto"/>
                                                                    <w:right w:val="none" w:sz="0" w:space="0" w:color="auto"/>
                                                                  </w:divBdr>
                                                                  <w:divsChild>
                                                                    <w:div w:id="1143355166">
                                                                      <w:marLeft w:val="0"/>
                                                                      <w:marRight w:val="0"/>
                                                                      <w:marTop w:val="0"/>
                                                                      <w:marBottom w:val="0"/>
                                                                      <w:divBdr>
                                                                        <w:top w:val="none" w:sz="0" w:space="0" w:color="auto"/>
                                                                        <w:left w:val="none" w:sz="0" w:space="0" w:color="auto"/>
                                                                        <w:bottom w:val="none" w:sz="0" w:space="0" w:color="auto"/>
                                                                        <w:right w:val="none" w:sz="0" w:space="0" w:color="auto"/>
                                                                      </w:divBdr>
                                                                      <w:divsChild>
                                                                        <w:div w:id="952441719">
                                                                          <w:marLeft w:val="0"/>
                                                                          <w:marRight w:val="0"/>
                                                                          <w:marTop w:val="0"/>
                                                                          <w:marBottom w:val="0"/>
                                                                          <w:divBdr>
                                                                            <w:top w:val="none" w:sz="0" w:space="0" w:color="auto"/>
                                                                            <w:left w:val="none" w:sz="0" w:space="0" w:color="auto"/>
                                                                            <w:bottom w:val="none" w:sz="0" w:space="0" w:color="auto"/>
                                                                            <w:right w:val="none" w:sz="0" w:space="0" w:color="auto"/>
                                                                          </w:divBdr>
                                                                        </w:div>
                                                                      </w:divsChild>
                                                                    </w:div>
                                                                    <w:div w:id="1747536409">
                                                                      <w:marLeft w:val="0"/>
                                                                      <w:marRight w:val="0"/>
                                                                      <w:marTop w:val="0"/>
                                                                      <w:marBottom w:val="0"/>
                                                                      <w:divBdr>
                                                                        <w:top w:val="none" w:sz="0" w:space="0" w:color="auto"/>
                                                                        <w:left w:val="none" w:sz="0" w:space="0" w:color="auto"/>
                                                                        <w:bottom w:val="none" w:sz="0" w:space="0" w:color="auto"/>
                                                                        <w:right w:val="none" w:sz="0" w:space="0" w:color="auto"/>
                                                                      </w:divBdr>
                                                                      <w:divsChild>
                                                                        <w:div w:id="12822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986765">
      <w:bodyDiv w:val="1"/>
      <w:marLeft w:val="0"/>
      <w:marRight w:val="0"/>
      <w:marTop w:val="0"/>
      <w:marBottom w:val="0"/>
      <w:divBdr>
        <w:top w:val="none" w:sz="0" w:space="0" w:color="auto"/>
        <w:left w:val="none" w:sz="0" w:space="0" w:color="auto"/>
        <w:bottom w:val="none" w:sz="0" w:space="0" w:color="auto"/>
        <w:right w:val="none" w:sz="0" w:space="0" w:color="auto"/>
      </w:divBdr>
      <w:divsChild>
        <w:div w:id="1036078058">
          <w:marLeft w:val="0"/>
          <w:marRight w:val="0"/>
          <w:marTop w:val="0"/>
          <w:marBottom w:val="0"/>
          <w:divBdr>
            <w:top w:val="none" w:sz="0" w:space="0" w:color="auto"/>
            <w:left w:val="none" w:sz="0" w:space="0" w:color="auto"/>
            <w:bottom w:val="none" w:sz="0" w:space="0" w:color="auto"/>
            <w:right w:val="none" w:sz="0" w:space="0" w:color="auto"/>
          </w:divBdr>
          <w:divsChild>
            <w:div w:id="1303198696">
              <w:marLeft w:val="0"/>
              <w:marRight w:val="0"/>
              <w:marTop w:val="0"/>
              <w:marBottom w:val="0"/>
              <w:divBdr>
                <w:top w:val="none" w:sz="0" w:space="0" w:color="auto"/>
                <w:left w:val="none" w:sz="0" w:space="0" w:color="auto"/>
                <w:bottom w:val="none" w:sz="0" w:space="0" w:color="auto"/>
                <w:right w:val="none" w:sz="0" w:space="0" w:color="auto"/>
              </w:divBdr>
              <w:divsChild>
                <w:div w:id="649678135">
                  <w:marLeft w:val="0"/>
                  <w:marRight w:val="0"/>
                  <w:marTop w:val="0"/>
                  <w:marBottom w:val="0"/>
                  <w:divBdr>
                    <w:top w:val="none" w:sz="0" w:space="0" w:color="auto"/>
                    <w:left w:val="none" w:sz="0" w:space="0" w:color="auto"/>
                    <w:bottom w:val="none" w:sz="0" w:space="0" w:color="auto"/>
                    <w:right w:val="none" w:sz="0" w:space="0" w:color="auto"/>
                  </w:divBdr>
                  <w:divsChild>
                    <w:div w:id="1445418791">
                      <w:marLeft w:val="0"/>
                      <w:marRight w:val="0"/>
                      <w:marTop w:val="0"/>
                      <w:marBottom w:val="375"/>
                      <w:divBdr>
                        <w:top w:val="none" w:sz="0" w:space="0" w:color="auto"/>
                        <w:left w:val="none" w:sz="0" w:space="0" w:color="auto"/>
                        <w:bottom w:val="none" w:sz="0" w:space="0" w:color="auto"/>
                        <w:right w:val="none" w:sz="0" w:space="0" w:color="auto"/>
                      </w:divBdr>
                      <w:divsChild>
                        <w:div w:id="8618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377338">
      <w:bodyDiv w:val="1"/>
      <w:marLeft w:val="0"/>
      <w:marRight w:val="0"/>
      <w:marTop w:val="0"/>
      <w:marBottom w:val="0"/>
      <w:divBdr>
        <w:top w:val="none" w:sz="0" w:space="0" w:color="auto"/>
        <w:left w:val="none" w:sz="0" w:space="0" w:color="auto"/>
        <w:bottom w:val="none" w:sz="0" w:space="0" w:color="auto"/>
        <w:right w:val="none" w:sz="0" w:space="0" w:color="auto"/>
      </w:divBdr>
      <w:divsChild>
        <w:div w:id="325937179">
          <w:marLeft w:val="0"/>
          <w:marRight w:val="0"/>
          <w:marTop w:val="240"/>
          <w:marBottom w:val="0"/>
          <w:divBdr>
            <w:top w:val="none" w:sz="0" w:space="0" w:color="auto"/>
            <w:left w:val="none" w:sz="0" w:space="0" w:color="auto"/>
            <w:bottom w:val="none" w:sz="0" w:space="0" w:color="auto"/>
            <w:right w:val="none" w:sz="0" w:space="0" w:color="auto"/>
          </w:divBdr>
          <w:divsChild>
            <w:div w:id="490876625">
              <w:marLeft w:val="0"/>
              <w:marRight w:val="0"/>
              <w:marTop w:val="0"/>
              <w:marBottom w:val="0"/>
              <w:divBdr>
                <w:top w:val="none" w:sz="0" w:space="0" w:color="auto"/>
                <w:left w:val="none" w:sz="0" w:space="0" w:color="auto"/>
                <w:bottom w:val="none" w:sz="0" w:space="0" w:color="auto"/>
                <w:right w:val="none" w:sz="0" w:space="0" w:color="auto"/>
              </w:divBdr>
            </w:div>
          </w:divsChild>
        </w:div>
        <w:div w:id="469637643">
          <w:marLeft w:val="0"/>
          <w:marRight w:val="0"/>
          <w:marTop w:val="240"/>
          <w:marBottom w:val="0"/>
          <w:divBdr>
            <w:top w:val="none" w:sz="0" w:space="0" w:color="auto"/>
            <w:left w:val="none" w:sz="0" w:space="0" w:color="auto"/>
            <w:bottom w:val="none" w:sz="0" w:space="0" w:color="auto"/>
            <w:right w:val="none" w:sz="0" w:space="0" w:color="auto"/>
          </w:divBdr>
          <w:divsChild>
            <w:div w:id="664480388">
              <w:marLeft w:val="0"/>
              <w:marRight w:val="0"/>
              <w:marTop w:val="0"/>
              <w:marBottom w:val="0"/>
              <w:divBdr>
                <w:top w:val="none" w:sz="0" w:space="0" w:color="auto"/>
                <w:left w:val="none" w:sz="0" w:space="0" w:color="auto"/>
                <w:bottom w:val="none" w:sz="0" w:space="0" w:color="auto"/>
                <w:right w:val="none" w:sz="0" w:space="0" w:color="auto"/>
              </w:divBdr>
            </w:div>
          </w:divsChild>
        </w:div>
        <w:div w:id="1422217883">
          <w:marLeft w:val="0"/>
          <w:marRight w:val="0"/>
          <w:marTop w:val="240"/>
          <w:marBottom w:val="0"/>
          <w:divBdr>
            <w:top w:val="none" w:sz="0" w:space="0" w:color="auto"/>
            <w:left w:val="none" w:sz="0" w:space="0" w:color="auto"/>
            <w:bottom w:val="none" w:sz="0" w:space="0" w:color="auto"/>
            <w:right w:val="none" w:sz="0" w:space="0" w:color="auto"/>
          </w:divBdr>
          <w:divsChild>
            <w:div w:id="27029417">
              <w:marLeft w:val="0"/>
              <w:marRight w:val="0"/>
              <w:marTop w:val="0"/>
              <w:marBottom w:val="0"/>
              <w:divBdr>
                <w:top w:val="none" w:sz="0" w:space="0" w:color="auto"/>
                <w:left w:val="none" w:sz="0" w:space="0" w:color="auto"/>
                <w:bottom w:val="none" w:sz="0" w:space="0" w:color="auto"/>
                <w:right w:val="none" w:sz="0" w:space="0" w:color="auto"/>
              </w:divBdr>
            </w:div>
          </w:divsChild>
        </w:div>
        <w:div w:id="2001302202">
          <w:marLeft w:val="0"/>
          <w:marRight w:val="0"/>
          <w:marTop w:val="240"/>
          <w:marBottom w:val="0"/>
          <w:divBdr>
            <w:top w:val="none" w:sz="0" w:space="0" w:color="auto"/>
            <w:left w:val="none" w:sz="0" w:space="0" w:color="auto"/>
            <w:bottom w:val="none" w:sz="0" w:space="0" w:color="auto"/>
            <w:right w:val="none" w:sz="0" w:space="0" w:color="auto"/>
          </w:divBdr>
          <w:divsChild>
            <w:div w:id="181791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5634">
      <w:bodyDiv w:val="1"/>
      <w:marLeft w:val="0"/>
      <w:marRight w:val="0"/>
      <w:marTop w:val="0"/>
      <w:marBottom w:val="0"/>
      <w:divBdr>
        <w:top w:val="none" w:sz="0" w:space="0" w:color="auto"/>
        <w:left w:val="none" w:sz="0" w:space="0" w:color="auto"/>
        <w:bottom w:val="none" w:sz="0" w:space="0" w:color="auto"/>
        <w:right w:val="none" w:sz="0" w:space="0" w:color="auto"/>
      </w:divBdr>
    </w:div>
    <w:div w:id="2041785099">
      <w:bodyDiv w:val="1"/>
      <w:marLeft w:val="0"/>
      <w:marRight w:val="0"/>
      <w:marTop w:val="0"/>
      <w:marBottom w:val="0"/>
      <w:divBdr>
        <w:top w:val="none" w:sz="0" w:space="0" w:color="auto"/>
        <w:left w:val="none" w:sz="0" w:space="0" w:color="auto"/>
        <w:bottom w:val="none" w:sz="0" w:space="0" w:color="auto"/>
        <w:right w:val="none" w:sz="0" w:space="0" w:color="auto"/>
      </w:divBdr>
      <w:divsChild>
        <w:div w:id="1575164916">
          <w:marLeft w:val="0"/>
          <w:marRight w:val="0"/>
          <w:marTop w:val="0"/>
          <w:marBottom w:val="0"/>
          <w:divBdr>
            <w:top w:val="none" w:sz="0" w:space="0" w:color="auto"/>
            <w:left w:val="none" w:sz="0" w:space="0" w:color="auto"/>
            <w:bottom w:val="none" w:sz="0" w:space="0" w:color="auto"/>
            <w:right w:val="none" w:sz="0" w:space="0" w:color="auto"/>
          </w:divBdr>
          <w:divsChild>
            <w:div w:id="1947076824">
              <w:marLeft w:val="0"/>
              <w:marRight w:val="0"/>
              <w:marTop w:val="0"/>
              <w:marBottom w:val="0"/>
              <w:divBdr>
                <w:top w:val="none" w:sz="0" w:space="0" w:color="auto"/>
                <w:left w:val="none" w:sz="0" w:space="0" w:color="auto"/>
                <w:bottom w:val="none" w:sz="0" w:space="0" w:color="auto"/>
                <w:right w:val="none" w:sz="0" w:space="0" w:color="auto"/>
              </w:divBdr>
              <w:divsChild>
                <w:div w:id="1675456976">
                  <w:marLeft w:val="0"/>
                  <w:marRight w:val="0"/>
                  <w:marTop w:val="0"/>
                  <w:marBottom w:val="0"/>
                  <w:divBdr>
                    <w:top w:val="none" w:sz="0" w:space="0" w:color="auto"/>
                    <w:left w:val="none" w:sz="0" w:space="0" w:color="auto"/>
                    <w:bottom w:val="none" w:sz="0" w:space="0" w:color="auto"/>
                    <w:right w:val="none" w:sz="0" w:space="0" w:color="auto"/>
                  </w:divBdr>
                  <w:divsChild>
                    <w:div w:id="640235340">
                      <w:marLeft w:val="0"/>
                      <w:marRight w:val="0"/>
                      <w:marTop w:val="0"/>
                      <w:marBottom w:val="300"/>
                      <w:divBdr>
                        <w:top w:val="none" w:sz="0" w:space="0" w:color="auto"/>
                        <w:left w:val="none" w:sz="0" w:space="0" w:color="auto"/>
                        <w:bottom w:val="none" w:sz="0" w:space="0" w:color="auto"/>
                        <w:right w:val="none" w:sz="0" w:space="0" w:color="auto"/>
                      </w:divBdr>
                      <w:divsChild>
                        <w:div w:id="160611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16409">
      <w:bodyDiv w:val="1"/>
      <w:marLeft w:val="0"/>
      <w:marRight w:val="0"/>
      <w:marTop w:val="0"/>
      <w:marBottom w:val="0"/>
      <w:divBdr>
        <w:top w:val="none" w:sz="0" w:space="0" w:color="auto"/>
        <w:left w:val="none" w:sz="0" w:space="0" w:color="auto"/>
        <w:bottom w:val="none" w:sz="0" w:space="0" w:color="auto"/>
        <w:right w:val="none" w:sz="0" w:space="0" w:color="auto"/>
      </w:divBdr>
      <w:divsChild>
        <w:div w:id="331950529">
          <w:marLeft w:val="0"/>
          <w:marRight w:val="0"/>
          <w:marTop w:val="240"/>
          <w:marBottom w:val="0"/>
          <w:divBdr>
            <w:top w:val="none" w:sz="0" w:space="0" w:color="auto"/>
            <w:left w:val="none" w:sz="0" w:space="0" w:color="auto"/>
            <w:bottom w:val="none" w:sz="0" w:space="0" w:color="auto"/>
            <w:right w:val="none" w:sz="0" w:space="0" w:color="auto"/>
          </w:divBdr>
          <w:divsChild>
            <w:div w:id="1313750648">
              <w:marLeft w:val="0"/>
              <w:marRight w:val="0"/>
              <w:marTop w:val="0"/>
              <w:marBottom w:val="0"/>
              <w:divBdr>
                <w:top w:val="none" w:sz="0" w:space="0" w:color="auto"/>
                <w:left w:val="none" w:sz="0" w:space="0" w:color="auto"/>
                <w:bottom w:val="none" w:sz="0" w:space="0" w:color="auto"/>
                <w:right w:val="none" w:sz="0" w:space="0" w:color="auto"/>
              </w:divBdr>
            </w:div>
          </w:divsChild>
        </w:div>
        <w:div w:id="553005640">
          <w:marLeft w:val="0"/>
          <w:marRight w:val="0"/>
          <w:marTop w:val="240"/>
          <w:marBottom w:val="0"/>
          <w:divBdr>
            <w:top w:val="none" w:sz="0" w:space="0" w:color="auto"/>
            <w:left w:val="none" w:sz="0" w:space="0" w:color="auto"/>
            <w:bottom w:val="none" w:sz="0" w:space="0" w:color="auto"/>
            <w:right w:val="none" w:sz="0" w:space="0" w:color="auto"/>
          </w:divBdr>
          <w:divsChild>
            <w:div w:id="1592352355">
              <w:marLeft w:val="0"/>
              <w:marRight w:val="0"/>
              <w:marTop w:val="0"/>
              <w:marBottom w:val="0"/>
              <w:divBdr>
                <w:top w:val="none" w:sz="0" w:space="0" w:color="auto"/>
                <w:left w:val="none" w:sz="0" w:space="0" w:color="auto"/>
                <w:bottom w:val="none" w:sz="0" w:space="0" w:color="auto"/>
                <w:right w:val="none" w:sz="0" w:space="0" w:color="auto"/>
              </w:divBdr>
            </w:div>
          </w:divsChild>
        </w:div>
        <w:div w:id="1342122342">
          <w:marLeft w:val="0"/>
          <w:marRight w:val="0"/>
          <w:marTop w:val="0"/>
          <w:marBottom w:val="0"/>
          <w:divBdr>
            <w:top w:val="none" w:sz="0" w:space="0" w:color="auto"/>
            <w:left w:val="none" w:sz="0" w:space="0" w:color="auto"/>
            <w:bottom w:val="none" w:sz="0" w:space="0" w:color="auto"/>
            <w:right w:val="none" w:sz="0" w:space="0" w:color="auto"/>
          </w:divBdr>
        </w:div>
        <w:div w:id="1615207444">
          <w:marLeft w:val="0"/>
          <w:marRight w:val="0"/>
          <w:marTop w:val="240"/>
          <w:marBottom w:val="0"/>
          <w:divBdr>
            <w:top w:val="none" w:sz="0" w:space="0" w:color="auto"/>
            <w:left w:val="none" w:sz="0" w:space="0" w:color="auto"/>
            <w:bottom w:val="none" w:sz="0" w:space="0" w:color="auto"/>
            <w:right w:val="none" w:sz="0" w:space="0" w:color="auto"/>
          </w:divBdr>
          <w:divsChild>
            <w:div w:id="10517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7553">
      <w:bodyDiv w:val="1"/>
      <w:marLeft w:val="0"/>
      <w:marRight w:val="0"/>
      <w:marTop w:val="0"/>
      <w:marBottom w:val="0"/>
      <w:divBdr>
        <w:top w:val="none" w:sz="0" w:space="0" w:color="auto"/>
        <w:left w:val="none" w:sz="0" w:space="0" w:color="auto"/>
        <w:bottom w:val="none" w:sz="0" w:space="0" w:color="auto"/>
        <w:right w:val="none" w:sz="0" w:space="0" w:color="auto"/>
      </w:divBdr>
      <w:divsChild>
        <w:div w:id="1335105691">
          <w:marLeft w:val="0"/>
          <w:marRight w:val="0"/>
          <w:marTop w:val="0"/>
          <w:marBottom w:val="0"/>
          <w:divBdr>
            <w:top w:val="none" w:sz="0" w:space="0" w:color="auto"/>
            <w:left w:val="none" w:sz="0" w:space="0" w:color="auto"/>
            <w:bottom w:val="none" w:sz="0" w:space="0" w:color="auto"/>
            <w:right w:val="none" w:sz="0" w:space="0" w:color="auto"/>
          </w:divBdr>
          <w:divsChild>
            <w:div w:id="1964966354">
              <w:marLeft w:val="0"/>
              <w:marRight w:val="0"/>
              <w:marTop w:val="0"/>
              <w:marBottom w:val="0"/>
              <w:divBdr>
                <w:top w:val="none" w:sz="0" w:space="0" w:color="auto"/>
                <w:left w:val="none" w:sz="0" w:space="0" w:color="auto"/>
                <w:bottom w:val="none" w:sz="0" w:space="0" w:color="auto"/>
                <w:right w:val="none" w:sz="0" w:space="0" w:color="auto"/>
              </w:divBdr>
              <w:divsChild>
                <w:div w:id="1439641583">
                  <w:marLeft w:val="0"/>
                  <w:marRight w:val="0"/>
                  <w:marTop w:val="0"/>
                  <w:marBottom w:val="0"/>
                  <w:divBdr>
                    <w:top w:val="none" w:sz="0" w:space="0" w:color="auto"/>
                    <w:left w:val="none" w:sz="0" w:space="0" w:color="auto"/>
                    <w:bottom w:val="none" w:sz="0" w:space="0" w:color="auto"/>
                    <w:right w:val="none" w:sz="0" w:space="0" w:color="auto"/>
                  </w:divBdr>
                  <w:divsChild>
                    <w:div w:id="92630132">
                      <w:marLeft w:val="0"/>
                      <w:marRight w:val="0"/>
                      <w:marTop w:val="0"/>
                      <w:marBottom w:val="300"/>
                      <w:divBdr>
                        <w:top w:val="none" w:sz="0" w:space="0" w:color="auto"/>
                        <w:left w:val="none" w:sz="0" w:space="0" w:color="auto"/>
                        <w:bottom w:val="none" w:sz="0" w:space="0" w:color="auto"/>
                        <w:right w:val="none" w:sz="0" w:space="0" w:color="auto"/>
                      </w:divBdr>
                      <w:divsChild>
                        <w:div w:id="71469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785126">
      <w:bodyDiv w:val="1"/>
      <w:marLeft w:val="0"/>
      <w:marRight w:val="0"/>
      <w:marTop w:val="0"/>
      <w:marBottom w:val="0"/>
      <w:divBdr>
        <w:top w:val="none" w:sz="0" w:space="0" w:color="auto"/>
        <w:left w:val="none" w:sz="0" w:space="0" w:color="auto"/>
        <w:bottom w:val="none" w:sz="0" w:space="0" w:color="auto"/>
        <w:right w:val="none" w:sz="0" w:space="0" w:color="auto"/>
      </w:divBdr>
      <w:divsChild>
        <w:div w:id="441806388">
          <w:marLeft w:val="0"/>
          <w:marRight w:val="0"/>
          <w:marTop w:val="0"/>
          <w:marBottom w:val="0"/>
          <w:divBdr>
            <w:top w:val="none" w:sz="0" w:space="0" w:color="auto"/>
            <w:left w:val="single" w:sz="6" w:space="0" w:color="BBBBBB"/>
            <w:bottom w:val="single" w:sz="6" w:space="0" w:color="BBBBBB"/>
            <w:right w:val="single" w:sz="6" w:space="0" w:color="BBBBBB"/>
          </w:divBdr>
          <w:divsChild>
            <w:div w:id="477384573">
              <w:marLeft w:val="0"/>
              <w:marRight w:val="0"/>
              <w:marTop w:val="0"/>
              <w:marBottom w:val="0"/>
              <w:divBdr>
                <w:top w:val="none" w:sz="0" w:space="0" w:color="auto"/>
                <w:left w:val="none" w:sz="0" w:space="0" w:color="auto"/>
                <w:bottom w:val="none" w:sz="0" w:space="0" w:color="auto"/>
                <w:right w:val="none" w:sz="0" w:space="0" w:color="auto"/>
              </w:divBdr>
              <w:divsChild>
                <w:div w:id="1696881514">
                  <w:marLeft w:val="0"/>
                  <w:marRight w:val="0"/>
                  <w:marTop w:val="75"/>
                  <w:marBottom w:val="0"/>
                  <w:divBdr>
                    <w:top w:val="none" w:sz="0" w:space="0" w:color="auto"/>
                    <w:left w:val="none" w:sz="0" w:space="0" w:color="auto"/>
                    <w:bottom w:val="none" w:sz="0" w:space="0" w:color="auto"/>
                    <w:right w:val="none" w:sz="0" w:space="0" w:color="auto"/>
                  </w:divBdr>
                  <w:divsChild>
                    <w:div w:id="1781534950">
                      <w:marLeft w:val="0"/>
                      <w:marRight w:val="0"/>
                      <w:marTop w:val="0"/>
                      <w:marBottom w:val="0"/>
                      <w:divBdr>
                        <w:top w:val="none" w:sz="0" w:space="0" w:color="auto"/>
                        <w:left w:val="none" w:sz="0" w:space="0" w:color="auto"/>
                        <w:bottom w:val="none" w:sz="0" w:space="0" w:color="auto"/>
                        <w:right w:val="none" w:sz="0" w:space="0" w:color="auto"/>
                      </w:divBdr>
                      <w:divsChild>
                        <w:div w:id="70007741">
                          <w:marLeft w:val="0"/>
                          <w:marRight w:val="0"/>
                          <w:marTop w:val="0"/>
                          <w:marBottom w:val="0"/>
                          <w:divBdr>
                            <w:top w:val="none" w:sz="0" w:space="0" w:color="auto"/>
                            <w:left w:val="none" w:sz="0" w:space="0" w:color="auto"/>
                            <w:bottom w:val="none" w:sz="0" w:space="0" w:color="auto"/>
                            <w:right w:val="none" w:sz="0" w:space="0" w:color="auto"/>
                          </w:divBdr>
                          <w:divsChild>
                            <w:div w:id="182480547">
                              <w:marLeft w:val="0"/>
                              <w:marRight w:val="0"/>
                              <w:marTop w:val="0"/>
                              <w:marBottom w:val="0"/>
                              <w:divBdr>
                                <w:top w:val="none" w:sz="0" w:space="0" w:color="auto"/>
                                <w:left w:val="none" w:sz="0" w:space="0" w:color="auto"/>
                                <w:bottom w:val="none" w:sz="0" w:space="0" w:color="auto"/>
                                <w:right w:val="none" w:sz="0" w:space="0" w:color="auto"/>
                              </w:divBdr>
                              <w:divsChild>
                                <w:div w:id="1744138608">
                                  <w:marLeft w:val="0"/>
                                  <w:marRight w:val="0"/>
                                  <w:marTop w:val="0"/>
                                  <w:marBottom w:val="0"/>
                                  <w:divBdr>
                                    <w:top w:val="none" w:sz="0" w:space="0" w:color="auto"/>
                                    <w:left w:val="none" w:sz="0" w:space="0" w:color="auto"/>
                                    <w:bottom w:val="none" w:sz="0" w:space="0" w:color="auto"/>
                                    <w:right w:val="none" w:sz="0" w:space="0" w:color="auto"/>
                                  </w:divBdr>
                                  <w:divsChild>
                                    <w:div w:id="389576014">
                                      <w:marLeft w:val="0"/>
                                      <w:marRight w:val="0"/>
                                      <w:marTop w:val="0"/>
                                      <w:marBottom w:val="0"/>
                                      <w:divBdr>
                                        <w:top w:val="none" w:sz="0" w:space="0" w:color="auto"/>
                                        <w:left w:val="none" w:sz="0" w:space="0" w:color="auto"/>
                                        <w:bottom w:val="none" w:sz="0" w:space="0" w:color="auto"/>
                                        <w:right w:val="none" w:sz="0" w:space="0" w:color="auto"/>
                                      </w:divBdr>
                                      <w:divsChild>
                                        <w:div w:id="1104306517">
                                          <w:marLeft w:val="1200"/>
                                          <w:marRight w:val="1200"/>
                                          <w:marTop w:val="0"/>
                                          <w:marBottom w:val="0"/>
                                          <w:divBdr>
                                            <w:top w:val="none" w:sz="0" w:space="0" w:color="auto"/>
                                            <w:left w:val="none" w:sz="0" w:space="0" w:color="auto"/>
                                            <w:bottom w:val="none" w:sz="0" w:space="0" w:color="auto"/>
                                            <w:right w:val="none" w:sz="0" w:space="0" w:color="auto"/>
                                          </w:divBdr>
                                          <w:divsChild>
                                            <w:div w:id="1226530701">
                                              <w:marLeft w:val="0"/>
                                              <w:marRight w:val="0"/>
                                              <w:marTop w:val="0"/>
                                              <w:marBottom w:val="0"/>
                                              <w:divBdr>
                                                <w:top w:val="none" w:sz="0" w:space="0" w:color="auto"/>
                                                <w:left w:val="none" w:sz="0" w:space="0" w:color="auto"/>
                                                <w:bottom w:val="none" w:sz="0" w:space="0" w:color="auto"/>
                                                <w:right w:val="none" w:sz="0" w:space="0" w:color="auto"/>
                                              </w:divBdr>
                                              <w:divsChild>
                                                <w:div w:id="682245843">
                                                  <w:marLeft w:val="0"/>
                                                  <w:marRight w:val="0"/>
                                                  <w:marTop w:val="0"/>
                                                  <w:marBottom w:val="0"/>
                                                  <w:divBdr>
                                                    <w:top w:val="none" w:sz="0" w:space="0" w:color="auto"/>
                                                    <w:left w:val="none" w:sz="0" w:space="0" w:color="auto"/>
                                                    <w:bottom w:val="none" w:sz="0" w:space="0" w:color="auto"/>
                                                    <w:right w:val="none" w:sz="0" w:space="0" w:color="auto"/>
                                                  </w:divBdr>
                                                  <w:divsChild>
                                                    <w:div w:id="746728592">
                                                      <w:marLeft w:val="0"/>
                                                      <w:marRight w:val="0"/>
                                                      <w:marTop w:val="0"/>
                                                      <w:marBottom w:val="0"/>
                                                      <w:divBdr>
                                                        <w:top w:val="none" w:sz="0" w:space="0" w:color="auto"/>
                                                        <w:left w:val="none" w:sz="0" w:space="0" w:color="auto"/>
                                                        <w:bottom w:val="none" w:sz="0" w:space="0" w:color="auto"/>
                                                        <w:right w:val="none" w:sz="0" w:space="0" w:color="auto"/>
                                                      </w:divBdr>
                                                      <w:divsChild>
                                                        <w:div w:id="1263032674">
                                                          <w:marLeft w:val="0"/>
                                                          <w:marRight w:val="0"/>
                                                          <w:marTop w:val="0"/>
                                                          <w:marBottom w:val="0"/>
                                                          <w:divBdr>
                                                            <w:top w:val="none" w:sz="0" w:space="0" w:color="auto"/>
                                                            <w:left w:val="none" w:sz="0" w:space="0" w:color="auto"/>
                                                            <w:bottom w:val="none" w:sz="0" w:space="0" w:color="auto"/>
                                                            <w:right w:val="none" w:sz="0" w:space="0" w:color="auto"/>
                                                          </w:divBdr>
                                                        </w:div>
                                                      </w:divsChild>
                                                    </w:div>
                                                    <w:div w:id="862597752">
                                                      <w:marLeft w:val="0"/>
                                                      <w:marRight w:val="0"/>
                                                      <w:marTop w:val="0"/>
                                                      <w:marBottom w:val="0"/>
                                                      <w:divBdr>
                                                        <w:top w:val="none" w:sz="0" w:space="0" w:color="auto"/>
                                                        <w:left w:val="none" w:sz="0" w:space="0" w:color="auto"/>
                                                        <w:bottom w:val="none" w:sz="0" w:space="0" w:color="auto"/>
                                                        <w:right w:val="none" w:sz="0" w:space="0" w:color="auto"/>
                                                      </w:divBdr>
                                                      <w:divsChild>
                                                        <w:div w:id="167020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2226612">
      <w:bodyDiv w:val="1"/>
      <w:marLeft w:val="0"/>
      <w:marRight w:val="0"/>
      <w:marTop w:val="0"/>
      <w:marBottom w:val="0"/>
      <w:divBdr>
        <w:top w:val="none" w:sz="0" w:space="0" w:color="auto"/>
        <w:left w:val="none" w:sz="0" w:space="0" w:color="auto"/>
        <w:bottom w:val="none" w:sz="0" w:space="0" w:color="auto"/>
        <w:right w:val="none" w:sz="0" w:space="0" w:color="auto"/>
      </w:divBdr>
      <w:divsChild>
        <w:div w:id="1095173764">
          <w:marLeft w:val="0"/>
          <w:marRight w:val="0"/>
          <w:marTop w:val="0"/>
          <w:marBottom w:val="0"/>
          <w:divBdr>
            <w:top w:val="none" w:sz="0" w:space="0" w:color="auto"/>
            <w:left w:val="none" w:sz="0" w:space="0" w:color="auto"/>
            <w:bottom w:val="none" w:sz="0" w:space="0" w:color="auto"/>
            <w:right w:val="none" w:sz="0" w:space="0" w:color="auto"/>
          </w:divBdr>
        </w:div>
      </w:divsChild>
    </w:div>
    <w:div w:id="2054842675">
      <w:bodyDiv w:val="1"/>
      <w:marLeft w:val="0"/>
      <w:marRight w:val="0"/>
      <w:marTop w:val="0"/>
      <w:marBottom w:val="0"/>
      <w:divBdr>
        <w:top w:val="none" w:sz="0" w:space="0" w:color="auto"/>
        <w:left w:val="none" w:sz="0" w:space="0" w:color="auto"/>
        <w:bottom w:val="none" w:sz="0" w:space="0" w:color="auto"/>
        <w:right w:val="none" w:sz="0" w:space="0" w:color="auto"/>
      </w:divBdr>
      <w:divsChild>
        <w:div w:id="957487836">
          <w:marLeft w:val="0"/>
          <w:marRight w:val="0"/>
          <w:marTop w:val="240"/>
          <w:marBottom w:val="0"/>
          <w:divBdr>
            <w:top w:val="none" w:sz="0" w:space="0" w:color="auto"/>
            <w:left w:val="none" w:sz="0" w:space="0" w:color="auto"/>
            <w:bottom w:val="none" w:sz="0" w:space="0" w:color="auto"/>
            <w:right w:val="none" w:sz="0" w:space="0" w:color="auto"/>
          </w:divBdr>
          <w:divsChild>
            <w:div w:id="1141381680">
              <w:marLeft w:val="0"/>
              <w:marRight w:val="0"/>
              <w:marTop w:val="0"/>
              <w:marBottom w:val="0"/>
              <w:divBdr>
                <w:top w:val="none" w:sz="0" w:space="0" w:color="auto"/>
                <w:left w:val="none" w:sz="0" w:space="0" w:color="auto"/>
                <w:bottom w:val="none" w:sz="0" w:space="0" w:color="auto"/>
                <w:right w:val="none" w:sz="0" w:space="0" w:color="auto"/>
              </w:divBdr>
            </w:div>
          </w:divsChild>
        </w:div>
        <w:div w:id="1404177450">
          <w:marLeft w:val="0"/>
          <w:marRight w:val="0"/>
          <w:marTop w:val="240"/>
          <w:marBottom w:val="0"/>
          <w:divBdr>
            <w:top w:val="none" w:sz="0" w:space="0" w:color="auto"/>
            <w:left w:val="none" w:sz="0" w:space="0" w:color="auto"/>
            <w:bottom w:val="none" w:sz="0" w:space="0" w:color="auto"/>
            <w:right w:val="none" w:sz="0" w:space="0" w:color="auto"/>
          </w:divBdr>
          <w:divsChild>
            <w:div w:id="799031489">
              <w:marLeft w:val="0"/>
              <w:marRight w:val="0"/>
              <w:marTop w:val="0"/>
              <w:marBottom w:val="0"/>
              <w:divBdr>
                <w:top w:val="none" w:sz="0" w:space="0" w:color="auto"/>
                <w:left w:val="none" w:sz="0" w:space="0" w:color="auto"/>
                <w:bottom w:val="none" w:sz="0" w:space="0" w:color="auto"/>
                <w:right w:val="none" w:sz="0" w:space="0" w:color="auto"/>
              </w:divBdr>
            </w:div>
          </w:divsChild>
        </w:div>
        <w:div w:id="2125004884">
          <w:marLeft w:val="0"/>
          <w:marRight w:val="0"/>
          <w:marTop w:val="240"/>
          <w:marBottom w:val="0"/>
          <w:divBdr>
            <w:top w:val="none" w:sz="0" w:space="0" w:color="auto"/>
            <w:left w:val="none" w:sz="0" w:space="0" w:color="auto"/>
            <w:bottom w:val="none" w:sz="0" w:space="0" w:color="auto"/>
            <w:right w:val="none" w:sz="0" w:space="0" w:color="auto"/>
          </w:divBdr>
          <w:divsChild>
            <w:div w:id="90722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1146">
      <w:bodyDiv w:val="1"/>
      <w:marLeft w:val="0"/>
      <w:marRight w:val="0"/>
      <w:marTop w:val="0"/>
      <w:marBottom w:val="0"/>
      <w:divBdr>
        <w:top w:val="none" w:sz="0" w:space="0" w:color="auto"/>
        <w:left w:val="none" w:sz="0" w:space="0" w:color="auto"/>
        <w:bottom w:val="none" w:sz="0" w:space="0" w:color="auto"/>
        <w:right w:val="none" w:sz="0" w:space="0" w:color="auto"/>
      </w:divBdr>
      <w:divsChild>
        <w:div w:id="1368483934">
          <w:marLeft w:val="0"/>
          <w:marRight w:val="0"/>
          <w:marTop w:val="0"/>
          <w:marBottom w:val="0"/>
          <w:divBdr>
            <w:top w:val="none" w:sz="0" w:space="0" w:color="auto"/>
            <w:left w:val="single" w:sz="6" w:space="0" w:color="BBBBBB"/>
            <w:bottom w:val="single" w:sz="6" w:space="0" w:color="BBBBBB"/>
            <w:right w:val="single" w:sz="6" w:space="0" w:color="BBBBBB"/>
          </w:divBdr>
          <w:divsChild>
            <w:div w:id="892424146">
              <w:marLeft w:val="0"/>
              <w:marRight w:val="0"/>
              <w:marTop w:val="0"/>
              <w:marBottom w:val="0"/>
              <w:divBdr>
                <w:top w:val="none" w:sz="0" w:space="0" w:color="auto"/>
                <w:left w:val="none" w:sz="0" w:space="0" w:color="auto"/>
                <w:bottom w:val="none" w:sz="0" w:space="0" w:color="auto"/>
                <w:right w:val="none" w:sz="0" w:space="0" w:color="auto"/>
              </w:divBdr>
              <w:divsChild>
                <w:div w:id="1197888649">
                  <w:marLeft w:val="0"/>
                  <w:marRight w:val="0"/>
                  <w:marTop w:val="75"/>
                  <w:marBottom w:val="0"/>
                  <w:divBdr>
                    <w:top w:val="none" w:sz="0" w:space="0" w:color="auto"/>
                    <w:left w:val="none" w:sz="0" w:space="0" w:color="auto"/>
                    <w:bottom w:val="none" w:sz="0" w:space="0" w:color="auto"/>
                    <w:right w:val="none" w:sz="0" w:space="0" w:color="auto"/>
                  </w:divBdr>
                  <w:divsChild>
                    <w:div w:id="1698117097">
                      <w:marLeft w:val="0"/>
                      <w:marRight w:val="0"/>
                      <w:marTop w:val="0"/>
                      <w:marBottom w:val="0"/>
                      <w:divBdr>
                        <w:top w:val="none" w:sz="0" w:space="0" w:color="auto"/>
                        <w:left w:val="none" w:sz="0" w:space="0" w:color="auto"/>
                        <w:bottom w:val="none" w:sz="0" w:space="0" w:color="auto"/>
                        <w:right w:val="none" w:sz="0" w:space="0" w:color="auto"/>
                      </w:divBdr>
                      <w:divsChild>
                        <w:div w:id="225839781">
                          <w:marLeft w:val="0"/>
                          <w:marRight w:val="0"/>
                          <w:marTop w:val="0"/>
                          <w:marBottom w:val="0"/>
                          <w:divBdr>
                            <w:top w:val="none" w:sz="0" w:space="0" w:color="auto"/>
                            <w:left w:val="none" w:sz="0" w:space="0" w:color="auto"/>
                            <w:bottom w:val="none" w:sz="0" w:space="0" w:color="auto"/>
                            <w:right w:val="none" w:sz="0" w:space="0" w:color="auto"/>
                          </w:divBdr>
                          <w:divsChild>
                            <w:div w:id="1409497893">
                              <w:marLeft w:val="0"/>
                              <w:marRight w:val="0"/>
                              <w:marTop w:val="0"/>
                              <w:marBottom w:val="0"/>
                              <w:divBdr>
                                <w:top w:val="none" w:sz="0" w:space="0" w:color="auto"/>
                                <w:left w:val="none" w:sz="0" w:space="0" w:color="auto"/>
                                <w:bottom w:val="none" w:sz="0" w:space="0" w:color="auto"/>
                                <w:right w:val="none" w:sz="0" w:space="0" w:color="auto"/>
                              </w:divBdr>
                              <w:divsChild>
                                <w:div w:id="2132703446">
                                  <w:marLeft w:val="0"/>
                                  <w:marRight w:val="0"/>
                                  <w:marTop w:val="0"/>
                                  <w:marBottom w:val="0"/>
                                  <w:divBdr>
                                    <w:top w:val="none" w:sz="0" w:space="0" w:color="auto"/>
                                    <w:left w:val="none" w:sz="0" w:space="0" w:color="auto"/>
                                    <w:bottom w:val="none" w:sz="0" w:space="0" w:color="auto"/>
                                    <w:right w:val="none" w:sz="0" w:space="0" w:color="auto"/>
                                  </w:divBdr>
                                  <w:divsChild>
                                    <w:div w:id="2127044657">
                                      <w:marLeft w:val="0"/>
                                      <w:marRight w:val="0"/>
                                      <w:marTop w:val="0"/>
                                      <w:marBottom w:val="0"/>
                                      <w:divBdr>
                                        <w:top w:val="none" w:sz="0" w:space="0" w:color="auto"/>
                                        <w:left w:val="none" w:sz="0" w:space="0" w:color="auto"/>
                                        <w:bottom w:val="none" w:sz="0" w:space="0" w:color="auto"/>
                                        <w:right w:val="none" w:sz="0" w:space="0" w:color="auto"/>
                                      </w:divBdr>
                                      <w:divsChild>
                                        <w:div w:id="1801191707">
                                          <w:marLeft w:val="1200"/>
                                          <w:marRight w:val="1200"/>
                                          <w:marTop w:val="0"/>
                                          <w:marBottom w:val="0"/>
                                          <w:divBdr>
                                            <w:top w:val="none" w:sz="0" w:space="0" w:color="auto"/>
                                            <w:left w:val="none" w:sz="0" w:space="0" w:color="auto"/>
                                            <w:bottom w:val="none" w:sz="0" w:space="0" w:color="auto"/>
                                            <w:right w:val="none" w:sz="0" w:space="0" w:color="auto"/>
                                          </w:divBdr>
                                          <w:divsChild>
                                            <w:div w:id="499778793">
                                              <w:marLeft w:val="0"/>
                                              <w:marRight w:val="0"/>
                                              <w:marTop w:val="0"/>
                                              <w:marBottom w:val="0"/>
                                              <w:divBdr>
                                                <w:top w:val="none" w:sz="0" w:space="0" w:color="auto"/>
                                                <w:left w:val="none" w:sz="0" w:space="0" w:color="auto"/>
                                                <w:bottom w:val="none" w:sz="0" w:space="0" w:color="auto"/>
                                                <w:right w:val="none" w:sz="0" w:space="0" w:color="auto"/>
                                              </w:divBdr>
                                              <w:divsChild>
                                                <w:div w:id="1578176117">
                                                  <w:marLeft w:val="0"/>
                                                  <w:marRight w:val="0"/>
                                                  <w:marTop w:val="0"/>
                                                  <w:marBottom w:val="0"/>
                                                  <w:divBdr>
                                                    <w:top w:val="none" w:sz="0" w:space="0" w:color="auto"/>
                                                    <w:left w:val="none" w:sz="0" w:space="0" w:color="auto"/>
                                                    <w:bottom w:val="none" w:sz="0" w:space="0" w:color="auto"/>
                                                    <w:right w:val="none" w:sz="0" w:space="0" w:color="auto"/>
                                                  </w:divBdr>
                                                  <w:divsChild>
                                                    <w:div w:id="2143190301">
                                                      <w:marLeft w:val="0"/>
                                                      <w:marRight w:val="0"/>
                                                      <w:marTop w:val="0"/>
                                                      <w:marBottom w:val="0"/>
                                                      <w:divBdr>
                                                        <w:top w:val="none" w:sz="0" w:space="0" w:color="auto"/>
                                                        <w:left w:val="none" w:sz="0" w:space="0" w:color="auto"/>
                                                        <w:bottom w:val="none" w:sz="0" w:space="0" w:color="auto"/>
                                                        <w:right w:val="none" w:sz="0" w:space="0" w:color="auto"/>
                                                      </w:divBdr>
                                                      <w:divsChild>
                                                        <w:div w:id="952902535">
                                                          <w:marLeft w:val="0"/>
                                                          <w:marRight w:val="0"/>
                                                          <w:marTop w:val="0"/>
                                                          <w:marBottom w:val="0"/>
                                                          <w:divBdr>
                                                            <w:top w:val="none" w:sz="0" w:space="0" w:color="auto"/>
                                                            <w:left w:val="none" w:sz="0" w:space="0" w:color="auto"/>
                                                            <w:bottom w:val="none" w:sz="0" w:space="0" w:color="auto"/>
                                                            <w:right w:val="none" w:sz="0" w:space="0" w:color="auto"/>
                                                          </w:divBdr>
                                                          <w:divsChild>
                                                            <w:div w:id="343216931">
                                                              <w:marLeft w:val="0"/>
                                                              <w:marRight w:val="0"/>
                                                              <w:marTop w:val="0"/>
                                                              <w:marBottom w:val="0"/>
                                                              <w:divBdr>
                                                                <w:top w:val="none" w:sz="0" w:space="0" w:color="auto"/>
                                                                <w:left w:val="none" w:sz="0" w:space="0" w:color="auto"/>
                                                                <w:bottom w:val="none" w:sz="0" w:space="0" w:color="auto"/>
                                                                <w:right w:val="none" w:sz="0" w:space="0" w:color="auto"/>
                                                              </w:divBdr>
                                                              <w:divsChild>
                                                                <w:div w:id="1021666662">
                                                                  <w:marLeft w:val="0"/>
                                                                  <w:marRight w:val="0"/>
                                                                  <w:marTop w:val="0"/>
                                                                  <w:marBottom w:val="0"/>
                                                                  <w:divBdr>
                                                                    <w:top w:val="none" w:sz="0" w:space="0" w:color="auto"/>
                                                                    <w:left w:val="none" w:sz="0" w:space="0" w:color="auto"/>
                                                                    <w:bottom w:val="none" w:sz="0" w:space="0" w:color="auto"/>
                                                                    <w:right w:val="none" w:sz="0" w:space="0" w:color="auto"/>
                                                                  </w:divBdr>
                                                                  <w:divsChild>
                                                                    <w:div w:id="950087905">
                                                                      <w:marLeft w:val="0"/>
                                                                      <w:marRight w:val="0"/>
                                                                      <w:marTop w:val="0"/>
                                                                      <w:marBottom w:val="0"/>
                                                                      <w:divBdr>
                                                                        <w:top w:val="none" w:sz="0" w:space="0" w:color="auto"/>
                                                                        <w:left w:val="none" w:sz="0" w:space="0" w:color="auto"/>
                                                                        <w:bottom w:val="none" w:sz="0" w:space="0" w:color="auto"/>
                                                                        <w:right w:val="none" w:sz="0" w:space="0" w:color="auto"/>
                                                                      </w:divBdr>
                                                                      <w:divsChild>
                                                                        <w:div w:id="376512349">
                                                                          <w:marLeft w:val="0"/>
                                                                          <w:marRight w:val="0"/>
                                                                          <w:marTop w:val="0"/>
                                                                          <w:marBottom w:val="0"/>
                                                                          <w:divBdr>
                                                                            <w:top w:val="none" w:sz="0" w:space="0" w:color="auto"/>
                                                                            <w:left w:val="none" w:sz="0" w:space="0" w:color="auto"/>
                                                                            <w:bottom w:val="none" w:sz="0" w:space="0" w:color="auto"/>
                                                                            <w:right w:val="none" w:sz="0" w:space="0" w:color="auto"/>
                                                                          </w:divBdr>
                                                                        </w:div>
                                                                      </w:divsChild>
                                                                    </w:div>
                                                                    <w:div w:id="1909877501">
                                                                      <w:marLeft w:val="0"/>
                                                                      <w:marRight w:val="0"/>
                                                                      <w:marTop w:val="0"/>
                                                                      <w:marBottom w:val="0"/>
                                                                      <w:divBdr>
                                                                        <w:top w:val="none" w:sz="0" w:space="0" w:color="auto"/>
                                                                        <w:left w:val="none" w:sz="0" w:space="0" w:color="auto"/>
                                                                        <w:bottom w:val="none" w:sz="0" w:space="0" w:color="auto"/>
                                                                        <w:right w:val="none" w:sz="0" w:space="0" w:color="auto"/>
                                                                      </w:divBdr>
                                                                      <w:divsChild>
                                                                        <w:div w:id="169503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232833">
      <w:bodyDiv w:val="1"/>
      <w:marLeft w:val="0"/>
      <w:marRight w:val="0"/>
      <w:marTop w:val="0"/>
      <w:marBottom w:val="0"/>
      <w:divBdr>
        <w:top w:val="none" w:sz="0" w:space="0" w:color="auto"/>
        <w:left w:val="none" w:sz="0" w:space="0" w:color="auto"/>
        <w:bottom w:val="none" w:sz="0" w:space="0" w:color="auto"/>
        <w:right w:val="none" w:sz="0" w:space="0" w:color="auto"/>
      </w:divBdr>
    </w:div>
    <w:div w:id="2056268079">
      <w:bodyDiv w:val="1"/>
      <w:marLeft w:val="0"/>
      <w:marRight w:val="0"/>
      <w:marTop w:val="0"/>
      <w:marBottom w:val="0"/>
      <w:divBdr>
        <w:top w:val="none" w:sz="0" w:space="0" w:color="auto"/>
        <w:left w:val="none" w:sz="0" w:space="0" w:color="auto"/>
        <w:bottom w:val="none" w:sz="0" w:space="0" w:color="auto"/>
        <w:right w:val="none" w:sz="0" w:space="0" w:color="auto"/>
      </w:divBdr>
      <w:divsChild>
        <w:div w:id="907231008">
          <w:marLeft w:val="0"/>
          <w:marRight w:val="0"/>
          <w:marTop w:val="0"/>
          <w:marBottom w:val="0"/>
          <w:divBdr>
            <w:top w:val="none" w:sz="0" w:space="0" w:color="auto"/>
            <w:left w:val="none" w:sz="0" w:space="0" w:color="auto"/>
            <w:bottom w:val="none" w:sz="0" w:space="0" w:color="auto"/>
            <w:right w:val="none" w:sz="0" w:space="0" w:color="auto"/>
          </w:divBdr>
        </w:div>
        <w:div w:id="68162303">
          <w:marLeft w:val="0"/>
          <w:marRight w:val="0"/>
          <w:marTop w:val="240"/>
          <w:marBottom w:val="0"/>
          <w:divBdr>
            <w:top w:val="none" w:sz="0" w:space="0" w:color="auto"/>
            <w:left w:val="none" w:sz="0" w:space="0" w:color="auto"/>
            <w:bottom w:val="none" w:sz="0" w:space="0" w:color="auto"/>
            <w:right w:val="none" w:sz="0" w:space="0" w:color="auto"/>
          </w:divBdr>
          <w:divsChild>
            <w:div w:id="1295215163">
              <w:marLeft w:val="0"/>
              <w:marRight w:val="0"/>
              <w:marTop w:val="0"/>
              <w:marBottom w:val="0"/>
              <w:divBdr>
                <w:top w:val="none" w:sz="0" w:space="0" w:color="auto"/>
                <w:left w:val="none" w:sz="0" w:space="0" w:color="auto"/>
                <w:bottom w:val="none" w:sz="0" w:space="0" w:color="auto"/>
                <w:right w:val="none" w:sz="0" w:space="0" w:color="auto"/>
              </w:divBdr>
            </w:div>
          </w:divsChild>
        </w:div>
        <w:div w:id="1905524745">
          <w:marLeft w:val="0"/>
          <w:marRight w:val="0"/>
          <w:marTop w:val="240"/>
          <w:marBottom w:val="0"/>
          <w:divBdr>
            <w:top w:val="none" w:sz="0" w:space="0" w:color="auto"/>
            <w:left w:val="none" w:sz="0" w:space="0" w:color="auto"/>
            <w:bottom w:val="none" w:sz="0" w:space="0" w:color="auto"/>
            <w:right w:val="none" w:sz="0" w:space="0" w:color="auto"/>
          </w:divBdr>
          <w:divsChild>
            <w:div w:id="1289118660">
              <w:marLeft w:val="0"/>
              <w:marRight w:val="0"/>
              <w:marTop w:val="0"/>
              <w:marBottom w:val="0"/>
              <w:divBdr>
                <w:top w:val="none" w:sz="0" w:space="0" w:color="auto"/>
                <w:left w:val="none" w:sz="0" w:space="0" w:color="auto"/>
                <w:bottom w:val="none" w:sz="0" w:space="0" w:color="auto"/>
                <w:right w:val="none" w:sz="0" w:space="0" w:color="auto"/>
              </w:divBdr>
            </w:div>
          </w:divsChild>
        </w:div>
        <w:div w:id="1189224897">
          <w:marLeft w:val="0"/>
          <w:marRight w:val="0"/>
          <w:marTop w:val="240"/>
          <w:marBottom w:val="0"/>
          <w:divBdr>
            <w:top w:val="none" w:sz="0" w:space="0" w:color="auto"/>
            <w:left w:val="none" w:sz="0" w:space="0" w:color="auto"/>
            <w:bottom w:val="none" w:sz="0" w:space="0" w:color="auto"/>
            <w:right w:val="none" w:sz="0" w:space="0" w:color="auto"/>
          </w:divBdr>
          <w:divsChild>
            <w:div w:id="16817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5932">
      <w:bodyDiv w:val="1"/>
      <w:marLeft w:val="0"/>
      <w:marRight w:val="0"/>
      <w:marTop w:val="0"/>
      <w:marBottom w:val="0"/>
      <w:divBdr>
        <w:top w:val="none" w:sz="0" w:space="0" w:color="auto"/>
        <w:left w:val="none" w:sz="0" w:space="0" w:color="auto"/>
        <w:bottom w:val="none" w:sz="0" w:space="0" w:color="auto"/>
        <w:right w:val="none" w:sz="0" w:space="0" w:color="auto"/>
      </w:divBdr>
      <w:divsChild>
        <w:div w:id="475491659">
          <w:marLeft w:val="0"/>
          <w:marRight w:val="0"/>
          <w:marTop w:val="0"/>
          <w:marBottom w:val="0"/>
          <w:divBdr>
            <w:top w:val="none" w:sz="0" w:space="0" w:color="auto"/>
            <w:left w:val="none" w:sz="0" w:space="0" w:color="auto"/>
            <w:bottom w:val="none" w:sz="0" w:space="0" w:color="auto"/>
            <w:right w:val="none" w:sz="0" w:space="0" w:color="auto"/>
          </w:divBdr>
          <w:divsChild>
            <w:div w:id="215817826">
              <w:marLeft w:val="0"/>
              <w:marRight w:val="0"/>
              <w:marTop w:val="0"/>
              <w:marBottom w:val="0"/>
              <w:divBdr>
                <w:top w:val="none" w:sz="0" w:space="0" w:color="auto"/>
                <w:left w:val="none" w:sz="0" w:space="0" w:color="auto"/>
                <w:bottom w:val="none" w:sz="0" w:space="0" w:color="auto"/>
                <w:right w:val="none" w:sz="0" w:space="0" w:color="auto"/>
              </w:divBdr>
              <w:divsChild>
                <w:div w:id="1900045666">
                  <w:marLeft w:val="0"/>
                  <w:marRight w:val="0"/>
                  <w:marTop w:val="0"/>
                  <w:marBottom w:val="0"/>
                  <w:divBdr>
                    <w:top w:val="none" w:sz="0" w:space="0" w:color="auto"/>
                    <w:left w:val="none" w:sz="0" w:space="0" w:color="auto"/>
                    <w:bottom w:val="none" w:sz="0" w:space="0" w:color="auto"/>
                    <w:right w:val="none" w:sz="0" w:space="0" w:color="auto"/>
                  </w:divBdr>
                  <w:divsChild>
                    <w:div w:id="1995915338">
                      <w:marLeft w:val="0"/>
                      <w:marRight w:val="0"/>
                      <w:marTop w:val="0"/>
                      <w:marBottom w:val="375"/>
                      <w:divBdr>
                        <w:top w:val="none" w:sz="0" w:space="0" w:color="auto"/>
                        <w:left w:val="none" w:sz="0" w:space="0" w:color="auto"/>
                        <w:bottom w:val="none" w:sz="0" w:space="0" w:color="auto"/>
                        <w:right w:val="none" w:sz="0" w:space="0" w:color="auto"/>
                      </w:divBdr>
                      <w:divsChild>
                        <w:div w:id="22999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134688">
      <w:bodyDiv w:val="1"/>
      <w:marLeft w:val="0"/>
      <w:marRight w:val="0"/>
      <w:marTop w:val="0"/>
      <w:marBottom w:val="0"/>
      <w:divBdr>
        <w:top w:val="none" w:sz="0" w:space="0" w:color="auto"/>
        <w:left w:val="none" w:sz="0" w:space="0" w:color="auto"/>
        <w:bottom w:val="none" w:sz="0" w:space="0" w:color="auto"/>
        <w:right w:val="none" w:sz="0" w:space="0" w:color="auto"/>
      </w:divBdr>
      <w:divsChild>
        <w:div w:id="983047326">
          <w:marLeft w:val="0"/>
          <w:marRight w:val="0"/>
          <w:marTop w:val="0"/>
          <w:marBottom w:val="0"/>
          <w:divBdr>
            <w:top w:val="none" w:sz="0" w:space="0" w:color="auto"/>
            <w:left w:val="single" w:sz="6" w:space="0" w:color="BBBBBB"/>
            <w:bottom w:val="single" w:sz="6" w:space="0" w:color="BBBBBB"/>
            <w:right w:val="single" w:sz="6" w:space="0" w:color="BBBBBB"/>
          </w:divBdr>
          <w:divsChild>
            <w:div w:id="385375180">
              <w:marLeft w:val="0"/>
              <w:marRight w:val="0"/>
              <w:marTop w:val="0"/>
              <w:marBottom w:val="0"/>
              <w:divBdr>
                <w:top w:val="none" w:sz="0" w:space="0" w:color="auto"/>
                <w:left w:val="none" w:sz="0" w:space="0" w:color="auto"/>
                <w:bottom w:val="none" w:sz="0" w:space="0" w:color="auto"/>
                <w:right w:val="none" w:sz="0" w:space="0" w:color="auto"/>
              </w:divBdr>
              <w:divsChild>
                <w:div w:id="293871906">
                  <w:marLeft w:val="0"/>
                  <w:marRight w:val="0"/>
                  <w:marTop w:val="0"/>
                  <w:marBottom w:val="0"/>
                  <w:divBdr>
                    <w:top w:val="none" w:sz="0" w:space="0" w:color="auto"/>
                    <w:left w:val="none" w:sz="0" w:space="0" w:color="auto"/>
                    <w:bottom w:val="none" w:sz="0" w:space="0" w:color="auto"/>
                    <w:right w:val="none" w:sz="0" w:space="0" w:color="auto"/>
                  </w:divBdr>
                  <w:divsChild>
                    <w:div w:id="901333844">
                      <w:marLeft w:val="0"/>
                      <w:marRight w:val="0"/>
                      <w:marTop w:val="0"/>
                      <w:marBottom w:val="0"/>
                      <w:divBdr>
                        <w:top w:val="none" w:sz="0" w:space="0" w:color="auto"/>
                        <w:left w:val="none" w:sz="0" w:space="0" w:color="auto"/>
                        <w:bottom w:val="none" w:sz="0" w:space="0" w:color="auto"/>
                        <w:right w:val="none" w:sz="0" w:space="0" w:color="auto"/>
                      </w:divBdr>
                      <w:divsChild>
                        <w:div w:id="1316840036">
                          <w:marLeft w:val="0"/>
                          <w:marRight w:val="0"/>
                          <w:marTop w:val="0"/>
                          <w:marBottom w:val="0"/>
                          <w:divBdr>
                            <w:top w:val="none" w:sz="0" w:space="0" w:color="auto"/>
                            <w:left w:val="none" w:sz="0" w:space="0" w:color="auto"/>
                            <w:bottom w:val="none" w:sz="0" w:space="0" w:color="auto"/>
                            <w:right w:val="none" w:sz="0" w:space="0" w:color="auto"/>
                          </w:divBdr>
                          <w:divsChild>
                            <w:div w:id="670059234">
                              <w:marLeft w:val="0"/>
                              <w:marRight w:val="0"/>
                              <w:marTop w:val="0"/>
                              <w:marBottom w:val="0"/>
                              <w:divBdr>
                                <w:top w:val="none" w:sz="0" w:space="0" w:color="auto"/>
                                <w:left w:val="none" w:sz="0" w:space="0" w:color="auto"/>
                                <w:bottom w:val="none" w:sz="0" w:space="0" w:color="auto"/>
                                <w:right w:val="none" w:sz="0" w:space="0" w:color="auto"/>
                              </w:divBdr>
                              <w:divsChild>
                                <w:div w:id="264846228">
                                  <w:marLeft w:val="0"/>
                                  <w:marRight w:val="0"/>
                                  <w:marTop w:val="0"/>
                                  <w:marBottom w:val="0"/>
                                  <w:divBdr>
                                    <w:top w:val="none" w:sz="0" w:space="0" w:color="auto"/>
                                    <w:left w:val="none" w:sz="0" w:space="0" w:color="auto"/>
                                    <w:bottom w:val="none" w:sz="0" w:space="0" w:color="auto"/>
                                    <w:right w:val="none" w:sz="0" w:space="0" w:color="auto"/>
                                  </w:divBdr>
                                  <w:divsChild>
                                    <w:div w:id="1807963943">
                                      <w:marLeft w:val="0"/>
                                      <w:marRight w:val="0"/>
                                      <w:marTop w:val="0"/>
                                      <w:marBottom w:val="0"/>
                                      <w:divBdr>
                                        <w:top w:val="none" w:sz="0" w:space="0" w:color="auto"/>
                                        <w:left w:val="none" w:sz="0" w:space="0" w:color="auto"/>
                                        <w:bottom w:val="none" w:sz="0" w:space="0" w:color="auto"/>
                                        <w:right w:val="none" w:sz="0" w:space="0" w:color="auto"/>
                                      </w:divBdr>
                                      <w:divsChild>
                                        <w:div w:id="1188133799">
                                          <w:marLeft w:val="1200"/>
                                          <w:marRight w:val="1200"/>
                                          <w:marTop w:val="0"/>
                                          <w:marBottom w:val="0"/>
                                          <w:divBdr>
                                            <w:top w:val="none" w:sz="0" w:space="0" w:color="auto"/>
                                            <w:left w:val="none" w:sz="0" w:space="0" w:color="auto"/>
                                            <w:bottom w:val="none" w:sz="0" w:space="0" w:color="auto"/>
                                            <w:right w:val="none" w:sz="0" w:space="0" w:color="auto"/>
                                          </w:divBdr>
                                          <w:divsChild>
                                            <w:div w:id="1357390035">
                                              <w:marLeft w:val="0"/>
                                              <w:marRight w:val="0"/>
                                              <w:marTop w:val="0"/>
                                              <w:marBottom w:val="0"/>
                                              <w:divBdr>
                                                <w:top w:val="none" w:sz="0" w:space="0" w:color="auto"/>
                                                <w:left w:val="none" w:sz="0" w:space="0" w:color="auto"/>
                                                <w:bottom w:val="none" w:sz="0" w:space="0" w:color="auto"/>
                                                <w:right w:val="none" w:sz="0" w:space="0" w:color="auto"/>
                                              </w:divBdr>
                                              <w:divsChild>
                                                <w:div w:id="249046454">
                                                  <w:marLeft w:val="0"/>
                                                  <w:marRight w:val="0"/>
                                                  <w:marTop w:val="0"/>
                                                  <w:marBottom w:val="0"/>
                                                  <w:divBdr>
                                                    <w:top w:val="none" w:sz="0" w:space="0" w:color="auto"/>
                                                    <w:left w:val="none" w:sz="0" w:space="0" w:color="auto"/>
                                                    <w:bottom w:val="none" w:sz="0" w:space="0" w:color="auto"/>
                                                    <w:right w:val="none" w:sz="0" w:space="0" w:color="auto"/>
                                                  </w:divBdr>
                                                  <w:divsChild>
                                                    <w:div w:id="309947383">
                                                      <w:marLeft w:val="0"/>
                                                      <w:marRight w:val="0"/>
                                                      <w:marTop w:val="0"/>
                                                      <w:marBottom w:val="0"/>
                                                      <w:divBdr>
                                                        <w:top w:val="none" w:sz="0" w:space="0" w:color="auto"/>
                                                        <w:left w:val="none" w:sz="0" w:space="0" w:color="auto"/>
                                                        <w:bottom w:val="none" w:sz="0" w:space="0" w:color="auto"/>
                                                        <w:right w:val="none" w:sz="0" w:space="0" w:color="auto"/>
                                                      </w:divBdr>
                                                      <w:divsChild>
                                                        <w:div w:id="757602443">
                                                          <w:marLeft w:val="0"/>
                                                          <w:marRight w:val="0"/>
                                                          <w:marTop w:val="0"/>
                                                          <w:marBottom w:val="0"/>
                                                          <w:divBdr>
                                                            <w:top w:val="none" w:sz="0" w:space="0" w:color="auto"/>
                                                            <w:left w:val="none" w:sz="0" w:space="0" w:color="auto"/>
                                                            <w:bottom w:val="none" w:sz="0" w:space="0" w:color="auto"/>
                                                            <w:right w:val="none" w:sz="0" w:space="0" w:color="auto"/>
                                                          </w:divBdr>
                                                          <w:divsChild>
                                                            <w:div w:id="1979728508">
                                                              <w:marLeft w:val="0"/>
                                                              <w:marRight w:val="0"/>
                                                              <w:marTop w:val="0"/>
                                                              <w:marBottom w:val="0"/>
                                                              <w:divBdr>
                                                                <w:top w:val="none" w:sz="0" w:space="0" w:color="auto"/>
                                                                <w:left w:val="none" w:sz="0" w:space="0" w:color="auto"/>
                                                                <w:bottom w:val="none" w:sz="0" w:space="0" w:color="auto"/>
                                                                <w:right w:val="none" w:sz="0" w:space="0" w:color="auto"/>
                                                              </w:divBdr>
                                                              <w:divsChild>
                                                                <w:div w:id="2127724472">
                                                                  <w:marLeft w:val="0"/>
                                                                  <w:marRight w:val="0"/>
                                                                  <w:marTop w:val="0"/>
                                                                  <w:marBottom w:val="0"/>
                                                                  <w:divBdr>
                                                                    <w:top w:val="none" w:sz="0" w:space="0" w:color="auto"/>
                                                                    <w:left w:val="none" w:sz="0" w:space="0" w:color="auto"/>
                                                                    <w:bottom w:val="none" w:sz="0" w:space="0" w:color="auto"/>
                                                                    <w:right w:val="none" w:sz="0" w:space="0" w:color="auto"/>
                                                                  </w:divBdr>
                                                                  <w:divsChild>
                                                                    <w:div w:id="769786990">
                                                                      <w:marLeft w:val="0"/>
                                                                      <w:marRight w:val="0"/>
                                                                      <w:marTop w:val="0"/>
                                                                      <w:marBottom w:val="0"/>
                                                                      <w:divBdr>
                                                                        <w:top w:val="none" w:sz="0" w:space="0" w:color="auto"/>
                                                                        <w:left w:val="none" w:sz="0" w:space="0" w:color="auto"/>
                                                                        <w:bottom w:val="none" w:sz="0" w:space="0" w:color="auto"/>
                                                                        <w:right w:val="none" w:sz="0" w:space="0" w:color="auto"/>
                                                                      </w:divBdr>
                                                                      <w:divsChild>
                                                                        <w:div w:id="154345862">
                                                                          <w:marLeft w:val="0"/>
                                                                          <w:marRight w:val="0"/>
                                                                          <w:marTop w:val="0"/>
                                                                          <w:marBottom w:val="0"/>
                                                                          <w:divBdr>
                                                                            <w:top w:val="none" w:sz="0" w:space="0" w:color="auto"/>
                                                                            <w:left w:val="none" w:sz="0" w:space="0" w:color="auto"/>
                                                                            <w:bottom w:val="none" w:sz="0" w:space="0" w:color="auto"/>
                                                                            <w:right w:val="none" w:sz="0" w:space="0" w:color="auto"/>
                                                                          </w:divBdr>
                                                                          <w:divsChild>
                                                                            <w:div w:id="1863201309">
                                                                              <w:marLeft w:val="0"/>
                                                                              <w:marRight w:val="0"/>
                                                                              <w:marTop w:val="0"/>
                                                                              <w:marBottom w:val="0"/>
                                                                              <w:divBdr>
                                                                                <w:top w:val="none" w:sz="0" w:space="0" w:color="auto"/>
                                                                                <w:left w:val="none" w:sz="0" w:space="0" w:color="auto"/>
                                                                                <w:bottom w:val="none" w:sz="0" w:space="0" w:color="auto"/>
                                                                                <w:right w:val="none" w:sz="0" w:space="0" w:color="auto"/>
                                                                              </w:divBdr>
                                                                              <w:divsChild>
                                                                                <w:div w:id="1379158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9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0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6180431">
      <w:bodyDiv w:val="1"/>
      <w:marLeft w:val="0"/>
      <w:marRight w:val="0"/>
      <w:marTop w:val="0"/>
      <w:marBottom w:val="0"/>
      <w:divBdr>
        <w:top w:val="none" w:sz="0" w:space="0" w:color="auto"/>
        <w:left w:val="none" w:sz="0" w:space="0" w:color="auto"/>
        <w:bottom w:val="none" w:sz="0" w:space="0" w:color="auto"/>
        <w:right w:val="none" w:sz="0" w:space="0" w:color="auto"/>
      </w:divBdr>
    </w:div>
    <w:div w:id="2071147289">
      <w:bodyDiv w:val="1"/>
      <w:marLeft w:val="0"/>
      <w:marRight w:val="0"/>
      <w:marTop w:val="0"/>
      <w:marBottom w:val="0"/>
      <w:divBdr>
        <w:top w:val="none" w:sz="0" w:space="0" w:color="auto"/>
        <w:left w:val="none" w:sz="0" w:space="0" w:color="auto"/>
        <w:bottom w:val="none" w:sz="0" w:space="0" w:color="auto"/>
        <w:right w:val="none" w:sz="0" w:space="0" w:color="auto"/>
      </w:divBdr>
      <w:divsChild>
        <w:div w:id="1183671009">
          <w:marLeft w:val="0"/>
          <w:marRight w:val="0"/>
          <w:marTop w:val="0"/>
          <w:marBottom w:val="0"/>
          <w:divBdr>
            <w:top w:val="none" w:sz="0" w:space="0" w:color="auto"/>
            <w:left w:val="none" w:sz="0" w:space="0" w:color="auto"/>
            <w:bottom w:val="none" w:sz="0" w:space="0" w:color="auto"/>
            <w:right w:val="none" w:sz="0" w:space="0" w:color="auto"/>
          </w:divBdr>
          <w:divsChild>
            <w:div w:id="2127961045">
              <w:marLeft w:val="0"/>
              <w:marRight w:val="0"/>
              <w:marTop w:val="0"/>
              <w:marBottom w:val="0"/>
              <w:divBdr>
                <w:top w:val="none" w:sz="0" w:space="0" w:color="auto"/>
                <w:left w:val="none" w:sz="0" w:space="0" w:color="auto"/>
                <w:bottom w:val="none" w:sz="0" w:space="0" w:color="auto"/>
                <w:right w:val="none" w:sz="0" w:space="0" w:color="auto"/>
              </w:divBdr>
              <w:divsChild>
                <w:div w:id="43913614">
                  <w:marLeft w:val="0"/>
                  <w:marRight w:val="0"/>
                  <w:marTop w:val="0"/>
                  <w:marBottom w:val="0"/>
                  <w:divBdr>
                    <w:top w:val="none" w:sz="0" w:space="0" w:color="auto"/>
                    <w:left w:val="none" w:sz="0" w:space="0" w:color="auto"/>
                    <w:bottom w:val="none" w:sz="0" w:space="0" w:color="auto"/>
                    <w:right w:val="none" w:sz="0" w:space="0" w:color="auto"/>
                  </w:divBdr>
                  <w:divsChild>
                    <w:div w:id="1399668844">
                      <w:marLeft w:val="0"/>
                      <w:marRight w:val="0"/>
                      <w:marTop w:val="0"/>
                      <w:marBottom w:val="300"/>
                      <w:divBdr>
                        <w:top w:val="none" w:sz="0" w:space="0" w:color="auto"/>
                        <w:left w:val="none" w:sz="0" w:space="0" w:color="auto"/>
                        <w:bottom w:val="none" w:sz="0" w:space="0" w:color="auto"/>
                        <w:right w:val="none" w:sz="0" w:space="0" w:color="auto"/>
                      </w:divBdr>
                      <w:divsChild>
                        <w:div w:id="14690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927197">
      <w:bodyDiv w:val="1"/>
      <w:marLeft w:val="30"/>
      <w:marRight w:val="30"/>
      <w:marTop w:val="30"/>
      <w:marBottom w:val="30"/>
      <w:divBdr>
        <w:top w:val="none" w:sz="0" w:space="0" w:color="auto"/>
        <w:left w:val="none" w:sz="0" w:space="0" w:color="auto"/>
        <w:bottom w:val="none" w:sz="0" w:space="0" w:color="auto"/>
        <w:right w:val="none" w:sz="0" w:space="0" w:color="auto"/>
      </w:divBdr>
      <w:divsChild>
        <w:div w:id="911423979">
          <w:marLeft w:val="0"/>
          <w:marRight w:val="0"/>
          <w:marTop w:val="0"/>
          <w:marBottom w:val="0"/>
          <w:divBdr>
            <w:top w:val="none" w:sz="0" w:space="0" w:color="auto"/>
            <w:left w:val="none" w:sz="0" w:space="0" w:color="auto"/>
            <w:bottom w:val="none" w:sz="0" w:space="0" w:color="auto"/>
            <w:right w:val="none" w:sz="0" w:space="0" w:color="auto"/>
          </w:divBdr>
          <w:divsChild>
            <w:div w:id="2048216661">
              <w:marLeft w:val="45"/>
              <w:marRight w:val="45"/>
              <w:marTop w:val="45"/>
              <w:marBottom w:val="45"/>
              <w:divBdr>
                <w:top w:val="none" w:sz="0" w:space="0" w:color="auto"/>
                <w:left w:val="none" w:sz="0" w:space="0" w:color="auto"/>
                <w:bottom w:val="none" w:sz="0" w:space="0" w:color="auto"/>
                <w:right w:val="none" w:sz="0" w:space="0" w:color="auto"/>
              </w:divBdr>
              <w:divsChild>
                <w:div w:id="1174997232">
                  <w:marLeft w:val="0"/>
                  <w:marRight w:val="0"/>
                  <w:marTop w:val="0"/>
                  <w:marBottom w:val="0"/>
                  <w:divBdr>
                    <w:top w:val="none" w:sz="0" w:space="0" w:color="auto"/>
                    <w:left w:val="none" w:sz="0" w:space="0" w:color="auto"/>
                    <w:bottom w:val="none" w:sz="0" w:space="0" w:color="auto"/>
                    <w:right w:val="none" w:sz="0" w:space="0" w:color="auto"/>
                  </w:divBdr>
                  <w:divsChild>
                    <w:div w:id="289364429">
                      <w:marLeft w:val="0"/>
                      <w:marRight w:val="0"/>
                      <w:marTop w:val="0"/>
                      <w:marBottom w:val="0"/>
                      <w:divBdr>
                        <w:top w:val="none" w:sz="0" w:space="0" w:color="auto"/>
                        <w:left w:val="none" w:sz="0" w:space="0" w:color="auto"/>
                        <w:bottom w:val="none" w:sz="0" w:space="0" w:color="auto"/>
                        <w:right w:val="none" w:sz="0" w:space="0" w:color="auto"/>
                      </w:divBdr>
                    </w:div>
                    <w:div w:id="658971174">
                      <w:marLeft w:val="180"/>
                      <w:marRight w:val="0"/>
                      <w:marTop w:val="0"/>
                      <w:marBottom w:val="0"/>
                      <w:divBdr>
                        <w:top w:val="none" w:sz="0" w:space="0" w:color="auto"/>
                        <w:left w:val="none" w:sz="0" w:space="0" w:color="auto"/>
                        <w:bottom w:val="none" w:sz="0" w:space="0" w:color="auto"/>
                        <w:right w:val="none" w:sz="0" w:space="0" w:color="auto"/>
                      </w:divBdr>
                    </w:div>
                    <w:div w:id="11155565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58700">
      <w:bodyDiv w:val="1"/>
      <w:marLeft w:val="0"/>
      <w:marRight w:val="0"/>
      <w:marTop w:val="0"/>
      <w:marBottom w:val="0"/>
      <w:divBdr>
        <w:top w:val="none" w:sz="0" w:space="0" w:color="auto"/>
        <w:left w:val="none" w:sz="0" w:space="0" w:color="auto"/>
        <w:bottom w:val="none" w:sz="0" w:space="0" w:color="auto"/>
        <w:right w:val="none" w:sz="0" w:space="0" w:color="auto"/>
      </w:divBdr>
      <w:divsChild>
        <w:div w:id="736244112">
          <w:marLeft w:val="0"/>
          <w:marRight w:val="0"/>
          <w:marTop w:val="0"/>
          <w:marBottom w:val="0"/>
          <w:divBdr>
            <w:top w:val="none" w:sz="0" w:space="0" w:color="auto"/>
            <w:left w:val="single" w:sz="6" w:space="0" w:color="BBBBBB"/>
            <w:bottom w:val="single" w:sz="6" w:space="0" w:color="BBBBBB"/>
            <w:right w:val="single" w:sz="6" w:space="0" w:color="BBBBBB"/>
          </w:divBdr>
          <w:divsChild>
            <w:div w:id="219705940">
              <w:marLeft w:val="0"/>
              <w:marRight w:val="0"/>
              <w:marTop w:val="0"/>
              <w:marBottom w:val="0"/>
              <w:divBdr>
                <w:top w:val="none" w:sz="0" w:space="0" w:color="auto"/>
                <w:left w:val="none" w:sz="0" w:space="0" w:color="auto"/>
                <w:bottom w:val="none" w:sz="0" w:space="0" w:color="auto"/>
                <w:right w:val="none" w:sz="0" w:space="0" w:color="auto"/>
              </w:divBdr>
              <w:divsChild>
                <w:div w:id="1376541713">
                  <w:marLeft w:val="0"/>
                  <w:marRight w:val="0"/>
                  <w:marTop w:val="0"/>
                  <w:marBottom w:val="0"/>
                  <w:divBdr>
                    <w:top w:val="none" w:sz="0" w:space="0" w:color="auto"/>
                    <w:left w:val="none" w:sz="0" w:space="0" w:color="auto"/>
                    <w:bottom w:val="none" w:sz="0" w:space="0" w:color="auto"/>
                    <w:right w:val="none" w:sz="0" w:space="0" w:color="auto"/>
                  </w:divBdr>
                  <w:divsChild>
                    <w:div w:id="2105413321">
                      <w:marLeft w:val="0"/>
                      <w:marRight w:val="0"/>
                      <w:marTop w:val="0"/>
                      <w:marBottom w:val="0"/>
                      <w:divBdr>
                        <w:top w:val="none" w:sz="0" w:space="0" w:color="auto"/>
                        <w:left w:val="none" w:sz="0" w:space="0" w:color="auto"/>
                        <w:bottom w:val="none" w:sz="0" w:space="0" w:color="auto"/>
                        <w:right w:val="none" w:sz="0" w:space="0" w:color="auto"/>
                      </w:divBdr>
                      <w:divsChild>
                        <w:div w:id="307898761">
                          <w:marLeft w:val="0"/>
                          <w:marRight w:val="0"/>
                          <w:marTop w:val="0"/>
                          <w:marBottom w:val="0"/>
                          <w:divBdr>
                            <w:top w:val="none" w:sz="0" w:space="0" w:color="auto"/>
                            <w:left w:val="none" w:sz="0" w:space="0" w:color="auto"/>
                            <w:bottom w:val="none" w:sz="0" w:space="0" w:color="auto"/>
                            <w:right w:val="none" w:sz="0" w:space="0" w:color="auto"/>
                          </w:divBdr>
                          <w:divsChild>
                            <w:div w:id="2012752139">
                              <w:marLeft w:val="0"/>
                              <w:marRight w:val="0"/>
                              <w:marTop w:val="0"/>
                              <w:marBottom w:val="0"/>
                              <w:divBdr>
                                <w:top w:val="none" w:sz="0" w:space="0" w:color="auto"/>
                                <w:left w:val="none" w:sz="0" w:space="0" w:color="auto"/>
                                <w:bottom w:val="none" w:sz="0" w:space="0" w:color="auto"/>
                                <w:right w:val="none" w:sz="0" w:space="0" w:color="auto"/>
                              </w:divBdr>
                              <w:divsChild>
                                <w:div w:id="354237958">
                                  <w:marLeft w:val="0"/>
                                  <w:marRight w:val="0"/>
                                  <w:marTop w:val="0"/>
                                  <w:marBottom w:val="0"/>
                                  <w:divBdr>
                                    <w:top w:val="none" w:sz="0" w:space="0" w:color="auto"/>
                                    <w:left w:val="none" w:sz="0" w:space="0" w:color="auto"/>
                                    <w:bottom w:val="none" w:sz="0" w:space="0" w:color="auto"/>
                                    <w:right w:val="none" w:sz="0" w:space="0" w:color="auto"/>
                                  </w:divBdr>
                                  <w:divsChild>
                                    <w:div w:id="425343935">
                                      <w:marLeft w:val="0"/>
                                      <w:marRight w:val="0"/>
                                      <w:marTop w:val="0"/>
                                      <w:marBottom w:val="0"/>
                                      <w:divBdr>
                                        <w:top w:val="none" w:sz="0" w:space="0" w:color="auto"/>
                                        <w:left w:val="none" w:sz="0" w:space="0" w:color="auto"/>
                                        <w:bottom w:val="none" w:sz="0" w:space="0" w:color="auto"/>
                                        <w:right w:val="none" w:sz="0" w:space="0" w:color="auto"/>
                                      </w:divBdr>
                                      <w:divsChild>
                                        <w:div w:id="386341804">
                                          <w:marLeft w:val="1200"/>
                                          <w:marRight w:val="1200"/>
                                          <w:marTop w:val="0"/>
                                          <w:marBottom w:val="0"/>
                                          <w:divBdr>
                                            <w:top w:val="none" w:sz="0" w:space="0" w:color="auto"/>
                                            <w:left w:val="none" w:sz="0" w:space="0" w:color="auto"/>
                                            <w:bottom w:val="none" w:sz="0" w:space="0" w:color="auto"/>
                                            <w:right w:val="none" w:sz="0" w:space="0" w:color="auto"/>
                                          </w:divBdr>
                                          <w:divsChild>
                                            <w:div w:id="1916819416">
                                              <w:marLeft w:val="0"/>
                                              <w:marRight w:val="0"/>
                                              <w:marTop w:val="0"/>
                                              <w:marBottom w:val="0"/>
                                              <w:divBdr>
                                                <w:top w:val="none" w:sz="0" w:space="0" w:color="auto"/>
                                                <w:left w:val="none" w:sz="0" w:space="0" w:color="auto"/>
                                                <w:bottom w:val="none" w:sz="0" w:space="0" w:color="auto"/>
                                                <w:right w:val="none" w:sz="0" w:space="0" w:color="auto"/>
                                              </w:divBdr>
                                              <w:divsChild>
                                                <w:div w:id="1621377842">
                                                  <w:marLeft w:val="0"/>
                                                  <w:marRight w:val="0"/>
                                                  <w:marTop w:val="0"/>
                                                  <w:marBottom w:val="0"/>
                                                  <w:divBdr>
                                                    <w:top w:val="none" w:sz="0" w:space="0" w:color="auto"/>
                                                    <w:left w:val="none" w:sz="0" w:space="0" w:color="auto"/>
                                                    <w:bottom w:val="none" w:sz="0" w:space="0" w:color="auto"/>
                                                    <w:right w:val="none" w:sz="0" w:space="0" w:color="auto"/>
                                                  </w:divBdr>
                                                  <w:divsChild>
                                                    <w:div w:id="1773434267">
                                                      <w:marLeft w:val="0"/>
                                                      <w:marRight w:val="0"/>
                                                      <w:marTop w:val="0"/>
                                                      <w:marBottom w:val="0"/>
                                                      <w:divBdr>
                                                        <w:top w:val="none" w:sz="0" w:space="0" w:color="auto"/>
                                                        <w:left w:val="none" w:sz="0" w:space="0" w:color="auto"/>
                                                        <w:bottom w:val="none" w:sz="0" w:space="0" w:color="auto"/>
                                                        <w:right w:val="none" w:sz="0" w:space="0" w:color="auto"/>
                                                      </w:divBdr>
                                                      <w:divsChild>
                                                        <w:div w:id="38239967">
                                                          <w:marLeft w:val="0"/>
                                                          <w:marRight w:val="0"/>
                                                          <w:marTop w:val="0"/>
                                                          <w:marBottom w:val="0"/>
                                                          <w:divBdr>
                                                            <w:top w:val="none" w:sz="0" w:space="0" w:color="auto"/>
                                                            <w:left w:val="none" w:sz="0" w:space="0" w:color="auto"/>
                                                            <w:bottom w:val="none" w:sz="0" w:space="0" w:color="auto"/>
                                                            <w:right w:val="none" w:sz="0" w:space="0" w:color="auto"/>
                                                          </w:divBdr>
                                                          <w:divsChild>
                                                            <w:div w:id="728767123">
                                                              <w:marLeft w:val="0"/>
                                                              <w:marRight w:val="0"/>
                                                              <w:marTop w:val="0"/>
                                                              <w:marBottom w:val="0"/>
                                                              <w:divBdr>
                                                                <w:top w:val="none" w:sz="0" w:space="0" w:color="auto"/>
                                                                <w:left w:val="none" w:sz="0" w:space="0" w:color="auto"/>
                                                                <w:bottom w:val="none" w:sz="0" w:space="0" w:color="auto"/>
                                                                <w:right w:val="none" w:sz="0" w:space="0" w:color="auto"/>
                                                              </w:divBdr>
                                                              <w:divsChild>
                                                                <w:div w:id="830171832">
                                                                  <w:marLeft w:val="0"/>
                                                                  <w:marRight w:val="0"/>
                                                                  <w:marTop w:val="0"/>
                                                                  <w:marBottom w:val="0"/>
                                                                  <w:divBdr>
                                                                    <w:top w:val="none" w:sz="0" w:space="0" w:color="auto"/>
                                                                    <w:left w:val="none" w:sz="0" w:space="0" w:color="auto"/>
                                                                    <w:bottom w:val="none" w:sz="0" w:space="0" w:color="auto"/>
                                                                    <w:right w:val="none" w:sz="0" w:space="0" w:color="auto"/>
                                                                  </w:divBdr>
                                                                  <w:divsChild>
                                                                    <w:div w:id="468523236">
                                                                      <w:marLeft w:val="0"/>
                                                                      <w:marRight w:val="0"/>
                                                                      <w:marTop w:val="0"/>
                                                                      <w:marBottom w:val="0"/>
                                                                      <w:divBdr>
                                                                        <w:top w:val="none" w:sz="0" w:space="0" w:color="auto"/>
                                                                        <w:left w:val="none" w:sz="0" w:space="0" w:color="auto"/>
                                                                        <w:bottom w:val="none" w:sz="0" w:space="0" w:color="auto"/>
                                                                        <w:right w:val="none" w:sz="0" w:space="0" w:color="auto"/>
                                                                      </w:divBdr>
                                                                      <w:divsChild>
                                                                        <w:div w:id="1363283916">
                                                                          <w:marLeft w:val="0"/>
                                                                          <w:marRight w:val="0"/>
                                                                          <w:marTop w:val="0"/>
                                                                          <w:marBottom w:val="0"/>
                                                                          <w:divBdr>
                                                                            <w:top w:val="none" w:sz="0" w:space="0" w:color="auto"/>
                                                                            <w:left w:val="none" w:sz="0" w:space="0" w:color="auto"/>
                                                                            <w:bottom w:val="none" w:sz="0" w:space="0" w:color="auto"/>
                                                                            <w:right w:val="none" w:sz="0" w:space="0" w:color="auto"/>
                                                                          </w:divBdr>
                                                                        </w:div>
                                                                      </w:divsChild>
                                                                    </w:div>
                                                                    <w:div w:id="1183277674">
                                                                      <w:marLeft w:val="0"/>
                                                                      <w:marRight w:val="0"/>
                                                                      <w:marTop w:val="0"/>
                                                                      <w:marBottom w:val="0"/>
                                                                      <w:divBdr>
                                                                        <w:top w:val="none" w:sz="0" w:space="0" w:color="auto"/>
                                                                        <w:left w:val="none" w:sz="0" w:space="0" w:color="auto"/>
                                                                        <w:bottom w:val="none" w:sz="0" w:space="0" w:color="auto"/>
                                                                        <w:right w:val="none" w:sz="0" w:space="0" w:color="auto"/>
                                                                      </w:divBdr>
                                                                      <w:divsChild>
                                                                        <w:div w:id="774597645">
                                                                          <w:marLeft w:val="0"/>
                                                                          <w:marRight w:val="0"/>
                                                                          <w:marTop w:val="0"/>
                                                                          <w:marBottom w:val="0"/>
                                                                          <w:divBdr>
                                                                            <w:top w:val="none" w:sz="0" w:space="0" w:color="auto"/>
                                                                            <w:left w:val="none" w:sz="0" w:space="0" w:color="auto"/>
                                                                            <w:bottom w:val="none" w:sz="0" w:space="0" w:color="auto"/>
                                                                            <w:right w:val="none" w:sz="0" w:space="0" w:color="auto"/>
                                                                          </w:divBdr>
                                                                        </w:div>
                                                                      </w:divsChild>
                                                                    </w:div>
                                                                    <w:div w:id="1467893296">
                                                                      <w:marLeft w:val="0"/>
                                                                      <w:marRight w:val="0"/>
                                                                      <w:marTop w:val="0"/>
                                                                      <w:marBottom w:val="0"/>
                                                                      <w:divBdr>
                                                                        <w:top w:val="none" w:sz="0" w:space="0" w:color="auto"/>
                                                                        <w:left w:val="none" w:sz="0" w:space="0" w:color="auto"/>
                                                                        <w:bottom w:val="none" w:sz="0" w:space="0" w:color="auto"/>
                                                                        <w:right w:val="none" w:sz="0" w:space="0" w:color="auto"/>
                                                                      </w:divBdr>
                                                                      <w:divsChild>
                                                                        <w:div w:id="18182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5376968">
      <w:bodyDiv w:val="1"/>
      <w:marLeft w:val="0"/>
      <w:marRight w:val="0"/>
      <w:marTop w:val="0"/>
      <w:marBottom w:val="0"/>
      <w:divBdr>
        <w:top w:val="none" w:sz="0" w:space="0" w:color="auto"/>
        <w:left w:val="none" w:sz="0" w:space="0" w:color="auto"/>
        <w:bottom w:val="none" w:sz="0" w:space="0" w:color="auto"/>
        <w:right w:val="none" w:sz="0" w:space="0" w:color="auto"/>
      </w:divBdr>
      <w:divsChild>
        <w:div w:id="480384989">
          <w:marLeft w:val="0"/>
          <w:marRight w:val="0"/>
          <w:marTop w:val="0"/>
          <w:marBottom w:val="0"/>
          <w:divBdr>
            <w:top w:val="none" w:sz="0" w:space="0" w:color="auto"/>
            <w:left w:val="none" w:sz="0" w:space="0" w:color="auto"/>
            <w:bottom w:val="none" w:sz="0" w:space="0" w:color="auto"/>
            <w:right w:val="none" w:sz="0" w:space="0" w:color="auto"/>
          </w:divBdr>
          <w:divsChild>
            <w:div w:id="1411657789">
              <w:marLeft w:val="0"/>
              <w:marRight w:val="0"/>
              <w:marTop w:val="0"/>
              <w:marBottom w:val="0"/>
              <w:divBdr>
                <w:top w:val="none" w:sz="0" w:space="0" w:color="auto"/>
                <w:left w:val="none" w:sz="0" w:space="0" w:color="auto"/>
                <w:bottom w:val="none" w:sz="0" w:space="0" w:color="auto"/>
                <w:right w:val="none" w:sz="0" w:space="0" w:color="auto"/>
              </w:divBdr>
              <w:divsChild>
                <w:div w:id="558175839">
                  <w:marLeft w:val="0"/>
                  <w:marRight w:val="0"/>
                  <w:marTop w:val="0"/>
                  <w:marBottom w:val="0"/>
                  <w:divBdr>
                    <w:top w:val="none" w:sz="0" w:space="0" w:color="auto"/>
                    <w:left w:val="none" w:sz="0" w:space="0" w:color="auto"/>
                    <w:bottom w:val="none" w:sz="0" w:space="0" w:color="auto"/>
                    <w:right w:val="none" w:sz="0" w:space="0" w:color="auto"/>
                  </w:divBdr>
                  <w:divsChild>
                    <w:div w:id="259921515">
                      <w:marLeft w:val="0"/>
                      <w:marRight w:val="0"/>
                      <w:marTop w:val="0"/>
                      <w:marBottom w:val="0"/>
                      <w:divBdr>
                        <w:top w:val="none" w:sz="0" w:space="0" w:color="auto"/>
                        <w:left w:val="none" w:sz="0" w:space="0" w:color="auto"/>
                        <w:bottom w:val="none" w:sz="0" w:space="0" w:color="auto"/>
                        <w:right w:val="none" w:sz="0" w:space="0" w:color="auto"/>
                      </w:divBdr>
                      <w:divsChild>
                        <w:div w:id="108790361">
                          <w:marLeft w:val="0"/>
                          <w:marRight w:val="0"/>
                          <w:marTop w:val="0"/>
                          <w:marBottom w:val="0"/>
                          <w:divBdr>
                            <w:top w:val="none" w:sz="0" w:space="0" w:color="auto"/>
                            <w:left w:val="none" w:sz="0" w:space="0" w:color="auto"/>
                            <w:bottom w:val="none" w:sz="0" w:space="0" w:color="auto"/>
                            <w:right w:val="none" w:sz="0" w:space="0" w:color="auto"/>
                          </w:divBdr>
                          <w:divsChild>
                            <w:div w:id="238947249">
                              <w:marLeft w:val="0"/>
                              <w:marRight w:val="0"/>
                              <w:marTop w:val="0"/>
                              <w:marBottom w:val="0"/>
                              <w:divBdr>
                                <w:top w:val="none" w:sz="0" w:space="0" w:color="auto"/>
                                <w:left w:val="none" w:sz="0" w:space="0" w:color="auto"/>
                                <w:bottom w:val="none" w:sz="0" w:space="0" w:color="auto"/>
                                <w:right w:val="none" w:sz="0" w:space="0" w:color="auto"/>
                              </w:divBdr>
                              <w:divsChild>
                                <w:div w:id="183456554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914217">
      <w:bodyDiv w:val="1"/>
      <w:marLeft w:val="0"/>
      <w:marRight w:val="0"/>
      <w:marTop w:val="0"/>
      <w:marBottom w:val="0"/>
      <w:divBdr>
        <w:top w:val="none" w:sz="0" w:space="0" w:color="auto"/>
        <w:left w:val="none" w:sz="0" w:space="0" w:color="auto"/>
        <w:bottom w:val="none" w:sz="0" w:space="0" w:color="auto"/>
        <w:right w:val="none" w:sz="0" w:space="0" w:color="auto"/>
      </w:divBdr>
      <w:divsChild>
        <w:div w:id="328291285">
          <w:marLeft w:val="0"/>
          <w:marRight w:val="0"/>
          <w:marTop w:val="0"/>
          <w:marBottom w:val="0"/>
          <w:divBdr>
            <w:top w:val="none" w:sz="0" w:space="0" w:color="auto"/>
            <w:left w:val="none" w:sz="0" w:space="0" w:color="auto"/>
            <w:bottom w:val="none" w:sz="0" w:space="0" w:color="auto"/>
            <w:right w:val="none" w:sz="0" w:space="0" w:color="auto"/>
          </w:divBdr>
        </w:div>
        <w:div w:id="932859095">
          <w:marLeft w:val="0"/>
          <w:marRight w:val="0"/>
          <w:marTop w:val="240"/>
          <w:marBottom w:val="0"/>
          <w:divBdr>
            <w:top w:val="none" w:sz="0" w:space="0" w:color="auto"/>
            <w:left w:val="none" w:sz="0" w:space="0" w:color="auto"/>
            <w:bottom w:val="none" w:sz="0" w:space="0" w:color="auto"/>
            <w:right w:val="none" w:sz="0" w:space="0" w:color="auto"/>
          </w:divBdr>
          <w:divsChild>
            <w:div w:id="846797747">
              <w:marLeft w:val="0"/>
              <w:marRight w:val="0"/>
              <w:marTop w:val="0"/>
              <w:marBottom w:val="0"/>
              <w:divBdr>
                <w:top w:val="none" w:sz="0" w:space="0" w:color="auto"/>
                <w:left w:val="none" w:sz="0" w:space="0" w:color="auto"/>
                <w:bottom w:val="none" w:sz="0" w:space="0" w:color="auto"/>
                <w:right w:val="none" w:sz="0" w:space="0" w:color="auto"/>
              </w:divBdr>
            </w:div>
          </w:divsChild>
        </w:div>
        <w:div w:id="1119764668">
          <w:marLeft w:val="0"/>
          <w:marRight w:val="0"/>
          <w:marTop w:val="240"/>
          <w:marBottom w:val="0"/>
          <w:divBdr>
            <w:top w:val="none" w:sz="0" w:space="0" w:color="auto"/>
            <w:left w:val="none" w:sz="0" w:space="0" w:color="auto"/>
            <w:bottom w:val="none" w:sz="0" w:space="0" w:color="auto"/>
            <w:right w:val="none" w:sz="0" w:space="0" w:color="auto"/>
          </w:divBdr>
          <w:divsChild>
            <w:div w:id="1350908030">
              <w:marLeft w:val="0"/>
              <w:marRight w:val="0"/>
              <w:marTop w:val="0"/>
              <w:marBottom w:val="0"/>
              <w:divBdr>
                <w:top w:val="none" w:sz="0" w:space="0" w:color="auto"/>
                <w:left w:val="none" w:sz="0" w:space="0" w:color="auto"/>
                <w:bottom w:val="none" w:sz="0" w:space="0" w:color="auto"/>
                <w:right w:val="none" w:sz="0" w:space="0" w:color="auto"/>
              </w:divBdr>
            </w:div>
          </w:divsChild>
        </w:div>
        <w:div w:id="1993556925">
          <w:marLeft w:val="0"/>
          <w:marRight w:val="0"/>
          <w:marTop w:val="240"/>
          <w:marBottom w:val="0"/>
          <w:divBdr>
            <w:top w:val="none" w:sz="0" w:space="0" w:color="auto"/>
            <w:left w:val="none" w:sz="0" w:space="0" w:color="auto"/>
            <w:bottom w:val="none" w:sz="0" w:space="0" w:color="auto"/>
            <w:right w:val="none" w:sz="0" w:space="0" w:color="auto"/>
          </w:divBdr>
          <w:divsChild>
            <w:div w:id="492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20378">
      <w:bodyDiv w:val="1"/>
      <w:marLeft w:val="0"/>
      <w:marRight w:val="0"/>
      <w:marTop w:val="0"/>
      <w:marBottom w:val="0"/>
      <w:divBdr>
        <w:top w:val="none" w:sz="0" w:space="0" w:color="auto"/>
        <w:left w:val="none" w:sz="0" w:space="0" w:color="auto"/>
        <w:bottom w:val="none" w:sz="0" w:space="0" w:color="auto"/>
        <w:right w:val="none" w:sz="0" w:space="0" w:color="auto"/>
      </w:divBdr>
      <w:divsChild>
        <w:div w:id="1121073920">
          <w:marLeft w:val="0"/>
          <w:marRight w:val="0"/>
          <w:marTop w:val="0"/>
          <w:marBottom w:val="0"/>
          <w:divBdr>
            <w:top w:val="none" w:sz="0" w:space="0" w:color="auto"/>
            <w:left w:val="none" w:sz="0" w:space="0" w:color="auto"/>
            <w:bottom w:val="none" w:sz="0" w:space="0" w:color="auto"/>
            <w:right w:val="none" w:sz="0" w:space="0" w:color="auto"/>
          </w:divBdr>
          <w:divsChild>
            <w:div w:id="83771698">
              <w:marLeft w:val="-3072"/>
              <w:marRight w:val="0"/>
              <w:marTop w:val="0"/>
              <w:marBottom w:val="0"/>
              <w:divBdr>
                <w:top w:val="none" w:sz="0" w:space="0" w:color="auto"/>
                <w:left w:val="none" w:sz="0" w:space="0" w:color="auto"/>
                <w:bottom w:val="none" w:sz="0" w:space="0" w:color="auto"/>
                <w:right w:val="none" w:sz="0" w:space="0" w:color="auto"/>
              </w:divBdr>
              <w:divsChild>
                <w:div w:id="1998487231">
                  <w:marLeft w:val="3072"/>
                  <w:marRight w:val="0"/>
                  <w:marTop w:val="0"/>
                  <w:marBottom w:val="0"/>
                  <w:divBdr>
                    <w:top w:val="none" w:sz="0" w:space="0" w:color="auto"/>
                    <w:left w:val="none" w:sz="0" w:space="0" w:color="auto"/>
                    <w:bottom w:val="none" w:sz="0" w:space="0" w:color="auto"/>
                    <w:right w:val="none" w:sz="0" w:space="0" w:color="auto"/>
                  </w:divBdr>
                  <w:divsChild>
                    <w:div w:id="21081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842852">
      <w:bodyDiv w:val="1"/>
      <w:marLeft w:val="0"/>
      <w:marRight w:val="0"/>
      <w:marTop w:val="0"/>
      <w:marBottom w:val="0"/>
      <w:divBdr>
        <w:top w:val="none" w:sz="0" w:space="0" w:color="auto"/>
        <w:left w:val="none" w:sz="0" w:space="0" w:color="auto"/>
        <w:bottom w:val="none" w:sz="0" w:space="0" w:color="auto"/>
        <w:right w:val="none" w:sz="0" w:space="0" w:color="auto"/>
      </w:divBdr>
      <w:divsChild>
        <w:div w:id="771165408">
          <w:marLeft w:val="0"/>
          <w:marRight w:val="0"/>
          <w:marTop w:val="0"/>
          <w:marBottom w:val="0"/>
          <w:divBdr>
            <w:top w:val="none" w:sz="0" w:space="0" w:color="auto"/>
            <w:left w:val="none" w:sz="0" w:space="0" w:color="auto"/>
            <w:bottom w:val="none" w:sz="0" w:space="0" w:color="auto"/>
            <w:right w:val="none" w:sz="0" w:space="0" w:color="auto"/>
          </w:divBdr>
          <w:divsChild>
            <w:div w:id="268464991">
              <w:marLeft w:val="0"/>
              <w:marRight w:val="0"/>
              <w:marTop w:val="0"/>
              <w:marBottom w:val="0"/>
              <w:divBdr>
                <w:top w:val="none" w:sz="0" w:space="0" w:color="auto"/>
                <w:left w:val="none" w:sz="0" w:space="0" w:color="auto"/>
                <w:bottom w:val="none" w:sz="0" w:space="0" w:color="auto"/>
                <w:right w:val="none" w:sz="0" w:space="0" w:color="auto"/>
              </w:divBdr>
              <w:divsChild>
                <w:div w:id="759839585">
                  <w:marLeft w:val="0"/>
                  <w:marRight w:val="0"/>
                  <w:marTop w:val="0"/>
                  <w:marBottom w:val="0"/>
                  <w:divBdr>
                    <w:top w:val="none" w:sz="0" w:space="0" w:color="auto"/>
                    <w:left w:val="none" w:sz="0" w:space="0" w:color="auto"/>
                    <w:bottom w:val="none" w:sz="0" w:space="0" w:color="auto"/>
                    <w:right w:val="none" w:sz="0" w:space="0" w:color="auto"/>
                  </w:divBdr>
                  <w:divsChild>
                    <w:div w:id="1238593725">
                      <w:marLeft w:val="0"/>
                      <w:marRight w:val="0"/>
                      <w:marTop w:val="0"/>
                      <w:marBottom w:val="0"/>
                      <w:divBdr>
                        <w:top w:val="none" w:sz="0" w:space="0" w:color="auto"/>
                        <w:left w:val="none" w:sz="0" w:space="0" w:color="auto"/>
                        <w:bottom w:val="none" w:sz="0" w:space="0" w:color="auto"/>
                        <w:right w:val="none" w:sz="0" w:space="0" w:color="auto"/>
                      </w:divBdr>
                      <w:divsChild>
                        <w:div w:id="1146162389">
                          <w:marLeft w:val="0"/>
                          <w:marRight w:val="0"/>
                          <w:marTop w:val="0"/>
                          <w:marBottom w:val="0"/>
                          <w:divBdr>
                            <w:top w:val="none" w:sz="0" w:space="0" w:color="auto"/>
                            <w:left w:val="none" w:sz="0" w:space="0" w:color="auto"/>
                            <w:bottom w:val="none" w:sz="0" w:space="0" w:color="auto"/>
                            <w:right w:val="none" w:sz="0" w:space="0" w:color="auto"/>
                          </w:divBdr>
                          <w:divsChild>
                            <w:div w:id="1962689893">
                              <w:marLeft w:val="0"/>
                              <w:marRight w:val="0"/>
                              <w:marTop w:val="0"/>
                              <w:marBottom w:val="0"/>
                              <w:divBdr>
                                <w:top w:val="none" w:sz="0" w:space="0" w:color="auto"/>
                                <w:left w:val="none" w:sz="0" w:space="0" w:color="auto"/>
                                <w:bottom w:val="none" w:sz="0" w:space="0" w:color="auto"/>
                                <w:right w:val="none" w:sz="0" w:space="0" w:color="auto"/>
                              </w:divBdr>
                              <w:divsChild>
                                <w:div w:id="142352643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381411">
      <w:bodyDiv w:val="1"/>
      <w:marLeft w:val="0"/>
      <w:marRight w:val="0"/>
      <w:marTop w:val="0"/>
      <w:marBottom w:val="0"/>
      <w:divBdr>
        <w:top w:val="none" w:sz="0" w:space="0" w:color="auto"/>
        <w:left w:val="none" w:sz="0" w:space="0" w:color="auto"/>
        <w:bottom w:val="none" w:sz="0" w:space="0" w:color="auto"/>
        <w:right w:val="none" w:sz="0" w:space="0" w:color="auto"/>
      </w:divBdr>
      <w:divsChild>
        <w:div w:id="1902325676">
          <w:marLeft w:val="0"/>
          <w:marRight w:val="0"/>
          <w:marTop w:val="0"/>
          <w:marBottom w:val="0"/>
          <w:divBdr>
            <w:top w:val="none" w:sz="0" w:space="0" w:color="auto"/>
            <w:left w:val="single" w:sz="6" w:space="0" w:color="BBBBBB"/>
            <w:bottom w:val="single" w:sz="6" w:space="0" w:color="BBBBBB"/>
            <w:right w:val="single" w:sz="6" w:space="0" w:color="BBBBBB"/>
          </w:divBdr>
          <w:divsChild>
            <w:div w:id="1259369546">
              <w:marLeft w:val="0"/>
              <w:marRight w:val="0"/>
              <w:marTop w:val="0"/>
              <w:marBottom w:val="0"/>
              <w:divBdr>
                <w:top w:val="none" w:sz="0" w:space="0" w:color="auto"/>
                <w:left w:val="none" w:sz="0" w:space="0" w:color="auto"/>
                <w:bottom w:val="none" w:sz="0" w:space="0" w:color="auto"/>
                <w:right w:val="none" w:sz="0" w:space="0" w:color="auto"/>
              </w:divBdr>
              <w:divsChild>
                <w:div w:id="269167821">
                  <w:marLeft w:val="0"/>
                  <w:marRight w:val="0"/>
                  <w:marTop w:val="75"/>
                  <w:marBottom w:val="0"/>
                  <w:divBdr>
                    <w:top w:val="none" w:sz="0" w:space="0" w:color="auto"/>
                    <w:left w:val="none" w:sz="0" w:space="0" w:color="auto"/>
                    <w:bottom w:val="none" w:sz="0" w:space="0" w:color="auto"/>
                    <w:right w:val="none" w:sz="0" w:space="0" w:color="auto"/>
                  </w:divBdr>
                  <w:divsChild>
                    <w:div w:id="1309939717">
                      <w:marLeft w:val="0"/>
                      <w:marRight w:val="0"/>
                      <w:marTop w:val="0"/>
                      <w:marBottom w:val="0"/>
                      <w:divBdr>
                        <w:top w:val="none" w:sz="0" w:space="0" w:color="auto"/>
                        <w:left w:val="none" w:sz="0" w:space="0" w:color="auto"/>
                        <w:bottom w:val="none" w:sz="0" w:space="0" w:color="auto"/>
                        <w:right w:val="none" w:sz="0" w:space="0" w:color="auto"/>
                      </w:divBdr>
                      <w:divsChild>
                        <w:div w:id="1701280345">
                          <w:marLeft w:val="0"/>
                          <w:marRight w:val="0"/>
                          <w:marTop w:val="0"/>
                          <w:marBottom w:val="0"/>
                          <w:divBdr>
                            <w:top w:val="none" w:sz="0" w:space="0" w:color="auto"/>
                            <w:left w:val="none" w:sz="0" w:space="0" w:color="auto"/>
                            <w:bottom w:val="none" w:sz="0" w:space="0" w:color="auto"/>
                            <w:right w:val="none" w:sz="0" w:space="0" w:color="auto"/>
                          </w:divBdr>
                          <w:divsChild>
                            <w:div w:id="247882485">
                              <w:marLeft w:val="0"/>
                              <w:marRight w:val="0"/>
                              <w:marTop w:val="0"/>
                              <w:marBottom w:val="0"/>
                              <w:divBdr>
                                <w:top w:val="none" w:sz="0" w:space="0" w:color="auto"/>
                                <w:left w:val="none" w:sz="0" w:space="0" w:color="auto"/>
                                <w:bottom w:val="none" w:sz="0" w:space="0" w:color="auto"/>
                                <w:right w:val="none" w:sz="0" w:space="0" w:color="auto"/>
                              </w:divBdr>
                              <w:divsChild>
                                <w:div w:id="1178424530">
                                  <w:marLeft w:val="0"/>
                                  <w:marRight w:val="0"/>
                                  <w:marTop w:val="0"/>
                                  <w:marBottom w:val="0"/>
                                  <w:divBdr>
                                    <w:top w:val="none" w:sz="0" w:space="0" w:color="auto"/>
                                    <w:left w:val="none" w:sz="0" w:space="0" w:color="auto"/>
                                    <w:bottom w:val="none" w:sz="0" w:space="0" w:color="auto"/>
                                    <w:right w:val="none" w:sz="0" w:space="0" w:color="auto"/>
                                  </w:divBdr>
                                  <w:divsChild>
                                    <w:div w:id="1451583170">
                                      <w:marLeft w:val="0"/>
                                      <w:marRight w:val="0"/>
                                      <w:marTop w:val="0"/>
                                      <w:marBottom w:val="0"/>
                                      <w:divBdr>
                                        <w:top w:val="none" w:sz="0" w:space="0" w:color="auto"/>
                                        <w:left w:val="none" w:sz="0" w:space="0" w:color="auto"/>
                                        <w:bottom w:val="none" w:sz="0" w:space="0" w:color="auto"/>
                                        <w:right w:val="none" w:sz="0" w:space="0" w:color="auto"/>
                                      </w:divBdr>
                                      <w:divsChild>
                                        <w:div w:id="1023244469">
                                          <w:marLeft w:val="1200"/>
                                          <w:marRight w:val="1200"/>
                                          <w:marTop w:val="0"/>
                                          <w:marBottom w:val="0"/>
                                          <w:divBdr>
                                            <w:top w:val="none" w:sz="0" w:space="0" w:color="auto"/>
                                            <w:left w:val="none" w:sz="0" w:space="0" w:color="auto"/>
                                            <w:bottom w:val="none" w:sz="0" w:space="0" w:color="auto"/>
                                            <w:right w:val="none" w:sz="0" w:space="0" w:color="auto"/>
                                          </w:divBdr>
                                          <w:divsChild>
                                            <w:div w:id="1809780739">
                                              <w:marLeft w:val="0"/>
                                              <w:marRight w:val="0"/>
                                              <w:marTop w:val="0"/>
                                              <w:marBottom w:val="0"/>
                                              <w:divBdr>
                                                <w:top w:val="none" w:sz="0" w:space="0" w:color="auto"/>
                                                <w:left w:val="none" w:sz="0" w:space="0" w:color="auto"/>
                                                <w:bottom w:val="none" w:sz="0" w:space="0" w:color="auto"/>
                                                <w:right w:val="none" w:sz="0" w:space="0" w:color="auto"/>
                                              </w:divBdr>
                                              <w:divsChild>
                                                <w:div w:id="913468626">
                                                  <w:marLeft w:val="0"/>
                                                  <w:marRight w:val="0"/>
                                                  <w:marTop w:val="0"/>
                                                  <w:marBottom w:val="0"/>
                                                  <w:divBdr>
                                                    <w:top w:val="none" w:sz="0" w:space="0" w:color="auto"/>
                                                    <w:left w:val="none" w:sz="0" w:space="0" w:color="auto"/>
                                                    <w:bottom w:val="none" w:sz="0" w:space="0" w:color="auto"/>
                                                    <w:right w:val="none" w:sz="0" w:space="0" w:color="auto"/>
                                                  </w:divBdr>
                                                  <w:divsChild>
                                                    <w:div w:id="1483738321">
                                                      <w:marLeft w:val="0"/>
                                                      <w:marRight w:val="0"/>
                                                      <w:marTop w:val="0"/>
                                                      <w:marBottom w:val="0"/>
                                                      <w:divBdr>
                                                        <w:top w:val="none" w:sz="0" w:space="0" w:color="auto"/>
                                                        <w:left w:val="none" w:sz="0" w:space="0" w:color="auto"/>
                                                        <w:bottom w:val="none" w:sz="0" w:space="0" w:color="auto"/>
                                                        <w:right w:val="none" w:sz="0" w:space="0" w:color="auto"/>
                                                      </w:divBdr>
                                                      <w:divsChild>
                                                        <w:div w:id="1724207742">
                                                          <w:marLeft w:val="0"/>
                                                          <w:marRight w:val="0"/>
                                                          <w:marTop w:val="0"/>
                                                          <w:marBottom w:val="0"/>
                                                          <w:divBdr>
                                                            <w:top w:val="none" w:sz="0" w:space="0" w:color="auto"/>
                                                            <w:left w:val="none" w:sz="0" w:space="0" w:color="auto"/>
                                                            <w:bottom w:val="none" w:sz="0" w:space="0" w:color="auto"/>
                                                            <w:right w:val="none" w:sz="0" w:space="0" w:color="auto"/>
                                                          </w:divBdr>
                                                          <w:divsChild>
                                                            <w:div w:id="1332877173">
                                                              <w:marLeft w:val="0"/>
                                                              <w:marRight w:val="0"/>
                                                              <w:marTop w:val="0"/>
                                                              <w:marBottom w:val="0"/>
                                                              <w:divBdr>
                                                                <w:top w:val="none" w:sz="0" w:space="0" w:color="auto"/>
                                                                <w:left w:val="none" w:sz="0" w:space="0" w:color="auto"/>
                                                                <w:bottom w:val="none" w:sz="0" w:space="0" w:color="auto"/>
                                                                <w:right w:val="none" w:sz="0" w:space="0" w:color="auto"/>
                                                              </w:divBdr>
                                                              <w:divsChild>
                                                                <w:div w:id="619536039">
                                                                  <w:marLeft w:val="0"/>
                                                                  <w:marRight w:val="0"/>
                                                                  <w:marTop w:val="0"/>
                                                                  <w:marBottom w:val="0"/>
                                                                  <w:divBdr>
                                                                    <w:top w:val="none" w:sz="0" w:space="0" w:color="auto"/>
                                                                    <w:left w:val="none" w:sz="0" w:space="0" w:color="auto"/>
                                                                    <w:bottom w:val="none" w:sz="0" w:space="0" w:color="auto"/>
                                                                    <w:right w:val="none" w:sz="0" w:space="0" w:color="auto"/>
                                                                  </w:divBdr>
                                                                  <w:divsChild>
                                                                    <w:div w:id="879439280">
                                                                      <w:marLeft w:val="0"/>
                                                                      <w:marRight w:val="0"/>
                                                                      <w:marTop w:val="0"/>
                                                                      <w:marBottom w:val="0"/>
                                                                      <w:divBdr>
                                                                        <w:top w:val="none" w:sz="0" w:space="0" w:color="auto"/>
                                                                        <w:left w:val="none" w:sz="0" w:space="0" w:color="auto"/>
                                                                        <w:bottom w:val="none" w:sz="0" w:space="0" w:color="auto"/>
                                                                        <w:right w:val="none" w:sz="0" w:space="0" w:color="auto"/>
                                                                      </w:divBdr>
                                                                      <w:divsChild>
                                                                        <w:div w:id="1772236261">
                                                                          <w:marLeft w:val="0"/>
                                                                          <w:marRight w:val="0"/>
                                                                          <w:marTop w:val="0"/>
                                                                          <w:marBottom w:val="0"/>
                                                                          <w:divBdr>
                                                                            <w:top w:val="none" w:sz="0" w:space="0" w:color="auto"/>
                                                                            <w:left w:val="none" w:sz="0" w:space="0" w:color="auto"/>
                                                                            <w:bottom w:val="none" w:sz="0" w:space="0" w:color="auto"/>
                                                                            <w:right w:val="none" w:sz="0" w:space="0" w:color="auto"/>
                                                                          </w:divBdr>
                                                                        </w:div>
                                                                      </w:divsChild>
                                                                    </w:div>
                                                                    <w:div w:id="1753237573">
                                                                      <w:marLeft w:val="0"/>
                                                                      <w:marRight w:val="0"/>
                                                                      <w:marTop w:val="0"/>
                                                                      <w:marBottom w:val="0"/>
                                                                      <w:divBdr>
                                                                        <w:top w:val="none" w:sz="0" w:space="0" w:color="auto"/>
                                                                        <w:left w:val="none" w:sz="0" w:space="0" w:color="auto"/>
                                                                        <w:bottom w:val="none" w:sz="0" w:space="0" w:color="auto"/>
                                                                        <w:right w:val="none" w:sz="0" w:space="0" w:color="auto"/>
                                                                      </w:divBdr>
                                                                      <w:divsChild>
                                                                        <w:div w:id="13450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1192986">
      <w:bodyDiv w:val="1"/>
      <w:marLeft w:val="30"/>
      <w:marRight w:val="30"/>
      <w:marTop w:val="30"/>
      <w:marBottom w:val="30"/>
      <w:divBdr>
        <w:top w:val="none" w:sz="0" w:space="0" w:color="auto"/>
        <w:left w:val="none" w:sz="0" w:space="0" w:color="auto"/>
        <w:bottom w:val="none" w:sz="0" w:space="0" w:color="auto"/>
        <w:right w:val="none" w:sz="0" w:space="0" w:color="auto"/>
      </w:divBdr>
      <w:divsChild>
        <w:div w:id="1878809830">
          <w:marLeft w:val="0"/>
          <w:marRight w:val="0"/>
          <w:marTop w:val="0"/>
          <w:marBottom w:val="0"/>
          <w:divBdr>
            <w:top w:val="none" w:sz="0" w:space="0" w:color="auto"/>
            <w:left w:val="none" w:sz="0" w:space="0" w:color="auto"/>
            <w:bottom w:val="none" w:sz="0" w:space="0" w:color="auto"/>
            <w:right w:val="none" w:sz="0" w:space="0" w:color="auto"/>
          </w:divBdr>
          <w:divsChild>
            <w:div w:id="904099391">
              <w:marLeft w:val="45"/>
              <w:marRight w:val="45"/>
              <w:marTop w:val="45"/>
              <w:marBottom w:val="45"/>
              <w:divBdr>
                <w:top w:val="none" w:sz="0" w:space="0" w:color="auto"/>
                <w:left w:val="none" w:sz="0" w:space="0" w:color="auto"/>
                <w:bottom w:val="none" w:sz="0" w:space="0" w:color="auto"/>
                <w:right w:val="none" w:sz="0" w:space="0" w:color="auto"/>
              </w:divBdr>
              <w:divsChild>
                <w:div w:id="886599609">
                  <w:marLeft w:val="0"/>
                  <w:marRight w:val="0"/>
                  <w:marTop w:val="0"/>
                  <w:marBottom w:val="0"/>
                  <w:divBdr>
                    <w:top w:val="none" w:sz="0" w:space="0" w:color="auto"/>
                    <w:left w:val="none" w:sz="0" w:space="0" w:color="auto"/>
                    <w:bottom w:val="none" w:sz="0" w:space="0" w:color="auto"/>
                    <w:right w:val="none" w:sz="0" w:space="0" w:color="auto"/>
                  </w:divBdr>
                  <w:divsChild>
                    <w:div w:id="997073320">
                      <w:marLeft w:val="0"/>
                      <w:marRight w:val="0"/>
                      <w:marTop w:val="0"/>
                      <w:marBottom w:val="0"/>
                      <w:divBdr>
                        <w:top w:val="none" w:sz="0" w:space="0" w:color="auto"/>
                        <w:left w:val="none" w:sz="0" w:space="0" w:color="auto"/>
                        <w:bottom w:val="none" w:sz="0" w:space="0" w:color="auto"/>
                        <w:right w:val="none" w:sz="0" w:space="0" w:color="auto"/>
                      </w:divBdr>
                    </w:div>
                    <w:div w:id="1066689019">
                      <w:marLeft w:val="0"/>
                      <w:marRight w:val="0"/>
                      <w:marTop w:val="0"/>
                      <w:marBottom w:val="0"/>
                      <w:divBdr>
                        <w:top w:val="none" w:sz="0" w:space="0" w:color="auto"/>
                        <w:left w:val="none" w:sz="0" w:space="0" w:color="auto"/>
                        <w:bottom w:val="none" w:sz="0" w:space="0" w:color="auto"/>
                        <w:right w:val="none" w:sz="0" w:space="0" w:color="auto"/>
                      </w:divBdr>
                    </w:div>
                    <w:div w:id="1450858460">
                      <w:marLeft w:val="0"/>
                      <w:marRight w:val="0"/>
                      <w:marTop w:val="0"/>
                      <w:marBottom w:val="0"/>
                      <w:divBdr>
                        <w:top w:val="none" w:sz="0" w:space="0" w:color="auto"/>
                        <w:left w:val="none" w:sz="0" w:space="0" w:color="auto"/>
                        <w:bottom w:val="none" w:sz="0" w:space="0" w:color="auto"/>
                        <w:right w:val="none" w:sz="0" w:space="0" w:color="auto"/>
                      </w:divBdr>
                    </w:div>
                    <w:div w:id="212129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852329">
      <w:bodyDiv w:val="1"/>
      <w:marLeft w:val="0"/>
      <w:marRight w:val="0"/>
      <w:marTop w:val="0"/>
      <w:marBottom w:val="0"/>
      <w:divBdr>
        <w:top w:val="none" w:sz="0" w:space="0" w:color="auto"/>
        <w:left w:val="none" w:sz="0" w:space="0" w:color="auto"/>
        <w:bottom w:val="none" w:sz="0" w:space="0" w:color="auto"/>
        <w:right w:val="none" w:sz="0" w:space="0" w:color="auto"/>
      </w:divBdr>
      <w:divsChild>
        <w:div w:id="585727568">
          <w:marLeft w:val="0"/>
          <w:marRight w:val="0"/>
          <w:marTop w:val="0"/>
          <w:marBottom w:val="0"/>
          <w:divBdr>
            <w:top w:val="none" w:sz="0" w:space="0" w:color="auto"/>
            <w:left w:val="none" w:sz="0" w:space="0" w:color="auto"/>
            <w:bottom w:val="none" w:sz="0" w:space="0" w:color="auto"/>
            <w:right w:val="none" w:sz="0" w:space="0" w:color="auto"/>
          </w:divBdr>
          <w:divsChild>
            <w:div w:id="1649280822">
              <w:marLeft w:val="0"/>
              <w:marRight w:val="0"/>
              <w:marTop w:val="0"/>
              <w:marBottom w:val="0"/>
              <w:divBdr>
                <w:top w:val="none" w:sz="0" w:space="0" w:color="auto"/>
                <w:left w:val="none" w:sz="0" w:space="0" w:color="auto"/>
                <w:bottom w:val="none" w:sz="0" w:space="0" w:color="auto"/>
                <w:right w:val="none" w:sz="0" w:space="0" w:color="auto"/>
              </w:divBdr>
              <w:divsChild>
                <w:div w:id="2002082074">
                  <w:marLeft w:val="0"/>
                  <w:marRight w:val="0"/>
                  <w:marTop w:val="0"/>
                  <w:marBottom w:val="0"/>
                  <w:divBdr>
                    <w:top w:val="none" w:sz="0" w:space="0" w:color="auto"/>
                    <w:left w:val="none" w:sz="0" w:space="0" w:color="auto"/>
                    <w:bottom w:val="none" w:sz="0" w:space="0" w:color="auto"/>
                    <w:right w:val="none" w:sz="0" w:space="0" w:color="auto"/>
                  </w:divBdr>
                  <w:divsChild>
                    <w:div w:id="1694838220">
                      <w:marLeft w:val="0"/>
                      <w:marRight w:val="0"/>
                      <w:marTop w:val="0"/>
                      <w:marBottom w:val="300"/>
                      <w:divBdr>
                        <w:top w:val="none" w:sz="0" w:space="0" w:color="auto"/>
                        <w:left w:val="none" w:sz="0" w:space="0" w:color="auto"/>
                        <w:bottom w:val="none" w:sz="0" w:space="0" w:color="auto"/>
                        <w:right w:val="none" w:sz="0" w:space="0" w:color="auto"/>
                      </w:divBdr>
                      <w:divsChild>
                        <w:div w:id="4422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164659">
      <w:bodyDiv w:val="1"/>
      <w:marLeft w:val="0"/>
      <w:marRight w:val="0"/>
      <w:marTop w:val="0"/>
      <w:marBottom w:val="0"/>
      <w:divBdr>
        <w:top w:val="none" w:sz="0" w:space="0" w:color="auto"/>
        <w:left w:val="none" w:sz="0" w:space="0" w:color="auto"/>
        <w:bottom w:val="none" w:sz="0" w:space="0" w:color="auto"/>
        <w:right w:val="none" w:sz="0" w:space="0" w:color="auto"/>
      </w:divBdr>
      <w:divsChild>
        <w:div w:id="271057196">
          <w:marLeft w:val="0"/>
          <w:marRight w:val="0"/>
          <w:marTop w:val="0"/>
          <w:marBottom w:val="0"/>
          <w:divBdr>
            <w:top w:val="none" w:sz="0" w:space="0" w:color="auto"/>
            <w:left w:val="none" w:sz="0" w:space="0" w:color="auto"/>
            <w:bottom w:val="none" w:sz="0" w:space="0" w:color="auto"/>
            <w:right w:val="none" w:sz="0" w:space="0" w:color="auto"/>
          </w:divBdr>
          <w:divsChild>
            <w:div w:id="1426607116">
              <w:marLeft w:val="0"/>
              <w:marRight w:val="0"/>
              <w:marTop w:val="0"/>
              <w:marBottom w:val="0"/>
              <w:divBdr>
                <w:top w:val="none" w:sz="0" w:space="0" w:color="auto"/>
                <w:left w:val="none" w:sz="0" w:space="0" w:color="auto"/>
                <w:bottom w:val="none" w:sz="0" w:space="0" w:color="auto"/>
                <w:right w:val="none" w:sz="0" w:space="0" w:color="auto"/>
              </w:divBdr>
              <w:divsChild>
                <w:div w:id="398985562">
                  <w:marLeft w:val="0"/>
                  <w:marRight w:val="0"/>
                  <w:marTop w:val="0"/>
                  <w:marBottom w:val="0"/>
                  <w:divBdr>
                    <w:top w:val="none" w:sz="0" w:space="0" w:color="auto"/>
                    <w:left w:val="none" w:sz="0" w:space="0" w:color="auto"/>
                    <w:bottom w:val="none" w:sz="0" w:space="0" w:color="auto"/>
                    <w:right w:val="none" w:sz="0" w:space="0" w:color="auto"/>
                  </w:divBdr>
                  <w:divsChild>
                    <w:div w:id="11343127">
                      <w:marLeft w:val="0"/>
                      <w:marRight w:val="0"/>
                      <w:marTop w:val="0"/>
                      <w:marBottom w:val="300"/>
                      <w:divBdr>
                        <w:top w:val="none" w:sz="0" w:space="0" w:color="auto"/>
                        <w:left w:val="none" w:sz="0" w:space="0" w:color="auto"/>
                        <w:bottom w:val="none" w:sz="0" w:space="0" w:color="auto"/>
                        <w:right w:val="none" w:sz="0" w:space="0" w:color="auto"/>
                      </w:divBdr>
                      <w:divsChild>
                        <w:div w:id="5705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135603">
      <w:bodyDiv w:val="1"/>
      <w:marLeft w:val="0"/>
      <w:marRight w:val="0"/>
      <w:marTop w:val="0"/>
      <w:marBottom w:val="0"/>
      <w:divBdr>
        <w:top w:val="none" w:sz="0" w:space="0" w:color="auto"/>
        <w:left w:val="none" w:sz="0" w:space="0" w:color="auto"/>
        <w:bottom w:val="none" w:sz="0" w:space="0" w:color="auto"/>
        <w:right w:val="none" w:sz="0" w:space="0" w:color="auto"/>
      </w:divBdr>
      <w:divsChild>
        <w:div w:id="2076076987">
          <w:marLeft w:val="0"/>
          <w:marRight w:val="0"/>
          <w:marTop w:val="0"/>
          <w:marBottom w:val="0"/>
          <w:divBdr>
            <w:top w:val="none" w:sz="0" w:space="0" w:color="auto"/>
            <w:left w:val="single" w:sz="6" w:space="0" w:color="BBBBBB"/>
            <w:bottom w:val="single" w:sz="6" w:space="0" w:color="BBBBBB"/>
            <w:right w:val="single" w:sz="6" w:space="0" w:color="BBBBBB"/>
          </w:divBdr>
          <w:divsChild>
            <w:div w:id="1965236123">
              <w:marLeft w:val="0"/>
              <w:marRight w:val="0"/>
              <w:marTop w:val="0"/>
              <w:marBottom w:val="0"/>
              <w:divBdr>
                <w:top w:val="none" w:sz="0" w:space="0" w:color="auto"/>
                <w:left w:val="none" w:sz="0" w:space="0" w:color="auto"/>
                <w:bottom w:val="none" w:sz="0" w:space="0" w:color="auto"/>
                <w:right w:val="none" w:sz="0" w:space="0" w:color="auto"/>
              </w:divBdr>
              <w:divsChild>
                <w:div w:id="320891030">
                  <w:marLeft w:val="0"/>
                  <w:marRight w:val="0"/>
                  <w:marTop w:val="0"/>
                  <w:marBottom w:val="0"/>
                  <w:divBdr>
                    <w:top w:val="none" w:sz="0" w:space="0" w:color="auto"/>
                    <w:left w:val="none" w:sz="0" w:space="0" w:color="auto"/>
                    <w:bottom w:val="none" w:sz="0" w:space="0" w:color="auto"/>
                    <w:right w:val="none" w:sz="0" w:space="0" w:color="auto"/>
                  </w:divBdr>
                  <w:divsChild>
                    <w:div w:id="2026905182">
                      <w:marLeft w:val="0"/>
                      <w:marRight w:val="0"/>
                      <w:marTop w:val="0"/>
                      <w:marBottom w:val="0"/>
                      <w:divBdr>
                        <w:top w:val="none" w:sz="0" w:space="0" w:color="auto"/>
                        <w:left w:val="none" w:sz="0" w:space="0" w:color="auto"/>
                        <w:bottom w:val="none" w:sz="0" w:space="0" w:color="auto"/>
                        <w:right w:val="none" w:sz="0" w:space="0" w:color="auto"/>
                      </w:divBdr>
                      <w:divsChild>
                        <w:div w:id="1590695180">
                          <w:marLeft w:val="0"/>
                          <w:marRight w:val="0"/>
                          <w:marTop w:val="0"/>
                          <w:marBottom w:val="0"/>
                          <w:divBdr>
                            <w:top w:val="none" w:sz="0" w:space="0" w:color="auto"/>
                            <w:left w:val="none" w:sz="0" w:space="0" w:color="auto"/>
                            <w:bottom w:val="none" w:sz="0" w:space="0" w:color="auto"/>
                            <w:right w:val="none" w:sz="0" w:space="0" w:color="auto"/>
                          </w:divBdr>
                          <w:divsChild>
                            <w:div w:id="324937293">
                              <w:marLeft w:val="0"/>
                              <w:marRight w:val="0"/>
                              <w:marTop w:val="0"/>
                              <w:marBottom w:val="0"/>
                              <w:divBdr>
                                <w:top w:val="none" w:sz="0" w:space="0" w:color="auto"/>
                                <w:left w:val="none" w:sz="0" w:space="0" w:color="auto"/>
                                <w:bottom w:val="none" w:sz="0" w:space="0" w:color="auto"/>
                                <w:right w:val="none" w:sz="0" w:space="0" w:color="auto"/>
                              </w:divBdr>
                              <w:divsChild>
                                <w:div w:id="1141457031">
                                  <w:marLeft w:val="0"/>
                                  <w:marRight w:val="0"/>
                                  <w:marTop w:val="0"/>
                                  <w:marBottom w:val="0"/>
                                  <w:divBdr>
                                    <w:top w:val="none" w:sz="0" w:space="0" w:color="auto"/>
                                    <w:left w:val="none" w:sz="0" w:space="0" w:color="auto"/>
                                    <w:bottom w:val="none" w:sz="0" w:space="0" w:color="auto"/>
                                    <w:right w:val="none" w:sz="0" w:space="0" w:color="auto"/>
                                  </w:divBdr>
                                  <w:divsChild>
                                    <w:div w:id="428082912">
                                      <w:marLeft w:val="0"/>
                                      <w:marRight w:val="0"/>
                                      <w:marTop w:val="0"/>
                                      <w:marBottom w:val="0"/>
                                      <w:divBdr>
                                        <w:top w:val="none" w:sz="0" w:space="0" w:color="auto"/>
                                        <w:left w:val="none" w:sz="0" w:space="0" w:color="auto"/>
                                        <w:bottom w:val="none" w:sz="0" w:space="0" w:color="auto"/>
                                        <w:right w:val="none" w:sz="0" w:space="0" w:color="auto"/>
                                      </w:divBdr>
                                      <w:divsChild>
                                        <w:div w:id="1982878700">
                                          <w:marLeft w:val="1200"/>
                                          <w:marRight w:val="1200"/>
                                          <w:marTop w:val="0"/>
                                          <w:marBottom w:val="0"/>
                                          <w:divBdr>
                                            <w:top w:val="none" w:sz="0" w:space="0" w:color="auto"/>
                                            <w:left w:val="none" w:sz="0" w:space="0" w:color="auto"/>
                                            <w:bottom w:val="none" w:sz="0" w:space="0" w:color="auto"/>
                                            <w:right w:val="none" w:sz="0" w:space="0" w:color="auto"/>
                                          </w:divBdr>
                                          <w:divsChild>
                                            <w:div w:id="1174877528">
                                              <w:marLeft w:val="0"/>
                                              <w:marRight w:val="0"/>
                                              <w:marTop w:val="0"/>
                                              <w:marBottom w:val="0"/>
                                              <w:divBdr>
                                                <w:top w:val="none" w:sz="0" w:space="0" w:color="auto"/>
                                                <w:left w:val="none" w:sz="0" w:space="0" w:color="auto"/>
                                                <w:bottom w:val="none" w:sz="0" w:space="0" w:color="auto"/>
                                                <w:right w:val="none" w:sz="0" w:space="0" w:color="auto"/>
                                              </w:divBdr>
                                              <w:divsChild>
                                                <w:div w:id="1836845699">
                                                  <w:marLeft w:val="0"/>
                                                  <w:marRight w:val="0"/>
                                                  <w:marTop w:val="0"/>
                                                  <w:marBottom w:val="0"/>
                                                  <w:divBdr>
                                                    <w:top w:val="none" w:sz="0" w:space="0" w:color="auto"/>
                                                    <w:left w:val="none" w:sz="0" w:space="0" w:color="auto"/>
                                                    <w:bottom w:val="none" w:sz="0" w:space="0" w:color="auto"/>
                                                    <w:right w:val="none" w:sz="0" w:space="0" w:color="auto"/>
                                                  </w:divBdr>
                                                  <w:divsChild>
                                                    <w:div w:id="1007708660">
                                                      <w:marLeft w:val="0"/>
                                                      <w:marRight w:val="0"/>
                                                      <w:marTop w:val="0"/>
                                                      <w:marBottom w:val="0"/>
                                                      <w:divBdr>
                                                        <w:top w:val="none" w:sz="0" w:space="0" w:color="auto"/>
                                                        <w:left w:val="none" w:sz="0" w:space="0" w:color="auto"/>
                                                        <w:bottom w:val="none" w:sz="0" w:space="0" w:color="auto"/>
                                                        <w:right w:val="none" w:sz="0" w:space="0" w:color="auto"/>
                                                      </w:divBdr>
                                                      <w:divsChild>
                                                        <w:div w:id="443967156">
                                                          <w:marLeft w:val="0"/>
                                                          <w:marRight w:val="0"/>
                                                          <w:marTop w:val="0"/>
                                                          <w:marBottom w:val="0"/>
                                                          <w:divBdr>
                                                            <w:top w:val="none" w:sz="0" w:space="0" w:color="auto"/>
                                                            <w:left w:val="none" w:sz="0" w:space="0" w:color="auto"/>
                                                            <w:bottom w:val="none" w:sz="0" w:space="0" w:color="auto"/>
                                                            <w:right w:val="none" w:sz="0" w:space="0" w:color="auto"/>
                                                          </w:divBdr>
                                                          <w:divsChild>
                                                            <w:div w:id="1081752921">
                                                              <w:marLeft w:val="0"/>
                                                              <w:marRight w:val="0"/>
                                                              <w:marTop w:val="0"/>
                                                              <w:marBottom w:val="0"/>
                                                              <w:divBdr>
                                                                <w:top w:val="none" w:sz="0" w:space="0" w:color="auto"/>
                                                                <w:left w:val="none" w:sz="0" w:space="0" w:color="auto"/>
                                                                <w:bottom w:val="none" w:sz="0" w:space="0" w:color="auto"/>
                                                                <w:right w:val="none" w:sz="0" w:space="0" w:color="auto"/>
                                                              </w:divBdr>
                                                              <w:divsChild>
                                                                <w:div w:id="961305081">
                                                                  <w:marLeft w:val="0"/>
                                                                  <w:marRight w:val="0"/>
                                                                  <w:marTop w:val="0"/>
                                                                  <w:marBottom w:val="0"/>
                                                                  <w:divBdr>
                                                                    <w:top w:val="none" w:sz="0" w:space="0" w:color="auto"/>
                                                                    <w:left w:val="none" w:sz="0" w:space="0" w:color="auto"/>
                                                                    <w:bottom w:val="none" w:sz="0" w:space="0" w:color="auto"/>
                                                                    <w:right w:val="none" w:sz="0" w:space="0" w:color="auto"/>
                                                                  </w:divBdr>
                                                                  <w:divsChild>
                                                                    <w:div w:id="679238369">
                                                                      <w:marLeft w:val="0"/>
                                                                      <w:marRight w:val="0"/>
                                                                      <w:marTop w:val="0"/>
                                                                      <w:marBottom w:val="0"/>
                                                                      <w:divBdr>
                                                                        <w:top w:val="none" w:sz="0" w:space="0" w:color="auto"/>
                                                                        <w:left w:val="none" w:sz="0" w:space="0" w:color="auto"/>
                                                                        <w:bottom w:val="none" w:sz="0" w:space="0" w:color="auto"/>
                                                                        <w:right w:val="none" w:sz="0" w:space="0" w:color="auto"/>
                                                                      </w:divBdr>
                                                                      <w:divsChild>
                                                                        <w:div w:id="2069107184">
                                                                          <w:marLeft w:val="0"/>
                                                                          <w:marRight w:val="0"/>
                                                                          <w:marTop w:val="0"/>
                                                                          <w:marBottom w:val="0"/>
                                                                          <w:divBdr>
                                                                            <w:top w:val="none" w:sz="0" w:space="0" w:color="auto"/>
                                                                            <w:left w:val="none" w:sz="0" w:space="0" w:color="auto"/>
                                                                            <w:bottom w:val="none" w:sz="0" w:space="0" w:color="auto"/>
                                                                            <w:right w:val="none" w:sz="0" w:space="0" w:color="auto"/>
                                                                          </w:divBdr>
                                                                        </w:div>
                                                                      </w:divsChild>
                                                                    </w:div>
                                                                    <w:div w:id="945772928">
                                                                      <w:marLeft w:val="0"/>
                                                                      <w:marRight w:val="0"/>
                                                                      <w:marTop w:val="0"/>
                                                                      <w:marBottom w:val="0"/>
                                                                      <w:divBdr>
                                                                        <w:top w:val="none" w:sz="0" w:space="0" w:color="auto"/>
                                                                        <w:left w:val="none" w:sz="0" w:space="0" w:color="auto"/>
                                                                        <w:bottom w:val="none" w:sz="0" w:space="0" w:color="auto"/>
                                                                        <w:right w:val="none" w:sz="0" w:space="0" w:color="auto"/>
                                                                      </w:divBdr>
                                                                      <w:divsChild>
                                                                        <w:div w:id="202913510">
                                                                          <w:marLeft w:val="0"/>
                                                                          <w:marRight w:val="0"/>
                                                                          <w:marTop w:val="0"/>
                                                                          <w:marBottom w:val="0"/>
                                                                          <w:divBdr>
                                                                            <w:top w:val="none" w:sz="0" w:space="0" w:color="auto"/>
                                                                            <w:left w:val="none" w:sz="0" w:space="0" w:color="auto"/>
                                                                            <w:bottom w:val="none" w:sz="0" w:space="0" w:color="auto"/>
                                                                            <w:right w:val="none" w:sz="0" w:space="0" w:color="auto"/>
                                                                          </w:divBdr>
                                                                        </w:div>
                                                                      </w:divsChild>
                                                                    </w:div>
                                                                    <w:div w:id="1313293410">
                                                                      <w:marLeft w:val="0"/>
                                                                      <w:marRight w:val="0"/>
                                                                      <w:marTop w:val="0"/>
                                                                      <w:marBottom w:val="0"/>
                                                                      <w:divBdr>
                                                                        <w:top w:val="none" w:sz="0" w:space="0" w:color="auto"/>
                                                                        <w:left w:val="none" w:sz="0" w:space="0" w:color="auto"/>
                                                                        <w:bottom w:val="none" w:sz="0" w:space="0" w:color="auto"/>
                                                                        <w:right w:val="none" w:sz="0" w:space="0" w:color="auto"/>
                                                                      </w:divBdr>
                                                                      <w:divsChild>
                                                                        <w:div w:id="222376465">
                                                                          <w:marLeft w:val="0"/>
                                                                          <w:marRight w:val="0"/>
                                                                          <w:marTop w:val="0"/>
                                                                          <w:marBottom w:val="0"/>
                                                                          <w:divBdr>
                                                                            <w:top w:val="none" w:sz="0" w:space="0" w:color="auto"/>
                                                                            <w:left w:val="none" w:sz="0" w:space="0" w:color="auto"/>
                                                                            <w:bottom w:val="none" w:sz="0" w:space="0" w:color="auto"/>
                                                                            <w:right w:val="none" w:sz="0" w:space="0" w:color="auto"/>
                                                                          </w:divBdr>
                                                                        </w:div>
                                                                      </w:divsChild>
                                                                    </w:div>
                                                                    <w:div w:id="2049794401">
                                                                      <w:marLeft w:val="0"/>
                                                                      <w:marRight w:val="0"/>
                                                                      <w:marTop w:val="0"/>
                                                                      <w:marBottom w:val="0"/>
                                                                      <w:divBdr>
                                                                        <w:top w:val="none" w:sz="0" w:space="0" w:color="auto"/>
                                                                        <w:left w:val="none" w:sz="0" w:space="0" w:color="auto"/>
                                                                        <w:bottom w:val="none" w:sz="0" w:space="0" w:color="auto"/>
                                                                        <w:right w:val="none" w:sz="0" w:space="0" w:color="auto"/>
                                                                      </w:divBdr>
                                                                      <w:divsChild>
                                                                        <w:div w:id="3659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6417850">
      <w:bodyDiv w:val="1"/>
      <w:marLeft w:val="0"/>
      <w:marRight w:val="0"/>
      <w:marTop w:val="0"/>
      <w:marBottom w:val="0"/>
      <w:divBdr>
        <w:top w:val="none" w:sz="0" w:space="0" w:color="auto"/>
        <w:left w:val="none" w:sz="0" w:space="0" w:color="auto"/>
        <w:bottom w:val="none" w:sz="0" w:space="0" w:color="auto"/>
        <w:right w:val="none" w:sz="0" w:space="0" w:color="auto"/>
      </w:divBdr>
      <w:divsChild>
        <w:div w:id="598830231">
          <w:marLeft w:val="0"/>
          <w:marRight w:val="0"/>
          <w:marTop w:val="0"/>
          <w:marBottom w:val="0"/>
          <w:divBdr>
            <w:top w:val="none" w:sz="0" w:space="0" w:color="auto"/>
            <w:left w:val="none" w:sz="0" w:space="0" w:color="auto"/>
            <w:bottom w:val="none" w:sz="0" w:space="0" w:color="auto"/>
            <w:right w:val="none" w:sz="0" w:space="0" w:color="auto"/>
          </w:divBdr>
          <w:divsChild>
            <w:div w:id="159738451">
              <w:marLeft w:val="0"/>
              <w:marRight w:val="0"/>
              <w:marTop w:val="0"/>
              <w:marBottom w:val="0"/>
              <w:divBdr>
                <w:top w:val="none" w:sz="0" w:space="0" w:color="auto"/>
                <w:left w:val="none" w:sz="0" w:space="0" w:color="auto"/>
                <w:bottom w:val="none" w:sz="0" w:space="0" w:color="auto"/>
                <w:right w:val="none" w:sz="0" w:space="0" w:color="auto"/>
              </w:divBdr>
              <w:divsChild>
                <w:div w:id="2080204023">
                  <w:marLeft w:val="0"/>
                  <w:marRight w:val="0"/>
                  <w:marTop w:val="0"/>
                  <w:marBottom w:val="0"/>
                  <w:divBdr>
                    <w:top w:val="none" w:sz="0" w:space="0" w:color="auto"/>
                    <w:left w:val="none" w:sz="0" w:space="0" w:color="auto"/>
                    <w:bottom w:val="none" w:sz="0" w:space="0" w:color="auto"/>
                    <w:right w:val="none" w:sz="0" w:space="0" w:color="auto"/>
                  </w:divBdr>
                  <w:divsChild>
                    <w:div w:id="1771124820">
                      <w:marLeft w:val="0"/>
                      <w:marRight w:val="0"/>
                      <w:marTop w:val="0"/>
                      <w:marBottom w:val="300"/>
                      <w:divBdr>
                        <w:top w:val="none" w:sz="0" w:space="0" w:color="auto"/>
                        <w:left w:val="none" w:sz="0" w:space="0" w:color="auto"/>
                        <w:bottom w:val="none" w:sz="0" w:space="0" w:color="auto"/>
                        <w:right w:val="none" w:sz="0" w:space="0" w:color="auto"/>
                      </w:divBdr>
                      <w:divsChild>
                        <w:div w:id="885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997593">
      <w:bodyDiv w:val="1"/>
      <w:marLeft w:val="0"/>
      <w:marRight w:val="0"/>
      <w:marTop w:val="0"/>
      <w:marBottom w:val="0"/>
      <w:divBdr>
        <w:top w:val="none" w:sz="0" w:space="0" w:color="auto"/>
        <w:left w:val="none" w:sz="0" w:space="0" w:color="auto"/>
        <w:bottom w:val="none" w:sz="0" w:space="0" w:color="auto"/>
        <w:right w:val="none" w:sz="0" w:space="0" w:color="auto"/>
      </w:divBdr>
      <w:divsChild>
        <w:div w:id="2112970795">
          <w:marLeft w:val="0"/>
          <w:marRight w:val="0"/>
          <w:marTop w:val="0"/>
          <w:marBottom w:val="0"/>
          <w:divBdr>
            <w:top w:val="none" w:sz="0" w:space="0" w:color="auto"/>
            <w:left w:val="none" w:sz="0" w:space="0" w:color="auto"/>
            <w:bottom w:val="none" w:sz="0" w:space="0" w:color="auto"/>
            <w:right w:val="none" w:sz="0" w:space="0" w:color="auto"/>
          </w:divBdr>
          <w:divsChild>
            <w:div w:id="1543404182">
              <w:marLeft w:val="0"/>
              <w:marRight w:val="0"/>
              <w:marTop w:val="0"/>
              <w:marBottom w:val="0"/>
              <w:divBdr>
                <w:top w:val="none" w:sz="0" w:space="0" w:color="auto"/>
                <w:left w:val="none" w:sz="0" w:space="0" w:color="auto"/>
                <w:bottom w:val="none" w:sz="0" w:space="0" w:color="auto"/>
                <w:right w:val="none" w:sz="0" w:space="0" w:color="auto"/>
              </w:divBdr>
              <w:divsChild>
                <w:div w:id="1333531635">
                  <w:marLeft w:val="0"/>
                  <w:marRight w:val="0"/>
                  <w:marTop w:val="0"/>
                  <w:marBottom w:val="0"/>
                  <w:divBdr>
                    <w:top w:val="none" w:sz="0" w:space="0" w:color="auto"/>
                    <w:left w:val="none" w:sz="0" w:space="0" w:color="auto"/>
                    <w:bottom w:val="none" w:sz="0" w:space="0" w:color="auto"/>
                    <w:right w:val="none" w:sz="0" w:space="0" w:color="auto"/>
                  </w:divBdr>
                  <w:divsChild>
                    <w:div w:id="2003312264">
                      <w:marLeft w:val="0"/>
                      <w:marRight w:val="0"/>
                      <w:marTop w:val="0"/>
                      <w:marBottom w:val="375"/>
                      <w:divBdr>
                        <w:top w:val="none" w:sz="0" w:space="0" w:color="auto"/>
                        <w:left w:val="none" w:sz="0" w:space="0" w:color="auto"/>
                        <w:bottom w:val="none" w:sz="0" w:space="0" w:color="auto"/>
                        <w:right w:val="none" w:sz="0" w:space="0" w:color="auto"/>
                      </w:divBdr>
                      <w:divsChild>
                        <w:div w:id="16718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577692">
      <w:bodyDiv w:val="1"/>
      <w:marLeft w:val="0"/>
      <w:marRight w:val="0"/>
      <w:marTop w:val="0"/>
      <w:marBottom w:val="0"/>
      <w:divBdr>
        <w:top w:val="none" w:sz="0" w:space="0" w:color="auto"/>
        <w:left w:val="none" w:sz="0" w:space="0" w:color="auto"/>
        <w:bottom w:val="none" w:sz="0" w:space="0" w:color="auto"/>
        <w:right w:val="none" w:sz="0" w:space="0" w:color="auto"/>
      </w:divBdr>
      <w:divsChild>
        <w:div w:id="1290208656">
          <w:marLeft w:val="0"/>
          <w:marRight w:val="0"/>
          <w:marTop w:val="0"/>
          <w:marBottom w:val="0"/>
          <w:divBdr>
            <w:top w:val="none" w:sz="0" w:space="0" w:color="auto"/>
            <w:left w:val="none" w:sz="0" w:space="0" w:color="auto"/>
            <w:bottom w:val="none" w:sz="0" w:space="0" w:color="auto"/>
            <w:right w:val="none" w:sz="0" w:space="0" w:color="auto"/>
          </w:divBdr>
          <w:divsChild>
            <w:div w:id="449709245">
              <w:marLeft w:val="0"/>
              <w:marRight w:val="0"/>
              <w:marTop w:val="0"/>
              <w:marBottom w:val="0"/>
              <w:divBdr>
                <w:top w:val="none" w:sz="0" w:space="0" w:color="auto"/>
                <w:left w:val="none" w:sz="0" w:space="0" w:color="auto"/>
                <w:bottom w:val="none" w:sz="0" w:space="0" w:color="auto"/>
                <w:right w:val="none" w:sz="0" w:space="0" w:color="auto"/>
              </w:divBdr>
              <w:divsChild>
                <w:div w:id="936670327">
                  <w:marLeft w:val="0"/>
                  <w:marRight w:val="0"/>
                  <w:marTop w:val="0"/>
                  <w:marBottom w:val="0"/>
                  <w:divBdr>
                    <w:top w:val="none" w:sz="0" w:space="0" w:color="auto"/>
                    <w:left w:val="none" w:sz="0" w:space="0" w:color="auto"/>
                    <w:bottom w:val="none" w:sz="0" w:space="0" w:color="auto"/>
                    <w:right w:val="none" w:sz="0" w:space="0" w:color="auto"/>
                  </w:divBdr>
                  <w:divsChild>
                    <w:div w:id="1401370379">
                      <w:marLeft w:val="0"/>
                      <w:marRight w:val="0"/>
                      <w:marTop w:val="0"/>
                      <w:marBottom w:val="300"/>
                      <w:divBdr>
                        <w:top w:val="none" w:sz="0" w:space="0" w:color="auto"/>
                        <w:left w:val="none" w:sz="0" w:space="0" w:color="auto"/>
                        <w:bottom w:val="none" w:sz="0" w:space="0" w:color="auto"/>
                        <w:right w:val="none" w:sz="0" w:space="0" w:color="auto"/>
                      </w:divBdr>
                      <w:divsChild>
                        <w:div w:id="409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933327">
      <w:bodyDiv w:val="1"/>
      <w:marLeft w:val="0"/>
      <w:marRight w:val="0"/>
      <w:marTop w:val="0"/>
      <w:marBottom w:val="0"/>
      <w:divBdr>
        <w:top w:val="none" w:sz="0" w:space="0" w:color="auto"/>
        <w:left w:val="none" w:sz="0" w:space="0" w:color="auto"/>
        <w:bottom w:val="none" w:sz="0" w:space="0" w:color="auto"/>
        <w:right w:val="none" w:sz="0" w:space="0" w:color="auto"/>
      </w:divBdr>
      <w:divsChild>
        <w:div w:id="1514606383">
          <w:marLeft w:val="0"/>
          <w:marRight w:val="0"/>
          <w:marTop w:val="240"/>
          <w:marBottom w:val="0"/>
          <w:divBdr>
            <w:top w:val="none" w:sz="0" w:space="0" w:color="auto"/>
            <w:left w:val="none" w:sz="0" w:space="0" w:color="auto"/>
            <w:bottom w:val="none" w:sz="0" w:space="0" w:color="auto"/>
            <w:right w:val="none" w:sz="0" w:space="0" w:color="auto"/>
          </w:divBdr>
          <w:divsChild>
            <w:div w:id="409498813">
              <w:marLeft w:val="0"/>
              <w:marRight w:val="0"/>
              <w:marTop w:val="0"/>
              <w:marBottom w:val="0"/>
              <w:divBdr>
                <w:top w:val="none" w:sz="0" w:space="0" w:color="auto"/>
                <w:left w:val="none" w:sz="0" w:space="0" w:color="auto"/>
                <w:bottom w:val="none" w:sz="0" w:space="0" w:color="auto"/>
                <w:right w:val="none" w:sz="0" w:space="0" w:color="auto"/>
              </w:divBdr>
            </w:div>
            <w:div w:id="290013772">
              <w:marLeft w:val="240"/>
              <w:marRight w:val="0"/>
              <w:marTop w:val="240"/>
              <w:marBottom w:val="0"/>
              <w:divBdr>
                <w:top w:val="none" w:sz="0" w:space="0" w:color="auto"/>
                <w:left w:val="none" w:sz="0" w:space="0" w:color="auto"/>
                <w:bottom w:val="none" w:sz="0" w:space="0" w:color="auto"/>
                <w:right w:val="none" w:sz="0" w:space="0" w:color="auto"/>
              </w:divBdr>
              <w:divsChild>
                <w:div w:id="658001489">
                  <w:marLeft w:val="0"/>
                  <w:marRight w:val="0"/>
                  <w:marTop w:val="0"/>
                  <w:marBottom w:val="0"/>
                  <w:divBdr>
                    <w:top w:val="none" w:sz="0" w:space="0" w:color="auto"/>
                    <w:left w:val="none" w:sz="0" w:space="0" w:color="auto"/>
                    <w:bottom w:val="none" w:sz="0" w:space="0" w:color="auto"/>
                    <w:right w:val="none" w:sz="0" w:space="0" w:color="auto"/>
                  </w:divBdr>
                </w:div>
              </w:divsChild>
            </w:div>
            <w:div w:id="206383491">
              <w:marLeft w:val="240"/>
              <w:marRight w:val="0"/>
              <w:marTop w:val="240"/>
              <w:marBottom w:val="0"/>
              <w:divBdr>
                <w:top w:val="none" w:sz="0" w:space="0" w:color="auto"/>
                <w:left w:val="none" w:sz="0" w:space="0" w:color="auto"/>
                <w:bottom w:val="none" w:sz="0" w:space="0" w:color="auto"/>
                <w:right w:val="none" w:sz="0" w:space="0" w:color="auto"/>
              </w:divBdr>
              <w:divsChild>
                <w:div w:id="1823808047">
                  <w:marLeft w:val="0"/>
                  <w:marRight w:val="0"/>
                  <w:marTop w:val="0"/>
                  <w:marBottom w:val="0"/>
                  <w:divBdr>
                    <w:top w:val="none" w:sz="0" w:space="0" w:color="auto"/>
                    <w:left w:val="none" w:sz="0" w:space="0" w:color="auto"/>
                    <w:bottom w:val="none" w:sz="0" w:space="0" w:color="auto"/>
                    <w:right w:val="none" w:sz="0" w:space="0" w:color="auto"/>
                  </w:divBdr>
                </w:div>
              </w:divsChild>
            </w:div>
            <w:div w:id="1331373892">
              <w:marLeft w:val="240"/>
              <w:marRight w:val="0"/>
              <w:marTop w:val="240"/>
              <w:marBottom w:val="0"/>
              <w:divBdr>
                <w:top w:val="none" w:sz="0" w:space="0" w:color="auto"/>
                <w:left w:val="none" w:sz="0" w:space="0" w:color="auto"/>
                <w:bottom w:val="none" w:sz="0" w:space="0" w:color="auto"/>
                <w:right w:val="none" w:sz="0" w:space="0" w:color="auto"/>
              </w:divBdr>
              <w:divsChild>
                <w:div w:id="647440769">
                  <w:marLeft w:val="0"/>
                  <w:marRight w:val="0"/>
                  <w:marTop w:val="0"/>
                  <w:marBottom w:val="0"/>
                  <w:divBdr>
                    <w:top w:val="none" w:sz="0" w:space="0" w:color="auto"/>
                    <w:left w:val="none" w:sz="0" w:space="0" w:color="auto"/>
                    <w:bottom w:val="none" w:sz="0" w:space="0" w:color="auto"/>
                    <w:right w:val="none" w:sz="0" w:space="0" w:color="auto"/>
                  </w:divBdr>
                </w:div>
              </w:divsChild>
            </w:div>
            <w:div w:id="1681928528">
              <w:marLeft w:val="0"/>
              <w:marRight w:val="0"/>
              <w:marTop w:val="240"/>
              <w:marBottom w:val="0"/>
              <w:divBdr>
                <w:top w:val="none" w:sz="0" w:space="0" w:color="auto"/>
                <w:left w:val="none" w:sz="0" w:space="0" w:color="auto"/>
                <w:bottom w:val="none" w:sz="0" w:space="0" w:color="auto"/>
                <w:right w:val="none" w:sz="0" w:space="0" w:color="auto"/>
              </w:divBdr>
            </w:div>
          </w:divsChild>
        </w:div>
        <w:div w:id="362899856">
          <w:marLeft w:val="0"/>
          <w:marRight w:val="0"/>
          <w:marTop w:val="240"/>
          <w:marBottom w:val="0"/>
          <w:divBdr>
            <w:top w:val="none" w:sz="0" w:space="0" w:color="auto"/>
            <w:left w:val="none" w:sz="0" w:space="0" w:color="auto"/>
            <w:bottom w:val="none" w:sz="0" w:space="0" w:color="auto"/>
            <w:right w:val="none" w:sz="0" w:space="0" w:color="auto"/>
          </w:divBdr>
        </w:div>
        <w:div w:id="962885363">
          <w:marLeft w:val="0"/>
          <w:marRight w:val="0"/>
          <w:marTop w:val="0"/>
          <w:marBottom w:val="0"/>
          <w:divBdr>
            <w:top w:val="none" w:sz="0" w:space="0" w:color="auto"/>
            <w:left w:val="none" w:sz="0" w:space="0" w:color="auto"/>
            <w:bottom w:val="none" w:sz="0" w:space="0" w:color="auto"/>
            <w:right w:val="none" w:sz="0" w:space="0" w:color="auto"/>
          </w:divBdr>
          <w:divsChild>
            <w:div w:id="1603755066">
              <w:marLeft w:val="0"/>
              <w:marRight w:val="0"/>
              <w:marTop w:val="0"/>
              <w:marBottom w:val="0"/>
              <w:divBdr>
                <w:top w:val="none" w:sz="0" w:space="0" w:color="auto"/>
                <w:left w:val="none" w:sz="0" w:space="0" w:color="auto"/>
                <w:bottom w:val="none" w:sz="0" w:space="0" w:color="auto"/>
                <w:right w:val="none" w:sz="0" w:space="0" w:color="auto"/>
              </w:divBdr>
            </w:div>
          </w:divsChild>
        </w:div>
        <w:div w:id="364718592">
          <w:marLeft w:val="0"/>
          <w:marRight w:val="0"/>
          <w:marTop w:val="240"/>
          <w:marBottom w:val="0"/>
          <w:divBdr>
            <w:top w:val="none" w:sz="0" w:space="0" w:color="auto"/>
            <w:left w:val="none" w:sz="0" w:space="0" w:color="auto"/>
            <w:bottom w:val="none" w:sz="0" w:space="0" w:color="auto"/>
            <w:right w:val="none" w:sz="0" w:space="0" w:color="auto"/>
          </w:divBdr>
          <w:divsChild>
            <w:div w:id="1049270">
              <w:marLeft w:val="0"/>
              <w:marRight w:val="0"/>
              <w:marTop w:val="0"/>
              <w:marBottom w:val="0"/>
              <w:divBdr>
                <w:top w:val="none" w:sz="0" w:space="0" w:color="auto"/>
                <w:left w:val="none" w:sz="0" w:space="0" w:color="auto"/>
                <w:bottom w:val="none" w:sz="0" w:space="0" w:color="auto"/>
                <w:right w:val="none" w:sz="0" w:space="0" w:color="auto"/>
              </w:divBdr>
            </w:div>
          </w:divsChild>
        </w:div>
        <w:div w:id="502479879">
          <w:marLeft w:val="0"/>
          <w:marRight w:val="0"/>
          <w:marTop w:val="240"/>
          <w:marBottom w:val="0"/>
          <w:divBdr>
            <w:top w:val="none" w:sz="0" w:space="0" w:color="auto"/>
            <w:left w:val="none" w:sz="0" w:space="0" w:color="auto"/>
            <w:bottom w:val="none" w:sz="0" w:space="0" w:color="auto"/>
            <w:right w:val="none" w:sz="0" w:space="0" w:color="auto"/>
          </w:divBdr>
          <w:divsChild>
            <w:div w:id="12052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7136">
      <w:bodyDiv w:val="1"/>
      <w:marLeft w:val="0"/>
      <w:marRight w:val="0"/>
      <w:marTop w:val="0"/>
      <w:marBottom w:val="0"/>
      <w:divBdr>
        <w:top w:val="none" w:sz="0" w:space="0" w:color="auto"/>
        <w:left w:val="none" w:sz="0" w:space="0" w:color="auto"/>
        <w:bottom w:val="none" w:sz="0" w:space="0" w:color="auto"/>
        <w:right w:val="none" w:sz="0" w:space="0" w:color="auto"/>
      </w:divBdr>
      <w:divsChild>
        <w:div w:id="456486099">
          <w:marLeft w:val="0"/>
          <w:marRight w:val="0"/>
          <w:marTop w:val="0"/>
          <w:marBottom w:val="0"/>
          <w:divBdr>
            <w:top w:val="none" w:sz="0" w:space="0" w:color="auto"/>
            <w:left w:val="none" w:sz="0" w:space="0" w:color="auto"/>
            <w:bottom w:val="none" w:sz="0" w:space="0" w:color="auto"/>
            <w:right w:val="none" w:sz="0" w:space="0" w:color="auto"/>
          </w:divBdr>
          <w:divsChild>
            <w:div w:id="2024431159">
              <w:marLeft w:val="0"/>
              <w:marRight w:val="0"/>
              <w:marTop w:val="0"/>
              <w:marBottom w:val="0"/>
              <w:divBdr>
                <w:top w:val="none" w:sz="0" w:space="0" w:color="auto"/>
                <w:left w:val="none" w:sz="0" w:space="0" w:color="auto"/>
                <w:bottom w:val="none" w:sz="0" w:space="0" w:color="auto"/>
                <w:right w:val="none" w:sz="0" w:space="0" w:color="auto"/>
              </w:divBdr>
              <w:divsChild>
                <w:div w:id="291325573">
                  <w:marLeft w:val="0"/>
                  <w:marRight w:val="0"/>
                  <w:marTop w:val="0"/>
                  <w:marBottom w:val="0"/>
                  <w:divBdr>
                    <w:top w:val="none" w:sz="0" w:space="0" w:color="auto"/>
                    <w:left w:val="none" w:sz="0" w:space="0" w:color="auto"/>
                    <w:bottom w:val="none" w:sz="0" w:space="0" w:color="auto"/>
                    <w:right w:val="none" w:sz="0" w:space="0" w:color="auto"/>
                  </w:divBdr>
                  <w:divsChild>
                    <w:div w:id="1435780154">
                      <w:marLeft w:val="0"/>
                      <w:marRight w:val="0"/>
                      <w:marTop w:val="0"/>
                      <w:marBottom w:val="300"/>
                      <w:divBdr>
                        <w:top w:val="none" w:sz="0" w:space="0" w:color="auto"/>
                        <w:left w:val="none" w:sz="0" w:space="0" w:color="auto"/>
                        <w:bottom w:val="none" w:sz="0" w:space="0" w:color="auto"/>
                        <w:right w:val="none" w:sz="0" w:space="0" w:color="auto"/>
                      </w:divBdr>
                      <w:divsChild>
                        <w:div w:id="15397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091842">
      <w:bodyDiv w:val="1"/>
      <w:marLeft w:val="0"/>
      <w:marRight w:val="0"/>
      <w:marTop w:val="0"/>
      <w:marBottom w:val="0"/>
      <w:divBdr>
        <w:top w:val="none" w:sz="0" w:space="0" w:color="auto"/>
        <w:left w:val="none" w:sz="0" w:space="0" w:color="auto"/>
        <w:bottom w:val="none" w:sz="0" w:space="0" w:color="auto"/>
        <w:right w:val="none" w:sz="0" w:space="0" w:color="auto"/>
      </w:divBdr>
      <w:divsChild>
        <w:div w:id="584342594">
          <w:marLeft w:val="0"/>
          <w:marRight w:val="0"/>
          <w:marTop w:val="240"/>
          <w:marBottom w:val="0"/>
          <w:divBdr>
            <w:top w:val="none" w:sz="0" w:space="0" w:color="auto"/>
            <w:left w:val="none" w:sz="0" w:space="0" w:color="auto"/>
            <w:bottom w:val="none" w:sz="0" w:space="0" w:color="auto"/>
            <w:right w:val="none" w:sz="0" w:space="0" w:color="auto"/>
          </w:divBdr>
          <w:divsChild>
            <w:div w:id="2058236902">
              <w:marLeft w:val="0"/>
              <w:marRight w:val="0"/>
              <w:marTop w:val="0"/>
              <w:marBottom w:val="0"/>
              <w:divBdr>
                <w:top w:val="none" w:sz="0" w:space="0" w:color="auto"/>
                <w:left w:val="none" w:sz="0" w:space="0" w:color="auto"/>
                <w:bottom w:val="none" w:sz="0" w:space="0" w:color="auto"/>
                <w:right w:val="none" w:sz="0" w:space="0" w:color="auto"/>
              </w:divBdr>
            </w:div>
          </w:divsChild>
        </w:div>
        <w:div w:id="1230768739">
          <w:marLeft w:val="0"/>
          <w:marRight w:val="0"/>
          <w:marTop w:val="240"/>
          <w:marBottom w:val="0"/>
          <w:divBdr>
            <w:top w:val="none" w:sz="0" w:space="0" w:color="auto"/>
            <w:left w:val="none" w:sz="0" w:space="0" w:color="auto"/>
            <w:bottom w:val="none" w:sz="0" w:space="0" w:color="auto"/>
            <w:right w:val="none" w:sz="0" w:space="0" w:color="auto"/>
          </w:divBdr>
          <w:divsChild>
            <w:div w:id="70277375">
              <w:marLeft w:val="0"/>
              <w:marRight w:val="0"/>
              <w:marTop w:val="0"/>
              <w:marBottom w:val="0"/>
              <w:divBdr>
                <w:top w:val="none" w:sz="0" w:space="0" w:color="auto"/>
                <w:left w:val="none" w:sz="0" w:space="0" w:color="auto"/>
                <w:bottom w:val="none" w:sz="0" w:space="0" w:color="auto"/>
                <w:right w:val="none" w:sz="0" w:space="0" w:color="auto"/>
              </w:divBdr>
            </w:div>
          </w:divsChild>
        </w:div>
        <w:div w:id="1949895427">
          <w:marLeft w:val="0"/>
          <w:marRight w:val="0"/>
          <w:marTop w:val="240"/>
          <w:marBottom w:val="0"/>
          <w:divBdr>
            <w:top w:val="none" w:sz="0" w:space="0" w:color="auto"/>
            <w:left w:val="none" w:sz="0" w:space="0" w:color="auto"/>
            <w:bottom w:val="none" w:sz="0" w:space="0" w:color="auto"/>
            <w:right w:val="none" w:sz="0" w:space="0" w:color="auto"/>
          </w:divBdr>
          <w:divsChild>
            <w:div w:id="73081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08454">
      <w:bodyDiv w:val="1"/>
      <w:marLeft w:val="0"/>
      <w:marRight w:val="0"/>
      <w:marTop w:val="0"/>
      <w:marBottom w:val="0"/>
      <w:divBdr>
        <w:top w:val="none" w:sz="0" w:space="0" w:color="auto"/>
        <w:left w:val="none" w:sz="0" w:space="0" w:color="auto"/>
        <w:bottom w:val="none" w:sz="0" w:space="0" w:color="auto"/>
        <w:right w:val="none" w:sz="0" w:space="0" w:color="auto"/>
      </w:divBdr>
      <w:divsChild>
        <w:div w:id="1044981949">
          <w:marLeft w:val="0"/>
          <w:marRight w:val="0"/>
          <w:marTop w:val="0"/>
          <w:marBottom w:val="0"/>
          <w:divBdr>
            <w:top w:val="none" w:sz="0" w:space="0" w:color="auto"/>
            <w:left w:val="single" w:sz="6" w:space="0" w:color="BBBBBB"/>
            <w:bottom w:val="single" w:sz="6" w:space="0" w:color="BBBBBB"/>
            <w:right w:val="single" w:sz="6" w:space="0" w:color="BBBBBB"/>
          </w:divBdr>
          <w:divsChild>
            <w:div w:id="73019674">
              <w:marLeft w:val="0"/>
              <w:marRight w:val="0"/>
              <w:marTop w:val="0"/>
              <w:marBottom w:val="0"/>
              <w:divBdr>
                <w:top w:val="none" w:sz="0" w:space="0" w:color="auto"/>
                <w:left w:val="none" w:sz="0" w:space="0" w:color="auto"/>
                <w:bottom w:val="none" w:sz="0" w:space="0" w:color="auto"/>
                <w:right w:val="none" w:sz="0" w:space="0" w:color="auto"/>
              </w:divBdr>
              <w:divsChild>
                <w:div w:id="937564809">
                  <w:marLeft w:val="0"/>
                  <w:marRight w:val="0"/>
                  <w:marTop w:val="75"/>
                  <w:marBottom w:val="0"/>
                  <w:divBdr>
                    <w:top w:val="none" w:sz="0" w:space="0" w:color="auto"/>
                    <w:left w:val="none" w:sz="0" w:space="0" w:color="auto"/>
                    <w:bottom w:val="none" w:sz="0" w:space="0" w:color="auto"/>
                    <w:right w:val="none" w:sz="0" w:space="0" w:color="auto"/>
                  </w:divBdr>
                  <w:divsChild>
                    <w:div w:id="1334071743">
                      <w:marLeft w:val="0"/>
                      <w:marRight w:val="0"/>
                      <w:marTop w:val="0"/>
                      <w:marBottom w:val="0"/>
                      <w:divBdr>
                        <w:top w:val="none" w:sz="0" w:space="0" w:color="auto"/>
                        <w:left w:val="none" w:sz="0" w:space="0" w:color="auto"/>
                        <w:bottom w:val="none" w:sz="0" w:space="0" w:color="auto"/>
                        <w:right w:val="none" w:sz="0" w:space="0" w:color="auto"/>
                      </w:divBdr>
                      <w:divsChild>
                        <w:div w:id="957679598">
                          <w:marLeft w:val="0"/>
                          <w:marRight w:val="0"/>
                          <w:marTop w:val="0"/>
                          <w:marBottom w:val="0"/>
                          <w:divBdr>
                            <w:top w:val="none" w:sz="0" w:space="0" w:color="auto"/>
                            <w:left w:val="none" w:sz="0" w:space="0" w:color="auto"/>
                            <w:bottom w:val="none" w:sz="0" w:space="0" w:color="auto"/>
                            <w:right w:val="none" w:sz="0" w:space="0" w:color="auto"/>
                          </w:divBdr>
                          <w:divsChild>
                            <w:div w:id="1659460125">
                              <w:marLeft w:val="0"/>
                              <w:marRight w:val="0"/>
                              <w:marTop w:val="0"/>
                              <w:marBottom w:val="0"/>
                              <w:divBdr>
                                <w:top w:val="none" w:sz="0" w:space="0" w:color="auto"/>
                                <w:left w:val="none" w:sz="0" w:space="0" w:color="auto"/>
                                <w:bottom w:val="none" w:sz="0" w:space="0" w:color="auto"/>
                                <w:right w:val="none" w:sz="0" w:space="0" w:color="auto"/>
                              </w:divBdr>
                              <w:divsChild>
                                <w:div w:id="554200484">
                                  <w:marLeft w:val="0"/>
                                  <w:marRight w:val="0"/>
                                  <w:marTop w:val="0"/>
                                  <w:marBottom w:val="0"/>
                                  <w:divBdr>
                                    <w:top w:val="none" w:sz="0" w:space="0" w:color="auto"/>
                                    <w:left w:val="none" w:sz="0" w:space="0" w:color="auto"/>
                                    <w:bottom w:val="none" w:sz="0" w:space="0" w:color="auto"/>
                                    <w:right w:val="none" w:sz="0" w:space="0" w:color="auto"/>
                                  </w:divBdr>
                                  <w:divsChild>
                                    <w:div w:id="1229849534">
                                      <w:marLeft w:val="0"/>
                                      <w:marRight w:val="0"/>
                                      <w:marTop w:val="0"/>
                                      <w:marBottom w:val="0"/>
                                      <w:divBdr>
                                        <w:top w:val="none" w:sz="0" w:space="0" w:color="auto"/>
                                        <w:left w:val="none" w:sz="0" w:space="0" w:color="auto"/>
                                        <w:bottom w:val="none" w:sz="0" w:space="0" w:color="auto"/>
                                        <w:right w:val="none" w:sz="0" w:space="0" w:color="auto"/>
                                      </w:divBdr>
                                      <w:divsChild>
                                        <w:div w:id="40598035">
                                          <w:marLeft w:val="1200"/>
                                          <w:marRight w:val="1200"/>
                                          <w:marTop w:val="0"/>
                                          <w:marBottom w:val="0"/>
                                          <w:divBdr>
                                            <w:top w:val="none" w:sz="0" w:space="0" w:color="auto"/>
                                            <w:left w:val="none" w:sz="0" w:space="0" w:color="auto"/>
                                            <w:bottom w:val="none" w:sz="0" w:space="0" w:color="auto"/>
                                            <w:right w:val="none" w:sz="0" w:space="0" w:color="auto"/>
                                          </w:divBdr>
                                          <w:divsChild>
                                            <w:div w:id="1159730544">
                                              <w:marLeft w:val="0"/>
                                              <w:marRight w:val="0"/>
                                              <w:marTop w:val="0"/>
                                              <w:marBottom w:val="0"/>
                                              <w:divBdr>
                                                <w:top w:val="none" w:sz="0" w:space="0" w:color="auto"/>
                                                <w:left w:val="none" w:sz="0" w:space="0" w:color="auto"/>
                                                <w:bottom w:val="none" w:sz="0" w:space="0" w:color="auto"/>
                                                <w:right w:val="none" w:sz="0" w:space="0" w:color="auto"/>
                                              </w:divBdr>
                                              <w:divsChild>
                                                <w:div w:id="2065714710">
                                                  <w:marLeft w:val="0"/>
                                                  <w:marRight w:val="0"/>
                                                  <w:marTop w:val="0"/>
                                                  <w:marBottom w:val="0"/>
                                                  <w:divBdr>
                                                    <w:top w:val="none" w:sz="0" w:space="0" w:color="auto"/>
                                                    <w:left w:val="none" w:sz="0" w:space="0" w:color="auto"/>
                                                    <w:bottom w:val="none" w:sz="0" w:space="0" w:color="auto"/>
                                                    <w:right w:val="none" w:sz="0" w:space="0" w:color="auto"/>
                                                  </w:divBdr>
                                                  <w:divsChild>
                                                    <w:div w:id="1538349052">
                                                      <w:marLeft w:val="0"/>
                                                      <w:marRight w:val="0"/>
                                                      <w:marTop w:val="0"/>
                                                      <w:marBottom w:val="0"/>
                                                      <w:divBdr>
                                                        <w:top w:val="none" w:sz="0" w:space="0" w:color="auto"/>
                                                        <w:left w:val="none" w:sz="0" w:space="0" w:color="auto"/>
                                                        <w:bottom w:val="none" w:sz="0" w:space="0" w:color="auto"/>
                                                        <w:right w:val="none" w:sz="0" w:space="0" w:color="auto"/>
                                                      </w:divBdr>
                                                      <w:divsChild>
                                                        <w:div w:id="1891920289">
                                                          <w:marLeft w:val="0"/>
                                                          <w:marRight w:val="0"/>
                                                          <w:marTop w:val="0"/>
                                                          <w:marBottom w:val="0"/>
                                                          <w:divBdr>
                                                            <w:top w:val="none" w:sz="0" w:space="0" w:color="auto"/>
                                                            <w:left w:val="none" w:sz="0" w:space="0" w:color="auto"/>
                                                            <w:bottom w:val="none" w:sz="0" w:space="0" w:color="auto"/>
                                                            <w:right w:val="none" w:sz="0" w:space="0" w:color="auto"/>
                                                          </w:divBdr>
                                                          <w:divsChild>
                                                            <w:div w:id="1350335870">
                                                              <w:marLeft w:val="0"/>
                                                              <w:marRight w:val="0"/>
                                                              <w:marTop w:val="0"/>
                                                              <w:marBottom w:val="0"/>
                                                              <w:divBdr>
                                                                <w:top w:val="none" w:sz="0" w:space="0" w:color="auto"/>
                                                                <w:left w:val="none" w:sz="0" w:space="0" w:color="auto"/>
                                                                <w:bottom w:val="none" w:sz="0" w:space="0" w:color="auto"/>
                                                                <w:right w:val="none" w:sz="0" w:space="0" w:color="auto"/>
                                                              </w:divBdr>
                                                              <w:divsChild>
                                                                <w:div w:id="230889339">
                                                                  <w:marLeft w:val="0"/>
                                                                  <w:marRight w:val="0"/>
                                                                  <w:marTop w:val="0"/>
                                                                  <w:marBottom w:val="0"/>
                                                                  <w:divBdr>
                                                                    <w:top w:val="none" w:sz="0" w:space="0" w:color="auto"/>
                                                                    <w:left w:val="none" w:sz="0" w:space="0" w:color="auto"/>
                                                                    <w:bottom w:val="none" w:sz="0" w:space="0" w:color="auto"/>
                                                                    <w:right w:val="none" w:sz="0" w:space="0" w:color="auto"/>
                                                                  </w:divBdr>
                                                                  <w:divsChild>
                                                                    <w:div w:id="1118834412">
                                                                      <w:marLeft w:val="0"/>
                                                                      <w:marRight w:val="0"/>
                                                                      <w:marTop w:val="0"/>
                                                                      <w:marBottom w:val="0"/>
                                                                      <w:divBdr>
                                                                        <w:top w:val="none" w:sz="0" w:space="0" w:color="auto"/>
                                                                        <w:left w:val="none" w:sz="0" w:space="0" w:color="auto"/>
                                                                        <w:bottom w:val="none" w:sz="0" w:space="0" w:color="auto"/>
                                                                        <w:right w:val="none" w:sz="0" w:space="0" w:color="auto"/>
                                                                      </w:divBdr>
                                                                      <w:divsChild>
                                                                        <w:div w:id="931743047">
                                                                          <w:marLeft w:val="0"/>
                                                                          <w:marRight w:val="0"/>
                                                                          <w:marTop w:val="0"/>
                                                                          <w:marBottom w:val="0"/>
                                                                          <w:divBdr>
                                                                            <w:top w:val="none" w:sz="0" w:space="0" w:color="auto"/>
                                                                            <w:left w:val="none" w:sz="0" w:space="0" w:color="auto"/>
                                                                            <w:bottom w:val="none" w:sz="0" w:space="0" w:color="auto"/>
                                                                            <w:right w:val="none" w:sz="0" w:space="0" w:color="auto"/>
                                                                          </w:divBdr>
                                                                        </w:div>
                                                                      </w:divsChild>
                                                                    </w:div>
                                                                    <w:div w:id="1880849438">
                                                                      <w:marLeft w:val="0"/>
                                                                      <w:marRight w:val="0"/>
                                                                      <w:marTop w:val="0"/>
                                                                      <w:marBottom w:val="0"/>
                                                                      <w:divBdr>
                                                                        <w:top w:val="none" w:sz="0" w:space="0" w:color="auto"/>
                                                                        <w:left w:val="none" w:sz="0" w:space="0" w:color="auto"/>
                                                                        <w:bottom w:val="none" w:sz="0" w:space="0" w:color="auto"/>
                                                                        <w:right w:val="none" w:sz="0" w:space="0" w:color="auto"/>
                                                                      </w:divBdr>
                                                                      <w:divsChild>
                                                                        <w:div w:id="15044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996537">
      <w:bodyDiv w:val="1"/>
      <w:marLeft w:val="0"/>
      <w:marRight w:val="0"/>
      <w:marTop w:val="0"/>
      <w:marBottom w:val="0"/>
      <w:divBdr>
        <w:top w:val="none" w:sz="0" w:space="0" w:color="auto"/>
        <w:left w:val="none" w:sz="0" w:space="0" w:color="auto"/>
        <w:bottom w:val="none" w:sz="0" w:space="0" w:color="auto"/>
        <w:right w:val="none" w:sz="0" w:space="0" w:color="auto"/>
      </w:divBdr>
      <w:divsChild>
        <w:div w:id="163326198">
          <w:marLeft w:val="0"/>
          <w:marRight w:val="0"/>
          <w:marTop w:val="240"/>
          <w:marBottom w:val="0"/>
          <w:divBdr>
            <w:top w:val="none" w:sz="0" w:space="0" w:color="auto"/>
            <w:left w:val="none" w:sz="0" w:space="0" w:color="auto"/>
            <w:bottom w:val="none" w:sz="0" w:space="0" w:color="auto"/>
            <w:right w:val="none" w:sz="0" w:space="0" w:color="auto"/>
          </w:divBdr>
          <w:divsChild>
            <w:div w:id="446773345">
              <w:marLeft w:val="0"/>
              <w:marRight w:val="0"/>
              <w:marTop w:val="0"/>
              <w:marBottom w:val="0"/>
              <w:divBdr>
                <w:top w:val="none" w:sz="0" w:space="0" w:color="auto"/>
                <w:left w:val="none" w:sz="0" w:space="0" w:color="auto"/>
                <w:bottom w:val="none" w:sz="0" w:space="0" w:color="auto"/>
                <w:right w:val="none" w:sz="0" w:space="0" w:color="auto"/>
              </w:divBdr>
            </w:div>
          </w:divsChild>
        </w:div>
        <w:div w:id="525557250">
          <w:marLeft w:val="0"/>
          <w:marRight w:val="0"/>
          <w:marTop w:val="240"/>
          <w:marBottom w:val="0"/>
          <w:divBdr>
            <w:top w:val="none" w:sz="0" w:space="0" w:color="auto"/>
            <w:left w:val="none" w:sz="0" w:space="0" w:color="auto"/>
            <w:bottom w:val="none" w:sz="0" w:space="0" w:color="auto"/>
            <w:right w:val="none" w:sz="0" w:space="0" w:color="auto"/>
          </w:divBdr>
          <w:divsChild>
            <w:div w:id="638802584">
              <w:marLeft w:val="0"/>
              <w:marRight w:val="0"/>
              <w:marTop w:val="0"/>
              <w:marBottom w:val="0"/>
              <w:divBdr>
                <w:top w:val="none" w:sz="0" w:space="0" w:color="auto"/>
                <w:left w:val="none" w:sz="0" w:space="0" w:color="auto"/>
                <w:bottom w:val="none" w:sz="0" w:space="0" w:color="auto"/>
                <w:right w:val="none" w:sz="0" w:space="0" w:color="auto"/>
              </w:divBdr>
            </w:div>
          </w:divsChild>
        </w:div>
        <w:div w:id="744643541">
          <w:marLeft w:val="0"/>
          <w:marRight w:val="0"/>
          <w:marTop w:val="0"/>
          <w:marBottom w:val="0"/>
          <w:divBdr>
            <w:top w:val="none" w:sz="0" w:space="0" w:color="auto"/>
            <w:left w:val="none" w:sz="0" w:space="0" w:color="auto"/>
            <w:bottom w:val="none" w:sz="0" w:space="0" w:color="auto"/>
            <w:right w:val="none" w:sz="0" w:space="0" w:color="auto"/>
          </w:divBdr>
        </w:div>
      </w:divsChild>
    </w:div>
    <w:div w:id="2123960439">
      <w:bodyDiv w:val="1"/>
      <w:marLeft w:val="0"/>
      <w:marRight w:val="0"/>
      <w:marTop w:val="0"/>
      <w:marBottom w:val="0"/>
      <w:divBdr>
        <w:top w:val="none" w:sz="0" w:space="0" w:color="auto"/>
        <w:left w:val="none" w:sz="0" w:space="0" w:color="auto"/>
        <w:bottom w:val="none" w:sz="0" w:space="0" w:color="auto"/>
        <w:right w:val="none" w:sz="0" w:space="0" w:color="auto"/>
      </w:divBdr>
    </w:div>
    <w:div w:id="2123961451">
      <w:bodyDiv w:val="1"/>
      <w:marLeft w:val="0"/>
      <w:marRight w:val="0"/>
      <w:marTop w:val="0"/>
      <w:marBottom w:val="0"/>
      <w:divBdr>
        <w:top w:val="none" w:sz="0" w:space="0" w:color="auto"/>
        <w:left w:val="none" w:sz="0" w:space="0" w:color="auto"/>
        <w:bottom w:val="none" w:sz="0" w:space="0" w:color="auto"/>
        <w:right w:val="none" w:sz="0" w:space="0" w:color="auto"/>
      </w:divBdr>
      <w:divsChild>
        <w:div w:id="1957104731">
          <w:marLeft w:val="0"/>
          <w:marRight w:val="0"/>
          <w:marTop w:val="0"/>
          <w:marBottom w:val="0"/>
          <w:divBdr>
            <w:top w:val="none" w:sz="0" w:space="0" w:color="auto"/>
            <w:left w:val="none" w:sz="0" w:space="0" w:color="auto"/>
            <w:bottom w:val="none" w:sz="0" w:space="0" w:color="auto"/>
            <w:right w:val="none" w:sz="0" w:space="0" w:color="auto"/>
          </w:divBdr>
        </w:div>
        <w:div w:id="1115060537">
          <w:marLeft w:val="0"/>
          <w:marRight w:val="0"/>
          <w:marTop w:val="240"/>
          <w:marBottom w:val="0"/>
          <w:divBdr>
            <w:top w:val="none" w:sz="0" w:space="0" w:color="auto"/>
            <w:left w:val="none" w:sz="0" w:space="0" w:color="auto"/>
            <w:bottom w:val="none" w:sz="0" w:space="0" w:color="auto"/>
            <w:right w:val="none" w:sz="0" w:space="0" w:color="auto"/>
          </w:divBdr>
          <w:divsChild>
            <w:div w:id="411199160">
              <w:marLeft w:val="0"/>
              <w:marRight w:val="0"/>
              <w:marTop w:val="0"/>
              <w:marBottom w:val="0"/>
              <w:divBdr>
                <w:top w:val="none" w:sz="0" w:space="0" w:color="auto"/>
                <w:left w:val="none" w:sz="0" w:space="0" w:color="auto"/>
                <w:bottom w:val="none" w:sz="0" w:space="0" w:color="auto"/>
                <w:right w:val="none" w:sz="0" w:space="0" w:color="auto"/>
              </w:divBdr>
            </w:div>
          </w:divsChild>
        </w:div>
        <w:div w:id="851803405">
          <w:marLeft w:val="0"/>
          <w:marRight w:val="0"/>
          <w:marTop w:val="240"/>
          <w:marBottom w:val="0"/>
          <w:divBdr>
            <w:top w:val="none" w:sz="0" w:space="0" w:color="auto"/>
            <w:left w:val="none" w:sz="0" w:space="0" w:color="auto"/>
            <w:bottom w:val="none" w:sz="0" w:space="0" w:color="auto"/>
            <w:right w:val="none" w:sz="0" w:space="0" w:color="auto"/>
          </w:divBdr>
          <w:divsChild>
            <w:div w:id="813451637">
              <w:marLeft w:val="0"/>
              <w:marRight w:val="0"/>
              <w:marTop w:val="0"/>
              <w:marBottom w:val="0"/>
              <w:divBdr>
                <w:top w:val="none" w:sz="0" w:space="0" w:color="auto"/>
                <w:left w:val="none" w:sz="0" w:space="0" w:color="auto"/>
                <w:bottom w:val="none" w:sz="0" w:space="0" w:color="auto"/>
                <w:right w:val="none" w:sz="0" w:space="0" w:color="auto"/>
              </w:divBdr>
            </w:div>
          </w:divsChild>
        </w:div>
        <w:div w:id="207257268">
          <w:marLeft w:val="0"/>
          <w:marRight w:val="0"/>
          <w:marTop w:val="240"/>
          <w:marBottom w:val="0"/>
          <w:divBdr>
            <w:top w:val="none" w:sz="0" w:space="0" w:color="auto"/>
            <w:left w:val="none" w:sz="0" w:space="0" w:color="auto"/>
            <w:bottom w:val="none" w:sz="0" w:space="0" w:color="auto"/>
            <w:right w:val="none" w:sz="0" w:space="0" w:color="auto"/>
          </w:divBdr>
          <w:divsChild>
            <w:div w:id="1612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76108">
      <w:bodyDiv w:val="1"/>
      <w:marLeft w:val="0"/>
      <w:marRight w:val="0"/>
      <w:marTop w:val="0"/>
      <w:marBottom w:val="0"/>
      <w:divBdr>
        <w:top w:val="none" w:sz="0" w:space="0" w:color="auto"/>
        <w:left w:val="none" w:sz="0" w:space="0" w:color="auto"/>
        <w:bottom w:val="none" w:sz="0" w:space="0" w:color="auto"/>
        <w:right w:val="none" w:sz="0" w:space="0" w:color="auto"/>
      </w:divBdr>
      <w:divsChild>
        <w:div w:id="910193829">
          <w:marLeft w:val="0"/>
          <w:marRight w:val="0"/>
          <w:marTop w:val="0"/>
          <w:marBottom w:val="0"/>
          <w:divBdr>
            <w:top w:val="none" w:sz="0" w:space="0" w:color="auto"/>
            <w:left w:val="none" w:sz="0" w:space="0" w:color="auto"/>
            <w:bottom w:val="none" w:sz="0" w:space="0" w:color="auto"/>
            <w:right w:val="none" w:sz="0" w:space="0" w:color="auto"/>
          </w:divBdr>
          <w:divsChild>
            <w:div w:id="1120421637">
              <w:marLeft w:val="0"/>
              <w:marRight w:val="0"/>
              <w:marTop w:val="0"/>
              <w:marBottom w:val="0"/>
              <w:divBdr>
                <w:top w:val="none" w:sz="0" w:space="0" w:color="auto"/>
                <w:left w:val="none" w:sz="0" w:space="0" w:color="auto"/>
                <w:bottom w:val="none" w:sz="0" w:space="0" w:color="auto"/>
                <w:right w:val="none" w:sz="0" w:space="0" w:color="auto"/>
              </w:divBdr>
              <w:divsChild>
                <w:div w:id="755713347">
                  <w:marLeft w:val="0"/>
                  <w:marRight w:val="0"/>
                  <w:marTop w:val="0"/>
                  <w:marBottom w:val="0"/>
                  <w:divBdr>
                    <w:top w:val="none" w:sz="0" w:space="0" w:color="auto"/>
                    <w:left w:val="none" w:sz="0" w:space="0" w:color="auto"/>
                    <w:bottom w:val="none" w:sz="0" w:space="0" w:color="auto"/>
                    <w:right w:val="none" w:sz="0" w:space="0" w:color="auto"/>
                  </w:divBdr>
                  <w:divsChild>
                    <w:div w:id="2058048129">
                      <w:marLeft w:val="0"/>
                      <w:marRight w:val="0"/>
                      <w:marTop w:val="0"/>
                      <w:marBottom w:val="375"/>
                      <w:divBdr>
                        <w:top w:val="none" w:sz="0" w:space="0" w:color="auto"/>
                        <w:left w:val="none" w:sz="0" w:space="0" w:color="auto"/>
                        <w:bottom w:val="none" w:sz="0" w:space="0" w:color="auto"/>
                        <w:right w:val="none" w:sz="0" w:space="0" w:color="auto"/>
                      </w:divBdr>
                      <w:divsChild>
                        <w:div w:id="1809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3687">
      <w:bodyDiv w:val="1"/>
      <w:marLeft w:val="0"/>
      <w:marRight w:val="0"/>
      <w:marTop w:val="0"/>
      <w:marBottom w:val="0"/>
      <w:divBdr>
        <w:top w:val="none" w:sz="0" w:space="0" w:color="auto"/>
        <w:left w:val="none" w:sz="0" w:space="0" w:color="auto"/>
        <w:bottom w:val="none" w:sz="0" w:space="0" w:color="auto"/>
        <w:right w:val="none" w:sz="0" w:space="0" w:color="auto"/>
      </w:divBdr>
      <w:divsChild>
        <w:div w:id="1007362701">
          <w:marLeft w:val="0"/>
          <w:marRight w:val="0"/>
          <w:marTop w:val="0"/>
          <w:marBottom w:val="0"/>
          <w:divBdr>
            <w:top w:val="none" w:sz="0" w:space="0" w:color="auto"/>
            <w:left w:val="none" w:sz="0" w:space="0" w:color="auto"/>
            <w:bottom w:val="none" w:sz="0" w:space="0" w:color="auto"/>
            <w:right w:val="none" w:sz="0" w:space="0" w:color="auto"/>
          </w:divBdr>
        </w:div>
        <w:div w:id="825785996">
          <w:marLeft w:val="0"/>
          <w:marRight w:val="0"/>
          <w:marTop w:val="240"/>
          <w:marBottom w:val="0"/>
          <w:divBdr>
            <w:top w:val="none" w:sz="0" w:space="0" w:color="auto"/>
            <w:left w:val="none" w:sz="0" w:space="0" w:color="auto"/>
            <w:bottom w:val="none" w:sz="0" w:space="0" w:color="auto"/>
            <w:right w:val="none" w:sz="0" w:space="0" w:color="auto"/>
          </w:divBdr>
          <w:divsChild>
            <w:div w:id="4979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33312">
      <w:bodyDiv w:val="1"/>
      <w:marLeft w:val="30"/>
      <w:marRight w:val="30"/>
      <w:marTop w:val="30"/>
      <w:marBottom w:val="30"/>
      <w:divBdr>
        <w:top w:val="none" w:sz="0" w:space="0" w:color="auto"/>
        <w:left w:val="none" w:sz="0" w:space="0" w:color="auto"/>
        <w:bottom w:val="none" w:sz="0" w:space="0" w:color="auto"/>
        <w:right w:val="none" w:sz="0" w:space="0" w:color="auto"/>
      </w:divBdr>
      <w:divsChild>
        <w:div w:id="376128273">
          <w:marLeft w:val="0"/>
          <w:marRight w:val="0"/>
          <w:marTop w:val="0"/>
          <w:marBottom w:val="0"/>
          <w:divBdr>
            <w:top w:val="none" w:sz="0" w:space="0" w:color="auto"/>
            <w:left w:val="none" w:sz="0" w:space="0" w:color="auto"/>
            <w:bottom w:val="none" w:sz="0" w:space="0" w:color="auto"/>
            <w:right w:val="none" w:sz="0" w:space="0" w:color="auto"/>
          </w:divBdr>
          <w:divsChild>
            <w:div w:id="842016891">
              <w:marLeft w:val="45"/>
              <w:marRight w:val="45"/>
              <w:marTop w:val="45"/>
              <w:marBottom w:val="45"/>
              <w:divBdr>
                <w:top w:val="none" w:sz="0" w:space="0" w:color="auto"/>
                <w:left w:val="none" w:sz="0" w:space="0" w:color="auto"/>
                <w:bottom w:val="none" w:sz="0" w:space="0" w:color="auto"/>
                <w:right w:val="none" w:sz="0" w:space="0" w:color="auto"/>
              </w:divBdr>
              <w:divsChild>
                <w:div w:id="1083645849">
                  <w:marLeft w:val="0"/>
                  <w:marRight w:val="0"/>
                  <w:marTop w:val="0"/>
                  <w:marBottom w:val="0"/>
                  <w:divBdr>
                    <w:top w:val="none" w:sz="0" w:space="0" w:color="auto"/>
                    <w:left w:val="none" w:sz="0" w:space="0" w:color="auto"/>
                    <w:bottom w:val="none" w:sz="0" w:space="0" w:color="auto"/>
                    <w:right w:val="none" w:sz="0" w:space="0" w:color="auto"/>
                  </w:divBdr>
                  <w:divsChild>
                    <w:div w:id="470947977">
                      <w:marLeft w:val="0"/>
                      <w:marRight w:val="0"/>
                      <w:marTop w:val="0"/>
                      <w:marBottom w:val="0"/>
                      <w:divBdr>
                        <w:top w:val="none" w:sz="0" w:space="0" w:color="auto"/>
                        <w:left w:val="none" w:sz="0" w:space="0" w:color="auto"/>
                        <w:bottom w:val="none" w:sz="0" w:space="0" w:color="auto"/>
                        <w:right w:val="none" w:sz="0" w:space="0" w:color="auto"/>
                      </w:divBdr>
                    </w:div>
                    <w:div w:id="846332389">
                      <w:marLeft w:val="0"/>
                      <w:marRight w:val="0"/>
                      <w:marTop w:val="0"/>
                      <w:marBottom w:val="0"/>
                      <w:divBdr>
                        <w:top w:val="none" w:sz="0" w:space="0" w:color="auto"/>
                        <w:left w:val="none" w:sz="0" w:space="0" w:color="auto"/>
                        <w:bottom w:val="none" w:sz="0" w:space="0" w:color="auto"/>
                        <w:right w:val="none" w:sz="0" w:space="0" w:color="auto"/>
                      </w:divBdr>
                    </w:div>
                    <w:div w:id="1056853183">
                      <w:marLeft w:val="0"/>
                      <w:marRight w:val="0"/>
                      <w:marTop w:val="0"/>
                      <w:marBottom w:val="0"/>
                      <w:divBdr>
                        <w:top w:val="none" w:sz="0" w:space="0" w:color="auto"/>
                        <w:left w:val="none" w:sz="0" w:space="0" w:color="auto"/>
                        <w:bottom w:val="none" w:sz="0" w:space="0" w:color="auto"/>
                        <w:right w:val="none" w:sz="0" w:space="0" w:color="auto"/>
                      </w:divBdr>
                    </w:div>
                    <w:div w:id="1331062719">
                      <w:marLeft w:val="180"/>
                      <w:marRight w:val="0"/>
                      <w:marTop w:val="0"/>
                      <w:marBottom w:val="0"/>
                      <w:divBdr>
                        <w:top w:val="none" w:sz="0" w:space="0" w:color="auto"/>
                        <w:left w:val="none" w:sz="0" w:space="0" w:color="auto"/>
                        <w:bottom w:val="none" w:sz="0" w:space="0" w:color="auto"/>
                        <w:right w:val="none" w:sz="0" w:space="0" w:color="auto"/>
                      </w:divBdr>
                    </w:div>
                    <w:div w:id="1334333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76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79281">
      <w:bodyDiv w:val="1"/>
      <w:marLeft w:val="0"/>
      <w:marRight w:val="0"/>
      <w:marTop w:val="0"/>
      <w:marBottom w:val="0"/>
      <w:divBdr>
        <w:top w:val="none" w:sz="0" w:space="0" w:color="auto"/>
        <w:left w:val="none" w:sz="0" w:space="0" w:color="auto"/>
        <w:bottom w:val="none" w:sz="0" w:space="0" w:color="auto"/>
        <w:right w:val="none" w:sz="0" w:space="0" w:color="auto"/>
      </w:divBdr>
      <w:divsChild>
        <w:div w:id="884296704">
          <w:marLeft w:val="0"/>
          <w:marRight w:val="0"/>
          <w:marTop w:val="240"/>
          <w:marBottom w:val="0"/>
          <w:divBdr>
            <w:top w:val="none" w:sz="0" w:space="0" w:color="auto"/>
            <w:left w:val="none" w:sz="0" w:space="0" w:color="auto"/>
            <w:bottom w:val="none" w:sz="0" w:space="0" w:color="auto"/>
            <w:right w:val="none" w:sz="0" w:space="0" w:color="auto"/>
          </w:divBdr>
          <w:divsChild>
            <w:div w:id="1614097889">
              <w:marLeft w:val="0"/>
              <w:marRight w:val="0"/>
              <w:marTop w:val="0"/>
              <w:marBottom w:val="0"/>
              <w:divBdr>
                <w:top w:val="none" w:sz="0" w:space="0" w:color="auto"/>
                <w:left w:val="none" w:sz="0" w:space="0" w:color="auto"/>
                <w:bottom w:val="none" w:sz="0" w:space="0" w:color="auto"/>
                <w:right w:val="none" w:sz="0" w:space="0" w:color="auto"/>
              </w:divBdr>
            </w:div>
          </w:divsChild>
        </w:div>
        <w:div w:id="1560439307">
          <w:marLeft w:val="0"/>
          <w:marRight w:val="0"/>
          <w:marTop w:val="0"/>
          <w:marBottom w:val="0"/>
          <w:divBdr>
            <w:top w:val="none" w:sz="0" w:space="0" w:color="auto"/>
            <w:left w:val="none" w:sz="0" w:space="0" w:color="auto"/>
            <w:bottom w:val="none" w:sz="0" w:space="0" w:color="auto"/>
            <w:right w:val="none" w:sz="0" w:space="0" w:color="auto"/>
          </w:divBdr>
        </w:div>
        <w:div w:id="1866358340">
          <w:marLeft w:val="0"/>
          <w:marRight w:val="0"/>
          <w:marTop w:val="240"/>
          <w:marBottom w:val="0"/>
          <w:divBdr>
            <w:top w:val="none" w:sz="0" w:space="0" w:color="auto"/>
            <w:left w:val="none" w:sz="0" w:space="0" w:color="auto"/>
            <w:bottom w:val="none" w:sz="0" w:space="0" w:color="auto"/>
            <w:right w:val="none" w:sz="0" w:space="0" w:color="auto"/>
          </w:divBdr>
          <w:divsChild>
            <w:div w:id="1672835386">
              <w:marLeft w:val="0"/>
              <w:marRight w:val="0"/>
              <w:marTop w:val="0"/>
              <w:marBottom w:val="0"/>
              <w:divBdr>
                <w:top w:val="none" w:sz="0" w:space="0" w:color="auto"/>
                <w:left w:val="none" w:sz="0" w:space="0" w:color="auto"/>
                <w:bottom w:val="none" w:sz="0" w:space="0" w:color="auto"/>
                <w:right w:val="none" w:sz="0" w:space="0" w:color="auto"/>
              </w:divBdr>
            </w:div>
          </w:divsChild>
        </w:div>
        <w:div w:id="1927613603">
          <w:marLeft w:val="0"/>
          <w:marRight w:val="0"/>
          <w:marTop w:val="240"/>
          <w:marBottom w:val="0"/>
          <w:divBdr>
            <w:top w:val="none" w:sz="0" w:space="0" w:color="auto"/>
            <w:left w:val="none" w:sz="0" w:space="0" w:color="auto"/>
            <w:bottom w:val="none" w:sz="0" w:space="0" w:color="auto"/>
            <w:right w:val="none" w:sz="0" w:space="0" w:color="auto"/>
          </w:divBdr>
          <w:divsChild>
            <w:div w:id="9281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5486">
      <w:bodyDiv w:val="1"/>
      <w:marLeft w:val="0"/>
      <w:marRight w:val="0"/>
      <w:marTop w:val="0"/>
      <w:marBottom w:val="0"/>
      <w:divBdr>
        <w:top w:val="none" w:sz="0" w:space="0" w:color="auto"/>
        <w:left w:val="none" w:sz="0" w:space="0" w:color="auto"/>
        <w:bottom w:val="none" w:sz="0" w:space="0" w:color="auto"/>
        <w:right w:val="none" w:sz="0" w:space="0" w:color="auto"/>
      </w:divBdr>
      <w:divsChild>
        <w:div w:id="1456171060">
          <w:marLeft w:val="0"/>
          <w:marRight w:val="0"/>
          <w:marTop w:val="240"/>
          <w:marBottom w:val="0"/>
          <w:divBdr>
            <w:top w:val="none" w:sz="0" w:space="0" w:color="auto"/>
            <w:left w:val="none" w:sz="0" w:space="0" w:color="auto"/>
            <w:bottom w:val="none" w:sz="0" w:space="0" w:color="auto"/>
            <w:right w:val="none" w:sz="0" w:space="0" w:color="auto"/>
          </w:divBdr>
          <w:divsChild>
            <w:div w:id="37168716">
              <w:marLeft w:val="0"/>
              <w:marRight w:val="0"/>
              <w:marTop w:val="0"/>
              <w:marBottom w:val="0"/>
              <w:divBdr>
                <w:top w:val="none" w:sz="0" w:space="0" w:color="auto"/>
                <w:left w:val="none" w:sz="0" w:space="0" w:color="auto"/>
                <w:bottom w:val="none" w:sz="0" w:space="0" w:color="auto"/>
                <w:right w:val="none" w:sz="0" w:space="0" w:color="auto"/>
              </w:divBdr>
            </w:div>
          </w:divsChild>
        </w:div>
        <w:div w:id="2119790430">
          <w:marLeft w:val="0"/>
          <w:marRight w:val="0"/>
          <w:marTop w:val="240"/>
          <w:marBottom w:val="0"/>
          <w:divBdr>
            <w:top w:val="none" w:sz="0" w:space="0" w:color="auto"/>
            <w:left w:val="none" w:sz="0" w:space="0" w:color="auto"/>
            <w:bottom w:val="none" w:sz="0" w:space="0" w:color="auto"/>
            <w:right w:val="none" w:sz="0" w:space="0" w:color="auto"/>
          </w:divBdr>
          <w:divsChild>
            <w:div w:id="1013922516">
              <w:marLeft w:val="0"/>
              <w:marRight w:val="0"/>
              <w:marTop w:val="0"/>
              <w:marBottom w:val="0"/>
              <w:divBdr>
                <w:top w:val="none" w:sz="0" w:space="0" w:color="auto"/>
                <w:left w:val="none" w:sz="0" w:space="0" w:color="auto"/>
                <w:bottom w:val="none" w:sz="0" w:space="0" w:color="auto"/>
                <w:right w:val="none" w:sz="0" w:space="0" w:color="auto"/>
              </w:divBdr>
            </w:div>
          </w:divsChild>
        </w:div>
        <w:div w:id="1128353237">
          <w:marLeft w:val="0"/>
          <w:marRight w:val="0"/>
          <w:marTop w:val="240"/>
          <w:marBottom w:val="0"/>
          <w:divBdr>
            <w:top w:val="none" w:sz="0" w:space="0" w:color="auto"/>
            <w:left w:val="none" w:sz="0" w:space="0" w:color="auto"/>
            <w:bottom w:val="none" w:sz="0" w:space="0" w:color="auto"/>
            <w:right w:val="none" w:sz="0" w:space="0" w:color="auto"/>
          </w:divBdr>
          <w:divsChild>
            <w:div w:id="5143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3697">
      <w:bodyDiv w:val="1"/>
      <w:marLeft w:val="0"/>
      <w:marRight w:val="0"/>
      <w:marTop w:val="0"/>
      <w:marBottom w:val="0"/>
      <w:divBdr>
        <w:top w:val="none" w:sz="0" w:space="0" w:color="auto"/>
        <w:left w:val="none" w:sz="0" w:space="0" w:color="auto"/>
        <w:bottom w:val="none" w:sz="0" w:space="0" w:color="auto"/>
        <w:right w:val="none" w:sz="0" w:space="0" w:color="auto"/>
      </w:divBdr>
      <w:divsChild>
        <w:div w:id="330105733">
          <w:marLeft w:val="0"/>
          <w:marRight w:val="0"/>
          <w:marTop w:val="0"/>
          <w:marBottom w:val="0"/>
          <w:divBdr>
            <w:top w:val="none" w:sz="0" w:space="0" w:color="auto"/>
            <w:left w:val="single" w:sz="6" w:space="0" w:color="BBBBBB"/>
            <w:bottom w:val="single" w:sz="6" w:space="0" w:color="BBBBBB"/>
            <w:right w:val="single" w:sz="6" w:space="0" w:color="BBBBBB"/>
          </w:divBdr>
          <w:divsChild>
            <w:div w:id="578910564">
              <w:marLeft w:val="0"/>
              <w:marRight w:val="0"/>
              <w:marTop w:val="0"/>
              <w:marBottom w:val="0"/>
              <w:divBdr>
                <w:top w:val="none" w:sz="0" w:space="0" w:color="auto"/>
                <w:left w:val="none" w:sz="0" w:space="0" w:color="auto"/>
                <w:bottom w:val="none" w:sz="0" w:space="0" w:color="auto"/>
                <w:right w:val="none" w:sz="0" w:space="0" w:color="auto"/>
              </w:divBdr>
              <w:divsChild>
                <w:div w:id="1033265890">
                  <w:marLeft w:val="0"/>
                  <w:marRight w:val="0"/>
                  <w:marTop w:val="75"/>
                  <w:marBottom w:val="0"/>
                  <w:divBdr>
                    <w:top w:val="none" w:sz="0" w:space="0" w:color="auto"/>
                    <w:left w:val="none" w:sz="0" w:space="0" w:color="auto"/>
                    <w:bottom w:val="none" w:sz="0" w:space="0" w:color="auto"/>
                    <w:right w:val="none" w:sz="0" w:space="0" w:color="auto"/>
                  </w:divBdr>
                  <w:divsChild>
                    <w:div w:id="1641618889">
                      <w:marLeft w:val="0"/>
                      <w:marRight w:val="0"/>
                      <w:marTop w:val="0"/>
                      <w:marBottom w:val="0"/>
                      <w:divBdr>
                        <w:top w:val="none" w:sz="0" w:space="0" w:color="auto"/>
                        <w:left w:val="none" w:sz="0" w:space="0" w:color="auto"/>
                        <w:bottom w:val="none" w:sz="0" w:space="0" w:color="auto"/>
                        <w:right w:val="none" w:sz="0" w:space="0" w:color="auto"/>
                      </w:divBdr>
                      <w:divsChild>
                        <w:div w:id="1122650817">
                          <w:marLeft w:val="0"/>
                          <w:marRight w:val="0"/>
                          <w:marTop w:val="0"/>
                          <w:marBottom w:val="0"/>
                          <w:divBdr>
                            <w:top w:val="none" w:sz="0" w:space="0" w:color="auto"/>
                            <w:left w:val="none" w:sz="0" w:space="0" w:color="auto"/>
                            <w:bottom w:val="none" w:sz="0" w:space="0" w:color="auto"/>
                            <w:right w:val="none" w:sz="0" w:space="0" w:color="auto"/>
                          </w:divBdr>
                          <w:divsChild>
                            <w:div w:id="799227330">
                              <w:marLeft w:val="0"/>
                              <w:marRight w:val="0"/>
                              <w:marTop w:val="0"/>
                              <w:marBottom w:val="0"/>
                              <w:divBdr>
                                <w:top w:val="none" w:sz="0" w:space="0" w:color="auto"/>
                                <w:left w:val="none" w:sz="0" w:space="0" w:color="auto"/>
                                <w:bottom w:val="none" w:sz="0" w:space="0" w:color="auto"/>
                                <w:right w:val="none" w:sz="0" w:space="0" w:color="auto"/>
                              </w:divBdr>
                              <w:divsChild>
                                <w:div w:id="1562209035">
                                  <w:marLeft w:val="0"/>
                                  <w:marRight w:val="0"/>
                                  <w:marTop w:val="0"/>
                                  <w:marBottom w:val="0"/>
                                  <w:divBdr>
                                    <w:top w:val="none" w:sz="0" w:space="0" w:color="auto"/>
                                    <w:left w:val="none" w:sz="0" w:space="0" w:color="auto"/>
                                    <w:bottom w:val="none" w:sz="0" w:space="0" w:color="auto"/>
                                    <w:right w:val="none" w:sz="0" w:space="0" w:color="auto"/>
                                  </w:divBdr>
                                  <w:divsChild>
                                    <w:div w:id="436099664">
                                      <w:marLeft w:val="0"/>
                                      <w:marRight w:val="0"/>
                                      <w:marTop w:val="0"/>
                                      <w:marBottom w:val="0"/>
                                      <w:divBdr>
                                        <w:top w:val="none" w:sz="0" w:space="0" w:color="auto"/>
                                        <w:left w:val="none" w:sz="0" w:space="0" w:color="auto"/>
                                        <w:bottom w:val="none" w:sz="0" w:space="0" w:color="auto"/>
                                        <w:right w:val="none" w:sz="0" w:space="0" w:color="auto"/>
                                      </w:divBdr>
                                      <w:divsChild>
                                        <w:div w:id="1106270628">
                                          <w:marLeft w:val="1200"/>
                                          <w:marRight w:val="1200"/>
                                          <w:marTop w:val="0"/>
                                          <w:marBottom w:val="0"/>
                                          <w:divBdr>
                                            <w:top w:val="none" w:sz="0" w:space="0" w:color="auto"/>
                                            <w:left w:val="none" w:sz="0" w:space="0" w:color="auto"/>
                                            <w:bottom w:val="none" w:sz="0" w:space="0" w:color="auto"/>
                                            <w:right w:val="none" w:sz="0" w:space="0" w:color="auto"/>
                                          </w:divBdr>
                                          <w:divsChild>
                                            <w:div w:id="432019716">
                                              <w:marLeft w:val="0"/>
                                              <w:marRight w:val="0"/>
                                              <w:marTop w:val="0"/>
                                              <w:marBottom w:val="0"/>
                                              <w:divBdr>
                                                <w:top w:val="none" w:sz="0" w:space="0" w:color="auto"/>
                                                <w:left w:val="none" w:sz="0" w:space="0" w:color="auto"/>
                                                <w:bottom w:val="none" w:sz="0" w:space="0" w:color="auto"/>
                                                <w:right w:val="none" w:sz="0" w:space="0" w:color="auto"/>
                                              </w:divBdr>
                                              <w:divsChild>
                                                <w:div w:id="1210342253">
                                                  <w:marLeft w:val="0"/>
                                                  <w:marRight w:val="0"/>
                                                  <w:marTop w:val="0"/>
                                                  <w:marBottom w:val="0"/>
                                                  <w:divBdr>
                                                    <w:top w:val="none" w:sz="0" w:space="0" w:color="auto"/>
                                                    <w:left w:val="none" w:sz="0" w:space="0" w:color="auto"/>
                                                    <w:bottom w:val="none" w:sz="0" w:space="0" w:color="auto"/>
                                                    <w:right w:val="none" w:sz="0" w:space="0" w:color="auto"/>
                                                  </w:divBdr>
                                                  <w:divsChild>
                                                    <w:div w:id="925724491">
                                                      <w:marLeft w:val="0"/>
                                                      <w:marRight w:val="0"/>
                                                      <w:marTop w:val="0"/>
                                                      <w:marBottom w:val="0"/>
                                                      <w:divBdr>
                                                        <w:top w:val="none" w:sz="0" w:space="0" w:color="auto"/>
                                                        <w:left w:val="none" w:sz="0" w:space="0" w:color="auto"/>
                                                        <w:bottom w:val="none" w:sz="0" w:space="0" w:color="auto"/>
                                                        <w:right w:val="none" w:sz="0" w:space="0" w:color="auto"/>
                                                      </w:divBdr>
                                                      <w:divsChild>
                                                        <w:div w:id="170678370">
                                                          <w:marLeft w:val="0"/>
                                                          <w:marRight w:val="0"/>
                                                          <w:marTop w:val="0"/>
                                                          <w:marBottom w:val="0"/>
                                                          <w:divBdr>
                                                            <w:top w:val="none" w:sz="0" w:space="0" w:color="auto"/>
                                                            <w:left w:val="none" w:sz="0" w:space="0" w:color="auto"/>
                                                            <w:bottom w:val="none" w:sz="0" w:space="0" w:color="auto"/>
                                                            <w:right w:val="none" w:sz="0" w:space="0" w:color="auto"/>
                                                          </w:divBdr>
                                                          <w:divsChild>
                                                            <w:div w:id="13465512">
                                                              <w:marLeft w:val="0"/>
                                                              <w:marRight w:val="0"/>
                                                              <w:marTop w:val="0"/>
                                                              <w:marBottom w:val="0"/>
                                                              <w:divBdr>
                                                                <w:top w:val="none" w:sz="0" w:space="0" w:color="auto"/>
                                                                <w:left w:val="none" w:sz="0" w:space="0" w:color="auto"/>
                                                                <w:bottom w:val="none" w:sz="0" w:space="0" w:color="auto"/>
                                                                <w:right w:val="none" w:sz="0" w:space="0" w:color="auto"/>
                                                              </w:divBdr>
                                                              <w:divsChild>
                                                                <w:div w:id="1790667016">
                                                                  <w:marLeft w:val="0"/>
                                                                  <w:marRight w:val="0"/>
                                                                  <w:marTop w:val="0"/>
                                                                  <w:marBottom w:val="0"/>
                                                                  <w:divBdr>
                                                                    <w:top w:val="none" w:sz="0" w:space="0" w:color="auto"/>
                                                                    <w:left w:val="none" w:sz="0" w:space="0" w:color="auto"/>
                                                                    <w:bottom w:val="none" w:sz="0" w:space="0" w:color="auto"/>
                                                                    <w:right w:val="none" w:sz="0" w:space="0" w:color="auto"/>
                                                                  </w:divBdr>
                                                                  <w:divsChild>
                                                                    <w:div w:id="505553864">
                                                                      <w:marLeft w:val="0"/>
                                                                      <w:marRight w:val="0"/>
                                                                      <w:marTop w:val="0"/>
                                                                      <w:marBottom w:val="0"/>
                                                                      <w:divBdr>
                                                                        <w:top w:val="none" w:sz="0" w:space="0" w:color="auto"/>
                                                                        <w:left w:val="none" w:sz="0" w:space="0" w:color="auto"/>
                                                                        <w:bottom w:val="none" w:sz="0" w:space="0" w:color="auto"/>
                                                                        <w:right w:val="none" w:sz="0" w:space="0" w:color="auto"/>
                                                                      </w:divBdr>
                                                                      <w:divsChild>
                                                                        <w:div w:id="1594363038">
                                                                          <w:marLeft w:val="0"/>
                                                                          <w:marRight w:val="0"/>
                                                                          <w:marTop w:val="0"/>
                                                                          <w:marBottom w:val="0"/>
                                                                          <w:divBdr>
                                                                            <w:top w:val="none" w:sz="0" w:space="0" w:color="auto"/>
                                                                            <w:left w:val="none" w:sz="0" w:space="0" w:color="auto"/>
                                                                            <w:bottom w:val="none" w:sz="0" w:space="0" w:color="auto"/>
                                                                            <w:right w:val="none" w:sz="0" w:space="0" w:color="auto"/>
                                                                          </w:divBdr>
                                                                        </w:div>
                                                                      </w:divsChild>
                                                                    </w:div>
                                                                    <w:div w:id="1673215617">
                                                                      <w:marLeft w:val="0"/>
                                                                      <w:marRight w:val="0"/>
                                                                      <w:marTop w:val="0"/>
                                                                      <w:marBottom w:val="0"/>
                                                                      <w:divBdr>
                                                                        <w:top w:val="none" w:sz="0" w:space="0" w:color="auto"/>
                                                                        <w:left w:val="none" w:sz="0" w:space="0" w:color="auto"/>
                                                                        <w:bottom w:val="none" w:sz="0" w:space="0" w:color="auto"/>
                                                                        <w:right w:val="none" w:sz="0" w:space="0" w:color="auto"/>
                                                                      </w:divBdr>
                                                                      <w:divsChild>
                                                                        <w:div w:id="138545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762552">
      <w:bodyDiv w:val="1"/>
      <w:marLeft w:val="0"/>
      <w:marRight w:val="0"/>
      <w:marTop w:val="0"/>
      <w:marBottom w:val="0"/>
      <w:divBdr>
        <w:top w:val="none" w:sz="0" w:space="0" w:color="auto"/>
        <w:left w:val="none" w:sz="0" w:space="0" w:color="auto"/>
        <w:bottom w:val="none" w:sz="0" w:space="0" w:color="auto"/>
        <w:right w:val="none" w:sz="0" w:space="0" w:color="auto"/>
      </w:divBdr>
      <w:divsChild>
        <w:div w:id="647708329">
          <w:marLeft w:val="0"/>
          <w:marRight w:val="0"/>
          <w:marTop w:val="0"/>
          <w:marBottom w:val="0"/>
          <w:divBdr>
            <w:top w:val="none" w:sz="0" w:space="0" w:color="auto"/>
            <w:left w:val="none" w:sz="0" w:space="0" w:color="auto"/>
            <w:bottom w:val="none" w:sz="0" w:space="0" w:color="auto"/>
            <w:right w:val="none" w:sz="0" w:space="0" w:color="auto"/>
          </w:divBdr>
          <w:divsChild>
            <w:div w:id="179010273">
              <w:marLeft w:val="0"/>
              <w:marRight w:val="0"/>
              <w:marTop w:val="0"/>
              <w:marBottom w:val="0"/>
              <w:divBdr>
                <w:top w:val="none" w:sz="0" w:space="0" w:color="auto"/>
                <w:left w:val="none" w:sz="0" w:space="0" w:color="auto"/>
                <w:bottom w:val="none" w:sz="0" w:space="0" w:color="auto"/>
                <w:right w:val="none" w:sz="0" w:space="0" w:color="auto"/>
              </w:divBdr>
              <w:divsChild>
                <w:div w:id="606618359">
                  <w:marLeft w:val="0"/>
                  <w:marRight w:val="0"/>
                  <w:marTop w:val="0"/>
                  <w:marBottom w:val="0"/>
                  <w:divBdr>
                    <w:top w:val="none" w:sz="0" w:space="0" w:color="auto"/>
                    <w:left w:val="none" w:sz="0" w:space="0" w:color="auto"/>
                    <w:bottom w:val="none" w:sz="0" w:space="0" w:color="auto"/>
                    <w:right w:val="none" w:sz="0" w:space="0" w:color="auto"/>
                  </w:divBdr>
                </w:div>
                <w:div w:id="8790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javascript:top.docjs.next_hit(8)" TargetMode="External"/><Relationship Id="rId299" Type="http://schemas.openxmlformats.org/officeDocument/2006/relationships/hyperlink" Target="https://www.law.cornell.edu/definitions/index.php?width=840&amp;height=800&amp;iframe=true&amp;def_id=bb14908bddb930afb0bea7fe0606316b&amp;term_occur=3&amp;term_src=Title:26:Chapter:I:Subchapter:A:Part:1:Subjgrp:10:1.671-3" TargetMode="External"/><Relationship Id="rId21" Type="http://schemas.openxmlformats.org/officeDocument/2006/relationships/hyperlink" Target="https://1.next.westlaw.com/Link/Document/FullText?findType=L&amp;pubNum=1000547&amp;cite=26CFRS1.67-2T&amp;originatingDoc=I0279E35011D911EB9491EAE54701ADC6&amp;refType=RB&amp;originationContext=document&amp;transitionType=DocumentItem&amp;contextData=(sc.UserEnteredCitation)" TargetMode="External"/><Relationship Id="rId63" Type="http://schemas.openxmlformats.org/officeDocument/2006/relationships/hyperlink" Target="https://1.next.westlaw.com/Link/Document/FullText?findType=L&amp;pubNum=1012823&amp;cite=26USCAS1014&amp;originatingDoc=I86BA96C0E1DF11E5BAAD9792D8D66846&amp;refType=RB&amp;originationContext=document&amp;transitionType=DocumentItem&amp;contextData=(sc.Search)" TargetMode="External"/><Relationship Id="rId159" Type="http://schemas.openxmlformats.org/officeDocument/2006/relationships/hyperlink" Target="https://www.law.cornell.edu/definitions/index.php?width=840&amp;height=800&amp;iframe=true&amp;def_id=54ba1aba0c8d0e3ab0b5352283ef7f78&amp;term_occur=1&amp;term_src=Title:26:Chapter:I:Subchapter:A:Part:1:Subjgrp:10:1.671-3" TargetMode="External"/><Relationship Id="rId324" Type="http://schemas.openxmlformats.org/officeDocument/2006/relationships/hyperlink" Target="https://1.next.westlaw.com/Link/Document/FullText?findType=Y&amp;serNum=1962001259&amp;pubNum=0000838&amp;originatingDoc=Icd97d8329ef011e89a6efc60af1b5d9c&amp;refType=RP&amp;originationContext=document&amp;transitionType=DocumentItem&amp;contextData=(sc.Search)" TargetMode="External"/><Relationship Id="rId366" Type="http://schemas.openxmlformats.org/officeDocument/2006/relationships/hyperlink" Target="https://1.next.westlaw.com/Link/Document/FullText?findType=L&amp;pubNum=1000547&amp;cite=26CFRS1.61-22&amp;originatingDoc=I773d8dd0ce4811e88037ff68a1223ab1&amp;refType=RB&amp;originationContext=document&amp;transitionType=DocumentItem&amp;contextData=(sc.UserEnteredCitation)" TargetMode="External"/><Relationship Id="rId170" Type="http://schemas.openxmlformats.org/officeDocument/2006/relationships/hyperlink" Target="https://www.law.cornell.edu/definitions/index.php?width=840&amp;height=800&amp;iframe=true&amp;def_id=1c07283120860b02c14e93d17bce07df&amp;term_occur=4&amp;term_src=Title:26:Chapter:I:Subchapter:A:Part:1:Subjgrp:10:1.671-3" TargetMode="External"/><Relationship Id="rId226" Type="http://schemas.openxmlformats.org/officeDocument/2006/relationships/hyperlink" Target="https://www.law.cornell.edu/definitions/index.php?width=840&amp;height=800&amp;iframe=true&amp;def_id=1c07283120860b02c14e93d17bce07df&amp;term_occur=15&amp;term_src=Title:26:Chapter:I:Subchapter:A:Part:1:Subjgrp:10:1.671-3" TargetMode="External"/><Relationship Id="rId433" Type="http://schemas.openxmlformats.org/officeDocument/2006/relationships/hyperlink" Target="https://1.next.westlaw.com/Link/Document/FullText?findType=Y&amp;serNum=1913025605&amp;originatingDoc=If1047d306e2511eaafc9a4147037e074&amp;refType=RP&amp;originationContext=document&amp;transitionType=DocumentItem&amp;contextData=(sc.UserEnteredCitation)" TargetMode="External"/><Relationship Id="rId268" Type="http://schemas.openxmlformats.org/officeDocument/2006/relationships/hyperlink" Target="https://www.law.cornell.edu/definitions/index.php?width=840&amp;height=800&amp;iframe=true&amp;def_id=a1090209155963fa1ccc27347b494f36&amp;term_occur=3&amp;term_src=Title:26:Chapter:I:Subchapter:A:Part:1:Subjgrp:10:1.671-3" TargetMode="External"/><Relationship Id="rId475" Type="http://schemas.openxmlformats.org/officeDocument/2006/relationships/hyperlink" Target="https://1.next.westlaw.com/Link/Document/FullText?findType=Y&amp;serNum=2044074529&amp;pubNum=0000711&amp;originatingDoc=I6bac3c90a7ae11ebbbbbabec583fa227&amp;refType=RP&amp;originationContext=document&amp;transitionType=DocumentItem&amp;contextData=(sc.UserEnteredCitation)" TargetMode="External"/><Relationship Id="rId32" Type="http://schemas.openxmlformats.org/officeDocument/2006/relationships/hyperlink" Target="https://1.next.westlaw.com/Link/Document/FullText?findType=L&amp;pubNum=1000546&amp;cite=26USCAS67&amp;originatingDoc=I0279E35011D911EB9491EAE54701ADC6&amp;refType=RB&amp;originationContext=document&amp;transitionType=DocumentItem&amp;contextData=(sc.UserEnteredCitation)" TargetMode="External"/><Relationship Id="rId74" Type="http://schemas.openxmlformats.org/officeDocument/2006/relationships/hyperlink" Target="https://1.next.westlaw.com/Link/Document/FullText?findType=L&amp;pubNum=1000546&amp;cite=26USCAS1014&amp;originatingDoc=I86BA96C0E1DF11E5BAAD9792D8D66846&amp;refType=RB&amp;originationContext=document&amp;transitionType=DocumentItem&amp;contextData=(sc.Search)" TargetMode="External"/><Relationship Id="rId128" Type="http://schemas.openxmlformats.org/officeDocument/2006/relationships/hyperlink" Target="javascript:top.docjs.prev_hit(16)" TargetMode="External"/><Relationship Id="rId335" Type="http://schemas.openxmlformats.org/officeDocument/2006/relationships/hyperlink" Target="https://1.next.westlaw.com/Link/Document/FullText?findType=L&amp;pubNum=1000546&amp;cite=26USCAS2036&amp;originatingDoc=Ia948898074eb11e881e3e57c1f40e5c7&amp;refType=LQ&amp;originationContext=document&amp;transitionType=DocumentItem&amp;contextData=(sc.UserEnteredCitation)" TargetMode="External"/><Relationship Id="rId377" Type="http://schemas.openxmlformats.org/officeDocument/2006/relationships/hyperlink" Target="https://1.next.westlaw.com/Link/Document/FullText?findType=L&amp;pubNum=1000583&amp;cite=USCOARTIVS1&amp;originatingDoc=I48ab272098f011e9b508f0c9c0d45880&amp;refType=LQ&amp;originationContext=document&amp;transitionType=DocumentItem&amp;contextData=(sc.UserEnteredCitation)" TargetMode="External"/><Relationship Id="rId5" Type="http://schemas.openxmlformats.org/officeDocument/2006/relationships/settings" Target="settings.xml"/><Relationship Id="rId181" Type="http://schemas.openxmlformats.org/officeDocument/2006/relationships/hyperlink" Target="https://www.law.cornell.edu/definitions/index.php?width=840&amp;height=800&amp;iframe=true&amp;def_id=51508d26cc4b7c4c977788a33dd0fdcc&amp;term_occur=6&amp;term_src=Title:26:Chapter:I:Subchapter:A:Part:1:Subjgrp:10:1.671-3" TargetMode="External"/><Relationship Id="rId237" Type="http://schemas.openxmlformats.org/officeDocument/2006/relationships/hyperlink" Target="https://www.law.cornell.edu/definitions/index.php?width=840&amp;height=800&amp;iframe=true&amp;def_id=7fbbc5e7cba0fa3a45979e5001d3ef7f&amp;term_occur=1&amp;term_src=Title:26:Chapter:I:Subchapter:A:Part:1:Subjgrp:10:1.671-3" TargetMode="External"/><Relationship Id="rId402" Type="http://schemas.openxmlformats.org/officeDocument/2006/relationships/hyperlink" Target="https://1.next.westlaw.com/Link/Document/FullText?findType=L&amp;pubNum=1000359&amp;cite=SDSTS55-1-41&amp;originatingDoc=I48ab272098f011e9b508f0c9c0d45880&amp;refType=LQ&amp;originationContext=document&amp;transitionType=DocumentItem&amp;contextData=(sc.UserEnteredCitation)" TargetMode="External"/><Relationship Id="rId279" Type="http://schemas.openxmlformats.org/officeDocument/2006/relationships/hyperlink" Target="https://www.law.cornell.edu/definitions/index.php?width=840&amp;height=800&amp;iframe=true&amp;def_id=1c07283120860b02c14e93d17bce07df&amp;term_occur=32&amp;term_src=Title:26:Chapter:I:Subchapter:A:Part:1:Subjgrp:10:1.671-3" TargetMode="External"/><Relationship Id="rId444" Type="http://schemas.openxmlformats.org/officeDocument/2006/relationships/hyperlink" Target="https://1.next.westlaw.com/Link/Document/FullText?findType=Y&amp;serNum=1931107520&amp;pubNum=0000542&amp;originatingDoc=I644843b0a48311ea8406df7959f232f7&amp;refType=RP&amp;originationContext=document&amp;transitionType=DocumentItem&amp;contextData=(sc.UserEnteredCitation)" TargetMode="External"/><Relationship Id="rId43" Type="http://schemas.openxmlformats.org/officeDocument/2006/relationships/hyperlink" Target="https://1.next.westlaw.com/Link/Document/FullText?findType=L&amp;pubNum=1000547&amp;cite=26CFRS1.652(B)-3&amp;originatingDoc=I0279E35011D911EB9491EAE54701ADC6&amp;refType=RB&amp;originationContext=document&amp;transitionType=DocumentItem&amp;contextData=(sc.UserEnteredCitation)" TargetMode="External"/><Relationship Id="rId139" Type="http://schemas.openxmlformats.org/officeDocument/2006/relationships/hyperlink" Target="https://1.next.westlaw.com/Document/I04deac80959111ea8cb395d22c142a61/View/FullText.html?transitionType=UniqueDocItem&amp;contextData=(sc.UserEnteredCitation)&amp;userEnteredCitation=t.c.+memo.+2020-55" TargetMode="External"/><Relationship Id="rId290" Type="http://schemas.openxmlformats.org/officeDocument/2006/relationships/hyperlink" Target="https://www.law.cornell.edu/definitions/index.php?width=840&amp;height=800&amp;iframe=true&amp;def_id=85307a11a6f904ecc097fcc4cd8a417f&amp;term_occur=15&amp;term_src=Title:26:Chapter:I:Subchapter:A:Part:1:Subjgrp:10:1.671-3" TargetMode="External"/><Relationship Id="rId304" Type="http://schemas.openxmlformats.org/officeDocument/2006/relationships/hyperlink" Target="https://www.law.cornell.edu/definitions/index.php?width=840&amp;height=800&amp;iframe=true&amp;def_id=c3b57a31fc226d7b84e26175afe251f2&amp;term_occur=4&amp;term_src=Title:26:Chapter:I:Subchapter:A:Part:1:Subjgrp:10:1.671-3" TargetMode="External"/><Relationship Id="rId346" Type="http://schemas.openxmlformats.org/officeDocument/2006/relationships/hyperlink" Target="https://1.next.westlaw.com/Link/Document/FullText?findType=L&amp;pubNum=1000546&amp;cite=26USCAS2703&amp;originatingDoc=Ia948898074eb11e881e3e57c1f40e5c7&amp;refType=LQ&amp;originationContext=document&amp;transitionType=DocumentItem&amp;contextData=(sc.UserEnteredCitation)" TargetMode="External"/><Relationship Id="rId388" Type="http://schemas.openxmlformats.org/officeDocument/2006/relationships/hyperlink" Target="https://1.next.westlaw.com/Link/Document/FullText?findType=Y&amp;serNum=2024984973&amp;pubNum=0000506&amp;originatingDoc=I48ab272098f011e9b508f0c9c0d45880&amp;refType=RP&amp;fi=co_pp_sp_506_159&amp;originationContext=document&amp;transitionType=DocumentItem&amp;contextData=(sc.UserEnteredCitation)" TargetMode="External"/><Relationship Id="rId85" Type="http://schemas.openxmlformats.org/officeDocument/2006/relationships/hyperlink" Target="https://1.next.westlaw.com/Link/Document/FullText?findType=L&amp;pubNum=1012823&amp;cite=26USCAS1014&amp;originatingDoc=I86BA96C0E1DF11E5BAAD9792D8D66846&amp;refType=RB&amp;originationContext=document&amp;transitionType=DocumentItem&amp;contextData=(sc.Search)" TargetMode="External"/><Relationship Id="rId150" Type="http://schemas.openxmlformats.org/officeDocument/2006/relationships/hyperlink" Target="https://1.next.westlaw.com/Link/Document/FullText?findType=Y&amp;serNum=1973109438&amp;pubNum=0000350&amp;originatingDoc=Ief904350ee4311eaac1bf54738486b58&amp;refType=RP&amp;fi=co_pp_sp_350_705&amp;originationContext=document&amp;transitionType=DocumentItem&amp;contextData=(sc.UserEnteredCitation)" TargetMode="External"/><Relationship Id="rId192" Type="http://schemas.openxmlformats.org/officeDocument/2006/relationships/hyperlink" Target="https://www.law.cornell.edu/definitions/index.php?width=840&amp;height=800&amp;iframe=true&amp;def_id=e805341e826e50dbe8e45d3226829f67&amp;term_occur=2&amp;term_src=Title:26:Chapter:I:Subchapter:A:Part:1:Subjgrp:10:1.671-3" TargetMode="External"/><Relationship Id="rId206" Type="http://schemas.openxmlformats.org/officeDocument/2006/relationships/hyperlink" Target="https://www.law.cornell.edu/definitions/index.php?width=840&amp;height=800&amp;iframe=true&amp;def_id=51508d26cc4b7c4c977788a33dd0fdcc&amp;term_occur=10&amp;term_src=Title:26:Chapter:I:Subchapter:A:Part:1:Subjgrp:10:1.671-3" TargetMode="External"/><Relationship Id="rId413" Type="http://schemas.openxmlformats.org/officeDocument/2006/relationships/hyperlink" Target="https://1.next.westlaw.com/Link/Document/FullText?findType=Y&amp;serNum=1886008822&amp;pubNum=0000577&amp;originatingDoc=Iba1b330017bb11eb8cddf39cfa051b39&amp;refType=RP&amp;originationContext=document&amp;transitionType=DocumentItem&amp;contextData=(sc.UserEnteredCitation)" TargetMode="External"/><Relationship Id="rId248" Type="http://schemas.openxmlformats.org/officeDocument/2006/relationships/hyperlink" Target="https://www.law.cornell.edu/definitions/index.php?width=840&amp;height=800&amp;iframe=true&amp;def_id=1c07283120860b02c14e93d17bce07df&amp;term_occur=23&amp;term_src=Title:26:Chapter:I:Subchapter:A:Part:1:Subjgrp:10:1.671-3" TargetMode="External"/><Relationship Id="rId455" Type="http://schemas.openxmlformats.org/officeDocument/2006/relationships/hyperlink" Target="https://1.next.westlaw.com/Link/Document/FullText?findType=Y&amp;serNum=2030697290&amp;pubNum=0000578&amp;originatingDoc=I545c1ce079f611ea9e3ceb5de751016b&amp;refType=RP&amp;fi=co_pp_sp_578_1253&amp;originationContext=document&amp;transitionType=DocumentItem&amp;contextData=(sc.UserEnteredCitation)" TargetMode="External"/><Relationship Id="rId12" Type="http://schemas.openxmlformats.org/officeDocument/2006/relationships/footer" Target="footer1.xml"/><Relationship Id="rId108" Type="http://schemas.openxmlformats.org/officeDocument/2006/relationships/hyperlink" Target="https://1.next.westlaw.com/Link/Document/FullText?findType=L&amp;pubNum=1000546&amp;cite=26USCAS1001&amp;originatingDoc=I8c98882fbac911e9a76eb9e71287f4ea&amp;refType=RB&amp;originationContext=document&amp;transitionType=DocumentItem&amp;contextData=(sc.UserEnteredCitation)" TargetMode="External"/><Relationship Id="rId315" Type="http://schemas.openxmlformats.org/officeDocument/2006/relationships/hyperlink" Target="https://www.law.cornell.edu/definitions/index.php?width=840&amp;height=800&amp;iframe=true&amp;def_id=753ecf1b19d24b3ea05bc76f6f9171b1&amp;term_occur=6&amp;term_src=Title:26:Chapter:I:Subchapter:A:Part:1:Subjgrp:10:1.671-3" TargetMode="External"/><Relationship Id="rId357" Type="http://schemas.openxmlformats.org/officeDocument/2006/relationships/hyperlink" Target="https://1.next.westlaw.com/Link/Document/FullText?findType=L&amp;pubNum=1000547&amp;cite=26CFRS1.83-6&amp;originatingDoc=I773d8dd0ce4811e88037ff68a1223ab1&amp;refType=RB&amp;originationContext=document&amp;transitionType=DocumentItem&amp;contextData=(sc.UserEnteredCitation)" TargetMode="External"/><Relationship Id="rId54" Type="http://schemas.openxmlformats.org/officeDocument/2006/relationships/hyperlink" Target="https://www.law.cornell.edu/uscode/text/26/661" TargetMode="External"/><Relationship Id="rId96" Type="http://schemas.openxmlformats.org/officeDocument/2006/relationships/hyperlink" Target="https://1.next.westlaw.com/Link/Document/FullText?findType=Y&amp;serNum=1946114272&amp;pubNum=0000350&amp;originatingDoc=I8c98882fbac911e9a76eb9e71287f4ea&amp;refType=RP&amp;originationContext=document&amp;transitionType=DocumentItem&amp;contextData=(sc.UserEnteredCitation)" TargetMode="External"/><Relationship Id="rId161" Type="http://schemas.openxmlformats.org/officeDocument/2006/relationships/hyperlink" Target="https://www.law.cornell.edu/definitions/index.php?width=840&amp;height=800&amp;iframe=true&amp;def_id=51508d26cc4b7c4c977788a33dd0fdcc&amp;term_occur=1&amp;term_src=Title:26:Chapter:I:Subchapter:A:Part:1:Subjgrp:10:1.671-3" TargetMode="External"/><Relationship Id="rId217" Type="http://schemas.openxmlformats.org/officeDocument/2006/relationships/hyperlink" Target="https://www.law.cornell.edu/definitions/index.php?width=840&amp;height=800&amp;iframe=true&amp;def_id=1c07283120860b02c14e93d17bce07df&amp;term_occur=12&amp;term_src=Title:26:Chapter:I:Subchapter:A:Part:1:Subjgrp:10:1.671-3" TargetMode="External"/><Relationship Id="rId399" Type="http://schemas.openxmlformats.org/officeDocument/2006/relationships/hyperlink" Target="https://1.next.westlaw.com/Link/Document/FullText?findType=L&amp;pubNum=1000218&amp;cite=CAPRS15305&amp;originatingDoc=I48ab272098f011e9b508f0c9c0d45880&amp;refType=LQ&amp;originationContext=document&amp;transitionType=DocumentItem&amp;contextData=(sc.UserEnteredCitation)" TargetMode="External"/><Relationship Id="rId259" Type="http://schemas.openxmlformats.org/officeDocument/2006/relationships/hyperlink" Target="https://www.law.cornell.edu/definitions/index.php?width=840&amp;height=800&amp;iframe=true&amp;def_id=8e83046407fe273f9396d8e57f9d27a9&amp;term_occur=13&amp;term_src=Title:26:Chapter:I:Subchapter:A:Part:1:Subjgrp:10:1.671-3" TargetMode="External"/><Relationship Id="rId424" Type="http://schemas.openxmlformats.org/officeDocument/2006/relationships/hyperlink" Target="https://1.next.westlaw.com/Link/Document/FullText?findType=Y&amp;serNum=1950118311&amp;pubNum=0000780&amp;originatingDoc=I3d8c9c30578a11ea851bfabee22f40c8&amp;refType=RP&amp;originationContext=document&amp;transitionType=DocumentItem&amp;contextData=(sc.UserEnteredCitation)" TargetMode="External"/><Relationship Id="rId466" Type="http://schemas.openxmlformats.org/officeDocument/2006/relationships/hyperlink" Target="https://1.next.westlaw.com/Document/I9a1bc5b05bbd11eba7f5c3350fe353a8/View/FullText.html?transitionType=UniqueDocItem&amp;contextData=(sc.Search)&amp;userEnteredCitation=2021+WL+199619" TargetMode="External"/><Relationship Id="rId23" Type="http://schemas.openxmlformats.org/officeDocument/2006/relationships/hyperlink" Target="https://1.next.westlaw.com/Link/Document/FullText?findType=L&amp;pubNum=1000546&amp;cite=26USCAS642&amp;originatingDoc=I0279E35011D911EB9491EAE54701ADC6&amp;refType=RB&amp;originationContext=document&amp;transitionType=DocumentItem&amp;contextData=(sc.UserEnteredCitation)" TargetMode="External"/><Relationship Id="rId119" Type="http://schemas.openxmlformats.org/officeDocument/2006/relationships/hyperlink" Target="javascript:top.docjs.next_hit(11)" TargetMode="External"/><Relationship Id="rId270" Type="http://schemas.openxmlformats.org/officeDocument/2006/relationships/hyperlink" Target="https://www.law.cornell.edu/definitions/index.php?width=840&amp;height=800&amp;iframe=true&amp;def_id=a1090209155963fa1ccc27347b494f36&amp;term_occur=4&amp;term_src=Title:26:Chapter:I:Subchapter:A:Part:1:Subjgrp:10:1.671-3" TargetMode="External"/><Relationship Id="rId326" Type="http://schemas.openxmlformats.org/officeDocument/2006/relationships/hyperlink" Target="https://1.next.westlaw.com/Link/Document/FullText?findType=Y&amp;serNum=1962001259&amp;pubNum=0000838&amp;originatingDoc=Icd97d8329ef011e89a6efc60af1b5d9c&amp;refType=RP&amp;originationContext=document&amp;transitionType=DocumentItem&amp;contextData=(sc.Search)" TargetMode="External"/><Relationship Id="rId65" Type="http://schemas.openxmlformats.org/officeDocument/2006/relationships/hyperlink" Target="https://1.next.westlaw.com/Link/Document/FullText?findType=L&amp;pubNum=1012823&amp;cite=26USCAS1014&amp;originatingDoc=I86BA96C0E1DF11E5BAAD9792D8D66846&amp;refType=RB&amp;originationContext=document&amp;transitionType=DocumentItem&amp;contextData=(sc.Search)" TargetMode="External"/><Relationship Id="rId130" Type="http://schemas.openxmlformats.org/officeDocument/2006/relationships/hyperlink" Target="https://1.next.westlaw.com/Link/Document/FullText?findType=L&amp;pubNum=1012823&amp;cite=26USCAS170&amp;originatingDoc=I2c4777600b6e11e9a1b0e6625e646f8f&amp;refType=RB&amp;originationContext=document&amp;transitionType=DocumentItem&amp;contextData=(sc.DocLink)" TargetMode="External"/><Relationship Id="rId368" Type="http://schemas.openxmlformats.org/officeDocument/2006/relationships/hyperlink" Target="https://1.next.westlaw.com/Link/Document/FullText?findType=L&amp;pubNum=1000546&amp;cite=26USCAS2652&amp;originatingDoc=I3ba2cb7f652911ea9eddce4ad7b4b097&amp;refType=RB&amp;originationContext=document&amp;transitionType=DocumentItem&amp;contextData=(sc.DocLink)" TargetMode="External"/><Relationship Id="rId172" Type="http://schemas.openxmlformats.org/officeDocument/2006/relationships/hyperlink" Target="https://www.law.cornell.edu/definitions/index.php?width=840&amp;height=800&amp;iframe=true&amp;def_id=51508d26cc4b7c4c977788a33dd0fdcc&amp;term_occur=3&amp;term_src=Title:26:Chapter:I:Subchapter:A:Part:1:Subjgrp:10:1.671-3" TargetMode="External"/><Relationship Id="rId228" Type="http://schemas.openxmlformats.org/officeDocument/2006/relationships/hyperlink" Target="https://www.law.cornell.edu/definitions/index.php?width=840&amp;height=800&amp;iframe=true&amp;def_id=ae27f114d4ac9f51e367eab1be1b4c32&amp;term_occur=4&amp;term_src=Title:26:Chapter:I:Subchapter:A:Part:1:Subjgrp:10:1.671-3" TargetMode="External"/><Relationship Id="rId435" Type="http://schemas.openxmlformats.org/officeDocument/2006/relationships/hyperlink" Target="https://1.next.westlaw.com/Link/Document/FullText?findType=Y&amp;serNum=2000063823&amp;pubNum=0000578&amp;originatingDoc=If1047d306e2511eaafc9a4147037e074&amp;refType=RP&amp;originationContext=document&amp;transitionType=DocumentItem&amp;contextData=(sc.UserEnteredCitation)" TargetMode="External"/><Relationship Id="rId477" Type="http://schemas.openxmlformats.org/officeDocument/2006/relationships/hyperlink" Target="https://1.next.westlaw.com/Link/Document/FullText?findType=L&amp;pubNum=1000517&amp;cite=COSTS15-12-709&amp;originatingDoc=I13cec2a01d3d11ebaf4a97db80ef4b04&amp;refType=LQ&amp;originationContext=document&amp;transitionType=DocumentItem&amp;contextData=(sc.UserEnteredCitation)" TargetMode="External"/><Relationship Id="rId281" Type="http://schemas.openxmlformats.org/officeDocument/2006/relationships/hyperlink" Target="https://www.law.cornell.edu/definitions/index.php?width=840&amp;height=800&amp;iframe=true&amp;def_id=c3b57a31fc226d7b84e26175afe251f2&amp;term_occur=2&amp;term_src=Title:26:Chapter:I:Subchapter:A:Part:1:Subjgrp:10:1.671-3" TargetMode="External"/><Relationship Id="rId337" Type="http://schemas.openxmlformats.org/officeDocument/2006/relationships/hyperlink" Target="https://1.next.westlaw.com/Link/Document/FullText?findType=L&amp;pubNum=1000546&amp;cite=26USCAS2703&amp;originatingDoc=Ia948898074eb11e881e3e57c1f40e5c7&amp;refType=LQ&amp;originationContext=document&amp;transitionType=DocumentItem&amp;contextData=(sc.UserEnteredCitation)" TargetMode="External"/><Relationship Id="rId34" Type="http://schemas.openxmlformats.org/officeDocument/2006/relationships/hyperlink" Target="https://1.next.westlaw.com/Link/Document/FullText?findType=L&amp;pubNum=1000546&amp;cite=26USCAS67&amp;originatingDoc=I0279E35011D911EB9491EAE54701ADC6&amp;refType=RB&amp;originationContext=document&amp;transitionType=DocumentItem&amp;contextData=(sc.UserEnteredCitation)" TargetMode="External"/><Relationship Id="rId76" Type="http://schemas.openxmlformats.org/officeDocument/2006/relationships/hyperlink" Target="https://1.next.westlaw.com/Link/Document/FullText?findType=L&amp;pubNum=1012823&amp;cite=26USCAS6035&amp;originatingDoc=I86BA96C0E1DF11E5BAAD9792D8D66846&amp;refType=LQ&amp;originationContext=document&amp;transitionType=DocumentItem&amp;contextData=(sc.Search)" TargetMode="External"/><Relationship Id="rId141" Type="http://schemas.openxmlformats.org/officeDocument/2006/relationships/hyperlink" Target="https://1.next.westlaw.com/Document/Ic1eca89094e711ea8cb395d22c142a61/View/FullText.html?transitionType=UniqueDocItem&amp;contextData=(sc.UserEnteredCitation)&amp;userEnteredCitation=154+t.c.+no.+10" TargetMode="External"/><Relationship Id="rId379" Type="http://schemas.openxmlformats.org/officeDocument/2006/relationships/hyperlink" Target="https://1.next.westlaw.com/Link/Document/FullText?findType=Y&amp;serNum=1942120618&amp;pubNum=0000708&amp;originatingDoc=I48ab272098f011e9b508f0c9c0d45880&amp;refType=RP&amp;fi=co_pp_sp_708_612&amp;originationContext=document&amp;transitionType=DocumentItem&amp;contextData=(sc.UserEnteredCitation)" TargetMode="External"/><Relationship Id="rId7" Type="http://schemas.openxmlformats.org/officeDocument/2006/relationships/footnotes" Target="footnotes.xml"/><Relationship Id="rId183" Type="http://schemas.openxmlformats.org/officeDocument/2006/relationships/hyperlink" Target="https://www.law.cornell.edu/definitions/index.php?width=840&amp;height=800&amp;iframe=true&amp;def_id=543b5d223089f6209c32c47891af84f4&amp;term_occur=1&amp;term_src=Title:26:Chapter:I:Subchapter:A:Part:1:Subjgrp:10:1.671-3" TargetMode="External"/><Relationship Id="rId239" Type="http://schemas.openxmlformats.org/officeDocument/2006/relationships/hyperlink" Target="https://www.law.cornell.edu/definitions/index.php?width=840&amp;height=800&amp;iframe=true&amp;def_id=51508d26cc4b7c4c977788a33dd0fdcc&amp;term_occur=11&amp;term_src=Title:26:Chapter:I:Subchapter:A:Part:1:Subjgrp:10:1.671-3" TargetMode="External"/><Relationship Id="rId390" Type="http://schemas.openxmlformats.org/officeDocument/2006/relationships/hyperlink" Target="https://1.next.westlaw.com/Link/Document/FullText?findType=Y&amp;serNum=1998030801&amp;pubNum=0000708&amp;originatingDoc=I48ab272098f011e9b508f0c9c0d45880&amp;refType=RP&amp;fi=co_pp_sp_708_668&amp;originationContext=document&amp;transitionType=DocumentItem&amp;contextData=(sc.UserEnteredCitation)" TargetMode="External"/><Relationship Id="rId404" Type="http://schemas.openxmlformats.org/officeDocument/2006/relationships/hyperlink" Target="https://1.next.westlaw.com/Link/Document/FullText?findType=L&amp;pubNum=1000359&amp;cite=SDSTS55-1-25&amp;originatingDoc=I48ab272098f011e9b508f0c9c0d45880&amp;refType=LQ&amp;originationContext=document&amp;transitionType=DocumentItem&amp;contextData=(sc.UserEnteredCitation)" TargetMode="External"/><Relationship Id="rId446" Type="http://schemas.openxmlformats.org/officeDocument/2006/relationships/hyperlink" Target="https://1.next.westlaw.com/Document/I15e7e680711611eab9598d2db129301e/View/FullText.html?transitionType=UniqueDocItem&amp;contextData=(sc.DocLink)&amp;userEnteredCitation=805+Fed.appx.+193" TargetMode="External"/><Relationship Id="rId250" Type="http://schemas.openxmlformats.org/officeDocument/2006/relationships/hyperlink" Target="https://www.law.cornell.edu/definitions/index.php?width=840&amp;height=800&amp;iframe=true&amp;def_id=1c07283120860b02c14e93d17bce07df&amp;term_occur=24&amp;term_src=Title:26:Chapter:I:Subchapter:A:Part:1:Subjgrp:10:1.671-3" TargetMode="External"/><Relationship Id="rId292" Type="http://schemas.openxmlformats.org/officeDocument/2006/relationships/hyperlink" Target="https://www.law.cornell.edu/definitions/index.php?width=840&amp;height=800&amp;iframe=true&amp;def_id=1c07283120860b02c14e93d17bce07df&amp;term_occur=35&amp;term_src=Title:26:Chapter:I:Subchapter:A:Part:1:Subjgrp:10:1.671-3" TargetMode="External"/><Relationship Id="rId306" Type="http://schemas.openxmlformats.org/officeDocument/2006/relationships/hyperlink" Target="https://www.law.cornell.edu/definitions/index.php?width=840&amp;height=800&amp;iframe=true&amp;def_id=753ecf1b19d24b3ea05bc76f6f9171b1&amp;term_occur=4&amp;term_src=Title:26:Chapter:I:Subchapter:A:Part:1:Subjgrp:10:1.671-3" TargetMode="External"/><Relationship Id="rId45" Type="http://schemas.openxmlformats.org/officeDocument/2006/relationships/hyperlink" Target="https://1.next.westlaw.com/Link/Document/FullText?findType=L&amp;pubNum=1000547&amp;cite=26CFRS1.652(B)-3&amp;originatingDoc=I0279E35011D911EB9491EAE54701ADC6&amp;refType=RB&amp;originationContext=document&amp;transitionType=DocumentItem&amp;contextData=(sc.UserEnteredCitation)" TargetMode="External"/><Relationship Id="rId87" Type="http://schemas.openxmlformats.org/officeDocument/2006/relationships/hyperlink" Target="https://1.next.westlaw.com/Link/Document/FullText?findType=L&amp;pubNum=1012823&amp;cite=26USCAS6721&amp;originatingDoc=I86BA96C0E1DF11E5BAAD9792D8D66846&amp;refType=LQ&amp;originationContext=document&amp;transitionType=DocumentItem&amp;contextData=(sc.Search)" TargetMode="External"/><Relationship Id="rId110" Type="http://schemas.openxmlformats.org/officeDocument/2006/relationships/hyperlink" Target="https://1.next.westlaw.com/Link/Document/FullText?findType=Y&amp;serNum=1969013744&amp;pubNum=0001048&amp;originatingDoc=I8c98882fbac911e9a76eb9e71287f4ea&amp;refType=CA&amp;originationContext=document&amp;transitionType=DocumentItem&amp;contextData=(sc.UserEnteredCitation)" TargetMode="External"/><Relationship Id="rId348" Type="http://schemas.openxmlformats.org/officeDocument/2006/relationships/hyperlink" Target="https://1.next.westlaw.com/Link/Document/FullText?findType=L&amp;pubNum=1000547&amp;cite=26CFRS1.301-1&amp;originatingDoc=I773d8dd0ce4811e88037ff68a1223ab1&amp;refType=RB&amp;originationContext=document&amp;transitionType=DocumentItem&amp;contextData=(sc.UserEnteredCitation)" TargetMode="External"/><Relationship Id="rId152" Type="http://schemas.openxmlformats.org/officeDocument/2006/relationships/hyperlink" Target="https://1.next.westlaw.com/Link/Document/FullText?findType=Y&amp;serNum=1975142343&amp;pubNum=0000350&amp;originatingDoc=Ief904350ee4311eaac1bf54738486b58&amp;refType=RP&amp;originationContext=document&amp;transitionType=DocumentItem&amp;contextData=(sc.UserEnteredCitation)" TargetMode="External"/><Relationship Id="rId194" Type="http://schemas.openxmlformats.org/officeDocument/2006/relationships/hyperlink" Target="https://www.law.cornell.edu/definitions/index.php?width=840&amp;height=800&amp;iframe=true&amp;def_id=e2f4cef7f1a92fdc4cf8c7071865a26c&amp;term_occur=1&amp;term_src=Title:26:Chapter:I:Subchapter:A:Part:1:Subjgrp:10:1.671-3" TargetMode="External"/><Relationship Id="rId208" Type="http://schemas.openxmlformats.org/officeDocument/2006/relationships/hyperlink" Target="https://www.law.cornell.edu/definitions/index.php?width=840&amp;height=800&amp;iframe=true&amp;def_id=a1090209155963fa1ccc27347b494f36&amp;term_occur=1&amp;term_src=Title:26:Chapter:I:Subchapter:A:Part:1:Subjgrp:10:1.671-3" TargetMode="External"/><Relationship Id="rId415" Type="http://schemas.openxmlformats.org/officeDocument/2006/relationships/hyperlink" Target="https://1.next.westlaw.com/Link/Document/FullText?findType=Y&amp;serNum=1921108036&amp;pubNum=0000577&amp;originatingDoc=Iba1b330017bb11eb8cddf39cfa051b39&amp;refType=RP&amp;fi=co_pp_sp_577_652&amp;originationContext=document&amp;transitionType=DocumentItem&amp;contextData=(sc.UserEnteredCitation)" TargetMode="External"/><Relationship Id="rId457" Type="http://schemas.openxmlformats.org/officeDocument/2006/relationships/hyperlink" Target="https://1.next.westlaw.com/Document/I545c1ce079f611ea9e3ceb5de751016b/View/FullText.html?transitionType=UniqueDocItem&amp;contextData=(sc.UserEnteredCitation)&amp;userEnteredCitation=146+N.E.3d+965" TargetMode="External"/><Relationship Id="rId261" Type="http://schemas.openxmlformats.org/officeDocument/2006/relationships/hyperlink" Target="https://www.law.cornell.edu/definitions/index.php?width=840&amp;height=800&amp;iframe=true&amp;def_id=8e83046407fe273f9396d8e57f9d27a9&amp;term_occur=14&amp;term_src=Title:26:Chapter:I:Subchapter:A:Part:1:Subjgrp:10:1.671-3" TargetMode="External"/><Relationship Id="rId14" Type="http://schemas.openxmlformats.org/officeDocument/2006/relationships/header" Target="header3.xml"/><Relationship Id="rId56" Type="http://schemas.openxmlformats.org/officeDocument/2006/relationships/hyperlink" Target="https://www.law.cornell.edu/definitions/uscode.php?width=840&amp;height=800&amp;iframe=true&amp;def_id=26-USC-1532917883-1195617239&amp;term_occur=999&amp;term_src=" TargetMode="External"/><Relationship Id="rId317" Type="http://schemas.openxmlformats.org/officeDocument/2006/relationships/hyperlink" Target="https://www.law.cornell.edu/cfr/text/26/1.677" TargetMode="External"/><Relationship Id="rId359" Type="http://schemas.openxmlformats.org/officeDocument/2006/relationships/hyperlink" Target="https://1.next.westlaw.com/Link/Document/FullText?findType=L&amp;pubNum=1000547&amp;cite=26CFRS1.301-1&amp;originatingDoc=I773d8dd0ce4811e88037ff68a1223ab1&amp;refType=RB&amp;originationContext=document&amp;transitionType=DocumentItem&amp;contextData=(sc.UserEnteredCitation)" TargetMode="External"/><Relationship Id="rId98" Type="http://schemas.openxmlformats.org/officeDocument/2006/relationships/hyperlink" Target="https://1.next.westlaw.com/Link/Document/FullText?findType=Y&amp;serNum=1969013744&amp;pubNum=0001048&amp;originatingDoc=I8c98882fbac911e9a76eb9e71287f4ea&amp;refType=CA&amp;originationContext=document&amp;transitionType=DocumentItem&amp;contextData=(sc.UserEnteredCitation)" TargetMode="External"/><Relationship Id="rId121" Type="http://schemas.openxmlformats.org/officeDocument/2006/relationships/hyperlink" Target="javascript:top.docjs.next_hit(12)" TargetMode="External"/><Relationship Id="rId163" Type="http://schemas.openxmlformats.org/officeDocument/2006/relationships/hyperlink" Target="https://www.law.cornell.edu/definitions/index.php?width=840&amp;height=800&amp;iframe=true&amp;def_id=1c07283120860b02c14e93d17bce07df&amp;term_occur=2&amp;term_src=Title:26:Chapter:I:Subchapter:A:Part:1:Subjgrp:10:1.671-3" TargetMode="External"/><Relationship Id="rId219" Type="http://schemas.openxmlformats.org/officeDocument/2006/relationships/hyperlink" Target="https://www.law.cornell.edu/definitions/index.php?width=840&amp;height=800&amp;iframe=true&amp;def_id=85307a11a6f904ecc097fcc4cd8a417f&amp;term_occur=6&amp;term_src=Title:26:Chapter:I:Subchapter:A:Part:1:Subjgrp:10:1.671-3" TargetMode="External"/><Relationship Id="rId370" Type="http://schemas.openxmlformats.org/officeDocument/2006/relationships/hyperlink" Target="https://1.next.westlaw.com/Document/I98fc87f07d6f11eab9c2847c6f7d4aa6/View/FullText.html?listSource=RelatedInfo&amp;docFamilyGuid=I99e476f07d6f11eaa822dee5f819bfa0&amp;originationContext=judicialHistory&amp;transitionType=HistoryItem&amp;contextData=%28sc.Search%29" TargetMode="External"/><Relationship Id="rId426" Type="http://schemas.openxmlformats.org/officeDocument/2006/relationships/hyperlink" Target="https://1.next.westlaw.com/Link/Document/FullText?findType=Y&amp;serNum=1976131159&amp;pubNum=0000441&amp;originatingDoc=If1047d306e2511eaafc9a4147037e074&amp;refType=RP&amp;originationContext=document&amp;transitionType=DocumentItem&amp;contextData=(sc.UserEnteredCitation)" TargetMode="External"/><Relationship Id="rId230" Type="http://schemas.openxmlformats.org/officeDocument/2006/relationships/hyperlink" Target="https://www.law.cornell.edu/definitions/index.php?width=840&amp;height=800&amp;iframe=true&amp;def_id=8e83046407fe273f9396d8e57f9d27a9&amp;term_occur=9&amp;term_src=Title:26:Chapter:I:Subchapter:A:Part:1:Subjgrp:10:1.671-3" TargetMode="External"/><Relationship Id="rId468" Type="http://schemas.openxmlformats.org/officeDocument/2006/relationships/hyperlink" Target="https://1.next.westlaw.com/Link/Document/FullText?findType=Y&amp;serNum=1976110990&amp;pubNum=0000605&amp;originatingDoc=I06f90810a86111ebbbbbabec583fa227&amp;refType=RP&amp;originationContext=document&amp;transitionType=DocumentItem&amp;contextData=(sc.UserEnteredCitation)" TargetMode="External"/><Relationship Id="rId25" Type="http://schemas.openxmlformats.org/officeDocument/2006/relationships/hyperlink" Target="https://1.next.westlaw.com/Link/Document/FullText?findType=L&amp;pubNum=1000546&amp;cite=26USCAS661&amp;originatingDoc=I0279E35011D911EB9491EAE54701ADC6&amp;refType=LQ&amp;originationContext=document&amp;transitionType=DocumentItem&amp;contextData=(sc.UserEnteredCitation)" TargetMode="External"/><Relationship Id="rId67" Type="http://schemas.openxmlformats.org/officeDocument/2006/relationships/hyperlink" Target="https://1.next.westlaw.com/Link/Document/FullText?findType=L&amp;pubNum=1012823&amp;cite=26USCAS1014&amp;originatingDoc=I86BA96C0E1DF11E5BAAD9792D8D66846&amp;refType=RB&amp;originationContext=document&amp;transitionType=DocumentItem&amp;contextData=(sc.Search)" TargetMode="External"/><Relationship Id="rId272" Type="http://schemas.openxmlformats.org/officeDocument/2006/relationships/hyperlink" Target="https://www.law.cornell.edu/definitions/index.php?width=840&amp;height=800&amp;iframe=true&amp;def_id=1c07283120860b02c14e93d17bce07df&amp;term_occur=30&amp;term_src=Title:26:Chapter:I:Subchapter:A:Part:1:Subjgrp:10:1.671-3" TargetMode="External"/><Relationship Id="rId328" Type="http://schemas.openxmlformats.org/officeDocument/2006/relationships/hyperlink" Target="https://1.next.westlaw.com/Link/Document/FullText?findType=L&amp;pubNum=1012823&amp;cite=26USCAS2036&amp;originatingDoc=Ie16d19d03d6e11e799c1e9209d7cf8d2&amp;refType=SP&amp;originationContext=document&amp;transitionType=DocumentItem&amp;contextData=(sc.UserEnteredCitation)" TargetMode="External"/><Relationship Id="rId132" Type="http://schemas.openxmlformats.org/officeDocument/2006/relationships/hyperlink" Target="https://1.next.westlaw.com/Link/Document/FullText?findType=L&amp;pubNum=1012823&amp;cite=26USCAS170&amp;originatingDoc=I2c4777600b6e11e9a1b0e6625e646f8f&amp;refType=RB&amp;originationContext=document&amp;transitionType=DocumentItem&amp;contextData=(sc.DocLink)" TargetMode="External"/><Relationship Id="rId174" Type="http://schemas.openxmlformats.org/officeDocument/2006/relationships/hyperlink" Target="https://www.law.cornell.edu/definitions/index.php?width=840&amp;height=800&amp;iframe=true&amp;def_id=51508d26cc4b7c4c977788a33dd0fdcc&amp;term_occur=4&amp;term_src=Title:26:Chapter:I:Subchapter:A:Part:1:Subjgrp:10:1.671-3" TargetMode="External"/><Relationship Id="rId381" Type="http://schemas.openxmlformats.org/officeDocument/2006/relationships/hyperlink" Target="https://1.next.westlaw.com/Link/Document/FullText?findType=Y&amp;serNum=1935124059&amp;pubNum=0000708&amp;originatingDoc=I48ab272098f011e9b508f0c9c0d45880&amp;refType=RP&amp;fi=co_pp_sp_708_234&amp;originationContext=document&amp;transitionType=DocumentItem&amp;contextData=(sc.UserEnteredCitation)" TargetMode="External"/><Relationship Id="rId241" Type="http://schemas.openxmlformats.org/officeDocument/2006/relationships/hyperlink" Target="https://www.law.cornell.edu/definitions/index.php?width=840&amp;height=800&amp;iframe=true&amp;def_id=85307a11a6f904ecc097fcc4cd8a417f&amp;term_occur=8&amp;term_src=Title:26:Chapter:I:Subchapter:A:Part:1:Subjgrp:10:1.671-3" TargetMode="External"/><Relationship Id="rId437" Type="http://schemas.openxmlformats.org/officeDocument/2006/relationships/hyperlink" Target="https://1.next.westlaw.com/Link/Document/FullText?findType=Y&amp;serNum=2000063823&amp;pubNum=0000578&amp;originatingDoc=If1047d306e2511eaafc9a4147037e074&amp;refType=RP&amp;originationContext=document&amp;transitionType=DocumentItem&amp;contextData=(sc.UserEnteredCitation)" TargetMode="External"/><Relationship Id="rId479" Type="http://schemas.openxmlformats.org/officeDocument/2006/relationships/hyperlink" Target="https://1.next.westlaw.com/Link/Document/FullText?findType=Y&amp;serNum=1939121587&amp;pubNum=0000708&amp;originatingDoc=I8f9ab540f0c011ebbb39f6d769114351&amp;refType=RP&amp;originationContext=document&amp;transitionType=DocumentItem&amp;ppcid=65af27e0e979408f8a50dd8ac6920797&amp;contextData=(sc.Search)" TargetMode="External"/><Relationship Id="rId36" Type="http://schemas.openxmlformats.org/officeDocument/2006/relationships/hyperlink" Target="https://1.next.westlaw.com/Link/Document/FullText?findType=L&amp;pubNum=1000547&amp;cite=26CFRS1.642(H)-5&amp;originatingDoc=I0279E35011D911EB9491EAE54701ADC6&amp;refType=LQ&amp;originationContext=document&amp;transitionType=DocumentItem&amp;contextData=(sc.UserEnteredCitation)" TargetMode="External"/><Relationship Id="rId283" Type="http://schemas.openxmlformats.org/officeDocument/2006/relationships/hyperlink" Target="https://www.law.cornell.edu/definitions/index.php?width=840&amp;height=800&amp;iframe=true&amp;def_id=1c07283120860b02c14e93d17bce07df&amp;term_occur=33&amp;term_src=Title:26:Chapter:I:Subchapter:A:Part:1:Subjgrp:10:1.671-3" TargetMode="External"/><Relationship Id="rId339" Type="http://schemas.openxmlformats.org/officeDocument/2006/relationships/hyperlink" Target="https://1.next.westlaw.com/Link/Document/FullText?findType=L&amp;pubNum=1000546&amp;cite=26USCAS2703&amp;originatingDoc=Ia948898074eb11e881e3e57c1f40e5c7&amp;refType=LQ&amp;originationContext=document&amp;transitionType=DocumentItem&amp;contextData=(sc.UserEnteredCitation)" TargetMode="External"/><Relationship Id="rId78" Type="http://schemas.openxmlformats.org/officeDocument/2006/relationships/hyperlink" Target="https://1.next.westlaw.com/Link/Document/FullText?findType=L&amp;pubNum=1012823&amp;cite=26USCAS6035&amp;originatingDoc=I86BA96C0E1DF11E5BAAD9792D8D66846&amp;refType=LQ&amp;originationContext=document&amp;transitionType=DocumentItem&amp;contextData=(sc.Search)" TargetMode="External"/><Relationship Id="rId101" Type="http://schemas.openxmlformats.org/officeDocument/2006/relationships/hyperlink" Target="https://1.next.westlaw.com/Link/Document/FullText?findType=Y&amp;serNum=1969013744&amp;pubNum=0001048&amp;originatingDoc=I8c98882fbac911e9a76eb9e71287f4ea&amp;refType=CA&amp;originationContext=document&amp;transitionType=DocumentItem&amp;contextData=(sc.UserEnteredCitation)" TargetMode="External"/><Relationship Id="rId143" Type="http://schemas.openxmlformats.org/officeDocument/2006/relationships/hyperlink" Target="https://1.next.westlaw.com/Document/Ic1eca89094e711ea8cb395d22c142a61/View/FullText.html?transitionType=UniqueDocItem&amp;contextData=(sc.UserEnteredCitation)&amp;userEnteredCitation=154+t.c.+no.+10" TargetMode="External"/><Relationship Id="rId185" Type="http://schemas.openxmlformats.org/officeDocument/2006/relationships/hyperlink" Target="https://www.law.cornell.edu/definitions/index.php?width=840&amp;height=800&amp;iframe=true&amp;def_id=54ba1aba0c8d0e3ab0b5352283ef7f78&amp;term_occur=4&amp;term_src=Title:26:Chapter:I:Subchapter:A:Part:1:Subjgrp:10:1.671-3" TargetMode="External"/><Relationship Id="rId350" Type="http://schemas.openxmlformats.org/officeDocument/2006/relationships/hyperlink" Target="https://1.next.westlaw.com/Link/Document/FullText?findType=L&amp;pubNum=1000546&amp;cite=26USCAS301&amp;originatingDoc=I773d8dd0ce4811e88037ff68a1223ab1&amp;refType=RB&amp;originationContext=document&amp;transitionType=DocumentItem&amp;contextData=(sc.UserEnteredCitation)" TargetMode="External"/><Relationship Id="rId406" Type="http://schemas.openxmlformats.org/officeDocument/2006/relationships/hyperlink" Target="https://1.next.westlaw.com/Link/Document/FullText?findType=Y&amp;serNum=2043519845&amp;pubNum=0000595&amp;originatingDoc=I48ab272098f011e9b508f0c9c0d45880&amp;refType=RP&amp;fi=co_pp_sp_595_374&amp;originationContext=document&amp;transitionType=DocumentItem&amp;contextData=(sc.UserEnteredCitation)" TargetMode="External"/><Relationship Id="rId9" Type="http://schemas.openxmlformats.org/officeDocument/2006/relationships/hyperlink" Target="mailto:tberry@wyattfirm.com" TargetMode="External"/><Relationship Id="rId210" Type="http://schemas.openxmlformats.org/officeDocument/2006/relationships/hyperlink" Target="https://www.law.cornell.edu/definitions/index.php?width=840&amp;height=800&amp;iframe=true&amp;def_id=ae27f114d4ac9f51e367eab1be1b4c32&amp;term_occur=1&amp;term_src=Title:26:Chapter:I:Subchapter:A:Part:1:Subjgrp:10:1.671-3" TargetMode="External"/><Relationship Id="rId392" Type="http://schemas.openxmlformats.org/officeDocument/2006/relationships/hyperlink" Target="https://1.next.westlaw.com/Link/Document/FullText?findType=Y&amp;serNum=1998030801&amp;pubNum=0000780&amp;originatingDoc=I48ab272098f011e9b508f0c9c0d45880&amp;refType=RP&amp;originationContext=document&amp;transitionType=DocumentItem&amp;contextData=(sc.UserEnteredCitation)" TargetMode="External"/><Relationship Id="rId448" Type="http://schemas.openxmlformats.org/officeDocument/2006/relationships/hyperlink" Target="https://1.next.westlaw.com/Link/Document/FullText?findType=Y&amp;serNum=2045704604&amp;pubNum=0000506&amp;originatingDoc=I15e7e680711611eab9598d2db129301e&amp;refType=RP&amp;originationContext=document&amp;transitionType=DocumentItem&amp;contextData=(sc.UserEnteredCitation)" TargetMode="External"/><Relationship Id="rId252" Type="http://schemas.openxmlformats.org/officeDocument/2006/relationships/hyperlink" Target="https://www.law.cornell.edu/cfr/text/26/1.671-3" TargetMode="External"/><Relationship Id="rId294" Type="http://schemas.openxmlformats.org/officeDocument/2006/relationships/hyperlink" Target="https://www.law.cornell.edu/definitions/index.php?width=840&amp;height=800&amp;iframe=true&amp;def_id=f7fdf9f43371a6f4fa9a885b4b1cb9af&amp;term_occur=5&amp;term_src=Title:26:Chapter:I:Subchapter:A:Part:1:Subjgrp:10:1.671-3" TargetMode="External"/><Relationship Id="rId308" Type="http://schemas.openxmlformats.org/officeDocument/2006/relationships/hyperlink" Target="https://www.law.cornell.edu/definitions/index.php?width=840&amp;height=800&amp;iframe=true&amp;def_id=51508d26cc4b7c4c977788a33dd0fdcc&amp;term_occur=13&amp;term_src=Title:26:Chapter:I:Subchapter:A:Part:1:Subjgrp:10:1.671-3" TargetMode="External"/><Relationship Id="rId47" Type="http://schemas.openxmlformats.org/officeDocument/2006/relationships/hyperlink" Target="http://www.taxpolicycenter.org" TargetMode="External"/><Relationship Id="rId89" Type="http://schemas.openxmlformats.org/officeDocument/2006/relationships/hyperlink" Target="https://1.next.westlaw.com/Link/Document/FullText?findType=L&amp;pubNum=1012823&amp;cite=26USCAS6724&amp;originatingDoc=I86BA96C0E1DF11E5BAAD9792D8D66846&amp;refType=RB&amp;originationContext=document&amp;transitionType=DocumentItem&amp;contextData=(sc.Search)" TargetMode="External"/><Relationship Id="rId112" Type="http://schemas.openxmlformats.org/officeDocument/2006/relationships/hyperlink" Target="https://1.next.westlaw.com/Link/Document/FullText?findType=L&amp;pubNum=1000546&amp;cite=26USCAS671&amp;originatingDoc=I21357934b1c811ebb647818ecdfac784&amp;refType=LQ&amp;originationContext=document&amp;transitionType=DocumentItem&amp;contextData=(sc.Search)" TargetMode="External"/><Relationship Id="rId154" Type="http://schemas.openxmlformats.org/officeDocument/2006/relationships/hyperlink" Target="https://1.next.westlaw.com/Link/Document/FullText?findType=Y&amp;serNum=1972113351&amp;pubNum=0000350&amp;originatingDoc=Ief904350ee4311eaac1bf54738486b58&amp;refType=RP&amp;fi=co_pp_sp_350_276&amp;originationContext=document&amp;transitionType=DocumentItem&amp;contextData=(sc.UserEnteredCitation)" TargetMode="External"/><Relationship Id="rId361" Type="http://schemas.openxmlformats.org/officeDocument/2006/relationships/hyperlink" Target="https://1.next.westlaw.com/Link/Document/FullText?findType=L&amp;pubNum=1000546&amp;cite=26USCAS301&amp;originatingDoc=I773d8dd0ce4811e88037ff68a1223ab1&amp;refType=LQ&amp;originationContext=document&amp;transitionType=DocumentItem&amp;contextData=(sc.UserEnteredCitation)" TargetMode="External"/><Relationship Id="rId196" Type="http://schemas.openxmlformats.org/officeDocument/2006/relationships/hyperlink" Target="https://www.law.cornell.edu/definitions/index.php?width=840&amp;height=800&amp;iframe=true&amp;def_id=a02bfd330744dda8ac236666bad7d738&amp;term_occur=1&amp;term_src=Title:26:Chapter:I:Subchapter:A:Part:1:Subjgrp:10:1.671-3" TargetMode="External"/><Relationship Id="rId417" Type="http://schemas.openxmlformats.org/officeDocument/2006/relationships/hyperlink" Target="https://1.next.westlaw.com/Link/Document/FullText?findType=Y&amp;serNum=0291632526&amp;pubNum=0105636&amp;originatingDoc=Iba1b330017bb11eb8cddf39cfa051b39&amp;refType=TS&amp;originationContext=document&amp;transitionType=DocumentItem&amp;contextData=(sc.UserEnteredCitation)" TargetMode="External"/><Relationship Id="rId459" Type="http://schemas.openxmlformats.org/officeDocument/2006/relationships/hyperlink" Target="https://1.next.westlaw.com/Link/Document/FullText?findType=Y&amp;serNum=2022768372&amp;pubNum=0000578&amp;originatingDoc=I545c1ce079f611ea9e3ceb5de751016b&amp;refType=RP&amp;fi=co_pp_sp_578_925&amp;originationContext=document&amp;transitionType=DocumentItem&amp;contextData=(sc.UserEnteredCitation)" TargetMode="External"/><Relationship Id="rId16" Type="http://schemas.openxmlformats.org/officeDocument/2006/relationships/footer" Target="footer4.xml"/><Relationship Id="rId221" Type="http://schemas.openxmlformats.org/officeDocument/2006/relationships/hyperlink" Target="https://www.law.cornell.edu/definitions/index.php?width=840&amp;height=800&amp;iframe=true&amp;def_id=1c07283120860b02c14e93d17bce07df&amp;term_occur=13&amp;term_src=Title:26:Chapter:I:Subchapter:A:Part:1:Subjgrp:10:1.671-3" TargetMode="External"/><Relationship Id="rId263" Type="http://schemas.openxmlformats.org/officeDocument/2006/relationships/hyperlink" Target="https://www.law.cornell.edu/definitions/index.php?width=840&amp;height=800&amp;iframe=true&amp;def_id=85307a11a6f904ecc097fcc4cd8a417f&amp;term_occur=11&amp;term_src=Title:26:Chapter:I:Subchapter:A:Part:1:Subjgrp:10:1.671-3" TargetMode="External"/><Relationship Id="rId319" Type="http://schemas.openxmlformats.org/officeDocument/2006/relationships/hyperlink" Target="https://1.next.westlaw.com/Link/Document/FullText?findType=L&amp;pubNum=1000547&amp;cite=26CFRS25.2514-3&amp;originatingDoc=Icd97d8329ef011e89a6efc60af1b5d9c&amp;refType=RB&amp;originationContext=document&amp;transitionType=DocumentItem&amp;contextData=(sc.Search)" TargetMode="External"/><Relationship Id="rId470" Type="http://schemas.openxmlformats.org/officeDocument/2006/relationships/hyperlink" Target="https://1.next.westlaw.com/Link/Document/FullText?findType=Y&amp;serNum=2051478161&amp;pubNum=0007980&amp;originatingDoc=I06f90810a86111ebbbbbabec583fa227&amp;refType=RP&amp;originationContext=document&amp;transitionType=DocumentItem&amp;contextData=(sc.UserEnteredCitation)" TargetMode="External"/><Relationship Id="rId58" Type="http://schemas.openxmlformats.org/officeDocument/2006/relationships/footer" Target="footer6.xml"/><Relationship Id="rId123" Type="http://schemas.openxmlformats.org/officeDocument/2006/relationships/hyperlink" Target="javascript:top.docjs.next_hit(13)" TargetMode="External"/><Relationship Id="rId330" Type="http://schemas.openxmlformats.org/officeDocument/2006/relationships/hyperlink" Target="https://1.next.westlaw.com/Link/Document/FullText?findType=Y&amp;serNum=2025820456&amp;pubNum=0000506&amp;originatingDoc=I1839b6f0793311ea8f44f6432bc8ecf9&amp;refType=RP&amp;fi=co_pp_sp_506_1019&amp;originationContext=document&amp;transitionType=DocumentItem&amp;contextData=(sc.UserEnteredCitation)" TargetMode="External"/><Relationship Id="rId165" Type="http://schemas.openxmlformats.org/officeDocument/2006/relationships/hyperlink" Target="https://www.law.cornell.edu/definitions/index.php?width=840&amp;height=800&amp;iframe=true&amp;def_id=85307a11a6f904ecc097fcc4cd8a417f&amp;term_occur=2&amp;term_src=Title:26:Chapter:I:Subchapter:A:Part:1:Subjgrp:10:1.671-3" TargetMode="External"/><Relationship Id="rId372" Type="http://schemas.openxmlformats.org/officeDocument/2006/relationships/hyperlink" Target="https://www.cbo.gov/publication/57272" TargetMode="External"/><Relationship Id="rId428" Type="http://schemas.openxmlformats.org/officeDocument/2006/relationships/hyperlink" Target="https://1.next.westlaw.com/Link/Document/FullText?findType=Y&amp;serNum=1976131159&amp;pubNum=0000441&amp;originatingDoc=If1047d306e2511eaafc9a4147037e074&amp;refType=RP&amp;originationContext=document&amp;transitionType=DocumentItem&amp;contextData=(sc.UserEnteredCitation)" TargetMode="External"/><Relationship Id="rId232" Type="http://schemas.openxmlformats.org/officeDocument/2006/relationships/hyperlink" Target="https://www.law.cornell.edu/definitions/index.php?width=840&amp;height=800&amp;iframe=true&amp;def_id=8fc1e1636dc887fa2eb5285e292a8cd2&amp;term_occur=1&amp;term_src=Title:26:Chapter:I:Subchapter:A:Part:1:Subjgrp:10:1.671-3" TargetMode="External"/><Relationship Id="rId274" Type="http://schemas.openxmlformats.org/officeDocument/2006/relationships/hyperlink" Target="https://www.law.cornell.edu/definitions/index.php?width=840&amp;height=800&amp;iframe=true&amp;def_id=8e83046407fe273f9396d8e57f9d27a9&amp;term_occur=16&amp;term_src=Title:26:Chapter:I:Subchapter:A:Part:1:Subjgrp:10:1.671-3" TargetMode="External"/><Relationship Id="rId481" Type="http://schemas.openxmlformats.org/officeDocument/2006/relationships/footer" Target="footer9.xml"/><Relationship Id="rId27" Type="http://schemas.openxmlformats.org/officeDocument/2006/relationships/hyperlink" Target="https://1.next.westlaw.com/Link/Document/FullText?findType=L&amp;pubNum=1000546&amp;cite=26USCAS67&amp;originatingDoc=I0279E35011D911EB9491EAE54701ADC6&amp;refType=RB&amp;originationContext=document&amp;transitionType=DocumentItem&amp;contextData=(sc.UserEnteredCitation)" TargetMode="External"/><Relationship Id="rId69" Type="http://schemas.openxmlformats.org/officeDocument/2006/relationships/hyperlink" Target="https://1.next.westlaw.com/Link/Document/FullText?findType=L&amp;pubNum=1012823&amp;cite=26USCAS1014&amp;originatingDoc=I86BA96C0E1DF11E5BAAD9792D8D66846&amp;refType=RB&amp;originationContext=document&amp;transitionType=DocumentItem&amp;contextData=(sc.Search)" TargetMode="External"/><Relationship Id="rId134" Type="http://schemas.openxmlformats.org/officeDocument/2006/relationships/hyperlink" Target="https://1.next.westlaw.com/Link/Document/FullText?findType=L&amp;pubNum=1012823&amp;cite=26USCAS170&amp;originatingDoc=I2c4777600b6e11e9a1b0e6625e646f8f&amp;refType=RB&amp;originationContext=document&amp;transitionType=DocumentItem&amp;contextData=(sc.DocLink)" TargetMode="External"/><Relationship Id="rId80" Type="http://schemas.openxmlformats.org/officeDocument/2006/relationships/hyperlink" Target="https://1.next.westlaw.com/Link/Document/FullText?findType=L&amp;pubNum=1012823&amp;cite=26USCAS6035&amp;originatingDoc=I86BA96C0E1DF11E5BAAD9792D8D66846&amp;refType=RB&amp;originationContext=document&amp;transitionType=DocumentItem&amp;contextData=(sc.Search)" TargetMode="External"/><Relationship Id="rId176" Type="http://schemas.openxmlformats.org/officeDocument/2006/relationships/hyperlink" Target="https://www.law.cornell.edu/definitions/index.php?width=840&amp;height=800&amp;iframe=true&amp;def_id=1c07283120860b02c14e93d17bce07df&amp;term_occur=5&amp;term_src=Title:26:Chapter:I:Subchapter:A:Part:1:Subjgrp:10:1.671-3" TargetMode="External"/><Relationship Id="rId341" Type="http://schemas.openxmlformats.org/officeDocument/2006/relationships/hyperlink" Target="https://1.next.westlaw.com/Link/Document/FullText?findType=L&amp;pubNum=1000546&amp;cite=26USCAS2703&amp;originatingDoc=Ia948898074eb11e881e3e57c1f40e5c7&amp;refType=LQ&amp;originationContext=document&amp;transitionType=DocumentItem&amp;contextData=(sc.UserEnteredCitation)" TargetMode="External"/><Relationship Id="rId383" Type="http://schemas.openxmlformats.org/officeDocument/2006/relationships/hyperlink" Target="https://1.next.westlaw.com/Link/Document/FullText?findType=Y&amp;serNum=1987002938&amp;pubNum=0000595&amp;originatingDoc=I48ab272098f011e9b508f0c9c0d45880&amp;refType=RP&amp;originationContext=document&amp;transitionType=DocumentItem&amp;contextData=(sc.UserEnteredCitation)" TargetMode="External"/><Relationship Id="rId439" Type="http://schemas.openxmlformats.org/officeDocument/2006/relationships/hyperlink" Target="https://1.next.westlaw.com/Link/Document/FullText?findType=L&amp;pubNum=1000468&amp;cite=GAST53-12-221&amp;originatingDoc=Iee496310632811eaae65c24a92a27fc2&amp;refType=LQ&amp;originationContext=document&amp;transitionType=DocumentItem&amp;contextData=(sc.UserEnteredCitation)" TargetMode="External"/><Relationship Id="rId201" Type="http://schemas.openxmlformats.org/officeDocument/2006/relationships/hyperlink" Target="https://www.law.cornell.edu/definitions/index.php?width=840&amp;height=800&amp;iframe=true&amp;def_id=8e83046407fe273f9396d8e57f9d27a9&amp;term_occur=4&amp;term_src=Title:26:Chapter:I:Subchapter:A:Part:1:Subjgrp:10:1.671-3" TargetMode="External"/><Relationship Id="rId243" Type="http://schemas.openxmlformats.org/officeDocument/2006/relationships/hyperlink" Target="https://www.law.cornell.edu/definitions/index.php?width=840&amp;height=800&amp;iframe=true&amp;def_id=1c07283120860b02c14e93d17bce07df&amp;term_occur=20&amp;term_src=Title:26:Chapter:I:Subchapter:A:Part:1:Subjgrp:10:1.671-3" TargetMode="External"/><Relationship Id="rId285" Type="http://schemas.openxmlformats.org/officeDocument/2006/relationships/hyperlink" Target="https://www.law.cornell.edu/definitions/index.php?width=840&amp;height=800&amp;iframe=true&amp;def_id=753ecf1b19d24b3ea05bc76f6f9171b1&amp;term_occur=2&amp;term_src=Title:26:Chapter:I:Subchapter:A:Part:1:Subjgrp:10:1.671-3" TargetMode="External"/><Relationship Id="rId450" Type="http://schemas.openxmlformats.org/officeDocument/2006/relationships/hyperlink" Target="https://1.next.westlaw.com/Document/I69fb7f00365211eba9c4c2beee9e04d0/View/FullText.html?transitionType=UniqueDocItem&amp;contextData=(sc.UserEnteredCitation)&amp;userEnteredCitation=951+N.W.2d+486" TargetMode="External"/><Relationship Id="rId38" Type="http://schemas.openxmlformats.org/officeDocument/2006/relationships/hyperlink" Target="https://1.next.westlaw.com/Link/Document/FullText?findType=L&amp;pubNum=1000546&amp;cite=26USCAS164&amp;originatingDoc=I0279E35011D911EB9491EAE54701ADC6&amp;refType=RB&amp;originationContext=document&amp;transitionType=DocumentItem&amp;contextData=(sc.UserEnteredCitation)" TargetMode="External"/><Relationship Id="rId103" Type="http://schemas.openxmlformats.org/officeDocument/2006/relationships/hyperlink" Target="https://1.next.westlaw.com/Link/Document/FullText?findType=L&amp;pubNum=1000546&amp;cite=26USCAS1015&amp;originatingDoc=I8c98882fbac911e9a76eb9e71287f4ea&amp;refType=RB&amp;originationContext=document&amp;transitionType=DocumentItem&amp;contextData=(sc.UserEnteredCitation)" TargetMode="External"/><Relationship Id="rId310" Type="http://schemas.openxmlformats.org/officeDocument/2006/relationships/hyperlink" Target="https://www.law.cornell.edu/definitions/index.php?width=840&amp;height=800&amp;iframe=true&amp;def_id=e805341e826e50dbe8e45d3226829f67&amp;term_occur=5&amp;term_src=Title:26:Chapter:I:Subchapter:A:Part:1:Subjgrp:10:1.671-3" TargetMode="External"/><Relationship Id="rId91" Type="http://schemas.openxmlformats.org/officeDocument/2006/relationships/hyperlink" Target="https://1.next.westlaw.com/Link/Document/FullText?findType=L&amp;pubNum=1012823&amp;cite=26USCAS6724&amp;originatingDoc=I86BA96C0E1DF11E5BAAD9792D8D66846&amp;refType=RB&amp;originationContext=document&amp;transitionType=DocumentItem&amp;contextData=(sc.Search)" TargetMode="External"/><Relationship Id="rId145" Type="http://schemas.openxmlformats.org/officeDocument/2006/relationships/hyperlink" Target="https://1.next.westlaw.com/Document/Ic1eca89094e711ea8cb395d22c142a61/View/FullText.html?transitionType=UniqueDocItem&amp;contextData=(sc.UserEnteredCitation)&amp;userEnteredCitation=154+t.c.+no.+10" TargetMode="External"/><Relationship Id="rId187" Type="http://schemas.openxmlformats.org/officeDocument/2006/relationships/hyperlink" Target="https://www.law.cornell.edu/definitions/index.php?width=840&amp;height=800&amp;iframe=true&amp;def_id=51508d26cc4b7c4c977788a33dd0fdcc&amp;term_occur=8&amp;term_src=Title:26:Chapter:I:Subchapter:A:Part:1:Subjgrp:10:1.671-3" TargetMode="External"/><Relationship Id="rId352" Type="http://schemas.openxmlformats.org/officeDocument/2006/relationships/hyperlink" Target="https://1.next.westlaw.com/Link/Document/FullText?findType=L&amp;pubNum=1000546&amp;cite=26USCAS301&amp;originatingDoc=I773d8dd0ce4811e88037ff68a1223ab1&amp;refType=RB&amp;originationContext=document&amp;transitionType=DocumentItem&amp;contextData=(sc.UserEnteredCitation)" TargetMode="External"/><Relationship Id="rId394" Type="http://schemas.openxmlformats.org/officeDocument/2006/relationships/hyperlink" Target="https://1.next.westlaw.com/Link/Document/FullText?findType=Y&amp;serNum=2024984973&amp;pubNum=0000506&amp;originatingDoc=I48ab272098f011e9b508f0c9c0d45880&amp;refType=RP&amp;fi=co_pp_sp_506_161&amp;originationContext=document&amp;transitionType=DocumentItem&amp;contextData=(sc.UserEnteredCitation)" TargetMode="External"/><Relationship Id="rId408" Type="http://schemas.openxmlformats.org/officeDocument/2006/relationships/hyperlink" Target="https://1.next.westlaw.com/Link/Document/FullText?findType=Y&amp;serNum=1884017692&amp;pubNum=0000440&amp;originatingDoc=Iba1b330017bb11eb8cddf39cfa051b39&amp;refType=RP&amp;fi=co_pp_sp_440_577&amp;originationContext=document&amp;transitionType=DocumentItem&amp;contextData=(sc.UserEnteredCitation)" TargetMode="External"/><Relationship Id="rId212" Type="http://schemas.openxmlformats.org/officeDocument/2006/relationships/hyperlink" Target="https://www.law.cornell.edu/definitions/index.php?width=840&amp;height=800&amp;iframe=true&amp;def_id=1c07283120860b02c14e93d17bce07df&amp;term_occur=10&amp;term_src=Title:26:Chapter:I:Subchapter:A:Part:1:Subjgrp:10:1.671-3" TargetMode="External"/><Relationship Id="rId254" Type="http://schemas.openxmlformats.org/officeDocument/2006/relationships/hyperlink" Target="https://www.law.cornell.edu/definitions/index.php?width=840&amp;height=800&amp;iframe=true&amp;def_id=f917901de6379998342cf498d0de4ad0&amp;term_occur=3&amp;term_src=Title:26:Chapter:I:Subchapter:A:Part:1:Subjgrp:10:1.671-3" TargetMode="External"/><Relationship Id="rId49" Type="http://schemas.openxmlformats.org/officeDocument/2006/relationships/hyperlink" Target="https://www.law.cornell.edu/definitions/uscode.php?width=840&amp;height=800&amp;iframe=true&amp;def_id=26-USC-3046195-2063077224&amp;term_occur=999&amp;term_src=title:26:subtitle:A:chapter:1:subchapter:J:part:I:subpart:A:section:643" TargetMode="External"/><Relationship Id="rId114" Type="http://schemas.openxmlformats.org/officeDocument/2006/relationships/image" Target="media/image1.gif"/><Relationship Id="rId296" Type="http://schemas.openxmlformats.org/officeDocument/2006/relationships/hyperlink" Target="https://www.law.cornell.edu/definitions/index.php?width=840&amp;height=800&amp;iframe=true&amp;def_id=1c07283120860b02c14e93d17bce07df&amp;term_occur=36&amp;term_src=Title:26:Chapter:I:Subchapter:A:Part:1:Subjgrp:10:1.671-3" TargetMode="External"/><Relationship Id="rId461" Type="http://schemas.openxmlformats.org/officeDocument/2006/relationships/hyperlink" Target="https://1.next.westlaw.com/Link/Document/FullText?findType=L&amp;pubNum=1000009&amp;cite=INS29-1-2-8&amp;originatingDoc=I545c1ce079f611ea9e3ceb5de751016b&amp;refType=LQ&amp;originationContext=document&amp;transitionType=DocumentItem&amp;contextData=(sc.UserEnteredCitation)" TargetMode="External"/><Relationship Id="rId60" Type="http://schemas.openxmlformats.org/officeDocument/2006/relationships/footer" Target="footer8.xml"/><Relationship Id="rId156" Type="http://schemas.openxmlformats.org/officeDocument/2006/relationships/hyperlink" Target="https://1.next.westlaw.com/Document/Id8bca960b7f711eb9804b7f7250bc080/View/FullText.html?transitionType=UniqueDocItem&amp;contextData=(sc.Search)&amp;userEnteredCitation=t+c+memo+2021-61" TargetMode="External"/><Relationship Id="rId198" Type="http://schemas.openxmlformats.org/officeDocument/2006/relationships/hyperlink" Target="https://www.law.cornell.edu/definitions/index.php?width=840&amp;height=800&amp;iframe=true&amp;def_id=8a2837bd45f19a50d5183d6f43bb65dc&amp;term_occur=1&amp;term_src=Title:26:Chapter:I:Subchapter:A:Part:1:Subjgrp:10:1.671-3" TargetMode="External"/><Relationship Id="rId321" Type="http://schemas.openxmlformats.org/officeDocument/2006/relationships/hyperlink" Target="https://1.next.westlaw.com/Link/Document/FullText?findType=L&amp;pubNum=1000547&amp;cite=26CFRS25.2514-3&amp;originatingDoc=Icd97d8329ef011e89a6efc60af1b5d9c&amp;refType=RB&amp;originationContext=document&amp;transitionType=DocumentItem&amp;contextData=(sc.Search)" TargetMode="External"/><Relationship Id="rId363" Type="http://schemas.openxmlformats.org/officeDocument/2006/relationships/hyperlink" Target="https://1.next.westlaw.com/Link/Document/FullText?findType=L&amp;pubNum=1000547&amp;cite=26CFRS1.301-1&amp;originatingDoc=I773d8dd0ce4811e88037ff68a1223ab1&amp;refType=RB&amp;originationContext=document&amp;transitionType=DocumentItem&amp;contextData=(sc.UserEnteredCitation)" TargetMode="External"/><Relationship Id="rId419" Type="http://schemas.openxmlformats.org/officeDocument/2006/relationships/hyperlink" Target="https://1.next.westlaw.com/Link/Document/FullText?findType=Y&amp;serNum=2026427593&amp;pubNum=0004645&amp;originatingDoc=I8bdde3e0fed711ea90aaf658db4bc3dc&amp;refType=RP&amp;originationContext=document&amp;transitionType=DocumentItem&amp;contextData=(sc.UserEnteredCitation)" TargetMode="External"/><Relationship Id="rId223" Type="http://schemas.openxmlformats.org/officeDocument/2006/relationships/hyperlink" Target="https://www.law.cornell.edu/cfr/text/26/1.671-3" TargetMode="External"/><Relationship Id="rId430" Type="http://schemas.openxmlformats.org/officeDocument/2006/relationships/hyperlink" Target="https://1.next.westlaw.com/Link/Document/FullText?findType=Y&amp;serNum=1988101893&amp;pubNum=0000578&amp;originatingDoc=If1047d306e2511eaafc9a4147037e074&amp;refType=RP&amp;originationContext=document&amp;transitionType=DocumentItem&amp;contextData=(sc.UserEnteredCitation)" TargetMode="External"/><Relationship Id="rId18" Type="http://schemas.openxmlformats.org/officeDocument/2006/relationships/hyperlink" Target="https://www.taxnotes.com/lr/resolve/cyn9" TargetMode="External"/><Relationship Id="rId265" Type="http://schemas.openxmlformats.org/officeDocument/2006/relationships/hyperlink" Target="https://www.law.cornell.edu/definitions/index.php?width=840&amp;height=800&amp;iframe=true&amp;def_id=ae27f114d4ac9f51e367eab1be1b4c32&amp;term_occur=6&amp;term_src=Title:26:Chapter:I:Subchapter:A:Part:1:Subjgrp:10:1.671-3" TargetMode="External"/><Relationship Id="rId472" Type="http://schemas.openxmlformats.org/officeDocument/2006/relationships/hyperlink" Target="https://1.next.westlaw.com/Document/I6bac3c90a7ae11ebbbbbabec583fa227/View/FullText.html?transitionType=UniqueDocItem&amp;contextData=(sc.Default)&amp;userEnteredCitation=2021+WL+1624641" TargetMode="External"/><Relationship Id="rId125" Type="http://schemas.openxmlformats.org/officeDocument/2006/relationships/hyperlink" Target="javascript:top.docjs.next_hit(14)" TargetMode="External"/><Relationship Id="rId167" Type="http://schemas.openxmlformats.org/officeDocument/2006/relationships/hyperlink" Target="https://www.law.cornell.edu/definitions/index.php?width=840&amp;height=800&amp;iframe=true&amp;def_id=c3b57a31fc226d7b84e26175afe251f2&amp;term_occur=1&amp;term_src=Title:26:Chapter:I:Subchapter:A:Part:1:Subjgrp:10:1.671-3" TargetMode="External"/><Relationship Id="rId332" Type="http://schemas.openxmlformats.org/officeDocument/2006/relationships/hyperlink" Target="https://1.next.westlaw.com/Link/Document/FullText?findType=L&amp;pubNum=1000546&amp;cite=26USCAS2036&amp;originatingDoc=Ia948898074eb11e881e3e57c1f40e5c7&amp;refType=LQ&amp;originationContext=document&amp;transitionType=DocumentItem&amp;contextData=(sc.UserEnteredCitation)" TargetMode="External"/><Relationship Id="rId374" Type="http://schemas.openxmlformats.org/officeDocument/2006/relationships/hyperlink" Target="https://www.cbo.gov/publication/57272" TargetMode="External"/><Relationship Id="rId71" Type="http://schemas.openxmlformats.org/officeDocument/2006/relationships/hyperlink" Target="https://1.next.westlaw.com/Link/Document/FullText?findType=L&amp;pubNum=1012823&amp;cite=26USCAS1014&amp;originatingDoc=I86BA96C0E1DF11E5BAAD9792D8D66846&amp;refType=RB&amp;originationContext=document&amp;transitionType=DocumentItem&amp;contextData=(sc.Search)" TargetMode="External"/><Relationship Id="rId234" Type="http://schemas.openxmlformats.org/officeDocument/2006/relationships/hyperlink" Target="https://www.law.cornell.edu/definitions/index.php?width=840&amp;height=800&amp;iframe=true&amp;def_id=970d2414a1a31dbe5eef288e0a9bfa3c&amp;term_occur=2&amp;term_src=Title:26:Chapter:I:Subchapter:A:Part:1:Subjgrp:10:1.671-3" TargetMode="External"/><Relationship Id="rId2" Type="http://schemas.openxmlformats.org/officeDocument/2006/relationships/customXml" Target="../customXml/item2.xml"/><Relationship Id="rId29" Type="http://schemas.openxmlformats.org/officeDocument/2006/relationships/hyperlink" Target="https://1.next.westlaw.com/Link/Document/FullText?findType=L&amp;pubNum=1000546&amp;cite=26USCAS67&amp;originatingDoc=I0279E35011D911EB9491EAE54701ADC6&amp;refType=RB&amp;originationContext=document&amp;transitionType=DocumentItem&amp;contextData=(sc.UserEnteredCitation)" TargetMode="External"/><Relationship Id="rId276" Type="http://schemas.openxmlformats.org/officeDocument/2006/relationships/hyperlink" Target="https://www.law.cornell.edu/definitions/index.php?width=840&amp;height=800&amp;iframe=true&amp;def_id=1c07283120860b02c14e93d17bce07df&amp;term_occur=31&amp;term_src=Title:26:Chapter:I:Subchapter:A:Part:1:Subjgrp:10:1.671-3" TargetMode="External"/><Relationship Id="rId441" Type="http://schemas.openxmlformats.org/officeDocument/2006/relationships/hyperlink" Target="https://1.next.westlaw.com/Link/Document/FullText?findType=Y&amp;serNum=1956128192&amp;pubNum=0000713&amp;originatingDoc=I644843b0a48311ea8406df7959f232f7&amp;refType=RP&amp;originationContext=document&amp;transitionType=DocumentItem&amp;contextData=(sc.UserEnteredCitation)" TargetMode="External"/><Relationship Id="rId483" Type="http://schemas.openxmlformats.org/officeDocument/2006/relationships/theme" Target="theme/theme1.xml"/><Relationship Id="rId40" Type="http://schemas.openxmlformats.org/officeDocument/2006/relationships/hyperlink" Target="https://1.next.westlaw.com/Link/Document/FullText?findType=L&amp;pubNum=1000546&amp;cite=26USCAS469&amp;originatingDoc=I0279E35011D911EB9491EAE54701ADC6&amp;refType=LQ&amp;originationContext=document&amp;transitionType=DocumentItem&amp;contextData=(sc.UserEnteredCitation)" TargetMode="External"/><Relationship Id="rId136" Type="http://schemas.openxmlformats.org/officeDocument/2006/relationships/hyperlink" Target="https://1.next.westlaw.com/Link/Document/FullText?findType=L&amp;pubNum=1012823&amp;cite=26USCAS170&amp;originatingDoc=I2c4777600b6e11e9a1b0e6625e646f8f&amp;refType=RB&amp;originationContext=document&amp;transitionType=DocumentItem&amp;contextData=(sc.DocLink)" TargetMode="External"/><Relationship Id="rId178" Type="http://schemas.openxmlformats.org/officeDocument/2006/relationships/hyperlink" Target="https://www.law.cornell.edu/definitions/index.php?width=840&amp;height=800&amp;iframe=true&amp;def_id=51508d26cc4b7c4c977788a33dd0fdcc&amp;term_occur=5&amp;term_src=Title:26:Chapter:I:Subchapter:A:Part:1:Subjgrp:10:1.671-3" TargetMode="External"/><Relationship Id="rId301" Type="http://schemas.openxmlformats.org/officeDocument/2006/relationships/hyperlink" Target="https://www.law.cornell.edu/definitions/index.php?width=840&amp;height=800&amp;iframe=true&amp;def_id=85307a11a6f904ecc097fcc4cd8a417f&amp;term_occur=16&amp;term_src=Title:26:Chapter:I:Subchapter:A:Part:1:Subjgrp:10:1.671-3" TargetMode="External"/><Relationship Id="rId343" Type="http://schemas.openxmlformats.org/officeDocument/2006/relationships/hyperlink" Target="https://1.next.westlaw.com/Link/Document/FullText?findType=L&amp;pubNum=1000546&amp;cite=26USCAS2703&amp;originatingDoc=Ia948898074eb11e881e3e57c1f40e5c7&amp;refType=LQ&amp;originationContext=document&amp;transitionType=DocumentItem&amp;contextData=(sc.UserEnteredCitation)" TargetMode="External"/><Relationship Id="rId82" Type="http://schemas.openxmlformats.org/officeDocument/2006/relationships/hyperlink" Target="https://1.next.westlaw.com/Link/Document/FullText?findType=L&amp;pubNum=1012823&amp;cite=26USCAS6035&amp;originatingDoc=I86BA96C0E1DF11E5BAAD9792D8D66846&amp;refType=LQ&amp;originationContext=document&amp;transitionType=DocumentItem&amp;contextData=(sc.Search)" TargetMode="External"/><Relationship Id="rId203" Type="http://schemas.openxmlformats.org/officeDocument/2006/relationships/hyperlink" Target="https://www.law.cornell.edu/definitions/index.php?width=840&amp;height=800&amp;iframe=true&amp;def_id=8e83046407fe273f9396d8e57f9d27a9&amp;term_occur=5&amp;term_src=Title:26:Chapter:I:Subchapter:A:Part:1:Subjgrp:10:1.671-3" TargetMode="External"/><Relationship Id="rId385" Type="http://schemas.openxmlformats.org/officeDocument/2006/relationships/hyperlink" Target="https://1.next.westlaw.com/Link/Document/FullText?findType=Y&amp;serNum=1941121795&amp;pubNum=0000708&amp;originatingDoc=I48ab272098f011e9b508f0c9c0d45880&amp;refType=RP&amp;fi=co_pp_sp_708_342&amp;originationContext=document&amp;transitionType=DocumentItem&amp;contextData=(sc.UserEnteredCitation)" TargetMode="External"/><Relationship Id="rId245" Type="http://schemas.openxmlformats.org/officeDocument/2006/relationships/hyperlink" Target="https://www.law.cornell.edu/definitions/index.php?width=840&amp;height=800&amp;iframe=true&amp;def_id=85307a11a6f904ecc097fcc4cd8a417f&amp;term_occur=9&amp;term_src=Title:26:Chapter:I:Subchapter:A:Part:1:Subjgrp:10:1.671-3" TargetMode="External"/><Relationship Id="rId287" Type="http://schemas.openxmlformats.org/officeDocument/2006/relationships/hyperlink" Target="https://www.law.cornell.edu/definitions/index.php?width=840&amp;height=800&amp;iframe=true&amp;def_id=1c07283120860b02c14e93d17bce07df&amp;term_occur=34&amp;term_src=Title:26:Chapter:I:Subchapter:A:Part:1:Subjgrp:10:1.671-3" TargetMode="External"/><Relationship Id="rId410" Type="http://schemas.openxmlformats.org/officeDocument/2006/relationships/hyperlink" Target="https://1.next.westlaw.com/Link/Document/FullText?findType=Y&amp;serNum=1886008822&amp;pubNum=0000577&amp;originatingDoc=Iba1b330017bb11eb8cddf39cfa051b39&amp;refType=RP&amp;fi=co_pp_sp_577_583&amp;originationContext=document&amp;transitionType=DocumentItem&amp;contextData=(sc.UserEnteredCitation)" TargetMode="External"/><Relationship Id="rId452" Type="http://schemas.openxmlformats.org/officeDocument/2006/relationships/hyperlink" Target="https://1.next.westlaw.com/Link/Document/FullText?findType=Y&amp;serNum=1925111533&amp;pubNum=0000577&amp;originatingDoc=I545c1ce079f611ea9e3ceb5de751016b&amp;refType=RP&amp;fi=co_pp_sp_577_127&amp;originationContext=document&amp;transitionType=DocumentItem&amp;contextData=(sc.UserEnteredCitation)" TargetMode="External"/><Relationship Id="rId105" Type="http://schemas.openxmlformats.org/officeDocument/2006/relationships/hyperlink" Target="https://1.next.westlaw.com/Link/Document/FullText?findType=L&amp;pubNum=1000546&amp;cite=26USCAS1222&amp;originatingDoc=I8c98882fbac911e9a76eb9e71287f4ea&amp;refType=RB&amp;originationContext=document&amp;transitionType=DocumentItem&amp;contextData=(sc.UserEnteredCitation)" TargetMode="External"/><Relationship Id="rId147" Type="http://schemas.openxmlformats.org/officeDocument/2006/relationships/hyperlink" Target="https://www.taxnotes.com/tax-notes-today-federal/charitable-giving/tax-court-cant-see-proper-substantiation-eye-wear-donation/2020/04/08/2cd3m?highlight=2020-13415" TargetMode="External"/><Relationship Id="rId312" Type="http://schemas.openxmlformats.org/officeDocument/2006/relationships/hyperlink" Target="https://www.law.cornell.edu/definitions/index.php?width=840&amp;height=800&amp;iframe=true&amp;def_id=bb14908bddb930afb0bea7fe0606316b&amp;term_occur=2&amp;term_src=Title:26:Chapter:I:Subchapter:A:Part:1:Subjgrp:10:1.671-3" TargetMode="External"/><Relationship Id="rId354" Type="http://schemas.openxmlformats.org/officeDocument/2006/relationships/hyperlink" Target="https://1.next.westlaw.com/Link/Document/FullText?findType=L&amp;pubNum=1000546&amp;cite=26USCAS301&amp;originatingDoc=I773d8dd0ce4811e88037ff68a1223ab1&amp;refType=RB&amp;originationContext=document&amp;transitionType=DocumentItem&amp;contextData=(sc.UserEnteredCitation)" TargetMode="External"/><Relationship Id="rId51" Type="http://schemas.openxmlformats.org/officeDocument/2006/relationships/hyperlink" Target="https://www.law.cornell.edu/uscode/text/26/662" TargetMode="External"/><Relationship Id="rId93" Type="http://schemas.openxmlformats.org/officeDocument/2006/relationships/hyperlink" Target="https://1.next.westlaw.com/Link/Document/FullText?findType=L&amp;pubNum=1012823&amp;cite=26USCAS6724&amp;originatingDoc=I86BA96C0E1DF11E5BAAD9792D8D66846&amp;refType=RB&amp;originationContext=document&amp;transitionType=DocumentItem&amp;contextData=(sc.Search)" TargetMode="External"/><Relationship Id="rId189" Type="http://schemas.openxmlformats.org/officeDocument/2006/relationships/hyperlink" Target="https://www.law.cornell.edu/definitions/index.php?width=840&amp;height=800&amp;iframe=true&amp;def_id=e805341e826e50dbe8e45d3226829f67&amp;term_occur=1&amp;term_src=Title:26:Chapter:I:Subchapter:A:Part:1:Subjgrp:10:1.671-3" TargetMode="External"/><Relationship Id="rId396" Type="http://schemas.openxmlformats.org/officeDocument/2006/relationships/hyperlink" Target="https://1.next.westlaw.com/Link/Document/FullText?findType=Y&amp;serNum=2004271675&amp;pubNum=0007047&amp;originatingDoc=I48ab272098f011e9b508f0c9c0d45880&amp;refType=RP&amp;originationContext=document&amp;transitionType=DocumentItem&amp;contextData=(sc.UserEnteredCitation)" TargetMode="External"/><Relationship Id="rId3" Type="http://schemas.openxmlformats.org/officeDocument/2006/relationships/numbering" Target="numbering.xml"/><Relationship Id="rId214" Type="http://schemas.openxmlformats.org/officeDocument/2006/relationships/hyperlink" Target="https://www.law.cornell.edu/definitions/index.php?width=840&amp;height=800&amp;iframe=true&amp;def_id=ae27f114d4ac9f51e367eab1be1b4c32&amp;term_occur=2&amp;term_src=Title:26:Chapter:I:Subchapter:A:Part:1:Subjgrp:10:1.671-3" TargetMode="External"/><Relationship Id="rId235" Type="http://schemas.openxmlformats.org/officeDocument/2006/relationships/hyperlink" Target="https://www.law.cornell.edu/definitions/index.php?width=840&amp;height=800&amp;iframe=true&amp;def_id=1c07283120860b02c14e93d17bce07df&amp;term_occur=17&amp;term_src=Title:26:Chapter:I:Subchapter:A:Part:1:Subjgrp:10:1.671-3" TargetMode="External"/><Relationship Id="rId256" Type="http://schemas.openxmlformats.org/officeDocument/2006/relationships/hyperlink" Target="https://www.law.cornell.edu/definitions/index.php?width=840&amp;height=800&amp;iframe=true&amp;def_id=1c07283120860b02c14e93d17bce07df&amp;term_occur=26&amp;term_src=Title:26:Chapter:I:Subchapter:A:Part:1:Subjgrp:10:1.671-3" TargetMode="External"/><Relationship Id="rId277" Type="http://schemas.openxmlformats.org/officeDocument/2006/relationships/hyperlink" Target="https://www.law.cornell.edu/definitions/index.php?width=840&amp;height=800&amp;iframe=true&amp;def_id=a1090209155963fa1ccc27347b494f36&amp;term_occur=5&amp;term_src=Title:26:Chapter:I:Subchapter:A:Part:1:Subjgrp:10:1.671-3" TargetMode="External"/><Relationship Id="rId298" Type="http://schemas.openxmlformats.org/officeDocument/2006/relationships/hyperlink" Target="https://www.law.cornell.edu/definitions/index.php?width=840&amp;height=800&amp;iframe=true&amp;def_id=753ecf1b19d24b3ea05bc76f6f9171b1&amp;term_occur=3&amp;term_src=Title:26:Chapter:I:Subchapter:A:Part:1:Subjgrp:10:1.671-3" TargetMode="External"/><Relationship Id="rId400" Type="http://schemas.openxmlformats.org/officeDocument/2006/relationships/hyperlink" Target="https://1.next.westlaw.com/Link/Document/FullText?findType=Y&amp;serNum=2004271675&amp;pubNum=0007047&amp;originatingDoc=I48ab272098f011e9b508f0c9c0d45880&amp;refType=RP&amp;fi=co_pp_sp_7047_495&amp;originationContext=document&amp;transitionType=DocumentItem&amp;contextData=(sc.UserEnteredCitation)" TargetMode="External"/><Relationship Id="rId421" Type="http://schemas.openxmlformats.org/officeDocument/2006/relationships/hyperlink" Target="https://1.next.westlaw.com/Document/I8c430330649811eab47fc33bf795b230/View/FullText.html?transitionType=UniqueDocItem&amp;contextData=(sc.UserEnteredCitation)&amp;userEnteredCitation=838+S.E.2d+721" TargetMode="External"/><Relationship Id="rId442" Type="http://schemas.openxmlformats.org/officeDocument/2006/relationships/hyperlink" Target="https://1.next.westlaw.com/Document/I644843b0a48311ea8406df7959f232f7/View/FullText.html?transitionType=UniqueDocItem&amp;contextData=(sc.Default)&amp;userEnteredCitation=2020+wl+2832986" TargetMode="External"/><Relationship Id="rId463" Type="http://schemas.openxmlformats.org/officeDocument/2006/relationships/hyperlink" Target="https://1.next.westlaw.com/Link/Document/FullText?findType=Y&amp;serNum=1990048221&amp;pubNum=0000521&amp;originatingDoc=Ie2cb7a40923511ebb814920ee3be9aa4&amp;refType=RP&amp;originationContext=document&amp;transitionType=DocumentItem&amp;contextData=(sc.UserEnteredCitation)" TargetMode="External"/><Relationship Id="rId116" Type="http://schemas.openxmlformats.org/officeDocument/2006/relationships/hyperlink" Target="javascript:top.docjs.prev_hit(8)" TargetMode="External"/><Relationship Id="rId137" Type="http://schemas.openxmlformats.org/officeDocument/2006/relationships/hyperlink" Target="https://1.next.westlaw.com/Link/Document/FullText?findType=L&amp;pubNum=1012823&amp;cite=26USCAS170&amp;originatingDoc=I2c4777600b6e11e9a1b0e6625e646f8f&amp;refType=RB&amp;originationContext=document&amp;transitionType=DocumentItem&amp;contextData=(sc.DocLink)" TargetMode="External"/><Relationship Id="rId158" Type="http://schemas.openxmlformats.org/officeDocument/2006/relationships/hyperlink" Target="https://1.next.westlaw.com/Document/I3b2045c07cf311eba660be4ce62361b9/View/FullText.html?originationContext=typeAhead&amp;transitionType=Default&amp;contextData=(sc.Default)" TargetMode="External"/><Relationship Id="rId302" Type="http://schemas.openxmlformats.org/officeDocument/2006/relationships/hyperlink" Target="https://www.law.cornell.edu/definitions/index.php?width=840&amp;height=800&amp;iframe=true&amp;def_id=e805341e826e50dbe8e45d3226829f67&amp;term_occur=4&amp;term_src=Title:26:Chapter:I:Subchapter:A:Part:1:Subjgrp:10:1.671-3" TargetMode="External"/><Relationship Id="rId323" Type="http://schemas.openxmlformats.org/officeDocument/2006/relationships/hyperlink" Target="https://1.next.westlaw.com/Link/Document/FullText?findType=L&amp;pubNum=1000547&amp;cite=26CFRS25.2511-2&amp;originatingDoc=Icd97d8329ef011e89a6efc60af1b5d9c&amp;refType=RB&amp;originationContext=document&amp;transitionType=DocumentItem&amp;contextData=(sc.Search)" TargetMode="External"/><Relationship Id="rId344" Type="http://schemas.openxmlformats.org/officeDocument/2006/relationships/hyperlink" Target="https://1.next.westlaw.com/Link/Document/FullText?findType=L&amp;pubNum=1000546&amp;cite=26USCAS2703&amp;originatingDoc=Ia948898074eb11e881e3e57c1f40e5c7&amp;refType=LQ&amp;originationContext=document&amp;transitionType=DocumentItem&amp;contextData=(sc.UserEnteredCitation)" TargetMode="External"/><Relationship Id="rId20" Type="http://schemas.openxmlformats.org/officeDocument/2006/relationships/hyperlink" Target="https://www.taxnotes.com/lr/resolve/cp6d" TargetMode="External"/><Relationship Id="rId41" Type="http://schemas.openxmlformats.org/officeDocument/2006/relationships/hyperlink" Target="https://1.next.westlaw.com/Link/Document/FullText?findType=L&amp;pubNum=1000546&amp;cite=26USCAS62&amp;originatingDoc=I0279E35011D911EB9491EAE54701ADC6&amp;refType=RB&amp;originationContext=document&amp;transitionType=DocumentItem&amp;contextData=(sc.UserEnteredCitation)" TargetMode="External"/><Relationship Id="rId62" Type="http://schemas.openxmlformats.org/officeDocument/2006/relationships/hyperlink" Target="http://www.leagle.com/cite/383%20U.S.%20627" TargetMode="External"/><Relationship Id="rId83" Type="http://schemas.openxmlformats.org/officeDocument/2006/relationships/hyperlink" Target="https://1.next.westlaw.com/Link/Document/FullText?findType=L&amp;pubNum=1012823&amp;cite=26USCAS6662&amp;originatingDoc=I86BA96C0E1DF11E5BAAD9792D8D66846&amp;refType=RB&amp;originationContext=document&amp;transitionType=DocumentItem&amp;contextData=(sc.Search)" TargetMode="External"/><Relationship Id="rId179" Type="http://schemas.openxmlformats.org/officeDocument/2006/relationships/hyperlink" Target="https://www.law.cornell.edu/definitions/index.php?width=840&amp;height=800&amp;iframe=true&amp;def_id=bba09cadb5ff01866e924e352f3370d2&amp;term_occur=3&amp;term_src=Title:26:Chapter:I:Subchapter:A:Part:1:Subjgrp:10:1.671-3" TargetMode="External"/><Relationship Id="rId365" Type="http://schemas.openxmlformats.org/officeDocument/2006/relationships/hyperlink" Target="https://1.next.westlaw.com/Link/Document/FullText?findType=L&amp;pubNum=1000547&amp;cite=26CFRS1.301-1&amp;originatingDoc=I773d8dd0ce4811e88037ff68a1223ab1&amp;refType=RB&amp;originationContext=document&amp;transitionType=DocumentItem&amp;contextData=(sc.UserEnteredCitation)" TargetMode="External"/><Relationship Id="rId386" Type="http://schemas.openxmlformats.org/officeDocument/2006/relationships/hyperlink" Target="https://1.next.westlaw.com/Link/Document/FullText?findType=Y&amp;serNum=1998030801&amp;pubNum=0000708&amp;originatingDoc=I48ab272098f011e9b508f0c9c0d45880&amp;refType=RP&amp;fi=co_pp_sp_708_665&amp;originationContext=document&amp;transitionType=DocumentItem&amp;contextData=(sc.UserEnteredCitation)" TargetMode="External"/><Relationship Id="rId190" Type="http://schemas.openxmlformats.org/officeDocument/2006/relationships/hyperlink" Target="https://www.law.cornell.edu/definitions/index.php?width=840&amp;height=800&amp;iframe=true&amp;def_id=1c07283120860b02c14e93d17bce07df&amp;term_occur=6&amp;term_src=Title:26:Chapter:I:Subchapter:A:Part:1:Subjgrp:10:1.671-3" TargetMode="External"/><Relationship Id="rId204" Type="http://schemas.openxmlformats.org/officeDocument/2006/relationships/hyperlink" Target="https://www.law.cornell.edu/definitions/index.php?width=840&amp;height=800&amp;iframe=true&amp;def_id=54ba1aba0c8d0e3ab0b5352283ef7f78&amp;term_occur=7&amp;term_src=Title:26:Chapter:I:Subchapter:A:Part:1:Subjgrp:10:1.671-3" TargetMode="External"/><Relationship Id="rId225" Type="http://schemas.openxmlformats.org/officeDocument/2006/relationships/hyperlink" Target="https://www.law.cornell.edu/definitions/index.php?width=840&amp;height=800&amp;iframe=true&amp;def_id=f917901de6379998342cf498d0de4ad0&amp;term_occur=2&amp;term_src=Title:26:Chapter:I:Subchapter:A:Part:1:Subjgrp:10:1.671-3" TargetMode="External"/><Relationship Id="rId246" Type="http://schemas.openxmlformats.org/officeDocument/2006/relationships/hyperlink" Target="https://www.law.cornell.edu/definitions/index.php?width=840&amp;height=800&amp;iframe=true&amp;def_id=e1dddec1bf76d3c791454723bed8673c&amp;term_occur=1&amp;term_src=Title:26:Chapter:I:Subchapter:A:Part:1:Subjgrp:10:1.671-3" TargetMode="External"/><Relationship Id="rId267" Type="http://schemas.openxmlformats.org/officeDocument/2006/relationships/hyperlink" Target="https://www.law.cornell.edu/definitions/index.php?width=840&amp;height=800&amp;iframe=true&amp;def_id=1c07283120860b02c14e93d17bce07df&amp;term_occur=28&amp;term_src=Title:26:Chapter:I:Subchapter:A:Part:1:Subjgrp:10:1.671-3" TargetMode="External"/><Relationship Id="rId288" Type="http://schemas.openxmlformats.org/officeDocument/2006/relationships/hyperlink" Target="https://www.law.cornell.edu/definitions/index.php?width=840&amp;height=800&amp;iframe=true&amp;def_id=bb14908bddb930afb0bea7fe0606316b&amp;term_occur=1&amp;term_src=Title:26:Chapter:I:Subchapter:A:Part:1:Subjgrp:10:1.671-3" TargetMode="External"/><Relationship Id="rId411" Type="http://schemas.openxmlformats.org/officeDocument/2006/relationships/hyperlink" Target="https://1.next.westlaw.com/Link/Document/FullText?findType=Y&amp;serNum=1886008822&amp;pubNum=0000577&amp;originatingDoc=Iba1b330017bb11eb8cddf39cfa051b39&amp;refType=RP&amp;fi=co_pp_sp_577_583&amp;originationContext=document&amp;transitionType=DocumentItem&amp;contextData=(sc.UserEnteredCitation)" TargetMode="External"/><Relationship Id="rId432" Type="http://schemas.openxmlformats.org/officeDocument/2006/relationships/hyperlink" Target="https://1.next.westlaw.com/Link/Document/FullText?findType=Y&amp;serNum=1998143075&amp;pubNum=0000578&amp;originatingDoc=If1047d306e2511eaafc9a4147037e074&amp;refType=RP&amp;originationContext=document&amp;transitionType=DocumentItem&amp;contextData=(sc.UserEnteredCitation)" TargetMode="External"/><Relationship Id="rId453" Type="http://schemas.openxmlformats.org/officeDocument/2006/relationships/hyperlink" Target="https://1.next.westlaw.com/Link/Document/FullText?findType=Y&amp;serNum=1887166440&amp;pubNum=0000577&amp;originatingDoc=I545c1ce079f611ea9e3ceb5de751016b&amp;refType=RP&amp;fi=co_pp_sp_577_922&amp;originationContext=document&amp;transitionType=DocumentItem&amp;contextData=(sc.UserEnteredCitation)" TargetMode="External"/><Relationship Id="rId474" Type="http://schemas.openxmlformats.org/officeDocument/2006/relationships/hyperlink" Target="https://1.next.westlaw.com/Document/I6bac3c90a7ae11ebbbbbabec583fa227/View/FullText.html?transitionType=UniqueDocItem&amp;contextData=(sc.Default)&amp;userEnteredCitation=2021+WL+1624641" TargetMode="External"/><Relationship Id="rId106" Type="http://schemas.openxmlformats.org/officeDocument/2006/relationships/hyperlink" Target="https://1.next.westlaw.com/Link/Document/FullText?findType=Y&amp;serNum=1941120893&amp;pubNum=0000780&amp;originatingDoc=I8c98882fbac911e9a76eb9e71287f4ea&amp;refType=RP&amp;fi=co_pp_sp_780_15&amp;originationContext=document&amp;transitionType=DocumentItem&amp;contextData=(sc.UserEnteredCitation)" TargetMode="External"/><Relationship Id="rId127" Type="http://schemas.openxmlformats.org/officeDocument/2006/relationships/hyperlink" Target="javascript:top.docjs.next_hit(15)" TargetMode="External"/><Relationship Id="rId313" Type="http://schemas.openxmlformats.org/officeDocument/2006/relationships/hyperlink" Target="https://www.law.cornell.edu/definitions/index.php?width=840&amp;height=800&amp;iframe=true&amp;def_id=51508d26cc4b7c4c977788a33dd0fdcc&amp;term_occur=14&amp;term_src=Title:26:Chapter:I:Subchapter:A:Part:1:Subjgrp:10:1.671-3" TargetMode="External"/><Relationship Id="rId10" Type="http://schemas.openxmlformats.org/officeDocument/2006/relationships/header" Target="header1.xml"/><Relationship Id="rId31" Type="http://schemas.openxmlformats.org/officeDocument/2006/relationships/hyperlink" Target="https://1.next.westlaw.com/Link/Document/FullText?findType=L&amp;pubNum=1000546&amp;cite=26USCAS67&amp;originatingDoc=I0279E35011D911EB9491EAE54701ADC6&amp;refType=RB&amp;originationContext=document&amp;transitionType=DocumentItem&amp;contextData=(sc.UserEnteredCitation)" TargetMode="External"/><Relationship Id="rId52" Type="http://schemas.openxmlformats.org/officeDocument/2006/relationships/hyperlink" Target="https://www.law.cornell.edu/definitions/uscode.php?width=840&amp;height=800&amp;iframe=true&amp;def_id=26-USC-565102875-1195617238&amp;term_occur=999&amp;term_src=title:26:subtitle:A:chapter:1:subchapter:J:part:I:subpart:A:section:643" TargetMode="External"/><Relationship Id="rId73" Type="http://schemas.openxmlformats.org/officeDocument/2006/relationships/hyperlink" Target="https://1.next.westlaw.com/Link/Document/FullText?findType=L&amp;pubNum=1012823&amp;cite=26USCAS1014&amp;originatingDoc=I86BA96C0E1DF11E5BAAD9792D8D66846&amp;refType=RB&amp;originationContext=document&amp;transitionType=DocumentItem&amp;contextData=(sc.Search)" TargetMode="External"/><Relationship Id="rId94" Type="http://schemas.openxmlformats.org/officeDocument/2006/relationships/hyperlink" Target="https://1.next.westlaw.com/Link/Document/FullText?findType=Y&amp;serNum=1972019755&amp;pubNum=0001048&amp;originatingDoc=I8c98882fbac911e9a76eb9e71287f4ea&amp;refType=CA&amp;originationContext=document&amp;transitionType=DocumentItem&amp;contextData=(sc.UserEnteredCitation)" TargetMode="External"/><Relationship Id="rId148" Type="http://schemas.openxmlformats.org/officeDocument/2006/relationships/hyperlink" Target="https://www.taxnotes.com/tax-notes-today-federal/charitable-giving/tax-court-cant-see-proper-substantiation-eye-wear-donation/2020/04/08/2cd3m?highlight=2020-13415" TargetMode="External"/><Relationship Id="rId169" Type="http://schemas.openxmlformats.org/officeDocument/2006/relationships/hyperlink" Target="https://www.law.cornell.edu/definitions/index.php?width=840&amp;height=800&amp;iframe=true&amp;def_id=f7fdf9f43371a6f4fa9a885b4b1cb9af&amp;term_occur=2&amp;term_src=Title:26:Chapter:I:Subchapter:A:Part:1:Subjgrp:10:1.671-3" TargetMode="External"/><Relationship Id="rId334" Type="http://schemas.openxmlformats.org/officeDocument/2006/relationships/hyperlink" Target="https://1.next.westlaw.com/Link/Document/FullText?findType=L&amp;pubNum=1000546&amp;cite=26USCAS2703&amp;originatingDoc=Ia948898074eb11e881e3e57c1f40e5c7&amp;refType=LQ&amp;originationContext=document&amp;transitionType=DocumentItem&amp;contextData=(sc.UserEnteredCitation)" TargetMode="External"/><Relationship Id="rId355" Type="http://schemas.openxmlformats.org/officeDocument/2006/relationships/hyperlink" Target="https://1.next.westlaw.com/Link/Document/FullText?findType=L&amp;pubNum=1000547&amp;cite=26CFRS1.301-1&amp;originatingDoc=I773d8dd0ce4811e88037ff68a1223ab1&amp;refType=RB&amp;originationContext=document&amp;transitionType=DocumentItem&amp;contextData=(sc.UserEnteredCitation)" TargetMode="External"/><Relationship Id="rId376" Type="http://schemas.openxmlformats.org/officeDocument/2006/relationships/hyperlink" Target="https://www.cbo.gov/publication/57272" TargetMode="External"/><Relationship Id="rId397" Type="http://schemas.openxmlformats.org/officeDocument/2006/relationships/hyperlink" Target="https://1.next.westlaw.com/Link/Document/FullText?findType=L&amp;pubNum=1000218&amp;cite=CAPRS15305&amp;originatingDoc=I48ab272098f011e9b508f0c9c0d45880&amp;refType=LQ&amp;originationContext=document&amp;transitionType=DocumentItem&amp;contextData=(sc.UserEnteredCitation)" TargetMode="External"/><Relationship Id="rId4" Type="http://schemas.openxmlformats.org/officeDocument/2006/relationships/styles" Target="styles.xml"/><Relationship Id="rId180" Type="http://schemas.openxmlformats.org/officeDocument/2006/relationships/hyperlink" Target="https://www.law.cornell.edu/definitions/index.php?width=840&amp;height=800&amp;iframe=true&amp;def_id=54ba1aba0c8d0e3ab0b5352283ef7f78&amp;term_occur=3&amp;term_src=Title:26:Chapter:I:Subchapter:A:Part:1:Subjgrp:10:1.671-3" TargetMode="External"/><Relationship Id="rId215" Type="http://schemas.openxmlformats.org/officeDocument/2006/relationships/hyperlink" Target="https://www.law.cornell.edu/definitions/index.php?width=840&amp;height=800&amp;iframe=true&amp;def_id=8e83046407fe273f9396d8e57f9d27a9&amp;term_occur=7&amp;term_src=Title:26:Chapter:I:Subchapter:A:Part:1:Subjgrp:10:1.671-3" TargetMode="External"/><Relationship Id="rId236" Type="http://schemas.openxmlformats.org/officeDocument/2006/relationships/hyperlink" Target="https://www.law.cornell.edu/definitions/index.php?width=840&amp;height=800&amp;iframe=true&amp;def_id=1c07283120860b02c14e93d17bce07df&amp;term_occur=18&amp;term_src=Title:26:Chapter:I:Subchapter:A:Part:1:Subjgrp:10:1.671-3" TargetMode="External"/><Relationship Id="rId257" Type="http://schemas.openxmlformats.org/officeDocument/2006/relationships/hyperlink" Target="https://www.law.cornell.edu/definitions/index.php?width=840&amp;height=800&amp;iframe=true&amp;def_id=a1090209155963fa1ccc27347b494f36&amp;term_occur=2&amp;term_src=Title:26:Chapter:I:Subchapter:A:Part:1:Subjgrp:10:1.671-3" TargetMode="External"/><Relationship Id="rId278" Type="http://schemas.openxmlformats.org/officeDocument/2006/relationships/hyperlink" Target="https://www.law.cornell.edu/definitions/index.php?width=840&amp;height=800&amp;iframe=true&amp;def_id=85307a11a6f904ecc097fcc4cd8a417f&amp;term_occur=14&amp;term_src=Title:26:Chapter:I:Subchapter:A:Part:1:Subjgrp:10:1.671-3" TargetMode="External"/><Relationship Id="rId401" Type="http://schemas.openxmlformats.org/officeDocument/2006/relationships/hyperlink" Target="https://1.next.westlaw.com/Link/Document/FullText?findType=L&amp;pubNum=1000218&amp;cite=CAPRS15305&amp;originatingDoc=I48ab272098f011e9b508f0c9c0d45880&amp;refType=LQ&amp;originationContext=document&amp;transitionType=DocumentItem&amp;contextData=(sc.UserEnteredCitation)" TargetMode="External"/><Relationship Id="rId422" Type="http://schemas.openxmlformats.org/officeDocument/2006/relationships/hyperlink" Target="https://1.next.westlaw.com/Document/I8c430330649811eab47fc33bf795b230/View/FullText.html?transitionType=UniqueDocItem&amp;contextData=(sc.UserEnteredCitation)&amp;userEnteredCitation=838+S.E.2d+721" TargetMode="External"/><Relationship Id="rId443" Type="http://schemas.openxmlformats.org/officeDocument/2006/relationships/hyperlink" Target="https://1.next.westlaw.com/Link/Document/FullText?findType=Y&amp;serNum=1931107520&amp;pubNum=0000542&amp;originatingDoc=I644843b0a48311ea8406df7959f232f7&amp;refType=RP&amp;originationContext=document&amp;transitionType=DocumentItem&amp;contextData=(sc.UserEnteredCitation)" TargetMode="External"/><Relationship Id="rId464" Type="http://schemas.openxmlformats.org/officeDocument/2006/relationships/hyperlink" Target="https://1.next.westlaw.com/Document/I0ad21810d60a11eb9f77ad1f6b0f4bfb/View/FullText.html?originationContext=docHeader&amp;contextData=(sc.UserEnteredCitation)&amp;transitionType=Document&amp;needToInjectTerms=False&amp;userEnteredCitation=2021+WL+2620585&amp;docSource=36e3e7e976394bd3bd5f4978f0925718" TargetMode="External"/><Relationship Id="rId303" Type="http://schemas.openxmlformats.org/officeDocument/2006/relationships/hyperlink" Target="https://www.law.cornell.edu/definitions/index.php?width=840&amp;height=800&amp;iframe=true&amp;def_id=1c07283120860b02c14e93d17bce07df&amp;term_occur=40&amp;term_src=Title:26:Chapter:I:Subchapter:A:Part:1:Subjgrp:10:1.671-3" TargetMode="External"/><Relationship Id="rId42" Type="http://schemas.openxmlformats.org/officeDocument/2006/relationships/hyperlink" Target="https://1.next.westlaw.com/Link/Document/FullText?findType=L&amp;pubNum=1000546&amp;cite=26USCAS212&amp;originatingDoc=I0279E35011D911EB9491EAE54701ADC6&amp;refType=RB&amp;originationContext=document&amp;transitionType=DocumentItem&amp;contextData=(sc.UserEnteredCitation)" TargetMode="External"/><Relationship Id="rId84" Type="http://schemas.openxmlformats.org/officeDocument/2006/relationships/hyperlink" Target="https://1.next.westlaw.com/Link/Document/FullText?findType=L&amp;pubNum=1012823&amp;cite=26USCAS6662&amp;originatingDoc=I86BA96C0E1DF11E5BAAD9792D8D66846&amp;refType=RB&amp;originationContext=document&amp;transitionType=DocumentItem&amp;contextData=(sc.Search)" TargetMode="External"/><Relationship Id="rId138" Type="http://schemas.openxmlformats.org/officeDocument/2006/relationships/hyperlink" Target="https://1.next.westlaw.com/Link/Document/FullText?findType=L&amp;pubNum=1012823&amp;cite=26USCAS170&amp;originatingDoc=I2c4777600b6e11e9a1b0e6625e646f8f&amp;refType=RB&amp;originationContext=document&amp;transitionType=DocumentItem&amp;contextData=(sc.DocLink)" TargetMode="External"/><Relationship Id="rId345" Type="http://schemas.openxmlformats.org/officeDocument/2006/relationships/hyperlink" Target="https://1.next.westlaw.com/Link/Document/FullText?findType=L&amp;pubNum=1000546&amp;cite=26USCAS2703&amp;originatingDoc=Ia948898074eb11e881e3e57c1f40e5c7&amp;refType=LQ&amp;originationContext=document&amp;transitionType=DocumentItem&amp;contextData=(sc.UserEnteredCitation)" TargetMode="External"/><Relationship Id="rId387" Type="http://schemas.openxmlformats.org/officeDocument/2006/relationships/hyperlink" Target="https://1.next.westlaw.com/Link/Document/FullText?findType=Y&amp;serNum=0289353496&amp;pubNum=0101576&amp;originatingDoc=I48ab272098f011e9b508f0c9c0d45880&amp;refType=TS&amp;originationContext=document&amp;transitionType=DocumentItem&amp;contextData=(sc.UserEnteredCitation)" TargetMode="External"/><Relationship Id="rId191" Type="http://schemas.openxmlformats.org/officeDocument/2006/relationships/hyperlink" Target="https://www.law.cornell.edu/definitions/index.php?width=840&amp;height=800&amp;iframe=true&amp;def_id=8e83046407fe273f9396d8e57f9d27a9&amp;term_occur=3&amp;term_src=Title:26:Chapter:I:Subchapter:A:Part:1:Subjgrp:10:1.671-3" TargetMode="External"/><Relationship Id="rId205" Type="http://schemas.openxmlformats.org/officeDocument/2006/relationships/hyperlink" Target="https://www.law.cornell.edu/definitions/index.php?width=840&amp;height=800&amp;iframe=true&amp;def_id=85307a11a6f904ecc097fcc4cd8a417f&amp;term_occur=4&amp;term_src=Title:26:Chapter:I:Subchapter:A:Part:1:Subjgrp:10:1.671-3" TargetMode="External"/><Relationship Id="rId247" Type="http://schemas.openxmlformats.org/officeDocument/2006/relationships/hyperlink" Target="https://www.law.cornell.edu/definitions/index.php?width=840&amp;height=800&amp;iframe=true&amp;def_id=1c07283120860b02c14e93d17bce07df&amp;term_occur=22&amp;term_src=Title:26:Chapter:I:Subchapter:A:Part:1:Subjgrp:10:1.671-3" TargetMode="External"/><Relationship Id="rId412" Type="http://schemas.openxmlformats.org/officeDocument/2006/relationships/hyperlink" Target="https://1.next.westlaw.com/Link/Document/FullText?findType=Y&amp;serNum=1884017692&amp;pubNum=0000440&amp;originatingDoc=Iba1b330017bb11eb8cddf39cfa051b39&amp;refType=RP&amp;originationContext=document&amp;transitionType=DocumentItem&amp;contextData=(sc.UserEnteredCitation)" TargetMode="External"/><Relationship Id="rId107" Type="http://schemas.openxmlformats.org/officeDocument/2006/relationships/hyperlink" Target="https://1.next.westlaw.com/Link/Document/FullText?findType=L&amp;pubNum=1000546&amp;cite=26USCAS1222&amp;originatingDoc=I8c98882fbac911e9a76eb9e71287f4ea&amp;refType=RB&amp;originationContext=document&amp;transitionType=DocumentItem&amp;contextData=(sc.UserEnteredCitation)" TargetMode="External"/><Relationship Id="rId289" Type="http://schemas.openxmlformats.org/officeDocument/2006/relationships/hyperlink" Target="https://www.law.cornell.edu/definitions/index.php?width=840&amp;height=800&amp;iframe=true&amp;def_id=54ba1aba0c8d0e3ab0b5352283ef7f78&amp;term_occur=10&amp;term_src=Title:26:Chapter:I:Subchapter:A:Part:1:Subjgrp:10:1.671-3" TargetMode="External"/><Relationship Id="rId454" Type="http://schemas.openxmlformats.org/officeDocument/2006/relationships/hyperlink" Target="https://1.next.westlaw.com/Link/Document/FullText?findType=L&amp;pubNum=1000009&amp;cite=INS31-19-15-1&amp;originatingDoc=I545c1ce079f611ea9e3ceb5de751016b&amp;refType=LQ&amp;originationContext=document&amp;transitionType=DocumentItem&amp;contextData=(sc.UserEnteredCitation)" TargetMode="External"/><Relationship Id="rId11" Type="http://schemas.openxmlformats.org/officeDocument/2006/relationships/header" Target="header2.xml"/><Relationship Id="rId53" Type="http://schemas.openxmlformats.org/officeDocument/2006/relationships/hyperlink" Target="https://www.law.cornell.edu/definitions/uscode.php?width=840&amp;height=800&amp;iframe=true&amp;def_id=26-USC-3046195-2063077224&amp;term_occur=999&amp;term_src=title:26:subtitle:A:chapter:1:subchapter:J:part:I:subpart:A:section:643" TargetMode="External"/><Relationship Id="rId149" Type="http://schemas.openxmlformats.org/officeDocument/2006/relationships/hyperlink" Target="https://1.next.westlaw.com/Link/Document/FullText?findType=Y&amp;serNum=1973112800&amp;pubNum=0000350&amp;originatingDoc=Ief904350ee4311eaac1bf54738486b58&amp;refType=RP&amp;fi=co_pp_sp_350_242&amp;originationContext=document&amp;transitionType=DocumentItem&amp;contextData=(sc.UserEnteredCitation)" TargetMode="External"/><Relationship Id="rId314" Type="http://schemas.openxmlformats.org/officeDocument/2006/relationships/hyperlink" Target="https://www.law.cornell.edu/definitions/index.php?width=840&amp;height=800&amp;iframe=true&amp;def_id=d5a9c3642e246b82f79873865d396275&amp;term_occur=1&amp;term_src=Title:26:Chapter:I:Subchapter:A:Part:1:Subjgrp:10:1.671-3" TargetMode="External"/><Relationship Id="rId356" Type="http://schemas.openxmlformats.org/officeDocument/2006/relationships/hyperlink" Target="https://1.next.westlaw.com/Link/Document/FullText?findType=L&amp;pubNum=1000547&amp;cite=26CFRS1.301-1&amp;originatingDoc=I773d8dd0ce4811e88037ff68a1223ab1&amp;refType=RB&amp;originationContext=document&amp;transitionType=DocumentItem&amp;contextData=(sc.UserEnteredCitation)" TargetMode="External"/><Relationship Id="rId398" Type="http://schemas.openxmlformats.org/officeDocument/2006/relationships/hyperlink" Target="https://1.next.westlaw.com/Link/Document/FullText?findType=Y&amp;serNum=2004271675&amp;pubNum=0007047&amp;originatingDoc=I48ab272098f011e9b508f0c9c0d45880&amp;refType=RP&amp;originationContext=document&amp;transitionType=DocumentItem&amp;contextData=(sc.UserEnteredCitation)" TargetMode="External"/><Relationship Id="rId95" Type="http://schemas.openxmlformats.org/officeDocument/2006/relationships/hyperlink" Target="https://1.next.westlaw.com/Link/Document/FullText?findType=L&amp;pubNum=1000546&amp;cite=26USCAS1222&amp;originatingDoc=I8c98882fbac911e9a76eb9e71287f4ea&amp;refType=LQ&amp;originationContext=document&amp;transitionType=DocumentItem&amp;contextData=(sc.UserEnteredCitation)" TargetMode="External"/><Relationship Id="rId160" Type="http://schemas.openxmlformats.org/officeDocument/2006/relationships/hyperlink" Target="https://www.law.cornell.edu/definitions/index.php?width=840&amp;height=800&amp;iframe=true&amp;def_id=85307a11a6f904ecc097fcc4cd8a417f&amp;term_occur=1&amp;term_src=Title:26:Chapter:I:Subchapter:A:Part:1:Subjgrp:10:1.671-3" TargetMode="External"/><Relationship Id="rId216" Type="http://schemas.openxmlformats.org/officeDocument/2006/relationships/hyperlink" Target="https://www.law.cornell.edu/definitions/index.php?width=840&amp;height=800&amp;iframe=true&amp;def_id=1c07283120860b02c14e93d17bce07df&amp;term_occur=11&amp;term_src=Title:26:Chapter:I:Subchapter:A:Part:1:Subjgrp:10:1.671-3" TargetMode="External"/><Relationship Id="rId423" Type="http://schemas.openxmlformats.org/officeDocument/2006/relationships/hyperlink" Target="https://1.next.westlaw.com/Link/Document/FullText?findType=Y&amp;serNum=1950118311&amp;pubNum=0000780&amp;originatingDoc=I3d8c9c30578a11ea851bfabee22f40c8&amp;refType=RP&amp;originationContext=document&amp;transitionType=DocumentItem&amp;contextData=(sc.UserEnteredCitation)" TargetMode="External"/><Relationship Id="rId258" Type="http://schemas.openxmlformats.org/officeDocument/2006/relationships/hyperlink" Target="https://www.law.cornell.edu/definitions/index.php?width=840&amp;height=800&amp;iframe=true&amp;def_id=ae27f114d4ac9f51e367eab1be1b4c32&amp;term_occur=5&amp;term_src=Title:26:Chapter:I:Subchapter:A:Part:1:Subjgrp:10:1.671-3" TargetMode="External"/><Relationship Id="rId465" Type="http://schemas.openxmlformats.org/officeDocument/2006/relationships/hyperlink" Target="https://1.next.westlaw.com/Document/I0ad21810d60a11eb9f77ad1f6b0f4bfb/View/FullText.html?originationContext=docHeader&amp;contextData=(sc.UserEnteredCitation)&amp;transitionType=Document&amp;needToInjectTerms=False&amp;userEnteredCitation=2021+WL+2620585&amp;docSource=36e3e7e976394bd3bd5f4978f0925718" TargetMode="External"/><Relationship Id="rId22" Type="http://schemas.openxmlformats.org/officeDocument/2006/relationships/hyperlink" Target="https://1.next.westlaw.com/Link/Document/FullText?findType=L&amp;pubNum=1000546&amp;cite=26USCAS67&amp;originatingDoc=I0279E35011D911EB9491EAE54701ADC6&amp;refType=RB&amp;originationContext=document&amp;transitionType=DocumentItem&amp;contextData=(sc.UserEnteredCitation)" TargetMode="External"/><Relationship Id="rId64" Type="http://schemas.openxmlformats.org/officeDocument/2006/relationships/hyperlink" Target="https://1.next.westlaw.com/Link/Document/FullText?findType=L&amp;pubNum=1012823&amp;cite=26USCAS1014&amp;originatingDoc=I86BA96C0E1DF11E5BAAD9792D8D66846&amp;refType=RB&amp;originationContext=document&amp;transitionType=DocumentItem&amp;contextData=(sc.Search)" TargetMode="External"/><Relationship Id="rId118" Type="http://schemas.openxmlformats.org/officeDocument/2006/relationships/hyperlink" Target="javascript:top.docjs.prev_hit(11)" TargetMode="External"/><Relationship Id="rId325" Type="http://schemas.openxmlformats.org/officeDocument/2006/relationships/hyperlink" Target="https://1.next.westlaw.com/Link/Document/FullText?findType=L&amp;pubNum=1000547&amp;cite=26CFRS25.2511-2&amp;originatingDoc=Icd97d8329ef011e89a6efc60af1b5d9c&amp;refType=RB&amp;originationContext=document&amp;transitionType=DocumentItem&amp;contextData=(sc.Search)" TargetMode="External"/><Relationship Id="rId367" Type="http://schemas.openxmlformats.org/officeDocument/2006/relationships/hyperlink" Target="https://1.next.westlaw.com/Link/Document/FullText?findType=L&amp;pubNum=1000546&amp;cite=26USCAS2041&amp;originatingDoc=I3ba2cb7f652911ea9eddce4ad7b4b097&amp;refType=RB&amp;originationContext=document&amp;transitionType=DocumentItem&amp;contextData=(sc.DocLink)" TargetMode="External"/><Relationship Id="rId171" Type="http://schemas.openxmlformats.org/officeDocument/2006/relationships/hyperlink" Target="https://www.law.cornell.edu/definitions/index.php?width=840&amp;height=800&amp;iframe=true&amp;def_id=aae472b567944759a246f16bc39664e7&amp;term_occur=1&amp;term_src=Title:26:Chapter:I:Subchapter:A:Part:1:Subjgrp:10:1.671-3" TargetMode="External"/><Relationship Id="rId227" Type="http://schemas.openxmlformats.org/officeDocument/2006/relationships/hyperlink" Target="https://www.law.cornell.edu/definitions/index.php?width=840&amp;height=800&amp;iframe=true&amp;def_id=1c07283120860b02c14e93d17bce07df&amp;term_occur=16&amp;term_src=Title:26:Chapter:I:Subchapter:A:Part:1:Subjgrp:10:1.671-3" TargetMode="External"/><Relationship Id="rId269" Type="http://schemas.openxmlformats.org/officeDocument/2006/relationships/hyperlink" Target="https://www.law.cornell.edu/definitions/index.php?width=840&amp;height=800&amp;iframe=true&amp;def_id=1c07283120860b02c14e93d17bce07df&amp;term_occur=29&amp;term_src=Title:26:Chapter:I:Subchapter:A:Part:1:Subjgrp:10:1.671-3" TargetMode="External"/><Relationship Id="rId434" Type="http://schemas.openxmlformats.org/officeDocument/2006/relationships/hyperlink" Target="https://1.next.westlaw.com/Link/Document/FullText?findType=Y&amp;serNum=2000063823&amp;pubNum=0000578&amp;originatingDoc=If1047d306e2511eaafc9a4147037e074&amp;refType=RP&amp;originationContext=document&amp;transitionType=DocumentItem&amp;contextData=(sc.UserEnteredCitation)" TargetMode="External"/><Relationship Id="rId476" Type="http://schemas.openxmlformats.org/officeDocument/2006/relationships/hyperlink" Target="https://1.next.westlaw.com/Document/Ie7efb7301f2511eba034d891cc25f3cc/View/FullText.html?transitionType=UniqueDocItem&amp;contextData=(sc.UserEnteredCitation)&amp;userEnteredCitation=955+N.W.2d+223" TargetMode="External"/><Relationship Id="rId33" Type="http://schemas.openxmlformats.org/officeDocument/2006/relationships/hyperlink" Target="https://1.next.westlaw.com/Link/Document/FullText?findType=L&amp;pubNum=1000546&amp;cite=26USCAS67&amp;originatingDoc=I0279E35011D911EB9491EAE54701ADC6&amp;refType=RB&amp;originationContext=document&amp;transitionType=DocumentItem&amp;contextData=(sc.UserEnteredCitation)" TargetMode="External"/><Relationship Id="rId129" Type="http://schemas.openxmlformats.org/officeDocument/2006/relationships/hyperlink" Target="javascript:top.docjs.next_hit(16)" TargetMode="External"/><Relationship Id="rId280" Type="http://schemas.openxmlformats.org/officeDocument/2006/relationships/hyperlink" Target="https://www.law.cornell.edu/definitions/index.php?width=840&amp;height=800&amp;iframe=true&amp;def_id=f7fdf9f43371a6f4fa9a885b4b1cb9af&amp;term_occur=4&amp;term_src=Title:26:Chapter:I:Subchapter:A:Part:1:Subjgrp:10:1.671-3" TargetMode="External"/><Relationship Id="rId336" Type="http://schemas.openxmlformats.org/officeDocument/2006/relationships/hyperlink" Target="https://1.next.westlaw.com/Link/Document/FullText?findType=L&amp;pubNum=1000546&amp;cite=26USCAS2038&amp;originatingDoc=Ia948898074eb11e881e3e57c1f40e5c7&amp;refType=LQ&amp;originationContext=document&amp;transitionType=DocumentItem&amp;contextData=(sc.UserEnteredCitation)" TargetMode="External"/><Relationship Id="rId75" Type="http://schemas.openxmlformats.org/officeDocument/2006/relationships/hyperlink" Target="https://1.next.westlaw.com/Link/Document/FullText?findType=L&amp;pubNum=1012823&amp;cite=26USCAS6035&amp;originatingDoc=I86BA96C0E1DF11E5BAAD9792D8D66846&amp;refType=LQ&amp;originationContext=document&amp;transitionType=DocumentItem&amp;contextData=(sc.Search)" TargetMode="External"/><Relationship Id="rId140" Type="http://schemas.openxmlformats.org/officeDocument/2006/relationships/hyperlink" Target="https://1.next.westlaw.com/Link/Document/FullText?findType=Y&amp;serNum=1984130736&amp;pubNum=0000780&amp;originatingDoc=Ic1eca89094e711ea8cb395d22c142a61&amp;refType=RP&amp;fi=co_pp_sp_780_844&amp;originationContext=document&amp;transitionType=DocumentItem&amp;contextData=(sc.UserEnteredCitation)" TargetMode="External"/><Relationship Id="rId182" Type="http://schemas.openxmlformats.org/officeDocument/2006/relationships/hyperlink" Target="https://www.law.cornell.edu/definitions/index.php?width=840&amp;height=800&amp;iframe=true&amp;def_id=6e02ab47b6e9584ede0a067339f05a6f&amp;term_occur=1&amp;term_src=Title:26:Chapter:I:Subchapter:A:Part:1:Subjgrp:10:1.671-3" TargetMode="External"/><Relationship Id="rId378" Type="http://schemas.openxmlformats.org/officeDocument/2006/relationships/hyperlink" Target="https://1.next.westlaw.com/Link/Document/FullText?findType=L&amp;pubNum=1000546&amp;cite=28USCAS1738&amp;originatingDoc=I48ab272098f011e9b508f0c9c0d45880&amp;refType=LQ&amp;originationContext=document&amp;transitionType=DocumentItem&amp;contextData=(sc.UserEnteredCitation)" TargetMode="External"/><Relationship Id="rId403" Type="http://schemas.openxmlformats.org/officeDocument/2006/relationships/hyperlink" Target="https://1.next.westlaw.com/Link/Document/FullText?findType=L&amp;pubNum=1000359&amp;cite=SDSTS55-1-35&amp;originatingDoc=I48ab272098f011e9b508f0c9c0d45880&amp;refType=LQ&amp;originationContext=document&amp;transitionType=DocumentItem&amp;contextData=(sc.UserEnteredCitation)" TargetMode="External"/><Relationship Id="rId6" Type="http://schemas.openxmlformats.org/officeDocument/2006/relationships/webSettings" Target="webSettings.xml"/><Relationship Id="rId238" Type="http://schemas.openxmlformats.org/officeDocument/2006/relationships/hyperlink" Target="https://www.law.cornell.edu/definitions/index.php?width=840&amp;height=800&amp;iframe=true&amp;def_id=8e83046407fe273f9396d8e57f9d27a9&amp;term_occur=11&amp;term_src=Title:26:Chapter:I:Subchapter:A:Part:1:Subjgrp:10:1.671-3" TargetMode="External"/><Relationship Id="rId445" Type="http://schemas.openxmlformats.org/officeDocument/2006/relationships/hyperlink" Target="https://1.next.westlaw.com/Link/Document/FullText?findType=Y&amp;serNum=1967121826&amp;pubNum=0000595&amp;originatingDoc=I644843b0a48311ea8406df7959f232f7&amp;refType=RP&amp;originationContext=document&amp;transitionType=DocumentItem&amp;contextData=(sc.UserEnteredCitation)" TargetMode="External"/><Relationship Id="rId291" Type="http://schemas.openxmlformats.org/officeDocument/2006/relationships/hyperlink" Target="https://www.law.cornell.edu/definitions/index.php?width=840&amp;height=800&amp;iframe=true&amp;def_id=8e83046407fe273f9396d8e57f9d27a9&amp;term_occur=17&amp;term_src=Title:26:Chapter:I:Subchapter:A:Part:1:Subjgrp:10:1.671-3" TargetMode="External"/><Relationship Id="rId305" Type="http://schemas.openxmlformats.org/officeDocument/2006/relationships/hyperlink" Target="https://www.law.cornell.edu/definitions/index.php?width=840&amp;height=800&amp;iframe=true&amp;def_id=1c07283120860b02c14e93d17bce07df&amp;term_occur=37&amp;term_src=Title:26:Chapter:I:Subchapter:A:Part:1:Subjgrp:10:1.671-3" TargetMode="External"/><Relationship Id="rId347" Type="http://schemas.openxmlformats.org/officeDocument/2006/relationships/hyperlink" Target="https://1.next.westlaw.com/Document/I773d8dd0ce4811e88037ff68a1223ab1/View/FullText.html?transitionType=UniqueDocItem&amp;contextData=(sc.DocLink)&amp;userEnteredCitation=906+F.3d+429" TargetMode="External"/><Relationship Id="rId44" Type="http://schemas.openxmlformats.org/officeDocument/2006/relationships/hyperlink" Target="https://1.next.westlaw.com/Link/Document/FullText?findType=L&amp;pubNum=1000547&amp;cite=26CFRS1.652(B)-3&amp;originatingDoc=I0279E35011D911EB9491EAE54701ADC6&amp;refType=RB&amp;originationContext=document&amp;transitionType=DocumentItem&amp;contextData=(sc.UserEnteredCitation)" TargetMode="External"/><Relationship Id="rId86" Type="http://schemas.openxmlformats.org/officeDocument/2006/relationships/hyperlink" Target="https://1.next.westlaw.com/Link/Document/FullText?findType=L&amp;pubNum=1012823&amp;cite=26USCAS6035&amp;originatingDoc=I86BA96C0E1DF11E5BAAD9792D8D66846&amp;refType=LQ&amp;originationContext=document&amp;transitionType=DocumentItem&amp;contextData=(sc.Search)" TargetMode="External"/><Relationship Id="rId151" Type="http://schemas.openxmlformats.org/officeDocument/2006/relationships/hyperlink" Target="https://1.next.westlaw.com/Link/Document/FullText?findType=Y&amp;serNum=1974290224&amp;pubNum=0000838&amp;originatingDoc=Ief904350ee4311eaac1bf54738486b58&amp;refType=RP&amp;fi=co_pp_sp_838_692&amp;originationContext=document&amp;transitionType=DocumentItem&amp;contextData=(sc.UserEnteredCitation)" TargetMode="External"/><Relationship Id="rId389" Type="http://schemas.openxmlformats.org/officeDocument/2006/relationships/hyperlink" Target="https://1.next.westlaw.com/Link/Document/FullText?findType=Y&amp;serNum=1998030801&amp;pubNum=0000708&amp;originatingDoc=I48ab272098f011e9b508f0c9c0d45880&amp;refType=RP&amp;originationContext=document&amp;transitionType=DocumentItem&amp;contextData=(sc.UserEnteredCitation)" TargetMode="External"/><Relationship Id="rId193" Type="http://schemas.openxmlformats.org/officeDocument/2006/relationships/hyperlink" Target="https://www.law.cornell.edu/definitions/index.php?width=840&amp;height=800&amp;iframe=true&amp;def_id=e805341e826e50dbe8e45d3226829f67&amp;term_occur=3&amp;term_src=Title:26:Chapter:I:Subchapter:A:Part:1:Subjgrp:10:1.671-3" TargetMode="External"/><Relationship Id="rId207" Type="http://schemas.openxmlformats.org/officeDocument/2006/relationships/hyperlink" Target="https://www.law.cornell.edu/definitions/index.php?width=840&amp;height=800&amp;iframe=true&amp;def_id=1c07283120860b02c14e93d17bce07df&amp;term_occur=8&amp;term_src=Title:26:Chapter:I:Subchapter:A:Part:1:Subjgrp:10:1.671-3" TargetMode="External"/><Relationship Id="rId249" Type="http://schemas.openxmlformats.org/officeDocument/2006/relationships/hyperlink" Target="https://www.law.cornell.edu/definitions/index.php?width=840&amp;height=800&amp;iframe=true&amp;def_id=85307a11a6f904ecc097fcc4cd8a417f&amp;term_occur=10&amp;term_src=Title:26:Chapter:I:Subchapter:A:Part:1:Subjgrp:10:1.671-3" TargetMode="External"/><Relationship Id="rId414" Type="http://schemas.openxmlformats.org/officeDocument/2006/relationships/hyperlink" Target="https://1.next.westlaw.com/Link/Document/FullText?findType=Y&amp;serNum=1920101913&amp;pubNum=0000577&amp;originatingDoc=Iba1b330017bb11eb8cddf39cfa051b39&amp;refType=RP&amp;originationContext=document&amp;transitionType=DocumentItem&amp;contextData=(sc.UserEnteredCitation)" TargetMode="External"/><Relationship Id="rId456" Type="http://schemas.openxmlformats.org/officeDocument/2006/relationships/hyperlink" Target="https://1.next.westlaw.com/Link/Document/FullText?findType=Y&amp;serNum=2004248722&amp;pubNum=0000578&amp;originatingDoc=I545c1ce079f611ea9e3ceb5de751016b&amp;refType=RP&amp;fi=co_pp_sp_578_1257&amp;originationContext=document&amp;transitionType=DocumentItem&amp;contextData=(sc.UserEnteredCitation)" TargetMode="External"/><Relationship Id="rId13" Type="http://schemas.openxmlformats.org/officeDocument/2006/relationships/footer" Target="footer2.xml"/><Relationship Id="rId109" Type="http://schemas.openxmlformats.org/officeDocument/2006/relationships/hyperlink" Target="https://1.next.westlaw.com/Link/Document/FullText?findType=L&amp;pubNum=1000547&amp;cite=26CFRS1.1001-1&amp;originatingDoc=I8c98882fbac911e9a76eb9e71287f4ea&amp;refType=RB&amp;originationContext=document&amp;transitionType=DocumentItem&amp;contextData=(sc.UserEnteredCitation)" TargetMode="External"/><Relationship Id="rId260" Type="http://schemas.openxmlformats.org/officeDocument/2006/relationships/hyperlink" Target="https://www.law.cornell.edu/definitions/index.php?width=840&amp;height=800&amp;iframe=true&amp;def_id=1c07283120860b02c14e93d17bce07df&amp;term_occur=27&amp;term_src=Title:26:Chapter:I:Subchapter:A:Part:1:Subjgrp:10:1.671-3" TargetMode="External"/><Relationship Id="rId316" Type="http://schemas.openxmlformats.org/officeDocument/2006/relationships/hyperlink" Target="https://www.law.cornell.edu/definitions/index.php?width=840&amp;height=800&amp;iframe=true&amp;def_id=25302f42315815ddf27a930ab6743b6f&amp;term_occur=1&amp;term_src=Title:26:Chapter:I:Subchapter:A:Part:1:Subjgrp:10:1.671-3" TargetMode="External"/><Relationship Id="rId55" Type="http://schemas.openxmlformats.org/officeDocument/2006/relationships/hyperlink" Target="https://www.law.cornell.edu/uscode/text/26/662" TargetMode="External"/><Relationship Id="rId97" Type="http://schemas.openxmlformats.org/officeDocument/2006/relationships/hyperlink" Target="https://1.next.westlaw.com/Link/Document/FullText?findType=Y&amp;serNum=1946201698&amp;pubNum=0000780&amp;originatingDoc=I8c98882fbac911e9a76eb9e71287f4ea&amp;refType=RP&amp;originationContext=document&amp;transitionType=DocumentItem&amp;contextData=(sc.UserEnteredCitation)" TargetMode="External"/><Relationship Id="rId120" Type="http://schemas.openxmlformats.org/officeDocument/2006/relationships/hyperlink" Target="javascript:top.docjs.prev_hit(12)" TargetMode="External"/><Relationship Id="rId358" Type="http://schemas.openxmlformats.org/officeDocument/2006/relationships/hyperlink" Target="https://1.next.westlaw.com/Link/Document/FullText?findType=L&amp;pubNum=1000547&amp;cite=26CFRS1.301-1&amp;originatingDoc=I773d8dd0ce4811e88037ff68a1223ab1&amp;refType=RB&amp;originationContext=document&amp;transitionType=DocumentItem&amp;contextData=(sc.UserEnteredCitation)" TargetMode="External"/><Relationship Id="rId162" Type="http://schemas.openxmlformats.org/officeDocument/2006/relationships/hyperlink" Target="https://www.law.cornell.edu/definitions/index.php?width=840&amp;height=800&amp;iframe=true&amp;def_id=f7fdf9f43371a6f4fa9a885b4b1cb9af&amp;term_occur=1&amp;term_src=Title:26:Chapter:I:Subchapter:A:Part:1:Subjgrp:10:1.671-3" TargetMode="External"/><Relationship Id="rId218" Type="http://schemas.openxmlformats.org/officeDocument/2006/relationships/hyperlink" Target="https://www.law.cornell.edu/definitions/index.php?width=840&amp;height=800&amp;iframe=true&amp;def_id=54ba1aba0c8d0e3ab0b5352283ef7f78&amp;term_occur=8&amp;term_src=Title:26:Chapter:I:Subchapter:A:Part:1:Subjgrp:10:1.671-3" TargetMode="External"/><Relationship Id="rId425" Type="http://schemas.openxmlformats.org/officeDocument/2006/relationships/hyperlink" Target="https://1.next.westlaw.com/Link/Document/FullText?findType=Y&amp;serNum=1976131159&amp;pubNum=0000578&amp;originatingDoc=If1047d306e2511eaafc9a4147037e074&amp;refType=RP&amp;originationContext=document&amp;transitionType=DocumentItem&amp;contextData=(sc.UserEnteredCitation)" TargetMode="External"/><Relationship Id="rId467" Type="http://schemas.openxmlformats.org/officeDocument/2006/relationships/hyperlink" Target="https://1.next.westlaw.com/Link/Document/FullText?findType=Y&amp;serNum=2036545719&amp;pubNum=0000780&amp;originatingDoc=I27936d40544211eb960a9329eed1cde2&amp;refType=RP&amp;originationContext=document&amp;transitionType=DocumentItem&amp;contextData=(sc.Default)" TargetMode="External"/><Relationship Id="rId271" Type="http://schemas.openxmlformats.org/officeDocument/2006/relationships/hyperlink" Target="https://www.law.cornell.edu/definitions/index.php?width=840&amp;height=800&amp;iframe=true&amp;def_id=85307a11a6f904ecc097fcc4cd8a417f&amp;term_occur=12&amp;term_src=Title:26:Chapter:I:Subchapter:A:Part:1:Subjgrp:10:1.671-3" TargetMode="External"/><Relationship Id="rId24" Type="http://schemas.openxmlformats.org/officeDocument/2006/relationships/hyperlink" Target="https://1.next.westlaw.com/Link/Document/FullText?findType=L&amp;pubNum=1000546&amp;cite=26USCAS651&amp;originatingDoc=I0279E35011D911EB9491EAE54701ADC6&amp;refType=LQ&amp;originationContext=document&amp;transitionType=DocumentItem&amp;contextData=(sc.UserEnteredCitation)" TargetMode="External"/><Relationship Id="rId66" Type="http://schemas.openxmlformats.org/officeDocument/2006/relationships/hyperlink" Target="https://1.next.westlaw.com/Link/Document/FullText?findType=L&amp;pubNum=1012823&amp;cite=26USCAS1014&amp;originatingDoc=I86BA96C0E1DF11E5BAAD9792D8D66846&amp;refType=RB&amp;originationContext=document&amp;transitionType=DocumentItem&amp;contextData=(sc.Search)" TargetMode="External"/><Relationship Id="rId131" Type="http://schemas.openxmlformats.org/officeDocument/2006/relationships/hyperlink" Target="https://1.next.westlaw.com/Link/Document/FullText?findType=Y&amp;serNum=2035059776&amp;pubNum=0000506&amp;originatingDoc=I2c4777600b6e11e9a1b0e6625e646f8f&amp;refType=RP&amp;fi=co_pp_sp_506_226&amp;originationContext=document&amp;transitionType=DocumentItem&amp;contextData=(sc.DocLink)" TargetMode="External"/><Relationship Id="rId327" Type="http://schemas.openxmlformats.org/officeDocument/2006/relationships/hyperlink" Target="https://1.next.westlaw.com/Link/Document/FullText?findType=Y&amp;serNum=1968290190&amp;pubNum=0000838&amp;originatingDoc=Icd97d8329ef011e89a6efc60af1b5d9c&amp;refType=RP&amp;originationContext=document&amp;transitionType=DocumentItem&amp;contextData=(sc.Search)" TargetMode="External"/><Relationship Id="rId369" Type="http://schemas.openxmlformats.org/officeDocument/2006/relationships/hyperlink" Target="https://1.next.westlaw.com/Document/I98fc87f07d6f11eab9c2847c6f7d4aa6/View/FullText.html?listSource=RelatedInfo&amp;docFamilyGuid=I99e476f07d6f11eaa822dee5f819bfa0&amp;originationContext=judicialHistory&amp;transitionType=HistoryItem&amp;contextData=%28sc.Search%29" TargetMode="External"/><Relationship Id="rId173" Type="http://schemas.openxmlformats.org/officeDocument/2006/relationships/hyperlink" Target="https://www.law.cornell.edu/definitions/index.php?width=840&amp;height=800&amp;iframe=true&amp;def_id=85307a11a6f904ecc097fcc4cd8a417f&amp;term_occur=3&amp;term_src=Title:26:Chapter:I:Subchapter:A:Part:1:Subjgrp:10:1.671-3" TargetMode="External"/><Relationship Id="rId229" Type="http://schemas.openxmlformats.org/officeDocument/2006/relationships/hyperlink" Target="https://www.law.cornell.edu/definitions/index.php?width=840&amp;height=800&amp;iframe=true&amp;def_id=8e83046407fe273f9396d8e57f9d27a9&amp;term_occur=8&amp;term_src=Title:26:Chapter:I:Subchapter:A:Part:1:Subjgrp:10:1.671-3" TargetMode="External"/><Relationship Id="rId380" Type="http://schemas.openxmlformats.org/officeDocument/2006/relationships/hyperlink" Target="https://1.next.westlaw.com/Link/Document/FullText?findType=Y&amp;serNum=2038422531&amp;pubNum=0000708&amp;originatingDoc=I48ab272098f011e9b508f0c9c0d45880&amp;refType=RP&amp;fi=co_pp_sp_708_1020&amp;originationContext=document&amp;transitionType=DocumentItem&amp;contextData=(sc.UserEnteredCitation)" TargetMode="External"/><Relationship Id="rId436" Type="http://schemas.openxmlformats.org/officeDocument/2006/relationships/hyperlink" Target="https://1.next.westlaw.com/Link/Document/FullText?findType=Y&amp;serNum=2000063823&amp;pubNum=0000578&amp;originatingDoc=If1047d306e2511eaafc9a4147037e074&amp;refType=RP&amp;originationContext=document&amp;transitionType=DocumentItem&amp;contextData=(sc.UserEnteredCitation)" TargetMode="External"/><Relationship Id="rId240" Type="http://schemas.openxmlformats.org/officeDocument/2006/relationships/hyperlink" Target="https://www.law.cornell.edu/definitions/index.php?width=840&amp;height=800&amp;iframe=true&amp;def_id=85307a11a6f904ecc097fcc4cd8a417f&amp;term_occur=7&amp;term_src=Title:26:Chapter:I:Subchapter:A:Part:1:Subjgrp:10:1.671-3" TargetMode="External"/><Relationship Id="rId478" Type="http://schemas.openxmlformats.org/officeDocument/2006/relationships/hyperlink" Target="https://1.next.westlaw.com/Document/I13cec2a01d3d11ebaf4a97db80ef4b04/View/FullText.html?transitionType=UniqueDocItem&amp;contextData=(sc.UserEnteredCitation)&amp;userEnteredCitation=474+P.3d+1211" TargetMode="External"/><Relationship Id="rId35" Type="http://schemas.openxmlformats.org/officeDocument/2006/relationships/hyperlink" Target="https://1.next.westlaw.com/Link/Document/FullText?findType=L&amp;pubNum=1000546&amp;cite=26USCAS67&amp;originatingDoc=I0279E35011D911EB9491EAE54701ADC6&amp;refType=RB&amp;originationContext=document&amp;transitionType=DocumentItem&amp;contextData=(sc.UserEnteredCitation)" TargetMode="External"/><Relationship Id="rId77" Type="http://schemas.openxmlformats.org/officeDocument/2006/relationships/hyperlink" Target="https://1.next.westlaw.com/Link/Document/FullText?findType=L&amp;pubNum=1012823&amp;cite=26USCAS6035&amp;originatingDoc=I86BA96C0E1DF11E5BAAD9792D8D66846&amp;refType=LQ&amp;originationContext=document&amp;transitionType=DocumentItem&amp;contextData=(sc.Search)" TargetMode="External"/><Relationship Id="rId100" Type="http://schemas.openxmlformats.org/officeDocument/2006/relationships/hyperlink" Target="https://1.next.westlaw.com/Link/Document/FullText?findType=L&amp;pubNum=1000546&amp;cite=26USCAS1001&amp;originatingDoc=I8c98882fbac911e9a76eb9e71287f4ea&amp;refType=LQ&amp;originationContext=document&amp;transitionType=DocumentItem&amp;contextData=(sc.UserEnteredCitation)" TargetMode="External"/><Relationship Id="rId282" Type="http://schemas.openxmlformats.org/officeDocument/2006/relationships/hyperlink" Target="https://www.law.cornell.edu/definitions/index.php?width=840&amp;height=800&amp;iframe=true&amp;def_id=753ecf1b19d24b3ea05bc76f6f9171b1&amp;term_occur=1&amp;term_src=Title:26:Chapter:I:Subchapter:A:Part:1:Subjgrp:10:1.671-3" TargetMode="External"/><Relationship Id="rId338" Type="http://schemas.openxmlformats.org/officeDocument/2006/relationships/hyperlink" Target="https://1.next.westlaw.com/Link/Document/FullText?findType=L&amp;pubNum=1016188&amp;cite=26CFRS1.61-22&amp;originatingDoc=Ia948898074eb11e881e3e57c1f40e5c7&amp;refType=LQ&amp;originationContext=document&amp;transitionType=DocumentItem&amp;contextData=(sc.UserEnteredCitation)" TargetMode="External"/><Relationship Id="rId8" Type="http://schemas.openxmlformats.org/officeDocument/2006/relationships/endnotes" Target="endnotes.xml"/><Relationship Id="rId142" Type="http://schemas.openxmlformats.org/officeDocument/2006/relationships/hyperlink" Target="https://1.next.westlaw.com/Document/Ic1eca89094e711ea8cb395d22c142a61/View/FullText.html?transitionType=UniqueDocItem&amp;contextData=(sc.UserEnteredCitation)&amp;userEnteredCitation=154+t.c.+no.+10" TargetMode="External"/><Relationship Id="rId184" Type="http://schemas.openxmlformats.org/officeDocument/2006/relationships/hyperlink" Target="https://www.law.cornell.edu/definitions/index.php?width=840&amp;height=800&amp;iframe=true&amp;def_id=51508d26cc4b7c4c977788a33dd0fdcc&amp;term_occur=7&amp;term_src=Title:26:Chapter:I:Subchapter:A:Part:1:Subjgrp:10:1.671-3" TargetMode="External"/><Relationship Id="rId391" Type="http://schemas.openxmlformats.org/officeDocument/2006/relationships/hyperlink" Target="https://1.next.westlaw.com/Link/Document/FullText?findType=Y&amp;serNum=1888180203&amp;pubNum=0000708&amp;originatingDoc=I48ab272098f011e9b508f0c9c0d45880&amp;refType=RP&amp;fi=co_pp_sp_708_1375&amp;originationContext=document&amp;transitionType=DocumentItem&amp;contextData=(sc.UserEnteredCitation)" TargetMode="External"/><Relationship Id="rId405" Type="http://schemas.openxmlformats.org/officeDocument/2006/relationships/hyperlink" Target="https://1.next.westlaw.com/Link/Document/FullText?findType=Y&amp;serNum=0291389153&amp;pubNum=0121207&amp;originatingDoc=I48ab272098f011e9b508f0c9c0d45880&amp;refType=TS&amp;originationContext=document&amp;transitionType=DocumentItem&amp;contextData=(sc.UserEnteredCitation)" TargetMode="External"/><Relationship Id="rId447" Type="http://schemas.openxmlformats.org/officeDocument/2006/relationships/hyperlink" Target="https://1.next.westlaw.com/Link/Document/FullText?findType=Y&amp;serNum=2045704604&amp;pubNum=0000711&amp;originatingDoc=I15e7e680711611eab9598d2db129301e&amp;refType=RP&amp;originationContext=document&amp;transitionType=DocumentItem&amp;contextData=(sc.UserEnteredCitation)" TargetMode="External"/><Relationship Id="rId251" Type="http://schemas.openxmlformats.org/officeDocument/2006/relationships/hyperlink" Target="https://www.law.cornell.edu/definitions/index.php?width=840&amp;height=800&amp;iframe=true&amp;def_id=8e83046407fe273f9396d8e57f9d27a9&amp;term_occur=12&amp;term_src=Title:26:Chapter:I:Subchapter:A:Part:1:Subjgrp:10:1.671-3" TargetMode="External"/><Relationship Id="rId46" Type="http://schemas.openxmlformats.org/officeDocument/2006/relationships/hyperlink" Target="https://1.next.westlaw.com/Link/Document/FullText?findType=L&amp;pubNum=1000547&amp;cite=26CFRS1.652(B)-3&amp;originatingDoc=I0279E35011D911EB9491EAE54701ADC6&amp;refType=RB&amp;originationContext=document&amp;transitionType=DocumentItem&amp;contextData=(sc.UserEnteredCitation)" TargetMode="External"/><Relationship Id="rId293" Type="http://schemas.openxmlformats.org/officeDocument/2006/relationships/hyperlink" Target="https://www.law.cornell.edu/definitions/index.php?width=840&amp;height=800&amp;iframe=true&amp;def_id=c3b57a31fc226d7b84e26175afe251f2&amp;term_occur=3&amp;term_src=Title:26:Chapter:I:Subchapter:A:Part:1:Subjgrp:10:1.671-3" TargetMode="External"/><Relationship Id="rId307" Type="http://schemas.openxmlformats.org/officeDocument/2006/relationships/hyperlink" Target="https://www.law.cornell.edu/definitions/index.php?width=840&amp;height=800&amp;iframe=true&amp;def_id=1c07283120860b02c14e93d17bce07df&amp;term_occur=38&amp;term_src=Title:26:Chapter:I:Subchapter:A:Part:1:Subjgrp:10:1.671-3" TargetMode="External"/><Relationship Id="rId349" Type="http://schemas.openxmlformats.org/officeDocument/2006/relationships/hyperlink" Target="https://1.next.westlaw.com/Link/Document/FullText?findType=L&amp;pubNum=1000546&amp;cite=26USCAS301&amp;originatingDoc=I773d8dd0ce4811e88037ff68a1223ab1&amp;refType=RB&amp;originationContext=document&amp;transitionType=DocumentItem&amp;contextData=(sc.UserEnteredCitation)" TargetMode="External"/><Relationship Id="rId88" Type="http://schemas.openxmlformats.org/officeDocument/2006/relationships/hyperlink" Target="https://1.next.westlaw.com/Link/Document/FullText?findType=L&amp;pubNum=1012823&amp;cite=26USCAS6722&amp;originatingDoc=I86BA96C0E1DF11E5BAAD9792D8D66846&amp;refType=LQ&amp;originationContext=document&amp;transitionType=DocumentItem&amp;contextData=(sc.Search)" TargetMode="External"/><Relationship Id="rId111" Type="http://schemas.openxmlformats.org/officeDocument/2006/relationships/hyperlink" Target="https://1.next.westlaw.com/Link/Document/FullText?findType=L&amp;pubNum=1000546&amp;cite=26USCAS641&amp;originatingDoc=I21357934b1c811ebb647818ecdfac784&amp;refType=LQ&amp;originationContext=document&amp;transitionType=DocumentItem&amp;contextData=(sc.Search)" TargetMode="External"/><Relationship Id="rId153" Type="http://schemas.openxmlformats.org/officeDocument/2006/relationships/hyperlink" Target="https://1.next.westlaw.com/Link/Document/FullText?findType=Y&amp;serNum=1997098501&amp;pubNum=0000838&amp;originatingDoc=Ief904350ee4311eaac1bf54738486b58&amp;refType=RP&amp;originationContext=document&amp;transitionType=DocumentItem&amp;contextData=(sc.UserEnteredCitation)" TargetMode="External"/><Relationship Id="rId195" Type="http://schemas.openxmlformats.org/officeDocument/2006/relationships/hyperlink" Target="https://www.law.cornell.edu/definitions/index.php?width=840&amp;height=800&amp;iframe=true&amp;def_id=54ba1aba0c8d0e3ab0b5352283ef7f78&amp;term_occur=5&amp;term_src=Title:26:Chapter:I:Subchapter:A:Part:1:Subjgrp:10:1.671-3" TargetMode="External"/><Relationship Id="rId209" Type="http://schemas.openxmlformats.org/officeDocument/2006/relationships/hyperlink" Target="https://www.law.cornell.edu/definitions/index.php?width=840&amp;height=800&amp;iframe=true&amp;def_id=1c07283120860b02c14e93d17bce07df&amp;term_occur=9&amp;term_src=Title:26:Chapter:I:Subchapter:A:Part:1:Subjgrp:10:1.671-3" TargetMode="External"/><Relationship Id="rId360" Type="http://schemas.openxmlformats.org/officeDocument/2006/relationships/hyperlink" Target="https://1.next.westlaw.com/Link/Document/FullText?findType=L&amp;pubNum=1000547&amp;cite=26CFRS1.301-1&amp;originatingDoc=I773d8dd0ce4811e88037ff68a1223ab1&amp;refType=RB&amp;originationContext=document&amp;transitionType=DocumentItem&amp;contextData=(sc.UserEnteredCitation)" TargetMode="External"/><Relationship Id="rId416" Type="http://schemas.openxmlformats.org/officeDocument/2006/relationships/hyperlink" Target="https://1.next.westlaw.com/Link/Document/FullText?findType=Y&amp;serNum=1921108036&amp;pubNum=0000577&amp;originatingDoc=Iba1b330017bb11eb8cddf39cfa051b39&amp;refType=RP&amp;fi=co_pp_sp_577_652&amp;originationContext=document&amp;transitionType=DocumentItem&amp;contextData=(sc.UserEnteredCitation)" TargetMode="External"/><Relationship Id="rId220" Type="http://schemas.openxmlformats.org/officeDocument/2006/relationships/hyperlink" Target="https://www.law.cornell.edu/definitions/index.php?width=840&amp;height=800&amp;iframe=true&amp;def_id=ae27f114d4ac9f51e367eab1be1b4c32&amp;term_occur=3&amp;term_src=Title:26:Chapter:I:Subchapter:A:Part:1:Subjgrp:10:1.671-3" TargetMode="External"/><Relationship Id="rId458" Type="http://schemas.openxmlformats.org/officeDocument/2006/relationships/hyperlink" Target="https://1.next.westlaw.com/Link/Document/FullText?findType=L&amp;pubNum=1000009&amp;cite=INS31-19-15-1&amp;originatingDoc=I545c1ce079f611ea9e3ceb5de751016b&amp;refType=LQ&amp;originationContext=document&amp;transitionType=DocumentItem&amp;contextData=(sc.UserEnteredCitation)" TargetMode="External"/><Relationship Id="rId15" Type="http://schemas.openxmlformats.org/officeDocument/2006/relationships/footer" Target="footer3.xml"/><Relationship Id="rId57" Type="http://schemas.openxmlformats.org/officeDocument/2006/relationships/hyperlink" Target="https://www.law.cornell.edu/definitions/uscode.php?width=840&amp;height=800&amp;iframe=true&amp;def_id=26-USC-1532917883-1195617239&amp;term_occur=999&amp;term_src=" TargetMode="External"/><Relationship Id="rId262" Type="http://schemas.openxmlformats.org/officeDocument/2006/relationships/hyperlink" Target="https://www.law.cornell.edu/definitions/index.php?width=840&amp;height=800&amp;iframe=true&amp;def_id=7fbbc5e7cba0fa3a45979e5001d3ef7f&amp;term_occur=2&amp;term_src=Title:26:Chapter:I:Subchapter:A:Part:1:Subjgrp:10:1.671-3" TargetMode="External"/><Relationship Id="rId318" Type="http://schemas.openxmlformats.org/officeDocument/2006/relationships/hyperlink" Target="https://1.next.westlaw.com/Link/Document/FullText?findType=L&amp;pubNum=1000547&amp;cite=26CFRS25.2511-2&amp;originatingDoc=Icd97d8329ef011e89a6efc60af1b5d9c&amp;refType=RB&amp;originationContext=document&amp;transitionType=DocumentItem&amp;contextData=(sc.Search)" TargetMode="External"/><Relationship Id="rId99" Type="http://schemas.openxmlformats.org/officeDocument/2006/relationships/hyperlink" Target="https://1.next.westlaw.com/Link/Document/FullText?findType=Y&amp;serNum=1969013744&amp;pubNum=0001048&amp;originatingDoc=I8c98882fbac911e9a76eb9e71287f4ea&amp;refType=CA&amp;originationContext=document&amp;transitionType=DocumentItem&amp;contextData=(sc.UserEnteredCitation)" TargetMode="External"/><Relationship Id="rId122" Type="http://schemas.openxmlformats.org/officeDocument/2006/relationships/hyperlink" Target="javascript:top.docjs.prev_hit(13)" TargetMode="External"/><Relationship Id="rId164" Type="http://schemas.openxmlformats.org/officeDocument/2006/relationships/hyperlink" Target="https://www.law.cornell.edu/definitions/index.php?width=840&amp;height=800&amp;iframe=true&amp;def_id=54ba1aba0c8d0e3ab0b5352283ef7f78&amp;term_occur=2&amp;term_src=Title:26:Chapter:I:Subchapter:A:Part:1:Subjgrp:10:1.671-3" TargetMode="External"/><Relationship Id="rId371" Type="http://schemas.openxmlformats.org/officeDocument/2006/relationships/hyperlink" Target="https://1.next.westlaw.com/Link/Document/FullText?findType=Y&amp;serNum=2040430627&amp;pubNum=0007903&amp;originatingDoc=I98fc87f07d6f11eab9c2847c6f7d4aa6&amp;refType=RP&amp;originationContext=document&amp;transitionType=DocumentItem&amp;contextData=(sc.Keycite)" TargetMode="External"/><Relationship Id="rId427" Type="http://schemas.openxmlformats.org/officeDocument/2006/relationships/hyperlink" Target="https://1.next.westlaw.com/Link/Document/FullText?findType=Y&amp;serNum=1976131159&amp;pubNum=0000441&amp;originatingDoc=If1047d306e2511eaafc9a4147037e074&amp;refType=RP&amp;originationContext=document&amp;transitionType=DocumentItem&amp;contextData=(sc.UserEnteredCitation)" TargetMode="External"/><Relationship Id="rId469" Type="http://schemas.openxmlformats.org/officeDocument/2006/relationships/hyperlink" Target="https://1.next.westlaw.com/Link/Document/FullText?findType=Y&amp;serNum=1997232759&amp;pubNum=0000605&amp;originatingDoc=I06f90810a86111ebbbbbabec583fa227&amp;refType=RP&amp;originationContext=document&amp;transitionType=DocumentItem&amp;contextData=(sc.UserEnteredCitation)" TargetMode="External"/><Relationship Id="rId26" Type="http://schemas.openxmlformats.org/officeDocument/2006/relationships/hyperlink" Target="https://1.next.westlaw.com/Link/Document/FullText?findType=L&amp;pubNum=1000546&amp;cite=26USCAS67&amp;originatingDoc=I0279E35011D911EB9491EAE54701ADC6&amp;refType=RB&amp;originationContext=document&amp;transitionType=DocumentItem&amp;contextData=(sc.UserEnteredCitation)" TargetMode="External"/><Relationship Id="rId231" Type="http://schemas.openxmlformats.org/officeDocument/2006/relationships/hyperlink" Target="https://www.law.cornell.edu/definitions/index.php?width=840&amp;height=800&amp;iframe=true&amp;def_id=970d2414a1a31dbe5eef288e0a9bfa3c&amp;term_occur=1&amp;term_src=Title:26:Chapter:I:Subchapter:A:Part:1:Subjgrp:10:1.671-3" TargetMode="External"/><Relationship Id="rId273" Type="http://schemas.openxmlformats.org/officeDocument/2006/relationships/hyperlink" Target="https://www.law.cornell.edu/definitions/index.php?width=840&amp;height=800&amp;iframe=true&amp;def_id=85307a11a6f904ecc097fcc4cd8a417f&amp;term_occur=13&amp;term_src=Title:26:Chapter:I:Subchapter:A:Part:1:Subjgrp:10:1.671-3" TargetMode="External"/><Relationship Id="rId329" Type="http://schemas.openxmlformats.org/officeDocument/2006/relationships/hyperlink" Target="https://1.next.westlaw.com/Link/Document/FullText?findType=L&amp;pubNum=1016188&amp;cite=26CFRS20.2055-1&amp;originatingDoc=I1839b6f0793311ea8f44f6432bc8ecf9&amp;refType=RB&amp;originationContext=document&amp;transitionType=DocumentItem&amp;contextData=(sc.UserEnteredCitation)" TargetMode="External"/><Relationship Id="rId480" Type="http://schemas.openxmlformats.org/officeDocument/2006/relationships/hyperlink" Target="https://1.next.westlaw.com/Link/Document/FullText?findType=Y&amp;serNum=1939121587&amp;pubNum=0000780&amp;originatingDoc=I8f9ab540f0c011ebbb39f6d769114351&amp;refType=RP&amp;originationContext=document&amp;transitionType=DocumentItem&amp;ppcid=65af27e0e979408f8a50dd8ac6920797&amp;contextData=(sc.Search)" TargetMode="External"/><Relationship Id="rId68" Type="http://schemas.openxmlformats.org/officeDocument/2006/relationships/hyperlink" Target="https://1.next.westlaw.com/Link/Document/FullText?findType=L&amp;pubNum=1012823&amp;cite=26USCAS1014&amp;originatingDoc=I86BA96C0E1DF11E5BAAD9792D8D66846&amp;refType=RB&amp;originationContext=document&amp;transitionType=DocumentItem&amp;contextData=(sc.Search)" TargetMode="External"/><Relationship Id="rId133" Type="http://schemas.openxmlformats.org/officeDocument/2006/relationships/hyperlink" Target="https://1.next.westlaw.com/Link/Document/FullText?findType=Y&amp;serNum=2035059776&amp;pubNum=0000506&amp;originatingDoc=I2c4777600b6e11e9a1b0e6625e646f8f&amp;refType=RP&amp;fi=co_pp_sp_506_225&amp;originationContext=document&amp;transitionType=DocumentItem&amp;contextData=(sc.DocLink)" TargetMode="External"/><Relationship Id="rId175" Type="http://schemas.openxmlformats.org/officeDocument/2006/relationships/hyperlink" Target="https://www.law.cornell.edu/definitions/index.php?width=840&amp;height=800&amp;iframe=true&amp;def_id=bba09cadb5ff01866e924e352f3370d2&amp;term_occur=1&amp;term_src=Title:26:Chapter:I:Subchapter:A:Part:1:Subjgrp:10:1.671-3" TargetMode="External"/><Relationship Id="rId340" Type="http://schemas.openxmlformats.org/officeDocument/2006/relationships/hyperlink" Target="https://1.next.westlaw.com/Link/Document/FullText?findType=L&amp;pubNum=1000546&amp;cite=26USCAS2703&amp;originatingDoc=Ia948898074eb11e881e3e57c1f40e5c7&amp;refType=LQ&amp;originationContext=document&amp;transitionType=DocumentItem&amp;contextData=(sc.UserEnteredCitation)" TargetMode="External"/><Relationship Id="rId200" Type="http://schemas.openxmlformats.org/officeDocument/2006/relationships/hyperlink" Target="https://www.law.cornell.edu/cfr/text/26/1.671-3" TargetMode="External"/><Relationship Id="rId382" Type="http://schemas.openxmlformats.org/officeDocument/2006/relationships/hyperlink" Target="https://1.next.westlaw.com/Link/Document/FullText?findType=Y&amp;serNum=1987002938&amp;pubNum=0000595&amp;originatingDoc=I48ab272098f011e9b508f0c9c0d45880&amp;refType=RP&amp;fi=co_pp_sp_595_334&amp;originationContext=document&amp;transitionType=DocumentItem&amp;contextData=(sc.UserEnteredCitation)" TargetMode="External"/><Relationship Id="rId438" Type="http://schemas.openxmlformats.org/officeDocument/2006/relationships/hyperlink" Target="https://1.next.westlaw.com/Link/Document/FullText?findType=L&amp;pubNum=1000468&amp;cite=GAST53-12-501&amp;originatingDoc=Iee496310632811eaae65c24a92a27fc2&amp;refType=SP&amp;originationContext=document&amp;transitionType=DocumentItem&amp;contextData=(sc.UserEnteredCitation)" TargetMode="External"/><Relationship Id="rId242" Type="http://schemas.openxmlformats.org/officeDocument/2006/relationships/hyperlink" Target="https://www.law.cornell.edu/definitions/index.php?width=840&amp;height=800&amp;iframe=true&amp;def_id=1c07283120860b02c14e93d17bce07df&amp;term_occur=19&amp;term_src=Title:26:Chapter:I:Subchapter:A:Part:1:Subjgrp:10:1.671-3" TargetMode="External"/><Relationship Id="rId284" Type="http://schemas.openxmlformats.org/officeDocument/2006/relationships/hyperlink" Target="https://www.law.cornell.edu/definitions/index.php?width=840&amp;height=800&amp;iframe=true&amp;def_id=f917901de6379998342cf498d0de4ad0&amp;term_occur=4&amp;term_src=Title:26:Chapter:I:Subchapter:A:Part:1:Subjgrp:10:1.671-3" TargetMode="External"/><Relationship Id="rId37" Type="http://schemas.openxmlformats.org/officeDocument/2006/relationships/hyperlink" Target="https://1.next.westlaw.com/Link/Document/FullText?findType=L&amp;pubNum=1000546&amp;cite=26USCAS642&amp;originatingDoc=I0279E35011D911EB9491EAE54701ADC6&amp;refType=RB&amp;originationContext=document&amp;transitionType=DocumentItem&amp;contextData=(sc.UserEnteredCitation)" TargetMode="External"/><Relationship Id="rId79" Type="http://schemas.openxmlformats.org/officeDocument/2006/relationships/hyperlink" Target="https://1.next.westlaw.com/Link/Document/FullText?findType=L&amp;pubNum=1012823&amp;cite=26USCAS6035&amp;originatingDoc=I86BA96C0E1DF11E5BAAD9792D8D66846&amp;refType=RB&amp;originationContext=document&amp;transitionType=DocumentItem&amp;contextData=(sc.Search)" TargetMode="External"/><Relationship Id="rId102" Type="http://schemas.openxmlformats.org/officeDocument/2006/relationships/hyperlink" Target="https://1.next.westlaw.com/Link/Document/FullText?findType=Y&amp;serNum=1972019755&amp;pubNum=0001048&amp;originatingDoc=I8c98882fbac911e9a76eb9e71287f4ea&amp;refType=CA&amp;originationContext=document&amp;transitionType=DocumentItem&amp;contextData=(sc.UserEnteredCitation)" TargetMode="External"/><Relationship Id="rId144" Type="http://schemas.openxmlformats.org/officeDocument/2006/relationships/hyperlink" Target="https://1.next.westlaw.com/Document/Ic1eca89094e711ea8cb395d22c142a61/View/FullText.html?transitionType=UniqueDocItem&amp;contextData=(sc.UserEnteredCitation)&amp;userEnteredCitation=154+t.c.+no.+10" TargetMode="External"/><Relationship Id="rId90" Type="http://schemas.openxmlformats.org/officeDocument/2006/relationships/hyperlink" Target="https://1.next.westlaw.com/Link/Document/FullText?findType=L&amp;pubNum=1012823&amp;cite=26USCAS6035&amp;originatingDoc=I86BA96C0E1DF11E5BAAD9792D8D66846&amp;refType=LQ&amp;originationContext=document&amp;transitionType=DocumentItem&amp;contextData=(sc.Search)" TargetMode="External"/><Relationship Id="rId186" Type="http://schemas.openxmlformats.org/officeDocument/2006/relationships/hyperlink" Target="https://www.law.cornell.edu/definitions/index.php?width=840&amp;height=800&amp;iframe=true&amp;def_id=8e83046407fe273f9396d8e57f9d27a9&amp;term_occur=1&amp;term_src=Title:26:Chapter:I:Subchapter:A:Part:1:Subjgrp:10:1.671-3" TargetMode="External"/><Relationship Id="rId351" Type="http://schemas.openxmlformats.org/officeDocument/2006/relationships/hyperlink" Target="https://1.next.westlaw.com/Link/Document/FullText?findType=L&amp;pubNum=1000546&amp;cite=26USCAS301&amp;originatingDoc=I773d8dd0ce4811e88037ff68a1223ab1&amp;refType=RB&amp;originationContext=document&amp;transitionType=DocumentItem&amp;contextData=(sc.UserEnteredCitation)" TargetMode="External"/><Relationship Id="rId393" Type="http://schemas.openxmlformats.org/officeDocument/2006/relationships/hyperlink" Target="https://1.next.westlaw.com/Link/Document/FullText?findType=Y&amp;serNum=1901104017&amp;pubNum=0000708&amp;originatingDoc=I48ab272098f011e9b508f0c9c0d45880&amp;refType=RP&amp;fi=co_pp_sp_708_556&amp;originationContext=document&amp;transitionType=DocumentItem&amp;contextData=(sc.UserEnteredCitation)" TargetMode="External"/><Relationship Id="rId407" Type="http://schemas.openxmlformats.org/officeDocument/2006/relationships/hyperlink" Target="https://1.next.westlaw.com/Link/Document/FullText?findType=Y&amp;serNum=2011178540&amp;pubNum=0000578&amp;originatingDoc=Iba1b330017bb11eb8cddf39cfa051b39&amp;refType=RP&amp;fi=co_pp_sp_578_777&amp;originationContext=document&amp;transitionType=DocumentItem&amp;contextData=(sc.UserEnteredCitation)" TargetMode="External"/><Relationship Id="rId449" Type="http://schemas.openxmlformats.org/officeDocument/2006/relationships/hyperlink" Target="https://1.next.westlaw.com/Link/Document/FullText?findType=Y&amp;serNum=2001405624&amp;pubNum=0000506&amp;originatingDoc=I403f54d012f211eb8cddf39cfa051b39&amp;refType=RP&amp;originationContext=document&amp;transitionType=DocumentItem&amp;contextData=(sc.UserEnteredCitation)" TargetMode="External"/><Relationship Id="rId211" Type="http://schemas.openxmlformats.org/officeDocument/2006/relationships/hyperlink" Target="https://www.law.cornell.edu/definitions/index.php?width=840&amp;height=800&amp;iframe=true&amp;def_id=8e83046407fe273f9396d8e57f9d27a9&amp;term_occur=6&amp;term_src=Title:26:Chapter:I:Subchapter:A:Part:1:Subjgrp:10:1.671-3" TargetMode="External"/><Relationship Id="rId253" Type="http://schemas.openxmlformats.org/officeDocument/2006/relationships/hyperlink" Target="https://www.law.cornell.edu/definitions/index.php?width=840&amp;height=800&amp;iframe=true&amp;def_id=6a592770ebf690a6144170fdcf3dac0d&amp;term_occur=2&amp;term_src=Title:26:Chapter:I:Subchapter:A:Part:1:Subjgrp:10:1.671-3" TargetMode="External"/><Relationship Id="rId295" Type="http://schemas.openxmlformats.org/officeDocument/2006/relationships/hyperlink" Target="https://www.law.cornell.edu/definitions/index.php?width=840&amp;height=800&amp;iframe=true&amp;def_id=f7fdf9f43371a6f4fa9a885b4b1cb9af&amp;term_occur=6&amp;term_src=Title:26:Chapter:I:Subchapter:A:Part:1:Subjgrp:10:1.671-3" TargetMode="External"/><Relationship Id="rId309" Type="http://schemas.openxmlformats.org/officeDocument/2006/relationships/hyperlink" Target="https://www.law.cornell.edu/definitions/index.php?width=840&amp;height=800&amp;iframe=true&amp;def_id=1c07283120860b02c14e93d17bce07df&amp;term_occur=39&amp;term_src=Title:26:Chapter:I:Subchapter:A:Part:1:Subjgrp:10:1.671-3" TargetMode="External"/><Relationship Id="rId460" Type="http://schemas.openxmlformats.org/officeDocument/2006/relationships/hyperlink" Target="https://1.next.westlaw.com/Link/Document/FullText?findType=Y&amp;serNum=1996226257&amp;pubNum=0004087&amp;originatingDoc=I545c1ce079f611ea9e3ceb5de751016b&amp;refType=RP&amp;originationContext=document&amp;transitionType=DocumentItem&amp;contextData=(sc.UserEnteredCitation)" TargetMode="External"/><Relationship Id="rId48" Type="http://schemas.openxmlformats.org/officeDocument/2006/relationships/hyperlink" Target="https://www.law.cornell.edu/definitions/uscode.php?width=840&amp;height=800&amp;iframe=true&amp;def_id=26-USC-565102875-1195617238&amp;term_occur=999&amp;term_src=title:26:subtitle:A:chapter:1:subchapter:J:part:I:subpart:A:section:643" TargetMode="External"/><Relationship Id="rId113" Type="http://schemas.openxmlformats.org/officeDocument/2006/relationships/hyperlink" Target="javascript:top.docjs.prev_hit(7)" TargetMode="External"/><Relationship Id="rId320" Type="http://schemas.openxmlformats.org/officeDocument/2006/relationships/hyperlink" Target="https://1.next.westlaw.com/Link/Document/FullText?findType=L&amp;pubNum=1000547&amp;cite=26CFRS25.2514-3&amp;originatingDoc=Icd97d8329ef011e89a6efc60af1b5d9c&amp;refType=RB&amp;originationContext=document&amp;transitionType=DocumentItem&amp;contextData=(sc.Search)" TargetMode="External"/><Relationship Id="rId155" Type="http://schemas.openxmlformats.org/officeDocument/2006/relationships/hyperlink" Target="https://1.next.westlaw.com/Document/Ief904350ee4311eaac1bf54738486b58/View/FullText.html?transitionType=UniqueDocItem&amp;contextData=(sc.UserEnteredCitation)&amp;userEnteredCitation=T.C.+Memo.+2020-128" TargetMode="External"/><Relationship Id="rId197" Type="http://schemas.openxmlformats.org/officeDocument/2006/relationships/hyperlink" Target="https://www.law.cornell.edu/definitions/index.php?width=840&amp;height=800&amp;iframe=true&amp;def_id=51508d26cc4b7c4c977788a33dd0fdcc&amp;term_occur=9&amp;term_src=Title:26:Chapter:I:Subchapter:A:Part:1:Subjgrp:10:1.671-3" TargetMode="External"/><Relationship Id="rId362" Type="http://schemas.openxmlformats.org/officeDocument/2006/relationships/hyperlink" Target="https://1.next.westlaw.com/Link/Document/FullText?findType=L&amp;pubNum=1000547&amp;cite=26CFRS1.301-1&amp;originatingDoc=I773d8dd0ce4811e88037ff68a1223ab1&amp;refType=RB&amp;originationContext=document&amp;transitionType=DocumentItem&amp;contextData=(sc.UserEnteredCitation)" TargetMode="External"/><Relationship Id="rId418" Type="http://schemas.openxmlformats.org/officeDocument/2006/relationships/hyperlink" Target="https://1.next.westlaw.com/Link/Document/FullText?findType=L&amp;pubNum=1000007&amp;cite=IDSTS15-7-303&amp;originatingDoc=I8bdde3e0fed711ea90aaf658db4bc3dc&amp;refType=SP&amp;originationContext=document&amp;transitionType=DocumentItem&amp;contextData=(sc.UserEnteredCitation)" TargetMode="External"/><Relationship Id="rId222" Type="http://schemas.openxmlformats.org/officeDocument/2006/relationships/hyperlink" Target="https://www.law.cornell.edu/definitions/index.php?width=840&amp;height=800&amp;iframe=true&amp;def_id=1c07283120860b02c14e93d17bce07df&amp;term_occur=14&amp;term_src=Title:26:Chapter:I:Subchapter:A:Part:1:Subjgrp:10:1.671-3" TargetMode="External"/><Relationship Id="rId264" Type="http://schemas.openxmlformats.org/officeDocument/2006/relationships/hyperlink" Target="https://www.law.cornell.edu/definitions/index.php?width=840&amp;height=800&amp;iframe=true&amp;def_id=51508d26cc4b7c4c977788a33dd0fdcc&amp;term_occur=12&amp;term_src=Title:26:Chapter:I:Subchapter:A:Part:1:Subjgrp:10:1.671-3" TargetMode="External"/><Relationship Id="rId471" Type="http://schemas.openxmlformats.org/officeDocument/2006/relationships/hyperlink" Target="https://1.next.westlaw.com/Link/Document/FullText?findType=Y&amp;serNum=2051478161&amp;pubNum=0007980&amp;originatingDoc=I06f90810a86111ebbbbbabec583fa227&amp;refType=RP&amp;originationContext=document&amp;transitionType=DocumentItem&amp;contextData=(sc.UserEnteredCitation)" TargetMode="External"/><Relationship Id="rId17" Type="http://schemas.openxmlformats.org/officeDocument/2006/relationships/footer" Target="footer5.xml"/><Relationship Id="rId59" Type="http://schemas.openxmlformats.org/officeDocument/2006/relationships/footer" Target="footer7.xml"/><Relationship Id="rId124" Type="http://schemas.openxmlformats.org/officeDocument/2006/relationships/hyperlink" Target="javascript:top.docjs.prev_hit(14)" TargetMode="External"/><Relationship Id="rId70" Type="http://schemas.openxmlformats.org/officeDocument/2006/relationships/hyperlink" Target="https://1.next.westlaw.com/Link/Document/FullText?findType=L&amp;pubNum=1012823&amp;cite=26USCAS1014&amp;originatingDoc=I86BA96C0E1DF11E5BAAD9792D8D66846&amp;refType=RB&amp;originationContext=document&amp;transitionType=DocumentItem&amp;contextData=(sc.Search)" TargetMode="External"/><Relationship Id="rId166" Type="http://schemas.openxmlformats.org/officeDocument/2006/relationships/hyperlink" Target="https://www.law.cornell.edu/definitions/index.php?width=840&amp;height=800&amp;iframe=true&amp;def_id=51508d26cc4b7c4c977788a33dd0fdcc&amp;term_occur=2&amp;term_src=Title:26:Chapter:I:Subchapter:A:Part:1:Subjgrp:10:1.671-3" TargetMode="External"/><Relationship Id="rId331" Type="http://schemas.openxmlformats.org/officeDocument/2006/relationships/hyperlink" Target="https://1.next.westlaw.com/Document/Ia948898074eb11e881e3e57c1f40e5c7/View/FullText.html?transitionType=UniqueDocItem&amp;contextData=(sc.UserEnteredCitation)&amp;userEnteredCitation=t.c.+memo.+2018-84" TargetMode="External"/><Relationship Id="rId373" Type="http://schemas.openxmlformats.org/officeDocument/2006/relationships/hyperlink" Target="https://www.cbo.gov/publication/57272" TargetMode="External"/><Relationship Id="rId429" Type="http://schemas.openxmlformats.org/officeDocument/2006/relationships/hyperlink" Target="https://1.next.westlaw.com/Link/Document/FullText?findType=Y&amp;serNum=1976131159&amp;pubNum=0000578&amp;originatingDoc=If1047d306e2511eaafc9a4147037e074&amp;refType=RP&amp;originationContext=document&amp;transitionType=DocumentItem&amp;contextData=(sc.UserEnteredCitation)" TargetMode="External"/><Relationship Id="rId1" Type="http://schemas.openxmlformats.org/officeDocument/2006/relationships/customXml" Target="../customXml/item1.xml"/><Relationship Id="rId233" Type="http://schemas.openxmlformats.org/officeDocument/2006/relationships/hyperlink" Target="https://www.law.cornell.edu/definitions/index.php?width=840&amp;height=800&amp;iframe=true&amp;def_id=8e83046407fe273f9396d8e57f9d27a9&amp;term_occur=10&amp;term_src=Title:26:Chapter:I:Subchapter:A:Part:1:Subjgrp:10:1.671-3" TargetMode="External"/><Relationship Id="rId440" Type="http://schemas.openxmlformats.org/officeDocument/2006/relationships/hyperlink" Target="https://1.next.westlaw.com/Link/Document/FullText?findType=L&amp;pubNum=1000468&amp;cite=GAST53-12-61&amp;originatingDoc=Iee496310632811eaae65c24a92a27fc2&amp;refType=LQ&amp;originationContext=document&amp;transitionType=DocumentItem&amp;contextData=(sc.UserEnteredCitation)" TargetMode="External"/><Relationship Id="rId28" Type="http://schemas.openxmlformats.org/officeDocument/2006/relationships/hyperlink" Target="https://1.next.westlaw.com/Link/Document/FullText?findType=L&amp;pubNum=1000546&amp;cite=26USCAS63&amp;originatingDoc=I0279E35011D911EB9491EAE54701ADC6&amp;refType=RB&amp;originationContext=document&amp;transitionType=DocumentItem&amp;contextData=(sc.UserEnteredCitation)" TargetMode="External"/><Relationship Id="rId275" Type="http://schemas.openxmlformats.org/officeDocument/2006/relationships/hyperlink" Target="https://www.law.cornell.edu/definitions/index.php?width=840&amp;height=800&amp;iframe=true&amp;def_id=54ba1aba0c8d0e3ab0b5352283ef7f78&amp;term_occur=9&amp;term_src=Title:26:Chapter:I:Subchapter:A:Part:1:Subjgrp:10:1.671-3" TargetMode="External"/><Relationship Id="rId300" Type="http://schemas.openxmlformats.org/officeDocument/2006/relationships/hyperlink" Target="https://www.law.cornell.edu/definitions/index.php?width=840&amp;height=800&amp;iframe=true&amp;def_id=54ba1aba0c8d0e3ab0b5352283ef7f78&amp;term_occur=11&amp;term_src=Title:26:Chapter:I:Subchapter:A:Part:1:Subjgrp:10:1.671-3" TargetMode="External"/><Relationship Id="rId482" Type="http://schemas.openxmlformats.org/officeDocument/2006/relationships/fontTable" Target="fontTable.xml"/><Relationship Id="rId81" Type="http://schemas.openxmlformats.org/officeDocument/2006/relationships/hyperlink" Target="https://1.next.westlaw.com/Link/Document/FullText?findType=L&amp;pubNum=1012823&amp;cite=26USCAS6035&amp;originatingDoc=I86BA96C0E1DF11E5BAAD9792D8D66846&amp;refType=LQ&amp;originationContext=document&amp;transitionType=DocumentItem&amp;contextData=(sc.Search)" TargetMode="External"/><Relationship Id="rId135" Type="http://schemas.openxmlformats.org/officeDocument/2006/relationships/hyperlink" Target="https://1.next.westlaw.com/Link/Document/FullText?findType=L&amp;pubNum=1012823&amp;cite=26USCAS170&amp;originatingDoc=I2c4777600b6e11e9a1b0e6625e646f8f&amp;refType=RB&amp;originationContext=document&amp;transitionType=DocumentItem&amp;contextData=(sc.DocLink)" TargetMode="External"/><Relationship Id="rId177" Type="http://schemas.openxmlformats.org/officeDocument/2006/relationships/hyperlink" Target="https://www.law.cornell.edu/definitions/index.php?width=840&amp;height=800&amp;iframe=true&amp;def_id=bba09cadb5ff01866e924e352f3370d2&amp;term_occur=2&amp;term_src=Title:26:Chapter:I:Subchapter:A:Part:1:Subjgrp:10:1.671-3" TargetMode="External"/><Relationship Id="rId342" Type="http://schemas.openxmlformats.org/officeDocument/2006/relationships/hyperlink" Target="https://1.next.westlaw.com/Link/Document/FullText?findType=L&amp;pubNum=1000546&amp;cite=26USCAS2703&amp;originatingDoc=Ia948898074eb11e881e3e57c1f40e5c7&amp;refType=LQ&amp;originationContext=document&amp;transitionType=DocumentItem&amp;contextData=(sc.UserEnteredCitation)" TargetMode="External"/><Relationship Id="rId384" Type="http://schemas.openxmlformats.org/officeDocument/2006/relationships/hyperlink" Target="https://1.next.westlaw.com/Link/Document/FullText?findType=Y&amp;serNum=1987002938&amp;pubNum=0000595&amp;originatingDoc=I48ab272098f011e9b508f0c9c0d45880&amp;refType=RP&amp;originationContext=document&amp;transitionType=DocumentItem&amp;contextData=(sc.UserEnteredCitation)" TargetMode="External"/><Relationship Id="rId202" Type="http://schemas.openxmlformats.org/officeDocument/2006/relationships/hyperlink" Target="https://www.law.cornell.edu/definitions/index.php?width=840&amp;height=800&amp;iframe=true&amp;def_id=1c07283120860b02c14e93d17bce07df&amp;term_occur=7&amp;term_src=Title:26:Chapter:I:Subchapter:A:Part:1:Subjgrp:10:1.671-3" TargetMode="External"/><Relationship Id="rId244" Type="http://schemas.openxmlformats.org/officeDocument/2006/relationships/hyperlink" Target="https://www.law.cornell.edu/definitions/index.php?width=840&amp;height=800&amp;iframe=true&amp;def_id=1c07283120860b02c14e93d17bce07df&amp;term_occur=21&amp;term_src=Title:26:Chapter:I:Subchapter:A:Part:1:Subjgrp:10:1.671-3" TargetMode="External"/><Relationship Id="rId39" Type="http://schemas.openxmlformats.org/officeDocument/2006/relationships/hyperlink" Target="https://1.next.westlaw.com/Link/Document/FullText?findType=L&amp;pubNum=1000547&amp;cite=26CFRS1.642(H)-2&amp;originatingDoc=I0279E35011D911EB9491EAE54701ADC6&amp;refType=RB&amp;originationContext=document&amp;transitionType=DocumentItem&amp;contextData=(sc.UserEnteredCitation)" TargetMode="External"/><Relationship Id="rId286" Type="http://schemas.openxmlformats.org/officeDocument/2006/relationships/hyperlink" Target="https://www.law.cornell.edu/definitions/index.php?width=840&amp;height=800&amp;iframe=true&amp;def_id=f7fdf9f43371a6f4fa9a885b4b1cb9af&amp;term_occur=3&amp;term_src=Title:26:Chapter:I:Subchapter:A:Part:1:Subjgrp:10:1.671-3" TargetMode="External"/><Relationship Id="rId451" Type="http://schemas.openxmlformats.org/officeDocument/2006/relationships/hyperlink" Target="https://1.next.westlaw.com/Document/I545c1ce079f611ea9e3ceb5de751016b/View/FullText.html?transitionType=UniqueDocItem&amp;contextData=(sc.UserEnteredCitation)&amp;userEnteredCitation=146+N.E.3d+965" TargetMode="External"/><Relationship Id="rId50" Type="http://schemas.openxmlformats.org/officeDocument/2006/relationships/hyperlink" Target="https://www.law.cornell.edu/uscode/text/26/661" TargetMode="External"/><Relationship Id="rId104" Type="http://schemas.openxmlformats.org/officeDocument/2006/relationships/hyperlink" Target="https://1.next.westlaw.com/Link/Document/FullText?findType=L&amp;pubNum=1000546&amp;cite=26USCAS1001&amp;originatingDoc=I8c98882fbac911e9a76eb9e71287f4ea&amp;refType=RB&amp;originationContext=document&amp;transitionType=DocumentItem&amp;contextData=(sc.UserEnteredCitation)" TargetMode="External"/><Relationship Id="rId146" Type="http://schemas.openxmlformats.org/officeDocument/2006/relationships/hyperlink" Target="https://www.taxnotes.com/tax-notes-today-federal/charitable-giving/tax-court-cant-see-proper-substantiation-eye-wear-donation/2020/04/08/2cd3m?highlight=2020-13415" TargetMode="External"/><Relationship Id="rId188" Type="http://schemas.openxmlformats.org/officeDocument/2006/relationships/hyperlink" Target="https://www.law.cornell.edu/definitions/index.php?width=840&amp;height=800&amp;iframe=true&amp;def_id=8e83046407fe273f9396d8e57f9d27a9&amp;term_occur=2&amp;term_src=Title:26:Chapter:I:Subchapter:A:Part:1:Subjgrp:10:1.671-3" TargetMode="External"/><Relationship Id="rId311" Type="http://schemas.openxmlformats.org/officeDocument/2006/relationships/hyperlink" Target="https://www.law.cornell.edu/definitions/index.php?width=840&amp;height=800&amp;iframe=true&amp;def_id=753ecf1b19d24b3ea05bc76f6f9171b1&amp;term_occur=5&amp;term_src=Title:26:Chapter:I:Subchapter:A:Part:1:Subjgrp:10:1.671-3" TargetMode="External"/><Relationship Id="rId353" Type="http://schemas.openxmlformats.org/officeDocument/2006/relationships/hyperlink" Target="https://1.next.westlaw.com/Link/Document/FullText?findType=L&amp;pubNum=1000546&amp;cite=26USCAS1368&amp;originatingDoc=I773d8dd0ce4811e88037ff68a1223ab1&amp;refType=RB&amp;originationContext=document&amp;transitionType=DocumentItem&amp;contextData=(sc.UserEnteredCitation)" TargetMode="External"/><Relationship Id="rId395" Type="http://schemas.openxmlformats.org/officeDocument/2006/relationships/hyperlink" Target="https://1.next.westlaw.com/Link/Document/FullText?findType=L&amp;pubNum=1000218&amp;cite=CAPRS15305&amp;originatingDoc=I48ab272098f011e9b508f0c9c0d45880&amp;refType=LQ&amp;originationContext=document&amp;transitionType=DocumentItem&amp;contextData=(sc.UserEnteredCitation)" TargetMode="External"/><Relationship Id="rId409" Type="http://schemas.openxmlformats.org/officeDocument/2006/relationships/hyperlink" Target="https://1.next.westlaw.com/Link/Document/FullText?findType=Y&amp;serNum=1884017692&amp;pubNum=0000440&amp;originatingDoc=Iba1b330017bb11eb8cddf39cfa051b39&amp;refType=RP&amp;fi=co_pp_sp_440_575&amp;originationContext=document&amp;transitionType=DocumentItem&amp;contextData=(sc.UserEnteredCitation)" TargetMode="External"/><Relationship Id="rId92" Type="http://schemas.openxmlformats.org/officeDocument/2006/relationships/hyperlink" Target="https://1.next.westlaw.com/Link/Document/FullText?findType=L&amp;pubNum=1012823&amp;cite=26USCAS6035&amp;originatingDoc=I86BA96C0E1DF11E5BAAD9792D8D66846&amp;refType=LQ&amp;originationContext=document&amp;transitionType=DocumentItem&amp;contextData=(sc.Search)" TargetMode="External"/><Relationship Id="rId213" Type="http://schemas.openxmlformats.org/officeDocument/2006/relationships/hyperlink" Target="https://www.law.cornell.edu/definitions/index.php?width=840&amp;height=800&amp;iframe=true&amp;def_id=85307a11a6f904ecc097fcc4cd8a417f&amp;term_occur=5&amp;term_src=Title:26:Chapter:I:Subchapter:A:Part:1:Subjgrp:10:1.671-3" TargetMode="External"/><Relationship Id="rId420" Type="http://schemas.openxmlformats.org/officeDocument/2006/relationships/hyperlink" Target="https://1.next.westlaw.com/Link/Document/FullText?findType=Y&amp;serNum=2035069189&amp;pubNum=0004578&amp;originatingDoc=I82ec4b0043ca11eaa21cb04c67e0c07f&amp;refType=RP&amp;originationContext=document&amp;transitionType=DocumentItem&amp;contextData=(sc.UserEnteredCitation)" TargetMode="External"/><Relationship Id="rId255" Type="http://schemas.openxmlformats.org/officeDocument/2006/relationships/hyperlink" Target="https://www.law.cornell.edu/definitions/index.php?width=840&amp;height=800&amp;iframe=true&amp;def_id=1c07283120860b02c14e93d17bce07df&amp;term_occur=25&amp;term_src=Title:26:Chapter:I:Subchapter:A:Part:1:Subjgrp:10:1.671-3" TargetMode="External"/><Relationship Id="rId297" Type="http://schemas.openxmlformats.org/officeDocument/2006/relationships/hyperlink" Target="https://www.law.cornell.edu/definitions/index.php?width=840&amp;height=800&amp;iframe=true&amp;def_id=3ed0119947cfa6b0cca603e2e59b3ba7&amp;term_occur=1&amp;term_src=Title:26:Chapter:I:Subchapter:A:Part:1:Subjgrp:10:1.671-3" TargetMode="External"/><Relationship Id="rId462" Type="http://schemas.openxmlformats.org/officeDocument/2006/relationships/hyperlink" Target="https://1.next.westlaw.com/Link/Document/FullText?findType=L&amp;pubNum=1000009&amp;cite=INS29-1-2-8&amp;originatingDoc=I545c1ce079f611ea9e3ceb5de751016b&amp;refType=LQ&amp;originationContext=document&amp;transitionType=DocumentItem&amp;contextData=(sc.UserEnteredCitation)" TargetMode="External"/><Relationship Id="rId115" Type="http://schemas.openxmlformats.org/officeDocument/2006/relationships/hyperlink" Target="javascript:top.docjs.next_hit(7)" TargetMode="External"/><Relationship Id="rId157" Type="http://schemas.openxmlformats.org/officeDocument/2006/relationships/hyperlink" Target="https://1.next.westlaw.com/Document/I3b2045c07cf311eba660be4ce62361b9/View/FullText.html?originationContext=typeAhead&amp;transitionType=Default&amp;contextData=(sc.Default)" TargetMode="External"/><Relationship Id="rId322" Type="http://schemas.openxmlformats.org/officeDocument/2006/relationships/hyperlink" Target="https://1.next.westlaw.com/Link/Document/FullText?findType=L&amp;pubNum=1000547&amp;cite=26CFRS25.2511-2&amp;originatingDoc=Icd97d8329ef011e89a6efc60af1b5d9c&amp;refType=RB&amp;originationContext=document&amp;transitionType=DocumentItem&amp;contextData=(sc.Search)" TargetMode="External"/><Relationship Id="rId364" Type="http://schemas.openxmlformats.org/officeDocument/2006/relationships/hyperlink" Target="https://1.next.westlaw.com/Link/Document/FullText?findType=L&amp;pubNum=1000547&amp;cite=26CFRS1.61-22&amp;originatingDoc=I773d8dd0ce4811e88037ff68a1223ab1&amp;refType=RB&amp;originationContext=document&amp;transitionType=DocumentItem&amp;contextData=(sc.UserEnteredCitation)" TargetMode="External"/><Relationship Id="rId61" Type="http://schemas.openxmlformats.org/officeDocument/2006/relationships/hyperlink" Target="http://www.leagle.com/decision/197377232extcm740_1619" TargetMode="External"/><Relationship Id="rId199" Type="http://schemas.openxmlformats.org/officeDocument/2006/relationships/hyperlink" Target="https://www.law.cornell.edu/definitions/index.php?width=840&amp;height=800&amp;iframe=true&amp;def_id=54ba1aba0c8d0e3ab0b5352283ef7f78&amp;term_occur=6&amp;term_src=Title:26:Chapter:I:Subchapter:A:Part:1:Subjgrp:10:1.671-3" TargetMode="External"/><Relationship Id="rId19" Type="http://schemas.openxmlformats.org/officeDocument/2006/relationships/hyperlink" Target="https://www.taxnotes.com/lr/resolve/cpyw" TargetMode="External"/><Relationship Id="rId224" Type="http://schemas.openxmlformats.org/officeDocument/2006/relationships/hyperlink" Target="https://www.law.cornell.edu/definitions/index.php?width=840&amp;height=800&amp;iframe=true&amp;def_id=6a592770ebf690a6144170fdcf3dac0d&amp;term_occur=1&amp;term_src=Title:26:Chapter:I:Subchapter:A:Part:1:Subjgrp:10:1.671-3" TargetMode="External"/><Relationship Id="rId266" Type="http://schemas.openxmlformats.org/officeDocument/2006/relationships/hyperlink" Target="https://www.law.cornell.edu/definitions/index.php?width=840&amp;height=800&amp;iframe=true&amp;def_id=8e83046407fe273f9396d8e57f9d27a9&amp;term_occur=15&amp;term_src=Title:26:Chapter:I:Subchapter:A:Part:1:Subjgrp:10:1.671-3" TargetMode="External"/><Relationship Id="rId431" Type="http://schemas.openxmlformats.org/officeDocument/2006/relationships/hyperlink" Target="https://1.next.westlaw.com/Link/Document/FullText?findType=Y&amp;serNum=1998143075&amp;pubNum=0000578&amp;originatingDoc=If1047d306e2511eaafc9a4147037e074&amp;refType=RP&amp;originationContext=document&amp;transitionType=DocumentItem&amp;contextData=(sc.UserEnteredCitation)" TargetMode="External"/><Relationship Id="rId473" Type="http://schemas.openxmlformats.org/officeDocument/2006/relationships/hyperlink" Target="https://1.next.westlaw.com/Document/I6bac3c90a7ae11ebbbbbabec583fa227/View/FullText.html?transitionType=UniqueDocItem&amp;contextData=(sc.Default)&amp;userEnteredCitation=2021+WL+1624641" TargetMode="External"/><Relationship Id="rId30" Type="http://schemas.openxmlformats.org/officeDocument/2006/relationships/hyperlink" Target="https://1.next.westlaw.com/Link/Document/FullText?findType=L&amp;pubNum=1000546&amp;cite=26USCAS67&amp;originatingDoc=I0279E35011D911EB9491EAE54701ADC6&amp;refType=RB&amp;originationContext=document&amp;transitionType=DocumentItem&amp;contextData=(sc.UserEnteredCitation)" TargetMode="External"/><Relationship Id="rId126" Type="http://schemas.openxmlformats.org/officeDocument/2006/relationships/hyperlink" Target="javascript:top.docjs.prev_hit(15)" TargetMode="External"/><Relationship Id="rId168" Type="http://schemas.openxmlformats.org/officeDocument/2006/relationships/hyperlink" Target="https://www.law.cornell.edu/definitions/index.php?width=840&amp;height=800&amp;iframe=true&amp;def_id=1c07283120860b02c14e93d17bce07df&amp;term_occur=3&amp;term_src=Title:26:Chapter:I:Subchapter:A:Part:1:Subjgrp:10:1.671-3" TargetMode="External"/><Relationship Id="rId333" Type="http://schemas.openxmlformats.org/officeDocument/2006/relationships/hyperlink" Target="https://1.next.westlaw.com/Link/Document/FullText?findType=L&amp;pubNum=1000546&amp;cite=26USCAS2038&amp;originatingDoc=Ia948898074eb11e881e3e57c1f40e5c7&amp;refType=LQ&amp;originationContext=document&amp;transitionType=DocumentItem&amp;contextData=(sc.UserEnteredCitation)" TargetMode="External"/><Relationship Id="rId72" Type="http://schemas.openxmlformats.org/officeDocument/2006/relationships/hyperlink" Target="https://1.next.westlaw.com/Link/Document/FullText?findType=L&amp;pubNum=1012823&amp;cite=26USCAS6035&amp;originatingDoc=I86BA96C0E1DF11E5BAAD9792D8D66846&amp;refType=RB&amp;originationContext=document&amp;transitionType=DocumentItem&amp;contextData=(sc.Search)" TargetMode="External"/><Relationship Id="rId375" Type="http://schemas.openxmlformats.org/officeDocument/2006/relationships/hyperlink" Target="https://www.cbo.gov/publication/572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 W Y A T T D A T A ! 1 0 0 6 9 1 7 3 0 . 1 < / d o c u m e n t i d >  
     < s e n d e r i d > N J O H N S T O N < / s e n d e r i d >  
     < s e n d e r e m a i l > N J O H N S T O N @ W Y A T T F I R M . C O M < / s e n d e r e m a i l >  
     < l a s t m o d i f i e d > 2 0 2 2 - 0 2 - 0 2 T 1 4 : 3 8 : 0 0 . 0 0 0 0 0 0 0 - 0 5 : 0 0 < / l a s t m o d i f i e d >  
     < d a t a b a s e > W Y A T T D A T A < / d a t a b a s e >  
 < / p r o p e r t i e s > 
</file>

<file path=customXml/itemProps1.xml><?xml version="1.0" encoding="utf-8"?>
<ds:datastoreItem xmlns:ds="http://schemas.openxmlformats.org/officeDocument/2006/customXml" ds:itemID="{2DED3DAD-895D-4ED7-9C1C-7F087171B939}">
  <ds:schemaRefs>
    <ds:schemaRef ds:uri="http://schemas.openxmlformats.org/officeDocument/2006/bibliography"/>
  </ds:schemaRefs>
</ds:datastoreItem>
</file>

<file path=customXml/itemProps2.xml><?xml version="1.0" encoding="utf-8"?>
<ds:datastoreItem xmlns:ds="http://schemas.openxmlformats.org/officeDocument/2006/customXml" ds:itemID="{1DDF82AF-6A50-4342-A618-D2E59DD0BCA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158760</Words>
  <Characters>904932</Characters>
  <Application>Microsoft Office Word</Application>
  <DocSecurity>0</DocSecurity>
  <PresentationFormat/>
  <Lines>7541</Lines>
  <Paragraphs>2123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1061569</CharactersWithSpaces>
  <SharedDoc>false</SharedDoc>
  <HyperlinkBase/>
  <HLinks>
    <vt:vector size="3288" baseType="variant">
      <vt:variant>
        <vt:i4>3604585</vt:i4>
      </vt:variant>
      <vt:variant>
        <vt:i4>2106</vt:i4>
      </vt:variant>
      <vt:variant>
        <vt:i4>0</vt:i4>
      </vt:variant>
      <vt:variant>
        <vt:i4>5</vt:i4>
      </vt:variant>
      <vt:variant>
        <vt:lpwstr/>
      </vt:variant>
      <vt:variant>
        <vt:lpwstr>B00772030681462</vt:lpwstr>
      </vt:variant>
      <vt:variant>
        <vt:i4>327788</vt:i4>
      </vt:variant>
      <vt:variant>
        <vt:i4>2103</vt:i4>
      </vt:variant>
      <vt:variant>
        <vt:i4>0</vt:i4>
      </vt:variant>
      <vt:variant>
        <vt:i4>5</vt:i4>
      </vt:variant>
      <vt:variant>
        <vt:lpwstr>https://web2.westlaw.com/find/default.wl?mt=Westlaw&amp;db=1000006&amp;docname=FLSTS400.023&amp;rp=%2ffind%2fdefault.wl&amp;findtype=L&amp;ordoc=2029858029&amp;tc=-1&amp;vr=2.0&amp;fn=_top&amp;sv=Split&amp;tf=-1&amp;pbc=1FAE8605&amp;rs=WLW13.04</vt:lpwstr>
      </vt:variant>
      <vt:variant>
        <vt:lpwstr/>
      </vt:variant>
      <vt:variant>
        <vt:i4>8323095</vt:i4>
      </vt:variant>
      <vt:variant>
        <vt:i4>2100</vt:i4>
      </vt:variant>
      <vt:variant>
        <vt:i4>0</vt:i4>
      </vt:variant>
      <vt:variant>
        <vt:i4>5</vt:i4>
      </vt:variant>
      <vt:variant>
        <vt:lpwstr>https://web2.westlaw.com/find/default.wl?mt=Westlaw&amp;db=735&amp;tc=-1&amp;rp=%2ffind%2fdefault.wl&amp;findtype=Y&amp;ordoc=2029858029&amp;serialnum=1983157289&amp;vr=2.0&amp;fn=_top&amp;sv=Split&amp;tf=-1&amp;referencepositiontype=S&amp;pbc=1FAE8605&amp;referenceposition=1012&amp;rs=WLW13.04</vt:lpwstr>
      </vt:variant>
      <vt:variant>
        <vt:lpwstr/>
      </vt:variant>
      <vt:variant>
        <vt:i4>2228294</vt:i4>
      </vt:variant>
      <vt:variant>
        <vt:i4>2097</vt:i4>
      </vt:variant>
      <vt:variant>
        <vt:i4>0</vt:i4>
      </vt:variant>
      <vt:variant>
        <vt:i4>5</vt:i4>
      </vt:variant>
      <vt:variant>
        <vt:lpwstr>https://web2.westlaw.com/find/default.wl?mt=Westlaw&amp;db=735&amp;tc=-1&amp;rp=%2ffind%2fdefault.wl&amp;findtype=Y&amp;ordoc=2029858029&amp;serialnum=2002690592&amp;vr=2.0&amp;fn=_top&amp;sv=Split&amp;tf=-1&amp;referencepositiontype=S&amp;pbc=1FAE8605&amp;referenceposition=118&amp;rs=WLW13.04</vt:lpwstr>
      </vt:variant>
      <vt:variant>
        <vt:lpwstr/>
      </vt:variant>
      <vt:variant>
        <vt:i4>5767217</vt:i4>
      </vt:variant>
      <vt:variant>
        <vt:i4>2094</vt:i4>
      </vt:variant>
      <vt:variant>
        <vt:i4>0</vt:i4>
      </vt:variant>
      <vt:variant>
        <vt:i4>5</vt:i4>
      </vt:variant>
      <vt:variant>
        <vt:lpwstr>https://web2.westlaw.com/find/default.wl?mt=Westlaw&amp;db=1000006&amp;docname=FLSTS768.19&amp;rp=%2ffind%2fdefault.wl&amp;findtype=L&amp;ordoc=2029858029&amp;tc=-1&amp;vr=2.0&amp;fn=_top&amp;sv=Split&amp;tf=-1&amp;pbc=1FAE8605&amp;rs=WLW13.04</vt:lpwstr>
      </vt:variant>
      <vt:variant>
        <vt:lpwstr/>
      </vt:variant>
      <vt:variant>
        <vt:i4>8126486</vt:i4>
      </vt:variant>
      <vt:variant>
        <vt:i4>2091</vt:i4>
      </vt:variant>
      <vt:variant>
        <vt:i4>0</vt:i4>
      </vt:variant>
      <vt:variant>
        <vt:i4>5</vt:i4>
      </vt:variant>
      <vt:variant>
        <vt:lpwstr>https://web2.westlaw.com/find/default.wl?mt=Westlaw&amp;db=578&amp;tc=-1&amp;rp=%2ffind%2fdefault.wl&amp;findtype=Y&amp;ordoc=2029858029&amp;serialnum=2012981178&amp;vr=2.0&amp;fn=_top&amp;sv=Split&amp;tf=-1&amp;referencepositiontype=S&amp;pbc=1FAE8605&amp;referenceposition=1262&amp;rs=WLW13.04</vt:lpwstr>
      </vt:variant>
      <vt:variant>
        <vt:lpwstr/>
      </vt:variant>
      <vt:variant>
        <vt:i4>524385</vt:i4>
      </vt:variant>
      <vt:variant>
        <vt:i4>2088</vt:i4>
      </vt:variant>
      <vt:variant>
        <vt:i4>0</vt:i4>
      </vt:variant>
      <vt:variant>
        <vt:i4>5</vt:i4>
      </vt:variant>
      <vt:variant>
        <vt:lpwstr>https://web2.westlaw.com/find/default.wl?mt=Westlaw&amp;db=4645&amp;tc=-1&amp;rp=%2ffind%2fdefault.wl&amp;findtype=Y&amp;ordoc=2029858029&amp;serialnum=2016224467&amp;vr=2.0&amp;fn=_top&amp;sv=Split&amp;tf=-1&amp;referencepositiontype=S&amp;pbc=1FAE8605&amp;referenceposition=46&amp;rs=WLW13.04</vt:lpwstr>
      </vt:variant>
      <vt:variant>
        <vt:lpwstr/>
      </vt:variant>
      <vt:variant>
        <vt:i4>5242935</vt:i4>
      </vt:variant>
      <vt:variant>
        <vt:i4>2085</vt:i4>
      </vt:variant>
      <vt:variant>
        <vt:i4>0</vt:i4>
      </vt:variant>
      <vt:variant>
        <vt:i4>5</vt:i4>
      </vt:variant>
      <vt:variant>
        <vt:lpwstr>https://web2.westlaw.com/find/default.wl?mt=Westlaw&amp;db=4644&amp;tc=-1&amp;rp=%2ffind%2fdefault.wl&amp;findtype=Y&amp;ordoc=2029858029&amp;serialnum=2017879540&amp;vr=2.0&amp;fn=_top&amp;sv=Split&amp;tf=-1&amp;referencepositiontype=S&amp;pbc=1FAE8605&amp;referenceposition=529&amp;rs=WLW13.04</vt:lpwstr>
      </vt:variant>
      <vt:variant>
        <vt:lpwstr/>
      </vt:variant>
      <vt:variant>
        <vt:i4>3342422</vt:i4>
      </vt:variant>
      <vt:variant>
        <vt:i4>2082</vt:i4>
      </vt:variant>
      <vt:variant>
        <vt:i4>0</vt:i4>
      </vt:variant>
      <vt:variant>
        <vt:i4>5</vt:i4>
      </vt:variant>
      <vt:variant>
        <vt:lpwstr>https://web2.westlaw.com/find/default.wl?mt=Westlaw&amp;db=4645&amp;tc=-1&amp;rp=%2ffind%2fdefault.wl&amp;findtype=Y&amp;ordoc=2029858029&amp;serialnum=2021968255&amp;vr=2.0&amp;fn=_top&amp;sv=Split&amp;tf=-1&amp;referencepositiontype=S&amp;pbc=1FAE8605&amp;referenceposition=1258&amp;rs=WLW13.04</vt:lpwstr>
      </vt:variant>
      <vt:variant>
        <vt:lpwstr/>
      </vt:variant>
      <vt:variant>
        <vt:i4>2883659</vt:i4>
      </vt:variant>
      <vt:variant>
        <vt:i4>2079</vt:i4>
      </vt:variant>
      <vt:variant>
        <vt:i4>0</vt:i4>
      </vt:variant>
      <vt:variant>
        <vt:i4>5</vt:i4>
      </vt:variant>
      <vt:variant>
        <vt:lpwstr>https://web2.westlaw.com/find/default.wl?mt=Westlaw&amp;db=595&amp;tc=-1&amp;rp=%2ffind%2fdefault.wl&amp;findtype=Y&amp;ordoc=2029858029&amp;serialnum=1983101433&amp;vr=2.0&amp;fn=_top&amp;sv=Split&amp;tf=-1&amp;referencepositiontype=S&amp;pbc=1FAE8605&amp;referenceposition=371&amp;rs=WLW13.04</vt:lpwstr>
      </vt:variant>
      <vt:variant>
        <vt:lpwstr/>
      </vt:variant>
      <vt:variant>
        <vt:i4>5570619</vt:i4>
      </vt:variant>
      <vt:variant>
        <vt:i4>2076</vt:i4>
      </vt:variant>
      <vt:variant>
        <vt:i4>0</vt:i4>
      </vt:variant>
      <vt:variant>
        <vt:i4>5</vt:i4>
      </vt:variant>
      <vt:variant>
        <vt:lpwstr>https://web2.westlaw.com/find/default.wl?mt=Westlaw&amp;db=4645&amp;tc=-1&amp;rp=%2ffind%2fdefault.wl&amp;findtype=Y&amp;ordoc=2029858029&amp;serialnum=2003403187&amp;vr=2.0&amp;fn=_top&amp;sv=Split&amp;tf=-1&amp;referencepositiontype=S&amp;pbc=1FAE8605&amp;referenceposition=379&amp;rs=WLW13.04</vt:lpwstr>
      </vt:variant>
      <vt:variant>
        <vt:lpwstr/>
      </vt:variant>
      <vt:variant>
        <vt:i4>2097224</vt:i4>
      </vt:variant>
      <vt:variant>
        <vt:i4>2073</vt:i4>
      </vt:variant>
      <vt:variant>
        <vt:i4>0</vt:i4>
      </vt:variant>
      <vt:variant>
        <vt:i4>5</vt:i4>
      </vt:variant>
      <vt:variant>
        <vt:lpwstr>https://web2.westlaw.com/find/default.wl?mt=Westlaw&amp;db=735&amp;tc=-1&amp;rp=%2ffind%2fdefault.wl&amp;findtype=Y&amp;ordoc=2029858029&amp;serialnum=2004632426&amp;vr=2.0&amp;fn=_top&amp;sv=Split&amp;tf=-1&amp;referencepositiontype=S&amp;pbc=1FAE8605&amp;referenceposition=664&amp;rs=WLW13.04</vt:lpwstr>
      </vt:variant>
      <vt:variant>
        <vt:lpwstr/>
      </vt:variant>
      <vt:variant>
        <vt:i4>2621513</vt:i4>
      </vt:variant>
      <vt:variant>
        <vt:i4>2070</vt:i4>
      </vt:variant>
      <vt:variant>
        <vt:i4>0</vt:i4>
      </vt:variant>
      <vt:variant>
        <vt:i4>5</vt:i4>
      </vt:variant>
      <vt:variant>
        <vt:lpwstr>https://web2.westlaw.com/find/default.wl?mt=Westlaw&amp;db=735&amp;tc=-1&amp;rp=%2ffind%2fdefault.wl&amp;findtype=Y&amp;ordoc=2029858029&amp;serialnum=2010205734&amp;vr=2.0&amp;fn=_top&amp;sv=Split&amp;tf=-1&amp;referencepositiontype=S&amp;pbc=1FAE8605&amp;referenceposition=118&amp;rs=WLW13.04</vt:lpwstr>
      </vt:variant>
      <vt:variant>
        <vt:lpwstr/>
      </vt:variant>
      <vt:variant>
        <vt:i4>5898288</vt:i4>
      </vt:variant>
      <vt:variant>
        <vt:i4>2067</vt:i4>
      </vt:variant>
      <vt:variant>
        <vt:i4>0</vt:i4>
      </vt:variant>
      <vt:variant>
        <vt:i4>5</vt:i4>
      </vt:variant>
      <vt:variant>
        <vt:lpwstr>https://web2.westlaw.com/find/default.wl?mt=Westlaw&amp;db=4644&amp;tc=-1&amp;rp=%2ffind%2fdefault.wl&amp;findtype=Y&amp;ordoc=2029858029&amp;serialnum=2018139446&amp;vr=2.0&amp;fn=_top&amp;sv=Split&amp;tf=-1&amp;referencepositiontype=S&amp;pbc=1FAE8605&amp;referenceposition=644&amp;rs=WLW13.04</vt:lpwstr>
      </vt:variant>
      <vt:variant>
        <vt:lpwstr/>
      </vt:variant>
      <vt:variant>
        <vt:i4>5767221</vt:i4>
      </vt:variant>
      <vt:variant>
        <vt:i4>2064</vt:i4>
      </vt:variant>
      <vt:variant>
        <vt:i4>0</vt:i4>
      </vt:variant>
      <vt:variant>
        <vt:i4>5</vt:i4>
      </vt:variant>
      <vt:variant>
        <vt:lpwstr>https://web2.westlaw.com/find/default.wl?mt=Westlaw&amp;db=4645&amp;tc=-1&amp;rp=%2ffind%2fdefault.wl&amp;findtype=Y&amp;ordoc=2029858029&amp;serialnum=2022825026&amp;vr=2.0&amp;fn=_top&amp;sv=Split&amp;tf=-1&amp;referencepositiontype=S&amp;pbc=1FAE8605&amp;referenceposition=593&amp;rs=WLW13.04</vt:lpwstr>
      </vt:variant>
      <vt:variant>
        <vt:lpwstr/>
      </vt:variant>
      <vt:variant>
        <vt:i4>3211369</vt:i4>
      </vt:variant>
      <vt:variant>
        <vt:i4>2061</vt:i4>
      </vt:variant>
      <vt:variant>
        <vt:i4>0</vt:i4>
      </vt:variant>
      <vt:variant>
        <vt:i4>5</vt:i4>
      </vt:variant>
      <vt:variant>
        <vt:lpwstr/>
      </vt:variant>
      <vt:variant>
        <vt:lpwstr>F00332029858029</vt:lpwstr>
      </vt:variant>
      <vt:variant>
        <vt:i4>3211373</vt:i4>
      </vt:variant>
      <vt:variant>
        <vt:i4>2058</vt:i4>
      </vt:variant>
      <vt:variant>
        <vt:i4>0</vt:i4>
      </vt:variant>
      <vt:variant>
        <vt:i4>5</vt:i4>
      </vt:variant>
      <vt:variant>
        <vt:lpwstr/>
      </vt:variant>
      <vt:variant>
        <vt:lpwstr>B00332029858029</vt:lpwstr>
      </vt:variant>
      <vt:variant>
        <vt:i4>4653163</vt:i4>
      </vt:variant>
      <vt:variant>
        <vt:i4>2055</vt:i4>
      </vt:variant>
      <vt:variant>
        <vt:i4>0</vt:i4>
      </vt:variant>
      <vt:variant>
        <vt:i4>5</vt:i4>
      </vt:variant>
      <vt:variant>
        <vt:lpwstr>https://web2.westlaw.com/find/default.wl?rs=WLW13.04&amp;pbc=270BC7E2&amp;vr=2.0&amp;findtype=Y&amp;rp=%2ffind%2fdefault.wl&amp;sv=Split&amp;fn=_top&amp;tf=-1&amp;ordoc=2029749239&amp;mt=Westlaw&amp;serialnum=2004632420&amp;tc=-1</vt:lpwstr>
      </vt:variant>
      <vt:variant>
        <vt:lpwstr/>
      </vt:variant>
      <vt:variant>
        <vt:i4>4653163</vt:i4>
      </vt:variant>
      <vt:variant>
        <vt:i4>2052</vt:i4>
      </vt:variant>
      <vt:variant>
        <vt:i4>0</vt:i4>
      </vt:variant>
      <vt:variant>
        <vt:i4>5</vt:i4>
      </vt:variant>
      <vt:variant>
        <vt:lpwstr>https://web2.westlaw.com/find/default.wl?rs=WLW13.04&amp;pbc=270BC7E2&amp;vr=2.0&amp;findtype=Y&amp;rp=%2ffind%2fdefault.wl&amp;sv=Split&amp;fn=_top&amp;tf=-1&amp;ordoc=2029749239&amp;mt=Westlaw&amp;serialnum=2004632420&amp;tc=-1</vt:lpwstr>
      </vt:variant>
      <vt:variant>
        <vt:lpwstr/>
      </vt:variant>
      <vt:variant>
        <vt:i4>4653163</vt:i4>
      </vt:variant>
      <vt:variant>
        <vt:i4>2049</vt:i4>
      </vt:variant>
      <vt:variant>
        <vt:i4>0</vt:i4>
      </vt:variant>
      <vt:variant>
        <vt:i4>5</vt:i4>
      </vt:variant>
      <vt:variant>
        <vt:lpwstr>https://web2.westlaw.com/find/default.wl?rs=WLW13.04&amp;pbc=270BC7E2&amp;vr=2.0&amp;findtype=Y&amp;rp=%2ffind%2fdefault.wl&amp;sv=Split&amp;fn=_top&amp;tf=-1&amp;ordoc=2029749239&amp;mt=Westlaw&amp;serialnum=2004632420&amp;tc=-1</vt:lpwstr>
      </vt:variant>
      <vt:variant>
        <vt:lpwstr/>
      </vt:variant>
      <vt:variant>
        <vt:i4>4653163</vt:i4>
      </vt:variant>
      <vt:variant>
        <vt:i4>2046</vt:i4>
      </vt:variant>
      <vt:variant>
        <vt:i4>0</vt:i4>
      </vt:variant>
      <vt:variant>
        <vt:i4>5</vt:i4>
      </vt:variant>
      <vt:variant>
        <vt:lpwstr>https://web2.westlaw.com/find/default.wl?rs=WLW13.04&amp;pbc=270BC7E2&amp;vr=2.0&amp;findtype=Y&amp;rp=%2ffind%2fdefault.wl&amp;sv=Split&amp;fn=_top&amp;tf=-1&amp;ordoc=2029749239&amp;mt=Westlaw&amp;serialnum=2004632420&amp;tc=-1</vt:lpwstr>
      </vt:variant>
      <vt:variant>
        <vt:lpwstr/>
      </vt:variant>
      <vt:variant>
        <vt:i4>7340062</vt:i4>
      </vt:variant>
      <vt:variant>
        <vt:i4>2043</vt:i4>
      </vt:variant>
      <vt:variant>
        <vt:i4>0</vt:i4>
      </vt:variant>
      <vt:variant>
        <vt:i4>5</vt:i4>
      </vt:variant>
      <vt:variant>
        <vt:lpwstr>https://web2.westlaw.com/find/default.wl?mt=Westlaw&amp;db=735&amp;tc=-1&amp;rp=%2ffind%2fdefault.wl&amp;findtype=Y&amp;ordoc=2029749239&amp;serialnum=2004632420&amp;vr=2.0&amp;fn=_top&amp;sv=Split&amp;tf=-1&amp;referencepositiontype=S&amp;pbc=270BC7E2&amp;referenceposition=657&amp;rs=WLW13.04</vt:lpwstr>
      </vt:variant>
      <vt:variant>
        <vt:lpwstr/>
      </vt:variant>
      <vt:variant>
        <vt:i4>4653163</vt:i4>
      </vt:variant>
      <vt:variant>
        <vt:i4>2040</vt:i4>
      </vt:variant>
      <vt:variant>
        <vt:i4>0</vt:i4>
      </vt:variant>
      <vt:variant>
        <vt:i4>5</vt:i4>
      </vt:variant>
      <vt:variant>
        <vt:lpwstr>https://web2.westlaw.com/find/default.wl?rs=WLW13.04&amp;pbc=270BC7E2&amp;vr=2.0&amp;findtype=Y&amp;rp=%2ffind%2fdefault.wl&amp;sv=Split&amp;fn=_top&amp;tf=-1&amp;ordoc=2029749239&amp;mt=Westlaw&amp;serialnum=2004632420&amp;tc=-1</vt:lpwstr>
      </vt:variant>
      <vt:variant>
        <vt:lpwstr/>
      </vt:variant>
      <vt:variant>
        <vt:i4>1835053</vt:i4>
      </vt:variant>
      <vt:variant>
        <vt:i4>2037</vt:i4>
      </vt:variant>
      <vt:variant>
        <vt:i4>0</vt:i4>
      </vt:variant>
      <vt:variant>
        <vt:i4>5</vt:i4>
      </vt:variant>
      <vt:variant>
        <vt:lpwstr>https://web2.westlaw.com/find/default.wl?mt=Westlaw&amp;db=735&amp;tc=-1&amp;rp=%2ffind%2fdefault.wl&amp;findtype=Y&amp;ordoc=2029749239&amp;serialnum=2004632420&amp;vr=2.0&amp;fn=_top&amp;sv=Split&amp;tf=-1&amp;pbc=270BC7E2&amp;rs=WLW13.04</vt:lpwstr>
      </vt:variant>
      <vt:variant>
        <vt:lpwstr/>
      </vt:variant>
      <vt:variant>
        <vt:i4>4456485</vt:i4>
      </vt:variant>
      <vt:variant>
        <vt:i4>2034</vt:i4>
      </vt:variant>
      <vt:variant>
        <vt:i4>0</vt:i4>
      </vt:variant>
      <vt:variant>
        <vt:i4>5</vt:i4>
      </vt:variant>
      <vt:variant>
        <vt:lpwstr>https://web2.westlaw.com/find/default.wl?mt=Westlaw&amp;db=578&amp;tc=-1&amp;rp=%2ffind%2fdefault.wl&amp;findtype=Y&amp;ordoc=2028655567&amp;serialnum=1983155390&amp;vr=2.0&amp;fn=_top&amp;sv=Split&amp;tf=-1&amp;pbc=DACB1891&amp;rs=WLW12.10</vt:lpwstr>
      </vt:variant>
      <vt:variant>
        <vt:lpwstr/>
      </vt:variant>
      <vt:variant>
        <vt:i4>1245225</vt:i4>
      </vt:variant>
      <vt:variant>
        <vt:i4>2031</vt:i4>
      </vt:variant>
      <vt:variant>
        <vt:i4>0</vt:i4>
      </vt:variant>
      <vt:variant>
        <vt:i4>5</vt:i4>
      </vt:variant>
      <vt:variant>
        <vt:lpwstr>https://web2.westlaw.com/find/default.wl?mt=Westlaw&amp;db=1000008&amp;docname=IL110P2-1403&amp;rp=%2ffind%2fdefault.wl&amp;findtype=L&amp;ordoc=2028655567&amp;tc=-1&amp;vr=2.0&amp;fn=_top&amp;sv=Split&amp;tf=-1&amp;pbc=DACB1891&amp;rs=WLW12.10</vt:lpwstr>
      </vt:variant>
      <vt:variant>
        <vt:lpwstr/>
      </vt:variant>
      <vt:variant>
        <vt:i4>1507435</vt:i4>
      </vt:variant>
      <vt:variant>
        <vt:i4>2028</vt:i4>
      </vt:variant>
      <vt:variant>
        <vt:i4>0</vt:i4>
      </vt:variant>
      <vt:variant>
        <vt:i4>5</vt:i4>
      </vt:variant>
      <vt:variant>
        <vt:lpwstr>https://web2.westlaw.com/find/default.wl?mt=Westlaw&amp;db=1000008&amp;docname=IL735S5%2f2-1403&amp;rp=%2ffind%2fdefault.wl&amp;findtype=L&amp;ordoc=2028655567&amp;tc=-1&amp;vr=2.0&amp;fn=_top&amp;sv=Split&amp;tf=-1&amp;pbc=DACB1891&amp;rs=WLW12.10</vt:lpwstr>
      </vt:variant>
      <vt:variant>
        <vt:lpwstr/>
      </vt:variant>
      <vt:variant>
        <vt:i4>1507435</vt:i4>
      </vt:variant>
      <vt:variant>
        <vt:i4>2025</vt:i4>
      </vt:variant>
      <vt:variant>
        <vt:i4>0</vt:i4>
      </vt:variant>
      <vt:variant>
        <vt:i4>5</vt:i4>
      </vt:variant>
      <vt:variant>
        <vt:lpwstr>https://web2.westlaw.com/find/default.wl?mt=Westlaw&amp;db=1000008&amp;docname=IL735S5%2f2-1403&amp;rp=%2ffind%2fdefault.wl&amp;findtype=L&amp;ordoc=2028655567&amp;tc=-1&amp;vr=2.0&amp;fn=_top&amp;sv=Split&amp;tf=-1&amp;pbc=DACB1891&amp;rs=WLW12.10</vt:lpwstr>
      </vt:variant>
      <vt:variant>
        <vt:lpwstr/>
      </vt:variant>
      <vt:variant>
        <vt:i4>1507435</vt:i4>
      </vt:variant>
      <vt:variant>
        <vt:i4>2022</vt:i4>
      </vt:variant>
      <vt:variant>
        <vt:i4>0</vt:i4>
      </vt:variant>
      <vt:variant>
        <vt:i4>5</vt:i4>
      </vt:variant>
      <vt:variant>
        <vt:lpwstr>https://web2.westlaw.com/find/default.wl?mt=Westlaw&amp;db=1000008&amp;docname=IL735S5%2f2-1403&amp;rp=%2ffind%2fdefault.wl&amp;findtype=L&amp;ordoc=2028655567&amp;tc=-1&amp;vr=2.0&amp;fn=_top&amp;sv=Split&amp;tf=-1&amp;pbc=DACB1891&amp;rs=WLW12.10</vt:lpwstr>
      </vt:variant>
      <vt:variant>
        <vt:lpwstr/>
      </vt:variant>
      <vt:variant>
        <vt:i4>4849706</vt:i4>
      </vt:variant>
      <vt:variant>
        <vt:i4>2019</vt:i4>
      </vt:variant>
      <vt:variant>
        <vt:i4>0</vt:i4>
      </vt:variant>
      <vt:variant>
        <vt:i4>5</vt:i4>
      </vt:variant>
      <vt:variant>
        <vt:lpwstr>https://web2.westlaw.com/find/default.wl?mt=Westlaw&amp;db=0101580&amp;tc=-1&amp;rp=%2ffind%2fdefault.wl&amp;findtype=Y&amp;ordoc=2028655567&amp;serialnum=0291388700&amp;vr=2.0&amp;fn=_top&amp;sv=Split&amp;tf=-1&amp;pbc=DACB1891&amp;rs=WLW12.10</vt:lpwstr>
      </vt:variant>
      <vt:variant>
        <vt:lpwstr/>
      </vt:variant>
      <vt:variant>
        <vt:i4>4325423</vt:i4>
      </vt:variant>
      <vt:variant>
        <vt:i4>2016</vt:i4>
      </vt:variant>
      <vt:variant>
        <vt:i4>0</vt:i4>
      </vt:variant>
      <vt:variant>
        <vt:i4>5</vt:i4>
      </vt:variant>
      <vt:variant>
        <vt:lpwstr>https://web2.westlaw.com/find/default.wl?mt=Westlaw&amp;db=0119605&amp;tc=-1&amp;rp=%2ffind%2fdefault.wl&amp;findtype=Y&amp;ordoc=2028655567&amp;serialnum=0112568915&amp;vr=2.0&amp;fn=_top&amp;sv=Split&amp;tf=-1&amp;pbc=DACB1891&amp;rs=WLW12.10</vt:lpwstr>
      </vt:variant>
      <vt:variant>
        <vt:lpwstr/>
      </vt:variant>
      <vt:variant>
        <vt:i4>3604578</vt:i4>
      </vt:variant>
      <vt:variant>
        <vt:i4>2013</vt:i4>
      </vt:variant>
      <vt:variant>
        <vt:i4>0</vt:i4>
      </vt:variant>
      <vt:variant>
        <vt:i4>5</vt:i4>
      </vt:variant>
      <vt:variant>
        <vt:lpwstr/>
      </vt:variant>
      <vt:variant>
        <vt:lpwstr>F00332028366910</vt:lpwstr>
      </vt:variant>
      <vt:variant>
        <vt:i4>1638500</vt:i4>
      </vt:variant>
      <vt:variant>
        <vt:i4>2010</vt:i4>
      </vt:variant>
      <vt:variant>
        <vt:i4>0</vt:i4>
      </vt:variant>
      <vt:variant>
        <vt:i4>5</vt:i4>
      </vt:variant>
      <vt:variant>
        <vt:lpwstr>https://web2.westlaw.com/find/default.wl?rs=WLW12.10&amp;pbc=303A65B0&amp;vr=2.0&amp;findtype=Y&amp;rp=%2ffind%2fdefault.wl&amp;sv=Split&amp;fn=_top&amp;tf=-1&amp;ordoc=2028366910&amp;mt=Westlaw&amp;serialnum=2004162269&amp;tc=-1</vt:lpwstr>
      </vt:variant>
      <vt:variant>
        <vt:lpwstr/>
      </vt:variant>
      <vt:variant>
        <vt:i4>1769573</vt:i4>
      </vt:variant>
      <vt:variant>
        <vt:i4>2007</vt:i4>
      </vt:variant>
      <vt:variant>
        <vt:i4>0</vt:i4>
      </vt:variant>
      <vt:variant>
        <vt:i4>5</vt:i4>
      </vt:variant>
      <vt:variant>
        <vt:lpwstr>https://web2.westlaw.com/find/default.wl?rs=WLW12.10&amp;pbc=303A65B0&amp;vr=2.0&amp;findtype=Y&amp;rp=%2ffind%2fdefault.wl&amp;sv=Split&amp;fn=_top&amp;tf=-1&amp;ordoc=2028366910&amp;mt=Westlaw&amp;serialnum=2006393077&amp;tc=-1</vt:lpwstr>
      </vt:variant>
      <vt:variant>
        <vt:lpwstr/>
      </vt:variant>
      <vt:variant>
        <vt:i4>3604582</vt:i4>
      </vt:variant>
      <vt:variant>
        <vt:i4>2004</vt:i4>
      </vt:variant>
      <vt:variant>
        <vt:i4>0</vt:i4>
      </vt:variant>
      <vt:variant>
        <vt:i4>5</vt:i4>
      </vt:variant>
      <vt:variant>
        <vt:lpwstr/>
      </vt:variant>
      <vt:variant>
        <vt:lpwstr>B00332028366910</vt:lpwstr>
      </vt:variant>
      <vt:variant>
        <vt:i4>1048673</vt:i4>
      </vt:variant>
      <vt:variant>
        <vt:i4>2001</vt:i4>
      </vt:variant>
      <vt:variant>
        <vt:i4>0</vt:i4>
      </vt:variant>
      <vt:variant>
        <vt:i4>5</vt:i4>
      </vt:variant>
      <vt:variant>
        <vt:lpwstr>https://web2.westlaw.com/find/default.wl?rs=WLW12.10&amp;pbc=303A65B0&amp;vr=2.0&amp;findtype=Y&amp;rp=%2ffind%2fdefault.wl&amp;sv=Split&amp;fn=_top&amp;tf=-1&amp;ordoc=2028366910&amp;mt=Westlaw&amp;serialnum=2011349871&amp;tc=-1</vt:lpwstr>
      </vt:variant>
      <vt:variant>
        <vt:lpwstr/>
      </vt:variant>
      <vt:variant>
        <vt:i4>2621465</vt:i4>
      </vt:variant>
      <vt:variant>
        <vt:i4>1998</vt:i4>
      </vt:variant>
      <vt:variant>
        <vt:i4>0</vt:i4>
      </vt:variant>
      <vt:variant>
        <vt:i4>5</vt:i4>
      </vt:variant>
      <vt:variant>
        <vt:lpwstr>https://web2.westlaw.com/find/default.wl?mt=Westlaw&amp;db=1006899&amp;docname=IDRRCPR54&amp;rp=%2ffind%2fdefault.wl&amp;findtype=L&amp;ordoc=2028366910&amp;tc=-1&amp;vr=2.0&amp;fn=_top&amp;sv=Split&amp;tf=-1&amp;pbc=303A65B0&amp;rs=WLW12.10</vt:lpwstr>
      </vt:variant>
      <vt:variant>
        <vt:lpwstr/>
      </vt:variant>
      <vt:variant>
        <vt:i4>2621465</vt:i4>
      </vt:variant>
      <vt:variant>
        <vt:i4>1995</vt:i4>
      </vt:variant>
      <vt:variant>
        <vt:i4>0</vt:i4>
      </vt:variant>
      <vt:variant>
        <vt:i4>5</vt:i4>
      </vt:variant>
      <vt:variant>
        <vt:lpwstr>https://web2.westlaw.com/find/default.wl?mt=Westlaw&amp;db=1006899&amp;docname=IDRRCPR54&amp;rp=%2ffind%2fdefault.wl&amp;findtype=L&amp;ordoc=2028366910&amp;tc=-1&amp;vr=2.0&amp;fn=_top&amp;sv=Split&amp;tf=-1&amp;pbc=303A65B0&amp;rs=WLW12.10</vt:lpwstr>
      </vt:variant>
      <vt:variant>
        <vt:lpwstr/>
      </vt:variant>
      <vt:variant>
        <vt:i4>1048673</vt:i4>
      </vt:variant>
      <vt:variant>
        <vt:i4>1992</vt:i4>
      </vt:variant>
      <vt:variant>
        <vt:i4>0</vt:i4>
      </vt:variant>
      <vt:variant>
        <vt:i4>5</vt:i4>
      </vt:variant>
      <vt:variant>
        <vt:lpwstr>https://web2.westlaw.com/find/default.wl?rs=WLW12.10&amp;pbc=303A65B0&amp;vr=2.0&amp;findtype=Y&amp;rp=%2ffind%2fdefault.wl&amp;sv=Split&amp;fn=_top&amp;tf=-1&amp;ordoc=2028366910&amp;mt=Westlaw&amp;serialnum=2011349871&amp;tc=-1</vt:lpwstr>
      </vt:variant>
      <vt:variant>
        <vt:lpwstr/>
      </vt:variant>
      <vt:variant>
        <vt:i4>1048673</vt:i4>
      </vt:variant>
      <vt:variant>
        <vt:i4>1989</vt:i4>
      </vt:variant>
      <vt:variant>
        <vt:i4>0</vt:i4>
      </vt:variant>
      <vt:variant>
        <vt:i4>5</vt:i4>
      </vt:variant>
      <vt:variant>
        <vt:lpwstr>https://web2.westlaw.com/find/default.wl?rs=WLW12.10&amp;pbc=303A65B0&amp;vr=2.0&amp;findtype=Y&amp;rp=%2ffind%2fdefault.wl&amp;sv=Split&amp;fn=_top&amp;tf=-1&amp;ordoc=2028366910&amp;mt=Westlaw&amp;serialnum=2011349871&amp;tc=-1</vt:lpwstr>
      </vt:variant>
      <vt:variant>
        <vt:lpwstr/>
      </vt:variant>
      <vt:variant>
        <vt:i4>5242987</vt:i4>
      </vt:variant>
      <vt:variant>
        <vt:i4>1986</vt:i4>
      </vt:variant>
      <vt:variant>
        <vt:i4>0</vt:i4>
      </vt:variant>
      <vt:variant>
        <vt:i4>5</vt:i4>
      </vt:variant>
      <vt:variant>
        <vt:lpwstr>https://web2.westlaw.com/find/default.wl?mt=Westlaw&amp;db=4645&amp;tc=-1&amp;rp=%2ffind%2fdefault.wl&amp;findtype=Y&amp;ordoc=2028366910&amp;serialnum=2011349871&amp;vr=2.0&amp;fn=_top&amp;sv=Split&amp;tf=-1&amp;referencepositiontype=S&amp;pbc=303A65B0&amp;referenceposition=619&amp;rs=WLW12.10</vt:lpwstr>
      </vt:variant>
      <vt:variant>
        <vt:lpwstr/>
      </vt:variant>
      <vt:variant>
        <vt:i4>2621465</vt:i4>
      </vt:variant>
      <vt:variant>
        <vt:i4>1983</vt:i4>
      </vt:variant>
      <vt:variant>
        <vt:i4>0</vt:i4>
      </vt:variant>
      <vt:variant>
        <vt:i4>5</vt:i4>
      </vt:variant>
      <vt:variant>
        <vt:lpwstr>https://web2.westlaw.com/find/default.wl?mt=Westlaw&amp;db=1006899&amp;docname=IDRRCPR54&amp;rp=%2ffind%2fdefault.wl&amp;findtype=L&amp;ordoc=2028366910&amp;tc=-1&amp;vr=2.0&amp;fn=_top&amp;sv=Split&amp;tf=-1&amp;pbc=303A65B0&amp;rs=WLW12.10</vt:lpwstr>
      </vt:variant>
      <vt:variant>
        <vt:lpwstr/>
      </vt:variant>
      <vt:variant>
        <vt:i4>7995470</vt:i4>
      </vt:variant>
      <vt:variant>
        <vt:i4>1980</vt:i4>
      </vt:variant>
      <vt:variant>
        <vt:i4>0</vt:i4>
      </vt:variant>
      <vt:variant>
        <vt:i4>5</vt:i4>
      </vt:variant>
      <vt:variant>
        <vt:lpwstr>https://web2.westlaw.com/find/default.wl?mt=Westlaw&amp;db=595&amp;tc=-1&amp;rp=%2ffind%2fdefault.wl&amp;findtype=Y&amp;ordoc=2028910567&amp;serialnum=1979121960&amp;vr=2.0&amp;fn=_top&amp;sv=Split&amp;tf=-1&amp;referencepositiontype=S&amp;pbc=7ECD3C14&amp;referenceposition=173&amp;rs=WLW12.10</vt:lpwstr>
      </vt:variant>
      <vt:variant>
        <vt:lpwstr/>
      </vt:variant>
      <vt:variant>
        <vt:i4>7536706</vt:i4>
      </vt:variant>
      <vt:variant>
        <vt:i4>1977</vt:i4>
      </vt:variant>
      <vt:variant>
        <vt:i4>0</vt:i4>
      </vt:variant>
      <vt:variant>
        <vt:i4>5</vt:i4>
      </vt:variant>
      <vt:variant>
        <vt:lpwstr>https://web2.westlaw.com/find/default.wl?mt=Westlaw&amp;db=595&amp;tc=-1&amp;rp=%2ffind%2fdefault.wl&amp;findtype=Y&amp;ordoc=2028910567&amp;serialnum=1977110067&amp;vr=2.0&amp;fn=_top&amp;sv=Split&amp;tf=-1&amp;referencepositiontype=S&amp;pbc=7ECD3C14&amp;referenceposition=288&amp;rs=WLW12.10</vt:lpwstr>
      </vt:variant>
      <vt:variant>
        <vt:lpwstr/>
      </vt:variant>
      <vt:variant>
        <vt:i4>1507432</vt:i4>
      </vt:variant>
      <vt:variant>
        <vt:i4>1974</vt:i4>
      </vt:variant>
      <vt:variant>
        <vt:i4>0</vt:i4>
      </vt:variant>
      <vt:variant>
        <vt:i4>5</vt:i4>
      </vt:variant>
      <vt:variant>
        <vt:lpwstr>https://web2.westlaw.com/find/default.wl?rs=WLW12.10&amp;pbc=7ECD3C14&amp;vr=2.0&amp;findtype=Y&amp;rp=%2ffind%2fdefault.wl&amp;sv=Split&amp;fn=_top&amp;tf=-1&amp;ordoc=2028910567&amp;mt=Westlaw&amp;serialnum=1997218226&amp;tc=-1</vt:lpwstr>
      </vt:variant>
      <vt:variant>
        <vt:lpwstr/>
      </vt:variant>
      <vt:variant>
        <vt:i4>7995466</vt:i4>
      </vt:variant>
      <vt:variant>
        <vt:i4>1971</vt:i4>
      </vt:variant>
      <vt:variant>
        <vt:i4>0</vt:i4>
      </vt:variant>
      <vt:variant>
        <vt:i4>5</vt:i4>
      </vt:variant>
      <vt:variant>
        <vt:lpwstr>https://web2.westlaw.com/find/default.wl?mt=Westlaw&amp;db=595&amp;tc=-1&amp;rp=%2ffind%2fdefault.wl&amp;findtype=Y&amp;ordoc=2028910567&amp;serialnum=1983119775&amp;vr=2.0&amp;fn=_top&amp;sv=Split&amp;tf=-1&amp;referencepositiontype=S&amp;pbc=7ECD3C14&amp;referenceposition=713&amp;rs=WLW12.10</vt:lpwstr>
      </vt:variant>
      <vt:variant>
        <vt:lpwstr/>
      </vt:variant>
      <vt:variant>
        <vt:i4>1114147</vt:i4>
      </vt:variant>
      <vt:variant>
        <vt:i4>1968</vt:i4>
      </vt:variant>
      <vt:variant>
        <vt:i4>0</vt:i4>
      </vt:variant>
      <vt:variant>
        <vt:i4>5</vt:i4>
      </vt:variant>
      <vt:variant>
        <vt:lpwstr>https://web2.westlaw.com/find/default.wl?mt=Westlaw&amp;db=595&amp;tc=-1&amp;rp=%2ffind%2fdefault.wl&amp;findtype=Y&amp;ordoc=2028910567&amp;serialnum=1997218226&amp;vr=2.0&amp;fn=_top&amp;sv=Split&amp;tf=-1&amp;referencepositiontype=S&amp;pbc=7ECD3C14&amp;referenceposition=30&amp;rs=WLW12.10</vt:lpwstr>
      </vt:variant>
      <vt:variant>
        <vt:lpwstr/>
      </vt:variant>
      <vt:variant>
        <vt:i4>7340107</vt:i4>
      </vt:variant>
      <vt:variant>
        <vt:i4>1965</vt:i4>
      </vt:variant>
      <vt:variant>
        <vt:i4>0</vt:i4>
      </vt:variant>
      <vt:variant>
        <vt:i4>5</vt:i4>
      </vt:variant>
      <vt:variant>
        <vt:lpwstr>https://web2.westlaw.com/find/default.wl?mt=Westlaw&amp;db=735&amp;tc=-1&amp;rp=%2ffind%2fdefault.wl&amp;findtype=Y&amp;ordoc=2028075357&amp;serialnum=1957126152&amp;vr=2.0&amp;fn=_top&amp;sv=Split&amp;tf=-1&amp;referencepositiontype=S&amp;pbc=9CA18638&amp;referenceposition=462&amp;rs=WLW12.10</vt:lpwstr>
      </vt:variant>
      <vt:variant>
        <vt:lpwstr/>
      </vt:variant>
      <vt:variant>
        <vt:i4>7471171</vt:i4>
      </vt:variant>
      <vt:variant>
        <vt:i4>1962</vt:i4>
      </vt:variant>
      <vt:variant>
        <vt:i4>0</vt:i4>
      </vt:variant>
      <vt:variant>
        <vt:i4>5</vt:i4>
      </vt:variant>
      <vt:variant>
        <vt:lpwstr>https://web2.westlaw.com/find/default.wl?mt=Westlaw&amp;db=595&amp;tc=-1&amp;rp=%2ffind%2fdefault.wl&amp;findtype=Y&amp;ordoc=2028075357&amp;serialnum=1977110063&amp;vr=2.0&amp;fn=_top&amp;sv=Split&amp;tf=-1&amp;referencepositiontype=S&amp;pbc=9CA18638&amp;referenceposition=273&amp;rs=WLW12.10</vt:lpwstr>
      </vt:variant>
      <vt:variant>
        <vt:lpwstr/>
      </vt:variant>
      <vt:variant>
        <vt:i4>1441911</vt:i4>
      </vt:variant>
      <vt:variant>
        <vt:i4>1959</vt:i4>
      </vt:variant>
      <vt:variant>
        <vt:i4>0</vt:i4>
      </vt:variant>
      <vt:variant>
        <vt:i4>5</vt:i4>
      </vt:variant>
      <vt:variant>
        <vt:lpwstr>https://web2.westlaw.com/find/default.wl?mt=Westlaw&amp;db=578&amp;tc=-1&amp;rp=%2ffind%2fdefault.wl&amp;findtype=Y&amp;ordoc=2028075357&amp;serialnum=1958111700&amp;vr=2.0&amp;fn=_top&amp;sv=Split&amp;tf=-1&amp;pbc=9CA18638&amp;rs=WLW12.10</vt:lpwstr>
      </vt:variant>
      <vt:variant>
        <vt:lpwstr/>
      </vt:variant>
      <vt:variant>
        <vt:i4>1441911</vt:i4>
      </vt:variant>
      <vt:variant>
        <vt:i4>1956</vt:i4>
      </vt:variant>
      <vt:variant>
        <vt:i4>0</vt:i4>
      </vt:variant>
      <vt:variant>
        <vt:i4>5</vt:i4>
      </vt:variant>
      <vt:variant>
        <vt:lpwstr>https://web2.westlaw.com/find/default.wl?mt=Westlaw&amp;db=578&amp;tc=-1&amp;rp=%2ffind%2fdefault.wl&amp;findtype=Y&amp;ordoc=2028075357&amp;serialnum=1958111700&amp;vr=2.0&amp;fn=_top&amp;sv=Split&amp;tf=-1&amp;pbc=9CA18638&amp;rs=WLW12.10</vt:lpwstr>
      </vt:variant>
      <vt:variant>
        <vt:lpwstr/>
      </vt:variant>
      <vt:variant>
        <vt:i4>3473519</vt:i4>
      </vt:variant>
      <vt:variant>
        <vt:i4>1953</vt:i4>
      </vt:variant>
      <vt:variant>
        <vt:i4>0</vt:i4>
      </vt:variant>
      <vt:variant>
        <vt:i4>5</vt:i4>
      </vt:variant>
      <vt:variant>
        <vt:lpwstr/>
      </vt:variant>
      <vt:variant>
        <vt:lpwstr>F00552028075357</vt:lpwstr>
      </vt:variant>
      <vt:variant>
        <vt:i4>8323146</vt:i4>
      </vt:variant>
      <vt:variant>
        <vt:i4>1950</vt:i4>
      </vt:variant>
      <vt:variant>
        <vt:i4>0</vt:i4>
      </vt:variant>
      <vt:variant>
        <vt:i4>5</vt:i4>
      </vt:variant>
      <vt:variant>
        <vt:lpwstr>https://web2.westlaw.com/find/default.wl?mt=Westlaw&amp;db=601&amp;tc=-1&amp;rp=%2ffind%2fdefault.wl&amp;findtype=Y&amp;ordoc=2028075357&amp;serialnum=1914011898&amp;vr=2.0&amp;fn=_top&amp;sv=Split&amp;tf=-1&amp;referencepositiontype=S&amp;pbc=9CA18638&amp;referenceposition=775&amp;rs=WLW12.10</vt:lpwstr>
      </vt:variant>
      <vt:variant>
        <vt:lpwstr/>
      </vt:variant>
      <vt:variant>
        <vt:i4>3473515</vt:i4>
      </vt:variant>
      <vt:variant>
        <vt:i4>1947</vt:i4>
      </vt:variant>
      <vt:variant>
        <vt:i4>0</vt:i4>
      </vt:variant>
      <vt:variant>
        <vt:i4>5</vt:i4>
      </vt:variant>
      <vt:variant>
        <vt:lpwstr/>
      </vt:variant>
      <vt:variant>
        <vt:lpwstr>B00552028075357</vt:lpwstr>
      </vt:variant>
      <vt:variant>
        <vt:i4>7798849</vt:i4>
      </vt:variant>
      <vt:variant>
        <vt:i4>1944</vt:i4>
      </vt:variant>
      <vt:variant>
        <vt:i4>0</vt:i4>
      </vt:variant>
      <vt:variant>
        <vt:i4>5</vt:i4>
      </vt:variant>
      <vt:variant>
        <vt:lpwstr>https://web2.westlaw.com/find/default.wl?mt=Westlaw&amp;db=578&amp;tc=-1&amp;rp=%2ffind%2fdefault.wl&amp;findtype=Y&amp;ordoc=2028075357&amp;serialnum=1958111700&amp;vr=2.0&amp;fn=_top&amp;sv=Split&amp;tf=-1&amp;referencepositiontype=S&amp;pbc=9CA18638&amp;referenceposition=408&amp;rs=WLW12.10</vt:lpwstr>
      </vt:variant>
      <vt:variant>
        <vt:lpwstr/>
      </vt:variant>
      <vt:variant>
        <vt:i4>1572976</vt:i4>
      </vt:variant>
      <vt:variant>
        <vt:i4>1941</vt:i4>
      </vt:variant>
      <vt:variant>
        <vt:i4>0</vt:i4>
      </vt:variant>
      <vt:variant>
        <vt:i4>5</vt:i4>
      </vt:variant>
      <vt:variant>
        <vt:lpwstr>https://web2.westlaw.com/find/default.wl?mt=Westlaw&amp;db=0156834&amp;tc=-1&amp;rp=%2ffind%2fdefault.wl&amp;findtype=Y&amp;ordoc=2028075357&amp;serialnum=0289584171&amp;vr=2.0&amp;fn=_top&amp;sv=Split&amp;tf=-1&amp;pbc=9CA18638&amp;rs=WLW12.10</vt:lpwstr>
      </vt:variant>
      <vt:variant>
        <vt:lpwstr/>
      </vt:variant>
      <vt:variant>
        <vt:i4>8061002</vt:i4>
      </vt:variant>
      <vt:variant>
        <vt:i4>1938</vt:i4>
      </vt:variant>
      <vt:variant>
        <vt:i4>0</vt:i4>
      </vt:variant>
      <vt:variant>
        <vt:i4>5</vt:i4>
      </vt:variant>
      <vt:variant>
        <vt:lpwstr>https://web2.westlaw.com/find/default.wl?mt=Westlaw&amp;db=757&amp;tc=-1&amp;rp=%2ffind%2fdefault.wl&amp;findtype=Y&amp;ordoc=2028075357&amp;serialnum=1885016271&amp;vr=2.0&amp;fn=_top&amp;sv=Split&amp;tf=-1&amp;referencepositiontype=S&amp;pbc=9CA18638&amp;referenceposition=110&amp;rs=WLW12.10</vt:lpwstr>
      </vt:variant>
      <vt:variant>
        <vt:lpwstr/>
      </vt:variant>
      <vt:variant>
        <vt:i4>7471171</vt:i4>
      </vt:variant>
      <vt:variant>
        <vt:i4>1935</vt:i4>
      </vt:variant>
      <vt:variant>
        <vt:i4>0</vt:i4>
      </vt:variant>
      <vt:variant>
        <vt:i4>5</vt:i4>
      </vt:variant>
      <vt:variant>
        <vt:lpwstr>https://web2.westlaw.com/find/default.wl?mt=Westlaw&amp;db=595&amp;tc=-1&amp;rp=%2ffind%2fdefault.wl&amp;findtype=Y&amp;ordoc=2028075357&amp;serialnum=1977110063&amp;vr=2.0&amp;fn=_top&amp;sv=Split&amp;tf=-1&amp;referencepositiontype=S&amp;pbc=9CA18638&amp;referenceposition=273&amp;rs=WLW12.10</vt:lpwstr>
      </vt:variant>
      <vt:variant>
        <vt:lpwstr/>
      </vt:variant>
      <vt:variant>
        <vt:i4>4391010</vt:i4>
      </vt:variant>
      <vt:variant>
        <vt:i4>1932</vt:i4>
      </vt:variant>
      <vt:variant>
        <vt:i4>0</vt:i4>
      </vt:variant>
      <vt:variant>
        <vt:i4>5</vt:i4>
      </vt:variant>
      <vt:variant>
        <vt:lpwstr>https://web2.westlaw.com/find/default.wl?mt=Westlaw&amp;db=0121207&amp;docname=REST3DTRUSTSs41&amp;rp=%2ffind%2fdefault.wl&amp;findtype=Y&amp;ordoc=2028184120&amp;tc=-1&amp;vr=2.0&amp;fn=_top&amp;sv=Split&amp;tf=-1&amp;pbc=7B157E4D&amp;rs=WLW12.10</vt:lpwstr>
      </vt:variant>
      <vt:variant>
        <vt:lpwstr/>
      </vt:variant>
      <vt:variant>
        <vt:i4>1703979</vt:i4>
      </vt:variant>
      <vt:variant>
        <vt:i4>1929</vt:i4>
      </vt:variant>
      <vt:variant>
        <vt:i4>0</vt:i4>
      </vt:variant>
      <vt:variant>
        <vt:i4>5</vt:i4>
      </vt:variant>
      <vt:variant>
        <vt:lpwstr>https://web2.westlaw.com/find/default.wl?mt=Westlaw&amp;db=0101580&amp;tc=-1&amp;rp=%2ffind%2fdefault.wl&amp;findtype=Y&amp;ordoc=2028184120&amp;serialnum=0291388628&amp;vr=2.0&amp;fn=_top&amp;sv=Split&amp;tf=-1&amp;pbc=7B157E4D&amp;rs=WLW12.10</vt:lpwstr>
      </vt:variant>
      <vt:variant>
        <vt:lpwstr/>
      </vt:variant>
      <vt:variant>
        <vt:i4>1703979</vt:i4>
      </vt:variant>
      <vt:variant>
        <vt:i4>1926</vt:i4>
      </vt:variant>
      <vt:variant>
        <vt:i4>0</vt:i4>
      </vt:variant>
      <vt:variant>
        <vt:i4>5</vt:i4>
      </vt:variant>
      <vt:variant>
        <vt:lpwstr>https://web2.westlaw.com/find/default.wl?mt=Westlaw&amp;db=0101580&amp;tc=-1&amp;rp=%2ffind%2fdefault.wl&amp;findtype=Y&amp;ordoc=2028184120&amp;serialnum=0291388628&amp;vr=2.0&amp;fn=_top&amp;sv=Split&amp;tf=-1&amp;pbc=7B157E4D&amp;rs=WLW12.10</vt:lpwstr>
      </vt:variant>
      <vt:variant>
        <vt:lpwstr/>
      </vt:variant>
      <vt:variant>
        <vt:i4>4325479</vt:i4>
      </vt:variant>
      <vt:variant>
        <vt:i4>1923</vt:i4>
      </vt:variant>
      <vt:variant>
        <vt:i4>0</vt:i4>
      </vt:variant>
      <vt:variant>
        <vt:i4>5</vt:i4>
      </vt:variant>
      <vt:variant>
        <vt:lpwstr>https://web2.westlaw.com/find/default.wl?mt=Westlaw&amp;db=0121207&amp;docname=REST3DTRUSTSs10&amp;rp=%2ffind%2fdefault.wl&amp;findtype=Y&amp;ordoc=2028184120&amp;tc=-1&amp;vr=2.0&amp;fn=_top&amp;sv=Split&amp;tf=-1&amp;pbc=7B157E4D&amp;rs=WLW12.10</vt:lpwstr>
      </vt:variant>
      <vt:variant>
        <vt:lpwstr/>
      </vt:variant>
      <vt:variant>
        <vt:i4>1835048</vt:i4>
      </vt:variant>
      <vt:variant>
        <vt:i4>1920</vt:i4>
      </vt:variant>
      <vt:variant>
        <vt:i4>0</vt:i4>
      </vt:variant>
      <vt:variant>
        <vt:i4>5</vt:i4>
      </vt:variant>
      <vt:variant>
        <vt:lpwstr>https://web2.westlaw.com/find/default.wl?mt=Westlaw&amp;db=0101580&amp;tc=-1&amp;rp=%2ffind%2fdefault.wl&amp;findtype=Y&amp;ordoc=2028184120&amp;serialnum=0291388548&amp;vr=2.0&amp;fn=_top&amp;sv=Split&amp;tf=-1&amp;pbc=7B157E4D&amp;rs=WLW12.10</vt:lpwstr>
      </vt:variant>
      <vt:variant>
        <vt:lpwstr/>
      </vt:variant>
      <vt:variant>
        <vt:i4>6881350</vt:i4>
      </vt:variant>
      <vt:variant>
        <vt:i4>1917</vt:i4>
      </vt:variant>
      <vt:variant>
        <vt:i4>0</vt:i4>
      </vt:variant>
      <vt:variant>
        <vt:i4>5</vt:i4>
      </vt:variant>
      <vt:variant>
        <vt:lpwstr>https://web2.westlaw.com/find/default.wl?mt=Westlaw&amp;db=1000042&amp;docname=MAST207S8&amp;rp=%2ffind%2fdefault.wl&amp;findtype=L&amp;ordoc=2028275421&amp;tc=-1&amp;vr=2.0&amp;fn=_top&amp;sv=Split&amp;tf=-1&amp;pbc=6EA074FE&amp;rs=WLW12.10</vt:lpwstr>
      </vt:variant>
      <vt:variant>
        <vt:lpwstr/>
      </vt:variant>
      <vt:variant>
        <vt:i4>4718634</vt:i4>
      </vt:variant>
      <vt:variant>
        <vt:i4>1914</vt:i4>
      </vt:variant>
      <vt:variant>
        <vt:i4>0</vt:i4>
      </vt:variant>
      <vt:variant>
        <vt:i4>5</vt:i4>
      </vt:variant>
      <vt:variant>
        <vt:lpwstr>https://web2.westlaw.com/find/default.wl?mt=Westlaw&amp;db=521&amp;tc=-1&amp;rp=%2ffind%2fdefault.wl&amp;findtype=Y&amp;ordoc=2028275421&amp;serialnum=1844006497&amp;vr=2.0&amp;fn=_top&amp;sv=Split&amp;tf=-1&amp;pbc=6EA074FE&amp;rs=WLW12.10</vt:lpwstr>
      </vt:variant>
      <vt:variant>
        <vt:lpwstr/>
      </vt:variant>
      <vt:variant>
        <vt:i4>4784187</vt:i4>
      </vt:variant>
      <vt:variant>
        <vt:i4>1911</vt:i4>
      </vt:variant>
      <vt:variant>
        <vt:i4>0</vt:i4>
      </vt:variant>
      <vt:variant>
        <vt:i4>5</vt:i4>
      </vt:variant>
      <vt:variant>
        <vt:lpwstr>https://web2.westlaw.com/find/default.wl?rs=WLW12.10&amp;pbc=6EA074FE&amp;vr=2.0&amp;findtype=Y&amp;rp=%2ffind%2fdefault.wl&amp;sv=Split&amp;fn=_top&amp;tf=-1&amp;ordoc=2028275421&amp;mt=Westlaw&amp;serialnum=2009673732&amp;tc=-1</vt:lpwstr>
      </vt:variant>
      <vt:variant>
        <vt:lpwstr/>
      </vt:variant>
      <vt:variant>
        <vt:i4>4587574</vt:i4>
      </vt:variant>
      <vt:variant>
        <vt:i4>1908</vt:i4>
      </vt:variant>
      <vt:variant>
        <vt:i4>0</vt:i4>
      </vt:variant>
      <vt:variant>
        <vt:i4>5</vt:i4>
      </vt:variant>
      <vt:variant>
        <vt:lpwstr>https://web2.westlaw.com/find/default.wl?rs=WLW12.10&amp;pbc=6EA074FE&amp;vr=2.0&amp;findtype=Y&amp;rp=%2ffind%2fdefault.wl&amp;sv=Split&amp;fn=_top&amp;tf=-1&amp;ordoc=2028275421&amp;mt=Westlaw&amp;serialnum=1999277968&amp;tc=-1</vt:lpwstr>
      </vt:variant>
      <vt:variant>
        <vt:lpwstr/>
      </vt:variant>
      <vt:variant>
        <vt:i4>5111847</vt:i4>
      </vt:variant>
      <vt:variant>
        <vt:i4>1905</vt:i4>
      </vt:variant>
      <vt:variant>
        <vt:i4>0</vt:i4>
      </vt:variant>
      <vt:variant>
        <vt:i4>5</vt:i4>
      </vt:variant>
      <vt:variant>
        <vt:lpwstr>https://web2.westlaw.com/find/default.wl?mt=Westlaw&amp;db=162&amp;tc=-1&amp;rp=%2ffind%2fdefault.wl&amp;findtype=Y&amp;ordoc=2028275421&amp;serialnum=1999277968&amp;vr=2.0&amp;fn=_top&amp;sv=Split&amp;tf=-1&amp;pbc=6EA074FE&amp;rs=WLW12.10</vt:lpwstr>
      </vt:variant>
      <vt:variant>
        <vt:lpwstr/>
      </vt:variant>
      <vt:variant>
        <vt:i4>4456484</vt:i4>
      </vt:variant>
      <vt:variant>
        <vt:i4>1902</vt:i4>
      </vt:variant>
      <vt:variant>
        <vt:i4>0</vt:i4>
      </vt:variant>
      <vt:variant>
        <vt:i4>5</vt:i4>
      </vt:variant>
      <vt:variant>
        <vt:lpwstr>https://web2.westlaw.com/find/default.wl?mt=Westlaw&amp;db=162&amp;tc=-1&amp;rp=%2ffind%2fdefault.wl&amp;findtype=Y&amp;ordoc=2028275421&amp;serialnum=2022236357&amp;vr=2.0&amp;fn=_top&amp;sv=Split&amp;tf=-1&amp;pbc=6EA074FE&amp;rs=WLW12.10</vt:lpwstr>
      </vt:variant>
      <vt:variant>
        <vt:lpwstr/>
      </vt:variant>
      <vt:variant>
        <vt:i4>39</vt:i4>
      </vt:variant>
      <vt:variant>
        <vt:i4>1899</vt:i4>
      </vt:variant>
      <vt:variant>
        <vt:i4>0</vt:i4>
      </vt:variant>
      <vt:variant>
        <vt:i4>5</vt:i4>
      </vt:variant>
      <vt:variant>
        <vt:lpwstr>https://web2.westlaw.com/find/default.wl?mt=Westlaw&amp;db=1000883&amp;docname=VTST18S5165&amp;rp=%2ffind%2fdefault.wl&amp;findtype=L&amp;ordoc=2028275421&amp;tc=-1&amp;vr=2.0&amp;fn=_top&amp;sv=Split&amp;tf=-1&amp;pbc=6EA074FE&amp;rs=WLW12.10</vt:lpwstr>
      </vt:variant>
      <vt:variant>
        <vt:lpwstr/>
      </vt:variant>
      <vt:variant>
        <vt:i4>327719</vt:i4>
      </vt:variant>
      <vt:variant>
        <vt:i4>1896</vt:i4>
      </vt:variant>
      <vt:variant>
        <vt:i4>0</vt:i4>
      </vt:variant>
      <vt:variant>
        <vt:i4>5</vt:i4>
      </vt:variant>
      <vt:variant>
        <vt:lpwstr>https://web2.westlaw.com/find/default.wl?mt=Westlaw&amp;db=1000883&amp;docname=VTST18S5160&amp;rp=%2ffind%2fdefault.wl&amp;findtype=L&amp;ordoc=2028275421&amp;tc=-1&amp;vr=2.0&amp;fn=_top&amp;sv=Split&amp;tf=-1&amp;pbc=6EA074FE&amp;rs=WLW12.10</vt:lpwstr>
      </vt:variant>
      <vt:variant>
        <vt:lpwstr/>
      </vt:variant>
      <vt:variant>
        <vt:i4>4849700</vt:i4>
      </vt:variant>
      <vt:variant>
        <vt:i4>1893</vt:i4>
      </vt:variant>
      <vt:variant>
        <vt:i4>0</vt:i4>
      </vt:variant>
      <vt:variant>
        <vt:i4>5</vt:i4>
      </vt:variant>
      <vt:variant>
        <vt:lpwstr>https://web2.westlaw.com/find/default.wl?mt=Westlaw&amp;db=708&amp;tc=-1&amp;rp=%2ffind%2fdefault.wl&amp;findtype=Y&amp;ordoc=2028275421&amp;serialnum=2011442167&amp;vr=2.0&amp;fn=_top&amp;sv=Split&amp;tf=-1&amp;pbc=6EA074FE&amp;rs=WLW12.10</vt:lpwstr>
      </vt:variant>
      <vt:variant>
        <vt:lpwstr/>
      </vt:variant>
      <vt:variant>
        <vt:i4>4259882</vt:i4>
      </vt:variant>
      <vt:variant>
        <vt:i4>1890</vt:i4>
      </vt:variant>
      <vt:variant>
        <vt:i4>0</vt:i4>
      </vt:variant>
      <vt:variant>
        <vt:i4>5</vt:i4>
      </vt:variant>
      <vt:variant>
        <vt:lpwstr>https://web2.westlaw.com/find/default.wl?mt=Westlaw&amp;db=162&amp;tc=-1&amp;rp=%2ffind%2fdefault.wl&amp;findtype=Y&amp;ordoc=2028275421&amp;serialnum=2009673732&amp;vr=2.0&amp;fn=_top&amp;sv=Split&amp;tf=-1&amp;pbc=6EA074FE&amp;rs=WLW12.10</vt:lpwstr>
      </vt:variant>
      <vt:variant>
        <vt:lpwstr/>
      </vt:variant>
      <vt:variant>
        <vt:i4>6291526</vt:i4>
      </vt:variant>
      <vt:variant>
        <vt:i4>1887</vt:i4>
      </vt:variant>
      <vt:variant>
        <vt:i4>0</vt:i4>
      </vt:variant>
      <vt:variant>
        <vt:i4>5</vt:i4>
      </vt:variant>
      <vt:variant>
        <vt:lpwstr>https://web2.westlaw.com/find/default.wl?mt=Westlaw&amp;db=1000042&amp;docname=MAST207S1&amp;rp=%2ffind%2fdefault.wl&amp;findtype=L&amp;ordoc=2028275421&amp;tc=-1&amp;vr=2.0&amp;fn=_top&amp;sv=Split&amp;tf=-1&amp;pbc=6EA074FE&amp;rs=WLW12.10</vt:lpwstr>
      </vt:variant>
      <vt:variant>
        <vt:lpwstr/>
      </vt:variant>
      <vt:variant>
        <vt:i4>4390951</vt:i4>
      </vt:variant>
      <vt:variant>
        <vt:i4>1884</vt:i4>
      </vt:variant>
      <vt:variant>
        <vt:i4>0</vt:i4>
      </vt:variant>
      <vt:variant>
        <vt:i4>5</vt:i4>
      </vt:variant>
      <vt:variant>
        <vt:lpwstr>https://web2.westlaw.com/find/default.wl?mt=Westlaw&amp;db=578&amp;tc=-1&amp;rp=%2ffind%2fdefault.wl&amp;findtype=Y&amp;ordoc=2028275421&amp;serialnum=2003847757&amp;vr=2.0&amp;fn=_top&amp;sv=Split&amp;tf=-1&amp;pbc=6EA074FE&amp;rs=WLW12.10</vt:lpwstr>
      </vt:variant>
      <vt:variant>
        <vt:lpwstr/>
      </vt:variant>
      <vt:variant>
        <vt:i4>6094911</vt:i4>
      </vt:variant>
      <vt:variant>
        <vt:i4>1881</vt:i4>
      </vt:variant>
      <vt:variant>
        <vt:i4>0</vt:i4>
      </vt:variant>
      <vt:variant>
        <vt:i4>5</vt:i4>
      </vt:variant>
      <vt:variant>
        <vt:lpwstr>https://web2.westlaw.com/find/default.wl?mt=Westlaw&amp;db=1000006&amp;docname=FLSTS736.0706&amp;rp=%2ffind%2fdefault.wl&amp;findtype=L&amp;ordoc=2028322107&amp;tc=-1&amp;vr=2.0&amp;fn=_top&amp;sv=Split&amp;tf=-1&amp;referencepositiontype=T&amp;pbc=14962BDF&amp;referenceposition=SP%3b0446000051070&amp;rs=WLW12.10</vt:lpwstr>
      </vt:variant>
      <vt:variant>
        <vt:lpwstr/>
      </vt:variant>
      <vt:variant>
        <vt:i4>5242991</vt:i4>
      </vt:variant>
      <vt:variant>
        <vt:i4>1878</vt:i4>
      </vt:variant>
      <vt:variant>
        <vt:i4>0</vt:i4>
      </vt:variant>
      <vt:variant>
        <vt:i4>5</vt:i4>
      </vt:variant>
      <vt:variant>
        <vt:lpwstr>https://web2.westlaw.com/find/default.wl?mt=Westlaw&amp;db=1000006&amp;docname=FLSTS736.0706&amp;rp=%2ffind%2fdefault.wl&amp;findtype=L&amp;ordoc=2028322107&amp;tc=-1&amp;vr=2.0&amp;fn=_top&amp;sv=Split&amp;tf=-1&amp;referencepositiontype=T&amp;pbc=14962BDF&amp;referenceposition=SP%3bf1c50000821b0&amp;rs=WLW12.10</vt:lpwstr>
      </vt:variant>
      <vt:variant>
        <vt:lpwstr/>
      </vt:variant>
      <vt:variant>
        <vt:i4>2490443</vt:i4>
      </vt:variant>
      <vt:variant>
        <vt:i4>1875</vt:i4>
      </vt:variant>
      <vt:variant>
        <vt:i4>0</vt:i4>
      </vt:variant>
      <vt:variant>
        <vt:i4>5</vt:i4>
      </vt:variant>
      <vt:variant>
        <vt:lpwstr>https://web2.westlaw.com/find/default.wl?mt=Westlaw&amp;db=713&amp;tc=-1&amp;rp=%2ffind%2fdefault.wl&amp;findtype=Y&amp;ordoc=2020670447&amp;serialnum=1993233467&amp;vr=2.0&amp;fn=_top&amp;sv=Split&amp;tf=-1&amp;referencepositiontype=S&amp;pbc=A8564083&amp;referenceposition=382&amp;rs=WLW12.10</vt:lpwstr>
      </vt:variant>
      <vt:variant>
        <vt:lpwstr/>
      </vt:variant>
      <vt:variant>
        <vt:i4>2490443</vt:i4>
      </vt:variant>
      <vt:variant>
        <vt:i4>1872</vt:i4>
      </vt:variant>
      <vt:variant>
        <vt:i4>0</vt:i4>
      </vt:variant>
      <vt:variant>
        <vt:i4>5</vt:i4>
      </vt:variant>
      <vt:variant>
        <vt:lpwstr>https://web2.westlaw.com/find/default.wl?mt=Westlaw&amp;db=713&amp;tc=-1&amp;rp=%2ffind%2fdefault.wl&amp;findtype=Y&amp;ordoc=2020670447&amp;serialnum=1993233467&amp;vr=2.0&amp;fn=_top&amp;sv=Split&amp;tf=-1&amp;referencepositiontype=S&amp;pbc=A8564083&amp;referenceposition=382&amp;rs=WLW12.10</vt:lpwstr>
      </vt:variant>
      <vt:variant>
        <vt:lpwstr/>
      </vt:variant>
      <vt:variant>
        <vt:i4>2490437</vt:i4>
      </vt:variant>
      <vt:variant>
        <vt:i4>1869</vt:i4>
      </vt:variant>
      <vt:variant>
        <vt:i4>0</vt:i4>
      </vt:variant>
      <vt:variant>
        <vt:i4>5</vt:i4>
      </vt:variant>
      <vt:variant>
        <vt:lpwstr>https://web2.westlaw.com/find/default.wl?mt=Westlaw&amp;db=713&amp;tc=-1&amp;rp=%2ffind%2fdefault.wl&amp;findtype=Y&amp;ordoc=2020670447&amp;serialnum=1986108630&amp;vr=2.0&amp;fn=_top&amp;sv=Split&amp;tf=-1&amp;referencepositiontype=S&amp;pbc=A8564083&amp;referenceposition=459&amp;rs=WLW12.10</vt:lpwstr>
      </vt:variant>
      <vt:variant>
        <vt:lpwstr/>
      </vt:variant>
      <vt:variant>
        <vt:i4>6750296</vt:i4>
      </vt:variant>
      <vt:variant>
        <vt:i4>1866</vt:i4>
      </vt:variant>
      <vt:variant>
        <vt:i4>0</vt:i4>
      </vt:variant>
      <vt:variant>
        <vt:i4>5</vt:i4>
      </vt:variant>
      <vt:variant>
        <vt:lpwstr>https://web2.westlaw.com/find/default.wl?mt=Westlaw&amp;db=1000004&amp;docname=ARSTS28-39-407&amp;rp=%2ffind%2fdefault.wl&amp;findtype=L&amp;ordoc=2020670447&amp;tc=-1&amp;vr=2.0&amp;fn=_top&amp;sv=Split&amp;tf=-1&amp;referencepositiontype=T&amp;pbc=A8564083&amp;referenceposition=SP%3b8b3b0000958a4&amp;rs=WLW12.10</vt:lpwstr>
      </vt:variant>
      <vt:variant>
        <vt:lpwstr/>
      </vt:variant>
      <vt:variant>
        <vt:i4>4718717</vt:i4>
      </vt:variant>
      <vt:variant>
        <vt:i4>1863</vt:i4>
      </vt:variant>
      <vt:variant>
        <vt:i4>0</vt:i4>
      </vt:variant>
      <vt:variant>
        <vt:i4>5</vt:i4>
      </vt:variant>
      <vt:variant>
        <vt:lpwstr>https://web2.westlaw.com/find/default.wl?mt=Westlaw&amp;db=602&amp;tc=-1&amp;rp=%2ffind%2fdefault.wl&amp;findtype=Y&amp;ordoc=2029078992&amp;serialnum=1983126737&amp;vr=2.0&amp;fn=_top&amp;sv=Split&amp;tf=-1&amp;pbc=D2519788&amp;rs=WLW12.10</vt:lpwstr>
      </vt:variant>
      <vt:variant>
        <vt:lpwstr/>
      </vt:variant>
      <vt:variant>
        <vt:i4>1310832</vt:i4>
      </vt:variant>
      <vt:variant>
        <vt:i4>1860</vt:i4>
      </vt:variant>
      <vt:variant>
        <vt:i4>0</vt:i4>
      </vt:variant>
      <vt:variant>
        <vt:i4>5</vt:i4>
      </vt:variant>
      <vt:variant>
        <vt:lpwstr>https://web2.westlaw.com/find/default.wl?mt=Westlaw&amp;db=578&amp;tc=-1&amp;rp=%2ffind%2fdefault.wl&amp;findtype=Y&amp;ordoc=2030337427&amp;serialnum=1978199884&amp;vr=2.0&amp;fn=_top&amp;sv=Split&amp;tf=-1&amp;pbc=46B5412A&amp;rs=WLW13.04</vt:lpwstr>
      </vt:variant>
      <vt:variant>
        <vt:lpwstr/>
      </vt:variant>
      <vt:variant>
        <vt:i4>6225960</vt:i4>
      </vt:variant>
      <vt:variant>
        <vt:i4>1857</vt:i4>
      </vt:variant>
      <vt:variant>
        <vt:i4>0</vt:i4>
      </vt:variant>
      <vt:variant>
        <vt:i4>5</vt:i4>
      </vt:variant>
      <vt:variant>
        <vt:lpwstr>https://web2.westlaw.com/find/default.wl?mt=Westlaw&amp;db=1000077&amp;docname=NYEPS11-2.3&amp;rp=%2ffind%2fdefault.wl&amp;findtype=L&amp;ordoc=2028842447&amp;tc=-1&amp;vr=2.0&amp;fn=_top&amp;sv=Split&amp;tf=-1&amp;pbc=8339A510&amp;rs=WLW12.10</vt:lpwstr>
      </vt:variant>
      <vt:variant>
        <vt:lpwstr/>
      </vt:variant>
      <vt:variant>
        <vt:i4>4980775</vt:i4>
      </vt:variant>
      <vt:variant>
        <vt:i4>1854</vt:i4>
      </vt:variant>
      <vt:variant>
        <vt:i4>0</vt:i4>
      </vt:variant>
      <vt:variant>
        <vt:i4>5</vt:i4>
      </vt:variant>
      <vt:variant>
        <vt:lpwstr>https://web2.westlaw.com/find/default.wl?mt=Westlaw&amp;db=661&amp;tc=-1&amp;rp=%2ffind%2fdefault.wl&amp;findtype=Y&amp;ordoc=2028562598&amp;serialnum=1983128807&amp;vr=2.0&amp;fn=_top&amp;sv=Split&amp;tf=-1&amp;pbc=A2378AFD&amp;rs=WLW12.10</vt:lpwstr>
      </vt:variant>
      <vt:variant>
        <vt:lpwstr/>
      </vt:variant>
      <vt:variant>
        <vt:i4>4259874</vt:i4>
      </vt:variant>
      <vt:variant>
        <vt:i4>1851</vt:i4>
      </vt:variant>
      <vt:variant>
        <vt:i4>0</vt:i4>
      </vt:variant>
      <vt:variant>
        <vt:i4>5</vt:i4>
      </vt:variant>
      <vt:variant>
        <vt:lpwstr>https://web2.westlaw.com/find/default.wl?mt=Westlaw&amp;db=661&amp;tc=-1&amp;rp=%2ffind%2fdefault.wl&amp;findtype=Y&amp;ordoc=2028562598&amp;serialnum=1982121942&amp;vr=2.0&amp;fn=_top&amp;sv=Split&amp;tf=-1&amp;pbc=A2378AFD&amp;rs=WLW12.10</vt:lpwstr>
      </vt:variant>
      <vt:variant>
        <vt:lpwstr/>
      </vt:variant>
      <vt:variant>
        <vt:i4>7274512</vt:i4>
      </vt:variant>
      <vt:variant>
        <vt:i4>1848</vt:i4>
      </vt:variant>
      <vt:variant>
        <vt:i4>0</vt:i4>
      </vt:variant>
      <vt:variant>
        <vt:i4>5</vt:i4>
      </vt:variant>
      <vt:variant>
        <vt:lpwstr>https://web2.westlaw.com/find/default.wl?mt=Westlaw&amp;db=1000259&amp;docname=WAST26.16.120&amp;rp=%2ffind%2fdefault.wl&amp;findtype=L&amp;ordoc=2028562598&amp;tc=-1&amp;vr=2.0&amp;fn=_top&amp;sv=Split&amp;tf=-1&amp;pbc=A2378AFD&amp;rs=WLW12.10</vt:lpwstr>
      </vt:variant>
      <vt:variant>
        <vt:lpwstr/>
      </vt:variant>
      <vt:variant>
        <vt:i4>2162704</vt:i4>
      </vt:variant>
      <vt:variant>
        <vt:i4>1845</vt:i4>
      </vt:variant>
      <vt:variant>
        <vt:i4>0</vt:i4>
      </vt:variant>
      <vt:variant>
        <vt:i4>5</vt:i4>
      </vt:variant>
      <vt:variant>
        <vt:lpwstr>https://web2.westlaw.com/find/default.wl?mt=Westlaw&amp;db=804&amp;tc=-1&amp;rp=%2ffind%2fdefault.wl&amp;findtype=Y&amp;ordoc=2028562598&amp;serialnum=1945102895&amp;vr=2.0&amp;fn=_top&amp;sv=Split&amp;tf=-1&amp;referencepositiontype=S&amp;pbc=A2378AFD&amp;referenceposition=511&amp;rs=WLW12.10</vt:lpwstr>
      </vt:variant>
      <vt:variant>
        <vt:lpwstr/>
      </vt:variant>
      <vt:variant>
        <vt:i4>4849697</vt:i4>
      </vt:variant>
      <vt:variant>
        <vt:i4>1842</vt:i4>
      </vt:variant>
      <vt:variant>
        <vt:i4>0</vt:i4>
      </vt:variant>
      <vt:variant>
        <vt:i4>5</vt:i4>
      </vt:variant>
      <vt:variant>
        <vt:lpwstr>https://web2.westlaw.com/find/default.wl?mt=Westlaw&amp;db=661&amp;tc=-1&amp;rp=%2ffind%2fdefault.wl&amp;findtype=Y&amp;ordoc=2028562598&amp;serialnum=1968130605&amp;vr=2.0&amp;fn=_top&amp;sv=Split&amp;tf=-1&amp;pbc=A2378AFD&amp;rs=WLW12.10</vt:lpwstr>
      </vt:variant>
      <vt:variant>
        <vt:lpwstr/>
      </vt:variant>
      <vt:variant>
        <vt:i4>3801197</vt:i4>
      </vt:variant>
      <vt:variant>
        <vt:i4>1839</vt:i4>
      </vt:variant>
      <vt:variant>
        <vt:i4>0</vt:i4>
      </vt:variant>
      <vt:variant>
        <vt:i4>5</vt:i4>
      </vt:variant>
      <vt:variant>
        <vt:lpwstr/>
      </vt:variant>
      <vt:variant>
        <vt:lpwstr>B00442028562598</vt:lpwstr>
      </vt:variant>
      <vt:variant>
        <vt:i4>5767217</vt:i4>
      </vt:variant>
      <vt:variant>
        <vt:i4>1836</vt:i4>
      </vt:variant>
      <vt:variant>
        <vt:i4>0</vt:i4>
      </vt:variant>
      <vt:variant>
        <vt:i4>5</vt:i4>
      </vt:variant>
      <vt:variant>
        <vt:lpwstr>https://web2.westlaw.com/find/default.wl?mt=Westlaw&amp;db=1000045&amp;docname=NJST3B%3a3-3&amp;rp=%2ffind%2fdefault.wl&amp;findtype=L&amp;ordoc=2028071266&amp;tc=-1&amp;vr=2.0&amp;fn=_top&amp;sv=Split&amp;tf=-1&amp;pbc=864A56F3&amp;rs=WLW12.10</vt:lpwstr>
      </vt:variant>
      <vt:variant>
        <vt:lpwstr/>
      </vt:variant>
      <vt:variant>
        <vt:i4>5767217</vt:i4>
      </vt:variant>
      <vt:variant>
        <vt:i4>1833</vt:i4>
      </vt:variant>
      <vt:variant>
        <vt:i4>0</vt:i4>
      </vt:variant>
      <vt:variant>
        <vt:i4>5</vt:i4>
      </vt:variant>
      <vt:variant>
        <vt:lpwstr>https://web2.westlaw.com/find/default.wl?mt=Westlaw&amp;db=1000045&amp;docname=NJST3B%3a3-3&amp;rp=%2ffind%2fdefault.wl&amp;findtype=L&amp;ordoc=2028071266&amp;tc=-1&amp;vr=2.0&amp;fn=_top&amp;sv=Split&amp;tf=-1&amp;pbc=864A56F3&amp;rs=WLW12.10</vt:lpwstr>
      </vt:variant>
      <vt:variant>
        <vt:lpwstr/>
      </vt:variant>
      <vt:variant>
        <vt:i4>5767217</vt:i4>
      </vt:variant>
      <vt:variant>
        <vt:i4>1830</vt:i4>
      </vt:variant>
      <vt:variant>
        <vt:i4>0</vt:i4>
      </vt:variant>
      <vt:variant>
        <vt:i4>5</vt:i4>
      </vt:variant>
      <vt:variant>
        <vt:lpwstr>https://web2.westlaw.com/find/default.wl?mt=Westlaw&amp;db=1000045&amp;docname=NJST3B%3a3-3&amp;rp=%2ffind%2fdefault.wl&amp;findtype=L&amp;ordoc=2028071266&amp;tc=-1&amp;vr=2.0&amp;fn=_top&amp;sv=Split&amp;tf=-1&amp;pbc=864A56F3&amp;rs=WLW12.10</vt:lpwstr>
      </vt:variant>
      <vt:variant>
        <vt:lpwstr/>
      </vt:variant>
      <vt:variant>
        <vt:i4>5767217</vt:i4>
      </vt:variant>
      <vt:variant>
        <vt:i4>1827</vt:i4>
      </vt:variant>
      <vt:variant>
        <vt:i4>0</vt:i4>
      </vt:variant>
      <vt:variant>
        <vt:i4>5</vt:i4>
      </vt:variant>
      <vt:variant>
        <vt:lpwstr>https://web2.westlaw.com/find/default.wl?mt=Westlaw&amp;db=1000045&amp;docname=NJST3B%3a3-3&amp;rp=%2ffind%2fdefault.wl&amp;findtype=L&amp;ordoc=2028071266&amp;tc=-1&amp;vr=2.0&amp;fn=_top&amp;sv=Split&amp;tf=-1&amp;pbc=864A56F3&amp;rs=WLW12.10</vt:lpwstr>
      </vt:variant>
      <vt:variant>
        <vt:lpwstr/>
      </vt:variant>
      <vt:variant>
        <vt:i4>5767217</vt:i4>
      </vt:variant>
      <vt:variant>
        <vt:i4>1824</vt:i4>
      </vt:variant>
      <vt:variant>
        <vt:i4>0</vt:i4>
      </vt:variant>
      <vt:variant>
        <vt:i4>5</vt:i4>
      </vt:variant>
      <vt:variant>
        <vt:lpwstr>https://web2.westlaw.com/find/default.wl?mt=Westlaw&amp;db=1000045&amp;docname=NJST3B%3a3-3&amp;rp=%2ffind%2fdefault.wl&amp;findtype=L&amp;ordoc=2028071266&amp;tc=-1&amp;vr=2.0&amp;fn=_top&amp;sv=Split&amp;tf=-1&amp;pbc=864A56F3&amp;rs=WLW12.10</vt:lpwstr>
      </vt:variant>
      <vt:variant>
        <vt:lpwstr/>
      </vt:variant>
      <vt:variant>
        <vt:i4>6029358</vt:i4>
      </vt:variant>
      <vt:variant>
        <vt:i4>1821</vt:i4>
      </vt:variant>
      <vt:variant>
        <vt:i4>0</vt:i4>
      </vt:variant>
      <vt:variant>
        <vt:i4>5</vt:i4>
      </vt:variant>
      <vt:variant>
        <vt:lpwstr>https://web2.westlaw.com/find/default.wl?mt=Westlaw&amp;db=1000041&amp;docname=WVSTS41-3-4&amp;rp=%2ffind%2fdefault.wl&amp;findtype=L&amp;ordoc=2028296266&amp;tc=-1&amp;vr=2.0&amp;fn=_top&amp;sv=Split&amp;tf=-1&amp;pbc=2FCA5995&amp;rs=WLW12.10</vt:lpwstr>
      </vt:variant>
      <vt:variant>
        <vt:lpwstr/>
      </vt:variant>
      <vt:variant>
        <vt:i4>4587632</vt:i4>
      </vt:variant>
      <vt:variant>
        <vt:i4>1818</vt:i4>
      </vt:variant>
      <vt:variant>
        <vt:i4>0</vt:i4>
      </vt:variant>
      <vt:variant>
        <vt:i4>5</vt:i4>
      </vt:variant>
      <vt:variant>
        <vt:lpwstr>https://web2.westlaw.com/find/default.wl?mt=Westlaw&amp;db=711&amp;tc=-1&amp;rp=%2ffind%2fdefault.wl&amp;findtype=Y&amp;ordoc=2028296266&amp;serialnum=2002357805&amp;vr=2.0&amp;fn=_top&amp;sv=Split&amp;tf=-1&amp;pbc=2FCA5995&amp;rs=WLW12.10</vt:lpwstr>
      </vt:variant>
      <vt:variant>
        <vt:lpwstr/>
      </vt:variant>
      <vt:variant>
        <vt:i4>4849788</vt:i4>
      </vt:variant>
      <vt:variant>
        <vt:i4>1815</vt:i4>
      </vt:variant>
      <vt:variant>
        <vt:i4>0</vt:i4>
      </vt:variant>
      <vt:variant>
        <vt:i4>5</vt:i4>
      </vt:variant>
      <vt:variant>
        <vt:lpwstr>https://web2.westlaw.com/find/default.wl?mt=Westlaw&amp;db=711&amp;tc=-1&amp;rp=%2ffind%2fdefault.wl&amp;findtype=Y&amp;ordoc=2028296266&amp;serialnum=1982152109&amp;vr=2.0&amp;fn=_top&amp;sv=Split&amp;tf=-1&amp;pbc=2FCA5995&amp;rs=WLW12.10</vt:lpwstr>
      </vt:variant>
      <vt:variant>
        <vt:lpwstr/>
      </vt:variant>
      <vt:variant>
        <vt:i4>4718625</vt:i4>
      </vt:variant>
      <vt:variant>
        <vt:i4>1812</vt:i4>
      </vt:variant>
      <vt:variant>
        <vt:i4>0</vt:i4>
      </vt:variant>
      <vt:variant>
        <vt:i4>5</vt:i4>
      </vt:variant>
      <vt:variant>
        <vt:lpwstr>https://web2.westlaw.com/find/default.wl?mt=Westlaw&amp;db=602&amp;tc=-1&amp;rp=%2ffind%2fdefault.wl&amp;findtype=Y&amp;ordoc=2029996080&amp;serialnum=2001589473&amp;vr=2.0&amp;fn=_top&amp;sv=Split&amp;tf=-1&amp;pbc=0D89E6AB&amp;rs=WLW13.04</vt:lpwstr>
      </vt:variant>
      <vt:variant>
        <vt:lpwstr/>
      </vt:variant>
      <vt:variant>
        <vt:i4>5308525</vt:i4>
      </vt:variant>
      <vt:variant>
        <vt:i4>1809</vt:i4>
      </vt:variant>
      <vt:variant>
        <vt:i4>0</vt:i4>
      </vt:variant>
      <vt:variant>
        <vt:i4>5</vt:i4>
      </vt:variant>
      <vt:variant>
        <vt:lpwstr>https://web2.westlaw.com/find/default.wl?mt=Westlaw&amp;db=3926&amp;tc=-1&amp;rp=%2ffind%2fdefault.wl&amp;findtype=Y&amp;ordoc=2029720367&amp;serialnum=2020966929&amp;vr=2.0&amp;fn=_top&amp;sv=Split&amp;tf=-1&amp;referencepositiontype=S&amp;pbc=E25021B4&amp;referenceposition=74&amp;rs=WLW13.04</vt:lpwstr>
      </vt:variant>
      <vt:variant>
        <vt:lpwstr/>
      </vt:variant>
      <vt:variant>
        <vt:i4>4718651</vt:i4>
      </vt:variant>
      <vt:variant>
        <vt:i4>1806</vt:i4>
      </vt:variant>
      <vt:variant>
        <vt:i4>0</vt:i4>
      </vt:variant>
      <vt:variant>
        <vt:i4>5</vt:i4>
      </vt:variant>
      <vt:variant>
        <vt:lpwstr>https://web2.westlaw.com/find/default.wl?rs=WLW13.04&amp;pbc=E25021B4&amp;vr=2.0&amp;findtype=Y&amp;rp=%2ffind%2fdefault.wl&amp;sv=Split&amp;fn=_top&amp;tf=-1&amp;ordoc=2029720367&amp;mt=Westlaw&amp;serialnum=2026271905&amp;tc=-1</vt:lpwstr>
      </vt:variant>
      <vt:variant>
        <vt:lpwstr/>
      </vt:variant>
      <vt:variant>
        <vt:i4>4587568</vt:i4>
      </vt:variant>
      <vt:variant>
        <vt:i4>1803</vt:i4>
      </vt:variant>
      <vt:variant>
        <vt:i4>0</vt:i4>
      </vt:variant>
      <vt:variant>
        <vt:i4>5</vt:i4>
      </vt:variant>
      <vt:variant>
        <vt:lpwstr>https://web2.westlaw.com/find/default.wl?rs=WLW13.04&amp;pbc=E25021B4&amp;vr=2.0&amp;findtype=Y&amp;rp=%2ffind%2fdefault.wl&amp;sv=Split&amp;fn=_top&amp;tf=-1&amp;ordoc=2029720367&amp;mt=Westlaw&amp;serialnum=2020966929&amp;tc=-1</vt:lpwstr>
      </vt:variant>
      <vt:variant>
        <vt:lpwstr/>
      </vt:variant>
      <vt:variant>
        <vt:i4>4718651</vt:i4>
      </vt:variant>
      <vt:variant>
        <vt:i4>1800</vt:i4>
      </vt:variant>
      <vt:variant>
        <vt:i4>0</vt:i4>
      </vt:variant>
      <vt:variant>
        <vt:i4>5</vt:i4>
      </vt:variant>
      <vt:variant>
        <vt:lpwstr>https://web2.westlaw.com/find/default.wl?rs=WLW13.04&amp;pbc=E25021B4&amp;vr=2.0&amp;findtype=Y&amp;rp=%2ffind%2fdefault.wl&amp;sv=Split&amp;fn=_top&amp;tf=-1&amp;ordoc=2029720367&amp;mt=Westlaw&amp;serialnum=2026271905&amp;tc=-1</vt:lpwstr>
      </vt:variant>
      <vt:variant>
        <vt:lpwstr/>
      </vt:variant>
      <vt:variant>
        <vt:i4>7274508</vt:i4>
      </vt:variant>
      <vt:variant>
        <vt:i4>1797</vt:i4>
      </vt:variant>
      <vt:variant>
        <vt:i4>0</vt:i4>
      </vt:variant>
      <vt:variant>
        <vt:i4>5</vt:i4>
      </vt:variant>
      <vt:variant>
        <vt:lpwstr>https://web2.westlaw.com/find/default.wl?mt=Westlaw&amp;db=1000229&amp;docname=MOST456.6-603&amp;rp=%2ffind%2fdefault.wl&amp;findtype=L&amp;ordoc=2029720367&amp;tc=-1&amp;vr=2.0&amp;fn=_top&amp;sv=Split&amp;tf=-1&amp;pbc=E25021B4&amp;rs=WLW13.04</vt:lpwstr>
      </vt:variant>
      <vt:variant>
        <vt:lpwstr/>
      </vt:variant>
      <vt:variant>
        <vt:i4>4718651</vt:i4>
      </vt:variant>
      <vt:variant>
        <vt:i4>1794</vt:i4>
      </vt:variant>
      <vt:variant>
        <vt:i4>0</vt:i4>
      </vt:variant>
      <vt:variant>
        <vt:i4>5</vt:i4>
      </vt:variant>
      <vt:variant>
        <vt:lpwstr>https://web2.westlaw.com/find/default.wl?rs=WLW13.04&amp;pbc=E25021B4&amp;vr=2.0&amp;findtype=Y&amp;rp=%2ffind%2fdefault.wl&amp;sv=Split&amp;fn=_top&amp;tf=-1&amp;ordoc=2029720367&amp;mt=Westlaw&amp;serialnum=2026271905&amp;tc=-1</vt:lpwstr>
      </vt:variant>
      <vt:variant>
        <vt:lpwstr/>
      </vt:variant>
      <vt:variant>
        <vt:i4>5898349</vt:i4>
      </vt:variant>
      <vt:variant>
        <vt:i4>1791</vt:i4>
      </vt:variant>
      <vt:variant>
        <vt:i4>0</vt:i4>
      </vt:variant>
      <vt:variant>
        <vt:i4>5</vt:i4>
      </vt:variant>
      <vt:variant>
        <vt:lpwstr>https://web2.westlaw.com/find/default.wl?mt=Westlaw&amp;db=4644&amp;tc=-1&amp;rp=%2ffind%2fdefault.wl&amp;findtype=Y&amp;ordoc=2029720367&amp;serialnum=2026271905&amp;vr=2.0&amp;fn=_top&amp;sv=Split&amp;tf=-1&amp;referencepositiontype=S&amp;pbc=E25021B4&amp;referenceposition=45&amp;rs=WLW13.04</vt:lpwstr>
      </vt:variant>
      <vt:variant>
        <vt:lpwstr/>
      </vt:variant>
      <vt:variant>
        <vt:i4>2883676</vt:i4>
      </vt:variant>
      <vt:variant>
        <vt:i4>1788</vt:i4>
      </vt:variant>
      <vt:variant>
        <vt:i4>0</vt:i4>
      </vt:variant>
      <vt:variant>
        <vt:i4>5</vt:i4>
      </vt:variant>
      <vt:variant>
        <vt:lpwstr>https://web2.westlaw.com/find/default.wl?mt=Westlaw&amp;db=1077348&amp;docname=ULTCOS603&amp;rp=%2ffind%2fdefault.wl&amp;findtype=L&amp;ordoc=2029720367&amp;tc=-1&amp;vr=2.0&amp;fn=_top&amp;sv=Split&amp;tf=-1&amp;pbc=E25021B4&amp;rs=WLW13.04</vt:lpwstr>
      </vt:variant>
      <vt:variant>
        <vt:lpwstr/>
      </vt:variant>
      <vt:variant>
        <vt:i4>458815</vt:i4>
      </vt:variant>
      <vt:variant>
        <vt:i4>1785</vt:i4>
      </vt:variant>
      <vt:variant>
        <vt:i4>0</vt:i4>
      </vt:variant>
      <vt:variant>
        <vt:i4>5</vt:i4>
      </vt:variant>
      <vt:variant>
        <vt:lpwstr>https://web2.westlaw.com/find/default.wl?mt=Westlaw&amp;db=1196&amp;tc=-1&amp;rp=%2ffind%2fdefault.wl&amp;findtype=Y&amp;ordoc=2029720367&amp;serialnum=0289509777&amp;vr=2.0&amp;fn=_top&amp;sv=Split&amp;tf=-1&amp;referencepositiontype=S&amp;pbc=E25021B4&amp;referenceposition=188&amp;rs=WLW13.04</vt:lpwstr>
      </vt:variant>
      <vt:variant>
        <vt:lpwstr/>
      </vt:variant>
      <vt:variant>
        <vt:i4>983094</vt:i4>
      </vt:variant>
      <vt:variant>
        <vt:i4>1782</vt:i4>
      </vt:variant>
      <vt:variant>
        <vt:i4>0</vt:i4>
      </vt:variant>
      <vt:variant>
        <vt:i4>5</vt:i4>
      </vt:variant>
      <vt:variant>
        <vt:lpwstr>https://web2.westlaw.com/find/default.wl?mt=Westlaw&amp;db=1094&amp;tc=-1&amp;rp=%2ffind%2fdefault.wl&amp;findtype=Y&amp;ordoc=2029720367&amp;serialnum=0329592568&amp;vr=2.0&amp;fn=_top&amp;sv=Split&amp;tf=-1&amp;referencepositiontype=S&amp;pbc=E25021B4&amp;referenceposition=754&amp;rs=WLW13.04</vt:lpwstr>
      </vt:variant>
      <vt:variant>
        <vt:lpwstr/>
      </vt:variant>
      <vt:variant>
        <vt:i4>7405592</vt:i4>
      </vt:variant>
      <vt:variant>
        <vt:i4>1779</vt:i4>
      </vt:variant>
      <vt:variant>
        <vt:i4>0</vt:i4>
      </vt:variant>
      <vt:variant>
        <vt:i4>5</vt:i4>
      </vt:variant>
      <vt:variant>
        <vt:lpwstr>https://web2.westlaw.com/find/default.wl?mt=Westlaw&amp;db=1000256&amp;docname=IASTS633A.3103&amp;rp=%2ffind%2fdefault.wl&amp;findtype=L&amp;ordoc=2029720367&amp;tc=-1&amp;vr=2.0&amp;fn=_top&amp;sv=Split&amp;tf=-1&amp;pbc=E25021B4&amp;rs=WLW13.04</vt:lpwstr>
      </vt:variant>
      <vt:variant>
        <vt:lpwstr/>
      </vt:variant>
      <vt:variant>
        <vt:i4>4456564</vt:i4>
      </vt:variant>
      <vt:variant>
        <vt:i4>1776</vt:i4>
      </vt:variant>
      <vt:variant>
        <vt:i4>0</vt:i4>
      </vt:variant>
      <vt:variant>
        <vt:i4>5</vt:i4>
      </vt:variant>
      <vt:variant>
        <vt:lpwstr>https://web2.westlaw.com/find/default.wl?mt=Westlaw&amp;db=162&amp;tc=-1&amp;rp=%2ffind%2fdefault.wl&amp;findtype=Y&amp;ordoc=2026555942&amp;serialnum=2001321777&amp;vr=2.0&amp;fn=_top&amp;sv=Split&amp;tf=-1&amp;pbc=A3D112E0&amp;rs=WLW12.10</vt:lpwstr>
      </vt:variant>
      <vt:variant>
        <vt:lpwstr/>
      </vt:variant>
      <vt:variant>
        <vt:i4>2818120</vt:i4>
      </vt:variant>
      <vt:variant>
        <vt:i4>1773</vt:i4>
      </vt:variant>
      <vt:variant>
        <vt:i4>0</vt:i4>
      </vt:variant>
      <vt:variant>
        <vt:i4>5</vt:i4>
      </vt:variant>
      <vt:variant>
        <vt:lpwstr>https://web2.westlaw.com/find/default.wl?mt=Westlaw&amp;db=578&amp;tc=-1&amp;rp=%2ffind%2fdefault.wl&amp;findtype=Y&amp;ordoc=2026555942&amp;serialnum=1991114605&amp;vr=2.0&amp;fn=_top&amp;sv=Split&amp;tf=-1&amp;referencepositiontype=S&amp;pbc=A3D112E0&amp;referenceposition=523&amp;rs=WLW12.10</vt:lpwstr>
      </vt:variant>
      <vt:variant>
        <vt:lpwstr/>
      </vt:variant>
      <vt:variant>
        <vt:i4>2621515</vt:i4>
      </vt:variant>
      <vt:variant>
        <vt:i4>1770</vt:i4>
      </vt:variant>
      <vt:variant>
        <vt:i4>0</vt:i4>
      </vt:variant>
      <vt:variant>
        <vt:i4>5</vt:i4>
      </vt:variant>
      <vt:variant>
        <vt:lpwstr>https://web2.westlaw.com/find/default.wl?mt=Westlaw&amp;db=578&amp;tc=-1&amp;rp=%2ffind%2fdefault.wl&amp;findtype=Y&amp;ordoc=2026555942&amp;serialnum=1990171544&amp;vr=2.0&amp;fn=_top&amp;sv=Split&amp;tf=-1&amp;referencepositiontype=S&amp;pbc=A3D112E0&amp;referenceposition=145&amp;rs=WLW12.10</vt:lpwstr>
      </vt:variant>
      <vt:variant>
        <vt:lpwstr/>
      </vt:variant>
      <vt:variant>
        <vt:i4>3735622</vt:i4>
      </vt:variant>
      <vt:variant>
        <vt:i4>1767</vt:i4>
      </vt:variant>
      <vt:variant>
        <vt:i4>0</vt:i4>
      </vt:variant>
      <vt:variant>
        <vt:i4>5</vt:i4>
      </vt:variant>
      <vt:variant>
        <vt:lpwstr>https://web2.westlaw.com/find/default.wl?mt=Westlaw&amp;db=1000077&amp;docname=NYEPS3-2.1&amp;rp=%2ffind%2fdefault.wl&amp;findtype=L&amp;ordoc=2028178511&amp;tc=-1&amp;vr=2.0&amp;fn=_top&amp;sv=Split&amp;tf=-1&amp;pbc=5C85D55F&amp;rs=WLW12.07</vt:lpwstr>
      </vt:variant>
      <vt:variant>
        <vt:lpwstr/>
      </vt:variant>
      <vt:variant>
        <vt:i4>5046393</vt:i4>
      </vt:variant>
      <vt:variant>
        <vt:i4>1764</vt:i4>
      </vt:variant>
      <vt:variant>
        <vt:i4>0</vt:i4>
      </vt:variant>
      <vt:variant>
        <vt:i4>5</vt:i4>
      </vt:variant>
      <vt:variant>
        <vt:lpwstr>https://web2.westlaw.com/find/default.wl?mt=Westlaw&amp;db=602&amp;tc=-1&amp;rp=%2ffind%2fdefault.wl&amp;findtype=Y&amp;ordoc=2028178511&amp;serialnum=1984116165&amp;vr=2.0&amp;fn=_top&amp;sv=Split&amp;tf=-1&amp;pbc=5C85D55F&amp;rs=WLW12.07</vt:lpwstr>
      </vt:variant>
      <vt:variant>
        <vt:lpwstr/>
      </vt:variant>
      <vt:variant>
        <vt:i4>4784249</vt:i4>
      </vt:variant>
      <vt:variant>
        <vt:i4>1761</vt:i4>
      </vt:variant>
      <vt:variant>
        <vt:i4>0</vt:i4>
      </vt:variant>
      <vt:variant>
        <vt:i4>5</vt:i4>
      </vt:variant>
      <vt:variant>
        <vt:lpwstr>https://web2.westlaw.com/find/default.wl?mt=Westlaw&amp;db=602&amp;tc=-1&amp;rp=%2ffind%2fdefault.wl&amp;findtype=Y&amp;ordoc=2028178511&amp;serialnum=1982122968&amp;vr=2.0&amp;fn=_top&amp;sv=Split&amp;tf=-1&amp;pbc=5C85D55F&amp;rs=WLW12.07</vt:lpwstr>
      </vt:variant>
      <vt:variant>
        <vt:lpwstr/>
      </vt:variant>
      <vt:variant>
        <vt:i4>4718719</vt:i4>
      </vt:variant>
      <vt:variant>
        <vt:i4>1758</vt:i4>
      </vt:variant>
      <vt:variant>
        <vt:i4>0</vt:i4>
      </vt:variant>
      <vt:variant>
        <vt:i4>5</vt:i4>
      </vt:variant>
      <vt:variant>
        <vt:lpwstr>https://web2.westlaw.com/find/default.wl?mt=Westlaw&amp;db=602&amp;tc=-1&amp;rp=%2ffind%2fdefault.wl&amp;findtype=Y&amp;ordoc=2028178511&amp;serialnum=1986141346&amp;vr=2.0&amp;fn=_top&amp;sv=Split&amp;tf=-1&amp;pbc=5C85D55F&amp;rs=WLW12.07</vt:lpwstr>
      </vt:variant>
      <vt:variant>
        <vt:lpwstr/>
      </vt:variant>
      <vt:variant>
        <vt:i4>3735622</vt:i4>
      </vt:variant>
      <vt:variant>
        <vt:i4>1755</vt:i4>
      </vt:variant>
      <vt:variant>
        <vt:i4>0</vt:i4>
      </vt:variant>
      <vt:variant>
        <vt:i4>5</vt:i4>
      </vt:variant>
      <vt:variant>
        <vt:lpwstr>https://web2.westlaw.com/find/default.wl?mt=Westlaw&amp;db=1000077&amp;docname=NYEPS3-2.1&amp;rp=%2ffind%2fdefault.wl&amp;findtype=L&amp;ordoc=2028178511&amp;tc=-1&amp;vr=2.0&amp;fn=_top&amp;sv=Split&amp;tf=-1&amp;pbc=5C85D55F&amp;rs=WLW12.07</vt:lpwstr>
      </vt:variant>
      <vt:variant>
        <vt:lpwstr/>
      </vt:variant>
      <vt:variant>
        <vt:i4>4718719</vt:i4>
      </vt:variant>
      <vt:variant>
        <vt:i4>1752</vt:i4>
      </vt:variant>
      <vt:variant>
        <vt:i4>0</vt:i4>
      </vt:variant>
      <vt:variant>
        <vt:i4>5</vt:i4>
      </vt:variant>
      <vt:variant>
        <vt:lpwstr>https://web2.westlaw.com/find/default.wl?mt=Westlaw&amp;db=602&amp;tc=-1&amp;rp=%2ffind%2fdefault.wl&amp;findtype=Y&amp;ordoc=2028178511&amp;serialnum=1986141346&amp;vr=2.0&amp;fn=_top&amp;sv=Split&amp;tf=-1&amp;pbc=5C85D55F&amp;rs=WLW12.07</vt:lpwstr>
      </vt:variant>
      <vt:variant>
        <vt:lpwstr/>
      </vt:variant>
      <vt:variant>
        <vt:i4>6225956</vt:i4>
      </vt:variant>
      <vt:variant>
        <vt:i4>1749</vt:i4>
      </vt:variant>
      <vt:variant>
        <vt:i4>0</vt:i4>
      </vt:variant>
      <vt:variant>
        <vt:i4>5</vt:i4>
      </vt:variant>
      <vt:variant>
        <vt:lpwstr>https://web2.westlaw.com/find/default.wl?mt=Westlaw&amp;db=1000077&amp;docname=NYEPS13-2.3&amp;rp=%2ffind%2fdefault.wl&amp;findtype=L&amp;ordoc=2028178511&amp;tc=-1&amp;vr=2.0&amp;fn=_top&amp;sv=Split&amp;tf=-1&amp;pbc=5C85D55F&amp;rs=WLW12.07</vt:lpwstr>
      </vt:variant>
      <vt:variant>
        <vt:lpwstr/>
      </vt:variant>
      <vt:variant>
        <vt:i4>3735619</vt:i4>
      </vt:variant>
      <vt:variant>
        <vt:i4>1746</vt:i4>
      </vt:variant>
      <vt:variant>
        <vt:i4>0</vt:i4>
      </vt:variant>
      <vt:variant>
        <vt:i4>5</vt:i4>
      </vt:variant>
      <vt:variant>
        <vt:lpwstr>https://web2.westlaw.com/find/default.wl?mt=Westlaw&amp;db=1000077&amp;docname=NYEPS5-1.1&amp;rp=%2ffind%2fdefault.wl&amp;findtype=L&amp;ordoc=2028178511&amp;tc=-1&amp;vr=2.0&amp;fn=_top&amp;sv=Split&amp;tf=-1&amp;pbc=5C85D55F&amp;rs=WLW12.07</vt:lpwstr>
      </vt:variant>
      <vt:variant>
        <vt:lpwstr/>
      </vt:variant>
      <vt:variant>
        <vt:i4>4259967</vt:i4>
      </vt:variant>
      <vt:variant>
        <vt:i4>1743</vt:i4>
      </vt:variant>
      <vt:variant>
        <vt:i4>0</vt:i4>
      </vt:variant>
      <vt:variant>
        <vt:i4>5</vt:i4>
      </vt:variant>
      <vt:variant>
        <vt:lpwstr>https://web2.westlaw.com/find/default.wl?mt=Westlaw&amp;db=602&amp;tc=-1&amp;rp=%2ffind%2fdefault.wl&amp;findtype=Y&amp;ordoc=2028178511&amp;serialnum=2008535366&amp;vr=2.0&amp;fn=_top&amp;sv=Split&amp;tf=-1&amp;pbc=5C85D55F&amp;rs=WLW12.07</vt:lpwstr>
      </vt:variant>
      <vt:variant>
        <vt:lpwstr/>
      </vt:variant>
      <vt:variant>
        <vt:i4>4980857</vt:i4>
      </vt:variant>
      <vt:variant>
        <vt:i4>1740</vt:i4>
      </vt:variant>
      <vt:variant>
        <vt:i4>0</vt:i4>
      </vt:variant>
      <vt:variant>
        <vt:i4>5</vt:i4>
      </vt:variant>
      <vt:variant>
        <vt:lpwstr>https://web2.westlaw.com/find/default.wl?mt=Westlaw&amp;db=578&amp;tc=-1&amp;rp=%2ffind%2fdefault.wl&amp;findtype=Y&amp;ordoc=2028178511&amp;serialnum=1971137105&amp;vr=2.0&amp;fn=_top&amp;sv=Split&amp;tf=-1&amp;pbc=5C85D55F&amp;rs=WLW12.07</vt:lpwstr>
      </vt:variant>
      <vt:variant>
        <vt:lpwstr/>
      </vt:variant>
      <vt:variant>
        <vt:i4>4784252</vt:i4>
      </vt:variant>
      <vt:variant>
        <vt:i4>1737</vt:i4>
      </vt:variant>
      <vt:variant>
        <vt:i4>0</vt:i4>
      </vt:variant>
      <vt:variant>
        <vt:i4>5</vt:i4>
      </vt:variant>
      <vt:variant>
        <vt:lpwstr>https://web2.westlaw.com/find/default.wl?mt=Westlaw&amp;db=602&amp;tc=-1&amp;rp=%2ffind%2fdefault.wl&amp;findtype=Y&amp;ordoc=2028178511&amp;serialnum=1971211793&amp;vr=2.0&amp;fn=_top&amp;sv=Split&amp;tf=-1&amp;pbc=5C85D55F&amp;rs=WLW12.07</vt:lpwstr>
      </vt:variant>
      <vt:variant>
        <vt:lpwstr/>
      </vt:variant>
      <vt:variant>
        <vt:i4>5046393</vt:i4>
      </vt:variant>
      <vt:variant>
        <vt:i4>1734</vt:i4>
      </vt:variant>
      <vt:variant>
        <vt:i4>0</vt:i4>
      </vt:variant>
      <vt:variant>
        <vt:i4>5</vt:i4>
      </vt:variant>
      <vt:variant>
        <vt:lpwstr>https://web2.westlaw.com/find/default.wl?mt=Westlaw&amp;db=602&amp;tc=-1&amp;rp=%2ffind%2fdefault.wl&amp;findtype=Y&amp;ordoc=2028178511&amp;serialnum=1984116165&amp;vr=2.0&amp;fn=_top&amp;sv=Split&amp;tf=-1&amp;pbc=5C85D55F&amp;rs=WLW12.07</vt:lpwstr>
      </vt:variant>
      <vt:variant>
        <vt:lpwstr/>
      </vt:variant>
      <vt:variant>
        <vt:i4>6619226</vt:i4>
      </vt:variant>
      <vt:variant>
        <vt:i4>1731</vt:i4>
      </vt:variant>
      <vt:variant>
        <vt:i4>0</vt:i4>
      </vt:variant>
      <vt:variant>
        <vt:i4>5</vt:i4>
      </vt:variant>
      <vt:variant>
        <vt:lpwstr>https://web2.westlaw.com/find/default.wl?mt=Westlaw&amp;db=4645&amp;tc=-1&amp;rp=%2ffind%2fdefault.wl&amp;findtype=Y&amp;ordoc=2027793103&amp;serialnum=2012553674&amp;vr=2.0&amp;fn=_top&amp;sv=Split&amp;tf=-1&amp;pbc=90D0F8E8&amp;rs=WLW12.07</vt:lpwstr>
      </vt:variant>
      <vt:variant>
        <vt:lpwstr/>
      </vt:variant>
      <vt:variant>
        <vt:i4>720998</vt:i4>
      </vt:variant>
      <vt:variant>
        <vt:i4>1728</vt:i4>
      </vt:variant>
      <vt:variant>
        <vt:i4>0</vt:i4>
      </vt:variant>
      <vt:variant>
        <vt:i4>5</vt:i4>
      </vt:variant>
      <vt:variant>
        <vt:lpwstr>https://web2.westlaw.com/find/default.wl?mt=Westlaw&amp;db=1000044&amp;docname=MNSTS575.05&amp;rp=%2ffind%2fdefault.wl&amp;findtype=L&amp;ordoc=2027347515&amp;tc=-1&amp;vr=2.0&amp;fn=_top&amp;sv=Split&amp;tf=-1&amp;pbc=693B8053&amp;rs=WLW12.07</vt:lpwstr>
      </vt:variant>
      <vt:variant>
        <vt:lpwstr/>
      </vt:variant>
      <vt:variant>
        <vt:i4>720998</vt:i4>
      </vt:variant>
      <vt:variant>
        <vt:i4>1725</vt:i4>
      </vt:variant>
      <vt:variant>
        <vt:i4>0</vt:i4>
      </vt:variant>
      <vt:variant>
        <vt:i4>5</vt:i4>
      </vt:variant>
      <vt:variant>
        <vt:lpwstr>https://web2.westlaw.com/find/default.wl?mt=Westlaw&amp;db=1000044&amp;docname=MNSTS575.05&amp;rp=%2ffind%2fdefault.wl&amp;findtype=L&amp;ordoc=2027347515&amp;tc=-1&amp;vr=2.0&amp;fn=_top&amp;sv=Split&amp;tf=-1&amp;pbc=693B8053&amp;rs=WLW12.07</vt:lpwstr>
      </vt:variant>
      <vt:variant>
        <vt:lpwstr/>
      </vt:variant>
      <vt:variant>
        <vt:i4>3539043</vt:i4>
      </vt:variant>
      <vt:variant>
        <vt:i4>1722</vt:i4>
      </vt:variant>
      <vt:variant>
        <vt:i4>0</vt:i4>
      </vt:variant>
      <vt:variant>
        <vt:i4>5</vt:i4>
      </vt:variant>
      <vt:variant>
        <vt:lpwstr/>
      </vt:variant>
      <vt:variant>
        <vt:lpwstr>F00332027347515</vt:lpwstr>
      </vt:variant>
      <vt:variant>
        <vt:i4>720998</vt:i4>
      </vt:variant>
      <vt:variant>
        <vt:i4>1719</vt:i4>
      </vt:variant>
      <vt:variant>
        <vt:i4>0</vt:i4>
      </vt:variant>
      <vt:variant>
        <vt:i4>5</vt:i4>
      </vt:variant>
      <vt:variant>
        <vt:lpwstr>https://web2.westlaw.com/find/default.wl?mt=Westlaw&amp;db=1000044&amp;docname=MNSTS575.05&amp;rp=%2ffind%2fdefault.wl&amp;findtype=L&amp;ordoc=2027347515&amp;tc=-1&amp;vr=2.0&amp;fn=_top&amp;sv=Split&amp;tf=-1&amp;pbc=693B8053&amp;rs=WLW12.07</vt:lpwstr>
      </vt:variant>
      <vt:variant>
        <vt:lpwstr/>
      </vt:variant>
      <vt:variant>
        <vt:i4>3539047</vt:i4>
      </vt:variant>
      <vt:variant>
        <vt:i4>1716</vt:i4>
      </vt:variant>
      <vt:variant>
        <vt:i4>0</vt:i4>
      </vt:variant>
      <vt:variant>
        <vt:i4>5</vt:i4>
      </vt:variant>
      <vt:variant>
        <vt:lpwstr/>
      </vt:variant>
      <vt:variant>
        <vt:lpwstr>B00332027347515</vt:lpwstr>
      </vt:variant>
      <vt:variant>
        <vt:i4>2490385</vt:i4>
      </vt:variant>
      <vt:variant>
        <vt:i4>1713</vt:i4>
      </vt:variant>
      <vt:variant>
        <vt:i4>0</vt:i4>
      </vt:variant>
      <vt:variant>
        <vt:i4>5</vt:i4>
      </vt:variant>
      <vt:variant>
        <vt:lpwstr>https://web2.westlaw.com/find/default.wl?mt=Westlaw&amp;db=594&amp;tc=-1&amp;rp=%2ffind%2fdefault.wl&amp;findtype=Y&amp;ordoc=2028320316&amp;serialnum=1923107222&amp;vr=2.0&amp;fn=_top&amp;sv=Split&amp;tf=-1&amp;referencepositiontype=S&amp;pbc=A4D75B5C&amp;referenceposition=768&amp;rs=WLW12.07</vt:lpwstr>
      </vt:variant>
      <vt:variant>
        <vt:lpwstr/>
      </vt:variant>
      <vt:variant>
        <vt:i4>2293779</vt:i4>
      </vt:variant>
      <vt:variant>
        <vt:i4>1710</vt:i4>
      </vt:variant>
      <vt:variant>
        <vt:i4>0</vt:i4>
      </vt:variant>
      <vt:variant>
        <vt:i4>5</vt:i4>
      </vt:variant>
      <vt:variant>
        <vt:lpwstr>https://web2.westlaw.com/find/default.wl?mt=Westlaw&amp;db=594&amp;tc=-1&amp;rp=%2ffind%2fdefault.wl&amp;findtype=Y&amp;ordoc=2028320316&amp;serialnum=1940107483&amp;vr=2.0&amp;fn=_top&amp;sv=Split&amp;tf=-1&amp;referencepositiontype=S&amp;pbc=A4D75B5C&amp;referenceposition=107&amp;rs=WLW12.07</vt:lpwstr>
      </vt:variant>
      <vt:variant>
        <vt:lpwstr/>
      </vt:variant>
      <vt:variant>
        <vt:i4>2097180</vt:i4>
      </vt:variant>
      <vt:variant>
        <vt:i4>1707</vt:i4>
      </vt:variant>
      <vt:variant>
        <vt:i4>0</vt:i4>
      </vt:variant>
      <vt:variant>
        <vt:i4>5</vt:i4>
      </vt:variant>
      <vt:variant>
        <vt:lpwstr>https://web2.westlaw.com/find/default.wl?mt=Westlaw&amp;db=595&amp;tc=-1&amp;rp=%2ffind%2fdefault.wl&amp;findtype=Y&amp;ordoc=2028320316&amp;serialnum=1994136028&amp;vr=2.0&amp;fn=_top&amp;sv=Split&amp;tf=-1&amp;referencepositiontype=S&amp;pbc=A4D75B5C&amp;referenceposition=577&amp;rs=WLW12.07</vt:lpwstr>
      </vt:variant>
      <vt:variant>
        <vt:lpwstr/>
      </vt:variant>
      <vt:variant>
        <vt:i4>4653171</vt:i4>
      </vt:variant>
      <vt:variant>
        <vt:i4>1704</vt:i4>
      </vt:variant>
      <vt:variant>
        <vt:i4>0</vt:i4>
      </vt:variant>
      <vt:variant>
        <vt:i4>5</vt:i4>
      </vt:variant>
      <vt:variant>
        <vt:lpwstr>https://web2.westlaw.com/find/default.wl?mt=Westlaw&amp;db=711&amp;tc=-1&amp;rp=%2ffind%2fdefault.wl&amp;findtype=Y&amp;ordoc=2028320316&amp;serialnum=2017103258&amp;vr=2.0&amp;fn=_top&amp;sv=Split&amp;tf=-1&amp;referencepositiontype=S&amp;pbc=A4D75B5C&amp;referenceposition=60&amp;rs=WLW12.07</vt:lpwstr>
      </vt:variant>
      <vt:variant>
        <vt:lpwstr/>
      </vt:variant>
      <vt:variant>
        <vt:i4>1376296</vt:i4>
      </vt:variant>
      <vt:variant>
        <vt:i4>1701</vt:i4>
      </vt:variant>
      <vt:variant>
        <vt:i4>0</vt:i4>
      </vt:variant>
      <vt:variant>
        <vt:i4>5</vt:i4>
      </vt:variant>
      <vt:variant>
        <vt:lpwstr>https://web2.westlaw.com/find/default.wl?mt=Westlaw&amp;db=711&amp;tc=-1&amp;rp=%2ffind%2fdefault.wl&amp;findtype=Y&amp;ordoc=2028479211&amp;serialnum=1981128528&amp;vr=2.0&amp;fn=_top&amp;sv=Split&amp;tf=-1&amp;pbc=082F5408&amp;rs=WLW12.07</vt:lpwstr>
      </vt:variant>
      <vt:variant>
        <vt:lpwstr/>
      </vt:variant>
      <vt:variant>
        <vt:i4>2883652</vt:i4>
      </vt:variant>
      <vt:variant>
        <vt:i4>1698</vt:i4>
      </vt:variant>
      <vt:variant>
        <vt:i4>0</vt:i4>
      </vt:variant>
      <vt:variant>
        <vt:i4>5</vt:i4>
      </vt:variant>
      <vt:variant>
        <vt:lpwstr>https://web2.westlaw.com/find/default.wl?mt=Westlaw&amp;db=661&amp;tc=-1&amp;rp=%2ffind%2fdefault.wl&amp;findtype=Y&amp;ordoc=2028479211&amp;serialnum=1995222134&amp;vr=2.0&amp;fn=_top&amp;sv=Split&amp;tf=-1&amp;referencepositiontype=S&amp;pbc=082F5408&amp;referenceposition=1319&amp;rs=WLW12.07</vt:lpwstr>
      </vt:variant>
      <vt:variant>
        <vt:lpwstr/>
      </vt:variant>
      <vt:variant>
        <vt:i4>1376288</vt:i4>
      </vt:variant>
      <vt:variant>
        <vt:i4>1695</vt:i4>
      </vt:variant>
      <vt:variant>
        <vt:i4>0</vt:i4>
      </vt:variant>
      <vt:variant>
        <vt:i4>5</vt:i4>
      </vt:variant>
      <vt:variant>
        <vt:lpwstr>https://web2.westlaw.com/find/default.wl?mt=Westlaw&amp;db=162&amp;tc=-1&amp;rp=%2ffind%2fdefault.wl&amp;findtype=Y&amp;ordoc=2028479211&amp;serialnum=1961107464&amp;vr=2.0&amp;fn=_top&amp;sv=Split&amp;tf=-1&amp;pbc=082F5408&amp;rs=WLW12.07</vt:lpwstr>
      </vt:variant>
      <vt:variant>
        <vt:lpwstr/>
      </vt:variant>
      <vt:variant>
        <vt:i4>2031648</vt:i4>
      </vt:variant>
      <vt:variant>
        <vt:i4>1692</vt:i4>
      </vt:variant>
      <vt:variant>
        <vt:i4>0</vt:i4>
      </vt:variant>
      <vt:variant>
        <vt:i4>5</vt:i4>
      </vt:variant>
      <vt:variant>
        <vt:lpwstr>https://web2.westlaw.com/find/default.wl?mt=Westlaw&amp;db=711&amp;tc=-1&amp;rp=%2ffind%2fdefault.wl&amp;findtype=Y&amp;ordoc=2028479211&amp;serialnum=1973128473&amp;vr=2.0&amp;fn=_top&amp;sv=Split&amp;tf=-1&amp;pbc=082F5408&amp;rs=WLW12.07</vt:lpwstr>
      </vt:variant>
      <vt:variant>
        <vt:lpwstr/>
      </vt:variant>
      <vt:variant>
        <vt:i4>1835049</vt:i4>
      </vt:variant>
      <vt:variant>
        <vt:i4>1689</vt:i4>
      </vt:variant>
      <vt:variant>
        <vt:i4>0</vt:i4>
      </vt:variant>
      <vt:variant>
        <vt:i4>5</vt:i4>
      </vt:variant>
      <vt:variant>
        <vt:lpwstr>https://web2.westlaw.com/find/default.wl?mt=Westlaw&amp;db=578&amp;tc=-1&amp;rp=%2ffind%2fdefault.wl&amp;findtype=Y&amp;ordoc=2028479211&amp;serialnum=1995071992&amp;vr=2.0&amp;fn=_top&amp;sv=Split&amp;tf=-1&amp;pbc=082F5408&amp;rs=WLW12.07</vt:lpwstr>
      </vt:variant>
      <vt:variant>
        <vt:lpwstr/>
      </vt:variant>
      <vt:variant>
        <vt:i4>1376288</vt:i4>
      </vt:variant>
      <vt:variant>
        <vt:i4>1686</vt:i4>
      </vt:variant>
      <vt:variant>
        <vt:i4>0</vt:i4>
      </vt:variant>
      <vt:variant>
        <vt:i4>5</vt:i4>
      </vt:variant>
      <vt:variant>
        <vt:lpwstr>https://web2.westlaw.com/find/default.wl?mt=Westlaw&amp;db=350&amp;tc=-1&amp;rp=%2ffind%2fdefault.wl&amp;findtype=Y&amp;ordoc=2028479211&amp;serialnum=1977124740&amp;vr=2.0&amp;fn=_top&amp;sv=Split&amp;tf=-1&amp;pbc=082F5408&amp;rs=WLW12.07</vt:lpwstr>
      </vt:variant>
      <vt:variant>
        <vt:lpwstr/>
      </vt:variant>
      <vt:variant>
        <vt:i4>2883656</vt:i4>
      </vt:variant>
      <vt:variant>
        <vt:i4>1683</vt:i4>
      </vt:variant>
      <vt:variant>
        <vt:i4>0</vt:i4>
      </vt:variant>
      <vt:variant>
        <vt:i4>5</vt:i4>
      </vt:variant>
      <vt:variant>
        <vt:lpwstr>https://web2.westlaw.com/find/default.wl?mt=Westlaw&amp;db=345&amp;tc=-1&amp;rp=%2ffind%2fdefault.wl&amp;findtype=Y&amp;ordoc=2028479211&amp;serialnum=1975107136&amp;vr=2.0&amp;fn=_top&amp;sv=Split&amp;tf=-1&amp;referencepositiontype=S&amp;pbc=082F5408&amp;referenceposition=1084&amp;rs=WLW12.07</vt:lpwstr>
      </vt:variant>
      <vt:variant>
        <vt:lpwstr/>
      </vt:variant>
      <vt:variant>
        <vt:i4>1114150</vt:i4>
      </vt:variant>
      <vt:variant>
        <vt:i4>1680</vt:i4>
      </vt:variant>
      <vt:variant>
        <vt:i4>0</vt:i4>
      </vt:variant>
      <vt:variant>
        <vt:i4>5</vt:i4>
      </vt:variant>
      <vt:variant>
        <vt:lpwstr>https://web2.westlaw.com/find/default.wl?mt=Westlaw&amp;db=578&amp;tc=-1&amp;rp=%2ffind%2fdefault.wl&amp;findtype=Y&amp;ordoc=2028479211&amp;serialnum=1991122461&amp;vr=2.0&amp;fn=_top&amp;sv=Split&amp;tf=-1&amp;pbc=082F5408&amp;rs=WLW12.07</vt:lpwstr>
      </vt:variant>
      <vt:variant>
        <vt:lpwstr/>
      </vt:variant>
      <vt:variant>
        <vt:i4>1966120</vt:i4>
      </vt:variant>
      <vt:variant>
        <vt:i4>1677</vt:i4>
      </vt:variant>
      <vt:variant>
        <vt:i4>0</vt:i4>
      </vt:variant>
      <vt:variant>
        <vt:i4>5</vt:i4>
      </vt:variant>
      <vt:variant>
        <vt:lpwstr>https://web2.westlaw.com/find/default.wl?mt=Westlaw&amp;db=578&amp;tc=-1&amp;rp=%2ffind%2fdefault.wl&amp;findtype=Y&amp;ordoc=2028479211&amp;serialnum=2015473764&amp;vr=2.0&amp;fn=_top&amp;sv=Split&amp;tf=-1&amp;pbc=082F5408&amp;rs=WLW12.07</vt:lpwstr>
      </vt:variant>
      <vt:variant>
        <vt:lpwstr/>
      </vt:variant>
      <vt:variant>
        <vt:i4>1835050</vt:i4>
      </vt:variant>
      <vt:variant>
        <vt:i4>1674</vt:i4>
      </vt:variant>
      <vt:variant>
        <vt:i4>0</vt:i4>
      </vt:variant>
      <vt:variant>
        <vt:i4>5</vt:i4>
      </vt:variant>
      <vt:variant>
        <vt:lpwstr>https://web2.westlaw.com/find/default.wl?mt=Westlaw&amp;db=578&amp;tc=-1&amp;rp=%2ffind%2fdefault.wl&amp;findtype=Y&amp;ordoc=2028479211&amp;serialnum=1975116816&amp;vr=2.0&amp;fn=_top&amp;sv=Split&amp;tf=-1&amp;pbc=082F5408&amp;rs=WLW12.07</vt:lpwstr>
      </vt:variant>
      <vt:variant>
        <vt:lpwstr/>
      </vt:variant>
      <vt:variant>
        <vt:i4>1179681</vt:i4>
      </vt:variant>
      <vt:variant>
        <vt:i4>1671</vt:i4>
      </vt:variant>
      <vt:variant>
        <vt:i4>0</vt:i4>
      </vt:variant>
      <vt:variant>
        <vt:i4>5</vt:i4>
      </vt:variant>
      <vt:variant>
        <vt:lpwstr>https://web2.westlaw.com/find/default.wl?mt=Westlaw&amp;db=578&amp;tc=-1&amp;rp=%2ffind%2fdefault.wl&amp;findtype=Y&amp;ordoc=2028479211&amp;serialnum=2006804608&amp;vr=2.0&amp;fn=_top&amp;sv=Split&amp;tf=-1&amp;pbc=082F5408&amp;rs=WLW12.07</vt:lpwstr>
      </vt:variant>
      <vt:variant>
        <vt:lpwstr/>
      </vt:variant>
      <vt:variant>
        <vt:i4>4587619</vt:i4>
      </vt:variant>
      <vt:variant>
        <vt:i4>1668</vt:i4>
      </vt:variant>
      <vt:variant>
        <vt:i4>0</vt:i4>
      </vt:variant>
      <vt:variant>
        <vt:i4>5</vt:i4>
      </vt:variant>
      <vt:variant>
        <vt:lpwstr>https://web2.westlaw.com/find/default.wl?rs=WLW12.07&amp;pbc=082F5408&amp;vr=2.0&amp;findtype=Y&amp;rp=%2ffind%2fdefault.wl&amp;sv=Split&amp;fn=_top&amp;tf=-1&amp;ordoc=2028479211&amp;mt=Westlaw&amp;serialnum=1972114078&amp;tc=-1</vt:lpwstr>
      </vt:variant>
      <vt:variant>
        <vt:lpwstr/>
      </vt:variant>
      <vt:variant>
        <vt:i4>1572907</vt:i4>
      </vt:variant>
      <vt:variant>
        <vt:i4>1665</vt:i4>
      </vt:variant>
      <vt:variant>
        <vt:i4>0</vt:i4>
      </vt:variant>
      <vt:variant>
        <vt:i4>5</vt:i4>
      </vt:variant>
      <vt:variant>
        <vt:lpwstr>https://web2.westlaw.com/find/default.wl?mt=Westlaw&amp;db=578&amp;tc=-1&amp;rp=%2ffind%2fdefault.wl&amp;findtype=Y&amp;ordoc=2028479211&amp;serialnum=1972114078&amp;vr=2.0&amp;fn=_top&amp;sv=Split&amp;tf=-1&amp;pbc=082F5408&amp;rs=WLW12.07</vt:lpwstr>
      </vt:variant>
      <vt:variant>
        <vt:lpwstr/>
      </vt:variant>
      <vt:variant>
        <vt:i4>1572900</vt:i4>
      </vt:variant>
      <vt:variant>
        <vt:i4>1662</vt:i4>
      </vt:variant>
      <vt:variant>
        <vt:i4>0</vt:i4>
      </vt:variant>
      <vt:variant>
        <vt:i4>5</vt:i4>
      </vt:variant>
      <vt:variant>
        <vt:lpwstr>https://web2.westlaw.com/find/default.wl?mt=Westlaw&amp;db=578&amp;tc=-1&amp;rp=%2ffind%2fdefault.wl&amp;findtype=Y&amp;ordoc=2028479211&amp;serialnum=1972114077&amp;vr=2.0&amp;fn=_top&amp;sv=Split&amp;tf=-1&amp;pbc=082F5408&amp;rs=WLW12.07</vt:lpwstr>
      </vt:variant>
      <vt:variant>
        <vt:lpwstr/>
      </vt:variant>
      <vt:variant>
        <vt:i4>6815768</vt:i4>
      </vt:variant>
      <vt:variant>
        <vt:i4>1659</vt:i4>
      </vt:variant>
      <vt:variant>
        <vt:i4>0</vt:i4>
      </vt:variant>
      <vt:variant>
        <vt:i4>5</vt:i4>
      </vt:variant>
      <vt:variant>
        <vt:lpwstr>https://web2.westlaw.com/find/default.wl?mt=Westlaw&amp;db=1000042&amp;docname=MAST210S8&amp;rp=%2ffind%2fdefault.wl&amp;findtype=L&amp;ordoc=2028479211&amp;tc=-1&amp;vr=2.0&amp;fn=_top&amp;sv=Split&amp;tf=-1&amp;pbc=082F5408&amp;rs=WLW12.07</vt:lpwstr>
      </vt:variant>
      <vt:variant>
        <vt:lpwstr/>
      </vt:variant>
      <vt:variant>
        <vt:i4>1966120</vt:i4>
      </vt:variant>
      <vt:variant>
        <vt:i4>1656</vt:i4>
      </vt:variant>
      <vt:variant>
        <vt:i4>0</vt:i4>
      </vt:variant>
      <vt:variant>
        <vt:i4>5</vt:i4>
      </vt:variant>
      <vt:variant>
        <vt:lpwstr>https://web2.westlaw.com/find/default.wl?mt=Westlaw&amp;db=578&amp;tc=-1&amp;rp=%2ffind%2fdefault.wl&amp;findtype=Y&amp;ordoc=2028479211&amp;serialnum=2015473764&amp;vr=2.0&amp;fn=_top&amp;sv=Split&amp;tf=-1&amp;pbc=082F5408&amp;rs=WLW12.07</vt:lpwstr>
      </vt:variant>
      <vt:variant>
        <vt:lpwstr/>
      </vt:variant>
      <vt:variant>
        <vt:i4>6815768</vt:i4>
      </vt:variant>
      <vt:variant>
        <vt:i4>1653</vt:i4>
      </vt:variant>
      <vt:variant>
        <vt:i4>0</vt:i4>
      </vt:variant>
      <vt:variant>
        <vt:i4>5</vt:i4>
      </vt:variant>
      <vt:variant>
        <vt:lpwstr>https://web2.westlaw.com/find/default.wl?mt=Westlaw&amp;db=1000042&amp;docname=MAST210S8&amp;rp=%2ffind%2fdefault.wl&amp;findtype=L&amp;ordoc=2028479211&amp;tc=-1&amp;vr=2.0&amp;fn=_top&amp;sv=Split&amp;tf=-1&amp;pbc=082F5408&amp;rs=WLW12.07</vt:lpwstr>
      </vt:variant>
      <vt:variant>
        <vt:lpwstr/>
      </vt:variant>
      <vt:variant>
        <vt:i4>6815768</vt:i4>
      </vt:variant>
      <vt:variant>
        <vt:i4>1650</vt:i4>
      </vt:variant>
      <vt:variant>
        <vt:i4>0</vt:i4>
      </vt:variant>
      <vt:variant>
        <vt:i4>5</vt:i4>
      </vt:variant>
      <vt:variant>
        <vt:lpwstr>https://web2.westlaw.com/find/default.wl?mt=Westlaw&amp;db=1000042&amp;docname=MAST210S8&amp;rp=%2ffind%2fdefault.wl&amp;findtype=L&amp;ordoc=2028479211&amp;tc=-1&amp;vr=2.0&amp;fn=_top&amp;sv=Split&amp;tf=-1&amp;pbc=082F5408&amp;rs=WLW12.07</vt:lpwstr>
      </vt:variant>
      <vt:variant>
        <vt:lpwstr/>
      </vt:variant>
      <vt:variant>
        <vt:i4>6815768</vt:i4>
      </vt:variant>
      <vt:variant>
        <vt:i4>1647</vt:i4>
      </vt:variant>
      <vt:variant>
        <vt:i4>0</vt:i4>
      </vt:variant>
      <vt:variant>
        <vt:i4>5</vt:i4>
      </vt:variant>
      <vt:variant>
        <vt:lpwstr>https://web2.westlaw.com/find/default.wl?mt=Westlaw&amp;db=1000042&amp;docname=MAST210S8&amp;rp=%2ffind%2fdefault.wl&amp;findtype=L&amp;ordoc=2028479211&amp;tc=-1&amp;vr=2.0&amp;fn=_top&amp;sv=Split&amp;tf=-1&amp;pbc=082F5408&amp;rs=WLW12.07</vt:lpwstr>
      </vt:variant>
      <vt:variant>
        <vt:lpwstr/>
      </vt:variant>
      <vt:variant>
        <vt:i4>4259967</vt:i4>
      </vt:variant>
      <vt:variant>
        <vt:i4>1644</vt:i4>
      </vt:variant>
      <vt:variant>
        <vt:i4>0</vt:i4>
      </vt:variant>
      <vt:variant>
        <vt:i4>5</vt:i4>
      </vt:variant>
      <vt:variant>
        <vt:lpwstr>https://web2.westlaw.com/find/default.wl?mt=Westlaw&amp;db=999&amp;tc=-1&amp;rp=%2ffind%2fdefault.wl&amp;findtype=Y&amp;ordoc=2028360737&amp;serialnum=2007467195&amp;vr=2.0&amp;fn=_top&amp;sv=Split&amp;tf=-1&amp;pbc=7700A708&amp;rs=WLW12.07</vt:lpwstr>
      </vt:variant>
      <vt:variant>
        <vt:lpwstr/>
      </vt:variant>
      <vt:variant>
        <vt:i4>4915327</vt:i4>
      </vt:variant>
      <vt:variant>
        <vt:i4>1641</vt:i4>
      </vt:variant>
      <vt:variant>
        <vt:i4>0</vt:i4>
      </vt:variant>
      <vt:variant>
        <vt:i4>5</vt:i4>
      </vt:variant>
      <vt:variant>
        <vt:lpwstr>https://web2.westlaw.com/find/default.wl?mt=Westlaw&amp;db=999&amp;tc=-1&amp;rp=%2ffind%2fdefault.wl&amp;findtype=Y&amp;ordoc=2028360737&amp;serialnum=2013747614&amp;vr=2.0&amp;fn=_top&amp;sv=Split&amp;tf=-1&amp;pbc=7700A708&amp;rs=WLW12.07</vt:lpwstr>
      </vt:variant>
      <vt:variant>
        <vt:lpwstr/>
      </vt:variant>
      <vt:variant>
        <vt:i4>589866</vt:i4>
      </vt:variant>
      <vt:variant>
        <vt:i4>1638</vt:i4>
      </vt:variant>
      <vt:variant>
        <vt:i4>0</vt:i4>
      </vt:variant>
      <vt:variant>
        <vt:i4>5</vt:i4>
      </vt:variant>
      <vt:variant>
        <vt:lpwstr>https://web2.westlaw.com/find/default.wl?mt=Westlaw&amp;db=1000264&amp;docname=CTSTS45A-648&amp;rp=%2ffind%2fdefault.wl&amp;findtype=L&amp;ordoc=2028360737&amp;tc=-1&amp;vr=2.0&amp;fn=_top&amp;sv=Split&amp;tf=-1&amp;pbc=7700A708&amp;rs=WLW12.07</vt:lpwstr>
      </vt:variant>
      <vt:variant>
        <vt:lpwstr/>
      </vt:variant>
      <vt:variant>
        <vt:i4>2818127</vt:i4>
      </vt:variant>
      <vt:variant>
        <vt:i4>1635</vt:i4>
      </vt:variant>
      <vt:variant>
        <vt:i4>0</vt:i4>
      </vt:variant>
      <vt:variant>
        <vt:i4>5</vt:i4>
      </vt:variant>
      <vt:variant>
        <vt:lpwstr>https://web2.westlaw.com/find/default.wl?mt=Westlaw&amp;db=273&amp;tc=-1&amp;rp=%2ffind%2fdefault.wl&amp;findtype=Y&amp;ordoc=2028360737&amp;serialnum=1836000494&amp;vr=2.0&amp;fn=_top&amp;sv=Split&amp;tf=-1&amp;referencepositiontype=S&amp;pbc=7700A708&amp;referenceposition=237&amp;rs=WLW12.07</vt:lpwstr>
      </vt:variant>
      <vt:variant>
        <vt:lpwstr/>
      </vt:variant>
      <vt:variant>
        <vt:i4>655392</vt:i4>
      </vt:variant>
      <vt:variant>
        <vt:i4>1632</vt:i4>
      </vt:variant>
      <vt:variant>
        <vt:i4>0</vt:i4>
      </vt:variant>
      <vt:variant>
        <vt:i4>5</vt:i4>
      </vt:variant>
      <vt:variant>
        <vt:lpwstr>https://web2.westlaw.com/find/default.wl?mt=Westlaw&amp;db=1000264&amp;docname=CTSTS45A-175&amp;rp=%2ffind%2fdefault.wl&amp;findtype=L&amp;ordoc=2028360737&amp;tc=-1&amp;vr=2.0&amp;fn=_top&amp;sv=Split&amp;tf=-1&amp;pbc=7700A708&amp;rs=WLW12.07</vt:lpwstr>
      </vt:variant>
      <vt:variant>
        <vt:lpwstr/>
      </vt:variant>
      <vt:variant>
        <vt:i4>4980857</vt:i4>
      </vt:variant>
      <vt:variant>
        <vt:i4>1629</vt:i4>
      </vt:variant>
      <vt:variant>
        <vt:i4>0</vt:i4>
      </vt:variant>
      <vt:variant>
        <vt:i4>5</vt:i4>
      </vt:variant>
      <vt:variant>
        <vt:lpwstr>https://web2.westlaw.com/find/default.wl?mt=Westlaw&amp;db=161&amp;tc=-1&amp;rp=%2ffind%2fdefault.wl&amp;findtype=Y&amp;ordoc=2028360737&amp;serialnum=1916026839&amp;vr=2.0&amp;fn=_top&amp;sv=Split&amp;tf=-1&amp;pbc=7700A708&amp;rs=WLW12.07</vt:lpwstr>
      </vt:variant>
      <vt:variant>
        <vt:lpwstr/>
      </vt:variant>
      <vt:variant>
        <vt:i4>3407976</vt:i4>
      </vt:variant>
      <vt:variant>
        <vt:i4>1626</vt:i4>
      </vt:variant>
      <vt:variant>
        <vt:i4>0</vt:i4>
      </vt:variant>
      <vt:variant>
        <vt:i4>5</vt:i4>
      </vt:variant>
      <vt:variant>
        <vt:lpwstr/>
      </vt:variant>
      <vt:variant>
        <vt:lpwstr>B00432028360737</vt:lpwstr>
      </vt:variant>
      <vt:variant>
        <vt:i4>4259967</vt:i4>
      </vt:variant>
      <vt:variant>
        <vt:i4>1623</vt:i4>
      </vt:variant>
      <vt:variant>
        <vt:i4>0</vt:i4>
      </vt:variant>
      <vt:variant>
        <vt:i4>5</vt:i4>
      </vt:variant>
      <vt:variant>
        <vt:lpwstr>https://web2.westlaw.com/find/default.wl?mt=Westlaw&amp;db=999&amp;tc=-1&amp;rp=%2ffind%2fdefault.wl&amp;findtype=Y&amp;ordoc=2028360737&amp;serialnum=2007467195&amp;vr=2.0&amp;fn=_top&amp;sv=Split&amp;tf=-1&amp;pbc=7700A708&amp;rs=WLW12.07</vt:lpwstr>
      </vt:variant>
      <vt:variant>
        <vt:lpwstr/>
      </vt:variant>
      <vt:variant>
        <vt:i4>4915327</vt:i4>
      </vt:variant>
      <vt:variant>
        <vt:i4>1620</vt:i4>
      </vt:variant>
      <vt:variant>
        <vt:i4>0</vt:i4>
      </vt:variant>
      <vt:variant>
        <vt:i4>5</vt:i4>
      </vt:variant>
      <vt:variant>
        <vt:lpwstr>https://web2.westlaw.com/find/default.wl?mt=Westlaw&amp;db=999&amp;tc=-1&amp;rp=%2ffind%2fdefault.wl&amp;findtype=Y&amp;ordoc=2028360737&amp;serialnum=2013747614&amp;vr=2.0&amp;fn=_top&amp;sv=Split&amp;tf=-1&amp;pbc=7700A708&amp;rs=WLW12.07</vt:lpwstr>
      </vt:variant>
      <vt:variant>
        <vt:lpwstr/>
      </vt:variant>
      <vt:variant>
        <vt:i4>1048702</vt:i4>
      </vt:variant>
      <vt:variant>
        <vt:i4>1617</vt:i4>
      </vt:variant>
      <vt:variant>
        <vt:i4>0</vt:i4>
      </vt:variant>
      <vt:variant>
        <vt:i4>5</vt:i4>
      </vt:variant>
      <vt:variant>
        <vt:lpwstr>https://web2.westlaw.com/find/default.wl?mt=Westlaw&amp;db=578&amp;tc=-1&amp;rp=%2ffind%2fdefault.wl&amp;findtype=Y&amp;ordoc=2027067952&amp;serialnum=2017511415&amp;vr=2.0&amp;fn=_top&amp;sv=Split&amp;tf=-1&amp;pbc=7A8D3AE9&amp;rs=WLW12.04</vt:lpwstr>
      </vt:variant>
      <vt:variant>
        <vt:lpwstr/>
      </vt:variant>
      <vt:variant>
        <vt:i4>1572983</vt:i4>
      </vt:variant>
      <vt:variant>
        <vt:i4>1614</vt:i4>
      </vt:variant>
      <vt:variant>
        <vt:i4>0</vt:i4>
      </vt:variant>
      <vt:variant>
        <vt:i4>5</vt:i4>
      </vt:variant>
      <vt:variant>
        <vt:lpwstr>https://web2.westlaw.com/find/default.wl?mt=Westlaw&amp;db=578&amp;tc=-1&amp;rp=%2ffind%2fdefault.wl&amp;findtype=Y&amp;ordoc=2027067952&amp;serialnum=2026278649&amp;vr=2.0&amp;fn=_top&amp;sv=Split&amp;tf=-1&amp;pbc=7A8D3AE9&amp;rs=WLW12.04</vt:lpwstr>
      </vt:variant>
      <vt:variant>
        <vt:lpwstr/>
      </vt:variant>
      <vt:variant>
        <vt:i4>1048702</vt:i4>
      </vt:variant>
      <vt:variant>
        <vt:i4>1611</vt:i4>
      </vt:variant>
      <vt:variant>
        <vt:i4>0</vt:i4>
      </vt:variant>
      <vt:variant>
        <vt:i4>5</vt:i4>
      </vt:variant>
      <vt:variant>
        <vt:lpwstr>https://web2.westlaw.com/find/default.wl?mt=Westlaw&amp;db=578&amp;tc=-1&amp;rp=%2ffind%2fdefault.wl&amp;findtype=Y&amp;ordoc=2027067952&amp;serialnum=2017511415&amp;vr=2.0&amp;fn=_top&amp;sv=Split&amp;tf=-1&amp;pbc=7A8D3AE9&amp;rs=WLW12.04</vt:lpwstr>
      </vt:variant>
      <vt:variant>
        <vt:lpwstr/>
      </vt:variant>
      <vt:variant>
        <vt:i4>1572983</vt:i4>
      </vt:variant>
      <vt:variant>
        <vt:i4>1608</vt:i4>
      </vt:variant>
      <vt:variant>
        <vt:i4>0</vt:i4>
      </vt:variant>
      <vt:variant>
        <vt:i4>5</vt:i4>
      </vt:variant>
      <vt:variant>
        <vt:lpwstr>https://web2.westlaw.com/find/default.wl?mt=Westlaw&amp;db=578&amp;tc=-1&amp;rp=%2ffind%2fdefault.wl&amp;findtype=Y&amp;ordoc=2027067952&amp;serialnum=2026278649&amp;vr=2.0&amp;fn=_top&amp;sv=Split&amp;tf=-1&amp;pbc=7A8D3AE9&amp;rs=WLW12.04</vt:lpwstr>
      </vt:variant>
      <vt:variant>
        <vt:lpwstr/>
      </vt:variant>
      <vt:variant>
        <vt:i4>1179754</vt:i4>
      </vt:variant>
      <vt:variant>
        <vt:i4>1605</vt:i4>
      </vt:variant>
      <vt:variant>
        <vt:i4>0</vt:i4>
      </vt:variant>
      <vt:variant>
        <vt:i4>5</vt:i4>
      </vt:variant>
      <vt:variant>
        <vt:lpwstr>https://web2.westlaw.com/find/default.wl?rs=WLW12.04&amp;pbc=7A8D3AE9&amp;vr=2.0&amp;findtype=Y&amp;rp=%2ffind%2fdefault.wl&amp;sv=Split&amp;fn=_top&amp;tf=-1&amp;ordoc=2027067952&amp;mt=Westlaw&amp;serialnum=1996079329&amp;tc=-1</vt:lpwstr>
      </vt:variant>
      <vt:variant>
        <vt:lpwstr/>
      </vt:variant>
      <vt:variant>
        <vt:i4>3276881</vt:i4>
      </vt:variant>
      <vt:variant>
        <vt:i4>1602</vt:i4>
      </vt:variant>
      <vt:variant>
        <vt:i4>0</vt:i4>
      </vt:variant>
      <vt:variant>
        <vt:i4>5</vt:i4>
      </vt:variant>
      <vt:variant>
        <vt:lpwstr>https://web2.westlaw.com/find/default.wl?mt=Westlaw&amp;db=1000008&amp;docname=ILSTC760S5%2f5&amp;rp=%2ffind%2fdefault.wl&amp;findtype=L&amp;ordoc=2027067952&amp;tc=-1&amp;vr=2.0&amp;fn=_top&amp;sv=Split&amp;tf=-1&amp;referencepositiontype=T&amp;pbc=7A8D3AE9&amp;referenceposition=SP%3ba83b000018c76&amp;rs=WLW12.04</vt:lpwstr>
      </vt:variant>
      <vt:variant>
        <vt:lpwstr/>
      </vt:variant>
      <vt:variant>
        <vt:i4>1179754</vt:i4>
      </vt:variant>
      <vt:variant>
        <vt:i4>1599</vt:i4>
      </vt:variant>
      <vt:variant>
        <vt:i4>0</vt:i4>
      </vt:variant>
      <vt:variant>
        <vt:i4>5</vt:i4>
      </vt:variant>
      <vt:variant>
        <vt:lpwstr>https://web2.westlaw.com/find/default.wl?rs=WLW12.04&amp;pbc=7A8D3AE9&amp;vr=2.0&amp;findtype=Y&amp;rp=%2ffind%2fdefault.wl&amp;sv=Split&amp;fn=_top&amp;tf=-1&amp;ordoc=2027067952&amp;mt=Westlaw&amp;serialnum=1996079329&amp;tc=-1</vt:lpwstr>
      </vt:variant>
      <vt:variant>
        <vt:lpwstr/>
      </vt:variant>
      <vt:variant>
        <vt:i4>6946903</vt:i4>
      </vt:variant>
      <vt:variant>
        <vt:i4>1596</vt:i4>
      </vt:variant>
      <vt:variant>
        <vt:i4>0</vt:i4>
      </vt:variant>
      <vt:variant>
        <vt:i4>5</vt:i4>
      </vt:variant>
      <vt:variant>
        <vt:lpwstr>https://web2.westlaw.com/find/default.wl?mt=Westlaw&amp;db=1000008&amp;docname=ILSTC760S5%2f5&amp;rp=%2ffind%2fdefault.wl&amp;findtype=L&amp;ordoc=2027067952&amp;tc=-1&amp;vr=2.0&amp;fn=_top&amp;sv=Split&amp;tf=-1&amp;referencepositiontype=T&amp;pbc=7A8D3AE9&amp;referenceposition=SP%3bd86d0000be040&amp;rs=WLW12.04</vt:lpwstr>
      </vt:variant>
      <vt:variant>
        <vt:lpwstr/>
      </vt:variant>
      <vt:variant>
        <vt:i4>7536731</vt:i4>
      </vt:variant>
      <vt:variant>
        <vt:i4>1593</vt:i4>
      </vt:variant>
      <vt:variant>
        <vt:i4>0</vt:i4>
      </vt:variant>
      <vt:variant>
        <vt:i4>5</vt:i4>
      </vt:variant>
      <vt:variant>
        <vt:lpwstr>https://web2.westlaw.com/find/default.wl?mt=Westlaw&amp;db=1000546&amp;docname=26USCAS11&amp;rp=%2ffind%2fdefault.wl&amp;findtype=L&amp;ordoc=2027067952&amp;tc=-1&amp;vr=2.0&amp;fn=_top&amp;sv=Split&amp;tf=-1&amp;pbc=7A8D3AE9&amp;rs=WLW12.04</vt:lpwstr>
      </vt:variant>
      <vt:variant>
        <vt:lpwstr/>
      </vt:variant>
      <vt:variant>
        <vt:i4>655401</vt:i4>
      </vt:variant>
      <vt:variant>
        <vt:i4>1590</vt:i4>
      </vt:variant>
      <vt:variant>
        <vt:i4>0</vt:i4>
      </vt:variant>
      <vt:variant>
        <vt:i4>5</vt:i4>
      </vt:variant>
      <vt:variant>
        <vt:lpwstr>https://web2.westlaw.com/find/default.wl?mt=Westlaw&amp;db=1000547&amp;docname=20CFRS404.355&amp;rp=%2ffind%2fdefault.wl&amp;findtype=L&amp;ordoc=2027729181&amp;tc=-1&amp;vr=2.0&amp;fn=_top&amp;sv=Split&amp;tf=-1&amp;referencepositiontype=T&amp;pbc=4E2246F5&amp;referenceposition=SP%3b8b3b0000958a4&amp;rs=WLW12.04</vt:lpwstr>
      </vt:variant>
      <vt:variant>
        <vt:lpwstr/>
      </vt:variant>
      <vt:variant>
        <vt:i4>2490437</vt:i4>
      </vt:variant>
      <vt:variant>
        <vt:i4>1587</vt:i4>
      </vt:variant>
      <vt:variant>
        <vt:i4>0</vt:i4>
      </vt:variant>
      <vt:variant>
        <vt:i4>5</vt:i4>
      </vt:variant>
      <vt:variant>
        <vt:lpwstr>https://web2.westlaw.com/find/default.wl?mt=Westlaw&amp;db=1000546&amp;docname=42USCAS416&amp;rp=%2ffind%2fdefault.wl&amp;findtype=L&amp;ordoc=2027729181&amp;tc=-1&amp;vr=2.0&amp;fn=_top&amp;sv=Split&amp;tf=-1&amp;referencepositiontype=T&amp;pbc=4E2246F5&amp;referenceposition=SP%3b9d43000088150&amp;rs=WLW12.04</vt:lpwstr>
      </vt:variant>
      <vt:variant>
        <vt:lpwstr/>
      </vt:variant>
      <vt:variant>
        <vt:i4>7929924</vt:i4>
      </vt:variant>
      <vt:variant>
        <vt:i4>1584</vt:i4>
      </vt:variant>
      <vt:variant>
        <vt:i4>0</vt:i4>
      </vt:variant>
      <vt:variant>
        <vt:i4>5</vt:i4>
      </vt:variant>
      <vt:variant>
        <vt:lpwstr>https://web2.westlaw.com/find/default.wl?mt=Westlaw&amp;db=1000546&amp;docname=42USCAS416&amp;rp=%2ffind%2fdefault.wl&amp;findtype=L&amp;ordoc=2027729181&amp;tc=-1&amp;vr=2.0&amp;fn=_top&amp;sv=Split&amp;tf=-1&amp;referencepositiontype=T&amp;pbc=4E2246F5&amp;referenceposition=SP%3b1d410000745d2&amp;rs=WLW12.04</vt:lpwstr>
      </vt:variant>
      <vt:variant>
        <vt:lpwstr/>
      </vt:variant>
      <vt:variant>
        <vt:i4>3342413</vt:i4>
      </vt:variant>
      <vt:variant>
        <vt:i4>1581</vt:i4>
      </vt:variant>
      <vt:variant>
        <vt:i4>0</vt:i4>
      </vt:variant>
      <vt:variant>
        <vt:i4>5</vt:i4>
      </vt:variant>
      <vt:variant>
        <vt:lpwstr>https://web2.westlaw.com/find/default.wl?mt=Westlaw&amp;db=1000547&amp;docname=20CFRS404.355&amp;rp=%2ffind%2fdefault.wl&amp;findtype=L&amp;ordoc=2027729181&amp;tc=-1&amp;vr=2.0&amp;fn=_top&amp;sv=Split&amp;tf=-1&amp;pbc=4E2246F5&amp;rs=WLW12.04</vt:lpwstr>
      </vt:variant>
      <vt:variant>
        <vt:lpwstr/>
      </vt:variant>
      <vt:variant>
        <vt:i4>3276877</vt:i4>
      </vt:variant>
      <vt:variant>
        <vt:i4>1578</vt:i4>
      </vt:variant>
      <vt:variant>
        <vt:i4>0</vt:i4>
      </vt:variant>
      <vt:variant>
        <vt:i4>5</vt:i4>
      </vt:variant>
      <vt:variant>
        <vt:lpwstr>https://web2.westlaw.com/find/default.wl?mt=Westlaw&amp;db=1000547&amp;docname=20CFRS404.354&amp;rp=%2ffind%2fdefault.wl&amp;findtype=L&amp;ordoc=2027729181&amp;tc=-1&amp;vr=2.0&amp;fn=_top&amp;sv=Split&amp;tf=-1&amp;pbc=4E2246F5&amp;rs=WLW12.04</vt:lpwstr>
      </vt:variant>
      <vt:variant>
        <vt:lpwstr/>
      </vt:variant>
      <vt:variant>
        <vt:i4>1638520</vt:i4>
      </vt:variant>
      <vt:variant>
        <vt:i4>1575</vt:i4>
      </vt:variant>
      <vt:variant>
        <vt:i4>0</vt:i4>
      </vt:variant>
      <vt:variant>
        <vt:i4>5</vt:i4>
      </vt:variant>
      <vt:variant>
        <vt:lpwstr>https://web2.westlaw.com/find/default.wl?mt=Westlaw&amp;db=708&amp;tc=-1&amp;rp=%2ffind%2fdefault.wl&amp;findtype=Y&amp;ordoc=2027729181&amp;serialnum=1984130736&amp;vr=2.0&amp;fn=_top&amp;sv=Split&amp;tf=-1&amp;pbc=4E2246F5&amp;rs=WLW12.04</vt:lpwstr>
      </vt:variant>
      <vt:variant>
        <vt:lpwstr/>
      </vt:variant>
      <vt:variant>
        <vt:i4>2293776</vt:i4>
      </vt:variant>
      <vt:variant>
        <vt:i4>1572</vt:i4>
      </vt:variant>
      <vt:variant>
        <vt:i4>0</vt:i4>
      </vt:variant>
      <vt:variant>
        <vt:i4>5</vt:i4>
      </vt:variant>
      <vt:variant>
        <vt:lpwstr>https://web2.westlaw.com/find/default.wl?mt=Westlaw&amp;db=1000546&amp;docname=42USCAS416&amp;rp=%2ffind%2fdefault.wl&amp;findtype=L&amp;ordoc=2027729181&amp;tc=-1&amp;vr=2.0&amp;fn=_top&amp;sv=Split&amp;tf=-1&amp;referencepositiontype=T&amp;pbc=4E2246F5&amp;referenceposition=SP%3bddd900000afc7&amp;rs=WLW12.04</vt:lpwstr>
      </vt:variant>
      <vt:variant>
        <vt:lpwstr/>
      </vt:variant>
      <vt:variant>
        <vt:i4>7929924</vt:i4>
      </vt:variant>
      <vt:variant>
        <vt:i4>1569</vt:i4>
      </vt:variant>
      <vt:variant>
        <vt:i4>0</vt:i4>
      </vt:variant>
      <vt:variant>
        <vt:i4>5</vt:i4>
      </vt:variant>
      <vt:variant>
        <vt:lpwstr>https://web2.westlaw.com/find/default.wl?mt=Westlaw&amp;db=1000546&amp;docname=42USCAS416&amp;rp=%2ffind%2fdefault.wl&amp;findtype=L&amp;ordoc=2027729181&amp;tc=-1&amp;vr=2.0&amp;fn=_top&amp;sv=Split&amp;tf=-1&amp;referencepositiontype=T&amp;pbc=4E2246F5&amp;referenceposition=SP%3b1d410000745d2&amp;rs=WLW12.04</vt:lpwstr>
      </vt:variant>
      <vt:variant>
        <vt:lpwstr/>
      </vt:variant>
      <vt:variant>
        <vt:i4>2883655</vt:i4>
      </vt:variant>
      <vt:variant>
        <vt:i4>1566</vt:i4>
      </vt:variant>
      <vt:variant>
        <vt:i4>0</vt:i4>
      </vt:variant>
      <vt:variant>
        <vt:i4>5</vt:i4>
      </vt:variant>
      <vt:variant>
        <vt:lpwstr>https://web2.westlaw.com/find/default.wl?mt=Westlaw&amp;db=1000546&amp;docname=42USCAS416&amp;rp=%2ffind%2fdefault.wl&amp;findtype=L&amp;ordoc=2027729181&amp;tc=-1&amp;vr=2.0&amp;fn=_top&amp;sv=Split&amp;tf=-1&amp;referencepositiontype=T&amp;pbc=4E2246F5&amp;referenceposition=SP%3b7fdd00001ca15&amp;rs=WLW12.04</vt:lpwstr>
      </vt:variant>
      <vt:variant>
        <vt:lpwstr/>
      </vt:variant>
      <vt:variant>
        <vt:i4>1769589</vt:i4>
      </vt:variant>
      <vt:variant>
        <vt:i4>1563</vt:i4>
      </vt:variant>
      <vt:variant>
        <vt:i4>0</vt:i4>
      </vt:variant>
      <vt:variant>
        <vt:i4>5</vt:i4>
      </vt:variant>
      <vt:variant>
        <vt:lpwstr>https://web2.westlaw.com/find/default.wl?rs=WLW12.04&amp;pbc=4E2246F5&amp;vr=2.0&amp;findtype=UM&amp;rp=%2ffind%2fdefault.wl&amp;sv=Split&amp;fn=_top&amp;ordoc=2027729181&amp;mt=Westlaw&amp;docname=Iaf34f5c3475411db9765f9243f53508a</vt:lpwstr>
      </vt:variant>
      <vt:variant>
        <vt:lpwstr/>
      </vt:variant>
      <vt:variant>
        <vt:i4>7995399</vt:i4>
      </vt:variant>
      <vt:variant>
        <vt:i4>1560</vt:i4>
      </vt:variant>
      <vt:variant>
        <vt:i4>0</vt:i4>
      </vt:variant>
      <vt:variant>
        <vt:i4>5</vt:i4>
      </vt:variant>
      <vt:variant>
        <vt:lpwstr>https://web2.westlaw.com/find/default.wl?mt=Westlaw&amp;db=1000009&amp;docname=INS30-4-3-24.4&amp;rp=%2ffind%2fdefault.wl&amp;findtype=L&amp;ordoc=2025930688&amp;tc=-1&amp;vr=2.0&amp;fn=_top&amp;sv=Split&amp;tf=-1&amp;pbc=F8157104&amp;rs=WLW12.04</vt:lpwstr>
      </vt:variant>
      <vt:variant>
        <vt:lpwstr/>
      </vt:variant>
      <vt:variant>
        <vt:i4>3538952</vt:i4>
      </vt:variant>
      <vt:variant>
        <vt:i4>1557</vt:i4>
      </vt:variant>
      <vt:variant>
        <vt:i4>0</vt:i4>
      </vt:variant>
      <vt:variant>
        <vt:i4>5</vt:i4>
      </vt:variant>
      <vt:variant>
        <vt:lpwstr>https://web2.westlaw.com/find/default.wl?mt=Westlaw&amp;db=1000009&amp;docname=INS30-4-3-26&amp;rp=%2ffind%2fdefault.wl&amp;findtype=L&amp;ordoc=2025930688&amp;tc=-1&amp;vr=2.0&amp;fn=_top&amp;sv=Split&amp;tf=-1&amp;referencepositiontype=T&amp;pbc=F8157104&amp;referenceposition=SP%3b8b3b0000958a4&amp;rs=WLW12.04</vt:lpwstr>
      </vt:variant>
      <vt:variant>
        <vt:lpwstr/>
      </vt:variant>
      <vt:variant>
        <vt:i4>2687044</vt:i4>
      </vt:variant>
      <vt:variant>
        <vt:i4>1554</vt:i4>
      </vt:variant>
      <vt:variant>
        <vt:i4>0</vt:i4>
      </vt:variant>
      <vt:variant>
        <vt:i4>5</vt:i4>
      </vt:variant>
      <vt:variant>
        <vt:lpwstr>https://web2.westlaw.com/find/default.wl?mt=Westlaw&amp;db=578&amp;tc=-1&amp;rp=%2ffind%2fdefault.wl&amp;findtype=Y&amp;ordoc=2025930688&amp;serialnum=2008681270&amp;vr=2.0&amp;fn=_top&amp;sv=Split&amp;tf=-1&amp;referencepositiontype=S&amp;pbc=F8157104&amp;referenceposition=532&amp;rs=WLW12.04</vt:lpwstr>
      </vt:variant>
      <vt:variant>
        <vt:lpwstr/>
      </vt:variant>
      <vt:variant>
        <vt:i4>7602206</vt:i4>
      </vt:variant>
      <vt:variant>
        <vt:i4>1551</vt:i4>
      </vt:variant>
      <vt:variant>
        <vt:i4>0</vt:i4>
      </vt:variant>
      <vt:variant>
        <vt:i4>5</vt:i4>
      </vt:variant>
      <vt:variant>
        <vt:lpwstr>https://web2.westlaw.com/find/default.wl?mt=Westlaw&amp;db=711&amp;tc=-1&amp;rp=%2ffind%2fdefault.wl&amp;findtype=Y&amp;ordoc=2027538888&amp;serialnum=2021140280&amp;vr=2.0&amp;fn=_top&amp;sv=Split&amp;tf=-1&amp;referencepositiontype=S&amp;pbc=593D6066&amp;referenceposition=287&amp;rs=WLW12.04</vt:lpwstr>
      </vt:variant>
      <vt:variant>
        <vt:lpwstr/>
      </vt:variant>
      <vt:variant>
        <vt:i4>7602206</vt:i4>
      </vt:variant>
      <vt:variant>
        <vt:i4>1548</vt:i4>
      </vt:variant>
      <vt:variant>
        <vt:i4>0</vt:i4>
      </vt:variant>
      <vt:variant>
        <vt:i4>5</vt:i4>
      </vt:variant>
      <vt:variant>
        <vt:lpwstr>https://web2.westlaw.com/find/default.wl?mt=Westlaw&amp;db=711&amp;tc=-1&amp;rp=%2ffind%2fdefault.wl&amp;findtype=Y&amp;ordoc=2027538888&amp;serialnum=2021140280&amp;vr=2.0&amp;fn=_top&amp;sv=Split&amp;tf=-1&amp;referencepositiontype=S&amp;pbc=593D6066&amp;referenceposition=287&amp;rs=WLW12.04</vt:lpwstr>
      </vt:variant>
      <vt:variant>
        <vt:lpwstr/>
      </vt:variant>
      <vt:variant>
        <vt:i4>2752582</vt:i4>
      </vt:variant>
      <vt:variant>
        <vt:i4>1545</vt:i4>
      </vt:variant>
      <vt:variant>
        <vt:i4>0</vt:i4>
      </vt:variant>
      <vt:variant>
        <vt:i4>5</vt:i4>
      </vt:variant>
      <vt:variant>
        <vt:lpwstr>https://web2.westlaw.com/find/default.wl?mt=Westlaw&amp;db=1000040&amp;docname=VASTS8.01-397&amp;rp=%2ffind%2fdefault.wl&amp;findtype=L&amp;ordoc=2027538888&amp;tc=-1&amp;vr=2.0&amp;fn=_top&amp;sv=Split&amp;tf=-1&amp;pbc=593D6066&amp;rs=WLW12.04</vt:lpwstr>
      </vt:variant>
      <vt:variant>
        <vt:lpwstr/>
      </vt:variant>
      <vt:variant>
        <vt:i4>1507443</vt:i4>
      </vt:variant>
      <vt:variant>
        <vt:i4>1542</vt:i4>
      </vt:variant>
      <vt:variant>
        <vt:i4>0</vt:i4>
      </vt:variant>
      <vt:variant>
        <vt:i4>5</vt:i4>
      </vt:variant>
      <vt:variant>
        <vt:lpwstr>https://web2.westlaw.com/find/default.wl?mt=Westlaw&amp;db=0004041&amp;tc=-1&amp;rp=%2ffind%2fdefault.wl&amp;findtype=Y&amp;ordoc=2027273078&amp;serialnum=2009500874&amp;vr=2.0&amp;fn=_top&amp;sv=Split&amp;tf=-1&amp;referencepositiontype=S&amp;pbc=6585CBE1&amp;referenceposition=30&amp;rs=WLW12.04</vt:lpwstr>
      </vt:variant>
      <vt:variant>
        <vt:lpwstr/>
      </vt:variant>
      <vt:variant>
        <vt:i4>2818112</vt:i4>
      </vt:variant>
      <vt:variant>
        <vt:i4>1539</vt:i4>
      </vt:variant>
      <vt:variant>
        <vt:i4>0</vt:i4>
      </vt:variant>
      <vt:variant>
        <vt:i4>5</vt:i4>
      </vt:variant>
      <vt:variant>
        <vt:lpwstr>https://web2.westlaw.com/find/default.wl?mt=Westlaw&amp;db=0004041&amp;tc=-1&amp;rp=%2ffind%2fdefault.wl&amp;findtype=Y&amp;ordoc=2027273078&amp;serialnum=2002108758&amp;vr=2.0&amp;fn=_top&amp;sv=Split&amp;tf=-1&amp;referencepositiontype=S&amp;pbc=6585CBE1&amp;referenceposition=1209&amp;rs=WLW12.04</vt:lpwstr>
      </vt:variant>
      <vt:variant>
        <vt:lpwstr/>
      </vt:variant>
      <vt:variant>
        <vt:i4>7864341</vt:i4>
      </vt:variant>
      <vt:variant>
        <vt:i4>1536</vt:i4>
      </vt:variant>
      <vt:variant>
        <vt:i4>0</vt:i4>
      </vt:variant>
      <vt:variant>
        <vt:i4>5</vt:i4>
      </vt:variant>
      <vt:variant>
        <vt:lpwstr>https://web2.westlaw.com/find/default.wl?mt=Westlaw&amp;db=0000225&amp;tc=-1&amp;rp=%2ffind%2fdefault.wl&amp;findtype=Y&amp;ordoc=2027273078&amp;serialnum=1957117459&amp;vr=2.0&amp;fn=_top&amp;sv=Split&amp;tf=-1&amp;referencepositiontype=S&amp;pbc=6585CBE1&amp;referenceposition=785&amp;rs=WLW12.04</vt:lpwstr>
      </vt:variant>
      <vt:variant>
        <vt:lpwstr/>
      </vt:variant>
      <vt:variant>
        <vt:i4>7864341</vt:i4>
      </vt:variant>
      <vt:variant>
        <vt:i4>1533</vt:i4>
      </vt:variant>
      <vt:variant>
        <vt:i4>0</vt:i4>
      </vt:variant>
      <vt:variant>
        <vt:i4>5</vt:i4>
      </vt:variant>
      <vt:variant>
        <vt:lpwstr>https://web2.westlaw.com/find/default.wl?mt=Westlaw&amp;db=0000225&amp;tc=-1&amp;rp=%2ffind%2fdefault.wl&amp;findtype=Y&amp;ordoc=2027273078&amp;serialnum=1957117459&amp;vr=2.0&amp;fn=_top&amp;sv=Split&amp;tf=-1&amp;referencepositiontype=S&amp;pbc=6585CBE1&amp;referenceposition=785&amp;rs=WLW12.04</vt:lpwstr>
      </vt:variant>
      <vt:variant>
        <vt:lpwstr/>
      </vt:variant>
      <vt:variant>
        <vt:i4>8323093</vt:i4>
      </vt:variant>
      <vt:variant>
        <vt:i4>1530</vt:i4>
      </vt:variant>
      <vt:variant>
        <vt:i4>0</vt:i4>
      </vt:variant>
      <vt:variant>
        <vt:i4>5</vt:i4>
      </vt:variant>
      <vt:variant>
        <vt:lpwstr>https://web2.westlaw.com/find/default.wl?mt=Westlaw&amp;db=0000225&amp;tc=-1&amp;rp=%2ffind%2fdefault.wl&amp;findtype=Y&amp;ordoc=2027273078&amp;serialnum=1957117459&amp;vr=2.0&amp;fn=_top&amp;sv=Split&amp;tf=-1&amp;referencepositiontype=S&amp;pbc=6585CBE1&amp;referenceposition=782&amp;rs=WLW12.04</vt:lpwstr>
      </vt:variant>
      <vt:variant>
        <vt:lpwstr/>
      </vt:variant>
      <vt:variant>
        <vt:i4>7602202</vt:i4>
      </vt:variant>
      <vt:variant>
        <vt:i4>1527</vt:i4>
      </vt:variant>
      <vt:variant>
        <vt:i4>0</vt:i4>
      </vt:variant>
      <vt:variant>
        <vt:i4>5</vt:i4>
      </vt:variant>
      <vt:variant>
        <vt:lpwstr>https://web2.westlaw.com/find/default.wl?mt=Westlaw&amp;db=0000225&amp;tc=-1&amp;rp=%2ffind%2fdefault.wl&amp;findtype=Y&amp;ordoc=2027273078&amp;serialnum=1957117459&amp;vr=2.0&amp;fn=_top&amp;sv=Split&amp;tf=-1&amp;referencepositiontype=S&amp;pbc=6585CBE1&amp;referenceposition=779&amp;rs=WLW12.04</vt:lpwstr>
      </vt:variant>
      <vt:variant>
        <vt:lpwstr/>
      </vt:variant>
      <vt:variant>
        <vt:i4>7667738</vt:i4>
      </vt:variant>
      <vt:variant>
        <vt:i4>1524</vt:i4>
      </vt:variant>
      <vt:variant>
        <vt:i4>0</vt:i4>
      </vt:variant>
      <vt:variant>
        <vt:i4>5</vt:i4>
      </vt:variant>
      <vt:variant>
        <vt:lpwstr>https://web2.westlaw.com/find/default.wl?mt=Westlaw&amp;db=0000225&amp;tc=-1&amp;rp=%2ffind%2fdefault.wl&amp;findtype=Y&amp;ordoc=2027273078&amp;serialnum=1957117459&amp;vr=2.0&amp;fn=_top&amp;sv=Split&amp;tf=-1&amp;referencepositiontype=S&amp;pbc=6585CBE1&amp;referenceposition=778&amp;rs=WLW12.04</vt:lpwstr>
      </vt:variant>
      <vt:variant>
        <vt:lpwstr/>
      </vt:variant>
      <vt:variant>
        <vt:i4>1507371</vt:i4>
      </vt:variant>
      <vt:variant>
        <vt:i4>1521</vt:i4>
      </vt:variant>
      <vt:variant>
        <vt:i4>0</vt:i4>
      </vt:variant>
      <vt:variant>
        <vt:i4>5</vt:i4>
      </vt:variant>
      <vt:variant>
        <vt:lpwstr>https://web2.westlaw.com/find/default.wl?mt=Westlaw&amp;db=0000225&amp;tc=-1&amp;rp=%2ffind%2fdefault.wl&amp;findtype=Y&amp;ordoc=2027273078&amp;serialnum=1957117459&amp;vr=2.0&amp;fn=_top&amp;sv=Split&amp;tf=-1&amp;pbc=6585CBE1&amp;rs=WLW12.04</vt:lpwstr>
      </vt:variant>
      <vt:variant>
        <vt:lpwstr/>
      </vt:variant>
      <vt:variant>
        <vt:i4>8257557</vt:i4>
      </vt:variant>
      <vt:variant>
        <vt:i4>1518</vt:i4>
      </vt:variant>
      <vt:variant>
        <vt:i4>0</vt:i4>
      </vt:variant>
      <vt:variant>
        <vt:i4>5</vt:i4>
      </vt:variant>
      <vt:variant>
        <vt:lpwstr>https://web2.westlaw.com/find/default.wl?mt=Westlaw&amp;db=0000225&amp;tc=-1&amp;rp=%2ffind%2fdefault.wl&amp;findtype=Y&amp;ordoc=2027273078&amp;serialnum=1957117459&amp;vr=2.0&amp;fn=_top&amp;sv=Split&amp;tf=-1&amp;referencepositiontype=S&amp;pbc=6585CBE1&amp;referenceposition=783&amp;rs=WLW12.04</vt:lpwstr>
      </vt:variant>
      <vt:variant>
        <vt:lpwstr/>
      </vt:variant>
      <vt:variant>
        <vt:i4>4456548</vt:i4>
      </vt:variant>
      <vt:variant>
        <vt:i4>1515</vt:i4>
      </vt:variant>
      <vt:variant>
        <vt:i4>0</vt:i4>
      </vt:variant>
      <vt:variant>
        <vt:i4>5</vt:i4>
      </vt:variant>
      <vt:variant>
        <vt:lpwstr>https://web2.westlaw.com/find/default.wl?mt=Westlaw&amp;db=0121207&amp;docname=REST3DTRUSTSs63&amp;rp=%2ffind%2fdefault.wl&amp;findtype=Y&amp;ordoc=2027273078&amp;tc=-1&amp;vr=2.0&amp;fn=_top&amp;sv=Split&amp;tf=-1&amp;pbc=6585CBE1&amp;rs=WLW12.04</vt:lpwstr>
      </vt:variant>
      <vt:variant>
        <vt:lpwstr/>
      </vt:variant>
      <vt:variant>
        <vt:i4>1245311</vt:i4>
      </vt:variant>
      <vt:variant>
        <vt:i4>1512</vt:i4>
      </vt:variant>
      <vt:variant>
        <vt:i4>0</vt:i4>
      </vt:variant>
      <vt:variant>
        <vt:i4>5</vt:i4>
      </vt:variant>
      <vt:variant>
        <vt:lpwstr>https://web2.westlaw.com/find/default.wl?mt=Westlaw&amp;db=1002097&amp;docname=ULPCOS2-101&amp;rp=%2ffind%2fdefault.wl&amp;findtype=L&amp;ordoc=2027156683&amp;tc=-1&amp;vr=2.0&amp;fn=_top&amp;sv=Split&amp;tf=-1&amp;pbc=94451927&amp;rs=WLW12.04</vt:lpwstr>
      </vt:variant>
      <vt:variant>
        <vt:lpwstr/>
      </vt:variant>
      <vt:variant>
        <vt:i4>7012432</vt:i4>
      </vt:variant>
      <vt:variant>
        <vt:i4>1509</vt:i4>
      </vt:variant>
      <vt:variant>
        <vt:i4>0</vt:i4>
      </vt:variant>
      <vt:variant>
        <vt:i4>5</vt:i4>
      </vt:variant>
      <vt:variant>
        <vt:lpwstr>https://web2.westlaw.com/find/default.wl?mt=Westlaw&amp;db=1190&amp;tc=-1&amp;rp=%2ffind%2fdefault.wl&amp;findtype=Y&amp;ordoc=2027156683&amp;serialnum=0107953675&amp;vr=2.0&amp;fn=_top&amp;sv=Split&amp;tf=-1&amp;referencepositiontype=S&amp;pbc=94451927&amp;referenceposition=1140&amp;rs=WLW12.04</vt:lpwstr>
      </vt:variant>
      <vt:variant>
        <vt:lpwstr/>
      </vt:variant>
      <vt:variant>
        <vt:i4>2097177</vt:i4>
      </vt:variant>
      <vt:variant>
        <vt:i4>1506</vt:i4>
      </vt:variant>
      <vt:variant>
        <vt:i4>0</vt:i4>
      </vt:variant>
      <vt:variant>
        <vt:i4>5</vt:i4>
      </vt:variant>
      <vt:variant>
        <vt:lpwstr>https://web2.westlaw.com/find/default.wl?mt=Westlaw&amp;db=661&amp;tc=-1&amp;rp=%2ffind%2fdefault.wl&amp;findtype=Y&amp;ordoc=2027156683&amp;serialnum=1965124533&amp;vr=2.0&amp;fn=_top&amp;sv=Split&amp;tf=-1&amp;referencepositiontype=S&amp;pbc=94451927&amp;referenceposition=659&amp;rs=WLW12.04</vt:lpwstr>
      </vt:variant>
      <vt:variant>
        <vt:lpwstr/>
      </vt:variant>
      <vt:variant>
        <vt:i4>4915262</vt:i4>
      </vt:variant>
      <vt:variant>
        <vt:i4>1503</vt:i4>
      </vt:variant>
      <vt:variant>
        <vt:i4>0</vt:i4>
      </vt:variant>
      <vt:variant>
        <vt:i4>5</vt:i4>
      </vt:variant>
      <vt:variant>
        <vt:lpwstr>https://web2.westlaw.com/find/default.wl?rs=WLW12.04&amp;pbc=94451927&amp;vr=2.0&amp;findtype=Y&amp;rp=%2ffind%2fdefault.wl&amp;sv=Split&amp;fn=_top&amp;tf=-1&amp;ordoc=2027156683&amp;mt=Westlaw&amp;serialnum=0101386455&amp;tc=-1</vt:lpwstr>
      </vt:variant>
      <vt:variant>
        <vt:lpwstr/>
      </vt:variant>
      <vt:variant>
        <vt:i4>196659</vt:i4>
      </vt:variant>
      <vt:variant>
        <vt:i4>1500</vt:i4>
      </vt:variant>
      <vt:variant>
        <vt:i4>0</vt:i4>
      </vt:variant>
      <vt:variant>
        <vt:i4>5</vt:i4>
      </vt:variant>
      <vt:variant>
        <vt:lpwstr>https://web2.westlaw.com/find/default.wl?mt=Westlaw&amp;db=3039&amp;tc=-1&amp;rp=%2ffind%2fdefault.wl&amp;findtype=Y&amp;ordoc=2027156683&amp;serialnum=0101386455&amp;vr=2.0&amp;fn=_top&amp;sv=Split&amp;tf=-1&amp;referencepositiontype=S&amp;pbc=94451927&amp;referenceposition=179&amp;rs=WLW12.04</vt:lpwstr>
      </vt:variant>
      <vt:variant>
        <vt:lpwstr/>
      </vt:variant>
      <vt:variant>
        <vt:i4>8323166</vt:i4>
      </vt:variant>
      <vt:variant>
        <vt:i4>1497</vt:i4>
      </vt:variant>
      <vt:variant>
        <vt:i4>0</vt:i4>
      </vt:variant>
      <vt:variant>
        <vt:i4>5</vt:i4>
      </vt:variant>
      <vt:variant>
        <vt:lpwstr>https://web2.westlaw.com/find/default.wl?mt=Westlaw&amp;db=1000265&amp;docname=MESTT18-BS411&amp;rp=%2ffind%2fdefault.wl&amp;findtype=L&amp;ordoc=2026907477&amp;tc=-1&amp;vr=2.0&amp;fn=_top&amp;sv=Split&amp;tf=-1&amp;pbc=C986E531&amp;rs=WLW12.01</vt:lpwstr>
      </vt:variant>
      <vt:variant>
        <vt:lpwstr/>
      </vt:variant>
      <vt:variant>
        <vt:i4>4718627</vt:i4>
      </vt:variant>
      <vt:variant>
        <vt:i4>1494</vt:i4>
      </vt:variant>
      <vt:variant>
        <vt:i4>0</vt:i4>
      </vt:variant>
      <vt:variant>
        <vt:i4>5</vt:i4>
      </vt:variant>
      <vt:variant>
        <vt:lpwstr>https://web2.westlaw.com/find/default.wl?mt=Westlaw&amp;db=162&amp;tc=-1&amp;rp=%2ffind%2fdefault.wl&amp;findtype=Y&amp;ordoc=2026907477&amp;serialnum=2006820464&amp;vr=2.0&amp;fn=_top&amp;sv=Split&amp;tf=-1&amp;pbc=C986E531&amp;rs=WLW12.01</vt:lpwstr>
      </vt:variant>
      <vt:variant>
        <vt:lpwstr/>
      </vt:variant>
      <vt:variant>
        <vt:i4>7929950</vt:i4>
      </vt:variant>
      <vt:variant>
        <vt:i4>1491</vt:i4>
      </vt:variant>
      <vt:variant>
        <vt:i4>0</vt:i4>
      </vt:variant>
      <vt:variant>
        <vt:i4>5</vt:i4>
      </vt:variant>
      <vt:variant>
        <vt:lpwstr>https://web2.westlaw.com/find/default.wl?mt=Westlaw&amp;db=1000265&amp;docname=MESTT18-BS417&amp;rp=%2ffind%2fdefault.wl&amp;findtype=L&amp;ordoc=2026907477&amp;tc=-1&amp;vr=2.0&amp;fn=_top&amp;sv=Split&amp;tf=-1&amp;pbc=C986E531&amp;rs=WLW12.01</vt:lpwstr>
      </vt:variant>
      <vt:variant>
        <vt:lpwstr/>
      </vt:variant>
      <vt:variant>
        <vt:i4>8323166</vt:i4>
      </vt:variant>
      <vt:variant>
        <vt:i4>1488</vt:i4>
      </vt:variant>
      <vt:variant>
        <vt:i4>0</vt:i4>
      </vt:variant>
      <vt:variant>
        <vt:i4>5</vt:i4>
      </vt:variant>
      <vt:variant>
        <vt:lpwstr>https://web2.westlaw.com/find/default.wl?mt=Westlaw&amp;db=1000265&amp;docname=MESTT18-BS411&amp;rp=%2ffind%2fdefault.wl&amp;findtype=L&amp;ordoc=2026907477&amp;tc=-1&amp;vr=2.0&amp;fn=_top&amp;sv=Split&amp;tf=-1&amp;pbc=C986E531&amp;rs=WLW12.01</vt:lpwstr>
      </vt:variant>
      <vt:variant>
        <vt:lpwstr/>
      </vt:variant>
      <vt:variant>
        <vt:i4>7995482</vt:i4>
      </vt:variant>
      <vt:variant>
        <vt:i4>1485</vt:i4>
      </vt:variant>
      <vt:variant>
        <vt:i4>0</vt:i4>
      </vt:variant>
      <vt:variant>
        <vt:i4>5</vt:i4>
      </vt:variant>
      <vt:variant>
        <vt:lpwstr>https://web2.westlaw.com/find/default.wl?mt=Westlaw&amp;db=1000265&amp;docname=MESTT18-BS1104&amp;rp=%2ffind%2fdefault.wl&amp;findtype=L&amp;ordoc=2026907477&amp;tc=-1&amp;vr=2.0&amp;fn=_top&amp;sv=Split&amp;tf=-1&amp;pbc=C986E531&amp;rs=WLW12.01</vt:lpwstr>
      </vt:variant>
      <vt:variant>
        <vt:lpwstr/>
      </vt:variant>
      <vt:variant>
        <vt:i4>8323166</vt:i4>
      </vt:variant>
      <vt:variant>
        <vt:i4>1482</vt:i4>
      </vt:variant>
      <vt:variant>
        <vt:i4>0</vt:i4>
      </vt:variant>
      <vt:variant>
        <vt:i4>5</vt:i4>
      </vt:variant>
      <vt:variant>
        <vt:lpwstr>https://web2.westlaw.com/find/default.wl?mt=Westlaw&amp;db=1000265&amp;docname=MESTT18-BS411&amp;rp=%2ffind%2fdefault.wl&amp;findtype=L&amp;ordoc=2026907477&amp;tc=-1&amp;vr=2.0&amp;fn=_top&amp;sv=Split&amp;tf=-1&amp;pbc=C986E531&amp;rs=WLW12.01</vt:lpwstr>
      </vt:variant>
      <vt:variant>
        <vt:lpwstr/>
      </vt:variant>
      <vt:variant>
        <vt:i4>8323166</vt:i4>
      </vt:variant>
      <vt:variant>
        <vt:i4>1479</vt:i4>
      </vt:variant>
      <vt:variant>
        <vt:i4>0</vt:i4>
      </vt:variant>
      <vt:variant>
        <vt:i4>5</vt:i4>
      </vt:variant>
      <vt:variant>
        <vt:lpwstr>https://web2.westlaw.com/find/default.wl?mt=Westlaw&amp;db=1000265&amp;docname=MESTT18-BS411&amp;rp=%2ffind%2fdefault.wl&amp;findtype=L&amp;ordoc=2026907477&amp;tc=-1&amp;vr=2.0&amp;fn=_top&amp;sv=Split&amp;tf=-1&amp;pbc=C986E531&amp;rs=WLW12.01</vt:lpwstr>
      </vt:variant>
      <vt:variant>
        <vt:lpwstr/>
      </vt:variant>
      <vt:variant>
        <vt:i4>4718627</vt:i4>
      </vt:variant>
      <vt:variant>
        <vt:i4>1476</vt:i4>
      </vt:variant>
      <vt:variant>
        <vt:i4>0</vt:i4>
      </vt:variant>
      <vt:variant>
        <vt:i4>5</vt:i4>
      </vt:variant>
      <vt:variant>
        <vt:lpwstr>https://web2.westlaw.com/find/default.wl?mt=Westlaw&amp;db=162&amp;tc=-1&amp;rp=%2ffind%2fdefault.wl&amp;findtype=Y&amp;ordoc=2026907477&amp;serialnum=2006820464&amp;vr=2.0&amp;fn=_top&amp;sv=Split&amp;tf=-1&amp;pbc=C986E531&amp;rs=WLW12.01</vt:lpwstr>
      </vt:variant>
      <vt:variant>
        <vt:lpwstr/>
      </vt:variant>
      <vt:variant>
        <vt:i4>8323166</vt:i4>
      </vt:variant>
      <vt:variant>
        <vt:i4>1473</vt:i4>
      </vt:variant>
      <vt:variant>
        <vt:i4>0</vt:i4>
      </vt:variant>
      <vt:variant>
        <vt:i4>5</vt:i4>
      </vt:variant>
      <vt:variant>
        <vt:lpwstr>https://web2.westlaw.com/find/default.wl?mt=Westlaw&amp;db=1000265&amp;docname=MESTT18-BS411&amp;rp=%2ffind%2fdefault.wl&amp;findtype=L&amp;ordoc=2026907477&amp;tc=-1&amp;vr=2.0&amp;fn=_top&amp;sv=Split&amp;tf=-1&amp;pbc=C986E531&amp;rs=WLW12.01</vt:lpwstr>
      </vt:variant>
      <vt:variant>
        <vt:lpwstr/>
      </vt:variant>
      <vt:variant>
        <vt:i4>4259886</vt:i4>
      </vt:variant>
      <vt:variant>
        <vt:i4>1470</vt:i4>
      </vt:variant>
      <vt:variant>
        <vt:i4>0</vt:i4>
      </vt:variant>
      <vt:variant>
        <vt:i4>5</vt:i4>
      </vt:variant>
      <vt:variant>
        <vt:lpwstr>https://web2.westlaw.com/find/default.wl?mt=Westlaw&amp;db=162&amp;tc=-1&amp;rp=%2ffind%2fdefault.wl&amp;findtype=Y&amp;ordoc=2026907477&amp;serialnum=2003176508&amp;vr=2.0&amp;fn=_top&amp;sv=Split&amp;tf=-1&amp;pbc=C986E531&amp;rs=WLW12.01</vt:lpwstr>
      </vt:variant>
      <vt:variant>
        <vt:lpwstr/>
      </vt:variant>
      <vt:variant>
        <vt:i4>5832814</vt:i4>
      </vt:variant>
      <vt:variant>
        <vt:i4>1467</vt:i4>
      </vt:variant>
      <vt:variant>
        <vt:i4>0</vt:i4>
      </vt:variant>
      <vt:variant>
        <vt:i4>5</vt:i4>
      </vt:variant>
      <vt:variant>
        <vt:lpwstr>https://web2.westlaw.com/find/default.wl?mt=Westlaw&amp;db=4644&amp;tc=-1&amp;rp=%2ffind%2fdefault.wl&amp;findtype=Y&amp;ordoc=2030470555&amp;serialnum=2002399333&amp;vr=2.0&amp;fn=_top&amp;sv=Split&amp;tf=-1&amp;referencepositiontype=S&amp;pbc=9A48CB3E&amp;referenceposition=226&amp;rs=WLW13.04</vt:lpwstr>
      </vt:variant>
      <vt:variant>
        <vt:lpwstr/>
      </vt:variant>
      <vt:variant>
        <vt:i4>6160485</vt:i4>
      </vt:variant>
      <vt:variant>
        <vt:i4>1464</vt:i4>
      </vt:variant>
      <vt:variant>
        <vt:i4>0</vt:i4>
      </vt:variant>
      <vt:variant>
        <vt:i4>5</vt:i4>
      </vt:variant>
      <vt:variant>
        <vt:lpwstr>https://web2.westlaw.com/find/default.wl?mt=Westlaw&amp;db=4644&amp;tc=-1&amp;rp=%2ffind%2fdefault.wl&amp;findtype=Y&amp;ordoc=2030470555&amp;serialnum=2001516279&amp;vr=2.0&amp;fn=_top&amp;sv=Split&amp;tf=-1&amp;referencepositiontype=S&amp;pbc=9A48CB3E&amp;referenceposition=755&amp;rs=WLW13.04</vt:lpwstr>
      </vt:variant>
      <vt:variant>
        <vt:lpwstr/>
      </vt:variant>
      <vt:variant>
        <vt:i4>5963877</vt:i4>
      </vt:variant>
      <vt:variant>
        <vt:i4>1461</vt:i4>
      </vt:variant>
      <vt:variant>
        <vt:i4>0</vt:i4>
      </vt:variant>
      <vt:variant>
        <vt:i4>5</vt:i4>
      </vt:variant>
      <vt:variant>
        <vt:lpwstr>https://web2.westlaw.com/find/default.wl?mt=Westlaw&amp;db=4644&amp;tc=-1&amp;rp=%2ffind%2fdefault.wl&amp;findtype=Y&amp;ordoc=2030470555&amp;serialnum=2006636812&amp;vr=2.0&amp;fn=_top&amp;sv=Split&amp;tf=-1&amp;referencepositiontype=S&amp;pbc=9A48CB3E&amp;referenceposition=740&amp;rs=WLW13.04</vt:lpwstr>
      </vt:variant>
      <vt:variant>
        <vt:lpwstr/>
      </vt:variant>
      <vt:variant>
        <vt:i4>5832811</vt:i4>
      </vt:variant>
      <vt:variant>
        <vt:i4>1458</vt:i4>
      </vt:variant>
      <vt:variant>
        <vt:i4>0</vt:i4>
      </vt:variant>
      <vt:variant>
        <vt:i4>5</vt:i4>
      </vt:variant>
      <vt:variant>
        <vt:lpwstr>https://web2.westlaw.com/find/default.wl?mt=Westlaw&amp;db=4644&amp;tc=-1&amp;rp=%2ffind%2fdefault.wl&amp;findtype=Y&amp;ordoc=2030470555&amp;serialnum=2008210487&amp;vr=2.0&amp;fn=_top&amp;sv=Split&amp;tf=-1&amp;referencepositiontype=S&amp;pbc=9A48CB3E&amp;referenceposition=133&amp;rs=WLW13.04</vt:lpwstr>
      </vt:variant>
      <vt:variant>
        <vt:lpwstr/>
      </vt:variant>
      <vt:variant>
        <vt:i4>1048620</vt:i4>
      </vt:variant>
      <vt:variant>
        <vt:i4>1455</vt:i4>
      </vt:variant>
      <vt:variant>
        <vt:i4>0</vt:i4>
      </vt:variant>
      <vt:variant>
        <vt:i4>5</vt:i4>
      </vt:variant>
      <vt:variant>
        <vt:lpwstr>https://web2.westlaw.com/find/default.wl?mt=Westlaw&amp;db=713&amp;tc=-1&amp;rp=%2ffind%2fdefault.wl&amp;findtype=Y&amp;ordoc=2030470555&amp;serialnum=1965129848&amp;vr=2.0&amp;fn=_top&amp;sv=Split&amp;tf=-1&amp;referencepositiontype=S&amp;pbc=9A48CB3E&amp;referenceposition=96&amp;rs=WLW13.04</vt:lpwstr>
      </vt:variant>
      <vt:variant>
        <vt:lpwstr/>
      </vt:variant>
      <vt:variant>
        <vt:i4>5832814</vt:i4>
      </vt:variant>
      <vt:variant>
        <vt:i4>1452</vt:i4>
      </vt:variant>
      <vt:variant>
        <vt:i4>0</vt:i4>
      </vt:variant>
      <vt:variant>
        <vt:i4>5</vt:i4>
      </vt:variant>
      <vt:variant>
        <vt:lpwstr>https://web2.westlaw.com/find/default.wl?mt=Westlaw&amp;db=4644&amp;tc=-1&amp;rp=%2ffind%2fdefault.wl&amp;findtype=Y&amp;ordoc=2030470555&amp;serialnum=2002399333&amp;vr=2.0&amp;fn=_top&amp;sv=Split&amp;tf=-1&amp;referencepositiontype=S&amp;pbc=9A48CB3E&amp;referenceposition=226&amp;rs=WLW13.04</vt:lpwstr>
      </vt:variant>
      <vt:variant>
        <vt:lpwstr/>
      </vt:variant>
      <vt:variant>
        <vt:i4>5832811</vt:i4>
      </vt:variant>
      <vt:variant>
        <vt:i4>1449</vt:i4>
      </vt:variant>
      <vt:variant>
        <vt:i4>0</vt:i4>
      </vt:variant>
      <vt:variant>
        <vt:i4>5</vt:i4>
      </vt:variant>
      <vt:variant>
        <vt:lpwstr>https://web2.westlaw.com/find/default.wl?mt=Westlaw&amp;db=4644&amp;tc=-1&amp;rp=%2ffind%2fdefault.wl&amp;findtype=Y&amp;ordoc=2030470555&amp;serialnum=2008210487&amp;vr=2.0&amp;fn=_top&amp;sv=Split&amp;tf=-1&amp;referencepositiontype=S&amp;pbc=9A48CB3E&amp;referenceposition=133&amp;rs=WLW13.04</vt:lpwstr>
      </vt:variant>
      <vt:variant>
        <vt:lpwstr/>
      </vt:variant>
      <vt:variant>
        <vt:i4>2031725</vt:i4>
      </vt:variant>
      <vt:variant>
        <vt:i4>1446</vt:i4>
      </vt:variant>
      <vt:variant>
        <vt:i4>0</vt:i4>
      </vt:variant>
      <vt:variant>
        <vt:i4>5</vt:i4>
      </vt:variant>
      <vt:variant>
        <vt:lpwstr>https://web2.westlaw.com/find/default.wl?rs=WLW13.04&amp;pbc=9A48CB3E&amp;vr=2.0&amp;findtype=Y&amp;rp=%2ffind%2fdefault.wl&amp;sv=Split&amp;fn=_top&amp;tf=-1&amp;ordoc=2030470555&amp;mt=Westlaw&amp;serialnum=2008210487&amp;tc=-1</vt:lpwstr>
      </vt:variant>
      <vt:variant>
        <vt:lpwstr/>
      </vt:variant>
      <vt:variant>
        <vt:i4>6160485</vt:i4>
      </vt:variant>
      <vt:variant>
        <vt:i4>1443</vt:i4>
      </vt:variant>
      <vt:variant>
        <vt:i4>0</vt:i4>
      </vt:variant>
      <vt:variant>
        <vt:i4>5</vt:i4>
      </vt:variant>
      <vt:variant>
        <vt:lpwstr>https://web2.westlaw.com/find/default.wl?mt=Westlaw&amp;db=4644&amp;tc=-1&amp;rp=%2ffind%2fdefault.wl&amp;findtype=Y&amp;ordoc=2030470555&amp;serialnum=2001516279&amp;vr=2.0&amp;fn=_top&amp;sv=Split&amp;tf=-1&amp;referencepositiontype=S&amp;pbc=9A48CB3E&amp;referenceposition=755&amp;rs=WLW13.04</vt:lpwstr>
      </vt:variant>
      <vt:variant>
        <vt:lpwstr/>
      </vt:variant>
      <vt:variant>
        <vt:i4>6029420</vt:i4>
      </vt:variant>
      <vt:variant>
        <vt:i4>1440</vt:i4>
      </vt:variant>
      <vt:variant>
        <vt:i4>0</vt:i4>
      </vt:variant>
      <vt:variant>
        <vt:i4>5</vt:i4>
      </vt:variant>
      <vt:variant>
        <vt:lpwstr>https://web2.westlaw.com/find/default.wl?mt=Westlaw&amp;db=4644&amp;tc=-1&amp;rp=%2ffind%2fdefault.wl&amp;findtype=Y&amp;ordoc=2030470555&amp;serialnum=2006636812&amp;vr=2.0&amp;fn=_top&amp;sv=Split&amp;tf=-1&amp;referencepositiontype=S&amp;pbc=9A48CB3E&amp;referenceposition=739&amp;rs=WLW13.04</vt:lpwstr>
      </vt:variant>
      <vt:variant>
        <vt:lpwstr/>
      </vt:variant>
      <vt:variant>
        <vt:i4>5832809</vt:i4>
      </vt:variant>
      <vt:variant>
        <vt:i4>1437</vt:i4>
      </vt:variant>
      <vt:variant>
        <vt:i4>0</vt:i4>
      </vt:variant>
      <vt:variant>
        <vt:i4>5</vt:i4>
      </vt:variant>
      <vt:variant>
        <vt:lpwstr>https://web2.westlaw.com/find/default.wl?mt=Westlaw&amp;db=4644&amp;tc=-1&amp;rp=%2ffind%2fdefault.wl&amp;findtype=Y&amp;ordoc=2030470555&amp;serialnum=2008210487&amp;vr=2.0&amp;fn=_top&amp;sv=Split&amp;tf=-1&amp;referencepositiontype=S&amp;pbc=9A48CB3E&amp;referenceposition=131&amp;rs=WLW13.04</vt:lpwstr>
      </vt:variant>
      <vt:variant>
        <vt:lpwstr/>
      </vt:variant>
      <vt:variant>
        <vt:i4>4784232</vt:i4>
      </vt:variant>
      <vt:variant>
        <vt:i4>1434</vt:i4>
      </vt:variant>
      <vt:variant>
        <vt:i4>0</vt:i4>
      </vt:variant>
      <vt:variant>
        <vt:i4>5</vt:i4>
      </vt:variant>
      <vt:variant>
        <vt:lpwstr>https://web2.westlaw.com/find/default.wl?mt=Westlaw&amp;db=1000184&amp;docname=TXPOS112.010&amp;rp=%2ffind%2fdefault.wl&amp;findtype=L&amp;ordoc=2030470555&amp;tc=-1&amp;vr=2.0&amp;fn=_top&amp;sv=Split&amp;tf=-1&amp;pbc=9A48CB3E&amp;rs=WLW13.04</vt:lpwstr>
      </vt:variant>
      <vt:variant>
        <vt:lpwstr/>
      </vt:variant>
      <vt:variant>
        <vt:i4>6619211</vt:i4>
      </vt:variant>
      <vt:variant>
        <vt:i4>1431</vt:i4>
      </vt:variant>
      <vt:variant>
        <vt:i4>0</vt:i4>
      </vt:variant>
      <vt:variant>
        <vt:i4>5</vt:i4>
      </vt:variant>
      <vt:variant>
        <vt:lpwstr>https://web2.westlaw.com/find/default.wl?serialnum=2004974127&amp;tc=-1&amp;rp=%2ffind%2fdefault.wl&amp;sv=Split&amp;rs=WLW11.04&amp;tf=-1&amp;findtype=Y&amp;fn=_top&amp;mt=Westlaw&amp;vr=2.0&amp;pbc=3C123749&amp;ordoc=2025255843</vt:lpwstr>
      </vt:variant>
      <vt:variant>
        <vt:lpwstr/>
      </vt:variant>
      <vt:variant>
        <vt:i4>4128783</vt:i4>
      </vt:variant>
      <vt:variant>
        <vt:i4>1428</vt:i4>
      </vt:variant>
      <vt:variant>
        <vt:i4>0</vt:i4>
      </vt:variant>
      <vt:variant>
        <vt:i4>5</vt:i4>
      </vt:variant>
      <vt:variant>
        <vt:lpwstr>https://web2.westlaw.com/find/default.wl?serialnum=2004974127&amp;tc=-1&amp;rp=%2ffind%2fdefault.wl&amp;sv=Split&amp;rs=WLW11.04&amp;db=4645&amp;tf=-1&amp;findtype=Y&amp;fn=_top&amp;mt=Westlaw&amp;vr=2.0&amp;pbc=3C123749&amp;ordoc=2025255843</vt:lpwstr>
      </vt:variant>
      <vt:variant>
        <vt:lpwstr/>
      </vt:variant>
      <vt:variant>
        <vt:i4>8060995</vt:i4>
      </vt:variant>
      <vt:variant>
        <vt:i4>1425</vt:i4>
      </vt:variant>
      <vt:variant>
        <vt:i4>0</vt:i4>
      </vt:variant>
      <vt:variant>
        <vt:i4>5</vt:i4>
      </vt:variant>
      <vt:variant>
        <vt:lpwstr>https://web2.westlaw.com/find/default.wl?mt=Westlaw&amp;db=162&amp;tc=-1&amp;rp=%2ffind%2fdefault.wl&amp;findtype=Y&amp;ordoc=2027833708&amp;serialnum=2010750934&amp;vr=2.0&amp;fn=_top&amp;sv=Split&amp;tf=-1&amp;referencepositiontype=S&amp;pbc=C435455A&amp;referenceposition=241&amp;rs=WLW12.07</vt:lpwstr>
      </vt:variant>
      <vt:variant>
        <vt:lpwstr/>
      </vt:variant>
      <vt:variant>
        <vt:i4>2097168</vt:i4>
      </vt:variant>
      <vt:variant>
        <vt:i4>1422</vt:i4>
      </vt:variant>
      <vt:variant>
        <vt:i4>0</vt:i4>
      </vt:variant>
      <vt:variant>
        <vt:i4>5</vt:i4>
      </vt:variant>
      <vt:variant>
        <vt:lpwstr>https://web2.westlaw.com/find/default.wl?mt=Westlaw&amp;db=661&amp;tc=-1&amp;rp=%2ffind%2fdefault.wl&amp;findtype=Y&amp;ordoc=2027833708&amp;serialnum=1989091778&amp;vr=2.0&amp;fn=_top&amp;sv=Split&amp;tf=-1&amp;referencepositiontype=S&amp;pbc=C435455A&amp;referenceposition=1391&amp;rs=WLW12.07</vt:lpwstr>
      </vt:variant>
      <vt:variant>
        <vt:lpwstr/>
      </vt:variant>
      <vt:variant>
        <vt:i4>1769514</vt:i4>
      </vt:variant>
      <vt:variant>
        <vt:i4>1419</vt:i4>
      </vt:variant>
      <vt:variant>
        <vt:i4>0</vt:i4>
      </vt:variant>
      <vt:variant>
        <vt:i4>5</vt:i4>
      </vt:variant>
      <vt:variant>
        <vt:lpwstr>https://web2.westlaw.com/find/default.wl?mt=Westlaw&amp;db=1000279&amp;docname=OHSTS5808.13&amp;rp=%2ffind%2fdefault.wl&amp;findtype=L&amp;ordoc=2026990719&amp;tc=-1&amp;vr=2.0&amp;fn=_top&amp;sv=Split&amp;tf=-1&amp;pbc=E9E1C1E0&amp;rs=WLW12.10</vt:lpwstr>
      </vt:variant>
      <vt:variant>
        <vt:lpwstr/>
      </vt:variant>
      <vt:variant>
        <vt:i4>262265</vt:i4>
      </vt:variant>
      <vt:variant>
        <vt:i4>1416</vt:i4>
      </vt:variant>
      <vt:variant>
        <vt:i4>0</vt:i4>
      </vt:variant>
      <vt:variant>
        <vt:i4>5</vt:i4>
      </vt:variant>
      <vt:variant>
        <vt:lpwstr>https://web2.westlaw.com/find/default.wl?tc=-1&amp;docname=KYSTS395.195&amp;rp=%2ffind%2fdefault.wl&amp;sv=Split&amp;rs=WLW11.10&amp;db=1000010&amp;tf=-1&amp;findtype=L&amp;fn=_top&amp;mt=Westlaw&amp;vr=2.0&amp;pbc=DCD88CE6&amp;ordoc=2026064751</vt:lpwstr>
      </vt:variant>
      <vt:variant>
        <vt:lpwstr/>
      </vt:variant>
      <vt:variant>
        <vt:i4>524412</vt:i4>
      </vt:variant>
      <vt:variant>
        <vt:i4>1413</vt:i4>
      </vt:variant>
      <vt:variant>
        <vt:i4>0</vt:i4>
      </vt:variant>
      <vt:variant>
        <vt:i4>5</vt:i4>
      </vt:variant>
      <vt:variant>
        <vt:lpwstr>https://web2.westlaw.com/find/default.wl?tc=-1&amp;docname=KYSTS395.150&amp;rp=%2ffind%2fdefault.wl&amp;sv=Split&amp;rs=WLW11.10&amp;db=1000010&amp;tf=-1&amp;findtype=L&amp;fn=_top&amp;mt=Westlaw&amp;vr=2.0&amp;pbc=DCD88CE6&amp;ordoc=2026064751</vt:lpwstr>
      </vt:variant>
      <vt:variant>
        <vt:lpwstr/>
      </vt:variant>
      <vt:variant>
        <vt:i4>262265</vt:i4>
      </vt:variant>
      <vt:variant>
        <vt:i4>1410</vt:i4>
      </vt:variant>
      <vt:variant>
        <vt:i4>0</vt:i4>
      </vt:variant>
      <vt:variant>
        <vt:i4>5</vt:i4>
      </vt:variant>
      <vt:variant>
        <vt:lpwstr>https://web2.westlaw.com/find/default.wl?tc=-1&amp;docname=KYSTS395.195&amp;rp=%2ffind%2fdefault.wl&amp;sv=Split&amp;rs=WLW11.10&amp;db=1000010&amp;tf=-1&amp;findtype=L&amp;fn=_top&amp;mt=Westlaw&amp;vr=2.0&amp;pbc=DCD88CE6&amp;ordoc=2026064751</vt:lpwstr>
      </vt:variant>
      <vt:variant>
        <vt:lpwstr/>
      </vt:variant>
      <vt:variant>
        <vt:i4>524412</vt:i4>
      </vt:variant>
      <vt:variant>
        <vt:i4>1407</vt:i4>
      </vt:variant>
      <vt:variant>
        <vt:i4>0</vt:i4>
      </vt:variant>
      <vt:variant>
        <vt:i4>5</vt:i4>
      </vt:variant>
      <vt:variant>
        <vt:lpwstr>https://web2.westlaw.com/find/default.wl?tc=-1&amp;docname=KYSTS395.150&amp;rp=%2ffind%2fdefault.wl&amp;sv=Split&amp;rs=WLW11.10&amp;db=1000010&amp;tf=-1&amp;findtype=L&amp;fn=_top&amp;mt=Westlaw&amp;vr=2.0&amp;pbc=DCD88CE6&amp;ordoc=2026064751</vt:lpwstr>
      </vt:variant>
      <vt:variant>
        <vt:lpwstr/>
      </vt:variant>
      <vt:variant>
        <vt:i4>2752576</vt:i4>
      </vt:variant>
      <vt:variant>
        <vt:i4>1404</vt:i4>
      </vt:variant>
      <vt:variant>
        <vt:i4>0</vt:i4>
      </vt:variant>
      <vt:variant>
        <vt:i4>5</vt:i4>
      </vt:variant>
      <vt:variant>
        <vt:lpwstr>https://web2.westlaw.com/find/default.wl?referencepositiontype=S&amp;serialnum=1939117745&amp;referenceposition=783&amp;rp=%2ffind%2fdefault.wl&amp;sv=Split&amp;rs=WLW11.10&amp;db=713&amp;tf=-1&amp;findtype=Y&amp;fn=_top&amp;mt=Westlaw&amp;vr=2.0&amp;pbc=DCD88CE6&amp;tc=-1&amp;ordoc=2026064751</vt:lpwstr>
      </vt:variant>
      <vt:variant>
        <vt:lpwstr/>
      </vt:variant>
      <vt:variant>
        <vt:i4>1376288</vt:i4>
      </vt:variant>
      <vt:variant>
        <vt:i4>1401</vt:i4>
      </vt:variant>
      <vt:variant>
        <vt:i4>0</vt:i4>
      </vt:variant>
      <vt:variant>
        <vt:i4>5</vt:i4>
      </vt:variant>
      <vt:variant>
        <vt:lpwstr>https://web2.westlaw.com/find/default.wl?serialnum=1928122109&amp;tc=-1&amp;rp=%2ffind%2fdefault.wl&amp;sv=Split&amp;rs=WLW11.10&amp;db=104&amp;tf=-1&amp;findtype=Y&amp;fn=_top&amp;mt=Westlaw&amp;vr=2.0&amp;pbc=DCD88CE6&amp;ordoc=2026064751</vt:lpwstr>
      </vt:variant>
      <vt:variant>
        <vt:lpwstr/>
      </vt:variant>
      <vt:variant>
        <vt:i4>2031647</vt:i4>
      </vt:variant>
      <vt:variant>
        <vt:i4>1398</vt:i4>
      </vt:variant>
      <vt:variant>
        <vt:i4>0</vt:i4>
      </vt:variant>
      <vt:variant>
        <vt:i4>5</vt:i4>
      </vt:variant>
      <vt:variant>
        <vt:lpwstr>http://www.westlaw.com/Find/Default.wl?rs=dfa1.0&amp;vr=2.0&amp;DB=1000229&amp;DocName=MOST451.022&amp;FindType=L</vt:lpwstr>
      </vt:variant>
      <vt:variant>
        <vt:lpwstr/>
      </vt:variant>
      <vt:variant>
        <vt:i4>3932250</vt:i4>
      </vt:variant>
      <vt:variant>
        <vt:i4>1395</vt:i4>
      </vt:variant>
      <vt:variant>
        <vt:i4>0</vt:i4>
      </vt:variant>
      <vt:variant>
        <vt:i4>5</vt:i4>
      </vt:variant>
      <vt:variant>
        <vt:lpwstr>http://www.westlaw.com/Find/Default.wl?rs=dfa1.0&amp;vr=2.0&amp;DB=1000010&amp;DocName=KYSTS402.045&amp;FindType=L&amp;ReferencePositionType=T&amp;ReferencePosition=SP_58730000872b1</vt:lpwstr>
      </vt:variant>
      <vt:variant>
        <vt:lpwstr/>
      </vt:variant>
      <vt:variant>
        <vt:i4>3539019</vt:i4>
      </vt:variant>
      <vt:variant>
        <vt:i4>1392</vt:i4>
      </vt:variant>
      <vt:variant>
        <vt:i4>0</vt:i4>
      </vt:variant>
      <vt:variant>
        <vt:i4>5</vt:i4>
      </vt:variant>
      <vt:variant>
        <vt:lpwstr>http://www.westlaw.com/Find/Default.wl?rs=dfa1.0&amp;vr=2.0&amp;DB=1000006&amp;DocName=FLSTS741.212&amp;FindType=L&amp;ReferencePositionType=T&amp;ReferencePosition=SP_58730000872b1</vt:lpwstr>
      </vt:variant>
      <vt:variant>
        <vt:lpwstr/>
      </vt:variant>
      <vt:variant>
        <vt:i4>3932239</vt:i4>
      </vt:variant>
      <vt:variant>
        <vt:i4>1389</vt:i4>
      </vt:variant>
      <vt:variant>
        <vt:i4>0</vt:i4>
      </vt:variant>
      <vt:variant>
        <vt:i4>5</vt:i4>
      </vt:variant>
      <vt:variant>
        <vt:lpwstr>http://www.westlaw.com/Find/Default.wl?rs=dfa1.0&amp;vr=2.0&amp;DB=1000006&amp;DocName=FLSTS741.212&amp;FindType=L&amp;ReferencePositionType=T&amp;ReferencePosition=SP_f1c50000821b0</vt:lpwstr>
      </vt:variant>
      <vt:variant>
        <vt:lpwstr/>
      </vt:variant>
      <vt:variant>
        <vt:i4>3407936</vt:i4>
      </vt:variant>
      <vt:variant>
        <vt:i4>1386</vt:i4>
      </vt:variant>
      <vt:variant>
        <vt:i4>0</vt:i4>
      </vt:variant>
      <vt:variant>
        <vt:i4>5</vt:i4>
      </vt:variant>
      <vt:variant>
        <vt:lpwstr>http://www.westlaw.com/Find/Default.wl?rs=dfa1.0&amp;vr=2.0&amp;DB=1000004&amp;DocName=ARSTS9-11-208&amp;FindType=L&amp;ReferencePositionType=T&amp;ReferencePosition=SP_8b3b0000958a4</vt:lpwstr>
      </vt:variant>
      <vt:variant>
        <vt:lpwstr/>
      </vt:variant>
      <vt:variant>
        <vt:i4>6291506</vt:i4>
      </vt:variant>
      <vt:variant>
        <vt:i4>1383</vt:i4>
      </vt:variant>
      <vt:variant>
        <vt:i4>0</vt:i4>
      </vt:variant>
      <vt:variant>
        <vt:i4>5</vt:i4>
      </vt:variant>
      <vt:variant>
        <vt:lpwstr>http://www.westlaw.com/Find/Default.wl?rs=dfa1.0&amp;vr=2.0&amp;DB=1000468&amp;DocName=GAST19-3-3.1&amp;FindType=L</vt:lpwstr>
      </vt:variant>
      <vt:variant>
        <vt:lpwstr/>
      </vt:variant>
      <vt:variant>
        <vt:i4>4718595</vt:i4>
      </vt:variant>
      <vt:variant>
        <vt:i4>1380</vt:i4>
      </vt:variant>
      <vt:variant>
        <vt:i4>0</vt:i4>
      </vt:variant>
      <vt:variant>
        <vt:i4>5</vt:i4>
      </vt:variant>
      <vt:variant>
        <vt:lpwstr>http://www.westlaw.com/Find/Default.wl?rs=dfa1.0&amp;vr=2.0&amp;DB=1000044&amp;DocName=MNSTS517.03&amp;FindType=L</vt:lpwstr>
      </vt:variant>
      <vt:variant>
        <vt:lpwstr/>
      </vt:variant>
      <vt:variant>
        <vt:i4>4718595</vt:i4>
      </vt:variant>
      <vt:variant>
        <vt:i4>1377</vt:i4>
      </vt:variant>
      <vt:variant>
        <vt:i4>0</vt:i4>
      </vt:variant>
      <vt:variant>
        <vt:i4>5</vt:i4>
      </vt:variant>
      <vt:variant>
        <vt:lpwstr>http://www.westlaw.com/Find/Default.wl?rs=dfa1.0&amp;vr=2.0&amp;DB=1000044&amp;DocName=MNSTS517.03&amp;FindType=L</vt:lpwstr>
      </vt:variant>
      <vt:variant>
        <vt:lpwstr/>
      </vt:variant>
      <vt:variant>
        <vt:i4>1966127</vt:i4>
      </vt:variant>
      <vt:variant>
        <vt:i4>1374</vt:i4>
      </vt:variant>
      <vt:variant>
        <vt:i4>0</vt:i4>
      </vt:variant>
      <vt:variant>
        <vt:i4>5</vt:i4>
      </vt:variant>
      <vt:variant>
        <vt:lpwstr>http://www.westlaw.com/Find/Default.wl?rs=dfa1.0&amp;vr=2.0&amp;DB=1000044&amp;DocName=MNSTS524.2-201&amp;FindType=L&amp;ReferencePositionType=T&amp;ReferencePosition=SP_d08f0000f5f67</vt:lpwstr>
      </vt:variant>
      <vt:variant>
        <vt:lpwstr/>
      </vt:variant>
      <vt:variant>
        <vt:i4>983047</vt:i4>
      </vt:variant>
      <vt:variant>
        <vt:i4>1371</vt:i4>
      </vt:variant>
      <vt:variant>
        <vt:i4>0</vt:i4>
      </vt:variant>
      <vt:variant>
        <vt:i4>5</vt:i4>
      </vt:variant>
      <vt:variant>
        <vt:lpwstr>http://www.westlaw.com/Find/Default.wl?rs=dfa1.0&amp;vr=2.0&amp;DB=1000044&amp;DocName=MNSTS524.2-201&amp;FindType=L</vt:lpwstr>
      </vt:variant>
      <vt:variant>
        <vt:lpwstr/>
      </vt:variant>
      <vt:variant>
        <vt:i4>983044</vt:i4>
      </vt:variant>
      <vt:variant>
        <vt:i4>1368</vt:i4>
      </vt:variant>
      <vt:variant>
        <vt:i4>0</vt:i4>
      </vt:variant>
      <vt:variant>
        <vt:i4>5</vt:i4>
      </vt:variant>
      <vt:variant>
        <vt:lpwstr>http://www.westlaw.com/Find/Default.wl?rs=dfa1.0&amp;vr=2.0&amp;DB=1000044&amp;DocName=MNSTS524.1-201&amp;FindType=L</vt:lpwstr>
      </vt:variant>
      <vt:variant>
        <vt:lpwstr/>
      </vt:variant>
      <vt:variant>
        <vt:i4>1769526</vt:i4>
      </vt:variant>
      <vt:variant>
        <vt:i4>1365</vt:i4>
      </vt:variant>
      <vt:variant>
        <vt:i4>0</vt:i4>
      </vt:variant>
      <vt:variant>
        <vt:i4>5</vt:i4>
      </vt:variant>
      <vt:variant>
        <vt:lpwstr>https://web2.westlaw.com/find/default.wl?rs=WLW12.07&amp;pbc=3B3BBD6D&amp;vr=2.0&amp;findtype=Y&amp;rp=%2ffind%2fdefault.wl&amp;sv=Split&amp;fn=_top&amp;tf=-1&amp;ordoc=2027723555&amp;mt=Westlaw&amp;serialnum=1952111234&amp;tc=-1</vt:lpwstr>
      </vt:variant>
      <vt:variant>
        <vt:lpwstr/>
      </vt:variant>
      <vt:variant>
        <vt:i4>1572916</vt:i4>
      </vt:variant>
      <vt:variant>
        <vt:i4>1362</vt:i4>
      </vt:variant>
      <vt:variant>
        <vt:i4>0</vt:i4>
      </vt:variant>
      <vt:variant>
        <vt:i4>5</vt:i4>
      </vt:variant>
      <vt:variant>
        <vt:lpwstr>https://web2.westlaw.com/find/default.wl?rs=WLW12.07&amp;pbc=3B3BBD6D&amp;vr=2.0&amp;findtype=Y&amp;rp=%2ffind%2fdefault.wl&amp;sv=Split&amp;fn=_top&amp;tf=-1&amp;ordoc=2027723555&amp;mt=Westlaw&amp;serialnum=1916026320&amp;tc=-1</vt:lpwstr>
      </vt:variant>
      <vt:variant>
        <vt:lpwstr/>
      </vt:variant>
      <vt:variant>
        <vt:i4>2621515</vt:i4>
      </vt:variant>
      <vt:variant>
        <vt:i4>1359</vt:i4>
      </vt:variant>
      <vt:variant>
        <vt:i4>0</vt:i4>
      </vt:variant>
      <vt:variant>
        <vt:i4>5</vt:i4>
      </vt:variant>
      <vt:variant>
        <vt:lpwstr>https://web2.westlaw.com/find/default.wl?mt=Westlaw&amp;db=1000024&amp;docname=MDFAS2-202&amp;rp=%2ffind%2fdefault.wl&amp;findtype=L&amp;ordoc=2027723555&amp;tc=-1&amp;vr=2.0&amp;fn=_top&amp;sv=Split&amp;tf=-1&amp;pbc=3B3BBD6D&amp;rs=WLW12.07</vt:lpwstr>
      </vt:variant>
      <vt:variant>
        <vt:lpwstr/>
      </vt:variant>
      <vt:variant>
        <vt:i4>2752598</vt:i4>
      </vt:variant>
      <vt:variant>
        <vt:i4>1356</vt:i4>
      </vt:variant>
      <vt:variant>
        <vt:i4>0</vt:i4>
      </vt:variant>
      <vt:variant>
        <vt:i4>5</vt:i4>
      </vt:variant>
      <vt:variant>
        <vt:lpwstr>https://web2.westlaw.com/find/default.wl?mt=Westlaw&amp;db=1000024&amp;docname=MDFAS2-406&amp;rp=%2ffind%2fdefault.wl&amp;findtype=L&amp;ordoc=2027723555&amp;tc=-1&amp;vr=2.0&amp;fn=_top&amp;sv=Split&amp;tf=-1&amp;referencepositiontype=T&amp;pbc=3B3BBD6D&amp;referenceposition=SP%3b4be3000003be5&amp;rs=WLW12.07</vt:lpwstr>
      </vt:variant>
      <vt:variant>
        <vt:lpwstr/>
      </vt:variant>
      <vt:variant>
        <vt:i4>3538960</vt:i4>
      </vt:variant>
      <vt:variant>
        <vt:i4>1353</vt:i4>
      </vt:variant>
      <vt:variant>
        <vt:i4>0</vt:i4>
      </vt:variant>
      <vt:variant>
        <vt:i4>5</vt:i4>
      </vt:variant>
      <vt:variant>
        <vt:lpwstr>https://web2.westlaw.com/find/default.wl?mt=Westlaw&amp;db=1000018&amp;docname=MDCDART27S365&amp;rp=%2ffind%2fdefault.wl&amp;findtype=L&amp;ordoc=2027723555&amp;tc=-1&amp;vr=2.0&amp;fn=_top&amp;sv=Split&amp;tf=-1&amp;pbc=3B3BBD6D&amp;rs=WLW12.07</vt:lpwstr>
      </vt:variant>
      <vt:variant>
        <vt:lpwstr/>
      </vt:variant>
      <vt:variant>
        <vt:i4>1769526</vt:i4>
      </vt:variant>
      <vt:variant>
        <vt:i4>1350</vt:i4>
      </vt:variant>
      <vt:variant>
        <vt:i4>0</vt:i4>
      </vt:variant>
      <vt:variant>
        <vt:i4>5</vt:i4>
      </vt:variant>
      <vt:variant>
        <vt:lpwstr>https://web2.westlaw.com/find/default.wl?rs=WLW12.07&amp;pbc=3B3BBD6D&amp;vr=2.0&amp;findtype=Y&amp;rp=%2ffind%2fdefault.wl&amp;sv=Split&amp;fn=_top&amp;tf=-1&amp;ordoc=2027723555&amp;mt=Westlaw&amp;serialnum=1952111234&amp;tc=-1</vt:lpwstr>
      </vt:variant>
      <vt:variant>
        <vt:lpwstr/>
      </vt:variant>
      <vt:variant>
        <vt:i4>2424906</vt:i4>
      </vt:variant>
      <vt:variant>
        <vt:i4>1347</vt:i4>
      </vt:variant>
      <vt:variant>
        <vt:i4>0</vt:i4>
      </vt:variant>
      <vt:variant>
        <vt:i4>5</vt:i4>
      </vt:variant>
      <vt:variant>
        <vt:lpwstr>https://web2.westlaw.com/find/default.wl?mt=Westlaw&amp;db=162&amp;tc=-1&amp;rp=%2ffind%2fdefault.wl&amp;findtype=Y&amp;ordoc=2027723555&amp;serialnum=2013195725&amp;vr=2.0&amp;fn=_top&amp;sv=Split&amp;tf=-1&amp;referencepositiontype=S&amp;pbc=3B3BBD6D&amp;referenceposition=622&amp;rs=WLW12.07</vt:lpwstr>
      </vt:variant>
      <vt:variant>
        <vt:lpwstr/>
      </vt:variant>
      <vt:variant>
        <vt:i4>1769526</vt:i4>
      </vt:variant>
      <vt:variant>
        <vt:i4>1344</vt:i4>
      </vt:variant>
      <vt:variant>
        <vt:i4>0</vt:i4>
      </vt:variant>
      <vt:variant>
        <vt:i4>5</vt:i4>
      </vt:variant>
      <vt:variant>
        <vt:lpwstr>https://web2.westlaw.com/find/default.wl?rs=WLW12.07&amp;pbc=3B3BBD6D&amp;vr=2.0&amp;findtype=Y&amp;rp=%2ffind%2fdefault.wl&amp;sv=Split&amp;fn=_top&amp;tf=-1&amp;ordoc=2027723555&amp;mt=Westlaw&amp;serialnum=1952111234&amp;tc=-1</vt:lpwstr>
      </vt:variant>
      <vt:variant>
        <vt:lpwstr/>
      </vt:variant>
      <vt:variant>
        <vt:i4>2097224</vt:i4>
      </vt:variant>
      <vt:variant>
        <vt:i4>1341</vt:i4>
      </vt:variant>
      <vt:variant>
        <vt:i4>0</vt:i4>
      </vt:variant>
      <vt:variant>
        <vt:i4>5</vt:i4>
      </vt:variant>
      <vt:variant>
        <vt:lpwstr>https://web2.westlaw.com/find/default.wl?mt=Westlaw&amp;db=161&amp;tc=-1&amp;rp=%2ffind%2fdefault.wl&amp;findtype=Y&amp;ordoc=2027723555&amp;serialnum=1916026320&amp;vr=2.0&amp;fn=_top&amp;sv=Split&amp;tf=-1&amp;referencepositiontype=S&amp;pbc=3B3BBD6D&amp;referenceposition=360&amp;rs=WLW12.07</vt:lpwstr>
      </vt:variant>
      <vt:variant>
        <vt:lpwstr/>
      </vt:variant>
      <vt:variant>
        <vt:i4>1769526</vt:i4>
      </vt:variant>
      <vt:variant>
        <vt:i4>1338</vt:i4>
      </vt:variant>
      <vt:variant>
        <vt:i4>0</vt:i4>
      </vt:variant>
      <vt:variant>
        <vt:i4>5</vt:i4>
      </vt:variant>
      <vt:variant>
        <vt:lpwstr>https://web2.westlaw.com/find/default.wl?rs=WLW12.07&amp;pbc=3B3BBD6D&amp;vr=2.0&amp;findtype=Y&amp;rp=%2ffind%2fdefault.wl&amp;sv=Split&amp;fn=_top&amp;tf=-1&amp;ordoc=2027723555&amp;mt=Westlaw&amp;serialnum=1952111234&amp;tc=-1</vt:lpwstr>
      </vt:variant>
      <vt:variant>
        <vt:lpwstr/>
      </vt:variant>
      <vt:variant>
        <vt:i4>1572916</vt:i4>
      </vt:variant>
      <vt:variant>
        <vt:i4>1335</vt:i4>
      </vt:variant>
      <vt:variant>
        <vt:i4>0</vt:i4>
      </vt:variant>
      <vt:variant>
        <vt:i4>5</vt:i4>
      </vt:variant>
      <vt:variant>
        <vt:lpwstr>https://web2.westlaw.com/find/default.wl?rs=WLW12.07&amp;pbc=3B3BBD6D&amp;vr=2.0&amp;findtype=Y&amp;rp=%2ffind%2fdefault.wl&amp;sv=Split&amp;fn=_top&amp;tf=-1&amp;ordoc=2027723555&amp;mt=Westlaw&amp;serialnum=1916026320&amp;tc=-1</vt:lpwstr>
      </vt:variant>
      <vt:variant>
        <vt:lpwstr/>
      </vt:variant>
      <vt:variant>
        <vt:i4>2228299</vt:i4>
      </vt:variant>
      <vt:variant>
        <vt:i4>1332</vt:i4>
      </vt:variant>
      <vt:variant>
        <vt:i4>0</vt:i4>
      </vt:variant>
      <vt:variant>
        <vt:i4>5</vt:i4>
      </vt:variant>
      <vt:variant>
        <vt:lpwstr>https://web2.westlaw.com/find/default.wl?mt=Westlaw&amp;db=162&amp;tc=-1&amp;rp=%2ffind%2fdefault.wl&amp;findtype=Y&amp;ordoc=2027723555&amp;serialnum=1981131790&amp;vr=2.0&amp;fn=_top&amp;sv=Split&amp;tf=-1&amp;referencepositiontype=S&amp;pbc=3B3BBD6D&amp;referenceposition=472&amp;rs=WLW12.07</vt:lpwstr>
      </vt:variant>
      <vt:variant>
        <vt:lpwstr/>
      </vt:variant>
      <vt:variant>
        <vt:i4>7405588</vt:i4>
      </vt:variant>
      <vt:variant>
        <vt:i4>1329</vt:i4>
      </vt:variant>
      <vt:variant>
        <vt:i4>0</vt:i4>
      </vt:variant>
      <vt:variant>
        <vt:i4>5</vt:i4>
      </vt:variant>
      <vt:variant>
        <vt:lpwstr>https://web2.westlaw.com/find/default.wl?mt=Westlaw&amp;db=162&amp;tc=-1&amp;rp=%2ffind%2fdefault.wl&amp;findtype=Y&amp;ordoc=2027723555&amp;serialnum=1978115085&amp;vr=2.0&amp;fn=_top&amp;sv=Split&amp;tf=-1&amp;referencepositiontype=S&amp;pbc=3B3BBD6D&amp;referenceposition=1228&amp;rs=WLW12.07</vt:lpwstr>
      </vt:variant>
      <vt:variant>
        <vt:lpwstr/>
      </vt:variant>
      <vt:variant>
        <vt:i4>2228299</vt:i4>
      </vt:variant>
      <vt:variant>
        <vt:i4>1326</vt:i4>
      </vt:variant>
      <vt:variant>
        <vt:i4>0</vt:i4>
      </vt:variant>
      <vt:variant>
        <vt:i4>5</vt:i4>
      </vt:variant>
      <vt:variant>
        <vt:lpwstr>https://web2.westlaw.com/find/default.wl?mt=Westlaw&amp;db=162&amp;tc=-1&amp;rp=%2ffind%2fdefault.wl&amp;findtype=Y&amp;ordoc=2027723555&amp;serialnum=1981131790&amp;vr=2.0&amp;fn=_top&amp;sv=Split&amp;tf=-1&amp;referencepositiontype=S&amp;pbc=3B3BBD6D&amp;referenceposition=472&amp;rs=WLW12.07</vt:lpwstr>
      </vt:variant>
      <vt:variant>
        <vt:lpwstr/>
      </vt:variant>
      <vt:variant>
        <vt:i4>7405588</vt:i4>
      </vt:variant>
      <vt:variant>
        <vt:i4>1323</vt:i4>
      </vt:variant>
      <vt:variant>
        <vt:i4>0</vt:i4>
      </vt:variant>
      <vt:variant>
        <vt:i4>5</vt:i4>
      </vt:variant>
      <vt:variant>
        <vt:lpwstr>https://web2.westlaw.com/find/default.wl?mt=Westlaw&amp;db=162&amp;tc=-1&amp;rp=%2ffind%2fdefault.wl&amp;findtype=Y&amp;ordoc=2027723555&amp;serialnum=1978115085&amp;vr=2.0&amp;fn=_top&amp;sv=Split&amp;tf=-1&amp;referencepositiontype=S&amp;pbc=3B3BBD6D&amp;referenceposition=1228&amp;rs=WLW12.07</vt:lpwstr>
      </vt:variant>
      <vt:variant>
        <vt:lpwstr/>
      </vt:variant>
      <vt:variant>
        <vt:i4>4391024</vt:i4>
      </vt:variant>
      <vt:variant>
        <vt:i4>1320</vt:i4>
      </vt:variant>
      <vt:variant>
        <vt:i4>0</vt:i4>
      </vt:variant>
      <vt:variant>
        <vt:i4>5</vt:i4>
      </vt:variant>
      <vt:variant>
        <vt:lpwstr>https://web2.westlaw.com/find/default.wl?mt=Westlaw&amp;db=594&amp;tc=-1&amp;rp=%2ffind%2fdefault.wl&amp;findtype=Y&amp;ordoc=2027723555&amp;serialnum=1910001494&amp;vr=2.0&amp;fn=_top&amp;sv=Split&amp;tf=-1&amp;pbc=3B3BBD6D&amp;rs=WLW12.07</vt:lpwstr>
      </vt:variant>
      <vt:variant>
        <vt:lpwstr/>
      </vt:variant>
      <vt:variant>
        <vt:i4>3080268</vt:i4>
      </vt:variant>
      <vt:variant>
        <vt:i4>1317</vt:i4>
      </vt:variant>
      <vt:variant>
        <vt:i4>0</vt:i4>
      </vt:variant>
      <vt:variant>
        <vt:i4>5</vt:i4>
      </vt:variant>
      <vt:variant>
        <vt:lpwstr>https://web2.westlaw.com/find/default.wl?mt=Westlaw&amp;db=162&amp;tc=-1&amp;rp=%2ffind%2fdefault.wl&amp;findtype=Y&amp;ordoc=2027723555&amp;serialnum=1952111234&amp;vr=2.0&amp;fn=_top&amp;sv=Split&amp;tf=-1&amp;referencepositiontype=S&amp;pbc=3B3BBD6D&amp;referenceposition=408&amp;rs=WLW12.07</vt:lpwstr>
      </vt:variant>
      <vt:variant>
        <vt:lpwstr/>
      </vt:variant>
      <vt:variant>
        <vt:i4>327763</vt:i4>
      </vt:variant>
      <vt:variant>
        <vt:i4>1314</vt:i4>
      </vt:variant>
      <vt:variant>
        <vt:i4>0</vt:i4>
      </vt:variant>
      <vt:variant>
        <vt:i4>5</vt:i4>
      </vt:variant>
      <vt:variant>
        <vt:lpwstr/>
      </vt:variant>
      <vt:variant>
        <vt:lpwstr>B013132027723555</vt:lpwstr>
      </vt:variant>
      <vt:variant>
        <vt:i4>4522110</vt:i4>
      </vt:variant>
      <vt:variant>
        <vt:i4>1311</vt:i4>
      </vt:variant>
      <vt:variant>
        <vt:i4>0</vt:i4>
      </vt:variant>
      <vt:variant>
        <vt:i4>5</vt:i4>
      </vt:variant>
      <vt:variant>
        <vt:lpwstr>https://web2.westlaw.com/find/default.wl?mt=Westlaw&amp;db=0101576&amp;tc=-1&amp;rp=%2ffind%2fdefault.wl&amp;findtype=Y&amp;ordoc=2027723555&amp;serialnum=0289353740&amp;vr=2.0&amp;fn=_top&amp;sv=Split&amp;tf=-1&amp;pbc=3B3BBD6D&amp;rs=WLW12.07</vt:lpwstr>
      </vt:variant>
      <vt:variant>
        <vt:lpwstr/>
      </vt:variant>
      <vt:variant>
        <vt:i4>2293837</vt:i4>
      </vt:variant>
      <vt:variant>
        <vt:i4>1308</vt:i4>
      </vt:variant>
      <vt:variant>
        <vt:i4>0</vt:i4>
      </vt:variant>
      <vt:variant>
        <vt:i4>5</vt:i4>
      </vt:variant>
      <vt:variant>
        <vt:lpwstr>https://web2.westlaw.com/find/default.wl?mt=Westlaw&amp;db=161&amp;tc=-1&amp;rp=%2ffind%2fdefault.wl&amp;findtype=Y&amp;ordoc=2027723555&amp;serialnum=1895014737&amp;vr=2.0&amp;fn=_top&amp;sv=Split&amp;tf=-1&amp;referencepositiontype=S&amp;pbc=3B3BBD6D&amp;referenceposition=318&amp;rs=WLW12.07</vt:lpwstr>
      </vt:variant>
      <vt:variant>
        <vt:lpwstr/>
      </vt:variant>
      <vt:variant>
        <vt:i4>2097224</vt:i4>
      </vt:variant>
      <vt:variant>
        <vt:i4>1305</vt:i4>
      </vt:variant>
      <vt:variant>
        <vt:i4>0</vt:i4>
      </vt:variant>
      <vt:variant>
        <vt:i4>5</vt:i4>
      </vt:variant>
      <vt:variant>
        <vt:lpwstr>https://web2.westlaw.com/find/default.wl?mt=Westlaw&amp;db=161&amp;tc=-1&amp;rp=%2ffind%2fdefault.wl&amp;findtype=Y&amp;ordoc=2027723555&amp;serialnum=1916026320&amp;vr=2.0&amp;fn=_top&amp;sv=Split&amp;tf=-1&amp;referencepositiontype=S&amp;pbc=3B3BBD6D&amp;referenceposition=360&amp;rs=WLW12.07</vt:lpwstr>
      </vt:variant>
      <vt:variant>
        <vt:lpwstr/>
      </vt:variant>
      <vt:variant>
        <vt:i4>3014732</vt:i4>
      </vt:variant>
      <vt:variant>
        <vt:i4>1302</vt:i4>
      </vt:variant>
      <vt:variant>
        <vt:i4>0</vt:i4>
      </vt:variant>
      <vt:variant>
        <vt:i4>5</vt:i4>
      </vt:variant>
      <vt:variant>
        <vt:lpwstr>https://web2.westlaw.com/find/default.wl?mt=Westlaw&amp;db=162&amp;tc=-1&amp;rp=%2ffind%2fdefault.wl&amp;findtype=Y&amp;ordoc=2027723555&amp;serialnum=1952111234&amp;vr=2.0&amp;fn=_top&amp;sv=Split&amp;tf=-1&amp;referencepositiontype=S&amp;pbc=3B3BBD6D&amp;referenceposition=409&amp;rs=WLW12.07</vt:lpwstr>
      </vt:variant>
      <vt:variant>
        <vt:lpwstr/>
      </vt:variant>
      <vt:variant>
        <vt:i4>4522110</vt:i4>
      </vt:variant>
      <vt:variant>
        <vt:i4>1299</vt:i4>
      </vt:variant>
      <vt:variant>
        <vt:i4>0</vt:i4>
      </vt:variant>
      <vt:variant>
        <vt:i4>5</vt:i4>
      </vt:variant>
      <vt:variant>
        <vt:lpwstr>https://web2.westlaw.com/find/default.wl?mt=Westlaw&amp;db=0101576&amp;tc=-1&amp;rp=%2ffind%2fdefault.wl&amp;findtype=Y&amp;ordoc=2027723555&amp;serialnum=0289353740&amp;vr=2.0&amp;fn=_top&amp;sv=Split&amp;tf=-1&amp;pbc=3B3BBD6D&amp;rs=WLW12.07</vt:lpwstr>
      </vt:variant>
      <vt:variant>
        <vt:lpwstr/>
      </vt:variant>
      <vt:variant>
        <vt:i4>2621504</vt:i4>
      </vt:variant>
      <vt:variant>
        <vt:i4>1296</vt:i4>
      </vt:variant>
      <vt:variant>
        <vt:i4>0</vt:i4>
      </vt:variant>
      <vt:variant>
        <vt:i4>5</vt:i4>
      </vt:variant>
      <vt:variant>
        <vt:lpwstr>https://web2.westlaw.com/find/default.wl?mt=Westlaw&amp;db=162&amp;tc=-1&amp;rp=%2ffind%2fdefault.wl&amp;findtype=Y&amp;ordoc=2027723555&amp;serialnum=1943112102&amp;vr=2.0&amp;fn=_top&amp;sv=Split&amp;tf=-1&amp;referencepositiontype=S&amp;pbc=3B3BBD6D&amp;referenceposition=288&amp;rs=WLW12.07</vt:lpwstr>
      </vt:variant>
      <vt:variant>
        <vt:lpwstr/>
      </vt:variant>
      <vt:variant>
        <vt:i4>3080268</vt:i4>
      </vt:variant>
      <vt:variant>
        <vt:i4>1293</vt:i4>
      </vt:variant>
      <vt:variant>
        <vt:i4>0</vt:i4>
      </vt:variant>
      <vt:variant>
        <vt:i4>5</vt:i4>
      </vt:variant>
      <vt:variant>
        <vt:lpwstr>https://web2.westlaw.com/find/default.wl?mt=Westlaw&amp;db=162&amp;tc=-1&amp;rp=%2ffind%2fdefault.wl&amp;findtype=Y&amp;ordoc=2027723555&amp;serialnum=1952111234&amp;vr=2.0&amp;fn=_top&amp;sv=Split&amp;tf=-1&amp;referencepositiontype=S&amp;pbc=3B3BBD6D&amp;referenceposition=408&amp;rs=WLW12.07</vt:lpwstr>
      </vt:variant>
      <vt:variant>
        <vt:lpwstr/>
      </vt:variant>
      <vt:variant>
        <vt:i4>3735570</vt:i4>
      </vt:variant>
      <vt:variant>
        <vt:i4>1290</vt:i4>
      </vt:variant>
      <vt:variant>
        <vt:i4>0</vt:i4>
      </vt:variant>
      <vt:variant>
        <vt:i4>5</vt:i4>
      </vt:variant>
      <vt:variant>
        <vt:lpwstr>https://web2.westlaw.com/find/default.wl?tc=-1&amp;docname=WYSTS20-1-111&amp;rp=%2ffind%2fdefault.wl&amp;sv=Split&amp;rs=WLW11.04&amp;db=1000377&amp;tf=-1&amp;findtype=L&amp;fn=_top&amp;mt=Westlaw&amp;vr=2.0&amp;pbc=86C7C420&amp;ordoc=2025408018</vt:lpwstr>
      </vt:variant>
      <vt:variant>
        <vt:lpwstr/>
      </vt:variant>
      <vt:variant>
        <vt:i4>7667781</vt:i4>
      </vt:variant>
      <vt:variant>
        <vt:i4>1287</vt:i4>
      </vt:variant>
      <vt:variant>
        <vt:i4>0</vt:i4>
      </vt:variant>
      <vt:variant>
        <vt:i4>5</vt:i4>
      </vt:variant>
      <vt:variant>
        <vt:lpwstr>https://web2.westlaw.com/find/default.wl?referencepositiontype=S&amp;serialnum=1979123545&amp;referenceposition=184&amp;rp=%2ffind%2fdefault.wl&amp;sv=Split&amp;rs=WLW11.04&amp;db=661&amp;tf=-1&amp;findtype=Y&amp;fn=_top&amp;mt=Westlaw&amp;vr=2.0&amp;pbc=86C7C420&amp;tc=-1&amp;ordoc=2025408018</vt:lpwstr>
      </vt:variant>
      <vt:variant>
        <vt:lpwstr/>
      </vt:variant>
      <vt:variant>
        <vt:i4>4063301</vt:i4>
      </vt:variant>
      <vt:variant>
        <vt:i4>1284</vt:i4>
      </vt:variant>
      <vt:variant>
        <vt:i4>0</vt:i4>
      </vt:variant>
      <vt:variant>
        <vt:i4>5</vt:i4>
      </vt:variant>
      <vt:variant>
        <vt:lpwstr>https://web2.westlaw.com/find/default.wl?serialnum=1943103053&amp;tc=-1&amp;rp=%2ffind%2fdefault.wl&amp;sv=Split&amp;rs=WLW11.04&amp;tf=-1&amp;findtype=Y&amp;fn=_top&amp;mt=Westlaw&amp;vr=2.0&amp;pbc=86C7C420&amp;ordoc=2025408018</vt:lpwstr>
      </vt:variant>
      <vt:variant>
        <vt:lpwstr/>
      </vt:variant>
      <vt:variant>
        <vt:i4>1245217</vt:i4>
      </vt:variant>
      <vt:variant>
        <vt:i4>1281</vt:i4>
      </vt:variant>
      <vt:variant>
        <vt:i4>0</vt:i4>
      </vt:variant>
      <vt:variant>
        <vt:i4>5</vt:i4>
      </vt:variant>
      <vt:variant>
        <vt:lpwstr>https://web2.westlaw.com/find/default.wl?referencepositiontype=S&amp;serialnum=1979105198&amp;referenceposition=1350&amp;rp=%2ffind%2fdefault.wl&amp;sv=Split&amp;rs=WLW11.04&amp;db=661&amp;tf=-1&amp;findtype=Y&amp;fn=_top&amp;mt=Westlaw&amp;vr=2.0&amp;pbc=86C7C420&amp;tc=-1&amp;ordoc=2025408018</vt:lpwstr>
      </vt:variant>
      <vt:variant>
        <vt:lpwstr/>
      </vt:variant>
      <vt:variant>
        <vt:i4>8323149</vt:i4>
      </vt:variant>
      <vt:variant>
        <vt:i4>1278</vt:i4>
      </vt:variant>
      <vt:variant>
        <vt:i4>0</vt:i4>
      </vt:variant>
      <vt:variant>
        <vt:i4>5</vt:i4>
      </vt:variant>
      <vt:variant>
        <vt:lpwstr>https://web2.westlaw.com/find/default.wl?referencepositiontype=S&amp;serialnum=1943103053&amp;referenceposition=503&amp;rp=%2ffind%2fdefault.wl&amp;sv=Split&amp;rs=WLW11.04&amp;db=661&amp;tf=-1&amp;findtype=Y&amp;fn=_top&amp;mt=Westlaw&amp;vr=2.0&amp;pbc=86C7C420&amp;tc=-1&amp;ordoc=2025408018</vt:lpwstr>
      </vt:variant>
      <vt:variant>
        <vt:lpwstr/>
      </vt:variant>
      <vt:variant>
        <vt:i4>2490402</vt:i4>
      </vt:variant>
      <vt:variant>
        <vt:i4>1275</vt:i4>
      </vt:variant>
      <vt:variant>
        <vt:i4>0</vt:i4>
      </vt:variant>
      <vt:variant>
        <vt:i4>5</vt:i4>
      </vt:variant>
      <vt:variant>
        <vt:lpwstr>http://www.nccusl.org/</vt:lpwstr>
      </vt:variant>
      <vt:variant>
        <vt:lpwstr/>
      </vt:variant>
      <vt:variant>
        <vt:i4>5570638</vt:i4>
      </vt:variant>
      <vt:variant>
        <vt:i4>1272</vt:i4>
      </vt:variant>
      <vt:variant>
        <vt:i4>0</vt:i4>
      </vt:variant>
      <vt:variant>
        <vt:i4>5</vt:i4>
      </vt:variant>
      <vt:variant>
        <vt:lpwstr>http://scholar.google.com/scholar_case?about=6088308930630266212&amp;hl=en&amp;lr=lang_en&amp;as_sdt=2,39&amp;as_vis=1</vt:lpwstr>
      </vt:variant>
      <vt:variant>
        <vt:lpwstr/>
      </vt:variant>
      <vt:variant>
        <vt:i4>5832707</vt:i4>
      </vt:variant>
      <vt:variant>
        <vt:i4>1269</vt:i4>
      </vt:variant>
      <vt:variant>
        <vt:i4>0</vt:i4>
      </vt:variant>
      <vt:variant>
        <vt:i4>5</vt:i4>
      </vt:variant>
      <vt:variant>
        <vt:lpwstr>http://scholar.google.com/scholar_case?case=7799457873018353079&amp;hl=en&amp;lr=lang_en&amp;as_sdt=2,39&amp;as_vis=1</vt:lpwstr>
      </vt:variant>
      <vt:variant>
        <vt:lpwstr/>
      </vt:variant>
      <vt:variant>
        <vt:i4>65575</vt:i4>
      </vt:variant>
      <vt:variant>
        <vt:i4>1266</vt:i4>
      </vt:variant>
      <vt:variant>
        <vt:i4>0</vt:i4>
      </vt:variant>
      <vt:variant>
        <vt:i4>5</vt:i4>
      </vt:variant>
      <vt:variant>
        <vt:lpwstr>http://scholar.google.com/scholar_case?case=17532646241738940908&amp;hl=en&amp;lr=lang_en&amp;as_sdt=2,39&amp;as_vis=1&amp;oi=scholaralrt</vt:lpwstr>
      </vt:variant>
      <vt:variant>
        <vt:lpwstr>[2]#[2]</vt:lpwstr>
      </vt:variant>
      <vt:variant>
        <vt:i4>1114213</vt:i4>
      </vt:variant>
      <vt:variant>
        <vt:i4>1263</vt:i4>
      </vt:variant>
      <vt:variant>
        <vt:i4>0</vt:i4>
      </vt:variant>
      <vt:variant>
        <vt:i4>5</vt:i4>
      </vt:variant>
      <vt:variant>
        <vt:lpwstr>https://web2.westlaw.com/find/default.wl?mt=Westlaw&amp;db=1000546&amp;docname=26USCAS2704&amp;rp=%2ffind%2fdefault.wl&amp;findtype=L&amp;ordoc=2027194409&amp;tc=-1&amp;vr=2.0&amp;fn=_top&amp;sv=Split&amp;tf=-1&amp;pbc=4EA432F4&amp;rs=WLW12.01</vt:lpwstr>
      </vt:variant>
      <vt:variant>
        <vt:lpwstr/>
      </vt:variant>
      <vt:variant>
        <vt:i4>1114213</vt:i4>
      </vt:variant>
      <vt:variant>
        <vt:i4>1260</vt:i4>
      </vt:variant>
      <vt:variant>
        <vt:i4>0</vt:i4>
      </vt:variant>
      <vt:variant>
        <vt:i4>5</vt:i4>
      </vt:variant>
      <vt:variant>
        <vt:lpwstr>https://web2.westlaw.com/find/default.wl?mt=Westlaw&amp;db=1000546&amp;docname=26USCAS2704&amp;rp=%2ffind%2fdefault.wl&amp;findtype=L&amp;ordoc=2027194409&amp;tc=-1&amp;vr=2.0&amp;fn=_top&amp;sv=Split&amp;tf=-1&amp;pbc=4EA432F4&amp;rs=WLW12.01</vt:lpwstr>
      </vt:variant>
      <vt:variant>
        <vt:lpwstr/>
      </vt:variant>
      <vt:variant>
        <vt:i4>4391010</vt:i4>
      </vt:variant>
      <vt:variant>
        <vt:i4>1257</vt:i4>
      </vt:variant>
      <vt:variant>
        <vt:i4>0</vt:i4>
      </vt:variant>
      <vt:variant>
        <vt:i4>5</vt:i4>
      </vt:variant>
      <vt:variant>
        <vt:lpwstr>https://web2.westlaw.com/find/default.wl?mt=Westlaw&amp;db=1016188&amp;docname=26CFRS25.2704-1&amp;rp=%2ffind%2fdefault.wl&amp;findtype=L&amp;ordoc=2027194409&amp;tc=-1&amp;vr=2.0&amp;fn=_top&amp;sv=Split&amp;tf=-1&amp;referencepositiontype=T&amp;pbc=4EA432F4&amp;referenceposition=SP%3ba83b000018c76&amp;rs=WLW12.01</vt:lpwstr>
      </vt:variant>
      <vt:variant>
        <vt:lpwstr/>
      </vt:variant>
      <vt:variant>
        <vt:i4>1114213</vt:i4>
      </vt:variant>
      <vt:variant>
        <vt:i4>1254</vt:i4>
      </vt:variant>
      <vt:variant>
        <vt:i4>0</vt:i4>
      </vt:variant>
      <vt:variant>
        <vt:i4>5</vt:i4>
      </vt:variant>
      <vt:variant>
        <vt:lpwstr>https://web2.westlaw.com/find/default.wl?mt=Westlaw&amp;db=1000546&amp;docname=26USCAS2704&amp;rp=%2ffind%2fdefault.wl&amp;findtype=L&amp;ordoc=2027194409&amp;tc=-1&amp;vr=2.0&amp;fn=_top&amp;sv=Split&amp;tf=-1&amp;pbc=4EA432F4&amp;rs=WLW12.01</vt:lpwstr>
      </vt:variant>
      <vt:variant>
        <vt:lpwstr/>
      </vt:variant>
      <vt:variant>
        <vt:i4>5111921</vt:i4>
      </vt:variant>
      <vt:variant>
        <vt:i4>1251</vt:i4>
      </vt:variant>
      <vt:variant>
        <vt:i4>0</vt:i4>
      </vt:variant>
      <vt:variant>
        <vt:i4>5</vt:i4>
      </vt:variant>
      <vt:variant>
        <vt:lpwstr>https://web2.westlaw.com/find/default.wl?mt=Westlaw&amp;db=1016188&amp;docname=26CFRS25.2512-8&amp;rp=%2ffind%2fdefault.wl&amp;findtype=L&amp;ordoc=2027194409&amp;tc=-1&amp;vr=2.0&amp;fn=_top&amp;sv=Split&amp;tf=-1&amp;pbc=4EA432F4&amp;rs=WLW12.01</vt:lpwstr>
      </vt:variant>
      <vt:variant>
        <vt:lpwstr/>
      </vt:variant>
      <vt:variant>
        <vt:i4>4259952</vt:i4>
      </vt:variant>
      <vt:variant>
        <vt:i4>1248</vt:i4>
      </vt:variant>
      <vt:variant>
        <vt:i4>0</vt:i4>
      </vt:variant>
      <vt:variant>
        <vt:i4>5</vt:i4>
      </vt:variant>
      <vt:variant>
        <vt:lpwstr>https://web2.westlaw.com/find/default.wl?mt=Westlaw&amp;db=1016188&amp;docname=26CFRS25.2704-3&amp;rp=%2ffind%2fdefault.wl&amp;findtype=L&amp;ordoc=2027194409&amp;tc=-1&amp;vr=2.0&amp;fn=_top&amp;sv=Split&amp;tf=-1&amp;pbc=4EA432F4&amp;rs=WLW12.01</vt:lpwstr>
      </vt:variant>
      <vt:variant>
        <vt:lpwstr/>
      </vt:variant>
      <vt:variant>
        <vt:i4>4653168</vt:i4>
      </vt:variant>
      <vt:variant>
        <vt:i4>1245</vt:i4>
      </vt:variant>
      <vt:variant>
        <vt:i4>0</vt:i4>
      </vt:variant>
      <vt:variant>
        <vt:i4>5</vt:i4>
      </vt:variant>
      <vt:variant>
        <vt:lpwstr>https://web2.westlaw.com/find/default.wl?mt=Westlaw&amp;db=1016188&amp;docname=26CFRS25.2701-0&amp;rp=%2ffind%2fdefault.wl&amp;findtype=L&amp;ordoc=2027194409&amp;tc=-1&amp;vr=2.0&amp;fn=_top&amp;sv=Split&amp;tf=-1&amp;pbc=4EA432F4&amp;rs=WLW12.01</vt:lpwstr>
      </vt:variant>
      <vt:variant>
        <vt:lpwstr/>
      </vt:variant>
      <vt:variant>
        <vt:i4>1114213</vt:i4>
      </vt:variant>
      <vt:variant>
        <vt:i4>1242</vt:i4>
      </vt:variant>
      <vt:variant>
        <vt:i4>0</vt:i4>
      </vt:variant>
      <vt:variant>
        <vt:i4>5</vt:i4>
      </vt:variant>
      <vt:variant>
        <vt:lpwstr>https://web2.westlaw.com/find/default.wl?mt=Westlaw&amp;db=1000546&amp;docname=26USCAS2704&amp;rp=%2ffind%2fdefault.wl&amp;findtype=L&amp;ordoc=2027194409&amp;tc=-1&amp;vr=2.0&amp;fn=_top&amp;sv=Split&amp;tf=-1&amp;pbc=4EA432F4&amp;rs=WLW12.01</vt:lpwstr>
      </vt:variant>
      <vt:variant>
        <vt:lpwstr/>
      </vt:variant>
      <vt:variant>
        <vt:i4>1441893</vt:i4>
      </vt:variant>
      <vt:variant>
        <vt:i4>1239</vt:i4>
      </vt:variant>
      <vt:variant>
        <vt:i4>0</vt:i4>
      </vt:variant>
      <vt:variant>
        <vt:i4>5</vt:i4>
      </vt:variant>
      <vt:variant>
        <vt:lpwstr>https://web2.westlaw.com/find/default.wl?mt=Westlaw&amp;db=1000546&amp;docname=26USCAS2703&amp;rp=%2ffind%2fdefault.wl&amp;findtype=L&amp;ordoc=2027194409&amp;tc=-1&amp;vr=2.0&amp;fn=_top&amp;sv=Split&amp;tf=-1&amp;pbc=4EA432F4&amp;rs=WLW12.01</vt:lpwstr>
      </vt:variant>
      <vt:variant>
        <vt:lpwstr/>
      </vt:variant>
      <vt:variant>
        <vt:i4>1507429</vt:i4>
      </vt:variant>
      <vt:variant>
        <vt:i4>1236</vt:i4>
      </vt:variant>
      <vt:variant>
        <vt:i4>0</vt:i4>
      </vt:variant>
      <vt:variant>
        <vt:i4>5</vt:i4>
      </vt:variant>
      <vt:variant>
        <vt:lpwstr>https://web2.westlaw.com/find/default.wl?mt=Westlaw&amp;db=1000546&amp;docname=26USCAS2702&amp;rp=%2ffind%2fdefault.wl&amp;findtype=L&amp;ordoc=2027194409&amp;tc=-1&amp;vr=2.0&amp;fn=_top&amp;sv=Split&amp;tf=-1&amp;pbc=4EA432F4&amp;rs=WLW12.01</vt:lpwstr>
      </vt:variant>
      <vt:variant>
        <vt:lpwstr/>
      </vt:variant>
      <vt:variant>
        <vt:i4>1310821</vt:i4>
      </vt:variant>
      <vt:variant>
        <vt:i4>1233</vt:i4>
      </vt:variant>
      <vt:variant>
        <vt:i4>0</vt:i4>
      </vt:variant>
      <vt:variant>
        <vt:i4>5</vt:i4>
      </vt:variant>
      <vt:variant>
        <vt:lpwstr>https://web2.westlaw.com/find/default.wl?mt=Westlaw&amp;db=1000546&amp;docname=26USCAS2701&amp;rp=%2ffind%2fdefault.wl&amp;findtype=L&amp;ordoc=2027194409&amp;tc=-1&amp;vr=2.0&amp;fn=_top&amp;sv=Split&amp;tf=-1&amp;pbc=4EA432F4&amp;rs=WLW12.01</vt:lpwstr>
      </vt:variant>
      <vt:variant>
        <vt:lpwstr/>
      </vt:variant>
      <vt:variant>
        <vt:i4>1114213</vt:i4>
      </vt:variant>
      <vt:variant>
        <vt:i4>1230</vt:i4>
      </vt:variant>
      <vt:variant>
        <vt:i4>0</vt:i4>
      </vt:variant>
      <vt:variant>
        <vt:i4>5</vt:i4>
      </vt:variant>
      <vt:variant>
        <vt:lpwstr>https://web2.westlaw.com/find/default.wl?mt=Westlaw&amp;db=1000546&amp;docname=26USCAS2704&amp;rp=%2ffind%2fdefault.wl&amp;findtype=L&amp;ordoc=2027194409&amp;tc=-1&amp;vr=2.0&amp;fn=_top&amp;sv=Split&amp;tf=-1&amp;pbc=4EA432F4&amp;rs=WLW12.01</vt:lpwstr>
      </vt:variant>
      <vt:variant>
        <vt:lpwstr/>
      </vt:variant>
      <vt:variant>
        <vt:i4>5111921</vt:i4>
      </vt:variant>
      <vt:variant>
        <vt:i4>1227</vt:i4>
      </vt:variant>
      <vt:variant>
        <vt:i4>0</vt:i4>
      </vt:variant>
      <vt:variant>
        <vt:i4>5</vt:i4>
      </vt:variant>
      <vt:variant>
        <vt:lpwstr>https://web2.westlaw.com/find/default.wl?mt=Westlaw&amp;db=1016188&amp;docname=26CFRS25.2512-8&amp;rp=%2ffind%2fdefault.wl&amp;findtype=L&amp;ordoc=2027194409&amp;tc=-1&amp;vr=2.0&amp;fn=_top&amp;sv=Split&amp;tf=-1&amp;pbc=4EA432F4&amp;rs=WLW12.01</vt:lpwstr>
      </vt:variant>
      <vt:variant>
        <vt:lpwstr/>
      </vt:variant>
      <vt:variant>
        <vt:i4>5111921</vt:i4>
      </vt:variant>
      <vt:variant>
        <vt:i4>1224</vt:i4>
      </vt:variant>
      <vt:variant>
        <vt:i4>0</vt:i4>
      </vt:variant>
      <vt:variant>
        <vt:i4>5</vt:i4>
      </vt:variant>
      <vt:variant>
        <vt:lpwstr>https://web2.westlaw.com/find/default.wl?mt=Westlaw&amp;db=1016188&amp;docname=26CFRS25.2512-8&amp;rp=%2ffind%2fdefault.wl&amp;findtype=L&amp;ordoc=2027194409&amp;tc=-1&amp;vr=2.0&amp;fn=_top&amp;sv=Split&amp;tf=-1&amp;pbc=4EA432F4&amp;rs=WLW12.01</vt:lpwstr>
      </vt:variant>
      <vt:variant>
        <vt:lpwstr/>
      </vt:variant>
      <vt:variant>
        <vt:i4>1114213</vt:i4>
      </vt:variant>
      <vt:variant>
        <vt:i4>1221</vt:i4>
      </vt:variant>
      <vt:variant>
        <vt:i4>0</vt:i4>
      </vt:variant>
      <vt:variant>
        <vt:i4>5</vt:i4>
      </vt:variant>
      <vt:variant>
        <vt:lpwstr>https://web2.westlaw.com/find/default.wl?mt=Westlaw&amp;db=1000546&amp;docname=26USCAS2704&amp;rp=%2ffind%2fdefault.wl&amp;findtype=L&amp;ordoc=2027194409&amp;tc=-1&amp;vr=2.0&amp;fn=_top&amp;sv=Split&amp;tf=-1&amp;pbc=4EA432F4&amp;rs=WLW12.01</vt:lpwstr>
      </vt:variant>
      <vt:variant>
        <vt:lpwstr/>
      </vt:variant>
      <vt:variant>
        <vt:i4>1114213</vt:i4>
      </vt:variant>
      <vt:variant>
        <vt:i4>1218</vt:i4>
      </vt:variant>
      <vt:variant>
        <vt:i4>0</vt:i4>
      </vt:variant>
      <vt:variant>
        <vt:i4>5</vt:i4>
      </vt:variant>
      <vt:variant>
        <vt:lpwstr>https://web2.westlaw.com/find/default.wl?mt=Westlaw&amp;db=1000546&amp;docname=26USCAS2704&amp;rp=%2ffind%2fdefault.wl&amp;findtype=L&amp;ordoc=2027194409&amp;tc=-1&amp;vr=2.0&amp;fn=_top&amp;sv=Split&amp;tf=-1&amp;pbc=4EA432F4&amp;rs=WLW12.01</vt:lpwstr>
      </vt:variant>
      <vt:variant>
        <vt:lpwstr/>
      </vt:variant>
      <vt:variant>
        <vt:i4>1114213</vt:i4>
      </vt:variant>
      <vt:variant>
        <vt:i4>1215</vt:i4>
      </vt:variant>
      <vt:variant>
        <vt:i4>0</vt:i4>
      </vt:variant>
      <vt:variant>
        <vt:i4>5</vt:i4>
      </vt:variant>
      <vt:variant>
        <vt:lpwstr>https://web2.westlaw.com/find/default.wl?mt=Westlaw&amp;db=1000546&amp;docname=26USCAS2704&amp;rp=%2ffind%2fdefault.wl&amp;findtype=L&amp;ordoc=2027194409&amp;tc=-1&amp;vr=2.0&amp;fn=_top&amp;sv=Split&amp;tf=-1&amp;pbc=4EA432F4&amp;rs=WLW12.01</vt:lpwstr>
      </vt:variant>
      <vt:variant>
        <vt:lpwstr/>
      </vt:variant>
      <vt:variant>
        <vt:i4>5046331</vt:i4>
      </vt:variant>
      <vt:variant>
        <vt:i4>1212</vt:i4>
      </vt:variant>
      <vt:variant>
        <vt:i4>0</vt:i4>
      </vt:variant>
      <vt:variant>
        <vt:i4>5</vt:i4>
      </vt:variant>
      <vt:variant>
        <vt:lpwstr>https://web2.westlaw.com/find/default.wl?mt=Westlaw&amp;db=1016188&amp;docname=26CFRS25.2704-1&amp;rp=%2ffind%2fdefault.wl&amp;findtype=L&amp;ordoc=2027194409&amp;tc=-1&amp;vr=2.0&amp;fn=_top&amp;sv=Split&amp;tf=-1&amp;referencepositiontype=T&amp;pbc=4EA432F4&amp;referenceposition=SP%3b7b9b000044381&amp;rs=WLW12.01</vt:lpwstr>
      </vt:variant>
      <vt:variant>
        <vt:lpwstr/>
      </vt:variant>
      <vt:variant>
        <vt:i4>4391024</vt:i4>
      </vt:variant>
      <vt:variant>
        <vt:i4>1209</vt:i4>
      </vt:variant>
      <vt:variant>
        <vt:i4>0</vt:i4>
      </vt:variant>
      <vt:variant>
        <vt:i4>5</vt:i4>
      </vt:variant>
      <vt:variant>
        <vt:lpwstr>https://web2.westlaw.com/find/default.wl?mt=Westlaw&amp;db=1016188&amp;docname=26CFRS25.2704-1&amp;rp=%2ffind%2fdefault.wl&amp;findtype=L&amp;ordoc=2027194409&amp;tc=-1&amp;vr=2.0&amp;fn=_top&amp;sv=Split&amp;tf=-1&amp;pbc=4EA432F4&amp;rs=WLW12.01</vt:lpwstr>
      </vt:variant>
      <vt:variant>
        <vt:lpwstr/>
      </vt:variant>
      <vt:variant>
        <vt:i4>4391010</vt:i4>
      </vt:variant>
      <vt:variant>
        <vt:i4>1206</vt:i4>
      </vt:variant>
      <vt:variant>
        <vt:i4>0</vt:i4>
      </vt:variant>
      <vt:variant>
        <vt:i4>5</vt:i4>
      </vt:variant>
      <vt:variant>
        <vt:lpwstr>https://web2.westlaw.com/find/default.wl?mt=Westlaw&amp;db=1016188&amp;docname=26CFRS25.2704-1&amp;rp=%2ffind%2fdefault.wl&amp;findtype=L&amp;ordoc=2027194409&amp;tc=-1&amp;vr=2.0&amp;fn=_top&amp;sv=Split&amp;tf=-1&amp;referencepositiontype=T&amp;pbc=4EA432F4&amp;referenceposition=SP%3ba83b000018c76&amp;rs=WLW12.01</vt:lpwstr>
      </vt:variant>
      <vt:variant>
        <vt:lpwstr/>
      </vt:variant>
      <vt:variant>
        <vt:i4>393267</vt:i4>
      </vt:variant>
      <vt:variant>
        <vt:i4>1203</vt:i4>
      </vt:variant>
      <vt:variant>
        <vt:i4>0</vt:i4>
      </vt:variant>
      <vt:variant>
        <vt:i4>5</vt:i4>
      </vt:variant>
      <vt:variant>
        <vt:lpwstr>https://web2.westlaw.com/find/default.wl?mt=Westlaw&amp;db=1000546&amp;docname=26USCAS2704&amp;rp=%2ffind%2fdefault.wl&amp;findtype=L&amp;ordoc=2027194409&amp;tc=-1&amp;vr=2.0&amp;fn=_top&amp;sv=Split&amp;tf=-1&amp;referencepositiontype=T&amp;pbc=4EA432F4&amp;referenceposition=SP%3b8b3b0000958a4&amp;rs=WLW12.01</vt:lpwstr>
      </vt:variant>
      <vt:variant>
        <vt:lpwstr/>
      </vt:variant>
      <vt:variant>
        <vt:i4>1114213</vt:i4>
      </vt:variant>
      <vt:variant>
        <vt:i4>1200</vt:i4>
      </vt:variant>
      <vt:variant>
        <vt:i4>0</vt:i4>
      </vt:variant>
      <vt:variant>
        <vt:i4>5</vt:i4>
      </vt:variant>
      <vt:variant>
        <vt:lpwstr>https://web2.westlaw.com/find/default.wl?mt=Westlaw&amp;db=1000546&amp;docname=26USCAS2704&amp;rp=%2ffind%2fdefault.wl&amp;findtype=L&amp;ordoc=2027194409&amp;tc=-1&amp;vr=2.0&amp;fn=_top&amp;sv=Split&amp;tf=-1&amp;pbc=4EA432F4&amp;rs=WLW12.01</vt:lpwstr>
      </vt:variant>
      <vt:variant>
        <vt:lpwstr/>
      </vt:variant>
      <vt:variant>
        <vt:i4>65591</vt:i4>
      </vt:variant>
      <vt:variant>
        <vt:i4>1197</vt:i4>
      </vt:variant>
      <vt:variant>
        <vt:i4>0</vt:i4>
      </vt:variant>
      <vt:variant>
        <vt:i4>5</vt:i4>
      </vt:variant>
      <vt:variant>
        <vt:lpwstr>https://web2.westlaw.com/find/default.wl?mt=Westlaw&amp;db=1000546&amp;docname=26USCAS2704&amp;rp=%2ffind%2fdefault.wl&amp;findtype=L&amp;ordoc=2027194409&amp;tc=-1&amp;vr=2.0&amp;fn=_top&amp;sv=Split&amp;tf=-1&amp;referencepositiontype=T&amp;pbc=4EA432F4&amp;referenceposition=SP%3b50660000823d1&amp;rs=WLW12.01</vt:lpwstr>
      </vt:variant>
      <vt:variant>
        <vt:lpwstr/>
      </vt:variant>
      <vt:variant>
        <vt:i4>4915299</vt:i4>
      </vt:variant>
      <vt:variant>
        <vt:i4>1194</vt:i4>
      </vt:variant>
      <vt:variant>
        <vt:i4>0</vt:i4>
      </vt:variant>
      <vt:variant>
        <vt:i4>5</vt:i4>
      </vt:variant>
      <vt:variant>
        <vt:lpwstr>https://web2.westlaw.com/find/default.wl?mt=Westlaw&amp;db=1016188&amp;docname=26CFRS25.2704-1&amp;rp=%2ffind%2fdefault.wl&amp;findtype=L&amp;ordoc=2027194409&amp;tc=-1&amp;vr=2.0&amp;fn=_top&amp;sv=Split&amp;tf=-1&amp;referencepositiontype=T&amp;pbc=4EA432F4&amp;referenceposition=SP%3b8b3b0000958a4&amp;rs=WLW12.01</vt:lpwstr>
      </vt:variant>
      <vt:variant>
        <vt:lpwstr/>
      </vt:variant>
      <vt:variant>
        <vt:i4>4194358</vt:i4>
      </vt:variant>
      <vt:variant>
        <vt:i4>1191</vt:i4>
      </vt:variant>
      <vt:variant>
        <vt:i4>0</vt:i4>
      </vt:variant>
      <vt:variant>
        <vt:i4>5</vt:i4>
      </vt:variant>
      <vt:variant>
        <vt:lpwstr>https://web2.westlaw.com/find/default.wl?mt=Westlaw&amp;db=1016188&amp;docname=26CFRS25.2701-2&amp;rp=%2ffind%2fdefault.wl&amp;findtype=L&amp;ordoc=2027194409&amp;tc=-1&amp;vr=2.0&amp;fn=_top&amp;sv=Split&amp;tf=-1&amp;referencepositiontype=T&amp;pbc=4EA432F4&amp;referenceposition=SP%3b17ed0000b46f3&amp;rs=WLW12.01</vt:lpwstr>
      </vt:variant>
      <vt:variant>
        <vt:lpwstr/>
      </vt:variant>
      <vt:variant>
        <vt:i4>655462</vt:i4>
      </vt:variant>
      <vt:variant>
        <vt:i4>1188</vt:i4>
      </vt:variant>
      <vt:variant>
        <vt:i4>0</vt:i4>
      </vt:variant>
      <vt:variant>
        <vt:i4>5</vt:i4>
      </vt:variant>
      <vt:variant>
        <vt:lpwstr>https://web2.westlaw.com/find/default.wl?mt=Westlaw&amp;db=1000546&amp;docname=26USCAS2701&amp;rp=%2ffind%2fdefault.wl&amp;findtype=L&amp;ordoc=2027194409&amp;tc=-1&amp;vr=2.0&amp;fn=_top&amp;sv=Split&amp;tf=-1&amp;referencepositiontype=T&amp;pbc=4EA432F4&amp;referenceposition=SP%3b1eca000045f07&amp;rs=WLW12.01</vt:lpwstr>
      </vt:variant>
      <vt:variant>
        <vt:lpwstr/>
      </vt:variant>
      <vt:variant>
        <vt:i4>4194358</vt:i4>
      </vt:variant>
      <vt:variant>
        <vt:i4>1185</vt:i4>
      </vt:variant>
      <vt:variant>
        <vt:i4>0</vt:i4>
      </vt:variant>
      <vt:variant>
        <vt:i4>5</vt:i4>
      </vt:variant>
      <vt:variant>
        <vt:lpwstr>https://web2.westlaw.com/find/default.wl?mt=Westlaw&amp;db=1016188&amp;docname=26CFRS25.2701-2&amp;rp=%2ffind%2fdefault.wl&amp;findtype=L&amp;ordoc=2027194409&amp;tc=-1&amp;vr=2.0&amp;fn=_top&amp;sv=Split&amp;tf=-1&amp;referencepositiontype=T&amp;pbc=4EA432F4&amp;referenceposition=SP%3b17ed0000b46f3&amp;rs=WLW12.01</vt:lpwstr>
      </vt:variant>
      <vt:variant>
        <vt:lpwstr/>
      </vt:variant>
      <vt:variant>
        <vt:i4>655462</vt:i4>
      </vt:variant>
      <vt:variant>
        <vt:i4>1182</vt:i4>
      </vt:variant>
      <vt:variant>
        <vt:i4>0</vt:i4>
      </vt:variant>
      <vt:variant>
        <vt:i4>5</vt:i4>
      </vt:variant>
      <vt:variant>
        <vt:lpwstr>https://web2.westlaw.com/find/default.wl?mt=Westlaw&amp;db=1000546&amp;docname=26USCAS2701&amp;rp=%2ffind%2fdefault.wl&amp;findtype=L&amp;ordoc=2027194409&amp;tc=-1&amp;vr=2.0&amp;fn=_top&amp;sv=Split&amp;tf=-1&amp;referencepositiontype=T&amp;pbc=4EA432F4&amp;referenceposition=SP%3b1eca000045f07&amp;rs=WLW12.01</vt:lpwstr>
      </vt:variant>
      <vt:variant>
        <vt:lpwstr/>
      </vt:variant>
      <vt:variant>
        <vt:i4>1572920</vt:i4>
      </vt:variant>
      <vt:variant>
        <vt:i4>1179</vt:i4>
      </vt:variant>
      <vt:variant>
        <vt:i4>0</vt:i4>
      </vt:variant>
      <vt:variant>
        <vt:i4>5</vt:i4>
      </vt:variant>
      <vt:variant>
        <vt:lpwstr>https://web2.westlaw.com/find/default.wl?mt=Westlaw&amp;db=1016188&amp;docname=26CFRS25.2704-1&amp;rp=%2ffind%2fdefault.wl&amp;findtype=L&amp;ordoc=2027194409&amp;tc=-1&amp;vr=2.0&amp;fn=_top&amp;sv=Split&amp;tf=-1&amp;referencepositiontype=T&amp;pbc=4EA432F4&amp;referenceposition=SP%3bb9c60000a3934&amp;rs=WLW12.01</vt:lpwstr>
      </vt:variant>
      <vt:variant>
        <vt:lpwstr/>
      </vt:variant>
      <vt:variant>
        <vt:i4>4456545</vt:i4>
      </vt:variant>
      <vt:variant>
        <vt:i4>1176</vt:i4>
      </vt:variant>
      <vt:variant>
        <vt:i4>0</vt:i4>
      </vt:variant>
      <vt:variant>
        <vt:i4>5</vt:i4>
      </vt:variant>
      <vt:variant>
        <vt:lpwstr>https://web2.westlaw.com/find/default.wl?mt=Westlaw&amp;db=1016188&amp;docname=26CFRS25.2704-1&amp;rp=%2ffind%2fdefault.wl&amp;findtype=L&amp;ordoc=2027194409&amp;tc=-1&amp;vr=2.0&amp;fn=_top&amp;sv=Split&amp;tf=-1&amp;referencepositiontype=T&amp;pbc=4EA432F4&amp;referenceposition=SP%3bfa1f0000dc321&amp;rs=WLW12.01</vt:lpwstr>
      </vt:variant>
      <vt:variant>
        <vt:lpwstr/>
      </vt:variant>
      <vt:variant>
        <vt:i4>4522032</vt:i4>
      </vt:variant>
      <vt:variant>
        <vt:i4>1173</vt:i4>
      </vt:variant>
      <vt:variant>
        <vt:i4>0</vt:i4>
      </vt:variant>
      <vt:variant>
        <vt:i4>5</vt:i4>
      </vt:variant>
      <vt:variant>
        <vt:lpwstr>https://web2.westlaw.com/find/default.wl?mt=Westlaw&amp;db=1016188&amp;docname=26CFRS25.2704-1&amp;rp=%2ffind%2fdefault.wl&amp;findtype=L&amp;ordoc=2027194409&amp;tc=-1&amp;vr=2.0&amp;fn=_top&amp;sv=Split&amp;tf=-1&amp;referencepositiontype=T&amp;pbc=4EA432F4&amp;referenceposition=SP%3b220000001d2a1&amp;rs=WLW12.01</vt:lpwstr>
      </vt:variant>
      <vt:variant>
        <vt:lpwstr/>
      </vt:variant>
      <vt:variant>
        <vt:i4>1048627</vt:i4>
      </vt:variant>
      <vt:variant>
        <vt:i4>1170</vt:i4>
      </vt:variant>
      <vt:variant>
        <vt:i4>0</vt:i4>
      </vt:variant>
      <vt:variant>
        <vt:i4>5</vt:i4>
      </vt:variant>
      <vt:variant>
        <vt:lpwstr>https://web2.westlaw.com/find/default.wl?mt=Westlaw&amp;db=1016188&amp;docname=26CFRS25.2704-1&amp;rp=%2ffind%2fdefault.wl&amp;findtype=L&amp;ordoc=2027194409&amp;tc=-1&amp;vr=2.0&amp;fn=_top&amp;sv=Split&amp;tf=-1&amp;referencepositiontype=T&amp;pbc=4EA432F4&amp;referenceposition=SP%3bc5ce0000c54a2&amp;rs=WLW12.01</vt:lpwstr>
      </vt:variant>
      <vt:variant>
        <vt:lpwstr/>
      </vt:variant>
      <vt:variant>
        <vt:i4>393267</vt:i4>
      </vt:variant>
      <vt:variant>
        <vt:i4>1167</vt:i4>
      </vt:variant>
      <vt:variant>
        <vt:i4>0</vt:i4>
      </vt:variant>
      <vt:variant>
        <vt:i4>5</vt:i4>
      </vt:variant>
      <vt:variant>
        <vt:lpwstr>https://web2.westlaw.com/find/default.wl?mt=Westlaw&amp;db=1000546&amp;docname=26USCAS2704&amp;rp=%2ffind%2fdefault.wl&amp;findtype=L&amp;ordoc=2027194409&amp;tc=-1&amp;vr=2.0&amp;fn=_top&amp;sv=Split&amp;tf=-1&amp;referencepositiontype=T&amp;pbc=4EA432F4&amp;referenceposition=SP%3b8b3b0000958a4&amp;rs=WLW12.01</vt:lpwstr>
      </vt:variant>
      <vt:variant>
        <vt:lpwstr/>
      </vt:variant>
      <vt:variant>
        <vt:i4>4522032</vt:i4>
      </vt:variant>
      <vt:variant>
        <vt:i4>1164</vt:i4>
      </vt:variant>
      <vt:variant>
        <vt:i4>0</vt:i4>
      </vt:variant>
      <vt:variant>
        <vt:i4>5</vt:i4>
      </vt:variant>
      <vt:variant>
        <vt:lpwstr>https://web2.westlaw.com/find/default.wl?mt=Westlaw&amp;db=1016188&amp;docname=26CFRS25.2704-1&amp;rp=%2ffind%2fdefault.wl&amp;findtype=L&amp;ordoc=2027194409&amp;tc=-1&amp;vr=2.0&amp;fn=_top&amp;sv=Split&amp;tf=-1&amp;referencepositiontype=T&amp;pbc=4EA432F4&amp;referenceposition=SP%3b220000001d2a1&amp;rs=WLW12.01</vt:lpwstr>
      </vt:variant>
      <vt:variant>
        <vt:lpwstr/>
      </vt:variant>
      <vt:variant>
        <vt:i4>107</vt:i4>
      </vt:variant>
      <vt:variant>
        <vt:i4>1161</vt:i4>
      </vt:variant>
      <vt:variant>
        <vt:i4>0</vt:i4>
      </vt:variant>
      <vt:variant>
        <vt:i4>5</vt:i4>
      </vt:variant>
      <vt:variant>
        <vt:lpwstr>https://web2.westlaw.com/find/default.wl?mt=Westlaw&amp;db=1000546&amp;docname=26USCAS2704&amp;rp=%2ffind%2fdefault.wl&amp;findtype=L&amp;ordoc=2027194409&amp;tc=-1&amp;vr=2.0&amp;fn=_top&amp;sv=Split&amp;tf=-1&amp;referencepositiontype=T&amp;pbc=4EA432F4&amp;referenceposition=SP%3b7b9b000044381&amp;rs=WLW12.01</vt:lpwstr>
      </vt:variant>
      <vt:variant>
        <vt:lpwstr/>
      </vt:variant>
      <vt:variant>
        <vt:i4>655462</vt:i4>
      </vt:variant>
      <vt:variant>
        <vt:i4>1158</vt:i4>
      </vt:variant>
      <vt:variant>
        <vt:i4>0</vt:i4>
      </vt:variant>
      <vt:variant>
        <vt:i4>5</vt:i4>
      </vt:variant>
      <vt:variant>
        <vt:lpwstr>https://web2.westlaw.com/find/default.wl?mt=Westlaw&amp;db=1000546&amp;docname=26USCAS2701&amp;rp=%2ffind%2fdefault.wl&amp;findtype=L&amp;ordoc=2027194409&amp;tc=-1&amp;vr=2.0&amp;fn=_top&amp;sv=Split&amp;tf=-1&amp;referencepositiontype=T&amp;pbc=4EA432F4&amp;referenceposition=SP%3b1eca000045f07&amp;rs=WLW12.01</vt:lpwstr>
      </vt:variant>
      <vt:variant>
        <vt:lpwstr/>
      </vt:variant>
      <vt:variant>
        <vt:i4>1966178</vt:i4>
      </vt:variant>
      <vt:variant>
        <vt:i4>1155</vt:i4>
      </vt:variant>
      <vt:variant>
        <vt:i4>0</vt:i4>
      </vt:variant>
      <vt:variant>
        <vt:i4>5</vt:i4>
      </vt:variant>
      <vt:variant>
        <vt:lpwstr>https://web2.westlaw.com/find/default.wl?mt=Westlaw&amp;db=1016188&amp;docname=26CFRS25.2701-2&amp;rp=%2ffind%2fdefault.wl&amp;findtype=L&amp;ordoc=2027194409&amp;tc=-1&amp;vr=2.0&amp;fn=_top&amp;sv=Split&amp;tf=-1&amp;referencepositiontype=T&amp;pbc=4EA432F4&amp;referenceposition=SP%3b277b00009cfc7&amp;rs=WLW12.01</vt:lpwstr>
      </vt:variant>
      <vt:variant>
        <vt:lpwstr/>
      </vt:variant>
      <vt:variant>
        <vt:i4>4391024</vt:i4>
      </vt:variant>
      <vt:variant>
        <vt:i4>1152</vt:i4>
      </vt:variant>
      <vt:variant>
        <vt:i4>0</vt:i4>
      </vt:variant>
      <vt:variant>
        <vt:i4>5</vt:i4>
      </vt:variant>
      <vt:variant>
        <vt:lpwstr>https://web2.westlaw.com/find/default.wl?mt=Westlaw&amp;db=1016188&amp;docname=26CFRS25.2704-1&amp;rp=%2ffind%2fdefault.wl&amp;findtype=L&amp;ordoc=2027194409&amp;tc=-1&amp;vr=2.0&amp;fn=_top&amp;sv=Split&amp;tf=-1&amp;pbc=4EA432F4&amp;rs=WLW12.01</vt:lpwstr>
      </vt:variant>
      <vt:variant>
        <vt:lpwstr/>
      </vt:variant>
      <vt:variant>
        <vt:i4>1179705</vt:i4>
      </vt:variant>
      <vt:variant>
        <vt:i4>1149</vt:i4>
      </vt:variant>
      <vt:variant>
        <vt:i4>0</vt:i4>
      </vt:variant>
      <vt:variant>
        <vt:i4>5</vt:i4>
      </vt:variant>
      <vt:variant>
        <vt:lpwstr>https://web2.westlaw.com/find/default.wl?mt=Westlaw&amp;db=1016188&amp;docname=26CFRS25.2704-1&amp;rp=%2ffind%2fdefault.wl&amp;findtype=L&amp;ordoc=2027194409&amp;tc=-1&amp;vr=2.0&amp;fn=_top&amp;sv=Split&amp;tf=-1&amp;referencepositiontype=T&amp;pbc=4EA432F4&amp;referenceposition=SP%3b33080000a1643&amp;rs=WLW12.01</vt:lpwstr>
      </vt:variant>
      <vt:variant>
        <vt:lpwstr/>
      </vt:variant>
      <vt:variant>
        <vt:i4>4194358</vt:i4>
      </vt:variant>
      <vt:variant>
        <vt:i4>1146</vt:i4>
      </vt:variant>
      <vt:variant>
        <vt:i4>0</vt:i4>
      </vt:variant>
      <vt:variant>
        <vt:i4>5</vt:i4>
      </vt:variant>
      <vt:variant>
        <vt:lpwstr>https://web2.westlaw.com/find/default.wl?mt=Westlaw&amp;db=1016188&amp;docname=26CFRS25.2701-2&amp;rp=%2ffind%2fdefault.wl&amp;findtype=L&amp;ordoc=2027194409&amp;tc=-1&amp;vr=2.0&amp;fn=_top&amp;sv=Split&amp;tf=-1&amp;referencepositiontype=T&amp;pbc=4EA432F4&amp;referenceposition=SP%3b17ed0000b46f3&amp;rs=WLW12.01</vt:lpwstr>
      </vt:variant>
      <vt:variant>
        <vt:lpwstr/>
      </vt:variant>
      <vt:variant>
        <vt:i4>655462</vt:i4>
      </vt:variant>
      <vt:variant>
        <vt:i4>1143</vt:i4>
      </vt:variant>
      <vt:variant>
        <vt:i4>0</vt:i4>
      </vt:variant>
      <vt:variant>
        <vt:i4>5</vt:i4>
      </vt:variant>
      <vt:variant>
        <vt:lpwstr>https://web2.westlaw.com/find/default.wl?mt=Westlaw&amp;db=1000546&amp;docname=26USCAS2701&amp;rp=%2ffind%2fdefault.wl&amp;findtype=L&amp;ordoc=2027194409&amp;tc=-1&amp;vr=2.0&amp;fn=_top&amp;sv=Split&amp;tf=-1&amp;referencepositiontype=T&amp;pbc=4EA432F4&amp;referenceposition=SP%3b1eca000045f07&amp;rs=WLW12.01</vt:lpwstr>
      </vt:variant>
      <vt:variant>
        <vt:lpwstr/>
      </vt:variant>
      <vt:variant>
        <vt:i4>65591</vt:i4>
      </vt:variant>
      <vt:variant>
        <vt:i4>1140</vt:i4>
      </vt:variant>
      <vt:variant>
        <vt:i4>0</vt:i4>
      </vt:variant>
      <vt:variant>
        <vt:i4>5</vt:i4>
      </vt:variant>
      <vt:variant>
        <vt:lpwstr>https://web2.westlaw.com/find/default.wl?mt=Westlaw&amp;db=1000546&amp;docname=26USCAS2704&amp;rp=%2ffind%2fdefault.wl&amp;findtype=L&amp;ordoc=2027194409&amp;tc=-1&amp;vr=2.0&amp;fn=_top&amp;sv=Split&amp;tf=-1&amp;referencepositiontype=T&amp;pbc=4EA432F4&amp;referenceposition=SP%3b50660000823d1&amp;rs=WLW12.01</vt:lpwstr>
      </vt:variant>
      <vt:variant>
        <vt:lpwstr/>
      </vt:variant>
      <vt:variant>
        <vt:i4>4915299</vt:i4>
      </vt:variant>
      <vt:variant>
        <vt:i4>1137</vt:i4>
      </vt:variant>
      <vt:variant>
        <vt:i4>0</vt:i4>
      </vt:variant>
      <vt:variant>
        <vt:i4>5</vt:i4>
      </vt:variant>
      <vt:variant>
        <vt:lpwstr>https://web2.westlaw.com/find/default.wl?mt=Westlaw&amp;db=1016188&amp;docname=26CFRS25.2704-1&amp;rp=%2ffind%2fdefault.wl&amp;findtype=L&amp;ordoc=2027194409&amp;tc=-1&amp;vr=2.0&amp;fn=_top&amp;sv=Split&amp;tf=-1&amp;referencepositiontype=T&amp;pbc=4EA432F4&amp;referenceposition=SP%3b8b3b0000958a4&amp;rs=WLW12.01</vt:lpwstr>
      </vt:variant>
      <vt:variant>
        <vt:lpwstr/>
      </vt:variant>
      <vt:variant>
        <vt:i4>5111935</vt:i4>
      </vt:variant>
      <vt:variant>
        <vt:i4>1134</vt:i4>
      </vt:variant>
      <vt:variant>
        <vt:i4>0</vt:i4>
      </vt:variant>
      <vt:variant>
        <vt:i4>5</vt:i4>
      </vt:variant>
      <vt:variant>
        <vt:lpwstr>https://web2.westlaw.com/find/default.wl?mt=Westlaw&amp;db=0000999&amp;tc=-1&amp;rp=%2ffind%2fdefault.wl&amp;findtype=Y&amp;ordoc=2027135230&amp;serialnum=2023085195&amp;vr=2.0&amp;fn=_top&amp;sv=Split&amp;tf=-1&amp;pbc=7F01DC89&amp;rs=WLW12.01</vt:lpwstr>
      </vt:variant>
      <vt:variant>
        <vt:lpwstr/>
      </vt:variant>
      <vt:variant>
        <vt:i4>2424897</vt:i4>
      </vt:variant>
      <vt:variant>
        <vt:i4>1131</vt:i4>
      </vt:variant>
      <vt:variant>
        <vt:i4>0</vt:i4>
      </vt:variant>
      <vt:variant>
        <vt:i4>5</vt:i4>
      </vt:variant>
      <vt:variant>
        <vt:lpwstr>https://web2.westlaw.com/find/default.wl?mt=Westlaw&amp;db=350&amp;tc=-1&amp;rp=%2ffind%2fdefault.wl&amp;findtype=Y&amp;ordoc=2027135230&amp;serialnum=1981114878&amp;vr=2.0&amp;fn=_top&amp;sv=Split&amp;tf=-1&amp;referencepositiontype=S&amp;pbc=7F01DC89&amp;referenceposition=624&amp;rs=WLW12.01</vt:lpwstr>
      </vt:variant>
      <vt:variant>
        <vt:lpwstr/>
      </vt:variant>
      <vt:variant>
        <vt:i4>3014749</vt:i4>
      </vt:variant>
      <vt:variant>
        <vt:i4>1128</vt:i4>
      </vt:variant>
      <vt:variant>
        <vt:i4>0</vt:i4>
      </vt:variant>
      <vt:variant>
        <vt:i4>5</vt:i4>
      </vt:variant>
      <vt:variant>
        <vt:lpwstr>https://web2.westlaw.com/find/default.wl?mt=Westlaw&amp;db=1004365&amp;docname=USFRCPR12&amp;rp=%2ffind%2fdefault.wl&amp;findtype=L&amp;ordoc=2027135230&amp;tc=-1&amp;vr=2.0&amp;fn=_top&amp;sv=Split&amp;tf=-1&amp;pbc=7F01DC89&amp;rs=WLW12.01</vt:lpwstr>
      </vt:variant>
      <vt:variant>
        <vt:lpwstr/>
      </vt:variant>
      <vt:variant>
        <vt:i4>3014749</vt:i4>
      </vt:variant>
      <vt:variant>
        <vt:i4>1125</vt:i4>
      </vt:variant>
      <vt:variant>
        <vt:i4>0</vt:i4>
      </vt:variant>
      <vt:variant>
        <vt:i4>5</vt:i4>
      </vt:variant>
      <vt:variant>
        <vt:lpwstr>https://web2.westlaw.com/find/default.wl?mt=Westlaw&amp;db=1004365&amp;docname=USFRCPR12&amp;rp=%2ffind%2fdefault.wl&amp;findtype=L&amp;ordoc=2027135230&amp;tc=-1&amp;vr=2.0&amp;fn=_top&amp;sv=Split&amp;tf=-1&amp;pbc=7F01DC89&amp;rs=WLW12.01</vt:lpwstr>
      </vt:variant>
      <vt:variant>
        <vt:lpwstr/>
      </vt:variant>
      <vt:variant>
        <vt:i4>3407975</vt:i4>
      </vt:variant>
      <vt:variant>
        <vt:i4>1122</vt:i4>
      </vt:variant>
      <vt:variant>
        <vt:i4>0</vt:i4>
      </vt:variant>
      <vt:variant>
        <vt:i4>5</vt:i4>
      </vt:variant>
      <vt:variant>
        <vt:lpwstr/>
      </vt:variant>
      <vt:variant>
        <vt:lpwstr>B00332027135230</vt:lpwstr>
      </vt:variant>
      <vt:variant>
        <vt:i4>1310779</vt:i4>
      </vt:variant>
      <vt:variant>
        <vt:i4>1119</vt:i4>
      </vt:variant>
      <vt:variant>
        <vt:i4>0</vt:i4>
      </vt:variant>
      <vt:variant>
        <vt:i4>5</vt:i4>
      </vt:variant>
      <vt:variant>
        <vt:lpwstr>https://web2.westlaw.com/find/default.wl?rs=WLW12.04&amp;pbc=9CA1CAC5&amp;vr=2.0&amp;findtype=Y&amp;rp=%2ffind%2fdefault.wl&amp;sv=Split&amp;fn=_top&amp;tf=-1&amp;ordoc=2027321237&amp;mt=Westlaw&amp;serialnum=1981146997&amp;tc=-1</vt:lpwstr>
      </vt:variant>
      <vt:variant>
        <vt:lpwstr/>
      </vt:variant>
      <vt:variant>
        <vt:i4>1310779</vt:i4>
      </vt:variant>
      <vt:variant>
        <vt:i4>1116</vt:i4>
      </vt:variant>
      <vt:variant>
        <vt:i4>0</vt:i4>
      </vt:variant>
      <vt:variant>
        <vt:i4>5</vt:i4>
      </vt:variant>
      <vt:variant>
        <vt:lpwstr>https://web2.westlaw.com/find/default.wl?rs=WLW12.04&amp;pbc=9CA1CAC5&amp;vr=2.0&amp;findtype=Y&amp;rp=%2ffind%2fdefault.wl&amp;sv=Split&amp;fn=_top&amp;tf=-1&amp;ordoc=2027321237&amp;mt=Westlaw&amp;serialnum=1981146997&amp;tc=-1</vt:lpwstr>
      </vt:variant>
      <vt:variant>
        <vt:lpwstr/>
      </vt:variant>
      <vt:variant>
        <vt:i4>6291476</vt:i4>
      </vt:variant>
      <vt:variant>
        <vt:i4>1113</vt:i4>
      </vt:variant>
      <vt:variant>
        <vt:i4>0</vt:i4>
      </vt:variant>
      <vt:variant>
        <vt:i4>5</vt:i4>
      </vt:variant>
      <vt:variant>
        <vt:lpwstr>https://web2.westlaw.com/find/default.wl?mt=Westlaw&amp;db=1000546&amp;docname=5USCAS8705&amp;rp=%2ffind%2fdefault.wl&amp;findtype=L&amp;ordoc=2027321237&amp;tc=-1&amp;vr=2.0&amp;fn=_top&amp;sv=Split&amp;tf=-1&amp;pbc=9CA1CAC5&amp;rs=WLW12.04</vt:lpwstr>
      </vt:variant>
      <vt:variant>
        <vt:lpwstr/>
      </vt:variant>
      <vt:variant>
        <vt:i4>4325503</vt:i4>
      </vt:variant>
      <vt:variant>
        <vt:i4>1110</vt:i4>
      </vt:variant>
      <vt:variant>
        <vt:i4>0</vt:i4>
      </vt:variant>
      <vt:variant>
        <vt:i4>5</vt:i4>
      </vt:variant>
      <vt:variant>
        <vt:lpwstr>https://web2.westlaw.com/find/default.wl?mt=Westlaw&amp;db=708&amp;tc=-1&amp;rp=%2ffind%2fdefault.wl&amp;findtype=Y&amp;ordoc=2027321237&amp;serialnum=1950120129&amp;vr=2.0&amp;fn=_top&amp;sv=Split&amp;tf=-1&amp;pbc=9CA1CAC5&amp;rs=WLW12.04</vt:lpwstr>
      </vt:variant>
      <vt:variant>
        <vt:lpwstr/>
      </vt:variant>
      <vt:variant>
        <vt:i4>4325502</vt:i4>
      </vt:variant>
      <vt:variant>
        <vt:i4>1107</vt:i4>
      </vt:variant>
      <vt:variant>
        <vt:i4>0</vt:i4>
      </vt:variant>
      <vt:variant>
        <vt:i4>5</vt:i4>
      </vt:variant>
      <vt:variant>
        <vt:lpwstr>https://web2.westlaw.com/find/default.wl?mt=Westlaw&amp;db=708&amp;tc=-1&amp;rp=%2ffind%2fdefault.wl&amp;findtype=Y&amp;ordoc=2027321237&amp;serialnum=1981146997&amp;vr=2.0&amp;fn=_top&amp;sv=Split&amp;tf=-1&amp;pbc=9CA1CAC5&amp;rs=WLW12.04</vt:lpwstr>
      </vt:variant>
      <vt:variant>
        <vt:lpwstr/>
      </vt:variant>
      <vt:variant>
        <vt:i4>3538955</vt:i4>
      </vt:variant>
      <vt:variant>
        <vt:i4>1104</vt:i4>
      </vt:variant>
      <vt:variant>
        <vt:i4>0</vt:i4>
      </vt:variant>
      <vt:variant>
        <vt:i4>5</vt:i4>
      </vt:variant>
      <vt:variant>
        <vt:lpwstr>https://web2.westlaw.com/find/default.wl?mt=Westlaw&amp;db=1000546&amp;docname=5USCAS8705&amp;rp=%2ffind%2fdefault.wl&amp;findtype=L&amp;ordoc=2027321237&amp;tc=-1&amp;vr=2.0&amp;fn=_top&amp;sv=Split&amp;tf=-1&amp;referencepositiontype=T&amp;pbc=9CA1CAC5&amp;referenceposition=SP%3b7fdd00001ca15&amp;rs=WLW12.04</vt:lpwstr>
      </vt:variant>
      <vt:variant>
        <vt:lpwstr/>
      </vt:variant>
      <vt:variant>
        <vt:i4>6291476</vt:i4>
      </vt:variant>
      <vt:variant>
        <vt:i4>1101</vt:i4>
      </vt:variant>
      <vt:variant>
        <vt:i4>0</vt:i4>
      </vt:variant>
      <vt:variant>
        <vt:i4>5</vt:i4>
      </vt:variant>
      <vt:variant>
        <vt:lpwstr>https://web2.westlaw.com/find/default.wl?mt=Westlaw&amp;db=1000546&amp;docname=5USCAS8705&amp;rp=%2ffind%2fdefault.wl&amp;findtype=L&amp;ordoc=2027321237&amp;tc=-1&amp;vr=2.0&amp;fn=_top&amp;sv=Split&amp;tf=-1&amp;pbc=9CA1CAC5&amp;rs=WLW12.04</vt:lpwstr>
      </vt:variant>
      <vt:variant>
        <vt:lpwstr/>
      </vt:variant>
      <vt:variant>
        <vt:i4>1966135</vt:i4>
      </vt:variant>
      <vt:variant>
        <vt:i4>1098</vt:i4>
      </vt:variant>
      <vt:variant>
        <vt:i4>0</vt:i4>
      </vt:variant>
      <vt:variant>
        <vt:i4>5</vt:i4>
      </vt:variant>
      <vt:variant>
        <vt:lpwstr>https://web2.westlaw.com/find/default.wl?rs=WLW12.04&amp;pbc=9CA1CAC5&amp;vr=2.0&amp;findtype=Y&amp;rp=%2ffind%2fdefault.wl&amp;sv=Split&amp;fn=_top&amp;tf=-1&amp;ordoc=2027321237&amp;mt=Westlaw&amp;serialnum=1992192965&amp;tc=-1</vt:lpwstr>
      </vt:variant>
      <vt:variant>
        <vt:lpwstr/>
      </vt:variant>
      <vt:variant>
        <vt:i4>1310779</vt:i4>
      </vt:variant>
      <vt:variant>
        <vt:i4>1095</vt:i4>
      </vt:variant>
      <vt:variant>
        <vt:i4>0</vt:i4>
      </vt:variant>
      <vt:variant>
        <vt:i4>5</vt:i4>
      </vt:variant>
      <vt:variant>
        <vt:lpwstr>https://web2.westlaw.com/find/default.wl?rs=WLW12.04&amp;pbc=9CA1CAC5&amp;vr=2.0&amp;findtype=Y&amp;rp=%2ffind%2fdefault.wl&amp;sv=Split&amp;fn=_top&amp;tf=-1&amp;ordoc=2027321237&amp;mt=Westlaw&amp;serialnum=1981146997&amp;tc=-1</vt:lpwstr>
      </vt:variant>
      <vt:variant>
        <vt:lpwstr/>
      </vt:variant>
      <vt:variant>
        <vt:i4>3080266</vt:i4>
      </vt:variant>
      <vt:variant>
        <vt:i4>1092</vt:i4>
      </vt:variant>
      <vt:variant>
        <vt:i4>0</vt:i4>
      </vt:variant>
      <vt:variant>
        <vt:i4>5</vt:i4>
      </vt:variant>
      <vt:variant>
        <vt:lpwstr>https://web2.westlaw.com/find/default.wl?mt=Westlaw&amp;db=578&amp;tc=-1&amp;rp=%2ffind%2fdefault.wl&amp;findtype=Y&amp;ordoc=2027321237&amp;serialnum=2024459567&amp;vr=2.0&amp;fn=_top&amp;sv=Split&amp;tf=-1&amp;referencepositiontype=S&amp;pbc=9CA1CAC5&amp;referenceposition=846&amp;rs=WLW12.04</vt:lpwstr>
      </vt:variant>
      <vt:variant>
        <vt:lpwstr/>
      </vt:variant>
      <vt:variant>
        <vt:i4>1966135</vt:i4>
      </vt:variant>
      <vt:variant>
        <vt:i4>1089</vt:i4>
      </vt:variant>
      <vt:variant>
        <vt:i4>0</vt:i4>
      </vt:variant>
      <vt:variant>
        <vt:i4>5</vt:i4>
      </vt:variant>
      <vt:variant>
        <vt:lpwstr>https://web2.westlaw.com/find/default.wl?rs=WLW12.04&amp;pbc=9CA1CAC5&amp;vr=2.0&amp;findtype=Y&amp;rp=%2ffind%2fdefault.wl&amp;sv=Split&amp;fn=_top&amp;tf=-1&amp;ordoc=2027321237&amp;mt=Westlaw&amp;serialnum=1992192965&amp;tc=-1</vt:lpwstr>
      </vt:variant>
      <vt:variant>
        <vt:lpwstr/>
      </vt:variant>
      <vt:variant>
        <vt:i4>1310779</vt:i4>
      </vt:variant>
      <vt:variant>
        <vt:i4>1086</vt:i4>
      </vt:variant>
      <vt:variant>
        <vt:i4>0</vt:i4>
      </vt:variant>
      <vt:variant>
        <vt:i4>5</vt:i4>
      </vt:variant>
      <vt:variant>
        <vt:lpwstr>https://web2.westlaw.com/find/default.wl?rs=WLW12.04&amp;pbc=9CA1CAC5&amp;vr=2.0&amp;findtype=Y&amp;rp=%2ffind%2fdefault.wl&amp;sv=Split&amp;fn=_top&amp;tf=-1&amp;ordoc=2027321237&amp;mt=Westlaw&amp;serialnum=1981146997&amp;tc=-1</vt:lpwstr>
      </vt:variant>
      <vt:variant>
        <vt:lpwstr/>
      </vt:variant>
      <vt:variant>
        <vt:i4>4325502</vt:i4>
      </vt:variant>
      <vt:variant>
        <vt:i4>1083</vt:i4>
      </vt:variant>
      <vt:variant>
        <vt:i4>0</vt:i4>
      </vt:variant>
      <vt:variant>
        <vt:i4>5</vt:i4>
      </vt:variant>
      <vt:variant>
        <vt:lpwstr>https://web2.westlaw.com/find/default.wl?mt=Westlaw&amp;db=708&amp;tc=-1&amp;rp=%2ffind%2fdefault.wl&amp;findtype=Y&amp;ordoc=2027321237&amp;serialnum=1981146997&amp;vr=2.0&amp;fn=_top&amp;sv=Split&amp;tf=-1&amp;pbc=9CA1CAC5&amp;rs=WLW12.04</vt:lpwstr>
      </vt:variant>
      <vt:variant>
        <vt:lpwstr/>
      </vt:variant>
      <vt:variant>
        <vt:i4>2097216</vt:i4>
      </vt:variant>
      <vt:variant>
        <vt:i4>1080</vt:i4>
      </vt:variant>
      <vt:variant>
        <vt:i4>0</vt:i4>
      </vt:variant>
      <vt:variant>
        <vt:i4>5</vt:i4>
      </vt:variant>
      <vt:variant>
        <vt:lpwstr>https://web2.westlaw.com/find/default.wl?mt=Westlaw&amp;db=713&amp;tc=-1&amp;rp=%2ffind%2fdefault.wl&amp;findtype=Y&amp;ordoc=2027321237&amp;serialnum=1991208256&amp;vr=2.0&amp;fn=_top&amp;sv=Split&amp;tf=-1&amp;referencepositiontype=S&amp;pbc=9CA1CAC5&amp;referenceposition=571&amp;rs=WLW12.04</vt:lpwstr>
      </vt:variant>
      <vt:variant>
        <vt:lpwstr/>
      </vt:variant>
      <vt:variant>
        <vt:i4>1310779</vt:i4>
      </vt:variant>
      <vt:variant>
        <vt:i4>1077</vt:i4>
      </vt:variant>
      <vt:variant>
        <vt:i4>0</vt:i4>
      </vt:variant>
      <vt:variant>
        <vt:i4>5</vt:i4>
      </vt:variant>
      <vt:variant>
        <vt:lpwstr>https://web2.westlaw.com/find/default.wl?rs=WLW12.04&amp;pbc=9CA1CAC5&amp;vr=2.0&amp;findtype=Y&amp;rp=%2ffind%2fdefault.wl&amp;sv=Split&amp;fn=_top&amp;tf=-1&amp;ordoc=2027321237&amp;mt=Westlaw&amp;serialnum=1981146997&amp;tc=-1</vt:lpwstr>
      </vt:variant>
      <vt:variant>
        <vt:lpwstr/>
      </vt:variant>
      <vt:variant>
        <vt:i4>4325502</vt:i4>
      </vt:variant>
      <vt:variant>
        <vt:i4>1074</vt:i4>
      </vt:variant>
      <vt:variant>
        <vt:i4>0</vt:i4>
      </vt:variant>
      <vt:variant>
        <vt:i4>5</vt:i4>
      </vt:variant>
      <vt:variant>
        <vt:lpwstr>https://web2.westlaw.com/find/default.wl?mt=Westlaw&amp;db=708&amp;tc=-1&amp;rp=%2ffind%2fdefault.wl&amp;findtype=Y&amp;ordoc=2027321237&amp;serialnum=1981146997&amp;vr=2.0&amp;fn=_top&amp;sv=Split&amp;tf=-1&amp;pbc=9CA1CAC5&amp;rs=WLW12.04</vt:lpwstr>
      </vt:variant>
      <vt:variant>
        <vt:lpwstr/>
      </vt:variant>
      <vt:variant>
        <vt:i4>4325502</vt:i4>
      </vt:variant>
      <vt:variant>
        <vt:i4>1071</vt:i4>
      </vt:variant>
      <vt:variant>
        <vt:i4>0</vt:i4>
      </vt:variant>
      <vt:variant>
        <vt:i4>5</vt:i4>
      </vt:variant>
      <vt:variant>
        <vt:lpwstr>https://web2.westlaw.com/find/default.wl?mt=Westlaw&amp;db=708&amp;tc=-1&amp;rp=%2ffind%2fdefault.wl&amp;findtype=Y&amp;ordoc=2027321237&amp;serialnum=1981146997&amp;vr=2.0&amp;fn=_top&amp;sv=Split&amp;tf=-1&amp;pbc=9CA1CAC5&amp;rs=WLW12.04</vt:lpwstr>
      </vt:variant>
      <vt:variant>
        <vt:lpwstr/>
      </vt:variant>
      <vt:variant>
        <vt:i4>1310779</vt:i4>
      </vt:variant>
      <vt:variant>
        <vt:i4>1068</vt:i4>
      </vt:variant>
      <vt:variant>
        <vt:i4>0</vt:i4>
      </vt:variant>
      <vt:variant>
        <vt:i4>5</vt:i4>
      </vt:variant>
      <vt:variant>
        <vt:lpwstr>https://web2.westlaw.com/find/default.wl?rs=WLW12.04&amp;pbc=9CA1CAC5&amp;vr=2.0&amp;findtype=Y&amp;rp=%2ffind%2fdefault.wl&amp;sv=Split&amp;fn=_top&amp;tf=-1&amp;ordoc=2027321237&amp;mt=Westlaw&amp;serialnum=1981146997&amp;tc=-1</vt:lpwstr>
      </vt:variant>
      <vt:variant>
        <vt:lpwstr/>
      </vt:variant>
      <vt:variant>
        <vt:i4>6291476</vt:i4>
      </vt:variant>
      <vt:variant>
        <vt:i4>1065</vt:i4>
      </vt:variant>
      <vt:variant>
        <vt:i4>0</vt:i4>
      </vt:variant>
      <vt:variant>
        <vt:i4>5</vt:i4>
      </vt:variant>
      <vt:variant>
        <vt:lpwstr>https://web2.westlaw.com/find/default.wl?mt=Westlaw&amp;db=1000546&amp;docname=5USCAS8705&amp;rp=%2ffind%2fdefault.wl&amp;findtype=L&amp;ordoc=2027321237&amp;tc=-1&amp;vr=2.0&amp;fn=_top&amp;sv=Split&amp;tf=-1&amp;pbc=9CA1CAC5&amp;rs=WLW12.04</vt:lpwstr>
      </vt:variant>
      <vt:variant>
        <vt:lpwstr/>
      </vt:variant>
      <vt:variant>
        <vt:i4>4325502</vt:i4>
      </vt:variant>
      <vt:variant>
        <vt:i4>1062</vt:i4>
      </vt:variant>
      <vt:variant>
        <vt:i4>0</vt:i4>
      </vt:variant>
      <vt:variant>
        <vt:i4>5</vt:i4>
      </vt:variant>
      <vt:variant>
        <vt:lpwstr>https://web2.westlaw.com/find/default.wl?mt=Westlaw&amp;db=708&amp;tc=-1&amp;rp=%2ffind%2fdefault.wl&amp;findtype=Y&amp;ordoc=2027321237&amp;serialnum=1981146997&amp;vr=2.0&amp;fn=_top&amp;sv=Split&amp;tf=-1&amp;pbc=9CA1CAC5&amp;rs=WLW12.04</vt:lpwstr>
      </vt:variant>
      <vt:variant>
        <vt:lpwstr/>
      </vt:variant>
      <vt:variant>
        <vt:i4>1310779</vt:i4>
      </vt:variant>
      <vt:variant>
        <vt:i4>1059</vt:i4>
      </vt:variant>
      <vt:variant>
        <vt:i4>0</vt:i4>
      </vt:variant>
      <vt:variant>
        <vt:i4>5</vt:i4>
      </vt:variant>
      <vt:variant>
        <vt:lpwstr>https://web2.westlaw.com/find/default.wl?rs=WLW12.04&amp;pbc=9CA1CAC5&amp;vr=2.0&amp;findtype=Y&amp;rp=%2ffind%2fdefault.wl&amp;sv=Split&amp;fn=_top&amp;tf=-1&amp;ordoc=2027321237&amp;mt=Westlaw&amp;serialnum=1981146997&amp;tc=-1</vt:lpwstr>
      </vt:variant>
      <vt:variant>
        <vt:lpwstr/>
      </vt:variant>
      <vt:variant>
        <vt:i4>1310779</vt:i4>
      </vt:variant>
      <vt:variant>
        <vt:i4>1056</vt:i4>
      </vt:variant>
      <vt:variant>
        <vt:i4>0</vt:i4>
      </vt:variant>
      <vt:variant>
        <vt:i4>5</vt:i4>
      </vt:variant>
      <vt:variant>
        <vt:lpwstr>https://web2.westlaw.com/find/default.wl?rs=WLW12.04&amp;pbc=9CA1CAC5&amp;vr=2.0&amp;findtype=Y&amp;rp=%2ffind%2fdefault.wl&amp;sv=Split&amp;fn=_top&amp;tf=-1&amp;ordoc=2027321237&amp;mt=Westlaw&amp;serialnum=1981146997&amp;tc=-1</vt:lpwstr>
      </vt:variant>
      <vt:variant>
        <vt:lpwstr/>
      </vt:variant>
      <vt:variant>
        <vt:i4>4325502</vt:i4>
      </vt:variant>
      <vt:variant>
        <vt:i4>1053</vt:i4>
      </vt:variant>
      <vt:variant>
        <vt:i4>0</vt:i4>
      </vt:variant>
      <vt:variant>
        <vt:i4>5</vt:i4>
      </vt:variant>
      <vt:variant>
        <vt:lpwstr>https://web2.westlaw.com/find/default.wl?mt=Westlaw&amp;db=708&amp;tc=-1&amp;rp=%2ffind%2fdefault.wl&amp;findtype=Y&amp;ordoc=2027321237&amp;serialnum=1981146997&amp;vr=2.0&amp;fn=_top&amp;sv=Split&amp;tf=-1&amp;pbc=9CA1CAC5&amp;rs=WLW12.04</vt:lpwstr>
      </vt:variant>
      <vt:variant>
        <vt:lpwstr/>
      </vt:variant>
      <vt:variant>
        <vt:i4>4325502</vt:i4>
      </vt:variant>
      <vt:variant>
        <vt:i4>1050</vt:i4>
      </vt:variant>
      <vt:variant>
        <vt:i4>0</vt:i4>
      </vt:variant>
      <vt:variant>
        <vt:i4>5</vt:i4>
      </vt:variant>
      <vt:variant>
        <vt:lpwstr>https://web2.westlaw.com/find/default.wl?mt=Westlaw&amp;db=708&amp;tc=-1&amp;rp=%2ffind%2fdefault.wl&amp;findtype=Y&amp;ordoc=2027321237&amp;serialnum=1981146997&amp;vr=2.0&amp;fn=_top&amp;sv=Split&amp;tf=-1&amp;pbc=9CA1CAC5&amp;rs=WLW12.04</vt:lpwstr>
      </vt:variant>
      <vt:variant>
        <vt:lpwstr/>
      </vt:variant>
      <vt:variant>
        <vt:i4>1310779</vt:i4>
      </vt:variant>
      <vt:variant>
        <vt:i4>1047</vt:i4>
      </vt:variant>
      <vt:variant>
        <vt:i4>0</vt:i4>
      </vt:variant>
      <vt:variant>
        <vt:i4>5</vt:i4>
      </vt:variant>
      <vt:variant>
        <vt:lpwstr>https://web2.westlaw.com/find/default.wl?rs=WLW12.04&amp;pbc=9CA1CAC5&amp;vr=2.0&amp;findtype=Y&amp;rp=%2ffind%2fdefault.wl&amp;sv=Split&amp;fn=_top&amp;tf=-1&amp;ordoc=2027321237&amp;mt=Westlaw&amp;serialnum=1981146997&amp;tc=-1</vt:lpwstr>
      </vt:variant>
      <vt:variant>
        <vt:lpwstr/>
      </vt:variant>
      <vt:variant>
        <vt:i4>4325502</vt:i4>
      </vt:variant>
      <vt:variant>
        <vt:i4>1044</vt:i4>
      </vt:variant>
      <vt:variant>
        <vt:i4>0</vt:i4>
      </vt:variant>
      <vt:variant>
        <vt:i4>5</vt:i4>
      </vt:variant>
      <vt:variant>
        <vt:lpwstr>https://web2.westlaw.com/find/default.wl?mt=Westlaw&amp;db=708&amp;tc=-1&amp;rp=%2ffind%2fdefault.wl&amp;findtype=Y&amp;ordoc=2027321237&amp;serialnum=1981146997&amp;vr=2.0&amp;fn=_top&amp;sv=Split&amp;tf=-1&amp;pbc=9CA1CAC5&amp;rs=WLW12.04</vt:lpwstr>
      </vt:variant>
      <vt:variant>
        <vt:lpwstr/>
      </vt:variant>
      <vt:variant>
        <vt:i4>4325502</vt:i4>
      </vt:variant>
      <vt:variant>
        <vt:i4>1041</vt:i4>
      </vt:variant>
      <vt:variant>
        <vt:i4>0</vt:i4>
      </vt:variant>
      <vt:variant>
        <vt:i4>5</vt:i4>
      </vt:variant>
      <vt:variant>
        <vt:lpwstr>https://web2.westlaw.com/find/default.wl?mt=Westlaw&amp;db=708&amp;tc=-1&amp;rp=%2ffind%2fdefault.wl&amp;findtype=Y&amp;ordoc=2027321237&amp;serialnum=1981146997&amp;vr=2.0&amp;fn=_top&amp;sv=Split&amp;tf=-1&amp;pbc=9CA1CAC5&amp;rs=WLW12.04</vt:lpwstr>
      </vt:variant>
      <vt:variant>
        <vt:lpwstr/>
      </vt:variant>
      <vt:variant>
        <vt:i4>4325502</vt:i4>
      </vt:variant>
      <vt:variant>
        <vt:i4>1038</vt:i4>
      </vt:variant>
      <vt:variant>
        <vt:i4>0</vt:i4>
      </vt:variant>
      <vt:variant>
        <vt:i4>5</vt:i4>
      </vt:variant>
      <vt:variant>
        <vt:lpwstr>https://web2.westlaw.com/find/default.wl?mt=Westlaw&amp;db=708&amp;tc=-1&amp;rp=%2ffind%2fdefault.wl&amp;findtype=Y&amp;ordoc=2027321237&amp;serialnum=1981146997&amp;vr=2.0&amp;fn=_top&amp;sv=Split&amp;tf=-1&amp;pbc=9CA1CAC5&amp;rs=WLW12.04</vt:lpwstr>
      </vt:variant>
      <vt:variant>
        <vt:lpwstr/>
      </vt:variant>
      <vt:variant>
        <vt:i4>1310779</vt:i4>
      </vt:variant>
      <vt:variant>
        <vt:i4>1035</vt:i4>
      </vt:variant>
      <vt:variant>
        <vt:i4>0</vt:i4>
      </vt:variant>
      <vt:variant>
        <vt:i4>5</vt:i4>
      </vt:variant>
      <vt:variant>
        <vt:lpwstr>https://web2.westlaw.com/find/default.wl?rs=WLW12.04&amp;pbc=9CA1CAC5&amp;vr=2.0&amp;findtype=Y&amp;rp=%2ffind%2fdefault.wl&amp;sv=Split&amp;fn=_top&amp;tf=-1&amp;ordoc=2027321237&amp;mt=Westlaw&amp;serialnum=1981146997&amp;tc=-1</vt:lpwstr>
      </vt:variant>
      <vt:variant>
        <vt:lpwstr/>
      </vt:variant>
      <vt:variant>
        <vt:i4>4325502</vt:i4>
      </vt:variant>
      <vt:variant>
        <vt:i4>1032</vt:i4>
      </vt:variant>
      <vt:variant>
        <vt:i4>0</vt:i4>
      </vt:variant>
      <vt:variant>
        <vt:i4>5</vt:i4>
      </vt:variant>
      <vt:variant>
        <vt:lpwstr>https://web2.westlaw.com/find/default.wl?mt=Westlaw&amp;db=708&amp;tc=-1&amp;rp=%2ffind%2fdefault.wl&amp;findtype=Y&amp;ordoc=2027321237&amp;serialnum=1981146997&amp;vr=2.0&amp;fn=_top&amp;sv=Split&amp;tf=-1&amp;pbc=9CA1CAC5&amp;rs=WLW12.04</vt:lpwstr>
      </vt:variant>
      <vt:variant>
        <vt:lpwstr/>
      </vt:variant>
      <vt:variant>
        <vt:i4>1310779</vt:i4>
      </vt:variant>
      <vt:variant>
        <vt:i4>1029</vt:i4>
      </vt:variant>
      <vt:variant>
        <vt:i4>0</vt:i4>
      </vt:variant>
      <vt:variant>
        <vt:i4>5</vt:i4>
      </vt:variant>
      <vt:variant>
        <vt:lpwstr>https://web2.westlaw.com/find/default.wl?rs=WLW12.04&amp;pbc=9CA1CAC5&amp;vr=2.0&amp;findtype=Y&amp;rp=%2ffind%2fdefault.wl&amp;sv=Split&amp;fn=_top&amp;tf=-1&amp;ordoc=2027321237&amp;mt=Westlaw&amp;serialnum=1981146997&amp;tc=-1</vt:lpwstr>
      </vt:variant>
      <vt:variant>
        <vt:lpwstr/>
      </vt:variant>
      <vt:variant>
        <vt:i4>4325502</vt:i4>
      </vt:variant>
      <vt:variant>
        <vt:i4>1026</vt:i4>
      </vt:variant>
      <vt:variant>
        <vt:i4>0</vt:i4>
      </vt:variant>
      <vt:variant>
        <vt:i4>5</vt:i4>
      </vt:variant>
      <vt:variant>
        <vt:lpwstr>https://web2.westlaw.com/find/default.wl?mt=Westlaw&amp;db=708&amp;tc=-1&amp;rp=%2ffind%2fdefault.wl&amp;findtype=Y&amp;ordoc=2027321237&amp;serialnum=1981146997&amp;vr=2.0&amp;fn=_top&amp;sv=Split&amp;tf=-1&amp;pbc=9CA1CAC5&amp;rs=WLW12.04</vt:lpwstr>
      </vt:variant>
      <vt:variant>
        <vt:lpwstr/>
      </vt:variant>
      <vt:variant>
        <vt:i4>6815838</vt:i4>
      </vt:variant>
      <vt:variant>
        <vt:i4>1023</vt:i4>
      </vt:variant>
      <vt:variant>
        <vt:i4>0</vt:i4>
      </vt:variant>
      <vt:variant>
        <vt:i4>5</vt:i4>
      </vt:variant>
      <vt:variant>
        <vt:lpwstr>https://web2.westlaw.com/find/default.wl?mt=Westlaw&amp;db=4644&amp;tc=-1&amp;rp=%2ffind%2fdefault.wl&amp;findtype=Y&amp;ordoc=2027321237&amp;serialnum=2006937917&amp;vr=2.0&amp;fn=_top&amp;sv=Split&amp;tf=-1&amp;pbc=9CA1CAC5&amp;rs=WLW12.04</vt:lpwstr>
      </vt:variant>
      <vt:variant>
        <vt:lpwstr/>
      </vt:variant>
      <vt:variant>
        <vt:i4>4587638</vt:i4>
      </vt:variant>
      <vt:variant>
        <vt:i4>1020</vt:i4>
      </vt:variant>
      <vt:variant>
        <vt:i4>0</vt:i4>
      </vt:variant>
      <vt:variant>
        <vt:i4>5</vt:i4>
      </vt:variant>
      <vt:variant>
        <vt:lpwstr>https://web2.westlaw.com/find/default.wl?mt=Westlaw&amp;db=162&amp;tc=-1&amp;rp=%2ffind%2fdefault.wl&amp;findtype=Y&amp;ordoc=2027321237&amp;serialnum=1993144725&amp;vr=2.0&amp;fn=_top&amp;sv=Split&amp;tf=-1&amp;pbc=9CA1CAC5&amp;rs=WLW12.04</vt:lpwstr>
      </vt:variant>
      <vt:variant>
        <vt:lpwstr/>
      </vt:variant>
      <vt:variant>
        <vt:i4>4325499</vt:i4>
      </vt:variant>
      <vt:variant>
        <vt:i4>1017</vt:i4>
      </vt:variant>
      <vt:variant>
        <vt:i4>0</vt:i4>
      </vt:variant>
      <vt:variant>
        <vt:i4>5</vt:i4>
      </vt:variant>
      <vt:variant>
        <vt:lpwstr>https://web2.westlaw.com/find/default.wl?mt=Westlaw&amp;db=162&amp;tc=-1&amp;rp=%2ffind%2fdefault.wl&amp;findtype=Y&amp;ordoc=2027321237&amp;serialnum=1995226778&amp;vr=2.0&amp;fn=_top&amp;sv=Split&amp;tf=-1&amp;pbc=9CA1CAC5&amp;rs=WLW12.04</vt:lpwstr>
      </vt:variant>
      <vt:variant>
        <vt:lpwstr/>
      </vt:variant>
      <vt:variant>
        <vt:i4>4784241</vt:i4>
      </vt:variant>
      <vt:variant>
        <vt:i4>1014</vt:i4>
      </vt:variant>
      <vt:variant>
        <vt:i4>0</vt:i4>
      </vt:variant>
      <vt:variant>
        <vt:i4>5</vt:i4>
      </vt:variant>
      <vt:variant>
        <vt:lpwstr>https://web2.westlaw.com/find/default.wl?mt=Westlaw&amp;db=713&amp;tc=-1&amp;rp=%2ffind%2fdefault.wl&amp;findtype=Y&amp;ordoc=2027321237&amp;serialnum=1991208256&amp;vr=2.0&amp;fn=_top&amp;sv=Split&amp;tf=-1&amp;pbc=9CA1CAC5&amp;rs=WLW12.04</vt:lpwstr>
      </vt:variant>
      <vt:variant>
        <vt:lpwstr/>
      </vt:variant>
      <vt:variant>
        <vt:i4>4915315</vt:i4>
      </vt:variant>
      <vt:variant>
        <vt:i4>1011</vt:i4>
      </vt:variant>
      <vt:variant>
        <vt:i4>0</vt:i4>
      </vt:variant>
      <vt:variant>
        <vt:i4>5</vt:i4>
      </vt:variant>
      <vt:variant>
        <vt:lpwstr>https://web2.westlaw.com/find/default.wl?mt=Westlaw&amp;db=735&amp;tc=-1&amp;rp=%2ffind%2fdefault.wl&amp;findtype=Y&amp;ordoc=2027321237&amp;serialnum=2002735439&amp;vr=2.0&amp;fn=_top&amp;sv=Split&amp;tf=-1&amp;pbc=9CA1CAC5&amp;rs=WLW12.04</vt:lpwstr>
      </vt:variant>
      <vt:variant>
        <vt:lpwstr/>
      </vt:variant>
      <vt:variant>
        <vt:i4>4980853</vt:i4>
      </vt:variant>
      <vt:variant>
        <vt:i4>1008</vt:i4>
      </vt:variant>
      <vt:variant>
        <vt:i4>0</vt:i4>
      </vt:variant>
      <vt:variant>
        <vt:i4>5</vt:i4>
      </vt:variant>
      <vt:variant>
        <vt:lpwstr>https://web2.westlaw.com/find/default.wl?mt=Westlaw&amp;db=578&amp;tc=-1&amp;rp=%2ffind%2fdefault.wl&amp;findtype=Y&amp;ordoc=2027321237&amp;serialnum=1990057547&amp;vr=2.0&amp;fn=_top&amp;sv=Split&amp;tf=-1&amp;pbc=9CA1CAC5&amp;rs=WLW12.04</vt:lpwstr>
      </vt:variant>
      <vt:variant>
        <vt:lpwstr/>
      </vt:variant>
      <vt:variant>
        <vt:i4>3407972</vt:i4>
      </vt:variant>
      <vt:variant>
        <vt:i4>1005</vt:i4>
      </vt:variant>
      <vt:variant>
        <vt:i4>0</vt:i4>
      </vt:variant>
      <vt:variant>
        <vt:i4>5</vt:i4>
      </vt:variant>
      <vt:variant>
        <vt:lpwstr/>
      </vt:variant>
      <vt:variant>
        <vt:lpwstr>F00552027321237</vt:lpwstr>
      </vt:variant>
      <vt:variant>
        <vt:i4>3407968</vt:i4>
      </vt:variant>
      <vt:variant>
        <vt:i4>1002</vt:i4>
      </vt:variant>
      <vt:variant>
        <vt:i4>0</vt:i4>
      </vt:variant>
      <vt:variant>
        <vt:i4>5</vt:i4>
      </vt:variant>
      <vt:variant>
        <vt:lpwstr/>
      </vt:variant>
      <vt:variant>
        <vt:lpwstr>B00552027321237</vt:lpwstr>
      </vt:variant>
      <vt:variant>
        <vt:i4>4456567</vt:i4>
      </vt:variant>
      <vt:variant>
        <vt:i4>999</vt:i4>
      </vt:variant>
      <vt:variant>
        <vt:i4>0</vt:i4>
      </vt:variant>
      <vt:variant>
        <vt:i4>5</vt:i4>
      </vt:variant>
      <vt:variant>
        <vt:lpwstr>https://web2.westlaw.com/find/default.wl?mt=Westlaw&amp;db=350&amp;tc=-1&amp;rp=%2ffind%2fdefault.wl&amp;findtype=Y&amp;ordoc=2027321237&amp;serialnum=1992192965&amp;vr=2.0&amp;fn=_top&amp;sv=Split&amp;tf=-1&amp;pbc=9CA1CAC5&amp;rs=WLW12.04</vt:lpwstr>
      </vt:variant>
      <vt:variant>
        <vt:lpwstr/>
      </vt:variant>
      <vt:variant>
        <vt:i4>4456560</vt:i4>
      </vt:variant>
      <vt:variant>
        <vt:i4>996</vt:i4>
      </vt:variant>
      <vt:variant>
        <vt:i4>0</vt:i4>
      </vt:variant>
      <vt:variant>
        <vt:i4>5</vt:i4>
      </vt:variant>
      <vt:variant>
        <vt:lpwstr>https://web2.westlaw.com/find/default.wl?mt=Westlaw&amp;db=350&amp;tc=-1&amp;rp=%2ffind%2fdefault.wl&amp;findtype=Y&amp;ordoc=2027321237&amp;serialnum=1986113067&amp;vr=2.0&amp;fn=_top&amp;sv=Split&amp;tf=-1&amp;pbc=9CA1CAC5&amp;rs=WLW12.04</vt:lpwstr>
      </vt:variant>
      <vt:variant>
        <vt:lpwstr/>
      </vt:variant>
      <vt:variant>
        <vt:i4>4391037</vt:i4>
      </vt:variant>
      <vt:variant>
        <vt:i4>993</vt:i4>
      </vt:variant>
      <vt:variant>
        <vt:i4>0</vt:i4>
      </vt:variant>
      <vt:variant>
        <vt:i4>5</vt:i4>
      </vt:variant>
      <vt:variant>
        <vt:lpwstr>https://web2.westlaw.com/find/default.wl?mt=Westlaw&amp;db=350&amp;tc=-1&amp;rp=%2ffind%2fdefault.wl&amp;findtype=Y&amp;ordoc=2027321237&amp;serialnum=1988027146&amp;vr=2.0&amp;fn=_top&amp;sv=Split&amp;tf=-1&amp;pbc=9CA1CAC5&amp;rs=WLW12.04</vt:lpwstr>
      </vt:variant>
      <vt:variant>
        <vt:lpwstr/>
      </vt:variant>
      <vt:variant>
        <vt:i4>4194421</vt:i4>
      </vt:variant>
      <vt:variant>
        <vt:i4>990</vt:i4>
      </vt:variant>
      <vt:variant>
        <vt:i4>0</vt:i4>
      </vt:variant>
      <vt:variant>
        <vt:i4>5</vt:i4>
      </vt:variant>
      <vt:variant>
        <vt:lpwstr>https://web2.westlaw.com/find/default.wl?mt=Westlaw&amp;db=350&amp;tc=-1&amp;rp=%2ffind%2fdefault.wl&amp;findtype=Y&amp;ordoc=2027321237&amp;serialnum=1989118598&amp;vr=2.0&amp;fn=_top&amp;sv=Split&amp;tf=-1&amp;pbc=9CA1CAC5&amp;rs=WLW12.04</vt:lpwstr>
      </vt:variant>
      <vt:variant>
        <vt:lpwstr/>
      </vt:variant>
      <vt:variant>
        <vt:i4>2359366</vt:i4>
      </vt:variant>
      <vt:variant>
        <vt:i4>987</vt:i4>
      </vt:variant>
      <vt:variant>
        <vt:i4>0</vt:i4>
      </vt:variant>
      <vt:variant>
        <vt:i4>5</vt:i4>
      </vt:variant>
      <vt:variant>
        <vt:lpwstr>https://web2.westlaw.com/find/default.wl?mt=Westlaw&amp;db=350&amp;tc=-1&amp;rp=%2ffind%2fdefault.wl&amp;findtype=Y&amp;ordoc=2027321237&amp;serialnum=1992192965&amp;vr=2.0&amp;fn=_top&amp;sv=Split&amp;tf=-1&amp;referencepositiontype=S&amp;pbc=9CA1CAC5&amp;referenceposition=578&amp;rs=WLW12.04</vt:lpwstr>
      </vt:variant>
      <vt:variant>
        <vt:lpwstr/>
      </vt:variant>
      <vt:variant>
        <vt:i4>4915325</vt:i4>
      </vt:variant>
      <vt:variant>
        <vt:i4>984</vt:i4>
      </vt:variant>
      <vt:variant>
        <vt:i4>0</vt:i4>
      </vt:variant>
      <vt:variant>
        <vt:i4>5</vt:i4>
      </vt:variant>
      <vt:variant>
        <vt:lpwstr>https://web2.westlaw.com/find/default.wl?mt=Westlaw&amp;db=506&amp;tc=-1&amp;rp=%2ffind%2fdefault.wl&amp;findtype=Y&amp;ordoc=2027321237&amp;serialnum=1996208806&amp;vr=2.0&amp;fn=_top&amp;sv=Split&amp;tf=-1&amp;pbc=9CA1CAC5&amp;rs=WLW12.04</vt:lpwstr>
      </vt:variant>
      <vt:variant>
        <vt:lpwstr/>
      </vt:variant>
      <vt:variant>
        <vt:i4>4522103</vt:i4>
      </vt:variant>
      <vt:variant>
        <vt:i4>981</vt:i4>
      </vt:variant>
      <vt:variant>
        <vt:i4>0</vt:i4>
      </vt:variant>
      <vt:variant>
        <vt:i4>5</vt:i4>
      </vt:variant>
      <vt:variant>
        <vt:lpwstr>https://web2.westlaw.com/find/default.wl?mt=Westlaw&amp;db=506&amp;tc=-1&amp;rp=%2ffind%2fdefault.wl&amp;findtype=Y&amp;ordoc=2027321237&amp;serialnum=2006861378&amp;vr=2.0&amp;fn=_top&amp;sv=Split&amp;tf=-1&amp;pbc=9CA1CAC5&amp;rs=WLW12.04</vt:lpwstr>
      </vt:variant>
      <vt:variant>
        <vt:lpwstr/>
      </vt:variant>
      <vt:variant>
        <vt:i4>3473509</vt:i4>
      </vt:variant>
      <vt:variant>
        <vt:i4>978</vt:i4>
      </vt:variant>
      <vt:variant>
        <vt:i4>0</vt:i4>
      </vt:variant>
      <vt:variant>
        <vt:i4>5</vt:i4>
      </vt:variant>
      <vt:variant>
        <vt:lpwstr/>
      </vt:variant>
      <vt:variant>
        <vt:lpwstr>F00442027321237</vt:lpwstr>
      </vt:variant>
      <vt:variant>
        <vt:i4>3473505</vt:i4>
      </vt:variant>
      <vt:variant>
        <vt:i4>975</vt:i4>
      </vt:variant>
      <vt:variant>
        <vt:i4>0</vt:i4>
      </vt:variant>
      <vt:variant>
        <vt:i4>5</vt:i4>
      </vt:variant>
      <vt:variant>
        <vt:lpwstr/>
      </vt:variant>
      <vt:variant>
        <vt:lpwstr>B00442027321237</vt:lpwstr>
      </vt:variant>
      <vt:variant>
        <vt:i4>4325502</vt:i4>
      </vt:variant>
      <vt:variant>
        <vt:i4>972</vt:i4>
      </vt:variant>
      <vt:variant>
        <vt:i4>0</vt:i4>
      </vt:variant>
      <vt:variant>
        <vt:i4>5</vt:i4>
      </vt:variant>
      <vt:variant>
        <vt:lpwstr>https://web2.westlaw.com/find/default.wl?mt=Westlaw&amp;db=708&amp;tc=-1&amp;rp=%2ffind%2fdefault.wl&amp;findtype=Y&amp;ordoc=2027321237&amp;serialnum=1981146997&amp;vr=2.0&amp;fn=_top&amp;sv=Split&amp;tf=-1&amp;pbc=9CA1CAC5&amp;rs=WLW12.04</vt:lpwstr>
      </vt:variant>
      <vt:variant>
        <vt:lpwstr/>
      </vt:variant>
      <vt:variant>
        <vt:i4>7340061</vt:i4>
      </vt:variant>
      <vt:variant>
        <vt:i4>969</vt:i4>
      </vt:variant>
      <vt:variant>
        <vt:i4>0</vt:i4>
      </vt:variant>
      <vt:variant>
        <vt:i4>5</vt:i4>
      </vt:variant>
      <vt:variant>
        <vt:lpwstr>https://web2.westlaw.com/find/default.wl?mt=Westlaw&amp;db=506&amp;tc=-1&amp;rp=%2ffind%2fdefault.wl&amp;findtype=Y&amp;ordoc=2028293388&amp;serialnum=2027659353&amp;vr=2.0&amp;fn=_top&amp;sv=Split&amp;tf=-1&amp;referencepositiontype=S&amp;pbc=B7030AD4&amp;referenceposition=625&amp;rs=WLW13.04</vt:lpwstr>
      </vt:variant>
      <vt:variant>
        <vt:lpwstr/>
      </vt:variant>
      <vt:variant>
        <vt:i4>7340063</vt:i4>
      </vt:variant>
      <vt:variant>
        <vt:i4>966</vt:i4>
      </vt:variant>
      <vt:variant>
        <vt:i4>0</vt:i4>
      </vt:variant>
      <vt:variant>
        <vt:i4>5</vt:i4>
      </vt:variant>
      <vt:variant>
        <vt:lpwstr>https://web2.westlaw.com/find/default.wl?mt=Westlaw&amp;db=1000546&amp;docname=26USCAS408&amp;rp=%2ffind%2fdefault.wl&amp;findtype=L&amp;ordoc=2028293388&amp;tc=-1&amp;vr=2.0&amp;fn=_top&amp;sv=Split&amp;tf=-1&amp;referencepositiontype=T&amp;pbc=B7030AD4&amp;referenceposition=SP%3bac3900009ce97&amp;rs=WLW13.04</vt:lpwstr>
      </vt:variant>
      <vt:variant>
        <vt:lpwstr/>
      </vt:variant>
      <vt:variant>
        <vt:i4>2162705</vt:i4>
      </vt:variant>
      <vt:variant>
        <vt:i4>963</vt:i4>
      </vt:variant>
      <vt:variant>
        <vt:i4>0</vt:i4>
      </vt:variant>
      <vt:variant>
        <vt:i4>5</vt:i4>
      </vt:variant>
      <vt:variant>
        <vt:lpwstr>https://web2.westlaw.com/find/default.wl?mt=Westlaw&amp;db=1000546&amp;docname=26USCAS408&amp;rp=%2ffind%2fdefault.wl&amp;findtype=L&amp;ordoc=2028293388&amp;tc=-1&amp;vr=2.0&amp;fn=_top&amp;sv=Split&amp;tf=-1&amp;referencepositiontype=T&amp;pbc=B7030AD4&amp;referenceposition=SP%3bece200005b3b1&amp;rs=WLW13.04</vt:lpwstr>
      </vt:variant>
      <vt:variant>
        <vt:lpwstr/>
      </vt:variant>
      <vt:variant>
        <vt:i4>2293834</vt:i4>
      </vt:variant>
      <vt:variant>
        <vt:i4>960</vt:i4>
      </vt:variant>
      <vt:variant>
        <vt:i4>0</vt:i4>
      </vt:variant>
      <vt:variant>
        <vt:i4>5</vt:i4>
      </vt:variant>
      <vt:variant>
        <vt:lpwstr>https://web2.westlaw.com/find/default.wl?mt=Westlaw&amp;db=1000546&amp;docname=26USCAS408&amp;rp=%2ffind%2fdefault.wl&amp;findtype=L&amp;ordoc=2028293388&amp;tc=-1&amp;vr=2.0&amp;fn=_top&amp;sv=Split&amp;tf=-1&amp;referencepositiontype=T&amp;pbc=B7030AD4&amp;referenceposition=SP%3b17df000040924&amp;rs=WLW13.04</vt:lpwstr>
      </vt:variant>
      <vt:variant>
        <vt:lpwstr/>
      </vt:variant>
      <vt:variant>
        <vt:i4>327689</vt:i4>
      </vt:variant>
      <vt:variant>
        <vt:i4>957</vt:i4>
      </vt:variant>
      <vt:variant>
        <vt:i4>0</vt:i4>
      </vt:variant>
      <vt:variant>
        <vt:i4>5</vt:i4>
      </vt:variant>
      <vt:variant>
        <vt:lpwstr>http://caselaw.findlaw.com/us-2nd-circuit/1603573.html</vt:lpwstr>
      </vt:variant>
      <vt:variant>
        <vt:lpwstr>footnote_6#footnote_6</vt:lpwstr>
      </vt:variant>
      <vt:variant>
        <vt:i4>131081</vt:i4>
      </vt:variant>
      <vt:variant>
        <vt:i4>954</vt:i4>
      </vt:variant>
      <vt:variant>
        <vt:i4>0</vt:i4>
      </vt:variant>
      <vt:variant>
        <vt:i4>5</vt:i4>
      </vt:variant>
      <vt:variant>
        <vt:lpwstr>http://caselaw.findlaw.com/us-2nd-circuit/1603573.html</vt:lpwstr>
      </vt:variant>
      <vt:variant>
        <vt:lpwstr>footnote_1#footnote_1</vt:lpwstr>
      </vt:variant>
      <vt:variant>
        <vt:i4>1769531</vt:i4>
      </vt:variant>
      <vt:variant>
        <vt:i4>951</vt:i4>
      </vt:variant>
      <vt:variant>
        <vt:i4>0</vt:i4>
      </vt:variant>
      <vt:variant>
        <vt:i4>5</vt:i4>
      </vt:variant>
      <vt:variant>
        <vt:lpwstr>https://web2.westlaw.com/find/default.wl?tf=-1&amp;rs=WLW10.05&amp;referencepositiontype=T&amp;referenceposition=SP%3b9ade0000743c1&amp;fn=_top&amp;sv=Split&amp;docname=26USCAS170&amp;tc=-1&amp;pbc=5EDE6B4C&amp;ordoc=2021840671&amp;findtype=L&amp;db=1012823&amp;vr=2.0&amp;rp=%2ffind%2fdefault.wl&amp;mt=Westlaw</vt:lpwstr>
      </vt:variant>
      <vt:variant>
        <vt:lpwstr/>
      </vt:variant>
      <vt:variant>
        <vt:i4>262206</vt:i4>
      </vt:variant>
      <vt:variant>
        <vt:i4>948</vt:i4>
      </vt:variant>
      <vt:variant>
        <vt:i4>0</vt:i4>
      </vt:variant>
      <vt:variant>
        <vt:i4>5</vt:i4>
      </vt:variant>
      <vt:variant>
        <vt:lpwstr>https://web2.westlaw.com/find/default.wl?tf=-1&amp;rs=WLW10.05&amp;referencepositiontype=T&amp;referenceposition=SP%3b08320000787e3&amp;fn=_top&amp;sv=Split&amp;docname=26CFRS1.170A-14&amp;tc=-1&amp;pbc=5EDE6B4C&amp;ordoc=2021840671&amp;findtype=L&amp;db=1016188&amp;vr=2.0&amp;rp=%2ffind%2fdefault.wl&amp;mt=Westlaw</vt:lpwstr>
      </vt:variant>
      <vt:variant>
        <vt:lpwstr/>
      </vt:variant>
      <vt:variant>
        <vt:i4>196659</vt:i4>
      </vt:variant>
      <vt:variant>
        <vt:i4>945</vt:i4>
      </vt:variant>
      <vt:variant>
        <vt:i4>0</vt:i4>
      </vt:variant>
      <vt:variant>
        <vt:i4>5</vt:i4>
      </vt:variant>
      <vt:variant>
        <vt:lpwstr>https://web2.westlaw.com/find/default.wl?tf=-1&amp;rs=WLW10.05&amp;referencepositiontype=T&amp;referenceposition=SP%3b169e0000a7a45&amp;fn=_top&amp;sv=Split&amp;docname=26CFRS1.170A-14&amp;tc=-1&amp;pbc=5EDE6B4C&amp;ordoc=2021840671&amp;findtype=L&amp;db=1016188&amp;vr=2.0&amp;rp=%2ffind%2fdefault.wl&amp;mt=Westlaw</vt:lpwstr>
      </vt:variant>
      <vt:variant>
        <vt:lpwstr/>
      </vt:variant>
      <vt:variant>
        <vt:i4>196659</vt:i4>
      </vt:variant>
      <vt:variant>
        <vt:i4>942</vt:i4>
      </vt:variant>
      <vt:variant>
        <vt:i4>0</vt:i4>
      </vt:variant>
      <vt:variant>
        <vt:i4>5</vt:i4>
      </vt:variant>
      <vt:variant>
        <vt:lpwstr>https://web2.westlaw.com/find/default.wl?tf=-1&amp;rs=WLW10.05&amp;referencepositiontype=T&amp;referenceposition=SP%3b169e0000a7a45&amp;fn=_top&amp;sv=Split&amp;docname=26CFRS1.170A-14&amp;tc=-1&amp;pbc=5EDE6B4C&amp;ordoc=2021840671&amp;findtype=L&amp;db=1016188&amp;vr=2.0&amp;rp=%2ffind%2fdefault.wl&amp;mt=Westlaw</vt:lpwstr>
      </vt:variant>
      <vt:variant>
        <vt:lpwstr/>
      </vt:variant>
      <vt:variant>
        <vt:i4>458800</vt:i4>
      </vt:variant>
      <vt:variant>
        <vt:i4>939</vt:i4>
      </vt:variant>
      <vt:variant>
        <vt:i4>0</vt:i4>
      </vt:variant>
      <vt:variant>
        <vt:i4>5</vt:i4>
      </vt:variant>
      <vt:variant>
        <vt:lpwstr>https://web2.westlaw.com/find/default.wl?tf=-1&amp;rs=WLW10.05&amp;referencepositiontype=T&amp;referenceposition=SP%3b8b3b0000958a4&amp;fn=_top&amp;sv=Split&amp;docname=26CFRS1.170A-14&amp;tc=-1&amp;pbc=5EDE6B4C&amp;ordoc=2021840671&amp;findtype=L&amp;db=1016188&amp;vr=2.0&amp;rp=%2ffind%2fdefault.wl&amp;mt=Westlaw</vt:lpwstr>
      </vt:variant>
      <vt:variant>
        <vt:lpwstr/>
      </vt:variant>
      <vt:variant>
        <vt:i4>4980845</vt:i4>
      </vt:variant>
      <vt:variant>
        <vt:i4>936</vt:i4>
      </vt:variant>
      <vt:variant>
        <vt:i4>0</vt:i4>
      </vt:variant>
      <vt:variant>
        <vt:i4>5</vt:i4>
      </vt:variant>
      <vt:variant>
        <vt:lpwstr>https://web2.westlaw.com/find/default.wl?tf=-1&amp;rs=WLW10.05&amp;referencepositiontype=T&amp;referenceposition=SP%3bf383000077b35&amp;fn=_top&amp;sv=Split&amp;docname=26USCAS170&amp;tc=-1&amp;pbc=5EDE6B4C&amp;ordoc=2021840671&amp;findtype=L&amp;db=1012823&amp;vr=2.0&amp;rp=%2ffind%2fdefault.wl&amp;mt=Westlaw</vt:lpwstr>
      </vt:variant>
      <vt:variant>
        <vt:lpwstr/>
      </vt:variant>
      <vt:variant>
        <vt:i4>6094908</vt:i4>
      </vt:variant>
      <vt:variant>
        <vt:i4>933</vt:i4>
      </vt:variant>
      <vt:variant>
        <vt:i4>0</vt:i4>
      </vt:variant>
      <vt:variant>
        <vt:i4>5</vt:i4>
      </vt:variant>
      <vt:variant>
        <vt:lpwstr>https://web2.westlaw.com/find/default.wl?tf=-1&amp;rs=WLW10.05&amp;referencepositiontype=T&amp;referenceposition=SP%3bc0ae00006c482&amp;fn=_top&amp;sv=Split&amp;docname=26CFRS1.170A-14&amp;tc=-1&amp;pbc=5EDE6B4C&amp;ordoc=2021840671&amp;findtype=L&amp;db=1016188&amp;vr=2.0&amp;rp=%2ffind%2fdefault.wl&amp;mt=Westlaw</vt:lpwstr>
      </vt:variant>
      <vt:variant>
        <vt:lpwstr/>
      </vt:variant>
      <vt:variant>
        <vt:i4>1769531</vt:i4>
      </vt:variant>
      <vt:variant>
        <vt:i4>930</vt:i4>
      </vt:variant>
      <vt:variant>
        <vt:i4>0</vt:i4>
      </vt:variant>
      <vt:variant>
        <vt:i4>5</vt:i4>
      </vt:variant>
      <vt:variant>
        <vt:lpwstr>https://web2.westlaw.com/find/default.wl?tf=-1&amp;rs=WLW10.05&amp;referencepositiontype=T&amp;referenceposition=SP%3b9ade0000743c1&amp;fn=_top&amp;sv=Split&amp;docname=26USCAS170&amp;tc=-1&amp;pbc=5EDE6B4C&amp;ordoc=2021840671&amp;findtype=L&amp;db=1012823&amp;vr=2.0&amp;rp=%2ffind%2fdefault.wl&amp;mt=Westlaw</vt:lpwstr>
      </vt:variant>
      <vt:variant>
        <vt:lpwstr/>
      </vt:variant>
      <vt:variant>
        <vt:i4>1376318</vt:i4>
      </vt:variant>
      <vt:variant>
        <vt:i4>923</vt:i4>
      </vt:variant>
      <vt:variant>
        <vt:i4>0</vt:i4>
      </vt:variant>
      <vt:variant>
        <vt:i4>5</vt:i4>
      </vt:variant>
      <vt:variant>
        <vt:lpwstr/>
      </vt:variant>
      <vt:variant>
        <vt:lpwstr>_Toc367439994</vt:lpwstr>
      </vt:variant>
      <vt:variant>
        <vt:i4>1376318</vt:i4>
      </vt:variant>
      <vt:variant>
        <vt:i4>917</vt:i4>
      </vt:variant>
      <vt:variant>
        <vt:i4>0</vt:i4>
      </vt:variant>
      <vt:variant>
        <vt:i4>5</vt:i4>
      </vt:variant>
      <vt:variant>
        <vt:lpwstr/>
      </vt:variant>
      <vt:variant>
        <vt:lpwstr>_Toc367439993</vt:lpwstr>
      </vt:variant>
      <vt:variant>
        <vt:i4>1376318</vt:i4>
      </vt:variant>
      <vt:variant>
        <vt:i4>911</vt:i4>
      </vt:variant>
      <vt:variant>
        <vt:i4>0</vt:i4>
      </vt:variant>
      <vt:variant>
        <vt:i4>5</vt:i4>
      </vt:variant>
      <vt:variant>
        <vt:lpwstr/>
      </vt:variant>
      <vt:variant>
        <vt:lpwstr>_Toc367439992</vt:lpwstr>
      </vt:variant>
      <vt:variant>
        <vt:i4>1376318</vt:i4>
      </vt:variant>
      <vt:variant>
        <vt:i4>905</vt:i4>
      </vt:variant>
      <vt:variant>
        <vt:i4>0</vt:i4>
      </vt:variant>
      <vt:variant>
        <vt:i4>5</vt:i4>
      </vt:variant>
      <vt:variant>
        <vt:lpwstr/>
      </vt:variant>
      <vt:variant>
        <vt:lpwstr>_Toc367439991</vt:lpwstr>
      </vt:variant>
      <vt:variant>
        <vt:i4>1376318</vt:i4>
      </vt:variant>
      <vt:variant>
        <vt:i4>899</vt:i4>
      </vt:variant>
      <vt:variant>
        <vt:i4>0</vt:i4>
      </vt:variant>
      <vt:variant>
        <vt:i4>5</vt:i4>
      </vt:variant>
      <vt:variant>
        <vt:lpwstr/>
      </vt:variant>
      <vt:variant>
        <vt:lpwstr>_Toc367439990</vt:lpwstr>
      </vt:variant>
      <vt:variant>
        <vt:i4>1310782</vt:i4>
      </vt:variant>
      <vt:variant>
        <vt:i4>893</vt:i4>
      </vt:variant>
      <vt:variant>
        <vt:i4>0</vt:i4>
      </vt:variant>
      <vt:variant>
        <vt:i4>5</vt:i4>
      </vt:variant>
      <vt:variant>
        <vt:lpwstr/>
      </vt:variant>
      <vt:variant>
        <vt:lpwstr>_Toc367439989</vt:lpwstr>
      </vt:variant>
      <vt:variant>
        <vt:i4>1310782</vt:i4>
      </vt:variant>
      <vt:variant>
        <vt:i4>887</vt:i4>
      </vt:variant>
      <vt:variant>
        <vt:i4>0</vt:i4>
      </vt:variant>
      <vt:variant>
        <vt:i4>5</vt:i4>
      </vt:variant>
      <vt:variant>
        <vt:lpwstr/>
      </vt:variant>
      <vt:variant>
        <vt:lpwstr>_Toc367439988</vt:lpwstr>
      </vt:variant>
      <vt:variant>
        <vt:i4>1310782</vt:i4>
      </vt:variant>
      <vt:variant>
        <vt:i4>881</vt:i4>
      </vt:variant>
      <vt:variant>
        <vt:i4>0</vt:i4>
      </vt:variant>
      <vt:variant>
        <vt:i4>5</vt:i4>
      </vt:variant>
      <vt:variant>
        <vt:lpwstr/>
      </vt:variant>
      <vt:variant>
        <vt:lpwstr>_Toc367439987</vt:lpwstr>
      </vt:variant>
      <vt:variant>
        <vt:i4>1310782</vt:i4>
      </vt:variant>
      <vt:variant>
        <vt:i4>875</vt:i4>
      </vt:variant>
      <vt:variant>
        <vt:i4>0</vt:i4>
      </vt:variant>
      <vt:variant>
        <vt:i4>5</vt:i4>
      </vt:variant>
      <vt:variant>
        <vt:lpwstr/>
      </vt:variant>
      <vt:variant>
        <vt:lpwstr>_Toc367439986</vt:lpwstr>
      </vt:variant>
      <vt:variant>
        <vt:i4>1310782</vt:i4>
      </vt:variant>
      <vt:variant>
        <vt:i4>869</vt:i4>
      </vt:variant>
      <vt:variant>
        <vt:i4>0</vt:i4>
      </vt:variant>
      <vt:variant>
        <vt:i4>5</vt:i4>
      </vt:variant>
      <vt:variant>
        <vt:lpwstr/>
      </vt:variant>
      <vt:variant>
        <vt:lpwstr>_Toc367439985</vt:lpwstr>
      </vt:variant>
      <vt:variant>
        <vt:i4>1310782</vt:i4>
      </vt:variant>
      <vt:variant>
        <vt:i4>863</vt:i4>
      </vt:variant>
      <vt:variant>
        <vt:i4>0</vt:i4>
      </vt:variant>
      <vt:variant>
        <vt:i4>5</vt:i4>
      </vt:variant>
      <vt:variant>
        <vt:lpwstr/>
      </vt:variant>
      <vt:variant>
        <vt:lpwstr>_Toc367439984</vt:lpwstr>
      </vt:variant>
      <vt:variant>
        <vt:i4>1310782</vt:i4>
      </vt:variant>
      <vt:variant>
        <vt:i4>857</vt:i4>
      </vt:variant>
      <vt:variant>
        <vt:i4>0</vt:i4>
      </vt:variant>
      <vt:variant>
        <vt:i4>5</vt:i4>
      </vt:variant>
      <vt:variant>
        <vt:lpwstr/>
      </vt:variant>
      <vt:variant>
        <vt:lpwstr>_Toc367439983</vt:lpwstr>
      </vt:variant>
      <vt:variant>
        <vt:i4>1310782</vt:i4>
      </vt:variant>
      <vt:variant>
        <vt:i4>851</vt:i4>
      </vt:variant>
      <vt:variant>
        <vt:i4>0</vt:i4>
      </vt:variant>
      <vt:variant>
        <vt:i4>5</vt:i4>
      </vt:variant>
      <vt:variant>
        <vt:lpwstr/>
      </vt:variant>
      <vt:variant>
        <vt:lpwstr>_Toc367439982</vt:lpwstr>
      </vt:variant>
      <vt:variant>
        <vt:i4>1310782</vt:i4>
      </vt:variant>
      <vt:variant>
        <vt:i4>845</vt:i4>
      </vt:variant>
      <vt:variant>
        <vt:i4>0</vt:i4>
      </vt:variant>
      <vt:variant>
        <vt:i4>5</vt:i4>
      </vt:variant>
      <vt:variant>
        <vt:lpwstr/>
      </vt:variant>
      <vt:variant>
        <vt:lpwstr>_Toc367439981</vt:lpwstr>
      </vt:variant>
      <vt:variant>
        <vt:i4>1310782</vt:i4>
      </vt:variant>
      <vt:variant>
        <vt:i4>839</vt:i4>
      </vt:variant>
      <vt:variant>
        <vt:i4>0</vt:i4>
      </vt:variant>
      <vt:variant>
        <vt:i4>5</vt:i4>
      </vt:variant>
      <vt:variant>
        <vt:lpwstr/>
      </vt:variant>
      <vt:variant>
        <vt:lpwstr>_Toc367439980</vt:lpwstr>
      </vt:variant>
      <vt:variant>
        <vt:i4>1769534</vt:i4>
      </vt:variant>
      <vt:variant>
        <vt:i4>833</vt:i4>
      </vt:variant>
      <vt:variant>
        <vt:i4>0</vt:i4>
      </vt:variant>
      <vt:variant>
        <vt:i4>5</vt:i4>
      </vt:variant>
      <vt:variant>
        <vt:lpwstr/>
      </vt:variant>
      <vt:variant>
        <vt:lpwstr>_Toc367439979</vt:lpwstr>
      </vt:variant>
      <vt:variant>
        <vt:i4>1769534</vt:i4>
      </vt:variant>
      <vt:variant>
        <vt:i4>827</vt:i4>
      </vt:variant>
      <vt:variant>
        <vt:i4>0</vt:i4>
      </vt:variant>
      <vt:variant>
        <vt:i4>5</vt:i4>
      </vt:variant>
      <vt:variant>
        <vt:lpwstr/>
      </vt:variant>
      <vt:variant>
        <vt:lpwstr>_Toc367439978</vt:lpwstr>
      </vt:variant>
      <vt:variant>
        <vt:i4>1769534</vt:i4>
      </vt:variant>
      <vt:variant>
        <vt:i4>821</vt:i4>
      </vt:variant>
      <vt:variant>
        <vt:i4>0</vt:i4>
      </vt:variant>
      <vt:variant>
        <vt:i4>5</vt:i4>
      </vt:variant>
      <vt:variant>
        <vt:lpwstr/>
      </vt:variant>
      <vt:variant>
        <vt:lpwstr>_Toc367439977</vt:lpwstr>
      </vt:variant>
      <vt:variant>
        <vt:i4>1769534</vt:i4>
      </vt:variant>
      <vt:variant>
        <vt:i4>815</vt:i4>
      </vt:variant>
      <vt:variant>
        <vt:i4>0</vt:i4>
      </vt:variant>
      <vt:variant>
        <vt:i4>5</vt:i4>
      </vt:variant>
      <vt:variant>
        <vt:lpwstr/>
      </vt:variant>
      <vt:variant>
        <vt:lpwstr>_Toc367439976</vt:lpwstr>
      </vt:variant>
      <vt:variant>
        <vt:i4>1769534</vt:i4>
      </vt:variant>
      <vt:variant>
        <vt:i4>809</vt:i4>
      </vt:variant>
      <vt:variant>
        <vt:i4>0</vt:i4>
      </vt:variant>
      <vt:variant>
        <vt:i4>5</vt:i4>
      </vt:variant>
      <vt:variant>
        <vt:lpwstr/>
      </vt:variant>
      <vt:variant>
        <vt:lpwstr>_Toc367439975</vt:lpwstr>
      </vt:variant>
      <vt:variant>
        <vt:i4>1769534</vt:i4>
      </vt:variant>
      <vt:variant>
        <vt:i4>803</vt:i4>
      </vt:variant>
      <vt:variant>
        <vt:i4>0</vt:i4>
      </vt:variant>
      <vt:variant>
        <vt:i4>5</vt:i4>
      </vt:variant>
      <vt:variant>
        <vt:lpwstr/>
      </vt:variant>
      <vt:variant>
        <vt:lpwstr>_Toc367439974</vt:lpwstr>
      </vt:variant>
      <vt:variant>
        <vt:i4>1769534</vt:i4>
      </vt:variant>
      <vt:variant>
        <vt:i4>797</vt:i4>
      </vt:variant>
      <vt:variant>
        <vt:i4>0</vt:i4>
      </vt:variant>
      <vt:variant>
        <vt:i4>5</vt:i4>
      </vt:variant>
      <vt:variant>
        <vt:lpwstr/>
      </vt:variant>
      <vt:variant>
        <vt:lpwstr>_Toc367439973</vt:lpwstr>
      </vt:variant>
      <vt:variant>
        <vt:i4>1769534</vt:i4>
      </vt:variant>
      <vt:variant>
        <vt:i4>791</vt:i4>
      </vt:variant>
      <vt:variant>
        <vt:i4>0</vt:i4>
      </vt:variant>
      <vt:variant>
        <vt:i4>5</vt:i4>
      </vt:variant>
      <vt:variant>
        <vt:lpwstr/>
      </vt:variant>
      <vt:variant>
        <vt:lpwstr>_Toc367439972</vt:lpwstr>
      </vt:variant>
      <vt:variant>
        <vt:i4>1769534</vt:i4>
      </vt:variant>
      <vt:variant>
        <vt:i4>785</vt:i4>
      </vt:variant>
      <vt:variant>
        <vt:i4>0</vt:i4>
      </vt:variant>
      <vt:variant>
        <vt:i4>5</vt:i4>
      </vt:variant>
      <vt:variant>
        <vt:lpwstr/>
      </vt:variant>
      <vt:variant>
        <vt:lpwstr>_Toc367439971</vt:lpwstr>
      </vt:variant>
      <vt:variant>
        <vt:i4>1769534</vt:i4>
      </vt:variant>
      <vt:variant>
        <vt:i4>779</vt:i4>
      </vt:variant>
      <vt:variant>
        <vt:i4>0</vt:i4>
      </vt:variant>
      <vt:variant>
        <vt:i4>5</vt:i4>
      </vt:variant>
      <vt:variant>
        <vt:lpwstr/>
      </vt:variant>
      <vt:variant>
        <vt:lpwstr>_Toc367439970</vt:lpwstr>
      </vt:variant>
      <vt:variant>
        <vt:i4>1703998</vt:i4>
      </vt:variant>
      <vt:variant>
        <vt:i4>773</vt:i4>
      </vt:variant>
      <vt:variant>
        <vt:i4>0</vt:i4>
      </vt:variant>
      <vt:variant>
        <vt:i4>5</vt:i4>
      </vt:variant>
      <vt:variant>
        <vt:lpwstr/>
      </vt:variant>
      <vt:variant>
        <vt:lpwstr>_Toc367439969</vt:lpwstr>
      </vt:variant>
      <vt:variant>
        <vt:i4>1703998</vt:i4>
      </vt:variant>
      <vt:variant>
        <vt:i4>767</vt:i4>
      </vt:variant>
      <vt:variant>
        <vt:i4>0</vt:i4>
      </vt:variant>
      <vt:variant>
        <vt:i4>5</vt:i4>
      </vt:variant>
      <vt:variant>
        <vt:lpwstr/>
      </vt:variant>
      <vt:variant>
        <vt:lpwstr>_Toc367439968</vt:lpwstr>
      </vt:variant>
      <vt:variant>
        <vt:i4>1703998</vt:i4>
      </vt:variant>
      <vt:variant>
        <vt:i4>761</vt:i4>
      </vt:variant>
      <vt:variant>
        <vt:i4>0</vt:i4>
      </vt:variant>
      <vt:variant>
        <vt:i4>5</vt:i4>
      </vt:variant>
      <vt:variant>
        <vt:lpwstr/>
      </vt:variant>
      <vt:variant>
        <vt:lpwstr>_Toc367439967</vt:lpwstr>
      </vt:variant>
      <vt:variant>
        <vt:i4>1703998</vt:i4>
      </vt:variant>
      <vt:variant>
        <vt:i4>755</vt:i4>
      </vt:variant>
      <vt:variant>
        <vt:i4>0</vt:i4>
      </vt:variant>
      <vt:variant>
        <vt:i4>5</vt:i4>
      </vt:variant>
      <vt:variant>
        <vt:lpwstr/>
      </vt:variant>
      <vt:variant>
        <vt:lpwstr>_Toc367439966</vt:lpwstr>
      </vt:variant>
      <vt:variant>
        <vt:i4>1703998</vt:i4>
      </vt:variant>
      <vt:variant>
        <vt:i4>749</vt:i4>
      </vt:variant>
      <vt:variant>
        <vt:i4>0</vt:i4>
      </vt:variant>
      <vt:variant>
        <vt:i4>5</vt:i4>
      </vt:variant>
      <vt:variant>
        <vt:lpwstr/>
      </vt:variant>
      <vt:variant>
        <vt:lpwstr>_Toc367439965</vt:lpwstr>
      </vt:variant>
      <vt:variant>
        <vt:i4>1703998</vt:i4>
      </vt:variant>
      <vt:variant>
        <vt:i4>743</vt:i4>
      </vt:variant>
      <vt:variant>
        <vt:i4>0</vt:i4>
      </vt:variant>
      <vt:variant>
        <vt:i4>5</vt:i4>
      </vt:variant>
      <vt:variant>
        <vt:lpwstr/>
      </vt:variant>
      <vt:variant>
        <vt:lpwstr>_Toc367439964</vt:lpwstr>
      </vt:variant>
      <vt:variant>
        <vt:i4>1703998</vt:i4>
      </vt:variant>
      <vt:variant>
        <vt:i4>737</vt:i4>
      </vt:variant>
      <vt:variant>
        <vt:i4>0</vt:i4>
      </vt:variant>
      <vt:variant>
        <vt:i4>5</vt:i4>
      </vt:variant>
      <vt:variant>
        <vt:lpwstr/>
      </vt:variant>
      <vt:variant>
        <vt:lpwstr>_Toc367439963</vt:lpwstr>
      </vt:variant>
      <vt:variant>
        <vt:i4>1703998</vt:i4>
      </vt:variant>
      <vt:variant>
        <vt:i4>731</vt:i4>
      </vt:variant>
      <vt:variant>
        <vt:i4>0</vt:i4>
      </vt:variant>
      <vt:variant>
        <vt:i4>5</vt:i4>
      </vt:variant>
      <vt:variant>
        <vt:lpwstr/>
      </vt:variant>
      <vt:variant>
        <vt:lpwstr>_Toc367439962</vt:lpwstr>
      </vt:variant>
      <vt:variant>
        <vt:i4>1703998</vt:i4>
      </vt:variant>
      <vt:variant>
        <vt:i4>725</vt:i4>
      </vt:variant>
      <vt:variant>
        <vt:i4>0</vt:i4>
      </vt:variant>
      <vt:variant>
        <vt:i4>5</vt:i4>
      </vt:variant>
      <vt:variant>
        <vt:lpwstr/>
      </vt:variant>
      <vt:variant>
        <vt:lpwstr>_Toc367439961</vt:lpwstr>
      </vt:variant>
      <vt:variant>
        <vt:i4>1703998</vt:i4>
      </vt:variant>
      <vt:variant>
        <vt:i4>719</vt:i4>
      </vt:variant>
      <vt:variant>
        <vt:i4>0</vt:i4>
      </vt:variant>
      <vt:variant>
        <vt:i4>5</vt:i4>
      </vt:variant>
      <vt:variant>
        <vt:lpwstr/>
      </vt:variant>
      <vt:variant>
        <vt:lpwstr>_Toc367439960</vt:lpwstr>
      </vt:variant>
      <vt:variant>
        <vt:i4>1638462</vt:i4>
      </vt:variant>
      <vt:variant>
        <vt:i4>713</vt:i4>
      </vt:variant>
      <vt:variant>
        <vt:i4>0</vt:i4>
      </vt:variant>
      <vt:variant>
        <vt:i4>5</vt:i4>
      </vt:variant>
      <vt:variant>
        <vt:lpwstr/>
      </vt:variant>
      <vt:variant>
        <vt:lpwstr>_Toc367439959</vt:lpwstr>
      </vt:variant>
      <vt:variant>
        <vt:i4>1638462</vt:i4>
      </vt:variant>
      <vt:variant>
        <vt:i4>707</vt:i4>
      </vt:variant>
      <vt:variant>
        <vt:i4>0</vt:i4>
      </vt:variant>
      <vt:variant>
        <vt:i4>5</vt:i4>
      </vt:variant>
      <vt:variant>
        <vt:lpwstr/>
      </vt:variant>
      <vt:variant>
        <vt:lpwstr>_Toc367439958</vt:lpwstr>
      </vt:variant>
      <vt:variant>
        <vt:i4>1638462</vt:i4>
      </vt:variant>
      <vt:variant>
        <vt:i4>701</vt:i4>
      </vt:variant>
      <vt:variant>
        <vt:i4>0</vt:i4>
      </vt:variant>
      <vt:variant>
        <vt:i4>5</vt:i4>
      </vt:variant>
      <vt:variant>
        <vt:lpwstr/>
      </vt:variant>
      <vt:variant>
        <vt:lpwstr>_Toc367439957</vt:lpwstr>
      </vt:variant>
      <vt:variant>
        <vt:i4>1638462</vt:i4>
      </vt:variant>
      <vt:variant>
        <vt:i4>695</vt:i4>
      </vt:variant>
      <vt:variant>
        <vt:i4>0</vt:i4>
      </vt:variant>
      <vt:variant>
        <vt:i4>5</vt:i4>
      </vt:variant>
      <vt:variant>
        <vt:lpwstr/>
      </vt:variant>
      <vt:variant>
        <vt:lpwstr>_Toc367439956</vt:lpwstr>
      </vt:variant>
      <vt:variant>
        <vt:i4>1638462</vt:i4>
      </vt:variant>
      <vt:variant>
        <vt:i4>689</vt:i4>
      </vt:variant>
      <vt:variant>
        <vt:i4>0</vt:i4>
      </vt:variant>
      <vt:variant>
        <vt:i4>5</vt:i4>
      </vt:variant>
      <vt:variant>
        <vt:lpwstr/>
      </vt:variant>
      <vt:variant>
        <vt:lpwstr>_Toc367439955</vt:lpwstr>
      </vt:variant>
      <vt:variant>
        <vt:i4>1638462</vt:i4>
      </vt:variant>
      <vt:variant>
        <vt:i4>683</vt:i4>
      </vt:variant>
      <vt:variant>
        <vt:i4>0</vt:i4>
      </vt:variant>
      <vt:variant>
        <vt:i4>5</vt:i4>
      </vt:variant>
      <vt:variant>
        <vt:lpwstr/>
      </vt:variant>
      <vt:variant>
        <vt:lpwstr>_Toc367439954</vt:lpwstr>
      </vt:variant>
      <vt:variant>
        <vt:i4>1638462</vt:i4>
      </vt:variant>
      <vt:variant>
        <vt:i4>677</vt:i4>
      </vt:variant>
      <vt:variant>
        <vt:i4>0</vt:i4>
      </vt:variant>
      <vt:variant>
        <vt:i4>5</vt:i4>
      </vt:variant>
      <vt:variant>
        <vt:lpwstr/>
      </vt:variant>
      <vt:variant>
        <vt:lpwstr>_Toc367439953</vt:lpwstr>
      </vt:variant>
      <vt:variant>
        <vt:i4>1638462</vt:i4>
      </vt:variant>
      <vt:variant>
        <vt:i4>671</vt:i4>
      </vt:variant>
      <vt:variant>
        <vt:i4>0</vt:i4>
      </vt:variant>
      <vt:variant>
        <vt:i4>5</vt:i4>
      </vt:variant>
      <vt:variant>
        <vt:lpwstr/>
      </vt:variant>
      <vt:variant>
        <vt:lpwstr>_Toc367439952</vt:lpwstr>
      </vt:variant>
      <vt:variant>
        <vt:i4>1638462</vt:i4>
      </vt:variant>
      <vt:variant>
        <vt:i4>665</vt:i4>
      </vt:variant>
      <vt:variant>
        <vt:i4>0</vt:i4>
      </vt:variant>
      <vt:variant>
        <vt:i4>5</vt:i4>
      </vt:variant>
      <vt:variant>
        <vt:lpwstr/>
      </vt:variant>
      <vt:variant>
        <vt:lpwstr>_Toc367439951</vt:lpwstr>
      </vt:variant>
      <vt:variant>
        <vt:i4>1638462</vt:i4>
      </vt:variant>
      <vt:variant>
        <vt:i4>659</vt:i4>
      </vt:variant>
      <vt:variant>
        <vt:i4>0</vt:i4>
      </vt:variant>
      <vt:variant>
        <vt:i4>5</vt:i4>
      </vt:variant>
      <vt:variant>
        <vt:lpwstr/>
      </vt:variant>
      <vt:variant>
        <vt:lpwstr>_Toc367439950</vt:lpwstr>
      </vt:variant>
      <vt:variant>
        <vt:i4>1572926</vt:i4>
      </vt:variant>
      <vt:variant>
        <vt:i4>653</vt:i4>
      </vt:variant>
      <vt:variant>
        <vt:i4>0</vt:i4>
      </vt:variant>
      <vt:variant>
        <vt:i4>5</vt:i4>
      </vt:variant>
      <vt:variant>
        <vt:lpwstr/>
      </vt:variant>
      <vt:variant>
        <vt:lpwstr>_Toc367439949</vt:lpwstr>
      </vt:variant>
      <vt:variant>
        <vt:i4>1572926</vt:i4>
      </vt:variant>
      <vt:variant>
        <vt:i4>647</vt:i4>
      </vt:variant>
      <vt:variant>
        <vt:i4>0</vt:i4>
      </vt:variant>
      <vt:variant>
        <vt:i4>5</vt:i4>
      </vt:variant>
      <vt:variant>
        <vt:lpwstr/>
      </vt:variant>
      <vt:variant>
        <vt:lpwstr>_Toc367439948</vt:lpwstr>
      </vt:variant>
      <vt:variant>
        <vt:i4>1572926</vt:i4>
      </vt:variant>
      <vt:variant>
        <vt:i4>641</vt:i4>
      </vt:variant>
      <vt:variant>
        <vt:i4>0</vt:i4>
      </vt:variant>
      <vt:variant>
        <vt:i4>5</vt:i4>
      </vt:variant>
      <vt:variant>
        <vt:lpwstr/>
      </vt:variant>
      <vt:variant>
        <vt:lpwstr>_Toc367439947</vt:lpwstr>
      </vt:variant>
      <vt:variant>
        <vt:i4>1572926</vt:i4>
      </vt:variant>
      <vt:variant>
        <vt:i4>635</vt:i4>
      </vt:variant>
      <vt:variant>
        <vt:i4>0</vt:i4>
      </vt:variant>
      <vt:variant>
        <vt:i4>5</vt:i4>
      </vt:variant>
      <vt:variant>
        <vt:lpwstr/>
      </vt:variant>
      <vt:variant>
        <vt:lpwstr>_Toc367439946</vt:lpwstr>
      </vt:variant>
      <vt:variant>
        <vt:i4>1572926</vt:i4>
      </vt:variant>
      <vt:variant>
        <vt:i4>629</vt:i4>
      </vt:variant>
      <vt:variant>
        <vt:i4>0</vt:i4>
      </vt:variant>
      <vt:variant>
        <vt:i4>5</vt:i4>
      </vt:variant>
      <vt:variant>
        <vt:lpwstr/>
      </vt:variant>
      <vt:variant>
        <vt:lpwstr>_Toc367439945</vt:lpwstr>
      </vt:variant>
      <vt:variant>
        <vt:i4>1572926</vt:i4>
      </vt:variant>
      <vt:variant>
        <vt:i4>623</vt:i4>
      </vt:variant>
      <vt:variant>
        <vt:i4>0</vt:i4>
      </vt:variant>
      <vt:variant>
        <vt:i4>5</vt:i4>
      </vt:variant>
      <vt:variant>
        <vt:lpwstr/>
      </vt:variant>
      <vt:variant>
        <vt:lpwstr>_Toc367439944</vt:lpwstr>
      </vt:variant>
      <vt:variant>
        <vt:i4>1572926</vt:i4>
      </vt:variant>
      <vt:variant>
        <vt:i4>617</vt:i4>
      </vt:variant>
      <vt:variant>
        <vt:i4>0</vt:i4>
      </vt:variant>
      <vt:variant>
        <vt:i4>5</vt:i4>
      </vt:variant>
      <vt:variant>
        <vt:lpwstr/>
      </vt:variant>
      <vt:variant>
        <vt:lpwstr>_Toc367439943</vt:lpwstr>
      </vt:variant>
      <vt:variant>
        <vt:i4>1572926</vt:i4>
      </vt:variant>
      <vt:variant>
        <vt:i4>611</vt:i4>
      </vt:variant>
      <vt:variant>
        <vt:i4>0</vt:i4>
      </vt:variant>
      <vt:variant>
        <vt:i4>5</vt:i4>
      </vt:variant>
      <vt:variant>
        <vt:lpwstr/>
      </vt:variant>
      <vt:variant>
        <vt:lpwstr>_Toc367439942</vt:lpwstr>
      </vt:variant>
      <vt:variant>
        <vt:i4>1572926</vt:i4>
      </vt:variant>
      <vt:variant>
        <vt:i4>605</vt:i4>
      </vt:variant>
      <vt:variant>
        <vt:i4>0</vt:i4>
      </vt:variant>
      <vt:variant>
        <vt:i4>5</vt:i4>
      </vt:variant>
      <vt:variant>
        <vt:lpwstr/>
      </vt:variant>
      <vt:variant>
        <vt:lpwstr>_Toc367439941</vt:lpwstr>
      </vt:variant>
      <vt:variant>
        <vt:i4>1572926</vt:i4>
      </vt:variant>
      <vt:variant>
        <vt:i4>599</vt:i4>
      </vt:variant>
      <vt:variant>
        <vt:i4>0</vt:i4>
      </vt:variant>
      <vt:variant>
        <vt:i4>5</vt:i4>
      </vt:variant>
      <vt:variant>
        <vt:lpwstr/>
      </vt:variant>
      <vt:variant>
        <vt:lpwstr>_Toc367439940</vt:lpwstr>
      </vt:variant>
      <vt:variant>
        <vt:i4>2031678</vt:i4>
      </vt:variant>
      <vt:variant>
        <vt:i4>593</vt:i4>
      </vt:variant>
      <vt:variant>
        <vt:i4>0</vt:i4>
      </vt:variant>
      <vt:variant>
        <vt:i4>5</vt:i4>
      </vt:variant>
      <vt:variant>
        <vt:lpwstr/>
      </vt:variant>
      <vt:variant>
        <vt:lpwstr>_Toc367439939</vt:lpwstr>
      </vt:variant>
      <vt:variant>
        <vt:i4>2031678</vt:i4>
      </vt:variant>
      <vt:variant>
        <vt:i4>587</vt:i4>
      </vt:variant>
      <vt:variant>
        <vt:i4>0</vt:i4>
      </vt:variant>
      <vt:variant>
        <vt:i4>5</vt:i4>
      </vt:variant>
      <vt:variant>
        <vt:lpwstr/>
      </vt:variant>
      <vt:variant>
        <vt:lpwstr>_Toc367439938</vt:lpwstr>
      </vt:variant>
      <vt:variant>
        <vt:i4>2031678</vt:i4>
      </vt:variant>
      <vt:variant>
        <vt:i4>581</vt:i4>
      </vt:variant>
      <vt:variant>
        <vt:i4>0</vt:i4>
      </vt:variant>
      <vt:variant>
        <vt:i4>5</vt:i4>
      </vt:variant>
      <vt:variant>
        <vt:lpwstr/>
      </vt:variant>
      <vt:variant>
        <vt:lpwstr>_Toc367439937</vt:lpwstr>
      </vt:variant>
      <vt:variant>
        <vt:i4>2031678</vt:i4>
      </vt:variant>
      <vt:variant>
        <vt:i4>575</vt:i4>
      </vt:variant>
      <vt:variant>
        <vt:i4>0</vt:i4>
      </vt:variant>
      <vt:variant>
        <vt:i4>5</vt:i4>
      </vt:variant>
      <vt:variant>
        <vt:lpwstr/>
      </vt:variant>
      <vt:variant>
        <vt:lpwstr>_Toc367439936</vt:lpwstr>
      </vt:variant>
      <vt:variant>
        <vt:i4>2031678</vt:i4>
      </vt:variant>
      <vt:variant>
        <vt:i4>569</vt:i4>
      </vt:variant>
      <vt:variant>
        <vt:i4>0</vt:i4>
      </vt:variant>
      <vt:variant>
        <vt:i4>5</vt:i4>
      </vt:variant>
      <vt:variant>
        <vt:lpwstr/>
      </vt:variant>
      <vt:variant>
        <vt:lpwstr>_Toc367439935</vt:lpwstr>
      </vt:variant>
      <vt:variant>
        <vt:i4>2031678</vt:i4>
      </vt:variant>
      <vt:variant>
        <vt:i4>563</vt:i4>
      </vt:variant>
      <vt:variant>
        <vt:i4>0</vt:i4>
      </vt:variant>
      <vt:variant>
        <vt:i4>5</vt:i4>
      </vt:variant>
      <vt:variant>
        <vt:lpwstr/>
      </vt:variant>
      <vt:variant>
        <vt:lpwstr>_Toc367439934</vt:lpwstr>
      </vt:variant>
      <vt:variant>
        <vt:i4>2031678</vt:i4>
      </vt:variant>
      <vt:variant>
        <vt:i4>557</vt:i4>
      </vt:variant>
      <vt:variant>
        <vt:i4>0</vt:i4>
      </vt:variant>
      <vt:variant>
        <vt:i4>5</vt:i4>
      </vt:variant>
      <vt:variant>
        <vt:lpwstr/>
      </vt:variant>
      <vt:variant>
        <vt:lpwstr>_Toc367439933</vt:lpwstr>
      </vt:variant>
      <vt:variant>
        <vt:i4>2031678</vt:i4>
      </vt:variant>
      <vt:variant>
        <vt:i4>551</vt:i4>
      </vt:variant>
      <vt:variant>
        <vt:i4>0</vt:i4>
      </vt:variant>
      <vt:variant>
        <vt:i4>5</vt:i4>
      </vt:variant>
      <vt:variant>
        <vt:lpwstr/>
      </vt:variant>
      <vt:variant>
        <vt:lpwstr>_Toc367439932</vt:lpwstr>
      </vt:variant>
      <vt:variant>
        <vt:i4>2031678</vt:i4>
      </vt:variant>
      <vt:variant>
        <vt:i4>545</vt:i4>
      </vt:variant>
      <vt:variant>
        <vt:i4>0</vt:i4>
      </vt:variant>
      <vt:variant>
        <vt:i4>5</vt:i4>
      </vt:variant>
      <vt:variant>
        <vt:lpwstr/>
      </vt:variant>
      <vt:variant>
        <vt:lpwstr>_Toc367439931</vt:lpwstr>
      </vt:variant>
      <vt:variant>
        <vt:i4>2031678</vt:i4>
      </vt:variant>
      <vt:variant>
        <vt:i4>539</vt:i4>
      </vt:variant>
      <vt:variant>
        <vt:i4>0</vt:i4>
      </vt:variant>
      <vt:variant>
        <vt:i4>5</vt:i4>
      </vt:variant>
      <vt:variant>
        <vt:lpwstr/>
      </vt:variant>
      <vt:variant>
        <vt:lpwstr>_Toc367439930</vt:lpwstr>
      </vt:variant>
      <vt:variant>
        <vt:i4>1966142</vt:i4>
      </vt:variant>
      <vt:variant>
        <vt:i4>533</vt:i4>
      </vt:variant>
      <vt:variant>
        <vt:i4>0</vt:i4>
      </vt:variant>
      <vt:variant>
        <vt:i4>5</vt:i4>
      </vt:variant>
      <vt:variant>
        <vt:lpwstr/>
      </vt:variant>
      <vt:variant>
        <vt:lpwstr>_Toc367439929</vt:lpwstr>
      </vt:variant>
      <vt:variant>
        <vt:i4>1966142</vt:i4>
      </vt:variant>
      <vt:variant>
        <vt:i4>527</vt:i4>
      </vt:variant>
      <vt:variant>
        <vt:i4>0</vt:i4>
      </vt:variant>
      <vt:variant>
        <vt:i4>5</vt:i4>
      </vt:variant>
      <vt:variant>
        <vt:lpwstr/>
      </vt:variant>
      <vt:variant>
        <vt:lpwstr>_Toc367439928</vt:lpwstr>
      </vt:variant>
      <vt:variant>
        <vt:i4>1966142</vt:i4>
      </vt:variant>
      <vt:variant>
        <vt:i4>521</vt:i4>
      </vt:variant>
      <vt:variant>
        <vt:i4>0</vt:i4>
      </vt:variant>
      <vt:variant>
        <vt:i4>5</vt:i4>
      </vt:variant>
      <vt:variant>
        <vt:lpwstr/>
      </vt:variant>
      <vt:variant>
        <vt:lpwstr>_Toc367439927</vt:lpwstr>
      </vt:variant>
      <vt:variant>
        <vt:i4>1966142</vt:i4>
      </vt:variant>
      <vt:variant>
        <vt:i4>515</vt:i4>
      </vt:variant>
      <vt:variant>
        <vt:i4>0</vt:i4>
      </vt:variant>
      <vt:variant>
        <vt:i4>5</vt:i4>
      </vt:variant>
      <vt:variant>
        <vt:lpwstr/>
      </vt:variant>
      <vt:variant>
        <vt:lpwstr>_Toc367439926</vt:lpwstr>
      </vt:variant>
      <vt:variant>
        <vt:i4>1966142</vt:i4>
      </vt:variant>
      <vt:variant>
        <vt:i4>509</vt:i4>
      </vt:variant>
      <vt:variant>
        <vt:i4>0</vt:i4>
      </vt:variant>
      <vt:variant>
        <vt:i4>5</vt:i4>
      </vt:variant>
      <vt:variant>
        <vt:lpwstr/>
      </vt:variant>
      <vt:variant>
        <vt:lpwstr>_Toc367439925</vt:lpwstr>
      </vt:variant>
      <vt:variant>
        <vt:i4>1966142</vt:i4>
      </vt:variant>
      <vt:variant>
        <vt:i4>503</vt:i4>
      </vt:variant>
      <vt:variant>
        <vt:i4>0</vt:i4>
      </vt:variant>
      <vt:variant>
        <vt:i4>5</vt:i4>
      </vt:variant>
      <vt:variant>
        <vt:lpwstr/>
      </vt:variant>
      <vt:variant>
        <vt:lpwstr>_Toc367439924</vt:lpwstr>
      </vt:variant>
      <vt:variant>
        <vt:i4>1966142</vt:i4>
      </vt:variant>
      <vt:variant>
        <vt:i4>497</vt:i4>
      </vt:variant>
      <vt:variant>
        <vt:i4>0</vt:i4>
      </vt:variant>
      <vt:variant>
        <vt:i4>5</vt:i4>
      </vt:variant>
      <vt:variant>
        <vt:lpwstr/>
      </vt:variant>
      <vt:variant>
        <vt:lpwstr>_Toc367439923</vt:lpwstr>
      </vt:variant>
      <vt:variant>
        <vt:i4>1966142</vt:i4>
      </vt:variant>
      <vt:variant>
        <vt:i4>491</vt:i4>
      </vt:variant>
      <vt:variant>
        <vt:i4>0</vt:i4>
      </vt:variant>
      <vt:variant>
        <vt:i4>5</vt:i4>
      </vt:variant>
      <vt:variant>
        <vt:lpwstr/>
      </vt:variant>
      <vt:variant>
        <vt:lpwstr>_Toc367439922</vt:lpwstr>
      </vt:variant>
      <vt:variant>
        <vt:i4>1966142</vt:i4>
      </vt:variant>
      <vt:variant>
        <vt:i4>485</vt:i4>
      </vt:variant>
      <vt:variant>
        <vt:i4>0</vt:i4>
      </vt:variant>
      <vt:variant>
        <vt:i4>5</vt:i4>
      </vt:variant>
      <vt:variant>
        <vt:lpwstr/>
      </vt:variant>
      <vt:variant>
        <vt:lpwstr>_Toc367439921</vt:lpwstr>
      </vt:variant>
      <vt:variant>
        <vt:i4>1966142</vt:i4>
      </vt:variant>
      <vt:variant>
        <vt:i4>479</vt:i4>
      </vt:variant>
      <vt:variant>
        <vt:i4>0</vt:i4>
      </vt:variant>
      <vt:variant>
        <vt:i4>5</vt:i4>
      </vt:variant>
      <vt:variant>
        <vt:lpwstr/>
      </vt:variant>
      <vt:variant>
        <vt:lpwstr>_Toc367439920</vt:lpwstr>
      </vt:variant>
      <vt:variant>
        <vt:i4>1900606</vt:i4>
      </vt:variant>
      <vt:variant>
        <vt:i4>473</vt:i4>
      </vt:variant>
      <vt:variant>
        <vt:i4>0</vt:i4>
      </vt:variant>
      <vt:variant>
        <vt:i4>5</vt:i4>
      </vt:variant>
      <vt:variant>
        <vt:lpwstr/>
      </vt:variant>
      <vt:variant>
        <vt:lpwstr>_Toc367439919</vt:lpwstr>
      </vt:variant>
      <vt:variant>
        <vt:i4>1900606</vt:i4>
      </vt:variant>
      <vt:variant>
        <vt:i4>467</vt:i4>
      </vt:variant>
      <vt:variant>
        <vt:i4>0</vt:i4>
      </vt:variant>
      <vt:variant>
        <vt:i4>5</vt:i4>
      </vt:variant>
      <vt:variant>
        <vt:lpwstr/>
      </vt:variant>
      <vt:variant>
        <vt:lpwstr>_Toc367439918</vt:lpwstr>
      </vt:variant>
      <vt:variant>
        <vt:i4>1900606</vt:i4>
      </vt:variant>
      <vt:variant>
        <vt:i4>461</vt:i4>
      </vt:variant>
      <vt:variant>
        <vt:i4>0</vt:i4>
      </vt:variant>
      <vt:variant>
        <vt:i4>5</vt:i4>
      </vt:variant>
      <vt:variant>
        <vt:lpwstr/>
      </vt:variant>
      <vt:variant>
        <vt:lpwstr>_Toc367439917</vt:lpwstr>
      </vt:variant>
      <vt:variant>
        <vt:i4>1900606</vt:i4>
      </vt:variant>
      <vt:variant>
        <vt:i4>455</vt:i4>
      </vt:variant>
      <vt:variant>
        <vt:i4>0</vt:i4>
      </vt:variant>
      <vt:variant>
        <vt:i4>5</vt:i4>
      </vt:variant>
      <vt:variant>
        <vt:lpwstr/>
      </vt:variant>
      <vt:variant>
        <vt:lpwstr>_Toc367439916</vt:lpwstr>
      </vt:variant>
      <vt:variant>
        <vt:i4>1900606</vt:i4>
      </vt:variant>
      <vt:variant>
        <vt:i4>449</vt:i4>
      </vt:variant>
      <vt:variant>
        <vt:i4>0</vt:i4>
      </vt:variant>
      <vt:variant>
        <vt:i4>5</vt:i4>
      </vt:variant>
      <vt:variant>
        <vt:lpwstr/>
      </vt:variant>
      <vt:variant>
        <vt:lpwstr>_Toc367439915</vt:lpwstr>
      </vt:variant>
      <vt:variant>
        <vt:i4>1900606</vt:i4>
      </vt:variant>
      <vt:variant>
        <vt:i4>443</vt:i4>
      </vt:variant>
      <vt:variant>
        <vt:i4>0</vt:i4>
      </vt:variant>
      <vt:variant>
        <vt:i4>5</vt:i4>
      </vt:variant>
      <vt:variant>
        <vt:lpwstr/>
      </vt:variant>
      <vt:variant>
        <vt:lpwstr>_Toc367439914</vt:lpwstr>
      </vt:variant>
      <vt:variant>
        <vt:i4>1900606</vt:i4>
      </vt:variant>
      <vt:variant>
        <vt:i4>437</vt:i4>
      </vt:variant>
      <vt:variant>
        <vt:i4>0</vt:i4>
      </vt:variant>
      <vt:variant>
        <vt:i4>5</vt:i4>
      </vt:variant>
      <vt:variant>
        <vt:lpwstr/>
      </vt:variant>
      <vt:variant>
        <vt:lpwstr>_Toc367439913</vt:lpwstr>
      </vt:variant>
      <vt:variant>
        <vt:i4>1900606</vt:i4>
      </vt:variant>
      <vt:variant>
        <vt:i4>431</vt:i4>
      </vt:variant>
      <vt:variant>
        <vt:i4>0</vt:i4>
      </vt:variant>
      <vt:variant>
        <vt:i4>5</vt:i4>
      </vt:variant>
      <vt:variant>
        <vt:lpwstr/>
      </vt:variant>
      <vt:variant>
        <vt:lpwstr>_Toc367439912</vt:lpwstr>
      </vt:variant>
      <vt:variant>
        <vt:i4>1900606</vt:i4>
      </vt:variant>
      <vt:variant>
        <vt:i4>425</vt:i4>
      </vt:variant>
      <vt:variant>
        <vt:i4>0</vt:i4>
      </vt:variant>
      <vt:variant>
        <vt:i4>5</vt:i4>
      </vt:variant>
      <vt:variant>
        <vt:lpwstr/>
      </vt:variant>
      <vt:variant>
        <vt:lpwstr>_Toc367439911</vt:lpwstr>
      </vt:variant>
      <vt:variant>
        <vt:i4>1900606</vt:i4>
      </vt:variant>
      <vt:variant>
        <vt:i4>419</vt:i4>
      </vt:variant>
      <vt:variant>
        <vt:i4>0</vt:i4>
      </vt:variant>
      <vt:variant>
        <vt:i4>5</vt:i4>
      </vt:variant>
      <vt:variant>
        <vt:lpwstr/>
      </vt:variant>
      <vt:variant>
        <vt:lpwstr>_Toc367439910</vt:lpwstr>
      </vt:variant>
      <vt:variant>
        <vt:i4>1835070</vt:i4>
      </vt:variant>
      <vt:variant>
        <vt:i4>413</vt:i4>
      </vt:variant>
      <vt:variant>
        <vt:i4>0</vt:i4>
      </vt:variant>
      <vt:variant>
        <vt:i4>5</vt:i4>
      </vt:variant>
      <vt:variant>
        <vt:lpwstr/>
      </vt:variant>
      <vt:variant>
        <vt:lpwstr>_Toc367439909</vt:lpwstr>
      </vt:variant>
      <vt:variant>
        <vt:i4>1835070</vt:i4>
      </vt:variant>
      <vt:variant>
        <vt:i4>407</vt:i4>
      </vt:variant>
      <vt:variant>
        <vt:i4>0</vt:i4>
      </vt:variant>
      <vt:variant>
        <vt:i4>5</vt:i4>
      </vt:variant>
      <vt:variant>
        <vt:lpwstr/>
      </vt:variant>
      <vt:variant>
        <vt:lpwstr>_Toc367439908</vt:lpwstr>
      </vt:variant>
      <vt:variant>
        <vt:i4>1835070</vt:i4>
      </vt:variant>
      <vt:variant>
        <vt:i4>401</vt:i4>
      </vt:variant>
      <vt:variant>
        <vt:i4>0</vt:i4>
      </vt:variant>
      <vt:variant>
        <vt:i4>5</vt:i4>
      </vt:variant>
      <vt:variant>
        <vt:lpwstr/>
      </vt:variant>
      <vt:variant>
        <vt:lpwstr>_Toc367439907</vt:lpwstr>
      </vt:variant>
      <vt:variant>
        <vt:i4>1835070</vt:i4>
      </vt:variant>
      <vt:variant>
        <vt:i4>395</vt:i4>
      </vt:variant>
      <vt:variant>
        <vt:i4>0</vt:i4>
      </vt:variant>
      <vt:variant>
        <vt:i4>5</vt:i4>
      </vt:variant>
      <vt:variant>
        <vt:lpwstr/>
      </vt:variant>
      <vt:variant>
        <vt:lpwstr>_Toc367439906</vt:lpwstr>
      </vt:variant>
      <vt:variant>
        <vt:i4>1835070</vt:i4>
      </vt:variant>
      <vt:variant>
        <vt:i4>389</vt:i4>
      </vt:variant>
      <vt:variant>
        <vt:i4>0</vt:i4>
      </vt:variant>
      <vt:variant>
        <vt:i4>5</vt:i4>
      </vt:variant>
      <vt:variant>
        <vt:lpwstr/>
      </vt:variant>
      <vt:variant>
        <vt:lpwstr>_Toc367439905</vt:lpwstr>
      </vt:variant>
      <vt:variant>
        <vt:i4>1835070</vt:i4>
      </vt:variant>
      <vt:variant>
        <vt:i4>383</vt:i4>
      </vt:variant>
      <vt:variant>
        <vt:i4>0</vt:i4>
      </vt:variant>
      <vt:variant>
        <vt:i4>5</vt:i4>
      </vt:variant>
      <vt:variant>
        <vt:lpwstr/>
      </vt:variant>
      <vt:variant>
        <vt:lpwstr>_Toc367439904</vt:lpwstr>
      </vt:variant>
      <vt:variant>
        <vt:i4>1835070</vt:i4>
      </vt:variant>
      <vt:variant>
        <vt:i4>377</vt:i4>
      </vt:variant>
      <vt:variant>
        <vt:i4>0</vt:i4>
      </vt:variant>
      <vt:variant>
        <vt:i4>5</vt:i4>
      </vt:variant>
      <vt:variant>
        <vt:lpwstr/>
      </vt:variant>
      <vt:variant>
        <vt:lpwstr>_Toc367439903</vt:lpwstr>
      </vt:variant>
      <vt:variant>
        <vt:i4>1835070</vt:i4>
      </vt:variant>
      <vt:variant>
        <vt:i4>371</vt:i4>
      </vt:variant>
      <vt:variant>
        <vt:i4>0</vt:i4>
      </vt:variant>
      <vt:variant>
        <vt:i4>5</vt:i4>
      </vt:variant>
      <vt:variant>
        <vt:lpwstr/>
      </vt:variant>
      <vt:variant>
        <vt:lpwstr>_Toc367439902</vt:lpwstr>
      </vt:variant>
      <vt:variant>
        <vt:i4>1835070</vt:i4>
      </vt:variant>
      <vt:variant>
        <vt:i4>365</vt:i4>
      </vt:variant>
      <vt:variant>
        <vt:i4>0</vt:i4>
      </vt:variant>
      <vt:variant>
        <vt:i4>5</vt:i4>
      </vt:variant>
      <vt:variant>
        <vt:lpwstr/>
      </vt:variant>
      <vt:variant>
        <vt:lpwstr>_Toc367439901</vt:lpwstr>
      </vt:variant>
      <vt:variant>
        <vt:i4>1835070</vt:i4>
      </vt:variant>
      <vt:variant>
        <vt:i4>359</vt:i4>
      </vt:variant>
      <vt:variant>
        <vt:i4>0</vt:i4>
      </vt:variant>
      <vt:variant>
        <vt:i4>5</vt:i4>
      </vt:variant>
      <vt:variant>
        <vt:lpwstr/>
      </vt:variant>
      <vt:variant>
        <vt:lpwstr>_Toc367439900</vt:lpwstr>
      </vt:variant>
      <vt:variant>
        <vt:i4>1376319</vt:i4>
      </vt:variant>
      <vt:variant>
        <vt:i4>353</vt:i4>
      </vt:variant>
      <vt:variant>
        <vt:i4>0</vt:i4>
      </vt:variant>
      <vt:variant>
        <vt:i4>5</vt:i4>
      </vt:variant>
      <vt:variant>
        <vt:lpwstr/>
      </vt:variant>
      <vt:variant>
        <vt:lpwstr>_Toc367439899</vt:lpwstr>
      </vt:variant>
      <vt:variant>
        <vt:i4>1376319</vt:i4>
      </vt:variant>
      <vt:variant>
        <vt:i4>347</vt:i4>
      </vt:variant>
      <vt:variant>
        <vt:i4>0</vt:i4>
      </vt:variant>
      <vt:variant>
        <vt:i4>5</vt:i4>
      </vt:variant>
      <vt:variant>
        <vt:lpwstr/>
      </vt:variant>
      <vt:variant>
        <vt:lpwstr>_Toc367439898</vt:lpwstr>
      </vt:variant>
      <vt:variant>
        <vt:i4>1376319</vt:i4>
      </vt:variant>
      <vt:variant>
        <vt:i4>341</vt:i4>
      </vt:variant>
      <vt:variant>
        <vt:i4>0</vt:i4>
      </vt:variant>
      <vt:variant>
        <vt:i4>5</vt:i4>
      </vt:variant>
      <vt:variant>
        <vt:lpwstr/>
      </vt:variant>
      <vt:variant>
        <vt:lpwstr>_Toc367439897</vt:lpwstr>
      </vt:variant>
      <vt:variant>
        <vt:i4>1376319</vt:i4>
      </vt:variant>
      <vt:variant>
        <vt:i4>335</vt:i4>
      </vt:variant>
      <vt:variant>
        <vt:i4>0</vt:i4>
      </vt:variant>
      <vt:variant>
        <vt:i4>5</vt:i4>
      </vt:variant>
      <vt:variant>
        <vt:lpwstr/>
      </vt:variant>
      <vt:variant>
        <vt:lpwstr>_Toc367439896</vt:lpwstr>
      </vt:variant>
      <vt:variant>
        <vt:i4>1376319</vt:i4>
      </vt:variant>
      <vt:variant>
        <vt:i4>329</vt:i4>
      </vt:variant>
      <vt:variant>
        <vt:i4>0</vt:i4>
      </vt:variant>
      <vt:variant>
        <vt:i4>5</vt:i4>
      </vt:variant>
      <vt:variant>
        <vt:lpwstr/>
      </vt:variant>
      <vt:variant>
        <vt:lpwstr>_Toc367439895</vt:lpwstr>
      </vt:variant>
      <vt:variant>
        <vt:i4>1376319</vt:i4>
      </vt:variant>
      <vt:variant>
        <vt:i4>323</vt:i4>
      </vt:variant>
      <vt:variant>
        <vt:i4>0</vt:i4>
      </vt:variant>
      <vt:variant>
        <vt:i4>5</vt:i4>
      </vt:variant>
      <vt:variant>
        <vt:lpwstr/>
      </vt:variant>
      <vt:variant>
        <vt:lpwstr>_Toc367439894</vt:lpwstr>
      </vt:variant>
      <vt:variant>
        <vt:i4>1376319</vt:i4>
      </vt:variant>
      <vt:variant>
        <vt:i4>317</vt:i4>
      </vt:variant>
      <vt:variant>
        <vt:i4>0</vt:i4>
      </vt:variant>
      <vt:variant>
        <vt:i4>5</vt:i4>
      </vt:variant>
      <vt:variant>
        <vt:lpwstr/>
      </vt:variant>
      <vt:variant>
        <vt:lpwstr>_Toc367439893</vt:lpwstr>
      </vt:variant>
      <vt:variant>
        <vt:i4>1376319</vt:i4>
      </vt:variant>
      <vt:variant>
        <vt:i4>311</vt:i4>
      </vt:variant>
      <vt:variant>
        <vt:i4>0</vt:i4>
      </vt:variant>
      <vt:variant>
        <vt:i4>5</vt:i4>
      </vt:variant>
      <vt:variant>
        <vt:lpwstr/>
      </vt:variant>
      <vt:variant>
        <vt:lpwstr>_Toc367439892</vt:lpwstr>
      </vt:variant>
      <vt:variant>
        <vt:i4>1376319</vt:i4>
      </vt:variant>
      <vt:variant>
        <vt:i4>305</vt:i4>
      </vt:variant>
      <vt:variant>
        <vt:i4>0</vt:i4>
      </vt:variant>
      <vt:variant>
        <vt:i4>5</vt:i4>
      </vt:variant>
      <vt:variant>
        <vt:lpwstr/>
      </vt:variant>
      <vt:variant>
        <vt:lpwstr>_Toc367439891</vt:lpwstr>
      </vt:variant>
      <vt:variant>
        <vt:i4>1376319</vt:i4>
      </vt:variant>
      <vt:variant>
        <vt:i4>299</vt:i4>
      </vt:variant>
      <vt:variant>
        <vt:i4>0</vt:i4>
      </vt:variant>
      <vt:variant>
        <vt:i4>5</vt:i4>
      </vt:variant>
      <vt:variant>
        <vt:lpwstr/>
      </vt:variant>
      <vt:variant>
        <vt:lpwstr>_Toc367439890</vt:lpwstr>
      </vt:variant>
      <vt:variant>
        <vt:i4>1310783</vt:i4>
      </vt:variant>
      <vt:variant>
        <vt:i4>293</vt:i4>
      </vt:variant>
      <vt:variant>
        <vt:i4>0</vt:i4>
      </vt:variant>
      <vt:variant>
        <vt:i4>5</vt:i4>
      </vt:variant>
      <vt:variant>
        <vt:lpwstr/>
      </vt:variant>
      <vt:variant>
        <vt:lpwstr>_Toc367439889</vt:lpwstr>
      </vt:variant>
      <vt:variant>
        <vt:i4>1310783</vt:i4>
      </vt:variant>
      <vt:variant>
        <vt:i4>287</vt:i4>
      </vt:variant>
      <vt:variant>
        <vt:i4>0</vt:i4>
      </vt:variant>
      <vt:variant>
        <vt:i4>5</vt:i4>
      </vt:variant>
      <vt:variant>
        <vt:lpwstr/>
      </vt:variant>
      <vt:variant>
        <vt:lpwstr>_Toc367439888</vt:lpwstr>
      </vt:variant>
      <vt:variant>
        <vt:i4>1310783</vt:i4>
      </vt:variant>
      <vt:variant>
        <vt:i4>281</vt:i4>
      </vt:variant>
      <vt:variant>
        <vt:i4>0</vt:i4>
      </vt:variant>
      <vt:variant>
        <vt:i4>5</vt:i4>
      </vt:variant>
      <vt:variant>
        <vt:lpwstr/>
      </vt:variant>
      <vt:variant>
        <vt:lpwstr>_Toc367439887</vt:lpwstr>
      </vt:variant>
      <vt:variant>
        <vt:i4>1310783</vt:i4>
      </vt:variant>
      <vt:variant>
        <vt:i4>275</vt:i4>
      </vt:variant>
      <vt:variant>
        <vt:i4>0</vt:i4>
      </vt:variant>
      <vt:variant>
        <vt:i4>5</vt:i4>
      </vt:variant>
      <vt:variant>
        <vt:lpwstr/>
      </vt:variant>
      <vt:variant>
        <vt:lpwstr>_Toc367439886</vt:lpwstr>
      </vt:variant>
      <vt:variant>
        <vt:i4>1310783</vt:i4>
      </vt:variant>
      <vt:variant>
        <vt:i4>269</vt:i4>
      </vt:variant>
      <vt:variant>
        <vt:i4>0</vt:i4>
      </vt:variant>
      <vt:variant>
        <vt:i4>5</vt:i4>
      </vt:variant>
      <vt:variant>
        <vt:lpwstr/>
      </vt:variant>
      <vt:variant>
        <vt:lpwstr>_Toc367439885</vt:lpwstr>
      </vt:variant>
      <vt:variant>
        <vt:i4>1310783</vt:i4>
      </vt:variant>
      <vt:variant>
        <vt:i4>263</vt:i4>
      </vt:variant>
      <vt:variant>
        <vt:i4>0</vt:i4>
      </vt:variant>
      <vt:variant>
        <vt:i4>5</vt:i4>
      </vt:variant>
      <vt:variant>
        <vt:lpwstr/>
      </vt:variant>
      <vt:variant>
        <vt:lpwstr>_Toc367439884</vt:lpwstr>
      </vt:variant>
      <vt:variant>
        <vt:i4>1310783</vt:i4>
      </vt:variant>
      <vt:variant>
        <vt:i4>257</vt:i4>
      </vt:variant>
      <vt:variant>
        <vt:i4>0</vt:i4>
      </vt:variant>
      <vt:variant>
        <vt:i4>5</vt:i4>
      </vt:variant>
      <vt:variant>
        <vt:lpwstr/>
      </vt:variant>
      <vt:variant>
        <vt:lpwstr>_Toc367439883</vt:lpwstr>
      </vt:variant>
      <vt:variant>
        <vt:i4>1310783</vt:i4>
      </vt:variant>
      <vt:variant>
        <vt:i4>251</vt:i4>
      </vt:variant>
      <vt:variant>
        <vt:i4>0</vt:i4>
      </vt:variant>
      <vt:variant>
        <vt:i4>5</vt:i4>
      </vt:variant>
      <vt:variant>
        <vt:lpwstr/>
      </vt:variant>
      <vt:variant>
        <vt:lpwstr>_Toc367439882</vt:lpwstr>
      </vt:variant>
      <vt:variant>
        <vt:i4>1310783</vt:i4>
      </vt:variant>
      <vt:variant>
        <vt:i4>245</vt:i4>
      </vt:variant>
      <vt:variant>
        <vt:i4>0</vt:i4>
      </vt:variant>
      <vt:variant>
        <vt:i4>5</vt:i4>
      </vt:variant>
      <vt:variant>
        <vt:lpwstr/>
      </vt:variant>
      <vt:variant>
        <vt:lpwstr>_Toc367439881</vt:lpwstr>
      </vt:variant>
      <vt:variant>
        <vt:i4>1310783</vt:i4>
      </vt:variant>
      <vt:variant>
        <vt:i4>239</vt:i4>
      </vt:variant>
      <vt:variant>
        <vt:i4>0</vt:i4>
      </vt:variant>
      <vt:variant>
        <vt:i4>5</vt:i4>
      </vt:variant>
      <vt:variant>
        <vt:lpwstr/>
      </vt:variant>
      <vt:variant>
        <vt:lpwstr>_Toc367439880</vt:lpwstr>
      </vt:variant>
      <vt:variant>
        <vt:i4>1769535</vt:i4>
      </vt:variant>
      <vt:variant>
        <vt:i4>233</vt:i4>
      </vt:variant>
      <vt:variant>
        <vt:i4>0</vt:i4>
      </vt:variant>
      <vt:variant>
        <vt:i4>5</vt:i4>
      </vt:variant>
      <vt:variant>
        <vt:lpwstr/>
      </vt:variant>
      <vt:variant>
        <vt:lpwstr>_Toc367439879</vt:lpwstr>
      </vt:variant>
      <vt:variant>
        <vt:i4>1769535</vt:i4>
      </vt:variant>
      <vt:variant>
        <vt:i4>227</vt:i4>
      </vt:variant>
      <vt:variant>
        <vt:i4>0</vt:i4>
      </vt:variant>
      <vt:variant>
        <vt:i4>5</vt:i4>
      </vt:variant>
      <vt:variant>
        <vt:lpwstr/>
      </vt:variant>
      <vt:variant>
        <vt:lpwstr>_Toc367439878</vt:lpwstr>
      </vt:variant>
      <vt:variant>
        <vt:i4>1769535</vt:i4>
      </vt:variant>
      <vt:variant>
        <vt:i4>221</vt:i4>
      </vt:variant>
      <vt:variant>
        <vt:i4>0</vt:i4>
      </vt:variant>
      <vt:variant>
        <vt:i4>5</vt:i4>
      </vt:variant>
      <vt:variant>
        <vt:lpwstr/>
      </vt:variant>
      <vt:variant>
        <vt:lpwstr>_Toc367439877</vt:lpwstr>
      </vt:variant>
      <vt:variant>
        <vt:i4>1769535</vt:i4>
      </vt:variant>
      <vt:variant>
        <vt:i4>215</vt:i4>
      </vt:variant>
      <vt:variant>
        <vt:i4>0</vt:i4>
      </vt:variant>
      <vt:variant>
        <vt:i4>5</vt:i4>
      </vt:variant>
      <vt:variant>
        <vt:lpwstr/>
      </vt:variant>
      <vt:variant>
        <vt:lpwstr>_Toc367439876</vt:lpwstr>
      </vt:variant>
      <vt:variant>
        <vt:i4>1769535</vt:i4>
      </vt:variant>
      <vt:variant>
        <vt:i4>209</vt:i4>
      </vt:variant>
      <vt:variant>
        <vt:i4>0</vt:i4>
      </vt:variant>
      <vt:variant>
        <vt:i4>5</vt:i4>
      </vt:variant>
      <vt:variant>
        <vt:lpwstr/>
      </vt:variant>
      <vt:variant>
        <vt:lpwstr>_Toc367439875</vt:lpwstr>
      </vt:variant>
      <vt:variant>
        <vt:i4>1769535</vt:i4>
      </vt:variant>
      <vt:variant>
        <vt:i4>203</vt:i4>
      </vt:variant>
      <vt:variant>
        <vt:i4>0</vt:i4>
      </vt:variant>
      <vt:variant>
        <vt:i4>5</vt:i4>
      </vt:variant>
      <vt:variant>
        <vt:lpwstr/>
      </vt:variant>
      <vt:variant>
        <vt:lpwstr>_Toc367439874</vt:lpwstr>
      </vt:variant>
      <vt:variant>
        <vt:i4>1769535</vt:i4>
      </vt:variant>
      <vt:variant>
        <vt:i4>197</vt:i4>
      </vt:variant>
      <vt:variant>
        <vt:i4>0</vt:i4>
      </vt:variant>
      <vt:variant>
        <vt:i4>5</vt:i4>
      </vt:variant>
      <vt:variant>
        <vt:lpwstr/>
      </vt:variant>
      <vt:variant>
        <vt:lpwstr>_Toc367439873</vt:lpwstr>
      </vt:variant>
      <vt:variant>
        <vt:i4>1769535</vt:i4>
      </vt:variant>
      <vt:variant>
        <vt:i4>191</vt:i4>
      </vt:variant>
      <vt:variant>
        <vt:i4>0</vt:i4>
      </vt:variant>
      <vt:variant>
        <vt:i4>5</vt:i4>
      </vt:variant>
      <vt:variant>
        <vt:lpwstr/>
      </vt:variant>
      <vt:variant>
        <vt:lpwstr>_Toc367439872</vt:lpwstr>
      </vt:variant>
      <vt:variant>
        <vt:i4>1769535</vt:i4>
      </vt:variant>
      <vt:variant>
        <vt:i4>185</vt:i4>
      </vt:variant>
      <vt:variant>
        <vt:i4>0</vt:i4>
      </vt:variant>
      <vt:variant>
        <vt:i4>5</vt:i4>
      </vt:variant>
      <vt:variant>
        <vt:lpwstr/>
      </vt:variant>
      <vt:variant>
        <vt:lpwstr>_Toc367439871</vt:lpwstr>
      </vt:variant>
      <vt:variant>
        <vt:i4>1769535</vt:i4>
      </vt:variant>
      <vt:variant>
        <vt:i4>179</vt:i4>
      </vt:variant>
      <vt:variant>
        <vt:i4>0</vt:i4>
      </vt:variant>
      <vt:variant>
        <vt:i4>5</vt:i4>
      </vt:variant>
      <vt:variant>
        <vt:lpwstr/>
      </vt:variant>
      <vt:variant>
        <vt:lpwstr>_Toc367439870</vt:lpwstr>
      </vt:variant>
      <vt:variant>
        <vt:i4>1703999</vt:i4>
      </vt:variant>
      <vt:variant>
        <vt:i4>173</vt:i4>
      </vt:variant>
      <vt:variant>
        <vt:i4>0</vt:i4>
      </vt:variant>
      <vt:variant>
        <vt:i4>5</vt:i4>
      </vt:variant>
      <vt:variant>
        <vt:lpwstr/>
      </vt:variant>
      <vt:variant>
        <vt:lpwstr>_Toc367439869</vt:lpwstr>
      </vt:variant>
      <vt:variant>
        <vt:i4>1703999</vt:i4>
      </vt:variant>
      <vt:variant>
        <vt:i4>167</vt:i4>
      </vt:variant>
      <vt:variant>
        <vt:i4>0</vt:i4>
      </vt:variant>
      <vt:variant>
        <vt:i4>5</vt:i4>
      </vt:variant>
      <vt:variant>
        <vt:lpwstr/>
      </vt:variant>
      <vt:variant>
        <vt:lpwstr>_Toc367439868</vt:lpwstr>
      </vt:variant>
      <vt:variant>
        <vt:i4>1703999</vt:i4>
      </vt:variant>
      <vt:variant>
        <vt:i4>161</vt:i4>
      </vt:variant>
      <vt:variant>
        <vt:i4>0</vt:i4>
      </vt:variant>
      <vt:variant>
        <vt:i4>5</vt:i4>
      </vt:variant>
      <vt:variant>
        <vt:lpwstr/>
      </vt:variant>
      <vt:variant>
        <vt:lpwstr>_Toc367439867</vt:lpwstr>
      </vt:variant>
      <vt:variant>
        <vt:i4>1703999</vt:i4>
      </vt:variant>
      <vt:variant>
        <vt:i4>155</vt:i4>
      </vt:variant>
      <vt:variant>
        <vt:i4>0</vt:i4>
      </vt:variant>
      <vt:variant>
        <vt:i4>5</vt:i4>
      </vt:variant>
      <vt:variant>
        <vt:lpwstr/>
      </vt:variant>
      <vt:variant>
        <vt:lpwstr>_Toc367439866</vt:lpwstr>
      </vt:variant>
      <vt:variant>
        <vt:i4>1703999</vt:i4>
      </vt:variant>
      <vt:variant>
        <vt:i4>149</vt:i4>
      </vt:variant>
      <vt:variant>
        <vt:i4>0</vt:i4>
      </vt:variant>
      <vt:variant>
        <vt:i4>5</vt:i4>
      </vt:variant>
      <vt:variant>
        <vt:lpwstr/>
      </vt:variant>
      <vt:variant>
        <vt:lpwstr>_Toc367439865</vt:lpwstr>
      </vt:variant>
      <vt:variant>
        <vt:i4>1703999</vt:i4>
      </vt:variant>
      <vt:variant>
        <vt:i4>143</vt:i4>
      </vt:variant>
      <vt:variant>
        <vt:i4>0</vt:i4>
      </vt:variant>
      <vt:variant>
        <vt:i4>5</vt:i4>
      </vt:variant>
      <vt:variant>
        <vt:lpwstr/>
      </vt:variant>
      <vt:variant>
        <vt:lpwstr>_Toc367439864</vt:lpwstr>
      </vt:variant>
      <vt:variant>
        <vt:i4>1703999</vt:i4>
      </vt:variant>
      <vt:variant>
        <vt:i4>137</vt:i4>
      </vt:variant>
      <vt:variant>
        <vt:i4>0</vt:i4>
      </vt:variant>
      <vt:variant>
        <vt:i4>5</vt:i4>
      </vt:variant>
      <vt:variant>
        <vt:lpwstr/>
      </vt:variant>
      <vt:variant>
        <vt:lpwstr>_Toc367439863</vt:lpwstr>
      </vt:variant>
      <vt:variant>
        <vt:i4>1703999</vt:i4>
      </vt:variant>
      <vt:variant>
        <vt:i4>131</vt:i4>
      </vt:variant>
      <vt:variant>
        <vt:i4>0</vt:i4>
      </vt:variant>
      <vt:variant>
        <vt:i4>5</vt:i4>
      </vt:variant>
      <vt:variant>
        <vt:lpwstr/>
      </vt:variant>
      <vt:variant>
        <vt:lpwstr>_Toc367439862</vt:lpwstr>
      </vt:variant>
      <vt:variant>
        <vt:i4>1703999</vt:i4>
      </vt:variant>
      <vt:variant>
        <vt:i4>125</vt:i4>
      </vt:variant>
      <vt:variant>
        <vt:i4>0</vt:i4>
      </vt:variant>
      <vt:variant>
        <vt:i4>5</vt:i4>
      </vt:variant>
      <vt:variant>
        <vt:lpwstr/>
      </vt:variant>
      <vt:variant>
        <vt:lpwstr>_Toc367439861</vt:lpwstr>
      </vt:variant>
      <vt:variant>
        <vt:i4>1703999</vt:i4>
      </vt:variant>
      <vt:variant>
        <vt:i4>119</vt:i4>
      </vt:variant>
      <vt:variant>
        <vt:i4>0</vt:i4>
      </vt:variant>
      <vt:variant>
        <vt:i4>5</vt:i4>
      </vt:variant>
      <vt:variant>
        <vt:lpwstr/>
      </vt:variant>
      <vt:variant>
        <vt:lpwstr>_Toc367439860</vt:lpwstr>
      </vt:variant>
      <vt:variant>
        <vt:i4>1638463</vt:i4>
      </vt:variant>
      <vt:variant>
        <vt:i4>113</vt:i4>
      </vt:variant>
      <vt:variant>
        <vt:i4>0</vt:i4>
      </vt:variant>
      <vt:variant>
        <vt:i4>5</vt:i4>
      </vt:variant>
      <vt:variant>
        <vt:lpwstr/>
      </vt:variant>
      <vt:variant>
        <vt:lpwstr>_Toc367439859</vt:lpwstr>
      </vt:variant>
      <vt:variant>
        <vt:i4>1638463</vt:i4>
      </vt:variant>
      <vt:variant>
        <vt:i4>107</vt:i4>
      </vt:variant>
      <vt:variant>
        <vt:i4>0</vt:i4>
      </vt:variant>
      <vt:variant>
        <vt:i4>5</vt:i4>
      </vt:variant>
      <vt:variant>
        <vt:lpwstr/>
      </vt:variant>
      <vt:variant>
        <vt:lpwstr>_Toc367439858</vt:lpwstr>
      </vt:variant>
      <vt:variant>
        <vt:i4>1638463</vt:i4>
      </vt:variant>
      <vt:variant>
        <vt:i4>101</vt:i4>
      </vt:variant>
      <vt:variant>
        <vt:i4>0</vt:i4>
      </vt:variant>
      <vt:variant>
        <vt:i4>5</vt:i4>
      </vt:variant>
      <vt:variant>
        <vt:lpwstr/>
      </vt:variant>
      <vt:variant>
        <vt:lpwstr>_Toc367439857</vt:lpwstr>
      </vt:variant>
      <vt:variant>
        <vt:i4>1638463</vt:i4>
      </vt:variant>
      <vt:variant>
        <vt:i4>95</vt:i4>
      </vt:variant>
      <vt:variant>
        <vt:i4>0</vt:i4>
      </vt:variant>
      <vt:variant>
        <vt:i4>5</vt:i4>
      </vt:variant>
      <vt:variant>
        <vt:lpwstr/>
      </vt:variant>
      <vt:variant>
        <vt:lpwstr>_Toc367439856</vt:lpwstr>
      </vt:variant>
      <vt:variant>
        <vt:i4>1638463</vt:i4>
      </vt:variant>
      <vt:variant>
        <vt:i4>89</vt:i4>
      </vt:variant>
      <vt:variant>
        <vt:i4>0</vt:i4>
      </vt:variant>
      <vt:variant>
        <vt:i4>5</vt:i4>
      </vt:variant>
      <vt:variant>
        <vt:lpwstr/>
      </vt:variant>
      <vt:variant>
        <vt:lpwstr>_Toc367439855</vt:lpwstr>
      </vt:variant>
      <vt:variant>
        <vt:i4>1638463</vt:i4>
      </vt:variant>
      <vt:variant>
        <vt:i4>83</vt:i4>
      </vt:variant>
      <vt:variant>
        <vt:i4>0</vt:i4>
      </vt:variant>
      <vt:variant>
        <vt:i4>5</vt:i4>
      </vt:variant>
      <vt:variant>
        <vt:lpwstr/>
      </vt:variant>
      <vt:variant>
        <vt:lpwstr>_Toc367439854</vt:lpwstr>
      </vt:variant>
      <vt:variant>
        <vt:i4>1638463</vt:i4>
      </vt:variant>
      <vt:variant>
        <vt:i4>77</vt:i4>
      </vt:variant>
      <vt:variant>
        <vt:i4>0</vt:i4>
      </vt:variant>
      <vt:variant>
        <vt:i4>5</vt:i4>
      </vt:variant>
      <vt:variant>
        <vt:lpwstr/>
      </vt:variant>
      <vt:variant>
        <vt:lpwstr>_Toc367439853</vt:lpwstr>
      </vt:variant>
      <vt:variant>
        <vt:i4>1638463</vt:i4>
      </vt:variant>
      <vt:variant>
        <vt:i4>71</vt:i4>
      </vt:variant>
      <vt:variant>
        <vt:i4>0</vt:i4>
      </vt:variant>
      <vt:variant>
        <vt:i4>5</vt:i4>
      </vt:variant>
      <vt:variant>
        <vt:lpwstr/>
      </vt:variant>
      <vt:variant>
        <vt:lpwstr>_Toc367439852</vt:lpwstr>
      </vt:variant>
      <vt:variant>
        <vt:i4>1638463</vt:i4>
      </vt:variant>
      <vt:variant>
        <vt:i4>65</vt:i4>
      </vt:variant>
      <vt:variant>
        <vt:i4>0</vt:i4>
      </vt:variant>
      <vt:variant>
        <vt:i4>5</vt:i4>
      </vt:variant>
      <vt:variant>
        <vt:lpwstr/>
      </vt:variant>
      <vt:variant>
        <vt:lpwstr>_Toc367439851</vt:lpwstr>
      </vt:variant>
      <vt:variant>
        <vt:i4>1638463</vt:i4>
      </vt:variant>
      <vt:variant>
        <vt:i4>59</vt:i4>
      </vt:variant>
      <vt:variant>
        <vt:i4>0</vt:i4>
      </vt:variant>
      <vt:variant>
        <vt:i4>5</vt:i4>
      </vt:variant>
      <vt:variant>
        <vt:lpwstr/>
      </vt:variant>
      <vt:variant>
        <vt:lpwstr>_Toc367439850</vt:lpwstr>
      </vt:variant>
      <vt:variant>
        <vt:i4>1572927</vt:i4>
      </vt:variant>
      <vt:variant>
        <vt:i4>53</vt:i4>
      </vt:variant>
      <vt:variant>
        <vt:i4>0</vt:i4>
      </vt:variant>
      <vt:variant>
        <vt:i4>5</vt:i4>
      </vt:variant>
      <vt:variant>
        <vt:lpwstr/>
      </vt:variant>
      <vt:variant>
        <vt:lpwstr>_Toc367439849</vt:lpwstr>
      </vt:variant>
      <vt:variant>
        <vt:i4>1572927</vt:i4>
      </vt:variant>
      <vt:variant>
        <vt:i4>47</vt:i4>
      </vt:variant>
      <vt:variant>
        <vt:i4>0</vt:i4>
      </vt:variant>
      <vt:variant>
        <vt:i4>5</vt:i4>
      </vt:variant>
      <vt:variant>
        <vt:lpwstr/>
      </vt:variant>
      <vt:variant>
        <vt:lpwstr>_Toc367439848</vt:lpwstr>
      </vt:variant>
      <vt:variant>
        <vt:i4>1572927</vt:i4>
      </vt:variant>
      <vt:variant>
        <vt:i4>41</vt:i4>
      </vt:variant>
      <vt:variant>
        <vt:i4>0</vt:i4>
      </vt:variant>
      <vt:variant>
        <vt:i4>5</vt:i4>
      </vt:variant>
      <vt:variant>
        <vt:lpwstr/>
      </vt:variant>
      <vt:variant>
        <vt:lpwstr>_Toc367439847</vt:lpwstr>
      </vt:variant>
      <vt:variant>
        <vt:i4>1572927</vt:i4>
      </vt:variant>
      <vt:variant>
        <vt:i4>35</vt:i4>
      </vt:variant>
      <vt:variant>
        <vt:i4>0</vt:i4>
      </vt:variant>
      <vt:variant>
        <vt:i4>5</vt:i4>
      </vt:variant>
      <vt:variant>
        <vt:lpwstr/>
      </vt:variant>
      <vt:variant>
        <vt:lpwstr>_Toc367439846</vt:lpwstr>
      </vt:variant>
      <vt:variant>
        <vt:i4>1572927</vt:i4>
      </vt:variant>
      <vt:variant>
        <vt:i4>29</vt:i4>
      </vt:variant>
      <vt:variant>
        <vt:i4>0</vt:i4>
      </vt:variant>
      <vt:variant>
        <vt:i4>5</vt:i4>
      </vt:variant>
      <vt:variant>
        <vt:lpwstr/>
      </vt:variant>
      <vt:variant>
        <vt:lpwstr>_Toc367439845</vt:lpwstr>
      </vt:variant>
      <vt:variant>
        <vt:i4>1572927</vt:i4>
      </vt:variant>
      <vt:variant>
        <vt:i4>23</vt:i4>
      </vt:variant>
      <vt:variant>
        <vt:i4>0</vt:i4>
      </vt:variant>
      <vt:variant>
        <vt:i4>5</vt:i4>
      </vt:variant>
      <vt:variant>
        <vt:lpwstr/>
      </vt:variant>
      <vt:variant>
        <vt:lpwstr>_Toc367439844</vt:lpwstr>
      </vt:variant>
      <vt:variant>
        <vt:i4>1572927</vt:i4>
      </vt:variant>
      <vt:variant>
        <vt:i4>17</vt:i4>
      </vt:variant>
      <vt:variant>
        <vt:i4>0</vt:i4>
      </vt:variant>
      <vt:variant>
        <vt:i4>5</vt:i4>
      </vt:variant>
      <vt:variant>
        <vt:lpwstr/>
      </vt:variant>
      <vt:variant>
        <vt:lpwstr>_Toc367439843</vt:lpwstr>
      </vt:variant>
      <vt:variant>
        <vt:i4>1572927</vt:i4>
      </vt:variant>
      <vt:variant>
        <vt:i4>11</vt:i4>
      </vt:variant>
      <vt:variant>
        <vt:i4>0</vt:i4>
      </vt:variant>
      <vt:variant>
        <vt:i4>5</vt:i4>
      </vt:variant>
      <vt:variant>
        <vt:lpwstr/>
      </vt:variant>
      <vt:variant>
        <vt:lpwstr>_Toc367439842</vt:lpwstr>
      </vt:variant>
      <vt:variant>
        <vt:i4>1572927</vt:i4>
      </vt:variant>
      <vt:variant>
        <vt:i4>5</vt:i4>
      </vt:variant>
      <vt:variant>
        <vt:i4>0</vt:i4>
      </vt:variant>
      <vt:variant>
        <vt:i4>5</vt:i4>
      </vt:variant>
      <vt:variant>
        <vt:lpwstr/>
      </vt:variant>
      <vt:variant>
        <vt:lpwstr>_Toc367439841</vt:lpwstr>
      </vt:variant>
      <vt:variant>
        <vt:i4>1638438</vt:i4>
      </vt:variant>
      <vt:variant>
        <vt:i4>0</vt:i4>
      </vt:variant>
      <vt:variant>
        <vt:i4>0</vt:i4>
      </vt:variant>
      <vt:variant>
        <vt:i4>5</vt:i4>
      </vt:variant>
      <vt:variant>
        <vt:lpwstr>mailto:tberry@wyattfirm.com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2022-02-03T23:28:00Z</dcterms:created>
  <dcterms:modified xsi:type="dcterms:W3CDTF">2022-02-03T23:28:00Z</dcterms:modified>
</cp:coreProperties>
</file>